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1017"/>
        <w:rPr>
          <w:rFonts w:ascii="Times New Roman"/>
          <w:sz w:val="20"/>
        </w:rPr>
      </w:pPr>
      <w:r>
        <w:rPr>
          <w:rFonts w:ascii="Times New Roman"/>
          <w:sz w:val="20"/>
        </w:rPr>
        <w:drawing>
          <wp:inline distT="0" distB="0" distL="0" distR="0">
            <wp:extent cx="5775867" cy="749236"/>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5775867" cy="749236"/>
                    </a:xfrm>
                    <a:prstGeom prst="rect">
                      <a:avLst/>
                    </a:prstGeom>
                  </pic:spPr>
                </pic:pic>
              </a:graphicData>
            </a:graphic>
          </wp:inline>
        </w:drawing>
      </w:r>
      <w:r>
        <w:rPr>
          <w:rFonts w:ascii="Times New Roman"/>
          <w:sz w:val="20"/>
        </w:rPr>
      </w:r>
    </w:p>
    <w:p>
      <w:pPr>
        <w:pStyle w:val="BodyText"/>
        <w:spacing w:before="9"/>
        <w:rPr>
          <w:rFonts w:ascii="Times New Roman"/>
        </w:rPr>
      </w:pPr>
    </w:p>
    <w:p>
      <w:pPr>
        <w:pStyle w:val="BodyText"/>
        <w:spacing w:before="92"/>
        <w:ind w:left="820"/>
        <w:rPr>
          <w:rFonts w:ascii="Times New Roman"/>
        </w:rPr>
      </w:pPr>
      <w:r>
        <w:rPr>
          <w:rFonts w:ascii="Times New Roman"/>
        </w:rPr>
        <w:t>May 30, 2020</w:t>
      </w:r>
    </w:p>
    <w:p>
      <w:pPr>
        <w:pStyle w:val="BodyText"/>
        <w:spacing w:before="6"/>
        <w:rPr>
          <w:rFonts w:ascii="Times New Roman"/>
          <w:sz w:val="28"/>
        </w:rPr>
      </w:pPr>
    </w:p>
    <w:p>
      <w:pPr>
        <w:pStyle w:val="BodyText"/>
        <w:ind w:left="820"/>
        <w:rPr>
          <w:rFonts w:ascii="Times New Roman"/>
        </w:rPr>
      </w:pPr>
      <w:r>
        <w:rPr>
          <w:rFonts w:ascii="Times New Roman"/>
        </w:rPr>
        <w:t>To</w:t>
      </w:r>
    </w:p>
    <w:p>
      <w:pPr>
        <w:pStyle w:val="BodyText"/>
        <w:tabs>
          <w:tab w:pos="6581" w:val="left" w:leader="none"/>
        </w:tabs>
        <w:spacing w:before="37"/>
        <w:ind w:left="820"/>
        <w:rPr>
          <w:rFonts w:ascii="Times New Roman"/>
        </w:rPr>
      </w:pPr>
      <w:r>
        <w:rPr>
          <w:rFonts w:ascii="Times New Roman"/>
        </w:rPr>
        <w:t>The Corporate</w:t>
      </w:r>
      <w:r>
        <w:rPr>
          <w:rFonts w:ascii="Times New Roman"/>
          <w:spacing w:val="-5"/>
        </w:rPr>
        <w:t> </w:t>
      </w:r>
      <w:r>
        <w:rPr>
          <w:rFonts w:ascii="Times New Roman"/>
        </w:rPr>
        <w:t>Relations</w:t>
      </w:r>
      <w:r>
        <w:rPr>
          <w:rFonts w:ascii="Times New Roman"/>
          <w:spacing w:val="-2"/>
        </w:rPr>
        <w:t> </w:t>
      </w:r>
      <w:r>
        <w:rPr>
          <w:rFonts w:ascii="Times New Roman"/>
        </w:rPr>
        <w:t>Department</w:t>
        <w:tab/>
        <w:t>The Corporate Relations</w:t>
      </w:r>
      <w:r>
        <w:rPr>
          <w:rFonts w:ascii="Times New Roman"/>
          <w:spacing w:val="-1"/>
        </w:rPr>
        <w:t> </w:t>
      </w:r>
      <w:r>
        <w:rPr>
          <w:rFonts w:ascii="Times New Roman"/>
        </w:rPr>
        <w:t>Department</w:t>
      </w:r>
    </w:p>
    <w:p>
      <w:pPr>
        <w:pStyle w:val="BodyText"/>
        <w:tabs>
          <w:tab w:pos="6581" w:val="left" w:leader="none"/>
        </w:tabs>
        <w:spacing w:before="40"/>
        <w:ind w:left="820"/>
        <w:rPr>
          <w:rFonts w:ascii="Times New Roman"/>
        </w:rPr>
      </w:pPr>
      <w:r>
        <w:rPr>
          <w:rFonts w:ascii="Times New Roman"/>
        </w:rPr>
        <w:t>The National Stock Exchange of</w:t>
      </w:r>
      <w:r>
        <w:rPr>
          <w:rFonts w:ascii="Times New Roman"/>
          <w:spacing w:val="-5"/>
        </w:rPr>
        <w:t> </w:t>
      </w:r>
      <w:r>
        <w:rPr>
          <w:rFonts w:ascii="Times New Roman"/>
        </w:rPr>
        <w:t>India</w:t>
      </w:r>
      <w:r>
        <w:rPr>
          <w:rFonts w:ascii="Times New Roman"/>
          <w:spacing w:val="-1"/>
        </w:rPr>
        <w:t> </w:t>
      </w:r>
      <w:r>
        <w:rPr>
          <w:rFonts w:ascii="Times New Roman"/>
        </w:rPr>
        <w:t>Ltd.</w:t>
        <w:tab/>
        <w:t>Department of Corporate</w:t>
      </w:r>
      <w:r>
        <w:rPr>
          <w:rFonts w:ascii="Times New Roman"/>
          <w:spacing w:val="-3"/>
        </w:rPr>
        <w:t> </w:t>
      </w:r>
      <w:r>
        <w:rPr>
          <w:rFonts w:ascii="Times New Roman"/>
        </w:rPr>
        <w:t>Services</w:t>
      </w:r>
    </w:p>
    <w:p>
      <w:pPr>
        <w:pStyle w:val="BodyText"/>
        <w:tabs>
          <w:tab w:pos="6581" w:val="left" w:leader="none"/>
        </w:tabs>
        <w:spacing w:before="37"/>
        <w:ind w:left="820"/>
        <w:rPr>
          <w:rFonts w:ascii="Times New Roman"/>
        </w:rPr>
      </w:pPr>
      <w:r>
        <w:rPr>
          <w:rFonts w:ascii="Times New Roman"/>
        </w:rPr>
        <w:t>Exchange Plaza,</w:t>
      </w:r>
      <w:r>
        <w:rPr>
          <w:rFonts w:ascii="Times New Roman"/>
          <w:spacing w:val="-1"/>
        </w:rPr>
        <w:t> </w:t>
      </w:r>
      <w:r>
        <w:rPr>
          <w:rFonts w:ascii="Times New Roman"/>
        </w:rPr>
        <w:t>5</w:t>
      </w:r>
      <w:r>
        <w:rPr>
          <w:rFonts w:ascii="Times New Roman"/>
          <w:vertAlign w:val="superscript"/>
        </w:rPr>
        <w:t>th</w:t>
      </w:r>
      <w:r>
        <w:rPr>
          <w:rFonts w:ascii="Times New Roman"/>
          <w:spacing w:val="-1"/>
          <w:vertAlign w:val="baseline"/>
        </w:rPr>
        <w:t> </w:t>
      </w:r>
      <w:r>
        <w:rPr>
          <w:rFonts w:ascii="Times New Roman"/>
          <w:vertAlign w:val="baseline"/>
        </w:rPr>
        <w:t>Floor,</w:t>
        <w:tab/>
        <w:t>BSE</w:t>
      </w:r>
      <w:r>
        <w:rPr>
          <w:rFonts w:ascii="Times New Roman"/>
          <w:spacing w:val="-1"/>
          <w:vertAlign w:val="baseline"/>
        </w:rPr>
        <w:t> </w:t>
      </w:r>
      <w:r>
        <w:rPr>
          <w:rFonts w:ascii="Times New Roman"/>
          <w:vertAlign w:val="baseline"/>
        </w:rPr>
        <w:t>Limited</w:t>
      </w:r>
    </w:p>
    <w:p>
      <w:pPr>
        <w:pStyle w:val="BodyText"/>
        <w:tabs>
          <w:tab w:pos="6581" w:val="left" w:leader="none"/>
        </w:tabs>
        <w:spacing w:before="38"/>
        <w:ind w:left="820"/>
        <w:rPr>
          <w:rFonts w:ascii="Times New Roman"/>
        </w:rPr>
      </w:pPr>
      <w:r>
        <w:rPr>
          <w:rFonts w:ascii="Times New Roman"/>
        </w:rPr>
        <w:t>Plot No.</w:t>
      </w:r>
      <w:r>
        <w:rPr>
          <w:rFonts w:ascii="Times New Roman"/>
          <w:spacing w:val="-2"/>
        </w:rPr>
        <w:t> </w:t>
      </w:r>
      <w:r>
        <w:rPr>
          <w:rFonts w:ascii="Times New Roman"/>
        </w:rPr>
        <w:t>C/1,</w:t>
      </w:r>
      <w:r>
        <w:rPr>
          <w:rFonts w:ascii="Times New Roman"/>
          <w:spacing w:val="-1"/>
        </w:rPr>
        <w:t> </w:t>
      </w:r>
      <w:r>
        <w:rPr>
          <w:rFonts w:ascii="Times New Roman"/>
        </w:rPr>
        <w:t>G-Block,</w:t>
        <w:tab/>
        <w:t>25</w:t>
      </w:r>
      <w:r>
        <w:rPr>
          <w:rFonts w:ascii="Times New Roman"/>
          <w:vertAlign w:val="superscript"/>
        </w:rPr>
        <w:t>th</w:t>
      </w:r>
      <w:r>
        <w:rPr>
          <w:rFonts w:ascii="Times New Roman"/>
          <w:vertAlign w:val="baseline"/>
        </w:rPr>
        <w:t> Floor, Phiroze Jeejeebhoy</w:t>
      </w:r>
      <w:r>
        <w:rPr>
          <w:rFonts w:ascii="Times New Roman"/>
          <w:spacing w:val="-1"/>
          <w:vertAlign w:val="baseline"/>
        </w:rPr>
        <w:t> </w:t>
      </w:r>
      <w:r>
        <w:rPr>
          <w:rFonts w:ascii="Times New Roman"/>
          <w:vertAlign w:val="baseline"/>
        </w:rPr>
        <w:t>Towers,</w:t>
      </w:r>
    </w:p>
    <w:p>
      <w:pPr>
        <w:pStyle w:val="BodyText"/>
        <w:tabs>
          <w:tab w:pos="6581" w:val="left" w:leader="none"/>
        </w:tabs>
        <w:spacing w:line="276" w:lineRule="auto" w:before="37"/>
        <w:ind w:left="820" w:right="1674"/>
        <w:rPr>
          <w:rFonts w:ascii="Times New Roman" w:hAnsi="Times New Roman"/>
        </w:rPr>
      </w:pPr>
      <w:r>
        <w:rPr>
          <w:rFonts w:ascii="Times New Roman" w:hAnsi="Times New Roman"/>
        </w:rPr>
        <w:t>Bandra-Kurla</w:t>
      </w:r>
      <w:r>
        <w:rPr>
          <w:rFonts w:ascii="Times New Roman" w:hAnsi="Times New Roman"/>
          <w:spacing w:val="-2"/>
        </w:rPr>
        <w:t> </w:t>
      </w:r>
      <w:r>
        <w:rPr>
          <w:rFonts w:ascii="Times New Roman" w:hAnsi="Times New Roman"/>
        </w:rPr>
        <w:t>Complex,</w:t>
        <w:tab/>
        <w:t>Dalal Street, Mumbai – </w:t>
      </w:r>
      <w:r>
        <w:rPr>
          <w:rFonts w:ascii="Times New Roman" w:hAnsi="Times New Roman"/>
          <w:spacing w:val="-3"/>
        </w:rPr>
        <w:t>400001 </w:t>
      </w:r>
      <w:r>
        <w:rPr>
          <w:rFonts w:ascii="Times New Roman" w:hAnsi="Times New Roman"/>
        </w:rPr>
        <w:t>Bandra (E), Mumbai -</w:t>
      </w:r>
      <w:r>
        <w:rPr>
          <w:rFonts w:ascii="Times New Roman" w:hAnsi="Times New Roman"/>
          <w:spacing w:val="-5"/>
        </w:rPr>
        <w:t> </w:t>
      </w:r>
      <w:r>
        <w:rPr>
          <w:rFonts w:ascii="Times New Roman" w:hAnsi="Times New Roman"/>
        </w:rPr>
        <w:t>400051</w:t>
      </w:r>
    </w:p>
    <w:p>
      <w:pPr>
        <w:pStyle w:val="BodyText"/>
        <w:spacing w:before="5"/>
        <w:rPr>
          <w:rFonts w:ascii="Times New Roman"/>
          <w:sz w:val="25"/>
        </w:rPr>
      </w:pPr>
    </w:p>
    <w:p>
      <w:pPr>
        <w:pStyle w:val="Heading5"/>
        <w:spacing w:before="0"/>
        <w:ind w:left="820" w:firstLine="0"/>
      </w:pPr>
      <w:r>
        <w:rPr/>
        <w:t>Re: Scrip Code 542602 and Scrip Symbol “EMBASSY”</w:t>
      </w:r>
    </w:p>
    <w:p>
      <w:pPr>
        <w:pStyle w:val="BodyText"/>
        <w:spacing w:before="6"/>
        <w:rPr>
          <w:rFonts w:ascii="Times New Roman"/>
          <w:b/>
          <w:sz w:val="28"/>
        </w:rPr>
      </w:pPr>
    </w:p>
    <w:p>
      <w:pPr>
        <w:spacing w:line="276" w:lineRule="auto" w:before="0"/>
        <w:ind w:left="820" w:right="853" w:firstLine="0"/>
        <w:jc w:val="both"/>
        <w:rPr>
          <w:rFonts w:ascii="Times New Roman"/>
          <w:b/>
          <w:sz w:val="22"/>
        </w:rPr>
      </w:pPr>
      <w:r>
        <w:rPr>
          <w:rFonts w:ascii="Times New Roman"/>
          <w:b/>
          <w:sz w:val="22"/>
        </w:rPr>
        <w:t>Sub: Submission of Valuation Report of Embassy Office Parks REIT for the year ended March 31, 2020 under Regulation 21 of the Securities and Exchange Board of India (Real Estate Investment Trusts) Regulations, 2014</w:t>
      </w:r>
    </w:p>
    <w:p>
      <w:pPr>
        <w:pStyle w:val="BodyText"/>
        <w:spacing w:before="4"/>
        <w:rPr>
          <w:rFonts w:ascii="Times New Roman"/>
          <w:b/>
          <w:sz w:val="25"/>
        </w:rPr>
      </w:pPr>
    </w:p>
    <w:p>
      <w:pPr>
        <w:pStyle w:val="BodyText"/>
        <w:ind w:left="820"/>
        <w:rPr>
          <w:rFonts w:ascii="Times New Roman"/>
        </w:rPr>
      </w:pPr>
      <w:r>
        <w:rPr>
          <w:rFonts w:ascii="Times New Roman"/>
        </w:rPr>
        <w:t>Dear Sir/Madam,</w:t>
      </w:r>
    </w:p>
    <w:p>
      <w:pPr>
        <w:pStyle w:val="BodyText"/>
        <w:spacing w:before="8"/>
        <w:rPr>
          <w:rFonts w:ascii="Times New Roman"/>
          <w:sz w:val="28"/>
        </w:rPr>
      </w:pPr>
    </w:p>
    <w:p>
      <w:pPr>
        <w:pStyle w:val="BodyText"/>
        <w:spacing w:line="276" w:lineRule="auto"/>
        <w:ind w:left="820" w:right="853"/>
        <w:jc w:val="both"/>
        <w:rPr>
          <w:rFonts w:ascii="Times New Roman"/>
        </w:rPr>
      </w:pPr>
      <w:r>
        <w:rPr>
          <w:rFonts w:ascii="Times New Roman"/>
        </w:rPr>
        <w:t>Pursuant to Regulation 21 of the Securities and Exchange Board of India (Real Estate Investment Trusts) Regulations, 2014, we have enclosed herewith the Valuation Report dated May 19, 2020 issued by Mr. Manish Gupta, Partner, iVAS Partners, Valuer, along with value assessment services undertaken by CBRE South Asia Private Limited, Value Assessment Service Provider, with respect to Embassy Office Parks REIT as at March 31,</w:t>
      </w:r>
      <w:r>
        <w:rPr>
          <w:rFonts w:ascii="Times New Roman"/>
          <w:spacing w:val="-6"/>
        </w:rPr>
        <w:t> </w:t>
      </w:r>
      <w:r>
        <w:rPr>
          <w:rFonts w:ascii="Times New Roman"/>
        </w:rPr>
        <w:t>2020.</w:t>
      </w:r>
    </w:p>
    <w:p>
      <w:pPr>
        <w:pStyle w:val="BodyText"/>
        <w:spacing w:before="3"/>
        <w:rPr>
          <w:rFonts w:ascii="Times New Roman"/>
          <w:sz w:val="25"/>
        </w:rPr>
      </w:pPr>
    </w:p>
    <w:p>
      <w:pPr>
        <w:pStyle w:val="BodyText"/>
        <w:spacing w:line="552" w:lineRule="auto"/>
        <w:ind w:left="820" w:right="7316"/>
        <w:rPr>
          <w:rFonts w:ascii="Times New Roman"/>
        </w:rPr>
      </w:pPr>
      <w:r>
        <w:rPr>
          <w:rFonts w:ascii="Times New Roman"/>
        </w:rPr>
        <w:t>Kindly take the above on record. Yours sincerely,</w:t>
      </w:r>
    </w:p>
    <w:p>
      <w:pPr>
        <w:pStyle w:val="Heading5"/>
        <w:spacing w:line="276" w:lineRule="auto" w:before="0"/>
        <w:ind w:left="820" w:right="835" w:firstLine="0"/>
      </w:pPr>
      <w:r>
        <w:rPr/>
        <w:t>For and on behalf of Embassy Office Parks REIT acting through its Manager, Embassy Office Parks Management Services Private Limited</w:t>
      </w:r>
    </w:p>
    <w:p>
      <w:pPr>
        <w:spacing w:after="0" w:line="276" w:lineRule="auto"/>
        <w:sectPr>
          <w:type w:val="continuous"/>
          <w:pgSz w:w="12240" w:h="15840"/>
          <w:pgMar w:top="800" w:bottom="280" w:left="620" w:right="580"/>
        </w:sectPr>
      </w:pPr>
    </w:p>
    <w:p>
      <w:pPr>
        <w:pStyle w:val="BodyText"/>
        <w:rPr>
          <w:rFonts w:ascii="Times New Roman"/>
          <w:b/>
          <w:sz w:val="21"/>
        </w:rPr>
      </w:pPr>
    </w:p>
    <w:p>
      <w:pPr>
        <w:spacing w:before="0"/>
        <w:ind w:left="915" w:right="0" w:firstLine="0"/>
        <w:jc w:val="left"/>
        <w:rPr>
          <w:sz w:val="18"/>
        </w:rPr>
      </w:pPr>
      <w:r>
        <w:rPr>
          <w:w w:val="95"/>
          <w:sz w:val="18"/>
        </w:rPr>
        <w:t>Ramesh</w:t>
      </w:r>
    </w:p>
    <w:p>
      <w:pPr>
        <w:pStyle w:val="BodyText"/>
        <w:spacing w:before="5"/>
        <w:rPr>
          <w:sz w:val="11"/>
        </w:rPr>
      </w:pPr>
      <w:r>
        <w:rPr/>
        <w:br w:type="column"/>
      </w:r>
      <w:r>
        <w:rPr>
          <w:sz w:val="11"/>
        </w:rPr>
      </w:r>
    </w:p>
    <w:p>
      <w:pPr>
        <w:spacing w:line="130" w:lineRule="atLeast" w:before="0"/>
        <w:ind w:left="173" w:right="8486" w:firstLine="0"/>
        <w:jc w:val="left"/>
        <w:rPr>
          <w:sz w:val="10"/>
        </w:rPr>
      </w:pPr>
      <w:r>
        <w:rPr>
          <w:w w:val="105"/>
          <w:sz w:val="10"/>
        </w:rPr>
        <w:t>Digitally signed by Ramesh Periasamy</w:t>
      </w:r>
    </w:p>
    <w:p>
      <w:pPr>
        <w:spacing w:after="0" w:line="130" w:lineRule="atLeast"/>
        <w:jc w:val="left"/>
        <w:rPr>
          <w:sz w:val="10"/>
        </w:rPr>
        <w:sectPr>
          <w:type w:val="continuous"/>
          <w:pgSz w:w="12240" w:h="15840"/>
          <w:pgMar w:top="800" w:bottom="280" w:left="620" w:right="580"/>
          <w:cols w:num="2" w:equalWidth="0">
            <w:col w:w="1533" w:space="40"/>
            <w:col w:w="9467"/>
          </w:cols>
        </w:sectPr>
      </w:pPr>
    </w:p>
    <w:p>
      <w:pPr>
        <w:spacing w:line="147" w:lineRule="exact" w:before="0"/>
        <w:ind w:left="915" w:right="0" w:firstLine="0"/>
        <w:jc w:val="left"/>
        <w:rPr>
          <w:sz w:val="10"/>
        </w:rPr>
      </w:pPr>
      <w:r>
        <w:rPr/>
        <w:pict>
          <v:shape style="position:absolute;margin-left:100.891045pt;margin-top:-19.097427pt;width:33.5pt;height:33.25pt;mso-position-horizontal-relative:page;mso-position-vertical-relative:paragraph;z-index:-34898944" coordorigin="2018,-382" coordsize="670,665" path="m2138,142l2080,180,2043,217,2024,249,2018,272,2018,283,2069,283,2073,281,2031,281,2037,257,2059,222,2093,182,2138,142xm2304,-382l2291,-373,2284,-352,2281,-329,2281,-312,2281,-297,2283,-281,2285,-264,2288,-246,2291,-228,2295,-209,2299,-191,2304,-173,2294,-136,2267,-66,2227,22,2179,115,2127,198,2076,258,2031,281,2073,281,2075,281,2110,250,2153,196,2204,115,2211,113,2204,113,2252,24,2284,-44,2305,-95,2316,-135,2340,-135,2325,-175,2330,-209,2316,-209,2309,-239,2303,-268,2300,-295,2299,-320,2300,-330,2301,-348,2305,-366,2314,-378,2330,-378,2322,-381,2304,-382xm2681,112l2661,112,2654,118,2654,137,2661,144,2681,144,2684,140,2663,140,2657,135,2657,121,2663,115,2684,115,2681,112xm2684,115l2678,115,2683,121,2683,135,2678,140,2684,140,2687,137,2687,118,2684,115xm2675,117l2664,117,2664,137,2668,137,2668,129,2676,129,2676,129,2674,128,2678,127,2668,127,2668,121,2677,121,2677,120,2675,117xm2676,129l2672,129,2673,131,2674,133,2674,137,2678,137,2677,133,2677,131,2676,129xm2677,121l2672,121,2674,122,2674,126,2672,127,2678,127,2678,124,2677,121xm2340,-135l2316,-135,2353,-61,2391,-11,2427,21,2456,40,2395,52,2331,68,2267,89,2204,113,2211,113,2268,96,2338,79,2410,66,2481,57,2533,57,2522,52,2568,50,2673,50,2656,41,2630,35,2492,35,2476,26,2460,17,2445,6,2430,-4,2396,-39,2368,-80,2344,-126,2340,-135xm2533,57l2481,57,2526,77,2570,93,2611,102,2645,106,2666,106,2678,101,2679,95,2659,95,2632,92,2599,83,2561,70,2533,57xm2681,90l2676,92,2668,95,2679,95,2681,90xm2673,50l2568,50,2622,52,2666,61,2683,82,2685,78,2687,76,2687,71,2679,53,2673,50xm2573,31l2555,31,2535,32,2492,35,2630,35,2620,33,2573,31xm2337,-326l2333,-306,2329,-280,2324,-248,2316,-209,2330,-209,2331,-214,2334,-251,2336,-288,2337,-326xm2330,-378l2314,-378,2321,-373,2328,-366,2334,-354,2337,-338,2339,-364,2334,-376,2330,-378xe" filled="true" fillcolor="#ffd8d8" stroked="false">
            <v:path arrowok="t"/>
            <v:fill type="solid"/>
            <w10:wrap type="none"/>
          </v:shape>
        </w:pict>
      </w:r>
      <w:r>
        <w:rPr>
          <w:w w:val="95"/>
          <w:sz w:val="18"/>
        </w:rPr>
        <w:t>Periasamy </w:t>
      </w:r>
      <w:r>
        <w:rPr>
          <w:w w:val="95"/>
          <w:position w:val="1"/>
          <w:sz w:val="10"/>
        </w:rPr>
        <w:t>Date:</w:t>
      </w:r>
      <w:r>
        <w:rPr>
          <w:spacing w:val="15"/>
          <w:w w:val="95"/>
          <w:position w:val="1"/>
          <w:sz w:val="10"/>
        </w:rPr>
        <w:t> </w:t>
      </w:r>
      <w:r>
        <w:rPr>
          <w:w w:val="95"/>
          <w:position w:val="1"/>
          <w:sz w:val="10"/>
        </w:rPr>
        <w:t>2020.05.30</w:t>
      </w:r>
    </w:p>
    <w:p>
      <w:pPr>
        <w:spacing w:line="111" w:lineRule="exact" w:before="0"/>
        <w:ind w:left="1746" w:right="0" w:firstLine="0"/>
        <w:jc w:val="left"/>
        <w:rPr>
          <w:sz w:val="10"/>
        </w:rPr>
      </w:pPr>
      <w:r>
        <w:rPr>
          <w:w w:val="105"/>
          <w:sz w:val="10"/>
        </w:rPr>
        <w:t>11:11:52</w:t>
      </w:r>
      <w:r>
        <w:rPr>
          <w:spacing w:val="-23"/>
          <w:w w:val="105"/>
          <w:sz w:val="10"/>
        </w:rPr>
        <w:t> </w:t>
      </w:r>
      <w:r>
        <w:rPr>
          <w:w w:val="105"/>
          <w:sz w:val="10"/>
        </w:rPr>
        <w:t>+05'30'</w:t>
      </w:r>
    </w:p>
    <w:p>
      <w:pPr>
        <w:pStyle w:val="Heading5"/>
        <w:spacing w:before="93"/>
        <w:ind w:left="820" w:firstLine="0"/>
      </w:pPr>
      <w:r>
        <w:rPr/>
        <w:t>Ramesh Periasamy</w:t>
      </w:r>
    </w:p>
    <w:p>
      <w:pPr>
        <w:spacing w:before="37"/>
        <w:ind w:left="820" w:right="0" w:firstLine="0"/>
        <w:jc w:val="left"/>
        <w:rPr>
          <w:rFonts w:ascii="Times New Roman"/>
          <w:b/>
          <w:sz w:val="22"/>
        </w:rPr>
      </w:pPr>
      <w:r>
        <w:rPr>
          <w:rFonts w:ascii="Times New Roman"/>
          <w:b/>
          <w:sz w:val="22"/>
        </w:rPr>
        <w:t>Company Secretary &amp; Compliance Officer</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8"/>
        <w:rPr>
          <w:rFonts w:ascii="Times New Roman"/>
          <w:b/>
          <w:sz w:val="24"/>
        </w:rPr>
      </w:pPr>
      <w:r>
        <w:rPr/>
        <w:drawing>
          <wp:anchor distT="0" distB="0" distL="0" distR="0" allowOverlap="1" layoutInCell="1" locked="0" behindDoc="0" simplePos="0" relativeHeight="0">
            <wp:simplePos x="0" y="0"/>
            <wp:positionH relativeFrom="page">
              <wp:posOffset>947989</wp:posOffset>
            </wp:positionH>
            <wp:positionV relativeFrom="paragraph">
              <wp:posOffset>205151</wp:posOffset>
            </wp:positionV>
            <wp:extent cx="5055902" cy="873442"/>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5055902" cy="873442"/>
                    </a:xfrm>
                    <a:prstGeom prst="rect">
                      <a:avLst/>
                    </a:prstGeom>
                  </pic:spPr>
                </pic:pic>
              </a:graphicData>
            </a:graphic>
          </wp:anchor>
        </w:drawing>
      </w:r>
    </w:p>
    <w:p>
      <w:pPr>
        <w:spacing w:after="0"/>
        <w:rPr>
          <w:rFonts w:ascii="Times New Roman"/>
          <w:sz w:val="24"/>
        </w:rPr>
        <w:sectPr>
          <w:type w:val="continuous"/>
          <w:pgSz w:w="12240" w:h="15840"/>
          <w:pgMar w:top="800" w:bottom="280" w:left="620" w:right="580"/>
        </w:sectPr>
      </w:pPr>
    </w:p>
    <w:p>
      <w:pPr>
        <w:pStyle w:val="BodyText"/>
        <w:spacing w:before="10"/>
        <w:rPr>
          <w:rFonts w:ascii="Times New Roman"/>
          <w:b/>
          <w:sz w:val="14"/>
        </w:rPr>
      </w:pPr>
    </w:p>
    <w:p>
      <w:pPr>
        <w:spacing w:before="81"/>
        <w:ind w:left="544" w:right="0" w:firstLine="0"/>
        <w:jc w:val="left"/>
        <w:rPr>
          <w:rFonts w:ascii="Times New Roman"/>
          <w:b/>
          <w:sz w:val="44"/>
        </w:rPr>
      </w:pPr>
      <w:r>
        <w:rPr>
          <w:rFonts w:ascii="Times New Roman"/>
          <w:b/>
          <w:color w:val="FFFFFF"/>
          <w:sz w:val="44"/>
        </w:rPr>
        <w:t>SUMMARY VALUATION REPORT</w:t>
      </w:r>
    </w:p>
    <w:p>
      <w:pPr>
        <w:pStyle w:val="BodyText"/>
        <w:rPr>
          <w:rFonts w:ascii="Times New Roman"/>
          <w:b/>
          <w:sz w:val="48"/>
        </w:rPr>
      </w:pPr>
    </w:p>
    <w:p>
      <w:pPr>
        <w:pStyle w:val="BodyText"/>
        <w:rPr>
          <w:rFonts w:ascii="Times New Roman"/>
          <w:b/>
          <w:sz w:val="48"/>
        </w:rPr>
      </w:pPr>
    </w:p>
    <w:p>
      <w:pPr>
        <w:pStyle w:val="BodyText"/>
        <w:rPr>
          <w:rFonts w:ascii="Times New Roman"/>
          <w:b/>
          <w:sz w:val="48"/>
        </w:rPr>
      </w:pPr>
    </w:p>
    <w:p>
      <w:pPr>
        <w:spacing w:before="303"/>
        <w:ind w:left="544" w:right="0" w:firstLine="0"/>
        <w:jc w:val="left"/>
        <w:rPr>
          <w:rFonts w:ascii="Times New Roman"/>
          <w:b/>
          <w:sz w:val="44"/>
        </w:rPr>
      </w:pPr>
      <w:r>
        <w:rPr>
          <w:rFonts w:ascii="Times New Roman"/>
          <w:b/>
          <w:color w:val="FFDD00"/>
          <w:sz w:val="44"/>
        </w:rPr>
        <w:t>Embassy Office Parks Management Services Private Limited in its capacity as manager of The Embassy Office Parks REIT</w:t>
      </w:r>
    </w:p>
    <w:p>
      <w:pPr>
        <w:pStyle w:val="BodyText"/>
        <w:spacing w:before="9"/>
        <w:rPr>
          <w:rFonts w:ascii="Times New Roman"/>
          <w:b/>
          <w:sz w:val="60"/>
        </w:rPr>
      </w:pPr>
    </w:p>
    <w:p>
      <w:pPr>
        <w:spacing w:line="276" w:lineRule="auto" w:before="1"/>
        <w:ind w:left="544" w:right="6349" w:firstLine="0"/>
        <w:jc w:val="left"/>
        <w:rPr>
          <w:rFonts w:ascii="Times New Roman"/>
          <w:b/>
          <w:sz w:val="24"/>
        </w:rPr>
      </w:pPr>
      <w:r>
        <w:rPr>
          <w:rFonts w:ascii="Times New Roman"/>
          <w:b/>
          <w:color w:val="E7E6E6"/>
          <w:sz w:val="24"/>
        </w:rPr>
        <w:t>EMBASSY MANYATA, BENGALURU EXPRESS TOWERS, MUMBAI EMBASSY 247, MUMBAI</w:t>
      </w:r>
    </w:p>
    <w:p>
      <w:pPr>
        <w:spacing w:line="276" w:lineRule="auto" w:before="0"/>
        <w:ind w:left="544" w:right="3488" w:firstLine="0"/>
        <w:jc w:val="left"/>
        <w:rPr>
          <w:rFonts w:ascii="Times New Roman"/>
          <w:b/>
          <w:sz w:val="24"/>
        </w:rPr>
      </w:pPr>
      <w:r>
        <w:rPr>
          <w:rFonts w:ascii="Times New Roman"/>
          <w:b/>
          <w:color w:val="E7E6E6"/>
          <w:sz w:val="24"/>
        </w:rPr>
        <w:t>FIRST INTERNATIONAL FINANCE CENTRE (FIFC), MUMBAI EMBASSY TECHZONE, PUNE</w:t>
      </w:r>
    </w:p>
    <w:p>
      <w:pPr>
        <w:spacing w:line="276" w:lineRule="auto" w:before="2"/>
        <w:ind w:left="544" w:right="7242" w:firstLine="0"/>
        <w:jc w:val="left"/>
        <w:rPr>
          <w:rFonts w:ascii="Times New Roman"/>
          <w:b/>
          <w:sz w:val="24"/>
        </w:rPr>
      </w:pPr>
      <w:r>
        <w:rPr>
          <w:rFonts w:ascii="Times New Roman"/>
          <w:b/>
          <w:color w:val="E7E6E6"/>
          <w:sz w:val="24"/>
        </w:rPr>
        <w:t>EMBASSY QUADRON, PUNE EMBASSY QUBIX, PUNE EMBASSY OXYGEN, NOIDA EMBASSY GALAXY, NOIDA</w:t>
      </w:r>
    </w:p>
    <w:p>
      <w:pPr>
        <w:spacing w:line="276" w:lineRule="auto" w:before="0"/>
        <w:ind w:left="544" w:right="6175" w:firstLine="0"/>
        <w:jc w:val="left"/>
        <w:rPr>
          <w:rFonts w:ascii="Times New Roman"/>
          <w:b/>
          <w:sz w:val="24"/>
        </w:rPr>
      </w:pPr>
      <w:r>
        <w:rPr>
          <w:rFonts w:ascii="Times New Roman"/>
          <w:b/>
          <w:color w:val="E7E6E6"/>
          <w:sz w:val="24"/>
        </w:rPr>
        <w:t>EMBASSY GOLFLINKS, BENGALURU EMBASSY ONE, BENGALURU</w:t>
      </w:r>
    </w:p>
    <w:p>
      <w:pPr>
        <w:spacing w:line="276" w:lineRule="auto" w:before="0"/>
        <w:ind w:left="544" w:right="3734" w:firstLine="0"/>
        <w:jc w:val="left"/>
        <w:rPr>
          <w:rFonts w:ascii="Times New Roman"/>
          <w:b/>
          <w:sz w:val="24"/>
        </w:rPr>
      </w:pPr>
      <w:r>
        <w:rPr>
          <w:rFonts w:ascii="Times New Roman"/>
          <w:b/>
          <w:color w:val="E7E6E6"/>
          <w:sz w:val="24"/>
        </w:rPr>
        <w:t>HILTON AT EMBASSY GOLFLNKS, BENGALURU EMBASSY ENERGY, BELLARY DISTRICT, KARNATAKA</w:t>
      </w:r>
    </w:p>
    <w:p>
      <w:pPr>
        <w:pStyle w:val="BodyText"/>
        <w:rPr>
          <w:rFonts w:ascii="Times New Roman"/>
          <w:b/>
          <w:sz w:val="26"/>
        </w:rPr>
      </w:pPr>
    </w:p>
    <w:p>
      <w:pPr>
        <w:pStyle w:val="BodyText"/>
        <w:spacing w:before="4"/>
        <w:rPr>
          <w:rFonts w:ascii="Times New Roman"/>
          <w:b/>
          <w:sz w:val="30"/>
        </w:rPr>
      </w:pPr>
    </w:p>
    <w:p>
      <w:pPr>
        <w:spacing w:before="0"/>
        <w:ind w:left="544" w:right="0" w:firstLine="0"/>
        <w:jc w:val="left"/>
        <w:rPr>
          <w:rFonts w:ascii="Times New Roman"/>
          <w:b/>
          <w:sz w:val="22"/>
        </w:rPr>
      </w:pPr>
      <w:r>
        <w:rPr>
          <w:rFonts w:ascii="Times New Roman"/>
          <w:b/>
          <w:color w:val="FFFFFF"/>
          <w:sz w:val="22"/>
        </w:rPr>
        <w:t>DATE OF VALUATION: MARCH 31, 2020</w:t>
      </w:r>
    </w:p>
    <w:p>
      <w:pPr>
        <w:spacing w:before="189"/>
        <w:ind w:left="544" w:right="0" w:firstLine="0"/>
        <w:jc w:val="left"/>
        <w:rPr>
          <w:rFonts w:ascii="Times New Roman"/>
          <w:b/>
          <w:sz w:val="22"/>
        </w:rPr>
      </w:pPr>
      <w:r>
        <w:rPr>
          <w:rFonts w:ascii="Times New Roman"/>
          <w:b/>
          <w:color w:val="FFFFFF"/>
          <w:sz w:val="22"/>
        </w:rPr>
        <w:t>DATE OF REPORT: MAY 14, 2020</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spacing w:after="0"/>
        <w:rPr>
          <w:rFonts w:ascii="Times New Roman"/>
          <w:sz w:val="20"/>
        </w:rPr>
        <w:sectPr>
          <w:pgSz w:w="12240" w:h="15840"/>
          <w:pgMar w:top="1500" w:bottom="280" w:left="620" w:right="580"/>
        </w:sectPr>
      </w:pPr>
    </w:p>
    <w:p>
      <w:pPr>
        <w:spacing w:line="259" w:lineRule="auto" w:before="233"/>
        <w:ind w:left="546" w:right="21" w:firstLine="0"/>
        <w:jc w:val="left"/>
        <w:rPr>
          <w:rFonts w:ascii="Times New Roman"/>
          <w:sz w:val="28"/>
        </w:rPr>
      </w:pPr>
      <w:r>
        <w:rPr/>
        <w:pict>
          <v:shapetype id="_x0000_t202" o:spt="202" coordsize="21600,21600" path="m,l,21600r21600,l21600,xe">
            <v:stroke joinstyle="miter"/>
            <v:path gradientshapeok="t" o:connecttype="rect"/>
          </v:shapetype>
          <v:shape style="position:absolute;margin-left:72.024002pt;margin-top:36.379982pt;width:433.9pt;height:704.85pt;mso-position-horizontal-relative:page;mso-position-vertical-relative:page;z-index:-34898432"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EMBASSY OFFICE PARKS MANAGEMENT SERVICES PRIVATE LIMITED | EMBASSY OFFICE PARKS</w:t>
                  </w:r>
                  <w:r>
                    <w:rPr>
                      <w:rFonts w:ascii="Times New Roman"/>
                      <w:spacing w:val="-21"/>
                      <w:sz w:val="18"/>
                    </w:rPr>
                    <w:t> </w:t>
                  </w:r>
                  <w:r>
                    <w:rPr>
                      <w:rFonts w:ascii="Times New Roman"/>
                      <w:sz w:val="18"/>
                    </w:rPr>
                    <w:t>REIT</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6"/>
                    </w:rPr>
                  </w:pPr>
                </w:p>
                <w:p>
                  <w:pPr>
                    <w:spacing w:before="0"/>
                    <w:ind w:left="31" w:right="0" w:firstLine="0"/>
                    <w:jc w:val="left"/>
                    <w:rPr>
                      <w:rFonts w:ascii="Times New Roman"/>
                      <w:sz w:val="12"/>
                    </w:rPr>
                  </w:pPr>
                  <w:r>
                    <w:rPr>
                      <w:rFonts w:ascii="Times New Roman"/>
                      <w:sz w:val="12"/>
                    </w:rPr>
                    <w:t>Summary Valuation Report | Page 1</w:t>
                  </w:r>
                </w:p>
              </w:txbxContent>
            </v:textbox>
            <w10:wrap type="none"/>
          </v:shape>
        </w:pict>
      </w:r>
      <w:r>
        <w:rPr/>
        <w:pict>
          <v:group style="position:absolute;margin-left:1.8501pt;margin-top:4.59781pt;width:606.3pt;height:787.45pt;mso-position-horizontal-relative:page;mso-position-vertical-relative:page;z-index:-34897920" coordorigin="37,92" coordsize="12126,15749">
            <v:rect style="position:absolute;left:1411;top:1106;width:9420;height:89" filled="true" fillcolor="#5ffb00" stroked="false">
              <v:fill type="solid"/>
            </v:rect>
            <v:shape style="position:absolute;left:8145;top:14533;width:1700;height:474" type="#_x0000_t75" stroked="false">
              <v:imagedata r:id="rId7" o:title=""/>
            </v:shape>
            <v:shape style="position:absolute;left:10079;top:14371;width:1432;height:684" type="#_x0000_t75" stroked="false">
              <v:imagedata r:id="rId8" o:title=""/>
            </v:shape>
            <v:shape style="position:absolute;left:37;top:91;width:12126;height:15749" type="#_x0000_t75" stroked="false">
              <v:imagedata r:id="rId9" o:title=""/>
            </v:shape>
            <v:shape style="position:absolute;left:1157;top:14104;width:2160;height:532" type="#_x0000_t75" stroked="false">
              <v:imagedata r:id="rId10" o:title=""/>
            </v:shape>
            <v:shape style="position:absolute;left:9526;top:13961;width:1448;height:720" type="#_x0000_t75" stroked="false">
              <v:imagedata r:id="rId11" o:title=""/>
            </v:shape>
            <w10:wrap type="none"/>
          </v:group>
        </w:pict>
      </w:r>
      <w:r>
        <w:rPr>
          <w:rFonts w:ascii="Times New Roman"/>
          <w:color w:val="FFFFFF"/>
          <w:sz w:val="28"/>
          <w:u w:val="single" w:color="FFFFFF"/>
        </w:rPr>
        <w:t>Value Assessment</w:t>
      </w:r>
      <w:r>
        <w:rPr>
          <w:rFonts w:ascii="Times New Roman"/>
          <w:color w:val="FFFFFF"/>
          <w:sz w:val="28"/>
        </w:rPr>
        <w:t> </w:t>
      </w:r>
      <w:r>
        <w:rPr>
          <w:rFonts w:ascii="Times New Roman"/>
          <w:color w:val="FFFFFF"/>
          <w:sz w:val="28"/>
          <w:u w:val="single" w:color="FFFFFF"/>
        </w:rPr>
        <w:t>Service</w:t>
      </w:r>
    </w:p>
    <w:p>
      <w:pPr>
        <w:spacing w:before="245"/>
        <w:ind w:left="546" w:right="0" w:firstLine="0"/>
        <w:jc w:val="left"/>
        <w:rPr>
          <w:rFonts w:ascii="Times New Roman"/>
          <w:sz w:val="28"/>
        </w:rPr>
      </w:pPr>
      <w:r>
        <w:rPr/>
        <w:br w:type="column"/>
      </w:r>
      <w:r>
        <w:rPr>
          <w:rFonts w:ascii="Times New Roman"/>
          <w:color w:val="FFFFFF"/>
          <w:sz w:val="28"/>
          <w:u w:val="single" w:color="FFFFFF"/>
        </w:rPr>
        <w:t>Valuer under SEBI</w:t>
      </w:r>
      <w:r>
        <w:rPr>
          <w:rFonts w:ascii="Times New Roman"/>
          <w:color w:val="FFFFFF"/>
          <w:spacing w:val="-11"/>
          <w:sz w:val="28"/>
          <w:u w:val="single" w:color="FFFFFF"/>
        </w:rPr>
        <w:t> </w:t>
      </w:r>
      <w:r>
        <w:rPr>
          <w:rFonts w:ascii="Times New Roman"/>
          <w:color w:val="FFFFFF"/>
          <w:sz w:val="28"/>
          <w:u w:val="single" w:color="FFFFFF"/>
        </w:rPr>
        <w:t>(REIT)</w:t>
      </w:r>
    </w:p>
    <w:p>
      <w:pPr>
        <w:spacing w:before="26"/>
        <w:ind w:left="1535" w:right="0" w:firstLine="0"/>
        <w:jc w:val="left"/>
        <w:rPr>
          <w:rFonts w:ascii="Times New Roman"/>
          <w:sz w:val="28"/>
        </w:rPr>
      </w:pPr>
      <w:r>
        <w:rPr>
          <w:rFonts w:ascii="Times New Roman"/>
          <w:color w:val="FFFFFF"/>
          <w:sz w:val="28"/>
          <w:u w:val="single" w:color="FFFFFF"/>
        </w:rPr>
        <w:t>Regulations,</w:t>
      </w:r>
      <w:r>
        <w:rPr>
          <w:rFonts w:ascii="Times New Roman"/>
          <w:color w:val="FFFFFF"/>
          <w:spacing w:val="-10"/>
          <w:sz w:val="28"/>
          <w:u w:val="single" w:color="FFFFFF"/>
        </w:rPr>
        <w:t> </w:t>
      </w:r>
      <w:r>
        <w:rPr>
          <w:rFonts w:ascii="Times New Roman"/>
          <w:color w:val="FFFFFF"/>
          <w:sz w:val="28"/>
          <w:u w:val="single" w:color="FFFFFF"/>
        </w:rPr>
        <w:t>2014</w:t>
      </w:r>
    </w:p>
    <w:p>
      <w:pPr>
        <w:spacing w:after="0"/>
        <w:jc w:val="left"/>
        <w:rPr>
          <w:rFonts w:ascii="Times New Roman"/>
          <w:sz w:val="28"/>
        </w:rPr>
        <w:sectPr>
          <w:type w:val="continuous"/>
          <w:pgSz w:w="12240" w:h="15840"/>
          <w:pgMar w:top="800" w:bottom="280" w:left="620" w:right="580"/>
          <w:cols w:num="2" w:equalWidth="0">
            <w:col w:w="2648" w:space="4138"/>
            <w:col w:w="4254"/>
          </w:cols>
        </w:sectPr>
      </w:pPr>
    </w:p>
    <w:p>
      <w:pPr>
        <w:pStyle w:val="BodyText"/>
        <w:rPr>
          <w:rFonts w:ascii="Times New Roman"/>
          <w:sz w:val="18"/>
        </w:rPr>
      </w:pPr>
    </w:p>
    <w:p>
      <w:pPr>
        <w:pStyle w:val="ListParagraph"/>
        <w:numPr>
          <w:ilvl w:val="0"/>
          <w:numId w:val="1"/>
        </w:numPr>
        <w:tabs>
          <w:tab w:pos="1187" w:val="left" w:leader="none"/>
          <w:tab w:pos="1188" w:val="left" w:leader="none"/>
        </w:tabs>
        <w:spacing w:line="240" w:lineRule="auto" w:before="91" w:after="0"/>
        <w:ind w:left="1187" w:right="0" w:hanging="368"/>
        <w:jc w:val="left"/>
        <w:rPr>
          <w:rFonts w:ascii="Times New Roman"/>
          <w:sz w:val="20"/>
        </w:rPr>
      </w:pPr>
      <w:r>
        <w:rPr>
          <w:rFonts w:ascii="Times New Roman"/>
          <w:color w:val="1E6C2C"/>
          <w:sz w:val="20"/>
        </w:rPr>
        <w:t>Instruction</w:t>
      </w:r>
    </w:p>
    <w:p>
      <w:pPr>
        <w:pStyle w:val="BodyText"/>
        <w:spacing w:before="10"/>
        <w:rPr>
          <w:rFonts w:ascii="Times New Roman"/>
          <w:sz w:val="20"/>
        </w:rPr>
      </w:pPr>
    </w:p>
    <w:p>
      <w:pPr>
        <w:spacing w:before="1"/>
        <w:ind w:left="1310" w:right="854" w:firstLine="0"/>
        <w:jc w:val="both"/>
        <w:rPr>
          <w:rFonts w:ascii="Times New Roman" w:hAnsi="Times New Roman"/>
          <w:sz w:val="20"/>
        </w:rPr>
      </w:pPr>
      <w:r>
        <w:rPr>
          <w:rFonts w:ascii="Times New Roman" w:hAnsi="Times New Roman"/>
          <w:sz w:val="20"/>
        </w:rPr>
        <w:t>Mr. Manish Gupta (Founder and Partner, iVAS Partners) has been instructed by </w:t>
      </w:r>
      <w:r>
        <w:rPr>
          <w:rFonts w:ascii="Times New Roman" w:hAnsi="Times New Roman"/>
          <w:b/>
          <w:sz w:val="20"/>
        </w:rPr>
        <w:t>Embassy Office Parks Management Services Private Limited </w:t>
      </w:r>
      <w:r>
        <w:rPr>
          <w:rFonts w:ascii="Times New Roman" w:hAnsi="Times New Roman"/>
          <w:sz w:val="20"/>
        </w:rPr>
        <w:t>(the ‘</w:t>
      </w:r>
      <w:r>
        <w:rPr>
          <w:rFonts w:ascii="Times New Roman" w:hAnsi="Times New Roman"/>
          <w:b/>
          <w:sz w:val="20"/>
        </w:rPr>
        <w:t>Client</w:t>
      </w:r>
      <w:r>
        <w:rPr>
          <w:rFonts w:ascii="Times New Roman" w:hAnsi="Times New Roman"/>
          <w:sz w:val="20"/>
        </w:rPr>
        <w:t>’, the </w:t>
      </w:r>
      <w:r>
        <w:rPr>
          <w:rFonts w:ascii="Times New Roman" w:hAnsi="Times New Roman"/>
          <w:b/>
          <w:sz w:val="20"/>
        </w:rPr>
        <w:t>‘Instructing Party’) </w:t>
      </w:r>
      <w:r>
        <w:rPr>
          <w:rFonts w:ascii="Times New Roman" w:hAnsi="Times New Roman"/>
          <w:sz w:val="20"/>
        </w:rPr>
        <w:t>in its capacity as </w:t>
      </w:r>
      <w:r>
        <w:rPr>
          <w:rFonts w:ascii="Times New Roman" w:hAnsi="Times New Roman"/>
          <w:b/>
          <w:sz w:val="20"/>
        </w:rPr>
        <w:t>manager of The Embassy Office Parks REIT (Embassy REIT) </w:t>
      </w:r>
      <w:r>
        <w:rPr>
          <w:rFonts w:ascii="Times New Roman" w:hAnsi="Times New Roman"/>
          <w:sz w:val="20"/>
        </w:rPr>
        <w:t>to advice upon the Market Value (MV) of properties comprising of commercial office real estate assets located across Bengaluru, Pune, Mumbai and Noida as well as affiliated facilities including a solar park, retail spaces and hotels (together herein referred as subject properties across the report).</w:t>
      </w:r>
    </w:p>
    <w:p>
      <w:pPr>
        <w:pStyle w:val="BodyText"/>
        <w:spacing w:before="10"/>
        <w:rPr>
          <w:rFonts w:ascii="Times New Roman"/>
          <w:sz w:val="20"/>
        </w:rPr>
      </w:pPr>
    </w:p>
    <w:p>
      <w:pPr>
        <w:spacing w:before="0"/>
        <w:ind w:left="1310" w:right="853" w:firstLine="0"/>
        <w:jc w:val="both"/>
        <w:rPr>
          <w:rFonts w:ascii="Times New Roman" w:hAnsi="Times New Roman"/>
          <w:sz w:val="20"/>
        </w:rPr>
      </w:pPr>
      <w:r>
        <w:rPr>
          <w:rFonts w:ascii="Times New Roman" w:hAnsi="Times New Roman"/>
          <w:sz w:val="20"/>
        </w:rPr>
        <w:t>CBRE has been instructed by the Client to be the ‘Value Assessment Service Provider’ for providing market intelligence to the ‘Valuer’ (Mr. Manish Gupta, Founder and Partner, iVAS Partners) and forecasting cash flows from the respective assets. The Valuer has utilized the market intelligence provided by CBRE and independently reviewed the cash flows to arrive at the Market Value of the respective assets as per the SEBI (REIT) regulations 2014. Mr. Manish Gupta (Founder and Partner, iVAS Partners) and CBRE are collectively referred to as the Consultants for the purpose of this report.</w:t>
      </w:r>
    </w:p>
    <w:p>
      <w:pPr>
        <w:pStyle w:val="BodyText"/>
        <w:spacing w:before="10"/>
        <w:rPr>
          <w:rFonts w:ascii="Times New Roman"/>
          <w:sz w:val="20"/>
        </w:rPr>
      </w:pPr>
    </w:p>
    <w:p>
      <w:pPr>
        <w:spacing w:before="1"/>
        <w:ind w:left="1310" w:right="0" w:firstLine="0"/>
        <w:jc w:val="both"/>
        <w:rPr>
          <w:rFonts w:ascii="Times New Roman"/>
          <w:sz w:val="20"/>
        </w:rPr>
      </w:pPr>
      <w:r>
        <w:rPr>
          <w:rFonts w:ascii="Times New Roman"/>
          <w:sz w:val="20"/>
        </w:rPr>
        <w:t>The details of the subject properties under the purview of this valuation exercise are tabulated below:</w:t>
      </w:r>
    </w:p>
    <w:p>
      <w:pPr>
        <w:pStyle w:val="BodyText"/>
        <w:spacing w:before="6"/>
        <w:rPr>
          <w:rFonts w:ascii="Times New Roman"/>
          <w:sz w:val="20"/>
        </w:rPr>
      </w:pPr>
      <w:r>
        <w:rPr/>
        <w:pict>
          <v:group style="position:absolute;margin-left:159.5pt;margin-top:13.78748pt;width:293.150pt;height:13.6pt;mso-position-horizontal-relative:page;mso-position-vertical-relative:paragraph;z-index:-15726080;mso-wrap-distance-left:0;mso-wrap-distance-right:0" coordorigin="3190,276" coordsize="5863,272">
            <v:shape style="position:absolute;left:3190;top:304;width:5863;height:228" coordorigin="3190,305" coordsize="5863,228" path="m9052,305l6522,305,3190,305,3190,533,6522,533,9052,533,9052,305xe" filled="true" fillcolor="#16772b" stroked="false">
              <v:path arrowok="t"/>
              <v:fill type="solid"/>
            </v:shape>
            <v:rect style="position:absolute;left:3190;top:275;width:3333;height:29" filled="true" fillcolor="#1e7504" stroked="false">
              <v:fill type="solid"/>
            </v:rect>
            <v:shape style="position:absolute;left:3190;top:304;width:3361;height:3" coordorigin="3190,305" coordsize="3361,3" path="m6551,305l6522,305,3190,305,3190,307,6522,307,6551,307,6551,305xe" filled="true" fillcolor="#16772b" stroked="false">
              <v:path arrowok="t"/>
              <v:fill type="solid"/>
            </v:shape>
            <v:shape style="position:absolute;left:6522;top:275;width:2530;height:29" coordorigin="6522,276" coordsize="2530,29" path="m9052,276l6551,276,6522,276,6522,305,6551,305,9052,305,9052,276xe" filled="true" fillcolor="#1e7504" stroked="false">
              <v:path arrowok="t"/>
              <v:fill type="solid"/>
            </v:shape>
            <v:rect style="position:absolute;left:6551;top:304;width:2502;height:3" filled="true" fillcolor="#16772b" stroked="false">
              <v:fill type="solid"/>
            </v:rect>
            <v:shape style="position:absolute;left:3190;top:532;width:5863;height:15" coordorigin="3190,533" coordsize="5863,15" path="m9052,533l6537,533,6522,533,3190,533,3190,547,6522,547,6537,547,9052,547,9052,533xe" filled="true" fillcolor="#5fff00" stroked="false">
              <v:path arrowok="t"/>
              <v:fill type="solid"/>
            </v:shape>
            <v:shape style="position:absolute;left:3190;top:304;width:5863;height:228" type="#_x0000_t202" filled="false" stroked="false">
              <v:textbox inset="0,0,0,0">
                <w:txbxContent>
                  <w:p>
                    <w:pPr>
                      <w:tabs>
                        <w:tab w:pos="3474" w:val="left" w:leader="none"/>
                      </w:tabs>
                      <w:spacing w:line="226" w:lineRule="exact" w:before="0"/>
                      <w:ind w:left="59" w:right="0" w:firstLine="0"/>
                      <w:jc w:val="center"/>
                      <w:rPr>
                        <w:rFonts w:ascii="Times New Roman"/>
                        <w:b/>
                        <w:sz w:val="18"/>
                      </w:rPr>
                    </w:pPr>
                    <w:r>
                      <w:rPr>
                        <w:rFonts w:ascii="Times New Roman"/>
                        <w:b/>
                        <w:color w:val="FFFFFF"/>
                        <w:position w:val="2"/>
                        <w:sz w:val="18"/>
                      </w:rPr>
                      <w:t>Development</w:t>
                    </w:r>
                    <w:r>
                      <w:rPr>
                        <w:rFonts w:ascii="Times New Roman"/>
                        <w:b/>
                        <w:color w:val="FFFFFF"/>
                        <w:spacing w:val="-1"/>
                        <w:position w:val="2"/>
                        <w:sz w:val="18"/>
                      </w:rPr>
                      <w:t> </w:t>
                    </w:r>
                    <w:r>
                      <w:rPr>
                        <w:rFonts w:ascii="Times New Roman"/>
                        <w:b/>
                        <w:color w:val="FFFFFF"/>
                        <w:position w:val="2"/>
                        <w:sz w:val="18"/>
                      </w:rPr>
                      <w:t>Name</w:t>
                      <w:tab/>
                    </w:r>
                    <w:r>
                      <w:rPr>
                        <w:rFonts w:ascii="Times New Roman"/>
                        <w:b/>
                        <w:color w:val="FFFFFF"/>
                        <w:sz w:val="18"/>
                      </w:rPr>
                      <w:t>Location</w:t>
                    </w:r>
                  </w:p>
                </w:txbxContent>
              </v:textbox>
              <w10:wrap type="none"/>
            </v:shape>
            <w10:wrap type="topAndBottom"/>
          </v:group>
        </w:pict>
      </w:r>
    </w:p>
    <w:p>
      <w:pPr>
        <w:tabs>
          <w:tab w:pos="6792" w:val="left" w:leader="none"/>
        </w:tabs>
        <w:spacing w:line="178" w:lineRule="exact" w:before="0"/>
        <w:ind w:left="2690" w:right="0" w:firstLine="0"/>
        <w:jc w:val="left"/>
        <w:rPr>
          <w:rFonts w:ascii="Times New Roman"/>
          <w:sz w:val="18"/>
        </w:rPr>
      </w:pPr>
      <w:r>
        <w:rPr>
          <w:rFonts w:ascii="Times New Roman"/>
          <w:sz w:val="18"/>
        </w:rPr>
        <w:t>Embassy Manyata</w:t>
        <w:tab/>
        <w:t>Bengaluru</w:t>
      </w:r>
    </w:p>
    <w:p>
      <w:pPr>
        <w:pStyle w:val="BodyText"/>
        <w:spacing w:line="20" w:lineRule="exact"/>
        <w:ind w:left="2570"/>
        <w:rPr>
          <w:rFonts w:ascii="Times New Roman"/>
          <w:sz w:val="2"/>
        </w:rPr>
      </w:pPr>
      <w:r>
        <w:rPr>
          <w:rFonts w:ascii="Times New Roman"/>
          <w:sz w:val="2"/>
        </w:rPr>
        <w:pict>
          <v:group style="width:293.150pt;height:.75pt;mso-position-horizontal-relative:char;mso-position-vertical-relative:line" coordorigin="0,0" coordsize="5863,15">
            <v:shape style="position:absolute;left:0;top:0;width:5863;height:15" coordorigin="0,0" coordsize="5863,15" path="m5862,0l3347,0,3332,0,0,0,0,14,3332,14,3347,14,5862,14,5862,0xe" filled="true" fillcolor="#5fff00" stroked="false">
              <v:path arrowok="t"/>
              <v:fill type="solid"/>
            </v:shape>
          </v:group>
        </w:pict>
      </w:r>
      <w:r>
        <w:rPr>
          <w:rFonts w:ascii="Times New Roman"/>
          <w:sz w:val="2"/>
        </w:rPr>
      </w:r>
    </w:p>
    <w:p>
      <w:pPr>
        <w:tabs>
          <w:tab w:pos="6862" w:val="left" w:leader="none"/>
        </w:tabs>
        <w:spacing w:before="0"/>
        <w:ind w:left="2690" w:right="0" w:firstLine="0"/>
        <w:jc w:val="left"/>
        <w:rPr>
          <w:rFonts w:ascii="Times New Roman"/>
          <w:sz w:val="18"/>
        </w:rPr>
      </w:pPr>
      <w:r>
        <w:rPr>
          <w:rFonts w:ascii="Times New Roman"/>
          <w:sz w:val="18"/>
        </w:rPr>
        <w:t>Express</w:t>
      </w:r>
      <w:r>
        <w:rPr>
          <w:rFonts w:ascii="Times New Roman"/>
          <w:spacing w:val="-2"/>
          <w:sz w:val="18"/>
        </w:rPr>
        <w:t> </w:t>
      </w:r>
      <w:r>
        <w:rPr>
          <w:rFonts w:ascii="Times New Roman"/>
          <w:sz w:val="18"/>
        </w:rPr>
        <w:t>Towers</w:t>
        <w:tab/>
        <w:t>Mumbai</w:t>
      </w:r>
    </w:p>
    <w:p>
      <w:pPr>
        <w:pStyle w:val="BodyText"/>
        <w:spacing w:line="20" w:lineRule="exact"/>
        <w:ind w:left="2570"/>
        <w:rPr>
          <w:rFonts w:ascii="Times New Roman"/>
          <w:sz w:val="2"/>
        </w:rPr>
      </w:pPr>
      <w:r>
        <w:rPr>
          <w:rFonts w:ascii="Times New Roman"/>
          <w:sz w:val="2"/>
        </w:rPr>
        <w:pict>
          <v:group style="width:293.150pt;height:.75pt;mso-position-horizontal-relative:char;mso-position-vertical-relative:line" coordorigin="0,0" coordsize="5863,15">
            <v:shape style="position:absolute;left:0;top:0;width:5863;height:15" coordorigin="0,0" coordsize="5863,15" path="m5862,0l3347,0,3332,0,0,0,0,14,3332,14,3347,14,5862,14,5862,0xe" filled="true" fillcolor="#5fff00" stroked="false">
              <v:path arrowok="t"/>
              <v:fill type="solid"/>
            </v:shape>
          </v:group>
        </w:pict>
      </w:r>
      <w:r>
        <w:rPr>
          <w:rFonts w:ascii="Times New Roman"/>
          <w:sz w:val="2"/>
        </w:rPr>
      </w:r>
    </w:p>
    <w:p>
      <w:pPr>
        <w:tabs>
          <w:tab w:pos="6862" w:val="left" w:leader="none"/>
        </w:tabs>
        <w:spacing w:before="0"/>
        <w:ind w:left="2690" w:right="0" w:firstLine="0"/>
        <w:jc w:val="left"/>
        <w:rPr>
          <w:rFonts w:ascii="Times New Roman"/>
          <w:sz w:val="18"/>
        </w:rPr>
      </w:pPr>
      <w:r>
        <w:rPr>
          <w:rFonts w:ascii="Times New Roman"/>
          <w:sz w:val="18"/>
        </w:rPr>
        <w:t>Embassy 247</w:t>
        <w:tab/>
        <w:t>Mumbai</w:t>
      </w:r>
    </w:p>
    <w:p>
      <w:pPr>
        <w:pStyle w:val="BodyText"/>
        <w:spacing w:line="20" w:lineRule="exact"/>
        <w:ind w:left="2570"/>
        <w:rPr>
          <w:rFonts w:ascii="Times New Roman"/>
          <w:sz w:val="2"/>
        </w:rPr>
      </w:pPr>
      <w:r>
        <w:rPr>
          <w:rFonts w:ascii="Times New Roman"/>
          <w:sz w:val="2"/>
        </w:rPr>
        <w:pict>
          <v:group style="width:293.150pt;height:.75pt;mso-position-horizontal-relative:char;mso-position-vertical-relative:line" coordorigin="0,0" coordsize="5863,15">
            <v:shape style="position:absolute;left:0;top:0;width:5863;height:15" coordorigin="0,0" coordsize="5863,15" path="m5862,0l3347,0,3332,0,0,0,0,14,3332,14,3347,14,5862,14,5862,0xe" filled="true" fillcolor="#5fff00" stroked="false">
              <v:path arrowok="t"/>
              <v:fill type="solid"/>
            </v:shape>
          </v:group>
        </w:pict>
      </w:r>
      <w:r>
        <w:rPr>
          <w:rFonts w:ascii="Times New Roman"/>
          <w:sz w:val="2"/>
        </w:rPr>
      </w:r>
    </w:p>
    <w:p>
      <w:pPr>
        <w:tabs>
          <w:tab w:pos="6862" w:val="left" w:leader="none"/>
        </w:tabs>
        <w:spacing w:before="0"/>
        <w:ind w:left="2690" w:right="0" w:firstLine="0"/>
        <w:jc w:val="left"/>
        <w:rPr>
          <w:rFonts w:ascii="Times New Roman"/>
          <w:sz w:val="18"/>
        </w:rPr>
      </w:pPr>
      <w:r>
        <w:rPr>
          <w:rFonts w:ascii="Times New Roman"/>
          <w:sz w:val="18"/>
        </w:rPr>
        <w:t>First International</w:t>
      </w:r>
      <w:r>
        <w:rPr>
          <w:rFonts w:ascii="Times New Roman"/>
          <w:spacing w:val="-3"/>
          <w:sz w:val="18"/>
        </w:rPr>
        <w:t> </w:t>
      </w:r>
      <w:r>
        <w:rPr>
          <w:rFonts w:ascii="Times New Roman"/>
          <w:sz w:val="18"/>
        </w:rPr>
        <w:t>Finance</w:t>
      </w:r>
      <w:r>
        <w:rPr>
          <w:rFonts w:ascii="Times New Roman"/>
          <w:spacing w:val="-2"/>
          <w:sz w:val="18"/>
        </w:rPr>
        <w:t> </w:t>
      </w:r>
      <w:r>
        <w:rPr>
          <w:rFonts w:ascii="Times New Roman"/>
          <w:sz w:val="18"/>
        </w:rPr>
        <w:t>Centre</w:t>
        <w:tab/>
        <w:t>Mumbai</w:t>
      </w:r>
    </w:p>
    <w:p>
      <w:pPr>
        <w:pStyle w:val="BodyText"/>
        <w:spacing w:line="20" w:lineRule="exact"/>
        <w:ind w:left="2570"/>
        <w:rPr>
          <w:rFonts w:ascii="Times New Roman"/>
          <w:sz w:val="2"/>
        </w:rPr>
      </w:pPr>
      <w:r>
        <w:rPr>
          <w:rFonts w:ascii="Times New Roman"/>
          <w:sz w:val="2"/>
        </w:rPr>
        <w:pict>
          <v:group style="width:293.150pt;height:.75pt;mso-position-horizontal-relative:char;mso-position-vertical-relative:line" coordorigin="0,0" coordsize="5863,15">
            <v:shape style="position:absolute;left:0;top:0;width:5863;height:15" coordorigin="0,0" coordsize="5863,15" path="m5862,0l3347,0,3332,0,0,0,0,14,3332,14,3347,14,5862,14,5862,0xe" filled="true" fillcolor="#5fff00" stroked="false">
              <v:path arrowok="t"/>
              <v:fill type="solid"/>
            </v:shape>
          </v:group>
        </w:pict>
      </w:r>
      <w:r>
        <w:rPr>
          <w:rFonts w:ascii="Times New Roman"/>
          <w:sz w:val="2"/>
        </w:rPr>
      </w:r>
    </w:p>
    <w:p>
      <w:pPr>
        <w:tabs>
          <w:tab w:pos="6986" w:val="left" w:leader="none"/>
        </w:tabs>
        <w:spacing w:before="0"/>
        <w:ind w:left="2690" w:right="0" w:firstLine="0"/>
        <w:jc w:val="left"/>
        <w:rPr>
          <w:rFonts w:ascii="Times New Roman"/>
          <w:sz w:val="18"/>
        </w:rPr>
      </w:pPr>
      <w:r>
        <w:rPr>
          <w:rFonts w:ascii="Times New Roman"/>
          <w:sz w:val="18"/>
        </w:rPr>
        <w:t>Embassy TechZone</w:t>
        <w:tab/>
        <w:t>Pune</w:t>
      </w:r>
    </w:p>
    <w:p>
      <w:pPr>
        <w:pStyle w:val="BodyText"/>
        <w:spacing w:line="20" w:lineRule="exact"/>
        <w:ind w:left="2570"/>
        <w:rPr>
          <w:rFonts w:ascii="Times New Roman"/>
          <w:sz w:val="2"/>
        </w:rPr>
      </w:pPr>
      <w:r>
        <w:rPr>
          <w:rFonts w:ascii="Times New Roman"/>
          <w:sz w:val="2"/>
        </w:rPr>
        <w:pict>
          <v:group style="width:293.150pt;height:.75pt;mso-position-horizontal-relative:char;mso-position-vertical-relative:line" coordorigin="0,0" coordsize="5863,15">
            <v:shape style="position:absolute;left:0;top:0;width:5863;height:15" coordorigin="0,0" coordsize="5863,15" path="m5862,0l3347,0,3332,0,0,0,0,14,3332,14,3347,14,5862,14,5862,0xe" filled="true" fillcolor="#5fff00" stroked="false">
              <v:path arrowok="t"/>
              <v:fill type="solid"/>
            </v:shape>
          </v:group>
        </w:pict>
      </w:r>
      <w:r>
        <w:rPr>
          <w:rFonts w:ascii="Times New Roman"/>
          <w:sz w:val="2"/>
        </w:rPr>
      </w:r>
    </w:p>
    <w:p>
      <w:pPr>
        <w:tabs>
          <w:tab w:pos="6986" w:val="left" w:leader="none"/>
        </w:tabs>
        <w:spacing w:before="0"/>
        <w:ind w:left="2690" w:right="0" w:firstLine="0"/>
        <w:jc w:val="left"/>
        <w:rPr>
          <w:rFonts w:ascii="Times New Roman"/>
          <w:sz w:val="18"/>
        </w:rPr>
      </w:pPr>
      <w:r>
        <w:rPr>
          <w:rFonts w:ascii="Times New Roman"/>
          <w:sz w:val="18"/>
        </w:rPr>
        <w:t>Embassy</w:t>
      </w:r>
      <w:r>
        <w:rPr>
          <w:rFonts w:ascii="Times New Roman"/>
          <w:spacing w:val="-1"/>
          <w:sz w:val="18"/>
        </w:rPr>
        <w:t> </w:t>
      </w:r>
      <w:r>
        <w:rPr>
          <w:rFonts w:ascii="Times New Roman"/>
          <w:sz w:val="18"/>
        </w:rPr>
        <w:t>Quadron</w:t>
        <w:tab/>
        <w:t>Pune</w:t>
      </w:r>
    </w:p>
    <w:p>
      <w:pPr>
        <w:pStyle w:val="BodyText"/>
        <w:spacing w:line="20" w:lineRule="exact"/>
        <w:ind w:left="2570"/>
        <w:rPr>
          <w:rFonts w:ascii="Times New Roman"/>
          <w:sz w:val="2"/>
        </w:rPr>
      </w:pPr>
      <w:r>
        <w:rPr>
          <w:rFonts w:ascii="Times New Roman"/>
          <w:sz w:val="2"/>
        </w:rPr>
        <w:pict>
          <v:group style="width:293.150pt;height:.75pt;mso-position-horizontal-relative:char;mso-position-vertical-relative:line" coordorigin="0,0" coordsize="5863,15">
            <v:shape style="position:absolute;left:0;top:0;width:5863;height:15" coordorigin="0,0" coordsize="5863,15" path="m5862,0l3347,0,3332,0,0,0,0,14,3332,14,3347,14,5862,14,5862,0xe" filled="true" fillcolor="#5fff00" stroked="false">
              <v:path arrowok="t"/>
              <v:fill type="solid"/>
            </v:shape>
          </v:group>
        </w:pict>
      </w:r>
      <w:r>
        <w:rPr>
          <w:rFonts w:ascii="Times New Roman"/>
          <w:sz w:val="2"/>
        </w:rPr>
      </w:r>
    </w:p>
    <w:p>
      <w:pPr>
        <w:tabs>
          <w:tab w:pos="6986" w:val="left" w:leader="none"/>
        </w:tabs>
        <w:spacing w:before="0"/>
        <w:ind w:left="2690" w:right="0" w:firstLine="0"/>
        <w:jc w:val="left"/>
        <w:rPr>
          <w:rFonts w:ascii="Times New Roman"/>
          <w:sz w:val="18"/>
        </w:rPr>
      </w:pPr>
      <w:r>
        <w:rPr>
          <w:rFonts w:ascii="Times New Roman"/>
          <w:sz w:val="18"/>
        </w:rPr>
        <w:t>Embassy Qubix</w:t>
        <w:tab/>
        <w:t>Pune</w:t>
      </w:r>
    </w:p>
    <w:p>
      <w:pPr>
        <w:pStyle w:val="BodyText"/>
        <w:spacing w:line="20" w:lineRule="exact"/>
        <w:ind w:left="2570"/>
        <w:rPr>
          <w:rFonts w:ascii="Times New Roman"/>
          <w:sz w:val="2"/>
        </w:rPr>
      </w:pPr>
      <w:r>
        <w:rPr>
          <w:rFonts w:ascii="Times New Roman"/>
          <w:sz w:val="2"/>
        </w:rPr>
        <w:pict>
          <v:group style="width:293.150pt;height:.75pt;mso-position-horizontal-relative:char;mso-position-vertical-relative:line" coordorigin="0,0" coordsize="5863,15">
            <v:shape style="position:absolute;left:0;top:0;width:5863;height:15" coordorigin="0,0" coordsize="5863,15" path="m5862,0l3347,0,3332,0,0,0,0,14,3332,14,3347,14,5862,14,5862,0xe" filled="true" fillcolor="#5fff00" stroked="false">
              <v:path arrowok="t"/>
              <v:fill type="solid"/>
            </v:shape>
          </v:group>
        </w:pict>
      </w:r>
      <w:r>
        <w:rPr>
          <w:rFonts w:ascii="Times New Roman"/>
          <w:sz w:val="2"/>
        </w:rPr>
      </w:r>
    </w:p>
    <w:p>
      <w:pPr>
        <w:tabs>
          <w:tab w:pos="6946" w:val="left" w:leader="none"/>
        </w:tabs>
        <w:spacing w:before="0"/>
        <w:ind w:left="2690" w:right="0" w:firstLine="0"/>
        <w:jc w:val="left"/>
        <w:rPr>
          <w:rFonts w:ascii="Times New Roman"/>
          <w:sz w:val="18"/>
        </w:rPr>
      </w:pPr>
      <w:r>
        <w:rPr>
          <w:rFonts w:ascii="Times New Roman"/>
          <w:sz w:val="18"/>
        </w:rPr>
        <w:t>Embassy</w:t>
      </w:r>
      <w:r>
        <w:rPr>
          <w:rFonts w:ascii="Times New Roman"/>
          <w:spacing w:val="-1"/>
          <w:sz w:val="18"/>
        </w:rPr>
        <w:t> </w:t>
      </w:r>
      <w:r>
        <w:rPr>
          <w:rFonts w:ascii="Times New Roman"/>
          <w:sz w:val="18"/>
        </w:rPr>
        <w:t>Oxygen</w:t>
        <w:tab/>
        <w:t>Noida</w:t>
      </w:r>
    </w:p>
    <w:p>
      <w:pPr>
        <w:pStyle w:val="BodyText"/>
        <w:spacing w:line="20" w:lineRule="exact"/>
        <w:ind w:left="2570"/>
        <w:rPr>
          <w:rFonts w:ascii="Times New Roman"/>
          <w:sz w:val="2"/>
        </w:rPr>
      </w:pPr>
      <w:r>
        <w:rPr>
          <w:rFonts w:ascii="Times New Roman"/>
          <w:sz w:val="2"/>
        </w:rPr>
        <w:pict>
          <v:group style="width:293.150pt;height:.75pt;mso-position-horizontal-relative:char;mso-position-vertical-relative:line" coordorigin="0,0" coordsize="5863,15">
            <v:shape style="position:absolute;left:0;top:0;width:5863;height:15" coordorigin="0,0" coordsize="5863,15" path="m5862,0l3347,0,3332,0,0,0,0,14,3332,14,3347,14,5862,14,5862,0xe" filled="true" fillcolor="#5fff00" stroked="false">
              <v:path arrowok="t"/>
              <v:fill type="solid"/>
            </v:shape>
          </v:group>
        </w:pict>
      </w:r>
      <w:r>
        <w:rPr>
          <w:rFonts w:ascii="Times New Roman"/>
          <w:sz w:val="2"/>
        </w:rPr>
      </w:r>
    </w:p>
    <w:p>
      <w:pPr>
        <w:tabs>
          <w:tab w:pos="6946" w:val="left" w:leader="none"/>
        </w:tabs>
        <w:spacing w:before="0"/>
        <w:ind w:left="2690" w:right="0" w:firstLine="0"/>
        <w:jc w:val="left"/>
        <w:rPr>
          <w:rFonts w:ascii="Times New Roman"/>
          <w:sz w:val="18"/>
        </w:rPr>
      </w:pPr>
      <w:r>
        <w:rPr>
          <w:rFonts w:ascii="Times New Roman"/>
          <w:sz w:val="18"/>
        </w:rPr>
        <w:t>Embassy</w:t>
      </w:r>
      <w:r>
        <w:rPr>
          <w:rFonts w:ascii="Times New Roman"/>
          <w:spacing w:val="-1"/>
          <w:sz w:val="18"/>
        </w:rPr>
        <w:t> </w:t>
      </w:r>
      <w:r>
        <w:rPr>
          <w:rFonts w:ascii="Times New Roman"/>
          <w:sz w:val="18"/>
        </w:rPr>
        <w:t>Galaxy</w:t>
        <w:tab/>
        <w:t>Noida</w:t>
      </w:r>
    </w:p>
    <w:p>
      <w:pPr>
        <w:pStyle w:val="BodyText"/>
        <w:spacing w:line="20" w:lineRule="exact"/>
        <w:ind w:left="2570"/>
        <w:rPr>
          <w:rFonts w:ascii="Times New Roman"/>
          <w:sz w:val="2"/>
        </w:rPr>
      </w:pPr>
      <w:r>
        <w:rPr>
          <w:rFonts w:ascii="Times New Roman"/>
          <w:sz w:val="2"/>
        </w:rPr>
        <w:pict>
          <v:group style="width:293.150pt;height:.75pt;mso-position-horizontal-relative:char;mso-position-vertical-relative:line" coordorigin="0,0" coordsize="5863,15">
            <v:shape style="position:absolute;left:0;top:0;width:5863;height:15" coordorigin="0,0" coordsize="5863,15" path="m5862,0l3347,0,3332,0,0,0,0,14,3332,14,3347,14,5862,14,5862,0xe" filled="true" fillcolor="#5fff00" stroked="false">
              <v:path arrowok="t"/>
              <v:fill type="solid"/>
            </v:shape>
          </v:group>
        </w:pict>
      </w:r>
      <w:r>
        <w:rPr>
          <w:rFonts w:ascii="Times New Roman"/>
          <w:sz w:val="2"/>
        </w:rPr>
      </w:r>
    </w:p>
    <w:p>
      <w:pPr>
        <w:tabs>
          <w:tab w:pos="6792" w:val="left" w:leader="none"/>
        </w:tabs>
        <w:spacing w:before="0"/>
        <w:ind w:left="2690" w:right="0" w:firstLine="0"/>
        <w:jc w:val="left"/>
        <w:rPr>
          <w:rFonts w:ascii="Times New Roman"/>
          <w:sz w:val="18"/>
        </w:rPr>
      </w:pPr>
      <w:r>
        <w:rPr>
          <w:rFonts w:ascii="Times New Roman"/>
          <w:sz w:val="18"/>
        </w:rPr>
        <w:t>Embassy GolfLinks</w:t>
        <w:tab/>
        <w:t>Bengaluru</w:t>
      </w:r>
    </w:p>
    <w:p>
      <w:pPr>
        <w:pStyle w:val="BodyText"/>
        <w:spacing w:line="20" w:lineRule="exact"/>
        <w:ind w:left="2570"/>
        <w:rPr>
          <w:rFonts w:ascii="Times New Roman"/>
          <w:sz w:val="2"/>
        </w:rPr>
      </w:pPr>
      <w:r>
        <w:rPr>
          <w:rFonts w:ascii="Times New Roman"/>
          <w:sz w:val="2"/>
        </w:rPr>
        <w:pict>
          <v:group style="width:293.150pt;height:.75pt;mso-position-horizontal-relative:char;mso-position-vertical-relative:line" coordorigin="0,0" coordsize="5863,15">
            <v:shape style="position:absolute;left:0;top:0;width:5863;height:15" coordorigin="0,0" coordsize="5863,15" path="m5862,0l3347,0,3332,0,0,0,0,14,3332,14,3347,14,5862,14,5862,0xe" filled="true" fillcolor="#5fff00" stroked="false">
              <v:path arrowok="t"/>
              <v:fill type="solid"/>
            </v:shape>
          </v:group>
        </w:pict>
      </w:r>
      <w:r>
        <w:rPr>
          <w:rFonts w:ascii="Times New Roman"/>
          <w:sz w:val="2"/>
        </w:rPr>
      </w:r>
    </w:p>
    <w:p>
      <w:pPr>
        <w:tabs>
          <w:tab w:pos="6792" w:val="left" w:leader="none"/>
        </w:tabs>
        <w:spacing w:before="0"/>
        <w:ind w:left="2690" w:right="0" w:firstLine="0"/>
        <w:jc w:val="left"/>
        <w:rPr>
          <w:rFonts w:ascii="Times New Roman"/>
          <w:sz w:val="18"/>
        </w:rPr>
      </w:pPr>
      <w:r>
        <w:rPr>
          <w:rFonts w:ascii="Times New Roman"/>
          <w:sz w:val="18"/>
        </w:rPr>
        <w:t>Embassy One</w:t>
        <w:tab/>
        <w:t>Bengaluru</w:t>
      </w:r>
    </w:p>
    <w:p>
      <w:pPr>
        <w:pStyle w:val="BodyText"/>
        <w:spacing w:line="20" w:lineRule="exact"/>
        <w:ind w:left="2570"/>
        <w:rPr>
          <w:rFonts w:ascii="Times New Roman"/>
          <w:sz w:val="2"/>
        </w:rPr>
      </w:pPr>
      <w:r>
        <w:rPr>
          <w:rFonts w:ascii="Times New Roman"/>
          <w:sz w:val="2"/>
        </w:rPr>
        <w:pict>
          <v:group style="width:293.150pt;height:.75pt;mso-position-horizontal-relative:char;mso-position-vertical-relative:line" coordorigin="0,0" coordsize="5863,15">
            <v:shape style="position:absolute;left:0;top:0;width:5863;height:15" coordorigin="0,0" coordsize="5863,15" path="m5862,0l3347,0,3332,0,0,0,0,14,3332,14,3347,14,5862,14,5862,0xe" filled="true" fillcolor="#5fff00" stroked="false">
              <v:path arrowok="t"/>
              <v:fill type="solid"/>
            </v:shape>
          </v:group>
        </w:pict>
      </w:r>
      <w:r>
        <w:rPr>
          <w:rFonts w:ascii="Times New Roman"/>
          <w:sz w:val="2"/>
        </w:rPr>
      </w:r>
    </w:p>
    <w:p>
      <w:pPr>
        <w:tabs>
          <w:tab w:pos="6194" w:val="left" w:leader="none"/>
          <w:tab w:pos="6792" w:val="left" w:leader="none"/>
        </w:tabs>
        <w:spacing w:line="259" w:lineRule="auto" w:before="0"/>
        <w:ind w:left="2690" w:right="2897" w:firstLine="0"/>
        <w:jc w:val="left"/>
        <w:rPr>
          <w:rFonts w:ascii="Times New Roman"/>
          <w:sz w:val="18"/>
        </w:rPr>
      </w:pPr>
      <w:r>
        <w:rPr/>
        <w:pict>
          <v:shape style="position:absolute;margin-left:159.5pt;margin-top:10.442339pt;width:293.150pt;height:.75pt;mso-position-horizontal-relative:page;mso-position-vertical-relative:paragraph;z-index:-34890240" coordorigin="3190,209" coordsize="5863,15" path="m9052,209l6537,209,6522,209,3190,209,3190,223,6522,223,6537,223,9052,223,9052,209xe" filled="true" fillcolor="#5fff00" stroked="false">
            <v:path arrowok="t"/>
            <v:fill type="solid"/>
            <w10:wrap type="none"/>
          </v:shape>
        </w:pict>
      </w:r>
      <w:r>
        <w:rPr>
          <w:rFonts w:ascii="Times New Roman"/>
          <w:sz w:val="18"/>
        </w:rPr>
        <w:t>Hilton at</w:t>
      </w:r>
      <w:r>
        <w:rPr>
          <w:rFonts w:ascii="Times New Roman"/>
          <w:spacing w:val="-2"/>
          <w:sz w:val="18"/>
        </w:rPr>
        <w:t> </w:t>
      </w:r>
      <w:r>
        <w:rPr>
          <w:rFonts w:ascii="Times New Roman"/>
          <w:sz w:val="18"/>
        </w:rPr>
        <w:t>Embassy GolfLinks</w:t>
        <w:tab/>
        <w:tab/>
        <w:t>Bengaluru Embassy</w:t>
      </w:r>
      <w:r>
        <w:rPr>
          <w:rFonts w:ascii="Times New Roman"/>
          <w:spacing w:val="-1"/>
          <w:sz w:val="18"/>
        </w:rPr>
        <w:t> </w:t>
      </w:r>
      <w:r>
        <w:rPr>
          <w:rFonts w:ascii="Times New Roman"/>
          <w:sz w:val="18"/>
        </w:rPr>
        <w:t>Energy</w:t>
        <w:tab/>
        <w:t>Bellary District,</w:t>
      </w:r>
      <w:r>
        <w:rPr>
          <w:rFonts w:ascii="Times New Roman"/>
          <w:spacing w:val="10"/>
          <w:sz w:val="18"/>
        </w:rPr>
        <w:t> </w:t>
      </w:r>
      <w:r>
        <w:rPr>
          <w:rFonts w:ascii="Times New Roman"/>
          <w:spacing w:val="-3"/>
          <w:sz w:val="18"/>
        </w:rPr>
        <w:t>Karnataka</w:t>
      </w:r>
    </w:p>
    <w:p>
      <w:pPr>
        <w:pStyle w:val="BodyText"/>
        <w:spacing w:line="20" w:lineRule="exact"/>
        <w:ind w:left="2555"/>
        <w:rPr>
          <w:rFonts w:ascii="Times New Roman"/>
          <w:sz w:val="2"/>
        </w:rPr>
      </w:pPr>
      <w:r>
        <w:rPr>
          <w:rFonts w:ascii="Times New Roman"/>
          <w:sz w:val="2"/>
        </w:rPr>
        <w:pict>
          <v:group style="width:293.850pt;height:.75pt;mso-position-horizontal-relative:char;mso-position-vertical-relative:line" coordorigin="0,0" coordsize="5877,15">
            <v:shape style="position:absolute;left:0;top:0;width:5877;height:15" coordorigin="0,0" coordsize="5877,15" path="m5877,0l3347,0,3332,0,0,0,0,14,3332,14,3347,14,5877,14,5877,0xe" filled="true" fillcolor="#5fff00" stroked="false">
              <v:path arrowok="t"/>
              <v:fill type="solid"/>
            </v:shape>
          </v:group>
        </w:pict>
      </w:r>
      <w:r>
        <w:rPr>
          <w:rFonts w:ascii="Times New Roman"/>
          <w:sz w:val="2"/>
        </w:rPr>
      </w:r>
    </w:p>
    <w:p>
      <w:pPr>
        <w:pStyle w:val="BodyText"/>
        <w:spacing w:before="5"/>
        <w:rPr>
          <w:rFonts w:ascii="Times New Roman"/>
          <w:sz w:val="21"/>
        </w:rPr>
      </w:pPr>
    </w:p>
    <w:p>
      <w:pPr>
        <w:pStyle w:val="ListParagraph"/>
        <w:numPr>
          <w:ilvl w:val="1"/>
          <w:numId w:val="1"/>
        </w:numPr>
        <w:tabs>
          <w:tab w:pos="1309" w:val="left" w:leader="none"/>
          <w:tab w:pos="1311" w:val="left" w:leader="none"/>
        </w:tabs>
        <w:spacing w:line="240" w:lineRule="auto" w:before="91" w:after="0"/>
        <w:ind w:left="1310" w:right="0" w:hanging="491"/>
        <w:jc w:val="left"/>
        <w:rPr>
          <w:rFonts w:ascii="Times New Roman"/>
          <w:color w:val="1E6C28"/>
          <w:sz w:val="20"/>
        </w:rPr>
      </w:pPr>
      <w:r>
        <w:rPr>
          <w:rFonts w:ascii="Times New Roman"/>
          <w:color w:val="1E6C28"/>
          <w:sz w:val="20"/>
        </w:rPr>
        <w:t>Purpose</w:t>
      </w:r>
    </w:p>
    <w:p>
      <w:pPr>
        <w:spacing w:before="120"/>
        <w:ind w:left="1310" w:right="852" w:firstLine="0"/>
        <w:jc w:val="both"/>
        <w:rPr>
          <w:rFonts w:ascii="Times New Roman"/>
          <w:sz w:val="20"/>
        </w:rPr>
      </w:pPr>
      <w:r>
        <w:rPr>
          <w:rFonts w:ascii="Times New Roman"/>
          <w:sz w:val="20"/>
        </w:rPr>
        <w:t>The Valuer understands that the valuation is required by the Client for financial and investor reporting purposes to comply with the requirements of Regulation 21 of the SEBI (REIT) Regulations, 2014.</w:t>
      </w:r>
    </w:p>
    <w:p>
      <w:pPr>
        <w:pStyle w:val="BodyText"/>
        <w:spacing w:before="4"/>
        <w:rPr>
          <w:rFonts w:ascii="Times New Roman"/>
          <w:sz w:val="31"/>
        </w:rPr>
      </w:pPr>
    </w:p>
    <w:p>
      <w:pPr>
        <w:pStyle w:val="ListParagraph"/>
        <w:numPr>
          <w:ilvl w:val="1"/>
          <w:numId w:val="1"/>
        </w:numPr>
        <w:tabs>
          <w:tab w:pos="1309" w:val="left" w:leader="none"/>
          <w:tab w:pos="1311" w:val="left" w:leader="none"/>
        </w:tabs>
        <w:spacing w:line="240" w:lineRule="auto" w:before="0" w:after="0"/>
        <w:ind w:left="1310" w:right="0" w:hanging="491"/>
        <w:jc w:val="left"/>
        <w:rPr>
          <w:rFonts w:ascii="Times New Roman"/>
          <w:color w:val="1E6C28"/>
          <w:sz w:val="20"/>
        </w:rPr>
      </w:pPr>
      <w:r>
        <w:rPr>
          <w:rFonts w:ascii="Times New Roman"/>
          <w:color w:val="1E6C28"/>
          <w:sz w:val="20"/>
        </w:rPr>
        <w:t>Reliant</w:t>
      </w:r>
      <w:r>
        <w:rPr>
          <w:rFonts w:ascii="Times New Roman"/>
          <w:color w:val="1E6C28"/>
          <w:spacing w:val="-2"/>
          <w:sz w:val="20"/>
        </w:rPr>
        <w:t> </w:t>
      </w:r>
      <w:r>
        <w:rPr>
          <w:rFonts w:ascii="Times New Roman"/>
          <w:color w:val="1E6C28"/>
          <w:sz w:val="20"/>
        </w:rPr>
        <w:t>Party</w:t>
      </w:r>
    </w:p>
    <w:p>
      <w:pPr>
        <w:spacing w:before="118"/>
        <w:ind w:left="1310" w:right="853" w:firstLine="0"/>
        <w:jc w:val="both"/>
        <w:rPr>
          <w:rFonts w:ascii="Times New Roman" w:hAnsi="Times New Roman"/>
          <w:sz w:val="20"/>
        </w:rPr>
      </w:pPr>
      <w:r>
        <w:rPr>
          <w:rFonts w:ascii="Times New Roman" w:hAnsi="Times New Roman"/>
          <w:sz w:val="20"/>
        </w:rPr>
        <w:t>Reliant parties to this report shall mean Embassy Office Parks Management Services Private Limited (EOPMSPL), the Embassy Office Parks REIT (“Embassy REIT”) and their Unit Holders and Axis Trustee Services Limited (the Trustee for the Embassy REIT) for the purpose (of the valuation) as highlighted in this report. The auditors would be extended reliance by the ‘Consultants’ but would extend no liability to the auditors.</w:t>
      </w:r>
    </w:p>
    <w:p>
      <w:pPr>
        <w:pStyle w:val="BodyText"/>
        <w:spacing w:before="2"/>
        <w:rPr>
          <w:rFonts w:ascii="Times New Roman"/>
          <w:sz w:val="21"/>
        </w:rPr>
      </w:pPr>
    </w:p>
    <w:p>
      <w:pPr>
        <w:spacing w:before="0"/>
        <w:ind w:left="1310" w:right="855" w:firstLine="0"/>
        <w:jc w:val="both"/>
        <w:rPr>
          <w:rFonts w:ascii="Times New Roman"/>
          <w:sz w:val="20"/>
        </w:rPr>
      </w:pPr>
      <w:r>
        <w:rPr>
          <w:rFonts w:ascii="Times New Roman"/>
          <w:sz w:val="20"/>
        </w:rPr>
        <w:t>The valuation will be prepared strictly and only for the use of the Reliant Party and </w:t>
      </w:r>
      <w:r>
        <w:rPr>
          <w:rFonts w:ascii="Times New Roman"/>
          <w:spacing w:val="3"/>
          <w:sz w:val="20"/>
        </w:rPr>
        <w:t>for </w:t>
      </w:r>
      <w:r>
        <w:rPr>
          <w:rFonts w:ascii="Times New Roman"/>
          <w:sz w:val="20"/>
        </w:rPr>
        <w:t>the Purpose specifically stated. The instructing party would make all reliant parties aware of the terms and conditions of this agreement under which this exercise is being undertaken and take due acknowledgements to the same effect.</w:t>
      </w:r>
    </w:p>
    <w:p>
      <w:pPr>
        <w:pStyle w:val="BodyText"/>
        <w:rPr>
          <w:rFonts w:ascii="Times New Roman"/>
        </w:rPr>
      </w:pPr>
    </w:p>
    <w:p>
      <w:pPr>
        <w:pStyle w:val="ListParagraph"/>
        <w:numPr>
          <w:ilvl w:val="1"/>
          <w:numId w:val="1"/>
        </w:numPr>
        <w:tabs>
          <w:tab w:pos="1309" w:val="left" w:leader="none"/>
          <w:tab w:pos="1311" w:val="left" w:leader="none"/>
        </w:tabs>
        <w:spacing w:line="240" w:lineRule="auto" w:before="159" w:after="0"/>
        <w:ind w:left="1310" w:right="0" w:hanging="491"/>
        <w:jc w:val="left"/>
        <w:rPr>
          <w:rFonts w:ascii="Times New Roman"/>
          <w:color w:val="1E6C28"/>
          <w:sz w:val="20"/>
        </w:rPr>
      </w:pPr>
      <w:r>
        <w:rPr>
          <w:rFonts w:ascii="Times New Roman"/>
          <w:color w:val="1E6C28"/>
          <w:sz w:val="20"/>
        </w:rPr>
        <w:t>Limitation of</w:t>
      </w:r>
      <w:r>
        <w:rPr>
          <w:rFonts w:ascii="Times New Roman"/>
          <w:color w:val="1E6C28"/>
          <w:spacing w:val="2"/>
          <w:sz w:val="20"/>
        </w:rPr>
        <w:t> </w:t>
      </w:r>
      <w:r>
        <w:rPr>
          <w:rFonts w:ascii="Times New Roman"/>
          <w:color w:val="1E6C28"/>
          <w:sz w:val="20"/>
        </w:rPr>
        <w:t>Liability</w:t>
      </w:r>
    </w:p>
    <w:p>
      <w:pPr>
        <w:pStyle w:val="ListParagraph"/>
        <w:numPr>
          <w:ilvl w:val="2"/>
          <w:numId w:val="1"/>
        </w:numPr>
        <w:tabs>
          <w:tab w:pos="2044" w:val="left" w:leader="none"/>
          <w:tab w:pos="2045" w:val="left" w:leader="none"/>
        </w:tabs>
        <w:spacing w:line="240" w:lineRule="auto" w:before="120" w:after="0"/>
        <w:ind w:left="2044" w:right="855" w:hanging="368"/>
        <w:jc w:val="left"/>
        <w:rPr>
          <w:rFonts w:ascii="Times New Roman" w:hAnsi="Times New Roman"/>
          <w:sz w:val="20"/>
        </w:rPr>
      </w:pPr>
      <w:r>
        <w:rPr>
          <w:rFonts w:ascii="Times New Roman" w:hAnsi="Times New Roman"/>
          <w:sz w:val="20"/>
        </w:rPr>
        <w:t>The ‘Consultants’ provide the Services exercising due care and skill, but the ‘Consultants’ do not accept</w:t>
      </w:r>
      <w:r>
        <w:rPr>
          <w:rFonts w:ascii="Times New Roman" w:hAnsi="Times New Roman"/>
          <w:spacing w:val="17"/>
          <w:sz w:val="20"/>
        </w:rPr>
        <w:t> </w:t>
      </w:r>
      <w:r>
        <w:rPr>
          <w:rFonts w:ascii="Times New Roman" w:hAnsi="Times New Roman"/>
          <w:sz w:val="20"/>
        </w:rPr>
        <w:t>any</w:t>
      </w:r>
      <w:r>
        <w:rPr>
          <w:rFonts w:ascii="Times New Roman" w:hAnsi="Times New Roman"/>
          <w:spacing w:val="16"/>
          <w:sz w:val="20"/>
        </w:rPr>
        <w:t> </w:t>
      </w:r>
      <w:r>
        <w:rPr>
          <w:rFonts w:ascii="Times New Roman" w:hAnsi="Times New Roman"/>
          <w:sz w:val="20"/>
        </w:rPr>
        <w:t>legal</w:t>
      </w:r>
      <w:r>
        <w:rPr>
          <w:rFonts w:ascii="Times New Roman" w:hAnsi="Times New Roman"/>
          <w:spacing w:val="17"/>
          <w:sz w:val="20"/>
        </w:rPr>
        <w:t> </w:t>
      </w:r>
      <w:r>
        <w:rPr>
          <w:rFonts w:ascii="Times New Roman" w:hAnsi="Times New Roman"/>
          <w:sz w:val="20"/>
        </w:rPr>
        <w:t>liability</w:t>
      </w:r>
      <w:r>
        <w:rPr>
          <w:rFonts w:ascii="Times New Roman" w:hAnsi="Times New Roman"/>
          <w:spacing w:val="16"/>
          <w:sz w:val="20"/>
        </w:rPr>
        <w:t> </w:t>
      </w:r>
      <w:r>
        <w:rPr>
          <w:rFonts w:ascii="Times New Roman" w:hAnsi="Times New Roman"/>
          <w:sz w:val="20"/>
        </w:rPr>
        <w:t>arising</w:t>
      </w:r>
      <w:r>
        <w:rPr>
          <w:rFonts w:ascii="Times New Roman" w:hAnsi="Times New Roman"/>
          <w:spacing w:val="19"/>
          <w:sz w:val="20"/>
        </w:rPr>
        <w:t> </w:t>
      </w:r>
      <w:r>
        <w:rPr>
          <w:rFonts w:ascii="Times New Roman" w:hAnsi="Times New Roman"/>
          <w:sz w:val="20"/>
        </w:rPr>
        <w:t>from</w:t>
      </w:r>
      <w:r>
        <w:rPr>
          <w:rFonts w:ascii="Times New Roman" w:hAnsi="Times New Roman"/>
          <w:spacing w:val="15"/>
          <w:sz w:val="20"/>
        </w:rPr>
        <w:t> </w:t>
      </w:r>
      <w:r>
        <w:rPr>
          <w:rFonts w:ascii="Times New Roman" w:hAnsi="Times New Roman"/>
          <w:sz w:val="20"/>
        </w:rPr>
        <w:t>negligence</w:t>
      </w:r>
      <w:r>
        <w:rPr>
          <w:rFonts w:ascii="Times New Roman" w:hAnsi="Times New Roman"/>
          <w:spacing w:val="17"/>
          <w:sz w:val="20"/>
        </w:rPr>
        <w:t> </w:t>
      </w:r>
      <w:r>
        <w:rPr>
          <w:rFonts w:ascii="Times New Roman" w:hAnsi="Times New Roman"/>
          <w:sz w:val="20"/>
        </w:rPr>
        <w:t>or</w:t>
      </w:r>
      <w:r>
        <w:rPr>
          <w:rFonts w:ascii="Times New Roman" w:hAnsi="Times New Roman"/>
          <w:spacing w:val="17"/>
          <w:sz w:val="20"/>
        </w:rPr>
        <w:t> </w:t>
      </w:r>
      <w:r>
        <w:rPr>
          <w:rFonts w:ascii="Times New Roman" w:hAnsi="Times New Roman"/>
          <w:sz w:val="20"/>
        </w:rPr>
        <w:t>otherwise</w:t>
      </w:r>
      <w:r>
        <w:rPr>
          <w:rFonts w:ascii="Times New Roman" w:hAnsi="Times New Roman"/>
          <w:spacing w:val="17"/>
          <w:sz w:val="20"/>
        </w:rPr>
        <w:t> </w:t>
      </w:r>
      <w:r>
        <w:rPr>
          <w:rFonts w:ascii="Times New Roman" w:hAnsi="Times New Roman"/>
          <w:sz w:val="20"/>
        </w:rPr>
        <w:t>to</w:t>
      </w:r>
      <w:r>
        <w:rPr>
          <w:rFonts w:ascii="Times New Roman" w:hAnsi="Times New Roman"/>
          <w:spacing w:val="19"/>
          <w:sz w:val="20"/>
        </w:rPr>
        <w:t> </w:t>
      </w:r>
      <w:r>
        <w:rPr>
          <w:rFonts w:ascii="Times New Roman" w:hAnsi="Times New Roman"/>
          <w:sz w:val="20"/>
        </w:rPr>
        <w:t>any</w:t>
      </w:r>
      <w:r>
        <w:rPr>
          <w:rFonts w:ascii="Times New Roman" w:hAnsi="Times New Roman"/>
          <w:spacing w:val="16"/>
          <w:sz w:val="20"/>
        </w:rPr>
        <w:t> </w:t>
      </w:r>
      <w:r>
        <w:rPr>
          <w:rFonts w:ascii="Times New Roman" w:hAnsi="Times New Roman"/>
          <w:sz w:val="20"/>
        </w:rPr>
        <w:t>person</w:t>
      </w:r>
      <w:r>
        <w:rPr>
          <w:rFonts w:ascii="Times New Roman" w:hAnsi="Times New Roman"/>
          <w:spacing w:val="16"/>
          <w:sz w:val="20"/>
        </w:rPr>
        <w:t> </w:t>
      </w:r>
      <w:r>
        <w:rPr>
          <w:rFonts w:ascii="Times New Roman" w:hAnsi="Times New Roman"/>
          <w:sz w:val="20"/>
        </w:rPr>
        <w:t>in</w:t>
      </w:r>
      <w:r>
        <w:rPr>
          <w:rFonts w:ascii="Times New Roman" w:hAnsi="Times New Roman"/>
          <w:spacing w:val="15"/>
          <w:sz w:val="20"/>
        </w:rPr>
        <w:t> </w:t>
      </w:r>
      <w:r>
        <w:rPr>
          <w:rFonts w:ascii="Times New Roman" w:hAnsi="Times New Roman"/>
          <w:sz w:val="20"/>
        </w:rPr>
        <w:t>relation</w:t>
      </w:r>
      <w:r>
        <w:rPr>
          <w:rFonts w:ascii="Times New Roman" w:hAnsi="Times New Roman"/>
          <w:spacing w:val="16"/>
          <w:sz w:val="20"/>
        </w:rPr>
        <w:t> </w:t>
      </w:r>
      <w:r>
        <w:rPr>
          <w:rFonts w:ascii="Times New Roman" w:hAnsi="Times New Roman"/>
          <w:sz w:val="20"/>
        </w:rPr>
        <w:t>to</w:t>
      </w:r>
      <w:r>
        <w:rPr>
          <w:rFonts w:ascii="Times New Roman" w:hAnsi="Times New Roman"/>
          <w:spacing w:val="19"/>
          <w:sz w:val="20"/>
        </w:rPr>
        <w:t> </w:t>
      </w:r>
      <w:r>
        <w:rPr>
          <w:rFonts w:ascii="Times New Roman" w:hAnsi="Times New Roman"/>
          <w:sz w:val="20"/>
        </w:rPr>
        <w:t>possible</w:t>
      </w:r>
    </w:p>
    <w:p>
      <w:pPr>
        <w:spacing w:after="0" w:line="240" w:lineRule="auto"/>
        <w:jc w:val="left"/>
        <w:rPr>
          <w:rFonts w:ascii="Times New Roman" w:hAnsi="Times New Roman"/>
          <w:sz w:val="20"/>
        </w:rPr>
        <w:sectPr>
          <w:headerReference w:type="default" r:id="rId12"/>
          <w:footerReference w:type="default" r:id="rId13"/>
          <w:pgSz w:w="12240" w:h="15840"/>
          <w:pgMar w:header="728" w:footer="1174" w:top="1180" w:bottom="1360" w:left="620" w:right="580"/>
          <w:pgNumType w:start="2"/>
        </w:sectPr>
      </w:pPr>
    </w:p>
    <w:p>
      <w:pPr>
        <w:pStyle w:val="BodyText"/>
        <w:rPr>
          <w:rFonts w:ascii="Times New Roman"/>
          <w:sz w:val="18"/>
        </w:rPr>
      </w:pPr>
    </w:p>
    <w:p>
      <w:pPr>
        <w:spacing w:before="91"/>
        <w:ind w:left="2044" w:right="859" w:firstLine="0"/>
        <w:jc w:val="both"/>
        <w:rPr>
          <w:rFonts w:ascii="Times New Roman" w:hAnsi="Times New Roman"/>
          <w:sz w:val="20"/>
        </w:rPr>
      </w:pPr>
      <w:r>
        <w:rPr>
          <w:rFonts w:ascii="Times New Roman" w:hAnsi="Times New Roman"/>
          <w:sz w:val="20"/>
        </w:rPr>
        <w:t>environmental site contamination or any failure to comply with environmental legislation which may affect the value of the properties. Further, the ‘Consultants’ shall not accept liability for any errors, misstatements, omissions in the Report caused due to false, misleading or incomplete information or documentation provided to the ‘Consultants’ by the Instructing Party.</w:t>
      </w:r>
    </w:p>
    <w:p>
      <w:pPr>
        <w:pStyle w:val="BodyText"/>
        <w:spacing w:before="9"/>
        <w:rPr>
          <w:rFonts w:ascii="Times New Roman"/>
          <w:sz w:val="20"/>
        </w:rPr>
      </w:pPr>
    </w:p>
    <w:p>
      <w:pPr>
        <w:pStyle w:val="ListParagraph"/>
        <w:numPr>
          <w:ilvl w:val="2"/>
          <w:numId w:val="1"/>
        </w:numPr>
        <w:tabs>
          <w:tab w:pos="2045" w:val="left" w:leader="none"/>
        </w:tabs>
        <w:spacing w:line="240" w:lineRule="auto" w:before="0" w:after="0"/>
        <w:ind w:left="2044" w:right="864" w:hanging="368"/>
        <w:jc w:val="both"/>
        <w:rPr>
          <w:rFonts w:ascii="Times New Roman" w:hAnsi="Times New Roman"/>
          <w:sz w:val="20"/>
        </w:rPr>
      </w:pPr>
      <w:r>
        <w:rPr>
          <w:rFonts w:ascii="Times New Roman" w:hAnsi="Times New Roman"/>
          <w:sz w:val="20"/>
        </w:rPr>
        <w:t>The Consultants’ maximum aggregate liability for claims arising out of or in connection with </w:t>
      </w:r>
      <w:r>
        <w:rPr>
          <w:rFonts w:ascii="Times New Roman" w:hAnsi="Times New Roman"/>
          <w:spacing w:val="-66"/>
          <w:sz w:val="20"/>
        </w:rPr>
        <w:t>the</w:t>
      </w:r>
      <w:r>
        <w:rPr>
          <w:rFonts w:ascii="Times New Roman" w:hAnsi="Times New Roman"/>
          <w:spacing w:val="267"/>
          <w:sz w:val="20"/>
        </w:rPr>
        <w:t> </w:t>
      </w:r>
      <w:r>
        <w:rPr>
          <w:rFonts w:ascii="Times New Roman" w:hAnsi="Times New Roman"/>
          <w:sz w:val="20"/>
        </w:rPr>
        <w:t>Valuation Report, under this contract shall not exceed Indian Rupees 30</w:t>
      </w:r>
      <w:r>
        <w:rPr>
          <w:rFonts w:ascii="Times New Roman" w:hAnsi="Times New Roman"/>
          <w:spacing w:val="-5"/>
          <w:sz w:val="20"/>
        </w:rPr>
        <w:t> </w:t>
      </w:r>
      <w:r>
        <w:rPr>
          <w:rFonts w:ascii="Times New Roman" w:hAnsi="Times New Roman"/>
          <w:sz w:val="20"/>
        </w:rPr>
        <w:t>mn.</w:t>
      </w:r>
    </w:p>
    <w:p>
      <w:pPr>
        <w:pStyle w:val="BodyText"/>
        <w:rPr>
          <w:rFonts w:ascii="Times New Roman"/>
          <w:sz w:val="21"/>
        </w:rPr>
      </w:pPr>
    </w:p>
    <w:p>
      <w:pPr>
        <w:pStyle w:val="ListParagraph"/>
        <w:numPr>
          <w:ilvl w:val="2"/>
          <w:numId w:val="1"/>
        </w:numPr>
        <w:tabs>
          <w:tab w:pos="2045" w:val="left" w:leader="none"/>
        </w:tabs>
        <w:spacing w:line="240" w:lineRule="auto" w:before="0" w:after="0"/>
        <w:ind w:left="2044" w:right="853" w:hanging="368"/>
        <w:jc w:val="both"/>
        <w:rPr>
          <w:rFonts w:ascii="Times New Roman" w:hAnsi="Times New Roman"/>
          <w:sz w:val="20"/>
        </w:rPr>
      </w:pPr>
      <w:r>
        <w:rPr>
          <w:rFonts w:ascii="Times New Roman" w:hAnsi="Times New Roman"/>
          <w:sz w:val="20"/>
        </w:rPr>
        <w:t>In the event that any of the Sponsor, Manager, Trustee, Embassy REIT in connection with the </w:t>
      </w:r>
      <w:r>
        <w:rPr>
          <w:rFonts w:ascii="Times New Roman" w:hAnsi="Times New Roman"/>
          <w:spacing w:val="-34"/>
          <w:sz w:val="20"/>
        </w:rPr>
        <w:t>report        </w:t>
      </w:r>
      <w:r>
        <w:rPr>
          <w:rFonts w:ascii="Times New Roman" w:hAnsi="Times New Roman"/>
          <w:sz w:val="20"/>
        </w:rPr>
        <w:t>be subject to any claim (“Claim Parties”) in connection with, arising out of or attributable to the Valuation Report, the Claim Parties will be entitled to require the ‘Consultants’ to be a necessary party/ respondent to such claim and the ‘Consultants’ shall not object to their inclusion as a necessary party/ respondent. If the ‘Consultants’ do not co-operate to be named as a necessary party/ respondent to such claims or co-operate in providing adequate/ successful defense in defending such claims, the Claim Parties jointly or severally will be entitled to initiate a separate claim against the ‘Consultants’ in this regard and the Consultants’ liability shall extend to the value of the claims, losses, penalties, costs and liabilities incurred by the Claim</w:t>
      </w:r>
      <w:r>
        <w:rPr>
          <w:rFonts w:ascii="Times New Roman" w:hAnsi="Times New Roman"/>
          <w:spacing w:val="-1"/>
          <w:sz w:val="20"/>
        </w:rPr>
        <w:t> </w:t>
      </w:r>
      <w:r>
        <w:rPr>
          <w:rFonts w:ascii="Times New Roman" w:hAnsi="Times New Roman"/>
          <w:sz w:val="20"/>
        </w:rPr>
        <w:t>Parties.</w:t>
      </w:r>
    </w:p>
    <w:p>
      <w:pPr>
        <w:pStyle w:val="BodyText"/>
        <w:spacing w:before="9"/>
        <w:rPr>
          <w:rFonts w:ascii="Times New Roman"/>
          <w:sz w:val="20"/>
        </w:rPr>
      </w:pPr>
    </w:p>
    <w:p>
      <w:pPr>
        <w:pStyle w:val="ListParagraph"/>
        <w:numPr>
          <w:ilvl w:val="2"/>
          <w:numId w:val="1"/>
        </w:numPr>
        <w:tabs>
          <w:tab w:pos="2045" w:val="left" w:leader="none"/>
        </w:tabs>
        <w:spacing w:line="240" w:lineRule="auto" w:before="0" w:after="0"/>
        <w:ind w:left="2044" w:right="864" w:hanging="368"/>
        <w:jc w:val="both"/>
        <w:rPr>
          <w:rFonts w:ascii="Times New Roman" w:hAnsi="Times New Roman"/>
          <w:sz w:val="20"/>
        </w:rPr>
      </w:pPr>
      <w:r>
        <w:rPr>
          <w:rFonts w:ascii="Times New Roman" w:hAnsi="Times New Roman"/>
          <w:sz w:val="20"/>
        </w:rPr>
        <w:t>The Consultants will neither be responsible for any legal due diligence, title search, zoning </w:t>
      </w:r>
      <w:r>
        <w:rPr>
          <w:rFonts w:ascii="Times New Roman" w:hAnsi="Times New Roman"/>
          <w:spacing w:val="-36"/>
          <w:sz w:val="20"/>
        </w:rPr>
        <w:t>check, </w:t>
      </w:r>
      <w:r>
        <w:rPr>
          <w:rFonts w:ascii="Times New Roman" w:hAnsi="Times New Roman"/>
          <w:sz w:val="20"/>
        </w:rPr>
        <w:t>development permissions and physical measurements nor undertake any verification/ validation of the zoning regulations/ development controls</w:t>
      </w:r>
      <w:r>
        <w:rPr>
          <w:rFonts w:ascii="Times New Roman" w:hAnsi="Times New Roman"/>
          <w:spacing w:val="-3"/>
          <w:sz w:val="20"/>
        </w:rPr>
        <w:t> </w:t>
      </w:r>
      <w:r>
        <w:rPr>
          <w:rFonts w:ascii="Times New Roman" w:hAnsi="Times New Roman"/>
          <w:sz w:val="20"/>
        </w:rPr>
        <w:t>etc.</w:t>
      </w:r>
    </w:p>
    <w:p>
      <w:pPr>
        <w:pStyle w:val="BodyText"/>
        <w:spacing w:before="5"/>
        <w:rPr>
          <w:rFonts w:ascii="Times New Roman"/>
          <w:sz w:val="31"/>
        </w:rPr>
      </w:pPr>
    </w:p>
    <w:p>
      <w:pPr>
        <w:pStyle w:val="ListParagraph"/>
        <w:numPr>
          <w:ilvl w:val="1"/>
          <w:numId w:val="1"/>
        </w:numPr>
        <w:tabs>
          <w:tab w:pos="1309" w:val="left" w:leader="none"/>
          <w:tab w:pos="1311" w:val="left" w:leader="none"/>
        </w:tabs>
        <w:spacing w:line="240" w:lineRule="auto" w:before="0" w:after="0"/>
        <w:ind w:left="1310" w:right="0" w:hanging="491"/>
        <w:jc w:val="left"/>
        <w:rPr>
          <w:rFonts w:ascii="Times New Roman"/>
          <w:color w:val="1E6C28"/>
          <w:sz w:val="20"/>
        </w:rPr>
      </w:pPr>
      <w:r>
        <w:rPr>
          <w:rFonts w:ascii="Times New Roman"/>
          <w:color w:val="1E6C28"/>
          <w:sz w:val="20"/>
        </w:rPr>
        <w:t>Capability of Valuer and Value Assessment Service Provider</w:t>
      </w:r>
    </w:p>
    <w:p>
      <w:pPr>
        <w:spacing w:before="121"/>
        <w:ind w:left="1310" w:right="0" w:firstLine="0"/>
        <w:jc w:val="both"/>
        <w:rPr>
          <w:rFonts w:ascii="Times New Roman"/>
          <w:b/>
          <w:sz w:val="20"/>
        </w:rPr>
      </w:pPr>
      <w:r>
        <w:rPr>
          <w:rFonts w:ascii="Times New Roman"/>
          <w:b/>
          <w:sz w:val="20"/>
          <w:u w:val="single"/>
        </w:rPr>
        <w:t>Valuer under SEBI (REIT) Regulations, 2014: Mr. Manish Gupta, Partner, iVAS Partners</w:t>
      </w:r>
    </w:p>
    <w:p>
      <w:pPr>
        <w:spacing w:before="118"/>
        <w:ind w:left="1310" w:right="853" w:firstLine="0"/>
        <w:jc w:val="both"/>
        <w:rPr>
          <w:rFonts w:ascii="Times New Roman"/>
          <w:sz w:val="20"/>
        </w:rPr>
      </w:pPr>
      <w:r>
        <w:rPr>
          <w:rFonts w:ascii="Times New Roman"/>
          <w:sz w:val="20"/>
        </w:rPr>
        <w:t>Manish Gupta, Partner at iVAS Partners, is a Registered Architect with Council of Architecture (COA) and a member of the Royal Institute of Charted Surveyors (MRICS) and Institution of Valuers (IOV), with over 12 years of experience in the real estate industry. Manish is a seasoned professional with experience in providing real estate valuation services to a wide spectrum of clients including financial institutions, private equity funds, developers, NBFCs, corporate houses, banks, resolution professionals, land owners,</w:t>
      </w:r>
      <w:r>
        <w:rPr>
          <w:rFonts w:ascii="Times New Roman"/>
          <w:spacing w:val="-6"/>
          <w:sz w:val="20"/>
        </w:rPr>
        <w:t> </w:t>
      </w:r>
      <w:r>
        <w:rPr>
          <w:rFonts w:ascii="Times New Roman"/>
          <w:sz w:val="20"/>
        </w:rPr>
        <w:t>etc.</w:t>
      </w:r>
    </w:p>
    <w:p>
      <w:pPr>
        <w:spacing w:before="122"/>
        <w:ind w:left="1310" w:right="856" w:firstLine="0"/>
        <w:jc w:val="both"/>
        <w:rPr>
          <w:rFonts w:ascii="Times New Roman"/>
          <w:sz w:val="20"/>
        </w:rPr>
      </w:pPr>
      <w:r>
        <w:rPr>
          <w:rFonts w:ascii="Times New Roman"/>
          <w:sz w:val="20"/>
        </w:rPr>
        <w:t>He has worked on variety of valuation, consulting and technical due-diligence assignments for various purposes including investment related due diligence, mortgage/collateral appraisals, financial reporting, listing purposes, IBC led requirements, etc. across a range of asset classes such as residential projects, integrated township developments, hospitality assets, commercial (office and retail) projects, industrial developments, warehousing parks, educational projects, healthcare developments, etc. for both national as well as international clients.</w:t>
      </w:r>
    </w:p>
    <w:p>
      <w:pPr>
        <w:spacing w:before="118"/>
        <w:ind w:left="1310" w:right="0" w:firstLine="0"/>
        <w:jc w:val="both"/>
        <w:rPr>
          <w:rFonts w:ascii="Times New Roman"/>
          <w:b/>
          <w:sz w:val="20"/>
        </w:rPr>
      </w:pPr>
      <w:r>
        <w:rPr>
          <w:rFonts w:ascii="Times New Roman"/>
          <w:b/>
          <w:sz w:val="20"/>
          <w:u w:val="single"/>
        </w:rPr>
        <w:t>Value Assessment Service Provider: CBRE South Asia Pvt. Ltd.</w:t>
      </w:r>
    </w:p>
    <w:p>
      <w:pPr>
        <w:spacing w:before="120"/>
        <w:ind w:left="1310" w:right="859" w:firstLine="0"/>
        <w:jc w:val="both"/>
        <w:rPr>
          <w:rFonts w:ascii="Times New Roman"/>
          <w:sz w:val="20"/>
        </w:rPr>
      </w:pPr>
      <w:r>
        <w:rPr>
          <w:rFonts w:ascii="Times New Roman"/>
          <w:sz w:val="20"/>
        </w:rPr>
        <w:t>CBRE Advisory Services India is an integral part of CBRE Global Valuation &amp; Advisory Services team. The Global VAS team comprises of over 1,500 professionals across approximately 280 offices globally and India Advisory Services team comprises of more than 280 professionals.</w:t>
      </w:r>
    </w:p>
    <w:p>
      <w:pPr>
        <w:spacing w:before="122"/>
        <w:ind w:left="1310" w:right="855" w:firstLine="0"/>
        <w:jc w:val="both"/>
        <w:rPr>
          <w:rFonts w:ascii="Times New Roman"/>
          <w:sz w:val="20"/>
        </w:rPr>
      </w:pPr>
      <w:r>
        <w:rPr>
          <w:rFonts w:ascii="Times New Roman"/>
          <w:sz w:val="20"/>
        </w:rPr>
        <w:t>CBRE Advisory Services India have completed over 80,000 valuation and advisory assignments across varied asset classes spread across 20 states and 300+ cities. CBRE provides quality valuation, risk advisory and consulting services across a range of property types including residential, hospitality, retail, commercial, institutional, Special Economic Zone (SEZ), industrial, etc. CBRE derives global best practices while maintaining the complexities of Indian real estate markets and are ideally positioned to help solve any valuation related real estate challenge, ranging from single asset valuations to valuation of multi-market and multi-property portfolios.</w:t>
      </w:r>
    </w:p>
    <w:p>
      <w:pPr>
        <w:spacing w:before="121"/>
        <w:ind w:left="1310" w:right="855" w:firstLine="0"/>
        <w:jc w:val="both"/>
        <w:rPr>
          <w:rFonts w:ascii="Times New Roman"/>
          <w:sz w:val="20"/>
        </w:rPr>
      </w:pPr>
      <w:r>
        <w:rPr>
          <w:rFonts w:ascii="Times New Roman"/>
          <w:sz w:val="20"/>
        </w:rPr>
        <w:t>Our dedicated and experienced professionals provide quality services from 9 offices across India (Delhi, Mumbai, Bengaluru, Chennai, Kolkata, Gurgaon, Hyderabad, Pune and Ahmedabad). Our professionals have a varied qualification base such as Royal Institute of Chartered Surveyors (RICS) or </w:t>
      </w:r>
      <w:r>
        <w:rPr>
          <w:rFonts w:ascii="Times New Roman"/>
          <w:spacing w:val="2"/>
          <w:sz w:val="20"/>
        </w:rPr>
        <w:t>IOV, </w:t>
      </w:r>
      <w:r>
        <w:rPr>
          <w:rFonts w:ascii="Times New Roman"/>
          <w:sz w:val="20"/>
        </w:rPr>
        <w:t>IIV certified valuation professional, master planner, architect, MBA, CA, CFA, etc. and this entire multi-faceted experience helps us in achieving our commitment to provide the highest level of professional expertise to our</w:t>
      </w:r>
      <w:r>
        <w:rPr>
          <w:rFonts w:ascii="Times New Roman"/>
          <w:spacing w:val="-20"/>
          <w:sz w:val="20"/>
        </w:rPr>
        <w:t> </w:t>
      </w:r>
      <w:r>
        <w:rPr>
          <w:rFonts w:ascii="Times New Roman"/>
          <w:sz w:val="20"/>
        </w:rPr>
        <w:t>clients.</w:t>
      </w:r>
    </w:p>
    <w:p>
      <w:pPr>
        <w:spacing w:after="0"/>
        <w:jc w:val="both"/>
        <w:rPr>
          <w:rFonts w:ascii="Times New Roman"/>
          <w:sz w:val="20"/>
        </w:rPr>
        <w:sectPr>
          <w:pgSz w:w="12240" w:h="15840"/>
          <w:pgMar w:header="728" w:footer="1174" w:top="1180" w:bottom="1460" w:left="620" w:right="580"/>
        </w:sectPr>
      </w:pPr>
    </w:p>
    <w:p>
      <w:pPr>
        <w:pStyle w:val="BodyText"/>
        <w:rPr>
          <w:rFonts w:ascii="Times New Roman"/>
          <w:sz w:val="18"/>
        </w:rPr>
      </w:pPr>
    </w:p>
    <w:p>
      <w:pPr>
        <w:spacing w:before="91"/>
        <w:ind w:left="1310" w:right="835" w:firstLine="0"/>
        <w:jc w:val="left"/>
        <w:rPr>
          <w:rFonts w:ascii="Times New Roman"/>
          <w:sz w:val="20"/>
        </w:rPr>
      </w:pPr>
      <w:r>
        <w:rPr>
          <w:rFonts w:ascii="Times New Roman"/>
          <w:sz w:val="20"/>
        </w:rPr>
        <w:t>CBRE Advisory Services India team has substantial experience with several institutional clients including financial institutions, real estate funds, private equity funds, developers, corporates, banks, NBFCs, etc.</w:t>
      </w:r>
    </w:p>
    <w:p>
      <w:pPr>
        <w:spacing w:after="0"/>
        <w:jc w:val="left"/>
        <w:rPr>
          <w:rFonts w:ascii="Times New Roman"/>
          <w:sz w:val="20"/>
        </w:rPr>
        <w:sectPr>
          <w:pgSz w:w="12240" w:h="15840"/>
          <w:pgMar w:header="728" w:footer="1174" w:top="1180" w:bottom="1460" w:left="620" w:right="580"/>
        </w:sectPr>
      </w:pPr>
    </w:p>
    <w:p>
      <w:pPr>
        <w:pStyle w:val="BodyText"/>
        <w:rPr>
          <w:rFonts w:ascii="Times New Roman"/>
          <w:sz w:val="18"/>
        </w:rPr>
      </w:pPr>
    </w:p>
    <w:p>
      <w:pPr>
        <w:pStyle w:val="ListParagraph"/>
        <w:numPr>
          <w:ilvl w:val="1"/>
          <w:numId w:val="1"/>
        </w:numPr>
        <w:tabs>
          <w:tab w:pos="1540" w:val="left" w:leader="none"/>
          <w:tab w:pos="1541" w:val="left" w:leader="none"/>
        </w:tabs>
        <w:spacing w:line="240" w:lineRule="auto" w:before="91" w:after="0"/>
        <w:ind w:left="1540" w:right="0" w:hanging="721"/>
        <w:jc w:val="left"/>
        <w:rPr>
          <w:rFonts w:ascii="Times New Roman"/>
          <w:color w:val="1E6C28"/>
          <w:sz w:val="20"/>
        </w:rPr>
      </w:pPr>
      <w:r>
        <w:rPr>
          <w:rFonts w:ascii="Times New Roman"/>
          <w:color w:val="1E6C28"/>
          <w:sz w:val="20"/>
        </w:rPr>
        <w:t>Disclosures</w:t>
      </w:r>
    </w:p>
    <w:p>
      <w:pPr>
        <w:spacing w:before="178"/>
        <w:ind w:left="1310" w:right="0" w:firstLine="0"/>
        <w:jc w:val="left"/>
        <w:rPr>
          <w:rFonts w:ascii="Times New Roman"/>
          <w:sz w:val="20"/>
        </w:rPr>
      </w:pPr>
      <w:r>
        <w:rPr>
          <w:rFonts w:ascii="Times New Roman"/>
          <w:sz w:val="20"/>
        </w:rPr>
        <w:t>The Consultants hereby certify that:</w:t>
      </w:r>
    </w:p>
    <w:p>
      <w:pPr>
        <w:pStyle w:val="ListParagraph"/>
        <w:numPr>
          <w:ilvl w:val="2"/>
          <w:numId w:val="1"/>
        </w:numPr>
        <w:tabs>
          <w:tab w:pos="1922" w:val="left" w:leader="none"/>
        </w:tabs>
        <w:spacing w:line="240" w:lineRule="auto" w:before="121" w:after="0"/>
        <w:ind w:left="1922" w:right="856" w:hanging="368"/>
        <w:jc w:val="both"/>
        <w:rPr>
          <w:rFonts w:ascii="Times New Roman" w:hAnsi="Times New Roman"/>
          <w:sz w:val="20"/>
        </w:rPr>
      </w:pPr>
      <w:r>
        <w:rPr>
          <w:rFonts w:ascii="Times New Roman" w:hAnsi="Times New Roman"/>
          <w:sz w:val="20"/>
        </w:rPr>
        <w:t>iVAS Partners (Valuer Registration Number: IBBI/RV-E/02/2020/112), represented by Mr. </w:t>
      </w:r>
      <w:r>
        <w:rPr>
          <w:rFonts w:ascii="Times New Roman" w:hAnsi="Times New Roman"/>
          <w:spacing w:val="-36"/>
          <w:sz w:val="20"/>
        </w:rPr>
        <w:t>Manish </w:t>
      </w:r>
      <w:r>
        <w:rPr>
          <w:rFonts w:ascii="Times New Roman" w:hAnsi="Times New Roman"/>
          <w:sz w:val="20"/>
        </w:rPr>
        <w:t>Gupta (hereinafter referred to as the Valuer), is eligible to be appointed as a valuer in terms of Regulation 2(1)(zz) of the Securities and Exchange Board of India (Real Estate Investment Trusts) Regulations,</w:t>
      </w:r>
      <w:r>
        <w:rPr>
          <w:rFonts w:ascii="Times New Roman" w:hAnsi="Times New Roman"/>
          <w:spacing w:val="-1"/>
          <w:sz w:val="20"/>
        </w:rPr>
        <w:t> </w:t>
      </w:r>
      <w:r>
        <w:rPr>
          <w:rFonts w:ascii="Times New Roman" w:hAnsi="Times New Roman"/>
          <w:sz w:val="20"/>
        </w:rPr>
        <w:t>2014</w:t>
      </w:r>
    </w:p>
    <w:p>
      <w:pPr>
        <w:pStyle w:val="ListParagraph"/>
        <w:numPr>
          <w:ilvl w:val="2"/>
          <w:numId w:val="1"/>
        </w:numPr>
        <w:tabs>
          <w:tab w:pos="1922" w:val="left" w:leader="none"/>
        </w:tabs>
        <w:spacing w:line="240" w:lineRule="auto" w:before="119" w:after="0"/>
        <w:ind w:left="1922" w:right="854" w:hanging="368"/>
        <w:jc w:val="both"/>
        <w:rPr>
          <w:rFonts w:ascii="Times New Roman" w:hAnsi="Times New Roman"/>
          <w:sz w:val="20"/>
        </w:rPr>
      </w:pPr>
      <w:r>
        <w:rPr>
          <w:rFonts w:ascii="Times New Roman" w:hAnsi="Times New Roman"/>
          <w:sz w:val="20"/>
        </w:rPr>
        <w:t>Neither CBRE nor iVAS Partners (represented by Mr. Manish Gupta - Partner, iVAS Partners) are </w:t>
      </w:r>
      <w:r>
        <w:rPr>
          <w:rFonts w:ascii="Times New Roman" w:hAnsi="Times New Roman"/>
          <w:spacing w:val="-72"/>
          <w:sz w:val="20"/>
        </w:rPr>
        <w:t>an</w:t>
      </w:r>
      <w:r>
        <w:rPr>
          <w:rFonts w:ascii="Times New Roman" w:hAnsi="Times New Roman"/>
          <w:spacing w:val="19"/>
          <w:sz w:val="20"/>
        </w:rPr>
        <w:t> </w:t>
      </w:r>
      <w:r>
        <w:rPr>
          <w:rFonts w:ascii="Times New Roman" w:hAnsi="Times New Roman"/>
          <w:sz w:val="20"/>
        </w:rPr>
        <w:t>associate of the instructing party</w:t>
      </w:r>
    </w:p>
    <w:p>
      <w:pPr>
        <w:pStyle w:val="ListParagraph"/>
        <w:numPr>
          <w:ilvl w:val="2"/>
          <w:numId w:val="1"/>
        </w:numPr>
        <w:tabs>
          <w:tab w:pos="1922" w:val="left" w:leader="none"/>
        </w:tabs>
        <w:spacing w:line="240" w:lineRule="auto" w:before="121" w:after="0"/>
        <w:ind w:left="1922" w:right="860" w:hanging="368"/>
        <w:jc w:val="both"/>
        <w:rPr>
          <w:rFonts w:ascii="Times New Roman" w:hAnsi="Times New Roman"/>
          <w:sz w:val="20"/>
        </w:rPr>
      </w:pPr>
      <w:r>
        <w:rPr>
          <w:rFonts w:ascii="Times New Roman" w:hAnsi="Times New Roman"/>
          <w:sz w:val="20"/>
        </w:rPr>
        <w:t>Mr. Manish Gupta, Partner, iVAS Partners (the Valuer) has a minimum of five years of experience </w:t>
      </w:r>
      <w:r>
        <w:rPr>
          <w:rFonts w:ascii="Times New Roman" w:hAnsi="Times New Roman"/>
          <w:spacing w:val="-63"/>
          <w:sz w:val="20"/>
        </w:rPr>
        <w:t>in</w:t>
      </w:r>
      <w:r>
        <w:rPr>
          <w:rFonts w:ascii="Times New Roman" w:hAnsi="Times New Roman"/>
          <w:spacing w:val="20"/>
          <w:sz w:val="20"/>
        </w:rPr>
        <w:t> </w:t>
      </w:r>
      <w:r>
        <w:rPr>
          <w:rFonts w:ascii="Times New Roman" w:hAnsi="Times New Roman"/>
          <w:sz w:val="20"/>
        </w:rPr>
        <w:t>the valuation of real</w:t>
      </w:r>
      <w:r>
        <w:rPr>
          <w:rFonts w:ascii="Times New Roman" w:hAnsi="Times New Roman"/>
          <w:spacing w:val="-3"/>
          <w:sz w:val="20"/>
        </w:rPr>
        <w:t> </w:t>
      </w:r>
      <w:r>
        <w:rPr>
          <w:rFonts w:ascii="Times New Roman" w:hAnsi="Times New Roman"/>
          <w:sz w:val="20"/>
        </w:rPr>
        <w:t>estate</w:t>
      </w:r>
    </w:p>
    <w:p>
      <w:pPr>
        <w:pStyle w:val="ListParagraph"/>
        <w:numPr>
          <w:ilvl w:val="2"/>
          <w:numId w:val="1"/>
        </w:numPr>
        <w:tabs>
          <w:tab w:pos="1922" w:val="left" w:leader="none"/>
        </w:tabs>
        <w:spacing w:line="240" w:lineRule="auto" w:before="118" w:after="0"/>
        <w:ind w:left="1922" w:right="864" w:hanging="368"/>
        <w:jc w:val="both"/>
        <w:rPr>
          <w:rFonts w:ascii="Times New Roman" w:hAnsi="Times New Roman"/>
          <w:sz w:val="20"/>
        </w:rPr>
      </w:pPr>
      <w:r>
        <w:rPr>
          <w:rFonts w:ascii="Times New Roman" w:hAnsi="Times New Roman"/>
          <w:sz w:val="20"/>
        </w:rPr>
        <w:t>The Valuer has not been involved with the acquisition or disposal within the last twelve months of </w:t>
      </w:r>
      <w:r>
        <w:rPr>
          <w:rFonts w:ascii="Times New Roman" w:hAnsi="Times New Roman"/>
          <w:spacing w:val="-71"/>
          <w:sz w:val="20"/>
        </w:rPr>
        <w:t>any</w:t>
      </w:r>
      <w:r>
        <w:rPr>
          <w:rFonts w:ascii="Times New Roman" w:hAnsi="Times New Roman"/>
          <w:spacing w:val="-2"/>
          <w:sz w:val="20"/>
        </w:rPr>
        <w:t> </w:t>
      </w:r>
      <w:r>
        <w:rPr>
          <w:rFonts w:ascii="Times New Roman" w:hAnsi="Times New Roman"/>
          <w:sz w:val="20"/>
        </w:rPr>
        <w:t>of the properties valued under this summary valuation report in the last twelve</w:t>
      </w:r>
      <w:r>
        <w:rPr>
          <w:rFonts w:ascii="Times New Roman" w:hAnsi="Times New Roman"/>
          <w:spacing w:val="-7"/>
          <w:sz w:val="20"/>
        </w:rPr>
        <w:t> </w:t>
      </w:r>
      <w:r>
        <w:rPr>
          <w:rFonts w:ascii="Times New Roman" w:hAnsi="Times New Roman"/>
          <w:sz w:val="20"/>
        </w:rPr>
        <w:t>months</w:t>
      </w:r>
    </w:p>
    <w:p>
      <w:pPr>
        <w:pStyle w:val="ListParagraph"/>
        <w:numPr>
          <w:ilvl w:val="2"/>
          <w:numId w:val="1"/>
        </w:numPr>
        <w:tabs>
          <w:tab w:pos="1921" w:val="left" w:leader="none"/>
          <w:tab w:pos="1922" w:val="left" w:leader="none"/>
        </w:tabs>
        <w:spacing w:line="240" w:lineRule="auto" w:before="122" w:after="0"/>
        <w:ind w:left="1922" w:right="0" w:hanging="368"/>
        <w:jc w:val="left"/>
        <w:rPr>
          <w:rFonts w:ascii="Times New Roman" w:hAnsi="Times New Roman"/>
          <w:sz w:val="20"/>
        </w:rPr>
      </w:pPr>
      <w:r>
        <w:rPr>
          <w:rFonts w:ascii="Times New Roman" w:hAnsi="Times New Roman"/>
          <w:sz w:val="20"/>
        </w:rPr>
        <w:t>The Valuer has adequate and robust internal controls to ensure the integrity of the valuation</w:t>
      </w:r>
      <w:r>
        <w:rPr>
          <w:rFonts w:ascii="Times New Roman" w:hAnsi="Times New Roman"/>
          <w:spacing w:val="-24"/>
          <w:sz w:val="20"/>
        </w:rPr>
        <w:t> </w:t>
      </w:r>
      <w:r>
        <w:rPr>
          <w:rFonts w:ascii="Times New Roman" w:hAnsi="Times New Roman"/>
          <w:sz w:val="20"/>
        </w:rPr>
        <w:t>reports</w:t>
      </w:r>
    </w:p>
    <w:p>
      <w:pPr>
        <w:pStyle w:val="ListParagraph"/>
        <w:numPr>
          <w:ilvl w:val="2"/>
          <w:numId w:val="1"/>
        </w:numPr>
        <w:tabs>
          <w:tab w:pos="1922" w:val="left" w:leader="none"/>
        </w:tabs>
        <w:spacing w:line="240" w:lineRule="auto" w:before="120" w:after="0"/>
        <w:ind w:left="1922" w:right="863" w:hanging="368"/>
        <w:jc w:val="both"/>
        <w:rPr>
          <w:rFonts w:ascii="Times New Roman" w:hAnsi="Times New Roman"/>
          <w:sz w:val="20"/>
        </w:rPr>
      </w:pPr>
      <w:r>
        <w:rPr>
          <w:rFonts w:ascii="Times New Roman" w:hAnsi="Times New Roman"/>
          <w:sz w:val="20"/>
        </w:rPr>
        <w:t>The Valuer has sufficient key personnel with adequate  experience  and  qualification  to  </w:t>
      </w:r>
      <w:r>
        <w:rPr>
          <w:rFonts w:ascii="Times New Roman" w:hAnsi="Times New Roman"/>
          <w:spacing w:val="-30"/>
          <w:sz w:val="20"/>
        </w:rPr>
        <w:t>perform  </w:t>
      </w:r>
      <w:r>
        <w:rPr>
          <w:rFonts w:ascii="Times New Roman" w:hAnsi="Times New Roman"/>
          <w:sz w:val="20"/>
        </w:rPr>
        <w:t>services related to property valuation at all</w:t>
      </w:r>
      <w:r>
        <w:rPr>
          <w:rFonts w:ascii="Times New Roman" w:hAnsi="Times New Roman"/>
          <w:spacing w:val="-1"/>
          <w:sz w:val="20"/>
        </w:rPr>
        <w:t> </w:t>
      </w:r>
      <w:r>
        <w:rPr>
          <w:rFonts w:ascii="Times New Roman" w:hAnsi="Times New Roman"/>
          <w:sz w:val="20"/>
        </w:rPr>
        <w:t>times</w:t>
      </w:r>
    </w:p>
    <w:p>
      <w:pPr>
        <w:pStyle w:val="ListParagraph"/>
        <w:numPr>
          <w:ilvl w:val="2"/>
          <w:numId w:val="1"/>
        </w:numPr>
        <w:tabs>
          <w:tab w:pos="1922" w:val="left" w:leader="none"/>
        </w:tabs>
        <w:spacing w:line="240" w:lineRule="auto" w:before="121" w:after="0"/>
        <w:ind w:left="1922" w:right="856" w:hanging="368"/>
        <w:jc w:val="both"/>
        <w:rPr>
          <w:rFonts w:ascii="Times New Roman" w:hAnsi="Times New Roman"/>
          <w:sz w:val="20"/>
        </w:rPr>
      </w:pPr>
      <w:r>
        <w:rPr>
          <w:rFonts w:ascii="Times New Roman" w:hAnsi="Times New Roman"/>
          <w:sz w:val="20"/>
        </w:rPr>
        <w:t>The Valuer has sufficient financial resources to enable them to conduct their business effectively </w:t>
      </w:r>
      <w:r>
        <w:rPr>
          <w:rFonts w:ascii="Times New Roman" w:hAnsi="Times New Roman"/>
          <w:spacing w:val="-69"/>
          <w:sz w:val="20"/>
        </w:rPr>
        <w:t>and</w:t>
      </w:r>
      <w:r>
        <w:rPr>
          <w:rFonts w:ascii="Times New Roman" w:hAnsi="Times New Roman"/>
          <w:spacing w:val="111"/>
          <w:sz w:val="20"/>
        </w:rPr>
        <w:t> </w:t>
      </w:r>
      <w:r>
        <w:rPr>
          <w:rFonts w:ascii="Times New Roman" w:hAnsi="Times New Roman"/>
          <w:sz w:val="20"/>
        </w:rPr>
        <w:t>meet their</w:t>
      </w:r>
      <w:r>
        <w:rPr>
          <w:rFonts w:ascii="Times New Roman" w:hAnsi="Times New Roman"/>
          <w:spacing w:val="1"/>
          <w:sz w:val="20"/>
        </w:rPr>
        <w:t> </w:t>
      </w:r>
      <w:r>
        <w:rPr>
          <w:rFonts w:ascii="Times New Roman" w:hAnsi="Times New Roman"/>
          <w:sz w:val="20"/>
        </w:rPr>
        <w:t>liabilities</w:t>
      </w:r>
    </w:p>
    <w:p>
      <w:pPr>
        <w:pStyle w:val="ListParagraph"/>
        <w:numPr>
          <w:ilvl w:val="2"/>
          <w:numId w:val="1"/>
        </w:numPr>
        <w:tabs>
          <w:tab w:pos="1921" w:val="left" w:leader="none"/>
          <w:tab w:pos="1922" w:val="left" w:leader="none"/>
        </w:tabs>
        <w:spacing w:line="240" w:lineRule="auto" w:before="118" w:after="0"/>
        <w:ind w:left="1922" w:right="0" w:hanging="368"/>
        <w:jc w:val="left"/>
        <w:rPr>
          <w:rFonts w:ascii="Times New Roman" w:hAnsi="Times New Roman"/>
          <w:sz w:val="20"/>
        </w:rPr>
      </w:pPr>
      <w:r>
        <w:rPr>
          <w:rFonts w:ascii="Times New Roman" w:hAnsi="Times New Roman"/>
          <w:sz w:val="20"/>
        </w:rPr>
        <w:t>The Valuer has acquainted itself with all laws or regulations relevant to such</w:t>
      </w:r>
      <w:r>
        <w:rPr>
          <w:rFonts w:ascii="Times New Roman" w:hAnsi="Times New Roman"/>
          <w:spacing w:val="-3"/>
          <w:sz w:val="20"/>
        </w:rPr>
        <w:t> </w:t>
      </w:r>
      <w:r>
        <w:rPr>
          <w:rFonts w:ascii="Times New Roman" w:hAnsi="Times New Roman"/>
          <w:sz w:val="20"/>
        </w:rPr>
        <w:t>valuation</w:t>
      </w:r>
    </w:p>
    <w:p>
      <w:pPr>
        <w:pStyle w:val="ListParagraph"/>
        <w:numPr>
          <w:ilvl w:val="2"/>
          <w:numId w:val="1"/>
        </w:numPr>
        <w:tabs>
          <w:tab w:pos="1922" w:val="left" w:leader="none"/>
        </w:tabs>
        <w:spacing w:line="240" w:lineRule="auto" w:before="121" w:after="0"/>
        <w:ind w:left="1922" w:right="867" w:hanging="368"/>
        <w:jc w:val="both"/>
        <w:rPr>
          <w:rFonts w:ascii="Times New Roman" w:hAnsi="Times New Roman"/>
          <w:sz w:val="20"/>
        </w:rPr>
      </w:pPr>
      <w:r>
        <w:rPr>
          <w:rFonts w:ascii="Times New Roman" w:hAnsi="Times New Roman"/>
          <w:sz w:val="20"/>
        </w:rPr>
        <w:t>The valuation of assets undertaken is impartial, true and fair and in accordance with the Securities </w:t>
      </w:r>
      <w:r>
        <w:rPr>
          <w:rFonts w:ascii="Times New Roman" w:hAnsi="Times New Roman"/>
          <w:spacing w:val="-70"/>
          <w:sz w:val="20"/>
        </w:rPr>
        <w:t>and</w:t>
      </w:r>
      <w:r>
        <w:rPr>
          <w:rFonts w:ascii="Times New Roman" w:hAnsi="Times New Roman"/>
          <w:spacing w:val="8"/>
          <w:sz w:val="20"/>
        </w:rPr>
        <w:t> </w:t>
      </w:r>
      <w:r>
        <w:rPr>
          <w:rFonts w:ascii="Times New Roman" w:hAnsi="Times New Roman"/>
          <w:sz w:val="20"/>
        </w:rPr>
        <w:t>Exchange Board of India (Real Estate Investment Trusts) Regulations,</w:t>
      </w:r>
      <w:r>
        <w:rPr>
          <w:rFonts w:ascii="Times New Roman" w:hAnsi="Times New Roman"/>
          <w:spacing w:val="-6"/>
          <w:sz w:val="20"/>
        </w:rPr>
        <w:t> </w:t>
      </w:r>
      <w:r>
        <w:rPr>
          <w:rFonts w:ascii="Times New Roman" w:hAnsi="Times New Roman"/>
          <w:sz w:val="20"/>
        </w:rPr>
        <w:t>2014</w:t>
      </w:r>
    </w:p>
    <w:p>
      <w:pPr>
        <w:pStyle w:val="ListParagraph"/>
        <w:numPr>
          <w:ilvl w:val="2"/>
          <w:numId w:val="1"/>
        </w:numPr>
        <w:tabs>
          <w:tab w:pos="1922" w:val="left" w:leader="none"/>
        </w:tabs>
        <w:spacing w:line="240" w:lineRule="auto" w:before="121" w:after="0"/>
        <w:ind w:left="1922" w:right="856" w:hanging="368"/>
        <w:jc w:val="both"/>
        <w:rPr>
          <w:rFonts w:ascii="Times New Roman" w:hAnsi="Times New Roman"/>
          <w:sz w:val="20"/>
        </w:rPr>
      </w:pPr>
      <w:r>
        <w:rPr>
          <w:rFonts w:ascii="Times New Roman" w:hAnsi="Times New Roman"/>
          <w:sz w:val="20"/>
        </w:rPr>
        <w:t>The Valuer and any of its employees/ consultants involved in valuation of the REIT assets are </w:t>
      </w:r>
      <w:r>
        <w:rPr>
          <w:rFonts w:ascii="Times New Roman" w:hAnsi="Times New Roman"/>
          <w:spacing w:val="-64"/>
          <w:sz w:val="20"/>
        </w:rPr>
        <w:t>not</w:t>
      </w:r>
      <w:r>
        <w:rPr>
          <w:rFonts w:ascii="Times New Roman" w:hAnsi="Times New Roman"/>
          <w:spacing w:val="273"/>
          <w:sz w:val="20"/>
        </w:rPr>
        <w:t> </w:t>
      </w:r>
      <w:r>
        <w:rPr>
          <w:rFonts w:ascii="Times New Roman" w:hAnsi="Times New Roman"/>
          <w:sz w:val="20"/>
        </w:rPr>
        <w:t>invested in units of the REIT or in the assets being valued till the time such person is designated as valuer of such REIT and not less than 6 months after ceasing to be valuer of the</w:t>
      </w:r>
      <w:r>
        <w:rPr>
          <w:rFonts w:ascii="Times New Roman" w:hAnsi="Times New Roman"/>
          <w:spacing w:val="-10"/>
          <w:sz w:val="20"/>
        </w:rPr>
        <w:t> </w:t>
      </w:r>
      <w:r>
        <w:rPr>
          <w:rFonts w:ascii="Times New Roman" w:hAnsi="Times New Roman"/>
          <w:sz w:val="20"/>
        </w:rPr>
        <w:t>REIT</w:t>
      </w:r>
    </w:p>
    <w:p>
      <w:pPr>
        <w:pStyle w:val="ListParagraph"/>
        <w:numPr>
          <w:ilvl w:val="2"/>
          <w:numId w:val="1"/>
        </w:numPr>
        <w:tabs>
          <w:tab w:pos="1922" w:val="left" w:leader="none"/>
        </w:tabs>
        <w:spacing w:line="240" w:lineRule="auto" w:before="119" w:after="0"/>
        <w:ind w:left="1922" w:right="867" w:hanging="368"/>
        <w:jc w:val="both"/>
        <w:rPr>
          <w:rFonts w:ascii="Times New Roman" w:hAnsi="Times New Roman"/>
          <w:sz w:val="20"/>
        </w:rPr>
      </w:pPr>
      <w:r>
        <w:rPr>
          <w:rFonts w:ascii="Times New Roman" w:hAnsi="Times New Roman"/>
          <w:sz w:val="20"/>
        </w:rPr>
        <w:t>The Valuer has conducted the valuation of the REIT assets with transparency and fairness and </w:t>
      </w:r>
      <w:r>
        <w:rPr>
          <w:rFonts w:ascii="Times New Roman" w:hAnsi="Times New Roman"/>
          <w:spacing w:val="-42"/>
          <w:sz w:val="20"/>
        </w:rPr>
        <w:t>shall </w:t>
      </w:r>
      <w:r>
        <w:rPr>
          <w:rFonts w:ascii="Times New Roman" w:hAnsi="Times New Roman"/>
          <w:sz w:val="20"/>
        </w:rPr>
        <w:t>render, at all times, high standards of service, exercise due diligence, ensure proper care and exercise professional</w:t>
      </w:r>
      <w:r>
        <w:rPr>
          <w:rFonts w:ascii="Times New Roman" w:hAnsi="Times New Roman"/>
          <w:spacing w:val="-1"/>
          <w:sz w:val="20"/>
        </w:rPr>
        <w:t> </w:t>
      </w:r>
      <w:r>
        <w:rPr>
          <w:rFonts w:ascii="Times New Roman" w:hAnsi="Times New Roman"/>
          <w:sz w:val="20"/>
        </w:rPr>
        <w:t>judgement</w:t>
      </w:r>
    </w:p>
    <w:p>
      <w:pPr>
        <w:pStyle w:val="ListParagraph"/>
        <w:numPr>
          <w:ilvl w:val="2"/>
          <w:numId w:val="1"/>
        </w:numPr>
        <w:tabs>
          <w:tab w:pos="1921" w:val="left" w:leader="none"/>
          <w:tab w:pos="1922" w:val="left" w:leader="none"/>
        </w:tabs>
        <w:spacing w:line="240" w:lineRule="auto" w:before="121" w:after="0"/>
        <w:ind w:left="1922" w:right="0" w:hanging="368"/>
        <w:jc w:val="left"/>
        <w:rPr>
          <w:rFonts w:ascii="Times New Roman" w:hAnsi="Times New Roman"/>
          <w:sz w:val="20"/>
        </w:rPr>
      </w:pPr>
      <w:r>
        <w:rPr>
          <w:rFonts w:ascii="Times New Roman" w:hAnsi="Times New Roman"/>
          <w:sz w:val="20"/>
        </w:rPr>
        <w:t>The Valuer has acted with independence, objectivity and impartiality in performing the</w:t>
      </w:r>
      <w:r>
        <w:rPr>
          <w:rFonts w:ascii="Times New Roman" w:hAnsi="Times New Roman"/>
          <w:spacing w:val="-3"/>
          <w:sz w:val="20"/>
        </w:rPr>
        <w:t> </w:t>
      </w:r>
      <w:r>
        <w:rPr>
          <w:rFonts w:ascii="Times New Roman" w:hAnsi="Times New Roman"/>
          <w:sz w:val="20"/>
        </w:rPr>
        <w:t>valuation</w:t>
      </w:r>
    </w:p>
    <w:p>
      <w:pPr>
        <w:pStyle w:val="ListParagraph"/>
        <w:numPr>
          <w:ilvl w:val="2"/>
          <w:numId w:val="1"/>
        </w:numPr>
        <w:tabs>
          <w:tab w:pos="1922" w:val="left" w:leader="none"/>
        </w:tabs>
        <w:spacing w:line="240" w:lineRule="auto" w:before="118" w:after="0"/>
        <w:ind w:left="1922" w:right="859" w:hanging="368"/>
        <w:jc w:val="both"/>
        <w:rPr>
          <w:rFonts w:ascii="Times New Roman" w:hAnsi="Times New Roman"/>
          <w:sz w:val="20"/>
        </w:rPr>
      </w:pPr>
      <w:r>
        <w:rPr>
          <w:rFonts w:ascii="Times New Roman" w:hAnsi="Times New Roman"/>
          <w:sz w:val="20"/>
        </w:rPr>
        <w:t>The Valuer has discharged its duties towards the Embassy REIT in an efficient and competent </w:t>
      </w:r>
      <w:r>
        <w:rPr>
          <w:rFonts w:ascii="Times New Roman" w:hAnsi="Times New Roman"/>
          <w:spacing w:val="-30"/>
          <w:sz w:val="20"/>
        </w:rPr>
        <w:t>manner, </w:t>
      </w:r>
      <w:r>
        <w:rPr>
          <w:rFonts w:ascii="Times New Roman" w:hAnsi="Times New Roman"/>
          <w:sz w:val="20"/>
        </w:rPr>
        <w:t>utilizing its knowledge, skills and experience in best possible way to complete the said</w:t>
      </w:r>
      <w:r>
        <w:rPr>
          <w:rFonts w:ascii="Times New Roman" w:hAnsi="Times New Roman"/>
          <w:spacing w:val="-10"/>
          <w:sz w:val="20"/>
        </w:rPr>
        <w:t> </w:t>
      </w:r>
      <w:r>
        <w:rPr>
          <w:rFonts w:ascii="Times New Roman" w:hAnsi="Times New Roman"/>
          <w:sz w:val="20"/>
        </w:rPr>
        <w:t>assignment</w:t>
      </w:r>
    </w:p>
    <w:p>
      <w:pPr>
        <w:pStyle w:val="ListParagraph"/>
        <w:numPr>
          <w:ilvl w:val="2"/>
          <w:numId w:val="1"/>
        </w:numPr>
        <w:tabs>
          <w:tab w:pos="1922" w:val="left" w:leader="none"/>
        </w:tabs>
        <w:spacing w:line="240" w:lineRule="auto" w:before="121" w:after="0"/>
        <w:ind w:left="1922" w:right="867" w:hanging="368"/>
        <w:jc w:val="both"/>
        <w:rPr>
          <w:rFonts w:ascii="Times New Roman" w:hAnsi="Times New Roman"/>
          <w:sz w:val="20"/>
        </w:rPr>
      </w:pPr>
      <w:r>
        <w:rPr>
          <w:rFonts w:ascii="Times New Roman" w:hAnsi="Times New Roman"/>
          <w:sz w:val="20"/>
        </w:rPr>
        <w:t>The Valuer shall not accept remuneration, in any form, for performing a valuation of the REIT </w:t>
      </w:r>
      <w:r>
        <w:rPr>
          <w:rFonts w:ascii="Times New Roman" w:hAnsi="Times New Roman"/>
          <w:spacing w:val="-36"/>
          <w:sz w:val="20"/>
        </w:rPr>
        <w:t>assets</w:t>
      </w:r>
      <w:r>
        <w:rPr>
          <w:rFonts w:ascii="Times New Roman" w:hAnsi="Times New Roman"/>
          <w:spacing w:val="-22"/>
          <w:sz w:val="20"/>
        </w:rPr>
        <w:t> </w:t>
      </w:r>
      <w:r>
        <w:rPr>
          <w:rFonts w:ascii="Times New Roman" w:hAnsi="Times New Roman"/>
          <w:sz w:val="20"/>
        </w:rPr>
        <w:t>from any person other than the Embassy REIT or its authorised</w:t>
      </w:r>
      <w:r>
        <w:rPr>
          <w:rFonts w:ascii="Times New Roman" w:hAnsi="Times New Roman"/>
          <w:spacing w:val="2"/>
          <w:sz w:val="20"/>
        </w:rPr>
        <w:t> </w:t>
      </w:r>
      <w:r>
        <w:rPr>
          <w:rFonts w:ascii="Times New Roman" w:hAnsi="Times New Roman"/>
          <w:sz w:val="20"/>
        </w:rPr>
        <w:t>representatives.</w:t>
      </w:r>
    </w:p>
    <w:p>
      <w:pPr>
        <w:pStyle w:val="ListParagraph"/>
        <w:numPr>
          <w:ilvl w:val="2"/>
          <w:numId w:val="1"/>
        </w:numPr>
        <w:tabs>
          <w:tab w:pos="1922" w:val="left" w:leader="none"/>
        </w:tabs>
        <w:spacing w:line="240" w:lineRule="auto" w:before="121" w:after="0"/>
        <w:ind w:left="1922" w:right="857" w:hanging="368"/>
        <w:jc w:val="both"/>
        <w:rPr>
          <w:rFonts w:ascii="Times New Roman" w:hAnsi="Times New Roman"/>
          <w:sz w:val="20"/>
        </w:rPr>
      </w:pPr>
      <w:r>
        <w:rPr>
          <w:rFonts w:ascii="Times New Roman" w:hAnsi="Times New Roman"/>
          <w:sz w:val="20"/>
        </w:rPr>
        <w:t>The Valuer shall before accepting any assignment from any related party to the Embassy REIT, </w:t>
      </w:r>
      <w:r>
        <w:rPr>
          <w:rFonts w:ascii="Times New Roman" w:hAnsi="Times New Roman"/>
          <w:spacing w:val="-41"/>
          <w:sz w:val="20"/>
        </w:rPr>
        <w:t>shall </w:t>
      </w:r>
      <w:r>
        <w:rPr>
          <w:rFonts w:ascii="Times New Roman" w:hAnsi="Times New Roman"/>
          <w:sz w:val="20"/>
        </w:rPr>
        <w:t>disclose to the Embassy REIT, any direct or indirect consideration which the valuer may have in respect of such</w:t>
      </w:r>
      <w:r>
        <w:rPr>
          <w:rFonts w:ascii="Times New Roman" w:hAnsi="Times New Roman"/>
          <w:spacing w:val="-1"/>
          <w:sz w:val="20"/>
        </w:rPr>
        <w:t> </w:t>
      </w:r>
      <w:r>
        <w:rPr>
          <w:rFonts w:ascii="Times New Roman" w:hAnsi="Times New Roman"/>
          <w:sz w:val="20"/>
        </w:rPr>
        <w:t>assignment</w:t>
      </w:r>
    </w:p>
    <w:p>
      <w:pPr>
        <w:pStyle w:val="ListParagraph"/>
        <w:numPr>
          <w:ilvl w:val="2"/>
          <w:numId w:val="1"/>
        </w:numPr>
        <w:tabs>
          <w:tab w:pos="1922" w:val="left" w:leader="none"/>
        </w:tabs>
        <w:spacing w:line="240" w:lineRule="auto" w:before="119" w:after="0"/>
        <w:ind w:left="1922" w:right="853" w:hanging="368"/>
        <w:jc w:val="both"/>
        <w:rPr>
          <w:rFonts w:ascii="Times New Roman" w:hAnsi="Times New Roman"/>
          <w:sz w:val="20"/>
        </w:rPr>
      </w:pPr>
      <w:r>
        <w:rPr>
          <w:rFonts w:ascii="Times New Roman" w:hAnsi="Times New Roman"/>
          <w:sz w:val="20"/>
        </w:rPr>
        <w:t>The Valuer shall disclose to the trustee of the Embassy REIT, any pending business </w:t>
      </w:r>
      <w:r>
        <w:rPr>
          <w:rFonts w:ascii="Times New Roman" w:hAnsi="Times New Roman"/>
          <w:spacing w:val="-16"/>
          <w:sz w:val="20"/>
        </w:rPr>
        <w:t>transactions, </w:t>
      </w:r>
      <w:r>
        <w:rPr>
          <w:rFonts w:ascii="Times New Roman" w:hAnsi="Times New Roman"/>
          <w:sz w:val="20"/>
        </w:rPr>
        <w:t>contracts under negotiation and other arrangements with the Instructing Party or any other party whom the Embassy REIT is contracting with and any other factors which may interfere with the Valuer’s ability to give an independent and professional valuation of the</w:t>
      </w:r>
      <w:r>
        <w:rPr>
          <w:rFonts w:ascii="Times New Roman" w:hAnsi="Times New Roman"/>
          <w:spacing w:val="-2"/>
          <w:sz w:val="20"/>
        </w:rPr>
        <w:t> </w:t>
      </w:r>
      <w:r>
        <w:rPr>
          <w:rFonts w:ascii="Times New Roman" w:hAnsi="Times New Roman"/>
          <w:sz w:val="20"/>
        </w:rPr>
        <w:t>property</w:t>
      </w:r>
    </w:p>
    <w:p>
      <w:pPr>
        <w:pStyle w:val="ListParagraph"/>
        <w:numPr>
          <w:ilvl w:val="2"/>
          <w:numId w:val="1"/>
        </w:numPr>
        <w:tabs>
          <w:tab w:pos="1921" w:val="left" w:leader="none"/>
          <w:tab w:pos="1922" w:val="left" w:leader="none"/>
        </w:tabs>
        <w:spacing w:line="240" w:lineRule="auto" w:before="139" w:after="0"/>
        <w:ind w:left="1922" w:right="0" w:hanging="368"/>
        <w:jc w:val="left"/>
        <w:rPr>
          <w:rFonts w:ascii="Times New Roman" w:hAnsi="Times New Roman"/>
          <w:sz w:val="20"/>
        </w:rPr>
      </w:pPr>
      <w:r>
        <w:rPr>
          <w:rFonts w:ascii="Times New Roman" w:hAnsi="Times New Roman"/>
          <w:sz w:val="20"/>
        </w:rPr>
        <w:t>The Valuer shall not make false, misleading or exaggerated claims in order to secure</w:t>
      </w:r>
      <w:r>
        <w:rPr>
          <w:rFonts w:ascii="Times New Roman" w:hAnsi="Times New Roman"/>
          <w:spacing w:val="-8"/>
          <w:sz w:val="20"/>
        </w:rPr>
        <w:t> </w:t>
      </w:r>
      <w:r>
        <w:rPr>
          <w:rFonts w:ascii="Times New Roman" w:hAnsi="Times New Roman"/>
          <w:sz w:val="20"/>
        </w:rPr>
        <w:t>assignments</w:t>
      </w:r>
    </w:p>
    <w:p>
      <w:pPr>
        <w:pStyle w:val="ListParagraph"/>
        <w:numPr>
          <w:ilvl w:val="2"/>
          <w:numId w:val="1"/>
        </w:numPr>
        <w:tabs>
          <w:tab w:pos="1922" w:val="left" w:leader="none"/>
        </w:tabs>
        <w:spacing w:line="240" w:lineRule="auto" w:before="120" w:after="0"/>
        <w:ind w:left="1922" w:right="865" w:hanging="368"/>
        <w:jc w:val="both"/>
        <w:rPr>
          <w:rFonts w:ascii="Times New Roman" w:hAnsi="Times New Roman"/>
          <w:sz w:val="20"/>
        </w:rPr>
      </w:pPr>
      <w:r>
        <w:rPr>
          <w:rFonts w:ascii="Times New Roman" w:hAnsi="Times New Roman"/>
          <w:sz w:val="20"/>
        </w:rPr>
        <w:t>The Valuer shall not provide misleading valuation, either by providing incorrect information or </w:t>
      </w:r>
      <w:r>
        <w:rPr>
          <w:rFonts w:ascii="Times New Roman" w:hAnsi="Times New Roman"/>
          <w:spacing w:val="-100"/>
          <w:sz w:val="20"/>
        </w:rPr>
        <w:t>by</w:t>
      </w:r>
      <w:r>
        <w:rPr>
          <w:rFonts w:ascii="Times New Roman" w:hAnsi="Times New Roman"/>
          <w:spacing w:val="-48"/>
          <w:sz w:val="20"/>
        </w:rPr>
        <w:t> </w:t>
      </w:r>
      <w:r>
        <w:rPr>
          <w:rFonts w:ascii="Times New Roman" w:hAnsi="Times New Roman"/>
          <w:sz w:val="20"/>
        </w:rPr>
        <w:t>withholding relevant</w:t>
      </w:r>
      <w:r>
        <w:rPr>
          <w:rFonts w:ascii="Times New Roman" w:hAnsi="Times New Roman"/>
          <w:spacing w:val="-3"/>
          <w:sz w:val="20"/>
        </w:rPr>
        <w:t> </w:t>
      </w:r>
      <w:r>
        <w:rPr>
          <w:rFonts w:ascii="Times New Roman" w:hAnsi="Times New Roman"/>
          <w:sz w:val="20"/>
        </w:rPr>
        <w:t>information</w:t>
      </w:r>
    </w:p>
    <w:p>
      <w:pPr>
        <w:pStyle w:val="ListParagraph"/>
        <w:numPr>
          <w:ilvl w:val="2"/>
          <w:numId w:val="1"/>
        </w:numPr>
        <w:tabs>
          <w:tab w:pos="1922" w:val="left" w:leader="none"/>
        </w:tabs>
        <w:spacing w:line="240" w:lineRule="auto" w:before="119" w:after="0"/>
        <w:ind w:left="1922" w:right="861" w:hanging="368"/>
        <w:jc w:val="both"/>
        <w:rPr>
          <w:rFonts w:ascii="Times New Roman" w:hAnsi="Times New Roman"/>
          <w:sz w:val="20"/>
        </w:rPr>
      </w:pPr>
      <w:r>
        <w:rPr>
          <w:rFonts w:ascii="Times New Roman" w:hAnsi="Times New Roman"/>
          <w:sz w:val="20"/>
        </w:rPr>
        <w:t>The Valuer shall not accept an assignment that includes reporting of the outcome based </w:t>
      </w:r>
      <w:r>
        <w:rPr>
          <w:rFonts w:ascii="Times New Roman" w:hAnsi="Times New Roman"/>
          <w:spacing w:val="-100"/>
          <w:sz w:val="20"/>
        </w:rPr>
        <w:t>on</w:t>
      </w:r>
      <w:r>
        <w:rPr>
          <w:rFonts w:ascii="Times New Roman" w:hAnsi="Times New Roman"/>
          <w:spacing w:val="246"/>
          <w:sz w:val="20"/>
        </w:rPr>
        <w:t> </w:t>
      </w:r>
      <w:r>
        <w:rPr>
          <w:rFonts w:ascii="Times New Roman" w:hAnsi="Times New Roman"/>
          <w:sz w:val="20"/>
        </w:rPr>
        <w:t>predetermined opinions and conclusions required by the Embassy</w:t>
      </w:r>
      <w:r>
        <w:rPr>
          <w:rFonts w:ascii="Times New Roman" w:hAnsi="Times New Roman"/>
          <w:spacing w:val="7"/>
          <w:sz w:val="20"/>
        </w:rPr>
        <w:t> </w:t>
      </w:r>
      <w:r>
        <w:rPr>
          <w:rFonts w:ascii="Times New Roman" w:hAnsi="Times New Roman"/>
          <w:sz w:val="20"/>
        </w:rPr>
        <w:t>REIT</w:t>
      </w:r>
    </w:p>
    <w:p>
      <w:pPr>
        <w:pStyle w:val="ListParagraph"/>
        <w:numPr>
          <w:ilvl w:val="2"/>
          <w:numId w:val="1"/>
        </w:numPr>
        <w:tabs>
          <w:tab w:pos="1921" w:val="left" w:leader="none"/>
          <w:tab w:pos="1922" w:val="left" w:leader="none"/>
        </w:tabs>
        <w:spacing w:line="240" w:lineRule="auto" w:before="120" w:after="0"/>
        <w:ind w:left="1922" w:right="0" w:hanging="368"/>
        <w:jc w:val="left"/>
        <w:rPr>
          <w:rFonts w:ascii="Times New Roman" w:hAnsi="Times New Roman"/>
          <w:sz w:val="20"/>
        </w:rPr>
      </w:pPr>
      <w:r>
        <w:rPr>
          <w:rFonts w:ascii="Times New Roman" w:hAnsi="Times New Roman"/>
          <w:sz w:val="20"/>
        </w:rPr>
        <w:t>The valuation undertaken by the Valuer abides by international valuation standards and</w:t>
      </w:r>
      <w:r>
        <w:rPr>
          <w:rFonts w:ascii="Times New Roman" w:hAnsi="Times New Roman"/>
          <w:spacing w:val="15"/>
          <w:sz w:val="20"/>
        </w:rPr>
        <w:t> </w:t>
      </w:r>
      <w:r>
        <w:rPr>
          <w:rFonts w:ascii="Times New Roman" w:hAnsi="Times New Roman"/>
          <w:sz w:val="20"/>
        </w:rPr>
        <w:t>valuation</w:t>
      </w:r>
    </w:p>
    <w:p>
      <w:pPr>
        <w:spacing w:after="0" w:line="240" w:lineRule="auto"/>
        <w:jc w:val="left"/>
        <w:rPr>
          <w:rFonts w:ascii="Times New Roman" w:hAnsi="Times New Roman"/>
          <w:sz w:val="20"/>
        </w:rPr>
        <w:sectPr>
          <w:pgSz w:w="12240" w:h="15840"/>
          <w:pgMar w:header="728" w:footer="1174" w:top="1180" w:bottom="1460" w:left="620" w:right="580"/>
        </w:sectPr>
      </w:pPr>
    </w:p>
    <w:p>
      <w:pPr>
        <w:pStyle w:val="BodyText"/>
        <w:rPr>
          <w:rFonts w:ascii="Times New Roman"/>
          <w:sz w:val="18"/>
        </w:rPr>
      </w:pPr>
    </w:p>
    <w:p>
      <w:pPr>
        <w:spacing w:before="91"/>
        <w:ind w:left="1922" w:right="855" w:firstLine="0"/>
        <w:jc w:val="both"/>
        <w:rPr>
          <w:rFonts w:ascii="Times New Roman"/>
          <w:sz w:val="20"/>
        </w:rPr>
      </w:pPr>
      <w:r>
        <w:rPr>
          <w:rFonts w:ascii="Times New Roman"/>
          <w:sz w:val="20"/>
        </w:rPr>
        <w:t>standards as may be specified by the Institute of Chartered Accountants of India for valuation of real estate assets. Provided that in case of any conflict, standard specified by the Institute of Chartered Accountants of India shall prevail</w:t>
      </w:r>
    </w:p>
    <w:p>
      <w:pPr>
        <w:pStyle w:val="ListParagraph"/>
        <w:numPr>
          <w:ilvl w:val="2"/>
          <w:numId w:val="1"/>
        </w:numPr>
        <w:tabs>
          <w:tab w:pos="1922" w:val="left" w:leader="none"/>
        </w:tabs>
        <w:spacing w:line="240" w:lineRule="auto" w:before="119" w:after="0"/>
        <w:ind w:left="1922" w:right="854" w:hanging="368"/>
        <w:jc w:val="both"/>
        <w:rPr>
          <w:rFonts w:ascii="Times New Roman" w:hAnsi="Times New Roman"/>
          <w:sz w:val="20"/>
        </w:rPr>
      </w:pPr>
      <w:r>
        <w:rPr>
          <w:rFonts w:ascii="Times New Roman" w:hAnsi="Times New Roman"/>
          <w:sz w:val="20"/>
        </w:rPr>
        <w:t>The Valuer notes that there are encumbrances, however, no options or pre-emptions rights in </w:t>
      </w:r>
      <w:r>
        <w:rPr>
          <w:rFonts w:ascii="Times New Roman" w:hAnsi="Times New Roman"/>
          <w:spacing w:val="-25"/>
          <w:sz w:val="20"/>
        </w:rPr>
        <w:t>relation </w:t>
      </w:r>
      <w:r>
        <w:rPr>
          <w:rFonts w:ascii="Times New Roman" w:hAnsi="Times New Roman"/>
          <w:sz w:val="20"/>
        </w:rPr>
        <w:t>to the assets based on the title report prepared by King &amp; Partridge, Shardul Amarchand Mangaldas &amp; Co, Cyril Amarchand Mangaldas, Little &amp; Company, Jayashree Sridhar and Law Shield (hereinafter collectively referred to as ‘Legal</w:t>
      </w:r>
      <w:r>
        <w:rPr>
          <w:rFonts w:ascii="Times New Roman" w:hAnsi="Times New Roman"/>
          <w:spacing w:val="1"/>
          <w:sz w:val="20"/>
        </w:rPr>
        <w:t> </w:t>
      </w:r>
      <w:r>
        <w:rPr>
          <w:rFonts w:ascii="Times New Roman" w:hAnsi="Times New Roman"/>
          <w:sz w:val="20"/>
        </w:rPr>
        <w:t>Counsels’)</w:t>
      </w:r>
    </w:p>
    <w:p>
      <w:pPr>
        <w:spacing w:after="0" w:line="240" w:lineRule="auto"/>
        <w:jc w:val="both"/>
        <w:rPr>
          <w:rFonts w:ascii="Times New Roman" w:hAnsi="Times New Roman"/>
          <w:sz w:val="20"/>
        </w:rPr>
        <w:sectPr>
          <w:pgSz w:w="12240" w:h="15840"/>
          <w:pgMar w:header="728" w:footer="1174" w:top="1180" w:bottom="1460" w:left="620" w:right="580"/>
        </w:sectPr>
      </w:pPr>
    </w:p>
    <w:p>
      <w:pPr>
        <w:pStyle w:val="BodyText"/>
        <w:rPr>
          <w:rFonts w:ascii="Times New Roman"/>
          <w:sz w:val="18"/>
        </w:rPr>
      </w:pPr>
    </w:p>
    <w:p>
      <w:pPr>
        <w:pStyle w:val="ListParagraph"/>
        <w:numPr>
          <w:ilvl w:val="1"/>
          <w:numId w:val="1"/>
        </w:numPr>
        <w:tabs>
          <w:tab w:pos="1309" w:val="left" w:leader="none"/>
          <w:tab w:pos="1311" w:val="left" w:leader="none"/>
        </w:tabs>
        <w:spacing w:line="240" w:lineRule="auto" w:before="91" w:after="0"/>
        <w:ind w:left="1310" w:right="0" w:hanging="491"/>
        <w:jc w:val="left"/>
        <w:rPr>
          <w:rFonts w:ascii="Times New Roman"/>
          <w:color w:val="1E6C28"/>
          <w:sz w:val="20"/>
        </w:rPr>
      </w:pPr>
      <w:r>
        <w:rPr>
          <w:rFonts w:ascii="Times New Roman"/>
          <w:color w:val="1E6C28"/>
          <w:sz w:val="20"/>
        </w:rPr>
        <w:t>Assumptions, Disclaimers, Limitations &amp; Qualifications to Valuation</w:t>
      </w:r>
    </w:p>
    <w:p>
      <w:pPr>
        <w:pStyle w:val="BodyText"/>
        <w:rPr>
          <w:rFonts w:ascii="Times New Roman"/>
          <w:sz w:val="24"/>
        </w:rPr>
      </w:pPr>
    </w:p>
    <w:p>
      <w:pPr>
        <w:pStyle w:val="BodyText"/>
        <w:ind w:left="100"/>
        <w:rPr>
          <w:rFonts w:ascii="Times New Roman"/>
          <w:sz w:val="20"/>
        </w:rPr>
      </w:pPr>
      <w:r>
        <w:rPr>
          <w:rFonts w:ascii="Times New Roman"/>
          <w:sz w:val="20"/>
        </w:rPr>
        <w:pict>
          <v:group style="width:540.950pt;height:34.450pt;mso-position-horizontal-relative:char;mso-position-vertical-relative:line" coordorigin="0,0" coordsize="10819,689">
            <v:shape style="position:absolute;left:0;top:0;width:10803;height:689" coordorigin="0,0" coordsize="10803,689" path="m10802,0l1556,0,0,0,0,689,1556,689,10802,689,10802,0xe" filled="true" fillcolor="#f1f1f1" stroked="false">
              <v:path arrowok="t"/>
              <v:fill type="solid"/>
            </v:shape>
            <v:shape style="position:absolute;left:120;top:9;width:893;height:679" type="#_x0000_t202" filled="false" stroked="false">
              <v:textbox inset="0,0,0,0">
                <w:txbxContent>
                  <w:p>
                    <w:pPr>
                      <w:spacing w:line="240" w:lineRule="auto" w:before="0"/>
                      <w:ind w:left="0" w:right="84" w:firstLine="0"/>
                      <w:jc w:val="left"/>
                      <w:rPr>
                        <w:rFonts w:ascii="Times New Roman"/>
                        <w:sz w:val="20"/>
                      </w:rPr>
                    </w:pPr>
                    <w:r>
                      <w:rPr>
                        <w:rFonts w:ascii="Times New Roman"/>
                        <w:color w:val="1E6C2C"/>
                        <w:sz w:val="20"/>
                      </w:rPr>
                      <w:t>Valuation Subject</w:t>
                    </w:r>
                  </w:p>
                  <w:p>
                    <w:pPr>
                      <w:spacing w:line="228" w:lineRule="exact" w:before="0"/>
                      <w:ind w:left="0" w:right="0" w:firstLine="0"/>
                      <w:jc w:val="left"/>
                      <w:rPr>
                        <w:rFonts w:ascii="Times New Roman"/>
                        <w:sz w:val="20"/>
                      </w:rPr>
                    </w:pPr>
                    <w:r>
                      <w:rPr>
                        <w:rFonts w:ascii="Times New Roman"/>
                        <w:color w:val="1E6C2C"/>
                        <w:sz w:val="20"/>
                      </w:rPr>
                      <w:t>to Change:</w:t>
                    </w:r>
                  </w:p>
                </w:txbxContent>
              </v:textbox>
              <w10:wrap type="none"/>
            </v:shape>
            <v:shape style="position:absolute;left:1555;top:9;width:9264;height:451" type="#_x0000_t202" filled="false" stroked="false">
              <v:textbox inset="0,0,0,0">
                <w:txbxContent>
                  <w:p>
                    <w:pPr>
                      <w:numPr>
                        <w:ilvl w:val="0"/>
                        <w:numId w:val="2"/>
                      </w:numPr>
                      <w:tabs>
                        <w:tab w:pos="264" w:val="left" w:leader="none"/>
                      </w:tabs>
                      <w:spacing w:line="240" w:lineRule="auto" w:before="0"/>
                      <w:ind w:left="264" w:right="18" w:hanging="264"/>
                      <w:jc w:val="left"/>
                      <w:rPr>
                        <w:rFonts w:ascii="Times New Roman"/>
                        <w:sz w:val="20"/>
                      </w:rPr>
                    </w:pPr>
                    <w:r>
                      <w:rPr>
                        <w:rFonts w:ascii="Times New Roman"/>
                        <w:sz w:val="20"/>
                      </w:rPr>
                      <w:t>The subject valuation exercise is based on prevailing market dynamics as on the date of valuation and does not take into account any unforeseeable developments which could impact the same in the</w:t>
                    </w:r>
                    <w:r>
                      <w:rPr>
                        <w:rFonts w:ascii="Times New Roman"/>
                        <w:spacing w:val="-6"/>
                        <w:sz w:val="20"/>
                      </w:rPr>
                      <w:t> </w:t>
                    </w:r>
                    <w:r>
                      <w:rPr>
                        <w:rFonts w:ascii="Times New Roman"/>
                        <w:sz w:val="20"/>
                      </w:rPr>
                      <w:t>future</w:t>
                    </w:r>
                  </w:p>
                </w:txbxContent>
              </v:textbox>
              <w10:wrap type="none"/>
            </v:shape>
          </v:group>
        </w:pict>
      </w:r>
      <w:r>
        <w:rPr>
          <w:rFonts w:ascii="Times New Roman"/>
          <w:sz w:val="20"/>
        </w:rPr>
      </w:r>
    </w:p>
    <w:p>
      <w:pPr>
        <w:spacing w:after="0"/>
        <w:rPr>
          <w:rFonts w:ascii="Times New Roman"/>
          <w:sz w:val="20"/>
        </w:rPr>
        <w:sectPr>
          <w:pgSz w:w="12240" w:h="15840"/>
          <w:pgMar w:header="728" w:footer="1174" w:top="1180" w:bottom="1460" w:left="620" w:right="580"/>
        </w:sectPr>
      </w:pPr>
    </w:p>
    <w:p>
      <w:pPr>
        <w:spacing w:line="204" w:lineRule="exact" w:before="0"/>
        <w:ind w:left="220" w:right="0" w:firstLine="0"/>
        <w:jc w:val="left"/>
        <w:rPr>
          <w:rFonts w:ascii="Times New Roman"/>
          <w:sz w:val="20"/>
        </w:rPr>
      </w:pPr>
      <w:r>
        <w:rPr>
          <w:rFonts w:ascii="Times New Roman"/>
          <w:color w:val="1E6C2C"/>
          <w:sz w:val="20"/>
        </w:rPr>
        <w:t>Our</w:t>
      </w:r>
    </w:p>
    <w:p>
      <w:pPr>
        <w:spacing w:before="0"/>
        <w:ind w:left="220" w:right="0" w:firstLine="0"/>
        <w:jc w:val="left"/>
        <w:rPr>
          <w:rFonts w:ascii="Times New Roman"/>
          <w:sz w:val="20"/>
        </w:rPr>
      </w:pPr>
      <w:r>
        <w:rPr>
          <w:rFonts w:ascii="Times New Roman"/>
          <w:color w:val="1E6C2C"/>
          <w:w w:val="95"/>
          <w:sz w:val="20"/>
        </w:rPr>
        <w:t>Investigations:</w:t>
      </w:r>
    </w:p>
    <w:p>
      <w:pPr>
        <w:pStyle w:val="ListParagraph"/>
        <w:numPr>
          <w:ilvl w:val="0"/>
          <w:numId w:val="3"/>
        </w:numPr>
        <w:tabs>
          <w:tab w:pos="483" w:val="left" w:leader="none"/>
        </w:tabs>
        <w:spacing w:line="204" w:lineRule="exact" w:before="0" w:after="0"/>
        <w:ind w:left="482" w:right="0" w:hanging="265"/>
        <w:jc w:val="both"/>
        <w:rPr>
          <w:rFonts w:ascii="Times New Roman" w:hAnsi="Times New Roman"/>
          <w:sz w:val="20"/>
        </w:rPr>
      </w:pPr>
      <w:r>
        <w:rPr>
          <w:rFonts w:ascii="Times New Roman" w:hAnsi="Times New Roman"/>
          <w:w w:val="99"/>
          <w:sz w:val="20"/>
        </w:rPr>
        <w:br w:type="column"/>
      </w:r>
      <w:r>
        <w:rPr>
          <w:rFonts w:ascii="Times New Roman" w:hAnsi="Times New Roman"/>
          <w:sz w:val="20"/>
        </w:rPr>
        <w:t>The</w:t>
      </w:r>
      <w:r>
        <w:rPr>
          <w:rFonts w:ascii="Times New Roman" w:hAnsi="Times New Roman"/>
          <w:spacing w:val="22"/>
          <w:sz w:val="20"/>
        </w:rPr>
        <w:t> </w:t>
      </w:r>
      <w:r>
        <w:rPr>
          <w:rFonts w:ascii="Times New Roman" w:hAnsi="Times New Roman"/>
          <w:sz w:val="20"/>
        </w:rPr>
        <w:t>Consultants</w:t>
      </w:r>
      <w:r>
        <w:rPr>
          <w:rFonts w:ascii="Times New Roman" w:hAnsi="Times New Roman"/>
          <w:spacing w:val="24"/>
          <w:sz w:val="20"/>
        </w:rPr>
        <w:t> </w:t>
      </w:r>
      <w:r>
        <w:rPr>
          <w:rFonts w:ascii="Times New Roman" w:hAnsi="Times New Roman"/>
          <w:sz w:val="20"/>
        </w:rPr>
        <w:t>are</w:t>
      </w:r>
      <w:r>
        <w:rPr>
          <w:rFonts w:ascii="Times New Roman" w:hAnsi="Times New Roman"/>
          <w:spacing w:val="22"/>
          <w:sz w:val="20"/>
        </w:rPr>
        <w:t> </w:t>
      </w:r>
      <w:r>
        <w:rPr>
          <w:rFonts w:ascii="Times New Roman" w:hAnsi="Times New Roman"/>
          <w:sz w:val="20"/>
        </w:rPr>
        <w:t>not</w:t>
      </w:r>
      <w:r>
        <w:rPr>
          <w:rFonts w:ascii="Times New Roman" w:hAnsi="Times New Roman"/>
          <w:spacing w:val="23"/>
          <w:sz w:val="20"/>
        </w:rPr>
        <w:t> </w:t>
      </w:r>
      <w:r>
        <w:rPr>
          <w:rFonts w:ascii="Times New Roman" w:hAnsi="Times New Roman"/>
          <w:sz w:val="20"/>
        </w:rPr>
        <w:t>engaged</w:t>
      </w:r>
      <w:r>
        <w:rPr>
          <w:rFonts w:ascii="Times New Roman" w:hAnsi="Times New Roman"/>
          <w:spacing w:val="23"/>
          <w:sz w:val="20"/>
        </w:rPr>
        <w:t> </w:t>
      </w:r>
      <w:r>
        <w:rPr>
          <w:rFonts w:ascii="Times New Roman" w:hAnsi="Times New Roman"/>
          <w:sz w:val="20"/>
        </w:rPr>
        <w:t>to</w:t>
      </w:r>
      <w:r>
        <w:rPr>
          <w:rFonts w:ascii="Times New Roman" w:hAnsi="Times New Roman"/>
          <w:spacing w:val="23"/>
          <w:sz w:val="20"/>
        </w:rPr>
        <w:t> </w:t>
      </w:r>
      <w:r>
        <w:rPr>
          <w:rFonts w:ascii="Times New Roman" w:hAnsi="Times New Roman"/>
          <w:sz w:val="20"/>
        </w:rPr>
        <w:t>carry</w:t>
      </w:r>
      <w:r>
        <w:rPr>
          <w:rFonts w:ascii="Times New Roman" w:hAnsi="Times New Roman"/>
          <w:spacing w:val="23"/>
          <w:sz w:val="20"/>
        </w:rPr>
        <w:t> </w:t>
      </w:r>
      <w:r>
        <w:rPr>
          <w:rFonts w:ascii="Times New Roman" w:hAnsi="Times New Roman"/>
          <w:sz w:val="20"/>
        </w:rPr>
        <w:t>out</w:t>
      </w:r>
      <w:r>
        <w:rPr>
          <w:rFonts w:ascii="Times New Roman" w:hAnsi="Times New Roman"/>
          <w:spacing w:val="23"/>
          <w:sz w:val="20"/>
        </w:rPr>
        <w:t> </w:t>
      </w:r>
      <w:r>
        <w:rPr>
          <w:rFonts w:ascii="Times New Roman" w:hAnsi="Times New Roman"/>
          <w:sz w:val="20"/>
        </w:rPr>
        <w:t>all</w:t>
      </w:r>
      <w:r>
        <w:rPr>
          <w:rFonts w:ascii="Times New Roman" w:hAnsi="Times New Roman"/>
          <w:spacing w:val="22"/>
          <w:sz w:val="20"/>
        </w:rPr>
        <w:t> </w:t>
      </w:r>
      <w:r>
        <w:rPr>
          <w:rFonts w:ascii="Times New Roman" w:hAnsi="Times New Roman"/>
          <w:sz w:val="20"/>
        </w:rPr>
        <w:t>possible</w:t>
      </w:r>
      <w:r>
        <w:rPr>
          <w:rFonts w:ascii="Times New Roman" w:hAnsi="Times New Roman"/>
          <w:spacing w:val="23"/>
          <w:sz w:val="20"/>
        </w:rPr>
        <w:t> </w:t>
      </w:r>
      <w:r>
        <w:rPr>
          <w:rFonts w:ascii="Times New Roman" w:hAnsi="Times New Roman"/>
          <w:sz w:val="20"/>
        </w:rPr>
        <w:t>investigations</w:t>
      </w:r>
      <w:r>
        <w:rPr>
          <w:rFonts w:ascii="Times New Roman" w:hAnsi="Times New Roman"/>
          <w:spacing w:val="22"/>
          <w:sz w:val="20"/>
        </w:rPr>
        <w:t> </w:t>
      </w:r>
      <w:r>
        <w:rPr>
          <w:rFonts w:ascii="Times New Roman" w:hAnsi="Times New Roman"/>
          <w:sz w:val="20"/>
        </w:rPr>
        <w:t>in</w:t>
      </w:r>
      <w:r>
        <w:rPr>
          <w:rFonts w:ascii="Times New Roman" w:hAnsi="Times New Roman"/>
          <w:spacing w:val="22"/>
          <w:sz w:val="20"/>
        </w:rPr>
        <w:t> </w:t>
      </w:r>
      <w:r>
        <w:rPr>
          <w:rFonts w:ascii="Times New Roman" w:hAnsi="Times New Roman"/>
          <w:sz w:val="20"/>
        </w:rPr>
        <w:t>relation</w:t>
      </w:r>
      <w:r>
        <w:rPr>
          <w:rFonts w:ascii="Times New Roman" w:hAnsi="Times New Roman"/>
          <w:spacing w:val="24"/>
          <w:sz w:val="20"/>
        </w:rPr>
        <w:t> </w:t>
      </w:r>
      <w:r>
        <w:rPr>
          <w:rFonts w:ascii="Times New Roman" w:hAnsi="Times New Roman"/>
          <w:sz w:val="20"/>
        </w:rPr>
        <w:t>to</w:t>
      </w:r>
      <w:r>
        <w:rPr>
          <w:rFonts w:ascii="Times New Roman" w:hAnsi="Times New Roman"/>
          <w:spacing w:val="22"/>
          <w:sz w:val="20"/>
        </w:rPr>
        <w:t> </w:t>
      </w:r>
      <w:r>
        <w:rPr>
          <w:rFonts w:ascii="Times New Roman" w:hAnsi="Times New Roman"/>
          <w:sz w:val="20"/>
        </w:rPr>
        <w:t>the</w:t>
      </w:r>
      <w:r>
        <w:rPr>
          <w:rFonts w:ascii="Times New Roman" w:hAnsi="Times New Roman"/>
          <w:spacing w:val="33"/>
          <w:sz w:val="20"/>
        </w:rPr>
        <w:t> </w:t>
      </w:r>
      <w:r>
        <w:rPr>
          <w:rFonts w:ascii="Times New Roman" w:hAnsi="Times New Roman"/>
          <w:sz w:val="20"/>
        </w:rPr>
        <w:t>subject</w:t>
      </w:r>
      <w:r>
        <w:rPr>
          <w:rFonts w:ascii="Times New Roman" w:hAnsi="Times New Roman"/>
          <w:spacing w:val="22"/>
          <w:sz w:val="20"/>
        </w:rPr>
        <w:t> </w:t>
      </w:r>
      <w:r>
        <w:rPr>
          <w:rFonts w:ascii="Times New Roman" w:hAnsi="Times New Roman"/>
          <w:sz w:val="20"/>
        </w:rPr>
        <w:t>properties.</w:t>
      </w:r>
    </w:p>
    <w:p>
      <w:pPr>
        <w:spacing w:before="0"/>
        <w:ind w:left="482" w:right="134" w:firstLine="0"/>
        <w:jc w:val="both"/>
        <w:rPr>
          <w:rFonts w:ascii="Times New Roman"/>
          <w:sz w:val="20"/>
        </w:rPr>
      </w:pPr>
      <w:r>
        <w:rPr>
          <w:rFonts w:ascii="Times New Roman"/>
          <w:sz w:val="20"/>
        </w:rPr>
        <w:t>Where in our report the Consultants identify certain limitations to our investigations, this is to enable the reliant party to instruct further investigations where considered appropriate or where the Consultants recommend as necessary prior to reliance. The Consultants are not liable for any loss occasioned by a decision not to conduct further investigations</w:t>
      </w:r>
    </w:p>
    <w:p>
      <w:pPr>
        <w:spacing w:after="0"/>
        <w:jc w:val="both"/>
        <w:rPr>
          <w:rFonts w:ascii="Times New Roman"/>
          <w:sz w:val="20"/>
        </w:rPr>
        <w:sectPr>
          <w:type w:val="continuous"/>
          <w:pgSz w:w="12240" w:h="15840"/>
          <w:pgMar w:top="800" w:bottom="280" w:left="620" w:right="580"/>
          <w:cols w:num="2" w:equalWidth="0">
            <w:col w:w="1398" w:space="40"/>
            <w:col w:w="9602"/>
          </w:cols>
        </w:sectPr>
      </w:pPr>
    </w:p>
    <w:p>
      <w:pPr>
        <w:pStyle w:val="BodyText"/>
        <w:ind w:left="100"/>
        <w:rPr>
          <w:rFonts w:ascii="Times New Roman"/>
          <w:sz w:val="20"/>
        </w:rPr>
      </w:pPr>
      <w:r>
        <w:rPr>
          <w:rFonts w:ascii="Times New Roman"/>
          <w:sz w:val="20"/>
        </w:rPr>
        <w:pict>
          <v:shape style="width:540.15pt;height:57.6pt;mso-position-horizontal-relative:char;mso-position-vertical-relative:line" type="#_x0000_t202" filled="true" fillcolor="#f1f1f1" stroked="false">
            <w10:anchorlock/>
            <v:textbox inset="0,0,0,0">
              <w:txbxContent>
                <w:p>
                  <w:pPr>
                    <w:spacing w:before="0"/>
                    <w:ind w:left="1819" w:right="3" w:hanging="1700"/>
                    <w:jc w:val="both"/>
                    <w:rPr>
                      <w:rFonts w:ascii="Times New Roman" w:hAnsi="Times New Roman"/>
                      <w:sz w:val="20"/>
                    </w:rPr>
                  </w:pPr>
                  <w:r>
                    <w:rPr>
                      <w:rFonts w:ascii="Times New Roman" w:hAnsi="Times New Roman"/>
                      <w:color w:val="1E6C2C"/>
                      <w:sz w:val="20"/>
                    </w:rPr>
                    <w:t>Assumptions: </w:t>
                  </w:r>
                  <w:r>
                    <w:rPr>
                      <w:rFonts w:ascii="Times New Roman" w:hAnsi="Times New Roman"/>
                      <w:sz w:val="20"/>
                    </w:rPr>
                    <w:t>• Assumptions are a necessary part of undertaking valuations. The Valuer adopts assumptions for the purpose of providing valuation advice because some matters are not capable of accurate calculation or fall outside the scope of our expertise, or our instructions. The reliant parties accept that the valuation contains certain specific assumptions and acknowledges and accepts the risk that if any of the assumptions adopted in the valuation are incorrect, then this may have an effect on the</w:t>
                  </w:r>
                  <w:r>
                    <w:rPr>
                      <w:rFonts w:ascii="Times New Roman" w:hAnsi="Times New Roman"/>
                      <w:spacing w:val="-4"/>
                      <w:sz w:val="20"/>
                    </w:rPr>
                    <w:t> </w:t>
                  </w:r>
                  <w:r>
                    <w:rPr>
                      <w:rFonts w:ascii="Times New Roman" w:hAnsi="Times New Roman"/>
                      <w:sz w:val="20"/>
                    </w:rPr>
                    <w:t>valuation</w:t>
                  </w:r>
                </w:p>
              </w:txbxContent>
            </v:textbox>
            <v:fill type="solid"/>
          </v:shape>
        </w:pict>
      </w:r>
      <w:r>
        <w:rPr>
          <w:rFonts w:ascii="Times New Roman"/>
          <w:sz w:val="20"/>
        </w:rPr>
      </w:r>
    </w:p>
    <w:p>
      <w:pPr>
        <w:spacing w:after="0"/>
        <w:rPr>
          <w:rFonts w:ascii="Times New Roman"/>
          <w:sz w:val="20"/>
        </w:rPr>
        <w:sectPr>
          <w:type w:val="continuous"/>
          <w:pgSz w:w="12240" w:h="15840"/>
          <w:pgMar w:top="800" w:bottom="280" w:left="620" w:right="580"/>
        </w:sectPr>
      </w:pPr>
    </w:p>
    <w:p>
      <w:pPr>
        <w:spacing w:line="210" w:lineRule="exact" w:before="0"/>
        <w:ind w:left="220" w:right="0" w:firstLine="0"/>
        <w:jc w:val="left"/>
        <w:rPr>
          <w:rFonts w:ascii="Times New Roman"/>
          <w:sz w:val="20"/>
        </w:rPr>
      </w:pPr>
      <w:r>
        <w:rPr>
          <w:rFonts w:ascii="Times New Roman"/>
          <w:color w:val="1E6C2C"/>
          <w:sz w:val="20"/>
        </w:rPr>
        <w:t>Information</w:t>
      </w:r>
    </w:p>
    <w:p>
      <w:pPr>
        <w:spacing w:before="0"/>
        <w:ind w:left="220" w:right="21" w:firstLine="0"/>
        <w:jc w:val="left"/>
        <w:rPr>
          <w:rFonts w:ascii="Times New Roman"/>
          <w:sz w:val="20"/>
        </w:rPr>
      </w:pPr>
      <w:r>
        <w:rPr>
          <w:rFonts w:ascii="Times New Roman"/>
          <w:color w:val="1E6C2C"/>
          <w:sz w:val="20"/>
        </w:rPr>
        <w:t>Supplied by Others:</w:t>
      </w:r>
    </w:p>
    <w:p>
      <w:pPr>
        <w:pStyle w:val="ListParagraph"/>
        <w:numPr>
          <w:ilvl w:val="0"/>
          <w:numId w:val="3"/>
        </w:numPr>
        <w:tabs>
          <w:tab w:pos="484" w:val="left" w:leader="none"/>
        </w:tabs>
        <w:spacing w:line="210" w:lineRule="exact" w:before="0" w:after="0"/>
        <w:ind w:left="484" w:right="0" w:hanging="264"/>
        <w:jc w:val="both"/>
        <w:rPr>
          <w:rFonts w:ascii="Times New Roman" w:hAnsi="Times New Roman"/>
          <w:sz w:val="20"/>
        </w:rPr>
      </w:pPr>
      <w:r>
        <w:rPr>
          <w:rFonts w:ascii="Times New Roman" w:hAnsi="Times New Roman"/>
          <w:w w:val="99"/>
          <w:sz w:val="20"/>
        </w:rPr>
        <w:br w:type="column"/>
      </w:r>
      <w:r>
        <w:rPr>
          <w:rFonts w:ascii="Times New Roman" w:hAnsi="Times New Roman"/>
          <w:sz w:val="20"/>
        </w:rPr>
        <w:t>The</w:t>
      </w:r>
      <w:r>
        <w:rPr>
          <w:rFonts w:ascii="Times New Roman" w:hAnsi="Times New Roman"/>
          <w:spacing w:val="9"/>
          <w:sz w:val="20"/>
        </w:rPr>
        <w:t> </w:t>
      </w:r>
      <w:r>
        <w:rPr>
          <w:rFonts w:ascii="Times New Roman" w:hAnsi="Times New Roman"/>
          <w:sz w:val="20"/>
        </w:rPr>
        <w:t>valuations</w:t>
      </w:r>
      <w:r>
        <w:rPr>
          <w:rFonts w:ascii="Times New Roman" w:hAnsi="Times New Roman"/>
          <w:spacing w:val="9"/>
          <w:sz w:val="20"/>
        </w:rPr>
        <w:t> </w:t>
      </w:r>
      <w:r>
        <w:rPr>
          <w:rFonts w:ascii="Times New Roman" w:hAnsi="Times New Roman"/>
          <w:sz w:val="20"/>
        </w:rPr>
        <w:t>are</w:t>
      </w:r>
      <w:r>
        <w:rPr>
          <w:rFonts w:ascii="Times New Roman" w:hAnsi="Times New Roman"/>
          <w:spacing w:val="10"/>
          <w:sz w:val="20"/>
        </w:rPr>
        <w:t> </w:t>
      </w:r>
      <w:r>
        <w:rPr>
          <w:rFonts w:ascii="Times New Roman" w:hAnsi="Times New Roman"/>
          <w:sz w:val="20"/>
        </w:rPr>
        <w:t>based</w:t>
      </w:r>
      <w:r>
        <w:rPr>
          <w:rFonts w:ascii="Times New Roman" w:hAnsi="Times New Roman"/>
          <w:spacing w:val="9"/>
          <w:sz w:val="20"/>
        </w:rPr>
        <w:t> </w:t>
      </w:r>
      <w:r>
        <w:rPr>
          <w:rFonts w:ascii="Times New Roman" w:hAnsi="Times New Roman"/>
          <w:sz w:val="20"/>
        </w:rPr>
        <w:t>on</w:t>
      </w:r>
      <w:r>
        <w:rPr>
          <w:rFonts w:ascii="Times New Roman" w:hAnsi="Times New Roman"/>
          <w:spacing w:val="11"/>
          <w:sz w:val="20"/>
        </w:rPr>
        <w:t> </w:t>
      </w:r>
      <w:r>
        <w:rPr>
          <w:rFonts w:ascii="Times New Roman" w:hAnsi="Times New Roman"/>
          <w:sz w:val="20"/>
        </w:rPr>
        <w:t>the</w:t>
      </w:r>
      <w:r>
        <w:rPr>
          <w:rFonts w:ascii="Times New Roman" w:hAnsi="Times New Roman"/>
          <w:spacing w:val="10"/>
          <w:sz w:val="20"/>
        </w:rPr>
        <w:t> </w:t>
      </w:r>
      <w:r>
        <w:rPr>
          <w:rFonts w:ascii="Times New Roman" w:hAnsi="Times New Roman"/>
          <w:sz w:val="20"/>
        </w:rPr>
        <w:t>information</w:t>
      </w:r>
      <w:r>
        <w:rPr>
          <w:rFonts w:ascii="Times New Roman" w:hAnsi="Times New Roman"/>
          <w:spacing w:val="11"/>
          <w:sz w:val="20"/>
        </w:rPr>
        <w:t> </w:t>
      </w:r>
      <w:r>
        <w:rPr>
          <w:rFonts w:ascii="Times New Roman" w:hAnsi="Times New Roman"/>
          <w:sz w:val="20"/>
        </w:rPr>
        <w:t>provided</w:t>
      </w:r>
      <w:r>
        <w:rPr>
          <w:rFonts w:ascii="Times New Roman" w:hAnsi="Times New Roman"/>
          <w:spacing w:val="9"/>
          <w:sz w:val="20"/>
        </w:rPr>
        <w:t> </w:t>
      </w:r>
      <w:r>
        <w:rPr>
          <w:rFonts w:ascii="Times New Roman" w:hAnsi="Times New Roman"/>
          <w:sz w:val="20"/>
        </w:rPr>
        <w:t>by</w:t>
      </w:r>
      <w:r>
        <w:rPr>
          <w:rFonts w:ascii="Times New Roman" w:hAnsi="Times New Roman"/>
          <w:spacing w:val="10"/>
          <w:sz w:val="20"/>
        </w:rPr>
        <w:t> </w:t>
      </w:r>
      <w:r>
        <w:rPr>
          <w:rFonts w:ascii="Times New Roman" w:hAnsi="Times New Roman"/>
          <w:sz w:val="20"/>
        </w:rPr>
        <w:t>the</w:t>
      </w:r>
      <w:r>
        <w:rPr>
          <w:rFonts w:ascii="Times New Roman" w:hAnsi="Times New Roman"/>
          <w:spacing w:val="8"/>
          <w:sz w:val="20"/>
        </w:rPr>
        <w:t> </w:t>
      </w:r>
      <w:r>
        <w:rPr>
          <w:rFonts w:ascii="Times New Roman" w:hAnsi="Times New Roman"/>
          <w:sz w:val="20"/>
        </w:rPr>
        <w:t>Instructing</w:t>
      </w:r>
      <w:r>
        <w:rPr>
          <w:rFonts w:ascii="Times New Roman" w:hAnsi="Times New Roman"/>
          <w:spacing w:val="11"/>
          <w:sz w:val="20"/>
        </w:rPr>
        <w:t> </w:t>
      </w:r>
      <w:r>
        <w:rPr>
          <w:rFonts w:ascii="Times New Roman" w:hAnsi="Times New Roman"/>
          <w:sz w:val="20"/>
        </w:rPr>
        <w:t>Party</w:t>
      </w:r>
      <w:r>
        <w:rPr>
          <w:rFonts w:ascii="Times New Roman" w:hAnsi="Times New Roman"/>
          <w:spacing w:val="11"/>
          <w:sz w:val="20"/>
        </w:rPr>
        <w:t> </w:t>
      </w:r>
      <w:r>
        <w:rPr>
          <w:rFonts w:ascii="Times New Roman" w:hAnsi="Times New Roman"/>
          <w:sz w:val="20"/>
        </w:rPr>
        <w:t>(Embassy</w:t>
      </w:r>
      <w:r>
        <w:rPr>
          <w:rFonts w:ascii="Times New Roman" w:hAnsi="Times New Roman"/>
          <w:spacing w:val="11"/>
          <w:sz w:val="20"/>
        </w:rPr>
        <w:t> </w:t>
      </w:r>
      <w:r>
        <w:rPr>
          <w:rFonts w:ascii="Times New Roman" w:hAnsi="Times New Roman"/>
          <w:sz w:val="20"/>
        </w:rPr>
        <w:t>Office</w:t>
      </w:r>
      <w:r>
        <w:rPr>
          <w:rFonts w:ascii="Times New Roman" w:hAnsi="Times New Roman"/>
          <w:spacing w:val="11"/>
          <w:sz w:val="20"/>
        </w:rPr>
        <w:t> </w:t>
      </w:r>
      <w:r>
        <w:rPr>
          <w:rFonts w:ascii="Times New Roman" w:hAnsi="Times New Roman"/>
          <w:sz w:val="20"/>
        </w:rPr>
        <w:t>Parks</w:t>
      </w:r>
    </w:p>
    <w:p>
      <w:pPr>
        <w:spacing w:before="0"/>
        <w:ind w:left="484" w:right="133" w:firstLine="0"/>
        <w:jc w:val="both"/>
        <w:rPr>
          <w:rFonts w:ascii="Times New Roman" w:hAnsi="Times New Roman"/>
          <w:sz w:val="20"/>
        </w:rPr>
      </w:pPr>
      <w:r>
        <w:rPr>
          <w:rFonts w:ascii="Times New Roman" w:hAnsi="Times New Roman"/>
          <w:sz w:val="20"/>
        </w:rPr>
        <w:t>Management Services Private Limited). The same has been assumed to be correct and has been used for valuation exercise. Where it is stated in the report that another party has supplied information to the ‘Consultants’, this information is believed to be reliable but the ‘Consultants’ can accept no responsibility if  this should prove not to be</w:t>
      </w:r>
      <w:r>
        <w:rPr>
          <w:rFonts w:ascii="Times New Roman" w:hAnsi="Times New Roman"/>
          <w:spacing w:val="-3"/>
          <w:sz w:val="20"/>
        </w:rPr>
        <w:t> </w:t>
      </w:r>
      <w:r>
        <w:rPr>
          <w:rFonts w:ascii="Times New Roman" w:hAnsi="Times New Roman"/>
          <w:sz w:val="20"/>
        </w:rPr>
        <w:t>so</w:t>
      </w:r>
    </w:p>
    <w:p>
      <w:pPr>
        <w:spacing w:after="0"/>
        <w:jc w:val="both"/>
        <w:rPr>
          <w:rFonts w:ascii="Times New Roman" w:hAnsi="Times New Roman"/>
          <w:sz w:val="20"/>
        </w:rPr>
        <w:sectPr>
          <w:type w:val="continuous"/>
          <w:pgSz w:w="12240" w:h="15840"/>
          <w:pgMar w:top="800" w:bottom="280" w:left="620" w:right="580"/>
          <w:cols w:num="2" w:equalWidth="0">
            <w:col w:w="1223" w:space="213"/>
            <w:col w:w="9604"/>
          </w:cols>
        </w:sectPr>
      </w:pPr>
    </w:p>
    <w:p>
      <w:pPr>
        <w:pStyle w:val="BodyText"/>
        <w:ind w:left="100"/>
        <w:rPr>
          <w:rFonts w:ascii="Times New Roman"/>
          <w:sz w:val="20"/>
        </w:rPr>
      </w:pPr>
      <w:r>
        <w:rPr>
          <w:rFonts w:ascii="Times New Roman"/>
          <w:sz w:val="20"/>
        </w:rPr>
        <w:pict>
          <v:shape style="width:540.15pt;height:34.450pt;mso-position-horizontal-relative:char;mso-position-vertical-relative:line" type="#_x0000_t202" filled="true" fillcolor="#f1f1f1" stroked="false">
            <w10:anchorlock/>
            <v:textbox inset="0,0,0,0">
              <w:txbxContent>
                <w:p>
                  <w:pPr>
                    <w:spacing w:before="0"/>
                    <w:ind w:left="1819" w:right="-15" w:hanging="1700"/>
                    <w:jc w:val="both"/>
                    <w:rPr>
                      <w:rFonts w:ascii="Times New Roman" w:hAnsi="Times New Roman"/>
                      <w:sz w:val="20"/>
                    </w:rPr>
                  </w:pPr>
                  <w:r>
                    <w:rPr>
                      <w:rFonts w:ascii="Times New Roman" w:hAnsi="Times New Roman"/>
                      <w:color w:val="1E6C2C"/>
                      <w:sz w:val="20"/>
                    </w:rPr>
                    <w:t>Future Matters: </w:t>
                  </w:r>
                  <w:r>
                    <w:rPr>
                      <w:rFonts w:ascii="Times New Roman" w:hAnsi="Times New Roman"/>
                      <w:sz w:val="20"/>
                    </w:rPr>
                    <w:t>• To the extent that the valuation includes any statement as to a future matter, that statement is provided as an estimate and/or opinion based on the information known to the ‘Consultants’ at the date of this document. The ‘Consultants’ do not warrant that such statements are accurate or correct</w:t>
                  </w:r>
                </w:p>
              </w:txbxContent>
            </v:textbox>
            <v:fill type="solid"/>
          </v:shape>
        </w:pict>
      </w:r>
      <w:r>
        <w:rPr>
          <w:rFonts w:ascii="Times New Roman"/>
          <w:sz w:val="20"/>
        </w:rPr>
      </w:r>
    </w:p>
    <w:p>
      <w:pPr>
        <w:spacing w:line="214" w:lineRule="exact" w:before="0"/>
        <w:ind w:left="220" w:right="0" w:firstLine="0"/>
        <w:jc w:val="left"/>
        <w:rPr>
          <w:rFonts w:ascii="Times New Roman" w:hAnsi="Times New Roman"/>
          <w:sz w:val="20"/>
        </w:rPr>
      </w:pPr>
      <w:r>
        <w:rPr>
          <w:rFonts w:ascii="Times New Roman" w:hAnsi="Times New Roman"/>
          <w:color w:val="1E6C2C"/>
          <w:sz w:val="20"/>
        </w:rPr>
        <w:t>Map and Plans: </w:t>
      </w:r>
      <w:r>
        <w:rPr>
          <w:rFonts w:ascii="Times New Roman" w:hAnsi="Times New Roman"/>
          <w:sz w:val="20"/>
        </w:rPr>
        <w:t>• Any sketch, plan or map in this report is included to assist reader while visualizing the properties and assume</w:t>
      </w:r>
    </w:p>
    <w:p>
      <w:pPr>
        <w:spacing w:before="0"/>
        <w:ind w:left="1919" w:right="0" w:firstLine="0"/>
        <w:jc w:val="left"/>
        <w:rPr>
          <w:rFonts w:ascii="Times New Roman"/>
          <w:sz w:val="20"/>
        </w:rPr>
      </w:pPr>
      <w:r>
        <w:rPr>
          <w:rFonts w:ascii="Times New Roman"/>
          <w:sz w:val="20"/>
        </w:rPr>
        <w:t>no responsibility in connection with such matters</w:t>
      </w:r>
    </w:p>
    <w:p>
      <w:pPr>
        <w:pStyle w:val="BodyText"/>
        <w:ind w:left="100"/>
        <w:rPr>
          <w:rFonts w:ascii="Times New Roman"/>
          <w:sz w:val="20"/>
        </w:rPr>
      </w:pPr>
      <w:r>
        <w:rPr>
          <w:rFonts w:ascii="Times New Roman"/>
          <w:sz w:val="20"/>
        </w:rPr>
        <w:pict>
          <v:group style="width:541.050pt;height:23.05pt;mso-position-horizontal-relative:char;mso-position-vertical-relative:line" coordorigin="0,0" coordsize="10821,461">
            <v:shape style="position:absolute;left:0;top:0;width:10803;height:461" coordorigin="0,0" coordsize="10803,461" path="m10802,0l1556,0,0,0,0,461,1556,461,10802,461,10802,0xe" filled="true" fillcolor="#f1f1f1" stroked="false">
              <v:path arrowok="t"/>
              <v:fill type="solid"/>
            </v:shape>
            <v:shape style="position:absolute;left:120;top:9;width:1002;height:221" type="#_x0000_t202" filled="false" stroked="false">
              <v:textbox inset="0,0,0,0">
                <w:txbxContent>
                  <w:p>
                    <w:pPr>
                      <w:spacing w:line="221" w:lineRule="exact" w:before="0"/>
                      <w:ind w:left="0" w:right="0" w:firstLine="0"/>
                      <w:jc w:val="left"/>
                      <w:rPr>
                        <w:rFonts w:ascii="Times New Roman"/>
                        <w:sz w:val="20"/>
                      </w:rPr>
                    </w:pPr>
                    <w:r>
                      <w:rPr>
                        <w:rFonts w:ascii="Times New Roman"/>
                        <w:color w:val="1E6C2C"/>
                        <w:sz w:val="20"/>
                      </w:rPr>
                      <w:t>Site Details:</w:t>
                    </w:r>
                  </w:p>
                </w:txbxContent>
              </v:textbox>
              <w10:wrap type="none"/>
            </v:shape>
            <v:shape style="position:absolute;left:1555;top:9;width:9266;height:451" type="#_x0000_t202" filled="false" stroked="false">
              <v:textbox inset="0,0,0,0">
                <w:txbxContent>
                  <w:p>
                    <w:pPr>
                      <w:numPr>
                        <w:ilvl w:val="0"/>
                        <w:numId w:val="4"/>
                      </w:numPr>
                      <w:tabs>
                        <w:tab w:pos="264" w:val="left" w:leader="none"/>
                      </w:tabs>
                      <w:spacing w:line="240" w:lineRule="auto" w:before="0"/>
                      <w:ind w:left="264" w:right="18" w:hanging="264"/>
                      <w:jc w:val="left"/>
                      <w:rPr>
                        <w:rFonts w:ascii="Times New Roman"/>
                        <w:sz w:val="20"/>
                      </w:rPr>
                    </w:pPr>
                    <w:r>
                      <w:rPr>
                        <w:rFonts w:ascii="Times New Roman"/>
                        <w:sz w:val="20"/>
                      </w:rPr>
                      <w:t>Based on title due-diligence information provided by the Client, the Valuer understands that the subject properties are free from any encroachments and are available as on the date of the</w:t>
                    </w:r>
                    <w:r>
                      <w:rPr>
                        <w:rFonts w:ascii="Times New Roman"/>
                        <w:spacing w:val="-6"/>
                        <w:sz w:val="20"/>
                      </w:rPr>
                      <w:t> </w:t>
                    </w:r>
                    <w:r>
                      <w:rPr>
                        <w:rFonts w:ascii="Times New Roman"/>
                        <w:sz w:val="20"/>
                      </w:rPr>
                      <w:t>valuation</w:t>
                    </w:r>
                  </w:p>
                </w:txbxContent>
              </v:textbox>
              <w10:wrap type="none"/>
            </v:shape>
          </v:group>
        </w:pict>
      </w:r>
      <w:r>
        <w:rPr>
          <w:rFonts w:ascii="Times New Roman"/>
          <w:sz w:val="20"/>
        </w:rPr>
      </w:r>
    </w:p>
    <w:p>
      <w:pPr>
        <w:spacing w:line="199" w:lineRule="exact" w:before="0"/>
        <w:ind w:left="220" w:right="0" w:firstLine="0"/>
        <w:jc w:val="both"/>
        <w:rPr>
          <w:rFonts w:ascii="Times New Roman" w:hAnsi="Times New Roman"/>
          <w:sz w:val="20"/>
        </w:rPr>
      </w:pPr>
      <w:r>
        <w:rPr>
          <w:rFonts w:ascii="Times New Roman" w:hAnsi="Times New Roman"/>
          <w:color w:val="1E6C2C"/>
          <w:sz w:val="20"/>
        </w:rPr>
        <w:t>Property Title: </w:t>
      </w:r>
      <w:r>
        <w:rPr>
          <w:rFonts w:ascii="Times New Roman" w:hAnsi="Times New Roman"/>
          <w:sz w:val="20"/>
        </w:rPr>
        <w:t>• For the purpose of this valuation exercise, the Valuer has relied on the Title Reports prepared by the Legal</w:t>
      </w:r>
    </w:p>
    <w:p>
      <w:pPr>
        <w:spacing w:before="0"/>
        <w:ind w:left="1919" w:right="134" w:firstLine="0"/>
        <w:jc w:val="both"/>
        <w:rPr>
          <w:rFonts w:ascii="Times New Roman"/>
          <w:sz w:val="20"/>
        </w:rPr>
      </w:pPr>
      <w:r>
        <w:rPr>
          <w:rFonts w:ascii="Times New Roman"/>
          <w:sz w:val="20"/>
        </w:rPr>
        <w:t>Counsels for each of the properties and has made no further enquiries with the relevant local authorities in this regard. The Valuer understands that the subject properties may have encumbrances, disputes and claims. The Valuer does not have the expertise or the preview to verify the veracity or quantify these encumbrances, disputes or claims. For the purpose of this valuation, the Valuer has assumed that the respective assets have title deeds that are clear and marketable.</w:t>
      </w:r>
    </w:p>
    <w:p>
      <w:pPr>
        <w:pStyle w:val="BodyText"/>
        <w:ind w:left="100"/>
        <w:rPr>
          <w:rFonts w:ascii="Times New Roman"/>
          <w:sz w:val="20"/>
        </w:rPr>
      </w:pPr>
      <w:r>
        <w:rPr>
          <w:rFonts w:ascii="Times New Roman"/>
          <w:sz w:val="20"/>
        </w:rPr>
        <w:pict>
          <v:shape style="width:540.15pt;height:34.6pt;mso-position-horizontal-relative:char;mso-position-vertical-relative:line" type="#_x0000_t202" filled="true" fillcolor="#f1f1f1" stroked="false">
            <w10:anchorlock/>
            <v:textbox inset="0,0,0,0">
              <w:txbxContent>
                <w:p>
                  <w:pPr>
                    <w:tabs>
                      <w:tab w:pos="1555" w:val="left" w:leader="none"/>
                      <w:tab w:pos="1819" w:val="left" w:leader="none"/>
                    </w:tabs>
                    <w:spacing w:before="0"/>
                    <w:ind w:left="120" w:right="9" w:firstLine="0"/>
                    <w:jc w:val="center"/>
                    <w:rPr>
                      <w:rFonts w:ascii="Times New Roman" w:hAnsi="Times New Roman"/>
                      <w:sz w:val="20"/>
                    </w:rPr>
                  </w:pPr>
                  <w:r>
                    <w:rPr>
                      <w:rFonts w:ascii="Times New Roman" w:hAnsi="Times New Roman"/>
                      <w:color w:val="1E6C2C"/>
                      <w:sz w:val="20"/>
                    </w:rPr>
                    <w:t>Environmental</w:t>
                    <w:tab/>
                  </w:r>
                  <w:r>
                    <w:rPr>
                      <w:rFonts w:ascii="Times New Roman" w:hAnsi="Times New Roman"/>
                      <w:sz w:val="20"/>
                    </w:rPr>
                    <w:t>• The Valuer has assumed that the subject properties are not contaminated and are not adversely affected by any </w:t>
                  </w:r>
                  <w:r>
                    <w:rPr>
                      <w:rFonts w:ascii="Times New Roman" w:hAnsi="Times New Roman"/>
                      <w:color w:val="1E6C2C"/>
                      <w:sz w:val="20"/>
                    </w:rPr>
                    <w:t>Conditions:</w:t>
                    <w:tab/>
                    <w:tab/>
                  </w:r>
                  <w:r>
                    <w:rPr>
                      <w:rFonts w:ascii="Times New Roman" w:hAnsi="Times New Roman"/>
                      <w:sz w:val="20"/>
                    </w:rPr>
                    <w:t>existing or proposed environmental law and any processes which are carried out on the properties are</w:t>
                  </w:r>
                  <w:r>
                    <w:rPr>
                      <w:rFonts w:ascii="Times New Roman" w:hAnsi="Times New Roman"/>
                      <w:spacing w:val="48"/>
                      <w:sz w:val="20"/>
                    </w:rPr>
                    <w:t> </w:t>
                  </w:r>
                  <w:r>
                    <w:rPr>
                      <w:rFonts w:ascii="Times New Roman" w:hAnsi="Times New Roman"/>
                      <w:sz w:val="20"/>
                    </w:rPr>
                    <w:t>regulated</w:t>
                  </w:r>
                </w:p>
                <w:p>
                  <w:pPr>
                    <w:spacing w:before="1"/>
                    <w:ind w:left="120" w:right="528" w:firstLine="0"/>
                    <w:jc w:val="center"/>
                    <w:rPr>
                      <w:rFonts w:ascii="Times New Roman"/>
                      <w:sz w:val="20"/>
                    </w:rPr>
                  </w:pPr>
                  <w:r>
                    <w:rPr>
                      <w:rFonts w:ascii="Times New Roman"/>
                      <w:sz w:val="20"/>
                    </w:rPr>
                    <w:t>by environmental legislation and are properly licensed by the appropriate authorities</w:t>
                  </w:r>
                </w:p>
              </w:txbxContent>
            </v:textbox>
            <v:fill type="solid"/>
          </v:shape>
        </w:pict>
      </w:r>
      <w:r>
        <w:rPr>
          <w:rFonts w:ascii="Times New Roman"/>
          <w:sz w:val="20"/>
        </w:rPr>
      </w:r>
    </w:p>
    <w:p>
      <w:pPr>
        <w:spacing w:line="202" w:lineRule="exact" w:before="0"/>
        <w:ind w:left="220" w:right="0" w:firstLine="0"/>
        <w:jc w:val="both"/>
        <w:rPr>
          <w:rFonts w:ascii="Times New Roman" w:hAnsi="Times New Roman"/>
          <w:sz w:val="20"/>
        </w:rPr>
      </w:pPr>
      <w:r>
        <w:rPr>
          <w:rFonts w:ascii="Times New Roman" w:hAnsi="Times New Roman"/>
          <w:color w:val="1E6C2C"/>
          <w:sz w:val="20"/>
        </w:rPr>
        <w:t>Town Planning: </w:t>
      </w:r>
      <w:r>
        <w:rPr>
          <w:rFonts w:ascii="Times New Roman" w:hAnsi="Times New Roman"/>
          <w:sz w:val="20"/>
        </w:rPr>
        <w:t>• The current zoning of the subject properties has been adopted on the basis of review of various documents (title</w:t>
      </w:r>
    </w:p>
    <w:p>
      <w:pPr>
        <w:spacing w:before="0"/>
        <w:ind w:left="1919" w:right="135" w:firstLine="0"/>
        <w:jc w:val="both"/>
        <w:rPr>
          <w:rFonts w:ascii="Times New Roman"/>
          <w:sz w:val="20"/>
        </w:rPr>
      </w:pPr>
      <w:r>
        <w:rPr>
          <w:rFonts w:ascii="Times New Roman"/>
          <w:sz w:val="20"/>
        </w:rPr>
        <w:t>deeds) provided by the Instructing Party and the current land use maps for the subject region. The same has been considered for the purpose of this valuation exercise. Further, it has been assumed that the development on the subject properties adheres/ would adhere to the development regulations as prescribed by the relevant authorities. The Valuer has not made any enquiries with the relevant development authorities to validate the legality of the same.</w:t>
      </w:r>
    </w:p>
    <w:p>
      <w:pPr>
        <w:pStyle w:val="BodyText"/>
        <w:ind w:left="100"/>
        <w:rPr>
          <w:rFonts w:ascii="Times New Roman"/>
          <w:sz w:val="20"/>
        </w:rPr>
      </w:pPr>
      <w:r>
        <w:rPr>
          <w:rFonts w:ascii="Times New Roman"/>
          <w:sz w:val="20"/>
        </w:rPr>
        <w:pict>
          <v:group style="width:541pt;height:57.55pt;mso-position-horizontal-relative:char;mso-position-vertical-relative:line" coordorigin="0,0" coordsize="10820,1151">
            <v:shape style="position:absolute;left:0;top:0;width:10803;height:1151" coordorigin="0,0" coordsize="10803,1151" path="m10802,0l1556,0,0,0,0,1150,1556,1150,10802,1150,10802,0xe" filled="true" fillcolor="#f1f1f1" stroked="false">
              <v:path arrowok="t"/>
              <v:fill type="solid"/>
            </v:shape>
            <v:shape style="position:absolute;left:120;top:9;width:464;height:221" type="#_x0000_t202" filled="false" stroked="false">
              <v:textbox inset="0,0,0,0">
                <w:txbxContent>
                  <w:p>
                    <w:pPr>
                      <w:spacing w:line="221" w:lineRule="exact" w:before="0"/>
                      <w:ind w:left="0" w:right="0" w:firstLine="0"/>
                      <w:jc w:val="left"/>
                      <w:rPr>
                        <w:rFonts w:ascii="Times New Roman"/>
                        <w:sz w:val="20"/>
                      </w:rPr>
                    </w:pPr>
                    <w:r>
                      <w:rPr>
                        <w:rFonts w:ascii="Times New Roman"/>
                        <w:color w:val="1E6C2C"/>
                        <w:sz w:val="20"/>
                      </w:rPr>
                      <w:t>Area:</w:t>
                    </w:r>
                  </w:p>
                </w:txbxContent>
              </v:textbox>
              <w10:wrap type="none"/>
            </v:shape>
            <v:shape style="position:absolute;left:1555;top:9;width:9264;height:1141" type="#_x0000_t202" filled="false" stroked="false">
              <v:textbox inset="0,0,0,0">
                <w:txbxContent>
                  <w:p>
                    <w:pPr>
                      <w:numPr>
                        <w:ilvl w:val="0"/>
                        <w:numId w:val="5"/>
                      </w:numPr>
                      <w:tabs>
                        <w:tab w:pos="264" w:val="left" w:leader="none"/>
                      </w:tabs>
                      <w:spacing w:line="240" w:lineRule="auto" w:before="0"/>
                      <w:ind w:left="264" w:right="18" w:hanging="264"/>
                      <w:jc w:val="both"/>
                      <w:rPr>
                        <w:rFonts w:ascii="Times New Roman"/>
                        <w:sz w:val="20"/>
                      </w:rPr>
                    </w:pPr>
                    <w:r>
                      <w:rPr>
                        <w:rFonts w:ascii="Times New Roman"/>
                        <w:sz w:val="20"/>
                      </w:rPr>
                      <w:t>The total leasable area considered for the purpose of this valuation exercise is based on the rent rolls/ Architect certificate provided by the Instructing Party. It must be noted that the above information has been provided by the Client and has been verified based on the approvals/ layout plans/building plans provided by the Client. However, the Valuer has not undertaken additional verification and physical measurement for the purpose of this valuation</w:t>
                    </w:r>
                    <w:r>
                      <w:rPr>
                        <w:rFonts w:ascii="Times New Roman"/>
                        <w:spacing w:val="-1"/>
                        <w:sz w:val="20"/>
                      </w:rPr>
                      <w:t> </w:t>
                    </w:r>
                    <w:r>
                      <w:rPr>
                        <w:rFonts w:ascii="Times New Roman"/>
                        <w:sz w:val="20"/>
                      </w:rPr>
                      <w:t>exercise</w:t>
                    </w:r>
                  </w:p>
                </w:txbxContent>
              </v:textbox>
              <w10:wrap type="none"/>
            </v:shape>
          </v:group>
        </w:pict>
      </w:r>
      <w:r>
        <w:rPr>
          <w:rFonts w:ascii="Times New Roman"/>
          <w:sz w:val="20"/>
        </w:rPr>
      </w:r>
    </w:p>
    <w:p>
      <w:pPr>
        <w:spacing w:after="0"/>
        <w:rPr>
          <w:rFonts w:ascii="Times New Roman"/>
          <w:sz w:val="20"/>
        </w:rPr>
        <w:sectPr>
          <w:type w:val="continuous"/>
          <w:pgSz w:w="12240" w:h="15840"/>
          <w:pgMar w:top="800" w:bottom="280" w:left="620" w:right="580"/>
        </w:sectPr>
      </w:pPr>
    </w:p>
    <w:p>
      <w:pPr>
        <w:spacing w:line="200" w:lineRule="exact" w:before="0"/>
        <w:ind w:left="220" w:right="0" w:firstLine="0"/>
        <w:jc w:val="left"/>
        <w:rPr>
          <w:rFonts w:ascii="Times New Roman"/>
          <w:sz w:val="20"/>
        </w:rPr>
      </w:pPr>
      <w:r>
        <w:rPr>
          <w:rFonts w:ascii="Times New Roman"/>
          <w:color w:val="1E6C2C"/>
          <w:sz w:val="20"/>
        </w:rPr>
        <w:t>Condition &amp;</w:t>
      </w:r>
    </w:p>
    <w:p>
      <w:pPr>
        <w:spacing w:before="0"/>
        <w:ind w:left="220" w:right="0" w:firstLine="0"/>
        <w:jc w:val="left"/>
        <w:rPr>
          <w:rFonts w:ascii="Times New Roman"/>
          <w:sz w:val="20"/>
        </w:rPr>
      </w:pPr>
      <w:r>
        <w:rPr>
          <w:rFonts w:ascii="Times New Roman"/>
          <w:color w:val="1E6C2C"/>
          <w:sz w:val="20"/>
        </w:rPr>
        <w:t>Repair:</w:t>
      </w:r>
    </w:p>
    <w:p>
      <w:pPr>
        <w:pStyle w:val="ListParagraph"/>
        <w:numPr>
          <w:ilvl w:val="0"/>
          <w:numId w:val="3"/>
        </w:numPr>
        <w:tabs>
          <w:tab w:pos="484" w:val="left" w:leader="none"/>
        </w:tabs>
        <w:spacing w:line="200" w:lineRule="exact" w:before="0" w:after="0"/>
        <w:ind w:left="484" w:right="0" w:hanging="264"/>
        <w:jc w:val="both"/>
        <w:rPr>
          <w:rFonts w:ascii="Times New Roman" w:hAnsi="Times New Roman"/>
          <w:sz w:val="20"/>
        </w:rPr>
      </w:pPr>
      <w:r>
        <w:rPr>
          <w:rFonts w:ascii="Times New Roman" w:hAnsi="Times New Roman"/>
          <w:w w:val="99"/>
          <w:sz w:val="20"/>
        </w:rPr>
        <w:br w:type="column"/>
      </w:r>
      <w:r>
        <w:rPr>
          <w:rFonts w:ascii="Times New Roman" w:hAnsi="Times New Roman"/>
          <w:sz w:val="20"/>
        </w:rPr>
        <w:t>In</w:t>
      </w:r>
      <w:r>
        <w:rPr>
          <w:rFonts w:ascii="Times New Roman" w:hAnsi="Times New Roman"/>
          <w:spacing w:val="15"/>
          <w:sz w:val="20"/>
        </w:rPr>
        <w:t> </w:t>
      </w:r>
      <w:r>
        <w:rPr>
          <w:rFonts w:ascii="Times New Roman" w:hAnsi="Times New Roman"/>
          <w:sz w:val="20"/>
        </w:rPr>
        <w:t>the</w:t>
      </w:r>
      <w:r>
        <w:rPr>
          <w:rFonts w:ascii="Times New Roman" w:hAnsi="Times New Roman"/>
          <w:spacing w:val="15"/>
          <w:sz w:val="20"/>
        </w:rPr>
        <w:t> </w:t>
      </w:r>
      <w:r>
        <w:rPr>
          <w:rFonts w:ascii="Times New Roman" w:hAnsi="Times New Roman"/>
          <w:sz w:val="20"/>
        </w:rPr>
        <w:t>absence</w:t>
      </w:r>
      <w:r>
        <w:rPr>
          <w:rFonts w:ascii="Times New Roman" w:hAnsi="Times New Roman"/>
          <w:spacing w:val="16"/>
          <w:sz w:val="20"/>
        </w:rPr>
        <w:t> </w:t>
      </w:r>
      <w:r>
        <w:rPr>
          <w:rFonts w:ascii="Times New Roman" w:hAnsi="Times New Roman"/>
          <w:sz w:val="20"/>
        </w:rPr>
        <w:t>of</w:t>
      </w:r>
      <w:r>
        <w:rPr>
          <w:rFonts w:ascii="Times New Roman" w:hAnsi="Times New Roman"/>
          <w:spacing w:val="15"/>
          <w:sz w:val="20"/>
        </w:rPr>
        <w:t> </w:t>
      </w:r>
      <w:r>
        <w:rPr>
          <w:rFonts w:ascii="Times New Roman" w:hAnsi="Times New Roman"/>
          <w:sz w:val="20"/>
        </w:rPr>
        <w:t>any</w:t>
      </w:r>
      <w:r>
        <w:rPr>
          <w:rFonts w:ascii="Times New Roman" w:hAnsi="Times New Roman"/>
          <w:spacing w:val="15"/>
          <w:sz w:val="20"/>
        </w:rPr>
        <w:t> </w:t>
      </w:r>
      <w:r>
        <w:rPr>
          <w:rFonts w:ascii="Times New Roman" w:hAnsi="Times New Roman"/>
          <w:sz w:val="20"/>
        </w:rPr>
        <w:t>information</w:t>
      </w:r>
      <w:r>
        <w:rPr>
          <w:rFonts w:ascii="Times New Roman" w:hAnsi="Times New Roman"/>
          <w:spacing w:val="16"/>
          <w:sz w:val="20"/>
        </w:rPr>
        <w:t> </w:t>
      </w:r>
      <w:r>
        <w:rPr>
          <w:rFonts w:ascii="Times New Roman" w:hAnsi="Times New Roman"/>
          <w:sz w:val="20"/>
        </w:rPr>
        <w:t>to</w:t>
      </w:r>
      <w:r>
        <w:rPr>
          <w:rFonts w:ascii="Times New Roman" w:hAnsi="Times New Roman"/>
          <w:spacing w:val="15"/>
          <w:sz w:val="20"/>
        </w:rPr>
        <w:t> </w:t>
      </w:r>
      <w:r>
        <w:rPr>
          <w:rFonts w:ascii="Times New Roman" w:hAnsi="Times New Roman"/>
          <w:sz w:val="20"/>
        </w:rPr>
        <w:t>the</w:t>
      </w:r>
      <w:r>
        <w:rPr>
          <w:rFonts w:ascii="Times New Roman" w:hAnsi="Times New Roman"/>
          <w:spacing w:val="16"/>
          <w:sz w:val="20"/>
        </w:rPr>
        <w:t> </w:t>
      </w:r>
      <w:r>
        <w:rPr>
          <w:rFonts w:ascii="Times New Roman" w:hAnsi="Times New Roman"/>
          <w:sz w:val="20"/>
        </w:rPr>
        <w:t>contrary,</w:t>
      </w:r>
      <w:r>
        <w:rPr>
          <w:rFonts w:ascii="Times New Roman" w:hAnsi="Times New Roman"/>
          <w:spacing w:val="23"/>
          <w:sz w:val="20"/>
        </w:rPr>
        <w:t> </w:t>
      </w:r>
      <w:r>
        <w:rPr>
          <w:rFonts w:ascii="Times New Roman" w:hAnsi="Times New Roman"/>
          <w:sz w:val="20"/>
        </w:rPr>
        <w:t>the</w:t>
      </w:r>
      <w:r>
        <w:rPr>
          <w:rFonts w:ascii="Times New Roman" w:hAnsi="Times New Roman"/>
          <w:spacing w:val="15"/>
          <w:sz w:val="20"/>
        </w:rPr>
        <w:t> </w:t>
      </w:r>
      <w:r>
        <w:rPr>
          <w:rFonts w:ascii="Times New Roman" w:hAnsi="Times New Roman"/>
          <w:sz w:val="20"/>
        </w:rPr>
        <w:t>Valuer</w:t>
      </w:r>
      <w:r>
        <w:rPr>
          <w:rFonts w:ascii="Times New Roman" w:hAnsi="Times New Roman"/>
          <w:spacing w:val="18"/>
          <w:sz w:val="20"/>
        </w:rPr>
        <w:t> </w:t>
      </w:r>
      <w:r>
        <w:rPr>
          <w:rFonts w:ascii="Times New Roman" w:hAnsi="Times New Roman"/>
          <w:sz w:val="20"/>
        </w:rPr>
        <w:t>has</w:t>
      </w:r>
      <w:r>
        <w:rPr>
          <w:rFonts w:ascii="Times New Roman" w:hAnsi="Times New Roman"/>
          <w:spacing w:val="15"/>
          <w:sz w:val="20"/>
        </w:rPr>
        <w:t> </w:t>
      </w:r>
      <w:r>
        <w:rPr>
          <w:rFonts w:ascii="Times New Roman" w:hAnsi="Times New Roman"/>
          <w:sz w:val="20"/>
        </w:rPr>
        <w:t>assumed</w:t>
      </w:r>
      <w:r>
        <w:rPr>
          <w:rFonts w:ascii="Times New Roman" w:hAnsi="Times New Roman"/>
          <w:spacing w:val="16"/>
          <w:sz w:val="20"/>
        </w:rPr>
        <w:t> </w:t>
      </w:r>
      <w:r>
        <w:rPr>
          <w:rFonts w:ascii="Times New Roman" w:hAnsi="Times New Roman"/>
          <w:sz w:val="20"/>
        </w:rPr>
        <w:t>that</w:t>
      </w:r>
      <w:r>
        <w:rPr>
          <w:rFonts w:ascii="Times New Roman" w:hAnsi="Times New Roman"/>
          <w:spacing w:val="16"/>
          <w:sz w:val="20"/>
        </w:rPr>
        <w:t> </w:t>
      </w:r>
      <w:r>
        <w:rPr>
          <w:rFonts w:ascii="Times New Roman" w:hAnsi="Times New Roman"/>
          <w:sz w:val="20"/>
        </w:rPr>
        <w:t>there</w:t>
      </w:r>
      <w:r>
        <w:rPr>
          <w:rFonts w:ascii="Times New Roman" w:hAnsi="Times New Roman"/>
          <w:spacing w:val="15"/>
          <w:sz w:val="20"/>
        </w:rPr>
        <w:t> </w:t>
      </w:r>
      <w:r>
        <w:rPr>
          <w:rFonts w:ascii="Times New Roman" w:hAnsi="Times New Roman"/>
          <w:sz w:val="20"/>
        </w:rPr>
        <w:t>are</w:t>
      </w:r>
      <w:r>
        <w:rPr>
          <w:rFonts w:ascii="Times New Roman" w:hAnsi="Times New Roman"/>
          <w:spacing w:val="15"/>
          <w:sz w:val="20"/>
        </w:rPr>
        <w:t> </w:t>
      </w:r>
      <w:r>
        <w:rPr>
          <w:rFonts w:ascii="Times New Roman" w:hAnsi="Times New Roman"/>
          <w:sz w:val="20"/>
        </w:rPr>
        <w:t>no</w:t>
      </w:r>
      <w:r>
        <w:rPr>
          <w:rFonts w:ascii="Times New Roman" w:hAnsi="Times New Roman"/>
          <w:spacing w:val="16"/>
          <w:sz w:val="20"/>
        </w:rPr>
        <w:t> </w:t>
      </w:r>
      <w:r>
        <w:rPr>
          <w:rFonts w:ascii="Times New Roman" w:hAnsi="Times New Roman"/>
          <w:sz w:val="20"/>
        </w:rPr>
        <w:t>abnormal</w:t>
      </w:r>
      <w:r>
        <w:rPr>
          <w:rFonts w:ascii="Times New Roman" w:hAnsi="Times New Roman"/>
          <w:spacing w:val="15"/>
          <w:sz w:val="20"/>
        </w:rPr>
        <w:t> </w:t>
      </w:r>
      <w:r>
        <w:rPr>
          <w:rFonts w:ascii="Times New Roman" w:hAnsi="Times New Roman"/>
          <w:sz w:val="20"/>
        </w:rPr>
        <w:t>ground</w:t>
      </w:r>
    </w:p>
    <w:p>
      <w:pPr>
        <w:spacing w:before="0"/>
        <w:ind w:left="484" w:right="140" w:firstLine="0"/>
        <w:jc w:val="both"/>
        <w:rPr>
          <w:rFonts w:ascii="Times New Roman"/>
          <w:sz w:val="20"/>
        </w:rPr>
      </w:pPr>
      <w:r>
        <w:rPr>
          <w:rFonts w:ascii="Times New Roman"/>
          <w:sz w:val="20"/>
        </w:rPr>
        <w:t>conditions, nor archaeological remains present which might adversely affect the current or future occupation, development or value of the property; the property is free from rot, infestation, structural or latent defect; no currently known deleterious or hazardous materials or suspect techniques will be used in the construction of or subsequent alterations or additions to the property and comments made in the property details do not purport to express an opinion about, or advice upon, the condition of uninspected parts and should not be taken as making an implied representation or statement about such parts</w:t>
      </w:r>
    </w:p>
    <w:p>
      <w:pPr>
        <w:spacing w:after="0"/>
        <w:jc w:val="both"/>
        <w:rPr>
          <w:rFonts w:ascii="Times New Roman"/>
          <w:sz w:val="20"/>
        </w:rPr>
        <w:sectPr>
          <w:type w:val="continuous"/>
          <w:pgSz w:w="12240" w:h="15840"/>
          <w:pgMar w:top="800" w:bottom="280" w:left="620" w:right="580"/>
          <w:cols w:num="2" w:equalWidth="0">
            <w:col w:w="1268" w:space="168"/>
            <w:col w:w="9604"/>
          </w:cols>
        </w:sectPr>
      </w:pPr>
    </w:p>
    <w:p>
      <w:pPr>
        <w:pStyle w:val="BodyText"/>
        <w:spacing w:before="10"/>
        <w:rPr>
          <w:rFonts w:ascii="Times New Roman"/>
          <w:sz w:val="25"/>
        </w:rPr>
      </w:pPr>
    </w:p>
    <w:p>
      <w:pPr>
        <w:pStyle w:val="BodyText"/>
        <w:ind w:left="100"/>
        <w:rPr>
          <w:rFonts w:ascii="Times New Roman"/>
          <w:sz w:val="20"/>
        </w:rPr>
      </w:pPr>
      <w:r>
        <w:rPr>
          <w:rFonts w:ascii="Times New Roman"/>
          <w:sz w:val="20"/>
        </w:rPr>
        <w:pict>
          <v:shape style="width:540.15pt;height:23.1pt;mso-position-horizontal-relative:char;mso-position-vertical-relative:line" type="#_x0000_t202" filled="true" fillcolor="#f1f1f1" stroked="false">
            <w10:anchorlock/>
            <v:textbox inset="0,0,0,0">
              <w:txbxContent>
                <w:p>
                  <w:pPr>
                    <w:spacing w:before="0"/>
                    <w:ind w:left="120" w:right="2729" w:firstLine="0"/>
                    <w:jc w:val="left"/>
                    <w:rPr>
                      <w:rFonts w:ascii="Times New Roman" w:hAnsi="Times New Roman"/>
                      <w:sz w:val="20"/>
                    </w:rPr>
                  </w:pPr>
                  <w:r>
                    <w:rPr>
                      <w:rFonts w:ascii="Times New Roman" w:hAnsi="Times New Roman"/>
                      <w:color w:val="1E6C2C"/>
                      <w:sz w:val="20"/>
                    </w:rPr>
                    <w:t>Not a Structural </w:t>
                  </w:r>
                  <w:r>
                    <w:rPr>
                      <w:rFonts w:ascii="Times New Roman" w:hAnsi="Times New Roman"/>
                      <w:sz w:val="20"/>
                    </w:rPr>
                    <w:t>• The Valuer states that this is a valuation report and not a structural survey </w:t>
                  </w:r>
                  <w:r>
                    <w:rPr>
                      <w:rFonts w:ascii="Times New Roman" w:hAnsi="Times New Roman"/>
                      <w:color w:val="1E6C2C"/>
                      <w:sz w:val="20"/>
                    </w:rPr>
                    <w:t>Survey:</w:t>
                  </w:r>
                </w:p>
              </w:txbxContent>
            </v:textbox>
            <v:fill type="solid"/>
          </v:shape>
        </w:pict>
      </w:r>
      <w:r>
        <w:rPr>
          <w:rFonts w:ascii="Times New Roman"/>
          <w:sz w:val="20"/>
        </w:rPr>
      </w:r>
    </w:p>
    <w:p>
      <w:pPr>
        <w:tabs>
          <w:tab w:pos="1655" w:val="left" w:leader="none"/>
        </w:tabs>
        <w:spacing w:line="211" w:lineRule="exact" w:before="0"/>
        <w:ind w:left="220" w:right="0" w:firstLine="0"/>
        <w:jc w:val="left"/>
        <w:rPr>
          <w:rFonts w:ascii="Times New Roman" w:hAnsi="Times New Roman"/>
          <w:sz w:val="20"/>
        </w:rPr>
      </w:pPr>
      <w:r>
        <w:rPr>
          <w:rFonts w:ascii="Times New Roman" w:hAnsi="Times New Roman"/>
          <w:color w:val="1E6C2C"/>
          <w:sz w:val="20"/>
        </w:rPr>
        <w:t>Legal:</w:t>
        <w:tab/>
      </w:r>
      <w:r>
        <w:rPr>
          <w:rFonts w:ascii="Times New Roman" w:hAnsi="Times New Roman"/>
          <w:sz w:val="20"/>
        </w:rPr>
        <w:t>• Unless specifically disclosed in the report, the Valuer has not made any allowances with respect to any</w:t>
      </w:r>
      <w:r>
        <w:rPr>
          <w:rFonts w:ascii="Times New Roman" w:hAnsi="Times New Roman"/>
          <w:spacing w:val="44"/>
          <w:sz w:val="20"/>
        </w:rPr>
        <w:t> </w:t>
      </w:r>
      <w:r>
        <w:rPr>
          <w:rFonts w:ascii="Times New Roman" w:hAnsi="Times New Roman"/>
          <w:sz w:val="20"/>
        </w:rPr>
        <w:t>existing</w:t>
      </w:r>
    </w:p>
    <w:p>
      <w:pPr>
        <w:spacing w:line="229" w:lineRule="exact" w:before="0"/>
        <w:ind w:left="1919" w:right="0" w:firstLine="0"/>
        <w:jc w:val="left"/>
        <w:rPr>
          <w:rFonts w:ascii="Times New Roman"/>
          <w:sz w:val="20"/>
        </w:rPr>
      </w:pPr>
      <w:r>
        <w:rPr>
          <w:rFonts w:ascii="Times New Roman"/>
          <w:sz w:val="20"/>
        </w:rPr>
        <w:t>or proposed local legislation relating to taxation on realization of the sale value of the subject property.</w:t>
      </w:r>
    </w:p>
    <w:p>
      <w:pPr>
        <w:pStyle w:val="BodyText"/>
        <w:ind w:left="100"/>
        <w:rPr>
          <w:rFonts w:ascii="Times New Roman"/>
          <w:sz w:val="20"/>
        </w:rPr>
      </w:pPr>
      <w:r>
        <w:rPr>
          <w:rFonts w:ascii="Times New Roman"/>
          <w:sz w:val="20"/>
        </w:rPr>
        <w:pict>
          <v:group style="width:540.6pt;height:34.6pt;mso-position-horizontal-relative:char;mso-position-vertical-relative:line" coordorigin="0,0" coordsize="10812,692">
            <v:shape style="position:absolute;left:0;top:0;width:10803;height:692" coordorigin="0,0" coordsize="10803,692" path="m10802,0l1556,0,0,0,0,691,1556,691,10802,691,10802,0xe" filled="true" fillcolor="#f1f1f1" stroked="false">
              <v:path arrowok="t"/>
              <v:fill type="solid"/>
            </v:shape>
            <v:shape style="position:absolute;left:120;top:9;width:608;height:221" type="#_x0000_t202" filled="false" stroked="false">
              <v:textbox inset="0,0,0,0">
                <w:txbxContent>
                  <w:p>
                    <w:pPr>
                      <w:spacing w:line="221" w:lineRule="exact" w:before="0"/>
                      <w:ind w:left="0" w:right="0" w:firstLine="0"/>
                      <w:jc w:val="left"/>
                      <w:rPr>
                        <w:rFonts w:ascii="Times New Roman"/>
                        <w:sz w:val="20"/>
                      </w:rPr>
                    </w:pPr>
                    <w:r>
                      <w:rPr>
                        <w:rFonts w:ascii="Times New Roman"/>
                        <w:color w:val="1E6C2C"/>
                        <w:sz w:val="20"/>
                      </w:rPr>
                      <w:t>Others:</w:t>
                    </w:r>
                  </w:p>
                </w:txbxContent>
              </v:textbox>
              <w10:wrap type="none"/>
            </v:shape>
            <v:shape style="position:absolute;left:1555;top:9;width:9256;height:682" type="#_x0000_t202" filled="false" stroked="false">
              <v:textbox inset="0,0,0,0">
                <w:txbxContent>
                  <w:p>
                    <w:pPr>
                      <w:numPr>
                        <w:ilvl w:val="0"/>
                        <w:numId w:val="6"/>
                      </w:numPr>
                      <w:tabs>
                        <w:tab w:pos="264" w:val="left" w:leader="none"/>
                      </w:tabs>
                      <w:spacing w:line="240" w:lineRule="auto" w:before="0"/>
                      <w:ind w:left="264" w:right="18" w:hanging="264"/>
                      <w:jc w:val="both"/>
                      <w:rPr>
                        <w:rFonts w:ascii="Times New Roman"/>
                        <w:sz w:val="20"/>
                      </w:rPr>
                    </w:pPr>
                    <w:r>
                      <w:rPr>
                        <w:rFonts w:ascii="Times New Roman"/>
                        <w:sz w:val="20"/>
                      </w:rPr>
                      <w:t>Considering the unorganized nature of real estate markets in India, all comparable evidence (if any) provided in the valuation report has been limited to the basic details such as the area of asset, rate at which transacted,</w:t>
                    </w:r>
                    <w:r>
                      <w:rPr>
                        <w:rFonts w:ascii="Times New Roman"/>
                        <w:spacing w:val="-26"/>
                        <w:sz w:val="20"/>
                      </w:rPr>
                      <w:t> </w:t>
                    </w:r>
                    <w:r>
                      <w:rPr>
                        <w:rFonts w:ascii="Times New Roman"/>
                        <w:sz w:val="20"/>
                      </w:rPr>
                      <w:t>broad location, etc. other specific details would be provided only if the information is available in public</w:t>
                    </w:r>
                    <w:r>
                      <w:rPr>
                        <w:rFonts w:ascii="Times New Roman"/>
                        <w:spacing w:val="-15"/>
                        <w:sz w:val="20"/>
                      </w:rPr>
                      <w:t> </w:t>
                    </w:r>
                    <w:r>
                      <w:rPr>
                        <w:rFonts w:ascii="Times New Roman"/>
                        <w:sz w:val="20"/>
                      </w:rPr>
                      <w:t>domain</w:t>
                    </w:r>
                  </w:p>
                </w:txbxContent>
              </v:textbox>
              <w10:wrap type="none"/>
            </v:shape>
          </v:group>
        </w:pict>
      </w:r>
      <w:r>
        <w:rPr>
          <w:rFonts w:ascii="Times New Roman"/>
          <w:sz w:val="20"/>
        </w:rPr>
      </w:r>
    </w:p>
    <w:p>
      <w:pPr>
        <w:spacing w:after="0"/>
        <w:rPr>
          <w:rFonts w:ascii="Times New Roman"/>
          <w:sz w:val="20"/>
        </w:rPr>
        <w:sectPr>
          <w:pgSz w:w="12240" w:h="15840"/>
          <w:pgMar w:header="728" w:footer="1174" w:top="1180" w:bottom="1460" w:left="620" w:right="580"/>
        </w:sectPr>
      </w:pPr>
    </w:p>
    <w:p>
      <w:pPr>
        <w:spacing w:line="191" w:lineRule="exact" w:before="0"/>
        <w:ind w:left="220" w:right="0" w:firstLine="0"/>
        <w:jc w:val="left"/>
        <w:rPr>
          <w:rFonts w:ascii="Times New Roman"/>
          <w:sz w:val="20"/>
        </w:rPr>
      </w:pPr>
      <w:r>
        <w:rPr>
          <w:rFonts w:ascii="Times New Roman"/>
          <w:color w:val="1E6C2C"/>
          <w:sz w:val="20"/>
        </w:rPr>
        <w:t>Other</w:t>
      </w:r>
    </w:p>
    <w:p>
      <w:pPr>
        <w:spacing w:line="229" w:lineRule="exact" w:before="0"/>
        <w:ind w:left="220" w:right="0" w:firstLine="0"/>
        <w:jc w:val="left"/>
        <w:rPr>
          <w:rFonts w:ascii="Times New Roman"/>
          <w:sz w:val="20"/>
        </w:rPr>
      </w:pPr>
      <w:r>
        <w:rPr>
          <w:rFonts w:ascii="Times New Roman"/>
          <w:color w:val="1E6C2C"/>
          <w:sz w:val="20"/>
        </w:rPr>
        <w:t>Assumptions:</w:t>
      </w:r>
    </w:p>
    <w:p>
      <w:pPr>
        <w:pStyle w:val="ListParagraph"/>
        <w:numPr>
          <w:ilvl w:val="0"/>
          <w:numId w:val="3"/>
        </w:numPr>
        <w:tabs>
          <w:tab w:pos="484" w:val="left" w:leader="none"/>
        </w:tabs>
        <w:spacing w:line="191" w:lineRule="exact" w:before="0" w:after="0"/>
        <w:ind w:left="484" w:right="0" w:hanging="264"/>
        <w:jc w:val="both"/>
        <w:rPr>
          <w:rFonts w:ascii="Times New Roman" w:hAnsi="Times New Roman"/>
          <w:sz w:val="20"/>
        </w:rPr>
      </w:pPr>
      <w:r>
        <w:rPr>
          <w:rFonts w:ascii="Times New Roman" w:hAnsi="Times New Roman"/>
          <w:spacing w:val="-1"/>
          <w:w w:val="99"/>
          <w:sz w:val="20"/>
        </w:rPr>
        <w:br w:type="column"/>
      </w:r>
      <w:r>
        <w:rPr>
          <w:rFonts w:ascii="Times New Roman" w:hAnsi="Times New Roman"/>
          <w:sz w:val="20"/>
        </w:rPr>
        <w:t>Please</w:t>
      </w:r>
      <w:r>
        <w:rPr>
          <w:rFonts w:ascii="Times New Roman" w:hAnsi="Times New Roman"/>
          <w:spacing w:val="7"/>
          <w:sz w:val="20"/>
        </w:rPr>
        <w:t> </w:t>
      </w:r>
      <w:r>
        <w:rPr>
          <w:rFonts w:ascii="Times New Roman" w:hAnsi="Times New Roman"/>
          <w:sz w:val="20"/>
        </w:rPr>
        <w:t>note</w:t>
      </w:r>
      <w:r>
        <w:rPr>
          <w:rFonts w:ascii="Times New Roman" w:hAnsi="Times New Roman"/>
          <w:spacing w:val="9"/>
          <w:sz w:val="20"/>
        </w:rPr>
        <w:t> </w:t>
      </w:r>
      <w:r>
        <w:rPr>
          <w:rFonts w:ascii="Times New Roman" w:hAnsi="Times New Roman"/>
          <w:sz w:val="20"/>
        </w:rPr>
        <w:t>that</w:t>
      </w:r>
      <w:r>
        <w:rPr>
          <w:rFonts w:ascii="Times New Roman" w:hAnsi="Times New Roman"/>
          <w:spacing w:val="8"/>
          <w:sz w:val="20"/>
        </w:rPr>
        <w:t> </w:t>
      </w:r>
      <w:r>
        <w:rPr>
          <w:rFonts w:ascii="Times New Roman" w:hAnsi="Times New Roman"/>
          <w:sz w:val="20"/>
        </w:rPr>
        <w:t>all</w:t>
      </w:r>
      <w:r>
        <w:rPr>
          <w:rFonts w:ascii="Times New Roman" w:hAnsi="Times New Roman"/>
          <w:spacing w:val="8"/>
          <w:sz w:val="20"/>
        </w:rPr>
        <w:t> </w:t>
      </w:r>
      <w:r>
        <w:rPr>
          <w:rFonts w:ascii="Times New Roman" w:hAnsi="Times New Roman"/>
          <w:sz w:val="20"/>
        </w:rPr>
        <w:t>the</w:t>
      </w:r>
      <w:r>
        <w:rPr>
          <w:rFonts w:ascii="Times New Roman" w:hAnsi="Times New Roman"/>
          <w:spacing w:val="8"/>
          <w:sz w:val="20"/>
        </w:rPr>
        <w:t> </w:t>
      </w:r>
      <w:r>
        <w:rPr>
          <w:rFonts w:ascii="Times New Roman" w:hAnsi="Times New Roman"/>
          <w:sz w:val="20"/>
        </w:rPr>
        <w:t>factual</w:t>
      </w:r>
      <w:r>
        <w:rPr>
          <w:rFonts w:ascii="Times New Roman" w:hAnsi="Times New Roman"/>
          <w:spacing w:val="11"/>
          <w:sz w:val="20"/>
        </w:rPr>
        <w:t> </w:t>
      </w:r>
      <w:r>
        <w:rPr>
          <w:rFonts w:ascii="Times New Roman" w:hAnsi="Times New Roman"/>
          <w:sz w:val="20"/>
        </w:rPr>
        <w:t>information</w:t>
      </w:r>
      <w:r>
        <w:rPr>
          <w:rFonts w:ascii="Times New Roman" w:hAnsi="Times New Roman"/>
          <w:spacing w:val="9"/>
          <w:sz w:val="20"/>
        </w:rPr>
        <w:t> </w:t>
      </w:r>
      <w:r>
        <w:rPr>
          <w:rFonts w:ascii="Times New Roman" w:hAnsi="Times New Roman"/>
          <w:sz w:val="20"/>
        </w:rPr>
        <w:t>such</w:t>
      </w:r>
      <w:r>
        <w:rPr>
          <w:rFonts w:ascii="Times New Roman" w:hAnsi="Times New Roman"/>
          <w:spacing w:val="8"/>
          <w:sz w:val="20"/>
        </w:rPr>
        <w:t> </w:t>
      </w:r>
      <w:r>
        <w:rPr>
          <w:rFonts w:ascii="Times New Roman" w:hAnsi="Times New Roman"/>
          <w:sz w:val="20"/>
        </w:rPr>
        <w:t>as</w:t>
      </w:r>
      <w:r>
        <w:rPr>
          <w:rFonts w:ascii="Times New Roman" w:hAnsi="Times New Roman"/>
          <w:spacing w:val="8"/>
          <w:sz w:val="20"/>
        </w:rPr>
        <w:t> </w:t>
      </w:r>
      <w:r>
        <w:rPr>
          <w:rFonts w:ascii="Times New Roman" w:hAnsi="Times New Roman"/>
          <w:sz w:val="20"/>
        </w:rPr>
        <w:t>tenants’</w:t>
      </w:r>
      <w:r>
        <w:rPr>
          <w:rFonts w:ascii="Times New Roman" w:hAnsi="Times New Roman"/>
          <w:spacing w:val="8"/>
          <w:sz w:val="20"/>
        </w:rPr>
        <w:t> </w:t>
      </w:r>
      <w:r>
        <w:rPr>
          <w:rFonts w:ascii="Times New Roman" w:hAnsi="Times New Roman"/>
          <w:sz w:val="20"/>
        </w:rPr>
        <w:t>leasable</w:t>
      </w:r>
      <w:r>
        <w:rPr>
          <w:rFonts w:ascii="Times New Roman" w:hAnsi="Times New Roman"/>
          <w:spacing w:val="9"/>
          <w:sz w:val="20"/>
        </w:rPr>
        <w:t> </w:t>
      </w:r>
      <w:r>
        <w:rPr>
          <w:rFonts w:ascii="Times New Roman" w:hAnsi="Times New Roman"/>
          <w:sz w:val="20"/>
        </w:rPr>
        <w:t>area,</w:t>
      </w:r>
      <w:r>
        <w:rPr>
          <w:rFonts w:ascii="Times New Roman" w:hAnsi="Times New Roman"/>
          <w:spacing w:val="9"/>
          <w:sz w:val="20"/>
        </w:rPr>
        <w:t> </w:t>
      </w:r>
      <w:r>
        <w:rPr>
          <w:rFonts w:ascii="Times New Roman" w:hAnsi="Times New Roman"/>
          <w:sz w:val="20"/>
        </w:rPr>
        <w:t>lease</w:t>
      </w:r>
      <w:r>
        <w:rPr>
          <w:rFonts w:ascii="Times New Roman" w:hAnsi="Times New Roman"/>
          <w:spacing w:val="8"/>
          <w:sz w:val="20"/>
        </w:rPr>
        <w:t> </w:t>
      </w:r>
      <w:r>
        <w:rPr>
          <w:rFonts w:ascii="Times New Roman" w:hAnsi="Times New Roman"/>
          <w:sz w:val="20"/>
        </w:rPr>
        <w:t>details</w:t>
      </w:r>
      <w:r>
        <w:rPr>
          <w:rFonts w:ascii="Times New Roman" w:hAnsi="Times New Roman"/>
          <w:spacing w:val="10"/>
          <w:sz w:val="20"/>
        </w:rPr>
        <w:t> </w:t>
      </w:r>
      <w:r>
        <w:rPr>
          <w:rFonts w:ascii="Times New Roman" w:hAnsi="Times New Roman"/>
          <w:sz w:val="20"/>
        </w:rPr>
        <w:t>such</w:t>
      </w:r>
      <w:r>
        <w:rPr>
          <w:rFonts w:ascii="Times New Roman" w:hAnsi="Times New Roman"/>
          <w:spacing w:val="9"/>
          <w:sz w:val="20"/>
        </w:rPr>
        <w:t> </w:t>
      </w:r>
      <w:r>
        <w:rPr>
          <w:rFonts w:ascii="Times New Roman" w:hAnsi="Times New Roman"/>
          <w:sz w:val="20"/>
        </w:rPr>
        <w:t>as</w:t>
      </w:r>
      <w:r>
        <w:rPr>
          <w:rFonts w:ascii="Times New Roman" w:hAnsi="Times New Roman"/>
          <w:spacing w:val="8"/>
          <w:sz w:val="20"/>
        </w:rPr>
        <w:t> </w:t>
      </w:r>
      <w:r>
        <w:rPr>
          <w:rFonts w:ascii="Times New Roman" w:hAnsi="Times New Roman"/>
          <w:sz w:val="20"/>
        </w:rPr>
        <w:t>lease</w:t>
      </w:r>
      <w:r>
        <w:rPr>
          <w:rFonts w:ascii="Times New Roman" w:hAnsi="Times New Roman"/>
          <w:spacing w:val="8"/>
          <w:sz w:val="20"/>
        </w:rPr>
        <w:t> </w:t>
      </w:r>
      <w:r>
        <w:rPr>
          <w:rFonts w:ascii="Times New Roman" w:hAnsi="Times New Roman"/>
          <w:sz w:val="20"/>
        </w:rPr>
        <w:t>rent,</w:t>
      </w:r>
      <w:r>
        <w:rPr>
          <w:rFonts w:ascii="Times New Roman" w:hAnsi="Times New Roman"/>
          <w:spacing w:val="9"/>
          <w:sz w:val="20"/>
        </w:rPr>
        <w:t> </w:t>
      </w:r>
      <w:r>
        <w:rPr>
          <w:rFonts w:ascii="Times New Roman" w:hAnsi="Times New Roman"/>
          <w:sz w:val="20"/>
        </w:rPr>
        <w:t>lease</w:t>
      </w:r>
    </w:p>
    <w:p>
      <w:pPr>
        <w:spacing w:before="0"/>
        <w:ind w:left="484" w:right="133" w:firstLine="0"/>
        <w:jc w:val="both"/>
        <w:rPr>
          <w:rFonts w:ascii="Times New Roman" w:hAnsi="Times New Roman"/>
          <w:sz w:val="20"/>
        </w:rPr>
      </w:pPr>
      <w:r>
        <w:rPr>
          <w:rFonts w:ascii="Times New Roman" w:hAnsi="Times New Roman"/>
          <w:sz w:val="20"/>
        </w:rPr>
        <w:t>commencement and lease end date, lock – in period, escalation terms, etc. pertaining to the subject properties is based on the appropriate relevant documents provided by the Client and the same has been adopted for the purpose of this valuation exercise. While we have reviewed a few lease deeds on a sample basis, the Consultants do not take any responsibility towards authenticity of the rent rolls provided by the Client. Any change in the above information will have an impact on the assessed value and in that case the Valuer will have to relook at the assessed value. The relevant information sources are represented in section</w:t>
      </w:r>
      <w:r>
        <w:rPr>
          <w:rFonts w:ascii="Times New Roman" w:hAnsi="Times New Roman"/>
          <w:spacing w:val="-8"/>
          <w:sz w:val="20"/>
        </w:rPr>
        <w:t> </w:t>
      </w:r>
      <w:r>
        <w:rPr>
          <w:rFonts w:ascii="Times New Roman" w:hAnsi="Times New Roman"/>
          <w:sz w:val="20"/>
        </w:rPr>
        <w:t>2.5</w:t>
      </w:r>
    </w:p>
    <w:p>
      <w:pPr>
        <w:pStyle w:val="ListParagraph"/>
        <w:numPr>
          <w:ilvl w:val="0"/>
          <w:numId w:val="3"/>
        </w:numPr>
        <w:tabs>
          <w:tab w:pos="484" w:val="left" w:leader="none"/>
        </w:tabs>
        <w:spacing w:line="240" w:lineRule="auto" w:before="68" w:after="0"/>
        <w:ind w:left="484" w:right="0" w:hanging="264"/>
        <w:jc w:val="both"/>
        <w:rPr>
          <w:rFonts w:ascii="Times New Roman" w:hAnsi="Times New Roman"/>
          <w:sz w:val="20"/>
        </w:rPr>
      </w:pPr>
      <w:r>
        <w:rPr>
          <w:rFonts w:ascii="Times New Roman" w:hAnsi="Times New Roman"/>
          <w:sz w:val="20"/>
        </w:rPr>
        <w:t>All measurements, areas and ages quoted in our report are</w:t>
      </w:r>
      <w:r>
        <w:rPr>
          <w:rFonts w:ascii="Times New Roman" w:hAnsi="Times New Roman"/>
          <w:spacing w:val="-4"/>
          <w:sz w:val="20"/>
        </w:rPr>
        <w:t> </w:t>
      </w:r>
      <w:r>
        <w:rPr>
          <w:rFonts w:ascii="Times New Roman" w:hAnsi="Times New Roman"/>
          <w:sz w:val="20"/>
        </w:rPr>
        <w:t>approximate</w:t>
      </w:r>
    </w:p>
    <w:p>
      <w:pPr>
        <w:pStyle w:val="ListParagraph"/>
        <w:numPr>
          <w:ilvl w:val="0"/>
          <w:numId w:val="3"/>
        </w:numPr>
        <w:tabs>
          <w:tab w:pos="484" w:val="left" w:leader="none"/>
        </w:tabs>
        <w:spacing w:line="240" w:lineRule="auto" w:before="90" w:after="0"/>
        <w:ind w:left="484" w:right="140" w:hanging="264"/>
        <w:jc w:val="both"/>
        <w:rPr>
          <w:rFonts w:ascii="Times New Roman" w:hAnsi="Times New Roman"/>
          <w:sz w:val="20"/>
        </w:rPr>
      </w:pPr>
      <w:r>
        <w:rPr>
          <w:rFonts w:ascii="Times New Roman" w:hAnsi="Times New Roman"/>
          <w:sz w:val="20"/>
        </w:rPr>
        <w:t>We are not advisors with respect to legal tax and regulatory matters for the transaction. No investigation of the respective Special Purpose Vehicles (SPVs) holding the assets’ claim to title of assets has been made for the purpose of this Report and the SPVs’ claim to such rights have been assumed to be valid. No consideration has been given to liens or encumbrances against the assets. Therefore, no responsibility is assumed for matters of a legal nature</w:t>
      </w:r>
    </w:p>
    <w:p>
      <w:pPr>
        <w:pStyle w:val="ListParagraph"/>
        <w:numPr>
          <w:ilvl w:val="0"/>
          <w:numId w:val="3"/>
        </w:numPr>
        <w:tabs>
          <w:tab w:pos="484" w:val="left" w:leader="none"/>
        </w:tabs>
        <w:spacing w:line="240" w:lineRule="auto" w:before="70" w:after="0"/>
        <w:ind w:left="484" w:right="0" w:hanging="264"/>
        <w:jc w:val="both"/>
        <w:rPr>
          <w:rFonts w:ascii="Times New Roman" w:hAnsi="Times New Roman"/>
          <w:sz w:val="20"/>
        </w:rPr>
      </w:pPr>
      <w:r>
        <w:rPr>
          <w:rFonts w:ascii="Times New Roman" w:hAnsi="Times New Roman"/>
          <w:sz w:val="20"/>
        </w:rPr>
        <w:t>Kindly note that we have undertaken a quarterly assessment of cash flows for the purpose of the</w:t>
      </w:r>
      <w:r>
        <w:rPr>
          <w:rFonts w:ascii="Times New Roman" w:hAnsi="Times New Roman"/>
          <w:spacing w:val="-18"/>
          <w:sz w:val="20"/>
        </w:rPr>
        <w:t> </w:t>
      </w:r>
      <w:r>
        <w:rPr>
          <w:rFonts w:ascii="Times New Roman" w:hAnsi="Times New Roman"/>
          <w:sz w:val="20"/>
        </w:rPr>
        <w:t>valuations</w:t>
      </w:r>
    </w:p>
    <w:p>
      <w:pPr>
        <w:pStyle w:val="ListParagraph"/>
        <w:numPr>
          <w:ilvl w:val="0"/>
          <w:numId w:val="3"/>
        </w:numPr>
        <w:tabs>
          <w:tab w:pos="468" w:val="left" w:leader="none"/>
        </w:tabs>
        <w:spacing w:line="240" w:lineRule="auto" w:before="0" w:after="0"/>
        <w:ind w:left="484" w:right="136" w:hanging="264"/>
        <w:jc w:val="both"/>
        <w:rPr>
          <w:rFonts w:ascii="Times New Roman" w:hAnsi="Times New Roman"/>
          <w:sz w:val="20"/>
        </w:rPr>
      </w:pPr>
      <w:r>
        <w:rPr>
          <w:rFonts w:ascii="Times New Roman" w:hAnsi="Times New Roman"/>
          <w:sz w:val="20"/>
        </w:rPr>
        <w:t>Please note that the pending cost to complete highlighted in the individual asset pages (section 5) of this summary valuation report is indicative of pending cost towards base build works only and does not include the cost for refurbishments/ infrastructure upgrade works. The details pertaining to balance cost towards refurbishments/ infrastructure upgrade works have been presented in the detailed valuation</w:t>
      </w:r>
      <w:r>
        <w:rPr>
          <w:rFonts w:ascii="Times New Roman" w:hAnsi="Times New Roman"/>
          <w:spacing w:val="-2"/>
          <w:sz w:val="20"/>
        </w:rPr>
        <w:t> </w:t>
      </w:r>
      <w:r>
        <w:rPr>
          <w:rFonts w:ascii="Times New Roman" w:hAnsi="Times New Roman"/>
          <w:sz w:val="20"/>
        </w:rPr>
        <w:t>report</w:t>
      </w:r>
    </w:p>
    <w:p>
      <w:pPr>
        <w:spacing w:after="0" w:line="240" w:lineRule="auto"/>
        <w:jc w:val="both"/>
        <w:rPr>
          <w:rFonts w:ascii="Times New Roman" w:hAnsi="Times New Roman"/>
          <w:sz w:val="20"/>
        </w:rPr>
        <w:sectPr>
          <w:type w:val="continuous"/>
          <w:pgSz w:w="12240" w:h="15840"/>
          <w:pgMar w:top="800" w:bottom="280" w:left="620" w:right="580"/>
          <w:cols w:num="2" w:equalWidth="0">
            <w:col w:w="1359" w:space="77"/>
            <w:col w:w="9604"/>
          </w:cols>
        </w:sectPr>
      </w:pPr>
    </w:p>
    <w:p>
      <w:pPr>
        <w:pStyle w:val="BodyText"/>
        <w:ind w:left="100"/>
        <w:rPr>
          <w:rFonts w:ascii="Times New Roman"/>
          <w:sz w:val="20"/>
        </w:rPr>
      </w:pPr>
      <w:r>
        <w:rPr>
          <w:rFonts w:ascii="Times New Roman"/>
          <w:sz w:val="20"/>
        </w:rPr>
        <w:pict>
          <v:shape style="width:540.15pt;height:264.55pt;mso-position-horizontal-relative:char;mso-position-vertical-relative:line" type="#_x0000_t202" filled="true" fillcolor="#f1f1f1" stroked="false">
            <w10:anchorlock/>
            <v:textbox inset="0,0,0,0">
              <w:txbxContent>
                <w:p>
                  <w:pPr>
                    <w:tabs>
                      <w:tab w:pos="1555" w:val="left" w:leader="none"/>
                      <w:tab w:pos="1819" w:val="left" w:leader="none"/>
                    </w:tabs>
                    <w:spacing w:before="0"/>
                    <w:ind w:left="264" w:right="2" w:firstLine="0"/>
                    <w:jc w:val="both"/>
                    <w:rPr>
                      <w:rFonts w:ascii="Times New Roman" w:hAnsi="Times New Roman"/>
                      <w:sz w:val="20"/>
                    </w:rPr>
                  </w:pPr>
                  <w:r>
                    <w:rPr>
                      <w:rFonts w:ascii="Times New Roman" w:hAnsi="Times New Roman"/>
                      <w:color w:val="1E6C2C"/>
                      <w:sz w:val="20"/>
                    </w:rPr>
                    <w:t>Material</w:t>
                    <w:tab/>
                  </w:r>
                  <w:r>
                    <w:rPr>
                      <w:rFonts w:ascii="Times New Roman" w:hAnsi="Times New Roman"/>
                      <w:sz w:val="20"/>
                    </w:rPr>
                    <w:t>• The outbreak of the Novel Coronavirus (COVID-19), declared by the World Health Organisation as a “Global </w:t>
                  </w:r>
                  <w:r>
                    <w:rPr>
                      <w:rFonts w:ascii="Times New Roman" w:hAnsi="Times New Roman"/>
                      <w:color w:val="1E6C2C"/>
                      <w:sz w:val="20"/>
                    </w:rPr>
                    <w:t>Valuation</w:t>
                    <w:tab/>
                    <w:tab/>
                  </w:r>
                  <w:r>
                    <w:rPr>
                      <w:rFonts w:ascii="Times New Roman" w:hAnsi="Times New Roman"/>
                      <w:sz w:val="20"/>
                    </w:rPr>
                    <w:t>Pandemic” on the 11</w:t>
                  </w:r>
                  <w:r>
                    <w:rPr>
                      <w:rFonts w:ascii="Times New Roman" w:hAnsi="Times New Roman"/>
                      <w:sz w:val="20"/>
                      <w:vertAlign w:val="superscript"/>
                    </w:rPr>
                    <w:t>th</w:t>
                  </w:r>
                  <w:r>
                    <w:rPr>
                      <w:rFonts w:ascii="Times New Roman" w:hAnsi="Times New Roman"/>
                      <w:sz w:val="20"/>
                      <w:vertAlign w:val="baseline"/>
                    </w:rPr>
                    <w:t> March 2020, is causing heightened uncertainty in both local and global market </w:t>
                  </w:r>
                  <w:r>
                    <w:rPr>
                      <w:rFonts w:ascii="Times New Roman" w:hAnsi="Times New Roman"/>
                      <w:color w:val="1E6C2C"/>
                      <w:sz w:val="20"/>
                      <w:vertAlign w:val="baseline"/>
                    </w:rPr>
                    <w:t>Uncertainty</w:t>
                    <w:tab/>
                    <w:tab/>
                  </w:r>
                  <w:r>
                    <w:rPr>
                      <w:rFonts w:ascii="Times New Roman" w:hAnsi="Times New Roman"/>
                      <w:sz w:val="20"/>
                      <w:vertAlign w:val="baseline"/>
                    </w:rPr>
                    <w:t>conditions. Global financial markets have seen steep declines since late February largely on the back of the </w:t>
                  </w:r>
                  <w:r>
                    <w:rPr>
                      <w:rFonts w:ascii="Times New Roman" w:hAnsi="Times New Roman"/>
                      <w:color w:val="1E6C2C"/>
                      <w:sz w:val="20"/>
                      <w:vertAlign w:val="baseline"/>
                    </w:rPr>
                    <w:t>from Novel</w:t>
                    <w:tab/>
                    <w:tab/>
                  </w:r>
                  <w:r>
                    <w:rPr>
                      <w:rFonts w:ascii="Times New Roman" w:hAnsi="Times New Roman"/>
                      <w:sz w:val="20"/>
                      <w:vertAlign w:val="baseline"/>
                    </w:rPr>
                    <w:t>pandemic over concerns of trade disruptions and falling demand. Many countries globally have implemented </w:t>
                  </w:r>
                  <w:r>
                    <w:rPr>
                      <w:rFonts w:ascii="Times New Roman" w:hAnsi="Times New Roman"/>
                      <w:color w:val="1E6C2C"/>
                      <w:sz w:val="20"/>
                      <w:vertAlign w:val="baseline"/>
                    </w:rPr>
                    <w:t>Coronavirus: </w:t>
                  </w:r>
                  <w:r>
                    <w:rPr>
                      <w:rFonts w:ascii="Times New Roman" w:hAnsi="Times New Roman"/>
                      <w:sz w:val="20"/>
                      <w:vertAlign w:val="baseline"/>
                    </w:rPr>
                    <w:t>strict travel restrictions and a range of quarantine and “social distancing”</w:t>
                  </w:r>
                  <w:r>
                    <w:rPr>
                      <w:rFonts w:ascii="Times New Roman" w:hAnsi="Times New Roman"/>
                      <w:spacing w:val="6"/>
                      <w:sz w:val="20"/>
                      <w:vertAlign w:val="baseline"/>
                    </w:rPr>
                    <w:t> </w:t>
                  </w:r>
                  <w:r>
                    <w:rPr>
                      <w:rFonts w:ascii="Times New Roman" w:hAnsi="Times New Roman"/>
                      <w:sz w:val="20"/>
                      <w:vertAlign w:val="baseline"/>
                    </w:rPr>
                    <w:t>measures.</w:t>
                  </w:r>
                </w:p>
                <w:p>
                  <w:pPr>
                    <w:pStyle w:val="BodyText"/>
                    <w:spacing w:before="1"/>
                    <w:rPr>
                      <w:rFonts w:ascii="Times New Roman"/>
                      <w:sz w:val="20"/>
                    </w:rPr>
                  </w:pPr>
                </w:p>
                <w:p>
                  <w:pPr>
                    <w:spacing w:before="0"/>
                    <w:ind w:left="1819" w:right="-15" w:hanging="12"/>
                    <w:jc w:val="both"/>
                    <w:rPr>
                      <w:rFonts w:ascii="Times New Roman"/>
                      <w:sz w:val="20"/>
                    </w:rPr>
                  </w:pPr>
                  <w:r>
                    <w:rPr>
                      <w:rFonts w:ascii="Times New Roman"/>
                      <w:sz w:val="20"/>
                    </w:rPr>
                    <w:t>Market activity is being impacted in most sectors. In this environment, we have considered / relooked at various performance parameters and have adopted heuristic/ careful interventions to our projected cashflows based on our view as of this date. As at the valuation date, we consider that we can attach less weight to previous market evidence for comparison purposes, to inform opinions of value. Indeed, the current response to COVID-19 means that we are faced with an unprecedented set of circumstances on which to base a judgement.</w:t>
                  </w:r>
                </w:p>
                <w:p>
                  <w:pPr>
                    <w:pStyle w:val="BodyText"/>
                    <w:rPr>
                      <w:rFonts w:ascii="Times New Roman"/>
                      <w:sz w:val="20"/>
                    </w:rPr>
                  </w:pPr>
                </w:p>
                <w:p>
                  <w:pPr>
                    <w:spacing w:before="0"/>
                    <w:ind w:left="1819" w:right="4" w:hanging="12"/>
                    <w:jc w:val="both"/>
                    <w:rPr>
                      <w:rFonts w:ascii="Times New Roman" w:hAnsi="Times New Roman"/>
                      <w:sz w:val="20"/>
                    </w:rPr>
                  </w:pPr>
                  <w:r>
                    <w:rPr>
                      <w:rFonts w:ascii="Times New Roman" w:hAnsi="Times New Roman"/>
                      <w:sz w:val="20"/>
                    </w:rPr>
                    <w:t>Our valuation(s) is / are therefore reported on the basis of ‘material valuation uncertainty’. Consequently, less certainty – and a higher degree of caution – should be attached to our valuation than would normally be the case. Values may change more rapidly and significantly than during standard market conditions. Given the unknown future impact that COVID-19 might have on the real estate market, we recommend that you keep the valuation of these properties under frequent</w:t>
                  </w:r>
                  <w:r>
                    <w:rPr>
                      <w:rFonts w:ascii="Times New Roman" w:hAnsi="Times New Roman"/>
                      <w:spacing w:val="1"/>
                      <w:sz w:val="20"/>
                    </w:rPr>
                    <w:t> </w:t>
                  </w:r>
                  <w:r>
                    <w:rPr>
                      <w:rFonts w:ascii="Times New Roman" w:hAnsi="Times New Roman"/>
                      <w:sz w:val="20"/>
                    </w:rPr>
                    <w:t>review.</w:t>
                  </w:r>
                </w:p>
                <w:p>
                  <w:pPr>
                    <w:pStyle w:val="BodyText"/>
                    <w:rPr>
                      <w:rFonts w:ascii="Times New Roman"/>
                      <w:sz w:val="20"/>
                    </w:rPr>
                  </w:pPr>
                </w:p>
                <w:p>
                  <w:pPr>
                    <w:spacing w:before="1"/>
                    <w:ind w:left="1819" w:right="3" w:hanging="12"/>
                    <w:jc w:val="both"/>
                    <w:rPr>
                      <w:rFonts w:ascii="Times New Roman" w:hAnsi="Times New Roman"/>
                      <w:sz w:val="20"/>
                    </w:rPr>
                  </w:pPr>
                  <w:r>
                    <w:rPr>
                      <w:rFonts w:ascii="Times New Roman" w:hAnsi="Times New Roman"/>
                      <w:sz w:val="20"/>
                    </w:rPr>
                    <w:t>For the avoidance of doubt, the inclusion of the ‘material valuation uncertainty’ declaration above does not mean that the valuation cannot be relied upon. Rather, the declaration has been included to ensure transparency of the fact that – in the current extraordinary circumstances – less certainty can be attached to the valuation than would otherwise be the case. The material uncertainty clause is to serve as a precaution and does not invalidate the valuation.</w:t>
                  </w:r>
                </w:p>
              </w:txbxContent>
            </v:textbox>
            <v:fill type="solid"/>
          </v:shape>
        </w:pict>
      </w:r>
      <w:r>
        <w:rPr>
          <w:rFonts w:ascii="Times New Roman"/>
          <w:sz w:val="20"/>
        </w:rPr>
      </w:r>
    </w:p>
    <w:p>
      <w:pPr>
        <w:spacing w:after="0"/>
        <w:rPr>
          <w:rFonts w:ascii="Times New Roman"/>
          <w:sz w:val="20"/>
        </w:rPr>
        <w:sectPr>
          <w:type w:val="continuous"/>
          <w:pgSz w:w="12240" w:h="15840"/>
          <w:pgMar w:top="800" w:bottom="280" w:left="620" w:right="580"/>
        </w:sectPr>
      </w:pPr>
    </w:p>
    <w:p>
      <w:pPr>
        <w:pStyle w:val="BodyText"/>
        <w:rPr>
          <w:rFonts w:ascii="Times New Roman"/>
          <w:sz w:val="18"/>
        </w:rPr>
      </w:pPr>
    </w:p>
    <w:p>
      <w:pPr>
        <w:pStyle w:val="ListParagraph"/>
        <w:numPr>
          <w:ilvl w:val="0"/>
          <w:numId w:val="1"/>
        </w:numPr>
        <w:tabs>
          <w:tab w:pos="1180" w:val="left" w:leader="none"/>
          <w:tab w:pos="1181" w:val="left" w:leader="none"/>
        </w:tabs>
        <w:spacing w:line="240" w:lineRule="auto" w:before="91" w:after="0"/>
        <w:ind w:left="1180" w:right="0" w:hanging="361"/>
        <w:jc w:val="left"/>
        <w:rPr>
          <w:rFonts w:ascii="Times New Roman"/>
          <w:sz w:val="20"/>
        </w:rPr>
      </w:pPr>
      <w:r>
        <w:rPr>
          <w:rFonts w:ascii="Times New Roman"/>
          <w:color w:val="1E6C2C"/>
          <w:sz w:val="20"/>
        </w:rPr>
        <w:t>Valuation Approach &amp;</w:t>
      </w:r>
      <w:r>
        <w:rPr>
          <w:rFonts w:ascii="Times New Roman"/>
          <w:color w:val="1E6C2C"/>
          <w:spacing w:val="4"/>
          <w:sz w:val="20"/>
        </w:rPr>
        <w:t> </w:t>
      </w:r>
      <w:r>
        <w:rPr>
          <w:rFonts w:ascii="Times New Roman"/>
          <w:color w:val="1E6C2C"/>
          <w:sz w:val="20"/>
        </w:rPr>
        <w:t>Methodology</w:t>
      </w:r>
    </w:p>
    <w:p>
      <w:pPr>
        <w:pStyle w:val="BodyText"/>
        <w:spacing w:before="4"/>
        <w:rPr>
          <w:rFonts w:ascii="Times New Roman"/>
          <w:sz w:val="31"/>
        </w:rPr>
      </w:pPr>
    </w:p>
    <w:p>
      <w:pPr>
        <w:pStyle w:val="ListParagraph"/>
        <w:numPr>
          <w:ilvl w:val="1"/>
          <w:numId w:val="1"/>
        </w:numPr>
        <w:tabs>
          <w:tab w:pos="1309" w:val="left" w:leader="none"/>
          <w:tab w:pos="1311" w:val="left" w:leader="none"/>
        </w:tabs>
        <w:spacing w:line="240" w:lineRule="auto" w:before="0" w:after="0"/>
        <w:ind w:left="1310" w:right="0" w:hanging="491"/>
        <w:jc w:val="left"/>
        <w:rPr>
          <w:rFonts w:ascii="Times New Roman"/>
          <w:color w:val="1E6C28"/>
          <w:sz w:val="20"/>
        </w:rPr>
      </w:pPr>
      <w:r>
        <w:rPr>
          <w:rFonts w:ascii="Times New Roman"/>
          <w:color w:val="1E6C28"/>
          <w:sz w:val="20"/>
        </w:rPr>
        <w:t>Scope of</w:t>
      </w:r>
      <w:r>
        <w:rPr>
          <w:rFonts w:ascii="Times New Roman"/>
          <w:color w:val="1E6C28"/>
          <w:spacing w:val="-1"/>
          <w:sz w:val="20"/>
        </w:rPr>
        <w:t> </w:t>
      </w:r>
      <w:r>
        <w:rPr>
          <w:rFonts w:ascii="Times New Roman"/>
          <w:color w:val="1E6C28"/>
          <w:sz w:val="20"/>
        </w:rPr>
        <w:t>Valuation</w:t>
      </w:r>
    </w:p>
    <w:p>
      <w:pPr>
        <w:spacing w:before="121"/>
        <w:ind w:left="1310" w:right="857" w:firstLine="0"/>
        <w:jc w:val="both"/>
        <w:rPr>
          <w:rFonts w:ascii="Times New Roman"/>
          <w:sz w:val="20"/>
        </w:rPr>
      </w:pPr>
      <w:r>
        <w:rPr>
          <w:rFonts w:ascii="Times New Roman"/>
          <w:sz w:val="20"/>
        </w:rPr>
        <w:t>The valuation exercise is aimed at the assessment of the Market Value (MV) of the subject property. In considering the value of the property, the Valuer has considered the guidelines laid out in the Appraisal and Valuation Manual published by the Royal Institution of Chartered Surveyors (RICS).</w:t>
      </w:r>
    </w:p>
    <w:p>
      <w:pPr>
        <w:pStyle w:val="BodyText"/>
        <w:spacing w:before="8"/>
        <w:rPr>
          <w:rFonts w:ascii="Times New Roman"/>
          <w:sz w:val="20"/>
        </w:rPr>
      </w:pPr>
    </w:p>
    <w:p>
      <w:pPr>
        <w:pStyle w:val="ListParagraph"/>
        <w:numPr>
          <w:ilvl w:val="1"/>
          <w:numId w:val="1"/>
        </w:numPr>
        <w:tabs>
          <w:tab w:pos="1309" w:val="left" w:leader="none"/>
          <w:tab w:pos="1311" w:val="left" w:leader="none"/>
        </w:tabs>
        <w:spacing w:line="240" w:lineRule="auto" w:before="0" w:after="0"/>
        <w:ind w:left="1310" w:right="0" w:hanging="491"/>
        <w:jc w:val="left"/>
        <w:rPr>
          <w:rFonts w:ascii="Times New Roman"/>
          <w:color w:val="1E6C28"/>
          <w:sz w:val="20"/>
        </w:rPr>
      </w:pPr>
      <w:r>
        <w:rPr>
          <w:rFonts w:ascii="Times New Roman"/>
          <w:color w:val="1E6C28"/>
          <w:sz w:val="20"/>
        </w:rPr>
        <w:t>Basis of</w:t>
      </w:r>
      <w:r>
        <w:rPr>
          <w:rFonts w:ascii="Times New Roman"/>
          <w:color w:val="1E6C28"/>
          <w:spacing w:val="-2"/>
          <w:sz w:val="20"/>
        </w:rPr>
        <w:t> </w:t>
      </w:r>
      <w:r>
        <w:rPr>
          <w:rFonts w:ascii="Times New Roman"/>
          <w:color w:val="1E6C28"/>
          <w:sz w:val="20"/>
        </w:rPr>
        <w:t>Valuation</w:t>
      </w:r>
    </w:p>
    <w:p>
      <w:pPr>
        <w:spacing w:before="121"/>
        <w:ind w:left="1310" w:right="851" w:firstLine="0"/>
        <w:jc w:val="both"/>
        <w:rPr>
          <w:rFonts w:ascii="Times New Roman" w:hAnsi="Times New Roman"/>
          <w:sz w:val="20"/>
        </w:rPr>
      </w:pPr>
      <w:r>
        <w:rPr>
          <w:rFonts w:ascii="Times New Roman" w:hAnsi="Times New Roman"/>
          <w:sz w:val="20"/>
        </w:rPr>
        <w:t>The valuations have been conducted in accordance with the RICS Valuation – Global Standards 2017 (Red Book Incorporating the IVSC International Valuation Standards issued in June 2017, effective from 1 July 2017) and is in compliance with the International Valuation Standards (IVS) and valuation standards as may be specified by the Institute of Chartered Accountants of India for valuation of real estate assets. The valuation exercise has been undertaken by appropriately qualified Valuer and would be aimed at assessing the Market Value of subject</w:t>
      </w:r>
      <w:r>
        <w:rPr>
          <w:rFonts w:ascii="Times New Roman" w:hAnsi="Times New Roman"/>
          <w:spacing w:val="-1"/>
          <w:sz w:val="20"/>
        </w:rPr>
        <w:t> </w:t>
      </w:r>
      <w:r>
        <w:rPr>
          <w:rFonts w:ascii="Times New Roman" w:hAnsi="Times New Roman"/>
          <w:sz w:val="20"/>
        </w:rPr>
        <w:t>properties.</w:t>
      </w:r>
    </w:p>
    <w:p>
      <w:pPr>
        <w:spacing w:before="121"/>
        <w:ind w:left="1310" w:right="866" w:firstLine="0"/>
        <w:jc w:val="both"/>
        <w:rPr>
          <w:rFonts w:ascii="Times New Roman"/>
          <w:sz w:val="20"/>
        </w:rPr>
      </w:pPr>
      <w:r>
        <w:rPr>
          <w:rFonts w:ascii="Times New Roman"/>
          <w:sz w:val="20"/>
        </w:rPr>
        <w:t>As per the Valuation and Guidance Notes issued by the Royal Institution of Chartered Surveyors (RICS) the market value is defined as:</w:t>
      </w:r>
    </w:p>
    <w:p>
      <w:pPr>
        <w:spacing w:before="118"/>
        <w:ind w:left="1310" w:right="861" w:firstLine="0"/>
        <w:jc w:val="both"/>
        <w:rPr>
          <w:rFonts w:ascii="Times New Roman" w:hAnsi="Times New Roman"/>
          <w:b/>
          <w:i/>
          <w:sz w:val="20"/>
        </w:rPr>
      </w:pPr>
      <w:r>
        <w:rPr>
          <w:rFonts w:ascii="Times New Roman" w:hAnsi="Times New Roman"/>
          <w:b/>
          <w:i/>
          <w:sz w:val="20"/>
        </w:rPr>
        <w:t>‘The estimated amount for which an asset or liability should exchange on the valuation date between a </w:t>
      </w:r>
      <w:r>
        <w:rPr>
          <w:rFonts w:ascii="Times New Roman" w:hAnsi="Times New Roman"/>
          <w:b/>
          <w:i/>
          <w:sz w:val="20"/>
        </w:rPr>
        <w:t>willing buyer and a willing seller in an arm’s length transaction, after proper marketing and where the parties had each acted knowledgeably, prudently and without compulsion’.</w:t>
      </w:r>
    </w:p>
    <w:p>
      <w:pPr>
        <w:pStyle w:val="BodyText"/>
        <w:rPr>
          <w:rFonts w:ascii="Times New Roman"/>
          <w:b/>
          <w:i/>
          <w:sz w:val="21"/>
        </w:rPr>
      </w:pPr>
    </w:p>
    <w:p>
      <w:pPr>
        <w:pStyle w:val="ListParagraph"/>
        <w:numPr>
          <w:ilvl w:val="1"/>
          <w:numId w:val="1"/>
        </w:numPr>
        <w:tabs>
          <w:tab w:pos="1309" w:val="left" w:leader="none"/>
          <w:tab w:pos="1311" w:val="left" w:leader="none"/>
        </w:tabs>
        <w:spacing w:line="240" w:lineRule="auto" w:before="0" w:after="0"/>
        <w:ind w:left="1310" w:right="0" w:hanging="491"/>
        <w:jc w:val="left"/>
        <w:rPr>
          <w:rFonts w:ascii="Times New Roman"/>
          <w:color w:val="1E6C28"/>
          <w:sz w:val="20"/>
        </w:rPr>
      </w:pPr>
      <w:r>
        <w:rPr>
          <w:rFonts w:ascii="Times New Roman"/>
          <w:color w:val="1E6C28"/>
          <w:sz w:val="20"/>
        </w:rPr>
        <w:t>Approach and</w:t>
      </w:r>
      <w:r>
        <w:rPr>
          <w:rFonts w:ascii="Times New Roman"/>
          <w:color w:val="1E6C28"/>
          <w:spacing w:val="-1"/>
          <w:sz w:val="20"/>
        </w:rPr>
        <w:t> </w:t>
      </w:r>
      <w:r>
        <w:rPr>
          <w:rFonts w:ascii="Times New Roman"/>
          <w:color w:val="1E6C28"/>
          <w:sz w:val="20"/>
        </w:rPr>
        <w:t>Methodology</w:t>
      </w:r>
    </w:p>
    <w:p>
      <w:pPr>
        <w:spacing w:before="120"/>
        <w:ind w:left="1310" w:right="857" w:firstLine="0"/>
        <w:jc w:val="both"/>
        <w:rPr>
          <w:rFonts w:ascii="Times New Roman"/>
          <w:sz w:val="20"/>
        </w:rPr>
      </w:pPr>
      <w:r>
        <w:rPr/>
        <w:drawing>
          <wp:anchor distT="0" distB="0" distL="0" distR="0" allowOverlap="1" layoutInCell="1" locked="0" behindDoc="0" simplePos="0" relativeHeight="36">
            <wp:simplePos x="0" y="0"/>
            <wp:positionH relativeFrom="page">
              <wp:posOffset>1155700</wp:posOffset>
            </wp:positionH>
            <wp:positionV relativeFrom="paragraph">
              <wp:posOffset>439241</wp:posOffset>
            </wp:positionV>
            <wp:extent cx="5889663" cy="1376172"/>
            <wp:effectExtent l="0" t="0" r="0" b="0"/>
            <wp:wrapTopAndBottom/>
            <wp:docPr id="9" name="image8.png"/>
            <wp:cNvGraphicFramePr>
              <a:graphicFrameLocks noChangeAspect="1"/>
            </wp:cNvGraphicFramePr>
            <a:graphic>
              <a:graphicData uri="http://schemas.openxmlformats.org/drawingml/2006/picture">
                <pic:pic>
                  <pic:nvPicPr>
                    <pic:cNvPr id="10" name="image8.png"/>
                    <pic:cNvPicPr/>
                  </pic:nvPicPr>
                  <pic:blipFill>
                    <a:blip r:embed="rId14" cstate="print"/>
                    <a:stretch>
                      <a:fillRect/>
                    </a:stretch>
                  </pic:blipFill>
                  <pic:spPr>
                    <a:xfrm>
                      <a:off x="0" y="0"/>
                      <a:ext cx="5889663" cy="1376172"/>
                    </a:xfrm>
                    <a:prstGeom prst="rect">
                      <a:avLst/>
                    </a:prstGeom>
                  </pic:spPr>
                </pic:pic>
              </a:graphicData>
            </a:graphic>
          </wp:anchor>
        </w:drawing>
      </w:r>
      <w:r>
        <w:rPr>
          <w:rFonts w:ascii="Times New Roman"/>
          <w:sz w:val="20"/>
        </w:rPr>
        <w:t>The purpose of this valuation exercise is to estimate the Market Value (MV) of the subject properties. Market Value is derived through the following Methodologies:</w:t>
      </w:r>
    </w:p>
    <w:p>
      <w:pPr>
        <w:pStyle w:val="BodyText"/>
        <w:rPr>
          <w:rFonts w:ascii="Times New Roman"/>
          <w:sz w:val="30"/>
        </w:rPr>
      </w:pPr>
    </w:p>
    <w:p>
      <w:pPr>
        <w:pStyle w:val="ListParagraph"/>
        <w:numPr>
          <w:ilvl w:val="2"/>
          <w:numId w:val="7"/>
        </w:numPr>
        <w:tabs>
          <w:tab w:pos="1540" w:val="left" w:leader="none"/>
          <w:tab w:pos="1541" w:val="left" w:leader="none"/>
        </w:tabs>
        <w:spacing w:line="240" w:lineRule="auto" w:before="0" w:after="0"/>
        <w:ind w:left="1540" w:right="0" w:hanging="680"/>
        <w:jc w:val="left"/>
        <w:rPr>
          <w:rFonts w:ascii="Times New Roman"/>
          <w:sz w:val="20"/>
        </w:rPr>
      </w:pPr>
      <w:r>
        <w:rPr>
          <w:rFonts w:ascii="Times New Roman"/>
          <w:color w:val="1E6C2C"/>
          <w:sz w:val="20"/>
        </w:rPr>
        <w:t>Direct Comparison</w:t>
      </w:r>
      <w:r>
        <w:rPr>
          <w:rFonts w:ascii="Times New Roman"/>
          <w:color w:val="1E6C2C"/>
          <w:spacing w:val="-1"/>
          <w:sz w:val="20"/>
        </w:rPr>
        <w:t> </w:t>
      </w:r>
      <w:r>
        <w:rPr>
          <w:rFonts w:ascii="Times New Roman"/>
          <w:color w:val="1E6C2C"/>
          <w:sz w:val="20"/>
        </w:rPr>
        <w:t>Approach</w:t>
      </w:r>
    </w:p>
    <w:p>
      <w:pPr>
        <w:spacing w:before="120"/>
        <w:ind w:left="1310" w:right="855" w:firstLine="0"/>
        <w:jc w:val="both"/>
        <w:rPr>
          <w:rFonts w:ascii="Times New Roman" w:hAnsi="Times New Roman"/>
          <w:sz w:val="20"/>
        </w:rPr>
      </w:pPr>
      <w:r>
        <w:rPr>
          <w:rFonts w:ascii="Times New Roman" w:hAnsi="Times New Roman"/>
          <w:sz w:val="20"/>
        </w:rPr>
        <w:t>In </w:t>
      </w:r>
      <w:r>
        <w:rPr>
          <w:rFonts w:ascii="Times New Roman" w:hAnsi="Times New Roman"/>
          <w:b/>
          <w:sz w:val="20"/>
        </w:rPr>
        <w:t>‘Direct Comparison Approach’</w:t>
      </w:r>
      <w:r>
        <w:rPr>
          <w:rFonts w:ascii="Times New Roman" w:hAnsi="Times New Roman"/>
          <w:sz w:val="20"/>
        </w:rPr>
        <w:t>, the subject property is compared to similar properties that have actually been sold in an arms-length transaction or are offered for sale (after deducting for value of built-up structure located thereon). The comparable evidence gathered during research is adjusted for premiums and discounts based on property specific attributes to reflect the underlying value of the property.</w:t>
      </w:r>
    </w:p>
    <w:p>
      <w:pPr>
        <w:pStyle w:val="BodyText"/>
        <w:spacing w:before="4"/>
        <w:rPr>
          <w:rFonts w:ascii="Times New Roman"/>
          <w:sz w:val="31"/>
        </w:rPr>
      </w:pPr>
    </w:p>
    <w:p>
      <w:pPr>
        <w:pStyle w:val="ListParagraph"/>
        <w:numPr>
          <w:ilvl w:val="2"/>
          <w:numId w:val="7"/>
        </w:numPr>
        <w:tabs>
          <w:tab w:pos="1554" w:val="left" w:leader="none"/>
          <w:tab w:pos="1555" w:val="left" w:leader="none"/>
        </w:tabs>
        <w:spacing w:line="240" w:lineRule="auto" w:before="0" w:after="0"/>
        <w:ind w:left="1554" w:right="0" w:hanging="735"/>
        <w:jc w:val="left"/>
        <w:rPr>
          <w:rFonts w:ascii="Times New Roman"/>
          <w:sz w:val="20"/>
        </w:rPr>
      </w:pPr>
      <w:r>
        <w:rPr>
          <w:rFonts w:ascii="Times New Roman"/>
          <w:color w:val="1E6C2C"/>
          <w:sz w:val="20"/>
        </w:rPr>
        <w:t>Income</w:t>
      </w:r>
      <w:r>
        <w:rPr>
          <w:rFonts w:ascii="Times New Roman"/>
          <w:color w:val="1E6C2C"/>
          <w:spacing w:val="-1"/>
          <w:sz w:val="20"/>
        </w:rPr>
        <w:t> </w:t>
      </w:r>
      <w:r>
        <w:rPr>
          <w:rFonts w:ascii="Times New Roman"/>
          <w:color w:val="1E6C2C"/>
          <w:sz w:val="20"/>
        </w:rPr>
        <w:t>Approach</w:t>
      </w:r>
    </w:p>
    <w:p>
      <w:pPr>
        <w:spacing w:before="120"/>
        <w:ind w:left="1310" w:right="856" w:firstLine="0"/>
        <w:jc w:val="both"/>
        <w:rPr>
          <w:rFonts w:ascii="Times New Roman"/>
          <w:sz w:val="20"/>
        </w:rPr>
      </w:pPr>
      <w:r>
        <w:rPr>
          <w:rFonts w:ascii="Times New Roman"/>
          <w:sz w:val="20"/>
        </w:rPr>
        <w:t>The income approach is based on the premise that value of an income - producing asset is a function of future benefits and income derived from that asset. There are two commonly used methods of the income approach in real estate valuation namely, direct capitalization and discounted cash flow</w:t>
      </w:r>
      <w:r>
        <w:rPr>
          <w:rFonts w:ascii="Times New Roman"/>
          <w:spacing w:val="-3"/>
          <w:sz w:val="20"/>
        </w:rPr>
        <w:t> </w:t>
      </w:r>
      <w:r>
        <w:rPr>
          <w:rFonts w:ascii="Times New Roman"/>
          <w:sz w:val="20"/>
        </w:rPr>
        <w:t>(DCF).</w:t>
      </w:r>
    </w:p>
    <w:p>
      <w:pPr>
        <w:pStyle w:val="ListParagraph"/>
        <w:numPr>
          <w:ilvl w:val="3"/>
          <w:numId w:val="7"/>
        </w:numPr>
        <w:tabs>
          <w:tab w:pos="1555" w:val="left" w:leader="none"/>
        </w:tabs>
        <w:spacing w:line="240" w:lineRule="auto" w:before="119" w:after="0"/>
        <w:ind w:left="1554" w:right="0" w:hanging="245"/>
        <w:jc w:val="left"/>
        <w:rPr>
          <w:rFonts w:ascii="Times New Roman"/>
          <w:b/>
          <w:sz w:val="20"/>
        </w:rPr>
      </w:pPr>
      <w:r>
        <w:rPr>
          <w:rFonts w:ascii="Times New Roman"/>
          <w:b/>
          <w:sz w:val="20"/>
        </w:rPr>
        <w:t>Direct Capitalization</w:t>
      </w:r>
      <w:r>
        <w:rPr>
          <w:rFonts w:ascii="Times New Roman"/>
          <w:b/>
          <w:spacing w:val="-1"/>
          <w:sz w:val="20"/>
        </w:rPr>
        <w:t> </w:t>
      </w:r>
      <w:r>
        <w:rPr>
          <w:rFonts w:ascii="Times New Roman"/>
          <w:b/>
          <w:sz w:val="20"/>
        </w:rPr>
        <w:t>Method</w:t>
      </w:r>
    </w:p>
    <w:p>
      <w:pPr>
        <w:spacing w:before="121"/>
        <w:ind w:left="1310" w:right="859" w:firstLine="0"/>
        <w:jc w:val="both"/>
        <w:rPr>
          <w:rFonts w:ascii="Times New Roman" w:hAnsi="Times New Roman"/>
          <w:sz w:val="20"/>
        </w:rPr>
      </w:pPr>
      <w:r>
        <w:rPr>
          <w:rFonts w:ascii="Times New Roman" w:hAnsi="Times New Roman"/>
          <w:sz w:val="20"/>
        </w:rPr>
        <w:t>Direct capitalization involves capitalizing a ‘normalized’ single - year net income estimated by an appropriate yield. This approach is best utilized with stable revenue producing assets, whereby there is little volatility in the net annual income.</w:t>
      </w:r>
    </w:p>
    <w:p>
      <w:pPr>
        <w:spacing w:after="0"/>
        <w:jc w:val="both"/>
        <w:rPr>
          <w:rFonts w:ascii="Times New Roman" w:hAnsi="Times New Roman"/>
          <w:sz w:val="20"/>
        </w:rPr>
        <w:sectPr>
          <w:pgSz w:w="12240" w:h="15840"/>
          <w:pgMar w:header="728" w:footer="1174" w:top="1180" w:bottom="1460" w:left="620" w:right="580"/>
        </w:sectPr>
      </w:pPr>
    </w:p>
    <w:p>
      <w:pPr>
        <w:pStyle w:val="BodyText"/>
        <w:rPr>
          <w:rFonts w:ascii="Times New Roman"/>
          <w:sz w:val="18"/>
        </w:rPr>
      </w:pPr>
    </w:p>
    <w:p>
      <w:pPr>
        <w:pStyle w:val="ListParagraph"/>
        <w:numPr>
          <w:ilvl w:val="3"/>
          <w:numId w:val="7"/>
        </w:numPr>
        <w:tabs>
          <w:tab w:pos="1543" w:val="left" w:leader="none"/>
        </w:tabs>
        <w:spacing w:line="240" w:lineRule="auto" w:before="91" w:after="0"/>
        <w:ind w:left="1542" w:right="0" w:hanging="233"/>
        <w:jc w:val="left"/>
        <w:rPr>
          <w:rFonts w:ascii="Times New Roman"/>
          <w:b/>
          <w:sz w:val="20"/>
        </w:rPr>
      </w:pPr>
      <w:r>
        <w:rPr>
          <w:rFonts w:ascii="Times New Roman"/>
          <w:b/>
          <w:sz w:val="20"/>
        </w:rPr>
        <w:t>Discounted Cash Flow Method</w:t>
      </w:r>
    </w:p>
    <w:p>
      <w:pPr>
        <w:spacing w:before="121"/>
        <w:ind w:left="1310" w:right="859" w:firstLine="0"/>
        <w:jc w:val="both"/>
        <w:rPr>
          <w:rFonts w:ascii="Times New Roman"/>
          <w:sz w:val="20"/>
        </w:rPr>
      </w:pPr>
      <w:r>
        <w:rPr>
          <w:rFonts w:ascii="Times New Roman"/>
          <w:sz w:val="20"/>
        </w:rPr>
        <w:t>Using this valuation method, future cash flows from the property are forecasted using precisely stated assumptions. This method allows for the explicit modelling of income associated with the property. These future financial benefits are then discounted to a present-day value (valuation date) at an appropriate discount rate. A variation of the Discounted Cash Flow Method is illustrated below:</w:t>
      </w:r>
    </w:p>
    <w:p>
      <w:pPr>
        <w:pStyle w:val="ListParagraph"/>
        <w:numPr>
          <w:ilvl w:val="4"/>
          <w:numId w:val="7"/>
        </w:numPr>
        <w:tabs>
          <w:tab w:pos="1694" w:val="left" w:leader="none"/>
        </w:tabs>
        <w:spacing w:line="240" w:lineRule="auto" w:before="119" w:after="0"/>
        <w:ind w:left="1693" w:right="0" w:hanging="384"/>
        <w:jc w:val="left"/>
        <w:rPr>
          <w:rFonts w:ascii="Times New Roman"/>
          <w:b/>
          <w:sz w:val="20"/>
        </w:rPr>
      </w:pPr>
      <w:r>
        <w:rPr>
          <w:rFonts w:ascii="Times New Roman"/>
          <w:b/>
          <w:sz w:val="20"/>
        </w:rPr>
        <w:t>Discounted Cash Flow Method using Rental</w:t>
      </w:r>
      <w:r>
        <w:rPr>
          <w:rFonts w:ascii="Times New Roman"/>
          <w:b/>
          <w:spacing w:val="-2"/>
          <w:sz w:val="20"/>
        </w:rPr>
        <w:t> </w:t>
      </w:r>
      <w:r>
        <w:rPr>
          <w:rFonts w:ascii="Times New Roman"/>
          <w:b/>
          <w:sz w:val="20"/>
        </w:rPr>
        <w:t>Reversion</w:t>
      </w:r>
    </w:p>
    <w:p>
      <w:pPr>
        <w:spacing w:before="120"/>
        <w:ind w:left="1310" w:right="854" w:firstLine="0"/>
        <w:jc w:val="both"/>
        <w:rPr>
          <w:rFonts w:ascii="Times New Roman" w:hAnsi="Times New Roman"/>
          <w:sz w:val="20"/>
        </w:rPr>
      </w:pPr>
      <w:r>
        <w:rPr>
          <w:rFonts w:ascii="Times New Roman" w:hAnsi="Times New Roman"/>
          <w:sz w:val="20"/>
        </w:rPr>
        <w:t>The market practice in most commercial/ IT developments involves contracting tenants in the form of pre- commitments at sub-market rentals to increase attractiveness of the property to prospective tenants – typically extended to anchor tenants. Additionally, there are instances of tenants paying above-market rentals for certain properties as well (primarily owing to market conditions at the time of contracting the lease). In order to arrive at a unit value for these tenancies, the Valuer has considered the impact of such sub/ above market leases on the valuation of the subject property.</w:t>
      </w:r>
    </w:p>
    <w:p>
      <w:pPr>
        <w:pStyle w:val="BodyText"/>
        <w:spacing w:before="4"/>
        <w:rPr>
          <w:rFonts w:ascii="Times New Roman"/>
          <w:sz w:val="31"/>
        </w:rPr>
      </w:pPr>
    </w:p>
    <w:p>
      <w:pPr>
        <w:pStyle w:val="ListParagraph"/>
        <w:numPr>
          <w:ilvl w:val="1"/>
          <w:numId w:val="1"/>
        </w:numPr>
        <w:tabs>
          <w:tab w:pos="1309" w:val="left" w:leader="none"/>
          <w:tab w:pos="1311" w:val="left" w:leader="none"/>
        </w:tabs>
        <w:spacing w:line="240" w:lineRule="auto" w:before="1" w:after="0"/>
        <w:ind w:left="1310" w:right="0" w:hanging="491"/>
        <w:jc w:val="left"/>
        <w:rPr>
          <w:rFonts w:ascii="Times New Roman"/>
          <w:color w:val="1E6C28"/>
          <w:sz w:val="20"/>
        </w:rPr>
      </w:pPr>
      <w:r>
        <w:rPr>
          <w:rFonts w:ascii="Times New Roman"/>
          <w:color w:val="1E6C28"/>
          <w:sz w:val="20"/>
        </w:rPr>
        <w:t>Approach and Methodology Adopted</w:t>
      </w:r>
    </w:p>
    <w:p>
      <w:pPr>
        <w:spacing w:before="120"/>
        <w:ind w:left="1310" w:right="854" w:firstLine="0"/>
        <w:jc w:val="both"/>
        <w:rPr>
          <w:rFonts w:ascii="Times New Roman"/>
          <w:sz w:val="20"/>
        </w:rPr>
      </w:pPr>
      <w:r>
        <w:rPr>
          <w:rFonts w:ascii="Times New Roman"/>
          <w:sz w:val="20"/>
        </w:rPr>
        <w:t>A large number of leases at the subject properties were executed at rentals prevalent at the time of signing of such leases or at a discount to prevailing market rental (for a few anchor tenants). Since the real estate industry is dynamic and is influenced by various factors (such as existing supply, tenants looking at spaces, quality of spaces available in the market, overall health of the economy, existing rentals, future growth plans, etc.) at a particular point in time, negotiated rentals may tend to move away from the prevalent market rents over a period of time. It has also been witnessed that the market rents for some properties or sub markets increase or decrease at a rate significantly different from those agreed to in initial leases. These factors reinforce the need to review each of these leases in isolation to assess the intrinsic value of the property under review.</w:t>
      </w:r>
    </w:p>
    <w:p>
      <w:pPr>
        <w:pStyle w:val="BodyText"/>
        <w:spacing w:before="8"/>
        <w:rPr>
          <w:rFonts w:ascii="Times New Roman"/>
          <w:sz w:val="20"/>
        </w:rPr>
      </w:pPr>
    </w:p>
    <w:p>
      <w:pPr>
        <w:spacing w:before="1"/>
        <w:ind w:left="1310" w:right="855" w:firstLine="0"/>
        <w:jc w:val="both"/>
        <w:rPr>
          <w:rFonts w:ascii="Times New Roman"/>
          <w:sz w:val="20"/>
        </w:rPr>
      </w:pPr>
      <w:r>
        <w:rPr>
          <w:rFonts w:ascii="Times New Roman"/>
          <w:sz w:val="20"/>
        </w:rPr>
        <w:t>Considering the objective of this exercise and the nature of asset involved, the value of the office component in the subject properties has been assessed through the Discounted Cash Flow Method using Rental Reversion and the value of the Solar Park and hotel component at the respective properties have been valued using Discounted Cash Flow Method. Further, the following steps have been adopted as part of the valuation for the respective subject properties</w:t>
      </w:r>
      <w:r>
        <w:rPr>
          <w:rFonts w:ascii="Times New Roman"/>
          <w:spacing w:val="1"/>
          <w:sz w:val="20"/>
        </w:rPr>
        <w:t> </w:t>
      </w:r>
      <w:r>
        <w:rPr>
          <w:rFonts w:ascii="Times New Roman"/>
          <w:sz w:val="20"/>
        </w:rPr>
        <w:t>(assets).</w:t>
      </w:r>
    </w:p>
    <w:p>
      <w:pPr>
        <w:pStyle w:val="BodyText"/>
        <w:spacing w:before="9"/>
        <w:rPr>
          <w:rFonts w:ascii="Times New Roman"/>
          <w:sz w:val="20"/>
        </w:rPr>
      </w:pPr>
    </w:p>
    <w:p>
      <w:pPr>
        <w:spacing w:before="1"/>
        <w:ind w:left="1310" w:right="0" w:firstLine="0"/>
        <w:jc w:val="both"/>
        <w:rPr>
          <w:rFonts w:ascii="Times New Roman"/>
          <w:b/>
          <w:sz w:val="20"/>
        </w:rPr>
      </w:pPr>
      <w:r>
        <w:rPr>
          <w:rFonts w:ascii="Times New Roman"/>
          <w:b/>
          <w:sz w:val="20"/>
          <w:u w:val="single"/>
        </w:rPr>
        <w:t>Asset-specific Review:</w:t>
      </w:r>
    </w:p>
    <w:p>
      <w:pPr>
        <w:pStyle w:val="BodyText"/>
        <w:rPr>
          <w:rFonts w:ascii="Times New Roman"/>
          <w:b/>
          <w:sz w:val="13"/>
        </w:rPr>
      </w:pPr>
    </w:p>
    <w:p>
      <w:pPr>
        <w:pStyle w:val="ListParagraph"/>
        <w:numPr>
          <w:ilvl w:val="0"/>
          <w:numId w:val="8"/>
        </w:numPr>
        <w:tabs>
          <w:tab w:pos="2167" w:val="left" w:leader="none"/>
        </w:tabs>
        <w:spacing w:line="240" w:lineRule="auto" w:before="91" w:after="0"/>
        <w:ind w:left="2166" w:right="858" w:hanging="368"/>
        <w:jc w:val="both"/>
        <w:rPr>
          <w:rFonts w:ascii="Times New Roman"/>
          <w:sz w:val="20"/>
        </w:rPr>
      </w:pPr>
      <w:r>
        <w:rPr>
          <w:rFonts w:ascii="Times New Roman"/>
          <w:sz w:val="20"/>
        </w:rPr>
        <w:t>As the first step to the valuation of the asset, the rent rolls (and the corresponding lease deeds on a sample basis) were reviewed to identify tenancy characteristics for the asset. As part of the rent roll review, top 10 tenants have been reviewed from their lease terms perspective. For anchor tenants, discounts on marginal rent or additional lease-up timeframe have been adopted upon lease reversion.</w:t>
      </w:r>
    </w:p>
    <w:p>
      <w:pPr>
        <w:pStyle w:val="BodyText"/>
        <w:spacing w:before="9"/>
        <w:rPr>
          <w:rFonts w:ascii="Times New Roman"/>
          <w:sz w:val="20"/>
        </w:rPr>
      </w:pPr>
    </w:p>
    <w:p>
      <w:pPr>
        <w:pStyle w:val="ListParagraph"/>
        <w:numPr>
          <w:ilvl w:val="0"/>
          <w:numId w:val="8"/>
        </w:numPr>
        <w:tabs>
          <w:tab w:pos="2167" w:val="left" w:leader="none"/>
        </w:tabs>
        <w:spacing w:line="240" w:lineRule="auto" w:before="0" w:after="0"/>
        <w:ind w:left="2166" w:right="866" w:hanging="368"/>
        <w:jc w:val="both"/>
        <w:rPr>
          <w:rFonts w:ascii="Times New Roman"/>
          <w:sz w:val="20"/>
        </w:rPr>
      </w:pPr>
      <w:r>
        <w:rPr>
          <w:rFonts w:ascii="Times New Roman"/>
          <w:sz w:val="20"/>
        </w:rPr>
        <w:t>Title documents and architect certificates were reviewed for validation of area details, ownership of the</w:t>
      </w:r>
      <w:r>
        <w:rPr>
          <w:rFonts w:ascii="Times New Roman"/>
          <w:spacing w:val="-1"/>
          <w:sz w:val="20"/>
        </w:rPr>
        <w:t> </w:t>
      </w:r>
      <w:r>
        <w:rPr>
          <w:rFonts w:ascii="Times New Roman"/>
          <w:sz w:val="20"/>
        </w:rPr>
        <w:t>asset</w:t>
      </w:r>
    </w:p>
    <w:p>
      <w:pPr>
        <w:pStyle w:val="BodyText"/>
        <w:spacing w:before="11"/>
        <w:rPr>
          <w:rFonts w:ascii="Times New Roman"/>
          <w:sz w:val="20"/>
        </w:rPr>
      </w:pPr>
    </w:p>
    <w:p>
      <w:pPr>
        <w:spacing w:before="0"/>
        <w:ind w:left="1310" w:right="0" w:firstLine="0"/>
        <w:jc w:val="left"/>
        <w:rPr>
          <w:rFonts w:ascii="Times New Roman"/>
          <w:b/>
          <w:sz w:val="20"/>
        </w:rPr>
      </w:pPr>
      <w:r>
        <w:rPr>
          <w:rFonts w:ascii="Times New Roman"/>
          <w:b/>
          <w:sz w:val="20"/>
          <w:u w:val="single"/>
        </w:rPr>
        <w:t>Micro-market Review:</w:t>
      </w:r>
    </w:p>
    <w:p>
      <w:pPr>
        <w:pStyle w:val="BodyText"/>
        <w:spacing w:before="1"/>
        <w:rPr>
          <w:rFonts w:ascii="Times New Roman"/>
          <w:b/>
          <w:sz w:val="13"/>
        </w:rPr>
      </w:pPr>
    </w:p>
    <w:p>
      <w:pPr>
        <w:pStyle w:val="ListParagraph"/>
        <w:numPr>
          <w:ilvl w:val="0"/>
          <w:numId w:val="9"/>
        </w:numPr>
        <w:tabs>
          <w:tab w:pos="2167" w:val="left" w:leader="none"/>
        </w:tabs>
        <w:spacing w:line="240" w:lineRule="auto" w:before="91" w:after="0"/>
        <w:ind w:left="2166" w:right="851" w:hanging="368"/>
        <w:jc w:val="both"/>
        <w:rPr>
          <w:rFonts w:ascii="Times New Roman" w:hAnsi="Times New Roman"/>
          <w:sz w:val="20"/>
        </w:rPr>
      </w:pPr>
      <w:r>
        <w:rPr>
          <w:rFonts w:ascii="Times New Roman" w:hAnsi="Times New Roman"/>
          <w:sz w:val="20"/>
        </w:rPr>
        <w:t>A detailed assessment of the site and surroundings has been undertaken with respect to the prevalent activities, change in dynamics impacting the values and the optimal use of the respective properties vis-à-vis their surrounding sub-market, etc. Further, a primary and secondary research exercise has been carried out in the catchment areas for the respective assets to ascertain the transaction activity of commercial, retail and hospitality developments. This has been achieved through interactions with various market players such as developers, real estate brokers, key office tenants, hospitality occupiers, etc. Peers to the assets were identified in terms of potential competition (both completed and under-construction/planned assets), comparable recent lease transactions witnessed in the micro-market were analysed along with the historical leasing and </w:t>
      </w:r>
      <w:r>
        <w:rPr>
          <w:rFonts w:ascii="Times New Roman" w:hAnsi="Times New Roman"/>
          <w:spacing w:val="2"/>
          <w:sz w:val="20"/>
        </w:rPr>
        <w:t>re- </w:t>
      </w:r>
      <w:r>
        <w:rPr>
          <w:rFonts w:ascii="Times New Roman" w:hAnsi="Times New Roman"/>
          <w:sz w:val="20"/>
        </w:rPr>
        <w:t>leasing history within the asset over the last 2 – 3 years. This was undertaken to assess the applicable</w:t>
      </w:r>
      <w:r>
        <w:rPr>
          <w:rFonts w:ascii="Times New Roman" w:hAnsi="Times New Roman"/>
          <w:spacing w:val="44"/>
          <w:sz w:val="20"/>
        </w:rPr>
        <w:t> </w:t>
      </w:r>
      <w:r>
        <w:rPr>
          <w:rFonts w:ascii="Times New Roman" w:hAnsi="Times New Roman"/>
          <w:sz w:val="20"/>
        </w:rPr>
        <w:t>market</w:t>
      </w:r>
      <w:r>
        <w:rPr>
          <w:rFonts w:ascii="Times New Roman" w:hAnsi="Times New Roman"/>
          <w:spacing w:val="41"/>
          <w:sz w:val="20"/>
        </w:rPr>
        <w:t> </w:t>
      </w:r>
      <w:r>
        <w:rPr>
          <w:rFonts w:ascii="Times New Roman" w:hAnsi="Times New Roman"/>
          <w:sz w:val="20"/>
        </w:rPr>
        <w:t>rent</w:t>
      </w:r>
      <w:r>
        <w:rPr>
          <w:rFonts w:ascii="Times New Roman" w:hAnsi="Times New Roman"/>
          <w:spacing w:val="42"/>
          <w:sz w:val="20"/>
        </w:rPr>
        <w:t> </w:t>
      </w:r>
      <w:r>
        <w:rPr>
          <w:rFonts w:ascii="Times New Roman" w:hAnsi="Times New Roman"/>
          <w:sz w:val="20"/>
        </w:rPr>
        <w:t>(applicable</w:t>
      </w:r>
      <w:r>
        <w:rPr>
          <w:rFonts w:ascii="Times New Roman" w:hAnsi="Times New Roman"/>
          <w:spacing w:val="44"/>
          <w:sz w:val="20"/>
        </w:rPr>
        <w:t> </w:t>
      </w:r>
      <w:r>
        <w:rPr>
          <w:rFonts w:ascii="Times New Roman" w:hAnsi="Times New Roman"/>
          <w:sz w:val="20"/>
        </w:rPr>
        <w:t>rental</w:t>
      </w:r>
      <w:r>
        <w:rPr>
          <w:rFonts w:ascii="Times New Roman" w:hAnsi="Times New Roman"/>
          <w:spacing w:val="42"/>
          <w:sz w:val="20"/>
        </w:rPr>
        <w:t> </w:t>
      </w:r>
      <w:r>
        <w:rPr>
          <w:rFonts w:ascii="Times New Roman" w:hAnsi="Times New Roman"/>
          <w:sz w:val="20"/>
        </w:rPr>
        <w:t>for</w:t>
      </w:r>
      <w:r>
        <w:rPr>
          <w:rFonts w:ascii="Times New Roman" w:hAnsi="Times New Roman"/>
          <w:spacing w:val="44"/>
          <w:sz w:val="20"/>
        </w:rPr>
        <w:t> </w:t>
      </w:r>
      <w:r>
        <w:rPr>
          <w:rFonts w:ascii="Times New Roman" w:hAnsi="Times New Roman"/>
          <w:sz w:val="20"/>
        </w:rPr>
        <w:t>the</w:t>
      </w:r>
      <w:r>
        <w:rPr>
          <w:rFonts w:ascii="Times New Roman" w:hAnsi="Times New Roman"/>
          <w:spacing w:val="41"/>
          <w:sz w:val="20"/>
        </w:rPr>
        <w:t> </w:t>
      </w:r>
      <w:r>
        <w:rPr>
          <w:rFonts w:ascii="Times New Roman" w:hAnsi="Times New Roman"/>
          <w:sz w:val="20"/>
        </w:rPr>
        <w:t>micro-market</w:t>
      </w:r>
      <w:r>
        <w:rPr>
          <w:rFonts w:ascii="Times New Roman" w:hAnsi="Times New Roman"/>
          <w:spacing w:val="45"/>
          <w:sz w:val="20"/>
        </w:rPr>
        <w:t> </w:t>
      </w:r>
      <w:r>
        <w:rPr>
          <w:rFonts w:ascii="Times New Roman" w:hAnsi="Times New Roman"/>
          <w:sz w:val="20"/>
        </w:rPr>
        <w:t>where</w:t>
      </w:r>
      <w:r>
        <w:rPr>
          <w:rFonts w:ascii="Times New Roman" w:hAnsi="Times New Roman"/>
          <w:spacing w:val="41"/>
          <w:sz w:val="20"/>
        </w:rPr>
        <w:t> </w:t>
      </w:r>
      <w:r>
        <w:rPr>
          <w:rFonts w:ascii="Times New Roman" w:hAnsi="Times New Roman"/>
          <w:sz w:val="20"/>
        </w:rPr>
        <w:t>the</w:t>
      </w:r>
      <w:r>
        <w:rPr>
          <w:rFonts w:ascii="Times New Roman" w:hAnsi="Times New Roman"/>
          <w:spacing w:val="42"/>
          <w:sz w:val="20"/>
        </w:rPr>
        <w:t> </w:t>
      </w:r>
      <w:r>
        <w:rPr>
          <w:rFonts w:ascii="Times New Roman" w:hAnsi="Times New Roman"/>
          <w:sz w:val="20"/>
        </w:rPr>
        <w:t>asset</w:t>
      </w:r>
      <w:r>
        <w:rPr>
          <w:rFonts w:ascii="Times New Roman" w:hAnsi="Times New Roman"/>
          <w:spacing w:val="44"/>
          <w:sz w:val="20"/>
        </w:rPr>
        <w:t> </w:t>
      </w:r>
      <w:r>
        <w:rPr>
          <w:rFonts w:ascii="Times New Roman" w:hAnsi="Times New Roman"/>
          <w:sz w:val="20"/>
        </w:rPr>
        <w:t>is</w:t>
      </w:r>
      <w:r>
        <w:rPr>
          <w:rFonts w:ascii="Times New Roman" w:hAnsi="Times New Roman"/>
          <w:spacing w:val="43"/>
          <w:sz w:val="20"/>
        </w:rPr>
        <w:t> </w:t>
      </w:r>
      <w:r>
        <w:rPr>
          <w:rFonts w:ascii="Times New Roman" w:hAnsi="Times New Roman"/>
          <w:sz w:val="20"/>
        </w:rPr>
        <w:t>located)</w:t>
      </w:r>
      <w:r>
        <w:rPr>
          <w:rFonts w:ascii="Times New Roman" w:hAnsi="Times New Roman"/>
          <w:spacing w:val="45"/>
          <w:sz w:val="20"/>
        </w:rPr>
        <w:t> </w:t>
      </w:r>
      <w:r>
        <w:rPr>
          <w:rFonts w:ascii="Times New Roman" w:hAnsi="Times New Roman"/>
          <w:sz w:val="20"/>
        </w:rPr>
        <w:t>and</w:t>
      </w:r>
    </w:p>
    <w:p>
      <w:pPr>
        <w:spacing w:after="0" w:line="240" w:lineRule="auto"/>
        <w:jc w:val="both"/>
        <w:rPr>
          <w:rFonts w:ascii="Times New Roman" w:hAnsi="Times New Roman"/>
          <w:sz w:val="20"/>
        </w:rPr>
        <w:sectPr>
          <w:pgSz w:w="12240" w:h="15840"/>
          <w:pgMar w:header="728" w:footer="1174" w:top="1180" w:bottom="1400" w:left="620" w:right="580"/>
        </w:sectPr>
      </w:pPr>
    </w:p>
    <w:p>
      <w:pPr>
        <w:pStyle w:val="BodyText"/>
        <w:rPr>
          <w:rFonts w:ascii="Times New Roman"/>
          <w:sz w:val="18"/>
        </w:rPr>
      </w:pPr>
    </w:p>
    <w:p>
      <w:pPr>
        <w:spacing w:before="91"/>
        <w:ind w:left="2166" w:right="835" w:firstLine="0"/>
        <w:jc w:val="left"/>
        <w:rPr>
          <w:rFonts w:ascii="Times New Roman" w:hAnsi="Times New Roman"/>
          <w:sz w:val="20"/>
        </w:rPr>
      </w:pPr>
      <w:r>
        <w:rPr>
          <w:rFonts w:ascii="Times New Roman" w:hAnsi="Times New Roman"/>
          <w:sz w:val="20"/>
        </w:rPr>
        <w:t>applicable marginal rental (the Consultants’ view on rental for the asset – used for leasing vacant spaces as well as upon releasing).</w:t>
      </w:r>
    </w:p>
    <w:p>
      <w:pPr>
        <w:pStyle w:val="BodyText"/>
        <w:spacing w:before="11"/>
        <w:rPr>
          <w:rFonts w:ascii="Times New Roman"/>
          <w:sz w:val="20"/>
        </w:rPr>
      </w:pPr>
    </w:p>
    <w:p>
      <w:pPr>
        <w:pStyle w:val="ListParagraph"/>
        <w:numPr>
          <w:ilvl w:val="0"/>
          <w:numId w:val="9"/>
        </w:numPr>
        <w:tabs>
          <w:tab w:pos="2167" w:val="left" w:leader="none"/>
        </w:tabs>
        <w:spacing w:line="240" w:lineRule="auto" w:before="0" w:after="0"/>
        <w:ind w:left="2166" w:right="861" w:hanging="368"/>
        <w:jc w:val="both"/>
        <w:rPr>
          <w:rFonts w:ascii="Times New Roman"/>
          <w:sz w:val="20"/>
        </w:rPr>
      </w:pPr>
      <w:r>
        <w:rPr>
          <w:rFonts w:ascii="Times New Roman"/>
          <w:sz w:val="20"/>
        </w:rPr>
        <w:t>The Consultants also analysed the historical leasing within the asset for anchor tenants to identify the discount that is extended to such tenants at the time of fresh leasing or lease renewals. Every lease deed of large anchor tenants were analysed and applicable discount to marginal rental was estimated for individual leases. For other tenants occupying relatively large space within the properties, the Valuer assumed the leases to revert to marginal rentals (duly escalated from the date of valuation) post expiry of the lease, factoring appropriate re-leasing</w:t>
      </w:r>
      <w:r>
        <w:rPr>
          <w:rFonts w:ascii="Times New Roman"/>
          <w:spacing w:val="-3"/>
          <w:sz w:val="20"/>
        </w:rPr>
        <w:t> </w:t>
      </w:r>
      <w:r>
        <w:rPr>
          <w:rFonts w:ascii="Times New Roman"/>
          <w:sz w:val="20"/>
        </w:rPr>
        <w:t>time.</w:t>
      </w:r>
    </w:p>
    <w:p>
      <w:pPr>
        <w:pStyle w:val="BodyText"/>
        <w:spacing w:before="8"/>
        <w:rPr>
          <w:rFonts w:ascii="Times New Roman"/>
          <w:sz w:val="20"/>
        </w:rPr>
      </w:pPr>
    </w:p>
    <w:p>
      <w:pPr>
        <w:spacing w:before="0"/>
        <w:ind w:left="1310" w:right="0" w:firstLine="0"/>
        <w:jc w:val="left"/>
        <w:rPr>
          <w:rFonts w:ascii="Times New Roman"/>
          <w:b/>
          <w:sz w:val="20"/>
        </w:rPr>
      </w:pPr>
      <w:r>
        <w:rPr>
          <w:rFonts w:ascii="Times New Roman"/>
          <w:b/>
          <w:sz w:val="20"/>
          <w:u w:val="single"/>
        </w:rPr>
        <w:t>Cash Flow Projections:</w:t>
      </w:r>
    </w:p>
    <w:p>
      <w:pPr>
        <w:pStyle w:val="BodyText"/>
        <w:rPr>
          <w:rFonts w:ascii="Times New Roman"/>
          <w:b/>
          <w:sz w:val="13"/>
        </w:rPr>
      </w:pPr>
    </w:p>
    <w:p>
      <w:pPr>
        <w:pStyle w:val="ListParagraph"/>
        <w:numPr>
          <w:ilvl w:val="0"/>
          <w:numId w:val="10"/>
        </w:numPr>
        <w:tabs>
          <w:tab w:pos="2167" w:val="left" w:leader="none"/>
        </w:tabs>
        <w:spacing w:line="240" w:lineRule="auto" w:before="91" w:after="0"/>
        <w:ind w:left="2166" w:right="860" w:hanging="368"/>
        <w:jc w:val="both"/>
        <w:rPr>
          <w:rFonts w:ascii="Times New Roman"/>
          <w:sz w:val="20"/>
        </w:rPr>
      </w:pPr>
      <w:r>
        <w:rPr>
          <w:rFonts w:ascii="Times New Roman"/>
          <w:sz w:val="20"/>
        </w:rPr>
        <w:t>The cash flows for the operational and under-construction/proposed area were projected separately to arrive at their respective value</w:t>
      </w:r>
      <w:r>
        <w:rPr>
          <w:rFonts w:ascii="Times New Roman"/>
          <w:spacing w:val="-2"/>
          <w:sz w:val="20"/>
        </w:rPr>
        <w:t> </w:t>
      </w:r>
      <w:r>
        <w:rPr>
          <w:rFonts w:ascii="Times New Roman"/>
          <w:sz w:val="20"/>
        </w:rPr>
        <w:t>conclusion.</w:t>
      </w:r>
    </w:p>
    <w:p>
      <w:pPr>
        <w:pStyle w:val="BodyText"/>
        <w:spacing w:before="11"/>
        <w:rPr>
          <w:rFonts w:ascii="Times New Roman"/>
          <w:sz w:val="20"/>
        </w:rPr>
      </w:pPr>
    </w:p>
    <w:p>
      <w:pPr>
        <w:pStyle w:val="ListParagraph"/>
        <w:numPr>
          <w:ilvl w:val="0"/>
          <w:numId w:val="10"/>
        </w:numPr>
        <w:tabs>
          <w:tab w:pos="2167" w:val="left" w:leader="none"/>
        </w:tabs>
        <w:spacing w:line="240" w:lineRule="auto" w:before="0" w:after="0"/>
        <w:ind w:left="2166" w:right="856" w:hanging="368"/>
        <w:jc w:val="both"/>
        <w:rPr>
          <w:rFonts w:ascii="Times New Roman"/>
          <w:sz w:val="20"/>
        </w:rPr>
      </w:pPr>
      <w:r>
        <w:rPr>
          <w:rFonts w:ascii="Times New Roman"/>
          <w:sz w:val="20"/>
        </w:rPr>
        <w:t>The Valuer has utilized the EBIDTA to arrive at the value of the subject properties. The following steps were undertaken to arrive at the value for operational and under-construction/proposed area respectively.</w:t>
      </w:r>
    </w:p>
    <w:p>
      <w:pPr>
        <w:pStyle w:val="BodyText"/>
        <w:spacing w:before="9"/>
        <w:rPr>
          <w:rFonts w:ascii="Times New Roman"/>
          <w:sz w:val="20"/>
        </w:rPr>
      </w:pPr>
    </w:p>
    <w:p>
      <w:pPr>
        <w:spacing w:before="0"/>
        <w:ind w:left="2166" w:right="855" w:firstLine="0"/>
        <w:jc w:val="both"/>
        <w:rPr>
          <w:rFonts w:ascii="Times New Roman"/>
          <w:sz w:val="20"/>
        </w:rPr>
      </w:pPr>
      <w:r>
        <w:rPr>
          <w:rFonts w:ascii="Times New Roman"/>
          <w:sz w:val="20"/>
        </w:rPr>
        <w:t>The Valuer has projected future cash flows from the property based on existing lease terms for the operational area till the expiry of the leases or re-negotiation (using the variance analysis), whichever is earlier. Post which, the lease terms have been aligned with marginal rentals. For vacant area and under-construction/proposed area, the Valuer has projected the marginal rent led cash flows factoring appropriate lease-up time frame for vacant/under-construction/proposed area. These cash flows have been projected for 10-year duration from the date of valuation and for 11</w:t>
      </w:r>
      <w:r>
        <w:rPr>
          <w:rFonts w:ascii="Times New Roman"/>
          <w:position w:val="6"/>
          <w:sz w:val="11"/>
        </w:rPr>
        <w:t>th </w:t>
      </w:r>
      <w:r>
        <w:rPr>
          <w:rFonts w:ascii="Times New Roman"/>
          <w:sz w:val="20"/>
        </w:rPr>
        <w:t>year (for assessment of terminal value). These future financial benefits are then discounted to a present-day value (valuation date) at an appropriate discount</w:t>
      </w:r>
      <w:r>
        <w:rPr>
          <w:rFonts w:ascii="Times New Roman"/>
          <w:spacing w:val="-5"/>
          <w:sz w:val="20"/>
        </w:rPr>
        <w:t> </w:t>
      </w:r>
      <w:r>
        <w:rPr>
          <w:rFonts w:ascii="Times New Roman"/>
          <w:sz w:val="20"/>
        </w:rPr>
        <w:t>rate.</w:t>
      </w:r>
    </w:p>
    <w:p>
      <w:pPr>
        <w:pStyle w:val="BodyText"/>
        <w:spacing w:before="11"/>
        <w:rPr>
          <w:rFonts w:ascii="Times New Roman"/>
          <w:sz w:val="20"/>
        </w:rPr>
      </w:pPr>
    </w:p>
    <w:p>
      <w:pPr>
        <w:spacing w:before="0"/>
        <w:ind w:left="2166" w:right="853" w:firstLine="0"/>
        <w:jc w:val="both"/>
        <w:rPr>
          <w:rFonts w:ascii="Times New Roman"/>
          <w:sz w:val="20"/>
        </w:rPr>
      </w:pPr>
      <w:r>
        <w:rPr>
          <w:rFonts w:ascii="Times New Roman"/>
          <w:sz w:val="20"/>
        </w:rPr>
        <w:t>For each lease, the following steps have been undertaken to assess the rental over a 10-year time horizon:</w:t>
      </w:r>
    </w:p>
    <w:p>
      <w:pPr>
        <w:pStyle w:val="BodyText"/>
        <w:rPr>
          <w:rFonts w:ascii="Times New Roman"/>
          <w:sz w:val="21"/>
        </w:rPr>
      </w:pPr>
    </w:p>
    <w:p>
      <w:pPr>
        <w:pStyle w:val="ListParagraph"/>
        <w:numPr>
          <w:ilvl w:val="1"/>
          <w:numId w:val="10"/>
        </w:numPr>
        <w:tabs>
          <w:tab w:pos="3147" w:val="left" w:leader="none"/>
        </w:tabs>
        <w:spacing w:line="240" w:lineRule="auto" w:before="0" w:after="0"/>
        <w:ind w:left="3146" w:right="851" w:hanging="368"/>
        <w:jc w:val="both"/>
        <w:rPr>
          <w:rFonts w:ascii="Times New Roman"/>
          <w:sz w:val="20"/>
        </w:rPr>
      </w:pPr>
      <w:r>
        <w:rPr>
          <w:rFonts w:ascii="Times New Roman"/>
          <w:b/>
          <w:sz w:val="20"/>
          <w:u w:val="single"/>
        </w:rPr>
        <w:t>Step 1:</w:t>
      </w:r>
      <w:r>
        <w:rPr>
          <w:rFonts w:ascii="Times New Roman"/>
          <w:b/>
          <w:sz w:val="20"/>
        </w:rPr>
        <w:t> </w:t>
      </w:r>
      <w:r>
        <w:rPr>
          <w:rFonts w:ascii="Times New Roman"/>
          <w:sz w:val="20"/>
        </w:rPr>
        <w:t>Project the rentals for identified tenancies up to the period of lease expiry, lock- in expiry, first escalation, second escalation, etc. whichever is applicable. In the event of unleased spaces, market-led rentals to be adopted with suitable lease-up</w:t>
      </w:r>
      <w:r>
        <w:rPr>
          <w:rFonts w:ascii="Times New Roman"/>
          <w:spacing w:val="-3"/>
          <w:sz w:val="20"/>
        </w:rPr>
        <w:t> </w:t>
      </w:r>
      <w:r>
        <w:rPr>
          <w:rFonts w:ascii="Times New Roman"/>
          <w:sz w:val="20"/>
        </w:rPr>
        <w:t>time</w:t>
      </w:r>
    </w:p>
    <w:p>
      <w:pPr>
        <w:pStyle w:val="BodyText"/>
        <w:spacing w:before="8"/>
        <w:rPr>
          <w:rFonts w:ascii="Times New Roman"/>
          <w:sz w:val="20"/>
        </w:rPr>
      </w:pPr>
    </w:p>
    <w:p>
      <w:pPr>
        <w:pStyle w:val="ListParagraph"/>
        <w:numPr>
          <w:ilvl w:val="1"/>
          <w:numId w:val="10"/>
        </w:numPr>
        <w:tabs>
          <w:tab w:pos="3147" w:val="left" w:leader="none"/>
        </w:tabs>
        <w:spacing w:line="240" w:lineRule="auto" w:before="1" w:after="0"/>
        <w:ind w:left="3146" w:right="864" w:hanging="368"/>
        <w:jc w:val="both"/>
        <w:rPr>
          <w:rFonts w:ascii="Times New Roman"/>
          <w:sz w:val="20"/>
        </w:rPr>
      </w:pPr>
      <w:r>
        <w:rPr>
          <w:rFonts w:ascii="Times New Roman"/>
          <w:b/>
          <w:sz w:val="20"/>
          <w:u w:val="single"/>
        </w:rPr>
        <w:t>Step 2:</w:t>
      </w:r>
      <w:r>
        <w:rPr>
          <w:rFonts w:ascii="Times New Roman"/>
          <w:b/>
          <w:sz w:val="20"/>
        </w:rPr>
        <w:t> </w:t>
      </w:r>
      <w:r>
        <w:rPr>
          <w:rFonts w:ascii="Times New Roman"/>
          <w:sz w:val="20"/>
        </w:rPr>
        <w:t>Generating a marginal rental stream for identified tenancies for the time period similar to the cash flows drawn in the aforementioned step</w:t>
      </w:r>
    </w:p>
    <w:p>
      <w:pPr>
        <w:pStyle w:val="BodyText"/>
        <w:spacing w:before="10"/>
        <w:rPr>
          <w:rFonts w:ascii="Times New Roman"/>
          <w:sz w:val="20"/>
        </w:rPr>
      </w:pPr>
    </w:p>
    <w:p>
      <w:pPr>
        <w:pStyle w:val="ListParagraph"/>
        <w:numPr>
          <w:ilvl w:val="1"/>
          <w:numId w:val="10"/>
        </w:numPr>
        <w:tabs>
          <w:tab w:pos="3147" w:val="left" w:leader="none"/>
        </w:tabs>
        <w:spacing w:line="240" w:lineRule="auto" w:before="1" w:after="0"/>
        <w:ind w:left="3146" w:right="851" w:hanging="368"/>
        <w:jc w:val="both"/>
        <w:rPr>
          <w:rFonts w:ascii="Times New Roman"/>
          <w:sz w:val="20"/>
        </w:rPr>
      </w:pPr>
      <w:r>
        <w:rPr>
          <w:rFonts w:ascii="Times New Roman"/>
          <w:b/>
          <w:sz w:val="20"/>
          <w:u w:val="single"/>
        </w:rPr>
        <w:t>Step 3:</w:t>
      </w:r>
      <w:r>
        <w:rPr>
          <w:rFonts w:ascii="Times New Roman"/>
          <w:b/>
          <w:sz w:val="20"/>
        </w:rPr>
        <w:t> </w:t>
      </w:r>
      <w:r>
        <w:rPr>
          <w:rFonts w:ascii="Times New Roman"/>
          <w:sz w:val="20"/>
        </w:rPr>
        <w:t>In the event the escalated contracted rental is above the marginal rent (viz. by 10% for Bengaluru/ Mumbai assets &amp; 15% for Pune/ Noida assets), the contracted terms are discarded, and the terms are reverted to market. In the event the escalated contracted rent is below the marginal rent by the threshold highlighted </w:t>
      </w:r>
      <w:r>
        <w:rPr>
          <w:rFonts w:ascii="Times New Roman"/>
          <w:spacing w:val="2"/>
          <w:sz w:val="20"/>
        </w:rPr>
        <w:t>above, </w:t>
      </w:r>
      <w:r>
        <w:rPr>
          <w:rFonts w:ascii="Times New Roman"/>
          <w:sz w:val="20"/>
        </w:rPr>
        <w:t>the contracted terms are adopted going forward until the next lease review/ renewal. Intent of this step is to project the rental for respective leases until lease expiry as well as post expiry</w:t>
      </w:r>
    </w:p>
    <w:p>
      <w:pPr>
        <w:pStyle w:val="BodyText"/>
        <w:spacing w:before="11"/>
        <w:rPr>
          <w:rFonts w:ascii="Times New Roman"/>
          <w:sz w:val="20"/>
        </w:rPr>
      </w:pPr>
    </w:p>
    <w:p>
      <w:pPr>
        <w:pStyle w:val="ListParagraph"/>
        <w:numPr>
          <w:ilvl w:val="1"/>
          <w:numId w:val="10"/>
        </w:numPr>
        <w:tabs>
          <w:tab w:pos="3147" w:val="left" w:leader="none"/>
        </w:tabs>
        <w:spacing w:line="240" w:lineRule="auto" w:before="0" w:after="0"/>
        <w:ind w:left="3146" w:right="854" w:hanging="368"/>
        <w:jc w:val="both"/>
        <w:rPr>
          <w:rFonts w:ascii="Times New Roman" w:hAnsi="Times New Roman"/>
          <w:sz w:val="20"/>
        </w:rPr>
      </w:pPr>
      <w:r>
        <w:rPr>
          <w:rFonts w:ascii="Times New Roman" w:hAnsi="Times New Roman"/>
          <w:b/>
          <w:sz w:val="20"/>
        </w:rPr>
        <w:t>Step 4: </w:t>
      </w:r>
      <w:r>
        <w:rPr>
          <w:rFonts w:ascii="Times New Roman" w:hAnsi="Times New Roman"/>
          <w:sz w:val="20"/>
        </w:rPr>
        <w:t>Computing the monthly income based on rentals projected as part of Step 3 and translating the same to a quarterly income (for the next 10 years and 11th year – considered for calculation of terminal</w:t>
      </w:r>
      <w:r>
        <w:rPr>
          <w:rFonts w:ascii="Times New Roman" w:hAnsi="Times New Roman"/>
          <w:spacing w:val="1"/>
          <w:sz w:val="20"/>
        </w:rPr>
        <w:t> </w:t>
      </w:r>
      <w:r>
        <w:rPr>
          <w:rFonts w:ascii="Times New Roman" w:hAnsi="Times New Roman"/>
          <w:sz w:val="20"/>
        </w:rPr>
        <w:t>value)</w:t>
      </w:r>
    </w:p>
    <w:p>
      <w:pPr>
        <w:pStyle w:val="BodyText"/>
        <w:spacing w:before="8"/>
        <w:rPr>
          <w:rFonts w:ascii="Times New Roman"/>
          <w:sz w:val="20"/>
        </w:rPr>
      </w:pPr>
    </w:p>
    <w:p>
      <w:pPr>
        <w:pStyle w:val="ListParagraph"/>
        <w:numPr>
          <w:ilvl w:val="0"/>
          <w:numId w:val="10"/>
        </w:numPr>
        <w:tabs>
          <w:tab w:pos="2167" w:val="left" w:leader="none"/>
        </w:tabs>
        <w:spacing w:line="240" w:lineRule="auto" w:before="1" w:after="0"/>
        <w:ind w:left="2166" w:right="854" w:hanging="368"/>
        <w:jc w:val="both"/>
        <w:rPr>
          <w:rFonts w:ascii="Times New Roman" w:hAnsi="Times New Roman"/>
          <w:sz w:val="20"/>
        </w:rPr>
      </w:pPr>
      <w:r>
        <w:rPr>
          <w:rFonts w:ascii="Times New Roman" w:hAnsi="Times New Roman"/>
          <w:sz w:val="20"/>
        </w:rPr>
        <w:t>Adjustments for other revenues and recurring operational expenses, fit-out income (if any – projected till first term expiry and discounted to present day – the same has been considered below the NOI and does not get capitalized) and vacancy provision have been adopted in-line with prevalent market dynamics. In addition, appropriate rent-free periods have been adopted during lease</w:t>
      </w:r>
      <w:r>
        <w:rPr>
          <w:rFonts w:ascii="Times New Roman" w:hAnsi="Times New Roman"/>
          <w:spacing w:val="22"/>
          <w:sz w:val="20"/>
        </w:rPr>
        <w:t> </w:t>
      </w:r>
      <w:r>
        <w:rPr>
          <w:rFonts w:ascii="Times New Roman" w:hAnsi="Times New Roman"/>
          <w:sz w:val="20"/>
        </w:rPr>
        <w:t>roll-overs</w:t>
      </w:r>
      <w:r>
        <w:rPr>
          <w:rFonts w:ascii="Times New Roman" w:hAnsi="Times New Roman"/>
          <w:spacing w:val="22"/>
          <w:sz w:val="20"/>
        </w:rPr>
        <w:t> </w:t>
      </w:r>
      <w:r>
        <w:rPr>
          <w:rFonts w:ascii="Times New Roman" w:hAnsi="Times New Roman"/>
          <w:sz w:val="20"/>
        </w:rPr>
        <w:t>to</w:t>
      </w:r>
      <w:r>
        <w:rPr>
          <w:rFonts w:ascii="Times New Roman" w:hAnsi="Times New Roman"/>
          <w:spacing w:val="22"/>
          <w:sz w:val="20"/>
        </w:rPr>
        <w:t> </w:t>
      </w:r>
      <w:r>
        <w:rPr>
          <w:rFonts w:ascii="Times New Roman" w:hAnsi="Times New Roman"/>
          <w:sz w:val="20"/>
        </w:rPr>
        <w:t>factor</w:t>
      </w:r>
      <w:r>
        <w:rPr>
          <w:rFonts w:ascii="Times New Roman" w:hAnsi="Times New Roman"/>
          <w:spacing w:val="23"/>
          <w:sz w:val="20"/>
        </w:rPr>
        <w:t> </w:t>
      </w:r>
      <w:r>
        <w:rPr>
          <w:rFonts w:ascii="Times New Roman" w:hAnsi="Times New Roman"/>
          <w:sz w:val="20"/>
        </w:rPr>
        <w:t>potential</w:t>
      </w:r>
      <w:r>
        <w:rPr>
          <w:rFonts w:ascii="Times New Roman" w:hAnsi="Times New Roman"/>
          <w:spacing w:val="22"/>
          <w:sz w:val="20"/>
        </w:rPr>
        <w:t> </w:t>
      </w:r>
      <w:r>
        <w:rPr>
          <w:rFonts w:ascii="Times New Roman" w:hAnsi="Times New Roman"/>
          <w:sz w:val="20"/>
        </w:rPr>
        <w:t>rent</w:t>
      </w:r>
      <w:r>
        <w:rPr>
          <w:rFonts w:ascii="Times New Roman" w:hAnsi="Times New Roman"/>
          <w:spacing w:val="23"/>
          <w:sz w:val="20"/>
        </w:rPr>
        <w:t> </w:t>
      </w:r>
      <w:r>
        <w:rPr>
          <w:rFonts w:ascii="Times New Roman" w:hAnsi="Times New Roman"/>
          <w:sz w:val="20"/>
        </w:rPr>
        <w:t>free</w:t>
      </w:r>
      <w:r>
        <w:rPr>
          <w:rFonts w:ascii="Times New Roman" w:hAnsi="Times New Roman"/>
          <w:spacing w:val="23"/>
          <w:sz w:val="20"/>
        </w:rPr>
        <w:t> </w:t>
      </w:r>
      <w:r>
        <w:rPr>
          <w:rFonts w:ascii="Times New Roman" w:hAnsi="Times New Roman"/>
          <w:sz w:val="20"/>
        </w:rPr>
        <w:t>terms</w:t>
      </w:r>
      <w:r>
        <w:rPr>
          <w:rFonts w:ascii="Times New Roman" w:hAnsi="Times New Roman"/>
          <w:spacing w:val="21"/>
          <w:sz w:val="20"/>
        </w:rPr>
        <w:t> </w:t>
      </w:r>
      <w:r>
        <w:rPr>
          <w:rFonts w:ascii="Times New Roman" w:hAnsi="Times New Roman"/>
          <w:sz w:val="20"/>
        </w:rPr>
        <w:t>as</w:t>
      </w:r>
      <w:r>
        <w:rPr>
          <w:rFonts w:ascii="Times New Roman" w:hAnsi="Times New Roman"/>
          <w:spacing w:val="22"/>
          <w:sz w:val="20"/>
        </w:rPr>
        <w:t> </w:t>
      </w:r>
      <w:r>
        <w:rPr>
          <w:rFonts w:ascii="Times New Roman" w:hAnsi="Times New Roman"/>
          <w:sz w:val="20"/>
        </w:rPr>
        <w:t>well</w:t>
      </w:r>
      <w:r>
        <w:rPr>
          <w:rFonts w:ascii="Times New Roman" w:hAnsi="Times New Roman"/>
          <w:spacing w:val="22"/>
          <w:sz w:val="20"/>
        </w:rPr>
        <w:t> </w:t>
      </w:r>
      <w:r>
        <w:rPr>
          <w:rFonts w:ascii="Times New Roman" w:hAnsi="Times New Roman"/>
          <w:sz w:val="20"/>
        </w:rPr>
        <w:t>as</w:t>
      </w:r>
      <w:r>
        <w:rPr>
          <w:rFonts w:ascii="Times New Roman" w:hAnsi="Times New Roman"/>
          <w:spacing w:val="22"/>
          <w:sz w:val="20"/>
        </w:rPr>
        <w:t> </w:t>
      </w:r>
      <w:r>
        <w:rPr>
          <w:rFonts w:ascii="Times New Roman" w:hAnsi="Times New Roman"/>
          <w:sz w:val="20"/>
        </w:rPr>
        <w:t>outflows</w:t>
      </w:r>
      <w:r>
        <w:rPr>
          <w:rFonts w:ascii="Times New Roman" w:hAnsi="Times New Roman"/>
          <w:spacing w:val="21"/>
          <w:sz w:val="20"/>
        </w:rPr>
        <w:t> </w:t>
      </w:r>
      <w:r>
        <w:rPr>
          <w:rFonts w:ascii="Times New Roman" w:hAnsi="Times New Roman"/>
          <w:sz w:val="20"/>
        </w:rPr>
        <w:t>towards</w:t>
      </w:r>
      <w:r>
        <w:rPr>
          <w:rFonts w:ascii="Times New Roman" w:hAnsi="Times New Roman"/>
          <w:spacing w:val="22"/>
          <w:sz w:val="20"/>
        </w:rPr>
        <w:t> </w:t>
      </w:r>
      <w:r>
        <w:rPr>
          <w:rFonts w:ascii="Times New Roman" w:hAnsi="Times New Roman"/>
          <w:sz w:val="20"/>
        </w:rPr>
        <w:t>brokerage.</w:t>
      </w:r>
      <w:r>
        <w:rPr>
          <w:rFonts w:ascii="Times New Roman" w:hAnsi="Times New Roman"/>
          <w:spacing w:val="23"/>
          <w:sz w:val="20"/>
        </w:rPr>
        <w:t> </w:t>
      </w:r>
      <w:r>
        <w:rPr>
          <w:rFonts w:ascii="Times New Roman" w:hAnsi="Times New Roman"/>
          <w:sz w:val="20"/>
        </w:rPr>
        <w:t>For</w:t>
      </w:r>
      <w:r>
        <w:rPr>
          <w:rFonts w:ascii="Times New Roman" w:hAnsi="Times New Roman"/>
          <w:spacing w:val="22"/>
          <w:sz w:val="20"/>
        </w:rPr>
        <w:t> </w:t>
      </w:r>
      <w:r>
        <w:rPr>
          <w:rFonts w:ascii="Times New Roman" w:hAnsi="Times New Roman"/>
          <w:sz w:val="20"/>
        </w:rPr>
        <w:t>all</w:t>
      </w:r>
    </w:p>
    <w:p>
      <w:pPr>
        <w:spacing w:after="0" w:line="240" w:lineRule="auto"/>
        <w:jc w:val="both"/>
        <w:rPr>
          <w:rFonts w:ascii="Times New Roman" w:hAnsi="Times New Roman"/>
          <w:sz w:val="20"/>
        </w:rPr>
        <w:sectPr>
          <w:pgSz w:w="12240" w:h="15840"/>
          <w:pgMar w:header="728" w:footer="1174" w:top="1180" w:bottom="1460" w:left="620" w:right="580"/>
        </w:sectPr>
      </w:pPr>
    </w:p>
    <w:p>
      <w:pPr>
        <w:pStyle w:val="BodyText"/>
        <w:rPr>
          <w:rFonts w:ascii="Times New Roman"/>
          <w:sz w:val="18"/>
        </w:rPr>
      </w:pPr>
    </w:p>
    <w:p>
      <w:pPr>
        <w:spacing w:before="91"/>
        <w:ind w:left="2166" w:right="855" w:firstLine="0"/>
        <w:jc w:val="both"/>
        <w:rPr>
          <w:rFonts w:ascii="Times New Roman"/>
          <w:sz w:val="20"/>
        </w:rPr>
      </w:pPr>
      <w:r>
        <w:rPr>
          <w:rFonts w:ascii="Times New Roman"/>
          <w:sz w:val="20"/>
        </w:rPr>
        <w:t>assets, the Valuer has looked at the operational revenues and expenses of the respective assets to understand the recurring, non-recurring, recoverable and non-recoverable expenses and accordingly modelled the common area maintenance income and operational expenses for the asset. For Embassy Manyata, Embassy GolfLinks and Embassy TechZone, common area maintenance is managed by an external agency and accordingly, no CAM margin has been considered during the course of operations. However, for assessing the exit cash flows, the Valuer has assumed that on a notional exit, market-led CAM charges and hence CAM margin would be accruable to a potential buyer and the same has been adopted during capitalization.</w:t>
      </w:r>
    </w:p>
    <w:p>
      <w:pPr>
        <w:pStyle w:val="BodyText"/>
        <w:spacing w:before="9"/>
        <w:rPr>
          <w:rFonts w:ascii="Times New Roman"/>
          <w:sz w:val="20"/>
        </w:rPr>
      </w:pPr>
    </w:p>
    <w:p>
      <w:pPr>
        <w:pStyle w:val="ListParagraph"/>
        <w:numPr>
          <w:ilvl w:val="0"/>
          <w:numId w:val="10"/>
        </w:numPr>
        <w:tabs>
          <w:tab w:pos="2167" w:val="left" w:leader="none"/>
        </w:tabs>
        <w:spacing w:line="240" w:lineRule="auto" w:before="0" w:after="0"/>
        <w:ind w:left="2166" w:right="853" w:hanging="368"/>
        <w:jc w:val="both"/>
        <w:rPr>
          <w:rFonts w:ascii="Times New Roman"/>
          <w:sz w:val="20"/>
        </w:rPr>
      </w:pPr>
      <w:r>
        <w:rPr>
          <w:rFonts w:ascii="Times New Roman"/>
          <w:sz w:val="20"/>
        </w:rPr>
        <w:t>The net income on quarterly basis have been projected over the next 10 years and the 1 year forward NOI (for 11</w:t>
      </w:r>
      <w:r>
        <w:rPr>
          <w:rFonts w:ascii="Times New Roman"/>
          <w:position w:val="6"/>
          <w:sz w:val="11"/>
        </w:rPr>
        <w:t>th </w:t>
      </w:r>
      <w:r>
        <w:rPr>
          <w:rFonts w:ascii="Times New Roman"/>
          <w:sz w:val="20"/>
        </w:rPr>
        <w:t>year) as of end of year 10 has been capitalized to assess the terminal value of the development. The quarterly net income over the next 10 years along with the terminal value during the end of year 10 have been discounted at a suitable discount rate to arrive at the </w:t>
      </w:r>
      <w:r>
        <w:rPr>
          <w:rFonts w:ascii="Times New Roman"/>
          <w:spacing w:val="3"/>
          <w:sz w:val="20"/>
        </w:rPr>
        <w:t>net </w:t>
      </w:r>
      <w:r>
        <w:rPr>
          <w:rFonts w:ascii="Times New Roman"/>
          <w:sz w:val="20"/>
        </w:rPr>
        <w:t>present value of the asset through this</w:t>
      </w:r>
      <w:r>
        <w:rPr>
          <w:rFonts w:ascii="Times New Roman"/>
          <w:spacing w:val="-3"/>
          <w:sz w:val="20"/>
        </w:rPr>
        <w:t> </w:t>
      </w:r>
      <w:r>
        <w:rPr>
          <w:rFonts w:ascii="Times New Roman"/>
          <w:sz w:val="20"/>
        </w:rPr>
        <w:t>approach.</w:t>
      </w:r>
    </w:p>
    <w:p>
      <w:pPr>
        <w:pStyle w:val="BodyText"/>
        <w:spacing w:before="1"/>
        <w:rPr>
          <w:rFonts w:ascii="Times New Roman"/>
          <w:sz w:val="21"/>
        </w:rPr>
      </w:pPr>
    </w:p>
    <w:p>
      <w:pPr>
        <w:pStyle w:val="ListParagraph"/>
        <w:numPr>
          <w:ilvl w:val="0"/>
          <w:numId w:val="10"/>
        </w:numPr>
        <w:tabs>
          <w:tab w:pos="2167" w:val="left" w:leader="none"/>
        </w:tabs>
        <w:spacing w:line="240" w:lineRule="auto" w:before="0" w:after="0"/>
        <w:ind w:left="2166" w:right="852" w:hanging="368"/>
        <w:jc w:val="both"/>
        <w:rPr>
          <w:rFonts w:ascii="Times New Roman"/>
          <w:sz w:val="20"/>
        </w:rPr>
      </w:pPr>
      <w:r>
        <w:rPr>
          <w:rFonts w:ascii="Times New Roman"/>
          <w:sz w:val="20"/>
        </w:rPr>
        <w:t>For the hospitality component, future cash flows from the property, were projected based on our assessment of ARRs and Occupancy. Adjustments for other revenues and recurring operational expenses, have been adopted in-line with prevalent market dynamics. The net income on quarterly basis have been projected over the next 10 years and the 1 year forward EBITDA (for 11</w:t>
      </w:r>
      <w:r>
        <w:rPr>
          <w:rFonts w:ascii="Times New Roman"/>
          <w:position w:val="6"/>
          <w:sz w:val="11"/>
        </w:rPr>
        <w:t>th </w:t>
      </w:r>
      <w:r>
        <w:rPr>
          <w:rFonts w:ascii="Times New Roman"/>
          <w:sz w:val="20"/>
        </w:rPr>
        <w:t>year) as of end of year 10 has been capitalized to assess the terminal value of the development. The quarterly net income over the next 10 years along with the terminal value during the end of year 10 have been discounted at a suitable discount rate to arrive at the net present value of the</w:t>
      </w:r>
      <w:r>
        <w:rPr>
          <w:rFonts w:ascii="Times New Roman"/>
          <w:spacing w:val="-15"/>
          <w:sz w:val="20"/>
        </w:rPr>
        <w:t> </w:t>
      </w:r>
      <w:r>
        <w:rPr>
          <w:rFonts w:ascii="Times New Roman"/>
          <w:sz w:val="20"/>
        </w:rPr>
        <w:t>asset.</w:t>
      </w:r>
    </w:p>
    <w:p>
      <w:pPr>
        <w:pStyle w:val="BodyText"/>
        <w:spacing w:before="1"/>
        <w:rPr>
          <w:rFonts w:ascii="Times New Roman"/>
          <w:sz w:val="31"/>
        </w:rPr>
      </w:pPr>
    </w:p>
    <w:p>
      <w:pPr>
        <w:pStyle w:val="ListParagraph"/>
        <w:numPr>
          <w:ilvl w:val="1"/>
          <w:numId w:val="1"/>
        </w:numPr>
        <w:tabs>
          <w:tab w:pos="1309" w:val="left" w:leader="none"/>
          <w:tab w:pos="1311" w:val="left" w:leader="none"/>
        </w:tabs>
        <w:spacing w:line="240" w:lineRule="auto" w:before="1" w:after="0"/>
        <w:ind w:left="1310" w:right="0" w:hanging="491"/>
        <w:jc w:val="left"/>
        <w:rPr>
          <w:rFonts w:ascii="Times New Roman"/>
          <w:color w:val="1E6C28"/>
          <w:sz w:val="20"/>
        </w:rPr>
      </w:pPr>
      <w:r>
        <w:rPr>
          <w:rFonts w:ascii="Times New Roman"/>
          <w:color w:val="1E6C28"/>
          <w:sz w:val="20"/>
        </w:rPr>
        <w:t>Information Sources for</w:t>
      </w:r>
      <w:r>
        <w:rPr>
          <w:rFonts w:ascii="Times New Roman"/>
          <w:color w:val="1E6C28"/>
          <w:spacing w:val="-1"/>
          <w:sz w:val="20"/>
        </w:rPr>
        <w:t> </w:t>
      </w:r>
      <w:r>
        <w:rPr>
          <w:rFonts w:ascii="Times New Roman"/>
          <w:color w:val="1E6C28"/>
          <w:sz w:val="20"/>
        </w:rPr>
        <w:t>Valuation</w:t>
      </w:r>
    </w:p>
    <w:p>
      <w:pPr>
        <w:spacing w:before="120"/>
        <w:ind w:left="1310" w:right="855" w:firstLine="0"/>
        <w:jc w:val="both"/>
        <w:rPr>
          <w:rFonts w:ascii="Times New Roman"/>
          <w:sz w:val="20"/>
        </w:rPr>
      </w:pPr>
      <w:r>
        <w:rPr>
          <w:rFonts w:ascii="Times New Roman"/>
          <w:sz w:val="20"/>
        </w:rPr>
        <w:t>Property related information referred to for the valuation exercise has been provided by the Client unless otherwise mentioned. The Valuer has assumed the documents to be a true copy of the original. The rent rolls have been cross-checked with the lease deeds on a sample basis to verify the authenticity. Additionally, wherever possible, the Valuer has independently revalidated the information by reviewing the originals as provided by the Client.</w:t>
      </w:r>
    </w:p>
    <w:p>
      <w:pPr>
        <w:pStyle w:val="BodyText"/>
        <w:spacing w:before="4"/>
        <w:rPr>
          <w:rFonts w:ascii="Times New Roman"/>
          <w:sz w:val="31"/>
        </w:rPr>
      </w:pPr>
    </w:p>
    <w:p>
      <w:pPr>
        <w:pStyle w:val="ListParagraph"/>
        <w:numPr>
          <w:ilvl w:val="1"/>
          <w:numId w:val="1"/>
        </w:numPr>
        <w:tabs>
          <w:tab w:pos="1309" w:val="left" w:leader="none"/>
          <w:tab w:pos="1311" w:val="left" w:leader="none"/>
        </w:tabs>
        <w:spacing w:line="240" w:lineRule="auto" w:before="0" w:after="0"/>
        <w:ind w:left="1310" w:right="0" w:hanging="491"/>
        <w:jc w:val="left"/>
        <w:rPr>
          <w:rFonts w:ascii="Times New Roman"/>
          <w:color w:val="1E6C28"/>
          <w:sz w:val="20"/>
        </w:rPr>
      </w:pPr>
      <w:r>
        <w:rPr>
          <w:rFonts w:ascii="Times New Roman"/>
          <w:color w:val="1E6C28"/>
          <w:sz w:val="20"/>
        </w:rPr>
        <w:t>Scope of Services for Value Assessment Service</w:t>
      </w:r>
      <w:r>
        <w:rPr>
          <w:rFonts w:ascii="Times New Roman"/>
          <w:color w:val="1E6C28"/>
          <w:spacing w:val="1"/>
          <w:sz w:val="20"/>
        </w:rPr>
        <w:t> </w:t>
      </w:r>
      <w:r>
        <w:rPr>
          <w:rFonts w:ascii="Times New Roman"/>
          <w:color w:val="1E6C28"/>
          <w:sz w:val="20"/>
        </w:rPr>
        <w:t>Provider</w:t>
      </w:r>
    </w:p>
    <w:p>
      <w:pPr>
        <w:spacing w:before="120"/>
        <w:ind w:left="1310" w:right="859" w:firstLine="0"/>
        <w:jc w:val="both"/>
        <w:rPr>
          <w:rFonts w:ascii="Times New Roman"/>
          <w:sz w:val="20"/>
        </w:rPr>
      </w:pPr>
      <w:r>
        <w:rPr>
          <w:rFonts w:ascii="Times New Roman"/>
          <w:sz w:val="20"/>
        </w:rPr>
        <w:t>CBRE has been engaged by the Instructing Party to provide value assessment services and accordingly, would be responsible for the below scope as part of this exercise.</w:t>
      </w:r>
    </w:p>
    <w:p>
      <w:pPr>
        <w:pStyle w:val="ListParagraph"/>
        <w:numPr>
          <w:ilvl w:val="0"/>
          <w:numId w:val="11"/>
        </w:numPr>
        <w:tabs>
          <w:tab w:pos="2128" w:val="left" w:leader="none"/>
          <w:tab w:pos="2129" w:val="left" w:leader="none"/>
        </w:tabs>
        <w:spacing w:line="240" w:lineRule="auto" w:before="121" w:after="0"/>
        <w:ind w:left="2128" w:right="0" w:hanging="361"/>
        <w:jc w:val="left"/>
        <w:rPr>
          <w:rFonts w:ascii="Times New Roman" w:hAnsi="Times New Roman"/>
          <w:sz w:val="20"/>
        </w:rPr>
      </w:pPr>
      <w:r>
        <w:rPr>
          <w:rFonts w:ascii="Times New Roman" w:hAnsi="Times New Roman"/>
          <w:sz w:val="20"/>
        </w:rPr>
        <w:t>Provide market intelligence to the Valuer on the following</w:t>
      </w:r>
      <w:r>
        <w:rPr>
          <w:rFonts w:ascii="Times New Roman" w:hAnsi="Times New Roman"/>
          <w:spacing w:val="2"/>
          <w:sz w:val="20"/>
        </w:rPr>
        <w:t> </w:t>
      </w:r>
      <w:r>
        <w:rPr>
          <w:rFonts w:ascii="Times New Roman" w:hAnsi="Times New Roman"/>
          <w:sz w:val="20"/>
        </w:rPr>
        <w:t>aspects:</w:t>
      </w:r>
    </w:p>
    <w:p>
      <w:pPr>
        <w:pStyle w:val="ListParagraph"/>
        <w:numPr>
          <w:ilvl w:val="1"/>
          <w:numId w:val="11"/>
        </w:numPr>
        <w:tabs>
          <w:tab w:pos="2848" w:val="left" w:leader="none"/>
          <w:tab w:pos="2849" w:val="left" w:leader="none"/>
        </w:tabs>
        <w:spacing w:line="237" w:lineRule="exact" w:before="0" w:after="0"/>
        <w:ind w:left="2849" w:right="0" w:hanging="361"/>
        <w:jc w:val="left"/>
        <w:rPr>
          <w:rFonts w:ascii="Times New Roman" w:hAnsi="Times New Roman"/>
          <w:sz w:val="20"/>
        </w:rPr>
      </w:pPr>
      <w:r>
        <w:rPr>
          <w:rFonts w:ascii="Times New Roman" w:hAnsi="Times New Roman"/>
          <w:sz w:val="20"/>
        </w:rPr>
        <w:t>Economic and Investment</w:t>
      </w:r>
      <w:r>
        <w:rPr>
          <w:rFonts w:ascii="Times New Roman" w:hAnsi="Times New Roman"/>
          <w:spacing w:val="-1"/>
          <w:sz w:val="20"/>
        </w:rPr>
        <w:t> </w:t>
      </w:r>
      <w:r>
        <w:rPr>
          <w:rFonts w:ascii="Times New Roman" w:hAnsi="Times New Roman"/>
          <w:sz w:val="20"/>
        </w:rPr>
        <w:t>Overview</w:t>
      </w:r>
    </w:p>
    <w:p>
      <w:pPr>
        <w:pStyle w:val="ListParagraph"/>
        <w:numPr>
          <w:ilvl w:val="1"/>
          <w:numId w:val="11"/>
        </w:numPr>
        <w:tabs>
          <w:tab w:pos="2848" w:val="left" w:leader="none"/>
          <w:tab w:pos="2849" w:val="left" w:leader="none"/>
        </w:tabs>
        <w:spacing w:line="229" w:lineRule="exact" w:before="0" w:after="0"/>
        <w:ind w:left="2849" w:right="0" w:hanging="361"/>
        <w:jc w:val="left"/>
        <w:rPr>
          <w:rFonts w:ascii="Times New Roman" w:hAnsi="Times New Roman"/>
          <w:sz w:val="20"/>
        </w:rPr>
      </w:pPr>
      <w:r>
        <w:rPr>
          <w:rFonts w:ascii="Times New Roman" w:hAnsi="Times New Roman"/>
          <w:sz w:val="20"/>
        </w:rPr>
        <w:t>India Real Estate</w:t>
      </w:r>
      <w:r>
        <w:rPr>
          <w:rFonts w:ascii="Times New Roman" w:hAnsi="Times New Roman"/>
          <w:spacing w:val="-2"/>
          <w:sz w:val="20"/>
        </w:rPr>
        <w:t> </w:t>
      </w:r>
      <w:r>
        <w:rPr>
          <w:rFonts w:ascii="Times New Roman" w:hAnsi="Times New Roman"/>
          <w:sz w:val="20"/>
        </w:rPr>
        <w:t>Overview</w:t>
      </w:r>
    </w:p>
    <w:p>
      <w:pPr>
        <w:pStyle w:val="ListParagraph"/>
        <w:numPr>
          <w:ilvl w:val="2"/>
          <w:numId w:val="11"/>
        </w:numPr>
        <w:tabs>
          <w:tab w:pos="3568" w:val="left" w:leader="none"/>
          <w:tab w:pos="3569" w:val="left" w:leader="none"/>
        </w:tabs>
        <w:spacing w:line="222" w:lineRule="exact" w:before="0" w:after="0"/>
        <w:ind w:left="3569" w:right="0" w:hanging="360"/>
        <w:jc w:val="left"/>
        <w:rPr>
          <w:rFonts w:ascii="Times New Roman" w:hAnsi="Times New Roman"/>
          <w:sz w:val="20"/>
        </w:rPr>
      </w:pPr>
      <w:r>
        <w:rPr>
          <w:rFonts w:ascii="Times New Roman" w:hAnsi="Times New Roman"/>
          <w:sz w:val="20"/>
        </w:rPr>
        <w:t>IT/ ITES Industry</w:t>
      </w:r>
      <w:r>
        <w:rPr>
          <w:rFonts w:ascii="Times New Roman" w:hAnsi="Times New Roman"/>
          <w:spacing w:val="-2"/>
          <w:sz w:val="20"/>
        </w:rPr>
        <w:t> </w:t>
      </w:r>
      <w:r>
        <w:rPr>
          <w:rFonts w:ascii="Times New Roman" w:hAnsi="Times New Roman"/>
          <w:sz w:val="20"/>
        </w:rPr>
        <w:t>Dynamics</w:t>
      </w:r>
    </w:p>
    <w:p>
      <w:pPr>
        <w:pStyle w:val="ListParagraph"/>
        <w:numPr>
          <w:ilvl w:val="2"/>
          <w:numId w:val="11"/>
        </w:numPr>
        <w:tabs>
          <w:tab w:pos="3568" w:val="left" w:leader="none"/>
          <w:tab w:pos="3569" w:val="left" w:leader="none"/>
        </w:tabs>
        <w:spacing w:line="240" w:lineRule="auto" w:before="1" w:after="0"/>
        <w:ind w:left="3569" w:right="0" w:hanging="360"/>
        <w:jc w:val="left"/>
        <w:rPr>
          <w:rFonts w:ascii="Times New Roman" w:hAnsi="Times New Roman"/>
          <w:sz w:val="20"/>
        </w:rPr>
      </w:pPr>
      <w:r>
        <w:rPr>
          <w:rFonts w:ascii="Times New Roman" w:hAnsi="Times New Roman"/>
          <w:sz w:val="20"/>
        </w:rPr>
        <w:t>Key Office Markets</w:t>
      </w:r>
    </w:p>
    <w:p>
      <w:pPr>
        <w:pStyle w:val="ListParagraph"/>
        <w:numPr>
          <w:ilvl w:val="2"/>
          <w:numId w:val="11"/>
        </w:numPr>
        <w:tabs>
          <w:tab w:pos="3568" w:val="left" w:leader="none"/>
          <w:tab w:pos="3569" w:val="left" w:leader="none"/>
        </w:tabs>
        <w:spacing w:line="240" w:lineRule="auto" w:before="0" w:after="0"/>
        <w:ind w:left="3569" w:right="0" w:hanging="360"/>
        <w:jc w:val="left"/>
        <w:rPr>
          <w:rFonts w:ascii="Times New Roman" w:hAnsi="Times New Roman"/>
          <w:sz w:val="20"/>
        </w:rPr>
      </w:pPr>
      <w:r>
        <w:rPr>
          <w:rFonts w:ascii="Times New Roman" w:hAnsi="Times New Roman"/>
          <w:sz w:val="20"/>
        </w:rPr>
        <w:t>Outlook</w:t>
      </w:r>
    </w:p>
    <w:p>
      <w:pPr>
        <w:pStyle w:val="ListParagraph"/>
        <w:numPr>
          <w:ilvl w:val="1"/>
          <w:numId w:val="11"/>
        </w:numPr>
        <w:tabs>
          <w:tab w:pos="2848" w:val="left" w:leader="none"/>
          <w:tab w:pos="2849" w:val="left" w:leader="none"/>
        </w:tabs>
        <w:spacing w:line="239" w:lineRule="exact" w:before="1" w:after="0"/>
        <w:ind w:left="2849" w:right="0" w:hanging="361"/>
        <w:jc w:val="left"/>
        <w:rPr>
          <w:rFonts w:ascii="Times New Roman" w:hAnsi="Times New Roman"/>
          <w:sz w:val="20"/>
        </w:rPr>
      </w:pPr>
      <w:r>
        <w:rPr>
          <w:rFonts w:ascii="Times New Roman" w:hAnsi="Times New Roman"/>
          <w:sz w:val="20"/>
        </w:rPr>
        <w:t>For cities housing Embassy REIT</w:t>
      </w:r>
      <w:r>
        <w:rPr>
          <w:rFonts w:ascii="Times New Roman" w:hAnsi="Times New Roman"/>
          <w:spacing w:val="1"/>
          <w:sz w:val="20"/>
        </w:rPr>
        <w:t> </w:t>
      </w:r>
      <w:r>
        <w:rPr>
          <w:rFonts w:ascii="Times New Roman" w:hAnsi="Times New Roman"/>
          <w:sz w:val="20"/>
        </w:rPr>
        <w:t>Assets</w:t>
      </w:r>
    </w:p>
    <w:p>
      <w:pPr>
        <w:pStyle w:val="ListParagraph"/>
        <w:numPr>
          <w:ilvl w:val="2"/>
          <w:numId w:val="11"/>
        </w:numPr>
        <w:tabs>
          <w:tab w:pos="3568" w:val="left" w:leader="none"/>
          <w:tab w:pos="3569" w:val="left" w:leader="none"/>
        </w:tabs>
        <w:spacing w:line="221" w:lineRule="exact" w:before="0" w:after="0"/>
        <w:ind w:left="3569" w:right="0" w:hanging="360"/>
        <w:jc w:val="left"/>
        <w:rPr>
          <w:rFonts w:ascii="Times New Roman" w:hAnsi="Times New Roman"/>
          <w:sz w:val="20"/>
        </w:rPr>
      </w:pPr>
      <w:r>
        <w:rPr>
          <w:rFonts w:ascii="Times New Roman" w:hAnsi="Times New Roman"/>
          <w:sz w:val="20"/>
        </w:rPr>
        <w:t>Key Office Markets</w:t>
      </w:r>
    </w:p>
    <w:p>
      <w:pPr>
        <w:pStyle w:val="ListParagraph"/>
        <w:numPr>
          <w:ilvl w:val="2"/>
          <w:numId w:val="11"/>
        </w:numPr>
        <w:tabs>
          <w:tab w:pos="3568" w:val="left" w:leader="none"/>
          <w:tab w:pos="3569" w:val="left" w:leader="none"/>
        </w:tabs>
        <w:spacing w:line="229" w:lineRule="exact" w:before="0" w:after="0"/>
        <w:ind w:left="3569" w:right="0" w:hanging="360"/>
        <w:jc w:val="left"/>
        <w:rPr>
          <w:rFonts w:ascii="Times New Roman" w:hAnsi="Times New Roman"/>
          <w:sz w:val="20"/>
        </w:rPr>
      </w:pPr>
      <w:r>
        <w:rPr>
          <w:rFonts w:ascii="Times New Roman" w:hAnsi="Times New Roman"/>
          <w:sz w:val="20"/>
        </w:rPr>
        <w:t>General market</w:t>
      </w:r>
      <w:r>
        <w:rPr>
          <w:rFonts w:ascii="Times New Roman" w:hAnsi="Times New Roman"/>
          <w:spacing w:val="-3"/>
          <w:sz w:val="20"/>
        </w:rPr>
        <w:t> </w:t>
      </w:r>
      <w:r>
        <w:rPr>
          <w:rFonts w:ascii="Times New Roman" w:hAnsi="Times New Roman"/>
          <w:sz w:val="20"/>
        </w:rPr>
        <w:t>practices</w:t>
      </w:r>
    </w:p>
    <w:p>
      <w:pPr>
        <w:pStyle w:val="ListParagraph"/>
        <w:numPr>
          <w:ilvl w:val="2"/>
          <w:numId w:val="11"/>
        </w:numPr>
        <w:tabs>
          <w:tab w:pos="3568" w:val="left" w:leader="none"/>
          <w:tab w:pos="3569" w:val="left" w:leader="none"/>
        </w:tabs>
        <w:spacing w:line="240" w:lineRule="auto" w:before="1" w:after="0"/>
        <w:ind w:left="3569" w:right="0" w:hanging="360"/>
        <w:jc w:val="left"/>
        <w:rPr>
          <w:rFonts w:ascii="Times New Roman" w:hAnsi="Times New Roman"/>
          <w:sz w:val="20"/>
        </w:rPr>
      </w:pPr>
      <w:r>
        <w:rPr>
          <w:rFonts w:ascii="Times New Roman" w:hAnsi="Times New Roman"/>
          <w:sz w:val="20"/>
        </w:rPr>
        <w:t>Demand Supply for Key Office Markets &amp; Rental</w:t>
      </w:r>
      <w:r>
        <w:rPr>
          <w:rFonts w:ascii="Times New Roman" w:hAnsi="Times New Roman"/>
          <w:spacing w:val="5"/>
          <w:sz w:val="20"/>
        </w:rPr>
        <w:t> </w:t>
      </w:r>
      <w:r>
        <w:rPr>
          <w:rFonts w:ascii="Times New Roman" w:hAnsi="Times New Roman"/>
          <w:sz w:val="20"/>
        </w:rPr>
        <w:t>Trends</w:t>
      </w:r>
    </w:p>
    <w:p>
      <w:pPr>
        <w:pStyle w:val="ListParagraph"/>
        <w:numPr>
          <w:ilvl w:val="2"/>
          <w:numId w:val="11"/>
        </w:numPr>
        <w:tabs>
          <w:tab w:pos="3568" w:val="left" w:leader="none"/>
          <w:tab w:pos="3569" w:val="left" w:leader="none"/>
        </w:tabs>
        <w:spacing w:line="240" w:lineRule="auto" w:before="0" w:after="0"/>
        <w:ind w:left="3569" w:right="0" w:hanging="360"/>
        <w:jc w:val="left"/>
        <w:rPr>
          <w:rFonts w:ascii="Times New Roman" w:hAnsi="Times New Roman"/>
          <w:sz w:val="20"/>
        </w:rPr>
      </w:pPr>
      <w:r>
        <w:rPr>
          <w:rFonts w:ascii="Times New Roman" w:hAnsi="Times New Roman"/>
          <w:sz w:val="20"/>
        </w:rPr>
        <w:t>Outlook</w:t>
      </w:r>
    </w:p>
    <w:p>
      <w:pPr>
        <w:pStyle w:val="ListParagraph"/>
        <w:numPr>
          <w:ilvl w:val="0"/>
          <w:numId w:val="11"/>
        </w:numPr>
        <w:tabs>
          <w:tab w:pos="2128" w:val="left" w:leader="none"/>
          <w:tab w:pos="2129" w:val="left" w:leader="none"/>
        </w:tabs>
        <w:spacing w:line="240" w:lineRule="auto" w:before="1" w:after="0"/>
        <w:ind w:left="2128" w:right="855" w:hanging="360"/>
        <w:jc w:val="left"/>
        <w:rPr>
          <w:rFonts w:ascii="Times New Roman" w:hAnsi="Times New Roman"/>
          <w:sz w:val="20"/>
        </w:rPr>
      </w:pPr>
      <w:r>
        <w:rPr>
          <w:rFonts w:ascii="Times New Roman" w:hAnsi="Times New Roman"/>
          <w:sz w:val="20"/>
        </w:rPr>
        <w:t>Review rent roll and forecast cash flows from the respective assets for the Valuer to independently review and work towards assessing the valuation of each</w:t>
      </w:r>
      <w:r>
        <w:rPr>
          <w:rFonts w:ascii="Times New Roman" w:hAnsi="Times New Roman"/>
          <w:spacing w:val="-1"/>
          <w:sz w:val="20"/>
        </w:rPr>
        <w:t> </w:t>
      </w:r>
      <w:r>
        <w:rPr>
          <w:rFonts w:ascii="Times New Roman" w:hAnsi="Times New Roman"/>
          <w:sz w:val="20"/>
        </w:rPr>
        <w:t>Asset</w:t>
      </w:r>
    </w:p>
    <w:p>
      <w:pPr>
        <w:spacing w:before="120"/>
        <w:ind w:left="820" w:right="0" w:firstLine="0"/>
        <w:jc w:val="left"/>
        <w:rPr>
          <w:rFonts w:ascii="Times New Roman"/>
          <w:b/>
          <w:sz w:val="20"/>
        </w:rPr>
      </w:pPr>
      <w:r>
        <w:rPr/>
        <w:drawing>
          <wp:anchor distT="0" distB="0" distL="0" distR="0" allowOverlap="1" layoutInCell="1" locked="0" behindDoc="1" simplePos="0" relativeHeight="468435968">
            <wp:simplePos x="0" y="0"/>
            <wp:positionH relativeFrom="page">
              <wp:posOffset>1169045</wp:posOffset>
            </wp:positionH>
            <wp:positionV relativeFrom="paragraph">
              <wp:posOffset>191347</wp:posOffset>
            </wp:positionV>
            <wp:extent cx="804911" cy="457657"/>
            <wp:effectExtent l="0" t="0" r="0" b="0"/>
            <wp:wrapNone/>
            <wp:docPr id="11" name="image9.jpeg"/>
            <wp:cNvGraphicFramePr>
              <a:graphicFrameLocks noChangeAspect="1"/>
            </wp:cNvGraphicFramePr>
            <a:graphic>
              <a:graphicData uri="http://schemas.openxmlformats.org/drawingml/2006/picture">
                <pic:pic>
                  <pic:nvPicPr>
                    <pic:cNvPr id="12" name="image9.jpeg"/>
                    <pic:cNvPicPr/>
                  </pic:nvPicPr>
                  <pic:blipFill>
                    <a:blip r:embed="rId15" cstate="print"/>
                    <a:stretch>
                      <a:fillRect/>
                    </a:stretch>
                  </pic:blipFill>
                  <pic:spPr>
                    <a:xfrm>
                      <a:off x="0" y="0"/>
                      <a:ext cx="804911" cy="457657"/>
                    </a:xfrm>
                    <a:prstGeom prst="rect">
                      <a:avLst/>
                    </a:prstGeom>
                  </pic:spPr>
                </pic:pic>
              </a:graphicData>
            </a:graphic>
          </wp:anchor>
        </w:drawing>
      </w:r>
      <w:r>
        <w:rPr>
          <w:rFonts w:ascii="Times New Roman"/>
          <w:b/>
          <w:sz w:val="20"/>
        </w:rPr>
        <w:t>Official Signatory for Value Assessment Service Provider:</w:t>
      </w:r>
    </w:p>
    <w:p>
      <w:pPr>
        <w:pStyle w:val="BodyText"/>
        <w:rPr>
          <w:rFonts w:ascii="Times New Roman"/>
          <w:b/>
        </w:rPr>
      </w:pPr>
    </w:p>
    <w:p>
      <w:pPr>
        <w:pStyle w:val="BodyText"/>
        <w:rPr>
          <w:rFonts w:ascii="Times New Roman"/>
          <w:b/>
        </w:rPr>
      </w:pPr>
    </w:p>
    <w:p>
      <w:pPr>
        <w:spacing w:line="207" w:lineRule="exact" w:before="193"/>
        <w:ind w:left="820" w:right="0" w:firstLine="0"/>
        <w:jc w:val="left"/>
        <w:rPr>
          <w:rFonts w:ascii="Times New Roman"/>
          <w:sz w:val="18"/>
        </w:rPr>
      </w:pPr>
      <w:r>
        <w:rPr>
          <w:rFonts w:ascii="Times New Roman"/>
          <w:b/>
          <w:sz w:val="18"/>
        </w:rPr>
        <w:t>Name: </w:t>
      </w:r>
      <w:r>
        <w:rPr>
          <w:rFonts w:ascii="Times New Roman"/>
          <w:sz w:val="18"/>
        </w:rPr>
        <w:t>Vamshi KK Nakirekanti | MRICS | FIE | FIV | CEng (India)</w:t>
      </w:r>
    </w:p>
    <w:p>
      <w:pPr>
        <w:spacing w:line="207" w:lineRule="exact" w:before="0"/>
        <w:ind w:left="820" w:right="0" w:firstLine="0"/>
        <w:jc w:val="left"/>
        <w:rPr>
          <w:rFonts w:ascii="Times New Roman" w:hAnsi="Times New Roman"/>
          <w:sz w:val="18"/>
        </w:rPr>
      </w:pPr>
      <w:r>
        <w:rPr>
          <w:rFonts w:ascii="Times New Roman" w:hAnsi="Times New Roman"/>
          <w:b/>
          <w:sz w:val="18"/>
        </w:rPr>
        <w:t>Designation: </w:t>
      </w:r>
      <w:r>
        <w:rPr>
          <w:rFonts w:ascii="Times New Roman" w:hAnsi="Times New Roman"/>
          <w:sz w:val="18"/>
        </w:rPr>
        <w:t>Executive Director, Head – Valuation and Advisory Services, India &amp; South East Asia</w:t>
      </w:r>
    </w:p>
    <w:p>
      <w:pPr>
        <w:spacing w:before="1"/>
        <w:ind w:left="820" w:right="0" w:firstLine="0"/>
        <w:jc w:val="left"/>
        <w:rPr>
          <w:rFonts w:ascii="Times New Roman"/>
          <w:sz w:val="18"/>
        </w:rPr>
      </w:pPr>
      <w:r>
        <w:rPr>
          <w:rFonts w:ascii="Times New Roman"/>
          <w:b/>
          <w:sz w:val="18"/>
        </w:rPr>
        <w:t>Firm: </w:t>
      </w:r>
      <w:r>
        <w:rPr>
          <w:rFonts w:ascii="Times New Roman"/>
          <w:sz w:val="18"/>
        </w:rPr>
        <w:t>CBRE South Asia Pvt Ltd</w:t>
      </w:r>
    </w:p>
    <w:p>
      <w:pPr>
        <w:spacing w:after="0"/>
        <w:jc w:val="left"/>
        <w:rPr>
          <w:rFonts w:ascii="Times New Roman"/>
          <w:sz w:val="18"/>
        </w:rPr>
        <w:sectPr>
          <w:pgSz w:w="12240" w:h="15840"/>
          <w:pgMar w:header="728" w:footer="1174" w:top="1180" w:bottom="1360" w:left="620" w:right="580"/>
        </w:sectPr>
      </w:pPr>
    </w:p>
    <w:p>
      <w:pPr>
        <w:pStyle w:val="BodyText"/>
        <w:rPr>
          <w:rFonts w:ascii="Times New Roman"/>
          <w:sz w:val="18"/>
        </w:rPr>
      </w:pPr>
    </w:p>
    <w:p>
      <w:pPr>
        <w:pStyle w:val="ListParagraph"/>
        <w:numPr>
          <w:ilvl w:val="0"/>
          <w:numId w:val="1"/>
        </w:numPr>
        <w:tabs>
          <w:tab w:pos="1473" w:val="left" w:leader="none"/>
          <w:tab w:pos="1474" w:val="left" w:leader="none"/>
        </w:tabs>
        <w:spacing w:line="240" w:lineRule="auto" w:before="91" w:after="0"/>
        <w:ind w:left="1473" w:right="0" w:hanging="654"/>
        <w:jc w:val="left"/>
        <w:rPr>
          <w:rFonts w:ascii="Times New Roman"/>
          <w:sz w:val="20"/>
        </w:rPr>
      </w:pPr>
      <w:r>
        <w:rPr>
          <w:rFonts w:ascii="Times New Roman"/>
          <w:color w:val="1E6C2C"/>
          <w:sz w:val="20"/>
        </w:rPr>
        <w:t>Nature of the Interest of the Embassy</w:t>
      </w:r>
      <w:r>
        <w:rPr>
          <w:rFonts w:ascii="Times New Roman"/>
          <w:color w:val="1E6C2C"/>
          <w:spacing w:val="-7"/>
          <w:sz w:val="20"/>
        </w:rPr>
        <w:t> </w:t>
      </w:r>
      <w:r>
        <w:rPr>
          <w:rFonts w:ascii="Times New Roman"/>
          <w:color w:val="1E6C2C"/>
          <w:sz w:val="20"/>
        </w:rPr>
        <w:t>REIT</w:t>
      </w:r>
    </w:p>
    <w:p>
      <w:pPr>
        <w:pStyle w:val="BodyText"/>
        <w:spacing w:before="4"/>
        <w:rPr>
          <w:rFonts w:ascii="Times New Roman"/>
        </w:rPr>
      </w:pPr>
    </w:p>
    <w:p>
      <w:pPr>
        <w:spacing w:before="0"/>
        <w:ind w:left="1432" w:right="0" w:firstLine="0"/>
        <w:jc w:val="left"/>
        <w:rPr>
          <w:rFonts w:ascii="Times New Roman"/>
          <w:sz w:val="20"/>
        </w:rPr>
      </w:pPr>
      <w:r>
        <w:rPr/>
        <w:pict>
          <v:shape style="position:absolute;margin-left:70.584pt;margin-top:23.135933pt;width:477.85pt;height:299.95pt;mso-position-horizontal-relative:page;mso-position-vertical-relative:paragraph;z-index:1574809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55"/>
                    <w:gridCol w:w="1775"/>
                    <w:gridCol w:w="2068"/>
                    <w:gridCol w:w="2761"/>
                  </w:tblGrid>
                  <w:tr>
                    <w:trPr>
                      <w:trHeight w:val="388" w:hRule="atLeast"/>
                    </w:trPr>
                    <w:tc>
                      <w:tcPr>
                        <w:tcW w:w="2955" w:type="dxa"/>
                        <w:shd w:val="clear" w:color="auto" w:fill="16772B"/>
                      </w:tcPr>
                      <w:p>
                        <w:pPr>
                          <w:pStyle w:val="TableParagraph"/>
                          <w:spacing w:before="93"/>
                          <w:ind w:left="195" w:right="212"/>
                          <w:rPr>
                            <w:rFonts w:ascii="Times New Roman"/>
                            <w:b/>
                            <w:sz w:val="16"/>
                          </w:rPr>
                        </w:pPr>
                        <w:r>
                          <w:rPr>
                            <w:rFonts w:ascii="Times New Roman"/>
                            <w:b/>
                            <w:color w:val="FFFFFF"/>
                            <w:sz w:val="16"/>
                          </w:rPr>
                          <w:t>Property</w:t>
                        </w:r>
                      </w:p>
                    </w:tc>
                    <w:tc>
                      <w:tcPr>
                        <w:tcW w:w="1775" w:type="dxa"/>
                        <w:shd w:val="clear" w:color="auto" w:fill="16772B"/>
                      </w:tcPr>
                      <w:p>
                        <w:pPr>
                          <w:pStyle w:val="TableParagraph"/>
                          <w:tabs>
                            <w:tab w:pos="1733" w:val="left" w:leader="none"/>
                          </w:tabs>
                          <w:spacing w:before="93"/>
                          <w:ind w:left="259" w:right="-116"/>
                          <w:jc w:val="left"/>
                          <w:rPr>
                            <w:rFonts w:ascii="Times New Roman"/>
                            <w:b/>
                            <w:sz w:val="16"/>
                          </w:rPr>
                        </w:pPr>
                        <w:r>
                          <w:rPr>
                            <w:rFonts w:ascii="Times New Roman"/>
                            <w:b/>
                            <w:color w:val="FFFFFF"/>
                            <w:sz w:val="16"/>
                          </w:rPr>
                          <w:t>Interest</w:t>
                        </w:r>
                        <w:r>
                          <w:rPr>
                            <w:rFonts w:ascii="Times New Roman"/>
                            <w:b/>
                            <w:color w:val="FFFFFF"/>
                            <w:spacing w:val="-3"/>
                            <w:sz w:val="16"/>
                          </w:rPr>
                          <w:t> </w:t>
                        </w:r>
                        <w:r>
                          <w:rPr>
                            <w:rFonts w:ascii="Times New Roman"/>
                            <w:b/>
                            <w:color w:val="FFFFFF"/>
                            <w:sz w:val="16"/>
                          </w:rPr>
                          <w:t>Valued</w:t>
                          <w:tab/>
                        </w:r>
                        <w:r>
                          <w:rPr>
                            <w:rFonts w:ascii="Times New Roman"/>
                            <w:b/>
                            <w:color w:val="FFFFFF"/>
                            <w:spacing w:val="-7"/>
                            <w:sz w:val="16"/>
                          </w:rPr>
                          <w:t>In</w:t>
                        </w:r>
                      </w:p>
                    </w:tc>
                    <w:tc>
                      <w:tcPr>
                        <w:tcW w:w="2068" w:type="dxa"/>
                        <w:shd w:val="clear" w:color="auto" w:fill="16772B"/>
                      </w:tcPr>
                      <w:p>
                        <w:pPr>
                          <w:pStyle w:val="TableParagraph"/>
                          <w:spacing w:before="93"/>
                          <w:ind w:left="109"/>
                          <w:jc w:val="left"/>
                          <w:rPr>
                            <w:rFonts w:ascii="Times New Roman"/>
                            <w:b/>
                            <w:sz w:val="16"/>
                          </w:rPr>
                        </w:pPr>
                        <w:r>
                          <w:rPr>
                            <w:rFonts w:ascii="Times New Roman"/>
                            <w:b/>
                            <w:color w:val="FFFFFF"/>
                            <w:sz w:val="16"/>
                          </w:rPr>
                          <w:t>terest Embassy REIT holds</w:t>
                        </w:r>
                      </w:p>
                    </w:tc>
                    <w:tc>
                      <w:tcPr>
                        <w:tcW w:w="2761" w:type="dxa"/>
                        <w:shd w:val="clear" w:color="auto" w:fill="16772B"/>
                      </w:tcPr>
                      <w:p>
                        <w:pPr>
                          <w:pStyle w:val="TableParagraph"/>
                          <w:spacing w:line="180" w:lineRule="atLeast" w:before="2"/>
                          <w:ind w:left="845" w:right="223" w:hanging="305"/>
                          <w:jc w:val="left"/>
                          <w:rPr>
                            <w:rFonts w:ascii="Times New Roman"/>
                            <w:b/>
                            <w:sz w:val="16"/>
                          </w:rPr>
                        </w:pPr>
                        <w:r>
                          <w:rPr>
                            <w:rFonts w:ascii="Times New Roman"/>
                            <w:b/>
                            <w:color w:val="FFFFFF"/>
                            <w:sz w:val="16"/>
                          </w:rPr>
                          <w:t>Remainder of term in case of Leasehold (approx.)</w:t>
                        </w:r>
                      </w:p>
                    </w:tc>
                  </w:tr>
                  <w:tr>
                    <w:trPr>
                      <w:trHeight w:val="414" w:hRule="atLeast"/>
                    </w:trPr>
                    <w:tc>
                      <w:tcPr>
                        <w:tcW w:w="2955" w:type="dxa"/>
                        <w:tcBorders>
                          <w:bottom w:val="single" w:sz="8" w:space="0" w:color="5FFF00"/>
                        </w:tcBorders>
                      </w:tcPr>
                      <w:p>
                        <w:pPr>
                          <w:pStyle w:val="TableParagraph"/>
                          <w:spacing w:before="117"/>
                          <w:ind w:left="195" w:right="210"/>
                          <w:rPr>
                            <w:rFonts w:ascii="Times New Roman"/>
                            <w:b/>
                            <w:sz w:val="16"/>
                          </w:rPr>
                        </w:pPr>
                        <w:r>
                          <w:rPr>
                            <w:rFonts w:ascii="Times New Roman"/>
                            <w:b/>
                            <w:sz w:val="16"/>
                          </w:rPr>
                          <w:t>Embassy Manyata, Bengaluru</w:t>
                        </w:r>
                      </w:p>
                    </w:tc>
                    <w:tc>
                      <w:tcPr>
                        <w:tcW w:w="1775" w:type="dxa"/>
                        <w:tcBorders>
                          <w:bottom w:val="single" w:sz="8" w:space="0" w:color="5FFF00"/>
                        </w:tcBorders>
                      </w:tcPr>
                      <w:p>
                        <w:pPr>
                          <w:pStyle w:val="TableParagraph"/>
                          <w:spacing w:before="117"/>
                          <w:ind w:left="395"/>
                          <w:jc w:val="left"/>
                          <w:rPr>
                            <w:rFonts w:ascii="Times New Roman"/>
                            <w:sz w:val="16"/>
                          </w:rPr>
                        </w:pPr>
                        <w:r>
                          <w:rPr>
                            <w:rFonts w:ascii="Times New Roman"/>
                            <w:sz w:val="16"/>
                          </w:rPr>
                          <w:t>Freehold*</w:t>
                        </w:r>
                      </w:p>
                    </w:tc>
                    <w:tc>
                      <w:tcPr>
                        <w:tcW w:w="2068" w:type="dxa"/>
                        <w:tcBorders>
                          <w:bottom w:val="single" w:sz="8" w:space="0" w:color="5FFF00"/>
                        </w:tcBorders>
                      </w:tcPr>
                      <w:p>
                        <w:pPr>
                          <w:pStyle w:val="TableParagraph"/>
                          <w:spacing w:before="117"/>
                          <w:ind w:left="67" w:right="189"/>
                          <w:rPr>
                            <w:rFonts w:ascii="Times New Roman"/>
                            <w:sz w:val="16"/>
                          </w:rPr>
                        </w:pPr>
                        <w:r>
                          <w:rPr>
                            <w:rFonts w:ascii="Times New Roman"/>
                            <w:sz w:val="16"/>
                          </w:rPr>
                          <w:t>100.0%</w:t>
                        </w:r>
                      </w:p>
                    </w:tc>
                    <w:tc>
                      <w:tcPr>
                        <w:tcW w:w="2761" w:type="dxa"/>
                        <w:tcBorders>
                          <w:bottom w:val="single" w:sz="8" w:space="0" w:color="5FFF00"/>
                        </w:tcBorders>
                      </w:tcPr>
                      <w:p>
                        <w:pPr>
                          <w:pStyle w:val="TableParagraph"/>
                          <w:spacing w:before="117"/>
                          <w:ind w:left="599" w:right="441"/>
                          <w:rPr>
                            <w:rFonts w:ascii="Times New Roman"/>
                            <w:sz w:val="16"/>
                          </w:rPr>
                        </w:pPr>
                        <w:r>
                          <w:rPr>
                            <w:rFonts w:ascii="Times New Roman"/>
                            <w:sz w:val="16"/>
                          </w:rPr>
                          <w:t>NA</w:t>
                        </w:r>
                      </w:p>
                    </w:tc>
                  </w:tr>
                  <w:tr>
                    <w:trPr>
                      <w:trHeight w:val="433" w:hRule="atLeast"/>
                    </w:trPr>
                    <w:tc>
                      <w:tcPr>
                        <w:tcW w:w="2955" w:type="dxa"/>
                        <w:tcBorders>
                          <w:top w:val="single" w:sz="8" w:space="0" w:color="5FFF00"/>
                          <w:bottom w:val="single" w:sz="8" w:space="0" w:color="5FFF00"/>
                        </w:tcBorders>
                      </w:tcPr>
                      <w:p>
                        <w:pPr>
                          <w:pStyle w:val="TableParagraph"/>
                          <w:spacing w:before="126"/>
                          <w:ind w:left="195" w:right="209"/>
                          <w:rPr>
                            <w:rFonts w:ascii="Times New Roman"/>
                            <w:b/>
                            <w:sz w:val="16"/>
                          </w:rPr>
                        </w:pPr>
                        <w:r>
                          <w:rPr>
                            <w:rFonts w:ascii="Times New Roman"/>
                            <w:b/>
                            <w:sz w:val="16"/>
                          </w:rPr>
                          <w:t>Express Towers, Mumbai</w:t>
                        </w:r>
                      </w:p>
                    </w:tc>
                    <w:tc>
                      <w:tcPr>
                        <w:tcW w:w="1775" w:type="dxa"/>
                        <w:tcBorders>
                          <w:top w:val="single" w:sz="8" w:space="0" w:color="5FFF00"/>
                          <w:bottom w:val="single" w:sz="8" w:space="0" w:color="5FFF00"/>
                        </w:tcBorders>
                      </w:tcPr>
                      <w:p>
                        <w:pPr>
                          <w:pStyle w:val="TableParagraph"/>
                          <w:spacing w:before="126"/>
                          <w:ind w:left="434"/>
                          <w:jc w:val="left"/>
                          <w:rPr>
                            <w:rFonts w:ascii="Times New Roman"/>
                            <w:sz w:val="16"/>
                          </w:rPr>
                        </w:pPr>
                        <w:r>
                          <w:rPr>
                            <w:rFonts w:ascii="Times New Roman"/>
                            <w:sz w:val="16"/>
                          </w:rPr>
                          <w:t>Freehold</w:t>
                        </w:r>
                      </w:p>
                    </w:tc>
                    <w:tc>
                      <w:tcPr>
                        <w:tcW w:w="2068" w:type="dxa"/>
                        <w:tcBorders>
                          <w:top w:val="single" w:sz="8" w:space="0" w:color="5FFF00"/>
                          <w:bottom w:val="single" w:sz="8" w:space="0" w:color="5FFF00"/>
                        </w:tcBorders>
                      </w:tcPr>
                      <w:p>
                        <w:pPr>
                          <w:pStyle w:val="TableParagraph"/>
                          <w:spacing w:before="126"/>
                          <w:ind w:left="67" w:right="189"/>
                          <w:rPr>
                            <w:rFonts w:ascii="Times New Roman"/>
                            <w:sz w:val="16"/>
                          </w:rPr>
                        </w:pPr>
                        <w:r>
                          <w:rPr>
                            <w:rFonts w:ascii="Times New Roman"/>
                            <w:sz w:val="16"/>
                          </w:rPr>
                          <w:t>100.0%</w:t>
                        </w:r>
                      </w:p>
                    </w:tc>
                    <w:tc>
                      <w:tcPr>
                        <w:tcW w:w="2761" w:type="dxa"/>
                        <w:tcBorders>
                          <w:top w:val="single" w:sz="8" w:space="0" w:color="5FFF00"/>
                          <w:bottom w:val="single" w:sz="8" w:space="0" w:color="5FFF00"/>
                        </w:tcBorders>
                      </w:tcPr>
                      <w:p>
                        <w:pPr>
                          <w:pStyle w:val="TableParagraph"/>
                          <w:spacing w:before="126"/>
                          <w:ind w:left="599" w:right="441"/>
                          <w:rPr>
                            <w:rFonts w:ascii="Times New Roman"/>
                            <w:sz w:val="16"/>
                          </w:rPr>
                        </w:pPr>
                        <w:r>
                          <w:rPr>
                            <w:rFonts w:ascii="Times New Roman"/>
                            <w:sz w:val="16"/>
                          </w:rPr>
                          <w:t>NA</w:t>
                        </w:r>
                      </w:p>
                    </w:tc>
                  </w:tr>
                  <w:tr>
                    <w:trPr>
                      <w:trHeight w:val="433" w:hRule="atLeast"/>
                    </w:trPr>
                    <w:tc>
                      <w:tcPr>
                        <w:tcW w:w="2955" w:type="dxa"/>
                        <w:tcBorders>
                          <w:top w:val="single" w:sz="8" w:space="0" w:color="5FFF00"/>
                          <w:bottom w:val="single" w:sz="8" w:space="0" w:color="5FFF00"/>
                        </w:tcBorders>
                      </w:tcPr>
                      <w:p>
                        <w:pPr>
                          <w:pStyle w:val="TableParagraph"/>
                          <w:spacing w:before="126"/>
                          <w:ind w:left="195" w:right="209"/>
                          <w:rPr>
                            <w:rFonts w:ascii="Times New Roman"/>
                            <w:b/>
                            <w:sz w:val="16"/>
                          </w:rPr>
                        </w:pPr>
                        <w:r>
                          <w:rPr>
                            <w:rFonts w:ascii="Times New Roman"/>
                            <w:b/>
                            <w:sz w:val="16"/>
                          </w:rPr>
                          <w:t>Embassy 247, Mumbai</w:t>
                        </w:r>
                      </w:p>
                    </w:tc>
                    <w:tc>
                      <w:tcPr>
                        <w:tcW w:w="1775" w:type="dxa"/>
                        <w:tcBorders>
                          <w:top w:val="single" w:sz="8" w:space="0" w:color="5FFF00"/>
                          <w:bottom w:val="single" w:sz="8" w:space="0" w:color="5FFF00"/>
                        </w:tcBorders>
                      </w:tcPr>
                      <w:p>
                        <w:pPr>
                          <w:pStyle w:val="TableParagraph"/>
                          <w:spacing w:before="126"/>
                          <w:ind w:left="434"/>
                          <w:jc w:val="left"/>
                          <w:rPr>
                            <w:rFonts w:ascii="Times New Roman"/>
                            <w:sz w:val="16"/>
                          </w:rPr>
                        </w:pPr>
                        <w:r>
                          <w:rPr>
                            <w:rFonts w:ascii="Times New Roman"/>
                            <w:sz w:val="16"/>
                          </w:rPr>
                          <w:t>Freehold</w:t>
                        </w:r>
                      </w:p>
                    </w:tc>
                    <w:tc>
                      <w:tcPr>
                        <w:tcW w:w="2068" w:type="dxa"/>
                        <w:tcBorders>
                          <w:top w:val="single" w:sz="8" w:space="0" w:color="5FFF00"/>
                          <w:bottom w:val="single" w:sz="8" w:space="0" w:color="5FFF00"/>
                        </w:tcBorders>
                      </w:tcPr>
                      <w:p>
                        <w:pPr>
                          <w:pStyle w:val="TableParagraph"/>
                          <w:spacing w:before="126"/>
                          <w:ind w:left="67" w:right="189"/>
                          <w:rPr>
                            <w:rFonts w:ascii="Times New Roman"/>
                            <w:sz w:val="16"/>
                          </w:rPr>
                        </w:pPr>
                        <w:r>
                          <w:rPr>
                            <w:rFonts w:ascii="Times New Roman"/>
                            <w:sz w:val="16"/>
                          </w:rPr>
                          <w:t>100.0%</w:t>
                        </w:r>
                      </w:p>
                    </w:tc>
                    <w:tc>
                      <w:tcPr>
                        <w:tcW w:w="2761" w:type="dxa"/>
                        <w:tcBorders>
                          <w:top w:val="single" w:sz="8" w:space="0" w:color="5FFF00"/>
                          <w:bottom w:val="single" w:sz="8" w:space="0" w:color="5FFF00"/>
                        </w:tcBorders>
                      </w:tcPr>
                      <w:p>
                        <w:pPr>
                          <w:pStyle w:val="TableParagraph"/>
                          <w:spacing w:before="126"/>
                          <w:ind w:left="599" w:right="441"/>
                          <w:rPr>
                            <w:rFonts w:ascii="Times New Roman"/>
                            <w:sz w:val="16"/>
                          </w:rPr>
                        </w:pPr>
                        <w:r>
                          <w:rPr>
                            <w:rFonts w:ascii="Times New Roman"/>
                            <w:sz w:val="16"/>
                          </w:rPr>
                          <w:t>NA</w:t>
                        </w:r>
                      </w:p>
                    </w:tc>
                  </w:tr>
                  <w:tr>
                    <w:trPr>
                      <w:trHeight w:val="368" w:hRule="atLeast"/>
                    </w:trPr>
                    <w:tc>
                      <w:tcPr>
                        <w:tcW w:w="2955" w:type="dxa"/>
                        <w:tcBorders>
                          <w:bottom w:val="single" w:sz="8" w:space="0" w:color="5FFF00"/>
                        </w:tcBorders>
                      </w:tcPr>
                      <w:p>
                        <w:pPr>
                          <w:pStyle w:val="TableParagraph"/>
                          <w:spacing w:line="176" w:lineRule="exact"/>
                          <w:ind w:left="195" w:right="212"/>
                          <w:rPr>
                            <w:rFonts w:ascii="Times New Roman"/>
                            <w:b/>
                            <w:sz w:val="16"/>
                          </w:rPr>
                        </w:pPr>
                        <w:r>
                          <w:rPr>
                            <w:rFonts w:ascii="Times New Roman"/>
                            <w:b/>
                            <w:sz w:val="16"/>
                          </w:rPr>
                          <w:t>First International Financial Center,</w:t>
                        </w:r>
                      </w:p>
                      <w:p>
                        <w:pPr>
                          <w:pStyle w:val="TableParagraph"/>
                          <w:spacing w:line="163" w:lineRule="exact" w:before="1"/>
                          <w:ind w:left="195" w:right="209"/>
                          <w:rPr>
                            <w:rFonts w:ascii="Times New Roman"/>
                            <w:b/>
                            <w:sz w:val="16"/>
                          </w:rPr>
                        </w:pPr>
                        <w:r>
                          <w:rPr>
                            <w:rFonts w:ascii="Times New Roman"/>
                            <w:b/>
                            <w:sz w:val="16"/>
                          </w:rPr>
                          <w:t>Mumbai</w:t>
                        </w:r>
                      </w:p>
                    </w:tc>
                    <w:tc>
                      <w:tcPr>
                        <w:tcW w:w="1775" w:type="dxa"/>
                        <w:tcBorders>
                          <w:bottom w:val="single" w:sz="8" w:space="0" w:color="5FFF00"/>
                        </w:tcBorders>
                      </w:tcPr>
                      <w:p>
                        <w:pPr>
                          <w:pStyle w:val="TableParagraph"/>
                          <w:spacing w:before="83"/>
                          <w:ind w:left="391"/>
                          <w:jc w:val="left"/>
                          <w:rPr>
                            <w:rFonts w:ascii="Times New Roman"/>
                            <w:sz w:val="16"/>
                          </w:rPr>
                        </w:pPr>
                        <w:r>
                          <w:rPr>
                            <w:rFonts w:ascii="Times New Roman"/>
                            <w:sz w:val="16"/>
                          </w:rPr>
                          <w:t>Leasehold</w:t>
                        </w:r>
                      </w:p>
                    </w:tc>
                    <w:tc>
                      <w:tcPr>
                        <w:tcW w:w="2068" w:type="dxa"/>
                        <w:tcBorders>
                          <w:bottom w:val="single" w:sz="8" w:space="0" w:color="5FFF00"/>
                        </w:tcBorders>
                      </w:tcPr>
                      <w:p>
                        <w:pPr>
                          <w:pStyle w:val="TableParagraph"/>
                          <w:spacing w:before="83"/>
                          <w:ind w:left="67" w:right="189"/>
                          <w:rPr>
                            <w:rFonts w:ascii="Times New Roman"/>
                            <w:sz w:val="16"/>
                          </w:rPr>
                        </w:pPr>
                        <w:r>
                          <w:rPr>
                            <w:rFonts w:ascii="Times New Roman"/>
                            <w:sz w:val="16"/>
                          </w:rPr>
                          <w:t>100.0%</w:t>
                        </w:r>
                      </w:p>
                    </w:tc>
                    <w:tc>
                      <w:tcPr>
                        <w:tcW w:w="2761" w:type="dxa"/>
                        <w:tcBorders>
                          <w:bottom w:val="single" w:sz="8" w:space="0" w:color="5FFF00"/>
                        </w:tcBorders>
                      </w:tcPr>
                      <w:p>
                        <w:pPr>
                          <w:pStyle w:val="TableParagraph"/>
                          <w:spacing w:before="83"/>
                          <w:ind w:left="603" w:right="441"/>
                          <w:rPr>
                            <w:rFonts w:ascii="Times New Roman"/>
                            <w:sz w:val="16"/>
                          </w:rPr>
                        </w:pPr>
                        <w:r>
                          <w:rPr>
                            <w:rFonts w:ascii="Times New Roman"/>
                            <w:sz w:val="16"/>
                          </w:rPr>
                          <w:t>68 Years</w:t>
                        </w:r>
                      </w:p>
                    </w:tc>
                  </w:tr>
                  <w:tr>
                    <w:trPr>
                      <w:trHeight w:val="395" w:hRule="atLeast"/>
                    </w:trPr>
                    <w:tc>
                      <w:tcPr>
                        <w:tcW w:w="2955" w:type="dxa"/>
                        <w:tcBorders>
                          <w:top w:val="single" w:sz="8" w:space="0" w:color="5FFF00"/>
                          <w:bottom w:val="single" w:sz="8" w:space="0" w:color="5FFF00"/>
                        </w:tcBorders>
                      </w:tcPr>
                      <w:p>
                        <w:pPr>
                          <w:pStyle w:val="TableParagraph"/>
                          <w:spacing w:before="107"/>
                          <w:ind w:left="195" w:right="210"/>
                          <w:rPr>
                            <w:rFonts w:ascii="Times New Roman"/>
                            <w:b/>
                            <w:sz w:val="16"/>
                          </w:rPr>
                        </w:pPr>
                        <w:r>
                          <w:rPr>
                            <w:rFonts w:ascii="Times New Roman"/>
                            <w:b/>
                            <w:sz w:val="16"/>
                          </w:rPr>
                          <w:t>Embassy TechZone, Pune</w:t>
                        </w:r>
                      </w:p>
                    </w:tc>
                    <w:tc>
                      <w:tcPr>
                        <w:tcW w:w="1775" w:type="dxa"/>
                        <w:tcBorders>
                          <w:top w:val="single" w:sz="8" w:space="0" w:color="5FFF00"/>
                          <w:bottom w:val="single" w:sz="8" w:space="0" w:color="5FFF00"/>
                        </w:tcBorders>
                      </w:tcPr>
                      <w:p>
                        <w:pPr>
                          <w:pStyle w:val="TableParagraph"/>
                          <w:spacing w:before="107"/>
                          <w:ind w:left="391"/>
                          <w:jc w:val="left"/>
                          <w:rPr>
                            <w:rFonts w:ascii="Times New Roman"/>
                            <w:sz w:val="16"/>
                          </w:rPr>
                        </w:pPr>
                        <w:r>
                          <w:rPr>
                            <w:rFonts w:ascii="Times New Roman"/>
                            <w:sz w:val="16"/>
                          </w:rPr>
                          <w:t>Leasehold</w:t>
                        </w:r>
                      </w:p>
                    </w:tc>
                    <w:tc>
                      <w:tcPr>
                        <w:tcW w:w="2068" w:type="dxa"/>
                        <w:tcBorders>
                          <w:top w:val="single" w:sz="8" w:space="0" w:color="5FFF00"/>
                          <w:bottom w:val="single" w:sz="8" w:space="0" w:color="5FFF00"/>
                        </w:tcBorders>
                      </w:tcPr>
                      <w:p>
                        <w:pPr>
                          <w:pStyle w:val="TableParagraph"/>
                          <w:spacing w:before="107"/>
                          <w:ind w:left="67" w:right="189"/>
                          <w:rPr>
                            <w:rFonts w:ascii="Times New Roman"/>
                            <w:sz w:val="16"/>
                          </w:rPr>
                        </w:pPr>
                        <w:r>
                          <w:rPr>
                            <w:rFonts w:ascii="Times New Roman"/>
                            <w:sz w:val="16"/>
                          </w:rPr>
                          <w:t>100.0%</w:t>
                        </w:r>
                      </w:p>
                    </w:tc>
                    <w:tc>
                      <w:tcPr>
                        <w:tcW w:w="2761" w:type="dxa"/>
                        <w:tcBorders>
                          <w:top w:val="single" w:sz="8" w:space="0" w:color="5FFF00"/>
                          <w:bottom w:val="single" w:sz="8" w:space="0" w:color="5FFF00"/>
                        </w:tcBorders>
                      </w:tcPr>
                      <w:p>
                        <w:pPr>
                          <w:pStyle w:val="TableParagraph"/>
                          <w:spacing w:before="107"/>
                          <w:ind w:left="603" w:right="441"/>
                          <w:rPr>
                            <w:rFonts w:ascii="Times New Roman"/>
                            <w:sz w:val="16"/>
                          </w:rPr>
                        </w:pPr>
                        <w:r>
                          <w:rPr>
                            <w:rFonts w:ascii="Times New Roman"/>
                            <w:sz w:val="16"/>
                          </w:rPr>
                          <w:t>80 Years</w:t>
                        </w:r>
                      </w:p>
                    </w:tc>
                  </w:tr>
                  <w:tr>
                    <w:trPr>
                      <w:trHeight w:val="434" w:hRule="atLeast"/>
                    </w:trPr>
                    <w:tc>
                      <w:tcPr>
                        <w:tcW w:w="2955" w:type="dxa"/>
                        <w:tcBorders>
                          <w:top w:val="single" w:sz="8" w:space="0" w:color="5FFF00"/>
                          <w:bottom w:val="single" w:sz="8" w:space="0" w:color="5FFF00"/>
                        </w:tcBorders>
                      </w:tcPr>
                      <w:p>
                        <w:pPr>
                          <w:pStyle w:val="TableParagraph"/>
                          <w:spacing w:before="127"/>
                          <w:ind w:left="195" w:right="211"/>
                          <w:rPr>
                            <w:rFonts w:ascii="Times New Roman"/>
                            <w:b/>
                            <w:sz w:val="16"/>
                          </w:rPr>
                        </w:pPr>
                        <w:r>
                          <w:rPr>
                            <w:rFonts w:ascii="Times New Roman"/>
                            <w:b/>
                            <w:sz w:val="16"/>
                          </w:rPr>
                          <w:t>Embassy Quadron, Pune</w:t>
                        </w:r>
                      </w:p>
                    </w:tc>
                    <w:tc>
                      <w:tcPr>
                        <w:tcW w:w="1775" w:type="dxa"/>
                        <w:tcBorders>
                          <w:top w:val="single" w:sz="8" w:space="0" w:color="5FFF00"/>
                          <w:bottom w:val="single" w:sz="8" w:space="0" w:color="5FFF00"/>
                        </w:tcBorders>
                      </w:tcPr>
                      <w:p>
                        <w:pPr>
                          <w:pStyle w:val="TableParagraph"/>
                          <w:spacing w:before="127"/>
                          <w:ind w:left="391"/>
                          <w:jc w:val="left"/>
                          <w:rPr>
                            <w:rFonts w:ascii="Times New Roman"/>
                            <w:sz w:val="16"/>
                          </w:rPr>
                        </w:pPr>
                        <w:r>
                          <w:rPr>
                            <w:rFonts w:ascii="Times New Roman"/>
                            <w:sz w:val="16"/>
                          </w:rPr>
                          <w:t>Leasehold</w:t>
                        </w:r>
                      </w:p>
                    </w:tc>
                    <w:tc>
                      <w:tcPr>
                        <w:tcW w:w="2068" w:type="dxa"/>
                        <w:tcBorders>
                          <w:top w:val="single" w:sz="8" w:space="0" w:color="5FFF00"/>
                          <w:bottom w:val="single" w:sz="8" w:space="0" w:color="5FFF00"/>
                        </w:tcBorders>
                      </w:tcPr>
                      <w:p>
                        <w:pPr>
                          <w:pStyle w:val="TableParagraph"/>
                          <w:spacing w:before="127"/>
                          <w:ind w:left="67" w:right="189"/>
                          <w:rPr>
                            <w:rFonts w:ascii="Times New Roman"/>
                            <w:sz w:val="16"/>
                          </w:rPr>
                        </w:pPr>
                        <w:r>
                          <w:rPr>
                            <w:rFonts w:ascii="Times New Roman"/>
                            <w:sz w:val="16"/>
                          </w:rPr>
                          <w:t>100.0%</w:t>
                        </w:r>
                      </w:p>
                    </w:tc>
                    <w:tc>
                      <w:tcPr>
                        <w:tcW w:w="2761" w:type="dxa"/>
                        <w:tcBorders>
                          <w:top w:val="single" w:sz="8" w:space="0" w:color="5FFF00"/>
                          <w:bottom w:val="single" w:sz="8" w:space="0" w:color="5FFF00"/>
                        </w:tcBorders>
                      </w:tcPr>
                      <w:p>
                        <w:pPr>
                          <w:pStyle w:val="TableParagraph"/>
                          <w:spacing w:before="127"/>
                          <w:ind w:left="603" w:right="441"/>
                          <w:rPr>
                            <w:rFonts w:ascii="Times New Roman"/>
                            <w:sz w:val="16"/>
                          </w:rPr>
                        </w:pPr>
                        <w:r>
                          <w:rPr>
                            <w:rFonts w:ascii="Times New Roman"/>
                            <w:sz w:val="16"/>
                          </w:rPr>
                          <w:t>80 Years</w:t>
                        </w:r>
                      </w:p>
                    </w:tc>
                  </w:tr>
                  <w:tr>
                    <w:trPr>
                      <w:trHeight w:val="433" w:hRule="atLeast"/>
                    </w:trPr>
                    <w:tc>
                      <w:tcPr>
                        <w:tcW w:w="2955" w:type="dxa"/>
                        <w:tcBorders>
                          <w:top w:val="single" w:sz="8" w:space="0" w:color="5FFF00"/>
                          <w:bottom w:val="single" w:sz="8" w:space="0" w:color="5FFF00"/>
                        </w:tcBorders>
                      </w:tcPr>
                      <w:p>
                        <w:pPr>
                          <w:pStyle w:val="TableParagraph"/>
                          <w:spacing w:before="126"/>
                          <w:ind w:left="195" w:right="208"/>
                          <w:rPr>
                            <w:rFonts w:ascii="Times New Roman"/>
                            <w:b/>
                            <w:sz w:val="16"/>
                          </w:rPr>
                        </w:pPr>
                        <w:r>
                          <w:rPr>
                            <w:rFonts w:ascii="Times New Roman"/>
                            <w:b/>
                            <w:sz w:val="16"/>
                          </w:rPr>
                          <w:t>Embassy Qubix, Pune</w:t>
                        </w:r>
                      </w:p>
                    </w:tc>
                    <w:tc>
                      <w:tcPr>
                        <w:tcW w:w="1775" w:type="dxa"/>
                        <w:tcBorders>
                          <w:top w:val="single" w:sz="8" w:space="0" w:color="5FFF00"/>
                          <w:bottom w:val="single" w:sz="8" w:space="0" w:color="5FFF00"/>
                        </w:tcBorders>
                      </w:tcPr>
                      <w:p>
                        <w:pPr>
                          <w:pStyle w:val="TableParagraph"/>
                          <w:spacing w:before="126"/>
                          <w:ind w:left="434"/>
                          <w:jc w:val="left"/>
                          <w:rPr>
                            <w:rFonts w:ascii="Times New Roman"/>
                            <w:sz w:val="16"/>
                          </w:rPr>
                        </w:pPr>
                        <w:r>
                          <w:rPr>
                            <w:rFonts w:ascii="Times New Roman"/>
                            <w:sz w:val="16"/>
                          </w:rPr>
                          <w:t>Freehold</w:t>
                        </w:r>
                      </w:p>
                    </w:tc>
                    <w:tc>
                      <w:tcPr>
                        <w:tcW w:w="2068" w:type="dxa"/>
                        <w:tcBorders>
                          <w:top w:val="single" w:sz="8" w:space="0" w:color="5FFF00"/>
                          <w:bottom w:val="single" w:sz="8" w:space="0" w:color="5FFF00"/>
                        </w:tcBorders>
                      </w:tcPr>
                      <w:p>
                        <w:pPr>
                          <w:pStyle w:val="TableParagraph"/>
                          <w:spacing w:before="126"/>
                          <w:ind w:left="67" w:right="189"/>
                          <w:rPr>
                            <w:rFonts w:ascii="Times New Roman"/>
                            <w:sz w:val="16"/>
                          </w:rPr>
                        </w:pPr>
                        <w:r>
                          <w:rPr>
                            <w:rFonts w:ascii="Times New Roman"/>
                            <w:sz w:val="16"/>
                          </w:rPr>
                          <w:t>100.0%</w:t>
                        </w:r>
                      </w:p>
                    </w:tc>
                    <w:tc>
                      <w:tcPr>
                        <w:tcW w:w="2761" w:type="dxa"/>
                        <w:tcBorders>
                          <w:top w:val="single" w:sz="8" w:space="0" w:color="5FFF00"/>
                          <w:bottom w:val="single" w:sz="8" w:space="0" w:color="5FFF00"/>
                        </w:tcBorders>
                      </w:tcPr>
                      <w:p>
                        <w:pPr>
                          <w:pStyle w:val="TableParagraph"/>
                          <w:spacing w:before="126"/>
                          <w:ind w:left="599" w:right="441"/>
                          <w:rPr>
                            <w:rFonts w:ascii="Times New Roman"/>
                            <w:sz w:val="16"/>
                          </w:rPr>
                        </w:pPr>
                        <w:r>
                          <w:rPr>
                            <w:rFonts w:ascii="Times New Roman"/>
                            <w:sz w:val="16"/>
                          </w:rPr>
                          <w:t>NA</w:t>
                        </w:r>
                      </w:p>
                    </w:tc>
                  </w:tr>
                  <w:tr>
                    <w:trPr>
                      <w:trHeight w:val="433" w:hRule="atLeast"/>
                    </w:trPr>
                    <w:tc>
                      <w:tcPr>
                        <w:tcW w:w="2955" w:type="dxa"/>
                        <w:tcBorders>
                          <w:top w:val="single" w:sz="8" w:space="0" w:color="5FFF00"/>
                          <w:bottom w:val="single" w:sz="8" w:space="0" w:color="5FFF00"/>
                        </w:tcBorders>
                      </w:tcPr>
                      <w:p>
                        <w:pPr>
                          <w:pStyle w:val="TableParagraph"/>
                          <w:spacing w:before="126"/>
                          <w:ind w:left="195" w:right="211"/>
                          <w:rPr>
                            <w:rFonts w:ascii="Times New Roman"/>
                            <w:b/>
                            <w:sz w:val="16"/>
                          </w:rPr>
                        </w:pPr>
                        <w:r>
                          <w:rPr>
                            <w:rFonts w:ascii="Times New Roman"/>
                            <w:b/>
                            <w:sz w:val="16"/>
                          </w:rPr>
                          <w:t>Embassy Oxygen, Noida</w:t>
                        </w:r>
                      </w:p>
                    </w:tc>
                    <w:tc>
                      <w:tcPr>
                        <w:tcW w:w="1775" w:type="dxa"/>
                        <w:tcBorders>
                          <w:top w:val="single" w:sz="8" w:space="0" w:color="5FFF00"/>
                          <w:bottom w:val="single" w:sz="8" w:space="0" w:color="5FFF00"/>
                        </w:tcBorders>
                      </w:tcPr>
                      <w:p>
                        <w:pPr>
                          <w:pStyle w:val="TableParagraph"/>
                          <w:spacing w:before="126"/>
                          <w:ind w:left="391"/>
                          <w:jc w:val="left"/>
                          <w:rPr>
                            <w:rFonts w:ascii="Times New Roman"/>
                            <w:sz w:val="16"/>
                          </w:rPr>
                        </w:pPr>
                        <w:r>
                          <w:rPr>
                            <w:rFonts w:ascii="Times New Roman"/>
                            <w:sz w:val="16"/>
                          </w:rPr>
                          <w:t>Leasehold</w:t>
                        </w:r>
                      </w:p>
                    </w:tc>
                    <w:tc>
                      <w:tcPr>
                        <w:tcW w:w="2068" w:type="dxa"/>
                        <w:tcBorders>
                          <w:top w:val="single" w:sz="8" w:space="0" w:color="5FFF00"/>
                          <w:bottom w:val="single" w:sz="8" w:space="0" w:color="5FFF00"/>
                        </w:tcBorders>
                      </w:tcPr>
                      <w:p>
                        <w:pPr>
                          <w:pStyle w:val="TableParagraph"/>
                          <w:spacing w:before="126"/>
                          <w:ind w:left="67" w:right="189"/>
                          <w:rPr>
                            <w:rFonts w:ascii="Times New Roman"/>
                            <w:sz w:val="16"/>
                          </w:rPr>
                        </w:pPr>
                        <w:r>
                          <w:rPr>
                            <w:rFonts w:ascii="Times New Roman"/>
                            <w:sz w:val="16"/>
                          </w:rPr>
                          <w:t>100.0%</w:t>
                        </w:r>
                      </w:p>
                    </w:tc>
                    <w:tc>
                      <w:tcPr>
                        <w:tcW w:w="2761" w:type="dxa"/>
                        <w:tcBorders>
                          <w:top w:val="single" w:sz="8" w:space="0" w:color="5FFF00"/>
                          <w:bottom w:val="single" w:sz="8" w:space="0" w:color="5FFF00"/>
                        </w:tcBorders>
                      </w:tcPr>
                      <w:p>
                        <w:pPr>
                          <w:pStyle w:val="TableParagraph"/>
                          <w:spacing w:before="126"/>
                          <w:ind w:left="603" w:right="441"/>
                          <w:rPr>
                            <w:rFonts w:ascii="Times New Roman"/>
                            <w:sz w:val="16"/>
                          </w:rPr>
                        </w:pPr>
                        <w:r>
                          <w:rPr>
                            <w:rFonts w:ascii="Times New Roman"/>
                            <w:sz w:val="16"/>
                          </w:rPr>
                          <w:t>77 Years</w:t>
                        </w:r>
                      </w:p>
                    </w:tc>
                  </w:tr>
                  <w:tr>
                    <w:trPr>
                      <w:trHeight w:val="431" w:hRule="atLeast"/>
                    </w:trPr>
                    <w:tc>
                      <w:tcPr>
                        <w:tcW w:w="2955" w:type="dxa"/>
                        <w:tcBorders>
                          <w:top w:val="single" w:sz="8" w:space="0" w:color="5FFF00"/>
                          <w:bottom w:val="single" w:sz="8" w:space="0" w:color="5FFF00"/>
                        </w:tcBorders>
                      </w:tcPr>
                      <w:p>
                        <w:pPr>
                          <w:pStyle w:val="TableParagraph"/>
                          <w:spacing w:before="124"/>
                          <w:ind w:left="195" w:right="209"/>
                          <w:rPr>
                            <w:rFonts w:ascii="Times New Roman"/>
                            <w:b/>
                            <w:sz w:val="16"/>
                          </w:rPr>
                        </w:pPr>
                        <w:r>
                          <w:rPr>
                            <w:rFonts w:ascii="Times New Roman"/>
                            <w:b/>
                            <w:sz w:val="16"/>
                          </w:rPr>
                          <w:t>Embassy Galaxy, Noida</w:t>
                        </w:r>
                      </w:p>
                    </w:tc>
                    <w:tc>
                      <w:tcPr>
                        <w:tcW w:w="1775" w:type="dxa"/>
                        <w:tcBorders>
                          <w:top w:val="single" w:sz="8" w:space="0" w:color="5FFF00"/>
                          <w:bottom w:val="single" w:sz="8" w:space="0" w:color="5FFF00"/>
                        </w:tcBorders>
                      </w:tcPr>
                      <w:p>
                        <w:pPr>
                          <w:pStyle w:val="TableParagraph"/>
                          <w:spacing w:before="124"/>
                          <w:ind w:left="391"/>
                          <w:jc w:val="left"/>
                          <w:rPr>
                            <w:rFonts w:ascii="Times New Roman"/>
                            <w:sz w:val="16"/>
                          </w:rPr>
                        </w:pPr>
                        <w:r>
                          <w:rPr>
                            <w:rFonts w:ascii="Times New Roman"/>
                            <w:sz w:val="16"/>
                          </w:rPr>
                          <w:t>Leasehold</w:t>
                        </w:r>
                      </w:p>
                    </w:tc>
                    <w:tc>
                      <w:tcPr>
                        <w:tcW w:w="2068" w:type="dxa"/>
                        <w:tcBorders>
                          <w:top w:val="single" w:sz="8" w:space="0" w:color="5FFF00"/>
                          <w:bottom w:val="single" w:sz="8" w:space="0" w:color="5FFF00"/>
                        </w:tcBorders>
                      </w:tcPr>
                      <w:p>
                        <w:pPr>
                          <w:pStyle w:val="TableParagraph"/>
                          <w:spacing w:before="124"/>
                          <w:ind w:left="67" w:right="189"/>
                          <w:rPr>
                            <w:rFonts w:ascii="Times New Roman"/>
                            <w:sz w:val="16"/>
                          </w:rPr>
                        </w:pPr>
                        <w:r>
                          <w:rPr>
                            <w:rFonts w:ascii="Times New Roman"/>
                            <w:sz w:val="16"/>
                          </w:rPr>
                          <w:t>100.0%</w:t>
                        </w:r>
                      </w:p>
                    </w:tc>
                    <w:tc>
                      <w:tcPr>
                        <w:tcW w:w="2761" w:type="dxa"/>
                        <w:tcBorders>
                          <w:top w:val="single" w:sz="8" w:space="0" w:color="5FFF00"/>
                          <w:bottom w:val="single" w:sz="8" w:space="0" w:color="5FFF00"/>
                        </w:tcBorders>
                      </w:tcPr>
                      <w:p>
                        <w:pPr>
                          <w:pStyle w:val="TableParagraph"/>
                          <w:spacing w:before="124"/>
                          <w:ind w:left="603" w:right="441"/>
                          <w:rPr>
                            <w:rFonts w:ascii="Times New Roman"/>
                            <w:sz w:val="16"/>
                          </w:rPr>
                        </w:pPr>
                        <w:r>
                          <w:rPr>
                            <w:rFonts w:ascii="Times New Roman"/>
                            <w:sz w:val="16"/>
                          </w:rPr>
                          <w:t>76 Years</w:t>
                        </w:r>
                      </w:p>
                    </w:tc>
                  </w:tr>
                  <w:tr>
                    <w:trPr>
                      <w:trHeight w:val="416" w:hRule="atLeast"/>
                    </w:trPr>
                    <w:tc>
                      <w:tcPr>
                        <w:tcW w:w="2955" w:type="dxa"/>
                        <w:tcBorders>
                          <w:top w:val="single" w:sz="8" w:space="0" w:color="5FFF00"/>
                          <w:bottom w:val="single" w:sz="8" w:space="0" w:color="5FFF00"/>
                        </w:tcBorders>
                      </w:tcPr>
                      <w:p>
                        <w:pPr>
                          <w:pStyle w:val="TableParagraph"/>
                          <w:spacing w:before="116"/>
                          <w:ind w:left="195" w:right="210"/>
                          <w:rPr>
                            <w:rFonts w:ascii="Times New Roman"/>
                            <w:b/>
                            <w:sz w:val="16"/>
                          </w:rPr>
                        </w:pPr>
                        <w:r>
                          <w:rPr>
                            <w:rFonts w:ascii="Times New Roman"/>
                            <w:b/>
                            <w:sz w:val="16"/>
                          </w:rPr>
                          <w:t>Embassy GolfLinks, Bengaluru</w:t>
                        </w:r>
                      </w:p>
                    </w:tc>
                    <w:tc>
                      <w:tcPr>
                        <w:tcW w:w="1775" w:type="dxa"/>
                        <w:tcBorders>
                          <w:top w:val="single" w:sz="8" w:space="0" w:color="5FFF00"/>
                          <w:bottom w:val="single" w:sz="8" w:space="0" w:color="5FFF00"/>
                        </w:tcBorders>
                      </w:tcPr>
                      <w:p>
                        <w:pPr>
                          <w:pStyle w:val="TableParagraph"/>
                          <w:spacing w:before="116"/>
                          <w:ind w:left="434"/>
                          <w:jc w:val="left"/>
                          <w:rPr>
                            <w:rFonts w:ascii="Times New Roman"/>
                            <w:sz w:val="16"/>
                          </w:rPr>
                        </w:pPr>
                        <w:r>
                          <w:rPr>
                            <w:rFonts w:ascii="Times New Roman"/>
                            <w:sz w:val="16"/>
                          </w:rPr>
                          <w:t>Freehold</w:t>
                        </w:r>
                      </w:p>
                    </w:tc>
                    <w:tc>
                      <w:tcPr>
                        <w:tcW w:w="2068" w:type="dxa"/>
                        <w:tcBorders>
                          <w:top w:val="single" w:sz="8" w:space="0" w:color="5FFF00"/>
                          <w:bottom w:val="single" w:sz="8" w:space="0" w:color="5FFF00"/>
                        </w:tcBorders>
                      </w:tcPr>
                      <w:p>
                        <w:pPr>
                          <w:pStyle w:val="TableParagraph"/>
                          <w:spacing w:before="116"/>
                          <w:ind w:left="67" w:right="189"/>
                          <w:rPr>
                            <w:rFonts w:ascii="Times New Roman"/>
                            <w:sz w:val="16"/>
                          </w:rPr>
                        </w:pPr>
                        <w:r>
                          <w:rPr>
                            <w:rFonts w:ascii="Times New Roman"/>
                            <w:sz w:val="16"/>
                          </w:rPr>
                          <w:t>50.0%</w:t>
                        </w:r>
                      </w:p>
                    </w:tc>
                    <w:tc>
                      <w:tcPr>
                        <w:tcW w:w="2761" w:type="dxa"/>
                        <w:tcBorders>
                          <w:top w:val="single" w:sz="8" w:space="0" w:color="5FFF00"/>
                          <w:bottom w:val="single" w:sz="8" w:space="0" w:color="5FFF00"/>
                        </w:tcBorders>
                      </w:tcPr>
                      <w:p>
                        <w:pPr>
                          <w:pStyle w:val="TableParagraph"/>
                          <w:spacing w:before="116"/>
                          <w:ind w:left="599" w:right="441"/>
                          <w:rPr>
                            <w:rFonts w:ascii="Times New Roman"/>
                            <w:sz w:val="16"/>
                          </w:rPr>
                        </w:pPr>
                        <w:r>
                          <w:rPr>
                            <w:rFonts w:ascii="Times New Roman"/>
                            <w:sz w:val="16"/>
                          </w:rPr>
                          <w:t>NA</w:t>
                        </w:r>
                      </w:p>
                    </w:tc>
                  </w:tr>
                  <w:tr>
                    <w:trPr>
                      <w:trHeight w:val="342" w:hRule="atLeast"/>
                    </w:trPr>
                    <w:tc>
                      <w:tcPr>
                        <w:tcW w:w="2955" w:type="dxa"/>
                        <w:tcBorders>
                          <w:top w:val="single" w:sz="8" w:space="0" w:color="5FFF00"/>
                          <w:bottom w:val="single" w:sz="8" w:space="0" w:color="5FFF00"/>
                        </w:tcBorders>
                      </w:tcPr>
                      <w:p>
                        <w:pPr>
                          <w:pStyle w:val="TableParagraph"/>
                          <w:spacing w:before="80"/>
                          <w:ind w:left="195" w:right="210"/>
                          <w:rPr>
                            <w:rFonts w:ascii="Times New Roman"/>
                            <w:b/>
                            <w:sz w:val="16"/>
                          </w:rPr>
                        </w:pPr>
                        <w:r>
                          <w:rPr>
                            <w:rFonts w:ascii="Times New Roman"/>
                            <w:b/>
                            <w:sz w:val="16"/>
                          </w:rPr>
                          <w:t>Embassy One, Bengaluru</w:t>
                        </w:r>
                      </w:p>
                    </w:tc>
                    <w:tc>
                      <w:tcPr>
                        <w:tcW w:w="1775" w:type="dxa"/>
                        <w:tcBorders>
                          <w:top w:val="single" w:sz="8" w:space="0" w:color="5FFF00"/>
                          <w:bottom w:val="single" w:sz="8" w:space="0" w:color="5FFF00"/>
                        </w:tcBorders>
                      </w:tcPr>
                      <w:p>
                        <w:pPr>
                          <w:pStyle w:val="TableParagraph"/>
                          <w:spacing w:before="80"/>
                          <w:ind w:left="434"/>
                          <w:jc w:val="left"/>
                          <w:rPr>
                            <w:rFonts w:ascii="Times New Roman"/>
                            <w:sz w:val="16"/>
                          </w:rPr>
                        </w:pPr>
                        <w:r>
                          <w:rPr>
                            <w:rFonts w:ascii="Times New Roman"/>
                            <w:sz w:val="16"/>
                          </w:rPr>
                          <w:t>Freehold</w:t>
                        </w:r>
                      </w:p>
                    </w:tc>
                    <w:tc>
                      <w:tcPr>
                        <w:tcW w:w="2068" w:type="dxa"/>
                        <w:tcBorders>
                          <w:top w:val="single" w:sz="8" w:space="0" w:color="5FFF00"/>
                          <w:bottom w:val="single" w:sz="8" w:space="0" w:color="5FFF00"/>
                        </w:tcBorders>
                      </w:tcPr>
                      <w:p>
                        <w:pPr>
                          <w:pStyle w:val="TableParagraph"/>
                          <w:spacing w:before="80"/>
                          <w:ind w:left="67" w:right="189"/>
                          <w:rPr>
                            <w:rFonts w:ascii="Times New Roman"/>
                            <w:sz w:val="16"/>
                          </w:rPr>
                        </w:pPr>
                        <w:r>
                          <w:rPr>
                            <w:rFonts w:ascii="Times New Roman"/>
                            <w:sz w:val="16"/>
                          </w:rPr>
                          <w:t>100.0%</w:t>
                        </w:r>
                      </w:p>
                    </w:tc>
                    <w:tc>
                      <w:tcPr>
                        <w:tcW w:w="2761" w:type="dxa"/>
                        <w:tcBorders>
                          <w:top w:val="single" w:sz="8" w:space="0" w:color="5FFF00"/>
                          <w:bottom w:val="single" w:sz="8" w:space="0" w:color="5FFF00"/>
                        </w:tcBorders>
                      </w:tcPr>
                      <w:p>
                        <w:pPr>
                          <w:pStyle w:val="TableParagraph"/>
                          <w:spacing w:before="80"/>
                          <w:ind w:left="599" w:right="441"/>
                          <w:rPr>
                            <w:rFonts w:ascii="Times New Roman"/>
                            <w:sz w:val="16"/>
                          </w:rPr>
                        </w:pPr>
                        <w:r>
                          <w:rPr>
                            <w:rFonts w:ascii="Times New Roman"/>
                            <w:sz w:val="16"/>
                          </w:rPr>
                          <w:t>NA</w:t>
                        </w:r>
                      </w:p>
                    </w:tc>
                  </w:tr>
                  <w:tr>
                    <w:trPr>
                      <w:trHeight w:val="433" w:hRule="atLeast"/>
                    </w:trPr>
                    <w:tc>
                      <w:tcPr>
                        <w:tcW w:w="2955" w:type="dxa"/>
                        <w:tcBorders>
                          <w:top w:val="single" w:sz="8" w:space="0" w:color="5FFF00"/>
                          <w:bottom w:val="single" w:sz="8" w:space="0" w:color="5FFF00"/>
                        </w:tcBorders>
                      </w:tcPr>
                      <w:p>
                        <w:pPr>
                          <w:pStyle w:val="TableParagraph"/>
                          <w:spacing w:before="126"/>
                          <w:ind w:left="195" w:right="210"/>
                          <w:rPr>
                            <w:rFonts w:ascii="Times New Roman"/>
                            <w:b/>
                            <w:sz w:val="16"/>
                          </w:rPr>
                        </w:pPr>
                        <w:r>
                          <w:rPr>
                            <w:rFonts w:ascii="Times New Roman"/>
                            <w:b/>
                            <w:sz w:val="16"/>
                          </w:rPr>
                          <w:t>Hilton at GolfLinks, Bengaluru</w:t>
                        </w:r>
                      </w:p>
                    </w:tc>
                    <w:tc>
                      <w:tcPr>
                        <w:tcW w:w="1775" w:type="dxa"/>
                        <w:tcBorders>
                          <w:top w:val="single" w:sz="8" w:space="0" w:color="5FFF00"/>
                          <w:bottom w:val="single" w:sz="8" w:space="0" w:color="5FFF00"/>
                        </w:tcBorders>
                      </w:tcPr>
                      <w:p>
                        <w:pPr>
                          <w:pStyle w:val="TableParagraph"/>
                          <w:spacing w:before="126"/>
                          <w:ind w:left="434"/>
                          <w:jc w:val="left"/>
                          <w:rPr>
                            <w:rFonts w:ascii="Times New Roman"/>
                            <w:sz w:val="16"/>
                          </w:rPr>
                        </w:pPr>
                        <w:r>
                          <w:rPr>
                            <w:rFonts w:ascii="Times New Roman"/>
                            <w:sz w:val="16"/>
                          </w:rPr>
                          <w:t>Freehold</w:t>
                        </w:r>
                      </w:p>
                    </w:tc>
                    <w:tc>
                      <w:tcPr>
                        <w:tcW w:w="2068" w:type="dxa"/>
                        <w:tcBorders>
                          <w:top w:val="single" w:sz="8" w:space="0" w:color="5FFF00"/>
                          <w:bottom w:val="single" w:sz="8" w:space="0" w:color="5FFF00"/>
                        </w:tcBorders>
                      </w:tcPr>
                      <w:p>
                        <w:pPr>
                          <w:pStyle w:val="TableParagraph"/>
                          <w:spacing w:before="126"/>
                          <w:ind w:left="67" w:right="189"/>
                          <w:rPr>
                            <w:rFonts w:ascii="Times New Roman"/>
                            <w:sz w:val="16"/>
                          </w:rPr>
                        </w:pPr>
                        <w:r>
                          <w:rPr>
                            <w:rFonts w:ascii="Times New Roman"/>
                            <w:sz w:val="16"/>
                          </w:rPr>
                          <w:t>100.0%</w:t>
                        </w:r>
                      </w:p>
                    </w:tc>
                    <w:tc>
                      <w:tcPr>
                        <w:tcW w:w="2761" w:type="dxa"/>
                        <w:tcBorders>
                          <w:top w:val="single" w:sz="8" w:space="0" w:color="5FFF00"/>
                          <w:bottom w:val="single" w:sz="8" w:space="0" w:color="5FFF00"/>
                        </w:tcBorders>
                      </w:tcPr>
                      <w:p>
                        <w:pPr>
                          <w:pStyle w:val="TableParagraph"/>
                          <w:spacing w:before="126"/>
                          <w:ind w:left="599" w:right="441"/>
                          <w:rPr>
                            <w:rFonts w:ascii="Times New Roman"/>
                            <w:sz w:val="16"/>
                          </w:rPr>
                        </w:pPr>
                        <w:r>
                          <w:rPr>
                            <w:rFonts w:ascii="Times New Roman"/>
                            <w:sz w:val="16"/>
                          </w:rPr>
                          <w:t>NA</w:t>
                        </w:r>
                      </w:p>
                    </w:tc>
                  </w:tr>
                  <w:tr>
                    <w:trPr>
                      <w:trHeight w:val="369" w:hRule="atLeast"/>
                    </w:trPr>
                    <w:tc>
                      <w:tcPr>
                        <w:tcW w:w="4730" w:type="dxa"/>
                        <w:gridSpan w:val="2"/>
                        <w:tcBorders>
                          <w:bottom w:val="single" w:sz="8" w:space="0" w:color="5FFF00"/>
                        </w:tcBorders>
                      </w:tcPr>
                      <w:p>
                        <w:pPr>
                          <w:pStyle w:val="TableParagraph"/>
                          <w:tabs>
                            <w:tab w:pos="3389" w:val="left" w:leader="none"/>
                          </w:tabs>
                          <w:spacing w:line="225" w:lineRule="auto"/>
                          <w:ind w:left="285"/>
                          <w:jc w:val="left"/>
                          <w:rPr>
                            <w:rFonts w:ascii="Times New Roman"/>
                            <w:sz w:val="16"/>
                          </w:rPr>
                        </w:pPr>
                        <w:r>
                          <w:rPr>
                            <w:rFonts w:ascii="Times New Roman"/>
                            <w:b/>
                            <w:sz w:val="16"/>
                          </w:rPr>
                          <w:t>Embassy Energy,</w:t>
                        </w:r>
                        <w:r>
                          <w:rPr>
                            <w:rFonts w:ascii="Times New Roman"/>
                            <w:b/>
                            <w:spacing w:val="32"/>
                            <w:sz w:val="16"/>
                          </w:rPr>
                          <w:t> </w:t>
                        </w:r>
                        <w:r>
                          <w:rPr>
                            <w:rFonts w:ascii="Times New Roman"/>
                            <w:b/>
                            <w:sz w:val="16"/>
                          </w:rPr>
                          <w:t>Bellary</w:t>
                        </w:r>
                        <w:r>
                          <w:rPr>
                            <w:rFonts w:ascii="Times New Roman"/>
                            <w:b/>
                            <w:spacing w:val="-1"/>
                            <w:sz w:val="16"/>
                          </w:rPr>
                          <w:t> </w:t>
                        </w:r>
                        <w:r>
                          <w:rPr>
                            <w:rFonts w:ascii="Times New Roman"/>
                            <w:b/>
                            <w:sz w:val="16"/>
                          </w:rPr>
                          <w:t>District,</w:t>
                          <w:tab/>
                        </w:r>
                        <w:r>
                          <w:rPr>
                            <w:rFonts w:ascii="Times New Roman"/>
                            <w:position w:val="-8"/>
                            <w:sz w:val="16"/>
                          </w:rPr>
                          <w:t>Freehold</w:t>
                        </w:r>
                      </w:p>
                    </w:tc>
                    <w:tc>
                      <w:tcPr>
                        <w:tcW w:w="2068" w:type="dxa"/>
                        <w:tcBorders>
                          <w:bottom w:val="single" w:sz="8" w:space="0" w:color="5FFF00"/>
                        </w:tcBorders>
                      </w:tcPr>
                      <w:p>
                        <w:pPr>
                          <w:pStyle w:val="TableParagraph"/>
                          <w:spacing w:before="83"/>
                          <w:ind w:left="67" w:right="189"/>
                          <w:rPr>
                            <w:rFonts w:ascii="Times New Roman"/>
                            <w:sz w:val="16"/>
                          </w:rPr>
                        </w:pPr>
                        <w:r>
                          <w:rPr>
                            <w:rFonts w:ascii="Times New Roman"/>
                            <w:sz w:val="16"/>
                          </w:rPr>
                          <w:t>100.0%</w:t>
                        </w:r>
                      </w:p>
                    </w:tc>
                    <w:tc>
                      <w:tcPr>
                        <w:tcW w:w="2761" w:type="dxa"/>
                        <w:tcBorders>
                          <w:bottom w:val="single" w:sz="8" w:space="0" w:color="5FFF00"/>
                        </w:tcBorders>
                      </w:tcPr>
                      <w:p>
                        <w:pPr>
                          <w:pStyle w:val="TableParagraph"/>
                          <w:spacing w:before="83"/>
                          <w:ind w:left="599" w:right="441"/>
                          <w:rPr>
                            <w:rFonts w:ascii="Times New Roman"/>
                            <w:sz w:val="16"/>
                          </w:rPr>
                        </w:pPr>
                        <w:r>
                          <w:rPr>
                            <w:rFonts w:ascii="Times New Roman"/>
                            <w:sz w:val="16"/>
                          </w:rPr>
                          <w:t>NA</w:t>
                        </w:r>
                      </w:p>
                    </w:tc>
                  </w:tr>
                </w:tbl>
                <w:p>
                  <w:pPr>
                    <w:pStyle w:val="BodyText"/>
                  </w:pPr>
                </w:p>
              </w:txbxContent>
            </v:textbox>
            <w10:wrap type="none"/>
          </v:shape>
        </w:pict>
      </w:r>
      <w:r>
        <w:rPr>
          <w:rFonts w:ascii="Times New Roman"/>
          <w:sz w:val="20"/>
        </w:rPr>
        <w:t>The table below highlights the nature of interest of the Embassy REIT:</w:t>
      </w: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3"/>
        <w:rPr>
          <w:rFonts w:ascii="Times New Roman"/>
          <w:sz w:val="17"/>
        </w:rPr>
      </w:pPr>
    </w:p>
    <w:p>
      <w:pPr>
        <w:spacing w:before="0"/>
        <w:ind w:left="1886" w:right="0" w:firstLine="0"/>
        <w:jc w:val="left"/>
        <w:rPr>
          <w:rFonts w:ascii="Times New Roman"/>
          <w:b/>
          <w:sz w:val="16"/>
        </w:rPr>
      </w:pPr>
      <w:r>
        <w:rPr>
          <w:rFonts w:ascii="Times New Roman"/>
          <w:b/>
          <w:sz w:val="16"/>
        </w:rPr>
        <w:t>Karnataka</w:t>
      </w:r>
    </w:p>
    <w:p>
      <w:pPr>
        <w:spacing w:before="21"/>
        <w:ind w:left="820" w:right="0" w:firstLine="0"/>
        <w:jc w:val="left"/>
        <w:rPr>
          <w:rFonts w:ascii="Times New Roman"/>
          <w:i/>
          <w:sz w:val="18"/>
        </w:rPr>
      </w:pPr>
      <w:r>
        <w:rPr>
          <w:rFonts w:ascii="Times New Roman"/>
          <w:i/>
          <w:sz w:val="18"/>
        </w:rPr>
        <w:t>*Excluding the M3 block which is being developed on a leasehold land parcel (6.64 Acres)</w:t>
      </w:r>
    </w:p>
    <w:p>
      <w:pPr>
        <w:spacing w:after="0"/>
        <w:jc w:val="left"/>
        <w:rPr>
          <w:rFonts w:ascii="Times New Roman"/>
          <w:sz w:val="18"/>
        </w:rPr>
        <w:sectPr>
          <w:pgSz w:w="12240" w:h="15840"/>
          <w:pgMar w:header="728" w:footer="1174" w:top="1180" w:bottom="1460" w:left="620" w:right="580"/>
        </w:sectPr>
      </w:pPr>
    </w:p>
    <w:p>
      <w:pPr>
        <w:pStyle w:val="BodyText"/>
        <w:rPr>
          <w:rFonts w:ascii="Times New Roman"/>
          <w:i/>
          <w:sz w:val="18"/>
        </w:rPr>
      </w:pPr>
    </w:p>
    <w:p>
      <w:pPr>
        <w:pStyle w:val="ListParagraph"/>
        <w:numPr>
          <w:ilvl w:val="0"/>
          <w:numId w:val="1"/>
        </w:numPr>
        <w:tabs>
          <w:tab w:pos="1540" w:val="left" w:leader="none"/>
          <w:tab w:pos="1541" w:val="left" w:leader="none"/>
        </w:tabs>
        <w:spacing w:line="240" w:lineRule="auto" w:before="91" w:after="0"/>
        <w:ind w:left="1540" w:right="0" w:hanging="721"/>
        <w:jc w:val="left"/>
        <w:rPr>
          <w:rFonts w:ascii="Times New Roman"/>
          <w:sz w:val="20"/>
        </w:rPr>
      </w:pPr>
      <w:r>
        <w:rPr>
          <w:rFonts w:ascii="Times New Roman"/>
          <w:color w:val="1E6C2C"/>
          <w:sz w:val="20"/>
        </w:rPr>
        <w:t>Value</w:t>
      </w:r>
      <w:r>
        <w:rPr>
          <w:rFonts w:ascii="Times New Roman"/>
          <w:color w:val="1E6C2C"/>
          <w:spacing w:val="-1"/>
          <w:sz w:val="20"/>
        </w:rPr>
        <w:t> </w:t>
      </w:r>
      <w:r>
        <w:rPr>
          <w:rFonts w:ascii="Times New Roman"/>
          <w:color w:val="1E6C2C"/>
          <w:sz w:val="20"/>
        </w:rPr>
        <w:t>Summary</w:t>
      </w:r>
    </w:p>
    <w:p>
      <w:pPr>
        <w:pStyle w:val="BodyText"/>
        <w:spacing w:before="4"/>
        <w:rPr>
          <w:rFonts w:ascii="Times New Roman"/>
        </w:rPr>
      </w:pPr>
    </w:p>
    <w:p>
      <w:pPr>
        <w:spacing w:before="0"/>
        <w:ind w:left="1432" w:right="835" w:firstLine="0"/>
        <w:jc w:val="left"/>
        <w:rPr>
          <w:rFonts w:ascii="Times New Roman"/>
          <w:sz w:val="20"/>
        </w:rPr>
      </w:pPr>
      <w:r>
        <w:rPr>
          <w:rFonts w:ascii="Times New Roman"/>
          <w:sz w:val="20"/>
        </w:rPr>
        <w:t>The following table highlights the summary of the market value of each property which is a part of the said Embassy REIT portfolio as on March 31, 2020:</w:t>
      </w:r>
    </w:p>
    <w:p>
      <w:pPr>
        <w:pStyle w:val="BodyText"/>
        <w:spacing w:before="1"/>
        <w:rPr>
          <w:rFonts w:ascii="Times New Roman"/>
          <w:sz w:val="24"/>
        </w:rPr>
      </w:pPr>
    </w:p>
    <w:tbl>
      <w:tblPr>
        <w:tblW w:w="0" w:type="auto"/>
        <w:jc w:val="left"/>
        <w:tblInd w:w="2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14"/>
        <w:gridCol w:w="2251"/>
        <w:gridCol w:w="2461"/>
        <w:gridCol w:w="1217"/>
        <w:gridCol w:w="1547"/>
        <w:gridCol w:w="793"/>
      </w:tblGrid>
      <w:tr>
        <w:trPr>
          <w:trHeight w:val="342" w:hRule="atLeast"/>
        </w:trPr>
        <w:tc>
          <w:tcPr>
            <w:tcW w:w="2214" w:type="dxa"/>
            <w:vMerge w:val="restart"/>
            <w:tcBorders>
              <w:bottom w:val="single" w:sz="8" w:space="0" w:color="5FFF00"/>
            </w:tcBorders>
            <w:shd w:val="clear" w:color="auto" w:fill="16772B"/>
          </w:tcPr>
          <w:p>
            <w:pPr>
              <w:pStyle w:val="TableParagraph"/>
              <w:jc w:val="left"/>
              <w:rPr>
                <w:rFonts w:ascii="Times New Roman"/>
                <w:sz w:val="18"/>
              </w:rPr>
            </w:pPr>
          </w:p>
          <w:p>
            <w:pPr>
              <w:pStyle w:val="TableParagraph"/>
              <w:spacing w:before="150"/>
              <w:ind w:left="812" w:right="748"/>
              <w:rPr>
                <w:rFonts w:ascii="Times New Roman"/>
                <w:b/>
                <w:sz w:val="16"/>
              </w:rPr>
            </w:pPr>
            <w:r>
              <w:rPr>
                <w:rFonts w:ascii="Times New Roman"/>
                <w:b/>
                <w:color w:val="FFFFFF"/>
                <w:sz w:val="16"/>
              </w:rPr>
              <w:t>Property</w:t>
            </w:r>
          </w:p>
        </w:tc>
        <w:tc>
          <w:tcPr>
            <w:tcW w:w="2251" w:type="dxa"/>
            <w:vMerge w:val="restart"/>
            <w:tcBorders>
              <w:bottom w:val="single" w:sz="8" w:space="0" w:color="5FFF00"/>
            </w:tcBorders>
            <w:shd w:val="clear" w:color="auto" w:fill="16772B"/>
          </w:tcPr>
          <w:p>
            <w:pPr>
              <w:pStyle w:val="TableParagraph"/>
              <w:jc w:val="left"/>
              <w:rPr>
                <w:rFonts w:ascii="Times New Roman"/>
                <w:sz w:val="18"/>
              </w:rPr>
            </w:pPr>
          </w:p>
          <w:p>
            <w:pPr>
              <w:pStyle w:val="TableParagraph"/>
              <w:spacing w:before="159"/>
              <w:ind w:left="767"/>
              <w:jc w:val="left"/>
              <w:rPr>
                <w:rFonts w:ascii="Times New Roman"/>
                <w:b/>
                <w:sz w:val="16"/>
              </w:rPr>
            </w:pPr>
            <w:r>
              <w:rPr>
                <w:rFonts w:ascii="Times New Roman"/>
                <w:b/>
                <w:color w:val="FFFFFF"/>
                <w:sz w:val="16"/>
              </w:rPr>
              <w:t>Asset Type</w:t>
            </w:r>
          </w:p>
        </w:tc>
        <w:tc>
          <w:tcPr>
            <w:tcW w:w="2461" w:type="dxa"/>
            <w:vMerge w:val="restart"/>
            <w:tcBorders>
              <w:bottom w:val="single" w:sz="8" w:space="0" w:color="5FFF00"/>
            </w:tcBorders>
            <w:shd w:val="clear" w:color="auto" w:fill="16772B"/>
          </w:tcPr>
          <w:p>
            <w:pPr>
              <w:pStyle w:val="TableParagraph"/>
              <w:jc w:val="left"/>
              <w:rPr>
                <w:rFonts w:ascii="Times New Roman"/>
                <w:sz w:val="18"/>
              </w:rPr>
            </w:pPr>
          </w:p>
          <w:p>
            <w:pPr>
              <w:pStyle w:val="TableParagraph"/>
              <w:spacing w:before="159"/>
              <w:ind w:left="730"/>
              <w:jc w:val="left"/>
              <w:rPr>
                <w:rFonts w:ascii="Times New Roman"/>
                <w:b/>
                <w:sz w:val="16"/>
              </w:rPr>
            </w:pPr>
            <w:r>
              <w:rPr>
                <w:rFonts w:ascii="Times New Roman"/>
                <w:b/>
                <w:color w:val="FFFFFF"/>
                <w:sz w:val="16"/>
              </w:rPr>
              <w:t>Leasable Area</w:t>
            </w:r>
          </w:p>
        </w:tc>
        <w:tc>
          <w:tcPr>
            <w:tcW w:w="3557" w:type="dxa"/>
            <w:gridSpan w:val="3"/>
            <w:tcBorders>
              <w:bottom w:val="single" w:sz="8" w:space="0" w:color="5FFF00"/>
            </w:tcBorders>
            <w:shd w:val="clear" w:color="auto" w:fill="16772B"/>
          </w:tcPr>
          <w:p>
            <w:pPr>
              <w:pStyle w:val="TableParagraph"/>
              <w:spacing w:line="182" w:lineRule="exact" w:before="141"/>
              <w:ind w:left="1020"/>
              <w:jc w:val="left"/>
              <w:rPr>
                <w:rFonts w:ascii="Times New Roman"/>
                <w:b/>
                <w:sz w:val="16"/>
              </w:rPr>
            </w:pPr>
            <w:r>
              <w:rPr>
                <w:rFonts w:ascii="Times New Roman"/>
                <w:b/>
                <w:color w:val="FFFFFF"/>
                <w:sz w:val="16"/>
              </w:rPr>
              <w:t>Market Value (INR mn)</w:t>
            </w:r>
          </w:p>
        </w:tc>
      </w:tr>
      <w:tr>
        <w:trPr>
          <w:trHeight w:val="551" w:hRule="atLeast"/>
        </w:trPr>
        <w:tc>
          <w:tcPr>
            <w:tcW w:w="2214" w:type="dxa"/>
            <w:vMerge/>
            <w:tcBorders>
              <w:top w:val="nil"/>
              <w:bottom w:val="single" w:sz="8" w:space="0" w:color="5FFF00"/>
            </w:tcBorders>
            <w:shd w:val="clear" w:color="auto" w:fill="16772B"/>
          </w:tcPr>
          <w:p>
            <w:pPr>
              <w:rPr>
                <w:sz w:val="2"/>
                <w:szCs w:val="2"/>
              </w:rPr>
            </w:pPr>
          </w:p>
        </w:tc>
        <w:tc>
          <w:tcPr>
            <w:tcW w:w="2251" w:type="dxa"/>
            <w:vMerge/>
            <w:tcBorders>
              <w:top w:val="nil"/>
              <w:bottom w:val="single" w:sz="8" w:space="0" w:color="5FFF00"/>
            </w:tcBorders>
            <w:shd w:val="clear" w:color="auto" w:fill="16772B"/>
          </w:tcPr>
          <w:p>
            <w:pPr>
              <w:rPr>
                <w:sz w:val="2"/>
                <w:szCs w:val="2"/>
              </w:rPr>
            </w:pPr>
          </w:p>
        </w:tc>
        <w:tc>
          <w:tcPr>
            <w:tcW w:w="2461" w:type="dxa"/>
            <w:vMerge/>
            <w:tcBorders>
              <w:top w:val="nil"/>
              <w:bottom w:val="single" w:sz="8" w:space="0" w:color="5FFF00"/>
            </w:tcBorders>
            <w:shd w:val="clear" w:color="auto" w:fill="16772B"/>
          </w:tcPr>
          <w:p>
            <w:pPr>
              <w:rPr>
                <w:sz w:val="2"/>
                <w:szCs w:val="2"/>
              </w:rPr>
            </w:pPr>
          </w:p>
        </w:tc>
        <w:tc>
          <w:tcPr>
            <w:tcW w:w="1217" w:type="dxa"/>
            <w:tcBorders>
              <w:top w:val="single" w:sz="8" w:space="0" w:color="5FFF00"/>
              <w:bottom w:val="single" w:sz="8" w:space="0" w:color="5FFF00"/>
            </w:tcBorders>
            <w:shd w:val="clear" w:color="auto" w:fill="16772B"/>
          </w:tcPr>
          <w:p>
            <w:pPr>
              <w:pStyle w:val="TableParagraph"/>
              <w:spacing w:before="11"/>
              <w:jc w:val="left"/>
              <w:rPr>
                <w:rFonts w:ascii="Times New Roman"/>
                <w:sz w:val="15"/>
              </w:rPr>
            </w:pPr>
          </w:p>
          <w:p>
            <w:pPr>
              <w:pStyle w:val="TableParagraph"/>
              <w:ind w:left="263"/>
              <w:jc w:val="left"/>
              <w:rPr>
                <w:rFonts w:ascii="Times New Roman"/>
                <w:b/>
                <w:sz w:val="16"/>
              </w:rPr>
            </w:pPr>
            <w:r>
              <w:rPr>
                <w:rFonts w:ascii="Times New Roman"/>
                <w:b/>
                <w:color w:val="FFFFFF"/>
                <w:sz w:val="16"/>
              </w:rPr>
              <w:t>Completed</w:t>
            </w:r>
          </w:p>
        </w:tc>
        <w:tc>
          <w:tcPr>
            <w:tcW w:w="1547" w:type="dxa"/>
            <w:tcBorders>
              <w:top w:val="single" w:sz="8" w:space="0" w:color="5FFF00"/>
              <w:bottom w:val="single" w:sz="8" w:space="0" w:color="5FFF00"/>
            </w:tcBorders>
            <w:shd w:val="clear" w:color="auto" w:fill="16772B"/>
          </w:tcPr>
          <w:p>
            <w:pPr>
              <w:pStyle w:val="TableParagraph"/>
              <w:spacing w:before="1"/>
              <w:ind w:left="328" w:right="362" w:hanging="1"/>
              <w:rPr>
                <w:rFonts w:ascii="Times New Roman"/>
                <w:b/>
                <w:sz w:val="16"/>
              </w:rPr>
            </w:pPr>
            <w:r>
              <w:rPr>
                <w:rFonts w:ascii="Times New Roman"/>
                <w:b/>
                <w:color w:val="FFFFFF"/>
                <w:sz w:val="16"/>
              </w:rPr>
              <w:t>Under construction</w:t>
            </w:r>
          </w:p>
          <w:p>
            <w:pPr>
              <w:pStyle w:val="TableParagraph"/>
              <w:spacing w:line="162" w:lineRule="exact"/>
              <w:ind w:left="185" w:right="218"/>
              <w:rPr>
                <w:rFonts w:ascii="Times New Roman"/>
                <w:b/>
                <w:sz w:val="16"/>
              </w:rPr>
            </w:pPr>
            <w:r>
              <w:rPr>
                <w:rFonts w:ascii="Times New Roman"/>
                <w:b/>
                <w:color w:val="FFFFFF"/>
                <w:sz w:val="16"/>
              </w:rPr>
              <w:t>(UC) / Proposed</w:t>
            </w:r>
          </w:p>
        </w:tc>
        <w:tc>
          <w:tcPr>
            <w:tcW w:w="793" w:type="dxa"/>
            <w:tcBorders>
              <w:top w:val="single" w:sz="8" w:space="0" w:color="5FFF00"/>
              <w:bottom w:val="single" w:sz="8" w:space="0" w:color="5FFF00"/>
            </w:tcBorders>
            <w:shd w:val="clear" w:color="auto" w:fill="16772B"/>
          </w:tcPr>
          <w:p>
            <w:pPr>
              <w:pStyle w:val="TableParagraph"/>
              <w:spacing w:before="11"/>
              <w:jc w:val="left"/>
              <w:rPr>
                <w:rFonts w:ascii="Times New Roman"/>
                <w:sz w:val="15"/>
              </w:rPr>
            </w:pPr>
          </w:p>
          <w:p>
            <w:pPr>
              <w:pStyle w:val="TableParagraph"/>
              <w:ind w:left="238"/>
              <w:jc w:val="left"/>
              <w:rPr>
                <w:rFonts w:ascii="Times New Roman"/>
                <w:b/>
                <w:sz w:val="16"/>
              </w:rPr>
            </w:pPr>
            <w:r>
              <w:rPr>
                <w:rFonts w:ascii="Times New Roman"/>
                <w:b/>
                <w:color w:val="FFFFFF"/>
                <w:sz w:val="16"/>
              </w:rPr>
              <w:t>Total</w:t>
            </w:r>
          </w:p>
        </w:tc>
      </w:tr>
    </w:tbl>
    <w:p>
      <w:pPr>
        <w:tabs>
          <w:tab w:pos="4557" w:val="left" w:leader="none"/>
        </w:tabs>
        <w:spacing w:before="2"/>
        <w:ind w:left="3194" w:right="0" w:firstLine="0"/>
        <w:jc w:val="left"/>
        <w:rPr>
          <w:rFonts w:ascii="Times New Roman" w:hAnsi="Times New Roman"/>
          <w:sz w:val="16"/>
        </w:rPr>
      </w:pPr>
      <w:r>
        <w:rPr>
          <w:rFonts w:ascii="Times New Roman" w:hAnsi="Times New Roman"/>
          <w:sz w:val="16"/>
        </w:rPr>
        <w:t>Mixed-use</w:t>
        <w:tab/>
        <w:t>Completed office – 11.8</w:t>
      </w:r>
      <w:r>
        <w:rPr>
          <w:rFonts w:ascii="Times New Roman" w:hAnsi="Times New Roman"/>
          <w:spacing w:val="-1"/>
          <w:sz w:val="16"/>
        </w:rPr>
        <w:t> </w:t>
      </w:r>
      <w:r>
        <w:rPr>
          <w:rFonts w:ascii="Times New Roman" w:hAnsi="Times New Roman"/>
          <w:sz w:val="16"/>
        </w:rPr>
        <w:t>msf</w:t>
      </w:r>
    </w:p>
    <w:p>
      <w:pPr>
        <w:spacing w:after="0"/>
        <w:jc w:val="left"/>
        <w:rPr>
          <w:rFonts w:ascii="Times New Roman" w:hAnsi="Times New Roman"/>
          <w:sz w:val="16"/>
        </w:rPr>
        <w:sectPr>
          <w:pgSz w:w="12240" w:h="15840"/>
          <w:pgMar w:header="728" w:footer="1174" w:top="1180" w:bottom="1460" w:left="620" w:right="580"/>
        </w:sectPr>
      </w:pPr>
    </w:p>
    <w:p>
      <w:pPr>
        <w:spacing w:before="0"/>
        <w:ind w:left="736" w:right="0" w:firstLine="0"/>
        <w:jc w:val="left"/>
        <w:rPr>
          <w:rFonts w:ascii="Times New Roman"/>
          <w:b/>
          <w:sz w:val="16"/>
        </w:rPr>
      </w:pPr>
      <w:r>
        <w:rPr/>
        <w:pict>
          <v:shape style="position:absolute;margin-left:43.560001pt;margin-top:9.424172pt;width:524.2pt;height:97.2pt;mso-position-horizontal-relative:page;mso-position-vertical-relative:paragraph;z-index:1575065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26"/>
                    <w:gridCol w:w="2612"/>
                    <w:gridCol w:w="1514"/>
                    <w:gridCol w:w="1236"/>
                    <w:gridCol w:w="997"/>
                  </w:tblGrid>
                  <w:tr>
                    <w:trPr>
                      <w:trHeight w:val="361" w:hRule="atLeast"/>
                    </w:trPr>
                    <w:tc>
                      <w:tcPr>
                        <w:tcW w:w="4126" w:type="dxa"/>
                        <w:tcBorders>
                          <w:bottom w:val="single" w:sz="8" w:space="0" w:color="5FFF00"/>
                        </w:tcBorders>
                      </w:tcPr>
                      <w:p>
                        <w:pPr>
                          <w:pStyle w:val="TableParagraph"/>
                          <w:tabs>
                            <w:tab w:pos="1846" w:val="left" w:leader="none"/>
                          </w:tabs>
                          <w:spacing w:line="178" w:lineRule="exact"/>
                          <w:ind w:right="179"/>
                          <w:jc w:val="right"/>
                          <w:rPr>
                            <w:rFonts w:ascii="Times New Roman"/>
                            <w:sz w:val="16"/>
                          </w:rPr>
                        </w:pPr>
                        <w:r>
                          <w:rPr>
                            <w:rFonts w:ascii="Times New Roman"/>
                            <w:b/>
                            <w:sz w:val="16"/>
                          </w:rPr>
                          <w:t>Bengaluru</w:t>
                          <w:tab/>
                        </w:r>
                        <w:r>
                          <w:rPr>
                            <w:rFonts w:ascii="Times New Roman"/>
                            <w:sz w:val="16"/>
                          </w:rPr>
                          <w:t>SEZ</w:t>
                        </w:r>
                        <w:r>
                          <w:rPr>
                            <w:rFonts w:ascii="Times New Roman"/>
                            <w:position w:val="5"/>
                            <w:sz w:val="9"/>
                          </w:rPr>
                          <w:t>^</w:t>
                        </w:r>
                        <w:r>
                          <w:rPr>
                            <w:rFonts w:ascii="Times New Roman"/>
                            <w:sz w:val="16"/>
                          </w:rPr>
                          <w:t>), Hotel,</w:t>
                        </w:r>
                        <w:r>
                          <w:rPr>
                            <w:rFonts w:ascii="Times New Roman"/>
                            <w:spacing w:val="-8"/>
                            <w:sz w:val="16"/>
                          </w:rPr>
                          <w:t> </w:t>
                        </w:r>
                        <w:r>
                          <w:rPr>
                            <w:rFonts w:ascii="Times New Roman"/>
                            <w:sz w:val="16"/>
                          </w:rPr>
                          <w:t>Retail,</w:t>
                        </w:r>
                      </w:p>
                      <w:p>
                        <w:pPr>
                          <w:pStyle w:val="TableParagraph"/>
                          <w:spacing w:line="163" w:lineRule="exact" w:before="1"/>
                          <w:ind w:right="201"/>
                          <w:jc w:val="right"/>
                          <w:rPr>
                            <w:rFonts w:ascii="Times New Roman"/>
                            <w:sz w:val="16"/>
                          </w:rPr>
                        </w:pPr>
                        <w:r>
                          <w:rPr>
                            <w:rFonts w:ascii="Times New Roman"/>
                            <w:sz w:val="16"/>
                          </w:rPr>
                          <w:t>Convention</w:t>
                        </w:r>
                        <w:r>
                          <w:rPr>
                            <w:rFonts w:ascii="Times New Roman"/>
                            <w:spacing w:val="-7"/>
                            <w:sz w:val="16"/>
                          </w:rPr>
                          <w:t> </w:t>
                        </w:r>
                        <w:r>
                          <w:rPr>
                            <w:rFonts w:ascii="Times New Roman"/>
                            <w:sz w:val="16"/>
                          </w:rPr>
                          <w:t>Centre)</w:t>
                        </w:r>
                      </w:p>
                    </w:tc>
                    <w:tc>
                      <w:tcPr>
                        <w:tcW w:w="2612" w:type="dxa"/>
                        <w:tcBorders>
                          <w:bottom w:val="single" w:sz="8" w:space="0" w:color="5FFF00"/>
                        </w:tcBorders>
                      </w:tcPr>
                      <w:p>
                        <w:pPr>
                          <w:pStyle w:val="TableParagraph"/>
                          <w:spacing w:line="178" w:lineRule="exact"/>
                          <w:ind w:left="180"/>
                          <w:jc w:val="left"/>
                          <w:rPr>
                            <w:rFonts w:ascii="Times New Roman"/>
                            <w:sz w:val="16"/>
                          </w:rPr>
                        </w:pPr>
                        <w:r>
                          <w:rPr>
                            <w:rFonts w:ascii="Times New Roman"/>
                            <w:sz w:val="16"/>
                          </w:rPr>
                          <w:t>UC Hotel (5 star) - 266</w:t>
                        </w:r>
                        <w:r>
                          <w:rPr>
                            <w:rFonts w:ascii="Times New Roman"/>
                            <w:spacing w:val="-8"/>
                            <w:sz w:val="16"/>
                          </w:rPr>
                          <w:t> </w:t>
                        </w:r>
                        <w:r>
                          <w:rPr>
                            <w:rFonts w:ascii="Times New Roman"/>
                            <w:sz w:val="16"/>
                          </w:rPr>
                          <w:t>keys</w:t>
                        </w:r>
                      </w:p>
                      <w:p>
                        <w:pPr>
                          <w:pStyle w:val="TableParagraph"/>
                          <w:spacing w:line="163" w:lineRule="exact" w:before="1"/>
                          <w:ind w:left="180"/>
                          <w:jc w:val="left"/>
                          <w:rPr>
                            <w:rFonts w:ascii="Times New Roman"/>
                            <w:sz w:val="16"/>
                          </w:rPr>
                        </w:pPr>
                        <w:r>
                          <w:rPr>
                            <w:rFonts w:ascii="Times New Roman"/>
                            <w:sz w:val="16"/>
                          </w:rPr>
                          <w:t>UC Hotel (3 star) - 353</w:t>
                        </w:r>
                        <w:r>
                          <w:rPr>
                            <w:rFonts w:ascii="Times New Roman"/>
                            <w:spacing w:val="-8"/>
                            <w:sz w:val="16"/>
                          </w:rPr>
                          <w:t> </w:t>
                        </w:r>
                        <w:r>
                          <w:rPr>
                            <w:rFonts w:ascii="Times New Roman"/>
                            <w:sz w:val="16"/>
                          </w:rPr>
                          <w:t>keys</w:t>
                        </w:r>
                      </w:p>
                    </w:tc>
                    <w:tc>
                      <w:tcPr>
                        <w:tcW w:w="3747" w:type="dxa"/>
                        <w:gridSpan w:val="3"/>
                        <w:tcBorders>
                          <w:bottom w:val="single" w:sz="8" w:space="0" w:color="5FFF00"/>
                        </w:tcBorders>
                      </w:tcPr>
                      <w:p>
                        <w:pPr>
                          <w:pStyle w:val="TableParagraph"/>
                          <w:jc w:val="left"/>
                          <w:rPr>
                            <w:rFonts w:ascii="Times New Roman"/>
                            <w:sz w:val="16"/>
                          </w:rPr>
                        </w:pPr>
                      </w:p>
                    </w:tc>
                  </w:tr>
                  <w:tr>
                    <w:trPr>
                      <w:trHeight w:val="368" w:hRule="atLeast"/>
                    </w:trPr>
                    <w:tc>
                      <w:tcPr>
                        <w:tcW w:w="4126" w:type="dxa"/>
                        <w:tcBorders>
                          <w:top w:val="single" w:sz="8" w:space="0" w:color="5FFF00"/>
                          <w:bottom w:val="single" w:sz="8" w:space="0" w:color="5FFF00"/>
                        </w:tcBorders>
                      </w:tcPr>
                      <w:p>
                        <w:pPr>
                          <w:pStyle w:val="TableParagraph"/>
                          <w:tabs>
                            <w:tab w:pos="2124" w:val="left" w:leader="none"/>
                          </w:tabs>
                          <w:spacing w:before="2"/>
                          <w:ind w:right="251"/>
                          <w:jc w:val="right"/>
                          <w:rPr>
                            <w:rFonts w:ascii="Times New Roman"/>
                            <w:sz w:val="16"/>
                          </w:rPr>
                        </w:pPr>
                        <w:r>
                          <w:rPr>
                            <w:rFonts w:ascii="Times New Roman"/>
                            <w:b/>
                            <w:position w:val="9"/>
                            <w:sz w:val="16"/>
                          </w:rPr>
                          <w:t>Express</w:t>
                        </w:r>
                        <w:r>
                          <w:rPr>
                            <w:rFonts w:ascii="Times New Roman"/>
                            <w:b/>
                            <w:spacing w:val="-4"/>
                            <w:position w:val="9"/>
                            <w:sz w:val="16"/>
                          </w:rPr>
                          <w:t> </w:t>
                        </w:r>
                        <w:r>
                          <w:rPr>
                            <w:rFonts w:ascii="Times New Roman"/>
                            <w:b/>
                            <w:position w:val="9"/>
                            <w:sz w:val="16"/>
                          </w:rPr>
                          <w:t>Towers,</w:t>
                          <w:tab/>
                        </w:r>
                        <w:r>
                          <w:rPr>
                            <w:rFonts w:ascii="Times New Roman"/>
                            <w:sz w:val="16"/>
                          </w:rPr>
                          <w:t>Office</w:t>
                        </w:r>
                        <w:r>
                          <w:rPr>
                            <w:rFonts w:ascii="Times New Roman"/>
                            <w:spacing w:val="-1"/>
                            <w:sz w:val="16"/>
                          </w:rPr>
                          <w:t> </w:t>
                        </w:r>
                        <w:r>
                          <w:rPr>
                            <w:rFonts w:ascii="Times New Roman"/>
                            <w:sz w:val="16"/>
                          </w:rPr>
                          <w:t>(Non-SEZ)</w:t>
                        </w:r>
                      </w:p>
                    </w:tc>
                    <w:tc>
                      <w:tcPr>
                        <w:tcW w:w="2612" w:type="dxa"/>
                        <w:tcBorders>
                          <w:top w:val="single" w:sz="8" w:space="0" w:color="5FFF00"/>
                          <w:bottom w:val="single" w:sz="8" w:space="0" w:color="5FFF00"/>
                        </w:tcBorders>
                      </w:tcPr>
                      <w:p>
                        <w:pPr>
                          <w:pStyle w:val="TableParagraph"/>
                          <w:spacing w:before="92"/>
                          <w:ind w:left="180"/>
                          <w:jc w:val="left"/>
                          <w:rPr>
                            <w:rFonts w:ascii="Times New Roman"/>
                            <w:sz w:val="16"/>
                          </w:rPr>
                        </w:pPr>
                        <w:r>
                          <w:rPr>
                            <w:rFonts w:ascii="Times New Roman"/>
                            <w:sz w:val="16"/>
                          </w:rPr>
                          <w:t>Completed office - 0.5 msf</w:t>
                        </w:r>
                      </w:p>
                    </w:tc>
                    <w:tc>
                      <w:tcPr>
                        <w:tcW w:w="1514" w:type="dxa"/>
                        <w:tcBorders>
                          <w:top w:val="single" w:sz="8" w:space="0" w:color="5FFF00"/>
                          <w:bottom w:val="single" w:sz="8" w:space="0" w:color="5FFF00"/>
                        </w:tcBorders>
                      </w:tcPr>
                      <w:p>
                        <w:pPr>
                          <w:pStyle w:val="TableParagraph"/>
                          <w:spacing w:before="92"/>
                          <w:ind w:right="467"/>
                          <w:jc w:val="right"/>
                          <w:rPr>
                            <w:rFonts w:ascii="Times New Roman"/>
                            <w:sz w:val="16"/>
                          </w:rPr>
                        </w:pPr>
                        <w:r>
                          <w:rPr>
                            <w:rFonts w:ascii="Times New Roman"/>
                            <w:sz w:val="16"/>
                          </w:rPr>
                          <w:t>17,866</w:t>
                        </w:r>
                      </w:p>
                    </w:tc>
                    <w:tc>
                      <w:tcPr>
                        <w:tcW w:w="1236" w:type="dxa"/>
                        <w:tcBorders>
                          <w:top w:val="single" w:sz="8" w:space="0" w:color="5FFF00"/>
                          <w:bottom w:val="single" w:sz="8" w:space="0" w:color="5FFF00"/>
                        </w:tcBorders>
                      </w:tcPr>
                      <w:p>
                        <w:pPr>
                          <w:pStyle w:val="TableParagraph"/>
                          <w:spacing w:before="92"/>
                          <w:ind w:left="58"/>
                          <w:rPr>
                            <w:rFonts w:ascii="Times New Roman"/>
                            <w:sz w:val="16"/>
                          </w:rPr>
                        </w:pPr>
                        <w:r>
                          <w:rPr>
                            <w:rFonts w:ascii="Times New Roman"/>
                            <w:w w:val="100"/>
                            <w:sz w:val="16"/>
                          </w:rPr>
                          <w:t>-</w:t>
                        </w:r>
                      </w:p>
                    </w:tc>
                    <w:tc>
                      <w:tcPr>
                        <w:tcW w:w="997" w:type="dxa"/>
                        <w:tcBorders>
                          <w:top w:val="single" w:sz="8" w:space="0" w:color="5FFF00"/>
                          <w:bottom w:val="single" w:sz="8" w:space="0" w:color="5FFF00"/>
                        </w:tcBorders>
                      </w:tcPr>
                      <w:p>
                        <w:pPr>
                          <w:pStyle w:val="TableParagraph"/>
                          <w:spacing w:before="92"/>
                          <w:ind w:right="149"/>
                          <w:jc w:val="right"/>
                          <w:rPr>
                            <w:rFonts w:ascii="Times New Roman"/>
                            <w:b/>
                            <w:sz w:val="16"/>
                          </w:rPr>
                        </w:pPr>
                        <w:r>
                          <w:rPr>
                            <w:rFonts w:ascii="Times New Roman"/>
                            <w:b/>
                            <w:sz w:val="16"/>
                          </w:rPr>
                          <w:t>17,866</w:t>
                        </w:r>
                      </w:p>
                    </w:tc>
                  </w:tr>
                  <w:tr>
                    <w:trPr>
                      <w:trHeight w:val="183" w:hRule="atLeast"/>
                    </w:trPr>
                    <w:tc>
                      <w:tcPr>
                        <w:tcW w:w="4126" w:type="dxa"/>
                        <w:tcBorders>
                          <w:top w:val="single" w:sz="8" w:space="0" w:color="5FFF00"/>
                          <w:bottom w:val="single" w:sz="8" w:space="0" w:color="5FFF00"/>
                        </w:tcBorders>
                      </w:tcPr>
                      <w:p>
                        <w:pPr>
                          <w:pStyle w:val="TableParagraph"/>
                          <w:tabs>
                            <w:tab w:pos="2340" w:val="left" w:leader="none"/>
                          </w:tabs>
                          <w:spacing w:line="163" w:lineRule="exact" w:before="1"/>
                          <w:ind w:right="251"/>
                          <w:jc w:val="right"/>
                          <w:rPr>
                            <w:rFonts w:ascii="Times New Roman"/>
                            <w:sz w:val="16"/>
                          </w:rPr>
                        </w:pPr>
                        <w:r>
                          <w:rPr>
                            <w:rFonts w:ascii="Times New Roman"/>
                            <w:b/>
                            <w:sz w:val="16"/>
                          </w:rPr>
                          <w:t>Embassy</w:t>
                        </w:r>
                        <w:r>
                          <w:rPr>
                            <w:rFonts w:ascii="Times New Roman"/>
                            <w:b/>
                            <w:spacing w:val="-3"/>
                            <w:sz w:val="16"/>
                          </w:rPr>
                          <w:t> </w:t>
                        </w:r>
                        <w:r>
                          <w:rPr>
                            <w:rFonts w:ascii="Times New Roman"/>
                            <w:b/>
                            <w:sz w:val="16"/>
                          </w:rPr>
                          <w:t>247,</w:t>
                        </w:r>
                        <w:r>
                          <w:rPr>
                            <w:rFonts w:ascii="Times New Roman"/>
                            <w:b/>
                            <w:spacing w:val="-1"/>
                            <w:sz w:val="16"/>
                          </w:rPr>
                          <w:t> </w:t>
                        </w:r>
                        <w:r>
                          <w:rPr>
                            <w:rFonts w:ascii="Times New Roman"/>
                            <w:b/>
                            <w:sz w:val="16"/>
                          </w:rPr>
                          <w:t>Mumbai</w:t>
                          <w:tab/>
                        </w:r>
                        <w:r>
                          <w:rPr>
                            <w:rFonts w:ascii="Times New Roman"/>
                            <w:sz w:val="16"/>
                          </w:rPr>
                          <w:t>Office</w:t>
                        </w:r>
                        <w:r>
                          <w:rPr>
                            <w:rFonts w:ascii="Times New Roman"/>
                            <w:spacing w:val="-1"/>
                            <w:sz w:val="16"/>
                          </w:rPr>
                          <w:t> </w:t>
                        </w:r>
                        <w:r>
                          <w:rPr>
                            <w:rFonts w:ascii="Times New Roman"/>
                            <w:sz w:val="16"/>
                          </w:rPr>
                          <w:t>(Non-SEZ)</w:t>
                        </w:r>
                      </w:p>
                    </w:tc>
                    <w:tc>
                      <w:tcPr>
                        <w:tcW w:w="2612" w:type="dxa"/>
                        <w:tcBorders>
                          <w:top w:val="single" w:sz="8" w:space="0" w:color="5FFF00"/>
                          <w:bottom w:val="single" w:sz="8" w:space="0" w:color="5FFF00"/>
                        </w:tcBorders>
                      </w:tcPr>
                      <w:p>
                        <w:pPr>
                          <w:pStyle w:val="TableParagraph"/>
                          <w:spacing w:line="163" w:lineRule="exact" w:before="1"/>
                          <w:ind w:left="180"/>
                          <w:jc w:val="left"/>
                          <w:rPr>
                            <w:rFonts w:ascii="Times New Roman"/>
                            <w:sz w:val="16"/>
                          </w:rPr>
                        </w:pPr>
                        <w:r>
                          <w:rPr>
                            <w:rFonts w:ascii="Times New Roman"/>
                            <w:sz w:val="16"/>
                          </w:rPr>
                          <w:t>Completed office - 1.2 msf</w:t>
                        </w:r>
                      </w:p>
                    </w:tc>
                    <w:tc>
                      <w:tcPr>
                        <w:tcW w:w="1514" w:type="dxa"/>
                        <w:tcBorders>
                          <w:top w:val="single" w:sz="8" w:space="0" w:color="5FFF00"/>
                          <w:bottom w:val="single" w:sz="8" w:space="0" w:color="5FFF00"/>
                        </w:tcBorders>
                      </w:tcPr>
                      <w:p>
                        <w:pPr>
                          <w:pStyle w:val="TableParagraph"/>
                          <w:spacing w:line="163" w:lineRule="exact" w:before="1"/>
                          <w:ind w:right="467"/>
                          <w:jc w:val="right"/>
                          <w:rPr>
                            <w:rFonts w:ascii="Times New Roman"/>
                            <w:sz w:val="16"/>
                          </w:rPr>
                        </w:pPr>
                        <w:r>
                          <w:rPr>
                            <w:rFonts w:ascii="Times New Roman"/>
                            <w:sz w:val="16"/>
                          </w:rPr>
                          <w:t>16,624</w:t>
                        </w:r>
                      </w:p>
                    </w:tc>
                    <w:tc>
                      <w:tcPr>
                        <w:tcW w:w="1236" w:type="dxa"/>
                        <w:tcBorders>
                          <w:top w:val="single" w:sz="8" w:space="0" w:color="5FFF00"/>
                          <w:bottom w:val="single" w:sz="8" w:space="0" w:color="5FFF00"/>
                        </w:tcBorders>
                      </w:tcPr>
                      <w:p>
                        <w:pPr>
                          <w:pStyle w:val="TableParagraph"/>
                          <w:spacing w:line="163" w:lineRule="exact" w:before="1"/>
                          <w:ind w:left="58"/>
                          <w:rPr>
                            <w:rFonts w:ascii="Times New Roman"/>
                            <w:sz w:val="16"/>
                          </w:rPr>
                        </w:pPr>
                        <w:r>
                          <w:rPr>
                            <w:rFonts w:ascii="Times New Roman"/>
                            <w:w w:val="100"/>
                            <w:sz w:val="16"/>
                          </w:rPr>
                          <w:t>-</w:t>
                        </w:r>
                      </w:p>
                    </w:tc>
                    <w:tc>
                      <w:tcPr>
                        <w:tcW w:w="997" w:type="dxa"/>
                        <w:tcBorders>
                          <w:top w:val="single" w:sz="8" w:space="0" w:color="5FFF00"/>
                          <w:bottom w:val="single" w:sz="8" w:space="0" w:color="5FFF00"/>
                        </w:tcBorders>
                      </w:tcPr>
                      <w:p>
                        <w:pPr>
                          <w:pStyle w:val="TableParagraph"/>
                          <w:spacing w:line="163" w:lineRule="exact" w:before="1"/>
                          <w:ind w:right="149"/>
                          <w:jc w:val="right"/>
                          <w:rPr>
                            <w:rFonts w:ascii="Times New Roman"/>
                            <w:b/>
                            <w:sz w:val="16"/>
                          </w:rPr>
                        </w:pPr>
                        <w:r>
                          <w:rPr>
                            <w:rFonts w:ascii="Times New Roman"/>
                            <w:b/>
                            <w:sz w:val="16"/>
                          </w:rPr>
                          <w:t>16,624</w:t>
                        </w:r>
                      </w:p>
                    </w:tc>
                  </w:tr>
                  <w:tr>
                    <w:trPr>
                      <w:trHeight w:val="551" w:hRule="atLeast"/>
                    </w:trPr>
                    <w:tc>
                      <w:tcPr>
                        <w:tcW w:w="4126" w:type="dxa"/>
                        <w:tcBorders>
                          <w:top w:val="single" w:sz="8" w:space="0" w:color="5FFF00"/>
                          <w:bottom w:val="single" w:sz="8" w:space="0" w:color="5FFF00"/>
                        </w:tcBorders>
                      </w:tcPr>
                      <w:p>
                        <w:pPr>
                          <w:pStyle w:val="TableParagraph"/>
                          <w:spacing w:line="183" w:lineRule="exact" w:before="2"/>
                          <w:ind w:left="502"/>
                          <w:jc w:val="left"/>
                          <w:rPr>
                            <w:rFonts w:ascii="Times New Roman"/>
                            <w:b/>
                            <w:sz w:val="16"/>
                          </w:rPr>
                        </w:pPr>
                        <w:r>
                          <w:rPr>
                            <w:rFonts w:ascii="Times New Roman"/>
                            <w:b/>
                            <w:sz w:val="16"/>
                          </w:rPr>
                          <w:t>First International</w:t>
                        </w:r>
                      </w:p>
                      <w:p>
                        <w:pPr>
                          <w:pStyle w:val="TableParagraph"/>
                          <w:tabs>
                            <w:tab w:pos="2700" w:val="left" w:leader="none"/>
                          </w:tabs>
                          <w:spacing w:line="183" w:lineRule="exact"/>
                          <w:ind w:left="545"/>
                          <w:jc w:val="left"/>
                          <w:rPr>
                            <w:rFonts w:ascii="Times New Roman"/>
                            <w:sz w:val="16"/>
                          </w:rPr>
                        </w:pPr>
                        <w:r>
                          <w:rPr>
                            <w:rFonts w:ascii="Times New Roman"/>
                            <w:b/>
                            <w:sz w:val="16"/>
                          </w:rPr>
                          <w:t>Financial</w:t>
                        </w:r>
                        <w:r>
                          <w:rPr>
                            <w:rFonts w:ascii="Times New Roman"/>
                            <w:b/>
                            <w:spacing w:val="-3"/>
                            <w:sz w:val="16"/>
                          </w:rPr>
                          <w:t> </w:t>
                        </w:r>
                        <w:r>
                          <w:rPr>
                            <w:rFonts w:ascii="Times New Roman"/>
                            <w:b/>
                            <w:sz w:val="16"/>
                          </w:rPr>
                          <w:t>Centre,</w:t>
                          <w:tab/>
                        </w:r>
                        <w:r>
                          <w:rPr>
                            <w:rFonts w:ascii="Times New Roman"/>
                            <w:sz w:val="16"/>
                          </w:rPr>
                          <w:t>Office (Non-SEZ)</w:t>
                        </w:r>
                      </w:p>
                      <w:p>
                        <w:pPr>
                          <w:pStyle w:val="TableParagraph"/>
                          <w:spacing w:line="163" w:lineRule="exact" w:before="1"/>
                          <w:ind w:left="847"/>
                          <w:jc w:val="left"/>
                          <w:rPr>
                            <w:rFonts w:ascii="Times New Roman"/>
                            <w:b/>
                            <w:sz w:val="16"/>
                          </w:rPr>
                        </w:pPr>
                        <w:r>
                          <w:rPr>
                            <w:rFonts w:ascii="Times New Roman"/>
                            <w:b/>
                            <w:sz w:val="16"/>
                          </w:rPr>
                          <w:t>Mumbai</w:t>
                        </w:r>
                      </w:p>
                    </w:tc>
                    <w:tc>
                      <w:tcPr>
                        <w:tcW w:w="2612" w:type="dxa"/>
                        <w:tcBorders>
                          <w:top w:val="single" w:sz="8" w:space="0" w:color="5FFF00"/>
                          <w:bottom w:val="single" w:sz="8" w:space="0" w:color="5FFF00"/>
                        </w:tcBorders>
                      </w:tcPr>
                      <w:p>
                        <w:pPr>
                          <w:pStyle w:val="TableParagraph"/>
                          <w:jc w:val="left"/>
                          <w:rPr>
                            <w:rFonts w:ascii="Times New Roman"/>
                            <w:i/>
                            <w:sz w:val="16"/>
                          </w:rPr>
                        </w:pPr>
                      </w:p>
                      <w:p>
                        <w:pPr>
                          <w:pStyle w:val="TableParagraph"/>
                          <w:ind w:left="180"/>
                          <w:jc w:val="left"/>
                          <w:rPr>
                            <w:rFonts w:ascii="Times New Roman"/>
                            <w:sz w:val="16"/>
                          </w:rPr>
                        </w:pPr>
                        <w:r>
                          <w:rPr>
                            <w:rFonts w:ascii="Times New Roman"/>
                            <w:sz w:val="16"/>
                          </w:rPr>
                          <w:t>Completed office - 0.4 msf</w:t>
                        </w:r>
                      </w:p>
                    </w:tc>
                    <w:tc>
                      <w:tcPr>
                        <w:tcW w:w="1514" w:type="dxa"/>
                        <w:tcBorders>
                          <w:top w:val="single" w:sz="8" w:space="0" w:color="5FFF00"/>
                          <w:bottom w:val="single" w:sz="8" w:space="0" w:color="5FFF00"/>
                        </w:tcBorders>
                      </w:tcPr>
                      <w:p>
                        <w:pPr>
                          <w:pStyle w:val="TableParagraph"/>
                          <w:jc w:val="left"/>
                          <w:rPr>
                            <w:rFonts w:ascii="Times New Roman"/>
                            <w:i/>
                            <w:sz w:val="16"/>
                          </w:rPr>
                        </w:pPr>
                      </w:p>
                      <w:p>
                        <w:pPr>
                          <w:pStyle w:val="TableParagraph"/>
                          <w:ind w:right="467"/>
                          <w:jc w:val="right"/>
                          <w:rPr>
                            <w:rFonts w:ascii="Times New Roman"/>
                            <w:sz w:val="16"/>
                          </w:rPr>
                        </w:pPr>
                        <w:r>
                          <w:rPr>
                            <w:rFonts w:ascii="Times New Roman"/>
                            <w:sz w:val="16"/>
                          </w:rPr>
                          <w:t>13,911</w:t>
                        </w:r>
                      </w:p>
                    </w:tc>
                    <w:tc>
                      <w:tcPr>
                        <w:tcW w:w="1236" w:type="dxa"/>
                        <w:tcBorders>
                          <w:top w:val="single" w:sz="8" w:space="0" w:color="5FFF00"/>
                          <w:bottom w:val="single" w:sz="8" w:space="0" w:color="5FFF00"/>
                        </w:tcBorders>
                      </w:tcPr>
                      <w:p>
                        <w:pPr>
                          <w:pStyle w:val="TableParagraph"/>
                          <w:jc w:val="left"/>
                          <w:rPr>
                            <w:rFonts w:ascii="Times New Roman"/>
                            <w:i/>
                            <w:sz w:val="16"/>
                          </w:rPr>
                        </w:pPr>
                      </w:p>
                      <w:p>
                        <w:pPr>
                          <w:pStyle w:val="TableParagraph"/>
                          <w:ind w:left="58"/>
                          <w:rPr>
                            <w:rFonts w:ascii="Times New Roman"/>
                            <w:sz w:val="16"/>
                          </w:rPr>
                        </w:pPr>
                        <w:r>
                          <w:rPr>
                            <w:rFonts w:ascii="Times New Roman"/>
                            <w:w w:val="100"/>
                            <w:sz w:val="16"/>
                          </w:rPr>
                          <w:t>-</w:t>
                        </w:r>
                      </w:p>
                    </w:tc>
                    <w:tc>
                      <w:tcPr>
                        <w:tcW w:w="997" w:type="dxa"/>
                        <w:tcBorders>
                          <w:top w:val="single" w:sz="8" w:space="0" w:color="5FFF00"/>
                          <w:bottom w:val="single" w:sz="8" w:space="0" w:color="5FFF00"/>
                        </w:tcBorders>
                      </w:tcPr>
                      <w:p>
                        <w:pPr>
                          <w:pStyle w:val="TableParagraph"/>
                          <w:jc w:val="left"/>
                          <w:rPr>
                            <w:rFonts w:ascii="Times New Roman"/>
                            <w:i/>
                            <w:sz w:val="16"/>
                          </w:rPr>
                        </w:pPr>
                      </w:p>
                      <w:p>
                        <w:pPr>
                          <w:pStyle w:val="TableParagraph"/>
                          <w:ind w:right="149"/>
                          <w:jc w:val="right"/>
                          <w:rPr>
                            <w:rFonts w:ascii="Times New Roman"/>
                            <w:b/>
                            <w:sz w:val="16"/>
                          </w:rPr>
                        </w:pPr>
                        <w:r>
                          <w:rPr>
                            <w:rFonts w:ascii="Times New Roman"/>
                            <w:b/>
                            <w:sz w:val="16"/>
                          </w:rPr>
                          <w:t>13,911</w:t>
                        </w:r>
                      </w:p>
                    </w:tc>
                  </w:tr>
                  <w:tr>
                    <w:trPr>
                      <w:trHeight w:val="368" w:hRule="atLeast"/>
                    </w:trPr>
                    <w:tc>
                      <w:tcPr>
                        <w:tcW w:w="6738" w:type="dxa"/>
                        <w:gridSpan w:val="2"/>
                        <w:tcBorders>
                          <w:bottom w:val="single" w:sz="8" w:space="0" w:color="5FFF00"/>
                        </w:tcBorders>
                      </w:tcPr>
                      <w:p>
                        <w:pPr>
                          <w:pStyle w:val="TableParagraph"/>
                          <w:tabs>
                            <w:tab w:pos="3082" w:val="left" w:leader="none"/>
                            <w:tab w:pos="4306" w:val="left" w:leader="none"/>
                          </w:tabs>
                          <w:spacing w:line="176" w:lineRule="exact"/>
                          <w:ind w:left="451"/>
                          <w:jc w:val="left"/>
                          <w:rPr>
                            <w:rFonts w:ascii="Times New Roman"/>
                            <w:sz w:val="16"/>
                          </w:rPr>
                        </w:pPr>
                        <w:r>
                          <w:rPr>
                            <w:rFonts w:ascii="Times New Roman"/>
                            <w:b/>
                            <w:sz w:val="16"/>
                          </w:rPr>
                          <w:t>Embassy</w:t>
                        </w:r>
                        <w:r>
                          <w:rPr>
                            <w:rFonts w:ascii="Times New Roman"/>
                            <w:b/>
                            <w:spacing w:val="-3"/>
                            <w:sz w:val="16"/>
                          </w:rPr>
                          <w:t> </w:t>
                        </w:r>
                        <w:r>
                          <w:rPr>
                            <w:rFonts w:ascii="Times New Roman"/>
                            <w:b/>
                            <w:sz w:val="16"/>
                          </w:rPr>
                          <w:t>TechZone,</w:t>
                          <w:tab/>
                        </w:r>
                        <w:r>
                          <w:rPr>
                            <w:rFonts w:ascii="Times New Roman"/>
                            <w:sz w:val="16"/>
                          </w:rPr>
                          <w:t>Office</w:t>
                          <w:tab/>
                          <w:t>Completed office - 2.2</w:t>
                        </w:r>
                        <w:r>
                          <w:rPr>
                            <w:rFonts w:ascii="Times New Roman"/>
                            <w:spacing w:val="-3"/>
                            <w:sz w:val="16"/>
                          </w:rPr>
                          <w:t> </w:t>
                        </w:r>
                        <w:r>
                          <w:rPr>
                            <w:rFonts w:ascii="Times New Roman"/>
                            <w:sz w:val="16"/>
                          </w:rPr>
                          <w:t>msf</w:t>
                        </w:r>
                      </w:p>
                      <w:p>
                        <w:pPr>
                          <w:pStyle w:val="TableParagraph"/>
                          <w:tabs>
                            <w:tab w:pos="2796" w:val="left" w:leader="none"/>
                            <w:tab w:pos="4306" w:val="left" w:leader="none"/>
                          </w:tabs>
                          <w:spacing w:line="163" w:lineRule="exact" w:before="1"/>
                          <w:ind w:left="967"/>
                          <w:jc w:val="left"/>
                          <w:rPr>
                            <w:rFonts w:ascii="Times New Roman"/>
                            <w:sz w:val="16"/>
                          </w:rPr>
                        </w:pPr>
                        <w:r>
                          <w:rPr>
                            <w:rFonts w:ascii="Times New Roman"/>
                            <w:b/>
                            <w:sz w:val="16"/>
                          </w:rPr>
                          <w:t>Pune</w:t>
                          <w:tab/>
                        </w:r>
                        <w:r>
                          <w:rPr>
                            <w:rFonts w:ascii="Times New Roman"/>
                            <w:sz w:val="16"/>
                          </w:rPr>
                          <w:t>(IT/</w:t>
                        </w:r>
                        <w:r>
                          <w:rPr>
                            <w:rFonts w:ascii="Times New Roman"/>
                            <w:spacing w:val="2"/>
                            <w:sz w:val="16"/>
                          </w:rPr>
                          <w:t> </w:t>
                        </w:r>
                        <w:r>
                          <w:rPr>
                            <w:rFonts w:ascii="Times New Roman"/>
                            <w:sz w:val="16"/>
                          </w:rPr>
                          <w:t>ITeS</w:t>
                        </w:r>
                        <w:r>
                          <w:rPr>
                            <w:rFonts w:ascii="Times New Roman"/>
                            <w:spacing w:val="-1"/>
                            <w:sz w:val="16"/>
                          </w:rPr>
                          <w:t> </w:t>
                        </w:r>
                        <w:r>
                          <w:rPr>
                            <w:rFonts w:ascii="Times New Roman"/>
                            <w:sz w:val="16"/>
                          </w:rPr>
                          <w:t>SEZ)</w:t>
                          <w:tab/>
                          <w:t>Proposed/ UC office - 3.3</w:t>
                        </w:r>
                        <w:r>
                          <w:rPr>
                            <w:rFonts w:ascii="Times New Roman"/>
                            <w:spacing w:val="-4"/>
                            <w:sz w:val="16"/>
                          </w:rPr>
                          <w:t> </w:t>
                        </w:r>
                        <w:r>
                          <w:rPr>
                            <w:rFonts w:ascii="Times New Roman"/>
                            <w:sz w:val="16"/>
                          </w:rPr>
                          <w:t>msf</w:t>
                        </w:r>
                      </w:p>
                    </w:tc>
                    <w:tc>
                      <w:tcPr>
                        <w:tcW w:w="1514" w:type="dxa"/>
                        <w:tcBorders>
                          <w:bottom w:val="single" w:sz="8" w:space="0" w:color="5FFF00"/>
                        </w:tcBorders>
                      </w:tcPr>
                      <w:p>
                        <w:pPr>
                          <w:pStyle w:val="TableParagraph"/>
                          <w:spacing w:before="83"/>
                          <w:ind w:right="467"/>
                          <w:jc w:val="right"/>
                          <w:rPr>
                            <w:rFonts w:ascii="Times New Roman"/>
                            <w:sz w:val="16"/>
                          </w:rPr>
                        </w:pPr>
                        <w:r>
                          <w:rPr>
                            <w:rFonts w:ascii="Times New Roman"/>
                            <w:sz w:val="16"/>
                          </w:rPr>
                          <w:t>14,929</w:t>
                        </w:r>
                      </w:p>
                    </w:tc>
                    <w:tc>
                      <w:tcPr>
                        <w:tcW w:w="1236" w:type="dxa"/>
                        <w:tcBorders>
                          <w:bottom w:val="single" w:sz="8" w:space="0" w:color="5FFF00"/>
                        </w:tcBorders>
                      </w:tcPr>
                      <w:p>
                        <w:pPr>
                          <w:pStyle w:val="TableParagraph"/>
                          <w:spacing w:before="83"/>
                          <w:ind w:left="447" w:right="389"/>
                          <w:rPr>
                            <w:rFonts w:ascii="Times New Roman"/>
                            <w:sz w:val="16"/>
                          </w:rPr>
                        </w:pPr>
                        <w:r>
                          <w:rPr>
                            <w:rFonts w:ascii="Times New Roman"/>
                            <w:sz w:val="16"/>
                          </w:rPr>
                          <w:t>6,103</w:t>
                        </w:r>
                      </w:p>
                    </w:tc>
                    <w:tc>
                      <w:tcPr>
                        <w:tcW w:w="997" w:type="dxa"/>
                        <w:tcBorders>
                          <w:bottom w:val="single" w:sz="8" w:space="0" w:color="5FFF00"/>
                        </w:tcBorders>
                      </w:tcPr>
                      <w:p>
                        <w:pPr>
                          <w:pStyle w:val="TableParagraph"/>
                          <w:spacing w:before="83"/>
                          <w:ind w:right="152"/>
                          <w:jc w:val="right"/>
                          <w:rPr>
                            <w:rFonts w:ascii="Times New Roman"/>
                            <w:b/>
                            <w:sz w:val="16"/>
                          </w:rPr>
                        </w:pPr>
                        <w:r>
                          <w:rPr>
                            <w:rFonts w:ascii="Times New Roman"/>
                            <w:b/>
                            <w:sz w:val="16"/>
                          </w:rPr>
                          <w:t>21,032</w:t>
                        </w:r>
                      </w:p>
                    </w:tc>
                  </w:tr>
                </w:tbl>
                <w:p>
                  <w:pPr>
                    <w:pStyle w:val="BodyText"/>
                  </w:pPr>
                </w:p>
              </w:txbxContent>
            </v:textbox>
            <w10:wrap type="none"/>
          </v:shape>
        </w:pict>
      </w:r>
      <w:r>
        <w:rPr>
          <w:rFonts w:ascii="Times New Roman"/>
          <w:b/>
          <w:sz w:val="16"/>
        </w:rPr>
        <w:t>Embassy Manyata,</w:t>
      </w:r>
    </w:p>
    <w:p>
      <w:pPr>
        <w:spacing w:before="0"/>
        <w:ind w:left="532" w:right="0" w:firstLine="0"/>
        <w:jc w:val="left"/>
        <w:rPr>
          <w:rFonts w:ascii="Times New Roman"/>
          <w:sz w:val="16"/>
        </w:rPr>
      </w:pPr>
      <w:r>
        <w:rPr/>
        <w:br w:type="column"/>
      </w:r>
      <w:r>
        <w:rPr>
          <w:rFonts w:ascii="Times New Roman"/>
          <w:sz w:val="16"/>
        </w:rPr>
        <w:t>(Office (IT/ ITeS SEZ/ Non- Proposed/ UC* office - 3.1 msf</w:t>
      </w:r>
    </w:p>
    <w:p>
      <w:pPr>
        <w:tabs>
          <w:tab w:pos="2111" w:val="left" w:leader="none"/>
          <w:tab w:pos="3285" w:val="left" w:leader="none"/>
        </w:tabs>
        <w:spacing w:before="92"/>
        <w:ind w:left="736" w:right="0" w:firstLine="0"/>
        <w:jc w:val="left"/>
        <w:rPr>
          <w:rFonts w:ascii="Times New Roman"/>
          <w:b/>
          <w:sz w:val="16"/>
        </w:rPr>
      </w:pPr>
      <w:r>
        <w:rPr/>
        <w:br w:type="column"/>
      </w:r>
      <w:r>
        <w:rPr>
          <w:rFonts w:ascii="Times New Roman"/>
          <w:sz w:val="16"/>
        </w:rPr>
        <w:t>129,952</w:t>
        <w:tab/>
        <w:t>23,954</w:t>
        <w:tab/>
      </w:r>
      <w:r>
        <w:rPr>
          <w:rFonts w:ascii="Times New Roman"/>
          <w:b/>
          <w:sz w:val="16"/>
        </w:rPr>
        <w:t>153,906</w:t>
      </w:r>
    </w:p>
    <w:p>
      <w:pPr>
        <w:spacing w:after="0"/>
        <w:jc w:val="left"/>
        <w:rPr>
          <w:rFonts w:ascii="Times New Roman"/>
          <w:sz w:val="16"/>
        </w:rPr>
        <w:sectPr>
          <w:type w:val="continuous"/>
          <w:pgSz w:w="12240" w:h="15840"/>
          <w:pgMar w:top="800" w:bottom="280" w:left="620" w:right="580"/>
          <w:cols w:num="3" w:equalWidth="0">
            <w:col w:w="2046" w:space="40"/>
            <w:col w:w="4525" w:space="206"/>
            <w:col w:w="4223"/>
          </w:cols>
        </w:sectPr>
      </w:pPr>
    </w:p>
    <w:p>
      <w:pPr>
        <w:pStyle w:val="BodyText"/>
        <w:rPr>
          <w:rFonts w:ascii="Times New Roman"/>
          <w:b/>
          <w:sz w:val="20"/>
        </w:rPr>
      </w:pPr>
    </w:p>
    <w:p>
      <w:pPr>
        <w:pStyle w:val="BodyText"/>
        <w:spacing w:before="9"/>
        <w:rPr>
          <w:rFonts w:ascii="Times New Roman"/>
          <w:b/>
          <w:sz w:val="21"/>
        </w:rPr>
      </w:pPr>
    </w:p>
    <w:p>
      <w:pPr>
        <w:spacing w:before="0"/>
        <w:ind w:left="1098" w:right="0" w:firstLine="0"/>
        <w:jc w:val="left"/>
        <w:rPr>
          <w:rFonts w:ascii="Times New Roman"/>
          <w:b/>
          <w:sz w:val="16"/>
        </w:rPr>
      </w:pPr>
      <w:r>
        <w:rPr>
          <w:rFonts w:ascii="Times New Roman"/>
          <w:b/>
          <w:sz w:val="16"/>
        </w:rPr>
        <w:t>Mumbai</w:t>
      </w: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rPr>
          <w:rFonts w:ascii="Times New Roman"/>
          <w:b/>
          <w:sz w:val="20"/>
        </w:rPr>
      </w:pPr>
    </w:p>
    <w:p>
      <w:pPr>
        <w:pStyle w:val="BodyText"/>
        <w:spacing w:before="9"/>
        <w:rPr>
          <w:rFonts w:ascii="Times New Roman"/>
          <w:b/>
          <w:sz w:val="18"/>
        </w:rPr>
      </w:pPr>
    </w:p>
    <w:p>
      <w:pPr>
        <w:tabs>
          <w:tab w:pos="3048" w:val="left" w:leader="none"/>
        </w:tabs>
        <w:spacing w:before="1"/>
        <w:ind w:left="1218" w:right="0" w:firstLine="0"/>
        <w:jc w:val="left"/>
        <w:rPr>
          <w:rFonts w:ascii="Times New Roman"/>
          <w:sz w:val="16"/>
        </w:rPr>
      </w:pPr>
      <w:r>
        <w:rPr/>
        <w:pict>
          <v:shape style="position:absolute;margin-left:43.560001pt;margin-top:-28.581263pt;width:524.2pt;height:60.6pt;mso-position-horizontal-relative:page;mso-position-vertical-relative:paragraph;z-index:157511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91"/>
                    <w:gridCol w:w="1538"/>
                    <w:gridCol w:w="1083"/>
                    <w:gridCol w:w="1075"/>
                  </w:tblGrid>
                  <w:tr>
                    <w:trPr>
                      <w:trHeight w:val="379" w:hRule="atLeast"/>
                    </w:trPr>
                    <w:tc>
                      <w:tcPr>
                        <w:tcW w:w="6791" w:type="dxa"/>
                      </w:tcPr>
                      <w:p>
                        <w:pPr>
                          <w:pStyle w:val="TableParagraph"/>
                          <w:jc w:val="left"/>
                          <w:rPr>
                            <w:rFonts w:ascii="Times New Roman"/>
                            <w:sz w:val="16"/>
                          </w:rPr>
                        </w:pPr>
                      </w:p>
                    </w:tc>
                    <w:tc>
                      <w:tcPr>
                        <w:tcW w:w="1538" w:type="dxa"/>
                      </w:tcPr>
                      <w:p>
                        <w:pPr>
                          <w:pStyle w:val="TableParagraph"/>
                          <w:jc w:val="left"/>
                          <w:rPr>
                            <w:rFonts w:ascii="Times New Roman"/>
                            <w:sz w:val="16"/>
                          </w:rPr>
                        </w:pPr>
                      </w:p>
                    </w:tc>
                    <w:tc>
                      <w:tcPr>
                        <w:tcW w:w="1083" w:type="dxa"/>
                      </w:tcPr>
                      <w:p>
                        <w:pPr>
                          <w:pStyle w:val="TableParagraph"/>
                          <w:jc w:val="left"/>
                          <w:rPr>
                            <w:rFonts w:ascii="Times New Roman"/>
                            <w:sz w:val="16"/>
                          </w:rPr>
                        </w:pPr>
                      </w:p>
                    </w:tc>
                    <w:tc>
                      <w:tcPr>
                        <w:tcW w:w="1075" w:type="dxa"/>
                      </w:tcPr>
                      <w:p>
                        <w:pPr>
                          <w:pStyle w:val="TableParagraph"/>
                          <w:jc w:val="left"/>
                          <w:rPr>
                            <w:rFonts w:ascii="Times New Roman"/>
                            <w:sz w:val="16"/>
                          </w:rPr>
                        </w:pPr>
                      </w:p>
                    </w:tc>
                  </w:tr>
                  <w:tr>
                    <w:trPr>
                      <w:trHeight w:val="395" w:hRule="atLeast"/>
                    </w:trPr>
                    <w:tc>
                      <w:tcPr>
                        <w:tcW w:w="6791" w:type="dxa"/>
                        <w:tcBorders>
                          <w:bottom w:val="single" w:sz="8" w:space="0" w:color="5FFF00"/>
                        </w:tcBorders>
                      </w:tcPr>
                      <w:p>
                        <w:pPr>
                          <w:pStyle w:val="TableParagraph"/>
                          <w:tabs>
                            <w:tab w:pos="3082" w:val="left" w:leader="none"/>
                            <w:tab w:pos="4306" w:val="left" w:leader="none"/>
                          </w:tabs>
                          <w:spacing w:before="12"/>
                          <w:ind w:left="482"/>
                          <w:jc w:val="left"/>
                          <w:rPr>
                            <w:rFonts w:ascii="Times New Roman"/>
                            <w:sz w:val="16"/>
                          </w:rPr>
                        </w:pPr>
                        <w:r>
                          <w:rPr>
                            <w:rFonts w:ascii="Times New Roman"/>
                            <w:b/>
                            <w:position w:val="9"/>
                            <w:sz w:val="16"/>
                          </w:rPr>
                          <w:t>Embassy</w:t>
                        </w:r>
                        <w:r>
                          <w:rPr>
                            <w:rFonts w:ascii="Times New Roman"/>
                            <w:b/>
                            <w:spacing w:val="-3"/>
                            <w:position w:val="9"/>
                            <w:sz w:val="16"/>
                          </w:rPr>
                          <w:t> </w:t>
                        </w:r>
                        <w:r>
                          <w:rPr>
                            <w:rFonts w:ascii="Times New Roman"/>
                            <w:b/>
                            <w:position w:val="9"/>
                            <w:sz w:val="16"/>
                          </w:rPr>
                          <w:t>Quadron,</w:t>
                          <w:tab/>
                        </w:r>
                        <w:r>
                          <w:rPr>
                            <w:rFonts w:ascii="Times New Roman"/>
                            <w:position w:val="10"/>
                            <w:sz w:val="16"/>
                          </w:rPr>
                          <w:t>Office</w:t>
                          <w:tab/>
                        </w:r>
                        <w:r>
                          <w:rPr>
                            <w:rFonts w:ascii="Times New Roman"/>
                            <w:sz w:val="16"/>
                          </w:rPr>
                          <w:t>Completed office - 1.9</w:t>
                        </w:r>
                        <w:r>
                          <w:rPr>
                            <w:rFonts w:ascii="Times New Roman"/>
                            <w:spacing w:val="-3"/>
                            <w:sz w:val="16"/>
                          </w:rPr>
                          <w:t> </w:t>
                        </w:r>
                        <w:r>
                          <w:rPr>
                            <w:rFonts w:ascii="Times New Roman"/>
                            <w:sz w:val="16"/>
                          </w:rPr>
                          <w:t>msf</w:t>
                        </w:r>
                      </w:p>
                    </w:tc>
                    <w:tc>
                      <w:tcPr>
                        <w:tcW w:w="1538" w:type="dxa"/>
                        <w:tcBorders>
                          <w:bottom w:val="single" w:sz="8" w:space="0" w:color="5FFF00"/>
                        </w:tcBorders>
                      </w:tcPr>
                      <w:p>
                        <w:pPr>
                          <w:pStyle w:val="TableParagraph"/>
                          <w:spacing w:before="112"/>
                          <w:ind w:left="24" w:right="18"/>
                          <w:rPr>
                            <w:rFonts w:ascii="Times New Roman"/>
                            <w:sz w:val="16"/>
                          </w:rPr>
                        </w:pPr>
                        <w:r>
                          <w:rPr>
                            <w:rFonts w:ascii="Times New Roman"/>
                            <w:sz w:val="16"/>
                          </w:rPr>
                          <w:t>13,838</w:t>
                        </w:r>
                      </w:p>
                    </w:tc>
                    <w:tc>
                      <w:tcPr>
                        <w:tcW w:w="1083" w:type="dxa"/>
                        <w:tcBorders>
                          <w:bottom w:val="single" w:sz="8" w:space="0" w:color="5FFF00"/>
                        </w:tcBorders>
                      </w:tcPr>
                      <w:p>
                        <w:pPr>
                          <w:pStyle w:val="TableParagraph"/>
                          <w:spacing w:before="112"/>
                          <w:ind w:left="57"/>
                          <w:rPr>
                            <w:rFonts w:ascii="Times New Roman"/>
                            <w:sz w:val="16"/>
                          </w:rPr>
                        </w:pPr>
                        <w:r>
                          <w:rPr>
                            <w:rFonts w:ascii="Times New Roman"/>
                            <w:w w:val="100"/>
                            <w:sz w:val="16"/>
                          </w:rPr>
                          <w:t>-</w:t>
                        </w:r>
                      </w:p>
                    </w:tc>
                    <w:tc>
                      <w:tcPr>
                        <w:tcW w:w="1075" w:type="dxa"/>
                        <w:tcBorders>
                          <w:bottom w:val="single" w:sz="8" w:space="0" w:color="5FFF00"/>
                        </w:tcBorders>
                      </w:tcPr>
                      <w:p>
                        <w:pPr>
                          <w:pStyle w:val="TableParagraph"/>
                          <w:spacing w:before="112"/>
                          <w:ind w:right="151"/>
                          <w:jc w:val="right"/>
                          <w:rPr>
                            <w:rFonts w:ascii="Times New Roman"/>
                            <w:b/>
                            <w:sz w:val="16"/>
                          </w:rPr>
                        </w:pPr>
                        <w:r>
                          <w:rPr>
                            <w:rFonts w:ascii="Times New Roman"/>
                            <w:b/>
                            <w:sz w:val="16"/>
                          </w:rPr>
                          <w:t>13,838</w:t>
                        </w:r>
                      </w:p>
                    </w:tc>
                  </w:tr>
                  <w:tr>
                    <w:trPr>
                      <w:trHeight w:val="387" w:hRule="atLeast"/>
                    </w:trPr>
                    <w:tc>
                      <w:tcPr>
                        <w:tcW w:w="6791" w:type="dxa"/>
                        <w:tcBorders>
                          <w:top w:val="single" w:sz="8" w:space="0" w:color="5FFF00"/>
                          <w:bottom w:val="single" w:sz="8" w:space="0" w:color="5FFF00"/>
                        </w:tcBorders>
                      </w:tcPr>
                      <w:p>
                        <w:pPr>
                          <w:pStyle w:val="TableParagraph"/>
                          <w:tabs>
                            <w:tab w:pos="3082" w:val="left" w:leader="none"/>
                            <w:tab w:pos="4306" w:val="left" w:leader="none"/>
                          </w:tabs>
                          <w:spacing w:before="4"/>
                          <w:ind w:left="386"/>
                          <w:jc w:val="left"/>
                          <w:rPr>
                            <w:rFonts w:ascii="Times New Roman"/>
                            <w:sz w:val="16"/>
                          </w:rPr>
                        </w:pPr>
                        <w:r>
                          <w:rPr>
                            <w:rFonts w:ascii="Times New Roman"/>
                            <w:b/>
                            <w:sz w:val="16"/>
                          </w:rPr>
                          <w:t>Embassy</w:t>
                        </w:r>
                        <w:r>
                          <w:rPr>
                            <w:rFonts w:ascii="Times New Roman"/>
                            <w:b/>
                            <w:spacing w:val="-2"/>
                            <w:sz w:val="16"/>
                          </w:rPr>
                          <w:t> </w:t>
                        </w:r>
                        <w:r>
                          <w:rPr>
                            <w:rFonts w:ascii="Times New Roman"/>
                            <w:b/>
                            <w:sz w:val="16"/>
                          </w:rPr>
                          <w:t>Qubix,</w:t>
                        </w:r>
                        <w:r>
                          <w:rPr>
                            <w:rFonts w:ascii="Times New Roman"/>
                            <w:b/>
                            <w:spacing w:val="-2"/>
                            <w:sz w:val="16"/>
                          </w:rPr>
                          <w:t> </w:t>
                        </w:r>
                        <w:r>
                          <w:rPr>
                            <w:rFonts w:ascii="Times New Roman"/>
                            <w:b/>
                            <w:sz w:val="16"/>
                          </w:rPr>
                          <w:t>Pune</w:t>
                          <w:tab/>
                        </w:r>
                        <w:r>
                          <w:rPr>
                            <w:rFonts w:ascii="Times New Roman"/>
                            <w:position w:val="10"/>
                            <w:sz w:val="16"/>
                          </w:rPr>
                          <w:t>Office</w:t>
                          <w:tab/>
                        </w:r>
                        <w:r>
                          <w:rPr>
                            <w:rFonts w:ascii="Times New Roman"/>
                            <w:sz w:val="16"/>
                          </w:rPr>
                          <w:t>Completed office - 1.5</w:t>
                        </w:r>
                        <w:r>
                          <w:rPr>
                            <w:rFonts w:ascii="Times New Roman"/>
                            <w:spacing w:val="-3"/>
                            <w:sz w:val="16"/>
                          </w:rPr>
                          <w:t> </w:t>
                        </w:r>
                        <w:r>
                          <w:rPr>
                            <w:rFonts w:ascii="Times New Roman"/>
                            <w:sz w:val="16"/>
                          </w:rPr>
                          <w:t>msf</w:t>
                        </w:r>
                      </w:p>
                    </w:tc>
                    <w:tc>
                      <w:tcPr>
                        <w:tcW w:w="1538" w:type="dxa"/>
                        <w:tcBorders>
                          <w:top w:val="single" w:sz="8" w:space="0" w:color="5FFF00"/>
                          <w:bottom w:val="single" w:sz="8" w:space="0" w:color="5FFF00"/>
                        </w:tcBorders>
                      </w:tcPr>
                      <w:p>
                        <w:pPr>
                          <w:pStyle w:val="TableParagraph"/>
                          <w:spacing w:before="104"/>
                          <w:ind w:left="24" w:right="18"/>
                          <w:rPr>
                            <w:rFonts w:ascii="Times New Roman"/>
                            <w:sz w:val="16"/>
                          </w:rPr>
                        </w:pPr>
                        <w:r>
                          <w:rPr>
                            <w:rFonts w:ascii="Times New Roman"/>
                            <w:sz w:val="16"/>
                          </w:rPr>
                          <w:t>10,085</w:t>
                        </w:r>
                      </w:p>
                    </w:tc>
                    <w:tc>
                      <w:tcPr>
                        <w:tcW w:w="1083" w:type="dxa"/>
                        <w:tcBorders>
                          <w:top w:val="single" w:sz="8" w:space="0" w:color="5FFF00"/>
                          <w:bottom w:val="single" w:sz="8" w:space="0" w:color="5FFF00"/>
                        </w:tcBorders>
                      </w:tcPr>
                      <w:p>
                        <w:pPr>
                          <w:pStyle w:val="TableParagraph"/>
                          <w:spacing w:before="104"/>
                          <w:ind w:left="57"/>
                          <w:rPr>
                            <w:rFonts w:ascii="Times New Roman"/>
                            <w:sz w:val="16"/>
                          </w:rPr>
                        </w:pPr>
                        <w:r>
                          <w:rPr>
                            <w:rFonts w:ascii="Times New Roman"/>
                            <w:w w:val="100"/>
                            <w:sz w:val="16"/>
                          </w:rPr>
                          <w:t>-</w:t>
                        </w:r>
                      </w:p>
                    </w:tc>
                    <w:tc>
                      <w:tcPr>
                        <w:tcW w:w="1075" w:type="dxa"/>
                        <w:tcBorders>
                          <w:top w:val="single" w:sz="8" w:space="0" w:color="5FFF00"/>
                          <w:bottom w:val="single" w:sz="8" w:space="0" w:color="5FFF00"/>
                        </w:tcBorders>
                      </w:tcPr>
                      <w:p>
                        <w:pPr>
                          <w:pStyle w:val="TableParagraph"/>
                          <w:spacing w:before="104"/>
                          <w:ind w:right="151"/>
                          <w:jc w:val="right"/>
                          <w:rPr>
                            <w:rFonts w:ascii="Times New Roman"/>
                            <w:b/>
                            <w:sz w:val="16"/>
                          </w:rPr>
                        </w:pPr>
                        <w:r>
                          <w:rPr>
                            <w:rFonts w:ascii="Times New Roman"/>
                            <w:b/>
                            <w:sz w:val="16"/>
                          </w:rPr>
                          <w:t>10,085</w:t>
                        </w:r>
                      </w:p>
                    </w:tc>
                  </w:tr>
                </w:tbl>
                <w:p>
                  <w:pPr>
                    <w:pStyle w:val="BodyText"/>
                  </w:pPr>
                </w:p>
              </w:txbxContent>
            </v:textbox>
            <w10:wrap type="none"/>
          </v:shape>
        </w:pict>
      </w:r>
      <w:r>
        <w:rPr>
          <w:rFonts w:ascii="Times New Roman"/>
          <w:b/>
          <w:sz w:val="16"/>
        </w:rPr>
        <w:t>Pune</w:t>
        <w:tab/>
      </w:r>
      <w:r>
        <w:rPr>
          <w:rFonts w:ascii="Times New Roman"/>
          <w:position w:val="1"/>
          <w:sz w:val="16"/>
        </w:rPr>
        <w:t>(IT/ ITeS</w:t>
      </w:r>
      <w:r>
        <w:rPr>
          <w:rFonts w:ascii="Times New Roman"/>
          <w:spacing w:val="3"/>
          <w:position w:val="1"/>
          <w:sz w:val="16"/>
        </w:rPr>
        <w:t> </w:t>
      </w:r>
      <w:r>
        <w:rPr>
          <w:rFonts w:ascii="Times New Roman"/>
          <w:position w:val="1"/>
          <w:sz w:val="16"/>
        </w:rPr>
        <w:t>SEZ)</w:t>
      </w:r>
    </w:p>
    <w:p>
      <w:pPr>
        <w:pStyle w:val="BodyText"/>
        <w:spacing w:before="5"/>
        <w:rPr>
          <w:rFonts w:ascii="Times New Roman"/>
          <w:sz w:val="10"/>
        </w:rPr>
      </w:pPr>
    </w:p>
    <w:p>
      <w:pPr>
        <w:spacing w:after="0"/>
        <w:rPr>
          <w:rFonts w:ascii="Times New Roman"/>
          <w:sz w:val="10"/>
        </w:rPr>
        <w:sectPr>
          <w:type w:val="continuous"/>
          <w:pgSz w:w="12240" w:h="15840"/>
          <w:pgMar w:top="800" w:bottom="280" w:left="620" w:right="580"/>
        </w:sectPr>
      </w:pPr>
    </w:p>
    <w:p>
      <w:pPr>
        <w:pStyle w:val="BodyText"/>
        <w:rPr>
          <w:rFonts w:ascii="Times New Roman"/>
          <w:sz w:val="18"/>
        </w:rPr>
      </w:pPr>
    </w:p>
    <w:p>
      <w:pPr>
        <w:spacing w:before="122"/>
        <w:ind w:left="1187" w:right="24" w:hanging="406"/>
        <w:jc w:val="left"/>
        <w:rPr>
          <w:rFonts w:ascii="Times New Roman"/>
          <w:b/>
          <w:sz w:val="16"/>
        </w:rPr>
      </w:pPr>
      <w:r>
        <w:rPr/>
        <w:pict>
          <v:shape style="position:absolute;margin-left:44.280003pt;margin-top:24.848722pt;width:523.4500pt;height:1pt;mso-position-horizontal-relative:page;mso-position-vertical-relative:paragraph;z-index:15748608" coordorigin="886,497" coordsize="10469,20" path="m5178,497l3156,497,3137,497,886,497,886,516,3137,516,3156,516,5178,516,5178,497xm5197,497l5178,497,5178,516,5197,516,5197,497xm7816,497l7797,497,5197,497,5197,516,7797,516,7816,516,7816,497xm8949,497l8930,497,7816,497,7816,516,8930,516,8949,516,8949,497xm11354,497l10486,497,10466,497,10466,497,8949,497,8949,516,10466,516,10466,516,10486,516,11354,516,11354,497xe" filled="true" fillcolor="#5fff00" stroked="false">
            <v:path arrowok="t"/>
            <v:fill type="solid"/>
            <w10:wrap type="none"/>
          </v:shape>
        </w:pict>
      </w:r>
      <w:r>
        <w:rPr>
          <w:rFonts w:ascii="Times New Roman"/>
          <w:b/>
          <w:sz w:val="16"/>
        </w:rPr>
        <w:t>Embassy Oxygen, Noida</w:t>
      </w:r>
    </w:p>
    <w:p>
      <w:pPr>
        <w:spacing w:before="94"/>
        <w:ind w:left="782" w:right="0" w:firstLine="0"/>
        <w:jc w:val="left"/>
        <w:rPr>
          <w:rFonts w:ascii="Times New Roman"/>
          <w:sz w:val="16"/>
        </w:rPr>
      </w:pPr>
      <w:r>
        <w:rPr/>
        <w:br w:type="column"/>
      </w:r>
      <w:r>
        <w:rPr>
          <w:rFonts w:ascii="Times New Roman"/>
          <w:sz w:val="16"/>
        </w:rPr>
        <w:t>(IT/ ITeS</w:t>
      </w:r>
      <w:r>
        <w:rPr>
          <w:rFonts w:ascii="Times New Roman"/>
          <w:spacing w:val="5"/>
          <w:sz w:val="16"/>
        </w:rPr>
        <w:t> </w:t>
      </w:r>
      <w:r>
        <w:rPr>
          <w:rFonts w:ascii="Times New Roman"/>
          <w:spacing w:val="-6"/>
          <w:sz w:val="16"/>
        </w:rPr>
        <w:t>SEZ)</w:t>
      </w:r>
    </w:p>
    <w:p>
      <w:pPr>
        <w:spacing w:before="39"/>
        <w:ind w:left="782" w:right="0" w:firstLine="285"/>
        <w:jc w:val="left"/>
        <w:rPr>
          <w:rFonts w:ascii="Times New Roman"/>
          <w:sz w:val="16"/>
        </w:rPr>
      </w:pPr>
      <w:r>
        <w:rPr>
          <w:rFonts w:ascii="Times New Roman"/>
          <w:sz w:val="16"/>
        </w:rPr>
        <w:t>Office (IT/ ITeS</w:t>
      </w:r>
      <w:r>
        <w:rPr>
          <w:rFonts w:ascii="Times New Roman"/>
          <w:spacing w:val="5"/>
          <w:sz w:val="16"/>
        </w:rPr>
        <w:t> </w:t>
      </w:r>
      <w:r>
        <w:rPr>
          <w:rFonts w:ascii="Times New Roman"/>
          <w:spacing w:val="-6"/>
          <w:sz w:val="16"/>
        </w:rPr>
        <w:t>SEZ)</w:t>
      </w:r>
    </w:p>
    <w:p>
      <w:pPr>
        <w:pStyle w:val="BodyText"/>
        <w:rPr>
          <w:rFonts w:ascii="Times New Roman"/>
          <w:sz w:val="18"/>
        </w:rPr>
      </w:pPr>
      <w:r>
        <w:rPr/>
        <w:br w:type="column"/>
      </w:r>
      <w:r>
        <w:rPr>
          <w:rFonts w:ascii="Times New Roman"/>
          <w:sz w:val="18"/>
        </w:rPr>
      </w:r>
    </w:p>
    <w:p>
      <w:pPr>
        <w:spacing w:before="122"/>
        <w:ind w:left="490" w:right="23" w:firstLine="0"/>
        <w:jc w:val="left"/>
        <w:rPr>
          <w:rFonts w:ascii="Times New Roman"/>
          <w:sz w:val="16"/>
        </w:rPr>
      </w:pPr>
      <w:r>
        <w:rPr>
          <w:rFonts w:ascii="Times New Roman"/>
          <w:sz w:val="16"/>
        </w:rPr>
        <w:t>Completed office - 2.5 msf Proposed/ UC office - 0.7 msf</w:t>
      </w:r>
    </w:p>
    <w:p>
      <w:pPr>
        <w:pStyle w:val="BodyText"/>
        <w:rPr>
          <w:rFonts w:ascii="Times New Roman"/>
          <w:sz w:val="18"/>
        </w:rPr>
      </w:pPr>
      <w:r>
        <w:rPr/>
        <w:br w:type="column"/>
      </w:r>
      <w:r>
        <w:rPr>
          <w:rFonts w:ascii="Times New Roman"/>
          <w:sz w:val="18"/>
        </w:rPr>
      </w:r>
    </w:p>
    <w:p>
      <w:pPr>
        <w:pStyle w:val="BodyText"/>
        <w:spacing w:before="6"/>
        <w:rPr>
          <w:rFonts w:ascii="Times New Roman"/>
          <w:sz w:val="18"/>
        </w:rPr>
      </w:pPr>
    </w:p>
    <w:p>
      <w:pPr>
        <w:tabs>
          <w:tab w:pos="2157" w:val="left" w:leader="none"/>
          <w:tab w:pos="3331" w:val="left" w:leader="none"/>
        </w:tabs>
        <w:spacing w:before="0"/>
        <w:ind w:left="782" w:right="0" w:firstLine="0"/>
        <w:jc w:val="left"/>
        <w:rPr>
          <w:rFonts w:ascii="Times New Roman"/>
          <w:b/>
          <w:sz w:val="16"/>
        </w:rPr>
      </w:pPr>
      <w:r>
        <w:rPr>
          <w:rFonts w:ascii="Times New Roman"/>
          <w:sz w:val="16"/>
        </w:rPr>
        <w:t>19,492</w:t>
        <w:tab/>
        <w:t>1,924</w:t>
        <w:tab/>
      </w:r>
      <w:r>
        <w:rPr>
          <w:rFonts w:ascii="Times New Roman"/>
          <w:b/>
          <w:sz w:val="16"/>
        </w:rPr>
        <w:t>21,416</w:t>
      </w:r>
    </w:p>
    <w:p>
      <w:pPr>
        <w:spacing w:after="0"/>
        <w:jc w:val="left"/>
        <w:rPr>
          <w:rFonts w:ascii="Times New Roman"/>
          <w:sz w:val="16"/>
        </w:rPr>
        <w:sectPr>
          <w:type w:val="continuous"/>
          <w:pgSz w:w="12240" w:h="15840"/>
          <w:pgMar w:top="800" w:bottom="280" w:left="620" w:right="580"/>
          <w:cols w:num="4" w:equalWidth="0">
            <w:col w:w="2043" w:space="223"/>
            <w:col w:w="1761" w:space="40"/>
            <w:col w:w="2462" w:space="284"/>
            <w:col w:w="4227"/>
          </w:cols>
        </w:sectPr>
      </w:pPr>
    </w:p>
    <w:p>
      <w:pPr>
        <w:spacing w:before="28"/>
        <w:ind w:left="1187" w:right="23" w:hanging="389"/>
        <w:jc w:val="left"/>
        <w:rPr>
          <w:rFonts w:ascii="Times New Roman"/>
          <w:b/>
          <w:sz w:val="16"/>
        </w:rPr>
      </w:pPr>
      <w:r>
        <w:rPr/>
        <w:pict>
          <v:shape style="position:absolute;margin-left:44.280003pt;margin-top:19.788736pt;width:523.4500pt;height:1pt;mso-position-horizontal-relative:page;mso-position-vertical-relative:paragraph;z-index:15749120" coordorigin="886,396" coordsize="10469,20" path="m5178,396l3156,396,3137,396,886,396,886,415,3137,415,3156,415,5178,415,5178,396xm5197,396l5178,396,5178,415,5197,415,5197,396xm7816,396l7797,396,5197,396,5197,415,7797,415,7816,415,7816,396xm8949,396l8930,396,7816,396,7816,415,8930,415,8949,415,8949,396xm11354,396l10486,396,10466,396,10466,396,8949,396,8949,415,10466,415,10466,415,10486,415,11354,415,11354,396xe" filled="true" fillcolor="#5fff00" stroked="false">
            <v:path arrowok="t"/>
            <v:fill type="solid"/>
            <w10:wrap type="none"/>
          </v:shape>
        </w:pict>
      </w:r>
      <w:r>
        <w:rPr>
          <w:rFonts w:ascii="Times New Roman"/>
          <w:b/>
          <w:sz w:val="16"/>
        </w:rPr>
        <w:t>Embassy Galaxy, Noida</w:t>
      </w:r>
    </w:p>
    <w:p>
      <w:pPr>
        <w:tabs>
          <w:tab w:pos="2404" w:val="left" w:leader="none"/>
          <w:tab w:pos="5479" w:val="left" w:leader="none"/>
          <w:tab w:pos="6970" w:val="left" w:leader="none"/>
          <w:tab w:pos="8028" w:val="left" w:leader="none"/>
        </w:tabs>
        <w:spacing w:before="122"/>
        <w:ind w:left="798" w:right="0" w:firstLine="0"/>
        <w:jc w:val="left"/>
        <w:rPr>
          <w:rFonts w:ascii="Times New Roman"/>
          <w:b/>
          <w:sz w:val="16"/>
        </w:rPr>
      </w:pPr>
      <w:r>
        <w:rPr/>
        <w:br w:type="column"/>
      </w:r>
      <w:r>
        <w:rPr>
          <w:rFonts w:ascii="Times New Roman"/>
          <w:sz w:val="16"/>
        </w:rPr>
        <w:t>Office (Non-SEZ)</w:t>
        <w:tab/>
        <w:t>Completed office -</w:t>
      </w:r>
      <w:r>
        <w:rPr>
          <w:rFonts w:ascii="Times New Roman"/>
          <w:spacing w:val="-4"/>
          <w:sz w:val="16"/>
        </w:rPr>
        <w:t> </w:t>
      </w:r>
      <w:r>
        <w:rPr>
          <w:rFonts w:ascii="Times New Roman"/>
          <w:sz w:val="16"/>
        </w:rPr>
        <w:t>1.4</w:t>
      </w:r>
      <w:r>
        <w:rPr>
          <w:rFonts w:ascii="Times New Roman"/>
          <w:spacing w:val="-2"/>
          <w:sz w:val="16"/>
        </w:rPr>
        <w:t> </w:t>
      </w:r>
      <w:r>
        <w:rPr>
          <w:rFonts w:ascii="Times New Roman"/>
          <w:sz w:val="16"/>
        </w:rPr>
        <w:t>msf</w:t>
        <w:tab/>
        <w:t>8,696</w:t>
        <w:tab/>
        <w:t>-</w:t>
        <w:tab/>
      </w:r>
      <w:r>
        <w:rPr>
          <w:rFonts w:ascii="Times New Roman"/>
          <w:b/>
          <w:sz w:val="16"/>
        </w:rPr>
        <w:t>8,696</w:t>
      </w:r>
    </w:p>
    <w:p>
      <w:pPr>
        <w:spacing w:after="0"/>
        <w:jc w:val="left"/>
        <w:rPr>
          <w:rFonts w:ascii="Times New Roman"/>
          <w:sz w:val="16"/>
        </w:rPr>
        <w:sectPr>
          <w:type w:val="continuous"/>
          <w:pgSz w:w="12240" w:h="15840"/>
          <w:pgMar w:top="800" w:bottom="280" w:left="620" w:right="580"/>
          <w:cols w:num="2" w:equalWidth="0">
            <w:col w:w="2024" w:space="130"/>
            <w:col w:w="8886"/>
          </w:cols>
        </w:sectPr>
      </w:pPr>
    </w:p>
    <w:p>
      <w:pPr>
        <w:spacing w:before="112"/>
        <w:ind w:left="1031" w:right="-16" w:hanging="130"/>
        <w:jc w:val="left"/>
        <w:rPr>
          <w:rFonts w:ascii="Times New Roman"/>
          <w:b/>
          <w:sz w:val="16"/>
        </w:rPr>
      </w:pPr>
      <w:r>
        <w:rPr>
          <w:rFonts w:ascii="Times New Roman"/>
          <w:b/>
          <w:sz w:val="16"/>
        </w:rPr>
        <w:t>Embassy One, Bengaluru</w:t>
      </w:r>
    </w:p>
    <w:p>
      <w:pPr>
        <w:spacing w:before="21"/>
        <w:ind w:left="765" w:right="0" w:firstLine="0"/>
        <w:jc w:val="center"/>
        <w:rPr>
          <w:rFonts w:ascii="Times New Roman"/>
          <w:sz w:val="16"/>
        </w:rPr>
      </w:pPr>
      <w:r>
        <w:rPr/>
        <w:br w:type="column"/>
      </w:r>
      <w:r>
        <w:rPr>
          <w:rFonts w:ascii="Times New Roman"/>
          <w:sz w:val="16"/>
        </w:rPr>
        <w:t>Mixed-use</w:t>
      </w:r>
    </w:p>
    <w:p>
      <w:pPr>
        <w:spacing w:before="1"/>
        <w:ind w:left="765" w:right="0" w:firstLine="0"/>
        <w:jc w:val="center"/>
        <w:rPr>
          <w:rFonts w:ascii="Times New Roman"/>
          <w:sz w:val="16"/>
        </w:rPr>
      </w:pPr>
      <w:r>
        <w:rPr/>
        <w:pict>
          <v:shape style="position:absolute;margin-left:44.280003pt;margin-top:18.318745pt;width:523.4500pt;height:1pt;mso-position-horizontal-relative:page;mso-position-vertical-relative:paragraph;z-index:15749632" coordorigin="886,366" coordsize="10469,20" path="m5178,366l3156,366,3137,366,886,366,886,386,3137,386,3156,386,5178,386,5178,366xm5197,366l5178,366,5178,386,5197,386,5197,366xm7816,366l7797,366,5197,366,5197,386,7797,386,7816,386,7816,366xm8949,366l8930,366,7816,366,7816,386,8930,386,8949,386,8949,366xm11354,366l10486,366,10466,366,10466,366,8949,366,8949,386,10466,386,10466,386,10486,386,11354,386,11354,366xe" filled="true" fillcolor="#5fff00" stroked="false">
            <v:path arrowok="t"/>
            <v:fill type="solid"/>
            <w10:wrap type="none"/>
          </v:shape>
        </w:pict>
      </w:r>
      <w:r>
        <w:rPr>
          <w:rFonts w:ascii="Times New Roman"/>
          <w:sz w:val="16"/>
        </w:rPr>
        <w:t>(Office (Non-SEZ), Hotel, Retail)</w:t>
      </w:r>
    </w:p>
    <w:p>
      <w:pPr>
        <w:tabs>
          <w:tab w:pos="3168" w:val="left" w:leader="none"/>
          <w:tab w:pos="4697" w:val="left" w:leader="none"/>
          <w:tab w:pos="5717" w:val="left" w:leader="none"/>
        </w:tabs>
        <w:spacing w:line="153" w:lineRule="auto" w:before="134"/>
        <w:ind w:left="131" w:right="0" w:firstLine="0"/>
        <w:jc w:val="left"/>
        <w:rPr>
          <w:rFonts w:ascii="Times New Roman"/>
          <w:b/>
          <w:sz w:val="16"/>
        </w:rPr>
      </w:pPr>
      <w:r>
        <w:rPr/>
        <w:br w:type="column"/>
      </w:r>
      <w:r>
        <w:rPr>
          <w:rFonts w:ascii="Times New Roman"/>
          <w:sz w:val="16"/>
        </w:rPr>
        <w:t>Office &amp; Retail -</w:t>
      </w:r>
      <w:r>
        <w:rPr>
          <w:rFonts w:ascii="Times New Roman"/>
          <w:spacing w:val="-3"/>
          <w:sz w:val="16"/>
        </w:rPr>
        <w:t> </w:t>
      </w:r>
      <w:r>
        <w:rPr>
          <w:rFonts w:ascii="Times New Roman"/>
          <w:sz w:val="16"/>
        </w:rPr>
        <w:t>0.3</w:t>
      </w:r>
      <w:r>
        <w:rPr>
          <w:rFonts w:ascii="Times New Roman"/>
          <w:spacing w:val="-2"/>
          <w:sz w:val="16"/>
        </w:rPr>
        <w:t> </w:t>
      </w:r>
      <w:r>
        <w:rPr>
          <w:rFonts w:ascii="Times New Roman"/>
          <w:sz w:val="16"/>
        </w:rPr>
        <w:t>msf</w:t>
        <w:tab/>
      </w:r>
      <w:r>
        <w:rPr>
          <w:rFonts w:ascii="Times New Roman"/>
          <w:position w:val="-8"/>
          <w:sz w:val="16"/>
        </w:rPr>
        <w:t>12,570</w:t>
        <w:tab/>
        <w:t>-</w:t>
        <w:tab/>
      </w:r>
      <w:r>
        <w:rPr>
          <w:rFonts w:ascii="Times New Roman"/>
          <w:b/>
          <w:position w:val="-8"/>
          <w:sz w:val="16"/>
        </w:rPr>
        <w:t>12,570</w:t>
      </w:r>
    </w:p>
    <w:p>
      <w:pPr>
        <w:spacing w:line="140" w:lineRule="exact" w:before="0"/>
        <w:ind w:left="131" w:right="0" w:firstLine="0"/>
        <w:jc w:val="left"/>
        <w:rPr>
          <w:rFonts w:ascii="Times New Roman"/>
          <w:sz w:val="16"/>
        </w:rPr>
      </w:pPr>
      <w:r>
        <w:rPr>
          <w:rFonts w:ascii="Times New Roman"/>
          <w:sz w:val="16"/>
        </w:rPr>
        <w:t>Hotel (5 star) - 230 Keys</w:t>
      </w:r>
    </w:p>
    <w:p>
      <w:pPr>
        <w:spacing w:after="0" w:line="140" w:lineRule="exact"/>
        <w:jc w:val="left"/>
        <w:rPr>
          <w:rFonts w:ascii="Times New Roman"/>
          <w:sz w:val="16"/>
        </w:rPr>
        <w:sectPr>
          <w:type w:val="continuous"/>
          <w:pgSz w:w="12240" w:h="15840"/>
          <w:pgMar w:top="800" w:bottom="280" w:left="620" w:right="580"/>
          <w:cols w:num="3" w:equalWidth="0">
            <w:col w:w="1883" w:space="40"/>
            <w:col w:w="2464" w:space="39"/>
            <w:col w:w="6614"/>
          </w:cols>
        </w:sectPr>
      </w:pPr>
    </w:p>
    <w:p>
      <w:pPr>
        <w:spacing w:line="254" w:lineRule="auto" w:before="18"/>
        <w:ind w:left="645" w:right="38" w:hanging="8"/>
        <w:jc w:val="center"/>
        <w:rPr>
          <w:rFonts w:ascii="Times New Roman"/>
          <w:b/>
          <w:sz w:val="16"/>
        </w:rPr>
      </w:pPr>
      <w:r>
        <w:rPr/>
        <w:pict>
          <v:shape style="position:absolute;margin-left:44.280003pt;margin-top:19.309738pt;width:523.4500pt;height:1pt;mso-position-horizontal-relative:page;mso-position-vertical-relative:paragraph;z-index:-34877952" coordorigin="886,386" coordsize="10469,20" path="m5178,386l3156,386,3137,386,886,386,886,405,3137,405,3156,405,5178,405,5178,386xm5197,386l5178,386,5178,405,5197,405,5197,386xm7816,386l7797,386,5197,386,5197,405,7797,405,7816,405,7816,386xm8949,386l8930,386,7816,386,7816,405,8930,405,8949,405,8949,386xm11354,386l10486,386,10466,386,10466,386,8949,386,8949,405,10466,405,10466,405,10486,405,11354,405,11354,386xe" filled="true" fillcolor="#5fff00" stroked="false">
            <v:path arrowok="t"/>
            <v:fill type="solid"/>
            <w10:wrap type="none"/>
          </v:shape>
        </w:pict>
      </w:r>
      <w:r>
        <w:rPr>
          <w:rFonts w:ascii="Times New Roman"/>
          <w:b/>
          <w:sz w:val="16"/>
        </w:rPr>
        <w:t>Hilton at Embassy GolfLinks, Bengaluru Embassy Energy,</w:t>
      </w:r>
    </w:p>
    <w:p>
      <w:pPr>
        <w:tabs>
          <w:tab w:pos="1842" w:val="left" w:leader="none"/>
          <w:tab w:pos="4918" w:val="left" w:leader="none"/>
          <w:tab w:pos="6408" w:val="left" w:leader="none"/>
          <w:tab w:pos="7467" w:val="left" w:leader="none"/>
        </w:tabs>
        <w:spacing w:before="112"/>
        <w:ind w:left="645" w:right="0" w:firstLine="0"/>
        <w:jc w:val="left"/>
        <w:rPr>
          <w:rFonts w:ascii="Times New Roman"/>
          <w:b/>
          <w:sz w:val="16"/>
        </w:rPr>
      </w:pPr>
      <w:r>
        <w:rPr/>
        <w:br w:type="column"/>
      </w:r>
      <w:r>
        <w:rPr>
          <w:rFonts w:ascii="Times New Roman"/>
          <w:sz w:val="16"/>
        </w:rPr>
        <w:t>Hotel</w:t>
        <w:tab/>
        <w:t>Hotel (5 star) -</w:t>
      </w:r>
      <w:r>
        <w:rPr>
          <w:rFonts w:ascii="Times New Roman"/>
          <w:spacing w:val="-4"/>
          <w:sz w:val="16"/>
        </w:rPr>
        <w:t> </w:t>
      </w:r>
      <w:r>
        <w:rPr>
          <w:rFonts w:ascii="Times New Roman"/>
          <w:sz w:val="16"/>
        </w:rPr>
        <w:t>247</w:t>
      </w:r>
      <w:r>
        <w:rPr>
          <w:rFonts w:ascii="Times New Roman"/>
          <w:spacing w:val="-2"/>
          <w:sz w:val="16"/>
        </w:rPr>
        <w:t> </w:t>
      </w:r>
      <w:r>
        <w:rPr>
          <w:rFonts w:ascii="Times New Roman"/>
          <w:sz w:val="16"/>
        </w:rPr>
        <w:t>Keys</w:t>
        <w:tab/>
        <w:t>4,436</w:t>
        <w:tab/>
        <w:t>-</w:t>
        <w:tab/>
      </w:r>
      <w:r>
        <w:rPr>
          <w:rFonts w:ascii="Times New Roman"/>
          <w:b/>
          <w:sz w:val="16"/>
        </w:rPr>
        <w:t>4,436</w:t>
      </w:r>
    </w:p>
    <w:p>
      <w:pPr>
        <w:pStyle w:val="BodyText"/>
        <w:spacing w:before="7"/>
        <w:rPr>
          <w:rFonts w:ascii="Times New Roman"/>
          <w:b/>
          <w:sz w:val="17"/>
        </w:rPr>
      </w:pPr>
    </w:p>
    <w:p>
      <w:pPr>
        <w:spacing w:line="100" w:lineRule="exact" w:before="0"/>
        <w:ind w:left="1842" w:right="0" w:firstLine="0"/>
        <w:jc w:val="left"/>
        <w:rPr>
          <w:rFonts w:ascii="Times New Roman"/>
          <w:sz w:val="16"/>
        </w:rPr>
      </w:pPr>
      <w:r>
        <w:rPr/>
        <w:pict>
          <v:shape style="position:absolute;margin-left:43.560001pt;margin-top:14.104186pt;width:524.2pt;height:47.85pt;mso-position-horizontal-relative:page;mso-position-vertical-relative:paragraph;z-index:1575168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8"/>
                    <w:gridCol w:w="1631"/>
                    <w:gridCol w:w="2581"/>
                    <w:gridCol w:w="1580"/>
                    <w:gridCol w:w="1234"/>
                    <w:gridCol w:w="998"/>
                  </w:tblGrid>
                  <w:tr>
                    <w:trPr>
                      <w:trHeight w:val="176" w:hRule="atLeast"/>
                    </w:trPr>
                    <w:tc>
                      <w:tcPr>
                        <w:tcW w:w="2458" w:type="dxa"/>
                        <w:tcBorders>
                          <w:bottom w:val="single" w:sz="8" w:space="0" w:color="5FFF00"/>
                        </w:tcBorders>
                      </w:tcPr>
                      <w:p>
                        <w:pPr>
                          <w:pStyle w:val="TableParagraph"/>
                          <w:spacing w:line="156" w:lineRule="exact"/>
                          <w:ind w:left="45" w:right="222"/>
                          <w:rPr>
                            <w:rFonts w:ascii="Times New Roman"/>
                            <w:b/>
                            <w:sz w:val="16"/>
                          </w:rPr>
                        </w:pPr>
                        <w:r>
                          <w:rPr>
                            <w:rFonts w:ascii="Times New Roman"/>
                            <w:b/>
                            <w:sz w:val="16"/>
                          </w:rPr>
                          <w:t>Karnataka</w:t>
                        </w:r>
                      </w:p>
                    </w:tc>
                    <w:tc>
                      <w:tcPr>
                        <w:tcW w:w="8024" w:type="dxa"/>
                        <w:gridSpan w:val="5"/>
                        <w:tcBorders>
                          <w:bottom w:val="single" w:sz="8" w:space="0" w:color="5FFF00"/>
                        </w:tcBorders>
                      </w:tcPr>
                      <w:p>
                        <w:pPr>
                          <w:pStyle w:val="TableParagraph"/>
                          <w:jc w:val="left"/>
                          <w:rPr>
                            <w:rFonts w:ascii="Times New Roman"/>
                            <w:sz w:val="10"/>
                          </w:rPr>
                        </w:pPr>
                      </w:p>
                    </w:tc>
                  </w:tr>
                  <w:tr>
                    <w:trPr>
                      <w:trHeight w:val="183" w:hRule="atLeast"/>
                    </w:trPr>
                    <w:tc>
                      <w:tcPr>
                        <w:tcW w:w="2458" w:type="dxa"/>
                        <w:tcBorders>
                          <w:top w:val="single" w:sz="8" w:space="0" w:color="5FFF00"/>
                          <w:bottom w:val="single" w:sz="8" w:space="0" w:color="5FFF00"/>
                        </w:tcBorders>
                        <w:shd w:val="clear" w:color="auto" w:fill="D5F7AE"/>
                      </w:tcPr>
                      <w:p>
                        <w:pPr>
                          <w:pStyle w:val="TableParagraph"/>
                          <w:spacing w:line="163" w:lineRule="exact" w:before="1"/>
                          <w:ind w:left="47" w:right="222"/>
                          <w:rPr>
                            <w:rFonts w:ascii="Times New Roman" w:hAnsi="Times New Roman"/>
                            <w:b/>
                            <w:sz w:val="16"/>
                          </w:rPr>
                        </w:pPr>
                        <w:r>
                          <w:rPr>
                            <w:rFonts w:ascii="Times New Roman" w:hAnsi="Times New Roman"/>
                            <w:b/>
                            <w:sz w:val="16"/>
                          </w:rPr>
                          <w:t>Total – 100% owned assets</w:t>
                        </w:r>
                      </w:p>
                    </w:tc>
                    <w:tc>
                      <w:tcPr>
                        <w:tcW w:w="1631" w:type="dxa"/>
                        <w:tcBorders>
                          <w:top w:val="single" w:sz="8" w:space="0" w:color="5FFF00"/>
                          <w:bottom w:val="single" w:sz="8" w:space="0" w:color="5FFF00"/>
                        </w:tcBorders>
                        <w:shd w:val="clear" w:color="auto" w:fill="D5F7AE"/>
                      </w:tcPr>
                      <w:p>
                        <w:pPr>
                          <w:pStyle w:val="TableParagraph"/>
                          <w:jc w:val="left"/>
                          <w:rPr>
                            <w:rFonts w:ascii="Times New Roman"/>
                            <w:sz w:val="12"/>
                          </w:rPr>
                        </w:pPr>
                      </w:p>
                    </w:tc>
                    <w:tc>
                      <w:tcPr>
                        <w:tcW w:w="2581" w:type="dxa"/>
                        <w:tcBorders>
                          <w:top w:val="single" w:sz="8" w:space="0" w:color="5FFF00"/>
                          <w:bottom w:val="single" w:sz="8" w:space="0" w:color="5FFF00"/>
                        </w:tcBorders>
                        <w:shd w:val="clear" w:color="auto" w:fill="D5F7AE"/>
                      </w:tcPr>
                      <w:p>
                        <w:pPr>
                          <w:pStyle w:val="TableParagraph"/>
                          <w:jc w:val="left"/>
                          <w:rPr>
                            <w:rFonts w:ascii="Times New Roman"/>
                            <w:sz w:val="12"/>
                          </w:rPr>
                        </w:pPr>
                      </w:p>
                    </w:tc>
                    <w:tc>
                      <w:tcPr>
                        <w:tcW w:w="1580" w:type="dxa"/>
                        <w:tcBorders>
                          <w:top w:val="single" w:sz="8" w:space="0" w:color="5FFF00"/>
                          <w:bottom w:val="single" w:sz="8" w:space="0" w:color="5FFF00"/>
                        </w:tcBorders>
                        <w:shd w:val="clear" w:color="auto" w:fill="D5F7AE"/>
                      </w:tcPr>
                      <w:p>
                        <w:pPr>
                          <w:pStyle w:val="TableParagraph"/>
                          <w:spacing w:line="163" w:lineRule="exact" w:before="1"/>
                          <w:ind w:right="423"/>
                          <w:jc w:val="right"/>
                          <w:rPr>
                            <w:rFonts w:ascii="Times New Roman"/>
                            <w:b/>
                            <w:sz w:val="16"/>
                          </w:rPr>
                        </w:pPr>
                        <w:r>
                          <w:rPr>
                            <w:rFonts w:ascii="Times New Roman"/>
                            <w:b/>
                            <w:sz w:val="16"/>
                          </w:rPr>
                          <w:t>272,688</w:t>
                        </w:r>
                      </w:p>
                    </w:tc>
                    <w:tc>
                      <w:tcPr>
                        <w:tcW w:w="1234" w:type="dxa"/>
                        <w:tcBorders>
                          <w:top w:val="single" w:sz="8" w:space="0" w:color="5FFF00"/>
                          <w:bottom w:val="single" w:sz="8" w:space="0" w:color="5FFF00"/>
                        </w:tcBorders>
                        <w:shd w:val="clear" w:color="auto" w:fill="D5F7AE"/>
                      </w:tcPr>
                      <w:p>
                        <w:pPr>
                          <w:pStyle w:val="TableParagraph"/>
                          <w:spacing w:line="163" w:lineRule="exact" w:before="1"/>
                          <w:ind w:left="408" w:right="346"/>
                          <w:rPr>
                            <w:rFonts w:ascii="Times New Roman"/>
                            <w:b/>
                            <w:sz w:val="16"/>
                          </w:rPr>
                        </w:pPr>
                        <w:r>
                          <w:rPr>
                            <w:rFonts w:ascii="Times New Roman"/>
                            <w:b/>
                            <w:sz w:val="16"/>
                          </w:rPr>
                          <w:t>31,981</w:t>
                        </w:r>
                      </w:p>
                    </w:tc>
                    <w:tc>
                      <w:tcPr>
                        <w:tcW w:w="998" w:type="dxa"/>
                        <w:tcBorders>
                          <w:top w:val="single" w:sz="8" w:space="0" w:color="5FFF00"/>
                          <w:bottom w:val="single" w:sz="8" w:space="0" w:color="5FFF00"/>
                        </w:tcBorders>
                        <w:shd w:val="clear" w:color="auto" w:fill="D5F7AE"/>
                      </w:tcPr>
                      <w:p>
                        <w:pPr>
                          <w:pStyle w:val="TableParagraph"/>
                          <w:spacing w:line="163" w:lineRule="exact" w:before="1"/>
                          <w:ind w:right="106"/>
                          <w:jc w:val="right"/>
                          <w:rPr>
                            <w:rFonts w:ascii="Times New Roman"/>
                            <w:b/>
                            <w:sz w:val="16"/>
                          </w:rPr>
                        </w:pPr>
                        <w:r>
                          <w:rPr>
                            <w:rFonts w:ascii="Times New Roman"/>
                            <w:b/>
                            <w:sz w:val="16"/>
                          </w:rPr>
                          <w:t>304,669</w:t>
                        </w:r>
                      </w:p>
                    </w:tc>
                  </w:tr>
                  <w:tr>
                    <w:trPr>
                      <w:trHeight w:val="340" w:hRule="atLeast"/>
                    </w:trPr>
                    <w:tc>
                      <w:tcPr>
                        <w:tcW w:w="2458" w:type="dxa"/>
                        <w:tcBorders>
                          <w:top w:val="single" w:sz="8" w:space="0" w:color="5FFF00"/>
                          <w:bottom w:val="single" w:sz="8" w:space="0" w:color="5FFF00"/>
                        </w:tcBorders>
                      </w:tcPr>
                      <w:p>
                        <w:pPr>
                          <w:pStyle w:val="TableParagraph"/>
                          <w:spacing w:before="80"/>
                          <w:ind w:left="47" w:right="222"/>
                          <w:rPr>
                            <w:rFonts w:ascii="Times New Roman"/>
                            <w:b/>
                            <w:sz w:val="16"/>
                          </w:rPr>
                        </w:pPr>
                        <w:r>
                          <w:rPr>
                            <w:rFonts w:ascii="Times New Roman"/>
                            <w:b/>
                            <w:sz w:val="16"/>
                          </w:rPr>
                          <w:t>Embassy GolfLinks, Bengaluru</w:t>
                        </w:r>
                      </w:p>
                    </w:tc>
                    <w:tc>
                      <w:tcPr>
                        <w:tcW w:w="1631" w:type="dxa"/>
                        <w:tcBorders>
                          <w:top w:val="single" w:sz="8" w:space="0" w:color="5FFF00"/>
                          <w:bottom w:val="single" w:sz="8" w:space="0" w:color="5FFF00"/>
                        </w:tcBorders>
                      </w:tcPr>
                      <w:p>
                        <w:pPr>
                          <w:pStyle w:val="TableParagraph"/>
                          <w:spacing w:before="80"/>
                          <w:ind w:left="243"/>
                          <w:jc w:val="left"/>
                          <w:rPr>
                            <w:rFonts w:ascii="Times New Roman"/>
                            <w:sz w:val="16"/>
                          </w:rPr>
                        </w:pPr>
                        <w:r>
                          <w:rPr>
                            <w:rFonts w:ascii="Times New Roman"/>
                            <w:sz w:val="16"/>
                          </w:rPr>
                          <w:t>Office (Non-SEZ)</w:t>
                        </w:r>
                      </w:p>
                    </w:tc>
                    <w:tc>
                      <w:tcPr>
                        <w:tcW w:w="2581" w:type="dxa"/>
                        <w:tcBorders>
                          <w:top w:val="single" w:sz="8" w:space="0" w:color="5FFF00"/>
                          <w:bottom w:val="single" w:sz="8" w:space="0" w:color="5FFF00"/>
                        </w:tcBorders>
                      </w:tcPr>
                      <w:p>
                        <w:pPr>
                          <w:pStyle w:val="TableParagraph"/>
                          <w:spacing w:before="80"/>
                          <w:ind w:left="217"/>
                          <w:jc w:val="left"/>
                          <w:rPr>
                            <w:rFonts w:ascii="Times New Roman"/>
                            <w:sz w:val="16"/>
                          </w:rPr>
                        </w:pPr>
                        <w:r>
                          <w:rPr>
                            <w:rFonts w:ascii="Times New Roman"/>
                            <w:sz w:val="16"/>
                          </w:rPr>
                          <w:t>Completed office - 2.7 msf</w:t>
                        </w:r>
                      </w:p>
                    </w:tc>
                    <w:tc>
                      <w:tcPr>
                        <w:tcW w:w="1580" w:type="dxa"/>
                        <w:tcBorders>
                          <w:top w:val="single" w:sz="8" w:space="0" w:color="5FFF00"/>
                          <w:bottom w:val="single" w:sz="8" w:space="0" w:color="5FFF00"/>
                        </w:tcBorders>
                      </w:tcPr>
                      <w:p>
                        <w:pPr>
                          <w:pStyle w:val="TableParagraph"/>
                          <w:spacing w:before="80"/>
                          <w:ind w:right="464"/>
                          <w:jc w:val="right"/>
                          <w:rPr>
                            <w:rFonts w:ascii="Times New Roman"/>
                            <w:sz w:val="16"/>
                          </w:rPr>
                        </w:pPr>
                        <w:r>
                          <w:rPr>
                            <w:rFonts w:ascii="Times New Roman"/>
                            <w:sz w:val="16"/>
                          </w:rPr>
                          <w:t>27,014</w:t>
                        </w:r>
                      </w:p>
                    </w:tc>
                    <w:tc>
                      <w:tcPr>
                        <w:tcW w:w="1234" w:type="dxa"/>
                        <w:tcBorders>
                          <w:top w:val="single" w:sz="8" w:space="0" w:color="5FFF00"/>
                          <w:bottom w:val="single" w:sz="8" w:space="0" w:color="5FFF00"/>
                        </w:tcBorders>
                      </w:tcPr>
                      <w:p>
                        <w:pPr>
                          <w:pStyle w:val="TableParagraph"/>
                          <w:spacing w:before="80"/>
                          <w:ind w:left="64"/>
                          <w:rPr>
                            <w:rFonts w:ascii="Times New Roman"/>
                            <w:sz w:val="16"/>
                          </w:rPr>
                        </w:pPr>
                        <w:r>
                          <w:rPr>
                            <w:rFonts w:ascii="Times New Roman"/>
                            <w:w w:val="100"/>
                            <w:sz w:val="16"/>
                          </w:rPr>
                          <w:t>-</w:t>
                        </w:r>
                      </w:p>
                    </w:tc>
                    <w:tc>
                      <w:tcPr>
                        <w:tcW w:w="998" w:type="dxa"/>
                        <w:tcBorders>
                          <w:top w:val="single" w:sz="8" w:space="0" w:color="5FFF00"/>
                          <w:bottom w:val="single" w:sz="8" w:space="0" w:color="5FFF00"/>
                        </w:tcBorders>
                      </w:tcPr>
                      <w:p>
                        <w:pPr>
                          <w:pStyle w:val="TableParagraph"/>
                          <w:spacing w:before="80"/>
                          <w:ind w:right="125"/>
                          <w:jc w:val="right"/>
                          <w:rPr>
                            <w:rFonts w:ascii="Times New Roman"/>
                            <w:b/>
                            <w:sz w:val="9"/>
                          </w:rPr>
                        </w:pPr>
                        <w:r>
                          <w:rPr>
                            <w:rFonts w:ascii="Times New Roman"/>
                            <w:b/>
                            <w:sz w:val="16"/>
                          </w:rPr>
                          <w:t>27,014</w:t>
                        </w:r>
                        <w:r>
                          <w:rPr>
                            <w:rFonts w:ascii="Times New Roman"/>
                            <w:b/>
                            <w:position w:val="5"/>
                            <w:sz w:val="9"/>
                          </w:rPr>
                          <w:t>1</w:t>
                        </w:r>
                      </w:p>
                    </w:tc>
                  </w:tr>
                  <w:tr>
                    <w:trPr>
                      <w:trHeight w:val="196" w:hRule="atLeast"/>
                    </w:trPr>
                    <w:tc>
                      <w:tcPr>
                        <w:tcW w:w="2458" w:type="dxa"/>
                        <w:shd w:val="clear" w:color="auto" w:fill="5FFF00"/>
                      </w:tcPr>
                      <w:p>
                        <w:pPr>
                          <w:pStyle w:val="TableParagraph"/>
                          <w:spacing w:line="175" w:lineRule="exact" w:before="1"/>
                          <w:ind w:left="47" w:right="221"/>
                          <w:rPr>
                            <w:rFonts w:ascii="Times New Roman"/>
                            <w:b/>
                            <w:sz w:val="16"/>
                          </w:rPr>
                        </w:pPr>
                        <w:r>
                          <w:rPr>
                            <w:rFonts w:ascii="Times New Roman"/>
                            <w:b/>
                            <w:color w:val="FFFFFF"/>
                            <w:sz w:val="16"/>
                          </w:rPr>
                          <w:t>Total</w:t>
                        </w:r>
                      </w:p>
                    </w:tc>
                    <w:tc>
                      <w:tcPr>
                        <w:tcW w:w="1631" w:type="dxa"/>
                        <w:shd w:val="clear" w:color="auto" w:fill="5FFF00"/>
                      </w:tcPr>
                      <w:p>
                        <w:pPr>
                          <w:pStyle w:val="TableParagraph"/>
                          <w:jc w:val="left"/>
                          <w:rPr>
                            <w:rFonts w:ascii="Times New Roman"/>
                            <w:sz w:val="12"/>
                          </w:rPr>
                        </w:pPr>
                      </w:p>
                    </w:tc>
                    <w:tc>
                      <w:tcPr>
                        <w:tcW w:w="2581" w:type="dxa"/>
                        <w:shd w:val="clear" w:color="auto" w:fill="5FFF00"/>
                      </w:tcPr>
                      <w:p>
                        <w:pPr>
                          <w:pStyle w:val="TableParagraph"/>
                          <w:jc w:val="left"/>
                          <w:rPr>
                            <w:rFonts w:ascii="Times New Roman"/>
                            <w:sz w:val="12"/>
                          </w:rPr>
                        </w:pPr>
                      </w:p>
                    </w:tc>
                    <w:tc>
                      <w:tcPr>
                        <w:tcW w:w="1580" w:type="dxa"/>
                        <w:shd w:val="clear" w:color="auto" w:fill="5FFF00"/>
                      </w:tcPr>
                      <w:p>
                        <w:pPr>
                          <w:pStyle w:val="TableParagraph"/>
                          <w:spacing w:line="175" w:lineRule="exact" w:before="1"/>
                          <w:ind w:right="423"/>
                          <w:jc w:val="right"/>
                          <w:rPr>
                            <w:rFonts w:ascii="Times New Roman"/>
                            <w:b/>
                            <w:sz w:val="16"/>
                          </w:rPr>
                        </w:pPr>
                        <w:r>
                          <w:rPr>
                            <w:rFonts w:ascii="Times New Roman"/>
                            <w:b/>
                            <w:color w:val="FFFFFF"/>
                            <w:sz w:val="16"/>
                          </w:rPr>
                          <w:t>299,702</w:t>
                        </w:r>
                      </w:p>
                    </w:tc>
                    <w:tc>
                      <w:tcPr>
                        <w:tcW w:w="1234" w:type="dxa"/>
                        <w:shd w:val="clear" w:color="auto" w:fill="5FFF00"/>
                      </w:tcPr>
                      <w:p>
                        <w:pPr>
                          <w:pStyle w:val="TableParagraph"/>
                          <w:spacing w:line="175" w:lineRule="exact" w:before="1"/>
                          <w:ind w:left="408" w:right="346"/>
                          <w:rPr>
                            <w:rFonts w:ascii="Times New Roman"/>
                            <w:b/>
                            <w:sz w:val="16"/>
                          </w:rPr>
                        </w:pPr>
                        <w:r>
                          <w:rPr>
                            <w:rFonts w:ascii="Times New Roman"/>
                            <w:b/>
                            <w:color w:val="FFFFFF"/>
                            <w:sz w:val="16"/>
                          </w:rPr>
                          <w:t>31,981</w:t>
                        </w:r>
                      </w:p>
                    </w:tc>
                    <w:tc>
                      <w:tcPr>
                        <w:tcW w:w="998" w:type="dxa"/>
                        <w:shd w:val="clear" w:color="auto" w:fill="5FFF00"/>
                      </w:tcPr>
                      <w:p>
                        <w:pPr>
                          <w:pStyle w:val="TableParagraph"/>
                          <w:spacing w:line="175" w:lineRule="exact" w:before="1"/>
                          <w:ind w:right="106"/>
                          <w:jc w:val="right"/>
                          <w:rPr>
                            <w:rFonts w:ascii="Times New Roman"/>
                            <w:b/>
                            <w:sz w:val="16"/>
                          </w:rPr>
                        </w:pPr>
                        <w:r>
                          <w:rPr>
                            <w:rFonts w:ascii="Times New Roman"/>
                            <w:b/>
                            <w:color w:val="FFFFFF"/>
                            <w:sz w:val="16"/>
                          </w:rPr>
                          <w:t>331,683</w:t>
                        </w:r>
                      </w:p>
                    </w:tc>
                  </w:tr>
                </w:tbl>
                <w:p>
                  <w:pPr>
                    <w:pStyle w:val="BodyText"/>
                  </w:pPr>
                </w:p>
              </w:txbxContent>
            </v:textbox>
            <w10:wrap type="none"/>
          </v:shape>
        </w:pict>
      </w:r>
      <w:r>
        <w:rPr>
          <w:rFonts w:ascii="Times New Roman"/>
          <w:sz w:val="16"/>
        </w:rPr>
        <w:t>Installed capacity of 130 MW DC (100</w:t>
      </w:r>
    </w:p>
    <w:p>
      <w:pPr>
        <w:spacing w:after="0" w:line="100" w:lineRule="exact"/>
        <w:jc w:val="left"/>
        <w:rPr>
          <w:rFonts w:ascii="Times New Roman"/>
          <w:sz w:val="16"/>
        </w:rPr>
        <w:sectPr>
          <w:type w:val="continuous"/>
          <w:pgSz w:w="12240" w:h="15840"/>
          <w:pgMar w:top="800" w:bottom="280" w:left="620" w:right="580"/>
          <w:cols w:num="2" w:equalWidth="0">
            <w:col w:w="2181" w:space="534"/>
            <w:col w:w="8325"/>
          </w:cols>
        </w:sectPr>
      </w:pPr>
    </w:p>
    <w:p>
      <w:pPr>
        <w:spacing w:line="174" w:lineRule="exact" w:before="0"/>
        <w:ind w:left="844" w:right="0" w:firstLine="0"/>
        <w:jc w:val="left"/>
        <w:rPr>
          <w:rFonts w:ascii="Times New Roman"/>
          <w:b/>
          <w:sz w:val="16"/>
        </w:rPr>
      </w:pPr>
      <w:r>
        <w:rPr>
          <w:rFonts w:ascii="Times New Roman"/>
          <w:b/>
          <w:sz w:val="16"/>
        </w:rPr>
        <w:t>Bellary District,</w:t>
      </w:r>
    </w:p>
    <w:p>
      <w:pPr>
        <w:spacing w:line="174" w:lineRule="exact" w:before="0"/>
        <w:ind w:left="844" w:right="0" w:firstLine="0"/>
        <w:jc w:val="left"/>
        <w:rPr>
          <w:rFonts w:ascii="Times New Roman"/>
          <w:sz w:val="16"/>
        </w:rPr>
      </w:pPr>
      <w:r>
        <w:rPr/>
        <w:br w:type="column"/>
      </w:r>
      <w:r>
        <w:rPr>
          <w:rFonts w:ascii="Times New Roman"/>
          <w:sz w:val="16"/>
        </w:rPr>
        <w:t>Solar park</w:t>
      </w:r>
    </w:p>
    <w:p>
      <w:pPr>
        <w:tabs>
          <w:tab w:pos="3685" w:val="left" w:leader="none"/>
          <w:tab w:pos="5214" w:val="left" w:leader="none"/>
          <w:tab w:pos="6234" w:val="left" w:leader="none"/>
        </w:tabs>
        <w:spacing w:line="223" w:lineRule="auto" w:before="0"/>
        <w:ind w:left="648" w:right="0" w:firstLine="0"/>
        <w:jc w:val="left"/>
        <w:rPr>
          <w:rFonts w:ascii="Times New Roman"/>
          <w:b/>
          <w:sz w:val="16"/>
        </w:rPr>
      </w:pPr>
      <w:r>
        <w:rPr/>
        <w:br w:type="column"/>
      </w:r>
      <w:r>
        <w:rPr>
          <w:rFonts w:ascii="Times New Roman"/>
          <w:position w:val="-8"/>
          <w:sz w:val="16"/>
        </w:rPr>
        <w:t>MW</w:t>
      </w:r>
      <w:r>
        <w:rPr>
          <w:rFonts w:ascii="Times New Roman"/>
          <w:spacing w:val="-1"/>
          <w:position w:val="-8"/>
          <w:sz w:val="16"/>
        </w:rPr>
        <w:t> </w:t>
      </w:r>
      <w:r>
        <w:rPr>
          <w:rFonts w:ascii="Times New Roman"/>
          <w:position w:val="-8"/>
          <w:sz w:val="16"/>
        </w:rPr>
        <w:t>AC)</w:t>
        <w:tab/>
      </w:r>
      <w:r>
        <w:rPr>
          <w:rFonts w:ascii="Times New Roman"/>
          <w:sz w:val="16"/>
        </w:rPr>
        <w:t>10,289</w:t>
        <w:tab/>
        <w:t>-</w:t>
        <w:tab/>
      </w:r>
      <w:r>
        <w:rPr>
          <w:rFonts w:ascii="Times New Roman"/>
          <w:b/>
          <w:sz w:val="16"/>
        </w:rPr>
        <w:t>10,289</w:t>
      </w:r>
    </w:p>
    <w:p>
      <w:pPr>
        <w:spacing w:after="0" w:line="223" w:lineRule="auto"/>
        <w:jc w:val="left"/>
        <w:rPr>
          <w:rFonts w:ascii="Times New Roman"/>
          <w:sz w:val="16"/>
        </w:rPr>
        <w:sectPr>
          <w:type w:val="continuous"/>
          <w:pgSz w:w="12240" w:h="15840"/>
          <w:pgMar w:top="800" w:bottom="280" w:left="620" w:right="580"/>
          <w:cols w:num="3" w:equalWidth="0">
            <w:col w:w="1977" w:space="385"/>
            <w:col w:w="1508" w:space="40"/>
            <w:col w:w="7130"/>
          </w:cols>
        </w:sectPr>
      </w:pPr>
    </w:p>
    <w:p>
      <w:pPr>
        <w:pStyle w:val="BodyText"/>
        <w:rPr>
          <w:rFonts w:ascii="Times New Roman"/>
          <w:b/>
          <w:sz w:val="20"/>
        </w:rPr>
      </w:pPr>
    </w:p>
    <w:p>
      <w:pPr>
        <w:pStyle w:val="BodyText"/>
        <w:rPr>
          <w:rFonts w:ascii="Times New Roman"/>
          <w:b/>
          <w:sz w:val="20"/>
        </w:rPr>
      </w:pPr>
    </w:p>
    <w:p>
      <w:pPr>
        <w:pStyle w:val="BodyText"/>
        <w:spacing w:before="7"/>
        <w:rPr>
          <w:rFonts w:ascii="Times New Roman"/>
          <w:b/>
          <w:sz w:val="28"/>
        </w:rPr>
      </w:pPr>
    </w:p>
    <w:p>
      <w:pPr>
        <w:spacing w:line="183" w:lineRule="exact" w:before="94"/>
        <w:ind w:left="820" w:right="0" w:firstLine="0"/>
        <w:jc w:val="left"/>
        <w:rPr>
          <w:rFonts w:ascii="Times New Roman" w:hAnsi="Times New Roman"/>
          <w:i/>
          <w:sz w:val="16"/>
        </w:rPr>
      </w:pPr>
      <w:r>
        <w:rPr>
          <w:rFonts w:ascii="Times New Roman" w:hAnsi="Times New Roman"/>
          <w:i/>
          <w:position w:val="5"/>
          <w:sz w:val="9"/>
        </w:rPr>
        <w:t>1 </w:t>
      </w:r>
      <w:r>
        <w:rPr>
          <w:rFonts w:ascii="Times New Roman" w:hAnsi="Times New Roman"/>
          <w:i/>
          <w:sz w:val="16"/>
        </w:rPr>
        <w:t>Note: Indicative of Embassy REIT’s economic interest in the asset, viz. 50%</w:t>
      </w:r>
    </w:p>
    <w:p>
      <w:pPr>
        <w:spacing w:line="206" w:lineRule="exact" w:before="0"/>
        <w:ind w:left="820" w:right="0" w:firstLine="0"/>
        <w:jc w:val="left"/>
        <w:rPr>
          <w:rFonts w:ascii="Times New Roman" w:hAnsi="Times New Roman"/>
          <w:i/>
          <w:sz w:val="18"/>
        </w:rPr>
      </w:pPr>
      <w:r>
        <w:rPr>
          <w:rFonts w:ascii="Times New Roman" w:hAnsi="Times New Roman"/>
          <w:i/>
          <w:sz w:val="18"/>
        </w:rPr>
        <w:t>*UC -under construction, </w:t>
      </w:r>
      <w:r>
        <w:rPr>
          <w:rFonts w:ascii="Times New Roman" w:hAnsi="Times New Roman"/>
          <w:i/>
          <w:position w:val="5"/>
          <w:sz w:val="10"/>
        </w:rPr>
        <w:t>^</w:t>
      </w:r>
      <w:r>
        <w:rPr>
          <w:rFonts w:ascii="Times New Roman" w:hAnsi="Times New Roman"/>
          <w:i/>
          <w:sz w:val="18"/>
        </w:rPr>
        <w:t>SEZ – Special Economic Zone</w:t>
      </w:r>
    </w:p>
    <w:p>
      <w:pPr>
        <w:spacing w:after="0" w:line="206" w:lineRule="exact"/>
        <w:jc w:val="left"/>
        <w:rPr>
          <w:rFonts w:ascii="Times New Roman" w:hAnsi="Times New Roman"/>
          <w:sz w:val="18"/>
        </w:rPr>
        <w:sectPr>
          <w:type w:val="continuous"/>
          <w:pgSz w:w="12240" w:h="15840"/>
          <w:pgMar w:top="800" w:bottom="280" w:left="620" w:right="580"/>
        </w:sectPr>
      </w:pPr>
    </w:p>
    <w:p>
      <w:pPr>
        <w:pStyle w:val="BodyText"/>
        <w:spacing w:before="7"/>
        <w:rPr>
          <w:rFonts w:ascii="Times New Roman"/>
          <w:i/>
          <w:sz w:val="25"/>
        </w:rPr>
      </w:pPr>
    </w:p>
    <w:p>
      <w:pPr>
        <w:pStyle w:val="BodyText"/>
        <w:ind w:left="820"/>
        <w:rPr>
          <w:rFonts w:ascii="Times New Roman"/>
          <w:sz w:val="20"/>
        </w:rPr>
      </w:pPr>
      <w:r>
        <w:rPr>
          <w:rFonts w:ascii="Times New Roman"/>
          <w:sz w:val="20"/>
        </w:rPr>
        <w:drawing>
          <wp:inline distT="0" distB="0" distL="0" distR="0">
            <wp:extent cx="5036820" cy="3535679"/>
            <wp:effectExtent l="0" t="0" r="0" b="0"/>
            <wp:docPr id="13" name="image10.jpeg"/>
            <wp:cNvGraphicFramePr>
              <a:graphicFrameLocks noChangeAspect="1"/>
            </wp:cNvGraphicFramePr>
            <a:graphic>
              <a:graphicData uri="http://schemas.openxmlformats.org/drawingml/2006/picture">
                <pic:pic>
                  <pic:nvPicPr>
                    <pic:cNvPr id="14" name="image10.jpeg"/>
                    <pic:cNvPicPr/>
                  </pic:nvPicPr>
                  <pic:blipFill>
                    <a:blip r:embed="rId16" cstate="print"/>
                    <a:stretch>
                      <a:fillRect/>
                    </a:stretch>
                  </pic:blipFill>
                  <pic:spPr>
                    <a:xfrm>
                      <a:off x="0" y="0"/>
                      <a:ext cx="5036820" cy="3535679"/>
                    </a:xfrm>
                    <a:prstGeom prst="rect">
                      <a:avLst/>
                    </a:prstGeom>
                  </pic:spPr>
                </pic:pic>
              </a:graphicData>
            </a:graphic>
          </wp:inline>
        </w:drawing>
      </w:r>
      <w:r>
        <w:rPr>
          <w:rFonts w:ascii="Times New Roman"/>
          <w:sz w:val="20"/>
        </w:rPr>
      </w:r>
    </w:p>
    <w:p>
      <w:pPr>
        <w:pStyle w:val="BodyText"/>
        <w:rPr>
          <w:rFonts w:ascii="Times New Roman"/>
          <w:i/>
          <w:sz w:val="20"/>
        </w:rPr>
      </w:pPr>
    </w:p>
    <w:p>
      <w:pPr>
        <w:pStyle w:val="BodyText"/>
        <w:rPr>
          <w:rFonts w:ascii="Times New Roman"/>
          <w:i/>
          <w:sz w:val="20"/>
        </w:rPr>
      </w:pPr>
    </w:p>
    <w:p>
      <w:pPr>
        <w:pStyle w:val="BodyText"/>
        <w:rPr>
          <w:rFonts w:ascii="Times New Roman"/>
          <w:i/>
          <w:sz w:val="20"/>
        </w:rPr>
      </w:pPr>
    </w:p>
    <w:p>
      <w:pPr>
        <w:pStyle w:val="BodyText"/>
        <w:rPr>
          <w:rFonts w:ascii="Times New Roman"/>
          <w:i/>
          <w:sz w:val="20"/>
        </w:rPr>
      </w:pPr>
    </w:p>
    <w:p>
      <w:pPr>
        <w:spacing w:after="0"/>
        <w:rPr>
          <w:rFonts w:ascii="Times New Roman"/>
          <w:sz w:val="20"/>
        </w:rPr>
        <w:sectPr>
          <w:pgSz w:w="12240" w:h="15840"/>
          <w:pgMar w:header="728" w:footer="1174" w:top="1180" w:bottom="1460" w:left="620" w:right="580"/>
        </w:sectPr>
      </w:pPr>
    </w:p>
    <w:p>
      <w:pPr>
        <w:pStyle w:val="BodyText"/>
        <w:spacing w:before="3"/>
        <w:rPr>
          <w:rFonts w:ascii="Times New Roman"/>
          <w:i/>
          <w:sz w:val="20"/>
        </w:rPr>
      </w:pPr>
    </w:p>
    <w:p>
      <w:pPr>
        <w:spacing w:before="0"/>
        <w:ind w:left="265" w:right="23" w:firstLine="0"/>
        <w:jc w:val="left"/>
        <w:rPr>
          <w:rFonts w:ascii="Times New Roman"/>
          <w:sz w:val="18"/>
        </w:rPr>
      </w:pPr>
      <w:r>
        <w:rPr>
          <w:rFonts w:ascii="Times New Roman"/>
          <w:color w:val="1E6C2C"/>
          <w:sz w:val="18"/>
        </w:rPr>
        <w:t>Assumptions, Disclaimers, Limitations &amp; Qualifications</w:t>
      </w:r>
    </w:p>
    <w:p>
      <w:pPr>
        <w:pStyle w:val="BodyText"/>
        <w:spacing w:before="3"/>
        <w:rPr>
          <w:rFonts w:ascii="Times New Roman"/>
          <w:sz w:val="20"/>
        </w:rPr>
      </w:pPr>
      <w:r>
        <w:rPr/>
        <w:br w:type="column"/>
      </w:r>
      <w:r>
        <w:rPr>
          <w:rFonts w:ascii="Times New Roman"/>
          <w:sz w:val="20"/>
        </w:rPr>
      </w:r>
    </w:p>
    <w:p>
      <w:pPr>
        <w:spacing w:before="0"/>
        <w:ind w:left="265" w:right="301" w:firstLine="0"/>
        <w:jc w:val="both"/>
        <w:rPr>
          <w:rFonts w:ascii="Times New Roman" w:hAnsi="Times New Roman"/>
          <w:sz w:val="18"/>
        </w:rPr>
      </w:pPr>
      <w:r>
        <w:rPr>
          <w:rFonts w:ascii="Times New Roman" w:hAnsi="Times New Roman"/>
          <w:sz w:val="18"/>
        </w:rPr>
        <w:t>This summary valuation report is provided subject to assumptions, disclaimers, limitations and qualifications detailed throughout this report. Reliance on this report and extension of our liability is conditional upon the reader’s acknowledgement and understanding of these statements. This valuation is for the use of the parties as mentioned in Section 1.2 of this summary report.</w:t>
      </w:r>
    </w:p>
    <w:p>
      <w:pPr>
        <w:spacing w:after="0"/>
        <w:jc w:val="both"/>
        <w:rPr>
          <w:rFonts w:ascii="Times New Roman" w:hAnsi="Times New Roman"/>
          <w:sz w:val="18"/>
        </w:rPr>
        <w:sectPr>
          <w:type w:val="continuous"/>
          <w:pgSz w:w="12240" w:h="15840"/>
          <w:pgMar w:top="800" w:bottom="280" w:left="620" w:right="580"/>
          <w:cols w:num="2" w:equalWidth="0">
            <w:col w:w="1328" w:space="456"/>
            <w:col w:w="9256"/>
          </w:cols>
        </w:sectPr>
      </w:pPr>
    </w:p>
    <w:p>
      <w:pPr>
        <w:pStyle w:val="BodyText"/>
        <w:spacing w:before="4"/>
        <w:rPr>
          <w:rFonts w:ascii="Times New Roman"/>
          <w:sz w:val="20"/>
        </w:rPr>
      </w:pPr>
    </w:p>
    <w:p>
      <w:pPr>
        <w:tabs>
          <w:tab w:pos="2049" w:val="left" w:leader="none"/>
        </w:tabs>
        <w:spacing w:before="93"/>
        <w:ind w:left="265" w:right="0" w:firstLine="0"/>
        <w:jc w:val="left"/>
        <w:rPr>
          <w:rFonts w:ascii="Times New Roman"/>
          <w:sz w:val="18"/>
        </w:rPr>
      </w:pPr>
      <w:r>
        <w:rPr>
          <w:rFonts w:ascii="Times New Roman"/>
          <w:color w:val="1E6C2C"/>
          <w:sz w:val="18"/>
        </w:rPr>
        <w:t>Prepared by:</w:t>
        <w:tab/>
      </w:r>
      <w:r>
        <w:rPr>
          <w:rFonts w:ascii="Times New Roman"/>
          <w:color w:val="16772B"/>
          <w:sz w:val="18"/>
        </w:rPr>
        <w:t>Mr. Manish Gupta, Partner, iVAS</w:t>
      </w:r>
      <w:r>
        <w:rPr>
          <w:rFonts w:ascii="Times New Roman"/>
          <w:color w:val="16772B"/>
          <w:spacing w:val="-4"/>
          <w:sz w:val="18"/>
        </w:rPr>
        <w:t> </w:t>
      </w:r>
      <w:r>
        <w:rPr>
          <w:rFonts w:ascii="Times New Roman"/>
          <w:color w:val="16772B"/>
          <w:sz w:val="18"/>
        </w:rPr>
        <w:t>Partners</w:t>
      </w:r>
    </w:p>
    <w:p>
      <w:pPr>
        <w:pStyle w:val="BodyText"/>
        <w:rPr>
          <w:rFonts w:ascii="Times New Roman"/>
          <w:sz w:val="20"/>
        </w:rPr>
      </w:pPr>
    </w:p>
    <w:p>
      <w:pPr>
        <w:pStyle w:val="BodyText"/>
        <w:spacing w:before="6"/>
        <w:rPr>
          <w:rFonts w:ascii="Times New Roman"/>
          <w:sz w:val="26"/>
        </w:rPr>
      </w:pPr>
    </w:p>
    <w:p>
      <w:pPr>
        <w:spacing w:before="0"/>
        <w:ind w:left="265" w:right="0" w:firstLine="0"/>
        <w:jc w:val="left"/>
        <w:rPr>
          <w:rFonts w:ascii="Times New Roman"/>
          <w:sz w:val="18"/>
        </w:rPr>
      </w:pPr>
      <w:r>
        <w:rPr/>
        <w:drawing>
          <wp:anchor distT="0" distB="0" distL="0" distR="0" allowOverlap="1" layoutInCell="1" locked="0" behindDoc="0" simplePos="0" relativeHeight="15752704">
            <wp:simplePos x="0" y="0"/>
            <wp:positionH relativeFrom="page">
              <wp:posOffset>1816735</wp:posOffset>
            </wp:positionH>
            <wp:positionV relativeFrom="paragraph">
              <wp:posOffset>-153640</wp:posOffset>
            </wp:positionV>
            <wp:extent cx="1219200" cy="511175"/>
            <wp:effectExtent l="0" t="0" r="0" b="0"/>
            <wp:wrapNone/>
            <wp:docPr id="15" name="image11.jpeg"/>
            <wp:cNvGraphicFramePr>
              <a:graphicFrameLocks noChangeAspect="1"/>
            </wp:cNvGraphicFramePr>
            <a:graphic>
              <a:graphicData uri="http://schemas.openxmlformats.org/drawingml/2006/picture">
                <pic:pic>
                  <pic:nvPicPr>
                    <pic:cNvPr id="16" name="image11.jpeg"/>
                    <pic:cNvPicPr/>
                  </pic:nvPicPr>
                  <pic:blipFill>
                    <a:blip r:embed="rId17" cstate="print"/>
                    <a:stretch>
                      <a:fillRect/>
                    </a:stretch>
                  </pic:blipFill>
                  <pic:spPr>
                    <a:xfrm>
                      <a:off x="0" y="0"/>
                      <a:ext cx="1219200" cy="511175"/>
                    </a:xfrm>
                    <a:prstGeom prst="rect">
                      <a:avLst/>
                    </a:prstGeom>
                  </pic:spPr>
                </pic:pic>
              </a:graphicData>
            </a:graphic>
          </wp:anchor>
        </w:drawing>
      </w:r>
      <w:r>
        <w:rPr>
          <w:rFonts w:ascii="Times New Roman"/>
          <w:color w:val="1E6C2C"/>
          <w:sz w:val="18"/>
        </w:rPr>
        <w:t>Official Signatory:</w:t>
      </w:r>
    </w:p>
    <w:p>
      <w:pPr>
        <w:pStyle w:val="BodyText"/>
        <w:rPr>
          <w:rFonts w:ascii="Times New Roman"/>
          <w:sz w:val="20"/>
        </w:rPr>
      </w:pPr>
    </w:p>
    <w:p>
      <w:pPr>
        <w:pStyle w:val="BodyText"/>
        <w:spacing w:before="4"/>
        <w:rPr>
          <w:rFonts w:ascii="Times New Roman"/>
          <w:sz w:val="20"/>
        </w:rPr>
      </w:pPr>
      <w:r>
        <w:rPr/>
        <w:pict>
          <v:rect style="position:absolute;margin-left:133.460007pt;margin-top:13.674326pt;width:191.69pt;height:.72003pt;mso-position-horizontal-relative:page;mso-position-vertical-relative:paragraph;z-index:-15705088;mso-wrap-distance-left:0;mso-wrap-distance-right:0" filled="true" fillcolor="#16772b" stroked="false">
            <v:fill type="solid"/>
            <w10:wrap type="topAndBottom"/>
          </v:rect>
        </w:pict>
      </w:r>
    </w:p>
    <w:p>
      <w:pPr>
        <w:spacing w:before="0"/>
        <w:ind w:left="2049" w:right="0" w:firstLine="0"/>
        <w:jc w:val="left"/>
        <w:rPr>
          <w:rFonts w:ascii="Times New Roman"/>
          <w:sz w:val="18"/>
        </w:rPr>
      </w:pPr>
      <w:r>
        <w:rPr>
          <w:rFonts w:ascii="Times New Roman"/>
          <w:b/>
          <w:sz w:val="18"/>
        </w:rPr>
        <w:t>Name: </w:t>
      </w:r>
      <w:r>
        <w:rPr>
          <w:rFonts w:ascii="Times New Roman"/>
          <w:sz w:val="18"/>
        </w:rPr>
        <w:t>Mr. Manish Gupta</w:t>
      </w:r>
    </w:p>
    <w:p>
      <w:pPr>
        <w:spacing w:before="18"/>
        <w:ind w:left="2049" w:right="0" w:firstLine="0"/>
        <w:jc w:val="left"/>
        <w:rPr>
          <w:rFonts w:ascii="Times New Roman"/>
          <w:sz w:val="18"/>
        </w:rPr>
      </w:pPr>
      <w:r>
        <w:rPr>
          <w:rFonts w:ascii="Times New Roman"/>
          <w:b/>
          <w:sz w:val="18"/>
        </w:rPr>
        <w:t>Designation: </w:t>
      </w:r>
      <w:r>
        <w:rPr>
          <w:rFonts w:ascii="Times New Roman"/>
          <w:sz w:val="18"/>
        </w:rPr>
        <w:t>Partner, iVAS Partners</w:t>
      </w:r>
    </w:p>
    <w:p>
      <w:pPr>
        <w:spacing w:before="21"/>
        <w:ind w:left="2049" w:right="0" w:firstLine="0"/>
        <w:jc w:val="left"/>
        <w:rPr>
          <w:rFonts w:ascii="Times New Roman"/>
          <w:sz w:val="18"/>
        </w:rPr>
      </w:pPr>
      <w:r>
        <w:rPr>
          <w:rFonts w:ascii="Times New Roman"/>
          <w:b/>
          <w:sz w:val="18"/>
        </w:rPr>
        <w:t>Valuer Registration Number: </w:t>
      </w:r>
      <w:r>
        <w:rPr>
          <w:rFonts w:ascii="Times New Roman"/>
          <w:sz w:val="18"/>
        </w:rPr>
        <w:t>IBBI/RV-E/02/2020/112</w:t>
      </w:r>
    </w:p>
    <w:p>
      <w:pPr>
        <w:spacing w:after="0"/>
        <w:jc w:val="left"/>
        <w:rPr>
          <w:rFonts w:ascii="Times New Roman"/>
          <w:sz w:val="18"/>
        </w:rPr>
        <w:sectPr>
          <w:type w:val="continuous"/>
          <w:pgSz w:w="12240" w:h="15840"/>
          <w:pgMar w:top="800" w:bottom="280" w:left="620" w:right="580"/>
        </w:sectPr>
      </w:pPr>
    </w:p>
    <w:p>
      <w:pPr>
        <w:pStyle w:val="BodyText"/>
        <w:rPr>
          <w:rFonts w:ascii="Times New Roman"/>
          <w:sz w:val="18"/>
        </w:rPr>
      </w:pPr>
    </w:p>
    <w:p>
      <w:pPr>
        <w:pStyle w:val="ListParagraph"/>
        <w:numPr>
          <w:ilvl w:val="0"/>
          <w:numId w:val="1"/>
        </w:numPr>
        <w:tabs>
          <w:tab w:pos="1180" w:val="left" w:leader="none"/>
          <w:tab w:pos="1181" w:val="left" w:leader="none"/>
        </w:tabs>
        <w:spacing w:line="240" w:lineRule="auto" w:before="91" w:after="0"/>
        <w:ind w:left="1180" w:right="0" w:hanging="361"/>
        <w:jc w:val="left"/>
        <w:rPr>
          <w:rFonts w:ascii="Times New Roman"/>
          <w:sz w:val="20"/>
        </w:rPr>
      </w:pPr>
      <w:r>
        <w:rPr>
          <w:rFonts w:ascii="Times New Roman"/>
          <w:color w:val="1E6C2C"/>
          <w:sz w:val="20"/>
        </w:rPr>
        <w:t>Assets</w:t>
      </w:r>
    </w:p>
    <w:p>
      <w:pPr>
        <w:pStyle w:val="BodyText"/>
        <w:spacing w:before="1"/>
        <w:rPr>
          <w:rFonts w:ascii="Times New Roman"/>
          <w:sz w:val="20"/>
        </w:rPr>
      </w:pPr>
    </w:p>
    <w:p>
      <w:pPr>
        <w:pStyle w:val="ListParagraph"/>
        <w:numPr>
          <w:ilvl w:val="1"/>
          <w:numId w:val="1"/>
        </w:numPr>
        <w:tabs>
          <w:tab w:pos="1540" w:val="left" w:leader="none"/>
          <w:tab w:pos="1541" w:val="left" w:leader="none"/>
        </w:tabs>
        <w:spacing w:line="240" w:lineRule="auto" w:before="0" w:after="0"/>
        <w:ind w:left="1540" w:right="0" w:hanging="721"/>
        <w:jc w:val="left"/>
        <w:rPr>
          <w:rFonts w:ascii="Times New Roman"/>
          <w:color w:val="1E6C28"/>
          <w:sz w:val="20"/>
        </w:rPr>
      </w:pPr>
      <w:r>
        <w:rPr>
          <w:rFonts w:ascii="Times New Roman"/>
          <w:color w:val="1E6C28"/>
          <w:sz w:val="20"/>
        </w:rPr>
        <w:t>Embassy Manyata</w:t>
      </w:r>
    </w:p>
    <w:p>
      <w:pPr>
        <w:pStyle w:val="BodyText"/>
        <w:rPr>
          <w:rFonts w:ascii="Times New Roman"/>
          <w:sz w:val="24"/>
        </w:rPr>
      </w:pPr>
    </w:p>
    <w:p>
      <w:pPr>
        <w:tabs>
          <w:tab w:pos="2567" w:val="left" w:leader="none"/>
        </w:tabs>
        <w:spacing w:before="0"/>
        <w:ind w:left="2567" w:right="575" w:hanging="2302"/>
        <w:jc w:val="left"/>
        <w:rPr>
          <w:rFonts w:ascii="Times New Roman"/>
          <w:sz w:val="18"/>
        </w:rPr>
      </w:pPr>
      <w:r>
        <w:rPr>
          <w:rFonts w:ascii="Times New Roman"/>
          <w:color w:val="16772B"/>
          <w:sz w:val="18"/>
        </w:rPr>
        <w:t>Property</w:t>
      </w:r>
      <w:r>
        <w:rPr>
          <w:rFonts w:ascii="Times New Roman"/>
          <w:color w:val="16772B"/>
          <w:spacing w:val="-1"/>
          <w:sz w:val="18"/>
        </w:rPr>
        <w:t> </w:t>
      </w:r>
      <w:r>
        <w:rPr>
          <w:rFonts w:ascii="Times New Roman"/>
          <w:color w:val="16772B"/>
          <w:sz w:val="18"/>
        </w:rPr>
        <w:t>Name:</w:t>
        <w:tab/>
      </w:r>
      <w:r>
        <w:rPr>
          <w:rFonts w:ascii="Times New Roman"/>
          <w:sz w:val="18"/>
        </w:rPr>
        <w:t>Embassy Manyata is a commercial office development located along Outer Ring Road, Nagavara,</w:t>
      </w:r>
      <w:r>
        <w:rPr>
          <w:rFonts w:ascii="Times New Roman"/>
          <w:spacing w:val="-19"/>
          <w:sz w:val="18"/>
        </w:rPr>
        <w:t> </w:t>
      </w:r>
      <w:r>
        <w:rPr>
          <w:rFonts w:ascii="Times New Roman"/>
          <w:sz w:val="18"/>
        </w:rPr>
        <w:t>Bengaluru, Karnataka</w:t>
      </w:r>
    </w:p>
    <w:p>
      <w:pPr>
        <w:tabs>
          <w:tab w:pos="2567" w:val="left" w:leader="none"/>
        </w:tabs>
        <w:spacing w:before="119"/>
        <w:ind w:left="2567" w:right="413" w:hanging="2302"/>
        <w:jc w:val="left"/>
        <w:rPr>
          <w:rFonts w:ascii="Times New Roman"/>
          <w:sz w:val="18"/>
        </w:rPr>
      </w:pPr>
      <w:r>
        <w:rPr>
          <w:rFonts w:ascii="Times New Roman"/>
          <w:color w:val="16772B"/>
          <w:sz w:val="18"/>
        </w:rPr>
        <w:t>Property</w:t>
      </w:r>
      <w:r>
        <w:rPr>
          <w:rFonts w:ascii="Times New Roman"/>
          <w:color w:val="16772B"/>
          <w:spacing w:val="-1"/>
          <w:sz w:val="18"/>
        </w:rPr>
        <w:t> </w:t>
      </w:r>
      <w:r>
        <w:rPr>
          <w:rFonts w:ascii="Times New Roman"/>
          <w:color w:val="16772B"/>
          <w:sz w:val="18"/>
        </w:rPr>
        <w:t>Address:</w:t>
        <w:tab/>
      </w:r>
      <w:r>
        <w:rPr>
          <w:rFonts w:ascii="Times New Roman"/>
          <w:sz w:val="18"/>
        </w:rPr>
        <w:t>Nagavara Village, Kasaba Hobli, Bengaluru North Taluk, Bengaluru District and Rachenahalli and</w:t>
      </w:r>
      <w:r>
        <w:rPr>
          <w:rFonts w:ascii="Times New Roman"/>
          <w:spacing w:val="-25"/>
          <w:sz w:val="18"/>
        </w:rPr>
        <w:t> </w:t>
      </w:r>
      <w:r>
        <w:rPr>
          <w:rFonts w:ascii="Times New Roman"/>
          <w:sz w:val="18"/>
        </w:rPr>
        <w:t>Thanisandra Villages, Krishnarajapuram Hobli, Bengaluru East Taluk, Bengaluru District,</w:t>
      </w:r>
      <w:r>
        <w:rPr>
          <w:rFonts w:ascii="Times New Roman"/>
          <w:spacing w:val="-4"/>
          <w:sz w:val="18"/>
        </w:rPr>
        <w:t> </w:t>
      </w:r>
      <w:r>
        <w:rPr>
          <w:rFonts w:ascii="Times New Roman"/>
          <w:sz w:val="18"/>
        </w:rPr>
        <w:t>Karnataka</w:t>
      </w:r>
    </w:p>
    <w:p>
      <w:pPr>
        <w:tabs>
          <w:tab w:pos="2567" w:val="left" w:leader="none"/>
        </w:tabs>
        <w:spacing w:before="121"/>
        <w:ind w:left="2567" w:right="413" w:hanging="2302"/>
        <w:jc w:val="left"/>
        <w:rPr>
          <w:rFonts w:ascii="Times New Roman"/>
          <w:sz w:val="18"/>
        </w:rPr>
      </w:pPr>
      <w:r>
        <w:rPr>
          <w:rFonts w:ascii="Times New Roman"/>
          <w:color w:val="16772B"/>
          <w:sz w:val="18"/>
        </w:rPr>
        <w:t>Land Area:</w:t>
        <w:tab/>
      </w:r>
      <w:r>
        <w:rPr>
          <w:rFonts w:ascii="Times New Roman"/>
          <w:sz w:val="18"/>
        </w:rPr>
        <w:t>Based on review of the title report (for Manyata Promoters Pvt Ltd and M3 Block respectively), the Valuer understands that the total land area of the subject property under the ownership of the</w:t>
      </w:r>
      <w:r>
        <w:rPr>
          <w:rFonts w:ascii="Times New Roman"/>
          <w:spacing w:val="25"/>
          <w:sz w:val="18"/>
        </w:rPr>
        <w:t> </w:t>
      </w:r>
      <w:r>
        <w:rPr>
          <w:rFonts w:ascii="Times New Roman"/>
          <w:sz w:val="18"/>
        </w:rPr>
        <w:t>Client is approximately</w:t>
      </w:r>
    </w:p>
    <w:p>
      <w:pPr>
        <w:spacing w:line="206" w:lineRule="exact" w:before="0"/>
        <w:ind w:left="2567" w:right="0" w:firstLine="0"/>
        <w:jc w:val="left"/>
        <w:rPr>
          <w:rFonts w:ascii="Times New Roman"/>
          <w:sz w:val="18"/>
        </w:rPr>
      </w:pPr>
      <w:r>
        <w:rPr>
          <w:rFonts w:ascii="Times New Roman"/>
          <w:sz w:val="18"/>
        </w:rPr>
        <w:t>121.76 acres</w:t>
      </w:r>
    </w:p>
    <w:p>
      <w:pPr>
        <w:tabs>
          <w:tab w:pos="2567" w:val="left" w:leader="none"/>
        </w:tabs>
        <w:spacing w:before="119"/>
        <w:ind w:left="2567" w:right="301" w:hanging="2302"/>
        <w:jc w:val="both"/>
        <w:rPr>
          <w:rFonts w:ascii="Times New Roman"/>
          <w:sz w:val="18"/>
        </w:rPr>
      </w:pPr>
      <w:r>
        <w:rPr>
          <w:rFonts w:ascii="Times New Roman"/>
          <w:color w:val="16772B"/>
          <w:sz w:val="18"/>
        </w:rPr>
        <w:t>Brief</w:t>
      </w:r>
      <w:r>
        <w:rPr>
          <w:rFonts w:ascii="Times New Roman"/>
          <w:color w:val="16772B"/>
          <w:spacing w:val="-1"/>
          <w:sz w:val="18"/>
        </w:rPr>
        <w:t> </w:t>
      </w:r>
      <w:r>
        <w:rPr>
          <w:rFonts w:ascii="Times New Roman"/>
          <w:color w:val="16772B"/>
          <w:sz w:val="18"/>
        </w:rPr>
        <w:t>Description:</w:t>
        <w:tab/>
      </w:r>
      <w:r>
        <w:rPr>
          <w:rFonts w:ascii="Times New Roman"/>
          <w:sz w:val="18"/>
        </w:rPr>
        <w:t>The subject property is the second largest commercial office asset in India (in terms of scale), largest in Bengaluru and is a landmark in North Bengaluru. The property is accessible through the Nagavara Outer Ring Road emanating from Hebbal. Further, the subject development is strategically located in proximity to micro- markets of Thanisandra &amp; Hennur Road which are amongst the fastest developing vectors in North</w:t>
      </w:r>
      <w:r>
        <w:rPr>
          <w:rFonts w:ascii="Times New Roman"/>
          <w:spacing w:val="-17"/>
          <w:sz w:val="18"/>
        </w:rPr>
        <w:t> </w:t>
      </w:r>
      <w:r>
        <w:rPr>
          <w:rFonts w:ascii="Times New Roman"/>
          <w:sz w:val="18"/>
        </w:rPr>
        <w:t>Bengaluru.</w:t>
      </w:r>
    </w:p>
    <w:p>
      <w:pPr>
        <w:spacing w:line="240" w:lineRule="auto" w:before="140"/>
        <w:ind w:left="2567" w:right="301" w:firstLine="0"/>
        <w:jc w:val="both"/>
        <w:rPr>
          <w:rFonts w:ascii="Times New Roman"/>
          <w:sz w:val="18"/>
        </w:rPr>
      </w:pPr>
      <w:r>
        <w:rPr>
          <w:rFonts w:ascii="Times New Roman"/>
          <w:sz w:val="18"/>
        </w:rPr>
        <w:t>The subject property is located in close proximity to the Nagavara Outer Ring Road, which connects the subject location to prominent locations such as Yeshwanthpur, KR Puram, Whitefield, Sarjapur Outer Ring Road, Old Madras Road, etc. Further, it is located at a distance of 1-2 km from Nagavara Junction, 3-4 km from Hebbal Junction, 7-8 km from Yelahanka Junction, 11-14 km from MG Road (CBD) and 29-31 km from Kempegowda International Airport</w:t>
      </w:r>
    </w:p>
    <w:p>
      <w:pPr>
        <w:spacing w:after="0" w:line="240" w:lineRule="auto"/>
        <w:jc w:val="both"/>
        <w:rPr>
          <w:rFonts w:ascii="Times New Roman"/>
          <w:sz w:val="18"/>
        </w:rPr>
        <w:sectPr>
          <w:pgSz w:w="12240" w:h="15840"/>
          <w:pgMar w:header="728" w:footer="1174" w:top="1180" w:bottom="1460" w:left="620" w:right="580"/>
        </w:sectPr>
      </w:pPr>
    </w:p>
    <w:p>
      <w:pPr>
        <w:spacing w:before="139"/>
        <w:ind w:left="265" w:right="22" w:firstLine="0"/>
        <w:jc w:val="left"/>
        <w:rPr>
          <w:rFonts w:ascii="Times New Roman"/>
          <w:sz w:val="18"/>
        </w:rPr>
      </w:pPr>
      <w:r>
        <w:rPr/>
        <w:pict>
          <v:group style="position:absolute;margin-left:159.380005pt;margin-top:63.232338pt;width:408.35pt;height:34pt;mso-position-horizontal-relative:page;mso-position-vertical-relative:paragraph;z-index:-34872320" coordorigin="3188,1265" coordsize="8167,680">
            <v:shape style="position:absolute;left:3187;top:1915;width:8167;height:29" coordorigin="3188,1915" coordsize="8167,29" path="m4966,1915l3188,1915,3188,1944,4966,1944,4966,1915xm8524,1915l6774,1915,6745,1915,6745,1915,4995,1915,4967,1915,4967,1944,4995,1944,6745,1944,6745,1944,6774,1944,8524,1944,8524,1915xm11354,1915l9710,1915,9681,1915,8553,1915,8524,1915,8524,1944,8553,1944,9681,1944,9710,1944,11354,1944,11354,1915xe" filled="true" fillcolor="#5fff00" stroked="false">
              <v:path arrowok="t"/>
              <v:fill type="solid"/>
            </v:shape>
            <v:shape style="position:absolute;left:3187;top:1293;width:8167;height:622" coordorigin="3188,1293" coordsize="8167,622" path="m4966,1293l3188,1293,3188,1915,4966,1915,4966,1293xm8524,1293l6745,1293,6745,1293,4967,1293,4967,1915,6745,1915,6745,1915,8524,1915,8524,1293xm11354,1293l9679,1293,8524,1293,8524,1915,9679,1915,11354,1915,11354,1293xe" filled="true" fillcolor="#16772b" stroked="false">
              <v:path arrowok="t"/>
              <v:fill type="solid"/>
            </v:shape>
            <v:rect style="position:absolute;left:3187;top:1264;width:1779;height:29" filled="true" fillcolor="#1e7504" stroked="false">
              <v:fill type="solid"/>
            </v:rect>
            <v:shape style="position:absolute;left:3187;top:1293;width:1808;height:3" coordorigin="3188,1293" coordsize="1808,3" path="m4966,1293l3188,1293,3188,1296,4966,1296,4966,1293xm4995,1293l4967,1293,4967,1296,4995,1296,4995,1293xe" filled="true" fillcolor="#16772b" stroked="false">
              <v:path arrowok="t"/>
              <v:fill type="solid"/>
            </v:shape>
            <v:shape style="position:absolute;left:4966;top:1264;width:1779;height:29" coordorigin="4967,1265" coordsize="1779,29" path="m6745,1265l4995,1265,4967,1265,4967,1293,4995,1293,6745,1293,6745,1265xe" filled="true" fillcolor="#1e7504" stroked="false">
              <v:path arrowok="t"/>
              <v:fill type="solid"/>
            </v:shape>
            <v:shape style="position:absolute;left:4995;top:1293;width:1779;height:3" coordorigin="4995,1293" coordsize="1779,3" path="m6774,1293l6745,1293,4995,1293,4995,1296,6745,1296,6774,1296,6774,1293xe" filled="true" fillcolor="#16772b" stroked="false">
              <v:path arrowok="t"/>
              <v:fill type="solid"/>
            </v:shape>
            <v:shape style="position:absolute;left:6745;top:1264;width:1779;height:29" coordorigin="6745,1265" coordsize="1779,29" path="m8524,1265l6774,1265,6745,1265,6745,1293,6774,1293,8524,1293,8524,1265xe" filled="true" fillcolor="#1e7504" stroked="false">
              <v:path arrowok="t"/>
              <v:fill type="solid"/>
            </v:shape>
            <v:shape style="position:absolute;left:6774;top:1293;width:1779;height:3" coordorigin="6774,1293" coordsize="1779,3" path="m8524,1293l6774,1293,6774,1296,8524,1296,8524,1293xm8553,1293l8524,1293,8524,1296,8553,1296,8553,1293xe" filled="true" fillcolor="#16772b" stroked="false">
              <v:path arrowok="t"/>
              <v:fill type="solid"/>
            </v:shape>
            <v:shape style="position:absolute;left:8524;top:1264;width:1157;height:29" coordorigin="8524,1265" coordsize="1157,29" path="m9681,1265l8553,1265,8524,1265,8524,1293,8553,1293,9681,1293,9681,1265xe" filled="true" fillcolor="#1e7504" stroked="false">
              <v:path arrowok="t"/>
              <v:fill type="solid"/>
            </v:shape>
            <v:shape style="position:absolute;left:8553;top:1293;width:1157;height:3" coordorigin="8553,1293" coordsize="1157,3" path="m9710,1293l9681,1293,8553,1293,8553,1296,9681,1296,9710,1296,9710,1293xe" filled="true" fillcolor="#16772b" stroked="false">
              <v:path arrowok="t"/>
              <v:fill type="solid"/>
            </v:shape>
            <v:shape style="position:absolute;left:9681;top:1264;width:1674;height:29" coordorigin="9681,1265" coordsize="1674,29" path="m11354,1265l9710,1265,9681,1265,9681,1293,9710,1293,11354,1293,11354,1265xe" filled="true" fillcolor="#1e7504" stroked="false">
              <v:path arrowok="t"/>
              <v:fill type="solid"/>
            </v:shape>
            <v:rect style="position:absolute;left:9710;top:1293;width:1645;height:3" filled="true" fillcolor="#16772b" stroked="false">
              <v:fill type="solid"/>
            </v:rect>
            <v:shape style="position:absolute;left:3929;top:1507;width:461;height:200" type="#_x0000_t202" filled="false" stroked="false">
              <v:textbox inset="0,0,0,0">
                <w:txbxContent>
                  <w:p>
                    <w:pPr>
                      <w:spacing w:line="199" w:lineRule="exact" w:before="0"/>
                      <w:ind w:left="0" w:right="0" w:firstLine="0"/>
                      <w:jc w:val="left"/>
                      <w:rPr>
                        <w:rFonts w:ascii="Times New Roman"/>
                        <w:b/>
                        <w:sz w:val="18"/>
                      </w:rPr>
                    </w:pPr>
                    <w:r>
                      <w:rPr>
                        <w:rFonts w:ascii="Times New Roman"/>
                        <w:b/>
                        <w:color w:val="FFFFFF"/>
                        <w:sz w:val="18"/>
                      </w:rPr>
                      <w:t>Block</w:t>
                    </w:r>
                  </w:p>
                </w:txbxContent>
              </v:textbox>
              <w10:wrap type="none"/>
            </v:shape>
            <v:shape style="position:absolute;left:5591;top:1394;width:695;height:409" type="#_x0000_t202" filled="false" stroked="false">
              <v:textbox inset="0,0,0,0">
                <w:txbxContent>
                  <w:p>
                    <w:pPr>
                      <w:spacing w:line="242" w:lineRule="auto" w:before="0"/>
                      <w:ind w:left="0" w:right="0" w:firstLine="132"/>
                      <w:jc w:val="left"/>
                      <w:rPr>
                        <w:rFonts w:ascii="Times New Roman"/>
                        <w:b/>
                        <w:sz w:val="18"/>
                      </w:rPr>
                    </w:pPr>
                    <w:r>
                      <w:rPr>
                        <w:rFonts w:ascii="Times New Roman"/>
                        <w:b/>
                        <w:color w:val="FFFFFF"/>
                        <w:sz w:val="18"/>
                      </w:rPr>
                      <w:t>Total Area (sf)</w:t>
                    </w:r>
                  </w:p>
                </w:txbxContent>
              </v:textbox>
              <w10:wrap type="none"/>
            </v:shape>
            <v:shape style="position:absolute;left:7239;top:1394;width:953;height:409" type="#_x0000_t202" filled="false" stroked="false">
              <v:textbox inset="0,0,0,0">
                <w:txbxContent>
                  <w:p>
                    <w:pPr>
                      <w:spacing w:line="242" w:lineRule="auto" w:before="0"/>
                      <w:ind w:left="50" w:right="4" w:hanging="51"/>
                      <w:jc w:val="left"/>
                      <w:rPr>
                        <w:rFonts w:ascii="Times New Roman"/>
                        <w:b/>
                        <w:sz w:val="18"/>
                      </w:rPr>
                    </w:pPr>
                    <w:r>
                      <w:rPr>
                        <w:rFonts w:ascii="Times New Roman"/>
                        <w:b/>
                        <w:color w:val="FFFFFF"/>
                        <w:sz w:val="18"/>
                      </w:rPr>
                      <w:t>Operational area (in sf)</w:t>
                    </w:r>
                  </w:p>
                </w:txbxContent>
              </v:textbox>
              <w10:wrap type="none"/>
            </v:shape>
            <v:shape style="position:absolute;left:8668;top:1301;width:1032;height:406" type="#_x0000_t202" filled="false" stroked="false">
              <v:textbox inset="0,0,0,0">
                <w:txbxContent>
                  <w:p>
                    <w:pPr>
                      <w:spacing w:line="240" w:lineRule="auto" w:before="0"/>
                      <w:ind w:left="0" w:right="1" w:firstLine="259"/>
                      <w:jc w:val="left"/>
                      <w:rPr>
                        <w:rFonts w:ascii="Times New Roman"/>
                        <w:b/>
                        <w:sz w:val="18"/>
                      </w:rPr>
                    </w:pPr>
                    <w:r>
                      <w:rPr>
                        <w:rFonts w:ascii="Times New Roman"/>
                        <w:b/>
                        <w:color w:val="FFFFFF"/>
                        <w:sz w:val="18"/>
                      </w:rPr>
                      <w:t>Under Construction</w:t>
                    </w:r>
                  </w:p>
                </w:txbxContent>
              </v:textbox>
              <w10:wrap type="none"/>
            </v:shape>
            <v:shape style="position:absolute;left:10082;top:1301;width:1032;height:406" type="#_x0000_t202" filled="false" stroked="false">
              <v:textbox inset="0,0,0,0">
                <w:txbxContent>
                  <w:p>
                    <w:pPr>
                      <w:spacing w:line="240" w:lineRule="auto" w:before="0"/>
                      <w:ind w:left="0" w:right="2" w:firstLine="146"/>
                      <w:jc w:val="left"/>
                      <w:rPr>
                        <w:rFonts w:ascii="Times New Roman"/>
                        <w:b/>
                        <w:sz w:val="18"/>
                      </w:rPr>
                    </w:pPr>
                    <w:r>
                      <w:rPr>
                        <w:rFonts w:ascii="Times New Roman"/>
                        <w:b/>
                        <w:color w:val="FFFFFF"/>
                        <w:sz w:val="18"/>
                      </w:rPr>
                      <w:t>Proposed Development</w:t>
                    </w:r>
                  </w:p>
                </w:txbxContent>
              </v:textbox>
              <w10:wrap type="none"/>
            </v:shape>
            <w10:wrap type="none"/>
          </v:group>
        </w:pict>
      </w:r>
      <w:r>
        <w:rPr>
          <w:rFonts w:ascii="Times New Roman"/>
          <w:color w:val="16772B"/>
          <w:sz w:val="18"/>
        </w:rPr>
        <w:t>Statement of Assets (sf):</w:t>
      </w:r>
    </w:p>
    <w:p>
      <w:pPr>
        <w:spacing w:before="139"/>
        <w:ind w:left="265" w:right="303" w:firstLine="0"/>
        <w:jc w:val="both"/>
        <w:rPr>
          <w:rFonts w:ascii="Times New Roman" w:hAnsi="Times New Roman"/>
          <w:sz w:val="18"/>
        </w:rPr>
      </w:pPr>
      <w:r>
        <w:rPr/>
        <w:br w:type="column"/>
      </w:r>
      <w:r>
        <w:rPr>
          <w:rFonts w:ascii="Times New Roman" w:hAnsi="Times New Roman"/>
          <w:sz w:val="18"/>
        </w:rPr>
        <w:t>Based on review of various documents (such as rent roll, lease deeds, Architect’s Certificate, etc.), the subject property is an operational office asset with approximately 11.7 msf of completed leasable area out of which occupancy is approximately 97.7% (including committed occupancy) as on the date of valuation. Table below highlights the leasable area for individual blocks that form part of the subject development:</w:t>
      </w:r>
    </w:p>
    <w:p>
      <w:pPr>
        <w:spacing w:after="0"/>
        <w:jc w:val="both"/>
        <w:rPr>
          <w:rFonts w:ascii="Times New Roman" w:hAnsi="Times New Roman"/>
          <w:sz w:val="18"/>
        </w:rPr>
        <w:sectPr>
          <w:type w:val="continuous"/>
          <w:pgSz w:w="12240" w:h="15840"/>
          <w:pgMar w:top="800" w:bottom="280" w:left="620" w:right="580"/>
          <w:cols w:num="2" w:equalWidth="0">
            <w:col w:w="1737" w:space="565"/>
            <w:col w:w="8738"/>
          </w:cols>
        </w:sectPr>
      </w:pPr>
    </w:p>
    <w:p>
      <w:pPr>
        <w:pStyle w:val="BodyText"/>
        <w:rPr>
          <w:rFonts w:ascii="Times New Roman"/>
          <w:sz w:val="20"/>
        </w:rPr>
      </w:pPr>
    </w:p>
    <w:p>
      <w:pPr>
        <w:pStyle w:val="BodyText"/>
        <w:rPr>
          <w:rFonts w:ascii="Times New Roman"/>
          <w:sz w:val="20"/>
        </w:rPr>
      </w:pPr>
    </w:p>
    <w:p>
      <w:pPr>
        <w:pStyle w:val="BodyText"/>
        <w:spacing w:before="2"/>
        <w:rPr>
          <w:rFonts w:ascii="Times New Roman"/>
          <w:sz w:val="25"/>
        </w:rPr>
      </w:pPr>
    </w:p>
    <w:tbl>
      <w:tblPr>
        <w:tblW w:w="0" w:type="auto"/>
        <w:jc w:val="left"/>
        <w:tblInd w:w="25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80"/>
        <w:gridCol w:w="1967"/>
        <w:gridCol w:w="1389"/>
        <w:gridCol w:w="1546"/>
        <w:gridCol w:w="1481"/>
      </w:tblGrid>
      <w:tr>
        <w:trPr>
          <w:trHeight w:val="217" w:hRule="atLeast"/>
        </w:trPr>
        <w:tc>
          <w:tcPr>
            <w:tcW w:w="5136" w:type="dxa"/>
            <w:gridSpan w:val="3"/>
            <w:shd w:val="clear" w:color="auto" w:fill="16772B"/>
          </w:tcPr>
          <w:p>
            <w:pPr>
              <w:pStyle w:val="TableParagraph"/>
              <w:jc w:val="left"/>
              <w:rPr>
                <w:rFonts w:ascii="Times New Roman"/>
                <w:sz w:val="14"/>
              </w:rPr>
            </w:pPr>
          </w:p>
        </w:tc>
        <w:tc>
          <w:tcPr>
            <w:tcW w:w="1546" w:type="dxa"/>
            <w:shd w:val="clear" w:color="auto" w:fill="16772B"/>
          </w:tcPr>
          <w:p>
            <w:pPr>
              <w:pStyle w:val="TableParagraph"/>
              <w:spacing w:line="197" w:lineRule="exact"/>
              <w:ind w:left="433"/>
              <w:jc w:val="left"/>
              <w:rPr>
                <w:rFonts w:ascii="Times New Roman"/>
                <w:b/>
                <w:sz w:val="18"/>
              </w:rPr>
            </w:pPr>
            <w:r>
              <w:rPr>
                <w:rFonts w:ascii="Times New Roman"/>
                <w:b/>
                <w:color w:val="FFFFFF"/>
                <w:sz w:val="18"/>
              </w:rPr>
              <w:t>area (in sf)</w:t>
            </w:r>
          </w:p>
        </w:tc>
        <w:tc>
          <w:tcPr>
            <w:tcW w:w="1481" w:type="dxa"/>
            <w:shd w:val="clear" w:color="auto" w:fill="16772B"/>
          </w:tcPr>
          <w:p>
            <w:pPr>
              <w:pStyle w:val="TableParagraph"/>
              <w:spacing w:line="197" w:lineRule="exact"/>
              <w:ind w:left="303"/>
              <w:jc w:val="left"/>
              <w:rPr>
                <w:rFonts w:ascii="Times New Roman"/>
                <w:b/>
                <w:sz w:val="18"/>
              </w:rPr>
            </w:pPr>
            <w:r>
              <w:rPr>
                <w:rFonts w:ascii="Times New Roman"/>
                <w:b/>
                <w:color w:val="FFFFFF"/>
                <w:sz w:val="18"/>
              </w:rPr>
              <w:t>area (in sf)</w:t>
            </w:r>
          </w:p>
        </w:tc>
      </w:tr>
      <w:tr>
        <w:trPr>
          <w:trHeight w:val="219" w:hRule="atLeast"/>
        </w:trPr>
        <w:tc>
          <w:tcPr>
            <w:tcW w:w="1780" w:type="dxa"/>
            <w:tcBorders>
              <w:bottom w:val="single" w:sz="6" w:space="0" w:color="5FFF00"/>
            </w:tcBorders>
          </w:tcPr>
          <w:p>
            <w:pPr>
              <w:pStyle w:val="TableParagraph"/>
              <w:spacing w:line="189" w:lineRule="exact" w:before="10"/>
              <w:ind w:left="77" w:right="77"/>
              <w:rPr>
                <w:rFonts w:ascii="Times New Roman"/>
                <w:sz w:val="18"/>
              </w:rPr>
            </w:pPr>
            <w:r>
              <w:rPr>
                <w:rFonts w:ascii="Times New Roman"/>
                <w:sz w:val="18"/>
              </w:rPr>
              <w:t>SEZ Area</w:t>
            </w:r>
          </w:p>
        </w:tc>
        <w:tc>
          <w:tcPr>
            <w:tcW w:w="1967" w:type="dxa"/>
            <w:tcBorders>
              <w:bottom w:val="single" w:sz="6" w:space="0" w:color="5FFF00"/>
            </w:tcBorders>
          </w:tcPr>
          <w:p>
            <w:pPr>
              <w:pStyle w:val="TableParagraph"/>
              <w:spacing w:line="189" w:lineRule="exact" w:before="10"/>
              <w:ind w:left="80" w:right="270"/>
              <w:rPr>
                <w:rFonts w:ascii="Times New Roman"/>
                <w:sz w:val="18"/>
              </w:rPr>
            </w:pPr>
            <w:r>
              <w:rPr>
                <w:rFonts w:ascii="Times New Roman"/>
                <w:sz w:val="18"/>
              </w:rPr>
              <w:t>10,650,357</w:t>
            </w:r>
          </w:p>
        </w:tc>
        <w:tc>
          <w:tcPr>
            <w:tcW w:w="1389" w:type="dxa"/>
            <w:tcBorders>
              <w:bottom w:val="single" w:sz="6" w:space="0" w:color="5FFF00"/>
            </w:tcBorders>
          </w:tcPr>
          <w:p>
            <w:pPr>
              <w:pStyle w:val="TableParagraph"/>
              <w:spacing w:line="189" w:lineRule="exact" w:before="10"/>
              <w:ind w:left="259" w:right="251"/>
              <w:rPr>
                <w:rFonts w:ascii="Times New Roman"/>
                <w:sz w:val="18"/>
              </w:rPr>
            </w:pPr>
            <w:r>
              <w:rPr>
                <w:rFonts w:ascii="Times New Roman"/>
                <w:sz w:val="18"/>
              </w:rPr>
              <w:t>8,347,511</w:t>
            </w:r>
          </w:p>
        </w:tc>
        <w:tc>
          <w:tcPr>
            <w:tcW w:w="1546" w:type="dxa"/>
            <w:tcBorders>
              <w:bottom w:val="single" w:sz="6" w:space="0" w:color="5FFF00"/>
            </w:tcBorders>
          </w:tcPr>
          <w:p>
            <w:pPr>
              <w:pStyle w:val="TableParagraph"/>
              <w:spacing w:line="189" w:lineRule="exact" w:before="10"/>
              <w:ind w:left="416"/>
              <w:jc w:val="left"/>
              <w:rPr>
                <w:rFonts w:ascii="Times New Roman"/>
                <w:sz w:val="18"/>
              </w:rPr>
            </w:pPr>
            <w:r>
              <w:rPr>
                <w:rFonts w:ascii="Times New Roman"/>
                <w:sz w:val="18"/>
              </w:rPr>
              <w:t>1,594,846</w:t>
            </w:r>
          </w:p>
        </w:tc>
        <w:tc>
          <w:tcPr>
            <w:tcW w:w="1481" w:type="dxa"/>
            <w:tcBorders>
              <w:bottom w:val="single" w:sz="6" w:space="0" w:color="5FFF00"/>
            </w:tcBorders>
          </w:tcPr>
          <w:p>
            <w:pPr>
              <w:pStyle w:val="TableParagraph"/>
              <w:spacing w:line="189" w:lineRule="exact" w:before="10"/>
              <w:ind w:left="354"/>
              <w:jc w:val="left"/>
              <w:rPr>
                <w:rFonts w:ascii="Times New Roman"/>
                <w:sz w:val="18"/>
              </w:rPr>
            </w:pPr>
            <w:r>
              <w:rPr>
                <w:rFonts w:ascii="Times New Roman"/>
                <w:sz w:val="18"/>
              </w:rPr>
              <w:t>708,000</w:t>
            </w:r>
          </w:p>
        </w:tc>
      </w:tr>
      <w:tr>
        <w:trPr>
          <w:trHeight w:val="205" w:hRule="atLeast"/>
        </w:trPr>
        <w:tc>
          <w:tcPr>
            <w:tcW w:w="1780" w:type="dxa"/>
            <w:tcBorders>
              <w:top w:val="single" w:sz="6" w:space="0" w:color="5FFF00"/>
              <w:bottom w:val="single" w:sz="6" w:space="0" w:color="5FFF00"/>
            </w:tcBorders>
          </w:tcPr>
          <w:p>
            <w:pPr>
              <w:pStyle w:val="TableParagraph"/>
              <w:spacing w:line="186" w:lineRule="exact"/>
              <w:ind w:left="77" w:right="77"/>
              <w:rPr>
                <w:rFonts w:ascii="Times New Roman" w:hAnsi="Times New Roman"/>
                <w:sz w:val="18"/>
              </w:rPr>
            </w:pPr>
            <w:r>
              <w:rPr>
                <w:rFonts w:ascii="Times New Roman" w:hAnsi="Times New Roman"/>
                <w:sz w:val="18"/>
              </w:rPr>
              <w:t>Non – SEZ Area</w:t>
            </w:r>
          </w:p>
        </w:tc>
        <w:tc>
          <w:tcPr>
            <w:tcW w:w="1967" w:type="dxa"/>
            <w:tcBorders>
              <w:top w:val="single" w:sz="6" w:space="0" w:color="5FFF00"/>
              <w:bottom w:val="single" w:sz="6" w:space="0" w:color="5FFF00"/>
            </w:tcBorders>
          </w:tcPr>
          <w:p>
            <w:pPr>
              <w:pStyle w:val="TableParagraph"/>
              <w:spacing w:line="186" w:lineRule="exact"/>
              <w:ind w:left="80" w:right="270"/>
              <w:rPr>
                <w:rFonts w:ascii="Times New Roman"/>
                <w:sz w:val="18"/>
              </w:rPr>
            </w:pPr>
            <w:r>
              <w:rPr>
                <w:rFonts w:ascii="Times New Roman"/>
                <w:sz w:val="18"/>
              </w:rPr>
              <w:t>4,111,213</w:t>
            </w:r>
          </w:p>
        </w:tc>
        <w:tc>
          <w:tcPr>
            <w:tcW w:w="1389" w:type="dxa"/>
            <w:tcBorders>
              <w:top w:val="single" w:sz="6" w:space="0" w:color="5FFF00"/>
              <w:bottom w:val="single" w:sz="6" w:space="0" w:color="5FFF00"/>
            </w:tcBorders>
          </w:tcPr>
          <w:p>
            <w:pPr>
              <w:pStyle w:val="TableParagraph"/>
              <w:spacing w:line="186" w:lineRule="exact"/>
              <w:ind w:left="259" w:right="251"/>
              <w:rPr>
                <w:rFonts w:ascii="Times New Roman"/>
                <w:sz w:val="18"/>
              </w:rPr>
            </w:pPr>
            <w:r>
              <w:rPr>
                <w:rFonts w:ascii="Times New Roman"/>
                <w:sz w:val="18"/>
              </w:rPr>
              <w:t>3,403,663</w:t>
            </w:r>
          </w:p>
        </w:tc>
        <w:tc>
          <w:tcPr>
            <w:tcW w:w="1546" w:type="dxa"/>
            <w:tcBorders>
              <w:top w:val="single" w:sz="6" w:space="0" w:color="5FFF00"/>
              <w:bottom w:val="single" w:sz="6" w:space="0" w:color="5FFF00"/>
            </w:tcBorders>
          </w:tcPr>
          <w:p>
            <w:pPr>
              <w:pStyle w:val="TableParagraph"/>
              <w:spacing w:line="186" w:lineRule="exact"/>
              <w:ind w:left="9"/>
              <w:rPr>
                <w:rFonts w:ascii="Times New Roman"/>
                <w:sz w:val="18"/>
              </w:rPr>
            </w:pPr>
            <w:r>
              <w:rPr>
                <w:rFonts w:ascii="Times New Roman"/>
                <w:w w:val="99"/>
                <w:sz w:val="18"/>
              </w:rPr>
              <w:t>-</w:t>
            </w:r>
          </w:p>
        </w:tc>
        <w:tc>
          <w:tcPr>
            <w:tcW w:w="1481" w:type="dxa"/>
            <w:tcBorders>
              <w:top w:val="single" w:sz="6" w:space="0" w:color="5FFF00"/>
              <w:bottom w:val="single" w:sz="6" w:space="0" w:color="5FFF00"/>
            </w:tcBorders>
          </w:tcPr>
          <w:p>
            <w:pPr>
              <w:pStyle w:val="TableParagraph"/>
              <w:spacing w:line="186" w:lineRule="exact"/>
              <w:ind w:left="354"/>
              <w:jc w:val="left"/>
              <w:rPr>
                <w:rFonts w:ascii="Times New Roman"/>
                <w:sz w:val="18"/>
              </w:rPr>
            </w:pPr>
            <w:r>
              <w:rPr>
                <w:rFonts w:ascii="Times New Roman"/>
                <w:sz w:val="18"/>
              </w:rPr>
              <w:t>707,550</w:t>
            </w:r>
          </w:p>
        </w:tc>
      </w:tr>
      <w:tr>
        <w:trPr>
          <w:trHeight w:val="253" w:hRule="atLeast"/>
        </w:trPr>
        <w:tc>
          <w:tcPr>
            <w:tcW w:w="1780" w:type="dxa"/>
            <w:tcBorders>
              <w:top w:val="single" w:sz="6" w:space="0" w:color="5FFF00"/>
              <w:bottom w:val="single" w:sz="6" w:space="0" w:color="5FFF00"/>
            </w:tcBorders>
          </w:tcPr>
          <w:p>
            <w:pPr>
              <w:pStyle w:val="TableParagraph"/>
              <w:spacing w:before="23"/>
              <w:ind w:left="77" w:right="77"/>
              <w:rPr>
                <w:rFonts w:ascii="Times New Roman"/>
                <w:sz w:val="18"/>
              </w:rPr>
            </w:pPr>
            <w:r>
              <w:rPr>
                <w:rFonts w:ascii="Times New Roman"/>
                <w:sz w:val="18"/>
              </w:rPr>
              <w:t>Retail</w:t>
            </w:r>
          </w:p>
        </w:tc>
        <w:tc>
          <w:tcPr>
            <w:tcW w:w="1967" w:type="dxa"/>
            <w:tcBorders>
              <w:top w:val="single" w:sz="6" w:space="0" w:color="5FFF00"/>
              <w:bottom w:val="single" w:sz="6" w:space="0" w:color="5FFF00"/>
            </w:tcBorders>
          </w:tcPr>
          <w:p>
            <w:pPr>
              <w:pStyle w:val="TableParagraph"/>
              <w:spacing w:before="23"/>
              <w:ind w:left="81" w:right="270"/>
              <w:rPr>
                <w:rFonts w:ascii="Times New Roman"/>
                <w:sz w:val="18"/>
              </w:rPr>
            </w:pPr>
            <w:r>
              <w:rPr>
                <w:rFonts w:ascii="Times New Roman"/>
                <w:sz w:val="18"/>
              </w:rPr>
              <w:t>58,083</w:t>
            </w:r>
          </w:p>
        </w:tc>
        <w:tc>
          <w:tcPr>
            <w:tcW w:w="1389" w:type="dxa"/>
            <w:tcBorders>
              <w:top w:val="single" w:sz="6" w:space="0" w:color="5FFF00"/>
              <w:bottom w:val="single" w:sz="6" w:space="0" w:color="5FFF00"/>
            </w:tcBorders>
          </w:tcPr>
          <w:p>
            <w:pPr>
              <w:pStyle w:val="TableParagraph"/>
              <w:spacing w:before="23"/>
              <w:ind w:left="10"/>
              <w:rPr>
                <w:rFonts w:ascii="Times New Roman"/>
                <w:sz w:val="18"/>
              </w:rPr>
            </w:pPr>
            <w:r>
              <w:rPr>
                <w:rFonts w:ascii="Times New Roman"/>
                <w:w w:val="99"/>
                <w:sz w:val="18"/>
              </w:rPr>
              <w:t>-</w:t>
            </w:r>
          </w:p>
        </w:tc>
        <w:tc>
          <w:tcPr>
            <w:tcW w:w="1546" w:type="dxa"/>
            <w:tcBorders>
              <w:top w:val="single" w:sz="6" w:space="0" w:color="5FFF00"/>
              <w:bottom w:val="single" w:sz="6" w:space="0" w:color="5FFF00"/>
            </w:tcBorders>
          </w:tcPr>
          <w:p>
            <w:pPr>
              <w:pStyle w:val="TableParagraph"/>
              <w:spacing w:before="23"/>
              <w:ind w:left="269" w:right="261"/>
              <w:rPr>
                <w:rFonts w:ascii="Times New Roman"/>
                <w:sz w:val="18"/>
              </w:rPr>
            </w:pPr>
            <w:r>
              <w:rPr>
                <w:rFonts w:ascii="Times New Roman"/>
                <w:sz w:val="18"/>
              </w:rPr>
              <w:t>58,083</w:t>
            </w:r>
          </w:p>
        </w:tc>
        <w:tc>
          <w:tcPr>
            <w:tcW w:w="1481" w:type="dxa"/>
            <w:tcBorders>
              <w:top w:val="single" w:sz="6" w:space="0" w:color="5FFF00"/>
              <w:bottom w:val="single" w:sz="6" w:space="0" w:color="5FFF00"/>
            </w:tcBorders>
          </w:tcPr>
          <w:p>
            <w:pPr>
              <w:pStyle w:val="TableParagraph"/>
              <w:jc w:val="left"/>
              <w:rPr>
                <w:rFonts w:ascii="Times New Roman"/>
                <w:sz w:val="16"/>
              </w:rPr>
            </w:pPr>
          </w:p>
        </w:tc>
      </w:tr>
      <w:tr>
        <w:trPr>
          <w:trHeight w:val="205" w:hRule="atLeast"/>
        </w:trPr>
        <w:tc>
          <w:tcPr>
            <w:tcW w:w="1780" w:type="dxa"/>
            <w:tcBorders>
              <w:top w:val="single" w:sz="6" w:space="0" w:color="5FFF00"/>
              <w:bottom w:val="single" w:sz="6" w:space="0" w:color="5FFF00"/>
            </w:tcBorders>
          </w:tcPr>
          <w:p>
            <w:pPr>
              <w:pStyle w:val="TableParagraph"/>
              <w:spacing w:line="186" w:lineRule="exact"/>
              <w:ind w:left="77" w:right="77"/>
              <w:rPr>
                <w:rFonts w:ascii="Times New Roman" w:hAnsi="Times New Roman"/>
                <w:b/>
                <w:sz w:val="18"/>
              </w:rPr>
            </w:pPr>
            <w:r>
              <w:rPr>
                <w:rFonts w:ascii="Times New Roman" w:hAnsi="Times New Roman"/>
                <w:b/>
                <w:sz w:val="18"/>
              </w:rPr>
              <w:t>Total – Office/Retail</w:t>
            </w:r>
          </w:p>
        </w:tc>
        <w:tc>
          <w:tcPr>
            <w:tcW w:w="1967" w:type="dxa"/>
            <w:tcBorders>
              <w:top w:val="single" w:sz="6" w:space="0" w:color="5FFF00"/>
              <w:bottom w:val="single" w:sz="6" w:space="0" w:color="5FFF00"/>
            </w:tcBorders>
          </w:tcPr>
          <w:p>
            <w:pPr>
              <w:pStyle w:val="TableParagraph"/>
              <w:spacing w:line="186" w:lineRule="exact"/>
              <w:ind w:left="80" w:right="270"/>
              <w:rPr>
                <w:rFonts w:ascii="Times New Roman"/>
                <w:b/>
                <w:sz w:val="18"/>
              </w:rPr>
            </w:pPr>
            <w:r>
              <w:rPr>
                <w:rFonts w:ascii="Times New Roman"/>
                <w:b/>
                <w:sz w:val="18"/>
              </w:rPr>
              <w:t>14,819,653</w:t>
            </w:r>
          </w:p>
        </w:tc>
        <w:tc>
          <w:tcPr>
            <w:tcW w:w="1389" w:type="dxa"/>
            <w:tcBorders>
              <w:top w:val="single" w:sz="6" w:space="0" w:color="5FFF00"/>
              <w:bottom w:val="single" w:sz="6" w:space="0" w:color="5FFF00"/>
            </w:tcBorders>
          </w:tcPr>
          <w:p>
            <w:pPr>
              <w:pStyle w:val="TableParagraph"/>
              <w:spacing w:line="186" w:lineRule="exact"/>
              <w:ind w:left="259" w:right="251"/>
              <w:rPr>
                <w:rFonts w:ascii="Times New Roman"/>
                <w:b/>
                <w:sz w:val="18"/>
              </w:rPr>
            </w:pPr>
            <w:r>
              <w:rPr>
                <w:rFonts w:ascii="Times New Roman"/>
                <w:b/>
                <w:sz w:val="18"/>
              </w:rPr>
              <w:t>11,751,174</w:t>
            </w:r>
          </w:p>
        </w:tc>
        <w:tc>
          <w:tcPr>
            <w:tcW w:w="1546" w:type="dxa"/>
            <w:tcBorders>
              <w:top w:val="single" w:sz="6" w:space="0" w:color="5FFF00"/>
              <w:bottom w:val="single" w:sz="6" w:space="0" w:color="5FFF00"/>
            </w:tcBorders>
          </w:tcPr>
          <w:p>
            <w:pPr>
              <w:pStyle w:val="TableParagraph"/>
              <w:spacing w:line="186" w:lineRule="exact"/>
              <w:ind w:left="416"/>
              <w:jc w:val="left"/>
              <w:rPr>
                <w:rFonts w:ascii="Times New Roman"/>
                <w:b/>
                <w:sz w:val="18"/>
              </w:rPr>
            </w:pPr>
            <w:r>
              <w:rPr>
                <w:rFonts w:ascii="Times New Roman"/>
                <w:b/>
                <w:sz w:val="18"/>
              </w:rPr>
              <w:t>1,652,929</w:t>
            </w:r>
          </w:p>
        </w:tc>
        <w:tc>
          <w:tcPr>
            <w:tcW w:w="1481" w:type="dxa"/>
            <w:tcBorders>
              <w:top w:val="single" w:sz="6" w:space="0" w:color="5FFF00"/>
              <w:bottom w:val="single" w:sz="6" w:space="0" w:color="5FFF00"/>
            </w:tcBorders>
          </w:tcPr>
          <w:p>
            <w:pPr>
              <w:pStyle w:val="TableParagraph"/>
              <w:spacing w:line="186" w:lineRule="exact"/>
              <w:ind w:left="287"/>
              <w:jc w:val="left"/>
              <w:rPr>
                <w:rFonts w:ascii="Times New Roman"/>
                <w:b/>
                <w:sz w:val="18"/>
              </w:rPr>
            </w:pPr>
            <w:r>
              <w:rPr>
                <w:rFonts w:ascii="Times New Roman"/>
                <w:b/>
                <w:sz w:val="18"/>
              </w:rPr>
              <w:t>1,415,550</w:t>
            </w:r>
          </w:p>
        </w:tc>
      </w:tr>
      <w:tr>
        <w:trPr>
          <w:trHeight w:val="211" w:hRule="atLeast"/>
        </w:trPr>
        <w:tc>
          <w:tcPr>
            <w:tcW w:w="1780" w:type="dxa"/>
            <w:tcBorders>
              <w:top w:val="single" w:sz="6" w:space="0" w:color="5FFF00"/>
            </w:tcBorders>
          </w:tcPr>
          <w:p>
            <w:pPr>
              <w:pStyle w:val="TableParagraph"/>
              <w:jc w:val="left"/>
              <w:rPr>
                <w:rFonts w:ascii="Times New Roman"/>
                <w:sz w:val="14"/>
              </w:rPr>
            </w:pPr>
          </w:p>
        </w:tc>
        <w:tc>
          <w:tcPr>
            <w:tcW w:w="1967" w:type="dxa"/>
            <w:tcBorders>
              <w:top w:val="single" w:sz="6" w:space="0" w:color="5FFF00"/>
            </w:tcBorders>
          </w:tcPr>
          <w:p>
            <w:pPr>
              <w:pStyle w:val="TableParagraph"/>
              <w:jc w:val="left"/>
              <w:rPr>
                <w:rFonts w:ascii="Times New Roman"/>
                <w:sz w:val="14"/>
              </w:rPr>
            </w:pPr>
          </w:p>
        </w:tc>
        <w:tc>
          <w:tcPr>
            <w:tcW w:w="1389" w:type="dxa"/>
            <w:tcBorders>
              <w:top w:val="single" w:sz="6" w:space="0" w:color="5FFF00"/>
            </w:tcBorders>
          </w:tcPr>
          <w:p>
            <w:pPr>
              <w:pStyle w:val="TableParagraph"/>
              <w:jc w:val="left"/>
              <w:rPr>
                <w:rFonts w:ascii="Times New Roman"/>
                <w:sz w:val="14"/>
              </w:rPr>
            </w:pPr>
          </w:p>
        </w:tc>
        <w:tc>
          <w:tcPr>
            <w:tcW w:w="1546" w:type="dxa"/>
            <w:tcBorders>
              <w:top w:val="single" w:sz="6" w:space="0" w:color="5FFF00"/>
            </w:tcBorders>
          </w:tcPr>
          <w:p>
            <w:pPr>
              <w:pStyle w:val="TableParagraph"/>
              <w:spacing w:line="191" w:lineRule="exact"/>
              <w:ind w:left="455"/>
              <w:jc w:val="left"/>
              <w:rPr>
                <w:rFonts w:ascii="Times New Roman"/>
                <w:sz w:val="18"/>
              </w:rPr>
            </w:pPr>
            <w:r>
              <w:rPr>
                <w:rFonts w:ascii="Times New Roman"/>
                <w:sz w:val="18"/>
              </w:rPr>
              <w:t>619 keys</w:t>
            </w:r>
          </w:p>
        </w:tc>
        <w:tc>
          <w:tcPr>
            <w:tcW w:w="1481" w:type="dxa"/>
            <w:tcBorders>
              <w:top w:val="single" w:sz="6" w:space="0" w:color="5FFF00"/>
            </w:tcBorders>
          </w:tcPr>
          <w:p>
            <w:pPr>
              <w:pStyle w:val="TableParagraph"/>
              <w:jc w:val="left"/>
              <w:rPr>
                <w:rFonts w:ascii="Times New Roman"/>
                <w:sz w:val="14"/>
              </w:rPr>
            </w:pPr>
          </w:p>
        </w:tc>
      </w:tr>
      <w:tr>
        <w:trPr>
          <w:trHeight w:val="207" w:hRule="atLeast"/>
        </w:trPr>
        <w:tc>
          <w:tcPr>
            <w:tcW w:w="1780" w:type="dxa"/>
          </w:tcPr>
          <w:p>
            <w:pPr>
              <w:pStyle w:val="TableParagraph"/>
              <w:spacing w:line="188" w:lineRule="exact"/>
              <w:ind w:left="77" w:right="77"/>
              <w:rPr>
                <w:rFonts w:ascii="Times New Roman"/>
                <w:sz w:val="18"/>
              </w:rPr>
            </w:pPr>
            <w:r>
              <w:rPr>
                <w:rFonts w:ascii="Times New Roman"/>
                <w:sz w:val="18"/>
              </w:rPr>
              <w:t>Hotel</w:t>
            </w:r>
          </w:p>
        </w:tc>
        <w:tc>
          <w:tcPr>
            <w:tcW w:w="1967" w:type="dxa"/>
          </w:tcPr>
          <w:p>
            <w:pPr>
              <w:pStyle w:val="TableParagraph"/>
              <w:spacing w:line="188" w:lineRule="exact"/>
              <w:ind w:left="82" w:right="267"/>
              <w:rPr>
                <w:rFonts w:ascii="Times New Roman"/>
                <w:sz w:val="18"/>
              </w:rPr>
            </w:pPr>
            <w:r>
              <w:rPr>
                <w:rFonts w:ascii="Times New Roman"/>
                <w:sz w:val="18"/>
              </w:rPr>
              <w:t>619 keys</w:t>
            </w:r>
          </w:p>
        </w:tc>
        <w:tc>
          <w:tcPr>
            <w:tcW w:w="1389" w:type="dxa"/>
          </w:tcPr>
          <w:p>
            <w:pPr>
              <w:pStyle w:val="TableParagraph"/>
              <w:jc w:val="left"/>
              <w:rPr>
                <w:rFonts w:ascii="Times New Roman"/>
                <w:sz w:val="14"/>
              </w:rPr>
            </w:pPr>
          </w:p>
        </w:tc>
        <w:tc>
          <w:tcPr>
            <w:tcW w:w="1546" w:type="dxa"/>
          </w:tcPr>
          <w:p>
            <w:pPr>
              <w:pStyle w:val="TableParagraph"/>
              <w:spacing w:line="188" w:lineRule="exact"/>
              <w:ind w:left="493"/>
              <w:jc w:val="left"/>
              <w:rPr>
                <w:rFonts w:ascii="Times New Roman"/>
                <w:sz w:val="18"/>
              </w:rPr>
            </w:pPr>
            <w:r>
              <w:rPr>
                <w:rFonts w:ascii="Times New Roman"/>
                <w:sz w:val="18"/>
              </w:rPr>
              <w:t>(Hotel -</w:t>
            </w:r>
          </w:p>
        </w:tc>
        <w:tc>
          <w:tcPr>
            <w:tcW w:w="1481" w:type="dxa"/>
          </w:tcPr>
          <w:p>
            <w:pPr>
              <w:pStyle w:val="TableParagraph"/>
              <w:jc w:val="left"/>
              <w:rPr>
                <w:rFonts w:ascii="Times New Roman"/>
                <w:sz w:val="14"/>
              </w:rPr>
            </w:pPr>
          </w:p>
        </w:tc>
      </w:tr>
      <w:tr>
        <w:trPr>
          <w:trHeight w:val="415" w:hRule="atLeast"/>
        </w:trPr>
        <w:tc>
          <w:tcPr>
            <w:tcW w:w="1780" w:type="dxa"/>
          </w:tcPr>
          <w:p>
            <w:pPr>
              <w:pStyle w:val="TableParagraph"/>
              <w:spacing w:line="203" w:lineRule="exact"/>
              <w:ind w:left="77" w:right="77"/>
              <w:rPr>
                <w:rFonts w:ascii="Times New Roman"/>
                <w:sz w:val="18"/>
              </w:rPr>
            </w:pPr>
            <w:r>
              <w:rPr>
                <w:rFonts w:ascii="Times New Roman"/>
                <w:sz w:val="18"/>
              </w:rPr>
              <w:t>(including convention</w:t>
            </w:r>
          </w:p>
          <w:p>
            <w:pPr>
              <w:pStyle w:val="TableParagraph"/>
              <w:spacing w:line="191" w:lineRule="exact" w:before="2"/>
              <w:ind w:left="77" w:right="77"/>
              <w:rPr>
                <w:rFonts w:ascii="Times New Roman"/>
                <w:sz w:val="18"/>
              </w:rPr>
            </w:pPr>
            <w:r>
              <w:rPr>
                <w:rFonts w:ascii="Times New Roman"/>
                <w:sz w:val="18"/>
              </w:rPr>
              <w:t>centre)</w:t>
            </w:r>
          </w:p>
        </w:tc>
        <w:tc>
          <w:tcPr>
            <w:tcW w:w="1967" w:type="dxa"/>
          </w:tcPr>
          <w:p>
            <w:pPr>
              <w:pStyle w:val="TableParagraph"/>
              <w:spacing w:line="203" w:lineRule="exact"/>
              <w:ind w:left="80" w:right="270"/>
              <w:rPr>
                <w:rFonts w:ascii="Times New Roman"/>
                <w:sz w:val="18"/>
              </w:rPr>
            </w:pPr>
            <w:r>
              <w:rPr>
                <w:rFonts w:ascii="Times New Roman"/>
                <w:sz w:val="18"/>
              </w:rPr>
              <w:t>(Hotel - 722,678</w:t>
            </w:r>
          </w:p>
          <w:p>
            <w:pPr>
              <w:pStyle w:val="TableParagraph"/>
              <w:spacing w:line="191" w:lineRule="exact" w:before="2"/>
              <w:ind w:left="82" w:right="270"/>
              <w:rPr>
                <w:rFonts w:ascii="Times New Roman" w:hAnsi="Times New Roman"/>
                <w:sz w:val="18"/>
              </w:rPr>
            </w:pPr>
            <w:r>
              <w:rPr>
                <w:rFonts w:ascii="Times New Roman" w:hAnsi="Times New Roman"/>
                <w:sz w:val="18"/>
              </w:rPr>
              <w:t>Convention – 58,000)</w:t>
            </w:r>
          </w:p>
        </w:tc>
        <w:tc>
          <w:tcPr>
            <w:tcW w:w="1389" w:type="dxa"/>
          </w:tcPr>
          <w:p>
            <w:pPr>
              <w:pStyle w:val="TableParagraph"/>
              <w:spacing w:before="5"/>
              <w:ind w:left="10"/>
              <w:rPr>
                <w:rFonts w:ascii="Times New Roman"/>
                <w:sz w:val="18"/>
              </w:rPr>
            </w:pPr>
            <w:r>
              <w:rPr>
                <w:rFonts w:ascii="Times New Roman"/>
                <w:w w:val="99"/>
                <w:sz w:val="18"/>
              </w:rPr>
              <w:t>-</w:t>
            </w:r>
          </w:p>
        </w:tc>
        <w:tc>
          <w:tcPr>
            <w:tcW w:w="1546" w:type="dxa"/>
          </w:tcPr>
          <w:p>
            <w:pPr>
              <w:pStyle w:val="TableParagraph"/>
              <w:spacing w:line="203" w:lineRule="exact"/>
              <w:ind w:left="269" w:right="261"/>
              <w:rPr>
                <w:rFonts w:ascii="Times New Roman"/>
                <w:sz w:val="18"/>
              </w:rPr>
            </w:pPr>
            <w:r>
              <w:rPr>
                <w:rFonts w:ascii="Times New Roman"/>
                <w:sz w:val="18"/>
              </w:rPr>
              <w:t>722,678</w:t>
            </w:r>
          </w:p>
          <w:p>
            <w:pPr>
              <w:pStyle w:val="TableParagraph"/>
              <w:spacing w:line="193" w:lineRule="exact"/>
              <w:ind w:left="269" w:right="261"/>
              <w:rPr>
                <w:rFonts w:ascii="Times New Roman" w:hAnsi="Times New Roman"/>
                <w:sz w:val="18"/>
              </w:rPr>
            </w:pPr>
            <w:r>
              <w:rPr>
                <w:rFonts w:ascii="Times New Roman" w:hAnsi="Times New Roman"/>
                <w:sz w:val="18"/>
              </w:rPr>
              <w:t>Convention –</w:t>
            </w:r>
          </w:p>
        </w:tc>
        <w:tc>
          <w:tcPr>
            <w:tcW w:w="1481" w:type="dxa"/>
          </w:tcPr>
          <w:p>
            <w:pPr>
              <w:pStyle w:val="TableParagraph"/>
              <w:jc w:val="left"/>
              <w:rPr>
                <w:rFonts w:ascii="Times New Roman"/>
                <w:sz w:val="16"/>
              </w:rPr>
            </w:pPr>
          </w:p>
        </w:tc>
      </w:tr>
      <w:tr>
        <w:trPr>
          <w:trHeight w:val="221" w:hRule="atLeast"/>
        </w:trPr>
        <w:tc>
          <w:tcPr>
            <w:tcW w:w="1780" w:type="dxa"/>
            <w:tcBorders>
              <w:bottom w:val="single" w:sz="6" w:space="0" w:color="5FFF00"/>
            </w:tcBorders>
          </w:tcPr>
          <w:p>
            <w:pPr>
              <w:pStyle w:val="TableParagraph"/>
              <w:jc w:val="left"/>
              <w:rPr>
                <w:rFonts w:ascii="Times New Roman"/>
                <w:sz w:val="14"/>
              </w:rPr>
            </w:pPr>
          </w:p>
        </w:tc>
        <w:tc>
          <w:tcPr>
            <w:tcW w:w="1967" w:type="dxa"/>
            <w:tcBorders>
              <w:bottom w:val="single" w:sz="6" w:space="0" w:color="5FFF00"/>
            </w:tcBorders>
          </w:tcPr>
          <w:p>
            <w:pPr>
              <w:pStyle w:val="TableParagraph"/>
              <w:jc w:val="left"/>
              <w:rPr>
                <w:rFonts w:ascii="Times New Roman"/>
                <w:sz w:val="14"/>
              </w:rPr>
            </w:pPr>
          </w:p>
        </w:tc>
        <w:tc>
          <w:tcPr>
            <w:tcW w:w="1389" w:type="dxa"/>
            <w:tcBorders>
              <w:bottom w:val="single" w:sz="6" w:space="0" w:color="5FFF00"/>
            </w:tcBorders>
          </w:tcPr>
          <w:p>
            <w:pPr>
              <w:pStyle w:val="TableParagraph"/>
              <w:jc w:val="left"/>
              <w:rPr>
                <w:rFonts w:ascii="Times New Roman"/>
                <w:sz w:val="14"/>
              </w:rPr>
            </w:pPr>
          </w:p>
        </w:tc>
        <w:tc>
          <w:tcPr>
            <w:tcW w:w="1546" w:type="dxa"/>
            <w:tcBorders>
              <w:bottom w:val="single" w:sz="6" w:space="0" w:color="5FFF00"/>
            </w:tcBorders>
          </w:tcPr>
          <w:p>
            <w:pPr>
              <w:pStyle w:val="TableParagraph"/>
              <w:spacing w:line="201" w:lineRule="exact"/>
              <w:ind w:left="500"/>
              <w:jc w:val="left"/>
              <w:rPr>
                <w:rFonts w:ascii="Times New Roman"/>
                <w:sz w:val="18"/>
              </w:rPr>
            </w:pPr>
            <w:r>
              <w:rPr>
                <w:rFonts w:ascii="Times New Roman"/>
                <w:sz w:val="18"/>
              </w:rPr>
              <w:t>58,000)</w:t>
            </w:r>
          </w:p>
        </w:tc>
        <w:tc>
          <w:tcPr>
            <w:tcW w:w="1481" w:type="dxa"/>
            <w:tcBorders>
              <w:bottom w:val="single" w:sz="6" w:space="0" w:color="5FFF00"/>
            </w:tcBorders>
          </w:tcPr>
          <w:p>
            <w:pPr>
              <w:pStyle w:val="TableParagraph"/>
              <w:jc w:val="left"/>
              <w:rPr>
                <w:rFonts w:ascii="Times New Roman"/>
                <w:sz w:val="14"/>
              </w:rPr>
            </w:pPr>
          </w:p>
        </w:tc>
      </w:tr>
    </w:tbl>
    <w:p>
      <w:pPr>
        <w:spacing w:before="112"/>
        <w:ind w:left="2567" w:right="0" w:firstLine="0"/>
        <w:jc w:val="left"/>
        <w:rPr>
          <w:rFonts w:ascii="Times New Roman" w:hAnsi="Times New Roman"/>
          <w:sz w:val="18"/>
        </w:rPr>
      </w:pPr>
      <w:r>
        <w:rPr>
          <w:rFonts w:ascii="Times New Roman" w:hAnsi="Times New Roman"/>
          <w:sz w:val="18"/>
        </w:rPr>
        <w:t>Source: Architect certificates, rent roll, lease deeds; Note – office &amp; retail refers to leasable area while hotel &amp; convention refers to developable area</w:t>
      </w:r>
    </w:p>
    <w:p>
      <w:pPr>
        <w:spacing w:after="0"/>
        <w:jc w:val="left"/>
        <w:rPr>
          <w:rFonts w:ascii="Times New Roman" w:hAnsi="Times New Roman"/>
          <w:sz w:val="18"/>
        </w:rPr>
        <w:sectPr>
          <w:type w:val="continuous"/>
          <w:pgSz w:w="12240" w:h="15840"/>
          <w:pgMar w:top="800" w:bottom="280" w:left="620" w:right="580"/>
        </w:sectPr>
      </w:pPr>
    </w:p>
    <w:p>
      <w:pPr>
        <w:pStyle w:val="BodyText"/>
        <w:spacing w:before="9"/>
        <w:rPr>
          <w:rFonts w:ascii="Times New Roman"/>
          <w:sz w:val="17"/>
        </w:rPr>
      </w:pPr>
    </w:p>
    <w:p>
      <w:pPr>
        <w:spacing w:after="0"/>
        <w:rPr>
          <w:rFonts w:ascii="Times New Roman"/>
          <w:sz w:val="17"/>
        </w:rPr>
        <w:sectPr>
          <w:pgSz w:w="12240" w:h="15840"/>
          <w:pgMar w:header="728" w:footer="1174" w:top="1180" w:bottom="1460" w:left="620" w:right="580"/>
        </w:sectPr>
      </w:pPr>
    </w:p>
    <w:p>
      <w:pPr>
        <w:spacing w:before="93"/>
        <w:ind w:left="267" w:right="0" w:firstLine="0"/>
        <w:jc w:val="left"/>
        <w:rPr>
          <w:rFonts w:ascii="Times New Roman"/>
          <w:sz w:val="18"/>
        </w:rPr>
      </w:pPr>
      <w:r>
        <w:rPr>
          <w:rFonts w:ascii="Times New Roman"/>
          <w:color w:val="16772B"/>
          <w:sz w:val="18"/>
        </w:rPr>
        <w:t>Location Map</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rPr>
      </w:pPr>
    </w:p>
    <w:p>
      <w:pPr>
        <w:spacing w:before="0"/>
        <w:ind w:left="267" w:right="0" w:firstLine="0"/>
        <w:jc w:val="left"/>
        <w:rPr>
          <w:rFonts w:ascii="Times New Roman"/>
          <w:sz w:val="18"/>
        </w:rPr>
      </w:pPr>
      <w:r>
        <w:rPr>
          <w:rFonts w:ascii="Times New Roman"/>
          <w:color w:val="16772B"/>
          <w:sz w:val="18"/>
        </w:rPr>
        <w:t>Key Assumptions</w:t>
      </w:r>
    </w:p>
    <w:p>
      <w:pPr>
        <w:pStyle w:val="BodyText"/>
        <w:spacing w:before="1"/>
        <w:rPr>
          <w:rFonts w:ascii="Times New Roman"/>
          <w:sz w:val="8"/>
        </w:rPr>
      </w:pPr>
      <w:r>
        <w:rPr/>
        <w:br w:type="column"/>
      </w:r>
      <w:r>
        <w:rPr>
          <w:rFonts w:ascii="Times New Roman"/>
          <w:sz w:val="8"/>
        </w:rPr>
      </w:r>
    </w:p>
    <w:p>
      <w:pPr>
        <w:pStyle w:val="BodyText"/>
        <w:ind w:left="268"/>
        <w:rPr>
          <w:rFonts w:ascii="Times New Roman"/>
          <w:sz w:val="20"/>
        </w:rPr>
      </w:pPr>
      <w:r>
        <w:rPr>
          <w:rFonts w:ascii="Times New Roman"/>
          <w:sz w:val="20"/>
        </w:rPr>
        <w:drawing>
          <wp:inline distT="0" distB="0" distL="0" distR="0">
            <wp:extent cx="4875410" cy="3546157"/>
            <wp:effectExtent l="0" t="0" r="0" b="0"/>
            <wp:docPr id="17" name="image12.jpeg"/>
            <wp:cNvGraphicFramePr>
              <a:graphicFrameLocks noChangeAspect="1"/>
            </wp:cNvGraphicFramePr>
            <a:graphic>
              <a:graphicData uri="http://schemas.openxmlformats.org/drawingml/2006/picture">
                <pic:pic>
                  <pic:nvPicPr>
                    <pic:cNvPr id="18" name="image12.jpeg"/>
                    <pic:cNvPicPr/>
                  </pic:nvPicPr>
                  <pic:blipFill>
                    <a:blip r:embed="rId18" cstate="print"/>
                    <a:stretch>
                      <a:fillRect/>
                    </a:stretch>
                  </pic:blipFill>
                  <pic:spPr>
                    <a:xfrm>
                      <a:off x="0" y="0"/>
                      <a:ext cx="4875410" cy="3546157"/>
                    </a:xfrm>
                    <a:prstGeom prst="rect">
                      <a:avLst/>
                    </a:prstGeom>
                  </pic:spPr>
                </pic:pic>
              </a:graphicData>
            </a:graphic>
          </wp:inline>
        </w:drawing>
      </w:r>
      <w:r>
        <w:rPr>
          <w:rFonts w:ascii="Times New Roman"/>
          <w:sz w:val="20"/>
        </w:rPr>
      </w:r>
    </w:p>
    <w:p>
      <w:pPr>
        <w:pStyle w:val="BodyText"/>
        <w:rPr>
          <w:rFonts w:ascii="Times New Roman"/>
          <w:sz w:val="14"/>
        </w:rPr>
      </w:pPr>
    </w:p>
    <w:tbl>
      <w:tblPr>
        <w:tblW w:w="0" w:type="auto"/>
        <w:jc w:val="left"/>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89"/>
        <w:gridCol w:w="2094"/>
        <w:gridCol w:w="2659"/>
      </w:tblGrid>
      <w:tr>
        <w:trPr>
          <w:trHeight w:val="422" w:hRule="atLeast"/>
        </w:trPr>
        <w:tc>
          <w:tcPr>
            <w:tcW w:w="8742" w:type="dxa"/>
            <w:gridSpan w:val="3"/>
          </w:tcPr>
          <w:p>
            <w:pPr>
              <w:pStyle w:val="TableParagraph"/>
              <w:tabs>
                <w:tab w:pos="3678" w:val="left" w:leader="none"/>
                <w:tab w:pos="6138" w:val="left" w:leader="none"/>
              </w:tabs>
              <w:spacing w:line="207" w:lineRule="exact" w:before="9"/>
              <w:ind w:left="423"/>
              <w:rPr>
                <w:rFonts w:ascii="Times New Roman"/>
                <w:b/>
                <w:sz w:val="18"/>
              </w:rPr>
            </w:pPr>
            <w:r>
              <w:rPr>
                <w:rFonts w:ascii="Times New Roman"/>
                <w:b/>
                <w:color w:val="FFFFFF"/>
                <w:sz w:val="18"/>
              </w:rPr>
              <w:t>Particulars</w:t>
              <w:tab/>
              <w:t>Unit</w:t>
              <w:tab/>
              <w:t>Details</w:t>
            </w:r>
          </w:p>
          <w:p>
            <w:pPr>
              <w:pStyle w:val="TableParagraph"/>
              <w:spacing w:line="187" w:lineRule="exact"/>
              <w:rPr>
                <w:rFonts w:ascii="Times New Roman"/>
                <w:sz w:val="18"/>
              </w:rPr>
            </w:pPr>
            <w:r>
              <w:rPr>
                <w:rFonts w:ascii="Times New Roman"/>
                <w:sz w:val="18"/>
              </w:rPr>
              <w:t>Construction assumptions</w:t>
            </w:r>
          </w:p>
        </w:tc>
      </w:tr>
      <w:tr>
        <w:trPr>
          <w:trHeight w:val="205" w:hRule="atLeast"/>
        </w:trPr>
        <w:tc>
          <w:tcPr>
            <w:tcW w:w="3989" w:type="dxa"/>
            <w:tcBorders>
              <w:bottom w:val="single" w:sz="6" w:space="0" w:color="5FFF00"/>
            </w:tcBorders>
          </w:tcPr>
          <w:p>
            <w:pPr>
              <w:pStyle w:val="TableParagraph"/>
              <w:spacing w:line="186" w:lineRule="exact"/>
              <w:ind w:left="982"/>
              <w:jc w:val="left"/>
              <w:rPr>
                <w:rFonts w:ascii="Times New Roman"/>
                <w:sz w:val="18"/>
              </w:rPr>
            </w:pPr>
            <w:r>
              <w:rPr>
                <w:rFonts w:ascii="Times New Roman"/>
                <w:sz w:val="18"/>
              </w:rPr>
              <w:t>Pending cost to complete</w:t>
            </w:r>
          </w:p>
        </w:tc>
        <w:tc>
          <w:tcPr>
            <w:tcW w:w="2094" w:type="dxa"/>
            <w:tcBorders>
              <w:bottom w:val="single" w:sz="6" w:space="0" w:color="5FFF00"/>
            </w:tcBorders>
          </w:tcPr>
          <w:p>
            <w:pPr>
              <w:pStyle w:val="TableParagraph"/>
              <w:spacing w:line="186" w:lineRule="exact"/>
              <w:ind w:left="603"/>
              <w:jc w:val="left"/>
              <w:rPr>
                <w:rFonts w:ascii="Times New Roman"/>
                <w:sz w:val="18"/>
              </w:rPr>
            </w:pPr>
            <w:r>
              <w:rPr>
                <w:rFonts w:ascii="Times New Roman"/>
                <w:sz w:val="18"/>
              </w:rPr>
              <w:t>INR mn</w:t>
            </w:r>
          </w:p>
        </w:tc>
        <w:tc>
          <w:tcPr>
            <w:tcW w:w="2659" w:type="dxa"/>
            <w:tcBorders>
              <w:bottom w:val="single" w:sz="6" w:space="0" w:color="5FFF00"/>
            </w:tcBorders>
          </w:tcPr>
          <w:p>
            <w:pPr>
              <w:pStyle w:val="TableParagraph"/>
              <w:spacing w:line="186" w:lineRule="exact"/>
              <w:ind w:left="411" w:right="356"/>
              <w:rPr>
                <w:rFonts w:ascii="Times New Roman"/>
                <w:sz w:val="18"/>
              </w:rPr>
            </w:pPr>
            <w:r>
              <w:rPr>
                <w:rFonts w:ascii="Times New Roman"/>
                <w:sz w:val="18"/>
              </w:rPr>
              <w:t>17,089*</w:t>
            </w:r>
          </w:p>
        </w:tc>
      </w:tr>
      <w:tr>
        <w:trPr>
          <w:trHeight w:val="208" w:hRule="atLeast"/>
        </w:trPr>
        <w:tc>
          <w:tcPr>
            <w:tcW w:w="3989" w:type="dxa"/>
            <w:tcBorders>
              <w:top w:val="single" w:sz="6" w:space="0" w:color="5FFF00"/>
            </w:tcBorders>
          </w:tcPr>
          <w:p>
            <w:pPr>
              <w:pStyle w:val="TableParagraph"/>
              <w:spacing w:line="186" w:lineRule="exact" w:before="2"/>
              <w:ind w:left="71"/>
              <w:jc w:val="left"/>
              <w:rPr>
                <w:rFonts w:ascii="Times New Roman"/>
                <w:sz w:val="18"/>
              </w:rPr>
            </w:pPr>
            <w:r>
              <w:rPr>
                <w:rFonts w:ascii="Times New Roman"/>
                <w:sz w:val="18"/>
              </w:rPr>
              <w:t>Proposed project completion timelines (all blocks)</w:t>
            </w:r>
          </w:p>
        </w:tc>
        <w:tc>
          <w:tcPr>
            <w:tcW w:w="2094" w:type="dxa"/>
            <w:tcBorders>
              <w:top w:val="single" w:sz="6" w:space="0" w:color="5FFF00"/>
            </w:tcBorders>
          </w:tcPr>
          <w:p>
            <w:pPr>
              <w:pStyle w:val="TableParagraph"/>
              <w:spacing w:line="186" w:lineRule="exact" w:before="2"/>
              <w:ind w:left="401"/>
              <w:jc w:val="left"/>
              <w:rPr>
                <w:rFonts w:ascii="Times New Roman"/>
                <w:sz w:val="18"/>
              </w:rPr>
            </w:pPr>
            <w:r>
              <w:rPr>
                <w:rFonts w:ascii="Times New Roman"/>
                <w:sz w:val="18"/>
              </w:rPr>
              <w:t>Quarter, Year</w:t>
            </w:r>
          </w:p>
        </w:tc>
        <w:tc>
          <w:tcPr>
            <w:tcW w:w="2659" w:type="dxa"/>
            <w:tcBorders>
              <w:top w:val="single" w:sz="6" w:space="0" w:color="5FFF00"/>
            </w:tcBorders>
          </w:tcPr>
          <w:p>
            <w:pPr>
              <w:pStyle w:val="TableParagraph"/>
              <w:spacing w:line="186" w:lineRule="exact" w:before="2"/>
              <w:ind w:left="412" w:right="356"/>
              <w:rPr>
                <w:rFonts w:ascii="Times New Roman"/>
                <w:sz w:val="18"/>
              </w:rPr>
            </w:pPr>
            <w:r>
              <w:rPr>
                <w:rFonts w:ascii="Times New Roman"/>
                <w:sz w:val="18"/>
              </w:rPr>
              <w:t>Q3, FY 2025</w:t>
            </w:r>
          </w:p>
        </w:tc>
      </w:tr>
      <w:tr>
        <w:trPr>
          <w:trHeight w:val="206" w:hRule="atLeast"/>
        </w:trPr>
        <w:tc>
          <w:tcPr>
            <w:tcW w:w="6083" w:type="dxa"/>
            <w:gridSpan w:val="2"/>
            <w:shd w:val="clear" w:color="auto" w:fill="5FFF00"/>
          </w:tcPr>
          <w:p>
            <w:pPr>
              <w:pStyle w:val="TableParagraph"/>
              <w:spacing w:line="186" w:lineRule="exact"/>
              <w:ind w:left="2722"/>
              <w:jc w:val="left"/>
              <w:rPr>
                <w:rFonts w:ascii="Times New Roman"/>
                <w:sz w:val="18"/>
              </w:rPr>
            </w:pPr>
            <w:r>
              <w:rPr>
                <w:rFonts w:ascii="Times New Roman"/>
                <w:sz w:val="18"/>
              </w:rPr>
              <w:t>Revenue assumptions (as on March 31, 2020)</w:t>
            </w:r>
          </w:p>
        </w:tc>
        <w:tc>
          <w:tcPr>
            <w:tcW w:w="2659" w:type="dxa"/>
            <w:shd w:val="clear" w:color="auto" w:fill="5FFF00"/>
          </w:tcPr>
          <w:p>
            <w:pPr>
              <w:pStyle w:val="TableParagraph"/>
              <w:jc w:val="left"/>
              <w:rPr>
                <w:rFonts w:ascii="Times New Roman"/>
                <w:sz w:val="14"/>
              </w:rPr>
            </w:pPr>
          </w:p>
        </w:tc>
      </w:tr>
      <w:tr>
        <w:trPr>
          <w:trHeight w:val="206" w:hRule="atLeast"/>
        </w:trPr>
        <w:tc>
          <w:tcPr>
            <w:tcW w:w="3989" w:type="dxa"/>
            <w:tcBorders>
              <w:bottom w:val="single" w:sz="6" w:space="0" w:color="5FFF00"/>
            </w:tcBorders>
          </w:tcPr>
          <w:p>
            <w:pPr>
              <w:pStyle w:val="TableParagraph"/>
              <w:spacing w:line="186" w:lineRule="exact"/>
              <w:ind w:left="1250"/>
              <w:jc w:val="left"/>
              <w:rPr>
                <w:rFonts w:ascii="Times New Roman"/>
                <w:sz w:val="18"/>
              </w:rPr>
            </w:pPr>
            <w:r>
              <w:rPr>
                <w:rFonts w:ascii="Times New Roman"/>
                <w:sz w:val="18"/>
              </w:rPr>
              <w:t>Lease completion</w:t>
            </w:r>
          </w:p>
        </w:tc>
        <w:tc>
          <w:tcPr>
            <w:tcW w:w="2094" w:type="dxa"/>
            <w:tcBorders>
              <w:bottom w:val="single" w:sz="6" w:space="0" w:color="5FFF00"/>
            </w:tcBorders>
          </w:tcPr>
          <w:p>
            <w:pPr>
              <w:pStyle w:val="TableParagraph"/>
              <w:spacing w:line="186" w:lineRule="exact"/>
              <w:ind w:left="701" w:right="1003"/>
              <w:rPr>
                <w:rFonts w:ascii="Times New Roman"/>
                <w:sz w:val="18"/>
              </w:rPr>
            </w:pPr>
            <w:r>
              <w:rPr>
                <w:rFonts w:ascii="Times New Roman"/>
                <w:sz w:val="18"/>
              </w:rPr>
              <w:t>Year</w:t>
            </w:r>
          </w:p>
        </w:tc>
        <w:tc>
          <w:tcPr>
            <w:tcW w:w="2659" w:type="dxa"/>
            <w:tcBorders>
              <w:bottom w:val="single" w:sz="6" w:space="0" w:color="5FFF00"/>
            </w:tcBorders>
          </w:tcPr>
          <w:p>
            <w:pPr>
              <w:pStyle w:val="TableParagraph"/>
              <w:spacing w:line="186" w:lineRule="exact"/>
              <w:ind w:left="413" w:right="356"/>
              <w:rPr>
                <w:rFonts w:ascii="Times New Roman"/>
                <w:sz w:val="18"/>
              </w:rPr>
            </w:pPr>
            <w:r>
              <w:rPr>
                <w:rFonts w:ascii="Times New Roman"/>
                <w:sz w:val="18"/>
              </w:rPr>
              <w:t>FY 2025</w:t>
            </w:r>
          </w:p>
        </w:tc>
      </w:tr>
      <w:tr>
        <w:trPr>
          <w:trHeight w:val="208" w:hRule="atLeast"/>
        </w:trPr>
        <w:tc>
          <w:tcPr>
            <w:tcW w:w="3989" w:type="dxa"/>
            <w:tcBorders>
              <w:top w:val="single" w:sz="6" w:space="0" w:color="5FFF00"/>
              <w:bottom w:val="single" w:sz="6" w:space="0" w:color="5FFF00"/>
            </w:tcBorders>
          </w:tcPr>
          <w:p>
            <w:pPr>
              <w:pStyle w:val="TableParagraph"/>
              <w:spacing w:line="186" w:lineRule="exact" w:before="2"/>
              <w:ind w:left="1412" w:right="1621"/>
              <w:rPr>
                <w:rFonts w:ascii="Times New Roman"/>
                <w:sz w:val="18"/>
              </w:rPr>
            </w:pPr>
            <w:r>
              <w:rPr>
                <w:rFonts w:ascii="Times New Roman"/>
                <w:sz w:val="18"/>
              </w:rPr>
              <w:t>In-place rent</w:t>
            </w:r>
          </w:p>
        </w:tc>
        <w:tc>
          <w:tcPr>
            <w:tcW w:w="2094" w:type="dxa"/>
            <w:tcBorders>
              <w:top w:val="single" w:sz="6" w:space="0" w:color="5FFF00"/>
              <w:bottom w:val="single" w:sz="6" w:space="0" w:color="5FFF00"/>
            </w:tcBorders>
          </w:tcPr>
          <w:p>
            <w:pPr>
              <w:pStyle w:val="TableParagraph"/>
              <w:spacing w:line="186" w:lineRule="exact" w:before="2"/>
              <w:ind w:left="442"/>
              <w:jc w:val="left"/>
              <w:rPr>
                <w:rFonts w:ascii="Times New Roman"/>
                <w:sz w:val="18"/>
              </w:rPr>
            </w:pPr>
            <w:r>
              <w:rPr>
                <w:rFonts w:ascii="Times New Roman"/>
                <w:sz w:val="18"/>
              </w:rPr>
              <w:t>INR psf/mth</w:t>
            </w:r>
          </w:p>
        </w:tc>
        <w:tc>
          <w:tcPr>
            <w:tcW w:w="2659" w:type="dxa"/>
            <w:tcBorders>
              <w:top w:val="single" w:sz="6" w:space="0" w:color="5FFF00"/>
              <w:bottom w:val="single" w:sz="6" w:space="0" w:color="5FFF00"/>
            </w:tcBorders>
          </w:tcPr>
          <w:p>
            <w:pPr>
              <w:pStyle w:val="TableParagraph"/>
              <w:spacing w:line="186" w:lineRule="exact" w:before="2"/>
              <w:ind w:left="415" w:right="356"/>
              <w:rPr>
                <w:rFonts w:ascii="Times New Roman"/>
                <w:sz w:val="18"/>
              </w:rPr>
            </w:pPr>
            <w:r>
              <w:rPr>
                <w:rFonts w:ascii="Times New Roman"/>
                <w:sz w:val="18"/>
              </w:rPr>
              <w:t>60</w:t>
            </w:r>
          </w:p>
        </w:tc>
      </w:tr>
      <w:tr>
        <w:trPr>
          <w:trHeight w:val="536" w:hRule="atLeast"/>
        </w:trPr>
        <w:tc>
          <w:tcPr>
            <w:tcW w:w="3989" w:type="dxa"/>
            <w:tcBorders>
              <w:top w:val="single" w:sz="6" w:space="0" w:color="5FFF00"/>
              <w:bottom w:val="single" w:sz="6" w:space="0" w:color="5FFF00"/>
            </w:tcBorders>
          </w:tcPr>
          <w:p>
            <w:pPr>
              <w:pStyle w:val="TableParagraph"/>
              <w:spacing w:before="165"/>
              <w:ind w:left="566"/>
              <w:jc w:val="left"/>
              <w:rPr>
                <w:rFonts w:ascii="Times New Roman" w:hAnsi="Times New Roman"/>
                <w:sz w:val="18"/>
              </w:rPr>
            </w:pPr>
            <w:r>
              <w:rPr>
                <w:rFonts w:ascii="Times New Roman" w:hAnsi="Times New Roman"/>
                <w:sz w:val="18"/>
              </w:rPr>
              <w:t>Marginal rent – IT office component</w:t>
            </w:r>
          </w:p>
        </w:tc>
        <w:tc>
          <w:tcPr>
            <w:tcW w:w="2094" w:type="dxa"/>
            <w:tcBorders>
              <w:top w:val="single" w:sz="6" w:space="0" w:color="5FFF00"/>
              <w:bottom w:val="single" w:sz="6" w:space="0" w:color="5FFF00"/>
            </w:tcBorders>
          </w:tcPr>
          <w:p>
            <w:pPr>
              <w:pStyle w:val="TableParagraph"/>
              <w:spacing w:before="165"/>
              <w:ind w:left="442"/>
              <w:jc w:val="left"/>
              <w:rPr>
                <w:rFonts w:ascii="Times New Roman"/>
                <w:sz w:val="18"/>
              </w:rPr>
            </w:pPr>
            <w:r>
              <w:rPr>
                <w:rFonts w:ascii="Times New Roman"/>
                <w:sz w:val="18"/>
              </w:rPr>
              <w:t>INR psf/mth</w:t>
            </w:r>
          </w:p>
        </w:tc>
        <w:tc>
          <w:tcPr>
            <w:tcW w:w="2659" w:type="dxa"/>
            <w:tcBorders>
              <w:top w:val="single" w:sz="6" w:space="0" w:color="5FFF00"/>
              <w:bottom w:val="single" w:sz="6" w:space="0" w:color="5FFF00"/>
            </w:tcBorders>
          </w:tcPr>
          <w:p>
            <w:pPr>
              <w:pStyle w:val="TableParagraph"/>
              <w:spacing w:before="165"/>
              <w:ind w:left="415" w:right="356"/>
              <w:rPr>
                <w:rFonts w:ascii="Times New Roman"/>
                <w:sz w:val="18"/>
              </w:rPr>
            </w:pPr>
            <w:r>
              <w:rPr>
                <w:rFonts w:ascii="Times New Roman"/>
                <w:sz w:val="18"/>
              </w:rPr>
              <w:t>90</w:t>
            </w:r>
          </w:p>
        </w:tc>
      </w:tr>
      <w:tr>
        <w:trPr>
          <w:trHeight w:val="205" w:hRule="atLeast"/>
        </w:trPr>
        <w:tc>
          <w:tcPr>
            <w:tcW w:w="3989" w:type="dxa"/>
            <w:tcBorders>
              <w:top w:val="single" w:sz="6" w:space="0" w:color="5FFF00"/>
              <w:bottom w:val="single" w:sz="6" w:space="0" w:color="5FFF00"/>
            </w:tcBorders>
          </w:tcPr>
          <w:p>
            <w:pPr>
              <w:pStyle w:val="TableParagraph"/>
              <w:spacing w:line="186" w:lineRule="exact"/>
              <w:ind w:left="388"/>
              <w:jc w:val="left"/>
              <w:rPr>
                <w:rFonts w:ascii="Times New Roman" w:hAnsi="Times New Roman"/>
                <w:sz w:val="18"/>
              </w:rPr>
            </w:pPr>
            <w:r>
              <w:rPr>
                <w:rFonts w:ascii="Times New Roman" w:hAnsi="Times New Roman"/>
                <w:sz w:val="18"/>
              </w:rPr>
              <w:t>Marginal rent – Non IT office component</w:t>
            </w:r>
          </w:p>
        </w:tc>
        <w:tc>
          <w:tcPr>
            <w:tcW w:w="2094" w:type="dxa"/>
            <w:tcBorders>
              <w:top w:val="single" w:sz="6" w:space="0" w:color="5FFF00"/>
              <w:bottom w:val="single" w:sz="6" w:space="0" w:color="5FFF00"/>
            </w:tcBorders>
          </w:tcPr>
          <w:p>
            <w:pPr>
              <w:pStyle w:val="TableParagraph"/>
              <w:spacing w:line="186" w:lineRule="exact"/>
              <w:ind w:left="442"/>
              <w:jc w:val="left"/>
              <w:rPr>
                <w:rFonts w:ascii="Times New Roman"/>
                <w:sz w:val="18"/>
              </w:rPr>
            </w:pPr>
            <w:r>
              <w:rPr>
                <w:rFonts w:ascii="Times New Roman"/>
                <w:sz w:val="18"/>
              </w:rPr>
              <w:t>INR psf/mth</w:t>
            </w:r>
          </w:p>
        </w:tc>
        <w:tc>
          <w:tcPr>
            <w:tcW w:w="2659" w:type="dxa"/>
            <w:tcBorders>
              <w:top w:val="single" w:sz="6" w:space="0" w:color="5FFF00"/>
              <w:bottom w:val="single" w:sz="6" w:space="0" w:color="5FFF00"/>
            </w:tcBorders>
          </w:tcPr>
          <w:p>
            <w:pPr>
              <w:pStyle w:val="TableParagraph"/>
              <w:spacing w:line="186" w:lineRule="exact"/>
              <w:ind w:left="414" w:right="356"/>
              <w:rPr>
                <w:rFonts w:ascii="Times New Roman"/>
                <w:sz w:val="18"/>
              </w:rPr>
            </w:pPr>
            <w:r>
              <w:rPr>
                <w:rFonts w:ascii="Times New Roman"/>
                <w:sz w:val="18"/>
              </w:rPr>
              <w:t>104</w:t>
            </w:r>
          </w:p>
        </w:tc>
      </w:tr>
      <w:tr>
        <w:trPr>
          <w:trHeight w:val="208" w:hRule="atLeast"/>
        </w:trPr>
        <w:tc>
          <w:tcPr>
            <w:tcW w:w="3989" w:type="dxa"/>
            <w:tcBorders>
              <w:top w:val="single" w:sz="6" w:space="0" w:color="5FFF00"/>
              <w:bottom w:val="single" w:sz="6" w:space="0" w:color="5FFF00"/>
            </w:tcBorders>
          </w:tcPr>
          <w:p>
            <w:pPr>
              <w:pStyle w:val="TableParagraph"/>
              <w:spacing w:line="186" w:lineRule="exact" w:before="2"/>
              <w:ind w:left="669"/>
              <w:jc w:val="left"/>
              <w:rPr>
                <w:rFonts w:ascii="Times New Roman" w:hAnsi="Times New Roman"/>
                <w:sz w:val="18"/>
              </w:rPr>
            </w:pPr>
            <w:r>
              <w:rPr>
                <w:rFonts w:ascii="Times New Roman" w:hAnsi="Times New Roman"/>
                <w:sz w:val="18"/>
              </w:rPr>
              <w:t>Marginal rent – Retail component</w:t>
            </w:r>
          </w:p>
        </w:tc>
        <w:tc>
          <w:tcPr>
            <w:tcW w:w="2094" w:type="dxa"/>
            <w:tcBorders>
              <w:top w:val="single" w:sz="6" w:space="0" w:color="5FFF00"/>
              <w:bottom w:val="single" w:sz="6" w:space="0" w:color="5FFF00"/>
            </w:tcBorders>
          </w:tcPr>
          <w:p>
            <w:pPr>
              <w:pStyle w:val="TableParagraph"/>
              <w:spacing w:line="186" w:lineRule="exact" w:before="2"/>
              <w:ind w:left="442"/>
              <w:jc w:val="left"/>
              <w:rPr>
                <w:rFonts w:ascii="Times New Roman"/>
                <w:sz w:val="18"/>
              </w:rPr>
            </w:pPr>
            <w:r>
              <w:rPr>
                <w:rFonts w:ascii="Times New Roman"/>
                <w:sz w:val="18"/>
              </w:rPr>
              <w:t>INR psf/mth</w:t>
            </w:r>
          </w:p>
        </w:tc>
        <w:tc>
          <w:tcPr>
            <w:tcW w:w="2659" w:type="dxa"/>
            <w:tcBorders>
              <w:top w:val="single" w:sz="6" w:space="0" w:color="5FFF00"/>
              <w:bottom w:val="single" w:sz="6" w:space="0" w:color="5FFF00"/>
            </w:tcBorders>
          </w:tcPr>
          <w:p>
            <w:pPr>
              <w:pStyle w:val="TableParagraph"/>
              <w:spacing w:line="186" w:lineRule="exact" w:before="2"/>
              <w:ind w:left="414" w:right="356"/>
              <w:rPr>
                <w:rFonts w:ascii="Times New Roman"/>
                <w:sz w:val="18"/>
              </w:rPr>
            </w:pPr>
            <w:r>
              <w:rPr>
                <w:rFonts w:ascii="Times New Roman"/>
                <w:sz w:val="18"/>
              </w:rPr>
              <w:t>117</w:t>
            </w:r>
          </w:p>
        </w:tc>
      </w:tr>
      <w:tr>
        <w:trPr>
          <w:trHeight w:val="205" w:hRule="atLeast"/>
        </w:trPr>
        <w:tc>
          <w:tcPr>
            <w:tcW w:w="3989" w:type="dxa"/>
            <w:tcBorders>
              <w:top w:val="single" w:sz="6" w:space="0" w:color="5FFF00"/>
              <w:bottom w:val="single" w:sz="6" w:space="0" w:color="5FFF00"/>
            </w:tcBorders>
          </w:tcPr>
          <w:p>
            <w:pPr>
              <w:pStyle w:val="TableParagraph"/>
              <w:spacing w:line="186" w:lineRule="exact"/>
              <w:ind w:left="1035"/>
              <w:jc w:val="left"/>
              <w:rPr>
                <w:rFonts w:ascii="Times New Roman"/>
                <w:sz w:val="18"/>
              </w:rPr>
            </w:pPr>
            <w:r>
              <w:rPr>
                <w:rFonts w:ascii="Times New Roman"/>
                <w:sz w:val="18"/>
              </w:rPr>
              <w:t>Parking rent (Effective)</w:t>
            </w:r>
          </w:p>
        </w:tc>
        <w:tc>
          <w:tcPr>
            <w:tcW w:w="2094" w:type="dxa"/>
            <w:tcBorders>
              <w:top w:val="single" w:sz="6" w:space="0" w:color="5FFF00"/>
              <w:bottom w:val="single" w:sz="6" w:space="0" w:color="5FFF00"/>
            </w:tcBorders>
          </w:tcPr>
          <w:p>
            <w:pPr>
              <w:pStyle w:val="TableParagraph"/>
              <w:spacing w:line="186" w:lineRule="exact"/>
              <w:ind w:left="375"/>
              <w:jc w:val="left"/>
              <w:rPr>
                <w:rFonts w:ascii="Times New Roman"/>
                <w:sz w:val="18"/>
              </w:rPr>
            </w:pPr>
            <w:r>
              <w:rPr>
                <w:rFonts w:ascii="Times New Roman"/>
                <w:sz w:val="18"/>
              </w:rPr>
              <w:t>INR / bay/mth</w:t>
            </w:r>
          </w:p>
        </w:tc>
        <w:tc>
          <w:tcPr>
            <w:tcW w:w="2659" w:type="dxa"/>
            <w:tcBorders>
              <w:top w:val="single" w:sz="6" w:space="0" w:color="5FFF00"/>
              <w:bottom w:val="single" w:sz="6" w:space="0" w:color="5FFF00"/>
            </w:tcBorders>
          </w:tcPr>
          <w:p>
            <w:pPr>
              <w:pStyle w:val="TableParagraph"/>
              <w:spacing w:line="186" w:lineRule="exact"/>
              <w:ind w:left="412" w:right="356"/>
              <w:rPr>
                <w:rFonts w:ascii="Times New Roman"/>
                <w:sz w:val="18"/>
              </w:rPr>
            </w:pPr>
            <w:r>
              <w:rPr>
                <w:rFonts w:ascii="Times New Roman"/>
                <w:sz w:val="18"/>
              </w:rPr>
              <w:t>3,750</w:t>
            </w:r>
          </w:p>
        </w:tc>
      </w:tr>
      <w:tr>
        <w:trPr>
          <w:trHeight w:val="208" w:hRule="atLeast"/>
        </w:trPr>
        <w:tc>
          <w:tcPr>
            <w:tcW w:w="3989" w:type="dxa"/>
            <w:tcBorders>
              <w:top w:val="single" w:sz="6" w:space="0" w:color="5FFF00"/>
              <w:bottom w:val="single" w:sz="6" w:space="0" w:color="5FFF00"/>
            </w:tcBorders>
          </w:tcPr>
          <w:p>
            <w:pPr>
              <w:pStyle w:val="TableParagraph"/>
              <w:spacing w:line="188" w:lineRule="exact"/>
              <w:ind w:left="1212"/>
              <w:jc w:val="left"/>
              <w:rPr>
                <w:rFonts w:ascii="Times New Roman" w:hAnsi="Times New Roman"/>
                <w:sz w:val="18"/>
              </w:rPr>
            </w:pPr>
            <w:r>
              <w:rPr>
                <w:rFonts w:ascii="Times New Roman" w:hAnsi="Times New Roman"/>
                <w:sz w:val="18"/>
              </w:rPr>
              <w:t>ARR – 5 star hotel</w:t>
            </w:r>
          </w:p>
        </w:tc>
        <w:tc>
          <w:tcPr>
            <w:tcW w:w="2094" w:type="dxa"/>
            <w:tcBorders>
              <w:top w:val="single" w:sz="6" w:space="0" w:color="5FFF00"/>
              <w:bottom w:val="single" w:sz="6" w:space="0" w:color="5FFF00"/>
            </w:tcBorders>
          </w:tcPr>
          <w:p>
            <w:pPr>
              <w:pStyle w:val="TableParagraph"/>
              <w:spacing w:line="188" w:lineRule="exact"/>
              <w:ind w:right="580"/>
              <w:jc w:val="right"/>
              <w:rPr>
                <w:rFonts w:ascii="Times New Roman"/>
                <w:sz w:val="18"/>
              </w:rPr>
            </w:pPr>
            <w:r>
              <w:rPr>
                <w:rFonts w:ascii="Times New Roman"/>
                <w:sz w:val="18"/>
              </w:rPr>
              <w:t>INR / room / day</w:t>
            </w:r>
          </w:p>
        </w:tc>
        <w:tc>
          <w:tcPr>
            <w:tcW w:w="2659" w:type="dxa"/>
            <w:tcBorders>
              <w:top w:val="single" w:sz="6" w:space="0" w:color="5FFF00"/>
              <w:bottom w:val="single" w:sz="6" w:space="0" w:color="5FFF00"/>
            </w:tcBorders>
          </w:tcPr>
          <w:p>
            <w:pPr>
              <w:pStyle w:val="TableParagraph"/>
              <w:spacing w:line="188" w:lineRule="exact"/>
              <w:ind w:left="413" w:right="356"/>
              <w:rPr>
                <w:rFonts w:ascii="Times New Roman"/>
                <w:sz w:val="18"/>
              </w:rPr>
            </w:pPr>
            <w:r>
              <w:rPr>
                <w:rFonts w:ascii="Times New Roman"/>
                <w:sz w:val="18"/>
              </w:rPr>
              <w:t>8,000</w:t>
            </w:r>
          </w:p>
        </w:tc>
      </w:tr>
      <w:tr>
        <w:trPr>
          <w:trHeight w:val="205" w:hRule="atLeast"/>
        </w:trPr>
        <w:tc>
          <w:tcPr>
            <w:tcW w:w="3989" w:type="dxa"/>
            <w:tcBorders>
              <w:top w:val="single" w:sz="6" w:space="0" w:color="5FFF00"/>
              <w:bottom w:val="single" w:sz="6" w:space="0" w:color="5FFF00"/>
            </w:tcBorders>
          </w:tcPr>
          <w:p>
            <w:pPr>
              <w:pStyle w:val="TableParagraph"/>
              <w:spacing w:line="186" w:lineRule="exact"/>
              <w:ind w:left="611"/>
              <w:jc w:val="left"/>
              <w:rPr>
                <w:rFonts w:ascii="Times New Roman" w:hAnsi="Times New Roman"/>
                <w:sz w:val="18"/>
              </w:rPr>
            </w:pPr>
            <w:r>
              <w:rPr>
                <w:rFonts w:ascii="Times New Roman" w:hAnsi="Times New Roman"/>
                <w:sz w:val="18"/>
              </w:rPr>
              <w:t>Stabilized Occupancy – 5 star hotel</w:t>
            </w:r>
          </w:p>
        </w:tc>
        <w:tc>
          <w:tcPr>
            <w:tcW w:w="2094" w:type="dxa"/>
            <w:tcBorders>
              <w:top w:val="single" w:sz="6" w:space="0" w:color="5FFF00"/>
              <w:bottom w:val="single" w:sz="6" w:space="0" w:color="5FFF00"/>
            </w:tcBorders>
          </w:tcPr>
          <w:p>
            <w:pPr>
              <w:pStyle w:val="TableParagraph"/>
              <w:spacing w:line="186" w:lineRule="exact"/>
              <w:ind w:right="298"/>
              <w:rPr>
                <w:rFonts w:ascii="Times New Roman"/>
                <w:sz w:val="18"/>
              </w:rPr>
            </w:pPr>
            <w:r>
              <w:rPr>
                <w:rFonts w:ascii="Times New Roman"/>
                <w:w w:val="99"/>
                <w:sz w:val="18"/>
              </w:rPr>
              <w:t>%</w:t>
            </w:r>
          </w:p>
        </w:tc>
        <w:tc>
          <w:tcPr>
            <w:tcW w:w="2659" w:type="dxa"/>
            <w:tcBorders>
              <w:top w:val="single" w:sz="6" w:space="0" w:color="5FFF00"/>
              <w:bottom w:val="single" w:sz="6" w:space="0" w:color="5FFF00"/>
            </w:tcBorders>
          </w:tcPr>
          <w:p>
            <w:pPr>
              <w:pStyle w:val="TableParagraph"/>
              <w:spacing w:line="186" w:lineRule="exact"/>
              <w:ind w:left="412" w:right="356"/>
              <w:rPr>
                <w:rFonts w:ascii="Times New Roman"/>
                <w:sz w:val="18"/>
              </w:rPr>
            </w:pPr>
            <w:r>
              <w:rPr>
                <w:rFonts w:ascii="Times New Roman"/>
                <w:sz w:val="18"/>
              </w:rPr>
              <w:t>70%</w:t>
            </w:r>
          </w:p>
        </w:tc>
      </w:tr>
      <w:tr>
        <w:trPr>
          <w:trHeight w:val="208" w:hRule="atLeast"/>
        </w:trPr>
        <w:tc>
          <w:tcPr>
            <w:tcW w:w="3989" w:type="dxa"/>
            <w:tcBorders>
              <w:top w:val="single" w:sz="6" w:space="0" w:color="5FFF00"/>
              <w:bottom w:val="single" w:sz="6" w:space="0" w:color="5FFF00"/>
            </w:tcBorders>
          </w:tcPr>
          <w:p>
            <w:pPr>
              <w:pStyle w:val="TableParagraph"/>
              <w:spacing w:line="188" w:lineRule="exact"/>
              <w:ind w:left="1212"/>
              <w:jc w:val="left"/>
              <w:rPr>
                <w:rFonts w:ascii="Times New Roman" w:hAnsi="Times New Roman"/>
                <w:sz w:val="18"/>
              </w:rPr>
            </w:pPr>
            <w:r>
              <w:rPr>
                <w:rFonts w:ascii="Times New Roman" w:hAnsi="Times New Roman"/>
                <w:sz w:val="18"/>
              </w:rPr>
              <w:t>ARR – 3 star hotel</w:t>
            </w:r>
          </w:p>
        </w:tc>
        <w:tc>
          <w:tcPr>
            <w:tcW w:w="2094" w:type="dxa"/>
            <w:tcBorders>
              <w:top w:val="single" w:sz="6" w:space="0" w:color="5FFF00"/>
              <w:bottom w:val="single" w:sz="6" w:space="0" w:color="5FFF00"/>
            </w:tcBorders>
          </w:tcPr>
          <w:p>
            <w:pPr>
              <w:pStyle w:val="TableParagraph"/>
              <w:spacing w:line="188" w:lineRule="exact"/>
              <w:ind w:right="579"/>
              <w:jc w:val="right"/>
              <w:rPr>
                <w:rFonts w:ascii="Times New Roman"/>
                <w:sz w:val="18"/>
              </w:rPr>
            </w:pPr>
            <w:r>
              <w:rPr>
                <w:rFonts w:ascii="Times New Roman"/>
                <w:sz w:val="18"/>
              </w:rPr>
              <w:t>INR / room / day</w:t>
            </w:r>
          </w:p>
        </w:tc>
        <w:tc>
          <w:tcPr>
            <w:tcW w:w="2659" w:type="dxa"/>
            <w:tcBorders>
              <w:top w:val="single" w:sz="6" w:space="0" w:color="5FFF00"/>
              <w:bottom w:val="single" w:sz="6" w:space="0" w:color="5FFF00"/>
            </w:tcBorders>
          </w:tcPr>
          <w:p>
            <w:pPr>
              <w:pStyle w:val="TableParagraph"/>
              <w:spacing w:line="188" w:lineRule="exact"/>
              <w:ind w:left="414" w:right="356"/>
              <w:rPr>
                <w:rFonts w:ascii="Times New Roman"/>
                <w:sz w:val="18"/>
              </w:rPr>
            </w:pPr>
            <w:r>
              <w:rPr>
                <w:rFonts w:ascii="Times New Roman"/>
                <w:sz w:val="18"/>
              </w:rPr>
              <w:t>5,500</w:t>
            </w:r>
          </w:p>
        </w:tc>
      </w:tr>
      <w:tr>
        <w:trPr>
          <w:trHeight w:val="206" w:hRule="atLeast"/>
        </w:trPr>
        <w:tc>
          <w:tcPr>
            <w:tcW w:w="3989" w:type="dxa"/>
            <w:tcBorders>
              <w:top w:val="single" w:sz="6" w:space="0" w:color="5FFF00"/>
            </w:tcBorders>
          </w:tcPr>
          <w:p>
            <w:pPr>
              <w:pStyle w:val="TableParagraph"/>
              <w:spacing w:line="186" w:lineRule="exact"/>
              <w:ind w:left="611"/>
              <w:jc w:val="left"/>
              <w:rPr>
                <w:rFonts w:ascii="Times New Roman" w:hAnsi="Times New Roman"/>
                <w:sz w:val="18"/>
              </w:rPr>
            </w:pPr>
            <w:r>
              <w:rPr>
                <w:rFonts w:ascii="Times New Roman" w:hAnsi="Times New Roman"/>
                <w:sz w:val="18"/>
              </w:rPr>
              <w:t>Stabilized Occupancy – 3 star hotel</w:t>
            </w:r>
          </w:p>
        </w:tc>
        <w:tc>
          <w:tcPr>
            <w:tcW w:w="2094" w:type="dxa"/>
            <w:tcBorders>
              <w:top w:val="single" w:sz="6" w:space="0" w:color="5FFF00"/>
            </w:tcBorders>
          </w:tcPr>
          <w:p>
            <w:pPr>
              <w:pStyle w:val="TableParagraph"/>
              <w:spacing w:line="186" w:lineRule="exact"/>
              <w:ind w:right="298"/>
              <w:rPr>
                <w:rFonts w:ascii="Times New Roman"/>
                <w:sz w:val="18"/>
              </w:rPr>
            </w:pPr>
            <w:r>
              <w:rPr>
                <w:rFonts w:ascii="Times New Roman"/>
                <w:w w:val="99"/>
                <w:sz w:val="18"/>
              </w:rPr>
              <w:t>%</w:t>
            </w:r>
          </w:p>
        </w:tc>
        <w:tc>
          <w:tcPr>
            <w:tcW w:w="2659" w:type="dxa"/>
            <w:tcBorders>
              <w:top w:val="single" w:sz="6" w:space="0" w:color="5FFF00"/>
            </w:tcBorders>
          </w:tcPr>
          <w:p>
            <w:pPr>
              <w:pStyle w:val="TableParagraph"/>
              <w:spacing w:line="186" w:lineRule="exact"/>
              <w:ind w:left="412" w:right="356"/>
              <w:rPr>
                <w:rFonts w:ascii="Times New Roman"/>
                <w:sz w:val="18"/>
              </w:rPr>
            </w:pPr>
            <w:r>
              <w:rPr>
                <w:rFonts w:ascii="Times New Roman"/>
                <w:sz w:val="18"/>
              </w:rPr>
              <w:t>70%</w:t>
            </w:r>
          </w:p>
        </w:tc>
      </w:tr>
      <w:tr>
        <w:trPr>
          <w:trHeight w:val="206" w:hRule="atLeast"/>
        </w:trPr>
        <w:tc>
          <w:tcPr>
            <w:tcW w:w="3989" w:type="dxa"/>
            <w:shd w:val="clear" w:color="auto" w:fill="5FFF00"/>
          </w:tcPr>
          <w:p>
            <w:pPr>
              <w:pStyle w:val="TableParagraph"/>
              <w:spacing w:line="186" w:lineRule="exact"/>
              <w:ind w:right="-29"/>
              <w:jc w:val="right"/>
              <w:rPr>
                <w:rFonts w:ascii="Times New Roman"/>
                <w:sz w:val="18"/>
              </w:rPr>
            </w:pPr>
            <w:r>
              <w:rPr>
                <w:rFonts w:ascii="Times New Roman"/>
                <w:sz w:val="18"/>
              </w:rPr>
              <w:t>Other fin</w:t>
            </w:r>
          </w:p>
        </w:tc>
        <w:tc>
          <w:tcPr>
            <w:tcW w:w="2094" w:type="dxa"/>
            <w:shd w:val="clear" w:color="auto" w:fill="5FFF00"/>
          </w:tcPr>
          <w:p>
            <w:pPr>
              <w:pStyle w:val="TableParagraph"/>
              <w:spacing w:line="186" w:lineRule="exact"/>
              <w:ind w:left="29"/>
              <w:jc w:val="left"/>
              <w:rPr>
                <w:rFonts w:ascii="Times New Roman"/>
                <w:sz w:val="18"/>
              </w:rPr>
            </w:pPr>
            <w:r>
              <w:rPr>
                <w:rFonts w:ascii="Times New Roman"/>
                <w:sz w:val="18"/>
              </w:rPr>
              <w:t>ancial assumptions</w:t>
            </w:r>
          </w:p>
        </w:tc>
        <w:tc>
          <w:tcPr>
            <w:tcW w:w="2659" w:type="dxa"/>
            <w:shd w:val="clear" w:color="auto" w:fill="5FFF00"/>
          </w:tcPr>
          <w:p>
            <w:pPr>
              <w:pStyle w:val="TableParagraph"/>
              <w:jc w:val="left"/>
              <w:rPr>
                <w:rFonts w:ascii="Times New Roman"/>
                <w:sz w:val="14"/>
              </w:rPr>
            </w:pPr>
          </w:p>
        </w:tc>
      </w:tr>
      <w:tr>
        <w:trPr>
          <w:trHeight w:val="208" w:hRule="atLeast"/>
        </w:trPr>
        <w:tc>
          <w:tcPr>
            <w:tcW w:w="3989" w:type="dxa"/>
            <w:tcBorders>
              <w:bottom w:val="single" w:sz="6" w:space="0" w:color="5FFF00"/>
            </w:tcBorders>
          </w:tcPr>
          <w:p>
            <w:pPr>
              <w:pStyle w:val="TableParagraph"/>
              <w:spacing w:line="189" w:lineRule="exact"/>
              <w:ind w:left="614"/>
              <w:jc w:val="left"/>
              <w:rPr>
                <w:rFonts w:ascii="Times New Roman" w:hAnsi="Times New Roman"/>
                <w:sz w:val="18"/>
              </w:rPr>
            </w:pPr>
            <w:r>
              <w:rPr>
                <w:rFonts w:ascii="Times New Roman" w:hAnsi="Times New Roman"/>
                <w:sz w:val="18"/>
              </w:rPr>
              <w:t>Cap rate – commercial components</w:t>
            </w:r>
          </w:p>
        </w:tc>
        <w:tc>
          <w:tcPr>
            <w:tcW w:w="2094" w:type="dxa"/>
            <w:tcBorders>
              <w:bottom w:val="single" w:sz="6" w:space="0" w:color="5FFF00"/>
            </w:tcBorders>
          </w:tcPr>
          <w:p>
            <w:pPr>
              <w:pStyle w:val="TableParagraph"/>
              <w:spacing w:line="189" w:lineRule="exact"/>
              <w:ind w:right="298"/>
              <w:rPr>
                <w:rFonts w:ascii="Times New Roman"/>
                <w:sz w:val="18"/>
              </w:rPr>
            </w:pPr>
            <w:r>
              <w:rPr>
                <w:rFonts w:ascii="Times New Roman"/>
                <w:w w:val="99"/>
                <w:sz w:val="18"/>
              </w:rPr>
              <w:t>%</w:t>
            </w:r>
          </w:p>
        </w:tc>
        <w:tc>
          <w:tcPr>
            <w:tcW w:w="2659" w:type="dxa"/>
            <w:tcBorders>
              <w:bottom w:val="single" w:sz="6" w:space="0" w:color="5FFF00"/>
            </w:tcBorders>
          </w:tcPr>
          <w:p>
            <w:pPr>
              <w:pStyle w:val="TableParagraph"/>
              <w:spacing w:line="189" w:lineRule="exact"/>
              <w:ind w:left="410" w:right="356"/>
              <w:rPr>
                <w:rFonts w:ascii="Times New Roman"/>
                <w:sz w:val="18"/>
              </w:rPr>
            </w:pPr>
            <w:r>
              <w:rPr>
                <w:rFonts w:ascii="Times New Roman"/>
                <w:sz w:val="18"/>
              </w:rPr>
              <w:t>8.00%</w:t>
            </w:r>
          </w:p>
        </w:tc>
      </w:tr>
      <w:tr>
        <w:trPr>
          <w:trHeight w:val="210" w:hRule="atLeast"/>
        </w:trPr>
        <w:tc>
          <w:tcPr>
            <w:tcW w:w="3989" w:type="dxa"/>
            <w:tcBorders>
              <w:top w:val="single" w:sz="6" w:space="0" w:color="5FFF00"/>
            </w:tcBorders>
          </w:tcPr>
          <w:p>
            <w:pPr>
              <w:pStyle w:val="TableParagraph"/>
              <w:jc w:val="left"/>
              <w:rPr>
                <w:rFonts w:ascii="Times New Roman"/>
                <w:sz w:val="14"/>
              </w:rPr>
            </w:pPr>
          </w:p>
        </w:tc>
        <w:tc>
          <w:tcPr>
            <w:tcW w:w="2094" w:type="dxa"/>
            <w:tcBorders>
              <w:top w:val="single" w:sz="6" w:space="0" w:color="5FFF00"/>
            </w:tcBorders>
          </w:tcPr>
          <w:p>
            <w:pPr>
              <w:pStyle w:val="TableParagraph"/>
              <w:jc w:val="left"/>
              <w:rPr>
                <w:rFonts w:ascii="Times New Roman"/>
                <w:sz w:val="14"/>
              </w:rPr>
            </w:pPr>
          </w:p>
        </w:tc>
        <w:tc>
          <w:tcPr>
            <w:tcW w:w="2659" w:type="dxa"/>
            <w:tcBorders>
              <w:top w:val="single" w:sz="6" w:space="0" w:color="5FFF00"/>
            </w:tcBorders>
          </w:tcPr>
          <w:p>
            <w:pPr>
              <w:pStyle w:val="TableParagraph"/>
              <w:spacing w:line="190" w:lineRule="exact"/>
              <w:ind w:left="410" w:right="356"/>
              <w:rPr>
                <w:rFonts w:ascii="Times New Roman"/>
                <w:sz w:val="18"/>
              </w:rPr>
            </w:pPr>
            <w:r>
              <w:rPr>
                <w:rFonts w:ascii="Times New Roman"/>
                <w:sz w:val="18"/>
              </w:rPr>
              <w:t>7.14%</w:t>
            </w:r>
          </w:p>
        </w:tc>
      </w:tr>
      <w:tr>
        <w:trPr>
          <w:trHeight w:val="430" w:hRule="atLeast"/>
        </w:trPr>
        <w:tc>
          <w:tcPr>
            <w:tcW w:w="3989" w:type="dxa"/>
            <w:tcBorders>
              <w:bottom w:val="single" w:sz="6" w:space="0" w:color="5FFF00"/>
            </w:tcBorders>
          </w:tcPr>
          <w:p>
            <w:pPr>
              <w:pStyle w:val="TableParagraph"/>
              <w:spacing w:before="5"/>
              <w:ind w:left="859"/>
              <w:jc w:val="left"/>
              <w:rPr>
                <w:rFonts w:ascii="Times New Roman" w:hAnsi="Times New Roman"/>
                <w:sz w:val="18"/>
              </w:rPr>
            </w:pPr>
            <w:r>
              <w:rPr>
                <w:rFonts w:ascii="Times New Roman" w:hAnsi="Times New Roman"/>
                <w:sz w:val="18"/>
              </w:rPr>
              <w:t>Cap rate – hotel components</w:t>
            </w:r>
          </w:p>
        </w:tc>
        <w:tc>
          <w:tcPr>
            <w:tcW w:w="2094" w:type="dxa"/>
            <w:tcBorders>
              <w:bottom w:val="single" w:sz="6" w:space="0" w:color="5FFF00"/>
            </w:tcBorders>
          </w:tcPr>
          <w:p>
            <w:pPr>
              <w:pStyle w:val="TableParagraph"/>
              <w:spacing w:before="5"/>
              <w:ind w:right="298"/>
              <w:rPr>
                <w:rFonts w:ascii="Times New Roman"/>
                <w:sz w:val="18"/>
              </w:rPr>
            </w:pPr>
            <w:r>
              <w:rPr>
                <w:rFonts w:ascii="Times New Roman"/>
                <w:w w:val="99"/>
                <w:sz w:val="18"/>
              </w:rPr>
              <w:t>%</w:t>
            </w:r>
          </w:p>
        </w:tc>
        <w:tc>
          <w:tcPr>
            <w:tcW w:w="2659" w:type="dxa"/>
            <w:tcBorders>
              <w:bottom w:val="single" w:sz="6" w:space="0" w:color="5FFF00"/>
            </w:tcBorders>
          </w:tcPr>
          <w:p>
            <w:pPr>
              <w:pStyle w:val="TableParagraph"/>
              <w:spacing w:line="203" w:lineRule="exact"/>
              <w:ind w:left="410" w:right="356"/>
              <w:rPr>
                <w:rFonts w:ascii="Times New Roman"/>
                <w:sz w:val="18"/>
              </w:rPr>
            </w:pPr>
            <w:r>
              <w:rPr>
                <w:rFonts w:ascii="Times New Roman"/>
                <w:sz w:val="18"/>
              </w:rPr>
              <w:t>(viz. an EV-EBITDA</w:t>
            </w:r>
          </w:p>
          <w:p>
            <w:pPr>
              <w:pStyle w:val="TableParagraph"/>
              <w:spacing w:line="205" w:lineRule="exact" w:before="2"/>
              <w:ind w:left="412" w:right="356"/>
              <w:rPr>
                <w:rFonts w:ascii="Times New Roman"/>
                <w:sz w:val="18"/>
              </w:rPr>
            </w:pPr>
            <w:r>
              <w:rPr>
                <w:rFonts w:ascii="Times New Roman"/>
                <w:sz w:val="18"/>
              </w:rPr>
              <w:t>multiple of 14)</w:t>
            </w:r>
          </w:p>
        </w:tc>
      </w:tr>
      <w:tr>
        <w:trPr>
          <w:trHeight w:val="205" w:hRule="atLeast"/>
        </w:trPr>
        <w:tc>
          <w:tcPr>
            <w:tcW w:w="3989" w:type="dxa"/>
            <w:tcBorders>
              <w:top w:val="single" w:sz="6" w:space="0" w:color="5FFF00"/>
              <w:bottom w:val="single" w:sz="6" w:space="0" w:color="5FFF00"/>
            </w:tcBorders>
          </w:tcPr>
          <w:p>
            <w:pPr>
              <w:pStyle w:val="TableParagraph"/>
              <w:spacing w:line="186" w:lineRule="exact"/>
              <w:ind w:left="975"/>
              <w:jc w:val="left"/>
              <w:rPr>
                <w:rFonts w:ascii="Times New Roman"/>
                <w:sz w:val="18"/>
              </w:rPr>
            </w:pPr>
            <w:r>
              <w:rPr>
                <w:rFonts w:ascii="Times New Roman"/>
                <w:sz w:val="18"/>
              </w:rPr>
              <w:t>WACC rate (operational)</w:t>
            </w:r>
          </w:p>
        </w:tc>
        <w:tc>
          <w:tcPr>
            <w:tcW w:w="2094" w:type="dxa"/>
            <w:tcBorders>
              <w:top w:val="single" w:sz="6" w:space="0" w:color="5FFF00"/>
              <w:bottom w:val="single" w:sz="6" w:space="0" w:color="5FFF00"/>
            </w:tcBorders>
          </w:tcPr>
          <w:p>
            <w:pPr>
              <w:pStyle w:val="TableParagraph"/>
              <w:spacing w:line="186" w:lineRule="exact"/>
              <w:ind w:right="298"/>
              <w:rPr>
                <w:rFonts w:ascii="Times New Roman"/>
                <w:sz w:val="18"/>
              </w:rPr>
            </w:pPr>
            <w:r>
              <w:rPr>
                <w:rFonts w:ascii="Times New Roman"/>
                <w:w w:val="99"/>
                <w:sz w:val="18"/>
              </w:rPr>
              <w:t>%</w:t>
            </w:r>
          </w:p>
        </w:tc>
        <w:tc>
          <w:tcPr>
            <w:tcW w:w="2659" w:type="dxa"/>
            <w:tcBorders>
              <w:top w:val="single" w:sz="6" w:space="0" w:color="5FFF00"/>
              <w:bottom w:val="single" w:sz="6" w:space="0" w:color="5FFF00"/>
            </w:tcBorders>
          </w:tcPr>
          <w:p>
            <w:pPr>
              <w:pStyle w:val="TableParagraph"/>
              <w:spacing w:line="186" w:lineRule="exact"/>
              <w:ind w:left="413" w:right="356"/>
              <w:rPr>
                <w:rFonts w:ascii="Times New Roman"/>
                <w:sz w:val="18"/>
              </w:rPr>
            </w:pPr>
            <w:r>
              <w:rPr>
                <w:rFonts w:ascii="Times New Roman"/>
                <w:sz w:val="18"/>
              </w:rPr>
              <w:t>12.03%</w:t>
            </w:r>
          </w:p>
        </w:tc>
      </w:tr>
      <w:tr>
        <w:trPr>
          <w:trHeight w:val="208" w:hRule="atLeast"/>
        </w:trPr>
        <w:tc>
          <w:tcPr>
            <w:tcW w:w="3989" w:type="dxa"/>
            <w:tcBorders>
              <w:top w:val="single" w:sz="6" w:space="0" w:color="5FFF00"/>
              <w:bottom w:val="single" w:sz="6" w:space="0" w:color="5FFF00"/>
            </w:tcBorders>
          </w:tcPr>
          <w:p>
            <w:pPr>
              <w:pStyle w:val="TableParagraph"/>
              <w:spacing w:line="186" w:lineRule="exact" w:before="2"/>
              <w:ind w:left="343"/>
              <w:jc w:val="left"/>
              <w:rPr>
                <w:rFonts w:ascii="Times New Roman"/>
                <w:sz w:val="18"/>
              </w:rPr>
            </w:pPr>
            <w:r>
              <w:rPr>
                <w:rFonts w:ascii="Times New Roman"/>
                <w:sz w:val="18"/>
              </w:rPr>
              <w:t>WACC rate (under-construction/proposed)</w:t>
            </w:r>
          </w:p>
        </w:tc>
        <w:tc>
          <w:tcPr>
            <w:tcW w:w="2094" w:type="dxa"/>
            <w:tcBorders>
              <w:top w:val="single" w:sz="6" w:space="0" w:color="5FFF00"/>
              <w:bottom w:val="single" w:sz="6" w:space="0" w:color="5FFF00"/>
            </w:tcBorders>
          </w:tcPr>
          <w:p>
            <w:pPr>
              <w:pStyle w:val="TableParagraph"/>
              <w:spacing w:line="186" w:lineRule="exact" w:before="2"/>
              <w:ind w:right="298"/>
              <w:rPr>
                <w:rFonts w:ascii="Times New Roman"/>
                <w:sz w:val="18"/>
              </w:rPr>
            </w:pPr>
            <w:r>
              <w:rPr>
                <w:rFonts w:ascii="Times New Roman"/>
                <w:w w:val="99"/>
                <w:sz w:val="18"/>
              </w:rPr>
              <w:t>%</w:t>
            </w:r>
          </w:p>
        </w:tc>
        <w:tc>
          <w:tcPr>
            <w:tcW w:w="2659" w:type="dxa"/>
            <w:tcBorders>
              <w:top w:val="single" w:sz="6" w:space="0" w:color="5FFF00"/>
              <w:bottom w:val="single" w:sz="6" w:space="0" w:color="5FFF00"/>
            </w:tcBorders>
          </w:tcPr>
          <w:p>
            <w:pPr>
              <w:pStyle w:val="TableParagraph"/>
              <w:spacing w:line="186" w:lineRule="exact" w:before="2"/>
              <w:ind w:left="413" w:right="356"/>
              <w:rPr>
                <w:rFonts w:ascii="Times New Roman"/>
                <w:sz w:val="18"/>
              </w:rPr>
            </w:pPr>
            <w:r>
              <w:rPr>
                <w:rFonts w:ascii="Times New Roman"/>
                <w:sz w:val="18"/>
              </w:rPr>
              <w:t>13.00%</w:t>
            </w:r>
          </w:p>
        </w:tc>
      </w:tr>
      <w:tr>
        <w:trPr>
          <w:trHeight w:val="205" w:hRule="atLeast"/>
        </w:trPr>
        <w:tc>
          <w:tcPr>
            <w:tcW w:w="3989" w:type="dxa"/>
            <w:tcBorders>
              <w:top w:val="single" w:sz="6" w:space="0" w:color="5FFF00"/>
              <w:bottom w:val="single" w:sz="6" w:space="0" w:color="5FFF00"/>
            </w:tcBorders>
          </w:tcPr>
          <w:p>
            <w:pPr>
              <w:pStyle w:val="TableParagraph"/>
              <w:spacing w:line="186" w:lineRule="exact"/>
              <w:ind w:left="1198"/>
              <w:jc w:val="left"/>
              <w:rPr>
                <w:rFonts w:ascii="Times New Roman"/>
                <w:sz w:val="18"/>
              </w:rPr>
            </w:pPr>
            <w:r>
              <w:rPr>
                <w:rFonts w:ascii="Times New Roman"/>
                <w:sz w:val="18"/>
              </w:rPr>
              <w:t>WACC rate (hotel)</w:t>
            </w:r>
          </w:p>
        </w:tc>
        <w:tc>
          <w:tcPr>
            <w:tcW w:w="2094" w:type="dxa"/>
            <w:tcBorders>
              <w:top w:val="single" w:sz="6" w:space="0" w:color="5FFF00"/>
              <w:bottom w:val="single" w:sz="6" w:space="0" w:color="5FFF00"/>
            </w:tcBorders>
          </w:tcPr>
          <w:p>
            <w:pPr>
              <w:pStyle w:val="TableParagraph"/>
              <w:spacing w:line="186" w:lineRule="exact"/>
              <w:ind w:right="298"/>
              <w:rPr>
                <w:rFonts w:ascii="Times New Roman"/>
                <w:sz w:val="18"/>
              </w:rPr>
            </w:pPr>
            <w:r>
              <w:rPr>
                <w:rFonts w:ascii="Times New Roman"/>
                <w:w w:val="99"/>
                <w:sz w:val="18"/>
              </w:rPr>
              <w:t>%</w:t>
            </w:r>
          </w:p>
        </w:tc>
        <w:tc>
          <w:tcPr>
            <w:tcW w:w="2659" w:type="dxa"/>
            <w:tcBorders>
              <w:top w:val="single" w:sz="6" w:space="0" w:color="5FFF00"/>
              <w:bottom w:val="single" w:sz="6" w:space="0" w:color="5FFF00"/>
            </w:tcBorders>
          </w:tcPr>
          <w:p>
            <w:pPr>
              <w:pStyle w:val="TableParagraph"/>
              <w:spacing w:line="186" w:lineRule="exact"/>
              <w:ind w:left="413" w:right="356"/>
              <w:rPr>
                <w:rFonts w:ascii="Times New Roman"/>
                <w:sz w:val="18"/>
              </w:rPr>
            </w:pPr>
            <w:r>
              <w:rPr>
                <w:rFonts w:ascii="Times New Roman"/>
                <w:sz w:val="18"/>
              </w:rPr>
              <w:t>13.60%</w:t>
            </w:r>
          </w:p>
        </w:tc>
      </w:tr>
    </w:tbl>
    <w:p>
      <w:pPr>
        <w:spacing w:before="0"/>
        <w:ind w:left="268" w:right="524" w:firstLine="0"/>
        <w:jc w:val="left"/>
        <w:rPr>
          <w:rFonts w:ascii="Times New Roman"/>
          <w:i/>
          <w:sz w:val="18"/>
        </w:rPr>
      </w:pPr>
      <w:r>
        <w:rPr/>
        <w:pict>
          <v:group style="position:absolute;margin-left:130.580002pt;margin-top:-267.647675pt;width:437.15pt;height:21.5pt;mso-position-horizontal-relative:page;mso-position-vertical-relative:paragraph;z-index:-34871808" coordorigin="2612,-5353" coordsize="8743,430">
            <v:shape style="position:absolute;left:2611;top:-5337;width:8743;height:207" coordorigin="2612,-5336" coordsize="8743,207" path="m8606,-5336l6390,-5336,2612,-5336,2612,-5130,6390,-5130,8606,-5130,8606,-5336xm11354,-5336l8606,-5336,8606,-5130,11354,-5130,11354,-5336xe" filled="true" fillcolor="#16772b" stroked="false">
              <v:path arrowok="t"/>
              <v:fill type="solid"/>
            </v:shape>
            <v:shape style="position:absolute;left:2611;top:-5353;width:8743;height:430" coordorigin="2612,-5353" coordsize="8743,430" path="m8606,-5353l6405,-5353,6390,-5353,2612,-5353,2612,-5339,6390,-5339,6405,-5339,8606,-5339,8606,-5353xm11354,-5130l2612,-5130,2612,-4923,11354,-4923,11354,-5130xm11354,-5353l8620,-5353,8606,-5353,8606,-5339,8620,-5339,11354,-5339,11354,-5353xe" filled="true" fillcolor="#5fff00" stroked="false">
              <v:path arrowok="t"/>
              <v:fill type="solid"/>
            </v:shape>
            <w10:wrap type="none"/>
          </v:group>
        </w:pict>
      </w:r>
      <w:r>
        <w:rPr>
          <w:rFonts w:ascii="Times New Roman"/>
          <w:i/>
          <w:sz w:val="18"/>
        </w:rPr>
        <w:t>* Indicative of pending cost towards base build works and does not include the cost for refurbishments/ infrastructure </w:t>
      </w:r>
      <w:r>
        <w:rPr>
          <w:rFonts w:ascii="Times New Roman"/>
          <w:i/>
          <w:sz w:val="18"/>
        </w:rPr>
        <w:t>upgrade works</w:t>
      </w:r>
    </w:p>
    <w:p>
      <w:pPr>
        <w:spacing w:after="0"/>
        <w:jc w:val="left"/>
        <w:rPr>
          <w:rFonts w:ascii="Times New Roman"/>
          <w:sz w:val="18"/>
        </w:rPr>
        <w:sectPr>
          <w:type w:val="continuous"/>
          <w:pgSz w:w="12240" w:h="15840"/>
          <w:pgMar w:top="800" w:bottom="280" w:left="620" w:right="580"/>
          <w:cols w:num="2" w:equalWidth="0">
            <w:col w:w="1594" w:space="129"/>
            <w:col w:w="9317"/>
          </w:cols>
        </w:sectPr>
      </w:pPr>
    </w:p>
    <w:p>
      <w:pPr>
        <w:pStyle w:val="BodyText"/>
        <w:spacing w:before="9"/>
        <w:rPr>
          <w:rFonts w:ascii="Times New Roman"/>
          <w:i/>
          <w:sz w:val="9"/>
        </w:rPr>
      </w:pPr>
    </w:p>
    <w:p>
      <w:pPr>
        <w:tabs>
          <w:tab w:pos="1991" w:val="left" w:leader="none"/>
        </w:tabs>
        <w:spacing w:before="92"/>
        <w:ind w:left="267" w:right="0" w:firstLine="0"/>
        <w:jc w:val="left"/>
        <w:rPr>
          <w:rFonts w:ascii="Times New Roman"/>
          <w:b/>
          <w:sz w:val="18"/>
        </w:rPr>
      </w:pPr>
      <w:r>
        <w:rPr>
          <w:rFonts w:ascii="Times New Roman"/>
          <w:color w:val="16772B"/>
          <w:sz w:val="18"/>
        </w:rPr>
        <w:t>Market</w:t>
      </w:r>
      <w:r>
        <w:rPr>
          <w:rFonts w:ascii="Times New Roman"/>
          <w:color w:val="16772B"/>
          <w:spacing w:val="-1"/>
          <w:sz w:val="18"/>
        </w:rPr>
        <w:t> </w:t>
      </w:r>
      <w:r>
        <w:rPr>
          <w:rFonts w:ascii="Times New Roman"/>
          <w:color w:val="16772B"/>
          <w:sz w:val="18"/>
        </w:rPr>
        <w:t>Value:</w:t>
        <w:tab/>
      </w:r>
      <w:r>
        <w:rPr>
          <w:rFonts w:ascii="Times New Roman"/>
          <w:b/>
          <w:sz w:val="18"/>
        </w:rPr>
        <w:t>INR 153,906</w:t>
      </w:r>
      <w:r>
        <w:rPr>
          <w:rFonts w:ascii="Times New Roman"/>
          <w:b/>
          <w:spacing w:val="2"/>
          <w:sz w:val="18"/>
        </w:rPr>
        <w:t> </w:t>
      </w:r>
      <w:r>
        <w:rPr>
          <w:rFonts w:ascii="Times New Roman"/>
          <w:b/>
          <w:sz w:val="18"/>
        </w:rPr>
        <w:t>Mn</w:t>
      </w:r>
    </w:p>
    <w:p>
      <w:pPr>
        <w:spacing w:after="0"/>
        <w:jc w:val="left"/>
        <w:rPr>
          <w:rFonts w:ascii="Times New Roman"/>
          <w:sz w:val="18"/>
        </w:rPr>
        <w:sectPr>
          <w:type w:val="continuous"/>
          <w:pgSz w:w="12240" w:h="15840"/>
          <w:pgMar w:top="800" w:bottom="280" w:left="620" w:right="580"/>
        </w:sectPr>
      </w:pPr>
    </w:p>
    <w:p>
      <w:pPr>
        <w:pStyle w:val="BodyText"/>
        <w:rPr>
          <w:rFonts w:ascii="Times New Roman"/>
          <w:b/>
          <w:sz w:val="18"/>
        </w:rPr>
      </w:pPr>
    </w:p>
    <w:p>
      <w:pPr>
        <w:pStyle w:val="ListParagraph"/>
        <w:numPr>
          <w:ilvl w:val="1"/>
          <w:numId w:val="1"/>
        </w:numPr>
        <w:tabs>
          <w:tab w:pos="1309" w:val="left" w:leader="none"/>
          <w:tab w:pos="1311" w:val="left" w:leader="none"/>
        </w:tabs>
        <w:spacing w:line="240" w:lineRule="auto" w:before="91" w:after="0"/>
        <w:ind w:left="1310" w:right="0" w:hanging="491"/>
        <w:jc w:val="left"/>
        <w:rPr>
          <w:rFonts w:ascii="Times New Roman"/>
          <w:color w:val="1E6C28"/>
          <w:sz w:val="20"/>
        </w:rPr>
      </w:pPr>
      <w:r>
        <w:rPr>
          <w:rFonts w:ascii="Times New Roman"/>
          <w:color w:val="1E6C28"/>
          <w:sz w:val="20"/>
        </w:rPr>
        <w:t>Express</w:t>
      </w:r>
      <w:r>
        <w:rPr>
          <w:rFonts w:ascii="Times New Roman"/>
          <w:color w:val="1E6C28"/>
          <w:spacing w:val="-1"/>
          <w:sz w:val="20"/>
        </w:rPr>
        <w:t> </w:t>
      </w:r>
      <w:r>
        <w:rPr>
          <w:rFonts w:ascii="Times New Roman"/>
          <w:color w:val="1E6C28"/>
          <w:sz w:val="20"/>
        </w:rPr>
        <w:t>Towers</w:t>
      </w:r>
    </w:p>
    <w:p>
      <w:pPr>
        <w:pStyle w:val="BodyText"/>
        <w:rPr>
          <w:rFonts w:ascii="Times New Roman"/>
          <w:sz w:val="24"/>
        </w:rPr>
      </w:pPr>
    </w:p>
    <w:p>
      <w:pPr>
        <w:tabs>
          <w:tab w:pos="2637" w:val="left" w:leader="none"/>
        </w:tabs>
        <w:spacing w:before="0"/>
        <w:ind w:left="2637" w:right="886" w:hanging="1817"/>
        <w:jc w:val="both"/>
        <w:rPr>
          <w:rFonts w:ascii="Times New Roman" w:hAnsi="Times New Roman"/>
          <w:sz w:val="18"/>
        </w:rPr>
      </w:pPr>
      <w:r>
        <w:rPr>
          <w:rFonts w:ascii="Times New Roman" w:hAnsi="Times New Roman"/>
          <w:color w:val="16772B"/>
          <w:sz w:val="18"/>
        </w:rPr>
        <w:t>Property</w:t>
      </w:r>
      <w:r>
        <w:rPr>
          <w:rFonts w:ascii="Times New Roman" w:hAnsi="Times New Roman"/>
          <w:color w:val="16772B"/>
          <w:spacing w:val="-1"/>
          <w:sz w:val="18"/>
        </w:rPr>
        <w:t> </w:t>
      </w:r>
      <w:r>
        <w:rPr>
          <w:rFonts w:ascii="Times New Roman" w:hAnsi="Times New Roman"/>
          <w:color w:val="16772B"/>
          <w:sz w:val="18"/>
        </w:rPr>
        <w:t>Name:</w:t>
        <w:tab/>
      </w:r>
      <w:r>
        <w:rPr>
          <w:rFonts w:ascii="Times New Roman" w:hAnsi="Times New Roman"/>
          <w:sz w:val="18"/>
        </w:rPr>
        <w:t>‘Express Towers’ is an operational office asset located along Barrister Rajni Patel Marg, Nariman</w:t>
      </w:r>
      <w:r>
        <w:rPr>
          <w:rFonts w:ascii="Times New Roman" w:hAnsi="Times New Roman"/>
          <w:spacing w:val="-28"/>
          <w:sz w:val="18"/>
        </w:rPr>
        <w:t> </w:t>
      </w:r>
      <w:r>
        <w:rPr>
          <w:rFonts w:ascii="Times New Roman" w:hAnsi="Times New Roman"/>
          <w:sz w:val="18"/>
        </w:rPr>
        <w:t>Point, Mumbai</w:t>
      </w:r>
    </w:p>
    <w:p>
      <w:pPr>
        <w:tabs>
          <w:tab w:pos="2637" w:val="left" w:leader="none"/>
        </w:tabs>
        <w:spacing w:before="119"/>
        <w:ind w:left="820" w:right="0" w:firstLine="0"/>
        <w:jc w:val="left"/>
        <w:rPr>
          <w:rFonts w:ascii="Times New Roman"/>
          <w:sz w:val="18"/>
        </w:rPr>
      </w:pPr>
      <w:r>
        <w:rPr>
          <w:rFonts w:ascii="Times New Roman"/>
          <w:color w:val="16772B"/>
          <w:sz w:val="18"/>
        </w:rPr>
        <w:t>Property</w:t>
      </w:r>
      <w:r>
        <w:rPr>
          <w:rFonts w:ascii="Times New Roman"/>
          <w:color w:val="16772B"/>
          <w:spacing w:val="-1"/>
          <w:sz w:val="18"/>
        </w:rPr>
        <w:t> </w:t>
      </w:r>
      <w:r>
        <w:rPr>
          <w:rFonts w:ascii="Times New Roman"/>
          <w:color w:val="16772B"/>
          <w:sz w:val="18"/>
        </w:rPr>
        <w:t>Address:</w:t>
        <w:tab/>
      </w:r>
      <w:r>
        <w:rPr>
          <w:rFonts w:ascii="Times New Roman"/>
          <w:sz w:val="18"/>
        </w:rPr>
        <w:t>Barrister Rajni Patel Marg, Nariman Point,</w:t>
      </w:r>
      <w:r>
        <w:rPr>
          <w:rFonts w:ascii="Times New Roman"/>
          <w:spacing w:val="-1"/>
          <w:sz w:val="18"/>
        </w:rPr>
        <w:t> </w:t>
      </w:r>
      <w:r>
        <w:rPr>
          <w:rFonts w:ascii="Times New Roman"/>
          <w:sz w:val="18"/>
        </w:rPr>
        <w:t>Mumbai</w:t>
      </w:r>
    </w:p>
    <w:p>
      <w:pPr>
        <w:tabs>
          <w:tab w:pos="2637" w:val="left" w:leader="none"/>
        </w:tabs>
        <w:spacing w:before="122"/>
        <w:ind w:left="2637" w:right="880" w:hanging="1817"/>
        <w:jc w:val="both"/>
        <w:rPr>
          <w:rFonts w:ascii="Times New Roman"/>
          <w:sz w:val="18"/>
        </w:rPr>
      </w:pPr>
      <w:r>
        <w:rPr>
          <w:rFonts w:ascii="Times New Roman"/>
          <w:color w:val="16772B"/>
          <w:sz w:val="18"/>
        </w:rPr>
        <w:t>Land Area:</w:t>
        <w:tab/>
      </w:r>
      <w:r>
        <w:rPr>
          <w:rFonts w:ascii="Times New Roman"/>
          <w:sz w:val="18"/>
        </w:rPr>
        <w:t>Based on review of the title report, the Valuer understands that the total land area of the subject</w:t>
      </w:r>
      <w:r>
        <w:rPr>
          <w:rFonts w:ascii="Times New Roman"/>
          <w:spacing w:val="-28"/>
          <w:sz w:val="18"/>
        </w:rPr>
        <w:t> </w:t>
      </w:r>
      <w:r>
        <w:rPr>
          <w:rFonts w:ascii="Times New Roman"/>
          <w:sz w:val="18"/>
        </w:rPr>
        <w:t>property under the ownership of the Client is approximately 1.46</w:t>
      </w:r>
      <w:r>
        <w:rPr>
          <w:rFonts w:ascii="Times New Roman"/>
          <w:spacing w:val="-10"/>
          <w:sz w:val="18"/>
        </w:rPr>
        <w:t> </w:t>
      </w:r>
      <w:r>
        <w:rPr>
          <w:rFonts w:ascii="Times New Roman"/>
          <w:sz w:val="18"/>
        </w:rPr>
        <w:t>acres</w:t>
      </w:r>
    </w:p>
    <w:p>
      <w:pPr>
        <w:tabs>
          <w:tab w:pos="2637" w:val="left" w:leader="none"/>
        </w:tabs>
        <w:spacing w:before="119"/>
        <w:ind w:left="2637" w:right="854" w:hanging="1817"/>
        <w:jc w:val="both"/>
        <w:rPr>
          <w:rFonts w:ascii="Times New Roman" w:hAnsi="Times New Roman"/>
          <w:sz w:val="18"/>
        </w:rPr>
      </w:pPr>
      <w:r>
        <w:rPr>
          <w:rFonts w:ascii="Times New Roman" w:hAnsi="Times New Roman"/>
          <w:color w:val="16772B"/>
          <w:sz w:val="18"/>
        </w:rPr>
        <w:t>Brief</w:t>
      </w:r>
      <w:r>
        <w:rPr>
          <w:rFonts w:ascii="Times New Roman" w:hAnsi="Times New Roman"/>
          <w:color w:val="16772B"/>
          <w:spacing w:val="-1"/>
          <w:sz w:val="18"/>
        </w:rPr>
        <w:t> </w:t>
      </w:r>
      <w:r>
        <w:rPr>
          <w:rFonts w:ascii="Times New Roman" w:hAnsi="Times New Roman"/>
          <w:color w:val="16772B"/>
          <w:sz w:val="18"/>
        </w:rPr>
        <w:t>Description:</w:t>
        <w:tab/>
      </w:r>
      <w:r>
        <w:rPr>
          <w:rFonts w:ascii="Times New Roman" w:hAnsi="Times New Roman"/>
          <w:sz w:val="18"/>
        </w:rPr>
        <w:t>The subject property ‘Express Towers’ is an office asset situated in Nariman Point. The subject property is located opposite to the Oberoi Trident hotel. The G+25 floor storey structure was constructed in the late 1960s and has been refurbished in the past few years. Nariman Point is located at the southernmost tip of the Mumbai City, at a distance of approximately 1 - 2 km from the Churchgate Railway Station; approximately 25 - 28 km from the Domestic / International City</w:t>
      </w:r>
      <w:r>
        <w:rPr>
          <w:rFonts w:ascii="Times New Roman" w:hAnsi="Times New Roman"/>
          <w:spacing w:val="-3"/>
          <w:sz w:val="18"/>
        </w:rPr>
        <w:t> </w:t>
      </w:r>
      <w:r>
        <w:rPr>
          <w:rFonts w:ascii="Times New Roman" w:hAnsi="Times New Roman"/>
          <w:sz w:val="18"/>
        </w:rPr>
        <w:t>Airport.</w:t>
      </w:r>
    </w:p>
    <w:p>
      <w:pPr>
        <w:spacing w:after="0"/>
        <w:jc w:val="both"/>
        <w:rPr>
          <w:rFonts w:ascii="Times New Roman" w:hAnsi="Times New Roman"/>
          <w:sz w:val="18"/>
        </w:rPr>
        <w:sectPr>
          <w:pgSz w:w="12240" w:h="15840"/>
          <w:pgMar w:header="728" w:footer="1174" w:top="1180" w:bottom="1460" w:left="620" w:right="580"/>
        </w:sectPr>
      </w:pPr>
    </w:p>
    <w:p>
      <w:pPr>
        <w:spacing w:before="119"/>
        <w:ind w:left="820" w:right="22" w:firstLine="0"/>
        <w:jc w:val="left"/>
        <w:rPr>
          <w:rFonts w:ascii="Times New Roman"/>
          <w:sz w:val="18"/>
        </w:rPr>
      </w:pPr>
      <w:r>
        <w:rPr>
          <w:rFonts w:ascii="Times New Roman"/>
          <w:color w:val="16772B"/>
          <w:sz w:val="18"/>
        </w:rPr>
        <w:t>Statement of Assets (sf):</w:t>
      </w:r>
    </w:p>
    <w:p>
      <w:pPr>
        <w:spacing w:before="119"/>
        <w:ind w:left="820" w:right="854" w:firstLine="0"/>
        <w:jc w:val="both"/>
        <w:rPr>
          <w:rFonts w:ascii="Times New Roman" w:hAnsi="Times New Roman"/>
          <w:sz w:val="18"/>
        </w:rPr>
      </w:pPr>
      <w:r>
        <w:rPr/>
        <w:br w:type="column"/>
      </w:r>
      <w:r>
        <w:rPr>
          <w:rFonts w:ascii="Times New Roman" w:hAnsi="Times New Roman"/>
          <w:sz w:val="18"/>
        </w:rPr>
        <w:t>Based on review of various documents (such as rent roll, Architect’s Certificate, etc.), the subject property is an operational office asset with approximately 472,377 sf of completed leasable area, which is approximately 93.5% occupied as on the date of valuation. Also, the top 2 floors viz the 24</w:t>
      </w:r>
      <w:r>
        <w:rPr>
          <w:rFonts w:ascii="Times New Roman" w:hAnsi="Times New Roman"/>
          <w:position w:val="5"/>
          <w:sz w:val="10"/>
        </w:rPr>
        <w:t>th </w:t>
      </w:r>
      <w:r>
        <w:rPr>
          <w:rFonts w:ascii="Times New Roman" w:hAnsi="Times New Roman"/>
          <w:sz w:val="18"/>
        </w:rPr>
        <w:t>and 25</w:t>
      </w:r>
      <w:r>
        <w:rPr>
          <w:rFonts w:ascii="Times New Roman" w:hAnsi="Times New Roman"/>
          <w:position w:val="5"/>
          <w:sz w:val="10"/>
        </w:rPr>
        <w:t>th </w:t>
      </w:r>
      <w:r>
        <w:rPr>
          <w:rFonts w:ascii="Times New Roman" w:hAnsi="Times New Roman"/>
          <w:sz w:val="18"/>
        </w:rPr>
        <w:t>floor are not owned by Indian Express Newspapers (Mumbai) Pvt. Ltd (IENPL). Table below highlights the leasable area details for the subject development under the ownership of IENPL.</w:t>
      </w:r>
    </w:p>
    <w:p>
      <w:pPr>
        <w:pStyle w:val="BodyText"/>
        <w:spacing w:before="2"/>
        <w:rPr>
          <w:rFonts w:ascii="Times New Roman"/>
          <w:sz w:val="27"/>
        </w:rPr>
      </w:pPr>
    </w:p>
    <w:tbl>
      <w:tblPr>
        <w:tblW w:w="0" w:type="auto"/>
        <w:jc w:val="left"/>
        <w:tblInd w:w="8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57"/>
        <w:gridCol w:w="2151"/>
        <w:gridCol w:w="2438"/>
      </w:tblGrid>
      <w:tr>
        <w:trPr>
          <w:trHeight w:val="414" w:hRule="atLeast"/>
        </w:trPr>
        <w:tc>
          <w:tcPr>
            <w:tcW w:w="2957" w:type="dxa"/>
            <w:tcBorders>
              <w:top w:val="single" w:sz="12" w:space="0" w:color="1E7504"/>
              <w:bottom w:val="single" w:sz="6" w:space="0" w:color="5FFF00"/>
            </w:tcBorders>
            <w:shd w:val="clear" w:color="auto" w:fill="16772B"/>
          </w:tcPr>
          <w:p>
            <w:pPr>
              <w:pStyle w:val="TableParagraph"/>
              <w:spacing w:before="102"/>
              <w:ind w:left="350" w:right="596"/>
              <w:rPr>
                <w:rFonts w:ascii="Times New Roman"/>
                <w:b/>
                <w:sz w:val="18"/>
              </w:rPr>
            </w:pPr>
            <w:r>
              <w:rPr>
                <w:rFonts w:ascii="Times New Roman"/>
                <w:b/>
                <w:color w:val="FFFFFF"/>
                <w:sz w:val="18"/>
              </w:rPr>
              <w:t>Particular</w:t>
            </w:r>
          </w:p>
        </w:tc>
        <w:tc>
          <w:tcPr>
            <w:tcW w:w="2151" w:type="dxa"/>
            <w:tcBorders>
              <w:top w:val="single" w:sz="12" w:space="0" w:color="1E7504"/>
              <w:bottom w:val="single" w:sz="6" w:space="0" w:color="5FFF00"/>
            </w:tcBorders>
            <w:shd w:val="clear" w:color="auto" w:fill="16772B"/>
          </w:tcPr>
          <w:p>
            <w:pPr>
              <w:pStyle w:val="TableParagraph"/>
              <w:spacing w:before="102"/>
              <w:ind w:left="131" w:right="455"/>
              <w:rPr>
                <w:rFonts w:ascii="Times New Roman"/>
                <w:b/>
                <w:sz w:val="18"/>
              </w:rPr>
            </w:pPr>
            <w:r>
              <w:rPr>
                <w:rFonts w:ascii="Times New Roman"/>
                <w:b/>
                <w:color w:val="FFFFFF"/>
                <w:sz w:val="18"/>
              </w:rPr>
              <w:t>Leasable Area (sf)</w:t>
            </w:r>
          </w:p>
        </w:tc>
        <w:tc>
          <w:tcPr>
            <w:tcW w:w="2438" w:type="dxa"/>
            <w:tcBorders>
              <w:top w:val="single" w:sz="12" w:space="0" w:color="1E7504"/>
              <w:bottom w:val="single" w:sz="6" w:space="0" w:color="5FFF00"/>
            </w:tcBorders>
            <w:shd w:val="clear" w:color="auto" w:fill="16772B"/>
          </w:tcPr>
          <w:p>
            <w:pPr>
              <w:pStyle w:val="TableParagraph"/>
              <w:spacing w:line="208" w:lineRule="exact" w:before="1"/>
              <w:ind w:left="1030" w:right="353" w:hanging="740"/>
              <w:jc w:val="left"/>
              <w:rPr>
                <w:rFonts w:ascii="Times New Roman"/>
                <w:b/>
                <w:sz w:val="18"/>
              </w:rPr>
            </w:pPr>
            <w:r>
              <w:rPr>
                <w:rFonts w:ascii="Times New Roman"/>
                <w:b/>
                <w:color w:val="FFFFFF"/>
                <w:sz w:val="18"/>
              </w:rPr>
              <w:t>Committed Occupancy (%)</w:t>
            </w:r>
          </w:p>
        </w:tc>
      </w:tr>
      <w:tr>
        <w:trPr>
          <w:trHeight w:val="202" w:hRule="atLeast"/>
        </w:trPr>
        <w:tc>
          <w:tcPr>
            <w:tcW w:w="2957" w:type="dxa"/>
            <w:tcBorders>
              <w:top w:val="single" w:sz="6" w:space="0" w:color="5FFF00"/>
              <w:bottom w:val="single" w:sz="6" w:space="0" w:color="5FFF00"/>
            </w:tcBorders>
          </w:tcPr>
          <w:p>
            <w:pPr>
              <w:pStyle w:val="TableParagraph"/>
              <w:spacing w:line="183" w:lineRule="exact"/>
              <w:ind w:left="350" w:right="594"/>
              <w:rPr>
                <w:rFonts w:ascii="Times New Roman"/>
                <w:sz w:val="18"/>
              </w:rPr>
            </w:pPr>
            <w:r>
              <w:rPr>
                <w:rFonts w:ascii="Times New Roman"/>
                <w:sz w:val="18"/>
              </w:rPr>
              <w:t>Completed Blocks</w:t>
            </w:r>
          </w:p>
        </w:tc>
        <w:tc>
          <w:tcPr>
            <w:tcW w:w="2151" w:type="dxa"/>
            <w:tcBorders>
              <w:top w:val="single" w:sz="6" w:space="0" w:color="5FFF00"/>
              <w:bottom w:val="single" w:sz="6" w:space="0" w:color="5FFF00"/>
            </w:tcBorders>
          </w:tcPr>
          <w:p>
            <w:pPr>
              <w:pStyle w:val="TableParagraph"/>
              <w:spacing w:line="183" w:lineRule="exact"/>
              <w:ind w:left="131" w:right="458"/>
              <w:rPr>
                <w:rFonts w:ascii="Times New Roman"/>
                <w:sz w:val="18"/>
              </w:rPr>
            </w:pPr>
            <w:r>
              <w:rPr>
                <w:rFonts w:ascii="Times New Roman"/>
                <w:sz w:val="18"/>
              </w:rPr>
              <w:t>472,377</w:t>
            </w:r>
          </w:p>
        </w:tc>
        <w:tc>
          <w:tcPr>
            <w:tcW w:w="2438" w:type="dxa"/>
            <w:tcBorders>
              <w:top w:val="single" w:sz="6" w:space="0" w:color="5FFF00"/>
              <w:bottom w:val="single" w:sz="6" w:space="0" w:color="5FFF00"/>
            </w:tcBorders>
          </w:tcPr>
          <w:p>
            <w:pPr>
              <w:pStyle w:val="TableParagraph"/>
              <w:spacing w:line="183" w:lineRule="exact"/>
              <w:ind w:left="928" w:right="1004"/>
              <w:rPr>
                <w:rFonts w:ascii="Times New Roman"/>
                <w:sz w:val="18"/>
              </w:rPr>
            </w:pPr>
            <w:r>
              <w:rPr>
                <w:rFonts w:ascii="Times New Roman"/>
                <w:sz w:val="18"/>
              </w:rPr>
              <w:t>93.5%</w:t>
            </w:r>
          </w:p>
        </w:tc>
      </w:tr>
      <w:tr>
        <w:trPr>
          <w:trHeight w:val="208" w:hRule="atLeast"/>
        </w:trPr>
        <w:tc>
          <w:tcPr>
            <w:tcW w:w="2957" w:type="dxa"/>
            <w:tcBorders>
              <w:top w:val="single" w:sz="6" w:space="0" w:color="5FFF00"/>
              <w:bottom w:val="single" w:sz="6" w:space="0" w:color="5FFF00"/>
            </w:tcBorders>
          </w:tcPr>
          <w:p>
            <w:pPr>
              <w:pStyle w:val="TableParagraph"/>
              <w:spacing w:line="186" w:lineRule="exact" w:before="2"/>
              <w:ind w:left="350" w:right="597"/>
              <w:rPr>
                <w:rFonts w:ascii="Times New Roman"/>
                <w:sz w:val="18"/>
              </w:rPr>
            </w:pPr>
            <w:r>
              <w:rPr>
                <w:rFonts w:ascii="Times New Roman"/>
                <w:sz w:val="18"/>
              </w:rPr>
              <w:t>Under Construction Blocks</w:t>
            </w:r>
          </w:p>
        </w:tc>
        <w:tc>
          <w:tcPr>
            <w:tcW w:w="2151" w:type="dxa"/>
            <w:tcBorders>
              <w:top w:val="single" w:sz="6" w:space="0" w:color="5FFF00"/>
              <w:bottom w:val="single" w:sz="6" w:space="0" w:color="5FFF00"/>
            </w:tcBorders>
          </w:tcPr>
          <w:p>
            <w:pPr>
              <w:pStyle w:val="TableParagraph"/>
              <w:spacing w:line="186" w:lineRule="exact" w:before="2"/>
              <w:ind w:right="325"/>
              <w:rPr>
                <w:rFonts w:ascii="Times New Roman"/>
                <w:sz w:val="18"/>
              </w:rPr>
            </w:pPr>
            <w:r>
              <w:rPr>
                <w:rFonts w:ascii="Times New Roman"/>
                <w:w w:val="99"/>
                <w:sz w:val="18"/>
              </w:rPr>
              <w:t>-</w:t>
            </w:r>
          </w:p>
        </w:tc>
        <w:tc>
          <w:tcPr>
            <w:tcW w:w="2438" w:type="dxa"/>
            <w:tcBorders>
              <w:top w:val="single" w:sz="6" w:space="0" w:color="5FFF00"/>
              <w:bottom w:val="single" w:sz="6" w:space="0" w:color="5FFF00"/>
            </w:tcBorders>
          </w:tcPr>
          <w:p>
            <w:pPr>
              <w:pStyle w:val="TableParagraph"/>
              <w:spacing w:line="186" w:lineRule="exact" w:before="2"/>
              <w:ind w:left="927" w:right="1004"/>
              <w:rPr>
                <w:rFonts w:ascii="Times New Roman"/>
                <w:sz w:val="18"/>
              </w:rPr>
            </w:pPr>
            <w:r>
              <w:rPr>
                <w:rFonts w:ascii="Times New Roman"/>
                <w:sz w:val="18"/>
              </w:rPr>
              <w:t>NA</w:t>
            </w:r>
          </w:p>
        </w:tc>
      </w:tr>
      <w:tr>
        <w:trPr>
          <w:trHeight w:val="205" w:hRule="atLeast"/>
        </w:trPr>
        <w:tc>
          <w:tcPr>
            <w:tcW w:w="2957" w:type="dxa"/>
            <w:tcBorders>
              <w:top w:val="single" w:sz="6" w:space="0" w:color="5FFF00"/>
              <w:bottom w:val="single" w:sz="6" w:space="0" w:color="5FFF00"/>
            </w:tcBorders>
          </w:tcPr>
          <w:p>
            <w:pPr>
              <w:pStyle w:val="TableParagraph"/>
              <w:spacing w:line="186" w:lineRule="exact"/>
              <w:ind w:left="350" w:right="596"/>
              <w:rPr>
                <w:rFonts w:ascii="Times New Roman"/>
                <w:sz w:val="18"/>
              </w:rPr>
            </w:pPr>
            <w:r>
              <w:rPr>
                <w:rFonts w:ascii="Times New Roman"/>
                <w:sz w:val="18"/>
              </w:rPr>
              <w:t>Proposed Blocks</w:t>
            </w:r>
          </w:p>
        </w:tc>
        <w:tc>
          <w:tcPr>
            <w:tcW w:w="2151" w:type="dxa"/>
            <w:tcBorders>
              <w:top w:val="single" w:sz="6" w:space="0" w:color="5FFF00"/>
              <w:bottom w:val="single" w:sz="6" w:space="0" w:color="5FFF00"/>
            </w:tcBorders>
          </w:tcPr>
          <w:p>
            <w:pPr>
              <w:pStyle w:val="TableParagraph"/>
              <w:spacing w:line="186" w:lineRule="exact"/>
              <w:ind w:right="325"/>
              <w:rPr>
                <w:rFonts w:ascii="Times New Roman"/>
                <w:sz w:val="18"/>
              </w:rPr>
            </w:pPr>
            <w:r>
              <w:rPr>
                <w:rFonts w:ascii="Times New Roman"/>
                <w:w w:val="99"/>
                <w:sz w:val="18"/>
              </w:rPr>
              <w:t>-</w:t>
            </w:r>
          </w:p>
        </w:tc>
        <w:tc>
          <w:tcPr>
            <w:tcW w:w="2438" w:type="dxa"/>
            <w:tcBorders>
              <w:top w:val="single" w:sz="6" w:space="0" w:color="5FFF00"/>
              <w:bottom w:val="single" w:sz="6" w:space="0" w:color="5FFF00"/>
            </w:tcBorders>
          </w:tcPr>
          <w:p>
            <w:pPr>
              <w:pStyle w:val="TableParagraph"/>
              <w:spacing w:line="186" w:lineRule="exact"/>
              <w:ind w:left="927" w:right="1004"/>
              <w:rPr>
                <w:rFonts w:ascii="Times New Roman"/>
                <w:sz w:val="18"/>
              </w:rPr>
            </w:pPr>
            <w:r>
              <w:rPr>
                <w:rFonts w:ascii="Times New Roman"/>
                <w:sz w:val="18"/>
              </w:rPr>
              <w:t>NA</w:t>
            </w:r>
          </w:p>
        </w:tc>
      </w:tr>
      <w:tr>
        <w:trPr>
          <w:trHeight w:val="208" w:hRule="atLeast"/>
        </w:trPr>
        <w:tc>
          <w:tcPr>
            <w:tcW w:w="2957" w:type="dxa"/>
            <w:tcBorders>
              <w:top w:val="single" w:sz="6" w:space="0" w:color="5FFF00"/>
              <w:bottom w:val="single" w:sz="6" w:space="0" w:color="5FFF00"/>
            </w:tcBorders>
          </w:tcPr>
          <w:p>
            <w:pPr>
              <w:pStyle w:val="TableParagraph"/>
              <w:spacing w:line="186" w:lineRule="exact" w:before="2"/>
              <w:ind w:left="350" w:right="597"/>
              <w:rPr>
                <w:rFonts w:ascii="Times New Roman"/>
                <w:b/>
                <w:sz w:val="18"/>
              </w:rPr>
            </w:pPr>
            <w:r>
              <w:rPr>
                <w:rFonts w:ascii="Times New Roman"/>
                <w:b/>
                <w:sz w:val="18"/>
              </w:rPr>
              <w:t>Total</w:t>
            </w:r>
          </w:p>
        </w:tc>
        <w:tc>
          <w:tcPr>
            <w:tcW w:w="2151" w:type="dxa"/>
            <w:tcBorders>
              <w:top w:val="single" w:sz="6" w:space="0" w:color="5FFF00"/>
              <w:bottom w:val="single" w:sz="6" w:space="0" w:color="5FFF00"/>
            </w:tcBorders>
          </w:tcPr>
          <w:p>
            <w:pPr>
              <w:pStyle w:val="TableParagraph"/>
              <w:spacing w:line="186" w:lineRule="exact" w:before="2"/>
              <w:ind w:left="131" w:right="458"/>
              <w:rPr>
                <w:rFonts w:ascii="Times New Roman"/>
                <w:b/>
                <w:sz w:val="18"/>
              </w:rPr>
            </w:pPr>
            <w:r>
              <w:rPr>
                <w:rFonts w:ascii="Times New Roman"/>
                <w:b/>
                <w:sz w:val="18"/>
              </w:rPr>
              <w:t>472,377</w:t>
            </w:r>
          </w:p>
        </w:tc>
        <w:tc>
          <w:tcPr>
            <w:tcW w:w="2438" w:type="dxa"/>
            <w:tcBorders>
              <w:top w:val="single" w:sz="6" w:space="0" w:color="5FFF00"/>
              <w:bottom w:val="single" w:sz="6" w:space="0" w:color="5FFF00"/>
            </w:tcBorders>
          </w:tcPr>
          <w:p>
            <w:pPr>
              <w:pStyle w:val="TableParagraph"/>
              <w:jc w:val="left"/>
              <w:rPr>
                <w:rFonts w:ascii="Times New Roman"/>
                <w:sz w:val="14"/>
              </w:rPr>
            </w:pPr>
          </w:p>
        </w:tc>
      </w:tr>
    </w:tbl>
    <w:p>
      <w:pPr>
        <w:spacing w:before="112"/>
        <w:ind w:left="820" w:right="0" w:firstLine="0"/>
        <w:jc w:val="both"/>
        <w:rPr>
          <w:rFonts w:ascii="Times New Roman"/>
          <w:sz w:val="18"/>
        </w:rPr>
      </w:pPr>
      <w:r>
        <w:rPr>
          <w:rFonts w:ascii="Times New Roman"/>
          <w:sz w:val="18"/>
        </w:rPr>
        <w:t>Source: Architect certificate, Rent roll, lease deeds;</w:t>
      </w:r>
    </w:p>
    <w:p>
      <w:pPr>
        <w:spacing w:after="0"/>
        <w:jc w:val="both"/>
        <w:rPr>
          <w:rFonts w:ascii="Times New Roman"/>
          <w:sz w:val="18"/>
        </w:rPr>
        <w:sectPr>
          <w:type w:val="continuous"/>
          <w:pgSz w:w="12240" w:h="15840"/>
          <w:pgMar w:top="800" w:bottom="280" w:left="620" w:right="580"/>
          <w:cols w:num="2" w:equalWidth="0">
            <w:col w:w="1777" w:space="40"/>
            <w:col w:w="9223"/>
          </w:cols>
        </w:sectPr>
      </w:pPr>
    </w:p>
    <w:p>
      <w:pPr>
        <w:pStyle w:val="BodyText"/>
        <w:spacing w:before="6"/>
        <w:rPr>
          <w:rFonts w:ascii="Times New Roman"/>
          <w:sz w:val="14"/>
        </w:rPr>
      </w:pPr>
    </w:p>
    <w:p>
      <w:pPr>
        <w:spacing w:before="92"/>
        <w:ind w:left="820" w:right="0" w:firstLine="0"/>
        <w:jc w:val="left"/>
        <w:rPr>
          <w:rFonts w:ascii="Times New Roman"/>
          <w:sz w:val="18"/>
        </w:rPr>
      </w:pPr>
      <w:r>
        <w:rPr/>
        <w:pict>
          <v:group style="position:absolute;margin-left:162.850006pt;margin-top:13.722356pt;width:377.3pt;height:243.8pt;mso-position-horizontal-relative:page;mso-position-vertical-relative:paragraph;z-index:15757312" coordorigin="3257,274" coordsize="7546,4876">
            <v:shape style="position:absolute;left:3257;top:4691;width:7546;height:207" coordorigin="3257,4691" coordsize="7546,207" path="m8289,4691l5965,4691,3257,4691,3257,4898,5965,4898,8289,4898,8289,4691xm10802,4691l8289,4691,8289,4898,10802,4898,10802,4691xe" filled="true" fillcolor="#16772b" stroked="false">
              <v:path arrowok="t"/>
              <v:fill type="solid"/>
            </v:shape>
            <v:shape style="position:absolute;left:3257;top:4677;width:7546;height:473" coordorigin="3257,4677" coordsize="7546,473" path="m8289,4677l5980,4677,5965,4677,3257,4677,3257,4691,5965,4691,5980,4691,8289,4691,8289,4677xm10802,4898l3257,4898,3257,5150,10802,5150,10802,4898xm10802,4677l8304,4677,8289,4677,8289,4691,8304,4691,10802,4691,10802,4677xe" filled="true" fillcolor="#5fff00" stroked="false">
              <v:path arrowok="t"/>
              <v:fill type="solid"/>
            </v:shape>
            <v:shape style="position:absolute;left:3257;top:274;width:7526;height:4370" type="#_x0000_t75" stroked="false">
              <v:imagedata r:id="rId19" o:title=""/>
            </v:shape>
            <w10:wrap type="none"/>
          </v:group>
        </w:pict>
      </w:r>
      <w:r>
        <w:rPr>
          <w:rFonts w:ascii="Times New Roman"/>
          <w:color w:val="16772B"/>
          <w:sz w:val="18"/>
        </w:rPr>
        <w:t>Location Map</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rPr>
      </w:pPr>
    </w:p>
    <w:p>
      <w:pPr>
        <w:spacing w:before="0"/>
        <w:ind w:left="964" w:right="0" w:firstLine="0"/>
        <w:jc w:val="left"/>
        <w:rPr>
          <w:rFonts w:ascii="Times New Roman"/>
          <w:sz w:val="18"/>
        </w:rPr>
      </w:pPr>
      <w:r>
        <w:rPr/>
        <w:pict>
          <v:shape style="position:absolute;margin-left:162.860001pt;margin-top:-.477671pt;width:377.3pt;height:51.85pt;mso-position-horizontal-relative:page;mso-position-vertical-relative:paragraph;z-index:1575833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03"/>
                    <w:gridCol w:w="2442"/>
                    <w:gridCol w:w="2399"/>
                  </w:tblGrid>
                  <w:tr>
                    <w:trPr>
                      <w:trHeight w:val="466" w:hRule="atLeast"/>
                    </w:trPr>
                    <w:tc>
                      <w:tcPr>
                        <w:tcW w:w="7544" w:type="dxa"/>
                        <w:gridSpan w:val="3"/>
                      </w:tcPr>
                      <w:p>
                        <w:pPr>
                          <w:pStyle w:val="TableParagraph"/>
                          <w:tabs>
                            <w:tab w:pos="2850" w:val="left" w:leader="none"/>
                            <w:tab w:pos="5176" w:val="left" w:leader="none"/>
                          </w:tabs>
                          <w:spacing w:before="7"/>
                          <w:ind w:left="78"/>
                          <w:rPr>
                            <w:rFonts w:ascii="Times New Roman"/>
                            <w:b/>
                            <w:sz w:val="18"/>
                          </w:rPr>
                        </w:pPr>
                        <w:r>
                          <w:rPr>
                            <w:rFonts w:ascii="Times New Roman"/>
                            <w:b/>
                            <w:color w:val="FFFFFF"/>
                            <w:sz w:val="18"/>
                          </w:rPr>
                          <w:t>Particulars</w:t>
                          <w:tab/>
                          <w:t>Unit</w:t>
                          <w:tab/>
                          <w:t>Details</w:t>
                        </w:r>
                      </w:p>
                      <w:p>
                        <w:pPr>
                          <w:pStyle w:val="TableParagraph"/>
                          <w:spacing w:line="187" w:lineRule="exact" w:before="45"/>
                          <w:ind w:left="3"/>
                          <w:rPr>
                            <w:rFonts w:ascii="Times New Roman"/>
                            <w:sz w:val="18"/>
                          </w:rPr>
                        </w:pPr>
                        <w:r>
                          <w:rPr>
                            <w:rFonts w:ascii="Times New Roman"/>
                            <w:sz w:val="18"/>
                          </w:rPr>
                          <w:t>Revenue assumptions (as on March 31, 2020)</w:t>
                        </w:r>
                      </w:p>
                    </w:tc>
                  </w:tr>
                  <w:tr>
                    <w:trPr>
                      <w:trHeight w:val="207" w:hRule="atLeast"/>
                    </w:trPr>
                    <w:tc>
                      <w:tcPr>
                        <w:tcW w:w="2703" w:type="dxa"/>
                        <w:tcBorders>
                          <w:bottom w:val="single" w:sz="6" w:space="0" w:color="5FFF00"/>
                        </w:tcBorders>
                      </w:tcPr>
                      <w:p>
                        <w:pPr>
                          <w:pStyle w:val="TableParagraph"/>
                          <w:spacing w:line="188" w:lineRule="exact"/>
                          <w:ind w:left="695" w:right="692"/>
                          <w:rPr>
                            <w:rFonts w:ascii="Times New Roman"/>
                            <w:sz w:val="18"/>
                          </w:rPr>
                        </w:pPr>
                        <w:r>
                          <w:rPr>
                            <w:rFonts w:ascii="Times New Roman"/>
                            <w:sz w:val="18"/>
                          </w:rPr>
                          <w:t>Lease completion</w:t>
                        </w:r>
                      </w:p>
                    </w:tc>
                    <w:tc>
                      <w:tcPr>
                        <w:tcW w:w="2442" w:type="dxa"/>
                        <w:tcBorders>
                          <w:bottom w:val="single" w:sz="6" w:space="0" w:color="5FFF00"/>
                        </w:tcBorders>
                      </w:tcPr>
                      <w:p>
                        <w:pPr>
                          <w:pStyle w:val="TableParagraph"/>
                          <w:spacing w:line="188" w:lineRule="exact"/>
                          <w:ind w:left="689" w:right="802"/>
                          <w:rPr>
                            <w:rFonts w:ascii="Times New Roman"/>
                            <w:sz w:val="18"/>
                          </w:rPr>
                        </w:pPr>
                        <w:r>
                          <w:rPr>
                            <w:rFonts w:ascii="Times New Roman"/>
                            <w:sz w:val="18"/>
                          </w:rPr>
                          <w:t>Year</w:t>
                        </w:r>
                      </w:p>
                    </w:tc>
                    <w:tc>
                      <w:tcPr>
                        <w:tcW w:w="2399" w:type="dxa"/>
                        <w:tcBorders>
                          <w:bottom w:val="single" w:sz="6" w:space="0" w:color="5FFF00"/>
                        </w:tcBorders>
                      </w:tcPr>
                      <w:p>
                        <w:pPr>
                          <w:pStyle w:val="TableParagraph"/>
                          <w:spacing w:line="188" w:lineRule="exact"/>
                          <w:ind w:left="639" w:right="749"/>
                          <w:rPr>
                            <w:rFonts w:ascii="Times New Roman"/>
                            <w:sz w:val="18"/>
                          </w:rPr>
                        </w:pPr>
                        <w:r>
                          <w:rPr>
                            <w:rFonts w:ascii="Times New Roman"/>
                            <w:sz w:val="18"/>
                          </w:rPr>
                          <w:t>FY 2021</w:t>
                        </w:r>
                      </w:p>
                    </w:tc>
                  </w:tr>
                  <w:tr>
                    <w:trPr>
                      <w:trHeight w:val="325" w:hRule="atLeast"/>
                    </w:trPr>
                    <w:tc>
                      <w:tcPr>
                        <w:tcW w:w="2703" w:type="dxa"/>
                        <w:tcBorders>
                          <w:top w:val="single" w:sz="6" w:space="0" w:color="5FFF00"/>
                          <w:bottom w:val="single" w:sz="6" w:space="0" w:color="5FFF00"/>
                        </w:tcBorders>
                      </w:tcPr>
                      <w:p>
                        <w:pPr>
                          <w:pStyle w:val="TableParagraph"/>
                          <w:spacing w:line="186" w:lineRule="exact" w:before="119"/>
                          <w:ind w:left="695" w:right="691"/>
                          <w:rPr>
                            <w:rFonts w:ascii="Times New Roman"/>
                            <w:sz w:val="18"/>
                          </w:rPr>
                        </w:pPr>
                        <w:r>
                          <w:rPr>
                            <w:rFonts w:ascii="Times New Roman"/>
                            <w:sz w:val="18"/>
                          </w:rPr>
                          <w:t>In-place rent</w:t>
                        </w:r>
                      </w:p>
                    </w:tc>
                    <w:tc>
                      <w:tcPr>
                        <w:tcW w:w="2442" w:type="dxa"/>
                        <w:tcBorders>
                          <w:top w:val="single" w:sz="6" w:space="0" w:color="5FFF00"/>
                          <w:bottom w:val="single" w:sz="6" w:space="0" w:color="5FFF00"/>
                        </w:tcBorders>
                      </w:tcPr>
                      <w:p>
                        <w:pPr>
                          <w:pStyle w:val="TableParagraph"/>
                          <w:spacing w:line="186" w:lineRule="exact" w:before="119"/>
                          <w:ind w:left="694" w:right="802"/>
                          <w:rPr>
                            <w:rFonts w:ascii="Times New Roman"/>
                            <w:sz w:val="18"/>
                          </w:rPr>
                        </w:pPr>
                        <w:r>
                          <w:rPr>
                            <w:rFonts w:ascii="Times New Roman"/>
                            <w:sz w:val="18"/>
                          </w:rPr>
                          <w:t>INR psf/mth</w:t>
                        </w:r>
                      </w:p>
                    </w:tc>
                    <w:tc>
                      <w:tcPr>
                        <w:tcW w:w="2399" w:type="dxa"/>
                        <w:tcBorders>
                          <w:top w:val="single" w:sz="6" w:space="0" w:color="5FFF00"/>
                          <w:bottom w:val="single" w:sz="6" w:space="0" w:color="5FFF00"/>
                        </w:tcBorders>
                      </w:tcPr>
                      <w:p>
                        <w:pPr>
                          <w:pStyle w:val="TableParagraph"/>
                          <w:spacing w:line="186" w:lineRule="exact" w:before="119"/>
                          <w:ind w:left="639" w:right="749"/>
                          <w:rPr>
                            <w:rFonts w:ascii="Times New Roman"/>
                            <w:sz w:val="10"/>
                          </w:rPr>
                        </w:pPr>
                        <w:r>
                          <w:rPr>
                            <w:rFonts w:ascii="Times New Roman"/>
                            <w:sz w:val="18"/>
                          </w:rPr>
                          <w:t>256</w:t>
                        </w:r>
                        <w:r>
                          <w:rPr>
                            <w:rFonts w:ascii="Times New Roman"/>
                            <w:position w:val="5"/>
                            <w:sz w:val="10"/>
                          </w:rPr>
                          <w:t>^</w:t>
                        </w:r>
                      </w:p>
                    </w:tc>
                  </w:tr>
                </w:tbl>
                <w:p>
                  <w:pPr>
                    <w:pStyle w:val="BodyText"/>
                  </w:pPr>
                </w:p>
              </w:txbxContent>
            </v:textbox>
            <w10:wrap type="none"/>
          </v:shape>
        </w:pict>
      </w:r>
      <w:r>
        <w:rPr>
          <w:rFonts w:ascii="Times New Roman"/>
          <w:color w:val="16772B"/>
          <w:sz w:val="18"/>
        </w:rPr>
        <w:t>Key Assumptions</w:t>
      </w:r>
    </w:p>
    <w:p>
      <w:pPr>
        <w:pStyle w:val="BodyText"/>
        <w:rPr>
          <w:rFonts w:ascii="Times New Roman"/>
          <w:sz w:val="20"/>
        </w:rPr>
      </w:pPr>
    </w:p>
    <w:p>
      <w:pPr>
        <w:pStyle w:val="BodyText"/>
        <w:rPr>
          <w:rFonts w:ascii="Times New Roman"/>
          <w:sz w:val="20"/>
        </w:rPr>
      </w:pPr>
    </w:p>
    <w:p>
      <w:pPr>
        <w:pStyle w:val="BodyText"/>
        <w:spacing w:before="8"/>
        <w:rPr>
          <w:rFonts w:ascii="Times New Roman"/>
        </w:rPr>
      </w:pPr>
    </w:p>
    <w:p>
      <w:pPr>
        <w:spacing w:after="0"/>
        <w:rPr>
          <w:rFonts w:ascii="Times New Roman"/>
        </w:rPr>
        <w:sectPr>
          <w:type w:val="continuous"/>
          <w:pgSz w:w="12240" w:h="15840"/>
          <w:pgMar w:top="800" w:bottom="280" w:left="620" w:right="580"/>
        </w:sectPr>
      </w:pPr>
    </w:p>
    <w:p>
      <w:pPr>
        <w:spacing w:line="244" w:lineRule="auto" w:before="92"/>
        <w:ind w:left="3590" w:right="-3" w:hanging="891"/>
        <w:jc w:val="left"/>
        <w:rPr>
          <w:rFonts w:ascii="Times New Roman" w:hAnsi="Times New Roman"/>
          <w:sz w:val="18"/>
        </w:rPr>
      </w:pPr>
      <w:r>
        <w:rPr/>
        <w:pict>
          <v:shape style="position:absolute;margin-left:162.860001pt;margin-top:26.31834pt;width:377.3pt;height:.75pt;mso-position-horizontal-relative:page;mso-position-vertical-relative:paragraph;z-index:15757824" coordorigin="3257,526" coordsize="7546,15" path="m8289,526l5980,526,5965,526,3257,526,3257,541,5965,541,5980,541,8289,541,8289,526xm10802,526l8304,526,8289,526,8289,541,8304,541,10802,541,10802,526xe" filled="true" fillcolor="#5fff00" stroked="false">
            <v:path arrowok="t"/>
            <v:fill type="solid"/>
            <w10:wrap type="none"/>
          </v:shape>
        </w:pict>
      </w:r>
      <w:r>
        <w:rPr>
          <w:rFonts w:ascii="Times New Roman" w:hAnsi="Times New Roman"/>
          <w:sz w:val="18"/>
        </w:rPr>
        <w:t>Marginal Rent – Commercial </w:t>
      </w:r>
      <w:r>
        <w:rPr>
          <w:rFonts w:ascii="Times New Roman" w:hAnsi="Times New Roman"/>
          <w:spacing w:val="-3"/>
          <w:sz w:val="18"/>
        </w:rPr>
        <w:t>office </w:t>
      </w:r>
      <w:r>
        <w:rPr>
          <w:rFonts w:ascii="Times New Roman" w:hAnsi="Times New Roman"/>
          <w:sz w:val="18"/>
        </w:rPr>
        <w:t>component</w:t>
      </w:r>
    </w:p>
    <w:p>
      <w:pPr>
        <w:tabs>
          <w:tab w:pos="3744" w:val="right" w:leader="none"/>
        </w:tabs>
        <w:spacing w:before="208"/>
        <w:ind w:left="735" w:right="0" w:firstLine="0"/>
        <w:jc w:val="left"/>
        <w:rPr>
          <w:rFonts w:ascii="Times New Roman"/>
          <w:sz w:val="18"/>
        </w:rPr>
      </w:pPr>
      <w:r>
        <w:rPr/>
        <w:br w:type="column"/>
      </w:r>
      <w:r>
        <w:rPr>
          <w:rFonts w:ascii="Times New Roman"/>
          <w:sz w:val="18"/>
        </w:rPr>
        <w:t>INR psf/mth</w:t>
        <w:tab/>
        <w:t>270</w:t>
      </w:r>
    </w:p>
    <w:p>
      <w:pPr>
        <w:spacing w:after="0"/>
        <w:jc w:val="left"/>
        <w:rPr>
          <w:rFonts w:ascii="Times New Roman"/>
          <w:sz w:val="18"/>
        </w:rPr>
        <w:sectPr>
          <w:type w:val="continuous"/>
          <w:pgSz w:w="12240" w:h="15840"/>
          <w:pgMar w:top="800" w:bottom="280" w:left="620" w:right="580"/>
          <w:cols w:num="2" w:equalWidth="0">
            <w:col w:w="5278" w:space="40"/>
            <w:col w:w="5722"/>
          </w:cols>
        </w:sectPr>
      </w:pPr>
    </w:p>
    <w:p>
      <w:pPr>
        <w:tabs>
          <w:tab w:pos="5986" w:val="left" w:leader="none"/>
          <w:tab w:pos="8895" w:val="left" w:leader="none"/>
        </w:tabs>
        <w:spacing w:before="82"/>
        <w:ind w:left="3137" w:right="0" w:firstLine="0"/>
        <w:jc w:val="left"/>
        <w:rPr>
          <w:rFonts w:ascii="Times New Roman"/>
          <w:sz w:val="18"/>
        </w:rPr>
      </w:pPr>
      <w:r>
        <w:rPr/>
        <w:pict>
          <v:rect style="position:absolute;margin-left:162.140015pt;margin-top:17.302341pt;width:377.980018pt;height:.72pt;mso-position-horizontal-relative:page;mso-position-vertical-relative:paragraph;z-index:-15700480;mso-wrap-distance-left:0;mso-wrap-distance-right:0" filled="true" fillcolor="#5fff00" stroked="false">
            <v:fill type="solid"/>
            <w10:wrap type="topAndBottom"/>
          </v:rect>
        </w:pict>
      </w:r>
      <w:r>
        <w:rPr>
          <w:rFonts w:ascii="Times New Roman"/>
          <w:sz w:val="18"/>
        </w:rPr>
        <w:t>Parking rent</w:t>
      </w:r>
      <w:r>
        <w:rPr>
          <w:rFonts w:ascii="Times New Roman"/>
          <w:spacing w:val="-2"/>
          <w:sz w:val="18"/>
        </w:rPr>
        <w:t> </w:t>
      </w:r>
      <w:r>
        <w:rPr>
          <w:rFonts w:ascii="Times New Roman"/>
          <w:sz w:val="18"/>
        </w:rPr>
        <w:t>(Effective)</w:t>
        <w:tab/>
        <w:t>INR /</w:t>
      </w:r>
      <w:r>
        <w:rPr>
          <w:rFonts w:ascii="Times New Roman"/>
          <w:spacing w:val="-1"/>
          <w:sz w:val="18"/>
        </w:rPr>
        <w:t> </w:t>
      </w:r>
      <w:r>
        <w:rPr>
          <w:rFonts w:ascii="Times New Roman"/>
          <w:sz w:val="18"/>
        </w:rPr>
        <w:t>bay/mth</w:t>
        <w:tab/>
        <w:t>-</w:t>
      </w:r>
    </w:p>
    <w:p>
      <w:pPr>
        <w:spacing w:after="0"/>
        <w:jc w:val="left"/>
        <w:rPr>
          <w:rFonts w:ascii="Times New Roman"/>
          <w:sz w:val="18"/>
        </w:rPr>
        <w:sectPr>
          <w:type w:val="continuous"/>
          <w:pgSz w:w="12240" w:h="15840"/>
          <w:pgMar w:top="800" w:bottom="280" w:left="620" w:right="580"/>
        </w:sectPr>
      </w:pPr>
    </w:p>
    <w:p>
      <w:pPr>
        <w:pStyle w:val="BodyText"/>
        <w:spacing w:before="10"/>
        <w:rPr>
          <w:rFonts w:ascii="Times New Roman"/>
          <w:sz w:val="25"/>
        </w:rPr>
      </w:pPr>
    </w:p>
    <w:tbl>
      <w:tblPr>
        <w:tblW w:w="0" w:type="auto"/>
        <w:jc w:val="left"/>
        <w:tblInd w:w="2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10"/>
        <w:gridCol w:w="1767"/>
        <w:gridCol w:w="2568"/>
      </w:tblGrid>
      <w:tr>
        <w:trPr>
          <w:trHeight w:val="206" w:hRule="atLeast"/>
        </w:trPr>
        <w:tc>
          <w:tcPr>
            <w:tcW w:w="3210" w:type="dxa"/>
            <w:shd w:val="clear" w:color="auto" w:fill="5FFF00"/>
          </w:tcPr>
          <w:p>
            <w:pPr>
              <w:pStyle w:val="TableParagraph"/>
              <w:spacing w:line="187" w:lineRule="exact"/>
              <w:ind w:right="36"/>
              <w:jc w:val="right"/>
              <w:rPr>
                <w:rFonts w:ascii="Times New Roman"/>
                <w:sz w:val="18"/>
              </w:rPr>
            </w:pPr>
            <w:r>
              <w:rPr>
                <w:rFonts w:ascii="Times New Roman"/>
                <w:w w:val="95"/>
                <w:sz w:val="18"/>
              </w:rPr>
              <w:t>Other</w:t>
            </w:r>
          </w:p>
        </w:tc>
        <w:tc>
          <w:tcPr>
            <w:tcW w:w="1767" w:type="dxa"/>
            <w:shd w:val="clear" w:color="auto" w:fill="5FFF00"/>
          </w:tcPr>
          <w:p>
            <w:pPr>
              <w:pStyle w:val="TableParagraph"/>
              <w:spacing w:line="187" w:lineRule="exact"/>
              <w:ind w:left="6"/>
              <w:jc w:val="left"/>
              <w:rPr>
                <w:rFonts w:ascii="Times New Roman"/>
                <w:sz w:val="18"/>
              </w:rPr>
            </w:pPr>
            <w:r>
              <w:rPr>
                <w:rFonts w:ascii="Times New Roman"/>
                <w:sz w:val="18"/>
              </w:rPr>
              <w:t>financial assumptions</w:t>
            </w:r>
          </w:p>
        </w:tc>
        <w:tc>
          <w:tcPr>
            <w:tcW w:w="2568" w:type="dxa"/>
            <w:shd w:val="clear" w:color="auto" w:fill="5FFF00"/>
          </w:tcPr>
          <w:p>
            <w:pPr>
              <w:pStyle w:val="TableParagraph"/>
              <w:jc w:val="left"/>
              <w:rPr>
                <w:rFonts w:ascii="Times New Roman"/>
                <w:sz w:val="14"/>
              </w:rPr>
            </w:pPr>
          </w:p>
        </w:tc>
      </w:tr>
      <w:tr>
        <w:trPr>
          <w:trHeight w:val="208" w:hRule="atLeast"/>
        </w:trPr>
        <w:tc>
          <w:tcPr>
            <w:tcW w:w="3210" w:type="dxa"/>
            <w:tcBorders>
              <w:bottom w:val="single" w:sz="6" w:space="0" w:color="5FFF00"/>
            </w:tcBorders>
          </w:tcPr>
          <w:p>
            <w:pPr>
              <w:pStyle w:val="TableParagraph"/>
              <w:spacing w:line="189" w:lineRule="exact"/>
              <w:ind w:left="79"/>
              <w:jc w:val="left"/>
              <w:rPr>
                <w:rFonts w:ascii="Times New Roman" w:hAnsi="Times New Roman"/>
                <w:sz w:val="18"/>
              </w:rPr>
            </w:pPr>
            <w:r>
              <w:rPr>
                <w:rFonts w:ascii="Times New Roman" w:hAnsi="Times New Roman"/>
                <w:sz w:val="18"/>
              </w:rPr>
              <w:t>Cap rate – commercial components</w:t>
            </w:r>
          </w:p>
        </w:tc>
        <w:tc>
          <w:tcPr>
            <w:tcW w:w="1767" w:type="dxa"/>
            <w:tcBorders>
              <w:bottom w:val="single" w:sz="6" w:space="0" w:color="5FFF00"/>
            </w:tcBorders>
          </w:tcPr>
          <w:p>
            <w:pPr>
              <w:pStyle w:val="TableParagraph"/>
              <w:spacing w:line="189" w:lineRule="exact"/>
              <w:ind w:left="582"/>
              <w:jc w:val="left"/>
              <w:rPr>
                <w:rFonts w:ascii="Times New Roman"/>
                <w:sz w:val="18"/>
              </w:rPr>
            </w:pPr>
            <w:r>
              <w:rPr>
                <w:rFonts w:ascii="Times New Roman"/>
                <w:w w:val="99"/>
                <w:sz w:val="18"/>
              </w:rPr>
              <w:t>%</w:t>
            </w:r>
          </w:p>
        </w:tc>
        <w:tc>
          <w:tcPr>
            <w:tcW w:w="2568" w:type="dxa"/>
            <w:tcBorders>
              <w:bottom w:val="single" w:sz="6" w:space="0" w:color="5FFF00"/>
            </w:tcBorders>
          </w:tcPr>
          <w:p>
            <w:pPr>
              <w:pStyle w:val="TableParagraph"/>
              <w:spacing w:line="189" w:lineRule="exact"/>
              <w:ind w:left="1012" w:right="959"/>
              <w:rPr>
                <w:rFonts w:ascii="Times New Roman"/>
                <w:sz w:val="18"/>
              </w:rPr>
            </w:pPr>
            <w:r>
              <w:rPr>
                <w:rFonts w:ascii="Times New Roman"/>
                <w:sz w:val="18"/>
              </w:rPr>
              <w:t>7.50%</w:t>
            </w:r>
          </w:p>
        </w:tc>
      </w:tr>
      <w:tr>
        <w:trPr>
          <w:trHeight w:val="205" w:hRule="atLeast"/>
        </w:trPr>
        <w:tc>
          <w:tcPr>
            <w:tcW w:w="3210" w:type="dxa"/>
            <w:tcBorders>
              <w:top w:val="single" w:sz="6" w:space="0" w:color="5FFF00"/>
              <w:bottom w:val="single" w:sz="6" w:space="0" w:color="5FFF00"/>
            </w:tcBorders>
          </w:tcPr>
          <w:p>
            <w:pPr>
              <w:pStyle w:val="TableParagraph"/>
              <w:spacing w:line="186" w:lineRule="exact"/>
              <w:ind w:left="439"/>
              <w:jc w:val="left"/>
              <w:rPr>
                <w:rFonts w:ascii="Times New Roman"/>
                <w:sz w:val="18"/>
              </w:rPr>
            </w:pPr>
            <w:r>
              <w:rPr>
                <w:rFonts w:ascii="Times New Roman"/>
                <w:sz w:val="18"/>
              </w:rPr>
              <w:t>WACC rate (operational)</w:t>
            </w:r>
          </w:p>
        </w:tc>
        <w:tc>
          <w:tcPr>
            <w:tcW w:w="1767" w:type="dxa"/>
            <w:tcBorders>
              <w:top w:val="single" w:sz="6" w:space="0" w:color="5FFF00"/>
              <w:bottom w:val="single" w:sz="6" w:space="0" w:color="5FFF00"/>
            </w:tcBorders>
          </w:tcPr>
          <w:p>
            <w:pPr>
              <w:pStyle w:val="TableParagraph"/>
              <w:spacing w:line="186" w:lineRule="exact"/>
              <w:ind w:left="582"/>
              <w:jc w:val="left"/>
              <w:rPr>
                <w:rFonts w:ascii="Times New Roman"/>
                <w:sz w:val="18"/>
              </w:rPr>
            </w:pPr>
            <w:r>
              <w:rPr>
                <w:rFonts w:ascii="Times New Roman"/>
                <w:w w:val="99"/>
                <w:sz w:val="18"/>
              </w:rPr>
              <w:t>%</w:t>
            </w:r>
          </w:p>
        </w:tc>
        <w:tc>
          <w:tcPr>
            <w:tcW w:w="2568" w:type="dxa"/>
            <w:tcBorders>
              <w:top w:val="single" w:sz="6" w:space="0" w:color="5FFF00"/>
              <w:bottom w:val="single" w:sz="6" w:space="0" w:color="5FFF00"/>
            </w:tcBorders>
          </w:tcPr>
          <w:p>
            <w:pPr>
              <w:pStyle w:val="TableParagraph"/>
              <w:spacing w:line="186" w:lineRule="exact"/>
              <w:ind w:left="1014" w:right="959"/>
              <w:rPr>
                <w:rFonts w:ascii="Times New Roman"/>
                <w:sz w:val="18"/>
              </w:rPr>
            </w:pPr>
            <w:r>
              <w:rPr>
                <w:rFonts w:ascii="Times New Roman"/>
                <w:sz w:val="18"/>
              </w:rPr>
              <w:t>12.03%</w:t>
            </w:r>
          </w:p>
        </w:tc>
      </w:tr>
    </w:tbl>
    <w:p>
      <w:pPr>
        <w:spacing w:before="134"/>
        <w:ind w:left="2637" w:right="0" w:firstLine="0"/>
        <w:jc w:val="left"/>
        <w:rPr>
          <w:rFonts w:ascii="Times New Roman"/>
          <w:sz w:val="18"/>
        </w:rPr>
      </w:pPr>
      <w:r>
        <w:rPr>
          <w:rFonts w:ascii="Times New Roman"/>
          <w:sz w:val="18"/>
        </w:rPr>
        <w:t>^denotes the weighted average rentals for leased office/restaurant spaces</w:t>
      </w:r>
    </w:p>
    <w:p>
      <w:pPr>
        <w:tabs>
          <w:tab w:pos="2637" w:val="left" w:leader="none"/>
        </w:tabs>
        <w:spacing w:before="136"/>
        <w:ind w:left="820" w:right="0" w:firstLine="0"/>
        <w:jc w:val="left"/>
        <w:rPr>
          <w:rFonts w:ascii="Times New Roman"/>
          <w:b/>
          <w:sz w:val="18"/>
        </w:rPr>
      </w:pPr>
      <w:r>
        <w:rPr>
          <w:rFonts w:ascii="Times New Roman"/>
          <w:color w:val="16772B"/>
          <w:sz w:val="18"/>
        </w:rPr>
        <w:t>Market</w:t>
      </w:r>
      <w:r>
        <w:rPr>
          <w:rFonts w:ascii="Times New Roman"/>
          <w:color w:val="16772B"/>
          <w:spacing w:val="-1"/>
          <w:sz w:val="18"/>
        </w:rPr>
        <w:t> </w:t>
      </w:r>
      <w:r>
        <w:rPr>
          <w:rFonts w:ascii="Times New Roman"/>
          <w:color w:val="16772B"/>
          <w:sz w:val="18"/>
        </w:rPr>
        <w:t>Value:</w:t>
        <w:tab/>
      </w:r>
      <w:r>
        <w:rPr>
          <w:rFonts w:ascii="Times New Roman"/>
          <w:b/>
          <w:sz w:val="18"/>
        </w:rPr>
        <w:t>INR 17,866</w:t>
      </w:r>
      <w:r>
        <w:rPr>
          <w:rFonts w:ascii="Times New Roman"/>
          <w:b/>
          <w:spacing w:val="-1"/>
          <w:sz w:val="18"/>
        </w:rPr>
        <w:t> </w:t>
      </w:r>
      <w:r>
        <w:rPr>
          <w:rFonts w:ascii="Times New Roman"/>
          <w:b/>
          <w:sz w:val="18"/>
        </w:rPr>
        <w:t>Mn</w:t>
      </w:r>
    </w:p>
    <w:p>
      <w:pPr>
        <w:spacing w:after="0"/>
        <w:jc w:val="left"/>
        <w:rPr>
          <w:rFonts w:ascii="Times New Roman"/>
          <w:sz w:val="18"/>
        </w:rPr>
        <w:sectPr>
          <w:pgSz w:w="12240" w:h="15840"/>
          <w:pgMar w:header="728" w:footer="1174" w:top="1180" w:bottom="1460" w:left="620" w:right="580"/>
        </w:sectPr>
      </w:pPr>
    </w:p>
    <w:p>
      <w:pPr>
        <w:pStyle w:val="BodyText"/>
        <w:rPr>
          <w:rFonts w:ascii="Times New Roman"/>
          <w:b/>
          <w:sz w:val="18"/>
        </w:rPr>
      </w:pPr>
    </w:p>
    <w:p>
      <w:pPr>
        <w:pStyle w:val="ListParagraph"/>
        <w:numPr>
          <w:ilvl w:val="1"/>
          <w:numId w:val="1"/>
        </w:numPr>
        <w:tabs>
          <w:tab w:pos="1309" w:val="left" w:leader="none"/>
          <w:tab w:pos="1311" w:val="left" w:leader="none"/>
        </w:tabs>
        <w:spacing w:line="240" w:lineRule="auto" w:before="91" w:after="0"/>
        <w:ind w:left="1310" w:right="0" w:hanging="491"/>
        <w:jc w:val="left"/>
        <w:rPr>
          <w:rFonts w:ascii="Times New Roman"/>
          <w:color w:val="1E6C28"/>
          <w:sz w:val="20"/>
        </w:rPr>
      </w:pPr>
      <w:r>
        <w:rPr>
          <w:rFonts w:ascii="Times New Roman"/>
          <w:color w:val="1E6C28"/>
          <w:sz w:val="20"/>
        </w:rPr>
        <w:t>Embassy 247</w:t>
      </w:r>
    </w:p>
    <w:p>
      <w:pPr>
        <w:pStyle w:val="BodyText"/>
        <w:rPr>
          <w:rFonts w:ascii="Times New Roman"/>
          <w:sz w:val="24"/>
        </w:rPr>
      </w:pPr>
    </w:p>
    <w:p>
      <w:pPr>
        <w:tabs>
          <w:tab w:pos="2569" w:val="left" w:leader="none"/>
        </w:tabs>
        <w:spacing w:line="379" w:lineRule="auto" w:before="0"/>
        <w:ind w:left="265" w:right="648" w:firstLine="0"/>
        <w:jc w:val="left"/>
        <w:rPr>
          <w:rFonts w:ascii="Times New Roman" w:hAnsi="Times New Roman"/>
          <w:sz w:val="18"/>
        </w:rPr>
      </w:pPr>
      <w:r>
        <w:rPr>
          <w:rFonts w:ascii="Times New Roman" w:hAnsi="Times New Roman"/>
          <w:color w:val="16772B"/>
          <w:sz w:val="18"/>
        </w:rPr>
        <w:t>Property</w:t>
      </w:r>
      <w:r>
        <w:rPr>
          <w:rFonts w:ascii="Times New Roman" w:hAnsi="Times New Roman"/>
          <w:color w:val="16772B"/>
          <w:spacing w:val="-1"/>
          <w:sz w:val="18"/>
        </w:rPr>
        <w:t> </w:t>
      </w:r>
      <w:r>
        <w:rPr>
          <w:rFonts w:ascii="Times New Roman" w:hAnsi="Times New Roman"/>
          <w:color w:val="16772B"/>
          <w:sz w:val="18"/>
        </w:rPr>
        <w:t>Name:</w:t>
        <w:tab/>
      </w:r>
      <w:r>
        <w:rPr>
          <w:rFonts w:ascii="Times New Roman" w:hAnsi="Times New Roman"/>
          <w:sz w:val="18"/>
        </w:rPr>
        <w:t>‘Embassy 247’ is an operational office asset located along LBS Road, Gandhinagar, Vikhroli West,</w:t>
      </w:r>
      <w:r>
        <w:rPr>
          <w:rFonts w:ascii="Times New Roman" w:hAnsi="Times New Roman"/>
          <w:spacing w:val="-28"/>
          <w:sz w:val="18"/>
        </w:rPr>
        <w:t> </w:t>
      </w:r>
      <w:r>
        <w:rPr>
          <w:rFonts w:ascii="Times New Roman" w:hAnsi="Times New Roman"/>
          <w:sz w:val="18"/>
        </w:rPr>
        <w:t>Mumbai </w:t>
      </w:r>
      <w:r>
        <w:rPr>
          <w:rFonts w:ascii="Times New Roman" w:hAnsi="Times New Roman"/>
          <w:color w:val="16772B"/>
          <w:sz w:val="18"/>
        </w:rPr>
        <w:t>Property</w:t>
      </w:r>
      <w:r>
        <w:rPr>
          <w:rFonts w:ascii="Times New Roman" w:hAnsi="Times New Roman"/>
          <w:color w:val="16772B"/>
          <w:spacing w:val="-1"/>
          <w:sz w:val="18"/>
        </w:rPr>
        <w:t> </w:t>
      </w:r>
      <w:r>
        <w:rPr>
          <w:rFonts w:ascii="Times New Roman" w:hAnsi="Times New Roman"/>
          <w:color w:val="16772B"/>
          <w:sz w:val="18"/>
        </w:rPr>
        <w:t>Address:</w:t>
        <w:tab/>
      </w:r>
      <w:r>
        <w:rPr>
          <w:rFonts w:ascii="Times New Roman" w:hAnsi="Times New Roman"/>
          <w:sz w:val="18"/>
        </w:rPr>
        <w:t>LBS Marg, Vikhroli (W), Mumbai,</w:t>
      </w:r>
      <w:r>
        <w:rPr>
          <w:rFonts w:ascii="Times New Roman" w:hAnsi="Times New Roman"/>
          <w:spacing w:val="-2"/>
          <w:sz w:val="18"/>
        </w:rPr>
        <w:t> </w:t>
      </w:r>
      <w:r>
        <w:rPr>
          <w:rFonts w:ascii="Times New Roman" w:hAnsi="Times New Roman"/>
          <w:sz w:val="18"/>
        </w:rPr>
        <w:t>Maharashtra.</w:t>
      </w:r>
    </w:p>
    <w:p>
      <w:pPr>
        <w:tabs>
          <w:tab w:pos="2569" w:val="left" w:leader="none"/>
        </w:tabs>
        <w:spacing w:before="0"/>
        <w:ind w:left="2570" w:right="302" w:hanging="2305"/>
        <w:jc w:val="both"/>
        <w:rPr>
          <w:rFonts w:ascii="Times New Roman"/>
          <w:sz w:val="18"/>
        </w:rPr>
      </w:pPr>
      <w:r>
        <w:rPr>
          <w:rFonts w:ascii="Times New Roman"/>
          <w:color w:val="16772B"/>
          <w:sz w:val="18"/>
        </w:rPr>
        <w:t>Land Area:</w:t>
        <w:tab/>
      </w:r>
      <w:r>
        <w:rPr>
          <w:rFonts w:ascii="Times New Roman"/>
          <w:sz w:val="18"/>
        </w:rPr>
        <w:t>Based on review of the title report, the Valuer understands that the total land area of the subject property under the ownership of the Client is approximately 7.27</w:t>
      </w:r>
      <w:r>
        <w:rPr>
          <w:rFonts w:ascii="Times New Roman"/>
          <w:spacing w:val="-6"/>
          <w:sz w:val="18"/>
        </w:rPr>
        <w:t> </w:t>
      </w:r>
      <w:r>
        <w:rPr>
          <w:rFonts w:ascii="Times New Roman"/>
          <w:sz w:val="18"/>
        </w:rPr>
        <w:t>acres</w:t>
      </w:r>
    </w:p>
    <w:p>
      <w:pPr>
        <w:tabs>
          <w:tab w:pos="2569" w:val="left" w:leader="none"/>
        </w:tabs>
        <w:spacing w:before="120"/>
        <w:ind w:left="2570" w:right="301" w:hanging="2305"/>
        <w:jc w:val="both"/>
        <w:rPr>
          <w:rFonts w:ascii="Times New Roman" w:hAnsi="Times New Roman"/>
          <w:sz w:val="18"/>
        </w:rPr>
      </w:pPr>
      <w:r>
        <w:rPr>
          <w:rFonts w:ascii="Times New Roman" w:hAnsi="Times New Roman"/>
          <w:color w:val="16772B"/>
          <w:sz w:val="18"/>
        </w:rPr>
        <w:t>Brief</w:t>
      </w:r>
      <w:r>
        <w:rPr>
          <w:rFonts w:ascii="Times New Roman" w:hAnsi="Times New Roman"/>
          <w:color w:val="16772B"/>
          <w:spacing w:val="-1"/>
          <w:sz w:val="18"/>
        </w:rPr>
        <w:t> </w:t>
      </w:r>
      <w:r>
        <w:rPr>
          <w:rFonts w:ascii="Times New Roman" w:hAnsi="Times New Roman"/>
          <w:color w:val="16772B"/>
          <w:sz w:val="18"/>
        </w:rPr>
        <w:t>Description:</w:t>
        <w:tab/>
      </w:r>
      <w:r>
        <w:rPr>
          <w:rFonts w:ascii="Times New Roman" w:hAnsi="Times New Roman"/>
          <w:sz w:val="18"/>
        </w:rPr>
        <w:t>The subject property, “Embassy 247”, is an operational office asset located along LBS Road in Gandhinagar, Vikhroli West, Mumbai. The development is divided in three towers viz. A, B &amp; C. The towers A &amp; C are identical to each other and have an elevation of 2 Basement + Ground + 11 upper floors. Tower B situated in between Tower A &amp; C has an elevation of 2 Basement + Ground + 14 upper floors. Based on the site visit, it is understood that all the three towers are internally connected from basement to the 3</w:t>
      </w:r>
      <w:r>
        <w:rPr>
          <w:rFonts w:ascii="Times New Roman" w:hAnsi="Times New Roman"/>
          <w:position w:val="5"/>
          <w:sz w:val="10"/>
        </w:rPr>
        <w:t>rd </w:t>
      </w:r>
      <w:r>
        <w:rPr>
          <w:rFonts w:ascii="Times New Roman" w:hAnsi="Times New Roman"/>
          <w:sz w:val="18"/>
        </w:rPr>
        <w:t>floor and floors 10 and 11. The entire development has a total completed leasable area of approximately 1,189,544 sf. The subject property is located in proximity to established residential and commercial locations within the city such as Bhandup, Kanjurmarg, Ghatkopar</w:t>
      </w:r>
      <w:r>
        <w:rPr>
          <w:rFonts w:ascii="Times New Roman" w:hAnsi="Times New Roman"/>
          <w:spacing w:val="-1"/>
          <w:sz w:val="18"/>
        </w:rPr>
        <w:t> </w:t>
      </w:r>
      <w:r>
        <w:rPr>
          <w:rFonts w:ascii="Times New Roman" w:hAnsi="Times New Roman"/>
          <w:sz w:val="18"/>
        </w:rPr>
        <w:t>etc.</w:t>
      </w:r>
    </w:p>
    <w:p>
      <w:pPr>
        <w:spacing w:before="138"/>
        <w:ind w:left="2570" w:right="299" w:firstLine="0"/>
        <w:jc w:val="both"/>
        <w:rPr>
          <w:rFonts w:ascii="Times New Roman"/>
          <w:sz w:val="18"/>
        </w:rPr>
      </w:pPr>
      <w:r>
        <w:rPr>
          <w:rFonts w:ascii="Times New Roman"/>
          <w:sz w:val="18"/>
        </w:rPr>
        <w:t>The subject property is located at a distance of approximately 28-30 km from the Central Business District of Mumbai (viz. Nariman Point), approximately 11-12 km from Domestic Airport, approximately 10-12 km from the Chhatrapati Shivaji International Airport Terminal, Mumbai etc.</w:t>
      </w:r>
    </w:p>
    <w:p>
      <w:pPr>
        <w:tabs>
          <w:tab w:pos="2569" w:val="left" w:leader="none"/>
        </w:tabs>
        <w:spacing w:before="139"/>
        <w:ind w:left="2570" w:right="306" w:hanging="2305"/>
        <w:jc w:val="both"/>
        <w:rPr>
          <w:rFonts w:ascii="Times New Roman"/>
          <w:sz w:val="18"/>
        </w:rPr>
      </w:pPr>
      <w:r>
        <w:rPr>
          <w:rFonts w:ascii="Times New Roman"/>
          <w:color w:val="16772B"/>
          <w:sz w:val="18"/>
        </w:rPr>
        <w:t>Statement of</w:t>
      </w:r>
      <w:r>
        <w:rPr>
          <w:rFonts w:ascii="Times New Roman"/>
          <w:color w:val="16772B"/>
          <w:spacing w:val="-2"/>
          <w:sz w:val="18"/>
        </w:rPr>
        <w:t> </w:t>
      </w:r>
      <w:r>
        <w:rPr>
          <w:rFonts w:ascii="Times New Roman"/>
          <w:color w:val="16772B"/>
          <w:sz w:val="18"/>
        </w:rPr>
        <w:t>Assets (sf):</w:t>
        <w:tab/>
      </w:r>
      <w:r>
        <w:rPr>
          <w:rFonts w:ascii="Times New Roman"/>
          <w:sz w:val="18"/>
        </w:rPr>
        <w:t>Based on information provided by the Client, the total completed leasable area considered for the purpose of this valuation is 1,189,544 sf. Table below highlights the leasable area details for the subject</w:t>
      </w:r>
      <w:r>
        <w:rPr>
          <w:rFonts w:ascii="Times New Roman"/>
          <w:spacing w:val="-16"/>
          <w:sz w:val="18"/>
        </w:rPr>
        <w:t> </w:t>
      </w:r>
      <w:r>
        <w:rPr>
          <w:rFonts w:ascii="Times New Roman"/>
          <w:sz w:val="18"/>
        </w:rPr>
        <w:t>development:</w:t>
      </w:r>
    </w:p>
    <w:p>
      <w:pPr>
        <w:pStyle w:val="BodyText"/>
        <w:spacing w:before="5"/>
        <w:rPr>
          <w:rFonts w:ascii="Times New Roman"/>
        </w:rPr>
      </w:pPr>
      <w:r>
        <w:rPr/>
        <w:pict>
          <v:group style="position:absolute;margin-left:159.5pt;margin-top:14.862988pt;width:408.25pt;height:23.9pt;mso-position-horizontal-relative:page;mso-position-vertical-relative:paragraph;z-index:-15696896;mso-wrap-distance-left:0;mso-wrap-distance-right:0" coordorigin="3190,297" coordsize="8165,478">
            <v:shape style="position:absolute;left:3190;top:328;width:8165;height:432" coordorigin="3190,328" coordsize="8165,432" path="m8635,328l6121,328,3190,328,3190,760,6121,760,8635,760,8635,328xm11354,328l8635,328,8635,760,11354,760,11354,328xe" filled="true" fillcolor="#16772b" stroked="false">
              <v:path arrowok="t"/>
              <v:fill type="solid"/>
            </v:shape>
            <v:rect style="position:absolute;left:3190;top:297;width:2932;height:29" filled="true" fillcolor="#1e7504" stroked="false">
              <v:fill type="solid"/>
            </v:rect>
            <v:shape style="position:absolute;left:3190;top:326;width:2961;height:3" coordorigin="3190,326" coordsize="2961,3" path="m6150,326l6121,326,3190,326,3190,328,6121,328,6150,328,6150,326xe" filled="true" fillcolor="#16772b" stroked="false">
              <v:path arrowok="t"/>
              <v:fill type="solid"/>
            </v:shape>
            <v:shape style="position:absolute;left:6121;top:297;width:2514;height:29" coordorigin="6121,297" coordsize="2514,29" path="m8635,297l6150,297,6121,297,6121,326,6150,326,8635,326,8635,297xe" filled="true" fillcolor="#1e7504" stroked="false">
              <v:path arrowok="t"/>
              <v:fill type="solid"/>
            </v:shape>
            <v:shape style="position:absolute;left:6150;top:326;width:2514;height:3" coordorigin="6150,326" coordsize="2514,3" path="m8635,326l6150,326,6150,328,8635,328,8635,326xm8664,326l8635,326,8635,328,8664,328,8664,326xe" filled="true" fillcolor="#16772b" stroked="false">
              <v:path arrowok="t"/>
              <v:fill type="solid"/>
            </v:shape>
            <v:shape style="position:absolute;left:8634;top:297;width:2720;height:29" coordorigin="8635,297" coordsize="2720,29" path="m11354,297l8664,297,8635,297,8635,326,8664,326,11354,326,11354,297xe" filled="true" fillcolor="#1e7504" stroked="false">
              <v:path arrowok="t"/>
              <v:fill type="solid"/>
            </v:shape>
            <v:rect style="position:absolute;left:8663;top:326;width:2691;height:3" filled="true" fillcolor="#16772b" stroked="false">
              <v:fill type="solid"/>
            </v:rect>
            <v:shape style="position:absolute;left:3190;top:760;width:8165;height:15" coordorigin="3190,760" coordsize="8165,15" path="m8635,760l6136,760,6121,760,3190,760,3190,775,6121,775,6136,775,8635,775,8635,760xm11354,760l8649,760,8635,760,8635,775,8649,775,11354,775,11354,760xe" filled="true" fillcolor="#5fff00" stroked="false">
              <v:path arrowok="t"/>
              <v:fill type="solid"/>
            </v:shape>
            <v:shape style="position:absolute;left:4333;top:448;width:813;height:200" type="#_x0000_t202" filled="false" stroked="false">
              <v:textbox inset="0,0,0,0">
                <w:txbxContent>
                  <w:p>
                    <w:pPr>
                      <w:spacing w:line="199" w:lineRule="exact" w:before="0"/>
                      <w:ind w:left="0" w:right="0" w:firstLine="0"/>
                      <w:jc w:val="left"/>
                      <w:rPr>
                        <w:rFonts w:ascii="Times New Roman"/>
                        <w:b/>
                        <w:sz w:val="18"/>
                      </w:rPr>
                    </w:pPr>
                    <w:r>
                      <w:rPr>
                        <w:rFonts w:ascii="Times New Roman"/>
                        <w:b/>
                        <w:color w:val="FFFFFF"/>
                        <w:sz w:val="18"/>
                      </w:rPr>
                      <w:t>Particular</w:t>
                    </w:r>
                  </w:p>
                </w:txbxContent>
              </v:textbox>
              <w10:wrap type="none"/>
            </v:shape>
            <v:shape style="position:absolute;left:6750;top:448;width:1421;height:200" type="#_x0000_t202" filled="false" stroked="false">
              <v:textbox inset="0,0,0,0">
                <w:txbxContent>
                  <w:p>
                    <w:pPr>
                      <w:spacing w:line="199" w:lineRule="exact" w:before="0"/>
                      <w:ind w:left="0" w:right="0" w:firstLine="0"/>
                      <w:jc w:val="left"/>
                      <w:rPr>
                        <w:rFonts w:ascii="Times New Roman"/>
                        <w:b/>
                        <w:sz w:val="18"/>
                      </w:rPr>
                    </w:pPr>
                    <w:r>
                      <w:rPr>
                        <w:rFonts w:ascii="Times New Roman"/>
                        <w:b/>
                        <w:color w:val="FFFFFF"/>
                        <w:sz w:val="18"/>
                      </w:rPr>
                      <w:t>Leasable Area (sf)</w:t>
                    </w:r>
                  </w:p>
                </w:txbxContent>
              </v:textbox>
              <w10:wrap type="none"/>
            </v:shape>
            <v:shape style="position:absolute;left:9179;top:336;width:1797;height:409" type="#_x0000_t202" filled="false" stroked="false">
              <v:textbox inset="0,0,0,0">
                <w:txbxContent>
                  <w:p>
                    <w:pPr>
                      <w:spacing w:line="242" w:lineRule="auto" w:before="0"/>
                      <w:ind w:left="736" w:right="3" w:hanging="737"/>
                      <w:jc w:val="left"/>
                      <w:rPr>
                        <w:rFonts w:ascii="Times New Roman"/>
                        <w:b/>
                        <w:sz w:val="18"/>
                      </w:rPr>
                    </w:pPr>
                    <w:r>
                      <w:rPr>
                        <w:rFonts w:ascii="Times New Roman"/>
                        <w:b/>
                        <w:color w:val="FFFFFF"/>
                        <w:sz w:val="18"/>
                      </w:rPr>
                      <w:t>Committed Occupancy (%)</w:t>
                    </w:r>
                  </w:p>
                </w:txbxContent>
              </v:textbox>
              <w10:wrap type="none"/>
            </v:shape>
            <w10:wrap type="topAndBottom"/>
          </v:group>
        </w:pict>
      </w:r>
    </w:p>
    <w:p>
      <w:pPr>
        <w:tabs>
          <w:tab w:pos="6396" w:val="left" w:leader="none"/>
          <w:tab w:pos="9142" w:val="left" w:leader="none"/>
        </w:tabs>
        <w:spacing w:line="180" w:lineRule="exact" w:before="0"/>
        <w:ind w:left="3367" w:right="0" w:firstLine="0"/>
        <w:jc w:val="left"/>
        <w:rPr>
          <w:rFonts w:ascii="Times New Roman"/>
          <w:sz w:val="18"/>
        </w:rPr>
      </w:pPr>
      <w:r>
        <w:rPr>
          <w:rFonts w:ascii="Times New Roman"/>
          <w:sz w:val="18"/>
        </w:rPr>
        <w:t>Completed Blocks</w:t>
        <w:tab/>
        <w:t>1,189,544</w:t>
        <w:tab/>
        <w:t>93.2%</w:t>
      </w:r>
    </w:p>
    <w:p>
      <w:pPr>
        <w:pStyle w:val="BodyText"/>
        <w:spacing w:line="20" w:lineRule="exact"/>
        <w:ind w:left="2570"/>
        <w:rPr>
          <w:rFonts w:ascii="Times New Roman"/>
          <w:sz w:val="2"/>
        </w:rPr>
      </w:pPr>
      <w:r>
        <w:rPr>
          <w:rFonts w:ascii="Times New Roman"/>
          <w:sz w:val="2"/>
        </w:rPr>
        <w:pict>
          <v:group style="width:408.25pt;height:.75pt;mso-position-horizontal-relative:char;mso-position-vertical-relative:line" coordorigin="0,0" coordsize="8165,15">
            <v:shape style="position:absolute;left:0;top:0;width:8165;height:15" coordorigin="0,0" coordsize="8165,15" path="m5445,0l2946,0,2931,0,0,0,0,14,2931,14,2946,14,5445,14,5445,0xm8164,0l5459,0,5445,0,5445,14,5459,14,8164,14,8164,0xe" filled="true" fillcolor="#5fff00" stroked="false">
              <v:path arrowok="t"/>
              <v:fill type="solid"/>
            </v:shape>
          </v:group>
        </w:pict>
      </w:r>
      <w:r>
        <w:rPr>
          <w:rFonts w:ascii="Times New Roman"/>
          <w:sz w:val="2"/>
        </w:rPr>
      </w:r>
    </w:p>
    <w:p>
      <w:pPr>
        <w:tabs>
          <w:tab w:pos="3677" w:val="left" w:leader="none"/>
          <w:tab w:pos="6195" w:val="left" w:leader="none"/>
        </w:tabs>
        <w:spacing w:before="0"/>
        <w:ind w:left="0" w:right="1532" w:firstLine="0"/>
        <w:jc w:val="right"/>
        <w:rPr>
          <w:rFonts w:ascii="Times New Roman"/>
          <w:sz w:val="18"/>
        </w:rPr>
      </w:pPr>
      <w:r>
        <w:rPr>
          <w:rFonts w:ascii="Times New Roman"/>
          <w:sz w:val="18"/>
        </w:rPr>
        <w:t>Under</w:t>
      </w:r>
      <w:r>
        <w:rPr>
          <w:rFonts w:ascii="Times New Roman"/>
          <w:spacing w:val="-1"/>
          <w:sz w:val="18"/>
        </w:rPr>
        <w:t> </w:t>
      </w:r>
      <w:r>
        <w:rPr>
          <w:rFonts w:ascii="Times New Roman"/>
          <w:sz w:val="18"/>
        </w:rPr>
        <w:t>Construction</w:t>
      </w:r>
      <w:r>
        <w:rPr>
          <w:rFonts w:ascii="Times New Roman"/>
          <w:spacing w:val="-1"/>
          <w:sz w:val="18"/>
        </w:rPr>
        <w:t> </w:t>
      </w:r>
      <w:r>
        <w:rPr>
          <w:rFonts w:ascii="Times New Roman"/>
          <w:sz w:val="18"/>
        </w:rPr>
        <w:t>Blocks</w:t>
        <w:tab/>
        <w:t>-</w:t>
        <w:tab/>
      </w:r>
      <w:r>
        <w:rPr>
          <w:rFonts w:ascii="Times New Roman"/>
          <w:spacing w:val="-2"/>
          <w:sz w:val="18"/>
        </w:rPr>
        <w:t>NA</w:t>
      </w:r>
    </w:p>
    <w:p>
      <w:pPr>
        <w:pStyle w:val="BodyText"/>
        <w:spacing w:line="20" w:lineRule="exact"/>
        <w:ind w:left="2570"/>
        <w:rPr>
          <w:rFonts w:ascii="Times New Roman"/>
          <w:sz w:val="2"/>
        </w:rPr>
      </w:pPr>
      <w:r>
        <w:rPr>
          <w:rFonts w:ascii="Times New Roman"/>
          <w:sz w:val="2"/>
        </w:rPr>
        <w:pict>
          <v:group style="width:408.25pt;height:.75pt;mso-position-horizontal-relative:char;mso-position-vertical-relative:line" coordorigin="0,0" coordsize="8165,15">
            <v:shape style="position:absolute;left:0;top:0;width:8165;height:15" coordorigin="0,0" coordsize="8165,15" path="m5445,0l2946,0,2931,0,0,0,0,14,2931,14,2946,14,5445,14,5445,0xm8164,0l5459,0,5445,0,5445,14,5459,14,8164,14,8164,0xe" filled="true" fillcolor="#5fff00" stroked="false">
              <v:path arrowok="t"/>
              <v:fill type="solid"/>
            </v:shape>
          </v:group>
        </w:pict>
      </w:r>
      <w:r>
        <w:rPr>
          <w:rFonts w:ascii="Times New Roman"/>
          <w:sz w:val="2"/>
        </w:rPr>
      </w:r>
    </w:p>
    <w:p>
      <w:pPr>
        <w:tabs>
          <w:tab w:pos="3300" w:val="left" w:leader="none"/>
          <w:tab w:pos="5818" w:val="left" w:leader="none"/>
        </w:tabs>
        <w:spacing w:before="0"/>
        <w:ind w:left="0" w:right="1532" w:firstLine="0"/>
        <w:jc w:val="right"/>
        <w:rPr>
          <w:rFonts w:ascii="Times New Roman"/>
          <w:sz w:val="18"/>
        </w:rPr>
      </w:pPr>
      <w:r>
        <w:rPr>
          <w:rFonts w:ascii="Times New Roman"/>
          <w:sz w:val="18"/>
        </w:rPr>
        <w:t>Proposed</w:t>
      </w:r>
      <w:r>
        <w:rPr>
          <w:rFonts w:ascii="Times New Roman"/>
          <w:spacing w:val="-1"/>
          <w:sz w:val="18"/>
        </w:rPr>
        <w:t> </w:t>
      </w:r>
      <w:r>
        <w:rPr>
          <w:rFonts w:ascii="Times New Roman"/>
          <w:sz w:val="18"/>
        </w:rPr>
        <w:t>Blocks</w:t>
        <w:tab/>
        <w:t>-</w:t>
        <w:tab/>
      </w:r>
      <w:r>
        <w:rPr>
          <w:rFonts w:ascii="Times New Roman"/>
          <w:spacing w:val="-2"/>
          <w:sz w:val="18"/>
        </w:rPr>
        <w:t>NA</w:t>
      </w:r>
    </w:p>
    <w:p>
      <w:pPr>
        <w:pStyle w:val="BodyText"/>
        <w:spacing w:line="20" w:lineRule="exact"/>
        <w:ind w:left="2570"/>
        <w:rPr>
          <w:rFonts w:ascii="Times New Roman"/>
          <w:sz w:val="2"/>
        </w:rPr>
      </w:pPr>
      <w:r>
        <w:rPr>
          <w:rFonts w:ascii="Times New Roman"/>
          <w:sz w:val="2"/>
        </w:rPr>
        <w:pict>
          <v:group style="width:408.25pt;height:.75pt;mso-position-horizontal-relative:char;mso-position-vertical-relative:line" coordorigin="0,0" coordsize="8165,15">
            <v:shape style="position:absolute;left:0;top:0;width:8165;height:15" coordorigin="0,0" coordsize="8165,15" path="m5445,0l2946,0,2931,0,0,0,0,14,2931,14,2946,14,5445,14,5445,0xm8164,0l5459,0,5445,0,5445,14,5459,14,8164,14,8164,0xe" filled="true" fillcolor="#5fff00" stroked="false">
              <v:path arrowok="t"/>
              <v:fill type="solid"/>
            </v:shape>
          </v:group>
        </w:pict>
      </w:r>
      <w:r>
        <w:rPr>
          <w:rFonts w:ascii="Times New Roman"/>
          <w:sz w:val="2"/>
        </w:rPr>
      </w:r>
    </w:p>
    <w:p>
      <w:pPr>
        <w:tabs>
          <w:tab w:pos="2565" w:val="left" w:leader="none"/>
        </w:tabs>
        <w:spacing w:before="0"/>
        <w:ind w:left="0" w:right="90" w:firstLine="0"/>
        <w:jc w:val="center"/>
        <w:rPr>
          <w:rFonts w:ascii="Times New Roman"/>
          <w:b/>
          <w:sz w:val="18"/>
        </w:rPr>
      </w:pPr>
      <w:r>
        <w:rPr>
          <w:rFonts w:ascii="Times New Roman"/>
          <w:b/>
          <w:sz w:val="18"/>
        </w:rPr>
        <w:t>Total</w:t>
        <w:tab/>
        <w:t>1,189,544</w:t>
      </w:r>
    </w:p>
    <w:p>
      <w:pPr>
        <w:pStyle w:val="BodyText"/>
        <w:spacing w:line="20" w:lineRule="exact"/>
        <w:ind w:left="2570"/>
        <w:rPr>
          <w:rFonts w:ascii="Times New Roman"/>
          <w:sz w:val="2"/>
        </w:rPr>
      </w:pPr>
      <w:r>
        <w:rPr>
          <w:rFonts w:ascii="Times New Roman"/>
          <w:sz w:val="2"/>
        </w:rPr>
        <w:pict>
          <v:group style="width:408.25pt;height:.75pt;mso-position-horizontal-relative:char;mso-position-vertical-relative:line" coordorigin="0,0" coordsize="8165,15">
            <v:shape style="position:absolute;left:0;top:0;width:8165;height:15" coordorigin="0,0" coordsize="8165,15" path="m5445,0l2946,0,2931,0,0,0,0,14,2931,14,2946,14,5445,14,5445,0xm8164,0l5459,0,5445,0,5445,14,5459,14,8164,14,8164,0xe" filled="true" fillcolor="#5fff00" stroked="false">
              <v:path arrowok="t"/>
              <v:fill type="solid"/>
            </v:shape>
          </v:group>
        </w:pict>
      </w:r>
      <w:r>
        <w:rPr>
          <w:rFonts w:ascii="Times New Roman"/>
          <w:sz w:val="2"/>
        </w:rPr>
      </w:r>
    </w:p>
    <w:p>
      <w:pPr>
        <w:spacing w:before="0"/>
        <w:ind w:left="0" w:right="2190" w:firstLine="0"/>
        <w:jc w:val="center"/>
        <w:rPr>
          <w:rFonts w:ascii="Times New Roman"/>
          <w:sz w:val="18"/>
        </w:rPr>
      </w:pPr>
      <w:r>
        <w:rPr>
          <w:rFonts w:ascii="Times New Roman"/>
          <w:sz w:val="18"/>
        </w:rPr>
        <w:t>Source: Architect certificate, Rent roll, lease deeds;</w:t>
      </w:r>
    </w:p>
    <w:p>
      <w:pPr>
        <w:pStyle w:val="BodyText"/>
        <w:rPr>
          <w:rFonts w:ascii="Times New Roman"/>
          <w:sz w:val="20"/>
        </w:rPr>
      </w:pPr>
    </w:p>
    <w:p>
      <w:pPr>
        <w:pStyle w:val="BodyText"/>
        <w:spacing w:before="7"/>
        <w:rPr>
          <w:rFonts w:ascii="Times New Roman"/>
          <w:sz w:val="21"/>
        </w:rPr>
      </w:pPr>
    </w:p>
    <w:p>
      <w:pPr>
        <w:spacing w:before="92"/>
        <w:ind w:left="265" w:right="0" w:firstLine="0"/>
        <w:jc w:val="left"/>
        <w:rPr>
          <w:rFonts w:ascii="Times New Roman"/>
          <w:sz w:val="18"/>
        </w:rPr>
      </w:pPr>
      <w:r>
        <w:rPr/>
        <w:drawing>
          <wp:anchor distT="0" distB="0" distL="0" distR="0" allowOverlap="1" layoutInCell="1" locked="0" behindDoc="0" simplePos="0" relativeHeight="67">
            <wp:simplePos x="0" y="0"/>
            <wp:positionH relativeFrom="page">
              <wp:posOffset>2037588</wp:posOffset>
            </wp:positionH>
            <wp:positionV relativeFrom="paragraph">
              <wp:posOffset>247806</wp:posOffset>
            </wp:positionV>
            <wp:extent cx="4762267" cy="2337720"/>
            <wp:effectExtent l="0" t="0" r="0" b="0"/>
            <wp:wrapTopAndBottom/>
            <wp:docPr id="19" name="image14.jpeg"/>
            <wp:cNvGraphicFramePr>
              <a:graphicFrameLocks noChangeAspect="1"/>
            </wp:cNvGraphicFramePr>
            <a:graphic>
              <a:graphicData uri="http://schemas.openxmlformats.org/drawingml/2006/picture">
                <pic:pic>
                  <pic:nvPicPr>
                    <pic:cNvPr id="20" name="image14.jpeg"/>
                    <pic:cNvPicPr/>
                  </pic:nvPicPr>
                  <pic:blipFill>
                    <a:blip r:embed="rId20" cstate="print"/>
                    <a:stretch>
                      <a:fillRect/>
                    </a:stretch>
                  </pic:blipFill>
                  <pic:spPr>
                    <a:xfrm>
                      <a:off x="0" y="0"/>
                      <a:ext cx="4762267" cy="2337720"/>
                    </a:xfrm>
                    <a:prstGeom prst="rect">
                      <a:avLst/>
                    </a:prstGeom>
                  </pic:spPr>
                </pic:pic>
              </a:graphicData>
            </a:graphic>
          </wp:anchor>
        </w:drawing>
      </w:r>
      <w:r>
        <w:rPr>
          <w:rFonts w:ascii="Times New Roman"/>
          <w:color w:val="16772B"/>
          <w:sz w:val="18"/>
        </w:rPr>
        <w:t>Location Map</w:t>
      </w:r>
    </w:p>
    <w:p>
      <w:pPr>
        <w:spacing w:after="0"/>
        <w:jc w:val="left"/>
        <w:rPr>
          <w:rFonts w:ascii="Times New Roman"/>
          <w:sz w:val="18"/>
        </w:rPr>
        <w:sectPr>
          <w:pgSz w:w="12240" w:h="15840"/>
          <w:pgMar w:header="728" w:footer="1174" w:top="1180" w:bottom="1460" w:left="620" w:right="580"/>
        </w:sectPr>
      </w:pPr>
    </w:p>
    <w:p>
      <w:pPr>
        <w:pStyle w:val="BodyText"/>
        <w:spacing w:before="3"/>
        <w:rPr>
          <w:rFonts w:ascii="Times New Roman"/>
          <w:sz w:val="19"/>
        </w:rPr>
      </w:pPr>
    </w:p>
    <w:p>
      <w:pPr>
        <w:spacing w:before="91"/>
        <w:ind w:left="265" w:right="0" w:firstLine="0"/>
        <w:jc w:val="left"/>
        <w:rPr>
          <w:rFonts w:ascii="Times New Roman"/>
          <w:sz w:val="20"/>
        </w:rPr>
      </w:pPr>
      <w:r>
        <w:rPr/>
        <w:pict>
          <v:group style="position:absolute;margin-left:160.460007pt;margin-top:3.785947pt;width:407.3pt;height:38.8pt;mso-position-horizontal-relative:page;mso-position-vertical-relative:paragraph;z-index:15763968" coordorigin="3209,76" coordsize="8146,776">
            <v:shape style="position:absolute;left:3209;top:90;width:8146;height:459" coordorigin="3209,90" coordsize="8146,459" path="m8810,90l6301,90,3209,90,3209,549,6301,549,8810,549,8810,90xm11354,90l8810,90,8810,549,11354,549,11354,90xe" filled="true" fillcolor="#16772b" stroked="false">
              <v:path arrowok="t"/>
              <v:fill type="solid"/>
            </v:shape>
            <v:shape style="position:absolute;left:3209;top:75;width:8146;height:776" coordorigin="3209,76" coordsize="8146,776" path="m8810,76l6316,76,6301,76,3209,76,3209,90,6301,90,6316,90,8810,90,8810,76xm11354,549l3209,549,3209,837,3209,851,6301,851,6316,851,8810,851,8810,837,8810,837,8810,851,8824,851,11354,851,11354,837,11354,549xm11354,76l8824,76,8810,76,8810,90,8824,90,11354,90,11354,76xe" filled="true" fillcolor="#5fff00" stroked="false">
              <v:path arrowok="t"/>
              <v:fill type="solid"/>
            </v:shape>
            <w10:wrap type="none"/>
          </v:group>
        </w:pict>
      </w:r>
      <w:r>
        <w:rPr/>
        <w:pict>
          <v:shape style="position:absolute;margin-left:160.460007pt;margin-top:4.145947pt;width:407.3pt;height:61pt;mso-position-horizontal-relative:page;mso-position-vertical-relative:paragraph;z-index:1576499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8"/>
                    <w:gridCol w:w="2638"/>
                    <w:gridCol w:w="2469"/>
                  </w:tblGrid>
                  <w:tr>
                    <w:trPr>
                      <w:trHeight w:val="768" w:hRule="atLeast"/>
                    </w:trPr>
                    <w:tc>
                      <w:tcPr>
                        <w:tcW w:w="8145" w:type="dxa"/>
                        <w:gridSpan w:val="3"/>
                      </w:tcPr>
                      <w:p>
                        <w:pPr>
                          <w:pStyle w:val="TableParagraph"/>
                          <w:spacing w:before="7"/>
                          <w:jc w:val="left"/>
                          <w:rPr>
                            <w:rFonts w:ascii="Times New Roman"/>
                            <w:b/>
                            <w:sz w:val="18"/>
                          </w:rPr>
                        </w:pPr>
                      </w:p>
                      <w:p>
                        <w:pPr>
                          <w:pStyle w:val="TableParagraph"/>
                          <w:tabs>
                            <w:tab w:pos="4186" w:val="left" w:leader="none"/>
                            <w:tab w:pos="6618" w:val="left" w:leader="none"/>
                          </w:tabs>
                          <w:spacing w:line="250" w:lineRule="atLeast"/>
                          <w:ind w:left="2424" w:right="1015" w:hanging="1266"/>
                          <w:jc w:val="left"/>
                          <w:rPr>
                            <w:rFonts w:ascii="Times New Roman"/>
                            <w:sz w:val="18"/>
                          </w:rPr>
                        </w:pPr>
                        <w:r>
                          <w:rPr>
                            <w:rFonts w:ascii="Times New Roman"/>
                            <w:color w:val="FFFFFF"/>
                            <w:sz w:val="18"/>
                          </w:rPr>
                          <w:t>Particulars</w:t>
                          <w:tab/>
                          <w:tab/>
                          <w:t>Unit</w:t>
                          <w:tab/>
                        </w:r>
                        <w:r>
                          <w:rPr>
                            <w:rFonts w:ascii="Times New Roman"/>
                            <w:color w:val="FFFFFF"/>
                            <w:spacing w:val="-4"/>
                            <w:sz w:val="18"/>
                          </w:rPr>
                          <w:t>Details </w:t>
                        </w:r>
                        <w:r>
                          <w:rPr>
                            <w:rFonts w:ascii="Times New Roman"/>
                            <w:sz w:val="18"/>
                          </w:rPr>
                          <w:t>Revenue assumptions (as on March 31,</w:t>
                        </w:r>
                        <w:r>
                          <w:rPr>
                            <w:rFonts w:ascii="Times New Roman"/>
                            <w:spacing w:val="-1"/>
                            <w:sz w:val="18"/>
                          </w:rPr>
                          <w:t> </w:t>
                        </w:r>
                        <w:r>
                          <w:rPr>
                            <w:rFonts w:ascii="Times New Roman"/>
                            <w:sz w:val="18"/>
                          </w:rPr>
                          <w:t>2020)</w:t>
                        </w:r>
                      </w:p>
                    </w:tc>
                  </w:tr>
                  <w:tr>
                    <w:trPr>
                      <w:trHeight w:val="206" w:hRule="atLeast"/>
                    </w:trPr>
                    <w:tc>
                      <w:tcPr>
                        <w:tcW w:w="3038" w:type="dxa"/>
                        <w:tcBorders>
                          <w:bottom w:val="single" w:sz="6" w:space="0" w:color="5FFF00"/>
                        </w:tcBorders>
                      </w:tcPr>
                      <w:p>
                        <w:pPr>
                          <w:pStyle w:val="TableParagraph"/>
                          <w:spacing w:line="186" w:lineRule="exact"/>
                          <w:ind w:left="887" w:right="835"/>
                          <w:rPr>
                            <w:rFonts w:ascii="Times New Roman"/>
                            <w:sz w:val="18"/>
                          </w:rPr>
                        </w:pPr>
                        <w:r>
                          <w:rPr>
                            <w:rFonts w:ascii="Times New Roman"/>
                            <w:sz w:val="18"/>
                          </w:rPr>
                          <w:t>Lease completion</w:t>
                        </w:r>
                      </w:p>
                    </w:tc>
                    <w:tc>
                      <w:tcPr>
                        <w:tcW w:w="2638" w:type="dxa"/>
                        <w:tcBorders>
                          <w:bottom w:val="single" w:sz="6" w:space="0" w:color="5FFF00"/>
                        </w:tcBorders>
                      </w:tcPr>
                      <w:p>
                        <w:pPr>
                          <w:pStyle w:val="TableParagraph"/>
                          <w:spacing w:line="186" w:lineRule="exact"/>
                          <w:ind w:left="495" w:right="514"/>
                          <w:rPr>
                            <w:rFonts w:ascii="Times New Roman"/>
                            <w:sz w:val="18"/>
                          </w:rPr>
                        </w:pPr>
                        <w:r>
                          <w:rPr>
                            <w:rFonts w:ascii="Times New Roman"/>
                            <w:sz w:val="18"/>
                          </w:rPr>
                          <w:t>Year</w:t>
                        </w:r>
                      </w:p>
                    </w:tc>
                    <w:tc>
                      <w:tcPr>
                        <w:tcW w:w="2469" w:type="dxa"/>
                        <w:tcBorders>
                          <w:bottom w:val="single" w:sz="6" w:space="0" w:color="5FFF00"/>
                        </w:tcBorders>
                      </w:tcPr>
                      <w:p>
                        <w:pPr>
                          <w:pStyle w:val="TableParagraph"/>
                          <w:spacing w:line="186" w:lineRule="exact"/>
                          <w:ind w:left="859" w:right="933"/>
                          <w:rPr>
                            <w:rFonts w:ascii="Times New Roman"/>
                            <w:sz w:val="18"/>
                          </w:rPr>
                        </w:pPr>
                        <w:r>
                          <w:rPr>
                            <w:rFonts w:ascii="Times New Roman"/>
                            <w:sz w:val="18"/>
                          </w:rPr>
                          <w:t>FY 2021</w:t>
                        </w:r>
                      </w:p>
                    </w:tc>
                  </w:tr>
                  <w:tr>
                    <w:trPr>
                      <w:trHeight w:val="208" w:hRule="atLeast"/>
                    </w:trPr>
                    <w:tc>
                      <w:tcPr>
                        <w:tcW w:w="3038" w:type="dxa"/>
                        <w:tcBorders>
                          <w:top w:val="single" w:sz="6" w:space="0" w:color="5FFF00"/>
                          <w:bottom w:val="single" w:sz="6" w:space="0" w:color="5FFF00"/>
                        </w:tcBorders>
                      </w:tcPr>
                      <w:p>
                        <w:pPr>
                          <w:pStyle w:val="TableParagraph"/>
                          <w:spacing w:line="188" w:lineRule="exact"/>
                          <w:ind w:left="887" w:right="834"/>
                          <w:rPr>
                            <w:rFonts w:ascii="Times New Roman"/>
                            <w:sz w:val="18"/>
                          </w:rPr>
                        </w:pPr>
                        <w:r>
                          <w:rPr>
                            <w:rFonts w:ascii="Times New Roman"/>
                            <w:sz w:val="18"/>
                          </w:rPr>
                          <w:t>In-place rent</w:t>
                        </w:r>
                      </w:p>
                    </w:tc>
                    <w:tc>
                      <w:tcPr>
                        <w:tcW w:w="2638" w:type="dxa"/>
                        <w:tcBorders>
                          <w:top w:val="single" w:sz="6" w:space="0" w:color="5FFF00"/>
                          <w:bottom w:val="single" w:sz="6" w:space="0" w:color="5FFF00"/>
                        </w:tcBorders>
                      </w:tcPr>
                      <w:p>
                        <w:pPr>
                          <w:pStyle w:val="TableParagraph"/>
                          <w:spacing w:line="188" w:lineRule="exact"/>
                          <w:ind w:left="495" w:right="514"/>
                          <w:rPr>
                            <w:rFonts w:ascii="Times New Roman"/>
                            <w:sz w:val="18"/>
                          </w:rPr>
                        </w:pPr>
                        <w:r>
                          <w:rPr>
                            <w:rFonts w:ascii="Times New Roman"/>
                            <w:sz w:val="18"/>
                          </w:rPr>
                          <w:t>INR psf/mth</w:t>
                        </w:r>
                      </w:p>
                    </w:tc>
                    <w:tc>
                      <w:tcPr>
                        <w:tcW w:w="2469" w:type="dxa"/>
                        <w:tcBorders>
                          <w:top w:val="single" w:sz="6" w:space="0" w:color="5FFF00"/>
                          <w:bottom w:val="single" w:sz="6" w:space="0" w:color="5FFF00"/>
                        </w:tcBorders>
                      </w:tcPr>
                      <w:p>
                        <w:pPr>
                          <w:pStyle w:val="TableParagraph"/>
                          <w:spacing w:line="188" w:lineRule="exact"/>
                          <w:ind w:left="859" w:right="932"/>
                          <w:rPr>
                            <w:rFonts w:ascii="Times New Roman"/>
                            <w:sz w:val="10"/>
                          </w:rPr>
                        </w:pPr>
                        <w:r>
                          <w:rPr>
                            <w:rFonts w:ascii="Times New Roman"/>
                            <w:sz w:val="18"/>
                          </w:rPr>
                          <w:t>99</w:t>
                        </w:r>
                        <w:r>
                          <w:rPr>
                            <w:rFonts w:ascii="Times New Roman"/>
                            <w:position w:val="5"/>
                            <w:sz w:val="10"/>
                          </w:rPr>
                          <w:t>^</w:t>
                        </w:r>
                      </w:p>
                    </w:tc>
                  </w:tr>
                </w:tbl>
                <w:p>
                  <w:pPr>
                    <w:pStyle w:val="BodyText"/>
                  </w:pPr>
                </w:p>
              </w:txbxContent>
            </v:textbox>
            <w10:wrap type="none"/>
          </v:shape>
        </w:pict>
      </w:r>
      <w:r>
        <w:rPr>
          <w:rFonts w:ascii="Times New Roman"/>
          <w:color w:val="16772B"/>
          <w:sz w:val="20"/>
        </w:rPr>
        <w:t>Key</w:t>
      </w:r>
    </w:p>
    <w:p>
      <w:pPr>
        <w:spacing w:before="2"/>
        <w:ind w:left="265" w:right="0" w:firstLine="0"/>
        <w:jc w:val="left"/>
        <w:rPr>
          <w:rFonts w:ascii="Times New Roman"/>
          <w:sz w:val="18"/>
        </w:rPr>
      </w:pPr>
      <w:r>
        <w:rPr>
          <w:rFonts w:ascii="Times New Roman"/>
          <w:color w:val="16772B"/>
          <w:sz w:val="18"/>
        </w:rPr>
        <w:t>Assumptions</w:t>
      </w:r>
    </w:p>
    <w:p>
      <w:pPr>
        <w:pStyle w:val="BodyText"/>
        <w:rPr>
          <w:rFonts w:ascii="Times New Roman"/>
          <w:sz w:val="20"/>
        </w:rPr>
      </w:pPr>
    </w:p>
    <w:p>
      <w:pPr>
        <w:pStyle w:val="BodyText"/>
        <w:rPr>
          <w:rFonts w:ascii="Times New Roman"/>
          <w:sz w:val="20"/>
        </w:rPr>
      </w:pPr>
    </w:p>
    <w:p>
      <w:pPr>
        <w:pStyle w:val="BodyText"/>
        <w:spacing w:before="6"/>
        <w:rPr>
          <w:rFonts w:ascii="Times New Roman"/>
          <w:sz w:val="18"/>
        </w:rPr>
      </w:pPr>
    </w:p>
    <w:p>
      <w:pPr>
        <w:spacing w:after="0"/>
        <w:rPr>
          <w:rFonts w:ascii="Times New Roman"/>
          <w:sz w:val="18"/>
        </w:rPr>
        <w:sectPr>
          <w:pgSz w:w="12240" w:h="15840"/>
          <w:pgMar w:header="728" w:footer="1174" w:top="1180" w:bottom="1460" w:left="620" w:right="580"/>
        </w:sectPr>
      </w:pPr>
    </w:p>
    <w:p>
      <w:pPr>
        <w:spacing w:before="92"/>
        <w:ind w:left="3734" w:right="-3" w:hanging="860"/>
        <w:jc w:val="left"/>
        <w:rPr>
          <w:rFonts w:ascii="Times New Roman" w:hAnsi="Times New Roman"/>
          <w:sz w:val="18"/>
        </w:rPr>
      </w:pPr>
      <w:r>
        <w:rPr/>
        <w:pict>
          <v:shape style="position:absolute;margin-left:160.460007pt;margin-top:26.322294pt;width:407.3pt;height:.75pt;mso-position-horizontal-relative:page;mso-position-vertical-relative:paragraph;z-index:15764480" coordorigin="3209,526" coordsize="8146,15" path="m8810,526l6316,526,6301,526,3209,526,3209,541,6301,541,6316,541,8810,541,8810,526xm11354,526l8824,526,8810,526,8810,541,8824,541,11354,541,11354,526xe" filled="true" fillcolor="#5fff00" stroked="false">
            <v:path arrowok="t"/>
            <v:fill type="solid"/>
            <w10:wrap type="none"/>
          </v:shape>
        </w:pict>
      </w:r>
      <w:r>
        <w:rPr>
          <w:rFonts w:ascii="Times New Roman" w:hAnsi="Times New Roman"/>
          <w:sz w:val="18"/>
        </w:rPr>
        <w:t>Marginal rent – Commercial </w:t>
      </w:r>
      <w:r>
        <w:rPr>
          <w:rFonts w:ascii="Times New Roman" w:hAnsi="Times New Roman"/>
          <w:spacing w:val="-3"/>
          <w:sz w:val="18"/>
        </w:rPr>
        <w:t>office </w:t>
      </w:r>
      <w:r>
        <w:rPr>
          <w:rFonts w:ascii="Times New Roman" w:hAnsi="Times New Roman"/>
          <w:sz w:val="18"/>
        </w:rPr>
        <w:t>component</w:t>
      </w:r>
    </w:p>
    <w:p>
      <w:pPr>
        <w:pStyle w:val="BodyText"/>
        <w:spacing w:before="10"/>
        <w:rPr>
          <w:rFonts w:ascii="Times New Roman"/>
          <w:sz w:val="17"/>
        </w:rPr>
      </w:pPr>
      <w:r>
        <w:rPr/>
        <w:br w:type="column"/>
      </w:r>
      <w:r>
        <w:rPr>
          <w:rFonts w:ascii="Times New Roman"/>
          <w:sz w:val="17"/>
        </w:rPr>
      </w:r>
    </w:p>
    <w:p>
      <w:pPr>
        <w:tabs>
          <w:tab w:pos="3849" w:val="left" w:leader="none"/>
        </w:tabs>
        <w:spacing w:before="0"/>
        <w:ind w:left="1050" w:right="0" w:firstLine="0"/>
        <w:jc w:val="left"/>
        <w:rPr>
          <w:rFonts w:ascii="Times New Roman"/>
          <w:sz w:val="18"/>
        </w:rPr>
      </w:pPr>
      <w:r>
        <w:rPr>
          <w:rFonts w:ascii="Times New Roman"/>
          <w:sz w:val="18"/>
        </w:rPr>
        <w:t>INR psf/mth</w:t>
        <w:tab/>
        <w:t>110*</w:t>
      </w:r>
    </w:p>
    <w:p>
      <w:pPr>
        <w:spacing w:after="0"/>
        <w:jc w:val="left"/>
        <w:rPr>
          <w:rFonts w:ascii="Times New Roman"/>
          <w:sz w:val="18"/>
        </w:rPr>
        <w:sectPr>
          <w:type w:val="continuous"/>
          <w:pgSz w:w="12240" w:h="15840"/>
          <w:pgMar w:top="800" w:bottom="280" w:left="620" w:right="580"/>
          <w:cols w:num="2" w:equalWidth="0">
            <w:col w:w="5393" w:space="40"/>
            <w:col w:w="5607"/>
          </w:cols>
        </w:sectPr>
      </w:pPr>
    </w:p>
    <w:p>
      <w:pPr>
        <w:tabs>
          <w:tab w:pos="6482" w:val="left" w:leader="none"/>
          <w:tab w:pos="9553" w:val="right" w:leader="none"/>
        </w:tabs>
        <w:spacing w:before="35"/>
        <w:ind w:left="2916" w:right="0" w:firstLine="0"/>
        <w:jc w:val="left"/>
        <w:rPr>
          <w:rFonts w:ascii="Times New Roman" w:hAnsi="Times New Roman"/>
          <w:sz w:val="18"/>
        </w:rPr>
      </w:pPr>
      <w:r>
        <w:rPr>
          <w:rFonts w:ascii="Times New Roman" w:hAnsi="Times New Roman"/>
          <w:sz w:val="18"/>
        </w:rPr>
        <w:t>Marginal rent –</w:t>
      </w:r>
      <w:r>
        <w:rPr>
          <w:rFonts w:ascii="Times New Roman" w:hAnsi="Times New Roman"/>
          <w:spacing w:val="-4"/>
          <w:sz w:val="18"/>
        </w:rPr>
        <w:t> </w:t>
      </w:r>
      <w:r>
        <w:rPr>
          <w:rFonts w:ascii="Times New Roman" w:hAnsi="Times New Roman"/>
          <w:sz w:val="18"/>
        </w:rPr>
        <w:t>Retail</w:t>
      </w:r>
      <w:r>
        <w:rPr>
          <w:rFonts w:ascii="Times New Roman" w:hAnsi="Times New Roman"/>
          <w:spacing w:val="-2"/>
          <w:sz w:val="18"/>
        </w:rPr>
        <w:t> </w:t>
      </w:r>
      <w:r>
        <w:rPr>
          <w:rFonts w:ascii="Times New Roman" w:hAnsi="Times New Roman"/>
          <w:sz w:val="18"/>
        </w:rPr>
        <w:t>component</w:t>
        <w:tab/>
        <w:t>INR psf/mth</w:t>
        <w:tab/>
        <w:t>78</w:t>
      </w:r>
    </w:p>
    <w:p>
      <w:pPr>
        <w:pStyle w:val="BodyText"/>
        <w:spacing w:line="20" w:lineRule="exact"/>
        <w:ind w:left="2589"/>
        <w:rPr>
          <w:rFonts w:ascii="Times New Roman"/>
          <w:sz w:val="2"/>
        </w:rPr>
      </w:pPr>
      <w:r>
        <w:rPr>
          <w:rFonts w:ascii="Times New Roman"/>
          <w:sz w:val="2"/>
        </w:rPr>
        <w:pict>
          <v:group style="width:407.3pt;height:.75pt;mso-position-horizontal-relative:char;mso-position-vertical-relative:line" coordorigin="0,0" coordsize="8146,15">
            <v:shape style="position:absolute;left:0;top:0;width:8146;height:15" coordorigin="0,0" coordsize="8146,15" path="m5601,0l3107,0,3092,0,0,0,0,14,3092,14,3107,14,5601,14,5601,0xm8145,0l5615,0,5601,0,5601,14,5615,14,8145,14,8145,0xe" filled="true" fillcolor="#5fff00" stroked="false">
              <v:path arrowok="t"/>
              <v:fill type="solid"/>
            </v:shape>
          </v:group>
        </w:pict>
      </w:r>
      <w:r>
        <w:rPr>
          <w:rFonts w:ascii="Times New Roman"/>
          <w:sz w:val="2"/>
        </w:rPr>
      </w:r>
    </w:p>
    <w:p>
      <w:pPr>
        <w:tabs>
          <w:tab w:pos="6415" w:val="left" w:leader="none"/>
          <w:tab w:pos="9431" w:val="left" w:leader="none"/>
        </w:tabs>
        <w:spacing w:before="0"/>
        <w:ind w:left="3281" w:right="0" w:firstLine="0"/>
        <w:jc w:val="left"/>
        <w:rPr>
          <w:rFonts w:ascii="Times New Roman"/>
          <w:sz w:val="18"/>
        </w:rPr>
      </w:pPr>
      <w:r>
        <w:rPr>
          <w:rFonts w:ascii="Times New Roman"/>
          <w:sz w:val="18"/>
        </w:rPr>
        <w:t>Parking rent</w:t>
      </w:r>
      <w:r>
        <w:rPr>
          <w:rFonts w:ascii="Times New Roman"/>
          <w:spacing w:val="-2"/>
          <w:sz w:val="18"/>
        </w:rPr>
        <w:t> </w:t>
      </w:r>
      <w:r>
        <w:rPr>
          <w:rFonts w:ascii="Times New Roman"/>
          <w:sz w:val="18"/>
        </w:rPr>
        <w:t>(Effective)</w:t>
        <w:tab/>
        <w:t>INR /</w:t>
      </w:r>
      <w:r>
        <w:rPr>
          <w:rFonts w:ascii="Times New Roman"/>
          <w:spacing w:val="-1"/>
          <w:sz w:val="18"/>
        </w:rPr>
        <w:t> </w:t>
      </w:r>
      <w:r>
        <w:rPr>
          <w:rFonts w:ascii="Times New Roman"/>
          <w:sz w:val="18"/>
        </w:rPr>
        <w:t>bay/mth</w:t>
        <w:tab/>
        <w:t>-</w:t>
      </w:r>
    </w:p>
    <w:tbl>
      <w:tblPr>
        <w:tblW w:w="0" w:type="auto"/>
        <w:jc w:val="left"/>
        <w:tblInd w:w="25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46"/>
        <w:gridCol w:w="1962"/>
        <w:gridCol w:w="2636"/>
      </w:tblGrid>
      <w:tr>
        <w:trPr>
          <w:trHeight w:val="235" w:hRule="atLeast"/>
        </w:trPr>
        <w:tc>
          <w:tcPr>
            <w:tcW w:w="3546" w:type="dxa"/>
            <w:shd w:val="clear" w:color="auto" w:fill="5FFF00"/>
          </w:tcPr>
          <w:p>
            <w:pPr>
              <w:pStyle w:val="TableParagraph"/>
              <w:spacing w:line="201" w:lineRule="exact" w:before="14"/>
              <w:ind w:right="70"/>
              <w:jc w:val="right"/>
              <w:rPr>
                <w:rFonts w:ascii="Times New Roman"/>
                <w:sz w:val="18"/>
              </w:rPr>
            </w:pPr>
            <w:r>
              <w:rPr>
                <w:rFonts w:ascii="Times New Roman"/>
                <w:w w:val="95"/>
                <w:sz w:val="18"/>
              </w:rPr>
              <w:t>Other</w:t>
            </w:r>
          </w:p>
        </w:tc>
        <w:tc>
          <w:tcPr>
            <w:tcW w:w="1962" w:type="dxa"/>
            <w:shd w:val="clear" w:color="auto" w:fill="5FFF00"/>
          </w:tcPr>
          <w:p>
            <w:pPr>
              <w:pStyle w:val="TableParagraph"/>
              <w:spacing w:line="201" w:lineRule="exact" w:before="14"/>
              <w:ind w:left="-27" w:right="422"/>
              <w:rPr>
                <w:rFonts w:ascii="Times New Roman"/>
                <w:sz w:val="18"/>
              </w:rPr>
            </w:pPr>
            <w:r>
              <w:rPr>
                <w:rFonts w:ascii="Times New Roman"/>
                <w:sz w:val="18"/>
              </w:rPr>
              <w:t>financial</w:t>
            </w:r>
            <w:r>
              <w:rPr>
                <w:rFonts w:ascii="Times New Roman"/>
                <w:spacing w:val="12"/>
                <w:sz w:val="18"/>
              </w:rPr>
              <w:t> </w:t>
            </w:r>
            <w:r>
              <w:rPr>
                <w:rFonts w:ascii="Times New Roman"/>
                <w:spacing w:val="-3"/>
                <w:sz w:val="18"/>
              </w:rPr>
              <w:t>assumptions</w:t>
            </w:r>
          </w:p>
        </w:tc>
        <w:tc>
          <w:tcPr>
            <w:tcW w:w="2636" w:type="dxa"/>
            <w:shd w:val="clear" w:color="auto" w:fill="5FFF00"/>
          </w:tcPr>
          <w:p>
            <w:pPr>
              <w:pStyle w:val="TableParagraph"/>
              <w:jc w:val="left"/>
              <w:rPr>
                <w:rFonts w:ascii="Times New Roman"/>
                <w:sz w:val="16"/>
              </w:rPr>
            </w:pPr>
          </w:p>
        </w:tc>
      </w:tr>
      <w:tr>
        <w:trPr>
          <w:trHeight w:val="208" w:hRule="atLeast"/>
        </w:trPr>
        <w:tc>
          <w:tcPr>
            <w:tcW w:w="3546" w:type="dxa"/>
            <w:tcBorders>
              <w:bottom w:val="single" w:sz="6" w:space="0" w:color="5FFF00"/>
            </w:tcBorders>
          </w:tcPr>
          <w:p>
            <w:pPr>
              <w:pStyle w:val="TableParagraph"/>
              <w:spacing w:line="189" w:lineRule="exact"/>
              <w:ind w:left="271"/>
              <w:jc w:val="left"/>
              <w:rPr>
                <w:rFonts w:ascii="Times New Roman" w:hAnsi="Times New Roman"/>
                <w:sz w:val="18"/>
              </w:rPr>
            </w:pPr>
            <w:r>
              <w:rPr>
                <w:rFonts w:ascii="Times New Roman" w:hAnsi="Times New Roman"/>
                <w:sz w:val="18"/>
              </w:rPr>
              <w:t>Cap rate – commercial components</w:t>
            </w:r>
          </w:p>
        </w:tc>
        <w:tc>
          <w:tcPr>
            <w:tcW w:w="1962" w:type="dxa"/>
            <w:tcBorders>
              <w:bottom w:val="single" w:sz="6" w:space="0" w:color="5FFF00"/>
            </w:tcBorders>
          </w:tcPr>
          <w:p>
            <w:pPr>
              <w:pStyle w:val="TableParagraph"/>
              <w:spacing w:line="189" w:lineRule="exact"/>
              <w:ind w:right="356"/>
              <w:rPr>
                <w:rFonts w:ascii="Times New Roman"/>
                <w:sz w:val="18"/>
              </w:rPr>
            </w:pPr>
            <w:r>
              <w:rPr>
                <w:rFonts w:ascii="Times New Roman"/>
                <w:w w:val="99"/>
                <w:sz w:val="18"/>
              </w:rPr>
              <w:t>%</w:t>
            </w:r>
          </w:p>
        </w:tc>
        <w:tc>
          <w:tcPr>
            <w:tcW w:w="2636" w:type="dxa"/>
            <w:tcBorders>
              <w:bottom w:val="single" w:sz="6" w:space="0" w:color="5FFF00"/>
            </w:tcBorders>
          </w:tcPr>
          <w:p>
            <w:pPr>
              <w:pStyle w:val="TableParagraph"/>
              <w:spacing w:line="189" w:lineRule="exact"/>
              <w:ind w:right="1035"/>
              <w:jc w:val="right"/>
              <w:rPr>
                <w:rFonts w:ascii="Times New Roman"/>
                <w:sz w:val="18"/>
              </w:rPr>
            </w:pPr>
            <w:r>
              <w:rPr>
                <w:rFonts w:ascii="Times New Roman"/>
                <w:sz w:val="18"/>
              </w:rPr>
              <w:t>8.00%</w:t>
            </w:r>
          </w:p>
        </w:tc>
      </w:tr>
      <w:tr>
        <w:trPr>
          <w:trHeight w:val="205" w:hRule="atLeast"/>
        </w:trPr>
        <w:tc>
          <w:tcPr>
            <w:tcW w:w="3546" w:type="dxa"/>
            <w:tcBorders>
              <w:top w:val="single" w:sz="6" w:space="0" w:color="5FFF00"/>
              <w:bottom w:val="single" w:sz="6" w:space="0" w:color="5FFF00"/>
            </w:tcBorders>
          </w:tcPr>
          <w:p>
            <w:pPr>
              <w:pStyle w:val="TableParagraph"/>
              <w:spacing w:line="186" w:lineRule="exact"/>
              <w:ind w:left="631"/>
              <w:jc w:val="left"/>
              <w:rPr>
                <w:rFonts w:ascii="Times New Roman"/>
                <w:sz w:val="18"/>
              </w:rPr>
            </w:pPr>
            <w:r>
              <w:rPr>
                <w:rFonts w:ascii="Times New Roman"/>
                <w:sz w:val="18"/>
              </w:rPr>
              <w:t>WACC rate (operational)</w:t>
            </w:r>
          </w:p>
        </w:tc>
        <w:tc>
          <w:tcPr>
            <w:tcW w:w="1962" w:type="dxa"/>
            <w:tcBorders>
              <w:top w:val="single" w:sz="6" w:space="0" w:color="5FFF00"/>
              <w:bottom w:val="single" w:sz="6" w:space="0" w:color="5FFF00"/>
            </w:tcBorders>
          </w:tcPr>
          <w:p>
            <w:pPr>
              <w:pStyle w:val="TableParagraph"/>
              <w:spacing w:line="186" w:lineRule="exact"/>
              <w:ind w:right="356"/>
              <w:rPr>
                <w:rFonts w:ascii="Times New Roman"/>
                <w:sz w:val="18"/>
              </w:rPr>
            </w:pPr>
            <w:r>
              <w:rPr>
                <w:rFonts w:ascii="Times New Roman"/>
                <w:w w:val="99"/>
                <w:sz w:val="18"/>
              </w:rPr>
              <w:t>%</w:t>
            </w:r>
          </w:p>
        </w:tc>
        <w:tc>
          <w:tcPr>
            <w:tcW w:w="2636" w:type="dxa"/>
            <w:tcBorders>
              <w:top w:val="single" w:sz="6" w:space="0" w:color="5FFF00"/>
              <w:bottom w:val="single" w:sz="6" w:space="0" w:color="5FFF00"/>
            </w:tcBorders>
          </w:tcPr>
          <w:p>
            <w:pPr>
              <w:pStyle w:val="TableParagraph"/>
              <w:spacing w:line="186" w:lineRule="exact"/>
              <w:ind w:right="991"/>
              <w:jc w:val="right"/>
              <w:rPr>
                <w:rFonts w:ascii="Times New Roman"/>
                <w:sz w:val="18"/>
              </w:rPr>
            </w:pPr>
            <w:r>
              <w:rPr>
                <w:rFonts w:ascii="Times New Roman"/>
                <w:sz w:val="18"/>
              </w:rPr>
              <w:t>12.03%</w:t>
            </w:r>
          </w:p>
        </w:tc>
      </w:tr>
    </w:tbl>
    <w:p>
      <w:pPr>
        <w:spacing w:before="112"/>
        <w:ind w:left="2589" w:right="0" w:firstLine="0"/>
        <w:jc w:val="left"/>
        <w:rPr>
          <w:rFonts w:ascii="Times New Roman"/>
          <w:i/>
          <w:sz w:val="18"/>
        </w:rPr>
      </w:pPr>
      <w:r>
        <w:rPr>
          <w:rFonts w:ascii="Times New Roman"/>
          <w:i/>
          <w:sz w:val="18"/>
        </w:rPr>
        <w:t>^denotes the weighted average rentals for leased office/retail and food-court spaces; * Inclusive of car park rent</w:t>
      </w:r>
    </w:p>
    <w:p>
      <w:pPr>
        <w:pStyle w:val="BodyText"/>
        <w:rPr>
          <w:rFonts w:ascii="Times New Roman"/>
          <w:i/>
          <w:sz w:val="21"/>
        </w:rPr>
      </w:pPr>
    </w:p>
    <w:p>
      <w:pPr>
        <w:tabs>
          <w:tab w:pos="2589" w:val="left" w:leader="none"/>
        </w:tabs>
        <w:spacing w:before="0"/>
        <w:ind w:left="265" w:right="0" w:firstLine="0"/>
        <w:jc w:val="left"/>
        <w:rPr>
          <w:rFonts w:ascii="Times New Roman"/>
          <w:b/>
          <w:sz w:val="18"/>
        </w:rPr>
      </w:pPr>
      <w:r>
        <w:rPr>
          <w:rFonts w:ascii="Times New Roman"/>
          <w:color w:val="16772B"/>
          <w:sz w:val="18"/>
        </w:rPr>
        <w:t>Market Value:</w:t>
        <w:tab/>
      </w:r>
      <w:r>
        <w:rPr>
          <w:rFonts w:ascii="Times New Roman"/>
          <w:b/>
          <w:sz w:val="18"/>
        </w:rPr>
        <w:t>INR 16,624</w:t>
      </w:r>
      <w:r>
        <w:rPr>
          <w:rFonts w:ascii="Times New Roman"/>
          <w:b/>
          <w:spacing w:val="-1"/>
          <w:sz w:val="18"/>
        </w:rPr>
        <w:t> </w:t>
      </w:r>
      <w:r>
        <w:rPr>
          <w:rFonts w:ascii="Times New Roman"/>
          <w:b/>
          <w:sz w:val="18"/>
        </w:rPr>
        <w:t>Mn</w:t>
      </w:r>
    </w:p>
    <w:p>
      <w:pPr>
        <w:spacing w:after="0"/>
        <w:jc w:val="left"/>
        <w:rPr>
          <w:rFonts w:ascii="Times New Roman"/>
          <w:sz w:val="18"/>
        </w:rPr>
        <w:sectPr>
          <w:type w:val="continuous"/>
          <w:pgSz w:w="12240" w:h="15840"/>
          <w:pgMar w:top="800" w:bottom="280" w:left="620" w:right="580"/>
        </w:sectPr>
      </w:pPr>
    </w:p>
    <w:p>
      <w:pPr>
        <w:pStyle w:val="BodyText"/>
        <w:rPr>
          <w:rFonts w:ascii="Times New Roman"/>
          <w:b/>
          <w:sz w:val="18"/>
        </w:rPr>
      </w:pPr>
    </w:p>
    <w:p>
      <w:pPr>
        <w:pStyle w:val="ListParagraph"/>
        <w:numPr>
          <w:ilvl w:val="1"/>
          <w:numId w:val="1"/>
        </w:numPr>
        <w:tabs>
          <w:tab w:pos="1309" w:val="left" w:leader="none"/>
          <w:tab w:pos="1311" w:val="left" w:leader="none"/>
        </w:tabs>
        <w:spacing w:line="240" w:lineRule="auto" w:before="91" w:after="0"/>
        <w:ind w:left="1310" w:right="0" w:hanging="491"/>
        <w:jc w:val="left"/>
        <w:rPr>
          <w:rFonts w:ascii="Times New Roman"/>
          <w:color w:val="1E6C28"/>
          <w:sz w:val="20"/>
        </w:rPr>
      </w:pPr>
      <w:r>
        <w:rPr>
          <w:rFonts w:ascii="Times New Roman"/>
          <w:color w:val="1E6C28"/>
          <w:sz w:val="20"/>
        </w:rPr>
        <w:t>First International Finance Centre</w:t>
      </w:r>
      <w:r>
        <w:rPr>
          <w:rFonts w:ascii="Times New Roman"/>
          <w:color w:val="1E6C28"/>
          <w:spacing w:val="-2"/>
          <w:sz w:val="20"/>
        </w:rPr>
        <w:t> </w:t>
      </w:r>
      <w:r>
        <w:rPr>
          <w:rFonts w:ascii="Times New Roman"/>
          <w:color w:val="1E6C28"/>
          <w:sz w:val="20"/>
        </w:rPr>
        <w:t>(FIFC)</w:t>
      </w:r>
    </w:p>
    <w:p>
      <w:pPr>
        <w:pStyle w:val="BodyText"/>
        <w:rPr>
          <w:rFonts w:ascii="Times New Roman"/>
          <w:sz w:val="16"/>
        </w:rPr>
      </w:pPr>
    </w:p>
    <w:p>
      <w:pPr>
        <w:spacing w:after="0"/>
        <w:rPr>
          <w:rFonts w:ascii="Times New Roman"/>
          <w:sz w:val="16"/>
        </w:rPr>
        <w:sectPr>
          <w:pgSz w:w="12240" w:h="15840"/>
          <w:pgMar w:header="728" w:footer="1174" w:top="1180" w:bottom="1460" w:left="620" w:right="580"/>
        </w:sectPr>
      </w:pPr>
    </w:p>
    <w:p>
      <w:pPr>
        <w:spacing w:before="92"/>
        <w:ind w:left="820" w:right="-19" w:firstLine="0"/>
        <w:jc w:val="left"/>
        <w:rPr>
          <w:rFonts w:ascii="Times New Roman"/>
          <w:sz w:val="18"/>
        </w:rPr>
      </w:pPr>
      <w:r>
        <w:rPr>
          <w:rFonts w:ascii="Times New Roman"/>
          <w:color w:val="16772B"/>
          <w:sz w:val="18"/>
        </w:rPr>
        <w:t>Property</w:t>
      </w:r>
      <w:r>
        <w:rPr>
          <w:rFonts w:ascii="Times New Roman"/>
          <w:color w:val="16772B"/>
          <w:w w:val="99"/>
          <w:sz w:val="18"/>
        </w:rPr>
        <w:t> </w:t>
      </w:r>
      <w:r>
        <w:rPr>
          <w:rFonts w:ascii="Times New Roman"/>
          <w:color w:val="16772B"/>
          <w:sz w:val="18"/>
        </w:rPr>
        <w:t>Name:</w:t>
      </w:r>
    </w:p>
    <w:p>
      <w:pPr>
        <w:spacing w:before="92"/>
        <w:ind w:left="283" w:right="733" w:firstLine="0"/>
        <w:jc w:val="left"/>
        <w:rPr>
          <w:rFonts w:ascii="Times New Roman"/>
          <w:sz w:val="18"/>
        </w:rPr>
      </w:pPr>
      <w:r>
        <w:rPr/>
        <w:br w:type="column"/>
      </w:r>
      <w:r>
        <w:rPr>
          <w:rFonts w:ascii="Times New Roman"/>
          <w:sz w:val="18"/>
        </w:rPr>
        <w:t>First International Finance Centre is a commercial office development located on Bandra Kurla Complex Road, Bandra Kurla Complex, Mumbai, Maharashtra</w:t>
      </w:r>
    </w:p>
    <w:p>
      <w:pPr>
        <w:spacing w:after="0"/>
        <w:jc w:val="left"/>
        <w:rPr>
          <w:rFonts w:ascii="Times New Roman"/>
          <w:sz w:val="18"/>
        </w:rPr>
        <w:sectPr>
          <w:type w:val="continuous"/>
          <w:pgSz w:w="12240" w:h="15840"/>
          <w:pgMar w:top="800" w:bottom="280" w:left="620" w:right="580"/>
          <w:cols w:num="2" w:equalWidth="0">
            <w:col w:w="1441" w:space="40"/>
            <w:col w:w="9559"/>
          </w:cols>
        </w:sectPr>
      </w:pPr>
    </w:p>
    <w:p>
      <w:pPr>
        <w:pStyle w:val="BodyText"/>
        <w:rPr>
          <w:rFonts w:ascii="Times New Roman"/>
          <w:sz w:val="9"/>
        </w:rPr>
      </w:pPr>
    </w:p>
    <w:p>
      <w:pPr>
        <w:spacing w:after="0"/>
        <w:rPr>
          <w:rFonts w:ascii="Times New Roman"/>
          <w:sz w:val="9"/>
        </w:rPr>
        <w:sectPr>
          <w:type w:val="continuous"/>
          <w:pgSz w:w="12240" w:h="15840"/>
          <w:pgMar w:top="800" w:bottom="280" w:left="620" w:right="580"/>
        </w:sectPr>
      </w:pPr>
    </w:p>
    <w:p>
      <w:pPr>
        <w:spacing w:before="92"/>
        <w:ind w:left="820" w:right="-19" w:firstLine="0"/>
        <w:jc w:val="left"/>
        <w:rPr>
          <w:rFonts w:ascii="Times New Roman"/>
          <w:sz w:val="18"/>
        </w:rPr>
      </w:pPr>
      <w:r>
        <w:rPr>
          <w:rFonts w:ascii="Times New Roman"/>
          <w:color w:val="16772B"/>
          <w:sz w:val="18"/>
        </w:rPr>
        <w:t>Property Address:</w:t>
      </w:r>
    </w:p>
    <w:p>
      <w:pPr>
        <w:spacing w:before="92"/>
        <w:ind w:left="263" w:right="0" w:firstLine="0"/>
        <w:jc w:val="left"/>
        <w:rPr>
          <w:rFonts w:ascii="Times New Roman"/>
          <w:sz w:val="18"/>
        </w:rPr>
      </w:pPr>
      <w:r>
        <w:rPr/>
        <w:br w:type="column"/>
      </w:r>
      <w:r>
        <w:rPr>
          <w:rFonts w:ascii="Times New Roman"/>
          <w:sz w:val="18"/>
        </w:rPr>
        <w:t>G-Block, Bandra Kurla Complex road, Bandra Kurla Complex, Mumbai, Maharashtra</w:t>
      </w:r>
    </w:p>
    <w:p>
      <w:pPr>
        <w:spacing w:after="0"/>
        <w:jc w:val="left"/>
        <w:rPr>
          <w:rFonts w:ascii="Times New Roman"/>
          <w:sz w:val="18"/>
        </w:rPr>
        <w:sectPr>
          <w:type w:val="continuous"/>
          <w:pgSz w:w="12240" w:h="15840"/>
          <w:pgMar w:top="800" w:bottom="280" w:left="620" w:right="580"/>
          <w:cols w:num="2" w:equalWidth="0">
            <w:col w:w="1461" w:space="40"/>
            <w:col w:w="9539"/>
          </w:cols>
        </w:sectPr>
      </w:pPr>
    </w:p>
    <w:p>
      <w:pPr>
        <w:pStyle w:val="BodyText"/>
        <w:spacing w:before="9"/>
        <w:rPr>
          <w:rFonts w:ascii="Times New Roman"/>
          <w:sz w:val="8"/>
        </w:rPr>
      </w:pPr>
    </w:p>
    <w:p>
      <w:pPr>
        <w:spacing w:before="92"/>
        <w:ind w:left="1763" w:right="835" w:hanging="944"/>
        <w:jc w:val="left"/>
        <w:rPr>
          <w:rFonts w:ascii="Times New Roman"/>
          <w:sz w:val="18"/>
        </w:rPr>
      </w:pPr>
      <w:r>
        <w:rPr>
          <w:rFonts w:ascii="Times New Roman"/>
          <w:color w:val="16772B"/>
          <w:sz w:val="18"/>
        </w:rPr>
        <w:t>Land Area: </w:t>
      </w:r>
      <w:r>
        <w:rPr>
          <w:rFonts w:ascii="Times New Roman"/>
          <w:sz w:val="18"/>
        </w:rPr>
        <w:t>Based on review of the title report, the Valuer understands that the total land area of the subject property under the ownership of the Client is approximately 1.99 Acres</w:t>
      </w:r>
    </w:p>
    <w:p>
      <w:pPr>
        <w:pStyle w:val="BodyText"/>
        <w:rPr>
          <w:rFonts w:ascii="Times New Roman"/>
          <w:sz w:val="9"/>
        </w:rPr>
      </w:pPr>
    </w:p>
    <w:p>
      <w:pPr>
        <w:tabs>
          <w:tab w:pos="1763" w:val="left" w:leader="none"/>
        </w:tabs>
        <w:spacing w:before="93"/>
        <w:ind w:left="820" w:right="0" w:firstLine="0"/>
        <w:jc w:val="left"/>
        <w:rPr>
          <w:rFonts w:ascii="Times New Roman" w:hAnsi="Times New Roman"/>
          <w:sz w:val="18"/>
        </w:rPr>
      </w:pPr>
      <w:r>
        <w:rPr>
          <w:rFonts w:ascii="Times New Roman" w:hAnsi="Times New Roman"/>
          <w:color w:val="16772B"/>
          <w:sz w:val="18"/>
        </w:rPr>
        <w:t>Brief</w:t>
        <w:tab/>
      </w:r>
      <w:r>
        <w:rPr>
          <w:rFonts w:ascii="Times New Roman" w:hAnsi="Times New Roman"/>
          <w:sz w:val="18"/>
        </w:rPr>
        <w:t>The subject property, “First International Finance Centre”, is an operational office asset located along</w:t>
      </w:r>
      <w:r>
        <w:rPr>
          <w:rFonts w:ascii="Times New Roman" w:hAnsi="Times New Roman"/>
          <w:spacing w:val="5"/>
          <w:sz w:val="18"/>
        </w:rPr>
        <w:t> </w:t>
      </w:r>
      <w:r>
        <w:rPr>
          <w:rFonts w:ascii="Times New Roman" w:hAnsi="Times New Roman"/>
          <w:sz w:val="18"/>
        </w:rPr>
        <w:t>BKC Road in</w:t>
      </w:r>
    </w:p>
    <w:p>
      <w:pPr>
        <w:spacing w:line="240" w:lineRule="auto" w:before="0"/>
        <w:ind w:left="1763" w:right="851" w:hanging="944"/>
        <w:jc w:val="both"/>
        <w:rPr>
          <w:rFonts w:ascii="Times New Roman"/>
          <w:sz w:val="18"/>
        </w:rPr>
      </w:pPr>
      <w:r>
        <w:rPr>
          <w:rFonts w:ascii="Times New Roman"/>
          <w:color w:val="16772B"/>
          <w:sz w:val="18"/>
        </w:rPr>
        <w:t>Description: </w:t>
      </w:r>
      <w:r>
        <w:rPr>
          <w:rFonts w:ascii="Times New Roman"/>
          <w:sz w:val="18"/>
        </w:rPr>
        <w:t>G Block, Bandra Kurla Complex, Mumbai. This office asset has a total leasable area of approximately 658,390 sf. The development is operated as a condominium and is co-owned by two entities i.e., a leading bank and the Client. Based on review of the title report for the subject property, the Client has an ownership of approximately 360,947 sf of the total area and the same has been considered for the purpose for this valuation exercise (this area will be considered as the subject property hereinafter). The subject property is located in proximity to locations such as Kurla, Bandra, Santacruz etc., which are considered as established residential and commercial locations within the city.</w:t>
      </w:r>
    </w:p>
    <w:p>
      <w:pPr>
        <w:pStyle w:val="BodyText"/>
        <w:rPr>
          <w:rFonts w:ascii="Times New Roman"/>
          <w:sz w:val="24"/>
        </w:rPr>
      </w:pPr>
    </w:p>
    <w:p>
      <w:pPr>
        <w:spacing w:line="242" w:lineRule="auto" w:before="0"/>
        <w:ind w:left="1763" w:right="853" w:firstLine="0"/>
        <w:jc w:val="both"/>
        <w:rPr>
          <w:rFonts w:ascii="Times New Roman"/>
          <w:sz w:val="18"/>
        </w:rPr>
      </w:pPr>
      <w:r>
        <w:rPr>
          <w:rFonts w:ascii="Times New Roman"/>
          <w:sz w:val="18"/>
        </w:rPr>
        <w:t>The subject property is located at a distance of approximately 20-22 km from the Central Business District of Mumbai (viz. Nariman Point), approximately 6-8 km from Domestic Airport, approximately 8-9 km from the Chhatrapati Shivaji International Airport Terminal, Mumbai etc.</w:t>
      </w:r>
    </w:p>
    <w:p>
      <w:pPr>
        <w:pStyle w:val="BodyText"/>
        <w:spacing w:before="1"/>
        <w:rPr>
          <w:rFonts w:ascii="Times New Roman"/>
          <w:sz w:val="18"/>
        </w:rPr>
      </w:pPr>
    </w:p>
    <w:p>
      <w:pPr>
        <w:spacing w:before="0"/>
        <w:ind w:left="820" w:right="0" w:firstLine="0"/>
        <w:jc w:val="left"/>
        <w:rPr>
          <w:rFonts w:ascii="Times New Roman" w:hAnsi="Times New Roman"/>
          <w:sz w:val="18"/>
        </w:rPr>
      </w:pPr>
      <w:r>
        <w:rPr>
          <w:rFonts w:ascii="Times New Roman" w:hAnsi="Times New Roman"/>
          <w:color w:val="16772B"/>
          <w:sz w:val="18"/>
        </w:rPr>
        <w:t>Statement of </w:t>
      </w:r>
      <w:r>
        <w:rPr>
          <w:rFonts w:ascii="Times New Roman" w:hAnsi="Times New Roman"/>
          <w:sz w:val="18"/>
        </w:rPr>
        <w:t>Based on review of various documents (such as rent roll, Architect’s Certificate, lease deeds, etc.), the subject</w:t>
      </w:r>
    </w:p>
    <w:p>
      <w:pPr>
        <w:spacing w:after="0"/>
        <w:jc w:val="left"/>
        <w:rPr>
          <w:rFonts w:ascii="Times New Roman" w:hAnsi="Times New Roman"/>
          <w:sz w:val="18"/>
        </w:rPr>
        <w:sectPr>
          <w:type w:val="continuous"/>
          <w:pgSz w:w="12240" w:h="15840"/>
          <w:pgMar w:top="800" w:bottom="280" w:left="620" w:right="580"/>
        </w:sectPr>
      </w:pPr>
    </w:p>
    <w:p>
      <w:pPr>
        <w:spacing w:before="2"/>
        <w:ind w:left="820" w:right="0" w:firstLine="0"/>
        <w:jc w:val="left"/>
        <w:rPr>
          <w:rFonts w:ascii="Times New Roman"/>
          <w:sz w:val="18"/>
        </w:rPr>
      </w:pPr>
      <w:r>
        <w:rPr>
          <w:rFonts w:ascii="Times New Roman"/>
          <w:color w:val="16772B"/>
          <w:sz w:val="18"/>
        </w:rPr>
        <w:t>Assets </w:t>
      </w:r>
      <w:r>
        <w:rPr>
          <w:rFonts w:ascii="Times New Roman"/>
          <w:color w:val="16772B"/>
          <w:spacing w:val="-5"/>
          <w:sz w:val="18"/>
        </w:rPr>
        <w:t>(sf):</w:t>
      </w:r>
    </w:p>
    <w:p>
      <w:pPr>
        <w:spacing w:before="2"/>
        <w:ind w:left="89" w:right="857" w:firstLine="0"/>
        <w:jc w:val="both"/>
        <w:rPr>
          <w:rFonts w:ascii="Times New Roman"/>
          <w:sz w:val="18"/>
        </w:rPr>
      </w:pPr>
      <w:r>
        <w:rPr/>
        <w:br w:type="column"/>
      </w:r>
      <w:r>
        <w:rPr>
          <w:rFonts w:ascii="Times New Roman"/>
          <w:sz w:val="18"/>
        </w:rPr>
        <w:t>property is an operational office asset with approximately 360,947 sf of completed leasable area out of which approximately 77.8% is leased as on the date of valuation. Table below highlights the leasable area details for the subject development:</w:t>
      </w:r>
    </w:p>
    <w:p>
      <w:pPr>
        <w:pStyle w:val="BodyText"/>
        <w:rPr>
          <w:rFonts w:ascii="Times New Roman"/>
          <w:sz w:val="27"/>
        </w:rPr>
      </w:pPr>
    </w:p>
    <w:tbl>
      <w:tblPr>
        <w:tblW w:w="0" w:type="auto"/>
        <w:jc w:val="left"/>
        <w:tblInd w:w="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89"/>
        <w:gridCol w:w="2228"/>
        <w:gridCol w:w="2300"/>
      </w:tblGrid>
      <w:tr>
        <w:trPr>
          <w:trHeight w:val="414" w:hRule="atLeast"/>
        </w:trPr>
        <w:tc>
          <w:tcPr>
            <w:tcW w:w="3889" w:type="dxa"/>
            <w:tcBorders>
              <w:top w:val="single" w:sz="12" w:space="0" w:color="1E7504"/>
              <w:bottom w:val="single" w:sz="6" w:space="0" w:color="5FFF00"/>
            </w:tcBorders>
            <w:shd w:val="clear" w:color="auto" w:fill="16772B"/>
          </w:tcPr>
          <w:p>
            <w:pPr>
              <w:pStyle w:val="TableParagraph"/>
              <w:spacing w:before="102"/>
              <w:ind w:left="1063" w:right="814"/>
              <w:rPr>
                <w:rFonts w:ascii="Times New Roman"/>
                <w:b/>
                <w:sz w:val="18"/>
              </w:rPr>
            </w:pPr>
            <w:r>
              <w:rPr>
                <w:rFonts w:ascii="Times New Roman"/>
                <w:b/>
                <w:color w:val="FFFFFF"/>
                <w:sz w:val="18"/>
              </w:rPr>
              <w:t>Particular</w:t>
            </w:r>
          </w:p>
        </w:tc>
        <w:tc>
          <w:tcPr>
            <w:tcW w:w="2228" w:type="dxa"/>
            <w:tcBorders>
              <w:top w:val="single" w:sz="12" w:space="0" w:color="1E7504"/>
              <w:bottom w:val="single" w:sz="6" w:space="0" w:color="5FFF00"/>
            </w:tcBorders>
            <w:shd w:val="clear" w:color="auto" w:fill="16772B"/>
          </w:tcPr>
          <w:p>
            <w:pPr>
              <w:pStyle w:val="TableParagraph"/>
              <w:spacing w:before="102"/>
              <w:ind w:left="408" w:right="380"/>
              <w:rPr>
                <w:rFonts w:ascii="Times New Roman"/>
                <w:b/>
                <w:sz w:val="18"/>
              </w:rPr>
            </w:pPr>
            <w:r>
              <w:rPr>
                <w:rFonts w:ascii="Times New Roman"/>
                <w:b/>
                <w:color w:val="FFFFFF"/>
                <w:sz w:val="18"/>
              </w:rPr>
              <w:t>Leasable Area (sf)</w:t>
            </w:r>
          </w:p>
        </w:tc>
        <w:tc>
          <w:tcPr>
            <w:tcW w:w="2300" w:type="dxa"/>
            <w:tcBorders>
              <w:top w:val="single" w:sz="12" w:space="0" w:color="1E7504"/>
              <w:bottom w:val="single" w:sz="6" w:space="0" w:color="5FFF00"/>
            </w:tcBorders>
            <w:shd w:val="clear" w:color="auto" w:fill="16772B"/>
          </w:tcPr>
          <w:p>
            <w:pPr>
              <w:pStyle w:val="TableParagraph"/>
              <w:spacing w:line="206" w:lineRule="exact" w:before="2"/>
              <w:ind w:left="890" w:right="352" w:hanging="737"/>
              <w:jc w:val="left"/>
              <w:rPr>
                <w:rFonts w:ascii="Times New Roman"/>
                <w:b/>
                <w:sz w:val="18"/>
              </w:rPr>
            </w:pPr>
            <w:r>
              <w:rPr>
                <w:rFonts w:ascii="Times New Roman"/>
                <w:b/>
                <w:color w:val="FFFFFF"/>
                <w:sz w:val="18"/>
              </w:rPr>
              <w:t>Committed Occupancy (%)</w:t>
            </w:r>
          </w:p>
        </w:tc>
      </w:tr>
      <w:tr>
        <w:trPr>
          <w:trHeight w:val="205" w:hRule="atLeast"/>
        </w:trPr>
        <w:tc>
          <w:tcPr>
            <w:tcW w:w="3889" w:type="dxa"/>
            <w:tcBorders>
              <w:top w:val="single" w:sz="6" w:space="0" w:color="5FFF00"/>
              <w:bottom w:val="single" w:sz="6" w:space="0" w:color="5FFF00"/>
            </w:tcBorders>
          </w:tcPr>
          <w:p>
            <w:pPr>
              <w:pStyle w:val="TableParagraph"/>
              <w:spacing w:line="186" w:lineRule="exact"/>
              <w:ind w:left="1061" w:right="815"/>
              <w:rPr>
                <w:rFonts w:ascii="Times New Roman"/>
                <w:sz w:val="18"/>
              </w:rPr>
            </w:pPr>
            <w:r>
              <w:rPr>
                <w:rFonts w:ascii="Times New Roman"/>
                <w:sz w:val="18"/>
              </w:rPr>
              <w:t>Completed Blocks</w:t>
            </w:r>
          </w:p>
        </w:tc>
        <w:tc>
          <w:tcPr>
            <w:tcW w:w="2228" w:type="dxa"/>
            <w:tcBorders>
              <w:top w:val="single" w:sz="6" w:space="0" w:color="5FFF00"/>
              <w:bottom w:val="single" w:sz="6" w:space="0" w:color="5FFF00"/>
            </w:tcBorders>
          </w:tcPr>
          <w:p>
            <w:pPr>
              <w:pStyle w:val="TableParagraph"/>
              <w:spacing w:line="186" w:lineRule="exact"/>
              <w:ind w:left="408" w:right="379"/>
              <w:rPr>
                <w:rFonts w:ascii="Times New Roman"/>
                <w:sz w:val="18"/>
              </w:rPr>
            </w:pPr>
            <w:r>
              <w:rPr>
                <w:rFonts w:ascii="Times New Roman"/>
                <w:sz w:val="18"/>
              </w:rPr>
              <w:t>360,947</w:t>
            </w:r>
          </w:p>
        </w:tc>
        <w:tc>
          <w:tcPr>
            <w:tcW w:w="2300" w:type="dxa"/>
            <w:tcBorders>
              <w:top w:val="single" w:sz="6" w:space="0" w:color="5FFF00"/>
              <w:bottom w:val="single" w:sz="6" w:space="0" w:color="5FFF00"/>
            </w:tcBorders>
          </w:tcPr>
          <w:p>
            <w:pPr>
              <w:pStyle w:val="TableParagraph"/>
              <w:spacing w:line="186" w:lineRule="exact"/>
              <w:ind w:left="790" w:right="1004"/>
              <w:rPr>
                <w:rFonts w:ascii="Times New Roman"/>
                <w:sz w:val="18"/>
              </w:rPr>
            </w:pPr>
            <w:r>
              <w:rPr>
                <w:rFonts w:ascii="Times New Roman"/>
                <w:sz w:val="18"/>
              </w:rPr>
              <w:t>77.8%</w:t>
            </w:r>
          </w:p>
        </w:tc>
      </w:tr>
      <w:tr>
        <w:trPr>
          <w:trHeight w:val="208" w:hRule="atLeast"/>
        </w:trPr>
        <w:tc>
          <w:tcPr>
            <w:tcW w:w="3889" w:type="dxa"/>
            <w:tcBorders>
              <w:top w:val="single" w:sz="6" w:space="0" w:color="5FFF00"/>
              <w:bottom w:val="single" w:sz="6" w:space="0" w:color="5FFF00"/>
            </w:tcBorders>
          </w:tcPr>
          <w:p>
            <w:pPr>
              <w:pStyle w:val="TableParagraph"/>
              <w:spacing w:line="189" w:lineRule="exact"/>
              <w:ind w:left="1063" w:right="815"/>
              <w:rPr>
                <w:rFonts w:ascii="Times New Roman"/>
                <w:sz w:val="18"/>
              </w:rPr>
            </w:pPr>
            <w:r>
              <w:rPr>
                <w:rFonts w:ascii="Times New Roman"/>
                <w:sz w:val="18"/>
              </w:rPr>
              <w:t>Under Construction Blocks</w:t>
            </w:r>
          </w:p>
        </w:tc>
        <w:tc>
          <w:tcPr>
            <w:tcW w:w="2228" w:type="dxa"/>
            <w:tcBorders>
              <w:top w:val="single" w:sz="6" w:space="0" w:color="5FFF00"/>
              <w:bottom w:val="single" w:sz="6" w:space="0" w:color="5FFF00"/>
            </w:tcBorders>
          </w:tcPr>
          <w:p>
            <w:pPr>
              <w:pStyle w:val="TableParagraph"/>
              <w:spacing w:line="189" w:lineRule="exact"/>
              <w:ind w:left="25"/>
              <w:rPr>
                <w:rFonts w:ascii="Times New Roman"/>
                <w:sz w:val="18"/>
              </w:rPr>
            </w:pPr>
            <w:r>
              <w:rPr>
                <w:rFonts w:ascii="Times New Roman"/>
                <w:w w:val="99"/>
                <w:sz w:val="18"/>
              </w:rPr>
              <w:t>-</w:t>
            </w:r>
          </w:p>
        </w:tc>
        <w:tc>
          <w:tcPr>
            <w:tcW w:w="2300" w:type="dxa"/>
            <w:tcBorders>
              <w:top w:val="single" w:sz="6" w:space="0" w:color="5FFF00"/>
              <w:bottom w:val="single" w:sz="6" w:space="0" w:color="5FFF00"/>
            </w:tcBorders>
          </w:tcPr>
          <w:p>
            <w:pPr>
              <w:pStyle w:val="TableParagraph"/>
              <w:spacing w:line="189" w:lineRule="exact"/>
              <w:ind w:left="789" w:right="1004"/>
              <w:rPr>
                <w:rFonts w:ascii="Times New Roman"/>
                <w:sz w:val="18"/>
              </w:rPr>
            </w:pPr>
            <w:r>
              <w:rPr>
                <w:rFonts w:ascii="Times New Roman"/>
                <w:sz w:val="18"/>
              </w:rPr>
              <w:t>NA</w:t>
            </w:r>
          </w:p>
        </w:tc>
      </w:tr>
      <w:tr>
        <w:trPr>
          <w:trHeight w:val="205" w:hRule="atLeast"/>
        </w:trPr>
        <w:tc>
          <w:tcPr>
            <w:tcW w:w="3889" w:type="dxa"/>
            <w:tcBorders>
              <w:top w:val="single" w:sz="6" w:space="0" w:color="5FFF00"/>
              <w:bottom w:val="single" w:sz="6" w:space="0" w:color="5FFF00"/>
            </w:tcBorders>
          </w:tcPr>
          <w:p>
            <w:pPr>
              <w:pStyle w:val="TableParagraph"/>
              <w:spacing w:line="186" w:lineRule="exact"/>
              <w:ind w:left="1061" w:right="815"/>
              <w:rPr>
                <w:rFonts w:ascii="Times New Roman"/>
                <w:sz w:val="18"/>
              </w:rPr>
            </w:pPr>
            <w:r>
              <w:rPr>
                <w:rFonts w:ascii="Times New Roman"/>
                <w:sz w:val="18"/>
              </w:rPr>
              <w:t>Proposed Blocks</w:t>
            </w:r>
          </w:p>
        </w:tc>
        <w:tc>
          <w:tcPr>
            <w:tcW w:w="2228" w:type="dxa"/>
            <w:tcBorders>
              <w:top w:val="single" w:sz="6" w:space="0" w:color="5FFF00"/>
              <w:bottom w:val="single" w:sz="6" w:space="0" w:color="5FFF00"/>
            </w:tcBorders>
          </w:tcPr>
          <w:p>
            <w:pPr>
              <w:pStyle w:val="TableParagraph"/>
              <w:spacing w:line="186" w:lineRule="exact"/>
              <w:ind w:left="25"/>
              <w:rPr>
                <w:rFonts w:ascii="Times New Roman"/>
                <w:sz w:val="18"/>
              </w:rPr>
            </w:pPr>
            <w:r>
              <w:rPr>
                <w:rFonts w:ascii="Times New Roman"/>
                <w:w w:val="99"/>
                <w:sz w:val="18"/>
              </w:rPr>
              <w:t>-</w:t>
            </w:r>
          </w:p>
        </w:tc>
        <w:tc>
          <w:tcPr>
            <w:tcW w:w="2300" w:type="dxa"/>
            <w:tcBorders>
              <w:top w:val="single" w:sz="6" w:space="0" w:color="5FFF00"/>
              <w:bottom w:val="single" w:sz="6" w:space="0" w:color="5FFF00"/>
            </w:tcBorders>
          </w:tcPr>
          <w:p>
            <w:pPr>
              <w:pStyle w:val="TableParagraph"/>
              <w:spacing w:line="186" w:lineRule="exact"/>
              <w:ind w:left="789" w:right="1004"/>
              <w:rPr>
                <w:rFonts w:ascii="Times New Roman"/>
                <w:sz w:val="18"/>
              </w:rPr>
            </w:pPr>
            <w:r>
              <w:rPr>
                <w:rFonts w:ascii="Times New Roman"/>
                <w:sz w:val="18"/>
              </w:rPr>
              <w:t>NA</w:t>
            </w:r>
          </w:p>
        </w:tc>
      </w:tr>
      <w:tr>
        <w:trPr>
          <w:trHeight w:val="208" w:hRule="atLeast"/>
        </w:trPr>
        <w:tc>
          <w:tcPr>
            <w:tcW w:w="3889" w:type="dxa"/>
            <w:tcBorders>
              <w:top w:val="single" w:sz="6" w:space="0" w:color="5FFF00"/>
              <w:bottom w:val="single" w:sz="6" w:space="0" w:color="5FFF00"/>
            </w:tcBorders>
          </w:tcPr>
          <w:p>
            <w:pPr>
              <w:pStyle w:val="TableParagraph"/>
              <w:spacing w:line="188" w:lineRule="exact"/>
              <w:ind w:left="1063" w:right="815"/>
              <w:rPr>
                <w:rFonts w:ascii="Times New Roman"/>
                <w:b/>
                <w:sz w:val="18"/>
              </w:rPr>
            </w:pPr>
            <w:r>
              <w:rPr>
                <w:rFonts w:ascii="Times New Roman"/>
                <w:b/>
                <w:sz w:val="18"/>
              </w:rPr>
              <w:t>Total</w:t>
            </w:r>
          </w:p>
        </w:tc>
        <w:tc>
          <w:tcPr>
            <w:tcW w:w="2228" w:type="dxa"/>
            <w:tcBorders>
              <w:top w:val="single" w:sz="6" w:space="0" w:color="5FFF00"/>
              <w:bottom w:val="single" w:sz="6" w:space="0" w:color="5FFF00"/>
            </w:tcBorders>
          </w:tcPr>
          <w:p>
            <w:pPr>
              <w:pStyle w:val="TableParagraph"/>
              <w:spacing w:line="188" w:lineRule="exact"/>
              <w:ind w:left="408" w:right="380"/>
              <w:rPr>
                <w:rFonts w:ascii="Times New Roman"/>
                <w:b/>
                <w:sz w:val="18"/>
              </w:rPr>
            </w:pPr>
            <w:r>
              <w:rPr>
                <w:rFonts w:ascii="Times New Roman"/>
                <w:b/>
                <w:sz w:val="18"/>
              </w:rPr>
              <w:t>360,947</w:t>
            </w:r>
          </w:p>
        </w:tc>
        <w:tc>
          <w:tcPr>
            <w:tcW w:w="2300" w:type="dxa"/>
            <w:tcBorders>
              <w:top w:val="single" w:sz="6" w:space="0" w:color="5FFF00"/>
              <w:bottom w:val="single" w:sz="6" w:space="0" w:color="5FFF00"/>
            </w:tcBorders>
          </w:tcPr>
          <w:p>
            <w:pPr>
              <w:pStyle w:val="TableParagraph"/>
              <w:jc w:val="left"/>
              <w:rPr>
                <w:rFonts w:ascii="Times New Roman"/>
                <w:sz w:val="14"/>
              </w:rPr>
            </w:pPr>
          </w:p>
        </w:tc>
      </w:tr>
    </w:tbl>
    <w:p>
      <w:pPr>
        <w:spacing w:before="112"/>
        <w:ind w:left="89" w:right="0" w:firstLine="0"/>
        <w:jc w:val="both"/>
        <w:rPr>
          <w:rFonts w:ascii="Times New Roman"/>
          <w:sz w:val="18"/>
        </w:rPr>
      </w:pPr>
      <w:r>
        <w:rPr>
          <w:rFonts w:ascii="Times New Roman"/>
          <w:sz w:val="18"/>
        </w:rPr>
        <w:t>Source: Architect certificate, Rent roll, lease deeds;</w:t>
      </w:r>
    </w:p>
    <w:p>
      <w:pPr>
        <w:spacing w:after="0"/>
        <w:jc w:val="both"/>
        <w:rPr>
          <w:rFonts w:ascii="Times New Roman"/>
          <w:sz w:val="18"/>
        </w:rPr>
        <w:sectPr>
          <w:type w:val="continuous"/>
          <w:pgSz w:w="12240" w:h="15840"/>
          <w:pgMar w:top="800" w:bottom="280" w:left="620" w:right="580"/>
          <w:cols w:num="2" w:equalWidth="0">
            <w:col w:w="1634" w:space="40"/>
            <w:col w:w="9366"/>
          </w:cols>
        </w:sectPr>
      </w:pPr>
    </w:p>
    <w:p>
      <w:pPr>
        <w:pStyle w:val="BodyText"/>
        <w:rPr>
          <w:rFonts w:ascii="Times New Roman"/>
          <w:sz w:val="20"/>
        </w:rPr>
      </w:pPr>
    </w:p>
    <w:p>
      <w:pPr>
        <w:pStyle w:val="BodyText"/>
        <w:spacing w:before="4"/>
        <w:rPr>
          <w:rFonts w:ascii="Times New Roman"/>
          <w:sz w:val="24"/>
        </w:rPr>
      </w:pPr>
    </w:p>
    <w:p>
      <w:pPr>
        <w:spacing w:before="92"/>
        <w:ind w:left="820" w:right="9560" w:firstLine="0"/>
        <w:jc w:val="left"/>
        <w:rPr>
          <w:rFonts w:ascii="Times New Roman"/>
          <w:sz w:val="18"/>
        </w:rPr>
      </w:pPr>
      <w:r>
        <w:rPr/>
        <w:drawing>
          <wp:anchor distT="0" distB="0" distL="0" distR="0" allowOverlap="1" layoutInCell="1" locked="0" behindDoc="0" simplePos="0" relativeHeight="15765504">
            <wp:simplePos x="0" y="0"/>
            <wp:positionH relativeFrom="page">
              <wp:posOffset>1591310</wp:posOffset>
            </wp:positionH>
            <wp:positionV relativeFrom="paragraph">
              <wp:posOffset>58068</wp:posOffset>
            </wp:positionV>
            <wp:extent cx="4779010" cy="2440940"/>
            <wp:effectExtent l="0" t="0" r="0" b="0"/>
            <wp:wrapNone/>
            <wp:docPr id="21" name="image15.jpeg"/>
            <wp:cNvGraphicFramePr>
              <a:graphicFrameLocks noChangeAspect="1"/>
            </wp:cNvGraphicFramePr>
            <a:graphic>
              <a:graphicData uri="http://schemas.openxmlformats.org/drawingml/2006/picture">
                <pic:pic>
                  <pic:nvPicPr>
                    <pic:cNvPr id="22" name="image15.jpeg"/>
                    <pic:cNvPicPr/>
                  </pic:nvPicPr>
                  <pic:blipFill>
                    <a:blip r:embed="rId21" cstate="print"/>
                    <a:stretch>
                      <a:fillRect/>
                    </a:stretch>
                  </pic:blipFill>
                  <pic:spPr>
                    <a:xfrm>
                      <a:off x="0" y="0"/>
                      <a:ext cx="4779010" cy="2440940"/>
                    </a:xfrm>
                    <a:prstGeom prst="rect">
                      <a:avLst/>
                    </a:prstGeom>
                  </pic:spPr>
                </pic:pic>
              </a:graphicData>
            </a:graphic>
          </wp:anchor>
        </w:drawing>
      </w:r>
      <w:r>
        <w:rPr>
          <w:rFonts w:ascii="Times New Roman"/>
          <w:color w:val="16772B"/>
          <w:sz w:val="18"/>
        </w:rPr>
        <w:t>Location Map</w:t>
      </w:r>
    </w:p>
    <w:p>
      <w:pPr>
        <w:spacing w:after="0"/>
        <w:jc w:val="left"/>
        <w:rPr>
          <w:rFonts w:ascii="Times New Roman"/>
          <w:sz w:val="18"/>
        </w:rPr>
        <w:sectPr>
          <w:type w:val="continuous"/>
          <w:pgSz w:w="12240" w:h="15840"/>
          <w:pgMar w:top="800" w:bottom="280" w:left="620" w:right="580"/>
        </w:sectPr>
      </w:pPr>
    </w:p>
    <w:p>
      <w:pPr>
        <w:pStyle w:val="BodyText"/>
        <w:spacing w:before="1"/>
        <w:rPr>
          <w:rFonts w:ascii="Times New Roman"/>
          <w:sz w:val="19"/>
        </w:rPr>
      </w:pPr>
    </w:p>
    <w:p>
      <w:pPr>
        <w:spacing w:after="0"/>
        <w:rPr>
          <w:rFonts w:ascii="Times New Roman"/>
          <w:sz w:val="19"/>
        </w:rPr>
        <w:sectPr>
          <w:pgSz w:w="12240" w:h="15840"/>
          <w:pgMar w:header="728" w:footer="1174" w:top="1180" w:bottom="1460" w:left="620" w:right="580"/>
        </w:sectPr>
      </w:pPr>
    </w:p>
    <w:p>
      <w:pPr>
        <w:spacing w:line="242" w:lineRule="auto" w:before="92"/>
        <w:ind w:left="820" w:right="-17" w:firstLine="0"/>
        <w:jc w:val="left"/>
        <w:rPr>
          <w:rFonts w:ascii="Times New Roman"/>
          <w:sz w:val="18"/>
        </w:rPr>
      </w:pPr>
      <w:r>
        <w:rPr/>
        <w:pict>
          <v:group style="position:absolute;margin-left:119.18pt;margin-top:3.882334pt;width:420.95pt;height:36.4pt;mso-position-horizontal-relative:page;mso-position-vertical-relative:paragraph;z-index:15766016" coordorigin="2384,78" coordsize="8419,728">
            <v:shape style="position:absolute;left:2383;top:91;width:8419;height:416" coordorigin="2384,92" coordsize="8419,416" path="m8282,92l6520,92,2384,92,2384,508,6520,508,8282,508,8282,92xm10802,92l8282,92,8282,508,10802,508,10802,92xe" filled="true" fillcolor="#16772b" stroked="false">
              <v:path arrowok="t"/>
              <v:fill type="solid"/>
            </v:shape>
            <v:shape style="position:absolute;left:2383;top:77;width:8419;height:728" coordorigin="2384,78" coordsize="8419,728" path="m8282,78l6534,78,6520,78,2384,78,2384,92,6520,92,6534,92,8282,92,8282,78xm10802,508l2384,508,2384,805,10802,805,10802,508xm10802,78l8296,78,8282,78,8282,92,8296,92,10802,92,10802,78xe" filled="true" fillcolor="#5fff00" stroked="false">
              <v:path arrowok="t"/>
              <v:fill type="solid"/>
            </v:shape>
            <w10:wrap type="none"/>
          </v:group>
        </w:pict>
      </w:r>
      <w:r>
        <w:rPr>
          <w:rFonts w:ascii="Times New Roman"/>
          <w:color w:val="1E6C2C"/>
          <w:sz w:val="18"/>
        </w:rPr>
        <w:t>Key Assumptions</w:t>
      </w:r>
    </w:p>
    <w:p>
      <w:pPr>
        <w:pStyle w:val="BodyText"/>
        <w:rPr>
          <w:rFonts w:ascii="Times New Roman"/>
          <w:sz w:val="20"/>
        </w:rPr>
      </w:pPr>
      <w:r>
        <w:rPr/>
        <w:br w:type="column"/>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tabs>
          <w:tab w:pos="4150" w:val="left" w:leader="none"/>
          <w:tab w:pos="6133" w:val="left" w:leader="none"/>
        </w:tabs>
        <w:spacing w:before="123"/>
        <w:ind w:left="0" w:right="1882" w:firstLine="0"/>
        <w:jc w:val="right"/>
        <w:rPr>
          <w:rFonts w:ascii="Times New Roman" w:hAnsi="Times New Roman"/>
          <w:sz w:val="18"/>
        </w:rPr>
      </w:pPr>
      <w:r>
        <w:rPr/>
        <w:pict>
          <v:shape style="position:absolute;margin-left:119.180008pt;margin-top:16.592285pt;width:420.95pt;height:.75pt;mso-position-horizontal-relative:page;mso-position-vertical-relative:paragraph;z-index:15766528" coordorigin="2384,332" coordsize="8419,15" path="m8282,332l6534,332,6520,332,2384,332,2384,346,6520,346,6534,346,8282,346,8282,332xm10802,332l8296,332,8282,332,8282,346,8296,346,10802,346,10802,332xe" filled="true" fillcolor="#5fff00" stroked="false">
            <v:path arrowok="t"/>
            <v:fill type="solid"/>
            <w10:wrap type="none"/>
          </v:shape>
        </w:pict>
      </w:r>
      <w:r>
        <w:rPr/>
        <w:pict>
          <v:shape style="position:absolute;margin-left:119.18pt;margin-top:-99.227684pt;width:420.95pt;height:105.4pt;mso-position-horizontal-relative:page;mso-position-vertical-relative:paragraph;z-index:157675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10"/>
                    <w:gridCol w:w="2278"/>
                    <w:gridCol w:w="2231"/>
                  </w:tblGrid>
                  <w:tr>
                    <w:trPr>
                      <w:trHeight w:val="720" w:hRule="atLeast"/>
                    </w:trPr>
                    <w:tc>
                      <w:tcPr>
                        <w:tcW w:w="8419" w:type="dxa"/>
                        <w:gridSpan w:val="3"/>
                      </w:tcPr>
                      <w:p>
                        <w:pPr>
                          <w:pStyle w:val="TableParagraph"/>
                          <w:tabs>
                            <w:tab w:pos="4846" w:val="left" w:leader="none"/>
                            <w:tab w:pos="6891" w:val="left" w:leader="none"/>
                          </w:tabs>
                          <w:spacing w:before="7"/>
                          <w:ind w:left="1637"/>
                          <w:jc w:val="left"/>
                          <w:rPr>
                            <w:rFonts w:ascii="Times New Roman"/>
                            <w:b/>
                            <w:sz w:val="18"/>
                          </w:rPr>
                        </w:pPr>
                        <w:r>
                          <w:rPr>
                            <w:rFonts w:ascii="Times New Roman"/>
                            <w:b/>
                            <w:color w:val="FFFFFF"/>
                            <w:sz w:val="18"/>
                          </w:rPr>
                          <w:t>Particulars</w:t>
                          <w:tab/>
                          <w:t>Unit</w:t>
                          <w:tab/>
                          <w:t>Details</w:t>
                        </w:r>
                      </w:p>
                      <w:p>
                        <w:pPr>
                          <w:pStyle w:val="TableParagraph"/>
                          <w:spacing w:before="1"/>
                          <w:jc w:val="left"/>
                          <w:rPr>
                            <w:rFonts w:ascii="Times New Roman"/>
                            <w:b/>
                            <w:sz w:val="22"/>
                          </w:rPr>
                        </w:pPr>
                      </w:p>
                      <w:p>
                        <w:pPr>
                          <w:pStyle w:val="TableParagraph"/>
                          <w:ind w:left="2543" w:right="2541"/>
                          <w:rPr>
                            <w:rFonts w:ascii="Times New Roman"/>
                            <w:sz w:val="18"/>
                          </w:rPr>
                        </w:pPr>
                        <w:r>
                          <w:rPr>
                            <w:rFonts w:ascii="Times New Roman"/>
                            <w:sz w:val="18"/>
                          </w:rPr>
                          <w:t>Revenue assumptions (as on March 31, 2020)</w:t>
                        </w:r>
                      </w:p>
                    </w:tc>
                  </w:tr>
                  <w:tr>
                    <w:trPr>
                      <w:trHeight w:val="206" w:hRule="atLeast"/>
                    </w:trPr>
                    <w:tc>
                      <w:tcPr>
                        <w:tcW w:w="3910" w:type="dxa"/>
                        <w:tcBorders>
                          <w:bottom w:val="single" w:sz="6" w:space="0" w:color="5FFF00"/>
                        </w:tcBorders>
                      </w:tcPr>
                      <w:p>
                        <w:pPr>
                          <w:pStyle w:val="TableParagraph"/>
                          <w:spacing w:line="186" w:lineRule="exact"/>
                          <w:ind w:left="793" w:right="567"/>
                          <w:rPr>
                            <w:rFonts w:ascii="Times New Roman"/>
                            <w:sz w:val="18"/>
                          </w:rPr>
                        </w:pPr>
                        <w:r>
                          <w:rPr>
                            <w:rFonts w:ascii="Times New Roman"/>
                            <w:sz w:val="18"/>
                          </w:rPr>
                          <w:t>Lease completion</w:t>
                        </w:r>
                      </w:p>
                    </w:tc>
                    <w:tc>
                      <w:tcPr>
                        <w:tcW w:w="2278" w:type="dxa"/>
                        <w:tcBorders>
                          <w:bottom w:val="single" w:sz="6" w:space="0" w:color="5FFF00"/>
                        </w:tcBorders>
                      </w:tcPr>
                      <w:p>
                        <w:pPr>
                          <w:pStyle w:val="TableParagraph"/>
                          <w:spacing w:line="186" w:lineRule="exact"/>
                          <w:ind w:left="912" w:right="976"/>
                          <w:rPr>
                            <w:rFonts w:ascii="Times New Roman"/>
                            <w:sz w:val="18"/>
                          </w:rPr>
                        </w:pPr>
                        <w:r>
                          <w:rPr>
                            <w:rFonts w:ascii="Times New Roman"/>
                            <w:sz w:val="18"/>
                          </w:rPr>
                          <w:t>Year</w:t>
                        </w:r>
                      </w:p>
                    </w:tc>
                    <w:tc>
                      <w:tcPr>
                        <w:tcW w:w="2231" w:type="dxa"/>
                        <w:tcBorders>
                          <w:bottom w:val="single" w:sz="6" w:space="0" w:color="5FFF00"/>
                        </w:tcBorders>
                      </w:tcPr>
                      <w:p>
                        <w:pPr>
                          <w:pStyle w:val="TableParagraph"/>
                          <w:spacing w:line="186" w:lineRule="exact"/>
                          <w:ind w:left="633" w:right="921"/>
                          <w:rPr>
                            <w:rFonts w:ascii="Times New Roman"/>
                            <w:sz w:val="18"/>
                          </w:rPr>
                        </w:pPr>
                        <w:r>
                          <w:rPr>
                            <w:rFonts w:ascii="Times New Roman"/>
                            <w:sz w:val="18"/>
                          </w:rPr>
                          <w:t>FY 2022</w:t>
                        </w:r>
                      </w:p>
                    </w:tc>
                  </w:tr>
                  <w:tr>
                    <w:trPr>
                      <w:trHeight w:val="205" w:hRule="atLeast"/>
                    </w:trPr>
                    <w:tc>
                      <w:tcPr>
                        <w:tcW w:w="3910" w:type="dxa"/>
                        <w:tcBorders>
                          <w:top w:val="single" w:sz="6" w:space="0" w:color="5FFF00"/>
                          <w:bottom w:val="single" w:sz="6" w:space="0" w:color="5FFF00"/>
                        </w:tcBorders>
                      </w:tcPr>
                      <w:p>
                        <w:pPr>
                          <w:pStyle w:val="TableParagraph"/>
                          <w:spacing w:line="186" w:lineRule="exact"/>
                          <w:ind w:left="793" w:right="566"/>
                          <w:rPr>
                            <w:rFonts w:ascii="Times New Roman"/>
                            <w:sz w:val="18"/>
                          </w:rPr>
                        </w:pPr>
                        <w:r>
                          <w:rPr>
                            <w:rFonts w:ascii="Times New Roman"/>
                            <w:sz w:val="18"/>
                          </w:rPr>
                          <w:t>In-place rent</w:t>
                        </w:r>
                      </w:p>
                    </w:tc>
                    <w:tc>
                      <w:tcPr>
                        <w:tcW w:w="2278" w:type="dxa"/>
                        <w:tcBorders>
                          <w:top w:val="single" w:sz="6" w:space="0" w:color="5FFF00"/>
                          <w:bottom w:val="single" w:sz="6" w:space="0" w:color="5FFF00"/>
                        </w:tcBorders>
                      </w:tcPr>
                      <w:p>
                        <w:pPr>
                          <w:pStyle w:val="TableParagraph"/>
                          <w:spacing w:line="186" w:lineRule="exact"/>
                          <w:ind w:right="717"/>
                          <w:jc w:val="right"/>
                          <w:rPr>
                            <w:rFonts w:ascii="Times New Roman"/>
                            <w:sz w:val="18"/>
                          </w:rPr>
                        </w:pPr>
                        <w:r>
                          <w:rPr>
                            <w:rFonts w:ascii="Times New Roman"/>
                            <w:sz w:val="18"/>
                          </w:rPr>
                          <w:t>INR psf/mth</w:t>
                        </w:r>
                      </w:p>
                    </w:tc>
                    <w:tc>
                      <w:tcPr>
                        <w:tcW w:w="2231" w:type="dxa"/>
                        <w:tcBorders>
                          <w:top w:val="single" w:sz="6" w:space="0" w:color="5FFF00"/>
                          <w:bottom w:val="single" w:sz="6" w:space="0" w:color="5FFF00"/>
                        </w:tcBorders>
                      </w:tcPr>
                      <w:p>
                        <w:pPr>
                          <w:pStyle w:val="TableParagraph"/>
                          <w:spacing w:line="186" w:lineRule="exact"/>
                          <w:ind w:left="633" w:right="918"/>
                          <w:rPr>
                            <w:rFonts w:ascii="Times New Roman"/>
                            <w:sz w:val="18"/>
                          </w:rPr>
                        </w:pPr>
                        <w:r>
                          <w:rPr>
                            <w:rFonts w:ascii="Times New Roman"/>
                            <w:sz w:val="18"/>
                          </w:rPr>
                          <w:t>297^</w:t>
                        </w:r>
                      </w:p>
                    </w:tc>
                  </w:tr>
                  <w:tr>
                    <w:trPr>
                      <w:trHeight w:val="208" w:hRule="atLeast"/>
                    </w:trPr>
                    <w:tc>
                      <w:tcPr>
                        <w:tcW w:w="3910" w:type="dxa"/>
                        <w:tcBorders>
                          <w:top w:val="single" w:sz="6" w:space="0" w:color="5FFF00"/>
                          <w:bottom w:val="single" w:sz="6" w:space="0" w:color="5FFF00"/>
                        </w:tcBorders>
                      </w:tcPr>
                      <w:p>
                        <w:pPr>
                          <w:pStyle w:val="TableParagraph"/>
                          <w:spacing w:line="186" w:lineRule="exact" w:before="2"/>
                          <w:ind w:left="793" w:right="567"/>
                          <w:rPr>
                            <w:rFonts w:ascii="Times New Roman" w:hAnsi="Times New Roman"/>
                            <w:sz w:val="18"/>
                          </w:rPr>
                        </w:pPr>
                        <w:r>
                          <w:rPr>
                            <w:rFonts w:ascii="Times New Roman" w:hAnsi="Times New Roman"/>
                            <w:sz w:val="18"/>
                          </w:rPr>
                          <w:t>Marginal rent – Office Component</w:t>
                        </w:r>
                      </w:p>
                    </w:tc>
                    <w:tc>
                      <w:tcPr>
                        <w:tcW w:w="2278" w:type="dxa"/>
                        <w:tcBorders>
                          <w:top w:val="single" w:sz="6" w:space="0" w:color="5FFF00"/>
                          <w:bottom w:val="single" w:sz="6" w:space="0" w:color="5FFF00"/>
                        </w:tcBorders>
                      </w:tcPr>
                      <w:p>
                        <w:pPr>
                          <w:pStyle w:val="TableParagraph"/>
                          <w:spacing w:line="186" w:lineRule="exact" w:before="2"/>
                          <w:ind w:right="717"/>
                          <w:jc w:val="right"/>
                          <w:rPr>
                            <w:rFonts w:ascii="Times New Roman"/>
                            <w:sz w:val="18"/>
                          </w:rPr>
                        </w:pPr>
                        <w:r>
                          <w:rPr>
                            <w:rFonts w:ascii="Times New Roman"/>
                            <w:sz w:val="18"/>
                          </w:rPr>
                          <w:t>INR psf/mth</w:t>
                        </w:r>
                      </w:p>
                    </w:tc>
                    <w:tc>
                      <w:tcPr>
                        <w:tcW w:w="2231" w:type="dxa"/>
                        <w:tcBorders>
                          <w:top w:val="single" w:sz="6" w:space="0" w:color="5FFF00"/>
                          <w:bottom w:val="single" w:sz="6" w:space="0" w:color="5FFF00"/>
                        </w:tcBorders>
                      </w:tcPr>
                      <w:p>
                        <w:pPr>
                          <w:pStyle w:val="TableParagraph"/>
                          <w:spacing w:line="186" w:lineRule="exact" w:before="2"/>
                          <w:ind w:left="633" w:right="921"/>
                          <w:rPr>
                            <w:rFonts w:ascii="Times New Roman"/>
                            <w:sz w:val="18"/>
                          </w:rPr>
                        </w:pPr>
                        <w:r>
                          <w:rPr>
                            <w:rFonts w:ascii="Times New Roman"/>
                            <w:sz w:val="18"/>
                          </w:rPr>
                          <w:t>285</w:t>
                        </w:r>
                      </w:p>
                    </w:tc>
                  </w:tr>
                  <w:tr>
                    <w:trPr>
                      <w:trHeight w:val="205" w:hRule="atLeast"/>
                    </w:trPr>
                    <w:tc>
                      <w:tcPr>
                        <w:tcW w:w="3910" w:type="dxa"/>
                        <w:tcBorders>
                          <w:top w:val="single" w:sz="6" w:space="0" w:color="5FFF00"/>
                          <w:bottom w:val="single" w:sz="6" w:space="0" w:color="5FFF00"/>
                        </w:tcBorders>
                      </w:tcPr>
                      <w:p>
                        <w:pPr>
                          <w:pStyle w:val="TableParagraph"/>
                          <w:spacing w:line="186" w:lineRule="exact"/>
                          <w:ind w:left="793" w:right="567"/>
                          <w:rPr>
                            <w:rFonts w:ascii="Times New Roman" w:hAnsi="Times New Roman"/>
                            <w:sz w:val="18"/>
                          </w:rPr>
                        </w:pPr>
                        <w:r>
                          <w:rPr>
                            <w:rFonts w:ascii="Times New Roman" w:hAnsi="Times New Roman"/>
                            <w:sz w:val="18"/>
                          </w:rPr>
                          <w:t>Marginal rent – Retail</w:t>
                        </w:r>
                      </w:p>
                    </w:tc>
                    <w:tc>
                      <w:tcPr>
                        <w:tcW w:w="2278" w:type="dxa"/>
                        <w:tcBorders>
                          <w:top w:val="single" w:sz="6" w:space="0" w:color="5FFF00"/>
                          <w:bottom w:val="single" w:sz="6" w:space="0" w:color="5FFF00"/>
                        </w:tcBorders>
                      </w:tcPr>
                      <w:p>
                        <w:pPr>
                          <w:pStyle w:val="TableParagraph"/>
                          <w:spacing w:line="186" w:lineRule="exact"/>
                          <w:ind w:right="717"/>
                          <w:jc w:val="right"/>
                          <w:rPr>
                            <w:rFonts w:ascii="Times New Roman"/>
                            <w:sz w:val="18"/>
                          </w:rPr>
                        </w:pPr>
                        <w:r>
                          <w:rPr>
                            <w:rFonts w:ascii="Times New Roman"/>
                            <w:sz w:val="18"/>
                          </w:rPr>
                          <w:t>INR psf/mth</w:t>
                        </w:r>
                      </w:p>
                    </w:tc>
                    <w:tc>
                      <w:tcPr>
                        <w:tcW w:w="2231" w:type="dxa"/>
                        <w:tcBorders>
                          <w:top w:val="single" w:sz="6" w:space="0" w:color="5FFF00"/>
                          <w:bottom w:val="single" w:sz="6" w:space="0" w:color="5FFF00"/>
                        </w:tcBorders>
                      </w:tcPr>
                      <w:p>
                        <w:pPr>
                          <w:pStyle w:val="TableParagraph"/>
                          <w:spacing w:line="186" w:lineRule="exact"/>
                          <w:ind w:left="632" w:right="921"/>
                          <w:rPr>
                            <w:rFonts w:ascii="Times New Roman"/>
                            <w:sz w:val="18"/>
                          </w:rPr>
                        </w:pPr>
                        <w:r>
                          <w:rPr>
                            <w:rFonts w:ascii="Times New Roman"/>
                            <w:sz w:val="18"/>
                          </w:rPr>
                          <w:t>314</w:t>
                        </w:r>
                      </w:p>
                    </w:tc>
                  </w:tr>
                  <w:tr>
                    <w:trPr>
                      <w:trHeight w:val="209" w:hRule="atLeast"/>
                    </w:trPr>
                    <w:tc>
                      <w:tcPr>
                        <w:tcW w:w="3910" w:type="dxa"/>
                        <w:tcBorders>
                          <w:top w:val="single" w:sz="6" w:space="0" w:color="5FFF00"/>
                        </w:tcBorders>
                      </w:tcPr>
                      <w:p>
                        <w:pPr>
                          <w:pStyle w:val="TableParagraph"/>
                          <w:spacing w:line="186" w:lineRule="exact" w:before="2"/>
                          <w:ind w:left="792" w:right="567"/>
                          <w:rPr>
                            <w:rFonts w:ascii="Times New Roman"/>
                            <w:sz w:val="18"/>
                          </w:rPr>
                        </w:pPr>
                        <w:r>
                          <w:rPr>
                            <w:rFonts w:ascii="Times New Roman"/>
                            <w:sz w:val="18"/>
                          </w:rPr>
                          <w:t>Parking rent (Effective)</w:t>
                        </w:r>
                      </w:p>
                    </w:tc>
                    <w:tc>
                      <w:tcPr>
                        <w:tcW w:w="2278" w:type="dxa"/>
                        <w:tcBorders>
                          <w:top w:val="single" w:sz="6" w:space="0" w:color="5FFF00"/>
                        </w:tcBorders>
                      </w:tcPr>
                      <w:p>
                        <w:pPr>
                          <w:pStyle w:val="TableParagraph"/>
                          <w:spacing w:line="186" w:lineRule="exact" w:before="2"/>
                          <w:ind w:right="649"/>
                          <w:jc w:val="right"/>
                          <w:rPr>
                            <w:rFonts w:ascii="Times New Roman"/>
                            <w:sz w:val="18"/>
                          </w:rPr>
                        </w:pPr>
                        <w:r>
                          <w:rPr>
                            <w:rFonts w:ascii="Times New Roman"/>
                            <w:sz w:val="18"/>
                          </w:rPr>
                          <w:t>INR / bay/mth</w:t>
                        </w:r>
                      </w:p>
                    </w:tc>
                    <w:tc>
                      <w:tcPr>
                        <w:tcW w:w="2231" w:type="dxa"/>
                        <w:tcBorders>
                          <w:top w:val="single" w:sz="6" w:space="0" w:color="5FFF00"/>
                        </w:tcBorders>
                      </w:tcPr>
                      <w:p>
                        <w:pPr>
                          <w:pStyle w:val="TableParagraph"/>
                          <w:spacing w:line="186" w:lineRule="exact" w:before="2"/>
                          <w:ind w:right="290"/>
                          <w:rPr>
                            <w:rFonts w:ascii="Times New Roman"/>
                            <w:sz w:val="18"/>
                          </w:rPr>
                        </w:pPr>
                        <w:r>
                          <w:rPr>
                            <w:rFonts w:ascii="Times New Roman"/>
                            <w:w w:val="99"/>
                            <w:sz w:val="18"/>
                          </w:rPr>
                          <w:t>-</w:t>
                        </w:r>
                      </w:p>
                    </w:tc>
                  </w:tr>
                  <w:tr>
                    <w:trPr>
                      <w:trHeight w:val="292" w:hRule="atLeast"/>
                    </w:trPr>
                    <w:tc>
                      <w:tcPr>
                        <w:tcW w:w="8419" w:type="dxa"/>
                        <w:gridSpan w:val="3"/>
                        <w:shd w:val="clear" w:color="auto" w:fill="5FFF00"/>
                      </w:tcPr>
                      <w:p>
                        <w:pPr>
                          <w:pStyle w:val="TableParagraph"/>
                          <w:spacing w:before="50"/>
                          <w:ind w:left="2540" w:right="2541"/>
                          <w:rPr>
                            <w:rFonts w:ascii="Times New Roman"/>
                            <w:sz w:val="18"/>
                          </w:rPr>
                        </w:pPr>
                        <w:r>
                          <w:rPr>
                            <w:rFonts w:ascii="Times New Roman"/>
                            <w:sz w:val="18"/>
                          </w:rPr>
                          <w:t>Other financial assumptions</w:t>
                        </w:r>
                      </w:p>
                    </w:tc>
                  </w:tr>
                </w:tbl>
                <w:p>
                  <w:pPr>
                    <w:pStyle w:val="BodyText"/>
                  </w:pPr>
                </w:p>
              </w:txbxContent>
            </v:textbox>
            <w10:wrap type="none"/>
          </v:shape>
        </w:pict>
      </w:r>
      <w:r>
        <w:rPr>
          <w:rFonts w:ascii="Times New Roman" w:hAnsi="Times New Roman"/>
          <w:sz w:val="18"/>
        </w:rPr>
        <w:t>Cap rate –</w:t>
      </w:r>
      <w:r>
        <w:rPr>
          <w:rFonts w:ascii="Times New Roman" w:hAnsi="Times New Roman"/>
          <w:spacing w:val="-2"/>
          <w:sz w:val="18"/>
        </w:rPr>
        <w:t> </w:t>
      </w:r>
      <w:r>
        <w:rPr>
          <w:rFonts w:ascii="Times New Roman" w:hAnsi="Times New Roman"/>
          <w:sz w:val="18"/>
        </w:rPr>
        <w:t>commercial</w:t>
      </w:r>
      <w:r>
        <w:rPr>
          <w:rFonts w:ascii="Times New Roman" w:hAnsi="Times New Roman"/>
          <w:spacing w:val="-2"/>
          <w:sz w:val="18"/>
        </w:rPr>
        <w:t> </w:t>
      </w:r>
      <w:r>
        <w:rPr>
          <w:rFonts w:ascii="Times New Roman" w:hAnsi="Times New Roman"/>
          <w:sz w:val="18"/>
        </w:rPr>
        <w:t>components</w:t>
        <w:tab/>
        <w:t>%</w:t>
        <w:tab/>
        <w:t>7.75%</w:t>
      </w:r>
    </w:p>
    <w:p>
      <w:pPr>
        <w:tabs>
          <w:tab w:pos="3789" w:val="left" w:leader="none"/>
          <w:tab w:pos="5727" w:val="left" w:leader="none"/>
        </w:tabs>
        <w:spacing w:before="16"/>
        <w:ind w:left="0" w:right="1838" w:firstLine="0"/>
        <w:jc w:val="right"/>
        <w:rPr>
          <w:rFonts w:ascii="Times New Roman"/>
          <w:sz w:val="18"/>
        </w:rPr>
      </w:pPr>
      <w:r>
        <w:rPr/>
        <w:pict>
          <v:shape style="position:absolute;margin-left:119.180008pt;margin-top:11.122313pt;width:420.95pt;height:.75pt;mso-position-horizontal-relative:page;mso-position-vertical-relative:paragraph;z-index:15767040" coordorigin="2384,222" coordsize="8419,15" path="m8282,222l6534,222,6520,222,2384,222,2384,237,6520,237,6534,237,8282,237,8282,222xm10802,222l8296,222,8282,222,8282,237,8296,237,10802,237,10802,222xe" filled="true" fillcolor="#5fff00" stroked="false">
            <v:path arrowok="t"/>
            <v:fill type="solid"/>
            <w10:wrap type="none"/>
          </v:shape>
        </w:pict>
      </w:r>
      <w:r>
        <w:rPr>
          <w:rFonts w:ascii="Times New Roman"/>
          <w:sz w:val="18"/>
        </w:rPr>
        <w:t>WACC</w:t>
      </w:r>
      <w:r>
        <w:rPr>
          <w:rFonts w:ascii="Times New Roman"/>
          <w:spacing w:val="-1"/>
          <w:sz w:val="18"/>
        </w:rPr>
        <w:t> </w:t>
      </w:r>
      <w:r>
        <w:rPr>
          <w:rFonts w:ascii="Times New Roman"/>
          <w:sz w:val="18"/>
        </w:rPr>
        <w:t>rate</w:t>
      </w:r>
      <w:r>
        <w:rPr>
          <w:rFonts w:ascii="Times New Roman"/>
          <w:spacing w:val="-1"/>
          <w:sz w:val="18"/>
        </w:rPr>
        <w:t> </w:t>
      </w:r>
      <w:r>
        <w:rPr>
          <w:rFonts w:ascii="Times New Roman"/>
          <w:sz w:val="18"/>
        </w:rPr>
        <w:t>(operational)</w:t>
        <w:tab/>
        <w:t>%</w:t>
        <w:tab/>
      </w:r>
      <w:r>
        <w:rPr>
          <w:rFonts w:ascii="Times New Roman"/>
          <w:spacing w:val="-1"/>
          <w:sz w:val="18"/>
        </w:rPr>
        <w:t>12.03%</w:t>
      </w:r>
    </w:p>
    <w:p>
      <w:pPr>
        <w:spacing w:before="134"/>
        <w:ind w:left="-40" w:right="0" w:firstLine="0"/>
        <w:jc w:val="left"/>
        <w:rPr>
          <w:rFonts w:ascii="Times New Roman"/>
          <w:i/>
          <w:sz w:val="18"/>
        </w:rPr>
      </w:pPr>
      <w:r>
        <w:rPr>
          <w:rFonts w:ascii="Times New Roman"/>
          <w:i/>
          <w:sz w:val="18"/>
        </w:rPr>
        <w:t>^denotes the weighted average rentals for leased office/retail spaces</w:t>
      </w:r>
    </w:p>
    <w:p>
      <w:pPr>
        <w:spacing w:after="0"/>
        <w:jc w:val="left"/>
        <w:rPr>
          <w:rFonts w:ascii="Times New Roman"/>
          <w:sz w:val="18"/>
        </w:rPr>
        <w:sectPr>
          <w:type w:val="continuous"/>
          <w:pgSz w:w="12240" w:h="15840"/>
          <w:pgMar w:top="800" w:bottom="280" w:left="620" w:right="580"/>
          <w:cols w:num="2" w:equalWidth="0">
            <w:col w:w="1764" w:space="40"/>
            <w:col w:w="9236"/>
          </w:cols>
        </w:sectPr>
      </w:pPr>
    </w:p>
    <w:p>
      <w:pPr>
        <w:pStyle w:val="BodyText"/>
        <w:spacing w:before="9"/>
        <w:rPr>
          <w:rFonts w:ascii="Times New Roman"/>
          <w:i/>
          <w:sz w:val="12"/>
        </w:rPr>
      </w:pPr>
    </w:p>
    <w:p>
      <w:pPr>
        <w:spacing w:after="0"/>
        <w:rPr>
          <w:rFonts w:ascii="Times New Roman"/>
          <w:sz w:val="12"/>
        </w:rPr>
        <w:sectPr>
          <w:type w:val="continuous"/>
          <w:pgSz w:w="12240" w:h="15840"/>
          <w:pgMar w:top="800" w:bottom="280" w:left="620" w:right="580"/>
        </w:sectPr>
      </w:pPr>
    </w:p>
    <w:p>
      <w:pPr>
        <w:spacing w:before="92"/>
        <w:ind w:left="820" w:right="-19" w:firstLine="0"/>
        <w:jc w:val="left"/>
        <w:rPr>
          <w:rFonts w:ascii="Times New Roman"/>
          <w:sz w:val="18"/>
        </w:rPr>
      </w:pPr>
      <w:r>
        <w:rPr>
          <w:rFonts w:ascii="Times New Roman"/>
          <w:color w:val="1E6C2C"/>
          <w:sz w:val="18"/>
        </w:rPr>
        <w:t>Market Value:</w:t>
      </w:r>
    </w:p>
    <w:p>
      <w:pPr>
        <w:spacing w:before="92"/>
        <w:ind w:left="383" w:right="0" w:firstLine="0"/>
        <w:jc w:val="left"/>
        <w:rPr>
          <w:rFonts w:ascii="Times New Roman"/>
          <w:b/>
          <w:sz w:val="18"/>
        </w:rPr>
      </w:pPr>
      <w:r>
        <w:rPr/>
        <w:br w:type="column"/>
      </w:r>
      <w:r>
        <w:rPr>
          <w:rFonts w:ascii="Times New Roman"/>
          <w:b/>
          <w:sz w:val="18"/>
        </w:rPr>
        <w:t>INR 13,911 Mn</w:t>
      </w:r>
    </w:p>
    <w:p>
      <w:pPr>
        <w:spacing w:after="0"/>
        <w:jc w:val="left"/>
        <w:rPr>
          <w:rFonts w:ascii="Times New Roman"/>
          <w:sz w:val="18"/>
        </w:rPr>
        <w:sectPr>
          <w:type w:val="continuous"/>
          <w:pgSz w:w="12240" w:h="15840"/>
          <w:pgMar w:top="800" w:bottom="280" w:left="620" w:right="580"/>
          <w:cols w:num="2" w:equalWidth="0">
            <w:col w:w="1341" w:space="40"/>
            <w:col w:w="9659"/>
          </w:cols>
        </w:sectPr>
      </w:pPr>
    </w:p>
    <w:p>
      <w:pPr>
        <w:pStyle w:val="BodyText"/>
        <w:rPr>
          <w:rFonts w:ascii="Times New Roman"/>
          <w:b/>
          <w:sz w:val="18"/>
        </w:rPr>
      </w:pPr>
    </w:p>
    <w:p>
      <w:pPr>
        <w:pStyle w:val="ListParagraph"/>
        <w:numPr>
          <w:ilvl w:val="1"/>
          <w:numId w:val="1"/>
        </w:numPr>
        <w:tabs>
          <w:tab w:pos="1188" w:val="left" w:leader="none"/>
        </w:tabs>
        <w:spacing w:line="240" w:lineRule="auto" w:before="91" w:after="0"/>
        <w:ind w:left="1187" w:right="0" w:hanging="368"/>
        <w:jc w:val="left"/>
        <w:rPr>
          <w:rFonts w:ascii="Times New Roman"/>
          <w:color w:val="1E6C28"/>
          <w:sz w:val="20"/>
        </w:rPr>
      </w:pPr>
      <w:r>
        <w:rPr>
          <w:rFonts w:ascii="Times New Roman"/>
          <w:color w:val="1E6C28"/>
          <w:sz w:val="20"/>
        </w:rPr>
        <w:t>Embassy</w:t>
      </w:r>
      <w:r>
        <w:rPr>
          <w:rFonts w:ascii="Times New Roman"/>
          <w:color w:val="1E6C28"/>
          <w:spacing w:val="1"/>
          <w:sz w:val="20"/>
        </w:rPr>
        <w:t> </w:t>
      </w:r>
      <w:r>
        <w:rPr>
          <w:rFonts w:ascii="Times New Roman"/>
          <w:color w:val="1E6C28"/>
          <w:sz w:val="20"/>
        </w:rPr>
        <w:t>TechZone</w:t>
      </w:r>
    </w:p>
    <w:p>
      <w:pPr>
        <w:pStyle w:val="BodyText"/>
        <w:rPr>
          <w:rFonts w:ascii="Times New Roman"/>
          <w:sz w:val="24"/>
        </w:rPr>
      </w:pPr>
    </w:p>
    <w:p>
      <w:pPr>
        <w:spacing w:before="0"/>
        <w:ind w:left="1626" w:right="308" w:hanging="1362"/>
        <w:jc w:val="both"/>
        <w:rPr>
          <w:rFonts w:ascii="Times New Roman" w:hAnsi="Times New Roman"/>
          <w:sz w:val="18"/>
        </w:rPr>
      </w:pPr>
      <w:r>
        <w:rPr>
          <w:rFonts w:ascii="Times New Roman" w:hAnsi="Times New Roman"/>
          <w:color w:val="16772B"/>
          <w:sz w:val="18"/>
        </w:rPr>
        <w:t>Property Name: </w:t>
      </w:r>
      <w:r>
        <w:rPr>
          <w:rFonts w:ascii="Times New Roman" w:hAnsi="Times New Roman"/>
          <w:sz w:val="18"/>
        </w:rPr>
        <w:t>‘Embassy TechZone’ is an operational office asset located in Phase 2, Rajiv Gandhi Infotech Park, Hinjewadi, Pune, Maharashtra</w:t>
      </w:r>
    </w:p>
    <w:p>
      <w:pPr>
        <w:spacing w:before="119"/>
        <w:ind w:left="1626" w:right="302" w:hanging="1362"/>
        <w:jc w:val="both"/>
        <w:rPr>
          <w:rFonts w:ascii="Times New Roman"/>
          <w:sz w:val="18"/>
        </w:rPr>
      </w:pPr>
      <w:r>
        <w:rPr>
          <w:rFonts w:ascii="Times New Roman"/>
          <w:color w:val="16772B"/>
          <w:sz w:val="18"/>
        </w:rPr>
        <w:t>Property Address: </w:t>
      </w:r>
      <w:r>
        <w:rPr>
          <w:rFonts w:ascii="Times New Roman"/>
          <w:sz w:val="18"/>
        </w:rPr>
        <w:t>Plot No. 3/A and Plot No. 3/B, Rajiv Gandhi Infotech Park, Hinjewadi, Phase-II, Village Marunji, Taluka Mulshi, District Pune, Maharashtra</w:t>
      </w:r>
    </w:p>
    <w:p>
      <w:pPr>
        <w:tabs>
          <w:tab w:pos="1626" w:val="left" w:leader="none"/>
        </w:tabs>
        <w:spacing w:before="121"/>
        <w:ind w:left="1626" w:right="303" w:hanging="1362"/>
        <w:jc w:val="both"/>
        <w:rPr>
          <w:rFonts w:ascii="Times New Roman"/>
          <w:sz w:val="18"/>
        </w:rPr>
      </w:pPr>
      <w:r>
        <w:rPr>
          <w:rFonts w:ascii="Times New Roman"/>
          <w:color w:val="16772B"/>
          <w:sz w:val="18"/>
        </w:rPr>
        <w:t>Land Area:</w:t>
        <w:tab/>
      </w:r>
      <w:r>
        <w:rPr>
          <w:rFonts w:ascii="Times New Roman"/>
          <w:sz w:val="18"/>
        </w:rPr>
        <w:t>Based on review of the title report, the Valuer understands that the total land area of the subject property under the ownership of the Client is approximately 67.45</w:t>
      </w:r>
      <w:r>
        <w:rPr>
          <w:rFonts w:ascii="Times New Roman"/>
          <w:spacing w:val="-5"/>
          <w:sz w:val="18"/>
        </w:rPr>
        <w:t> </w:t>
      </w:r>
      <w:r>
        <w:rPr>
          <w:rFonts w:ascii="Times New Roman"/>
          <w:sz w:val="18"/>
        </w:rPr>
        <w:t>acres</w:t>
      </w:r>
    </w:p>
    <w:p>
      <w:pPr>
        <w:spacing w:before="119"/>
        <w:ind w:left="1626" w:right="306" w:hanging="1362"/>
        <w:jc w:val="both"/>
        <w:rPr>
          <w:rFonts w:ascii="Times New Roman" w:hAnsi="Times New Roman"/>
          <w:sz w:val="18"/>
        </w:rPr>
      </w:pPr>
      <w:r>
        <w:rPr>
          <w:rFonts w:ascii="Times New Roman" w:hAnsi="Times New Roman"/>
          <w:color w:val="16772B"/>
          <w:sz w:val="18"/>
        </w:rPr>
        <w:t>Brief Description: </w:t>
      </w:r>
      <w:r>
        <w:rPr>
          <w:rFonts w:ascii="Times New Roman" w:hAnsi="Times New Roman"/>
          <w:sz w:val="18"/>
        </w:rPr>
        <w:t>‘Embassy TechZone’, has been conceptualized as an office asset spread across a total land area of approximately 67.45 acres. The property is an office asset leased to various tenants and is also well equipped with number of facilities and amenities like food court, amphitheater, intra park shuttles, gymnasium, multilevel car parking, sports ground, etc. The area details of the property are as follows:</w:t>
      </w:r>
    </w:p>
    <w:p>
      <w:pPr>
        <w:pStyle w:val="BodyText"/>
        <w:spacing w:before="1" w:after="1"/>
        <w:rPr>
          <w:rFonts w:ascii="Times New Roman"/>
          <w:sz w:val="27"/>
        </w:rPr>
      </w:pPr>
    </w:p>
    <w:tbl>
      <w:tblPr>
        <w:tblW w:w="0" w:type="auto"/>
        <w:jc w:val="left"/>
        <w:tblInd w:w="1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49"/>
        <w:gridCol w:w="3459"/>
      </w:tblGrid>
      <w:tr>
        <w:trPr>
          <w:trHeight w:val="364" w:hRule="atLeast"/>
        </w:trPr>
        <w:tc>
          <w:tcPr>
            <w:tcW w:w="5649" w:type="dxa"/>
            <w:tcBorders>
              <w:top w:val="single" w:sz="12" w:space="0" w:color="16772B"/>
              <w:bottom w:val="single" w:sz="8" w:space="0" w:color="999999"/>
            </w:tcBorders>
          </w:tcPr>
          <w:p>
            <w:pPr>
              <w:pStyle w:val="TableParagraph"/>
              <w:spacing w:line="206" w:lineRule="exact"/>
              <w:ind w:left="583" w:right="734"/>
              <w:rPr>
                <w:rFonts w:ascii="Times New Roman"/>
                <w:b/>
                <w:i/>
                <w:sz w:val="18"/>
              </w:rPr>
            </w:pPr>
            <w:r>
              <w:rPr>
                <w:rFonts w:ascii="Times New Roman"/>
                <w:b/>
                <w:i/>
                <w:color w:val="16772B"/>
                <w:sz w:val="18"/>
              </w:rPr>
              <w:t>Particulars</w:t>
            </w:r>
          </w:p>
        </w:tc>
        <w:tc>
          <w:tcPr>
            <w:tcW w:w="3459" w:type="dxa"/>
            <w:tcBorders>
              <w:top w:val="single" w:sz="12" w:space="0" w:color="16772B"/>
              <w:bottom w:val="single" w:sz="8" w:space="0" w:color="999999"/>
            </w:tcBorders>
          </w:tcPr>
          <w:p>
            <w:pPr>
              <w:pStyle w:val="TableParagraph"/>
              <w:spacing w:line="206" w:lineRule="exact"/>
              <w:ind w:left="744" w:right="1149"/>
              <w:rPr>
                <w:rFonts w:ascii="Times New Roman"/>
                <w:b/>
                <w:i/>
                <w:sz w:val="18"/>
              </w:rPr>
            </w:pPr>
            <w:r>
              <w:rPr>
                <w:rFonts w:ascii="Times New Roman"/>
                <w:b/>
                <w:i/>
                <w:color w:val="16772B"/>
                <w:sz w:val="18"/>
              </w:rPr>
              <w:t>Leasable area (in sf)</w:t>
            </w:r>
          </w:p>
        </w:tc>
      </w:tr>
      <w:tr>
        <w:trPr>
          <w:trHeight w:val="212" w:hRule="atLeast"/>
        </w:trPr>
        <w:tc>
          <w:tcPr>
            <w:tcW w:w="5649" w:type="dxa"/>
            <w:tcBorders>
              <w:top w:val="single" w:sz="8" w:space="0" w:color="999999"/>
            </w:tcBorders>
          </w:tcPr>
          <w:p>
            <w:pPr>
              <w:pStyle w:val="TableParagraph"/>
              <w:spacing w:line="191" w:lineRule="exact" w:before="2"/>
              <w:ind w:left="583" w:right="740"/>
              <w:rPr>
                <w:rFonts w:ascii="Times New Roman"/>
                <w:sz w:val="18"/>
              </w:rPr>
            </w:pPr>
            <w:r>
              <w:rPr>
                <w:rFonts w:ascii="Times New Roman"/>
                <w:sz w:val="18"/>
              </w:rPr>
              <w:t>Completed Leasable Area</w:t>
            </w:r>
          </w:p>
        </w:tc>
        <w:tc>
          <w:tcPr>
            <w:tcW w:w="3459" w:type="dxa"/>
            <w:tcBorders>
              <w:top w:val="single" w:sz="8" w:space="0" w:color="999999"/>
            </w:tcBorders>
          </w:tcPr>
          <w:p>
            <w:pPr>
              <w:pStyle w:val="TableParagraph"/>
              <w:spacing w:line="191" w:lineRule="exact" w:before="2"/>
              <w:ind w:left="740" w:right="1149"/>
              <w:rPr>
                <w:rFonts w:ascii="Times New Roman"/>
                <w:sz w:val="18"/>
              </w:rPr>
            </w:pPr>
            <w:r>
              <w:rPr>
                <w:rFonts w:ascii="Times New Roman"/>
                <w:sz w:val="18"/>
              </w:rPr>
              <w:t>2,160,055</w:t>
            </w:r>
          </w:p>
        </w:tc>
      </w:tr>
      <w:tr>
        <w:trPr>
          <w:trHeight w:val="202" w:hRule="atLeast"/>
        </w:trPr>
        <w:tc>
          <w:tcPr>
            <w:tcW w:w="5649" w:type="dxa"/>
            <w:tcBorders>
              <w:bottom w:val="single" w:sz="6" w:space="0" w:color="000000"/>
            </w:tcBorders>
          </w:tcPr>
          <w:p>
            <w:pPr>
              <w:pStyle w:val="TableParagraph"/>
              <w:spacing w:line="182" w:lineRule="exact"/>
              <w:ind w:left="583" w:right="741"/>
              <w:rPr>
                <w:rFonts w:ascii="Times New Roman"/>
                <w:sz w:val="18"/>
              </w:rPr>
            </w:pPr>
            <w:r>
              <w:rPr>
                <w:rFonts w:ascii="Times New Roman"/>
                <w:sz w:val="18"/>
              </w:rPr>
              <w:t>Under Construction/ Proposed Development Leasable Area</w:t>
            </w:r>
          </w:p>
        </w:tc>
        <w:tc>
          <w:tcPr>
            <w:tcW w:w="3459" w:type="dxa"/>
            <w:tcBorders>
              <w:bottom w:val="single" w:sz="6" w:space="0" w:color="000000"/>
            </w:tcBorders>
          </w:tcPr>
          <w:p>
            <w:pPr>
              <w:pStyle w:val="TableParagraph"/>
              <w:spacing w:line="182" w:lineRule="exact"/>
              <w:ind w:left="740" w:right="1149"/>
              <w:rPr>
                <w:rFonts w:ascii="Times New Roman"/>
                <w:sz w:val="18"/>
              </w:rPr>
            </w:pPr>
            <w:r>
              <w:rPr>
                <w:rFonts w:ascii="Times New Roman"/>
                <w:sz w:val="18"/>
              </w:rPr>
              <w:t>3,312,891</w:t>
            </w:r>
          </w:p>
        </w:tc>
      </w:tr>
      <w:tr>
        <w:trPr>
          <w:trHeight w:val="208" w:hRule="atLeast"/>
        </w:trPr>
        <w:tc>
          <w:tcPr>
            <w:tcW w:w="5649" w:type="dxa"/>
            <w:tcBorders>
              <w:top w:val="single" w:sz="6" w:space="0" w:color="000000"/>
              <w:bottom w:val="single" w:sz="6" w:space="0" w:color="000000"/>
            </w:tcBorders>
          </w:tcPr>
          <w:p>
            <w:pPr>
              <w:pStyle w:val="TableParagraph"/>
              <w:spacing w:line="188" w:lineRule="exact"/>
              <w:ind w:left="583" w:right="738"/>
              <w:rPr>
                <w:rFonts w:ascii="Times New Roman"/>
                <w:b/>
                <w:sz w:val="18"/>
              </w:rPr>
            </w:pPr>
            <w:r>
              <w:rPr>
                <w:rFonts w:ascii="Times New Roman"/>
                <w:b/>
                <w:sz w:val="18"/>
              </w:rPr>
              <w:t>Total</w:t>
            </w:r>
          </w:p>
        </w:tc>
        <w:tc>
          <w:tcPr>
            <w:tcW w:w="3459" w:type="dxa"/>
            <w:tcBorders>
              <w:top w:val="single" w:sz="6" w:space="0" w:color="000000"/>
              <w:bottom w:val="single" w:sz="6" w:space="0" w:color="000000"/>
            </w:tcBorders>
          </w:tcPr>
          <w:p>
            <w:pPr>
              <w:pStyle w:val="TableParagraph"/>
              <w:spacing w:line="188" w:lineRule="exact"/>
              <w:ind w:left="740" w:right="1149"/>
              <w:rPr>
                <w:rFonts w:ascii="Times New Roman"/>
                <w:b/>
                <w:sz w:val="18"/>
              </w:rPr>
            </w:pPr>
            <w:r>
              <w:rPr>
                <w:rFonts w:ascii="Times New Roman"/>
                <w:b/>
                <w:sz w:val="18"/>
              </w:rPr>
              <w:t>5,472,946</w:t>
            </w:r>
          </w:p>
        </w:tc>
      </w:tr>
    </w:tbl>
    <w:p>
      <w:pPr>
        <w:pStyle w:val="BodyText"/>
        <w:spacing w:before="1"/>
        <w:rPr>
          <w:rFonts w:ascii="Times New Roman"/>
          <w:sz w:val="6"/>
        </w:rPr>
      </w:pPr>
    </w:p>
    <w:p>
      <w:pPr>
        <w:spacing w:after="0"/>
        <w:rPr>
          <w:rFonts w:ascii="Times New Roman"/>
          <w:sz w:val="6"/>
        </w:rPr>
        <w:sectPr>
          <w:pgSz w:w="12240" w:h="15840"/>
          <w:pgMar w:header="728" w:footer="1174" w:top="1180" w:bottom="1460" w:left="620" w:right="580"/>
        </w:sect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17"/>
        </w:rPr>
      </w:pPr>
    </w:p>
    <w:p>
      <w:pPr>
        <w:spacing w:before="0"/>
        <w:ind w:left="265" w:right="22" w:firstLine="0"/>
        <w:jc w:val="left"/>
        <w:rPr>
          <w:rFonts w:ascii="Times New Roman"/>
          <w:sz w:val="18"/>
        </w:rPr>
      </w:pPr>
      <w:r>
        <w:rPr>
          <w:rFonts w:ascii="Times New Roman"/>
          <w:color w:val="16772B"/>
          <w:sz w:val="18"/>
        </w:rPr>
        <w:t>Statement of Assets (sf):</w:t>
      </w:r>
    </w:p>
    <w:p>
      <w:pPr>
        <w:spacing w:before="42"/>
        <w:ind w:left="265" w:right="0" w:firstLine="0"/>
        <w:jc w:val="both"/>
        <w:rPr>
          <w:rFonts w:ascii="Times New Roman"/>
          <w:i/>
          <w:sz w:val="18"/>
        </w:rPr>
      </w:pPr>
      <w:r>
        <w:rPr/>
        <w:br w:type="column"/>
      </w:r>
      <w:r>
        <w:rPr>
          <w:rFonts w:ascii="Times New Roman"/>
          <w:i/>
          <w:sz w:val="18"/>
        </w:rPr>
        <w:t>Source: Client Inputs</w:t>
      </w:r>
    </w:p>
    <w:p>
      <w:pPr>
        <w:spacing w:before="139"/>
        <w:ind w:left="265" w:right="298" w:firstLine="0"/>
        <w:jc w:val="both"/>
        <w:rPr>
          <w:rFonts w:ascii="Times New Roman" w:hAnsi="Times New Roman"/>
          <w:sz w:val="18"/>
        </w:rPr>
      </w:pPr>
      <w:r>
        <w:rPr>
          <w:rFonts w:ascii="Times New Roman" w:hAnsi="Times New Roman"/>
          <w:sz w:val="18"/>
        </w:rPr>
        <w:t>‘Embassy TechZone’ is strategically located in Hinjewadi which is a prominent technology hub of Pune city. ‘Embassy TechZone’ is located at a distance of approximately 5 – 6 km from National Highway 48 (Connecting Mumbai – Pune – Bengaluru), 20 – 21 km from Pune CBD (Peth areas), 20 – 21 km from Pune Railway Station and approximately 26 – 27 km from Pune International Airport.</w:t>
      </w:r>
    </w:p>
    <w:p>
      <w:pPr>
        <w:spacing w:before="139"/>
        <w:ind w:left="265" w:right="299" w:firstLine="0"/>
        <w:jc w:val="both"/>
        <w:rPr>
          <w:rFonts w:ascii="Times New Roman" w:hAnsi="Times New Roman"/>
          <w:sz w:val="18"/>
        </w:rPr>
      </w:pPr>
      <w:r>
        <w:rPr>
          <w:rFonts w:ascii="Times New Roman" w:hAnsi="Times New Roman"/>
          <w:sz w:val="18"/>
        </w:rPr>
        <w:t>Based on review of various documents (such as rent roll, lease deeds, Architect’s Certificate, etc.), the Valuer understands  that ‘Embassy TechZone’ is an operational office asset with approximately 2.2 msf of completed leasable area out of which committed occupancy is approximately 93.9% as on the date of valuation. Further, approximately 0.88 msf is currently under construction and approx. 2.43 mn sft is under planning stage. Table below highlights the leasable area for individual blocks that form part of the subject</w:t>
      </w:r>
      <w:r>
        <w:rPr>
          <w:rFonts w:ascii="Times New Roman" w:hAnsi="Times New Roman"/>
          <w:spacing w:val="-9"/>
          <w:sz w:val="18"/>
        </w:rPr>
        <w:t> </w:t>
      </w:r>
      <w:r>
        <w:rPr>
          <w:rFonts w:ascii="Times New Roman" w:hAnsi="Times New Roman"/>
          <w:sz w:val="18"/>
        </w:rPr>
        <w:t>development:</w:t>
      </w:r>
    </w:p>
    <w:p>
      <w:pPr>
        <w:pStyle w:val="BodyText"/>
        <w:spacing w:before="8"/>
        <w:rPr>
          <w:rFonts w:ascii="Times New Roman"/>
          <w:sz w:val="25"/>
        </w:rPr>
      </w:pPr>
    </w:p>
    <w:tbl>
      <w:tblPr>
        <w:tblW w:w="0" w:type="auto"/>
        <w:jc w:val="left"/>
        <w:tblInd w:w="5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16"/>
        <w:gridCol w:w="1605"/>
        <w:gridCol w:w="1729"/>
        <w:gridCol w:w="1550"/>
      </w:tblGrid>
      <w:tr>
        <w:trPr>
          <w:trHeight w:val="451" w:hRule="atLeast"/>
        </w:trPr>
        <w:tc>
          <w:tcPr>
            <w:tcW w:w="5321" w:type="dxa"/>
            <w:gridSpan w:val="2"/>
            <w:shd w:val="clear" w:color="auto" w:fill="1E7504"/>
          </w:tcPr>
          <w:p>
            <w:pPr>
              <w:pStyle w:val="TableParagraph"/>
              <w:spacing w:line="204" w:lineRule="exact" w:before="31"/>
              <w:ind w:right="380"/>
              <w:jc w:val="right"/>
              <w:rPr>
                <w:rFonts w:ascii="Times New Roman"/>
                <w:b/>
                <w:sz w:val="18"/>
              </w:rPr>
            </w:pPr>
            <w:r>
              <w:rPr>
                <w:rFonts w:ascii="Times New Roman"/>
                <w:b/>
                <w:color w:val="FFFFFF"/>
                <w:sz w:val="18"/>
              </w:rPr>
              <w:t>Completed</w:t>
            </w:r>
          </w:p>
          <w:p>
            <w:pPr>
              <w:pStyle w:val="TableParagraph"/>
              <w:tabs>
                <w:tab w:pos="4176" w:val="left" w:leader="none"/>
              </w:tabs>
              <w:spacing w:line="196" w:lineRule="exact"/>
              <w:ind w:left="1447"/>
              <w:jc w:val="left"/>
              <w:rPr>
                <w:rFonts w:ascii="Times New Roman"/>
                <w:b/>
                <w:sz w:val="18"/>
              </w:rPr>
            </w:pPr>
            <w:r>
              <w:rPr>
                <w:rFonts w:ascii="Times New Roman"/>
                <w:b/>
                <w:color w:val="FFFFFF"/>
                <w:sz w:val="18"/>
              </w:rPr>
              <w:t>Component</w:t>
              <w:tab/>
            </w:r>
            <w:r>
              <w:rPr>
                <w:rFonts w:ascii="Times New Roman"/>
                <w:b/>
                <w:color w:val="FFFFFF"/>
                <w:position w:val="6"/>
                <w:sz w:val="18"/>
              </w:rPr>
              <w:t>Leasable</w:t>
            </w:r>
          </w:p>
        </w:tc>
        <w:tc>
          <w:tcPr>
            <w:tcW w:w="1729" w:type="dxa"/>
            <w:shd w:val="clear" w:color="auto" w:fill="1E7504"/>
          </w:tcPr>
          <w:p>
            <w:pPr>
              <w:pStyle w:val="TableParagraph"/>
              <w:spacing w:line="206" w:lineRule="exact" w:before="34"/>
              <w:ind w:left="382" w:right="316" w:firstLine="261"/>
              <w:jc w:val="left"/>
              <w:rPr>
                <w:rFonts w:ascii="Times New Roman"/>
                <w:b/>
                <w:sz w:val="18"/>
              </w:rPr>
            </w:pPr>
            <w:r>
              <w:rPr>
                <w:rFonts w:ascii="Times New Roman"/>
                <w:b/>
                <w:color w:val="FFFFFF"/>
                <w:sz w:val="18"/>
              </w:rPr>
              <w:t>Under Construction</w:t>
            </w:r>
          </w:p>
        </w:tc>
        <w:tc>
          <w:tcPr>
            <w:tcW w:w="1550" w:type="dxa"/>
            <w:shd w:val="clear" w:color="auto" w:fill="1E7504"/>
          </w:tcPr>
          <w:p>
            <w:pPr>
              <w:pStyle w:val="TableParagraph"/>
              <w:spacing w:line="206" w:lineRule="exact" w:before="34"/>
              <w:ind w:left="336" w:right="184" w:firstLine="146"/>
              <w:jc w:val="left"/>
              <w:rPr>
                <w:rFonts w:ascii="Times New Roman"/>
                <w:b/>
                <w:sz w:val="18"/>
              </w:rPr>
            </w:pPr>
            <w:r>
              <w:rPr>
                <w:rFonts w:ascii="Times New Roman"/>
                <w:b/>
                <w:color w:val="FFFFFF"/>
                <w:sz w:val="18"/>
              </w:rPr>
              <w:t>Proposed Development</w:t>
            </w:r>
          </w:p>
        </w:tc>
      </w:tr>
      <w:tr>
        <w:trPr>
          <w:trHeight w:val="311" w:hRule="atLeast"/>
        </w:trPr>
        <w:tc>
          <w:tcPr>
            <w:tcW w:w="3716" w:type="dxa"/>
            <w:tcBorders>
              <w:bottom w:val="single" w:sz="6" w:space="0" w:color="5FFF00"/>
            </w:tcBorders>
            <w:shd w:val="clear" w:color="auto" w:fill="1E7504"/>
          </w:tcPr>
          <w:p>
            <w:pPr>
              <w:pStyle w:val="TableParagraph"/>
              <w:jc w:val="left"/>
              <w:rPr>
                <w:rFonts w:ascii="Times New Roman"/>
                <w:sz w:val="16"/>
              </w:rPr>
            </w:pPr>
          </w:p>
        </w:tc>
        <w:tc>
          <w:tcPr>
            <w:tcW w:w="1605" w:type="dxa"/>
            <w:tcBorders>
              <w:bottom w:val="single" w:sz="6" w:space="0" w:color="5FFF00"/>
            </w:tcBorders>
            <w:shd w:val="clear" w:color="auto" w:fill="1E7504"/>
          </w:tcPr>
          <w:p>
            <w:pPr>
              <w:pStyle w:val="TableParagraph"/>
              <w:spacing w:line="199" w:lineRule="exact"/>
              <w:ind w:left="367" w:right="367"/>
              <w:rPr>
                <w:rFonts w:ascii="Times New Roman"/>
                <w:b/>
                <w:sz w:val="18"/>
              </w:rPr>
            </w:pPr>
            <w:r>
              <w:rPr>
                <w:rFonts w:ascii="Times New Roman"/>
                <w:b/>
                <w:color w:val="FFFFFF"/>
                <w:sz w:val="18"/>
              </w:rPr>
              <w:t>area (in sf)</w:t>
            </w:r>
          </w:p>
        </w:tc>
        <w:tc>
          <w:tcPr>
            <w:tcW w:w="1729" w:type="dxa"/>
            <w:tcBorders>
              <w:bottom w:val="single" w:sz="6" w:space="0" w:color="5FFF00"/>
            </w:tcBorders>
            <w:shd w:val="clear" w:color="auto" w:fill="1E7504"/>
          </w:tcPr>
          <w:p>
            <w:pPr>
              <w:pStyle w:val="TableParagraph"/>
              <w:spacing w:line="199" w:lineRule="exact"/>
              <w:ind w:left="455" w:right="404"/>
              <w:rPr>
                <w:rFonts w:ascii="Times New Roman"/>
                <w:b/>
                <w:sz w:val="18"/>
              </w:rPr>
            </w:pPr>
            <w:r>
              <w:rPr>
                <w:rFonts w:ascii="Times New Roman"/>
                <w:b/>
                <w:color w:val="FFFFFF"/>
                <w:sz w:val="18"/>
              </w:rPr>
              <w:t>area (in sf)</w:t>
            </w:r>
          </w:p>
        </w:tc>
        <w:tc>
          <w:tcPr>
            <w:tcW w:w="1550" w:type="dxa"/>
            <w:tcBorders>
              <w:bottom w:val="single" w:sz="6" w:space="0" w:color="5FFF00"/>
            </w:tcBorders>
            <w:shd w:val="clear" w:color="auto" w:fill="1E7504"/>
          </w:tcPr>
          <w:p>
            <w:pPr>
              <w:pStyle w:val="TableParagraph"/>
              <w:spacing w:line="199" w:lineRule="exact"/>
              <w:ind w:left="427"/>
              <w:jc w:val="left"/>
              <w:rPr>
                <w:rFonts w:ascii="Times New Roman"/>
                <w:b/>
                <w:sz w:val="18"/>
              </w:rPr>
            </w:pPr>
            <w:r>
              <w:rPr>
                <w:rFonts w:ascii="Times New Roman"/>
                <w:b/>
                <w:color w:val="FFFFFF"/>
                <w:sz w:val="18"/>
              </w:rPr>
              <w:t>area (in sf)</w:t>
            </w:r>
          </w:p>
        </w:tc>
      </w:tr>
      <w:tr>
        <w:trPr>
          <w:trHeight w:val="272" w:hRule="atLeast"/>
        </w:trPr>
        <w:tc>
          <w:tcPr>
            <w:tcW w:w="3716" w:type="dxa"/>
            <w:tcBorders>
              <w:top w:val="single" w:sz="6" w:space="0" w:color="5FFF00"/>
              <w:bottom w:val="single" w:sz="6" w:space="0" w:color="5FFF00"/>
            </w:tcBorders>
          </w:tcPr>
          <w:p>
            <w:pPr>
              <w:pStyle w:val="TableParagraph"/>
              <w:spacing w:line="203" w:lineRule="exact" w:before="50"/>
              <w:ind w:left="447" w:right="365"/>
              <w:rPr>
                <w:rFonts w:ascii="Times New Roman"/>
                <w:sz w:val="18"/>
              </w:rPr>
            </w:pPr>
            <w:r>
              <w:rPr>
                <w:rFonts w:ascii="Times New Roman"/>
                <w:sz w:val="18"/>
              </w:rPr>
              <w:t>SEZ Office</w:t>
            </w:r>
          </w:p>
        </w:tc>
        <w:tc>
          <w:tcPr>
            <w:tcW w:w="1605" w:type="dxa"/>
            <w:tcBorders>
              <w:top w:val="single" w:sz="6" w:space="0" w:color="5FFF00"/>
              <w:bottom w:val="single" w:sz="6" w:space="0" w:color="5FFF00"/>
            </w:tcBorders>
          </w:tcPr>
          <w:p>
            <w:pPr>
              <w:pStyle w:val="TableParagraph"/>
              <w:spacing w:line="203" w:lineRule="exact" w:before="50"/>
              <w:ind w:left="366" w:right="367"/>
              <w:rPr>
                <w:rFonts w:ascii="Times New Roman"/>
                <w:sz w:val="18"/>
              </w:rPr>
            </w:pPr>
            <w:r>
              <w:rPr>
                <w:rFonts w:ascii="Times New Roman"/>
                <w:sz w:val="18"/>
              </w:rPr>
              <w:t>2,151,630</w:t>
            </w:r>
          </w:p>
        </w:tc>
        <w:tc>
          <w:tcPr>
            <w:tcW w:w="1729" w:type="dxa"/>
            <w:tcBorders>
              <w:top w:val="single" w:sz="6" w:space="0" w:color="5FFF00"/>
              <w:bottom w:val="single" w:sz="6" w:space="0" w:color="5FFF00"/>
            </w:tcBorders>
          </w:tcPr>
          <w:p>
            <w:pPr>
              <w:pStyle w:val="TableParagraph"/>
              <w:spacing w:line="203" w:lineRule="exact" w:before="50"/>
              <w:ind w:left="454" w:right="404"/>
              <w:rPr>
                <w:rFonts w:ascii="Times New Roman"/>
                <w:sz w:val="18"/>
              </w:rPr>
            </w:pPr>
            <w:r>
              <w:rPr>
                <w:rFonts w:ascii="Times New Roman"/>
                <w:sz w:val="18"/>
              </w:rPr>
              <w:t>880,615</w:t>
            </w:r>
          </w:p>
        </w:tc>
        <w:tc>
          <w:tcPr>
            <w:tcW w:w="1550" w:type="dxa"/>
            <w:tcBorders>
              <w:top w:val="single" w:sz="6" w:space="0" w:color="5FFF00"/>
              <w:bottom w:val="single" w:sz="6" w:space="0" w:color="5FFF00"/>
            </w:tcBorders>
          </w:tcPr>
          <w:p>
            <w:pPr>
              <w:pStyle w:val="TableParagraph"/>
              <w:spacing w:line="203" w:lineRule="exact" w:before="50"/>
              <w:ind w:left="483"/>
              <w:jc w:val="left"/>
              <w:rPr>
                <w:rFonts w:ascii="Times New Roman"/>
                <w:sz w:val="18"/>
              </w:rPr>
            </w:pPr>
            <w:r>
              <w:rPr>
                <w:rFonts w:ascii="Times New Roman"/>
                <w:sz w:val="18"/>
              </w:rPr>
              <w:t>2,392,587</w:t>
            </w:r>
          </w:p>
        </w:tc>
      </w:tr>
      <w:tr>
        <w:trPr>
          <w:trHeight w:val="208" w:hRule="atLeast"/>
        </w:trPr>
        <w:tc>
          <w:tcPr>
            <w:tcW w:w="3716" w:type="dxa"/>
            <w:tcBorders>
              <w:top w:val="single" w:sz="6" w:space="0" w:color="5FFF00"/>
              <w:bottom w:val="single" w:sz="6" w:space="0" w:color="5FFF00"/>
            </w:tcBorders>
          </w:tcPr>
          <w:p>
            <w:pPr>
              <w:pStyle w:val="TableParagraph"/>
              <w:spacing w:line="188" w:lineRule="exact"/>
              <w:ind w:left="447" w:right="366"/>
              <w:rPr>
                <w:rFonts w:ascii="Times New Roman"/>
                <w:sz w:val="18"/>
              </w:rPr>
            </w:pPr>
            <w:r>
              <w:rPr>
                <w:rFonts w:ascii="Times New Roman"/>
                <w:sz w:val="18"/>
              </w:rPr>
              <w:t>Other ~ Food court, training centre, etc.</w:t>
            </w:r>
          </w:p>
        </w:tc>
        <w:tc>
          <w:tcPr>
            <w:tcW w:w="1605" w:type="dxa"/>
            <w:tcBorders>
              <w:top w:val="single" w:sz="6" w:space="0" w:color="5FFF00"/>
              <w:bottom w:val="single" w:sz="6" w:space="0" w:color="5FFF00"/>
            </w:tcBorders>
          </w:tcPr>
          <w:p>
            <w:pPr>
              <w:pStyle w:val="TableParagraph"/>
              <w:spacing w:line="188" w:lineRule="exact"/>
              <w:ind w:left="366" w:right="367"/>
              <w:rPr>
                <w:rFonts w:ascii="Times New Roman"/>
                <w:sz w:val="18"/>
              </w:rPr>
            </w:pPr>
            <w:r>
              <w:rPr>
                <w:rFonts w:ascii="Times New Roman"/>
                <w:sz w:val="18"/>
              </w:rPr>
              <w:t>8,425</w:t>
            </w:r>
          </w:p>
        </w:tc>
        <w:tc>
          <w:tcPr>
            <w:tcW w:w="1729" w:type="dxa"/>
            <w:tcBorders>
              <w:top w:val="single" w:sz="6" w:space="0" w:color="5FFF00"/>
              <w:bottom w:val="single" w:sz="6" w:space="0" w:color="5FFF00"/>
            </w:tcBorders>
          </w:tcPr>
          <w:p>
            <w:pPr>
              <w:pStyle w:val="TableParagraph"/>
              <w:spacing w:line="188" w:lineRule="exact"/>
              <w:ind w:left="52"/>
              <w:rPr>
                <w:rFonts w:ascii="Times New Roman"/>
                <w:sz w:val="18"/>
              </w:rPr>
            </w:pPr>
            <w:r>
              <w:rPr>
                <w:rFonts w:ascii="Times New Roman"/>
                <w:w w:val="99"/>
                <w:sz w:val="18"/>
              </w:rPr>
              <w:t>-</w:t>
            </w:r>
          </w:p>
        </w:tc>
        <w:tc>
          <w:tcPr>
            <w:tcW w:w="1550" w:type="dxa"/>
            <w:tcBorders>
              <w:top w:val="single" w:sz="6" w:space="0" w:color="5FFF00"/>
              <w:bottom w:val="single" w:sz="6" w:space="0" w:color="5FFF00"/>
            </w:tcBorders>
          </w:tcPr>
          <w:p>
            <w:pPr>
              <w:pStyle w:val="TableParagraph"/>
              <w:spacing w:line="188" w:lineRule="exact"/>
              <w:ind w:left="596"/>
              <w:jc w:val="left"/>
              <w:rPr>
                <w:rFonts w:ascii="Times New Roman"/>
                <w:sz w:val="18"/>
              </w:rPr>
            </w:pPr>
            <w:r>
              <w:rPr>
                <w:rFonts w:ascii="Times New Roman"/>
                <w:sz w:val="18"/>
              </w:rPr>
              <w:t>39,689</w:t>
            </w:r>
          </w:p>
        </w:tc>
      </w:tr>
      <w:tr>
        <w:trPr>
          <w:trHeight w:val="205" w:hRule="atLeast"/>
        </w:trPr>
        <w:tc>
          <w:tcPr>
            <w:tcW w:w="3716" w:type="dxa"/>
            <w:tcBorders>
              <w:top w:val="single" w:sz="6" w:space="0" w:color="5FFF00"/>
              <w:bottom w:val="single" w:sz="6" w:space="0" w:color="5FFF00"/>
            </w:tcBorders>
          </w:tcPr>
          <w:p>
            <w:pPr>
              <w:pStyle w:val="TableParagraph"/>
              <w:spacing w:line="186" w:lineRule="exact"/>
              <w:ind w:left="447" w:right="366"/>
              <w:rPr>
                <w:rFonts w:ascii="Times New Roman"/>
                <w:b/>
                <w:sz w:val="18"/>
              </w:rPr>
            </w:pPr>
            <w:r>
              <w:rPr>
                <w:rFonts w:ascii="Times New Roman"/>
                <w:b/>
                <w:sz w:val="18"/>
              </w:rPr>
              <w:t>Total</w:t>
            </w:r>
          </w:p>
        </w:tc>
        <w:tc>
          <w:tcPr>
            <w:tcW w:w="1605" w:type="dxa"/>
            <w:tcBorders>
              <w:top w:val="single" w:sz="6" w:space="0" w:color="5FFF00"/>
              <w:bottom w:val="single" w:sz="6" w:space="0" w:color="5FFF00"/>
            </w:tcBorders>
          </w:tcPr>
          <w:p>
            <w:pPr>
              <w:pStyle w:val="TableParagraph"/>
              <w:spacing w:line="186" w:lineRule="exact"/>
              <w:ind w:left="366" w:right="367"/>
              <w:rPr>
                <w:rFonts w:ascii="Times New Roman"/>
                <w:b/>
                <w:sz w:val="18"/>
              </w:rPr>
            </w:pPr>
            <w:r>
              <w:rPr>
                <w:rFonts w:ascii="Times New Roman"/>
                <w:b/>
                <w:sz w:val="18"/>
              </w:rPr>
              <w:t>2,160,055</w:t>
            </w:r>
          </w:p>
        </w:tc>
        <w:tc>
          <w:tcPr>
            <w:tcW w:w="1729" w:type="dxa"/>
            <w:tcBorders>
              <w:top w:val="single" w:sz="6" w:space="0" w:color="5FFF00"/>
              <w:bottom w:val="single" w:sz="6" w:space="0" w:color="5FFF00"/>
            </w:tcBorders>
          </w:tcPr>
          <w:p>
            <w:pPr>
              <w:pStyle w:val="TableParagraph"/>
              <w:spacing w:line="186" w:lineRule="exact"/>
              <w:ind w:left="454" w:right="404"/>
              <w:rPr>
                <w:rFonts w:ascii="Times New Roman"/>
                <w:b/>
                <w:sz w:val="18"/>
              </w:rPr>
            </w:pPr>
            <w:r>
              <w:rPr>
                <w:rFonts w:ascii="Times New Roman"/>
                <w:b/>
                <w:sz w:val="18"/>
              </w:rPr>
              <w:t>880,615</w:t>
            </w:r>
          </w:p>
        </w:tc>
        <w:tc>
          <w:tcPr>
            <w:tcW w:w="1550" w:type="dxa"/>
            <w:tcBorders>
              <w:top w:val="single" w:sz="6" w:space="0" w:color="5FFF00"/>
              <w:bottom w:val="single" w:sz="6" w:space="0" w:color="5FFF00"/>
            </w:tcBorders>
          </w:tcPr>
          <w:p>
            <w:pPr>
              <w:pStyle w:val="TableParagraph"/>
              <w:spacing w:line="186" w:lineRule="exact"/>
              <w:ind w:left="483"/>
              <w:jc w:val="left"/>
              <w:rPr>
                <w:rFonts w:ascii="Times New Roman"/>
                <w:b/>
                <w:sz w:val="18"/>
              </w:rPr>
            </w:pPr>
            <w:r>
              <w:rPr>
                <w:rFonts w:ascii="Times New Roman"/>
                <w:b/>
                <w:sz w:val="18"/>
              </w:rPr>
              <w:t>2,432,276</w:t>
            </w:r>
          </w:p>
        </w:tc>
      </w:tr>
    </w:tbl>
    <w:p>
      <w:pPr>
        <w:spacing w:before="112"/>
        <w:ind w:left="265" w:right="0" w:firstLine="0"/>
        <w:jc w:val="both"/>
        <w:rPr>
          <w:rFonts w:ascii="Times New Roman"/>
          <w:sz w:val="18"/>
        </w:rPr>
      </w:pPr>
      <w:r>
        <w:rPr>
          <w:rFonts w:ascii="Times New Roman"/>
          <w:sz w:val="18"/>
        </w:rPr>
        <w:t>Source: Rent roll, lease deeds, architect certificate provided by the Client;</w:t>
      </w:r>
    </w:p>
    <w:p>
      <w:pPr>
        <w:spacing w:after="0"/>
        <w:jc w:val="both"/>
        <w:rPr>
          <w:rFonts w:ascii="Times New Roman"/>
          <w:sz w:val="18"/>
        </w:rPr>
        <w:sectPr>
          <w:type w:val="continuous"/>
          <w:pgSz w:w="12240" w:h="15840"/>
          <w:pgMar w:top="800" w:bottom="280" w:left="620" w:right="580"/>
          <w:cols w:num="2" w:equalWidth="0">
            <w:col w:w="1222" w:space="139"/>
            <w:col w:w="9679"/>
          </w:cols>
        </w:sectPr>
      </w:pPr>
    </w:p>
    <w:p>
      <w:pPr>
        <w:pStyle w:val="BodyText"/>
        <w:spacing w:before="9"/>
        <w:rPr>
          <w:rFonts w:ascii="Times New Roman"/>
          <w:sz w:val="17"/>
        </w:rPr>
      </w:pPr>
    </w:p>
    <w:p>
      <w:pPr>
        <w:spacing w:before="93"/>
        <w:ind w:left="265" w:right="0" w:firstLine="0"/>
        <w:jc w:val="left"/>
        <w:rPr>
          <w:rFonts w:ascii="Times New Roman"/>
          <w:sz w:val="18"/>
        </w:rPr>
      </w:pPr>
      <w:r>
        <w:rPr/>
        <w:drawing>
          <wp:anchor distT="0" distB="0" distL="0" distR="0" allowOverlap="1" layoutInCell="1" locked="0" behindDoc="0" simplePos="0" relativeHeight="15768064">
            <wp:simplePos x="0" y="0"/>
            <wp:positionH relativeFrom="page">
              <wp:posOffset>2077085</wp:posOffset>
            </wp:positionH>
            <wp:positionV relativeFrom="paragraph">
              <wp:posOffset>59212</wp:posOffset>
            </wp:positionV>
            <wp:extent cx="4779645" cy="2458084"/>
            <wp:effectExtent l="0" t="0" r="0" b="0"/>
            <wp:wrapNone/>
            <wp:docPr id="23" name="image16.jpeg"/>
            <wp:cNvGraphicFramePr>
              <a:graphicFrameLocks noChangeAspect="1"/>
            </wp:cNvGraphicFramePr>
            <a:graphic>
              <a:graphicData uri="http://schemas.openxmlformats.org/drawingml/2006/picture">
                <pic:pic>
                  <pic:nvPicPr>
                    <pic:cNvPr id="24" name="image16.jpeg"/>
                    <pic:cNvPicPr/>
                  </pic:nvPicPr>
                  <pic:blipFill>
                    <a:blip r:embed="rId22" cstate="print"/>
                    <a:stretch>
                      <a:fillRect/>
                    </a:stretch>
                  </pic:blipFill>
                  <pic:spPr>
                    <a:xfrm>
                      <a:off x="0" y="0"/>
                      <a:ext cx="4779645" cy="2458084"/>
                    </a:xfrm>
                    <a:prstGeom prst="rect">
                      <a:avLst/>
                    </a:prstGeom>
                  </pic:spPr>
                </pic:pic>
              </a:graphicData>
            </a:graphic>
          </wp:anchor>
        </w:drawing>
      </w:r>
      <w:r>
        <w:rPr>
          <w:rFonts w:ascii="Times New Roman"/>
          <w:color w:val="16772B"/>
          <w:sz w:val="18"/>
        </w:rPr>
        <w:t>Location Map</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17"/>
        </w:rPr>
      </w:pPr>
    </w:p>
    <w:p>
      <w:pPr>
        <w:spacing w:before="0"/>
        <w:ind w:left="820" w:right="0" w:firstLine="0"/>
        <w:jc w:val="left"/>
        <w:rPr>
          <w:rFonts w:ascii="Times New Roman"/>
          <w:sz w:val="18"/>
        </w:rPr>
      </w:pPr>
      <w:r>
        <w:rPr/>
        <w:pict>
          <v:group style="position:absolute;margin-left:155.660004pt;margin-top:-8.277667pt;width:384.5pt;height:27.5pt;mso-position-horizontal-relative:page;mso-position-vertical-relative:paragraph;z-index:15768576" coordorigin="3113,-166" coordsize="7690,550">
            <v:shape style="position:absolute;left:3113;top:-166;width:7690;height:344" coordorigin="3113,-166" coordsize="7690,344" path="m8930,-166l7398,-166,7254,-166,3257,-166,3113,-166,3113,178,3257,178,7254,178,7398,178,8930,178,8930,110,8930,-96,8930,-166xm10802,-166l9074,-166,8930,-166,8930,178,9074,178,10802,178,10802,110,10802,-96,10802,-166xe" filled="true" fillcolor="#16772b" stroked="false">
              <v:path arrowok="t"/>
              <v:fill type="solid"/>
            </v:shape>
            <v:rect style="position:absolute;left:3113;top:177;width:7690;height:207" filled="true" fillcolor="#5fff00" stroked="false">
              <v:fill type="solid"/>
            </v:rect>
            <w10:wrap type="none"/>
          </v:group>
        </w:pict>
      </w:r>
      <w:r>
        <w:rPr/>
        <w:pict>
          <v:shape style="position:absolute;margin-left:155.675003pt;margin-top:-8.277667pt;width:384.45pt;height:148.7pt;mso-position-horizontal-relative:page;mso-position-vertical-relative:paragraph;z-index:157690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37"/>
                    <w:gridCol w:w="1929"/>
                    <w:gridCol w:w="1723"/>
                  </w:tblGrid>
                  <w:tr>
                    <w:trPr>
                      <w:trHeight w:val="550" w:hRule="atLeast"/>
                    </w:trPr>
                    <w:tc>
                      <w:tcPr>
                        <w:tcW w:w="7689" w:type="dxa"/>
                        <w:gridSpan w:val="3"/>
                      </w:tcPr>
                      <w:p>
                        <w:pPr>
                          <w:pStyle w:val="TableParagraph"/>
                          <w:tabs>
                            <w:tab w:pos="4279" w:val="left" w:leader="none"/>
                            <w:tab w:pos="5957" w:val="left" w:leader="none"/>
                          </w:tabs>
                          <w:spacing w:before="69"/>
                          <w:ind w:left="1111"/>
                          <w:rPr>
                            <w:rFonts w:ascii="Times New Roman"/>
                            <w:b/>
                            <w:sz w:val="18"/>
                          </w:rPr>
                        </w:pPr>
                        <w:r>
                          <w:rPr>
                            <w:rFonts w:ascii="Times New Roman"/>
                            <w:b/>
                            <w:color w:val="FFFFFF"/>
                            <w:sz w:val="18"/>
                          </w:rPr>
                          <w:t>Particulars</w:t>
                          <w:tab/>
                          <w:t>Unit</w:t>
                          <w:tab/>
                          <w:t>Details</w:t>
                        </w:r>
                      </w:p>
                      <w:p>
                        <w:pPr>
                          <w:pStyle w:val="TableParagraph"/>
                          <w:spacing w:line="187" w:lineRule="exact" w:before="67"/>
                          <w:rPr>
                            <w:rFonts w:ascii="Times New Roman"/>
                            <w:sz w:val="18"/>
                          </w:rPr>
                        </w:pPr>
                        <w:r>
                          <w:rPr>
                            <w:rFonts w:ascii="Times New Roman"/>
                            <w:sz w:val="18"/>
                          </w:rPr>
                          <w:t>Construction assumptions</w:t>
                        </w:r>
                      </w:p>
                    </w:tc>
                  </w:tr>
                  <w:tr>
                    <w:trPr>
                      <w:trHeight w:val="227" w:hRule="atLeast"/>
                    </w:trPr>
                    <w:tc>
                      <w:tcPr>
                        <w:tcW w:w="4037" w:type="dxa"/>
                        <w:tcBorders>
                          <w:bottom w:val="single" w:sz="6" w:space="0" w:color="5FFF00"/>
                        </w:tcBorders>
                      </w:tcPr>
                      <w:p>
                        <w:pPr>
                          <w:pStyle w:val="TableParagraph"/>
                          <w:spacing w:line="198" w:lineRule="exact" w:before="9"/>
                          <w:ind w:left="830"/>
                          <w:jc w:val="left"/>
                          <w:rPr>
                            <w:rFonts w:ascii="Times New Roman"/>
                            <w:sz w:val="18"/>
                          </w:rPr>
                        </w:pPr>
                        <w:r>
                          <w:rPr>
                            <w:rFonts w:ascii="Times New Roman"/>
                            <w:sz w:val="18"/>
                          </w:rPr>
                          <w:t>Pending cost to complete (overall)</w:t>
                        </w:r>
                      </w:p>
                    </w:tc>
                    <w:tc>
                      <w:tcPr>
                        <w:tcW w:w="1929" w:type="dxa"/>
                        <w:tcBorders>
                          <w:bottom w:val="single" w:sz="6" w:space="0" w:color="5FFF00"/>
                        </w:tcBorders>
                      </w:tcPr>
                      <w:p>
                        <w:pPr>
                          <w:pStyle w:val="TableParagraph"/>
                          <w:spacing w:line="198" w:lineRule="exact" w:before="9"/>
                          <w:ind w:left="629" w:right="674"/>
                          <w:rPr>
                            <w:rFonts w:ascii="Times New Roman"/>
                            <w:sz w:val="18"/>
                          </w:rPr>
                        </w:pPr>
                        <w:r>
                          <w:rPr>
                            <w:rFonts w:ascii="Times New Roman"/>
                            <w:sz w:val="18"/>
                          </w:rPr>
                          <w:t>INR mn</w:t>
                        </w:r>
                      </w:p>
                    </w:tc>
                    <w:tc>
                      <w:tcPr>
                        <w:tcW w:w="1723" w:type="dxa"/>
                        <w:tcBorders>
                          <w:bottom w:val="single" w:sz="6" w:space="0" w:color="5FFF00"/>
                        </w:tcBorders>
                      </w:tcPr>
                      <w:p>
                        <w:pPr>
                          <w:pStyle w:val="TableParagraph"/>
                          <w:spacing w:line="205" w:lineRule="exact" w:before="2"/>
                          <w:ind w:left="449" w:right="595"/>
                          <w:rPr>
                            <w:rFonts w:ascii="Times New Roman"/>
                            <w:sz w:val="18"/>
                          </w:rPr>
                        </w:pPr>
                        <w:r>
                          <w:rPr>
                            <w:rFonts w:ascii="Times New Roman"/>
                            <w:sz w:val="18"/>
                          </w:rPr>
                          <w:t>13,692*</w:t>
                        </w:r>
                      </w:p>
                    </w:tc>
                  </w:tr>
                  <w:tr>
                    <w:trPr>
                      <w:trHeight w:val="206" w:hRule="atLeast"/>
                    </w:trPr>
                    <w:tc>
                      <w:tcPr>
                        <w:tcW w:w="4037" w:type="dxa"/>
                        <w:tcBorders>
                          <w:top w:val="single" w:sz="6" w:space="0" w:color="5FFF00"/>
                        </w:tcBorders>
                      </w:tcPr>
                      <w:p>
                        <w:pPr>
                          <w:pStyle w:val="TableParagraph"/>
                          <w:spacing w:line="186" w:lineRule="exact"/>
                          <w:ind w:left="681"/>
                          <w:jc w:val="left"/>
                          <w:rPr>
                            <w:rFonts w:ascii="Times New Roman"/>
                            <w:sz w:val="18"/>
                          </w:rPr>
                        </w:pPr>
                        <w:r>
                          <w:rPr>
                            <w:rFonts w:ascii="Times New Roman"/>
                            <w:sz w:val="18"/>
                          </w:rPr>
                          <w:t>Proposed project completion timelines</w:t>
                        </w:r>
                      </w:p>
                    </w:tc>
                    <w:tc>
                      <w:tcPr>
                        <w:tcW w:w="1929" w:type="dxa"/>
                        <w:tcBorders>
                          <w:top w:val="single" w:sz="6" w:space="0" w:color="5FFF00"/>
                        </w:tcBorders>
                      </w:tcPr>
                      <w:p>
                        <w:pPr>
                          <w:pStyle w:val="TableParagraph"/>
                          <w:spacing w:line="186" w:lineRule="exact"/>
                          <w:ind w:left="629" w:right="674"/>
                          <w:rPr>
                            <w:rFonts w:ascii="Times New Roman"/>
                            <w:sz w:val="18"/>
                          </w:rPr>
                        </w:pPr>
                        <w:r>
                          <w:rPr>
                            <w:rFonts w:ascii="Times New Roman"/>
                            <w:sz w:val="18"/>
                          </w:rPr>
                          <w:t>Year</w:t>
                        </w:r>
                      </w:p>
                    </w:tc>
                    <w:tc>
                      <w:tcPr>
                        <w:tcW w:w="1723" w:type="dxa"/>
                        <w:tcBorders>
                          <w:top w:val="single" w:sz="6" w:space="0" w:color="5FFF00"/>
                        </w:tcBorders>
                      </w:tcPr>
                      <w:p>
                        <w:pPr>
                          <w:pStyle w:val="TableParagraph"/>
                          <w:spacing w:line="186" w:lineRule="exact"/>
                          <w:ind w:left="449" w:right="597"/>
                          <w:rPr>
                            <w:rFonts w:ascii="Times New Roman"/>
                            <w:sz w:val="18"/>
                          </w:rPr>
                        </w:pPr>
                        <w:r>
                          <w:rPr>
                            <w:rFonts w:ascii="Times New Roman"/>
                            <w:sz w:val="18"/>
                          </w:rPr>
                          <w:t>FY 2026</w:t>
                        </w:r>
                      </w:p>
                    </w:tc>
                  </w:tr>
                  <w:tr>
                    <w:trPr>
                      <w:trHeight w:val="223" w:hRule="atLeast"/>
                    </w:trPr>
                    <w:tc>
                      <w:tcPr>
                        <w:tcW w:w="4037" w:type="dxa"/>
                        <w:shd w:val="clear" w:color="auto" w:fill="5FFF00"/>
                      </w:tcPr>
                      <w:p>
                        <w:pPr>
                          <w:pStyle w:val="TableParagraph"/>
                          <w:spacing w:line="189" w:lineRule="exact" w:before="14"/>
                          <w:ind w:right="17"/>
                          <w:jc w:val="right"/>
                          <w:rPr>
                            <w:rFonts w:ascii="Times New Roman"/>
                            <w:sz w:val="18"/>
                          </w:rPr>
                        </w:pPr>
                        <w:r>
                          <w:rPr>
                            <w:rFonts w:ascii="Times New Roman"/>
                            <w:sz w:val="18"/>
                          </w:rPr>
                          <w:t>Revenue assumptions (as</w:t>
                        </w:r>
                      </w:p>
                    </w:tc>
                    <w:tc>
                      <w:tcPr>
                        <w:tcW w:w="1929" w:type="dxa"/>
                        <w:shd w:val="clear" w:color="auto" w:fill="5FFF00"/>
                      </w:tcPr>
                      <w:p>
                        <w:pPr>
                          <w:pStyle w:val="TableParagraph"/>
                          <w:spacing w:line="189" w:lineRule="exact" w:before="14"/>
                          <w:ind w:left="25"/>
                          <w:jc w:val="left"/>
                          <w:rPr>
                            <w:rFonts w:ascii="Times New Roman"/>
                            <w:sz w:val="18"/>
                          </w:rPr>
                        </w:pPr>
                        <w:r>
                          <w:rPr>
                            <w:rFonts w:ascii="Times New Roman"/>
                            <w:sz w:val="18"/>
                          </w:rPr>
                          <w:t>on March 31, 2020)</w:t>
                        </w:r>
                      </w:p>
                    </w:tc>
                    <w:tc>
                      <w:tcPr>
                        <w:tcW w:w="1723" w:type="dxa"/>
                        <w:shd w:val="clear" w:color="auto" w:fill="5FFF00"/>
                      </w:tcPr>
                      <w:p>
                        <w:pPr>
                          <w:pStyle w:val="TableParagraph"/>
                          <w:jc w:val="left"/>
                          <w:rPr>
                            <w:rFonts w:ascii="Times New Roman"/>
                            <w:sz w:val="14"/>
                          </w:rPr>
                        </w:pPr>
                      </w:p>
                    </w:tc>
                  </w:tr>
                  <w:tr>
                    <w:trPr>
                      <w:trHeight w:val="206" w:hRule="atLeast"/>
                    </w:trPr>
                    <w:tc>
                      <w:tcPr>
                        <w:tcW w:w="4037" w:type="dxa"/>
                        <w:tcBorders>
                          <w:bottom w:val="single" w:sz="6" w:space="0" w:color="5FFF00"/>
                        </w:tcBorders>
                      </w:tcPr>
                      <w:p>
                        <w:pPr>
                          <w:pStyle w:val="TableParagraph"/>
                          <w:spacing w:line="186" w:lineRule="exact"/>
                          <w:ind w:left="1433"/>
                          <w:jc w:val="left"/>
                          <w:rPr>
                            <w:rFonts w:ascii="Times New Roman"/>
                            <w:sz w:val="18"/>
                          </w:rPr>
                        </w:pPr>
                        <w:r>
                          <w:rPr>
                            <w:rFonts w:ascii="Times New Roman"/>
                            <w:sz w:val="18"/>
                          </w:rPr>
                          <w:t>Lease completion</w:t>
                        </w:r>
                      </w:p>
                    </w:tc>
                    <w:tc>
                      <w:tcPr>
                        <w:tcW w:w="1929" w:type="dxa"/>
                        <w:tcBorders>
                          <w:bottom w:val="single" w:sz="6" w:space="0" w:color="5FFF00"/>
                        </w:tcBorders>
                      </w:tcPr>
                      <w:p>
                        <w:pPr>
                          <w:pStyle w:val="TableParagraph"/>
                          <w:spacing w:line="186" w:lineRule="exact"/>
                          <w:ind w:left="629" w:right="674"/>
                          <w:rPr>
                            <w:rFonts w:ascii="Times New Roman"/>
                            <w:sz w:val="18"/>
                          </w:rPr>
                        </w:pPr>
                        <w:r>
                          <w:rPr>
                            <w:rFonts w:ascii="Times New Roman"/>
                            <w:sz w:val="18"/>
                          </w:rPr>
                          <w:t>Year</w:t>
                        </w:r>
                      </w:p>
                    </w:tc>
                    <w:tc>
                      <w:tcPr>
                        <w:tcW w:w="1723" w:type="dxa"/>
                        <w:tcBorders>
                          <w:bottom w:val="single" w:sz="6" w:space="0" w:color="5FFF00"/>
                        </w:tcBorders>
                      </w:tcPr>
                      <w:p>
                        <w:pPr>
                          <w:pStyle w:val="TableParagraph"/>
                          <w:spacing w:line="186" w:lineRule="exact"/>
                          <w:ind w:left="449" w:right="597"/>
                          <w:rPr>
                            <w:rFonts w:ascii="Times New Roman"/>
                            <w:sz w:val="18"/>
                          </w:rPr>
                        </w:pPr>
                        <w:r>
                          <w:rPr>
                            <w:rFonts w:ascii="Times New Roman"/>
                            <w:sz w:val="18"/>
                          </w:rPr>
                          <w:t>FY 2027</w:t>
                        </w:r>
                      </w:p>
                    </w:tc>
                  </w:tr>
                  <w:tr>
                    <w:trPr>
                      <w:trHeight w:val="205" w:hRule="atLeast"/>
                    </w:trPr>
                    <w:tc>
                      <w:tcPr>
                        <w:tcW w:w="4037" w:type="dxa"/>
                        <w:tcBorders>
                          <w:top w:val="single" w:sz="6" w:space="0" w:color="5FFF00"/>
                          <w:bottom w:val="single" w:sz="6" w:space="0" w:color="5FFF00"/>
                        </w:tcBorders>
                      </w:tcPr>
                      <w:p>
                        <w:pPr>
                          <w:pStyle w:val="TableParagraph"/>
                          <w:spacing w:line="186" w:lineRule="exact"/>
                          <w:ind w:left="1593" w:right="1489"/>
                          <w:rPr>
                            <w:rFonts w:ascii="Times New Roman"/>
                            <w:sz w:val="18"/>
                          </w:rPr>
                        </w:pPr>
                        <w:r>
                          <w:rPr>
                            <w:rFonts w:ascii="Times New Roman"/>
                            <w:sz w:val="18"/>
                          </w:rPr>
                          <w:t>In-place rent</w:t>
                        </w:r>
                      </w:p>
                    </w:tc>
                    <w:tc>
                      <w:tcPr>
                        <w:tcW w:w="1929" w:type="dxa"/>
                        <w:tcBorders>
                          <w:top w:val="single" w:sz="6" w:space="0" w:color="5FFF00"/>
                          <w:bottom w:val="single" w:sz="6" w:space="0" w:color="5FFF00"/>
                        </w:tcBorders>
                      </w:tcPr>
                      <w:p>
                        <w:pPr>
                          <w:pStyle w:val="TableParagraph"/>
                          <w:spacing w:line="186" w:lineRule="exact"/>
                          <w:ind w:left="487"/>
                          <w:jc w:val="left"/>
                          <w:rPr>
                            <w:rFonts w:ascii="Times New Roman"/>
                            <w:sz w:val="18"/>
                          </w:rPr>
                        </w:pPr>
                        <w:r>
                          <w:rPr>
                            <w:rFonts w:ascii="Times New Roman"/>
                            <w:sz w:val="18"/>
                          </w:rPr>
                          <w:t>INR psf/mth</w:t>
                        </w:r>
                      </w:p>
                    </w:tc>
                    <w:tc>
                      <w:tcPr>
                        <w:tcW w:w="1723" w:type="dxa"/>
                        <w:tcBorders>
                          <w:top w:val="single" w:sz="6" w:space="0" w:color="5FFF00"/>
                          <w:bottom w:val="single" w:sz="6" w:space="0" w:color="5FFF00"/>
                        </w:tcBorders>
                      </w:tcPr>
                      <w:p>
                        <w:pPr>
                          <w:pStyle w:val="TableParagraph"/>
                          <w:spacing w:line="186" w:lineRule="exact"/>
                          <w:ind w:left="448" w:right="597"/>
                          <w:rPr>
                            <w:rFonts w:ascii="Times New Roman"/>
                            <w:sz w:val="18"/>
                          </w:rPr>
                        </w:pPr>
                        <w:r>
                          <w:rPr>
                            <w:rFonts w:ascii="Times New Roman"/>
                            <w:sz w:val="18"/>
                          </w:rPr>
                          <w:t>50</w:t>
                        </w:r>
                      </w:p>
                    </w:tc>
                  </w:tr>
                  <w:tr>
                    <w:trPr>
                      <w:trHeight w:val="208" w:hRule="atLeast"/>
                    </w:trPr>
                    <w:tc>
                      <w:tcPr>
                        <w:tcW w:w="4037" w:type="dxa"/>
                        <w:tcBorders>
                          <w:top w:val="single" w:sz="6" w:space="0" w:color="5FFF00"/>
                          <w:bottom w:val="single" w:sz="6" w:space="0" w:color="5FFF00"/>
                        </w:tcBorders>
                      </w:tcPr>
                      <w:p>
                        <w:pPr>
                          <w:pStyle w:val="TableParagraph"/>
                          <w:spacing w:line="186" w:lineRule="exact" w:before="2"/>
                          <w:ind w:left="566"/>
                          <w:jc w:val="left"/>
                          <w:rPr>
                            <w:rFonts w:ascii="Times New Roman" w:hAnsi="Times New Roman"/>
                            <w:sz w:val="18"/>
                          </w:rPr>
                        </w:pPr>
                        <w:r>
                          <w:rPr>
                            <w:rFonts w:ascii="Times New Roman" w:hAnsi="Times New Roman"/>
                            <w:sz w:val="18"/>
                          </w:rPr>
                          <w:t>Marginal rent – IT SEZ office component</w:t>
                        </w:r>
                      </w:p>
                    </w:tc>
                    <w:tc>
                      <w:tcPr>
                        <w:tcW w:w="1929" w:type="dxa"/>
                        <w:tcBorders>
                          <w:top w:val="single" w:sz="6" w:space="0" w:color="5FFF00"/>
                          <w:bottom w:val="single" w:sz="6" w:space="0" w:color="5FFF00"/>
                        </w:tcBorders>
                      </w:tcPr>
                      <w:p>
                        <w:pPr>
                          <w:pStyle w:val="TableParagraph"/>
                          <w:spacing w:line="186" w:lineRule="exact" w:before="2"/>
                          <w:ind w:left="487"/>
                          <w:jc w:val="left"/>
                          <w:rPr>
                            <w:rFonts w:ascii="Times New Roman"/>
                            <w:sz w:val="18"/>
                          </w:rPr>
                        </w:pPr>
                        <w:r>
                          <w:rPr>
                            <w:rFonts w:ascii="Times New Roman"/>
                            <w:sz w:val="18"/>
                          </w:rPr>
                          <w:t>INR psf/mth</w:t>
                        </w:r>
                      </w:p>
                    </w:tc>
                    <w:tc>
                      <w:tcPr>
                        <w:tcW w:w="1723" w:type="dxa"/>
                        <w:tcBorders>
                          <w:top w:val="single" w:sz="6" w:space="0" w:color="5FFF00"/>
                          <w:bottom w:val="single" w:sz="6" w:space="0" w:color="5FFF00"/>
                        </w:tcBorders>
                      </w:tcPr>
                      <w:p>
                        <w:pPr>
                          <w:pStyle w:val="TableParagraph"/>
                          <w:spacing w:line="186" w:lineRule="exact" w:before="2"/>
                          <w:ind w:left="448" w:right="597"/>
                          <w:rPr>
                            <w:rFonts w:ascii="Times New Roman"/>
                            <w:sz w:val="18"/>
                          </w:rPr>
                        </w:pPr>
                        <w:r>
                          <w:rPr>
                            <w:rFonts w:ascii="Times New Roman"/>
                            <w:sz w:val="18"/>
                          </w:rPr>
                          <w:t>48</w:t>
                        </w:r>
                      </w:p>
                    </w:tc>
                  </w:tr>
                  <w:tr>
                    <w:trPr>
                      <w:trHeight w:val="206" w:hRule="atLeast"/>
                    </w:trPr>
                    <w:tc>
                      <w:tcPr>
                        <w:tcW w:w="4037" w:type="dxa"/>
                        <w:tcBorders>
                          <w:top w:val="single" w:sz="6" w:space="0" w:color="5FFF00"/>
                        </w:tcBorders>
                      </w:tcPr>
                      <w:p>
                        <w:pPr>
                          <w:pStyle w:val="TableParagraph"/>
                          <w:spacing w:line="186" w:lineRule="exact"/>
                          <w:ind w:left="1214"/>
                          <w:jc w:val="left"/>
                          <w:rPr>
                            <w:rFonts w:ascii="Times New Roman"/>
                            <w:sz w:val="18"/>
                          </w:rPr>
                        </w:pPr>
                        <w:r>
                          <w:rPr>
                            <w:rFonts w:ascii="Times New Roman"/>
                            <w:sz w:val="18"/>
                          </w:rPr>
                          <w:t>Parking rent (Effective)</w:t>
                        </w:r>
                      </w:p>
                    </w:tc>
                    <w:tc>
                      <w:tcPr>
                        <w:tcW w:w="1929" w:type="dxa"/>
                        <w:tcBorders>
                          <w:top w:val="single" w:sz="6" w:space="0" w:color="5FFF00"/>
                        </w:tcBorders>
                      </w:tcPr>
                      <w:p>
                        <w:pPr>
                          <w:pStyle w:val="TableParagraph"/>
                          <w:spacing w:line="186" w:lineRule="exact"/>
                          <w:ind w:left="420"/>
                          <w:jc w:val="left"/>
                          <w:rPr>
                            <w:rFonts w:ascii="Times New Roman"/>
                            <w:sz w:val="18"/>
                          </w:rPr>
                        </w:pPr>
                        <w:r>
                          <w:rPr>
                            <w:rFonts w:ascii="Times New Roman"/>
                            <w:sz w:val="18"/>
                          </w:rPr>
                          <w:t>INR / bay/mth</w:t>
                        </w:r>
                      </w:p>
                    </w:tc>
                    <w:tc>
                      <w:tcPr>
                        <w:tcW w:w="1723" w:type="dxa"/>
                        <w:tcBorders>
                          <w:top w:val="single" w:sz="6" w:space="0" w:color="5FFF00"/>
                        </w:tcBorders>
                      </w:tcPr>
                      <w:p>
                        <w:pPr>
                          <w:pStyle w:val="TableParagraph"/>
                          <w:spacing w:line="186" w:lineRule="exact"/>
                          <w:ind w:left="448" w:right="597"/>
                          <w:rPr>
                            <w:rFonts w:ascii="Times New Roman"/>
                            <w:sz w:val="18"/>
                          </w:rPr>
                        </w:pPr>
                        <w:r>
                          <w:rPr>
                            <w:rFonts w:ascii="Times New Roman"/>
                            <w:sz w:val="18"/>
                          </w:rPr>
                          <w:t>1,500</w:t>
                        </w:r>
                      </w:p>
                    </w:tc>
                  </w:tr>
                  <w:tr>
                    <w:trPr>
                      <w:trHeight w:val="208" w:hRule="atLeast"/>
                    </w:trPr>
                    <w:tc>
                      <w:tcPr>
                        <w:tcW w:w="4037" w:type="dxa"/>
                        <w:shd w:val="clear" w:color="auto" w:fill="5FFF00"/>
                      </w:tcPr>
                      <w:p>
                        <w:pPr>
                          <w:pStyle w:val="TableParagraph"/>
                          <w:spacing w:line="189" w:lineRule="exact"/>
                          <w:ind w:right="-15"/>
                          <w:jc w:val="right"/>
                          <w:rPr>
                            <w:rFonts w:ascii="Times New Roman"/>
                            <w:sz w:val="18"/>
                          </w:rPr>
                        </w:pPr>
                        <w:r>
                          <w:rPr>
                            <w:rFonts w:ascii="Times New Roman"/>
                            <w:sz w:val="18"/>
                          </w:rPr>
                          <w:t>Other financial a</w:t>
                        </w:r>
                      </w:p>
                    </w:tc>
                    <w:tc>
                      <w:tcPr>
                        <w:tcW w:w="1929" w:type="dxa"/>
                        <w:shd w:val="clear" w:color="auto" w:fill="5FFF00"/>
                      </w:tcPr>
                      <w:p>
                        <w:pPr>
                          <w:pStyle w:val="TableParagraph"/>
                          <w:spacing w:line="189" w:lineRule="exact"/>
                          <w:ind w:left="6"/>
                          <w:jc w:val="left"/>
                          <w:rPr>
                            <w:rFonts w:ascii="Times New Roman"/>
                            <w:sz w:val="18"/>
                          </w:rPr>
                        </w:pPr>
                        <w:r>
                          <w:rPr>
                            <w:rFonts w:ascii="Times New Roman"/>
                            <w:sz w:val="18"/>
                          </w:rPr>
                          <w:t>ssumptions</w:t>
                        </w:r>
                      </w:p>
                    </w:tc>
                    <w:tc>
                      <w:tcPr>
                        <w:tcW w:w="1723" w:type="dxa"/>
                        <w:shd w:val="clear" w:color="auto" w:fill="5FFF00"/>
                      </w:tcPr>
                      <w:p>
                        <w:pPr>
                          <w:pStyle w:val="TableParagraph"/>
                          <w:jc w:val="left"/>
                          <w:rPr>
                            <w:rFonts w:ascii="Times New Roman"/>
                            <w:sz w:val="14"/>
                          </w:rPr>
                        </w:pPr>
                      </w:p>
                    </w:tc>
                  </w:tr>
                  <w:tr>
                    <w:trPr>
                      <w:trHeight w:val="206" w:hRule="atLeast"/>
                    </w:trPr>
                    <w:tc>
                      <w:tcPr>
                        <w:tcW w:w="4037" w:type="dxa"/>
                        <w:tcBorders>
                          <w:bottom w:val="single" w:sz="6" w:space="0" w:color="5FFF00"/>
                        </w:tcBorders>
                      </w:tcPr>
                      <w:p>
                        <w:pPr>
                          <w:pStyle w:val="TableParagraph"/>
                          <w:spacing w:line="186" w:lineRule="exact"/>
                          <w:ind w:left="794"/>
                          <w:jc w:val="left"/>
                          <w:rPr>
                            <w:rFonts w:ascii="Times New Roman" w:hAnsi="Times New Roman"/>
                            <w:sz w:val="18"/>
                          </w:rPr>
                        </w:pPr>
                        <w:r>
                          <w:rPr>
                            <w:rFonts w:ascii="Times New Roman" w:hAnsi="Times New Roman"/>
                            <w:sz w:val="18"/>
                          </w:rPr>
                          <w:t>Cap rate – commercial components</w:t>
                        </w:r>
                      </w:p>
                    </w:tc>
                    <w:tc>
                      <w:tcPr>
                        <w:tcW w:w="1929" w:type="dxa"/>
                        <w:tcBorders>
                          <w:bottom w:val="single" w:sz="6" w:space="0" w:color="5FFF00"/>
                        </w:tcBorders>
                      </w:tcPr>
                      <w:p>
                        <w:pPr>
                          <w:pStyle w:val="TableParagraph"/>
                          <w:spacing w:line="186" w:lineRule="exact"/>
                          <w:ind w:right="42"/>
                          <w:rPr>
                            <w:rFonts w:ascii="Times New Roman"/>
                            <w:sz w:val="18"/>
                          </w:rPr>
                        </w:pPr>
                        <w:r>
                          <w:rPr>
                            <w:rFonts w:ascii="Times New Roman"/>
                            <w:w w:val="99"/>
                            <w:sz w:val="18"/>
                          </w:rPr>
                          <w:t>%</w:t>
                        </w:r>
                      </w:p>
                    </w:tc>
                    <w:tc>
                      <w:tcPr>
                        <w:tcW w:w="1723" w:type="dxa"/>
                        <w:tcBorders>
                          <w:bottom w:val="single" w:sz="6" w:space="0" w:color="5FFF00"/>
                        </w:tcBorders>
                      </w:tcPr>
                      <w:p>
                        <w:pPr>
                          <w:pStyle w:val="TableParagraph"/>
                          <w:spacing w:line="186" w:lineRule="exact"/>
                          <w:ind w:left="449" w:right="596"/>
                          <w:rPr>
                            <w:rFonts w:ascii="Times New Roman"/>
                            <w:sz w:val="18"/>
                          </w:rPr>
                        </w:pPr>
                        <w:r>
                          <w:rPr>
                            <w:rFonts w:ascii="Times New Roman"/>
                            <w:sz w:val="18"/>
                          </w:rPr>
                          <w:t>8.25%</w:t>
                        </w:r>
                      </w:p>
                    </w:tc>
                  </w:tr>
                  <w:tr>
                    <w:trPr>
                      <w:trHeight w:val="205" w:hRule="atLeast"/>
                    </w:trPr>
                    <w:tc>
                      <w:tcPr>
                        <w:tcW w:w="4037" w:type="dxa"/>
                        <w:tcBorders>
                          <w:top w:val="single" w:sz="6" w:space="0" w:color="5FFF00"/>
                          <w:bottom w:val="single" w:sz="6" w:space="0" w:color="5FFF00"/>
                        </w:tcBorders>
                      </w:tcPr>
                      <w:p>
                        <w:pPr>
                          <w:pStyle w:val="TableParagraph"/>
                          <w:spacing w:line="186" w:lineRule="exact"/>
                          <w:ind w:left="1154"/>
                          <w:jc w:val="left"/>
                          <w:rPr>
                            <w:rFonts w:ascii="Times New Roman"/>
                            <w:sz w:val="18"/>
                          </w:rPr>
                        </w:pPr>
                        <w:r>
                          <w:rPr>
                            <w:rFonts w:ascii="Times New Roman"/>
                            <w:sz w:val="18"/>
                          </w:rPr>
                          <w:t>WACC rate (operational)</w:t>
                        </w:r>
                      </w:p>
                    </w:tc>
                    <w:tc>
                      <w:tcPr>
                        <w:tcW w:w="1929" w:type="dxa"/>
                        <w:tcBorders>
                          <w:top w:val="single" w:sz="6" w:space="0" w:color="5FFF00"/>
                          <w:bottom w:val="single" w:sz="6" w:space="0" w:color="5FFF00"/>
                        </w:tcBorders>
                      </w:tcPr>
                      <w:p>
                        <w:pPr>
                          <w:pStyle w:val="TableParagraph"/>
                          <w:spacing w:line="186" w:lineRule="exact"/>
                          <w:ind w:right="42"/>
                          <w:rPr>
                            <w:rFonts w:ascii="Times New Roman"/>
                            <w:sz w:val="18"/>
                          </w:rPr>
                        </w:pPr>
                        <w:r>
                          <w:rPr>
                            <w:rFonts w:ascii="Times New Roman"/>
                            <w:w w:val="99"/>
                            <w:sz w:val="18"/>
                          </w:rPr>
                          <w:t>%</w:t>
                        </w:r>
                      </w:p>
                    </w:tc>
                    <w:tc>
                      <w:tcPr>
                        <w:tcW w:w="1723" w:type="dxa"/>
                        <w:tcBorders>
                          <w:top w:val="single" w:sz="6" w:space="0" w:color="5FFF00"/>
                          <w:bottom w:val="single" w:sz="6" w:space="0" w:color="5FFF00"/>
                        </w:tcBorders>
                      </w:tcPr>
                      <w:p>
                        <w:pPr>
                          <w:pStyle w:val="TableParagraph"/>
                          <w:spacing w:line="186" w:lineRule="exact"/>
                          <w:ind w:left="449" w:right="597"/>
                          <w:rPr>
                            <w:rFonts w:ascii="Times New Roman"/>
                            <w:sz w:val="18"/>
                          </w:rPr>
                        </w:pPr>
                        <w:r>
                          <w:rPr>
                            <w:rFonts w:ascii="Times New Roman"/>
                            <w:sz w:val="18"/>
                          </w:rPr>
                          <w:t>12.03%</w:t>
                        </w:r>
                      </w:p>
                    </w:tc>
                  </w:tr>
                  <w:tr>
                    <w:trPr>
                      <w:trHeight w:val="208" w:hRule="atLeast"/>
                    </w:trPr>
                    <w:tc>
                      <w:tcPr>
                        <w:tcW w:w="4037" w:type="dxa"/>
                        <w:tcBorders>
                          <w:top w:val="single" w:sz="6" w:space="0" w:color="5FFF00"/>
                          <w:bottom w:val="single" w:sz="6" w:space="0" w:color="5FFF00"/>
                        </w:tcBorders>
                      </w:tcPr>
                      <w:p>
                        <w:pPr>
                          <w:pStyle w:val="TableParagraph"/>
                          <w:spacing w:line="186" w:lineRule="exact" w:before="2"/>
                          <w:ind w:left="525"/>
                          <w:jc w:val="left"/>
                          <w:rPr>
                            <w:rFonts w:ascii="Times New Roman"/>
                            <w:sz w:val="18"/>
                          </w:rPr>
                        </w:pPr>
                        <w:r>
                          <w:rPr>
                            <w:rFonts w:ascii="Times New Roman"/>
                            <w:sz w:val="18"/>
                          </w:rPr>
                          <w:t>WACC rate (under-construction/proposed)</w:t>
                        </w:r>
                      </w:p>
                    </w:tc>
                    <w:tc>
                      <w:tcPr>
                        <w:tcW w:w="1929" w:type="dxa"/>
                        <w:tcBorders>
                          <w:top w:val="single" w:sz="6" w:space="0" w:color="5FFF00"/>
                          <w:bottom w:val="single" w:sz="6" w:space="0" w:color="5FFF00"/>
                        </w:tcBorders>
                      </w:tcPr>
                      <w:p>
                        <w:pPr>
                          <w:pStyle w:val="TableParagraph"/>
                          <w:spacing w:line="186" w:lineRule="exact" w:before="2"/>
                          <w:ind w:right="42"/>
                          <w:rPr>
                            <w:rFonts w:ascii="Times New Roman"/>
                            <w:sz w:val="18"/>
                          </w:rPr>
                        </w:pPr>
                        <w:r>
                          <w:rPr>
                            <w:rFonts w:ascii="Times New Roman"/>
                            <w:w w:val="99"/>
                            <w:sz w:val="18"/>
                          </w:rPr>
                          <w:t>%</w:t>
                        </w:r>
                      </w:p>
                    </w:tc>
                    <w:tc>
                      <w:tcPr>
                        <w:tcW w:w="1723" w:type="dxa"/>
                        <w:tcBorders>
                          <w:top w:val="single" w:sz="6" w:space="0" w:color="5FFF00"/>
                          <w:bottom w:val="single" w:sz="6" w:space="0" w:color="5FFF00"/>
                        </w:tcBorders>
                      </w:tcPr>
                      <w:p>
                        <w:pPr>
                          <w:pStyle w:val="TableParagraph"/>
                          <w:spacing w:line="186" w:lineRule="exact" w:before="2"/>
                          <w:ind w:left="447" w:right="597"/>
                          <w:rPr>
                            <w:rFonts w:ascii="Times New Roman"/>
                            <w:sz w:val="18"/>
                          </w:rPr>
                        </w:pPr>
                        <w:r>
                          <w:rPr>
                            <w:rFonts w:ascii="Times New Roman"/>
                            <w:sz w:val="18"/>
                          </w:rPr>
                          <w:t>13.00%</w:t>
                        </w:r>
                      </w:p>
                    </w:tc>
                  </w:tr>
                </w:tbl>
                <w:p>
                  <w:pPr>
                    <w:pStyle w:val="BodyText"/>
                  </w:pPr>
                </w:p>
              </w:txbxContent>
            </v:textbox>
            <w10:wrap type="none"/>
          </v:shape>
        </w:pict>
      </w:r>
      <w:r>
        <w:rPr>
          <w:rFonts w:ascii="Times New Roman"/>
          <w:color w:val="16772B"/>
          <w:sz w:val="18"/>
        </w:rPr>
        <w:t>Key Assumptions</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7"/>
        <w:rPr>
          <w:rFonts w:ascii="Times New Roman"/>
          <w:sz w:val="17"/>
        </w:rPr>
      </w:pPr>
    </w:p>
    <w:p>
      <w:pPr>
        <w:spacing w:before="92"/>
        <w:ind w:left="2493" w:right="835" w:firstLine="0"/>
        <w:jc w:val="left"/>
        <w:rPr>
          <w:rFonts w:ascii="Times New Roman"/>
          <w:i/>
          <w:sz w:val="18"/>
        </w:rPr>
      </w:pPr>
      <w:r>
        <w:rPr>
          <w:rFonts w:ascii="Times New Roman"/>
          <w:i/>
          <w:sz w:val="18"/>
        </w:rPr>
        <w:t>* Indicative of pending cost towards base build works and does not include the cost for refurbishments/ </w:t>
      </w:r>
      <w:r>
        <w:rPr>
          <w:rFonts w:ascii="Times New Roman"/>
          <w:i/>
          <w:sz w:val="18"/>
        </w:rPr>
        <w:t>infrastructure upgrade works</w:t>
      </w:r>
    </w:p>
    <w:p>
      <w:pPr>
        <w:tabs>
          <w:tab w:pos="2493" w:val="left" w:leader="none"/>
        </w:tabs>
        <w:spacing w:before="122"/>
        <w:ind w:left="820" w:right="0" w:firstLine="0"/>
        <w:jc w:val="left"/>
        <w:rPr>
          <w:rFonts w:ascii="Times New Roman"/>
          <w:b/>
          <w:sz w:val="18"/>
        </w:rPr>
      </w:pPr>
      <w:r>
        <w:rPr>
          <w:rFonts w:ascii="Times New Roman"/>
          <w:color w:val="16772B"/>
          <w:sz w:val="18"/>
        </w:rPr>
        <w:t>Market</w:t>
      </w:r>
      <w:r>
        <w:rPr>
          <w:rFonts w:ascii="Times New Roman"/>
          <w:color w:val="16772B"/>
          <w:spacing w:val="-1"/>
          <w:sz w:val="18"/>
        </w:rPr>
        <w:t> </w:t>
      </w:r>
      <w:r>
        <w:rPr>
          <w:rFonts w:ascii="Times New Roman"/>
          <w:color w:val="16772B"/>
          <w:sz w:val="18"/>
        </w:rPr>
        <w:t>Value:</w:t>
        <w:tab/>
      </w:r>
      <w:r>
        <w:rPr>
          <w:rFonts w:ascii="Times New Roman"/>
          <w:b/>
          <w:sz w:val="18"/>
        </w:rPr>
        <w:t>INR 21,032</w:t>
      </w:r>
      <w:r>
        <w:rPr>
          <w:rFonts w:ascii="Times New Roman"/>
          <w:b/>
          <w:spacing w:val="-1"/>
          <w:sz w:val="18"/>
        </w:rPr>
        <w:t> </w:t>
      </w:r>
      <w:r>
        <w:rPr>
          <w:rFonts w:ascii="Times New Roman"/>
          <w:b/>
          <w:sz w:val="18"/>
        </w:rPr>
        <w:t>Mn</w:t>
      </w:r>
    </w:p>
    <w:p>
      <w:pPr>
        <w:spacing w:after="0"/>
        <w:jc w:val="left"/>
        <w:rPr>
          <w:rFonts w:ascii="Times New Roman"/>
          <w:sz w:val="18"/>
        </w:rPr>
        <w:sectPr>
          <w:pgSz w:w="12240" w:h="15840"/>
          <w:pgMar w:header="728" w:footer="1174" w:top="1180" w:bottom="1460" w:left="620" w:right="580"/>
        </w:sectPr>
      </w:pPr>
    </w:p>
    <w:p>
      <w:pPr>
        <w:pStyle w:val="BodyText"/>
        <w:rPr>
          <w:rFonts w:ascii="Times New Roman"/>
          <w:b/>
          <w:sz w:val="18"/>
        </w:rPr>
      </w:pPr>
    </w:p>
    <w:p>
      <w:pPr>
        <w:pStyle w:val="ListParagraph"/>
        <w:numPr>
          <w:ilvl w:val="1"/>
          <w:numId w:val="1"/>
        </w:numPr>
        <w:tabs>
          <w:tab w:pos="1309" w:val="left" w:leader="none"/>
          <w:tab w:pos="1311" w:val="left" w:leader="none"/>
        </w:tabs>
        <w:spacing w:line="240" w:lineRule="auto" w:before="91" w:after="0"/>
        <w:ind w:left="1310" w:right="0" w:hanging="491"/>
        <w:jc w:val="left"/>
        <w:rPr>
          <w:rFonts w:ascii="Times New Roman"/>
          <w:color w:val="1E6C28"/>
          <w:sz w:val="20"/>
        </w:rPr>
      </w:pPr>
      <w:r>
        <w:rPr>
          <w:rFonts w:ascii="Times New Roman"/>
          <w:color w:val="1E6C28"/>
          <w:sz w:val="20"/>
        </w:rPr>
        <w:t>Embassy Quadron</w:t>
      </w:r>
    </w:p>
    <w:p>
      <w:pPr>
        <w:pStyle w:val="BodyText"/>
        <w:rPr>
          <w:rFonts w:ascii="Times New Roman"/>
          <w:sz w:val="24"/>
        </w:rPr>
      </w:pPr>
    </w:p>
    <w:p>
      <w:pPr>
        <w:tabs>
          <w:tab w:pos="2255" w:val="left" w:leader="none"/>
        </w:tabs>
        <w:spacing w:before="0"/>
        <w:ind w:left="2255" w:right="835" w:hanging="1990"/>
        <w:jc w:val="left"/>
        <w:rPr>
          <w:rFonts w:ascii="Times New Roman" w:hAnsi="Times New Roman"/>
          <w:sz w:val="18"/>
        </w:rPr>
      </w:pPr>
      <w:r>
        <w:rPr>
          <w:rFonts w:ascii="Times New Roman" w:hAnsi="Times New Roman"/>
          <w:color w:val="16772B"/>
          <w:sz w:val="18"/>
        </w:rPr>
        <w:t>Property</w:t>
      </w:r>
      <w:r>
        <w:rPr>
          <w:rFonts w:ascii="Times New Roman" w:hAnsi="Times New Roman"/>
          <w:color w:val="16772B"/>
          <w:spacing w:val="-1"/>
          <w:sz w:val="18"/>
        </w:rPr>
        <w:t> </w:t>
      </w:r>
      <w:r>
        <w:rPr>
          <w:rFonts w:ascii="Times New Roman" w:hAnsi="Times New Roman"/>
          <w:color w:val="16772B"/>
          <w:sz w:val="18"/>
        </w:rPr>
        <w:t>Name:</w:t>
        <w:tab/>
      </w:r>
      <w:r>
        <w:rPr>
          <w:rFonts w:ascii="Times New Roman" w:hAnsi="Times New Roman"/>
          <w:sz w:val="18"/>
        </w:rPr>
        <w:t>‘Embassy Quadron’ is a Commercial Office Business Park located in Phase 2, Rajiv Gandhi Infotech Park, Hinjewadi, Pune,</w:t>
      </w:r>
      <w:r>
        <w:rPr>
          <w:rFonts w:ascii="Times New Roman" w:hAnsi="Times New Roman"/>
          <w:spacing w:val="-2"/>
          <w:sz w:val="18"/>
        </w:rPr>
        <w:t> </w:t>
      </w:r>
      <w:r>
        <w:rPr>
          <w:rFonts w:ascii="Times New Roman" w:hAnsi="Times New Roman"/>
          <w:sz w:val="18"/>
        </w:rPr>
        <w:t>Maharashtra</w:t>
      </w:r>
    </w:p>
    <w:p>
      <w:pPr>
        <w:pStyle w:val="BodyText"/>
        <w:spacing w:before="5"/>
        <w:rPr>
          <w:rFonts w:ascii="Times New Roman"/>
          <w:sz w:val="27"/>
        </w:rPr>
      </w:pPr>
    </w:p>
    <w:p>
      <w:pPr>
        <w:tabs>
          <w:tab w:pos="2255" w:val="left" w:leader="none"/>
        </w:tabs>
        <w:spacing w:before="0"/>
        <w:ind w:left="265" w:right="0" w:firstLine="0"/>
        <w:jc w:val="left"/>
        <w:rPr>
          <w:rFonts w:ascii="Times New Roman"/>
          <w:sz w:val="18"/>
        </w:rPr>
      </w:pPr>
      <w:r>
        <w:rPr>
          <w:rFonts w:ascii="Times New Roman"/>
          <w:color w:val="16772B"/>
          <w:sz w:val="18"/>
        </w:rPr>
        <w:t>Property</w:t>
      </w:r>
      <w:r>
        <w:rPr>
          <w:rFonts w:ascii="Times New Roman"/>
          <w:color w:val="16772B"/>
          <w:spacing w:val="-1"/>
          <w:sz w:val="18"/>
        </w:rPr>
        <w:t> </w:t>
      </w:r>
      <w:r>
        <w:rPr>
          <w:rFonts w:ascii="Times New Roman"/>
          <w:color w:val="16772B"/>
          <w:sz w:val="18"/>
        </w:rPr>
        <w:t>Address:</w:t>
        <w:tab/>
      </w:r>
      <w:r>
        <w:rPr>
          <w:rFonts w:ascii="Times New Roman"/>
          <w:sz w:val="18"/>
        </w:rPr>
        <w:t>Plot No. 28, Hinjewadi Phase II, Rajiv Gandhi Infotech Park, Pune, Maharashtra,</w:t>
      </w:r>
      <w:r>
        <w:rPr>
          <w:rFonts w:ascii="Times New Roman"/>
          <w:spacing w:val="-13"/>
          <w:sz w:val="18"/>
        </w:rPr>
        <w:t> </w:t>
      </w:r>
      <w:r>
        <w:rPr>
          <w:rFonts w:ascii="Times New Roman"/>
          <w:sz w:val="18"/>
        </w:rPr>
        <w:t>411057</w:t>
      </w:r>
    </w:p>
    <w:p>
      <w:pPr>
        <w:pStyle w:val="BodyText"/>
        <w:spacing w:before="3"/>
        <w:rPr>
          <w:rFonts w:ascii="Times New Roman"/>
          <w:sz w:val="27"/>
        </w:rPr>
      </w:pPr>
    </w:p>
    <w:p>
      <w:pPr>
        <w:tabs>
          <w:tab w:pos="2255" w:val="left" w:leader="none"/>
        </w:tabs>
        <w:spacing w:before="1"/>
        <w:ind w:left="2255" w:right="540" w:hanging="1990"/>
        <w:jc w:val="left"/>
        <w:rPr>
          <w:rFonts w:ascii="Times New Roman"/>
          <w:sz w:val="18"/>
        </w:rPr>
      </w:pPr>
      <w:r>
        <w:rPr>
          <w:rFonts w:ascii="Times New Roman"/>
          <w:color w:val="16772B"/>
          <w:sz w:val="18"/>
        </w:rPr>
        <w:t>Land Area:</w:t>
        <w:tab/>
      </w:r>
      <w:r>
        <w:rPr>
          <w:rFonts w:ascii="Times New Roman"/>
          <w:sz w:val="18"/>
        </w:rPr>
        <w:t>Based on review of the title report, the Valuer understands that the total land area of the subject property under the ownership of the Client is approximately 25.52</w:t>
      </w:r>
      <w:r>
        <w:rPr>
          <w:rFonts w:ascii="Times New Roman"/>
          <w:spacing w:val="-3"/>
          <w:sz w:val="18"/>
        </w:rPr>
        <w:t> </w:t>
      </w:r>
      <w:r>
        <w:rPr>
          <w:rFonts w:ascii="Times New Roman"/>
          <w:sz w:val="18"/>
        </w:rPr>
        <w:t>acres</w:t>
      </w:r>
    </w:p>
    <w:p>
      <w:pPr>
        <w:pStyle w:val="BodyText"/>
        <w:spacing w:before="5"/>
        <w:rPr>
          <w:rFonts w:ascii="Times New Roman"/>
          <w:sz w:val="27"/>
        </w:rPr>
      </w:pPr>
    </w:p>
    <w:p>
      <w:pPr>
        <w:tabs>
          <w:tab w:pos="2255" w:val="left" w:leader="none"/>
        </w:tabs>
        <w:spacing w:before="0"/>
        <w:ind w:left="2255" w:right="298" w:hanging="1990"/>
        <w:jc w:val="both"/>
        <w:rPr>
          <w:rFonts w:ascii="Times New Roman" w:hAnsi="Times New Roman"/>
          <w:sz w:val="18"/>
        </w:rPr>
      </w:pPr>
      <w:r>
        <w:rPr>
          <w:rFonts w:ascii="Times New Roman" w:hAnsi="Times New Roman"/>
          <w:color w:val="16772B"/>
          <w:sz w:val="18"/>
        </w:rPr>
        <w:t>Brief</w:t>
      </w:r>
      <w:r>
        <w:rPr>
          <w:rFonts w:ascii="Times New Roman" w:hAnsi="Times New Roman"/>
          <w:color w:val="16772B"/>
          <w:spacing w:val="-1"/>
          <w:sz w:val="18"/>
        </w:rPr>
        <w:t> </w:t>
      </w:r>
      <w:r>
        <w:rPr>
          <w:rFonts w:ascii="Times New Roman" w:hAnsi="Times New Roman"/>
          <w:color w:val="16772B"/>
          <w:sz w:val="18"/>
        </w:rPr>
        <w:t>Description:</w:t>
        <w:tab/>
      </w:r>
      <w:r>
        <w:rPr>
          <w:rFonts w:ascii="Times New Roman" w:hAnsi="Times New Roman"/>
          <w:sz w:val="18"/>
        </w:rPr>
        <w:t>‘Embassy Quadron’, has been conceptualized as an IT SEZ office development leased to various domestic and multi- national IT/ ITeS tenants. The property is well equipped with number of facilities and amenities like enhanced landscapes, Q café food court, grocery stores, ATMs, indoor sports zone, gymnasium, crèche, two-wheeler and four- wheeler car parking spaces, etc. The property has been constructed in phased manner between 2008 to</w:t>
      </w:r>
      <w:r>
        <w:rPr>
          <w:rFonts w:ascii="Times New Roman" w:hAnsi="Times New Roman"/>
          <w:spacing w:val="-16"/>
          <w:sz w:val="18"/>
        </w:rPr>
        <w:t> </w:t>
      </w:r>
      <w:r>
        <w:rPr>
          <w:rFonts w:ascii="Times New Roman" w:hAnsi="Times New Roman"/>
          <w:sz w:val="18"/>
        </w:rPr>
        <w:t>2011.</w:t>
      </w:r>
    </w:p>
    <w:p>
      <w:pPr>
        <w:pStyle w:val="BodyText"/>
        <w:rPr>
          <w:rFonts w:ascii="Times New Roman"/>
          <w:sz w:val="24"/>
        </w:rPr>
      </w:pPr>
    </w:p>
    <w:p>
      <w:pPr>
        <w:spacing w:before="0"/>
        <w:ind w:left="2255" w:right="0" w:firstLine="0"/>
        <w:jc w:val="both"/>
        <w:rPr>
          <w:rFonts w:ascii="Times New Roman"/>
          <w:sz w:val="18"/>
        </w:rPr>
      </w:pPr>
      <w:r>
        <w:rPr>
          <w:rFonts w:ascii="Times New Roman"/>
          <w:sz w:val="18"/>
        </w:rPr>
        <w:t>The development currently includes four operational buildings (Q1 to Q4).</w:t>
      </w:r>
    </w:p>
    <w:p>
      <w:pPr>
        <w:pStyle w:val="BodyText"/>
        <w:rPr>
          <w:rFonts w:ascii="Times New Roman"/>
          <w:sz w:val="24"/>
        </w:rPr>
      </w:pPr>
    </w:p>
    <w:p>
      <w:pPr>
        <w:spacing w:before="0"/>
        <w:ind w:left="2255" w:right="305" w:firstLine="0"/>
        <w:jc w:val="both"/>
        <w:rPr>
          <w:rFonts w:ascii="Times New Roman" w:hAnsi="Times New Roman"/>
          <w:sz w:val="18"/>
        </w:rPr>
      </w:pPr>
      <w:r>
        <w:rPr>
          <w:rFonts w:ascii="Times New Roman" w:hAnsi="Times New Roman"/>
          <w:sz w:val="18"/>
        </w:rPr>
        <w:t>Further, ‘Embassy Quadron’ is strategically located in Hinjewadi which is a prominent technology hub of Pune city. ‘Embassy Quadron’ is located at a distance of approximately 7 – 8 km from National Highway 48 (connecting Mumbai – Pune – Bengaluru), 22 – 23 km from Pune CBD (Peth areas), 22 – 23 km from Pune Railway Station and approximately 26 - 27 km from Pune International Airport.</w:t>
      </w:r>
    </w:p>
    <w:p>
      <w:pPr>
        <w:pStyle w:val="BodyText"/>
        <w:spacing w:before="6"/>
        <w:rPr>
          <w:rFonts w:ascii="Times New Roman"/>
          <w:sz w:val="21"/>
        </w:rPr>
      </w:pPr>
    </w:p>
    <w:p>
      <w:pPr>
        <w:spacing w:before="0"/>
        <w:ind w:left="2255" w:right="306" w:hanging="1990"/>
        <w:jc w:val="both"/>
        <w:rPr>
          <w:rFonts w:ascii="Times New Roman" w:hAnsi="Times New Roman"/>
          <w:sz w:val="18"/>
        </w:rPr>
      </w:pPr>
      <w:r>
        <w:rPr>
          <w:rFonts w:ascii="Times New Roman" w:hAnsi="Times New Roman"/>
          <w:color w:val="16772B"/>
          <w:sz w:val="18"/>
        </w:rPr>
        <w:t>Statement of Assets (sf): </w:t>
      </w:r>
      <w:r>
        <w:rPr>
          <w:rFonts w:ascii="Times New Roman" w:hAnsi="Times New Roman"/>
          <w:sz w:val="18"/>
        </w:rPr>
        <w:t>Based on review of various documents (such as rent roll, Architect’s Certificate, etc.), the Valuer understands that ‘Embassy Quadron’ is an operational SEZ office asset with approximately 1.9 msf of completed leasable area out of which committed occupancy is approximately 79.0% as on the date of valuation. Table below highlights the leasable area for individual blocks that form part of the subject development:</w:t>
      </w:r>
    </w:p>
    <w:p>
      <w:pPr>
        <w:pStyle w:val="BodyText"/>
        <w:spacing w:before="10"/>
        <w:rPr>
          <w:rFonts w:ascii="Times New Roman"/>
          <w:sz w:val="26"/>
        </w:rPr>
      </w:pPr>
    </w:p>
    <w:tbl>
      <w:tblPr>
        <w:tblW w:w="0" w:type="auto"/>
        <w:jc w:val="left"/>
        <w:tblInd w:w="22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03"/>
        <w:gridCol w:w="2784"/>
        <w:gridCol w:w="4392"/>
      </w:tblGrid>
      <w:tr>
        <w:trPr>
          <w:trHeight w:val="416" w:hRule="atLeast"/>
        </w:trPr>
        <w:tc>
          <w:tcPr>
            <w:tcW w:w="1303" w:type="dxa"/>
            <w:tcBorders>
              <w:top w:val="single" w:sz="12" w:space="0" w:color="1E7504"/>
              <w:bottom w:val="single" w:sz="6" w:space="0" w:color="5FFF00"/>
            </w:tcBorders>
            <w:shd w:val="clear" w:color="auto" w:fill="16772B"/>
          </w:tcPr>
          <w:p>
            <w:pPr>
              <w:pStyle w:val="TableParagraph"/>
              <w:jc w:val="left"/>
              <w:rPr>
                <w:rFonts w:ascii="Times New Roman"/>
                <w:sz w:val="16"/>
              </w:rPr>
            </w:pPr>
          </w:p>
        </w:tc>
        <w:tc>
          <w:tcPr>
            <w:tcW w:w="2784" w:type="dxa"/>
            <w:tcBorders>
              <w:top w:val="single" w:sz="12" w:space="0" w:color="1E7504"/>
              <w:bottom w:val="single" w:sz="6" w:space="0" w:color="5FFF00"/>
            </w:tcBorders>
            <w:shd w:val="clear" w:color="auto" w:fill="16772B"/>
          </w:tcPr>
          <w:p>
            <w:pPr>
              <w:pStyle w:val="TableParagraph"/>
              <w:spacing w:before="6"/>
              <w:jc w:val="left"/>
              <w:rPr>
                <w:rFonts w:ascii="Times New Roman"/>
                <w:sz w:val="15"/>
              </w:rPr>
            </w:pPr>
          </w:p>
          <w:p>
            <w:pPr>
              <w:pStyle w:val="TableParagraph"/>
              <w:ind w:left="567"/>
              <w:jc w:val="left"/>
              <w:rPr>
                <w:rFonts w:ascii="Times New Roman"/>
                <w:i/>
                <w:sz w:val="16"/>
              </w:rPr>
            </w:pPr>
            <w:r>
              <w:rPr>
                <w:rFonts w:ascii="Times New Roman"/>
                <w:i/>
                <w:color w:val="FFFFFF"/>
                <w:sz w:val="16"/>
              </w:rPr>
              <w:t>Components</w:t>
            </w:r>
          </w:p>
        </w:tc>
        <w:tc>
          <w:tcPr>
            <w:tcW w:w="4392" w:type="dxa"/>
            <w:tcBorders>
              <w:top w:val="single" w:sz="12" w:space="0" w:color="1E7504"/>
              <w:bottom w:val="single" w:sz="6" w:space="0" w:color="5FFF00"/>
            </w:tcBorders>
            <w:shd w:val="clear" w:color="auto" w:fill="16772B"/>
          </w:tcPr>
          <w:p>
            <w:pPr>
              <w:pStyle w:val="TableParagraph"/>
              <w:spacing w:before="8"/>
              <w:jc w:val="left"/>
              <w:rPr>
                <w:rFonts w:ascii="Times New Roman"/>
                <w:sz w:val="14"/>
              </w:rPr>
            </w:pPr>
          </w:p>
          <w:p>
            <w:pPr>
              <w:pStyle w:val="TableParagraph"/>
              <w:ind w:left="1415"/>
              <w:jc w:val="left"/>
              <w:rPr>
                <w:rFonts w:ascii="Times New Roman"/>
                <w:i/>
                <w:sz w:val="16"/>
              </w:rPr>
            </w:pPr>
            <w:r>
              <w:rPr>
                <w:rFonts w:ascii="Times New Roman"/>
                <w:i/>
                <w:color w:val="FFFFFF"/>
                <w:sz w:val="16"/>
              </w:rPr>
              <w:t>Completed leasable area (in sf)</w:t>
            </w:r>
          </w:p>
        </w:tc>
      </w:tr>
      <w:tr>
        <w:trPr>
          <w:trHeight w:val="282" w:hRule="atLeast"/>
        </w:trPr>
        <w:tc>
          <w:tcPr>
            <w:tcW w:w="1303" w:type="dxa"/>
            <w:tcBorders>
              <w:top w:val="single" w:sz="6" w:space="0" w:color="5FFF00"/>
              <w:bottom w:val="single" w:sz="8" w:space="0" w:color="999999"/>
            </w:tcBorders>
          </w:tcPr>
          <w:p>
            <w:pPr>
              <w:pStyle w:val="TableParagraph"/>
              <w:spacing w:line="175" w:lineRule="exact" w:before="88"/>
              <w:jc w:val="left"/>
              <w:rPr>
                <w:rFonts w:ascii="Times New Roman"/>
                <w:sz w:val="16"/>
              </w:rPr>
            </w:pPr>
            <w:r>
              <w:rPr>
                <w:rFonts w:ascii="Times New Roman"/>
                <w:sz w:val="16"/>
              </w:rPr>
              <w:t>Office</w:t>
            </w:r>
          </w:p>
        </w:tc>
        <w:tc>
          <w:tcPr>
            <w:tcW w:w="2784" w:type="dxa"/>
            <w:tcBorders>
              <w:top w:val="single" w:sz="6" w:space="0" w:color="5FFF00"/>
              <w:bottom w:val="single" w:sz="8" w:space="0" w:color="999999"/>
            </w:tcBorders>
          </w:tcPr>
          <w:p>
            <w:pPr>
              <w:pStyle w:val="TableParagraph"/>
              <w:jc w:val="left"/>
              <w:rPr>
                <w:rFonts w:ascii="Times New Roman"/>
                <w:sz w:val="16"/>
              </w:rPr>
            </w:pPr>
          </w:p>
        </w:tc>
        <w:tc>
          <w:tcPr>
            <w:tcW w:w="4392" w:type="dxa"/>
            <w:tcBorders>
              <w:top w:val="single" w:sz="6" w:space="0" w:color="5FFF00"/>
              <w:bottom w:val="single" w:sz="8" w:space="0" w:color="999999"/>
            </w:tcBorders>
          </w:tcPr>
          <w:p>
            <w:pPr>
              <w:pStyle w:val="TableParagraph"/>
              <w:spacing w:line="186" w:lineRule="exact" w:before="77"/>
              <w:ind w:left="1971" w:right="1660"/>
              <w:rPr>
                <w:rFonts w:ascii="Times New Roman"/>
                <w:sz w:val="18"/>
              </w:rPr>
            </w:pPr>
            <w:r>
              <w:rPr>
                <w:rFonts w:ascii="Times New Roman"/>
                <w:sz w:val="18"/>
              </w:rPr>
              <w:t>1,843,236</w:t>
            </w:r>
          </w:p>
        </w:tc>
      </w:tr>
      <w:tr>
        <w:trPr>
          <w:trHeight w:val="282" w:hRule="atLeast"/>
        </w:trPr>
        <w:tc>
          <w:tcPr>
            <w:tcW w:w="1303" w:type="dxa"/>
            <w:tcBorders>
              <w:top w:val="single" w:sz="8" w:space="0" w:color="999999"/>
              <w:bottom w:val="single" w:sz="8" w:space="0" w:color="999999"/>
            </w:tcBorders>
          </w:tcPr>
          <w:p>
            <w:pPr>
              <w:pStyle w:val="TableParagraph"/>
              <w:spacing w:line="175" w:lineRule="exact" w:before="88"/>
              <w:jc w:val="left"/>
              <w:rPr>
                <w:rFonts w:ascii="Times New Roman"/>
                <w:sz w:val="16"/>
              </w:rPr>
            </w:pPr>
            <w:r>
              <w:rPr>
                <w:rFonts w:ascii="Times New Roman"/>
                <w:sz w:val="16"/>
              </w:rPr>
              <w:t>Retail</w:t>
            </w:r>
          </w:p>
        </w:tc>
        <w:tc>
          <w:tcPr>
            <w:tcW w:w="2784" w:type="dxa"/>
            <w:tcBorders>
              <w:top w:val="single" w:sz="8" w:space="0" w:color="999999"/>
              <w:bottom w:val="single" w:sz="8" w:space="0" w:color="999999"/>
            </w:tcBorders>
          </w:tcPr>
          <w:p>
            <w:pPr>
              <w:pStyle w:val="TableParagraph"/>
              <w:jc w:val="left"/>
              <w:rPr>
                <w:rFonts w:ascii="Times New Roman"/>
                <w:sz w:val="16"/>
              </w:rPr>
            </w:pPr>
          </w:p>
        </w:tc>
        <w:tc>
          <w:tcPr>
            <w:tcW w:w="4392" w:type="dxa"/>
            <w:tcBorders>
              <w:top w:val="single" w:sz="8" w:space="0" w:color="999999"/>
              <w:bottom w:val="single" w:sz="8" w:space="0" w:color="999999"/>
            </w:tcBorders>
          </w:tcPr>
          <w:p>
            <w:pPr>
              <w:pStyle w:val="TableParagraph"/>
              <w:spacing w:line="188" w:lineRule="exact" w:before="74"/>
              <w:ind w:left="1971" w:right="1660"/>
              <w:rPr>
                <w:rFonts w:ascii="Times New Roman"/>
                <w:sz w:val="18"/>
              </w:rPr>
            </w:pPr>
            <w:r>
              <w:rPr>
                <w:rFonts w:ascii="Times New Roman"/>
                <w:sz w:val="18"/>
              </w:rPr>
              <w:t>22,887</w:t>
            </w:r>
          </w:p>
        </w:tc>
      </w:tr>
      <w:tr>
        <w:trPr>
          <w:trHeight w:val="280" w:hRule="atLeast"/>
        </w:trPr>
        <w:tc>
          <w:tcPr>
            <w:tcW w:w="1303" w:type="dxa"/>
            <w:tcBorders>
              <w:top w:val="single" w:sz="8" w:space="0" w:color="999999"/>
              <w:bottom w:val="single" w:sz="6" w:space="0" w:color="000000"/>
            </w:tcBorders>
          </w:tcPr>
          <w:p>
            <w:pPr>
              <w:pStyle w:val="TableParagraph"/>
              <w:spacing w:line="172" w:lineRule="exact" w:before="88"/>
              <w:jc w:val="left"/>
              <w:rPr>
                <w:rFonts w:ascii="Times New Roman"/>
                <w:sz w:val="16"/>
              </w:rPr>
            </w:pPr>
            <w:r>
              <w:rPr>
                <w:rFonts w:ascii="Times New Roman"/>
                <w:sz w:val="16"/>
              </w:rPr>
              <w:t>Food Court</w:t>
            </w:r>
          </w:p>
        </w:tc>
        <w:tc>
          <w:tcPr>
            <w:tcW w:w="2784" w:type="dxa"/>
            <w:tcBorders>
              <w:top w:val="single" w:sz="8" w:space="0" w:color="999999"/>
              <w:bottom w:val="single" w:sz="6" w:space="0" w:color="000000"/>
            </w:tcBorders>
          </w:tcPr>
          <w:p>
            <w:pPr>
              <w:pStyle w:val="TableParagraph"/>
              <w:jc w:val="left"/>
              <w:rPr>
                <w:rFonts w:ascii="Times New Roman"/>
                <w:sz w:val="16"/>
              </w:rPr>
            </w:pPr>
          </w:p>
        </w:tc>
        <w:tc>
          <w:tcPr>
            <w:tcW w:w="4392" w:type="dxa"/>
            <w:tcBorders>
              <w:top w:val="single" w:sz="8" w:space="0" w:color="999999"/>
              <w:bottom w:val="single" w:sz="6" w:space="0" w:color="000000"/>
            </w:tcBorders>
          </w:tcPr>
          <w:p>
            <w:pPr>
              <w:pStyle w:val="TableParagraph"/>
              <w:spacing w:line="186" w:lineRule="exact" w:before="74"/>
              <w:ind w:left="1971" w:right="1660"/>
              <w:rPr>
                <w:rFonts w:ascii="Times New Roman"/>
                <w:sz w:val="18"/>
              </w:rPr>
            </w:pPr>
            <w:r>
              <w:rPr>
                <w:rFonts w:ascii="Times New Roman"/>
                <w:sz w:val="18"/>
              </w:rPr>
              <w:t>28,551</w:t>
            </w:r>
          </w:p>
        </w:tc>
      </w:tr>
      <w:tr>
        <w:trPr>
          <w:trHeight w:val="282" w:hRule="atLeast"/>
        </w:trPr>
        <w:tc>
          <w:tcPr>
            <w:tcW w:w="1303" w:type="dxa"/>
            <w:tcBorders>
              <w:top w:val="single" w:sz="6" w:space="0" w:color="000000"/>
              <w:bottom w:val="single" w:sz="12" w:space="0" w:color="16772B"/>
            </w:tcBorders>
          </w:tcPr>
          <w:p>
            <w:pPr>
              <w:pStyle w:val="TableParagraph"/>
              <w:spacing w:line="174" w:lineRule="exact" w:before="88"/>
              <w:jc w:val="left"/>
              <w:rPr>
                <w:rFonts w:ascii="Times New Roman"/>
                <w:b/>
                <w:sz w:val="16"/>
              </w:rPr>
            </w:pPr>
            <w:r>
              <w:rPr>
                <w:rFonts w:ascii="Times New Roman"/>
                <w:b/>
                <w:sz w:val="16"/>
              </w:rPr>
              <w:t>Total</w:t>
            </w:r>
          </w:p>
        </w:tc>
        <w:tc>
          <w:tcPr>
            <w:tcW w:w="2784" w:type="dxa"/>
            <w:tcBorders>
              <w:top w:val="single" w:sz="6" w:space="0" w:color="000000"/>
              <w:bottom w:val="single" w:sz="12" w:space="0" w:color="16772B"/>
            </w:tcBorders>
          </w:tcPr>
          <w:p>
            <w:pPr>
              <w:pStyle w:val="TableParagraph"/>
              <w:jc w:val="left"/>
              <w:rPr>
                <w:rFonts w:ascii="Times New Roman"/>
                <w:sz w:val="16"/>
              </w:rPr>
            </w:pPr>
          </w:p>
        </w:tc>
        <w:tc>
          <w:tcPr>
            <w:tcW w:w="4392" w:type="dxa"/>
            <w:tcBorders>
              <w:top w:val="single" w:sz="6" w:space="0" w:color="000000"/>
              <w:bottom w:val="single" w:sz="12" w:space="0" w:color="16772B"/>
            </w:tcBorders>
          </w:tcPr>
          <w:p>
            <w:pPr>
              <w:pStyle w:val="TableParagraph"/>
              <w:spacing w:line="186" w:lineRule="exact" w:before="76"/>
              <w:ind w:left="1971" w:right="1660"/>
              <w:rPr>
                <w:rFonts w:ascii="Times New Roman"/>
                <w:b/>
                <w:sz w:val="18"/>
              </w:rPr>
            </w:pPr>
            <w:r>
              <w:rPr>
                <w:rFonts w:ascii="Times New Roman"/>
                <w:b/>
                <w:sz w:val="18"/>
              </w:rPr>
              <w:t>1,894,674</w:t>
            </w:r>
          </w:p>
        </w:tc>
      </w:tr>
    </w:tbl>
    <w:p>
      <w:pPr>
        <w:spacing w:before="108"/>
        <w:ind w:left="2255" w:right="0" w:firstLine="0"/>
        <w:jc w:val="both"/>
        <w:rPr>
          <w:rFonts w:ascii="Times New Roman"/>
          <w:sz w:val="18"/>
        </w:rPr>
      </w:pPr>
      <w:r>
        <w:rPr>
          <w:rFonts w:ascii="Times New Roman"/>
          <w:sz w:val="18"/>
        </w:rPr>
        <w:t>Source: Rent roll, lease deeds, architect certificate provided by the Client;</w:t>
      </w:r>
    </w:p>
    <w:p>
      <w:pPr>
        <w:spacing w:after="0"/>
        <w:jc w:val="both"/>
        <w:rPr>
          <w:rFonts w:ascii="Times New Roman"/>
          <w:sz w:val="18"/>
        </w:rPr>
        <w:sectPr>
          <w:pgSz w:w="12240" w:h="15840"/>
          <w:pgMar w:header="728" w:footer="1174" w:top="1180" w:bottom="1460" w:left="620" w:right="580"/>
        </w:sectPr>
      </w:pPr>
    </w:p>
    <w:p>
      <w:pPr>
        <w:pStyle w:val="BodyText"/>
        <w:rPr>
          <w:rFonts w:ascii="Times New Roman"/>
          <w:sz w:val="20"/>
        </w:rPr>
      </w:pPr>
    </w:p>
    <w:p>
      <w:pPr>
        <w:pStyle w:val="BodyText"/>
        <w:spacing w:before="10"/>
        <w:rPr>
          <w:rFonts w:ascii="Times New Roman"/>
          <w:sz w:val="21"/>
        </w:rPr>
      </w:pPr>
    </w:p>
    <w:p>
      <w:pPr>
        <w:spacing w:before="92"/>
        <w:ind w:left="265" w:right="0" w:firstLine="0"/>
        <w:jc w:val="left"/>
        <w:rPr>
          <w:rFonts w:ascii="Times New Roman"/>
          <w:sz w:val="18"/>
        </w:rPr>
      </w:pPr>
      <w:r>
        <w:rPr/>
        <w:drawing>
          <wp:anchor distT="0" distB="0" distL="0" distR="0" allowOverlap="1" layoutInCell="1" locked="0" behindDoc="0" simplePos="0" relativeHeight="15769600">
            <wp:simplePos x="0" y="0"/>
            <wp:positionH relativeFrom="page">
              <wp:posOffset>1725295</wp:posOffset>
            </wp:positionH>
            <wp:positionV relativeFrom="paragraph">
              <wp:posOffset>59592</wp:posOffset>
            </wp:positionV>
            <wp:extent cx="4779009" cy="2458085"/>
            <wp:effectExtent l="0" t="0" r="0" b="0"/>
            <wp:wrapNone/>
            <wp:docPr id="25" name="image16.jpeg"/>
            <wp:cNvGraphicFramePr>
              <a:graphicFrameLocks noChangeAspect="1"/>
            </wp:cNvGraphicFramePr>
            <a:graphic>
              <a:graphicData uri="http://schemas.openxmlformats.org/drawingml/2006/picture">
                <pic:pic>
                  <pic:nvPicPr>
                    <pic:cNvPr id="26" name="image16.jpeg"/>
                    <pic:cNvPicPr/>
                  </pic:nvPicPr>
                  <pic:blipFill>
                    <a:blip r:embed="rId22" cstate="print"/>
                    <a:stretch>
                      <a:fillRect/>
                    </a:stretch>
                  </pic:blipFill>
                  <pic:spPr>
                    <a:xfrm>
                      <a:off x="0" y="0"/>
                      <a:ext cx="4779009" cy="2458085"/>
                    </a:xfrm>
                    <a:prstGeom prst="rect">
                      <a:avLst/>
                    </a:prstGeom>
                  </pic:spPr>
                </pic:pic>
              </a:graphicData>
            </a:graphic>
          </wp:anchor>
        </w:drawing>
      </w:r>
      <w:r>
        <w:rPr>
          <w:rFonts w:ascii="Times New Roman"/>
          <w:color w:val="16772B"/>
          <w:sz w:val="18"/>
        </w:rPr>
        <w:t>Location Map</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0"/>
        <w:rPr>
          <w:rFonts w:ascii="Times New Roman"/>
          <w:sz w:val="25"/>
        </w:rPr>
      </w:pPr>
    </w:p>
    <w:p>
      <w:pPr>
        <w:spacing w:before="0"/>
        <w:ind w:left="265" w:right="0" w:firstLine="0"/>
        <w:jc w:val="left"/>
        <w:rPr>
          <w:rFonts w:ascii="Times New Roman"/>
          <w:sz w:val="18"/>
        </w:rPr>
      </w:pPr>
      <w:r>
        <w:rPr/>
        <w:pict>
          <v:group style="position:absolute;margin-left:136.339996pt;margin-top:-.717644pt;width:431.4pt;height:22.95pt;mso-position-horizontal-relative:page;mso-position-vertical-relative:paragraph;z-index:15770112" coordorigin="2727,-14" coordsize="8628,459">
            <v:shape style="position:absolute;left:2726;top:0;width:8628;height:207" coordorigin="2727,0" coordsize="8628,207" path="m9055,0l6755,0,2727,0,2727,206,6755,206,9055,206,9055,0xm11354,0l9055,0,9055,206,11354,206,11354,0xe" filled="true" fillcolor="#16772b" stroked="false">
              <v:path arrowok="t"/>
              <v:fill type="solid"/>
            </v:shape>
            <v:shape style="position:absolute;left:2726;top:-15;width:8628;height:459" coordorigin="2727,-14" coordsize="8628,459" path="m9055,-14l6769,-14,6755,-14,2727,-14,2727,0,6755,0,6769,0,9055,0,9055,-14xm11354,206l9069,206,9055,206,9055,221,9055,221,9055,206,6769,206,6755,206,2727,206,2727,221,2727,430,2727,444,6755,444,6769,444,9055,444,9055,430,9055,430,9055,444,9069,444,11354,444,11354,430,11354,221,11354,206xm11354,-14l9069,-14,9055,-14,9055,0,9069,0,11354,0,11354,-14xe" filled="true" fillcolor="#5fff00" stroked="false">
              <v:path arrowok="t"/>
              <v:fill type="solid"/>
            </v:shape>
            <w10:wrap type="none"/>
          </v:group>
        </w:pict>
      </w:r>
      <w:r>
        <w:rPr/>
        <w:pict>
          <v:shape style="position:absolute;margin-left:136.339996pt;margin-top:-.357644pt;width:431.4pt;height:100.6pt;mso-position-horizontal-relative:page;mso-position-vertical-relative:paragraph;z-index:157706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28"/>
                    <w:gridCol w:w="2201"/>
                  </w:tblGrid>
                  <w:tr>
                    <w:trPr>
                      <w:trHeight w:val="451" w:hRule="atLeast"/>
                    </w:trPr>
                    <w:tc>
                      <w:tcPr>
                        <w:tcW w:w="8629" w:type="dxa"/>
                        <w:gridSpan w:val="2"/>
                      </w:tcPr>
                      <w:p>
                        <w:pPr>
                          <w:pStyle w:val="TableParagraph"/>
                          <w:tabs>
                            <w:tab w:pos="4120" w:val="left" w:leader="none"/>
                            <w:tab w:pos="6326" w:val="left" w:leader="none"/>
                          </w:tabs>
                          <w:spacing w:before="7"/>
                          <w:ind w:left="731"/>
                          <w:rPr>
                            <w:rFonts w:ascii="Times New Roman"/>
                            <w:sz w:val="18"/>
                          </w:rPr>
                        </w:pPr>
                        <w:r>
                          <w:rPr>
                            <w:rFonts w:ascii="Times New Roman"/>
                            <w:color w:val="FFFFFF"/>
                            <w:sz w:val="18"/>
                          </w:rPr>
                          <w:t>Particulars</w:t>
                          <w:tab/>
                          <w:t>Unit</w:t>
                          <w:tab/>
                          <w:t>Details</w:t>
                        </w:r>
                      </w:p>
                      <w:p>
                        <w:pPr>
                          <w:pStyle w:val="TableParagraph"/>
                          <w:spacing w:line="203" w:lineRule="exact" w:before="14"/>
                          <w:ind w:left="731" w:right="732"/>
                          <w:rPr>
                            <w:rFonts w:ascii="Times New Roman"/>
                            <w:sz w:val="18"/>
                          </w:rPr>
                        </w:pPr>
                        <w:r>
                          <w:rPr>
                            <w:rFonts w:ascii="Times New Roman"/>
                            <w:sz w:val="18"/>
                          </w:rPr>
                          <w:t>Revenue assumptions (as on March 31, 2020)</w:t>
                        </w:r>
                      </w:p>
                    </w:tc>
                  </w:tr>
                  <w:tr>
                    <w:trPr>
                      <w:trHeight w:val="206" w:hRule="atLeast"/>
                    </w:trPr>
                    <w:tc>
                      <w:tcPr>
                        <w:tcW w:w="6428" w:type="dxa"/>
                        <w:tcBorders>
                          <w:bottom w:val="single" w:sz="6" w:space="0" w:color="5FFF00"/>
                        </w:tcBorders>
                      </w:tcPr>
                      <w:p>
                        <w:pPr>
                          <w:pStyle w:val="TableParagraph"/>
                          <w:tabs>
                            <w:tab w:pos="5002" w:val="left" w:leader="none"/>
                          </w:tabs>
                          <w:spacing w:line="186" w:lineRule="exact"/>
                          <w:ind w:left="1375"/>
                          <w:jc w:val="left"/>
                          <w:rPr>
                            <w:rFonts w:ascii="Times New Roman"/>
                            <w:sz w:val="18"/>
                          </w:rPr>
                        </w:pPr>
                        <w:r>
                          <w:rPr>
                            <w:rFonts w:ascii="Times New Roman"/>
                            <w:sz w:val="18"/>
                          </w:rPr>
                          <w:t>Lease</w:t>
                        </w:r>
                        <w:r>
                          <w:rPr>
                            <w:rFonts w:ascii="Times New Roman"/>
                            <w:spacing w:val="-2"/>
                            <w:sz w:val="18"/>
                          </w:rPr>
                          <w:t> </w:t>
                        </w:r>
                        <w:r>
                          <w:rPr>
                            <w:rFonts w:ascii="Times New Roman"/>
                            <w:sz w:val="18"/>
                          </w:rPr>
                          <w:t>completion</w:t>
                          <w:tab/>
                          <w:t>Year</w:t>
                        </w:r>
                      </w:p>
                    </w:tc>
                    <w:tc>
                      <w:tcPr>
                        <w:tcW w:w="2201" w:type="dxa"/>
                        <w:tcBorders>
                          <w:bottom w:val="single" w:sz="6" w:space="0" w:color="5FFF00"/>
                        </w:tcBorders>
                      </w:tcPr>
                      <w:p>
                        <w:pPr>
                          <w:pStyle w:val="TableParagraph"/>
                          <w:spacing w:line="186" w:lineRule="exact"/>
                          <w:ind w:right="99"/>
                          <w:rPr>
                            <w:rFonts w:ascii="Times New Roman"/>
                            <w:sz w:val="18"/>
                          </w:rPr>
                        </w:pPr>
                        <w:r>
                          <w:rPr>
                            <w:rFonts w:ascii="Times New Roman"/>
                            <w:sz w:val="18"/>
                          </w:rPr>
                          <w:t>FY 2022</w:t>
                        </w:r>
                      </w:p>
                    </w:tc>
                  </w:tr>
                  <w:tr>
                    <w:trPr>
                      <w:trHeight w:val="208" w:hRule="atLeast"/>
                    </w:trPr>
                    <w:tc>
                      <w:tcPr>
                        <w:tcW w:w="6428" w:type="dxa"/>
                        <w:tcBorders>
                          <w:top w:val="single" w:sz="6" w:space="0" w:color="5FFF00"/>
                          <w:bottom w:val="single" w:sz="6" w:space="0" w:color="5FFF00"/>
                        </w:tcBorders>
                      </w:tcPr>
                      <w:p>
                        <w:pPr>
                          <w:pStyle w:val="TableParagraph"/>
                          <w:tabs>
                            <w:tab w:pos="3168" w:val="left" w:leader="none"/>
                          </w:tabs>
                          <w:spacing w:line="188" w:lineRule="exact"/>
                          <w:ind w:right="796"/>
                          <w:jc w:val="right"/>
                          <w:rPr>
                            <w:rFonts w:ascii="Times New Roman"/>
                            <w:sz w:val="18"/>
                          </w:rPr>
                        </w:pPr>
                        <w:r>
                          <w:rPr>
                            <w:rFonts w:ascii="Times New Roman"/>
                            <w:sz w:val="18"/>
                          </w:rPr>
                          <w:t>In-place</w:t>
                        </w:r>
                        <w:r>
                          <w:rPr>
                            <w:rFonts w:ascii="Times New Roman"/>
                            <w:spacing w:val="-1"/>
                            <w:sz w:val="18"/>
                          </w:rPr>
                          <w:t> </w:t>
                        </w:r>
                        <w:r>
                          <w:rPr>
                            <w:rFonts w:ascii="Times New Roman"/>
                            <w:sz w:val="18"/>
                          </w:rPr>
                          <w:t>rent</w:t>
                          <w:tab/>
                          <w:t>INR</w:t>
                        </w:r>
                        <w:r>
                          <w:rPr>
                            <w:rFonts w:ascii="Times New Roman"/>
                            <w:spacing w:val="-1"/>
                            <w:sz w:val="18"/>
                          </w:rPr>
                          <w:t> </w:t>
                        </w:r>
                        <w:r>
                          <w:rPr>
                            <w:rFonts w:ascii="Times New Roman"/>
                            <w:sz w:val="18"/>
                          </w:rPr>
                          <w:t>psf/mth</w:t>
                        </w:r>
                      </w:p>
                    </w:tc>
                    <w:tc>
                      <w:tcPr>
                        <w:tcW w:w="2201" w:type="dxa"/>
                        <w:tcBorders>
                          <w:top w:val="single" w:sz="6" w:space="0" w:color="5FFF00"/>
                          <w:bottom w:val="single" w:sz="6" w:space="0" w:color="5FFF00"/>
                        </w:tcBorders>
                      </w:tcPr>
                      <w:p>
                        <w:pPr>
                          <w:pStyle w:val="TableParagraph"/>
                          <w:spacing w:line="188" w:lineRule="exact"/>
                          <w:ind w:right="100"/>
                          <w:rPr>
                            <w:rFonts w:ascii="Times New Roman"/>
                            <w:sz w:val="18"/>
                          </w:rPr>
                        </w:pPr>
                        <w:r>
                          <w:rPr>
                            <w:rFonts w:ascii="Times New Roman"/>
                            <w:sz w:val="18"/>
                          </w:rPr>
                          <w:t>43</w:t>
                        </w:r>
                      </w:p>
                    </w:tc>
                  </w:tr>
                  <w:tr>
                    <w:trPr>
                      <w:trHeight w:val="205" w:hRule="atLeast"/>
                    </w:trPr>
                    <w:tc>
                      <w:tcPr>
                        <w:tcW w:w="6428" w:type="dxa"/>
                        <w:tcBorders>
                          <w:top w:val="single" w:sz="6" w:space="0" w:color="5FFF00"/>
                          <w:bottom w:val="single" w:sz="6" w:space="0" w:color="5FFF00"/>
                        </w:tcBorders>
                      </w:tcPr>
                      <w:p>
                        <w:pPr>
                          <w:pStyle w:val="TableParagraph"/>
                          <w:tabs>
                            <w:tab w:pos="4724" w:val="left" w:leader="none"/>
                          </w:tabs>
                          <w:spacing w:line="186" w:lineRule="exact"/>
                          <w:ind w:left="508"/>
                          <w:jc w:val="left"/>
                          <w:rPr>
                            <w:rFonts w:ascii="Times New Roman" w:hAnsi="Times New Roman"/>
                            <w:sz w:val="18"/>
                          </w:rPr>
                        </w:pPr>
                        <w:r>
                          <w:rPr>
                            <w:rFonts w:ascii="Times New Roman" w:hAnsi="Times New Roman"/>
                            <w:sz w:val="18"/>
                          </w:rPr>
                          <w:t>Marginal rent – IT SEZ</w:t>
                        </w:r>
                        <w:r>
                          <w:rPr>
                            <w:rFonts w:ascii="Times New Roman" w:hAnsi="Times New Roman"/>
                            <w:spacing w:val="-6"/>
                            <w:sz w:val="18"/>
                          </w:rPr>
                          <w:t> </w:t>
                        </w:r>
                        <w:r>
                          <w:rPr>
                            <w:rFonts w:ascii="Times New Roman" w:hAnsi="Times New Roman"/>
                            <w:sz w:val="18"/>
                          </w:rPr>
                          <w:t>office</w:t>
                        </w:r>
                        <w:r>
                          <w:rPr>
                            <w:rFonts w:ascii="Times New Roman" w:hAnsi="Times New Roman"/>
                            <w:spacing w:val="-2"/>
                            <w:sz w:val="18"/>
                          </w:rPr>
                          <w:t> </w:t>
                        </w:r>
                        <w:r>
                          <w:rPr>
                            <w:rFonts w:ascii="Times New Roman" w:hAnsi="Times New Roman"/>
                            <w:sz w:val="18"/>
                          </w:rPr>
                          <w:t>component</w:t>
                          <w:tab/>
                          <w:t>INR psf/mth</w:t>
                        </w:r>
                      </w:p>
                    </w:tc>
                    <w:tc>
                      <w:tcPr>
                        <w:tcW w:w="2201" w:type="dxa"/>
                        <w:tcBorders>
                          <w:top w:val="single" w:sz="6" w:space="0" w:color="5FFF00"/>
                          <w:bottom w:val="single" w:sz="6" w:space="0" w:color="5FFF00"/>
                        </w:tcBorders>
                      </w:tcPr>
                      <w:p>
                        <w:pPr>
                          <w:pStyle w:val="TableParagraph"/>
                          <w:spacing w:line="186" w:lineRule="exact"/>
                          <w:ind w:right="100"/>
                          <w:rPr>
                            <w:rFonts w:ascii="Times New Roman"/>
                            <w:sz w:val="18"/>
                          </w:rPr>
                        </w:pPr>
                        <w:r>
                          <w:rPr>
                            <w:rFonts w:ascii="Times New Roman"/>
                            <w:sz w:val="18"/>
                          </w:rPr>
                          <w:t>48</w:t>
                        </w:r>
                      </w:p>
                    </w:tc>
                  </w:tr>
                  <w:tr>
                    <w:trPr>
                      <w:trHeight w:val="208" w:hRule="atLeast"/>
                    </w:trPr>
                    <w:tc>
                      <w:tcPr>
                        <w:tcW w:w="6428" w:type="dxa"/>
                        <w:tcBorders>
                          <w:top w:val="single" w:sz="6" w:space="0" w:color="5FFF00"/>
                        </w:tcBorders>
                      </w:tcPr>
                      <w:p>
                        <w:pPr>
                          <w:pStyle w:val="TableParagraph"/>
                          <w:tabs>
                            <w:tab w:pos="3497" w:val="left" w:leader="none"/>
                          </w:tabs>
                          <w:spacing w:line="189" w:lineRule="exact"/>
                          <w:ind w:right="729"/>
                          <w:jc w:val="right"/>
                          <w:rPr>
                            <w:rFonts w:ascii="Times New Roman"/>
                            <w:sz w:val="18"/>
                          </w:rPr>
                        </w:pPr>
                        <w:r>
                          <w:rPr>
                            <w:rFonts w:ascii="Times New Roman"/>
                            <w:sz w:val="18"/>
                          </w:rPr>
                          <w:t>Parking rent</w:t>
                        </w:r>
                        <w:r>
                          <w:rPr>
                            <w:rFonts w:ascii="Times New Roman"/>
                            <w:spacing w:val="-2"/>
                            <w:sz w:val="18"/>
                          </w:rPr>
                          <w:t> </w:t>
                        </w:r>
                        <w:r>
                          <w:rPr>
                            <w:rFonts w:ascii="Times New Roman"/>
                            <w:sz w:val="18"/>
                          </w:rPr>
                          <w:t>(Effective)</w:t>
                          <w:tab/>
                          <w:t>INR /</w:t>
                        </w:r>
                        <w:r>
                          <w:rPr>
                            <w:rFonts w:ascii="Times New Roman"/>
                            <w:spacing w:val="-2"/>
                            <w:sz w:val="18"/>
                          </w:rPr>
                          <w:t> </w:t>
                        </w:r>
                        <w:r>
                          <w:rPr>
                            <w:rFonts w:ascii="Times New Roman"/>
                            <w:sz w:val="18"/>
                          </w:rPr>
                          <w:t>bay/mth</w:t>
                        </w:r>
                      </w:p>
                    </w:tc>
                    <w:tc>
                      <w:tcPr>
                        <w:tcW w:w="2201" w:type="dxa"/>
                        <w:tcBorders>
                          <w:top w:val="single" w:sz="6" w:space="0" w:color="5FFF00"/>
                        </w:tcBorders>
                      </w:tcPr>
                      <w:p>
                        <w:pPr>
                          <w:pStyle w:val="TableParagraph"/>
                          <w:spacing w:line="189" w:lineRule="exact"/>
                          <w:ind w:right="100"/>
                          <w:rPr>
                            <w:rFonts w:ascii="Times New Roman"/>
                            <w:sz w:val="18"/>
                          </w:rPr>
                        </w:pPr>
                        <w:r>
                          <w:rPr>
                            <w:rFonts w:ascii="Times New Roman"/>
                            <w:sz w:val="18"/>
                          </w:rPr>
                          <w:t>1,500</w:t>
                        </w:r>
                      </w:p>
                    </w:tc>
                  </w:tr>
                  <w:tr>
                    <w:trPr>
                      <w:trHeight w:val="235" w:hRule="atLeast"/>
                    </w:trPr>
                    <w:tc>
                      <w:tcPr>
                        <w:tcW w:w="6428" w:type="dxa"/>
                        <w:shd w:val="clear" w:color="auto" w:fill="5FFF00"/>
                      </w:tcPr>
                      <w:p>
                        <w:pPr>
                          <w:pStyle w:val="TableParagraph"/>
                          <w:spacing w:line="201" w:lineRule="exact" w:before="14"/>
                          <w:ind w:left="3303"/>
                          <w:jc w:val="left"/>
                          <w:rPr>
                            <w:rFonts w:ascii="Times New Roman"/>
                            <w:sz w:val="18"/>
                          </w:rPr>
                        </w:pPr>
                        <w:r>
                          <w:rPr>
                            <w:rFonts w:ascii="Times New Roman"/>
                            <w:sz w:val="18"/>
                          </w:rPr>
                          <w:t>Other financial assumptions</w:t>
                        </w:r>
                      </w:p>
                    </w:tc>
                    <w:tc>
                      <w:tcPr>
                        <w:tcW w:w="2201" w:type="dxa"/>
                        <w:shd w:val="clear" w:color="auto" w:fill="5FFF00"/>
                      </w:tcPr>
                      <w:p>
                        <w:pPr>
                          <w:pStyle w:val="TableParagraph"/>
                          <w:jc w:val="left"/>
                          <w:rPr>
                            <w:rFonts w:ascii="Times New Roman"/>
                            <w:sz w:val="16"/>
                          </w:rPr>
                        </w:pPr>
                      </w:p>
                    </w:tc>
                  </w:tr>
                  <w:tr>
                    <w:trPr>
                      <w:trHeight w:val="208" w:hRule="atLeast"/>
                    </w:trPr>
                    <w:tc>
                      <w:tcPr>
                        <w:tcW w:w="6428" w:type="dxa"/>
                        <w:tcBorders>
                          <w:bottom w:val="single" w:sz="6" w:space="0" w:color="5FFF00"/>
                        </w:tcBorders>
                      </w:tcPr>
                      <w:p>
                        <w:pPr>
                          <w:pStyle w:val="TableParagraph"/>
                          <w:tabs>
                            <w:tab w:pos="5103" w:val="left" w:leader="none"/>
                          </w:tabs>
                          <w:spacing w:line="189" w:lineRule="exact"/>
                          <w:ind w:left="739"/>
                          <w:jc w:val="left"/>
                          <w:rPr>
                            <w:rFonts w:ascii="Times New Roman" w:hAnsi="Times New Roman"/>
                            <w:sz w:val="18"/>
                          </w:rPr>
                        </w:pPr>
                        <w:r>
                          <w:rPr>
                            <w:rFonts w:ascii="Times New Roman" w:hAnsi="Times New Roman"/>
                            <w:sz w:val="18"/>
                          </w:rPr>
                          <w:t>Cap rate –</w:t>
                        </w:r>
                        <w:r>
                          <w:rPr>
                            <w:rFonts w:ascii="Times New Roman" w:hAnsi="Times New Roman"/>
                            <w:spacing w:val="-3"/>
                            <w:sz w:val="18"/>
                          </w:rPr>
                          <w:t> </w:t>
                        </w:r>
                        <w:r>
                          <w:rPr>
                            <w:rFonts w:ascii="Times New Roman" w:hAnsi="Times New Roman"/>
                            <w:sz w:val="18"/>
                          </w:rPr>
                          <w:t>commercial</w:t>
                        </w:r>
                        <w:r>
                          <w:rPr>
                            <w:rFonts w:ascii="Times New Roman" w:hAnsi="Times New Roman"/>
                            <w:spacing w:val="-2"/>
                            <w:sz w:val="18"/>
                          </w:rPr>
                          <w:t> </w:t>
                        </w:r>
                        <w:r>
                          <w:rPr>
                            <w:rFonts w:ascii="Times New Roman" w:hAnsi="Times New Roman"/>
                            <w:sz w:val="18"/>
                          </w:rPr>
                          <w:t>components</w:t>
                          <w:tab/>
                          <w:t>%</w:t>
                        </w:r>
                      </w:p>
                    </w:tc>
                    <w:tc>
                      <w:tcPr>
                        <w:tcW w:w="2201" w:type="dxa"/>
                        <w:tcBorders>
                          <w:bottom w:val="single" w:sz="6" w:space="0" w:color="5FFF00"/>
                        </w:tcBorders>
                      </w:tcPr>
                      <w:p>
                        <w:pPr>
                          <w:pStyle w:val="TableParagraph"/>
                          <w:spacing w:line="189" w:lineRule="exact"/>
                          <w:ind w:right="98"/>
                          <w:rPr>
                            <w:rFonts w:ascii="Times New Roman"/>
                            <w:sz w:val="18"/>
                          </w:rPr>
                        </w:pPr>
                        <w:r>
                          <w:rPr>
                            <w:rFonts w:ascii="Times New Roman"/>
                            <w:sz w:val="18"/>
                          </w:rPr>
                          <w:t>8.25%</w:t>
                        </w:r>
                      </w:p>
                    </w:tc>
                  </w:tr>
                  <w:tr>
                    <w:trPr>
                      <w:trHeight w:val="205" w:hRule="atLeast"/>
                    </w:trPr>
                    <w:tc>
                      <w:tcPr>
                        <w:tcW w:w="6428" w:type="dxa"/>
                        <w:tcBorders>
                          <w:top w:val="single" w:sz="6" w:space="0" w:color="5FFF00"/>
                          <w:bottom w:val="single" w:sz="6" w:space="0" w:color="5FFF00"/>
                        </w:tcBorders>
                      </w:tcPr>
                      <w:p>
                        <w:pPr>
                          <w:pStyle w:val="TableParagraph"/>
                          <w:tabs>
                            <w:tab w:pos="4004" w:val="left" w:leader="none"/>
                          </w:tabs>
                          <w:spacing w:line="186" w:lineRule="exact"/>
                          <w:ind w:right="72"/>
                          <w:rPr>
                            <w:rFonts w:ascii="Times New Roman"/>
                            <w:sz w:val="18"/>
                          </w:rPr>
                        </w:pPr>
                        <w:r>
                          <w:rPr>
                            <w:rFonts w:ascii="Times New Roman"/>
                            <w:sz w:val="18"/>
                          </w:rPr>
                          <w:t>WACC</w:t>
                        </w:r>
                        <w:r>
                          <w:rPr>
                            <w:rFonts w:ascii="Times New Roman"/>
                            <w:spacing w:val="-1"/>
                            <w:sz w:val="18"/>
                          </w:rPr>
                          <w:t> </w:t>
                        </w:r>
                        <w:r>
                          <w:rPr>
                            <w:rFonts w:ascii="Times New Roman"/>
                            <w:sz w:val="18"/>
                          </w:rPr>
                          <w:t>rate</w:t>
                        </w:r>
                        <w:r>
                          <w:rPr>
                            <w:rFonts w:ascii="Times New Roman"/>
                            <w:spacing w:val="-1"/>
                            <w:sz w:val="18"/>
                          </w:rPr>
                          <w:t> </w:t>
                        </w:r>
                        <w:r>
                          <w:rPr>
                            <w:rFonts w:ascii="Times New Roman"/>
                            <w:sz w:val="18"/>
                          </w:rPr>
                          <w:t>(operational)</w:t>
                          <w:tab/>
                          <w:t>%</w:t>
                        </w:r>
                      </w:p>
                    </w:tc>
                    <w:tc>
                      <w:tcPr>
                        <w:tcW w:w="2201" w:type="dxa"/>
                        <w:tcBorders>
                          <w:top w:val="single" w:sz="6" w:space="0" w:color="5FFF00"/>
                          <w:bottom w:val="single" w:sz="6" w:space="0" w:color="5FFF00"/>
                        </w:tcBorders>
                      </w:tcPr>
                      <w:p>
                        <w:pPr>
                          <w:pStyle w:val="TableParagraph"/>
                          <w:spacing w:line="186" w:lineRule="exact"/>
                          <w:ind w:right="100"/>
                          <w:rPr>
                            <w:rFonts w:ascii="Times New Roman"/>
                            <w:sz w:val="18"/>
                          </w:rPr>
                        </w:pPr>
                        <w:r>
                          <w:rPr>
                            <w:rFonts w:ascii="Times New Roman"/>
                            <w:sz w:val="18"/>
                          </w:rPr>
                          <w:t>12.03%</w:t>
                        </w:r>
                      </w:p>
                    </w:tc>
                  </w:tr>
                </w:tbl>
                <w:p>
                  <w:pPr>
                    <w:pStyle w:val="BodyText"/>
                  </w:pPr>
                </w:p>
              </w:txbxContent>
            </v:textbox>
            <w10:wrap type="none"/>
          </v:shape>
        </w:pict>
      </w:r>
      <w:r>
        <w:rPr>
          <w:rFonts w:ascii="Times New Roman"/>
          <w:color w:val="16772B"/>
          <w:sz w:val="18"/>
        </w:rPr>
        <w:t>Key Assumptions</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18"/>
        </w:rPr>
      </w:pPr>
    </w:p>
    <w:p>
      <w:pPr>
        <w:tabs>
          <w:tab w:pos="2106" w:val="left" w:leader="none"/>
        </w:tabs>
        <w:spacing w:before="93"/>
        <w:ind w:left="265" w:right="0" w:firstLine="0"/>
        <w:jc w:val="left"/>
        <w:rPr>
          <w:rFonts w:ascii="Times New Roman"/>
          <w:b/>
          <w:sz w:val="18"/>
        </w:rPr>
      </w:pPr>
      <w:r>
        <w:rPr>
          <w:rFonts w:ascii="Times New Roman"/>
          <w:color w:val="16772B"/>
          <w:sz w:val="18"/>
        </w:rPr>
        <w:t>Market</w:t>
      </w:r>
      <w:r>
        <w:rPr>
          <w:rFonts w:ascii="Times New Roman"/>
          <w:color w:val="16772B"/>
          <w:spacing w:val="-1"/>
          <w:sz w:val="18"/>
        </w:rPr>
        <w:t> </w:t>
      </w:r>
      <w:r>
        <w:rPr>
          <w:rFonts w:ascii="Times New Roman"/>
          <w:color w:val="16772B"/>
          <w:sz w:val="18"/>
        </w:rPr>
        <w:t>Value:</w:t>
        <w:tab/>
      </w:r>
      <w:r>
        <w:rPr>
          <w:rFonts w:ascii="Times New Roman"/>
          <w:b/>
          <w:sz w:val="18"/>
        </w:rPr>
        <w:t>INR 13,838 Mn</w:t>
      </w:r>
    </w:p>
    <w:p>
      <w:pPr>
        <w:spacing w:after="0"/>
        <w:jc w:val="left"/>
        <w:rPr>
          <w:rFonts w:ascii="Times New Roman"/>
          <w:sz w:val="18"/>
        </w:rPr>
        <w:sectPr>
          <w:pgSz w:w="12240" w:h="15840"/>
          <w:pgMar w:header="728" w:footer="1174" w:top="1180" w:bottom="1460" w:left="620" w:right="580"/>
        </w:sectPr>
      </w:pPr>
    </w:p>
    <w:p>
      <w:pPr>
        <w:pStyle w:val="BodyText"/>
        <w:rPr>
          <w:rFonts w:ascii="Times New Roman"/>
          <w:b/>
          <w:sz w:val="18"/>
        </w:rPr>
      </w:pPr>
    </w:p>
    <w:p>
      <w:pPr>
        <w:pStyle w:val="ListParagraph"/>
        <w:numPr>
          <w:ilvl w:val="1"/>
          <w:numId w:val="1"/>
        </w:numPr>
        <w:tabs>
          <w:tab w:pos="1309" w:val="left" w:leader="none"/>
          <w:tab w:pos="1311" w:val="left" w:leader="none"/>
        </w:tabs>
        <w:spacing w:line="240" w:lineRule="auto" w:before="91" w:after="0"/>
        <w:ind w:left="1310" w:right="0" w:hanging="491"/>
        <w:jc w:val="left"/>
        <w:rPr>
          <w:rFonts w:ascii="Times New Roman"/>
          <w:color w:val="1E6C28"/>
          <w:sz w:val="20"/>
        </w:rPr>
      </w:pPr>
      <w:r>
        <w:rPr>
          <w:rFonts w:ascii="Times New Roman"/>
          <w:color w:val="1E6C28"/>
          <w:sz w:val="20"/>
        </w:rPr>
        <w:t>Embassy Qubix</w:t>
      </w:r>
    </w:p>
    <w:p>
      <w:pPr>
        <w:pStyle w:val="BodyText"/>
        <w:rPr>
          <w:rFonts w:ascii="Times New Roman"/>
          <w:sz w:val="24"/>
        </w:rPr>
      </w:pPr>
    </w:p>
    <w:p>
      <w:pPr>
        <w:tabs>
          <w:tab w:pos="2358" w:val="left" w:leader="none"/>
        </w:tabs>
        <w:spacing w:before="0"/>
        <w:ind w:left="2358" w:right="309" w:hanging="2094"/>
        <w:jc w:val="both"/>
        <w:rPr>
          <w:rFonts w:ascii="Times New Roman" w:hAnsi="Times New Roman"/>
          <w:sz w:val="18"/>
        </w:rPr>
      </w:pPr>
      <w:r>
        <w:rPr>
          <w:rFonts w:ascii="Times New Roman" w:hAnsi="Times New Roman"/>
          <w:color w:val="1E6C2C"/>
          <w:sz w:val="18"/>
        </w:rPr>
        <w:t>Property</w:t>
      </w:r>
      <w:r>
        <w:rPr>
          <w:rFonts w:ascii="Times New Roman" w:hAnsi="Times New Roman"/>
          <w:color w:val="1E6C2C"/>
          <w:spacing w:val="-1"/>
          <w:sz w:val="18"/>
        </w:rPr>
        <w:t> </w:t>
      </w:r>
      <w:r>
        <w:rPr>
          <w:rFonts w:ascii="Times New Roman" w:hAnsi="Times New Roman"/>
          <w:color w:val="1E6C2C"/>
          <w:sz w:val="18"/>
        </w:rPr>
        <w:t>Name:</w:t>
        <w:tab/>
      </w:r>
      <w:r>
        <w:rPr>
          <w:rFonts w:ascii="Times New Roman" w:hAnsi="Times New Roman"/>
          <w:sz w:val="18"/>
        </w:rPr>
        <w:t>‘Embassy Qubix’ is a Commercial Office Business Park located in Phase 1, Rajiv Gandhi Infotech Park, Hinjewadi, Pune,</w:t>
      </w:r>
      <w:r>
        <w:rPr>
          <w:rFonts w:ascii="Times New Roman" w:hAnsi="Times New Roman"/>
          <w:spacing w:val="-2"/>
          <w:sz w:val="18"/>
        </w:rPr>
        <w:t> </w:t>
      </w:r>
      <w:r>
        <w:rPr>
          <w:rFonts w:ascii="Times New Roman" w:hAnsi="Times New Roman"/>
          <w:sz w:val="18"/>
        </w:rPr>
        <w:t>Maharashtra</w:t>
      </w:r>
    </w:p>
    <w:p>
      <w:pPr>
        <w:pStyle w:val="BodyText"/>
        <w:spacing w:before="9"/>
        <w:rPr>
          <w:rFonts w:ascii="Times New Roman"/>
          <w:sz w:val="20"/>
        </w:rPr>
      </w:pPr>
    </w:p>
    <w:p>
      <w:pPr>
        <w:tabs>
          <w:tab w:pos="2358" w:val="left" w:leader="none"/>
        </w:tabs>
        <w:spacing w:before="0"/>
        <w:ind w:left="2358" w:right="305" w:hanging="2094"/>
        <w:jc w:val="both"/>
        <w:rPr>
          <w:rFonts w:ascii="Times New Roman" w:hAnsi="Times New Roman"/>
          <w:sz w:val="18"/>
        </w:rPr>
      </w:pPr>
      <w:r>
        <w:rPr>
          <w:rFonts w:ascii="Times New Roman" w:hAnsi="Times New Roman"/>
          <w:color w:val="1E6C2C"/>
          <w:sz w:val="18"/>
        </w:rPr>
        <w:t>Property</w:t>
      </w:r>
      <w:r>
        <w:rPr>
          <w:rFonts w:ascii="Times New Roman" w:hAnsi="Times New Roman"/>
          <w:color w:val="1E6C2C"/>
          <w:spacing w:val="-1"/>
          <w:sz w:val="18"/>
        </w:rPr>
        <w:t> </w:t>
      </w:r>
      <w:r>
        <w:rPr>
          <w:rFonts w:ascii="Times New Roman" w:hAnsi="Times New Roman"/>
          <w:color w:val="1E6C2C"/>
          <w:sz w:val="18"/>
        </w:rPr>
        <w:t>Address:</w:t>
        <w:tab/>
      </w:r>
      <w:r>
        <w:rPr>
          <w:rFonts w:ascii="Times New Roman" w:hAnsi="Times New Roman"/>
          <w:sz w:val="18"/>
        </w:rPr>
        <w:t>Plot No.2, Blue Ridge Township, Near Rajiv Gandhi Infotech Park – Phase I, Hinjewadi, Pune, Maharashtra 411057</w:t>
      </w:r>
    </w:p>
    <w:p>
      <w:pPr>
        <w:pStyle w:val="BodyText"/>
        <w:rPr>
          <w:rFonts w:ascii="Times New Roman"/>
          <w:sz w:val="21"/>
        </w:rPr>
      </w:pPr>
    </w:p>
    <w:p>
      <w:pPr>
        <w:tabs>
          <w:tab w:pos="2358" w:val="left" w:leader="none"/>
        </w:tabs>
        <w:spacing w:before="0"/>
        <w:ind w:left="2358" w:right="308" w:hanging="2094"/>
        <w:jc w:val="both"/>
        <w:rPr>
          <w:rFonts w:ascii="Times New Roman"/>
          <w:sz w:val="18"/>
        </w:rPr>
      </w:pPr>
      <w:r>
        <w:rPr>
          <w:rFonts w:ascii="Times New Roman"/>
          <w:color w:val="1E6C2C"/>
          <w:sz w:val="18"/>
        </w:rPr>
        <w:t>Land Area:</w:t>
        <w:tab/>
      </w:r>
      <w:r>
        <w:rPr>
          <w:rFonts w:ascii="Times New Roman"/>
          <w:sz w:val="18"/>
        </w:rPr>
        <w:t>Based on review of the title report, the Valuer understands that the total land area of the subject property under the ownership of the Client is approximately 25.16</w:t>
      </w:r>
      <w:r>
        <w:rPr>
          <w:rFonts w:ascii="Times New Roman"/>
          <w:spacing w:val="-3"/>
          <w:sz w:val="18"/>
        </w:rPr>
        <w:t> </w:t>
      </w:r>
      <w:r>
        <w:rPr>
          <w:rFonts w:ascii="Times New Roman"/>
          <w:sz w:val="18"/>
        </w:rPr>
        <w:t>acres</w:t>
      </w:r>
    </w:p>
    <w:p>
      <w:pPr>
        <w:pStyle w:val="BodyText"/>
        <w:spacing w:before="8"/>
        <w:rPr>
          <w:rFonts w:ascii="Times New Roman"/>
          <w:sz w:val="20"/>
        </w:rPr>
      </w:pPr>
    </w:p>
    <w:p>
      <w:pPr>
        <w:tabs>
          <w:tab w:pos="2358" w:val="left" w:leader="none"/>
        </w:tabs>
        <w:spacing w:before="1"/>
        <w:ind w:left="2358" w:right="301" w:hanging="2094"/>
        <w:jc w:val="both"/>
        <w:rPr>
          <w:rFonts w:ascii="Times New Roman" w:hAnsi="Times New Roman"/>
          <w:sz w:val="18"/>
        </w:rPr>
      </w:pPr>
      <w:r>
        <w:rPr>
          <w:rFonts w:ascii="Times New Roman" w:hAnsi="Times New Roman"/>
          <w:color w:val="1E6C2C"/>
          <w:sz w:val="18"/>
        </w:rPr>
        <w:t>Brief</w:t>
      </w:r>
      <w:r>
        <w:rPr>
          <w:rFonts w:ascii="Times New Roman" w:hAnsi="Times New Roman"/>
          <w:color w:val="1E6C2C"/>
          <w:spacing w:val="-1"/>
          <w:sz w:val="18"/>
        </w:rPr>
        <w:t> </w:t>
      </w:r>
      <w:r>
        <w:rPr>
          <w:rFonts w:ascii="Times New Roman" w:hAnsi="Times New Roman"/>
          <w:color w:val="1E6C2C"/>
          <w:sz w:val="18"/>
        </w:rPr>
        <w:t>Description:</w:t>
        <w:tab/>
      </w:r>
      <w:r>
        <w:rPr>
          <w:rFonts w:ascii="Times New Roman" w:hAnsi="Times New Roman"/>
          <w:sz w:val="18"/>
        </w:rPr>
        <w:t>“Embassy Qubix”, has been conceptualized as an IT SEZ office development leased to various domestic and multi- national technology tenants. The property is well equipped with number of facilities and amenities like enhanced landscapes, Q Court Courtyard, grocery stores, ATMs, two-wheeler and four-wheeler car parking spaces, etc. The property has been constructed in phased manner between 2010 to</w:t>
      </w:r>
      <w:r>
        <w:rPr>
          <w:rFonts w:ascii="Times New Roman" w:hAnsi="Times New Roman"/>
          <w:spacing w:val="-5"/>
          <w:sz w:val="18"/>
        </w:rPr>
        <w:t> </w:t>
      </w:r>
      <w:r>
        <w:rPr>
          <w:rFonts w:ascii="Times New Roman" w:hAnsi="Times New Roman"/>
          <w:sz w:val="18"/>
        </w:rPr>
        <w:t>2012.</w:t>
      </w:r>
    </w:p>
    <w:p>
      <w:pPr>
        <w:pStyle w:val="BodyText"/>
        <w:spacing w:before="10"/>
        <w:rPr>
          <w:rFonts w:ascii="Times New Roman"/>
          <w:sz w:val="20"/>
        </w:rPr>
      </w:pPr>
    </w:p>
    <w:p>
      <w:pPr>
        <w:spacing w:before="0"/>
        <w:ind w:left="2358" w:right="0" w:firstLine="0"/>
        <w:jc w:val="left"/>
        <w:rPr>
          <w:rFonts w:ascii="Times New Roman"/>
          <w:sz w:val="18"/>
        </w:rPr>
      </w:pPr>
      <w:r>
        <w:rPr>
          <w:rFonts w:ascii="Times New Roman"/>
          <w:sz w:val="18"/>
        </w:rPr>
        <w:t>The development currently includes six operational buildings (IT 1 to IT 6).</w:t>
      </w:r>
    </w:p>
    <w:p>
      <w:pPr>
        <w:pStyle w:val="BodyText"/>
        <w:rPr>
          <w:rFonts w:ascii="Times New Roman"/>
          <w:sz w:val="21"/>
        </w:rPr>
      </w:pPr>
    </w:p>
    <w:p>
      <w:pPr>
        <w:spacing w:before="1"/>
        <w:ind w:left="2358" w:right="0" w:firstLine="0"/>
        <w:jc w:val="left"/>
        <w:rPr>
          <w:rFonts w:ascii="Times New Roman" w:hAnsi="Times New Roman"/>
          <w:sz w:val="18"/>
        </w:rPr>
      </w:pPr>
      <w:r>
        <w:rPr>
          <w:rFonts w:ascii="Times New Roman" w:hAnsi="Times New Roman"/>
          <w:sz w:val="18"/>
        </w:rPr>
        <w:t>Further, Embassy Qubix is strategically located in Hinjewadi which is a prominent technology hub of Pune city. Embassy Qubix is located at a distance of approximately 3 – 4 km from National Highway 48 (connecting Mumbai</w:t>
      </w:r>
    </w:p>
    <w:p>
      <w:pPr>
        <w:spacing w:before="0"/>
        <w:ind w:left="2358" w:right="0" w:firstLine="0"/>
        <w:jc w:val="left"/>
        <w:rPr>
          <w:rFonts w:ascii="Times New Roman" w:hAnsi="Times New Roman"/>
          <w:sz w:val="18"/>
        </w:rPr>
      </w:pPr>
      <w:r>
        <w:rPr>
          <w:rFonts w:ascii="Times New Roman" w:hAnsi="Times New Roman"/>
          <w:sz w:val="18"/>
        </w:rPr>
        <w:t>– Pune – Bengaluru), 18 – 19 km from Pune CBD (Peth areas), 19 – 20 km from Pune Railway Station and approximately 23 - 24 km from Pune International Airport.</w:t>
      </w:r>
    </w:p>
    <w:p>
      <w:pPr>
        <w:pStyle w:val="BodyText"/>
        <w:spacing w:before="9"/>
        <w:rPr>
          <w:rFonts w:ascii="Times New Roman"/>
          <w:sz w:val="12"/>
        </w:rPr>
      </w:pPr>
    </w:p>
    <w:p>
      <w:pPr>
        <w:spacing w:after="0"/>
        <w:rPr>
          <w:rFonts w:ascii="Times New Roman"/>
          <w:sz w:val="12"/>
        </w:rPr>
        <w:sectPr>
          <w:pgSz w:w="12240" w:h="15840"/>
          <w:pgMar w:header="728" w:footer="1174" w:top="1180" w:bottom="1460" w:left="620" w:right="580"/>
        </w:sectPr>
      </w:pPr>
    </w:p>
    <w:p>
      <w:pPr>
        <w:spacing w:before="93"/>
        <w:ind w:left="265" w:right="22" w:firstLine="0"/>
        <w:jc w:val="left"/>
        <w:rPr>
          <w:rFonts w:ascii="Times New Roman"/>
          <w:sz w:val="18"/>
        </w:rPr>
      </w:pPr>
      <w:r>
        <w:rPr>
          <w:rFonts w:ascii="Times New Roman"/>
          <w:color w:val="1E6C2C"/>
          <w:sz w:val="18"/>
        </w:rPr>
        <w:t>Statement of Assets (sf):</w:t>
      </w:r>
    </w:p>
    <w:p>
      <w:pPr>
        <w:spacing w:before="93"/>
        <w:ind w:left="265" w:right="301" w:firstLine="0"/>
        <w:jc w:val="both"/>
        <w:rPr>
          <w:rFonts w:ascii="Times New Roman" w:hAnsi="Times New Roman"/>
          <w:sz w:val="18"/>
        </w:rPr>
      </w:pPr>
      <w:r>
        <w:rPr/>
        <w:br w:type="column"/>
      </w:r>
      <w:r>
        <w:rPr>
          <w:rFonts w:ascii="Times New Roman" w:hAnsi="Times New Roman"/>
          <w:sz w:val="18"/>
        </w:rPr>
        <w:t>Based on review of various documents (such as rent roll, Architect’s Certificate, etc.), the Valuer understands that “Embassy Qubix” is an operational SEZ office asset with approximately 1.5 msf of completed leasable area, which is 99.8% occupied as on the date of valuation. Table below highlights the leasable area for individual blocks that form part of the subject development:</w:t>
      </w:r>
    </w:p>
    <w:p>
      <w:pPr>
        <w:spacing w:after="0"/>
        <w:jc w:val="both"/>
        <w:rPr>
          <w:rFonts w:ascii="Times New Roman" w:hAnsi="Times New Roman"/>
          <w:sz w:val="18"/>
        </w:rPr>
        <w:sectPr>
          <w:type w:val="continuous"/>
          <w:pgSz w:w="12240" w:h="15840"/>
          <w:pgMar w:top="800" w:bottom="280" w:left="620" w:right="580"/>
          <w:cols w:num="2" w:equalWidth="0">
            <w:col w:w="1222" w:space="871"/>
            <w:col w:w="8947"/>
          </w:cols>
        </w:sectPr>
      </w:pPr>
    </w:p>
    <w:p>
      <w:pPr>
        <w:pStyle w:val="BodyText"/>
        <w:spacing w:before="7" w:after="1"/>
        <w:rPr>
          <w:rFonts w:ascii="Times New Roman"/>
          <w:sz w:val="25"/>
        </w:rPr>
      </w:pPr>
    </w:p>
    <w:p>
      <w:pPr>
        <w:pStyle w:val="BodyText"/>
        <w:ind w:left="2358"/>
        <w:rPr>
          <w:rFonts w:ascii="Times New Roman"/>
          <w:sz w:val="20"/>
        </w:rPr>
      </w:pPr>
      <w:r>
        <w:rPr>
          <w:rFonts w:ascii="Times New Roman"/>
          <w:sz w:val="20"/>
        </w:rPr>
        <w:pict>
          <v:group style="width:418.8pt;height:29.2pt;mso-position-horizontal-relative:char;mso-position-vertical-relative:line" coordorigin="0,0" coordsize="8376,584">
            <v:shape style="position:absolute;left:0;top:28;width:8376;height:92" coordorigin="0,29" coordsize="8376,92" path="m5759,29l3143,29,0,29,0,62,0,86,0,120,3143,120,5759,120,5759,86,5759,62,5759,29xm8376,29l5759,29,5759,62,5759,86,5759,120,8376,120,8376,86,8376,62,8376,29xe" filled="true" fillcolor="#16772b" stroked="false">
              <v:path arrowok="t"/>
              <v:fill type="solid"/>
            </v:shape>
            <v:rect style="position:absolute;left:0;top:0;width:3143;height:29" filled="true" fillcolor="#1e7504" stroked="false">
              <v:fill type="solid"/>
            </v:rect>
            <v:shape style="position:absolute;left:0;top:28;width:3172;height:3" coordorigin="0,29" coordsize="3172,3" path="m3171,29l3143,29,0,29,0,31,3143,31,3171,31,3171,29xe" filled="true" fillcolor="#16772b" stroked="false">
              <v:path arrowok="t"/>
              <v:fill type="solid"/>
            </v:shape>
            <v:shape style="position:absolute;left:3142;top:0;width:2617;height:29" coordorigin="3143,0" coordsize="2617,29" path="m5759,0l3171,0,3143,0,3143,29,3171,29,5759,29,5759,0xe" filled="true" fillcolor="#1e7504" stroked="false">
              <v:path arrowok="t"/>
              <v:fill type="solid"/>
            </v:shape>
            <v:shape style="position:absolute;left:3171;top:28;width:2617;height:3" coordorigin="3171,29" coordsize="2617,3" path="m5759,29l3171,29,3171,31,5759,31,5759,29xm5788,29l5759,29,5759,31,5788,31,5788,29xe" filled="true" fillcolor="#16772b" stroked="false">
              <v:path arrowok="t"/>
              <v:fill type="solid"/>
            </v:shape>
            <v:shape style="position:absolute;left:5759;top:0;width:2617;height:29" coordorigin="5759,0" coordsize="2617,29" path="m8376,0l5788,0,5759,0,5759,29,5788,29,8376,29,8376,0xe" filled="true" fillcolor="#1e7504" stroked="false">
              <v:path arrowok="t"/>
              <v:fill type="solid"/>
            </v:shape>
            <v:shape style="position:absolute;left:0;top:28;width:8376;height:526" coordorigin="0,29" coordsize="8376,526" path="m5759,120l3143,120,0,120,0,554,3143,554,5759,554,5759,120xm8376,120l5759,120,5759,554,8376,554,8376,120xm8376,29l5788,29,5788,31,8376,31,8376,29xe" filled="true" fillcolor="#16772b" stroked="false">
              <v:path arrowok="t"/>
              <v:fill type="solid"/>
            </v:shape>
            <v:shape style="position:absolute;left:0;top:554;width:8376;height:29" coordorigin="0,554" coordsize="8376,29" path="m5759,554l3171,554,3143,554,0,554,0,583,3143,583,3171,583,5759,583,5759,554xm8376,554l5788,554,5759,554,5759,583,5788,583,8376,583,8376,554xe" filled="true" fillcolor="#1e7504" stroked="false">
              <v:path arrowok="t"/>
              <v:fill type="solid"/>
            </v:shape>
            <v:shape style="position:absolute;left:1246;top:240;width:813;height:200" type="#_x0000_t202" filled="false" stroked="false">
              <v:textbox inset="0,0,0,0">
                <w:txbxContent>
                  <w:p>
                    <w:pPr>
                      <w:spacing w:line="199" w:lineRule="exact" w:before="0"/>
                      <w:ind w:left="0" w:right="0" w:firstLine="0"/>
                      <w:jc w:val="left"/>
                      <w:rPr>
                        <w:rFonts w:ascii="Times New Roman"/>
                        <w:b/>
                        <w:sz w:val="18"/>
                      </w:rPr>
                    </w:pPr>
                    <w:r>
                      <w:rPr>
                        <w:rFonts w:ascii="Times New Roman"/>
                        <w:b/>
                        <w:color w:val="FFFFFF"/>
                        <w:sz w:val="18"/>
                      </w:rPr>
                      <w:t>Particular</w:t>
                    </w:r>
                  </w:p>
                </w:txbxContent>
              </v:textbox>
              <w10:wrap type="none"/>
            </v:shape>
            <v:shape style="position:absolute;left:3821;top:240;width:1423;height:200" type="#_x0000_t202" filled="false" stroked="false">
              <v:textbox inset="0,0,0,0">
                <w:txbxContent>
                  <w:p>
                    <w:pPr>
                      <w:spacing w:line="199" w:lineRule="exact" w:before="0"/>
                      <w:ind w:left="0" w:right="0" w:firstLine="0"/>
                      <w:jc w:val="left"/>
                      <w:rPr>
                        <w:rFonts w:ascii="Times New Roman"/>
                        <w:b/>
                        <w:sz w:val="18"/>
                      </w:rPr>
                    </w:pPr>
                    <w:r>
                      <w:rPr>
                        <w:rFonts w:ascii="Times New Roman"/>
                        <w:b/>
                        <w:color w:val="FFFFFF"/>
                        <w:sz w:val="18"/>
                      </w:rPr>
                      <w:t>Leasable Area (sf)</w:t>
                    </w:r>
                  </w:p>
                </w:txbxContent>
              </v:textbox>
              <w10:wrap type="none"/>
            </v:shape>
            <v:shape style="position:absolute;left:6251;top:127;width:1797;height:409" type="#_x0000_t202" filled="false" stroked="false">
              <v:textbox inset="0,0,0,0">
                <w:txbxContent>
                  <w:p>
                    <w:pPr>
                      <w:spacing w:line="242" w:lineRule="auto" w:before="0"/>
                      <w:ind w:left="737" w:right="3" w:hanging="738"/>
                      <w:jc w:val="left"/>
                      <w:rPr>
                        <w:rFonts w:ascii="Times New Roman"/>
                        <w:b/>
                        <w:sz w:val="18"/>
                      </w:rPr>
                    </w:pPr>
                    <w:r>
                      <w:rPr>
                        <w:rFonts w:ascii="Times New Roman"/>
                        <w:b/>
                        <w:color w:val="FFFFFF"/>
                        <w:sz w:val="18"/>
                      </w:rPr>
                      <w:t>Committed Occupancy (%)</w:t>
                    </w:r>
                  </w:p>
                </w:txbxContent>
              </v:textbox>
              <w10:wrap type="none"/>
            </v:shape>
          </v:group>
        </w:pict>
      </w:r>
      <w:r>
        <w:rPr>
          <w:rFonts w:ascii="Times New Roman"/>
          <w:sz w:val="20"/>
        </w:rPr>
      </w:r>
    </w:p>
    <w:p>
      <w:pPr>
        <w:tabs>
          <w:tab w:pos="6449" w:val="left" w:leader="none"/>
          <w:tab w:pos="9193" w:val="left" w:leader="none"/>
        </w:tabs>
        <w:spacing w:line="181" w:lineRule="exact" w:before="0"/>
        <w:ind w:left="3261" w:right="0" w:firstLine="0"/>
        <w:jc w:val="left"/>
        <w:rPr>
          <w:rFonts w:ascii="Times New Roman"/>
          <w:sz w:val="18"/>
        </w:rPr>
      </w:pPr>
      <w:r>
        <w:rPr>
          <w:rFonts w:ascii="Times New Roman"/>
          <w:sz w:val="18"/>
        </w:rPr>
        <w:t>Completed Blocks</w:t>
        <w:tab/>
        <w:t>1,450,494</w:t>
        <w:tab/>
        <w:t>99.8%</w:t>
      </w:r>
    </w:p>
    <w:p>
      <w:pPr>
        <w:pStyle w:val="BodyText"/>
        <w:spacing w:line="20" w:lineRule="exact"/>
        <w:ind w:left="2358"/>
        <w:rPr>
          <w:rFonts w:ascii="Times New Roman"/>
          <w:sz w:val="2"/>
        </w:rPr>
      </w:pPr>
      <w:r>
        <w:rPr>
          <w:rFonts w:ascii="Times New Roman"/>
          <w:sz w:val="2"/>
        </w:rPr>
        <w:pict>
          <v:group style="width:418.8pt;height:.75pt;mso-position-horizontal-relative:char;mso-position-vertical-relative:line" coordorigin="0,0" coordsize="8376,15">
            <v:shape style="position:absolute;left:0;top:0;width:8376;height:15" coordorigin="0,0" coordsize="8376,15" path="m5759,0l3157,0,3143,0,0,0,0,14,3143,14,3157,14,5759,14,5759,0xm8376,0l5774,0,5759,0,5759,14,5774,14,8376,14,8376,0xe" filled="true" fillcolor="#5fff00" stroked="false">
              <v:path arrowok="t"/>
              <v:fill type="solid"/>
            </v:shape>
          </v:group>
        </w:pict>
      </w:r>
      <w:r>
        <w:rPr>
          <w:rFonts w:ascii="Times New Roman"/>
          <w:sz w:val="2"/>
        </w:rPr>
      </w:r>
    </w:p>
    <w:p>
      <w:pPr>
        <w:tabs>
          <w:tab w:pos="3835" w:val="left" w:leader="none"/>
          <w:tab w:pos="6353" w:val="left" w:leader="none"/>
        </w:tabs>
        <w:spacing w:before="0"/>
        <w:ind w:left="0" w:right="1482" w:firstLine="0"/>
        <w:jc w:val="right"/>
        <w:rPr>
          <w:rFonts w:ascii="Times New Roman"/>
          <w:sz w:val="18"/>
        </w:rPr>
      </w:pPr>
      <w:r>
        <w:rPr>
          <w:rFonts w:ascii="Times New Roman"/>
          <w:sz w:val="18"/>
        </w:rPr>
        <w:t>Under</w:t>
      </w:r>
      <w:r>
        <w:rPr>
          <w:rFonts w:ascii="Times New Roman"/>
          <w:spacing w:val="-1"/>
          <w:sz w:val="18"/>
        </w:rPr>
        <w:t> </w:t>
      </w:r>
      <w:r>
        <w:rPr>
          <w:rFonts w:ascii="Times New Roman"/>
          <w:sz w:val="18"/>
        </w:rPr>
        <w:t>Construction</w:t>
      </w:r>
      <w:r>
        <w:rPr>
          <w:rFonts w:ascii="Times New Roman"/>
          <w:spacing w:val="-1"/>
          <w:sz w:val="18"/>
        </w:rPr>
        <w:t> </w:t>
      </w:r>
      <w:r>
        <w:rPr>
          <w:rFonts w:ascii="Times New Roman"/>
          <w:sz w:val="18"/>
        </w:rPr>
        <w:t>Blocks</w:t>
        <w:tab/>
        <w:t>-</w:t>
        <w:tab/>
      </w:r>
      <w:r>
        <w:rPr>
          <w:rFonts w:ascii="Times New Roman"/>
          <w:spacing w:val="-2"/>
          <w:sz w:val="18"/>
        </w:rPr>
        <w:t>NA</w:t>
      </w:r>
    </w:p>
    <w:p>
      <w:pPr>
        <w:pStyle w:val="BodyText"/>
        <w:spacing w:line="20" w:lineRule="exact"/>
        <w:ind w:left="2358"/>
        <w:rPr>
          <w:rFonts w:ascii="Times New Roman"/>
          <w:sz w:val="2"/>
        </w:rPr>
      </w:pPr>
      <w:r>
        <w:rPr>
          <w:rFonts w:ascii="Times New Roman"/>
          <w:sz w:val="2"/>
        </w:rPr>
        <w:pict>
          <v:group style="width:418.8pt;height:.75pt;mso-position-horizontal-relative:char;mso-position-vertical-relative:line" coordorigin="0,0" coordsize="8376,15">
            <v:shape style="position:absolute;left:0;top:0;width:8376;height:15" coordorigin="0,0" coordsize="8376,15" path="m5759,0l3157,0,3143,0,0,0,0,14,3143,14,3157,14,5759,14,5759,0xm8376,0l5774,0,5759,0,5759,14,5774,14,8376,14,8376,0xe" filled="true" fillcolor="#5fff00" stroked="false">
              <v:path arrowok="t"/>
              <v:fill type="solid"/>
            </v:shape>
          </v:group>
        </w:pict>
      </w:r>
      <w:r>
        <w:rPr>
          <w:rFonts w:ascii="Times New Roman"/>
          <w:sz w:val="2"/>
        </w:rPr>
      </w:r>
    </w:p>
    <w:p>
      <w:pPr>
        <w:tabs>
          <w:tab w:pos="3691" w:val="left" w:leader="none"/>
          <w:tab w:pos="6209" w:val="left" w:leader="none"/>
        </w:tabs>
        <w:spacing w:before="0"/>
        <w:ind w:left="0" w:right="1482" w:firstLine="0"/>
        <w:jc w:val="right"/>
        <w:rPr>
          <w:rFonts w:ascii="Times New Roman"/>
          <w:sz w:val="18"/>
        </w:rPr>
      </w:pPr>
      <w:r>
        <w:rPr>
          <w:rFonts w:ascii="Times New Roman"/>
          <w:sz w:val="18"/>
        </w:rPr>
        <w:t>Proposed</w:t>
      </w:r>
      <w:r>
        <w:rPr>
          <w:rFonts w:ascii="Times New Roman"/>
          <w:spacing w:val="-1"/>
          <w:sz w:val="18"/>
        </w:rPr>
        <w:t> </w:t>
      </w:r>
      <w:r>
        <w:rPr>
          <w:rFonts w:ascii="Times New Roman"/>
          <w:sz w:val="18"/>
        </w:rPr>
        <w:t>Development</w:t>
        <w:tab/>
        <w:t>-</w:t>
        <w:tab/>
      </w:r>
      <w:r>
        <w:rPr>
          <w:rFonts w:ascii="Times New Roman"/>
          <w:spacing w:val="-2"/>
          <w:sz w:val="18"/>
        </w:rPr>
        <w:t>NA</w:t>
      </w:r>
    </w:p>
    <w:p>
      <w:pPr>
        <w:pStyle w:val="BodyText"/>
        <w:spacing w:line="20" w:lineRule="exact"/>
        <w:ind w:left="2358"/>
        <w:rPr>
          <w:rFonts w:ascii="Times New Roman"/>
          <w:sz w:val="2"/>
        </w:rPr>
      </w:pPr>
      <w:r>
        <w:rPr>
          <w:rFonts w:ascii="Times New Roman"/>
          <w:sz w:val="2"/>
        </w:rPr>
        <w:pict>
          <v:group style="width:418.8pt;height:.75pt;mso-position-horizontal-relative:char;mso-position-vertical-relative:line" coordorigin="0,0" coordsize="8376,15">
            <v:shape style="position:absolute;left:0;top:0;width:8376;height:15" coordorigin="0,0" coordsize="8376,15" path="m5759,0l3157,0,3143,0,0,0,0,14,3143,14,3157,14,5759,14,5759,0xm8376,0l5774,0,5759,0,5759,14,5774,14,8376,14,8376,0xe" filled="true" fillcolor="#5fff00" stroked="false">
              <v:path arrowok="t"/>
              <v:fill type="solid"/>
            </v:shape>
          </v:group>
        </w:pict>
      </w:r>
      <w:r>
        <w:rPr>
          <w:rFonts w:ascii="Times New Roman"/>
          <w:sz w:val="2"/>
        </w:rPr>
      </w:r>
    </w:p>
    <w:p>
      <w:pPr>
        <w:tabs>
          <w:tab w:pos="2726" w:val="left" w:leader="none"/>
        </w:tabs>
        <w:spacing w:before="0"/>
        <w:ind w:left="0" w:right="145" w:firstLine="0"/>
        <w:jc w:val="center"/>
        <w:rPr>
          <w:rFonts w:ascii="Times New Roman"/>
          <w:b/>
          <w:sz w:val="18"/>
        </w:rPr>
      </w:pPr>
      <w:r>
        <w:rPr>
          <w:rFonts w:ascii="Times New Roman"/>
          <w:b/>
          <w:sz w:val="18"/>
        </w:rPr>
        <w:t>Total</w:t>
        <w:tab/>
        <w:t>1,450,494</w:t>
      </w:r>
    </w:p>
    <w:p>
      <w:pPr>
        <w:pStyle w:val="BodyText"/>
        <w:spacing w:line="20" w:lineRule="exact"/>
        <w:ind w:left="2358"/>
        <w:rPr>
          <w:rFonts w:ascii="Times New Roman"/>
          <w:sz w:val="2"/>
        </w:rPr>
      </w:pPr>
      <w:r>
        <w:rPr>
          <w:rFonts w:ascii="Times New Roman"/>
          <w:sz w:val="2"/>
        </w:rPr>
        <w:pict>
          <v:group style="width:418.8pt;height:.75pt;mso-position-horizontal-relative:char;mso-position-vertical-relative:line" coordorigin="0,0" coordsize="8376,15">
            <v:shape style="position:absolute;left:0;top:0;width:8376;height:15" coordorigin="0,0" coordsize="8376,15" path="m5759,0l3157,0,3143,0,0,0,0,14,3143,14,3157,14,5759,14,5759,0xm8376,0l5774,0,5759,0,5759,14,5774,14,8376,14,8376,0xe" filled="true" fillcolor="#5fff00" stroked="false">
              <v:path arrowok="t"/>
              <v:fill type="solid"/>
            </v:shape>
          </v:group>
        </w:pict>
      </w:r>
      <w:r>
        <w:rPr>
          <w:rFonts w:ascii="Times New Roman"/>
          <w:sz w:val="2"/>
        </w:rPr>
      </w:r>
    </w:p>
    <w:p>
      <w:pPr>
        <w:pStyle w:val="BodyText"/>
        <w:spacing w:before="3"/>
        <w:rPr>
          <w:rFonts w:ascii="Times New Roman"/>
          <w:b/>
          <w:sz w:val="12"/>
        </w:rPr>
      </w:pPr>
    </w:p>
    <w:p>
      <w:pPr>
        <w:spacing w:before="93"/>
        <w:ind w:left="2358" w:right="0" w:firstLine="0"/>
        <w:jc w:val="left"/>
        <w:rPr>
          <w:rFonts w:ascii="Times New Roman"/>
          <w:sz w:val="18"/>
        </w:rPr>
      </w:pPr>
      <w:r>
        <w:rPr>
          <w:rFonts w:ascii="Times New Roman"/>
          <w:sz w:val="18"/>
        </w:rPr>
        <w:t>Source: Rent roll, lease deeds, architect certificate;</w:t>
      </w:r>
    </w:p>
    <w:p>
      <w:pPr>
        <w:spacing w:after="0"/>
        <w:jc w:val="left"/>
        <w:rPr>
          <w:rFonts w:ascii="Times New Roman"/>
          <w:sz w:val="18"/>
        </w:rPr>
        <w:sectPr>
          <w:type w:val="continuous"/>
          <w:pgSz w:w="12240" w:h="15840"/>
          <w:pgMar w:top="800" w:bottom="280" w:left="620" w:right="580"/>
        </w:sectPr>
      </w:pPr>
    </w:p>
    <w:p>
      <w:pPr>
        <w:pStyle w:val="BodyText"/>
        <w:rPr>
          <w:rFonts w:ascii="Times New Roman"/>
          <w:sz w:val="20"/>
        </w:rPr>
      </w:pPr>
    </w:p>
    <w:p>
      <w:pPr>
        <w:pStyle w:val="BodyText"/>
        <w:spacing w:before="10"/>
        <w:rPr>
          <w:rFonts w:ascii="Times New Roman"/>
          <w:sz w:val="21"/>
        </w:rPr>
      </w:pPr>
    </w:p>
    <w:p>
      <w:pPr>
        <w:spacing w:before="92"/>
        <w:ind w:left="265" w:right="0" w:firstLine="0"/>
        <w:jc w:val="left"/>
        <w:rPr>
          <w:rFonts w:ascii="Times New Roman"/>
          <w:sz w:val="18"/>
        </w:rPr>
      </w:pPr>
      <w:r>
        <w:rPr/>
        <w:drawing>
          <wp:anchor distT="0" distB="0" distL="0" distR="0" allowOverlap="1" layoutInCell="1" locked="0" behindDoc="0" simplePos="0" relativeHeight="15775744">
            <wp:simplePos x="0" y="0"/>
            <wp:positionH relativeFrom="page">
              <wp:posOffset>2057400</wp:posOffset>
            </wp:positionH>
            <wp:positionV relativeFrom="paragraph">
              <wp:posOffset>58322</wp:posOffset>
            </wp:positionV>
            <wp:extent cx="4779009" cy="2458084"/>
            <wp:effectExtent l="0" t="0" r="0" b="0"/>
            <wp:wrapNone/>
            <wp:docPr id="27" name="image16.jpeg"/>
            <wp:cNvGraphicFramePr>
              <a:graphicFrameLocks noChangeAspect="1"/>
            </wp:cNvGraphicFramePr>
            <a:graphic>
              <a:graphicData uri="http://schemas.openxmlformats.org/drawingml/2006/picture">
                <pic:pic>
                  <pic:nvPicPr>
                    <pic:cNvPr id="28" name="image16.jpeg"/>
                    <pic:cNvPicPr/>
                  </pic:nvPicPr>
                  <pic:blipFill>
                    <a:blip r:embed="rId22" cstate="print"/>
                    <a:stretch>
                      <a:fillRect/>
                    </a:stretch>
                  </pic:blipFill>
                  <pic:spPr>
                    <a:xfrm>
                      <a:off x="0" y="0"/>
                      <a:ext cx="4779009" cy="2458084"/>
                    </a:xfrm>
                    <a:prstGeom prst="rect">
                      <a:avLst/>
                    </a:prstGeom>
                  </pic:spPr>
                </pic:pic>
              </a:graphicData>
            </a:graphic>
          </wp:anchor>
        </w:drawing>
      </w:r>
      <w:r>
        <w:rPr>
          <w:rFonts w:ascii="Times New Roman"/>
          <w:color w:val="16772B"/>
          <w:sz w:val="18"/>
        </w:rPr>
        <w:t>Location Map</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20"/>
        </w:rPr>
      </w:pPr>
    </w:p>
    <w:p>
      <w:pPr>
        <w:spacing w:before="0"/>
        <w:ind w:left="265" w:right="0" w:firstLine="0"/>
        <w:jc w:val="left"/>
        <w:rPr>
          <w:rFonts w:ascii="Times New Roman"/>
          <w:sz w:val="18"/>
        </w:rPr>
      </w:pPr>
      <w:r>
        <w:rPr/>
        <w:pict>
          <v:shape style="position:absolute;margin-left:44.279999pt;margin-top:10.822315pt;width:47.15pt;height:10pt;mso-position-horizontal-relative:page;mso-position-vertical-relative:paragraph;z-index:-15682048;mso-wrap-distance-left:0;mso-wrap-distance-right:0" type="#_x0000_t202" filled="false" stroked="false">
            <v:textbox inset="0,0,0,0">
              <w:txbxContent>
                <w:p>
                  <w:pPr>
                    <w:spacing w:line="199" w:lineRule="exact" w:before="0"/>
                    <w:ind w:left="0" w:right="0" w:firstLine="0"/>
                    <w:jc w:val="left"/>
                    <w:rPr>
                      <w:rFonts w:ascii="Times New Roman"/>
                      <w:sz w:val="18"/>
                    </w:rPr>
                  </w:pPr>
                  <w:r>
                    <w:rPr>
                      <w:rFonts w:ascii="Times New Roman"/>
                      <w:color w:val="16772B"/>
                      <w:sz w:val="18"/>
                    </w:rPr>
                    <w:t>Assumptions</w:t>
                  </w:r>
                </w:p>
              </w:txbxContent>
            </v:textbox>
            <w10:wrap type="topAndBottom"/>
          </v:shape>
        </w:pict>
      </w:r>
      <w:r>
        <w:rPr/>
        <w:pict>
          <v:group style="position:absolute;margin-left:132.860001pt;margin-top:-.837665pt;width:434.9pt;height:34.35pt;mso-position-horizontal-relative:page;mso-position-vertical-relative:paragraph;z-index:15776256" coordorigin="2657,-17" coordsize="8698,687">
            <v:shape style="position:absolute;left:2657;top:0;width:8698;height:435" coordorigin="2657,0" coordsize="8698,435" path="m9532,0l7665,0,2657,0,2657,434,7665,434,9532,434,9532,0xm11354,0l9532,0,9532,434,11354,434,11354,0xe" filled="true" fillcolor="#16772b" stroked="false">
              <v:path arrowok="t"/>
              <v:fill type="solid"/>
            </v:shape>
            <v:shape style="position:absolute;left:2657;top:-17;width:8698;height:687" coordorigin="2657,-17" coordsize="8698,687" path="m9532,-17l7679,-17,7665,-17,2660,-17,2660,-2,7665,-2,7679,-2,9532,-2,9532,-17xm11354,434l9547,434,9532,434,9532,449,9532,449,9532,434,7679,434,7665,434,2660,434,2660,449,2657,449,2657,655,2660,655,2660,670,7665,670,7679,670,9532,670,9532,655,9532,655,9532,670,9547,670,11354,670,11354,655,11354,655,11354,449,11354,449,11354,434xm11354,-17l9547,-17,9532,-17,9532,-2,9547,-2,11354,-2,11354,-17xe" filled="true" fillcolor="#5fff00" stroked="false">
              <v:path arrowok="t"/>
              <v:fill type="solid"/>
            </v:shape>
            <w10:wrap type="none"/>
          </v:group>
        </w:pict>
      </w:r>
      <w:r>
        <w:rPr/>
        <w:pict>
          <v:shape style="position:absolute;margin-left:132.886246pt;margin-top:-.477665pt;width:434.85pt;height:89.4pt;mso-position-horizontal-relative:page;mso-position-vertical-relative:paragraph;z-index:157767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13"/>
                    <w:gridCol w:w="2250"/>
                    <w:gridCol w:w="1732"/>
                  </w:tblGrid>
                  <w:tr>
                    <w:trPr>
                      <w:trHeight w:val="679" w:hRule="atLeast"/>
                    </w:trPr>
                    <w:tc>
                      <w:tcPr>
                        <w:tcW w:w="8695" w:type="dxa"/>
                        <w:gridSpan w:val="3"/>
                      </w:tcPr>
                      <w:p>
                        <w:pPr>
                          <w:pStyle w:val="TableParagraph"/>
                          <w:tabs>
                            <w:tab w:pos="5780" w:val="left" w:leader="none"/>
                            <w:tab w:pos="7532" w:val="left" w:leader="none"/>
                          </w:tabs>
                          <w:spacing w:line="336" w:lineRule="exact" w:before="21"/>
                          <w:ind w:left="2700" w:right="651" w:hanging="584"/>
                          <w:jc w:val="left"/>
                          <w:rPr>
                            <w:rFonts w:ascii="Times New Roman"/>
                            <w:sz w:val="18"/>
                          </w:rPr>
                        </w:pPr>
                        <w:r>
                          <w:rPr>
                            <w:rFonts w:ascii="Times New Roman"/>
                            <w:color w:val="FFFFFF"/>
                            <w:sz w:val="18"/>
                          </w:rPr>
                          <w:t>Particulars</w:t>
                          <w:tab/>
                          <w:t>Unit</w:t>
                          <w:tab/>
                        </w:r>
                        <w:r>
                          <w:rPr>
                            <w:rFonts w:ascii="Times New Roman"/>
                            <w:color w:val="FFFFFF"/>
                            <w:spacing w:val="-4"/>
                            <w:sz w:val="18"/>
                          </w:rPr>
                          <w:t>Details </w:t>
                        </w:r>
                        <w:r>
                          <w:rPr>
                            <w:rFonts w:ascii="Times New Roman"/>
                            <w:sz w:val="18"/>
                          </w:rPr>
                          <w:t>Revenue assumptions (as on March 31, 2020)</w:t>
                        </w:r>
                      </w:p>
                    </w:tc>
                  </w:tr>
                  <w:tr>
                    <w:trPr>
                      <w:trHeight w:val="192" w:hRule="atLeast"/>
                    </w:trPr>
                    <w:tc>
                      <w:tcPr>
                        <w:tcW w:w="4713" w:type="dxa"/>
                        <w:tcBorders>
                          <w:bottom w:val="single" w:sz="6" w:space="0" w:color="5FFF00"/>
                        </w:tcBorders>
                      </w:tcPr>
                      <w:p>
                        <w:pPr>
                          <w:pStyle w:val="TableParagraph"/>
                          <w:spacing w:line="172" w:lineRule="exact"/>
                          <w:ind w:left="1844" w:right="1553"/>
                          <w:rPr>
                            <w:rFonts w:ascii="Times New Roman"/>
                            <w:sz w:val="18"/>
                          </w:rPr>
                        </w:pPr>
                        <w:r>
                          <w:rPr>
                            <w:rFonts w:ascii="Times New Roman"/>
                            <w:sz w:val="18"/>
                          </w:rPr>
                          <w:t>Lease completion</w:t>
                        </w:r>
                      </w:p>
                    </w:tc>
                    <w:tc>
                      <w:tcPr>
                        <w:tcW w:w="2250" w:type="dxa"/>
                        <w:tcBorders>
                          <w:bottom w:val="single" w:sz="6" w:space="0" w:color="5FFF00"/>
                        </w:tcBorders>
                      </w:tcPr>
                      <w:p>
                        <w:pPr>
                          <w:pStyle w:val="TableParagraph"/>
                          <w:spacing w:line="172" w:lineRule="exact"/>
                          <w:ind w:left="1031" w:right="828"/>
                          <w:rPr>
                            <w:rFonts w:ascii="Times New Roman"/>
                            <w:sz w:val="18"/>
                          </w:rPr>
                        </w:pPr>
                        <w:r>
                          <w:rPr>
                            <w:rFonts w:ascii="Times New Roman"/>
                            <w:sz w:val="18"/>
                          </w:rPr>
                          <w:t>Year</w:t>
                        </w:r>
                      </w:p>
                    </w:tc>
                    <w:tc>
                      <w:tcPr>
                        <w:tcW w:w="1732" w:type="dxa"/>
                        <w:tcBorders>
                          <w:bottom w:val="single" w:sz="6" w:space="0" w:color="5FFF00"/>
                        </w:tcBorders>
                      </w:tcPr>
                      <w:p>
                        <w:pPr>
                          <w:pStyle w:val="TableParagraph"/>
                          <w:spacing w:line="172" w:lineRule="exact"/>
                          <w:ind w:left="362" w:right="443"/>
                          <w:rPr>
                            <w:rFonts w:ascii="Times New Roman"/>
                            <w:sz w:val="18"/>
                          </w:rPr>
                        </w:pPr>
                        <w:r>
                          <w:rPr>
                            <w:rFonts w:ascii="Times New Roman"/>
                            <w:sz w:val="18"/>
                          </w:rPr>
                          <w:t>FY 2021</w:t>
                        </w:r>
                      </w:p>
                    </w:tc>
                  </w:tr>
                  <w:tr>
                    <w:trPr>
                      <w:trHeight w:val="208" w:hRule="atLeast"/>
                    </w:trPr>
                    <w:tc>
                      <w:tcPr>
                        <w:tcW w:w="4713" w:type="dxa"/>
                        <w:tcBorders>
                          <w:top w:val="single" w:sz="6" w:space="0" w:color="5FFF00"/>
                          <w:bottom w:val="single" w:sz="6" w:space="0" w:color="5FFF00"/>
                        </w:tcBorders>
                      </w:tcPr>
                      <w:p>
                        <w:pPr>
                          <w:pStyle w:val="TableParagraph"/>
                          <w:spacing w:line="186" w:lineRule="exact" w:before="2"/>
                          <w:ind w:left="1844" w:right="1552"/>
                          <w:rPr>
                            <w:rFonts w:ascii="Times New Roman"/>
                            <w:sz w:val="18"/>
                          </w:rPr>
                        </w:pPr>
                        <w:r>
                          <w:rPr>
                            <w:rFonts w:ascii="Times New Roman"/>
                            <w:sz w:val="18"/>
                          </w:rPr>
                          <w:t>In-place rent</w:t>
                        </w:r>
                      </w:p>
                    </w:tc>
                    <w:tc>
                      <w:tcPr>
                        <w:tcW w:w="2250" w:type="dxa"/>
                        <w:tcBorders>
                          <w:top w:val="single" w:sz="6" w:space="0" w:color="5FFF00"/>
                          <w:bottom w:val="single" w:sz="6" w:space="0" w:color="5FFF00"/>
                        </w:tcBorders>
                      </w:tcPr>
                      <w:p>
                        <w:pPr>
                          <w:pStyle w:val="TableParagraph"/>
                          <w:spacing w:line="186" w:lineRule="exact" w:before="2"/>
                          <w:ind w:right="568"/>
                          <w:jc w:val="right"/>
                          <w:rPr>
                            <w:rFonts w:ascii="Times New Roman"/>
                            <w:sz w:val="18"/>
                          </w:rPr>
                        </w:pPr>
                        <w:r>
                          <w:rPr>
                            <w:rFonts w:ascii="Times New Roman"/>
                            <w:sz w:val="18"/>
                          </w:rPr>
                          <w:t>INR psf/mth</w:t>
                        </w:r>
                      </w:p>
                    </w:tc>
                    <w:tc>
                      <w:tcPr>
                        <w:tcW w:w="1732" w:type="dxa"/>
                        <w:tcBorders>
                          <w:top w:val="single" w:sz="6" w:space="0" w:color="5FFF00"/>
                          <w:bottom w:val="single" w:sz="6" w:space="0" w:color="5FFF00"/>
                        </w:tcBorders>
                      </w:tcPr>
                      <w:p>
                        <w:pPr>
                          <w:pStyle w:val="TableParagraph"/>
                          <w:spacing w:line="186" w:lineRule="exact" w:before="2"/>
                          <w:ind w:left="362" w:right="444"/>
                          <w:rPr>
                            <w:rFonts w:ascii="Times New Roman"/>
                            <w:sz w:val="10"/>
                          </w:rPr>
                        </w:pPr>
                        <w:r>
                          <w:rPr>
                            <w:rFonts w:ascii="Times New Roman"/>
                            <w:sz w:val="18"/>
                          </w:rPr>
                          <w:t>39</w:t>
                        </w:r>
                        <w:r>
                          <w:rPr>
                            <w:rFonts w:ascii="Times New Roman"/>
                            <w:position w:val="5"/>
                            <w:sz w:val="10"/>
                          </w:rPr>
                          <w:t>^</w:t>
                        </w:r>
                      </w:p>
                    </w:tc>
                  </w:tr>
                  <w:tr>
                    <w:trPr>
                      <w:trHeight w:val="205" w:hRule="atLeast"/>
                    </w:trPr>
                    <w:tc>
                      <w:tcPr>
                        <w:tcW w:w="4713" w:type="dxa"/>
                        <w:tcBorders>
                          <w:top w:val="single" w:sz="6" w:space="0" w:color="5FFF00"/>
                          <w:bottom w:val="single" w:sz="6" w:space="0" w:color="5FFF00"/>
                        </w:tcBorders>
                      </w:tcPr>
                      <w:p>
                        <w:pPr>
                          <w:pStyle w:val="TableParagraph"/>
                          <w:spacing w:line="186" w:lineRule="exact"/>
                          <w:ind w:left="998"/>
                          <w:jc w:val="left"/>
                          <w:rPr>
                            <w:rFonts w:ascii="Times New Roman" w:hAnsi="Times New Roman"/>
                            <w:sz w:val="18"/>
                          </w:rPr>
                        </w:pPr>
                        <w:r>
                          <w:rPr>
                            <w:rFonts w:ascii="Times New Roman" w:hAnsi="Times New Roman"/>
                            <w:sz w:val="18"/>
                          </w:rPr>
                          <w:t>Marginal rent – IT SEZ office component</w:t>
                        </w:r>
                      </w:p>
                    </w:tc>
                    <w:tc>
                      <w:tcPr>
                        <w:tcW w:w="2250" w:type="dxa"/>
                        <w:tcBorders>
                          <w:top w:val="single" w:sz="6" w:space="0" w:color="5FFF00"/>
                          <w:bottom w:val="single" w:sz="6" w:space="0" w:color="5FFF00"/>
                        </w:tcBorders>
                      </w:tcPr>
                      <w:p>
                        <w:pPr>
                          <w:pStyle w:val="TableParagraph"/>
                          <w:spacing w:line="186" w:lineRule="exact"/>
                          <w:ind w:right="568"/>
                          <w:jc w:val="right"/>
                          <w:rPr>
                            <w:rFonts w:ascii="Times New Roman"/>
                            <w:sz w:val="18"/>
                          </w:rPr>
                        </w:pPr>
                        <w:r>
                          <w:rPr>
                            <w:rFonts w:ascii="Times New Roman"/>
                            <w:sz w:val="18"/>
                          </w:rPr>
                          <w:t>INR psf/mth</w:t>
                        </w:r>
                      </w:p>
                    </w:tc>
                    <w:tc>
                      <w:tcPr>
                        <w:tcW w:w="1732" w:type="dxa"/>
                        <w:tcBorders>
                          <w:top w:val="single" w:sz="6" w:space="0" w:color="5FFF00"/>
                          <w:bottom w:val="single" w:sz="6" w:space="0" w:color="5FFF00"/>
                        </w:tcBorders>
                      </w:tcPr>
                      <w:p>
                        <w:pPr>
                          <w:pStyle w:val="TableParagraph"/>
                          <w:spacing w:line="186" w:lineRule="exact"/>
                          <w:ind w:left="362" w:right="443"/>
                          <w:rPr>
                            <w:rFonts w:ascii="Times New Roman"/>
                            <w:sz w:val="18"/>
                          </w:rPr>
                        </w:pPr>
                        <w:r>
                          <w:rPr>
                            <w:rFonts w:ascii="Times New Roman"/>
                            <w:sz w:val="18"/>
                          </w:rPr>
                          <w:t>48</w:t>
                        </w:r>
                      </w:p>
                    </w:tc>
                  </w:tr>
                  <w:tr>
                    <w:trPr>
                      <w:trHeight w:val="208" w:hRule="atLeast"/>
                    </w:trPr>
                    <w:tc>
                      <w:tcPr>
                        <w:tcW w:w="4713" w:type="dxa"/>
                        <w:tcBorders>
                          <w:top w:val="single" w:sz="6" w:space="0" w:color="5FFF00"/>
                        </w:tcBorders>
                      </w:tcPr>
                      <w:p>
                        <w:pPr>
                          <w:pStyle w:val="TableParagraph"/>
                          <w:spacing w:line="186" w:lineRule="exact" w:before="2"/>
                          <w:ind w:left="1648"/>
                          <w:jc w:val="left"/>
                          <w:rPr>
                            <w:rFonts w:ascii="Times New Roman"/>
                            <w:sz w:val="18"/>
                          </w:rPr>
                        </w:pPr>
                        <w:r>
                          <w:rPr>
                            <w:rFonts w:ascii="Times New Roman"/>
                            <w:sz w:val="18"/>
                          </w:rPr>
                          <w:t>Parking rent (Effective)</w:t>
                        </w:r>
                      </w:p>
                    </w:tc>
                    <w:tc>
                      <w:tcPr>
                        <w:tcW w:w="2250" w:type="dxa"/>
                        <w:tcBorders>
                          <w:top w:val="single" w:sz="6" w:space="0" w:color="5FFF00"/>
                        </w:tcBorders>
                      </w:tcPr>
                      <w:p>
                        <w:pPr>
                          <w:pStyle w:val="TableParagraph"/>
                          <w:spacing w:line="186" w:lineRule="exact" w:before="2"/>
                          <w:ind w:right="501"/>
                          <w:jc w:val="right"/>
                          <w:rPr>
                            <w:rFonts w:ascii="Times New Roman"/>
                            <w:sz w:val="18"/>
                          </w:rPr>
                        </w:pPr>
                        <w:r>
                          <w:rPr>
                            <w:rFonts w:ascii="Times New Roman"/>
                            <w:sz w:val="18"/>
                          </w:rPr>
                          <w:t>INR / bay/mth</w:t>
                        </w:r>
                      </w:p>
                    </w:tc>
                    <w:tc>
                      <w:tcPr>
                        <w:tcW w:w="1732" w:type="dxa"/>
                        <w:tcBorders>
                          <w:top w:val="single" w:sz="6" w:space="0" w:color="5FFF00"/>
                        </w:tcBorders>
                      </w:tcPr>
                      <w:p>
                        <w:pPr>
                          <w:pStyle w:val="TableParagraph"/>
                          <w:spacing w:line="186" w:lineRule="exact" w:before="2"/>
                          <w:ind w:left="362" w:right="445"/>
                          <w:rPr>
                            <w:rFonts w:ascii="Times New Roman"/>
                            <w:sz w:val="18"/>
                          </w:rPr>
                        </w:pPr>
                        <w:r>
                          <w:rPr>
                            <w:rFonts w:ascii="Times New Roman"/>
                            <w:sz w:val="18"/>
                          </w:rPr>
                          <w:t>1,500</w:t>
                        </w:r>
                      </w:p>
                    </w:tc>
                  </w:tr>
                  <w:tr>
                    <w:trPr>
                      <w:trHeight w:val="235" w:hRule="atLeast"/>
                    </w:trPr>
                    <w:tc>
                      <w:tcPr>
                        <w:tcW w:w="4713" w:type="dxa"/>
                        <w:shd w:val="clear" w:color="auto" w:fill="5FFF00"/>
                      </w:tcPr>
                      <w:p>
                        <w:pPr>
                          <w:pStyle w:val="TableParagraph"/>
                          <w:spacing w:line="201" w:lineRule="exact" w:before="14"/>
                          <w:ind w:right="23"/>
                          <w:jc w:val="right"/>
                          <w:rPr>
                            <w:rFonts w:ascii="Times New Roman"/>
                            <w:sz w:val="18"/>
                          </w:rPr>
                        </w:pPr>
                        <w:r>
                          <w:rPr>
                            <w:rFonts w:ascii="Times New Roman"/>
                            <w:sz w:val="18"/>
                          </w:rPr>
                          <w:t>Other financial ass</w:t>
                        </w:r>
                      </w:p>
                    </w:tc>
                    <w:tc>
                      <w:tcPr>
                        <w:tcW w:w="2250" w:type="dxa"/>
                        <w:shd w:val="clear" w:color="auto" w:fill="5FFF00"/>
                      </w:tcPr>
                      <w:p>
                        <w:pPr>
                          <w:pStyle w:val="TableParagraph"/>
                          <w:spacing w:line="201" w:lineRule="exact" w:before="14"/>
                          <w:ind w:left="-27"/>
                          <w:jc w:val="left"/>
                          <w:rPr>
                            <w:rFonts w:ascii="Times New Roman"/>
                            <w:sz w:val="18"/>
                          </w:rPr>
                        </w:pPr>
                        <w:r>
                          <w:rPr>
                            <w:rFonts w:ascii="Times New Roman"/>
                            <w:sz w:val="18"/>
                          </w:rPr>
                          <w:t>umptions</w:t>
                        </w:r>
                      </w:p>
                    </w:tc>
                    <w:tc>
                      <w:tcPr>
                        <w:tcW w:w="1732" w:type="dxa"/>
                        <w:shd w:val="clear" w:color="auto" w:fill="5FFF00"/>
                      </w:tcPr>
                      <w:p>
                        <w:pPr>
                          <w:pStyle w:val="TableParagraph"/>
                          <w:jc w:val="left"/>
                          <w:rPr>
                            <w:rFonts w:ascii="Times New Roman"/>
                            <w:sz w:val="16"/>
                          </w:rPr>
                        </w:pPr>
                      </w:p>
                    </w:tc>
                  </w:tr>
                </w:tbl>
                <w:p>
                  <w:pPr>
                    <w:pStyle w:val="BodyText"/>
                  </w:pPr>
                </w:p>
              </w:txbxContent>
            </v:textbox>
            <w10:wrap type="none"/>
          </v:shape>
        </w:pict>
      </w:r>
      <w:r>
        <w:rPr>
          <w:rFonts w:ascii="Times New Roman"/>
          <w:color w:val="16772B"/>
          <w:sz w:val="18"/>
        </w:rPr>
        <w:t>Key</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2"/>
        <w:rPr>
          <w:rFonts w:ascii="Times New Roman"/>
          <w:sz w:val="17"/>
        </w:rPr>
      </w:pPr>
    </w:p>
    <w:tbl>
      <w:tblPr>
        <w:tblW w:w="0" w:type="auto"/>
        <w:jc w:val="left"/>
        <w:tblInd w:w="2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24"/>
        <w:gridCol w:w="5120"/>
        <w:gridCol w:w="1641"/>
        <w:gridCol w:w="1934"/>
      </w:tblGrid>
      <w:tr>
        <w:trPr>
          <w:trHeight w:val="208" w:hRule="atLeast"/>
        </w:trPr>
        <w:tc>
          <w:tcPr>
            <w:tcW w:w="1824" w:type="dxa"/>
            <w:vMerge w:val="restart"/>
          </w:tcPr>
          <w:p>
            <w:pPr>
              <w:pStyle w:val="TableParagraph"/>
              <w:jc w:val="left"/>
              <w:rPr>
                <w:rFonts w:ascii="Times New Roman"/>
                <w:sz w:val="16"/>
              </w:rPr>
            </w:pPr>
          </w:p>
        </w:tc>
        <w:tc>
          <w:tcPr>
            <w:tcW w:w="5120" w:type="dxa"/>
            <w:tcBorders>
              <w:bottom w:val="single" w:sz="6" w:space="0" w:color="5FFF00"/>
            </w:tcBorders>
          </w:tcPr>
          <w:p>
            <w:pPr>
              <w:pStyle w:val="TableParagraph"/>
              <w:spacing w:line="186" w:lineRule="exact" w:before="2"/>
              <w:ind w:left="1207" w:right="1323"/>
              <w:rPr>
                <w:rFonts w:ascii="Times New Roman" w:hAnsi="Times New Roman"/>
                <w:sz w:val="18"/>
              </w:rPr>
            </w:pPr>
            <w:r>
              <w:rPr>
                <w:rFonts w:ascii="Times New Roman" w:hAnsi="Times New Roman"/>
                <w:sz w:val="18"/>
              </w:rPr>
              <w:t>Cap rate – commercial components</w:t>
            </w:r>
          </w:p>
        </w:tc>
        <w:tc>
          <w:tcPr>
            <w:tcW w:w="1641" w:type="dxa"/>
            <w:tcBorders>
              <w:bottom w:val="single" w:sz="6" w:space="0" w:color="5FFF00"/>
            </w:tcBorders>
          </w:tcPr>
          <w:p>
            <w:pPr>
              <w:pStyle w:val="TableParagraph"/>
              <w:spacing w:line="186" w:lineRule="exact" w:before="2"/>
              <w:ind w:right="1"/>
              <w:rPr>
                <w:rFonts w:ascii="Times New Roman"/>
                <w:sz w:val="18"/>
              </w:rPr>
            </w:pPr>
            <w:r>
              <w:rPr>
                <w:rFonts w:ascii="Times New Roman"/>
                <w:w w:val="99"/>
                <w:sz w:val="18"/>
              </w:rPr>
              <w:t>%</w:t>
            </w:r>
          </w:p>
        </w:tc>
        <w:tc>
          <w:tcPr>
            <w:tcW w:w="1934" w:type="dxa"/>
            <w:tcBorders>
              <w:bottom w:val="single" w:sz="6" w:space="0" w:color="5FFF00"/>
            </w:tcBorders>
          </w:tcPr>
          <w:p>
            <w:pPr>
              <w:pStyle w:val="TableParagraph"/>
              <w:spacing w:line="186" w:lineRule="exact" w:before="2"/>
              <w:ind w:left="791"/>
              <w:jc w:val="left"/>
              <w:rPr>
                <w:rFonts w:ascii="Times New Roman"/>
                <w:sz w:val="18"/>
              </w:rPr>
            </w:pPr>
            <w:r>
              <w:rPr>
                <w:rFonts w:ascii="Times New Roman"/>
                <w:sz w:val="18"/>
              </w:rPr>
              <w:t>8.25%</w:t>
            </w:r>
          </w:p>
        </w:tc>
      </w:tr>
      <w:tr>
        <w:trPr>
          <w:trHeight w:val="205" w:hRule="atLeast"/>
        </w:trPr>
        <w:tc>
          <w:tcPr>
            <w:tcW w:w="1824" w:type="dxa"/>
            <w:vMerge/>
            <w:tcBorders>
              <w:top w:val="nil"/>
            </w:tcBorders>
          </w:tcPr>
          <w:p>
            <w:pPr>
              <w:rPr>
                <w:sz w:val="2"/>
                <w:szCs w:val="2"/>
              </w:rPr>
            </w:pPr>
          </w:p>
        </w:tc>
        <w:tc>
          <w:tcPr>
            <w:tcW w:w="5120" w:type="dxa"/>
            <w:tcBorders>
              <w:top w:val="single" w:sz="6" w:space="0" w:color="5FFF00"/>
              <w:bottom w:val="single" w:sz="6" w:space="0" w:color="5FFF00"/>
            </w:tcBorders>
          </w:tcPr>
          <w:p>
            <w:pPr>
              <w:pStyle w:val="TableParagraph"/>
              <w:spacing w:line="186" w:lineRule="exact"/>
              <w:ind w:left="1207" w:right="1321"/>
              <w:rPr>
                <w:rFonts w:ascii="Times New Roman"/>
                <w:sz w:val="18"/>
              </w:rPr>
            </w:pPr>
            <w:r>
              <w:rPr>
                <w:rFonts w:ascii="Times New Roman"/>
                <w:sz w:val="18"/>
              </w:rPr>
              <w:t>WACC rate (operational)</w:t>
            </w:r>
          </w:p>
        </w:tc>
        <w:tc>
          <w:tcPr>
            <w:tcW w:w="1641" w:type="dxa"/>
            <w:tcBorders>
              <w:top w:val="single" w:sz="6" w:space="0" w:color="5FFF00"/>
              <w:bottom w:val="single" w:sz="6" w:space="0" w:color="5FFF00"/>
            </w:tcBorders>
          </w:tcPr>
          <w:p>
            <w:pPr>
              <w:pStyle w:val="TableParagraph"/>
              <w:spacing w:line="186" w:lineRule="exact"/>
              <w:ind w:right="1"/>
              <w:rPr>
                <w:rFonts w:ascii="Times New Roman"/>
                <w:sz w:val="18"/>
              </w:rPr>
            </w:pPr>
            <w:r>
              <w:rPr>
                <w:rFonts w:ascii="Times New Roman"/>
                <w:w w:val="99"/>
                <w:sz w:val="18"/>
              </w:rPr>
              <w:t>%</w:t>
            </w:r>
          </w:p>
        </w:tc>
        <w:tc>
          <w:tcPr>
            <w:tcW w:w="1934" w:type="dxa"/>
            <w:tcBorders>
              <w:top w:val="single" w:sz="6" w:space="0" w:color="5FFF00"/>
              <w:bottom w:val="single" w:sz="6" w:space="0" w:color="5FFF00"/>
            </w:tcBorders>
          </w:tcPr>
          <w:p>
            <w:pPr>
              <w:pStyle w:val="TableParagraph"/>
              <w:spacing w:line="186" w:lineRule="exact"/>
              <w:ind w:left="745"/>
              <w:jc w:val="left"/>
              <w:rPr>
                <w:rFonts w:ascii="Times New Roman"/>
                <w:sz w:val="18"/>
              </w:rPr>
            </w:pPr>
            <w:r>
              <w:rPr>
                <w:rFonts w:ascii="Times New Roman"/>
                <w:sz w:val="18"/>
              </w:rPr>
              <w:t>12.03%</w:t>
            </w:r>
          </w:p>
        </w:tc>
      </w:tr>
      <w:tr>
        <w:trPr>
          <w:trHeight w:val="631" w:hRule="atLeast"/>
        </w:trPr>
        <w:tc>
          <w:tcPr>
            <w:tcW w:w="1824" w:type="dxa"/>
          </w:tcPr>
          <w:p>
            <w:pPr>
              <w:pStyle w:val="TableParagraph"/>
              <w:jc w:val="left"/>
              <w:rPr>
                <w:rFonts w:ascii="Times New Roman"/>
                <w:sz w:val="20"/>
              </w:rPr>
            </w:pPr>
          </w:p>
          <w:p>
            <w:pPr>
              <w:pStyle w:val="TableParagraph"/>
              <w:spacing w:before="10"/>
              <w:jc w:val="left"/>
              <w:rPr>
                <w:rFonts w:ascii="Times New Roman"/>
                <w:sz w:val="16"/>
              </w:rPr>
            </w:pPr>
          </w:p>
          <w:p>
            <w:pPr>
              <w:pStyle w:val="TableParagraph"/>
              <w:spacing w:line="187" w:lineRule="exact" w:before="1"/>
              <w:ind w:left="50"/>
              <w:jc w:val="left"/>
              <w:rPr>
                <w:rFonts w:ascii="Times New Roman"/>
                <w:sz w:val="18"/>
              </w:rPr>
            </w:pPr>
            <w:r>
              <w:rPr>
                <w:rFonts w:ascii="Times New Roman"/>
                <w:color w:val="16772B"/>
                <w:sz w:val="18"/>
              </w:rPr>
              <w:t>Market Value:</w:t>
            </w:r>
          </w:p>
        </w:tc>
        <w:tc>
          <w:tcPr>
            <w:tcW w:w="5120" w:type="dxa"/>
            <w:tcBorders>
              <w:top w:val="single" w:sz="6" w:space="0" w:color="5FFF00"/>
            </w:tcBorders>
          </w:tcPr>
          <w:p>
            <w:pPr>
              <w:pStyle w:val="TableParagraph"/>
              <w:spacing w:before="1"/>
              <w:ind w:left="-3"/>
              <w:jc w:val="left"/>
              <w:rPr>
                <w:rFonts w:ascii="Times New Roman"/>
                <w:i/>
                <w:sz w:val="16"/>
              </w:rPr>
            </w:pPr>
            <w:r>
              <w:rPr>
                <w:rFonts w:ascii="Times New Roman"/>
                <w:i/>
                <w:sz w:val="16"/>
              </w:rPr>
              <w:t>^denotes the weighted average rentals for leased office/retail spaces</w:t>
            </w:r>
          </w:p>
          <w:p>
            <w:pPr>
              <w:pStyle w:val="TableParagraph"/>
              <w:spacing w:before="9"/>
              <w:jc w:val="left"/>
              <w:rPr>
                <w:rFonts w:ascii="Times New Roman"/>
                <w:sz w:val="20"/>
              </w:rPr>
            </w:pPr>
          </w:p>
          <w:p>
            <w:pPr>
              <w:pStyle w:val="TableParagraph"/>
              <w:spacing w:line="187" w:lineRule="exact" w:before="1"/>
              <w:ind w:left="-3"/>
              <w:jc w:val="left"/>
              <w:rPr>
                <w:rFonts w:ascii="Times New Roman"/>
                <w:b/>
                <w:sz w:val="18"/>
              </w:rPr>
            </w:pPr>
            <w:r>
              <w:rPr>
                <w:rFonts w:ascii="Times New Roman"/>
                <w:b/>
                <w:sz w:val="18"/>
              </w:rPr>
              <w:t>INR 10,085 Mn</w:t>
            </w:r>
          </w:p>
        </w:tc>
        <w:tc>
          <w:tcPr>
            <w:tcW w:w="1641" w:type="dxa"/>
            <w:tcBorders>
              <w:top w:val="single" w:sz="6" w:space="0" w:color="5FFF00"/>
            </w:tcBorders>
          </w:tcPr>
          <w:p>
            <w:pPr>
              <w:pStyle w:val="TableParagraph"/>
              <w:jc w:val="left"/>
              <w:rPr>
                <w:rFonts w:ascii="Times New Roman"/>
                <w:sz w:val="16"/>
              </w:rPr>
            </w:pPr>
          </w:p>
        </w:tc>
        <w:tc>
          <w:tcPr>
            <w:tcW w:w="1934" w:type="dxa"/>
            <w:tcBorders>
              <w:top w:val="single" w:sz="6" w:space="0" w:color="5FFF00"/>
            </w:tcBorders>
          </w:tcPr>
          <w:p>
            <w:pPr>
              <w:pStyle w:val="TableParagraph"/>
              <w:jc w:val="left"/>
              <w:rPr>
                <w:rFonts w:ascii="Times New Roman"/>
                <w:sz w:val="16"/>
              </w:rPr>
            </w:pPr>
          </w:p>
        </w:tc>
      </w:tr>
    </w:tbl>
    <w:p>
      <w:pPr>
        <w:spacing w:after="0"/>
        <w:jc w:val="left"/>
        <w:rPr>
          <w:rFonts w:ascii="Times New Roman"/>
          <w:sz w:val="16"/>
        </w:rPr>
        <w:sectPr>
          <w:pgSz w:w="12240" w:h="15840"/>
          <w:pgMar w:header="728" w:footer="1174" w:top="1180" w:bottom="1460" w:left="620" w:right="580"/>
        </w:sectPr>
      </w:pPr>
    </w:p>
    <w:p>
      <w:pPr>
        <w:pStyle w:val="BodyText"/>
        <w:rPr>
          <w:rFonts w:ascii="Times New Roman"/>
          <w:sz w:val="18"/>
        </w:rPr>
      </w:pPr>
    </w:p>
    <w:p>
      <w:pPr>
        <w:pStyle w:val="ListParagraph"/>
        <w:numPr>
          <w:ilvl w:val="1"/>
          <w:numId w:val="1"/>
        </w:numPr>
        <w:tabs>
          <w:tab w:pos="1540" w:val="left" w:leader="none"/>
          <w:tab w:pos="1541" w:val="left" w:leader="none"/>
        </w:tabs>
        <w:spacing w:line="240" w:lineRule="auto" w:before="91" w:after="0"/>
        <w:ind w:left="1540" w:right="0" w:hanging="721"/>
        <w:jc w:val="left"/>
        <w:rPr>
          <w:rFonts w:ascii="Times New Roman"/>
          <w:color w:val="1E6C28"/>
          <w:sz w:val="20"/>
        </w:rPr>
      </w:pPr>
      <w:r>
        <w:rPr>
          <w:rFonts w:ascii="Times New Roman"/>
          <w:color w:val="1E6C28"/>
          <w:sz w:val="20"/>
        </w:rPr>
        <w:t>Embassy Oxygen</w:t>
      </w:r>
    </w:p>
    <w:p>
      <w:pPr>
        <w:pStyle w:val="BodyText"/>
        <w:rPr>
          <w:rFonts w:ascii="Times New Roman"/>
          <w:sz w:val="24"/>
        </w:rPr>
      </w:pPr>
    </w:p>
    <w:p>
      <w:pPr>
        <w:spacing w:line="518" w:lineRule="auto" w:before="0"/>
        <w:ind w:left="265" w:right="835" w:firstLine="0"/>
        <w:jc w:val="left"/>
        <w:rPr>
          <w:rFonts w:ascii="Times New Roman" w:hAnsi="Times New Roman"/>
          <w:sz w:val="18"/>
        </w:rPr>
      </w:pPr>
      <w:r>
        <w:rPr>
          <w:rFonts w:ascii="Times New Roman" w:hAnsi="Times New Roman"/>
          <w:color w:val="16772B"/>
          <w:sz w:val="18"/>
        </w:rPr>
        <w:t>Property Name: </w:t>
      </w:r>
      <w:r>
        <w:rPr>
          <w:rFonts w:ascii="Times New Roman" w:hAnsi="Times New Roman"/>
          <w:sz w:val="18"/>
        </w:rPr>
        <w:t>‘Embassy Oxygen’ is an operational IT/ ITeS SEZ office development located at Sector 144, Noida, Uttar Pradesh </w:t>
      </w:r>
      <w:r>
        <w:rPr>
          <w:rFonts w:ascii="Times New Roman" w:hAnsi="Times New Roman"/>
          <w:color w:val="16772B"/>
          <w:sz w:val="18"/>
        </w:rPr>
        <w:t>Property Address: </w:t>
      </w:r>
      <w:r>
        <w:rPr>
          <w:rFonts w:ascii="Times New Roman" w:hAnsi="Times New Roman"/>
          <w:sz w:val="18"/>
        </w:rPr>
        <w:t>Plot No. – 07, Sector 144, Noida, Uttar Pradesh, India</w:t>
      </w:r>
    </w:p>
    <w:p>
      <w:pPr>
        <w:tabs>
          <w:tab w:pos="1588" w:val="left" w:leader="none"/>
        </w:tabs>
        <w:spacing w:before="0"/>
        <w:ind w:left="1588" w:right="308" w:hanging="1323"/>
        <w:jc w:val="both"/>
        <w:rPr>
          <w:rFonts w:ascii="Times New Roman"/>
          <w:sz w:val="18"/>
        </w:rPr>
      </w:pPr>
      <w:r>
        <w:rPr>
          <w:rFonts w:ascii="Times New Roman"/>
          <w:color w:val="16772B"/>
          <w:sz w:val="18"/>
        </w:rPr>
        <w:t>Land Area:</w:t>
        <w:tab/>
      </w:r>
      <w:r>
        <w:rPr>
          <w:rFonts w:ascii="Times New Roman"/>
          <w:sz w:val="18"/>
        </w:rPr>
        <w:t>Based on review of the title report, the Valuer understands that the total land area of the subject property under the ownership of the Client is approximately 24.83</w:t>
      </w:r>
      <w:r>
        <w:rPr>
          <w:rFonts w:ascii="Times New Roman"/>
          <w:spacing w:val="-5"/>
          <w:sz w:val="18"/>
        </w:rPr>
        <w:t> </w:t>
      </w:r>
      <w:r>
        <w:rPr>
          <w:rFonts w:ascii="Times New Roman"/>
          <w:sz w:val="18"/>
        </w:rPr>
        <w:t>Acres</w:t>
      </w:r>
    </w:p>
    <w:p>
      <w:pPr>
        <w:pStyle w:val="BodyText"/>
        <w:spacing w:before="10"/>
        <w:rPr>
          <w:rFonts w:ascii="Times New Roman"/>
          <w:sz w:val="20"/>
        </w:rPr>
      </w:pPr>
    </w:p>
    <w:p>
      <w:pPr>
        <w:spacing w:before="0"/>
        <w:ind w:left="1588" w:right="309" w:hanging="1323"/>
        <w:jc w:val="both"/>
        <w:rPr>
          <w:rFonts w:ascii="Times New Roman" w:hAnsi="Times New Roman"/>
          <w:sz w:val="18"/>
        </w:rPr>
      </w:pPr>
      <w:r>
        <w:rPr>
          <w:rFonts w:ascii="Times New Roman" w:hAnsi="Times New Roman"/>
          <w:color w:val="16772B"/>
          <w:sz w:val="18"/>
        </w:rPr>
        <w:t>Brief Description: </w:t>
      </w:r>
      <w:r>
        <w:rPr>
          <w:rFonts w:ascii="Times New Roman" w:hAnsi="Times New Roman"/>
          <w:sz w:val="18"/>
        </w:rPr>
        <w:t>The subject property “Embassy Oxygen” is a partly operational office asset, leased to technology occupiers. The subject property is located at Sector 144, Noida in proximity to Noida – Greater Noida Expressway, which is an emerging commercial</w:t>
      </w:r>
    </w:p>
    <w:p>
      <w:pPr>
        <w:spacing w:before="0"/>
        <w:ind w:left="1588" w:right="311" w:firstLine="0"/>
        <w:jc w:val="both"/>
        <w:rPr>
          <w:rFonts w:ascii="Times New Roman"/>
          <w:sz w:val="18"/>
        </w:rPr>
      </w:pPr>
      <w:r>
        <w:rPr>
          <w:rFonts w:ascii="Times New Roman"/>
          <w:sz w:val="18"/>
        </w:rPr>
        <w:t>/ residential vector of Noida. The property is a two side open plot with accessibility via approximately 45 m and 24 m wide roads. The subject property lies in proximity to various office assets such as Candor TechSpace, Assotech Business Cresterra, Advant Navis Business Park, Stellar 135, Express Trade Towers 2, etc.</w:t>
      </w:r>
    </w:p>
    <w:p>
      <w:pPr>
        <w:pStyle w:val="BodyText"/>
        <w:spacing w:before="11"/>
        <w:rPr>
          <w:rFonts w:ascii="Times New Roman"/>
          <w:sz w:val="23"/>
        </w:rPr>
      </w:pPr>
    </w:p>
    <w:p>
      <w:pPr>
        <w:spacing w:before="0"/>
        <w:ind w:left="1588" w:right="301" w:firstLine="0"/>
        <w:jc w:val="both"/>
        <w:rPr>
          <w:rFonts w:ascii="Times New Roman" w:hAnsi="Times New Roman"/>
          <w:sz w:val="18"/>
        </w:rPr>
      </w:pPr>
      <w:r>
        <w:rPr>
          <w:rFonts w:ascii="Times New Roman" w:hAnsi="Times New Roman"/>
          <w:sz w:val="18"/>
        </w:rPr>
        <w:t>The subject property is located in close proximity to Noida – Greater Noida Expressway, which makes it easily accessible from other regions of NCR (National Capital Region) such as Delhi, Greater Noida, etc. Further, it is located at a distance </w:t>
      </w:r>
      <w:r>
        <w:rPr>
          <w:rFonts w:ascii="Times New Roman" w:hAnsi="Times New Roman"/>
          <w:spacing w:val="5"/>
          <w:sz w:val="18"/>
        </w:rPr>
        <w:t>of </w:t>
      </w:r>
      <w:r>
        <w:rPr>
          <w:rFonts w:ascii="Times New Roman" w:hAnsi="Times New Roman"/>
          <w:sz w:val="18"/>
        </w:rPr>
        <w:t>approximately 16 – 17 km from the established commercial hub of Noida viz. Sector-18, approximately 16 – 17 km from DND Flyway and approximately 38 – 39 km from Indira Gandhi International Airport,</w:t>
      </w:r>
      <w:r>
        <w:rPr>
          <w:rFonts w:ascii="Times New Roman" w:hAnsi="Times New Roman"/>
          <w:spacing w:val="-7"/>
          <w:sz w:val="18"/>
        </w:rPr>
        <w:t> </w:t>
      </w:r>
      <w:r>
        <w:rPr>
          <w:rFonts w:ascii="Times New Roman" w:hAnsi="Times New Roman"/>
          <w:sz w:val="18"/>
        </w:rPr>
        <w:t>Delhi</w:t>
      </w:r>
    </w:p>
    <w:p>
      <w:pPr>
        <w:pStyle w:val="BodyText"/>
        <w:spacing w:before="6"/>
        <w:rPr>
          <w:rFonts w:ascii="Times New Roman"/>
          <w:sz w:val="14"/>
        </w:rPr>
      </w:pPr>
    </w:p>
    <w:p>
      <w:pPr>
        <w:spacing w:after="0"/>
        <w:rPr>
          <w:rFonts w:ascii="Times New Roman"/>
          <w:sz w:val="14"/>
        </w:rPr>
        <w:sectPr>
          <w:pgSz w:w="12240" w:h="15840"/>
          <w:pgMar w:header="728" w:footer="1174" w:top="1180" w:bottom="1460" w:left="620" w:right="580"/>
        </w:sectPr>
      </w:pPr>
    </w:p>
    <w:p>
      <w:pPr>
        <w:spacing w:line="244" w:lineRule="auto" w:before="93"/>
        <w:ind w:left="265" w:right="22" w:firstLine="0"/>
        <w:jc w:val="left"/>
        <w:rPr>
          <w:rFonts w:ascii="Times New Roman"/>
          <w:sz w:val="18"/>
        </w:rPr>
      </w:pPr>
      <w:r>
        <w:rPr>
          <w:rFonts w:ascii="Times New Roman"/>
          <w:color w:val="16772B"/>
          <w:sz w:val="18"/>
        </w:rPr>
        <w:t>Statement of Assets (sf):</w:t>
      </w:r>
    </w:p>
    <w:p>
      <w:pPr>
        <w:spacing w:before="93"/>
        <w:ind w:left="265" w:right="301" w:firstLine="0"/>
        <w:jc w:val="both"/>
        <w:rPr>
          <w:rFonts w:ascii="Times New Roman"/>
          <w:sz w:val="18"/>
        </w:rPr>
      </w:pPr>
      <w:r>
        <w:rPr/>
        <w:br w:type="column"/>
      </w:r>
      <w:r>
        <w:rPr>
          <w:rFonts w:ascii="Times New Roman"/>
          <w:sz w:val="18"/>
        </w:rPr>
        <w:t>Based on review of various documents (such as architect certificate, rent roll, lease deeds, etc.), the subject property is an operational SEZ office asset with approximately 2.5 msf of completed leasable area, out of which committed occupancy is approximately 84.0% as on the date of valuation. Table below highlights the leasable area for operational and under construction/ proposed blocks that form part of the subject development:</w:t>
      </w:r>
    </w:p>
    <w:p>
      <w:pPr>
        <w:pStyle w:val="BodyText"/>
        <w:spacing w:before="1" w:after="1"/>
        <w:rPr>
          <w:rFonts w:ascii="Times New Roman"/>
          <w:sz w:val="27"/>
        </w:rPr>
      </w:pPr>
    </w:p>
    <w:tbl>
      <w:tblPr>
        <w:tblW w:w="0" w:type="auto"/>
        <w:jc w:val="left"/>
        <w:tblInd w:w="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56"/>
        <w:gridCol w:w="2642"/>
        <w:gridCol w:w="2449"/>
      </w:tblGrid>
      <w:tr>
        <w:trPr>
          <w:trHeight w:val="457" w:hRule="atLeast"/>
        </w:trPr>
        <w:tc>
          <w:tcPr>
            <w:tcW w:w="4056" w:type="dxa"/>
            <w:tcBorders>
              <w:top w:val="single" w:sz="12" w:space="0" w:color="1E7504"/>
              <w:bottom w:val="single" w:sz="6" w:space="0" w:color="5FFF00"/>
            </w:tcBorders>
            <w:shd w:val="clear" w:color="auto" w:fill="16772B"/>
          </w:tcPr>
          <w:p>
            <w:pPr>
              <w:pStyle w:val="TableParagraph"/>
              <w:spacing w:before="124"/>
              <w:ind w:left="373" w:right="243"/>
              <w:rPr>
                <w:rFonts w:ascii="Times New Roman"/>
                <w:b/>
                <w:sz w:val="18"/>
              </w:rPr>
            </w:pPr>
            <w:r>
              <w:rPr>
                <w:rFonts w:ascii="Times New Roman"/>
                <w:b/>
                <w:color w:val="FFFFFF"/>
                <w:sz w:val="18"/>
              </w:rPr>
              <w:t>Particular</w:t>
            </w:r>
          </w:p>
        </w:tc>
        <w:tc>
          <w:tcPr>
            <w:tcW w:w="2642" w:type="dxa"/>
            <w:tcBorders>
              <w:top w:val="single" w:sz="12" w:space="0" w:color="1E7504"/>
              <w:bottom w:val="single" w:sz="6" w:space="0" w:color="5FFF00"/>
            </w:tcBorders>
            <w:shd w:val="clear" w:color="auto" w:fill="16772B"/>
          </w:tcPr>
          <w:p>
            <w:pPr>
              <w:pStyle w:val="TableParagraph"/>
              <w:spacing w:before="124"/>
              <w:ind w:left="617" w:right="585"/>
              <w:rPr>
                <w:rFonts w:ascii="Times New Roman"/>
                <w:b/>
                <w:sz w:val="18"/>
              </w:rPr>
            </w:pPr>
            <w:r>
              <w:rPr>
                <w:rFonts w:ascii="Times New Roman"/>
                <w:b/>
                <w:color w:val="FFFFFF"/>
                <w:sz w:val="18"/>
              </w:rPr>
              <w:t>Leasable Area (sf)</w:t>
            </w:r>
          </w:p>
        </w:tc>
        <w:tc>
          <w:tcPr>
            <w:tcW w:w="2449" w:type="dxa"/>
            <w:tcBorders>
              <w:top w:val="single" w:sz="12" w:space="0" w:color="1E7504"/>
              <w:bottom w:val="single" w:sz="6" w:space="0" w:color="5FFF00"/>
            </w:tcBorders>
            <w:shd w:val="clear" w:color="auto" w:fill="16772B"/>
          </w:tcPr>
          <w:p>
            <w:pPr>
              <w:pStyle w:val="TableParagraph"/>
              <w:spacing w:line="210" w:lineRule="atLeast" w:before="20"/>
              <w:ind w:left="1026" w:right="368" w:hanging="740"/>
              <w:jc w:val="left"/>
              <w:rPr>
                <w:rFonts w:ascii="Times New Roman"/>
                <w:b/>
                <w:sz w:val="18"/>
              </w:rPr>
            </w:pPr>
            <w:r>
              <w:rPr>
                <w:rFonts w:ascii="Times New Roman"/>
                <w:b/>
                <w:color w:val="FFFFFF"/>
                <w:sz w:val="18"/>
              </w:rPr>
              <w:t>Committed Occupancy (%)</w:t>
            </w:r>
          </w:p>
        </w:tc>
      </w:tr>
      <w:tr>
        <w:trPr>
          <w:trHeight w:val="205" w:hRule="atLeast"/>
        </w:trPr>
        <w:tc>
          <w:tcPr>
            <w:tcW w:w="4056" w:type="dxa"/>
            <w:tcBorders>
              <w:top w:val="single" w:sz="6" w:space="0" w:color="5FFF00"/>
              <w:bottom w:val="single" w:sz="6" w:space="0" w:color="5FFF00"/>
            </w:tcBorders>
          </w:tcPr>
          <w:p>
            <w:pPr>
              <w:pStyle w:val="TableParagraph"/>
              <w:spacing w:line="186" w:lineRule="exact"/>
              <w:ind w:left="370" w:right="243"/>
              <w:rPr>
                <w:rFonts w:ascii="Times New Roman"/>
                <w:sz w:val="18"/>
              </w:rPr>
            </w:pPr>
            <w:r>
              <w:rPr>
                <w:rFonts w:ascii="Times New Roman"/>
                <w:sz w:val="18"/>
              </w:rPr>
              <w:t>Completed Blocks</w:t>
            </w:r>
          </w:p>
        </w:tc>
        <w:tc>
          <w:tcPr>
            <w:tcW w:w="2642" w:type="dxa"/>
            <w:tcBorders>
              <w:top w:val="single" w:sz="6" w:space="0" w:color="5FFF00"/>
              <w:bottom w:val="single" w:sz="6" w:space="0" w:color="5FFF00"/>
            </w:tcBorders>
          </w:tcPr>
          <w:p>
            <w:pPr>
              <w:pStyle w:val="TableParagraph"/>
              <w:spacing w:line="186" w:lineRule="exact"/>
              <w:ind w:left="617" w:right="584"/>
              <w:rPr>
                <w:rFonts w:ascii="Times New Roman"/>
                <w:sz w:val="18"/>
              </w:rPr>
            </w:pPr>
            <w:r>
              <w:rPr>
                <w:rFonts w:ascii="Times New Roman"/>
                <w:sz w:val="18"/>
              </w:rPr>
              <w:t>2,517,307</w:t>
            </w:r>
          </w:p>
        </w:tc>
        <w:tc>
          <w:tcPr>
            <w:tcW w:w="2449" w:type="dxa"/>
            <w:tcBorders>
              <w:top w:val="single" w:sz="6" w:space="0" w:color="5FFF00"/>
              <w:bottom w:val="single" w:sz="6" w:space="0" w:color="5FFF00"/>
            </w:tcBorders>
          </w:tcPr>
          <w:p>
            <w:pPr>
              <w:pStyle w:val="TableParagraph"/>
              <w:spacing w:line="186" w:lineRule="exact"/>
              <w:ind w:left="925" w:right="1019"/>
              <w:rPr>
                <w:rFonts w:ascii="Times New Roman"/>
                <w:sz w:val="18"/>
              </w:rPr>
            </w:pPr>
            <w:r>
              <w:rPr>
                <w:rFonts w:ascii="Times New Roman"/>
                <w:sz w:val="18"/>
              </w:rPr>
              <w:t>84.0%</w:t>
            </w:r>
          </w:p>
        </w:tc>
      </w:tr>
      <w:tr>
        <w:trPr>
          <w:trHeight w:val="208" w:hRule="atLeast"/>
        </w:trPr>
        <w:tc>
          <w:tcPr>
            <w:tcW w:w="4056" w:type="dxa"/>
            <w:tcBorders>
              <w:top w:val="single" w:sz="6" w:space="0" w:color="5FFF00"/>
              <w:bottom w:val="single" w:sz="6" w:space="0" w:color="5FFF00"/>
            </w:tcBorders>
          </w:tcPr>
          <w:p>
            <w:pPr>
              <w:pStyle w:val="TableParagraph"/>
              <w:spacing w:line="188" w:lineRule="exact"/>
              <w:ind w:left="371" w:right="243"/>
              <w:rPr>
                <w:rFonts w:ascii="Times New Roman"/>
                <w:sz w:val="18"/>
              </w:rPr>
            </w:pPr>
            <w:r>
              <w:rPr>
                <w:rFonts w:ascii="Times New Roman"/>
                <w:sz w:val="18"/>
              </w:rPr>
              <w:t>Under Construction Blocks</w:t>
            </w:r>
          </w:p>
        </w:tc>
        <w:tc>
          <w:tcPr>
            <w:tcW w:w="2642" w:type="dxa"/>
            <w:tcBorders>
              <w:top w:val="single" w:sz="6" w:space="0" w:color="5FFF00"/>
              <w:bottom w:val="single" w:sz="6" w:space="0" w:color="5FFF00"/>
            </w:tcBorders>
          </w:tcPr>
          <w:p>
            <w:pPr>
              <w:pStyle w:val="TableParagraph"/>
              <w:spacing w:line="188" w:lineRule="exact"/>
              <w:ind w:left="617" w:right="584"/>
              <w:rPr>
                <w:rFonts w:ascii="Times New Roman"/>
                <w:sz w:val="18"/>
              </w:rPr>
            </w:pPr>
            <w:r>
              <w:rPr>
                <w:rFonts w:ascii="Times New Roman"/>
                <w:sz w:val="18"/>
              </w:rPr>
              <w:t>NA</w:t>
            </w:r>
          </w:p>
        </w:tc>
        <w:tc>
          <w:tcPr>
            <w:tcW w:w="2449" w:type="dxa"/>
            <w:tcBorders>
              <w:top w:val="single" w:sz="6" w:space="0" w:color="5FFF00"/>
              <w:bottom w:val="single" w:sz="6" w:space="0" w:color="5FFF00"/>
            </w:tcBorders>
          </w:tcPr>
          <w:p>
            <w:pPr>
              <w:pStyle w:val="TableParagraph"/>
              <w:spacing w:line="188" w:lineRule="exact"/>
              <w:ind w:left="923" w:right="1019"/>
              <w:rPr>
                <w:rFonts w:ascii="Times New Roman"/>
                <w:sz w:val="18"/>
              </w:rPr>
            </w:pPr>
            <w:r>
              <w:rPr>
                <w:rFonts w:ascii="Times New Roman"/>
                <w:sz w:val="18"/>
              </w:rPr>
              <w:t>NA</w:t>
            </w:r>
          </w:p>
        </w:tc>
      </w:tr>
      <w:tr>
        <w:trPr>
          <w:trHeight w:val="205" w:hRule="atLeast"/>
        </w:trPr>
        <w:tc>
          <w:tcPr>
            <w:tcW w:w="4056" w:type="dxa"/>
            <w:tcBorders>
              <w:top w:val="single" w:sz="6" w:space="0" w:color="5FFF00"/>
              <w:bottom w:val="single" w:sz="6" w:space="0" w:color="5FFF00"/>
            </w:tcBorders>
          </w:tcPr>
          <w:p>
            <w:pPr>
              <w:pStyle w:val="TableParagraph"/>
              <w:spacing w:line="186" w:lineRule="exact"/>
              <w:ind w:left="369" w:right="243"/>
              <w:rPr>
                <w:rFonts w:ascii="Times New Roman"/>
                <w:sz w:val="18"/>
              </w:rPr>
            </w:pPr>
            <w:r>
              <w:rPr>
                <w:rFonts w:ascii="Times New Roman"/>
                <w:sz w:val="18"/>
              </w:rPr>
              <w:t>Proposed Development</w:t>
            </w:r>
          </w:p>
        </w:tc>
        <w:tc>
          <w:tcPr>
            <w:tcW w:w="2642" w:type="dxa"/>
            <w:tcBorders>
              <w:top w:val="single" w:sz="6" w:space="0" w:color="5FFF00"/>
              <w:bottom w:val="single" w:sz="6" w:space="0" w:color="5FFF00"/>
            </w:tcBorders>
          </w:tcPr>
          <w:p>
            <w:pPr>
              <w:pStyle w:val="TableParagraph"/>
              <w:spacing w:line="186" w:lineRule="exact"/>
              <w:ind w:left="617" w:right="583"/>
              <w:rPr>
                <w:rFonts w:ascii="Times New Roman"/>
                <w:sz w:val="18"/>
              </w:rPr>
            </w:pPr>
            <w:r>
              <w:rPr>
                <w:rFonts w:ascii="Times New Roman"/>
                <w:sz w:val="18"/>
              </w:rPr>
              <w:t>737,000</w:t>
            </w:r>
          </w:p>
        </w:tc>
        <w:tc>
          <w:tcPr>
            <w:tcW w:w="2449" w:type="dxa"/>
            <w:tcBorders>
              <w:top w:val="single" w:sz="6" w:space="0" w:color="5FFF00"/>
              <w:bottom w:val="single" w:sz="6" w:space="0" w:color="5FFF00"/>
            </w:tcBorders>
          </w:tcPr>
          <w:p>
            <w:pPr>
              <w:pStyle w:val="TableParagraph"/>
              <w:spacing w:line="186" w:lineRule="exact"/>
              <w:ind w:left="923" w:right="1019"/>
              <w:rPr>
                <w:rFonts w:ascii="Times New Roman"/>
                <w:sz w:val="18"/>
              </w:rPr>
            </w:pPr>
            <w:r>
              <w:rPr>
                <w:rFonts w:ascii="Times New Roman"/>
                <w:sz w:val="18"/>
              </w:rPr>
              <w:t>NA</w:t>
            </w:r>
          </w:p>
        </w:tc>
      </w:tr>
      <w:tr>
        <w:trPr>
          <w:trHeight w:val="208" w:hRule="atLeast"/>
        </w:trPr>
        <w:tc>
          <w:tcPr>
            <w:tcW w:w="4056" w:type="dxa"/>
            <w:tcBorders>
              <w:top w:val="single" w:sz="6" w:space="0" w:color="5FFF00"/>
              <w:bottom w:val="single" w:sz="6" w:space="0" w:color="5FFF00"/>
            </w:tcBorders>
          </w:tcPr>
          <w:p>
            <w:pPr>
              <w:pStyle w:val="TableParagraph"/>
              <w:spacing w:line="189" w:lineRule="exact"/>
              <w:ind w:left="372" w:right="243"/>
              <w:rPr>
                <w:rFonts w:ascii="Times New Roman"/>
                <w:b/>
                <w:sz w:val="18"/>
              </w:rPr>
            </w:pPr>
            <w:r>
              <w:rPr>
                <w:rFonts w:ascii="Times New Roman"/>
                <w:b/>
                <w:sz w:val="18"/>
              </w:rPr>
              <w:t>Total</w:t>
            </w:r>
          </w:p>
        </w:tc>
        <w:tc>
          <w:tcPr>
            <w:tcW w:w="2642" w:type="dxa"/>
            <w:tcBorders>
              <w:top w:val="single" w:sz="6" w:space="0" w:color="5FFF00"/>
              <w:bottom w:val="single" w:sz="6" w:space="0" w:color="5FFF00"/>
            </w:tcBorders>
          </w:tcPr>
          <w:p>
            <w:pPr>
              <w:pStyle w:val="TableParagraph"/>
              <w:spacing w:line="189" w:lineRule="exact"/>
              <w:ind w:left="617" w:right="584"/>
              <w:rPr>
                <w:rFonts w:ascii="Times New Roman"/>
                <w:b/>
                <w:sz w:val="18"/>
              </w:rPr>
            </w:pPr>
            <w:r>
              <w:rPr>
                <w:rFonts w:ascii="Times New Roman"/>
                <w:b/>
                <w:sz w:val="18"/>
              </w:rPr>
              <w:t>3,254,307</w:t>
            </w:r>
          </w:p>
        </w:tc>
        <w:tc>
          <w:tcPr>
            <w:tcW w:w="2449" w:type="dxa"/>
            <w:tcBorders>
              <w:top w:val="single" w:sz="6" w:space="0" w:color="5FFF00"/>
              <w:bottom w:val="single" w:sz="6" w:space="0" w:color="5FFF00"/>
            </w:tcBorders>
          </w:tcPr>
          <w:p>
            <w:pPr>
              <w:pStyle w:val="TableParagraph"/>
              <w:jc w:val="left"/>
              <w:rPr>
                <w:rFonts w:ascii="Times New Roman"/>
                <w:sz w:val="14"/>
              </w:rPr>
            </w:pPr>
          </w:p>
        </w:tc>
      </w:tr>
    </w:tbl>
    <w:p>
      <w:pPr>
        <w:pStyle w:val="BodyText"/>
        <w:spacing w:before="2"/>
        <w:rPr>
          <w:rFonts w:ascii="Times New Roman"/>
          <w:sz w:val="20"/>
        </w:rPr>
      </w:pPr>
    </w:p>
    <w:p>
      <w:pPr>
        <w:spacing w:before="0"/>
        <w:ind w:left="265" w:right="0" w:firstLine="0"/>
        <w:jc w:val="both"/>
        <w:rPr>
          <w:rFonts w:ascii="Times New Roman"/>
          <w:sz w:val="18"/>
        </w:rPr>
      </w:pPr>
      <w:r>
        <w:rPr>
          <w:rFonts w:ascii="Times New Roman"/>
          <w:sz w:val="18"/>
        </w:rPr>
        <w:t>Source: Architect Certificate, Rent roll, lease deeds provided by the Client</w:t>
      </w:r>
    </w:p>
    <w:p>
      <w:pPr>
        <w:spacing w:after="0"/>
        <w:jc w:val="both"/>
        <w:rPr>
          <w:rFonts w:ascii="Times New Roman"/>
          <w:sz w:val="18"/>
        </w:rPr>
        <w:sectPr>
          <w:type w:val="continuous"/>
          <w:pgSz w:w="12240" w:h="15840"/>
          <w:pgMar w:top="800" w:bottom="280" w:left="620" w:right="580"/>
          <w:cols w:num="2" w:equalWidth="0">
            <w:col w:w="1222" w:space="101"/>
            <w:col w:w="9717"/>
          </w:cols>
        </w:sectPr>
      </w:pPr>
    </w:p>
    <w:p>
      <w:pPr>
        <w:pStyle w:val="BodyText"/>
        <w:rPr>
          <w:rFonts w:ascii="Times New Roman"/>
          <w:sz w:val="20"/>
        </w:rPr>
      </w:pPr>
    </w:p>
    <w:p>
      <w:pPr>
        <w:pStyle w:val="BodyText"/>
        <w:spacing w:before="1"/>
        <w:rPr>
          <w:rFonts w:ascii="Times New Roman"/>
        </w:rPr>
      </w:pPr>
    </w:p>
    <w:p>
      <w:pPr>
        <w:spacing w:before="92"/>
        <w:ind w:left="265" w:right="0" w:firstLine="0"/>
        <w:jc w:val="left"/>
        <w:rPr>
          <w:rFonts w:ascii="Times New Roman"/>
          <w:sz w:val="18"/>
        </w:rPr>
      </w:pPr>
      <w:r>
        <w:rPr/>
        <w:drawing>
          <wp:anchor distT="0" distB="0" distL="0" distR="0" allowOverlap="1" layoutInCell="1" locked="0" behindDoc="0" simplePos="0" relativeHeight="15777792">
            <wp:simplePos x="0" y="0"/>
            <wp:positionH relativeFrom="page">
              <wp:posOffset>1402080</wp:posOffset>
            </wp:positionH>
            <wp:positionV relativeFrom="paragraph">
              <wp:posOffset>56799</wp:posOffset>
            </wp:positionV>
            <wp:extent cx="4779010" cy="2113914"/>
            <wp:effectExtent l="0" t="0" r="0" b="0"/>
            <wp:wrapNone/>
            <wp:docPr id="29" name="image17.jpeg"/>
            <wp:cNvGraphicFramePr>
              <a:graphicFrameLocks noChangeAspect="1"/>
            </wp:cNvGraphicFramePr>
            <a:graphic>
              <a:graphicData uri="http://schemas.openxmlformats.org/drawingml/2006/picture">
                <pic:pic>
                  <pic:nvPicPr>
                    <pic:cNvPr id="30" name="image17.jpeg"/>
                    <pic:cNvPicPr/>
                  </pic:nvPicPr>
                  <pic:blipFill>
                    <a:blip r:embed="rId23" cstate="print"/>
                    <a:stretch>
                      <a:fillRect/>
                    </a:stretch>
                  </pic:blipFill>
                  <pic:spPr>
                    <a:xfrm>
                      <a:off x="0" y="0"/>
                      <a:ext cx="4779010" cy="2113914"/>
                    </a:xfrm>
                    <a:prstGeom prst="rect">
                      <a:avLst/>
                    </a:prstGeom>
                  </pic:spPr>
                </pic:pic>
              </a:graphicData>
            </a:graphic>
          </wp:anchor>
        </w:drawing>
      </w:r>
      <w:r>
        <w:rPr>
          <w:rFonts w:ascii="Times New Roman"/>
          <w:color w:val="16772B"/>
          <w:sz w:val="18"/>
        </w:rPr>
        <w:t>Location Map:</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164"/>
        <w:ind w:left="265" w:right="0" w:firstLine="0"/>
        <w:jc w:val="left"/>
        <w:rPr>
          <w:rFonts w:ascii="Times New Roman"/>
          <w:sz w:val="18"/>
        </w:rPr>
      </w:pPr>
      <w:r>
        <w:rPr/>
        <w:pict>
          <v:shape style="position:absolute;margin-left:110.419998pt;margin-top:7.842334pt;width:457.3pt;height:155.65pt;mso-position-horizontal-relative:page;mso-position-vertical-relative:paragraph;z-index:1577830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18"/>
                    <w:gridCol w:w="3117"/>
                    <w:gridCol w:w="2411"/>
                  </w:tblGrid>
                  <w:tr>
                    <w:trPr>
                      <w:trHeight w:val="414" w:hRule="atLeast"/>
                    </w:trPr>
                    <w:tc>
                      <w:tcPr>
                        <w:tcW w:w="3618" w:type="dxa"/>
                        <w:tcBorders>
                          <w:top w:val="single" w:sz="6" w:space="0" w:color="5FFF00"/>
                        </w:tcBorders>
                        <w:shd w:val="clear" w:color="auto" w:fill="16772B"/>
                      </w:tcPr>
                      <w:p>
                        <w:pPr>
                          <w:pStyle w:val="TableParagraph"/>
                          <w:spacing w:before="103"/>
                          <w:ind w:left="1707"/>
                          <w:jc w:val="left"/>
                          <w:rPr>
                            <w:rFonts w:ascii="Times New Roman"/>
                            <w:sz w:val="18"/>
                          </w:rPr>
                        </w:pPr>
                        <w:r>
                          <w:rPr>
                            <w:rFonts w:ascii="Times New Roman"/>
                            <w:color w:val="FFFFFF"/>
                            <w:sz w:val="18"/>
                          </w:rPr>
                          <w:t>Particulars</w:t>
                        </w:r>
                      </w:p>
                    </w:tc>
                    <w:tc>
                      <w:tcPr>
                        <w:tcW w:w="3117" w:type="dxa"/>
                        <w:tcBorders>
                          <w:top w:val="single" w:sz="6" w:space="0" w:color="5FFF00"/>
                        </w:tcBorders>
                        <w:shd w:val="clear" w:color="auto" w:fill="16772B"/>
                      </w:tcPr>
                      <w:p>
                        <w:pPr>
                          <w:pStyle w:val="TableParagraph"/>
                          <w:spacing w:before="103"/>
                          <w:ind w:left="1462" w:right="1029"/>
                          <w:rPr>
                            <w:rFonts w:ascii="Times New Roman"/>
                            <w:sz w:val="18"/>
                          </w:rPr>
                        </w:pPr>
                        <w:r>
                          <w:rPr>
                            <w:rFonts w:ascii="Times New Roman"/>
                            <w:color w:val="FFFFFF"/>
                            <w:sz w:val="18"/>
                          </w:rPr>
                          <w:t>Unit</w:t>
                        </w:r>
                      </w:p>
                    </w:tc>
                    <w:tc>
                      <w:tcPr>
                        <w:tcW w:w="2411" w:type="dxa"/>
                        <w:tcBorders>
                          <w:top w:val="single" w:sz="6" w:space="0" w:color="5FFF00"/>
                        </w:tcBorders>
                        <w:shd w:val="clear" w:color="auto" w:fill="16772B"/>
                      </w:tcPr>
                      <w:p>
                        <w:pPr>
                          <w:pStyle w:val="TableParagraph"/>
                          <w:spacing w:before="103"/>
                          <w:ind w:left="646" w:right="777"/>
                          <w:rPr>
                            <w:rFonts w:ascii="Times New Roman"/>
                            <w:sz w:val="18"/>
                          </w:rPr>
                        </w:pPr>
                        <w:r>
                          <w:rPr>
                            <w:rFonts w:ascii="Times New Roman"/>
                            <w:color w:val="FFFFFF"/>
                            <w:sz w:val="18"/>
                          </w:rPr>
                          <w:t>Details</w:t>
                        </w:r>
                      </w:p>
                    </w:tc>
                  </w:tr>
                  <w:tr>
                    <w:trPr>
                      <w:trHeight w:val="235" w:hRule="atLeast"/>
                    </w:trPr>
                    <w:tc>
                      <w:tcPr>
                        <w:tcW w:w="3618" w:type="dxa"/>
                        <w:shd w:val="clear" w:color="auto" w:fill="5FFF00"/>
                      </w:tcPr>
                      <w:p>
                        <w:pPr>
                          <w:pStyle w:val="TableParagraph"/>
                          <w:jc w:val="left"/>
                          <w:rPr>
                            <w:rFonts w:ascii="Times New Roman"/>
                            <w:sz w:val="16"/>
                          </w:rPr>
                        </w:pPr>
                      </w:p>
                    </w:tc>
                    <w:tc>
                      <w:tcPr>
                        <w:tcW w:w="3117" w:type="dxa"/>
                        <w:shd w:val="clear" w:color="auto" w:fill="5FFF00"/>
                      </w:tcPr>
                      <w:p>
                        <w:pPr>
                          <w:pStyle w:val="TableParagraph"/>
                          <w:spacing w:line="201" w:lineRule="exact" w:before="14"/>
                          <w:ind w:left="21"/>
                          <w:jc w:val="left"/>
                          <w:rPr>
                            <w:rFonts w:ascii="Times New Roman"/>
                            <w:sz w:val="18"/>
                          </w:rPr>
                        </w:pPr>
                        <w:r>
                          <w:rPr>
                            <w:rFonts w:ascii="Times New Roman"/>
                            <w:sz w:val="18"/>
                          </w:rPr>
                          <w:t>Construction assumptions</w:t>
                        </w:r>
                      </w:p>
                    </w:tc>
                    <w:tc>
                      <w:tcPr>
                        <w:tcW w:w="2411" w:type="dxa"/>
                        <w:shd w:val="clear" w:color="auto" w:fill="5FFF00"/>
                      </w:tcPr>
                      <w:p>
                        <w:pPr>
                          <w:pStyle w:val="TableParagraph"/>
                          <w:jc w:val="left"/>
                          <w:rPr>
                            <w:rFonts w:ascii="Times New Roman"/>
                            <w:sz w:val="16"/>
                          </w:rPr>
                        </w:pPr>
                      </w:p>
                    </w:tc>
                  </w:tr>
                  <w:tr>
                    <w:trPr>
                      <w:trHeight w:val="208" w:hRule="atLeast"/>
                    </w:trPr>
                    <w:tc>
                      <w:tcPr>
                        <w:tcW w:w="3618" w:type="dxa"/>
                        <w:tcBorders>
                          <w:bottom w:val="single" w:sz="6" w:space="0" w:color="5FFF00"/>
                        </w:tcBorders>
                      </w:tcPr>
                      <w:p>
                        <w:pPr>
                          <w:pStyle w:val="TableParagraph"/>
                          <w:spacing w:line="186" w:lineRule="exact" w:before="2"/>
                          <w:ind w:left="852"/>
                          <w:jc w:val="left"/>
                          <w:rPr>
                            <w:rFonts w:ascii="Times New Roman"/>
                            <w:sz w:val="18"/>
                          </w:rPr>
                        </w:pPr>
                        <w:r>
                          <w:rPr>
                            <w:rFonts w:ascii="Times New Roman"/>
                            <w:sz w:val="18"/>
                          </w:rPr>
                          <w:t>Pending cost to complete (overall)</w:t>
                        </w:r>
                      </w:p>
                    </w:tc>
                    <w:tc>
                      <w:tcPr>
                        <w:tcW w:w="3117" w:type="dxa"/>
                        <w:tcBorders>
                          <w:bottom w:val="single" w:sz="6" w:space="0" w:color="5FFF00"/>
                        </w:tcBorders>
                      </w:tcPr>
                      <w:p>
                        <w:pPr>
                          <w:pStyle w:val="TableParagraph"/>
                          <w:spacing w:line="186" w:lineRule="exact" w:before="2"/>
                          <w:ind w:left="1462" w:right="1029"/>
                          <w:rPr>
                            <w:rFonts w:ascii="Times New Roman"/>
                            <w:sz w:val="18"/>
                          </w:rPr>
                        </w:pPr>
                        <w:r>
                          <w:rPr>
                            <w:rFonts w:ascii="Times New Roman"/>
                            <w:sz w:val="18"/>
                          </w:rPr>
                          <w:t>INR mn</w:t>
                        </w:r>
                      </w:p>
                    </w:tc>
                    <w:tc>
                      <w:tcPr>
                        <w:tcW w:w="2411" w:type="dxa"/>
                        <w:tcBorders>
                          <w:bottom w:val="single" w:sz="6" w:space="0" w:color="5FFF00"/>
                        </w:tcBorders>
                      </w:tcPr>
                      <w:p>
                        <w:pPr>
                          <w:pStyle w:val="TableParagraph"/>
                          <w:spacing w:line="186" w:lineRule="exact" w:before="2"/>
                          <w:ind w:left="647" w:right="774"/>
                          <w:rPr>
                            <w:rFonts w:ascii="Times New Roman"/>
                            <w:sz w:val="18"/>
                          </w:rPr>
                        </w:pPr>
                        <w:r>
                          <w:rPr>
                            <w:rFonts w:ascii="Times New Roman"/>
                            <w:sz w:val="18"/>
                          </w:rPr>
                          <w:t>3,273*</w:t>
                        </w:r>
                      </w:p>
                    </w:tc>
                  </w:tr>
                  <w:tr>
                    <w:trPr>
                      <w:trHeight w:val="415" w:hRule="atLeast"/>
                    </w:trPr>
                    <w:tc>
                      <w:tcPr>
                        <w:tcW w:w="3618" w:type="dxa"/>
                      </w:tcPr>
                      <w:p>
                        <w:pPr>
                          <w:pStyle w:val="TableParagraph"/>
                          <w:spacing w:line="208" w:lineRule="exact" w:before="1"/>
                          <w:ind w:left="1781" w:right="121" w:hanging="1079"/>
                          <w:jc w:val="left"/>
                          <w:rPr>
                            <w:rFonts w:ascii="Times New Roman"/>
                            <w:sz w:val="18"/>
                          </w:rPr>
                        </w:pPr>
                        <w:r>
                          <w:rPr>
                            <w:rFonts w:ascii="Times New Roman"/>
                            <w:sz w:val="18"/>
                          </w:rPr>
                          <w:t>Proposed project completion timelines (overall)</w:t>
                        </w:r>
                      </w:p>
                    </w:tc>
                    <w:tc>
                      <w:tcPr>
                        <w:tcW w:w="3117" w:type="dxa"/>
                      </w:tcPr>
                      <w:p>
                        <w:pPr>
                          <w:pStyle w:val="TableParagraph"/>
                          <w:spacing w:before="112"/>
                          <w:ind w:left="1281"/>
                          <w:jc w:val="left"/>
                          <w:rPr>
                            <w:rFonts w:ascii="Times New Roman"/>
                            <w:sz w:val="18"/>
                          </w:rPr>
                        </w:pPr>
                        <w:r>
                          <w:rPr>
                            <w:rFonts w:ascii="Times New Roman"/>
                            <w:sz w:val="18"/>
                          </w:rPr>
                          <w:t>Quarter, Year</w:t>
                        </w:r>
                      </w:p>
                    </w:tc>
                    <w:tc>
                      <w:tcPr>
                        <w:tcW w:w="2411" w:type="dxa"/>
                      </w:tcPr>
                      <w:p>
                        <w:pPr>
                          <w:pStyle w:val="TableParagraph"/>
                          <w:spacing w:before="112"/>
                          <w:ind w:left="647" w:right="777"/>
                          <w:rPr>
                            <w:rFonts w:ascii="Times New Roman"/>
                            <w:sz w:val="18"/>
                          </w:rPr>
                        </w:pPr>
                        <w:r>
                          <w:rPr>
                            <w:rFonts w:ascii="Times New Roman"/>
                            <w:sz w:val="18"/>
                          </w:rPr>
                          <w:t>Q2, FY 2023</w:t>
                        </w:r>
                      </w:p>
                    </w:tc>
                  </w:tr>
                  <w:tr>
                    <w:trPr>
                      <w:trHeight w:val="251" w:hRule="atLeast"/>
                    </w:trPr>
                    <w:tc>
                      <w:tcPr>
                        <w:tcW w:w="3618" w:type="dxa"/>
                        <w:shd w:val="clear" w:color="auto" w:fill="5FFF00"/>
                      </w:tcPr>
                      <w:p>
                        <w:pPr>
                          <w:pStyle w:val="TableParagraph"/>
                          <w:spacing w:line="201" w:lineRule="exact" w:before="12"/>
                          <w:ind w:right="60"/>
                          <w:jc w:val="right"/>
                          <w:rPr>
                            <w:rFonts w:ascii="Times New Roman"/>
                            <w:sz w:val="18"/>
                          </w:rPr>
                        </w:pPr>
                        <w:r>
                          <w:rPr>
                            <w:rFonts w:ascii="Times New Roman"/>
                            <w:sz w:val="18"/>
                          </w:rPr>
                          <w:t>Revenue</w:t>
                        </w:r>
                      </w:p>
                    </w:tc>
                    <w:tc>
                      <w:tcPr>
                        <w:tcW w:w="3117" w:type="dxa"/>
                        <w:shd w:val="clear" w:color="auto" w:fill="5FFF00"/>
                      </w:tcPr>
                      <w:p>
                        <w:pPr>
                          <w:pStyle w:val="TableParagraph"/>
                          <w:spacing w:line="201" w:lineRule="exact" w:before="12"/>
                          <w:ind w:left="-18"/>
                          <w:jc w:val="left"/>
                          <w:rPr>
                            <w:rFonts w:ascii="Times New Roman"/>
                            <w:sz w:val="18"/>
                          </w:rPr>
                        </w:pPr>
                        <w:r>
                          <w:rPr>
                            <w:rFonts w:ascii="Times New Roman"/>
                            <w:sz w:val="18"/>
                          </w:rPr>
                          <w:t>assumptions (as on March 31, 2020)</w:t>
                        </w:r>
                      </w:p>
                    </w:tc>
                    <w:tc>
                      <w:tcPr>
                        <w:tcW w:w="2411" w:type="dxa"/>
                        <w:shd w:val="clear" w:color="auto" w:fill="5FFF00"/>
                      </w:tcPr>
                      <w:p>
                        <w:pPr>
                          <w:pStyle w:val="TableParagraph"/>
                          <w:jc w:val="left"/>
                          <w:rPr>
                            <w:rFonts w:ascii="Times New Roman"/>
                            <w:sz w:val="16"/>
                          </w:rPr>
                        </w:pPr>
                      </w:p>
                    </w:tc>
                  </w:tr>
                  <w:tr>
                    <w:trPr>
                      <w:trHeight w:val="208" w:hRule="atLeast"/>
                    </w:trPr>
                    <w:tc>
                      <w:tcPr>
                        <w:tcW w:w="3618" w:type="dxa"/>
                        <w:tcBorders>
                          <w:bottom w:val="single" w:sz="6" w:space="0" w:color="5FFF00"/>
                        </w:tcBorders>
                      </w:tcPr>
                      <w:p>
                        <w:pPr>
                          <w:pStyle w:val="TableParagraph"/>
                          <w:spacing w:line="186" w:lineRule="exact" w:before="2"/>
                          <w:ind w:left="1454"/>
                          <w:jc w:val="left"/>
                          <w:rPr>
                            <w:rFonts w:ascii="Times New Roman"/>
                            <w:sz w:val="18"/>
                          </w:rPr>
                        </w:pPr>
                        <w:r>
                          <w:rPr>
                            <w:rFonts w:ascii="Times New Roman"/>
                            <w:sz w:val="18"/>
                          </w:rPr>
                          <w:t>Lease completion</w:t>
                        </w:r>
                      </w:p>
                    </w:tc>
                    <w:tc>
                      <w:tcPr>
                        <w:tcW w:w="3117" w:type="dxa"/>
                        <w:tcBorders>
                          <w:bottom w:val="single" w:sz="6" w:space="0" w:color="5FFF00"/>
                        </w:tcBorders>
                      </w:tcPr>
                      <w:p>
                        <w:pPr>
                          <w:pStyle w:val="TableParagraph"/>
                          <w:spacing w:line="186" w:lineRule="exact" w:before="2"/>
                          <w:ind w:left="1461" w:right="1029"/>
                          <w:rPr>
                            <w:rFonts w:ascii="Times New Roman"/>
                            <w:sz w:val="18"/>
                          </w:rPr>
                        </w:pPr>
                        <w:r>
                          <w:rPr>
                            <w:rFonts w:ascii="Times New Roman"/>
                            <w:sz w:val="18"/>
                          </w:rPr>
                          <w:t>Year</w:t>
                        </w:r>
                      </w:p>
                    </w:tc>
                    <w:tc>
                      <w:tcPr>
                        <w:tcW w:w="2411" w:type="dxa"/>
                        <w:tcBorders>
                          <w:bottom w:val="single" w:sz="6" w:space="0" w:color="5FFF00"/>
                        </w:tcBorders>
                      </w:tcPr>
                      <w:p>
                        <w:pPr>
                          <w:pStyle w:val="TableParagraph"/>
                          <w:spacing w:line="186" w:lineRule="exact" w:before="2"/>
                          <w:ind w:left="647" w:right="775"/>
                          <w:rPr>
                            <w:rFonts w:ascii="Times New Roman"/>
                            <w:sz w:val="18"/>
                          </w:rPr>
                        </w:pPr>
                        <w:r>
                          <w:rPr>
                            <w:rFonts w:ascii="Times New Roman"/>
                            <w:sz w:val="18"/>
                          </w:rPr>
                          <w:t>FY 2023</w:t>
                        </w:r>
                      </w:p>
                    </w:tc>
                  </w:tr>
                  <w:tr>
                    <w:trPr>
                      <w:trHeight w:val="205" w:hRule="atLeast"/>
                    </w:trPr>
                    <w:tc>
                      <w:tcPr>
                        <w:tcW w:w="3618" w:type="dxa"/>
                        <w:tcBorders>
                          <w:top w:val="single" w:sz="6" w:space="0" w:color="5FFF00"/>
                          <w:bottom w:val="single" w:sz="6" w:space="0" w:color="5FFF00"/>
                        </w:tcBorders>
                      </w:tcPr>
                      <w:p>
                        <w:pPr>
                          <w:pStyle w:val="TableParagraph"/>
                          <w:spacing w:line="186" w:lineRule="exact"/>
                          <w:ind w:left="1634"/>
                          <w:jc w:val="left"/>
                          <w:rPr>
                            <w:rFonts w:ascii="Times New Roman"/>
                            <w:sz w:val="18"/>
                          </w:rPr>
                        </w:pPr>
                        <w:r>
                          <w:rPr>
                            <w:rFonts w:ascii="Times New Roman"/>
                            <w:sz w:val="18"/>
                          </w:rPr>
                          <w:t>In-place rent</w:t>
                        </w:r>
                      </w:p>
                    </w:tc>
                    <w:tc>
                      <w:tcPr>
                        <w:tcW w:w="3117" w:type="dxa"/>
                        <w:tcBorders>
                          <w:top w:val="single" w:sz="6" w:space="0" w:color="5FFF00"/>
                          <w:bottom w:val="single" w:sz="6" w:space="0" w:color="5FFF00"/>
                        </w:tcBorders>
                      </w:tcPr>
                      <w:p>
                        <w:pPr>
                          <w:pStyle w:val="TableParagraph"/>
                          <w:spacing w:line="186" w:lineRule="exact"/>
                          <w:ind w:left="1322"/>
                          <w:jc w:val="left"/>
                          <w:rPr>
                            <w:rFonts w:ascii="Times New Roman"/>
                            <w:sz w:val="18"/>
                          </w:rPr>
                        </w:pPr>
                        <w:r>
                          <w:rPr>
                            <w:rFonts w:ascii="Times New Roman"/>
                            <w:sz w:val="18"/>
                          </w:rPr>
                          <w:t>INR psf/mth</w:t>
                        </w:r>
                      </w:p>
                    </w:tc>
                    <w:tc>
                      <w:tcPr>
                        <w:tcW w:w="2411" w:type="dxa"/>
                        <w:tcBorders>
                          <w:top w:val="single" w:sz="6" w:space="0" w:color="5FFF00"/>
                          <w:bottom w:val="single" w:sz="6" w:space="0" w:color="5FFF00"/>
                        </w:tcBorders>
                      </w:tcPr>
                      <w:p>
                        <w:pPr>
                          <w:pStyle w:val="TableParagraph"/>
                          <w:spacing w:line="186" w:lineRule="exact"/>
                          <w:ind w:left="647" w:right="774"/>
                          <w:rPr>
                            <w:rFonts w:ascii="Times New Roman"/>
                            <w:sz w:val="18"/>
                          </w:rPr>
                        </w:pPr>
                        <w:r>
                          <w:rPr>
                            <w:rFonts w:ascii="Times New Roman"/>
                            <w:sz w:val="18"/>
                          </w:rPr>
                          <w:t>48</w:t>
                        </w:r>
                      </w:p>
                    </w:tc>
                  </w:tr>
                  <w:tr>
                    <w:trPr>
                      <w:trHeight w:val="208" w:hRule="atLeast"/>
                    </w:trPr>
                    <w:tc>
                      <w:tcPr>
                        <w:tcW w:w="3618" w:type="dxa"/>
                        <w:tcBorders>
                          <w:top w:val="single" w:sz="6" w:space="0" w:color="5FFF00"/>
                          <w:bottom w:val="single" w:sz="6" w:space="0" w:color="5FFF00"/>
                        </w:tcBorders>
                      </w:tcPr>
                      <w:p>
                        <w:pPr>
                          <w:pStyle w:val="TableParagraph"/>
                          <w:spacing w:line="186" w:lineRule="exact" w:before="2"/>
                          <w:ind w:right="19"/>
                          <w:jc w:val="right"/>
                          <w:rPr>
                            <w:rFonts w:ascii="Times New Roman" w:hAnsi="Times New Roman"/>
                            <w:sz w:val="18"/>
                          </w:rPr>
                        </w:pPr>
                        <w:r>
                          <w:rPr>
                            <w:rFonts w:ascii="Times New Roman" w:hAnsi="Times New Roman"/>
                            <w:sz w:val="18"/>
                          </w:rPr>
                          <w:t>Marginal rent – IT SEZ office component</w:t>
                        </w:r>
                      </w:p>
                    </w:tc>
                    <w:tc>
                      <w:tcPr>
                        <w:tcW w:w="3117" w:type="dxa"/>
                        <w:tcBorders>
                          <w:top w:val="single" w:sz="6" w:space="0" w:color="5FFF00"/>
                          <w:bottom w:val="single" w:sz="6" w:space="0" w:color="5FFF00"/>
                        </w:tcBorders>
                      </w:tcPr>
                      <w:p>
                        <w:pPr>
                          <w:pStyle w:val="TableParagraph"/>
                          <w:spacing w:line="186" w:lineRule="exact" w:before="2"/>
                          <w:ind w:left="1322"/>
                          <w:jc w:val="left"/>
                          <w:rPr>
                            <w:rFonts w:ascii="Times New Roman"/>
                            <w:sz w:val="18"/>
                          </w:rPr>
                        </w:pPr>
                        <w:r>
                          <w:rPr>
                            <w:rFonts w:ascii="Times New Roman"/>
                            <w:sz w:val="18"/>
                          </w:rPr>
                          <w:t>INR psf/mth</w:t>
                        </w:r>
                      </w:p>
                    </w:tc>
                    <w:tc>
                      <w:tcPr>
                        <w:tcW w:w="2411" w:type="dxa"/>
                        <w:tcBorders>
                          <w:top w:val="single" w:sz="6" w:space="0" w:color="5FFF00"/>
                          <w:bottom w:val="single" w:sz="6" w:space="0" w:color="5FFF00"/>
                        </w:tcBorders>
                      </w:tcPr>
                      <w:p>
                        <w:pPr>
                          <w:pStyle w:val="TableParagraph"/>
                          <w:spacing w:line="186" w:lineRule="exact" w:before="2"/>
                          <w:ind w:left="647" w:right="773"/>
                          <w:rPr>
                            <w:rFonts w:ascii="Times New Roman"/>
                            <w:sz w:val="18"/>
                          </w:rPr>
                        </w:pPr>
                        <w:r>
                          <w:rPr>
                            <w:rFonts w:ascii="Times New Roman"/>
                            <w:sz w:val="18"/>
                          </w:rPr>
                          <w:t>54</w:t>
                        </w:r>
                      </w:p>
                    </w:tc>
                  </w:tr>
                  <w:tr>
                    <w:trPr>
                      <w:trHeight w:val="206" w:hRule="atLeast"/>
                    </w:trPr>
                    <w:tc>
                      <w:tcPr>
                        <w:tcW w:w="3618" w:type="dxa"/>
                        <w:tcBorders>
                          <w:top w:val="single" w:sz="6" w:space="0" w:color="5FFF00"/>
                        </w:tcBorders>
                      </w:tcPr>
                      <w:p>
                        <w:pPr>
                          <w:pStyle w:val="TableParagraph"/>
                          <w:spacing w:line="186" w:lineRule="exact"/>
                          <w:ind w:left="1236"/>
                          <w:jc w:val="left"/>
                          <w:rPr>
                            <w:rFonts w:ascii="Times New Roman"/>
                            <w:sz w:val="18"/>
                          </w:rPr>
                        </w:pPr>
                        <w:r>
                          <w:rPr>
                            <w:rFonts w:ascii="Times New Roman"/>
                            <w:sz w:val="18"/>
                          </w:rPr>
                          <w:t>Parking rent (Effective)</w:t>
                        </w:r>
                      </w:p>
                    </w:tc>
                    <w:tc>
                      <w:tcPr>
                        <w:tcW w:w="3117" w:type="dxa"/>
                        <w:tcBorders>
                          <w:top w:val="single" w:sz="6" w:space="0" w:color="5FFF00"/>
                        </w:tcBorders>
                      </w:tcPr>
                      <w:p>
                        <w:pPr>
                          <w:pStyle w:val="TableParagraph"/>
                          <w:spacing w:line="186" w:lineRule="exact"/>
                          <w:ind w:left="1255"/>
                          <w:jc w:val="left"/>
                          <w:rPr>
                            <w:rFonts w:ascii="Times New Roman"/>
                            <w:sz w:val="18"/>
                          </w:rPr>
                        </w:pPr>
                        <w:r>
                          <w:rPr>
                            <w:rFonts w:ascii="Times New Roman"/>
                            <w:sz w:val="18"/>
                          </w:rPr>
                          <w:t>INR / bay/mth</w:t>
                        </w:r>
                      </w:p>
                    </w:tc>
                    <w:tc>
                      <w:tcPr>
                        <w:tcW w:w="2411" w:type="dxa"/>
                        <w:tcBorders>
                          <w:top w:val="single" w:sz="6" w:space="0" w:color="5FFF00"/>
                        </w:tcBorders>
                      </w:tcPr>
                      <w:p>
                        <w:pPr>
                          <w:pStyle w:val="TableParagraph"/>
                          <w:spacing w:line="186" w:lineRule="exact"/>
                          <w:ind w:right="128"/>
                          <w:rPr>
                            <w:rFonts w:ascii="Times New Roman"/>
                            <w:sz w:val="18"/>
                          </w:rPr>
                        </w:pPr>
                        <w:r>
                          <w:rPr>
                            <w:rFonts w:ascii="Times New Roman"/>
                            <w:w w:val="99"/>
                            <w:sz w:val="18"/>
                          </w:rPr>
                          <w:t>-</w:t>
                        </w:r>
                      </w:p>
                    </w:tc>
                  </w:tr>
                  <w:tr>
                    <w:trPr>
                      <w:trHeight w:val="237" w:hRule="atLeast"/>
                    </w:trPr>
                    <w:tc>
                      <w:tcPr>
                        <w:tcW w:w="6735" w:type="dxa"/>
                        <w:gridSpan w:val="2"/>
                        <w:shd w:val="clear" w:color="auto" w:fill="5FFF00"/>
                      </w:tcPr>
                      <w:p>
                        <w:pPr>
                          <w:pStyle w:val="TableParagraph"/>
                          <w:spacing w:line="201" w:lineRule="exact" w:before="16"/>
                          <w:ind w:left="3562"/>
                          <w:jc w:val="left"/>
                          <w:rPr>
                            <w:rFonts w:ascii="Times New Roman"/>
                            <w:sz w:val="18"/>
                          </w:rPr>
                        </w:pPr>
                        <w:r>
                          <w:rPr>
                            <w:rFonts w:ascii="Times New Roman"/>
                            <w:sz w:val="18"/>
                          </w:rPr>
                          <w:t>Other financial assumptions</w:t>
                        </w:r>
                      </w:p>
                    </w:tc>
                    <w:tc>
                      <w:tcPr>
                        <w:tcW w:w="2411" w:type="dxa"/>
                        <w:shd w:val="clear" w:color="auto" w:fill="5FFF00"/>
                      </w:tcPr>
                      <w:p>
                        <w:pPr>
                          <w:pStyle w:val="TableParagraph"/>
                          <w:jc w:val="left"/>
                          <w:rPr>
                            <w:rFonts w:ascii="Times New Roman"/>
                            <w:sz w:val="16"/>
                          </w:rPr>
                        </w:pPr>
                      </w:p>
                    </w:tc>
                  </w:tr>
                  <w:tr>
                    <w:trPr>
                      <w:trHeight w:val="206" w:hRule="atLeast"/>
                    </w:trPr>
                    <w:tc>
                      <w:tcPr>
                        <w:tcW w:w="3618" w:type="dxa"/>
                        <w:tcBorders>
                          <w:bottom w:val="single" w:sz="6" w:space="0" w:color="5FFF00"/>
                        </w:tcBorders>
                      </w:tcPr>
                      <w:p>
                        <w:pPr>
                          <w:pStyle w:val="TableParagraph"/>
                          <w:spacing w:line="186" w:lineRule="exact"/>
                          <w:ind w:left="1768" w:right="1205"/>
                          <w:rPr>
                            <w:rFonts w:ascii="Times New Roman"/>
                            <w:sz w:val="18"/>
                          </w:rPr>
                        </w:pPr>
                        <w:r>
                          <w:rPr>
                            <w:rFonts w:ascii="Times New Roman"/>
                            <w:sz w:val="18"/>
                          </w:rPr>
                          <w:t>Cap rate</w:t>
                        </w:r>
                      </w:p>
                    </w:tc>
                    <w:tc>
                      <w:tcPr>
                        <w:tcW w:w="3117" w:type="dxa"/>
                        <w:tcBorders>
                          <w:bottom w:val="single" w:sz="6" w:space="0" w:color="5FFF00"/>
                        </w:tcBorders>
                      </w:tcPr>
                      <w:p>
                        <w:pPr>
                          <w:pStyle w:val="TableParagraph"/>
                          <w:spacing w:line="186" w:lineRule="exact"/>
                          <w:ind w:left="435"/>
                          <w:rPr>
                            <w:rFonts w:ascii="Times New Roman"/>
                            <w:sz w:val="18"/>
                          </w:rPr>
                        </w:pPr>
                        <w:r>
                          <w:rPr>
                            <w:rFonts w:ascii="Times New Roman"/>
                            <w:w w:val="99"/>
                            <w:sz w:val="18"/>
                          </w:rPr>
                          <w:t>%</w:t>
                        </w:r>
                      </w:p>
                    </w:tc>
                    <w:tc>
                      <w:tcPr>
                        <w:tcW w:w="2411" w:type="dxa"/>
                        <w:tcBorders>
                          <w:bottom w:val="single" w:sz="6" w:space="0" w:color="5FFF00"/>
                        </w:tcBorders>
                      </w:tcPr>
                      <w:p>
                        <w:pPr>
                          <w:pStyle w:val="TableParagraph"/>
                          <w:spacing w:line="186" w:lineRule="exact"/>
                          <w:ind w:left="646" w:right="777"/>
                          <w:rPr>
                            <w:rFonts w:ascii="Times New Roman"/>
                            <w:sz w:val="18"/>
                          </w:rPr>
                        </w:pPr>
                        <w:r>
                          <w:rPr>
                            <w:rFonts w:ascii="Times New Roman"/>
                            <w:sz w:val="18"/>
                          </w:rPr>
                          <w:t>8.25%</w:t>
                        </w:r>
                      </w:p>
                    </w:tc>
                  </w:tr>
                  <w:tr>
                    <w:trPr>
                      <w:trHeight w:val="208" w:hRule="atLeast"/>
                    </w:trPr>
                    <w:tc>
                      <w:tcPr>
                        <w:tcW w:w="3618" w:type="dxa"/>
                        <w:tcBorders>
                          <w:top w:val="single" w:sz="6" w:space="0" w:color="5FFF00"/>
                          <w:bottom w:val="single" w:sz="6" w:space="0" w:color="5FFF00"/>
                        </w:tcBorders>
                      </w:tcPr>
                      <w:p>
                        <w:pPr>
                          <w:pStyle w:val="TableParagraph"/>
                          <w:spacing w:line="186" w:lineRule="exact" w:before="2"/>
                          <w:ind w:left="1176"/>
                          <w:jc w:val="left"/>
                          <w:rPr>
                            <w:rFonts w:ascii="Times New Roman"/>
                            <w:sz w:val="18"/>
                          </w:rPr>
                        </w:pPr>
                        <w:r>
                          <w:rPr>
                            <w:rFonts w:ascii="Times New Roman"/>
                            <w:sz w:val="18"/>
                          </w:rPr>
                          <w:t>WACC rate (operational)</w:t>
                        </w:r>
                      </w:p>
                    </w:tc>
                    <w:tc>
                      <w:tcPr>
                        <w:tcW w:w="3117" w:type="dxa"/>
                        <w:tcBorders>
                          <w:top w:val="single" w:sz="6" w:space="0" w:color="5FFF00"/>
                          <w:bottom w:val="single" w:sz="6" w:space="0" w:color="5FFF00"/>
                        </w:tcBorders>
                      </w:tcPr>
                      <w:p>
                        <w:pPr>
                          <w:pStyle w:val="TableParagraph"/>
                          <w:spacing w:line="186" w:lineRule="exact" w:before="2"/>
                          <w:ind w:left="435"/>
                          <w:rPr>
                            <w:rFonts w:ascii="Times New Roman"/>
                            <w:sz w:val="18"/>
                          </w:rPr>
                        </w:pPr>
                        <w:r>
                          <w:rPr>
                            <w:rFonts w:ascii="Times New Roman"/>
                            <w:w w:val="99"/>
                            <w:sz w:val="18"/>
                          </w:rPr>
                          <w:t>%</w:t>
                        </w:r>
                      </w:p>
                    </w:tc>
                    <w:tc>
                      <w:tcPr>
                        <w:tcW w:w="2411" w:type="dxa"/>
                        <w:tcBorders>
                          <w:top w:val="single" w:sz="6" w:space="0" w:color="5FFF00"/>
                          <w:bottom w:val="single" w:sz="6" w:space="0" w:color="5FFF00"/>
                        </w:tcBorders>
                      </w:tcPr>
                      <w:p>
                        <w:pPr>
                          <w:pStyle w:val="TableParagraph"/>
                          <w:spacing w:line="186" w:lineRule="exact" w:before="2"/>
                          <w:ind w:left="647" w:right="774"/>
                          <w:rPr>
                            <w:rFonts w:ascii="Times New Roman"/>
                            <w:sz w:val="18"/>
                          </w:rPr>
                        </w:pPr>
                        <w:r>
                          <w:rPr>
                            <w:rFonts w:ascii="Times New Roman"/>
                            <w:sz w:val="18"/>
                          </w:rPr>
                          <w:t>12.03%</w:t>
                        </w:r>
                      </w:p>
                    </w:tc>
                  </w:tr>
                </w:tbl>
                <w:p>
                  <w:pPr>
                    <w:pStyle w:val="BodyText"/>
                  </w:pPr>
                </w:p>
              </w:txbxContent>
            </v:textbox>
            <w10:wrap type="none"/>
          </v:shape>
        </w:pict>
      </w:r>
      <w:r>
        <w:rPr>
          <w:rFonts w:ascii="Times New Roman"/>
          <w:color w:val="16772B"/>
          <w:sz w:val="18"/>
        </w:rPr>
        <w:t>Key</w:t>
      </w:r>
    </w:p>
    <w:p>
      <w:pPr>
        <w:spacing w:before="2"/>
        <w:ind w:left="506" w:right="0" w:firstLine="0"/>
        <w:jc w:val="left"/>
        <w:rPr>
          <w:rFonts w:ascii="Times New Roman"/>
          <w:sz w:val="18"/>
        </w:rPr>
      </w:pPr>
      <w:r>
        <w:rPr>
          <w:rFonts w:ascii="Times New Roman"/>
          <w:color w:val="16772B"/>
          <w:sz w:val="18"/>
        </w:rPr>
        <w:t>Assumptions:</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25"/>
        </w:rPr>
      </w:pPr>
    </w:p>
    <w:p>
      <w:pPr>
        <w:spacing w:after="0"/>
        <w:rPr>
          <w:rFonts w:ascii="Times New Roman"/>
          <w:sz w:val="25"/>
        </w:rPr>
        <w:sectPr>
          <w:pgSz w:w="12240" w:h="15840"/>
          <w:pgMar w:header="728" w:footer="1174" w:top="1180" w:bottom="1460" w:left="620" w:right="580"/>
        </w:sectPr>
      </w:pPr>
    </w:p>
    <w:p>
      <w:pPr>
        <w:spacing w:line="242" w:lineRule="auto" w:before="92"/>
        <w:ind w:left="2849" w:right="-17" w:firstLine="115"/>
        <w:jc w:val="left"/>
        <w:rPr>
          <w:rFonts w:ascii="Times New Roman"/>
          <w:sz w:val="18"/>
        </w:rPr>
      </w:pPr>
      <w:r>
        <w:rPr>
          <w:rFonts w:ascii="Times New Roman"/>
          <w:sz w:val="18"/>
        </w:rPr>
        <w:t>WACC rate (under- construction/proposed)</w:t>
      </w:r>
    </w:p>
    <w:p>
      <w:pPr>
        <w:pStyle w:val="BodyText"/>
        <w:spacing w:before="10"/>
        <w:rPr>
          <w:rFonts w:ascii="Times New Roman"/>
          <w:sz w:val="17"/>
        </w:rPr>
      </w:pPr>
      <w:r>
        <w:rPr/>
        <w:br w:type="column"/>
      </w:r>
      <w:r>
        <w:rPr>
          <w:rFonts w:ascii="Times New Roman"/>
          <w:sz w:val="17"/>
        </w:rPr>
      </w:r>
    </w:p>
    <w:p>
      <w:pPr>
        <w:tabs>
          <w:tab w:pos="4634" w:val="left" w:leader="none"/>
        </w:tabs>
        <w:spacing w:before="0"/>
        <w:ind w:left="2356" w:right="0" w:firstLine="0"/>
        <w:jc w:val="left"/>
        <w:rPr>
          <w:rFonts w:ascii="Times New Roman"/>
          <w:sz w:val="18"/>
        </w:rPr>
      </w:pPr>
      <w:r>
        <w:rPr>
          <w:rFonts w:ascii="Times New Roman"/>
          <w:sz w:val="18"/>
        </w:rPr>
        <w:t>%</w:t>
        <w:tab/>
        <w:t>13.00%</w:t>
      </w:r>
    </w:p>
    <w:p>
      <w:pPr>
        <w:spacing w:after="0"/>
        <w:jc w:val="left"/>
        <w:rPr>
          <w:rFonts w:ascii="Times New Roman"/>
          <w:sz w:val="18"/>
        </w:rPr>
        <w:sectPr>
          <w:type w:val="continuous"/>
          <w:pgSz w:w="12240" w:h="15840"/>
          <w:pgMar w:top="800" w:bottom="280" w:left="620" w:right="580"/>
          <w:cols w:num="2" w:equalWidth="0">
            <w:col w:w="4512" w:space="40"/>
            <w:col w:w="6488"/>
          </w:cols>
        </w:sectPr>
      </w:pPr>
    </w:p>
    <w:p>
      <w:pPr>
        <w:pStyle w:val="BodyText"/>
        <w:spacing w:line="20" w:lineRule="exact"/>
        <w:ind w:left="1588"/>
        <w:rPr>
          <w:rFonts w:ascii="Times New Roman"/>
          <w:sz w:val="2"/>
        </w:rPr>
      </w:pPr>
      <w:r>
        <w:rPr>
          <w:rFonts w:ascii="Times New Roman"/>
          <w:sz w:val="2"/>
        </w:rPr>
        <w:pict>
          <v:group style="width:457.3pt;height:.75pt;mso-position-horizontal-relative:char;mso-position-vertical-relative:line" coordorigin="0,0" coordsize="9146,15">
            <v:shape style="position:absolute;left:0;top:0;width:9146;height:15" coordorigin="0,0" coordsize="9146,15" path="m6604,0l4199,0,4184,0,0,0,0,14,4184,14,4199,14,6604,14,6604,0xm9146,0l6618,0,6604,0,6604,14,6618,14,9146,14,9146,0xe" filled="true" fillcolor="#5fff00" stroked="false">
              <v:path arrowok="t"/>
              <v:fill type="solid"/>
            </v:shape>
          </v:group>
        </w:pict>
      </w:r>
      <w:r>
        <w:rPr>
          <w:rFonts w:ascii="Times New Roman"/>
          <w:sz w:val="2"/>
        </w:rPr>
      </w:r>
    </w:p>
    <w:p>
      <w:pPr>
        <w:spacing w:before="11"/>
        <w:ind w:left="1588" w:right="835" w:firstLine="0"/>
        <w:jc w:val="left"/>
        <w:rPr>
          <w:rFonts w:ascii="Times New Roman"/>
          <w:i/>
          <w:sz w:val="18"/>
        </w:rPr>
      </w:pPr>
      <w:r>
        <w:rPr>
          <w:rFonts w:ascii="Times New Roman"/>
          <w:i/>
          <w:sz w:val="18"/>
        </w:rPr>
        <w:t>* Indicative of pending cost towards base build works and does not include the cost for refurbishments/ infrastructure </w:t>
      </w:r>
      <w:r>
        <w:rPr>
          <w:rFonts w:ascii="Times New Roman"/>
          <w:i/>
          <w:sz w:val="18"/>
        </w:rPr>
        <w:t>upgrade works</w:t>
      </w:r>
    </w:p>
    <w:p>
      <w:pPr>
        <w:pStyle w:val="BodyText"/>
        <w:spacing w:before="5"/>
        <w:rPr>
          <w:rFonts w:ascii="Times New Roman"/>
          <w:i/>
          <w:sz w:val="19"/>
        </w:rPr>
      </w:pPr>
    </w:p>
    <w:p>
      <w:pPr>
        <w:tabs>
          <w:tab w:pos="1588" w:val="left" w:leader="none"/>
        </w:tabs>
        <w:spacing w:before="91"/>
        <w:ind w:left="265" w:right="0" w:firstLine="0"/>
        <w:jc w:val="left"/>
        <w:rPr>
          <w:rFonts w:ascii="Times New Roman"/>
          <w:b/>
          <w:sz w:val="18"/>
        </w:rPr>
      </w:pPr>
      <w:r>
        <w:rPr>
          <w:rFonts w:ascii="Times New Roman"/>
          <w:color w:val="16772B"/>
          <w:position w:val="2"/>
          <w:sz w:val="16"/>
        </w:rPr>
        <w:t>Market</w:t>
      </w:r>
      <w:r>
        <w:rPr>
          <w:rFonts w:ascii="Times New Roman"/>
          <w:color w:val="16772B"/>
          <w:spacing w:val="-3"/>
          <w:position w:val="2"/>
          <w:sz w:val="16"/>
        </w:rPr>
        <w:t> </w:t>
      </w:r>
      <w:r>
        <w:rPr>
          <w:rFonts w:ascii="Times New Roman"/>
          <w:color w:val="16772B"/>
          <w:position w:val="2"/>
          <w:sz w:val="16"/>
        </w:rPr>
        <w:t>Value:</w:t>
        <w:tab/>
      </w:r>
      <w:r>
        <w:rPr>
          <w:rFonts w:ascii="Times New Roman"/>
          <w:b/>
          <w:sz w:val="18"/>
        </w:rPr>
        <w:t>INR 21,416</w:t>
      </w:r>
      <w:r>
        <w:rPr>
          <w:rFonts w:ascii="Times New Roman"/>
          <w:b/>
          <w:spacing w:val="-1"/>
          <w:sz w:val="18"/>
        </w:rPr>
        <w:t> </w:t>
      </w:r>
      <w:r>
        <w:rPr>
          <w:rFonts w:ascii="Times New Roman"/>
          <w:b/>
          <w:sz w:val="18"/>
        </w:rPr>
        <w:t>Mn</w:t>
      </w:r>
    </w:p>
    <w:p>
      <w:pPr>
        <w:spacing w:after="0"/>
        <w:jc w:val="left"/>
        <w:rPr>
          <w:rFonts w:ascii="Times New Roman"/>
          <w:sz w:val="18"/>
        </w:rPr>
        <w:sectPr>
          <w:type w:val="continuous"/>
          <w:pgSz w:w="12240" w:h="15840"/>
          <w:pgMar w:top="800" w:bottom="280" w:left="620" w:right="580"/>
        </w:sectPr>
      </w:pPr>
    </w:p>
    <w:p>
      <w:pPr>
        <w:pStyle w:val="BodyText"/>
        <w:rPr>
          <w:rFonts w:ascii="Times New Roman"/>
          <w:b/>
          <w:sz w:val="18"/>
        </w:rPr>
      </w:pPr>
    </w:p>
    <w:p>
      <w:pPr>
        <w:pStyle w:val="ListParagraph"/>
        <w:numPr>
          <w:ilvl w:val="1"/>
          <w:numId w:val="1"/>
        </w:numPr>
        <w:tabs>
          <w:tab w:pos="1554" w:val="left" w:leader="none"/>
          <w:tab w:pos="1555" w:val="left" w:leader="none"/>
        </w:tabs>
        <w:spacing w:line="240" w:lineRule="auto" w:before="91" w:after="0"/>
        <w:ind w:left="1554" w:right="0" w:hanging="735"/>
        <w:jc w:val="left"/>
        <w:rPr>
          <w:rFonts w:ascii="Times New Roman"/>
          <w:color w:val="1E6C28"/>
          <w:sz w:val="20"/>
        </w:rPr>
      </w:pPr>
      <w:r>
        <w:rPr>
          <w:rFonts w:ascii="Times New Roman"/>
          <w:color w:val="1E6C28"/>
          <w:sz w:val="20"/>
        </w:rPr>
        <w:t>Embassy Galaxy</w:t>
      </w:r>
    </w:p>
    <w:p>
      <w:pPr>
        <w:pStyle w:val="BodyText"/>
        <w:spacing w:before="4"/>
        <w:rPr>
          <w:rFonts w:ascii="Times New Roman"/>
          <w:sz w:val="18"/>
        </w:rPr>
      </w:pPr>
    </w:p>
    <w:p>
      <w:pPr>
        <w:spacing w:line="207" w:lineRule="exact" w:before="0"/>
        <w:ind w:left="265" w:right="0" w:firstLine="0"/>
        <w:jc w:val="left"/>
        <w:rPr>
          <w:rFonts w:ascii="Times New Roman"/>
          <w:sz w:val="18"/>
        </w:rPr>
      </w:pPr>
      <w:r>
        <w:rPr>
          <w:rFonts w:ascii="Times New Roman"/>
          <w:color w:val="16772B"/>
          <w:sz w:val="18"/>
        </w:rPr>
        <w:t>Property</w:t>
      </w:r>
    </w:p>
    <w:p>
      <w:pPr>
        <w:tabs>
          <w:tab w:pos="1393" w:val="left" w:leader="none"/>
        </w:tabs>
        <w:spacing w:line="207" w:lineRule="exact" w:before="0"/>
        <w:ind w:left="265" w:right="0" w:firstLine="0"/>
        <w:jc w:val="left"/>
        <w:rPr>
          <w:rFonts w:ascii="Times New Roman" w:hAnsi="Times New Roman"/>
          <w:sz w:val="18"/>
        </w:rPr>
      </w:pPr>
      <w:r>
        <w:rPr>
          <w:rFonts w:ascii="Times New Roman" w:hAnsi="Times New Roman"/>
          <w:color w:val="16772B"/>
          <w:sz w:val="18"/>
        </w:rPr>
        <w:t>Name:</w:t>
        <w:tab/>
      </w:r>
      <w:r>
        <w:rPr>
          <w:rFonts w:ascii="Times New Roman" w:hAnsi="Times New Roman"/>
          <w:sz w:val="18"/>
        </w:rPr>
        <w:t>‘Embassy Galaxy’ is an operational IT/ ITeS office development located at Sector 62, Noida, Uttar</w:t>
      </w:r>
      <w:r>
        <w:rPr>
          <w:rFonts w:ascii="Times New Roman" w:hAnsi="Times New Roman"/>
          <w:spacing w:val="-8"/>
          <w:sz w:val="18"/>
        </w:rPr>
        <w:t> </w:t>
      </w:r>
      <w:r>
        <w:rPr>
          <w:rFonts w:ascii="Times New Roman" w:hAnsi="Times New Roman"/>
          <w:sz w:val="18"/>
        </w:rPr>
        <w:t>Pradesh</w:t>
      </w:r>
    </w:p>
    <w:p>
      <w:pPr>
        <w:spacing w:line="207" w:lineRule="exact" w:before="122"/>
        <w:ind w:left="265" w:right="0" w:firstLine="0"/>
        <w:jc w:val="left"/>
        <w:rPr>
          <w:rFonts w:ascii="Times New Roman"/>
          <w:sz w:val="18"/>
        </w:rPr>
      </w:pPr>
      <w:r>
        <w:rPr>
          <w:rFonts w:ascii="Times New Roman"/>
          <w:color w:val="16772B"/>
          <w:sz w:val="18"/>
        </w:rPr>
        <w:t>Property</w:t>
      </w:r>
    </w:p>
    <w:p>
      <w:pPr>
        <w:tabs>
          <w:tab w:pos="1393" w:val="left" w:leader="none"/>
        </w:tabs>
        <w:spacing w:line="207" w:lineRule="exact" w:before="0"/>
        <w:ind w:left="265" w:right="0" w:firstLine="0"/>
        <w:jc w:val="left"/>
        <w:rPr>
          <w:rFonts w:ascii="Times New Roman" w:hAnsi="Times New Roman"/>
          <w:sz w:val="18"/>
        </w:rPr>
      </w:pPr>
      <w:r>
        <w:rPr>
          <w:rFonts w:ascii="Times New Roman" w:hAnsi="Times New Roman"/>
          <w:color w:val="16772B"/>
          <w:sz w:val="18"/>
        </w:rPr>
        <w:t>Address:</w:t>
        <w:tab/>
      </w:r>
      <w:r>
        <w:rPr>
          <w:rFonts w:ascii="Times New Roman" w:hAnsi="Times New Roman"/>
          <w:sz w:val="18"/>
        </w:rPr>
        <w:t>A-44 &amp; 45, Sector 62, Noida, Uttar Pradesh, India –</w:t>
      </w:r>
      <w:r>
        <w:rPr>
          <w:rFonts w:ascii="Times New Roman" w:hAnsi="Times New Roman"/>
          <w:spacing w:val="-6"/>
          <w:sz w:val="18"/>
        </w:rPr>
        <w:t> </w:t>
      </w:r>
      <w:r>
        <w:rPr>
          <w:rFonts w:ascii="Times New Roman" w:hAnsi="Times New Roman"/>
          <w:sz w:val="18"/>
        </w:rPr>
        <w:t>201309</w:t>
      </w:r>
    </w:p>
    <w:p>
      <w:pPr>
        <w:tabs>
          <w:tab w:pos="1393" w:val="left" w:leader="none"/>
        </w:tabs>
        <w:spacing w:before="120"/>
        <w:ind w:left="1394" w:right="306" w:hanging="1129"/>
        <w:jc w:val="left"/>
        <w:rPr>
          <w:rFonts w:ascii="Times New Roman"/>
          <w:sz w:val="18"/>
        </w:rPr>
      </w:pPr>
      <w:r>
        <w:rPr>
          <w:rFonts w:ascii="Times New Roman"/>
          <w:color w:val="16772B"/>
          <w:sz w:val="18"/>
        </w:rPr>
        <w:t>Land Area:</w:t>
        <w:tab/>
      </w:r>
      <w:r>
        <w:rPr>
          <w:rFonts w:ascii="Times New Roman"/>
          <w:sz w:val="18"/>
        </w:rPr>
        <w:t>Based on review of the title report, the Valuer understands that the total land area of the subject property under the ownership of the Client is approximately 9.88</w:t>
      </w:r>
      <w:r>
        <w:rPr>
          <w:rFonts w:ascii="Times New Roman"/>
          <w:spacing w:val="-4"/>
          <w:sz w:val="18"/>
        </w:rPr>
        <w:t> </w:t>
      </w:r>
      <w:r>
        <w:rPr>
          <w:rFonts w:ascii="Times New Roman"/>
          <w:sz w:val="18"/>
        </w:rPr>
        <w:t>Acres</w:t>
      </w:r>
    </w:p>
    <w:p>
      <w:pPr>
        <w:spacing w:after="0"/>
        <w:jc w:val="left"/>
        <w:rPr>
          <w:rFonts w:ascii="Times New Roman"/>
          <w:sz w:val="18"/>
        </w:rPr>
        <w:sectPr>
          <w:pgSz w:w="12240" w:h="15840"/>
          <w:pgMar w:header="728" w:footer="1174" w:top="1180" w:bottom="1460" w:left="620" w:right="580"/>
        </w:sectPr>
      </w:pPr>
    </w:p>
    <w:p>
      <w:pPr>
        <w:spacing w:before="121"/>
        <w:ind w:left="265" w:right="7" w:firstLine="0"/>
        <w:jc w:val="left"/>
        <w:rPr>
          <w:rFonts w:ascii="Times New Roman"/>
          <w:sz w:val="18"/>
        </w:rPr>
      </w:pPr>
      <w:r>
        <w:rPr>
          <w:rFonts w:ascii="Times New Roman"/>
          <w:color w:val="16772B"/>
          <w:sz w:val="18"/>
        </w:rPr>
        <w:t>Brief Description:</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139"/>
        <w:ind w:left="265" w:right="-18" w:firstLine="0"/>
        <w:jc w:val="left"/>
        <w:rPr>
          <w:rFonts w:ascii="Times New Roman"/>
          <w:sz w:val="18"/>
        </w:rPr>
      </w:pPr>
      <w:r>
        <w:rPr>
          <w:rFonts w:ascii="Times New Roman"/>
          <w:color w:val="16772B"/>
          <w:sz w:val="18"/>
        </w:rPr>
        <w:t>Statement of Assets (sf):</w:t>
      </w:r>
    </w:p>
    <w:p>
      <w:pPr>
        <w:spacing w:before="121"/>
        <w:ind w:left="172" w:right="301" w:firstLine="0"/>
        <w:jc w:val="both"/>
        <w:rPr>
          <w:rFonts w:ascii="Times New Roman" w:hAnsi="Times New Roman"/>
          <w:sz w:val="18"/>
        </w:rPr>
      </w:pPr>
      <w:r>
        <w:rPr/>
        <w:br w:type="column"/>
      </w:r>
      <w:r>
        <w:rPr>
          <w:rFonts w:ascii="Times New Roman" w:hAnsi="Times New Roman"/>
          <w:sz w:val="18"/>
        </w:rPr>
        <w:t>The subject property “Embassy Galaxy” is an operational office asset, leased to technology occupiers. The subject property is located at Sector 62, Noida, which is an established commercial vector of Noida. The property is accessible by an internal road of Sector 62 (approximately 45 m wide). The subject property lies in proximity to various office assets such as 3C Green Boulevard, Stellar IT Park, Logix Cyber Park, Candor Techspace,</w:t>
      </w:r>
      <w:r>
        <w:rPr>
          <w:rFonts w:ascii="Times New Roman" w:hAnsi="Times New Roman"/>
          <w:spacing w:val="-5"/>
          <w:sz w:val="18"/>
        </w:rPr>
        <w:t> </w:t>
      </w:r>
      <w:r>
        <w:rPr>
          <w:rFonts w:ascii="Times New Roman" w:hAnsi="Times New Roman"/>
          <w:sz w:val="18"/>
        </w:rPr>
        <w:t>etc.</w:t>
      </w:r>
    </w:p>
    <w:p>
      <w:pPr>
        <w:spacing w:line="242" w:lineRule="auto" w:before="137"/>
        <w:ind w:left="172" w:right="302" w:firstLine="0"/>
        <w:jc w:val="both"/>
        <w:rPr>
          <w:rFonts w:ascii="Times New Roman" w:hAnsi="Times New Roman"/>
          <w:sz w:val="18"/>
        </w:rPr>
      </w:pPr>
      <w:r>
        <w:rPr>
          <w:rFonts w:ascii="Times New Roman" w:hAnsi="Times New Roman"/>
          <w:sz w:val="18"/>
        </w:rPr>
        <w:t>The subject property is located in close proximity to National Highway (NH) – 24, which makes it easily accessible from other regions of NCR (National Capital Region) such as Delhi, Ghaziabad, etc. Further, it is located at a distance of approximately 9 – 10 km from the established commercial hub of Noida viz. Sector-18, approximately 10 – 11 km from DND Flyway and approximately 31 – 32 km from Indira Gandhi International Airport, Delhi</w:t>
      </w:r>
    </w:p>
    <w:p>
      <w:pPr>
        <w:spacing w:before="131"/>
        <w:ind w:left="172" w:right="300" w:firstLine="0"/>
        <w:jc w:val="both"/>
        <w:rPr>
          <w:rFonts w:ascii="Times New Roman"/>
          <w:sz w:val="18"/>
        </w:rPr>
      </w:pPr>
      <w:r>
        <w:rPr>
          <w:rFonts w:ascii="Times New Roman"/>
          <w:sz w:val="18"/>
        </w:rPr>
        <w:t>Based on review of various documents (such as architect certificate, rent roll, lease deeds, etc.), the subject property is an operational office asset with approximately 1.4 msf of completed leasable area, which is approximately 98.9% leased as on the date of valuation. Table below highlights the leasable area details for the subject development:</w:t>
      </w:r>
    </w:p>
    <w:p>
      <w:pPr>
        <w:pStyle w:val="BodyText"/>
        <w:spacing w:before="4"/>
        <w:rPr>
          <w:rFonts w:ascii="Times New Roman"/>
          <w:sz w:val="25"/>
        </w:rPr>
      </w:pPr>
    </w:p>
    <w:tbl>
      <w:tblPr>
        <w:tblW w:w="0" w:type="auto"/>
        <w:jc w:val="left"/>
        <w:tblInd w:w="8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86"/>
        <w:gridCol w:w="2710"/>
        <w:gridCol w:w="3040"/>
      </w:tblGrid>
      <w:tr>
        <w:trPr>
          <w:trHeight w:val="207" w:hRule="atLeast"/>
        </w:trPr>
        <w:tc>
          <w:tcPr>
            <w:tcW w:w="2886" w:type="dxa"/>
            <w:tcBorders>
              <w:top w:val="single" w:sz="12" w:space="0" w:color="1E7504"/>
              <w:bottom w:val="single" w:sz="6" w:space="0" w:color="5FFF00"/>
            </w:tcBorders>
            <w:shd w:val="clear" w:color="auto" w:fill="16772B"/>
          </w:tcPr>
          <w:p>
            <w:pPr>
              <w:pStyle w:val="TableParagraph"/>
              <w:spacing w:line="186" w:lineRule="exact" w:before="1"/>
              <w:ind w:left="756" w:right="752"/>
              <w:rPr>
                <w:rFonts w:ascii="Times New Roman"/>
                <w:sz w:val="18"/>
              </w:rPr>
            </w:pPr>
            <w:r>
              <w:rPr>
                <w:rFonts w:ascii="Times New Roman"/>
                <w:color w:val="FFFFFF"/>
                <w:sz w:val="18"/>
              </w:rPr>
              <w:t>Particular</w:t>
            </w:r>
          </w:p>
        </w:tc>
        <w:tc>
          <w:tcPr>
            <w:tcW w:w="2710" w:type="dxa"/>
            <w:tcBorders>
              <w:top w:val="single" w:sz="12" w:space="0" w:color="1E7504"/>
              <w:bottom w:val="single" w:sz="6" w:space="0" w:color="5FFF00"/>
            </w:tcBorders>
            <w:shd w:val="clear" w:color="auto" w:fill="16772B"/>
          </w:tcPr>
          <w:p>
            <w:pPr>
              <w:pStyle w:val="TableParagraph"/>
              <w:spacing w:line="186" w:lineRule="exact" w:before="1"/>
              <w:ind w:left="751" w:right="589"/>
              <w:rPr>
                <w:rFonts w:ascii="Times New Roman"/>
                <w:sz w:val="18"/>
              </w:rPr>
            </w:pPr>
            <w:r>
              <w:rPr>
                <w:rFonts w:ascii="Times New Roman"/>
                <w:color w:val="FFFFFF"/>
                <w:sz w:val="18"/>
              </w:rPr>
              <w:t>Leasable Area (sf)</w:t>
            </w:r>
          </w:p>
        </w:tc>
        <w:tc>
          <w:tcPr>
            <w:tcW w:w="3040" w:type="dxa"/>
            <w:tcBorders>
              <w:top w:val="single" w:sz="12" w:space="0" w:color="1E7504"/>
              <w:bottom w:val="single" w:sz="6" w:space="0" w:color="5FFF00"/>
            </w:tcBorders>
            <w:shd w:val="clear" w:color="auto" w:fill="16772B"/>
          </w:tcPr>
          <w:p>
            <w:pPr>
              <w:pStyle w:val="TableParagraph"/>
              <w:spacing w:line="186" w:lineRule="exact" w:before="1"/>
              <w:ind w:left="593" w:right="427"/>
              <w:rPr>
                <w:rFonts w:ascii="Times New Roman"/>
                <w:sz w:val="18"/>
              </w:rPr>
            </w:pPr>
            <w:r>
              <w:rPr>
                <w:rFonts w:ascii="Times New Roman"/>
                <w:color w:val="FFFFFF"/>
                <w:sz w:val="18"/>
              </w:rPr>
              <w:t>Committed Occupancy (%)</w:t>
            </w:r>
          </w:p>
        </w:tc>
      </w:tr>
      <w:tr>
        <w:trPr>
          <w:trHeight w:val="205" w:hRule="atLeast"/>
        </w:trPr>
        <w:tc>
          <w:tcPr>
            <w:tcW w:w="2886" w:type="dxa"/>
            <w:tcBorders>
              <w:top w:val="single" w:sz="6" w:space="0" w:color="5FFF00"/>
              <w:bottom w:val="single" w:sz="6" w:space="0" w:color="5FFF00"/>
            </w:tcBorders>
          </w:tcPr>
          <w:p>
            <w:pPr>
              <w:pStyle w:val="TableParagraph"/>
              <w:spacing w:line="186" w:lineRule="exact"/>
              <w:ind w:left="758" w:right="752"/>
              <w:rPr>
                <w:rFonts w:ascii="Times New Roman"/>
                <w:sz w:val="18"/>
              </w:rPr>
            </w:pPr>
            <w:r>
              <w:rPr>
                <w:rFonts w:ascii="Times New Roman"/>
                <w:sz w:val="18"/>
              </w:rPr>
              <w:t>Completed Blocks</w:t>
            </w:r>
          </w:p>
        </w:tc>
        <w:tc>
          <w:tcPr>
            <w:tcW w:w="2710" w:type="dxa"/>
            <w:tcBorders>
              <w:top w:val="single" w:sz="6" w:space="0" w:color="5FFF00"/>
              <w:bottom w:val="single" w:sz="6" w:space="0" w:color="5FFF00"/>
            </w:tcBorders>
          </w:tcPr>
          <w:p>
            <w:pPr>
              <w:pStyle w:val="TableParagraph"/>
              <w:spacing w:line="186" w:lineRule="exact"/>
              <w:ind w:left="751" w:right="586"/>
              <w:rPr>
                <w:rFonts w:ascii="Times New Roman"/>
                <w:sz w:val="18"/>
              </w:rPr>
            </w:pPr>
            <w:r>
              <w:rPr>
                <w:rFonts w:ascii="Times New Roman"/>
                <w:sz w:val="18"/>
              </w:rPr>
              <w:t>1,357,029</w:t>
            </w:r>
          </w:p>
        </w:tc>
        <w:tc>
          <w:tcPr>
            <w:tcW w:w="3040" w:type="dxa"/>
            <w:tcBorders>
              <w:top w:val="single" w:sz="6" w:space="0" w:color="5FFF00"/>
              <w:bottom w:val="single" w:sz="6" w:space="0" w:color="5FFF00"/>
            </w:tcBorders>
          </w:tcPr>
          <w:p>
            <w:pPr>
              <w:pStyle w:val="TableParagraph"/>
              <w:spacing w:line="186" w:lineRule="exact"/>
              <w:ind w:left="593" w:right="426"/>
              <w:rPr>
                <w:rFonts w:ascii="Times New Roman"/>
                <w:sz w:val="18"/>
              </w:rPr>
            </w:pPr>
            <w:r>
              <w:rPr>
                <w:rFonts w:ascii="Times New Roman"/>
                <w:sz w:val="18"/>
              </w:rPr>
              <w:t>98.9%</w:t>
            </w:r>
          </w:p>
        </w:tc>
      </w:tr>
      <w:tr>
        <w:trPr>
          <w:trHeight w:val="208" w:hRule="atLeast"/>
        </w:trPr>
        <w:tc>
          <w:tcPr>
            <w:tcW w:w="2886" w:type="dxa"/>
            <w:tcBorders>
              <w:top w:val="single" w:sz="6" w:space="0" w:color="5FFF00"/>
              <w:bottom w:val="single" w:sz="6" w:space="0" w:color="5FFF00"/>
            </w:tcBorders>
          </w:tcPr>
          <w:p>
            <w:pPr>
              <w:pStyle w:val="TableParagraph"/>
              <w:spacing w:line="186" w:lineRule="exact" w:before="2"/>
              <w:ind w:left="755" w:right="752"/>
              <w:rPr>
                <w:rFonts w:ascii="Times New Roman"/>
                <w:b/>
                <w:sz w:val="18"/>
              </w:rPr>
            </w:pPr>
            <w:r>
              <w:rPr>
                <w:rFonts w:ascii="Times New Roman"/>
                <w:b/>
                <w:sz w:val="18"/>
              </w:rPr>
              <w:t>Total</w:t>
            </w:r>
          </w:p>
        </w:tc>
        <w:tc>
          <w:tcPr>
            <w:tcW w:w="2710" w:type="dxa"/>
            <w:tcBorders>
              <w:top w:val="single" w:sz="6" w:space="0" w:color="5FFF00"/>
              <w:bottom w:val="single" w:sz="6" w:space="0" w:color="5FFF00"/>
            </w:tcBorders>
          </w:tcPr>
          <w:p>
            <w:pPr>
              <w:pStyle w:val="TableParagraph"/>
              <w:spacing w:line="186" w:lineRule="exact" w:before="2"/>
              <w:ind w:left="751" w:right="586"/>
              <w:rPr>
                <w:rFonts w:ascii="Times New Roman"/>
                <w:b/>
                <w:sz w:val="18"/>
              </w:rPr>
            </w:pPr>
            <w:r>
              <w:rPr>
                <w:rFonts w:ascii="Times New Roman"/>
                <w:b/>
                <w:sz w:val="18"/>
              </w:rPr>
              <w:t>1,357,029</w:t>
            </w:r>
          </w:p>
        </w:tc>
        <w:tc>
          <w:tcPr>
            <w:tcW w:w="3040" w:type="dxa"/>
            <w:tcBorders>
              <w:top w:val="single" w:sz="6" w:space="0" w:color="5FFF00"/>
              <w:bottom w:val="single" w:sz="6" w:space="0" w:color="5FFF00"/>
            </w:tcBorders>
          </w:tcPr>
          <w:p>
            <w:pPr>
              <w:pStyle w:val="TableParagraph"/>
              <w:spacing w:line="186" w:lineRule="exact" w:before="2"/>
              <w:ind w:left="593" w:right="424"/>
              <w:rPr>
                <w:rFonts w:ascii="Times New Roman"/>
                <w:b/>
                <w:sz w:val="18"/>
              </w:rPr>
            </w:pPr>
            <w:r>
              <w:rPr>
                <w:rFonts w:ascii="Times New Roman"/>
                <w:b/>
                <w:sz w:val="18"/>
              </w:rPr>
              <w:t>98.9%</w:t>
            </w:r>
          </w:p>
        </w:tc>
      </w:tr>
    </w:tbl>
    <w:p>
      <w:pPr>
        <w:pStyle w:val="BodyText"/>
        <w:spacing w:before="4"/>
        <w:rPr>
          <w:rFonts w:ascii="Times New Roman"/>
          <w:sz w:val="23"/>
        </w:rPr>
      </w:pPr>
    </w:p>
    <w:p>
      <w:pPr>
        <w:spacing w:before="0"/>
        <w:ind w:left="230" w:right="0" w:firstLine="0"/>
        <w:jc w:val="both"/>
        <w:rPr>
          <w:rFonts w:ascii="Times New Roman"/>
          <w:sz w:val="18"/>
        </w:rPr>
      </w:pPr>
      <w:r>
        <w:rPr>
          <w:rFonts w:ascii="Times New Roman"/>
          <w:sz w:val="18"/>
        </w:rPr>
        <w:t>Source: Architect certificate, Rent roll, lease deeds provided by the Client;</w:t>
      </w:r>
    </w:p>
    <w:p>
      <w:pPr>
        <w:spacing w:after="0"/>
        <w:jc w:val="both"/>
        <w:rPr>
          <w:rFonts w:ascii="Times New Roman"/>
          <w:sz w:val="18"/>
        </w:rPr>
        <w:sectPr>
          <w:type w:val="continuous"/>
          <w:pgSz w:w="12240" w:h="15840"/>
          <w:pgMar w:top="800" w:bottom="280" w:left="620" w:right="580"/>
          <w:cols w:num="2" w:equalWidth="0">
            <w:col w:w="1182" w:space="40"/>
            <w:col w:w="9818"/>
          </w:cols>
        </w:sectPr>
      </w:pPr>
    </w:p>
    <w:p>
      <w:pPr>
        <w:pStyle w:val="BodyText"/>
        <w:spacing w:before="10"/>
        <w:rPr>
          <w:rFonts w:ascii="Times New Roman"/>
          <w:sz w:val="29"/>
        </w:rPr>
      </w:pPr>
    </w:p>
    <w:p>
      <w:pPr>
        <w:spacing w:before="93"/>
        <w:ind w:left="265" w:right="0" w:firstLine="0"/>
        <w:jc w:val="left"/>
        <w:rPr>
          <w:rFonts w:ascii="Times New Roman"/>
          <w:sz w:val="18"/>
        </w:rPr>
      </w:pPr>
      <w:r>
        <w:rPr/>
        <w:drawing>
          <wp:anchor distT="0" distB="0" distL="0" distR="0" allowOverlap="1" layoutInCell="1" locked="0" behindDoc="0" simplePos="0" relativeHeight="15778816">
            <wp:simplePos x="0" y="0"/>
            <wp:positionH relativeFrom="page">
              <wp:posOffset>1725295</wp:posOffset>
            </wp:positionH>
            <wp:positionV relativeFrom="paragraph">
              <wp:posOffset>58195</wp:posOffset>
            </wp:positionV>
            <wp:extent cx="4779009" cy="2760344"/>
            <wp:effectExtent l="0" t="0" r="0" b="0"/>
            <wp:wrapNone/>
            <wp:docPr id="31" name="image18.jpeg"/>
            <wp:cNvGraphicFramePr>
              <a:graphicFrameLocks noChangeAspect="1"/>
            </wp:cNvGraphicFramePr>
            <a:graphic>
              <a:graphicData uri="http://schemas.openxmlformats.org/drawingml/2006/picture">
                <pic:pic>
                  <pic:nvPicPr>
                    <pic:cNvPr id="32" name="image18.jpeg"/>
                    <pic:cNvPicPr/>
                  </pic:nvPicPr>
                  <pic:blipFill>
                    <a:blip r:embed="rId24" cstate="print"/>
                    <a:stretch>
                      <a:fillRect/>
                    </a:stretch>
                  </pic:blipFill>
                  <pic:spPr>
                    <a:xfrm>
                      <a:off x="0" y="0"/>
                      <a:ext cx="4779009" cy="2760344"/>
                    </a:xfrm>
                    <a:prstGeom prst="rect">
                      <a:avLst/>
                    </a:prstGeom>
                  </pic:spPr>
                </pic:pic>
              </a:graphicData>
            </a:graphic>
          </wp:anchor>
        </w:drawing>
      </w:r>
      <w:r>
        <w:rPr>
          <w:rFonts w:ascii="Times New Roman"/>
          <w:color w:val="16772B"/>
          <w:sz w:val="18"/>
        </w:rPr>
        <w:t>Location Map:</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29"/>
        </w:rPr>
      </w:pPr>
    </w:p>
    <w:p>
      <w:pPr>
        <w:spacing w:before="0"/>
        <w:ind w:left="265" w:right="0" w:firstLine="0"/>
        <w:jc w:val="left"/>
        <w:rPr>
          <w:rFonts w:ascii="Times New Roman"/>
          <w:sz w:val="18"/>
        </w:rPr>
      </w:pPr>
      <w:r>
        <w:rPr/>
        <w:pict>
          <v:group style="position:absolute;margin-left:136.339996pt;margin-top:-.837691pt;width:431.4pt;height:27.4pt;mso-position-horizontal-relative:page;mso-position-vertical-relative:paragraph;z-index:15779328" coordorigin="2727,-17" coordsize="8628,548">
            <v:shape style="position:absolute;left:2726;top:0;width:8628;height:245" coordorigin="2727,0" coordsize="8628,245" path="m9052,0l6753,0,2727,0,2727,245,6753,245,9052,245,9052,0xm11354,0l9052,0,9052,245,11354,245,11354,0xe" filled="true" fillcolor="#16772b" stroked="false">
              <v:path arrowok="t"/>
              <v:fill type="solid"/>
            </v:shape>
            <v:shape style="position:absolute;left:2726;top:-17;width:8628;height:548" coordorigin="2727,-17" coordsize="8628,548" path="m9052,-17l6767,-17,6753,-17,2727,-17,2727,-2,6753,-2,6767,-2,9052,-2,9052,-17xm11354,245l9108,245,9093,245,9093,259,9093,259,9093,245,6767,245,6753,245,2727,245,2727,259,2727,516,2727,530,6753,530,6767,530,9052,530,9052,516,9052,516,9052,530,9067,530,11354,530,11354,516,11354,259,11354,245xm11354,-17l9067,-17,9052,-17,9052,-2,9067,-2,11354,-2,11354,-17xe" filled="true" fillcolor="#5fff00" stroked="false">
              <v:path arrowok="t"/>
              <v:fill type="solid"/>
            </v:shape>
            <w10:wrap type="none"/>
          </v:group>
        </w:pict>
      </w:r>
      <w:r>
        <w:rPr/>
        <w:pict>
          <v:shape style="position:absolute;margin-left:135.979996pt;margin-top:-.477676pt;width:431.75pt;height:63.25pt;mso-position-horizontal-relative:page;mso-position-vertical-relative:paragraph;z-index:157798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35"/>
                    <w:gridCol w:w="2366"/>
                    <w:gridCol w:w="2235"/>
                  </w:tblGrid>
                  <w:tr>
                    <w:trPr>
                      <w:trHeight w:val="540" w:hRule="atLeast"/>
                    </w:trPr>
                    <w:tc>
                      <w:tcPr>
                        <w:tcW w:w="8636" w:type="dxa"/>
                        <w:gridSpan w:val="3"/>
                      </w:tcPr>
                      <w:p>
                        <w:pPr>
                          <w:pStyle w:val="TableParagraph"/>
                          <w:tabs>
                            <w:tab w:pos="5022" w:val="left" w:leader="none"/>
                            <w:tab w:pos="7228" w:val="left" w:leader="none"/>
                          </w:tabs>
                          <w:spacing w:line="240" w:lineRule="atLeast" w:before="15"/>
                          <w:ind w:left="2671" w:right="896" w:hanging="1037"/>
                          <w:jc w:val="left"/>
                          <w:rPr>
                            <w:rFonts w:ascii="Times New Roman"/>
                            <w:sz w:val="18"/>
                          </w:rPr>
                        </w:pPr>
                        <w:r>
                          <w:rPr>
                            <w:rFonts w:ascii="Times New Roman"/>
                            <w:color w:val="FFFFFF"/>
                            <w:sz w:val="18"/>
                          </w:rPr>
                          <w:t>Particulars</w:t>
                          <w:tab/>
                          <w:tab/>
                          <w:t>Unit</w:t>
                          <w:tab/>
                        </w:r>
                        <w:r>
                          <w:rPr>
                            <w:rFonts w:ascii="Times New Roman"/>
                            <w:color w:val="FFFFFF"/>
                            <w:spacing w:val="-4"/>
                            <w:sz w:val="18"/>
                          </w:rPr>
                          <w:t>Details </w:t>
                        </w:r>
                        <w:r>
                          <w:rPr>
                            <w:rFonts w:ascii="Times New Roman"/>
                            <w:sz w:val="18"/>
                          </w:rPr>
                          <w:t>Revenue assumptions (as on March 31, 2020)</w:t>
                        </w:r>
                      </w:p>
                    </w:tc>
                  </w:tr>
                  <w:tr>
                    <w:trPr>
                      <w:trHeight w:val="208" w:hRule="atLeast"/>
                    </w:trPr>
                    <w:tc>
                      <w:tcPr>
                        <w:tcW w:w="4035" w:type="dxa"/>
                        <w:tcBorders>
                          <w:bottom w:val="single" w:sz="6" w:space="0" w:color="5FFF00"/>
                        </w:tcBorders>
                      </w:tcPr>
                      <w:p>
                        <w:pPr>
                          <w:pStyle w:val="TableParagraph"/>
                          <w:spacing w:line="189" w:lineRule="exact"/>
                          <w:ind w:left="676" w:right="671"/>
                          <w:rPr>
                            <w:rFonts w:ascii="Times New Roman"/>
                            <w:sz w:val="18"/>
                          </w:rPr>
                        </w:pPr>
                        <w:r>
                          <w:rPr>
                            <w:rFonts w:ascii="Times New Roman"/>
                            <w:sz w:val="18"/>
                          </w:rPr>
                          <w:t>Lease completion</w:t>
                        </w:r>
                      </w:p>
                    </w:tc>
                    <w:tc>
                      <w:tcPr>
                        <w:tcW w:w="2366" w:type="dxa"/>
                        <w:tcBorders>
                          <w:bottom w:val="single" w:sz="6" w:space="0" w:color="5FFF00"/>
                        </w:tcBorders>
                      </w:tcPr>
                      <w:p>
                        <w:pPr>
                          <w:pStyle w:val="TableParagraph"/>
                          <w:spacing w:line="189" w:lineRule="exact"/>
                          <w:ind w:left="674" w:right="745"/>
                          <w:rPr>
                            <w:rFonts w:ascii="Times New Roman"/>
                            <w:sz w:val="18"/>
                          </w:rPr>
                        </w:pPr>
                        <w:r>
                          <w:rPr>
                            <w:rFonts w:ascii="Times New Roman"/>
                            <w:sz w:val="18"/>
                          </w:rPr>
                          <w:t>Year</w:t>
                        </w:r>
                      </w:p>
                    </w:tc>
                    <w:tc>
                      <w:tcPr>
                        <w:tcW w:w="2235" w:type="dxa"/>
                        <w:tcBorders>
                          <w:bottom w:val="single" w:sz="6" w:space="0" w:color="5FFF00"/>
                        </w:tcBorders>
                      </w:tcPr>
                      <w:p>
                        <w:pPr>
                          <w:pStyle w:val="TableParagraph"/>
                          <w:spacing w:line="189" w:lineRule="exact"/>
                          <w:ind w:left="746" w:right="813"/>
                          <w:rPr>
                            <w:rFonts w:ascii="Times New Roman"/>
                            <w:sz w:val="18"/>
                          </w:rPr>
                        </w:pPr>
                        <w:r>
                          <w:rPr>
                            <w:rFonts w:ascii="Times New Roman"/>
                            <w:sz w:val="18"/>
                          </w:rPr>
                          <w:t>FY 2021</w:t>
                        </w:r>
                      </w:p>
                    </w:tc>
                  </w:tr>
                  <w:tr>
                    <w:trPr>
                      <w:trHeight w:val="256" w:hRule="atLeast"/>
                    </w:trPr>
                    <w:tc>
                      <w:tcPr>
                        <w:tcW w:w="4035" w:type="dxa"/>
                        <w:tcBorders>
                          <w:top w:val="single" w:sz="6" w:space="0" w:color="5FFF00"/>
                          <w:bottom w:val="single" w:sz="6" w:space="0" w:color="5FFF00"/>
                        </w:tcBorders>
                      </w:tcPr>
                      <w:p>
                        <w:pPr>
                          <w:pStyle w:val="TableParagraph"/>
                          <w:spacing w:line="186" w:lineRule="exact" w:before="50"/>
                          <w:ind w:left="676" w:right="670"/>
                          <w:rPr>
                            <w:rFonts w:ascii="Times New Roman"/>
                            <w:sz w:val="18"/>
                          </w:rPr>
                        </w:pPr>
                        <w:r>
                          <w:rPr>
                            <w:rFonts w:ascii="Times New Roman"/>
                            <w:sz w:val="18"/>
                          </w:rPr>
                          <w:t>In-place rent</w:t>
                        </w:r>
                      </w:p>
                    </w:tc>
                    <w:tc>
                      <w:tcPr>
                        <w:tcW w:w="2366" w:type="dxa"/>
                        <w:tcBorders>
                          <w:top w:val="single" w:sz="6" w:space="0" w:color="5FFF00"/>
                          <w:bottom w:val="single" w:sz="6" w:space="0" w:color="5FFF00"/>
                        </w:tcBorders>
                      </w:tcPr>
                      <w:p>
                        <w:pPr>
                          <w:pStyle w:val="TableParagraph"/>
                          <w:spacing w:line="186" w:lineRule="exact" w:before="50"/>
                          <w:ind w:left="675" w:right="745"/>
                          <w:rPr>
                            <w:rFonts w:ascii="Times New Roman"/>
                            <w:sz w:val="18"/>
                          </w:rPr>
                        </w:pPr>
                        <w:r>
                          <w:rPr>
                            <w:rFonts w:ascii="Times New Roman"/>
                            <w:sz w:val="18"/>
                          </w:rPr>
                          <w:t>INR psf/mth</w:t>
                        </w:r>
                      </w:p>
                    </w:tc>
                    <w:tc>
                      <w:tcPr>
                        <w:tcW w:w="2235" w:type="dxa"/>
                        <w:tcBorders>
                          <w:top w:val="single" w:sz="6" w:space="0" w:color="5FFF00"/>
                          <w:bottom w:val="single" w:sz="6" w:space="0" w:color="5FFF00"/>
                        </w:tcBorders>
                      </w:tcPr>
                      <w:p>
                        <w:pPr>
                          <w:pStyle w:val="TableParagraph"/>
                          <w:spacing w:line="186" w:lineRule="exact" w:before="50"/>
                          <w:ind w:left="746" w:right="811"/>
                          <w:rPr>
                            <w:rFonts w:ascii="Times New Roman"/>
                            <w:sz w:val="18"/>
                          </w:rPr>
                        </w:pPr>
                        <w:r>
                          <w:rPr>
                            <w:rFonts w:ascii="Times New Roman"/>
                            <w:sz w:val="18"/>
                          </w:rPr>
                          <w:t>34</w:t>
                        </w:r>
                      </w:p>
                    </w:tc>
                  </w:tr>
                  <w:tr>
                    <w:trPr>
                      <w:trHeight w:val="208" w:hRule="atLeast"/>
                    </w:trPr>
                    <w:tc>
                      <w:tcPr>
                        <w:tcW w:w="4035" w:type="dxa"/>
                        <w:tcBorders>
                          <w:top w:val="single" w:sz="6" w:space="0" w:color="5FFF00"/>
                          <w:bottom w:val="single" w:sz="6" w:space="0" w:color="5FFF00"/>
                        </w:tcBorders>
                      </w:tcPr>
                      <w:p>
                        <w:pPr>
                          <w:pStyle w:val="TableParagraph"/>
                          <w:spacing w:line="188" w:lineRule="exact"/>
                          <w:ind w:left="676" w:right="675"/>
                          <w:rPr>
                            <w:rFonts w:ascii="Times New Roman" w:hAnsi="Times New Roman"/>
                            <w:sz w:val="18"/>
                          </w:rPr>
                        </w:pPr>
                        <w:r>
                          <w:rPr>
                            <w:rFonts w:ascii="Times New Roman" w:hAnsi="Times New Roman"/>
                            <w:sz w:val="18"/>
                          </w:rPr>
                          <w:t>Marginal rent – IT office component</w:t>
                        </w:r>
                      </w:p>
                    </w:tc>
                    <w:tc>
                      <w:tcPr>
                        <w:tcW w:w="2366" w:type="dxa"/>
                        <w:tcBorders>
                          <w:top w:val="single" w:sz="6" w:space="0" w:color="5FFF00"/>
                          <w:bottom w:val="single" w:sz="6" w:space="0" w:color="5FFF00"/>
                        </w:tcBorders>
                      </w:tcPr>
                      <w:p>
                        <w:pPr>
                          <w:pStyle w:val="TableParagraph"/>
                          <w:spacing w:line="188" w:lineRule="exact"/>
                          <w:ind w:left="675" w:right="745"/>
                          <w:rPr>
                            <w:rFonts w:ascii="Times New Roman"/>
                            <w:sz w:val="18"/>
                          </w:rPr>
                        </w:pPr>
                        <w:r>
                          <w:rPr>
                            <w:rFonts w:ascii="Times New Roman"/>
                            <w:sz w:val="18"/>
                          </w:rPr>
                          <w:t>INR psf/mth</w:t>
                        </w:r>
                      </w:p>
                    </w:tc>
                    <w:tc>
                      <w:tcPr>
                        <w:tcW w:w="2235" w:type="dxa"/>
                        <w:tcBorders>
                          <w:top w:val="single" w:sz="6" w:space="0" w:color="5FFF00"/>
                          <w:bottom w:val="single" w:sz="6" w:space="0" w:color="5FFF00"/>
                        </w:tcBorders>
                      </w:tcPr>
                      <w:p>
                        <w:pPr>
                          <w:pStyle w:val="TableParagraph"/>
                          <w:spacing w:line="188" w:lineRule="exact"/>
                          <w:ind w:left="746" w:right="811"/>
                          <w:rPr>
                            <w:rFonts w:ascii="Times New Roman"/>
                            <w:sz w:val="18"/>
                          </w:rPr>
                        </w:pPr>
                        <w:r>
                          <w:rPr>
                            <w:rFonts w:ascii="Times New Roman"/>
                            <w:sz w:val="18"/>
                          </w:rPr>
                          <w:t>45</w:t>
                        </w:r>
                      </w:p>
                    </w:tc>
                  </w:tr>
                </w:tbl>
                <w:p>
                  <w:pPr>
                    <w:pStyle w:val="BodyText"/>
                  </w:pPr>
                </w:p>
              </w:txbxContent>
            </v:textbox>
            <w10:wrap type="none"/>
          </v:shape>
        </w:pict>
      </w:r>
      <w:r>
        <w:rPr>
          <w:rFonts w:ascii="Times New Roman"/>
          <w:color w:val="16772B"/>
          <w:sz w:val="18"/>
        </w:rPr>
        <w:t>Key Assumptions:</w:t>
      </w:r>
    </w:p>
    <w:p>
      <w:pPr>
        <w:spacing w:after="0"/>
        <w:jc w:val="left"/>
        <w:rPr>
          <w:rFonts w:ascii="Times New Roman"/>
          <w:sz w:val="18"/>
        </w:rPr>
        <w:sectPr>
          <w:type w:val="continuous"/>
          <w:pgSz w:w="12240" w:h="15840"/>
          <w:pgMar w:top="800" w:bottom="280" w:left="620" w:right="580"/>
        </w:sectPr>
      </w:pPr>
    </w:p>
    <w:p>
      <w:pPr>
        <w:pStyle w:val="BodyText"/>
        <w:spacing w:before="6"/>
        <w:rPr>
          <w:rFonts w:ascii="Times New Roman"/>
          <w:sz w:val="26"/>
        </w:rPr>
      </w:pPr>
      <w:r>
        <w:rPr/>
        <w:pict>
          <v:shape style="position:absolute;margin-left:136.340012pt;margin-top:84.979965pt;width:431.4pt;height:11.9pt;mso-position-horizontal-relative:page;mso-position-vertical-relative:page;z-index:-34847744" coordorigin="2727,1700" coordsize="8628,238" path="m9052,1700l6767,1700,6753,1700,2727,1700,2727,1714,6753,1714,6767,1714,9052,1714,9052,1700xm11354,1716l2727,1716,2727,1923,2727,1937,6753,1937,6767,1937,9052,1937,9052,1923,9052,1923,9052,1937,9067,1937,11354,1937,11354,1923,11354,1716xm11354,1700l9067,1700,9052,1700,9052,1714,9067,1714,11354,1714,11354,1700xe" filled="true" fillcolor="#5fff00" stroked="false">
            <v:path arrowok="t"/>
            <v:fill type="solid"/>
            <w10:wrap type="none"/>
          </v:shape>
        </w:pict>
      </w:r>
    </w:p>
    <w:tbl>
      <w:tblPr>
        <w:tblW w:w="0" w:type="auto"/>
        <w:jc w:val="left"/>
        <w:tblInd w:w="2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06"/>
        <w:gridCol w:w="3331"/>
        <w:gridCol w:w="2180"/>
      </w:tblGrid>
      <w:tr>
        <w:trPr>
          <w:trHeight w:val="206" w:hRule="atLeast"/>
        </w:trPr>
        <w:tc>
          <w:tcPr>
            <w:tcW w:w="5006" w:type="dxa"/>
          </w:tcPr>
          <w:p>
            <w:pPr>
              <w:pStyle w:val="TableParagraph"/>
              <w:spacing w:line="186" w:lineRule="exact"/>
              <w:ind w:right="244"/>
              <w:jc w:val="right"/>
              <w:rPr>
                <w:rFonts w:ascii="Times New Roman"/>
                <w:sz w:val="18"/>
              </w:rPr>
            </w:pPr>
            <w:r>
              <w:rPr>
                <w:rFonts w:ascii="Times New Roman"/>
                <w:sz w:val="18"/>
              </w:rPr>
              <w:t>Parking rent (Effective)</w:t>
            </w:r>
          </w:p>
        </w:tc>
        <w:tc>
          <w:tcPr>
            <w:tcW w:w="3331" w:type="dxa"/>
          </w:tcPr>
          <w:p>
            <w:pPr>
              <w:pStyle w:val="TableParagraph"/>
              <w:spacing w:line="186" w:lineRule="exact"/>
              <w:ind w:left="1539"/>
              <w:jc w:val="left"/>
              <w:rPr>
                <w:rFonts w:ascii="Times New Roman"/>
                <w:sz w:val="18"/>
              </w:rPr>
            </w:pPr>
            <w:r>
              <w:rPr>
                <w:rFonts w:ascii="Times New Roman"/>
                <w:sz w:val="18"/>
              </w:rPr>
              <w:t>INR / bay/mth</w:t>
            </w:r>
          </w:p>
        </w:tc>
        <w:tc>
          <w:tcPr>
            <w:tcW w:w="2180" w:type="dxa"/>
          </w:tcPr>
          <w:p>
            <w:pPr>
              <w:pStyle w:val="TableParagraph"/>
              <w:spacing w:line="186" w:lineRule="exact"/>
              <w:ind w:right="116"/>
              <w:rPr>
                <w:rFonts w:ascii="Times New Roman"/>
                <w:sz w:val="18"/>
              </w:rPr>
            </w:pPr>
            <w:r>
              <w:rPr>
                <w:rFonts w:ascii="Times New Roman"/>
                <w:w w:val="99"/>
                <w:sz w:val="18"/>
              </w:rPr>
              <w:t>-</w:t>
            </w:r>
          </w:p>
        </w:tc>
      </w:tr>
      <w:tr>
        <w:trPr>
          <w:trHeight w:val="223" w:hRule="atLeast"/>
        </w:trPr>
        <w:tc>
          <w:tcPr>
            <w:tcW w:w="5006" w:type="dxa"/>
          </w:tcPr>
          <w:p>
            <w:pPr>
              <w:pStyle w:val="TableParagraph"/>
              <w:jc w:val="left"/>
              <w:rPr>
                <w:rFonts w:ascii="Times New Roman"/>
                <w:sz w:val="14"/>
              </w:rPr>
            </w:pPr>
          </w:p>
        </w:tc>
        <w:tc>
          <w:tcPr>
            <w:tcW w:w="3331" w:type="dxa"/>
            <w:shd w:val="clear" w:color="auto" w:fill="5FFF00"/>
          </w:tcPr>
          <w:p>
            <w:pPr>
              <w:pStyle w:val="TableParagraph"/>
              <w:spacing w:line="194" w:lineRule="exact" w:before="9"/>
              <w:ind w:left="188"/>
              <w:jc w:val="left"/>
              <w:rPr>
                <w:rFonts w:ascii="Times New Roman"/>
                <w:sz w:val="18"/>
              </w:rPr>
            </w:pPr>
            <w:r>
              <w:rPr>
                <w:rFonts w:ascii="Times New Roman"/>
                <w:sz w:val="18"/>
              </w:rPr>
              <w:t>Other financial assumptions</w:t>
            </w:r>
          </w:p>
        </w:tc>
        <w:tc>
          <w:tcPr>
            <w:tcW w:w="2180" w:type="dxa"/>
            <w:shd w:val="clear" w:color="auto" w:fill="5FFF00"/>
          </w:tcPr>
          <w:p>
            <w:pPr>
              <w:pStyle w:val="TableParagraph"/>
              <w:jc w:val="left"/>
              <w:rPr>
                <w:rFonts w:ascii="Times New Roman"/>
                <w:sz w:val="14"/>
              </w:rPr>
            </w:pPr>
          </w:p>
        </w:tc>
      </w:tr>
      <w:tr>
        <w:trPr>
          <w:trHeight w:val="213" w:hRule="atLeast"/>
        </w:trPr>
        <w:tc>
          <w:tcPr>
            <w:tcW w:w="5006" w:type="dxa"/>
            <w:tcBorders>
              <w:bottom w:val="single" w:sz="6" w:space="0" w:color="5FFF00"/>
            </w:tcBorders>
          </w:tcPr>
          <w:p>
            <w:pPr>
              <w:pStyle w:val="TableParagraph"/>
              <w:spacing w:line="186" w:lineRule="exact" w:before="7"/>
              <w:ind w:right="798"/>
              <w:jc w:val="right"/>
              <w:rPr>
                <w:rFonts w:ascii="Times New Roman"/>
                <w:sz w:val="18"/>
              </w:rPr>
            </w:pPr>
            <w:r>
              <w:rPr>
                <w:rFonts w:ascii="Times New Roman"/>
                <w:sz w:val="18"/>
              </w:rPr>
              <w:t>Cap rate</w:t>
            </w:r>
          </w:p>
        </w:tc>
        <w:tc>
          <w:tcPr>
            <w:tcW w:w="3331" w:type="dxa"/>
            <w:tcBorders>
              <w:bottom w:val="single" w:sz="6" w:space="0" w:color="5FFF00"/>
            </w:tcBorders>
          </w:tcPr>
          <w:p>
            <w:pPr>
              <w:pStyle w:val="TableParagraph"/>
              <w:spacing w:line="186" w:lineRule="exact" w:before="7"/>
              <w:ind w:left="792"/>
              <w:rPr>
                <w:rFonts w:ascii="Times New Roman"/>
                <w:sz w:val="18"/>
              </w:rPr>
            </w:pPr>
            <w:r>
              <w:rPr>
                <w:rFonts w:ascii="Times New Roman"/>
                <w:w w:val="99"/>
                <w:sz w:val="18"/>
              </w:rPr>
              <w:t>%</w:t>
            </w:r>
          </w:p>
        </w:tc>
        <w:tc>
          <w:tcPr>
            <w:tcW w:w="2180" w:type="dxa"/>
            <w:tcBorders>
              <w:bottom w:val="single" w:sz="6" w:space="0" w:color="5FFF00"/>
            </w:tcBorders>
          </w:tcPr>
          <w:p>
            <w:pPr>
              <w:pStyle w:val="TableParagraph"/>
              <w:spacing w:line="186" w:lineRule="exact" w:before="7"/>
              <w:ind w:left="796"/>
              <w:jc w:val="left"/>
              <w:rPr>
                <w:rFonts w:ascii="Times New Roman"/>
                <w:sz w:val="18"/>
              </w:rPr>
            </w:pPr>
            <w:r>
              <w:rPr>
                <w:rFonts w:ascii="Times New Roman"/>
                <w:sz w:val="18"/>
              </w:rPr>
              <w:t>8.25%</w:t>
            </w:r>
          </w:p>
        </w:tc>
      </w:tr>
      <w:tr>
        <w:trPr>
          <w:trHeight w:val="208" w:hRule="atLeast"/>
        </w:trPr>
        <w:tc>
          <w:tcPr>
            <w:tcW w:w="5006" w:type="dxa"/>
            <w:tcBorders>
              <w:top w:val="single" w:sz="6" w:space="0" w:color="5FFF00"/>
              <w:bottom w:val="single" w:sz="6" w:space="0" w:color="5FFF00"/>
            </w:tcBorders>
          </w:tcPr>
          <w:p>
            <w:pPr>
              <w:pStyle w:val="TableParagraph"/>
              <w:spacing w:line="186" w:lineRule="exact" w:before="2"/>
              <w:ind w:right="185"/>
              <w:jc w:val="right"/>
              <w:rPr>
                <w:rFonts w:ascii="Times New Roman"/>
                <w:sz w:val="18"/>
              </w:rPr>
            </w:pPr>
            <w:r>
              <w:rPr>
                <w:rFonts w:ascii="Times New Roman"/>
                <w:sz w:val="18"/>
              </w:rPr>
              <w:t>WACC rate (operational)</w:t>
            </w:r>
          </w:p>
        </w:tc>
        <w:tc>
          <w:tcPr>
            <w:tcW w:w="3331" w:type="dxa"/>
            <w:tcBorders>
              <w:top w:val="single" w:sz="6" w:space="0" w:color="5FFF00"/>
              <w:bottom w:val="single" w:sz="6" w:space="0" w:color="5FFF00"/>
            </w:tcBorders>
          </w:tcPr>
          <w:p>
            <w:pPr>
              <w:pStyle w:val="TableParagraph"/>
              <w:spacing w:line="186" w:lineRule="exact" w:before="2"/>
              <w:ind w:left="792"/>
              <w:rPr>
                <w:rFonts w:ascii="Times New Roman"/>
                <w:sz w:val="18"/>
              </w:rPr>
            </w:pPr>
            <w:r>
              <w:rPr>
                <w:rFonts w:ascii="Times New Roman"/>
                <w:w w:val="99"/>
                <w:sz w:val="18"/>
              </w:rPr>
              <w:t>%</w:t>
            </w:r>
          </w:p>
        </w:tc>
        <w:tc>
          <w:tcPr>
            <w:tcW w:w="2180" w:type="dxa"/>
            <w:tcBorders>
              <w:top w:val="single" w:sz="6" w:space="0" w:color="5FFF00"/>
              <w:bottom w:val="single" w:sz="6" w:space="0" w:color="5FFF00"/>
            </w:tcBorders>
          </w:tcPr>
          <w:p>
            <w:pPr>
              <w:pStyle w:val="TableParagraph"/>
              <w:spacing w:line="186" w:lineRule="exact" w:before="2"/>
              <w:ind w:left="753"/>
              <w:jc w:val="left"/>
              <w:rPr>
                <w:rFonts w:ascii="Times New Roman"/>
                <w:sz w:val="18"/>
              </w:rPr>
            </w:pPr>
            <w:r>
              <w:rPr>
                <w:rFonts w:ascii="Times New Roman"/>
                <w:sz w:val="18"/>
              </w:rPr>
              <w:t>12.03%</w:t>
            </w:r>
          </w:p>
        </w:tc>
      </w:tr>
      <w:tr>
        <w:trPr>
          <w:trHeight w:val="345" w:hRule="atLeast"/>
        </w:trPr>
        <w:tc>
          <w:tcPr>
            <w:tcW w:w="5006" w:type="dxa"/>
            <w:tcBorders>
              <w:top w:val="single" w:sz="6" w:space="0" w:color="5FFF00"/>
            </w:tcBorders>
          </w:tcPr>
          <w:p>
            <w:pPr>
              <w:pStyle w:val="TableParagraph"/>
              <w:tabs>
                <w:tab w:pos="1886" w:val="left" w:leader="none"/>
              </w:tabs>
              <w:spacing w:line="187" w:lineRule="exact" w:before="139"/>
              <w:ind w:left="50"/>
              <w:jc w:val="left"/>
              <w:rPr>
                <w:rFonts w:ascii="Times New Roman"/>
                <w:b/>
                <w:sz w:val="18"/>
              </w:rPr>
            </w:pPr>
            <w:r>
              <w:rPr>
                <w:rFonts w:ascii="Times New Roman"/>
                <w:color w:val="16772B"/>
                <w:sz w:val="18"/>
              </w:rPr>
              <w:t>Market</w:t>
            </w:r>
            <w:r>
              <w:rPr>
                <w:rFonts w:ascii="Times New Roman"/>
                <w:color w:val="16772B"/>
                <w:spacing w:val="-1"/>
                <w:sz w:val="18"/>
              </w:rPr>
              <w:t> </w:t>
            </w:r>
            <w:r>
              <w:rPr>
                <w:rFonts w:ascii="Times New Roman"/>
                <w:color w:val="16772B"/>
                <w:sz w:val="18"/>
              </w:rPr>
              <w:t>Value:</w:t>
              <w:tab/>
            </w:r>
            <w:r>
              <w:rPr>
                <w:rFonts w:ascii="Times New Roman"/>
                <w:b/>
                <w:sz w:val="18"/>
              </w:rPr>
              <w:t>INR 8,696</w:t>
            </w:r>
            <w:r>
              <w:rPr>
                <w:rFonts w:ascii="Times New Roman"/>
                <w:b/>
                <w:spacing w:val="1"/>
                <w:sz w:val="18"/>
              </w:rPr>
              <w:t> </w:t>
            </w:r>
            <w:r>
              <w:rPr>
                <w:rFonts w:ascii="Times New Roman"/>
                <w:b/>
                <w:sz w:val="18"/>
              </w:rPr>
              <w:t>Mn</w:t>
            </w:r>
          </w:p>
        </w:tc>
        <w:tc>
          <w:tcPr>
            <w:tcW w:w="3331" w:type="dxa"/>
            <w:tcBorders>
              <w:top w:val="single" w:sz="6" w:space="0" w:color="5FFF00"/>
            </w:tcBorders>
          </w:tcPr>
          <w:p>
            <w:pPr>
              <w:pStyle w:val="TableParagraph"/>
              <w:jc w:val="left"/>
              <w:rPr>
                <w:rFonts w:ascii="Times New Roman"/>
                <w:sz w:val="16"/>
              </w:rPr>
            </w:pPr>
          </w:p>
        </w:tc>
        <w:tc>
          <w:tcPr>
            <w:tcW w:w="2180" w:type="dxa"/>
            <w:tcBorders>
              <w:top w:val="single" w:sz="6" w:space="0" w:color="5FFF00"/>
            </w:tcBorders>
          </w:tcPr>
          <w:p>
            <w:pPr>
              <w:pStyle w:val="TableParagraph"/>
              <w:jc w:val="left"/>
              <w:rPr>
                <w:rFonts w:ascii="Times New Roman"/>
                <w:sz w:val="16"/>
              </w:rPr>
            </w:pPr>
          </w:p>
        </w:tc>
      </w:tr>
    </w:tbl>
    <w:p>
      <w:pPr>
        <w:spacing w:after="0"/>
        <w:jc w:val="left"/>
        <w:rPr>
          <w:rFonts w:ascii="Times New Roman"/>
          <w:sz w:val="16"/>
        </w:rPr>
        <w:sectPr>
          <w:pgSz w:w="12240" w:h="15840"/>
          <w:pgMar w:header="728" w:footer="1174" w:top="1180" w:bottom="1460" w:left="620" w:right="580"/>
        </w:sectPr>
      </w:pPr>
    </w:p>
    <w:p>
      <w:pPr>
        <w:pStyle w:val="BodyText"/>
        <w:rPr>
          <w:rFonts w:ascii="Times New Roman"/>
          <w:sz w:val="18"/>
        </w:rPr>
      </w:pPr>
    </w:p>
    <w:p>
      <w:pPr>
        <w:pStyle w:val="ListParagraph"/>
        <w:numPr>
          <w:ilvl w:val="1"/>
          <w:numId w:val="1"/>
        </w:numPr>
        <w:tabs>
          <w:tab w:pos="1540" w:val="left" w:leader="none"/>
          <w:tab w:pos="1541" w:val="left" w:leader="none"/>
        </w:tabs>
        <w:spacing w:line="240" w:lineRule="auto" w:before="91" w:after="0"/>
        <w:ind w:left="1540" w:right="0" w:hanging="721"/>
        <w:jc w:val="left"/>
        <w:rPr>
          <w:rFonts w:ascii="Times New Roman"/>
          <w:color w:val="1E6C28"/>
          <w:sz w:val="20"/>
        </w:rPr>
      </w:pPr>
      <w:r>
        <w:rPr>
          <w:rFonts w:ascii="Times New Roman"/>
          <w:color w:val="1E6C28"/>
          <w:sz w:val="20"/>
        </w:rPr>
        <w:t>Embassy</w:t>
      </w:r>
      <w:r>
        <w:rPr>
          <w:rFonts w:ascii="Times New Roman"/>
          <w:color w:val="1E6C28"/>
          <w:spacing w:val="1"/>
          <w:sz w:val="20"/>
        </w:rPr>
        <w:t> </w:t>
      </w:r>
      <w:r>
        <w:rPr>
          <w:rFonts w:ascii="Times New Roman"/>
          <w:color w:val="1E6C28"/>
          <w:sz w:val="20"/>
        </w:rPr>
        <w:t>GolfLinks</w:t>
      </w:r>
    </w:p>
    <w:p>
      <w:pPr>
        <w:pStyle w:val="BodyText"/>
        <w:rPr>
          <w:rFonts w:ascii="Times New Roman"/>
        </w:rPr>
      </w:pPr>
    </w:p>
    <w:p>
      <w:pPr>
        <w:spacing w:line="207" w:lineRule="exact" w:before="155"/>
        <w:ind w:left="265" w:right="0" w:firstLine="0"/>
        <w:jc w:val="left"/>
        <w:rPr>
          <w:rFonts w:ascii="Times New Roman"/>
          <w:sz w:val="18"/>
        </w:rPr>
      </w:pPr>
      <w:r>
        <w:rPr>
          <w:rFonts w:ascii="Times New Roman"/>
          <w:color w:val="16772B"/>
          <w:sz w:val="18"/>
        </w:rPr>
        <w:t>Property</w:t>
      </w:r>
    </w:p>
    <w:p>
      <w:pPr>
        <w:tabs>
          <w:tab w:pos="1379" w:val="left" w:leader="none"/>
        </w:tabs>
        <w:spacing w:line="207" w:lineRule="exact" w:before="0"/>
        <w:ind w:left="265" w:right="0" w:firstLine="0"/>
        <w:jc w:val="left"/>
        <w:rPr>
          <w:rFonts w:ascii="Times New Roman"/>
          <w:sz w:val="18"/>
        </w:rPr>
      </w:pPr>
      <w:r>
        <w:rPr>
          <w:rFonts w:ascii="Times New Roman"/>
          <w:color w:val="16772B"/>
          <w:sz w:val="18"/>
        </w:rPr>
        <w:t>Name:</w:t>
        <w:tab/>
      </w:r>
      <w:r>
        <w:rPr>
          <w:rFonts w:ascii="Times New Roman"/>
          <w:sz w:val="18"/>
        </w:rPr>
        <w:t>Embassy GolfLinks is an office asset located along Intermediate Ring Road, Bengaluru,</w:t>
      </w:r>
      <w:r>
        <w:rPr>
          <w:rFonts w:ascii="Times New Roman"/>
          <w:spacing w:val="-3"/>
          <w:sz w:val="18"/>
        </w:rPr>
        <w:t> </w:t>
      </w:r>
      <w:r>
        <w:rPr>
          <w:rFonts w:ascii="Times New Roman"/>
          <w:sz w:val="18"/>
        </w:rPr>
        <w:t>Karnataka</w:t>
      </w:r>
    </w:p>
    <w:p>
      <w:pPr>
        <w:pStyle w:val="BodyText"/>
        <w:spacing w:before="9"/>
        <w:rPr>
          <w:rFonts w:ascii="Times New Roman"/>
          <w:sz w:val="20"/>
        </w:rPr>
      </w:pPr>
    </w:p>
    <w:p>
      <w:pPr>
        <w:spacing w:before="1"/>
        <w:ind w:left="265" w:right="0" w:firstLine="0"/>
        <w:jc w:val="left"/>
        <w:rPr>
          <w:rFonts w:ascii="Times New Roman"/>
          <w:sz w:val="18"/>
        </w:rPr>
      </w:pPr>
      <w:r>
        <w:rPr>
          <w:rFonts w:ascii="Times New Roman"/>
          <w:color w:val="16772B"/>
          <w:sz w:val="18"/>
        </w:rPr>
        <w:t>Property</w:t>
      </w:r>
    </w:p>
    <w:p>
      <w:pPr>
        <w:tabs>
          <w:tab w:pos="1379" w:val="left" w:leader="none"/>
        </w:tabs>
        <w:spacing w:before="1"/>
        <w:ind w:left="265" w:right="0" w:firstLine="0"/>
        <w:jc w:val="left"/>
        <w:rPr>
          <w:rFonts w:ascii="Times New Roman"/>
          <w:sz w:val="18"/>
        </w:rPr>
      </w:pPr>
      <w:r>
        <w:rPr>
          <w:rFonts w:ascii="Times New Roman"/>
          <w:color w:val="16772B"/>
          <w:sz w:val="18"/>
        </w:rPr>
        <w:t>Address:</w:t>
        <w:tab/>
      </w:r>
      <w:r>
        <w:rPr>
          <w:rFonts w:ascii="Times New Roman"/>
          <w:sz w:val="18"/>
        </w:rPr>
        <w:t>Challaghatta Village, Varthur Hobli, Mahadevapura, Bengaluru East Taluk, Bengaluru,</w:t>
      </w:r>
      <w:r>
        <w:rPr>
          <w:rFonts w:ascii="Times New Roman"/>
          <w:spacing w:val="-6"/>
          <w:sz w:val="18"/>
        </w:rPr>
        <w:t> </w:t>
      </w:r>
      <w:r>
        <w:rPr>
          <w:rFonts w:ascii="Times New Roman"/>
          <w:sz w:val="18"/>
        </w:rPr>
        <w:t>Karnataka</w:t>
      </w:r>
    </w:p>
    <w:p>
      <w:pPr>
        <w:pStyle w:val="BodyText"/>
        <w:spacing w:before="10"/>
        <w:rPr>
          <w:rFonts w:ascii="Times New Roman"/>
          <w:sz w:val="20"/>
        </w:rPr>
      </w:pPr>
    </w:p>
    <w:p>
      <w:pPr>
        <w:tabs>
          <w:tab w:pos="1379" w:val="left" w:leader="none"/>
        </w:tabs>
        <w:spacing w:before="0"/>
        <w:ind w:left="1379" w:right="306" w:hanging="1115"/>
        <w:jc w:val="left"/>
        <w:rPr>
          <w:rFonts w:ascii="Times New Roman"/>
          <w:sz w:val="18"/>
        </w:rPr>
      </w:pPr>
      <w:r>
        <w:rPr>
          <w:rFonts w:ascii="Times New Roman"/>
          <w:color w:val="16772B"/>
          <w:sz w:val="18"/>
        </w:rPr>
        <w:t>Land Area:</w:t>
        <w:tab/>
      </w:r>
      <w:r>
        <w:rPr>
          <w:rFonts w:ascii="Times New Roman"/>
          <w:sz w:val="18"/>
        </w:rPr>
        <w:t>Based on review of the title report, the Valuer understands that the total land area of the subject property under the ownership of the Client is approximately 37.11</w:t>
      </w:r>
      <w:r>
        <w:rPr>
          <w:rFonts w:ascii="Times New Roman"/>
          <w:spacing w:val="-4"/>
          <w:sz w:val="18"/>
        </w:rPr>
        <w:t> </w:t>
      </w:r>
      <w:r>
        <w:rPr>
          <w:rFonts w:ascii="Times New Roman"/>
          <w:sz w:val="18"/>
        </w:rPr>
        <w:t>acres.</w:t>
      </w:r>
    </w:p>
    <w:p>
      <w:pPr>
        <w:pStyle w:val="BodyText"/>
        <w:spacing w:before="8"/>
        <w:rPr>
          <w:rFonts w:ascii="Times New Roman"/>
          <w:sz w:val="12"/>
        </w:rPr>
      </w:pPr>
    </w:p>
    <w:p>
      <w:pPr>
        <w:spacing w:after="0"/>
        <w:rPr>
          <w:rFonts w:ascii="Times New Roman"/>
          <w:sz w:val="12"/>
        </w:rPr>
        <w:sectPr>
          <w:pgSz w:w="12240" w:h="15840"/>
          <w:pgMar w:header="728" w:footer="1174" w:top="1180" w:bottom="1460" w:left="620" w:right="580"/>
        </w:sectPr>
      </w:pPr>
    </w:p>
    <w:p>
      <w:pPr>
        <w:spacing w:before="93"/>
        <w:ind w:left="265" w:right="-17" w:firstLine="0"/>
        <w:jc w:val="left"/>
        <w:rPr>
          <w:rFonts w:ascii="Times New Roman"/>
          <w:sz w:val="18"/>
        </w:rPr>
      </w:pPr>
      <w:r>
        <w:rPr>
          <w:rFonts w:ascii="Times New Roman"/>
          <w:color w:val="16772B"/>
          <w:sz w:val="18"/>
        </w:rPr>
        <w:t>Brief Description:</w:t>
      </w:r>
    </w:p>
    <w:p>
      <w:pPr>
        <w:spacing w:before="93"/>
        <w:ind w:left="182" w:right="301" w:firstLine="0"/>
        <w:jc w:val="both"/>
        <w:rPr>
          <w:rFonts w:ascii="Times New Roman" w:hAnsi="Times New Roman"/>
          <w:sz w:val="18"/>
        </w:rPr>
      </w:pPr>
      <w:r>
        <w:rPr/>
        <w:br w:type="column"/>
      </w:r>
      <w:r>
        <w:rPr>
          <w:rFonts w:ascii="Times New Roman" w:hAnsi="Times New Roman"/>
          <w:sz w:val="18"/>
        </w:rPr>
        <w:t>The subject property, “Embassy GolfLinks”, is an operational office asset located along Intermediate Ring Road, Bengaluru. This office asset has a total leasable area of approximately 4.5 msf. The interest being valued corresponds to approximately 2.7 msf of office area which forms part of the economic interest of the Client. The larger development also includes an operational hotel (Hilton at Embassy GolfLinks). The immediate surroundings of the subject property comprises of large aggregates of land owned by the Defence Services of the Country Karnataka Golf Association’s operational golf course, Diamond District, DivyaSree Greens, Maruthi Infotech Park, etc. In addition, the subject property is located in proximity to locations such as Indiranagar, Koramangala etc., which are considered as established residential and commercial locations within the city.</w:t>
      </w:r>
    </w:p>
    <w:p>
      <w:pPr>
        <w:pStyle w:val="BodyText"/>
        <w:spacing w:before="1"/>
        <w:rPr>
          <w:rFonts w:ascii="Times New Roman"/>
          <w:sz w:val="24"/>
        </w:rPr>
      </w:pPr>
    </w:p>
    <w:p>
      <w:pPr>
        <w:spacing w:before="0"/>
        <w:ind w:left="182" w:right="301" w:firstLine="0"/>
        <w:jc w:val="both"/>
        <w:rPr>
          <w:rFonts w:ascii="Times New Roman" w:hAnsi="Times New Roman"/>
          <w:sz w:val="18"/>
        </w:rPr>
      </w:pPr>
      <w:r>
        <w:rPr>
          <w:rFonts w:ascii="Times New Roman" w:hAnsi="Times New Roman"/>
          <w:sz w:val="18"/>
        </w:rPr>
        <w:t>The subject property is located at a distance of approximately &lt;1 km from the Domlur flyover, 1 – 2 km from Indiranagar, 2-3 km from Koramangala, 7-8 km from MG Road and approximately 43 - 45 km from Bengaluru International</w:t>
      </w:r>
      <w:r>
        <w:rPr>
          <w:rFonts w:ascii="Times New Roman" w:hAnsi="Times New Roman"/>
          <w:spacing w:val="-13"/>
          <w:sz w:val="18"/>
        </w:rPr>
        <w:t> </w:t>
      </w:r>
      <w:r>
        <w:rPr>
          <w:rFonts w:ascii="Times New Roman" w:hAnsi="Times New Roman"/>
          <w:sz w:val="18"/>
        </w:rPr>
        <w:t>Airport.</w:t>
      </w:r>
    </w:p>
    <w:p>
      <w:pPr>
        <w:spacing w:after="0"/>
        <w:jc w:val="both"/>
        <w:rPr>
          <w:rFonts w:ascii="Times New Roman" w:hAnsi="Times New Roman"/>
          <w:sz w:val="18"/>
        </w:rPr>
        <w:sectPr>
          <w:type w:val="continuous"/>
          <w:pgSz w:w="12240" w:h="15840"/>
          <w:pgMar w:top="800" w:bottom="280" w:left="620" w:right="580"/>
          <w:cols w:num="2" w:equalWidth="0">
            <w:col w:w="1158" w:space="40"/>
            <w:col w:w="9842"/>
          </w:cols>
        </w:sectPr>
      </w:pPr>
    </w:p>
    <w:p>
      <w:pPr>
        <w:pStyle w:val="BodyText"/>
        <w:spacing w:before="7"/>
        <w:rPr>
          <w:rFonts w:ascii="Times New Roman"/>
          <w:sz w:val="14"/>
        </w:rPr>
      </w:pPr>
    </w:p>
    <w:p>
      <w:pPr>
        <w:spacing w:after="0"/>
        <w:rPr>
          <w:rFonts w:ascii="Times New Roman"/>
          <w:sz w:val="14"/>
        </w:rPr>
        <w:sectPr>
          <w:type w:val="continuous"/>
          <w:pgSz w:w="12240" w:h="15840"/>
          <w:pgMar w:top="800" w:bottom="280" w:left="620" w:right="580"/>
        </w:sectPr>
      </w:pPr>
    </w:p>
    <w:p>
      <w:pPr>
        <w:spacing w:before="92"/>
        <w:ind w:left="265" w:right="-18" w:firstLine="0"/>
        <w:jc w:val="left"/>
        <w:rPr>
          <w:rFonts w:ascii="Times New Roman"/>
          <w:sz w:val="18"/>
        </w:rPr>
      </w:pPr>
      <w:r>
        <w:rPr>
          <w:rFonts w:ascii="Times New Roman"/>
          <w:color w:val="16772B"/>
          <w:sz w:val="18"/>
        </w:rPr>
        <w:t>Statement of Assets (sf):</w:t>
      </w:r>
    </w:p>
    <w:p>
      <w:pPr>
        <w:spacing w:before="92"/>
        <w:ind w:left="158" w:right="299" w:firstLine="0"/>
        <w:jc w:val="both"/>
        <w:rPr>
          <w:rFonts w:ascii="Times New Roman" w:hAnsi="Times New Roman"/>
          <w:sz w:val="18"/>
        </w:rPr>
      </w:pPr>
      <w:r>
        <w:rPr/>
        <w:br w:type="column"/>
      </w:r>
      <w:r>
        <w:rPr>
          <w:rFonts w:ascii="Times New Roman" w:hAnsi="Times New Roman"/>
          <w:sz w:val="18"/>
        </w:rPr>
        <w:t>Based on review of various documents (such as rent roll, Architect’s Certificate, etc.), the subject property is an operational office asset with approximately 2.7 msf of completed leasable area and is 98.3% occupied as on the date of valuation. Table below highlights the leasable area for subject property that form part of the subject</w:t>
      </w:r>
      <w:r>
        <w:rPr>
          <w:rFonts w:ascii="Times New Roman" w:hAnsi="Times New Roman"/>
          <w:spacing w:val="-9"/>
          <w:sz w:val="18"/>
        </w:rPr>
        <w:t> </w:t>
      </w:r>
      <w:r>
        <w:rPr>
          <w:rFonts w:ascii="Times New Roman" w:hAnsi="Times New Roman"/>
          <w:sz w:val="18"/>
        </w:rPr>
        <w:t>development:</w:t>
      </w:r>
    </w:p>
    <w:p>
      <w:pPr>
        <w:spacing w:after="0"/>
        <w:jc w:val="both"/>
        <w:rPr>
          <w:rFonts w:ascii="Times New Roman" w:hAnsi="Times New Roman"/>
          <w:sz w:val="18"/>
        </w:rPr>
        <w:sectPr>
          <w:type w:val="continuous"/>
          <w:pgSz w:w="12240" w:h="15840"/>
          <w:pgMar w:top="800" w:bottom="280" w:left="620" w:right="580"/>
          <w:cols w:num="2" w:equalWidth="0">
            <w:col w:w="1182" w:space="40"/>
            <w:col w:w="9818"/>
          </w:cols>
        </w:sectPr>
      </w:pPr>
    </w:p>
    <w:p>
      <w:pPr>
        <w:pStyle w:val="BodyText"/>
        <w:spacing w:before="9"/>
        <w:rPr>
          <w:rFonts w:ascii="Times New Roman"/>
          <w:sz w:val="25"/>
        </w:rPr>
      </w:pPr>
    </w:p>
    <w:p>
      <w:pPr>
        <w:pStyle w:val="BodyText"/>
        <w:ind w:left="1379"/>
        <w:rPr>
          <w:rFonts w:ascii="Times New Roman"/>
          <w:sz w:val="20"/>
        </w:rPr>
      </w:pPr>
      <w:r>
        <w:rPr>
          <w:rFonts w:ascii="Times New Roman"/>
          <w:sz w:val="20"/>
        </w:rPr>
        <w:pict>
          <v:group style="width:467.75pt;height:12.6pt;mso-position-horizontal-relative:char;mso-position-vertical-relative:line" coordorigin="0,0" coordsize="9355,252">
            <v:shape style="position:absolute;left:0;top:28;width:9355;height:209" coordorigin="0,29" coordsize="9355,209" path="m3272,29l0,29,0,238,3272,238,3272,29xm9355,29l3272,29,3272,238,9355,238,9355,29xe" filled="true" fillcolor="#16772b" stroked="false">
              <v:path arrowok="t"/>
              <v:fill type="solid"/>
            </v:shape>
            <v:rect style="position:absolute;left:0;top:0;width:3272;height:29" filled="true" fillcolor="#1e7504" stroked="false">
              <v:fill type="solid"/>
            </v:rect>
            <v:shape style="position:absolute;left:0;top:28;width:3301;height:3" coordorigin="0,29" coordsize="3301,3" path="m3272,29l0,29,0,31,3272,31,3272,29xm3301,29l3272,29,3272,31,3301,31,3301,29xe" filled="true" fillcolor="#16772b" stroked="false">
              <v:path arrowok="t"/>
              <v:fill type="solid"/>
            </v:shape>
            <v:shape style="position:absolute;left:3271;top:0;width:6083;height:29" coordorigin="3272,0" coordsize="6083,29" path="m9355,0l3301,0,3272,0,3272,29,3301,29,9355,29,9355,0xe" filled="true" fillcolor="#1e7504" stroked="false">
              <v:path arrowok="t"/>
              <v:fill type="solid"/>
            </v:shape>
            <v:rect style="position:absolute;left:3300;top:28;width:6055;height:3" filled="true" fillcolor="#16772b" stroked="false">
              <v:fill type="solid"/>
            </v:rect>
            <v:shape style="position:absolute;left:0;top:237;width:9355;height:15" coordorigin="0,238" coordsize="9355,15" path="m3272,238l0,238,0,252,3272,252,3272,238xm9355,238l3286,238,3272,238,3272,252,3286,252,9355,252,9355,238xe" filled="true" fillcolor="#5fff00" stroked="false">
              <v:path arrowok="t"/>
              <v:fill type="solid"/>
            </v:shape>
            <v:shape style="position:absolute;left:0;top:28;width:9355;height:209" type="#_x0000_t202" filled="false" stroked="false">
              <v:textbox inset="0,0,0,0">
                <w:txbxContent>
                  <w:p>
                    <w:pPr>
                      <w:tabs>
                        <w:tab w:pos="5612" w:val="left" w:leader="none"/>
                      </w:tabs>
                      <w:spacing w:before="0"/>
                      <w:ind w:left="1416" w:right="0" w:firstLine="0"/>
                      <w:jc w:val="left"/>
                      <w:rPr>
                        <w:rFonts w:ascii="Times New Roman"/>
                        <w:b/>
                        <w:sz w:val="18"/>
                      </w:rPr>
                    </w:pPr>
                    <w:r>
                      <w:rPr>
                        <w:rFonts w:ascii="Times New Roman"/>
                        <w:b/>
                        <w:color w:val="FFFFFF"/>
                        <w:sz w:val="18"/>
                      </w:rPr>
                      <w:t>Block</w:t>
                      <w:tab/>
                      <w:t>Leasable Area (sf)</w:t>
                    </w:r>
                  </w:p>
                </w:txbxContent>
              </v:textbox>
              <w10:wrap type="none"/>
            </v:shape>
          </v:group>
        </w:pict>
      </w:r>
      <w:r>
        <w:rPr>
          <w:rFonts w:ascii="Times New Roman"/>
          <w:sz w:val="20"/>
        </w:rPr>
      </w:r>
    </w:p>
    <w:p>
      <w:pPr>
        <w:tabs>
          <w:tab w:pos="4440" w:val="left" w:leader="none"/>
        </w:tabs>
        <w:spacing w:line="179" w:lineRule="exact" w:before="0"/>
        <w:ind w:left="0" w:right="93" w:firstLine="0"/>
        <w:jc w:val="center"/>
        <w:rPr>
          <w:rFonts w:ascii="Times New Roman" w:hAnsi="Times New Roman"/>
          <w:sz w:val="18"/>
        </w:rPr>
      </w:pPr>
      <w:r>
        <w:rPr>
          <w:rFonts w:ascii="Times New Roman" w:hAnsi="Times New Roman"/>
          <w:sz w:val="18"/>
        </w:rPr>
        <w:t>Office</w:t>
      </w:r>
      <w:r>
        <w:rPr>
          <w:rFonts w:ascii="Times New Roman" w:hAnsi="Times New Roman"/>
          <w:spacing w:val="-2"/>
          <w:sz w:val="18"/>
        </w:rPr>
        <w:t> </w:t>
      </w:r>
      <w:r>
        <w:rPr>
          <w:rFonts w:ascii="Times New Roman" w:hAnsi="Times New Roman"/>
          <w:sz w:val="18"/>
        </w:rPr>
        <w:t>Area</w:t>
      </w:r>
      <w:r>
        <w:rPr>
          <w:rFonts w:ascii="Times New Roman" w:hAnsi="Times New Roman"/>
          <w:spacing w:val="-2"/>
          <w:sz w:val="18"/>
        </w:rPr>
        <w:t> </w:t>
      </w:r>
      <w:r>
        <w:rPr>
          <w:rFonts w:ascii="Times New Roman" w:hAnsi="Times New Roman"/>
          <w:sz w:val="18"/>
        </w:rPr>
        <w:t>(Operational)</w:t>
        <w:tab/>
        <w:t>2,737,442 (Occupancy –</w:t>
      </w:r>
      <w:r>
        <w:rPr>
          <w:rFonts w:ascii="Times New Roman" w:hAnsi="Times New Roman"/>
          <w:spacing w:val="2"/>
          <w:sz w:val="18"/>
        </w:rPr>
        <w:t> </w:t>
      </w:r>
      <w:r>
        <w:rPr>
          <w:rFonts w:ascii="Times New Roman" w:hAnsi="Times New Roman"/>
          <w:sz w:val="18"/>
        </w:rPr>
        <w:t>98.3%)</w:t>
      </w:r>
    </w:p>
    <w:p>
      <w:pPr>
        <w:pStyle w:val="BodyText"/>
        <w:spacing w:line="20" w:lineRule="exact"/>
        <w:ind w:left="1379"/>
        <w:rPr>
          <w:rFonts w:ascii="Times New Roman"/>
          <w:sz w:val="2"/>
        </w:rPr>
      </w:pPr>
      <w:r>
        <w:rPr>
          <w:rFonts w:ascii="Times New Roman"/>
          <w:sz w:val="2"/>
        </w:rPr>
        <w:pict>
          <v:group style="width:467.75pt;height:.75pt;mso-position-horizontal-relative:char;mso-position-vertical-relative:line" coordorigin="0,0" coordsize="9355,15">
            <v:shape style="position:absolute;left:0;top:0;width:9355;height:15" coordorigin="0,0" coordsize="9355,15" path="m3272,0l0,0,0,14,3272,14,3272,0xm9355,0l3286,0,3272,0,3272,14,3286,14,9355,14,9355,0xe" filled="true" fillcolor="#5fff00" stroked="false">
              <v:path arrowok="t"/>
              <v:fill type="solid"/>
            </v:shape>
          </v:group>
        </w:pict>
      </w:r>
      <w:r>
        <w:rPr>
          <w:rFonts w:ascii="Times New Roman"/>
          <w:sz w:val="2"/>
        </w:rPr>
      </w:r>
    </w:p>
    <w:p>
      <w:pPr>
        <w:pStyle w:val="BodyText"/>
        <w:spacing w:before="3"/>
        <w:rPr>
          <w:rFonts w:ascii="Times New Roman"/>
          <w:sz w:val="12"/>
        </w:rPr>
      </w:pPr>
    </w:p>
    <w:p>
      <w:pPr>
        <w:spacing w:before="93"/>
        <w:ind w:left="1379" w:right="0" w:firstLine="0"/>
        <w:jc w:val="left"/>
        <w:rPr>
          <w:rFonts w:ascii="Times New Roman"/>
          <w:sz w:val="18"/>
        </w:rPr>
      </w:pPr>
      <w:r>
        <w:rPr>
          <w:rFonts w:ascii="Times New Roman"/>
          <w:sz w:val="18"/>
        </w:rPr>
        <w:t>Source: Source: Rent roll, lease deeds, architect certificate provided by the Client</w:t>
      </w:r>
    </w:p>
    <w:p>
      <w:pPr>
        <w:spacing w:after="0"/>
        <w:jc w:val="left"/>
        <w:rPr>
          <w:rFonts w:ascii="Times New Roman"/>
          <w:sz w:val="18"/>
        </w:rPr>
        <w:sectPr>
          <w:type w:val="continuous"/>
          <w:pgSz w:w="12240" w:h="15840"/>
          <w:pgMar w:top="800" w:bottom="280" w:left="620" w:right="580"/>
        </w:sectPr>
      </w:pPr>
    </w:p>
    <w:p>
      <w:pPr>
        <w:pStyle w:val="BodyText"/>
        <w:rPr>
          <w:rFonts w:ascii="Times New Roman"/>
          <w:sz w:val="20"/>
        </w:rPr>
      </w:pPr>
    </w:p>
    <w:p>
      <w:pPr>
        <w:pStyle w:val="BodyText"/>
        <w:spacing w:before="10"/>
        <w:rPr>
          <w:rFonts w:ascii="Times New Roman"/>
          <w:sz w:val="21"/>
        </w:rPr>
      </w:pPr>
    </w:p>
    <w:p>
      <w:pPr>
        <w:spacing w:before="92"/>
        <w:ind w:left="265" w:right="0" w:firstLine="0"/>
        <w:jc w:val="left"/>
        <w:rPr>
          <w:rFonts w:ascii="Times New Roman"/>
          <w:sz w:val="18"/>
        </w:rPr>
      </w:pPr>
      <w:r>
        <w:rPr/>
        <w:drawing>
          <wp:anchor distT="0" distB="0" distL="0" distR="0" allowOverlap="1" layoutInCell="1" locked="0" behindDoc="0" simplePos="0" relativeHeight="15782912">
            <wp:simplePos x="0" y="0"/>
            <wp:positionH relativeFrom="page">
              <wp:posOffset>1645920</wp:posOffset>
            </wp:positionH>
            <wp:positionV relativeFrom="paragraph">
              <wp:posOffset>58322</wp:posOffset>
            </wp:positionV>
            <wp:extent cx="4779009" cy="3597274"/>
            <wp:effectExtent l="0" t="0" r="0" b="0"/>
            <wp:wrapNone/>
            <wp:docPr id="33" name="image19.jpeg"/>
            <wp:cNvGraphicFramePr>
              <a:graphicFrameLocks noChangeAspect="1"/>
            </wp:cNvGraphicFramePr>
            <a:graphic>
              <a:graphicData uri="http://schemas.openxmlformats.org/drawingml/2006/picture">
                <pic:pic>
                  <pic:nvPicPr>
                    <pic:cNvPr id="34" name="image19.jpeg"/>
                    <pic:cNvPicPr/>
                  </pic:nvPicPr>
                  <pic:blipFill>
                    <a:blip r:embed="rId25" cstate="print"/>
                    <a:stretch>
                      <a:fillRect/>
                    </a:stretch>
                  </pic:blipFill>
                  <pic:spPr>
                    <a:xfrm>
                      <a:off x="0" y="0"/>
                      <a:ext cx="4779009" cy="3597274"/>
                    </a:xfrm>
                    <a:prstGeom prst="rect">
                      <a:avLst/>
                    </a:prstGeom>
                  </pic:spPr>
                </pic:pic>
              </a:graphicData>
            </a:graphic>
          </wp:anchor>
        </w:drawing>
      </w:r>
      <w:r>
        <w:rPr>
          <w:rFonts w:ascii="Times New Roman"/>
          <w:color w:val="1E6C2C"/>
          <w:sz w:val="18"/>
        </w:rPr>
        <w:t>Location Map</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166"/>
        <w:ind w:left="265" w:right="0" w:firstLine="0"/>
        <w:jc w:val="left"/>
        <w:rPr>
          <w:rFonts w:ascii="Times New Roman"/>
          <w:sz w:val="18"/>
        </w:rPr>
      </w:pPr>
      <w:r>
        <w:rPr/>
        <w:pict>
          <v:group style="position:absolute;margin-left:129.619995pt;margin-top:7.582354pt;width:438.1pt;height:22.95pt;mso-position-horizontal-relative:page;mso-position-vertical-relative:paragraph;z-index:15782400" coordorigin="2592,152" coordsize="8762,459">
            <v:shape style="position:absolute;left:2592;top:166;width:8762;height:207" coordorigin="2592,166" coordsize="8762,207" path="m8102,166l5581,166,2592,166,2592,372,5581,372,8102,372,8102,166xm11354,166l8102,166,8102,372,11354,372,11354,166xe" filled="true" fillcolor="#16772b" stroked="false">
              <v:path arrowok="t"/>
              <v:fill type="solid"/>
            </v:shape>
            <v:shape style="position:absolute;left:2592;top:151;width:8762;height:459" coordorigin="2592,152" coordsize="8762,459" path="m8102,372l5596,372,5581,372,2592,372,2592,387,5581,387,5596,387,8102,387,8102,372xm8102,152l5596,152,5581,152,2592,152,2592,166,5581,166,5596,166,8102,166,8102,152xm11354,389l2592,389,2592,596,2592,610,5581,610,5596,610,8102,610,8102,596,8102,596,8102,610,8116,610,11354,610,11354,596,11354,389xm11354,372l8116,372,8102,372,8102,387,8116,387,11354,387,11354,372xm11354,152l8116,152,8102,152,8102,166,8116,166,11354,166,11354,152xe" filled="true" fillcolor="#5fff00" stroked="false">
              <v:path arrowok="t"/>
              <v:fill type="solid"/>
            </v:shape>
            <w10:wrap type="none"/>
          </v:group>
        </w:pict>
      </w:r>
      <w:r>
        <w:rPr/>
        <w:pict>
          <v:shape style="position:absolute;margin-left:129.619995pt;margin-top:7.942354pt;width:438.1pt;height:88.7pt;mso-position-horizontal-relative:page;mso-position-vertical-relative:paragraph;z-index:157834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47"/>
                    <w:gridCol w:w="2601"/>
                    <w:gridCol w:w="2912"/>
                  </w:tblGrid>
                  <w:tr>
                    <w:trPr>
                      <w:trHeight w:val="451" w:hRule="atLeast"/>
                    </w:trPr>
                    <w:tc>
                      <w:tcPr>
                        <w:tcW w:w="8760" w:type="dxa"/>
                        <w:gridSpan w:val="3"/>
                      </w:tcPr>
                      <w:p>
                        <w:pPr>
                          <w:pStyle w:val="TableParagraph"/>
                          <w:tabs>
                            <w:tab w:pos="2978" w:val="left" w:leader="none"/>
                            <w:tab w:pos="5844" w:val="left" w:leader="none"/>
                          </w:tabs>
                          <w:spacing w:before="7"/>
                          <w:ind w:right="185"/>
                          <w:rPr>
                            <w:rFonts w:ascii="Times New Roman"/>
                            <w:sz w:val="18"/>
                          </w:rPr>
                        </w:pPr>
                        <w:r>
                          <w:rPr>
                            <w:rFonts w:ascii="Times New Roman"/>
                            <w:color w:val="FFFFFF"/>
                            <w:sz w:val="18"/>
                          </w:rPr>
                          <w:t>Particulars</w:t>
                          <w:tab/>
                          <w:t>Unit</w:t>
                          <w:tab/>
                          <w:t>Details</w:t>
                        </w:r>
                      </w:p>
                      <w:p>
                        <w:pPr>
                          <w:pStyle w:val="TableParagraph"/>
                          <w:spacing w:line="201" w:lineRule="exact" w:before="16"/>
                          <w:ind w:left="187" w:right="185"/>
                          <w:rPr>
                            <w:rFonts w:ascii="Times New Roman"/>
                            <w:sz w:val="18"/>
                          </w:rPr>
                        </w:pPr>
                        <w:r>
                          <w:rPr>
                            <w:rFonts w:ascii="Times New Roman"/>
                            <w:sz w:val="18"/>
                          </w:rPr>
                          <w:t>Revenue assumptions (as on March 31, 2020)</w:t>
                        </w:r>
                      </w:p>
                    </w:tc>
                  </w:tr>
                  <w:tr>
                    <w:trPr>
                      <w:trHeight w:val="206" w:hRule="atLeast"/>
                    </w:trPr>
                    <w:tc>
                      <w:tcPr>
                        <w:tcW w:w="3247" w:type="dxa"/>
                        <w:tcBorders>
                          <w:bottom w:val="single" w:sz="6" w:space="0" w:color="5FFF00"/>
                        </w:tcBorders>
                      </w:tcPr>
                      <w:p>
                        <w:pPr>
                          <w:pStyle w:val="TableParagraph"/>
                          <w:spacing w:line="186" w:lineRule="exact"/>
                          <w:ind w:left="199" w:right="453"/>
                          <w:rPr>
                            <w:rFonts w:ascii="Times New Roman"/>
                            <w:sz w:val="18"/>
                          </w:rPr>
                        </w:pPr>
                        <w:r>
                          <w:rPr>
                            <w:rFonts w:ascii="Times New Roman"/>
                            <w:sz w:val="18"/>
                          </w:rPr>
                          <w:t>In-place rent</w:t>
                        </w:r>
                      </w:p>
                    </w:tc>
                    <w:tc>
                      <w:tcPr>
                        <w:tcW w:w="2601" w:type="dxa"/>
                        <w:tcBorders>
                          <w:bottom w:val="single" w:sz="6" w:space="0" w:color="5FFF00"/>
                        </w:tcBorders>
                      </w:tcPr>
                      <w:p>
                        <w:pPr>
                          <w:pStyle w:val="TableParagraph"/>
                          <w:spacing w:line="186" w:lineRule="exact"/>
                          <w:ind w:left="577"/>
                          <w:jc w:val="left"/>
                          <w:rPr>
                            <w:rFonts w:ascii="Times New Roman"/>
                            <w:sz w:val="18"/>
                          </w:rPr>
                        </w:pPr>
                        <w:r>
                          <w:rPr>
                            <w:rFonts w:ascii="Times New Roman"/>
                            <w:sz w:val="18"/>
                          </w:rPr>
                          <w:t>INR psf pm</w:t>
                        </w:r>
                      </w:p>
                    </w:tc>
                    <w:tc>
                      <w:tcPr>
                        <w:tcW w:w="2912" w:type="dxa"/>
                        <w:tcBorders>
                          <w:bottom w:val="single" w:sz="6" w:space="0" w:color="5FFF00"/>
                        </w:tcBorders>
                      </w:tcPr>
                      <w:p>
                        <w:pPr>
                          <w:pStyle w:val="TableParagraph"/>
                          <w:spacing w:line="186" w:lineRule="exact"/>
                          <w:ind w:left="1064" w:right="1253"/>
                          <w:rPr>
                            <w:rFonts w:ascii="Times New Roman"/>
                            <w:sz w:val="18"/>
                          </w:rPr>
                        </w:pPr>
                        <w:r>
                          <w:rPr>
                            <w:rFonts w:ascii="Times New Roman"/>
                            <w:sz w:val="18"/>
                          </w:rPr>
                          <w:t>115</w:t>
                        </w:r>
                      </w:p>
                    </w:tc>
                  </w:tr>
                  <w:tr>
                    <w:trPr>
                      <w:trHeight w:val="208" w:hRule="atLeast"/>
                    </w:trPr>
                    <w:tc>
                      <w:tcPr>
                        <w:tcW w:w="3247" w:type="dxa"/>
                        <w:tcBorders>
                          <w:top w:val="single" w:sz="6" w:space="0" w:color="5FFF00"/>
                          <w:bottom w:val="single" w:sz="6" w:space="0" w:color="5FFF00"/>
                        </w:tcBorders>
                      </w:tcPr>
                      <w:p>
                        <w:pPr>
                          <w:pStyle w:val="TableParagraph"/>
                          <w:spacing w:line="186" w:lineRule="exact" w:before="2"/>
                          <w:ind w:left="199" w:right="456"/>
                          <w:rPr>
                            <w:rFonts w:ascii="Times New Roman" w:hAnsi="Times New Roman"/>
                            <w:sz w:val="18"/>
                          </w:rPr>
                        </w:pPr>
                        <w:r>
                          <w:rPr>
                            <w:rFonts w:ascii="Times New Roman" w:hAnsi="Times New Roman"/>
                            <w:sz w:val="18"/>
                          </w:rPr>
                          <w:t>Marginal rent – office component</w:t>
                        </w:r>
                      </w:p>
                    </w:tc>
                    <w:tc>
                      <w:tcPr>
                        <w:tcW w:w="2601" w:type="dxa"/>
                        <w:tcBorders>
                          <w:top w:val="single" w:sz="6" w:space="0" w:color="5FFF00"/>
                          <w:bottom w:val="single" w:sz="6" w:space="0" w:color="5FFF00"/>
                        </w:tcBorders>
                      </w:tcPr>
                      <w:p>
                        <w:pPr>
                          <w:pStyle w:val="TableParagraph"/>
                          <w:spacing w:line="186" w:lineRule="exact" w:before="2"/>
                          <w:ind w:left="577"/>
                          <w:jc w:val="left"/>
                          <w:rPr>
                            <w:rFonts w:ascii="Times New Roman"/>
                            <w:sz w:val="18"/>
                          </w:rPr>
                        </w:pPr>
                        <w:r>
                          <w:rPr>
                            <w:rFonts w:ascii="Times New Roman"/>
                            <w:sz w:val="18"/>
                          </w:rPr>
                          <w:t>INR psf pm</w:t>
                        </w:r>
                      </w:p>
                    </w:tc>
                    <w:tc>
                      <w:tcPr>
                        <w:tcW w:w="2912" w:type="dxa"/>
                        <w:tcBorders>
                          <w:top w:val="single" w:sz="6" w:space="0" w:color="5FFF00"/>
                          <w:bottom w:val="single" w:sz="6" w:space="0" w:color="5FFF00"/>
                        </w:tcBorders>
                      </w:tcPr>
                      <w:p>
                        <w:pPr>
                          <w:pStyle w:val="TableParagraph"/>
                          <w:spacing w:line="186" w:lineRule="exact" w:before="2"/>
                          <w:ind w:left="1064" w:right="1252"/>
                          <w:rPr>
                            <w:rFonts w:ascii="Times New Roman"/>
                            <w:sz w:val="18"/>
                          </w:rPr>
                        </w:pPr>
                        <w:r>
                          <w:rPr>
                            <w:rFonts w:ascii="Times New Roman"/>
                            <w:sz w:val="18"/>
                          </w:rPr>
                          <w:t>148</w:t>
                        </w:r>
                      </w:p>
                    </w:tc>
                  </w:tr>
                  <w:tr>
                    <w:trPr>
                      <w:trHeight w:val="206" w:hRule="atLeast"/>
                    </w:trPr>
                    <w:tc>
                      <w:tcPr>
                        <w:tcW w:w="3247" w:type="dxa"/>
                        <w:tcBorders>
                          <w:top w:val="single" w:sz="6" w:space="0" w:color="5FFF00"/>
                        </w:tcBorders>
                      </w:tcPr>
                      <w:p>
                        <w:pPr>
                          <w:pStyle w:val="TableParagraph"/>
                          <w:spacing w:line="186" w:lineRule="exact"/>
                          <w:ind w:left="199" w:right="456"/>
                          <w:rPr>
                            <w:rFonts w:ascii="Times New Roman"/>
                            <w:sz w:val="18"/>
                          </w:rPr>
                        </w:pPr>
                        <w:r>
                          <w:rPr>
                            <w:rFonts w:ascii="Times New Roman"/>
                            <w:sz w:val="18"/>
                          </w:rPr>
                          <w:t>Parking rent (Effective)</w:t>
                        </w:r>
                      </w:p>
                    </w:tc>
                    <w:tc>
                      <w:tcPr>
                        <w:tcW w:w="2601" w:type="dxa"/>
                        <w:tcBorders>
                          <w:top w:val="single" w:sz="6" w:space="0" w:color="5FFF00"/>
                        </w:tcBorders>
                      </w:tcPr>
                      <w:p>
                        <w:pPr>
                          <w:pStyle w:val="TableParagraph"/>
                          <w:spacing w:line="186" w:lineRule="exact"/>
                          <w:ind w:left="481"/>
                          <w:jc w:val="left"/>
                          <w:rPr>
                            <w:rFonts w:ascii="Times New Roman"/>
                            <w:sz w:val="18"/>
                          </w:rPr>
                        </w:pPr>
                        <w:r>
                          <w:rPr>
                            <w:rFonts w:ascii="Times New Roman"/>
                            <w:sz w:val="18"/>
                          </w:rPr>
                          <w:t>INR / bay/mth</w:t>
                        </w:r>
                      </w:p>
                    </w:tc>
                    <w:tc>
                      <w:tcPr>
                        <w:tcW w:w="2912" w:type="dxa"/>
                        <w:tcBorders>
                          <w:top w:val="single" w:sz="6" w:space="0" w:color="5FFF00"/>
                        </w:tcBorders>
                      </w:tcPr>
                      <w:p>
                        <w:pPr>
                          <w:pStyle w:val="TableParagraph"/>
                          <w:spacing w:line="186" w:lineRule="exact"/>
                          <w:ind w:left="1063" w:right="1253"/>
                          <w:rPr>
                            <w:rFonts w:ascii="Times New Roman"/>
                            <w:sz w:val="18"/>
                          </w:rPr>
                        </w:pPr>
                        <w:r>
                          <w:rPr>
                            <w:rFonts w:ascii="Times New Roman"/>
                            <w:sz w:val="18"/>
                          </w:rPr>
                          <w:t>4,500</w:t>
                        </w:r>
                      </w:p>
                    </w:tc>
                  </w:tr>
                  <w:tr>
                    <w:trPr>
                      <w:trHeight w:val="223" w:hRule="atLeast"/>
                    </w:trPr>
                    <w:tc>
                      <w:tcPr>
                        <w:tcW w:w="3247" w:type="dxa"/>
                        <w:shd w:val="clear" w:color="auto" w:fill="5FFF00"/>
                      </w:tcPr>
                      <w:p>
                        <w:pPr>
                          <w:pStyle w:val="TableParagraph"/>
                          <w:jc w:val="left"/>
                          <w:rPr>
                            <w:rFonts w:ascii="Times New Roman"/>
                            <w:sz w:val="14"/>
                          </w:rPr>
                        </w:pPr>
                      </w:p>
                    </w:tc>
                    <w:tc>
                      <w:tcPr>
                        <w:tcW w:w="2601" w:type="dxa"/>
                        <w:shd w:val="clear" w:color="auto" w:fill="5FFF00"/>
                      </w:tcPr>
                      <w:p>
                        <w:pPr>
                          <w:pStyle w:val="TableParagraph"/>
                          <w:spacing w:line="186" w:lineRule="exact" w:before="16"/>
                          <w:ind w:left="123"/>
                          <w:jc w:val="left"/>
                          <w:rPr>
                            <w:rFonts w:ascii="Times New Roman"/>
                            <w:sz w:val="18"/>
                          </w:rPr>
                        </w:pPr>
                        <w:r>
                          <w:rPr>
                            <w:rFonts w:ascii="Times New Roman"/>
                            <w:sz w:val="18"/>
                          </w:rPr>
                          <w:t>Other financial assumptions</w:t>
                        </w:r>
                      </w:p>
                    </w:tc>
                    <w:tc>
                      <w:tcPr>
                        <w:tcW w:w="2912" w:type="dxa"/>
                        <w:shd w:val="clear" w:color="auto" w:fill="5FFF00"/>
                      </w:tcPr>
                      <w:p>
                        <w:pPr>
                          <w:pStyle w:val="TableParagraph"/>
                          <w:jc w:val="left"/>
                          <w:rPr>
                            <w:rFonts w:ascii="Times New Roman"/>
                            <w:sz w:val="14"/>
                          </w:rPr>
                        </w:pPr>
                      </w:p>
                    </w:tc>
                  </w:tr>
                  <w:tr>
                    <w:trPr>
                      <w:trHeight w:val="206" w:hRule="atLeast"/>
                    </w:trPr>
                    <w:tc>
                      <w:tcPr>
                        <w:tcW w:w="3247" w:type="dxa"/>
                        <w:tcBorders>
                          <w:bottom w:val="single" w:sz="6" w:space="0" w:color="5FFF00"/>
                        </w:tcBorders>
                      </w:tcPr>
                      <w:p>
                        <w:pPr>
                          <w:pStyle w:val="TableParagraph"/>
                          <w:spacing w:line="186" w:lineRule="exact"/>
                          <w:ind w:left="199" w:right="458"/>
                          <w:rPr>
                            <w:rFonts w:ascii="Times New Roman" w:hAnsi="Times New Roman"/>
                            <w:sz w:val="18"/>
                          </w:rPr>
                        </w:pPr>
                        <w:r>
                          <w:rPr>
                            <w:rFonts w:ascii="Times New Roman" w:hAnsi="Times New Roman"/>
                            <w:sz w:val="18"/>
                          </w:rPr>
                          <w:t>Cap rate – commercial components</w:t>
                        </w:r>
                      </w:p>
                    </w:tc>
                    <w:tc>
                      <w:tcPr>
                        <w:tcW w:w="2601" w:type="dxa"/>
                        <w:tcBorders>
                          <w:bottom w:val="single" w:sz="6" w:space="0" w:color="5FFF00"/>
                        </w:tcBorders>
                      </w:tcPr>
                      <w:p>
                        <w:pPr>
                          <w:pStyle w:val="TableParagraph"/>
                          <w:spacing w:line="186" w:lineRule="exact"/>
                          <w:ind w:right="593"/>
                          <w:rPr>
                            <w:rFonts w:ascii="Times New Roman"/>
                            <w:sz w:val="18"/>
                          </w:rPr>
                        </w:pPr>
                        <w:r>
                          <w:rPr>
                            <w:rFonts w:ascii="Times New Roman"/>
                            <w:w w:val="99"/>
                            <w:sz w:val="18"/>
                          </w:rPr>
                          <w:t>%</w:t>
                        </w:r>
                      </w:p>
                    </w:tc>
                    <w:tc>
                      <w:tcPr>
                        <w:tcW w:w="2912" w:type="dxa"/>
                        <w:tcBorders>
                          <w:bottom w:val="single" w:sz="6" w:space="0" w:color="5FFF00"/>
                        </w:tcBorders>
                      </w:tcPr>
                      <w:p>
                        <w:pPr>
                          <w:pStyle w:val="TableParagraph"/>
                          <w:spacing w:line="186" w:lineRule="exact"/>
                          <w:ind w:left="1064" w:right="1251"/>
                          <w:rPr>
                            <w:rFonts w:ascii="Times New Roman"/>
                            <w:sz w:val="18"/>
                          </w:rPr>
                        </w:pPr>
                        <w:r>
                          <w:rPr>
                            <w:rFonts w:ascii="Times New Roman"/>
                            <w:sz w:val="18"/>
                          </w:rPr>
                          <w:t>8.00%</w:t>
                        </w:r>
                      </w:p>
                    </w:tc>
                  </w:tr>
                  <w:tr>
                    <w:trPr>
                      <w:trHeight w:val="205" w:hRule="atLeast"/>
                    </w:trPr>
                    <w:tc>
                      <w:tcPr>
                        <w:tcW w:w="3247" w:type="dxa"/>
                        <w:tcBorders>
                          <w:top w:val="single" w:sz="6" w:space="0" w:color="5FFF00"/>
                          <w:bottom w:val="single" w:sz="6" w:space="0" w:color="5FFF00"/>
                        </w:tcBorders>
                      </w:tcPr>
                      <w:p>
                        <w:pPr>
                          <w:pStyle w:val="TableParagraph"/>
                          <w:spacing w:line="186" w:lineRule="exact"/>
                          <w:ind w:left="199" w:right="457"/>
                          <w:rPr>
                            <w:rFonts w:ascii="Times New Roman"/>
                            <w:sz w:val="18"/>
                          </w:rPr>
                        </w:pPr>
                        <w:r>
                          <w:rPr>
                            <w:rFonts w:ascii="Times New Roman"/>
                            <w:sz w:val="18"/>
                          </w:rPr>
                          <w:t>WACC rate</w:t>
                        </w:r>
                      </w:p>
                    </w:tc>
                    <w:tc>
                      <w:tcPr>
                        <w:tcW w:w="2601" w:type="dxa"/>
                        <w:tcBorders>
                          <w:top w:val="single" w:sz="6" w:space="0" w:color="5FFF00"/>
                          <w:bottom w:val="single" w:sz="6" w:space="0" w:color="5FFF00"/>
                        </w:tcBorders>
                      </w:tcPr>
                      <w:p>
                        <w:pPr>
                          <w:pStyle w:val="TableParagraph"/>
                          <w:spacing w:line="186" w:lineRule="exact"/>
                          <w:ind w:right="593"/>
                          <w:rPr>
                            <w:rFonts w:ascii="Times New Roman"/>
                            <w:sz w:val="18"/>
                          </w:rPr>
                        </w:pPr>
                        <w:r>
                          <w:rPr>
                            <w:rFonts w:ascii="Times New Roman"/>
                            <w:w w:val="99"/>
                            <w:sz w:val="18"/>
                          </w:rPr>
                          <w:t>%</w:t>
                        </w:r>
                      </w:p>
                    </w:tc>
                    <w:tc>
                      <w:tcPr>
                        <w:tcW w:w="2912" w:type="dxa"/>
                        <w:tcBorders>
                          <w:top w:val="single" w:sz="6" w:space="0" w:color="5FFF00"/>
                          <w:bottom w:val="single" w:sz="6" w:space="0" w:color="5FFF00"/>
                        </w:tcBorders>
                      </w:tcPr>
                      <w:p>
                        <w:pPr>
                          <w:pStyle w:val="TableParagraph"/>
                          <w:spacing w:line="186" w:lineRule="exact"/>
                          <w:ind w:left="1064" w:right="1253"/>
                          <w:rPr>
                            <w:rFonts w:ascii="Times New Roman"/>
                            <w:sz w:val="18"/>
                          </w:rPr>
                        </w:pPr>
                        <w:r>
                          <w:rPr>
                            <w:rFonts w:ascii="Times New Roman"/>
                            <w:sz w:val="18"/>
                          </w:rPr>
                          <w:t>12.03%</w:t>
                        </w:r>
                      </w:p>
                    </w:tc>
                  </w:tr>
                </w:tbl>
                <w:p>
                  <w:pPr>
                    <w:pStyle w:val="BodyText"/>
                  </w:pPr>
                </w:p>
              </w:txbxContent>
            </v:textbox>
            <w10:wrap type="none"/>
          </v:shape>
        </w:pict>
      </w:r>
      <w:r>
        <w:rPr>
          <w:rFonts w:ascii="Times New Roman"/>
          <w:color w:val="16772B"/>
          <w:sz w:val="18"/>
        </w:rPr>
        <w:t>Key Assumptions</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6"/>
        <w:rPr>
          <w:rFonts w:ascii="Times New Roman"/>
          <w:sz w:val="18"/>
        </w:rPr>
      </w:pPr>
    </w:p>
    <w:p>
      <w:pPr>
        <w:tabs>
          <w:tab w:pos="1972" w:val="left" w:leader="none"/>
        </w:tabs>
        <w:spacing w:before="92"/>
        <w:ind w:left="265" w:right="0" w:firstLine="0"/>
        <w:jc w:val="left"/>
        <w:rPr>
          <w:rFonts w:ascii="Times New Roman"/>
          <w:b/>
          <w:sz w:val="18"/>
        </w:rPr>
      </w:pPr>
      <w:r>
        <w:rPr>
          <w:rFonts w:ascii="Times New Roman"/>
          <w:color w:val="16772B"/>
          <w:sz w:val="18"/>
        </w:rPr>
        <w:t>Market</w:t>
      </w:r>
      <w:r>
        <w:rPr>
          <w:rFonts w:ascii="Times New Roman"/>
          <w:color w:val="16772B"/>
          <w:spacing w:val="-1"/>
          <w:sz w:val="18"/>
        </w:rPr>
        <w:t> </w:t>
      </w:r>
      <w:r>
        <w:rPr>
          <w:rFonts w:ascii="Times New Roman"/>
          <w:color w:val="16772B"/>
          <w:sz w:val="18"/>
        </w:rPr>
        <w:t>Value:</w:t>
        <w:tab/>
      </w:r>
      <w:r>
        <w:rPr>
          <w:rFonts w:ascii="Times New Roman"/>
          <w:b/>
          <w:sz w:val="18"/>
        </w:rPr>
        <w:t>INR 54,027 Mn</w:t>
      </w:r>
    </w:p>
    <w:p>
      <w:pPr>
        <w:pStyle w:val="BodyText"/>
        <w:spacing w:before="11"/>
        <w:rPr>
          <w:rFonts w:ascii="Times New Roman"/>
          <w:b/>
          <w:sz w:val="17"/>
        </w:rPr>
      </w:pPr>
    </w:p>
    <w:p>
      <w:pPr>
        <w:spacing w:before="0"/>
        <w:ind w:left="1993" w:right="0" w:firstLine="0"/>
        <w:jc w:val="left"/>
        <w:rPr>
          <w:rFonts w:ascii="Times New Roman"/>
          <w:i/>
          <w:sz w:val="18"/>
        </w:rPr>
      </w:pPr>
      <w:r>
        <w:rPr>
          <w:rFonts w:ascii="Times New Roman"/>
          <w:i/>
          <w:sz w:val="18"/>
        </w:rPr>
        <w:t>Note:</w:t>
      </w:r>
    </w:p>
    <w:p>
      <w:pPr>
        <w:pStyle w:val="ListParagraph"/>
        <w:numPr>
          <w:ilvl w:val="0"/>
          <w:numId w:val="12"/>
        </w:numPr>
        <w:tabs>
          <w:tab w:pos="2183" w:val="left" w:leader="none"/>
        </w:tabs>
        <w:spacing w:line="240" w:lineRule="auto" w:before="119" w:after="0"/>
        <w:ind w:left="1993" w:right="313" w:firstLine="0"/>
        <w:jc w:val="left"/>
        <w:rPr>
          <w:rFonts w:ascii="Times New Roman"/>
          <w:i/>
          <w:sz w:val="18"/>
        </w:rPr>
      </w:pPr>
      <w:r>
        <w:rPr>
          <w:rFonts w:ascii="Times New Roman"/>
          <w:i/>
          <w:sz w:val="18"/>
        </w:rPr>
        <w:t>The valuation presented is for 100% interest in the asset. However, based on inputs provided by the Client, the REIT </w:t>
      </w:r>
      <w:r>
        <w:rPr>
          <w:rFonts w:ascii="Times New Roman"/>
          <w:i/>
          <w:sz w:val="18"/>
        </w:rPr>
        <w:t>hold 50% of the interests in the asset (viz. INR 27,014 Mn)</w:t>
      </w:r>
    </w:p>
    <w:p>
      <w:pPr>
        <w:pStyle w:val="ListParagraph"/>
        <w:numPr>
          <w:ilvl w:val="0"/>
          <w:numId w:val="12"/>
        </w:numPr>
        <w:tabs>
          <w:tab w:pos="2222" w:val="left" w:leader="none"/>
        </w:tabs>
        <w:spacing w:line="240" w:lineRule="auto" w:before="121" w:after="0"/>
        <w:ind w:left="1993" w:right="305" w:firstLine="0"/>
        <w:jc w:val="left"/>
        <w:rPr>
          <w:rFonts w:ascii="Times New Roman"/>
          <w:i/>
          <w:sz w:val="18"/>
        </w:rPr>
      </w:pPr>
      <w:r>
        <w:rPr>
          <w:rFonts w:ascii="Times New Roman"/>
          <w:i/>
          <w:sz w:val="18"/>
        </w:rPr>
        <w:t>The above valuation excludes valuation of Hilton at Embassy GolfLinks. The valuation of Hilton at Embassy </w:t>
      </w:r>
      <w:r>
        <w:rPr>
          <w:rFonts w:ascii="Times New Roman"/>
          <w:i/>
          <w:sz w:val="18"/>
        </w:rPr>
        <w:t>GolfLinks is presented in section</w:t>
      </w:r>
      <w:r>
        <w:rPr>
          <w:rFonts w:ascii="Times New Roman"/>
          <w:i/>
          <w:spacing w:val="1"/>
          <w:sz w:val="18"/>
        </w:rPr>
        <w:t> </w:t>
      </w:r>
      <w:r>
        <w:rPr>
          <w:rFonts w:ascii="Times New Roman"/>
          <w:i/>
          <w:sz w:val="18"/>
        </w:rPr>
        <w:t>4.12</w:t>
      </w:r>
    </w:p>
    <w:p>
      <w:pPr>
        <w:spacing w:after="0" w:line="240" w:lineRule="auto"/>
        <w:jc w:val="left"/>
        <w:rPr>
          <w:rFonts w:ascii="Times New Roman"/>
          <w:sz w:val="18"/>
        </w:rPr>
        <w:sectPr>
          <w:pgSz w:w="12240" w:h="15840"/>
          <w:pgMar w:header="728" w:footer="1174" w:top="1180" w:bottom="1460" w:left="620" w:right="580"/>
        </w:sectPr>
      </w:pPr>
    </w:p>
    <w:p>
      <w:pPr>
        <w:pStyle w:val="BodyText"/>
        <w:rPr>
          <w:rFonts w:ascii="Times New Roman"/>
          <w:i/>
          <w:sz w:val="18"/>
        </w:rPr>
      </w:pPr>
    </w:p>
    <w:p>
      <w:pPr>
        <w:pStyle w:val="ListParagraph"/>
        <w:numPr>
          <w:ilvl w:val="1"/>
          <w:numId w:val="1"/>
        </w:numPr>
        <w:tabs>
          <w:tab w:pos="1439" w:val="left" w:leader="none"/>
          <w:tab w:pos="1440" w:val="left" w:leader="none"/>
        </w:tabs>
        <w:spacing w:line="240" w:lineRule="auto" w:before="91" w:after="0"/>
        <w:ind w:left="1439" w:right="0" w:hanging="620"/>
        <w:jc w:val="left"/>
        <w:rPr>
          <w:rFonts w:ascii="Times New Roman"/>
          <w:color w:val="1E6C28"/>
          <w:sz w:val="20"/>
        </w:rPr>
      </w:pPr>
      <w:r>
        <w:rPr>
          <w:rFonts w:ascii="Times New Roman"/>
          <w:color w:val="1E6C28"/>
          <w:sz w:val="20"/>
        </w:rPr>
        <w:t>Embassy One</w:t>
      </w:r>
    </w:p>
    <w:p>
      <w:pPr>
        <w:pStyle w:val="BodyText"/>
        <w:rPr>
          <w:rFonts w:ascii="Times New Roman"/>
          <w:sz w:val="24"/>
        </w:rPr>
      </w:pPr>
    </w:p>
    <w:p>
      <w:pPr>
        <w:tabs>
          <w:tab w:pos="1900" w:val="left" w:leader="none"/>
        </w:tabs>
        <w:spacing w:before="0"/>
        <w:ind w:left="1900" w:right="306" w:hanging="1635"/>
        <w:jc w:val="both"/>
        <w:rPr>
          <w:rFonts w:ascii="Times New Roman" w:hAnsi="Times New Roman"/>
          <w:sz w:val="18"/>
        </w:rPr>
      </w:pPr>
      <w:r>
        <w:rPr>
          <w:rFonts w:ascii="Times New Roman" w:hAnsi="Times New Roman"/>
          <w:color w:val="16772B"/>
          <w:sz w:val="18"/>
        </w:rPr>
        <w:t>Property</w:t>
      </w:r>
      <w:r>
        <w:rPr>
          <w:rFonts w:ascii="Times New Roman" w:hAnsi="Times New Roman"/>
          <w:color w:val="16772B"/>
          <w:spacing w:val="-1"/>
          <w:sz w:val="18"/>
        </w:rPr>
        <w:t> </w:t>
      </w:r>
      <w:r>
        <w:rPr>
          <w:rFonts w:ascii="Times New Roman" w:hAnsi="Times New Roman"/>
          <w:color w:val="16772B"/>
          <w:sz w:val="18"/>
        </w:rPr>
        <w:t>Name:</w:t>
        <w:tab/>
      </w:r>
      <w:r>
        <w:rPr>
          <w:rFonts w:ascii="Times New Roman" w:hAnsi="Times New Roman"/>
          <w:sz w:val="18"/>
        </w:rPr>
        <w:t>‘Embassy One’ is a premium mixed-used development (High-end office, retail and hospitality components) located along, Bellary Road, Ganga Nagar, Bengaluru,</w:t>
      </w:r>
      <w:r>
        <w:rPr>
          <w:rFonts w:ascii="Times New Roman" w:hAnsi="Times New Roman"/>
          <w:spacing w:val="-1"/>
          <w:sz w:val="18"/>
        </w:rPr>
        <w:t> </w:t>
      </w:r>
      <w:r>
        <w:rPr>
          <w:rFonts w:ascii="Times New Roman" w:hAnsi="Times New Roman"/>
          <w:sz w:val="18"/>
        </w:rPr>
        <w:t>Karnataka</w:t>
      </w:r>
    </w:p>
    <w:p>
      <w:pPr>
        <w:pStyle w:val="BodyText"/>
        <w:spacing w:before="9"/>
        <w:rPr>
          <w:rFonts w:ascii="Times New Roman"/>
          <w:sz w:val="20"/>
        </w:rPr>
      </w:pPr>
    </w:p>
    <w:p>
      <w:pPr>
        <w:tabs>
          <w:tab w:pos="1900" w:val="left" w:leader="none"/>
        </w:tabs>
        <w:spacing w:before="0"/>
        <w:ind w:left="265" w:right="0" w:firstLine="0"/>
        <w:jc w:val="left"/>
        <w:rPr>
          <w:rFonts w:ascii="Times New Roman"/>
          <w:sz w:val="18"/>
        </w:rPr>
      </w:pPr>
      <w:r>
        <w:rPr>
          <w:rFonts w:ascii="Times New Roman"/>
          <w:color w:val="16772B"/>
          <w:sz w:val="18"/>
        </w:rPr>
        <w:t>Property</w:t>
      </w:r>
      <w:r>
        <w:rPr>
          <w:rFonts w:ascii="Times New Roman"/>
          <w:color w:val="16772B"/>
          <w:spacing w:val="-1"/>
          <w:sz w:val="18"/>
        </w:rPr>
        <w:t> </w:t>
      </w:r>
      <w:r>
        <w:rPr>
          <w:rFonts w:ascii="Times New Roman"/>
          <w:color w:val="16772B"/>
          <w:sz w:val="18"/>
        </w:rPr>
        <w:t>Address:</w:t>
        <w:tab/>
      </w:r>
      <w:r>
        <w:rPr>
          <w:rFonts w:ascii="Times New Roman"/>
          <w:sz w:val="18"/>
        </w:rPr>
        <w:t>Bellary Road, Ganga Nagar, Bengaluru,</w:t>
      </w:r>
      <w:r>
        <w:rPr>
          <w:rFonts w:ascii="Times New Roman"/>
          <w:spacing w:val="-14"/>
          <w:sz w:val="18"/>
        </w:rPr>
        <w:t> </w:t>
      </w:r>
      <w:r>
        <w:rPr>
          <w:rFonts w:ascii="Times New Roman"/>
          <w:sz w:val="18"/>
        </w:rPr>
        <w:t>Karnataka</w:t>
      </w:r>
    </w:p>
    <w:p>
      <w:pPr>
        <w:pStyle w:val="BodyText"/>
        <w:rPr>
          <w:rFonts w:ascii="Times New Roman"/>
          <w:sz w:val="21"/>
        </w:rPr>
      </w:pPr>
    </w:p>
    <w:p>
      <w:pPr>
        <w:tabs>
          <w:tab w:pos="1900" w:val="left" w:leader="none"/>
        </w:tabs>
        <w:spacing w:before="0"/>
        <w:ind w:left="1900" w:right="305" w:hanging="1635"/>
        <w:jc w:val="both"/>
        <w:rPr>
          <w:rFonts w:ascii="Times New Roman"/>
          <w:sz w:val="18"/>
        </w:rPr>
      </w:pPr>
      <w:r>
        <w:rPr>
          <w:rFonts w:ascii="Times New Roman"/>
          <w:color w:val="16772B"/>
          <w:sz w:val="18"/>
        </w:rPr>
        <w:t>Land Area:</w:t>
        <w:tab/>
      </w:r>
      <w:r>
        <w:rPr>
          <w:rFonts w:ascii="Times New Roman"/>
          <w:sz w:val="18"/>
        </w:rPr>
        <w:t>Based on review of the title report, the Valuer understand that the total land area of the subject property under the ownership of the Client is approximately 5.62 acres (which includes residential component). The interest being valued as part of this assessment is an undivided share of 3.19 acres (for the office, retail and hospitality</w:t>
      </w:r>
      <w:r>
        <w:rPr>
          <w:rFonts w:ascii="Times New Roman"/>
          <w:spacing w:val="-12"/>
          <w:sz w:val="18"/>
        </w:rPr>
        <w:t> </w:t>
      </w:r>
      <w:r>
        <w:rPr>
          <w:rFonts w:ascii="Times New Roman"/>
          <w:sz w:val="18"/>
        </w:rPr>
        <w:t>components).</w:t>
      </w:r>
    </w:p>
    <w:p>
      <w:pPr>
        <w:pStyle w:val="BodyText"/>
        <w:spacing w:before="8"/>
        <w:rPr>
          <w:rFonts w:ascii="Times New Roman"/>
          <w:sz w:val="20"/>
        </w:rPr>
      </w:pPr>
    </w:p>
    <w:p>
      <w:pPr>
        <w:spacing w:line="240" w:lineRule="auto" w:before="1"/>
        <w:ind w:left="1900" w:right="302" w:hanging="1635"/>
        <w:jc w:val="both"/>
        <w:rPr>
          <w:rFonts w:ascii="Times New Roman"/>
          <w:sz w:val="18"/>
        </w:rPr>
      </w:pPr>
      <w:r>
        <w:rPr>
          <w:rFonts w:ascii="Times New Roman"/>
          <w:color w:val="16772B"/>
          <w:sz w:val="18"/>
        </w:rPr>
        <w:t>Brief Description: </w:t>
      </w:r>
      <w:r>
        <w:rPr>
          <w:rFonts w:ascii="Times New Roman"/>
          <w:sz w:val="18"/>
        </w:rPr>
        <w:t>The subject property is a premium mixed-used development comprising of commercial, retail and hospitality components. Subject property is located in a premium location in close proximity to the CBD, approximately 6-7 km from MG Road. The stretch between the CBD and Mekhri Circle is recognized as a premium residential and hospitality hub of Bengaluru. Subject location lies in close proximity to premium residential colonies of Sheshadripuram, Sadashiva Nagar, Dollars colony, Fraser Town, Jayamahal, etc., which house affluent population of businessmen community, ministers, etc. Further, the location is considered an established hub for premium hotels, housing prominent 5 star hotels such as Windsor Manor, Lalit Ashok, &amp; Taj Westend. As per information provided by the client, the Valuer understands that 5.5% of total area is leased as of date of</w:t>
      </w:r>
      <w:r>
        <w:rPr>
          <w:rFonts w:ascii="Times New Roman"/>
          <w:spacing w:val="-4"/>
          <w:sz w:val="18"/>
        </w:rPr>
        <w:t> </w:t>
      </w:r>
      <w:r>
        <w:rPr>
          <w:rFonts w:ascii="Times New Roman"/>
          <w:sz w:val="18"/>
        </w:rPr>
        <w:t>valuation.</w:t>
      </w:r>
    </w:p>
    <w:p>
      <w:pPr>
        <w:pStyle w:val="BodyText"/>
        <w:rPr>
          <w:rFonts w:ascii="Times New Roman"/>
          <w:sz w:val="24"/>
        </w:rPr>
      </w:pPr>
    </w:p>
    <w:p>
      <w:pPr>
        <w:spacing w:before="0"/>
        <w:ind w:left="1900" w:right="302" w:firstLine="0"/>
        <w:jc w:val="both"/>
        <w:rPr>
          <w:rFonts w:ascii="Times New Roman" w:hAnsi="Times New Roman"/>
          <w:sz w:val="18"/>
        </w:rPr>
      </w:pPr>
      <w:r>
        <w:rPr>
          <w:rFonts w:ascii="Times New Roman" w:hAnsi="Times New Roman"/>
          <w:sz w:val="18"/>
        </w:rPr>
        <w:t>The subject property’s location along the initial stretch of Bellary Road further adds to the attractiveness of the development. Bellary Road connects the city centre to the airport and also provides connectivity to all major hubs within Bengaluru City. Further, the subject property’s proximity to the Hebbal Outer Ring Road, connects the subject location to prominent locations such as Yeshwanthpur, KR Puram, Whitefield, Sarjapur Outer ring road, Old Madras road, etc. Further, it is located at a distance of 1-2 km from Mekhri Circle, 3-4 km from Hebbal ORR Junction, 6-7 km from MG Road, 27-28 K from Bengaluru International Airport.</w:t>
      </w:r>
    </w:p>
    <w:p>
      <w:pPr>
        <w:pStyle w:val="BodyText"/>
        <w:spacing w:before="7"/>
        <w:rPr>
          <w:rFonts w:ascii="Times New Roman"/>
          <w:sz w:val="14"/>
        </w:rPr>
      </w:pPr>
    </w:p>
    <w:p>
      <w:pPr>
        <w:spacing w:after="0"/>
        <w:rPr>
          <w:rFonts w:ascii="Times New Roman"/>
          <w:sz w:val="14"/>
        </w:rPr>
        <w:sectPr>
          <w:pgSz w:w="12240" w:h="15840"/>
          <w:pgMar w:header="728" w:footer="1174" w:top="1180" w:bottom="1460" w:left="620" w:right="580"/>
        </w:sectPr>
      </w:pPr>
    </w:p>
    <w:p>
      <w:pPr>
        <w:spacing w:before="93"/>
        <w:ind w:left="265" w:right="-19" w:firstLine="0"/>
        <w:jc w:val="left"/>
        <w:rPr>
          <w:rFonts w:ascii="Times New Roman"/>
          <w:sz w:val="18"/>
        </w:rPr>
      </w:pPr>
      <w:r>
        <w:rPr>
          <w:rFonts w:ascii="Times New Roman"/>
          <w:color w:val="16772B"/>
          <w:sz w:val="18"/>
        </w:rPr>
        <w:t>Statement of Assets (sf):</w:t>
      </w:r>
    </w:p>
    <w:p>
      <w:pPr>
        <w:spacing w:before="93"/>
        <w:ind w:left="165" w:right="0" w:firstLine="0"/>
        <w:jc w:val="left"/>
        <w:rPr>
          <w:rFonts w:ascii="Times New Roman"/>
          <w:sz w:val="18"/>
        </w:rPr>
      </w:pPr>
      <w:r>
        <w:rPr/>
        <w:br w:type="column"/>
      </w:r>
      <w:r>
        <w:rPr>
          <w:rFonts w:ascii="Times New Roman"/>
          <w:sz w:val="18"/>
        </w:rPr>
        <w:t>Table below highlights the leasable area for individual blocks that form part of the subject development:</w:t>
      </w:r>
    </w:p>
    <w:p>
      <w:pPr>
        <w:pStyle w:val="BodyText"/>
        <w:ind w:left="165"/>
        <w:rPr>
          <w:rFonts w:ascii="Times New Roman"/>
          <w:sz w:val="20"/>
        </w:rPr>
      </w:pPr>
      <w:r>
        <w:rPr>
          <w:rFonts w:ascii="Times New Roman"/>
          <w:sz w:val="20"/>
        </w:rPr>
        <w:pict>
          <v:group style="width:441.7pt;height:12.6pt;mso-position-horizontal-relative:char;mso-position-vertical-relative:line" coordorigin="0,0" coordsize="8834,252">
            <v:shape style="position:absolute;left:0;top:31;width:8834;height:207" coordorigin="0,31" coordsize="8834,207" path="m8834,31l3637,31,0,31,0,238,3637,238,8834,238,8834,31xe" filled="true" fillcolor="#16772b" stroked="false">
              <v:path arrowok="t"/>
              <v:fill type="solid"/>
            </v:shape>
            <v:rect style="position:absolute;left:0;top:0;width:3637;height:29" filled="true" fillcolor="#1e7504" stroked="false">
              <v:fill type="solid"/>
            </v:rect>
            <v:shape style="position:absolute;left:0;top:28;width:3666;height:3" coordorigin="0,29" coordsize="3666,3" path="m3666,29l3637,29,0,29,0,31,3637,31,3666,31,3666,29xe" filled="true" fillcolor="#16772b" stroked="false">
              <v:path arrowok="t"/>
              <v:fill type="solid"/>
            </v:shape>
            <v:shape style="position:absolute;left:3637;top:0;width:5197;height:29" coordorigin="3637,0" coordsize="5197,29" path="m8834,0l3666,0,3637,0,3637,29,3666,29,8834,29,8834,0xe" filled="true" fillcolor="#1e7504" stroked="false">
              <v:path arrowok="t"/>
              <v:fill type="solid"/>
            </v:shape>
            <v:rect style="position:absolute;left:3665;top:28;width:5169;height:3" filled="true" fillcolor="#16772b" stroked="false">
              <v:fill type="solid"/>
            </v:rect>
            <v:shape style="position:absolute;left:0;top:237;width:8834;height:15" coordorigin="0,238" coordsize="8834,15" path="m8834,238l3651,238,3637,238,0,238,0,252,3637,252,3651,252,8834,252,8834,238xe" filled="true" fillcolor="#5fff00" stroked="false">
              <v:path arrowok="t"/>
              <v:fill type="solid"/>
            </v:shape>
            <v:shape style="position:absolute;left:0;top:28;width:8834;height:209" type="#_x0000_t202" filled="false" stroked="false">
              <v:textbox inset="0,0,0,0">
                <w:txbxContent>
                  <w:p>
                    <w:pPr>
                      <w:tabs>
                        <w:tab w:pos="3636" w:val="left" w:leader="none"/>
                      </w:tabs>
                      <w:spacing w:line="206" w:lineRule="exact" w:before="2"/>
                      <w:ind w:left="168" w:right="0" w:firstLine="0"/>
                      <w:jc w:val="center"/>
                      <w:rPr>
                        <w:rFonts w:ascii="Times New Roman"/>
                        <w:b/>
                        <w:sz w:val="18"/>
                      </w:rPr>
                    </w:pPr>
                    <w:r>
                      <w:rPr>
                        <w:rFonts w:ascii="Times New Roman"/>
                        <w:b/>
                        <w:color w:val="FFFFFF"/>
                        <w:sz w:val="18"/>
                      </w:rPr>
                      <w:t>Block</w:t>
                      <w:tab/>
                      <w:t>No of Keys/ Leasable Area</w:t>
                    </w:r>
                    <w:r>
                      <w:rPr>
                        <w:rFonts w:ascii="Times New Roman"/>
                        <w:b/>
                        <w:color w:val="FFFFFF"/>
                        <w:spacing w:val="1"/>
                        <w:sz w:val="18"/>
                      </w:rPr>
                      <w:t> </w:t>
                    </w:r>
                    <w:r>
                      <w:rPr>
                        <w:rFonts w:ascii="Times New Roman"/>
                        <w:b/>
                        <w:color w:val="FFFFFF"/>
                        <w:sz w:val="18"/>
                      </w:rPr>
                      <w:t>(sf)</w:t>
                    </w:r>
                  </w:p>
                </w:txbxContent>
              </v:textbox>
              <w10:wrap type="none"/>
            </v:shape>
          </v:group>
        </w:pict>
      </w:r>
      <w:r>
        <w:rPr>
          <w:rFonts w:ascii="Times New Roman"/>
          <w:sz w:val="20"/>
        </w:rPr>
      </w:r>
    </w:p>
    <w:p>
      <w:pPr>
        <w:tabs>
          <w:tab w:pos="4356" w:val="left" w:leader="none"/>
        </w:tabs>
        <w:spacing w:before="0"/>
        <w:ind w:left="0" w:right="2607" w:firstLine="0"/>
        <w:jc w:val="right"/>
        <w:rPr>
          <w:rFonts w:ascii="Times New Roman"/>
          <w:sz w:val="18"/>
        </w:rPr>
      </w:pPr>
      <w:r>
        <w:rPr>
          <w:rFonts w:ascii="Times New Roman"/>
          <w:sz w:val="18"/>
        </w:rPr>
        <w:t>Office</w:t>
        <w:tab/>
      </w:r>
      <w:r>
        <w:rPr>
          <w:rFonts w:ascii="Times New Roman"/>
          <w:spacing w:val="-1"/>
          <w:sz w:val="18"/>
        </w:rPr>
        <w:t>194,948</w:t>
      </w:r>
    </w:p>
    <w:p>
      <w:pPr>
        <w:pStyle w:val="BodyText"/>
        <w:spacing w:line="20" w:lineRule="exact"/>
        <w:ind w:left="165"/>
        <w:rPr>
          <w:rFonts w:ascii="Times New Roman"/>
          <w:sz w:val="2"/>
        </w:rPr>
      </w:pPr>
      <w:r>
        <w:rPr>
          <w:rFonts w:ascii="Times New Roman"/>
          <w:sz w:val="2"/>
        </w:rPr>
        <w:pict>
          <v:group style="width:441.7pt;height:.75pt;mso-position-horizontal-relative:char;mso-position-vertical-relative:line" coordorigin="0,0" coordsize="8834,15">
            <v:shape style="position:absolute;left:0;top:0;width:8834;height:15" coordorigin="0,0" coordsize="8834,15" path="m8834,0l3651,0,3637,0,0,0,0,14,3637,14,3651,14,8834,14,8834,0xe" filled="true" fillcolor="#5fff00" stroked="false">
              <v:path arrowok="t"/>
              <v:fill type="solid"/>
            </v:shape>
          </v:group>
        </w:pict>
      </w:r>
      <w:r>
        <w:rPr>
          <w:rFonts w:ascii="Times New Roman"/>
          <w:sz w:val="2"/>
        </w:rPr>
      </w:r>
    </w:p>
    <w:p>
      <w:pPr>
        <w:tabs>
          <w:tab w:pos="4385" w:val="left" w:leader="none"/>
        </w:tabs>
        <w:spacing w:before="0"/>
        <w:ind w:left="0" w:right="2652" w:firstLine="0"/>
        <w:jc w:val="right"/>
        <w:rPr>
          <w:rFonts w:ascii="Times New Roman"/>
          <w:sz w:val="18"/>
        </w:rPr>
      </w:pPr>
      <w:r>
        <w:rPr>
          <w:rFonts w:ascii="Times New Roman"/>
          <w:sz w:val="18"/>
        </w:rPr>
        <w:t>Retail</w:t>
        <w:tab/>
      </w:r>
      <w:r>
        <w:rPr>
          <w:rFonts w:ascii="Times New Roman"/>
          <w:spacing w:val="-1"/>
          <w:sz w:val="18"/>
        </w:rPr>
        <w:t>55,148</w:t>
      </w:r>
    </w:p>
    <w:p>
      <w:pPr>
        <w:pStyle w:val="BodyText"/>
        <w:spacing w:line="20" w:lineRule="exact"/>
        <w:ind w:left="165"/>
        <w:rPr>
          <w:rFonts w:ascii="Times New Roman"/>
          <w:sz w:val="2"/>
        </w:rPr>
      </w:pPr>
      <w:r>
        <w:rPr>
          <w:rFonts w:ascii="Times New Roman"/>
          <w:sz w:val="2"/>
        </w:rPr>
        <w:pict>
          <v:group style="width:441.7pt;height:.75pt;mso-position-horizontal-relative:char;mso-position-vertical-relative:line" coordorigin="0,0" coordsize="8834,15">
            <v:shape style="position:absolute;left:0;top:0;width:8834;height:15" coordorigin="0,0" coordsize="8834,15" path="m8834,0l3651,0,3637,0,0,0,0,14,3637,14,3651,14,8834,14,8834,0xe" filled="true" fillcolor="#5fff00" stroked="false">
              <v:path arrowok="t"/>
              <v:fill type="solid"/>
            </v:shape>
          </v:group>
        </w:pict>
      </w:r>
      <w:r>
        <w:rPr>
          <w:rFonts w:ascii="Times New Roman"/>
          <w:sz w:val="2"/>
        </w:rPr>
      </w:r>
    </w:p>
    <w:p>
      <w:pPr>
        <w:tabs>
          <w:tab w:pos="5468" w:val="left" w:leader="none"/>
        </w:tabs>
        <w:spacing w:before="0"/>
        <w:ind w:left="0" w:right="2577" w:firstLine="0"/>
        <w:jc w:val="right"/>
        <w:rPr>
          <w:rFonts w:ascii="Times New Roman"/>
          <w:sz w:val="18"/>
        </w:rPr>
      </w:pPr>
      <w:r>
        <w:rPr>
          <w:rFonts w:ascii="Times New Roman"/>
          <w:sz w:val="18"/>
        </w:rPr>
        <w:t>Hotel (Four Seasons at</w:t>
      </w:r>
      <w:r>
        <w:rPr>
          <w:rFonts w:ascii="Times New Roman"/>
          <w:spacing w:val="-5"/>
          <w:sz w:val="18"/>
        </w:rPr>
        <w:t> </w:t>
      </w:r>
      <w:r>
        <w:rPr>
          <w:rFonts w:ascii="Times New Roman"/>
          <w:sz w:val="18"/>
        </w:rPr>
        <w:t>Embassy</w:t>
      </w:r>
      <w:r>
        <w:rPr>
          <w:rFonts w:ascii="Times New Roman"/>
          <w:spacing w:val="-2"/>
          <w:sz w:val="18"/>
        </w:rPr>
        <w:t> </w:t>
      </w:r>
      <w:r>
        <w:rPr>
          <w:rFonts w:ascii="Times New Roman"/>
          <w:sz w:val="18"/>
        </w:rPr>
        <w:t>One)</w:t>
        <w:tab/>
        <w:t>230</w:t>
      </w:r>
      <w:r>
        <w:rPr>
          <w:rFonts w:ascii="Times New Roman"/>
          <w:spacing w:val="2"/>
          <w:sz w:val="18"/>
        </w:rPr>
        <w:t> </w:t>
      </w:r>
      <w:r>
        <w:rPr>
          <w:rFonts w:ascii="Times New Roman"/>
          <w:sz w:val="18"/>
        </w:rPr>
        <w:t>keys</w:t>
      </w:r>
    </w:p>
    <w:p>
      <w:pPr>
        <w:pStyle w:val="BodyText"/>
        <w:spacing w:line="20" w:lineRule="exact"/>
        <w:ind w:left="165"/>
        <w:rPr>
          <w:rFonts w:ascii="Times New Roman"/>
          <w:sz w:val="2"/>
        </w:rPr>
      </w:pPr>
      <w:r>
        <w:rPr>
          <w:rFonts w:ascii="Times New Roman"/>
          <w:sz w:val="2"/>
        </w:rPr>
        <w:pict>
          <v:group style="width:441.7pt;height:.75pt;mso-position-horizontal-relative:char;mso-position-vertical-relative:line" coordorigin="0,0" coordsize="8834,15">
            <v:shape style="position:absolute;left:0;top:0;width:8834;height:15" coordorigin="0,0" coordsize="8834,15" path="m8834,0l3651,0,3637,0,0,0,0,14,3637,14,3651,14,8834,14,8834,0xe" filled="true" fillcolor="#5fff00" stroked="false">
              <v:path arrowok="t"/>
              <v:fill type="solid"/>
            </v:shape>
          </v:group>
        </w:pict>
      </w:r>
      <w:r>
        <w:rPr>
          <w:rFonts w:ascii="Times New Roman"/>
          <w:sz w:val="2"/>
        </w:rPr>
      </w:r>
    </w:p>
    <w:p>
      <w:pPr>
        <w:tabs>
          <w:tab w:pos="5710" w:val="left" w:leader="none"/>
        </w:tabs>
        <w:spacing w:before="0"/>
        <w:ind w:left="1778" w:right="0" w:firstLine="0"/>
        <w:jc w:val="left"/>
        <w:rPr>
          <w:rFonts w:ascii="Times New Roman"/>
          <w:b/>
          <w:sz w:val="18"/>
        </w:rPr>
      </w:pPr>
      <w:r>
        <w:rPr>
          <w:rFonts w:ascii="Times New Roman"/>
          <w:b/>
          <w:sz w:val="18"/>
        </w:rPr>
        <w:t>Total</w:t>
        <w:tab/>
      </w:r>
      <w:r>
        <w:rPr>
          <w:rFonts w:ascii="Times New Roman"/>
          <w:b/>
          <w:position w:val="2"/>
          <w:sz w:val="18"/>
        </w:rPr>
        <w:t>230 keys /</w:t>
      </w:r>
      <w:r>
        <w:rPr>
          <w:rFonts w:ascii="Times New Roman"/>
          <w:b/>
          <w:spacing w:val="-4"/>
          <w:position w:val="2"/>
          <w:sz w:val="18"/>
        </w:rPr>
        <w:t> </w:t>
      </w:r>
      <w:r>
        <w:rPr>
          <w:rFonts w:ascii="Times New Roman"/>
          <w:b/>
          <w:position w:val="2"/>
          <w:sz w:val="18"/>
        </w:rPr>
        <w:t>250,096</w:t>
      </w:r>
    </w:p>
    <w:p>
      <w:pPr>
        <w:pStyle w:val="BodyText"/>
        <w:spacing w:line="20" w:lineRule="exact"/>
        <w:ind w:left="165"/>
        <w:rPr>
          <w:rFonts w:ascii="Times New Roman"/>
          <w:sz w:val="2"/>
        </w:rPr>
      </w:pPr>
      <w:r>
        <w:rPr>
          <w:rFonts w:ascii="Times New Roman"/>
          <w:sz w:val="2"/>
        </w:rPr>
        <w:pict>
          <v:group style="width:441.7pt;height:.75pt;mso-position-horizontal-relative:char;mso-position-vertical-relative:line" coordorigin="0,0" coordsize="8834,15">
            <v:shape style="position:absolute;left:0;top:0;width:8834;height:15" coordorigin="0,0" coordsize="8834,15" path="m8834,0l3651,0,3637,0,0,0,0,14,3637,14,3651,14,8834,14,8834,0xe" filled="true" fillcolor="#5fff00" stroked="false">
              <v:path arrowok="t"/>
              <v:fill type="solid"/>
            </v:shape>
          </v:group>
        </w:pict>
      </w:r>
      <w:r>
        <w:rPr>
          <w:rFonts w:ascii="Times New Roman"/>
          <w:sz w:val="2"/>
        </w:rPr>
      </w:r>
    </w:p>
    <w:p>
      <w:pPr>
        <w:spacing w:before="116"/>
        <w:ind w:left="165" w:right="0" w:firstLine="0"/>
        <w:jc w:val="left"/>
        <w:rPr>
          <w:rFonts w:ascii="Times New Roman"/>
          <w:sz w:val="18"/>
        </w:rPr>
      </w:pPr>
      <w:r>
        <w:rPr>
          <w:rFonts w:ascii="Times New Roman"/>
          <w:sz w:val="18"/>
        </w:rPr>
        <w:t>Source: Architect certificate provided by the Client</w:t>
      </w:r>
    </w:p>
    <w:p>
      <w:pPr>
        <w:spacing w:after="0"/>
        <w:jc w:val="left"/>
        <w:rPr>
          <w:rFonts w:ascii="Times New Roman"/>
          <w:sz w:val="18"/>
        </w:rPr>
        <w:sectPr>
          <w:type w:val="continuous"/>
          <w:pgSz w:w="12240" w:h="15840"/>
          <w:pgMar w:top="800" w:bottom="280" w:left="620" w:right="580"/>
          <w:cols w:num="2" w:equalWidth="0">
            <w:col w:w="1696" w:space="40"/>
            <w:col w:w="9304"/>
          </w:cols>
        </w:sectPr>
      </w:pPr>
    </w:p>
    <w:p>
      <w:pPr>
        <w:pStyle w:val="BodyText"/>
        <w:rPr>
          <w:rFonts w:ascii="Times New Roman"/>
          <w:sz w:val="20"/>
        </w:rPr>
      </w:pPr>
    </w:p>
    <w:p>
      <w:pPr>
        <w:pStyle w:val="BodyText"/>
        <w:spacing w:before="10"/>
        <w:rPr>
          <w:rFonts w:ascii="Times New Roman"/>
          <w:sz w:val="21"/>
        </w:rPr>
      </w:pPr>
    </w:p>
    <w:p>
      <w:pPr>
        <w:spacing w:before="92"/>
        <w:ind w:left="265" w:right="0" w:firstLine="0"/>
        <w:jc w:val="left"/>
        <w:rPr>
          <w:rFonts w:ascii="Times New Roman"/>
          <w:sz w:val="18"/>
        </w:rPr>
      </w:pPr>
      <w:r>
        <w:rPr/>
        <w:pict>
          <v:group style="position:absolute;margin-left:126pt;margin-top:4.592359pt;width:441.75pt;height:290pt;mso-position-horizontal-relative:page;mso-position-vertical-relative:paragraph;z-index:15787008" coordorigin="2520,92" coordsize="8835,5800">
            <v:shape style="position:absolute;left:2520;top:5478;width:8834;height:207" coordorigin="2520,5478" coordsize="8834,207" path="m9211,5478l7293,5478,2520,5478,2520,5685,7293,5685,9211,5685,9211,5478xm11354,5478l9211,5478,9211,5685,11354,5685,11354,5478xe" filled="true" fillcolor="#16772b" stroked="false">
              <v:path arrowok="t"/>
              <v:fill type="solid"/>
            </v:shape>
            <v:shape style="position:absolute;left:2520;top:5463;width:8834;height:428" coordorigin="2520,5464" coordsize="8834,428" path="m9211,5464l7307,5464,7293,5464,2520,5464,2520,5478,7293,5478,7307,5478,9211,5478,9211,5464xm11354,5685l2520,5685,2520,5891,11354,5891,11354,5685xm11354,5464l9225,5464,9211,5464,9211,5478,9225,5478,11354,5478,11354,5464xe" filled="true" fillcolor="#5fff00" stroked="false">
              <v:path arrowok="t"/>
              <v:fill type="solid"/>
            </v:shape>
            <v:shape style="position:absolute;left:2520;top:91;width:6653;height:5361" type="#_x0000_t75" stroked="false">
              <v:imagedata r:id="rId26" o:title=""/>
            </v:shape>
            <w10:wrap type="none"/>
          </v:group>
        </w:pict>
      </w:r>
      <w:r>
        <w:rPr>
          <w:rFonts w:ascii="Times New Roman"/>
          <w:color w:val="16772B"/>
          <w:sz w:val="18"/>
        </w:rPr>
        <w:t>Location Map</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120"/>
        <w:ind w:left="265" w:right="0" w:firstLine="0"/>
        <w:jc w:val="left"/>
        <w:rPr>
          <w:rFonts w:ascii="Times New Roman"/>
          <w:sz w:val="18"/>
        </w:rPr>
      </w:pPr>
      <w:r>
        <w:rPr/>
        <w:pict>
          <v:shape style="position:absolute;margin-left:126.019997pt;margin-top:5.64233pt;width:441.7pt;height:175.6pt;mso-position-horizontal-relative:page;mso-position-vertical-relative:paragraph;z-index:157875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34"/>
                    <w:gridCol w:w="1933"/>
                    <w:gridCol w:w="2167"/>
                  </w:tblGrid>
                  <w:tr>
                    <w:trPr>
                      <w:trHeight w:val="420" w:hRule="atLeast"/>
                    </w:trPr>
                    <w:tc>
                      <w:tcPr>
                        <w:tcW w:w="8834" w:type="dxa"/>
                        <w:gridSpan w:val="3"/>
                      </w:tcPr>
                      <w:p>
                        <w:pPr>
                          <w:pStyle w:val="TableParagraph"/>
                          <w:tabs>
                            <w:tab w:pos="5571" w:val="left" w:leader="none"/>
                            <w:tab w:pos="7509" w:val="left" w:leader="none"/>
                          </w:tabs>
                          <w:spacing w:line="206" w:lineRule="exact" w:before="10"/>
                          <w:ind w:left="2767" w:right="814" w:hanging="768"/>
                          <w:jc w:val="left"/>
                          <w:rPr>
                            <w:rFonts w:ascii="Times New Roman"/>
                            <w:sz w:val="18"/>
                          </w:rPr>
                        </w:pPr>
                        <w:r>
                          <w:rPr>
                            <w:rFonts w:ascii="Times New Roman"/>
                            <w:color w:val="FFFFFF"/>
                            <w:sz w:val="18"/>
                          </w:rPr>
                          <w:t>Particulars</w:t>
                          <w:tab/>
                          <w:t>Unit</w:t>
                          <w:tab/>
                        </w:r>
                        <w:r>
                          <w:rPr>
                            <w:rFonts w:ascii="Times New Roman"/>
                            <w:color w:val="FFFFFF"/>
                            <w:spacing w:val="-4"/>
                            <w:sz w:val="18"/>
                          </w:rPr>
                          <w:t>Details </w:t>
                        </w:r>
                        <w:r>
                          <w:rPr>
                            <w:rFonts w:ascii="Times New Roman"/>
                            <w:sz w:val="18"/>
                          </w:rPr>
                          <w:t>Revenue assumptions (as on March 31,</w:t>
                        </w:r>
                        <w:r>
                          <w:rPr>
                            <w:rFonts w:ascii="Times New Roman"/>
                            <w:spacing w:val="1"/>
                            <w:sz w:val="18"/>
                          </w:rPr>
                          <w:t> </w:t>
                        </w:r>
                        <w:r>
                          <w:rPr>
                            <w:rFonts w:ascii="Times New Roman"/>
                            <w:sz w:val="18"/>
                          </w:rPr>
                          <w:t>2020)</w:t>
                        </w:r>
                      </w:p>
                    </w:tc>
                  </w:tr>
                  <w:tr>
                    <w:trPr>
                      <w:trHeight w:val="206" w:hRule="atLeast"/>
                    </w:trPr>
                    <w:tc>
                      <w:tcPr>
                        <w:tcW w:w="4734" w:type="dxa"/>
                        <w:tcBorders>
                          <w:bottom w:val="single" w:sz="6" w:space="0" w:color="5FFF00"/>
                        </w:tcBorders>
                      </w:tcPr>
                      <w:p>
                        <w:pPr>
                          <w:pStyle w:val="TableParagraph"/>
                          <w:spacing w:line="186" w:lineRule="exact"/>
                          <w:ind w:left="1674" w:right="1638"/>
                          <w:rPr>
                            <w:rFonts w:ascii="Times New Roman"/>
                            <w:sz w:val="18"/>
                          </w:rPr>
                        </w:pPr>
                        <w:r>
                          <w:rPr>
                            <w:rFonts w:ascii="Times New Roman"/>
                            <w:sz w:val="18"/>
                          </w:rPr>
                          <w:t>Lease completion</w:t>
                        </w:r>
                      </w:p>
                    </w:tc>
                    <w:tc>
                      <w:tcPr>
                        <w:tcW w:w="1933" w:type="dxa"/>
                        <w:tcBorders>
                          <w:bottom w:val="single" w:sz="6" w:space="0" w:color="5FFF00"/>
                        </w:tcBorders>
                      </w:tcPr>
                      <w:p>
                        <w:pPr>
                          <w:pStyle w:val="TableParagraph"/>
                          <w:spacing w:line="186" w:lineRule="exact"/>
                          <w:ind w:left="659" w:right="602"/>
                          <w:rPr>
                            <w:rFonts w:ascii="Times New Roman"/>
                            <w:sz w:val="18"/>
                          </w:rPr>
                        </w:pPr>
                        <w:r>
                          <w:rPr>
                            <w:rFonts w:ascii="Times New Roman"/>
                            <w:sz w:val="18"/>
                          </w:rPr>
                          <w:t>Year</w:t>
                        </w:r>
                      </w:p>
                    </w:tc>
                    <w:tc>
                      <w:tcPr>
                        <w:tcW w:w="2167" w:type="dxa"/>
                        <w:tcBorders>
                          <w:bottom w:val="single" w:sz="6" w:space="0" w:color="5FFF00"/>
                        </w:tcBorders>
                      </w:tcPr>
                      <w:p>
                        <w:pPr>
                          <w:pStyle w:val="TableParagraph"/>
                          <w:spacing w:line="186" w:lineRule="exact"/>
                          <w:ind w:left="304" w:right="277"/>
                          <w:rPr>
                            <w:rFonts w:ascii="Times New Roman"/>
                            <w:sz w:val="18"/>
                          </w:rPr>
                        </w:pPr>
                        <w:r>
                          <w:rPr>
                            <w:rFonts w:ascii="Times New Roman"/>
                            <w:sz w:val="18"/>
                          </w:rPr>
                          <w:t>Q4, FY 2023</w:t>
                        </w:r>
                      </w:p>
                    </w:tc>
                  </w:tr>
                  <w:tr>
                    <w:trPr>
                      <w:trHeight w:val="205" w:hRule="atLeast"/>
                    </w:trPr>
                    <w:tc>
                      <w:tcPr>
                        <w:tcW w:w="4734" w:type="dxa"/>
                        <w:tcBorders>
                          <w:top w:val="single" w:sz="6" w:space="0" w:color="5FFF00"/>
                          <w:bottom w:val="single" w:sz="6" w:space="0" w:color="5FFF00"/>
                        </w:tcBorders>
                      </w:tcPr>
                      <w:p>
                        <w:pPr>
                          <w:pStyle w:val="TableParagraph"/>
                          <w:spacing w:line="186" w:lineRule="exact"/>
                          <w:ind w:left="1675" w:right="1638"/>
                          <w:rPr>
                            <w:rFonts w:ascii="Times New Roman"/>
                            <w:sz w:val="18"/>
                          </w:rPr>
                        </w:pPr>
                        <w:r>
                          <w:rPr>
                            <w:rFonts w:ascii="Times New Roman"/>
                            <w:sz w:val="18"/>
                          </w:rPr>
                          <w:t>In-place rent</w:t>
                        </w:r>
                      </w:p>
                    </w:tc>
                    <w:tc>
                      <w:tcPr>
                        <w:tcW w:w="1933" w:type="dxa"/>
                        <w:tcBorders>
                          <w:top w:val="single" w:sz="6" w:space="0" w:color="5FFF00"/>
                          <w:bottom w:val="single" w:sz="6" w:space="0" w:color="5FFF00"/>
                        </w:tcBorders>
                      </w:tcPr>
                      <w:p>
                        <w:pPr>
                          <w:pStyle w:val="TableParagraph"/>
                          <w:spacing w:line="186" w:lineRule="exact"/>
                          <w:ind w:left="545"/>
                          <w:jc w:val="left"/>
                          <w:rPr>
                            <w:rFonts w:ascii="Times New Roman"/>
                            <w:sz w:val="18"/>
                          </w:rPr>
                        </w:pPr>
                        <w:r>
                          <w:rPr>
                            <w:rFonts w:ascii="Times New Roman"/>
                            <w:sz w:val="18"/>
                          </w:rPr>
                          <w:t>INR psf/mth</w:t>
                        </w:r>
                      </w:p>
                    </w:tc>
                    <w:tc>
                      <w:tcPr>
                        <w:tcW w:w="2167" w:type="dxa"/>
                        <w:tcBorders>
                          <w:top w:val="single" w:sz="6" w:space="0" w:color="5FFF00"/>
                          <w:bottom w:val="single" w:sz="6" w:space="0" w:color="5FFF00"/>
                        </w:tcBorders>
                      </w:tcPr>
                      <w:p>
                        <w:pPr>
                          <w:pStyle w:val="TableParagraph"/>
                          <w:spacing w:line="186" w:lineRule="exact"/>
                          <w:ind w:left="304" w:right="278"/>
                          <w:rPr>
                            <w:rFonts w:ascii="Times New Roman"/>
                            <w:sz w:val="18"/>
                          </w:rPr>
                        </w:pPr>
                        <w:r>
                          <w:rPr>
                            <w:rFonts w:ascii="Times New Roman"/>
                            <w:sz w:val="18"/>
                          </w:rPr>
                          <w:t>156</w:t>
                        </w:r>
                      </w:p>
                    </w:tc>
                  </w:tr>
                  <w:tr>
                    <w:trPr>
                      <w:trHeight w:val="208" w:hRule="atLeast"/>
                    </w:trPr>
                    <w:tc>
                      <w:tcPr>
                        <w:tcW w:w="4734" w:type="dxa"/>
                        <w:tcBorders>
                          <w:top w:val="single" w:sz="6" w:space="0" w:color="5FFF00"/>
                          <w:bottom w:val="single" w:sz="6" w:space="0" w:color="5FFF00"/>
                        </w:tcBorders>
                      </w:tcPr>
                      <w:p>
                        <w:pPr>
                          <w:pStyle w:val="TableParagraph"/>
                          <w:spacing w:line="188" w:lineRule="exact"/>
                          <w:ind w:left="886"/>
                          <w:jc w:val="left"/>
                          <w:rPr>
                            <w:rFonts w:ascii="Times New Roman" w:hAnsi="Times New Roman"/>
                            <w:sz w:val="18"/>
                          </w:rPr>
                        </w:pPr>
                        <w:r>
                          <w:rPr>
                            <w:rFonts w:ascii="Times New Roman" w:hAnsi="Times New Roman"/>
                            <w:sz w:val="18"/>
                          </w:rPr>
                          <w:t>Marginal rent – Non IT office component</w:t>
                        </w:r>
                      </w:p>
                    </w:tc>
                    <w:tc>
                      <w:tcPr>
                        <w:tcW w:w="1933" w:type="dxa"/>
                        <w:tcBorders>
                          <w:top w:val="single" w:sz="6" w:space="0" w:color="5FFF00"/>
                          <w:bottom w:val="single" w:sz="6" w:space="0" w:color="5FFF00"/>
                        </w:tcBorders>
                      </w:tcPr>
                      <w:p>
                        <w:pPr>
                          <w:pStyle w:val="TableParagraph"/>
                          <w:spacing w:line="188" w:lineRule="exact"/>
                          <w:ind w:left="545"/>
                          <w:jc w:val="left"/>
                          <w:rPr>
                            <w:rFonts w:ascii="Times New Roman"/>
                            <w:sz w:val="18"/>
                          </w:rPr>
                        </w:pPr>
                        <w:r>
                          <w:rPr>
                            <w:rFonts w:ascii="Times New Roman"/>
                            <w:sz w:val="18"/>
                          </w:rPr>
                          <w:t>INR psf/mth</w:t>
                        </w:r>
                      </w:p>
                    </w:tc>
                    <w:tc>
                      <w:tcPr>
                        <w:tcW w:w="2167" w:type="dxa"/>
                        <w:tcBorders>
                          <w:top w:val="single" w:sz="6" w:space="0" w:color="5FFF00"/>
                          <w:bottom w:val="single" w:sz="6" w:space="0" w:color="5FFF00"/>
                        </w:tcBorders>
                      </w:tcPr>
                      <w:p>
                        <w:pPr>
                          <w:pStyle w:val="TableParagraph"/>
                          <w:spacing w:line="188" w:lineRule="exact"/>
                          <w:ind w:left="304" w:right="275"/>
                          <w:rPr>
                            <w:rFonts w:ascii="Times New Roman"/>
                            <w:sz w:val="18"/>
                          </w:rPr>
                        </w:pPr>
                        <w:r>
                          <w:rPr>
                            <w:rFonts w:ascii="Times New Roman"/>
                            <w:sz w:val="18"/>
                          </w:rPr>
                          <w:t>147*</w:t>
                        </w:r>
                      </w:p>
                    </w:tc>
                  </w:tr>
                  <w:tr>
                    <w:trPr>
                      <w:trHeight w:val="206" w:hRule="atLeast"/>
                    </w:trPr>
                    <w:tc>
                      <w:tcPr>
                        <w:tcW w:w="4734" w:type="dxa"/>
                        <w:tcBorders>
                          <w:top w:val="single" w:sz="6" w:space="0" w:color="5FFF00"/>
                          <w:bottom w:val="single" w:sz="6" w:space="0" w:color="5FFF00"/>
                        </w:tcBorders>
                      </w:tcPr>
                      <w:p>
                        <w:pPr>
                          <w:pStyle w:val="TableParagraph"/>
                          <w:spacing w:line="186" w:lineRule="exact"/>
                          <w:ind w:left="1167"/>
                          <w:jc w:val="left"/>
                          <w:rPr>
                            <w:rFonts w:ascii="Times New Roman" w:hAnsi="Times New Roman"/>
                            <w:sz w:val="18"/>
                          </w:rPr>
                        </w:pPr>
                        <w:r>
                          <w:rPr>
                            <w:rFonts w:ascii="Times New Roman" w:hAnsi="Times New Roman"/>
                            <w:sz w:val="18"/>
                          </w:rPr>
                          <w:t>Marginal rent – Retail component</w:t>
                        </w:r>
                      </w:p>
                    </w:tc>
                    <w:tc>
                      <w:tcPr>
                        <w:tcW w:w="1933" w:type="dxa"/>
                        <w:tcBorders>
                          <w:top w:val="single" w:sz="6" w:space="0" w:color="5FFF00"/>
                          <w:bottom w:val="single" w:sz="6" w:space="0" w:color="5FFF00"/>
                        </w:tcBorders>
                      </w:tcPr>
                      <w:p>
                        <w:pPr>
                          <w:pStyle w:val="TableParagraph"/>
                          <w:spacing w:line="186" w:lineRule="exact"/>
                          <w:ind w:left="545"/>
                          <w:jc w:val="left"/>
                          <w:rPr>
                            <w:rFonts w:ascii="Times New Roman"/>
                            <w:sz w:val="18"/>
                          </w:rPr>
                        </w:pPr>
                        <w:r>
                          <w:rPr>
                            <w:rFonts w:ascii="Times New Roman"/>
                            <w:sz w:val="18"/>
                          </w:rPr>
                          <w:t>INR psf/mth</w:t>
                        </w:r>
                      </w:p>
                    </w:tc>
                    <w:tc>
                      <w:tcPr>
                        <w:tcW w:w="2167" w:type="dxa"/>
                        <w:tcBorders>
                          <w:top w:val="single" w:sz="6" w:space="0" w:color="5FFF00"/>
                          <w:bottom w:val="single" w:sz="6" w:space="0" w:color="5FFF00"/>
                        </w:tcBorders>
                      </w:tcPr>
                      <w:p>
                        <w:pPr>
                          <w:pStyle w:val="TableParagraph"/>
                          <w:spacing w:line="186" w:lineRule="exact"/>
                          <w:ind w:left="304" w:right="278"/>
                          <w:rPr>
                            <w:rFonts w:ascii="Times New Roman"/>
                            <w:sz w:val="18"/>
                          </w:rPr>
                        </w:pPr>
                        <w:r>
                          <w:rPr>
                            <w:rFonts w:ascii="Times New Roman"/>
                            <w:sz w:val="18"/>
                          </w:rPr>
                          <w:t>170</w:t>
                        </w:r>
                      </w:p>
                    </w:tc>
                  </w:tr>
                  <w:tr>
                    <w:trPr>
                      <w:trHeight w:val="208" w:hRule="atLeast"/>
                    </w:trPr>
                    <w:tc>
                      <w:tcPr>
                        <w:tcW w:w="4734" w:type="dxa"/>
                        <w:tcBorders>
                          <w:top w:val="single" w:sz="6" w:space="0" w:color="5FFF00"/>
                          <w:bottom w:val="single" w:sz="6" w:space="0" w:color="5FFF00"/>
                        </w:tcBorders>
                      </w:tcPr>
                      <w:p>
                        <w:pPr>
                          <w:pStyle w:val="TableParagraph"/>
                          <w:spacing w:line="188" w:lineRule="exact"/>
                          <w:ind w:left="1531"/>
                          <w:jc w:val="left"/>
                          <w:rPr>
                            <w:rFonts w:ascii="Times New Roman"/>
                            <w:sz w:val="18"/>
                          </w:rPr>
                        </w:pPr>
                        <w:r>
                          <w:rPr>
                            <w:rFonts w:ascii="Times New Roman"/>
                            <w:sz w:val="18"/>
                          </w:rPr>
                          <w:t>Parking rent (Effective)</w:t>
                        </w:r>
                      </w:p>
                    </w:tc>
                    <w:tc>
                      <w:tcPr>
                        <w:tcW w:w="1933" w:type="dxa"/>
                        <w:tcBorders>
                          <w:top w:val="single" w:sz="6" w:space="0" w:color="5FFF00"/>
                          <w:bottom w:val="single" w:sz="6" w:space="0" w:color="5FFF00"/>
                        </w:tcBorders>
                      </w:tcPr>
                      <w:p>
                        <w:pPr>
                          <w:pStyle w:val="TableParagraph"/>
                          <w:spacing w:line="188" w:lineRule="exact"/>
                          <w:ind w:left="477"/>
                          <w:jc w:val="left"/>
                          <w:rPr>
                            <w:rFonts w:ascii="Times New Roman"/>
                            <w:sz w:val="18"/>
                          </w:rPr>
                        </w:pPr>
                        <w:r>
                          <w:rPr>
                            <w:rFonts w:ascii="Times New Roman"/>
                            <w:sz w:val="18"/>
                          </w:rPr>
                          <w:t>INR / bay/mth</w:t>
                        </w:r>
                      </w:p>
                    </w:tc>
                    <w:tc>
                      <w:tcPr>
                        <w:tcW w:w="2167" w:type="dxa"/>
                        <w:tcBorders>
                          <w:top w:val="single" w:sz="6" w:space="0" w:color="5FFF00"/>
                          <w:bottom w:val="single" w:sz="6" w:space="0" w:color="5FFF00"/>
                        </w:tcBorders>
                      </w:tcPr>
                      <w:p>
                        <w:pPr>
                          <w:pStyle w:val="TableParagraph"/>
                          <w:spacing w:line="188" w:lineRule="exact"/>
                          <w:ind w:left="23"/>
                          <w:rPr>
                            <w:rFonts w:ascii="Times New Roman"/>
                            <w:sz w:val="18"/>
                          </w:rPr>
                        </w:pPr>
                        <w:r>
                          <w:rPr>
                            <w:rFonts w:ascii="Times New Roman"/>
                            <w:w w:val="99"/>
                            <w:sz w:val="18"/>
                          </w:rPr>
                          <w:t>-</w:t>
                        </w:r>
                      </w:p>
                    </w:tc>
                  </w:tr>
                  <w:tr>
                    <w:trPr>
                      <w:trHeight w:val="205" w:hRule="atLeast"/>
                    </w:trPr>
                    <w:tc>
                      <w:tcPr>
                        <w:tcW w:w="4734" w:type="dxa"/>
                        <w:tcBorders>
                          <w:top w:val="single" w:sz="6" w:space="0" w:color="5FFF00"/>
                          <w:bottom w:val="single" w:sz="6" w:space="0" w:color="5FFF00"/>
                        </w:tcBorders>
                      </w:tcPr>
                      <w:p>
                        <w:pPr>
                          <w:pStyle w:val="TableParagraph"/>
                          <w:spacing w:line="186" w:lineRule="exact"/>
                          <w:ind w:left="1020"/>
                          <w:jc w:val="left"/>
                          <w:rPr>
                            <w:rFonts w:ascii="Times New Roman" w:hAnsi="Times New Roman"/>
                            <w:sz w:val="18"/>
                          </w:rPr>
                        </w:pPr>
                        <w:r>
                          <w:rPr>
                            <w:rFonts w:ascii="Times New Roman" w:hAnsi="Times New Roman"/>
                            <w:sz w:val="18"/>
                          </w:rPr>
                          <w:t>ARR – Four Seasons at Embassy One</w:t>
                        </w:r>
                      </w:p>
                    </w:tc>
                    <w:tc>
                      <w:tcPr>
                        <w:tcW w:w="1933" w:type="dxa"/>
                        <w:tcBorders>
                          <w:top w:val="single" w:sz="6" w:space="0" w:color="5FFF00"/>
                          <w:bottom w:val="single" w:sz="6" w:space="0" w:color="5FFF00"/>
                        </w:tcBorders>
                      </w:tcPr>
                      <w:p>
                        <w:pPr>
                          <w:pStyle w:val="TableParagraph"/>
                          <w:spacing w:line="186" w:lineRule="exact"/>
                          <w:ind w:left="381"/>
                          <w:jc w:val="left"/>
                          <w:rPr>
                            <w:rFonts w:ascii="Times New Roman"/>
                            <w:sz w:val="18"/>
                          </w:rPr>
                        </w:pPr>
                        <w:r>
                          <w:rPr>
                            <w:rFonts w:ascii="Times New Roman"/>
                            <w:sz w:val="18"/>
                          </w:rPr>
                          <w:t>INR / room / day</w:t>
                        </w:r>
                      </w:p>
                    </w:tc>
                    <w:tc>
                      <w:tcPr>
                        <w:tcW w:w="2167" w:type="dxa"/>
                        <w:tcBorders>
                          <w:top w:val="single" w:sz="6" w:space="0" w:color="5FFF00"/>
                          <w:bottom w:val="single" w:sz="6" w:space="0" w:color="5FFF00"/>
                        </w:tcBorders>
                      </w:tcPr>
                      <w:p>
                        <w:pPr>
                          <w:pStyle w:val="TableParagraph"/>
                          <w:spacing w:line="186" w:lineRule="exact"/>
                          <w:ind w:left="304" w:right="277"/>
                          <w:rPr>
                            <w:rFonts w:ascii="Times New Roman"/>
                            <w:sz w:val="18"/>
                          </w:rPr>
                        </w:pPr>
                        <w:r>
                          <w:rPr>
                            <w:rFonts w:ascii="Times New Roman"/>
                            <w:sz w:val="18"/>
                          </w:rPr>
                          <w:t>10,500</w:t>
                        </w:r>
                      </w:p>
                    </w:tc>
                  </w:tr>
                  <w:tr>
                    <w:trPr>
                      <w:trHeight w:val="206" w:hRule="atLeast"/>
                    </w:trPr>
                    <w:tc>
                      <w:tcPr>
                        <w:tcW w:w="4734" w:type="dxa"/>
                        <w:tcBorders>
                          <w:top w:val="single" w:sz="6" w:space="0" w:color="5FFF00"/>
                        </w:tcBorders>
                      </w:tcPr>
                      <w:p>
                        <w:pPr>
                          <w:pStyle w:val="TableParagraph"/>
                          <w:spacing w:line="186" w:lineRule="exact"/>
                          <w:ind w:left="417"/>
                          <w:jc w:val="left"/>
                          <w:rPr>
                            <w:rFonts w:ascii="Times New Roman" w:hAnsi="Times New Roman"/>
                            <w:sz w:val="18"/>
                          </w:rPr>
                        </w:pPr>
                        <w:r>
                          <w:rPr>
                            <w:rFonts w:ascii="Times New Roman" w:hAnsi="Times New Roman"/>
                            <w:sz w:val="18"/>
                          </w:rPr>
                          <w:t>Stabilized Occupancy – Four Seasons at Embassy One</w:t>
                        </w:r>
                      </w:p>
                    </w:tc>
                    <w:tc>
                      <w:tcPr>
                        <w:tcW w:w="1933" w:type="dxa"/>
                        <w:tcBorders>
                          <w:top w:val="single" w:sz="6" w:space="0" w:color="5FFF00"/>
                        </w:tcBorders>
                      </w:tcPr>
                      <w:p>
                        <w:pPr>
                          <w:pStyle w:val="TableParagraph"/>
                          <w:spacing w:line="186" w:lineRule="exact"/>
                          <w:ind w:left="60"/>
                          <w:rPr>
                            <w:rFonts w:ascii="Times New Roman"/>
                            <w:sz w:val="18"/>
                          </w:rPr>
                        </w:pPr>
                        <w:r>
                          <w:rPr>
                            <w:rFonts w:ascii="Times New Roman"/>
                            <w:w w:val="99"/>
                            <w:sz w:val="18"/>
                          </w:rPr>
                          <w:t>%</w:t>
                        </w:r>
                      </w:p>
                    </w:tc>
                    <w:tc>
                      <w:tcPr>
                        <w:tcW w:w="2167" w:type="dxa"/>
                        <w:tcBorders>
                          <w:top w:val="single" w:sz="6" w:space="0" w:color="5FFF00"/>
                        </w:tcBorders>
                      </w:tcPr>
                      <w:p>
                        <w:pPr>
                          <w:pStyle w:val="TableParagraph"/>
                          <w:spacing w:line="186" w:lineRule="exact"/>
                          <w:ind w:left="302" w:right="278"/>
                          <w:rPr>
                            <w:rFonts w:ascii="Times New Roman"/>
                            <w:sz w:val="18"/>
                          </w:rPr>
                        </w:pPr>
                        <w:r>
                          <w:rPr>
                            <w:rFonts w:ascii="Times New Roman"/>
                            <w:sz w:val="18"/>
                          </w:rPr>
                          <w:t>70%</w:t>
                        </w:r>
                      </w:p>
                    </w:tc>
                  </w:tr>
                  <w:tr>
                    <w:trPr>
                      <w:trHeight w:val="223" w:hRule="atLeast"/>
                    </w:trPr>
                    <w:tc>
                      <w:tcPr>
                        <w:tcW w:w="4734" w:type="dxa"/>
                        <w:shd w:val="clear" w:color="auto" w:fill="5FFF00"/>
                      </w:tcPr>
                      <w:p>
                        <w:pPr>
                          <w:pStyle w:val="TableParagraph"/>
                          <w:spacing w:line="186" w:lineRule="exact" w:before="16"/>
                          <w:ind w:right="-29"/>
                          <w:jc w:val="right"/>
                          <w:rPr>
                            <w:rFonts w:ascii="Times New Roman"/>
                            <w:sz w:val="18"/>
                          </w:rPr>
                        </w:pPr>
                        <w:r>
                          <w:rPr>
                            <w:rFonts w:ascii="Times New Roman"/>
                            <w:sz w:val="18"/>
                          </w:rPr>
                          <w:t>Other financial ass</w:t>
                        </w:r>
                      </w:p>
                    </w:tc>
                    <w:tc>
                      <w:tcPr>
                        <w:tcW w:w="1933" w:type="dxa"/>
                        <w:shd w:val="clear" w:color="auto" w:fill="5FFF00"/>
                      </w:tcPr>
                      <w:p>
                        <w:pPr>
                          <w:pStyle w:val="TableParagraph"/>
                          <w:spacing w:line="186" w:lineRule="exact" w:before="16"/>
                          <w:ind w:left="22"/>
                          <w:jc w:val="left"/>
                          <w:rPr>
                            <w:rFonts w:ascii="Times New Roman"/>
                            <w:sz w:val="18"/>
                          </w:rPr>
                        </w:pPr>
                        <w:r>
                          <w:rPr>
                            <w:rFonts w:ascii="Times New Roman"/>
                            <w:sz w:val="18"/>
                          </w:rPr>
                          <w:t>umptions</w:t>
                        </w:r>
                      </w:p>
                    </w:tc>
                    <w:tc>
                      <w:tcPr>
                        <w:tcW w:w="2167" w:type="dxa"/>
                        <w:shd w:val="clear" w:color="auto" w:fill="5FFF00"/>
                      </w:tcPr>
                      <w:p>
                        <w:pPr>
                          <w:pStyle w:val="TableParagraph"/>
                          <w:jc w:val="left"/>
                          <w:rPr>
                            <w:rFonts w:ascii="Times New Roman"/>
                            <w:sz w:val="14"/>
                          </w:rPr>
                        </w:pPr>
                      </w:p>
                    </w:tc>
                  </w:tr>
                  <w:tr>
                    <w:trPr>
                      <w:trHeight w:val="206" w:hRule="atLeast"/>
                    </w:trPr>
                    <w:tc>
                      <w:tcPr>
                        <w:tcW w:w="4734" w:type="dxa"/>
                        <w:tcBorders>
                          <w:bottom w:val="single" w:sz="6" w:space="0" w:color="5FFF00"/>
                        </w:tcBorders>
                      </w:tcPr>
                      <w:p>
                        <w:pPr>
                          <w:pStyle w:val="TableParagraph"/>
                          <w:spacing w:line="186" w:lineRule="exact"/>
                          <w:ind w:left="1111"/>
                          <w:jc w:val="left"/>
                          <w:rPr>
                            <w:rFonts w:ascii="Times New Roman" w:hAnsi="Times New Roman"/>
                            <w:sz w:val="18"/>
                          </w:rPr>
                        </w:pPr>
                        <w:r>
                          <w:rPr>
                            <w:rFonts w:ascii="Times New Roman" w:hAnsi="Times New Roman"/>
                            <w:sz w:val="18"/>
                          </w:rPr>
                          <w:t>Cap rate – commercial components</w:t>
                        </w:r>
                      </w:p>
                    </w:tc>
                    <w:tc>
                      <w:tcPr>
                        <w:tcW w:w="1933" w:type="dxa"/>
                        <w:tcBorders>
                          <w:bottom w:val="single" w:sz="6" w:space="0" w:color="5FFF00"/>
                        </w:tcBorders>
                      </w:tcPr>
                      <w:p>
                        <w:pPr>
                          <w:pStyle w:val="TableParagraph"/>
                          <w:spacing w:line="186" w:lineRule="exact"/>
                          <w:ind w:left="60"/>
                          <w:rPr>
                            <w:rFonts w:ascii="Times New Roman"/>
                            <w:sz w:val="18"/>
                          </w:rPr>
                        </w:pPr>
                        <w:r>
                          <w:rPr>
                            <w:rFonts w:ascii="Times New Roman"/>
                            <w:w w:val="99"/>
                            <w:sz w:val="18"/>
                          </w:rPr>
                          <w:t>%</w:t>
                        </w:r>
                      </w:p>
                    </w:tc>
                    <w:tc>
                      <w:tcPr>
                        <w:tcW w:w="2167" w:type="dxa"/>
                        <w:tcBorders>
                          <w:bottom w:val="single" w:sz="6" w:space="0" w:color="5FFF00"/>
                        </w:tcBorders>
                      </w:tcPr>
                      <w:p>
                        <w:pPr>
                          <w:pStyle w:val="TableParagraph"/>
                          <w:spacing w:line="186" w:lineRule="exact"/>
                          <w:ind w:left="304" w:right="278"/>
                          <w:rPr>
                            <w:rFonts w:ascii="Times New Roman"/>
                            <w:sz w:val="18"/>
                          </w:rPr>
                        </w:pPr>
                        <w:r>
                          <w:rPr>
                            <w:rFonts w:ascii="Times New Roman"/>
                            <w:sz w:val="18"/>
                          </w:rPr>
                          <w:t>7.50%</w:t>
                        </w:r>
                      </w:p>
                    </w:tc>
                  </w:tr>
                  <w:tr>
                    <w:trPr>
                      <w:trHeight w:val="211" w:hRule="atLeast"/>
                    </w:trPr>
                    <w:tc>
                      <w:tcPr>
                        <w:tcW w:w="4734" w:type="dxa"/>
                        <w:tcBorders>
                          <w:top w:val="single" w:sz="6" w:space="0" w:color="5FFF00"/>
                        </w:tcBorders>
                      </w:tcPr>
                      <w:p>
                        <w:pPr>
                          <w:pStyle w:val="TableParagraph"/>
                          <w:jc w:val="left"/>
                          <w:rPr>
                            <w:rFonts w:ascii="Times New Roman"/>
                            <w:sz w:val="14"/>
                          </w:rPr>
                        </w:pPr>
                      </w:p>
                    </w:tc>
                    <w:tc>
                      <w:tcPr>
                        <w:tcW w:w="1933" w:type="dxa"/>
                        <w:tcBorders>
                          <w:top w:val="single" w:sz="6" w:space="0" w:color="5FFF00"/>
                        </w:tcBorders>
                      </w:tcPr>
                      <w:p>
                        <w:pPr>
                          <w:pStyle w:val="TableParagraph"/>
                          <w:jc w:val="left"/>
                          <w:rPr>
                            <w:rFonts w:ascii="Times New Roman"/>
                            <w:sz w:val="14"/>
                          </w:rPr>
                        </w:pPr>
                      </w:p>
                    </w:tc>
                    <w:tc>
                      <w:tcPr>
                        <w:tcW w:w="2167" w:type="dxa"/>
                        <w:tcBorders>
                          <w:top w:val="single" w:sz="6" w:space="0" w:color="5FFF00"/>
                        </w:tcBorders>
                      </w:tcPr>
                      <w:p>
                        <w:pPr>
                          <w:pStyle w:val="TableParagraph"/>
                          <w:spacing w:line="191" w:lineRule="exact"/>
                          <w:ind w:left="304" w:right="277"/>
                          <w:rPr>
                            <w:rFonts w:ascii="Times New Roman"/>
                            <w:sz w:val="18"/>
                          </w:rPr>
                        </w:pPr>
                        <w:r>
                          <w:rPr>
                            <w:rFonts w:ascii="Times New Roman"/>
                            <w:sz w:val="18"/>
                          </w:rPr>
                          <w:t>7.14%</w:t>
                        </w:r>
                      </w:p>
                    </w:tc>
                  </w:tr>
                  <w:tr>
                    <w:trPr>
                      <w:trHeight w:val="431" w:hRule="atLeast"/>
                    </w:trPr>
                    <w:tc>
                      <w:tcPr>
                        <w:tcW w:w="4734" w:type="dxa"/>
                        <w:tcBorders>
                          <w:bottom w:val="single" w:sz="6" w:space="0" w:color="5FFF00"/>
                        </w:tcBorders>
                      </w:tcPr>
                      <w:p>
                        <w:pPr>
                          <w:pStyle w:val="TableParagraph"/>
                          <w:spacing w:before="6"/>
                          <w:ind w:left="1356"/>
                          <w:jc w:val="left"/>
                          <w:rPr>
                            <w:rFonts w:ascii="Times New Roman" w:hAnsi="Times New Roman"/>
                            <w:sz w:val="18"/>
                          </w:rPr>
                        </w:pPr>
                        <w:r>
                          <w:rPr>
                            <w:rFonts w:ascii="Times New Roman" w:hAnsi="Times New Roman"/>
                            <w:sz w:val="18"/>
                          </w:rPr>
                          <w:t>Cap rate – hotel components</w:t>
                        </w:r>
                      </w:p>
                    </w:tc>
                    <w:tc>
                      <w:tcPr>
                        <w:tcW w:w="1933" w:type="dxa"/>
                        <w:tcBorders>
                          <w:bottom w:val="single" w:sz="6" w:space="0" w:color="5FFF00"/>
                        </w:tcBorders>
                      </w:tcPr>
                      <w:p>
                        <w:pPr>
                          <w:pStyle w:val="TableParagraph"/>
                          <w:spacing w:before="6"/>
                          <w:ind w:left="60"/>
                          <w:rPr>
                            <w:rFonts w:ascii="Times New Roman"/>
                            <w:sz w:val="18"/>
                          </w:rPr>
                        </w:pPr>
                        <w:r>
                          <w:rPr>
                            <w:rFonts w:ascii="Times New Roman"/>
                            <w:w w:val="99"/>
                            <w:sz w:val="18"/>
                          </w:rPr>
                          <w:t>%</w:t>
                        </w:r>
                      </w:p>
                    </w:tc>
                    <w:tc>
                      <w:tcPr>
                        <w:tcW w:w="2167" w:type="dxa"/>
                        <w:tcBorders>
                          <w:bottom w:val="single" w:sz="6" w:space="0" w:color="5FFF00"/>
                        </w:tcBorders>
                      </w:tcPr>
                      <w:p>
                        <w:pPr>
                          <w:pStyle w:val="TableParagraph"/>
                          <w:spacing w:line="204" w:lineRule="exact"/>
                          <w:ind w:left="304" w:right="278"/>
                          <w:rPr>
                            <w:rFonts w:ascii="Times New Roman"/>
                            <w:sz w:val="18"/>
                          </w:rPr>
                        </w:pPr>
                        <w:r>
                          <w:rPr>
                            <w:rFonts w:ascii="Times New Roman"/>
                            <w:sz w:val="18"/>
                          </w:rPr>
                          <w:t>(viz. an EV-EBITDA</w:t>
                        </w:r>
                      </w:p>
                      <w:p>
                        <w:pPr>
                          <w:pStyle w:val="TableParagraph"/>
                          <w:spacing w:line="205" w:lineRule="exact" w:before="2"/>
                          <w:ind w:left="304" w:right="276"/>
                          <w:rPr>
                            <w:rFonts w:ascii="Times New Roman"/>
                            <w:sz w:val="18"/>
                          </w:rPr>
                        </w:pPr>
                        <w:r>
                          <w:rPr>
                            <w:rFonts w:ascii="Times New Roman"/>
                            <w:sz w:val="18"/>
                          </w:rPr>
                          <w:t>multiple of 14)</w:t>
                        </w:r>
                      </w:p>
                    </w:tc>
                  </w:tr>
                  <w:tr>
                    <w:trPr>
                      <w:trHeight w:val="205" w:hRule="atLeast"/>
                    </w:trPr>
                    <w:tc>
                      <w:tcPr>
                        <w:tcW w:w="4734" w:type="dxa"/>
                        <w:tcBorders>
                          <w:top w:val="single" w:sz="6" w:space="0" w:color="5FFF00"/>
                          <w:bottom w:val="single" w:sz="6" w:space="0" w:color="5FFF00"/>
                        </w:tcBorders>
                      </w:tcPr>
                      <w:p>
                        <w:pPr>
                          <w:pStyle w:val="TableParagraph"/>
                          <w:spacing w:line="186" w:lineRule="exact"/>
                          <w:ind w:left="1471"/>
                          <w:jc w:val="left"/>
                          <w:rPr>
                            <w:rFonts w:ascii="Times New Roman"/>
                            <w:sz w:val="18"/>
                          </w:rPr>
                        </w:pPr>
                        <w:r>
                          <w:rPr>
                            <w:rFonts w:ascii="Times New Roman"/>
                            <w:sz w:val="18"/>
                          </w:rPr>
                          <w:t>WACC rate (operational)</w:t>
                        </w:r>
                      </w:p>
                    </w:tc>
                    <w:tc>
                      <w:tcPr>
                        <w:tcW w:w="1933" w:type="dxa"/>
                        <w:tcBorders>
                          <w:top w:val="single" w:sz="6" w:space="0" w:color="5FFF00"/>
                          <w:bottom w:val="single" w:sz="6" w:space="0" w:color="5FFF00"/>
                        </w:tcBorders>
                      </w:tcPr>
                      <w:p>
                        <w:pPr>
                          <w:pStyle w:val="TableParagraph"/>
                          <w:spacing w:line="186" w:lineRule="exact"/>
                          <w:ind w:left="60"/>
                          <w:rPr>
                            <w:rFonts w:ascii="Times New Roman"/>
                            <w:sz w:val="18"/>
                          </w:rPr>
                        </w:pPr>
                        <w:r>
                          <w:rPr>
                            <w:rFonts w:ascii="Times New Roman"/>
                            <w:w w:val="99"/>
                            <w:sz w:val="18"/>
                          </w:rPr>
                          <w:t>%</w:t>
                        </w:r>
                      </w:p>
                    </w:tc>
                    <w:tc>
                      <w:tcPr>
                        <w:tcW w:w="2167" w:type="dxa"/>
                        <w:tcBorders>
                          <w:top w:val="single" w:sz="6" w:space="0" w:color="5FFF00"/>
                          <w:bottom w:val="single" w:sz="6" w:space="0" w:color="5FFF00"/>
                        </w:tcBorders>
                      </w:tcPr>
                      <w:p>
                        <w:pPr>
                          <w:pStyle w:val="TableParagraph"/>
                          <w:spacing w:line="186" w:lineRule="exact"/>
                          <w:ind w:left="302" w:right="278"/>
                          <w:rPr>
                            <w:rFonts w:ascii="Times New Roman"/>
                            <w:sz w:val="18"/>
                          </w:rPr>
                        </w:pPr>
                        <w:r>
                          <w:rPr>
                            <w:rFonts w:ascii="Times New Roman"/>
                            <w:sz w:val="18"/>
                          </w:rPr>
                          <w:t>12.03%</w:t>
                        </w:r>
                      </w:p>
                    </w:tc>
                  </w:tr>
                  <w:tr>
                    <w:trPr>
                      <w:trHeight w:val="208" w:hRule="atLeast"/>
                    </w:trPr>
                    <w:tc>
                      <w:tcPr>
                        <w:tcW w:w="4734" w:type="dxa"/>
                        <w:tcBorders>
                          <w:top w:val="single" w:sz="6" w:space="0" w:color="5FFF00"/>
                          <w:bottom w:val="single" w:sz="6" w:space="0" w:color="5FFF00"/>
                        </w:tcBorders>
                      </w:tcPr>
                      <w:p>
                        <w:pPr>
                          <w:pStyle w:val="TableParagraph"/>
                          <w:spacing w:line="188" w:lineRule="exact"/>
                          <w:ind w:left="1675" w:right="1638"/>
                          <w:rPr>
                            <w:rFonts w:ascii="Times New Roman"/>
                            <w:sz w:val="18"/>
                          </w:rPr>
                        </w:pPr>
                        <w:r>
                          <w:rPr>
                            <w:rFonts w:ascii="Times New Roman"/>
                            <w:sz w:val="18"/>
                          </w:rPr>
                          <w:t>WACC rate (hotel)</w:t>
                        </w:r>
                      </w:p>
                    </w:tc>
                    <w:tc>
                      <w:tcPr>
                        <w:tcW w:w="1933" w:type="dxa"/>
                        <w:tcBorders>
                          <w:top w:val="single" w:sz="6" w:space="0" w:color="5FFF00"/>
                          <w:bottom w:val="single" w:sz="6" w:space="0" w:color="5FFF00"/>
                        </w:tcBorders>
                      </w:tcPr>
                      <w:p>
                        <w:pPr>
                          <w:pStyle w:val="TableParagraph"/>
                          <w:spacing w:line="188" w:lineRule="exact"/>
                          <w:ind w:left="60"/>
                          <w:rPr>
                            <w:rFonts w:ascii="Times New Roman"/>
                            <w:sz w:val="18"/>
                          </w:rPr>
                        </w:pPr>
                        <w:r>
                          <w:rPr>
                            <w:rFonts w:ascii="Times New Roman"/>
                            <w:w w:val="99"/>
                            <w:sz w:val="18"/>
                          </w:rPr>
                          <w:t>%</w:t>
                        </w:r>
                      </w:p>
                    </w:tc>
                    <w:tc>
                      <w:tcPr>
                        <w:tcW w:w="2167" w:type="dxa"/>
                        <w:tcBorders>
                          <w:top w:val="single" w:sz="6" w:space="0" w:color="5FFF00"/>
                          <w:bottom w:val="single" w:sz="6" w:space="0" w:color="5FFF00"/>
                        </w:tcBorders>
                      </w:tcPr>
                      <w:p>
                        <w:pPr>
                          <w:pStyle w:val="TableParagraph"/>
                          <w:spacing w:line="188" w:lineRule="exact"/>
                          <w:ind w:left="302" w:right="278"/>
                          <w:rPr>
                            <w:rFonts w:ascii="Times New Roman"/>
                            <w:sz w:val="18"/>
                          </w:rPr>
                        </w:pPr>
                        <w:r>
                          <w:rPr>
                            <w:rFonts w:ascii="Times New Roman"/>
                            <w:sz w:val="18"/>
                          </w:rPr>
                          <w:t>12.63%</w:t>
                        </w:r>
                      </w:p>
                    </w:tc>
                  </w:tr>
                </w:tbl>
                <w:p>
                  <w:pPr>
                    <w:pStyle w:val="BodyText"/>
                  </w:pPr>
                </w:p>
              </w:txbxContent>
            </v:textbox>
            <w10:wrap type="none"/>
          </v:shape>
        </w:pict>
      </w:r>
      <w:r>
        <w:rPr>
          <w:rFonts w:ascii="Times New Roman"/>
          <w:color w:val="16772B"/>
          <w:sz w:val="18"/>
        </w:rPr>
        <w:t>Key Assumptions</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26"/>
        </w:rPr>
      </w:pPr>
    </w:p>
    <w:p>
      <w:pPr>
        <w:spacing w:before="0"/>
        <w:ind w:left="1900" w:right="0" w:firstLine="0"/>
        <w:jc w:val="left"/>
        <w:rPr>
          <w:rFonts w:ascii="Times New Roman"/>
          <w:i/>
          <w:sz w:val="18"/>
        </w:rPr>
      </w:pPr>
      <w:r>
        <w:rPr>
          <w:rFonts w:ascii="Times New Roman"/>
          <w:i/>
          <w:sz w:val="18"/>
        </w:rPr>
        <w:t>* Inclusive of car park rent</w:t>
      </w:r>
    </w:p>
    <w:p>
      <w:pPr>
        <w:pStyle w:val="BodyText"/>
        <w:spacing w:before="4"/>
        <w:rPr>
          <w:rFonts w:ascii="Times New Roman"/>
          <w:i/>
          <w:sz w:val="20"/>
        </w:rPr>
      </w:pPr>
    </w:p>
    <w:p>
      <w:pPr>
        <w:tabs>
          <w:tab w:pos="1900" w:val="left" w:leader="none"/>
        </w:tabs>
        <w:spacing w:before="92"/>
        <w:ind w:left="265" w:right="0" w:firstLine="0"/>
        <w:jc w:val="left"/>
        <w:rPr>
          <w:rFonts w:ascii="Times New Roman"/>
          <w:b/>
          <w:sz w:val="18"/>
        </w:rPr>
      </w:pPr>
      <w:r>
        <w:rPr>
          <w:rFonts w:ascii="Times New Roman"/>
          <w:color w:val="16772B"/>
          <w:sz w:val="18"/>
        </w:rPr>
        <w:t>Market</w:t>
      </w:r>
      <w:r>
        <w:rPr>
          <w:rFonts w:ascii="Times New Roman"/>
          <w:color w:val="16772B"/>
          <w:spacing w:val="-1"/>
          <w:sz w:val="18"/>
        </w:rPr>
        <w:t> </w:t>
      </w:r>
      <w:r>
        <w:rPr>
          <w:rFonts w:ascii="Times New Roman"/>
          <w:color w:val="16772B"/>
          <w:sz w:val="18"/>
        </w:rPr>
        <w:t>Value:</w:t>
        <w:tab/>
      </w:r>
      <w:r>
        <w:rPr>
          <w:rFonts w:ascii="Times New Roman"/>
          <w:b/>
          <w:sz w:val="18"/>
        </w:rPr>
        <w:t>INR 12,570</w:t>
      </w:r>
      <w:r>
        <w:rPr>
          <w:rFonts w:ascii="Times New Roman"/>
          <w:b/>
          <w:spacing w:val="-1"/>
          <w:sz w:val="18"/>
        </w:rPr>
        <w:t> </w:t>
      </w:r>
      <w:r>
        <w:rPr>
          <w:rFonts w:ascii="Times New Roman"/>
          <w:b/>
          <w:sz w:val="18"/>
        </w:rPr>
        <w:t>Mn</w:t>
      </w:r>
    </w:p>
    <w:p>
      <w:pPr>
        <w:spacing w:after="0"/>
        <w:jc w:val="left"/>
        <w:rPr>
          <w:rFonts w:ascii="Times New Roman"/>
          <w:sz w:val="18"/>
        </w:rPr>
        <w:sectPr>
          <w:pgSz w:w="12240" w:h="15840"/>
          <w:pgMar w:header="728" w:footer="1174" w:top="1180" w:bottom="1460" w:left="620" w:right="580"/>
        </w:sectPr>
      </w:pPr>
    </w:p>
    <w:p>
      <w:pPr>
        <w:pStyle w:val="BodyText"/>
        <w:rPr>
          <w:rFonts w:ascii="Times New Roman"/>
          <w:b/>
          <w:sz w:val="18"/>
        </w:rPr>
      </w:pPr>
    </w:p>
    <w:p>
      <w:pPr>
        <w:pStyle w:val="ListParagraph"/>
        <w:numPr>
          <w:ilvl w:val="1"/>
          <w:numId w:val="1"/>
        </w:numPr>
        <w:tabs>
          <w:tab w:pos="1554" w:val="left" w:leader="none"/>
          <w:tab w:pos="1555" w:val="left" w:leader="none"/>
        </w:tabs>
        <w:spacing w:line="240" w:lineRule="auto" w:before="91" w:after="0"/>
        <w:ind w:left="1554" w:right="0" w:hanging="735"/>
        <w:jc w:val="left"/>
        <w:rPr>
          <w:rFonts w:ascii="Times New Roman"/>
          <w:color w:val="16772B"/>
          <w:sz w:val="20"/>
        </w:rPr>
      </w:pPr>
      <w:r>
        <w:rPr>
          <w:rFonts w:ascii="Times New Roman"/>
          <w:color w:val="16772B"/>
          <w:sz w:val="20"/>
        </w:rPr>
        <w:t>Hilton at Embassy</w:t>
      </w:r>
      <w:r>
        <w:rPr>
          <w:rFonts w:ascii="Times New Roman"/>
          <w:color w:val="16772B"/>
          <w:spacing w:val="3"/>
          <w:sz w:val="20"/>
        </w:rPr>
        <w:t> </w:t>
      </w:r>
      <w:r>
        <w:rPr>
          <w:rFonts w:ascii="Times New Roman"/>
          <w:color w:val="16772B"/>
          <w:sz w:val="20"/>
        </w:rPr>
        <w:t>GolfLinks</w:t>
      </w:r>
    </w:p>
    <w:p>
      <w:pPr>
        <w:pStyle w:val="BodyText"/>
        <w:rPr>
          <w:rFonts w:ascii="Times New Roman"/>
          <w:sz w:val="24"/>
        </w:rPr>
      </w:pPr>
    </w:p>
    <w:p>
      <w:pPr>
        <w:spacing w:before="0"/>
        <w:ind w:left="1811" w:right="298" w:hanging="1546"/>
        <w:jc w:val="both"/>
        <w:rPr>
          <w:rFonts w:ascii="Times New Roman" w:hAnsi="Times New Roman"/>
          <w:sz w:val="18"/>
        </w:rPr>
      </w:pPr>
      <w:r>
        <w:rPr>
          <w:rFonts w:ascii="Times New Roman" w:hAnsi="Times New Roman"/>
          <w:color w:val="16772B"/>
          <w:sz w:val="18"/>
        </w:rPr>
        <w:t>Property Name: </w:t>
      </w:r>
      <w:r>
        <w:rPr>
          <w:rFonts w:ascii="Times New Roman" w:hAnsi="Times New Roman"/>
          <w:sz w:val="18"/>
        </w:rPr>
        <w:t>Hilton at Embassy GolfLinks is an operational hospitality development as part of a larger office asset ‘Embassy GolfLinks’ located along Intermediate Ring Road, Bengaluru, Karnataka</w:t>
      </w:r>
    </w:p>
    <w:p>
      <w:pPr>
        <w:tabs>
          <w:tab w:pos="1811" w:val="left" w:leader="none"/>
        </w:tabs>
        <w:spacing w:before="119"/>
        <w:ind w:left="265" w:right="0" w:firstLine="0"/>
        <w:jc w:val="left"/>
        <w:rPr>
          <w:rFonts w:ascii="Times New Roman"/>
          <w:sz w:val="18"/>
        </w:rPr>
      </w:pPr>
      <w:r>
        <w:rPr>
          <w:rFonts w:ascii="Times New Roman"/>
          <w:color w:val="16772B"/>
          <w:sz w:val="18"/>
        </w:rPr>
        <w:t>Property</w:t>
      </w:r>
      <w:r>
        <w:rPr>
          <w:rFonts w:ascii="Times New Roman"/>
          <w:color w:val="16772B"/>
          <w:spacing w:val="-1"/>
          <w:sz w:val="18"/>
        </w:rPr>
        <w:t> </w:t>
      </w:r>
      <w:r>
        <w:rPr>
          <w:rFonts w:ascii="Times New Roman"/>
          <w:color w:val="16772B"/>
          <w:sz w:val="18"/>
        </w:rPr>
        <w:t>Address:</w:t>
        <w:tab/>
      </w:r>
      <w:r>
        <w:rPr>
          <w:rFonts w:ascii="Times New Roman"/>
          <w:sz w:val="18"/>
        </w:rPr>
        <w:t>Challaghatta Village, Varthur Hobli, Bengaluru East Taluk, Bengaluru,</w:t>
      </w:r>
      <w:r>
        <w:rPr>
          <w:rFonts w:ascii="Times New Roman"/>
          <w:spacing w:val="2"/>
          <w:sz w:val="18"/>
        </w:rPr>
        <w:t> </w:t>
      </w:r>
      <w:r>
        <w:rPr>
          <w:rFonts w:ascii="Times New Roman"/>
          <w:sz w:val="18"/>
        </w:rPr>
        <w:t>Karnataka</w:t>
      </w:r>
    </w:p>
    <w:p>
      <w:pPr>
        <w:tabs>
          <w:tab w:pos="1811" w:val="left" w:leader="none"/>
        </w:tabs>
        <w:spacing w:before="122"/>
        <w:ind w:left="1811" w:right="305" w:hanging="1546"/>
        <w:jc w:val="both"/>
        <w:rPr>
          <w:rFonts w:ascii="Times New Roman"/>
          <w:sz w:val="18"/>
        </w:rPr>
      </w:pPr>
      <w:r>
        <w:rPr>
          <w:rFonts w:ascii="Times New Roman"/>
          <w:color w:val="16772B"/>
          <w:sz w:val="18"/>
        </w:rPr>
        <w:t>Land Area:</w:t>
        <w:tab/>
      </w:r>
      <w:r>
        <w:rPr>
          <w:rFonts w:ascii="Times New Roman"/>
          <w:sz w:val="18"/>
        </w:rPr>
        <w:t>Based on review of the title report, the Valuer understands that the total land area of the subject property under the ownership of the Client is approximately 3.58</w:t>
      </w:r>
      <w:r>
        <w:rPr>
          <w:rFonts w:ascii="Times New Roman"/>
          <w:spacing w:val="-1"/>
          <w:sz w:val="18"/>
        </w:rPr>
        <w:t> </w:t>
      </w:r>
      <w:r>
        <w:rPr>
          <w:rFonts w:ascii="Times New Roman"/>
          <w:sz w:val="18"/>
        </w:rPr>
        <w:t>acres</w:t>
      </w:r>
    </w:p>
    <w:p>
      <w:pPr>
        <w:spacing w:before="119"/>
        <w:ind w:left="1811" w:right="295" w:hanging="1546"/>
        <w:jc w:val="both"/>
        <w:rPr>
          <w:rFonts w:ascii="Times New Roman" w:hAnsi="Times New Roman"/>
          <w:sz w:val="18"/>
        </w:rPr>
      </w:pPr>
      <w:r>
        <w:rPr>
          <w:rFonts w:ascii="Times New Roman" w:hAnsi="Times New Roman"/>
          <w:color w:val="16772B"/>
          <w:sz w:val="18"/>
        </w:rPr>
        <w:t>Brief Description: </w:t>
      </w:r>
      <w:r>
        <w:rPr>
          <w:rFonts w:ascii="Times New Roman" w:hAnsi="Times New Roman"/>
          <w:sz w:val="18"/>
        </w:rPr>
        <w:t>The </w:t>
      </w:r>
      <w:r>
        <w:rPr>
          <w:rFonts w:ascii="Times New Roman" w:hAnsi="Times New Roman"/>
          <w:spacing w:val="-3"/>
          <w:sz w:val="18"/>
        </w:rPr>
        <w:t>subject </w:t>
      </w:r>
      <w:r>
        <w:rPr>
          <w:rFonts w:ascii="Times New Roman" w:hAnsi="Times New Roman"/>
          <w:spacing w:val="-4"/>
          <w:sz w:val="18"/>
        </w:rPr>
        <w:t>property, Hilton </w:t>
      </w:r>
      <w:r>
        <w:rPr>
          <w:rFonts w:ascii="Times New Roman" w:hAnsi="Times New Roman"/>
          <w:spacing w:val="-3"/>
          <w:sz w:val="18"/>
        </w:rPr>
        <w:t>at Embassy </w:t>
      </w:r>
      <w:r>
        <w:rPr>
          <w:rFonts w:ascii="Times New Roman" w:hAnsi="Times New Roman"/>
          <w:spacing w:val="-4"/>
          <w:sz w:val="18"/>
        </w:rPr>
        <w:t>GolfLinks, </w:t>
      </w:r>
      <w:r>
        <w:rPr>
          <w:rFonts w:ascii="Times New Roman" w:hAnsi="Times New Roman"/>
          <w:sz w:val="18"/>
        </w:rPr>
        <w:t>is an </w:t>
      </w:r>
      <w:r>
        <w:rPr>
          <w:rFonts w:ascii="Times New Roman" w:hAnsi="Times New Roman"/>
          <w:spacing w:val="-4"/>
          <w:sz w:val="18"/>
        </w:rPr>
        <w:t>operational hospitality development located </w:t>
      </w:r>
      <w:r>
        <w:rPr>
          <w:rFonts w:ascii="Times New Roman" w:hAnsi="Times New Roman"/>
          <w:spacing w:val="-3"/>
          <w:sz w:val="18"/>
        </w:rPr>
        <w:t>along </w:t>
      </w:r>
      <w:r>
        <w:rPr>
          <w:rFonts w:ascii="Times New Roman" w:hAnsi="Times New Roman"/>
          <w:spacing w:val="-4"/>
          <w:sz w:val="18"/>
        </w:rPr>
        <w:t>Intermediate </w:t>
      </w:r>
      <w:r>
        <w:rPr>
          <w:rFonts w:ascii="Times New Roman" w:hAnsi="Times New Roman"/>
          <w:spacing w:val="-3"/>
          <w:sz w:val="18"/>
        </w:rPr>
        <w:t>Ring Road, </w:t>
      </w:r>
      <w:r>
        <w:rPr>
          <w:rFonts w:ascii="Times New Roman" w:hAnsi="Times New Roman"/>
          <w:spacing w:val="-4"/>
          <w:sz w:val="18"/>
        </w:rPr>
        <w:t>Bengaluru. </w:t>
      </w:r>
      <w:r>
        <w:rPr>
          <w:rFonts w:ascii="Times New Roman" w:hAnsi="Times New Roman"/>
          <w:spacing w:val="-3"/>
          <w:sz w:val="18"/>
        </w:rPr>
        <w:t>The </w:t>
      </w:r>
      <w:r>
        <w:rPr>
          <w:rFonts w:ascii="Times New Roman" w:hAnsi="Times New Roman"/>
          <w:spacing w:val="-4"/>
          <w:sz w:val="18"/>
        </w:rPr>
        <w:t>interest </w:t>
      </w:r>
      <w:r>
        <w:rPr>
          <w:rFonts w:ascii="Times New Roman" w:hAnsi="Times New Roman"/>
          <w:spacing w:val="-3"/>
          <w:sz w:val="18"/>
        </w:rPr>
        <w:t>being valued </w:t>
      </w:r>
      <w:r>
        <w:rPr>
          <w:rFonts w:ascii="Times New Roman" w:hAnsi="Times New Roman"/>
          <w:spacing w:val="-4"/>
          <w:sz w:val="18"/>
        </w:rPr>
        <w:t>corresponds </w:t>
      </w:r>
      <w:r>
        <w:rPr>
          <w:rFonts w:ascii="Times New Roman" w:hAnsi="Times New Roman"/>
          <w:sz w:val="18"/>
        </w:rPr>
        <w:t>to a </w:t>
      </w:r>
      <w:r>
        <w:rPr>
          <w:rFonts w:ascii="Times New Roman" w:hAnsi="Times New Roman"/>
          <w:spacing w:val="-4"/>
          <w:sz w:val="18"/>
        </w:rPr>
        <w:t>developed </w:t>
      </w:r>
      <w:r>
        <w:rPr>
          <w:rFonts w:ascii="Times New Roman" w:hAnsi="Times New Roman"/>
          <w:spacing w:val="-3"/>
          <w:sz w:val="18"/>
        </w:rPr>
        <w:t>area </w:t>
      </w:r>
      <w:r>
        <w:rPr>
          <w:rFonts w:ascii="Times New Roman" w:hAnsi="Times New Roman"/>
          <w:sz w:val="18"/>
        </w:rPr>
        <w:t>of </w:t>
      </w:r>
      <w:r>
        <w:rPr>
          <w:rFonts w:ascii="Times New Roman" w:hAnsi="Times New Roman"/>
          <w:spacing w:val="-3"/>
          <w:sz w:val="18"/>
        </w:rPr>
        <w:t>448,156 </w:t>
      </w:r>
      <w:r>
        <w:rPr>
          <w:rFonts w:ascii="Times New Roman" w:hAnsi="Times New Roman"/>
          <w:sz w:val="18"/>
        </w:rPr>
        <w:t>sf of </w:t>
      </w:r>
      <w:r>
        <w:rPr>
          <w:rFonts w:ascii="Times New Roman" w:hAnsi="Times New Roman"/>
          <w:spacing w:val="-3"/>
          <w:sz w:val="18"/>
        </w:rPr>
        <w:t>hotel </w:t>
      </w:r>
      <w:r>
        <w:rPr>
          <w:rFonts w:ascii="Times New Roman" w:hAnsi="Times New Roman"/>
          <w:spacing w:val="-4"/>
          <w:sz w:val="18"/>
        </w:rPr>
        <w:t>with </w:t>
      </w:r>
      <w:r>
        <w:rPr>
          <w:rFonts w:ascii="Times New Roman" w:hAnsi="Times New Roman"/>
          <w:spacing w:val="-3"/>
          <w:sz w:val="18"/>
        </w:rPr>
        <w:t>247 </w:t>
      </w:r>
      <w:r>
        <w:rPr>
          <w:rFonts w:ascii="Times New Roman" w:hAnsi="Times New Roman"/>
          <w:sz w:val="18"/>
        </w:rPr>
        <w:t>keys </w:t>
      </w:r>
      <w:r>
        <w:rPr>
          <w:rFonts w:ascii="Times New Roman" w:hAnsi="Times New Roman"/>
          <w:spacing w:val="-4"/>
          <w:sz w:val="18"/>
        </w:rPr>
        <w:t>(operational </w:t>
      </w:r>
      <w:r>
        <w:rPr>
          <w:rFonts w:ascii="Times New Roman" w:hAnsi="Times New Roman"/>
          <w:spacing w:val="-3"/>
          <w:sz w:val="18"/>
        </w:rPr>
        <w:t>since March 2014 and </w:t>
      </w:r>
      <w:r>
        <w:rPr>
          <w:rFonts w:ascii="Times New Roman" w:hAnsi="Times New Roman"/>
          <w:spacing w:val="-4"/>
          <w:sz w:val="18"/>
        </w:rPr>
        <w:t>operated </w:t>
      </w:r>
      <w:r>
        <w:rPr>
          <w:rFonts w:ascii="Times New Roman" w:hAnsi="Times New Roman"/>
          <w:sz w:val="18"/>
        </w:rPr>
        <w:t>by </w:t>
      </w:r>
      <w:r>
        <w:rPr>
          <w:rFonts w:ascii="Times New Roman" w:hAnsi="Times New Roman"/>
          <w:spacing w:val="-3"/>
          <w:sz w:val="18"/>
        </w:rPr>
        <w:t>Hilton). The </w:t>
      </w:r>
      <w:r>
        <w:rPr>
          <w:rFonts w:ascii="Times New Roman" w:hAnsi="Times New Roman"/>
          <w:spacing w:val="-4"/>
          <w:sz w:val="18"/>
        </w:rPr>
        <w:t>immediate surroundings </w:t>
      </w:r>
      <w:r>
        <w:rPr>
          <w:rFonts w:ascii="Times New Roman" w:hAnsi="Times New Roman"/>
          <w:sz w:val="18"/>
        </w:rPr>
        <w:t>of </w:t>
      </w:r>
      <w:r>
        <w:rPr>
          <w:rFonts w:ascii="Times New Roman" w:hAnsi="Times New Roman"/>
          <w:spacing w:val="-3"/>
          <w:sz w:val="18"/>
        </w:rPr>
        <w:t>the </w:t>
      </w:r>
      <w:r>
        <w:rPr>
          <w:rFonts w:ascii="Times New Roman" w:hAnsi="Times New Roman"/>
          <w:spacing w:val="-4"/>
          <w:sz w:val="18"/>
        </w:rPr>
        <w:t>subject </w:t>
      </w:r>
      <w:r>
        <w:rPr>
          <w:rFonts w:ascii="Times New Roman" w:hAnsi="Times New Roman"/>
          <w:spacing w:val="-3"/>
          <w:sz w:val="18"/>
        </w:rPr>
        <w:t>property </w:t>
      </w:r>
      <w:r>
        <w:rPr>
          <w:rFonts w:ascii="Times New Roman" w:hAnsi="Times New Roman"/>
          <w:spacing w:val="-4"/>
          <w:sz w:val="18"/>
        </w:rPr>
        <w:t>comprise </w:t>
      </w:r>
      <w:r>
        <w:rPr>
          <w:rFonts w:ascii="Times New Roman" w:hAnsi="Times New Roman"/>
          <w:sz w:val="18"/>
        </w:rPr>
        <w:t>of </w:t>
      </w:r>
      <w:r>
        <w:rPr>
          <w:rFonts w:ascii="Times New Roman" w:hAnsi="Times New Roman"/>
          <w:spacing w:val="-3"/>
          <w:sz w:val="18"/>
        </w:rPr>
        <w:t>large aggregates </w:t>
      </w:r>
      <w:r>
        <w:rPr>
          <w:rFonts w:ascii="Times New Roman" w:hAnsi="Times New Roman"/>
          <w:sz w:val="18"/>
        </w:rPr>
        <w:t>of </w:t>
      </w:r>
      <w:r>
        <w:rPr>
          <w:rFonts w:ascii="Times New Roman" w:hAnsi="Times New Roman"/>
          <w:spacing w:val="-3"/>
          <w:sz w:val="18"/>
        </w:rPr>
        <w:t>land owned </w:t>
      </w:r>
      <w:r>
        <w:rPr>
          <w:rFonts w:ascii="Times New Roman" w:hAnsi="Times New Roman"/>
          <w:sz w:val="18"/>
        </w:rPr>
        <w:t>by </w:t>
      </w:r>
      <w:r>
        <w:rPr>
          <w:rFonts w:ascii="Times New Roman" w:hAnsi="Times New Roman"/>
          <w:spacing w:val="-3"/>
          <w:sz w:val="18"/>
        </w:rPr>
        <w:t>the </w:t>
      </w:r>
      <w:r>
        <w:rPr>
          <w:rFonts w:ascii="Times New Roman" w:hAnsi="Times New Roman"/>
          <w:spacing w:val="-4"/>
          <w:sz w:val="18"/>
        </w:rPr>
        <w:t>Defence Services </w:t>
      </w:r>
      <w:r>
        <w:rPr>
          <w:rFonts w:ascii="Times New Roman" w:hAnsi="Times New Roman"/>
          <w:sz w:val="18"/>
        </w:rPr>
        <w:t>of </w:t>
      </w:r>
      <w:r>
        <w:rPr>
          <w:rFonts w:ascii="Times New Roman" w:hAnsi="Times New Roman"/>
          <w:spacing w:val="-3"/>
          <w:sz w:val="18"/>
        </w:rPr>
        <w:t>the </w:t>
      </w:r>
      <w:r>
        <w:rPr>
          <w:rFonts w:ascii="Times New Roman" w:hAnsi="Times New Roman"/>
          <w:spacing w:val="-4"/>
          <w:sz w:val="18"/>
        </w:rPr>
        <w:t>Country Karnataka Golf Association’s operational </w:t>
      </w:r>
      <w:r>
        <w:rPr>
          <w:rFonts w:ascii="Times New Roman" w:hAnsi="Times New Roman"/>
          <w:spacing w:val="-3"/>
          <w:sz w:val="18"/>
        </w:rPr>
        <w:t>golf </w:t>
      </w:r>
      <w:r>
        <w:rPr>
          <w:rFonts w:ascii="Times New Roman" w:hAnsi="Times New Roman"/>
          <w:spacing w:val="-4"/>
          <w:sz w:val="18"/>
        </w:rPr>
        <w:t>course, Diamond </w:t>
      </w:r>
      <w:r>
        <w:rPr>
          <w:rFonts w:ascii="Times New Roman" w:hAnsi="Times New Roman"/>
          <w:spacing w:val="-3"/>
          <w:sz w:val="18"/>
        </w:rPr>
        <w:t>District, DivyaSree </w:t>
      </w:r>
      <w:r>
        <w:rPr>
          <w:rFonts w:ascii="Times New Roman" w:hAnsi="Times New Roman"/>
          <w:spacing w:val="-4"/>
          <w:sz w:val="18"/>
        </w:rPr>
        <w:t>Greens, </w:t>
      </w:r>
      <w:r>
        <w:rPr>
          <w:rFonts w:ascii="Times New Roman" w:hAnsi="Times New Roman"/>
          <w:spacing w:val="-3"/>
          <w:sz w:val="18"/>
        </w:rPr>
        <w:t>Maruthi </w:t>
      </w:r>
      <w:r>
        <w:rPr>
          <w:rFonts w:ascii="Times New Roman" w:hAnsi="Times New Roman"/>
          <w:spacing w:val="-4"/>
          <w:sz w:val="18"/>
        </w:rPr>
        <w:t>Infotech </w:t>
      </w:r>
      <w:r>
        <w:rPr>
          <w:rFonts w:ascii="Times New Roman" w:hAnsi="Times New Roman"/>
          <w:spacing w:val="-3"/>
          <w:sz w:val="18"/>
        </w:rPr>
        <w:t>Park, etc. In </w:t>
      </w:r>
      <w:r>
        <w:rPr>
          <w:rFonts w:ascii="Times New Roman" w:hAnsi="Times New Roman"/>
          <w:spacing w:val="-4"/>
          <w:sz w:val="18"/>
        </w:rPr>
        <w:t>addition, </w:t>
      </w:r>
      <w:r>
        <w:rPr>
          <w:rFonts w:ascii="Times New Roman" w:hAnsi="Times New Roman"/>
          <w:spacing w:val="-3"/>
          <w:sz w:val="18"/>
        </w:rPr>
        <w:t>the </w:t>
      </w:r>
      <w:r>
        <w:rPr>
          <w:rFonts w:ascii="Times New Roman" w:hAnsi="Times New Roman"/>
          <w:spacing w:val="-4"/>
          <w:sz w:val="18"/>
        </w:rPr>
        <w:t>subject property </w:t>
      </w:r>
      <w:r>
        <w:rPr>
          <w:rFonts w:ascii="Times New Roman" w:hAnsi="Times New Roman"/>
          <w:sz w:val="18"/>
        </w:rPr>
        <w:t>is </w:t>
      </w:r>
      <w:r>
        <w:rPr>
          <w:rFonts w:ascii="Times New Roman" w:hAnsi="Times New Roman"/>
          <w:spacing w:val="-4"/>
          <w:sz w:val="18"/>
        </w:rPr>
        <w:t>located </w:t>
      </w:r>
      <w:r>
        <w:rPr>
          <w:rFonts w:ascii="Times New Roman" w:hAnsi="Times New Roman"/>
          <w:spacing w:val="-3"/>
          <w:sz w:val="18"/>
        </w:rPr>
        <w:t>in </w:t>
      </w:r>
      <w:r>
        <w:rPr>
          <w:rFonts w:ascii="Times New Roman" w:hAnsi="Times New Roman"/>
          <w:spacing w:val="-4"/>
          <w:sz w:val="18"/>
        </w:rPr>
        <w:t>proximity </w:t>
      </w:r>
      <w:r>
        <w:rPr>
          <w:rFonts w:ascii="Times New Roman" w:hAnsi="Times New Roman"/>
          <w:spacing w:val="-3"/>
          <w:sz w:val="18"/>
        </w:rPr>
        <w:t>to locations </w:t>
      </w:r>
      <w:r>
        <w:rPr>
          <w:rFonts w:ascii="Times New Roman" w:hAnsi="Times New Roman"/>
          <w:spacing w:val="-4"/>
          <w:sz w:val="18"/>
        </w:rPr>
        <w:t>such </w:t>
      </w:r>
      <w:r>
        <w:rPr>
          <w:rFonts w:ascii="Times New Roman" w:hAnsi="Times New Roman"/>
          <w:sz w:val="18"/>
        </w:rPr>
        <w:t>as </w:t>
      </w:r>
      <w:r>
        <w:rPr>
          <w:rFonts w:ascii="Times New Roman" w:hAnsi="Times New Roman"/>
          <w:spacing w:val="-4"/>
          <w:sz w:val="18"/>
        </w:rPr>
        <w:t>Indiranagar, Koramangala etc., which </w:t>
      </w:r>
      <w:r>
        <w:rPr>
          <w:rFonts w:ascii="Times New Roman" w:hAnsi="Times New Roman"/>
          <w:spacing w:val="-3"/>
          <w:sz w:val="18"/>
        </w:rPr>
        <w:t>are </w:t>
      </w:r>
      <w:r>
        <w:rPr>
          <w:rFonts w:ascii="Times New Roman" w:hAnsi="Times New Roman"/>
          <w:spacing w:val="-4"/>
          <w:sz w:val="18"/>
        </w:rPr>
        <w:t>considered </w:t>
      </w:r>
      <w:r>
        <w:rPr>
          <w:rFonts w:ascii="Times New Roman" w:hAnsi="Times New Roman"/>
          <w:sz w:val="18"/>
        </w:rPr>
        <w:t>as </w:t>
      </w:r>
      <w:r>
        <w:rPr>
          <w:rFonts w:ascii="Times New Roman" w:hAnsi="Times New Roman"/>
          <w:spacing w:val="-4"/>
          <w:sz w:val="18"/>
        </w:rPr>
        <w:t>established residential and commercial locations within </w:t>
      </w:r>
      <w:r>
        <w:rPr>
          <w:rFonts w:ascii="Times New Roman" w:hAnsi="Times New Roman"/>
          <w:spacing w:val="-3"/>
          <w:sz w:val="18"/>
        </w:rPr>
        <w:t>the </w:t>
      </w:r>
      <w:r>
        <w:rPr>
          <w:rFonts w:ascii="Times New Roman" w:hAnsi="Times New Roman"/>
          <w:spacing w:val="-4"/>
          <w:sz w:val="18"/>
        </w:rPr>
        <w:t>city. In </w:t>
      </w:r>
      <w:r>
        <w:rPr>
          <w:rFonts w:ascii="Times New Roman" w:hAnsi="Times New Roman"/>
          <w:spacing w:val="-3"/>
          <w:sz w:val="18"/>
        </w:rPr>
        <w:t>addition to the </w:t>
      </w:r>
      <w:r>
        <w:rPr>
          <w:rFonts w:ascii="Times New Roman" w:hAnsi="Times New Roman"/>
          <w:spacing w:val="-4"/>
          <w:sz w:val="18"/>
        </w:rPr>
        <w:t>subject </w:t>
      </w:r>
      <w:r>
        <w:rPr>
          <w:rFonts w:ascii="Times New Roman" w:hAnsi="Times New Roman"/>
          <w:spacing w:val="-3"/>
          <w:sz w:val="18"/>
        </w:rPr>
        <w:t>property, the </w:t>
      </w:r>
      <w:r>
        <w:rPr>
          <w:rFonts w:ascii="Times New Roman" w:hAnsi="Times New Roman"/>
          <w:spacing w:val="-4"/>
          <w:sz w:val="18"/>
        </w:rPr>
        <w:t>micro-market </w:t>
      </w:r>
      <w:r>
        <w:rPr>
          <w:rFonts w:ascii="Times New Roman" w:hAnsi="Times New Roman"/>
          <w:spacing w:val="-3"/>
          <w:sz w:val="18"/>
        </w:rPr>
        <w:t>also </w:t>
      </w:r>
      <w:r>
        <w:rPr>
          <w:rFonts w:ascii="Times New Roman" w:hAnsi="Times New Roman"/>
          <w:spacing w:val="-4"/>
          <w:sz w:val="18"/>
        </w:rPr>
        <w:t>comprises </w:t>
      </w:r>
      <w:r>
        <w:rPr>
          <w:rFonts w:ascii="Times New Roman" w:hAnsi="Times New Roman"/>
          <w:sz w:val="18"/>
        </w:rPr>
        <w:t>of </w:t>
      </w:r>
      <w:r>
        <w:rPr>
          <w:rFonts w:ascii="Times New Roman" w:hAnsi="Times New Roman"/>
          <w:spacing w:val="-3"/>
          <w:sz w:val="18"/>
        </w:rPr>
        <w:t>other hotels such </w:t>
      </w:r>
      <w:r>
        <w:rPr>
          <w:rFonts w:ascii="Times New Roman" w:hAnsi="Times New Roman"/>
          <w:sz w:val="18"/>
        </w:rPr>
        <w:t>as </w:t>
      </w:r>
      <w:r>
        <w:rPr>
          <w:rFonts w:ascii="Times New Roman" w:hAnsi="Times New Roman"/>
          <w:spacing w:val="-3"/>
          <w:sz w:val="18"/>
        </w:rPr>
        <w:t>The Leela, </w:t>
      </w:r>
      <w:r>
        <w:rPr>
          <w:rFonts w:ascii="Times New Roman" w:hAnsi="Times New Roman"/>
          <w:spacing w:val="-2"/>
          <w:sz w:val="18"/>
        </w:rPr>
        <w:t>Taj </w:t>
      </w:r>
      <w:r>
        <w:rPr>
          <w:rFonts w:ascii="Times New Roman" w:hAnsi="Times New Roman"/>
          <w:spacing w:val="-4"/>
          <w:sz w:val="18"/>
        </w:rPr>
        <w:t>Vivanta, Hyatt, </w:t>
      </w:r>
      <w:r>
        <w:rPr>
          <w:rFonts w:ascii="Times New Roman" w:hAnsi="Times New Roman"/>
          <w:spacing w:val="-3"/>
          <w:sz w:val="18"/>
        </w:rPr>
        <w:t>The  Paul, Ramada </w:t>
      </w:r>
      <w:r>
        <w:rPr>
          <w:rFonts w:ascii="Times New Roman" w:hAnsi="Times New Roman"/>
          <w:spacing w:val="-4"/>
          <w:sz w:val="18"/>
        </w:rPr>
        <w:t>Encore,</w:t>
      </w:r>
      <w:r>
        <w:rPr>
          <w:rFonts w:ascii="Times New Roman" w:hAnsi="Times New Roman"/>
          <w:spacing w:val="-12"/>
          <w:sz w:val="18"/>
        </w:rPr>
        <w:t> </w:t>
      </w:r>
      <w:r>
        <w:rPr>
          <w:rFonts w:ascii="Times New Roman" w:hAnsi="Times New Roman"/>
          <w:spacing w:val="-3"/>
          <w:sz w:val="18"/>
        </w:rPr>
        <w:t>etc.</w:t>
      </w:r>
    </w:p>
    <w:p>
      <w:pPr>
        <w:spacing w:before="140"/>
        <w:ind w:left="1811" w:right="301" w:firstLine="0"/>
        <w:jc w:val="left"/>
        <w:rPr>
          <w:rFonts w:ascii="Times New Roman" w:hAnsi="Times New Roman"/>
          <w:sz w:val="18"/>
        </w:rPr>
      </w:pPr>
      <w:r>
        <w:rPr>
          <w:rFonts w:ascii="Times New Roman" w:hAnsi="Times New Roman"/>
          <w:sz w:val="18"/>
        </w:rPr>
        <w:t>The subject property is located at a distance of approximately &lt;1 km from the Domlur flyover, 1 – 2 km from Indiranagar, 2-3 km from Koramangala, 7-8 km from MG Road and approximately 43 - 45 km from Bengaluru International Airport.</w:t>
      </w:r>
    </w:p>
    <w:p>
      <w:pPr>
        <w:spacing w:after="0"/>
        <w:jc w:val="left"/>
        <w:rPr>
          <w:rFonts w:ascii="Times New Roman" w:hAnsi="Times New Roman"/>
          <w:sz w:val="18"/>
        </w:rPr>
        <w:sectPr>
          <w:pgSz w:w="12240" w:h="15840"/>
          <w:pgMar w:header="728" w:footer="1174" w:top="1180" w:bottom="1460" w:left="620" w:right="580"/>
        </w:sectPr>
      </w:pPr>
    </w:p>
    <w:p>
      <w:pPr>
        <w:spacing w:before="138"/>
        <w:ind w:left="265" w:right="22" w:firstLine="0"/>
        <w:jc w:val="left"/>
        <w:rPr>
          <w:rFonts w:ascii="Times New Roman"/>
          <w:sz w:val="18"/>
        </w:rPr>
      </w:pPr>
      <w:r>
        <w:rPr>
          <w:rFonts w:ascii="Times New Roman"/>
          <w:color w:val="16772B"/>
          <w:sz w:val="18"/>
        </w:rPr>
        <w:t>Statement of Assets (sf):</w:t>
      </w:r>
    </w:p>
    <w:p>
      <w:pPr>
        <w:spacing w:before="138"/>
        <w:ind w:left="265" w:right="311" w:firstLine="0"/>
        <w:jc w:val="left"/>
        <w:rPr>
          <w:rFonts w:ascii="Times New Roman"/>
          <w:sz w:val="18"/>
        </w:rPr>
      </w:pPr>
      <w:r>
        <w:rPr/>
        <w:br w:type="column"/>
      </w:r>
      <w:r>
        <w:rPr>
          <w:rFonts w:ascii="Times New Roman"/>
          <w:sz w:val="18"/>
        </w:rPr>
        <w:t>Based on the information provided by the client, the subject property is an operational hospitality development. Table below highlights the total operational area of the subject</w:t>
      </w:r>
      <w:r>
        <w:rPr>
          <w:rFonts w:ascii="Times New Roman"/>
          <w:spacing w:val="-5"/>
          <w:sz w:val="18"/>
        </w:rPr>
        <w:t> </w:t>
      </w:r>
      <w:r>
        <w:rPr>
          <w:rFonts w:ascii="Times New Roman"/>
          <w:sz w:val="18"/>
        </w:rPr>
        <w:t>development:</w:t>
      </w:r>
    </w:p>
    <w:p>
      <w:pPr>
        <w:spacing w:after="0"/>
        <w:jc w:val="left"/>
        <w:rPr>
          <w:rFonts w:ascii="Times New Roman"/>
          <w:sz w:val="18"/>
        </w:rPr>
        <w:sectPr>
          <w:type w:val="continuous"/>
          <w:pgSz w:w="12240" w:h="15840"/>
          <w:pgMar w:top="800" w:bottom="280" w:left="620" w:right="580"/>
          <w:cols w:num="2" w:equalWidth="0">
            <w:col w:w="1222" w:space="324"/>
            <w:col w:w="9494"/>
          </w:cols>
        </w:sectPr>
      </w:pPr>
    </w:p>
    <w:p>
      <w:pPr>
        <w:pStyle w:val="BodyText"/>
        <w:spacing w:before="11"/>
        <w:rPr>
          <w:rFonts w:ascii="Times New Roman"/>
          <w:sz w:val="11"/>
        </w:rPr>
      </w:pPr>
    </w:p>
    <w:p>
      <w:pPr>
        <w:pStyle w:val="BodyText"/>
        <w:ind w:left="2104"/>
        <w:rPr>
          <w:rFonts w:ascii="Times New Roman"/>
          <w:sz w:val="20"/>
        </w:rPr>
      </w:pPr>
      <w:r>
        <w:rPr>
          <w:rFonts w:ascii="Times New Roman"/>
          <w:sz w:val="20"/>
        </w:rPr>
        <w:pict>
          <v:group style="width:431.5pt;height:12.6pt;mso-position-horizontal-relative:char;mso-position-vertical-relative:line" coordorigin="0,0" coordsize="8630,252">
            <v:shape style="position:absolute;left:0;top:31;width:8630;height:207" coordorigin="0,31" coordsize="8630,207" path="m4314,31l0,31,0,238,4314,238,4314,31xm8630,31l4314,31,4314,238,8630,238,8630,31xe" filled="true" fillcolor="#16772b" stroked="false">
              <v:path arrowok="t"/>
              <v:fill type="solid"/>
            </v:shape>
            <v:rect style="position:absolute;left:0;top:0;width:4317;height:29" filled="true" fillcolor="#1e7504" stroked="false">
              <v:fill type="solid"/>
            </v:rect>
            <v:shape style="position:absolute;left:0;top:28;width:4345;height:3" coordorigin="0,29" coordsize="4345,3" path="m4345,29l4316,29,0,29,0,31,4316,31,4345,31,4345,29xe" filled="true" fillcolor="#16772b" stroked="false">
              <v:path arrowok="t"/>
              <v:fill type="solid"/>
            </v:shape>
            <v:shape style="position:absolute;left:4316;top:0;width:4314;height:29" coordorigin="4316,0" coordsize="4314,29" path="m4345,0l4316,0,4316,29,4345,29,4345,0xm8630,0l4345,0,4345,29,8630,29,8630,0xe" filled="true" fillcolor="#1e7504" stroked="false">
              <v:path arrowok="t"/>
              <v:fill type="solid"/>
            </v:shape>
            <v:rect style="position:absolute;left:4345;top:28;width:4285;height:3" filled="true" fillcolor="#16772b" stroked="false">
              <v:fill type="solid"/>
            </v:rect>
            <v:shape style="position:absolute;left:0;top:237;width:8630;height:15" coordorigin="0,238" coordsize="8630,15" path="m8630,238l4331,238,4316,238,0,238,0,252,4316,252,4331,252,8630,252,8630,238xe" filled="true" fillcolor="#5fff00" stroked="false">
              <v:path arrowok="t"/>
              <v:fill type="solid"/>
            </v:shape>
            <v:shape style="position:absolute;left:0;top:28;width:8630;height:209" type="#_x0000_t202" filled="false" stroked="false">
              <v:textbox inset="0,0,0,0">
                <w:txbxContent>
                  <w:p>
                    <w:pPr>
                      <w:tabs>
                        <w:tab w:pos="4315" w:val="left" w:leader="none"/>
                      </w:tabs>
                      <w:spacing w:line="206" w:lineRule="exact" w:before="2"/>
                      <w:ind w:left="76" w:right="0" w:firstLine="0"/>
                      <w:jc w:val="center"/>
                      <w:rPr>
                        <w:rFonts w:ascii="Times New Roman"/>
                        <w:b/>
                        <w:sz w:val="18"/>
                      </w:rPr>
                    </w:pPr>
                    <w:r>
                      <w:rPr>
                        <w:rFonts w:ascii="Times New Roman"/>
                        <w:b/>
                        <w:color w:val="FFFFFF"/>
                        <w:sz w:val="18"/>
                      </w:rPr>
                      <w:t>Property</w:t>
                      <w:tab/>
                      <w:t>No of</w:t>
                    </w:r>
                    <w:r>
                      <w:rPr>
                        <w:rFonts w:ascii="Times New Roman"/>
                        <w:b/>
                        <w:color w:val="FFFFFF"/>
                        <w:spacing w:val="1"/>
                        <w:sz w:val="18"/>
                      </w:rPr>
                      <w:t> </w:t>
                    </w:r>
                    <w:r>
                      <w:rPr>
                        <w:rFonts w:ascii="Times New Roman"/>
                        <w:b/>
                        <w:color w:val="FFFFFF"/>
                        <w:sz w:val="18"/>
                      </w:rPr>
                      <w:t>Keys</w:t>
                    </w:r>
                  </w:p>
                </w:txbxContent>
              </v:textbox>
              <w10:wrap type="none"/>
            </v:shape>
          </v:group>
        </w:pict>
      </w:r>
      <w:r>
        <w:rPr>
          <w:rFonts w:ascii="Times New Roman"/>
          <w:sz w:val="20"/>
        </w:rPr>
      </w:r>
    </w:p>
    <w:p>
      <w:pPr>
        <w:tabs>
          <w:tab w:pos="8252" w:val="left" w:leader="none"/>
        </w:tabs>
        <w:spacing w:line="294" w:lineRule="exact" w:before="0"/>
        <w:ind w:left="2923" w:right="0" w:firstLine="0"/>
        <w:jc w:val="left"/>
        <w:rPr>
          <w:rFonts w:ascii="Times New Roman"/>
          <w:sz w:val="18"/>
        </w:rPr>
      </w:pPr>
      <w:r>
        <w:rPr/>
        <w:pict>
          <v:shape style="position:absolute;margin-left:135.5pt;margin-top:20.319979pt;width:432.25pt;height:.75pt;mso-position-horizontal-relative:page;mso-position-vertical-relative:paragraph;z-index:-15668224;mso-wrap-distance-left:0;mso-wrap-distance-right:0" coordorigin="2710,406" coordsize="8645,15" path="m11354,406l7041,406,7026,406,2710,406,2710,421,7026,421,7041,421,11354,421,11354,406xe" filled="true" fillcolor="#5fff00" stroked="false">
            <v:path arrowok="t"/>
            <v:fill type="solid"/>
            <w10:wrap type="topAndBottom"/>
          </v:shape>
        </w:pict>
      </w:r>
      <w:r>
        <w:rPr/>
        <w:pict>
          <v:shape style="position:absolute;margin-left:406.899994pt;margin-top:9.539981pt;width:105.85pt;height:10pt;mso-position-horizontal-relative:page;mso-position-vertical-relative:paragraph;z-index:-34835456"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(developed area - 448,156 sf)</w:t>
                  </w:r>
                </w:p>
              </w:txbxContent>
            </v:textbox>
            <w10:wrap type="none"/>
          </v:shape>
        </w:pict>
      </w:r>
      <w:r>
        <w:rPr>
          <w:rFonts w:ascii="Times New Roman"/>
          <w:sz w:val="18"/>
        </w:rPr>
        <w:t>Hotel (Hilton at</w:t>
      </w:r>
      <w:r>
        <w:rPr>
          <w:rFonts w:ascii="Times New Roman"/>
          <w:spacing w:val="-3"/>
          <w:sz w:val="18"/>
        </w:rPr>
        <w:t> </w:t>
      </w:r>
      <w:r>
        <w:rPr>
          <w:rFonts w:ascii="Times New Roman"/>
          <w:sz w:val="18"/>
        </w:rPr>
        <w:t>Embassy</w:t>
      </w:r>
      <w:r>
        <w:rPr>
          <w:rFonts w:ascii="Times New Roman"/>
          <w:spacing w:val="2"/>
          <w:sz w:val="18"/>
        </w:rPr>
        <w:t> </w:t>
      </w:r>
      <w:r>
        <w:rPr>
          <w:rFonts w:ascii="Times New Roman"/>
          <w:sz w:val="18"/>
        </w:rPr>
        <w:t>GolfLinks)</w:t>
        <w:tab/>
      </w:r>
      <w:r>
        <w:rPr>
          <w:rFonts w:ascii="Times New Roman"/>
          <w:position w:val="12"/>
          <w:sz w:val="18"/>
        </w:rPr>
        <w:t>247</w:t>
      </w:r>
      <w:r>
        <w:rPr>
          <w:rFonts w:ascii="Times New Roman"/>
          <w:spacing w:val="-1"/>
          <w:position w:val="12"/>
          <w:sz w:val="18"/>
        </w:rPr>
        <w:t> </w:t>
      </w:r>
      <w:r>
        <w:rPr>
          <w:rFonts w:ascii="Times New Roman"/>
          <w:position w:val="12"/>
          <w:sz w:val="18"/>
        </w:rPr>
        <w:t>keys</w:t>
      </w:r>
    </w:p>
    <w:p>
      <w:pPr>
        <w:pStyle w:val="BodyText"/>
        <w:spacing w:before="1"/>
        <w:rPr>
          <w:rFonts w:ascii="Times New Roman"/>
          <w:sz w:val="6"/>
        </w:rPr>
      </w:pPr>
    </w:p>
    <w:p>
      <w:pPr>
        <w:spacing w:after="0"/>
        <w:rPr>
          <w:rFonts w:ascii="Times New Roman"/>
          <w:sz w:val="6"/>
        </w:rPr>
        <w:sectPr>
          <w:type w:val="continuous"/>
          <w:pgSz w:w="12240" w:h="15840"/>
          <w:pgMar w:top="800" w:bottom="280" w:left="620" w:right="580"/>
        </w:sectPr>
      </w:pPr>
    </w:p>
    <w:p>
      <w:pPr>
        <w:pStyle w:val="BodyText"/>
        <w:rPr>
          <w:rFonts w:ascii="Times New Roman"/>
          <w:sz w:val="20"/>
        </w:rPr>
      </w:pPr>
    </w:p>
    <w:p>
      <w:pPr>
        <w:spacing w:before="155"/>
        <w:ind w:left="265" w:right="0" w:firstLine="0"/>
        <w:jc w:val="left"/>
        <w:rPr>
          <w:rFonts w:ascii="Times New Roman"/>
          <w:sz w:val="18"/>
        </w:rPr>
      </w:pPr>
      <w:r>
        <w:rPr>
          <w:rFonts w:ascii="Times New Roman"/>
          <w:color w:val="16772B"/>
          <w:sz w:val="18"/>
        </w:rPr>
        <w:t>Location Map</w: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spacing w:before="172"/>
        <w:ind w:left="265" w:right="0" w:firstLine="0"/>
        <w:jc w:val="left"/>
        <w:rPr>
          <w:rFonts w:ascii="Times New Roman"/>
          <w:sz w:val="18"/>
        </w:rPr>
      </w:pPr>
      <w:r>
        <w:rPr>
          <w:rFonts w:ascii="Times New Roman"/>
          <w:color w:val="16772B"/>
          <w:sz w:val="18"/>
        </w:rPr>
        <w:t>Key Assumptions</w:t>
      </w:r>
    </w:p>
    <w:p>
      <w:pPr>
        <w:spacing w:before="40"/>
        <w:ind w:left="747" w:right="0" w:firstLine="0"/>
        <w:jc w:val="left"/>
        <w:rPr>
          <w:rFonts w:ascii="Times New Roman"/>
          <w:sz w:val="18"/>
        </w:rPr>
      </w:pPr>
      <w:r>
        <w:rPr/>
        <w:br w:type="column"/>
      </w:r>
      <w:r>
        <w:rPr>
          <w:rFonts w:ascii="Times New Roman"/>
          <w:sz w:val="18"/>
        </w:rPr>
        <w:t>Source: Architect certificate provided by the Client</w:t>
      </w:r>
    </w:p>
    <w:p>
      <w:pPr>
        <w:pStyle w:val="BodyText"/>
        <w:spacing w:before="11"/>
        <w:rPr>
          <w:rFonts w:ascii="Times New Roman"/>
          <w:sz w:val="11"/>
        </w:rPr>
      </w:pPr>
    </w:p>
    <w:p>
      <w:pPr>
        <w:pStyle w:val="BodyText"/>
        <w:ind w:left="265"/>
        <w:rPr>
          <w:rFonts w:ascii="Times New Roman"/>
          <w:sz w:val="20"/>
        </w:rPr>
      </w:pPr>
      <w:r>
        <w:rPr>
          <w:rFonts w:ascii="Times New Roman"/>
          <w:sz w:val="20"/>
        </w:rPr>
        <w:drawing>
          <wp:inline distT="0" distB="0" distL="0" distR="0">
            <wp:extent cx="4758827" cy="3633597"/>
            <wp:effectExtent l="0" t="0" r="0" b="0"/>
            <wp:docPr id="35" name="image21.jpeg"/>
            <wp:cNvGraphicFramePr>
              <a:graphicFrameLocks noChangeAspect="1"/>
            </wp:cNvGraphicFramePr>
            <a:graphic>
              <a:graphicData uri="http://schemas.openxmlformats.org/drawingml/2006/picture">
                <pic:pic>
                  <pic:nvPicPr>
                    <pic:cNvPr id="36" name="image21.jpeg"/>
                    <pic:cNvPicPr/>
                  </pic:nvPicPr>
                  <pic:blipFill>
                    <a:blip r:embed="rId27" cstate="print"/>
                    <a:stretch>
                      <a:fillRect/>
                    </a:stretch>
                  </pic:blipFill>
                  <pic:spPr>
                    <a:xfrm>
                      <a:off x="0" y="0"/>
                      <a:ext cx="4758827" cy="3633597"/>
                    </a:xfrm>
                    <a:prstGeom prst="rect">
                      <a:avLst/>
                    </a:prstGeom>
                  </pic:spPr>
                </pic:pic>
              </a:graphicData>
            </a:graphic>
          </wp:inline>
        </w:drawing>
      </w:r>
      <w:r>
        <w:rPr>
          <w:rFonts w:ascii="Times New Roman"/>
          <w:sz w:val="20"/>
        </w:rPr>
      </w:r>
    </w:p>
    <w:p>
      <w:pPr>
        <w:pStyle w:val="BodyText"/>
        <w:spacing w:before="1"/>
        <w:rPr>
          <w:rFonts w:ascii="Times New Roman"/>
          <w:sz w:val="21"/>
        </w:rPr>
      </w:pPr>
      <w:r>
        <w:rPr/>
        <w:pict>
          <v:group style="position:absolute;margin-left:129.979996pt;margin-top:14.086679pt;width:437.75pt;height:22.95pt;mso-position-horizontal-relative:page;mso-position-vertical-relative:paragraph;z-index:-15665664;mso-wrap-distance-left:0;mso-wrap-distance-right:0" coordorigin="2600,282" coordsize="8755,459">
            <v:shape style="position:absolute;left:2599;top:296;width:8755;height:207" coordorigin="2600,296" coordsize="8755,207" path="m8495,296l6481,296,2600,296,2600,503,6481,503,8495,503,8495,296xm11354,296l8496,296,8496,503,11354,503,11354,296xe" filled="true" fillcolor="#16772b" stroked="false">
              <v:path arrowok="t"/>
              <v:fill type="solid"/>
            </v:shape>
            <v:shape style="position:absolute;left:2599;top:281;width:8755;height:236" coordorigin="2600,282" coordsize="8755,236" path="m8495,503l6496,503,6481,503,2600,503,2600,517,6481,517,6496,517,8495,517,8495,503xm8495,282l6496,282,6481,282,2600,282,2600,296,6481,296,6496,296,8495,296,8495,282xm11354,503l8510,503,8496,503,8496,517,8510,517,11354,517,11354,503xm11354,282l8510,282,8496,282,8496,296,8510,296,11354,296,11354,282xe" filled="true" fillcolor="#5fff00" stroked="false">
              <v:path arrowok="t"/>
              <v:fill type="solid"/>
            </v:shape>
            <v:shape style="position:absolute;left:2599;top:516;width:8755;height:224" type="#_x0000_t202" filled="true" fillcolor="#5fff00" stroked="false">
              <v:textbox inset="0,0,0,0">
                <w:txbxContent>
                  <w:p>
                    <w:pPr>
                      <w:spacing w:before="2"/>
                      <w:ind w:left="2711" w:right="2709" w:firstLine="0"/>
                      <w:jc w:val="center"/>
                      <w:rPr>
                        <w:rFonts w:ascii="Times New Roman"/>
                        <w:sz w:val="18"/>
                      </w:rPr>
                    </w:pPr>
                    <w:r>
                      <w:rPr>
                        <w:rFonts w:ascii="Times New Roman"/>
                        <w:sz w:val="18"/>
                      </w:rPr>
                      <w:t>Revenue assumptions (as on March 31, 2020)</w:t>
                    </w:r>
                  </w:p>
                </w:txbxContent>
              </v:textbox>
              <v:fill type="solid"/>
              <w10:wrap type="none"/>
            </v:shape>
            <v:shape style="position:absolute;left:9671;top:303;width:529;height:200" type="#_x0000_t202" filled="false" stroked="false">
              <v:textbox inset="0,0,0,0">
                <w:txbxContent>
                  <w:p>
                    <w:pPr>
                      <w:spacing w:line="199" w:lineRule="exact" w:before="0"/>
                      <w:ind w:left="0" w:right="0" w:firstLine="0"/>
                      <w:jc w:val="left"/>
                      <w:rPr>
                        <w:rFonts w:ascii="Times New Roman"/>
                        <w:sz w:val="18"/>
                      </w:rPr>
                    </w:pPr>
                    <w:r>
                      <w:rPr>
                        <w:rFonts w:ascii="Times New Roman"/>
                        <w:color w:val="FFFFFF"/>
                        <w:sz w:val="18"/>
                      </w:rPr>
                      <w:t>Details</w:t>
                    </w:r>
                  </w:p>
                </w:txbxContent>
              </v:textbox>
              <w10:wrap type="none"/>
            </v:shape>
            <v:shape style="position:absolute;left:7328;top:303;width:341;height:200" type="#_x0000_t202" filled="false" stroked="false">
              <v:textbox inset="0,0,0,0">
                <w:txbxContent>
                  <w:p>
                    <w:pPr>
                      <w:spacing w:line="199" w:lineRule="exact" w:before="0"/>
                      <w:ind w:left="0" w:right="0" w:firstLine="0"/>
                      <w:jc w:val="left"/>
                      <w:rPr>
                        <w:rFonts w:ascii="Times New Roman"/>
                        <w:sz w:val="18"/>
                      </w:rPr>
                    </w:pPr>
                    <w:r>
                      <w:rPr>
                        <w:rFonts w:ascii="Times New Roman"/>
                        <w:color w:val="FFFFFF"/>
                        <w:sz w:val="18"/>
                      </w:rPr>
                      <w:t>Unit</w:t>
                    </w:r>
                  </w:p>
                </w:txbxContent>
              </v:textbox>
              <w10:wrap type="none"/>
            </v:shape>
            <v:shape style="position:absolute;left:4155;top:303;width:791;height:200" type="#_x0000_t202" filled="false" stroked="false">
              <v:textbox inset="0,0,0,0">
                <w:txbxContent>
                  <w:p>
                    <w:pPr>
                      <w:spacing w:line="199" w:lineRule="exact" w:before="0"/>
                      <w:ind w:left="0" w:right="0" w:firstLine="0"/>
                      <w:jc w:val="left"/>
                      <w:rPr>
                        <w:rFonts w:ascii="Times New Roman"/>
                        <w:sz w:val="18"/>
                      </w:rPr>
                    </w:pPr>
                    <w:r>
                      <w:rPr>
                        <w:rFonts w:ascii="Times New Roman"/>
                        <w:color w:val="FFFFFF"/>
                        <w:sz w:val="18"/>
                      </w:rPr>
                      <w:t>Particulars</w:t>
                    </w:r>
                  </w:p>
                </w:txbxContent>
              </v:textbox>
              <w10:wrap type="none"/>
            </v:shape>
            <w10:wrap type="topAndBottom"/>
          </v:group>
        </w:pict>
      </w:r>
    </w:p>
    <w:p>
      <w:pPr>
        <w:tabs>
          <w:tab w:pos="4538" w:val="left" w:leader="none"/>
          <w:tab w:pos="7387" w:val="left" w:leader="none"/>
        </w:tabs>
        <w:spacing w:before="0"/>
        <w:ind w:left="872" w:right="0" w:firstLine="0"/>
        <w:jc w:val="left"/>
        <w:rPr>
          <w:rFonts w:ascii="Times New Roman" w:hAnsi="Times New Roman"/>
          <w:sz w:val="18"/>
        </w:rPr>
      </w:pPr>
      <w:r>
        <w:rPr>
          <w:rFonts w:ascii="Times New Roman" w:hAnsi="Times New Roman"/>
          <w:sz w:val="18"/>
        </w:rPr>
        <w:t>ARR – Hilton at</w:t>
      </w:r>
      <w:r>
        <w:rPr>
          <w:rFonts w:ascii="Times New Roman" w:hAnsi="Times New Roman"/>
          <w:spacing w:val="-4"/>
          <w:sz w:val="18"/>
        </w:rPr>
        <w:t> </w:t>
      </w:r>
      <w:r>
        <w:rPr>
          <w:rFonts w:ascii="Times New Roman" w:hAnsi="Times New Roman"/>
          <w:sz w:val="18"/>
        </w:rPr>
        <w:t>Embassy</w:t>
      </w:r>
      <w:r>
        <w:rPr>
          <w:rFonts w:ascii="Times New Roman" w:hAnsi="Times New Roman"/>
          <w:spacing w:val="1"/>
          <w:sz w:val="18"/>
        </w:rPr>
        <w:t> </w:t>
      </w:r>
      <w:r>
        <w:rPr>
          <w:rFonts w:ascii="Times New Roman" w:hAnsi="Times New Roman"/>
          <w:sz w:val="18"/>
        </w:rPr>
        <w:t>GolfLinks</w:t>
        <w:tab/>
        <w:t>INR / room</w:t>
      </w:r>
      <w:r>
        <w:rPr>
          <w:rFonts w:ascii="Times New Roman" w:hAnsi="Times New Roman"/>
          <w:spacing w:val="-3"/>
          <w:sz w:val="18"/>
        </w:rPr>
        <w:t> </w:t>
      </w:r>
      <w:r>
        <w:rPr>
          <w:rFonts w:ascii="Times New Roman" w:hAnsi="Times New Roman"/>
          <w:sz w:val="18"/>
        </w:rPr>
        <w:t>/ day</w:t>
        <w:tab/>
        <w:t>9,000</w:t>
      </w:r>
    </w:p>
    <w:p>
      <w:pPr>
        <w:pStyle w:val="BodyText"/>
        <w:spacing w:line="20" w:lineRule="exact"/>
        <w:ind w:left="250"/>
        <w:rPr>
          <w:rFonts w:ascii="Times New Roman"/>
          <w:sz w:val="2"/>
        </w:rPr>
      </w:pPr>
      <w:r>
        <w:rPr>
          <w:rFonts w:ascii="Times New Roman"/>
          <w:sz w:val="2"/>
        </w:rPr>
        <w:pict>
          <v:group style="width:438.5pt;height:.75pt;mso-position-horizontal-relative:char;mso-position-vertical-relative:line" coordorigin="0,0" coordsize="8770,15">
            <v:rect style="position:absolute;left:-1;top:0;width:8770;height:15" filled="true" fillcolor="#5fff00" stroked="false">
              <v:fill type="solid"/>
            </v:rect>
          </v:group>
        </w:pict>
      </w:r>
      <w:r>
        <w:rPr>
          <w:rFonts w:ascii="Times New Roman"/>
          <w:sz w:val="2"/>
        </w:rPr>
      </w:r>
    </w:p>
    <w:p>
      <w:pPr>
        <w:spacing w:after="0" w:line="20" w:lineRule="exact"/>
        <w:rPr>
          <w:rFonts w:ascii="Times New Roman"/>
          <w:sz w:val="2"/>
        </w:rPr>
        <w:sectPr>
          <w:type w:val="continuous"/>
          <w:pgSz w:w="12240" w:h="15840"/>
          <w:pgMar w:top="800" w:bottom="280" w:left="620" w:right="580"/>
          <w:cols w:num="2" w:equalWidth="0">
            <w:col w:w="1592" w:space="123"/>
            <w:col w:w="9325"/>
          </w:cols>
        </w:sectPr>
      </w:pPr>
    </w:p>
    <w:p>
      <w:pPr>
        <w:spacing w:after="0" w:line="20" w:lineRule="exact"/>
        <w:rPr>
          <w:rFonts w:ascii="Times New Roman"/>
          <w:sz w:val="2"/>
        </w:rPr>
        <w:sectPr>
          <w:type w:val="continuous"/>
          <w:pgSz w:w="12240" w:h="15840"/>
          <w:pgMar w:top="800" w:bottom="280" w:left="620" w:right="580"/>
        </w:sectPr>
      </w:pPr>
    </w:p>
    <w:p>
      <w:pPr>
        <w:pStyle w:val="BodyText"/>
        <w:spacing w:before="9"/>
        <w:rPr>
          <w:rFonts w:ascii="Times New Roman"/>
          <w:sz w:val="17"/>
        </w:rPr>
      </w:pPr>
    </w:p>
    <w:p>
      <w:pPr>
        <w:tabs>
          <w:tab w:pos="6792" w:val="left" w:leader="none"/>
          <w:tab w:pos="9395" w:val="right" w:leader="none"/>
        </w:tabs>
        <w:spacing w:before="93"/>
        <w:ind w:left="1984" w:right="0" w:firstLine="0"/>
        <w:jc w:val="left"/>
        <w:rPr>
          <w:rFonts w:ascii="Times New Roman" w:hAnsi="Times New Roman"/>
          <w:sz w:val="18"/>
        </w:rPr>
      </w:pPr>
      <w:r>
        <w:rPr>
          <w:rFonts w:ascii="Times New Roman" w:hAnsi="Times New Roman"/>
          <w:sz w:val="18"/>
        </w:rPr>
        <w:t>Stabilized Occupancy – Hilton at</w:t>
      </w:r>
      <w:r>
        <w:rPr>
          <w:rFonts w:ascii="Times New Roman" w:hAnsi="Times New Roman"/>
          <w:spacing w:val="-8"/>
          <w:sz w:val="18"/>
        </w:rPr>
        <w:t> </w:t>
      </w:r>
      <w:r>
        <w:rPr>
          <w:rFonts w:ascii="Times New Roman" w:hAnsi="Times New Roman"/>
          <w:sz w:val="18"/>
        </w:rPr>
        <w:t>Embassy</w:t>
      </w:r>
      <w:r>
        <w:rPr>
          <w:rFonts w:ascii="Times New Roman" w:hAnsi="Times New Roman"/>
          <w:spacing w:val="1"/>
          <w:sz w:val="18"/>
        </w:rPr>
        <w:t> </w:t>
      </w:r>
      <w:r>
        <w:rPr>
          <w:rFonts w:ascii="Times New Roman" w:hAnsi="Times New Roman"/>
          <w:sz w:val="18"/>
        </w:rPr>
        <w:t>GolfLinks</w:t>
        <w:tab/>
        <w:t>%</w:t>
        <w:tab/>
        <w:t>72</w:t>
      </w:r>
    </w:p>
    <w:p>
      <w:pPr>
        <w:pStyle w:val="BodyText"/>
        <w:ind w:left="1979"/>
        <w:rPr>
          <w:rFonts w:ascii="Times New Roman"/>
          <w:sz w:val="20"/>
        </w:rPr>
      </w:pPr>
      <w:r>
        <w:rPr>
          <w:rFonts w:ascii="Times New Roman"/>
          <w:sz w:val="20"/>
        </w:rPr>
        <w:pict>
          <v:group style="width:437.75pt;height:11.9pt;mso-position-horizontal-relative:char;mso-position-vertical-relative:line" coordorigin="0,0" coordsize="8755,238">
            <v:shape style="position:absolute;left:-1;top:0;width:8755;height:238" coordorigin="0,0" coordsize="8755,238" path="m5896,0l3896,0,3882,0,0,0,0,14,3882,14,3896,14,5896,14,5896,0xm8755,17l0,17,0,223,0,238,3882,238,3896,238,5896,238,5896,223,5896,223,5896,238,5910,238,8755,238,8755,223,8755,17xm8755,0l5910,0,5896,0,5896,14,5910,14,8755,14,8755,0xe" filled="true" fillcolor="#5fff00" stroked="false">
              <v:path arrowok="t"/>
              <v:fill type="solid"/>
            </v:shape>
            <v:shape style="position:absolute;left:0;top:14;width:8755;height:209" type="#_x0000_t202" filled="false" stroked="false">
              <v:textbox inset="0,0,0,0">
                <w:txbxContent>
                  <w:p>
                    <w:pPr>
                      <w:spacing w:line="206" w:lineRule="exact" w:before="2"/>
                      <w:ind w:left="2708" w:right="2709" w:firstLine="0"/>
                      <w:jc w:val="center"/>
                      <w:rPr>
                        <w:rFonts w:ascii="Times New Roman"/>
                        <w:sz w:val="18"/>
                      </w:rPr>
                    </w:pPr>
                    <w:r>
                      <w:rPr>
                        <w:rFonts w:ascii="Times New Roman"/>
                        <w:sz w:val="18"/>
                      </w:rPr>
                      <w:t>Other financial assumptions</w:t>
                    </w:r>
                  </w:p>
                </w:txbxContent>
              </v:textbox>
              <w10:wrap type="none"/>
            </v:shape>
          </v:group>
        </w:pict>
      </w:r>
      <w:r>
        <w:rPr>
          <w:rFonts w:ascii="Times New Roman"/>
          <w:sz w:val="20"/>
        </w:rPr>
      </w:r>
    </w:p>
    <w:p>
      <w:pPr>
        <w:spacing w:before="0"/>
        <w:ind w:left="7663" w:right="90" w:firstLine="0"/>
        <w:jc w:val="center"/>
        <w:rPr>
          <w:rFonts w:ascii="Times New Roman"/>
          <w:sz w:val="18"/>
        </w:rPr>
      </w:pPr>
      <w:r>
        <w:rPr/>
        <w:pict>
          <v:shape style="position:absolute;margin-left:175.490005pt;margin-top:6.022315pt;width:202.65pt;height:10pt;mso-position-horizontal-relative:page;mso-position-vertical-relative:paragraph;z-index:15795200" type="#_x0000_t202" filled="false" stroked="false">
            <v:textbox inset="0,0,0,0">
              <w:txbxContent>
                <w:p>
                  <w:pPr>
                    <w:tabs>
                      <w:tab w:pos="3902" w:val="left" w:leader="none"/>
                    </w:tabs>
                    <w:spacing w:line="199" w:lineRule="exact" w:before="0"/>
                    <w:ind w:left="0" w:right="0" w:firstLine="0"/>
                    <w:jc w:val="left"/>
                    <w:rPr>
                      <w:rFonts w:ascii="Times New Roman" w:hAnsi="Times New Roman"/>
                      <w:sz w:val="18"/>
                    </w:rPr>
                  </w:pPr>
                  <w:r>
                    <w:rPr>
                      <w:rFonts w:ascii="Times New Roman" w:hAnsi="Times New Roman"/>
                      <w:sz w:val="18"/>
                    </w:rPr>
                    <w:t>Cap rate –</w:t>
                  </w:r>
                  <w:r>
                    <w:rPr>
                      <w:rFonts w:ascii="Times New Roman" w:hAnsi="Times New Roman"/>
                      <w:spacing w:val="-2"/>
                      <w:sz w:val="18"/>
                    </w:rPr>
                    <w:t> </w:t>
                  </w:r>
                  <w:r>
                    <w:rPr>
                      <w:rFonts w:ascii="Times New Roman" w:hAnsi="Times New Roman"/>
                      <w:sz w:val="18"/>
                    </w:rPr>
                    <w:t>hotel</w:t>
                  </w:r>
                  <w:r>
                    <w:rPr>
                      <w:rFonts w:ascii="Times New Roman" w:hAnsi="Times New Roman"/>
                      <w:spacing w:val="-1"/>
                      <w:sz w:val="18"/>
                    </w:rPr>
                    <w:t> </w:t>
                  </w:r>
                  <w:r>
                    <w:rPr>
                      <w:rFonts w:ascii="Times New Roman" w:hAnsi="Times New Roman"/>
                      <w:sz w:val="18"/>
                    </w:rPr>
                    <w:t>components</w:t>
                    <w:tab/>
                  </w:r>
                  <w:r>
                    <w:rPr>
                      <w:rFonts w:ascii="Times New Roman" w:hAnsi="Times New Roman"/>
                      <w:spacing w:val="-20"/>
                      <w:sz w:val="18"/>
                    </w:rPr>
                    <w:t>%</w:t>
                  </w:r>
                </w:p>
              </w:txbxContent>
            </v:textbox>
            <w10:wrap type="none"/>
          </v:shape>
        </w:pict>
      </w:r>
      <w:r>
        <w:rPr>
          <w:rFonts w:ascii="Times New Roman"/>
          <w:sz w:val="18"/>
        </w:rPr>
        <w:t>7.14%</w:t>
      </w:r>
    </w:p>
    <w:p>
      <w:pPr>
        <w:spacing w:before="2" w:after="18"/>
        <w:ind w:left="7664" w:right="90" w:firstLine="0"/>
        <w:jc w:val="center"/>
        <w:rPr>
          <w:rFonts w:ascii="Times New Roman"/>
          <w:sz w:val="18"/>
        </w:rPr>
      </w:pPr>
      <w:r>
        <w:rPr>
          <w:rFonts w:ascii="Times New Roman"/>
          <w:sz w:val="18"/>
        </w:rPr>
        <w:t>(viz. an EV-EBITDA multiple of 14)</w:t>
      </w:r>
    </w:p>
    <w:p>
      <w:pPr>
        <w:pStyle w:val="BodyText"/>
        <w:spacing w:line="20" w:lineRule="exact"/>
        <w:ind w:left="1979"/>
        <w:rPr>
          <w:rFonts w:ascii="Times New Roman"/>
          <w:sz w:val="2"/>
        </w:rPr>
      </w:pPr>
      <w:r>
        <w:rPr>
          <w:rFonts w:ascii="Times New Roman"/>
          <w:sz w:val="2"/>
        </w:rPr>
        <w:pict>
          <v:group style="width:437.75pt;height:.75pt;mso-position-horizontal-relative:char;mso-position-vertical-relative:line" coordorigin="0,0" coordsize="8755,15">
            <v:shape style="position:absolute;left:-1;top:0;width:8755;height:15" coordorigin="0,0" coordsize="8755,15" path="m5896,0l3896,0,3882,0,0,0,0,14,3882,14,3896,14,5896,14,5896,0xm8755,0l5910,0,5896,0,5896,14,5910,14,8755,14,8755,0xe" filled="true" fillcolor="#5fff00" stroked="false">
              <v:path arrowok="t"/>
              <v:fill type="solid"/>
            </v:shape>
          </v:group>
        </w:pict>
      </w:r>
      <w:r>
        <w:rPr>
          <w:rFonts w:ascii="Times New Roman"/>
          <w:sz w:val="2"/>
        </w:rPr>
      </w:r>
    </w:p>
    <w:p>
      <w:pPr>
        <w:tabs>
          <w:tab w:pos="5335" w:val="left" w:leader="none"/>
          <w:tab w:pos="7570" w:val="left" w:leader="none"/>
        </w:tabs>
        <w:spacing w:before="0"/>
        <w:ind w:left="2034" w:right="0" w:firstLine="0"/>
        <w:jc w:val="center"/>
        <w:rPr>
          <w:rFonts w:ascii="Times New Roman"/>
          <w:sz w:val="18"/>
        </w:rPr>
      </w:pPr>
      <w:r>
        <w:rPr>
          <w:rFonts w:ascii="Times New Roman"/>
          <w:sz w:val="18"/>
        </w:rPr>
        <w:t>WACC</w:t>
      </w:r>
      <w:r>
        <w:rPr>
          <w:rFonts w:ascii="Times New Roman"/>
          <w:spacing w:val="-1"/>
          <w:sz w:val="18"/>
        </w:rPr>
        <w:t> </w:t>
      </w:r>
      <w:r>
        <w:rPr>
          <w:rFonts w:ascii="Times New Roman"/>
          <w:sz w:val="18"/>
        </w:rPr>
        <w:t>rate</w:t>
        <w:tab/>
        <w:t>%</w:t>
        <w:tab/>
        <w:t>12.63%</w:t>
      </w:r>
    </w:p>
    <w:p>
      <w:pPr>
        <w:pStyle w:val="BodyText"/>
        <w:spacing w:line="20" w:lineRule="exact"/>
        <w:ind w:left="1979"/>
        <w:rPr>
          <w:rFonts w:ascii="Times New Roman"/>
          <w:sz w:val="2"/>
        </w:rPr>
      </w:pPr>
      <w:r>
        <w:rPr>
          <w:rFonts w:ascii="Times New Roman"/>
          <w:sz w:val="2"/>
        </w:rPr>
        <w:pict>
          <v:group style="width:437.75pt;height:.75pt;mso-position-horizontal-relative:char;mso-position-vertical-relative:line" coordorigin="0,0" coordsize="8755,15">
            <v:shape style="position:absolute;left:-1;top:0;width:8755;height:15" coordorigin="0,0" coordsize="8755,15" path="m5896,0l3896,0,3882,0,0,0,0,14,3882,14,3896,14,5896,14,5896,0xm8755,0l5910,0,5896,0,5896,14,5910,14,8755,14,8755,0xe" filled="true" fillcolor="#5fff00" stroked="false">
              <v:path arrowok="t"/>
              <v:fill type="solid"/>
            </v:shape>
          </v:group>
        </w:pict>
      </w:r>
      <w:r>
        <w:rPr>
          <w:rFonts w:ascii="Times New Roman"/>
          <w:sz w:val="2"/>
        </w:rPr>
      </w:r>
    </w:p>
    <w:p>
      <w:pPr>
        <w:pStyle w:val="BodyText"/>
        <w:spacing w:before="6"/>
        <w:rPr>
          <w:rFonts w:ascii="Times New Roman"/>
          <w:sz w:val="9"/>
        </w:rPr>
      </w:pPr>
    </w:p>
    <w:p>
      <w:pPr>
        <w:tabs>
          <w:tab w:pos="1979" w:val="left" w:leader="none"/>
        </w:tabs>
        <w:spacing w:before="93"/>
        <w:ind w:left="265" w:right="0" w:firstLine="0"/>
        <w:jc w:val="left"/>
        <w:rPr>
          <w:rFonts w:ascii="Times New Roman"/>
          <w:b/>
          <w:sz w:val="18"/>
        </w:rPr>
      </w:pPr>
      <w:r>
        <w:rPr>
          <w:rFonts w:ascii="Times New Roman"/>
          <w:color w:val="16772B"/>
          <w:sz w:val="18"/>
        </w:rPr>
        <w:t>Market</w:t>
      </w:r>
      <w:r>
        <w:rPr>
          <w:rFonts w:ascii="Times New Roman"/>
          <w:color w:val="16772B"/>
          <w:spacing w:val="-1"/>
          <w:sz w:val="18"/>
        </w:rPr>
        <w:t> </w:t>
      </w:r>
      <w:r>
        <w:rPr>
          <w:rFonts w:ascii="Times New Roman"/>
          <w:color w:val="16772B"/>
          <w:sz w:val="18"/>
        </w:rPr>
        <w:t>Value:</w:t>
        <w:tab/>
      </w:r>
      <w:r>
        <w:rPr>
          <w:rFonts w:ascii="Times New Roman"/>
          <w:b/>
          <w:sz w:val="18"/>
        </w:rPr>
        <w:t>INR 4,436</w:t>
      </w:r>
      <w:r>
        <w:rPr>
          <w:rFonts w:ascii="Times New Roman"/>
          <w:b/>
          <w:spacing w:val="2"/>
          <w:sz w:val="18"/>
        </w:rPr>
        <w:t> </w:t>
      </w:r>
      <w:r>
        <w:rPr>
          <w:rFonts w:ascii="Times New Roman"/>
          <w:b/>
          <w:sz w:val="18"/>
        </w:rPr>
        <w:t>Mn</w:t>
      </w:r>
    </w:p>
    <w:p>
      <w:pPr>
        <w:spacing w:after="0"/>
        <w:jc w:val="left"/>
        <w:rPr>
          <w:rFonts w:ascii="Times New Roman"/>
          <w:sz w:val="18"/>
        </w:rPr>
        <w:sectPr>
          <w:pgSz w:w="12240" w:h="15840"/>
          <w:pgMar w:header="728" w:footer="1174" w:top="1180" w:bottom="1460" w:left="620" w:right="580"/>
        </w:sectPr>
      </w:pPr>
    </w:p>
    <w:p>
      <w:pPr>
        <w:pStyle w:val="BodyText"/>
        <w:rPr>
          <w:rFonts w:ascii="Times New Roman"/>
          <w:b/>
          <w:sz w:val="18"/>
        </w:rPr>
      </w:pPr>
    </w:p>
    <w:p>
      <w:pPr>
        <w:pStyle w:val="ListParagraph"/>
        <w:numPr>
          <w:ilvl w:val="1"/>
          <w:numId w:val="1"/>
        </w:numPr>
        <w:tabs>
          <w:tab w:pos="1554" w:val="left" w:leader="none"/>
          <w:tab w:pos="1555" w:val="left" w:leader="none"/>
        </w:tabs>
        <w:spacing w:line="240" w:lineRule="auto" w:before="91" w:after="0"/>
        <w:ind w:left="1554" w:right="0" w:hanging="735"/>
        <w:jc w:val="left"/>
        <w:rPr>
          <w:rFonts w:ascii="Times New Roman"/>
          <w:color w:val="16772B"/>
          <w:sz w:val="20"/>
        </w:rPr>
      </w:pPr>
      <w:r>
        <w:rPr>
          <w:rFonts w:ascii="Times New Roman"/>
          <w:color w:val="16772B"/>
          <w:sz w:val="20"/>
        </w:rPr>
        <w:t>Embassy Energy</w:t>
      </w:r>
    </w:p>
    <w:p>
      <w:pPr>
        <w:pStyle w:val="BodyText"/>
        <w:rPr>
          <w:rFonts w:ascii="Times New Roman"/>
          <w:sz w:val="24"/>
        </w:rPr>
      </w:pPr>
    </w:p>
    <w:p>
      <w:pPr>
        <w:spacing w:before="0"/>
        <w:ind w:left="1437" w:right="0" w:hanging="1172"/>
        <w:jc w:val="left"/>
        <w:rPr>
          <w:rFonts w:ascii="Times New Roman" w:hAnsi="Times New Roman"/>
          <w:sz w:val="18"/>
        </w:rPr>
      </w:pPr>
      <w:r>
        <w:rPr>
          <w:rFonts w:ascii="Times New Roman" w:hAnsi="Times New Roman"/>
          <w:color w:val="16772B"/>
          <w:sz w:val="18"/>
        </w:rPr>
        <w:t>Property Name: </w:t>
      </w:r>
      <w:r>
        <w:rPr>
          <w:rFonts w:ascii="Times New Roman" w:hAnsi="Times New Roman"/>
          <w:sz w:val="18"/>
        </w:rPr>
        <w:t>‘Embassy Energy’ is a Solar PV electricity generation facility spread across Villages Ittigi, Mooregeri and Nellukudure, Bellary District, Karnataka</w:t>
      </w:r>
    </w:p>
    <w:p>
      <w:pPr>
        <w:pStyle w:val="BodyText"/>
        <w:spacing w:before="8"/>
        <w:rPr>
          <w:rFonts w:ascii="Times New Roman"/>
          <w:sz w:val="12"/>
        </w:rPr>
      </w:pPr>
    </w:p>
    <w:p>
      <w:pPr>
        <w:spacing w:after="0"/>
        <w:rPr>
          <w:rFonts w:ascii="Times New Roman"/>
          <w:sz w:val="12"/>
        </w:rPr>
        <w:sectPr>
          <w:pgSz w:w="12240" w:h="15840"/>
          <w:pgMar w:header="728" w:footer="1174" w:top="1180" w:bottom="1460" w:left="620" w:right="580"/>
        </w:sectPr>
      </w:pPr>
    </w:p>
    <w:p>
      <w:pPr>
        <w:spacing w:before="93"/>
        <w:ind w:left="265" w:right="0" w:firstLine="0"/>
        <w:jc w:val="left"/>
        <w:rPr>
          <w:rFonts w:ascii="Times New Roman"/>
          <w:sz w:val="18"/>
        </w:rPr>
      </w:pPr>
      <w:r>
        <w:rPr>
          <w:rFonts w:ascii="Times New Roman"/>
          <w:color w:val="16772B"/>
          <w:sz w:val="18"/>
        </w:rPr>
        <w:t>Property</w:t>
      </w:r>
    </w:p>
    <w:p>
      <w:pPr>
        <w:spacing w:before="2"/>
        <w:ind w:left="506" w:right="0" w:firstLine="0"/>
        <w:jc w:val="left"/>
        <w:rPr>
          <w:rFonts w:ascii="Times New Roman"/>
          <w:sz w:val="18"/>
        </w:rPr>
      </w:pPr>
      <w:r>
        <w:rPr>
          <w:rFonts w:ascii="Times New Roman"/>
          <w:color w:val="16772B"/>
          <w:sz w:val="18"/>
        </w:rPr>
        <w:t>Address:</w:t>
      </w:r>
    </w:p>
    <w:p>
      <w:pPr>
        <w:spacing w:before="93"/>
        <w:ind w:left="251" w:right="149" w:firstLine="0"/>
        <w:jc w:val="left"/>
        <w:rPr>
          <w:rFonts w:ascii="Times New Roman"/>
          <w:sz w:val="18"/>
        </w:rPr>
      </w:pPr>
      <w:r>
        <w:rPr/>
        <w:br w:type="column"/>
      </w:r>
      <w:r>
        <w:rPr>
          <w:rFonts w:ascii="Times New Roman"/>
          <w:sz w:val="18"/>
        </w:rPr>
        <w:t>Villages Ittigi and Mooregeri in Huvin Hadagali Taluka and Nellukudure in Hagri Bommanhalli Taluka, Bellary District, Karnataka</w:t>
      </w:r>
    </w:p>
    <w:p>
      <w:pPr>
        <w:spacing w:after="0"/>
        <w:jc w:val="left"/>
        <w:rPr>
          <w:rFonts w:ascii="Times New Roman"/>
          <w:sz w:val="18"/>
        </w:rPr>
        <w:sectPr>
          <w:type w:val="continuous"/>
          <w:pgSz w:w="12240" w:h="15840"/>
          <w:pgMar w:top="800" w:bottom="280" w:left="620" w:right="580"/>
          <w:cols w:num="2" w:equalWidth="0">
            <w:col w:w="1147" w:space="40"/>
            <w:col w:w="9853"/>
          </w:cols>
        </w:sectPr>
      </w:pPr>
    </w:p>
    <w:p>
      <w:pPr>
        <w:pStyle w:val="BodyText"/>
        <w:spacing w:before="9"/>
        <w:rPr>
          <w:rFonts w:ascii="Times New Roman"/>
          <w:sz w:val="12"/>
        </w:rPr>
      </w:pPr>
    </w:p>
    <w:p>
      <w:pPr>
        <w:spacing w:before="92"/>
        <w:ind w:left="1437" w:right="301" w:hanging="1172"/>
        <w:jc w:val="both"/>
        <w:rPr>
          <w:rFonts w:ascii="Times New Roman" w:hAnsi="Times New Roman"/>
          <w:sz w:val="18"/>
        </w:rPr>
      </w:pPr>
      <w:r>
        <w:rPr>
          <w:rFonts w:ascii="Times New Roman" w:hAnsi="Times New Roman"/>
          <w:color w:val="16772B"/>
          <w:sz w:val="18"/>
        </w:rPr>
        <w:t>Land Area:   </w:t>
      </w:r>
      <w:r>
        <w:rPr>
          <w:rFonts w:ascii="Times New Roman" w:hAnsi="Times New Roman"/>
          <w:sz w:val="18"/>
        </w:rPr>
        <w:t>The Valuer understands from the Client, title reports, site plans, letter highlighting Commercial Operations Date and site visit,    that the park is spread over 465.77 Acres of which the land aggregation is in place by way of sale deed, Agreement to Sell  (ATS) or General Power of Attorney (GPA), etc. The Valuer understands that currently only about 254.47 Acres is owned by the company by way of Sale Deed whereas the rest is under various stages of sale and conversion – below is a table which highlights the current status of the Land Aggregation. Further, the Valuer understands that physical possession of the land is with EEPL and/or its contractors and sub-contractors and that the solar park has been constructed on most of the land. It is assumed that the sale and conversion would be successful and any adverse impact has not been factored in the</w:t>
      </w:r>
      <w:r>
        <w:rPr>
          <w:rFonts w:ascii="Times New Roman" w:hAnsi="Times New Roman"/>
          <w:spacing w:val="-16"/>
          <w:sz w:val="18"/>
        </w:rPr>
        <w:t> </w:t>
      </w:r>
      <w:r>
        <w:rPr>
          <w:rFonts w:ascii="Times New Roman" w:hAnsi="Times New Roman"/>
          <w:sz w:val="18"/>
        </w:rPr>
        <w:t>valuation</w:t>
      </w:r>
    </w:p>
    <w:p>
      <w:pPr>
        <w:pStyle w:val="BodyText"/>
        <w:spacing w:before="5"/>
        <w:rPr>
          <w:rFonts w:ascii="Times New Roman"/>
          <w:sz w:val="26"/>
        </w:rPr>
      </w:pPr>
    </w:p>
    <w:tbl>
      <w:tblPr>
        <w:tblW w:w="0" w:type="auto"/>
        <w:jc w:val="left"/>
        <w:tblInd w:w="14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182"/>
        <w:gridCol w:w="3115"/>
      </w:tblGrid>
      <w:tr>
        <w:trPr>
          <w:trHeight w:val="206" w:hRule="atLeast"/>
        </w:trPr>
        <w:tc>
          <w:tcPr>
            <w:tcW w:w="6182" w:type="dxa"/>
            <w:tcBorders>
              <w:top w:val="single" w:sz="6" w:space="0" w:color="5FFF00"/>
            </w:tcBorders>
            <w:shd w:val="clear" w:color="auto" w:fill="16772B"/>
          </w:tcPr>
          <w:p>
            <w:pPr>
              <w:pStyle w:val="TableParagraph"/>
              <w:spacing w:line="186" w:lineRule="exact"/>
              <w:ind w:left="1152" w:right="1088"/>
              <w:rPr>
                <w:rFonts w:ascii="Times New Roman"/>
                <w:b/>
                <w:sz w:val="18"/>
              </w:rPr>
            </w:pPr>
            <w:r>
              <w:rPr>
                <w:rFonts w:ascii="Times New Roman"/>
                <w:b/>
                <w:color w:val="FFFFFF"/>
                <w:sz w:val="18"/>
              </w:rPr>
              <w:t>Particular</w:t>
            </w:r>
          </w:p>
        </w:tc>
        <w:tc>
          <w:tcPr>
            <w:tcW w:w="3115" w:type="dxa"/>
            <w:tcBorders>
              <w:top w:val="single" w:sz="6" w:space="0" w:color="5FFF00"/>
            </w:tcBorders>
            <w:shd w:val="clear" w:color="auto" w:fill="16772B"/>
          </w:tcPr>
          <w:p>
            <w:pPr>
              <w:pStyle w:val="TableParagraph"/>
              <w:spacing w:line="186" w:lineRule="exact"/>
              <w:ind w:left="1094" w:right="1035"/>
              <w:rPr>
                <w:rFonts w:ascii="Times New Roman"/>
                <w:b/>
                <w:sz w:val="18"/>
              </w:rPr>
            </w:pPr>
            <w:r>
              <w:rPr>
                <w:rFonts w:ascii="Times New Roman"/>
                <w:b/>
                <w:color w:val="FFFFFF"/>
                <w:sz w:val="18"/>
              </w:rPr>
              <w:t>Area (acres)</w:t>
            </w:r>
          </w:p>
        </w:tc>
      </w:tr>
      <w:tr>
        <w:trPr>
          <w:trHeight w:val="207" w:hRule="atLeast"/>
        </w:trPr>
        <w:tc>
          <w:tcPr>
            <w:tcW w:w="6182" w:type="dxa"/>
            <w:tcBorders>
              <w:bottom w:val="single" w:sz="6" w:space="0" w:color="5FFF00"/>
            </w:tcBorders>
          </w:tcPr>
          <w:p>
            <w:pPr>
              <w:pStyle w:val="TableParagraph"/>
              <w:spacing w:line="188" w:lineRule="exact"/>
              <w:ind w:left="1152" w:right="1092"/>
              <w:rPr>
                <w:rFonts w:ascii="Times New Roman"/>
                <w:sz w:val="18"/>
              </w:rPr>
            </w:pPr>
            <w:r>
              <w:rPr>
                <w:rFonts w:ascii="Times New Roman"/>
                <w:sz w:val="18"/>
              </w:rPr>
              <w:t>Total extent of identified Land</w:t>
            </w:r>
          </w:p>
        </w:tc>
        <w:tc>
          <w:tcPr>
            <w:tcW w:w="3115" w:type="dxa"/>
            <w:tcBorders>
              <w:bottom w:val="single" w:sz="6" w:space="0" w:color="5FFF00"/>
            </w:tcBorders>
          </w:tcPr>
          <w:p>
            <w:pPr>
              <w:pStyle w:val="TableParagraph"/>
              <w:spacing w:line="188" w:lineRule="exact"/>
              <w:ind w:left="1094" w:right="1032"/>
              <w:rPr>
                <w:rFonts w:ascii="Times New Roman"/>
                <w:sz w:val="18"/>
              </w:rPr>
            </w:pPr>
            <w:r>
              <w:rPr>
                <w:rFonts w:ascii="Times New Roman"/>
                <w:sz w:val="18"/>
              </w:rPr>
              <w:t>465.77</w:t>
            </w:r>
          </w:p>
        </w:tc>
      </w:tr>
      <w:tr>
        <w:trPr>
          <w:trHeight w:val="205" w:hRule="atLeast"/>
        </w:trPr>
        <w:tc>
          <w:tcPr>
            <w:tcW w:w="6182" w:type="dxa"/>
            <w:tcBorders>
              <w:top w:val="single" w:sz="6" w:space="0" w:color="5FFF00"/>
              <w:bottom w:val="single" w:sz="6" w:space="0" w:color="5FFF00"/>
            </w:tcBorders>
          </w:tcPr>
          <w:p>
            <w:pPr>
              <w:pStyle w:val="TableParagraph"/>
              <w:spacing w:line="186" w:lineRule="exact"/>
              <w:ind w:left="1152" w:right="1094"/>
              <w:rPr>
                <w:rFonts w:ascii="Times New Roman"/>
                <w:sz w:val="18"/>
              </w:rPr>
            </w:pPr>
            <w:r>
              <w:rPr>
                <w:rFonts w:ascii="Times New Roman"/>
                <w:sz w:val="18"/>
              </w:rPr>
              <w:t>Registered ATS and POA completed</w:t>
            </w:r>
          </w:p>
        </w:tc>
        <w:tc>
          <w:tcPr>
            <w:tcW w:w="3115" w:type="dxa"/>
            <w:tcBorders>
              <w:top w:val="single" w:sz="6" w:space="0" w:color="5FFF00"/>
              <w:bottom w:val="single" w:sz="6" w:space="0" w:color="5FFF00"/>
            </w:tcBorders>
          </w:tcPr>
          <w:p>
            <w:pPr>
              <w:pStyle w:val="TableParagraph"/>
              <w:spacing w:line="186" w:lineRule="exact"/>
              <w:ind w:left="1094" w:right="1032"/>
              <w:rPr>
                <w:rFonts w:ascii="Times New Roman"/>
                <w:sz w:val="18"/>
              </w:rPr>
            </w:pPr>
            <w:r>
              <w:rPr>
                <w:rFonts w:ascii="Times New Roman"/>
                <w:sz w:val="18"/>
              </w:rPr>
              <w:t>465.77</w:t>
            </w:r>
          </w:p>
        </w:tc>
      </w:tr>
      <w:tr>
        <w:trPr>
          <w:trHeight w:val="208" w:hRule="atLeast"/>
        </w:trPr>
        <w:tc>
          <w:tcPr>
            <w:tcW w:w="6182" w:type="dxa"/>
            <w:tcBorders>
              <w:top w:val="single" w:sz="6" w:space="0" w:color="5FFF00"/>
              <w:bottom w:val="single" w:sz="6" w:space="0" w:color="5FFF00"/>
            </w:tcBorders>
          </w:tcPr>
          <w:p>
            <w:pPr>
              <w:pStyle w:val="TableParagraph"/>
              <w:spacing w:line="188" w:lineRule="exact"/>
              <w:ind w:left="1152" w:right="1091"/>
              <w:rPr>
                <w:rFonts w:ascii="Times New Roman"/>
                <w:sz w:val="18"/>
              </w:rPr>
            </w:pPr>
            <w:r>
              <w:rPr>
                <w:rFonts w:ascii="Times New Roman"/>
                <w:sz w:val="18"/>
              </w:rPr>
              <w:t>Applied for approval u/s 109</w:t>
            </w:r>
          </w:p>
        </w:tc>
        <w:tc>
          <w:tcPr>
            <w:tcW w:w="3115" w:type="dxa"/>
            <w:tcBorders>
              <w:top w:val="single" w:sz="6" w:space="0" w:color="5FFF00"/>
              <w:bottom w:val="single" w:sz="6" w:space="0" w:color="5FFF00"/>
            </w:tcBorders>
          </w:tcPr>
          <w:p>
            <w:pPr>
              <w:pStyle w:val="TableParagraph"/>
              <w:spacing w:line="188" w:lineRule="exact"/>
              <w:ind w:left="1094" w:right="1032"/>
              <w:rPr>
                <w:rFonts w:ascii="Times New Roman"/>
                <w:sz w:val="18"/>
              </w:rPr>
            </w:pPr>
            <w:r>
              <w:rPr>
                <w:rFonts w:ascii="Times New Roman"/>
                <w:sz w:val="18"/>
              </w:rPr>
              <w:t>464.51</w:t>
            </w:r>
          </w:p>
        </w:tc>
      </w:tr>
      <w:tr>
        <w:trPr>
          <w:trHeight w:val="205" w:hRule="atLeast"/>
        </w:trPr>
        <w:tc>
          <w:tcPr>
            <w:tcW w:w="6182" w:type="dxa"/>
            <w:tcBorders>
              <w:top w:val="single" w:sz="6" w:space="0" w:color="5FFF00"/>
              <w:bottom w:val="single" w:sz="6" w:space="0" w:color="5FFF00"/>
            </w:tcBorders>
          </w:tcPr>
          <w:p>
            <w:pPr>
              <w:pStyle w:val="TableParagraph"/>
              <w:spacing w:line="186" w:lineRule="exact"/>
              <w:ind w:left="1152" w:right="1094"/>
              <w:rPr>
                <w:rFonts w:ascii="Times New Roman"/>
                <w:sz w:val="18"/>
              </w:rPr>
            </w:pPr>
            <w:r>
              <w:rPr>
                <w:rFonts w:ascii="Times New Roman"/>
                <w:sz w:val="18"/>
              </w:rPr>
              <w:t>Extent of land approved/recommended by DC u/s 109</w:t>
            </w:r>
          </w:p>
        </w:tc>
        <w:tc>
          <w:tcPr>
            <w:tcW w:w="3115" w:type="dxa"/>
            <w:tcBorders>
              <w:top w:val="single" w:sz="6" w:space="0" w:color="5FFF00"/>
              <w:bottom w:val="single" w:sz="6" w:space="0" w:color="5FFF00"/>
            </w:tcBorders>
          </w:tcPr>
          <w:p>
            <w:pPr>
              <w:pStyle w:val="TableParagraph"/>
              <w:spacing w:line="186" w:lineRule="exact"/>
              <w:ind w:left="1094" w:right="1032"/>
              <w:rPr>
                <w:rFonts w:ascii="Times New Roman"/>
                <w:sz w:val="18"/>
              </w:rPr>
            </w:pPr>
            <w:r>
              <w:rPr>
                <w:rFonts w:ascii="Times New Roman"/>
                <w:sz w:val="18"/>
              </w:rPr>
              <w:t>442.54</w:t>
            </w:r>
          </w:p>
        </w:tc>
      </w:tr>
      <w:tr>
        <w:trPr>
          <w:trHeight w:val="208" w:hRule="atLeast"/>
        </w:trPr>
        <w:tc>
          <w:tcPr>
            <w:tcW w:w="6182" w:type="dxa"/>
            <w:tcBorders>
              <w:top w:val="single" w:sz="6" w:space="0" w:color="5FFF00"/>
              <w:bottom w:val="single" w:sz="6" w:space="0" w:color="5FFF00"/>
            </w:tcBorders>
          </w:tcPr>
          <w:p>
            <w:pPr>
              <w:pStyle w:val="TableParagraph"/>
              <w:spacing w:line="188" w:lineRule="exact"/>
              <w:ind w:left="1152" w:right="1093"/>
              <w:rPr>
                <w:rFonts w:ascii="Times New Roman"/>
                <w:sz w:val="18"/>
              </w:rPr>
            </w:pPr>
            <w:r>
              <w:rPr>
                <w:rFonts w:ascii="Times New Roman"/>
                <w:sz w:val="18"/>
              </w:rPr>
              <w:t>Final approval received u/s 109</w:t>
            </w:r>
          </w:p>
        </w:tc>
        <w:tc>
          <w:tcPr>
            <w:tcW w:w="3115" w:type="dxa"/>
            <w:tcBorders>
              <w:top w:val="single" w:sz="6" w:space="0" w:color="5FFF00"/>
              <w:bottom w:val="single" w:sz="6" w:space="0" w:color="5FFF00"/>
            </w:tcBorders>
          </w:tcPr>
          <w:p>
            <w:pPr>
              <w:pStyle w:val="TableParagraph"/>
              <w:spacing w:line="188" w:lineRule="exact"/>
              <w:ind w:left="1094" w:right="1032"/>
              <w:rPr>
                <w:rFonts w:ascii="Times New Roman"/>
                <w:sz w:val="18"/>
              </w:rPr>
            </w:pPr>
            <w:r>
              <w:rPr>
                <w:rFonts w:ascii="Times New Roman"/>
                <w:sz w:val="18"/>
              </w:rPr>
              <w:t>442.54</w:t>
            </w:r>
          </w:p>
        </w:tc>
      </w:tr>
      <w:tr>
        <w:trPr>
          <w:trHeight w:val="205" w:hRule="atLeast"/>
        </w:trPr>
        <w:tc>
          <w:tcPr>
            <w:tcW w:w="6182" w:type="dxa"/>
            <w:tcBorders>
              <w:top w:val="single" w:sz="6" w:space="0" w:color="5FFF00"/>
              <w:bottom w:val="single" w:sz="6" w:space="0" w:color="5FFF00"/>
            </w:tcBorders>
          </w:tcPr>
          <w:p>
            <w:pPr>
              <w:pStyle w:val="TableParagraph"/>
              <w:spacing w:line="186" w:lineRule="exact"/>
              <w:ind w:left="1150" w:right="1094"/>
              <w:rPr>
                <w:rFonts w:ascii="Times New Roman"/>
                <w:sz w:val="18"/>
              </w:rPr>
            </w:pPr>
            <w:r>
              <w:rPr>
                <w:rFonts w:ascii="Times New Roman"/>
                <w:sz w:val="18"/>
              </w:rPr>
              <w:t>Sale Deed executed favouring EEPL</w:t>
            </w:r>
          </w:p>
        </w:tc>
        <w:tc>
          <w:tcPr>
            <w:tcW w:w="3115" w:type="dxa"/>
            <w:tcBorders>
              <w:top w:val="single" w:sz="6" w:space="0" w:color="5FFF00"/>
              <w:bottom w:val="single" w:sz="6" w:space="0" w:color="5FFF00"/>
            </w:tcBorders>
          </w:tcPr>
          <w:p>
            <w:pPr>
              <w:pStyle w:val="TableParagraph"/>
              <w:spacing w:line="186" w:lineRule="exact"/>
              <w:ind w:left="1094" w:right="1032"/>
              <w:rPr>
                <w:rFonts w:ascii="Times New Roman"/>
                <w:sz w:val="18"/>
              </w:rPr>
            </w:pPr>
            <w:r>
              <w:rPr>
                <w:rFonts w:ascii="Times New Roman"/>
                <w:sz w:val="18"/>
              </w:rPr>
              <w:t>254.47</w:t>
            </w:r>
          </w:p>
        </w:tc>
      </w:tr>
    </w:tbl>
    <w:p>
      <w:pPr>
        <w:pStyle w:val="BodyText"/>
        <w:spacing w:before="2"/>
        <w:rPr>
          <w:rFonts w:ascii="Times New Roman"/>
          <w:sz w:val="12"/>
        </w:rPr>
      </w:pPr>
    </w:p>
    <w:p>
      <w:pPr>
        <w:tabs>
          <w:tab w:pos="1437" w:val="left" w:leader="none"/>
        </w:tabs>
        <w:spacing w:before="92"/>
        <w:ind w:left="265" w:right="0" w:firstLine="0"/>
        <w:jc w:val="left"/>
        <w:rPr>
          <w:rFonts w:ascii="Times New Roman" w:hAnsi="Times New Roman"/>
          <w:sz w:val="18"/>
        </w:rPr>
      </w:pPr>
      <w:r>
        <w:rPr>
          <w:rFonts w:ascii="Times New Roman" w:hAnsi="Times New Roman"/>
          <w:color w:val="16772B"/>
          <w:sz w:val="18"/>
        </w:rPr>
        <w:t>Brief</w:t>
        <w:tab/>
      </w:r>
      <w:r>
        <w:rPr>
          <w:rFonts w:ascii="Times New Roman" w:hAnsi="Times New Roman"/>
          <w:sz w:val="18"/>
        </w:rPr>
        <w:t>The subject property is an operational solar park under the ownership of </w:t>
      </w:r>
      <w:r>
        <w:rPr>
          <w:rFonts w:ascii="Times New Roman" w:hAnsi="Times New Roman"/>
          <w:b/>
          <w:sz w:val="18"/>
        </w:rPr>
        <w:t>‘Embassy-Energy Private Limited (EEPL)’</w:t>
      </w:r>
      <w:r>
        <w:rPr>
          <w:rFonts w:ascii="Times New Roman" w:hAnsi="Times New Roman"/>
          <w:sz w:val="18"/>
        </w:rPr>
        <w:t>.</w:t>
      </w:r>
      <w:r>
        <w:rPr>
          <w:rFonts w:ascii="Times New Roman" w:hAnsi="Times New Roman"/>
          <w:spacing w:val="33"/>
          <w:sz w:val="18"/>
        </w:rPr>
        <w:t> </w:t>
      </w:r>
      <w:r>
        <w:rPr>
          <w:rFonts w:ascii="Times New Roman" w:hAnsi="Times New Roman"/>
          <w:sz w:val="18"/>
        </w:rPr>
        <w:t>The</w:t>
      </w:r>
    </w:p>
    <w:p>
      <w:pPr>
        <w:spacing w:before="2"/>
        <w:ind w:left="1437" w:right="299" w:hanging="932"/>
        <w:jc w:val="both"/>
        <w:rPr>
          <w:rFonts w:ascii="Times New Roman" w:hAnsi="Times New Roman"/>
          <w:sz w:val="18"/>
        </w:rPr>
      </w:pPr>
      <w:r>
        <w:rPr>
          <w:rFonts w:ascii="Times New Roman" w:hAnsi="Times New Roman"/>
          <w:color w:val="16772B"/>
          <w:sz w:val="18"/>
        </w:rPr>
        <w:t>Description: </w:t>
      </w:r>
      <w:r>
        <w:rPr>
          <w:rFonts w:ascii="Times New Roman" w:hAnsi="Times New Roman"/>
          <w:sz w:val="18"/>
        </w:rPr>
        <w:t>subject site is spread across three villages namely Ittigi, Mooregeri and Nellukudure in Bellary District. The subject location is situated at a distance of more than 300 km from Bengaluru City and is currently a nascent vector in terms of real estate activity. Being a peripheral location, the region is predominantly characterized by the presence of agricultural land parcels (with black cotton soil). However, a few solar parks are currently operational/ proposed at the subject location by prominent players such as Adani, ReNew, etc. The accessibility of the subject region is via State Highway – 45 (SH – 45).</w:t>
      </w:r>
    </w:p>
    <w:p>
      <w:pPr>
        <w:pStyle w:val="BodyText"/>
        <w:rPr>
          <w:rFonts w:ascii="Times New Roman"/>
          <w:sz w:val="24"/>
        </w:rPr>
      </w:pPr>
    </w:p>
    <w:p>
      <w:pPr>
        <w:spacing w:before="0"/>
        <w:ind w:left="1437" w:right="297" w:firstLine="0"/>
        <w:jc w:val="both"/>
        <w:rPr>
          <w:rFonts w:ascii="Times New Roman" w:hAnsi="Times New Roman"/>
          <w:sz w:val="18"/>
        </w:rPr>
      </w:pPr>
      <w:r>
        <w:rPr>
          <w:rFonts w:ascii="Times New Roman" w:hAnsi="Times New Roman"/>
          <w:sz w:val="18"/>
        </w:rPr>
        <w:t>On account of being accessible through the State Highway – 45 (SH – 45), the subject property enjoys good connectivity to neighbouring towns and villages. Further, it is located at a distance of approximately 3 – 4 km from the 220 KV Sub-station (Ittigi), approximately 3 – 4 km from Ittigi Village Centre, approximately 65 – 70 km from Davangere and approximately 300 – 310 km from MG Road (Bengaluru).</w:t>
      </w:r>
    </w:p>
    <w:p>
      <w:pPr>
        <w:pStyle w:val="BodyText"/>
        <w:rPr>
          <w:rFonts w:ascii="Times New Roman"/>
          <w:sz w:val="24"/>
        </w:rPr>
      </w:pPr>
    </w:p>
    <w:p>
      <w:pPr>
        <w:spacing w:before="0"/>
        <w:ind w:left="1437" w:right="300" w:firstLine="0"/>
        <w:jc w:val="both"/>
        <w:rPr>
          <w:rFonts w:ascii="Times New Roman"/>
          <w:sz w:val="18"/>
        </w:rPr>
      </w:pPr>
      <w:r>
        <w:rPr>
          <w:rFonts w:ascii="Times New Roman"/>
          <w:sz w:val="18"/>
        </w:rPr>
        <w:t>Based on review of power purchase agreements between EEPL and the power purchasers, the Valuer understands that the solar plant would supply electricity to the existing office parks / hotels of Embassy in Bengaluru. In lieu of the same, it is understood that EEPL has already signed power purchase agreements (PPAs) for 25 years with various entities for commercial and industrial</w:t>
      </w:r>
      <w:r>
        <w:rPr>
          <w:rFonts w:ascii="Times New Roman"/>
          <w:spacing w:val="-1"/>
          <w:sz w:val="18"/>
        </w:rPr>
        <w:t> </w:t>
      </w:r>
      <w:r>
        <w:rPr>
          <w:rFonts w:ascii="Times New Roman"/>
          <w:sz w:val="18"/>
        </w:rPr>
        <w:t>category.</w:t>
      </w:r>
    </w:p>
    <w:p>
      <w:pPr>
        <w:pStyle w:val="BodyText"/>
        <w:rPr>
          <w:rFonts w:ascii="Times New Roman"/>
          <w:sz w:val="24"/>
        </w:rPr>
      </w:pPr>
    </w:p>
    <w:p>
      <w:pPr>
        <w:spacing w:before="0"/>
        <w:ind w:left="1437" w:right="299" w:firstLine="0"/>
        <w:jc w:val="both"/>
        <w:rPr>
          <w:rFonts w:ascii="Times New Roman"/>
          <w:sz w:val="18"/>
        </w:rPr>
      </w:pPr>
      <w:r>
        <w:rPr>
          <w:rFonts w:ascii="Times New Roman"/>
          <w:sz w:val="18"/>
        </w:rPr>
        <w:t>Further, based on the review of various documents provided by the Client, it is understood that EEPL has entered into a project development agreement with IL&amp;FS Solar Power Limited, as per which IL&amp;FS Solar Power Limited would set up the entire solar plant facility including land acquisition, development, design, engineering, procurement, construction, erection, testing and commissioning of the solar park. For the same, IL&amp;FS Solar Power Limited will receive deferred payments from EEPL in equated monthly instalments for 15 years (180 months) from Commercial Operation Date (COD). Additionally, it is also understood that IL&amp;FS Solar Power Limited would undertake the O&amp;M services for the solar park facility for a period of 15 years from COD. For the same, EEPL would pay a lump sum operations and maintenance service fee (during the term of this agreement) to IL&amp;FS Solar Power Limited.</w:t>
      </w:r>
    </w:p>
    <w:p>
      <w:pPr>
        <w:pStyle w:val="BodyText"/>
        <w:spacing w:before="8"/>
        <w:rPr>
          <w:rFonts w:ascii="Times New Roman"/>
          <w:sz w:val="17"/>
        </w:rPr>
      </w:pPr>
    </w:p>
    <w:p>
      <w:pPr>
        <w:spacing w:after="0"/>
        <w:rPr>
          <w:rFonts w:ascii="Times New Roman"/>
          <w:sz w:val="17"/>
        </w:rPr>
        <w:sectPr>
          <w:type w:val="continuous"/>
          <w:pgSz w:w="12240" w:h="15840"/>
          <w:pgMar w:top="800" w:bottom="280" w:left="620" w:right="580"/>
        </w:sectPr>
      </w:pPr>
    </w:p>
    <w:p>
      <w:pPr>
        <w:spacing w:before="93"/>
        <w:ind w:left="265" w:right="-18" w:firstLine="0"/>
        <w:jc w:val="left"/>
        <w:rPr>
          <w:rFonts w:ascii="Times New Roman"/>
          <w:sz w:val="18"/>
        </w:rPr>
      </w:pPr>
      <w:r>
        <w:rPr>
          <w:rFonts w:ascii="Times New Roman"/>
          <w:color w:val="16772B"/>
          <w:sz w:val="18"/>
        </w:rPr>
        <w:t>Statement of Assets:</w:t>
      </w:r>
    </w:p>
    <w:p>
      <w:pPr>
        <w:spacing w:before="93"/>
        <w:ind w:left="215" w:right="303" w:firstLine="0"/>
        <w:jc w:val="both"/>
        <w:rPr>
          <w:rFonts w:ascii="Times New Roman"/>
          <w:sz w:val="18"/>
        </w:rPr>
      </w:pPr>
      <w:r>
        <w:rPr/>
        <w:br w:type="column"/>
      </w:r>
      <w:r>
        <w:rPr>
          <w:rFonts w:ascii="Times New Roman"/>
          <w:sz w:val="18"/>
        </w:rPr>
        <w:t>Based on review of various documents (such as deferred payment agreement, project development agreement, commissioning certificates, Government Order, etc.), the solar park has an installed capacity of approximately 130 Mega Watts (MW) DC (output will be 100 MW AC), capable of generating at least 215 Million Units (MU) of electricity by the end of the first 12 months from the date on which it achieves COD and subject to plant stabilization. Table below highlights the details for the subject plant:</w:t>
      </w:r>
    </w:p>
    <w:p>
      <w:pPr>
        <w:spacing w:after="0"/>
        <w:jc w:val="both"/>
        <w:rPr>
          <w:rFonts w:ascii="Times New Roman"/>
          <w:sz w:val="18"/>
        </w:rPr>
        <w:sectPr>
          <w:type w:val="continuous"/>
          <w:pgSz w:w="12240" w:h="15840"/>
          <w:pgMar w:top="800" w:bottom="280" w:left="620" w:right="580"/>
          <w:cols w:num="2" w:equalWidth="0">
            <w:col w:w="1182" w:space="40"/>
            <w:col w:w="9818"/>
          </w:cols>
        </w:sectPr>
      </w:pPr>
    </w:p>
    <w:p>
      <w:pPr>
        <w:pStyle w:val="BodyText"/>
        <w:ind w:left="1437"/>
        <w:rPr>
          <w:rFonts w:ascii="Times New Roman"/>
          <w:sz w:val="20"/>
        </w:rPr>
      </w:pPr>
      <w:r>
        <w:rPr>
          <w:rFonts w:ascii="Times New Roman"/>
          <w:sz w:val="20"/>
        </w:rPr>
        <w:pict>
          <v:group style="width:464.9pt;height:11.9pt;mso-position-horizontal-relative:char;mso-position-vertical-relative:line" coordorigin="0,0" coordsize="9298,238">
            <v:shape style="position:absolute;left:0;top:31;width:9298;height:207" coordorigin="0,31" coordsize="9298,207" path="m9297,31l5571,31,0,31,0,238,5571,238,9297,238,9297,31xe" filled="true" fillcolor="#16772b" stroked="false">
              <v:path arrowok="t"/>
              <v:fill type="solid"/>
            </v:shape>
            <v:rect style="position:absolute;left:0;top:0;width:5572;height:29" filled="true" fillcolor="#1e7504" stroked="false">
              <v:fill type="solid"/>
            </v:rect>
            <v:shape style="position:absolute;left:0;top:28;width:5601;height:3" coordorigin="0,29" coordsize="5601,3" path="m5600,29l5571,29,0,29,0,31,5571,31,5600,31,5600,29xe" filled="true" fillcolor="#16772b" stroked="false">
              <v:path arrowok="t"/>
              <v:fill type="solid"/>
            </v:shape>
            <v:shape style="position:absolute;left:5571;top:0;width:3726;height:29" coordorigin="5571,0" coordsize="3726,29" path="m9297,0l5600,0,5571,0,5571,29,5600,29,9297,29,9297,0xe" filled="true" fillcolor="#1e7504" stroked="false">
              <v:path arrowok="t"/>
              <v:fill type="solid"/>
            </v:shape>
            <v:rect style="position:absolute;left:5600;top:28;width:3697;height:3" filled="true" fillcolor="#16772b" stroked="false">
              <v:fill type="solid"/>
            </v:rect>
            <v:shape style="position:absolute;left:0;top:28;width:9298;height:209" type="#_x0000_t202" filled="false" stroked="false">
              <v:textbox inset="0,0,0,0">
                <w:txbxContent>
                  <w:p>
                    <w:pPr>
                      <w:tabs>
                        <w:tab w:pos="7215" w:val="left" w:leader="none"/>
                      </w:tabs>
                      <w:spacing w:line="206" w:lineRule="exact" w:before="2"/>
                      <w:ind w:left="2434" w:right="0" w:firstLine="0"/>
                      <w:jc w:val="left"/>
                      <w:rPr>
                        <w:rFonts w:ascii="Times New Roman"/>
                        <w:sz w:val="18"/>
                      </w:rPr>
                    </w:pPr>
                    <w:r>
                      <w:rPr>
                        <w:rFonts w:ascii="Times New Roman"/>
                        <w:color w:val="FFFFFF"/>
                        <w:sz w:val="18"/>
                      </w:rPr>
                      <w:t>Particular</w:t>
                      <w:tab/>
                      <w:t>Detail</w:t>
                    </w:r>
                  </w:p>
                </w:txbxContent>
              </v:textbox>
              <w10:wrap type="none"/>
            </v:shape>
          </v:group>
        </w:pict>
      </w:r>
      <w:r>
        <w:rPr>
          <w:rFonts w:ascii="Times New Roman"/>
          <w:sz w:val="20"/>
        </w:rPr>
      </w:r>
    </w:p>
    <w:p>
      <w:pPr>
        <w:tabs>
          <w:tab w:pos="7849" w:val="left" w:leader="none"/>
        </w:tabs>
        <w:spacing w:line="179" w:lineRule="exact" w:before="0"/>
        <w:ind w:left="3506" w:right="0" w:firstLine="0"/>
        <w:jc w:val="left"/>
        <w:rPr>
          <w:rFonts w:ascii="Times New Roman"/>
          <w:sz w:val="18"/>
        </w:rPr>
      </w:pPr>
      <w:r>
        <w:rPr>
          <w:rFonts w:ascii="Times New Roman"/>
          <w:sz w:val="18"/>
        </w:rPr>
        <w:t>Capacity (MW) (A)</w:t>
        <w:tab/>
        <w:t>130 MW DC (100 MW</w:t>
      </w:r>
      <w:r>
        <w:rPr>
          <w:rFonts w:ascii="Times New Roman"/>
          <w:spacing w:val="-4"/>
          <w:sz w:val="18"/>
        </w:rPr>
        <w:t> </w:t>
      </w:r>
      <w:r>
        <w:rPr>
          <w:rFonts w:ascii="Times New Roman"/>
          <w:sz w:val="18"/>
        </w:rPr>
        <w:t>AC)</w:t>
      </w:r>
    </w:p>
    <w:p>
      <w:pPr>
        <w:pStyle w:val="BodyText"/>
        <w:spacing w:line="20" w:lineRule="exact"/>
        <w:ind w:left="1437"/>
        <w:rPr>
          <w:rFonts w:ascii="Times New Roman"/>
          <w:sz w:val="2"/>
        </w:rPr>
      </w:pPr>
      <w:r>
        <w:rPr>
          <w:rFonts w:ascii="Times New Roman"/>
          <w:sz w:val="2"/>
        </w:rPr>
        <w:pict>
          <v:group style="width:464.9pt;height:.75pt;mso-position-horizontal-relative:char;mso-position-vertical-relative:line" coordorigin="0,0" coordsize="9298,15">
            <v:shape style="position:absolute;left:0;top:0;width:9298;height:15" coordorigin="0,0" coordsize="9298,15" path="m9297,0l5586,0,5571,0,0,0,0,14,5571,14,5586,14,9297,14,9297,0xe" filled="true" fillcolor="#5fff00" stroked="false">
              <v:path arrowok="t"/>
              <v:fill type="solid"/>
            </v:shape>
          </v:group>
        </w:pict>
      </w:r>
      <w:r>
        <w:rPr>
          <w:rFonts w:ascii="Times New Roman"/>
          <w:sz w:val="2"/>
        </w:rPr>
      </w:r>
    </w:p>
    <w:p>
      <w:pPr>
        <w:tabs>
          <w:tab w:pos="8595" w:val="left" w:leader="none"/>
        </w:tabs>
        <w:spacing w:before="0"/>
        <w:ind w:left="3278" w:right="0" w:firstLine="0"/>
        <w:jc w:val="left"/>
        <w:rPr>
          <w:rFonts w:ascii="Times New Roman"/>
          <w:sz w:val="18"/>
        </w:rPr>
      </w:pPr>
      <w:r>
        <w:rPr>
          <w:rFonts w:ascii="Times New Roman"/>
          <w:sz w:val="18"/>
        </w:rPr>
        <w:t>Plant Load Factor</w:t>
      </w:r>
      <w:r>
        <w:rPr>
          <w:rFonts w:ascii="Times New Roman"/>
          <w:spacing w:val="-1"/>
          <w:sz w:val="18"/>
        </w:rPr>
        <w:t> </w:t>
      </w:r>
      <w:r>
        <w:rPr>
          <w:rFonts w:ascii="Times New Roman"/>
          <w:sz w:val="18"/>
        </w:rPr>
        <w:t>(%)</w:t>
      </w:r>
      <w:r>
        <w:rPr>
          <w:rFonts w:ascii="Times New Roman"/>
          <w:spacing w:val="-3"/>
          <w:sz w:val="18"/>
        </w:rPr>
        <w:t> </w:t>
      </w:r>
      <w:r>
        <w:rPr>
          <w:rFonts w:ascii="Times New Roman"/>
          <w:sz w:val="18"/>
        </w:rPr>
        <w:t>(B)</w:t>
        <w:tab/>
        <w:t>18.88%</w:t>
      </w:r>
    </w:p>
    <w:p>
      <w:pPr>
        <w:pStyle w:val="BodyText"/>
        <w:spacing w:line="20" w:lineRule="exact"/>
        <w:ind w:left="1422"/>
        <w:rPr>
          <w:rFonts w:ascii="Times New Roman"/>
          <w:sz w:val="2"/>
        </w:rPr>
      </w:pPr>
      <w:r>
        <w:rPr>
          <w:rFonts w:ascii="Times New Roman"/>
          <w:sz w:val="2"/>
        </w:rPr>
        <w:pict>
          <v:group style="width:465.6pt;height:.75pt;mso-position-horizontal-relative:char;mso-position-vertical-relative:line" coordorigin="0,0" coordsize="9312,15">
            <v:shape style="position:absolute;left:0;top:0;width:9312;height:15" coordorigin="0,0" coordsize="9312,15" path="m9312,0l5586,0,5571,0,0,0,0,14,5571,14,5586,14,9312,14,9312,0xe" filled="true" fillcolor="#5fff00" stroked="false">
              <v:path arrowok="t"/>
              <v:fill type="solid"/>
            </v:shape>
          </v:group>
        </w:pict>
      </w:r>
      <w:r>
        <w:rPr>
          <w:rFonts w:ascii="Times New Roman"/>
          <w:sz w:val="2"/>
        </w:rPr>
      </w:r>
    </w:p>
    <w:p>
      <w:pPr>
        <w:spacing w:after="0" w:line="20" w:lineRule="exact"/>
        <w:rPr>
          <w:rFonts w:ascii="Times New Roman"/>
          <w:sz w:val="2"/>
        </w:rPr>
        <w:sectPr>
          <w:type w:val="continuous"/>
          <w:pgSz w:w="12240" w:h="15840"/>
          <w:pgMar w:top="800" w:bottom="280" w:left="620" w:right="580"/>
        </w:sectPr>
      </w:pPr>
    </w:p>
    <w:p>
      <w:pPr>
        <w:pStyle w:val="BodyText"/>
        <w:spacing w:before="9"/>
        <w:rPr>
          <w:rFonts w:ascii="Times New Roman"/>
          <w:sz w:val="17"/>
        </w:rPr>
      </w:pPr>
    </w:p>
    <w:p>
      <w:pPr>
        <w:tabs>
          <w:tab w:pos="8965" w:val="right" w:leader="none"/>
        </w:tabs>
        <w:spacing w:before="93"/>
        <w:ind w:left="3158" w:right="0" w:firstLine="0"/>
        <w:jc w:val="left"/>
        <w:rPr>
          <w:rFonts w:ascii="Times New Roman"/>
          <w:sz w:val="18"/>
        </w:rPr>
      </w:pPr>
      <w:r>
        <w:rPr/>
        <w:pict>
          <v:shape style="position:absolute;margin-left:102.860008pt;margin-top:14.992332pt;width:464.9pt;height:.75pt;mso-position-horizontal-relative:page;mso-position-vertical-relative:paragraph;z-index:15802368" coordorigin="2057,300" coordsize="9298,15" path="m11354,300l7643,300,7629,300,2057,300,2057,314,7629,314,7643,314,11354,314,11354,300xe" filled="true" fillcolor="#5fff00" stroked="false">
            <v:path arrowok="t"/>
            <v:fill type="solid"/>
            <w10:wrap type="none"/>
          </v:shape>
        </w:pict>
      </w:r>
      <w:r>
        <w:rPr>
          <w:rFonts w:ascii="Times New Roman"/>
          <w:sz w:val="18"/>
        </w:rPr>
        <w:t>Number of hours in a</w:t>
      </w:r>
      <w:r>
        <w:rPr>
          <w:rFonts w:ascii="Times New Roman"/>
          <w:spacing w:val="-4"/>
          <w:sz w:val="18"/>
        </w:rPr>
        <w:t> </w:t>
      </w:r>
      <w:r>
        <w:rPr>
          <w:rFonts w:ascii="Times New Roman"/>
          <w:sz w:val="18"/>
        </w:rPr>
        <w:t>day</w:t>
      </w:r>
      <w:r>
        <w:rPr>
          <w:rFonts w:ascii="Times New Roman"/>
          <w:spacing w:val="-1"/>
          <w:sz w:val="18"/>
        </w:rPr>
        <w:t> </w:t>
      </w:r>
      <w:r>
        <w:rPr>
          <w:rFonts w:ascii="Times New Roman"/>
          <w:sz w:val="18"/>
        </w:rPr>
        <w:t>(C)</w:t>
        <w:tab/>
        <w:t>24</w:t>
      </w:r>
    </w:p>
    <w:p>
      <w:pPr>
        <w:tabs>
          <w:tab w:pos="9010" w:val="right" w:leader="none"/>
        </w:tabs>
        <w:spacing w:before="16"/>
        <w:ind w:left="3557" w:right="0" w:firstLine="0"/>
        <w:jc w:val="left"/>
        <w:rPr>
          <w:rFonts w:ascii="Times New Roman"/>
          <w:sz w:val="18"/>
        </w:rPr>
      </w:pPr>
      <w:r>
        <w:rPr/>
        <w:pict>
          <v:shape style="position:absolute;margin-left:102.860008pt;margin-top:11.12234pt;width:464.9pt;height:.75pt;mso-position-horizontal-relative:page;mso-position-vertical-relative:paragraph;z-index:15802880" coordorigin="2057,222" coordsize="9298,15" path="m11354,222l7643,222,7629,222,2057,222,2057,237,7629,237,7643,237,11354,237,11354,222xe" filled="true" fillcolor="#5fff00" stroked="false">
            <v:path arrowok="t"/>
            <v:fill type="solid"/>
            <w10:wrap type="none"/>
          </v:shape>
        </w:pict>
      </w:r>
      <w:r>
        <w:rPr>
          <w:rFonts w:ascii="Times New Roman"/>
          <w:sz w:val="18"/>
        </w:rPr>
        <w:t>Days in a</w:t>
      </w:r>
      <w:r>
        <w:rPr>
          <w:rFonts w:ascii="Times New Roman"/>
          <w:spacing w:val="1"/>
          <w:sz w:val="18"/>
        </w:rPr>
        <w:t> </w:t>
      </w:r>
      <w:r>
        <w:rPr>
          <w:rFonts w:ascii="Times New Roman"/>
          <w:sz w:val="18"/>
        </w:rPr>
        <w:t>year (D)</w:t>
        <w:tab/>
        <w:t>365</w:t>
      </w:r>
    </w:p>
    <w:p>
      <w:pPr>
        <w:tabs>
          <w:tab w:pos="7287" w:val="left" w:leader="none"/>
        </w:tabs>
        <w:spacing w:line="244" w:lineRule="auto" w:before="14"/>
        <w:ind w:left="1437" w:right="413" w:firstLine="876"/>
        <w:jc w:val="left"/>
        <w:rPr>
          <w:rFonts w:ascii="Times New Roman"/>
          <w:i/>
          <w:sz w:val="18"/>
        </w:rPr>
      </w:pPr>
      <w:r>
        <w:rPr/>
        <w:pict>
          <v:shape style="position:absolute;margin-left:102.860008pt;margin-top:11.022302pt;width:464.9pt;height:.75pt;mso-position-horizontal-relative:page;mso-position-vertical-relative:paragraph;z-index:-34824704" coordorigin="2057,220" coordsize="9298,15" path="m11354,220l7643,220,7629,220,2057,220,2057,235,7629,235,7643,235,11354,235,11354,220xe" filled="true" fillcolor="#5fff00" stroked="false">
            <v:path arrowok="t"/>
            <v:fill type="solid"/>
            <w10:wrap type="none"/>
          </v:shape>
        </w:pict>
      </w:r>
      <w:r>
        <w:rPr>
          <w:rFonts w:ascii="Times New Roman"/>
          <w:sz w:val="18"/>
        </w:rPr>
        <w:t>Total units generated (kWH) (A * B * C * D)</w:t>
      </w:r>
      <w:r>
        <w:rPr>
          <w:rFonts w:ascii="Times New Roman"/>
          <w:spacing w:val="-10"/>
          <w:sz w:val="18"/>
        </w:rPr>
        <w:t> </w:t>
      </w:r>
      <w:r>
        <w:rPr>
          <w:rFonts w:ascii="Times New Roman"/>
          <w:sz w:val="18"/>
        </w:rPr>
        <w:t>*</w:t>
      </w:r>
      <w:r>
        <w:rPr>
          <w:rFonts w:ascii="Times New Roman"/>
          <w:spacing w:val="-1"/>
          <w:sz w:val="18"/>
        </w:rPr>
        <w:t> </w:t>
      </w:r>
      <w:r>
        <w:rPr>
          <w:rFonts w:ascii="Times New Roman"/>
          <w:sz w:val="18"/>
        </w:rPr>
        <w:t>1000</w:t>
        <w:tab/>
        <w:t>215 Million Units (MU)* in kWH in Year 1 </w:t>
      </w:r>
      <w:r>
        <w:rPr>
          <w:rFonts w:ascii="Times New Roman"/>
          <w:i/>
          <w:sz w:val="18"/>
        </w:rPr>
        <w:t>Source: Various documents/ inputs provided by the Client; * Subject to plant stabilization, however, considering the past </w:t>
      </w:r>
      <w:r>
        <w:rPr>
          <w:rFonts w:ascii="Times New Roman"/>
          <w:i/>
          <w:sz w:val="18"/>
        </w:rPr>
        <w:t>performance of the subject plant, the maximum generation has been capped at approx. 200 Million Units (MU) for any given year</w:t>
      </w:r>
    </w:p>
    <w:p>
      <w:pPr>
        <w:spacing w:after="0" w:line="244" w:lineRule="auto"/>
        <w:jc w:val="left"/>
        <w:rPr>
          <w:rFonts w:ascii="Times New Roman"/>
          <w:sz w:val="18"/>
        </w:rPr>
        <w:sectPr>
          <w:pgSz w:w="12240" w:h="15840"/>
          <w:pgMar w:header="728" w:footer="1174" w:top="1180" w:bottom="1460" w:left="620" w:right="580"/>
        </w:sectPr>
      </w:pPr>
    </w:p>
    <w:p>
      <w:pPr>
        <w:spacing w:before="709"/>
        <w:ind w:left="409" w:right="-17" w:firstLine="0"/>
        <w:jc w:val="left"/>
        <w:rPr>
          <w:rFonts w:ascii="Times New Roman"/>
          <w:sz w:val="18"/>
        </w:rPr>
      </w:pPr>
      <w:r>
        <w:rPr>
          <w:rFonts w:ascii="Times New Roman"/>
          <w:color w:val="16772B"/>
          <w:sz w:val="18"/>
        </w:rPr>
        <w:t>Key Assumptions:</w:t>
      </w:r>
    </w:p>
    <w:p>
      <w:pPr>
        <w:pStyle w:val="BodyText"/>
        <w:spacing w:before="9"/>
        <w:rPr>
          <w:rFonts w:ascii="Times New Roman"/>
          <w:sz w:val="23"/>
        </w:rPr>
      </w:pPr>
      <w:r>
        <w:rPr/>
        <w:br w:type="column"/>
      </w:r>
      <w:r>
        <w:rPr>
          <w:rFonts w:ascii="Times New Roman"/>
          <w:sz w:val="23"/>
        </w:rPr>
      </w:r>
    </w:p>
    <w:p>
      <w:pPr>
        <w:spacing w:before="1"/>
        <w:ind w:left="-6" w:right="0" w:firstLine="0"/>
        <w:jc w:val="left"/>
        <w:rPr>
          <w:rFonts w:ascii="Times New Roman"/>
          <w:sz w:val="18"/>
        </w:rPr>
      </w:pPr>
      <w:r>
        <w:rPr>
          <w:rFonts w:ascii="Times New Roman"/>
          <w:sz w:val="18"/>
        </w:rPr>
        <w:t>As per the PPAs executed with various entities, the purchasers have agreed to purchase at least 85% of the contracted</w:t>
      </w:r>
      <w:r>
        <w:rPr>
          <w:rFonts w:ascii="Times New Roman"/>
          <w:spacing w:val="-29"/>
          <w:sz w:val="18"/>
        </w:rPr>
        <w:t> </w:t>
      </w:r>
      <w:r>
        <w:rPr>
          <w:rFonts w:ascii="Times New Roman"/>
          <w:sz w:val="18"/>
        </w:rPr>
        <w:t>quantity</w:t>
      </w:r>
    </w:p>
    <w:p>
      <w:pPr>
        <w:spacing w:before="4"/>
        <w:ind w:left="-6" w:right="0" w:firstLine="0"/>
        <w:jc w:val="left"/>
        <w:rPr>
          <w:rFonts w:ascii="Times New Roman" w:hAnsi="Times New Roman"/>
          <w:sz w:val="18"/>
        </w:rPr>
      </w:pPr>
      <w:r>
        <w:rPr>
          <w:rFonts w:ascii="Times New Roman" w:hAnsi="Times New Roman"/>
          <w:b/>
          <w:sz w:val="18"/>
        </w:rPr>
        <w:t>(‘minimum</w:t>
      </w:r>
      <w:r>
        <w:rPr>
          <w:rFonts w:ascii="Times New Roman" w:hAnsi="Times New Roman"/>
          <w:b/>
          <w:spacing w:val="-3"/>
          <w:sz w:val="18"/>
        </w:rPr>
        <w:t> </w:t>
      </w:r>
      <w:r>
        <w:rPr>
          <w:rFonts w:ascii="Times New Roman" w:hAnsi="Times New Roman"/>
          <w:b/>
          <w:sz w:val="18"/>
        </w:rPr>
        <w:t>guaranteed</w:t>
      </w:r>
      <w:r>
        <w:rPr>
          <w:rFonts w:ascii="Times New Roman" w:hAnsi="Times New Roman"/>
          <w:b/>
          <w:spacing w:val="-2"/>
          <w:sz w:val="18"/>
        </w:rPr>
        <w:t> </w:t>
      </w:r>
      <w:r>
        <w:rPr>
          <w:rFonts w:ascii="Times New Roman" w:hAnsi="Times New Roman"/>
          <w:b/>
          <w:sz w:val="18"/>
        </w:rPr>
        <w:t>offtake’)</w:t>
      </w:r>
      <w:r>
        <w:rPr>
          <w:rFonts w:ascii="Times New Roman" w:hAnsi="Times New Roman"/>
          <w:b/>
          <w:spacing w:val="1"/>
          <w:sz w:val="18"/>
        </w:rPr>
        <w:t> </w:t>
      </w:r>
      <w:r>
        <w:rPr>
          <w:rFonts w:ascii="Times New Roman" w:hAnsi="Times New Roman"/>
          <w:sz w:val="18"/>
        </w:rPr>
        <w:t>each tariff</w:t>
      </w:r>
      <w:r>
        <w:rPr>
          <w:rFonts w:ascii="Times New Roman" w:hAnsi="Times New Roman"/>
          <w:spacing w:val="-2"/>
          <w:sz w:val="18"/>
        </w:rPr>
        <w:t> </w:t>
      </w:r>
      <w:r>
        <w:rPr>
          <w:rFonts w:ascii="Times New Roman" w:hAnsi="Times New Roman"/>
          <w:sz w:val="18"/>
        </w:rPr>
        <w:t>year,</w:t>
      </w:r>
      <w:r>
        <w:rPr>
          <w:rFonts w:ascii="Times New Roman" w:hAnsi="Times New Roman"/>
          <w:spacing w:val="-2"/>
          <w:sz w:val="18"/>
        </w:rPr>
        <w:t> </w:t>
      </w:r>
      <w:r>
        <w:rPr>
          <w:rFonts w:ascii="Times New Roman" w:hAnsi="Times New Roman"/>
          <w:sz w:val="18"/>
        </w:rPr>
        <w:t>commencing</w:t>
      </w:r>
      <w:r>
        <w:rPr>
          <w:rFonts w:ascii="Times New Roman" w:hAnsi="Times New Roman"/>
          <w:spacing w:val="-1"/>
          <w:sz w:val="18"/>
        </w:rPr>
        <w:t> </w:t>
      </w:r>
      <w:r>
        <w:rPr>
          <w:rFonts w:ascii="Times New Roman" w:hAnsi="Times New Roman"/>
          <w:sz w:val="18"/>
        </w:rPr>
        <w:t>from</w:t>
      </w:r>
      <w:r>
        <w:rPr>
          <w:rFonts w:ascii="Times New Roman" w:hAnsi="Times New Roman"/>
          <w:spacing w:val="-2"/>
          <w:sz w:val="18"/>
        </w:rPr>
        <w:t> </w:t>
      </w:r>
      <w:r>
        <w:rPr>
          <w:rFonts w:ascii="Times New Roman" w:hAnsi="Times New Roman"/>
          <w:sz w:val="18"/>
        </w:rPr>
        <w:t>the</w:t>
      </w:r>
      <w:r>
        <w:rPr>
          <w:rFonts w:ascii="Times New Roman" w:hAnsi="Times New Roman"/>
          <w:spacing w:val="-3"/>
          <w:sz w:val="18"/>
        </w:rPr>
        <w:t> </w:t>
      </w:r>
      <w:r>
        <w:rPr>
          <w:rFonts w:ascii="Times New Roman" w:hAnsi="Times New Roman"/>
          <w:sz w:val="18"/>
        </w:rPr>
        <w:t>commercial</w:t>
      </w:r>
      <w:r>
        <w:rPr>
          <w:rFonts w:ascii="Times New Roman" w:hAnsi="Times New Roman"/>
          <w:spacing w:val="-2"/>
          <w:sz w:val="18"/>
        </w:rPr>
        <w:t> </w:t>
      </w:r>
      <w:r>
        <w:rPr>
          <w:rFonts w:ascii="Times New Roman" w:hAnsi="Times New Roman"/>
          <w:sz w:val="18"/>
        </w:rPr>
        <w:t>operation</w:t>
      </w:r>
      <w:r>
        <w:rPr>
          <w:rFonts w:ascii="Times New Roman" w:hAnsi="Times New Roman"/>
          <w:spacing w:val="-2"/>
          <w:sz w:val="18"/>
        </w:rPr>
        <w:t> </w:t>
      </w:r>
      <w:r>
        <w:rPr>
          <w:rFonts w:ascii="Times New Roman" w:hAnsi="Times New Roman"/>
          <w:sz w:val="18"/>
        </w:rPr>
        <w:t>date</w:t>
      </w:r>
      <w:r>
        <w:rPr>
          <w:rFonts w:ascii="Times New Roman" w:hAnsi="Times New Roman"/>
          <w:spacing w:val="-3"/>
          <w:sz w:val="18"/>
        </w:rPr>
        <w:t> </w:t>
      </w:r>
      <w:r>
        <w:rPr>
          <w:rFonts w:ascii="Times New Roman" w:hAnsi="Times New Roman"/>
          <w:sz w:val="18"/>
        </w:rPr>
        <w:t>until</w:t>
      </w:r>
      <w:r>
        <w:rPr>
          <w:rFonts w:ascii="Times New Roman" w:hAnsi="Times New Roman"/>
          <w:spacing w:val="-4"/>
          <w:sz w:val="18"/>
        </w:rPr>
        <w:t> </w:t>
      </w:r>
      <w:r>
        <w:rPr>
          <w:rFonts w:ascii="Times New Roman" w:hAnsi="Times New Roman"/>
          <w:sz w:val="18"/>
        </w:rPr>
        <w:t>the</w:t>
      </w:r>
      <w:r>
        <w:rPr>
          <w:rFonts w:ascii="Times New Roman" w:hAnsi="Times New Roman"/>
          <w:spacing w:val="-2"/>
          <w:sz w:val="18"/>
        </w:rPr>
        <w:t> </w:t>
      </w:r>
      <w:r>
        <w:rPr>
          <w:rFonts w:ascii="Times New Roman" w:hAnsi="Times New Roman"/>
          <w:sz w:val="18"/>
        </w:rPr>
        <w:t>end</w:t>
      </w:r>
      <w:r>
        <w:rPr>
          <w:rFonts w:ascii="Times New Roman" w:hAnsi="Times New Roman"/>
          <w:spacing w:val="-3"/>
          <w:sz w:val="18"/>
        </w:rPr>
        <w:t> </w:t>
      </w:r>
      <w:r>
        <w:rPr>
          <w:rFonts w:ascii="Times New Roman" w:hAnsi="Times New Roman"/>
          <w:sz w:val="18"/>
        </w:rPr>
        <w:t>of</w:t>
      </w:r>
      <w:r>
        <w:rPr>
          <w:rFonts w:ascii="Times New Roman" w:hAnsi="Times New Roman"/>
          <w:spacing w:val="-2"/>
          <w:sz w:val="18"/>
        </w:rPr>
        <w:t> </w:t>
      </w:r>
      <w:r>
        <w:rPr>
          <w:rFonts w:ascii="Times New Roman" w:hAnsi="Times New Roman"/>
          <w:sz w:val="18"/>
        </w:rPr>
        <w:t>the</w:t>
      </w:r>
      <w:r>
        <w:rPr>
          <w:rFonts w:ascii="Times New Roman" w:hAnsi="Times New Roman"/>
          <w:spacing w:val="-2"/>
          <w:sz w:val="18"/>
        </w:rPr>
        <w:t> </w:t>
      </w:r>
      <w:r>
        <w:rPr>
          <w:rFonts w:ascii="Times New Roman" w:hAnsi="Times New Roman"/>
          <w:sz w:val="18"/>
        </w:rPr>
        <w:t>term.</w:t>
      </w:r>
    </w:p>
    <w:p>
      <w:pPr>
        <w:pStyle w:val="BodyText"/>
        <w:ind w:left="30"/>
        <w:rPr>
          <w:rFonts w:ascii="Times New Roman"/>
          <w:sz w:val="20"/>
        </w:rPr>
      </w:pPr>
      <w:r>
        <w:rPr>
          <w:rFonts w:ascii="Times New Roman"/>
          <w:sz w:val="20"/>
        </w:rPr>
        <w:pict>
          <v:group style="width:461.3pt;height:21.5pt;mso-position-horizontal-relative:char;mso-position-vertical-relative:line" coordorigin="0,0" coordsize="9226,430">
            <v:shape style="position:absolute;left:0;top:14;width:9226;height:209" coordorigin="0,14" coordsize="9226,209" path="m6328,14l4028,14,0,14,0,223,4028,223,6328,223,6328,14xm9225,14l6328,14,6328,223,9225,223,9225,14xe" filled="true" fillcolor="#16772b" stroked="false">
              <v:path arrowok="t"/>
              <v:fill type="solid"/>
            </v:shape>
            <v:shape style="position:absolute;left:0;top:0;width:9226;height:15" coordorigin="0,0" coordsize="9226,15" path="m6328,0l4043,0,4028,0,0,0,0,14,4028,14,4043,14,6328,14,6328,0xm9225,0l6342,0,6328,0,6328,14,6342,14,9225,14,9225,0xe" filled="true" fillcolor="#5fff00" stroked="false">
              <v:path arrowok="t"/>
              <v:fill type="solid"/>
            </v:shape>
            <v:shape style="position:absolute;left:0;top:223;width:9226;height:207" type="#_x0000_t202" filled="true" fillcolor="#5fff00" stroked="false">
              <v:textbox inset="0,0,0,0">
                <w:txbxContent>
                  <w:p>
                    <w:pPr>
                      <w:spacing w:line="206" w:lineRule="exact" w:before="0"/>
                      <w:ind w:left="2944" w:right="2944" w:firstLine="0"/>
                      <w:jc w:val="center"/>
                      <w:rPr>
                        <w:rFonts w:ascii="Times New Roman"/>
                        <w:sz w:val="18"/>
                      </w:rPr>
                    </w:pPr>
                    <w:r>
                      <w:rPr>
                        <w:rFonts w:ascii="Times New Roman"/>
                        <w:sz w:val="18"/>
                      </w:rPr>
                      <w:t>Development Timelines</w:t>
                    </w:r>
                  </w:p>
                </w:txbxContent>
              </v:textbox>
              <v:fill type="solid"/>
              <w10:wrap type="none"/>
            </v:shape>
            <v:shape style="position:absolute;left:7592;top:22;width:529;height:200" type="#_x0000_t202" filled="false" stroked="false">
              <v:textbox inset="0,0,0,0">
                <w:txbxContent>
                  <w:p>
                    <w:pPr>
                      <w:spacing w:line="199" w:lineRule="exact" w:before="0"/>
                      <w:ind w:left="0" w:right="0" w:firstLine="0"/>
                      <w:jc w:val="left"/>
                      <w:rPr>
                        <w:rFonts w:ascii="Times New Roman"/>
                        <w:sz w:val="18"/>
                      </w:rPr>
                    </w:pPr>
                    <w:r>
                      <w:rPr>
                        <w:rFonts w:ascii="Times New Roman"/>
                        <w:color w:val="FFFFFF"/>
                        <w:sz w:val="18"/>
                      </w:rPr>
                      <w:t>Details</w:t>
                    </w:r>
                  </w:p>
                </w:txbxContent>
              </v:textbox>
              <w10:wrap type="none"/>
            </v:shape>
            <v:shape style="position:absolute;left:5017;top:22;width:341;height:200" type="#_x0000_t202" filled="false" stroked="false">
              <v:textbox inset="0,0,0,0">
                <w:txbxContent>
                  <w:p>
                    <w:pPr>
                      <w:spacing w:line="199" w:lineRule="exact" w:before="0"/>
                      <w:ind w:left="0" w:right="0" w:firstLine="0"/>
                      <w:jc w:val="left"/>
                      <w:rPr>
                        <w:rFonts w:ascii="Times New Roman"/>
                        <w:sz w:val="18"/>
                      </w:rPr>
                    </w:pPr>
                    <w:r>
                      <w:rPr>
                        <w:rFonts w:ascii="Times New Roman"/>
                        <w:color w:val="FFFFFF"/>
                        <w:sz w:val="18"/>
                      </w:rPr>
                      <w:t>Unit</w:t>
                    </w:r>
                  </w:p>
                </w:txbxContent>
              </v:textbox>
              <w10:wrap type="none"/>
            </v:shape>
            <v:shape style="position:absolute;left:1627;top:22;width:791;height:200" type="#_x0000_t202" filled="false" stroked="false">
              <v:textbox inset="0,0,0,0">
                <w:txbxContent>
                  <w:p>
                    <w:pPr>
                      <w:spacing w:line="199" w:lineRule="exact" w:before="0"/>
                      <w:ind w:left="0" w:right="0" w:firstLine="0"/>
                      <w:jc w:val="left"/>
                      <w:rPr>
                        <w:rFonts w:ascii="Times New Roman"/>
                        <w:sz w:val="18"/>
                      </w:rPr>
                    </w:pPr>
                    <w:r>
                      <w:rPr>
                        <w:rFonts w:ascii="Times New Roman"/>
                        <w:color w:val="FFFFFF"/>
                        <w:sz w:val="18"/>
                      </w:rPr>
                      <w:t>Particulars</w:t>
                    </w:r>
                  </w:p>
                </w:txbxContent>
              </v:textbox>
              <w10:wrap type="none"/>
            </v:shape>
          </v:group>
        </w:pict>
      </w:r>
      <w:r>
        <w:rPr>
          <w:rFonts w:ascii="Times New Roman"/>
          <w:sz w:val="20"/>
        </w:rPr>
      </w:r>
    </w:p>
    <w:p>
      <w:pPr>
        <w:tabs>
          <w:tab w:pos="5038" w:val="left" w:leader="none"/>
          <w:tab w:pos="7155" w:val="left" w:leader="none"/>
        </w:tabs>
        <w:spacing w:before="0"/>
        <w:ind w:left="1855" w:right="0" w:firstLine="0"/>
        <w:jc w:val="left"/>
        <w:rPr>
          <w:rFonts w:ascii="Times New Roman"/>
          <w:sz w:val="18"/>
        </w:rPr>
      </w:pPr>
      <w:r>
        <w:rPr>
          <w:rFonts w:ascii="Times New Roman"/>
          <w:sz w:val="18"/>
        </w:rPr>
        <w:t>COD</w:t>
        <w:tab/>
        <w:t>Date</w:t>
        <w:tab/>
        <w:t>28</w:t>
      </w:r>
      <w:r>
        <w:rPr>
          <w:rFonts w:ascii="Times New Roman"/>
          <w:position w:val="5"/>
          <w:sz w:val="10"/>
        </w:rPr>
        <w:t>th </w:t>
      </w:r>
      <w:r>
        <w:rPr>
          <w:rFonts w:ascii="Times New Roman"/>
          <w:sz w:val="18"/>
        </w:rPr>
        <w:t>February</w:t>
      </w:r>
      <w:r>
        <w:rPr>
          <w:rFonts w:ascii="Times New Roman"/>
          <w:spacing w:val="-6"/>
          <w:sz w:val="18"/>
        </w:rPr>
        <w:t> </w:t>
      </w:r>
      <w:r>
        <w:rPr>
          <w:rFonts w:ascii="Times New Roman"/>
          <w:sz w:val="18"/>
        </w:rPr>
        <w:t>2018*</w:t>
      </w:r>
    </w:p>
    <w:p>
      <w:pPr>
        <w:spacing w:after="0"/>
        <w:jc w:val="left"/>
        <w:rPr>
          <w:rFonts w:ascii="Times New Roman"/>
          <w:sz w:val="18"/>
        </w:rPr>
        <w:sectPr>
          <w:type w:val="continuous"/>
          <w:pgSz w:w="12240" w:h="15840"/>
          <w:pgMar w:top="800" w:bottom="280" w:left="620" w:right="580"/>
          <w:cols w:num="2" w:equalWidth="0">
            <w:col w:w="1403" w:space="40"/>
            <w:col w:w="9597"/>
          </w:cols>
        </w:sectPr>
      </w:pPr>
    </w:p>
    <w:p>
      <w:pPr>
        <w:pStyle w:val="BodyText"/>
        <w:spacing w:line="206" w:lineRule="exact"/>
        <w:ind w:left="1473"/>
        <w:rPr>
          <w:rFonts w:ascii="Times New Roman"/>
          <w:sz w:val="20"/>
        </w:rPr>
      </w:pPr>
      <w:r>
        <w:rPr>
          <w:rFonts w:ascii="Times New Roman"/>
          <w:position w:val="-3"/>
          <w:sz w:val="20"/>
        </w:rPr>
        <w:pict>
          <v:shape style="width:461.3pt;height:10.35pt;mso-position-horizontal-relative:char;mso-position-vertical-relative:line" type="#_x0000_t202" filled="true" fillcolor="#5fff00" stroked="false">
            <w10:anchorlock/>
            <v:textbox inset="0,0,0,0">
              <w:txbxContent>
                <w:p>
                  <w:pPr>
                    <w:spacing w:line="206" w:lineRule="exact" w:before="0"/>
                    <w:ind w:left="2946" w:right="2944" w:firstLine="0"/>
                    <w:jc w:val="center"/>
                    <w:rPr>
                      <w:rFonts w:ascii="Times New Roman"/>
                      <w:sz w:val="18"/>
                    </w:rPr>
                  </w:pPr>
                  <w:r>
                    <w:rPr>
                      <w:rFonts w:ascii="Times New Roman"/>
                      <w:sz w:val="18"/>
                    </w:rPr>
                    <w:t>Revenue assumptions (as on March 31, 2020)</w:t>
                  </w:r>
                </w:p>
              </w:txbxContent>
            </v:textbox>
            <v:fill type="solid"/>
          </v:shape>
        </w:pict>
      </w:r>
      <w:r>
        <w:rPr>
          <w:rFonts w:ascii="Times New Roman"/>
          <w:position w:val="-3"/>
          <w:sz w:val="20"/>
        </w:rPr>
      </w:r>
    </w:p>
    <w:p>
      <w:pPr>
        <w:tabs>
          <w:tab w:pos="6139" w:val="left" w:leader="none"/>
          <w:tab w:pos="9164" w:val="left" w:leader="none"/>
        </w:tabs>
        <w:spacing w:before="0"/>
        <w:ind w:left="2349" w:right="0" w:firstLine="0"/>
        <w:jc w:val="left"/>
        <w:rPr>
          <w:rFonts w:ascii="Times New Roman" w:hAnsi="Times New Roman"/>
          <w:sz w:val="18"/>
        </w:rPr>
      </w:pPr>
      <w:r>
        <w:rPr/>
        <w:pict>
          <v:shape style="position:absolute;margin-left:104.660004pt;margin-top:10.442297pt;width:461.3pt;height:.75pt;mso-position-horizontal-relative:page;mso-position-vertical-relative:paragraph;z-index:15803904" coordorigin="2093,209" coordsize="9226,15" path="m8421,209l6136,209,6121,209,2093,209,2093,223,6121,223,6136,223,8421,223,8421,209xm11318,209l8436,209,8421,209,8421,223,8436,223,11318,223,11318,209xe" filled="true" fillcolor="#5fff00" stroked="false">
            <v:path arrowok="t"/>
            <v:fill type="solid"/>
            <w10:wrap type="none"/>
          </v:shape>
        </w:pict>
      </w:r>
      <w:r>
        <w:rPr>
          <w:rFonts w:ascii="Times New Roman" w:hAnsi="Times New Roman"/>
          <w:sz w:val="18"/>
        </w:rPr>
        <w:t>BESCOM Tariff</w:t>
      </w:r>
      <w:r>
        <w:rPr>
          <w:rFonts w:ascii="Times New Roman" w:hAnsi="Times New Roman"/>
          <w:spacing w:val="-3"/>
          <w:sz w:val="18"/>
        </w:rPr>
        <w:t> </w:t>
      </w:r>
      <w:r>
        <w:rPr>
          <w:rFonts w:ascii="Times New Roman" w:hAnsi="Times New Roman"/>
          <w:sz w:val="18"/>
        </w:rPr>
        <w:t>– Commercial</w:t>
        <w:tab/>
        <w:t>INR per</w:t>
      </w:r>
      <w:r>
        <w:rPr>
          <w:rFonts w:ascii="Times New Roman" w:hAnsi="Times New Roman"/>
          <w:spacing w:val="1"/>
          <w:sz w:val="18"/>
        </w:rPr>
        <w:t> </w:t>
      </w:r>
      <w:r>
        <w:rPr>
          <w:rFonts w:ascii="Times New Roman" w:hAnsi="Times New Roman"/>
          <w:sz w:val="18"/>
        </w:rPr>
        <w:t>kWH</w:t>
        <w:tab/>
        <w:t>9.00</w:t>
      </w:r>
    </w:p>
    <w:p>
      <w:pPr>
        <w:tabs>
          <w:tab w:pos="6139" w:val="left" w:leader="none"/>
          <w:tab w:pos="9480" w:val="right" w:leader="none"/>
        </w:tabs>
        <w:spacing w:before="16"/>
        <w:ind w:left="2447" w:right="0" w:firstLine="0"/>
        <w:jc w:val="left"/>
        <w:rPr>
          <w:rFonts w:ascii="Times New Roman" w:hAnsi="Times New Roman"/>
          <w:sz w:val="18"/>
        </w:rPr>
      </w:pPr>
      <w:r>
        <w:rPr/>
        <w:pict>
          <v:shape style="position:absolute;margin-left:104.660004pt;margin-top:11.122325pt;width:461.3pt;height:.75pt;mso-position-horizontal-relative:page;mso-position-vertical-relative:paragraph;z-index:15804416" coordorigin="2093,222" coordsize="9226,15" path="m8421,222l6136,222,6121,222,2093,222,2093,237,6121,237,6136,237,8421,237,8421,222xm11318,222l8436,222,8421,222,8421,237,8436,237,11318,237,11318,222xe" filled="true" fillcolor="#5fff00" stroked="false">
            <v:path arrowok="t"/>
            <v:fill type="solid"/>
            <w10:wrap type="none"/>
          </v:shape>
        </w:pict>
      </w:r>
      <w:r>
        <w:rPr>
          <w:rFonts w:ascii="Times New Roman" w:hAnsi="Times New Roman"/>
          <w:sz w:val="18"/>
        </w:rPr>
        <w:t>BESCOM Tariff</w:t>
      </w:r>
      <w:r>
        <w:rPr>
          <w:rFonts w:ascii="Times New Roman" w:hAnsi="Times New Roman"/>
          <w:spacing w:val="-3"/>
          <w:sz w:val="18"/>
        </w:rPr>
        <w:t> </w:t>
      </w:r>
      <w:r>
        <w:rPr>
          <w:rFonts w:ascii="Times New Roman" w:hAnsi="Times New Roman"/>
          <w:sz w:val="18"/>
        </w:rPr>
        <w:t>–</w:t>
      </w:r>
      <w:r>
        <w:rPr>
          <w:rFonts w:ascii="Times New Roman" w:hAnsi="Times New Roman"/>
          <w:spacing w:val="1"/>
          <w:sz w:val="18"/>
        </w:rPr>
        <w:t> </w:t>
      </w:r>
      <w:r>
        <w:rPr>
          <w:rFonts w:ascii="Times New Roman" w:hAnsi="Times New Roman"/>
          <w:sz w:val="18"/>
        </w:rPr>
        <w:t>Industrial</w:t>
        <w:tab/>
        <w:t>INR per kWH</w:t>
        <w:tab/>
        <w:t>7.40</w:t>
      </w:r>
    </w:p>
    <w:p>
      <w:pPr>
        <w:tabs>
          <w:tab w:pos="6101" w:val="left" w:leader="none"/>
          <w:tab w:pos="9073" w:val="left" w:leader="none"/>
        </w:tabs>
        <w:spacing w:before="14"/>
        <w:ind w:left="2918" w:right="0" w:firstLine="0"/>
        <w:jc w:val="left"/>
        <w:rPr>
          <w:rFonts w:ascii="Times New Roman"/>
          <w:b/>
          <w:sz w:val="18"/>
        </w:rPr>
      </w:pPr>
      <w:r>
        <w:rPr>
          <w:rFonts w:ascii="Times New Roman"/>
          <w:b/>
          <w:sz w:val="18"/>
        </w:rPr>
        <w:t>Blended</w:t>
      </w:r>
      <w:r>
        <w:rPr>
          <w:rFonts w:ascii="Times New Roman"/>
          <w:b/>
          <w:spacing w:val="-1"/>
          <w:sz w:val="18"/>
        </w:rPr>
        <w:t> </w:t>
      </w:r>
      <w:r>
        <w:rPr>
          <w:rFonts w:ascii="Times New Roman"/>
          <w:b/>
          <w:sz w:val="18"/>
        </w:rPr>
        <w:t>Tariff</w:t>
        <w:tab/>
        <w:t>INR</w:t>
      </w:r>
      <w:r>
        <w:rPr>
          <w:rFonts w:ascii="Times New Roman"/>
          <w:b/>
          <w:spacing w:val="-1"/>
          <w:sz w:val="18"/>
        </w:rPr>
        <w:t> </w:t>
      </w:r>
      <w:r>
        <w:rPr>
          <w:rFonts w:ascii="Times New Roman"/>
          <w:b/>
          <w:sz w:val="18"/>
        </w:rPr>
        <w:t>per</w:t>
      </w:r>
      <w:r>
        <w:rPr>
          <w:rFonts w:ascii="Times New Roman"/>
          <w:b/>
          <w:spacing w:val="-1"/>
          <w:sz w:val="18"/>
        </w:rPr>
        <w:t> </w:t>
      </w:r>
      <w:r>
        <w:rPr>
          <w:rFonts w:ascii="Times New Roman"/>
          <w:b/>
          <w:sz w:val="18"/>
        </w:rPr>
        <w:t>kWH</w:t>
        <w:tab/>
        <w:t>8.76**</w:t>
      </w:r>
    </w:p>
    <w:p>
      <w:pPr>
        <w:pStyle w:val="BodyText"/>
        <w:spacing w:line="206" w:lineRule="exact"/>
        <w:ind w:left="1473"/>
        <w:rPr>
          <w:rFonts w:ascii="Times New Roman"/>
          <w:sz w:val="20"/>
        </w:rPr>
      </w:pPr>
      <w:r>
        <w:rPr>
          <w:rFonts w:ascii="Times New Roman"/>
          <w:position w:val="-3"/>
          <w:sz w:val="20"/>
        </w:rPr>
        <w:pict>
          <v:shape style="width:461.3pt;height:10.35pt;mso-position-horizontal-relative:char;mso-position-vertical-relative:line" type="#_x0000_t202" filled="true" fillcolor="#5fff00" stroked="false">
            <w10:anchorlock/>
            <v:textbox inset="0,0,0,0">
              <w:txbxContent>
                <w:p>
                  <w:pPr>
                    <w:spacing w:line="206" w:lineRule="exact" w:before="0"/>
                    <w:ind w:left="2943" w:right="2944" w:firstLine="0"/>
                    <w:jc w:val="center"/>
                    <w:rPr>
                      <w:rFonts w:ascii="Times New Roman"/>
                      <w:sz w:val="18"/>
                    </w:rPr>
                  </w:pPr>
                  <w:r>
                    <w:rPr>
                      <w:rFonts w:ascii="Times New Roman"/>
                      <w:sz w:val="18"/>
                    </w:rPr>
                    <w:t>Other financial assumptions</w:t>
                  </w:r>
                </w:p>
              </w:txbxContent>
            </v:textbox>
            <v:fill type="solid"/>
          </v:shape>
        </w:pict>
      </w:r>
      <w:r>
        <w:rPr>
          <w:rFonts w:ascii="Times New Roman"/>
          <w:position w:val="-3"/>
          <w:sz w:val="20"/>
        </w:rPr>
      </w:r>
    </w:p>
    <w:p>
      <w:pPr>
        <w:tabs>
          <w:tab w:pos="3365" w:val="left" w:leader="none"/>
          <w:tab w:pos="5943" w:val="left" w:leader="none"/>
        </w:tabs>
        <w:spacing w:before="1"/>
        <w:ind w:left="0" w:right="1415" w:firstLine="0"/>
        <w:jc w:val="right"/>
        <w:rPr>
          <w:rFonts w:ascii="Times New Roman"/>
          <w:sz w:val="18"/>
        </w:rPr>
      </w:pPr>
      <w:r>
        <w:rPr>
          <w:rFonts w:ascii="Times New Roman"/>
          <w:sz w:val="18"/>
        </w:rPr>
        <w:t>Useful</w:t>
      </w:r>
      <w:r>
        <w:rPr>
          <w:rFonts w:ascii="Times New Roman"/>
          <w:spacing w:val="-1"/>
          <w:sz w:val="18"/>
        </w:rPr>
        <w:t> </w:t>
      </w:r>
      <w:r>
        <w:rPr>
          <w:rFonts w:ascii="Times New Roman"/>
          <w:sz w:val="18"/>
        </w:rPr>
        <w:t>Life</w:t>
        <w:tab/>
        <w:t>Years</w:t>
        <w:tab/>
        <w:t>25</w:t>
      </w:r>
      <w:r>
        <w:rPr>
          <w:rFonts w:ascii="Times New Roman"/>
          <w:spacing w:val="-1"/>
          <w:sz w:val="18"/>
        </w:rPr>
        <w:t> </w:t>
      </w:r>
      <w:r>
        <w:rPr>
          <w:rFonts w:ascii="Times New Roman"/>
          <w:sz w:val="18"/>
        </w:rPr>
        <w:t>years</w:t>
      </w:r>
    </w:p>
    <w:p>
      <w:pPr>
        <w:pStyle w:val="BodyText"/>
        <w:spacing w:line="20" w:lineRule="exact"/>
        <w:ind w:left="1473"/>
        <w:rPr>
          <w:rFonts w:ascii="Times New Roman"/>
          <w:sz w:val="2"/>
        </w:rPr>
      </w:pPr>
      <w:r>
        <w:rPr>
          <w:rFonts w:ascii="Times New Roman"/>
          <w:sz w:val="2"/>
        </w:rPr>
        <w:pict>
          <v:group style="width:461.3pt;height:.75pt;mso-position-horizontal-relative:char;mso-position-vertical-relative:line" coordorigin="0,0" coordsize="9226,15">
            <v:shape style="position:absolute;left:0;top:0;width:9226;height:15" coordorigin="0,0" coordsize="9226,15" path="m6328,0l4043,0,4028,0,0,0,0,14,4028,14,4043,14,6328,14,6328,0xm9225,0l6342,0,6328,0,6328,14,6342,14,9225,14,9225,0xe" filled="true" fillcolor="#5fff00" stroked="false">
              <v:path arrowok="t"/>
              <v:fill type="solid"/>
            </v:shape>
          </v:group>
        </w:pict>
      </w:r>
      <w:r>
        <w:rPr>
          <w:rFonts w:ascii="Times New Roman"/>
          <w:sz w:val="2"/>
        </w:rPr>
      </w:r>
    </w:p>
    <w:p>
      <w:pPr>
        <w:tabs>
          <w:tab w:pos="3614" w:val="left" w:leader="none"/>
          <w:tab w:pos="6082" w:val="left" w:leader="none"/>
        </w:tabs>
        <w:spacing w:before="0"/>
        <w:ind w:left="0" w:right="1438" w:firstLine="0"/>
        <w:jc w:val="right"/>
        <w:rPr>
          <w:rFonts w:ascii="Times New Roman"/>
          <w:sz w:val="18"/>
        </w:rPr>
      </w:pPr>
      <w:r>
        <w:rPr>
          <w:rFonts w:ascii="Times New Roman"/>
          <w:sz w:val="18"/>
        </w:rPr>
        <w:t>Cost of</w:t>
      </w:r>
      <w:r>
        <w:rPr>
          <w:rFonts w:ascii="Times New Roman"/>
          <w:spacing w:val="-2"/>
          <w:sz w:val="18"/>
        </w:rPr>
        <w:t> </w:t>
      </w:r>
      <w:r>
        <w:rPr>
          <w:rFonts w:ascii="Times New Roman"/>
          <w:sz w:val="18"/>
        </w:rPr>
        <w:t>Equity</w:t>
        <w:tab/>
        <w:t>%</w:t>
        <w:tab/>
      </w:r>
      <w:r>
        <w:rPr>
          <w:rFonts w:ascii="Times New Roman"/>
          <w:spacing w:val="-1"/>
          <w:sz w:val="18"/>
        </w:rPr>
        <w:t>13.50%</w:t>
      </w:r>
    </w:p>
    <w:p>
      <w:pPr>
        <w:pStyle w:val="BodyText"/>
        <w:spacing w:line="20" w:lineRule="exact"/>
        <w:ind w:left="1458"/>
        <w:rPr>
          <w:rFonts w:ascii="Times New Roman"/>
          <w:sz w:val="2"/>
        </w:rPr>
      </w:pPr>
      <w:r>
        <w:rPr>
          <w:rFonts w:ascii="Times New Roman"/>
          <w:sz w:val="2"/>
        </w:rPr>
        <w:pict>
          <v:group style="width:462pt;height:.75pt;mso-position-horizontal-relative:char;mso-position-vertical-relative:line" coordorigin="0,0" coordsize="9240,15">
            <v:rect style="position:absolute;left:0;top:0;width:9240;height:15" filled="true" fillcolor="#5fff00" stroked="false">
              <v:fill type="solid"/>
            </v:rect>
          </v:group>
        </w:pict>
      </w:r>
      <w:r>
        <w:rPr>
          <w:rFonts w:ascii="Times New Roman"/>
          <w:sz w:val="2"/>
        </w:rPr>
      </w:r>
    </w:p>
    <w:p>
      <w:pPr>
        <w:spacing w:line="201" w:lineRule="exact" w:before="0"/>
        <w:ind w:left="1437" w:right="0" w:firstLine="0"/>
        <w:jc w:val="left"/>
        <w:rPr>
          <w:rFonts w:ascii="Times New Roman"/>
          <w:i/>
          <w:sz w:val="18"/>
        </w:rPr>
      </w:pPr>
      <w:r>
        <w:rPr>
          <w:rFonts w:ascii="Times New Roman"/>
          <w:i/>
          <w:sz w:val="18"/>
        </w:rPr>
        <w:t>* 40% commenced operations on 23</w:t>
      </w:r>
      <w:r>
        <w:rPr>
          <w:rFonts w:ascii="Times New Roman"/>
          <w:i/>
          <w:position w:val="5"/>
          <w:sz w:val="10"/>
        </w:rPr>
        <w:t>rd </w:t>
      </w:r>
      <w:r>
        <w:rPr>
          <w:rFonts w:ascii="Times New Roman"/>
          <w:i/>
          <w:sz w:val="18"/>
        </w:rPr>
        <w:t>January 2018 and balance 60% on 28</w:t>
      </w:r>
      <w:r>
        <w:rPr>
          <w:rFonts w:ascii="Times New Roman"/>
          <w:i/>
          <w:position w:val="5"/>
          <w:sz w:val="10"/>
        </w:rPr>
        <w:t>th </w:t>
      </w:r>
      <w:r>
        <w:rPr>
          <w:rFonts w:ascii="Times New Roman"/>
          <w:i/>
          <w:sz w:val="18"/>
        </w:rPr>
        <w:t>February 2018</w:t>
      </w:r>
    </w:p>
    <w:p>
      <w:pPr>
        <w:spacing w:line="207" w:lineRule="exact" w:before="0"/>
        <w:ind w:left="1437" w:right="0" w:firstLine="0"/>
        <w:jc w:val="left"/>
        <w:rPr>
          <w:rFonts w:ascii="Times New Roman"/>
          <w:i/>
          <w:sz w:val="18"/>
        </w:rPr>
      </w:pPr>
      <w:r>
        <w:rPr>
          <w:rFonts w:ascii="Times New Roman"/>
          <w:i/>
          <w:sz w:val="18"/>
        </w:rPr>
        <w:t>** In proportion of the distribution between commercial and industrial category consumers</w:t>
      </w:r>
    </w:p>
    <w:p>
      <w:pPr>
        <w:pStyle w:val="BodyText"/>
        <w:spacing w:before="9"/>
        <w:rPr>
          <w:rFonts w:ascii="Times New Roman"/>
          <w:i/>
          <w:sz w:val="9"/>
        </w:rPr>
      </w:pPr>
    </w:p>
    <w:p>
      <w:pPr>
        <w:spacing w:after="0"/>
        <w:rPr>
          <w:rFonts w:ascii="Times New Roman"/>
          <w:sz w:val="9"/>
        </w:rPr>
        <w:sectPr>
          <w:type w:val="continuous"/>
          <w:pgSz w:w="12240" w:h="15840"/>
          <w:pgMar w:top="800" w:bottom="280" w:left="620" w:right="580"/>
        </w:sectPr>
      </w:pPr>
    </w:p>
    <w:p>
      <w:pPr>
        <w:spacing w:before="93"/>
        <w:ind w:left="409" w:right="21" w:firstLine="0"/>
        <w:jc w:val="left"/>
        <w:rPr>
          <w:rFonts w:ascii="Times New Roman"/>
          <w:sz w:val="18"/>
        </w:rPr>
      </w:pPr>
      <w:r>
        <w:rPr>
          <w:rFonts w:ascii="Times New Roman"/>
          <w:color w:val="16772B"/>
          <w:sz w:val="18"/>
        </w:rPr>
        <w:t>Market Value:</w:t>
      </w:r>
    </w:p>
    <w:p>
      <w:pPr>
        <w:spacing w:before="93"/>
        <w:ind w:left="409" w:right="0" w:firstLine="0"/>
        <w:jc w:val="left"/>
        <w:rPr>
          <w:rFonts w:ascii="Times New Roman"/>
          <w:b/>
          <w:sz w:val="18"/>
        </w:rPr>
      </w:pPr>
      <w:r>
        <w:rPr/>
        <w:br w:type="column"/>
      </w:r>
      <w:r>
        <w:rPr>
          <w:rFonts w:ascii="Times New Roman"/>
          <w:b/>
          <w:sz w:val="18"/>
        </w:rPr>
        <w:t>INR 10,289 Mn (includes debt of INR 6,489 Mn)</w:t>
      </w:r>
    </w:p>
    <w:p>
      <w:pPr>
        <w:spacing w:after="0"/>
        <w:jc w:val="left"/>
        <w:rPr>
          <w:rFonts w:ascii="Times New Roman"/>
          <w:sz w:val="18"/>
        </w:rPr>
        <w:sectPr>
          <w:type w:val="continuous"/>
          <w:pgSz w:w="12240" w:h="15840"/>
          <w:pgMar w:top="800" w:bottom="280" w:left="620" w:right="580"/>
          <w:cols w:num="2" w:equalWidth="0">
            <w:col w:w="970" w:space="58"/>
            <w:col w:w="10012"/>
          </w:cols>
        </w:sectPr>
      </w:pPr>
    </w:p>
    <w:p>
      <w:pPr>
        <w:pStyle w:val="BodyText"/>
        <w:spacing w:before="4"/>
        <w:rPr>
          <w:rFonts w:ascii="Times New Roman"/>
          <w:b/>
          <w:sz w:val="16"/>
        </w:rPr>
      </w:pPr>
    </w:p>
    <w:p>
      <w:pPr>
        <w:spacing w:before="91"/>
        <w:ind w:left="190" w:right="0" w:firstLine="0"/>
        <w:jc w:val="left"/>
        <w:rPr>
          <w:rFonts w:ascii="Times New Roman"/>
          <w:sz w:val="20"/>
        </w:rPr>
      </w:pPr>
      <w:r>
        <w:rPr>
          <w:rFonts w:ascii="Times New Roman"/>
          <w:color w:val="16772B"/>
          <w:sz w:val="20"/>
        </w:rPr>
        <w:t>Annexures</w:t>
      </w:r>
    </w:p>
    <w:p>
      <w:pPr>
        <w:spacing w:before="162"/>
        <w:ind w:left="140" w:right="0" w:firstLine="0"/>
        <w:jc w:val="left"/>
        <w:rPr>
          <w:rFonts w:ascii="Times New Roman" w:hAnsi="Times New Roman"/>
          <w:sz w:val="20"/>
        </w:rPr>
      </w:pPr>
      <w:r>
        <w:rPr>
          <w:rFonts w:ascii="Times New Roman" w:hAnsi="Times New Roman"/>
          <w:color w:val="16772B"/>
          <w:sz w:val="20"/>
        </w:rPr>
        <w:t>Key Assumptions and Value Summary – March’20</w:t>
      </w:r>
    </w:p>
    <w:p>
      <w:pPr>
        <w:pStyle w:val="BodyText"/>
        <w:spacing w:before="7" w:after="1"/>
        <w:rPr>
          <w:rFonts w:ascii="Times New Roman"/>
          <w:sz w:val="21"/>
        </w:rPr>
      </w:pPr>
    </w:p>
    <w:tbl>
      <w:tblPr>
        <w:tblW w:w="0" w:type="auto"/>
        <w:jc w:val="left"/>
        <w:tblInd w:w="11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2640"/>
        <w:gridCol w:w="1080"/>
        <w:gridCol w:w="897"/>
        <w:gridCol w:w="1139"/>
        <w:gridCol w:w="897"/>
        <w:gridCol w:w="741"/>
        <w:gridCol w:w="1290"/>
        <w:gridCol w:w="1132"/>
        <w:gridCol w:w="1135"/>
        <w:gridCol w:w="1211"/>
        <w:gridCol w:w="849"/>
      </w:tblGrid>
      <w:tr>
        <w:trPr>
          <w:trHeight w:val="227" w:hRule="atLeast"/>
        </w:trPr>
        <w:tc>
          <w:tcPr>
            <w:tcW w:w="2640" w:type="dxa"/>
            <w:tcBorders>
              <w:top w:val="nil"/>
              <w:left w:val="nil"/>
            </w:tcBorders>
            <w:shd w:val="clear" w:color="auto" w:fill="004A35"/>
          </w:tcPr>
          <w:p>
            <w:pPr>
              <w:pStyle w:val="TableParagraph"/>
              <w:jc w:val="left"/>
              <w:rPr>
                <w:rFonts w:ascii="Times New Roman"/>
                <w:sz w:val="16"/>
              </w:rPr>
            </w:pPr>
          </w:p>
        </w:tc>
        <w:tc>
          <w:tcPr>
            <w:tcW w:w="3116" w:type="dxa"/>
            <w:gridSpan w:val="3"/>
            <w:tcBorders>
              <w:top w:val="nil"/>
            </w:tcBorders>
            <w:shd w:val="clear" w:color="auto" w:fill="004A35"/>
          </w:tcPr>
          <w:p>
            <w:pPr>
              <w:pStyle w:val="TableParagraph"/>
              <w:spacing w:line="203" w:lineRule="exact" w:before="4"/>
              <w:ind w:left="314"/>
              <w:jc w:val="left"/>
              <w:rPr>
                <w:rFonts w:ascii="Times New Roman"/>
                <w:b/>
                <w:sz w:val="18"/>
              </w:rPr>
            </w:pPr>
            <w:r>
              <w:rPr>
                <w:rFonts w:ascii="Times New Roman"/>
                <w:b/>
                <w:color w:val="FFFFFF"/>
                <w:sz w:val="18"/>
              </w:rPr>
              <w:t>Leasable Area (msf)/ Keys/ MW</w:t>
            </w:r>
          </w:p>
        </w:tc>
        <w:tc>
          <w:tcPr>
            <w:tcW w:w="1638" w:type="dxa"/>
            <w:gridSpan w:val="2"/>
            <w:tcBorders>
              <w:top w:val="nil"/>
            </w:tcBorders>
            <w:shd w:val="clear" w:color="auto" w:fill="004A35"/>
          </w:tcPr>
          <w:p>
            <w:pPr>
              <w:pStyle w:val="TableParagraph"/>
              <w:spacing w:line="203" w:lineRule="exact" w:before="4"/>
              <w:ind w:left="268"/>
              <w:jc w:val="left"/>
              <w:rPr>
                <w:rFonts w:ascii="Times New Roman"/>
                <w:b/>
                <w:sz w:val="18"/>
              </w:rPr>
            </w:pPr>
            <w:r>
              <w:rPr>
                <w:rFonts w:ascii="Times New Roman"/>
                <w:b/>
                <w:color w:val="FFFFFF"/>
                <w:sz w:val="18"/>
              </w:rPr>
              <w:t>Discount Rate</w:t>
            </w:r>
          </w:p>
        </w:tc>
        <w:tc>
          <w:tcPr>
            <w:tcW w:w="1290" w:type="dxa"/>
            <w:tcBorders>
              <w:top w:val="nil"/>
            </w:tcBorders>
            <w:shd w:val="clear" w:color="auto" w:fill="004A35"/>
          </w:tcPr>
          <w:p>
            <w:pPr>
              <w:pStyle w:val="TableParagraph"/>
              <w:jc w:val="left"/>
              <w:rPr>
                <w:rFonts w:ascii="Times New Roman"/>
                <w:sz w:val="16"/>
              </w:rPr>
            </w:pPr>
          </w:p>
        </w:tc>
        <w:tc>
          <w:tcPr>
            <w:tcW w:w="1132" w:type="dxa"/>
            <w:tcBorders>
              <w:top w:val="nil"/>
            </w:tcBorders>
            <w:shd w:val="clear" w:color="auto" w:fill="004A35"/>
          </w:tcPr>
          <w:p>
            <w:pPr>
              <w:pStyle w:val="TableParagraph"/>
              <w:jc w:val="left"/>
              <w:rPr>
                <w:rFonts w:ascii="Times New Roman"/>
                <w:sz w:val="16"/>
              </w:rPr>
            </w:pPr>
          </w:p>
        </w:tc>
        <w:tc>
          <w:tcPr>
            <w:tcW w:w="3195" w:type="dxa"/>
            <w:gridSpan w:val="3"/>
            <w:tcBorders>
              <w:top w:val="nil"/>
              <w:right w:val="nil"/>
            </w:tcBorders>
            <w:shd w:val="clear" w:color="auto" w:fill="004A35"/>
          </w:tcPr>
          <w:p>
            <w:pPr>
              <w:pStyle w:val="TableParagraph"/>
              <w:spacing w:line="203" w:lineRule="exact" w:before="4"/>
              <w:ind w:left="519"/>
              <w:jc w:val="left"/>
              <w:rPr>
                <w:rFonts w:ascii="Times New Roman" w:hAnsi="Times New Roman"/>
                <w:b/>
                <w:sz w:val="18"/>
              </w:rPr>
            </w:pPr>
            <w:r>
              <w:rPr>
                <w:rFonts w:ascii="Times New Roman" w:hAnsi="Times New Roman"/>
                <w:b/>
                <w:color w:val="FFFFFF"/>
                <w:sz w:val="18"/>
              </w:rPr>
              <w:t>GAV as of Mar’20 (Rs mm)</w:t>
            </w:r>
          </w:p>
        </w:tc>
      </w:tr>
      <w:tr>
        <w:trPr>
          <w:trHeight w:val="676" w:hRule="atLeast"/>
        </w:trPr>
        <w:tc>
          <w:tcPr>
            <w:tcW w:w="2640" w:type="dxa"/>
            <w:tcBorders>
              <w:left w:val="nil"/>
            </w:tcBorders>
            <w:shd w:val="clear" w:color="auto" w:fill="004A35"/>
          </w:tcPr>
          <w:p>
            <w:pPr>
              <w:pStyle w:val="TableParagraph"/>
              <w:spacing w:before="11"/>
              <w:jc w:val="left"/>
              <w:rPr>
                <w:rFonts w:ascii="Times New Roman"/>
                <w:sz w:val="19"/>
              </w:rPr>
            </w:pPr>
          </w:p>
          <w:p>
            <w:pPr>
              <w:pStyle w:val="TableParagraph"/>
              <w:ind w:left="25"/>
              <w:rPr>
                <w:rFonts w:ascii="Times New Roman"/>
                <w:b/>
                <w:sz w:val="18"/>
              </w:rPr>
            </w:pPr>
            <w:r>
              <w:rPr>
                <w:rFonts w:ascii="Times New Roman"/>
                <w:b/>
                <w:color w:val="FFFFFF"/>
                <w:sz w:val="18"/>
              </w:rPr>
              <w:t>Asset</w:t>
            </w:r>
          </w:p>
        </w:tc>
        <w:tc>
          <w:tcPr>
            <w:tcW w:w="1080" w:type="dxa"/>
            <w:shd w:val="clear" w:color="auto" w:fill="004A35"/>
          </w:tcPr>
          <w:p>
            <w:pPr>
              <w:pStyle w:val="TableParagraph"/>
              <w:spacing w:before="11"/>
              <w:jc w:val="left"/>
              <w:rPr>
                <w:rFonts w:ascii="Times New Roman"/>
                <w:sz w:val="19"/>
              </w:rPr>
            </w:pPr>
          </w:p>
          <w:p>
            <w:pPr>
              <w:pStyle w:val="TableParagraph"/>
              <w:ind w:left="90" w:right="89"/>
              <w:rPr>
                <w:rFonts w:ascii="Times New Roman"/>
                <w:b/>
                <w:sz w:val="18"/>
              </w:rPr>
            </w:pPr>
            <w:r>
              <w:rPr>
                <w:rFonts w:ascii="Times New Roman"/>
                <w:b/>
                <w:color w:val="FFFFFF"/>
                <w:sz w:val="18"/>
              </w:rPr>
              <w:t>Completed</w:t>
            </w:r>
          </w:p>
        </w:tc>
        <w:tc>
          <w:tcPr>
            <w:tcW w:w="897" w:type="dxa"/>
            <w:shd w:val="clear" w:color="auto" w:fill="004A35"/>
          </w:tcPr>
          <w:p>
            <w:pPr>
              <w:pStyle w:val="TableParagraph"/>
              <w:spacing w:line="259" w:lineRule="auto" w:before="117"/>
              <w:ind w:left="283" w:right="35" w:hanging="231"/>
              <w:jc w:val="left"/>
              <w:rPr>
                <w:rFonts w:ascii="Times New Roman"/>
                <w:b/>
                <w:sz w:val="18"/>
              </w:rPr>
            </w:pPr>
            <w:r>
              <w:rPr>
                <w:rFonts w:ascii="Times New Roman"/>
                <w:b/>
                <w:color w:val="FFFFFF"/>
                <w:sz w:val="18"/>
              </w:rPr>
              <w:t>Proposed/ U/C</w:t>
            </w:r>
          </w:p>
        </w:tc>
        <w:tc>
          <w:tcPr>
            <w:tcW w:w="1139" w:type="dxa"/>
            <w:shd w:val="clear" w:color="auto" w:fill="004A35"/>
          </w:tcPr>
          <w:p>
            <w:pPr>
              <w:pStyle w:val="TableParagraph"/>
              <w:spacing w:before="11"/>
              <w:jc w:val="left"/>
              <w:rPr>
                <w:rFonts w:ascii="Times New Roman"/>
                <w:sz w:val="19"/>
              </w:rPr>
            </w:pPr>
          </w:p>
          <w:p>
            <w:pPr>
              <w:pStyle w:val="TableParagraph"/>
              <w:ind w:left="149" w:right="144"/>
              <w:rPr>
                <w:rFonts w:ascii="Times New Roman"/>
                <w:b/>
                <w:sz w:val="18"/>
              </w:rPr>
            </w:pPr>
            <w:r>
              <w:rPr>
                <w:rFonts w:ascii="Times New Roman"/>
                <w:b/>
                <w:color w:val="FFFFFF"/>
                <w:sz w:val="18"/>
              </w:rPr>
              <w:t>Total</w:t>
            </w:r>
          </w:p>
        </w:tc>
        <w:tc>
          <w:tcPr>
            <w:tcW w:w="897" w:type="dxa"/>
            <w:shd w:val="clear" w:color="auto" w:fill="004A35"/>
          </w:tcPr>
          <w:p>
            <w:pPr>
              <w:pStyle w:val="TableParagraph"/>
              <w:spacing w:before="11"/>
              <w:jc w:val="left"/>
              <w:rPr>
                <w:rFonts w:ascii="Times New Roman"/>
                <w:sz w:val="19"/>
              </w:rPr>
            </w:pPr>
          </w:p>
          <w:p>
            <w:pPr>
              <w:pStyle w:val="TableParagraph"/>
              <w:ind w:left="6"/>
              <w:rPr>
                <w:rFonts w:ascii="Times New Roman"/>
                <w:b/>
                <w:sz w:val="18"/>
              </w:rPr>
            </w:pPr>
            <w:r>
              <w:rPr>
                <w:rFonts w:ascii="Times New Roman"/>
                <w:b/>
                <w:color w:val="FFFFFF"/>
                <w:sz w:val="18"/>
              </w:rPr>
              <w:t>Completed</w:t>
            </w:r>
          </w:p>
        </w:tc>
        <w:tc>
          <w:tcPr>
            <w:tcW w:w="741" w:type="dxa"/>
            <w:shd w:val="clear" w:color="auto" w:fill="004A35"/>
          </w:tcPr>
          <w:p>
            <w:pPr>
              <w:pStyle w:val="TableParagraph"/>
              <w:spacing w:before="11"/>
              <w:jc w:val="left"/>
              <w:rPr>
                <w:rFonts w:ascii="Times New Roman"/>
                <w:sz w:val="19"/>
              </w:rPr>
            </w:pPr>
          </w:p>
          <w:p>
            <w:pPr>
              <w:pStyle w:val="TableParagraph"/>
              <w:ind w:left="66" w:right="59"/>
              <w:rPr>
                <w:rFonts w:ascii="Times New Roman"/>
                <w:b/>
                <w:sz w:val="18"/>
              </w:rPr>
            </w:pPr>
            <w:r>
              <w:rPr>
                <w:rFonts w:ascii="Times New Roman"/>
                <w:b/>
                <w:color w:val="FFFFFF"/>
                <w:sz w:val="18"/>
              </w:rPr>
              <w:t>U/C</w:t>
            </w:r>
          </w:p>
        </w:tc>
        <w:tc>
          <w:tcPr>
            <w:tcW w:w="1290" w:type="dxa"/>
            <w:shd w:val="clear" w:color="auto" w:fill="004A35"/>
          </w:tcPr>
          <w:p>
            <w:pPr>
              <w:pStyle w:val="TableParagraph"/>
              <w:spacing w:line="259" w:lineRule="auto" w:before="6"/>
              <w:ind w:left="296" w:hanging="44"/>
              <w:jc w:val="left"/>
              <w:rPr>
                <w:rFonts w:ascii="Times New Roman"/>
                <w:b/>
                <w:sz w:val="18"/>
              </w:rPr>
            </w:pPr>
            <w:r>
              <w:rPr>
                <w:rFonts w:ascii="Times New Roman"/>
                <w:b/>
                <w:color w:val="FFFFFF"/>
                <w:sz w:val="18"/>
              </w:rPr>
              <w:t>Cap </w:t>
            </w:r>
            <w:r>
              <w:rPr>
                <w:rFonts w:ascii="Times New Roman"/>
                <w:b/>
                <w:color w:val="FFFFFF"/>
                <w:spacing w:val="-4"/>
                <w:sz w:val="18"/>
              </w:rPr>
              <w:t>Rate/ </w:t>
            </w:r>
            <w:r>
              <w:rPr>
                <w:rFonts w:ascii="Times New Roman"/>
                <w:b/>
                <w:color w:val="FFFFFF"/>
                <w:sz w:val="18"/>
              </w:rPr>
              <w:t>EBITDA</w:t>
            </w:r>
          </w:p>
          <w:p>
            <w:pPr>
              <w:pStyle w:val="TableParagraph"/>
              <w:spacing w:line="202" w:lineRule="exact"/>
              <w:ind w:left="310"/>
              <w:jc w:val="left"/>
              <w:rPr>
                <w:rFonts w:ascii="Times New Roman"/>
                <w:b/>
                <w:sz w:val="18"/>
              </w:rPr>
            </w:pPr>
            <w:r>
              <w:rPr>
                <w:rFonts w:ascii="Times New Roman"/>
                <w:b/>
                <w:color w:val="FFFFFF"/>
                <w:sz w:val="18"/>
              </w:rPr>
              <w:t>Multiple</w:t>
            </w:r>
          </w:p>
        </w:tc>
        <w:tc>
          <w:tcPr>
            <w:tcW w:w="1132" w:type="dxa"/>
            <w:shd w:val="clear" w:color="auto" w:fill="004A35"/>
          </w:tcPr>
          <w:p>
            <w:pPr>
              <w:pStyle w:val="TableParagraph"/>
              <w:spacing w:line="259" w:lineRule="auto" w:before="6"/>
              <w:ind w:left="110" w:right="100"/>
              <w:rPr>
                <w:rFonts w:ascii="Times New Roman"/>
                <w:b/>
                <w:sz w:val="18"/>
              </w:rPr>
            </w:pPr>
            <w:r>
              <w:rPr>
                <w:rFonts w:ascii="Times New Roman"/>
                <w:b/>
                <w:color w:val="FFFFFF"/>
                <w:sz w:val="18"/>
              </w:rPr>
              <w:t>Rent/ ADR/Tariff</w:t>
            </w:r>
          </w:p>
          <w:p>
            <w:pPr>
              <w:pStyle w:val="TableParagraph"/>
              <w:spacing w:line="202" w:lineRule="exact"/>
              <w:ind w:left="110" w:right="98"/>
              <w:rPr>
                <w:rFonts w:ascii="Times New Roman"/>
                <w:b/>
                <w:sz w:val="18"/>
              </w:rPr>
            </w:pPr>
            <w:r>
              <w:rPr>
                <w:rFonts w:ascii="Times New Roman"/>
                <w:b/>
                <w:color w:val="FFFFFF"/>
                <w:sz w:val="18"/>
              </w:rPr>
              <w:t>Rate</w:t>
            </w:r>
          </w:p>
        </w:tc>
        <w:tc>
          <w:tcPr>
            <w:tcW w:w="1135" w:type="dxa"/>
            <w:shd w:val="clear" w:color="auto" w:fill="004A35"/>
          </w:tcPr>
          <w:p>
            <w:pPr>
              <w:pStyle w:val="TableParagraph"/>
              <w:spacing w:before="11"/>
              <w:jc w:val="left"/>
              <w:rPr>
                <w:rFonts w:ascii="Times New Roman"/>
                <w:sz w:val="19"/>
              </w:rPr>
            </w:pPr>
          </w:p>
          <w:p>
            <w:pPr>
              <w:pStyle w:val="TableParagraph"/>
              <w:ind w:left="125" w:right="109"/>
              <w:rPr>
                <w:rFonts w:ascii="Times New Roman"/>
                <w:b/>
                <w:sz w:val="18"/>
              </w:rPr>
            </w:pPr>
            <w:r>
              <w:rPr>
                <w:rFonts w:ascii="Times New Roman"/>
                <w:b/>
                <w:color w:val="FFFFFF"/>
                <w:sz w:val="18"/>
              </w:rPr>
              <w:t>Completed</w:t>
            </w:r>
          </w:p>
        </w:tc>
        <w:tc>
          <w:tcPr>
            <w:tcW w:w="1211" w:type="dxa"/>
            <w:shd w:val="clear" w:color="auto" w:fill="004A35"/>
          </w:tcPr>
          <w:p>
            <w:pPr>
              <w:pStyle w:val="TableParagraph"/>
              <w:spacing w:line="259" w:lineRule="auto" w:before="117"/>
              <w:ind w:left="448" w:right="186" w:hanging="233"/>
              <w:jc w:val="left"/>
              <w:rPr>
                <w:rFonts w:ascii="Times New Roman"/>
                <w:b/>
                <w:sz w:val="18"/>
              </w:rPr>
            </w:pPr>
            <w:r>
              <w:rPr>
                <w:rFonts w:ascii="Times New Roman"/>
                <w:b/>
                <w:color w:val="FFFFFF"/>
                <w:sz w:val="18"/>
              </w:rPr>
              <w:t>Proposed/ U/C</w:t>
            </w:r>
          </w:p>
        </w:tc>
        <w:tc>
          <w:tcPr>
            <w:tcW w:w="849" w:type="dxa"/>
            <w:tcBorders>
              <w:right w:val="nil"/>
            </w:tcBorders>
            <w:shd w:val="clear" w:color="auto" w:fill="004A35"/>
          </w:tcPr>
          <w:p>
            <w:pPr>
              <w:pStyle w:val="TableParagraph"/>
              <w:spacing w:before="11"/>
              <w:jc w:val="left"/>
              <w:rPr>
                <w:rFonts w:ascii="Times New Roman"/>
                <w:sz w:val="19"/>
              </w:rPr>
            </w:pPr>
          </w:p>
          <w:p>
            <w:pPr>
              <w:pStyle w:val="TableParagraph"/>
              <w:ind w:right="218"/>
              <w:jc w:val="right"/>
              <w:rPr>
                <w:rFonts w:ascii="Times New Roman"/>
                <w:b/>
                <w:sz w:val="18"/>
              </w:rPr>
            </w:pPr>
            <w:r>
              <w:rPr>
                <w:rFonts w:ascii="Times New Roman"/>
                <w:b/>
                <w:color w:val="FFFFFF"/>
                <w:sz w:val="18"/>
              </w:rPr>
              <w:t>Total</w:t>
            </w:r>
          </w:p>
        </w:tc>
      </w:tr>
      <w:tr>
        <w:trPr>
          <w:trHeight w:val="228" w:hRule="atLeast"/>
        </w:trPr>
        <w:tc>
          <w:tcPr>
            <w:tcW w:w="2640" w:type="dxa"/>
            <w:tcBorders>
              <w:left w:val="nil"/>
              <w:bottom w:val="nil"/>
            </w:tcBorders>
            <w:shd w:val="clear" w:color="auto" w:fill="5FFF00"/>
          </w:tcPr>
          <w:p>
            <w:pPr>
              <w:pStyle w:val="TableParagraph"/>
              <w:spacing w:line="203" w:lineRule="exact" w:before="5"/>
              <w:ind w:left="24"/>
              <w:rPr>
                <w:rFonts w:ascii="Times New Roman"/>
                <w:b/>
                <w:sz w:val="18"/>
              </w:rPr>
            </w:pPr>
            <w:r>
              <w:rPr>
                <w:rFonts w:ascii="Times New Roman"/>
                <w:b/>
                <w:sz w:val="18"/>
                <w:u w:val="single"/>
              </w:rPr>
              <w:t>Commercial Assets</w:t>
            </w:r>
          </w:p>
        </w:tc>
        <w:tc>
          <w:tcPr>
            <w:tcW w:w="1080" w:type="dxa"/>
            <w:tcBorders>
              <w:bottom w:val="nil"/>
            </w:tcBorders>
            <w:shd w:val="clear" w:color="auto" w:fill="5FFF00"/>
          </w:tcPr>
          <w:p>
            <w:pPr>
              <w:pStyle w:val="TableParagraph"/>
              <w:jc w:val="left"/>
              <w:rPr>
                <w:rFonts w:ascii="Times New Roman"/>
                <w:sz w:val="16"/>
              </w:rPr>
            </w:pPr>
          </w:p>
        </w:tc>
        <w:tc>
          <w:tcPr>
            <w:tcW w:w="897" w:type="dxa"/>
            <w:tcBorders>
              <w:bottom w:val="nil"/>
            </w:tcBorders>
            <w:shd w:val="clear" w:color="auto" w:fill="5FFF00"/>
          </w:tcPr>
          <w:p>
            <w:pPr>
              <w:pStyle w:val="TableParagraph"/>
              <w:jc w:val="left"/>
              <w:rPr>
                <w:rFonts w:ascii="Times New Roman"/>
                <w:sz w:val="16"/>
              </w:rPr>
            </w:pPr>
          </w:p>
        </w:tc>
        <w:tc>
          <w:tcPr>
            <w:tcW w:w="1139" w:type="dxa"/>
            <w:tcBorders>
              <w:bottom w:val="nil"/>
            </w:tcBorders>
            <w:shd w:val="clear" w:color="auto" w:fill="5FFF00"/>
          </w:tcPr>
          <w:p>
            <w:pPr>
              <w:pStyle w:val="TableParagraph"/>
              <w:jc w:val="left"/>
              <w:rPr>
                <w:rFonts w:ascii="Times New Roman"/>
                <w:sz w:val="16"/>
              </w:rPr>
            </w:pPr>
          </w:p>
        </w:tc>
        <w:tc>
          <w:tcPr>
            <w:tcW w:w="897" w:type="dxa"/>
            <w:tcBorders>
              <w:bottom w:val="nil"/>
            </w:tcBorders>
            <w:shd w:val="clear" w:color="auto" w:fill="5FFF00"/>
          </w:tcPr>
          <w:p>
            <w:pPr>
              <w:pStyle w:val="TableParagraph"/>
              <w:jc w:val="left"/>
              <w:rPr>
                <w:rFonts w:ascii="Times New Roman"/>
                <w:sz w:val="16"/>
              </w:rPr>
            </w:pPr>
          </w:p>
        </w:tc>
        <w:tc>
          <w:tcPr>
            <w:tcW w:w="741" w:type="dxa"/>
            <w:tcBorders>
              <w:bottom w:val="nil"/>
            </w:tcBorders>
            <w:shd w:val="clear" w:color="auto" w:fill="5FFF00"/>
          </w:tcPr>
          <w:p>
            <w:pPr>
              <w:pStyle w:val="TableParagraph"/>
              <w:jc w:val="left"/>
              <w:rPr>
                <w:rFonts w:ascii="Times New Roman"/>
                <w:sz w:val="16"/>
              </w:rPr>
            </w:pPr>
          </w:p>
        </w:tc>
        <w:tc>
          <w:tcPr>
            <w:tcW w:w="1290" w:type="dxa"/>
            <w:tcBorders>
              <w:bottom w:val="nil"/>
            </w:tcBorders>
            <w:shd w:val="clear" w:color="auto" w:fill="5FFF00"/>
          </w:tcPr>
          <w:p>
            <w:pPr>
              <w:pStyle w:val="TableParagraph"/>
              <w:jc w:val="left"/>
              <w:rPr>
                <w:rFonts w:ascii="Times New Roman"/>
                <w:sz w:val="16"/>
              </w:rPr>
            </w:pPr>
          </w:p>
        </w:tc>
        <w:tc>
          <w:tcPr>
            <w:tcW w:w="1132" w:type="dxa"/>
            <w:tcBorders>
              <w:bottom w:val="nil"/>
            </w:tcBorders>
            <w:shd w:val="clear" w:color="auto" w:fill="5FFF00"/>
          </w:tcPr>
          <w:p>
            <w:pPr>
              <w:pStyle w:val="TableParagraph"/>
              <w:jc w:val="left"/>
              <w:rPr>
                <w:rFonts w:ascii="Times New Roman"/>
                <w:sz w:val="16"/>
              </w:rPr>
            </w:pPr>
          </w:p>
        </w:tc>
        <w:tc>
          <w:tcPr>
            <w:tcW w:w="1135" w:type="dxa"/>
            <w:tcBorders>
              <w:bottom w:val="nil"/>
            </w:tcBorders>
            <w:shd w:val="clear" w:color="auto" w:fill="5FFF00"/>
          </w:tcPr>
          <w:p>
            <w:pPr>
              <w:pStyle w:val="TableParagraph"/>
              <w:jc w:val="left"/>
              <w:rPr>
                <w:rFonts w:ascii="Times New Roman"/>
                <w:sz w:val="16"/>
              </w:rPr>
            </w:pPr>
          </w:p>
        </w:tc>
        <w:tc>
          <w:tcPr>
            <w:tcW w:w="1211" w:type="dxa"/>
            <w:tcBorders>
              <w:bottom w:val="nil"/>
            </w:tcBorders>
            <w:shd w:val="clear" w:color="auto" w:fill="5FFF00"/>
          </w:tcPr>
          <w:p>
            <w:pPr>
              <w:pStyle w:val="TableParagraph"/>
              <w:jc w:val="left"/>
              <w:rPr>
                <w:rFonts w:ascii="Times New Roman"/>
                <w:sz w:val="16"/>
              </w:rPr>
            </w:pPr>
          </w:p>
        </w:tc>
        <w:tc>
          <w:tcPr>
            <w:tcW w:w="849" w:type="dxa"/>
            <w:tcBorders>
              <w:bottom w:val="nil"/>
              <w:right w:val="nil"/>
            </w:tcBorders>
            <w:shd w:val="clear" w:color="auto" w:fill="5FFF00"/>
          </w:tcPr>
          <w:p>
            <w:pPr>
              <w:pStyle w:val="TableParagraph"/>
              <w:jc w:val="left"/>
              <w:rPr>
                <w:rFonts w:ascii="Times New Roman"/>
                <w:sz w:val="16"/>
              </w:rPr>
            </w:pPr>
          </w:p>
        </w:tc>
      </w:tr>
      <w:tr>
        <w:trPr>
          <w:trHeight w:val="257" w:hRule="atLeast"/>
        </w:trPr>
        <w:tc>
          <w:tcPr>
            <w:tcW w:w="2640" w:type="dxa"/>
            <w:tcBorders>
              <w:top w:val="nil"/>
              <w:left w:val="nil"/>
              <w:bottom w:val="nil"/>
            </w:tcBorders>
          </w:tcPr>
          <w:p>
            <w:pPr>
              <w:pStyle w:val="TableParagraph"/>
              <w:spacing w:before="26"/>
              <w:ind w:left="26"/>
              <w:rPr>
                <w:rFonts w:ascii="Times New Roman"/>
                <w:sz w:val="18"/>
              </w:rPr>
            </w:pPr>
            <w:r>
              <w:rPr>
                <w:rFonts w:ascii="Times New Roman"/>
                <w:sz w:val="18"/>
              </w:rPr>
              <w:t>Embassy Manyata</w:t>
            </w:r>
          </w:p>
        </w:tc>
        <w:tc>
          <w:tcPr>
            <w:tcW w:w="1080" w:type="dxa"/>
            <w:tcBorders>
              <w:top w:val="nil"/>
              <w:bottom w:val="nil"/>
            </w:tcBorders>
          </w:tcPr>
          <w:p>
            <w:pPr>
              <w:pStyle w:val="TableParagraph"/>
              <w:spacing w:before="26"/>
              <w:ind w:left="89" w:right="89"/>
              <w:rPr>
                <w:rFonts w:ascii="Times New Roman"/>
                <w:sz w:val="18"/>
              </w:rPr>
            </w:pPr>
            <w:r>
              <w:rPr>
                <w:rFonts w:ascii="Times New Roman"/>
                <w:sz w:val="18"/>
              </w:rPr>
              <w:t>11.8</w:t>
            </w:r>
          </w:p>
        </w:tc>
        <w:tc>
          <w:tcPr>
            <w:tcW w:w="897" w:type="dxa"/>
            <w:tcBorders>
              <w:top w:val="nil"/>
              <w:bottom w:val="nil"/>
            </w:tcBorders>
          </w:tcPr>
          <w:p>
            <w:pPr>
              <w:pStyle w:val="TableParagraph"/>
              <w:spacing w:before="26"/>
              <w:ind w:left="3"/>
              <w:rPr>
                <w:rFonts w:ascii="Times New Roman"/>
                <w:sz w:val="18"/>
              </w:rPr>
            </w:pPr>
            <w:r>
              <w:rPr>
                <w:rFonts w:ascii="Times New Roman"/>
                <w:sz w:val="18"/>
              </w:rPr>
              <w:t>3.1</w:t>
            </w:r>
          </w:p>
        </w:tc>
        <w:tc>
          <w:tcPr>
            <w:tcW w:w="1139" w:type="dxa"/>
            <w:tcBorders>
              <w:top w:val="nil"/>
              <w:bottom w:val="nil"/>
            </w:tcBorders>
          </w:tcPr>
          <w:p>
            <w:pPr>
              <w:pStyle w:val="TableParagraph"/>
              <w:spacing w:before="26"/>
              <w:ind w:left="149" w:right="144"/>
              <w:rPr>
                <w:rFonts w:ascii="Times New Roman"/>
                <w:sz w:val="18"/>
              </w:rPr>
            </w:pPr>
            <w:r>
              <w:rPr>
                <w:rFonts w:ascii="Times New Roman"/>
                <w:sz w:val="18"/>
              </w:rPr>
              <w:t>14.8</w:t>
            </w:r>
          </w:p>
        </w:tc>
        <w:tc>
          <w:tcPr>
            <w:tcW w:w="897" w:type="dxa"/>
            <w:tcBorders>
              <w:top w:val="nil"/>
              <w:bottom w:val="nil"/>
            </w:tcBorders>
          </w:tcPr>
          <w:p>
            <w:pPr>
              <w:pStyle w:val="TableParagraph"/>
              <w:spacing w:before="26"/>
              <w:ind w:left="4"/>
              <w:rPr>
                <w:rFonts w:ascii="Times New Roman"/>
                <w:sz w:val="18"/>
              </w:rPr>
            </w:pPr>
            <w:r>
              <w:rPr>
                <w:rFonts w:ascii="Times New Roman"/>
                <w:sz w:val="18"/>
              </w:rPr>
              <w:t>12.03%</w:t>
            </w:r>
          </w:p>
        </w:tc>
        <w:tc>
          <w:tcPr>
            <w:tcW w:w="741" w:type="dxa"/>
            <w:tcBorders>
              <w:top w:val="nil"/>
              <w:bottom w:val="nil"/>
            </w:tcBorders>
          </w:tcPr>
          <w:p>
            <w:pPr>
              <w:pStyle w:val="TableParagraph"/>
              <w:spacing w:before="26"/>
              <w:ind w:left="66" w:right="59"/>
              <w:rPr>
                <w:rFonts w:ascii="Times New Roman"/>
                <w:sz w:val="18"/>
              </w:rPr>
            </w:pPr>
            <w:r>
              <w:rPr>
                <w:rFonts w:ascii="Times New Roman"/>
                <w:sz w:val="18"/>
              </w:rPr>
              <w:t>13.00%</w:t>
            </w:r>
          </w:p>
        </w:tc>
        <w:tc>
          <w:tcPr>
            <w:tcW w:w="1290" w:type="dxa"/>
            <w:tcBorders>
              <w:top w:val="nil"/>
              <w:bottom w:val="nil"/>
            </w:tcBorders>
          </w:tcPr>
          <w:p>
            <w:pPr>
              <w:pStyle w:val="TableParagraph"/>
              <w:spacing w:before="26"/>
              <w:ind w:left="387" w:right="377"/>
              <w:rPr>
                <w:rFonts w:ascii="Times New Roman"/>
                <w:sz w:val="18"/>
              </w:rPr>
            </w:pPr>
            <w:r>
              <w:rPr>
                <w:rFonts w:ascii="Times New Roman"/>
                <w:sz w:val="18"/>
              </w:rPr>
              <w:t>8.00%</w:t>
            </w:r>
          </w:p>
        </w:tc>
        <w:tc>
          <w:tcPr>
            <w:tcW w:w="1132" w:type="dxa"/>
            <w:tcBorders>
              <w:top w:val="nil"/>
              <w:bottom w:val="nil"/>
            </w:tcBorders>
          </w:tcPr>
          <w:p>
            <w:pPr>
              <w:pStyle w:val="TableParagraph"/>
              <w:spacing w:before="26"/>
              <w:ind w:left="110" w:right="99"/>
              <w:rPr>
                <w:rFonts w:ascii="Times New Roman"/>
                <w:sz w:val="18"/>
              </w:rPr>
            </w:pPr>
            <w:r>
              <w:rPr>
                <w:rFonts w:ascii="Times New Roman"/>
                <w:sz w:val="18"/>
              </w:rPr>
              <w:t>90</w:t>
            </w:r>
          </w:p>
        </w:tc>
        <w:tc>
          <w:tcPr>
            <w:tcW w:w="1135" w:type="dxa"/>
            <w:tcBorders>
              <w:top w:val="nil"/>
              <w:bottom w:val="nil"/>
            </w:tcBorders>
          </w:tcPr>
          <w:p>
            <w:pPr>
              <w:pStyle w:val="TableParagraph"/>
              <w:spacing w:before="26"/>
              <w:ind w:left="119" w:right="109"/>
              <w:rPr>
                <w:rFonts w:ascii="Times New Roman"/>
                <w:sz w:val="18"/>
              </w:rPr>
            </w:pPr>
            <w:r>
              <w:rPr>
                <w:rFonts w:ascii="Times New Roman"/>
                <w:sz w:val="18"/>
              </w:rPr>
              <w:t>129,952</w:t>
            </w:r>
          </w:p>
        </w:tc>
        <w:tc>
          <w:tcPr>
            <w:tcW w:w="1211" w:type="dxa"/>
            <w:tcBorders>
              <w:top w:val="nil"/>
              <w:bottom w:val="nil"/>
            </w:tcBorders>
          </w:tcPr>
          <w:p>
            <w:pPr>
              <w:pStyle w:val="TableParagraph"/>
              <w:spacing w:before="26"/>
              <w:ind w:left="354"/>
              <w:jc w:val="left"/>
              <w:rPr>
                <w:rFonts w:ascii="Times New Roman"/>
                <w:sz w:val="18"/>
              </w:rPr>
            </w:pPr>
            <w:r>
              <w:rPr>
                <w:rFonts w:ascii="Times New Roman"/>
                <w:sz w:val="18"/>
              </w:rPr>
              <w:t>20,154</w:t>
            </w:r>
          </w:p>
        </w:tc>
        <w:tc>
          <w:tcPr>
            <w:tcW w:w="849" w:type="dxa"/>
            <w:tcBorders>
              <w:top w:val="nil"/>
              <w:bottom w:val="nil"/>
              <w:right w:val="nil"/>
            </w:tcBorders>
          </w:tcPr>
          <w:p>
            <w:pPr>
              <w:pStyle w:val="TableParagraph"/>
              <w:spacing w:before="26"/>
              <w:ind w:right="132"/>
              <w:jc w:val="right"/>
              <w:rPr>
                <w:rFonts w:ascii="Times New Roman"/>
                <w:sz w:val="18"/>
              </w:rPr>
            </w:pPr>
            <w:r>
              <w:rPr>
                <w:rFonts w:ascii="Times New Roman"/>
                <w:sz w:val="18"/>
              </w:rPr>
              <w:t>150,106</w:t>
            </w:r>
          </w:p>
        </w:tc>
      </w:tr>
      <w:tr>
        <w:trPr>
          <w:trHeight w:val="248" w:hRule="atLeast"/>
        </w:trPr>
        <w:tc>
          <w:tcPr>
            <w:tcW w:w="2640" w:type="dxa"/>
            <w:tcBorders>
              <w:top w:val="nil"/>
              <w:left w:val="nil"/>
              <w:bottom w:val="nil"/>
            </w:tcBorders>
          </w:tcPr>
          <w:p>
            <w:pPr>
              <w:pStyle w:val="TableParagraph"/>
              <w:spacing w:before="16"/>
              <w:ind w:left="31"/>
              <w:rPr>
                <w:rFonts w:ascii="Times New Roman"/>
                <w:sz w:val="18"/>
              </w:rPr>
            </w:pPr>
            <w:r>
              <w:rPr>
                <w:rFonts w:ascii="Times New Roman"/>
                <w:sz w:val="18"/>
              </w:rPr>
              <w:t>Embassy GolfLinks*</w:t>
            </w:r>
          </w:p>
        </w:tc>
        <w:tc>
          <w:tcPr>
            <w:tcW w:w="1080" w:type="dxa"/>
            <w:tcBorders>
              <w:top w:val="nil"/>
              <w:bottom w:val="nil"/>
            </w:tcBorders>
          </w:tcPr>
          <w:p>
            <w:pPr>
              <w:pStyle w:val="TableParagraph"/>
              <w:spacing w:before="16"/>
              <w:ind w:left="90" w:right="89"/>
              <w:rPr>
                <w:rFonts w:ascii="Times New Roman"/>
                <w:sz w:val="18"/>
              </w:rPr>
            </w:pPr>
            <w:r>
              <w:rPr>
                <w:rFonts w:ascii="Times New Roman"/>
                <w:sz w:val="18"/>
              </w:rPr>
              <w:t>2.7</w:t>
            </w:r>
          </w:p>
        </w:tc>
        <w:tc>
          <w:tcPr>
            <w:tcW w:w="897" w:type="dxa"/>
            <w:tcBorders>
              <w:top w:val="nil"/>
              <w:bottom w:val="nil"/>
            </w:tcBorders>
          </w:tcPr>
          <w:p>
            <w:pPr>
              <w:pStyle w:val="TableParagraph"/>
              <w:spacing w:before="16"/>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6"/>
              <w:ind w:left="146" w:right="144"/>
              <w:rPr>
                <w:rFonts w:ascii="Times New Roman"/>
                <w:sz w:val="18"/>
              </w:rPr>
            </w:pPr>
            <w:r>
              <w:rPr>
                <w:rFonts w:ascii="Times New Roman"/>
                <w:sz w:val="18"/>
              </w:rPr>
              <w:t>2.7</w:t>
            </w:r>
          </w:p>
        </w:tc>
        <w:tc>
          <w:tcPr>
            <w:tcW w:w="897" w:type="dxa"/>
            <w:tcBorders>
              <w:top w:val="nil"/>
              <w:bottom w:val="nil"/>
            </w:tcBorders>
          </w:tcPr>
          <w:p>
            <w:pPr>
              <w:pStyle w:val="TableParagraph"/>
              <w:spacing w:before="16"/>
              <w:ind w:left="4"/>
              <w:rPr>
                <w:rFonts w:ascii="Times New Roman"/>
                <w:sz w:val="18"/>
              </w:rPr>
            </w:pPr>
            <w:r>
              <w:rPr>
                <w:rFonts w:ascii="Times New Roman"/>
                <w:sz w:val="18"/>
              </w:rPr>
              <w:t>12.03%</w:t>
            </w:r>
          </w:p>
        </w:tc>
        <w:tc>
          <w:tcPr>
            <w:tcW w:w="741" w:type="dxa"/>
            <w:tcBorders>
              <w:top w:val="nil"/>
              <w:bottom w:val="nil"/>
            </w:tcBorders>
          </w:tcPr>
          <w:p>
            <w:pPr>
              <w:pStyle w:val="TableParagraph"/>
              <w:spacing w:before="16"/>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6"/>
              <w:ind w:left="387" w:right="377"/>
              <w:rPr>
                <w:rFonts w:ascii="Times New Roman"/>
                <w:sz w:val="18"/>
              </w:rPr>
            </w:pPr>
            <w:r>
              <w:rPr>
                <w:rFonts w:ascii="Times New Roman"/>
                <w:sz w:val="18"/>
              </w:rPr>
              <w:t>8.00%</w:t>
            </w:r>
          </w:p>
        </w:tc>
        <w:tc>
          <w:tcPr>
            <w:tcW w:w="1132" w:type="dxa"/>
            <w:tcBorders>
              <w:top w:val="nil"/>
              <w:bottom w:val="nil"/>
            </w:tcBorders>
          </w:tcPr>
          <w:p>
            <w:pPr>
              <w:pStyle w:val="TableParagraph"/>
              <w:spacing w:before="16"/>
              <w:ind w:left="110" w:right="99"/>
              <w:rPr>
                <w:rFonts w:ascii="Times New Roman"/>
                <w:sz w:val="18"/>
              </w:rPr>
            </w:pPr>
            <w:r>
              <w:rPr>
                <w:rFonts w:ascii="Times New Roman"/>
                <w:sz w:val="18"/>
              </w:rPr>
              <w:t>148</w:t>
            </w:r>
          </w:p>
        </w:tc>
        <w:tc>
          <w:tcPr>
            <w:tcW w:w="1135" w:type="dxa"/>
            <w:tcBorders>
              <w:top w:val="nil"/>
              <w:bottom w:val="nil"/>
            </w:tcBorders>
          </w:tcPr>
          <w:p>
            <w:pPr>
              <w:pStyle w:val="TableParagraph"/>
              <w:spacing w:before="16"/>
              <w:ind w:left="119" w:right="109"/>
              <w:rPr>
                <w:rFonts w:ascii="Times New Roman"/>
                <w:sz w:val="18"/>
              </w:rPr>
            </w:pPr>
            <w:r>
              <w:rPr>
                <w:rFonts w:ascii="Times New Roman"/>
                <w:sz w:val="18"/>
              </w:rPr>
              <w:t>27,014</w:t>
            </w:r>
          </w:p>
        </w:tc>
        <w:tc>
          <w:tcPr>
            <w:tcW w:w="1211" w:type="dxa"/>
            <w:tcBorders>
              <w:top w:val="nil"/>
              <w:bottom w:val="nil"/>
            </w:tcBorders>
          </w:tcPr>
          <w:p>
            <w:pPr>
              <w:pStyle w:val="TableParagraph"/>
              <w:spacing w:before="16"/>
              <w:ind w:left="58"/>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6"/>
              <w:ind w:right="178"/>
              <w:jc w:val="right"/>
              <w:rPr>
                <w:rFonts w:ascii="Times New Roman"/>
                <w:sz w:val="18"/>
              </w:rPr>
            </w:pPr>
            <w:r>
              <w:rPr>
                <w:rFonts w:ascii="Times New Roman"/>
                <w:sz w:val="18"/>
              </w:rPr>
              <w:t>27,014</w:t>
            </w:r>
          </w:p>
        </w:tc>
      </w:tr>
      <w:tr>
        <w:trPr>
          <w:trHeight w:val="248" w:hRule="atLeast"/>
        </w:trPr>
        <w:tc>
          <w:tcPr>
            <w:tcW w:w="2640" w:type="dxa"/>
            <w:tcBorders>
              <w:top w:val="nil"/>
              <w:left w:val="nil"/>
              <w:bottom w:val="nil"/>
            </w:tcBorders>
          </w:tcPr>
          <w:p>
            <w:pPr>
              <w:pStyle w:val="TableParagraph"/>
              <w:spacing w:before="17"/>
              <w:ind w:left="27"/>
              <w:rPr>
                <w:rFonts w:ascii="Times New Roman"/>
                <w:sz w:val="18"/>
              </w:rPr>
            </w:pPr>
            <w:r>
              <w:rPr>
                <w:rFonts w:ascii="Times New Roman"/>
                <w:sz w:val="18"/>
              </w:rPr>
              <w:t>Embassy One</w:t>
            </w:r>
          </w:p>
        </w:tc>
        <w:tc>
          <w:tcPr>
            <w:tcW w:w="1080" w:type="dxa"/>
            <w:tcBorders>
              <w:top w:val="nil"/>
              <w:bottom w:val="nil"/>
            </w:tcBorders>
          </w:tcPr>
          <w:p>
            <w:pPr>
              <w:pStyle w:val="TableParagraph"/>
              <w:spacing w:before="17"/>
              <w:ind w:left="90" w:right="89"/>
              <w:rPr>
                <w:rFonts w:ascii="Times New Roman"/>
                <w:sz w:val="18"/>
              </w:rPr>
            </w:pPr>
            <w:r>
              <w:rPr>
                <w:rFonts w:ascii="Times New Roman"/>
                <w:sz w:val="18"/>
              </w:rPr>
              <w:t>0.3</w:t>
            </w:r>
          </w:p>
        </w:tc>
        <w:tc>
          <w:tcPr>
            <w:tcW w:w="897" w:type="dxa"/>
            <w:tcBorders>
              <w:top w:val="nil"/>
              <w:bottom w:val="nil"/>
            </w:tcBorders>
          </w:tcPr>
          <w:p>
            <w:pPr>
              <w:pStyle w:val="TableParagraph"/>
              <w:spacing w:before="17"/>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7"/>
              <w:ind w:left="146" w:right="144"/>
              <w:rPr>
                <w:rFonts w:ascii="Times New Roman"/>
                <w:sz w:val="18"/>
              </w:rPr>
            </w:pPr>
            <w:r>
              <w:rPr>
                <w:rFonts w:ascii="Times New Roman"/>
                <w:sz w:val="18"/>
              </w:rPr>
              <w:t>0.3</w:t>
            </w:r>
          </w:p>
        </w:tc>
        <w:tc>
          <w:tcPr>
            <w:tcW w:w="897" w:type="dxa"/>
            <w:tcBorders>
              <w:top w:val="nil"/>
              <w:bottom w:val="nil"/>
            </w:tcBorders>
          </w:tcPr>
          <w:p>
            <w:pPr>
              <w:pStyle w:val="TableParagraph"/>
              <w:spacing w:before="17"/>
              <w:ind w:left="4"/>
              <w:rPr>
                <w:rFonts w:ascii="Times New Roman"/>
                <w:sz w:val="18"/>
              </w:rPr>
            </w:pPr>
            <w:r>
              <w:rPr>
                <w:rFonts w:ascii="Times New Roman"/>
                <w:sz w:val="18"/>
              </w:rPr>
              <w:t>12.03%</w:t>
            </w:r>
          </w:p>
        </w:tc>
        <w:tc>
          <w:tcPr>
            <w:tcW w:w="741" w:type="dxa"/>
            <w:tcBorders>
              <w:top w:val="nil"/>
              <w:bottom w:val="nil"/>
            </w:tcBorders>
          </w:tcPr>
          <w:p>
            <w:pPr>
              <w:pStyle w:val="TableParagraph"/>
              <w:spacing w:before="17"/>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7"/>
              <w:ind w:left="387" w:right="377"/>
              <w:rPr>
                <w:rFonts w:ascii="Times New Roman"/>
                <w:sz w:val="18"/>
              </w:rPr>
            </w:pPr>
            <w:r>
              <w:rPr>
                <w:rFonts w:ascii="Times New Roman"/>
                <w:sz w:val="18"/>
              </w:rPr>
              <w:t>7.50%</w:t>
            </w:r>
          </w:p>
        </w:tc>
        <w:tc>
          <w:tcPr>
            <w:tcW w:w="1132" w:type="dxa"/>
            <w:tcBorders>
              <w:top w:val="nil"/>
              <w:bottom w:val="nil"/>
            </w:tcBorders>
          </w:tcPr>
          <w:p>
            <w:pPr>
              <w:pStyle w:val="TableParagraph"/>
              <w:spacing w:before="17"/>
              <w:ind w:left="110" w:right="96"/>
              <w:rPr>
                <w:rFonts w:ascii="Times New Roman"/>
                <w:sz w:val="18"/>
              </w:rPr>
            </w:pPr>
            <w:r>
              <w:rPr>
                <w:rFonts w:ascii="Times New Roman"/>
                <w:sz w:val="18"/>
              </w:rPr>
              <w:t>147^</w:t>
            </w:r>
          </w:p>
        </w:tc>
        <w:tc>
          <w:tcPr>
            <w:tcW w:w="1135" w:type="dxa"/>
            <w:tcBorders>
              <w:top w:val="nil"/>
              <w:bottom w:val="nil"/>
            </w:tcBorders>
          </w:tcPr>
          <w:p>
            <w:pPr>
              <w:pStyle w:val="TableParagraph"/>
              <w:spacing w:before="17"/>
              <w:ind w:left="122" w:right="109"/>
              <w:rPr>
                <w:rFonts w:ascii="Times New Roman"/>
                <w:sz w:val="18"/>
              </w:rPr>
            </w:pPr>
            <w:r>
              <w:rPr>
                <w:rFonts w:ascii="Times New Roman"/>
                <w:sz w:val="18"/>
              </w:rPr>
              <w:t>4,897</w:t>
            </w:r>
          </w:p>
        </w:tc>
        <w:tc>
          <w:tcPr>
            <w:tcW w:w="1211" w:type="dxa"/>
            <w:tcBorders>
              <w:top w:val="nil"/>
              <w:bottom w:val="nil"/>
            </w:tcBorders>
          </w:tcPr>
          <w:p>
            <w:pPr>
              <w:pStyle w:val="TableParagraph"/>
              <w:spacing w:before="17"/>
              <w:ind w:left="58"/>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7"/>
              <w:ind w:left="209"/>
              <w:jc w:val="left"/>
              <w:rPr>
                <w:rFonts w:ascii="Times New Roman"/>
                <w:sz w:val="18"/>
              </w:rPr>
            </w:pPr>
            <w:r>
              <w:rPr>
                <w:rFonts w:ascii="Times New Roman"/>
                <w:sz w:val="18"/>
              </w:rPr>
              <w:t>4,897</w:t>
            </w:r>
          </w:p>
        </w:tc>
      </w:tr>
      <w:tr>
        <w:trPr>
          <w:trHeight w:val="248" w:hRule="atLeast"/>
        </w:trPr>
        <w:tc>
          <w:tcPr>
            <w:tcW w:w="2640" w:type="dxa"/>
            <w:tcBorders>
              <w:top w:val="nil"/>
              <w:left w:val="nil"/>
              <w:bottom w:val="nil"/>
            </w:tcBorders>
          </w:tcPr>
          <w:p>
            <w:pPr>
              <w:pStyle w:val="TableParagraph"/>
              <w:spacing w:before="16"/>
              <w:ind w:left="29"/>
              <w:rPr>
                <w:rFonts w:ascii="Times New Roman"/>
                <w:sz w:val="18"/>
              </w:rPr>
            </w:pPr>
            <w:r>
              <w:rPr>
                <w:rFonts w:ascii="Times New Roman"/>
                <w:sz w:val="18"/>
              </w:rPr>
              <w:t>Express Towers</w:t>
            </w:r>
          </w:p>
        </w:tc>
        <w:tc>
          <w:tcPr>
            <w:tcW w:w="1080" w:type="dxa"/>
            <w:tcBorders>
              <w:top w:val="nil"/>
              <w:bottom w:val="nil"/>
            </w:tcBorders>
          </w:tcPr>
          <w:p>
            <w:pPr>
              <w:pStyle w:val="TableParagraph"/>
              <w:spacing w:before="16"/>
              <w:ind w:left="90" w:right="89"/>
              <w:rPr>
                <w:rFonts w:ascii="Times New Roman"/>
                <w:sz w:val="18"/>
              </w:rPr>
            </w:pPr>
            <w:r>
              <w:rPr>
                <w:rFonts w:ascii="Times New Roman"/>
                <w:sz w:val="18"/>
              </w:rPr>
              <w:t>0.5</w:t>
            </w:r>
          </w:p>
        </w:tc>
        <w:tc>
          <w:tcPr>
            <w:tcW w:w="897" w:type="dxa"/>
            <w:tcBorders>
              <w:top w:val="nil"/>
              <w:bottom w:val="nil"/>
            </w:tcBorders>
          </w:tcPr>
          <w:p>
            <w:pPr>
              <w:pStyle w:val="TableParagraph"/>
              <w:spacing w:before="16"/>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6"/>
              <w:ind w:left="146" w:right="144"/>
              <w:rPr>
                <w:rFonts w:ascii="Times New Roman"/>
                <w:sz w:val="18"/>
              </w:rPr>
            </w:pPr>
            <w:r>
              <w:rPr>
                <w:rFonts w:ascii="Times New Roman"/>
                <w:sz w:val="18"/>
              </w:rPr>
              <w:t>0.5</w:t>
            </w:r>
          </w:p>
        </w:tc>
        <w:tc>
          <w:tcPr>
            <w:tcW w:w="897" w:type="dxa"/>
            <w:tcBorders>
              <w:top w:val="nil"/>
              <w:bottom w:val="nil"/>
            </w:tcBorders>
          </w:tcPr>
          <w:p>
            <w:pPr>
              <w:pStyle w:val="TableParagraph"/>
              <w:spacing w:before="16"/>
              <w:ind w:left="4"/>
              <w:rPr>
                <w:rFonts w:ascii="Times New Roman"/>
                <w:sz w:val="18"/>
              </w:rPr>
            </w:pPr>
            <w:r>
              <w:rPr>
                <w:rFonts w:ascii="Times New Roman"/>
                <w:sz w:val="18"/>
              </w:rPr>
              <w:t>12.03%</w:t>
            </w:r>
          </w:p>
        </w:tc>
        <w:tc>
          <w:tcPr>
            <w:tcW w:w="741" w:type="dxa"/>
            <w:tcBorders>
              <w:top w:val="nil"/>
              <w:bottom w:val="nil"/>
            </w:tcBorders>
          </w:tcPr>
          <w:p>
            <w:pPr>
              <w:pStyle w:val="TableParagraph"/>
              <w:spacing w:before="16"/>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6"/>
              <w:ind w:left="387" w:right="377"/>
              <w:rPr>
                <w:rFonts w:ascii="Times New Roman"/>
                <w:sz w:val="18"/>
              </w:rPr>
            </w:pPr>
            <w:r>
              <w:rPr>
                <w:rFonts w:ascii="Times New Roman"/>
                <w:sz w:val="18"/>
              </w:rPr>
              <w:t>7.50%</w:t>
            </w:r>
          </w:p>
        </w:tc>
        <w:tc>
          <w:tcPr>
            <w:tcW w:w="1132" w:type="dxa"/>
            <w:tcBorders>
              <w:top w:val="nil"/>
              <w:bottom w:val="nil"/>
            </w:tcBorders>
          </w:tcPr>
          <w:p>
            <w:pPr>
              <w:pStyle w:val="TableParagraph"/>
              <w:spacing w:before="16"/>
              <w:ind w:left="110" w:right="99"/>
              <w:rPr>
                <w:rFonts w:ascii="Times New Roman"/>
                <w:sz w:val="18"/>
              </w:rPr>
            </w:pPr>
            <w:r>
              <w:rPr>
                <w:rFonts w:ascii="Times New Roman"/>
                <w:sz w:val="18"/>
              </w:rPr>
              <w:t>270</w:t>
            </w:r>
          </w:p>
        </w:tc>
        <w:tc>
          <w:tcPr>
            <w:tcW w:w="1135" w:type="dxa"/>
            <w:tcBorders>
              <w:top w:val="nil"/>
              <w:bottom w:val="nil"/>
            </w:tcBorders>
          </w:tcPr>
          <w:p>
            <w:pPr>
              <w:pStyle w:val="TableParagraph"/>
              <w:spacing w:before="16"/>
              <w:ind w:left="119" w:right="109"/>
              <w:rPr>
                <w:rFonts w:ascii="Times New Roman"/>
                <w:sz w:val="18"/>
              </w:rPr>
            </w:pPr>
            <w:r>
              <w:rPr>
                <w:rFonts w:ascii="Times New Roman"/>
                <w:sz w:val="18"/>
              </w:rPr>
              <w:t>17,866</w:t>
            </w:r>
          </w:p>
        </w:tc>
        <w:tc>
          <w:tcPr>
            <w:tcW w:w="1211" w:type="dxa"/>
            <w:tcBorders>
              <w:top w:val="nil"/>
              <w:bottom w:val="nil"/>
            </w:tcBorders>
          </w:tcPr>
          <w:p>
            <w:pPr>
              <w:pStyle w:val="TableParagraph"/>
              <w:spacing w:before="16"/>
              <w:ind w:left="58"/>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6"/>
              <w:ind w:right="178"/>
              <w:jc w:val="right"/>
              <w:rPr>
                <w:rFonts w:ascii="Times New Roman"/>
                <w:sz w:val="18"/>
              </w:rPr>
            </w:pPr>
            <w:r>
              <w:rPr>
                <w:rFonts w:ascii="Times New Roman"/>
                <w:sz w:val="18"/>
              </w:rPr>
              <w:t>17,866</w:t>
            </w:r>
          </w:p>
        </w:tc>
      </w:tr>
      <w:tr>
        <w:trPr>
          <w:trHeight w:val="248" w:hRule="atLeast"/>
        </w:trPr>
        <w:tc>
          <w:tcPr>
            <w:tcW w:w="2640" w:type="dxa"/>
            <w:tcBorders>
              <w:top w:val="nil"/>
              <w:left w:val="nil"/>
              <w:bottom w:val="nil"/>
            </w:tcBorders>
          </w:tcPr>
          <w:p>
            <w:pPr>
              <w:pStyle w:val="TableParagraph"/>
              <w:spacing w:before="17"/>
              <w:ind w:left="25"/>
              <w:rPr>
                <w:rFonts w:ascii="Times New Roman"/>
                <w:sz w:val="18"/>
              </w:rPr>
            </w:pPr>
            <w:r>
              <w:rPr>
                <w:rFonts w:ascii="Times New Roman"/>
                <w:sz w:val="18"/>
              </w:rPr>
              <w:t>Embassy 247</w:t>
            </w:r>
          </w:p>
        </w:tc>
        <w:tc>
          <w:tcPr>
            <w:tcW w:w="1080" w:type="dxa"/>
            <w:tcBorders>
              <w:top w:val="nil"/>
              <w:bottom w:val="nil"/>
            </w:tcBorders>
          </w:tcPr>
          <w:p>
            <w:pPr>
              <w:pStyle w:val="TableParagraph"/>
              <w:spacing w:before="17"/>
              <w:ind w:left="90" w:right="89"/>
              <w:rPr>
                <w:rFonts w:ascii="Times New Roman"/>
                <w:sz w:val="18"/>
              </w:rPr>
            </w:pPr>
            <w:r>
              <w:rPr>
                <w:rFonts w:ascii="Times New Roman"/>
                <w:sz w:val="18"/>
              </w:rPr>
              <w:t>1.2</w:t>
            </w:r>
          </w:p>
        </w:tc>
        <w:tc>
          <w:tcPr>
            <w:tcW w:w="897" w:type="dxa"/>
            <w:tcBorders>
              <w:top w:val="nil"/>
              <w:bottom w:val="nil"/>
            </w:tcBorders>
          </w:tcPr>
          <w:p>
            <w:pPr>
              <w:pStyle w:val="TableParagraph"/>
              <w:spacing w:before="17"/>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7"/>
              <w:ind w:left="146" w:right="144"/>
              <w:rPr>
                <w:rFonts w:ascii="Times New Roman"/>
                <w:sz w:val="18"/>
              </w:rPr>
            </w:pPr>
            <w:r>
              <w:rPr>
                <w:rFonts w:ascii="Times New Roman"/>
                <w:sz w:val="18"/>
              </w:rPr>
              <w:t>1.2</w:t>
            </w:r>
          </w:p>
        </w:tc>
        <w:tc>
          <w:tcPr>
            <w:tcW w:w="897" w:type="dxa"/>
            <w:tcBorders>
              <w:top w:val="nil"/>
              <w:bottom w:val="nil"/>
            </w:tcBorders>
          </w:tcPr>
          <w:p>
            <w:pPr>
              <w:pStyle w:val="TableParagraph"/>
              <w:spacing w:before="17"/>
              <w:ind w:left="4"/>
              <w:rPr>
                <w:rFonts w:ascii="Times New Roman"/>
                <w:sz w:val="18"/>
              </w:rPr>
            </w:pPr>
            <w:r>
              <w:rPr>
                <w:rFonts w:ascii="Times New Roman"/>
                <w:sz w:val="18"/>
              </w:rPr>
              <w:t>12.03%</w:t>
            </w:r>
          </w:p>
        </w:tc>
        <w:tc>
          <w:tcPr>
            <w:tcW w:w="741" w:type="dxa"/>
            <w:tcBorders>
              <w:top w:val="nil"/>
              <w:bottom w:val="nil"/>
            </w:tcBorders>
          </w:tcPr>
          <w:p>
            <w:pPr>
              <w:pStyle w:val="TableParagraph"/>
              <w:spacing w:before="17"/>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7"/>
              <w:ind w:left="387" w:right="377"/>
              <w:rPr>
                <w:rFonts w:ascii="Times New Roman"/>
                <w:sz w:val="18"/>
              </w:rPr>
            </w:pPr>
            <w:r>
              <w:rPr>
                <w:rFonts w:ascii="Times New Roman"/>
                <w:sz w:val="18"/>
              </w:rPr>
              <w:t>8.00%</w:t>
            </w:r>
          </w:p>
        </w:tc>
        <w:tc>
          <w:tcPr>
            <w:tcW w:w="1132" w:type="dxa"/>
            <w:tcBorders>
              <w:top w:val="nil"/>
              <w:bottom w:val="nil"/>
            </w:tcBorders>
          </w:tcPr>
          <w:p>
            <w:pPr>
              <w:pStyle w:val="TableParagraph"/>
              <w:spacing w:before="17"/>
              <w:ind w:left="110" w:right="96"/>
              <w:rPr>
                <w:rFonts w:ascii="Times New Roman"/>
                <w:sz w:val="18"/>
              </w:rPr>
            </w:pPr>
            <w:r>
              <w:rPr>
                <w:rFonts w:ascii="Times New Roman"/>
                <w:sz w:val="18"/>
              </w:rPr>
              <w:t>110^</w:t>
            </w:r>
          </w:p>
        </w:tc>
        <w:tc>
          <w:tcPr>
            <w:tcW w:w="1135" w:type="dxa"/>
            <w:tcBorders>
              <w:top w:val="nil"/>
              <w:bottom w:val="nil"/>
            </w:tcBorders>
          </w:tcPr>
          <w:p>
            <w:pPr>
              <w:pStyle w:val="TableParagraph"/>
              <w:spacing w:before="17"/>
              <w:ind w:left="119" w:right="109"/>
              <w:rPr>
                <w:rFonts w:ascii="Times New Roman"/>
                <w:sz w:val="18"/>
              </w:rPr>
            </w:pPr>
            <w:r>
              <w:rPr>
                <w:rFonts w:ascii="Times New Roman"/>
                <w:sz w:val="18"/>
              </w:rPr>
              <w:t>16,624</w:t>
            </w:r>
          </w:p>
        </w:tc>
        <w:tc>
          <w:tcPr>
            <w:tcW w:w="1211" w:type="dxa"/>
            <w:tcBorders>
              <w:top w:val="nil"/>
              <w:bottom w:val="nil"/>
            </w:tcBorders>
          </w:tcPr>
          <w:p>
            <w:pPr>
              <w:pStyle w:val="TableParagraph"/>
              <w:spacing w:before="17"/>
              <w:ind w:left="58"/>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7"/>
              <w:ind w:right="178"/>
              <w:jc w:val="right"/>
              <w:rPr>
                <w:rFonts w:ascii="Times New Roman"/>
                <w:sz w:val="18"/>
              </w:rPr>
            </w:pPr>
            <w:r>
              <w:rPr>
                <w:rFonts w:ascii="Times New Roman"/>
                <w:sz w:val="18"/>
              </w:rPr>
              <w:t>16,624</w:t>
            </w:r>
          </w:p>
        </w:tc>
      </w:tr>
      <w:tr>
        <w:trPr>
          <w:trHeight w:val="248" w:hRule="atLeast"/>
        </w:trPr>
        <w:tc>
          <w:tcPr>
            <w:tcW w:w="2640" w:type="dxa"/>
            <w:tcBorders>
              <w:top w:val="nil"/>
              <w:left w:val="nil"/>
              <w:bottom w:val="nil"/>
            </w:tcBorders>
          </w:tcPr>
          <w:p>
            <w:pPr>
              <w:pStyle w:val="TableParagraph"/>
              <w:spacing w:before="16"/>
              <w:ind w:left="27"/>
              <w:rPr>
                <w:rFonts w:ascii="Times New Roman"/>
                <w:sz w:val="18"/>
              </w:rPr>
            </w:pPr>
            <w:r>
              <w:rPr>
                <w:rFonts w:ascii="Times New Roman"/>
                <w:sz w:val="18"/>
              </w:rPr>
              <w:t>FIFC</w:t>
            </w:r>
          </w:p>
        </w:tc>
        <w:tc>
          <w:tcPr>
            <w:tcW w:w="1080" w:type="dxa"/>
            <w:tcBorders>
              <w:top w:val="nil"/>
              <w:bottom w:val="nil"/>
            </w:tcBorders>
          </w:tcPr>
          <w:p>
            <w:pPr>
              <w:pStyle w:val="TableParagraph"/>
              <w:spacing w:before="16"/>
              <w:ind w:left="90" w:right="89"/>
              <w:rPr>
                <w:rFonts w:ascii="Times New Roman"/>
                <w:sz w:val="18"/>
              </w:rPr>
            </w:pPr>
            <w:r>
              <w:rPr>
                <w:rFonts w:ascii="Times New Roman"/>
                <w:sz w:val="18"/>
              </w:rPr>
              <w:t>0.4</w:t>
            </w:r>
          </w:p>
        </w:tc>
        <w:tc>
          <w:tcPr>
            <w:tcW w:w="897" w:type="dxa"/>
            <w:tcBorders>
              <w:top w:val="nil"/>
              <w:bottom w:val="nil"/>
            </w:tcBorders>
          </w:tcPr>
          <w:p>
            <w:pPr>
              <w:pStyle w:val="TableParagraph"/>
              <w:spacing w:before="16"/>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6"/>
              <w:ind w:left="146" w:right="144"/>
              <w:rPr>
                <w:rFonts w:ascii="Times New Roman"/>
                <w:sz w:val="18"/>
              </w:rPr>
            </w:pPr>
            <w:r>
              <w:rPr>
                <w:rFonts w:ascii="Times New Roman"/>
                <w:sz w:val="18"/>
              </w:rPr>
              <w:t>0.4</w:t>
            </w:r>
          </w:p>
        </w:tc>
        <w:tc>
          <w:tcPr>
            <w:tcW w:w="897" w:type="dxa"/>
            <w:tcBorders>
              <w:top w:val="nil"/>
              <w:bottom w:val="nil"/>
            </w:tcBorders>
          </w:tcPr>
          <w:p>
            <w:pPr>
              <w:pStyle w:val="TableParagraph"/>
              <w:spacing w:before="16"/>
              <w:ind w:left="4"/>
              <w:rPr>
                <w:rFonts w:ascii="Times New Roman"/>
                <w:sz w:val="18"/>
              </w:rPr>
            </w:pPr>
            <w:r>
              <w:rPr>
                <w:rFonts w:ascii="Times New Roman"/>
                <w:sz w:val="18"/>
              </w:rPr>
              <w:t>12.03%</w:t>
            </w:r>
          </w:p>
        </w:tc>
        <w:tc>
          <w:tcPr>
            <w:tcW w:w="741" w:type="dxa"/>
            <w:tcBorders>
              <w:top w:val="nil"/>
              <w:bottom w:val="nil"/>
            </w:tcBorders>
          </w:tcPr>
          <w:p>
            <w:pPr>
              <w:pStyle w:val="TableParagraph"/>
              <w:spacing w:before="16"/>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6"/>
              <w:ind w:left="387" w:right="377"/>
              <w:rPr>
                <w:rFonts w:ascii="Times New Roman"/>
                <w:sz w:val="18"/>
              </w:rPr>
            </w:pPr>
            <w:r>
              <w:rPr>
                <w:rFonts w:ascii="Times New Roman"/>
                <w:sz w:val="18"/>
              </w:rPr>
              <w:t>7.75%</w:t>
            </w:r>
          </w:p>
        </w:tc>
        <w:tc>
          <w:tcPr>
            <w:tcW w:w="1132" w:type="dxa"/>
            <w:tcBorders>
              <w:top w:val="nil"/>
              <w:bottom w:val="nil"/>
            </w:tcBorders>
          </w:tcPr>
          <w:p>
            <w:pPr>
              <w:pStyle w:val="TableParagraph"/>
              <w:spacing w:before="16"/>
              <w:ind w:left="110" w:right="99"/>
              <w:rPr>
                <w:rFonts w:ascii="Times New Roman"/>
                <w:sz w:val="18"/>
              </w:rPr>
            </w:pPr>
            <w:r>
              <w:rPr>
                <w:rFonts w:ascii="Times New Roman"/>
                <w:sz w:val="18"/>
              </w:rPr>
              <w:t>285</w:t>
            </w:r>
          </w:p>
        </w:tc>
        <w:tc>
          <w:tcPr>
            <w:tcW w:w="1135" w:type="dxa"/>
            <w:tcBorders>
              <w:top w:val="nil"/>
              <w:bottom w:val="nil"/>
            </w:tcBorders>
          </w:tcPr>
          <w:p>
            <w:pPr>
              <w:pStyle w:val="TableParagraph"/>
              <w:spacing w:before="16"/>
              <w:ind w:left="119" w:right="109"/>
              <w:rPr>
                <w:rFonts w:ascii="Times New Roman"/>
                <w:sz w:val="18"/>
              </w:rPr>
            </w:pPr>
            <w:r>
              <w:rPr>
                <w:rFonts w:ascii="Times New Roman"/>
                <w:sz w:val="18"/>
              </w:rPr>
              <w:t>13,911</w:t>
            </w:r>
          </w:p>
        </w:tc>
        <w:tc>
          <w:tcPr>
            <w:tcW w:w="1211" w:type="dxa"/>
            <w:tcBorders>
              <w:top w:val="nil"/>
              <w:bottom w:val="nil"/>
            </w:tcBorders>
          </w:tcPr>
          <w:p>
            <w:pPr>
              <w:pStyle w:val="TableParagraph"/>
              <w:spacing w:before="16"/>
              <w:ind w:left="58"/>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6"/>
              <w:ind w:right="178"/>
              <w:jc w:val="right"/>
              <w:rPr>
                <w:rFonts w:ascii="Times New Roman"/>
                <w:sz w:val="18"/>
              </w:rPr>
            </w:pPr>
            <w:r>
              <w:rPr>
                <w:rFonts w:ascii="Times New Roman"/>
                <w:sz w:val="18"/>
              </w:rPr>
              <w:t>13,911</w:t>
            </w:r>
          </w:p>
        </w:tc>
      </w:tr>
      <w:tr>
        <w:trPr>
          <w:trHeight w:val="248" w:hRule="atLeast"/>
        </w:trPr>
        <w:tc>
          <w:tcPr>
            <w:tcW w:w="2640" w:type="dxa"/>
            <w:tcBorders>
              <w:top w:val="nil"/>
              <w:left w:val="nil"/>
              <w:bottom w:val="nil"/>
            </w:tcBorders>
          </w:tcPr>
          <w:p>
            <w:pPr>
              <w:pStyle w:val="TableParagraph"/>
              <w:spacing w:before="17"/>
              <w:ind w:left="25"/>
              <w:rPr>
                <w:rFonts w:ascii="Times New Roman"/>
                <w:sz w:val="18"/>
              </w:rPr>
            </w:pPr>
            <w:r>
              <w:rPr>
                <w:rFonts w:ascii="Times New Roman"/>
                <w:sz w:val="18"/>
              </w:rPr>
              <w:t>Embassy TechZone</w:t>
            </w:r>
          </w:p>
        </w:tc>
        <w:tc>
          <w:tcPr>
            <w:tcW w:w="1080" w:type="dxa"/>
            <w:tcBorders>
              <w:top w:val="nil"/>
              <w:bottom w:val="nil"/>
            </w:tcBorders>
          </w:tcPr>
          <w:p>
            <w:pPr>
              <w:pStyle w:val="TableParagraph"/>
              <w:spacing w:before="17"/>
              <w:ind w:left="90" w:right="89"/>
              <w:rPr>
                <w:rFonts w:ascii="Times New Roman"/>
                <w:sz w:val="18"/>
              </w:rPr>
            </w:pPr>
            <w:r>
              <w:rPr>
                <w:rFonts w:ascii="Times New Roman"/>
                <w:sz w:val="18"/>
              </w:rPr>
              <w:t>2.2</w:t>
            </w:r>
          </w:p>
        </w:tc>
        <w:tc>
          <w:tcPr>
            <w:tcW w:w="897" w:type="dxa"/>
            <w:tcBorders>
              <w:top w:val="nil"/>
              <w:bottom w:val="nil"/>
            </w:tcBorders>
          </w:tcPr>
          <w:p>
            <w:pPr>
              <w:pStyle w:val="TableParagraph"/>
              <w:spacing w:before="17"/>
              <w:ind w:left="3"/>
              <w:rPr>
                <w:rFonts w:ascii="Times New Roman"/>
                <w:sz w:val="18"/>
              </w:rPr>
            </w:pPr>
            <w:r>
              <w:rPr>
                <w:rFonts w:ascii="Times New Roman"/>
                <w:sz w:val="18"/>
              </w:rPr>
              <w:t>3.3</w:t>
            </w:r>
          </w:p>
        </w:tc>
        <w:tc>
          <w:tcPr>
            <w:tcW w:w="1139" w:type="dxa"/>
            <w:tcBorders>
              <w:top w:val="nil"/>
              <w:bottom w:val="nil"/>
            </w:tcBorders>
          </w:tcPr>
          <w:p>
            <w:pPr>
              <w:pStyle w:val="TableParagraph"/>
              <w:spacing w:before="17"/>
              <w:ind w:left="146" w:right="144"/>
              <w:rPr>
                <w:rFonts w:ascii="Times New Roman"/>
                <w:sz w:val="18"/>
              </w:rPr>
            </w:pPr>
            <w:r>
              <w:rPr>
                <w:rFonts w:ascii="Times New Roman"/>
                <w:sz w:val="18"/>
              </w:rPr>
              <w:t>5.5</w:t>
            </w:r>
          </w:p>
        </w:tc>
        <w:tc>
          <w:tcPr>
            <w:tcW w:w="897" w:type="dxa"/>
            <w:tcBorders>
              <w:top w:val="nil"/>
              <w:bottom w:val="nil"/>
            </w:tcBorders>
          </w:tcPr>
          <w:p>
            <w:pPr>
              <w:pStyle w:val="TableParagraph"/>
              <w:spacing w:before="17"/>
              <w:ind w:left="4"/>
              <w:rPr>
                <w:rFonts w:ascii="Times New Roman"/>
                <w:sz w:val="18"/>
              </w:rPr>
            </w:pPr>
            <w:r>
              <w:rPr>
                <w:rFonts w:ascii="Times New Roman"/>
                <w:sz w:val="18"/>
              </w:rPr>
              <w:t>12.03%</w:t>
            </w:r>
          </w:p>
        </w:tc>
        <w:tc>
          <w:tcPr>
            <w:tcW w:w="741" w:type="dxa"/>
            <w:tcBorders>
              <w:top w:val="nil"/>
              <w:bottom w:val="nil"/>
            </w:tcBorders>
          </w:tcPr>
          <w:p>
            <w:pPr>
              <w:pStyle w:val="TableParagraph"/>
              <w:spacing w:before="17"/>
              <w:ind w:left="66" w:right="59"/>
              <w:rPr>
                <w:rFonts w:ascii="Times New Roman"/>
                <w:sz w:val="18"/>
              </w:rPr>
            </w:pPr>
            <w:r>
              <w:rPr>
                <w:rFonts w:ascii="Times New Roman"/>
                <w:sz w:val="18"/>
              </w:rPr>
              <w:t>13.00%</w:t>
            </w:r>
          </w:p>
        </w:tc>
        <w:tc>
          <w:tcPr>
            <w:tcW w:w="1290" w:type="dxa"/>
            <w:tcBorders>
              <w:top w:val="nil"/>
              <w:bottom w:val="nil"/>
            </w:tcBorders>
          </w:tcPr>
          <w:p>
            <w:pPr>
              <w:pStyle w:val="TableParagraph"/>
              <w:spacing w:before="17"/>
              <w:ind w:left="387" w:right="377"/>
              <w:rPr>
                <w:rFonts w:ascii="Times New Roman"/>
                <w:sz w:val="18"/>
              </w:rPr>
            </w:pPr>
            <w:r>
              <w:rPr>
                <w:rFonts w:ascii="Times New Roman"/>
                <w:sz w:val="18"/>
              </w:rPr>
              <w:t>8.25%</w:t>
            </w:r>
          </w:p>
        </w:tc>
        <w:tc>
          <w:tcPr>
            <w:tcW w:w="1132" w:type="dxa"/>
            <w:tcBorders>
              <w:top w:val="nil"/>
              <w:bottom w:val="nil"/>
            </w:tcBorders>
          </w:tcPr>
          <w:p>
            <w:pPr>
              <w:pStyle w:val="TableParagraph"/>
              <w:spacing w:before="17"/>
              <w:ind w:left="110" w:right="99"/>
              <w:rPr>
                <w:rFonts w:ascii="Times New Roman"/>
                <w:sz w:val="18"/>
              </w:rPr>
            </w:pPr>
            <w:r>
              <w:rPr>
                <w:rFonts w:ascii="Times New Roman"/>
                <w:sz w:val="18"/>
              </w:rPr>
              <w:t>48</w:t>
            </w:r>
          </w:p>
        </w:tc>
        <w:tc>
          <w:tcPr>
            <w:tcW w:w="1135" w:type="dxa"/>
            <w:tcBorders>
              <w:top w:val="nil"/>
              <w:bottom w:val="nil"/>
            </w:tcBorders>
          </w:tcPr>
          <w:p>
            <w:pPr>
              <w:pStyle w:val="TableParagraph"/>
              <w:spacing w:before="17"/>
              <w:ind w:left="119" w:right="109"/>
              <w:rPr>
                <w:rFonts w:ascii="Times New Roman"/>
                <w:sz w:val="18"/>
              </w:rPr>
            </w:pPr>
            <w:r>
              <w:rPr>
                <w:rFonts w:ascii="Times New Roman"/>
                <w:sz w:val="18"/>
              </w:rPr>
              <w:t>14,929</w:t>
            </w:r>
          </w:p>
        </w:tc>
        <w:tc>
          <w:tcPr>
            <w:tcW w:w="1211" w:type="dxa"/>
            <w:tcBorders>
              <w:top w:val="nil"/>
              <w:bottom w:val="nil"/>
            </w:tcBorders>
          </w:tcPr>
          <w:p>
            <w:pPr>
              <w:pStyle w:val="TableParagraph"/>
              <w:spacing w:before="17"/>
              <w:ind w:left="397"/>
              <w:jc w:val="left"/>
              <w:rPr>
                <w:rFonts w:ascii="Times New Roman"/>
                <w:sz w:val="18"/>
              </w:rPr>
            </w:pPr>
            <w:r>
              <w:rPr>
                <w:rFonts w:ascii="Times New Roman"/>
                <w:sz w:val="18"/>
              </w:rPr>
              <w:t>6,103</w:t>
            </w:r>
          </w:p>
        </w:tc>
        <w:tc>
          <w:tcPr>
            <w:tcW w:w="849" w:type="dxa"/>
            <w:tcBorders>
              <w:top w:val="nil"/>
              <w:bottom w:val="nil"/>
              <w:right w:val="nil"/>
            </w:tcBorders>
          </w:tcPr>
          <w:p>
            <w:pPr>
              <w:pStyle w:val="TableParagraph"/>
              <w:spacing w:before="17"/>
              <w:ind w:right="178"/>
              <w:jc w:val="right"/>
              <w:rPr>
                <w:rFonts w:ascii="Times New Roman"/>
                <w:sz w:val="18"/>
              </w:rPr>
            </w:pPr>
            <w:r>
              <w:rPr>
                <w:rFonts w:ascii="Times New Roman"/>
                <w:sz w:val="18"/>
              </w:rPr>
              <w:t>21,032</w:t>
            </w:r>
          </w:p>
        </w:tc>
      </w:tr>
      <w:tr>
        <w:trPr>
          <w:trHeight w:val="248" w:hRule="atLeast"/>
        </w:trPr>
        <w:tc>
          <w:tcPr>
            <w:tcW w:w="2640" w:type="dxa"/>
            <w:tcBorders>
              <w:top w:val="nil"/>
              <w:left w:val="nil"/>
              <w:bottom w:val="nil"/>
            </w:tcBorders>
          </w:tcPr>
          <w:p>
            <w:pPr>
              <w:pStyle w:val="TableParagraph"/>
              <w:spacing w:before="16"/>
              <w:ind w:left="25"/>
              <w:rPr>
                <w:rFonts w:ascii="Times New Roman"/>
                <w:sz w:val="18"/>
              </w:rPr>
            </w:pPr>
            <w:r>
              <w:rPr>
                <w:rFonts w:ascii="Times New Roman"/>
                <w:sz w:val="18"/>
              </w:rPr>
              <w:t>Embassy Quadron</w:t>
            </w:r>
          </w:p>
        </w:tc>
        <w:tc>
          <w:tcPr>
            <w:tcW w:w="1080" w:type="dxa"/>
            <w:tcBorders>
              <w:top w:val="nil"/>
              <w:bottom w:val="nil"/>
            </w:tcBorders>
          </w:tcPr>
          <w:p>
            <w:pPr>
              <w:pStyle w:val="TableParagraph"/>
              <w:spacing w:before="16"/>
              <w:ind w:left="90" w:right="89"/>
              <w:rPr>
                <w:rFonts w:ascii="Times New Roman"/>
                <w:sz w:val="18"/>
              </w:rPr>
            </w:pPr>
            <w:r>
              <w:rPr>
                <w:rFonts w:ascii="Times New Roman"/>
                <w:sz w:val="18"/>
              </w:rPr>
              <w:t>1.9</w:t>
            </w:r>
          </w:p>
        </w:tc>
        <w:tc>
          <w:tcPr>
            <w:tcW w:w="897" w:type="dxa"/>
            <w:tcBorders>
              <w:top w:val="nil"/>
              <w:bottom w:val="nil"/>
            </w:tcBorders>
          </w:tcPr>
          <w:p>
            <w:pPr>
              <w:pStyle w:val="TableParagraph"/>
              <w:spacing w:before="16"/>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6"/>
              <w:ind w:left="146" w:right="144"/>
              <w:rPr>
                <w:rFonts w:ascii="Times New Roman"/>
                <w:sz w:val="18"/>
              </w:rPr>
            </w:pPr>
            <w:r>
              <w:rPr>
                <w:rFonts w:ascii="Times New Roman"/>
                <w:sz w:val="18"/>
              </w:rPr>
              <w:t>1.9</w:t>
            </w:r>
          </w:p>
        </w:tc>
        <w:tc>
          <w:tcPr>
            <w:tcW w:w="897" w:type="dxa"/>
            <w:tcBorders>
              <w:top w:val="nil"/>
              <w:bottom w:val="nil"/>
            </w:tcBorders>
          </w:tcPr>
          <w:p>
            <w:pPr>
              <w:pStyle w:val="TableParagraph"/>
              <w:spacing w:before="16"/>
              <w:ind w:left="4"/>
              <w:rPr>
                <w:rFonts w:ascii="Times New Roman"/>
                <w:sz w:val="18"/>
              </w:rPr>
            </w:pPr>
            <w:r>
              <w:rPr>
                <w:rFonts w:ascii="Times New Roman"/>
                <w:sz w:val="18"/>
              </w:rPr>
              <w:t>12.03%</w:t>
            </w:r>
          </w:p>
        </w:tc>
        <w:tc>
          <w:tcPr>
            <w:tcW w:w="741" w:type="dxa"/>
            <w:tcBorders>
              <w:top w:val="nil"/>
              <w:bottom w:val="nil"/>
            </w:tcBorders>
          </w:tcPr>
          <w:p>
            <w:pPr>
              <w:pStyle w:val="TableParagraph"/>
              <w:spacing w:before="16"/>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6"/>
              <w:ind w:left="387" w:right="377"/>
              <w:rPr>
                <w:rFonts w:ascii="Times New Roman"/>
                <w:sz w:val="18"/>
              </w:rPr>
            </w:pPr>
            <w:r>
              <w:rPr>
                <w:rFonts w:ascii="Times New Roman"/>
                <w:sz w:val="18"/>
              </w:rPr>
              <w:t>8.25%</w:t>
            </w:r>
          </w:p>
        </w:tc>
        <w:tc>
          <w:tcPr>
            <w:tcW w:w="1132" w:type="dxa"/>
            <w:tcBorders>
              <w:top w:val="nil"/>
              <w:bottom w:val="nil"/>
            </w:tcBorders>
          </w:tcPr>
          <w:p>
            <w:pPr>
              <w:pStyle w:val="TableParagraph"/>
              <w:spacing w:before="16"/>
              <w:ind w:left="110" w:right="99"/>
              <w:rPr>
                <w:rFonts w:ascii="Times New Roman"/>
                <w:sz w:val="18"/>
              </w:rPr>
            </w:pPr>
            <w:r>
              <w:rPr>
                <w:rFonts w:ascii="Times New Roman"/>
                <w:sz w:val="18"/>
              </w:rPr>
              <w:t>48</w:t>
            </w:r>
          </w:p>
        </w:tc>
        <w:tc>
          <w:tcPr>
            <w:tcW w:w="1135" w:type="dxa"/>
            <w:tcBorders>
              <w:top w:val="nil"/>
              <w:bottom w:val="nil"/>
            </w:tcBorders>
          </w:tcPr>
          <w:p>
            <w:pPr>
              <w:pStyle w:val="TableParagraph"/>
              <w:spacing w:before="16"/>
              <w:ind w:left="119" w:right="109"/>
              <w:rPr>
                <w:rFonts w:ascii="Times New Roman"/>
                <w:sz w:val="18"/>
              </w:rPr>
            </w:pPr>
            <w:r>
              <w:rPr>
                <w:rFonts w:ascii="Times New Roman"/>
                <w:sz w:val="18"/>
              </w:rPr>
              <w:t>13,838</w:t>
            </w:r>
          </w:p>
        </w:tc>
        <w:tc>
          <w:tcPr>
            <w:tcW w:w="1211" w:type="dxa"/>
            <w:tcBorders>
              <w:top w:val="nil"/>
              <w:bottom w:val="nil"/>
            </w:tcBorders>
          </w:tcPr>
          <w:p>
            <w:pPr>
              <w:pStyle w:val="TableParagraph"/>
              <w:spacing w:before="16"/>
              <w:ind w:left="58"/>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6"/>
              <w:ind w:right="178"/>
              <w:jc w:val="right"/>
              <w:rPr>
                <w:rFonts w:ascii="Times New Roman"/>
                <w:sz w:val="18"/>
              </w:rPr>
            </w:pPr>
            <w:r>
              <w:rPr>
                <w:rFonts w:ascii="Times New Roman"/>
                <w:sz w:val="18"/>
              </w:rPr>
              <w:t>13,838</w:t>
            </w:r>
          </w:p>
        </w:tc>
      </w:tr>
      <w:tr>
        <w:trPr>
          <w:trHeight w:val="248" w:hRule="atLeast"/>
        </w:trPr>
        <w:tc>
          <w:tcPr>
            <w:tcW w:w="2640" w:type="dxa"/>
            <w:tcBorders>
              <w:top w:val="nil"/>
              <w:left w:val="nil"/>
              <w:bottom w:val="nil"/>
            </w:tcBorders>
          </w:tcPr>
          <w:p>
            <w:pPr>
              <w:pStyle w:val="TableParagraph"/>
              <w:spacing w:before="17"/>
              <w:ind w:left="27"/>
              <w:rPr>
                <w:rFonts w:ascii="Times New Roman"/>
                <w:sz w:val="18"/>
              </w:rPr>
            </w:pPr>
            <w:r>
              <w:rPr>
                <w:rFonts w:ascii="Times New Roman"/>
                <w:sz w:val="18"/>
              </w:rPr>
              <w:t>Embassy Qubix</w:t>
            </w:r>
          </w:p>
        </w:tc>
        <w:tc>
          <w:tcPr>
            <w:tcW w:w="1080" w:type="dxa"/>
            <w:tcBorders>
              <w:top w:val="nil"/>
              <w:bottom w:val="nil"/>
            </w:tcBorders>
          </w:tcPr>
          <w:p>
            <w:pPr>
              <w:pStyle w:val="TableParagraph"/>
              <w:spacing w:before="17"/>
              <w:ind w:left="90" w:right="89"/>
              <w:rPr>
                <w:rFonts w:ascii="Times New Roman"/>
                <w:sz w:val="18"/>
              </w:rPr>
            </w:pPr>
            <w:r>
              <w:rPr>
                <w:rFonts w:ascii="Times New Roman"/>
                <w:sz w:val="18"/>
              </w:rPr>
              <w:t>1.5</w:t>
            </w:r>
          </w:p>
        </w:tc>
        <w:tc>
          <w:tcPr>
            <w:tcW w:w="897" w:type="dxa"/>
            <w:tcBorders>
              <w:top w:val="nil"/>
              <w:bottom w:val="nil"/>
            </w:tcBorders>
          </w:tcPr>
          <w:p>
            <w:pPr>
              <w:pStyle w:val="TableParagraph"/>
              <w:spacing w:before="17"/>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7"/>
              <w:ind w:left="146" w:right="144"/>
              <w:rPr>
                <w:rFonts w:ascii="Times New Roman"/>
                <w:sz w:val="18"/>
              </w:rPr>
            </w:pPr>
            <w:r>
              <w:rPr>
                <w:rFonts w:ascii="Times New Roman"/>
                <w:sz w:val="18"/>
              </w:rPr>
              <w:t>1.5</w:t>
            </w:r>
          </w:p>
        </w:tc>
        <w:tc>
          <w:tcPr>
            <w:tcW w:w="897" w:type="dxa"/>
            <w:tcBorders>
              <w:top w:val="nil"/>
              <w:bottom w:val="nil"/>
            </w:tcBorders>
          </w:tcPr>
          <w:p>
            <w:pPr>
              <w:pStyle w:val="TableParagraph"/>
              <w:spacing w:before="17"/>
              <w:ind w:left="4"/>
              <w:rPr>
                <w:rFonts w:ascii="Times New Roman"/>
                <w:sz w:val="18"/>
              </w:rPr>
            </w:pPr>
            <w:r>
              <w:rPr>
                <w:rFonts w:ascii="Times New Roman"/>
                <w:sz w:val="18"/>
              </w:rPr>
              <w:t>12.03%</w:t>
            </w:r>
          </w:p>
        </w:tc>
        <w:tc>
          <w:tcPr>
            <w:tcW w:w="741" w:type="dxa"/>
            <w:tcBorders>
              <w:top w:val="nil"/>
              <w:bottom w:val="nil"/>
            </w:tcBorders>
          </w:tcPr>
          <w:p>
            <w:pPr>
              <w:pStyle w:val="TableParagraph"/>
              <w:spacing w:before="17"/>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7"/>
              <w:ind w:left="387" w:right="377"/>
              <w:rPr>
                <w:rFonts w:ascii="Times New Roman"/>
                <w:sz w:val="18"/>
              </w:rPr>
            </w:pPr>
            <w:r>
              <w:rPr>
                <w:rFonts w:ascii="Times New Roman"/>
                <w:sz w:val="18"/>
              </w:rPr>
              <w:t>8.25%</w:t>
            </w:r>
          </w:p>
        </w:tc>
        <w:tc>
          <w:tcPr>
            <w:tcW w:w="1132" w:type="dxa"/>
            <w:tcBorders>
              <w:top w:val="nil"/>
              <w:bottom w:val="nil"/>
            </w:tcBorders>
          </w:tcPr>
          <w:p>
            <w:pPr>
              <w:pStyle w:val="TableParagraph"/>
              <w:spacing w:before="17"/>
              <w:ind w:left="110" w:right="99"/>
              <w:rPr>
                <w:rFonts w:ascii="Times New Roman"/>
                <w:sz w:val="18"/>
              </w:rPr>
            </w:pPr>
            <w:r>
              <w:rPr>
                <w:rFonts w:ascii="Times New Roman"/>
                <w:sz w:val="18"/>
              </w:rPr>
              <w:t>48</w:t>
            </w:r>
          </w:p>
        </w:tc>
        <w:tc>
          <w:tcPr>
            <w:tcW w:w="1135" w:type="dxa"/>
            <w:tcBorders>
              <w:top w:val="nil"/>
              <w:bottom w:val="nil"/>
            </w:tcBorders>
          </w:tcPr>
          <w:p>
            <w:pPr>
              <w:pStyle w:val="TableParagraph"/>
              <w:spacing w:before="17"/>
              <w:ind w:left="119" w:right="109"/>
              <w:rPr>
                <w:rFonts w:ascii="Times New Roman"/>
                <w:sz w:val="18"/>
              </w:rPr>
            </w:pPr>
            <w:r>
              <w:rPr>
                <w:rFonts w:ascii="Times New Roman"/>
                <w:sz w:val="18"/>
              </w:rPr>
              <w:t>10,085</w:t>
            </w:r>
          </w:p>
        </w:tc>
        <w:tc>
          <w:tcPr>
            <w:tcW w:w="1211" w:type="dxa"/>
            <w:tcBorders>
              <w:top w:val="nil"/>
              <w:bottom w:val="nil"/>
            </w:tcBorders>
          </w:tcPr>
          <w:p>
            <w:pPr>
              <w:pStyle w:val="TableParagraph"/>
              <w:spacing w:before="17"/>
              <w:ind w:left="58"/>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7"/>
              <w:ind w:right="178"/>
              <w:jc w:val="right"/>
              <w:rPr>
                <w:rFonts w:ascii="Times New Roman"/>
                <w:sz w:val="18"/>
              </w:rPr>
            </w:pPr>
            <w:r>
              <w:rPr>
                <w:rFonts w:ascii="Times New Roman"/>
                <w:sz w:val="18"/>
              </w:rPr>
              <w:t>10,085</w:t>
            </w:r>
          </w:p>
        </w:tc>
      </w:tr>
      <w:tr>
        <w:trPr>
          <w:trHeight w:val="248" w:hRule="atLeast"/>
        </w:trPr>
        <w:tc>
          <w:tcPr>
            <w:tcW w:w="2640" w:type="dxa"/>
            <w:tcBorders>
              <w:top w:val="nil"/>
              <w:left w:val="nil"/>
              <w:bottom w:val="nil"/>
            </w:tcBorders>
          </w:tcPr>
          <w:p>
            <w:pPr>
              <w:pStyle w:val="TableParagraph"/>
              <w:spacing w:before="16"/>
              <w:ind w:left="27"/>
              <w:rPr>
                <w:rFonts w:ascii="Times New Roman"/>
                <w:sz w:val="18"/>
              </w:rPr>
            </w:pPr>
            <w:r>
              <w:rPr>
                <w:rFonts w:ascii="Times New Roman"/>
                <w:sz w:val="18"/>
              </w:rPr>
              <w:t>Embassy Oxygen</w:t>
            </w:r>
          </w:p>
        </w:tc>
        <w:tc>
          <w:tcPr>
            <w:tcW w:w="1080" w:type="dxa"/>
            <w:tcBorders>
              <w:top w:val="nil"/>
              <w:bottom w:val="nil"/>
            </w:tcBorders>
          </w:tcPr>
          <w:p>
            <w:pPr>
              <w:pStyle w:val="TableParagraph"/>
              <w:spacing w:before="16"/>
              <w:ind w:left="90" w:right="89"/>
              <w:rPr>
                <w:rFonts w:ascii="Times New Roman"/>
                <w:sz w:val="18"/>
              </w:rPr>
            </w:pPr>
            <w:r>
              <w:rPr>
                <w:rFonts w:ascii="Times New Roman"/>
                <w:sz w:val="18"/>
              </w:rPr>
              <w:t>2.5</w:t>
            </w:r>
          </w:p>
        </w:tc>
        <w:tc>
          <w:tcPr>
            <w:tcW w:w="897" w:type="dxa"/>
            <w:tcBorders>
              <w:top w:val="nil"/>
              <w:bottom w:val="nil"/>
            </w:tcBorders>
          </w:tcPr>
          <w:p>
            <w:pPr>
              <w:pStyle w:val="TableParagraph"/>
              <w:spacing w:before="16"/>
              <w:ind w:left="3"/>
              <w:rPr>
                <w:rFonts w:ascii="Times New Roman"/>
                <w:sz w:val="18"/>
              </w:rPr>
            </w:pPr>
            <w:r>
              <w:rPr>
                <w:rFonts w:ascii="Times New Roman"/>
                <w:sz w:val="18"/>
              </w:rPr>
              <w:t>0.7</w:t>
            </w:r>
          </w:p>
        </w:tc>
        <w:tc>
          <w:tcPr>
            <w:tcW w:w="1139" w:type="dxa"/>
            <w:tcBorders>
              <w:top w:val="nil"/>
              <w:bottom w:val="nil"/>
            </w:tcBorders>
          </w:tcPr>
          <w:p>
            <w:pPr>
              <w:pStyle w:val="TableParagraph"/>
              <w:spacing w:before="16"/>
              <w:ind w:left="146" w:right="144"/>
              <w:rPr>
                <w:rFonts w:ascii="Times New Roman"/>
                <w:sz w:val="18"/>
              </w:rPr>
            </w:pPr>
            <w:r>
              <w:rPr>
                <w:rFonts w:ascii="Times New Roman"/>
                <w:sz w:val="18"/>
              </w:rPr>
              <w:t>3.3</w:t>
            </w:r>
          </w:p>
        </w:tc>
        <w:tc>
          <w:tcPr>
            <w:tcW w:w="897" w:type="dxa"/>
            <w:tcBorders>
              <w:top w:val="nil"/>
              <w:bottom w:val="nil"/>
            </w:tcBorders>
          </w:tcPr>
          <w:p>
            <w:pPr>
              <w:pStyle w:val="TableParagraph"/>
              <w:spacing w:before="16"/>
              <w:ind w:left="4"/>
              <w:rPr>
                <w:rFonts w:ascii="Times New Roman"/>
                <w:sz w:val="18"/>
              </w:rPr>
            </w:pPr>
            <w:r>
              <w:rPr>
                <w:rFonts w:ascii="Times New Roman"/>
                <w:sz w:val="18"/>
              </w:rPr>
              <w:t>12.03%</w:t>
            </w:r>
          </w:p>
        </w:tc>
        <w:tc>
          <w:tcPr>
            <w:tcW w:w="741" w:type="dxa"/>
            <w:tcBorders>
              <w:top w:val="nil"/>
              <w:bottom w:val="nil"/>
            </w:tcBorders>
          </w:tcPr>
          <w:p>
            <w:pPr>
              <w:pStyle w:val="TableParagraph"/>
              <w:spacing w:before="16"/>
              <w:ind w:left="66" w:right="59"/>
              <w:rPr>
                <w:rFonts w:ascii="Times New Roman"/>
                <w:sz w:val="18"/>
              </w:rPr>
            </w:pPr>
            <w:r>
              <w:rPr>
                <w:rFonts w:ascii="Times New Roman"/>
                <w:sz w:val="18"/>
              </w:rPr>
              <w:t>13.00%</w:t>
            </w:r>
          </w:p>
        </w:tc>
        <w:tc>
          <w:tcPr>
            <w:tcW w:w="1290" w:type="dxa"/>
            <w:tcBorders>
              <w:top w:val="nil"/>
              <w:bottom w:val="nil"/>
            </w:tcBorders>
          </w:tcPr>
          <w:p>
            <w:pPr>
              <w:pStyle w:val="TableParagraph"/>
              <w:spacing w:before="16"/>
              <w:ind w:left="387" w:right="377"/>
              <w:rPr>
                <w:rFonts w:ascii="Times New Roman"/>
                <w:sz w:val="18"/>
              </w:rPr>
            </w:pPr>
            <w:r>
              <w:rPr>
                <w:rFonts w:ascii="Times New Roman"/>
                <w:sz w:val="18"/>
              </w:rPr>
              <w:t>8.25%</w:t>
            </w:r>
          </w:p>
        </w:tc>
        <w:tc>
          <w:tcPr>
            <w:tcW w:w="1132" w:type="dxa"/>
            <w:tcBorders>
              <w:top w:val="nil"/>
              <w:bottom w:val="nil"/>
            </w:tcBorders>
          </w:tcPr>
          <w:p>
            <w:pPr>
              <w:pStyle w:val="TableParagraph"/>
              <w:spacing w:before="16"/>
              <w:ind w:left="110" w:right="99"/>
              <w:rPr>
                <w:rFonts w:ascii="Times New Roman"/>
                <w:sz w:val="18"/>
              </w:rPr>
            </w:pPr>
            <w:r>
              <w:rPr>
                <w:rFonts w:ascii="Times New Roman"/>
                <w:sz w:val="18"/>
              </w:rPr>
              <w:t>54</w:t>
            </w:r>
          </w:p>
        </w:tc>
        <w:tc>
          <w:tcPr>
            <w:tcW w:w="1135" w:type="dxa"/>
            <w:tcBorders>
              <w:top w:val="nil"/>
              <w:bottom w:val="nil"/>
            </w:tcBorders>
          </w:tcPr>
          <w:p>
            <w:pPr>
              <w:pStyle w:val="TableParagraph"/>
              <w:spacing w:before="16"/>
              <w:ind w:left="119" w:right="109"/>
              <w:rPr>
                <w:rFonts w:ascii="Times New Roman"/>
                <w:sz w:val="18"/>
              </w:rPr>
            </w:pPr>
            <w:r>
              <w:rPr>
                <w:rFonts w:ascii="Times New Roman"/>
                <w:color w:val="000004"/>
                <w:sz w:val="18"/>
              </w:rPr>
              <w:t>19,492</w:t>
            </w:r>
          </w:p>
        </w:tc>
        <w:tc>
          <w:tcPr>
            <w:tcW w:w="1211" w:type="dxa"/>
            <w:tcBorders>
              <w:top w:val="nil"/>
              <w:bottom w:val="nil"/>
            </w:tcBorders>
          </w:tcPr>
          <w:p>
            <w:pPr>
              <w:pStyle w:val="TableParagraph"/>
              <w:spacing w:before="16"/>
              <w:ind w:left="397"/>
              <w:jc w:val="left"/>
              <w:rPr>
                <w:rFonts w:ascii="Times New Roman"/>
                <w:sz w:val="18"/>
              </w:rPr>
            </w:pPr>
            <w:r>
              <w:rPr>
                <w:rFonts w:ascii="Times New Roman"/>
                <w:color w:val="000004"/>
                <w:sz w:val="18"/>
              </w:rPr>
              <w:t>1,924</w:t>
            </w:r>
          </w:p>
        </w:tc>
        <w:tc>
          <w:tcPr>
            <w:tcW w:w="849" w:type="dxa"/>
            <w:tcBorders>
              <w:top w:val="nil"/>
              <w:bottom w:val="nil"/>
              <w:right w:val="nil"/>
            </w:tcBorders>
          </w:tcPr>
          <w:p>
            <w:pPr>
              <w:pStyle w:val="TableParagraph"/>
              <w:spacing w:before="16"/>
              <w:ind w:right="178"/>
              <w:jc w:val="right"/>
              <w:rPr>
                <w:rFonts w:ascii="Times New Roman"/>
                <w:sz w:val="18"/>
              </w:rPr>
            </w:pPr>
            <w:r>
              <w:rPr>
                <w:rFonts w:ascii="Times New Roman"/>
                <w:sz w:val="18"/>
              </w:rPr>
              <w:t>21,416</w:t>
            </w:r>
          </w:p>
        </w:tc>
      </w:tr>
      <w:tr>
        <w:trPr>
          <w:trHeight w:val="248" w:hRule="atLeast"/>
        </w:trPr>
        <w:tc>
          <w:tcPr>
            <w:tcW w:w="2640" w:type="dxa"/>
            <w:tcBorders>
              <w:top w:val="nil"/>
              <w:left w:val="nil"/>
              <w:bottom w:val="nil"/>
            </w:tcBorders>
          </w:tcPr>
          <w:p>
            <w:pPr>
              <w:pStyle w:val="TableParagraph"/>
              <w:spacing w:before="17"/>
              <w:ind w:left="23"/>
              <w:rPr>
                <w:rFonts w:ascii="Times New Roman"/>
                <w:sz w:val="18"/>
              </w:rPr>
            </w:pPr>
            <w:r>
              <w:rPr>
                <w:rFonts w:ascii="Times New Roman"/>
                <w:sz w:val="18"/>
              </w:rPr>
              <w:t>Embassy Galaxy</w:t>
            </w:r>
          </w:p>
        </w:tc>
        <w:tc>
          <w:tcPr>
            <w:tcW w:w="1080" w:type="dxa"/>
            <w:tcBorders>
              <w:top w:val="nil"/>
              <w:bottom w:val="nil"/>
            </w:tcBorders>
          </w:tcPr>
          <w:p>
            <w:pPr>
              <w:pStyle w:val="TableParagraph"/>
              <w:spacing w:before="17"/>
              <w:ind w:left="90" w:right="89"/>
              <w:rPr>
                <w:rFonts w:ascii="Times New Roman"/>
                <w:sz w:val="18"/>
              </w:rPr>
            </w:pPr>
            <w:r>
              <w:rPr>
                <w:rFonts w:ascii="Times New Roman"/>
                <w:sz w:val="18"/>
              </w:rPr>
              <w:t>1.4</w:t>
            </w:r>
          </w:p>
        </w:tc>
        <w:tc>
          <w:tcPr>
            <w:tcW w:w="897" w:type="dxa"/>
            <w:tcBorders>
              <w:top w:val="nil"/>
              <w:bottom w:val="nil"/>
            </w:tcBorders>
          </w:tcPr>
          <w:p>
            <w:pPr>
              <w:pStyle w:val="TableParagraph"/>
              <w:spacing w:before="17"/>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7"/>
              <w:ind w:left="146" w:right="144"/>
              <w:rPr>
                <w:rFonts w:ascii="Times New Roman"/>
                <w:sz w:val="18"/>
              </w:rPr>
            </w:pPr>
            <w:r>
              <w:rPr>
                <w:rFonts w:ascii="Times New Roman"/>
                <w:sz w:val="18"/>
              </w:rPr>
              <w:t>1.4</w:t>
            </w:r>
          </w:p>
        </w:tc>
        <w:tc>
          <w:tcPr>
            <w:tcW w:w="897" w:type="dxa"/>
            <w:tcBorders>
              <w:top w:val="nil"/>
              <w:bottom w:val="nil"/>
            </w:tcBorders>
          </w:tcPr>
          <w:p>
            <w:pPr>
              <w:pStyle w:val="TableParagraph"/>
              <w:spacing w:before="17"/>
              <w:ind w:left="4"/>
              <w:rPr>
                <w:rFonts w:ascii="Times New Roman"/>
                <w:sz w:val="18"/>
              </w:rPr>
            </w:pPr>
            <w:r>
              <w:rPr>
                <w:rFonts w:ascii="Times New Roman"/>
                <w:sz w:val="18"/>
              </w:rPr>
              <w:t>12.03%</w:t>
            </w:r>
          </w:p>
        </w:tc>
        <w:tc>
          <w:tcPr>
            <w:tcW w:w="741" w:type="dxa"/>
            <w:tcBorders>
              <w:top w:val="nil"/>
              <w:bottom w:val="nil"/>
            </w:tcBorders>
          </w:tcPr>
          <w:p>
            <w:pPr>
              <w:pStyle w:val="TableParagraph"/>
              <w:spacing w:before="17"/>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7"/>
              <w:ind w:left="387" w:right="377"/>
              <w:rPr>
                <w:rFonts w:ascii="Times New Roman"/>
                <w:sz w:val="18"/>
              </w:rPr>
            </w:pPr>
            <w:r>
              <w:rPr>
                <w:rFonts w:ascii="Times New Roman"/>
                <w:sz w:val="18"/>
              </w:rPr>
              <w:t>8.25%</w:t>
            </w:r>
          </w:p>
        </w:tc>
        <w:tc>
          <w:tcPr>
            <w:tcW w:w="1132" w:type="dxa"/>
            <w:tcBorders>
              <w:top w:val="nil"/>
              <w:bottom w:val="nil"/>
            </w:tcBorders>
          </w:tcPr>
          <w:p>
            <w:pPr>
              <w:pStyle w:val="TableParagraph"/>
              <w:spacing w:before="17"/>
              <w:ind w:left="110" w:right="99"/>
              <w:rPr>
                <w:rFonts w:ascii="Times New Roman"/>
                <w:sz w:val="18"/>
              </w:rPr>
            </w:pPr>
            <w:r>
              <w:rPr>
                <w:rFonts w:ascii="Times New Roman"/>
                <w:sz w:val="18"/>
              </w:rPr>
              <w:t>45</w:t>
            </w:r>
          </w:p>
        </w:tc>
        <w:tc>
          <w:tcPr>
            <w:tcW w:w="1135" w:type="dxa"/>
            <w:tcBorders>
              <w:top w:val="nil"/>
              <w:bottom w:val="nil"/>
            </w:tcBorders>
          </w:tcPr>
          <w:p>
            <w:pPr>
              <w:pStyle w:val="TableParagraph"/>
              <w:spacing w:before="17"/>
              <w:ind w:left="122" w:right="109"/>
              <w:rPr>
                <w:rFonts w:ascii="Times New Roman"/>
                <w:sz w:val="18"/>
              </w:rPr>
            </w:pPr>
            <w:r>
              <w:rPr>
                <w:rFonts w:ascii="Times New Roman"/>
                <w:color w:val="000004"/>
                <w:sz w:val="18"/>
              </w:rPr>
              <w:t>8,696</w:t>
            </w:r>
          </w:p>
        </w:tc>
        <w:tc>
          <w:tcPr>
            <w:tcW w:w="1211" w:type="dxa"/>
            <w:tcBorders>
              <w:top w:val="nil"/>
              <w:bottom w:val="nil"/>
            </w:tcBorders>
          </w:tcPr>
          <w:p>
            <w:pPr>
              <w:pStyle w:val="TableParagraph"/>
              <w:spacing w:before="17"/>
              <w:ind w:left="58"/>
              <w:rPr>
                <w:rFonts w:ascii="Times New Roman"/>
                <w:sz w:val="18"/>
              </w:rPr>
            </w:pPr>
            <w:r>
              <w:rPr>
                <w:rFonts w:ascii="Times New Roman"/>
                <w:color w:val="000004"/>
                <w:w w:val="99"/>
                <w:sz w:val="18"/>
              </w:rPr>
              <w:t>-</w:t>
            </w:r>
          </w:p>
        </w:tc>
        <w:tc>
          <w:tcPr>
            <w:tcW w:w="849" w:type="dxa"/>
            <w:tcBorders>
              <w:top w:val="nil"/>
              <w:bottom w:val="nil"/>
              <w:right w:val="nil"/>
            </w:tcBorders>
          </w:tcPr>
          <w:p>
            <w:pPr>
              <w:pStyle w:val="TableParagraph"/>
              <w:spacing w:before="17"/>
              <w:ind w:left="209"/>
              <w:jc w:val="left"/>
              <w:rPr>
                <w:rFonts w:ascii="Times New Roman"/>
                <w:sz w:val="18"/>
              </w:rPr>
            </w:pPr>
            <w:r>
              <w:rPr>
                <w:rFonts w:ascii="Times New Roman"/>
                <w:sz w:val="18"/>
              </w:rPr>
              <w:t>8,696</w:t>
            </w:r>
          </w:p>
        </w:tc>
      </w:tr>
      <w:tr>
        <w:trPr>
          <w:trHeight w:val="258" w:hRule="atLeast"/>
        </w:trPr>
        <w:tc>
          <w:tcPr>
            <w:tcW w:w="2640" w:type="dxa"/>
            <w:tcBorders>
              <w:top w:val="nil"/>
              <w:left w:val="nil"/>
              <w:bottom w:val="nil"/>
            </w:tcBorders>
          </w:tcPr>
          <w:p>
            <w:pPr>
              <w:pStyle w:val="TableParagraph"/>
              <w:spacing w:before="16"/>
              <w:ind w:left="26"/>
              <w:rPr>
                <w:rFonts w:ascii="Times New Roman"/>
                <w:b/>
                <w:sz w:val="18"/>
              </w:rPr>
            </w:pPr>
            <w:r>
              <w:rPr>
                <w:rFonts w:ascii="Times New Roman"/>
                <w:b/>
                <w:sz w:val="18"/>
              </w:rPr>
              <w:t>Sub-Total (Commercial Offices)</w:t>
            </w:r>
          </w:p>
        </w:tc>
        <w:tc>
          <w:tcPr>
            <w:tcW w:w="1080" w:type="dxa"/>
            <w:tcBorders>
              <w:top w:val="nil"/>
              <w:bottom w:val="nil"/>
            </w:tcBorders>
          </w:tcPr>
          <w:p>
            <w:pPr>
              <w:pStyle w:val="TableParagraph"/>
              <w:spacing w:before="16"/>
              <w:ind w:left="89" w:right="89"/>
              <w:rPr>
                <w:rFonts w:ascii="Times New Roman"/>
                <w:b/>
                <w:sz w:val="18"/>
              </w:rPr>
            </w:pPr>
            <w:r>
              <w:rPr>
                <w:rFonts w:ascii="Times New Roman"/>
                <w:b/>
                <w:sz w:val="18"/>
              </w:rPr>
              <w:t>26.2</w:t>
            </w:r>
          </w:p>
        </w:tc>
        <w:tc>
          <w:tcPr>
            <w:tcW w:w="897" w:type="dxa"/>
            <w:tcBorders>
              <w:top w:val="nil"/>
              <w:bottom w:val="nil"/>
            </w:tcBorders>
          </w:tcPr>
          <w:p>
            <w:pPr>
              <w:pStyle w:val="TableParagraph"/>
              <w:spacing w:before="16"/>
              <w:ind w:left="3"/>
              <w:rPr>
                <w:rFonts w:ascii="Times New Roman"/>
                <w:b/>
                <w:sz w:val="18"/>
              </w:rPr>
            </w:pPr>
            <w:r>
              <w:rPr>
                <w:rFonts w:ascii="Times New Roman"/>
                <w:b/>
                <w:sz w:val="18"/>
              </w:rPr>
              <w:t>7.1</w:t>
            </w:r>
          </w:p>
        </w:tc>
        <w:tc>
          <w:tcPr>
            <w:tcW w:w="1139" w:type="dxa"/>
            <w:tcBorders>
              <w:top w:val="nil"/>
              <w:bottom w:val="nil"/>
            </w:tcBorders>
          </w:tcPr>
          <w:p>
            <w:pPr>
              <w:pStyle w:val="TableParagraph"/>
              <w:spacing w:before="16"/>
              <w:ind w:left="149" w:right="144"/>
              <w:rPr>
                <w:rFonts w:ascii="Times New Roman"/>
                <w:b/>
                <w:sz w:val="18"/>
              </w:rPr>
            </w:pPr>
            <w:r>
              <w:rPr>
                <w:rFonts w:ascii="Times New Roman"/>
                <w:b/>
                <w:sz w:val="18"/>
              </w:rPr>
              <w:t>33.3</w:t>
            </w:r>
          </w:p>
        </w:tc>
        <w:tc>
          <w:tcPr>
            <w:tcW w:w="897" w:type="dxa"/>
            <w:tcBorders>
              <w:top w:val="nil"/>
              <w:bottom w:val="nil"/>
            </w:tcBorders>
          </w:tcPr>
          <w:p>
            <w:pPr>
              <w:pStyle w:val="TableParagraph"/>
              <w:jc w:val="left"/>
              <w:rPr>
                <w:rFonts w:ascii="Times New Roman"/>
                <w:sz w:val="18"/>
              </w:rPr>
            </w:pPr>
          </w:p>
        </w:tc>
        <w:tc>
          <w:tcPr>
            <w:tcW w:w="741" w:type="dxa"/>
            <w:tcBorders>
              <w:top w:val="nil"/>
              <w:bottom w:val="nil"/>
            </w:tcBorders>
          </w:tcPr>
          <w:p>
            <w:pPr>
              <w:pStyle w:val="TableParagraph"/>
              <w:jc w:val="left"/>
              <w:rPr>
                <w:rFonts w:ascii="Times New Roman"/>
                <w:sz w:val="18"/>
              </w:rPr>
            </w:pPr>
          </w:p>
        </w:tc>
        <w:tc>
          <w:tcPr>
            <w:tcW w:w="1290" w:type="dxa"/>
            <w:tcBorders>
              <w:top w:val="nil"/>
              <w:bottom w:val="nil"/>
            </w:tcBorders>
          </w:tcPr>
          <w:p>
            <w:pPr>
              <w:pStyle w:val="TableParagraph"/>
              <w:jc w:val="left"/>
              <w:rPr>
                <w:rFonts w:ascii="Times New Roman"/>
                <w:sz w:val="18"/>
              </w:rPr>
            </w:pPr>
          </w:p>
        </w:tc>
        <w:tc>
          <w:tcPr>
            <w:tcW w:w="1132" w:type="dxa"/>
            <w:tcBorders>
              <w:top w:val="nil"/>
              <w:bottom w:val="nil"/>
            </w:tcBorders>
          </w:tcPr>
          <w:p>
            <w:pPr>
              <w:pStyle w:val="TableParagraph"/>
              <w:jc w:val="left"/>
              <w:rPr>
                <w:rFonts w:ascii="Times New Roman"/>
                <w:sz w:val="18"/>
              </w:rPr>
            </w:pPr>
          </w:p>
        </w:tc>
        <w:tc>
          <w:tcPr>
            <w:tcW w:w="1135" w:type="dxa"/>
            <w:tcBorders>
              <w:top w:val="nil"/>
              <w:bottom w:val="nil"/>
            </w:tcBorders>
          </w:tcPr>
          <w:p>
            <w:pPr>
              <w:pStyle w:val="TableParagraph"/>
              <w:spacing w:before="16"/>
              <w:ind w:left="124" w:right="109"/>
              <w:rPr>
                <w:rFonts w:ascii="Times New Roman"/>
                <w:b/>
                <w:sz w:val="18"/>
              </w:rPr>
            </w:pPr>
            <w:r>
              <w:rPr>
                <w:rFonts w:ascii="Times New Roman"/>
                <w:b/>
                <w:sz w:val="18"/>
              </w:rPr>
              <w:t>277,304</w:t>
            </w:r>
          </w:p>
        </w:tc>
        <w:tc>
          <w:tcPr>
            <w:tcW w:w="1211" w:type="dxa"/>
            <w:tcBorders>
              <w:top w:val="nil"/>
              <w:bottom w:val="nil"/>
            </w:tcBorders>
          </w:tcPr>
          <w:p>
            <w:pPr>
              <w:pStyle w:val="TableParagraph"/>
              <w:spacing w:before="16"/>
              <w:ind w:left="354"/>
              <w:jc w:val="left"/>
              <w:rPr>
                <w:rFonts w:ascii="Times New Roman"/>
                <w:b/>
                <w:sz w:val="18"/>
              </w:rPr>
            </w:pPr>
            <w:r>
              <w:rPr>
                <w:rFonts w:ascii="Times New Roman"/>
                <w:b/>
                <w:sz w:val="18"/>
              </w:rPr>
              <w:t>28,181</w:t>
            </w:r>
          </w:p>
        </w:tc>
        <w:tc>
          <w:tcPr>
            <w:tcW w:w="849" w:type="dxa"/>
            <w:tcBorders>
              <w:top w:val="nil"/>
              <w:bottom w:val="nil"/>
              <w:right w:val="nil"/>
            </w:tcBorders>
          </w:tcPr>
          <w:p>
            <w:pPr>
              <w:pStyle w:val="TableParagraph"/>
              <w:spacing w:before="16"/>
              <w:ind w:right="130"/>
              <w:jc w:val="right"/>
              <w:rPr>
                <w:rFonts w:ascii="Times New Roman"/>
                <w:b/>
                <w:sz w:val="18"/>
              </w:rPr>
            </w:pPr>
            <w:r>
              <w:rPr>
                <w:rFonts w:ascii="Times New Roman"/>
                <w:b/>
                <w:sz w:val="18"/>
              </w:rPr>
              <w:t>305,485</w:t>
            </w:r>
          </w:p>
        </w:tc>
      </w:tr>
      <w:tr>
        <w:trPr>
          <w:trHeight w:val="230" w:hRule="atLeast"/>
        </w:trPr>
        <w:tc>
          <w:tcPr>
            <w:tcW w:w="2640" w:type="dxa"/>
            <w:tcBorders>
              <w:top w:val="nil"/>
              <w:left w:val="nil"/>
              <w:bottom w:val="nil"/>
            </w:tcBorders>
            <w:shd w:val="clear" w:color="auto" w:fill="5FFF00"/>
          </w:tcPr>
          <w:p>
            <w:pPr>
              <w:pStyle w:val="TableParagraph"/>
              <w:spacing w:line="203" w:lineRule="exact" w:before="7"/>
              <w:ind w:left="24"/>
              <w:rPr>
                <w:rFonts w:ascii="Times New Roman"/>
                <w:b/>
                <w:sz w:val="18"/>
              </w:rPr>
            </w:pPr>
            <w:r>
              <w:rPr>
                <w:rFonts w:ascii="Times New Roman"/>
                <w:b/>
                <w:sz w:val="18"/>
                <w:u w:val="single"/>
              </w:rPr>
              <w:t>Hospitality Asset</w:t>
            </w:r>
          </w:p>
        </w:tc>
        <w:tc>
          <w:tcPr>
            <w:tcW w:w="1080" w:type="dxa"/>
            <w:tcBorders>
              <w:top w:val="nil"/>
              <w:bottom w:val="nil"/>
            </w:tcBorders>
            <w:shd w:val="clear" w:color="auto" w:fill="5FFF00"/>
          </w:tcPr>
          <w:p>
            <w:pPr>
              <w:pStyle w:val="TableParagraph"/>
              <w:jc w:val="left"/>
              <w:rPr>
                <w:rFonts w:ascii="Times New Roman"/>
                <w:sz w:val="16"/>
              </w:rPr>
            </w:pPr>
          </w:p>
        </w:tc>
        <w:tc>
          <w:tcPr>
            <w:tcW w:w="897" w:type="dxa"/>
            <w:tcBorders>
              <w:top w:val="nil"/>
              <w:bottom w:val="nil"/>
            </w:tcBorders>
            <w:shd w:val="clear" w:color="auto" w:fill="5FFF00"/>
          </w:tcPr>
          <w:p>
            <w:pPr>
              <w:pStyle w:val="TableParagraph"/>
              <w:jc w:val="left"/>
              <w:rPr>
                <w:rFonts w:ascii="Times New Roman"/>
                <w:sz w:val="16"/>
              </w:rPr>
            </w:pPr>
          </w:p>
        </w:tc>
        <w:tc>
          <w:tcPr>
            <w:tcW w:w="1139" w:type="dxa"/>
            <w:tcBorders>
              <w:top w:val="nil"/>
              <w:bottom w:val="nil"/>
            </w:tcBorders>
            <w:shd w:val="clear" w:color="auto" w:fill="5FFF00"/>
          </w:tcPr>
          <w:p>
            <w:pPr>
              <w:pStyle w:val="TableParagraph"/>
              <w:jc w:val="left"/>
              <w:rPr>
                <w:rFonts w:ascii="Times New Roman"/>
                <w:sz w:val="16"/>
              </w:rPr>
            </w:pPr>
          </w:p>
        </w:tc>
        <w:tc>
          <w:tcPr>
            <w:tcW w:w="897" w:type="dxa"/>
            <w:tcBorders>
              <w:top w:val="nil"/>
              <w:bottom w:val="nil"/>
            </w:tcBorders>
            <w:shd w:val="clear" w:color="auto" w:fill="5FFF00"/>
          </w:tcPr>
          <w:p>
            <w:pPr>
              <w:pStyle w:val="TableParagraph"/>
              <w:jc w:val="left"/>
              <w:rPr>
                <w:rFonts w:ascii="Times New Roman"/>
                <w:sz w:val="16"/>
              </w:rPr>
            </w:pPr>
          </w:p>
        </w:tc>
        <w:tc>
          <w:tcPr>
            <w:tcW w:w="741" w:type="dxa"/>
            <w:tcBorders>
              <w:top w:val="nil"/>
              <w:bottom w:val="nil"/>
            </w:tcBorders>
            <w:shd w:val="clear" w:color="auto" w:fill="5FFF00"/>
          </w:tcPr>
          <w:p>
            <w:pPr>
              <w:pStyle w:val="TableParagraph"/>
              <w:jc w:val="left"/>
              <w:rPr>
                <w:rFonts w:ascii="Times New Roman"/>
                <w:sz w:val="16"/>
              </w:rPr>
            </w:pPr>
          </w:p>
        </w:tc>
        <w:tc>
          <w:tcPr>
            <w:tcW w:w="1290" w:type="dxa"/>
            <w:tcBorders>
              <w:top w:val="nil"/>
              <w:bottom w:val="nil"/>
            </w:tcBorders>
            <w:shd w:val="clear" w:color="auto" w:fill="5FFF00"/>
          </w:tcPr>
          <w:p>
            <w:pPr>
              <w:pStyle w:val="TableParagraph"/>
              <w:jc w:val="left"/>
              <w:rPr>
                <w:rFonts w:ascii="Times New Roman"/>
                <w:sz w:val="16"/>
              </w:rPr>
            </w:pPr>
          </w:p>
        </w:tc>
        <w:tc>
          <w:tcPr>
            <w:tcW w:w="1132" w:type="dxa"/>
            <w:tcBorders>
              <w:top w:val="nil"/>
              <w:bottom w:val="nil"/>
            </w:tcBorders>
            <w:shd w:val="clear" w:color="auto" w:fill="5FFF00"/>
          </w:tcPr>
          <w:p>
            <w:pPr>
              <w:pStyle w:val="TableParagraph"/>
              <w:jc w:val="left"/>
              <w:rPr>
                <w:rFonts w:ascii="Times New Roman"/>
                <w:sz w:val="16"/>
              </w:rPr>
            </w:pPr>
          </w:p>
        </w:tc>
        <w:tc>
          <w:tcPr>
            <w:tcW w:w="1135" w:type="dxa"/>
            <w:tcBorders>
              <w:top w:val="nil"/>
              <w:bottom w:val="nil"/>
            </w:tcBorders>
            <w:shd w:val="clear" w:color="auto" w:fill="5FFF00"/>
          </w:tcPr>
          <w:p>
            <w:pPr>
              <w:pStyle w:val="TableParagraph"/>
              <w:jc w:val="left"/>
              <w:rPr>
                <w:rFonts w:ascii="Times New Roman"/>
                <w:sz w:val="16"/>
              </w:rPr>
            </w:pPr>
          </w:p>
        </w:tc>
        <w:tc>
          <w:tcPr>
            <w:tcW w:w="1211" w:type="dxa"/>
            <w:tcBorders>
              <w:top w:val="nil"/>
              <w:bottom w:val="nil"/>
            </w:tcBorders>
            <w:shd w:val="clear" w:color="auto" w:fill="5FFF00"/>
          </w:tcPr>
          <w:p>
            <w:pPr>
              <w:pStyle w:val="TableParagraph"/>
              <w:jc w:val="left"/>
              <w:rPr>
                <w:rFonts w:ascii="Times New Roman"/>
                <w:sz w:val="16"/>
              </w:rPr>
            </w:pPr>
          </w:p>
        </w:tc>
        <w:tc>
          <w:tcPr>
            <w:tcW w:w="849" w:type="dxa"/>
            <w:tcBorders>
              <w:top w:val="nil"/>
              <w:bottom w:val="nil"/>
              <w:right w:val="nil"/>
            </w:tcBorders>
            <w:shd w:val="clear" w:color="auto" w:fill="5FFF00"/>
          </w:tcPr>
          <w:p>
            <w:pPr>
              <w:pStyle w:val="TableParagraph"/>
              <w:jc w:val="left"/>
              <w:rPr>
                <w:rFonts w:ascii="Times New Roman"/>
                <w:sz w:val="16"/>
              </w:rPr>
            </w:pPr>
          </w:p>
        </w:tc>
      </w:tr>
      <w:tr>
        <w:trPr>
          <w:trHeight w:val="516" w:hRule="atLeast"/>
        </w:trPr>
        <w:tc>
          <w:tcPr>
            <w:tcW w:w="2640" w:type="dxa"/>
            <w:tcBorders>
              <w:top w:val="nil"/>
              <w:left w:val="nil"/>
              <w:bottom w:val="nil"/>
            </w:tcBorders>
          </w:tcPr>
          <w:p>
            <w:pPr>
              <w:pStyle w:val="TableParagraph"/>
              <w:spacing w:before="24"/>
              <w:ind w:left="271"/>
              <w:jc w:val="left"/>
              <w:rPr>
                <w:rFonts w:ascii="Times New Roman"/>
                <w:sz w:val="18"/>
              </w:rPr>
            </w:pPr>
            <w:r>
              <w:rPr>
                <w:rFonts w:ascii="Times New Roman"/>
                <w:sz w:val="18"/>
              </w:rPr>
              <w:t>Hilton at Embassy</w:t>
            </w:r>
            <w:r>
              <w:rPr>
                <w:rFonts w:ascii="Times New Roman"/>
                <w:spacing w:val="-3"/>
                <w:sz w:val="18"/>
              </w:rPr>
              <w:t> </w:t>
            </w:r>
            <w:r>
              <w:rPr>
                <w:rFonts w:ascii="Times New Roman"/>
                <w:sz w:val="18"/>
              </w:rPr>
              <w:t>GolfLinks</w:t>
            </w:r>
          </w:p>
          <w:p>
            <w:pPr>
              <w:pStyle w:val="TableParagraph"/>
              <w:spacing w:before="42"/>
              <w:ind w:left="237"/>
              <w:jc w:val="left"/>
              <w:rPr>
                <w:rFonts w:ascii="Times New Roman"/>
                <w:sz w:val="18"/>
              </w:rPr>
            </w:pPr>
            <w:r>
              <w:rPr>
                <w:rFonts w:ascii="Times New Roman"/>
                <w:sz w:val="18"/>
              </w:rPr>
              <w:t>Four Seasons at Embassy</w:t>
            </w:r>
            <w:r>
              <w:rPr>
                <w:rFonts w:ascii="Times New Roman"/>
                <w:spacing w:val="-6"/>
                <w:sz w:val="18"/>
              </w:rPr>
              <w:t> </w:t>
            </w:r>
            <w:r>
              <w:rPr>
                <w:rFonts w:ascii="Times New Roman"/>
                <w:sz w:val="18"/>
              </w:rPr>
              <w:t>One</w:t>
            </w:r>
          </w:p>
        </w:tc>
        <w:tc>
          <w:tcPr>
            <w:tcW w:w="1080" w:type="dxa"/>
            <w:tcBorders>
              <w:top w:val="nil"/>
              <w:bottom w:val="nil"/>
            </w:tcBorders>
          </w:tcPr>
          <w:p>
            <w:pPr>
              <w:pStyle w:val="TableParagraph"/>
              <w:spacing w:before="24"/>
              <w:ind w:left="187"/>
              <w:jc w:val="left"/>
              <w:rPr>
                <w:rFonts w:ascii="Times New Roman"/>
                <w:sz w:val="18"/>
              </w:rPr>
            </w:pPr>
            <w:r>
              <w:rPr>
                <w:rFonts w:ascii="Times New Roman"/>
                <w:sz w:val="18"/>
              </w:rPr>
              <w:t>247</w:t>
            </w:r>
            <w:r>
              <w:rPr>
                <w:rFonts w:ascii="Times New Roman"/>
                <w:spacing w:val="-1"/>
                <w:sz w:val="18"/>
              </w:rPr>
              <w:t> </w:t>
            </w:r>
            <w:r>
              <w:rPr>
                <w:rFonts w:ascii="Times New Roman"/>
                <w:sz w:val="18"/>
              </w:rPr>
              <w:t>Keys</w:t>
            </w:r>
          </w:p>
          <w:p>
            <w:pPr>
              <w:pStyle w:val="TableParagraph"/>
              <w:spacing w:before="42"/>
              <w:ind w:left="187"/>
              <w:jc w:val="left"/>
              <w:rPr>
                <w:rFonts w:ascii="Times New Roman"/>
                <w:sz w:val="18"/>
              </w:rPr>
            </w:pPr>
            <w:r>
              <w:rPr>
                <w:rFonts w:ascii="Times New Roman"/>
                <w:sz w:val="18"/>
              </w:rPr>
              <w:t>230</w:t>
            </w:r>
            <w:r>
              <w:rPr>
                <w:rFonts w:ascii="Times New Roman"/>
                <w:spacing w:val="-1"/>
                <w:sz w:val="18"/>
              </w:rPr>
              <w:t> </w:t>
            </w:r>
            <w:r>
              <w:rPr>
                <w:rFonts w:ascii="Times New Roman"/>
                <w:sz w:val="18"/>
              </w:rPr>
              <w:t>Keys</w:t>
            </w:r>
          </w:p>
        </w:tc>
        <w:tc>
          <w:tcPr>
            <w:tcW w:w="897" w:type="dxa"/>
            <w:tcBorders>
              <w:top w:val="nil"/>
              <w:bottom w:val="nil"/>
            </w:tcBorders>
          </w:tcPr>
          <w:p>
            <w:pPr>
              <w:pStyle w:val="TableParagraph"/>
              <w:spacing w:before="24"/>
              <w:rPr>
                <w:rFonts w:ascii="Times New Roman"/>
                <w:sz w:val="18"/>
              </w:rPr>
            </w:pPr>
            <w:r>
              <w:rPr>
                <w:rFonts w:ascii="Times New Roman"/>
                <w:w w:val="99"/>
                <w:sz w:val="18"/>
              </w:rPr>
              <w:t>-</w:t>
            </w:r>
          </w:p>
          <w:p>
            <w:pPr>
              <w:pStyle w:val="TableParagraph"/>
              <w:spacing w:before="42"/>
              <w:rPr>
                <w:rFonts w:ascii="Times New Roman"/>
                <w:sz w:val="18"/>
              </w:rPr>
            </w:pPr>
            <w:r>
              <w:rPr>
                <w:rFonts w:ascii="Times New Roman"/>
                <w:w w:val="99"/>
                <w:sz w:val="18"/>
              </w:rPr>
              <w:t>-</w:t>
            </w:r>
          </w:p>
        </w:tc>
        <w:tc>
          <w:tcPr>
            <w:tcW w:w="1139" w:type="dxa"/>
            <w:tcBorders>
              <w:top w:val="nil"/>
              <w:bottom w:val="nil"/>
            </w:tcBorders>
          </w:tcPr>
          <w:p>
            <w:pPr>
              <w:pStyle w:val="TableParagraph"/>
              <w:spacing w:before="24"/>
              <w:ind w:left="219"/>
              <w:jc w:val="left"/>
              <w:rPr>
                <w:rFonts w:ascii="Times New Roman"/>
                <w:sz w:val="18"/>
              </w:rPr>
            </w:pPr>
            <w:r>
              <w:rPr>
                <w:rFonts w:ascii="Times New Roman"/>
                <w:sz w:val="18"/>
              </w:rPr>
              <w:t>247</w:t>
            </w:r>
            <w:r>
              <w:rPr>
                <w:rFonts w:ascii="Times New Roman"/>
                <w:spacing w:val="-1"/>
                <w:sz w:val="18"/>
              </w:rPr>
              <w:t> </w:t>
            </w:r>
            <w:r>
              <w:rPr>
                <w:rFonts w:ascii="Times New Roman"/>
                <w:sz w:val="18"/>
              </w:rPr>
              <w:t>Keys</w:t>
            </w:r>
          </w:p>
          <w:p>
            <w:pPr>
              <w:pStyle w:val="TableParagraph"/>
              <w:spacing w:before="42"/>
              <w:ind w:left="219"/>
              <w:jc w:val="left"/>
              <w:rPr>
                <w:rFonts w:ascii="Times New Roman"/>
                <w:sz w:val="18"/>
              </w:rPr>
            </w:pPr>
            <w:r>
              <w:rPr>
                <w:rFonts w:ascii="Times New Roman"/>
                <w:sz w:val="18"/>
              </w:rPr>
              <w:t>230</w:t>
            </w:r>
            <w:r>
              <w:rPr>
                <w:rFonts w:ascii="Times New Roman"/>
                <w:spacing w:val="-1"/>
                <w:sz w:val="18"/>
              </w:rPr>
              <w:t> </w:t>
            </w:r>
            <w:r>
              <w:rPr>
                <w:rFonts w:ascii="Times New Roman"/>
                <w:sz w:val="18"/>
              </w:rPr>
              <w:t>Keys</w:t>
            </w:r>
          </w:p>
        </w:tc>
        <w:tc>
          <w:tcPr>
            <w:tcW w:w="897" w:type="dxa"/>
            <w:tcBorders>
              <w:top w:val="nil"/>
              <w:bottom w:val="nil"/>
            </w:tcBorders>
          </w:tcPr>
          <w:p>
            <w:pPr>
              <w:pStyle w:val="TableParagraph"/>
              <w:spacing w:before="24"/>
              <w:ind w:left="162"/>
              <w:jc w:val="left"/>
              <w:rPr>
                <w:rFonts w:ascii="Times New Roman"/>
                <w:sz w:val="18"/>
              </w:rPr>
            </w:pPr>
            <w:r>
              <w:rPr>
                <w:rFonts w:ascii="Times New Roman"/>
                <w:sz w:val="18"/>
              </w:rPr>
              <w:t>12.63%</w:t>
            </w:r>
          </w:p>
          <w:p>
            <w:pPr>
              <w:pStyle w:val="TableParagraph"/>
              <w:spacing w:before="42"/>
              <w:ind w:left="162"/>
              <w:jc w:val="left"/>
              <w:rPr>
                <w:rFonts w:ascii="Times New Roman"/>
                <w:sz w:val="18"/>
              </w:rPr>
            </w:pPr>
            <w:r>
              <w:rPr>
                <w:rFonts w:ascii="Times New Roman"/>
                <w:sz w:val="18"/>
              </w:rPr>
              <w:t>12.63%</w:t>
            </w:r>
          </w:p>
        </w:tc>
        <w:tc>
          <w:tcPr>
            <w:tcW w:w="741" w:type="dxa"/>
            <w:tcBorders>
              <w:top w:val="nil"/>
              <w:bottom w:val="nil"/>
            </w:tcBorders>
          </w:tcPr>
          <w:p>
            <w:pPr>
              <w:pStyle w:val="TableParagraph"/>
              <w:spacing w:before="24"/>
              <w:ind w:left="233"/>
              <w:jc w:val="left"/>
              <w:rPr>
                <w:rFonts w:ascii="Times New Roman"/>
                <w:sz w:val="18"/>
              </w:rPr>
            </w:pPr>
            <w:r>
              <w:rPr>
                <w:rFonts w:ascii="Times New Roman"/>
                <w:sz w:val="18"/>
              </w:rPr>
              <w:t>NA</w:t>
            </w:r>
          </w:p>
          <w:p>
            <w:pPr>
              <w:pStyle w:val="TableParagraph"/>
              <w:spacing w:before="42"/>
              <w:ind w:left="233"/>
              <w:jc w:val="left"/>
              <w:rPr>
                <w:rFonts w:ascii="Times New Roman"/>
                <w:sz w:val="18"/>
              </w:rPr>
            </w:pPr>
            <w:r>
              <w:rPr>
                <w:rFonts w:ascii="Times New Roman"/>
                <w:sz w:val="18"/>
              </w:rPr>
              <w:t>NA</w:t>
            </w:r>
          </w:p>
        </w:tc>
        <w:tc>
          <w:tcPr>
            <w:tcW w:w="1290" w:type="dxa"/>
            <w:tcBorders>
              <w:top w:val="nil"/>
              <w:bottom w:val="nil"/>
            </w:tcBorders>
          </w:tcPr>
          <w:p>
            <w:pPr>
              <w:pStyle w:val="TableParagraph"/>
              <w:spacing w:before="24"/>
              <w:ind w:left="387" w:right="373"/>
              <w:rPr>
                <w:rFonts w:ascii="Times New Roman"/>
                <w:sz w:val="18"/>
              </w:rPr>
            </w:pPr>
            <w:r>
              <w:rPr>
                <w:rFonts w:ascii="Times New Roman"/>
                <w:sz w:val="18"/>
              </w:rPr>
              <w:t>14x</w:t>
            </w:r>
          </w:p>
          <w:p>
            <w:pPr>
              <w:pStyle w:val="TableParagraph"/>
              <w:spacing w:before="42"/>
              <w:ind w:left="387" w:right="373"/>
              <w:rPr>
                <w:rFonts w:ascii="Times New Roman"/>
                <w:sz w:val="18"/>
              </w:rPr>
            </w:pPr>
            <w:r>
              <w:rPr>
                <w:rFonts w:ascii="Times New Roman"/>
                <w:sz w:val="18"/>
              </w:rPr>
              <w:t>14x</w:t>
            </w:r>
          </w:p>
        </w:tc>
        <w:tc>
          <w:tcPr>
            <w:tcW w:w="1132" w:type="dxa"/>
            <w:tcBorders>
              <w:top w:val="nil"/>
              <w:bottom w:val="nil"/>
            </w:tcBorders>
          </w:tcPr>
          <w:p>
            <w:pPr>
              <w:pStyle w:val="TableParagraph"/>
              <w:spacing w:before="24"/>
              <w:ind w:left="357"/>
              <w:jc w:val="left"/>
              <w:rPr>
                <w:rFonts w:ascii="Times New Roman"/>
                <w:sz w:val="18"/>
              </w:rPr>
            </w:pPr>
            <w:r>
              <w:rPr>
                <w:rFonts w:ascii="Times New Roman"/>
                <w:sz w:val="18"/>
              </w:rPr>
              <w:t>9,000</w:t>
            </w:r>
          </w:p>
          <w:p>
            <w:pPr>
              <w:pStyle w:val="TableParagraph"/>
              <w:spacing w:before="42"/>
              <w:ind w:left="314"/>
              <w:jc w:val="left"/>
              <w:rPr>
                <w:rFonts w:ascii="Times New Roman"/>
                <w:sz w:val="18"/>
              </w:rPr>
            </w:pPr>
            <w:r>
              <w:rPr>
                <w:rFonts w:ascii="Times New Roman"/>
                <w:sz w:val="18"/>
              </w:rPr>
              <w:t>10,500</w:t>
            </w:r>
          </w:p>
        </w:tc>
        <w:tc>
          <w:tcPr>
            <w:tcW w:w="1135" w:type="dxa"/>
            <w:tcBorders>
              <w:top w:val="nil"/>
              <w:bottom w:val="nil"/>
            </w:tcBorders>
          </w:tcPr>
          <w:p>
            <w:pPr>
              <w:pStyle w:val="TableParagraph"/>
              <w:spacing w:before="24"/>
              <w:ind w:left="360"/>
              <w:jc w:val="left"/>
              <w:rPr>
                <w:rFonts w:ascii="Times New Roman"/>
                <w:sz w:val="18"/>
              </w:rPr>
            </w:pPr>
            <w:r>
              <w:rPr>
                <w:rFonts w:ascii="Times New Roman"/>
                <w:color w:val="000004"/>
                <w:sz w:val="18"/>
              </w:rPr>
              <w:t>4,436</w:t>
            </w:r>
          </w:p>
          <w:p>
            <w:pPr>
              <w:pStyle w:val="TableParagraph"/>
              <w:spacing w:before="42"/>
              <w:ind w:left="360"/>
              <w:jc w:val="left"/>
              <w:rPr>
                <w:rFonts w:ascii="Times New Roman"/>
                <w:sz w:val="18"/>
              </w:rPr>
            </w:pPr>
            <w:r>
              <w:rPr>
                <w:rFonts w:ascii="Times New Roman"/>
                <w:sz w:val="18"/>
              </w:rPr>
              <w:t>7,673</w:t>
            </w:r>
          </w:p>
        </w:tc>
        <w:tc>
          <w:tcPr>
            <w:tcW w:w="1211" w:type="dxa"/>
            <w:tcBorders>
              <w:top w:val="nil"/>
              <w:bottom w:val="nil"/>
            </w:tcBorders>
          </w:tcPr>
          <w:p>
            <w:pPr>
              <w:pStyle w:val="TableParagraph"/>
              <w:spacing w:before="24"/>
              <w:ind w:left="58"/>
              <w:rPr>
                <w:rFonts w:ascii="Times New Roman"/>
                <w:sz w:val="18"/>
              </w:rPr>
            </w:pPr>
            <w:r>
              <w:rPr>
                <w:rFonts w:ascii="Times New Roman"/>
                <w:color w:val="000004"/>
                <w:w w:val="99"/>
                <w:sz w:val="18"/>
              </w:rPr>
              <w:t>-</w:t>
            </w:r>
          </w:p>
          <w:p>
            <w:pPr>
              <w:pStyle w:val="TableParagraph"/>
              <w:spacing w:before="42"/>
              <w:ind w:left="58"/>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24"/>
              <w:ind w:left="209"/>
              <w:jc w:val="left"/>
              <w:rPr>
                <w:rFonts w:ascii="Times New Roman"/>
                <w:sz w:val="18"/>
              </w:rPr>
            </w:pPr>
            <w:r>
              <w:rPr>
                <w:rFonts w:ascii="Times New Roman"/>
                <w:color w:val="000004"/>
                <w:sz w:val="18"/>
              </w:rPr>
              <w:t>4,436</w:t>
            </w:r>
          </w:p>
          <w:p>
            <w:pPr>
              <w:pStyle w:val="TableParagraph"/>
              <w:spacing w:before="42"/>
              <w:ind w:left="209"/>
              <w:jc w:val="left"/>
              <w:rPr>
                <w:rFonts w:ascii="Times New Roman"/>
                <w:sz w:val="18"/>
              </w:rPr>
            </w:pPr>
            <w:r>
              <w:rPr>
                <w:rFonts w:ascii="Times New Roman"/>
                <w:sz w:val="18"/>
              </w:rPr>
              <w:t>7,673</w:t>
            </w:r>
          </w:p>
        </w:tc>
      </w:tr>
      <w:tr>
        <w:trPr>
          <w:trHeight w:val="284" w:hRule="atLeast"/>
        </w:trPr>
        <w:tc>
          <w:tcPr>
            <w:tcW w:w="2640" w:type="dxa"/>
            <w:tcBorders>
              <w:top w:val="nil"/>
              <w:left w:val="nil"/>
              <w:bottom w:val="nil"/>
            </w:tcBorders>
          </w:tcPr>
          <w:p>
            <w:pPr>
              <w:pStyle w:val="TableParagraph"/>
              <w:spacing w:before="28"/>
              <w:ind w:left="24"/>
              <w:rPr>
                <w:rFonts w:ascii="Times New Roman"/>
                <w:sz w:val="18"/>
              </w:rPr>
            </w:pPr>
            <w:r>
              <w:rPr>
                <w:rFonts w:ascii="Times New Roman"/>
                <w:sz w:val="18"/>
              </w:rPr>
              <w:t>Hilton at Embassy Manyata (5 Star)</w:t>
            </w:r>
          </w:p>
        </w:tc>
        <w:tc>
          <w:tcPr>
            <w:tcW w:w="1080" w:type="dxa"/>
            <w:tcBorders>
              <w:top w:val="nil"/>
              <w:bottom w:val="nil"/>
            </w:tcBorders>
          </w:tcPr>
          <w:p>
            <w:pPr>
              <w:pStyle w:val="TableParagraph"/>
              <w:spacing w:before="28"/>
              <w:ind w:right="1"/>
              <w:rPr>
                <w:rFonts w:ascii="Times New Roman"/>
                <w:sz w:val="18"/>
              </w:rPr>
            </w:pPr>
            <w:r>
              <w:rPr>
                <w:rFonts w:ascii="Times New Roman"/>
                <w:w w:val="99"/>
                <w:sz w:val="18"/>
              </w:rPr>
              <w:t>-</w:t>
            </w:r>
          </w:p>
        </w:tc>
        <w:tc>
          <w:tcPr>
            <w:tcW w:w="897" w:type="dxa"/>
            <w:tcBorders>
              <w:top w:val="nil"/>
              <w:bottom w:val="nil"/>
            </w:tcBorders>
          </w:tcPr>
          <w:p>
            <w:pPr>
              <w:pStyle w:val="TableParagraph"/>
              <w:spacing w:before="28"/>
              <w:ind w:left="2"/>
              <w:rPr>
                <w:rFonts w:ascii="Times New Roman"/>
                <w:sz w:val="18"/>
              </w:rPr>
            </w:pPr>
            <w:r>
              <w:rPr>
                <w:rFonts w:ascii="Times New Roman"/>
                <w:sz w:val="18"/>
              </w:rPr>
              <w:t>266 Keys</w:t>
            </w:r>
          </w:p>
        </w:tc>
        <w:tc>
          <w:tcPr>
            <w:tcW w:w="1139" w:type="dxa"/>
            <w:tcBorders>
              <w:top w:val="nil"/>
              <w:bottom w:val="nil"/>
            </w:tcBorders>
          </w:tcPr>
          <w:p>
            <w:pPr>
              <w:pStyle w:val="TableParagraph"/>
              <w:spacing w:before="28"/>
              <w:ind w:left="150" w:right="144"/>
              <w:rPr>
                <w:rFonts w:ascii="Times New Roman"/>
                <w:sz w:val="18"/>
              </w:rPr>
            </w:pPr>
            <w:r>
              <w:rPr>
                <w:rFonts w:ascii="Times New Roman"/>
                <w:sz w:val="18"/>
              </w:rPr>
              <w:t>266 Keys</w:t>
            </w:r>
          </w:p>
        </w:tc>
        <w:tc>
          <w:tcPr>
            <w:tcW w:w="897" w:type="dxa"/>
            <w:tcBorders>
              <w:top w:val="nil"/>
              <w:bottom w:val="nil"/>
            </w:tcBorders>
          </w:tcPr>
          <w:p>
            <w:pPr>
              <w:pStyle w:val="TableParagraph"/>
              <w:spacing w:before="28"/>
              <w:ind w:left="5"/>
              <w:rPr>
                <w:rFonts w:ascii="Times New Roman"/>
                <w:sz w:val="18"/>
              </w:rPr>
            </w:pPr>
            <w:r>
              <w:rPr>
                <w:rFonts w:ascii="Times New Roman"/>
                <w:sz w:val="18"/>
              </w:rPr>
              <w:t>NA</w:t>
            </w:r>
          </w:p>
        </w:tc>
        <w:tc>
          <w:tcPr>
            <w:tcW w:w="741" w:type="dxa"/>
            <w:tcBorders>
              <w:top w:val="nil"/>
              <w:bottom w:val="nil"/>
            </w:tcBorders>
          </w:tcPr>
          <w:p>
            <w:pPr>
              <w:pStyle w:val="TableParagraph"/>
              <w:spacing w:before="28"/>
              <w:ind w:left="66" w:right="59"/>
              <w:rPr>
                <w:rFonts w:ascii="Times New Roman"/>
                <w:sz w:val="18"/>
              </w:rPr>
            </w:pPr>
            <w:r>
              <w:rPr>
                <w:rFonts w:ascii="Times New Roman"/>
                <w:sz w:val="18"/>
              </w:rPr>
              <w:t>13.60%</w:t>
            </w:r>
          </w:p>
        </w:tc>
        <w:tc>
          <w:tcPr>
            <w:tcW w:w="1290" w:type="dxa"/>
            <w:tcBorders>
              <w:top w:val="nil"/>
              <w:bottom w:val="nil"/>
            </w:tcBorders>
          </w:tcPr>
          <w:p>
            <w:pPr>
              <w:pStyle w:val="TableParagraph"/>
              <w:spacing w:before="28"/>
              <w:ind w:left="387" w:right="373"/>
              <w:rPr>
                <w:rFonts w:ascii="Times New Roman"/>
                <w:sz w:val="18"/>
              </w:rPr>
            </w:pPr>
            <w:r>
              <w:rPr>
                <w:rFonts w:ascii="Times New Roman"/>
                <w:sz w:val="18"/>
              </w:rPr>
              <w:t>14x</w:t>
            </w:r>
          </w:p>
        </w:tc>
        <w:tc>
          <w:tcPr>
            <w:tcW w:w="1132" w:type="dxa"/>
            <w:tcBorders>
              <w:top w:val="nil"/>
              <w:bottom w:val="nil"/>
            </w:tcBorders>
          </w:tcPr>
          <w:p>
            <w:pPr>
              <w:pStyle w:val="TableParagraph"/>
              <w:spacing w:before="28"/>
              <w:ind w:left="109" w:right="100"/>
              <w:rPr>
                <w:rFonts w:ascii="Times New Roman"/>
                <w:sz w:val="18"/>
              </w:rPr>
            </w:pPr>
            <w:r>
              <w:rPr>
                <w:rFonts w:ascii="Times New Roman"/>
                <w:sz w:val="18"/>
              </w:rPr>
              <w:t>8,000</w:t>
            </w:r>
          </w:p>
        </w:tc>
        <w:tc>
          <w:tcPr>
            <w:tcW w:w="1135" w:type="dxa"/>
            <w:tcBorders>
              <w:top w:val="nil"/>
              <w:bottom w:val="nil"/>
            </w:tcBorders>
          </w:tcPr>
          <w:p>
            <w:pPr>
              <w:pStyle w:val="TableParagraph"/>
              <w:spacing w:before="28"/>
              <w:ind w:left="61"/>
              <w:rPr>
                <w:rFonts w:ascii="Times New Roman"/>
                <w:sz w:val="18"/>
              </w:rPr>
            </w:pPr>
            <w:r>
              <w:rPr>
                <w:rFonts w:ascii="Times New Roman"/>
                <w:w w:val="99"/>
                <w:sz w:val="18"/>
              </w:rPr>
              <w:t>-</w:t>
            </w:r>
          </w:p>
        </w:tc>
        <w:tc>
          <w:tcPr>
            <w:tcW w:w="1211" w:type="dxa"/>
            <w:tcBorders>
              <w:top w:val="nil"/>
              <w:bottom w:val="nil"/>
            </w:tcBorders>
          </w:tcPr>
          <w:p>
            <w:pPr>
              <w:pStyle w:val="TableParagraph"/>
              <w:spacing w:before="28"/>
              <w:ind w:left="397"/>
              <w:jc w:val="left"/>
              <w:rPr>
                <w:rFonts w:ascii="Times New Roman"/>
                <w:sz w:val="18"/>
              </w:rPr>
            </w:pPr>
            <w:r>
              <w:rPr>
                <w:rFonts w:ascii="Times New Roman"/>
                <w:sz w:val="18"/>
              </w:rPr>
              <w:t>2,378</w:t>
            </w:r>
          </w:p>
        </w:tc>
        <w:tc>
          <w:tcPr>
            <w:tcW w:w="849" w:type="dxa"/>
            <w:tcBorders>
              <w:top w:val="nil"/>
              <w:bottom w:val="nil"/>
              <w:right w:val="nil"/>
            </w:tcBorders>
          </w:tcPr>
          <w:p>
            <w:pPr>
              <w:pStyle w:val="TableParagraph"/>
              <w:spacing w:before="28"/>
              <w:ind w:left="209"/>
              <w:jc w:val="left"/>
              <w:rPr>
                <w:rFonts w:ascii="Times New Roman"/>
                <w:sz w:val="18"/>
              </w:rPr>
            </w:pPr>
            <w:r>
              <w:rPr>
                <w:rFonts w:ascii="Times New Roman"/>
                <w:sz w:val="18"/>
              </w:rPr>
              <w:t>2,378</w:t>
            </w:r>
          </w:p>
        </w:tc>
      </w:tr>
      <w:tr>
        <w:trPr>
          <w:trHeight w:val="284" w:hRule="atLeast"/>
        </w:trPr>
        <w:tc>
          <w:tcPr>
            <w:tcW w:w="2640" w:type="dxa"/>
            <w:tcBorders>
              <w:top w:val="nil"/>
              <w:left w:val="nil"/>
              <w:bottom w:val="nil"/>
            </w:tcBorders>
          </w:tcPr>
          <w:p>
            <w:pPr>
              <w:pStyle w:val="TableParagraph"/>
              <w:spacing w:before="41"/>
              <w:ind w:left="24"/>
              <w:rPr>
                <w:rFonts w:ascii="Times New Roman"/>
                <w:sz w:val="18"/>
              </w:rPr>
            </w:pPr>
            <w:r>
              <w:rPr>
                <w:rFonts w:ascii="Times New Roman"/>
                <w:sz w:val="18"/>
              </w:rPr>
              <w:t>Hilton at Embassy Manyata (3 Star)</w:t>
            </w:r>
          </w:p>
        </w:tc>
        <w:tc>
          <w:tcPr>
            <w:tcW w:w="1080" w:type="dxa"/>
            <w:tcBorders>
              <w:top w:val="nil"/>
              <w:bottom w:val="nil"/>
            </w:tcBorders>
          </w:tcPr>
          <w:p>
            <w:pPr>
              <w:pStyle w:val="TableParagraph"/>
              <w:spacing w:before="41"/>
              <w:ind w:right="1"/>
              <w:rPr>
                <w:rFonts w:ascii="Times New Roman"/>
                <w:sz w:val="18"/>
              </w:rPr>
            </w:pPr>
            <w:r>
              <w:rPr>
                <w:rFonts w:ascii="Times New Roman"/>
                <w:w w:val="99"/>
                <w:sz w:val="18"/>
              </w:rPr>
              <w:t>-</w:t>
            </w:r>
          </w:p>
        </w:tc>
        <w:tc>
          <w:tcPr>
            <w:tcW w:w="897" w:type="dxa"/>
            <w:tcBorders>
              <w:top w:val="nil"/>
              <w:bottom w:val="nil"/>
            </w:tcBorders>
          </w:tcPr>
          <w:p>
            <w:pPr>
              <w:pStyle w:val="TableParagraph"/>
              <w:spacing w:before="41"/>
              <w:ind w:left="2"/>
              <w:rPr>
                <w:rFonts w:ascii="Times New Roman"/>
                <w:sz w:val="18"/>
              </w:rPr>
            </w:pPr>
            <w:r>
              <w:rPr>
                <w:rFonts w:ascii="Times New Roman"/>
                <w:sz w:val="18"/>
              </w:rPr>
              <w:t>353 Keys</w:t>
            </w:r>
          </w:p>
        </w:tc>
        <w:tc>
          <w:tcPr>
            <w:tcW w:w="1139" w:type="dxa"/>
            <w:tcBorders>
              <w:top w:val="nil"/>
              <w:bottom w:val="nil"/>
            </w:tcBorders>
          </w:tcPr>
          <w:p>
            <w:pPr>
              <w:pStyle w:val="TableParagraph"/>
              <w:spacing w:before="41"/>
              <w:ind w:left="150" w:right="144"/>
              <w:rPr>
                <w:rFonts w:ascii="Times New Roman"/>
                <w:sz w:val="18"/>
              </w:rPr>
            </w:pPr>
            <w:r>
              <w:rPr>
                <w:rFonts w:ascii="Times New Roman"/>
                <w:sz w:val="18"/>
              </w:rPr>
              <w:t>353 Keys</w:t>
            </w:r>
          </w:p>
        </w:tc>
        <w:tc>
          <w:tcPr>
            <w:tcW w:w="897" w:type="dxa"/>
            <w:tcBorders>
              <w:top w:val="nil"/>
              <w:bottom w:val="nil"/>
            </w:tcBorders>
          </w:tcPr>
          <w:p>
            <w:pPr>
              <w:pStyle w:val="TableParagraph"/>
              <w:spacing w:before="41"/>
              <w:ind w:left="5"/>
              <w:rPr>
                <w:rFonts w:ascii="Times New Roman"/>
                <w:sz w:val="18"/>
              </w:rPr>
            </w:pPr>
            <w:r>
              <w:rPr>
                <w:rFonts w:ascii="Times New Roman"/>
                <w:sz w:val="18"/>
              </w:rPr>
              <w:t>NA</w:t>
            </w:r>
          </w:p>
        </w:tc>
        <w:tc>
          <w:tcPr>
            <w:tcW w:w="741" w:type="dxa"/>
            <w:tcBorders>
              <w:top w:val="nil"/>
              <w:bottom w:val="nil"/>
            </w:tcBorders>
          </w:tcPr>
          <w:p>
            <w:pPr>
              <w:pStyle w:val="TableParagraph"/>
              <w:spacing w:before="41"/>
              <w:ind w:left="66" w:right="59"/>
              <w:rPr>
                <w:rFonts w:ascii="Times New Roman"/>
                <w:sz w:val="18"/>
              </w:rPr>
            </w:pPr>
            <w:r>
              <w:rPr>
                <w:rFonts w:ascii="Times New Roman"/>
                <w:sz w:val="18"/>
              </w:rPr>
              <w:t>13.60%</w:t>
            </w:r>
          </w:p>
        </w:tc>
        <w:tc>
          <w:tcPr>
            <w:tcW w:w="1290" w:type="dxa"/>
            <w:tcBorders>
              <w:top w:val="nil"/>
              <w:bottom w:val="nil"/>
            </w:tcBorders>
          </w:tcPr>
          <w:p>
            <w:pPr>
              <w:pStyle w:val="TableParagraph"/>
              <w:spacing w:before="41"/>
              <w:ind w:left="387" w:right="373"/>
              <w:rPr>
                <w:rFonts w:ascii="Times New Roman"/>
                <w:sz w:val="18"/>
              </w:rPr>
            </w:pPr>
            <w:r>
              <w:rPr>
                <w:rFonts w:ascii="Times New Roman"/>
                <w:sz w:val="18"/>
              </w:rPr>
              <w:t>14x</w:t>
            </w:r>
          </w:p>
        </w:tc>
        <w:tc>
          <w:tcPr>
            <w:tcW w:w="1132" w:type="dxa"/>
            <w:tcBorders>
              <w:top w:val="nil"/>
              <w:bottom w:val="nil"/>
            </w:tcBorders>
          </w:tcPr>
          <w:p>
            <w:pPr>
              <w:pStyle w:val="TableParagraph"/>
              <w:spacing w:before="41"/>
              <w:ind w:left="109" w:right="100"/>
              <w:rPr>
                <w:rFonts w:ascii="Times New Roman"/>
                <w:sz w:val="18"/>
              </w:rPr>
            </w:pPr>
            <w:r>
              <w:rPr>
                <w:rFonts w:ascii="Times New Roman"/>
                <w:sz w:val="18"/>
              </w:rPr>
              <w:t>5,500</w:t>
            </w:r>
          </w:p>
        </w:tc>
        <w:tc>
          <w:tcPr>
            <w:tcW w:w="1135" w:type="dxa"/>
            <w:tcBorders>
              <w:top w:val="nil"/>
              <w:bottom w:val="nil"/>
            </w:tcBorders>
          </w:tcPr>
          <w:p>
            <w:pPr>
              <w:pStyle w:val="TableParagraph"/>
              <w:spacing w:before="41"/>
              <w:ind w:left="61"/>
              <w:rPr>
                <w:rFonts w:ascii="Times New Roman"/>
                <w:sz w:val="18"/>
              </w:rPr>
            </w:pPr>
            <w:r>
              <w:rPr>
                <w:rFonts w:ascii="Times New Roman"/>
                <w:w w:val="99"/>
                <w:sz w:val="18"/>
              </w:rPr>
              <w:t>-</w:t>
            </w:r>
          </w:p>
        </w:tc>
        <w:tc>
          <w:tcPr>
            <w:tcW w:w="1211" w:type="dxa"/>
            <w:tcBorders>
              <w:top w:val="nil"/>
              <w:bottom w:val="nil"/>
            </w:tcBorders>
          </w:tcPr>
          <w:p>
            <w:pPr>
              <w:pStyle w:val="TableParagraph"/>
              <w:spacing w:before="41"/>
              <w:ind w:left="397"/>
              <w:jc w:val="left"/>
              <w:rPr>
                <w:rFonts w:ascii="Times New Roman"/>
                <w:sz w:val="18"/>
              </w:rPr>
            </w:pPr>
            <w:r>
              <w:rPr>
                <w:rFonts w:ascii="Times New Roman"/>
                <w:sz w:val="18"/>
              </w:rPr>
              <w:t>1,422</w:t>
            </w:r>
          </w:p>
        </w:tc>
        <w:tc>
          <w:tcPr>
            <w:tcW w:w="849" w:type="dxa"/>
            <w:tcBorders>
              <w:top w:val="nil"/>
              <w:bottom w:val="nil"/>
              <w:right w:val="nil"/>
            </w:tcBorders>
          </w:tcPr>
          <w:p>
            <w:pPr>
              <w:pStyle w:val="TableParagraph"/>
              <w:spacing w:before="41"/>
              <w:ind w:left="209"/>
              <w:jc w:val="left"/>
              <w:rPr>
                <w:rFonts w:ascii="Times New Roman"/>
                <w:sz w:val="18"/>
              </w:rPr>
            </w:pPr>
            <w:r>
              <w:rPr>
                <w:rFonts w:ascii="Times New Roman"/>
                <w:sz w:val="18"/>
              </w:rPr>
              <w:t>1,422</w:t>
            </w:r>
          </w:p>
        </w:tc>
      </w:tr>
      <w:tr>
        <w:trPr>
          <w:trHeight w:val="273" w:hRule="atLeast"/>
        </w:trPr>
        <w:tc>
          <w:tcPr>
            <w:tcW w:w="2640" w:type="dxa"/>
            <w:tcBorders>
              <w:top w:val="nil"/>
              <w:left w:val="nil"/>
              <w:bottom w:val="nil"/>
            </w:tcBorders>
          </w:tcPr>
          <w:p>
            <w:pPr>
              <w:pStyle w:val="TableParagraph"/>
              <w:spacing w:before="28"/>
              <w:ind w:left="26"/>
              <w:rPr>
                <w:rFonts w:ascii="Times New Roman"/>
                <w:b/>
                <w:sz w:val="18"/>
              </w:rPr>
            </w:pPr>
            <w:r>
              <w:rPr>
                <w:rFonts w:ascii="Times New Roman"/>
                <w:b/>
                <w:sz w:val="18"/>
              </w:rPr>
              <w:t>Sub-Total (Hospitality)</w:t>
            </w:r>
          </w:p>
        </w:tc>
        <w:tc>
          <w:tcPr>
            <w:tcW w:w="1080" w:type="dxa"/>
            <w:tcBorders>
              <w:top w:val="nil"/>
              <w:bottom w:val="nil"/>
            </w:tcBorders>
          </w:tcPr>
          <w:p>
            <w:pPr>
              <w:pStyle w:val="TableParagraph"/>
              <w:spacing w:before="28"/>
              <w:ind w:left="89" w:right="89"/>
              <w:rPr>
                <w:rFonts w:ascii="Times New Roman"/>
                <w:b/>
                <w:sz w:val="18"/>
              </w:rPr>
            </w:pPr>
            <w:r>
              <w:rPr>
                <w:rFonts w:ascii="Times New Roman"/>
                <w:b/>
                <w:sz w:val="18"/>
              </w:rPr>
              <w:t>477 Keys</w:t>
            </w:r>
          </w:p>
        </w:tc>
        <w:tc>
          <w:tcPr>
            <w:tcW w:w="897" w:type="dxa"/>
            <w:tcBorders>
              <w:top w:val="nil"/>
              <w:bottom w:val="nil"/>
            </w:tcBorders>
          </w:tcPr>
          <w:p>
            <w:pPr>
              <w:pStyle w:val="TableParagraph"/>
              <w:spacing w:before="28"/>
              <w:ind w:left="2"/>
              <w:rPr>
                <w:rFonts w:ascii="Times New Roman"/>
                <w:b/>
                <w:sz w:val="18"/>
              </w:rPr>
            </w:pPr>
            <w:r>
              <w:rPr>
                <w:rFonts w:ascii="Times New Roman"/>
                <w:b/>
                <w:sz w:val="18"/>
              </w:rPr>
              <w:t>619 Keys</w:t>
            </w:r>
          </w:p>
        </w:tc>
        <w:tc>
          <w:tcPr>
            <w:tcW w:w="1139" w:type="dxa"/>
            <w:tcBorders>
              <w:top w:val="nil"/>
              <w:bottom w:val="nil"/>
            </w:tcBorders>
          </w:tcPr>
          <w:p>
            <w:pPr>
              <w:pStyle w:val="TableParagraph"/>
              <w:spacing w:before="28"/>
              <w:ind w:left="150" w:right="144"/>
              <w:rPr>
                <w:rFonts w:ascii="Times New Roman"/>
                <w:b/>
                <w:sz w:val="18"/>
              </w:rPr>
            </w:pPr>
            <w:r>
              <w:rPr>
                <w:rFonts w:ascii="Times New Roman"/>
                <w:b/>
                <w:sz w:val="18"/>
              </w:rPr>
              <w:t>1096 Keys</w:t>
            </w:r>
          </w:p>
        </w:tc>
        <w:tc>
          <w:tcPr>
            <w:tcW w:w="897" w:type="dxa"/>
            <w:tcBorders>
              <w:top w:val="nil"/>
              <w:bottom w:val="nil"/>
            </w:tcBorders>
          </w:tcPr>
          <w:p>
            <w:pPr>
              <w:pStyle w:val="TableParagraph"/>
              <w:jc w:val="left"/>
              <w:rPr>
                <w:rFonts w:ascii="Times New Roman"/>
                <w:sz w:val="18"/>
              </w:rPr>
            </w:pPr>
          </w:p>
        </w:tc>
        <w:tc>
          <w:tcPr>
            <w:tcW w:w="741" w:type="dxa"/>
            <w:tcBorders>
              <w:top w:val="nil"/>
              <w:bottom w:val="nil"/>
            </w:tcBorders>
          </w:tcPr>
          <w:p>
            <w:pPr>
              <w:pStyle w:val="TableParagraph"/>
              <w:jc w:val="left"/>
              <w:rPr>
                <w:rFonts w:ascii="Times New Roman"/>
                <w:sz w:val="18"/>
              </w:rPr>
            </w:pPr>
          </w:p>
        </w:tc>
        <w:tc>
          <w:tcPr>
            <w:tcW w:w="1290" w:type="dxa"/>
            <w:tcBorders>
              <w:top w:val="nil"/>
              <w:bottom w:val="nil"/>
            </w:tcBorders>
          </w:tcPr>
          <w:p>
            <w:pPr>
              <w:pStyle w:val="TableParagraph"/>
              <w:jc w:val="left"/>
              <w:rPr>
                <w:rFonts w:ascii="Times New Roman"/>
                <w:sz w:val="18"/>
              </w:rPr>
            </w:pPr>
          </w:p>
        </w:tc>
        <w:tc>
          <w:tcPr>
            <w:tcW w:w="1132" w:type="dxa"/>
            <w:tcBorders>
              <w:top w:val="nil"/>
              <w:bottom w:val="nil"/>
            </w:tcBorders>
          </w:tcPr>
          <w:p>
            <w:pPr>
              <w:pStyle w:val="TableParagraph"/>
              <w:jc w:val="left"/>
              <w:rPr>
                <w:rFonts w:ascii="Times New Roman"/>
                <w:sz w:val="18"/>
              </w:rPr>
            </w:pPr>
          </w:p>
        </w:tc>
        <w:tc>
          <w:tcPr>
            <w:tcW w:w="1135" w:type="dxa"/>
            <w:tcBorders>
              <w:top w:val="nil"/>
              <w:bottom w:val="nil"/>
            </w:tcBorders>
          </w:tcPr>
          <w:p>
            <w:pPr>
              <w:pStyle w:val="TableParagraph"/>
              <w:spacing w:before="28"/>
              <w:ind w:left="124" w:right="109"/>
              <w:rPr>
                <w:rFonts w:ascii="Times New Roman"/>
                <w:b/>
                <w:sz w:val="18"/>
              </w:rPr>
            </w:pPr>
            <w:r>
              <w:rPr>
                <w:rFonts w:ascii="Times New Roman"/>
                <w:b/>
                <w:sz w:val="18"/>
              </w:rPr>
              <w:t>12,109</w:t>
            </w:r>
          </w:p>
        </w:tc>
        <w:tc>
          <w:tcPr>
            <w:tcW w:w="1211" w:type="dxa"/>
            <w:tcBorders>
              <w:top w:val="nil"/>
              <w:bottom w:val="nil"/>
            </w:tcBorders>
          </w:tcPr>
          <w:p>
            <w:pPr>
              <w:pStyle w:val="TableParagraph"/>
              <w:spacing w:before="28"/>
              <w:ind w:left="400"/>
              <w:jc w:val="left"/>
              <w:rPr>
                <w:rFonts w:ascii="Times New Roman"/>
                <w:b/>
                <w:sz w:val="18"/>
              </w:rPr>
            </w:pPr>
            <w:r>
              <w:rPr>
                <w:rFonts w:ascii="Times New Roman"/>
                <w:b/>
                <w:sz w:val="18"/>
              </w:rPr>
              <w:t>3,800</w:t>
            </w:r>
          </w:p>
        </w:tc>
        <w:tc>
          <w:tcPr>
            <w:tcW w:w="849" w:type="dxa"/>
            <w:tcBorders>
              <w:top w:val="nil"/>
              <w:bottom w:val="nil"/>
              <w:right w:val="nil"/>
            </w:tcBorders>
          </w:tcPr>
          <w:p>
            <w:pPr>
              <w:pStyle w:val="TableParagraph"/>
              <w:spacing w:before="28"/>
              <w:ind w:right="175"/>
              <w:jc w:val="right"/>
              <w:rPr>
                <w:rFonts w:ascii="Times New Roman"/>
                <w:b/>
                <w:sz w:val="18"/>
              </w:rPr>
            </w:pPr>
            <w:r>
              <w:rPr>
                <w:rFonts w:ascii="Times New Roman"/>
                <w:b/>
                <w:sz w:val="18"/>
              </w:rPr>
              <w:t>15,909</w:t>
            </w:r>
          </w:p>
        </w:tc>
      </w:tr>
      <w:tr>
        <w:trPr>
          <w:trHeight w:val="228" w:hRule="atLeast"/>
        </w:trPr>
        <w:tc>
          <w:tcPr>
            <w:tcW w:w="2640" w:type="dxa"/>
            <w:tcBorders>
              <w:top w:val="nil"/>
              <w:left w:val="nil"/>
              <w:bottom w:val="nil"/>
            </w:tcBorders>
            <w:shd w:val="clear" w:color="auto" w:fill="5FFF00"/>
          </w:tcPr>
          <w:p>
            <w:pPr>
              <w:pStyle w:val="TableParagraph"/>
              <w:spacing w:line="203" w:lineRule="exact" w:before="4"/>
              <w:ind w:left="25"/>
              <w:rPr>
                <w:rFonts w:ascii="Times New Roman"/>
                <w:b/>
                <w:sz w:val="18"/>
              </w:rPr>
            </w:pPr>
            <w:r>
              <w:rPr>
                <w:rFonts w:ascii="Times New Roman"/>
                <w:b/>
                <w:sz w:val="18"/>
                <w:u w:val="single"/>
              </w:rPr>
              <w:t>Others</w:t>
            </w:r>
          </w:p>
        </w:tc>
        <w:tc>
          <w:tcPr>
            <w:tcW w:w="1080" w:type="dxa"/>
            <w:tcBorders>
              <w:top w:val="nil"/>
              <w:bottom w:val="nil"/>
            </w:tcBorders>
            <w:shd w:val="clear" w:color="auto" w:fill="5FFF00"/>
          </w:tcPr>
          <w:p>
            <w:pPr>
              <w:pStyle w:val="TableParagraph"/>
              <w:jc w:val="left"/>
              <w:rPr>
                <w:rFonts w:ascii="Times New Roman"/>
                <w:sz w:val="16"/>
              </w:rPr>
            </w:pPr>
          </w:p>
        </w:tc>
        <w:tc>
          <w:tcPr>
            <w:tcW w:w="897" w:type="dxa"/>
            <w:tcBorders>
              <w:top w:val="nil"/>
              <w:bottom w:val="nil"/>
            </w:tcBorders>
            <w:shd w:val="clear" w:color="auto" w:fill="5FFF00"/>
          </w:tcPr>
          <w:p>
            <w:pPr>
              <w:pStyle w:val="TableParagraph"/>
              <w:jc w:val="left"/>
              <w:rPr>
                <w:rFonts w:ascii="Times New Roman"/>
                <w:sz w:val="16"/>
              </w:rPr>
            </w:pPr>
          </w:p>
        </w:tc>
        <w:tc>
          <w:tcPr>
            <w:tcW w:w="1139" w:type="dxa"/>
            <w:tcBorders>
              <w:top w:val="nil"/>
              <w:bottom w:val="nil"/>
            </w:tcBorders>
            <w:shd w:val="clear" w:color="auto" w:fill="5FFF00"/>
          </w:tcPr>
          <w:p>
            <w:pPr>
              <w:pStyle w:val="TableParagraph"/>
              <w:jc w:val="left"/>
              <w:rPr>
                <w:rFonts w:ascii="Times New Roman"/>
                <w:sz w:val="16"/>
              </w:rPr>
            </w:pPr>
          </w:p>
        </w:tc>
        <w:tc>
          <w:tcPr>
            <w:tcW w:w="897" w:type="dxa"/>
            <w:tcBorders>
              <w:top w:val="nil"/>
              <w:bottom w:val="nil"/>
            </w:tcBorders>
            <w:shd w:val="clear" w:color="auto" w:fill="5FFF00"/>
          </w:tcPr>
          <w:p>
            <w:pPr>
              <w:pStyle w:val="TableParagraph"/>
              <w:jc w:val="left"/>
              <w:rPr>
                <w:rFonts w:ascii="Times New Roman"/>
                <w:sz w:val="16"/>
              </w:rPr>
            </w:pPr>
          </w:p>
        </w:tc>
        <w:tc>
          <w:tcPr>
            <w:tcW w:w="741" w:type="dxa"/>
            <w:tcBorders>
              <w:top w:val="nil"/>
              <w:bottom w:val="nil"/>
            </w:tcBorders>
            <w:shd w:val="clear" w:color="auto" w:fill="5FFF00"/>
          </w:tcPr>
          <w:p>
            <w:pPr>
              <w:pStyle w:val="TableParagraph"/>
              <w:jc w:val="left"/>
              <w:rPr>
                <w:rFonts w:ascii="Times New Roman"/>
                <w:sz w:val="16"/>
              </w:rPr>
            </w:pPr>
          </w:p>
        </w:tc>
        <w:tc>
          <w:tcPr>
            <w:tcW w:w="1290" w:type="dxa"/>
            <w:tcBorders>
              <w:top w:val="nil"/>
              <w:bottom w:val="nil"/>
            </w:tcBorders>
            <w:shd w:val="clear" w:color="auto" w:fill="5FFF00"/>
          </w:tcPr>
          <w:p>
            <w:pPr>
              <w:pStyle w:val="TableParagraph"/>
              <w:jc w:val="left"/>
              <w:rPr>
                <w:rFonts w:ascii="Times New Roman"/>
                <w:sz w:val="16"/>
              </w:rPr>
            </w:pPr>
          </w:p>
        </w:tc>
        <w:tc>
          <w:tcPr>
            <w:tcW w:w="1132" w:type="dxa"/>
            <w:tcBorders>
              <w:top w:val="nil"/>
              <w:bottom w:val="nil"/>
            </w:tcBorders>
            <w:shd w:val="clear" w:color="auto" w:fill="5FFF00"/>
          </w:tcPr>
          <w:p>
            <w:pPr>
              <w:pStyle w:val="TableParagraph"/>
              <w:jc w:val="left"/>
              <w:rPr>
                <w:rFonts w:ascii="Times New Roman"/>
                <w:sz w:val="16"/>
              </w:rPr>
            </w:pPr>
          </w:p>
        </w:tc>
        <w:tc>
          <w:tcPr>
            <w:tcW w:w="1135" w:type="dxa"/>
            <w:tcBorders>
              <w:top w:val="nil"/>
              <w:bottom w:val="nil"/>
            </w:tcBorders>
            <w:shd w:val="clear" w:color="auto" w:fill="5FFF00"/>
          </w:tcPr>
          <w:p>
            <w:pPr>
              <w:pStyle w:val="TableParagraph"/>
              <w:jc w:val="left"/>
              <w:rPr>
                <w:rFonts w:ascii="Times New Roman"/>
                <w:sz w:val="16"/>
              </w:rPr>
            </w:pPr>
          </w:p>
        </w:tc>
        <w:tc>
          <w:tcPr>
            <w:tcW w:w="1211" w:type="dxa"/>
            <w:tcBorders>
              <w:top w:val="nil"/>
              <w:bottom w:val="nil"/>
            </w:tcBorders>
            <w:shd w:val="clear" w:color="auto" w:fill="5FFF00"/>
          </w:tcPr>
          <w:p>
            <w:pPr>
              <w:pStyle w:val="TableParagraph"/>
              <w:jc w:val="left"/>
              <w:rPr>
                <w:rFonts w:ascii="Times New Roman"/>
                <w:sz w:val="16"/>
              </w:rPr>
            </w:pPr>
          </w:p>
        </w:tc>
        <w:tc>
          <w:tcPr>
            <w:tcW w:w="849" w:type="dxa"/>
            <w:tcBorders>
              <w:top w:val="nil"/>
              <w:bottom w:val="nil"/>
              <w:right w:val="nil"/>
            </w:tcBorders>
            <w:shd w:val="clear" w:color="auto" w:fill="5FFF00"/>
          </w:tcPr>
          <w:p>
            <w:pPr>
              <w:pStyle w:val="TableParagraph"/>
              <w:jc w:val="left"/>
              <w:rPr>
                <w:rFonts w:ascii="Times New Roman"/>
                <w:sz w:val="16"/>
              </w:rPr>
            </w:pPr>
          </w:p>
        </w:tc>
      </w:tr>
      <w:tr>
        <w:trPr>
          <w:trHeight w:val="256" w:hRule="atLeast"/>
        </w:trPr>
        <w:tc>
          <w:tcPr>
            <w:tcW w:w="2640" w:type="dxa"/>
            <w:tcBorders>
              <w:top w:val="nil"/>
              <w:left w:val="nil"/>
              <w:bottom w:val="nil"/>
            </w:tcBorders>
          </w:tcPr>
          <w:p>
            <w:pPr>
              <w:pStyle w:val="TableParagraph"/>
              <w:spacing w:before="24"/>
              <w:ind w:left="25"/>
              <w:rPr>
                <w:rFonts w:ascii="Times New Roman"/>
                <w:sz w:val="18"/>
              </w:rPr>
            </w:pPr>
            <w:r>
              <w:rPr>
                <w:rFonts w:ascii="Times New Roman"/>
                <w:sz w:val="18"/>
              </w:rPr>
              <w:t>Embassy Energy</w:t>
            </w:r>
          </w:p>
        </w:tc>
        <w:tc>
          <w:tcPr>
            <w:tcW w:w="1080" w:type="dxa"/>
            <w:tcBorders>
              <w:top w:val="nil"/>
              <w:bottom w:val="nil"/>
            </w:tcBorders>
          </w:tcPr>
          <w:p>
            <w:pPr>
              <w:pStyle w:val="TableParagraph"/>
              <w:spacing w:before="24"/>
              <w:ind w:left="90" w:right="88"/>
              <w:rPr>
                <w:rFonts w:ascii="Times New Roman"/>
                <w:sz w:val="18"/>
              </w:rPr>
            </w:pPr>
            <w:r>
              <w:rPr>
                <w:rFonts w:ascii="Times New Roman"/>
                <w:sz w:val="18"/>
              </w:rPr>
              <w:t>100MW</w:t>
            </w:r>
          </w:p>
        </w:tc>
        <w:tc>
          <w:tcPr>
            <w:tcW w:w="897" w:type="dxa"/>
            <w:tcBorders>
              <w:top w:val="nil"/>
              <w:bottom w:val="nil"/>
            </w:tcBorders>
          </w:tcPr>
          <w:p>
            <w:pPr>
              <w:pStyle w:val="TableParagraph"/>
              <w:spacing w:before="24"/>
              <w:rPr>
                <w:rFonts w:ascii="Times New Roman"/>
                <w:sz w:val="18"/>
              </w:rPr>
            </w:pPr>
            <w:r>
              <w:rPr>
                <w:rFonts w:ascii="Times New Roman"/>
                <w:w w:val="99"/>
                <w:sz w:val="18"/>
              </w:rPr>
              <w:t>-</w:t>
            </w:r>
          </w:p>
        </w:tc>
        <w:tc>
          <w:tcPr>
            <w:tcW w:w="1139" w:type="dxa"/>
            <w:tcBorders>
              <w:top w:val="nil"/>
              <w:bottom w:val="nil"/>
            </w:tcBorders>
          </w:tcPr>
          <w:p>
            <w:pPr>
              <w:pStyle w:val="TableParagraph"/>
              <w:spacing w:before="24"/>
              <w:ind w:left="147" w:right="144"/>
              <w:rPr>
                <w:rFonts w:ascii="Times New Roman"/>
                <w:sz w:val="18"/>
              </w:rPr>
            </w:pPr>
            <w:r>
              <w:rPr>
                <w:rFonts w:ascii="Times New Roman"/>
                <w:sz w:val="18"/>
              </w:rPr>
              <w:t>100MW</w:t>
            </w:r>
          </w:p>
        </w:tc>
        <w:tc>
          <w:tcPr>
            <w:tcW w:w="897" w:type="dxa"/>
            <w:tcBorders>
              <w:top w:val="nil"/>
              <w:bottom w:val="nil"/>
            </w:tcBorders>
          </w:tcPr>
          <w:p>
            <w:pPr>
              <w:pStyle w:val="TableParagraph"/>
              <w:spacing w:before="24"/>
              <w:ind w:left="4"/>
              <w:rPr>
                <w:rFonts w:ascii="Times New Roman"/>
                <w:sz w:val="18"/>
              </w:rPr>
            </w:pPr>
            <w:r>
              <w:rPr>
                <w:rFonts w:ascii="Times New Roman"/>
                <w:sz w:val="18"/>
              </w:rPr>
              <w:t>13.50%</w:t>
            </w:r>
          </w:p>
        </w:tc>
        <w:tc>
          <w:tcPr>
            <w:tcW w:w="741" w:type="dxa"/>
            <w:tcBorders>
              <w:top w:val="nil"/>
              <w:bottom w:val="nil"/>
            </w:tcBorders>
          </w:tcPr>
          <w:p>
            <w:pPr>
              <w:pStyle w:val="TableParagraph"/>
              <w:spacing w:before="24"/>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24"/>
              <w:ind w:left="386" w:right="377"/>
              <w:rPr>
                <w:rFonts w:ascii="Times New Roman"/>
                <w:sz w:val="18"/>
              </w:rPr>
            </w:pPr>
            <w:r>
              <w:rPr>
                <w:rFonts w:ascii="Times New Roman"/>
                <w:sz w:val="18"/>
              </w:rPr>
              <w:t>NA</w:t>
            </w:r>
          </w:p>
        </w:tc>
        <w:tc>
          <w:tcPr>
            <w:tcW w:w="1132" w:type="dxa"/>
            <w:tcBorders>
              <w:top w:val="nil"/>
              <w:bottom w:val="nil"/>
            </w:tcBorders>
          </w:tcPr>
          <w:p>
            <w:pPr>
              <w:pStyle w:val="TableParagraph"/>
              <w:spacing w:before="24"/>
              <w:ind w:left="109" w:right="100"/>
              <w:rPr>
                <w:rFonts w:ascii="Times New Roman"/>
                <w:sz w:val="18"/>
              </w:rPr>
            </w:pPr>
            <w:r>
              <w:rPr>
                <w:rFonts w:ascii="Times New Roman"/>
                <w:sz w:val="18"/>
              </w:rPr>
              <w:t>8.76</w:t>
            </w:r>
          </w:p>
        </w:tc>
        <w:tc>
          <w:tcPr>
            <w:tcW w:w="1135" w:type="dxa"/>
            <w:tcBorders>
              <w:top w:val="nil"/>
              <w:bottom w:val="nil"/>
            </w:tcBorders>
          </w:tcPr>
          <w:p>
            <w:pPr>
              <w:pStyle w:val="TableParagraph"/>
              <w:spacing w:before="24"/>
              <w:ind w:left="124" w:right="109"/>
              <w:rPr>
                <w:rFonts w:ascii="Times New Roman"/>
                <w:sz w:val="18"/>
              </w:rPr>
            </w:pPr>
            <w:r>
              <w:rPr>
                <w:rFonts w:ascii="Times New Roman"/>
                <w:sz w:val="18"/>
              </w:rPr>
              <w:t>10,289</w:t>
            </w:r>
          </w:p>
        </w:tc>
        <w:tc>
          <w:tcPr>
            <w:tcW w:w="1211" w:type="dxa"/>
            <w:tcBorders>
              <w:top w:val="nil"/>
              <w:bottom w:val="nil"/>
            </w:tcBorders>
          </w:tcPr>
          <w:p>
            <w:pPr>
              <w:pStyle w:val="TableParagraph"/>
              <w:spacing w:before="24"/>
              <w:ind w:left="14"/>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24"/>
              <w:ind w:right="175"/>
              <w:jc w:val="right"/>
              <w:rPr>
                <w:rFonts w:ascii="Times New Roman"/>
                <w:sz w:val="18"/>
              </w:rPr>
            </w:pPr>
            <w:r>
              <w:rPr>
                <w:rFonts w:ascii="Times New Roman"/>
                <w:sz w:val="18"/>
              </w:rPr>
              <w:t>10,289</w:t>
            </w:r>
          </w:p>
        </w:tc>
      </w:tr>
      <w:tr>
        <w:trPr>
          <w:trHeight w:val="259" w:hRule="atLeast"/>
        </w:trPr>
        <w:tc>
          <w:tcPr>
            <w:tcW w:w="2640" w:type="dxa"/>
            <w:tcBorders>
              <w:top w:val="nil"/>
              <w:left w:val="nil"/>
              <w:bottom w:val="nil"/>
            </w:tcBorders>
          </w:tcPr>
          <w:p>
            <w:pPr>
              <w:pStyle w:val="TableParagraph"/>
              <w:spacing w:before="17"/>
              <w:ind w:left="27"/>
              <w:rPr>
                <w:rFonts w:ascii="Times New Roman"/>
                <w:b/>
                <w:sz w:val="18"/>
              </w:rPr>
            </w:pPr>
            <w:r>
              <w:rPr>
                <w:rFonts w:ascii="Times New Roman"/>
                <w:b/>
                <w:sz w:val="18"/>
              </w:rPr>
              <w:t>Sub-Total (Others)</w:t>
            </w:r>
          </w:p>
        </w:tc>
        <w:tc>
          <w:tcPr>
            <w:tcW w:w="1080" w:type="dxa"/>
            <w:tcBorders>
              <w:top w:val="nil"/>
              <w:bottom w:val="nil"/>
            </w:tcBorders>
          </w:tcPr>
          <w:p>
            <w:pPr>
              <w:pStyle w:val="TableParagraph"/>
              <w:spacing w:before="17"/>
              <w:ind w:left="90" w:right="88"/>
              <w:rPr>
                <w:rFonts w:ascii="Times New Roman"/>
                <w:b/>
                <w:sz w:val="18"/>
              </w:rPr>
            </w:pPr>
            <w:r>
              <w:rPr>
                <w:rFonts w:ascii="Times New Roman"/>
                <w:b/>
                <w:sz w:val="18"/>
              </w:rPr>
              <w:t>100MW</w:t>
            </w:r>
          </w:p>
        </w:tc>
        <w:tc>
          <w:tcPr>
            <w:tcW w:w="897" w:type="dxa"/>
            <w:tcBorders>
              <w:top w:val="nil"/>
              <w:bottom w:val="nil"/>
            </w:tcBorders>
          </w:tcPr>
          <w:p>
            <w:pPr>
              <w:pStyle w:val="TableParagraph"/>
              <w:spacing w:before="17"/>
              <w:rPr>
                <w:rFonts w:ascii="Times New Roman"/>
                <w:b/>
                <w:sz w:val="18"/>
              </w:rPr>
            </w:pPr>
            <w:r>
              <w:rPr>
                <w:rFonts w:ascii="Times New Roman"/>
                <w:b/>
                <w:w w:val="99"/>
                <w:sz w:val="18"/>
              </w:rPr>
              <w:t>-</w:t>
            </w:r>
          </w:p>
        </w:tc>
        <w:tc>
          <w:tcPr>
            <w:tcW w:w="1139" w:type="dxa"/>
            <w:tcBorders>
              <w:top w:val="nil"/>
              <w:bottom w:val="nil"/>
            </w:tcBorders>
          </w:tcPr>
          <w:p>
            <w:pPr>
              <w:pStyle w:val="TableParagraph"/>
              <w:spacing w:before="17"/>
              <w:ind w:left="147" w:right="144"/>
              <w:rPr>
                <w:rFonts w:ascii="Times New Roman"/>
                <w:b/>
                <w:sz w:val="18"/>
              </w:rPr>
            </w:pPr>
            <w:r>
              <w:rPr>
                <w:rFonts w:ascii="Times New Roman"/>
                <w:b/>
                <w:sz w:val="18"/>
              </w:rPr>
              <w:t>100MW</w:t>
            </w:r>
          </w:p>
        </w:tc>
        <w:tc>
          <w:tcPr>
            <w:tcW w:w="897" w:type="dxa"/>
            <w:tcBorders>
              <w:top w:val="nil"/>
              <w:bottom w:val="nil"/>
            </w:tcBorders>
          </w:tcPr>
          <w:p>
            <w:pPr>
              <w:pStyle w:val="TableParagraph"/>
              <w:jc w:val="left"/>
              <w:rPr>
                <w:rFonts w:ascii="Times New Roman"/>
                <w:sz w:val="18"/>
              </w:rPr>
            </w:pPr>
          </w:p>
        </w:tc>
        <w:tc>
          <w:tcPr>
            <w:tcW w:w="741" w:type="dxa"/>
            <w:tcBorders>
              <w:top w:val="nil"/>
              <w:bottom w:val="nil"/>
            </w:tcBorders>
          </w:tcPr>
          <w:p>
            <w:pPr>
              <w:pStyle w:val="TableParagraph"/>
              <w:jc w:val="left"/>
              <w:rPr>
                <w:rFonts w:ascii="Times New Roman"/>
                <w:sz w:val="18"/>
              </w:rPr>
            </w:pPr>
          </w:p>
        </w:tc>
        <w:tc>
          <w:tcPr>
            <w:tcW w:w="1290" w:type="dxa"/>
            <w:tcBorders>
              <w:top w:val="nil"/>
              <w:bottom w:val="nil"/>
            </w:tcBorders>
          </w:tcPr>
          <w:p>
            <w:pPr>
              <w:pStyle w:val="TableParagraph"/>
              <w:jc w:val="left"/>
              <w:rPr>
                <w:rFonts w:ascii="Times New Roman"/>
                <w:sz w:val="18"/>
              </w:rPr>
            </w:pPr>
          </w:p>
        </w:tc>
        <w:tc>
          <w:tcPr>
            <w:tcW w:w="1132" w:type="dxa"/>
            <w:tcBorders>
              <w:top w:val="nil"/>
              <w:bottom w:val="nil"/>
            </w:tcBorders>
          </w:tcPr>
          <w:p>
            <w:pPr>
              <w:pStyle w:val="TableParagraph"/>
              <w:jc w:val="left"/>
              <w:rPr>
                <w:rFonts w:ascii="Times New Roman"/>
                <w:sz w:val="18"/>
              </w:rPr>
            </w:pPr>
          </w:p>
        </w:tc>
        <w:tc>
          <w:tcPr>
            <w:tcW w:w="1135" w:type="dxa"/>
            <w:tcBorders>
              <w:top w:val="nil"/>
              <w:bottom w:val="nil"/>
            </w:tcBorders>
          </w:tcPr>
          <w:p>
            <w:pPr>
              <w:pStyle w:val="TableParagraph"/>
              <w:spacing w:before="17"/>
              <w:ind w:left="124" w:right="109"/>
              <w:rPr>
                <w:rFonts w:ascii="Times New Roman"/>
                <w:b/>
                <w:sz w:val="18"/>
              </w:rPr>
            </w:pPr>
            <w:r>
              <w:rPr>
                <w:rFonts w:ascii="Times New Roman"/>
                <w:b/>
                <w:sz w:val="18"/>
              </w:rPr>
              <w:t>10,289</w:t>
            </w:r>
          </w:p>
        </w:tc>
        <w:tc>
          <w:tcPr>
            <w:tcW w:w="1211" w:type="dxa"/>
            <w:tcBorders>
              <w:top w:val="nil"/>
              <w:bottom w:val="nil"/>
            </w:tcBorders>
          </w:tcPr>
          <w:p>
            <w:pPr>
              <w:pStyle w:val="TableParagraph"/>
              <w:spacing w:before="17"/>
              <w:ind w:left="14"/>
              <w:rPr>
                <w:rFonts w:ascii="Times New Roman"/>
                <w:b/>
                <w:sz w:val="18"/>
              </w:rPr>
            </w:pPr>
            <w:r>
              <w:rPr>
                <w:rFonts w:ascii="Times New Roman"/>
                <w:b/>
                <w:w w:val="99"/>
                <w:sz w:val="18"/>
              </w:rPr>
              <w:t>-</w:t>
            </w:r>
          </w:p>
        </w:tc>
        <w:tc>
          <w:tcPr>
            <w:tcW w:w="849" w:type="dxa"/>
            <w:tcBorders>
              <w:top w:val="nil"/>
              <w:bottom w:val="nil"/>
              <w:right w:val="nil"/>
            </w:tcBorders>
          </w:tcPr>
          <w:p>
            <w:pPr>
              <w:pStyle w:val="TableParagraph"/>
              <w:spacing w:before="17"/>
              <w:ind w:right="175"/>
              <w:jc w:val="right"/>
              <w:rPr>
                <w:rFonts w:ascii="Times New Roman"/>
                <w:b/>
                <w:sz w:val="18"/>
              </w:rPr>
            </w:pPr>
            <w:r>
              <w:rPr>
                <w:rFonts w:ascii="Times New Roman"/>
                <w:b/>
                <w:sz w:val="18"/>
              </w:rPr>
              <w:t>10,289</w:t>
            </w:r>
          </w:p>
        </w:tc>
      </w:tr>
      <w:tr>
        <w:trPr>
          <w:trHeight w:val="453" w:hRule="atLeast"/>
        </w:trPr>
        <w:tc>
          <w:tcPr>
            <w:tcW w:w="2640" w:type="dxa"/>
            <w:tcBorders>
              <w:top w:val="nil"/>
              <w:left w:val="nil"/>
            </w:tcBorders>
            <w:shd w:val="clear" w:color="auto" w:fill="5FFF00"/>
          </w:tcPr>
          <w:p>
            <w:pPr>
              <w:pStyle w:val="TableParagraph"/>
              <w:spacing w:before="117"/>
              <w:ind w:left="29"/>
              <w:rPr>
                <w:rFonts w:ascii="Times New Roman"/>
                <w:b/>
                <w:sz w:val="18"/>
              </w:rPr>
            </w:pPr>
            <w:r>
              <w:rPr>
                <w:rFonts w:ascii="Times New Roman"/>
                <w:b/>
                <w:sz w:val="18"/>
              </w:rPr>
              <w:t>Total</w:t>
            </w:r>
          </w:p>
        </w:tc>
        <w:tc>
          <w:tcPr>
            <w:tcW w:w="1080" w:type="dxa"/>
            <w:tcBorders>
              <w:top w:val="nil"/>
            </w:tcBorders>
            <w:shd w:val="clear" w:color="auto" w:fill="5FFF00"/>
          </w:tcPr>
          <w:p>
            <w:pPr>
              <w:pStyle w:val="TableParagraph"/>
              <w:spacing w:before="4"/>
              <w:ind w:left="48"/>
              <w:jc w:val="left"/>
              <w:rPr>
                <w:rFonts w:ascii="Times New Roman"/>
                <w:b/>
                <w:sz w:val="18"/>
              </w:rPr>
            </w:pPr>
            <w:r>
              <w:rPr>
                <w:rFonts w:ascii="Times New Roman"/>
                <w:b/>
                <w:sz w:val="18"/>
              </w:rPr>
              <w:t>26.2 msf/477</w:t>
            </w:r>
          </w:p>
          <w:p>
            <w:pPr>
              <w:pStyle w:val="TableParagraph"/>
              <w:spacing w:line="203" w:lineRule="exact" w:before="19"/>
              <w:ind w:left="4"/>
              <w:jc w:val="left"/>
              <w:rPr>
                <w:rFonts w:ascii="Times New Roman"/>
                <w:b/>
                <w:sz w:val="18"/>
              </w:rPr>
            </w:pPr>
            <w:r>
              <w:rPr>
                <w:rFonts w:ascii="Times New Roman"/>
                <w:b/>
                <w:sz w:val="18"/>
              </w:rPr>
              <w:t>Keys/100MW</w:t>
            </w:r>
          </w:p>
        </w:tc>
        <w:tc>
          <w:tcPr>
            <w:tcW w:w="897" w:type="dxa"/>
            <w:tcBorders>
              <w:top w:val="nil"/>
            </w:tcBorders>
            <w:shd w:val="clear" w:color="auto" w:fill="5FFF00"/>
          </w:tcPr>
          <w:p>
            <w:pPr>
              <w:pStyle w:val="TableParagraph"/>
              <w:spacing w:before="4"/>
              <w:ind w:left="2"/>
              <w:jc w:val="left"/>
              <w:rPr>
                <w:rFonts w:ascii="Times New Roman"/>
                <w:b/>
                <w:sz w:val="18"/>
              </w:rPr>
            </w:pPr>
            <w:r>
              <w:rPr>
                <w:rFonts w:ascii="Times New Roman"/>
                <w:b/>
                <w:sz w:val="18"/>
              </w:rPr>
              <w:t>7.1 msf/619</w:t>
            </w:r>
          </w:p>
          <w:p>
            <w:pPr>
              <w:pStyle w:val="TableParagraph"/>
              <w:spacing w:line="203" w:lineRule="exact" w:before="19"/>
              <w:ind w:left="250"/>
              <w:jc w:val="left"/>
              <w:rPr>
                <w:rFonts w:ascii="Times New Roman"/>
                <w:b/>
                <w:sz w:val="18"/>
              </w:rPr>
            </w:pPr>
            <w:r>
              <w:rPr>
                <w:rFonts w:ascii="Times New Roman"/>
                <w:b/>
                <w:sz w:val="18"/>
              </w:rPr>
              <w:t>Keys</w:t>
            </w:r>
          </w:p>
        </w:tc>
        <w:tc>
          <w:tcPr>
            <w:tcW w:w="1139" w:type="dxa"/>
            <w:tcBorders>
              <w:top w:val="nil"/>
            </w:tcBorders>
            <w:shd w:val="clear" w:color="auto" w:fill="5FFF00"/>
          </w:tcPr>
          <w:p>
            <w:pPr>
              <w:pStyle w:val="TableParagraph"/>
              <w:spacing w:before="4"/>
              <w:ind w:left="34"/>
              <w:jc w:val="left"/>
              <w:rPr>
                <w:rFonts w:ascii="Times New Roman"/>
                <w:b/>
                <w:sz w:val="18"/>
              </w:rPr>
            </w:pPr>
            <w:r>
              <w:rPr>
                <w:rFonts w:ascii="Times New Roman"/>
                <w:b/>
                <w:sz w:val="18"/>
              </w:rPr>
              <w:t>33.3</w:t>
            </w:r>
            <w:r>
              <w:rPr>
                <w:rFonts w:ascii="Times New Roman"/>
                <w:b/>
                <w:spacing w:val="-1"/>
                <w:sz w:val="18"/>
              </w:rPr>
              <w:t> </w:t>
            </w:r>
            <w:r>
              <w:rPr>
                <w:rFonts w:ascii="Times New Roman"/>
                <w:b/>
                <w:sz w:val="18"/>
              </w:rPr>
              <w:t>msf/1096</w:t>
            </w:r>
          </w:p>
          <w:p>
            <w:pPr>
              <w:pStyle w:val="TableParagraph"/>
              <w:spacing w:line="203" w:lineRule="exact" w:before="19"/>
              <w:ind w:left="37"/>
              <w:jc w:val="left"/>
              <w:rPr>
                <w:rFonts w:ascii="Times New Roman"/>
                <w:b/>
                <w:sz w:val="18"/>
              </w:rPr>
            </w:pPr>
            <w:r>
              <w:rPr>
                <w:rFonts w:ascii="Times New Roman"/>
                <w:b/>
                <w:sz w:val="18"/>
              </w:rPr>
              <w:t>Keys/100MW</w:t>
            </w:r>
          </w:p>
        </w:tc>
        <w:tc>
          <w:tcPr>
            <w:tcW w:w="897" w:type="dxa"/>
            <w:tcBorders>
              <w:top w:val="nil"/>
            </w:tcBorders>
            <w:shd w:val="clear" w:color="auto" w:fill="5FFF00"/>
          </w:tcPr>
          <w:p>
            <w:pPr>
              <w:pStyle w:val="TableParagraph"/>
              <w:jc w:val="left"/>
              <w:rPr>
                <w:rFonts w:ascii="Times New Roman"/>
                <w:sz w:val="18"/>
              </w:rPr>
            </w:pPr>
          </w:p>
        </w:tc>
        <w:tc>
          <w:tcPr>
            <w:tcW w:w="741" w:type="dxa"/>
            <w:tcBorders>
              <w:top w:val="nil"/>
            </w:tcBorders>
            <w:shd w:val="clear" w:color="auto" w:fill="5FFF00"/>
          </w:tcPr>
          <w:p>
            <w:pPr>
              <w:pStyle w:val="TableParagraph"/>
              <w:jc w:val="left"/>
              <w:rPr>
                <w:rFonts w:ascii="Times New Roman"/>
                <w:sz w:val="18"/>
              </w:rPr>
            </w:pPr>
          </w:p>
        </w:tc>
        <w:tc>
          <w:tcPr>
            <w:tcW w:w="1290" w:type="dxa"/>
            <w:tcBorders>
              <w:top w:val="nil"/>
            </w:tcBorders>
            <w:shd w:val="clear" w:color="auto" w:fill="5FFF00"/>
          </w:tcPr>
          <w:p>
            <w:pPr>
              <w:pStyle w:val="TableParagraph"/>
              <w:jc w:val="left"/>
              <w:rPr>
                <w:rFonts w:ascii="Times New Roman"/>
                <w:sz w:val="18"/>
              </w:rPr>
            </w:pPr>
          </w:p>
        </w:tc>
        <w:tc>
          <w:tcPr>
            <w:tcW w:w="1132" w:type="dxa"/>
            <w:tcBorders>
              <w:top w:val="nil"/>
            </w:tcBorders>
            <w:shd w:val="clear" w:color="auto" w:fill="5FFF00"/>
          </w:tcPr>
          <w:p>
            <w:pPr>
              <w:pStyle w:val="TableParagraph"/>
              <w:jc w:val="left"/>
              <w:rPr>
                <w:rFonts w:ascii="Times New Roman"/>
                <w:sz w:val="18"/>
              </w:rPr>
            </w:pPr>
          </w:p>
        </w:tc>
        <w:tc>
          <w:tcPr>
            <w:tcW w:w="1135" w:type="dxa"/>
            <w:tcBorders>
              <w:top w:val="nil"/>
            </w:tcBorders>
            <w:shd w:val="clear" w:color="auto" w:fill="5FFF00"/>
          </w:tcPr>
          <w:p>
            <w:pPr>
              <w:pStyle w:val="TableParagraph"/>
              <w:spacing w:before="117"/>
              <w:ind w:left="124" w:right="109"/>
              <w:rPr>
                <w:rFonts w:ascii="Times New Roman"/>
                <w:b/>
                <w:sz w:val="18"/>
              </w:rPr>
            </w:pPr>
            <w:r>
              <w:rPr>
                <w:rFonts w:ascii="Times New Roman"/>
                <w:b/>
                <w:sz w:val="18"/>
              </w:rPr>
              <w:t>299,702</w:t>
            </w:r>
          </w:p>
        </w:tc>
        <w:tc>
          <w:tcPr>
            <w:tcW w:w="1211" w:type="dxa"/>
            <w:tcBorders>
              <w:top w:val="nil"/>
            </w:tcBorders>
            <w:shd w:val="clear" w:color="auto" w:fill="5FFF00"/>
          </w:tcPr>
          <w:p>
            <w:pPr>
              <w:pStyle w:val="TableParagraph"/>
              <w:spacing w:before="117"/>
              <w:ind w:left="354"/>
              <w:jc w:val="left"/>
              <w:rPr>
                <w:rFonts w:ascii="Times New Roman"/>
                <w:b/>
                <w:sz w:val="18"/>
              </w:rPr>
            </w:pPr>
            <w:r>
              <w:rPr>
                <w:rFonts w:ascii="Times New Roman"/>
                <w:b/>
                <w:sz w:val="18"/>
              </w:rPr>
              <w:t>31,981</w:t>
            </w:r>
          </w:p>
        </w:tc>
        <w:tc>
          <w:tcPr>
            <w:tcW w:w="849" w:type="dxa"/>
            <w:tcBorders>
              <w:top w:val="nil"/>
              <w:right w:val="nil"/>
            </w:tcBorders>
            <w:shd w:val="clear" w:color="auto" w:fill="5FFF00"/>
          </w:tcPr>
          <w:p>
            <w:pPr>
              <w:pStyle w:val="TableParagraph"/>
              <w:spacing w:before="117"/>
              <w:ind w:right="130"/>
              <w:jc w:val="right"/>
              <w:rPr>
                <w:rFonts w:ascii="Times New Roman"/>
                <w:b/>
                <w:sz w:val="18"/>
              </w:rPr>
            </w:pPr>
            <w:r>
              <w:rPr>
                <w:rFonts w:ascii="Times New Roman"/>
                <w:b/>
                <w:sz w:val="18"/>
              </w:rPr>
              <w:t>331,683</w:t>
            </w:r>
          </w:p>
        </w:tc>
      </w:tr>
      <w:tr>
        <w:trPr>
          <w:trHeight w:val="227" w:hRule="atLeast"/>
        </w:trPr>
        <w:tc>
          <w:tcPr>
            <w:tcW w:w="2640" w:type="dxa"/>
            <w:tcBorders>
              <w:left w:val="nil"/>
              <w:bottom w:val="nil"/>
            </w:tcBorders>
            <w:shd w:val="clear" w:color="auto" w:fill="5FFF00"/>
          </w:tcPr>
          <w:p>
            <w:pPr>
              <w:pStyle w:val="TableParagraph"/>
              <w:spacing w:line="203" w:lineRule="exact" w:before="4"/>
              <w:ind w:left="26"/>
              <w:rPr>
                <w:rFonts w:ascii="Times New Roman"/>
                <w:b/>
                <w:sz w:val="18"/>
              </w:rPr>
            </w:pPr>
            <w:r>
              <w:rPr>
                <w:rFonts w:ascii="Times New Roman"/>
                <w:b/>
                <w:sz w:val="18"/>
              </w:rPr>
              <w:t>% Split</w:t>
            </w:r>
          </w:p>
        </w:tc>
        <w:tc>
          <w:tcPr>
            <w:tcW w:w="1080" w:type="dxa"/>
            <w:tcBorders>
              <w:bottom w:val="nil"/>
            </w:tcBorders>
            <w:shd w:val="clear" w:color="auto" w:fill="5FFF00"/>
          </w:tcPr>
          <w:p>
            <w:pPr>
              <w:pStyle w:val="TableParagraph"/>
              <w:jc w:val="left"/>
              <w:rPr>
                <w:rFonts w:ascii="Times New Roman"/>
                <w:sz w:val="16"/>
              </w:rPr>
            </w:pPr>
          </w:p>
        </w:tc>
        <w:tc>
          <w:tcPr>
            <w:tcW w:w="897" w:type="dxa"/>
            <w:tcBorders>
              <w:bottom w:val="nil"/>
            </w:tcBorders>
            <w:shd w:val="clear" w:color="auto" w:fill="5FFF00"/>
          </w:tcPr>
          <w:p>
            <w:pPr>
              <w:pStyle w:val="TableParagraph"/>
              <w:jc w:val="left"/>
              <w:rPr>
                <w:rFonts w:ascii="Times New Roman"/>
                <w:sz w:val="16"/>
              </w:rPr>
            </w:pPr>
          </w:p>
        </w:tc>
        <w:tc>
          <w:tcPr>
            <w:tcW w:w="1139" w:type="dxa"/>
            <w:tcBorders>
              <w:bottom w:val="nil"/>
            </w:tcBorders>
            <w:shd w:val="clear" w:color="auto" w:fill="5FFF00"/>
          </w:tcPr>
          <w:p>
            <w:pPr>
              <w:pStyle w:val="TableParagraph"/>
              <w:jc w:val="left"/>
              <w:rPr>
                <w:rFonts w:ascii="Times New Roman"/>
                <w:sz w:val="16"/>
              </w:rPr>
            </w:pPr>
          </w:p>
        </w:tc>
        <w:tc>
          <w:tcPr>
            <w:tcW w:w="897" w:type="dxa"/>
            <w:tcBorders>
              <w:bottom w:val="nil"/>
            </w:tcBorders>
            <w:shd w:val="clear" w:color="auto" w:fill="5FFF00"/>
          </w:tcPr>
          <w:p>
            <w:pPr>
              <w:pStyle w:val="TableParagraph"/>
              <w:jc w:val="left"/>
              <w:rPr>
                <w:rFonts w:ascii="Times New Roman"/>
                <w:sz w:val="16"/>
              </w:rPr>
            </w:pPr>
          </w:p>
        </w:tc>
        <w:tc>
          <w:tcPr>
            <w:tcW w:w="741" w:type="dxa"/>
            <w:tcBorders>
              <w:bottom w:val="nil"/>
            </w:tcBorders>
            <w:shd w:val="clear" w:color="auto" w:fill="5FFF00"/>
          </w:tcPr>
          <w:p>
            <w:pPr>
              <w:pStyle w:val="TableParagraph"/>
              <w:jc w:val="left"/>
              <w:rPr>
                <w:rFonts w:ascii="Times New Roman"/>
                <w:sz w:val="16"/>
              </w:rPr>
            </w:pPr>
          </w:p>
        </w:tc>
        <w:tc>
          <w:tcPr>
            <w:tcW w:w="1290" w:type="dxa"/>
            <w:tcBorders>
              <w:bottom w:val="nil"/>
            </w:tcBorders>
            <w:shd w:val="clear" w:color="auto" w:fill="5FFF00"/>
          </w:tcPr>
          <w:p>
            <w:pPr>
              <w:pStyle w:val="TableParagraph"/>
              <w:jc w:val="left"/>
              <w:rPr>
                <w:rFonts w:ascii="Times New Roman"/>
                <w:sz w:val="16"/>
              </w:rPr>
            </w:pPr>
          </w:p>
        </w:tc>
        <w:tc>
          <w:tcPr>
            <w:tcW w:w="1132" w:type="dxa"/>
            <w:tcBorders>
              <w:bottom w:val="nil"/>
            </w:tcBorders>
            <w:shd w:val="clear" w:color="auto" w:fill="5FFF00"/>
          </w:tcPr>
          <w:p>
            <w:pPr>
              <w:pStyle w:val="TableParagraph"/>
              <w:jc w:val="left"/>
              <w:rPr>
                <w:rFonts w:ascii="Times New Roman"/>
                <w:sz w:val="16"/>
              </w:rPr>
            </w:pPr>
          </w:p>
        </w:tc>
        <w:tc>
          <w:tcPr>
            <w:tcW w:w="1135" w:type="dxa"/>
            <w:tcBorders>
              <w:bottom w:val="nil"/>
            </w:tcBorders>
            <w:shd w:val="clear" w:color="auto" w:fill="5FFF00"/>
          </w:tcPr>
          <w:p>
            <w:pPr>
              <w:pStyle w:val="TableParagraph"/>
              <w:spacing w:line="203" w:lineRule="exact" w:before="4"/>
              <w:ind w:left="125" w:right="107"/>
              <w:rPr>
                <w:rFonts w:ascii="Times New Roman"/>
                <w:b/>
                <w:sz w:val="18"/>
              </w:rPr>
            </w:pPr>
            <w:r>
              <w:rPr>
                <w:rFonts w:ascii="Times New Roman"/>
                <w:b/>
                <w:sz w:val="18"/>
              </w:rPr>
              <w:t>90%</w:t>
            </w:r>
          </w:p>
        </w:tc>
        <w:tc>
          <w:tcPr>
            <w:tcW w:w="1211" w:type="dxa"/>
            <w:tcBorders>
              <w:bottom w:val="nil"/>
            </w:tcBorders>
            <w:shd w:val="clear" w:color="auto" w:fill="5FFF00"/>
          </w:tcPr>
          <w:p>
            <w:pPr>
              <w:pStyle w:val="TableParagraph"/>
              <w:spacing w:line="203" w:lineRule="exact" w:before="4"/>
              <w:ind w:left="421"/>
              <w:jc w:val="left"/>
              <w:rPr>
                <w:rFonts w:ascii="Times New Roman"/>
                <w:b/>
                <w:sz w:val="18"/>
              </w:rPr>
            </w:pPr>
            <w:r>
              <w:rPr>
                <w:rFonts w:ascii="Times New Roman"/>
                <w:b/>
                <w:sz w:val="18"/>
              </w:rPr>
              <w:t>10%</w:t>
            </w:r>
          </w:p>
        </w:tc>
        <w:tc>
          <w:tcPr>
            <w:tcW w:w="849" w:type="dxa"/>
            <w:tcBorders>
              <w:bottom w:val="nil"/>
              <w:right w:val="nil"/>
            </w:tcBorders>
            <w:shd w:val="clear" w:color="auto" w:fill="5FFF00"/>
          </w:tcPr>
          <w:p>
            <w:pPr>
              <w:pStyle w:val="TableParagraph"/>
              <w:spacing w:line="203" w:lineRule="exact" w:before="4"/>
              <w:ind w:right="194"/>
              <w:jc w:val="right"/>
              <w:rPr>
                <w:rFonts w:ascii="Times New Roman"/>
                <w:b/>
                <w:sz w:val="18"/>
              </w:rPr>
            </w:pPr>
            <w:r>
              <w:rPr>
                <w:rFonts w:ascii="Times New Roman"/>
                <w:b/>
                <w:sz w:val="18"/>
              </w:rPr>
              <w:t>100%</w:t>
            </w:r>
          </w:p>
        </w:tc>
      </w:tr>
    </w:tbl>
    <w:p>
      <w:pPr>
        <w:spacing w:before="19"/>
        <w:ind w:left="140" w:right="0" w:firstLine="0"/>
        <w:jc w:val="left"/>
        <w:rPr>
          <w:rFonts w:ascii="Times New Roman" w:hAnsi="Times New Roman"/>
          <w:i/>
          <w:sz w:val="20"/>
        </w:rPr>
      </w:pPr>
      <w:r>
        <w:rPr>
          <w:rFonts w:ascii="Times New Roman" w:hAnsi="Times New Roman"/>
          <w:i/>
          <w:sz w:val="20"/>
          <w:vertAlign w:val="superscript"/>
        </w:rPr>
        <w:t>*</w:t>
      </w:r>
      <w:r>
        <w:rPr>
          <w:rFonts w:ascii="Times New Roman" w:hAnsi="Times New Roman"/>
          <w:i/>
          <w:sz w:val="20"/>
          <w:vertAlign w:val="baseline"/>
        </w:rPr>
        <w:t>Indicative of Embassy REIT’s economic interest in the asset, viz. 50%; ^ Inclusive of car park rent</w:t>
      </w:r>
    </w:p>
    <w:p>
      <w:pPr>
        <w:spacing w:after="0"/>
        <w:jc w:val="left"/>
        <w:rPr>
          <w:rFonts w:ascii="Times New Roman" w:hAnsi="Times New Roman"/>
          <w:sz w:val="20"/>
        </w:rPr>
        <w:sectPr>
          <w:headerReference w:type="default" r:id="rId28"/>
          <w:footerReference w:type="default" r:id="rId29"/>
          <w:pgSz w:w="15840" w:h="12240" w:orient="landscape"/>
          <w:pgMar w:header="728" w:footer="1268" w:top="1200" w:bottom="1460" w:left="1300" w:right="1300"/>
          <w:pgNumType w:start="42"/>
        </w:sectPr>
      </w:pPr>
    </w:p>
    <w:p>
      <w:pPr>
        <w:pStyle w:val="BodyText"/>
        <w:spacing w:before="4"/>
        <w:rPr>
          <w:rFonts w:ascii="Times New Roman"/>
          <w:i/>
          <w:sz w:val="16"/>
        </w:rPr>
      </w:pPr>
    </w:p>
    <w:p>
      <w:pPr>
        <w:spacing w:before="91"/>
        <w:ind w:left="140" w:right="0" w:firstLine="0"/>
        <w:jc w:val="left"/>
        <w:rPr>
          <w:rFonts w:ascii="Times New Roman" w:hAnsi="Times New Roman"/>
          <w:sz w:val="20"/>
        </w:rPr>
      </w:pPr>
      <w:r>
        <w:rPr>
          <w:rFonts w:ascii="Times New Roman" w:hAnsi="Times New Roman"/>
          <w:color w:val="16772B"/>
          <w:sz w:val="20"/>
        </w:rPr>
        <w:t>Key Assumptions and Value Summary – September’19</w:t>
      </w:r>
    </w:p>
    <w:p>
      <w:pPr>
        <w:pStyle w:val="BodyText"/>
        <w:rPr>
          <w:rFonts w:ascii="Times New Roman"/>
          <w:sz w:val="20"/>
        </w:rPr>
      </w:pPr>
    </w:p>
    <w:p>
      <w:pPr>
        <w:pStyle w:val="BodyText"/>
        <w:spacing w:before="10"/>
        <w:rPr>
          <w:rFonts w:ascii="Times New Roman"/>
          <w:sz w:val="18"/>
        </w:rPr>
      </w:pPr>
    </w:p>
    <w:tbl>
      <w:tblPr>
        <w:tblW w:w="0" w:type="auto"/>
        <w:jc w:val="left"/>
        <w:tblInd w:w="11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2640"/>
        <w:gridCol w:w="1080"/>
        <w:gridCol w:w="897"/>
        <w:gridCol w:w="1139"/>
        <w:gridCol w:w="897"/>
        <w:gridCol w:w="741"/>
        <w:gridCol w:w="1290"/>
        <w:gridCol w:w="1132"/>
        <w:gridCol w:w="1135"/>
        <w:gridCol w:w="1211"/>
        <w:gridCol w:w="849"/>
      </w:tblGrid>
      <w:tr>
        <w:trPr>
          <w:trHeight w:val="227" w:hRule="atLeast"/>
        </w:trPr>
        <w:tc>
          <w:tcPr>
            <w:tcW w:w="2640" w:type="dxa"/>
            <w:tcBorders>
              <w:top w:val="nil"/>
              <w:left w:val="nil"/>
            </w:tcBorders>
            <w:shd w:val="clear" w:color="auto" w:fill="004A35"/>
          </w:tcPr>
          <w:p>
            <w:pPr>
              <w:pStyle w:val="TableParagraph"/>
              <w:jc w:val="left"/>
              <w:rPr>
                <w:rFonts w:ascii="Times New Roman"/>
                <w:sz w:val="16"/>
              </w:rPr>
            </w:pPr>
          </w:p>
        </w:tc>
        <w:tc>
          <w:tcPr>
            <w:tcW w:w="3116" w:type="dxa"/>
            <w:gridSpan w:val="3"/>
            <w:tcBorders>
              <w:top w:val="nil"/>
            </w:tcBorders>
            <w:shd w:val="clear" w:color="auto" w:fill="004A35"/>
          </w:tcPr>
          <w:p>
            <w:pPr>
              <w:pStyle w:val="TableParagraph"/>
              <w:spacing w:line="203" w:lineRule="exact" w:before="4"/>
              <w:ind w:left="314"/>
              <w:jc w:val="left"/>
              <w:rPr>
                <w:rFonts w:ascii="Times New Roman"/>
                <w:b/>
                <w:sz w:val="18"/>
              </w:rPr>
            </w:pPr>
            <w:r>
              <w:rPr>
                <w:rFonts w:ascii="Times New Roman"/>
                <w:b/>
                <w:color w:val="FFFFFF"/>
                <w:sz w:val="18"/>
              </w:rPr>
              <w:t>Leasable Area (msf)/ Keys/ MW</w:t>
            </w:r>
          </w:p>
        </w:tc>
        <w:tc>
          <w:tcPr>
            <w:tcW w:w="1638" w:type="dxa"/>
            <w:gridSpan w:val="2"/>
            <w:tcBorders>
              <w:top w:val="nil"/>
            </w:tcBorders>
            <w:shd w:val="clear" w:color="auto" w:fill="004A35"/>
          </w:tcPr>
          <w:p>
            <w:pPr>
              <w:pStyle w:val="TableParagraph"/>
              <w:spacing w:line="203" w:lineRule="exact" w:before="4"/>
              <w:ind w:left="268"/>
              <w:jc w:val="left"/>
              <w:rPr>
                <w:rFonts w:ascii="Times New Roman"/>
                <w:b/>
                <w:sz w:val="18"/>
              </w:rPr>
            </w:pPr>
            <w:r>
              <w:rPr>
                <w:rFonts w:ascii="Times New Roman"/>
                <w:b/>
                <w:color w:val="FFFFFF"/>
                <w:sz w:val="18"/>
              </w:rPr>
              <w:t>Discount Rate</w:t>
            </w:r>
          </w:p>
        </w:tc>
        <w:tc>
          <w:tcPr>
            <w:tcW w:w="1290" w:type="dxa"/>
            <w:tcBorders>
              <w:top w:val="nil"/>
            </w:tcBorders>
            <w:shd w:val="clear" w:color="auto" w:fill="004A35"/>
          </w:tcPr>
          <w:p>
            <w:pPr>
              <w:pStyle w:val="TableParagraph"/>
              <w:jc w:val="left"/>
              <w:rPr>
                <w:rFonts w:ascii="Times New Roman"/>
                <w:sz w:val="16"/>
              </w:rPr>
            </w:pPr>
          </w:p>
        </w:tc>
        <w:tc>
          <w:tcPr>
            <w:tcW w:w="1132" w:type="dxa"/>
            <w:tcBorders>
              <w:top w:val="nil"/>
            </w:tcBorders>
            <w:shd w:val="clear" w:color="auto" w:fill="004A35"/>
          </w:tcPr>
          <w:p>
            <w:pPr>
              <w:pStyle w:val="TableParagraph"/>
              <w:jc w:val="left"/>
              <w:rPr>
                <w:rFonts w:ascii="Times New Roman"/>
                <w:sz w:val="16"/>
              </w:rPr>
            </w:pPr>
          </w:p>
        </w:tc>
        <w:tc>
          <w:tcPr>
            <w:tcW w:w="3195" w:type="dxa"/>
            <w:gridSpan w:val="3"/>
            <w:tcBorders>
              <w:top w:val="nil"/>
              <w:right w:val="nil"/>
            </w:tcBorders>
            <w:shd w:val="clear" w:color="auto" w:fill="004A35"/>
          </w:tcPr>
          <w:p>
            <w:pPr>
              <w:pStyle w:val="TableParagraph"/>
              <w:spacing w:line="203" w:lineRule="exact" w:before="4"/>
              <w:ind w:left="548"/>
              <w:jc w:val="left"/>
              <w:rPr>
                <w:rFonts w:ascii="Times New Roman" w:hAnsi="Times New Roman"/>
                <w:b/>
                <w:sz w:val="18"/>
              </w:rPr>
            </w:pPr>
            <w:r>
              <w:rPr>
                <w:rFonts w:ascii="Times New Roman" w:hAnsi="Times New Roman"/>
                <w:b/>
                <w:color w:val="FFFFFF"/>
                <w:sz w:val="18"/>
              </w:rPr>
              <w:t>GAV as of Sep’19 (Rs mm)</w:t>
            </w:r>
          </w:p>
        </w:tc>
      </w:tr>
      <w:tr>
        <w:trPr>
          <w:trHeight w:val="676" w:hRule="atLeast"/>
        </w:trPr>
        <w:tc>
          <w:tcPr>
            <w:tcW w:w="2640" w:type="dxa"/>
            <w:tcBorders>
              <w:left w:val="nil"/>
            </w:tcBorders>
            <w:shd w:val="clear" w:color="auto" w:fill="004A35"/>
          </w:tcPr>
          <w:p>
            <w:pPr>
              <w:pStyle w:val="TableParagraph"/>
              <w:spacing w:before="11"/>
              <w:jc w:val="left"/>
              <w:rPr>
                <w:rFonts w:ascii="Times New Roman"/>
                <w:sz w:val="19"/>
              </w:rPr>
            </w:pPr>
          </w:p>
          <w:p>
            <w:pPr>
              <w:pStyle w:val="TableParagraph"/>
              <w:ind w:left="25"/>
              <w:rPr>
                <w:rFonts w:ascii="Times New Roman"/>
                <w:b/>
                <w:sz w:val="18"/>
              </w:rPr>
            </w:pPr>
            <w:r>
              <w:rPr>
                <w:rFonts w:ascii="Times New Roman"/>
                <w:b/>
                <w:color w:val="FFFFFF"/>
                <w:sz w:val="18"/>
              </w:rPr>
              <w:t>Asset</w:t>
            </w:r>
          </w:p>
        </w:tc>
        <w:tc>
          <w:tcPr>
            <w:tcW w:w="1080" w:type="dxa"/>
            <w:shd w:val="clear" w:color="auto" w:fill="004A35"/>
          </w:tcPr>
          <w:p>
            <w:pPr>
              <w:pStyle w:val="TableParagraph"/>
              <w:spacing w:before="11"/>
              <w:jc w:val="left"/>
              <w:rPr>
                <w:rFonts w:ascii="Times New Roman"/>
                <w:sz w:val="19"/>
              </w:rPr>
            </w:pPr>
          </w:p>
          <w:p>
            <w:pPr>
              <w:pStyle w:val="TableParagraph"/>
              <w:ind w:left="90" w:right="89"/>
              <w:rPr>
                <w:rFonts w:ascii="Times New Roman"/>
                <w:b/>
                <w:sz w:val="18"/>
              </w:rPr>
            </w:pPr>
            <w:r>
              <w:rPr>
                <w:rFonts w:ascii="Times New Roman"/>
                <w:b/>
                <w:color w:val="FFFFFF"/>
                <w:sz w:val="18"/>
              </w:rPr>
              <w:t>Completed</w:t>
            </w:r>
          </w:p>
        </w:tc>
        <w:tc>
          <w:tcPr>
            <w:tcW w:w="897" w:type="dxa"/>
            <w:shd w:val="clear" w:color="auto" w:fill="004A35"/>
          </w:tcPr>
          <w:p>
            <w:pPr>
              <w:pStyle w:val="TableParagraph"/>
              <w:spacing w:line="259" w:lineRule="auto" w:before="117"/>
              <w:ind w:left="283" w:right="35" w:hanging="231"/>
              <w:jc w:val="left"/>
              <w:rPr>
                <w:rFonts w:ascii="Times New Roman"/>
                <w:b/>
                <w:sz w:val="18"/>
              </w:rPr>
            </w:pPr>
            <w:r>
              <w:rPr>
                <w:rFonts w:ascii="Times New Roman"/>
                <w:b/>
                <w:color w:val="FFFFFF"/>
                <w:sz w:val="18"/>
              </w:rPr>
              <w:t>Proposed/ U/C</w:t>
            </w:r>
          </w:p>
        </w:tc>
        <w:tc>
          <w:tcPr>
            <w:tcW w:w="1139" w:type="dxa"/>
            <w:shd w:val="clear" w:color="auto" w:fill="004A35"/>
          </w:tcPr>
          <w:p>
            <w:pPr>
              <w:pStyle w:val="TableParagraph"/>
              <w:spacing w:before="11"/>
              <w:jc w:val="left"/>
              <w:rPr>
                <w:rFonts w:ascii="Times New Roman"/>
                <w:sz w:val="19"/>
              </w:rPr>
            </w:pPr>
          </w:p>
          <w:p>
            <w:pPr>
              <w:pStyle w:val="TableParagraph"/>
              <w:ind w:left="149" w:right="144"/>
              <w:rPr>
                <w:rFonts w:ascii="Times New Roman"/>
                <w:b/>
                <w:sz w:val="18"/>
              </w:rPr>
            </w:pPr>
            <w:r>
              <w:rPr>
                <w:rFonts w:ascii="Times New Roman"/>
                <w:b/>
                <w:color w:val="FFFFFF"/>
                <w:sz w:val="18"/>
              </w:rPr>
              <w:t>Total</w:t>
            </w:r>
          </w:p>
        </w:tc>
        <w:tc>
          <w:tcPr>
            <w:tcW w:w="897" w:type="dxa"/>
            <w:shd w:val="clear" w:color="auto" w:fill="004A35"/>
          </w:tcPr>
          <w:p>
            <w:pPr>
              <w:pStyle w:val="TableParagraph"/>
              <w:spacing w:before="11"/>
              <w:jc w:val="left"/>
              <w:rPr>
                <w:rFonts w:ascii="Times New Roman"/>
                <w:sz w:val="19"/>
              </w:rPr>
            </w:pPr>
          </w:p>
          <w:p>
            <w:pPr>
              <w:pStyle w:val="TableParagraph"/>
              <w:ind w:left="6"/>
              <w:rPr>
                <w:rFonts w:ascii="Times New Roman"/>
                <w:b/>
                <w:sz w:val="18"/>
              </w:rPr>
            </w:pPr>
            <w:r>
              <w:rPr>
                <w:rFonts w:ascii="Times New Roman"/>
                <w:b/>
                <w:color w:val="FFFFFF"/>
                <w:sz w:val="18"/>
              </w:rPr>
              <w:t>Completed</w:t>
            </w:r>
          </w:p>
        </w:tc>
        <w:tc>
          <w:tcPr>
            <w:tcW w:w="741" w:type="dxa"/>
            <w:shd w:val="clear" w:color="auto" w:fill="004A35"/>
          </w:tcPr>
          <w:p>
            <w:pPr>
              <w:pStyle w:val="TableParagraph"/>
              <w:spacing w:before="11"/>
              <w:jc w:val="left"/>
              <w:rPr>
                <w:rFonts w:ascii="Times New Roman"/>
                <w:sz w:val="19"/>
              </w:rPr>
            </w:pPr>
          </w:p>
          <w:p>
            <w:pPr>
              <w:pStyle w:val="TableParagraph"/>
              <w:ind w:left="66" w:right="59"/>
              <w:rPr>
                <w:rFonts w:ascii="Times New Roman"/>
                <w:b/>
                <w:sz w:val="18"/>
              </w:rPr>
            </w:pPr>
            <w:r>
              <w:rPr>
                <w:rFonts w:ascii="Times New Roman"/>
                <w:b/>
                <w:color w:val="FFFFFF"/>
                <w:sz w:val="18"/>
              </w:rPr>
              <w:t>U/C</w:t>
            </w:r>
          </w:p>
        </w:tc>
        <w:tc>
          <w:tcPr>
            <w:tcW w:w="1290" w:type="dxa"/>
            <w:shd w:val="clear" w:color="auto" w:fill="004A35"/>
          </w:tcPr>
          <w:p>
            <w:pPr>
              <w:pStyle w:val="TableParagraph"/>
              <w:spacing w:line="259" w:lineRule="auto" w:before="6"/>
              <w:ind w:left="296" w:hanging="44"/>
              <w:jc w:val="left"/>
              <w:rPr>
                <w:rFonts w:ascii="Times New Roman"/>
                <w:b/>
                <w:sz w:val="18"/>
              </w:rPr>
            </w:pPr>
            <w:r>
              <w:rPr>
                <w:rFonts w:ascii="Times New Roman"/>
                <w:b/>
                <w:color w:val="FFFFFF"/>
                <w:sz w:val="18"/>
              </w:rPr>
              <w:t>Cap </w:t>
            </w:r>
            <w:r>
              <w:rPr>
                <w:rFonts w:ascii="Times New Roman"/>
                <w:b/>
                <w:color w:val="FFFFFF"/>
                <w:spacing w:val="-4"/>
                <w:sz w:val="18"/>
              </w:rPr>
              <w:t>Rate/ </w:t>
            </w:r>
            <w:r>
              <w:rPr>
                <w:rFonts w:ascii="Times New Roman"/>
                <w:b/>
                <w:color w:val="FFFFFF"/>
                <w:sz w:val="18"/>
              </w:rPr>
              <w:t>EBITDA</w:t>
            </w:r>
          </w:p>
          <w:p>
            <w:pPr>
              <w:pStyle w:val="TableParagraph"/>
              <w:spacing w:line="202" w:lineRule="exact"/>
              <w:ind w:left="310"/>
              <w:jc w:val="left"/>
              <w:rPr>
                <w:rFonts w:ascii="Times New Roman"/>
                <w:b/>
                <w:sz w:val="18"/>
              </w:rPr>
            </w:pPr>
            <w:r>
              <w:rPr>
                <w:rFonts w:ascii="Times New Roman"/>
                <w:b/>
                <w:color w:val="FFFFFF"/>
                <w:sz w:val="18"/>
              </w:rPr>
              <w:t>Multiple</w:t>
            </w:r>
          </w:p>
        </w:tc>
        <w:tc>
          <w:tcPr>
            <w:tcW w:w="1132" w:type="dxa"/>
            <w:shd w:val="clear" w:color="auto" w:fill="004A35"/>
          </w:tcPr>
          <w:p>
            <w:pPr>
              <w:pStyle w:val="TableParagraph"/>
              <w:spacing w:line="259" w:lineRule="auto" w:before="6"/>
              <w:ind w:left="110" w:right="100"/>
              <w:rPr>
                <w:rFonts w:ascii="Times New Roman"/>
                <w:b/>
                <w:sz w:val="18"/>
              </w:rPr>
            </w:pPr>
            <w:r>
              <w:rPr>
                <w:rFonts w:ascii="Times New Roman"/>
                <w:b/>
                <w:color w:val="FFFFFF"/>
                <w:sz w:val="18"/>
              </w:rPr>
              <w:t>Rent/ ADR/Tariff</w:t>
            </w:r>
          </w:p>
          <w:p>
            <w:pPr>
              <w:pStyle w:val="TableParagraph"/>
              <w:spacing w:line="202" w:lineRule="exact"/>
              <w:ind w:left="110" w:right="98"/>
              <w:rPr>
                <w:rFonts w:ascii="Times New Roman"/>
                <w:b/>
                <w:sz w:val="18"/>
              </w:rPr>
            </w:pPr>
            <w:r>
              <w:rPr>
                <w:rFonts w:ascii="Times New Roman"/>
                <w:b/>
                <w:color w:val="FFFFFF"/>
                <w:sz w:val="18"/>
              </w:rPr>
              <w:t>Rate</w:t>
            </w:r>
          </w:p>
        </w:tc>
        <w:tc>
          <w:tcPr>
            <w:tcW w:w="1135" w:type="dxa"/>
            <w:shd w:val="clear" w:color="auto" w:fill="004A35"/>
          </w:tcPr>
          <w:p>
            <w:pPr>
              <w:pStyle w:val="TableParagraph"/>
              <w:spacing w:before="11"/>
              <w:jc w:val="left"/>
              <w:rPr>
                <w:rFonts w:ascii="Times New Roman"/>
                <w:sz w:val="19"/>
              </w:rPr>
            </w:pPr>
          </w:p>
          <w:p>
            <w:pPr>
              <w:pStyle w:val="TableParagraph"/>
              <w:ind w:left="125" w:right="109"/>
              <w:rPr>
                <w:rFonts w:ascii="Times New Roman"/>
                <w:b/>
                <w:sz w:val="18"/>
              </w:rPr>
            </w:pPr>
            <w:r>
              <w:rPr>
                <w:rFonts w:ascii="Times New Roman"/>
                <w:b/>
                <w:color w:val="FFFFFF"/>
                <w:sz w:val="18"/>
              </w:rPr>
              <w:t>Completed</w:t>
            </w:r>
          </w:p>
        </w:tc>
        <w:tc>
          <w:tcPr>
            <w:tcW w:w="1211" w:type="dxa"/>
            <w:shd w:val="clear" w:color="auto" w:fill="004A35"/>
          </w:tcPr>
          <w:p>
            <w:pPr>
              <w:pStyle w:val="TableParagraph"/>
              <w:spacing w:line="259" w:lineRule="auto" w:before="117"/>
              <w:ind w:left="448" w:right="186" w:hanging="233"/>
              <w:jc w:val="left"/>
              <w:rPr>
                <w:rFonts w:ascii="Times New Roman"/>
                <w:b/>
                <w:sz w:val="18"/>
              </w:rPr>
            </w:pPr>
            <w:r>
              <w:rPr>
                <w:rFonts w:ascii="Times New Roman"/>
                <w:b/>
                <w:color w:val="FFFFFF"/>
                <w:sz w:val="18"/>
              </w:rPr>
              <w:t>Proposed/ U/C</w:t>
            </w:r>
          </w:p>
        </w:tc>
        <w:tc>
          <w:tcPr>
            <w:tcW w:w="849" w:type="dxa"/>
            <w:tcBorders>
              <w:right w:val="nil"/>
            </w:tcBorders>
            <w:shd w:val="clear" w:color="auto" w:fill="004A35"/>
          </w:tcPr>
          <w:p>
            <w:pPr>
              <w:pStyle w:val="TableParagraph"/>
              <w:spacing w:before="11"/>
              <w:jc w:val="left"/>
              <w:rPr>
                <w:rFonts w:ascii="Times New Roman"/>
                <w:sz w:val="19"/>
              </w:rPr>
            </w:pPr>
          </w:p>
          <w:p>
            <w:pPr>
              <w:pStyle w:val="TableParagraph"/>
              <w:ind w:right="218"/>
              <w:jc w:val="right"/>
              <w:rPr>
                <w:rFonts w:ascii="Times New Roman"/>
                <w:b/>
                <w:sz w:val="18"/>
              </w:rPr>
            </w:pPr>
            <w:r>
              <w:rPr>
                <w:rFonts w:ascii="Times New Roman"/>
                <w:b/>
                <w:color w:val="FFFFFF"/>
                <w:sz w:val="18"/>
              </w:rPr>
              <w:t>Total</w:t>
            </w:r>
          </w:p>
        </w:tc>
      </w:tr>
      <w:tr>
        <w:trPr>
          <w:trHeight w:val="228" w:hRule="atLeast"/>
        </w:trPr>
        <w:tc>
          <w:tcPr>
            <w:tcW w:w="2640" w:type="dxa"/>
            <w:tcBorders>
              <w:left w:val="nil"/>
              <w:bottom w:val="nil"/>
            </w:tcBorders>
            <w:shd w:val="clear" w:color="auto" w:fill="5FFF00"/>
          </w:tcPr>
          <w:p>
            <w:pPr>
              <w:pStyle w:val="TableParagraph"/>
              <w:spacing w:line="204" w:lineRule="exact" w:before="4"/>
              <w:ind w:left="24"/>
              <w:rPr>
                <w:rFonts w:ascii="Times New Roman"/>
                <w:b/>
                <w:sz w:val="18"/>
              </w:rPr>
            </w:pPr>
            <w:r>
              <w:rPr>
                <w:rFonts w:ascii="Times New Roman"/>
                <w:b/>
                <w:sz w:val="18"/>
                <w:u w:val="single"/>
              </w:rPr>
              <w:t>Commercial Assets</w:t>
            </w:r>
          </w:p>
        </w:tc>
        <w:tc>
          <w:tcPr>
            <w:tcW w:w="1080" w:type="dxa"/>
            <w:tcBorders>
              <w:bottom w:val="nil"/>
            </w:tcBorders>
            <w:shd w:val="clear" w:color="auto" w:fill="5FFF00"/>
          </w:tcPr>
          <w:p>
            <w:pPr>
              <w:pStyle w:val="TableParagraph"/>
              <w:jc w:val="left"/>
              <w:rPr>
                <w:rFonts w:ascii="Times New Roman"/>
                <w:sz w:val="16"/>
              </w:rPr>
            </w:pPr>
          </w:p>
        </w:tc>
        <w:tc>
          <w:tcPr>
            <w:tcW w:w="897" w:type="dxa"/>
            <w:tcBorders>
              <w:bottom w:val="nil"/>
            </w:tcBorders>
            <w:shd w:val="clear" w:color="auto" w:fill="5FFF00"/>
          </w:tcPr>
          <w:p>
            <w:pPr>
              <w:pStyle w:val="TableParagraph"/>
              <w:jc w:val="left"/>
              <w:rPr>
                <w:rFonts w:ascii="Times New Roman"/>
                <w:sz w:val="16"/>
              </w:rPr>
            </w:pPr>
          </w:p>
        </w:tc>
        <w:tc>
          <w:tcPr>
            <w:tcW w:w="1139" w:type="dxa"/>
            <w:tcBorders>
              <w:bottom w:val="nil"/>
            </w:tcBorders>
            <w:shd w:val="clear" w:color="auto" w:fill="5FFF00"/>
          </w:tcPr>
          <w:p>
            <w:pPr>
              <w:pStyle w:val="TableParagraph"/>
              <w:jc w:val="left"/>
              <w:rPr>
                <w:rFonts w:ascii="Times New Roman"/>
                <w:sz w:val="16"/>
              </w:rPr>
            </w:pPr>
          </w:p>
        </w:tc>
        <w:tc>
          <w:tcPr>
            <w:tcW w:w="897" w:type="dxa"/>
            <w:tcBorders>
              <w:bottom w:val="nil"/>
            </w:tcBorders>
            <w:shd w:val="clear" w:color="auto" w:fill="5FFF00"/>
          </w:tcPr>
          <w:p>
            <w:pPr>
              <w:pStyle w:val="TableParagraph"/>
              <w:jc w:val="left"/>
              <w:rPr>
                <w:rFonts w:ascii="Times New Roman"/>
                <w:sz w:val="16"/>
              </w:rPr>
            </w:pPr>
          </w:p>
        </w:tc>
        <w:tc>
          <w:tcPr>
            <w:tcW w:w="741" w:type="dxa"/>
            <w:tcBorders>
              <w:bottom w:val="nil"/>
            </w:tcBorders>
            <w:shd w:val="clear" w:color="auto" w:fill="5FFF00"/>
          </w:tcPr>
          <w:p>
            <w:pPr>
              <w:pStyle w:val="TableParagraph"/>
              <w:jc w:val="left"/>
              <w:rPr>
                <w:rFonts w:ascii="Times New Roman"/>
                <w:sz w:val="16"/>
              </w:rPr>
            </w:pPr>
          </w:p>
        </w:tc>
        <w:tc>
          <w:tcPr>
            <w:tcW w:w="1290" w:type="dxa"/>
            <w:tcBorders>
              <w:bottom w:val="nil"/>
            </w:tcBorders>
            <w:shd w:val="clear" w:color="auto" w:fill="5FFF00"/>
          </w:tcPr>
          <w:p>
            <w:pPr>
              <w:pStyle w:val="TableParagraph"/>
              <w:jc w:val="left"/>
              <w:rPr>
                <w:rFonts w:ascii="Times New Roman"/>
                <w:sz w:val="16"/>
              </w:rPr>
            </w:pPr>
          </w:p>
        </w:tc>
        <w:tc>
          <w:tcPr>
            <w:tcW w:w="1132" w:type="dxa"/>
            <w:tcBorders>
              <w:bottom w:val="nil"/>
            </w:tcBorders>
            <w:shd w:val="clear" w:color="auto" w:fill="5FFF00"/>
          </w:tcPr>
          <w:p>
            <w:pPr>
              <w:pStyle w:val="TableParagraph"/>
              <w:jc w:val="left"/>
              <w:rPr>
                <w:rFonts w:ascii="Times New Roman"/>
                <w:sz w:val="16"/>
              </w:rPr>
            </w:pPr>
          </w:p>
        </w:tc>
        <w:tc>
          <w:tcPr>
            <w:tcW w:w="1135" w:type="dxa"/>
            <w:tcBorders>
              <w:bottom w:val="nil"/>
            </w:tcBorders>
            <w:shd w:val="clear" w:color="auto" w:fill="5FFF00"/>
          </w:tcPr>
          <w:p>
            <w:pPr>
              <w:pStyle w:val="TableParagraph"/>
              <w:jc w:val="left"/>
              <w:rPr>
                <w:rFonts w:ascii="Times New Roman"/>
                <w:sz w:val="16"/>
              </w:rPr>
            </w:pPr>
          </w:p>
        </w:tc>
        <w:tc>
          <w:tcPr>
            <w:tcW w:w="1211" w:type="dxa"/>
            <w:tcBorders>
              <w:bottom w:val="nil"/>
            </w:tcBorders>
            <w:shd w:val="clear" w:color="auto" w:fill="5FFF00"/>
          </w:tcPr>
          <w:p>
            <w:pPr>
              <w:pStyle w:val="TableParagraph"/>
              <w:jc w:val="left"/>
              <w:rPr>
                <w:rFonts w:ascii="Times New Roman"/>
                <w:sz w:val="16"/>
              </w:rPr>
            </w:pPr>
          </w:p>
        </w:tc>
        <w:tc>
          <w:tcPr>
            <w:tcW w:w="849" w:type="dxa"/>
            <w:tcBorders>
              <w:bottom w:val="nil"/>
              <w:right w:val="nil"/>
            </w:tcBorders>
            <w:shd w:val="clear" w:color="auto" w:fill="5FFF00"/>
          </w:tcPr>
          <w:p>
            <w:pPr>
              <w:pStyle w:val="TableParagraph"/>
              <w:jc w:val="left"/>
              <w:rPr>
                <w:rFonts w:ascii="Times New Roman"/>
                <w:sz w:val="16"/>
              </w:rPr>
            </w:pPr>
          </w:p>
        </w:tc>
      </w:tr>
      <w:tr>
        <w:trPr>
          <w:trHeight w:val="257" w:hRule="atLeast"/>
        </w:trPr>
        <w:tc>
          <w:tcPr>
            <w:tcW w:w="2640" w:type="dxa"/>
            <w:tcBorders>
              <w:top w:val="nil"/>
              <w:left w:val="nil"/>
              <w:bottom w:val="nil"/>
            </w:tcBorders>
          </w:tcPr>
          <w:p>
            <w:pPr>
              <w:pStyle w:val="TableParagraph"/>
              <w:spacing w:before="26"/>
              <w:ind w:left="26"/>
              <w:rPr>
                <w:rFonts w:ascii="Times New Roman"/>
                <w:sz w:val="18"/>
              </w:rPr>
            </w:pPr>
            <w:r>
              <w:rPr>
                <w:rFonts w:ascii="Times New Roman"/>
                <w:sz w:val="18"/>
              </w:rPr>
              <w:t>Embassy Manyata</w:t>
            </w:r>
          </w:p>
        </w:tc>
        <w:tc>
          <w:tcPr>
            <w:tcW w:w="1080" w:type="dxa"/>
            <w:tcBorders>
              <w:top w:val="nil"/>
              <w:bottom w:val="nil"/>
            </w:tcBorders>
          </w:tcPr>
          <w:p>
            <w:pPr>
              <w:pStyle w:val="TableParagraph"/>
              <w:spacing w:before="26"/>
              <w:ind w:left="89" w:right="89"/>
              <w:rPr>
                <w:rFonts w:ascii="Times New Roman"/>
                <w:sz w:val="18"/>
              </w:rPr>
            </w:pPr>
            <w:r>
              <w:rPr>
                <w:rFonts w:ascii="Times New Roman"/>
                <w:sz w:val="18"/>
              </w:rPr>
              <w:t>11.0</w:t>
            </w:r>
          </w:p>
        </w:tc>
        <w:tc>
          <w:tcPr>
            <w:tcW w:w="897" w:type="dxa"/>
            <w:tcBorders>
              <w:top w:val="nil"/>
              <w:bottom w:val="nil"/>
            </w:tcBorders>
          </w:tcPr>
          <w:p>
            <w:pPr>
              <w:pStyle w:val="TableParagraph"/>
              <w:spacing w:before="26"/>
              <w:ind w:left="3"/>
              <w:rPr>
                <w:rFonts w:ascii="Times New Roman"/>
                <w:sz w:val="18"/>
              </w:rPr>
            </w:pPr>
            <w:r>
              <w:rPr>
                <w:rFonts w:ascii="Times New Roman"/>
                <w:sz w:val="18"/>
              </w:rPr>
              <w:t>3.3</w:t>
            </w:r>
          </w:p>
        </w:tc>
        <w:tc>
          <w:tcPr>
            <w:tcW w:w="1139" w:type="dxa"/>
            <w:tcBorders>
              <w:top w:val="nil"/>
              <w:bottom w:val="nil"/>
            </w:tcBorders>
          </w:tcPr>
          <w:p>
            <w:pPr>
              <w:pStyle w:val="TableParagraph"/>
              <w:spacing w:before="26"/>
              <w:ind w:left="149" w:right="144"/>
              <w:rPr>
                <w:rFonts w:ascii="Times New Roman"/>
                <w:sz w:val="18"/>
              </w:rPr>
            </w:pPr>
            <w:r>
              <w:rPr>
                <w:rFonts w:ascii="Times New Roman"/>
                <w:sz w:val="18"/>
              </w:rPr>
              <w:t>14.2</w:t>
            </w:r>
          </w:p>
        </w:tc>
        <w:tc>
          <w:tcPr>
            <w:tcW w:w="897" w:type="dxa"/>
            <w:tcBorders>
              <w:top w:val="nil"/>
              <w:bottom w:val="nil"/>
            </w:tcBorders>
          </w:tcPr>
          <w:p>
            <w:pPr>
              <w:pStyle w:val="TableParagraph"/>
              <w:spacing w:before="26"/>
              <w:ind w:left="4"/>
              <w:rPr>
                <w:rFonts w:ascii="Times New Roman"/>
                <w:sz w:val="18"/>
              </w:rPr>
            </w:pPr>
            <w:r>
              <w:rPr>
                <w:rFonts w:ascii="Times New Roman"/>
                <w:sz w:val="18"/>
              </w:rPr>
              <w:t>12.30%</w:t>
            </w:r>
          </w:p>
        </w:tc>
        <w:tc>
          <w:tcPr>
            <w:tcW w:w="741" w:type="dxa"/>
            <w:tcBorders>
              <w:top w:val="nil"/>
              <w:bottom w:val="nil"/>
            </w:tcBorders>
          </w:tcPr>
          <w:p>
            <w:pPr>
              <w:pStyle w:val="TableParagraph"/>
              <w:spacing w:before="26"/>
              <w:ind w:left="66" w:right="59"/>
              <w:rPr>
                <w:rFonts w:ascii="Times New Roman"/>
                <w:sz w:val="18"/>
              </w:rPr>
            </w:pPr>
            <w:r>
              <w:rPr>
                <w:rFonts w:ascii="Times New Roman"/>
                <w:sz w:val="18"/>
              </w:rPr>
              <w:t>13.30%</w:t>
            </w:r>
          </w:p>
        </w:tc>
        <w:tc>
          <w:tcPr>
            <w:tcW w:w="1290" w:type="dxa"/>
            <w:tcBorders>
              <w:top w:val="nil"/>
              <w:bottom w:val="nil"/>
            </w:tcBorders>
          </w:tcPr>
          <w:p>
            <w:pPr>
              <w:pStyle w:val="TableParagraph"/>
              <w:spacing w:before="26"/>
              <w:ind w:left="387" w:right="377"/>
              <w:rPr>
                <w:rFonts w:ascii="Times New Roman"/>
                <w:sz w:val="18"/>
              </w:rPr>
            </w:pPr>
            <w:r>
              <w:rPr>
                <w:rFonts w:ascii="Times New Roman"/>
                <w:sz w:val="18"/>
              </w:rPr>
              <w:t>8.00%</w:t>
            </w:r>
          </w:p>
        </w:tc>
        <w:tc>
          <w:tcPr>
            <w:tcW w:w="1132" w:type="dxa"/>
            <w:tcBorders>
              <w:top w:val="nil"/>
              <w:bottom w:val="nil"/>
            </w:tcBorders>
          </w:tcPr>
          <w:p>
            <w:pPr>
              <w:pStyle w:val="TableParagraph"/>
              <w:spacing w:before="26"/>
              <w:ind w:left="110" w:right="99"/>
              <w:rPr>
                <w:rFonts w:ascii="Times New Roman"/>
                <w:sz w:val="18"/>
              </w:rPr>
            </w:pPr>
            <w:r>
              <w:rPr>
                <w:rFonts w:ascii="Times New Roman"/>
                <w:sz w:val="18"/>
              </w:rPr>
              <w:t>85</w:t>
            </w:r>
          </w:p>
        </w:tc>
        <w:tc>
          <w:tcPr>
            <w:tcW w:w="1135" w:type="dxa"/>
            <w:tcBorders>
              <w:top w:val="nil"/>
              <w:bottom w:val="nil"/>
            </w:tcBorders>
          </w:tcPr>
          <w:p>
            <w:pPr>
              <w:pStyle w:val="TableParagraph"/>
              <w:spacing w:before="26"/>
              <w:ind w:left="124" w:right="109"/>
              <w:rPr>
                <w:rFonts w:ascii="Times New Roman"/>
                <w:sz w:val="18"/>
              </w:rPr>
            </w:pPr>
            <w:r>
              <w:rPr>
                <w:rFonts w:ascii="Times New Roman"/>
                <w:sz w:val="18"/>
              </w:rPr>
              <w:t>113,662</w:t>
            </w:r>
          </w:p>
        </w:tc>
        <w:tc>
          <w:tcPr>
            <w:tcW w:w="1211" w:type="dxa"/>
            <w:tcBorders>
              <w:top w:val="nil"/>
              <w:bottom w:val="nil"/>
            </w:tcBorders>
          </w:tcPr>
          <w:p>
            <w:pPr>
              <w:pStyle w:val="TableParagraph"/>
              <w:spacing w:before="26"/>
              <w:ind w:left="354"/>
              <w:jc w:val="left"/>
              <w:rPr>
                <w:rFonts w:ascii="Times New Roman"/>
                <w:sz w:val="18"/>
              </w:rPr>
            </w:pPr>
            <w:r>
              <w:rPr>
                <w:rFonts w:ascii="Times New Roman"/>
                <w:sz w:val="18"/>
              </w:rPr>
              <w:t>22,306</w:t>
            </w:r>
          </w:p>
        </w:tc>
        <w:tc>
          <w:tcPr>
            <w:tcW w:w="849" w:type="dxa"/>
            <w:tcBorders>
              <w:top w:val="nil"/>
              <w:bottom w:val="nil"/>
              <w:right w:val="nil"/>
            </w:tcBorders>
          </w:tcPr>
          <w:p>
            <w:pPr>
              <w:pStyle w:val="TableParagraph"/>
              <w:spacing w:before="26"/>
              <w:ind w:right="130"/>
              <w:jc w:val="right"/>
              <w:rPr>
                <w:rFonts w:ascii="Times New Roman"/>
                <w:sz w:val="18"/>
              </w:rPr>
            </w:pPr>
            <w:r>
              <w:rPr>
                <w:rFonts w:ascii="Times New Roman"/>
                <w:sz w:val="18"/>
              </w:rPr>
              <w:t>135,968</w:t>
            </w:r>
          </w:p>
        </w:tc>
      </w:tr>
      <w:tr>
        <w:trPr>
          <w:trHeight w:val="248" w:hRule="atLeast"/>
        </w:trPr>
        <w:tc>
          <w:tcPr>
            <w:tcW w:w="2640" w:type="dxa"/>
            <w:tcBorders>
              <w:top w:val="nil"/>
              <w:left w:val="nil"/>
              <w:bottom w:val="nil"/>
            </w:tcBorders>
          </w:tcPr>
          <w:p>
            <w:pPr>
              <w:pStyle w:val="TableParagraph"/>
              <w:spacing w:before="16"/>
              <w:ind w:left="31"/>
              <w:rPr>
                <w:rFonts w:ascii="Times New Roman"/>
                <w:sz w:val="18"/>
              </w:rPr>
            </w:pPr>
            <w:r>
              <w:rPr>
                <w:rFonts w:ascii="Times New Roman"/>
                <w:sz w:val="18"/>
              </w:rPr>
              <w:t>Embassy GolfLinks*</w:t>
            </w:r>
          </w:p>
        </w:tc>
        <w:tc>
          <w:tcPr>
            <w:tcW w:w="1080" w:type="dxa"/>
            <w:tcBorders>
              <w:top w:val="nil"/>
              <w:bottom w:val="nil"/>
            </w:tcBorders>
          </w:tcPr>
          <w:p>
            <w:pPr>
              <w:pStyle w:val="TableParagraph"/>
              <w:spacing w:before="16"/>
              <w:ind w:left="90" w:right="89"/>
              <w:rPr>
                <w:rFonts w:ascii="Times New Roman"/>
                <w:sz w:val="18"/>
              </w:rPr>
            </w:pPr>
            <w:r>
              <w:rPr>
                <w:rFonts w:ascii="Times New Roman"/>
                <w:sz w:val="18"/>
              </w:rPr>
              <w:t>2.7</w:t>
            </w:r>
          </w:p>
        </w:tc>
        <w:tc>
          <w:tcPr>
            <w:tcW w:w="897" w:type="dxa"/>
            <w:tcBorders>
              <w:top w:val="nil"/>
              <w:bottom w:val="nil"/>
            </w:tcBorders>
          </w:tcPr>
          <w:p>
            <w:pPr>
              <w:pStyle w:val="TableParagraph"/>
              <w:spacing w:before="16"/>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6"/>
              <w:ind w:left="146" w:right="144"/>
              <w:rPr>
                <w:rFonts w:ascii="Times New Roman"/>
                <w:sz w:val="18"/>
              </w:rPr>
            </w:pPr>
            <w:r>
              <w:rPr>
                <w:rFonts w:ascii="Times New Roman"/>
                <w:sz w:val="18"/>
              </w:rPr>
              <w:t>2.7</w:t>
            </w:r>
          </w:p>
        </w:tc>
        <w:tc>
          <w:tcPr>
            <w:tcW w:w="897" w:type="dxa"/>
            <w:tcBorders>
              <w:top w:val="nil"/>
              <w:bottom w:val="nil"/>
            </w:tcBorders>
          </w:tcPr>
          <w:p>
            <w:pPr>
              <w:pStyle w:val="TableParagraph"/>
              <w:spacing w:before="16"/>
              <w:ind w:left="4"/>
              <w:rPr>
                <w:rFonts w:ascii="Times New Roman"/>
                <w:sz w:val="18"/>
              </w:rPr>
            </w:pPr>
            <w:r>
              <w:rPr>
                <w:rFonts w:ascii="Times New Roman"/>
                <w:sz w:val="18"/>
              </w:rPr>
              <w:t>12.30%</w:t>
            </w:r>
          </w:p>
        </w:tc>
        <w:tc>
          <w:tcPr>
            <w:tcW w:w="741" w:type="dxa"/>
            <w:tcBorders>
              <w:top w:val="nil"/>
              <w:bottom w:val="nil"/>
            </w:tcBorders>
          </w:tcPr>
          <w:p>
            <w:pPr>
              <w:pStyle w:val="TableParagraph"/>
              <w:spacing w:before="16"/>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6"/>
              <w:ind w:left="387" w:right="377"/>
              <w:rPr>
                <w:rFonts w:ascii="Times New Roman"/>
                <w:sz w:val="18"/>
              </w:rPr>
            </w:pPr>
            <w:r>
              <w:rPr>
                <w:rFonts w:ascii="Times New Roman"/>
                <w:sz w:val="18"/>
              </w:rPr>
              <w:t>8.00%</w:t>
            </w:r>
          </w:p>
        </w:tc>
        <w:tc>
          <w:tcPr>
            <w:tcW w:w="1132" w:type="dxa"/>
            <w:tcBorders>
              <w:top w:val="nil"/>
              <w:bottom w:val="nil"/>
            </w:tcBorders>
          </w:tcPr>
          <w:p>
            <w:pPr>
              <w:pStyle w:val="TableParagraph"/>
              <w:spacing w:before="16"/>
              <w:ind w:left="110" w:right="99"/>
              <w:rPr>
                <w:rFonts w:ascii="Times New Roman"/>
                <w:sz w:val="18"/>
              </w:rPr>
            </w:pPr>
            <w:r>
              <w:rPr>
                <w:rFonts w:ascii="Times New Roman"/>
                <w:sz w:val="18"/>
              </w:rPr>
              <w:t>146</w:t>
            </w:r>
          </w:p>
        </w:tc>
        <w:tc>
          <w:tcPr>
            <w:tcW w:w="1135" w:type="dxa"/>
            <w:tcBorders>
              <w:top w:val="nil"/>
              <w:bottom w:val="nil"/>
            </w:tcBorders>
          </w:tcPr>
          <w:p>
            <w:pPr>
              <w:pStyle w:val="TableParagraph"/>
              <w:spacing w:before="16"/>
              <w:ind w:left="124" w:right="109"/>
              <w:rPr>
                <w:rFonts w:ascii="Times New Roman"/>
                <w:sz w:val="18"/>
              </w:rPr>
            </w:pPr>
            <w:r>
              <w:rPr>
                <w:rFonts w:ascii="Times New Roman"/>
                <w:sz w:val="18"/>
              </w:rPr>
              <w:t>26,432</w:t>
            </w:r>
          </w:p>
        </w:tc>
        <w:tc>
          <w:tcPr>
            <w:tcW w:w="1211" w:type="dxa"/>
            <w:tcBorders>
              <w:top w:val="nil"/>
              <w:bottom w:val="nil"/>
            </w:tcBorders>
          </w:tcPr>
          <w:p>
            <w:pPr>
              <w:pStyle w:val="TableParagraph"/>
              <w:spacing w:before="16"/>
              <w:ind w:left="14"/>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6"/>
              <w:ind w:right="175"/>
              <w:jc w:val="right"/>
              <w:rPr>
                <w:rFonts w:ascii="Times New Roman"/>
                <w:sz w:val="18"/>
              </w:rPr>
            </w:pPr>
            <w:r>
              <w:rPr>
                <w:rFonts w:ascii="Times New Roman"/>
                <w:sz w:val="18"/>
              </w:rPr>
              <w:t>26,432</w:t>
            </w:r>
          </w:p>
        </w:tc>
      </w:tr>
      <w:tr>
        <w:trPr>
          <w:trHeight w:val="248" w:hRule="atLeast"/>
        </w:trPr>
        <w:tc>
          <w:tcPr>
            <w:tcW w:w="2640" w:type="dxa"/>
            <w:tcBorders>
              <w:top w:val="nil"/>
              <w:left w:val="nil"/>
              <w:bottom w:val="nil"/>
            </w:tcBorders>
          </w:tcPr>
          <w:p>
            <w:pPr>
              <w:pStyle w:val="TableParagraph"/>
              <w:spacing w:before="17"/>
              <w:ind w:left="27"/>
              <w:rPr>
                <w:rFonts w:ascii="Times New Roman"/>
                <w:sz w:val="18"/>
              </w:rPr>
            </w:pPr>
            <w:r>
              <w:rPr>
                <w:rFonts w:ascii="Times New Roman"/>
                <w:sz w:val="18"/>
              </w:rPr>
              <w:t>Embassy One</w:t>
            </w:r>
          </w:p>
        </w:tc>
        <w:tc>
          <w:tcPr>
            <w:tcW w:w="1080" w:type="dxa"/>
            <w:tcBorders>
              <w:top w:val="nil"/>
              <w:bottom w:val="nil"/>
            </w:tcBorders>
          </w:tcPr>
          <w:p>
            <w:pPr>
              <w:pStyle w:val="TableParagraph"/>
              <w:spacing w:before="17"/>
              <w:ind w:left="90" w:right="89"/>
              <w:rPr>
                <w:rFonts w:ascii="Times New Roman"/>
                <w:sz w:val="18"/>
              </w:rPr>
            </w:pPr>
            <w:r>
              <w:rPr>
                <w:rFonts w:ascii="Times New Roman"/>
                <w:sz w:val="18"/>
              </w:rPr>
              <w:t>0.3</w:t>
            </w:r>
          </w:p>
        </w:tc>
        <w:tc>
          <w:tcPr>
            <w:tcW w:w="897" w:type="dxa"/>
            <w:tcBorders>
              <w:top w:val="nil"/>
              <w:bottom w:val="nil"/>
            </w:tcBorders>
          </w:tcPr>
          <w:p>
            <w:pPr>
              <w:pStyle w:val="TableParagraph"/>
              <w:spacing w:before="17"/>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7"/>
              <w:ind w:left="146" w:right="144"/>
              <w:rPr>
                <w:rFonts w:ascii="Times New Roman"/>
                <w:sz w:val="18"/>
              </w:rPr>
            </w:pPr>
            <w:r>
              <w:rPr>
                <w:rFonts w:ascii="Times New Roman"/>
                <w:sz w:val="18"/>
              </w:rPr>
              <w:t>0.3</w:t>
            </w:r>
          </w:p>
        </w:tc>
        <w:tc>
          <w:tcPr>
            <w:tcW w:w="897" w:type="dxa"/>
            <w:tcBorders>
              <w:top w:val="nil"/>
              <w:bottom w:val="nil"/>
            </w:tcBorders>
          </w:tcPr>
          <w:p>
            <w:pPr>
              <w:pStyle w:val="TableParagraph"/>
              <w:spacing w:before="17"/>
              <w:ind w:left="4"/>
              <w:rPr>
                <w:rFonts w:ascii="Times New Roman"/>
                <w:sz w:val="18"/>
              </w:rPr>
            </w:pPr>
            <w:r>
              <w:rPr>
                <w:rFonts w:ascii="Times New Roman"/>
                <w:sz w:val="18"/>
              </w:rPr>
              <w:t>12.30%</w:t>
            </w:r>
          </w:p>
        </w:tc>
        <w:tc>
          <w:tcPr>
            <w:tcW w:w="741" w:type="dxa"/>
            <w:tcBorders>
              <w:top w:val="nil"/>
              <w:bottom w:val="nil"/>
            </w:tcBorders>
          </w:tcPr>
          <w:p>
            <w:pPr>
              <w:pStyle w:val="TableParagraph"/>
              <w:spacing w:before="17"/>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7"/>
              <w:ind w:left="387" w:right="377"/>
              <w:rPr>
                <w:rFonts w:ascii="Times New Roman"/>
                <w:sz w:val="18"/>
              </w:rPr>
            </w:pPr>
            <w:r>
              <w:rPr>
                <w:rFonts w:ascii="Times New Roman"/>
                <w:sz w:val="18"/>
              </w:rPr>
              <w:t>7.50%</w:t>
            </w:r>
          </w:p>
        </w:tc>
        <w:tc>
          <w:tcPr>
            <w:tcW w:w="1132" w:type="dxa"/>
            <w:tcBorders>
              <w:top w:val="nil"/>
              <w:bottom w:val="nil"/>
            </w:tcBorders>
          </w:tcPr>
          <w:p>
            <w:pPr>
              <w:pStyle w:val="TableParagraph"/>
              <w:spacing w:before="17"/>
              <w:ind w:left="110" w:right="99"/>
              <w:rPr>
                <w:rFonts w:ascii="Times New Roman"/>
                <w:sz w:val="18"/>
              </w:rPr>
            </w:pPr>
            <w:r>
              <w:rPr>
                <w:rFonts w:ascii="Times New Roman"/>
                <w:sz w:val="18"/>
              </w:rPr>
              <w:t>153</w:t>
            </w:r>
          </w:p>
        </w:tc>
        <w:tc>
          <w:tcPr>
            <w:tcW w:w="1135" w:type="dxa"/>
            <w:tcBorders>
              <w:top w:val="nil"/>
              <w:bottom w:val="nil"/>
            </w:tcBorders>
          </w:tcPr>
          <w:p>
            <w:pPr>
              <w:pStyle w:val="TableParagraph"/>
              <w:spacing w:before="17"/>
              <w:ind w:left="122" w:right="109"/>
              <w:rPr>
                <w:rFonts w:ascii="Times New Roman"/>
                <w:sz w:val="18"/>
              </w:rPr>
            </w:pPr>
            <w:r>
              <w:rPr>
                <w:rFonts w:ascii="Times New Roman"/>
                <w:sz w:val="18"/>
              </w:rPr>
              <w:t>5,608</w:t>
            </w:r>
          </w:p>
        </w:tc>
        <w:tc>
          <w:tcPr>
            <w:tcW w:w="1211" w:type="dxa"/>
            <w:tcBorders>
              <w:top w:val="nil"/>
              <w:bottom w:val="nil"/>
            </w:tcBorders>
          </w:tcPr>
          <w:p>
            <w:pPr>
              <w:pStyle w:val="TableParagraph"/>
              <w:spacing w:before="17"/>
              <w:ind w:left="14"/>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7"/>
              <w:ind w:left="209"/>
              <w:jc w:val="left"/>
              <w:rPr>
                <w:rFonts w:ascii="Times New Roman"/>
                <w:sz w:val="18"/>
              </w:rPr>
            </w:pPr>
            <w:r>
              <w:rPr>
                <w:rFonts w:ascii="Times New Roman"/>
                <w:sz w:val="18"/>
              </w:rPr>
              <w:t>5,608</w:t>
            </w:r>
          </w:p>
        </w:tc>
      </w:tr>
      <w:tr>
        <w:trPr>
          <w:trHeight w:val="248" w:hRule="atLeast"/>
        </w:trPr>
        <w:tc>
          <w:tcPr>
            <w:tcW w:w="2640" w:type="dxa"/>
            <w:tcBorders>
              <w:top w:val="nil"/>
              <w:left w:val="nil"/>
              <w:bottom w:val="nil"/>
            </w:tcBorders>
          </w:tcPr>
          <w:p>
            <w:pPr>
              <w:pStyle w:val="TableParagraph"/>
              <w:spacing w:before="16"/>
              <w:ind w:left="29"/>
              <w:rPr>
                <w:rFonts w:ascii="Times New Roman"/>
                <w:sz w:val="18"/>
              </w:rPr>
            </w:pPr>
            <w:r>
              <w:rPr>
                <w:rFonts w:ascii="Times New Roman"/>
                <w:sz w:val="18"/>
              </w:rPr>
              <w:t>Express Towers</w:t>
            </w:r>
          </w:p>
        </w:tc>
        <w:tc>
          <w:tcPr>
            <w:tcW w:w="1080" w:type="dxa"/>
            <w:tcBorders>
              <w:top w:val="nil"/>
              <w:bottom w:val="nil"/>
            </w:tcBorders>
          </w:tcPr>
          <w:p>
            <w:pPr>
              <w:pStyle w:val="TableParagraph"/>
              <w:spacing w:before="16"/>
              <w:ind w:left="90" w:right="89"/>
              <w:rPr>
                <w:rFonts w:ascii="Times New Roman"/>
                <w:sz w:val="18"/>
              </w:rPr>
            </w:pPr>
            <w:r>
              <w:rPr>
                <w:rFonts w:ascii="Times New Roman"/>
                <w:sz w:val="18"/>
              </w:rPr>
              <w:t>0.5</w:t>
            </w:r>
          </w:p>
        </w:tc>
        <w:tc>
          <w:tcPr>
            <w:tcW w:w="897" w:type="dxa"/>
            <w:tcBorders>
              <w:top w:val="nil"/>
              <w:bottom w:val="nil"/>
            </w:tcBorders>
          </w:tcPr>
          <w:p>
            <w:pPr>
              <w:pStyle w:val="TableParagraph"/>
              <w:spacing w:before="16"/>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6"/>
              <w:ind w:left="146" w:right="144"/>
              <w:rPr>
                <w:rFonts w:ascii="Times New Roman"/>
                <w:sz w:val="18"/>
              </w:rPr>
            </w:pPr>
            <w:r>
              <w:rPr>
                <w:rFonts w:ascii="Times New Roman"/>
                <w:sz w:val="18"/>
              </w:rPr>
              <w:t>0.5</w:t>
            </w:r>
          </w:p>
        </w:tc>
        <w:tc>
          <w:tcPr>
            <w:tcW w:w="897" w:type="dxa"/>
            <w:tcBorders>
              <w:top w:val="nil"/>
              <w:bottom w:val="nil"/>
            </w:tcBorders>
          </w:tcPr>
          <w:p>
            <w:pPr>
              <w:pStyle w:val="TableParagraph"/>
              <w:spacing w:before="16"/>
              <w:ind w:left="4"/>
              <w:rPr>
                <w:rFonts w:ascii="Times New Roman"/>
                <w:sz w:val="18"/>
              </w:rPr>
            </w:pPr>
            <w:r>
              <w:rPr>
                <w:rFonts w:ascii="Times New Roman"/>
                <w:sz w:val="18"/>
              </w:rPr>
              <w:t>12.30%</w:t>
            </w:r>
          </w:p>
        </w:tc>
        <w:tc>
          <w:tcPr>
            <w:tcW w:w="741" w:type="dxa"/>
            <w:tcBorders>
              <w:top w:val="nil"/>
              <w:bottom w:val="nil"/>
            </w:tcBorders>
          </w:tcPr>
          <w:p>
            <w:pPr>
              <w:pStyle w:val="TableParagraph"/>
              <w:spacing w:before="16"/>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6"/>
              <w:ind w:left="387" w:right="377"/>
              <w:rPr>
                <w:rFonts w:ascii="Times New Roman"/>
                <w:sz w:val="18"/>
              </w:rPr>
            </w:pPr>
            <w:r>
              <w:rPr>
                <w:rFonts w:ascii="Times New Roman"/>
                <w:sz w:val="18"/>
              </w:rPr>
              <w:t>7.50%</w:t>
            </w:r>
          </w:p>
        </w:tc>
        <w:tc>
          <w:tcPr>
            <w:tcW w:w="1132" w:type="dxa"/>
            <w:tcBorders>
              <w:top w:val="nil"/>
              <w:bottom w:val="nil"/>
            </w:tcBorders>
          </w:tcPr>
          <w:p>
            <w:pPr>
              <w:pStyle w:val="TableParagraph"/>
              <w:spacing w:before="16"/>
              <w:ind w:left="110" w:right="99"/>
              <w:rPr>
                <w:rFonts w:ascii="Times New Roman"/>
                <w:sz w:val="18"/>
              </w:rPr>
            </w:pPr>
            <w:r>
              <w:rPr>
                <w:rFonts w:ascii="Times New Roman"/>
                <w:sz w:val="18"/>
              </w:rPr>
              <w:t>275</w:t>
            </w:r>
          </w:p>
        </w:tc>
        <w:tc>
          <w:tcPr>
            <w:tcW w:w="1135" w:type="dxa"/>
            <w:tcBorders>
              <w:top w:val="nil"/>
              <w:bottom w:val="nil"/>
            </w:tcBorders>
          </w:tcPr>
          <w:p>
            <w:pPr>
              <w:pStyle w:val="TableParagraph"/>
              <w:spacing w:before="16"/>
              <w:ind w:left="124" w:right="109"/>
              <w:rPr>
                <w:rFonts w:ascii="Times New Roman"/>
                <w:sz w:val="18"/>
              </w:rPr>
            </w:pPr>
            <w:r>
              <w:rPr>
                <w:rFonts w:ascii="Times New Roman"/>
                <w:sz w:val="18"/>
              </w:rPr>
              <w:t>18,590</w:t>
            </w:r>
          </w:p>
        </w:tc>
        <w:tc>
          <w:tcPr>
            <w:tcW w:w="1211" w:type="dxa"/>
            <w:tcBorders>
              <w:top w:val="nil"/>
              <w:bottom w:val="nil"/>
            </w:tcBorders>
          </w:tcPr>
          <w:p>
            <w:pPr>
              <w:pStyle w:val="TableParagraph"/>
              <w:spacing w:before="16"/>
              <w:ind w:left="14"/>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6"/>
              <w:ind w:right="175"/>
              <w:jc w:val="right"/>
              <w:rPr>
                <w:rFonts w:ascii="Times New Roman"/>
                <w:sz w:val="18"/>
              </w:rPr>
            </w:pPr>
            <w:r>
              <w:rPr>
                <w:rFonts w:ascii="Times New Roman"/>
                <w:sz w:val="18"/>
              </w:rPr>
              <w:t>18,590</w:t>
            </w:r>
          </w:p>
        </w:tc>
      </w:tr>
      <w:tr>
        <w:trPr>
          <w:trHeight w:val="248" w:hRule="atLeast"/>
        </w:trPr>
        <w:tc>
          <w:tcPr>
            <w:tcW w:w="2640" w:type="dxa"/>
            <w:tcBorders>
              <w:top w:val="nil"/>
              <w:left w:val="nil"/>
              <w:bottom w:val="nil"/>
            </w:tcBorders>
          </w:tcPr>
          <w:p>
            <w:pPr>
              <w:pStyle w:val="TableParagraph"/>
              <w:spacing w:before="17"/>
              <w:ind w:left="25"/>
              <w:rPr>
                <w:rFonts w:ascii="Times New Roman"/>
                <w:sz w:val="18"/>
              </w:rPr>
            </w:pPr>
            <w:r>
              <w:rPr>
                <w:rFonts w:ascii="Times New Roman"/>
                <w:sz w:val="18"/>
              </w:rPr>
              <w:t>Embassy 247</w:t>
            </w:r>
          </w:p>
        </w:tc>
        <w:tc>
          <w:tcPr>
            <w:tcW w:w="1080" w:type="dxa"/>
            <w:tcBorders>
              <w:top w:val="nil"/>
              <w:bottom w:val="nil"/>
            </w:tcBorders>
          </w:tcPr>
          <w:p>
            <w:pPr>
              <w:pStyle w:val="TableParagraph"/>
              <w:spacing w:before="17"/>
              <w:ind w:left="90" w:right="89"/>
              <w:rPr>
                <w:rFonts w:ascii="Times New Roman"/>
                <w:sz w:val="18"/>
              </w:rPr>
            </w:pPr>
            <w:r>
              <w:rPr>
                <w:rFonts w:ascii="Times New Roman"/>
                <w:sz w:val="18"/>
              </w:rPr>
              <w:t>1.2</w:t>
            </w:r>
          </w:p>
        </w:tc>
        <w:tc>
          <w:tcPr>
            <w:tcW w:w="897" w:type="dxa"/>
            <w:tcBorders>
              <w:top w:val="nil"/>
              <w:bottom w:val="nil"/>
            </w:tcBorders>
          </w:tcPr>
          <w:p>
            <w:pPr>
              <w:pStyle w:val="TableParagraph"/>
              <w:spacing w:before="17"/>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7"/>
              <w:ind w:left="146" w:right="144"/>
              <w:rPr>
                <w:rFonts w:ascii="Times New Roman"/>
                <w:sz w:val="18"/>
              </w:rPr>
            </w:pPr>
            <w:r>
              <w:rPr>
                <w:rFonts w:ascii="Times New Roman"/>
                <w:sz w:val="18"/>
              </w:rPr>
              <w:t>1.2</w:t>
            </w:r>
          </w:p>
        </w:tc>
        <w:tc>
          <w:tcPr>
            <w:tcW w:w="897" w:type="dxa"/>
            <w:tcBorders>
              <w:top w:val="nil"/>
              <w:bottom w:val="nil"/>
            </w:tcBorders>
          </w:tcPr>
          <w:p>
            <w:pPr>
              <w:pStyle w:val="TableParagraph"/>
              <w:spacing w:before="17"/>
              <w:ind w:left="4"/>
              <w:rPr>
                <w:rFonts w:ascii="Times New Roman"/>
                <w:sz w:val="18"/>
              </w:rPr>
            </w:pPr>
            <w:r>
              <w:rPr>
                <w:rFonts w:ascii="Times New Roman"/>
                <w:sz w:val="18"/>
              </w:rPr>
              <w:t>12.30%</w:t>
            </w:r>
          </w:p>
        </w:tc>
        <w:tc>
          <w:tcPr>
            <w:tcW w:w="741" w:type="dxa"/>
            <w:tcBorders>
              <w:top w:val="nil"/>
              <w:bottom w:val="nil"/>
            </w:tcBorders>
          </w:tcPr>
          <w:p>
            <w:pPr>
              <w:pStyle w:val="TableParagraph"/>
              <w:spacing w:before="17"/>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7"/>
              <w:ind w:left="387" w:right="377"/>
              <w:rPr>
                <w:rFonts w:ascii="Times New Roman"/>
                <w:sz w:val="18"/>
              </w:rPr>
            </w:pPr>
            <w:r>
              <w:rPr>
                <w:rFonts w:ascii="Times New Roman"/>
                <w:sz w:val="18"/>
              </w:rPr>
              <w:t>8.00%</w:t>
            </w:r>
          </w:p>
        </w:tc>
        <w:tc>
          <w:tcPr>
            <w:tcW w:w="1132" w:type="dxa"/>
            <w:tcBorders>
              <w:top w:val="nil"/>
              <w:bottom w:val="nil"/>
            </w:tcBorders>
          </w:tcPr>
          <w:p>
            <w:pPr>
              <w:pStyle w:val="TableParagraph"/>
              <w:spacing w:before="17"/>
              <w:ind w:left="110" w:right="99"/>
              <w:rPr>
                <w:rFonts w:ascii="Times New Roman"/>
                <w:sz w:val="18"/>
              </w:rPr>
            </w:pPr>
            <w:r>
              <w:rPr>
                <w:rFonts w:ascii="Times New Roman"/>
                <w:sz w:val="18"/>
              </w:rPr>
              <w:t>105</w:t>
            </w:r>
          </w:p>
        </w:tc>
        <w:tc>
          <w:tcPr>
            <w:tcW w:w="1135" w:type="dxa"/>
            <w:tcBorders>
              <w:top w:val="nil"/>
              <w:bottom w:val="nil"/>
            </w:tcBorders>
          </w:tcPr>
          <w:p>
            <w:pPr>
              <w:pStyle w:val="TableParagraph"/>
              <w:spacing w:before="17"/>
              <w:ind w:left="124" w:right="109"/>
              <w:rPr>
                <w:rFonts w:ascii="Times New Roman"/>
                <w:sz w:val="18"/>
              </w:rPr>
            </w:pPr>
            <w:r>
              <w:rPr>
                <w:rFonts w:ascii="Times New Roman"/>
                <w:sz w:val="18"/>
              </w:rPr>
              <w:t>17,256</w:t>
            </w:r>
          </w:p>
        </w:tc>
        <w:tc>
          <w:tcPr>
            <w:tcW w:w="1211" w:type="dxa"/>
            <w:tcBorders>
              <w:top w:val="nil"/>
              <w:bottom w:val="nil"/>
            </w:tcBorders>
          </w:tcPr>
          <w:p>
            <w:pPr>
              <w:pStyle w:val="TableParagraph"/>
              <w:spacing w:before="17"/>
              <w:ind w:left="14"/>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7"/>
              <w:ind w:right="175"/>
              <w:jc w:val="right"/>
              <w:rPr>
                <w:rFonts w:ascii="Times New Roman"/>
                <w:sz w:val="18"/>
              </w:rPr>
            </w:pPr>
            <w:r>
              <w:rPr>
                <w:rFonts w:ascii="Times New Roman"/>
                <w:sz w:val="18"/>
              </w:rPr>
              <w:t>17,256</w:t>
            </w:r>
          </w:p>
        </w:tc>
      </w:tr>
      <w:tr>
        <w:trPr>
          <w:trHeight w:val="248" w:hRule="atLeast"/>
        </w:trPr>
        <w:tc>
          <w:tcPr>
            <w:tcW w:w="2640" w:type="dxa"/>
            <w:tcBorders>
              <w:top w:val="nil"/>
              <w:left w:val="nil"/>
              <w:bottom w:val="nil"/>
            </w:tcBorders>
          </w:tcPr>
          <w:p>
            <w:pPr>
              <w:pStyle w:val="TableParagraph"/>
              <w:spacing w:before="16"/>
              <w:ind w:left="27"/>
              <w:rPr>
                <w:rFonts w:ascii="Times New Roman"/>
                <w:sz w:val="18"/>
              </w:rPr>
            </w:pPr>
            <w:r>
              <w:rPr>
                <w:rFonts w:ascii="Times New Roman"/>
                <w:sz w:val="18"/>
              </w:rPr>
              <w:t>FIFC</w:t>
            </w:r>
          </w:p>
        </w:tc>
        <w:tc>
          <w:tcPr>
            <w:tcW w:w="1080" w:type="dxa"/>
            <w:tcBorders>
              <w:top w:val="nil"/>
              <w:bottom w:val="nil"/>
            </w:tcBorders>
          </w:tcPr>
          <w:p>
            <w:pPr>
              <w:pStyle w:val="TableParagraph"/>
              <w:spacing w:before="16"/>
              <w:ind w:left="90" w:right="89"/>
              <w:rPr>
                <w:rFonts w:ascii="Times New Roman"/>
                <w:sz w:val="18"/>
              </w:rPr>
            </w:pPr>
            <w:r>
              <w:rPr>
                <w:rFonts w:ascii="Times New Roman"/>
                <w:sz w:val="18"/>
              </w:rPr>
              <w:t>0.4</w:t>
            </w:r>
          </w:p>
        </w:tc>
        <w:tc>
          <w:tcPr>
            <w:tcW w:w="897" w:type="dxa"/>
            <w:tcBorders>
              <w:top w:val="nil"/>
              <w:bottom w:val="nil"/>
            </w:tcBorders>
          </w:tcPr>
          <w:p>
            <w:pPr>
              <w:pStyle w:val="TableParagraph"/>
              <w:spacing w:before="16"/>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6"/>
              <w:ind w:left="146" w:right="144"/>
              <w:rPr>
                <w:rFonts w:ascii="Times New Roman"/>
                <w:sz w:val="18"/>
              </w:rPr>
            </w:pPr>
            <w:r>
              <w:rPr>
                <w:rFonts w:ascii="Times New Roman"/>
                <w:sz w:val="18"/>
              </w:rPr>
              <w:t>0.4</w:t>
            </w:r>
          </w:p>
        </w:tc>
        <w:tc>
          <w:tcPr>
            <w:tcW w:w="897" w:type="dxa"/>
            <w:tcBorders>
              <w:top w:val="nil"/>
              <w:bottom w:val="nil"/>
            </w:tcBorders>
          </w:tcPr>
          <w:p>
            <w:pPr>
              <w:pStyle w:val="TableParagraph"/>
              <w:spacing w:before="16"/>
              <w:ind w:left="4"/>
              <w:rPr>
                <w:rFonts w:ascii="Times New Roman"/>
                <w:sz w:val="18"/>
              </w:rPr>
            </w:pPr>
            <w:r>
              <w:rPr>
                <w:rFonts w:ascii="Times New Roman"/>
                <w:sz w:val="18"/>
              </w:rPr>
              <w:t>12.30%</w:t>
            </w:r>
          </w:p>
        </w:tc>
        <w:tc>
          <w:tcPr>
            <w:tcW w:w="741" w:type="dxa"/>
            <w:tcBorders>
              <w:top w:val="nil"/>
              <w:bottom w:val="nil"/>
            </w:tcBorders>
          </w:tcPr>
          <w:p>
            <w:pPr>
              <w:pStyle w:val="TableParagraph"/>
              <w:spacing w:before="16"/>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6"/>
              <w:ind w:left="387" w:right="377"/>
              <w:rPr>
                <w:rFonts w:ascii="Times New Roman"/>
                <w:sz w:val="18"/>
              </w:rPr>
            </w:pPr>
            <w:r>
              <w:rPr>
                <w:rFonts w:ascii="Times New Roman"/>
                <w:sz w:val="18"/>
              </w:rPr>
              <w:t>7.75%</w:t>
            </w:r>
          </w:p>
        </w:tc>
        <w:tc>
          <w:tcPr>
            <w:tcW w:w="1132" w:type="dxa"/>
            <w:tcBorders>
              <w:top w:val="nil"/>
              <w:bottom w:val="nil"/>
            </w:tcBorders>
          </w:tcPr>
          <w:p>
            <w:pPr>
              <w:pStyle w:val="TableParagraph"/>
              <w:spacing w:before="16"/>
              <w:ind w:left="110" w:right="99"/>
              <w:rPr>
                <w:rFonts w:ascii="Times New Roman"/>
                <w:sz w:val="18"/>
              </w:rPr>
            </w:pPr>
            <w:r>
              <w:rPr>
                <w:rFonts w:ascii="Times New Roman"/>
                <w:sz w:val="18"/>
              </w:rPr>
              <w:t>290</w:t>
            </w:r>
          </w:p>
        </w:tc>
        <w:tc>
          <w:tcPr>
            <w:tcW w:w="1135" w:type="dxa"/>
            <w:tcBorders>
              <w:top w:val="nil"/>
              <w:bottom w:val="nil"/>
            </w:tcBorders>
          </w:tcPr>
          <w:p>
            <w:pPr>
              <w:pStyle w:val="TableParagraph"/>
              <w:spacing w:before="16"/>
              <w:ind w:left="124" w:right="109"/>
              <w:rPr>
                <w:rFonts w:ascii="Times New Roman"/>
                <w:sz w:val="18"/>
              </w:rPr>
            </w:pPr>
            <w:r>
              <w:rPr>
                <w:rFonts w:ascii="Times New Roman"/>
                <w:sz w:val="18"/>
              </w:rPr>
              <w:t>14,912</w:t>
            </w:r>
          </w:p>
        </w:tc>
        <w:tc>
          <w:tcPr>
            <w:tcW w:w="1211" w:type="dxa"/>
            <w:tcBorders>
              <w:top w:val="nil"/>
              <w:bottom w:val="nil"/>
            </w:tcBorders>
          </w:tcPr>
          <w:p>
            <w:pPr>
              <w:pStyle w:val="TableParagraph"/>
              <w:spacing w:before="16"/>
              <w:ind w:left="14"/>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6"/>
              <w:ind w:right="175"/>
              <w:jc w:val="right"/>
              <w:rPr>
                <w:rFonts w:ascii="Times New Roman"/>
                <w:sz w:val="18"/>
              </w:rPr>
            </w:pPr>
            <w:r>
              <w:rPr>
                <w:rFonts w:ascii="Times New Roman"/>
                <w:sz w:val="18"/>
              </w:rPr>
              <w:t>14,912</w:t>
            </w:r>
          </w:p>
        </w:tc>
      </w:tr>
      <w:tr>
        <w:trPr>
          <w:trHeight w:val="248" w:hRule="atLeast"/>
        </w:trPr>
        <w:tc>
          <w:tcPr>
            <w:tcW w:w="2640" w:type="dxa"/>
            <w:tcBorders>
              <w:top w:val="nil"/>
              <w:left w:val="nil"/>
              <w:bottom w:val="nil"/>
            </w:tcBorders>
          </w:tcPr>
          <w:p>
            <w:pPr>
              <w:pStyle w:val="TableParagraph"/>
              <w:spacing w:before="17"/>
              <w:ind w:left="25"/>
              <w:rPr>
                <w:rFonts w:ascii="Times New Roman"/>
                <w:sz w:val="18"/>
              </w:rPr>
            </w:pPr>
            <w:r>
              <w:rPr>
                <w:rFonts w:ascii="Times New Roman"/>
                <w:sz w:val="18"/>
              </w:rPr>
              <w:t>Embassy TechZone</w:t>
            </w:r>
          </w:p>
        </w:tc>
        <w:tc>
          <w:tcPr>
            <w:tcW w:w="1080" w:type="dxa"/>
            <w:tcBorders>
              <w:top w:val="nil"/>
              <w:bottom w:val="nil"/>
            </w:tcBorders>
          </w:tcPr>
          <w:p>
            <w:pPr>
              <w:pStyle w:val="TableParagraph"/>
              <w:spacing w:before="17"/>
              <w:ind w:left="90" w:right="89"/>
              <w:rPr>
                <w:rFonts w:ascii="Times New Roman"/>
                <w:sz w:val="18"/>
              </w:rPr>
            </w:pPr>
            <w:r>
              <w:rPr>
                <w:rFonts w:ascii="Times New Roman"/>
                <w:sz w:val="18"/>
              </w:rPr>
              <w:t>2.2</w:t>
            </w:r>
          </w:p>
        </w:tc>
        <w:tc>
          <w:tcPr>
            <w:tcW w:w="897" w:type="dxa"/>
            <w:tcBorders>
              <w:top w:val="nil"/>
              <w:bottom w:val="nil"/>
            </w:tcBorders>
          </w:tcPr>
          <w:p>
            <w:pPr>
              <w:pStyle w:val="TableParagraph"/>
              <w:spacing w:before="17"/>
              <w:ind w:left="3"/>
              <w:rPr>
                <w:rFonts w:ascii="Times New Roman"/>
                <w:sz w:val="18"/>
              </w:rPr>
            </w:pPr>
            <w:r>
              <w:rPr>
                <w:rFonts w:ascii="Times New Roman"/>
                <w:sz w:val="18"/>
              </w:rPr>
              <w:t>3.3</w:t>
            </w:r>
          </w:p>
        </w:tc>
        <w:tc>
          <w:tcPr>
            <w:tcW w:w="1139" w:type="dxa"/>
            <w:tcBorders>
              <w:top w:val="nil"/>
              <w:bottom w:val="nil"/>
            </w:tcBorders>
          </w:tcPr>
          <w:p>
            <w:pPr>
              <w:pStyle w:val="TableParagraph"/>
              <w:spacing w:before="17"/>
              <w:ind w:left="146" w:right="144"/>
              <w:rPr>
                <w:rFonts w:ascii="Times New Roman"/>
                <w:sz w:val="18"/>
              </w:rPr>
            </w:pPr>
            <w:r>
              <w:rPr>
                <w:rFonts w:ascii="Times New Roman"/>
                <w:sz w:val="18"/>
              </w:rPr>
              <w:t>5.5</w:t>
            </w:r>
          </w:p>
        </w:tc>
        <w:tc>
          <w:tcPr>
            <w:tcW w:w="897" w:type="dxa"/>
            <w:tcBorders>
              <w:top w:val="nil"/>
              <w:bottom w:val="nil"/>
            </w:tcBorders>
          </w:tcPr>
          <w:p>
            <w:pPr>
              <w:pStyle w:val="TableParagraph"/>
              <w:spacing w:before="17"/>
              <w:ind w:left="4"/>
              <w:rPr>
                <w:rFonts w:ascii="Times New Roman"/>
                <w:sz w:val="18"/>
              </w:rPr>
            </w:pPr>
            <w:r>
              <w:rPr>
                <w:rFonts w:ascii="Times New Roman"/>
                <w:sz w:val="18"/>
              </w:rPr>
              <w:t>12.30%</w:t>
            </w:r>
          </w:p>
        </w:tc>
        <w:tc>
          <w:tcPr>
            <w:tcW w:w="741" w:type="dxa"/>
            <w:tcBorders>
              <w:top w:val="nil"/>
              <w:bottom w:val="nil"/>
            </w:tcBorders>
          </w:tcPr>
          <w:p>
            <w:pPr>
              <w:pStyle w:val="TableParagraph"/>
              <w:spacing w:before="17"/>
              <w:ind w:left="66" w:right="59"/>
              <w:rPr>
                <w:rFonts w:ascii="Times New Roman"/>
                <w:sz w:val="18"/>
              </w:rPr>
            </w:pPr>
            <w:r>
              <w:rPr>
                <w:rFonts w:ascii="Times New Roman"/>
                <w:sz w:val="18"/>
              </w:rPr>
              <w:t>13.30%</w:t>
            </w:r>
          </w:p>
        </w:tc>
        <w:tc>
          <w:tcPr>
            <w:tcW w:w="1290" w:type="dxa"/>
            <w:tcBorders>
              <w:top w:val="nil"/>
              <w:bottom w:val="nil"/>
            </w:tcBorders>
          </w:tcPr>
          <w:p>
            <w:pPr>
              <w:pStyle w:val="TableParagraph"/>
              <w:spacing w:before="17"/>
              <w:ind w:left="387" w:right="377"/>
              <w:rPr>
                <w:rFonts w:ascii="Times New Roman"/>
                <w:sz w:val="18"/>
              </w:rPr>
            </w:pPr>
            <w:r>
              <w:rPr>
                <w:rFonts w:ascii="Times New Roman"/>
                <w:sz w:val="18"/>
              </w:rPr>
              <w:t>8.25%</w:t>
            </w:r>
          </w:p>
        </w:tc>
        <w:tc>
          <w:tcPr>
            <w:tcW w:w="1132" w:type="dxa"/>
            <w:tcBorders>
              <w:top w:val="nil"/>
              <w:bottom w:val="nil"/>
            </w:tcBorders>
          </w:tcPr>
          <w:p>
            <w:pPr>
              <w:pStyle w:val="TableParagraph"/>
              <w:spacing w:before="17"/>
              <w:ind w:left="110" w:right="99"/>
              <w:rPr>
                <w:rFonts w:ascii="Times New Roman"/>
                <w:sz w:val="18"/>
              </w:rPr>
            </w:pPr>
            <w:r>
              <w:rPr>
                <w:rFonts w:ascii="Times New Roman"/>
                <w:sz w:val="18"/>
              </w:rPr>
              <w:t>48</w:t>
            </w:r>
          </w:p>
        </w:tc>
        <w:tc>
          <w:tcPr>
            <w:tcW w:w="1135" w:type="dxa"/>
            <w:tcBorders>
              <w:top w:val="nil"/>
              <w:bottom w:val="nil"/>
            </w:tcBorders>
          </w:tcPr>
          <w:p>
            <w:pPr>
              <w:pStyle w:val="TableParagraph"/>
              <w:spacing w:before="17"/>
              <w:ind w:left="124" w:right="109"/>
              <w:rPr>
                <w:rFonts w:ascii="Times New Roman"/>
                <w:sz w:val="18"/>
              </w:rPr>
            </w:pPr>
            <w:r>
              <w:rPr>
                <w:rFonts w:ascii="Times New Roman"/>
                <w:sz w:val="18"/>
              </w:rPr>
              <w:t>15,395</w:t>
            </w:r>
          </w:p>
        </w:tc>
        <w:tc>
          <w:tcPr>
            <w:tcW w:w="1211" w:type="dxa"/>
            <w:tcBorders>
              <w:top w:val="nil"/>
              <w:bottom w:val="nil"/>
            </w:tcBorders>
          </w:tcPr>
          <w:p>
            <w:pPr>
              <w:pStyle w:val="TableParagraph"/>
              <w:spacing w:before="17"/>
              <w:ind w:left="400"/>
              <w:jc w:val="left"/>
              <w:rPr>
                <w:rFonts w:ascii="Times New Roman"/>
                <w:sz w:val="18"/>
              </w:rPr>
            </w:pPr>
            <w:r>
              <w:rPr>
                <w:rFonts w:ascii="Times New Roman"/>
                <w:sz w:val="18"/>
              </w:rPr>
              <w:t>5,930</w:t>
            </w:r>
          </w:p>
        </w:tc>
        <w:tc>
          <w:tcPr>
            <w:tcW w:w="849" w:type="dxa"/>
            <w:tcBorders>
              <w:top w:val="nil"/>
              <w:bottom w:val="nil"/>
              <w:right w:val="nil"/>
            </w:tcBorders>
          </w:tcPr>
          <w:p>
            <w:pPr>
              <w:pStyle w:val="TableParagraph"/>
              <w:spacing w:before="17"/>
              <w:ind w:right="175"/>
              <w:jc w:val="right"/>
              <w:rPr>
                <w:rFonts w:ascii="Times New Roman"/>
                <w:sz w:val="18"/>
              </w:rPr>
            </w:pPr>
            <w:r>
              <w:rPr>
                <w:rFonts w:ascii="Times New Roman"/>
                <w:sz w:val="18"/>
              </w:rPr>
              <w:t>21,325</w:t>
            </w:r>
          </w:p>
        </w:tc>
      </w:tr>
      <w:tr>
        <w:trPr>
          <w:trHeight w:val="248" w:hRule="atLeast"/>
        </w:trPr>
        <w:tc>
          <w:tcPr>
            <w:tcW w:w="2640" w:type="dxa"/>
            <w:tcBorders>
              <w:top w:val="nil"/>
              <w:left w:val="nil"/>
              <w:bottom w:val="nil"/>
            </w:tcBorders>
          </w:tcPr>
          <w:p>
            <w:pPr>
              <w:pStyle w:val="TableParagraph"/>
              <w:spacing w:before="16"/>
              <w:ind w:left="25"/>
              <w:rPr>
                <w:rFonts w:ascii="Times New Roman"/>
                <w:sz w:val="18"/>
              </w:rPr>
            </w:pPr>
            <w:r>
              <w:rPr>
                <w:rFonts w:ascii="Times New Roman"/>
                <w:sz w:val="18"/>
              </w:rPr>
              <w:t>Embassy Quadron</w:t>
            </w:r>
          </w:p>
        </w:tc>
        <w:tc>
          <w:tcPr>
            <w:tcW w:w="1080" w:type="dxa"/>
            <w:tcBorders>
              <w:top w:val="nil"/>
              <w:bottom w:val="nil"/>
            </w:tcBorders>
          </w:tcPr>
          <w:p>
            <w:pPr>
              <w:pStyle w:val="TableParagraph"/>
              <w:spacing w:before="16"/>
              <w:ind w:left="90" w:right="89"/>
              <w:rPr>
                <w:rFonts w:ascii="Times New Roman"/>
                <w:sz w:val="18"/>
              </w:rPr>
            </w:pPr>
            <w:r>
              <w:rPr>
                <w:rFonts w:ascii="Times New Roman"/>
                <w:sz w:val="18"/>
              </w:rPr>
              <w:t>1.9</w:t>
            </w:r>
          </w:p>
        </w:tc>
        <w:tc>
          <w:tcPr>
            <w:tcW w:w="897" w:type="dxa"/>
            <w:tcBorders>
              <w:top w:val="nil"/>
              <w:bottom w:val="nil"/>
            </w:tcBorders>
          </w:tcPr>
          <w:p>
            <w:pPr>
              <w:pStyle w:val="TableParagraph"/>
              <w:spacing w:before="16"/>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6"/>
              <w:ind w:left="146" w:right="144"/>
              <w:rPr>
                <w:rFonts w:ascii="Times New Roman"/>
                <w:sz w:val="18"/>
              </w:rPr>
            </w:pPr>
            <w:r>
              <w:rPr>
                <w:rFonts w:ascii="Times New Roman"/>
                <w:sz w:val="18"/>
              </w:rPr>
              <w:t>1.9</w:t>
            </w:r>
          </w:p>
        </w:tc>
        <w:tc>
          <w:tcPr>
            <w:tcW w:w="897" w:type="dxa"/>
            <w:tcBorders>
              <w:top w:val="nil"/>
              <w:bottom w:val="nil"/>
            </w:tcBorders>
          </w:tcPr>
          <w:p>
            <w:pPr>
              <w:pStyle w:val="TableParagraph"/>
              <w:spacing w:before="16"/>
              <w:ind w:left="4"/>
              <w:rPr>
                <w:rFonts w:ascii="Times New Roman"/>
                <w:sz w:val="18"/>
              </w:rPr>
            </w:pPr>
            <w:r>
              <w:rPr>
                <w:rFonts w:ascii="Times New Roman"/>
                <w:sz w:val="18"/>
              </w:rPr>
              <w:t>12.30%</w:t>
            </w:r>
          </w:p>
        </w:tc>
        <w:tc>
          <w:tcPr>
            <w:tcW w:w="741" w:type="dxa"/>
            <w:tcBorders>
              <w:top w:val="nil"/>
              <w:bottom w:val="nil"/>
            </w:tcBorders>
          </w:tcPr>
          <w:p>
            <w:pPr>
              <w:pStyle w:val="TableParagraph"/>
              <w:spacing w:before="16"/>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6"/>
              <w:ind w:left="387" w:right="377"/>
              <w:rPr>
                <w:rFonts w:ascii="Times New Roman"/>
                <w:sz w:val="18"/>
              </w:rPr>
            </w:pPr>
            <w:r>
              <w:rPr>
                <w:rFonts w:ascii="Times New Roman"/>
                <w:sz w:val="18"/>
              </w:rPr>
              <w:t>8.25%</w:t>
            </w:r>
          </w:p>
        </w:tc>
        <w:tc>
          <w:tcPr>
            <w:tcW w:w="1132" w:type="dxa"/>
            <w:tcBorders>
              <w:top w:val="nil"/>
              <w:bottom w:val="nil"/>
            </w:tcBorders>
          </w:tcPr>
          <w:p>
            <w:pPr>
              <w:pStyle w:val="TableParagraph"/>
              <w:spacing w:before="16"/>
              <w:ind w:left="110" w:right="99"/>
              <w:rPr>
                <w:rFonts w:ascii="Times New Roman"/>
                <w:sz w:val="18"/>
              </w:rPr>
            </w:pPr>
            <w:r>
              <w:rPr>
                <w:rFonts w:ascii="Times New Roman"/>
                <w:sz w:val="18"/>
              </w:rPr>
              <w:t>50</w:t>
            </w:r>
          </w:p>
        </w:tc>
        <w:tc>
          <w:tcPr>
            <w:tcW w:w="1135" w:type="dxa"/>
            <w:tcBorders>
              <w:top w:val="nil"/>
              <w:bottom w:val="nil"/>
            </w:tcBorders>
          </w:tcPr>
          <w:p>
            <w:pPr>
              <w:pStyle w:val="TableParagraph"/>
              <w:spacing w:before="16"/>
              <w:ind w:left="124" w:right="109"/>
              <w:rPr>
                <w:rFonts w:ascii="Times New Roman"/>
                <w:sz w:val="18"/>
              </w:rPr>
            </w:pPr>
            <w:r>
              <w:rPr>
                <w:rFonts w:ascii="Times New Roman"/>
                <w:sz w:val="18"/>
              </w:rPr>
              <w:t>14,609</w:t>
            </w:r>
          </w:p>
        </w:tc>
        <w:tc>
          <w:tcPr>
            <w:tcW w:w="1211" w:type="dxa"/>
            <w:tcBorders>
              <w:top w:val="nil"/>
              <w:bottom w:val="nil"/>
            </w:tcBorders>
          </w:tcPr>
          <w:p>
            <w:pPr>
              <w:pStyle w:val="TableParagraph"/>
              <w:spacing w:before="16"/>
              <w:ind w:left="14"/>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6"/>
              <w:ind w:right="175"/>
              <w:jc w:val="right"/>
              <w:rPr>
                <w:rFonts w:ascii="Times New Roman"/>
                <w:sz w:val="18"/>
              </w:rPr>
            </w:pPr>
            <w:r>
              <w:rPr>
                <w:rFonts w:ascii="Times New Roman"/>
                <w:sz w:val="18"/>
              </w:rPr>
              <w:t>14,609</w:t>
            </w:r>
          </w:p>
        </w:tc>
      </w:tr>
      <w:tr>
        <w:trPr>
          <w:trHeight w:val="248" w:hRule="atLeast"/>
        </w:trPr>
        <w:tc>
          <w:tcPr>
            <w:tcW w:w="2640" w:type="dxa"/>
            <w:tcBorders>
              <w:top w:val="nil"/>
              <w:left w:val="nil"/>
              <w:bottom w:val="nil"/>
            </w:tcBorders>
          </w:tcPr>
          <w:p>
            <w:pPr>
              <w:pStyle w:val="TableParagraph"/>
              <w:spacing w:before="17"/>
              <w:ind w:left="27"/>
              <w:rPr>
                <w:rFonts w:ascii="Times New Roman"/>
                <w:sz w:val="18"/>
              </w:rPr>
            </w:pPr>
            <w:r>
              <w:rPr>
                <w:rFonts w:ascii="Times New Roman"/>
                <w:sz w:val="18"/>
              </w:rPr>
              <w:t>Embassy Qubix</w:t>
            </w:r>
          </w:p>
        </w:tc>
        <w:tc>
          <w:tcPr>
            <w:tcW w:w="1080" w:type="dxa"/>
            <w:tcBorders>
              <w:top w:val="nil"/>
              <w:bottom w:val="nil"/>
            </w:tcBorders>
          </w:tcPr>
          <w:p>
            <w:pPr>
              <w:pStyle w:val="TableParagraph"/>
              <w:spacing w:before="17"/>
              <w:ind w:left="90" w:right="89"/>
              <w:rPr>
                <w:rFonts w:ascii="Times New Roman"/>
                <w:sz w:val="18"/>
              </w:rPr>
            </w:pPr>
            <w:r>
              <w:rPr>
                <w:rFonts w:ascii="Times New Roman"/>
                <w:sz w:val="18"/>
              </w:rPr>
              <w:t>1.5</w:t>
            </w:r>
          </w:p>
        </w:tc>
        <w:tc>
          <w:tcPr>
            <w:tcW w:w="897" w:type="dxa"/>
            <w:tcBorders>
              <w:top w:val="nil"/>
              <w:bottom w:val="nil"/>
            </w:tcBorders>
          </w:tcPr>
          <w:p>
            <w:pPr>
              <w:pStyle w:val="TableParagraph"/>
              <w:spacing w:before="17"/>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7"/>
              <w:ind w:left="146" w:right="144"/>
              <w:rPr>
                <w:rFonts w:ascii="Times New Roman"/>
                <w:sz w:val="18"/>
              </w:rPr>
            </w:pPr>
            <w:r>
              <w:rPr>
                <w:rFonts w:ascii="Times New Roman"/>
                <w:sz w:val="18"/>
              </w:rPr>
              <w:t>1.5</w:t>
            </w:r>
          </w:p>
        </w:tc>
        <w:tc>
          <w:tcPr>
            <w:tcW w:w="897" w:type="dxa"/>
            <w:tcBorders>
              <w:top w:val="nil"/>
              <w:bottom w:val="nil"/>
            </w:tcBorders>
          </w:tcPr>
          <w:p>
            <w:pPr>
              <w:pStyle w:val="TableParagraph"/>
              <w:spacing w:before="17"/>
              <w:ind w:left="4"/>
              <w:rPr>
                <w:rFonts w:ascii="Times New Roman"/>
                <w:sz w:val="18"/>
              </w:rPr>
            </w:pPr>
            <w:r>
              <w:rPr>
                <w:rFonts w:ascii="Times New Roman"/>
                <w:sz w:val="18"/>
              </w:rPr>
              <w:t>12.30%</w:t>
            </w:r>
          </w:p>
        </w:tc>
        <w:tc>
          <w:tcPr>
            <w:tcW w:w="741" w:type="dxa"/>
            <w:tcBorders>
              <w:top w:val="nil"/>
              <w:bottom w:val="nil"/>
            </w:tcBorders>
          </w:tcPr>
          <w:p>
            <w:pPr>
              <w:pStyle w:val="TableParagraph"/>
              <w:spacing w:before="17"/>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7"/>
              <w:ind w:left="387" w:right="377"/>
              <w:rPr>
                <w:rFonts w:ascii="Times New Roman"/>
                <w:sz w:val="18"/>
              </w:rPr>
            </w:pPr>
            <w:r>
              <w:rPr>
                <w:rFonts w:ascii="Times New Roman"/>
                <w:sz w:val="18"/>
              </w:rPr>
              <w:t>8.25%</w:t>
            </w:r>
          </w:p>
        </w:tc>
        <w:tc>
          <w:tcPr>
            <w:tcW w:w="1132" w:type="dxa"/>
            <w:tcBorders>
              <w:top w:val="nil"/>
              <w:bottom w:val="nil"/>
            </w:tcBorders>
          </w:tcPr>
          <w:p>
            <w:pPr>
              <w:pStyle w:val="TableParagraph"/>
              <w:spacing w:before="17"/>
              <w:ind w:left="110" w:right="99"/>
              <w:rPr>
                <w:rFonts w:ascii="Times New Roman"/>
                <w:sz w:val="18"/>
              </w:rPr>
            </w:pPr>
            <w:r>
              <w:rPr>
                <w:rFonts w:ascii="Times New Roman"/>
                <w:sz w:val="18"/>
              </w:rPr>
              <w:t>48</w:t>
            </w:r>
          </w:p>
        </w:tc>
        <w:tc>
          <w:tcPr>
            <w:tcW w:w="1135" w:type="dxa"/>
            <w:tcBorders>
              <w:top w:val="nil"/>
              <w:bottom w:val="nil"/>
            </w:tcBorders>
          </w:tcPr>
          <w:p>
            <w:pPr>
              <w:pStyle w:val="TableParagraph"/>
              <w:spacing w:before="17"/>
              <w:ind w:left="122" w:right="109"/>
              <w:rPr>
                <w:rFonts w:ascii="Times New Roman"/>
                <w:sz w:val="18"/>
              </w:rPr>
            </w:pPr>
            <w:r>
              <w:rPr>
                <w:rFonts w:ascii="Times New Roman"/>
                <w:sz w:val="18"/>
              </w:rPr>
              <w:t>9,962</w:t>
            </w:r>
          </w:p>
        </w:tc>
        <w:tc>
          <w:tcPr>
            <w:tcW w:w="1211" w:type="dxa"/>
            <w:tcBorders>
              <w:top w:val="nil"/>
              <w:bottom w:val="nil"/>
            </w:tcBorders>
          </w:tcPr>
          <w:p>
            <w:pPr>
              <w:pStyle w:val="TableParagraph"/>
              <w:spacing w:before="17"/>
              <w:ind w:left="14"/>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7"/>
              <w:ind w:left="209"/>
              <w:jc w:val="left"/>
              <w:rPr>
                <w:rFonts w:ascii="Times New Roman"/>
                <w:sz w:val="18"/>
              </w:rPr>
            </w:pPr>
            <w:r>
              <w:rPr>
                <w:rFonts w:ascii="Times New Roman"/>
                <w:sz w:val="18"/>
              </w:rPr>
              <w:t>9,962</w:t>
            </w:r>
          </w:p>
        </w:tc>
      </w:tr>
      <w:tr>
        <w:trPr>
          <w:trHeight w:val="248" w:hRule="atLeast"/>
        </w:trPr>
        <w:tc>
          <w:tcPr>
            <w:tcW w:w="2640" w:type="dxa"/>
            <w:tcBorders>
              <w:top w:val="nil"/>
              <w:left w:val="nil"/>
              <w:bottom w:val="nil"/>
            </w:tcBorders>
          </w:tcPr>
          <w:p>
            <w:pPr>
              <w:pStyle w:val="TableParagraph"/>
              <w:spacing w:before="16"/>
              <w:ind w:left="27"/>
              <w:rPr>
                <w:rFonts w:ascii="Times New Roman"/>
                <w:sz w:val="18"/>
              </w:rPr>
            </w:pPr>
            <w:r>
              <w:rPr>
                <w:rFonts w:ascii="Times New Roman"/>
                <w:sz w:val="18"/>
              </w:rPr>
              <w:t>Embassy Oxygen</w:t>
            </w:r>
          </w:p>
        </w:tc>
        <w:tc>
          <w:tcPr>
            <w:tcW w:w="1080" w:type="dxa"/>
            <w:tcBorders>
              <w:top w:val="nil"/>
              <w:bottom w:val="nil"/>
            </w:tcBorders>
          </w:tcPr>
          <w:p>
            <w:pPr>
              <w:pStyle w:val="TableParagraph"/>
              <w:spacing w:before="16"/>
              <w:ind w:left="90" w:right="89"/>
              <w:rPr>
                <w:rFonts w:ascii="Times New Roman"/>
                <w:sz w:val="18"/>
              </w:rPr>
            </w:pPr>
            <w:r>
              <w:rPr>
                <w:rFonts w:ascii="Times New Roman"/>
                <w:sz w:val="18"/>
              </w:rPr>
              <w:t>1.9</w:t>
            </w:r>
          </w:p>
        </w:tc>
        <w:tc>
          <w:tcPr>
            <w:tcW w:w="897" w:type="dxa"/>
            <w:tcBorders>
              <w:top w:val="nil"/>
              <w:bottom w:val="nil"/>
            </w:tcBorders>
          </w:tcPr>
          <w:p>
            <w:pPr>
              <w:pStyle w:val="TableParagraph"/>
              <w:spacing w:before="16"/>
              <w:ind w:left="3"/>
              <w:rPr>
                <w:rFonts w:ascii="Times New Roman"/>
                <w:sz w:val="18"/>
              </w:rPr>
            </w:pPr>
            <w:r>
              <w:rPr>
                <w:rFonts w:ascii="Times New Roman"/>
                <w:sz w:val="18"/>
              </w:rPr>
              <w:t>1.3</w:t>
            </w:r>
          </w:p>
        </w:tc>
        <w:tc>
          <w:tcPr>
            <w:tcW w:w="1139" w:type="dxa"/>
            <w:tcBorders>
              <w:top w:val="nil"/>
              <w:bottom w:val="nil"/>
            </w:tcBorders>
          </w:tcPr>
          <w:p>
            <w:pPr>
              <w:pStyle w:val="TableParagraph"/>
              <w:spacing w:before="16"/>
              <w:ind w:left="146" w:right="144"/>
              <w:rPr>
                <w:rFonts w:ascii="Times New Roman"/>
                <w:sz w:val="18"/>
              </w:rPr>
            </w:pPr>
            <w:r>
              <w:rPr>
                <w:rFonts w:ascii="Times New Roman"/>
                <w:sz w:val="18"/>
              </w:rPr>
              <w:t>3.3</w:t>
            </w:r>
          </w:p>
        </w:tc>
        <w:tc>
          <w:tcPr>
            <w:tcW w:w="897" w:type="dxa"/>
            <w:tcBorders>
              <w:top w:val="nil"/>
              <w:bottom w:val="nil"/>
            </w:tcBorders>
          </w:tcPr>
          <w:p>
            <w:pPr>
              <w:pStyle w:val="TableParagraph"/>
              <w:spacing w:before="16"/>
              <w:ind w:left="4"/>
              <w:rPr>
                <w:rFonts w:ascii="Times New Roman"/>
                <w:sz w:val="18"/>
              </w:rPr>
            </w:pPr>
            <w:r>
              <w:rPr>
                <w:rFonts w:ascii="Times New Roman"/>
                <w:sz w:val="18"/>
              </w:rPr>
              <w:t>12.30%</w:t>
            </w:r>
          </w:p>
        </w:tc>
        <w:tc>
          <w:tcPr>
            <w:tcW w:w="741" w:type="dxa"/>
            <w:tcBorders>
              <w:top w:val="nil"/>
              <w:bottom w:val="nil"/>
            </w:tcBorders>
          </w:tcPr>
          <w:p>
            <w:pPr>
              <w:pStyle w:val="TableParagraph"/>
              <w:spacing w:before="16"/>
              <w:ind w:left="66" w:right="59"/>
              <w:rPr>
                <w:rFonts w:ascii="Times New Roman"/>
                <w:sz w:val="18"/>
              </w:rPr>
            </w:pPr>
            <w:r>
              <w:rPr>
                <w:rFonts w:ascii="Times New Roman"/>
                <w:sz w:val="18"/>
              </w:rPr>
              <w:t>13.30%</w:t>
            </w:r>
          </w:p>
        </w:tc>
        <w:tc>
          <w:tcPr>
            <w:tcW w:w="1290" w:type="dxa"/>
            <w:tcBorders>
              <w:top w:val="nil"/>
              <w:bottom w:val="nil"/>
            </w:tcBorders>
          </w:tcPr>
          <w:p>
            <w:pPr>
              <w:pStyle w:val="TableParagraph"/>
              <w:spacing w:before="16"/>
              <w:ind w:left="387" w:right="377"/>
              <w:rPr>
                <w:rFonts w:ascii="Times New Roman"/>
                <w:sz w:val="18"/>
              </w:rPr>
            </w:pPr>
            <w:r>
              <w:rPr>
                <w:rFonts w:ascii="Times New Roman"/>
                <w:sz w:val="18"/>
              </w:rPr>
              <w:t>8.25%</w:t>
            </w:r>
          </w:p>
        </w:tc>
        <w:tc>
          <w:tcPr>
            <w:tcW w:w="1132" w:type="dxa"/>
            <w:tcBorders>
              <w:top w:val="nil"/>
              <w:bottom w:val="nil"/>
            </w:tcBorders>
          </w:tcPr>
          <w:p>
            <w:pPr>
              <w:pStyle w:val="TableParagraph"/>
              <w:spacing w:before="16"/>
              <w:ind w:left="110" w:right="99"/>
              <w:rPr>
                <w:rFonts w:ascii="Times New Roman"/>
                <w:sz w:val="18"/>
              </w:rPr>
            </w:pPr>
            <w:r>
              <w:rPr>
                <w:rFonts w:ascii="Times New Roman"/>
                <w:sz w:val="18"/>
              </w:rPr>
              <w:t>54</w:t>
            </w:r>
          </w:p>
        </w:tc>
        <w:tc>
          <w:tcPr>
            <w:tcW w:w="1135" w:type="dxa"/>
            <w:tcBorders>
              <w:top w:val="nil"/>
              <w:bottom w:val="nil"/>
            </w:tcBorders>
          </w:tcPr>
          <w:p>
            <w:pPr>
              <w:pStyle w:val="TableParagraph"/>
              <w:spacing w:before="16"/>
              <w:ind w:left="124" w:right="109"/>
              <w:rPr>
                <w:rFonts w:ascii="Times New Roman"/>
                <w:sz w:val="18"/>
              </w:rPr>
            </w:pPr>
            <w:r>
              <w:rPr>
                <w:rFonts w:ascii="Times New Roman"/>
                <w:sz w:val="18"/>
              </w:rPr>
              <w:t>15,107</w:t>
            </w:r>
          </w:p>
        </w:tc>
        <w:tc>
          <w:tcPr>
            <w:tcW w:w="1211" w:type="dxa"/>
            <w:tcBorders>
              <w:top w:val="nil"/>
              <w:bottom w:val="nil"/>
            </w:tcBorders>
          </w:tcPr>
          <w:p>
            <w:pPr>
              <w:pStyle w:val="TableParagraph"/>
              <w:spacing w:before="16"/>
              <w:ind w:left="400"/>
              <w:jc w:val="left"/>
              <w:rPr>
                <w:rFonts w:ascii="Times New Roman"/>
                <w:sz w:val="18"/>
              </w:rPr>
            </w:pPr>
            <w:r>
              <w:rPr>
                <w:rFonts w:ascii="Times New Roman"/>
                <w:sz w:val="18"/>
              </w:rPr>
              <w:t>5,550</w:t>
            </w:r>
          </w:p>
        </w:tc>
        <w:tc>
          <w:tcPr>
            <w:tcW w:w="849" w:type="dxa"/>
            <w:tcBorders>
              <w:top w:val="nil"/>
              <w:bottom w:val="nil"/>
              <w:right w:val="nil"/>
            </w:tcBorders>
          </w:tcPr>
          <w:p>
            <w:pPr>
              <w:pStyle w:val="TableParagraph"/>
              <w:spacing w:before="16"/>
              <w:ind w:right="175"/>
              <w:jc w:val="right"/>
              <w:rPr>
                <w:rFonts w:ascii="Times New Roman"/>
                <w:sz w:val="18"/>
              </w:rPr>
            </w:pPr>
            <w:r>
              <w:rPr>
                <w:rFonts w:ascii="Times New Roman"/>
                <w:sz w:val="18"/>
              </w:rPr>
              <w:t>20,657</w:t>
            </w:r>
          </w:p>
        </w:tc>
      </w:tr>
      <w:tr>
        <w:trPr>
          <w:trHeight w:val="248" w:hRule="atLeast"/>
        </w:trPr>
        <w:tc>
          <w:tcPr>
            <w:tcW w:w="2640" w:type="dxa"/>
            <w:tcBorders>
              <w:top w:val="nil"/>
              <w:left w:val="nil"/>
              <w:bottom w:val="nil"/>
            </w:tcBorders>
          </w:tcPr>
          <w:p>
            <w:pPr>
              <w:pStyle w:val="TableParagraph"/>
              <w:spacing w:before="17"/>
              <w:ind w:left="23"/>
              <w:rPr>
                <w:rFonts w:ascii="Times New Roman"/>
                <w:sz w:val="18"/>
              </w:rPr>
            </w:pPr>
            <w:r>
              <w:rPr>
                <w:rFonts w:ascii="Times New Roman"/>
                <w:sz w:val="18"/>
              </w:rPr>
              <w:t>Embassy Galaxy</w:t>
            </w:r>
          </w:p>
        </w:tc>
        <w:tc>
          <w:tcPr>
            <w:tcW w:w="1080" w:type="dxa"/>
            <w:tcBorders>
              <w:top w:val="nil"/>
              <w:bottom w:val="nil"/>
            </w:tcBorders>
          </w:tcPr>
          <w:p>
            <w:pPr>
              <w:pStyle w:val="TableParagraph"/>
              <w:spacing w:before="17"/>
              <w:ind w:left="90" w:right="89"/>
              <w:rPr>
                <w:rFonts w:ascii="Times New Roman"/>
                <w:sz w:val="18"/>
              </w:rPr>
            </w:pPr>
            <w:r>
              <w:rPr>
                <w:rFonts w:ascii="Times New Roman"/>
                <w:sz w:val="18"/>
              </w:rPr>
              <w:t>1.4</w:t>
            </w:r>
          </w:p>
        </w:tc>
        <w:tc>
          <w:tcPr>
            <w:tcW w:w="897" w:type="dxa"/>
            <w:tcBorders>
              <w:top w:val="nil"/>
              <w:bottom w:val="nil"/>
            </w:tcBorders>
          </w:tcPr>
          <w:p>
            <w:pPr>
              <w:pStyle w:val="TableParagraph"/>
              <w:spacing w:before="17"/>
              <w:ind w:left="3"/>
              <w:rPr>
                <w:rFonts w:ascii="Times New Roman"/>
                <w:sz w:val="18"/>
              </w:rPr>
            </w:pPr>
            <w:r>
              <w:rPr>
                <w:rFonts w:ascii="Times New Roman"/>
                <w:sz w:val="18"/>
              </w:rPr>
              <w:t>0.0</w:t>
            </w:r>
          </w:p>
        </w:tc>
        <w:tc>
          <w:tcPr>
            <w:tcW w:w="1139" w:type="dxa"/>
            <w:tcBorders>
              <w:top w:val="nil"/>
              <w:bottom w:val="nil"/>
            </w:tcBorders>
          </w:tcPr>
          <w:p>
            <w:pPr>
              <w:pStyle w:val="TableParagraph"/>
              <w:spacing w:before="17"/>
              <w:ind w:left="146" w:right="144"/>
              <w:rPr>
                <w:rFonts w:ascii="Times New Roman"/>
                <w:sz w:val="18"/>
              </w:rPr>
            </w:pPr>
            <w:r>
              <w:rPr>
                <w:rFonts w:ascii="Times New Roman"/>
                <w:sz w:val="18"/>
              </w:rPr>
              <w:t>1.4</w:t>
            </w:r>
          </w:p>
        </w:tc>
        <w:tc>
          <w:tcPr>
            <w:tcW w:w="897" w:type="dxa"/>
            <w:tcBorders>
              <w:top w:val="nil"/>
              <w:bottom w:val="nil"/>
            </w:tcBorders>
          </w:tcPr>
          <w:p>
            <w:pPr>
              <w:pStyle w:val="TableParagraph"/>
              <w:spacing w:before="17"/>
              <w:ind w:left="4"/>
              <w:rPr>
                <w:rFonts w:ascii="Times New Roman"/>
                <w:sz w:val="18"/>
              </w:rPr>
            </w:pPr>
            <w:r>
              <w:rPr>
                <w:rFonts w:ascii="Times New Roman"/>
                <w:sz w:val="18"/>
              </w:rPr>
              <w:t>12.30%</w:t>
            </w:r>
          </w:p>
        </w:tc>
        <w:tc>
          <w:tcPr>
            <w:tcW w:w="741" w:type="dxa"/>
            <w:tcBorders>
              <w:top w:val="nil"/>
              <w:bottom w:val="nil"/>
            </w:tcBorders>
          </w:tcPr>
          <w:p>
            <w:pPr>
              <w:pStyle w:val="TableParagraph"/>
              <w:spacing w:before="17"/>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17"/>
              <w:ind w:left="387" w:right="377"/>
              <w:rPr>
                <w:rFonts w:ascii="Times New Roman"/>
                <w:sz w:val="18"/>
              </w:rPr>
            </w:pPr>
            <w:r>
              <w:rPr>
                <w:rFonts w:ascii="Times New Roman"/>
                <w:sz w:val="18"/>
              </w:rPr>
              <w:t>8.25%</w:t>
            </w:r>
          </w:p>
        </w:tc>
        <w:tc>
          <w:tcPr>
            <w:tcW w:w="1132" w:type="dxa"/>
            <w:tcBorders>
              <w:top w:val="nil"/>
              <w:bottom w:val="nil"/>
            </w:tcBorders>
          </w:tcPr>
          <w:p>
            <w:pPr>
              <w:pStyle w:val="TableParagraph"/>
              <w:spacing w:before="17"/>
              <w:ind w:left="110" w:right="99"/>
              <w:rPr>
                <w:rFonts w:ascii="Times New Roman"/>
                <w:sz w:val="18"/>
              </w:rPr>
            </w:pPr>
            <w:r>
              <w:rPr>
                <w:rFonts w:ascii="Times New Roman"/>
                <w:sz w:val="18"/>
              </w:rPr>
              <w:t>45</w:t>
            </w:r>
          </w:p>
        </w:tc>
        <w:tc>
          <w:tcPr>
            <w:tcW w:w="1135" w:type="dxa"/>
            <w:tcBorders>
              <w:top w:val="nil"/>
              <w:bottom w:val="nil"/>
            </w:tcBorders>
          </w:tcPr>
          <w:p>
            <w:pPr>
              <w:pStyle w:val="TableParagraph"/>
              <w:spacing w:before="17"/>
              <w:ind w:left="122" w:right="109"/>
              <w:rPr>
                <w:rFonts w:ascii="Times New Roman"/>
                <w:sz w:val="18"/>
              </w:rPr>
            </w:pPr>
            <w:r>
              <w:rPr>
                <w:rFonts w:ascii="Times New Roman"/>
                <w:sz w:val="18"/>
              </w:rPr>
              <w:t>8,914</w:t>
            </w:r>
          </w:p>
        </w:tc>
        <w:tc>
          <w:tcPr>
            <w:tcW w:w="1211" w:type="dxa"/>
            <w:tcBorders>
              <w:top w:val="nil"/>
              <w:bottom w:val="nil"/>
            </w:tcBorders>
          </w:tcPr>
          <w:p>
            <w:pPr>
              <w:pStyle w:val="TableParagraph"/>
              <w:spacing w:before="17"/>
              <w:ind w:left="14"/>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17"/>
              <w:ind w:left="209"/>
              <w:jc w:val="left"/>
              <w:rPr>
                <w:rFonts w:ascii="Times New Roman"/>
                <w:sz w:val="18"/>
              </w:rPr>
            </w:pPr>
            <w:r>
              <w:rPr>
                <w:rFonts w:ascii="Times New Roman"/>
                <w:sz w:val="18"/>
              </w:rPr>
              <w:t>8,914</w:t>
            </w:r>
          </w:p>
        </w:tc>
      </w:tr>
      <w:tr>
        <w:trPr>
          <w:trHeight w:val="258" w:hRule="atLeast"/>
        </w:trPr>
        <w:tc>
          <w:tcPr>
            <w:tcW w:w="2640" w:type="dxa"/>
            <w:tcBorders>
              <w:top w:val="nil"/>
              <w:left w:val="nil"/>
              <w:bottom w:val="nil"/>
            </w:tcBorders>
          </w:tcPr>
          <w:p>
            <w:pPr>
              <w:pStyle w:val="TableParagraph"/>
              <w:spacing w:before="16"/>
              <w:ind w:left="26"/>
              <w:rPr>
                <w:rFonts w:ascii="Times New Roman"/>
                <w:b/>
                <w:sz w:val="18"/>
              </w:rPr>
            </w:pPr>
            <w:r>
              <w:rPr>
                <w:rFonts w:ascii="Times New Roman"/>
                <w:b/>
                <w:sz w:val="18"/>
              </w:rPr>
              <w:t>Sub-Total (Commercial Offices)</w:t>
            </w:r>
          </w:p>
        </w:tc>
        <w:tc>
          <w:tcPr>
            <w:tcW w:w="1080" w:type="dxa"/>
            <w:tcBorders>
              <w:top w:val="nil"/>
              <w:bottom w:val="nil"/>
            </w:tcBorders>
          </w:tcPr>
          <w:p>
            <w:pPr>
              <w:pStyle w:val="TableParagraph"/>
              <w:spacing w:before="16"/>
              <w:ind w:left="89" w:right="89"/>
              <w:rPr>
                <w:rFonts w:ascii="Times New Roman"/>
                <w:b/>
                <w:sz w:val="18"/>
              </w:rPr>
            </w:pPr>
            <w:r>
              <w:rPr>
                <w:rFonts w:ascii="Times New Roman"/>
                <w:b/>
                <w:sz w:val="18"/>
              </w:rPr>
              <w:t>24.8</w:t>
            </w:r>
          </w:p>
        </w:tc>
        <w:tc>
          <w:tcPr>
            <w:tcW w:w="897" w:type="dxa"/>
            <w:tcBorders>
              <w:top w:val="nil"/>
              <w:bottom w:val="nil"/>
            </w:tcBorders>
          </w:tcPr>
          <w:p>
            <w:pPr>
              <w:pStyle w:val="TableParagraph"/>
              <w:spacing w:before="16"/>
              <w:ind w:left="3"/>
              <w:rPr>
                <w:rFonts w:ascii="Times New Roman"/>
                <w:b/>
                <w:sz w:val="18"/>
              </w:rPr>
            </w:pPr>
            <w:r>
              <w:rPr>
                <w:rFonts w:ascii="Times New Roman"/>
                <w:b/>
                <w:sz w:val="18"/>
              </w:rPr>
              <w:t>7.9</w:t>
            </w:r>
          </w:p>
        </w:tc>
        <w:tc>
          <w:tcPr>
            <w:tcW w:w="1139" w:type="dxa"/>
            <w:tcBorders>
              <w:top w:val="nil"/>
              <w:bottom w:val="nil"/>
            </w:tcBorders>
          </w:tcPr>
          <w:p>
            <w:pPr>
              <w:pStyle w:val="TableParagraph"/>
              <w:spacing w:before="16"/>
              <w:ind w:left="149" w:right="144"/>
              <w:rPr>
                <w:rFonts w:ascii="Times New Roman"/>
                <w:b/>
                <w:sz w:val="18"/>
              </w:rPr>
            </w:pPr>
            <w:r>
              <w:rPr>
                <w:rFonts w:ascii="Times New Roman"/>
                <w:b/>
                <w:sz w:val="18"/>
              </w:rPr>
              <w:t>32.7</w:t>
            </w:r>
          </w:p>
        </w:tc>
        <w:tc>
          <w:tcPr>
            <w:tcW w:w="897" w:type="dxa"/>
            <w:tcBorders>
              <w:top w:val="nil"/>
              <w:bottom w:val="nil"/>
            </w:tcBorders>
          </w:tcPr>
          <w:p>
            <w:pPr>
              <w:pStyle w:val="TableParagraph"/>
              <w:jc w:val="left"/>
              <w:rPr>
                <w:rFonts w:ascii="Times New Roman"/>
                <w:sz w:val="18"/>
              </w:rPr>
            </w:pPr>
          </w:p>
        </w:tc>
        <w:tc>
          <w:tcPr>
            <w:tcW w:w="741" w:type="dxa"/>
            <w:tcBorders>
              <w:top w:val="nil"/>
              <w:bottom w:val="nil"/>
            </w:tcBorders>
          </w:tcPr>
          <w:p>
            <w:pPr>
              <w:pStyle w:val="TableParagraph"/>
              <w:jc w:val="left"/>
              <w:rPr>
                <w:rFonts w:ascii="Times New Roman"/>
                <w:sz w:val="18"/>
              </w:rPr>
            </w:pPr>
          </w:p>
        </w:tc>
        <w:tc>
          <w:tcPr>
            <w:tcW w:w="1290" w:type="dxa"/>
            <w:tcBorders>
              <w:top w:val="nil"/>
              <w:bottom w:val="nil"/>
            </w:tcBorders>
          </w:tcPr>
          <w:p>
            <w:pPr>
              <w:pStyle w:val="TableParagraph"/>
              <w:jc w:val="left"/>
              <w:rPr>
                <w:rFonts w:ascii="Times New Roman"/>
                <w:sz w:val="18"/>
              </w:rPr>
            </w:pPr>
          </w:p>
        </w:tc>
        <w:tc>
          <w:tcPr>
            <w:tcW w:w="1132" w:type="dxa"/>
            <w:tcBorders>
              <w:top w:val="nil"/>
              <w:bottom w:val="nil"/>
            </w:tcBorders>
          </w:tcPr>
          <w:p>
            <w:pPr>
              <w:pStyle w:val="TableParagraph"/>
              <w:jc w:val="left"/>
              <w:rPr>
                <w:rFonts w:ascii="Times New Roman"/>
                <w:sz w:val="18"/>
              </w:rPr>
            </w:pPr>
          </w:p>
        </w:tc>
        <w:tc>
          <w:tcPr>
            <w:tcW w:w="1135" w:type="dxa"/>
            <w:tcBorders>
              <w:top w:val="nil"/>
              <w:bottom w:val="nil"/>
            </w:tcBorders>
          </w:tcPr>
          <w:p>
            <w:pPr>
              <w:pStyle w:val="TableParagraph"/>
              <w:spacing w:before="16"/>
              <w:ind w:left="124" w:right="109"/>
              <w:rPr>
                <w:rFonts w:ascii="Times New Roman"/>
                <w:b/>
                <w:sz w:val="18"/>
              </w:rPr>
            </w:pPr>
            <w:r>
              <w:rPr>
                <w:rFonts w:ascii="Times New Roman"/>
                <w:b/>
                <w:sz w:val="18"/>
              </w:rPr>
              <w:t>260,447</w:t>
            </w:r>
          </w:p>
        </w:tc>
        <w:tc>
          <w:tcPr>
            <w:tcW w:w="1211" w:type="dxa"/>
            <w:tcBorders>
              <w:top w:val="nil"/>
              <w:bottom w:val="nil"/>
            </w:tcBorders>
          </w:tcPr>
          <w:p>
            <w:pPr>
              <w:pStyle w:val="TableParagraph"/>
              <w:spacing w:before="16"/>
              <w:ind w:left="354"/>
              <w:jc w:val="left"/>
              <w:rPr>
                <w:rFonts w:ascii="Times New Roman"/>
                <w:b/>
                <w:sz w:val="18"/>
              </w:rPr>
            </w:pPr>
            <w:r>
              <w:rPr>
                <w:rFonts w:ascii="Times New Roman"/>
                <w:b/>
                <w:sz w:val="18"/>
              </w:rPr>
              <w:t>33,786</w:t>
            </w:r>
          </w:p>
        </w:tc>
        <w:tc>
          <w:tcPr>
            <w:tcW w:w="849" w:type="dxa"/>
            <w:tcBorders>
              <w:top w:val="nil"/>
              <w:bottom w:val="nil"/>
              <w:right w:val="nil"/>
            </w:tcBorders>
          </w:tcPr>
          <w:p>
            <w:pPr>
              <w:pStyle w:val="TableParagraph"/>
              <w:spacing w:before="16"/>
              <w:ind w:right="130"/>
              <w:jc w:val="right"/>
              <w:rPr>
                <w:rFonts w:ascii="Times New Roman"/>
                <w:b/>
                <w:sz w:val="18"/>
              </w:rPr>
            </w:pPr>
            <w:r>
              <w:rPr>
                <w:rFonts w:ascii="Times New Roman"/>
                <w:b/>
                <w:sz w:val="18"/>
              </w:rPr>
              <w:t>294,233</w:t>
            </w:r>
          </w:p>
        </w:tc>
      </w:tr>
      <w:tr>
        <w:trPr>
          <w:trHeight w:val="230" w:hRule="atLeast"/>
        </w:trPr>
        <w:tc>
          <w:tcPr>
            <w:tcW w:w="2640" w:type="dxa"/>
            <w:tcBorders>
              <w:top w:val="nil"/>
              <w:left w:val="nil"/>
              <w:bottom w:val="nil"/>
            </w:tcBorders>
            <w:shd w:val="clear" w:color="auto" w:fill="5FFF00"/>
          </w:tcPr>
          <w:p>
            <w:pPr>
              <w:pStyle w:val="TableParagraph"/>
              <w:spacing w:line="203" w:lineRule="exact" w:before="7"/>
              <w:ind w:left="24"/>
              <w:rPr>
                <w:rFonts w:ascii="Times New Roman"/>
                <w:b/>
                <w:sz w:val="18"/>
              </w:rPr>
            </w:pPr>
            <w:r>
              <w:rPr>
                <w:rFonts w:ascii="Times New Roman"/>
                <w:b/>
                <w:sz w:val="18"/>
                <w:u w:val="single"/>
              </w:rPr>
              <w:t>Hospitality Asset</w:t>
            </w:r>
          </w:p>
        </w:tc>
        <w:tc>
          <w:tcPr>
            <w:tcW w:w="1080" w:type="dxa"/>
            <w:tcBorders>
              <w:top w:val="nil"/>
              <w:bottom w:val="nil"/>
            </w:tcBorders>
            <w:shd w:val="clear" w:color="auto" w:fill="5FFF00"/>
          </w:tcPr>
          <w:p>
            <w:pPr>
              <w:pStyle w:val="TableParagraph"/>
              <w:jc w:val="left"/>
              <w:rPr>
                <w:rFonts w:ascii="Times New Roman"/>
                <w:sz w:val="16"/>
              </w:rPr>
            </w:pPr>
          </w:p>
        </w:tc>
        <w:tc>
          <w:tcPr>
            <w:tcW w:w="897" w:type="dxa"/>
            <w:tcBorders>
              <w:top w:val="nil"/>
              <w:bottom w:val="nil"/>
            </w:tcBorders>
            <w:shd w:val="clear" w:color="auto" w:fill="5FFF00"/>
          </w:tcPr>
          <w:p>
            <w:pPr>
              <w:pStyle w:val="TableParagraph"/>
              <w:jc w:val="left"/>
              <w:rPr>
                <w:rFonts w:ascii="Times New Roman"/>
                <w:sz w:val="16"/>
              </w:rPr>
            </w:pPr>
          </w:p>
        </w:tc>
        <w:tc>
          <w:tcPr>
            <w:tcW w:w="1139" w:type="dxa"/>
            <w:tcBorders>
              <w:top w:val="nil"/>
              <w:bottom w:val="nil"/>
            </w:tcBorders>
            <w:shd w:val="clear" w:color="auto" w:fill="5FFF00"/>
          </w:tcPr>
          <w:p>
            <w:pPr>
              <w:pStyle w:val="TableParagraph"/>
              <w:jc w:val="left"/>
              <w:rPr>
                <w:rFonts w:ascii="Times New Roman"/>
                <w:sz w:val="16"/>
              </w:rPr>
            </w:pPr>
          </w:p>
        </w:tc>
        <w:tc>
          <w:tcPr>
            <w:tcW w:w="897" w:type="dxa"/>
            <w:tcBorders>
              <w:top w:val="nil"/>
              <w:bottom w:val="nil"/>
            </w:tcBorders>
            <w:shd w:val="clear" w:color="auto" w:fill="5FFF00"/>
          </w:tcPr>
          <w:p>
            <w:pPr>
              <w:pStyle w:val="TableParagraph"/>
              <w:jc w:val="left"/>
              <w:rPr>
                <w:rFonts w:ascii="Times New Roman"/>
                <w:sz w:val="16"/>
              </w:rPr>
            </w:pPr>
          </w:p>
        </w:tc>
        <w:tc>
          <w:tcPr>
            <w:tcW w:w="741" w:type="dxa"/>
            <w:tcBorders>
              <w:top w:val="nil"/>
              <w:bottom w:val="nil"/>
            </w:tcBorders>
            <w:shd w:val="clear" w:color="auto" w:fill="5FFF00"/>
          </w:tcPr>
          <w:p>
            <w:pPr>
              <w:pStyle w:val="TableParagraph"/>
              <w:jc w:val="left"/>
              <w:rPr>
                <w:rFonts w:ascii="Times New Roman"/>
                <w:sz w:val="16"/>
              </w:rPr>
            </w:pPr>
          </w:p>
        </w:tc>
        <w:tc>
          <w:tcPr>
            <w:tcW w:w="1290" w:type="dxa"/>
            <w:tcBorders>
              <w:top w:val="nil"/>
              <w:bottom w:val="nil"/>
            </w:tcBorders>
            <w:shd w:val="clear" w:color="auto" w:fill="5FFF00"/>
          </w:tcPr>
          <w:p>
            <w:pPr>
              <w:pStyle w:val="TableParagraph"/>
              <w:jc w:val="left"/>
              <w:rPr>
                <w:rFonts w:ascii="Times New Roman"/>
                <w:sz w:val="16"/>
              </w:rPr>
            </w:pPr>
          </w:p>
        </w:tc>
        <w:tc>
          <w:tcPr>
            <w:tcW w:w="1132" w:type="dxa"/>
            <w:tcBorders>
              <w:top w:val="nil"/>
              <w:bottom w:val="nil"/>
            </w:tcBorders>
            <w:shd w:val="clear" w:color="auto" w:fill="5FFF00"/>
          </w:tcPr>
          <w:p>
            <w:pPr>
              <w:pStyle w:val="TableParagraph"/>
              <w:jc w:val="left"/>
              <w:rPr>
                <w:rFonts w:ascii="Times New Roman"/>
                <w:sz w:val="16"/>
              </w:rPr>
            </w:pPr>
          </w:p>
        </w:tc>
        <w:tc>
          <w:tcPr>
            <w:tcW w:w="1135" w:type="dxa"/>
            <w:tcBorders>
              <w:top w:val="nil"/>
              <w:bottom w:val="nil"/>
            </w:tcBorders>
            <w:shd w:val="clear" w:color="auto" w:fill="5FFF00"/>
          </w:tcPr>
          <w:p>
            <w:pPr>
              <w:pStyle w:val="TableParagraph"/>
              <w:jc w:val="left"/>
              <w:rPr>
                <w:rFonts w:ascii="Times New Roman"/>
                <w:sz w:val="16"/>
              </w:rPr>
            </w:pPr>
          </w:p>
        </w:tc>
        <w:tc>
          <w:tcPr>
            <w:tcW w:w="1211" w:type="dxa"/>
            <w:tcBorders>
              <w:top w:val="nil"/>
              <w:bottom w:val="nil"/>
            </w:tcBorders>
            <w:shd w:val="clear" w:color="auto" w:fill="5FFF00"/>
          </w:tcPr>
          <w:p>
            <w:pPr>
              <w:pStyle w:val="TableParagraph"/>
              <w:jc w:val="left"/>
              <w:rPr>
                <w:rFonts w:ascii="Times New Roman"/>
                <w:sz w:val="16"/>
              </w:rPr>
            </w:pPr>
          </w:p>
        </w:tc>
        <w:tc>
          <w:tcPr>
            <w:tcW w:w="849" w:type="dxa"/>
            <w:tcBorders>
              <w:top w:val="nil"/>
              <w:bottom w:val="nil"/>
              <w:right w:val="nil"/>
            </w:tcBorders>
            <w:shd w:val="clear" w:color="auto" w:fill="5FFF00"/>
          </w:tcPr>
          <w:p>
            <w:pPr>
              <w:pStyle w:val="TableParagraph"/>
              <w:jc w:val="left"/>
              <w:rPr>
                <w:rFonts w:ascii="Times New Roman"/>
                <w:sz w:val="16"/>
              </w:rPr>
            </w:pPr>
          </w:p>
        </w:tc>
      </w:tr>
      <w:tr>
        <w:trPr>
          <w:trHeight w:val="516" w:hRule="atLeast"/>
        </w:trPr>
        <w:tc>
          <w:tcPr>
            <w:tcW w:w="2640" w:type="dxa"/>
            <w:tcBorders>
              <w:top w:val="nil"/>
              <w:left w:val="nil"/>
              <w:bottom w:val="nil"/>
            </w:tcBorders>
          </w:tcPr>
          <w:p>
            <w:pPr>
              <w:pStyle w:val="TableParagraph"/>
              <w:spacing w:before="24"/>
              <w:ind w:left="271"/>
              <w:jc w:val="left"/>
              <w:rPr>
                <w:rFonts w:ascii="Times New Roman"/>
                <w:sz w:val="18"/>
              </w:rPr>
            </w:pPr>
            <w:r>
              <w:rPr>
                <w:rFonts w:ascii="Times New Roman"/>
                <w:sz w:val="18"/>
              </w:rPr>
              <w:t>Hilton at Embassy</w:t>
            </w:r>
            <w:r>
              <w:rPr>
                <w:rFonts w:ascii="Times New Roman"/>
                <w:spacing w:val="-3"/>
                <w:sz w:val="18"/>
              </w:rPr>
              <w:t> </w:t>
            </w:r>
            <w:r>
              <w:rPr>
                <w:rFonts w:ascii="Times New Roman"/>
                <w:sz w:val="18"/>
              </w:rPr>
              <w:t>GolfLinks</w:t>
            </w:r>
          </w:p>
          <w:p>
            <w:pPr>
              <w:pStyle w:val="TableParagraph"/>
              <w:spacing w:before="42"/>
              <w:ind w:left="237"/>
              <w:jc w:val="left"/>
              <w:rPr>
                <w:rFonts w:ascii="Times New Roman"/>
                <w:sz w:val="18"/>
              </w:rPr>
            </w:pPr>
            <w:r>
              <w:rPr>
                <w:rFonts w:ascii="Times New Roman"/>
                <w:sz w:val="18"/>
              </w:rPr>
              <w:t>Four Seasons at Embassy</w:t>
            </w:r>
            <w:r>
              <w:rPr>
                <w:rFonts w:ascii="Times New Roman"/>
                <w:spacing w:val="-6"/>
                <w:sz w:val="18"/>
              </w:rPr>
              <w:t> </w:t>
            </w:r>
            <w:r>
              <w:rPr>
                <w:rFonts w:ascii="Times New Roman"/>
                <w:sz w:val="18"/>
              </w:rPr>
              <w:t>One</w:t>
            </w:r>
          </w:p>
        </w:tc>
        <w:tc>
          <w:tcPr>
            <w:tcW w:w="1080" w:type="dxa"/>
            <w:tcBorders>
              <w:top w:val="nil"/>
              <w:bottom w:val="nil"/>
            </w:tcBorders>
          </w:tcPr>
          <w:p>
            <w:pPr>
              <w:pStyle w:val="TableParagraph"/>
              <w:spacing w:before="24"/>
              <w:ind w:left="187"/>
              <w:jc w:val="left"/>
              <w:rPr>
                <w:rFonts w:ascii="Times New Roman"/>
                <w:sz w:val="18"/>
              </w:rPr>
            </w:pPr>
            <w:r>
              <w:rPr>
                <w:rFonts w:ascii="Times New Roman"/>
                <w:sz w:val="18"/>
              </w:rPr>
              <w:t>247</w:t>
            </w:r>
            <w:r>
              <w:rPr>
                <w:rFonts w:ascii="Times New Roman"/>
                <w:spacing w:val="-1"/>
                <w:sz w:val="18"/>
              </w:rPr>
              <w:t> </w:t>
            </w:r>
            <w:r>
              <w:rPr>
                <w:rFonts w:ascii="Times New Roman"/>
                <w:sz w:val="18"/>
              </w:rPr>
              <w:t>Keys</w:t>
            </w:r>
          </w:p>
          <w:p>
            <w:pPr>
              <w:pStyle w:val="TableParagraph"/>
              <w:spacing w:before="42"/>
              <w:ind w:left="187"/>
              <w:jc w:val="left"/>
              <w:rPr>
                <w:rFonts w:ascii="Times New Roman"/>
                <w:sz w:val="18"/>
              </w:rPr>
            </w:pPr>
            <w:r>
              <w:rPr>
                <w:rFonts w:ascii="Times New Roman"/>
                <w:sz w:val="18"/>
              </w:rPr>
              <w:t>230</w:t>
            </w:r>
            <w:r>
              <w:rPr>
                <w:rFonts w:ascii="Times New Roman"/>
                <w:spacing w:val="-1"/>
                <w:sz w:val="18"/>
              </w:rPr>
              <w:t> </w:t>
            </w:r>
            <w:r>
              <w:rPr>
                <w:rFonts w:ascii="Times New Roman"/>
                <w:sz w:val="18"/>
              </w:rPr>
              <w:t>Keys</w:t>
            </w:r>
          </w:p>
        </w:tc>
        <w:tc>
          <w:tcPr>
            <w:tcW w:w="897" w:type="dxa"/>
            <w:tcBorders>
              <w:top w:val="nil"/>
              <w:bottom w:val="nil"/>
            </w:tcBorders>
          </w:tcPr>
          <w:p>
            <w:pPr>
              <w:pStyle w:val="TableParagraph"/>
              <w:spacing w:before="24"/>
              <w:rPr>
                <w:rFonts w:ascii="Times New Roman"/>
                <w:sz w:val="18"/>
              </w:rPr>
            </w:pPr>
            <w:r>
              <w:rPr>
                <w:rFonts w:ascii="Times New Roman"/>
                <w:w w:val="99"/>
                <w:sz w:val="18"/>
              </w:rPr>
              <w:t>-</w:t>
            </w:r>
          </w:p>
          <w:p>
            <w:pPr>
              <w:pStyle w:val="TableParagraph"/>
              <w:spacing w:before="42"/>
              <w:rPr>
                <w:rFonts w:ascii="Times New Roman"/>
                <w:sz w:val="18"/>
              </w:rPr>
            </w:pPr>
            <w:r>
              <w:rPr>
                <w:rFonts w:ascii="Times New Roman"/>
                <w:w w:val="99"/>
                <w:sz w:val="18"/>
              </w:rPr>
              <w:t>-</w:t>
            </w:r>
          </w:p>
        </w:tc>
        <w:tc>
          <w:tcPr>
            <w:tcW w:w="1139" w:type="dxa"/>
            <w:tcBorders>
              <w:top w:val="nil"/>
              <w:bottom w:val="nil"/>
            </w:tcBorders>
          </w:tcPr>
          <w:p>
            <w:pPr>
              <w:pStyle w:val="TableParagraph"/>
              <w:spacing w:before="24"/>
              <w:ind w:left="219"/>
              <w:jc w:val="left"/>
              <w:rPr>
                <w:rFonts w:ascii="Times New Roman"/>
                <w:sz w:val="18"/>
              </w:rPr>
            </w:pPr>
            <w:r>
              <w:rPr>
                <w:rFonts w:ascii="Times New Roman"/>
                <w:sz w:val="18"/>
              </w:rPr>
              <w:t>247</w:t>
            </w:r>
            <w:r>
              <w:rPr>
                <w:rFonts w:ascii="Times New Roman"/>
                <w:spacing w:val="-1"/>
                <w:sz w:val="18"/>
              </w:rPr>
              <w:t> </w:t>
            </w:r>
            <w:r>
              <w:rPr>
                <w:rFonts w:ascii="Times New Roman"/>
                <w:sz w:val="18"/>
              </w:rPr>
              <w:t>Keys</w:t>
            </w:r>
          </w:p>
          <w:p>
            <w:pPr>
              <w:pStyle w:val="TableParagraph"/>
              <w:spacing w:before="42"/>
              <w:ind w:left="219"/>
              <w:jc w:val="left"/>
              <w:rPr>
                <w:rFonts w:ascii="Times New Roman"/>
                <w:sz w:val="18"/>
              </w:rPr>
            </w:pPr>
            <w:r>
              <w:rPr>
                <w:rFonts w:ascii="Times New Roman"/>
                <w:sz w:val="18"/>
              </w:rPr>
              <w:t>230</w:t>
            </w:r>
            <w:r>
              <w:rPr>
                <w:rFonts w:ascii="Times New Roman"/>
                <w:spacing w:val="-1"/>
                <w:sz w:val="18"/>
              </w:rPr>
              <w:t> </w:t>
            </w:r>
            <w:r>
              <w:rPr>
                <w:rFonts w:ascii="Times New Roman"/>
                <w:sz w:val="18"/>
              </w:rPr>
              <w:t>Keys</w:t>
            </w:r>
          </w:p>
        </w:tc>
        <w:tc>
          <w:tcPr>
            <w:tcW w:w="897" w:type="dxa"/>
            <w:tcBorders>
              <w:top w:val="nil"/>
              <w:bottom w:val="nil"/>
            </w:tcBorders>
          </w:tcPr>
          <w:p>
            <w:pPr>
              <w:pStyle w:val="TableParagraph"/>
              <w:spacing w:before="24"/>
              <w:ind w:left="162"/>
              <w:jc w:val="left"/>
              <w:rPr>
                <w:rFonts w:ascii="Times New Roman"/>
                <w:sz w:val="18"/>
              </w:rPr>
            </w:pPr>
            <w:r>
              <w:rPr>
                <w:rFonts w:ascii="Times New Roman"/>
                <w:sz w:val="18"/>
              </w:rPr>
              <w:t>12.63%</w:t>
            </w:r>
          </w:p>
          <w:p>
            <w:pPr>
              <w:pStyle w:val="TableParagraph"/>
              <w:spacing w:before="42"/>
              <w:ind w:left="162"/>
              <w:jc w:val="left"/>
              <w:rPr>
                <w:rFonts w:ascii="Times New Roman"/>
                <w:sz w:val="18"/>
              </w:rPr>
            </w:pPr>
            <w:r>
              <w:rPr>
                <w:rFonts w:ascii="Times New Roman"/>
                <w:sz w:val="18"/>
              </w:rPr>
              <w:t>12.63%</w:t>
            </w:r>
          </w:p>
        </w:tc>
        <w:tc>
          <w:tcPr>
            <w:tcW w:w="741" w:type="dxa"/>
            <w:tcBorders>
              <w:top w:val="nil"/>
              <w:bottom w:val="nil"/>
            </w:tcBorders>
          </w:tcPr>
          <w:p>
            <w:pPr>
              <w:pStyle w:val="TableParagraph"/>
              <w:spacing w:before="24"/>
              <w:ind w:left="233"/>
              <w:jc w:val="left"/>
              <w:rPr>
                <w:rFonts w:ascii="Times New Roman"/>
                <w:sz w:val="18"/>
              </w:rPr>
            </w:pPr>
            <w:r>
              <w:rPr>
                <w:rFonts w:ascii="Times New Roman"/>
                <w:sz w:val="18"/>
              </w:rPr>
              <w:t>NA</w:t>
            </w:r>
          </w:p>
          <w:p>
            <w:pPr>
              <w:pStyle w:val="TableParagraph"/>
              <w:spacing w:before="42"/>
              <w:ind w:left="233"/>
              <w:jc w:val="left"/>
              <w:rPr>
                <w:rFonts w:ascii="Times New Roman"/>
                <w:sz w:val="18"/>
              </w:rPr>
            </w:pPr>
            <w:r>
              <w:rPr>
                <w:rFonts w:ascii="Times New Roman"/>
                <w:sz w:val="18"/>
              </w:rPr>
              <w:t>NA</w:t>
            </w:r>
          </w:p>
        </w:tc>
        <w:tc>
          <w:tcPr>
            <w:tcW w:w="1290" w:type="dxa"/>
            <w:tcBorders>
              <w:top w:val="nil"/>
              <w:bottom w:val="nil"/>
            </w:tcBorders>
          </w:tcPr>
          <w:p>
            <w:pPr>
              <w:pStyle w:val="TableParagraph"/>
              <w:spacing w:before="24"/>
              <w:ind w:left="387" w:right="373"/>
              <w:rPr>
                <w:rFonts w:ascii="Times New Roman"/>
                <w:sz w:val="18"/>
              </w:rPr>
            </w:pPr>
            <w:r>
              <w:rPr>
                <w:rFonts w:ascii="Times New Roman"/>
                <w:sz w:val="18"/>
              </w:rPr>
              <w:t>14x</w:t>
            </w:r>
          </w:p>
          <w:p>
            <w:pPr>
              <w:pStyle w:val="TableParagraph"/>
              <w:spacing w:before="42"/>
              <w:ind w:left="387" w:right="373"/>
              <w:rPr>
                <w:rFonts w:ascii="Times New Roman"/>
                <w:sz w:val="18"/>
              </w:rPr>
            </w:pPr>
            <w:r>
              <w:rPr>
                <w:rFonts w:ascii="Times New Roman"/>
                <w:sz w:val="18"/>
              </w:rPr>
              <w:t>14x</w:t>
            </w:r>
          </w:p>
        </w:tc>
        <w:tc>
          <w:tcPr>
            <w:tcW w:w="1132" w:type="dxa"/>
            <w:tcBorders>
              <w:top w:val="nil"/>
              <w:bottom w:val="nil"/>
            </w:tcBorders>
          </w:tcPr>
          <w:p>
            <w:pPr>
              <w:pStyle w:val="TableParagraph"/>
              <w:spacing w:before="24"/>
              <w:ind w:left="357"/>
              <w:jc w:val="left"/>
              <w:rPr>
                <w:rFonts w:ascii="Times New Roman"/>
                <w:sz w:val="18"/>
              </w:rPr>
            </w:pPr>
            <w:r>
              <w:rPr>
                <w:rFonts w:ascii="Times New Roman"/>
                <w:sz w:val="18"/>
              </w:rPr>
              <w:t>8,750</w:t>
            </w:r>
          </w:p>
          <w:p>
            <w:pPr>
              <w:pStyle w:val="TableParagraph"/>
              <w:spacing w:before="42"/>
              <w:ind w:left="314"/>
              <w:jc w:val="left"/>
              <w:rPr>
                <w:rFonts w:ascii="Times New Roman"/>
                <w:sz w:val="18"/>
              </w:rPr>
            </w:pPr>
            <w:r>
              <w:rPr>
                <w:rFonts w:ascii="Times New Roman"/>
                <w:sz w:val="18"/>
              </w:rPr>
              <w:t>11,200</w:t>
            </w:r>
          </w:p>
        </w:tc>
        <w:tc>
          <w:tcPr>
            <w:tcW w:w="1135" w:type="dxa"/>
            <w:tcBorders>
              <w:top w:val="nil"/>
              <w:bottom w:val="nil"/>
            </w:tcBorders>
          </w:tcPr>
          <w:p>
            <w:pPr>
              <w:pStyle w:val="TableParagraph"/>
              <w:spacing w:before="24"/>
              <w:ind w:left="360"/>
              <w:jc w:val="left"/>
              <w:rPr>
                <w:rFonts w:ascii="Times New Roman"/>
                <w:sz w:val="18"/>
              </w:rPr>
            </w:pPr>
            <w:r>
              <w:rPr>
                <w:rFonts w:ascii="Times New Roman"/>
                <w:sz w:val="18"/>
              </w:rPr>
              <w:t>5,045</w:t>
            </w:r>
          </w:p>
          <w:p>
            <w:pPr>
              <w:pStyle w:val="TableParagraph"/>
              <w:spacing w:before="42"/>
              <w:ind w:left="360"/>
              <w:jc w:val="left"/>
              <w:rPr>
                <w:rFonts w:ascii="Times New Roman"/>
                <w:sz w:val="18"/>
              </w:rPr>
            </w:pPr>
            <w:r>
              <w:rPr>
                <w:rFonts w:ascii="Times New Roman"/>
                <w:sz w:val="18"/>
              </w:rPr>
              <w:t>8,244</w:t>
            </w:r>
          </w:p>
        </w:tc>
        <w:tc>
          <w:tcPr>
            <w:tcW w:w="1211" w:type="dxa"/>
            <w:tcBorders>
              <w:top w:val="nil"/>
              <w:bottom w:val="nil"/>
            </w:tcBorders>
          </w:tcPr>
          <w:p>
            <w:pPr>
              <w:pStyle w:val="TableParagraph"/>
              <w:spacing w:before="24"/>
              <w:ind w:left="14"/>
              <w:rPr>
                <w:rFonts w:ascii="Times New Roman"/>
                <w:sz w:val="18"/>
              </w:rPr>
            </w:pPr>
            <w:r>
              <w:rPr>
                <w:rFonts w:ascii="Times New Roman"/>
                <w:w w:val="99"/>
                <w:sz w:val="18"/>
              </w:rPr>
              <w:t>-</w:t>
            </w:r>
          </w:p>
          <w:p>
            <w:pPr>
              <w:pStyle w:val="TableParagraph"/>
              <w:spacing w:before="42"/>
              <w:ind w:left="14"/>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24"/>
              <w:ind w:left="209"/>
              <w:jc w:val="left"/>
              <w:rPr>
                <w:rFonts w:ascii="Times New Roman"/>
                <w:sz w:val="18"/>
              </w:rPr>
            </w:pPr>
            <w:r>
              <w:rPr>
                <w:rFonts w:ascii="Times New Roman"/>
                <w:sz w:val="18"/>
              </w:rPr>
              <w:t>5,045</w:t>
            </w:r>
          </w:p>
          <w:p>
            <w:pPr>
              <w:pStyle w:val="TableParagraph"/>
              <w:spacing w:before="42"/>
              <w:ind w:left="209"/>
              <w:jc w:val="left"/>
              <w:rPr>
                <w:rFonts w:ascii="Times New Roman"/>
                <w:sz w:val="18"/>
              </w:rPr>
            </w:pPr>
            <w:r>
              <w:rPr>
                <w:rFonts w:ascii="Times New Roman"/>
                <w:sz w:val="18"/>
              </w:rPr>
              <w:t>8,244</w:t>
            </w:r>
          </w:p>
        </w:tc>
      </w:tr>
      <w:tr>
        <w:trPr>
          <w:trHeight w:val="284" w:hRule="atLeast"/>
        </w:trPr>
        <w:tc>
          <w:tcPr>
            <w:tcW w:w="2640" w:type="dxa"/>
            <w:tcBorders>
              <w:top w:val="nil"/>
              <w:left w:val="nil"/>
              <w:bottom w:val="nil"/>
            </w:tcBorders>
          </w:tcPr>
          <w:p>
            <w:pPr>
              <w:pStyle w:val="TableParagraph"/>
              <w:spacing w:before="28"/>
              <w:ind w:left="24"/>
              <w:rPr>
                <w:rFonts w:ascii="Times New Roman"/>
                <w:sz w:val="18"/>
              </w:rPr>
            </w:pPr>
            <w:r>
              <w:rPr>
                <w:rFonts w:ascii="Times New Roman"/>
                <w:sz w:val="18"/>
              </w:rPr>
              <w:t>Hilton at Embassy Manyata (5 Star)</w:t>
            </w:r>
          </w:p>
        </w:tc>
        <w:tc>
          <w:tcPr>
            <w:tcW w:w="1080" w:type="dxa"/>
            <w:tcBorders>
              <w:top w:val="nil"/>
              <w:bottom w:val="nil"/>
            </w:tcBorders>
          </w:tcPr>
          <w:p>
            <w:pPr>
              <w:pStyle w:val="TableParagraph"/>
              <w:spacing w:before="28"/>
              <w:ind w:right="1"/>
              <w:rPr>
                <w:rFonts w:ascii="Times New Roman"/>
                <w:sz w:val="18"/>
              </w:rPr>
            </w:pPr>
            <w:r>
              <w:rPr>
                <w:rFonts w:ascii="Times New Roman"/>
                <w:w w:val="99"/>
                <w:sz w:val="18"/>
              </w:rPr>
              <w:t>-</w:t>
            </w:r>
          </w:p>
        </w:tc>
        <w:tc>
          <w:tcPr>
            <w:tcW w:w="897" w:type="dxa"/>
            <w:tcBorders>
              <w:top w:val="nil"/>
              <w:bottom w:val="nil"/>
            </w:tcBorders>
          </w:tcPr>
          <w:p>
            <w:pPr>
              <w:pStyle w:val="TableParagraph"/>
              <w:spacing w:before="28"/>
              <w:ind w:left="2"/>
              <w:rPr>
                <w:rFonts w:ascii="Times New Roman"/>
                <w:sz w:val="18"/>
              </w:rPr>
            </w:pPr>
            <w:r>
              <w:rPr>
                <w:rFonts w:ascii="Times New Roman"/>
                <w:sz w:val="18"/>
              </w:rPr>
              <w:t>266 Keys</w:t>
            </w:r>
          </w:p>
        </w:tc>
        <w:tc>
          <w:tcPr>
            <w:tcW w:w="1139" w:type="dxa"/>
            <w:tcBorders>
              <w:top w:val="nil"/>
              <w:bottom w:val="nil"/>
            </w:tcBorders>
          </w:tcPr>
          <w:p>
            <w:pPr>
              <w:pStyle w:val="TableParagraph"/>
              <w:spacing w:before="28"/>
              <w:ind w:left="150" w:right="144"/>
              <w:rPr>
                <w:rFonts w:ascii="Times New Roman"/>
                <w:sz w:val="18"/>
              </w:rPr>
            </w:pPr>
            <w:r>
              <w:rPr>
                <w:rFonts w:ascii="Times New Roman"/>
                <w:sz w:val="18"/>
              </w:rPr>
              <w:t>266 Keys</w:t>
            </w:r>
          </w:p>
        </w:tc>
        <w:tc>
          <w:tcPr>
            <w:tcW w:w="897" w:type="dxa"/>
            <w:tcBorders>
              <w:top w:val="nil"/>
              <w:bottom w:val="nil"/>
            </w:tcBorders>
          </w:tcPr>
          <w:p>
            <w:pPr>
              <w:pStyle w:val="TableParagraph"/>
              <w:spacing w:before="28"/>
              <w:ind w:left="5"/>
              <w:rPr>
                <w:rFonts w:ascii="Times New Roman"/>
                <w:sz w:val="18"/>
              </w:rPr>
            </w:pPr>
            <w:r>
              <w:rPr>
                <w:rFonts w:ascii="Times New Roman"/>
                <w:sz w:val="18"/>
              </w:rPr>
              <w:t>NA</w:t>
            </w:r>
          </w:p>
        </w:tc>
        <w:tc>
          <w:tcPr>
            <w:tcW w:w="741" w:type="dxa"/>
            <w:tcBorders>
              <w:top w:val="nil"/>
              <w:bottom w:val="nil"/>
            </w:tcBorders>
          </w:tcPr>
          <w:p>
            <w:pPr>
              <w:pStyle w:val="TableParagraph"/>
              <w:spacing w:before="28"/>
              <w:ind w:left="66" w:right="59"/>
              <w:rPr>
                <w:rFonts w:ascii="Times New Roman"/>
                <w:sz w:val="18"/>
              </w:rPr>
            </w:pPr>
            <w:r>
              <w:rPr>
                <w:rFonts w:ascii="Times New Roman"/>
                <w:sz w:val="18"/>
              </w:rPr>
              <w:t>13.63%</w:t>
            </w:r>
          </w:p>
        </w:tc>
        <w:tc>
          <w:tcPr>
            <w:tcW w:w="1290" w:type="dxa"/>
            <w:tcBorders>
              <w:top w:val="nil"/>
              <w:bottom w:val="nil"/>
            </w:tcBorders>
          </w:tcPr>
          <w:p>
            <w:pPr>
              <w:pStyle w:val="TableParagraph"/>
              <w:spacing w:before="28"/>
              <w:ind w:left="387" w:right="373"/>
              <w:rPr>
                <w:rFonts w:ascii="Times New Roman"/>
                <w:sz w:val="18"/>
              </w:rPr>
            </w:pPr>
            <w:r>
              <w:rPr>
                <w:rFonts w:ascii="Times New Roman"/>
                <w:sz w:val="18"/>
              </w:rPr>
              <w:t>14x</w:t>
            </w:r>
          </w:p>
        </w:tc>
        <w:tc>
          <w:tcPr>
            <w:tcW w:w="1132" w:type="dxa"/>
            <w:tcBorders>
              <w:top w:val="nil"/>
              <w:bottom w:val="nil"/>
            </w:tcBorders>
          </w:tcPr>
          <w:p>
            <w:pPr>
              <w:pStyle w:val="TableParagraph"/>
              <w:spacing w:before="28"/>
              <w:ind w:left="109" w:right="100"/>
              <w:rPr>
                <w:rFonts w:ascii="Times New Roman"/>
                <w:sz w:val="18"/>
              </w:rPr>
            </w:pPr>
            <w:r>
              <w:rPr>
                <w:rFonts w:ascii="Times New Roman"/>
                <w:sz w:val="18"/>
              </w:rPr>
              <w:t>7,500</w:t>
            </w:r>
          </w:p>
        </w:tc>
        <w:tc>
          <w:tcPr>
            <w:tcW w:w="1135" w:type="dxa"/>
            <w:tcBorders>
              <w:top w:val="nil"/>
              <w:bottom w:val="nil"/>
            </w:tcBorders>
          </w:tcPr>
          <w:p>
            <w:pPr>
              <w:pStyle w:val="TableParagraph"/>
              <w:spacing w:before="28"/>
              <w:ind w:left="13"/>
              <w:rPr>
                <w:rFonts w:ascii="Times New Roman"/>
                <w:sz w:val="18"/>
              </w:rPr>
            </w:pPr>
            <w:r>
              <w:rPr>
                <w:rFonts w:ascii="Times New Roman"/>
                <w:w w:val="99"/>
                <w:sz w:val="18"/>
              </w:rPr>
              <w:t>-</w:t>
            </w:r>
          </w:p>
        </w:tc>
        <w:tc>
          <w:tcPr>
            <w:tcW w:w="1211" w:type="dxa"/>
            <w:tcBorders>
              <w:top w:val="nil"/>
              <w:bottom w:val="nil"/>
            </w:tcBorders>
          </w:tcPr>
          <w:p>
            <w:pPr>
              <w:pStyle w:val="TableParagraph"/>
              <w:spacing w:before="28"/>
              <w:ind w:left="400"/>
              <w:jc w:val="left"/>
              <w:rPr>
                <w:rFonts w:ascii="Times New Roman"/>
                <w:sz w:val="18"/>
              </w:rPr>
            </w:pPr>
            <w:r>
              <w:rPr>
                <w:rFonts w:ascii="Times New Roman"/>
                <w:sz w:val="18"/>
              </w:rPr>
              <w:t>2,064</w:t>
            </w:r>
          </w:p>
        </w:tc>
        <w:tc>
          <w:tcPr>
            <w:tcW w:w="849" w:type="dxa"/>
            <w:tcBorders>
              <w:top w:val="nil"/>
              <w:bottom w:val="nil"/>
              <w:right w:val="nil"/>
            </w:tcBorders>
          </w:tcPr>
          <w:p>
            <w:pPr>
              <w:pStyle w:val="TableParagraph"/>
              <w:spacing w:before="28"/>
              <w:ind w:left="209"/>
              <w:jc w:val="left"/>
              <w:rPr>
                <w:rFonts w:ascii="Times New Roman"/>
                <w:sz w:val="18"/>
              </w:rPr>
            </w:pPr>
            <w:r>
              <w:rPr>
                <w:rFonts w:ascii="Times New Roman"/>
                <w:sz w:val="18"/>
              </w:rPr>
              <w:t>2,064</w:t>
            </w:r>
          </w:p>
        </w:tc>
      </w:tr>
      <w:tr>
        <w:trPr>
          <w:trHeight w:val="285" w:hRule="atLeast"/>
        </w:trPr>
        <w:tc>
          <w:tcPr>
            <w:tcW w:w="2640" w:type="dxa"/>
            <w:tcBorders>
              <w:top w:val="nil"/>
              <w:left w:val="nil"/>
              <w:bottom w:val="nil"/>
            </w:tcBorders>
          </w:tcPr>
          <w:p>
            <w:pPr>
              <w:pStyle w:val="TableParagraph"/>
              <w:spacing w:before="41"/>
              <w:ind w:left="24"/>
              <w:rPr>
                <w:rFonts w:ascii="Times New Roman"/>
                <w:sz w:val="18"/>
              </w:rPr>
            </w:pPr>
            <w:r>
              <w:rPr>
                <w:rFonts w:ascii="Times New Roman"/>
                <w:sz w:val="18"/>
              </w:rPr>
              <w:t>Hilton at Embassy Manyata (3 Star)</w:t>
            </w:r>
          </w:p>
        </w:tc>
        <w:tc>
          <w:tcPr>
            <w:tcW w:w="1080" w:type="dxa"/>
            <w:tcBorders>
              <w:top w:val="nil"/>
              <w:bottom w:val="nil"/>
            </w:tcBorders>
          </w:tcPr>
          <w:p>
            <w:pPr>
              <w:pStyle w:val="TableParagraph"/>
              <w:spacing w:before="41"/>
              <w:ind w:right="1"/>
              <w:rPr>
                <w:rFonts w:ascii="Times New Roman"/>
                <w:sz w:val="18"/>
              </w:rPr>
            </w:pPr>
            <w:r>
              <w:rPr>
                <w:rFonts w:ascii="Times New Roman"/>
                <w:w w:val="99"/>
                <w:sz w:val="18"/>
              </w:rPr>
              <w:t>-</w:t>
            </w:r>
          </w:p>
        </w:tc>
        <w:tc>
          <w:tcPr>
            <w:tcW w:w="897" w:type="dxa"/>
            <w:tcBorders>
              <w:top w:val="nil"/>
              <w:bottom w:val="nil"/>
            </w:tcBorders>
          </w:tcPr>
          <w:p>
            <w:pPr>
              <w:pStyle w:val="TableParagraph"/>
              <w:spacing w:before="41"/>
              <w:ind w:left="2"/>
              <w:rPr>
                <w:rFonts w:ascii="Times New Roman"/>
                <w:sz w:val="18"/>
              </w:rPr>
            </w:pPr>
            <w:r>
              <w:rPr>
                <w:rFonts w:ascii="Times New Roman"/>
                <w:sz w:val="18"/>
              </w:rPr>
              <w:t>353 Keys</w:t>
            </w:r>
          </w:p>
        </w:tc>
        <w:tc>
          <w:tcPr>
            <w:tcW w:w="1139" w:type="dxa"/>
            <w:tcBorders>
              <w:top w:val="nil"/>
              <w:bottom w:val="nil"/>
            </w:tcBorders>
          </w:tcPr>
          <w:p>
            <w:pPr>
              <w:pStyle w:val="TableParagraph"/>
              <w:spacing w:before="41"/>
              <w:ind w:left="150" w:right="144"/>
              <w:rPr>
                <w:rFonts w:ascii="Times New Roman"/>
                <w:sz w:val="18"/>
              </w:rPr>
            </w:pPr>
            <w:r>
              <w:rPr>
                <w:rFonts w:ascii="Times New Roman"/>
                <w:sz w:val="18"/>
              </w:rPr>
              <w:t>353 Keys</w:t>
            </w:r>
          </w:p>
        </w:tc>
        <w:tc>
          <w:tcPr>
            <w:tcW w:w="897" w:type="dxa"/>
            <w:tcBorders>
              <w:top w:val="nil"/>
              <w:bottom w:val="nil"/>
            </w:tcBorders>
          </w:tcPr>
          <w:p>
            <w:pPr>
              <w:pStyle w:val="TableParagraph"/>
              <w:spacing w:before="41"/>
              <w:ind w:left="5"/>
              <w:rPr>
                <w:rFonts w:ascii="Times New Roman"/>
                <w:sz w:val="18"/>
              </w:rPr>
            </w:pPr>
            <w:r>
              <w:rPr>
                <w:rFonts w:ascii="Times New Roman"/>
                <w:sz w:val="18"/>
              </w:rPr>
              <w:t>NA</w:t>
            </w:r>
          </w:p>
        </w:tc>
        <w:tc>
          <w:tcPr>
            <w:tcW w:w="741" w:type="dxa"/>
            <w:tcBorders>
              <w:top w:val="nil"/>
              <w:bottom w:val="nil"/>
            </w:tcBorders>
          </w:tcPr>
          <w:p>
            <w:pPr>
              <w:pStyle w:val="TableParagraph"/>
              <w:spacing w:before="41"/>
              <w:ind w:left="66" w:right="59"/>
              <w:rPr>
                <w:rFonts w:ascii="Times New Roman"/>
                <w:sz w:val="18"/>
              </w:rPr>
            </w:pPr>
            <w:r>
              <w:rPr>
                <w:rFonts w:ascii="Times New Roman"/>
                <w:sz w:val="18"/>
              </w:rPr>
              <w:t>13.63%</w:t>
            </w:r>
          </w:p>
        </w:tc>
        <w:tc>
          <w:tcPr>
            <w:tcW w:w="1290" w:type="dxa"/>
            <w:tcBorders>
              <w:top w:val="nil"/>
              <w:bottom w:val="nil"/>
            </w:tcBorders>
          </w:tcPr>
          <w:p>
            <w:pPr>
              <w:pStyle w:val="TableParagraph"/>
              <w:spacing w:before="41"/>
              <w:ind w:left="387" w:right="373"/>
              <w:rPr>
                <w:rFonts w:ascii="Times New Roman"/>
                <w:sz w:val="18"/>
              </w:rPr>
            </w:pPr>
            <w:r>
              <w:rPr>
                <w:rFonts w:ascii="Times New Roman"/>
                <w:sz w:val="18"/>
              </w:rPr>
              <w:t>14x</w:t>
            </w:r>
          </w:p>
        </w:tc>
        <w:tc>
          <w:tcPr>
            <w:tcW w:w="1132" w:type="dxa"/>
            <w:tcBorders>
              <w:top w:val="nil"/>
              <w:bottom w:val="nil"/>
            </w:tcBorders>
          </w:tcPr>
          <w:p>
            <w:pPr>
              <w:pStyle w:val="TableParagraph"/>
              <w:spacing w:before="41"/>
              <w:ind w:left="109" w:right="100"/>
              <w:rPr>
                <w:rFonts w:ascii="Times New Roman"/>
                <w:sz w:val="18"/>
              </w:rPr>
            </w:pPr>
            <w:r>
              <w:rPr>
                <w:rFonts w:ascii="Times New Roman"/>
                <w:sz w:val="18"/>
              </w:rPr>
              <w:t>5,000</w:t>
            </w:r>
          </w:p>
        </w:tc>
        <w:tc>
          <w:tcPr>
            <w:tcW w:w="1135" w:type="dxa"/>
            <w:tcBorders>
              <w:top w:val="nil"/>
              <w:bottom w:val="nil"/>
            </w:tcBorders>
          </w:tcPr>
          <w:p>
            <w:pPr>
              <w:pStyle w:val="TableParagraph"/>
              <w:spacing w:before="41"/>
              <w:ind w:left="13"/>
              <w:rPr>
                <w:rFonts w:ascii="Times New Roman"/>
                <w:sz w:val="18"/>
              </w:rPr>
            </w:pPr>
            <w:r>
              <w:rPr>
                <w:rFonts w:ascii="Times New Roman"/>
                <w:w w:val="99"/>
                <w:sz w:val="18"/>
              </w:rPr>
              <w:t>-</w:t>
            </w:r>
          </w:p>
        </w:tc>
        <w:tc>
          <w:tcPr>
            <w:tcW w:w="1211" w:type="dxa"/>
            <w:tcBorders>
              <w:top w:val="nil"/>
              <w:bottom w:val="nil"/>
            </w:tcBorders>
          </w:tcPr>
          <w:p>
            <w:pPr>
              <w:pStyle w:val="TableParagraph"/>
              <w:spacing w:before="41"/>
              <w:ind w:left="400"/>
              <w:jc w:val="left"/>
              <w:rPr>
                <w:rFonts w:ascii="Times New Roman"/>
                <w:sz w:val="18"/>
              </w:rPr>
            </w:pPr>
            <w:r>
              <w:rPr>
                <w:rFonts w:ascii="Times New Roman"/>
                <w:sz w:val="18"/>
              </w:rPr>
              <w:t>1,016</w:t>
            </w:r>
          </w:p>
        </w:tc>
        <w:tc>
          <w:tcPr>
            <w:tcW w:w="849" w:type="dxa"/>
            <w:tcBorders>
              <w:top w:val="nil"/>
              <w:bottom w:val="nil"/>
              <w:right w:val="nil"/>
            </w:tcBorders>
          </w:tcPr>
          <w:p>
            <w:pPr>
              <w:pStyle w:val="TableParagraph"/>
              <w:spacing w:before="41"/>
              <w:ind w:left="209"/>
              <w:jc w:val="left"/>
              <w:rPr>
                <w:rFonts w:ascii="Times New Roman"/>
                <w:sz w:val="18"/>
              </w:rPr>
            </w:pPr>
            <w:r>
              <w:rPr>
                <w:rFonts w:ascii="Times New Roman"/>
                <w:sz w:val="18"/>
              </w:rPr>
              <w:t>1,016</w:t>
            </w:r>
          </w:p>
        </w:tc>
      </w:tr>
      <w:tr>
        <w:trPr>
          <w:trHeight w:val="272" w:hRule="atLeast"/>
        </w:trPr>
        <w:tc>
          <w:tcPr>
            <w:tcW w:w="2640" w:type="dxa"/>
            <w:tcBorders>
              <w:top w:val="nil"/>
              <w:left w:val="nil"/>
              <w:bottom w:val="nil"/>
            </w:tcBorders>
          </w:tcPr>
          <w:p>
            <w:pPr>
              <w:pStyle w:val="TableParagraph"/>
              <w:spacing w:before="29"/>
              <w:ind w:left="26"/>
              <w:rPr>
                <w:rFonts w:ascii="Times New Roman"/>
                <w:b/>
                <w:sz w:val="18"/>
              </w:rPr>
            </w:pPr>
            <w:r>
              <w:rPr>
                <w:rFonts w:ascii="Times New Roman"/>
                <w:b/>
                <w:sz w:val="18"/>
              </w:rPr>
              <w:t>Sub-Total (Hospitality)</w:t>
            </w:r>
          </w:p>
        </w:tc>
        <w:tc>
          <w:tcPr>
            <w:tcW w:w="1080" w:type="dxa"/>
            <w:tcBorders>
              <w:top w:val="nil"/>
              <w:bottom w:val="nil"/>
            </w:tcBorders>
          </w:tcPr>
          <w:p>
            <w:pPr>
              <w:pStyle w:val="TableParagraph"/>
              <w:spacing w:before="29"/>
              <w:ind w:left="89" w:right="89"/>
              <w:rPr>
                <w:rFonts w:ascii="Times New Roman"/>
                <w:b/>
                <w:sz w:val="18"/>
              </w:rPr>
            </w:pPr>
            <w:r>
              <w:rPr>
                <w:rFonts w:ascii="Times New Roman"/>
                <w:b/>
                <w:sz w:val="18"/>
              </w:rPr>
              <w:t>477 Keys</w:t>
            </w:r>
          </w:p>
        </w:tc>
        <w:tc>
          <w:tcPr>
            <w:tcW w:w="897" w:type="dxa"/>
            <w:tcBorders>
              <w:top w:val="nil"/>
              <w:bottom w:val="nil"/>
            </w:tcBorders>
          </w:tcPr>
          <w:p>
            <w:pPr>
              <w:pStyle w:val="TableParagraph"/>
              <w:spacing w:before="29"/>
              <w:ind w:left="2"/>
              <w:rPr>
                <w:rFonts w:ascii="Times New Roman"/>
                <w:b/>
                <w:sz w:val="18"/>
              </w:rPr>
            </w:pPr>
            <w:r>
              <w:rPr>
                <w:rFonts w:ascii="Times New Roman"/>
                <w:b/>
                <w:sz w:val="18"/>
              </w:rPr>
              <w:t>619 Keys</w:t>
            </w:r>
          </w:p>
        </w:tc>
        <w:tc>
          <w:tcPr>
            <w:tcW w:w="1139" w:type="dxa"/>
            <w:tcBorders>
              <w:top w:val="nil"/>
              <w:bottom w:val="nil"/>
            </w:tcBorders>
          </w:tcPr>
          <w:p>
            <w:pPr>
              <w:pStyle w:val="TableParagraph"/>
              <w:spacing w:before="29"/>
              <w:ind w:left="150" w:right="144"/>
              <w:rPr>
                <w:rFonts w:ascii="Times New Roman"/>
                <w:b/>
                <w:sz w:val="18"/>
              </w:rPr>
            </w:pPr>
            <w:r>
              <w:rPr>
                <w:rFonts w:ascii="Times New Roman"/>
                <w:b/>
                <w:sz w:val="18"/>
              </w:rPr>
              <w:t>1096 Keys</w:t>
            </w:r>
          </w:p>
        </w:tc>
        <w:tc>
          <w:tcPr>
            <w:tcW w:w="897" w:type="dxa"/>
            <w:tcBorders>
              <w:top w:val="nil"/>
              <w:bottom w:val="nil"/>
            </w:tcBorders>
          </w:tcPr>
          <w:p>
            <w:pPr>
              <w:pStyle w:val="TableParagraph"/>
              <w:jc w:val="left"/>
              <w:rPr>
                <w:rFonts w:ascii="Times New Roman"/>
                <w:sz w:val="18"/>
              </w:rPr>
            </w:pPr>
          </w:p>
        </w:tc>
        <w:tc>
          <w:tcPr>
            <w:tcW w:w="741" w:type="dxa"/>
            <w:tcBorders>
              <w:top w:val="nil"/>
              <w:bottom w:val="nil"/>
            </w:tcBorders>
          </w:tcPr>
          <w:p>
            <w:pPr>
              <w:pStyle w:val="TableParagraph"/>
              <w:jc w:val="left"/>
              <w:rPr>
                <w:rFonts w:ascii="Times New Roman"/>
                <w:sz w:val="18"/>
              </w:rPr>
            </w:pPr>
          </w:p>
        </w:tc>
        <w:tc>
          <w:tcPr>
            <w:tcW w:w="1290" w:type="dxa"/>
            <w:tcBorders>
              <w:top w:val="nil"/>
              <w:bottom w:val="nil"/>
            </w:tcBorders>
          </w:tcPr>
          <w:p>
            <w:pPr>
              <w:pStyle w:val="TableParagraph"/>
              <w:jc w:val="left"/>
              <w:rPr>
                <w:rFonts w:ascii="Times New Roman"/>
                <w:sz w:val="18"/>
              </w:rPr>
            </w:pPr>
          </w:p>
        </w:tc>
        <w:tc>
          <w:tcPr>
            <w:tcW w:w="1132" w:type="dxa"/>
            <w:tcBorders>
              <w:top w:val="nil"/>
              <w:bottom w:val="nil"/>
            </w:tcBorders>
          </w:tcPr>
          <w:p>
            <w:pPr>
              <w:pStyle w:val="TableParagraph"/>
              <w:jc w:val="left"/>
              <w:rPr>
                <w:rFonts w:ascii="Times New Roman"/>
                <w:sz w:val="18"/>
              </w:rPr>
            </w:pPr>
          </w:p>
        </w:tc>
        <w:tc>
          <w:tcPr>
            <w:tcW w:w="1135" w:type="dxa"/>
            <w:tcBorders>
              <w:top w:val="nil"/>
              <w:bottom w:val="nil"/>
            </w:tcBorders>
          </w:tcPr>
          <w:p>
            <w:pPr>
              <w:pStyle w:val="TableParagraph"/>
              <w:spacing w:before="29"/>
              <w:ind w:left="124" w:right="109"/>
              <w:rPr>
                <w:rFonts w:ascii="Times New Roman"/>
                <w:b/>
                <w:sz w:val="18"/>
              </w:rPr>
            </w:pPr>
            <w:r>
              <w:rPr>
                <w:rFonts w:ascii="Times New Roman"/>
                <w:b/>
                <w:sz w:val="18"/>
              </w:rPr>
              <w:t>13,289</w:t>
            </w:r>
          </w:p>
        </w:tc>
        <w:tc>
          <w:tcPr>
            <w:tcW w:w="1211" w:type="dxa"/>
            <w:tcBorders>
              <w:top w:val="nil"/>
              <w:bottom w:val="nil"/>
            </w:tcBorders>
          </w:tcPr>
          <w:p>
            <w:pPr>
              <w:pStyle w:val="TableParagraph"/>
              <w:spacing w:before="29"/>
              <w:ind w:left="400"/>
              <w:jc w:val="left"/>
              <w:rPr>
                <w:rFonts w:ascii="Times New Roman"/>
                <w:b/>
                <w:sz w:val="18"/>
              </w:rPr>
            </w:pPr>
            <w:r>
              <w:rPr>
                <w:rFonts w:ascii="Times New Roman"/>
                <w:b/>
                <w:sz w:val="18"/>
              </w:rPr>
              <w:t>3,079</w:t>
            </w:r>
          </w:p>
        </w:tc>
        <w:tc>
          <w:tcPr>
            <w:tcW w:w="849" w:type="dxa"/>
            <w:tcBorders>
              <w:top w:val="nil"/>
              <w:bottom w:val="nil"/>
              <w:right w:val="nil"/>
            </w:tcBorders>
          </w:tcPr>
          <w:p>
            <w:pPr>
              <w:pStyle w:val="TableParagraph"/>
              <w:spacing w:before="29"/>
              <w:ind w:right="175"/>
              <w:jc w:val="right"/>
              <w:rPr>
                <w:rFonts w:ascii="Times New Roman"/>
                <w:b/>
                <w:sz w:val="18"/>
              </w:rPr>
            </w:pPr>
            <w:r>
              <w:rPr>
                <w:rFonts w:ascii="Times New Roman"/>
                <w:b/>
                <w:sz w:val="18"/>
              </w:rPr>
              <w:t>16,368</w:t>
            </w:r>
          </w:p>
        </w:tc>
      </w:tr>
      <w:tr>
        <w:trPr>
          <w:trHeight w:val="228" w:hRule="atLeast"/>
        </w:trPr>
        <w:tc>
          <w:tcPr>
            <w:tcW w:w="2640" w:type="dxa"/>
            <w:tcBorders>
              <w:top w:val="nil"/>
              <w:left w:val="nil"/>
              <w:bottom w:val="nil"/>
            </w:tcBorders>
            <w:shd w:val="clear" w:color="auto" w:fill="5FFF00"/>
          </w:tcPr>
          <w:p>
            <w:pPr>
              <w:pStyle w:val="TableParagraph"/>
              <w:spacing w:line="203" w:lineRule="exact" w:before="4"/>
              <w:ind w:left="25"/>
              <w:rPr>
                <w:rFonts w:ascii="Times New Roman"/>
                <w:b/>
                <w:sz w:val="18"/>
              </w:rPr>
            </w:pPr>
            <w:r>
              <w:rPr>
                <w:rFonts w:ascii="Times New Roman"/>
                <w:b/>
                <w:sz w:val="18"/>
                <w:u w:val="single"/>
              </w:rPr>
              <w:t>Others</w:t>
            </w:r>
          </w:p>
        </w:tc>
        <w:tc>
          <w:tcPr>
            <w:tcW w:w="1080" w:type="dxa"/>
            <w:tcBorders>
              <w:top w:val="nil"/>
              <w:bottom w:val="nil"/>
            </w:tcBorders>
            <w:shd w:val="clear" w:color="auto" w:fill="5FFF00"/>
          </w:tcPr>
          <w:p>
            <w:pPr>
              <w:pStyle w:val="TableParagraph"/>
              <w:jc w:val="left"/>
              <w:rPr>
                <w:rFonts w:ascii="Times New Roman"/>
                <w:sz w:val="16"/>
              </w:rPr>
            </w:pPr>
          </w:p>
        </w:tc>
        <w:tc>
          <w:tcPr>
            <w:tcW w:w="897" w:type="dxa"/>
            <w:tcBorders>
              <w:top w:val="nil"/>
              <w:bottom w:val="nil"/>
            </w:tcBorders>
            <w:shd w:val="clear" w:color="auto" w:fill="5FFF00"/>
          </w:tcPr>
          <w:p>
            <w:pPr>
              <w:pStyle w:val="TableParagraph"/>
              <w:jc w:val="left"/>
              <w:rPr>
                <w:rFonts w:ascii="Times New Roman"/>
                <w:sz w:val="16"/>
              </w:rPr>
            </w:pPr>
          </w:p>
        </w:tc>
        <w:tc>
          <w:tcPr>
            <w:tcW w:w="1139" w:type="dxa"/>
            <w:tcBorders>
              <w:top w:val="nil"/>
              <w:bottom w:val="nil"/>
            </w:tcBorders>
            <w:shd w:val="clear" w:color="auto" w:fill="5FFF00"/>
          </w:tcPr>
          <w:p>
            <w:pPr>
              <w:pStyle w:val="TableParagraph"/>
              <w:jc w:val="left"/>
              <w:rPr>
                <w:rFonts w:ascii="Times New Roman"/>
                <w:sz w:val="16"/>
              </w:rPr>
            </w:pPr>
          </w:p>
        </w:tc>
        <w:tc>
          <w:tcPr>
            <w:tcW w:w="897" w:type="dxa"/>
            <w:tcBorders>
              <w:top w:val="nil"/>
              <w:bottom w:val="nil"/>
            </w:tcBorders>
            <w:shd w:val="clear" w:color="auto" w:fill="5FFF00"/>
          </w:tcPr>
          <w:p>
            <w:pPr>
              <w:pStyle w:val="TableParagraph"/>
              <w:jc w:val="left"/>
              <w:rPr>
                <w:rFonts w:ascii="Times New Roman"/>
                <w:sz w:val="16"/>
              </w:rPr>
            </w:pPr>
          </w:p>
        </w:tc>
        <w:tc>
          <w:tcPr>
            <w:tcW w:w="741" w:type="dxa"/>
            <w:tcBorders>
              <w:top w:val="nil"/>
              <w:bottom w:val="nil"/>
            </w:tcBorders>
            <w:shd w:val="clear" w:color="auto" w:fill="5FFF00"/>
          </w:tcPr>
          <w:p>
            <w:pPr>
              <w:pStyle w:val="TableParagraph"/>
              <w:jc w:val="left"/>
              <w:rPr>
                <w:rFonts w:ascii="Times New Roman"/>
                <w:sz w:val="16"/>
              </w:rPr>
            </w:pPr>
          </w:p>
        </w:tc>
        <w:tc>
          <w:tcPr>
            <w:tcW w:w="1290" w:type="dxa"/>
            <w:tcBorders>
              <w:top w:val="nil"/>
              <w:bottom w:val="nil"/>
            </w:tcBorders>
            <w:shd w:val="clear" w:color="auto" w:fill="5FFF00"/>
          </w:tcPr>
          <w:p>
            <w:pPr>
              <w:pStyle w:val="TableParagraph"/>
              <w:jc w:val="left"/>
              <w:rPr>
                <w:rFonts w:ascii="Times New Roman"/>
                <w:sz w:val="16"/>
              </w:rPr>
            </w:pPr>
          </w:p>
        </w:tc>
        <w:tc>
          <w:tcPr>
            <w:tcW w:w="1132" w:type="dxa"/>
            <w:tcBorders>
              <w:top w:val="nil"/>
              <w:bottom w:val="nil"/>
            </w:tcBorders>
            <w:shd w:val="clear" w:color="auto" w:fill="5FFF00"/>
          </w:tcPr>
          <w:p>
            <w:pPr>
              <w:pStyle w:val="TableParagraph"/>
              <w:jc w:val="left"/>
              <w:rPr>
                <w:rFonts w:ascii="Times New Roman"/>
                <w:sz w:val="16"/>
              </w:rPr>
            </w:pPr>
          </w:p>
        </w:tc>
        <w:tc>
          <w:tcPr>
            <w:tcW w:w="1135" w:type="dxa"/>
            <w:tcBorders>
              <w:top w:val="nil"/>
              <w:bottom w:val="nil"/>
            </w:tcBorders>
            <w:shd w:val="clear" w:color="auto" w:fill="5FFF00"/>
          </w:tcPr>
          <w:p>
            <w:pPr>
              <w:pStyle w:val="TableParagraph"/>
              <w:jc w:val="left"/>
              <w:rPr>
                <w:rFonts w:ascii="Times New Roman"/>
                <w:sz w:val="16"/>
              </w:rPr>
            </w:pPr>
          </w:p>
        </w:tc>
        <w:tc>
          <w:tcPr>
            <w:tcW w:w="1211" w:type="dxa"/>
            <w:tcBorders>
              <w:top w:val="nil"/>
              <w:bottom w:val="nil"/>
            </w:tcBorders>
            <w:shd w:val="clear" w:color="auto" w:fill="5FFF00"/>
          </w:tcPr>
          <w:p>
            <w:pPr>
              <w:pStyle w:val="TableParagraph"/>
              <w:jc w:val="left"/>
              <w:rPr>
                <w:rFonts w:ascii="Times New Roman"/>
                <w:sz w:val="16"/>
              </w:rPr>
            </w:pPr>
          </w:p>
        </w:tc>
        <w:tc>
          <w:tcPr>
            <w:tcW w:w="849" w:type="dxa"/>
            <w:tcBorders>
              <w:top w:val="nil"/>
              <w:bottom w:val="nil"/>
              <w:right w:val="nil"/>
            </w:tcBorders>
            <w:shd w:val="clear" w:color="auto" w:fill="5FFF00"/>
          </w:tcPr>
          <w:p>
            <w:pPr>
              <w:pStyle w:val="TableParagraph"/>
              <w:jc w:val="left"/>
              <w:rPr>
                <w:rFonts w:ascii="Times New Roman"/>
                <w:sz w:val="16"/>
              </w:rPr>
            </w:pPr>
          </w:p>
        </w:tc>
      </w:tr>
      <w:tr>
        <w:trPr>
          <w:trHeight w:val="257" w:hRule="atLeast"/>
        </w:trPr>
        <w:tc>
          <w:tcPr>
            <w:tcW w:w="2640" w:type="dxa"/>
            <w:tcBorders>
              <w:top w:val="nil"/>
              <w:left w:val="nil"/>
              <w:bottom w:val="nil"/>
            </w:tcBorders>
          </w:tcPr>
          <w:p>
            <w:pPr>
              <w:pStyle w:val="TableParagraph"/>
              <w:spacing w:before="26"/>
              <w:ind w:left="25"/>
              <w:rPr>
                <w:rFonts w:ascii="Times New Roman"/>
                <w:sz w:val="18"/>
              </w:rPr>
            </w:pPr>
            <w:r>
              <w:rPr>
                <w:rFonts w:ascii="Times New Roman"/>
                <w:sz w:val="18"/>
              </w:rPr>
              <w:t>Embassy Energy</w:t>
            </w:r>
          </w:p>
        </w:tc>
        <w:tc>
          <w:tcPr>
            <w:tcW w:w="1080" w:type="dxa"/>
            <w:tcBorders>
              <w:top w:val="nil"/>
              <w:bottom w:val="nil"/>
            </w:tcBorders>
          </w:tcPr>
          <w:p>
            <w:pPr>
              <w:pStyle w:val="TableParagraph"/>
              <w:spacing w:before="26"/>
              <w:ind w:left="90" w:right="88"/>
              <w:rPr>
                <w:rFonts w:ascii="Times New Roman"/>
                <w:sz w:val="18"/>
              </w:rPr>
            </w:pPr>
            <w:r>
              <w:rPr>
                <w:rFonts w:ascii="Times New Roman"/>
                <w:sz w:val="18"/>
              </w:rPr>
              <w:t>100MW</w:t>
            </w:r>
          </w:p>
        </w:tc>
        <w:tc>
          <w:tcPr>
            <w:tcW w:w="897" w:type="dxa"/>
            <w:tcBorders>
              <w:top w:val="nil"/>
              <w:bottom w:val="nil"/>
            </w:tcBorders>
          </w:tcPr>
          <w:p>
            <w:pPr>
              <w:pStyle w:val="TableParagraph"/>
              <w:spacing w:before="26"/>
              <w:rPr>
                <w:rFonts w:ascii="Times New Roman"/>
                <w:sz w:val="18"/>
              </w:rPr>
            </w:pPr>
            <w:r>
              <w:rPr>
                <w:rFonts w:ascii="Times New Roman"/>
                <w:w w:val="99"/>
                <w:sz w:val="18"/>
              </w:rPr>
              <w:t>-</w:t>
            </w:r>
          </w:p>
        </w:tc>
        <w:tc>
          <w:tcPr>
            <w:tcW w:w="1139" w:type="dxa"/>
            <w:tcBorders>
              <w:top w:val="nil"/>
              <w:bottom w:val="nil"/>
            </w:tcBorders>
          </w:tcPr>
          <w:p>
            <w:pPr>
              <w:pStyle w:val="TableParagraph"/>
              <w:spacing w:before="26"/>
              <w:ind w:left="147" w:right="144"/>
              <w:rPr>
                <w:rFonts w:ascii="Times New Roman"/>
                <w:sz w:val="18"/>
              </w:rPr>
            </w:pPr>
            <w:r>
              <w:rPr>
                <w:rFonts w:ascii="Times New Roman"/>
                <w:sz w:val="18"/>
              </w:rPr>
              <w:t>100MW</w:t>
            </w:r>
          </w:p>
        </w:tc>
        <w:tc>
          <w:tcPr>
            <w:tcW w:w="897" w:type="dxa"/>
            <w:tcBorders>
              <w:top w:val="nil"/>
              <w:bottom w:val="nil"/>
            </w:tcBorders>
          </w:tcPr>
          <w:p>
            <w:pPr>
              <w:pStyle w:val="TableParagraph"/>
              <w:spacing w:before="26"/>
              <w:ind w:left="4"/>
              <w:rPr>
                <w:rFonts w:ascii="Times New Roman"/>
                <w:sz w:val="18"/>
              </w:rPr>
            </w:pPr>
            <w:r>
              <w:rPr>
                <w:rFonts w:ascii="Times New Roman"/>
                <w:sz w:val="18"/>
              </w:rPr>
              <w:t>13.50%</w:t>
            </w:r>
          </w:p>
        </w:tc>
        <w:tc>
          <w:tcPr>
            <w:tcW w:w="741" w:type="dxa"/>
            <w:tcBorders>
              <w:top w:val="nil"/>
              <w:bottom w:val="nil"/>
            </w:tcBorders>
          </w:tcPr>
          <w:p>
            <w:pPr>
              <w:pStyle w:val="TableParagraph"/>
              <w:spacing w:before="26"/>
              <w:ind w:left="63" w:right="59"/>
              <w:rPr>
                <w:rFonts w:ascii="Times New Roman"/>
                <w:sz w:val="18"/>
              </w:rPr>
            </w:pPr>
            <w:r>
              <w:rPr>
                <w:rFonts w:ascii="Times New Roman"/>
                <w:sz w:val="18"/>
              </w:rPr>
              <w:t>NA</w:t>
            </w:r>
          </w:p>
        </w:tc>
        <w:tc>
          <w:tcPr>
            <w:tcW w:w="1290" w:type="dxa"/>
            <w:tcBorders>
              <w:top w:val="nil"/>
              <w:bottom w:val="nil"/>
            </w:tcBorders>
          </w:tcPr>
          <w:p>
            <w:pPr>
              <w:pStyle w:val="TableParagraph"/>
              <w:spacing w:before="26"/>
              <w:ind w:left="386" w:right="377"/>
              <w:rPr>
                <w:rFonts w:ascii="Times New Roman"/>
                <w:sz w:val="18"/>
              </w:rPr>
            </w:pPr>
            <w:r>
              <w:rPr>
                <w:rFonts w:ascii="Times New Roman"/>
                <w:sz w:val="18"/>
              </w:rPr>
              <w:t>NA</w:t>
            </w:r>
          </w:p>
        </w:tc>
        <w:tc>
          <w:tcPr>
            <w:tcW w:w="1132" w:type="dxa"/>
            <w:tcBorders>
              <w:top w:val="nil"/>
              <w:bottom w:val="nil"/>
            </w:tcBorders>
          </w:tcPr>
          <w:p>
            <w:pPr>
              <w:pStyle w:val="TableParagraph"/>
              <w:spacing w:before="26"/>
              <w:ind w:left="109" w:right="100"/>
              <w:rPr>
                <w:rFonts w:ascii="Times New Roman"/>
                <w:sz w:val="18"/>
              </w:rPr>
            </w:pPr>
            <w:r>
              <w:rPr>
                <w:rFonts w:ascii="Times New Roman"/>
                <w:sz w:val="18"/>
              </w:rPr>
              <w:t>8.36</w:t>
            </w:r>
          </w:p>
        </w:tc>
        <w:tc>
          <w:tcPr>
            <w:tcW w:w="1135" w:type="dxa"/>
            <w:tcBorders>
              <w:top w:val="nil"/>
              <w:bottom w:val="nil"/>
            </w:tcBorders>
          </w:tcPr>
          <w:p>
            <w:pPr>
              <w:pStyle w:val="TableParagraph"/>
              <w:spacing w:before="26"/>
              <w:ind w:left="124" w:right="109"/>
              <w:rPr>
                <w:rFonts w:ascii="Times New Roman"/>
                <w:sz w:val="18"/>
              </w:rPr>
            </w:pPr>
            <w:r>
              <w:rPr>
                <w:rFonts w:ascii="Times New Roman"/>
                <w:sz w:val="18"/>
              </w:rPr>
              <w:t>10,519</w:t>
            </w:r>
          </w:p>
        </w:tc>
        <w:tc>
          <w:tcPr>
            <w:tcW w:w="1211" w:type="dxa"/>
            <w:tcBorders>
              <w:top w:val="nil"/>
              <w:bottom w:val="nil"/>
            </w:tcBorders>
          </w:tcPr>
          <w:p>
            <w:pPr>
              <w:pStyle w:val="TableParagraph"/>
              <w:spacing w:before="26"/>
              <w:ind w:left="14"/>
              <w:rPr>
                <w:rFonts w:ascii="Times New Roman"/>
                <w:sz w:val="18"/>
              </w:rPr>
            </w:pPr>
            <w:r>
              <w:rPr>
                <w:rFonts w:ascii="Times New Roman"/>
                <w:w w:val="99"/>
                <w:sz w:val="18"/>
              </w:rPr>
              <w:t>-</w:t>
            </w:r>
          </w:p>
        </w:tc>
        <w:tc>
          <w:tcPr>
            <w:tcW w:w="849" w:type="dxa"/>
            <w:tcBorders>
              <w:top w:val="nil"/>
              <w:bottom w:val="nil"/>
              <w:right w:val="nil"/>
            </w:tcBorders>
          </w:tcPr>
          <w:p>
            <w:pPr>
              <w:pStyle w:val="TableParagraph"/>
              <w:spacing w:before="26"/>
              <w:ind w:right="175"/>
              <w:jc w:val="right"/>
              <w:rPr>
                <w:rFonts w:ascii="Times New Roman"/>
                <w:sz w:val="18"/>
              </w:rPr>
            </w:pPr>
            <w:r>
              <w:rPr>
                <w:rFonts w:ascii="Times New Roman"/>
                <w:sz w:val="18"/>
              </w:rPr>
              <w:t>10,519</w:t>
            </w:r>
          </w:p>
        </w:tc>
      </w:tr>
      <w:tr>
        <w:trPr>
          <w:trHeight w:val="258" w:hRule="atLeast"/>
        </w:trPr>
        <w:tc>
          <w:tcPr>
            <w:tcW w:w="2640" w:type="dxa"/>
            <w:tcBorders>
              <w:top w:val="nil"/>
              <w:left w:val="nil"/>
              <w:bottom w:val="nil"/>
            </w:tcBorders>
          </w:tcPr>
          <w:p>
            <w:pPr>
              <w:pStyle w:val="TableParagraph"/>
              <w:spacing w:before="16"/>
              <w:ind w:left="27"/>
              <w:rPr>
                <w:rFonts w:ascii="Times New Roman"/>
                <w:b/>
                <w:sz w:val="18"/>
              </w:rPr>
            </w:pPr>
            <w:r>
              <w:rPr>
                <w:rFonts w:ascii="Times New Roman"/>
                <w:b/>
                <w:sz w:val="18"/>
              </w:rPr>
              <w:t>Sub-Total (Others)</w:t>
            </w:r>
          </w:p>
        </w:tc>
        <w:tc>
          <w:tcPr>
            <w:tcW w:w="1080" w:type="dxa"/>
            <w:tcBorders>
              <w:top w:val="nil"/>
              <w:bottom w:val="nil"/>
            </w:tcBorders>
          </w:tcPr>
          <w:p>
            <w:pPr>
              <w:pStyle w:val="TableParagraph"/>
              <w:spacing w:before="16"/>
              <w:ind w:left="90" w:right="88"/>
              <w:rPr>
                <w:rFonts w:ascii="Times New Roman"/>
                <w:b/>
                <w:sz w:val="18"/>
              </w:rPr>
            </w:pPr>
            <w:r>
              <w:rPr>
                <w:rFonts w:ascii="Times New Roman"/>
                <w:b/>
                <w:sz w:val="18"/>
              </w:rPr>
              <w:t>100MW</w:t>
            </w:r>
          </w:p>
        </w:tc>
        <w:tc>
          <w:tcPr>
            <w:tcW w:w="897" w:type="dxa"/>
            <w:tcBorders>
              <w:top w:val="nil"/>
              <w:bottom w:val="nil"/>
            </w:tcBorders>
          </w:tcPr>
          <w:p>
            <w:pPr>
              <w:pStyle w:val="TableParagraph"/>
              <w:spacing w:before="16"/>
              <w:rPr>
                <w:rFonts w:ascii="Times New Roman"/>
                <w:b/>
                <w:sz w:val="18"/>
              </w:rPr>
            </w:pPr>
            <w:r>
              <w:rPr>
                <w:rFonts w:ascii="Times New Roman"/>
                <w:b/>
                <w:w w:val="99"/>
                <w:sz w:val="18"/>
              </w:rPr>
              <w:t>-</w:t>
            </w:r>
          </w:p>
        </w:tc>
        <w:tc>
          <w:tcPr>
            <w:tcW w:w="1139" w:type="dxa"/>
            <w:tcBorders>
              <w:top w:val="nil"/>
              <w:bottom w:val="nil"/>
            </w:tcBorders>
          </w:tcPr>
          <w:p>
            <w:pPr>
              <w:pStyle w:val="TableParagraph"/>
              <w:spacing w:before="16"/>
              <w:ind w:left="147" w:right="144"/>
              <w:rPr>
                <w:rFonts w:ascii="Times New Roman"/>
                <w:b/>
                <w:sz w:val="18"/>
              </w:rPr>
            </w:pPr>
            <w:r>
              <w:rPr>
                <w:rFonts w:ascii="Times New Roman"/>
                <w:b/>
                <w:sz w:val="18"/>
              </w:rPr>
              <w:t>100MW</w:t>
            </w:r>
          </w:p>
        </w:tc>
        <w:tc>
          <w:tcPr>
            <w:tcW w:w="897" w:type="dxa"/>
            <w:tcBorders>
              <w:top w:val="nil"/>
              <w:bottom w:val="nil"/>
            </w:tcBorders>
          </w:tcPr>
          <w:p>
            <w:pPr>
              <w:pStyle w:val="TableParagraph"/>
              <w:jc w:val="left"/>
              <w:rPr>
                <w:rFonts w:ascii="Times New Roman"/>
                <w:sz w:val="18"/>
              </w:rPr>
            </w:pPr>
          </w:p>
        </w:tc>
        <w:tc>
          <w:tcPr>
            <w:tcW w:w="741" w:type="dxa"/>
            <w:tcBorders>
              <w:top w:val="nil"/>
              <w:bottom w:val="nil"/>
            </w:tcBorders>
          </w:tcPr>
          <w:p>
            <w:pPr>
              <w:pStyle w:val="TableParagraph"/>
              <w:jc w:val="left"/>
              <w:rPr>
                <w:rFonts w:ascii="Times New Roman"/>
                <w:sz w:val="18"/>
              </w:rPr>
            </w:pPr>
          </w:p>
        </w:tc>
        <w:tc>
          <w:tcPr>
            <w:tcW w:w="1290" w:type="dxa"/>
            <w:tcBorders>
              <w:top w:val="nil"/>
              <w:bottom w:val="nil"/>
            </w:tcBorders>
          </w:tcPr>
          <w:p>
            <w:pPr>
              <w:pStyle w:val="TableParagraph"/>
              <w:jc w:val="left"/>
              <w:rPr>
                <w:rFonts w:ascii="Times New Roman"/>
                <w:sz w:val="18"/>
              </w:rPr>
            </w:pPr>
          </w:p>
        </w:tc>
        <w:tc>
          <w:tcPr>
            <w:tcW w:w="1132" w:type="dxa"/>
            <w:tcBorders>
              <w:top w:val="nil"/>
              <w:bottom w:val="nil"/>
            </w:tcBorders>
          </w:tcPr>
          <w:p>
            <w:pPr>
              <w:pStyle w:val="TableParagraph"/>
              <w:jc w:val="left"/>
              <w:rPr>
                <w:rFonts w:ascii="Times New Roman"/>
                <w:sz w:val="18"/>
              </w:rPr>
            </w:pPr>
          </w:p>
        </w:tc>
        <w:tc>
          <w:tcPr>
            <w:tcW w:w="1135" w:type="dxa"/>
            <w:tcBorders>
              <w:top w:val="nil"/>
              <w:bottom w:val="nil"/>
            </w:tcBorders>
          </w:tcPr>
          <w:p>
            <w:pPr>
              <w:pStyle w:val="TableParagraph"/>
              <w:spacing w:before="16"/>
              <w:ind w:left="124" w:right="109"/>
              <w:rPr>
                <w:rFonts w:ascii="Times New Roman"/>
                <w:b/>
                <w:sz w:val="18"/>
              </w:rPr>
            </w:pPr>
            <w:r>
              <w:rPr>
                <w:rFonts w:ascii="Times New Roman"/>
                <w:b/>
                <w:sz w:val="18"/>
              </w:rPr>
              <w:t>10,519</w:t>
            </w:r>
          </w:p>
        </w:tc>
        <w:tc>
          <w:tcPr>
            <w:tcW w:w="1211" w:type="dxa"/>
            <w:tcBorders>
              <w:top w:val="nil"/>
              <w:bottom w:val="nil"/>
            </w:tcBorders>
          </w:tcPr>
          <w:p>
            <w:pPr>
              <w:pStyle w:val="TableParagraph"/>
              <w:spacing w:before="16"/>
              <w:ind w:left="14"/>
              <w:rPr>
                <w:rFonts w:ascii="Times New Roman"/>
                <w:b/>
                <w:sz w:val="18"/>
              </w:rPr>
            </w:pPr>
            <w:r>
              <w:rPr>
                <w:rFonts w:ascii="Times New Roman"/>
                <w:b/>
                <w:w w:val="99"/>
                <w:sz w:val="18"/>
              </w:rPr>
              <w:t>-</w:t>
            </w:r>
          </w:p>
        </w:tc>
        <w:tc>
          <w:tcPr>
            <w:tcW w:w="849" w:type="dxa"/>
            <w:tcBorders>
              <w:top w:val="nil"/>
              <w:bottom w:val="nil"/>
              <w:right w:val="nil"/>
            </w:tcBorders>
          </w:tcPr>
          <w:p>
            <w:pPr>
              <w:pStyle w:val="TableParagraph"/>
              <w:spacing w:before="16"/>
              <w:ind w:right="175"/>
              <w:jc w:val="right"/>
              <w:rPr>
                <w:rFonts w:ascii="Times New Roman"/>
                <w:b/>
                <w:sz w:val="18"/>
              </w:rPr>
            </w:pPr>
            <w:r>
              <w:rPr>
                <w:rFonts w:ascii="Times New Roman"/>
                <w:b/>
                <w:sz w:val="18"/>
              </w:rPr>
              <w:t>10,519</w:t>
            </w:r>
          </w:p>
        </w:tc>
      </w:tr>
      <w:tr>
        <w:trPr>
          <w:trHeight w:val="453" w:hRule="atLeast"/>
        </w:trPr>
        <w:tc>
          <w:tcPr>
            <w:tcW w:w="2640" w:type="dxa"/>
            <w:tcBorders>
              <w:top w:val="nil"/>
              <w:left w:val="nil"/>
            </w:tcBorders>
            <w:shd w:val="clear" w:color="auto" w:fill="5FFF00"/>
          </w:tcPr>
          <w:p>
            <w:pPr>
              <w:pStyle w:val="TableParagraph"/>
              <w:spacing w:before="117"/>
              <w:ind w:left="29"/>
              <w:rPr>
                <w:rFonts w:ascii="Times New Roman"/>
                <w:b/>
                <w:sz w:val="18"/>
              </w:rPr>
            </w:pPr>
            <w:r>
              <w:rPr>
                <w:rFonts w:ascii="Times New Roman"/>
                <w:b/>
                <w:sz w:val="18"/>
              </w:rPr>
              <w:t>Total</w:t>
            </w:r>
          </w:p>
        </w:tc>
        <w:tc>
          <w:tcPr>
            <w:tcW w:w="1080" w:type="dxa"/>
            <w:tcBorders>
              <w:top w:val="nil"/>
            </w:tcBorders>
            <w:shd w:val="clear" w:color="auto" w:fill="5FFF00"/>
          </w:tcPr>
          <w:p>
            <w:pPr>
              <w:pStyle w:val="TableParagraph"/>
              <w:spacing w:before="7"/>
              <w:ind w:left="48"/>
              <w:jc w:val="left"/>
              <w:rPr>
                <w:rFonts w:ascii="Times New Roman"/>
                <w:b/>
                <w:sz w:val="18"/>
              </w:rPr>
            </w:pPr>
            <w:r>
              <w:rPr>
                <w:rFonts w:ascii="Times New Roman"/>
                <w:b/>
                <w:sz w:val="18"/>
              </w:rPr>
              <w:t>24.8 msf/477</w:t>
            </w:r>
          </w:p>
          <w:p>
            <w:pPr>
              <w:pStyle w:val="TableParagraph"/>
              <w:spacing w:line="203" w:lineRule="exact" w:before="16"/>
              <w:ind w:left="4"/>
              <w:jc w:val="left"/>
              <w:rPr>
                <w:rFonts w:ascii="Times New Roman"/>
                <w:b/>
                <w:sz w:val="18"/>
              </w:rPr>
            </w:pPr>
            <w:r>
              <w:rPr>
                <w:rFonts w:ascii="Times New Roman"/>
                <w:b/>
                <w:sz w:val="18"/>
              </w:rPr>
              <w:t>Keys/100MW</w:t>
            </w:r>
          </w:p>
        </w:tc>
        <w:tc>
          <w:tcPr>
            <w:tcW w:w="897" w:type="dxa"/>
            <w:tcBorders>
              <w:top w:val="nil"/>
            </w:tcBorders>
            <w:shd w:val="clear" w:color="auto" w:fill="5FFF00"/>
          </w:tcPr>
          <w:p>
            <w:pPr>
              <w:pStyle w:val="TableParagraph"/>
              <w:spacing w:before="7"/>
              <w:ind w:left="2"/>
              <w:jc w:val="left"/>
              <w:rPr>
                <w:rFonts w:ascii="Times New Roman"/>
                <w:b/>
                <w:sz w:val="18"/>
              </w:rPr>
            </w:pPr>
            <w:r>
              <w:rPr>
                <w:rFonts w:ascii="Times New Roman"/>
                <w:b/>
                <w:sz w:val="18"/>
              </w:rPr>
              <w:t>7.9 msf/619</w:t>
            </w:r>
          </w:p>
          <w:p>
            <w:pPr>
              <w:pStyle w:val="TableParagraph"/>
              <w:spacing w:line="203" w:lineRule="exact" w:before="16"/>
              <w:ind w:left="250"/>
              <w:jc w:val="left"/>
              <w:rPr>
                <w:rFonts w:ascii="Times New Roman"/>
                <w:b/>
                <w:sz w:val="18"/>
              </w:rPr>
            </w:pPr>
            <w:r>
              <w:rPr>
                <w:rFonts w:ascii="Times New Roman"/>
                <w:b/>
                <w:sz w:val="18"/>
              </w:rPr>
              <w:t>Keys</w:t>
            </w:r>
          </w:p>
        </w:tc>
        <w:tc>
          <w:tcPr>
            <w:tcW w:w="1139" w:type="dxa"/>
            <w:tcBorders>
              <w:top w:val="nil"/>
            </w:tcBorders>
            <w:shd w:val="clear" w:color="auto" w:fill="5FFF00"/>
          </w:tcPr>
          <w:p>
            <w:pPr>
              <w:pStyle w:val="TableParagraph"/>
              <w:spacing w:before="7"/>
              <w:ind w:left="34"/>
              <w:jc w:val="left"/>
              <w:rPr>
                <w:rFonts w:ascii="Times New Roman"/>
                <w:b/>
                <w:sz w:val="18"/>
              </w:rPr>
            </w:pPr>
            <w:r>
              <w:rPr>
                <w:rFonts w:ascii="Times New Roman"/>
                <w:b/>
                <w:sz w:val="18"/>
              </w:rPr>
              <w:t>32.7</w:t>
            </w:r>
            <w:r>
              <w:rPr>
                <w:rFonts w:ascii="Times New Roman"/>
                <w:b/>
                <w:spacing w:val="-1"/>
                <w:sz w:val="18"/>
              </w:rPr>
              <w:t> </w:t>
            </w:r>
            <w:r>
              <w:rPr>
                <w:rFonts w:ascii="Times New Roman"/>
                <w:b/>
                <w:sz w:val="18"/>
              </w:rPr>
              <w:t>msf/1096</w:t>
            </w:r>
          </w:p>
          <w:p>
            <w:pPr>
              <w:pStyle w:val="TableParagraph"/>
              <w:spacing w:line="203" w:lineRule="exact" w:before="16"/>
              <w:ind w:left="37"/>
              <w:jc w:val="left"/>
              <w:rPr>
                <w:rFonts w:ascii="Times New Roman"/>
                <w:b/>
                <w:sz w:val="18"/>
              </w:rPr>
            </w:pPr>
            <w:r>
              <w:rPr>
                <w:rFonts w:ascii="Times New Roman"/>
                <w:b/>
                <w:sz w:val="18"/>
              </w:rPr>
              <w:t>Keys/100MW</w:t>
            </w:r>
          </w:p>
        </w:tc>
        <w:tc>
          <w:tcPr>
            <w:tcW w:w="897" w:type="dxa"/>
            <w:tcBorders>
              <w:top w:val="nil"/>
            </w:tcBorders>
            <w:shd w:val="clear" w:color="auto" w:fill="5FFF00"/>
          </w:tcPr>
          <w:p>
            <w:pPr>
              <w:pStyle w:val="TableParagraph"/>
              <w:jc w:val="left"/>
              <w:rPr>
                <w:rFonts w:ascii="Times New Roman"/>
                <w:sz w:val="18"/>
              </w:rPr>
            </w:pPr>
          </w:p>
        </w:tc>
        <w:tc>
          <w:tcPr>
            <w:tcW w:w="741" w:type="dxa"/>
            <w:tcBorders>
              <w:top w:val="nil"/>
            </w:tcBorders>
            <w:shd w:val="clear" w:color="auto" w:fill="5FFF00"/>
          </w:tcPr>
          <w:p>
            <w:pPr>
              <w:pStyle w:val="TableParagraph"/>
              <w:jc w:val="left"/>
              <w:rPr>
                <w:rFonts w:ascii="Times New Roman"/>
                <w:sz w:val="18"/>
              </w:rPr>
            </w:pPr>
          </w:p>
        </w:tc>
        <w:tc>
          <w:tcPr>
            <w:tcW w:w="1290" w:type="dxa"/>
            <w:tcBorders>
              <w:top w:val="nil"/>
            </w:tcBorders>
            <w:shd w:val="clear" w:color="auto" w:fill="5FFF00"/>
          </w:tcPr>
          <w:p>
            <w:pPr>
              <w:pStyle w:val="TableParagraph"/>
              <w:jc w:val="left"/>
              <w:rPr>
                <w:rFonts w:ascii="Times New Roman"/>
                <w:sz w:val="18"/>
              </w:rPr>
            </w:pPr>
          </w:p>
        </w:tc>
        <w:tc>
          <w:tcPr>
            <w:tcW w:w="1132" w:type="dxa"/>
            <w:tcBorders>
              <w:top w:val="nil"/>
            </w:tcBorders>
            <w:shd w:val="clear" w:color="auto" w:fill="5FFF00"/>
          </w:tcPr>
          <w:p>
            <w:pPr>
              <w:pStyle w:val="TableParagraph"/>
              <w:jc w:val="left"/>
              <w:rPr>
                <w:rFonts w:ascii="Times New Roman"/>
                <w:sz w:val="18"/>
              </w:rPr>
            </w:pPr>
          </w:p>
        </w:tc>
        <w:tc>
          <w:tcPr>
            <w:tcW w:w="1135" w:type="dxa"/>
            <w:tcBorders>
              <w:top w:val="nil"/>
            </w:tcBorders>
            <w:shd w:val="clear" w:color="auto" w:fill="5FFF00"/>
          </w:tcPr>
          <w:p>
            <w:pPr>
              <w:pStyle w:val="TableParagraph"/>
              <w:spacing w:before="117"/>
              <w:ind w:left="124" w:right="109"/>
              <w:rPr>
                <w:rFonts w:ascii="Times New Roman"/>
                <w:b/>
                <w:sz w:val="18"/>
              </w:rPr>
            </w:pPr>
            <w:r>
              <w:rPr>
                <w:rFonts w:ascii="Times New Roman"/>
                <w:b/>
                <w:sz w:val="18"/>
              </w:rPr>
              <w:t>284,255</w:t>
            </w:r>
          </w:p>
        </w:tc>
        <w:tc>
          <w:tcPr>
            <w:tcW w:w="1211" w:type="dxa"/>
            <w:tcBorders>
              <w:top w:val="nil"/>
            </w:tcBorders>
            <w:shd w:val="clear" w:color="auto" w:fill="5FFF00"/>
          </w:tcPr>
          <w:p>
            <w:pPr>
              <w:pStyle w:val="TableParagraph"/>
              <w:spacing w:before="117"/>
              <w:ind w:left="354"/>
              <w:jc w:val="left"/>
              <w:rPr>
                <w:rFonts w:ascii="Times New Roman"/>
                <w:b/>
                <w:sz w:val="18"/>
              </w:rPr>
            </w:pPr>
            <w:r>
              <w:rPr>
                <w:rFonts w:ascii="Times New Roman"/>
                <w:b/>
                <w:sz w:val="18"/>
              </w:rPr>
              <w:t>36,865</w:t>
            </w:r>
          </w:p>
        </w:tc>
        <w:tc>
          <w:tcPr>
            <w:tcW w:w="849" w:type="dxa"/>
            <w:tcBorders>
              <w:top w:val="nil"/>
              <w:right w:val="nil"/>
            </w:tcBorders>
            <w:shd w:val="clear" w:color="auto" w:fill="5FFF00"/>
          </w:tcPr>
          <w:p>
            <w:pPr>
              <w:pStyle w:val="TableParagraph"/>
              <w:spacing w:before="117"/>
              <w:ind w:right="130"/>
              <w:jc w:val="right"/>
              <w:rPr>
                <w:rFonts w:ascii="Times New Roman"/>
                <w:b/>
                <w:sz w:val="18"/>
              </w:rPr>
            </w:pPr>
            <w:r>
              <w:rPr>
                <w:rFonts w:ascii="Times New Roman"/>
                <w:b/>
                <w:sz w:val="18"/>
              </w:rPr>
              <w:t>321,120</w:t>
            </w:r>
          </w:p>
        </w:tc>
      </w:tr>
      <w:tr>
        <w:trPr>
          <w:trHeight w:val="227" w:hRule="atLeast"/>
        </w:trPr>
        <w:tc>
          <w:tcPr>
            <w:tcW w:w="2640" w:type="dxa"/>
            <w:tcBorders>
              <w:left w:val="nil"/>
              <w:bottom w:val="nil"/>
            </w:tcBorders>
            <w:shd w:val="clear" w:color="auto" w:fill="5FFF00"/>
          </w:tcPr>
          <w:p>
            <w:pPr>
              <w:pStyle w:val="TableParagraph"/>
              <w:spacing w:line="203" w:lineRule="exact" w:before="4"/>
              <w:ind w:left="26"/>
              <w:rPr>
                <w:rFonts w:ascii="Times New Roman"/>
                <w:b/>
                <w:sz w:val="18"/>
              </w:rPr>
            </w:pPr>
            <w:r>
              <w:rPr>
                <w:rFonts w:ascii="Times New Roman"/>
                <w:b/>
                <w:sz w:val="18"/>
              </w:rPr>
              <w:t>% Split</w:t>
            </w:r>
          </w:p>
        </w:tc>
        <w:tc>
          <w:tcPr>
            <w:tcW w:w="1080" w:type="dxa"/>
            <w:tcBorders>
              <w:bottom w:val="nil"/>
            </w:tcBorders>
            <w:shd w:val="clear" w:color="auto" w:fill="5FFF00"/>
          </w:tcPr>
          <w:p>
            <w:pPr>
              <w:pStyle w:val="TableParagraph"/>
              <w:jc w:val="left"/>
              <w:rPr>
                <w:rFonts w:ascii="Times New Roman"/>
                <w:sz w:val="16"/>
              </w:rPr>
            </w:pPr>
          </w:p>
        </w:tc>
        <w:tc>
          <w:tcPr>
            <w:tcW w:w="897" w:type="dxa"/>
            <w:tcBorders>
              <w:bottom w:val="nil"/>
            </w:tcBorders>
            <w:shd w:val="clear" w:color="auto" w:fill="5FFF00"/>
          </w:tcPr>
          <w:p>
            <w:pPr>
              <w:pStyle w:val="TableParagraph"/>
              <w:jc w:val="left"/>
              <w:rPr>
                <w:rFonts w:ascii="Times New Roman"/>
                <w:sz w:val="16"/>
              </w:rPr>
            </w:pPr>
          </w:p>
        </w:tc>
        <w:tc>
          <w:tcPr>
            <w:tcW w:w="1139" w:type="dxa"/>
            <w:tcBorders>
              <w:bottom w:val="nil"/>
            </w:tcBorders>
            <w:shd w:val="clear" w:color="auto" w:fill="5FFF00"/>
          </w:tcPr>
          <w:p>
            <w:pPr>
              <w:pStyle w:val="TableParagraph"/>
              <w:jc w:val="left"/>
              <w:rPr>
                <w:rFonts w:ascii="Times New Roman"/>
                <w:sz w:val="16"/>
              </w:rPr>
            </w:pPr>
          </w:p>
        </w:tc>
        <w:tc>
          <w:tcPr>
            <w:tcW w:w="897" w:type="dxa"/>
            <w:tcBorders>
              <w:bottom w:val="nil"/>
            </w:tcBorders>
            <w:shd w:val="clear" w:color="auto" w:fill="5FFF00"/>
          </w:tcPr>
          <w:p>
            <w:pPr>
              <w:pStyle w:val="TableParagraph"/>
              <w:jc w:val="left"/>
              <w:rPr>
                <w:rFonts w:ascii="Times New Roman"/>
                <w:sz w:val="16"/>
              </w:rPr>
            </w:pPr>
          </w:p>
        </w:tc>
        <w:tc>
          <w:tcPr>
            <w:tcW w:w="741" w:type="dxa"/>
            <w:tcBorders>
              <w:bottom w:val="nil"/>
            </w:tcBorders>
            <w:shd w:val="clear" w:color="auto" w:fill="5FFF00"/>
          </w:tcPr>
          <w:p>
            <w:pPr>
              <w:pStyle w:val="TableParagraph"/>
              <w:jc w:val="left"/>
              <w:rPr>
                <w:rFonts w:ascii="Times New Roman"/>
                <w:sz w:val="16"/>
              </w:rPr>
            </w:pPr>
          </w:p>
        </w:tc>
        <w:tc>
          <w:tcPr>
            <w:tcW w:w="1290" w:type="dxa"/>
            <w:tcBorders>
              <w:bottom w:val="nil"/>
            </w:tcBorders>
            <w:shd w:val="clear" w:color="auto" w:fill="5FFF00"/>
          </w:tcPr>
          <w:p>
            <w:pPr>
              <w:pStyle w:val="TableParagraph"/>
              <w:jc w:val="left"/>
              <w:rPr>
                <w:rFonts w:ascii="Times New Roman"/>
                <w:sz w:val="16"/>
              </w:rPr>
            </w:pPr>
          </w:p>
        </w:tc>
        <w:tc>
          <w:tcPr>
            <w:tcW w:w="1132" w:type="dxa"/>
            <w:tcBorders>
              <w:bottom w:val="nil"/>
            </w:tcBorders>
            <w:shd w:val="clear" w:color="auto" w:fill="5FFF00"/>
          </w:tcPr>
          <w:p>
            <w:pPr>
              <w:pStyle w:val="TableParagraph"/>
              <w:jc w:val="left"/>
              <w:rPr>
                <w:rFonts w:ascii="Times New Roman"/>
                <w:sz w:val="16"/>
              </w:rPr>
            </w:pPr>
          </w:p>
        </w:tc>
        <w:tc>
          <w:tcPr>
            <w:tcW w:w="1135" w:type="dxa"/>
            <w:tcBorders>
              <w:bottom w:val="nil"/>
            </w:tcBorders>
            <w:shd w:val="clear" w:color="auto" w:fill="5FFF00"/>
          </w:tcPr>
          <w:p>
            <w:pPr>
              <w:pStyle w:val="TableParagraph"/>
              <w:spacing w:line="203" w:lineRule="exact" w:before="4"/>
              <w:ind w:left="125" w:right="107"/>
              <w:rPr>
                <w:rFonts w:ascii="Times New Roman"/>
                <w:b/>
                <w:sz w:val="18"/>
              </w:rPr>
            </w:pPr>
            <w:r>
              <w:rPr>
                <w:rFonts w:ascii="Times New Roman"/>
                <w:b/>
                <w:sz w:val="18"/>
              </w:rPr>
              <w:t>89%</w:t>
            </w:r>
          </w:p>
        </w:tc>
        <w:tc>
          <w:tcPr>
            <w:tcW w:w="1211" w:type="dxa"/>
            <w:tcBorders>
              <w:bottom w:val="nil"/>
            </w:tcBorders>
            <w:shd w:val="clear" w:color="auto" w:fill="5FFF00"/>
          </w:tcPr>
          <w:p>
            <w:pPr>
              <w:pStyle w:val="TableParagraph"/>
              <w:spacing w:line="203" w:lineRule="exact" w:before="4"/>
              <w:ind w:left="421"/>
              <w:jc w:val="left"/>
              <w:rPr>
                <w:rFonts w:ascii="Times New Roman"/>
                <w:b/>
                <w:sz w:val="18"/>
              </w:rPr>
            </w:pPr>
            <w:r>
              <w:rPr>
                <w:rFonts w:ascii="Times New Roman"/>
                <w:b/>
                <w:sz w:val="18"/>
              </w:rPr>
              <w:t>11%</w:t>
            </w:r>
          </w:p>
        </w:tc>
        <w:tc>
          <w:tcPr>
            <w:tcW w:w="849" w:type="dxa"/>
            <w:tcBorders>
              <w:bottom w:val="nil"/>
              <w:right w:val="nil"/>
            </w:tcBorders>
            <w:shd w:val="clear" w:color="auto" w:fill="5FFF00"/>
          </w:tcPr>
          <w:p>
            <w:pPr>
              <w:pStyle w:val="TableParagraph"/>
              <w:spacing w:line="203" w:lineRule="exact" w:before="4"/>
              <w:ind w:right="194"/>
              <w:jc w:val="right"/>
              <w:rPr>
                <w:rFonts w:ascii="Times New Roman"/>
                <w:b/>
                <w:sz w:val="18"/>
              </w:rPr>
            </w:pPr>
            <w:r>
              <w:rPr>
                <w:rFonts w:ascii="Times New Roman"/>
                <w:b/>
                <w:sz w:val="18"/>
              </w:rPr>
              <w:t>100%</w:t>
            </w:r>
          </w:p>
        </w:tc>
      </w:tr>
    </w:tbl>
    <w:p>
      <w:pPr>
        <w:spacing w:before="22"/>
        <w:ind w:left="140" w:right="0" w:firstLine="0"/>
        <w:jc w:val="left"/>
        <w:rPr>
          <w:rFonts w:ascii="Times New Roman" w:hAnsi="Times New Roman"/>
          <w:i/>
          <w:sz w:val="20"/>
        </w:rPr>
      </w:pPr>
      <w:r>
        <w:rPr>
          <w:rFonts w:ascii="Times New Roman" w:hAnsi="Times New Roman"/>
          <w:i/>
          <w:sz w:val="20"/>
          <w:vertAlign w:val="superscript"/>
        </w:rPr>
        <w:t>*</w:t>
      </w:r>
      <w:r>
        <w:rPr>
          <w:rFonts w:ascii="Times New Roman" w:hAnsi="Times New Roman"/>
          <w:i/>
          <w:sz w:val="20"/>
          <w:vertAlign w:val="baseline"/>
        </w:rPr>
        <w:t>Indicative of Embassy REIT’s economic interest in the asset, viz. 50%</w:t>
      </w:r>
    </w:p>
    <w:p>
      <w:pPr>
        <w:spacing w:after="0"/>
        <w:jc w:val="left"/>
        <w:rPr>
          <w:rFonts w:ascii="Times New Roman" w:hAnsi="Times New Roman"/>
          <w:sz w:val="20"/>
        </w:rPr>
        <w:sectPr>
          <w:pgSz w:w="15840" w:h="12240" w:orient="landscape"/>
          <w:pgMar w:header="728" w:footer="1268" w:top="1200" w:bottom="1460" w:left="1300" w:right="1300"/>
        </w:sectPr>
      </w:pPr>
    </w:p>
    <w:p>
      <w:pPr>
        <w:pStyle w:val="BodyText"/>
        <w:rPr>
          <w:rFonts w:ascii="Times New Roman"/>
          <w:i/>
          <w:sz w:val="20"/>
        </w:rPr>
      </w:pPr>
      <w:r>
        <w:rPr/>
        <w:drawing>
          <wp:anchor distT="0" distB="0" distL="0" distR="0" allowOverlap="1" layoutInCell="1" locked="0" behindDoc="1" simplePos="0" relativeHeight="468493312">
            <wp:simplePos x="0" y="0"/>
            <wp:positionH relativeFrom="page">
              <wp:posOffset>0</wp:posOffset>
            </wp:positionH>
            <wp:positionV relativeFrom="page">
              <wp:posOffset>0</wp:posOffset>
            </wp:positionV>
            <wp:extent cx="7551417" cy="10683239"/>
            <wp:effectExtent l="0" t="0" r="0" b="0"/>
            <wp:wrapNone/>
            <wp:docPr id="41" name="image22.jpeg"/>
            <wp:cNvGraphicFramePr>
              <a:graphicFrameLocks noChangeAspect="1"/>
            </wp:cNvGraphicFramePr>
            <a:graphic>
              <a:graphicData uri="http://schemas.openxmlformats.org/drawingml/2006/picture">
                <pic:pic>
                  <pic:nvPicPr>
                    <pic:cNvPr id="42" name="image22.jpeg"/>
                    <pic:cNvPicPr/>
                  </pic:nvPicPr>
                  <pic:blipFill>
                    <a:blip r:embed="rId32" cstate="print"/>
                    <a:stretch>
                      <a:fillRect/>
                    </a:stretch>
                  </pic:blipFill>
                  <pic:spPr>
                    <a:xfrm>
                      <a:off x="0" y="0"/>
                      <a:ext cx="7551417" cy="10683239"/>
                    </a:xfrm>
                    <a:prstGeom prst="rect">
                      <a:avLst/>
                    </a:prstGeom>
                  </pic:spPr>
                </pic:pic>
              </a:graphicData>
            </a:graphic>
          </wp:anchor>
        </w:drawing>
      </w:r>
    </w:p>
    <w:p>
      <w:pPr>
        <w:pStyle w:val="BodyText"/>
        <w:rPr>
          <w:rFonts w:ascii="Times New Roman"/>
          <w:i/>
          <w:sz w:val="20"/>
        </w:rPr>
      </w:pPr>
    </w:p>
    <w:p>
      <w:pPr>
        <w:pStyle w:val="BodyText"/>
        <w:rPr>
          <w:rFonts w:ascii="Times New Roman"/>
          <w:i/>
          <w:sz w:val="20"/>
        </w:rPr>
      </w:pPr>
    </w:p>
    <w:p>
      <w:pPr>
        <w:pStyle w:val="BodyText"/>
        <w:rPr>
          <w:rFonts w:ascii="Times New Roman"/>
          <w:i/>
          <w:sz w:val="20"/>
        </w:rPr>
      </w:pPr>
    </w:p>
    <w:p>
      <w:pPr>
        <w:pStyle w:val="BodyText"/>
        <w:rPr>
          <w:rFonts w:ascii="Times New Roman"/>
          <w:i/>
          <w:sz w:val="20"/>
        </w:rPr>
      </w:pPr>
    </w:p>
    <w:p>
      <w:pPr>
        <w:pStyle w:val="BodyText"/>
        <w:rPr>
          <w:rFonts w:ascii="Times New Roman"/>
          <w:i/>
          <w:sz w:val="20"/>
        </w:rPr>
      </w:pPr>
    </w:p>
    <w:p>
      <w:pPr>
        <w:spacing w:before="284"/>
        <w:ind w:left="118" w:right="0" w:firstLine="0"/>
        <w:jc w:val="left"/>
        <w:rPr>
          <w:i/>
          <w:sz w:val="72"/>
        </w:rPr>
      </w:pPr>
      <w:r>
        <w:rPr>
          <w:i/>
          <w:color w:val="FFDD00"/>
          <w:w w:val="105"/>
          <w:sz w:val="72"/>
          <w:u w:val="thick" w:color="FFDD00"/>
        </w:rPr>
        <w:t>ANNEXURE:</w:t>
      </w:r>
    </w:p>
    <w:p>
      <w:pPr>
        <w:pStyle w:val="BodyText"/>
        <w:spacing w:before="5"/>
        <w:rPr>
          <w:i/>
          <w:sz w:val="97"/>
        </w:rPr>
      </w:pPr>
    </w:p>
    <w:p>
      <w:pPr>
        <w:spacing w:before="0"/>
        <w:ind w:left="118" w:right="0" w:firstLine="0"/>
        <w:jc w:val="left"/>
        <w:rPr>
          <w:b/>
          <w:sz w:val="64"/>
        </w:rPr>
      </w:pPr>
      <w:r>
        <w:rPr>
          <w:b/>
          <w:color w:val="FFDD00"/>
          <w:w w:val="110"/>
          <w:sz w:val="64"/>
        </w:rPr>
        <w:t>DETAILED VALUATION</w:t>
      </w:r>
      <w:r>
        <w:rPr>
          <w:b/>
          <w:color w:val="FFDD00"/>
          <w:spacing w:val="-57"/>
          <w:w w:val="110"/>
          <w:sz w:val="64"/>
        </w:rPr>
        <w:t> </w:t>
      </w:r>
      <w:r>
        <w:rPr>
          <w:b/>
          <w:color w:val="FFDD00"/>
          <w:w w:val="110"/>
          <w:sz w:val="64"/>
        </w:rPr>
        <w:t>REPORT</w:t>
      </w:r>
    </w:p>
    <w:p>
      <w:pPr>
        <w:spacing w:after="0"/>
        <w:jc w:val="left"/>
        <w:rPr>
          <w:sz w:val="64"/>
        </w:rPr>
        <w:sectPr>
          <w:headerReference w:type="default" r:id="rId30"/>
          <w:footerReference w:type="default" r:id="rId31"/>
          <w:pgSz w:w="11910" w:h="16850"/>
          <w:pgMar w:header="0" w:footer="0" w:top="1600" w:bottom="280" w:left="820" w:right="560"/>
        </w:sectPr>
      </w:pPr>
    </w:p>
    <w:p>
      <w:pPr>
        <w:pStyle w:val="Heading1"/>
        <w:spacing w:before="88"/>
        <w:jc w:val="both"/>
      </w:pPr>
      <w:r>
        <w:rPr/>
        <w:pict>
          <v:group style="position:absolute;margin-left:0pt;margin-top:0pt;width:594.6pt;height:841.2pt;mso-position-horizontal-relative:page;mso-position-vertical-relative:page;z-index:-34822656" coordorigin="0,0" coordsize="11892,16824">
            <v:shape style="position:absolute;left:0;top:0;width:11892;height:16824" type="#_x0000_t75" stroked="false">
              <v:imagedata r:id="rId32" o:title=""/>
            </v:shape>
            <v:shape style="position:absolute;left:1048;top:15596;width:1842;height:517" type="#_x0000_t75" stroked="false">
              <v:imagedata r:id="rId35" o:title=""/>
            </v:shape>
            <v:shape style="position:absolute;left:9795;top:15467;width:1448;height:720" type="#_x0000_t75" stroked="false">
              <v:imagedata r:id="rId11" o:title=""/>
            </v:shape>
            <w10:wrap type="none"/>
          </v:group>
        </w:pict>
      </w:r>
      <w:r>
        <w:rPr>
          <w:color w:val="FFFFFF"/>
          <w:w w:val="110"/>
        </w:rPr>
        <w:t>DETAILED VALUATION REPORT</w:t>
      </w:r>
    </w:p>
    <w:p>
      <w:pPr>
        <w:pStyle w:val="BodyText"/>
        <w:rPr>
          <w:b/>
          <w:sz w:val="52"/>
        </w:rPr>
      </w:pPr>
    </w:p>
    <w:p>
      <w:pPr>
        <w:pStyle w:val="BodyText"/>
        <w:rPr>
          <w:b/>
          <w:sz w:val="52"/>
        </w:rPr>
      </w:pPr>
    </w:p>
    <w:p>
      <w:pPr>
        <w:spacing w:before="318"/>
        <w:ind w:left="104" w:right="0" w:firstLine="0"/>
        <w:jc w:val="both"/>
        <w:rPr>
          <w:i/>
          <w:sz w:val="36"/>
        </w:rPr>
      </w:pPr>
      <w:r>
        <w:rPr>
          <w:i/>
          <w:color w:val="FFDD00"/>
          <w:w w:val="99"/>
          <w:sz w:val="36"/>
          <w:u w:val="thick" w:color="FFDD00"/>
        </w:rPr>
        <w:t>Is</w:t>
      </w:r>
      <w:r>
        <w:rPr>
          <w:i/>
          <w:color w:val="FFDD00"/>
          <w:spacing w:val="-2"/>
          <w:w w:val="99"/>
          <w:sz w:val="36"/>
          <w:u w:val="thick" w:color="FFDD00"/>
        </w:rPr>
        <w:t>s</w:t>
      </w:r>
      <w:r>
        <w:rPr>
          <w:i/>
          <w:smallCaps/>
          <w:color w:val="FFDD00"/>
          <w:w w:val="117"/>
          <w:sz w:val="36"/>
          <w:u w:val="thick" w:color="FFDD00"/>
        </w:rPr>
        <w:t>u</w:t>
      </w:r>
      <w:r>
        <w:rPr>
          <w:i/>
          <w:smallCaps/>
          <w:color w:val="FFDD00"/>
          <w:spacing w:val="1"/>
          <w:w w:val="117"/>
          <w:sz w:val="36"/>
          <w:u w:val="thick" w:color="FFDD00"/>
        </w:rPr>
        <w:t>e</w:t>
      </w:r>
      <w:r>
        <w:rPr>
          <w:i/>
          <w:smallCaps w:val="0"/>
          <w:color w:val="FFDD00"/>
          <w:w w:val="103"/>
          <w:sz w:val="36"/>
          <w:u w:val="thick" w:color="FFDD00"/>
        </w:rPr>
        <w:t>d</w:t>
      </w:r>
      <w:r>
        <w:rPr>
          <w:i/>
          <w:smallCaps w:val="0"/>
          <w:color w:val="FFDD00"/>
          <w:spacing w:val="-3"/>
          <w:sz w:val="36"/>
          <w:u w:val="thick" w:color="FFDD00"/>
        </w:rPr>
        <w:t> </w:t>
      </w:r>
      <w:r>
        <w:rPr>
          <w:i/>
          <w:smallCaps w:val="0"/>
          <w:color w:val="FFDD00"/>
          <w:w w:val="89"/>
          <w:sz w:val="36"/>
          <w:u w:val="thick" w:color="FFDD00"/>
        </w:rPr>
        <w:t>to:</w:t>
      </w:r>
    </w:p>
    <w:p>
      <w:pPr>
        <w:pStyle w:val="Heading1"/>
        <w:spacing w:line="247" w:lineRule="auto" w:before="138"/>
        <w:ind w:right="533"/>
        <w:jc w:val="both"/>
      </w:pPr>
      <w:r>
        <w:rPr>
          <w:color w:val="FFDD00"/>
          <w:w w:val="105"/>
        </w:rPr>
        <w:t>Embassy Office Parks Management Services Private Limited in its capacity as manager of The Embassy Office Parks REIT</w:t>
      </w:r>
    </w:p>
    <w:p>
      <w:pPr>
        <w:pStyle w:val="BodyText"/>
        <w:spacing w:before="9"/>
        <w:rPr>
          <w:b/>
          <w:sz w:val="61"/>
        </w:rPr>
      </w:pPr>
    </w:p>
    <w:p>
      <w:pPr>
        <w:pStyle w:val="Heading3"/>
        <w:spacing w:line="285" w:lineRule="auto"/>
        <w:rPr>
          <w:rFonts w:ascii="Trebuchet MS"/>
        </w:rPr>
      </w:pPr>
      <w:r>
        <w:rPr>
          <w:rFonts w:ascii="Trebuchet MS"/>
          <w:color w:val="EDEBE0"/>
          <w:w w:val="110"/>
        </w:rPr>
        <w:t>EMBASSY MANYATA, BENGALURU EXPRESS TOWERS, MUMBAI EMBASSY 247, MUMBAI</w:t>
      </w:r>
    </w:p>
    <w:p>
      <w:pPr>
        <w:spacing w:line="285" w:lineRule="auto" w:before="0"/>
        <w:ind w:left="104" w:right="2460" w:firstLine="0"/>
        <w:jc w:val="left"/>
        <w:rPr>
          <w:b/>
          <w:sz w:val="24"/>
        </w:rPr>
      </w:pPr>
      <w:r>
        <w:rPr>
          <w:b/>
          <w:color w:val="EDEBE0"/>
          <w:w w:val="110"/>
          <w:sz w:val="24"/>
        </w:rPr>
        <w:t>FIRST INTERNATIONAL FINANCE CENTRE (FIFC), MUMBAI EMBASSY TECHZONE, PUNE</w:t>
      </w:r>
    </w:p>
    <w:p>
      <w:pPr>
        <w:spacing w:line="285" w:lineRule="auto" w:before="0"/>
        <w:ind w:left="104" w:right="7077" w:firstLine="0"/>
        <w:jc w:val="left"/>
        <w:rPr>
          <w:b/>
          <w:sz w:val="24"/>
        </w:rPr>
      </w:pPr>
      <w:r>
        <w:rPr>
          <w:b/>
          <w:color w:val="EDEBE0"/>
          <w:w w:val="115"/>
          <w:sz w:val="24"/>
        </w:rPr>
        <w:t>EMBASSY QUADRON,</w:t>
      </w:r>
      <w:r>
        <w:rPr>
          <w:b/>
          <w:color w:val="EDEBE0"/>
          <w:spacing w:val="-64"/>
          <w:w w:val="115"/>
          <w:sz w:val="24"/>
        </w:rPr>
        <w:t> </w:t>
      </w:r>
      <w:r>
        <w:rPr>
          <w:b/>
          <w:color w:val="EDEBE0"/>
          <w:w w:val="115"/>
          <w:sz w:val="24"/>
        </w:rPr>
        <w:t>PUNE EMBASSY QUBIX, PUNE EMBASSY OXYGEN, NOIDA EMBASSY GALAXY, NOIDA</w:t>
      </w:r>
    </w:p>
    <w:p>
      <w:pPr>
        <w:spacing w:line="285" w:lineRule="auto" w:before="0"/>
        <w:ind w:left="104" w:right="6044" w:firstLine="0"/>
        <w:jc w:val="left"/>
        <w:rPr>
          <w:b/>
          <w:sz w:val="24"/>
        </w:rPr>
      </w:pPr>
      <w:r>
        <w:rPr>
          <w:b/>
          <w:color w:val="EDEBE0"/>
          <w:w w:val="110"/>
          <w:sz w:val="24"/>
        </w:rPr>
        <w:t>EMBASSY GOLFLINKS, BENGALURU EMBASSY ONE, BENGALURU</w:t>
      </w:r>
    </w:p>
    <w:p>
      <w:pPr>
        <w:spacing w:line="285" w:lineRule="auto" w:before="0"/>
        <w:ind w:left="104" w:right="4253" w:firstLine="0"/>
        <w:jc w:val="left"/>
        <w:rPr>
          <w:b/>
          <w:sz w:val="24"/>
        </w:rPr>
      </w:pPr>
      <w:r>
        <w:rPr>
          <w:b/>
          <w:color w:val="EDEBE0"/>
          <w:w w:val="110"/>
          <w:sz w:val="24"/>
        </w:rPr>
        <w:t>HILTON AT EMBASSY GOLFLNKS, BENGALURU EMBASSY</w:t>
      </w:r>
      <w:r>
        <w:rPr>
          <w:b/>
          <w:color w:val="EDEBE0"/>
          <w:spacing w:val="-30"/>
          <w:w w:val="110"/>
          <w:sz w:val="24"/>
        </w:rPr>
        <w:t> </w:t>
      </w:r>
      <w:r>
        <w:rPr>
          <w:b/>
          <w:color w:val="EDEBE0"/>
          <w:w w:val="110"/>
          <w:sz w:val="24"/>
        </w:rPr>
        <w:t>ENERGY,</w:t>
      </w:r>
      <w:r>
        <w:rPr>
          <w:b/>
          <w:color w:val="EDEBE0"/>
          <w:spacing w:val="-31"/>
          <w:w w:val="110"/>
          <w:sz w:val="24"/>
        </w:rPr>
        <w:t> </w:t>
      </w:r>
      <w:r>
        <w:rPr>
          <w:b/>
          <w:color w:val="EDEBE0"/>
          <w:w w:val="110"/>
          <w:sz w:val="24"/>
        </w:rPr>
        <w:t>BELLARY</w:t>
      </w:r>
      <w:r>
        <w:rPr>
          <w:b/>
          <w:color w:val="EDEBE0"/>
          <w:spacing w:val="-30"/>
          <w:w w:val="110"/>
          <w:sz w:val="24"/>
        </w:rPr>
        <w:t> </w:t>
      </w:r>
      <w:r>
        <w:rPr>
          <w:b/>
          <w:color w:val="EDEBE0"/>
          <w:w w:val="110"/>
          <w:sz w:val="24"/>
        </w:rPr>
        <w:t>DISTRICT,</w:t>
      </w:r>
      <w:r>
        <w:rPr>
          <w:b/>
          <w:color w:val="EDEBE0"/>
          <w:spacing w:val="-29"/>
          <w:w w:val="110"/>
          <w:sz w:val="24"/>
        </w:rPr>
        <w:t> </w:t>
      </w:r>
      <w:r>
        <w:rPr>
          <w:b/>
          <w:color w:val="EDEBE0"/>
          <w:w w:val="110"/>
          <w:sz w:val="24"/>
        </w:rPr>
        <w:t>KARNATAKA</w:t>
      </w:r>
    </w:p>
    <w:p>
      <w:pPr>
        <w:pStyle w:val="BodyText"/>
        <w:rPr>
          <w:b/>
          <w:sz w:val="28"/>
        </w:rPr>
      </w:pPr>
    </w:p>
    <w:p>
      <w:pPr>
        <w:pStyle w:val="BodyText"/>
        <w:spacing w:before="2"/>
        <w:rPr>
          <w:b/>
          <w:sz w:val="29"/>
        </w:rPr>
      </w:pPr>
    </w:p>
    <w:p>
      <w:pPr>
        <w:pStyle w:val="Heading5"/>
        <w:spacing w:before="0"/>
        <w:ind w:left="104" w:firstLine="0"/>
        <w:rPr>
          <w:rFonts w:ascii="Trebuchet MS"/>
        </w:rPr>
      </w:pPr>
      <w:r>
        <w:rPr>
          <w:rFonts w:ascii="Trebuchet MS"/>
          <w:color w:val="FFFFFF"/>
          <w:w w:val="110"/>
        </w:rPr>
        <w:t>REF NO: SF-0001016426</w:t>
      </w:r>
    </w:p>
    <w:p>
      <w:pPr>
        <w:pStyle w:val="BodyText"/>
        <w:rPr>
          <w:b/>
          <w:sz w:val="26"/>
        </w:rPr>
      </w:pPr>
    </w:p>
    <w:p>
      <w:pPr>
        <w:pStyle w:val="BodyText"/>
        <w:spacing w:before="10"/>
        <w:rPr>
          <w:b/>
          <w:sz w:val="27"/>
        </w:rPr>
      </w:pPr>
    </w:p>
    <w:p>
      <w:pPr>
        <w:spacing w:before="0"/>
        <w:ind w:left="104" w:right="0" w:firstLine="0"/>
        <w:jc w:val="left"/>
        <w:rPr>
          <w:b/>
          <w:sz w:val="22"/>
        </w:rPr>
      </w:pPr>
      <w:r>
        <w:rPr>
          <w:b/>
          <w:color w:val="FFFFFF"/>
          <w:w w:val="110"/>
          <w:sz w:val="22"/>
        </w:rPr>
        <w:t>DATE OF VALUATION: MARCH 31, 2020</w:t>
      </w:r>
    </w:p>
    <w:p>
      <w:pPr>
        <w:spacing w:before="184"/>
        <w:ind w:left="104" w:right="0" w:firstLine="0"/>
        <w:jc w:val="left"/>
        <w:rPr>
          <w:b/>
          <w:sz w:val="22"/>
        </w:rPr>
      </w:pPr>
      <w:r>
        <w:rPr>
          <w:b/>
          <w:color w:val="FFFFFF"/>
          <w:w w:val="105"/>
          <w:sz w:val="22"/>
        </w:rPr>
        <w:t>DATE OF REPORT: MAY 19, 2020</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8"/>
        </w:rPr>
      </w:pPr>
    </w:p>
    <w:p>
      <w:pPr>
        <w:tabs>
          <w:tab w:pos="5925" w:val="left" w:leader="none"/>
        </w:tabs>
        <w:spacing w:before="105"/>
        <w:ind w:left="298" w:right="0" w:firstLine="0"/>
        <w:jc w:val="left"/>
        <w:rPr>
          <w:sz w:val="24"/>
        </w:rPr>
      </w:pPr>
      <w:r>
        <w:rPr>
          <w:color w:val="FFFFFF"/>
          <w:position w:val="1"/>
          <w:sz w:val="24"/>
          <w:u w:val="single" w:color="FFFFFF"/>
        </w:rPr>
        <w:t>Value</w:t>
      </w:r>
      <w:r>
        <w:rPr>
          <w:color w:val="FFFFFF"/>
          <w:spacing w:val="-28"/>
          <w:position w:val="1"/>
          <w:sz w:val="24"/>
          <w:u w:val="single" w:color="FFFFFF"/>
        </w:rPr>
        <w:t> </w:t>
      </w:r>
      <w:r>
        <w:rPr>
          <w:color w:val="FFFFFF"/>
          <w:position w:val="1"/>
          <w:sz w:val="24"/>
          <w:u w:val="single" w:color="FFFFFF"/>
        </w:rPr>
        <w:t>Assessment</w:t>
      </w:r>
      <w:r>
        <w:rPr>
          <w:color w:val="FFFFFF"/>
          <w:spacing w:val="-27"/>
          <w:position w:val="1"/>
          <w:sz w:val="24"/>
          <w:u w:val="single" w:color="FFFFFF"/>
        </w:rPr>
        <w:t> </w:t>
      </w:r>
      <w:r>
        <w:rPr>
          <w:color w:val="FFFFFF"/>
          <w:position w:val="1"/>
          <w:sz w:val="24"/>
          <w:u w:val="single" w:color="FFFFFF"/>
        </w:rPr>
        <w:t>Service</w:t>
      </w:r>
      <w:r>
        <w:rPr>
          <w:color w:val="FFFFFF"/>
          <w:position w:val="1"/>
          <w:sz w:val="24"/>
        </w:rPr>
        <w:tab/>
      </w:r>
      <w:r>
        <w:rPr>
          <w:color w:val="FFFFFF"/>
          <w:sz w:val="24"/>
          <w:u w:val="single" w:color="FFFFFF"/>
        </w:rPr>
        <w:t>Valuer</w:t>
      </w:r>
      <w:r>
        <w:rPr>
          <w:color w:val="FFFFFF"/>
          <w:spacing w:val="-19"/>
          <w:sz w:val="24"/>
          <w:u w:val="single" w:color="FFFFFF"/>
        </w:rPr>
        <w:t> </w:t>
      </w:r>
      <w:r>
        <w:rPr>
          <w:color w:val="FFFFFF"/>
          <w:sz w:val="24"/>
          <w:u w:val="single" w:color="FFFFFF"/>
        </w:rPr>
        <w:t>under</w:t>
      </w:r>
      <w:r>
        <w:rPr>
          <w:color w:val="FFFFFF"/>
          <w:spacing w:val="-18"/>
          <w:sz w:val="24"/>
          <w:u w:val="single" w:color="FFFFFF"/>
        </w:rPr>
        <w:t> </w:t>
      </w:r>
      <w:r>
        <w:rPr>
          <w:color w:val="FFFFFF"/>
          <w:sz w:val="24"/>
          <w:u w:val="single" w:color="FFFFFF"/>
        </w:rPr>
        <w:t>SEBI</w:t>
      </w:r>
      <w:r>
        <w:rPr>
          <w:color w:val="FFFFFF"/>
          <w:spacing w:val="-18"/>
          <w:sz w:val="24"/>
          <w:u w:val="single" w:color="FFFFFF"/>
        </w:rPr>
        <w:t> </w:t>
      </w:r>
      <w:r>
        <w:rPr>
          <w:color w:val="FFFFFF"/>
          <w:sz w:val="24"/>
          <w:u w:val="single" w:color="FFFFFF"/>
        </w:rPr>
        <w:t>(REIT)</w:t>
      </w:r>
      <w:r>
        <w:rPr>
          <w:color w:val="FFFFFF"/>
          <w:spacing w:val="-18"/>
          <w:sz w:val="24"/>
          <w:u w:val="single" w:color="FFFFFF"/>
        </w:rPr>
        <w:t> </w:t>
      </w:r>
      <w:r>
        <w:rPr>
          <w:color w:val="FFFFFF"/>
          <w:sz w:val="24"/>
          <w:u w:val="single" w:color="FFFFFF"/>
        </w:rPr>
        <w:t>Regulations,</w:t>
      </w:r>
      <w:r>
        <w:rPr>
          <w:color w:val="FFFFFF"/>
          <w:spacing w:val="-17"/>
          <w:sz w:val="24"/>
          <w:u w:val="single" w:color="FFFFFF"/>
        </w:rPr>
        <w:t> </w:t>
      </w:r>
      <w:r>
        <w:rPr>
          <w:color w:val="FFFFFF"/>
          <w:sz w:val="24"/>
          <w:u w:val="single" w:color="FFFFFF"/>
        </w:rPr>
        <w:t>2014</w:t>
      </w:r>
    </w:p>
    <w:p>
      <w:pPr>
        <w:spacing w:after="0"/>
        <w:jc w:val="left"/>
        <w:rPr>
          <w:sz w:val="24"/>
        </w:rPr>
        <w:sectPr>
          <w:headerReference w:type="default" r:id="rId33"/>
          <w:footerReference w:type="default" r:id="rId34"/>
          <w:pgSz w:w="11910" w:h="16850"/>
          <w:pgMar w:header="0" w:footer="0" w:top="1120" w:bottom="280" w:left="820" w:right="560"/>
        </w:sectPr>
      </w:pPr>
    </w:p>
    <w:p>
      <w:pPr>
        <w:spacing w:before="98"/>
        <w:ind w:left="388" w:right="0" w:firstLine="0"/>
        <w:jc w:val="left"/>
        <w:rPr>
          <w:b/>
          <w:sz w:val="36"/>
        </w:rPr>
      </w:pPr>
      <w:r>
        <w:rPr>
          <w:b/>
          <w:color w:val="006A4D"/>
          <w:w w:val="105"/>
          <w:sz w:val="36"/>
          <w:u w:val="thick" w:color="006A4D"/>
        </w:rPr>
        <w:t>Contents</w:t>
      </w:r>
    </w:p>
    <w:p>
      <w:pPr>
        <w:pStyle w:val="BodyText"/>
        <w:rPr>
          <w:b/>
          <w:sz w:val="20"/>
        </w:rPr>
      </w:pPr>
    </w:p>
    <w:p>
      <w:pPr>
        <w:pStyle w:val="BodyText"/>
        <w:rPr>
          <w:b/>
          <w:sz w:val="20"/>
        </w:rPr>
      </w:pPr>
    </w:p>
    <w:p>
      <w:pPr>
        <w:pStyle w:val="ListParagraph"/>
        <w:numPr>
          <w:ilvl w:val="0"/>
          <w:numId w:val="13"/>
        </w:numPr>
        <w:tabs>
          <w:tab w:pos="846" w:val="left" w:leader="none"/>
          <w:tab w:pos="847" w:val="left" w:leader="none"/>
          <w:tab w:pos="10489" w:val="right" w:leader="dot"/>
        </w:tabs>
        <w:spacing w:line="240" w:lineRule="auto" w:before="223" w:after="0"/>
        <w:ind w:left="846" w:right="0" w:hanging="567"/>
        <w:jc w:val="left"/>
        <w:rPr>
          <w:sz w:val="20"/>
        </w:rPr>
      </w:pPr>
      <w:hyperlink w:history="true" w:anchor="_bookmark0">
        <w:r>
          <w:rPr>
            <w:sz w:val="20"/>
          </w:rPr>
          <w:t>Instruction</w:t>
          <w:tab/>
          <w:t>14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
        <w:r>
          <w:rPr>
            <w:w w:val="105"/>
            <w:sz w:val="20"/>
          </w:rPr>
          <w:t>Purpose</w:t>
          <w:tab/>
          <w:t>14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
        <w:r>
          <w:rPr>
            <w:sz w:val="20"/>
          </w:rPr>
          <w:t>Reliant</w:t>
        </w:r>
        <w:r>
          <w:rPr>
            <w:spacing w:val="-2"/>
            <w:sz w:val="20"/>
          </w:rPr>
          <w:t> </w:t>
        </w:r>
        <w:r>
          <w:rPr>
            <w:sz w:val="20"/>
          </w:rPr>
          <w:t>Party</w:t>
          <w:tab/>
          <w:t>14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
        <w:r>
          <w:rPr>
            <w:sz w:val="20"/>
          </w:rPr>
          <w:t>Limitation</w:t>
        </w:r>
        <w:r>
          <w:rPr>
            <w:spacing w:val="-4"/>
            <w:sz w:val="20"/>
          </w:rPr>
          <w:t> </w:t>
        </w:r>
        <w:r>
          <w:rPr>
            <w:sz w:val="20"/>
          </w:rPr>
          <w:t>of</w:t>
        </w:r>
        <w:r>
          <w:rPr>
            <w:spacing w:val="-2"/>
            <w:sz w:val="20"/>
          </w:rPr>
          <w:t> </w:t>
        </w:r>
        <w:r>
          <w:rPr>
            <w:sz w:val="20"/>
          </w:rPr>
          <w:t>Liability</w:t>
          <w:tab/>
          <w:t>15</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4">
        <w:r>
          <w:rPr>
            <w:sz w:val="20"/>
          </w:rPr>
          <w:t>Scope</w:t>
        </w:r>
        <w:r>
          <w:rPr>
            <w:spacing w:val="-1"/>
            <w:sz w:val="20"/>
          </w:rPr>
          <w:t> </w:t>
        </w:r>
        <w:r>
          <w:rPr>
            <w:sz w:val="20"/>
          </w:rPr>
          <w:t>of</w:t>
        </w:r>
        <w:r>
          <w:rPr>
            <w:spacing w:val="-1"/>
            <w:sz w:val="20"/>
          </w:rPr>
          <w:t> </w:t>
        </w:r>
        <w:r>
          <w:rPr>
            <w:sz w:val="20"/>
          </w:rPr>
          <w:t>Services</w:t>
          <w:tab/>
          <w:t>15</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5">
        <w:r>
          <w:rPr>
            <w:sz w:val="20"/>
          </w:rPr>
          <w:t>Valuation</w:t>
        </w:r>
        <w:r>
          <w:rPr>
            <w:spacing w:val="-3"/>
            <w:sz w:val="20"/>
          </w:rPr>
          <w:t> </w:t>
        </w:r>
        <w:r>
          <w:rPr>
            <w:sz w:val="20"/>
          </w:rPr>
          <w:t>Capability</w:t>
          <w:tab/>
          <w:t>16</w:t>
        </w:r>
      </w:hyperlink>
    </w:p>
    <w:p>
      <w:pPr>
        <w:pStyle w:val="ListParagraph"/>
        <w:numPr>
          <w:ilvl w:val="1"/>
          <w:numId w:val="13"/>
        </w:numPr>
        <w:tabs>
          <w:tab w:pos="1557" w:val="left" w:leader="none"/>
          <w:tab w:pos="1558" w:val="left" w:leader="none"/>
          <w:tab w:pos="10489" w:val="right" w:leader="dot"/>
        </w:tabs>
        <w:spacing w:line="240" w:lineRule="auto" w:before="129" w:after="0"/>
        <w:ind w:left="1557" w:right="0" w:hanging="712"/>
        <w:jc w:val="left"/>
        <w:rPr>
          <w:sz w:val="20"/>
        </w:rPr>
      </w:pPr>
      <w:hyperlink w:history="true" w:anchor="_bookmark6">
        <w:r>
          <w:rPr>
            <w:sz w:val="20"/>
          </w:rPr>
          <w:t>Scope of</w:t>
        </w:r>
        <w:r>
          <w:rPr>
            <w:spacing w:val="-1"/>
            <w:sz w:val="20"/>
          </w:rPr>
          <w:t> </w:t>
        </w:r>
        <w:r>
          <w:rPr>
            <w:sz w:val="20"/>
          </w:rPr>
          <w:t>Appraisal</w:t>
          <w:tab/>
          <w:t>17</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7">
        <w:r>
          <w:rPr>
            <w:sz w:val="20"/>
          </w:rPr>
          <w:t>Valuer’s</w:t>
        </w:r>
        <w:r>
          <w:rPr>
            <w:spacing w:val="-1"/>
            <w:sz w:val="20"/>
          </w:rPr>
          <w:t> </w:t>
        </w:r>
        <w:r>
          <w:rPr>
            <w:sz w:val="20"/>
          </w:rPr>
          <w:t>Interest</w:t>
          <w:tab/>
          <w:t>19</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8">
        <w:r>
          <w:rPr>
            <w:w w:val="105"/>
            <w:sz w:val="20"/>
          </w:rPr>
          <w:t>Qualifications</w:t>
          <w:tab/>
          <w:t>19</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9">
        <w:r>
          <w:rPr>
            <w:w w:val="105"/>
            <w:sz w:val="20"/>
          </w:rPr>
          <w:t>Disclosures</w:t>
          <w:tab/>
          <w:t>19</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0">
        <w:r>
          <w:rPr>
            <w:sz w:val="20"/>
          </w:rPr>
          <w:t>Assumptions, Disclaimers, Limitations &amp; Qualifications</w:t>
        </w:r>
        <w:r>
          <w:rPr>
            <w:spacing w:val="-22"/>
            <w:sz w:val="20"/>
          </w:rPr>
          <w:t> </w:t>
        </w:r>
        <w:r>
          <w:rPr>
            <w:sz w:val="20"/>
          </w:rPr>
          <w:t>to</w:t>
        </w:r>
        <w:r>
          <w:rPr>
            <w:spacing w:val="-6"/>
            <w:sz w:val="20"/>
          </w:rPr>
          <w:t> </w:t>
        </w:r>
        <w:r>
          <w:rPr>
            <w:sz w:val="20"/>
          </w:rPr>
          <w:t>Valuation</w:t>
          <w:tab/>
          <w:t>21</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11">
        <w:r>
          <w:rPr>
            <w:sz w:val="20"/>
          </w:rPr>
          <w:t>Material Valuation Uncertainty from</w:t>
        </w:r>
        <w:r>
          <w:rPr>
            <w:spacing w:val="-11"/>
            <w:sz w:val="20"/>
          </w:rPr>
          <w:t> </w:t>
        </w:r>
        <w:r>
          <w:rPr>
            <w:sz w:val="20"/>
          </w:rPr>
          <w:t>Novel</w:t>
        </w:r>
        <w:r>
          <w:rPr>
            <w:spacing w:val="-3"/>
            <w:sz w:val="20"/>
          </w:rPr>
          <w:t> </w:t>
        </w:r>
        <w:r>
          <w:rPr>
            <w:sz w:val="20"/>
          </w:rPr>
          <w:t>Coronavirus</w:t>
          <w:tab/>
          <w:t>24</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12">
        <w:r>
          <w:rPr>
            <w:sz w:val="20"/>
          </w:rPr>
          <w:t>Valuation Approach</w:t>
        </w:r>
        <w:r>
          <w:rPr>
            <w:spacing w:val="-4"/>
            <w:sz w:val="20"/>
          </w:rPr>
          <w:t> </w:t>
        </w:r>
        <w:r>
          <w:rPr>
            <w:sz w:val="20"/>
          </w:rPr>
          <w:t>&amp; Methodology</w:t>
          <w:tab/>
          <w:t>26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3">
        <w:r>
          <w:rPr>
            <w:sz w:val="20"/>
          </w:rPr>
          <w:t>Scope</w:t>
        </w:r>
        <w:r>
          <w:rPr>
            <w:spacing w:val="-1"/>
            <w:sz w:val="20"/>
          </w:rPr>
          <w:t> </w:t>
        </w:r>
        <w:r>
          <w:rPr>
            <w:sz w:val="20"/>
          </w:rPr>
          <w:t>of</w:t>
        </w:r>
        <w:r>
          <w:rPr>
            <w:spacing w:val="-1"/>
            <w:sz w:val="20"/>
          </w:rPr>
          <w:t> </w:t>
        </w:r>
        <w:r>
          <w:rPr>
            <w:sz w:val="20"/>
          </w:rPr>
          <w:t>Valuation</w:t>
          <w:tab/>
          <w:t>26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4">
        <w:r>
          <w:rPr>
            <w:sz w:val="20"/>
          </w:rPr>
          <w:t>Basis</w:t>
        </w:r>
        <w:r>
          <w:rPr>
            <w:spacing w:val="-2"/>
            <w:sz w:val="20"/>
          </w:rPr>
          <w:t> </w:t>
        </w:r>
        <w:r>
          <w:rPr>
            <w:sz w:val="20"/>
          </w:rPr>
          <w:t>of</w:t>
        </w:r>
        <w:r>
          <w:rPr>
            <w:spacing w:val="-1"/>
            <w:sz w:val="20"/>
          </w:rPr>
          <w:t> </w:t>
        </w:r>
        <w:r>
          <w:rPr>
            <w:sz w:val="20"/>
          </w:rPr>
          <w:t>Valuation</w:t>
          <w:tab/>
          <w:t>26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5">
        <w:r>
          <w:rPr>
            <w:sz w:val="20"/>
          </w:rPr>
          <w:t>Approach</w:t>
        </w:r>
        <w:r>
          <w:rPr>
            <w:spacing w:val="-2"/>
            <w:sz w:val="20"/>
          </w:rPr>
          <w:t> </w:t>
        </w:r>
        <w:r>
          <w:rPr>
            <w:sz w:val="20"/>
          </w:rPr>
          <w:t>and</w:t>
        </w:r>
        <w:r>
          <w:rPr>
            <w:spacing w:val="-3"/>
            <w:sz w:val="20"/>
          </w:rPr>
          <w:t> </w:t>
        </w:r>
        <w:r>
          <w:rPr>
            <w:sz w:val="20"/>
          </w:rPr>
          <w:t>Methodology</w:t>
          <w:tab/>
          <w:t>26</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6">
        <w:r>
          <w:rPr>
            <w:sz w:val="20"/>
          </w:rPr>
          <w:t>Direct Comparison</w:t>
        </w:r>
        <w:r>
          <w:rPr>
            <w:spacing w:val="-2"/>
            <w:sz w:val="20"/>
          </w:rPr>
          <w:t> </w:t>
        </w:r>
        <w:r>
          <w:rPr>
            <w:sz w:val="20"/>
          </w:rPr>
          <w:t>Approach</w:t>
          <w:tab/>
          <w:t>26</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7">
        <w:r>
          <w:rPr>
            <w:sz w:val="20"/>
          </w:rPr>
          <w:t>Income Approach</w:t>
          <w:tab/>
          <w:t>27</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8">
        <w:r>
          <w:rPr>
            <w:sz w:val="20"/>
          </w:rPr>
          <w:t>Approach and</w:t>
        </w:r>
        <w:r>
          <w:rPr>
            <w:spacing w:val="-5"/>
            <w:sz w:val="20"/>
          </w:rPr>
          <w:t> </w:t>
        </w:r>
        <w:r>
          <w:rPr>
            <w:sz w:val="20"/>
          </w:rPr>
          <w:t>Methodology</w:t>
        </w:r>
        <w:r>
          <w:rPr>
            <w:spacing w:val="3"/>
            <w:sz w:val="20"/>
          </w:rPr>
          <w:t> </w:t>
        </w:r>
        <w:r>
          <w:rPr>
            <w:sz w:val="20"/>
          </w:rPr>
          <w:t>Adopted</w:t>
          <w:tab/>
          <w:t>31</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9">
        <w:r>
          <w:rPr>
            <w:sz w:val="20"/>
          </w:rPr>
          <w:t>Information Sources</w:t>
        </w:r>
        <w:r>
          <w:rPr>
            <w:spacing w:val="-4"/>
            <w:sz w:val="20"/>
          </w:rPr>
          <w:t> </w:t>
        </w:r>
        <w:r>
          <w:rPr>
            <w:sz w:val="20"/>
          </w:rPr>
          <w:t>for</w:t>
        </w:r>
        <w:r>
          <w:rPr>
            <w:spacing w:val="-3"/>
            <w:sz w:val="20"/>
          </w:rPr>
          <w:t> </w:t>
        </w:r>
        <w:r>
          <w:rPr>
            <w:sz w:val="20"/>
          </w:rPr>
          <w:t>Valuation</w:t>
          <w:tab/>
          <w:t>32</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20">
        <w:r>
          <w:rPr>
            <w:sz w:val="20"/>
          </w:rPr>
          <w:t>Embassy REIT Assets at</w:t>
        </w:r>
        <w:r>
          <w:rPr>
            <w:spacing w:val="-6"/>
            <w:sz w:val="20"/>
          </w:rPr>
          <w:t> </w:t>
        </w:r>
        <w:r>
          <w:rPr>
            <w:sz w:val="20"/>
          </w:rPr>
          <w:t>a</w:t>
        </w:r>
        <w:r>
          <w:rPr>
            <w:spacing w:val="-2"/>
            <w:sz w:val="20"/>
          </w:rPr>
          <w:t> </w:t>
        </w:r>
        <w:r>
          <w:rPr>
            <w:sz w:val="20"/>
          </w:rPr>
          <w:t>Glance</w:t>
          <w:tab/>
          <w:t>36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1">
        <w:r>
          <w:rPr>
            <w:sz w:val="20"/>
          </w:rPr>
          <w:t>Key</w:t>
        </w:r>
        <w:r>
          <w:rPr>
            <w:spacing w:val="-1"/>
            <w:sz w:val="20"/>
          </w:rPr>
          <w:t> </w:t>
        </w:r>
        <w:r>
          <w:rPr>
            <w:sz w:val="20"/>
          </w:rPr>
          <w:t>Characteristics</w:t>
          <w:tab/>
          <w:t>36</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22">
        <w:r>
          <w:rPr>
            <w:sz w:val="20"/>
          </w:rPr>
          <w:t>Nature of the Interest of the</w:t>
        </w:r>
        <w:r>
          <w:rPr>
            <w:spacing w:val="-21"/>
            <w:sz w:val="20"/>
          </w:rPr>
          <w:t> </w:t>
        </w:r>
        <w:r>
          <w:rPr>
            <w:sz w:val="20"/>
          </w:rPr>
          <w:t>Embassy</w:t>
        </w:r>
        <w:r>
          <w:rPr>
            <w:spacing w:val="-2"/>
            <w:sz w:val="20"/>
          </w:rPr>
          <w:t> </w:t>
        </w:r>
        <w:r>
          <w:rPr>
            <w:sz w:val="20"/>
          </w:rPr>
          <w:t>REIT</w:t>
          <w:tab/>
          <w:t>39</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3">
        <w:r>
          <w:rPr>
            <w:sz w:val="20"/>
          </w:rPr>
          <w:t>Capitalization</w:t>
        </w:r>
        <w:r>
          <w:rPr>
            <w:spacing w:val="-3"/>
            <w:sz w:val="20"/>
          </w:rPr>
          <w:t> </w:t>
        </w:r>
        <w:r>
          <w:rPr>
            <w:sz w:val="20"/>
          </w:rPr>
          <w:t>Rate</w:t>
        </w:r>
        <w:r>
          <w:rPr>
            <w:spacing w:val="-1"/>
            <w:sz w:val="20"/>
          </w:rPr>
          <w:t> </w:t>
        </w:r>
        <w:r>
          <w:rPr>
            <w:sz w:val="20"/>
          </w:rPr>
          <w:t>Adopted</w:t>
          <w:tab/>
          <w:t>40</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4">
        <w:r>
          <w:rPr>
            <w:sz w:val="20"/>
          </w:rPr>
          <w:t>Discount</w:t>
        </w:r>
        <w:r>
          <w:rPr>
            <w:spacing w:val="-2"/>
            <w:sz w:val="20"/>
          </w:rPr>
          <w:t> </w:t>
        </w:r>
        <w:r>
          <w:rPr>
            <w:sz w:val="20"/>
          </w:rPr>
          <w:t>Rate Adopted</w:t>
          <w:tab/>
          <w:t>41</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25">
        <w:r>
          <w:rPr>
            <w:sz w:val="20"/>
          </w:rPr>
          <w:t>Cost of</w:t>
        </w:r>
        <w:r>
          <w:rPr>
            <w:spacing w:val="-1"/>
            <w:sz w:val="20"/>
          </w:rPr>
          <w:t> </w:t>
        </w:r>
        <w:r>
          <w:rPr>
            <w:sz w:val="20"/>
          </w:rPr>
          <w:t>Equity</w:t>
          <w:tab/>
          <w:t>41</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26">
        <w:r>
          <w:rPr>
            <w:sz w:val="20"/>
          </w:rPr>
          <w:t>Cost</w:t>
        </w:r>
        <w:r>
          <w:rPr>
            <w:spacing w:val="1"/>
            <w:sz w:val="20"/>
          </w:rPr>
          <w:t> </w:t>
        </w:r>
        <w:r>
          <w:rPr>
            <w:sz w:val="20"/>
          </w:rPr>
          <w:t>of</w:t>
        </w:r>
        <w:r>
          <w:rPr>
            <w:spacing w:val="-1"/>
            <w:sz w:val="20"/>
          </w:rPr>
          <w:t> </w:t>
        </w:r>
        <w:r>
          <w:rPr>
            <w:sz w:val="20"/>
          </w:rPr>
          <w:t>Debt</w:t>
          <w:tab/>
          <w:t>41</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27">
        <w:r>
          <w:rPr>
            <w:sz w:val="20"/>
          </w:rPr>
          <w:t>Weighted Average Cost of Capital</w:t>
        </w:r>
        <w:r>
          <w:rPr>
            <w:spacing w:val="-2"/>
            <w:sz w:val="20"/>
          </w:rPr>
          <w:t> </w:t>
        </w:r>
        <w:r>
          <w:rPr>
            <w:sz w:val="20"/>
          </w:rPr>
          <w:t>(WACC)</w:t>
          <w:tab/>
          <w:t>42</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28">
        <w:r>
          <w:rPr>
            <w:sz w:val="20"/>
          </w:rPr>
          <w:t>Valuation</w:t>
        </w:r>
        <w:r>
          <w:rPr>
            <w:spacing w:val="-3"/>
            <w:sz w:val="20"/>
          </w:rPr>
          <w:t> </w:t>
        </w:r>
        <w:r>
          <w:rPr>
            <w:sz w:val="20"/>
          </w:rPr>
          <w:t>Certificate</w:t>
          <w:tab/>
          <w:t>44</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29">
        <w:r>
          <w:rPr>
            <w:sz w:val="20"/>
          </w:rPr>
          <w:t>Embassy Manyata</w:t>
          <w:tab/>
          <w:t>44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0">
        <w:r>
          <w:rPr>
            <w:sz w:val="20"/>
          </w:rPr>
          <w:t>Express</w:t>
        </w:r>
        <w:r>
          <w:rPr>
            <w:spacing w:val="-1"/>
            <w:sz w:val="20"/>
          </w:rPr>
          <w:t> </w:t>
        </w:r>
        <w:r>
          <w:rPr>
            <w:sz w:val="20"/>
          </w:rPr>
          <w:t>Towers</w:t>
          <w:tab/>
          <w:t>46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1">
        <w:r>
          <w:rPr>
            <w:w w:val="110"/>
            <w:sz w:val="20"/>
          </w:rPr>
          <w:t>Embassy</w:t>
        </w:r>
        <w:r>
          <w:rPr>
            <w:spacing w:val="-7"/>
            <w:w w:val="110"/>
            <w:sz w:val="20"/>
          </w:rPr>
          <w:t> </w:t>
        </w:r>
        <w:r>
          <w:rPr>
            <w:w w:val="110"/>
            <w:sz w:val="20"/>
          </w:rPr>
          <w:t>247</w:t>
          <w:tab/>
          <w:t>48</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2">
        <w:r>
          <w:rPr>
            <w:sz w:val="20"/>
          </w:rPr>
          <w:t>First International Finance</w:t>
        </w:r>
        <w:r>
          <w:rPr>
            <w:spacing w:val="-6"/>
            <w:sz w:val="20"/>
          </w:rPr>
          <w:t> </w:t>
        </w:r>
        <w:r>
          <w:rPr>
            <w:sz w:val="20"/>
          </w:rPr>
          <w:t>Centre</w:t>
        </w:r>
        <w:r>
          <w:rPr>
            <w:spacing w:val="-2"/>
            <w:sz w:val="20"/>
          </w:rPr>
          <w:t> </w:t>
        </w:r>
        <w:r>
          <w:rPr>
            <w:sz w:val="20"/>
          </w:rPr>
          <w:t>(FIFC)</w:t>
          <w:tab/>
          <w:t>50</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33">
        <w:r>
          <w:rPr>
            <w:sz w:val="20"/>
          </w:rPr>
          <w:t>Embassy</w:t>
        </w:r>
        <w:r>
          <w:rPr>
            <w:spacing w:val="-1"/>
            <w:sz w:val="20"/>
          </w:rPr>
          <w:t> </w:t>
        </w:r>
        <w:r>
          <w:rPr>
            <w:sz w:val="20"/>
          </w:rPr>
          <w:t>TechZone</w:t>
          <w:tab/>
          <w:t>52</w:t>
        </w:r>
      </w:hyperlink>
    </w:p>
    <w:p>
      <w:pPr>
        <w:pStyle w:val="ListParagraph"/>
        <w:numPr>
          <w:ilvl w:val="1"/>
          <w:numId w:val="13"/>
        </w:numPr>
        <w:tabs>
          <w:tab w:pos="1557" w:val="left" w:leader="none"/>
          <w:tab w:pos="1558" w:val="left" w:leader="none"/>
          <w:tab w:pos="10489" w:val="right" w:leader="dot"/>
        </w:tabs>
        <w:spacing w:line="240" w:lineRule="auto" w:before="129" w:after="0"/>
        <w:ind w:left="1557" w:right="0" w:hanging="712"/>
        <w:jc w:val="left"/>
        <w:rPr>
          <w:sz w:val="20"/>
        </w:rPr>
      </w:pPr>
      <w:hyperlink w:history="true" w:anchor="_bookmark34">
        <w:r>
          <w:rPr>
            <w:w w:val="105"/>
            <w:sz w:val="20"/>
          </w:rPr>
          <w:t>Embassy</w:t>
        </w:r>
        <w:r>
          <w:rPr>
            <w:spacing w:val="-4"/>
            <w:w w:val="105"/>
            <w:sz w:val="20"/>
          </w:rPr>
          <w:t> </w:t>
        </w:r>
        <w:r>
          <w:rPr>
            <w:w w:val="105"/>
            <w:sz w:val="20"/>
          </w:rPr>
          <w:t>Quadron</w:t>
          <w:tab/>
          <w:t>54</w:t>
        </w:r>
      </w:hyperlink>
    </w:p>
    <w:p>
      <w:pPr>
        <w:spacing w:after="0" w:line="240" w:lineRule="auto"/>
        <w:jc w:val="left"/>
        <w:rPr>
          <w:sz w:val="20"/>
        </w:rPr>
        <w:sectPr>
          <w:headerReference w:type="default" r:id="rId36"/>
          <w:footerReference w:type="default" r:id="rId37"/>
          <w:pgSz w:w="11910" w:h="16840"/>
          <w:pgMar w:header="720" w:footer="842" w:top="1520" w:bottom="1040" w:left="440" w:right="80"/>
          <w:pgNumType w:start="2"/>
        </w:sectPr>
      </w:pPr>
    </w:p>
    <w:p>
      <w:pPr>
        <w:pStyle w:val="ListParagraph"/>
        <w:numPr>
          <w:ilvl w:val="1"/>
          <w:numId w:val="13"/>
        </w:numPr>
        <w:tabs>
          <w:tab w:pos="1557" w:val="left" w:leader="none"/>
          <w:tab w:pos="1558" w:val="left" w:leader="none"/>
          <w:tab w:pos="10489" w:val="right" w:leader="dot"/>
        </w:tabs>
        <w:spacing w:line="240" w:lineRule="auto" w:before="208" w:after="0"/>
        <w:ind w:left="1557" w:right="0" w:hanging="712"/>
        <w:jc w:val="left"/>
        <w:rPr>
          <w:sz w:val="20"/>
        </w:rPr>
      </w:pPr>
      <w:hyperlink w:history="true" w:anchor="_bookmark35">
        <w:r>
          <w:rPr>
            <w:sz w:val="20"/>
          </w:rPr>
          <w:t>Embassy Qubix</w:t>
          <w:tab/>
          <w:t>56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6">
        <w:r>
          <w:rPr>
            <w:sz w:val="20"/>
          </w:rPr>
          <w:t>Embassy Oxygen</w:t>
          <w:tab/>
          <w:t>58</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37">
        <w:r>
          <w:rPr>
            <w:sz w:val="20"/>
          </w:rPr>
          <w:t>Embassy Galaxy</w:t>
          <w:tab/>
          <w:t>60</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8">
        <w:r>
          <w:rPr>
            <w:sz w:val="20"/>
          </w:rPr>
          <w:t>Embassy</w:t>
        </w:r>
        <w:r>
          <w:rPr>
            <w:spacing w:val="1"/>
            <w:sz w:val="20"/>
          </w:rPr>
          <w:t> </w:t>
        </w:r>
        <w:r>
          <w:rPr>
            <w:sz w:val="20"/>
          </w:rPr>
          <w:t>GolfLinks</w:t>
          <w:tab/>
          <w:t>62</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9">
        <w:r>
          <w:rPr>
            <w:w w:val="105"/>
            <w:sz w:val="20"/>
          </w:rPr>
          <w:t>Embassy</w:t>
        </w:r>
        <w:r>
          <w:rPr>
            <w:spacing w:val="-4"/>
            <w:w w:val="105"/>
            <w:sz w:val="20"/>
          </w:rPr>
          <w:t> </w:t>
        </w:r>
        <w:r>
          <w:rPr>
            <w:w w:val="105"/>
            <w:sz w:val="20"/>
          </w:rPr>
          <w:t>One</w:t>
          <w:tab/>
          <w:t>64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40">
        <w:r>
          <w:rPr>
            <w:sz w:val="20"/>
          </w:rPr>
          <w:t>Hilton</w:t>
        </w:r>
        <w:r>
          <w:rPr>
            <w:spacing w:val="-3"/>
            <w:sz w:val="20"/>
          </w:rPr>
          <w:t> </w:t>
        </w:r>
        <w:r>
          <w:rPr>
            <w:sz w:val="20"/>
          </w:rPr>
          <w:t>at</w:t>
        </w:r>
        <w:r>
          <w:rPr>
            <w:spacing w:val="-1"/>
            <w:sz w:val="20"/>
          </w:rPr>
          <w:t> </w:t>
        </w:r>
        <w:r>
          <w:rPr>
            <w:sz w:val="20"/>
          </w:rPr>
          <w:t>Golflinks</w:t>
          <w:tab/>
          <w:t>66</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41">
        <w:r>
          <w:rPr>
            <w:sz w:val="20"/>
          </w:rPr>
          <w:t>Embassy</w:t>
        </w:r>
        <w:r>
          <w:rPr>
            <w:spacing w:val="1"/>
            <w:sz w:val="20"/>
          </w:rPr>
          <w:t> </w:t>
        </w:r>
        <w:r>
          <w:rPr>
            <w:sz w:val="20"/>
          </w:rPr>
          <w:t>Energy</w:t>
          <w:tab/>
          <w:t>68</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42">
        <w:r>
          <w:rPr>
            <w:sz w:val="20"/>
          </w:rPr>
          <w:t>Value Summary</w:t>
          <w:tab/>
          <w:t>71</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43">
        <w:r>
          <w:rPr>
            <w:sz w:val="20"/>
          </w:rPr>
          <w:t>Embassy Manyata</w:t>
          <w:tab/>
          <w:t>73</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44">
        <w:r>
          <w:rPr>
            <w:sz w:val="20"/>
          </w:rPr>
          <w:t>Property</w:t>
        </w:r>
        <w:r>
          <w:rPr>
            <w:spacing w:val="-1"/>
            <w:sz w:val="20"/>
          </w:rPr>
          <w:t> </w:t>
        </w:r>
        <w:r>
          <w:rPr>
            <w:sz w:val="20"/>
          </w:rPr>
          <w:t>Description</w:t>
          <w:tab/>
          <w:t>73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45">
        <w:r>
          <w:rPr>
            <w:sz w:val="20"/>
          </w:rPr>
          <w:t>Site</w:t>
        </w:r>
        <w:r>
          <w:rPr>
            <w:spacing w:val="-1"/>
            <w:sz w:val="20"/>
          </w:rPr>
          <w:t> </w:t>
        </w:r>
        <w:r>
          <w:rPr>
            <w:sz w:val="20"/>
          </w:rPr>
          <w:t>Details</w:t>
          <w:tab/>
          <w:t>73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46">
        <w:r>
          <w:rPr>
            <w:sz w:val="20"/>
          </w:rPr>
          <w:t>Legal</w:t>
        </w:r>
        <w:r>
          <w:rPr>
            <w:spacing w:val="-3"/>
            <w:sz w:val="20"/>
          </w:rPr>
          <w:t> </w:t>
        </w:r>
        <w:r>
          <w:rPr>
            <w:sz w:val="20"/>
          </w:rPr>
          <w:t>Details</w:t>
          <w:tab/>
          <w:t>77</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47">
        <w:r>
          <w:rPr>
            <w:sz w:val="20"/>
          </w:rPr>
          <w:t>Town</w:t>
        </w:r>
        <w:r>
          <w:rPr>
            <w:spacing w:val="-2"/>
            <w:sz w:val="20"/>
          </w:rPr>
          <w:t> </w:t>
        </w:r>
        <w:r>
          <w:rPr>
            <w:sz w:val="20"/>
          </w:rPr>
          <w:t>Planning</w:t>
          <w:tab/>
          <w:t>77</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48">
        <w:r>
          <w:rPr>
            <w:sz w:val="20"/>
          </w:rPr>
          <w:t>Statutory Approvals, One time Sanctions &amp;</w:t>
        </w:r>
        <w:r>
          <w:rPr>
            <w:spacing w:val="-22"/>
            <w:sz w:val="20"/>
          </w:rPr>
          <w:t> </w:t>
        </w:r>
        <w:r>
          <w:rPr>
            <w:sz w:val="20"/>
          </w:rPr>
          <w:t>Periodic</w:t>
        </w:r>
        <w:r>
          <w:rPr>
            <w:spacing w:val="-5"/>
            <w:sz w:val="20"/>
          </w:rPr>
          <w:t> </w:t>
        </w:r>
        <w:r>
          <w:rPr>
            <w:sz w:val="20"/>
          </w:rPr>
          <w:t>Clearances</w:t>
          <w:tab/>
          <w:t>78</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49">
        <w:r>
          <w:rPr>
            <w:sz w:val="20"/>
          </w:rPr>
          <w:t>Area Details, Type and Age of</w:t>
        </w:r>
        <w:r>
          <w:rPr>
            <w:spacing w:val="-17"/>
            <w:sz w:val="20"/>
          </w:rPr>
          <w:t> </w:t>
        </w:r>
        <w:r>
          <w:rPr>
            <w:sz w:val="20"/>
          </w:rPr>
          <w:t>Existing</w:t>
        </w:r>
        <w:r>
          <w:rPr>
            <w:spacing w:val="-4"/>
            <w:sz w:val="20"/>
          </w:rPr>
          <w:t> </w:t>
        </w:r>
        <w:r>
          <w:rPr>
            <w:sz w:val="20"/>
          </w:rPr>
          <w:t>Structures</w:t>
          <w:tab/>
          <w:t>79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50">
        <w:r>
          <w:rPr>
            <w:sz w:val="20"/>
          </w:rPr>
          <w:t>Site Services</w:t>
        </w:r>
        <w:r>
          <w:rPr>
            <w:spacing w:val="-2"/>
            <w:sz w:val="20"/>
          </w:rPr>
          <w:t> </w:t>
        </w:r>
        <w:r>
          <w:rPr>
            <w:sz w:val="20"/>
          </w:rPr>
          <w:t>and</w:t>
        </w:r>
        <w:r>
          <w:rPr>
            <w:spacing w:val="-3"/>
            <w:sz w:val="20"/>
          </w:rPr>
          <w:t> </w:t>
        </w:r>
        <w:r>
          <w:rPr>
            <w:sz w:val="20"/>
          </w:rPr>
          <w:t>Finishes</w:t>
          <w:tab/>
          <w:t>81</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51">
        <w:r>
          <w:rPr>
            <w:sz w:val="20"/>
          </w:rPr>
          <w:t>Condition</w:t>
        </w:r>
        <w:r>
          <w:rPr>
            <w:spacing w:val="-3"/>
            <w:sz w:val="20"/>
          </w:rPr>
          <w:t> </w:t>
        </w:r>
        <w:r>
          <w:rPr>
            <w:sz w:val="20"/>
          </w:rPr>
          <w:t>&amp; Repair</w:t>
          <w:tab/>
          <w:t>81</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52">
        <w:r>
          <w:rPr>
            <w:sz w:val="20"/>
          </w:rPr>
          <w:t>Property</w:t>
        </w:r>
        <w:r>
          <w:rPr>
            <w:spacing w:val="-1"/>
            <w:sz w:val="20"/>
          </w:rPr>
          <w:t> </w:t>
        </w:r>
        <w:r>
          <w:rPr>
            <w:sz w:val="20"/>
          </w:rPr>
          <w:t>Photographs</w:t>
          <w:tab/>
          <w:t>82</w:t>
        </w:r>
      </w:hyperlink>
    </w:p>
    <w:p>
      <w:pPr>
        <w:pStyle w:val="ListParagraph"/>
        <w:numPr>
          <w:ilvl w:val="1"/>
          <w:numId w:val="13"/>
        </w:numPr>
        <w:tabs>
          <w:tab w:pos="1557" w:val="left" w:leader="none"/>
          <w:tab w:pos="1558" w:val="left" w:leader="none"/>
          <w:tab w:pos="10489" w:val="right" w:leader="dot"/>
        </w:tabs>
        <w:spacing w:line="240" w:lineRule="auto" w:before="129" w:after="0"/>
        <w:ind w:left="1557" w:right="0" w:hanging="712"/>
        <w:jc w:val="left"/>
        <w:rPr>
          <w:sz w:val="20"/>
        </w:rPr>
      </w:pPr>
      <w:hyperlink w:history="true" w:anchor="_bookmark53">
        <w:r>
          <w:rPr>
            <w:sz w:val="20"/>
          </w:rPr>
          <w:t>Tenancy</w:t>
        </w:r>
        <w:r>
          <w:rPr>
            <w:spacing w:val="-1"/>
            <w:sz w:val="20"/>
          </w:rPr>
          <w:t> </w:t>
        </w:r>
        <w:r>
          <w:rPr>
            <w:sz w:val="20"/>
          </w:rPr>
          <w:t>Analysis</w:t>
          <w:tab/>
          <w:t>83</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54">
        <w:r>
          <w:rPr>
            <w:sz w:val="20"/>
          </w:rPr>
          <w:t>Historical Committed</w:t>
        </w:r>
        <w:r>
          <w:rPr>
            <w:spacing w:val="-7"/>
            <w:sz w:val="20"/>
          </w:rPr>
          <w:t> </w:t>
        </w:r>
        <w:r>
          <w:rPr>
            <w:sz w:val="20"/>
          </w:rPr>
          <w:t>Occupancy</w:t>
        </w:r>
        <w:r>
          <w:rPr>
            <w:spacing w:val="-1"/>
            <w:sz w:val="20"/>
          </w:rPr>
          <w:t> </w:t>
        </w:r>
        <w:r>
          <w:rPr>
            <w:sz w:val="20"/>
          </w:rPr>
          <w:t>Rates</w:t>
          <w:tab/>
          <w:t>83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55">
        <w:r>
          <w:rPr>
            <w:sz w:val="20"/>
          </w:rPr>
          <w:t>Lease</w:t>
        </w:r>
        <w:r>
          <w:rPr>
            <w:spacing w:val="-1"/>
            <w:sz w:val="20"/>
          </w:rPr>
          <w:t> </w:t>
        </w:r>
        <w:r>
          <w:rPr>
            <w:sz w:val="20"/>
          </w:rPr>
          <w:t>Expiry</w:t>
        </w:r>
        <w:r>
          <w:rPr>
            <w:spacing w:val="-2"/>
            <w:sz w:val="20"/>
          </w:rPr>
          <w:t> </w:t>
        </w:r>
        <w:r>
          <w:rPr>
            <w:sz w:val="20"/>
          </w:rPr>
          <w:t>Analysis</w:t>
          <w:tab/>
          <w:t>83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56">
        <w:r>
          <w:rPr>
            <w:sz w:val="20"/>
          </w:rPr>
          <w:t>Escalation</w:t>
        </w:r>
        <w:r>
          <w:rPr>
            <w:spacing w:val="-3"/>
            <w:sz w:val="20"/>
          </w:rPr>
          <w:t> </w:t>
        </w:r>
        <w:r>
          <w:rPr>
            <w:sz w:val="20"/>
          </w:rPr>
          <w:t>Analysis</w:t>
          <w:tab/>
          <w:t>83</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57">
        <w:r>
          <w:rPr>
            <w:sz w:val="20"/>
          </w:rPr>
          <w:t>Assumptions Rationale</w:t>
          <w:tab/>
          <w:t>84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58">
        <w:r>
          <w:rPr>
            <w:sz w:val="20"/>
          </w:rPr>
          <w:t>Demand and</w:t>
        </w:r>
        <w:r>
          <w:rPr>
            <w:spacing w:val="-4"/>
            <w:sz w:val="20"/>
          </w:rPr>
          <w:t> </w:t>
        </w:r>
        <w:r>
          <w:rPr>
            <w:sz w:val="20"/>
          </w:rPr>
          <w:t>Supply Dynamics</w:t>
          <w:tab/>
          <w:t>84</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59">
        <w:r>
          <w:rPr>
            <w:sz w:val="20"/>
          </w:rPr>
          <w:t>Lease</w:t>
        </w:r>
        <w:r>
          <w:rPr>
            <w:spacing w:val="-1"/>
            <w:sz w:val="20"/>
          </w:rPr>
          <w:t> </w:t>
        </w:r>
        <w:r>
          <w:rPr>
            <w:sz w:val="20"/>
          </w:rPr>
          <w:t>Rent</w:t>
        </w:r>
        <w:r>
          <w:rPr>
            <w:spacing w:val="-2"/>
            <w:sz w:val="20"/>
          </w:rPr>
          <w:t> </w:t>
        </w:r>
        <w:r>
          <w:rPr>
            <w:sz w:val="20"/>
          </w:rPr>
          <w:t>Analysis</w:t>
          <w:tab/>
          <w:t>86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60">
        <w:r>
          <w:rPr>
            <w:sz w:val="20"/>
          </w:rPr>
          <w:t>Value</w:t>
        </w:r>
        <w:r>
          <w:rPr>
            <w:spacing w:val="-1"/>
            <w:sz w:val="20"/>
          </w:rPr>
          <w:t> </w:t>
        </w:r>
        <w:r>
          <w:rPr>
            <w:sz w:val="20"/>
          </w:rPr>
          <w:t>Assessment</w:t>
          <w:tab/>
          <w:t>88</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61">
        <w:r>
          <w:rPr>
            <w:sz w:val="20"/>
          </w:rPr>
          <w:t>Adopted</w:t>
        </w:r>
        <w:r>
          <w:rPr>
            <w:spacing w:val="-2"/>
            <w:sz w:val="20"/>
          </w:rPr>
          <w:t> </w:t>
        </w:r>
        <w:r>
          <w:rPr>
            <w:sz w:val="20"/>
          </w:rPr>
          <w:t>Methodology</w:t>
          <w:tab/>
          <w:t>88</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62">
        <w:r>
          <w:rPr>
            <w:sz w:val="20"/>
          </w:rPr>
          <w:t>Area</w:t>
        </w:r>
        <w:r>
          <w:rPr>
            <w:spacing w:val="-3"/>
            <w:sz w:val="20"/>
          </w:rPr>
          <w:t> </w:t>
        </w:r>
        <w:r>
          <w:rPr>
            <w:sz w:val="20"/>
          </w:rPr>
          <w:t>statement</w:t>
          <w:tab/>
          <w:t>88</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63">
        <w:r>
          <w:rPr>
            <w:sz w:val="20"/>
          </w:rPr>
          <w:t>Construction</w:t>
        </w:r>
        <w:r>
          <w:rPr>
            <w:spacing w:val="-3"/>
            <w:sz w:val="20"/>
          </w:rPr>
          <w:t> </w:t>
        </w:r>
        <w:r>
          <w:rPr>
            <w:sz w:val="20"/>
          </w:rPr>
          <w:t>Timelines</w:t>
          <w:tab/>
          <w:t>89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64">
        <w:r>
          <w:rPr>
            <w:sz w:val="20"/>
          </w:rPr>
          <w:t>Absorption/ Leasing Velocity and</w:t>
        </w:r>
        <w:r>
          <w:rPr>
            <w:spacing w:val="-14"/>
            <w:sz w:val="20"/>
          </w:rPr>
          <w:t> </w:t>
        </w:r>
        <w:r>
          <w:rPr>
            <w:sz w:val="20"/>
          </w:rPr>
          <w:t>Occupancy</w:t>
        </w:r>
        <w:r>
          <w:rPr>
            <w:spacing w:val="-2"/>
            <w:sz w:val="20"/>
          </w:rPr>
          <w:t> </w:t>
        </w:r>
        <w:r>
          <w:rPr>
            <w:sz w:val="20"/>
          </w:rPr>
          <w:t>Profile</w:t>
          <w:tab/>
          <w:t>89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65">
        <w:r>
          <w:rPr>
            <w:sz w:val="20"/>
          </w:rPr>
          <w:t>Revenue Assumptions (Office</w:t>
        </w:r>
        <w:r>
          <w:rPr>
            <w:spacing w:val="-7"/>
            <w:sz w:val="20"/>
          </w:rPr>
          <w:t> </w:t>
        </w:r>
        <w:r>
          <w:rPr>
            <w:sz w:val="20"/>
          </w:rPr>
          <w:t>&amp;</w:t>
        </w:r>
        <w:r>
          <w:rPr>
            <w:spacing w:val="-2"/>
            <w:sz w:val="20"/>
          </w:rPr>
          <w:t> </w:t>
        </w:r>
        <w:r>
          <w:rPr>
            <w:sz w:val="20"/>
          </w:rPr>
          <w:t>Retail)</w:t>
          <w:tab/>
          <w:t>90</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66">
        <w:r>
          <w:rPr>
            <w:sz w:val="20"/>
          </w:rPr>
          <w:t>Revenue Assumptions -</w:t>
        </w:r>
        <w:r>
          <w:rPr>
            <w:spacing w:val="-3"/>
            <w:sz w:val="20"/>
          </w:rPr>
          <w:t> </w:t>
        </w:r>
        <w:r>
          <w:rPr>
            <w:sz w:val="20"/>
          </w:rPr>
          <w:t>Hotel</w:t>
          <w:tab/>
          <w:t>93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67">
        <w:r>
          <w:rPr>
            <w:sz w:val="20"/>
          </w:rPr>
          <w:t>Expense</w:t>
        </w:r>
        <w:r>
          <w:rPr>
            <w:spacing w:val="-1"/>
            <w:sz w:val="20"/>
          </w:rPr>
          <w:t> </w:t>
        </w:r>
        <w:r>
          <w:rPr>
            <w:sz w:val="20"/>
          </w:rPr>
          <w:t>Assumptions</w:t>
          <w:tab/>
          <w:t>94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68">
        <w:r>
          <w:rPr>
            <w:sz w:val="20"/>
          </w:rPr>
          <w:t>Other</w:t>
        </w:r>
        <w:r>
          <w:rPr>
            <w:spacing w:val="-2"/>
            <w:sz w:val="20"/>
          </w:rPr>
          <w:t> </w:t>
        </w:r>
        <w:r>
          <w:rPr>
            <w:sz w:val="20"/>
          </w:rPr>
          <w:t>Assumptions</w:t>
          <w:tab/>
          <w:t>97</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69">
        <w:r>
          <w:rPr>
            <w:sz w:val="20"/>
          </w:rPr>
          <w:t>Capitalization</w:t>
        </w:r>
        <w:r>
          <w:rPr>
            <w:spacing w:val="-3"/>
            <w:sz w:val="20"/>
          </w:rPr>
          <w:t> </w:t>
        </w:r>
        <w:r>
          <w:rPr>
            <w:sz w:val="20"/>
          </w:rPr>
          <w:t>Rates</w:t>
          <w:tab/>
          <w:t>97</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70">
        <w:r>
          <w:rPr>
            <w:sz w:val="20"/>
          </w:rPr>
          <w:t>Discount</w:t>
        </w:r>
        <w:r>
          <w:rPr>
            <w:spacing w:val="-2"/>
            <w:sz w:val="20"/>
          </w:rPr>
          <w:t> </w:t>
        </w:r>
        <w:r>
          <w:rPr>
            <w:sz w:val="20"/>
          </w:rPr>
          <w:t>Rate</w:t>
          <w:tab/>
          <w:t>97</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71">
        <w:r>
          <w:rPr>
            <w:sz w:val="20"/>
          </w:rPr>
          <w:t>Value of the</w:t>
        </w:r>
        <w:r>
          <w:rPr>
            <w:spacing w:val="-7"/>
            <w:sz w:val="20"/>
          </w:rPr>
          <w:t> </w:t>
        </w:r>
        <w:r>
          <w:rPr>
            <w:sz w:val="20"/>
          </w:rPr>
          <w:t>Subject</w:t>
        </w:r>
        <w:r>
          <w:rPr>
            <w:spacing w:val="-1"/>
            <w:sz w:val="20"/>
          </w:rPr>
          <w:t> </w:t>
        </w:r>
        <w:r>
          <w:rPr>
            <w:sz w:val="20"/>
          </w:rPr>
          <w:t>Property</w:t>
          <w:tab/>
          <w:t>97</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rFonts w:ascii="Arial"/>
          <w:sz w:val="20"/>
        </w:rPr>
      </w:pPr>
      <w:hyperlink w:history="true" w:anchor="_bookmark72">
        <w:r>
          <w:rPr>
            <w:rFonts w:ascii="Arial"/>
            <w:b/>
            <w:sz w:val="20"/>
          </w:rPr>
          <w:t>Express</w:t>
        </w:r>
        <w:r>
          <w:rPr>
            <w:rFonts w:ascii="Arial"/>
            <w:b/>
            <w:spacing w:val="6"/>
            <w:sz w:val="20"/>
          </w:rPr>
          <w:t> </w:t>
        </w:r>
        <w:r>
          <w:rPr>
            <w:rFonts w:ascii="Arial"/>
            <w:b/>
            <w:sz w:val="20"/>
          </w:rPr>
          <w:t>Towers</w:t>
          <w:tab/>
        </w:r>
        <w:r>
          <w:rPr>
            <w:sz w:val="20"/>
          </w:rPr>
          <w:t>99</w:t>
        </w:r>
      </w:hyperlink>
    </w:p>
    <w:p>
      <w:pPr>
        <w:spacing w:after="0" w:line="240" w:lineRule="auto"/>
        <w:jc w:val="left"/>
        <w:rPr>
          <w:rFonts w:ascii="Arial"/>
          <w:sz w:val="20"/>
        </w:rPr>
        <w:sectPr>
          <w:pgSz w:w="11910" w:h="16840"/>
          <w:pgMar w:header="720" w:footer="842" w:top="1520" w:bottom="1040" w:left="440" w:right="80"/>
        </w:sectPr>
      </w:pPr>
    </w:p>
    <w:p>
      <w:pPr>
        <w:pStyle w:val="ListParagraph"/>
        <w:numPr>
          <w:ilvl w:val="1"/>
          <w:numId w:val="13"/>
        </w:numPr>
        <w:tabs>
          <w:tab w:pos="1557" w:val="left" w:leader="none"/>
          <w:tab w:pos="1558" w:val="left" w:leader="none"/>
          <w:tab w:pos="10489" w:val="right" w:leader="dot"/>
        </w:tabs>
        <w:spacing w:line="240" w:lineRule="auto" w:before="208" w:after="0"/>
        <w:ind w:left="1557" w:right="0" w:hanging="712"/>
        <w:jc w:val="left"/>
        <w:rPr>
          <w:sz w:val="20"/>
        </w:rPr>
      </w:pPr>
      <w:hyperlink w:history="true" w:anchor="_bookmark73">
        <w:r>
          <w:rPr>
            <w:sz w:val="20"/>
          </w:rPr>
          <w:t>Property</w:t>
        </w:r>
        <w:r>
          <w:rPr>
            <w:spacing w:val="-1"/>
            <w:sz w:val="20"/>
          </w:rPr>
          <w:t> </w:t>
        </w:r>
        <w:r>
          <w:rPr>
            <w:sz w:val="20"/>
          </w:rPr>
          <w:t>Description</w:t>
          <w:tab/>
          <w:t>99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74">
        <w:r>
          <w:rPr>
            <w:sz w:val="20"/>
          </w:rPr>
          <w:t>Site</w:t>
        </w:r>
        <w:r>
          <w:rPr>
            <w:spacing w:val="-1"/>
            <w:sz w:val="20"/>
          </w:rPr>
          <w:t> </w:t>
        </w:r>
        <w:r>
          <w:rPr>
            <w:sz w:val="20"/>
          </w:rPr>
          <w:t>Details</w:t>
          <w:tab/>
          <w:t>99</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75">
        <w:r>
          <w:rPr>
            <w:sz w:val="20"/>
          </w:rPr>
          <w:t>Legal</w:t>
        </w:r>
        <w:r>
          <w:rPr>
            <w:spacing w:val="-2"/>
            <w:sz w:val="20"/>
          </w:rPr>
          <w:t> </w:t>
        </w:r>
        <w:r>
          <w:rPr>
            <w:sz w:val="20"/>
          </w:rPr>
          <w:t>Details</w:t>
          <w:tab/>
          <w:t>102</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76">
        <w:r>
          <w:rPr>
            <w:sz w:val="20"/>
          </w:rPr>
          <w:t>Town</w:t>
        </w:r>
        <w:r>
          <w:rPr>
            <w:spacing w:val="-2"/>
            <w:sz w:val="20"/>
          </w:rPr>
          <w:t> </w:t>
        </w:r>
        <w:r>
          <w:rPr>
            <w:sz w:val="20"/>
          </w:rPr>
          <w:t>Planning</w:t>
          <w:tab/>
          <w:t>102</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77">
        <w:r>
          <w:rPr>
            <w:sz w:val="20"/>
          </w:rPr>
          <w:t>Statutory Approvals, One time Sanctions &amp;</w:t>
        </w:r>
        <w:r>
          <w:rPr>
            <w:spacing w:val="-18"/>
            <w:sz w:val="20"/>
          </w:rPr>
          <w:t> </w:t>
        </w:r>
        <w:r>
          <w:rPr>
            <w:sz w:val="20"/>
          </w:rPr>
          <w:t>Periodic</w:t>
        </w:r>
        <w:r>
          <w:rPr>
            <w:spacing w:val="-6"/>
            <w:sz w:val="20"/>
          </w:rPr>
          <w:t> </w:t>
        </w:r>
        <w:r>
          <w:rPr>
            <w:sz w:val="20"/>
          </w:rPr>
          <w:t>Clearances</w:t>
          <w:tab/>
          <w:t>103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78">
        <w:r>
          <w:rPr>
            <w:sz w:val="20"/>
          </w:rPr>
          <w:t>Area Details, Type and Age of</w:t>
        </w:r>
        <w:r>
          <w:rPr>
            <w:spacing w:val="-19"/>
            <w:sz w:val="20"/>
          </w:rPr>
          <w:t> </w:t>
        </w:r>
        <w:r>
          <w:rPr>
            <w:sz w:val="20"/>
          </w:rPr>
          <w:t>Existing</w:t>
        </w:r>
        <w:r>
          <w:rPr>
            <w:spacing w:val="-5"/>
            <w:sz w:val="20"/>
          </w:rPr>
          <w:t> </w:t>
        </w:r>
        <w:r>
          <w:rPr>
            <w:sz w:val="20"/>
          </w:rPr>
          <w:t>Structures</w:t>
          <w:tab/>
          <w:t>104</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79">
        <w:r>
          <w:rPr>
            <w:sz w:val="20"/>
          </w:rPr>
          <w:t>Site Services</w:t>
        </w:r>
        <w:r>
          <w:rPr>
            <w:spacing w:val="-2"/>
            <w:sz w:val="20"/>
          </w:rPr>
          <w:t> </w:t>
        </w:r>
        <w:r>
          <w:rPr>
            <w:sz w:val="20"/>
          </w:rPr>
          <w:t>and</w:t>
        </w:r>
        <w:r>
          <w:rPr>
            <w:spacing w:val="-2"/>
            <w:sz w:val="20"/>
          </w:rPr>
          <w:t> </w:t>
        </w:r>
        <w:r>
          <w:rPr>
            <w:sz w:val="20"/>
          </w:rPr>
          <w:t>Finishes</w:t>
          <w:tab/>
          <w:t>104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80">
        <w:r>
          <w:rPr>
            <w:sz w:val="20"/>
          </w:rPr>
          <w:t>Condition</w:t>
        </w:r>
        <w:r>
          <w:rPr>
            <w:spacing w:val="-3"/>
            <w:sz w:val="20"/>
          </w:rPr>
          <w:t> </w:t>
        </w:r>
        <w:r>
          <w:rPr>
            <w:sz w:val="20"/>
          </w:rPr>
          <w:t>&amp; Repair</w:t>
          <w:tab/>
          <w:t>104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81">
        <w:r>
          <w:rPr>
            <w:sz w:val="20"/>
          </w:rPr>
          <w:t>Property</w:t>
        </w:r>
        <w:r>
          <w:rPr>
            <w:spacing w:val="-1"/>
            <w:sz w:val="20"/>
          </w:rPr>
          <w:t> </w:t>
        </w:r>
        <w:r>
          <w:rPr>
            <w:sz w:val="20"/>
          </w:rPr>
          <w:t>Photographs</w:t>
          <w:tab/>
          <w:t>105</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82">
        <w:r>
          <w:rPr>
            <w:sz w:val="20"/>
          </w:rPr>
          <w:t>Tenancy</w:t>
        </w:r>
        <w:r>
          <w:rPr>
            <w:spacing w:val="-1"/>
            <w:sz w:val="20"/>
          </w:rPr>
          <w:t> </w:t>
        </w:r>
        <w:r>
          <w:rPr>
            <w:sz w:val="20"/>
          </w:rPr>
          <w:t>Analysis</w:t>
          <w:tab/>
          <w:t>106</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83">
        <w:r>
          <w:rPr>
            <w:sz w:val="20"/>
          </w:rPr>
          <w:t>Historical Committed</w:t>
        </w:r>
        <w:r>
          <w:rPr>
            <w:spacing w:val="-5"/>
            <w:sz w:val="20"/>
          </w:rPr>
          <w:t> </w:t>
        </w:r>
        <w:r>
          <w:rPr>
            <w:sz w:val="20"/>
          </w:rPr>
          <w:t>Occupancy</w:t>
        </w:r>
        <w:r>
          <w:rPr>
            <w:spacing w:val="-1"/>
            <w:sz w:val="20"/>
          </w:rPr>
          <w:t> </w:t>
        </w:r>
        <w:r>
          <w:rPr>
            <w:sz w:val="20"/>
          </w:rPr>
          <w:t>Rates</w:t>
          <w:tab/>
          <w:t>106</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84">
        <w:r>
          <w:rPr>
            <w:sz w:val="20"/>
          </w:rPr>
          <w:t>Lease</w:t>
        </w:r>
        <w:r>
          <w:rPr>
            <w:spacing w:val="-1"/>
            <w:sz w:val="20"/>
          </w:rPr>
          <w:t> </w:t>
        </w:r>
        <w:r>
          <w:rPr>
            <w:sz w:val="20"/>
          </w:rPr>
          <w:t>Expiry</w:t>
        </w:r>
        <w:r>
          <w:rPr>
            <w:spacing w:val="-1"/>
            <w:sz w:val="20"/>
          </w:rPr>
          <w:t> </w:t>
        </w:r>
        <w:r>
          <w:rPr>
            <w:sz w:val="20"/>
          </w:rPr>
          <w:t>Analysis</w:t>
          <w:tab/>
          <w:t>106</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85">
        <w:r>
          <w:rPr>
            <w:sz w:val="20"/>
          </w:rPr>
          <w:t>Escalation</w:t>
        </w:r>
        <w:r>
          <w:rPr>
            <w:spacing w:val="-3"/>
            <w:sz w:val="20"/>
          </w:rPr>
          <w:t> </w:t>
        </w:r>
        <w:r>
          <w:rPr>
            <w:sz w:val="20"/>
          </w:rPr>
          <w:t>Analysis</w:t>
          <w:tab/>
          <w:t>106</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86">
        <w:r>
          <w:rPr>
            <w:sz w:val="20"/>
          </w:rPr>
          <w:t>Assumptions Rationale</w:t>
          <w:tab/>
          <w:t>106</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87">
        <w:r>
          <w:rPr>
            <w:sz w:val="20"/>
          </w:rPr>
          <w:t>Demand-Supply Dynamics</w:t>
          <w:tab/>
          <w:t>107</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88">
        <w:r>
          <w:rPr>
            <w:sz w:val="20"/>
          </w:rPr>
          <w:t>Lease</w:t>
        </w:r>
        <w:r>
          <w:rPr>
            <w:spacing w:val="-1"/>
            <w:sz w:val="20"/>
          </w:rPr>
          <w:t> </w:t>
        </w:r>
        <w:r>
          <w:rPr>
            <w:sz w:val="20"/>
          </w:rPr>
          <w:t>Rent</w:t>
        </w:r>
        <w:r>
          <w:rPr>
            <w:spacing w:val="-1"/>
            <w:sz w:val="20"/>
          </w:rPr>
          <w:t> </w:t>
        </w:r>
        <w:r>
          <w:rPr>
            <w:sz w:val="20"/>
          </w:rPr>
          <w:t>Analysis</w:t>
          <w:tab/>
          <w:t>109</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89">
        <w:r>
          <w:rPr>
            <w:sz w:val="20"/>
          </w:rPr>
          <w:t>Value</w:t>
        </w:r>
        <w:r>
          <w:rPr>
            <w:spacing w:val="-1"/>
            <w:sz w:val="20"/>
          </w:rPr>
          <w:t> </w:t>
        </w:r>
        <w:r>
          <w:rPr>
            <w:sz w:val="20"/>
          </w:rPr>
          <w:t>Assessment</w:t>
          <w:tab/>
          <w:t>111</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90">
        <w:r>
          <w:rPr>
            <w:sz w:val="20"/>
          </w:rPr>
          <w:t>Adopted</w:t>
        </w:r>
        <w:r>
          <w:rPr>
            <w:spacing w:val="-2"/>
            <w:sz w:val="20"/>
          </w:rPr>
          <w:t> </w:t>
        </w:r>
        <w:r>
          <w:rPr>
            <w:sz w:val="20"/>
          </w:rPr>
          <w:t>Methodology</w:t>
          <w:tab/>
          <w:t>111</w:t>
        </w:r>
      </w:hyperlink>
    </w:p>
    <w:p>
      <w:pPr>
        <w:pStyle w:val="ListParagraph"/>
        <w:numPr>
          <w:ilvl w:val="2"/>
          <w:numId w:val="13"/>
        </w:numPr>
        <w:tabs>
          <w:tab w:pos="2265" w:val="left" w:leader="none"/>
          <w:tab w:pos="2266" w:val="left" w:leader="none"/>
          <w:tab w:pos="10489" w:val="right" w:leader="dot"/>
        </w:tabs>
        <w:spacing w:line="240" w:lineRule="auto" w:before="129" w:after="0"/>
        <w:ind w:left="2265" w:right="0" w:hanging="709"/>
        <w:jc w:val="left"/>
        <w:rPr>
          <w:sz w:val="20"/>
        </w:rPr>
      </w:pPr>
      <w:hyperlink w:history="true" w:anchor="_bookmark91">
        <w:r>
          <w:rPr>
            <w:sz w:val="20"/>
          </w:rPr>
          <w:t>Area</w:t>
        </w:r>
        <w:r>
          <w:rPr>
            <w:spacing w:val="-3"/>
            <w:sz w:val="20"/>
          </w:rPr>
          <w:t> </w:t>
        </w:r>
        <w:r>
          <w:rPr>
            <w:sz w:val="20"/>
          </w:rPr>
          <w:t>statement</w:t>
          <w:tab/>
          <w:t>111</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92">
        <w:r>
          <w:rPr>
            <w:sz w:val="20"/>
          </w:rPr>
          <w:t>Construction</w:t>
        </w:r>
        <w:r>
          <w:rPr>
            <w:spacing w:val="-3"/>
            <w:sz w:val="20"/>
          </w:rPr>
          <w:t> </w:t>
        </w:r>
        <w:r>
          <w:rPr>
            <w:sz w:val="20"/>
          </w:rPr>
          <w:t>Timelines</w:t>
          <w:tab/>
          <w:t>111</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93">
        <w:r>
          <w:rPr>
            <w:sz w:val="20"/>
          </w:rPr>
          <w:t>Absorption/ Leasing Velocity and</w:t>
        </w:r>
        <w:r>
          <w:rPr>
            <w:spacing w:val="-13"/>
            <w:sz w:val="20"/>
          </w:rPr>
          <w:t> </w:t>
        </w:r>
        <w:r>
          <w:rPr>
            <w:sz w:val="20"/>
          </w:rPr>
          <w:t>Occupancy</w:t>
        </w:r>
        <w:r>
          <w:rPr>
            <w:spacing w:val="-2"/>
            <w:sz w:val="20"/>
          </w:rPr>
          <w:t> </w:t>
        </w:r>
        <w:r>
          <w:rPr>
            <w:sz w:val="20"/>
          </w:rPr>
          <w:t>Profile</w:t>
          <w:tab/>
          <w:t>112</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94">
        <w:r>
          <w:rPr>
            <w:sz w:val="20"/>
          </w:rPr>
          <w:t>Revenue</w:t>
        </w:r>
        <w:r>
          <w:rPr>
            <w:spacing w:val="-1"/>
            <w:sz w:val="20"/>
          </w:rPr>
          <w:t> </w:t>
        </w:r>
        <w:r>
          <w:rPr>
            <w:sz w:val="20"/>
          </w:rPr>
          <w:t>Assumptions</w:t>
        </w:r>
        <w:r>
          <w:rPr>
            <w:spacing w:val="-2"/>
            <w:sz w:val="20"/>
          </w:rPr>
          <w:t> </w:t>
        </w:r>
        <w:r>
          <w:rPr>
            <w:sz w:val="20"/>
          </w:rPr>
          <w:t>(Office)</w:t>
          <w:tab/>
          <w:t>112</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95">
        <w:r>
          <w:rPr>
            <w:sz w:val="20"/>
          </w:rPr>
          <w:t>Expense</w:t>
        </w:r>
        <w:r>
          <w:rPr>
            <w:spacing w:val="-1"/>
            <w:sz w:val="20"/>
          </w:rPr>
          <w:t> </w:t>
        </w:r>
        <w:r>
          <w:rPr>
            <w:sz w:val="20"/>
          </w:rPr>
          <w:t>Assumptions</w:t>
          <w:tab/>
          <w:t>114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96">
        <w:r>
          <w:rPr>
            <w:sz w:val="20"/>
          </w:rPr>
          <w:t>Other</w:t>
        </w:r>
        <w:r>
          <w:rPr>
            <w:spacing w:val="-1"/>
            <w:sz w:val="20"/>
          </w:rPr>
          <w:t> </w:t>
        </w:r>
        <w:r>
          <w:rPr>
            <w:sz w:val="20"/>
          </w:rPr>
          <w:t>Assumptions</w:t>
          <w:tab/>
          <w:t>114</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97">
        <w:r>
          <w:rPr>
            <w:sz w:val="20"/>
          </w:rPr>
          <w:t>Capitalization</w:t>
        </w:r>
        <w:r>
          <w:rPr>
            <w:spacing w:val="-3"/>
            <w:sz w:val="20"/>
          </w:rPr>
          <w:t> </w:t>
        </w:r>
        <w:r>
          <w:rPr>
            <w:sz w:val="20"/>
          </w:rPr>
          <w:t>Rates</w:t>
          <w:tab/>
          <w:t>115</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98">
        <w:r>
          <w:rPr>
            <w:sz w:val="20"/>
          </w:rPr>
          <w:t>Discount</w:t>
        </w:r>
        <w:r>
          <w:rPr>
            <w:spacing w:val="-2"/>
            <w:sz w:val="20"/>
          </w:rPr>
          <w:t> </w:t>
        </w:r>
        <w:r>
          <w:rPr>
            <w:sz w:val="20"/>
          </w:rPr>
          <w:t>Rate</w:t>
          <w:tab/>
          <w:t>115</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99">
        <w:r>
          <w:rPr>
            <w:sz w:val="20"/>
          </w:rPr>
          <w:t>Value of the</w:t>
        </w:r>
        <w:r>
          <w:rPr>
            <w:spacing w:val="-7"/>
            <w:sz w:val="20"/>
          </w:rPr>
          <w:t> </w:t>
        </w:r>
        <w:r>
          <w:rPr>
            <w:sz w:val="20"/>
          </w:rPr>
          <w:t>Subject</w:t>
        </w:r>
        <w:r>
          <w:rPr>
            <w:spacing w:val="-1"/>
            <w:sz w:val="20"/>
          </w:rPr>
          <w:t> </w:t>
        </w:r>
        <w:r>
          <w:rPr>
            <w:sz w:val="20"/>
          </w:rPr>
          <w:t>Property</w:t>
          <w:tab/>
          <w:t>115</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100">
        <w:r>
          <w:rPr>
            <w:w w:val="110"/>
            <w:sz w:val="20"/>
          </w:rPr>
          <w:t>Embassy</w:t>
        </w:r>
        <w:r>
          <w:rPr>
            <w:spacing w:val="-7"/>
            <w:w w:val="110"/>
            <w:sz w:val="20"/>
          </w:rPr>
          <w:t> </w:t>
        </w:r>
        <w:r>
          <w:rPr>
            <w:w w:val="110"/>
            <w:sz w:val="20"/>
          </w:rPr>
          <w:t>247</w:t>
          <w:tab/>
          <w:t>116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01">
        <w:r>
          <w:rPr>
            <w:sz w:val="20"/>
          </w:rPr>
          <w:t>Property</w:t>
        </w:r>
        <w:r>
          <w:rPr>
            <w:spacing w:val="-1"/>
            <w:sz w:val="20"/>
          </w:rPr>
          <w:t> </w:t>
        </w:r>
        <w:r>
          <w:rPr>
            <w:sz w:val="20"/>
          </w:rPr>
          <w:t>Description</w:t>
          <w:tab/>
          <w:t>116</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02">
        <w:r>
          <w:rPr>
            <w:sz w:val="20"/>
          </w:rPr>
          <w:t>Site</w:t>
        </w:r>
        <w:r>
          <w:rPr>
            <w:spacing w:val="-1"/>
            <w:sz w:val="20"/>
          </w:rPr>
          <w:t> </w:t>
        </w:r>
        <w:r>
          <w:rPr>
            <w:sz w:val="20"/>
          </w:rPr>
          <w:t>Details</w:t>
          <w:tab/>
          <w:t>116</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03">
        <w:r>
          <w:rPr>
            <w:sz w:val="20"/>
          </w:rPr>
          <w:t>Legal</w:t>
        </w:r>
        <w:r>
          <w:rPr>
            <w:spacing w:val="-2"/>
            <w:sz w:val="20"/>
          </w:rPr>
          <w:t> </w:t>
        </w:r>
        <w:r>
          <w:rPr>
            <w:sz w:val="20"/>
          </w:rPr>
          <w:t>Details</w:t>
          <w:tab/>
          <w:t>119</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04">
        <w:r>
          <w:rPr>
            <w:sz w:val="20"/>
          </w:rPr>
          <w:t>Town</w:t>
        </w:r>
        <w:r>
          <w:rPr>
            <w:spacing w:val="-1"/>
            <w:sz w:val="20"/>
          </w:rPr>
          <w:t> </w:t>
        </w:r>
        <w:r>
          <w:rPr>
            <w:sz w:val="20"/>
          </w:rPr>
          <w:t>Planning</w:t>
          <w:tab/>
          <w:t>119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05">
        <w:r>
          <w:rPr>
            <w:sz w:val="20"/>
          </w:rPr>
          <w:t>Statutory Approvals, One time Sanctions &amp;</w:t>
        </w:r>
        <w:r>
          <w:rPr>
            <w:spacing w:val="-21"/>
            <w:sz w:val="20"/>
          </w:rPr>
          <w:t> </w:t>
        </w:r>
        <w:r>
          <w:rPr>
            <w:sz w:val="20"/>
          </w:rPr>
          <w:t>Periodic</w:t>
        </w:r>
        <w:r>
          <w:rPr>
            <w:spacing w:val="-5"/>
            <w:sz w:val="20"/>
          </w:rPr>
          <w:t> </w:t>
        </w:r>
        <w:r>
          <w:rPr>
            <w:sz w:val="20"/>
          </w:rPr>
          <w:t>Clearances</w:t>
          <w:tab/>
          <w:t>120</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06">
        <w:r>
          <w:rPr>
            <w:sz w:val="20"/>
          </w:rPr>
          <w:t>Area Details, Type and Age of</w:t>
        </w:r>
        <w:r>
          <w:rPr>
            <w:spacing w:val="-19"/>
            <w:sz w:val="20"/>
          </w:rPr>
          <w:t> </w:t>
        </w:r>
        <w:r>
          <w:rPr>
            <w:sz w:val="20"/>
          </w:rPr>
          <w:t>Existing</w:t>
        </w:r>
        <w:r>
          <w:rPr>
            <w:spacing w:val="-4"/>
            <w:sz w:val="20"/>
          </w:rPr>
          <w:t> </w:t>
        </w:r>
        <w:r>
          <w:rPr>
            <w:sz w:val="20"/>
          </w:rPr>
          <w:t>Structures</w:t>
          <w:tab/>
          <w:t>121</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07">
        <w:r>
          <w:rPr>
            <w:sz w:val="20"/>
          </w:rPr>
          <w:t>Construction, Services</w:t>
        </w:r>
        <w:r>
          <w:rPr>
            <w:spacing w:val="-4"/>
            <w:sz w:val="20"/>
          </w:rPr>
          <w:t> </w:t>
        </w:r>
        <w:r>
          <w:rPr>
            <w:sz w:val="20"/>
          </w:rPr>
          <w:t>and</w:t>
        </w:r>
        <w:r>
          <w:rPr>
            <w:spacing w:val="-3"/>
            <w:sz w:val="20"/>
          </w:rPr>
          <w:t> </w:t>
        </w:r>
        <w:r>
          <w:rPr>
            <w:sz w:val="20"/>
          </w:rPr>
          <w:t>Finishes</w:t>
          <w:tab/>
          <w:t>122</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08">
        <w:r>
          <w:rPr>
            <w:sz w:val="20"/>
          </w:rPr>
          <w:t>Condition</w:t>
        </w:r>
        <w:r>
          <w:rPr>
            <w:spacing w:val="-3"/>
            <w:sz w:val="20"/>
          </w:rPr>
          <w:t> </w:t>
        </w:r>
        <w:r>
          <w:rPr>
            <w:sz w:val="20"/>
          </w:rPr>
          <w:t>&amp; Repair</w:t>
          <w:tab/>
          <w:t>122</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09">
        <w:r>
          <w:rPr>
            <w:sz w:val="20"/>
          </w:rPr>
          <w:t>Property</w:t>
        </w:r>
        <w:r>
          <w:rPr>
            <w:spacing w:val="-1"/>
            <w:sz w:val="20"/>
          </w:rPr>
          <w:t> </w:t>
        </w:r>
        <w:r>
          <w:rPr>
            <w:sz w:val="20"/>
          </w:rPr>
          <w:t>Photographs</w:t>
          <w:tab/>
          <w:t>123</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10">
        <w:r>
          <w:rPr>
            <w:sz w:val="20"/>
          </w:rPr>
          <w:t>Tenancy</w:t>
        </w:r>
        <w:r>
          <w:rPr>
            <w:spacing w:val="-1"/>
            <w:sz w:val="20"/>
          </w:rPr>
          <w:t> </w:t>
        </w:r>
        <w:r>
          <w:rPr>
            <w:sz w:val="20"/>
          </w:rPr>
          <w:t>Analysis</w:t>
          <w:tab/>
          <w:t>124</w:t>
        </w:r>
      </w:hyperlink>
    </w:p>
    <w:p>
      <w:pPr>
        <w:spacing w:after="0" w:line="240" w:lineRule="auto"/>
        <w:jc w:val="left"/>
        <w:rPr>
          <w:sz w:val="20"/>
        </w:rPr>
        <w:sectPr>
          <w:pgSz w:w="11910" w:h="16840"/>
          <w:pgMar w:header="720" w:footer="842" w:top="1520" w:bottom="1040" w:left="440" w:right="80"/>
        </w:sectPr>
      </w:pPr>
    </w:p>
    <w:p>
      <w:pPr>
        <w:pStyle w:val="ListParagraph"/>
        <w:numPr>
          <w:ilvl w:val="2"/>
          <w:numId w:val="13"/>
        </w:numPr>
        <w:tabs>
          <w:tab w:pos="2265" w:val="left" w:leader="none"/>
          <w:tab w:pos="2266" w:val="left" w:leader="none"/>
          <w:tab w:pos="10489" w:val="right" w:leader="dot"/>
        </w:tabs>
        <w:spacing w:line="240" w:lineRule="auto" w:before="208" w:after="0"/>
        <w:ind w:left="2265" w:right="0" w:hanging="709"/>
        <w:jc w:val="left"/>
        <w:rPr>
          <w:sz w:val="20"/>
        </w:rPr>
      </w:pPr>
      <w:hyperlink w:history="true" w:anchor="_bookmark111">
        <w:r>
          <w:rPr>
            <w:sz w:val="20"/>
          </w:rPr>
          <w:t>Historical Committed</w:t>
        </w:r>
        <w:r>
          <w:rPr>
            <w:spacing w:val="-6"/>
            <w:sz w:val="20"/>
          </w:rPr>
          <w:t> </w:t>
        </w:r>
        <w:r>
          <w:rPr>
            <w:sz w:val="20"/>
          </w:rPr>
          <w:t>Occupancy</w:t>
        </w:r>
        <w:r>
          <w:rPr>
            <w:spacing w:val="-1"/>
            <w:sz w:val="20"/>
          </w:rPr>
          <w:t> </w:t>
        </w:r>
        <w:r>
          <w:rPr>
            <w:sz w:val="20"/>
          </w:rPr>
          <w:t>Rates</w:t>
          <w:tab/>
          <w:t>124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12">
        <w:r>
          <w:rPr>
            <w:sz w:val="20"/>
          </w:rPr>
          <w:t>Lease</w:t>
        </w:r>
        <w:r>
          <w:rPr>
            <w:spacing w:val="-1"/>
            <w:sz w:val="20"/>
          </w:rPr>
          <w:t> </w:t>
        </w:r>
        <w:r>
          <w:rPr>
            <w:sz w:val="20"/>
          </w:rPr>
          <w:t>Expiry</w:t>
        </w:r>
        <w:r>
          <w:rPr>
            <w:spacing w:val="-1"/>
            <w:sz w:val="20"/>
          </w:rPr>
          <w:t> </w:t>
        </w:r>
        <w:r>
          <w:rPr>
            <w:sz w:val="20"/>
          </w:rPr>
          <w:t>Analysis</w:t>
          <w:tab/>
          <w:t>124</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13">
        <w:r>
          <w:rPr>
            <w:sz w:val="20"/>
          </w:rPr>
          <w:t>Escalation</w:t>
        </w:r>
        <w:r>
          <w:rPr>
            <w:spacing w:val="-3"/>
            <w:sz w:val="20"/>
          </w:rPr>
          <w:t> </w:t>
        </w:r>
        <w:r>
          <w:rPr>
            <w:sz w:val="20"/>
          </w:rPr>
          <w:t>Analysis</w:t>
          <w:tab/>
          <w:t>124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14">
        <w:r>
          <w:rPr>
            <w:sz w:val="20"/>
          </w:rPr>
          <w:t>Assumptions Rationale</w:t>
          <w:tab/>
          <w:t>124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15">
        <w:r>
          <w:rPr>
            <w:sz w:val="20"/>
          </w:rPr>
          <w:t>Demand-Supply Dynamics</w:t>
          <w:tab/>
          <w:t>125</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16">
        <w:r>
          <w:rPr>
            <w:sz w:val="20"/>
          </w:rPr>
          <w:t>Lease</w:t>
        </w:r>
        <w:r>
          <w:rPr>
            <w:spacing w:val="-1"/>
            <w:sz w:val="20"/>
          </w:rPr>
          <w:t> </w:t>
        </w:r>
        <w:r>
          <w:rPr>
            <w:sz w:val="20"/>
          </w:rPr>
          <w:t>Rental</w:t>
        </w:r>
        <w:r>
          <w:rPr>
            <w:spacing w:val="-2"/>
            <w:sz w:val="20"/>
          </w:rPr>
          <w:t> </w:t>
        </w:r>
        <w:r>
          <w:rPr>
            <w:sz w:val="20"/>
          </w:rPr>
          <w:t>Analysis</w:t>
          <w:tab/>
          <w:t>127</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117">
        <w:r>
          <w:rPr>
            <w:sz w:val="20"/>
          </w:rPr>
          <w:t>Value</w:t>
        </w:r>
        <w:r>
          <w:rPr>
            <w:spacing w:val="-1"/>
            <w:sz w:val="20"/>
          </w:rPr>
          <w:t> </w:t>
        </w:r>
        <w:r>
          <w:rPr>
            <w:sz w:val="20"/>
          </w:rPr>
          <w:t>Assessment</w:t>
          <w:tab/>
          <w:t>129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18">
        <w:r>
          <w:rPr>
            <w:sz w:val="20"/>
          </w:rPr>
          <w:t>Adopted</w:t>
        </w:r>
        <w:r>
          <w:rPr>
            <w:spacing w:val="-2"/>
            <w:sz w:val="20"/>
          </w:rPr>
          <w:t> </w:t>
        </w:r>
        <w:r>
          <w:rPr>
            <w:sz w:val="20"/>
          </w:rPr>
          <w:t>Methodology</w:t>
          <w:tab/>
          <w:t>129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19">
        <w:r>
          <w:rPr>
            <w:sz w:val="20"/>
          </w:rPr>
          <w:t>Area</w:t>
        </w:r>
        <w:r>
          <w:rPr>
            <w:spacing w:val="-3"/>
            <w:sz w:val="20"/>
          </w:rPr>
          <w:t> </w:t>
        </w:r>
        <w:r>
          <w:rPr>
            <w:sz w:val="20"/>
          </w:rPr>
          <w:t>statement</w:t>
          <w:tab/>
          <w:t>129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20">
        <w:r>
          <w:rPr>
            <w:sz w:val="20"/>
          </w:rPr>
          <w:t>Construction</w:t>
        </w:r>
        <w:r>
          <w:rPr>
            <w:spacing w:val="-3"/>
            <w:sz w:val="20"/>
          </w:rPr>
          <w:t> </w:t>
        </w:r>
        <w:r>
          <w:rPr>
            <w:sz w:val="20"/>
          </w:rPr>
          <w:t>Timelines</w:t>
          <w:tab/>
          <w:t>129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21">
        <w:r>
          <w:rPr>
            <w:sz w:val="20"/>
          </w:rPr>
          <w:t>Absorption/ Leasing Velocity and</w:t>
        </w:r>
        <w:r>
          <w:rPr>
            <w:spacing w:val="-13"/>
            <w:sz w:val="20"/>
          </w:rPr>
          <w:t> </w:t>
        </w:r>
        <w:r>
          <w:rPr>
            <w:sz w:val="20"/>
          </w:rPr>
          <w:t>Occupancy</w:t>
        </w:r>
        <w:r>
          <w:rPr>
            <w:spacing w:val="-2"/>
            <w:sz w:val="20"/>
          </w:rPr>
          <w:t> </w:t>
        </w:r>
        <w:r>
          <w:rPr>
            <w:sz w:val="20"/>
          </w:rPr>
          <w:t>Profile</w:t>
          <w:tab/>
          <w:t>130</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22">
        <w:r>
          <w:rPr>
            <w:sz w:val="20"/>
          </w:rPr>
          <w:t>Revenue</w:t>
        </w:r>
        <w:r>
          <w:rPr>
            <w:spacing w:val="-1"/>
            <w:sz w:val="20"/>
          </w:rPr>
          <w:t> </w:t>
        </w:r>
        <w:r>
          <w:rPr>
            <w:sz w:val="20"/>
          </w:rPr>
          <w:t>Assumptions</w:t>
        </w:r>
        <w:r>
          <w:rPr>
            <w:spacing w:val="-2"/>
            <w:sz w:val="20"/>
          </w:rPr>
          <w:t> </w:t>
        </w:r>
        <w:r>
          <w:rPr>
            <w:sz w:val="20"/>
          </w:rPr>
          <w:t>(Office)</w:t>
          <w:tab/>
          <w:t>130</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23">
        <w:r>
          <w:rPr>
            <w:sz w:val="20"/>
          </w:rPr>
          <w:t>Expense</w:t>
        </w:r>
        <w:r>
          <w:rPr>
            <w:spacing w:val="-1"/>
            <w:sz w:val="20"/>
          </w:rPr>
          <w:t> </w:t>
        </w:r>
        <w:r>
          <w:rPr>
            <w:sz w:val="20"/>
          </w:rPr>
          <w:t>Assumptions</w:t>
          <w:tab/>
          <w:t>132</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24">
        <w:r>
          <w:rPr>
            <w:sz w:val="20"/>
          </w:rPr>
          <w:t>Other</w:t>
        </w:r>
        <w:r>
          <w:rPr>
            <w:spacing w:val="-1"/>
            <w:sz w:val="20"/>
          </w:rPr>
          <w:t> </w:t>
        </w:r>
        <w:r>
          <w:rPr>
            <w:sz w:val="20"/>
          </w:rPr>
          <w:t>Assumptions</w:t>
          <w:tab/>
          <w:t>132</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25">
        <w:r>
          <w:rPr>
            <w:sz w:val="20"/>
          </w:rPr>
          <w:t>Capitalization</w:t>
        </w:r>
        <w:r>
          <w:rPr>
            <w:spacing w:val="-3"/>
            <w:sz w:val="20"/>
          </w:rPr>
          <w:t> </w:t>
        </w:r>
        <w:r>
          <w:rPr>
            <w:sz w:val="20"/>
          </w:rPr>
          <w:t>Rates</w:t>
          <w:tab/>
          <w:t>133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26">
        <w:r>
          <w:rPr>
            <w:sz w:val="20"/>
          </w:rPr>
          <w:t>Discount</w:t>
        </w:r>
        <w:r>
          <w:rPr>
            <w:spacing w:val="-2"/>
            <w:sz w:val="20"/>
          </w:rPr>
          <w:t> </w:t>
        </w:r>
        <w:r>
          <w:rPr>
            <w:sz w:val="20"/>
          </w:rPr>
          <w:t>Rate</w:t>
          <w:tab/>
          <w:t>133</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27">
        <w:r>
          <w:rPr>
            <w:sz w:val="20"/>
          </w:rPr>
          <w:t>Value of the</w:t>
        </w:r>
        <w:r>
          <w:rPr>
            <w:spacing w:val="-7"/>
            <w:sz w:val="20"/>
          </w:rPr>
          <w:t> </w:t>
        </w:r>
        <w:r>
          <w:rPr>
            <w:sz w:val="20"/>
          </w:rPr>
          <w:t>Subject</w:t>
        </w:r>
        <w:r>
          <w:rPr>
            <w:spacing w:val="-1"/>
            <w:sz w:val="20"/>
          </w:rPr>
          <w:t> </w:t>
        </w:r>
        <w:r>
          <w:rPr>
            <w:sz w:val="20"/>
          </w:rPr>
          <w:t>Property</w:t>
          <w:tab/>
          <w:t>133</w:t>
        </w:r>
      </w:hyperlink>
    </w:p>
    <w:p>
      <w:pPr>
        <w:pStyle w:val="ListParagraph"/>
        <w:numPr>
          <w:ilvl w:val="0"/>
          <w:numId w:val="13"/>
        </w:numPr>
        <w:tabs>
          <w:tab w:pos="846" w:val="left" w:leader="none"/>
          <w:tab w:pos="847" w:val="left" w:leader="none"/>
          <w:tab w:pos="10489" w:val="right" w:leader="dot"/>
        </w:tabs>
        <w:spacing w:line="240" w:lineRule="auto" w:before="127" w:after="0"/>
        <w:ind w:left="846" w:right="0" w:hanging="567"/>
        <w:jc w:val="left"/>
        <w:rPr>
          <w:sz w:val="20"/>
        </w:rPr>
      </w:pPr>
      <w:hyperlink w:history="true" w:anchor="_bookmark128">
        <w:r>
          <w:rPr>
            <w:sz w:val="20"/>
          </w:rPr>
          <w:t>First International Financial</w:t>
        </w:r>
        <w:r>
          <w:rPr>
            <w:spacing w:val="-8"/>
            <w:sz w:val="20"/>
          </w:rPr>
          <w:t> </w:t>
        </w:r>
        <w:r>
          <w:rPr>
            <w:sz w:val="20"/>
          </w:rPr>
          <w:t>Centre</w:t>
        </w:r>
        <w:r>
          <w:rPr>
            <w:spacing w:val="-1"/>
            <w:sz w:val="20"/>
          </w:rPr>
          <w:t> </w:t>
        </w:r>
        <w:r>
          <w:rPr>
            <w:sz w:val="20"/>
          </w:rPr>
          <w:t>(FIFC)</w:t>
          <w:tab/>
          <w:t>134</w:t>
        </w:r>
      </w:hyperlink>
    </w:p>
    <w:p>
      <w:pPr>
        <w:pStyle w:val="ListParagraph"/>
        <w:numPr>
          <w:ilvl w:val="1"/>
          <w:numId w:val="13"/>
        </w:numPr>
        <w:tabs>
          <w:tab w:pos="1557" w:val="left" w:leader="none"/>
          <w:tab w:pos="1558" w:val="left" w:leader="none"/>
          <w:tab w:pos="10489" w:val="right" w:leader="dot"/>
        </w:tabs>
        <w:spacing w:line="240" w:lineRule="auto" w:before="129" w:after="0"/>
        <w:ind w:left="1557" w:right="0" w:hanging="712"/>
        <w:jc w:val="left"/>
        <w:rPr>
          <w:sz w:val="20"/>
        </w:rPr>
      </w:pPr>
      <w:hyperlink w:history="true" w:anchor="_bookmark129">
        <w:r>
          <w:rPr>
            <w:sz w:val="20"/>
          </w:rPr>
          <w:t>Property</w:t>
        </w:r>
        <w:r>
          <w:rPr>
            <w:spacing w:val="-1"/>
            <w:sz w:val="20"/>
          </w:rPr>
          <w:t> </w:t>
        </w:r>
        <w:r>
          <w:rPr>
            <w:sz w:val="20"/>
          </w:rPr>
          <w:t>Description</w:t>
          <w:tab/>
          <w:t>134</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30">
        <w:r>
          <w:rPr>
            <w:sz w:val="20"/>
          </w:rPr>
          <w:t>Site</w:t>
        </w:r>
        <w:r>
          <w:rPr>
            <w:spacing w:val="-1"/>
            <w:sz w:val="20"/>
          </w:rPr>
          <w:t> </w:t>
        </w:r>
        <w:r>
          <w:rPr>
            <w:sz w:val="20"/>
          </w:rPr>
          <w:t>Details</w:t>
          <w:tab/>
          <w:t>134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31">
        <w:r>
          <w:rPr>
            <w:sz w:val="20"/>
          </w:rPr>
          <w:t>Legal</w:t>
        </w:r>
        <w:r>
          <w:rPr>
            <w:spacing w:val="-2"/>
            <w:sz w:val="20"/>
          </w:rPr>
          <w:t> </w:t>
        </w:r>
        <w:r>
          <w:rPr>
            <w:sz w:val="20"/>
          </w:rPr>
          <w:t>Details</w:t>
          <w:tab/>
          <w:t>137</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32">
        <w:r>
          <w:rPr>
            <w:sz w:val="20"/>
          </w:rPr>
          <w:t>Town</w:t>
        </w:r>
        <w:r>
          <w:rPr>
            <w:spacing w:val="-2"/>
            <w:sz w:val="20"/>
          </w:rPr>
          <w:t> </w:t>
        </w:r>
        <w:r>
          <w:rPr>
            <w:sz w:val="20"/>
          </w:rPr>
          <w:t>Planning</w:t>
          <w:tab/>
          <w:t>137</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33">
        <w:r>
          <w:rPr>
            <w:sz w:val="20"/>
          </w:rPr>
          <w:t>Statutory Approvals, One time Sanctions &amp;</w:t>
        </w:r>
        <w:r>
          <w:rPr>
            <w:spacing w:val="-21"/>
            <w:sz w:val="20"/>
          </w:rPr>
          <w:t> </w:t>
        </w:r>
        <w:r>
          <w:rPr>
            <w:sz w:val="20"/>
          </w:rPr>
          <w:t>Periodic</w:t>
        </w:r>
        <w:r>
          <w:rPr>
            <w:spacing w:val="-5"/>
            <w:sz w:val="20"/>
          </w:rPr>
          <w:t> </w:t>
        </w:r>
        <w:r>
          <w:rPr>
            <w:sz w:val="20"/>
          </w:rPr>
          <w:t>Clearances</w:t>
          <w:tab/>
          <w:t>138</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34">
        <w:r>
          <w:rPr>
            <w:sz w:val="20"/>
          </w:rPr>
          <w:t>Area Details, Type and Age of</w:t>
        </w:r>
        <w:r>
          <w:rPr>
            <w:spacing w:val="-19"/>
            <w:sz w:val="20"/>
          </w:rPr>
          <w:t> </w:t>
        </w:r>
        <w:r>
          <w:rPr>
            <w:sz w:val="20"/>
          </w:rPr>
          <w:t>Existing</w:t>
        </w:r>
        <w:r>
          <w:rPr>
            <w:spacing w:val="-5"/>
            <w:sz w:val="20"/>
          </w:rPr>
          <w:t> </w:t>
        </w:r>
        <w:r>
          <w:rPr>
            <w:sz w:val="20"/>
          </w:rPr>
          <w:t>Structures</w:t>
          <w:tab/>
          <w:t>138</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35">
        <w:r>
          <w:rPr>
            <w:sz w:val="20"/>
          </w:rPr>
          <w:t>Site Services</w:t>
        </w:r>
        <w:r>
          <w:rPr>
            <w:spacing w:val="-2"/>
            <w:sz w:val="20"/>
          </w:rPr>
          <w:t> </w:t>
        </w:r>
        <w:r>
          <w:rPr>
            <w:sz w:val="20"/>
          </w:rPr>
          <w:t>and</w:t>
        </w:r>
        <w:r>
          <w:rPr>
            <w:spacing w:val="-2"/>
            <w:sz w:val="20"/>
          </w:rPr>
          <w:t> </w:t>
        </w:r>
        <w:r>
          <w:rPr>
            <w:sz w:val="20"/>
          </w:rPr>
          <w:t>Finishes</w:t>
          <w:tab/>
          <w:t>138</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36">
        <w:r>
          <w:rPr>
            <w:sz w:val="20"/>
          </w:rPr>
          <w:t>Condition</w:t>
        </w:r>
        <w:r>
          <w:rPr>
            <w:spacing w:val="-3"/>
            <w:sz w:val="20"/>
          </w:rPr>
          <w:t> </w:t>
        </w:r>
        <w:r>
          <w:rPr>
            <w:sz w:val="20"/>
          </w:rPr>
          <w:t>&amp; Repair</w:t>
          <w:tab/>
          <w:t>139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37">
        <w:r>
          <w:rPr>
            <w:sz w:val="20"/>
          </w:rPr>
          <w:t>Property</w:t>
        </w:r>
        <w:r>
          <w:rPr>
            <w:spacing w:val="-1"/>
            <w:sz w:val="20"/>
          </w:rPr>
          <w:t> </w:t>
        </w:r>
        <w:r>
          <w:rPr>
            <w:sz w:val="20"/>
          </w:rPr>
          <w:t>Photographs</w:t>
          <w:tab/>
          <w:t>139</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38">
        <w:r>
          <w:rPr>
            <w:sz w:val="20"/>
          </w:rPr>
          <w:t>Tenancy</w:t>
        </w:r>
        <w:r>
          <w:rPr>
            <w:spacing w:val="-1"/>
            <w:sz w:val="20"/>
          </w:rPr>
          <w:t> </w:t>
        </w:r>
        <w:r>
          <w:rPr>
            <w:sz w:val="20"/>
          </w:rPr>
          <w:t>Analysis</w:t>
          <w:tab/>
          <w:t>140</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39">
        <w:r>
          <w:rPr>
            <w:sz w:val="20"/>
          </w:rPr>
          <w:t>Historical Committed</w:t>
        </w:r>
        <w:r>
          <w:rPr>
            <w:spacing w:val="-6"/>
            <w:sz w:val="20"/>
          </w:rPr>
          <w:t> </w:t>
        </w:r>
        <w:r>
          <w:rPr>
            <w:sz w:val="20"/>
          </w:rPr>
          <w:t>Occupancy</w:t>
        </w:r>
        <w:r>
          <w:rPr>
            <w:spacing w:val="-1"/>
            <w:sz w:val="20"/>
          </w:rPr>
          <w:t> </w:t>
        </w:r>
        <w:r>
          <w:rPr>
            <w:sz w:val="20"/>
          </w:rPr>
          <w:t>Rates</w:t>
          <w:tab/>
          <w:t>140</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40">
        <w:r>
          <w:rPr>
            <w:sz w:val="20"/>
          </w:rPr>
          <w:t>Lease</w:t>
        </w:r>
        <w:r>
          <w:rPr>
            <w:spacing w:val="-1"/>
            <w:sz w:val="20"/>
          </w:rPr>
          <w:t> </w:t>
        </w:r>
        <w:r>
          <w:rPr>
            <w:sz w:val="20"/>
          </w:rPr>
          <w:t>Expiry</w:t>
        </w:r>
        <w:r>
          <w:rPr>
            <w:spacing w:val="-1"/>
            <w:sz w:val="20"/>
          </w:rPr>
          <w:t> </w:t>
        </w:r>
        <w:r>
          <w:rPr>
            <w:sz w:val="20"/>
          </w:rPr>
          <w:t>Analysis</w:t>
          <w:tab/>
          <w:t>140</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41">
        <w:r>
          <w:rPr>
            <w:sz w:val="20"/>
          </w:rPr>
          <w:t>Escalation</w:t>
        </w:r>
        <w:r>
          <w:rPr>
            <w:spacing w:val="-3"/>
            <w:sz w:val="20"/>
          </w:rPr>
          <w:t> </w:t>
        </w:r>
        <w:r>
          <w:rPr>
            <w:sz w:val="20"/>
          </w:rPr>
          <w:t>Analysis</w:t>
          <w:tab/>
          <w:t>140</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142">
        <w:r>
          <w:rPr>
            <w:sz w:val="20"/>
          </w:rPr>
          <w:t>Assumptions Rationale</w:t>
          <w:tab/>
          <w:t>140</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43">
        <w:r>
          <w:rPr>
            <w:sz w:val="20"/>
          </w:rPr>
          <w:t>Demand and</w:t>
        </w:r>
        <w:r>
          <w:rPr>
            <w:spacing w:val="-4"/>
            <w:sz w:val="20"/>
          </w:rPr>
          <w:t> </w:t>
        </w:r>
        <w:r>
          <w:rPr>
            <w:sz w:val="20"/>
          </w:rPr>
          <w:t>Supply</w:t>
        </w:r>
        <w:r>
          <w:rPr>
            <w:spacing w:val="1"/>
            <w:sz w:val="20"/>
          </w:rPr>
          <w:t> </w:t>
        </w:r>
        <w:r>
          <w:rPr>
            <w:sz w:val="20"/>
          </w:rPr>
          <w:t>Dynamics</w:t>
          <w:tab/>
          <w:t>141</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44">
        <w:r>
          <w:rPr>
            <w:sz w:val="20"/>
          </w:rPr>
          <w:t>Lease</w:t>
        </w:r>
        <w:r>
          <w:rPr>
            <w:spacing w:val="-1"/>
            <w:sz w:val="20"/>
          </w:rPr>
          <w:t> </w:t>
        </w:r>
        <w:r>
          <w:rPr>
            <w:sz w:val="20"/>
          </w:rPr>
          <w:t>Rent</w:t>
        </w:r>
        <w:r>
          <w:rPr>
            <w:spacing w:val="-1"/>
            <w:sz w:val="20"/>
          </w:rPr>
          <w:t> </w:t>
        </w:r>
        <w:r>
          <w:rPr>
            <w:sz w:val="20"/>
          </w:rPr>
          <w:t>Analysis</w:t>
          <w:tab/>
          <w:t>143</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45">
        <w:r>
          <w:rPr>
            <w:sz w:val="20"/>
          </w:rPr>
          <w:t>Value</w:t>
        </w:r>
        <w:r>
          <w:rPr>
            <w:spacing w:val="-1"/>
            <w:sz w:val="20"/>
          </w:rPr>
          <w:t> </w:t>
        </w:r>
        <w:r>
          <w:rPr>
            <w:sz w:val="20"/>
          </w:rPr>
          <w:t>Assessment</w:t>
          <w:tab/>
          <w:t>144</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46">
        <w:r>
          <w:rPr>
            <w:sz w:val="20"/>
          </w:rPr>
          <w:t>Adopted</w:t>
        </w:r>
        <w:r>
          <w:rPr>
            <w:spacing w:val="-2"/>
            <w:sz w:val="20"/>
          </w:rPr>
          <w:t> </w:t>
        </w:r>
        <w:r>
          <w:rPr>
            <w:sz w:val="20"/>
          </w:rPr>
          <w:t>Methodology</w:t>
          <w:tab/>
          <w:t>144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47">
        <w:r>
          <w:rPr>
            <w:sz w:val="20"/>
          </w:rPr>
          <w:t>Area</w:t>
        </w:r>
        <w:r>
          <w:rPr>
            <w:spacing w:val="-3"/>
            <w:sz w:val="20"/>
          </w:rPr>
          <w:t> </w:t>
        </w:r>
        <w:r>
          <w:rPr>
            <w:sz w:val="20"/>
          </w:rPr>
          <w:t>statement</w:t>
          <w:tab/>
          <w:t>144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48">
        <w:r>
          <w:rPr>
            <w:sz w:val="20"/>
          </w:rPr>
          <w:t>Construction/</w:t>
        </w:r>
        <w:r>
          <w:rPr>
            <w:spacing w:val="-4"/>
            <w:sz w:val="20"/>
          </w:rPr>
          <w:t> </w:t>
        </w:r>
        <w:r>
          <w:rPr>
            <w:sz w:val="20"/>
          </w:rPr>
          <w:t>Refurbishment</w:t>
        </w:r>
        <w:r>
          <w:rPr>
            <w:spacing w:val="-2"/>
            <w:sz w:val="20"/>
          </w:rPr>
          <w:t> </w:t>
        </w:r>
        <w:r>
          <w:rPr>
            <w:sz w:val="20"/>
          </w:rPr>
          <w:t>Timelines</w:t>
          <w:tab/>
          <w:t>144</w:t>
        </w:r>
      </w:hyperlink>
    </w:p>
    <w:p>
      <w:pPr>
        <w:spacing w:after="0" w:line="240" w:lineRule="auto"/>
        <w:jc w:val="left"/>
        <w:rPr>
          <w:sz w:val="20"/>
        </w:rPr>
        <w:sectPr>
          <w:pgSz w:w="11910" w:h="16840"/>
          <w:pgMar w:header="720" w:footer="842" w:top="1520" w:bottom="1040" w:left="440" w:right="80"/>
        </w:sectPr>
      </w:pPr>
    </w:p>
    <w:p>
      <w:pPr>
        <w:pStyle w:val="ListParagraph"/>
        <w:numPr>
          <w:ilvl w:val="2"/>
          <w:numId w:val="13"/>
        </w:numPr>
        <w:tabs>
          <w:tab w:pos="2265" w:val="left" w:leader="none"/>
          <w:tab w:pos="2266" w:val="left" w:leader="none"/>
          <w:tab w:pos="10489" w:val="right" w:leader="dot"/>
        </w:tabs>
        <w:spacing w:line="240" w:lineRule="auto" w:before="208" w:after="0"/>
        <w:ind w:left="2265" w:right="0" w:hanging="709"/>
        <w:jc w:val="left"/>
        <w:rPr>
          <w:sz w:val="20"/>
        </w:rPr>
      </w:pPr>
      <w:hyperlink w:history="true" w:anchor="_bookmark149">
        <w:r>
          <w:rPr>
            <w:sz w:val="20"/>
          </w:rPr>
          <w:t>Absorption/ Leasing Velocity and</w:t>
        </w:r>
        <w:r>
          <w:rPr>
            <w:spacing w:val="-11"/>
            <w:sz w:val="20"/>
          </w:rPr>
          <w:t> </w:t>
        </w:r>
        <w:r>
          <w:rPr>
            <w:sz w:val="20"/>
          </w:rPr>
          <w:t>Occupancy</w:t>
        </w:r>
        <w:r>
          <w:rPr>
            <w:spacing w:val="-3"/>
            <w:sz w:val="20"/>
          </w:rPr>
          <w:t> </w:t>
        </w:r>
        <w:r>
          <w:rPr>
            <w:sz w:val="20"/>
          </w:rPr>
          <w:t>Profile</w:t>
          <w:tab/>
          <w:t>145</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50">
        <w:r>
          <w:rPr>
            <w:sz w:val="20"/>
          </w:rPr>
          <w:t>Revenue</w:t>
        </w:r>
        <w:r>
          <w:rPr>
            <w:spacing w:val="-1"/>
            <w:sz w:val="20"/>
          </w:rPr>
          <w:t> </w:t>
        </w:r>
        <w:r>
          <w:rPr>
            <w:sz w:val="20"/>
          </w:rPr>
          <w:t>Assumptions</w:t>
          <w:tab/>
          <w:t>145</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51">
        <w:r>
          <w:rPr>
            <w:sz w:val="20"/>
          </w:rPr>
          <w:t>Expense</w:t>
        </w:r>
        <w:r>
          <w:rPr>
            <w:spacing w:val="-1"/>
            <w:sz w:val="20"/>
          </w:rPr>
          <w:t> </w:t>
        </w:r>
        <w:r>
          <w:rPr>
            <w:sz w:val="20"/>
          </w:rPr>
          <w:t>Assumptions</w:t>
          <w:tab/>
          <w:t>147</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52">
        <w:r>
          <w:rPr>
            <w:sz w:val="20"/>
          </w:rPr>
          <w:t>Other</w:t>
        </w:r>
        <w:r>
          <w:rPr>
            <w:spacing w:val="-1"/>
            <w:sz w:val="20"/>
          </w:rPr>
          <w:t> </w:t>
        </w:r>
        <w:r>
          <w:rPr>
            <w:sz w:val="20"/>
          </w:rPr>
          <w:t>Assumptions</w:t>
          <w:tab/>
          <w:t>147</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53">
        <w:r>
          <w:rPr>
            <w:sz w:val="20"/>
          </w:rPr>
          <w:t>Capitalization</w:t>
        </w:r>
        <w:r>
          <w:rPr>
            <w:spacing w:val="-3"/>
            <w:sz w:val="20"/>
          </w:rPr>
          <w:t> </w:t>
        </w:r>
        <w:r>
          <w:rPr>
            <w:sz w:val="20"/>
          </w:rPr>
          <w:t>Rates</w:t>
          <w:tab/>
          <w:t>147</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54">
        <w:r>
          <w:rPr>
            <w:sz w:val="20"/>
          </w:rPr>
          <w:t>Discount</w:t>
        </w:r>
        <w:r>
          <w:rPr>
            <w:spacing w:val="-2"/>
            <w:sz w:val="20"/>
          </w:rPr>
          <w:t> </w:t>
        </w:r>
        <w:r>
          <w:rPr>
            <w:sz w:val="20"/>
          </w:rPr>
          <w:t>Rate</w:t>
          <w:tab/>
          <w:t>148</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155">
        <w:r>
          <w:rPr>
            <w:sz w:val="20"/>
          </w:rPr>
          <w:t>Value of the</w:t>
        </w:r>
        <w:r>
          <w:rPr>
            <w:spacing w:val="-7"/>
            <w:sz w:val="20"/>
          </w:rPr>
          <w:t> </w:t>
        </w:r>
        <w:r>
          <w:rPr>
            <w:sz w:val="20"/>
          </w:rPr>
          <w:t>Subject</w:t>
        </w:r>
        <w:r>
          <w:rPr>
            <w:spacing w:val="-1"/>
            <w:sz w:val="20"/>
          </w:rPr>
          <w:t> </w:t>
        </w:r>
        <w:r>
          <w:rPr>
            <w:sz w:val="20"/>
          </w:rPr>
          <w:t>Property</w:t>
          <w:tab/>
          <w:t>148</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156">
        <w:r>
          <w:rPr>
            <w:sz w:val="20"/>
          </w:rPr>
          <w:t>Embassy TechZone</w:t>
          <w:tab/>
          <w:t>149</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57">
        <w:r>
          <w:rPr>
            <w:sz w:val="20"/>
          </w:rPr>
          <w:t>Property</w:t>
        </w:r>
        <w:r>
          <w:rPr>
            <w:spacing w:val="-1"/>
            <w:sz w:val="20"/>
          </w:rPr>
          <w:t> </w:t>
        </w:r>
        <w:r>
          <w:rPr>
            <w:sz w:val="20"/>
          </w:rPr>
          <w:t>Description</w:t>
          <w:tab/>
          <w:t>149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58">
        <w:r>
          <w:rPr>
            <w:sz w:val="20"/>
          </w:rPr>
          <w:t>Site</w:t>
        </w:r>
        <w:r>
          <w:rPr>
            <w:spacing w:val="-1"/>
            <w:sz w:val="20"/>
          </w:rPr>
          <w:t> </w:t>
        </w:r>
        <w:r>
          <w:rPr>
            <w:sz w:val="20"/>
          </w:rPr>
          <w:t>Details</w:t>
          <w:tab/>
          <w:t>149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59">
        <w:r>
          <w:rPr>
            <w:sz w:val="20"/>
          </w:rPr>
          <w:t>Legal</w:t>
        </w:r>
        <w:r>
          <w:rPr>
            <w:spacing w:val="-2"/>
            <w:sz w:val="20"/>
          </w:rPr>
          <w:t> </w:t>
        </w:r>
        <w:r>
          <w:rPr>
            <w:sz w:val="20"/>
          </w:rPr>
          <w:t>Details</w:t>
          <w:tab/>
          <w:t>153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60">
        <w:r>
          <w:rPr>
            <w:sz w:val="20"/>
          </w:rPr>
          <w:t>Town</w:t>
        </w:r>
        <w:r>
          <w:rPr>
            <w:spacing w:val="-2"/>
            <w:sz w:val="20"/>
          </w:rPr>
          <w:t> </w:t>
        </w:r>
        <w:r>
          <w:rPr>
            <w:sz w:val="20"/>
          </w:rPr>
          <w:t>Planning</w:t>
          <w:tab/>
          <w:t>153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61">
        <w:r>
          <w:rPr>
            <w:sz w:val="20"/>
          </w:rPr>
          <w:t>Statutory Approvals, One Time Sanctions &amp;</w:t>
        </w:r>
        <w:r>
          <w:rPr>
            <w:spacing w:val="-20"/>
            <w:sz w:val="20"/>
          </w:rPr>
          <w:t> </w:t>
        </w:r>
        <w:r>
          <w:rPr>
            <w:sz w:val="20"/>
          </w:rPr>
          <w:t>Periodic</w:t>
        </w:r>
        <w:r>
          <w:rPr>
            <w:spacing w:val="-5"/>
            <w:sz w:val="20"/>
          </w:rPr>
          <w:t> </w:t>
        </w:r>
        <w:r>
          <w:rPr>
            <w:sz w:val="20"/>
          </w:rPr>
          <w:t>Clearances</w:t>
          <w:tab/>
          <w:t>154</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62">
        <w:r>
          <w:rPr>
            <w:sz w:val="20"/>
          </w:rPr>
          <w:t>Area Details, Type and Age of</w:t>
        </w:r>
        <w:r>
          <w:rPr>
            <w:spacing w:val="-19"/>
            <w:sz w:val="20"/>
          </w:rPr>
          <w:t> </w:t>
        </w:r>
        <w:r>
          <w:rPr>
            <w:sz w:val="20"/>
          </w:rPr>
          <w:t>Existing</w:t>
        </w:r>
        <w:r>
          <w:rPr>
            <w:spacing w:val="-4"/>
            <w:sz w:val="20"/>
          </w:rPr>
          <w:t> </w:t>
        </w:r>
        <w:r>
          <w:rPr>
            <w:sz w:val="20"/>
          </w:rPr>
          <w:t>Structures</w:t>
          <w:tab/>
          <w:t>155</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63">
        <w:r>
          <w:rPr>
            <w:sz w:val="20"/>
          </w:rPr>
          <w:t>Site Services</w:t>
        </w:r>
        <w:r>
          <w:rPr>
            <w:spacing w:val="-2"/>
            <w:sz w:val="20"/>
          </w:rPr>
          <w:t> </w:t>
        </w:r>
        <w:r>
          <w:rPr>
            <w:sz w:val="20"/>
          </w:rPr>
          <w:t>and</w:t>
        </w:r>
        <w:r>
          <w:rPr>
            <w:spacing w:val="-2"/>
            <w:sz w:val="20"/>
          </w:rPr>
          <w:t> </w:t>
        </w:r>
        <w:r>
          <w:rPr>
            <w:sz w:val="20"/>
          </w:rPr>
          <w:t>Finishes</w:t>
          <w:tab/>
          <w:t>156</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64">
        <w:r>
          <w:rPr>
            <w:sz w:val="20"/>
          </w:rPr>
          <w:t>Condition</w:t>
        </w:r>
        <w:r>
          <w:rPr>
            <w:spacing w:val="-3"/>
            <w:sz w:val="20"/>
          </w:rPr>
          <w:t> </w:t>
        </w:r>
        <w:r>
          <w:rPr>
            <w:sz w:val="20"/>
          </w:rPr>
          <w:t>&amp; Repair</w:t>
          <w:tab/>
          <w:t>156</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65">
        <w:r>
          <w:rPr>
            <w:sz w:val="20"/>
          </w:rPr>
          <w:t>Property</w:t>
        </w:r>
        <w:r>
          <w:rPr>
            <w:spacing w:val="-1"/>
            <w:sz w:val="20"/>
          </w:rPr>
          <w:t> </w:t>
        </w:r>
        <w:r>
          <w:rPr>
            <w:sz w:val="20"/>
          </w:rPr>
          <w:t>Photographs</w:t>
          <w:tab/>
          <w:t>157</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166">
        <w:r>
          <w:rPr>
            <w:sz w:val="20"/>
          </w:rPr>
          <w:t>Tenancy</w:t>
        </w:r>
        <w:r>
          <w:rPr>
            <w:spacing w:val="-1"/>
            <w:sz w:val="20"/>
          </w:rPr>
          <w:t> </w:t>
        </w:r>
        <w:r>
          <w:rPr>
            <w:sz w:val="20"/>
          </w:rPr>
          <w:t>Analysis</w:t>
          <w:tab/>
          <w:t>158</w:t>
        </w:r>
      </w:hyperlink>
    </w:p>
    <w:p>
      <w:pPr>
        <w:pStyle w:val="ListParagraph"/>
        <w:numPr>
          <w:ilvl w:val="2"/>
          <w:numId w:val="13"/>
        </w:numPr>
        <w:tabs>
          <w:tab w:pos="2265" w:val="left" w:leader="none"/>
          <w:tab w:pos="2266" w:val="left" w:leader="none"/>
          <w:tab w:pos="10489" w:val="right" w:leader="dot"/>
        </w:tabs>
        <w:spacing w:line="240" w:lineRule="auto" w:before="129" w:after="0"/>
        <w:ind w:left="2265" w:right="0" w:hanging="709"/>
        <w:jc w:val="left"/>
        <w:rPr>
          <w:sz w:val="20"/>
        </w:rPr>
      </w:pPr>
      <w:hyperlink w:history="true" w:anchor="_bookmark167">
        <w:r>
          <w:rPr>
            <w:sz w:val="20"/>
          </w:rPr>
          <w:t>Historical Committed</w:t>
        </w:r>
        <w:r>
          <w:rPr>
            <w:spacing w:val="-6"/>
            <w:sz w:val="20"/>
          </w:rPr>
          <w:t> </w:t>
        </w:r>
        <w:r>
          <w:rPr>
            <w:sz w:val="20"/>
          </w:rPr>
          <w:t>Occupancy</w:t>
        </w:r>
        <w:r>
          <w:rPr>
            <w:spacing w:val="-1"/>
            <w:sz w:val="20"/>
          </w:rPr>
          <w:t> </w:t>
        </w:r>
        <w:r>
          <w:rPr>
            <w:sz w:val="20"/>
          </w:rPr>
          <w:t>Rates</w:t>
          <w:tab/>
          <w:t>158</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68">
        <w:r>
          <w:rPr>
            <w:sz w:val="20"/>
          </w:rPr>
          <w:t>Lease</w:t>
        </w:r>
        <w:r>
          <w:rPr>
            <w:spacing w:val="-1"/>
            <w:sz w:val="20"/>
          </w:rPr>
          <w:t> </w:t>
        </w:r>
        <w:r>
          <w:rPr>
            <w:sz w:val="20"/>
          </w:rPr>
          <w:t>Expiry</w:t>
        </w:r>
        <w:r>
          <w:rPr>
            <w:spacing w:val="-1"/>
            <w:sz w:val="20"/>
          </w:rPr>
          <w:t> </w:t>
        </w:r>
        <w:r>
          <w:rPr>
            <w:sz w:val="20"/>
          </w:rPr>
          <w:t>Analysis</w:t>
          <w:tab/>
          <w:t>158</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69">
        <w:r>
          <w:rPr>
            <w:sz w:val="20"/>
          </w:rPr>
          <w:t>Escalation</w:t>
        </w:r>
        <w:r>
          <w:rPr>
            <w:spacing w:val="-3"/>
            <w:sz w:val="20"/>
          </w:rPr>
          <w:t> </w:t>
        </w:r>
        <w:r>
          <w:rPr>
            <w:sz w:val="20"/>
          </w:rPr>
          <w:t>Analysis</w:t>
          <w:tab/>
          <w:t>158</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70">
        <w:r>
          <w:rPr>
            <w:sz w:val="20"/>
          </w:rPr>
          <w:t>Assumptions Rationale</w:t>
          <w:tab/>
          <w:t>158</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71">
        <w:r>
          <w:rPr>
            <w:sz w:val="20"/>
          </w:rPr>
          <w:t>Demand and</w:t>
        </w:r>
        <w:r>
          <w:rPr>
            <w:spacing w:val="-4"/>
            <w:sz w:val="20"/>
          </w:rPr>
          <w:t> </w:t>
        </w:r>
        <w:r>
          <w:rPr>
            <w:sz w:val="20"/>
          </w:rPr>
          <w:t>Supply</w:t>
        </w:r>
        <w:r>
          <w:rPr>
            <w:spacing w:val="1"/>
            <w:sz w:val="20"/>
          </w:rPr>
          <w:t> </w:t>
        </w:r>
        <w:r>
          <w:rPr>
            <w:sz w:val="20"/>
          </w:rPr>
          <w:t>Dynamics</w:t>
          <w:tab/>
          <w:t>159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72">
        <w:r>
          <w:rPr>
            <w:sz w:val="20"/>
          </w:rPr>
          <w:t>Lease</w:t>
        </w:r>
        <w:r>
          <w:rPr>
            <w:spacing w:val="-1"/>
            <w:sz w:val="20"/>
          </w:rPr>
          <w:t> </w:t>
        </w:r>
        <w:r>
          <w:rPr>
            <w:sz w:val="20"/>
          </w:rPr>
          <w:t>Rent</w:t>
        </w:r>
        <w:r>
          <w:rPr>
            <w:spacing w:val="-1"/>
            <w:sz w:val="20"/>
          </w:rPr>
          <w:t> </w:t>
        </w:r>
        <w:r>
          <w:rPr>
            <w:sz w:val="20"/>
          </w:rPr>
          <w:t>Analysis</w:t>
          <w:tab/>
          <w:t>161</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173">
        <w:r>
          <w:rPr>
            <w:sz w:val="20"/>
          </w:rPr>
          <w:t>Value</w:t>
        </w:r>
        <w:r>
          <w:rPr>
            <w:spacing w:val="-1"/>
            <w:sz w:val="20"/>
          </w:rPr>
          <w:t> </w:t>
        </w:r>
        <w:r>
          <w:rPr>
            <w:sz w:val="20"/>
          </w:rPr>
          <w:t>Assessment</w:t>
          <w:tab/>
          <w:t>163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74">
        <w:r>
          <w:rPr>
            <w:sz w:val="20"/>
          </w:rPr>
          <w:t>Adopted</w:t>
        </w:r>
        <w:r>
          <w:rPr>
            <w:spacing w:val="-2"/>
            <w:sz w:val="20"/>
          </w:rPr>
          <w:t> </w:t>
        </w:r>
        <w:r>
          <w:rPr>
            <w:sz w:val="20"/>
          </w:rPr>
          <w:t>Methodology</w:t>
          <w:tab/>
          <w:t>163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75">
        <w:r>
          <w:rPr>
            <w:sz w:val="20"/>
          </w:rPr>
          <w:t>Area</w:t>
        </w:r>
        <w:r>
          <w:rPr>
            <w:spacing w:val="-3"/>
            <w:sz w:val="20"/>
          </w:rPr>
          <w:t> </w:t>
        </w:r>
        <w:r>
          <w:rPr>
            <w:sz w:val="20"/>
          </w:rPr>
          <w:t>statement</w:t>
          <w:tab/>
          <w:t>163</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76">
        <w:r>
          <w:rPr>
            <w:sz w:val="20"/>
          </w:rPr>
          <w:t>Construction</w:t>
        </w:r>
        <w:r>
          <w:rPr>
            <w:spacing w:val="-3"/>
            <w:sz w:val="20"/>
          </w:rPr>
          <w:t> </w:t>
        </w:r>
        <w:r>
          <w:rPr>
            <w:sz w:val="20"/>
          </w:rPr>
          <w:t>Timelines</w:t>
          <w:tab/>
          <w:t>164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77">
        <w:r>
          <w:rPr>
            <w:sz w:val="20"/>
          </w:rPr>
          <w:t>Absorption/ Leasing Velocity and</w:t>
        </w:r>
        <w:r>
          <w:rPr>
            <w:spacing w:val="-13"/>
            <w:sz w:val="20"/>
          </w:rPr>
          <w:t> </w:t>
        </w:r>
        <w:r>
          <w:rPr>
            <w:sz w:val="20"/>
          </w:rPr>
          <w:t>Occupancy</w:t>
        </w:r>
        <w:r>
          <w:rPr>
            <w:spacing w:val="-2"/>
            <w:sz w:val="20"/>
          </w:rPr>
          <w:t> </w:t>
        </w:r>
        <w:r>
          <w:rPr>
            <w:sz w:val="20"/>
          </w:rPr>
          <w:t>Profile</w:t>
          <w:tab/>
          <w:t>164</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78">
        <w:r>
          <w:rPr>
            <w:sz w:val="20"/>
          </w:rPr>
          <w:t>Revenue</w:t>
        </w:r>
        <w:r>
          <w:rPr>
            <w:spacing w:val="-1"/>
            <w:sz w:val="20"/>
          </w:rPr>
          <w:t> </w:t>
        </w:r>
        <w:r>
          <w:rPr>
            <w:sz w:val="20"/>
          </w:rPr>
          <w:t>Assumptions</w:t>
          <w:tab/>
          <w:t>166</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79">
        <w:r>
          <w:rPr>
            <w:sz w:val="20"/>
          </w:rPr>
          <w:t>Expense</w:t>
        </w:r>
        <w:r>
          <w:rPr>
            <w:spacing w:val="-1"/>
            <w:sz w:val="20"/>
          </w:rPr>
          <w:t> </w:t>
        </w:r>
        <w:r>
          <w:rPr>
            <w:sz w:val="20"/>
          </w:rPr>
          <w:t>Assumptions</w:t>
          <w:tab/>
          <w:t>167</w:t>
        </w:r>
      </w:hyperlink>
    </w:p>
    <w:p>
      <w:pPr>
        <w:pStyle w:val="ListParagraph"/>
        <w:numPr>
          <w:ilvl w:val="2"/>
          <w:numId w:val="13"/>
        </w:numPr>
        <w:tabs>
          <w:tab w:pos="2265" w:val="left" w:leader="none"/>
          <w:tab w:pos="2266" w:val="left" w:leader="none"/>
          <w:tab w:pos="10489" w:val="right" w:leader="dot"/>
        </w:tabs>
        <w:spacing w:line="240" w:lineRule="auto" w:before="127" w:after="0"/>
        <w:ind w:left="2265" w:right="0" w:hanging="709"/>
        <w:jc w:val="left"/>
        <w:rPr>
          <w:sz w:val="20"/>
        </w:rPr>
      </w:pPr>
      <w:hyperlink w:history="true" w:anchor="_bookmark180">
        <w:r>
          <w:rPr>
            <w:sz w:val="20"/>
          </w:rPr>
          <w:t>Other</w:t>
        </w:r>
        <w:r>
          <w:rPr>
            <w:spacing w:val="-1"/>
            <w:sz w:val="20"/>
          </w:rPr>
          <w:t> </w:t>
        </w:r>
        <w:r>
          <w:rPr>
            <w:sz w:val="20"/>
          </w:rPr>
          <w:t>Assumptions</w:t>
          <w:tab/>
          <w:t>169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81">
        <w:r>
          <w:rPr>
            <w:sz w:val="20"/>
          </w:rPr>
          <w:t>Capitalization</w:t>
        </w:r>
        <w:r>
          <w:rPr>
            <w:spacing w:val="-3"/>
            <w:sz w:val="20"/>
          </w:rPr>
          <w:t> </w:t>
        </w:r>
        <w:r>
          <w:rPr>
            <w:sz w:val="20"/>
          </w:rPr>
          <w:t>Rates</w:t>
          <w:tab/>
          <w:t>169</w:t>
        </w:r>
      </w:hyperlink>
    </w:p>
    <w:p>
      <w:pPr>
        <w:pStyle w:val="ListParagraph"/>
        <w:numPr>
          <w:ilvl w:val="2"/>
          <w:numId w:val="13"/>
        </w:numPr>
        <w:tabs>
          <w:tab w:pos="2265" w:val="left" w:leader="none"/>
          <w:tab w:pos="2266" w:val="left" w:leader="none"/>
          <w:tab w:pos="10489" w:val="right" w:leader="dot"/>
        </w:tabs>
        <w:spacing w:line="240" w:lineRule="auto" w:before="128" w:after="0"/>
        <w:ind w:left="2265" w:right="0" w:hanging="709"/>
        <w:jc w:val="left"/>
        <w:rPr>
          <w:sz w:val="20"/>
        </w:rPr>
      </w:pPr>
      <w:hyperlink w:history="true" w:anchor="_bookmark182">
        <w:r>
          <w:rPr>
            <w:sz w:val="20"/>
          </w:rPr>
          <w:t>Discount</w:t>
        </w:r>
        <w:r>
          <w:rPr>
            <w:spacing w:val="-2"/>
            <w:sz w:val="20"/>
          </w:rPr>
          <w:t> </w:t>
        </w:r>
        <w:r>
          <w:rPr>
            <w:sz w:val="20"/>
          </w:rPr>
          <w:t>Rate</w:t>
          <w:tab/>
          <w:t>169</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83">
        <w:r>
          <w:rPr>
            <w:sz w:val="20"/>
          </w:rPr>
          <w:t>Value of the</w:t>
        </w:r>
        <w:r>
          <w:rPr>
            <w:spacing w:val="-7"/>
            <w:sz w:val="20"/>
          </w:rPr>
          <w:t> </w:t>
        </w:r>
        <w:r>
          <w:rPr>
            <w:sz w:val="20"/>
          </w:rPr>
          <w:t>Subject</w:t>
        </w:r>
        <w:r>
          <w:rPr>
            <w:spacing w:val="-1"/>
            <w:sz w:val="20"/>
          </w:rPr>
          <w:t> </w:t>
        </w:r>
        <w:r>
          <w:rPr>
            <w:sz w:val="20"/>
          </w:rPr>
          <w:t>Property</w:t>
          <w:tab/>
          <w:t>169</w:t>
        </w:r>
      </w:hyperlink>
    </w:p>
    <w:p>
      <w:pPr>
        <w:pStyle w:val="ListParagraph"/>
        <w:numPr>
          <w:ilvl w:val="0"/>
          <w:numId w:val="13"/>
        </w:numPr>
        <w:tabs>
          <w:tab w:pos="846" w:val="left" w:leader="none"/>
          <w:tab w:pos="847" w:val="left" w:leader="none"/>
          <w:tab w:pos="10489" w:val="right" w:leader="dot"/>
        </w:tabs>
        <w:spacing w:line="240" w:lineRule="auto" w:before="127" w:after="0"/>
        <w:ind w:left="846" w:right="0" w:hanging="567"/>
        <w:jc w:val="left"/>
        <w:rPr>
          <w:sz w:val="20"/>
        </w:rPr>
      </w:pPr>
      <w:hyperlink w:history="true" w:anchor="_bookmark184">
        <w:r>
          <w:rPr>
            <w:w w:val="105"/>
            <w:sz w:val="20"/>
          </w:rPr>
          <w:t>Embassy</w:t>
        </w:r>
        <w:r>
          <w:rPr>
            <w:spacing w:val="-4"/>
            <w:w w:val="105"/>
            <w:sz w:val="20"/>
          </w:rPr>
          <w:t> </w:t>
        </w:r>
        <w:r>
          <w:rPr>
            <w:w w:val="105"/>
            <w:sz w:val="20"/>
          </w:rPr>
          <w:t>Quadron</w:t>
          <w:tab/>
          <w:t>170</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85">
        <w:r>
          <w:rPr>
            <w:sz w:val="20"/>
          </w:rPr>
          <w:t>Property</w:t>
        </w:r>
        <w:r>
          <w:rPr>
            <w:spacing w:val="-1"/>
            <w:sz w:val="20"/>
          </w:rPr>
          <w:t> </w:t>
        </w:r>
        <w:r>
          <w:rPr>
            <w:sz w:val="20"/>
          </w:rPr>
          <w:t>Description</w:t>
          <w:tab/>
          <w:t>170</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186">
        <w:r>
          <w:rPr>
            <w:sz w:val="20"/>
          </w:rPr>
          <w:t>Site</w:t>
        </w:r>
        <w:r>
          <w:rPr>
            <w:spacing w:val="-1"/>
            <w:sz w:val="20"/>
          </w:rPr>
          <w:t> </w:t>
        </w:r>
        <w:r>
          <w:rPr>
            <w:sz w:val="20"/>
          </w:rPr>
          <w:t>Details</w:t>
          <w:tab/>
          <w:t>170</w:t>
        </w:r>
      </w:hyperlink>
    </w:p>
    <w:p>
      <w:pPr>
        <w:spacing w:after="0" w:line="240" w:lineRule="auto"/>
        <w:jc w:val="left"/>
        <w:rPr>
          <w:sz w:val="20"/>
        </w:rPr>
        <w:sectPr>
          <w:pgSz w:w="11910" w:h="16840"/>
          <w:pgMar w:header="720" w:footer="842" w:top="1520" w:bottom="1040" w:left="440" w:right="80"/>
        </w:sectPr>
      </w:pPr>
    </w:p>
    <w:p>
      <w:pPr>
        <w:pStyle w:val="ListParagraph"/>
        <w:numPr>
          <w:ilvl w:val="2"/>
          <w:numId w:val="13"/>
        </w:numPr>
        <w:tabs>
          <w:tab w:pos="2266" w:val="left" w:leader="none"/>
          <w:tab w:pos="10489" w:val="right" w:leader="dot"/>
        </w:tabs>
        <w:spacing w:line="240" w:lineRule="auto" w:before="208" w:after="0"/>
        <w:ind w:left="2265" w:right="0" w:hanging="709"/>
        <w:jc w:val="left"/>
        <w:rPr>
          <w:sz w:val="20"/>
        </w:rPr>
      </w:pPr>
      <w:hyperlink w:history="true" w:anchor="_bookmark187">
        <w:r>
          <w:rPr>
            <w:sz w:val="20"/>
          </w:rPr>
          <w:t>Legal</w:t>
        </w:r>
        <w:r>
          <w:rPr>
            <w:spacing w:val="-2"/>
            <w:sz w:val="20"/>
          </w:rPr>
          <w:t> </w:t>
        </w:r>
        <w:r>
          <w:rPr>
            <w:sz w:val="20"/>
          </w:rPr>
          <w:t>Details</w:t>
          <w:tab/>
          <w:t>173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188">
        <w:r>
          <w:rPr>
            <w:sz w:val="20"/>
          </w:rPr>
          <w:t>Town</w:t>
        </w:r>
        <w:r>
          <w:rPr>
            <w:spacing w:val="-2"/>
            <w:sz w:val="20"/>
          </w:rPr>
          <w:t> </w:t>
        </w:r>
        <w:r>
          <w:rPr>
            <w:sz w:val="20"/>
          </w:rPr>
          <w:t>Planning</w:t>
          <w:tab/>
          <w:t>173</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189">
        <w:r>
          <w:rPr>
            <w:sz w:val="20"/>
          </w:rPr>
          <w:t>Statutory Approvals, One Time Sanctions &amp;</w:t>
        </w:r>
        <w:r>
          <w:rPr>
            <w:spacing w:val="-20"/>
            <w:sz w:val="20"/>
          </w:rPr>
          <w:t> </w:t>
        </w:r>
        <w:r>
          <w:rPr>
            <w:sz w:val="20"/>
          </w:rPr>
          <w:t>Periodic</w:t>
        </w:r>
        <w:r>
          <w:rPr>
            <w:spacing w:val="-5"/>
            <w:sz w:val="20"/>
          </w:rPr>
          <w:t> </w:t>
        </w:r>
        <w:r>
          <w:rPr>
            <w:sz w:val="20"/>
          </w:rPr>
          <w:t>Clearances</w:t>
          <w:tab/>
          <w:t>174</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190">
        <w:r>
          <w:rPr>
            <w:sz w:val="20"/>
          </w:rPr>
          <w:t>Area Details, Type and Age of</w:t>
        </w:r>
        <w:r>
          <w:rPr>
            <w:spacing w:val="-19"/>
            <w:sz w:val="20"/>
          </w:rPr>
          <w:t> </w:t>
        </w:r>
        <w:r>
          <w:rPr>
            <w:sz w:val="20"/>
          </w:rPr>
          <w:t>Existing</w:t>
        </w:r>
        <w:r>
          <w:rPr>
            <w:spacing w:val="-5"/>
            <w:sz w:val="20"/>
          </w:rPr>
          <w:t> </w:t>
        </w:r>
        <w:r>
          <w:rPr>
            <w:sz w:val="20"/>
          </w:rPr>
          <w:t>Structures</w:t>
          <w:tab/>
          <w:t>174</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191">
        <w:r>
          <w:rPr>
            <w:sz w:val="20"/>
          </w:rPr>
          <w:t>Site Services</w:t>
        </w:r>
        <w:r>
          <w:rPr>
            <w:spacing w:val="-2"/>
            <w:sz w:val="20"/>
          </w:rPr>
          <w:t> </w:t>
        </w:r>
        <w:r>
          <w:rPr>
            <w:sz w:val="20"/>
          </w:rPr>
          <w:t>and</w:t>
        </w:r>
        <w:r>
          <w:rPr>
            <w:spacing w:val="-2"/>
            <w:sz w:val="20"/>
          </w:rPr>
          <w:t> </w:t>
        </w:r>
        <w:r>
          <w:rPr>
            <w:sz w:val="20"/>
          </w:rPr>
          <w:t>Finishes</w:t>
          <w:tab/>
          <w:t>175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192">
        <w:r>
          <w:rPr>
            <w:sz w:val="20"/>
          </w:rPr>
          <w:t>Condition</w:t>
        </w:r>
        <w:r>
          <w:rPr>
            <w:spacing w:val="-3"/>
            <w:sz w:val="20"/>
          </w:rPr>
          <w:t> </w:t>
        </w:r>
        <w:r>
          <w:rPr>
            <w:sz w:val="20"/>
          </w:rPr>
          <w:t>&amp; Repair</w:t>
          <w:tab/>
          <w:t>175</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193">
        <w:r>
          <w:rPr>
            <w:sz w:val="20"/>
          </w:rPr>
          <w:t>Property</w:t>
        </w:r>
        <w:r>
          <w:rPr>
            <w:spacing w:val="-1"/>
            <w:sz w:val="20"/>
          </w:rPr>
          <w:t> </w:t>
        </w:r>
        <w:r>
          <w:rPr>
            <w:sz w:val="20"/>
          </w:rPr>
          <w:t>Photographs</w:t>
          <w:tab/>
          <w:t>176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94">
        <w:r>
          <w:rPr>
            <w:sz w:val="20"/>
          </w:rPr>
          <w:t>Tenancy</w:t>
        </w:r>
        <w:r>
          <w:rPr>
            <w:spacing w:val="-1"/>
            <w:sz w:val="20"/>
          </w:rPr>
          <w:t> </w:t>
        </w:r>
        <w:r>
          <w:rPr>
            <w:sz w:val="20"/>
          </w:rPr>
          <w:t>Analysis</w:t>
          <w:tab/>
          <w:t>177</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195">
        <w:r>
          <w:rPr>
            <w:sz w:val="20"/>
          </w:rPr>
          <w:t>Historical Committed</w:t>
        </w:r>
        <w:r>
          <w:rPr>
            <w:spacing w:val="-6"/>
            <w:sz w:val="20"/>
          </w:rPr>
          <w:t> </w:t>
        </w:r>
        <w:r>
          <w:rPr>
            <w:sz w:val="20"/>
          </w:rPr>
          <w:t>Occupancy</w:t>
        </w:r>
        <w:r>
          <w:rPr>
            <w:spacing w:val="-1"/>
            <w:sz w:val="20"/>
          </w:rPr>
          <w:t> </w:t>
        </w:r>
        <w:r>
          <w:rPr>
            <w:sz w:val="20"/>
          </w:rPr>
          <w:t>Rates</w:t>
          <w:tab/>
          <w:t>177</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196">
        <w:r>
          <w:rPr>
            <w:sz w:val="20"/>
          </w:rPr>
          <w:t>Lease</w:t>
        </w:r>
        <w:r>
          <w:rPr>
            <w:spacing w:val="-1"/>
            <w:sz w:val="20"/>
          </w:rPr>
          <w:t> </w:t>
        </w:r>
        <w:r>
          <w:rPr>
            <w:sz w:val="20"/>
          </w:rPr>
          <w:t>Expiry</w:t>
        </w:r>
        <w:r>
          <w:rPr>
            <w:spacing w:val="-1"/>
            <w:sz w:val="20"/>
          </w:rPr>
          <w:t> </w:t>
        </w:r>
        <w:r>
          <w:rPr>
            <w:sz w:val="20"/>
          </w:rPr>
          <w:t>Analysis</w:t>
          <w:tab/>
          <w:t>177</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197">
        <w:r>
          <w:rPr>
            <w:sz w:val="20"/>
          </w:rPr>
          <w:t>Escalation</w:t>
        </w:r>
        <w:r>
          <w:rPr>
            <w:spacing w:val="-3"/>
            <w:sz w:val="20"/>
          </w:rPr>
          <w:t> </w:t>
        </w:r>
        <w:r>
          <w:rPr>
            <w:sz w:val="20"/>
          </w:rPr>
          <w:t>Analysis</w:t>
          <w:tab/>
          <w:t>177</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198">
        <w:r>
          <w:rPr>
            <w:sz w:val="20"/>
          </w:rPr>
          <w:t>Assumptions Rationale</w:t>
          <w:tab/>
          <w:t>178</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199">
        <w:r>
          <w:rPr>
            <w:sz w:val="20"/>
          </w:rPr>
          <w:t>Demand and</w:t>
        </w:r>
        <w:r>
          <w:rPr>
            <w:spacing w:val="-4"/>
            <w:sz w:val="20"/>
          </w:rPr>
          <w:t> </w:t>
        </w:r>
        <w:r>
          <w:rPr>
            <w:sz w:val="20"/>
          </w:rPr>
          <w:t>Supply</w:t>
        </w:r>
        <w:r>
          <w:rPr>
            <w:spacing w:val="1"/>
            <w:sz w:val="20"/>
          </w:rPr>
          <w:t> </w:t>
        </w:r>
        <w:r>
          <w:rPr>
            <w:sz w:val="20"/>
          </w:rPr>
          <w:t>Dynamics</w:t>
          <w:tab/>
          <w:t>178</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00">
        <w:r>
          <w:rPr>
            <w:sz w:val="20"/>
          </w:rPr>
          <w:t>Lease</w:t>
        </w:r>
        <w:r>
          <w:rPr>
            <w:spacing w:val="-1"/>
            <w:sz w:val="20"/>
          </w:rPr>
          <w:t> </w:t>
        </w:r>
        <w:r>
          <w:rPr>
            <w:sz w:val="20"/>
          </w:rPr>
          <w:t>Rental</w:t>
        </w:r>
        <w:r>
          <w:rPr>
            <w:spacing w:val="-2"/>
            <w:sz w:val="20"/>
          </w:rPr>
          <w:t> </w:t>
        </w:r>
        <w:r>
          <w:rPr>
            <w:sz w:val="20"/>
          </w:rPr>
          <w:t>Analysis</w:t>
          <w:tab/>
          <w:t>180</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01">
        <w:r>
          <w:rPr>
            <w:sz w:val="20"/>
          </w:rPr>
          <w:t>Value</w:t>
        </w:r>
        <w:r>
          <w:rPr>
            <w:spacing w:val="-1"/>
            <w:sz w:val="20"/>
          </w:rPr>
          <w:t> </w:t>
        </w:r>
        <w:r>
          <w:rPr>
            <w:sz w:val="20"/>
          </w:rPr>
          <w:t>Assessment</w:t>
          <w:tab/>
          <w:t>182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02">
        <w:r>
          <w:rPr>
            <w:sz w:val="20"/>
          </w:rPr>
          <w:t>Adopted</w:t>
        </w:r>
        <w:r>
          <w:rPr>
            <w:spacing w:val="-2"/>
            <w:sz w:val="20"/>
          </w:rPr>
          <w:t> </w:t>
        </w:r>
        <w:r>
          <w:rPr>
            <w:sz w:val="20"/>
          </w:rPr>
          <w:t>Methodology</w:t>
          <w:tab/>
          <w:t>182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03">
        <w:r>
          <w:rPr>
            <w:sz w:val="20"/>
          </w:rPr>
          <w:t>Area</w:t>
        </w:r>
        <w:r>
          <w:rPr>
            <w:spacing w:val="-3"/>
            <w:sz w:val="20"/>
          </w:rPr>
          <w:t> </w:t>
        </w:r>
        <w:r>
          <w:rPr>
            <w:sz w:val="20"/>
          </w:rPr>
          <w:t>statement</w:t>
          <w:tab/>
          <w:t>182</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04">
        <w:r>
          <w:rPr>
            <w:sz w:val="20"/>
          </w:rPr>
          <w:t>Construction</w:t>
        </w:r>
        <w:r>
          <w:rPr>
            <w:spacing w:val="-3"/>
            <w:sz w:val="20"/>
          </w:rPr>
          <w:t> </w:t>
        </w:r>
        <w:r>
          <w:rPr>
            <w:sz w:val="20"/>
          </w:rPr>
          <w:t>Timelines</w:t>
          <w:tab/>
          <w:t>183</w:t>
        </w:r>
      </w:hyperlink>
    </w:p>
    <w:p>
      <w:pPr>
        <w:pStyle w:val="ListParagraph"/>
        <w:numPr>
          <w:ilvl w:val="2"/>
          <w:numId w:val="13"/>
        </w:numPr>
        <w:tabs>
          <w:tab w:pos="2266" w:val="left" w:leader="none"/>
          <w:tab w:pos="10489" w:val="right" w:leader="dot"/>
        </w:tabs>
        <w:spacing w:line="240" w:lineRule="auto" w:before="129" w:after="0"/>
        <w:ind w:left="2265" w:right="0" w:hanging="709"/>
        <w:jc w:val="left"/>
        <w:rPr>
          <w:sz w:val="20"/>
        </w:rPr>
      </w:pPr>
      <w:hyperlink w:history="true" w:anchor="_bookmark205">
        <w:r>
          <w:rPr>
            <w:sz w:val="20"/>
          </w:rPr>
          <w:t>Absorption/ Leasing Velocity and</w:t>
        </w:r>
        <w:r>
          <w:rPr>
            <w:spacing w:val="-13"/>
            <w:sz w:val="20"/>
          </w:rPr>
          <w:t> </w:t>
        </w:r>
        <w:r>
          <w:rPr>
            <w:sz w:val="20"/>
          </w:rPr>
          <w:t>Occupancy</w:t>
        </w:r>
        <w:r>
          <w:rPr>
            <w:spacing w:val="-2"/>
            <w:sz w:val="20"/>
          </w:rPr>
          <w:t> </w:t>
        </w:r>
        <w:r>
          <w:rPr>
            <w:sz w:val="20"/>
          </w:rPr>
          <w:t>Profile</w:t>
          <w:tab/>
          <w:t>183</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06">
        <w:r>
          <w:rPr>
            <w:sz w:val="20"/>
          </w:rPr>
          <w:t>Revenue</w:t>
        </w:r>
        <w:r>
          <w:rPr>
            <w:spacing w:val="-1"/>
            <w:sz w:val="20"/>
          </w:rPr>
          <w:t> </w:t>
        </w:r>
        <w:r>
          <w:rPr>
            <w:sz w:val="20"/>
          </w:rPr>
          <w:t>Assumptions</w:t>
          <w:tab/>
          <w:t>183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07">
        <w:r>
          <w:rPr>
            <w:sz w:val="20"/>
          </w:rPr>
          <w:t>Expense</w:t>
        </w:r>
        <w:r>
          <w:rPr>
            <w:spacing w:val="-1"/>
            <w:sz w:val="20"/>
          </w:rPr>
          <w:t> </w:t>
        </w:r>
        <w:r>
          <w:rPr>
            <w:sz w:val="20"/>
          </w:rPr>
          <w:t>Assumptions</w:t>
          <w:tab/>
          <w:t>185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08">
        <w:r>
          <w:rPr>
            <w:sz w:val="20"/>
          </w:rPr>
          <w:t>Other</w:t>
        </w:r>
        <w:r>
          <w:rPr>
            <w:spacing w:val="-1"/>
            <w:sz w:val="20"/>
          </w:rPr>
          <w:t> </w:t>
        </w:r>
        <w:r>
          <w:rPr>
            <w:sz w:val="20"/>
          </w:rPr>
          <w:t>Assumptions</w:t>
          <w:tab/>
          <w:t>185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09">
        <w:r>
          <w:rPr>
            <w:sz w:val="20"/>
          </w:rPr>
          <w:t>Capitalization</w:t>
        </w:r>
        <w:r>
          <w:rPr>
            <w:spacing w:val="-3"/>
            <w:sz w:val="20"/>
          </w:rPr>
          <w:t> </w:t>
        </w:r>
        <w:r>
          <w:rPr>
            <w:sz w:val="20"/>
          </w:rPr>
          <w:t>Rates</w:t>
          <w:tab/>
          <w:t>185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10">
        <w:r>
          <w:rPr>
            <w:sz w:val="20"/>
          </w:rPr>
          <w:t>Discount</w:t>
        </w:r>
        <w:r>
          <w:rPr>
            <w:spacing w:val="-2"/>
            <w:sz w:val="20"/>
          </w:rPr>
          <w:t> </w:t>
        </w:r>
        <w:r>
          <w:rPr>
            <w:sz w:val="20"/>
          </w:rPr>
          <w:t>Rate</w:t>
          <w:tab/>
          <w:t>186</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211">
        <w:r>
          <w:rPr>
            <w:sz w:val="20"/>
          </w:rPr>
          <w:t>Value of the</w:t>
        </w:r>
        <w:r>
          <w:rPr>
            <w:spacing w:val="-7"/>
            <w:sz w:val="20"/>
          </w:rPr>
          <w:t> </w:t>
        </w:r>
        <w:r>
          <w:rPr>
            <w:sz w:val="20"/>
          </w:rPr>
          <w:t>Subject</w:t>
        </w:r>
        <w:r>
          <w:rPr>
            <w:spacing w:val="-1"/>
            <w:sz w:val="20"/>
          </w:rPr>
          <w:t> </w:t>
        </w:r>
        <w:r>
          <w:rPr>
            <w:sz w:val="20"/>
          </w:rPr>
          <w:t>Property</w:t>
          <w:tab/>
          <w:t>186</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212">
        <w:r>
          <w:rPr>
            <w:sz w:val="20"/>
          </w:rPr>
          <w:t>Embassy Qubix</w:t>
          <w:tab/>
          <w:t>187</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13">
        <w:r>
          <w:rPr>
            <w:sz w:val="20"/>
          </w:rPr>
          <w:t>Property</w:t>
        </w:r>
        <w:r>
          <w:rPr>
            <w:spacing w:val="-1"/>
            <w:sz w:val="20"/>
          </w:rPr>
          <w:t> </w:t>
        </w:r>
        <w:r>
          <w:rPr>
            <w:sz w:val="20"/>
          </w:rPr>
          <w:t>Description</w:t>
          <w:tab/>
          <w:t>187</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14">
        <w:r>
          <w:rPr>
            <w:sz w:val="20"/>
          </w:rPr>
          <w:t>Site</w:t>
        </w:r>
        <w:r>
          <w:rPr>
            <w:spacing w:val="-1"/>
            <w:sz w:val="20"/>
          </w:rPr>
          <w:t> </w:t>
        </w:r>
        <w:r>
          <w:rPr>
            <w:sz w:val="20"/>
          </w:rPr>
          <w:t>Details</w:t>
          <w:tab/>
          <w:t>187</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15">
        <w:r>
          <w:rPr>
            <w:sz w:val="20"/>
          </w:rPr>
          <w:t>Legal</w:t>
        </w:r>
        <w:r>
          <w:rPr>
            <w:spacing w:val="-2"/>
            <w:sz w:val="20"/>
          </w:rPr>
          <w:t> </w:t>
        </w:r>
        <w:r>
          <w:rPr>
            <w:sz w:val="20"/>
          </w:rPr>
          <w:t>Details</w:t>
          <w:tab/>
          <w:t>191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16">
        <w:r>
          <w:rPr>
            <w:sz w:val="20"/>
          </w:rPr>
          <w:t>Town</w:t>
        </w:r>
        <w:r>
          <w:rPr>
            <w:spacing w:val="-2"/>
            <w:sz w:val="20"/>
          </w:rPr>
          <w:t> </w:t>
        </w:r>
        <w:r>
          <w:rPr>
            <w:sz w:val="20"/>
          </w:rPr>
          <w:t>Planning</w:t>
          <w:tab/>
          <w:t>191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17">
        <w:r>
          <w:rPr>
            <w:sz w:val="20"/>
          </w:rPr>
          <w:t>Statutory Approvals, One Time Sanctions &amp;</w:t>
        </w:r>
        <w:r>
          <w:rPr>
            <w:spacing w:val="-15"/>
            <w:sz w:val="20"/>
          </w:rPr>
          <w:t> </w:t>
        </w:r>
        <w:r>
          <w:rPr>
            <w:sz w:val="20"/>
          </w:rPr>
          <w:t>Periodic</w:t>
        </w:r>
        <w:r>
          <w:rPr>
            <w:spacing w:val="-5"/>
            <w:sz w:val="20"/>
          </w:rPr>
          <w:t> </w:t>
        </w:r>
        <w:r>
          <w:rPr>
            <w:sz w:val="20"/>
          </w:rPr>
          <w:t>Clearances</w:t>
          <w:tab/>
          <w:t>192</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18">
        <w:r>
          <w:rPr>
            <w:sz w:val="20"/>
          </w:rPr>
          <w:t>Area Details, Type and Age of</w:t>
        </w:r>
        <w:r>
          <w:rPr>
            <w:spacing w:val="-19"/>
            <w:sz w:val="20"/>
          </w:rPr>
          <w:t> </w:t>
        </w:r>
        <w:r>
          <w:rPr>
            <w:sz w:val="20"/>
          </w:rPr>
          <w:t>Existing</w:t>
        </w:r>
        <w:r>
          <w:rPr>
            <w:spacing w:val="-5"/>
            <w:sz w:val="20"/>
          </w:rPr>
          <w:t> </w:t>
        </w:r>
        <w:r>
          <w:rPr>
            <w:sz w:val="20"/>
          </w:rPr>
          <w:t>Structures</w:t>
          <w:tab/>
          <w:t>192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19">
        <w:r>
          <w:rPr>
            <w:sz w:val="20"/>
          </w:rPr>
          <w:t>Construction, Services</w:t>
        </w:r>
        <w:r>
          <w:rPr>
            <w:spacing w:val="-4"/>
            <w:sz w:val="20"/>
          </w:rPr>
          <w:t> </w:t>
        </w:r>
        <w:r>
          <w:rPr>
            <w:sz w:val="20"/>
          </w:rPr>
          <w:t>and</w:t>
        </w:r>
        <w:r>
          <w:rPr>
            <w:spacing w:val="-3"/>
            <w:sz w:val="20"/>
          </w:rPr>
          <w:t> </w:t>
        </w:r>
        <w:r>
          <w:rPr>
            <w:sz w:val="20"/>
          </w:rPr>
          <w:t>Finishes</w:t>
          <w:tab/>
          <w:t>193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20">
        <w:r>
          <w:rPr>
            <w:sz w:val="20"/>
          </w:rPr>
          <w:t>Condition</w:t>
        </w:r>
        <w:r>
          <w:rPr>
            <w:spacing w:val="-3"/>
            <w:sz w:val="20"/>
          </w:rPr>
          <w:t> </w:t>
        </w:r>
        <w:r>
          <w:rPr>
            <w:sz w:val="20"/>
          </w:rPr>
          <w:t>&amp; Repair</w:t>
          <w:tab/>
          <w:t>193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21">
        <w:r>
          <w:rPr>
            <w:sz w:val="20"/>
          </w:rPr>
          <w:t>Property</w:t>
        </w:r>
        <w:r>
          <w:rPr>
            <w:spacing w:val="-1"/>
            <w:sz w:val="20"/>
          </w:rPr>
          <w:t> </w:t>
        </w:r>
        <w:r>
          <w:rPr>
            <w:sz w:val="20"/>
          </w:rPr>
          <w:t>Photographs</w:t>
          <w:tab/>
          <w:t>194</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222">
        <w:r>
          <w:rPr>
            <w:sz w:val="20"/>
          </w:rPr>
          <w:t>Tenancy</w:t>
        </w:r>
        <w:r>
          <w:rPr>
            <w:spacing w:val="-1"/>
            <w:sz w:val="20"/>
          </w:rPr>
          <w:t> </w:t>
        </w:r>
        <w:r>
          <w:rPr>
            <w:sz w:val="20"/>
          </w:rPr>
          <w:t>Analysis</w:t>
          <w:tab/>
          <w:t>195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23">
        <w:r>
          <w:rPr>
            <w:sz w:val="20"/>
          </w:rPr>
          <w:t>Historical Committed</w:t>
        </w:r>
        <w:r>
          <w:rPr>
            <w:spacing w:val="-6"/>
            <w:sz w:val="20"/>
          </w:rPr>
          <w:t> </w:t>
        </w:r>
        <w:r>
          <w:rPr>
            <w:sz w:val="20"/>
          </w:rPr>
          <w:t>Occupancy</w:t>
        </w:r>
        <w:r>
          <w:rPr>
            <w:spacing w:val="-1"/>
            <w:sz w:val="20"/>
          </w:rPr>
          <w:t> </w:t>
        </w:r>
        <w:r>
          <w:rPr>
            <w:sz w:val="20"/>
          </w:rPr>
          <w:t>Rates</w:t>
          <w:tab/>
          <w:t>195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24">
        <w:r>
          <w:rPr>
            <w:sz w:val="20"/>
          </w:rPr>
          <w:t>Lease</w:t>
        </w:r>
        <w:r>
          <w:rPr>
            <w:spacing w:val="-1"/>
            <w:sz w:val="20"/>
          </w:rPr>
          <w:t> </w:t>
        </w:r>
        <w:r>
          <w:rPr>
            <w:sz w:val="20"/>
          </w:rPr>
          <w:t>Expiry</w:t>
        </w:r>
        <w:r>
          <w:rPr>
            <w:spacing w:val="-1"/>
            <w:sz w:val="20"/>
          </w:rPr>
          <w:t> </w:t>
        </w:r>
        <w:r>
          <w:rPr>
            <w:sz w:val="20"/>
          </w:rPr>
          <w:t>Analysis</w:t>
          <w:tab/>
          <w:t>195</w:t>
        </w:r>
      </w:hyperlink>
    </w:p>
    <w:p>
      <w:pPr>
        <w:spacing w:after="0" w:line="240" w:lineRule="auto"/>
        <w:jc w:val="left"/>
        <w:rPr>
          <w:sz w:val="20"/>
        </w:rPr>
        <w:sectPr>
          <w:pgSz w:w="11910" w:h="16840"/>
          <w:pgMar w:header="720" w:footer="842" w:top="1520" w:bottom="1040" w:left="440" w:right="80"/>
        </w:sectPr>
      </w:pPr>
    </w:p>
    <w:p>
      <w:pPr>
        <w:pStyle w:val="ListParagraph"/>
        <w:numPr>
          <w:ilvl w:val="2"/>
          <w:numId w:val="13"/>
        </w:numPr>
        <w:tabs>
          <w:tab w:pos="2266" w:val="left" w:leader="none"/>
          <w:tab w:pos="10489" w:val="right" w:leader="dot"/>
        </w:tabs>
        <w:spacing w:line="240" w:lineRule="auto" w:before="208" w:after="0"/>
        <w:ind w:left="2265" w:right="0" w:hanging="709"/>
        <w:jc w:val="left"/>
        <w:rPr>
          <w:sz w:val="20"/>
        </w:rPr>
      </w:pPr>
      <w:hyperlink w:history="true" w:anchor="_bookmark225">
        <w:r>
          <w:rPr>
            <w:sz w:val="20"/>
          </w:rPr>
          <w:t>Escalation</w:t>
        </w:r>
        <w:r>
          <w:rPr>
            <w:spacing w:val="-3"/>
            <w:sz w:val="20"/>
          </w:rPr>
          <w:t> </w:t>
        </w:r>
        <w:r>
          <w:rPr>
            <w:sz w:val="20"/>
          </w:rPr>
          <w:t>Analysis</w:t>
          <w:tab/>
          <w:t>195</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26">
        <w:r>
          <w:rPr>
            <w:sz w:val="20"/>
          </w:rPr>
          <w:t>Assumptions Rationale</w:t>
          <w:tab/>
          <w:t>195</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27">
        <w:r>
          <w:rPr>
            <w:sz w:val="20"/>
          </w:rPr>
          <w:t>Demand and</w:t>
        </w:r>
        <w:r>
          <w:rPr>
            <w:spacing w:val="-4"/>
            <w:sz w:val="20"/>
          </w:rPr>
          <w:t> </w:t>
        </w:r>
        <w:r>
          <w:rPr>
            <w:sz w:val="20"/>
          </w:rPr>
          <w:t>Supply</w:t>
        </w:r>
        <w:r>
          <w:rPr>
            <w:spacing w:val="1"/>
            <w:sz w:val="20"/>
          </w:rPr>
          <w:t> </w:t>
        </w:r>
        <w:r>
          <w:rPr>
            <w:sz w:val="20"/>
          </w:rPr>
          <w:t>Dynamics</w:t>
          <w:tab/>
          <w:t>196</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28">
        <w:r>
          <w:rPr>
            <w:sz w:val="20"/>
          </w:rPr>
          <w:t>Lease</w:t>
        </w:r>
        <w:r>
          <w:rPr>
            <w:spacing w:val="-1"/>
            <w:sz w:val="20"/>
          </w:rPr>
          <w:t> </w:t>
        </w:r>
        <w:r>
          <w:rPr>
            <w:sz w:val="20"/>
          </w:rPr>
          <w:t>Rental</w:t>
        </w:r>
        <w:r>
          <w:rPr>
            <w:spacing w:val="-2"/>
            <w:sz w:val="20"/>
          </w:rPr>
          <w:t> </w:t>
        </w:r>
        <w:r>
          <w:rPr>
            <w:sz w:val="20"/>
          </w:rPr>
          <w:t>Analysis</w:t>
          <w:tab/>
          <w:t>198</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29">
        <w:r>
          <w:rPr>
            <w:sz w:val="20"/>
          </w:rPr>
          <w:t>Value</w:t>
        </w:r>
        <w:r>
          <w:rPr>
            <w:spacing w:val="-1"/>
            <w:sz w:val="20"/>
          </w:rPr>
          <w:t> </w:t>
        </w:r>
        <w:r>
          <w:rPr>
            <w:sz w:val="20"/>
          </w:rPr>
          <w:t>Assessment</w:t>
          <w:tab/>
          <w:t>200</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30">
        <w:r>
          <w:rPr>
            <w:sz w:val="20"/>
          </w:rPr>
          <w:t>Adopted</w:t>
        </w:r>
        <w:r>
          <w:rPr>
            <w:spacing w:val="-2"/>
            <w:sz w:val="20"/>
          </w:rPr>
          <w:t> </w:t>
        </w:r>
        <w:r>
          <w:rPr>
            <w:sz w:val="20"/>
          </w:rPr>
          <w:t>Methodology</w:t>
          <w:tab/>
          <w:t>200</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31">
        <w:r>
          <w:rPr>
            <w:sz w:val="20"/>
          </w:rPr>
          <w:t>Area</w:t>
        </w:r>
        <w:r>
          <w:rPr>
            <w:spacing w:val="-3"/>
            <w:sz w:val="20"/>
          </w:rPr>
          <w:t> </w:t>
        </w:r>
        <w:r>
          <w:rPr>
            <w:sz w:val="20"/>
          </w:rPr>
          <w:t>statement</w:t>
          <w:tab/>
          <w:t>200</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32">
        <w:r>
          <w:rPr>
            <w:sz w:val="20"/>
          </w:rPr>
          <w:t>Construction</w:t>
        </w:r>
        <w:r>
          <w:rPr>
            <w:spacing w:val="-3"/>
            <w:sz w:val="20"/>
          </w:rPr>
          <w:t> </w:t>
        </w:r>
        <w:r>
          <w:rPr>
            <w:sz w:val="20"/>
          </w:rPr>
          <w:t>Timelines</w:t>
          <w:tab/>
          <w:t>201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33">
        <w:r>
          <w:rPr>
            <w:sz w:val="20"/>
          </w:rPr>
          <w:t>Absorption/ Leasing Velocity and</w:t>
        </w:r>
        <w:r>
          <w:rPr>
            <w:spacing w:val="-13"/>
            <w:sz w:val="20"/>
          </w:rPr>
          <w:t> </w:t>
        </w:r>
        <w:r>
          <w:rPr>
            <w:sz w:val="20"/>
          </w:rPr>
          <w:t>Occupancy</w:t>
        </w:r>
        <w:r>
          <w:rPr>
            <w:spacing w:val="-2"/>
            <w:sz w:val="20"/>
          </w:rPr>
          <w:t> </w:t>
        </w:r>
        <w:r>
          <w:rPr>
            <w:sz w:val="20"/>
          </w:rPr>
          <w:t>Profile</w:t>
          <w:tab/>
          <w:t>201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34">
        <w:r>
          <w:rPr>
            <w:sz w:val="20"/>
          </w:rPr>
          <w:t>Revenue</w:t>
        </w:r>
        <w:r>
          <w:rPr>
            <w:spacing w:val="-1"/>
            <w:sz w:val="20"/>
          </w:rPr>
          <w:t> </w:t>
        </w:r>
        <w:r>
          <w:rPr>
            <w:sz w:val="20"/>
          </w:rPr>
          <w:t>Assumptions</w:t>
          <w:tab/>
          <w:t>201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35">
        <w:r>
          <w:rPr>
            <w:sz w:val="20"/>
          </w:rPr>
          <w:t>Expense</w:t>
        </w:r>
        <w:r>
          <w:rPr>
            <w:spacing w:val="-1"/>
            <w:sz w:val="20"/>
          </w:rPr>
          <w:t> </w:t>
        </w:r>
        <w:r>
          <w:rPr>
            <w:sz w:val="20"/>
          </w:rPr>
          <w:t>Assumptions</w:t>
          <w:tab/>
          <w:t>203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36">
        <w:r>
          <w:rPr>
            <w:sz w:val="20"/>
          </w:rPr>
          <w:t>Other</w:t>
        </w:r>
        <w:r>
          <w:rPr>
            <w:spacing w:val="-1"/>
            <w:sz w:val="20"/>
          </w:rPr>
          <w:t> </w:t>
        </w:r>
        <w:r>
          <w:rPr>
            <w:sz w:val="20"/>
          </w:rPr>
          <w:t>Assumptions</w:t>
          <w:tab/>
          <w:t>203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37">
        <w:r>
          <w:rPr>
            <w:sz w:val="20"/>
          </w:rPr>
          <w:t>Capitalization</w:t>
        </w:r>
        <w:r>
          <w:rPr>
            <w:spacing w:val="-3"/>
            <w:sz w:val="20"/>
          </w:rPr>
          <w:t> </w:t>
        </w:r>
        <w:r>
          <w:rPr>
            <w:sz w:val="20"/>
          </w:rPr>
          <w:t>Rates</w:t>
          <w:tab/>
          <w:t>203</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38">
        <w:r>
          <w:rPr>
            <w:sz w:val="20"/>
          </w:rPr>
          <w:t>Discount</w:t>
        </w:r>
        <w:r>
          <w:rPr>
            <w:spacing w:val="-2"/>
            <w:sz w:val="20"/>
          </w:rPr>
          <w:t> </w:t>
        </w:r>
        <w:r>
          <w:rPr>
            <w:sz w:val="20"/>
          </w:rPr>
          <w:t>Rate</w:t>
          <w:tab/>
          <w:t>204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39">
        <w:r>
          <w:rPr>
            <w:sz w:val="20"/>
          </w:rPr>
          <w:t>Value of the</w:t>
        </w:r>
        <w:r>
          <w:rPr>
            <w:spacing w:val="-7"/>
            <w:sz w:val="20"/>
          </w:rPr>
          <w:t> </w:t>
        </w:r>
        <w:r>
          <w:rPr>
            <w:sz w:val="20"/>
          </w:rPr>
          <w:t>Subject</w:t>
        </w:r>
        <w:r>
          <w:rPr>
            <w:spacing w:val="-1"/>
            <w:sz w:val="20"/>
          </w:rPr>
          <w:t> </w:t>
        </w:r>
        <w:r>
          <w:rPr>
            <w:sz w:val="20"/>
          </w:rPr>
          <w:t>Property</w:t>
          <w:tab/>
          <w:t>204</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240">
        <w:r>
          <w:rPr>
            <w:sz w:val="20"/>
          </w:rPr>
          <w:t>Embassy Oxygen</w:t>
          <w:tab/>
          <w:t>205</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41">
        <w:r>
          <w:rPr>
            <w:sz w:val="20"/>
          </w:rPr>
          <w:t>Property</w:t>
        </w:r>
        <w:r>
          <w:rPr>
            <w:spacing w:val="-1"/>
            <w:sz w:val="20"/>
          </w:rPr>
          <w:t> </w:t>
        </w:r>
        <w:r>
          <w:rPr>
            <w:sz w:val="20"/>
          </w:rPr>
          <w:t>Description</w:t>
          <w:tab/>
          <w:t>205</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42">
        <w:r>
          <w:rPr>
            <w:sz w:val="20"/>
          </w:rPr>
          <w:t>Site</w:t>
        </w:r>
        <w:r>
          <w:rPr>
            <w:spacing w:val="-1"/>
            <w:sz w:val="20"/>
          </w:rPr>
          <w:t> </w:t>
        </w:r>
        <w:r>
          <w:rPr>
            <w:sz w:val="20"/>
          </w:rPr>
          <w:t>Details</w:t>
          <w:tab/>
          <w:t>205</w:t>
        </w:r>
      </w:hyperlink>
    </w:p>
    <w:p>
      <w:pPr>
        <w:pStyle w:val="ListParagraph"/>
        <w:numPr>
          <w:ilvl w:val="2"/>
          <w:numId w:val="13"/>
        </w:numPr>
        <w:tabs>
          <w:tab w:pos="2266" w:val="left" w:leader="none"/>
          <w:tab w:pos="10489" w:val="right" w:leader="dot"/>
        </w:tabs>
        <w:spacing w:line="240" w:lineRule="auto" w:before="129" w:after="0"/>
        <w:ind w:left="2265" w:right="0" w:hanging="709"/>
        <w:jc w:val="left"/>
        <w:rPr>
          <w:sz w:val="20"/>
        </w:rPr>
      </w:pPr>
      <w:hyperlink w:history="true" w:anchor="_bookmark243">
        <w:r>
          <w:rPr>
            <w:sz w:val="20"/>
          </w:rPr>
          <w:t>Legal</w:t>
        </w:r>
        <w:r>
          <w:rPr>
            <w:spacing w:val="-2"/>
            <w:sz w:val="20"/>
          </w:rPr>
          <w:t> </w:t>
        </w:r>
        <w:r>
          <w:rPr>
            <w:sz w:val="20"/>
          </w:rPr>
          <w:t>Details</w:t>
          <w:tab/>
          <w:t>209</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44">
        <w:r>
          <w:rPr>
            <w:sz w:val="20"/>
          </w:rPr>
          <w:t>Town</w:t>
        </w:r>
        <w:r>
          <w:rPr>
            <w:spacing w:val="-2"/>
            <w:sz w:val="20"/>
          </w:rPr>
          <w:t> </w:t>
        </w:r>
        <w:r>
          <w:rPr>
            <w:sz w:val="20"/>
          </w:rPr>
          <w:t>Planning</w:t>
          <w:tab/>
          <w:t>209</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45">
        <w:r>
          <w:rPr>
            <w:sz w:val="20"/>
          </w:rPr>
          <w:t>Statutory Approvals, One Time Sanctions &amp;</w:t>
        </w:r>
        <w:r>
          <w:rPr>
            <w:spacing w:val="-20"/>
            <w:sz w:val="20"/>
          </w:rPr>
          <w:t> </w:t>
        </w:r>
        <w:r>
          <w:rPr>
            <w:sz w:val="20"/>
          </w:rPr>
          <w:t>Periodic</w:t>
        </w:r>
        <w:r>
          <w:rPr>
            <w:spacing w:val="-5"/>
            <w:sz w:val="20"/>
          </w:rPr>
          <w:t> </w:t>
        </w:r>
        <w:r>
          <w:rPr>
            <w:sz w:val="20"/>
          </w:rPr>
          <w:t>Clearances</w:t>
          <w:tab/>
          <w:t>210</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46">
        <w:r>
          <w:rPr>
            <w:sz w:val="20"/>
          </w:rPr>
          <w:t>Area Details, Type and Age of</w:t>
        </w:r>
        <w:r>
          <w:rPr>
            <w:spacing w:val="-19"/>
            <w:sz w:val="20"/>
          </w:rPr>
          <w:t> </w:t>
        </w:r>
        <w:r>
          <w:rPr>
            <w:sz w:val="20"/>
          </w:rPr>
          <w:t>Existing</w:t>
        </w:r>
        <w:r>
          <w:rPr>
            <w:spacing w:val="-5"/>
            <w:sz w:val="20"/>
          </w:rPr>
          <w:t> </w:t>
        </w:r>
        <w:r>
          <w:rPr>
            <w:sz w:val="20"/>
          </w:rPr>
          <w:t>Structures</w:t>
          <w:tab/>
          <w:t>211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47">
        <w:r>
          <w:rPr>
            <w:sz w:val="20"/>
          </w:rPr>
          <w:t>Site Services</w:t>
        </w:r>
        <w:r>
          <w:rPr>
            <w:spacing w:val="-2"/>
            <w:sz w:val="20"/>
          </w:rPr>
          <w:t> </w:t>
        </w:r>
        <w:r>
          <w:rPr>
            <w:sz w:val="20"/>
          </w:rPr>
          <w:t>and</w:t>
        </w:r>
        <w:r>
          <w:rPr>
            <w:spacing w:val="-2"/>
            <w:sz w:val="20"/>
          </w:rPr>
          <w:t> </w:t>
        </w:r>
        <w:r>
          <w:rPr>
            <w:sz w:val="20"/>
          </w:rPr>
          <w:t>Finishes</w:t>
          <w:tab/>
          <w:t>212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48">
        <w:r>
          <w:rPr>
            <w:sz w:val="20"/>
          </w:rPr>
          <w:t>Condition</w:t>
        </w:r>
        <w:r>
          <w:rPr>
            <w:spacing w:val="-3"/>
            <w:sz w:val="20"/>
          </w:rPr>
          <w:t> </w:t>
        </w:r>
        <w:r>
          <w:rPr>
            <w:sz w:val="20"/>
          </w:rPr>
          <w:t>&amp; Repair</w:t>
          <w:tab/>
          <w:t>212</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49">
        <w:r>
          <w:rPr>
            <w:sz w:val="20"/>
          </w:rPr>
          <w:t>Property</w:t>
        </w:r>
        <w:r>
          <w:rPr>
            <w:spacing w:val="-1"/>
            <w:sz w:val="20"/>
          </w:rPr>
          <w:t> </w:t>
        </w:r>
        <w:r>
          <w:rPr>
            <w:sz w:val="20"/>
          </w:rPr>
          <w:t>Photographs</w:t>
          <w:tab/>
          <w:t>214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50">
        <w:r>
          <w:rPr>
            <w:sz w:val="20"/>
          </w:rPr>
          <w:t>Tenancy</w:t>
        </w:r>
        <w:r>
          <w:rPr>
            <w:spacing w:val="-1"/>
            <w:sz w:val="20"/>
          </w:rPr>
          <w:t> </w:t>
        </w:r>
        <w:r>
          <w:rPr>
            <w:sz w:val="20"/>
          </w:rPr>
          <w:t>Analysis</w:t>
          <w:tab/>
          <w:t>215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51">
        <w:r>
          <w:rPr>
            <w:sz w:val="20"/>
          </w:rPr>
          <w:t>Historical Committed</w:t>
        </w:r>
        <w:r>
          <w:rPr>
            <w:spacing w:val="-6"/>
            <w:sz w:val="20"/>
          </w:rPr>
          <w:t> </w:t>
        </w:r>
        <w:r>
          <w:rPr>
            <w:sz w:val="20"/>
          </w:rPr>
          <w:t>Occupancy</w:t>
        </w:r>
        <w:r>
          <w:rPr>
            <w:spacing w:val="-1"/>
            <w:sz w:val="20"/>
          </w:rPr>
          <w:t> </w:t>
        </w:r>
        <w:r>
          <w:rPr>
            <w:sz w:val="20"/>
          </w:rPr>
          <w:t>Rates</w:t>
          <w:tab/>
          <w:t>215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52">
        <w:r>
          <w:rPr>
            <w:sz w:val="20"/>
          </w:rPr>
          <w:t>Lease</w:t>
        </w:r>
        <w:r>
          <w:rPr>
            <w:spacing w:val="-1"/>
            <w:sz w:val="20"/>
          </w:rPr>
          <w:t> </w:t>
        </w:r>
        <w:r>
          <w:rPr>
            <w:sz w:val="20"/>
          </w:rPr>
          <w:t>Expiry</w:t>
        </w:r>
        <w:r>
          <w:rPr>
            <w:spacing w:val="-1"/>
            <w:sz w:val="20"/>
          </w:rPr>
          <w:t> </w:t>
        </w:r>
        <w:r>
          <w:rPr>
            <w:sz w:val="20"/>
          </w:rPr>
          <w:t>Analysis</w:t>
          <w:tab/>
          <w:t>215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53">
        <w:r>
          <w:rPr>
            <w:sz w:val="20"/>
          </w:rPr>
          <w:t>Escalation</w:t>
        </w:r>
        <w:r>
          <w:rPr>
            <w:spacing w:val="-3"/>
            <w:sz w:val="20"/>
          </w:rPr>
          <w:t> </w:t>
        </w:r>
        <w:r>
          <w:rPr>
            <w:sz w:val="20"/>
          </w:rPr>
          <w:t>Analysis</w:t>
          <w:tab/>
          <w:t>215</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54">
        <w:r>
          <w:rPr>
            <w:sz w:val="20"/>
          </w:rPr>
          <w:t>Assumptions Rationale</w:t>
          <w:tab/>
          <w:t>216</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55">
        <w:r>
          <w:rPr>
            <w:sz w:val="20"/>
          </w:rPr>
          <w:t>Demand and</w:t>
        </w:r>
        <w:r>
          <w:rPr>
            <w:spacing w:val="-4"/>
            <w:sz w:val="20"/>
          </w:rPr>
          <w:t> </w:t>
        </w:r>
        <w:r>
          <w:rPr>
            <w:sz w:val="20"/>
          </w:rPr>
          <w:t>Supply</w:t>
        </w:r>
        <w:r>
          <w:rPr>
            <w:spacing w:val="1"/>
            <w:sz w:val="20"/>
          </w:rPr>
          <w:t> </w:t>
        </w:r>
        <w:r>
          <w:rPr>
            <w:sz w:val="20"/>
          </w:rPr>
          <w:t>Dynamics</w:t>
          <w:tab/>
          <w:t>217</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56">
        <w:r>
          <w:rPr>
            <w:sz w:val="20"/>
          </w:rPr>
          <w:t>Lease</w:t>
        </w:r>
        <w:r>
          <w:rPr>
            <w:spacing w:val="-1"/>
            <w:sz w:val="20"/>
          </w:rPr>
          <w:t> </w:t>
        </w:r>
        <w:r>
          <w:rPr>
            <w:sz w:val="20"/>
          </w:rPr>
          <w:t>Rent</w:t>
        </w:r>
        <w:r>
          <w:rPr>
            <w:spacing w:val="-1"/>
            <w:sz w:val="20"/>
          </w:rPr>
          <w:t> </w:t>
        </w:r>
        <w:r>
          <w:rPr>
            <w:sz w:val="20"/>
          </w:rPr>
          <w:t>Analysis</w:t>
          <w:tab/>
          <w:t>219</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57">
        <w:r>
          <w:rPr>
            <w:sz w:val="20"/>
          </w:rPr>
          <w:t>Value</w:t>
        </w:r>
        <w:r>
          <w:rPr>
            <w:spacing w:val="-1"/>
            <w:sz w:val="20"/>
          </w:rPr>
          <w:t> </w:t>
        </w:r>
        <w:r>
          <w:rPr>
            <w:sz w:val="20"/>
          </w:rPr>
          <w:t>Assessment</w:t>
          <w:tab/>
          <w:t>221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58">
        <w:r>
          <w:rPr>
            <w:sz w:val="20"/>
          </w:rPr>
          <w:t>Adopted</w:t>
        </w:r>
        <w:r>
          <w:rPr>
            <w:spacing w:val="-2"/>
            <w:sz w:val="20"/>
          </w:rPr>
          <w:t> </w:t>
        </w:r>
        <w:r>
          <w:rPr>
            <w:sz w:val="20"/>
          </w:rPr>
          <w:t>Methodology</w:t>
          <w:tab/>
          <w:t>221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59">
        <w:r>
          <w:rPr>
            <w:sz w:val="20"/>
          </w:rPr>
          <w:t>Area</w:t>
        </w:r>
        <w:r>
          <w:rPr>
            <w:spacing w:val="-3"/>
            <w:sz w:val="20"/>
          </w:rPr>
          <w:t> </w:t>
        </w:r>
        <w:r>
          <w:rPr>
            <w:sz w:val="20"/>
          </w:rPr>
          <w:t>statement</w:t>
          <w:tab/>
          <w:t>221</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60">
        <w:r>
          <w:rPr>
            <w:sz w:val="20"/>
          </w:rPr>
          <w:t>Construction</w:t>
        </w:r>
        <w:r>
          <w:rPr>
            <w:spacing w:val="-3"/>
            <w:sz w:val="20"/>
          </w:rPr>
          <w:t> </w:t>
        </w:r>
        <w:r>
          <w:rPr>
            <w:sz w:val="20"/>
          </w:rPr>
          <w:t>Timelines</w:t>
          <w:tab/>
          <w:t>222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61">
        <w:r>
          <w:rPr>
            <w:sz w:val="20"/>
          </w:rPr>
          <w:t>Absorption/ Leasing Velocity and</w:t>
        </w:r>
        <w:r>
          <w:rPr>
            <w:spacing w:val="-13"/>
            <w:sz w:val="20"/>
          </w:rPr>
          <w:t> </w:t>
        </w:r>
        <w:r>
          <w:rPr>
            <w:sz w:val="20"/>
          </w:rPr>
          <w:t>Occupancy</w:t>
        </w:r>
        <w:r>
          <w:rPr>
            <w:spacing w:val="-2"/>
            <w:sz w:val="20"/>
          </w:rPr>
          <w:t> </w:t>
        </w:r>
        <w:r>
          <w:rPr>
            <w:sz w:val="20"/>
          </w:rPr>
          <w:t>Profile</w:t>
          <w:tab/>
          <w:t>222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62">
        <w:r>
          <w:rPr>
            <w:sz w:val="20"/>
          </w:rPr>
          <w:t>Revenue</w:t>
        </w:r>
        <w:r>
          <w:rPr>
            <w:spacing w:val="-1"/>
            <w:sz w:val="20"/>
          </w:rPr>
          <w:t> </w:t>
        </w:r>
        <w:r>
          <w:rPr>
            <w:sz w:val="20"/>
          </w:rPr>
          <w:t>Assumptions</w:t>
          <w:tab/>
          <w:t>222</w:t>
        </w:r>
      </w:hyperlink>
    </w:p>
    <w:p>
      <w:pPr>
        <w:spacing w:after="0" w:line="240" w:lineRule="auto"/>
        <w:jc w:val="left"/>
        <w:rPr>
          <w:sz w:val="20"/>
        </w:rPr>
        <w:sectPr>
          <w:pgSz w:w="11910" w:h="16840"/>
          <w:pgMar w:header="720" w:footer="842" w:top="1520" w:bottom="1040" w:left="440" w:right="80"/>
        </w:sectPr>
      </w:pPr>
    </w:p>
    <w:p>
      <w:pPr>
        <w:pStyle w:val="ListParagraph"/>
        <w:numPr>
          <w:ilvl w:val="2"/>
          <w:numId w:val="13"/>
        </w:numPr>
        <w:tabs>
          <w:tab w:pos="2266" w:val="left" w:leader="none"/>
          <w:tab w:pos="10489" w:val="right" w:leader="dot"/>
        </w:tabs>
        <w:spacing w:line="240" w:lineRule="auto" w:before="208" w:after="0"/>
        <w:ind w:left="2265" w:right="0" w:hanging="709"/>
        <w:jc w:val="left"/>
        <w:rPr>
          <w:sz w:val="20"/>
        </w:rPr>
      </w:pPr>
      <w:hyperlink w:history="true" w:anchor="_bookmark263">
        <w:r>
          <w:rPr>
            <w:sz w:val="20"/>
          </w:rPr>
          <w:t>Expense</w:t>
        </w:r>
        <w:r>
          <w:rPr>
            <w:spacing w:val="-1"/>
            <w:sz w:val="20"/>
          </w:rPr>
          <w:t> </w:t>
        </w:r>
        <w:r>
          <w:rPr>
            <w:sz w:val="20"/>
          </w:rPr>
          <w:t>Assumptions</w:t>
          <w:tab/>
          <w:t>224</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64">
        <w:r>
          <w:rPr>
            <w:sz w:val="20"/>
          </w:rPr>
          <w:t>Other</w:t>
        </w:r>
        <w:r>
          <w:rPr>
            <w:spacing w:val="-1"/>
            <w:sz w:val="20"/>
          </w:rPr>
          <w:t> </w:t>
        </w:r>
        <w:r>
          <w:rPr>
            <w:sz w:val="20"/>
          </w:rPr>
          <w:t>Assumptions</w:t>
          <w:tab/>
          <w:t>225</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65">
        <w:r>
          <w:rPr>
            <w:sz w:val="20"/>
          </w:rPr>
          <w:t>Capitalization</w:t>
        </w:r>
        <w:r>
          <w:rPr>
            <w:spacing w:val="-3"/>
            <w:sz w:val="20"/>
          </w:rPr>
          <w:t> </w:t>
        </w:r>
        <w:r>
          <w:rPr>
            <w:sz w:val="20"/>
          </w:rPr>
          <w:t>Rates</w:t>
          <w:tab/>
          <w:t>225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66">
        <w:r>
          <w:rPr>
            <w:sz w:val="20"/>
          </w:rPr>
          <w:t>Discount</w:t>
        </w:r>
        <w:r>
          <w:rPr>
            <w:spacing w:val="-2"/>
            <w:sz w:val="20"/>
          </w:rPr>
          <w:t> </w:t>
        </w:r>
        <w:r>
          <w:rPr>
            <w:sz w:val="20"/>
          </w:rPr>
          <w:t>Rate</w:t>
          <w:tab/>
          <w:t>226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67">
        <w:r>
          <w:rPr>
            <w:sz w:val="20"/>
          </w:rPr>
          <w:t>Value of the</w:t>
        </w:r>
        <w:r>
          <w:rPr>
            <w:spacing w:val="-7"/>
            <w:sz w:val="20"/>
          </w:rPr>
          <w:t> </w:t>
        </w:r>
        <w:r>
          <w:rPr>
            <w:sz w:val="20"/>
          </w:rPr>
          <w:t>Subject</w:t>
        </w:r>
        <w:r>
          <w:rPr>
            <w:spacing w:val="-1"/>
            <w:sz w:val="20"/>
          </w:rPr>
          <w:t> </w:t>
        </w:r>
        <w:r>
          <w:rPr>
            <w:sz w:val="20"/>
          </w:rPr>
          <w:t>Property</w:t>
          <w:tab/>
          <w:t>226</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268">
        <w:r>
          <w:rPr>
            <w:sz w:val="20"/>
          </w:rPr>
          <w:t>Embassy Galaxy</w:t>
          <w:tab/>
          <w:t>227</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269">
        <w:r>
          <w:rPr>
            <w:sz w:val="20"/>
          </w:rPr>
          <w:t>Property</w:t>
        </w:r>
        <w:r>
          <w:rPr>
            <w:spacing w:val="-1"/>
            <w:sz w:val="20"/>
          </w:rPr>
          <w:t> </w:t>
        </w:r>
        <w:r>
          <w:rPr>
            <w:sz w:val="20"/>
          </w:rPr>
          <w:t>Description</w:t>
          <w:tab/>
          <w:t>227</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70">
        <w:r>
          <w:rPr>
            <w:sz w:val="20"/>
          </w:rPr>
          <w:t>Site</w:t>
        </w:r>
        <w:r>
          <w:rPr>
            <w:spacing w:val="-1"/>
            <w:sz w:val="20"/>
          </w:rPr>
          <w:t> </w:t>
        </w:r>
        <w:r>
          <w:rPr>
            <w:sz w:val="20"/>
          </w:rPr>
          <w:t>Details</w:t>
          <w:tab/>
          <w:t>227</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71">
        <w:r>
          <w:rPr>
            <w:sz w:val="20"/>
          </w:rPr>
          <w:t>Legal</w:t>
        </w:r>
        <w:r>
          <w:rPr>
            <w:spacing w:val="-2"/>
            <w:sz w:val="20"/>
          </w:rPr>
          <w:t> </w:t>
        </w:r>
        <w:r>
          <w:rPr>
            <w:sz w:val="20"/>
          </w:rPr>
          <w:t>Details</w:t>
          <w:tab/>
          <w:t>231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72">
        <w:r>
          <w:rPr>
            <w:sz w:val="20"/>
          </w:rPr>
          <w:t>Town</w:t>
        </w:r>
        <w:r>
          <w:rPr>
            <w:spacing w:val="-2"/>
            <w:sz w:val="20"/>
          </w:rPr>
          <w:t> </w:t>
        </w:r>
        <w:r>
          <w:rPr>
            <w:sz w:val="20"/>
          </w:rPr>
          <w:t>Planning</w:t>
          <w:tab/>
          <w:t>231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73">
        <w:r>
          <w:rPr>
            <w:sz w:val="20"/>
          </w:rPr>
          <w:t>Statutory Approvals, One Time Sanctions &amp;</w:t>
        </w:r>
        <w:r>
          <w:rPr>
            <w:spacing w:val="-20"/>
            <w:sz w:val="20"/>
          </w:rPr>
          <w:t> </w:t>
        </w:r>
        <w:r>
          <w:rPr>
            <w:sz w:val="20"/>
          </w:rPr>
          <w:t>Periodic</w:t>
        </w:r>
        <w:r>
          <w:rPr>
            <w:spacing w:val="-5"/>
            <w:sz w:val="20"/>
          </w:rPr>
          <w:t> </w:t>
        </w:r>
        <w:r>
          <w:rPr>
            <w:sz w:val="20"/>
          </w:rPr>
          <w:t>Clearances</w:t>
          <w:tab/>
          <w:t>232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74">
        <w:r>
          <w:rPr>
            <w:sz w:val="20"/>
          </w:rPr>
          <w:t>Area Details, Type and Age of</w:t>
        </w:r>
        <w:r>
          <w:rPr>
            <w:spacing w:val="-19"/>
            <w:sz w:val="20"/>
          </w:rPr>
          <w:t> </w:t>
        </w:r>
        <w:r>
          <w:rPr>
            <w:sz w:val="20"/>
          </w:rPr>
          <w:t>Existing</w:t>
        </w:r>
        <w:r>
          <w:rPr>
            <w:spacing w:val="-5"/>
            <w:sz w:val="20"/>
          </w:rPr>
          <w:t> </w:t>
        </w:r>
        <w:r>
          <w:rPr>
            <w:sz w:val="20"/>
          </w:rPr>
          <w:t>Structures</w:t>
          <w:tab/>
          <w:t>233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75">
        <w:r>
          <w:rPr>
            <w:sz w:val="20"/>
          </w:rPr>
          <w:t>Site Services</w:t>
        </w:r>
        <w:r>
          <w:rPr>
            <w:spacing w:val="-2"/>
            <w:sz w:val="20"/>
          </w:rPr>
          <w:t> </w:t>
        </w:r>
        <w:r>
          <w:rPr>
            <w:sz w:val="20"/>
          </w:rPr>
          <w:t>and</w:t>
        </w:r>
        <w:r>
          <w:rPr>
            <w:spacing w:val="-2"/>
            <w:sz w:val="20"/>
          </w:rPr>
          <w:t> </w:t>
        </w:r>
        <w:r>
          <w:rPr>
            <w:sz w:val="20"/>
          </w:rPr>
          <w:t>Finishes</w:t>
          <w:tab/>
          <w:t>233</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76">
        <w:r>
          <w:rPr>
            <w:sz w:val="20"/>
          </w:rPr>
          <w:t>Condition</w:t>
        </w:r>
        <w:r>
          <w:rPr>
            <w:spacing w:val="-3"/>
            <w:sz w:val="20"/>
          </w:rPr>
          <w:t> </w:t>
        </w:r>
        <w:r>
          <w:rPr>
            <w:sz w:val="20"/>
          </w:rPr>
          <w:t>&amp; Repair</w:t>
          <w:tab/>
          <w:t>234</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77">
        <w:r>
          <w:rPr>
            <w:sz w:val="20"/>
          </w:rPr>
          <w:t>Property</w:t>
        </w:r>
        <w:r>
          <w:rPr>
            <w:spacing w:val="-1"/>
            <w:sz w:val="20"/>
          </w:rPr>
          <w:t> </w:t>
        </w:r>
        <w:r>
          <w:rPr>
            <w:sz w:val="20"/>
          </w:rPr>
          <w:t>Photographs</w:t>
          <w:tab/>
          <w:t>235</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78">
        <w:r>
          <w:rPr>
            <w:sz w:val="20"/>
          </w:rPr>
          <w:t>Tenancy</w:t>
        </w:r>
        <w:r>
          <w:rPr>
            <w:spacing w:val="-1"/>
            <w:sz w:val="20"/>
          </w:rPr>
          <w:t> </w:t>
        </w:r>
        <w:r>
          <w:rPr>
            <w:sz w:val="20"/>
          </w:rPr>
          <w:t>Analysis</w:t>
          <w:tab/>
          <w:t>236</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79">
        <w:r>
          <w:rPr>
            <w:sz w:val="20"/>
          </w:rPr>
          <w:t>Historical Committed</w:t>
        </w:r>
        <w:r>
          <w:rPr>
            <w:spacing w:val="-6"/>
            <w:sz w:val="20"/>
          </w:rPr>
          <w:t> </w:t>
        </w:r>
        <w:r>
          <w:rPr>
            <w:sz w:val="20"/>
          </w:rPr>
          <w:t>Occupancy</w:t>
        </w:r>
        <w:r>
          <w:rPr>
            <w:spacing w:val="-1"/>
            <w:sz w:val="20"/>
          </w:rPr>
          <w:t> </w:t>
        </w:r>
        <w:r>
          <w:rPr>
            <w:sz w:val="20"/>
          </w:rPr>
          <w:t>Rates</w:t>
          <w:tab/>
          <w:t>236</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80">
        <w:r>
          <w:rPr>
            <w:sz w:val="20"/>
          </w:rPr>
          <w:t>Lease</w:t>
        </w:r>
        <w:r>
          <w:rPr>
            <w:spacing w:val="-1"/>
            <w:sz w:val="20"/>
          </w:rPr>
          <w:t> </w:t>
        </w:r>
        <w:r>
          <w:rPr>
            <w:sz w:val="20"/>
          </w:rPr>
          <w:t>Expiry</w:t>
        </w:r>
        <w:r>
          <w:rPr>
            <w:spacing w:val="-1"/>
            <w:sz w:val="20"/>
          </w:rPr>
          <w:t> </w:t>
        </w:r>
        <w:r>
          <w:rPr>
            <w:sz w:val="20"/>
          </w:rPr>
          <w:t>Analysis</w:t>
          <w:tab/>
          <w:t>236</w:t>
        </w:r>
      </w:hyperlink>
    </w:p>
    <w:p>
      <w:pPr>
        <w:pStyle w:val="ListParagraph"/>
        <w:numPr>
          <w:ilvl w:val="2"/>
          <w:numId w:val="13"/>
        </w:numPr>
        <w:tabs>
          <w:tab w:pos="2266" w:val="left" w:leader="none"/>
          <w:tab w:pos="10489" w:val="right" w:leader="dot"/>
        </w:tabs>
        <w:spacing w:line="240" w:lineRule="auto" w:before="129" w:after="0"/>
        <w:ind w:left="2265" w:right="0" w:hanging="709"/>
        <w:jc w:val="left"/>
        <w:rPr>
          <w:sz w:val="20"/>
        </w:rPr>
      </w:pPr>
      <w:hyperlink w:history="true" w:anchor="_bookmark281">
        <w:r>
          <w:rPr>
            <w:sz w:val="20"/>
          </w:rPr>
          <w:t>Escalation</w:t>
        </w:r>
        <w:r>
          <w:rPr>
            <w:spacing w:val="-3"/>
            <w:sz w:val="20"/>
          </w:rPr>
          <w:t> </w:t>
        </w:r>
        <w:r>
          <w:rPr>
            <w:sz w:val="20"/>
          </w:rPr>
          <w:t>Analysis</w:t>
          <w:tab/>
          <w:t>236</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282">
        <w:r>
          <w:rPr>
            <w:sz w:val="20"/>
          </w:rPr>
          <w:t>Assumptions Rationale</w:t>
          <w:tab/>
          <w:t>236</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83">
        <w:r>
          <w:rPr>
            <w:sz w:val="20"/>
          </w:rPr>
          <w:t>Demand and</w:t>
        </w:r>
        <w:r>
          <w:rPr>
            <w:spacing w:val="-4"/>
            <w:sz w:val="20"/>
          </w:rPr>
          <w:t> </w:t>
        </w:r>
        <w:r>
          <w:rPr>
            <w:sz w:val="20"/>
          </w:rPr>
          <w:t>Supply</w:t>
        </w:r>
        <w:r>
          <w:rPr>
            <w:spacing w:val="1"/>
            <w:sz w:val="20"/>
          </w:rPr>
          <w:t> </w:t>
        </w:r>
        <w:r>
          <w:rPr>
            <w:sz w:val="20"/>
          </w:rPr>
          <w:t>Dynamics</w:t>
          <w:tab/>
          <w:t>237</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84">
        <w:r>
          <w:rPr>
            <w:sz w:val="20"/>
          </w:rPr>
          <w:t>Lease</w:t>
        </w:r>
        <w:r>
          <w:rPr>
            <w:spacing w:val="-1"/>
            <w:sz w:val="20"/>
          </w:rPr>
          <w:t> </w:t>
        </w:r>
        <w:r>
          <w:rPr>
            <w:sz w:val="20"/>
          </w:rPr>
          <w:t>Rent</w:t>
        </w:r>
        <w:r>
          <w:rPr>
            <w:spacing w:val="-1"/>
            <w:sz w:val="20"/>
          </w:rPr>
          <w:t> </w:t>
        </w:r>
        <w:r>
          <w:rPr>
            <w:sz w:val="20"/>
          </w:rPr>
          <w:t>Analysis</w:t>
          <w:tab/>
          <w:t>239</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85">
        <w:r>
          <w:rPr>
            <w:sz w:val="20"/>
          </w:rPr>
          <w:t>Value</w:t>
        </w:r>
        <w:r>
          <w:rPr>
            <w:spacing w:val="-1"/>
            <w:sz w:val="20"/>
          </w:rPr>
          <w:t> </w:t>
        </w:r>
        <w:r>
          <w:rPr>
            <w:sz w:val="20"/>
          </w:rPr>
          <w:t>Assessment</w:t>
          <w:tab/>
          <w:t>241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86">
        <w:r>
          <w:rPr>
            <w:sz w:val="20"/>
          </w:rPr>
          <w:t>Adopted</w:t>
        </w:r>
        <w:r>
          <w:rPr>
            <w:spacing w:val="-2"/>
            <w:sz w:val="20"/>
          </w:rPr>
          <w:t> </w:t>
        </w:r>
        <w:r>
          <w:rPr>
            <w:sz w:val="20"/>
          </w:rPr>
          <w:t>Methodology</w:t>
          <w:tab/>
          <w:t>241</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87">
        <w:r>
          <w:rPr>
            <w:sz w:val="20"/>
          </w:rPr>
          <w:t>Area</w:t>
        </w:r>
        <w:r>
          <w:rPr>
            <w:spacing w:val="-3"/>
            <w:sz w:val="20"/>
          </w:rPr>
          <w:t> </w:t>
        </w:r>
        <w:r>
          <w:rPr>
            <w:sz w:val="20"/>
          </w:rPr>
          <w:t>statement</w:t>
          <w:tab/>
          <w:t>241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88">
        <w:r>
          <w:rPr>
            <w:sz w:val="20"/>
          </w:rPr>
          <w:t>Construction</w:t>
        </w:r>
        <w:r>
          <w:rPr>
            <w:spacing w:val="-3"/>
            <w:sz w:val="20"/>
          </w:rPr>
          <w:t> </w:t>
        </w:r>
        <w:r>
          <w:rPr>
            <w:sz w:val="20"/>
          </w:rPr>
          <w:t>Timelines</w:t>
          <w:tab/>
          <w:t>241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89">
        <w:r>
          <w:rPr>
            <w:sz w:val="20"/>
          </w:rPr>
          <w:t>Absorption/ Leasing Velocity and</w:t>
        </w:r>
        <w:r>
          <w:rPr>
            <w:spacing w:val="-13"/>
            <w:sz w:val="20"/>
          </w:rPr>
          <w:t> </w:t>
        </w:r>
        <w:r>
          <w:rPr>
            <w:sz w:val="20"/>
          </w:rPr>
          <w:t>Occupancy</w:t>
        </w:r>
        <w:r>
          <w:rPr>
            <w:spacing w:val="-2"/>
            <w:sz w:val="20"/>
          </w:rPr>
          <w:t> </w:t>
        </w:r>
        <w:r>
          <w:rPr>
            <w:sz w:val="20"/>
          </w:rPr>
          <w:t>Profile</w:t>
          <w:tab/>
          <w:t>242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90">
        <w:r>
          <w:rPr>
            <w:sz w:val="20"/>
          </w:rPr>
          <w:t>Revenue</w:t>
        </w:r>
        <w:r>
          <w:rPr>
            <w:spacing w:val="-1"/>
            <w:sz w:val="20"/>
          </w:rPr>
          <w:t> </w:t>
        </w:r>
        <w:r>
          <w:rPr>
            <w:sz w:val="20"/>
          </w:rPr>
          <w:t>Assumptions</w:t>
          <w:tab/>
          <w:t>242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91">
        <w:r>
          <w:rPr>
            <w:sz w:val="20"/>
          </w:rPr>
          <w:t>Expense</w:t>
        </w:r>
        <w:r>
          <w:rPr>
            <w:spacing w:val="-1"/>
            <w:sz w:val="20"/>
          </w:rPr>
          <w:t> </w:t>
        </w:r>
        <w:r>
          <w:rPr>
            <w:sz w:val="20"/>
          </w:rPr>
          <w:t>Assumptions</w:t>
          <w:tab/>
          <w:t>243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92">
        <w:r>
          <w:rPr>
            <w:sz w:val="20"/>
          </w:rPr>
          <w:t>Other</w:t>
        </w:r>
        <w:r>
          <w:rPr>
            <w:spacing w:val="-1"/>
            <w:sz w:val="20"/>
          </w:rPr>
          <w:t> </w:t>
        </w:r>
        <w:r>
          <w:rPr>
            <w:sz w:val="20"/>
          </w:rPr>
          <w:t>Assumptions</w:t>
          <w:tab/>
          <w:t>244</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93">
        <w:r>
          <w:rPr>
            <w:sz w:val="20"/>
          </w:rPr>
          <w:t>Capitalization</w:t>
        </w:r>
        <w:r>
          <w:rPr>
            <w:spacing w:val="-3"/>
            <w:sz w:val="20"/>
          </w:rPr>
          <w:t> </w:t>
        </w:r>
        <w:r>
          <w:rPr>
            <w:sz w:val="20"/>
          </w:rPr>
          <w:t>Rates</w:t>
          <w:tab/>
          <w:t>244</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94">
        <w:r>
          <w:rPr>
            <w:sz w:val="20"/>
          </w:rPr>
          <w:t>Discount</w:t>
        </w:r>
        <w:r>
          <w:rPr>
            <w:spacing w:val="-2"/>
            <w:sz w:val="20"/>
          </w:rPr>
          <w:t> </w:t>
        </w:r>
        <w:r>
          <w:rPr>
            <w:sz w:val="20"/>
          </w:rPr>
          <w:t>Rate</w:t>
          <w:tab/>
          <w:t>244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95">
        <w:r>
          <w:rPr>
            <w:sz w:val="20"/>
          </w:rPr>
          <w:t>Value of the</w:t>
        </w:r>
        <w:r>
          <w:rPr>
            <w:spacing w:val="-7"/>
            <w:sz w:val="20"/>
          </w:rPr>
          <w:t> </w:t>
        </w:r>
        <w:r>
          <w:rPr>
            <w:sz w:val="20"/>
          </w:rPr>
          <w:t>Subject</w:t>
        </w:r>
        <w:r>
          <w:rPr>
            <w:spacing w:val="-1"/>
            <w:sz w:val="20"/>
          </w:rPr>
          <w:t> </w:t>
        </w:r>
        <w:r>
          <w:rPr>
            <w:sz w:val="20"/>
          </w:rPr>
          <w:t>Property</w:t>
          <w:tab/>
          <w:t>245</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296">
        <w:r>
          <w:rPr>
            <w:sz w:val="20"/>
          </w:rPr>
          <w:t>Embassy GolfLinks</w:t>
          <w:tab/>
          <w:t>246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297">
        <w:r>
          <w:rPr>
            <w:sz w:val="20"/>
          </w:rPr>
          <w:t>Property</w:t>
        </w:r>
        <w:r>
          <w:rPr>
            <w:spacing w:val="-1"/>
            <w:sz w:val="20"/>
          </w:rPr>
          <w:t> </w:t>
        </w:r>
        <w:r>
          <w:rPr>
            <w:sz w:val="20"/>
          </w:rPr>
          <w:t>Description</w:t>
          <w:tab/>
          <w:t>246</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298">
        <w:r>
          <w:rPr>
            <w:sz w:val="20"/>
          </w:rPr>
          <w:t>Site</w:t>
        </w:r>
        <w:r>
          <w:rPr>
            <w:spacing w:val="-1"/>
            <w:sz w:val="20"/>
          </w:rPr>
          <w:t> </w:t>
        </w:r>
        <w:r>
          <w:rPr>
            <w:sz w:val="20"/>
          </w:rPr>
          <w:t>Details</w:t>
          <w:tab/>
          <w:t>246</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299">
        <w:r>
          <w:rPr>
            <w:sz w:val="20"/>
          </w:rPr>
          <w:t>Legal</w:t>
        </w:r>
        <w:r>
          <w:rPr>
            <w:spacing w:val="-2"/>
            <w:sz w:val="20"/>
          </w:rPr>
          <w:t> </w:t>
        </w:r>
        <w:r>
          <w:rPr>
            <w:sz w:val="20"/>
          </w:rPr>
          <w:t>Details</w:t>
          <w:tab/>
          <w:t>249</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00">
        <w:r>
          <w:rPr>
            <w:sz w:val="20"/>
          </w:rPr>
          <w:t>Town</w:t>
        </w:r>
        <w:r>
          <w:rPr>
            <w:spacing w:val="-2"/>
            <w:sz w:val="20"/>
          </w:rPr>
          <w:t> </w:t>
        </w:r>
        <w:r>
          <w:rPr>
            <w:sz w:val="20"/>
          </w:rPr>
          <w:t>Planning</w:t>
          <w:tab/>
          <w:t>249</w:t>
        </w:r>
      </w:hyperlink>
    </w:p>
    <w:p>
      <w:pPr>
        <w:spacing w:after="0" w:line="240" w:lineRule="auto"/>
        <w:jc w:val="left"/>
        <w:rPr>
          <w:sz w:val="20"/>
        </w:rPr>
        <w:sectPr>
          <w:pgSz w:w="11910" w:h="16840"/>
          <w:pgMar w:header="720" w:footer="842" w:top="1520" w:bottom="1040" w:left="440" w:right="80"/>
        </w:sectPr>
      </w:pPr>
    </w:p>
    <w:p>
      <w:pPr>
        <w:pStyle w:val="ListParagraph"/>
        <w:numPr>
          <w:ilvl w:val="2"/>
          <w:numId w:val="13"/>
        </w:numPr>
        <w:tabs>
          <w:tab w:pos="2266" w:val="left" w:leader="none"/>
          <w:tab w:pos="10489" w:val="right" w:leader="dot"/>
        </w:tabs>
        <w:spacing w:line="240" w:lineRule="auto" w:before="208" w:after="0"/>
        <w:ind w:left="2265" w:right="0" w:hanging="709"/>
        <w:jc w:val="left"/>
        <w:rPr>
          <w:sz w:val="20"/>
        </w:rPr>
      </w:pPr>
      <w:hyperlink w:history="true" w:anchor="_bookmark301">
        <w:r>
          <w:rPr>
            <w:sz w:val="20"/>
          </w:rPr>
          <w:t>Statutory Approvals, One Time Sanctions &amp;</w:t>
        </w:r>
        <w:r>
          <w:rPr>
            <w:spacing w:val="-20"/>
            <w:sz w:val="20"/>
          </w:rPr>
          <w:t> </w:t>
        </w:r>
        <w:r>
          <w:rPr>
            <w:sz w:val="20"/>
          </w:rPr>
          <w:t>Periodic</w:t>
        </w:r>
        <w:r>
          <w:rPr>
            <w:spacing w:val="-5"/>
            <w:sz w:val="20"/>
          </w:rPr>
          <w:t> </w:t>
        </w:r>
        <w:r>
          <w:rPr>
            <w:sz w:val="20"/>
          </w:rPr>
          <w:t>Clearances</w:t>
          <w:tab/>
          <w:t>250</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02">
        <w:r>
          <w:rPr>
            <w:sz w:val="20"/>
          </w:rPr>
          <w:t>Area Details, Type and Age of</w:t>
        </w:r>
        <w:r>
          <w:rPr>
            <w:spacing w:val="-19"/>
            <w:sz w:val="20"/>
          </w:rPr>
          <w:t> </w:t>
        </w:r>
        <w:r>
          <w:rPr>
            <w:sz w:val="20"/>
          </w:rPr>
          <w:t>Existing</w:t>
        </w:r>
        <w:r>
          <w:rPr>
            <w:spacing w:val="-5"/>
            <w:sz w:val="20"/>
          </w:rPr>
          <w:t> </w:t>
        </w:r>
        <w:r>
          <w:rPr>
            <w:sz w:val="20"/>
          </w:rPr>
          <w:t>Structures</w:t>
          <w:tab/>
          <w:t>251</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03">
        <w:r>
          <w:rPr>
            <w:sz w:val="20"/>
          </w:rPr>
          <w:t>Site Services</w:t>
        </w:r>
        <w:r>
          <w:rPr>
            <w:spacing w:val="-2"/>
            <w:sz w:val="20"/>
          </w:rPr>
          <w:t> </w:t>
        </w:r>
        <w:r>
          <w:rPr>
            <w:sz w:val="20"/>
          </w:rPr>
          <w:t>and</w:t>
        </w:r>
        <w:r>
          <w:rPr>
            <w:spacing w:val="1"/>
            <w:sz w:val="20"/>
          </w:rPr>
          <w:t> </w:t>
        </w:r>
        <w:r>
          <w:rPr>
            <w:sz w:val="20"/>
          </w:rPr>
          <w:t>Finishes</w:t>
          <w:tab/>
          <w:t>252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04">
        <w:r>
          <w:rPr>
            <w:sz w:val="20"/>
          </w:rPr>
          <w:t>Condition</w:t>
        </w:r>
        <w:r>
          <w:rPr>
            <w:spacing w:val="-3"/>
            <w:sz w:val="20"/>
          </w:rPr>
          <w:t> </w:t>
        </w:r>
        <w:r>
          <w:rPr>
            <w:sz w:val="20"/>
          </w:rPr>
          <w:t>&amp; Repair</w:t>
          <w:tab/>
          <w:t>252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05">
        <w:r>
          <w:rPr>
            <w:sz w:val="20"/>
          </w:rPr>
          <w:t>Property</w:t>
        </w:r>
        <w:r>
          <w:rPr>
            <w:spacing w:val="-1"/>
            <w:sz w:val="20"/>
          </w:rPr>
          <w:t> </w:t>
        </w:r>
        <w:r>
          <w:rPr>
            <w:sz w:val="20"/>
          </w:rPr>
          <w:t>Photographs</w:t>
          <w:tab/>
          <w:t>253</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06">
        <w:r>
          <w:rPr>
            <w:sz w:val="20"/>
          </w:rPr>
          <w:t>Tenancy</w:t>
        </w:r>
        <w:r>
          <w:rPr>
            <w:spacing w:val="-1"/>
            <w:sz w:val="20"/>
          </w:rPr>
          <w:t> </w:t>
        </w:r>
        <w:r>
          <w:rPr>
            <w:sz w:val="20"/>
          </w:rPr>
          <w:t>Analysis</w:t>
          <w:tab/>
          <w:t>254</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07">
        <w:r>
          <w:rPr>
            <w:sz w:val="20"/>
          </w:rPr>
          <w:t>Historical Committed</w:t>
        </w:r>
        <w:r>
          <w:rPr>
            <w:spacing w:val="-6"/>
            <w:sz w:val="20"/>
          </w:rPr>
          <w:t> </w:t>
        </w:r>
        <w:r>
          <w:rPr>
            <w:sz w:val="20"/>
          </w:rPr>
          <w:t>Occupancy</w:t>
        </w:r>
        <w:r>
          <w:rPr>
            <w:spacing w:val="-1"/>
            <w:sz w:val="20"/>
          </w:rPr>
          <w:t> </w:t>
        </w:r>
        <w:r>
          <w:rPr>
            <w:sz w:val="20"/>
          </w:rPr>
          <w:t>Rates</w:t>
          <w:tab/>
          <w:t>254</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08">
        <w:r>
          <w:rPr>
            <w:sz w:val="20"/>
          </w:rPr>
          <w:t>Lease</w:t>
        </w:r>
        <w:r>
          <w:rPr>
            <w:spacing w:val="-1"/>
            <w:sz w:val="20"/>
          </w:rPr>
          <w:t> </w:t>
        </w:r>
        <w:r>
          <w:rPr>
            <w:sz w:val="20"/>
          </w:rPr>
          <w:t>Expiry</w:t>
        </w:r>
        <w:r>
          <w:rPr>
            <w:spacing w:val="-1"/>
            <w:sz w:val="20"/>
          </w:rPr>
          <w:t> </w:t>
        </w:r>
        <w:r>
          <w:rPr>
            <w:sz w:val="20"/>
          </w:rPr>
          <w:t>Analysis</w:t>
          <w:tab/>
          <w:t>254</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09">
        <w:r>
          <w:rPr>
            <w:sz w:val="20"/>
          </w:rPr>
          <w:t>Escalation</w:t>
        </w:r>
        <w:r>
          <w:rPr>
            <w:spacing w:val="-3"/>
            <w:sz w:val="20"/>
          </w:rPr>
          <w:t> </w:t>
        </w:r>
        <w:r>
          <w:rPr>
            <w:sz w:val="20"/>
          </w:rPr>
          <w:t>Analysis</w:t>
          <w:tab/>
          <w:t>254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10">
        <w:r>
          <w:rPr>
            <w:sz w:val="20"/>
          </w:rPr>
          <w:t>Assumptions Rationale</w:t>
          <w:tab/>
          <w:t>254</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11">
        <w:r>
          <w:rPr>
            <w:sz w:val="20"/>
          </w:rPr>
          <w:t>Demand and</w:t>
        </w:r>
        <w:r>
          <w:rPr>
            <w:spacing w:val="-4"/>
            <w:sz w:val="20"/>
          </w:rPr>
          <w:t> </w:t>
        </w:r>
        <w:r>
          <w:rPr>
            <w:sz w:val="20"/>
          </w:rPr>
          <w:t>Supply</w:t>
        </w:r>
        <w:r>
          <w:rPr>
            <w:spacing w:val="1"/>
            <w:sz w:val="20"/>
          </w:rPr>
          <w:t> </w:t>
        </w:r>
        <w:r>
          <w:rPr>
            <w:sz w:val="20"/>
          </w:rPr>
          <w:t>Dynamics</w:t>
          <w:tab/>
          <w:t>255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12">
        <w:r>
          <w:rPr>
            <w:sz w:val="20"/>
          </w:rPr>
          <w:t>Lease</w:t>
        </w:r>
        <w:r>
          <w:rPr>
            <w:spacing w:val="-1"/>
            <w:sz w:val="20"/>
          </w:rPr>
          <w:t> </w:t>
        </w:r>
        <w:r>
          <w:rPr>
            <w:sz w:val="20"/>
          </w:rPr>
          <w:t>Rent</w:t>
        </w:r>
        <w:r>
          <w:rPr>
            <w:spacing w:val="-1"/>
            <w:sz w:val="20"/>
          </w:rPr>
          <w:t> </w:t>
        </w:r>
        <w:r>
          <w:rPr>
            <w:sz w:val="20"/>
          </w:rPr>
          <w:t>Analysis</w:t>
          <w:tab/>
          <w:t>257</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13">
        <w:r>
          <w:rPr>
            <w:sz w:val="20"/>
          </w:rPr>
          <w:t>Value</w:t>
        </w:r>
        <w:r>
          <w:rPr>
            <w:spacing w:val="-1"/>
            <w:sz w:val="20"/>
          </w:rPr>
          <w:t> </w:t>
        </w:r>
        <w:r>
          <w:rPr>
            <w:sz w:val="20"/>
          </w:rPr>
          <w:t>Assessment</w:t>
          <w:tab/>
          <w:t>259</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14">
        <w:r>
          <w:rPr>
            <w:sz w:val="20"/>
          </w:rPr>
          <w:t>Adopted</w:t>
        </w:r>
        <w:r>
          <w:rPr>
            <w:spacing w:val="-2"/>
            <w:sz w:val="20"/>
          </w:rPr>
          <w:t> </w:t>
        </w:r>
        <w:r>
          <w:rPr>
            <w:sz w:val="20"/>
          </w:rPr>
          <w:t>Methodology</w:t>
          <w:tab/>
          <w:t>259</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15">
        <w:r>
          <w:rPr>
            <w:sz w:val="20"/>
          </w:rPr>
          <w:t>Area</w:t>
        </w:r>
        <w:r>
          <w:rPr>
            <w:spacing w:val="-3"/>
            <w:sz w:val="20"/>
          </w:rPr>
          <w:t> </w:t>
        </w:r>
        <w:r>
          <w:rPr>
            <w:sz w:val="20"/>
          </w:rPr>
          <w:t>statement</w:t>
          <w:tab/>
          <w:t>259</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16">
        <w:r>
          <w:rPr>
            <w:sz w:val="20"/>
          </w:rPr>
          <w:t>Construction</w:t>
        </w:r>
        <w:r>
          <w:rPr>
            <w:spacing w:val="-3"/>
            <w:sz w:val="20"/>
          </w:rPr>
          <w:t> </w:t>
        </w:r>
        <w:r>
          <w:rPr>
            <w:sz w:val="20"/>
          </w:rPr>
          <w:t>Timelines</w:t>
          <w:tab/>
          <w:t>259</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17">
        <w:r>
          <w:rPr>
            <w:sz w:val="20"/>
          </w:rPr>
          <w:t>Absorption/ Leasing Velocity and</w:t>
        </w:r>
        <w:r>
          <w:rPr>
            <w:spacing w:val="-10"/>
            <w:sz w:val="20"/>
          </w:rPr>
          <w:t> </w:t>
        </w:r>
        <w:r>
          <w:rPr>
            <w:sz w:val="20"/>
          </w:rPr>
          <w:t>Occupancy</w:t>
        </w:r>
        <w:r>
          <w:rPr>
            <w:spacing w:val="-2"/>
            <w:sz w:val="20"/>
          </w:rPr>
          <w:t> </w:t>
        </w:r>
        <w:r>
          <w:rPr>
            <w:sz w:val="20"/>
          </w:rPr>
          <w:t>Profile</w:t>
          <w:tab/>
          <w:t>260</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18">
        <w:r>
          <w:rPr>
            <w:sz w:val="20"/>
          </w:rPr>
          <w:t>Revenue</w:t>
        </w:r>
        <w:r>
          <w:rPr>
            <w:spacing w:val="-1"/>
            <w:sz w:val="20"/>
          </w:rPr>
          <w:t> </w:t>
        </w:r>
        <w:r>
          <w:rPr>
            <w:sz w:val="20"/>
          </w:rPr>
          <w:t>Assumptions</w:t>
          <w:tab/>
          <w:t>260</w:t>
        </w:r>
      </w:hyperlink>
    </w:p>
    <w:p>
      <w:pPr>
        <w:pStyle w:val="ListParagraph"/>
        <w:numPr>
          <w:ilvl w:val="2"/>
          <w:numId w:val="13"/>
        </w:numPr>
        <w:tabs>
          <w:tab w:pos="2266" w:val="left" w:leader="none"/>
          <w:tab w:pos="10489" w:val="right" w:leader="dot"/>
        </w:tabs>
        <w:spacing w:line="240" w:lineRule="auto" w:before="129" w:after="0"/>
        <w:ind w:left="2265" w:right="0" w:hanging="709"/>
        <w:jc w:val="left"/>
        <w:rPr>
          <w:sz w:val="20"/>
        </w:rPr>
      </w:pPr>
      <w:hyperlink w:history="true" w:anchor="_bookmark319">
        <w:r>
          <w:rPr>
            <w:sz w:val="20"/>
          </w:rPr>
          <w:t>Expense</w:t>
        </w:r>
        <w:r>
          <w:rPr>
            <w:spacing w:val="-1"/>
            <w:sz w:val="20"/>
          </w:rPr>
          <w:t> </w:t>
        </w:r>
        <w:r>
          <w:rPr>
            <w:sz w:val="20"/>
          </w:rPr>
          <w:t>Assumptions</w:t>
          <w:tab/>
          <w:t>262</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20">
        <w:r>
          <w:rPr>
            <w:sz w:val="20"/>
          </w:rPr>
          <w:t>Other</w:t>
        </w:r>
        <w:r>
          <w:rPr>
            <w:spacing w:val="-1"/>
            <w:sz w:val="20"/>
          </w:rPr>
          <w:t> </w:t>
        </w:r>
        <w:r>
          <w:rPr>
            <w:sz w:val="20"/>
          </w:rPr>
          <w:t>Assumptions</w:t>
          <w:tab/>
          <w:t>263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21">
        <w:r>
          <w:rPr>
            <w:sz w:val="20"/>
          </w:rPr>
          <w:t>Capitalization</w:t>
        </w:r>
        <w:r>
          <w:rPr>
            <w:spacing w:val="-3"/>
            <w:sz w:val="20"/>
          </w:rPr>
          <w:t> </w:t>
        </w:r>
        <w:r>
          <w:rPr>
            <w:sz w:val="20"/>
          </w:rPr>
          <w:t>Rates</w:t>
          <w:tab/>
          <w:t>264</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22">
        <w:r>
          <w:rPr>
            <w:sz w:val="20"/>
          </w:rPr>
          <w:t>Discount</w:t>
        </w:r>
        <w:r>
          <w:rPr>
            <w:spacing w:val="-2"/>
            <w:sz w:val="20"/>
          </w:rPr>
          <w:t> </w:t>
        </w:r>
        <w:r>
          <w:rPr>
            <w:sz w:val="20"/>
          </w:rPr>
          <w:t>Rate</w:t>
          <w:tab/>
          <w:t>264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23">
        <w:r>
          <w:rPr>
            <w:sz w:val="20"/>
          </w:rPr>
          <w:t>Value of the</w:t>
        </w:r>
        <w:r>
          <w:rPr>
            <w:spacing w:val="-7"/>
            <w:sz w:val="20"/>
          </w:rPr>
          <w:t> </w:t>
        </w:r>
        <w:r>
          <w:rPr>
            <w:sz w:val="20"/>
          </w:rPr>
          <w:t>Subject</w:t>
        </w:r>
        <w:r>
          <w:rPr>
            <w:spacing w:val="-1"/>
            <w:sz w:val="20"/>
          </w:rPr>
          <w:t> </w:t>
        </w:r>
        <w:r>
          <w:rPr>
            <w:sz w:val="20"/>
          </w:rPr>
          <w:t>Property</w:t>
          <w:tab/>
          <w:t>264</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324">
        <w:r>
          <w:rPr>
            <w:w w:val="105"/>
            <w:sz w:val="20"/>
          </w:rPr>
          <w:t>Embassy</w:t>
        </w:r>
        <w:r>
          <w:rPr>
            <w:spacing w:val="-3"/>
            <w:w w:val="105"/>
            <w:sz w:val="20"/>
          </w:rPr>
          <w:t> </w:t>
        </w:r>
        <w:r>
          <w:rPr>
            <w:w w:val="105"/>
            <w:sz w:val="20"/>
          </w:rPr>
          <w:t>One</w:t>
          <w:tab/>
          <w:t>265</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325">
        <w:r>
          <w:rPr>
            <w:sz w:val="20"/>
          </w:rPr>
          <w:t>Property</w:t>
        </w:r>
        <w:r>
          <w:rPr>
            <w:spacing w:val="-1"/>
            <w:sz w:val="20"/>
          </w:rPr>
          <w:t> </w:t>
        </w:r>
        <w:r>
          <w:rPr>
            <w:sz w:val="20"/>
          </w:rPr>
          <w:t>Description</w:t>
          <w:tab/>
          <w:t>265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26">
        <w:r>
          <w:rPr>
            <w:sz w:val="20"/>
          </w:rPr>
          <w:t>Site</w:t>
        </w:r>
        <w:r>
          <w:rPr>
            <w:spacing w:val="-1"/>
            <w:sz w:val="20"/>
          </w:rPr>
          <w:t> </w:t>
        </w:r>
        <w:r>
          <w:rPr>
            <w:sz w:val="20"/>
          </w:rPr>
          <w:t>Details</w:t>
          <w:tab/>
          <w:t>265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27">
        <w:r>
          <w:rPr>
            <w:sz w:val="20"/>
          </w:rPr>
          <w:t>Legal</w:t>
        </w:r>
        <w:r>
          <w:rPr>
            <w:spacing w:val="-2"/>
            <w:sz w:val="20"/>
          </w:rPr>
          <w:t> </w:t>
        </w:r>
        <w:r>
          <w:rPr>
            <w:sz w:val="20"/>
          </w:rPr>
          <w:t>Details</w:t>
          <w:tab/>
          <w:t>268</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28">
        <w:r>
          <w:rPr>
            <w:sz w:val="20"/>
          </w:rPr>
          <w:t>Town</w:t>
        </w:r>
        <w:r>
          <w:rPr>
            <w:spacing w:val="-2"/>
            <w:sz w:val="20"/>
          </w:rPr>
          <w:t> </w:t>
        </w:r>
        <w:r>
          <w:rPr>
            <w:sz w:val="20"/>
          </w:rPr>
          <w:t>Planning</w:t>
          <w:tab/>
          <w:t>268</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29">
        <w:r>
          <w:rPr>
            <w:sz w:val="20"/>
          </w:rPr>
          <w:t>Statutory Approvals, One Time Sanctions &amp;</w:t>
        </w:r>
        <w:r>
          <w:rPr>
            <w:spacing w:val="-20"/>
            <w:sz w:val="20"/>
          </w:rPr>
          <w:t> </w:t>
        </w:r>
        <w:r>
          <w:rPr>
            <w:sz w:val="20"/>
          </w:rPr>
          <w:t>Periodic</w:t>
        </w:r>
        <w:r>
          <w:rPr>
            <w:spacing w:val="-5"/>
            <w:sz w:val="20"/>
          </w:rPr>
          <w:t> </w:t>
        </w:r>
        <w:r>
          <w:rPr>
            <w:sz w:val="20"/>
          </w:rPr>
          <w:t>Clearances</w:t>
          <w:tab/>
          <w:t>269</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30">
        <w:r>
          <w:rPr>
            <w:sz w:val="20"/>
          </w:rPr>
          <w:t>Area Details, Type and Age of</w:t>
        </w:r>
        <w:r>
          <w:rPr>
            <w:spacing w:val="-19"/>
            <w:sz w:val="20"/>
          </w:rPr>
          <w:t> </w:t>
        </w:r>
        <w:r>
          <w:rPr>
            <w:sz w:val="20"/>
          </w:rPr>
          <w:t>Existing</w:t>
        </w:r>
        <w:r>
          <w:rPr>
            <w:spacing w:val="-5"/>
            <w:sz w:val="20"/>
          </w:rPr>
          <w:t> </w:t>
        </w:r>
        <w:r>
          <w:rPr>
            <w:sz w:val="20"/>
          </w:rPr>
          <w:t>Structures</w:t>
          <w:tab/>
          <w:t>270</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31">
        <w:r>
          <w:rPr>
            <w:sz w:val="20"/>
          </w:rPr>
          <w:t>Site Services</w:t>
        </w:r>
        <w:r>
          <w:rPr>
            <w:spacing w:val="-2"/>
            <w:sz w:val="20"/>
          </w:rPr>
          <w:t> </w:t>
        </w:r>
        <w:r>
          <w:rPr>
            <w:sz w:val="20"/>
          </w:rPr>
          <w:t>and</w:t>
        </w:r>
        <w:r>
          <w:rPr>
            <w:spacing w:val="-2"/>
            <w:sz w:val="20"/>
          </w:rPr>
          <w:t> </w:t>
        </w:r>
        <w:r>
          <w:rPr>
            <w:sz w:val="20"/>
          </w:rPr>
          <w:t>Finishes</w:t>
          <w:tab/>
          <w:t>271</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32">
        <w:r>
          <w:rPr>
            <w:sz w:val="20"/>
          </w:rPr>
          <w:t>Condition</w:t>
        </w:r>
        <w:r>
          <w:rPr>
            <w:spacing w:val="-3"/>
            <w:sz w:val="20"/>
          </w:rPr>
          <w:t> </w:t>
        </w:r>
        <w:r>
          <w:rPr>
            <w:sz w:val="20"/>
          </w:rPr>
          <w:t>&amp; Repair</w:t>
          <w:tab/>
          <w:t>271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33">
        <w:r>
          <w:rPr>
            <w:sz w:val="20"/>
          </w:rPr>
          <w:t>Property</w:t>
        </w:r>
        <w:r>
          <w:rPr>
            <w:spacing w:val="-1"/>
            <w:sz w:val="20"/>
          </w:rPr>
          <w:t> </w:t>
        </w:r>
        <w:r>
          <w:rPr>
            <w:sz w:val="20"/>
          </w:rPr>
          <w:t>Photographs</w:t>
          <w:tab/>
          <w:t>272</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34">
        <w:r>
          <w:rPr>
            <w:sz w:val="20"/>
          </w:rPr>
          <w:t>Assumptions Rationale</w:t>
          <w:tab/>
          <w:t>273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35">
        <w:r>
          <w:rPr>
            <w:sz w:val="20"/>
          </w:rPr>
          <w:t>Demand and</w:t>
        </w:r>
        <w:r>
          <w:rPr>
            <w:spacing w:val="-4"/>
            <w:sz w:val="20"/>
          </w:rPr>
          <w:t> </w:t>
        </w:r>
        <w:r>
          <w:rPr>
            <w:sz w:val="20"/>
          </w:rPr>
          <w:t>Supply</w:t>
        </w:r>
        <w:r>
          <w:rPr>
            <w:spacing w:val="1"/>
            <w:sz w:val="20"/>
          </w:rPr>
          <w:t> </w:t>
        </w:r>
        <w:r>
          <w:rPr>
            <w:sz w:val="20"/>
          </w:rPr>
          <w:t>Dynamics</w:t>
          <w:tab/>
          <w:t>273</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36">
        <w:r>
          <w:rPr>
            <w:w w:val="105"/>
            <w:sz w:val="20"/>
          </w:rPr>
          <w:t>Rent</w:t>
          <w:tab/>
          <w:t>276</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37">
        <w:r>
          <w:rPr>
            <w:sz w:val="20"/>
          </w:rPr>
          <w:t>Value</w:t>
        </w:r>
        <w:r>
          <w:rPr>
            <w:spacing w:val="-1"/>
            <w:sz w:val="20"/>
          </w:rPr>
          <w:t> </w:t>
        </w:r>
        <w:r>
          <w:rPr>
            <w:sz w:val="20"/>
          </w:rPr>
          <w:t>Assessment</w:t>
          <w:tab/>
          <w:t>279</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38">
        <w:r>
          <w:rPr>
            <w:sz w:val="20"/>
          </w:rPr>
          <w:t>Adopted</w:t>
        </w:r>
        <w:r>
          <w:rPr>
            <w:spacing w:val="-2"/>
            <w:sz w:val="20"/>
          </w:rPr>
          <w:t> </w:t>
        </w:r>
        <w:r>
          <w:rPr>
            <w:sz w:val="20"/>
          </w:rPr>
          <w:t>Methodology</w:t>
          <w:tab/>
          <w:t>279</w:t>
        </w:r>
      </w:hyperlink>
    </w:p>
    <w:p>
      <w:pPr>
        <w:spacing w:after="0" w:line="240" w:lineRule="auto"/>
        <w:jc w:val="left"/>
        <w:rPr>
          <w:sz w:val="20"/>
        </w:rPr>
        <w:sectPr>
          <w:pgSz w:w="11910" w:h="16840"/>
          <w:pgMar w:header="720" w:footer="842" w:top="1520" w:bottom="1040" w:left="440" w:right="80"/>
        </w:sectPr>
      </w:pPr>
    </w:p>
    <w:p>
      <w:pPr>
        <w:pStyle w:val="ListParagraph"/>
        <w:numPr>
          <w:ilvl w:val="2"/>
          <w:numId w:val="13"/>
        </w:numPr>
        <w:tabs>
          <w:tab w:pos="2266" w:val="left" w:leader="none"/>
          <w:tab w:pos="10489" w:val="right" w:leader="dot"/>
        </w:tabs>
        <w:spacing w:line="240" w:lineRule="auto" w:before="208" w:after="0"/>
        <w:ind w:left="2265" w:right="0" w:hanging="709"/>
        <w:jc w:val="left"/>
        <w:rPr>
          <w:sz w:val="20"/>
        </w:rPr>
      </w:pPr>
      <w:hyperlink w:history="true" w:anchor="_bookmark339">
        <w:r>
          <w:rPr>
            <w:sz w:val="20"/>
          </w:rPr>
          <w:t>Area</w:t>
        </w:r>
        <w:r>
          <w:rPr>
            <w:spacing w:val="-3"/>
            <w:sz w:val="20"/>
          </w:rPr>
          <w:t> </w:t>
        </w:r>
        <w:r>
          <w:rPr>
            <w:sz w:val="20"/>
          </w:rPr>
          <w:t>statement</w:t>
          <w:tab/>
          <w:t>279</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40">
        <w:r>
          <w:rPr>
            <w:sz w:val="20"/>
          </w:rPr>
          <w:t>Construction</w:t>
        </w:r>
        <w:r>
          <w:rPr>
            <w:spacing w:val="-3"/>
            <w:sz w:val="20"/>
          </w:rPr>
          <w:t> </w:t>
        </w:r>
        <w:r>
          <w:rPr>
            <w:sz w:val="20"/>
          </w:rPr>
          <w:t>Timelines</w:t>
          <w:tab/>
          <w:t>280</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41">
        <w:r>
          <w:rPr>
            <w:sz w:val="20"/>
          </w:rPr>
          <w:t>Absorption/ Leasing Velocity and</w:t>
        </w:r>
        <w:r>
          <w:rPr>
            <w:spacing w:val="-13"/>
            <w:sz w:val="20"/>
          </w:rPr>
          <w:t> </w:t>
        </w:r>
        <w:r>
          <w:rPr>
            <w:sz w:val="20"/>
          </w:rPr>
          <w:t>Occupancy</w:t>
        </w:r>
        <w:r>
          <w:rPr>
            <w:spacing w:val="-2"/>
            <w:sz w:val="20"/>
          </w:rPr>
          <w:t> </w:t>
        </w:r>
        <w:r>
          <w:rPr>
            <w:sz w:val="20"/>
          </w:rPr>
          <w:t>Profile</w:t>
          <w:tab/>
          <w:t>280</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42">
        <w:r>
          <w:rPr>
            <w:w w:val="105"/>
            <w:sz w:val="20"/>
          </w:rPr>
          <w:t>Revenue Assumptions – Office</w:t>
        </w:r>
        <w:r>
          <w:rPr>
            <w:spacing w:val="-24"/>
            <w:w w:val="105"/>
            <w:sz w:val="20"/>
          </w:rPr>
          <w:t> </w:t>
        </w:r>
        <w:r>
          <w:rPr>
            <w:w w:val="105"/>
            <w:sz w:val="20"/>
          </w:rPr>
          <w:t>and</w:t>
        </w:r>
        <w:r>
          <w:rPr>
            <w:spacing w:val="-6"/>
            <w:w w:val="105"/>
            <w:sz w:val="20"/>
          </w:rPr>
          <w:t> </w:t>
        </w:r>
        <w:r>
          <w:rPr>
            <w:w w:val="105"/>
            <w:sz w:val="20"/>
          </w:rPr>
          <w:t>Retail</w:t>
          <w:tab/>
          <w:t>280</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43">
        <w:r>
          <w:rPr>
            <w:sz w:val="20"/>
          </w:rPr>
          <w:t>Revenue Assumptions -</w:t>
        </w:r>
        <w:r>
          <w:rPr>
            <w:spacing w:val="-2"/>
            <w:sz w:val="20"/>
          </w:rPr>
          <w:t> </w:t>
        </w:r>
        <w:r>
          <w:rPr>
            <w:sz w:val="20"/>
          </w:rPr>
          <w:t>Hotel</w:t>
          <w:tab/>
          <w:t>281</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44">
        <w:r>
          <w:rPr>
            <w:sz w:val="20"/>
          </w:rPr>
          <w:t>Expense</w:t>
        </w:r>
        <w:r>
          <w:rPr>
            <w:spacing w:val="-1"/>
            <w:sz w:val="20"/>
          </w:rPr>
          <w:t> </w:t>
        </w:r>
        <w:r>
          <w:rPr>
            <w:sz w:val="20"/>
          </w:rPr>
          <w:t>Assumptions</w:t>
          <w:tab/>
          <w:t>282</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45">
        <w:r>
          <w:rPr>
            <w:sz w:val="20"/>
          </w:rPr>
          <w:t>Other</w:t>
        </w:r>
        <w:r>
          <w:rPr>
            <w:spacing w:val="-1"/>
            <w:sz w:val="20"/>
          </w:rPr>
          <w:t> </w:t>
        </w:r>
        <w:r>
          <w:rPr>
            <w:sz w:val="20"/>
          </w:rPr>
          <w:t>Assumptions</w:t>
          <w:tab/>
          <w:t>283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46">
        <w:r>
          <w:rPr>
            <w:sz w:val="20"/>
          </w:rPr>
          <w:t>Capitalization</w:t>
        </w:r>
        <w:r>
          <w:rPr>
            <w:spacing w:val="-3"/>
            <w:sz w:val="20"/>
          </w:rPr>
          <w:t> </w:t>
        </w:r>
        <w:r>
          <w:rPr>
            <w:sz w:val="20"/>
          </w:rPr>
          <w:t>Rates</w:t>
          <w:tab/>
          <w:t>283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47">
        <w:r>
          <w:rPr>
            <w:sz w:val="20"/>
          </w:rPr>
          <w:t>Discount</w:t>
        </w:r>
        <w:r>
          <w:rPr>
            <w:spacing w:val="-2"/>
            <w:sz w:val="20"/>
          </w:rPr>
          <w:t> </w:t>
        </w:r>
        <w:r>
          <w:rPr>
            <w:sz w:val="20"/>
          </w:rPr>
          <w:t>Rate</w:t>
          <w:tab/>
          <w:t>283</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48">
        <w:r>
          <w:rPr>
            <w:sz w:val="20"/>
          </w:rPr>
          <w:t>Value of the</w:t>
        </w:r>
        <w:r>
          <w:rPr>
            <w:spacing w:val="-7"/>
            <w:sz w:val="20"/>
          </w:rPr>
          <w:t> </w:t>
        </w:r>
        <w:r>
          <w:rPr>
            <w:sz w:val="20"/>
          </w:rPr>
          <w:t>Subject</w:t>
        </w:r>
        <w:r>
          <w:rPr>
            <w:spacing w:val="-1"/>
            <w:sz w:val="20"/>
          </w:rPr>
          <w:t> </w:t>
        </w:r>
        <w:r>
          <w:rPr>
            <w:sz w:val="20"/>
          </w:rPr>
          <w:t>Property</w:t>
          <w:tab/>
          <w:t>283</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349">
        <w:r>
          <w:rPr>
            <w:sz w:val="20"/>
          </w:rPr>
          <w:t>Hilton</w:t>
        </w:r>
        <w:r>
          <w:rPr>
            <w:spacing w:val="-3"/>
            <w:sz w:val="20"/>
          </w:rPr>
          <w:t> </w:t>
        </w:r>
        <w:r>
          <w:rPr>
            <w:sz w:val="20"/>
          </w:rPr>
          <w:t>at GolfLinks</w:t>
          <w:tab/>
          <w:t>284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50">
        <w:r>
          <w:rPr>
            <w:sz w:val="20"/>
          </w:rPr>
          <w:t>Property</w:t>
        </w:r>
        <w:r>
          <w:rPr>
            <w:spacing w:val="-1"/>
            <w:sz w:val="20"/>
          </w:rPr>
          <w:t> </w:t>
        </w:r>
        <w:r>
          <w:rPr>
            <w:sz w:val="20"/>
          </w:rPr>
          <w:t>Description</w:t>
          <w:tab/>
          <w:t>284</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51">
        <w:r>
          <w:rPr>
            <w:sz w:val="20"/>
          </w:rPr>
          <w:t>Site</w:t>
        </w:r>
        <w:r>
          <w:rPr>
            <w:spacing w:val="-1"/>
            <w:sz w:val="20"/>
          </w:rPr>
          <w:t> </w:t>
        </w:r>
        <w:r>
          <w:rPr>
            <w:sz w:val="20"/>
          </w:rPr>
          <w:t>Details</w:t>
          <w:tab/>
          <w:t>284</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52">
        <w:r>
          <w:rPr>
            <w:sz w:val="20"/>
          </w:rPr>
          <w:t>Legal</w:t>
        </w:r>
        <w:r>
          <w:rPr>
            <w:spacing w:val="-2"/>
            <w:sz w:val="20"/>
          </w:rPr>
          <w:t> </w:t>
        </w:r>
        <w:r>
          <w:rPr>
            <w:sz w:val="20"/>
          </w:rPr>
          <w:t>Details</w:t>
          <w:tab/>
          <w:t>287</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53">
        <w:r>
          <w:rPr>
            <w:sz w:val="20"/>
          </w:rPr>
          <w:t>Town</w:t>
        </w:r>
        <w:r>
          <w:rPr>
            <w:spacing w:val="-2"/>
            <w:sz w:val="20"/>
          </w:rPr>
          <w:t> </w:t>
        </w:r>
        <w:r>
          <w:rPr>
            <w:sz w:val="20"/>
          </w:rPr>
          <w:t>Planning</w:t>
          <w:tab/>
          <w:t>287</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54">
        <w:r>
          <w:rPr>
            <w:sz w:val="20"/>
          </w:rPr>
          <w:t>Statutory Approvals, One Time Sanctions &amp;</w:t>
        </w:r>
        <w:r>
          <w:rPr>
            <w:spacing w:val="-20"/>
            <w:sz w:val="20"/>
          </w:rPr>
          <w:t> </w:t>
        </w:r>
        <w:r>
          <w:rPr>
            <w:sz w:val="20"/>
          </w:rPr>
          <w:t>Periodic</w:t>
        </w:r>
        <w:r>
          <w:rPr>
            <w:spacing w:val="-5"/>
            <w:sz w:val="20"/>
          </w:rPr>
          <w:t> </w:t>
        </w:r>
        <w:r>
          <w:rPr>
            <w:sz w:val="20"/>
          </w:rPr>
          <w:t>Clearances</w:t>
          <w:tab/>
          <w:t>288</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55">
        <w:r>
          <w:rPr>
            <w:sz w:val="20"/>
          </w:rPr>
          <w:t>Area Details, Type and Age of</w:t>
        </w:r>
        <w:r>
          <w:rPr>
            <w:spacing w:val="-19"/>
            <w:sz w:val="20"/>
          </w:rPr>
          <w:t> </w:t>
        </w:r>
        <w:r>
          <w:rPr>
            <w:sz w:val="20"/>
          </w:rPr>
          <w:t>Existing</w:t>
        </w:r>
        <w:r>
          <w:rPr>
            <w:spacing w:val="-5"/>
            <w:sz w:val="20"/>
          </w:rPr>
          <w:t> </w:t>
        </w:r>
        <w:r>
          <w:rPr>
            <w:sz w:val="20"/>
          </w:rPr>
          <w:t>Structures</w:t>
          <w:tab/>
          <w:t>288</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56">
        <w:r>
          <w:rPr>
            <w:sz w:val="20"/>
          </w:rPr>
          <w:t>Site Services</w:t>
        </w:r>
        <w:r>
          <w:rPr>
            <w:spacing w:val="-2"/>
            <w:sz w:val="20"/>
          </w:rPr>
          <w:t> </w:t>
        </w:r>
        <w:r>
          <w:rPr>
            <w:sz w:val="20"/>
          </w:rPr>
          <w:t>and</w:t>
        </w:r>
        <w:r>
          <w:rPr>
            <w:spacing w:val="-2"/>
            <w:sz w:val="20"/>
          </w:rPr>
          <w:t> </w:t>
        </w:r>
        <w:r>
          <w:rPr>
            <w:sz w:val="20"/>
          </w:rPr>
          <w:t>Finishes</w:t>
          <w:tab/>
          <w:t>288</w:t>
        </w:r>
      </w:hyperlink>
    </w:p>
    <w:p>
      <w:pPr>
        <w:pStyle w:val="ListParagraph"/>
        <w:numPr>
          <w:ilvl w:val="2"/>
          <w:numId w:val="13"/>
        </w:numPr>
        <w:tabs>
          <w:tab w:pos="2266" w:val="left" w:leader="none"/>
          <w:tab w:pos="10489" w:val="right" w:leader="dot"/>
        </w:tabs>
        <w:spacing w:line="240" w:lineRule="auto" w:before="129" w:after="0"/>
        <w:ind w:left="2265" w:right="0" w:hanging="709"/>
        <w:jc w:val="left"/>
        <w:rPr>
          <w:sz w:val="20"/>
        </w:rPr>
      </w:pPr>
      <w:hyperlink w:history="true" w:anchor="_bookmark357">
        <w:r>
          <w:rPr>
            <w:sz w:val="20"/>
          </w:rPr>
          <w:t>Condition</w:t>
        </w:r>
        <w:r>
          <w:rPr>
            <w:spacing w:val="-3"/>
            <w:sz w:val="20"/>
          </w:rPr>
          <w:t> </w:t>
        </w:r>
        <w:r>
          <w:rPr>
            <w:sz w:val="20"/>
          </w:rPr>
          <w:t>&amp; Repair</w:t>
          <w:tab/>
          <w:t>288</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58">
        <w:r>
          <w:rPr>
            <w:sz w:val="20"/>
          </w:rPr>
          <w:t>Property</w:t>
        </w:r>
        <w:r>
          <w:rPr>
            <w:spacing w:val="-1"/>
            <w:sz w:val="20"/>
          </w:rPr>
          <w:t> </w:t>
        </w:r>
        <w:r>
          <w:rPr>
            <w:sz w:val="20"/>
          </w:rPr>
          <w:t>Photographs</w:t>
          <w:tab/>
          <w:t>289</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59">
        <w:r>
          <w:rPr>
            <w:sz w:val="20"/>
          </w:rPr>
          <w:t>Assumptions Rationale</w:t>
          <w:tab/>
          <w:t>290</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60">
        <w:r>
          <w:rPr>
            <w:sz w:val="20"/>
          </w:rPr>
          <w:t>Bengaluru Hospitality</w:t>
        </w:r>
        <w:r>
          <w:rPr>
            <w:spacing w:val="-5"/>
            <w:sz w:val="20"/>
          </w:rPr>
          <w:t> </w:t>
        </w:r>
        <w:r>
          <w:rPr>
            <w:sz w:val="20"/>
          </w:rPr>
          <w:t>Segment</w:t>
        </w:r>
        <w:r>
          <w:rPr>
            <w:spacing w:val="-2"/>
            <w:sz w:val="20"/>
          </w:rPr>
          <w:t> </w:t>
        </w:r>
        <w:r>
          <w:rPr>
            <w:sz w:val="20"/>
          </w:rPr>
          <w:t>Overview</w:t>
          <w:tab/>
          <w:t>290</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61">
        <w:r>
          <w:rPr>
            <w:sz w:val="20"/>
          </w:rPr>
          <w:t>Sub Market Analysis for</w:t>
        </w:r>
        <w:r>
          <w:rPr>
            <w:spacing w:val="-10"/>
            <w:sz w:val="20"/>
          </w:rPr>
          <w:t> </w:t>
        </w:r>
        <w:r>
          <w:rPr>
            <w:sz w:val="20"/>
          </w:rPr>
          <w:t>Hospitality</w:t>
        </w:r>
        <w:r>
          <w:rPr>
            <w:spacing w:val="-1"/>
            <w:sz w:val="20"/>
          </w:rPr>
          <w:t> </w:t>
        </w:r>
        <w:r>
          <w:rPr>
            <w:sz w:val="20"/>
          </w:rPr>
          <w:t>Segment</w:t>
          <w:tab/>
          <w:t>290</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62">
        <w:r>
          <w:rPr>
            <w:sz w:val="20"/>
          </w:rPr>
          <w:t>Historical performance of the</w:t>
        </w:r>
        <w:r>
          <w:rPr>
            <w:spacing w:val="-17"/>
            <w:sz w:val="20"/>
          </w:rPr>
          <w:t> </w:t>
        </w:r>
        <w:r>
          <w:rPr>
            <w:sz w:val="20"/>
          </w:rPr>
          <w:t>subject</w:t>
        </w:r>
        <w:r>
          <w:rPr>
            <w:spacing w:val="-3"/>
            <w:sz w:val="20"/>
          </w:rPr>
          <w:t> </w:t>
        </w:r>
        <w:r>
          <w:rPr>
            <w:sz w:val="20"/>
          </w:rPr>
          <w:t>property</w:t>
          <w:tab/>
          <w:t>291</w:t>
        </w:r>
      </w:hyperlink>
    </w:p>
    <w:p>
      <w:pPr>
        <w:pStyle w:val="ListParagraph"/>
        <w:numPr>
          <w:ilvl w:val="1"/>
          <w:numId w:val="13"/>
        </w:numPr>
        <w:tabs>
          <w:tab w:pos="1557" w:val="left" w:leader="none"/>
          <w:tab w:pos="1558" w:val="left" w:leader="none"/>
          <w:tab w:pos="10489" w:val="right" w:leader="dot"/>
        </w:tabs>
        <w:spacing w:line="240" w:lineRule="auto" w:before="127" w:after="0"/>
        <w:ind w:left="1557" w:right="0" w:hanging="712"/>
        <w:jc w:val="left"/>
        <w:rPr>
          <w:sz w:val="20"/>
        </w:rPr>
      </w:pPr>
      <w:hyperlink w:history="true" w:anchor="_bookmark363">
        <w:r>
          <w:rPr>
            <w:sz w:val="20"/>
          </w:rPr>
          <w:t>Value</w:t>
        </w:r>
        <w:r>
          <w:rPr>
            <w:spacing w:val="-1"/>
            <w:sz w:val="20"/>
          </w:rPr>
          <w:t> </w:t>
        </w:r>
        <w:r>
          <w:rPr>
            <w:sz w:val="20"/>
          </w:rPr>
          <w:t>Assessment</w:t>
          <w:tab/>
          <w:t>292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64">
        <w:r>
          <w:rPr>
            <w:sz w:val="20"/>
          </w:rPr>
          <w:t>Adopted</w:t>
        </w:r>
        <w:r>
          <w:rPr>
            <w:spacing w:val="-2"/>
            <w:sz w:val="20"/>
          </w:rPr>
          <w:t> </w:t>
        </w:r>
        <w:r>
          <w:rPr>
            <w:sz w:val="20"/>
          </w:rPr>
          <w:t>Methodology</w:t>
          <w:tab/>
          <w:t>292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65">
        <w:r>
          <w:rPr>
            <w:sz w:val="20"/>
          </w:rPr>
          <w:t>Area</w:t>
        </w:r>
        <w:r>
          <w:rPr>
            <w:spacing w:val="-3"/>
            <w:sz w:val="20"/>
          </w:rPr>
          <w:t> </w:t>
        </w:r>
        <w:r>
          <w:rPr>
            <w:sz w:val="20"/>
          </w:rPr>
          <w:t>statement</w:t>
          <w:tab/>
          <w:t>292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66">
        <w:r>
          <w:rPr>
            <w:sz w:val="20"/>
          </w:rPr>
          <w:t>Construction</w:t>
        </w:r>
        <w:r>
          <w:rPr>
            <w:spacing w:val="-3"/>
            <w:sz w:val="20"/>
          </w:rPr>
          <w:t> </w:t>
        </w:r>
        <w:r>
          <w:rPr>
            <w:sz w:val="20"/>
          </w:rPr>
          <w:t>Timelines</w:t>
          <w:tab/>
          <w:t>292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67">
        <w:r>
          <w:rPr>
            <w:sz w:val="20"/>
          </w:rPr>
          <w:t>Revenue</w:t>
        </w:r>
        <w:r>
          <w:rPr>
            <w:spacing w:val="-1"/>
            <w:sz w:val="20"/>
          </w:rPr>
          <w:t> </w:t>
        </w:r>
        <w:r>
          <w:rPr>
            <w:sz w:val="20"/>
          </w:rPr>
          <w:t>Assumptions</w:t>
        </w:r>
        <w:r>
          <w:rPr>
            <w:spacing w:val="-2"/>
            <w:sz w:val="20"/>
          </w:rPr>
          <w:t> </w:t>
        </w:r>
        <w:r>
          <w:rPr>
            <w:sz w:val="20"/>
          </w:rPr>
          <w:t>(Hotel)</w:t>
          <w:tab/>
          <w:t>292</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68">
        <w:r>
          <w:rPr>
            <w:sz w:val="20"/>
          </w:rPr>
          <w:t>Expense</w:t>
        </w:r>
        <w:r>
          <w:rPr>
            <w:spacing w:val="-1"/>
            <w:sz w:val="20"/>
          </w:rPr>
          <w:t> </w:t>
        </w:r>
        <w:r>
          <w:rPr>
            <w:sz w:val="20"/>
          </w:rPr>
          <w:t>Assumptions</w:t>
          <w:tab/>
          <w:t>293</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69">
        <w:r>
          <w:rPr>
            <w:sz w:val="20"/>
          </w:rPr>
          <w:t>Capitalization</w:t>
        </w:r>
        <w:r>
          <w:rPr>
            <w:spacing w:val="-3"/>
            <w:sz w:val="20"/>
          </w:rPr>
          <w:t> </w:t>
        </w:r>
        <w:r>
          <w:rPr>
            <w:sz w:val="20"/>
          </w:rPr>
          <w:t>Rates</w:t>
          <w:tab/>
          <w:t>294</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70">
        <w:r>
          <w:rPr>
            <w:sz w:val="20"/>
          </w:rPr>
          <w:t>Discount</w:t>
        </w:r>
        <w:r>
          <w:rPr>
            <w:spacing w:val="-2"/>
            <w:sz w:val="20"/>
          </w:rPr>
          <w:t> </w:t>
        </w:r>
        <w:r>
          <w:rPr>
            <w:sz w:val="20"/>
          </w:rPr>
          <w:t>Rate</w:t>
          <w:tab/>
          <w:t>294</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71">
        <w:r>
          <w:rPr>
            <w:sz w:val="20"/>
          </w:rPr>
          <w:t>Value of the</w:t>
        </w:r>
        <w:r>
          <w:rPr>
            <w:spacing w:val="-7"/>
            <w:sz w:val="20"/>
          </w:rPr>
          <w:t> </w:t>
        </w:r>
        <w:r>
          <w:rPr>
            <w:sz w:val="20"/>
          </w:rPr>
          <w:t>Subject</w:t>
        </w:r>
        <w:r>
          <w:rPr>
            <w:spacing w:val="-1"/>
            <w:sz w:val="20"/>
          </w:rPr>
          <w:t> </w:t>
        </w:r>
        <w:r>
          <w:rPr>
            <w:sz w:val="20"/>
          </w:rPr>
          <w:t>Property</w:t>
          <w:tab/>
          <w:t>294</w:t>
        </w:r>
      </w:hyperlink>
    </w:p>
    <w:p>
      <w:pPr>
        <w:pStyle w:val="ListParagraph"/>
        <w:numPr>
          <w:ilvl w:val="0"/>
          <w:numId w:val="13"/>
        </w:numPr>
        <w:tabs>
          <w:tab w:pos="846" w:val="left" w:leader="none"/>
          <w:tab w:pos="847" w:val="left" w:leader="none"/>
          <w:tab w:pos="10489" w:val="right" w:leader="dot"/>
        </w:tabs>
        <w:spacing w:line="240" w:lineRule="auto" w:before="128" w:after="0"/>
        <w:ind w:left="846" w:right="0" w:hanging="567"/>
        <w:jc w:val="left"/>
        <w:rPr>
          <w:sz w:val="20"/>
        </w:rPr>
      </w:pPr>
      <w:hyperlink w:history="true" w:anchor="_bookmark372">
        <w:r>
          <w:rPr>
            <w:sz w:val="20"/>
          </w:rPr>
          <w:t>Embassy Energy</w:t>
          <w:tab/>
          <w:t>295</w:t>
        </w:r>
      </w:hyperlink>
    </w:p>
    <w:p>
      <w:pPr>
        <w:pStyle w:val="ListParagraph"/>
        <w:numPr>
          <w:ilvl w:val="1"/>
          <w:numId w:val="13"/>
        </w:numPr>
        <w:tabs>
          <w:tab w:pos="1557" w:val="left" w:leader="none"/>
          <w:tab w:pos="1558" w:val="left" w:leader="none"/>
          <w:tab w:pos="10489" w:val="right" w:leader="dot"/>
        </w:tabs>
        <w:spacing w:line="240" w:lineRule="auto" w:before="128" w:after="0"/>
        <w:ind w:left="1557" w:right="0" w:hanging="712"/>
        <w:jc w:val="left"/>
        <w:rPr>
          <w:sz w:val="20"/>
        </w:rPr>
      </w:pPr>
      <w:hyperlink w:history="true" w:anchor="_bookmark373">
        <w:r>
          <w:rPr>
            <w:sz w:val="20"/>
          </w:rPr>
          <w:t>Asset</w:t>
        </w:r>
        <w:r>
          <w:rPr>
            <w:spacing w:val="-1"/>
            <w:sz w:val="20"/>
          </w:rPr>
          <w:t> </w:t>
        </w:r>
        <w:r>
          <w:rPr>
            <w:sz w:val="20"/>
          </w:rPr>
          <w:t>Description</w:t>
          <w:tab/>
          <w:t>295</w:t>
        </w:r>
      </w:hyperlink>
    </w:p>
    <w:p>
      <w:pPr>
        <w:pStyle w:val="ListParagraph"/>
        <w:numPr>
          <w:ilvl w:val="2"/>
          <w:numId w:val="13"/>
        </w:numPr>
        <w:tabs>
          <w:tab w:pos="2266" w:val="left" w:leader="none"/>
          <w:tab w:pos="10489" w:val="right" w:leader="dot"/>
        </w:tabs>
        <w:spacing w:line="240" w:lineRule="auto" w:before="127" w:after="0"/>
        <w:ind w:left="2265" w:right="0" w:hanging="709"/>
        <w:jc w:val="left"/>
        <w:rPr>
          <w:sz w:val="20"/>
        </w:rPr>
      </w:pPr>
      <w:hyperlink w:history="true" w:anchor="_bookmark374">
        <w:r>
          <w:rPr>
            <w:sz w:val="20"/>
          </w:rPr>
          <w:t>Site</w:t>
        </w:r>
        <w:r>
          <w:rPr>
            <w:spacing w:val="-1"/>
            <w:sz w:val="20"/>
          </w:rPr>
          <w:t> </w:t>
        </w:r>
        <w:r>
          <w:rPr>
            <w:sz w:val="20"/>
          </w:rPr>
          <w:t>Details</w:t>
          <w:tab/>
          <w:t>295</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75">
        <w:r>
          <w:rPr>
            <w:sz w:val="20"/>
          </w:rPr>
          <w:t>Legal</w:t>
        </w:r>
        <w:r>
          <w:rPr>
            <w:spacing w:val="-2"/>
            <w:sz w:val="20"/>
          </w:rPr>
          <w:t> </w:t>
        </w:r>
        <w:r>
          <w:rPr>
            <w:sz w:val="20"/>
          </w:rPr>
          <w:t>Details</w:t>
          <w:tab/>
          <w:t>297</w:t>
        </w:r>
      </w:hyperlink>
    </w:p>
    <w:p>
      <w:pPr>
        <w:pStyle w:val="ListParagraph"/>
        <w:numPr>
          <w:ilvl w:val="2"/>
          <w:numId w:val="13"/>
        </w:numPr>
        <w:tabs>
          <w:tab w:pos="2266" w:val="left" w:leader="none"/>
          <w:tab w:pos="10489" w:val="right" w:leader="dot"/>
        </w:tabs>
        <w:spacing w:line="240" w:lineRule="auto" w:before="128" w:after="0"/>
        <w:ind w:left="2265" w:right="0" w:hanging="709"/>
        <w:jc w:val="left"/>
        <w:rPr>
          <w:sz w:val="20"/>
        </w:rPr>
      </w:pPr>
      <w:hyperlink w:history="true" w:anchor="_bookmark376">
        <w:r>
          <w:rPr>
            <w:sz w:val="20"/>
          </w:rPr>
          <w:t>Town</w:t>
        </w:r>
        <w:r>
          <w:rPr>
            <w:spacing w:val="-2"/>
            <w:sz w:val="20"/>
          </w:rPr>
          <w:t> </w:t>
        </w:r>
        <w:r>
          <w:rPr>
            <w:sz w:val="20"/>
          </w:rPr>
          <w:t>Planning</w:t>
          <w:tab/>
          <w:t>298</w:t>
        </w:r>
      </w:hyperlink>
    </w:p>
    <w:p>
      <w:pPr>
        <w:spacing w:after="0" w:line="240" w:lineRule="auto"/>
        <w:jc w:val="left"/>
        <w:rPr>
          <w:sz w:val="20"/>
        </w:rPr>
        <w:sectPr>
          <w:pgSz w:w="11910" w:h="16840"/>
          <w:pgMar w:header="720" w:footer="842" w:top="1520" w:bottom="1040" w:left="440" w:right="80"/>
        </w:sectPr>
      </w:pPr>
    </w:p>
    <w:p>
      <w:pPr>
        <w:pStyle w:val="ListParagraph"/>
        <w:numPr>
          <w:ilvl w:val="2"/>
          <w:numId w:val="13"/>
        </w:numPr>
        <w:tabs>
          <w:tab w:pos="2266" w:val="left" w:leader="none"/>
          <w:tab w:pos="10136" w:val="left" w:leader="dot"/>
        </w:tabs>
        <w:spacing w:line="240" w:lineRule="auto" w:before="208" w:after="0"/>
        <w:ind w:left="2265" w:right="0" w:hanging="709"/>
        <w:jc w:val="left"/>
        <w:rPr>
          <w:sz w:val="20"/>
        </w:rPr>
      </w:pPr>
      <w:hyperlink w:history="true" w:anchor="_bookmark377">
        <w:r>
          <w:rPr>
            <w:sz w:val="20"/>
          </w:rPr>
          <w:t>Statutory</w:t>
        </w:r>
        <w:r>
          <w:rPr>
            <w:spacing w:val="-21"/>
            <w:sz w:val="20"/>
          </w:rPr>
          <w:t> </w:t>
        </w:r>
        <w:r>
          <w:rPr>
            <w:sz w:val="20"/>
          </w:rPr>
          <w:t>Approvals,</w:t>
        </w:r>
        <w:r>
          <w:rPr>
            <w:spacing w:val="-20"/>
            <w:sz w:val="20"/>
          </w:rPr>
          <w:t> </w:t>
        </w:r>
        <w:r>
          <w:rPr>
            <w:sz w:val="20"/>
          </w:rPr>
          <w:t>One</w:t>
        </w:r>
        <w:r>
          <w:rPr>
            <w:spacing w:val="-20"/>
            <w:sz w:val="20"/>
          </w:rPr>
          <w:t> </w:t>
        </w:r>
        <w:r>
          <w:rPr>
            <w:sz w:val="20"/>
          </w:rPr>
          <w:t>Time</w:t>
        </w:r>
        <w:r>
          <w:rPr>
            <w:spacing w:val="-20"/>
            <w:sz w:val="20"/>
          </w:rPr>
          <w:t> </w:t>
        </w:r>
        <w:r>
          <w:rPr>
            <w:sz w:val="20"/>
          </w:rPr>
          <w:t>Sanctions</w:t>
        </w:r>
        <w:r>
          <w:rPr>
            <w:spacing w:val="-21"/>
            <w:sz w:val="20"/>
          </w:rPr>
          <w:t> </w:t>
        </w:r>
        <w:r>
          <w:rPr>
            <w:sz w:val="20"/>
          </w:rPr>
          <w:t>&amp;</w:t>
        </w:r>
        <w:r>
          <w:rPr>
            <w:spacing w:val="-17"/>
            <w:sz w:val="20"/>
          </w:rPr>
          <w:t> </w:t>
        </w:r>
        <w:r>
          <w:rPr>
            <w:sz w:val="20"/>
          </w:rPr>
          <w:t>Periodic</w:t>
        </w:r>
        <w:r>
          <w:rPr>
            <w:spacing w:val="-21"/>
            <w:sz w:val="20"/>
          </w:rPr>
          <w:t> </w:t>
        </w:r>
        <w:r>
          <w:rPr>
            <w:sz w:val="20"/>
          </w:rPr>
          <w:t>Clearances</w:t>
          <w:tab/>
          <w:t>299</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78">
        <w:r>
          <w:rPr>
            <w:sz w:val="20"/>
          </w:rPr>
          <w:t>Solar Power</w:t>
        </w:r>
        <w:r>
          <w:rPr>
            <w:spacing w:val="-42"/>
            <w:sz w:val="20"/>
          </w:rPr>
          <w:t> </w:t>
        </w:r>
        <w:r>
          <w:rPr>
            <w:sz w:val="20"/>
          </w:rPr>
          <w:t>Plant</w:t>
        </w:r>
        <w:r>
          <w:rPr>
            <w:spacing w:val="-20"/>
            <w:sz w:val="20"/>
          </w:rPr>
          <w:t> </w:t>
        </w:r>
        <w:r>
          <w:rPr>
            <w:sz w:val="20"/>
          </w:rPr>
          <w:t>Details</w:t>
          <w:tab/>
          <w:t>299</w:t>
        </w:r>
      </w:hyperlink>
    </w:p>
    <w:p>
      <w:pPr>
        <w:pStyle w:val="ListParagraph"/>
        <w:numPr>
          <w:ilvl w:val="2"/>
          <w:numId w:val="13"/>
        </w:numPr>
        <w:tabs>
          <w:tab w:pos="2266" w:val="left" w:leader="none"/>
          <w:tab w:pos="10136" w:val="left" w:leader="dot"/>
        </w:tabs>
        <w:spacing w:line="240" w:lineRule="auto" w:before="127" w:after="0"/>
        <w:ind w:left="2265" w:right="0" w:hanging="709"/>
        <w:jc w:val="left"/>
        <w:rPr>
          <w:sz w:val="20"/>
        </w:rPr>
      </w:pPr>
      <w:hyperlink w:history="true" w:anchor="_bookmark379">
        <w:r>
          <w:rPr>
            <w:sz w:val="20"/>
          </w:rPr>
          <w:t>Condition</w:t>
        </w:r>
        <w:r>
          <w:rPr>
            <w:spacing w:val="-13"/>
            <w:sz w:val="20"/>
          </w:rPr>
          <w:t> </w:t>
        </w:r>
        <w:r>
          <w:rPr>
            <w:sz w:val="20"/>
          </w:rPr>
          <w:t>&amp;</w:t>
        </w:r>
        <w:r>
          <w:rPr>
            <w:spacing w:val="-10"/>
            <w:sz w:val="20"/>
          </w:rPr>
          <w:t> </w:t>
        </w:r>
        <w:r>
          <w:rPr>
            <w:sz w:val="20"/>
          </w:rPr>
          <w:t>Repair</w:t>
          <w:tab/>
          <w:t>299</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80">
        <w:r>
          <w:rPr>
            <w:sz w:val="20"/>
          </w:rPr>
          <w:t>Property</w:t>
        </w:r>
        <w:r>
          <w:rPr>
            <w:spacing w:val="-27"/>
            <w:sz w:val="20"/>
          </w:rPr>
          <w:t> </w:t>
        </w:r>
        <w:r>
          <w:rPr>
            <w:sz w:val="20"/>
          </w:rPr>
          <w:t>Photographs</w:t>
          <w:tab/>
          <w:t>300</w:t>
        </w:r>
      </w:hyperlink>
    </w:p>
    <w:p>
      <w:pPr>
        <w:pStyle w:val="ListParagraph"/>
        <w:numPr>
          <w:ilvl w:val="1"/>
          <w:numId w:val="13"/>
        </w:numPr>
        <w:tabs>
          <w:tab w:pos="1557" w:val="left" w:leader="none"/>
          <w:tab w:pos="1558" w:val="left" w:leader="none"/>
          <w:tab w:pos="10136" w:val="left" w:leader="dot"/>
        </w:tabs>
        <w:spacing w:line="240" w:lineRule="auto" w:before="128" w:after="0"/>
        <w:ind w:left="1557" w:right="0" w:hanging="712"/>
        <w:jc w:val="left"/>
        <w:rPr>
          <w:sz w:val="20"/>
        </w:rPr>
      </w:pPr>
      <w:hyperlink w:history="true" w:anchor="_bookmark381">
        <w:r>
          <w:rPr>
            <w:sz w:val="20"/>
          </w:rPr>
          <w:t>Renewable</w:t>
        </w:r>
        <w:r>
          <w:rPr>
            <w:spacing w:val="-29"/>
            <w:sz w:val="20"/>
          </w:rPr>
          <w:t> </w:t>
        </w:r>
        <w:r>
          <w:rPr>
            <w:sz w:val="20"/>
          </w:rPr>
          <w:t>Energy</w:t>
        </w:r>
        <w:r>
          <w:rPr>
            <w:spacing w:val="-27"/>
            <w:sz w:val="20"/>
          </w:rPr>
          <w:t> </w:t>
        </w:r>
        <w:r>
          <w:rPr>
            <w:sz w:val="20"/>
          </w:rPr>
          <w:t>Policy</w:t>
          <w:tab/>
          <w:t>301</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82">
        <w:r>
          <w:rPr>
            <w:sz w:val="20"/>
          </w:rPr>
          <w:t>Indian Solar</w:t>
        </w:r>
        <w:r>
          <w:rPr>
            <w:spacing w:val="-32"/>
            <w:sz w:val="20"/>
          </w:rPr>
          <w:t> </w:t>
        </w:r>
        <w:r>
          <w:rPr>
            <w:sz w:val="20"/>
          </w:rPr>
          <w:t>Industry</w:t>
        </w:r>
        <w:r>
          <w:rPr>
            <w:spacing w:val="-15"/>
            <w:sz w:val="20"/>
          </w:rPr>
          <w:t> </w:t>
        </w:r>
        <w:r>
          <w:rPr>
            <w:sz w:val="20"/>
          </w:rPr>
          <w:t>Overview</w:t>
          <w:tab/>
          <w:t>301</w:t>
        </w:r>
      </w:hyperlink>
    </w:p>
    <w:p>
      <w:pPr>
        <w:pStyle w:val="ListParagraph"/>
        <w:numPr>
          <w:ilvl w:val="2"/>
          <w:numId w:val="13"/>
        </w:numPr>
        <w:tabs>
          <w:tab w:pos="2266" w:val="left" w:leader="none"/>
          <w:tab w:pos="10136" w:val="left" w:leader="dot"/>
        </w:tabs>
        <w:spacing w:line="240" w:lineRule="auto" w:before="127" w:after="0"/>
        <w:ind w:left="2265" w:right="0" w:hanging="709"/>
        <w:jc w:val="left"/>
        <w:rPr>
          <w:sz w:val="20"/>
        </w:rPr>
      </w:pPr>
      <w:hyperlink w:history="true" w:anchor="_bookmark383">
        <w:r>
          <w:rPr>
            <w:sz w:val="20"/>
          </w:rPr>
          <w:t>Karnataka Solar</w:t>
        </w:r>
        <w:r>
          <w:rPr>
            <w:spacing w:val="-33"/>
            <w:sz w:val="20"/>
          </w:rPr>
          <w:t> </w:t>
        </w:r>
        <w:r>
          <w:rPr>
            <w:sz w:val="20"/>
          </w:rPr>
          <w:t>Policy:</w:t>
        </w:r>
        <w:r>
          <w:rPr>
            <w:spacing w:val="-15"/>
            <w:sz w:val="20"/>
          </w:rPr>
          <w:t> </w:t>
        </w:r>
        <w:r>
          <w:rPr>
            <w:sz w:val="20"/>
          </w:rPr>
          <w:t>Highlights</w:t>
          <w:tab/>
          <w:t>302</w:t>
        </w:r>
      </w:hyperlink>
    </w:p>
    <w:p>
      <w:pPr>
        <w:pStyle w:val="ListParagraph"/>
        <w:numPr>
          <w:ilvl w:val="1"/>
          <w:numId w:val="13"/>
        </w:numPr>
        <w:tabs>
          <w:tab w:pos="1557" w:val="left" w:leader="none"/>
          <w:tab w:pos="1558" w:val="left" w:leader="none"/>
          <w:tab w:pos="10136" w:val="left" w:leader="dot"/>
        </w:tabs>
        <w:spacing w:line="240" w:lineRule="auto" w:before="128" w:after="0"/>
        <w:ind w:left="1557" w:right="0" w:hanging="712"/>
        <w:jc w:val="left"/>
        <w:rPr>
          <w:sz w:val="20"/>
        </w:rPr>
      </w:pPr>
      <w:hyperlink w:history="true" w:anchor="_bookmark384">
        <w:r>
          <w:rPr>
            <w:sz w:val="20"/>
          </w:rPr>
          <w:t>Project</w:t>
        </w:r>
        <w:r>
          <w:rPr>
            <w:spacing w:val="-39"/>
            <w:sz w:val="20"/>
          </w:rPr>
          <w:t> </w:t>
        </w:r>
        <w:r>
          <w:rPr>
            <w:sz w:val="20"/>
          </w:rPr>
          <w:t>Details</w:t>
          <w:tab/>
          <w:t>303</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85">
        <w:r>
          <w:rPr>
            <w:sz w:val="20"/>
          </w:rPr>
          <w:t>Deferred</w:t>
        </w:r>
        <w:r>
          <w:rPr>
            <w:spacing w:val="-28"/>
            <w:sz w:val="20"/>
          </w:rPr>
          <w:t> </w:t>
        </w:r>
        <w:r>
          <w:rPr>
            <w:sz w:val="20"/>
          </w:rPr>
          <w:t>Payment</w:t>
        </w:r>
        <w:r>
          <w:rPr>
            <w:spacing w:val="-27"/>
            <w:sz w:val="20"/>
          </w:rPr>
          <w:t> </w:t>
        </w:r>
        <w:r>
          <w:rPr>
            <w:sz w:val="20"/>
          </w:rPr>
          <w:t>Agreement</w:t>
        </w:r>
        <w:r>
          <w:rPr>
            <w:spacing w:val="-27"/>
            <w:sz w:val="20"/>
          </w:rPr>
          <w:t> </w:t>
        </w:r>
        <w:r>
          <w:rPr>
            <w:sz w:val="20"/>
          </w:rPr>
          <w:t>between</w:t>
        </w:r>
        <w:r>
          <w:rPr>
            <w:spacing w:val="-27"/>
            <w:sz w:val="20"/>
          </w:rPr>
          <w:t> </w:t>
        </w:r>
        <w:r>
          <w:rPr>
            <w:sz w:val="20"/>
          </w:rPr>
          <w:t>EEPL</w:t>
        </w:r>
        <w:r>
          <w:rPr>
            <w:spacing w:val="-27"/>
            <w:sz w:val="20"/>
          </w:rPr>
          <w:t> </w:t>
        </w:r>
        <w:r>
          <w:rPr>
            <w:sz w:val="20"/>
          </w:rPr>
          <w:t>and</w:t>
        </w:r>
        <w:r>
          <w:rPr>
            <w:spacing w:val="-28"/>
            <w:sz w:val="20"/>
          </w:rPr>
          <w:t> </w:t>
        </w:r>
        <w:r>
          <w:rPr>
            <w:sz w:val="20"/>
          </w:rPr>
          <w:t>IL&amp;FS</w:t>
          <w:tab/>
          <w:t>303</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86">
        <w:r>
          <w:rPr>
            <w:sz w:val="20"/>
          </w:rPr>
          <w:t>Operation</w:t>
        </w:r>
        <w:r>
          <w:rPr>
            <w:spacing w:val="-19"/>
            <w:sz w:val="20"/>
          </w:rPr>
          <w:t> </w:t>
        </w:r>
        <w:r>
          <w:rPr>
            <w:sz w:val="20"/>
          </w:rPr>
          <w:t>&amp;</w:t>
        </w:r>
        <w:r>
          <w:rPr>
            <w:spacing w:val="-17"/>
            <w:sz w:val="20"/>
          </w:rPr>
          <w:t> </w:t>
        </w:r>
        <w:r>
          <w:rPr>
            <w:sz w:val="20"/>
          </w:rPr>
          <w:t>Maintenance</w:t>
        </w:r>
        <w:r>
          <w:rPr>
            <w:spacing w:val="-16"/>
            <w:sz w:val="20"/>
          </w:rPr>
          <w:t> </w:t>
        </w:r>
        <w:r>
          <w:rPr>
            <w:sz w:val="20"/>
          </w:rPr>
          <w:t>Agreement</w:t>
        </w:r>
        <w:r>
          <w:rPr>
            <w:spacing w:val="-18"/>
            <w:sz w:val="20"/>
          </w:rPr>
          <w:t> </w:t>
        </w:r>
        <w:r>
          <w:rPr>
            <w:sz w:val="20"/>
          </w:rPr>
          <w:t>between</w:t>
        </w:r>
        <w:r>
          <w:rPr>
            <w:spacing w:val="-18"/>
            <w:sz w:val="20"/>
          </w:rPr>
          <w:t> </w:t>
        </w:r>
        <w:r>
          <w:rPr>
            <w:sz w:val="20"/>
          </w:rPr>
          <w:t>EEPL</w:t>
        </w:r>
        <w:r>
          <w:rPr>
            <w:spacing w:val="-18"/>
            <w:sz w:val="20"/>
          </w:rPr>
          <w:t> </w:t>
        </w:r>
        <w:r>
          <w:rPr>
            <w:sz w:val="20"/>
          </w:rPr>
          <w:t>and</w:t>
        </w:r>
        <w:r>
          <w:rPr>
            <w:spacing w:val="-19"/>
            <w:sz w:val="20"/>
          </w:rPr>
          <w:t> </w:t>
        </w:r>
        <w:r>
          <w:rPr>
            <w:sz w:val="20"/>
          </w:rPr>
          <w:t>IL&amp;FS</w:t>
          <w:tab/>
          <w:t>304</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87">
        <w:r>
          <w:rPr>
            <w:sz w:val="20"/>
          </w:rPr>
          <w:t>Executed</w:t>
        </w:r>
        <w:r>
          <w:rPr>
            <w:spacing w:val="-37"/>
            <w:sz w:val="20"/>
          </w:rPr>
          <w:t> </w:t>
        </w:r>
        <w:r>
          <w:rPr>
            <w:sz w:val="20"/>
          </w:rPr>
          <w:t>Power</w:t>
        </w:r>
        <w:r>
          <w:rPr>
            <w:spacing w:val="-36"/>
            <w:sz w:val="20"/>
          </w:rPr>
          <w:t> </w:t>
        </w:r>
        <w:r>
          <w:rPr>
            <w:sz w:val="20"/>
          </w:rPr>
          <w:t>Purchase</w:t>
        </w:r>
        <w:r>
          <w:rPr>
            <w:spacing w:val="-34"/>
            <w:sz w:val="20"/>
          </w:rPr>
          <w:t> </w:t>
        </w:r>
        <w:r>
          <w:rPr>
            <w:sz w:val="20"/>
          </w:rPr>
          <w:t>Agreements</w:t>
        </w:r>
        <w:r>
          <w:rPr>
            <w:spacing w:val="-35"/>
            <w:sz w:val="20"/>
          </w:rPr>
          <w:t> </w:t>
        </w:r>
        <w:r>
          <w:rPr>
            <w:sz w:val="20"/>
          </w:rPr>
          <w:t>(PPAs)</w:t>
          <w:tab/>
          <w:t>305</w:t>
        </w:r>
      </w:hyperlink>
    </w:p>
    <w:p>
      <w:pPr>
        <w:pStyle w:val="ListParagraph"/>
        <w:numPr>
          <w:ilvl w:val="1"/>
          <w:numId w:val="13"/>
        </w:numPr>
        <w:tabs>
          <w:tab w:pos="1557" w:val="left" w:leader="none"/>
          <w:tab w:pos="1558" w:val="left" w:leader="none"/>
          <w:tab w:pos="10136" w:val="left" w:leader="dot"/>
        </w:tabs>
        <w:spacing w:line="240" w:lineRule="auto" w:before="128" w:after="0"/>
        <w:ind w:left="1557" w:right="0" w:hanging="712"/>
        <w:jc w:val="left"/>
        <w:rPr>
          <w:sz w:val="20"/>
        </w:rPr>
      </w:pPr>
      <w:hyperlink w:history="true" w:anchor="_bookmark388">
        <w:r>
          <w:rPr>
            <w:sz w:val="20"/>
          </w:rPr>
          <w:t>Assumptions</w:t>
        </w:r>
        <w:r>
          <w:rPr>
            <w:spacing w:val="-23"/>
            <w:sz w:val="20"/>
          </w:rPr>
          <w:t> </w:t>
        </w:r>
        <w:r>
          <w:rPr>
            <w:sz w:val="20"/>
          </w:rPr>
          <w:t>Rationale</w:t>
          <w:tab/>
          <w:t>307</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89">
        <w:r>
          <w:rPr>
            <w:sz w:val="20"/>
          </w:rPr>
          <w:t>Capacity</w:t>
        </w:r>
        <w:r>
          <w:rPr>
            <w:spacing w:val="-27"/>
            <w:sz w:val="20"/>
          </w:rPr>
          <w:t> </w:t>
        </w:r>
        <w:r>
          <w:rPr>
            <w:sz w:val="20"/>
          </w:rPr>
          <w:t>Utilization</w:t>
        </w:r>
        <w:r>
          <w:rPr>
            <w:spacing w:val="-28"/>
            <w:sz w:val="20"/>
          </w:rPr>
          <w:t> </w:t>
        </w:r>
        <w:r>
          <w:rPr>
            <w:sz w:val="20"/>
          </w:rPr>
          <w:t>Factor</w:t>
        </w:r>
        <w:r>
          <w:rPr>
            <w:spacing w:val="-28"/>
            <w:sz w:val="20"/>
          </w:rPr>
          <w:t> </w:t>
        </w:r>
        <w:r>
          <w:rPr>
            <w:sz w:val="20"/>
          </w:rPr>
          <w:t>(CUF)</w:t>
          <w:tab/>
          <w:t>307</w:t>
        </w:r>
      </w:hyperlink>
    </w:p>
    <w:p>
      <w:pPr>
        <w:pStyle w:val="ListParagraph"/>
        <w:numPr>
          <w:ilvl w:val="2"/>
          <w:numId w:val="13"/>
        </w:numPr>
        <w:tabs>
          <w:tab w:pos="2266" w:val="left" w:leader="none"/>
          <w:tab w:pos="10136" w:val="left" w:leader="dot"/>
        </w:tabs>
        <w:spacing w:line="240" w:lineRule="auto" w:before="127" w:after="0"/>
        <w:ind w:left="2265" w:right="0" w:hanging="709"/>
        <w:jc w:val="left"/>
        <w:rPr>
          <w:sz w:val="20"/>
        </w:rPr>
      </w:pPr>
      <w:hyperlink w:history="true" w:anchor="_bookmark390">
        <w:r>
          <w:rPr>
            <w:w w:val="95"/>
            <w:sz w:val="20"/>
          </w:rPr>
          <w:t>Commercial/Industrial</w:t>
        </w:r>
        <w:r>
          <w:rPr>
            <w:spacing w:val="-7"/>
            <w:w w:val="95"/>
            <w:sz w:val="20"/>
          </w:rPr>
          <w:t> </w:t>
        </w:r>
        <w:r>
          <w:rPr>
            <w:w w:val="95"/>
            <w:sz w:val="20"/>
          </w:rPr>
          <w:t>tariff</w:t>
          <w:tab/>
        </w:r>
        <w:r>
          <w:rPr>
            <w:sz w:val="20"/>
          </w:rPr>
          <w:t>308</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91">
        <w:r>
          <w:rPr>
            <w:sz w:val="20"/>
          </w:rPr>
          <w:t>Escalation</w:t>
        </w:r>
        <w:r>
          <w:rPr>
            <w:spacing w:val="-31"/>
            <w:sz w:val="20"/>
          </w:rPr>
          <w:t> </w:t>
        </w:r>
        <w:r>
          <w:rPr>
            <w:sz w:val="20"/>
          </w:rPr>
          <w:t>in</w:t>
        </w:r>
        <w:r>
          <w:rPr>
            <w:spacing w:val="-31"/>
            <w:sz w:val="20"/>
          </w:rPr>
          <w:t> </w:t>
        </w:r>
        <w:r>
          <w:rPr>
            <w:sz w:val="20"/>
          </w:rPr>
          <w:t>tariff</w:t>
          <w:tab/>
          <w:t>308</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92">
        <w:r>
          <w:rPr>
            <w:sz w:val="20"/>
          </w:rPr>
          <w:t>Operation &amp; Maintenance</w:t>
        </w:r>
        <w:r>
          <w:rPr>
            <w:spacing w:val="-40"/>
            <w:sz w:val="20"/>
          </w:rPr>
          <w:t> </w:t>
        </w:r>
        <w:r>
          <w:rPr>
            <w:sz w:val="20"/>
          </w:rPr>
          <w:t>(O&amp;M)</w:t>
        </w:r>
        <w:r>
          <w:rPr>
            <w:spacing w:val="-14"/>
            <w:sz w:val="20"/>
          </w:rPr>
          <w:t> </w:t>
        </w:r>
        <w:r>
          <w:rPr>
            <w:sz w:val="20"/>
          </w:rPr>
          <w:t>Expenditure</w:t>
          <w:tab/>
          <w:t>310</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93">
        <w:r>
          <w:rPr>
            <w:sz w:val="20"/>
          </w:rPr>
          <w:t>Useful</w:t>
        </w:r>
        <w:r>
          <w:rPr>
            <w:spacing w:val="-25"/>
            <w:sz w:val="20"/>
          </w:rPr>
          <w:t> </w:t>
        </w:r>
        <w:r>
          <w:rPr>
            <w:sz w:val="20"/>
          </w:rPr>
          <w:t>Life</w:t>
          <w:tab/>
          <w:t>310</w:t>
        </w:r>
      </w:hyperlink>
    </w:p>
    <w:p>
      <w:pPr>
        <w:pStyle w:val="ListParagraph"/>
        <w:numPr>
          <w:ilvl w:val="2"/>
          <w:numId w:val="13"/>
        </w:numPr>
        <w:tabs>
          <w:tab w:pos="2266" w:val="left" w:leader="none"/>
          <w:tab w:pos="10136" w:val="left" w:leader="dot"/>
        </w:tabs>
        <w:spacing w:line="240" w:lineRule="auto" w:before="127" w:after="0"/>
        <w:ind w:left="2265" w:right="0" w:hanging="709"/>
        <w:jc w:val="left"/>
        <w:rPr>
          <w:sz w:val="20"/>
        </w:rPr>
      </w:pPr>
      <w:hyperlink w:history="true" w:anchor="_bookmark394">
        <w:r>
          <w:rPr>
            <w:sz w:val="20"/>
          </w:rPr>
          <w:t>Working</w:t>
        </w:r>
        <w:r>
          <w:rPr>
            <w:spacing w:val="-2"/>
            <w:sz w:val="20"/>
          </w:rPr>
          <w:t> </w:t>
        </w:r>
        <w:r>
          <w:rPr>
            <w:sz w:val="20"/>
          </w:rPr>
          <w:t>Capital</w:t>
          <w:tab/>
          <w:t>311</w:t>
        </w:r>
      </w:hyperlink>
    </w:p>
    <w:p>
      <w:pPr>
        <w:pStyle w:val="ListParagraph"/>
        <w:numPr>
          <w:ilvl w:val="1"/>
          <w:numId w:val="13"/>
        </w:numPr>
        <w:tabs>
          <w:tab w:pos="1557" w:val="left" w:leader="none"/>
          <w:tab w:pos="1558" w:val="left" w:leader="none"/>
          <w:tab w:pos="10136" w:val="left" w:leader="dot"/>
        </w:tabs>
        <w:spacing w:line="240" w:lineRule="auto" w:before="129" w:after="0"/>
        <w:ind w:left="1557" w:right="0" w:hanging="712"/>
        <w:jc w:val="left"/>
        <w:rPr>
          <w:sz w:val="20"/>
        </w:rPr>
      </w:pPr>
      <w:hyperlink w:history="true" w:anchor="_bookmark395">
        <w:r>
          <w:rPr>
            <w:sz w:val="20"/>
          </w:rPr>
          <w:t>Value</w:t>
        </w:r>
        <w:r>
          <w:rPr>
            <w:spacing w:val="-17"/>
            <w:sz w:val="20"/>
          </w:rPr>
          <w:t> </w:t>
        </w:r>
        <w:r>
          <w:rPr>
            <w:sz w:val="20"/>
          </w:rPr>
          <w:t>Assessment</w:t>
          <w:tab/>
          <w:t>312</w:t>
        </w:r>
      </w:hyperlink>
    </w:p>
    <w:p>
      <w:pPr>
        <w:pStyle w:val="ListParagraph"/>
        <w:numPr>
          <w:ilvl w:val="2"/>
          <w:numId w:val="13"/>
        </w:numPr>
        <w:tabs>
          <w:tab w:pos="2266" w:val="left" w:leader="none"/>
          <w:tab w:pos="10136" w:val="left" w:leader="dot"/>
        </w:tabs>
        <w:spacing w:line="240" w:lineRule="auto" w:before="127" w:after="0"/>
        <w:ind w:left="2265" w:right="0" w:hanging="709"/>
        <w:jc w:val="left"/>
        <w:rPr>
          <w:sz w:val="20"/>
        </w:rPr>
      </w:pPr>
      <w:hyperlink w:history="true" w:anchor="_bookmark396">
        <w:r>
          <w:rPr>
            <w:sz w:val="20"/>
          </w:rPr>
          <w:t>Adopted</w:t>
        </w:r>
        <w:r>
          <w:rPr>
            <w:spacing w:val="-6"/>
            <w:sz w:val="20"/>
          </w:rPr>
          <w:t> </w:t>
        </w:r>
        <w:r>
          <w:rPr>
            <w:sz w:val="20"/>
          </w:rPr>
          <w:t>Methodology</w:t>
          <w:tab/>
          <w:t>312</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97">
        <w:r>
          <w:rPr>
            <w:sz w:val="20"/>
          </w:rPr>
          <w:t>Plant</w:t>
        </w:r>
        <w:r>
          <w:rPr>
            <w:spacing w:val="-24"/>
            <w:sz w:val="20"/>
          </w:rPr>
          <w:t> </w:t>
        </w:r>
        <w:r>
          <w:rPr>
            <w:sz w:val="20"/>
          </w:rPr>
          <w:t>Details</w:t>
          <w:tab/>
          <w:t>312</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98">
        <w:r>
          <w:rPr>
            <w:sz w:val="20"/>
          </w:rPr>
          <w:t>Development</w:t>
        </w:r>
        <w:r>
          <w:rPr>
            <w:spacing w:val="-34"/>
            <w:sz w:val="20"/>
          </w:rPr>
          <w:t> </w:t>
        </w:r>
        <w:r>
          <w:rPr>
            <w:sz w:val="20"/>
          </w:rPr>
          <w:t>Timelines</w:t>
          <w:tab/>
          <w:t>312</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399">
        <w:r>
          <w:rPr>
            <w:w w:val="95"/>
            <w:sz w:val="20"/>
          </w:rPr>
          <w:t>Electricity</w:t>
        </w:r>
        <w:r>
          <w:rPr>
            <w:spacing w:val="-7"/>
            <w:w w:val="95"/>
            <w:sz w:val="20"/>
          </w:rPr>
          <w:t> </w:t>
        </w:r>
        <w:r>
          <w:rPr>
            <w:w w:val="95"/>
            <w:sz w:val="20"/>
          </w:rPr>
          <w:t>Consumption</w:t>
          <w:tab/>
        </w:r>
        <w:r>
          <w:rPr>
            <w:sz w:val="20"/>
          </w:rPr>
          <w:t>313</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00">
        <w:r>
          <w:rPr>
            <w:sz w:val="20"/>
          </w:rPr>
          <w:t>Revenue</w:t>
        </w:r>
        <w:r>
          <w:rPr>
            <w:spacing w:val="-22"/>
            <w:sz w:val="20"/>
          </w:rPr>
          <w:t> </w:t>
        </w:r>
        <w:r>
          <w:rPr>
            <w:sz w:val="20"/>
          </w:rPr>
          <w:t>Assumptions</w:t>
          <w:tab/>
          <w:t>313</w:t>
        </w:r>
      </w:hyperlink>
    </w:p>
    <w:p>
      <w:pPr>
        <w:pStyle w:val="ListParagraph"/>
        <w:numPr>
          <w:ilvl w:val="2"/>
          <w:numId w:val="13"/>
        </w:numPr>
        <w:tabs>
          <w:tab w:pos="2266" w:val="left" w:leader="none"/>
          <w:tab w:pos="10136" w:val="left" w:leader="dot"/>
        </w:tabs>
        <w:spacing w:line="240" w:lineRule="auto" w:before="127" w:after="0"/>
        <w:ind w:left="2265" w:right="0" w:hanging="709"/>
        <w:jc w:val="left"/>
        <w:rPr>
          <w:sz w:val="20"/>
        </w:rPr>
      </w:pPr>
      <w:hyperlink w:history="true" w:anchor="_bookmark401">
        <w:r>
          <w:rPr>
            <w:sz w:val="20"/>
          </w:rPr>
          <w:t>Expense</w:t>
        </w:r>
        <w:r>
          <w:rPr>
            <w:spacing w:val="-17"/>
            <w:sz w:val="20"/>
          </w:rPr>
          <w:t> </w:t>
        </w:r>
        <w:r>
          <w:rPr>
            <w:sz w:val="20"/>
          </w:rPr>
          <w:t>Assumptions</w:t>
          <w:tab/>
          <w:t>313</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02">
        <w:r>
          <w:rPr>
            <w:w w:val="105"/>
            <w:sz w:val="20"/>
          </w:rPr>
          <w:t>Open</w:t>
        </w:r>
        <w:r>
          <w:rPr>
            <w:spacing w:val="-16"/>
            <w:w w:val="105"/>
            <w:sz w:val="20"/>
          </w:rPr>
          <w:t> </w:t>
        </w:r>
        <w:r>
          <w:rPr>
            <w:w w:val="105"/>
            <w:sz w:val="20"/>
          </w:rPr>
          <w:t>Access</w:t>
        </w:r>
        <w:r>
          <w:rPr>
            <w:spacing w:val="-14"/>
            <w:w w:val="105"/>
            <w:sz w:val="20"/>
          </w:rPr>
          <w:t> </w:t>
        </w:r>
        <w:r>
          <w:rPr>
            <w:w w:val="105"/>
            <w:sz w:val="20"/>
          </w:rPr>
          <w:t>Charges</w:t>
          <w:tab/>
          <w:t>314</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03">
        <w:r>
          <w:rPr>
            <w:w w:val="105"/>
            <w:sz w:val="20"/>
          </w:rPr>
          <w:t>Other</w:t>
        </w:r>
        <w:r>
          <w:rPr>
            <w:spacing w:val="-17"/>
            <w:w w:val="105"/>
            <w:sz w:val="20"/>
          </w:rPr>
          <w:t> </w:t>
        </w:r>
        <w:r>
          <w:rPr>
            <w:w w:val="105"/>
            <w:sz w:val="20"/>
          </w:rPr>
          <w:t>Charges</w:t>
          <w:tab/>
          <w:t>316</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04">
        <w:r>
          <w:rPr>
            <w:w w:val="105"/>
            <w:sz w:val="20"/>
          </w:rPr>
          <w:t>Working</w:t>
        </w:r>
        <w:r>
          <w:rPr>
            <w:spacing w:val="-40"/>
            <w:w w:val="105"/>
            <w:sz w:val="20"/>
          </w:rPr>
          <w:t> </w:t>
        </w:r>
        <w:r>
          <w:rPr>
            <w:w w:val="105"/>
            <w:sz w:val="20"/>
          </w:rPr>
          <w:t>Capital</w:t>
        </w:r>
        <w:r>
          <w:rPr>
            <w:spacing w:val="-40"/>
            <w:w w:val="105"/>
            <w:sz w:val="20"/>
          </w:rPr>
          <w:t> </w:t>
        </w:r>
        <w:r>
          <w:rPr>
            <w:w w:val="105"/>
            <w:sz w:val="20"/>
          </w:rPr>
          <w:t>Assumptions</w:t>
          <w:tab/>
          <w:t>316</w:t>
        </w:r>
      </w:hyperlink>
    </w:p>
    <w:p>
      <w:pPr>
        <w:pStyle w:val="ListParagraph"/>
        <w:numPr>
          <w:ilvl w:val="2"/>
          <w:numId w:val="13"/>
        </w:numPr>
        <w:tabs>
          <w:tab w:pos="2266" w:val="left" w:leader="none"/>
          <w:tab w:pos="10136" w:val="left" w:leader="dot"/>
        </w:tabs>
        <w:spacing w:line="309" w:lineRule="auto" w:before="128" w:after="0"/>
        <w:ind w:left="2265" w:right="897" w:hanging="708"/>
        <w:jc w:val="left"/>
        <w:rPr>
          <w:sz w:val="20"/>
        </w:rPr>
      </w:pPr>
      <w:hyperlink w:history="true" w:anchor="_bookmark405">
        <w:r>
          <w:rPr>
            <w:sz w:val="20"/>
          </w:rPr>
          <w:t>Cash Flows for EEPL under the Deferred Payment Agreement and O&amp;M Agreement with</w:t>
        </w:r>
      </w:hyperlink>
      <w:hyperlink w:history="true" w:anchor="_bookmark405">
        <w:r>
          <w:rPr>
            <w:sz w:val="20"/>
          </w:rPr>
          <w:t> IL&amp;FS</w:t>
          <w:tab/>
        </w:r>
        <w:r>
          <w:rPr>
            <w:spacing w:val="-6"/>
            <w:sz w:val="20"/>
          </w:rPr>
          <w:t>316</w:t>
        </w:r>
      </w:hyperlink>
    </w:p>
    <w:p>
      <w:pPr>
        <w:pStyle w:val="ListParagraph"/>
        <w:numPr>
          <w:ilvl w:val="2"/>
          <w:numId w:val="13"/>
        </w:numPr>
        <w:tabs>
          <w:tab w:pos="2266" w:val="left" w:leader="none"/>
          <w:tab w:pos="10136" w:val="left" w:leader="dot"/>
        </w:tabs>
        <w:spacing w:line="240" w:lineRule="auto" w:before="61" w:after="0"/>
        <w:ind w:left="2265" w:right="0" w:hanging="709"/>
        <w:jc w:val="left"/>
        <w:rPr>
          <w:sz w:val="20"/>
        </w:rPr>
      </w:pPr>
      <w:hyperlink w:history="true" w:anchor="_bookmark406">
        <w:r>
          <w:rPr>
            <w:sz w:val="20"/>
          </w:rPr>
          <w:t>Depreciation</w:t>
        </w:r>
        <w:r>
          <w:rPr>
            <w:spacing w:val="-23"/>
            <w:sz w:val="20"/>
          </w:rPr>
          <w:t> </w:t>
        </w:r>
        <w:r>
          <w:rPr>
            <w:sz w:val="20"/>
          </w:rPr>
          <w:t>Assumptions</w:t>
          <w:tab/>
          <w:t>317</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07">
        <w:r>
          <w:rPr>
            <w:sz w:val="20"/>
          </w:rPr>
          <w:t>Taxation</w:t>
        </w:r>
        <w:r>
          <w:rPr>
            <w:spacing w:val="-25"/>
            <w:sz w:val="20"/>
          </w:rPr>
          <w:t> </w:t>
        </w:r>
        <w:r>
          <w:rPr>
            <w:sz w:val="20"/>
          </w:rPr>
          <w:t>Assumptions</w:t>
          <w:tab/>
          <w:t>317</w:t>
        </w:r>
      </w:hyperlink>
    </w:p>
    <w:p>
      <w:pPr>
        <w:pStyle w:val="ListParagraph"/>
        <w:numPr>
          <w:ilvl w:val="2"/>
          <w:numId w:val="13"/>
        </w:numPr>
        <w:tabs>
          <w:tab w:pos="2266" w:val="left" w:leader="none"/>
          <w:tab w:pos="10136" w:val="left" w:leader="dot"/>
        </w:tabs>
        <w:spacing w:line="240" w:lineRule="auto" w:before="127" w:after="0"/>
        <w:ind w:left="2265" w:right="0" w:hanging="709"/>
        <w:jc w:val="left"/>
        <w:rPr>
          <w:sz w:val="20"/>
        </w:rPr>
      </w:pPr>
      <w:hyperlink w:history="true" w:anchor="_bookmark408">
        <w:r>
          <w:rPr>
            <w:sz w:val="20"/>
          </w:rPr>
          <w:t>Useful</w:t>
        </w:r>
        <w:r>
          <w:rPr>
            <w:spacing w:val="-25"/>
            <w:sz w:val="20"/>
          </w:rPr>
          <w:t> </w:t>
        </w:r>
        <w:r>
          <w:rPr>
            <w:sz w:val="20"/>
          </w:rPr>
          <w:t>Life</w:t>
          <w:tab/>
          <w:t>318</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09">
        <w:r>
          <w:rPr>
            <w:sz w:val="20"/>
          </w:rPr>
          <w:t>Discount</w:t>
        </w:r>
        <w:r>
          <w:rPr>
            <w:spacing w:val="-21"/>
            <w:sz w:val="20"/>
          </w:rPr>
          <w:t> </w:t>
        </w:r>
        <w:r>
          <w:rPr>
            <w:sz w:val="20"/>
          </w:rPr>
          <w:t>Rate</w:t>
          <w:tab/>
          <w:t>318</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10">
        <w:r>
          <w:rPr>
            <w:sz w:val="20"/>
          </w:rPr>
          <w:t>Equity Value</w:t>
        </w:r>
        <w:r>
          <w:rPr>
            <w:spacing w:val="-43"/>
            <w:sz w:val="20"/>
          </w:rPr>
          <w:t> </w:t>
        </w:r>
        <w:r>
          <w:rPr>
            <w:sz w:val="20"/>
          </w:rPr>
          <w:t>of</w:t>
        </w:r>
        <w:r>
          <w:rPr>
            <w:spacing w:val="-22"/>
            <w:sz w:val="20"/>
          </w:rPr>
          <w:t> </w:t>
        </w:r>
        <w:r>
          <w:rPr>
            <w:sz w:val="20"/>
          </w:rPr>
          <w:t>EEPL</w:t>
          <w:tab/>
          <w:t>318</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11">
        <w:r>
          <w:rPr>
            <w:sz w:val="20"/>
          </w:rPr>
          <w:t>Enterprise</w:t>
        </w:r>
        <w:r>
          <w:rPr>
            <w:spacing w:val="-26"/>
            <w:sz w:val="20"/>
          </w:rPr>
          <w:t> </w:t>
        </w:r>
        <w:r>
          <w:rPr>
            <w:sz w:val="20"/>
          </w:rPr>
          <w:t>Value</w:t>
        </w:r>
        <w:r>
          <w:rPr>
            <w:spacing w:val="-25"/>
            <w:sz w:val="20"/>
          </w:rPr>
          <w:t> </w:t>
        </w:r>
        <w:r>
          <w:rPr>
            <w:sz w:val="20"/>
          </w:rPr>
          <w:t>of</w:t>
        </w:r>
        <w:r>
          <w:rPr>
            <w:spacing w:val="-24"/>
            <w:sz w:val="20"/>
          </w:rPr>
          <w:t> </w:t>
        </w:r>
        <w:r>
          <w:rPr>
            <w:sz w:val="20"/>
          </w:rPr>
          <w:t>EEPL</w:t>
          <w:tab/>
          <w:t>318</w:t>
        </w:r>
      </w:hyperlink>
    </w:p>
    <w:p>
      <w:pPr>
        <w:pStyle w:val="ListParagraph"/>
        <w:numPr>
          <w:ilvl w:val="0"/>
          <w:numId w:val="13"/>
        </w:numPr>
        <w:tabs>
          <w:tab w:pos="846" w:val="left" w:leader="none"/>
          <w:tab w:pos="847" w:val="left" w:leader="none"/>
          <w:tab w:pos="10134" w:val="left" w:leader="dot"/>
        </w:tabs>
        <w:spacing w:line="240" w:lineRule="auto" w:before="127" w:after="0"/>
        <w:ind w:left="846" w:right="0" w:hanging="567"/>
        <w:jc w:val="left"/>
        <w:rPr>
          <w:sz w:val="20"/>
        </w:rPr>
      </w:pPr>
      <w:hyperlink w:history="true" w:anchor="_bookmark412">
        <w:r>
          <w:rPr>
            <w:sz w:val="20"/>
          </w:rPr>
          <w:t>Exhibits</w:t>
        </w:r>
        <w:r>
          <w:rPr>
            <w:spacing w:val="-10"/>
            <w:sz w:val="20"/>
          </w:rPr>
          <w:t> </w:t>
        </w:r>
        <w:r>
          <w:rPr>
            <w:sz w:val="20"/>
          </w:rPr>
          <w:t>and</w:t>
        </w:r>
        <w:r>
          <w:rPr>
            <w:spacing w:val="-11"/>
            <w:sz w:val="20"/>
          </w:rPr>
          <w:t> </w:t>
        </w:r>
        <w:r>
          <w:rPr>
            <w:sz w:val="20"/>
          </w:rPr>
          <w:t>Addendums</w:t>
          <w:tab/>
          <w:t>320</w:t>
        </w:r>
      </w:hyperlink>
    </w:p>
    <w:p>
      <w:pPr>
        <w:pStyle w:val="ListParagraph"/>
        <w:numPr>
          <w:ilvl w:val="1"/>
          <w:numId w:val="13"/>
        </w:numPr>
        <w:tabs>
          <w:tab w:pos="1557" w:val="left" w:leader="none"/>
          <w:tab w:pos="1558" w:val="left" w:leader="none"/>
          <w:tab w:pos="10136" w:val="left" w:leader="dot"/>
        </w:tabs>
        <w:spacing w:line="240" w:lineRule="auto" w:before="129" w:after="0"/>
        <w:ind w:left="1557" w:right="0" w:hanging="712"/>
        <w:jc w:val="left"/>
        <w:rPr>
          <w:sz w:val="20"/>
        </w:rPr>
      </w:pPr>
      <w:hyperlink w:history="true" w:anchor="_bookmark413">
        <w:r>
          <w:rPr>
            <w:sz w:val="20"/>
          </w:rPr>
          <w:t>Other</w:t>
        </w:r>
        <w:r>
          <w:rPr>
            <w:spacing w:val="-6"/>
            <w:sz w:val="20"/>
          </w:rPr>
          <w:t> </w:t>
        </w:r>
        <w:r>
          <w:rPr>
            <w:sz w:val="20"/>
          </w:rPr>
          <w:t>Mandatory</w:t>
        </w:r>
        <w:r>
          <w:rPr>
            <w:spacing w:val="-5"/>
            <w:sz w:val="20"/>
          </w:rPr>
          <w:t> </w:t>
        </w:r>
        <w:r>
          <w:rPr>
            <w:sz w:val="20"/>
          </w:rPr>
          <w:t>Disclosures</w:t>
          <w:tab/>
          <w:t>320</w:t>
        </w:r>
      </w:hyperlink>
    </w:p>
    <w:p>
      <w:pPr>
        <w:spacing w:after="0" w:line="240" w:lineRule="auto"/>
        <w:jc w:val="left"/>
        <w:rPr>
          <w:sz w:val="20"/>
        </w:rPr>
        <w:sectPr>
          <w:pgSz w:w="11910" w:h="16840"/>
          <w:pgMar w:header="720" w:footer="842" w:top="1520" w:bottom="1040" w:left="440" w:right="80"/>
        </w:sectPr>
      </w:pPr>
    </w:p>
    <w:p>
      <w:pPr>
        <w:pStyle w:val="ListParagraph"/>
        <w:numPr>
          <w:ilvl w:val="2"/>
          <w:numId w:val="13"/>
        </w:numPr>
        <w:tabs>
          <w:tab w:pos="2266" w:val="left" w:leader="none"/>
          <w:tab w:pos="10136" w:val="left" w:leader="dot"/>
        </w:tabs>
        <w:spacing w:line="240" w:lineRule="auto" w:before="208" w:after="0"/>
        <w:ind w:left="2265" w:right="0" w:hanging="709"/>
        <w:jc w:val="left"/>
        <w:rPr>
          <w:sz w:val="20"/>
        </w:rPr>
      </w:pPr>
      <w:hyperlink w:history="true" w:anchor="_bookmark414">
        <w:r>
          <w:rPr>
            <w:sz w:val="20"/>
          </w:rPr>
          <w:t>Details</w:t>
        </w:r>
        <w:r>
          <w:rPr>
            <w:spacing w:val="-27"/>
            <w:sz w:val="20"/>
          </w:rPr>
          <w:t> </w:t>
        </w:r>
        <w:r>
          <w:rPr>
            <w:sz w:val="20"/>
          </w:rPr>
          <w:t>of</w:t>
        </w:r>
        <w:r>
          <w:rPr>
            <w:spacing w:val="-26"/>
            <w:sz w:val="20"/>
          </w:rPr>
          <w:t> </w:t>
        </w:r>
        <w:r>
          <w:rPr>
            <w:sz w:val="20"/>
          </w:rPr>
          <w:t>Material</w:t>
        </w:r>
        <w:r>
          <w:rPr>
            <w:spacing w:val="-27"/>
            <w:sz w:val="20"/>
          </w:rPr>
          <w:t> </w:t>
        </w:r>
        <w:r>
          <w:rPr>
            <w:sz w:val="20"/>
          </w:rPr>
          <w:t>Litigations</w:t>
          <w:tab/>
          <w:t>320</w:t>
        </w:r>
      </w:hyperlink>
    </w:p>
    <w:p>
      <w:pPr>
        <w:pStyle w:val="ListParagraph"/>
        <w:numPr>
          <w:ilvl w:val="2"/>
          <w:numId w:val="13"/>
        </w:numPr>
        <w:tabs>
          <w:tab w:pos="2266" w:val="left" w:leader="none"/>
          <w:tab w:pos="10136" w:val="left" w:leader="dot"/>
        </w:tabs>
        <w:spacing w:line="309" w:lineRule="auto" w:before="128" w:after="0"/>
        <w:ind w:left="2265" w:right="897" w:hanging="708"/>
        <w:jc w:val="left"/>
        <w:rPr>
          <w:sz w:val="20"/>
        </w:rPr>
      </w:pPr>
      <w:hyperlink w:history="true" w:anchor="_bookmark415">
        <w:r>
          <w:rPr>
            <w:sz w:val="20"/>
          </w:rPr>
          <w:t>Details</w:t>
        </w:r>
        <w:r>
          <w:rPr>
            <w:spacing w:val="-21"/>
            <w:sz w:val="20"/>
          </w:rPr>
          <w:t> </w:t>
        </w:r>
        <w:r>
          <w:rPr>
            <w:sz w:val="20"/>
          </w:rPr>
          <w:t>of</w:t>
        </w:r>
        <w:r>
          <w:rPr>
            <w:spacing w:val="-20"/>
            <w:sz w:val="20"/>
          </w:rPr>
          <w:t> </w:t>
        </w:r>
        <w:r>
          <w:rPr>
            <w:sz w:val="20"/>
          </w:rPr>
          <w:t>options</w:t>
        </w:r>
        <w:r>
          <w:rPr>
            <w:spacing w:val="-20"/>
            <w:sz w:val="20"/>
          </w:rPr>
          <w:t> </w:t>
        </w:r>
        <w:r>
          <w:rPr>
            <w:sz w:val="20"/>
          </w:rPr>
          <w:t>or</w:t>
        </w:r>
        <w:r>
          <w:rPr>
            <w:spacing w:val="-21"/>
            <w:sz w:val="20"/>
          </w:rPr>
          <w:t> </w:t>
        </w:r>
        <w:r>
          <w:rPr>
            <w:sz w:val="20"/>
          </w:rPr>
          <w:t>rights</w:t>
        </w:r>
        <w:r>
          <w:rPr>
            <w:spacing w:val="-19"/>
            <w:sz w:val="20"/>
          </w:rPr>
          <w:t> </w:t>
        </w:r>
        <w:r>
          <w:rPr>
            <w:sz w:val="20"/>
          </w:rPr>
          <w:t>of</w:t>
        </w:r>
        <w:r>
          <w:rPr>
            <w:spacing w:val="-20"/>
            <w:sz w:val="20"/>
          </w:rPr>
          <w:t> </w:t>
        </w:r>
        <w:r>
          <w:rPr>
            <w:sz w:val="20"/>
          </w:rPr>
          <w:t>pre-emption</w:t>
        </w:r>
        <w:r>
          <w:rPr>
            <w:spacing w:val="-21"/>
            <w:sz w:val="20"/>
          </w:rPr>
          <w:t> </w:t>
        </w:r>
        <w:r>
          <w:rPr>
            <w:sz w:val="20"/>
          </w:rPr>
          <w:t>and</w:t>
        </w:r>
        <w:r>
          <w:rPr>
            <w:spacing w:val="-21"/>
            <w:sz w:val="20"/>
          </w:rPr>
          <w:t> </w:t>
        </w:r>
        <w:r>
          <w:rPr>
            <w:sz w:val="20"/>
          </w:rPr>
          <w:t>other</w:t>
        </w:r>
        <w:r>
          <w:rPr>
            <w:spacing w:val="-21"/>
            <w:sz w:val="20"/>
          </w:rPr>
          <w:t> </w:t>
        </w:r>
        <w:r>
          <w:rPr>
            <w:sz w:val="20"/>
          </w:rPr>
          <w:t>encumbrances,</w:t>
        </w:r>
        <w:r>
          <w:rPr>
            <w:spacing w:val="-18"/>
            <w:sz w:val="20"/>
          </w:rPr>
          <w:t> </w:t>
        </w:r>
        <w:r>
          <w:rPr>
            <w:sz w:val="20"/>
          </w:rPr>
          <w:t>revenue</w:t>
        </w:r>
        <w:r>
          <w:rPr>
            <w:spacing w:val="-20"/>
            <w:sz w:val="20"/>
          </w:rPr>
          <w:t> </w:t>
        </w:r>
        <w:r>
          <w:rPr>
            <w:sz w:val="20"/>
          </w:rPr>
          <w:t>pendencies</w:t>
        </w:r>
        <w:r>
          <w:rPr>
            <w:spacing w:val="-19"/>
            <w:sz w:val="20"/>
          </w:rPr>
          <w:t> </w:t>
        </w:r>
        <w:r>
          <w:rPr>
            <w:sz w:val="20"/>
          </w:rPr>
          <w:t>and</w:t>
        </w:r>
      </w:hyperlink>
      <w:hyperlink w:history="true" w:anchor="_bookmark415">
        <w:r>
          <w:rPr>
            <w:sz w:val="20"/>
          </w:rPr>
          <w:t> any</w:t>
        </w:r>
        <w:r>
          <w:rPr>
            <w:spacing w:val="-29"/>
            <w:sz w:val="20"/>
          </w:rPr>
          <w:t> </w:t>
        </w:r>
        <w:r>
          <w:rPr>
            <w:sz w:val="20"/>
          </w:rPr>
          <w:t>matters</w:t>
        </w:r>
        <w:r>
          <w:rPr>
            <w:spacing w:val="-28"/>
            <w:sz w:val="20"/>
          </w:rPr>
          <w:t> </w:t>
        </w:r>
        <w:r>
          <w:rPr>
            <w:sz w:val="20"/>
          </w:rPr>
          <w:t>which</w:t>
        </w:r>
        <w:r>
          <w:rPr>
            <w:spacing w:val="-30"/>
            <w:sz w:val="20"/>
          </w:rPr>
          <w:t> </w:t>
        </w:r>
        <w:r>
          <w:rPr>
            <w:sz w:val="20"/>
          </w:rPr>
          <w:t>may</w:t>
        </w:r>
        <w:r>
          <w:rPr>
            <w:spacing w:val="-28"/>
            <w:sz w:val="20"/>
          </w:rPr>
          <w:t> </w:t>
        </w:r>
        <w:r>
          <w:rPr>
            <w:sz w:val="20"/>
          </w:rPr>
          <w:t>affect</w:t>
        </w:r>
        <w:r>
          <w:rPr>
            <w:spacing w:val="-29"/>
            <w:sz w:val="20"/>
          </w:rPr>
          <w:t> </w:t>
        </w:r>
        <w:r>
          <w:rPr>
            <w:sz w:val="20"/>
          </w:rPr>
          <w:t>the</w:t>
        </w:r>
        <w:r>
          <w:rPr>
            <w:spacing w:val="-28"/>
            <w:sz w:val="20"/>
          </w:rPr>
          <w:t> </w:t>
        </w:r>
        <w:r>
          <w:rPr>
            <w:sz w:val="20"/>
          </w:rPr>
          <w:t>property</w:t>
        </w:r>
        <w:r>
          <w:rPr>
            <w:spacing w:val="-28"/>
            <w:sz w:val="20"/>
          </w:rPr>
          <w:t> </w:t>
        </w:r>
        <w:r>
          <w:rPr>
            <w:sz w:val="20"/>
          </w:rPr>
          <w:t>or</w:t>
        </w:r>
        <w:r>
          <w:rPr>
            <w:spacing w:val="-30"/>
            <w:sz w:val="20"/>
          </w:rPr>
          <w:t> </w:t>
        </w:r>
        <w:r>
          <w:rPr>
            <w:sz w:val="20"/>
          </w:rPr>
          <w:t>its</w:t>
        </w:r>
        <w:r>
          <w:rPr>
            <w:spacing w:val="-28"/>
            <w:sz w:val="20"/>
          </w:rPr>
          <w:t> </w:t>
        </w:r>
        <w:r>
          <w:rPr>
            <w:sz w:val="20"/>
          </w:rPr>
          <w:t>value</w:t>
          <w:tab/>
        </w:r>
        <w:r>
          <w:rPr>
            <w:spacing w:val="-6"/>
            <w:sz w:val="20"/>
          </w:rPr>
          <w:t>325</w:t>
        </w:r>
      </w:hyperlink>
    </w:p>
    <w:p>
      <w:pPr>
        <w:pStyle w:val="ListParagraph"/>
        <w:numPr>
          <w:ilvl w:val="1"/>
          <w:numId w:val="13"/>
        </w:numPr>
        <w:tabs>
          <w:tab w:pos="1557" w:val="left" w:leader="none"/>
          <w:tab w:pos="1558" w:val="left" w:leader="none"/>
          <w:tab w:pos="10136" w:val="left" w:leader="dot"/>
        </w:tabs>
        <w:spacing w:line="240" w:lineRule="auto" w:before="60" w:after="0"/>
        <w:ind w:left="1557" w:right="0" w:hanging="712"/>
        <w:jc w:val="left"/>
        <w:rPr>
          <w:sz w:val="20"/>
        </w:rPr>
      </w:pPr>
      <w:hyperlink w:history="true" w:anchor="_bookmark416">
        <w:r>
          <w:rPr>
            <w:sz w:val="20"/>
          </w:rPr>
          <w:t>Site</w:t>
        </w:r>
        <w:r>
          <w:rPr>
            <w:spacing w:val="-18"/>
            <w:sz w:val="20"/>
          </w:rPr>
          <w:t> </w:t>
        </w:r>
        <w:r>
          <w:rPr>
            <w:sz w:val="20"/>
          </w:rPr>
          <w:t>Plans</w:t>
          <w:tab/>
          <w:t>326</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17">
        <w:r>
          <w:rPr>
            <w:sz w:val="20"/>
          </w:rPr>
          <w:t>Embassy</w:t>
        </w:r>
        <w:r>
          <w:rPr>
            <w:spacing w:val="3"/>
            <w:sz w:val="20"/>
          </w:rPr>
          <w:t> </w:t>
        </w:r>
        <w:r>
          <w:rPr>
            <w:sz w:val="20"/>
          </w:rPr>
          <w:t>Manyata</w:t>
          <w:tab/>
          <w:t>326</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18">
        <w:r>
          <w:rPr>
            <w:sz w:val="20"/>
          </w:rPr>
          <w:t>Express</w:t>
        </w:r>
        <w:r>
          <w:rPr>
            <w:spacing w:val="-24"/>
            <w:sz w:val="20"/>
          </w:rPr>
          <w:t> </w:t>
        </w:r>
        <w:r>
          <w:rPr>
            <w:sz w:val="20"/>
          </w:rPr>
          <w:t>Towers</w:t>
          <w:tab/>
          <w:t>327</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19">
        <w:r>
          <w:rPr>
            <w:w w:val="110"/>
            <w:sz w:val="20"/>
          </w:rPr>
          <w:t>Embassy</w:t>
        </w:r>
        <w:r>
          <w:rPr>
            <w:spacing w:val="-31"/>
            <w:w w:val="110"/>
            <w:sz w:val="20"/>
          </w:rPr>
          <w:t> </w:t>
        </w:r>
        <w:r>
          <w:rPr>
            <w:w w:val="110"/>
            <w:sz w:val="20"/>
          </w:rPr>
          <w:t>247</w:t>
          <w:tab/>
          <w:t>328</w:t>
        </w:r>
      </w:hyperlink>
    </w:p>
    <w:p>
      <w:pPr>
        <w:pStyle w:val="ListParagraph"/>
        <w:numPr>
          <w:ilvl w:val="2"/>
          <w:numId w:val="13"/>
        </w:numPr>
        <w:tabs>
          <w:tab w:pos="2266" w:val="left" w:leader="none"/>
          <w:tab w:pos="10136" w:val="left" w:leader="dot"/>
        </w:tabs>
        <w:spacing w:line="240" w:lineRule="auto" w:before="127" w:after="0"/>
        <w:ind w:left="2265" w:right="0" w:hanging="709"/>
        <w:jc w:val="left"/>
        <w:rPr>
          <w:sz w:val="20"/>
        </w:rPr>
      </w:pPr>
      <w:hyperlink w:history="true" w:anchor="_bookmark420">
        <w:r>
          <w:rPr>
            <w:sz w:val="20"/>
          </w:rPr>
          <w:t>First</w:t>
        </w:r>
        <w:r>
          <w:rPr>
            <w:spacing w:val="-32"/>
            <w:sz w:val="20"/>
          </w:rPr>
          <w:t> </w:t>
        </w:r>
        <w:r>
          <w:rPr>
            <w:sz w:val="20"/>
          </w:rPr>
          <w:t>International</w:t>
        </w:r>
        <w:r>
          <w:rPr>
            <w:spacing w:val="-32"/>
            <w:sz w:val="20"/>
          </w:rPr>
          <w:t> </w:t>
        </w:r>
        <w:r>
          <w:rPr>
            <w:sz w:val="20"/>
          </w:rPr>
          <w:t>Finance</w:t>
        </w:r>
        <w:r>
          <w:rPr>
            <w:spacing w:val="-32"/>
            <w:sz w:val="20"/>
          </w:rPr>
          <w:t> </w:t>
        </w:r>
        <w:r>
          <w:rPr>
            <w:sz w:val="20"/>
          </w:rPr>
          <w:t>Center</w:t>
        </w:r>
        <w:r>
          <w:rPr>
            <w:spacing w:val="-32"/>
            <w:sz w:val="20"/>
          </w:rPr>
          <w:t> </w:t>
        </w:r>
        <w:r>
          <w:rPr>
            <w:sz w:val="20"/>
          </w:rPr>
          <w:t>(FIFC)</w:t>
          <w:tab/>
          <w:t>329</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21">
        <w:r>
          <w:rPr>
            <w:sz w:val="20"/>
          </w:rPr>
          <w:t>Embassy</w:t>
        </w:r>
        <w:r>
          <w:rPr>
            <w:spacing w:val="-11"/>
            <w:sz w:val="20"/>
          </w:rPr>
          <w:t> </w:t>
        </w:r>
        <w:r>
          <w:rPr>
            <w:sz w:val="20"/>
          </w:rPr>
          <w:t>TechZone</w:t>
          <w:tab/>
          <w:t>330</w:t>
        </w:r>
      </w:hyperlink>
    </w:p>
    <w:p>
      <w:pPr>
        <w:pStyle w:val="ListParagraph"/>
        <w:numPr>
          <w:ilvl w:val="2"/>
          <w:numId w:val="13"/>
        </w:numPr>
        <w:tabs>
          <w:tab w:pos="2266" w:val="left" w:leader="none"/>
          <w:tab w:pos="10136" w:val="left" w:leader="dot"/>
        </w:tabs>
        <w:spacing w:line="240" w:lineRule="auto" w:before="129" w:after="0"/>
        <w:ind w:left="2265" w:right="0" w:hanging="709"/>
        <w:jc w:val="left"/>
        <w:rPr>
          <w:sz w:val="20"/>
        </w:rPr>
      </w:pPr>
      <w:hyperlink w:history="true" w:anchor="_bookmark422">
        <w:r>
          <w:rPr>
            <w:w w:val="105"/>
            <w:sz w:val="20"/>
          </w:rPr>
          <w:t>Embassy</w:t>
        </w:r>
        <w:r>
          <w:rPr>
            <w:spacing w:val="-14"/>
            <w:w w:val="105"/>
            <w:sz w:val="20"/>
          </w:rPr>
          <w:t> </w:t>
        </w:r>
        <w:r>
          <w:rPr>
            <w:w w:val="105"/>
            <w:sz w:val="20"/>
          </w:rPr>
          <w:t>Quadron</w:t>
          <w:tab/>
          <w:t>331</w:t>
        </w:r>
      </w:hyperlink>
    </w:p>
    <w:p>
      <w:pPr>
        <w:pStyle w:val="ListParagraph"/>
        <w:numPr>
          <w:ilvl w:val="2"/>
          <w:numId w:val="13"/>
        </w:numPr>
        <w:tabs>
          <w:tab w:pos="2266" w:val="left" w:leader="none"/>
          <w:tab w:pos="10136" w:val="left" w:leader="dot"/>
        </w:tabs>
        <w:spacing w:line="240" w:lineRule="auto" w:before="127" w:after="0"/>
        <w:ind w:left="2265" w:right="0" w:hanging="709"/>
        <w:jc w:val="left"/>
        <w:rPr>
          <w:sz w:val="20"/>
        </w:rPr>
      </w:pPr>
      <w:hyperlink w:history="true" w:anchor="_bookmark423">
        <w:r>
          <w:rPr>
            <w:sz w:val="20"/>
          </w:rPr>
          <w:t>Embassy</w:t>
        </w:r>
        <w:r>
          <w:rPr>
            <w:spacing w:val="3"/>
            <w:sz w:val="20"/>
          </w:rPr>
          <w:t> </w:t>
        </w:r>
        <w:r>
          <w:rPr>
            <w:sz w:val="20"/>
          </w:rPr>
          <w:t>Qubix</w:t>
          <w:tab/>
          <w:t>332</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24">
        <w:r>
          <w:rPr>
            <w:sz w:val="20"/>
          </w:rPr>
          <w:t>Embassy</w:t>
        </w:r>
        <w:r>
          <w:rPr>
            <w:spacing w:val="11"/>
            <w:sz w:val="20"/>
          </w:rPr>
          <w:t> </w:t>
        </w:r>
        <w:r>
          <w:rPr>
            <w:sz w:val="20"/>
          </w:rPr>
          <w:t>Oxygen</w:t>
          <w:tab/>
          <w:t>333</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25">
        <w:r>
          <w:rPr>
            <w:sz w:val="20"/>
          </w:rPr>
          <w:t>Embassy</w:t>
        </w:r>
        <w:r>
          <w:rPr>
            <w:spacing w:val="1"/>
            <w:sz w:val="20"/>
          </w:rPr>
          <w:t> </w:t>
        </w:r>
        <w:r>
          <w:rPr>
            <w:sz w:val="20"/>
          </w:rPr>
          <w:t>Galaxy</w:t>
          <w:tab/>
          <w:t>334</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26">
        <w:r>
          <w:rPr>
            <w:sz w:val="20"/>
          </w:rPr>
          <w:t>Embassy</w:t>
        </w:r>
        <w:r>
          <w:rPr>
            <w:spacing w:val="-8"/>
            <w:sz w:val="20"/>
          </w:rPr>
          <w:t> </w:t>
        </w:r>
        <w:r>
          <w:rPr>
            <w:sz w:val="20"/>
          </w:rPr>
          <w:t>GolfLinks</w:t>
          <w:tab/>
          <w:t>335</w:t>
        </w:r>
      </w:hyperlink>
    </w:p>
    <w:p>
      <w:pPr>
        <w:pStyle w:val="ListParagraph"/>
        <w:numPr>
          <w:ilvl w:val="2"/>
          <w:numId w:val="13"/>
        </w:numPr>
        <w:tabs>
          <w:tab w:pos="2266" w:val="left" w:leader="none"/>
          <w:tab w:pos="10136" w:val="left" w:leader="dot"/>
        </w:tabs>
        <w:spacing w:line="240" w:lineRule="auto" w:before="127" w:after="0"/>
        <w:ind w:left="2265" w:right="0" w:hanging="709"/>
        <w:jc w:val="left"/>
        <w:rPr>
          <w:sz w:val="20"/>
        </w:rPr>
      </w:pPr>
      <w:hyperlink w:history="true" w:anchor="_bookmark427">
        <w:r>
          <w:rPr>
            <w:w w:val="105"/>
            <w:sz w:val="20"/>
          </w:rPr>
          <w:t>Embassy</w:t>
        </w:r>
        <w:r>
          <w:rPr>
            <w:spacing w:val="-13"/>
            <w:w w:val="105"/>
            <w:sz w:val="20"/>
          </w:rPr>
          <w:t> </w:t>
        </w:r>
        <w:r>
          <w:rPr>
            <w:w w:val="105"/>
            <w:sz w:val="20"/>
          </w:rPr>
          <w:t>One</w:t>
          <w:tab/>
          <w:t>336</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28">
        <w:r>
          <w:rPr>
            <w:sz w:val="20"/>
          </w:rPr>
          <w:t>Hilton</w:t>
        </w:r>
        <w:r>
          <w:rPr>
            <w:spacing w:val="-20"/>
            <w:sz w:val="20"/>
          </w:rPr>
          <w:t> </w:t>
        </w:r>
        <w:r>
          <w:rPr>
            <w:sz w:val="20"/>
          </w:rPr>
          <w:t>at</w:t>
        </w:r>
        <w:r>
          <w:rPr>
            <w:spacing w:val="-19"/>
            <w:sz w:val="20"/>
          </w:rPr>
          <w:t> </w:t>
        </w:r>
        <w:r>
          <w:rPr>
            <w:sz w:val="20"/>
          </w:rPr>
          <w:t>GolfLinks</w:t>
          <w:tab/>
          <w:t>337</w:t>
        </w:r>
      </w:hyperlink>
    </w:p>
    <w:p>
      <w:pPr>
        <w:pStyle w:val="ListParagraph"/>
        <w:numPr>
          <w:ilvl w:val="2"/>
          <w:numId w:val="13"/>
        </w:numPr>
        <w:tabs>
          <w:tab w:pos="2266" w:val="left" w:leader="none"/>
          <w:tab w:pos="10136" w:val="left" w:leader="dot"/>
        </w:tabs>
        <w:spacing w:line="240" w:lineRule="auto" w:before="128" w:after="0"/>
        <w:ind w:left="2265" w:right="0" w:hanging="709"/>
        <w:jc w:val="left"/>
        <w:rPr>
          <w:sz w:val="20"/>
        </w:rPr>
      </w:pPr>
      <w:hyperlink w:history="true" w:anchor="_bookmark429">
        <w:r>
          <w:rPr>
            <w:sz w:val="20"/>
          </w:rPr>
          <w:t>Embassy</w:t>
        </w:r>
        <w:r>
          <w:rPr>
            <w:spacing w:val="-7"/>
            <w:sz w:val="20"/>
          </w:rPr>
          <w:t> </w:t>
        </w:r>
        <w:r>
          <w:rPr>
            <w:sz w:val="20"/>
          </w:rPr>
          <w:t>Energy</w:t>
          <w:tab/>
          <w:t>338</w:t>
        </w:r>
      </w:hyperlink>
    </w:p>
    <w:p>
      <w:pPr>
        <w:pStyle w:val="ListParagraph"/>
        <w:numPr>
          <w:ilvl w:val="1"/>
          <w:numId w:val="13"/>
        </w:numPr>
        <w:tabs>
          <w:tab w:pos="1557" w:val="left" w:leader="none"/>
          <w:tab w:pos="1558" w:val="left" w:leader="none"/>
          <w:tab w:pos="10136" w:val="left" w:leader="dot"/>
        </w:tabs>
        <w:spacing w:line="240" w:lineRule="auto" w:before="128" w:after="0"/>
        <w:ind w:left="1557" w:right="0" w:hanging="712"/>
        <w:jc w:val="left"/>
        <w:rPr>
          <w:sz w:val="20"/>
        </w:rPr>
      </w:pPr>
      <w:hyperlink w:history="true" w:anchor="_bookmark430">
        <w:r>
          <w:rPr>
            <w:sz w:val="20"/>
          </w:rPr>
          <w:t>Statutory</w:t>
        </w:r>
        <w:r>
          <w:rPr>
            <w:spacing w:val="-22"/>
            <w:sz w:val="20"/>
          </w:rPr>
          <w:t> </w:t>
        </w:r>
        <w:r>
          <w:rPr>
            <w:sz w:val="20"/>
          </w:rPr>
          <w:t>Approvals,</w:t>
        </w:r>
        <w:r>
          <w:rPr>
            <w:spacing w:val="-22"/>
            <w:sz w:val="20"/>
          </w:rPr>
          <w:t> </w:t>
        </w:r>
        <w:r>
          <w:rPr>
            <w:sz w:val="20"/>
          </w:rPr>
          <w:t>One</w:t>
        </w:r>
        <w:r>
          <w:rPr>
            <w:spacing w:val="-22"/>
            <w:sz w:val="20"/>
          </w:rPr>
          <w:t> </w:t>
        </w:r>
        <w:r>
          <w:rPr>
            <w:sz w:val="20"/>
          </w:rPr>
          <w:t>time</w:t>
        </w:r>
        <w:r>
          <w:rPr>
            <w:spacing w:val="-22"/>
            <w:sz w:val="20"/>
          </w:rPr>
          <w:t> </w:t>
        </w:r>
        <w:r>
          <w:rPr>
            <w:sz w:val="20"/>
          </w:rPr>
          <w:t>Sanctions</w:t>
        </w:r>
        <w:r>
          <w:rPr>
            <w:spacing w:val="-22"/>
            <w:sz w:val="20"/>
          </w:rPr>
          <w:t> </w:t>
        </w:r>
        <w:r>
          <w:rPr>
            <w:sz w:val="20"/>
          </w:rPr>
          <w:t>&amp;</w:t>
        </w:r>
        <w:r>
          <w:rPr>
            <w:spacing w:val="-22"/>
            <w:sz w:val="20"/>
          </w:rPr>
          <w:t> </w:t>
        </w:r>
        <w:r>
          <w:rPr>
            <w:sz w:val="20"/>
          </w:rPr>
          <w:t>Periodic</w:t>
        </w:r>
        <w:r>
          <w:rPr>
            <w:spacing w:val="-23"/>
            <w:sz w:val="20"/>
          </w:rPr>
          <w:t> </w:t>
        </w:r>
        <w:r>
          <w:rPr>
            <w:sz w:val="20"/>
          </w:rPr>
          <w:t>Clearances</w:t>
          <w:tab/>
          <w:t>339</w:t>
        </w:r>
      </w:hyperlink>
    </w:p>
    <w:p>
      <w:pPr>
        <w:pStyle w:val="ListParagraph"/>
        <w:numPr>
          <w:ilvl w:val="1"/>
          <w:numId w:val="13"/>
        </w:numPr>
        <w:tabs>
          <w:tab w:pos="1557" w:val="left" w:leader="none"/>
          <w:tab w:pos="1558" w:val="left" w:leader="none"/>
          <w:tab w:pos="10136" w:val="left" w:leader="dot"/>
        </w:tabs>
        <w:spacing w:line="240" w:lineRule="auto" w:before="128" w:after="0"/>
        <w:ind w:left="1557" w:right="0" w:hanging="712"/>
        <w:jc w:val="left"/>
        <w:rPr>
          <w:sz w:val="20"/>
        </w:rPr>
      </w:pPr>
      <w:hyperlink w:history="true" w:anchor="_bookmark431">
        <w:r>
          <w:rPr>
            <w:sz w:val="20"/>
          </w:rPr>
          <w:t>Historical</w:t>
        </w:r>
        <w:r>
          <w:rPr>
            <w:spacing w:val="-18"/>
            <w:sz w:val="20"/>
          </w:rPr>
          <w:t> </w:t>
        </w:r>
        <w:r>
          <w:rPr>
            <w:sz w:val="20"/>
          </w:rPr>
          <w:t>Value</w:t>
        </w:r>
        <w:r>
          <w:rPr>
            <w:spacing w:val="-17"/>
            <w:sz w:val="20"/>
          </w:rPr>
          <w:t> </w:t>
        </w:r>
        <w:r>
          <w:rPr>
            <w:sz w:val="20"/>
          </w:rPr>
          <w:t>Summary</w:t>
          <w:tab/>
          <w:t>347</w:t>
        </w:r>
      </w:hyperlink>
    </w:p>
    <w:p>
      <w:pPr>
        <w:spacing w:after="0" w:line="240" w:lineRule="auto"/>
        <w:jc w:val="left"/>
        <w:rPr>
          <w:sz w:val="20"/>
        </w:rPr>
        <w:sectPr>
          <w:pgSz w:w="11910" w:h="16840"/>
          <w:pgMar w:header="720" w:footer="842" w:top="1520" w:bottom="1040" w:left="440" w:right="80"/>
        </w:sectPr>
      </w:pPr>
    </w:p>
    <w:p>
      <w:pPr>
        <w:pStyle w:val="BodyText"/>
        <w:spacing w:before="7"/>
        <w:rPr>
          <w:sz w:val="31"/>
        </w:rPr>
      </w:pPr>
    </w:p>
    <w:p>
      <w:pPr>
        <w:pStyle w:val="Heading5"/>
        <w:numPr>
          <w:ilvl w:val="0"/>
          <w:numId w:val="14"/>
        </w:numPr>
        <w:tabs>
          <w:tab w:pos="712" w:val="left" w:leader="none"/>
          <w:tab w:pos="713" w:val="left" w:leader="none"/>
        </w:tabs>
        <w:spacing w:line="240" w:lineRule="auto" w:before="0" w:after="0"/>
        <w:ind w:left="712" w:right="0" w:hanging="433"/>
        <w:jc w:val="left"/>
        <w:rPr>
          <w:rFonts w:ascii="Arial"/>
        </w:rPr>
      </w:pPr>
      <w:bookmarkStart w:name="_bookmark0" w:id="1"/>
      <w:bookmarkEnd w:id="1"/>
      <w:r>
        <w:rPr>
          <w:b w:val="0"/>
        </w:rPr>
      </w:r>
      <w:bookmarkStart w:name="_bookmark0" w:id="2"/>
      <w:bookmarkEnd w:id="2"/>
      <w:r>
        <w:rPr>
          <w:rFonts w:ascii="Arial"/>
          <w:color w:val="1F664D"/>
        </w:rPr>
        <w:t>I</w:t>
      </w:r>
      <w:r>
        <w:rPr>
          <w:rFonts w:ascii="Arial"/>
          <w:color w:val="1F664D"/>
        </w:rPr>
        <w:t>nstruction</w:t>
      </w:r>
    </w:p>
    <w:p>
      <w:pPr>
        <w:pStyle w:val="BodyText"/>
        <w:spacing w:before="8"/>
        <w:rPr>
          <w:rFonts w:ascii="Arial"/>
          <w:b/>
          <w:sz w:val="28"/>
        </w:rPr>
      </w:pPr>
    </w:p>
    <w:p>
      <w:pPr>
        <w:pStyle w:val="BodyText"/>
        <w:spacing w:line="321" w:lineRule="auto"/>
        <w:ind w:left="820" w:right="635"/>
        <w:jc w:val="both"/>
      </w:pPr>
      <w:r>
        <w:rPr/>
        <w:t>Mr. Manish Gupta (Founder and Partner, iVAS Partners) has been instructed by Embassy Office Parks Management</w:t>
      </w:r>
      <w:r>
        <w:rPr>
          <w:spacing w:val="-29"/>
        </w:rPr>
        <w:t> </w:t>
      </w:r>
      <w:r>
        <w:rPr/>
        <w:t>Services</w:t>
      </w:r>
      <w:r>
        <w:rPr>
          <w:spacing w:val="-28"/>
        </w:rPr>
        <w:t> </w:t>
      </w:r>
      <w:r>
        <w:rPr/>
        <w:t>Private</w:t>
      </w:r>
      <w:r>
        <w:rPr>
          <w:spacing w:val="-28"/>
        </w:rPr>
        <w:t> </w:t>
      </w:r>
      <w:r>
        <w:rPr/>
        <w:t>Limited</w:t>
      </w:r>
      <w:r>
        <w:rPr>
          <w:spacing w:val="-27"/>
        </w:rPr>
        <w:t> </w:t>
      </w:r>
      <w:r>
        <w:rPr/>
        <w:t>(the</w:t>
      </w:r>
      <w:r>
        <w:rPr>
          <w:spacing w:val="-29"/>
        </w:rPr>
        <w:t> </w:t>
      </w:r>
      <w:r>
        <w:rPr/>
        <w:t>‘Client’,</w:t>
      </w:r>
      <w:r>
        <w:rPr>
          <w:spacing w:val="-30"/>
        </w:rPr>
        <w:t> </w:t>
      </w:r>
      <w:r>
        <w:rPr/>
        <w:t>the</w:t>
      </w:r>
      <w:r>
        <w:rPr>
          <w:spacing w:val="-29"/>
        </w:rPr>
        <w:t> </w:t>
      </w:r>
      <w:r>
        <w:rPr/>
        <w:t>‘Instructing</w:t>
      </w:r>
      <w:r>
        <w:rPr>
          <w:spacing w:val="-28"/>
        </w:rPr>
        <w:t> </w:t>
      </w:r>
      <w:r>
        <w:rPr/>
        <w:t>Party’)</w:t>
      </w:r>
      <w:r>
        <w:rPr>
          <w:spacing w:val="-28"/>
        </w:rPr>
        <w:t> </w:t>
      </w:r>
      <w:r>
        <w:rPr/>
        <w:t>in</w:t>
      </w:r>
      <w:r>
        <w:rPr>
          <w:spacing w:val="-30"/>
        </w:rPr>
        <w:t> </w:t>
      </w:r>
      <w:r>
        <w:rPr/>
        <w:t>its</w:t>
      </w:r>
      <w:r>
        <w:rPr>
          <w:spacing w:val="-28"/>
        </w:rPr>
        <w:t> </w:t>
      </w:r>
      <w:r>
        <w:rPr/>
        <w:t>capacity</w:t>
      </w:r>
      <w:r>
        <w:rPr>
          <w:spacing w:val="-28"/>
        </w:rPr>
        <w:t> </w:t>
      </w:r>
      <w:r>
        <w:rPr/>
        <w:t>as</w:t>
      </w:r>
      <w:r>
        <w:rPr>
          <w:spacing w:val="-29"/>
        </w:rPr>
        <w:t> </w:t>
      </w:r>
      <w:r>
        <w:rPr/>
        <w:t>manager</w:t>
      </w:r>
      <w:r>
        <w:rPr>
          <w:spacing w:val="-29"/>
        </w:rPr>
        <w:t> </w:t>
      </w:r>
      <w:r>
        <w:rPr/>
        <w:t>of The Embassy Office Parks REIT (Embassy REIT) to advice upon the Market Value (MV) of properties comprising</w:t>
      </w:r>
      <w:r>
        <w:rPr>
          <w:spacing w:val="-15"/>
        </w:rPr>
        <w:t> </w:t>
      </w:r>
      <w:r>
        <w:rPr/>
        <w:t>of</w:t>
      </w:r>
      <w:r>
        <w:rPr>
          <w:spacing w:val="-14"/>
        </w:rPr>
        <w:t> </w:t>
      </w:r>
      <w:r>
        <w:rPr/>
        <w:t>commercial</w:t>
      </w:r>
      <w:r>
        <w:rPr>
          <w:spacing w:val="-15"/>
        </w:rPr>
        <w:t> </w:t>
      </w:r>
      <w:r>
        <w:rPr/>
        <w:t>office</w:t>
      </w:r>
      <w:r>
        <w:rPr>
          <w:spacing w:val="-14"/>
        </w:rPr>
        <w:t> </w:t>
      </w:r>
      <w:r>
        <w:rPr/>
        <w:t>real</w:t>
      </w:r>
      <w:r>
        <w:rPr>
          <w:spacing w:val="-15"/>
        </w:rPr>
        <w:t> </w:t>
      </w:r>
      <w:r>
        <w:rPr/>
        <w:t>estate</w:t>
      </w:r>
      <w:r>
        <w:rPr>
          <w:spacing w:val="-15"/>
        </w:rPr>
        <w:t> </w:t>
      </w:r>
      <w:r>
        <w:rPr/>
        <w:t>assets</w:t>
      </w:r>
      <w:r>
        <w:rPr>
          <w:spacing w:val="-16"/>
        </w:rPr>
        <w:t> </w:t>
      </w:r>
      <w:r>
        <w:rPr/>
        <w:t>located</w:t>
      </w:r>
      <w:r>
        <w:rPr>
          <w:spacing w:val="-14"/>
        </w:rPr>
        <w:t> </w:t>
      </w:r>
      <w:r>
        <w:rPr/>
        <w:t>across</w:t>
      </w:r>
      <w:r>
        <w:rPr>
          <w:spacing w:val="-13"/>
        </w:rPr>
        <w:t> </w:t>
      </w:r>
      <w:r>
        <w:rPr/>
        <w:t>Bengaluru,</w:t>
      </w:r>
      <w:r>
        <w:rPr>
          <w:spacing w:val="-15"/>
        </w:rPr>
        <w:t> </w:t>
      </w:r>
      <w:r>
        <w:rPr/>
        <w:t>Pune,</w:t>
      </w:r>
      <w:r>
        <w:rPr>
          <w:spacing w:val="-12"/>
        </w:rPr>
        <w:t> </w:t>
      </w:r>
      <w:r>
        <w:rPr/>
        <w:t>Mumbai</w:t>
      </w:r>
      <w:r>
        <w:rPr>
          <w:spacing w:val="-14"/>
        </w:rPr>
        <w:t> </w:t>
      </w:r>
      <w:r>
        <w:rPr/>
        <w:t>and</w:t>
      </w:r>
      <w:r>
        <w:rPr>
          <w:spacing w:val="-14"/>
        </w:rPr>
        <w:t> </w:t>
      </w:r>
      <w:r>
        <w:rPr/>
        <w:t>Noida as</w:t>
      </w:r>
      <w:r>
        <w:rPr>
          <w:spacing w:val="-29"/>
        </w:rPr>
        <w:t> </w:t>
      </w:r>
      <w:r>
        <w:rPr/>
        <w:t>well</w:t>
      </w:r>
      <w:r>
        <w:rPr>
          <w:spacing w:val="-30"/>
        </w:rPr>
        <w:t> </w:t>
      </w:r>
      <w:r>
        <w:rPr/>
        <w:t>as</w:t>
      </w:r>
      <w:r>
        <w:rPr>
          <w:spacing w:val="-29"/>
        </w:rPr>
        <w:t> </w:t>
      </w:r>
      <w:r>
        <w:rPr/>
        <w:t>affiliated</w:t>
      </w:r>
      <w:r>
        <w:rPr>
          <w:spacing w:val="-29"/>
        </w:rPr>
        <w:t> </w:t>
      </w:r>
      <w:r>
        <w:rPr/>
        <w:t>facilities</w:t>
      </w:r>
      <w:r>
        <w:rPr>
          <w:spacing w:val="-29"/>
        </w:rPr>
        <w:t> </w:t>
      </w:r>
      <w:r>
        <w:rPr/>
        <w:t>including</w:t>
      </w:r>
      <w:r>
        <w:rPr>
          <w:spacing w:val="-29"/>
        </w:rPr>
        <w:t> </w:t>
      </w:r>
      <w:r>
        <w:rPr/>
        <w:t>a</w:t>
      </w:r>
      <w:r>
        <w:rPr>
          <w:spacing w:val="-30"/>
        </w:rPr>
        <w:t> </w:t>
      </w:r>
      <w:r>
        <w:rPr/>
        <w:t>solar</w:t>
      </w:r>
      <w:r>
        <w:rPr>
          <w:spacing w:val="-30"/>
        </w:rPr>
        <w:t> </w:t>
      </w:r>
      <w:r>
        <w:rPr/>
        <w:t>park,</w:t>
      </w:r>
      <w:r>
        <w:rPr>
          <w:spacing w:val="-29"/>
        </w:rPr>
        <w:t> </w:t>
      </w:r>
      <w:r>
        <w:rPr/>
        <w:t>retail</w:t>
      </w:r>
      <w:r>
        <w:rPr>
          <w:spacing w:val="-30"/>
        </w:rPr>
        <w:t> </w:t>
      </w:r>
      <w:r>
        <w:rPr/>
        <w:t>spaces</w:t>
      </w:r>
      <w:r>
        <w:rPr>
          <w:spacing w:val="-29"/>
        </w:rPr>
        <w:t> </w:t>
      </w:r>
      <w:r>
        <w:rPr/>
        <w:t>and</w:t>
      </w:r>
      <w:r>
        <w:rPr>
          <w:spacing w:val="-29"/>
        </w:rPr>
        <w:t> </w:t>
      </w:r>
      <w:r>
        <w:rPr/>
        <w:t>hotels</w:t>
      </w:r>
      <w:r>
        <w:rPr>
          <w:spacing w:val="-30"/>
        </w:rPr>
        <w:t> </w:t>
      </w:r>
      <w:r>
        <w:rPr/>
        <w:t>(together</w:t>
      </w:r>
      <w:r>
        <w:rPr>
          <w:spacing w:val="-25"/>
        </w:rPr>
        <w:t> </w:t>
      </w:r>
      <w:r>
        <w:rPr/>
        <w:t>herein</w:t>
      </w:r>
      <w:r>
        <w:rPr>
          <w:spacing w:val="-30"/>
        </w:rPr>
        <w:t> </w:t>
      </w:r>
      <w:r>
        <w:rPr/>
        <w:t>referred</w:t>
      </w:r>
      <w:r>
        <w:rPr>
          <w:spacing w:val="-27"/>
        </w:rPr>
        <w:t> </w:t>
      </w:r>
      <w:r>
        <w:rPr/>
        <w:t>as subject properties across the</w:t>
      </w:r>
      <w:r>
        <w:rPr>
          <w:spacing w:val="-18"/>
        </w:rPr>
        <w:t> </w:t>
      </w:r>
      <w:r>
        <w:rPr/>
        <w:t>report).</w:t>
      </w:r>
    </w:p>
    <w:p>
      <w:pPr>
        <w:pStyle w:val="BodyText"/>
        <w:spacing w:line="321" w:lineRule="auto" w:before="123"/>
        <w:ind w:left="820" w:right="633"/>
        <w:jc w:val="both"/>
      </w:pPr>
      <w:r>
        <w:rPr/>
        <w:t>CBRE</w:t>
      </w:r>
      <w:r>
        <w:rPr>
          <w:spacing w:val="-41"/>
        </w:rPr>
        <w:t> </w:t>
      </w:r>
      <w:r>
        <w:rPr/>
        <w:t>has</w:t>
      </w:r>
      <w:r>
        <w:rPr>
          <w:spacing w:val="-41"/>
        </w:rPr>
        <w:t> </w:t>
      </w:r>
      <w:r>
        <w:rPr/>
        <w:t>been</w:t>
      </w:r>
      <w:r>
        <w:rPr>
          <w:spacing w:val="-40"/>
        </w:rPr>
        <w:t> </w:t>
      </w:r>
      <w:r>
        <w:rPr/>
        <w:t>instructed</w:t>
      </w:r>
      <w:r>
        <w:rPr>
          <w:spacing w:val="-41"/>
        </w:rPr>
        <w:t> </w:t>
      </w:r>
      <w:r>
        <w:rPr/>
        <w:t>by</w:t>
      </w:r>
      <w:r>
        <w:rPr>
          <w:spacing w:val="-40"/>
        </w:rPr>
        <w:t> </w:t>
      </w:r>
      <w:r>
        <w:rPr/>
        <w:t>the</w:t>
      </w:r>
      <w:r>
        <w:rPr>
          <w:spacing w:val="-42"/>
        </w:rPr>
        <w:t> </w:t>
      </w:r>
      <w:r>
        <w:rPr/>
        <w:t>Client</w:t>
      </w:r>
      <w:r>
        <w:rPr>
          <w:spacing w:val="-39"/>
        </w:rPr>
        <w:t> </w:t>
      </w:r>
      <w:r>
        <w:rPr/>
        <w:t>to</w:t>
      </w:r>
      <w:r>
        <w:rPr>
          <w:spacing w:val="-40"/>
        </w:rPr>
        <w:t> </w:t>
      </w:r>
      <w:r>
        <w:rPr/>
        <w:t>be</w:t>
      </w:r>
      <w:r>
        <w:rPr>
          <w:spacing w:val="-40"/>
        </w:rPr>
        <w:t> </w:t>
      </w:r>
      <w:r>
        <w:rPr/>
        <w:t>the</w:t>
      </w:r>
      <w:r>
        <w:rPr>
          <w:spacing w:val="-41"/>
        </w:rPr>
        <w:t> </w:t>
      </w:r>
      <w:r>
        <w:rPr/>
        <w:t>‘Value</w:t>
      </w:r>
      <w:r>
        <w:rPr>
          <w:spacing w:val="-41"/>
        </w:rPr>
        <w:t> </w:t>
      </w:r>
      <w:r>
        <w:rPr/>
        <w:t>Assessment</w:t>
      </w:r>
      <w:r>
        <w:rPr>
          <w:spacing w:val="-40"/>
        </w:rPr>
        <w:t> </w:t>
      </w:r>
      <w:r>
        <w:rPr/>
        <w:t>Service</w:t>
      </w:r>
      <w:r>
        <w:rPr>
          <w:spacing w:val="-40"/>
        </w:rPr>
        <w:t> </w:t>
      </w:r>
      <w:r>
        <w:rPr/>
        <w:t>Provider’</w:t>
      </w:r>
      <w:r>
        <w:rPr>
          <w:spacing w:val="-41"/>
        </w:rPr>
        <w:t> </w:t>
      </w:r>
      <w:r>
        <w:rPr/>
        <w:t>for</w:t>
      </w:r>
      <w:r>
        <w:rPr>
          <w:spacing w:val="-40"/>
        </w:rPr>
        <w:t> </w:t>
      </w:r>
      <w:r>
        <w:rPr/>
        <w:t>providing</w:t>
      </w:r>
      <w:r>
        <w:rPr>
          <w:spacing w:val="-40"/>
        </w:rPr>
        <w:t> </w:t>
      </w:r>
      <w:r>
        <w:rPr/>
        <w:t>market intelligence</w:t>
      </w:r>
      <w:r>
        <w:rPr>
          <w:spacing w:val="-33"/>
        </w:rPr>
        <w:t> </w:t>
      </w:r>
      <w:r>
        <w:rPr/>
        <w:t>to</w:t>
      </w:r>
      <w:r>
        <w:rPr>
          <w:spacing w:val="-32"/>
        </w:rPr>
        <w:t> </w:t>
      </w:r>
      <w:r>
        <w:rPr/>
        <w:t>the</w:t>
      </w:r>
      <w:r>
        <w:rPr>
          <w:spacing w:val="-32"/>
        </w:rPr>
        <w:t> </w:t>
      </w:r>
      <w:r>
        <w:rPr/>
        <w:t>‘Valuer’</w:t>
      </w:r>
      <w:r>
        <w:rPr>
          <w:spacing w:val="-32"/>
        </w:rPr>
        <w:t> </w:t>
      </w:r>
      <w:r>
        <w:rPr/>
        <w:t>(Mr.</w:t>
      </w:r>
      <w:r>
        <w:rPr>
          <w:spacing w:val="-33"/>
        </w:rPr>
        <w:t> </w:t>
      </w:r>
      <w:r>
        <w:rPr/>
        <w:t>Manish</w:t>
      </w:r>
      <w:r>
        <w:rPr>
          <w:spacing w:val="-33"/>
        </w:rPr>
        <w:t> </w:t>
      </w:r>
      <w:r>
        <w:rPr/>
        <w:t>Gupta,</w:t>
      </w:r>
      <w:r>
        <w:rPr>
          <w:spacing w:val="-32"/>
        </w:rPr>
        <w:t> </w:t>
      </w:r>
      <w:r>
        <w:rPr/>
        <w:t>Founder</w:t>
      </w:r>
      <w:r>
        <w:rPr>
          <w:spacing w:val="-33"/>
        </w:rPr>
        <w:t> </w:t>
      </w:r>
      <w:r>
        <w:rPr/>
        <w:t>and</w:t>
      </w:r>
      <w:r>
        <w:rPr>
          <w:spacing w:val="-32"/>
        </w:rPr>
        <w:t> </w:t>
      </w:r>
      <w:r>
        <w:rPr/>
        <w:t>Partner,</w:t>
      </w:r>
      <w:r>
        <w:rPr>
          <w:spacing w:val="-33"/>
        </w:rPr>
        <w:t> </w:t>
      </w:r>
      <w:r>
        <w:rPr/>
        <w:t>iVAS</w:t>
      </w:r>
      <w:r>
        <w:rPr>
          <w:spacing w:val="-33"/>
        </w:rPr>
        <w:t> </w:t>
      </w:r>
      <w:r>
        <w:rPr/>
        <w:t>Partners)</w:t>
      </w:r>
      <w:r>
        <w:rPr>
          <w:spacing w:val="-31"/>
        </w:rPr>
        <w:t> </w:t>
      </w:r>
      <w:r>
        <w:rPr/>
        <w:t>and</w:t>
      </w:r>
      <w:r>
        <w:rPr>
          <w:spacing w:val="-32"/>
        </w:rPr>
        <w:t> </w:t>
      </w:r>
      <w:r>
        <w:rPr/>
        <w:t>forecasting</w:t>
      </w:r>
      <w:r>
        <w:rPr>
          <w:spacing w:val="-32"/>
        </w:rPr>
        <w:t> </w:t>
      </w:r>
      <w:r>
        <w:rPr/>
        <w:t>cash flows</w:t>
      </w:r>
      <w:r>
        <w:rPr>
          <w:spacing w:val="-22"/>
        </w:rPr>
        <w:t> </w:t>
      </w:r>
      <w:r>
        <w:rPr/>
        <w:t>from</w:t>
      </w:r>
      <w:r>
        <w:rPr>
          <w:spacing w:val="-20"/>
        </w:rPr>
        <w:t> </w:t>
      </w:r>
      <w:r>
        <w:rPr/>
        <w:t>the</w:t>
      </w:r>
      <w:r>
        <w:rPr>
          <w:spacing w:val="-21"/>
        </w:rPr>
        <w:t> </w:t>
      </w:r>
      <w:r>
        <w:rPr/>
        <w:t>respective</w:t>
      </w:r>
      <w:r>
        <w:rPr>
          <w:spacing w:val="-21"/>
        </w:rPr>
        <w:t> </w:t>
      </w:r>
      <w:r>
        <w:rPr/>
        <w:t>assets.</w:t>
      </w:r>
      <w:r>
        <w:rPr>
          <w:spacing w:val="-21"/>
        </w:rPr>
        <w:t> </w:t>
      </w:r>
      <w:r>
        <w:rPr/>
        <w:t>The</w:t>
      </w:r>
      <w:r>
        <w:rPr>
          <w:spacing w:val="-21"/>
        </w:rPr>
        <w:t> </w:t>
      </w:r>
      <w:r>
        <w:rPr/>
        <w:t>Valuer</w:t>
      </w:r>
      <w:r>
        <w:rPr>
          <w:spacing w:val="-21"/>
        </w:rPr>
        <w:t> </w:t>
      </w:r>
      <w:r>
        <w:rPr/>
        <w:t>has</w:t>
      </w:r>
      <w:r>
        <w:rPr>
          <w:spacing w:val="-19"/>
        </w:rPr>
        <w:t> </w:t>
      </w:r>
      <w:r>
        <w:rPr/>
        <w:t>utilized</w:t>
      </w:r>
      <w:r>
        <w:rPr>
          <w:spacing w:val="-21"/>
        </w:rPr>
        <w:t> </w:t>
      </w:r>
      <w:r>
        <w:rPr/>
        <w:t>the</w:t>
      </w:r>
      <w:r>
        <w:rPr>
          <w:spacing w:val="-20"/>
        </w:rPr>
        <w:t> </w:t>
      </w:r>
      <w:r>
        <w:rPr/>
        <w:t>market</w:t>
      </w:r>
      <w:r>
        <w:rPr>
          <w:spacing w:val="-21"/>
        </w:rPr>
        <w:t> </w:t>
      </w:r>
      <w:r>
        <w:rPr/>
        <w:t>intelligence</w:t>
      </w:r>
      <w:r>
        <w:rPr>
          <w:spacing w:val="-21"/>
        </w:rPr>
        <w:t> </w:t>
      </w:r>
      <w:r>
        <w:rPr/>
        <w:t>provided</w:t>
      </w:r>
      <w:r>
        <w:rPr>
          <w:spacing w:val="-20"/>
        </w:rPr>
        <w:t> </w:t>
      </w:r>
      <w:r>
        <w:rPr/>
        <w:t>by</w:t>
      </w:r>
      <w:r>
        <w:rPr>
          <w:spacing w:val="-19"/>
        </w:rPr>
        <w:t> </w:t>
      </w:r>
      <w:r>
        <w:rPr/>
        <w:t>CBRE</w:t>
      </w:r>
      <w:r>
        <w:rPr>
          <w:spacing w:val="-22"/>
        </w:rPr>
        <w:t> </w:t>
      </w:r>
      <w:r>
        <w:rPr/>
        <w:t>and independently</w:t>
      </w:r>
      <w:r>
        <w:rPr>
          <w:spacing w:val="-20"/>
        </w:rPr>
        <w:t> </w:t>
      </w:r>
      <w:r>
        <w:rPr/>
        <w:t>reviewed</w:t>
      </w:r>
      <w:r>
        <w:rPr>
          <w:spacing w:val="-20"/>
        </w:rPr>
        <w:t> </w:t>
      </w:r>
      <w:r>
        <w:rPr/>
        <w:t>the</w:t>
      </w:r>
      <w:r>
        <w:rPr>
          <w:spacing w:val="-22"/>
        </w:rPr>
        <w:t> </w:t>
      </w:r>
      <w:r>
        <w:rPr/>
        <w:t>cash</w:t>
      </w:r>
      <w:r>
        <w:rPr>
          <w:spacing w:val="-21"/>
        </w:rPr>
        <w:t> </w:t>
      </w:r>
      <w:r>
        <w:rPr/>
        <w:t>flows</w:t>
      </w:r>
      <w:r>
        <w:rPr>
          <w:spacing w:val="-20"/>
        </w:rPr>
        <w:t> </w:t>
      </w:r>
      <w:r>
        <w:rPr/>
        <w:t>to</w:t>
      </w:r>
      <w:r>
        <w:rPr>
          <w:spacing w:val="-22"/>
        </w:rPr>
        <w:t> </w:t>
      </w:r>
      <w:r>
        <w:rPr/>
        <w:t>arrive</w:t>
      </w:r>
      <w:r>
        <w:rPr>
          <w:spacing w:val="-21"/>
        </w:rPr>
        <w:t> </w:t>
      </w:r>
      <w:r>
        <w:rPr/>
        <w:t>at</w:t>
      </w:r>
      <w:r>
        <w:rPr>
          <w:spacing w:val="-20"/>
        </w:rPr>
        <w:t> </w:t>
      </w:r>
      <w:r>
        <w:rPr/>
        <w:t>the</w:t>
      </w:r>
      <w:r>
        <w:rPr>
          <w:spacing w:val="-22"/>
        </w:rPr>
        <w:t> </w:t>
      </w:r>
      <w:r>
        <w:rPr/>
        <w:t>Market</w:t>
      </w:r>
      <w:r>
        <w:rPr>
          <w:spacing w:val="-20"/>
        </w:rPr>
        <w:t> </w:t>
      </w:r>
      <w:r>
        <w:rPr/>
        <w:t>Value</w:t>
      </w:r>
      <w:r>
        <w:rPr>
          <w:spacing w:val="-20"/>
        </w:rPr>
        <w:t> </w:t>
      </w:r>
      <w:r>
        <w:rPr/>
        <w:t>of</w:t>
      </w:r>
      <w:r>
        <w:rPr>
          <w:spacing w:val="-20"/>
        </w:rPr>
        <w:t> </w:t>
      </w:r>
      <w:r>
        <w:rPr/>
        <w:t>the</w:t>
      </w:r>
      <w:r>
        <w:rPr>
          <w:spacing w:val="-21"/>
        </w:rPr>
        <w:t> </w:t>
      </w:r>
      <w:r>
        <w:rPr/>
        <w:t>respective</w:t>
      </w:r>
      <w:r>
        <w:rPr>
          <w:spacing w:val="-22"/>
        </w:rPr>
        <w:t> </w:t>
      </w:r>
      <w:r>
        <w:rPr/>
        <w:t>assets</w:t>
      </w:r>
      <w:r>
        <w:rPr>
          <w:spacing w:val="-20"/>
        </w:rPr>
        <w:t> </w:t>
      </w:r>
      <w:r>
        <w:rPr/>
        <w:t>as</w:t>
      </w:r>
      <w:r>
        <w:rPr>
          <w:spacing w:val="-20"/>
        </w:rPr>
        <w:t> </w:t>
      </w:r>
      <w:r>
        <w:rPr/>
        <w:t>per</w:t>
      </w:r>
      <w:r>
        <w:rPr>
          <w:spacing w:val="-21"/>
        </w:rPr>
        <w:t> </w:t>
      </w:r>
      <w:r>
        <w:rPr/>
        <w:t>the SEBI (REIT) Regulations 2014. Mr. Manish Gupta (Founder and Partner, iVAS Partners) and CBRE are collectively</w:t>
      </w:r>
      <w:r>
        <w:rPr>
          <w:spacing w:val="-10"/>
        </w:rPr>
        <w:t> </w:t>
      </w:r>
      <w:r>
        <w:rPr/>
        <w:t>referred</w:t>
      </w:r>
      <w:r>
        <w:rPr>
          <w:spacing w:val="-8"/>
        </w:rPr>
        <w:t> </w:t>
      </w:r>
      <w:r>
        <w:rPr/>
        <w:t>to</w:t>
      </w:r>
      <w:r>
        <w:rPr>
          <w:spacing w:val="-9"/>
        </w:rPr>
        <w:t> </w:t>
      </w:r>
      <w:r>
        <w:rPr/>
        <w:t>as</w:t>
      </w:r>
      <w:r>
        <w:rPr>
          <w:spacing w:val="-9"/>
        </w:rPr>
        <w:t> </w:t>
      </w:r>
      <w:r>
        <w:rPr/>
        <w:t>the</w:t>
      </w:r>
      <w:r>
        <w:rPr>
          <w:spacing w:val="-10"/>
        </w:rPr>
        <w:t> </w:t>
      </w:r>
      <w:r>
        <w:rPr/>
        <w:t>Consultants</w:t>
      </w:r>
      <w:r>
        <w:rPr>
          <w:spacing w:val="-8"/>
        </w:rPr>
        <w:t> </w:t>
      </w:r>
      <w:r>
        <w:rPr/>
        <w:t>for</w:t>
      </w:r>
      <w:r>
        <w:rPr>
          <w:spacing w:val="-10"/>
        </w:rPr>
        <w:t> </w:t>
      </w:r>
      <w:r>
        <w:rPr/>
        <w:t>the</w:t>
      </w:r>
      <w:r>
        <w:rPr>
          <w:spacing w:val="-10"/>
        </w:rPr>
        <w:t> </w:t>
      </w:r>
      <w:r>
        <w:rPr/>
        <w:t>purpose</w:t>
      </w:r>
      <w:r>
        <w:rPr>
          <w:spacing w:val="-10"/>
        </w:rPr>
        <w:t> </w:t>
      </w:r>
      <w:r>
        <w:rPr/>
        <w:t>of</w:t>
      </w:r>
      <w:r>
        <w:rPr>
          <w:spacing w:val="-8"/>
        </w:rPr>
        <w:t> </w:t>
      </w:r>
      <w:r>
        <w:rPr/>
        <w:t>this</w:t>
      </w:r>
      <w:r>
        <w:rPr>
          <w:spacing w:val="-8"/>
        </w:rPr>
        <w:t> </w:t>
      </w:r>
      <w:r>
        <w:rPr/>
        <w:t>report.</w:t>
      </w:r>
    </w:p>
    <w:p>
      <w:pPr>
        <w:pStyle w:val="BodyText"/>
        <w:spacing w:before="123"/>
        <w:ind w:left="820"/>
        <w:jc w:val="both"/>
      </w:pPr>
      <w:r>
        <w:rPr/>
        <w:t>The details of the subject properties under the purview of this valuation exercise are tabulated below:</w:t>
      </w:r>
    </w:p>
    <w:p>
      <w:pPr>
        <w:pStyle w:val="BodyText"/>
        <w:spacing w:before="9"/>
        <w:rPr>
          <w:sz w:val="18"/>
        </w:rPr>
      </w:pPr>
    </w:p>
    <w:tbl>
      <w:tblPr>
        <w:tblW w:w="0" w:type="auto"/>
        <w:jc w:val="left"/>
        <w:tblInd w:w="2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4"/>
        <w:gridCol w:w="2191"/>
        <w:gridCol w:w="2854"/>
        <w:gridCol w:w="2316"/>
      </w:tblGrid>
      <w:tr>
        <w:trPr>
          <w:trHeight w:val="255" w:hRule="atLeast"/>
        </w:trPr>
        <w:tc>
          <w:tcPr>
            <w:tcW w:w="2695" w:type="dxa"/>
            <w:gridSpan w:val="2"/>
            <w:vMerge w:val="restart"/>
          </w:tcPr>
          <w:p>
            <w:pPr>
              <w:pStyle w:val="TableParagraph"/>
              <w:jc w:val="left"/>
              <w:rPr>
                <w:rFonts w:ascii="Times New Roman"/>
                <w:sz w:val="20"/>
              </w:rPr>
            </w:pPr>
          </w:p>
        </w:tc>
        <w:tc>
          <w:tcPr>
            <w:tcW w:w="2854" w:type="dxa"/>
            <w:tcBorders>
              <w:top w:val="single" w:sz="12" w:space="0" w:color="1F6B16"/>
              <w:bottom w:val="single" w:sz="6" w:space="0" w:color="69BD28"/>
            </w:tcBorders>
            <w:shd w:val="clear" w:color="auto" w:fill="006A4D"/>
          </w:tcPr>
          <w:p>
            <w:pPr>
              <w:pStyle w:val="TableParagraph"/>
              <w:spacing w:before="24"/>
              <w:ind w:left="116"/>
              <w:jc w:val="left"/>
              <w:rPr>
                <w:b/>
                <w:sz w:val="18"/>
              </w:rPr>
            </w:pPr>
            <w:r>
              <w:rPr>
                <w:b/>
                <w:color w:val="FFFFFF"/>
                <w:w w:val="110"/>
                <w:sz w:val="18"/>
              </w:rPr>
              <w:t>Development Name</w:t>
            </w:r>
          </w:p>
        </w:tc>
        <w:tc>
          <w:tcPr>
            <w:tcW w:w="2316" w:type="dxa"/>
            <w:tcBorders>
              <w:top w:val="single" w:sz="12" w:space="0" w:color="1F6B16"/>
              <w:bottom w:val="single" w:sz="6" w:space="0" w:color="69BD28"/>
            </w:tcBorders>
            <w:shd w:val="clear" w:color="auto" w:fill="006A4D"/>
          </w:tcPr>
          <w:p>
            <w:pPr>
              <w:pStyle w:val="TableParagraph"/>
              <w:spacing w:before="24"/>
              <w:ind w:left="66" w:right="67"/>
              <w:rPr>
                <w:b/>
                <w:sz w:val="18"/>
              </w:rPr>
            </w:pPr>
            <w:r>
              <w:rPr>
                <w:b/>
                <w:color w:val="FFFFFF"/>
                <w:w w:val="105"/>
                <w:sz w:val="18"/>
              </w:rPr>
              <w:t>Location</w:t>
            </w:r>
          </w:p>
        </w:tc>
      </w:tr>
      <w:tr>
        <w:trPr>
          <w:trHeight w:val="297"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6"/>
              <w:ind w:left="116"/>
              <w:jc w:val="left"/>
              <w:rPr>
                <w:sz w:val="18"/>
              </w:rPr>
            </w:pPr>
            <w:r>
              <w:rPr>
                <w:sz w:val="18"/>
              </w:rPr>
              <w:t>Embassy Manyata</w:t>
            </w:r>
          </w:p>
        </w:tc>
        <w:tc>
          <w:tcPr>
            <w:tcW w:w="2316" w:type="dxa"/>
            <w:tcBorders>
              <w:top w:val="single" w:sz="6" w:space="0" w:color="69BD28"/>
              <w:bottom w:val="single" w:sz="6" w:space="0" w:color="69BD28"/>
            </w:tcBorders>
          </w:tcPr>
          <w:p>
            <w:pPr>
              <w:pStyle w:val="TableParagraph"/>
              <w:spacing w:before="44"/>
              <w:ind w:left="66" w:right="72"/>
              <w:rPr>
                <w:sz w:val="18"/>
              </w:rPr>
            </w:pPr>
            <w:r>
              <w:rPr>
                <w:sz w:val="18"/>
              </w:rPr>
              <w:t>Bengaluru</w:t>
            </w:r>
          </w:p>
        </w:tc>
      </w:tr>
      <w:tr>
        <w:trPr>
          <w:trHeight w:val="294"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4"/>
              <w:ind w:left="116"/>
              <w:jc w:val="left"/>
              <w:rPr>
                <w:sz w:val="18"/>
              </w:rPr>
            </w:pPr>
            <w:r>
              <w:rPr>
                <w:sz w:val="18"/>
              </w:rPr>
              <w:t>Express Towers</w:t>
            </w:r>
          </w:p>
        </w:tc>
        <w:tc>
          <w:tcPr>
            <w:tcW w:w="2316" w:type="dxa"/>
            <w:tcBorders>
              <w:top w:val="single" w:sz="6" w:space="0" w:color="69BD28"/>
              <w:bottom w:val="single" w:sz="6" w:space="0" w:color="69BD28"/>
            </w:tcBorders>
          </w:tcPr>
          <w:p>
            <w:pPr>
              <w:pStyle w:val="TableParagraph"/>
              <w:spacing w:before="44"/>
              <w:ind w:left="66" w:right="69"/>
              <w:rPr>
                <w:sz w:val="18"/>
              </w:rPr>
            </w:pPr>
            <w:r>
              <w:rPr>
                <w:w w:val="105"/>
                <w:sz w:val="18"/>
              </w:rPr>
              <w:t>Mumbai</w:t>
            </w:r>
          </w:p>
        </w:tc>
      </w:tr>
      <w:tr>
        <w:trPr>
          <w:trHeight w:val="297"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7"/>
              <w:ind w:left="116"/>
              <w:jc w:val="left"/>
              <w:rPr>
                <w:sz w:val="18"/>
              </w:rPr>
            </w:pPr>
            <w:r>
              <w:rPr>
                <w:w w:val="105"/>
                <w:sz w:val="18"/>
              </w:rPr>
              <w:t>Embassy 247</w:t>
            </w:r>
          </w:p>
        </w:tc>
        <w:tc>
          <w:tcPr>
            <w:tcW w:w="2316" w:type="dxa"/>
            <w:tcBorders>
              <w:top w:val="single" w:sz="6" w:space="0" w:color="69BD28"/>
              <w:bottom w:val="single" w:sz="6" w:space="0" w:color="69BD28"/>
            </w:tcBorders>
          </w:tcPr>
          <w:p>
            <w:pPr>
              <w:pStyle w:val="TableParagraph"/>
              <w:spacing w:before="44"/>
              <w:ind w:left="66" w:right="69"/>
              <w:rPr>
                <w:sz w:val="18"/>
              </w:rPr>
            </w:pPr>
            <w:r>
              <w:rPr>
                <w:w w:val="105"/>
                <w:sz w:val="18"/>
              </w:rPr>
              <w:t>Mumbai</w:t>
            </w:r>
          </w:p>
        </w:tc>
      </w:tr>
      <w:tr>
        <w:trPr>
          <w:trHeight w:val="294"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4"/>
              <w:ind w:left="116"/>
              <w:jc w:val="left"/>
              <w:rPr>
                <w:sz w:val="18"/>
              </w:rPr>
            </w:pPr>
            <w:r>
              <w:rPr>
                <w:sz w:val="18"/>
              </w:rPr>
              <w:t>First International Finance Centre</w:t>
            </w:r>
          </w:p>
        </w:tc>
        <w:tc>
          <w:tcPr>
            <w:tcW w:w="2316" w:type="dxa"/>
            <w:tcBorders>
              <w:top w:val="single" w:sz="6" w:space="0" w:color="69BD28"/>
              <w:bottom w:val="single" w:sz="6" w:space="0" w:color="69BD28"/>
            </w:tcBorders>
          </w:tcPr>
          <w:p>
            <w:pPr>
              <w:pStyle w:val="TableParagraph"/>
              <w:spacing w:before="44"/>
              <w:ind w:left="66" w:right="69"/>
              <w:rPr>
                <w:sz w:val="18"/>
              </w:rPr>
            </w:pPr>
            <w:r>
              <w:rPr>
                <w:w w:val="105"/>
                <w:sz w:val="18"/>
              </w:rPr>
              <w:t>Mumbai</w:t>
            </w:r>
          </w:p>
        </w:tc>
      </w:tr>
      <w:tr>
        <w:trPr>
          <w:trHeight w:val="297"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6"/>
              <w:ind w:left="116"/>
              <w:jc w:val="left"/>
              <w:rPr>
                <w:sz w:val="18"/>
              </w:rPr>
            </w:pPr>
            <w:r>
              <w:rPr>
                <w:sz w:val="18"/>
              </w:rPr>
              <w:t>Embassy TechZone</w:t>
            </w:r>
          </w:p>
        </w:tc>
        <w:tc>
          <w:tcPr>
            <w:tcW w:w="2316" w:type="dxa"/>
            <w:tcBorders>
              <w:top w:val="single" w:sz="6" w:space="0" w:color="69BD28"/>
              <w:bottom w:val="single" w:sz="6" w:space="0" w:color="69BD28"/>
            </w:tcBorders>
          </w:tcPr>
          <w:p>
            <w:pPr>
              <w:pStyle w:val="TableParagraph"/>
              <w:spacing w:before="44"/>
              <w:ind w:left="66" w:right="70"/>
              <w:rPr>
                <w:sz w:val="18"/>
              </w:rPr>
            </w:pPr>
            <w:r>
              <w:rPr>
                <w:sz w:val="18"/>
              </w:rPr>
              <w:t>Pune</w:t>
            </w:r>
          </w:p>
        </w:tc>
      </w:tr>
      <w:tr>
        <w:trPr>
          <w:trHeight w:val="294"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4"/>
              <w:ind w:left="116"/>
              <w:jc w:val="left"/>
              <w:rPr>
                <w:sz w:val="18"/>
              </w:rPr>
            </w:pPr>
            <w:r>
              <w:rPr>
                <w:w w:val="105"/>
                <w:sz w:val="18"/>
              </w:rPr>
              <w:t>Embassy Quadron</w:t>
            </w:r>
          </w:p>
        </w:tc>
        <w:tc>
          <w:tcPr>
            <w:tcW w:w="2316" w:type="dxa"/>
            <w:tcBorders>
              <w:top w:val="single" w:sz="6" w:space="0" w:color="69BD28"/>
              <w:bottom w:val="single" w:sz="6" w:space="0" w:color="69BD28"/>
            </w:tcBorders>
          </w:tcPr>
          <w:p>
            <w:pPr>
              <w:pStyle w:val="TableParagraph"/>
              <w:spacing w:before="44"/>
              <w:ind w:left="66" w:right="70"/>
              <w:rPr>
                <w:sz w:val="18"/>
              </w:rPr>
            </w:pPr>
            <w:r>
              <w:rPr>
                <w:sz w:val="18"/>
              </w:rPr>
              <w:t>Pune</w:t>
            </w:r>
          </w:p>
        </w:tc>
      </w:tr>
      <w:tr>
        <w:trPr>
          <w:trHeight w:val="297"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4"/>
              <w:ind w:left="116"/>
              <w:jc w:val="left"/>
              <w:rPr>
                <w:sz w:val="18"/>
              </w:rPr>
            </w:pPr>
            <w:r>
              <w:rPr>
                <w:sz w:val="18"/>
              </w:rPr>
              <w:t>Embassy Qubix</w:t>
            </w:r>
          </w:p>
        </w:tc>
        <w:tc>
          <w:tcPr>
            <w:tcW w:w="2316" w:type="dxa"/>
            <w:tcBorders>
              <w:top w:val="single" w:sz="6" w:space="0" w:color="69BD28"/>
              <w:bottom w:val="single" w:sz="6" w:space="0" w:color="69BD28"/>
            </w:tcBorders>
          </w:tcPr>
          <w:p>
            <w:pPr>
              <w:pStyle w:val="TableParagraph"/>
              <w:spacing w:before="44"/>
              <w:ind w:left="66" w:right="70"/>
              <w:rPr>
                <w:sz w:val="18"/>
              </w:rPr>
            </w:pPr>
            <w:r>
              <w:rPr>
                <w:sz w:val="18"/>
              </w:rPr>
              <w:t>Pune</w:t>
            </w:r>
          </w:p>
        </w:tc>
      </w:tr>
      <w:tr>
        <w:trPr>
          <w:trHeight w:val="294"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4"/>
              <w:ind w:left="116"/>
              <w:jc w:val="left"/>
              <w:rPr>
                <w:sz w:val="18"/>
              </w:rPr>
            </w:pPr>
            <w:r>
              <w:rPr>
                <w:sz w:val="18"/>
              </w:rPr>
              <w:t>Embassy Oxygen</w:t>
            </w:r>
          </w:p>
        </w:tc>
        <w:tc>
          <w:tcPr>
            <w:tcW w:w="2316" w:type="dxa"/>
            <w:tcBorders>
              <w:top w:val="single" w:sz="6" w:space="0" w:color="69BD28"/>
              <w:bottom w:val="single" w:sz="6" w:space="0" w:color="69BD28"/>
            </w:tcBorders>
          </w:tcPr>
          <w:p>
            <w:pPr>
              <w:pStyle w:val="TableParagraph"/>
              <w:spacing w:before="44"/>
              <w:ind w:left="66" w:right="73"/>
              <w:rPr>
                <w:sz w:val="18"/>
              </w:rPr>
            </w:pPr>
            <w:r>
              <w:rPr>
                <w:w w:val="105"/>
                <w:sz w:val="18"/>
              </w:rPr>
              <w:t>Noida</w:t>
            </w:r>
          </w:p>
        </w:tc>
      </w:tr>
      <w:tr>
        <w:trPr>
          <w:trHeight w:val="296"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4"/>
              <w:ind w:left="116"/>
              <w:jc w:val="left"/>
              <w:rPr>
                <w:sz w:val="18"/>
              </w:rPr>
            </w:pPr>
            <w:r>
              <w:rPr>
                <w:sz w:val="18"/>
              </w:rPr>
              <w:t>Embassy Galaxy</w:t>
            </w:r>
          </w:p>
        </w:tc>
        <w:tc>
          <w:tcPr>
            <w:tcW w:w="2316" w:type="dxa"/>
            <w:tcBorders>
              <w:top w:val="single" w:sz="6" w:space="0" w:color="69BD28"/>
              <w:bottom w:val="single" w:sz="6" w:space="0" w:color="69BD28"/>
            </w:tcBorders>
          </w:tcPr>
          <w:p>
            <w:pPr>
              <w:pStyle w:val="TableParagraph"/>
              <w:spacing w:before="44"/>
              <w:ind w:left="66" w:right="73"/>
              <w:rPr>
                <w:sz w:val="18"/>
              </w:rPr>
            </w:pPr>
            <w:r>
              <w:rPr>
                <w:w w:val="105"/>
                <w:sz w:val="18"/>
              </w:rPr>
              <w:t>Noida</w:t>
            </w:r>
          </w:p>
        </w:tc>
      </w:tr>
      <w:tr>
        <w:trPr>
          <w:trHeight w:val="294"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4"/>
              <w:ind w:left="116"/>
              <w:jc w:val="left"/>
              <w:rPr>
                <w:sz w:val="18"/>
              </w:rPr>
            </w:pPr>
            <w:r>
              <w:rPr>
                <w:sz w:val="18"/>
              </w:rPr>
              <w:t>Embassy GolfLinks</w:t>
            </w:r>
          </w:p>
        </w:tc>
        <w:tc>
          <w:tcPr>
            <w:tcW w:w="2316" w:type="dxa"/>
            <w:tcBorders>
              <w:top w:val="single" w:sz="6" w:space="0" w:color="69BD28"/>
              <w:bottom w:val="single" w:sz="6" w:space="0" w:color="69BD28"/>
            </w:tcBorders>
          </w:tcPr>
          <w:p>
            <w:pPr>
              <w:pStyle w:val="TableParagraph"/>
              <w:spacing w:before="44"/>
              <w:ind w:left="66" w:right="72"/>
              <w:rPr>
                <w:sz w:val="18"/>
              </w:rPr>
            </w:pPr>
            <w:r>
              <w:rPr>
                <w:sz w:val="18"/>
              </w:rPr>
              <w:t>Bengaluru</w:t>
            </w:r>
          </w:p>
        </w:tc>
      </w:tr>
      <w:tr>
        <w:trPr>
          <w:trHeight w:val="296"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4"/>
              <w:ind w:left="116"/>
              <w:jc w:val="left"/>
              <w:rPr>
                <w:sz w:val="18"/>
              </w:rPr>
            </w:pPr>
            <w:r>
              <w:rPr>
                <w:w w:val="105"/>
                <w:sz w:val="18"/>
              </w:rPr>
              <w:t>Embassy One</w:t>
            </w:r>
          </w:p>
        </w:tc>
        <w:tc>
          <w:tcPr>
            <w:tcW w:w="2316" w:type="dxa"/>
            <w:tcBorders>
              <w:top w:val="single" w:sz="6" w:space="0" w:color="69BD28"/>
              <w:bottom w:val="single" w:sz="6" w:space="0" w:color="69BD28"/>
            </w:tcBorders>
          </w:tcPr>
          <w:p>
            <w:pPr>
              <w:pStyle w:val="TableParagraph"/>
              <w:spacing w:before="44"/>
              <w:ind w:left="66" w:right="72"/>
              <w:rPr>
                <w:sz w:val="18"/>
              </w:rPr>
            </w:pPr>
            <w:r>
              <w:rPr>
                <w:sz w:val="18"/>
              </w:rPr>
              <w:t>Bengaluru</w:t>
            </w:r>
          </w:p>
        </w:tc>
      </w:tr>
      <w:tr>
        <w:trPr>
          <w:trHeight w:val="294"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4"/>
              <w:ind w:left="116"/>
              <w:jc w:val="left"/>
              <w:rPr>
                <w:sz w:val="18"/>
              </w:rPr>
            </w:pPr>
            <w:r>
              <w:rPr>
                <w:sz w:val="18"/>
              </w:rPr>
              <w:t>Hilton at Embassy GolfLinks</w:t>
            </w:r>
          </w:p>
        </w:tc>
        <w:tc>
          <w:tcPr>
            <w:tcW w:w="2316" w:type="dxa"/>
            <w:tcBorders>
              <w:top w:val="single" w:sz="6" w:space="0" w:color="69BD28"/>
              <w:bottom w:val="single" w:sz="6" w:space="0" w:color="69BD28"/>
            </w:tcBorders>
          </w:tcPr>
          <w:p>
            <w:pPr>
              <w:pStyle w:val="TableParagraph"/>
              <w:spacing w:before="42"/>
              <w:ind w:left="66" w:right="72"/>
              <w:rPr>
                <w:sz w:val="18"/>
              </w:rPr>
            </w:pPr>
            <w:r>
              <w:rPr>
                <w:sz w:val="18"/>
              </w:rPr>
              <w:t>Bengaluru</w:t>
            </w:r>
          </w:p>
        </w:tc>
      </w:tr>
      <w:tr>
        <w:trPr>
          <w:trHeight w:val="297" w:hRule="atLeast"/>
        </w:trPr>
        <w:tc>
          <w:tcPr>
            <w:tcW w:w="2695" w:type="dxa"/>
            <w:gridSpan w:val="2"/>
            <w:vMerge/>
            <w:tcBorders>
              <w:top w:val="nil"/>
            </w:tcBorders>
          </w:tcPr>
          <w:p>
            <w:pPr>
              <w:rPr>
                <w:sz w:val="2"/>
                <w:szCs w:val="2"/>
              </w:rPr>
            </w:pPr>
          </w:p>
        </w:tc>
        <w:tc>
          <w:tcPr>
            <w:tcW w:w="2854" w:type="dxa"/>
            <w:tcBorders>
              <w:top w:val="single" w:sz="6" w:space="0" w:color="69BD28"/>
              <w:bottom w:val="single" w:sz="6" w:space="0" w:color="69BD28"/>
            </w:tcBorders>
          </w:tcPr>
          <w:p>
            <w:pPr>
              <w:pStyle w:val="TableParagraph"/>
              <w:spacing w:before="44"/>
              <w:ind w:left="116"/>
              <w:jc w:val="left"/>
              <w:rPr>
                <w:sz w:val="18"/>
              </w:rPr>
            </w:pPr>
            <w:r>
              <w:rPr>
                <w:sz w:val="18"/>
              </w:rPr>
              <w:t>Embassy Energy</w:t>
            </w:r>
          </w:p>
        </w:tc>
        <w:tc>
          <w:tcPr>
            <w:tcW w:w="2316" w:type="dxa"/>
            <w:tcBorders>
              <w:top w:val="single" w:sz="6" w:space="0" w:color="69BD28"/>
              <w:bottom w:val="single" w:sz="6" w:space="0" w:color="69BD28"/>
            </w:tcBorders>
          </w:tcPr>
          <w:p>
            <w:pPr>
              <w:pStyle w:val="TableParagraph"/>
              <w:spacing w:before="44"/>
              <w:ind w:left="66" w:right="74"/>
              <w:rPr>
                <w:sz w:val="18"/>
              </w:rPr>
            </w:pPr>
            <w:r>
              <w:rPr>
                <w:sz w:val="18"/>
              </w:rPr>
              <w:t>Bellary District, Karnataka</w:t>
            </w:r>
          </w:p>
        </w:tc>
      </w:tr>
      <w:tr>
        <w:trPr>
          <w:trHeight w:val="262" w:hRule="atLeast"/>
        </w:trPr>
        <w:tc>
          <w:tcPr>
            <w:tcW w:w="504" w:type="dxa"/>
          </w:tcPr>
          <w:p>
            <w:pPr>
              <w:pStyle w:val="TableParagraph"/>
              <w:spacing w:line="239" w:lineRule="exact" w:before="4"/>
              <w:ind w:left="50"/>
              <w:jc w:val="left"/>
              <w:rPr>
                <w:sz w:val="22"/>
              </w:rPr>
            </w:pPr>
            <w:bookmarkStart w:name="_bookmark1" w:id="3"/>
            <w:bookmarkEnd w:id="3"/>
            <w:r>
              <w:rPr/>
            </w:r>
            <w:r>
              <w:rPr>
                <w:color w:val="1F6647"/>
                <w:w w:val="105"/>
                <w:sz w:val="22"/>
              </w:rPr>
              <w:t>1.1</w:t>
            </w:r>
          </w:p>
        </w:tc>
        <w:tc>
          <w:tcPr>
            <w:tcW w:w="2191" w:type="dxa"/>
          </w:tcPr>
          <w:p>
            <w:pPr>
              <w:pStyle w:val="TableParagraph"/>
              <w:spacing w:line="239" w:lineRule="exact" w:before="4"/>
              <w:ind w:left="122"/>
              <w:jc w:val="left"/>
              <w:rPr>
                <w:sz w:val="22"/>
              </w:rPr>
            </w:pPr>
            <w:r>
              <w:rPr>
                <w:color w:val="1F6647"/>
                <w:w w:val="105"/>
                <w:sz w:val="22"/>
              </w:rPr>
              <w:t>Purpose</w:t>
            </w:r>
          </w:p>
        </w:tc>
        <w:tc>
          <w:tcPr>
            <w:tcW w:w="2854" w:type="dxa"/>
            <w:tcBorders>
              <w:top w:val="single" w:sz="6" w:space="0" w:color="69BD28"/>
            </w:tcBorders>
          </w:tcPr>
          <w:p>
            <w:pPr>
              <w:pStyle w:val="TableParagraph"/>
              <w:jc w:val="left"/>
              <w:rPr>
                <w:rFonts w:ascii="Times New Roman"/>
                <w:sz w:val="18"/>
              </w:rPr>
            </w:pPr>
          </w:p>
        </w:tc>
        <w:tc>
          <w:tcPr>
            <w:tcW w:w="2316" w:type="dxa"/>
            <w:tcBorders>
              <w:top w:val="single" w:sz="6" w:space="0" w:color="69BD28"/>
            </w:tcBorders>
          </w:tcPr>
          <w:p>
            <w:pPr>
              <w:pStyle w:val="TableParagraph"/>
              <w:jc w:val="left"/>
              <w:rPr>
                <w:rFonts w:ascii="Times New Roman"/>
                <w:sz w:val="18"/>
              </w:rPr>
            </w:pPr>
          </w:p>
        </w:tc>
      </w:tr>
    </w:tbl>
    <w:p>
      <w:pPr>
        <w:pStyle w:val="BodyText"/>
        <w:spacing w:line="321" w:lineRule="auto" w:before="204"/>
        <w:ind w:left="820" w:right="643"/>
        <w:jc w:val="both"/>
      </w:pPr>
      <w:r>
        <w:rPr/>
        <w:t>The</w:t>
      </w:r>
      <w:r>
        <w:rPr>
          <w:spacing w:val="-20"/>
        </w:rPr>
        <w:t> </w:t>
      </w:r>
      <w:r>
        <w:rPr/>
        <w:t>Valuer</w:t>
      </w:r>
      <w:r>
        <w:rPr>
          <w:spacing w:val="-18"/>
        </w:rPr>
        <w:t> </w:t>
      </w:r>
      <w:r>
        <w:rPr/>
        <w:t>understands</w:t>
      </w:r>
      <w:r>
        <w:rPr>
          <w:spacing w:val="-18"/>
        </w:rPr>
        <w:t> </w:t>
      </w:r>
      <w:r>
        <w:rPr/>
        <w:t>that</w:t>
      </w:r>
      <w:r>
        <w:rPr>
          <w:spacing w:val="-18"/>
        </w:rPr>
        <w:t> </w:t>
      </w:r>
      <w:r>
        <w:rPr/>
        <w:t>the</w:t>
      </w:r>
      <w:r>
        <w:rPr>
          <w:spacing w:val="-19"/>
        </w:rPr>
        <w:t> </w:t>
      </w:r>
      <w:r>
        <w:rPr/>
        <w:t>valuation</w:t>
      </w:r>
      <w:r>
        <w:rPr>
          <w:spacing w:val="-19"/>
        </w:rPr>
        <w:t> </w:t>
      </w:r>
      <w:r>
        <w:rPr/>
        <w:t>is</w:t>
      </w:r>
      <w:r>
        <w:rPr>
          <w:spacing w:val="-19"/>
        </w:rPr>
        <w:t> </w:t>
      </w:r>
      <w:r>
        <w:rPr/>
        <w:t>required</w:t>
      </w:r>
      <w:r>
        <w:rPr>
          <w:spacing w:val="-17"/>
        </w:rPr>
        <w:t> </w:t>
      </w:r>
      <w:r>
        <w:rPr/>
        <w:t>by</w:t>
      </w:r>
      <w:r>
        <w:rPr>
          <w:spacing w:val="-18"/>
        </w:rPr>
        <w:t> </w:t>
      </w:r>
      <w:r>
        <w:rPr/>
        <w:t>the</w:t>
      </w:r>
      <w:r>
        <w:rPr>
          <w:spacing w:val="-19"/>
        </w:rPr>
        <w:t> </w:t>
      </w:r>
      <w:r>
        <w:rPr/>
        <w:t>Client</w:t>
      </w:r>
      <w:r>
        <w:rPr>
          <w:spacing w:val="-19"/>
        </w:rPr>
        <w:t> </w:t>
      </w:r>
      <w:r>
        <w:rPr/>
        <w:t>for</w:t>
      </w:r>
      <w:r>
        <w:rPr>
          <w:spacing w:val="-19"/>
        </w:rPr>
        <w:t> </w:t>
      </w:r>
      <w:r>
        <w:rPr/>
        <w:t>financial</w:t>
      </w:r>
      <w:r>
        <w:rPr>
          <w:spacing w:val="-19"/>
        </w:rPr>
        <w:t> </w:t>
      </w:r>
      <w:r>
        <w:rPr/>
        <w:t>and</w:t>
      </w:r>
      <w:r>
        <w:rPr>
          <w:spacing w:val="-17"/>
        </w:rPr>
        <w:t> </w:t>
      </w:r>
      <w:r>
        <w:rPr/>
        <w:t>investor</w:t>
      </w:r>
      <w:r>
        <w:rPr>
          <w:spacing w:val="-19"/>
        </w:rPr>
        <w:t> </w:t>
      </w:r>
      <w:r>
        <w:rPr/>
        <w:t>reporting purposes</w:t>
      </w:r>
      <w:r>
        <w:rPr>
          <w:spacing w:val="-15"/>
        </w:rPr>
        <w:t> </w:t>
      </w:r>
      <w:r>
        <w:rPr/>
        <w:t>to</w:t>
      </w:r>
      <w:r>
        <w:rPr>
          <w:spacing w:val="-16"/>
        </w:rPr>
        <w:t> </w:t>
      </w:r>
      <w:r>
        <w:rPr/>
        <w:t>comply</w:t>
      </w:r>
      <w:r>
        <w:rPr>
          <w:spacing w:val="-16"/>
        </w:rPr>
        <w:t> </w:t>
      </w:r>
      <w:r>
        <w:rPr/>
        <w:t>with</w:t>
      </w:r>
      <w:r>
        <w:rPr>
          <w:spacing w:val="-16"/>
        </w:rPr>
        <w:t> </w:t>
      </w:r>
      <w:r>
        <w:rPr/>
        <w:t>the</w:t>
      </w:r>
      <w:r>
        <w:rPr>
          <w:spacing w:val="-17"/>
        </w:rPr>
        <w:t> </w:t>
      </w:r>
      <w:r>
        <w:rPr/>
        <w:t>requirements</w:t>
      </w:r>
      <w:r>
        <w:rPr>
          <w:spacing w:val="-15"/>
        </w:rPr>
        <w:t> </w:t>
      </w:r>
      <w:r>
        <w:rPr/>
        <w:t>of</w:t>
      </w:r>
      <w:r>
        <w:rPr>
          <w:spacing w:val="-16"/>
        </w:rPr>
        <w:t> </w:t>
      </w:r>
      <w:r>
        <w:rPr/>
        <w:t>Regulation</w:t>
      </w:r>
      <w:r>
        <w:rPr>
          <w:spacing w:val="-17"/>
        </w:rPr>
        <w:t> </w:t>
      </w:r>
      <w:r>
        <w:rPr/>
        <w:t>21</w:t>
      </w:r>
      <w:r>
        <w:rPr>
          <w:spacing w:val="-16"/>
        </w:rPr>
        <w:t> </w:t>
      </w:r>
      <w:r>
        <w:rPr/>
        <w:t>of</w:t>
      </w:r>
      <w:r>
        <w:rPr>
          <w:spacing w:val="-15"/>
        </w:rPr>
        <w:t> </w:t>
      </w:r>
      <w:r>
        <w:rPr/>
        <w:t>the</w:t>
      </w:r>
      <w:r>
        <w:rPr>
          <w:spacing w:val="-17"/>
        </w:rPr>
        <w:t> </w:t>
      </w:r>
      <w:r>
        <w:rPr/>
        <w:t>SEBI</w:t>
      </w:r>
      <w:r>
        <w:rPr>
          <w:spacing w:val="-16"/>
        </w:rPr>
        <w:t> </w:t>
      </w:r>
      <w:r>
        <w:rPr/>
        <w:t>(REIT)</w:t>
      </w:r>
      <w:r>
        <w:rPr>
          <w:spacing w:val="-16"/>
        </w:rPr>
        <w:t> </w:t>
      </w:r>
      <w:r>
        <w:rPr/>
        <w:t>Regulations,</w:t>
      </w:r>
      <w:r>
        <w:rPr>
          <w:spacing w:val="-16"/>
        </w:rPr>
        <w:t> </w:t>
      </w:r>
      <w:r>
        <w:rPr/>
        <w:t>2014.</w:t>
      </w:r>
    </w:p>
    <w:p>
      <w:pPr>
        <w:pStyle w:val="ListParagraph"/>
        <w:numPr>
          <w:ilvl w:val="1"/>
          <w:numId w:val="15"/>
        </w:numPr>
        <w:tabs>
          <w:tab w:pos="856" w:val="left" w:leader="none"/>
          <w:tab w:pos="857" w:val="left" w:leader="none"/>
        </w:tabs>
        <w:spacing w:line="240" w:lineRule="auto" w:before="120" w:after="0"/>
        <w:ind w:left="856" w:right="0" w:hanging="577"/>
        <w:jc w:val="left"/>
        <w:rPr>
          <w:sz w:val="22"/>
        </w:rPr>
      </w:pPr>
      <w:bookmarkStart w:name="_bookmark2" w:id="4"/>
      <w:bookmarkEnd w:id="4"/>
      <w:r>
        <w:rPr/>
      </w:r>
      <w:bookmarkStart w:name="_bookmark2" w:id="5"/>
      <w:bookmarkEnd w:id="5"/>
      <w:r>
        <w:rPr>
          <w:color w:val="1F6647"/>
          <w:sz w:val="22"/>
        </w:rPr>
        <w:t>R</w:t>
      </w:r>
      <w:r>
        <w:rPr>
          <w:color w:val="1F6647"/>
          <w:sz w:val="22"/>
        </w:rPr>
        <w:t>eliant</w:t>
      </w:r>
      <w:r>
        <w:rPr>
          <w:color w:val="1F6647"/>
          <w:spacing w:val="-1"/>
          <w:sz w:val="22"/>
        </w:rPr>
        <w:t> </w:t>
      </w:r>
      <w:r>
        <w:rPr>
          <w:color w:val="1F6647"/>
          <w:sz w:val="22"/>
        </w:rPr>
        <w:t>Party</w:t>
      </w:r>
    </w:p>
    <w:p>
      <w:pPr>
        <w:pStyle w:val="BodyText"/>
        <w:spacing w:line="321" w:lineRule="auto" w:before="207"/>
        <w:ind w:left="827" w:right="634"/>
        <w:jc w:val="both"/>
      </w:pPr>
      <w:r>
        <w:rPr/>
        <w:t>Reliant parties to this report shall mean Embassy Office Parks Management Services Private Limited (EOPMSPL), the Embassy Office Parks REIT (“Embassy REIT”) and their Unit Holders and Axis Trustee Services</w:t>
      </w:r>
      <w:r>
        <w:rPr>
          <w:spacing w:val="-42"/>
        </w:rPr>
        <w:t> </w:t>
      </w:r>
      <w:r>
        <w:rPr/>
        <w:t>Limited</w:t>
      </w:r>
      <w:r>
        <w:rPr>
          <w:spacing w:val="-42"/>
        </w:rPr>
        <w:t> </w:t>
      </w:r>
      <w:r>
        <w:rPr/>
        <w:t>(the</w:t>
      </w:r>
      <w:r>
        <w:rPr>
          <w:spacing w:val="-43"/>
        </w:rPr>
        <w:t> </w:t>
      </w:r>
      <w:r>
        <w:rPr/>
        <w:t>Trustee</w:t>
      </w:r>
      <w:r>
        <w:rPr>
          <w:spacing w:val="-43"/>
        </w:rPr>
        <w:t> </w:t>
      </w:r>
      <w:r>
        <w:rPr/>
        <w:t>for</w:t>
      </w:r>
      <w:r>
        <w:rPr>
          <w:spacing w:val="-42"/>
        </w:rPr>
        <w:t> </w:t>
      </w:r>
      <w:r>
        <w:rPr/>
        <w:t>the</w:t>
      </w:r>
      <w:r>
        <w:rPr>
          <w:spacing w:val="-43"/>
        </w:rPr>
        <w:t> </w:t>
      </w:r>
      <w:r>
        <w:rPr/>
        <w:t>Embassy</w:t>
      </w:r>
      <w:r>
        <w:rPr>
          <w:spacing w:val="-39"/>
        </w:rPr>
        <w:t> </w:t>
      </w:r>
      <w:r>
        <w:rPr/>
        <w:t>REIT)</w:t>
      </w:r>
      <w:r>
        <w:rPr>
          <w:spacing w:val="-42"/>
        </w:rPr>
        <w:t> </w:t>
      </w:r>
      <w:r>
        <w:rPr/>
        <w:t>for</w:t>
      </w:r>
      <w:r>
        <w:rPr>
          <w:spacing w:val="-42"/>
        </w:rPr>
        <w:t> </w:t>
      </w:r>
      <w:r>
        <w:rPr/>
        <w:t>the</w:t>
      </w:r>
      <w:r>
        <w:rPr>
          <w:spacing w:val="-43"/>
        </w:rPr>
        <w:t> </w:t>
      </w:r>
      <w:r>
        <w:rPr/>
        <w:t>purpose</w:t>
      </w:r>
      <w:r>
        <w:rPr>
          <w:spacing w:val="-43"/>
        </w:rPr>
        <w:t> </w:t>
      </w:r>
      <w:r>
        <w:rPr/>
        <w:t>(of</w:t>
      </w:r>
      <w:r>
        <w:rPr>
          <w:spacing w:val="-43"/>
        </w:rPr>
        <w:t> </w:t>
      </w:r>
      <w:r>
        <w:rPr/>
        <w:t>the</w:t>
      </w:r>
      <w:r>
        <w:rPr>
          <w:spacing w:val="-42"/>
        </w:rPr>
        <w:t> </w:t>
      </w:r>
      <w:r>
        <w:rPr/>
        <w:t>valuation)</w:t>
      </w:r>
      <w:r>
        <w:rPr>
          <w:spacing w:val="-42"/>
        </w:rPr>
        <w:t> </w:t>
      </w:r>
      <w:r>
        <w:rPr/>
        <w:t>as</w:t>
      </w:r>
      <w:r>
        <w:rPr>
          <w:spacing w:val="-42"/>
        </w:rPr>
        <w:t> </w:t>
      </w:r>
      <w:r>
        <w:rPr/>
        <w:t>highlighted</w:t>
      </w:r>
      <w:r>
        <w:rPr>
          <w:spacing w:val="-41"/>
        </w:rPr>
        <w:t> </w:t>
      </w:r>
      <w:r>
        <w:rPr/>
        <w:t>in</w:t>
      </w:r>
      <w:r>
        <w:rPr>
          <w:spacing w:val="-43"/>
        </w:rPr>
        <w:t> </w:t>
      </w:r>
      <w:r>
        <w:rPr/>
        <w:t>this report.</w:t>
      </w:r>
      <w:r>
        <w:rPr>
          <w:spacing w:val="-27"/>
        </w:rPr>
        <w:t> </w:t>
      </w:r>
      <w:r>
        <w:rPr/>
        <w:t>The</w:t>
      </w:r>
      <w:r>
        <w:rPr>
          <w:spacing w:val="-28"/>
        </w:rPr>
        <w:t> </w:t>
      </w:r>
      <w:r>
        <w:rPr/>
        <w:t>auditors</w:t>
      </w:r>
      <w:r>
        <w:rPr>
          <w:spacing w:val="-27"/>
        </w:rPr>
        <w:t> </w:t>
      </w:r>
      <w:r>
        <w:rPr/>
        <w:t>would</w:t>
      </w:r>
      <w:r>
        <w:rPr>
          <w:spacing w:val="-26"/>
        </w:rPr>
        <w:t> </w:t>
      </w:r>
      <w:r>
        <w:rPr/>
        <w:t>be</w:t>
      </w:r>
      <w:r>
        <w:rPr>
          <w:spacing w:val="-28"/>
        </w:rPr>
        <w:t> </w:t>
      </w:r>
      <w:r>
        <w:rPr/>
        <w:t>extended</w:t>
      </w:r>
      <w:r>
        <w:rPr>
          <w:spacing w:val="-26"/>
        </w:rPr>
        <w:t> </w:t>
      </w:r>
      <w:r>
        <w:rPr/>
        <w:t>reliance</w:t>
      </w:r>
      <w:r>
        <w:rPr>
          <w:spacing w:val="-27"/>
        </w:rPr>
        <w:t> </w:t>
      </w:r>
      <w:r>
        <w:rPr/>
        <w:t>by</w:t>
      </w:r>
      <w:r>
        <w:rPr>
          <w:spacing w:val="-26"/>
        </w:rPr>
        <w:t> </w:t>
      </w:r>
      <w:r>
        <w:rPr/>
        <w:t>the</w:t>
      </w:r>
      <w:r>
        <w:rPr>
          <w:spacing w:val="-27"/>
        </w:rPr>
        <w:t> </w:t>
      </w:r>
      <w:r>
        <w:rPr/>
        <w:t>‘Consultants’</w:t>
      </w:r>
      <w:r>
        <w:rPr>
          <w:spacing w:val="-27"/>
        </w:rPr>
        <w:t> </w:t>
      </w:r>
      <w:r>
        <w:rPr/>
        <w:t>but</w:t>
      </w:r>
      <w:r>
        <w:rPr>
          <w:spacing w:val="-27"/>
        </w:rPr>
        <w:t> </w:t>
      </w:r>
      <w:r>
        <w:rPr/>
        <w:t>would</w:t>
      </w:r>
      <w:r>
        <w:rPr>
          <w:spacing w:val="-23"/>
        </w:rPr>
        <w:t> </w:t>
      </w:r>
      <w:r>
        <w:rPr/>
        <w:t>not</w:t>
      </w:r>
      <w:r>
        <w:rPr>
          <w:spacing w:val="-26"/>
        </w:rPr>
        <w:t> </w:t>
      </w:r>
      <w:r>
        <w:rPr/>
        <w:t>extend</w:t>
      </w:r>
      <w:r>
        <w:rPr>
          <w:spacing w:val="-27"/>
        </w:rPr>
        <w:t> </w:t>
      </w:r>
      <w:r>
        <w:rPr/>
        <w:t>any</w:t>
      </w:r>
      <w:r>
        <w:rPr>
          <w:spacing w:val="-26"/>
        </w:rPr>
        <w:t> </w:t>
      </w:r>
      <w:r>
        <w:rPr/>
        <w:t>liability to</w:t>
      </w:r>
      <w:r>
        <w:rPr>
          <w:spacing w:val="-3"/>
        </w:rPr>
        <w:t> </w:t>
      </w:r>
      <w:r>
        <w:rPr/>
        <w:t>them.</w:t>
      </w:r>
    </w:p>
    <w:p>
      <w:pPr>
        <w:spacing w:after="0" w:line="321" w:lineRule="auto"/>
        <w:jc w:val="both"/>
        <w:sectPr>
          <w:pgSz w:w="11910" w:h="16840"/>
          <w:pgMar w:header="720" w:footer="842" w:top="1520" w:bottom="1040" w:left="440" w:right="80"/>
        </w:sectPr>
      </w:pPr>
    </w:p>
    <w:p>
      <w:pPr>
        <w:pStyle w:val="BodyText"/>
        <w:spacing w:before="5"/>
      </w:pPr>
    </w:p>
    <w:p>
      <w:pPr>
        <w:pStyle w:val="BodyText"/>
        <w:spacing w:line="321" w:lineRule="auto" w:before="106"/>
        <w:ind w:left="827" w:right="633"/>
        <w:jc w:val="both"/>
      </w:pPr>
      <w:r>
        <w:rPr/>
        <w:t>The</w:t>
      </w:r>
      <w:r>
        <w:rPr>
          <w:spacing w:val="-11"/>
        </w:rPr>
        <w:t> </w:t>
      </w:r>
      <w:r>
        <w:rPr/>
        <w:t>valuation</w:t>
      </w:r>
      <w:r>
        <w:rPr>
          <w:spacing w:val="-11"/>
        </w:rPr>
        <w:t> </w:t>
      </w:r>
      <w:r>
        <w:rPr/>
        <w:t>has</w:t>
      </w:r>
      <w:r>
        <w:rPr>
          <w:spacing w:val="-8"/>
        </w:rPr>
        <w:t> </w:t>
      </w:r>
      <w:r>
        <w:rPr/>
        <w:t>been</w:t>
      </w:r>
      <w:r>
        <w:rPr>
          <w:spacing w:val="-8"/>
        </w:rPr>
        <w:t> </w:t>
      </w:r>
      <w:r>
        <w:rPr/>
        <w:t>prepared</w:t>
      </w:r>
      <w:r>
        <w:rPr>
          <w:spacing w:val="-9"/>
        </w:rPr>
        <w:t> </w:t>
      </w:r>
      <w:r>
        <w:rPr/>
        <w:t>strictly</w:t>
      </w:r>
      <w:r>
        <w:rPr>
          <w:spacing w:val="-9"/>
        </w:rPr>
        <w:t> </w:t>
      </w:r>
      <w:r>
        <w:rPr/>
        <w:t>and</w:t>
      </w:r>
      <w:r>
        <w:rPr>
          <w:spacing w:val="-9"/>
        </w:rPr>
        <w:t> </w:t>
      </w:r>
      <w:r>
        <w:rPr/>
        <w:t>only</w:t>
      </w:r>
      <w:r>
        <w:rPr>
          <w:spacing w:val="-9"/>
        </w:rPr>
        <w:t> </w:t>
      </w:r>
      <w:r>
        <w:rPr/>
        <w:t>for</w:t>
      </w:r>
      <w:r>
        <w:rPr>
          <w:spacing w:val="-10"/>
        </w:rPr>
        <w:t> </w:t>
      </w:r>
      <w:r>
        <w:rPr/>
        <w:t>the</w:t>
      </w:r>
      <w:r>
        <w:rPr>
          <w:spacing w:val="-10"/>
        </w:rPr>
        <w:t> </w:t>
      </w:r>
      <w:r>
        <w:rPr/>
        <w:t>use</w:t>
      </w:r>
      <w:r>
        <w:rPr>
          <w:spacing w:val="-11"/>
        </w:rPr>
        <w:t> </w:t>
      </w:r>
      <w:r>
        <w:rPr/>
        <w:t>of</w:t>
      </w:r>
      <w:r>
        <w:rPr>
          <w:spacing w:val="-9"/>
        </w:rPr>
        <w:t> </w:t>
      </w:r>
      <w:r>
        <w:rPr/>
        <w:t>the</w:t>
      </w:r>
      <w:r>
        <w:rPr>
          <w:spacing w:val="-7"/>
        </w:rPr>
        <w:t> </w:t>
      </w:r>
      <w:r>
        <w:rPr/>
        <w:t>Reliant</w:t>
      </w:r>
      <w:r>
        <w:rPr>
          <w:spacing w:val="-11"/>
        </w:rPr>
        <w:t> </w:t>
      </w:r>
      <w:r>
        <w:rPr/>
        <w:t>Party</w:t>
      </w:r>
      <w:r>
        <w:rPr>
          <w:spacing w:val="-8"/>
        </w:rPr>
        <w:t> </w:t>
      </w:r>
      <w:r>
        <w:rPr/>
        <w:t>and</w:t>
      </w:r>
      <w:r>
        <w:rPr>
          <w:spacing w:val="-12"/>
        </w:rPr>
        <w:t> </w:t>
      </w:r>
      <w:r>
        <w:rPr/>
        <w:t>for</w:t>
      </w:r>
      <w:r>
        <w:rPr>
          <w:spacing w:val="-10"/>
        </w:rPr>
        <w:t> </w:t>
      </w:r>
      <w:r>
        <w:rPr/>
        <w:t>the</w:t>
      </w:r>
      <w:r>
        <w:rPr>
          <w:spacing w:val="-10"/>
        </w:rPr>
        <w:t> </w:t>
      </w:r>
      <w:r>
        <w:rPr/>
        <w:t>Purpose specifically</w:t>
      </w:r>
      <w:r>
        <w:rPr>
          <w:spacing w:val="-41"/>
        </w:rPr>
        <w:t> </w:t>
      </w:r>
      <w:r>
        <w:rPr/>
        <w:t>stated.</w:t>
      </w:r>
      <w:r>
        <w:rPr>
          <w:spacing w:val="-41"/>
        </w:rPr>
        <w:t> </w:t>
      </w:r>
      <w:r>
        <w:rPr/>
        <w:t>The</w:t>
      </w:r>
      <w:r>
        <w:rPr>
          <w:spacing w:val="-40"/>
        </w:rPr>
        <w:t> </w:t>
      </w:r>
      <w:r>
        <w:rPr/>
        <w:t>instructing</w:t>
      </w:r>
      <w:r>
        <w:rPr>
          <w:spacing w:val="-40"/>
        </w:rPr>
        <w:t> </w:t>
      </w:r>
      <w:r>
        <w:rPr/>
        <w:t>party</w:t>
      </w:r>
      <w:r>
        <w:rPr>
          <w:spacing w:val="-41"/>
        </w:rPr>
        <w:t> </w:t>
      </w:r>
      <w:r>
        <w:rPr/>
        <w:t>would</w:t>
      </w:r>
      <w:r>
        <w:rPr>
          <w:spacing w:val="-39"/>
        </w:rPr>
        <w:t> </w:t>
      </w:r>
      <w:r>
        <w:rPr/>
        <w:t>make</w:t>
      </w:r>
      <w:r>
        <w:rPr>
          <w:spacing w:val="-41"/>
        </w:rPr>
        <w:t> </w:t>
      </w:r>
      <w:r>
        <w:rPr/>
        <w:t>all</w:t>
      </w:r>
      <w:r>
        <w:rPr>
          <w:spacing w:val="-41"/>
        </w:rPr>
        <w:t> </w:t>
      </w:r>
      <w:r>
        <w:rPr/>
        <w:t>reliant</w:t>
      </w:r>
      <w:r>
        <w:rPr>
          <w:spacing w:val="-40"/>
        </w:rPr>
        <w:t> </w:t>
      </w:r>
      <w:r>
        <w:rPr/>
        <w:t>parties</w:t>
      </w:r>
      <w:r>
        <w:rPr>
          <w:spacing w:val="-39"/>
        </w:rPr>
        <w:t> </w:t>
      </w:r>
      <w:r>
        <w:rPr/>
        <w:t>aware</w:t>
      </w:r>
      <w:r>
        <w:rPr>
          <w:spacing w:val="-41"/>
        </w:rPr>
        <w:t> </w:t>
      </w:r>
      <w:r>
        <w:rPr/>
        <w:t>of</w:t>
      </w:r>
      <w:r>
        <w:rPr>
          <w:spacing w:val="-40"/>
        </w:rPr>
        <w:t> </w:t>
      </w:r>
      <w:r>
        <w:rPr/>
        <w:t>the</w:t>
      </w:r>
      <w:r>
        <w:rPr>
          <w:spacing w:val="-40"/>
        </w:rPr>
        <w:t> </w:t>
      </w:r>
      <w:r>
        <w:rPr/>
        <w:t>terms</w:t>
      </w:r>
      <w:r>
        <w:rPr>
          <w:spacing w:val="-39"/>
        </w:rPr>
        <w:t> </w:t>
      </w:r>
      <w:r>
        <w:rPr/>
        <w:t>and</w:t>
      </w:r>
      <w:r>
        <w:rPr>
          <w:spacing w:val="-41"/>
        </w:rPr>
        <w:t> </w:t>
      </w:r>
      <w:r>
        <w:rPr/>
        <w:t>conditions of</w:t>
      </w:r>
      <w:r>
        <w:rPr>
          <w:spacing w:val="-27"/>
        </w:rPr>
        <w:t> </w:t>
      </w:r>
      <w:r>
        <w:rPr/>
        <w:t>this</w:t>
      </w:r>
      <w:r>
        <w:rPr>
          <w:spacing w:val="-27"/>
        </w:rPr>
        <w:t> </w:t>
      </w:r>
      <w:r>
        <w:rPr/>
        <w:t>agreement</w:t>
      </w:r>
      <w:r>
        <w:rPr>
          <w:spacing w:val="-27"/>
        </w:rPr>
        <w:t> </w:t>
      </w:r>
      <w:r>
        <w:rPr/>
        <w:t>under</w:t>
      </w:r>
      <w:r>
        <w:rPr>
          <w:spacing w:val="-27"/>
        </w:rPr>
        <w:t> </w:t>
      </w:r>
      <w:r>
        <w:rPr/>
        <w:t>which</w:t>
      </w:r>
      <w:r>
        <w:rPr>
          <w:spacing w:val="-28"/>
        </w:rPr>
        <w:t> </w:t>
      </w:r>
      <w:r>
        <w:rPr/>
        <w:t>this</w:t>
      </w:r>
      <w:r>
        <w:rPr>
          <w:spacing w:val="-27"/>
        </w:rPr>
        <w:t> </w:t>
      </w:r>
      <w:r>
        <w:rPr/>
        <w:t>exercise</w:t>
      </w:r>
      <w:r>
        <w:rPr>
          <w:spacing w:val="-27"/>
        </w:rPr>
        <w:t> </w:t>
      </w:r>
      <w:r>
        <w:rPr/>
        <w:t>is</w:t>
      </w:r>
      <w:r>
        <w:rPr>
          <w:spacing w:val="-26"/>
        </w:rPr>
        <w:t> </w:t>
      </w:r>
      <w:r>
        <w:rPr/>
        <w:t>being</w:t>
      </w:r>
      <w:r>
        <w:rPr>
          <w:spacing w:val="-26"/>
        </w:rPr>
        <w:t> </w:t>
      </w:r>
      <w:r>
        <w:rPr/>
        <w:t>undertaken</w:t>
      </w:r>
      <w:r>
        <w:rPr>
          <w:spacing w:val="-28"/>
        </w:rPr>
        <w:t> </w:t>
      </w:r>
      <w:r>
        <w:rPr/>
        <w:t>and</w:t>
      </w:r>
      <w:r>
        <w:rPr>
          <w:spacing w:val="-27"/>
        </w:rPr>
        <w:t> </w:t>
      </w:r>
      <w:r>
        <w:rPr/>
        <w:t>take</w:t>
      </w:r>
      <w:r>
        <w:rPr>
          <w:spacing w:val="-27"/>
        </w:rPr>
        <w:t> </w:t>
      </w:r>
      <w:r>
        <w:rPr/>
        <w:t>due</w:t>
      </w:r>
      <w:r>
        <w:rPr>
          <w:spacing w:val="-28"/>
        </w:rPr>
        <w:t> </w:t>
      </w:r>
      <w:r>
        <w:rPr/>
        <w:t>acknowledgements</w:t>
      </w:r>
      <w:r>
        <w:rPr>
          <w:spacing w:val="-26"/>
        </w:rPr>
        <w:t> </w:t>
      </w:r>
      <w:r>
        <w:rPr/>
        <w:t>to</w:t>
      </w:r>
      <w:r>
        <w:rPr>
          <w:spacing w:val="-29"/>
        </w:rPr>
        <w:t> </w:t>
      </w:r>
      <w:r>
        <w:rPr/>
        <w:t>the same</w:t>
      </w:r>
      <w:r>
        <w:rPr>
          <w:spacing w:val="-3"/>
        </w:rPr>
        <w:t> </w:t>
      </w:r>
      <w:r>
        <w:rPr/>
        <w:t>effect.</w:t>
      </w:r>
    </w:p>
    <w:p>
      <w:pPr>
        <w:pStyle w:val="BodyText"/>
        <w:spacing w:before="9"/>
        <w:rPr>
          <w:sz w:val="20"/>
        </w:rPr>
      </w:pPr>
    </w:p>
    <w:p>
      <w:pPr>
        <w:pStyle w:val="ListParagraph"/>
        <w:numPr>
          <w:ilvl w:val="1"/>
          <w:numId w:val="15"/>
        </w:numPr>
        <w:tabs>
          <w:tab w:pos="856" w:val="left" w:leader="none"/>
          <w:tab w:pos="857" w:val="left" w:leader="none"/>
        </w:tabs>
        <w:spacing w:line="240" w:lineRule="auto" w:before="0" w:after="0"/>
        <w:ind w:left="856" w:right="0" w:hanging="577"/>
        <w:jc w:val="left"/>
        <w:rPr>
          <w:sz w:val="22"/>
        </w:rPr>
      </w:pPr>
      <w:bookmarkStart w:name="_bookmark3" w:id="6"/>
      <w:bookmarkEnd w:id="6"/>
      <w:r>
        <w:rPr/>
      </w:r>
      <w:bookmarkStart w:name="_bookmark3" w:id="7"/>
      <w:bookmarkEnd w:id="7"/>
      <w:r>
        <w:rPr>
          <w:color w:val="1F6647"/>
          <w:sz w:val="22"/>
        </w:rPr>
        <w:t>Li</w:t>
      </w:r>
      <w:r>
        <w:rPr>
          <w:color w:val="1F6647"/>
          <w:sz w:val="22"/>
        </w:rPr>
        <w:t>mitation of</w:t>
      </w:r>
      <w:r>
        <w:rPr>
          <w:color w:val="1F6647"/>
          <w:spacing w:val="-5"/>
          <w:sz w:val="22"/>
        </w:rPr>
        <w:t> </w:t>
      </w:r>
      <w:r>
        <w:rPr>
          <w:color w:val="1F6647"/>
          <w:sz w:val="22"/>
        </w:rPr>
        <w:t>Liability</w:t>
      </w:r>
    </w:p>
    <w:p>
      <w:pPr>
        <w:pStyle w:val="ListParagraph"/>
        <w:numPr>
          <w:ilvl w:val="2"/>
          <w:numId w:val="15"/>
        </w:numPr>
        <w:tabs>
          <w:tab w:pos="1548" w:val="left" w:leader="none"/>
        </w:tabs>
        <w:spacing w:line="321" w:lineRule="auto" w:before="208" w:after="0"/>
        <w:ind w:left="1547" w:right="635" w:hanging="360"/>
        <w:jc w:val="both"/>
        <w:rPr>
          <w:sz w:val="22"/>
        </w:rPr>
      </w:pPr>
      <w:r>
        <w:rPr>
          <w:sz w:val="22"/>
        </w:rPr>
        <w:t>The</w:t>
      </w:r>
      <w:r>
        <w:rPr>
          <w:spacing w:val="-32"/>
          <w:sz w:val="22"/>
        </w:rPr>
        <w:t> </w:t>
      </w:r>
      <w:r>
        <w:rPr>
          <w:sz w:val="22"/>
        </w:rPr>
        <w:t>‘Consultants’</w:t>
      </w:r>
      <w:r>
        <w:rPr>
          <w:spacing w:val="-31"/>
          <w:sz w:val="22"/>
        </w:rPr>
        <w:t> </w:t>
      </w:r>
      <w:r>
        <w:rPr>
          <w:sz w:val="22"/>
        </w:rPr>
        <w:t>provide</w:t>
      </w:r>
      <w:r>
        <w:rPr>
          <w:spacing w:val="-30"/>
          <w:sz w:val="22"/>
        </w:rPr>
        <w:t> </w:t>
      </w:r>
      <w:r>
        <w:rPr>
          <w:sz w:val="22"/>
        </w:rPr>
        <w:t>the</w:t>
      </w:r>
      <w:r>
        <w:rPr>
          <w:spacing w:val="-31"/>
          <w:sz w:val="22"/>
        </w:rPr>
        <w:t> </w:t>
      </w:r>
      <w:r>
        <w:rPr>
          <w:sz w:val="22"/>
        </w:rPr>
        <w:t>Services</w:t>
      </w:r>
      <w:r>
        <w:rPr>
          <w:spacing w:val="-30"/>
          <w:sz w:val="22"/>
        </w:rPr>
        <w:t> </w:t>
      </w:r>
      <w:r>
        <w:rPr>
          <w:sz w:val="22"/>
        </w:rPr>
        <w:t>exercising</w:t>
      </w:r>
      <w:r>
        <w:rPr>
          <w:spacing w:val="-31"/>
          <w:sz w:val="22"/>
        </w:rPr>
        <w:t> </w:t>
      </w:r>
      <w:r>
        <w:rPr>
          <w:sz w:val="22"/>
        </w:rPr>
        <w:t>due</w:t>
      </w:r>
      <w:r>
        <w:rPr>
          <w:spacing w:val="-30"/>
          <w:sz w:val="22"/>
        </w:rPr>
        <w:t> </w:t>
      </w:r>
      <w:r>
        <w:rPr>
          <w:sz w:val="22"/>
        </w:rPr>
        <w:t>care</w:t>
      </w:r>
      <w:r>
        <w:rPr>
          <w:spacing w:val="-30"/>
          <w:sz w:val="22"/>
        </w:rPr>
        <w:t> </w:t>
      </w:r>
      <w:r>
        <w:rPr>
          <w:sz w:val="22"/>
        </w:rPr>
        <w:t>and</w:t>
      </w:r>
      <w:r>
        <w:rPr>
          <w:spacing w:val="-31"/>
          <w:sz w:val="22"/>
        </w:rPr>
        <w:t> </w:t>
      </w:r>
      <w:r>
        <w:rPr>
          <w:sz w:val="22"/>
        </w:rPr>
        <w:t>skill,</w:t>
      </w:r>
      <w:r>
        <w:rPr>
          <w:spacing w:val="-31"/>
          <w:sz w:val="22"/>
        </w:rPr>
        <w:t> </w:t>
      </w:r>
      <w:r>
        <w:rPr>
          <w:sz w:val="22"/>
        </w:rPr>
        <w:t>but</w:t>
      </w:r>
      <w:r>
        <w:rPr>
          <w:spacing w:val="-31"/>
          <w:sz w:val="22"/>
        </w:rPr>
        <w:t> </w:t>
      </w:r>
      <w:r>
        <w:rPr>
          <w:sz w:val="22"/>
        </w:rPr>
        <w:t>the</w:t>
      </w:r>
      <w:r>
        <w:rPr>
          <w:spacing w:val="-30"/>
          <w:sz w:val="22"/>
        </w:rPr>
        <w:t> </w:t>
      </w:r>
      <w:r>
        <w:rPr>
          <w:sz w:val="22"/>
        </w:rPr>
        <w:t>‘Consultants’</w:t>
      </w:r>
      <w:r>
        <w:rPr>
          <w:spacing w:val="-31"/>
          <w:sz w:val="22"/>
        </w:rPr>
        <w:t> </w:t>
      </w:r>
      <w:r>
        <w:rPr>
          <w:sz w:val="22"/>
        </w:rPr>
        <w:t>do</w:t>
      </w:r>
      <w:r>
        <w:rPr>
          <w:spacing w:val="-31"/>
          <w:sz w:val="22"/>
        </w:rPr>
        <w:t> </w:t>
      </w:r>
      <w:r>
        <w:rPr>
          <w:sz w:val="22"/>
        </w:rPr>
        <w:t>not accept</w:t>
      </w:r>
      <w:r>
        <w:rPr>
          <w:spacing w:val="-36"/>
          <w:sz w:val="22"/>
        </w:rPr>
        <w:t> </w:t>
      </w:r>
      <w:r>
        <w:rPr>
          <w:sz w:val="22"/>
        </w:rPr>
        <w:t>any</w:t>
      </w:r>
      <w:r>
        <w:rPr>
          <w:spacing w:val="-36"/>
          <w:sz w:val="22"/>
        </w:rPr>
        <w:t> </w:t>
      </w:r>
      <w:r>
        <w:rPr>
          <w:sz w:val="22"/>
        </w:rPr>
        <w:t>legal</w:t>
      </w:r>
      <w:r>
        <w:rPr>
          <w:spacing w:val="-38"/>
          <w:sz w:val="22"/>
        </w:rPr>
        <w:t> </w:t>
      </w:r>
      <w:r>
        <w:rPr>
          <w:sz w:val="22"/>
        </w:rPr>
        <w:t>liability</w:t>
      </w:r>
      <w:r>
        <w:rPr>
          <w:spacing w:val="-35"/>
          <w:sz w:val="22"/>
        </w:rPr>
        <w:t> </w:t>
      </w:r>
      <w:r>
        <w:rPr>
          <w:sz w:val="22"/>
        </w:rPr>
        <w:t>arising</w:t>
      </w:r>
      <w:r>
        <w:rPr>
          <w:spacing w:val="-37"/>
          <w:sz w:val="22"/>
        </w:rPr>
        <w:t> </w:t>
      </w:r>
      <w:r>
        <w:rPr>
          <w:sz w:val="22"/>
        </w:rPr>
        <w:t>from</w:t>
      </w:r>
      <w:r>
        <w:rPr>
          <w:spacing w:val="-36"/>
          <w:sz w:val="22"/>
        </w:rPr>
        <w:t> </w:t>
      </w:r>
      <w:r>
        <w:rPr>
          <w:sz w:val="22"/>
        </w:rPr>
        <w:t>negligence</w:t>
      </w:r>
      <w:r>
        <w:rPr>
          <w:spacing w:val="-36"/>
          <w:sz w:val="22"/>
        </w:rPr>
        <w:t> </w:t>
      </w:r>
      <w:r>
        <w:rPr>
          <w:sz w:val="22"/>
        </w:rPr>
        <w:t>or</w:t>
      </w:r>
      <w:r>
        <w:rPr>
          <w:spacing w:val="-37"/>
          <w:sz w:val="22"/>
        </w:rPr>
        <w:t> </w:t>
      </w:r>
      <w:r>
        <w:rPr>
          <w:sz w:val="22"/>
        </w:rPr>
        <w:t>otherwise</w:t>
      </w:r>
      <w:r>
        <w:rPr>
          <w:spacing w:val="-36"/>
          <w:sz w:val="22"/>
        </w:rPr>
        <w:t> </w:t>
      </w:r>
      <w:r>
        <w:rPr>
          <w:sz w:val="22"/>
        </w:rPr>
        <w:t>to</w:t>
      </w:r>
      <w:r>
        <w:rPr>
          <w:spacing w:val="-37"/>
          <w:sz w:val="22"/>
        </w:rPr>
        <w:t> </w:t>
      </w:r>
      <w:r>
        <w:rPr>
          <w:sz w:val="22"/>
        </w:rPr>
        <w:t>any</w:t>
      </w:r>
      <w:r>
        <w:rPr>
          <w:spacing w:val="-37"/>
          <w:sz w:val="22"/>
        </w:rPr>
        <w:t> </w:t>
      </w:r>
      <w:r>
        <w:rPr>
          <w:sz w:val="22"/>
        </w:rPr>
        <w:t>person</w:t>
      </w:r>
      <w:r>
        <w:rPr>
          <w:spacing w:val="-36"/>
          <w:sz w:val="22"/>
        </w:rPr>
        <w:t> </w:t>
      </w:r>
      <w:r>
        <w:rPr>
          <w:sz w:val="22"/>
        </w:rPr>
        <w:t>in</w:t>
      </w:r>
      <w:r>
        <w:rPr>
          <w:spacing w:val="-37"/>
          <w:sz w:val="22"/>
        </w:rPr>
        <w:t> </w:t>
      </w:r>
      <w:r>
        <w:rPr>
          <w:sz w:val="22"/>
        </w:rPr>
        <w:t>relation</w:t>
      </w:r>
      <w:r>
        <w:rPr>
          <w:spacing w:val="-36"/>
          <w:sz w:val="22"/>
        </w:rPr>
        <w:t> </w:t>
      </w:r>
      <w:r>
        <w:rPr>
          <w:sz w:val="22"/>
        </w:rPr>
        <w:t>to</w:t>
      </w:r>
      <w:r>
        <w:rPr>
          <w:spacing w:val="-37"/>
          <w:sz w:val="22"/>
        </w:rPr>
        <w:t> </w:t>
      </w:r>
      <w:r>
        <w:rPr>
          <w:sz w:val="22"/>
        </w:rPr>
        <w:t>possible environmental</w:t>
      </w:r>
      <w:r>
        <w:rPr>
          <w:spacing w:val="-29"/>
          <w:sz w:val="22"/>
        </w:rPr>
        <w:t> </w:t>
      </w:r>
      <w:r>
        <w:rPr>
          <w:sz w:val="22"/>
        </w:rPr>
        <w:t>site</w:t>
      </w:r>
      <w:r>
        <w:rPr>
          <w:spacing w:val="-28"/>
          <w:sz w:val="22"/>
        </w:rPr>
        <w:t> </w:t>
      </w:r>
      <w:r>
        <w:rPr>
          <w:sz w:val="22"/>
        </w:rPr>
        <w:t>contamination</w:t>
      </w:r>
      <w:r>
        <w:rPr>
          <w:spacing w:val="-28"/>
          <w:sz w:val="22"/>
        </w:rPr>
        <w:t> </w:t>
      </w:r>
      <w:r>
        <w:rPr>
          <w:sz w:val="22"/>
        </w:rPr>
        <w:t>or</w:t>
      </w:r>
      <w:r>
        <w:rPr>
          <w:spacing w:val="-28"/>
          <w:sz w:val="22"/>
        </w:rPr>
        <w:t> </w:t>
      </w:r>
      <w:r>
        <w:rPr>
          <w:sz w:val="22"/>
        </w:rPr>
        <w:t>any</w:t>
      </w:r>
      <w:r>
        <w:rPr>
          <w:spacing w:val="-28"/>
          <w:sz w:val="22"/>
        </w:rPr>
        <w:t> </w:t>
      </w:r>
      <w:r>
        <w:rPr>
          <w:sz w:val="22"/>
        </w:rPr>
        <w:t>failure</w:t>
      </w:r>
      <w:r>
        <w:rPr>
          <w:spacing w:val="-28"/>
          <w:sz w:val="22"/>
        </w:rPr>
        <w:t> </w:t>
      </w:r>
      <w:r>
        <w:rPr>
          <w:sz w:val="22"/>
        </w:rPr>
        <w:t>to</w:t>
      </w:r>
      <w:r>
        <w:rPr>
          <w:spacing w:val="-28"/>
          <w:sz w:val="22"/>
        </w:rPr>
        <w:t> </w:t>
      </w:r>
      <w:r>
        <w:rPr>
          <w:sz w:val="22"/>
        </w:rPr>
        <w:t>comply</w:t>
      </w:r>
      <w:r>
        <w:rPr>
          <w:spacing w:val="-28"/>
          <w:sz w:val="22"/>
        </w:rPr>
        <w:t> </w:t>
      </w:r>
      <w:r>
        <w:rPr>
          <w:sz w:val="22"/>
        </w:rPr>
        <w:t>with</w:t>
      </w:r>
      <w:r>
        <w:rPr>
          <w:spacing w:val="-28"/>
          <w:sz w:val="22"/>
        </w:rPr>
        <w:t> </w:t>
      </w:r>
      <w:r>
        <w:rPr>
          <w:sz w:val="22"/>
        </w:rPr>
        <w:t>environmental</w:t>
      </w:r>
      <w:r>
        <w:rPr>
          <w:spacing w:val="-29"/>
          <w:sz w:val="22"/>
        </w:rPr>
        <w:t> </w:t>
      </w:r>
      <w:r>
        <w:rPr>
          <w:sz w:val="22"/>
        </w:rPr>
        <w:t>legislation</w:t>
      </w:r>
      <w:r>
        <w:rPr>
          <w:spacing w:val="-28"/>
          <w:sz w:val="22"/>
        </w:rPr>
        <w:t> </w:t>
      </w:r>
      <w:r>
        <w:rPr>
          <w:sz w:val="22"/>
        </w:rPr>
        <w:t>which may</w:t>
      </w:r>
      <w:r>
        <w:rPr>
          <w:spacing w:val="-36"/>
          <w:sz w:val="22"/>
        </w:rPr>
        <w:t> </w:t>
      </w:r>
      <w:r>
        <w:rPr>
          <w:sz w:val="22"/>
        </w:rPr>
        <w:t>affect</w:t>
      </w:r>
      <w:r>
        <w:rPr>
          <w:spacing w:val="-38"/>
          <w:sz w:val="22"/>
        </w:rPr>
        <w:t> </w:t>
      </w:r>
      <w:r>
        <w:rPr>
          <w:sz w:val="22"/>
        </w:rPr>
        <w:t>the</w:t>
      </w:r>
      <w:r>
        <w:rPr>
          <w:spacing w:val="-37"/>
          <w:sz w:val="22"/>
        </w:rPr>
        <w:t> </w:t>
      </w:r>
      <w:r>
        <w:rPr>
          <w:sz w:val="22"/>
        </w:rPr>
        <w:t>value</w:t>
      </w:r>
      <w:r>
        <w:rPr>
          <w:spacing w:val="-36"/>
          <w:sz w:val="22"/>
        </w:rPr>
        <w:t> </w:t>
      </w:r>
      <w:r>
        <w:rPr>
          <w:sz w:val="22"/>
        </w:rPr>
        <w:t>of</w:t>
      </w:r>
      <w:r>
        <w:rPr>
          <w:spacing w:val="-38"/>
          <w:sz w:val="22"/>
        </w:rPr>
        <w:t> </w:t>
      </w:r>
      <w:r>
        <w:rPr>
          <w:sz w:val="22"/>
        </w:rPr>
        <w:t>the</w:t>
      </w:r>
      <w:r>
        <w:rPr>
          <w:spacing w:val="-37"/>
          <w:sz w:val="22"/>
        </w:rPr>
        <w:t> </w:t>
      </w:r>
      <w:r>
        <w:rPr>
          <w:sz w:val="22"/>
        </w:rPr>
        <w:t>properties.</w:t>
      </w:r>
      <w:r>
        <w:rPr>
          <w:spacing w:val="-37"/>
          <w:sz w:val="22"/>
        </w:rPr>
        <w:t> </w:t>
      </w:r>
      <w:r>
        <w:rPr>
          <w:sz w:val="22"/>
        </w:rPr>
        <w:t>Further,</w:t>
      </w:r>
      <w:r>
        <w:rPr>
          <w:spacing w:val="-38"/>
          <w:sz w:val="22"/>
        </w:rPr>
        <w:t> </w:t>
      </w:r>
      <w:r>
        <w:rPr>
          <w:sz w:val="22"/>
        </w:rPr>
        <w:t>the</w:t>
      </w:r>
      <w:r>
        <w:rPr>
          <w:spacing w:val="-38"/>
          <w:sz w:val="22"/>
        </w:rPr>
        <w:t> </w:t>
      </w:r>
      <w:r>
        <w:rPr>
          <w:sz w:val="22"/>
        </w:rPr>
        <w:t>‘Consultants’</w:t>
      </w:r>
      <w:r>
        <w:rPr>
          <w:spacing w:val="-38"/>
          <w:sz w:val="22"/>
        </w:rPr>
        <w:t> </w:t>
      </w:r>
      <w:r>
        <w:rPr>
          <w:sz w:val="22"/>
        </w:rPr>
        <w:t>shall</w:t>
      </w:r>
      <w:r>
        <w:rPr>
          <w:spacing w:val="-37"/>
          <w:sz w:val="22"/>
        </w:rPr>
        <w:t> </w:t>
      </w:r>
      <w:r>
        <w:rPr>
          <w:sz w:val="22"/>
        </w:rPr>
        <w:t>not</w:t>
      </w:r>
      <w:r>
        <w:rPr>
          <w:spacing w:val="-37"/>
          <w:sz w:val="22"/>
        </w:rPr>
        <w:t> </w:t>
      </w:r>
      <w:r>
        <w:rPr>
          <w:sz w:val="22"/>
        </w:rPr>
        <w:t>accept</w:t>
      </w:r>
      <w:r>
        <w:rPr>
          <w:spacing w:val="-36"/>
          <w:sz w:val="22"/>
        </w:rPr>
        <w:t> </w:t>
      </w:r>
      <w:r>
        <w:rPr>
          <w:sz w:val="22"/>
        </w:rPr>
        <w:t>liability</w:t>
      </w:r>
      <w:r>
        <w:rPr>
          <w:spacing w:val="-37"/>
          <w:sz w:val="22"/>
        </w:rPr>
        <w:t> </w:t>
      </w:r>
      <w:r>
        <w:rPr>
          <w:sz w:val="22"/>
        </w:rPr>
        <w:t>for</w:t>
      </w:r>
      <w:r>
        <w:rPr>
          <w:spacing w:val="-37"/>
          <w:sz w:val="22"/>
        </w:rPr>
        <w:t> </w:t>
      </w:r>
      <w:r>
        <w:rPr>
          <w:sz w:val="22"/>
        </w:rPr>
        <w:t>any errors,</w:t>
      </w:r>
      <w:r>
        <w:rPr>
          <w:spacing w:val="-5"/>
          <w:sz w:val="22"/>
        </w:rPr>
        <w:t> </w:t>
      </w:r>
      <w:r>
        <w:rPr>
          <w:sz w:val="22"/>
        </w:rPr>
        <w:t>misstatements,</w:t>
      </w:r>
      <w:r>
        <w:rPr>
          <w:spacing w:val="-5"/>
          <w:sz w:val="22"/>
        </w:rPr>
        <w:t> </w:t>
      </w:r>
      <w:r>
        <w:rPr>
          <w:sz w:val="22"/>
        </w:rPr>
        <w:t>omissions</w:t>
      </w:r>
      <w:r>
        <w:rPr>
          <w:spacing w:val="-3"/>
          <w:sz w:val="22"/>
        </w:rPr>
        <w:t> </w:t>
      </w:r>
      <w:r>
        <w:rPr>
          <w:sz w:val="22"/>
        </w:rPr>
        <w:t>in</w:t>
      </w:r>
      <w:r>
        <w:rPr>
          <w:spacing w:val="-5"/>
          <w:sz w:val="22"/>
        </w:rPr>
        <w:t> </w:t>
      </w:r>
      <w:r>
        <w:rPr>
          <w:sz w:val="22"/>
        </w:rPr>
        <w:t>the</w:t>
      </w:r>
      <w:r>
        <w:rPr>
          <w:spacing w:val="-5"/>
          <w:sz w:val="22"/>
        </w:rPr>
        <w:t> </w:t>
      </w:r>
      <w:r>
        <w:rPr>
          <w:sz w:val="22"/>
        </w:rPr>
        <w:t>Report</w:t>
      </w:r>
      <w:r>
        <w:rPr>
          <w:spacing w:val="-4"/>
          <w:sz w:val="22"/>
        </w:rPr>
        <w:t> </w:t>
      </w:r>
      <w:r>
        <w:rPr>
          <w:sz w:val="22"/>
        </w:rPr>
        <w:t>caused</w:t>
      </w:r>
      <w:r>
        <w:rPr>
          <w:spacing w:val="-4"/>
          <w:sz w:val="22"/>
        </w:rPr>
        <w:t> </w:t>
      </w:r>
      <w:r>
        <w:rPr>
          <w:sz w:val="22"/>
        </w:rPr>
        <w:t>due</w:t>
      </w:r>
      <w:r>
        <w:rPr>
          <w:spacing w:val="-5"/>
          <w:sz w:val="22"/>
        </w:rPr>
        <w:t> </w:t>
      </w:r>
      <w:r>
        <w:rPr>
          <w:sz w:val="22"/>
        </w:rPr>
        <w:t>to</w:t>
      </w:r>
      <w:r>
        <w:rPr>
          <w:spacing w:val="-4"/>
          <w:sz w:val="22"/>
        </w:rPr>
        <w:t> </w:t>
      </w:r>
      <w:r>
        <w:rPr>
          <w:sz w:val="22"/>
        </w:rPr>
        <w:t>false,</w:t>
      </w:r>
      <w:r>
        <w:rPr>
          <w:spacing w:val="-5"/>
          <w:sz w:val="22"/>
        </w:rPr>
        <w:t> </w:t>
      </w:r>
      <w:r>
        <w:rPr>
          <w:sz w:val="22"/>
        </w:rPr>
        <w:t>misleading</w:t>
      </w:r>
      <w:r>
        <w:rPr>
          <w:spacing w:val="-3"/>
          <w:sz w:val="22"/>
        </w:rPr>
        <w:t> </w:t>
      </w:r>
      <w:r>
        <w:rPr>
          <w:sz w:val="22"/>
        </w:rPr>
        <w:t>or</w:t>
      </w:r>
      <w:r>
        <w:rPr>
          <w:spacing w:val="-5"/>
          <w:sz w:val="22"/>
        </w:rPr>
        <w:t> </w:t>
      </w:r>
      <w:r>
        <w:rPr>
          <w:sz w:val="22"/>
        </w:rPr>
        <w:t>incomplete information</w:t>
      </w:r>
      <w:r>
        <w:rPr>
          <w:spacing w:val="-18"/>
          <w:sz w:val="22"/>
        </w:rPr>
        <w:t> </w:t>
      </w:r>
      <w:r>
        <w:rPr>
          <w:sz w:val="22"/>
        </w:rPr>
        <w:t>or</w:t>
      </w:r>
      <w:r>
        <w:rPr>
          <w:spacing w:val="-17"/>
          <w:sz w:val="22"/>
        </w:rPr>
        <w:t> </w:t>
      </w:r>
      <w:r>
        <w:rPr>
          <w:sz w:val="22"/>
        </w:rPr>
        <w:t>documentation</w:t>
      </w:r>
      <w:r>
        <w:rPr>
          <w:spacing w:val="-17"/>
          <w:sz w:val="22"/>
        </w:rPr>
        <w:t> </w:t>
      </w:r>
      <w:r>
        <w:rPr>
          <w:sz w:val="22"/>
        </w:rPr>
        <w:t>provided</w:t>
      </w:r>
      <w:r>
        <w:rPr>
          <w:spacing w:val="-17"/>
          <w:sz w:val="22"/>
        </w:rPr>
        <w:t> </w:t>
      </w:r>
      <w:r>
        <w:rPr>
          <w:sz w:val="22"/>
        </w:rPr>
        <w:t>to</w:t>
      </w:r>
      <w:r>
        <w:rPr>
          <w:spacing w:val="-16"/>
          <w:sz w:val="22"/>
        </w:rPr>
        <w:t> </w:t>
      </w:r>
      <w:r>
        <w:rPr>
          <w:sz w:val="22"/>
        </w:rPr>
        <w:t>the</w:t>
      </w:r>
      <w:r>
        <w:rPr>
          <w:spacing w:val="-17"/>
          <w:sz w:val="22"/>
        </w:rPr>
        <w:t> </w:t>
      </w:r>
      <w:r>
        <w:rPr>
          <w:sz w:val="22"/>
        </w:rPr>
        <w:t>‘Consultants’</w:t>
      </w:r>
      <w:r>
        <w:rPr>
          <w:spacing w:val="-19"/>
          <w:sz w:val="22"/>
        </w:rPr>
        <w:t> </w:t>
      </w:r>
      <w:r>
        <w:rPr>
          <w:sz w:val="22"/>
        </w:rPr>
        <w:t>by</w:t>
      </w:r>
      <w:r>
        <w:rPr>
          <w:spacing w:val="-17"/>
          <w:sz w:val="22"/>
        </w:rPr>
        <w:t> </w:t>
      </w:r>
      <w:r>
        <w:rPr>
          <w:sz w:val="22"/>
        </w:rPr>
        <w:t>the</w:t>
      </w:r>
      <w:r>
        <w:rPr>
          <w:spacing w:val="-17"/>
          <w:sz w:val="22"/>
        </w:rPr>
        <w:t> </w:t>
      </w:r>
      <w:r>
        <w:rPr>
          <w:sz w:val="22"/>
        </w:rPr>
        <w:t>Instructing</w:t>
      </w:r>
      <w:r>
        <w:rPr>
          <w:spacing w:val="-16"/>
          <w:sz w:val="22"/>
        </w:rPr>
        <w:t> </w:t>
      </w:r>
      <w:r>
        <w:rPr>
          <w:sz w:val="22"/>
        </w:rPr>
        <w:t>Party.</w:t>
      </w:r>
    </w:p>
    <w:p>
      <w:pPr>
        <w:pStyle w:val="BodyText"/>
        <w:spacing w:before="11"/>
        <w:rPr>
          <w:sz w:val="20"/>
        </w:rPr>
      </w:pPr>
    </w:p>
    <w:p>
      <w:pPr>
        <w:pStyle w:val="ListParagraph"/>
        <w:numPr>
          <w:ilvl w:val="2"/>
          <w:numId w:val="15"/>
        </w:numPr>
        <w:tabs>
          <w:tab w:pos="1548" w:val="left" w:leader="none"/>
        </w:tabs>
        <w:spacing w:line="321" w:lineRule="auto" w:before="0" w:after="0"/>
        <w:ind w:left="1547" w:right="643" w:hanging="360"/>
        <w:jc w:val="both"/>
        <w:rPr>
          <w:sz w:val="22"/>
        </w:rPr>
      </w:pPr>
      <w:r>
        <w:rPr>
          <w:sz w:val="22"/>
        </w:rPr>
        <w:t>The</w:t>
      </w:r>
      <w:r>
        <w:rPr>
          <w:spacing w:val="-26"/>
          <w:sz w:val="22"/>
        </w:rPr>
        <w:t> </w:t>
      </w:r>
      <w:r>
        <w:rPr>
          <w:sz w:val="22"/>
        </w:rPr>
        <w:t>Consultants’</w:t>
      </w:r>
      <w:r>
        <w:rPr>
          <w:spacing w:val="-25"/>
          <w:sz w:val="22"/>
        </w:rPr>
        <w:t> </w:t>
      </w:r>
      <w:r>
        <w:rPr>
          <w:sz w:val="22"/>
        </w:rPr>
        <w:t>maximum</w:t>
      </w:r>
      <w:r>
        <w:rPr>
          <w:spacing w:val="-25"/>
          <w:sz w:val="22"/>
        </w:rPr>
        <w:t> </w:t>
      </w:r>
      <w:r>
        <w:rPr>
          <w:sz w:val="22"/>
        </w:rPr>
        <w:t>aggregate</w:t>
      </w:r>
      <w:r>
        <w:rPr>
          <w:spacing w:val="-25"/>
          <w:sz w:val="22"/>
        </w:rPr>
        <w:t> </w:t>
      </w:r>
      <w:r>
        <w:rPr>
          <w:sz w:val="22"/>
        </w:rPr>
        <w:t>liability</w:t>
      </w:r>
      <w:r>
        <w:rPr>
          <w:spacing w:val="-24"/>
          <w:sz w:val="22"/>
        </w:rPr>
        <w:t> </w:t>
      </w:r>
      <w:r>
        <w:rPr>
          <w:sz w:val="22"/>
        </w:rPr>
        <w:t>for</w:t>
      </w:r>
      <w:r>
        <w:rPr>
          <w:spacing w:val="-25"/>
          <w:sz w:val="22"/>
        </w:rPr>
        <w:t> </w:t>
      </w:r>
      <w:r>
        <w:rPr>
          <w:sz w:val="22"/>
        </w:rPr>
        <w:t>claims</w:t>
      </w:r>
      <w:r>
        <w:rPr>
          <w:spacing w:val="-24"/>
          <w:sz w:val="22"/>
        </w:rPr>
        <w:t> </w:t>
      </w:r>
      <w:r>
        <w:rPr>
          <w:sz w:val="22"/>
        </w:rPr>
        <w:t>arising</w:t>
      </w:r>
      <w:r>
        <w:rPr>
          <w:spacing w:val="-25"/>
          <w:sz w:val="22"/>
        </w:rPr>
        <w:t> </w:t>
      </w:r>
      <w:r>
        <w:rPr>
          <w:sz w:val="22"/>
        </w:rPr>
        <w:t>out</w:t>
      </w:r>
      <w:r>
        <w:rPr>
          <w:spacing w:val="-24"/>
          <w:sz w:val="22"/>
        </w:rPr>
        <w:t> </w:t>
      </w:r>
      <w:r>
        <w:rPr>
          <w:sz w:val="22"/>
        </w:rPr>
        <w:t>of</w:t>
      </w:r>
      <w:r>
        <w:rPr>
          <w:spacing w:val="-24"/>
          <w:sz w:val="22"/>
        </w:rPr>
        <w:t> </w:t>
      </w:r>
      <w:r>
        <w:rPr>
          <w:sz w:val="22"/>
        </w:rPr>
        <w:t>or</w:t>
      </w:r>
      <w:r>
        <w:rPr>
          <w:spacing w:val="-26"/>
          <w:sz w:val="22"/>
        </w:rPr>
        <w:t> </w:t>
      </w:r>
      <w:r>
        <w:rPr>
          <w:sz w:val="22"/>
        </w:rPr>
        <w:t>in</w:t>
      </w:r>
      <w:r>
        <w:rPr>
          <w:spacing w:val="-25"/>
          <w:sz w:val="22"/>
        </w:rPr>
        <w:t> </w:t>
      </w:r>
      <w:r>
        <w:rPr>
          <w:sz w:val="22"/>
        </w:rPr>
        <w:t>connection</w:t>
      </w:r>
      <w:r>
        <w:rPr>
          <w:spacing w:val="-23"/>
          <w:sz w:val="22"/>
        </w:rPr>
        <w:t> </w:t>
      </w:r>
      <w:r>
        <w:rPr>
          <w:sz w:val="22"/>
        </w:rPr>
        <w:t>with</w:t>
      </w:r>
      <w:r>
        <w:rPr>
          <w:spacing w:val="-26"/>
          <w:sz w:val="22"/>
        </w:rPr>
        <w:t> </w:t>
      </w:r>
      <w:r>
        <w:rPr>
          <w:sz w:val="22"/>
        </w:rPr>
        <w:t>the Valuation</w:t>
      </w:r>
      <w:r>
        <w:rPr>
          <w:spacing w:val="-11"/>
          <w:sz w:val="22"/>
        </w:rPr>
        <w:t> </w:t>
      </w:r>
      <w:r>
        <w:rPr>
          <w:sz w:val="22"/>
        </w:rPr>
        <w:t>Report,</w:t>
      </w:r>
      <w:r>
        <w:rPr>
          <w:spacing w:val="-9"/>
          <w:sz w:val="22"/>
        </w:rPr>
        <w:t> </w:t>
      </w:r>
      <w:r>
        <w:rPr>
          <w:sz w:val="22"/>
        </w:rPr>
        <w:t>under</w:t>
      </w:r>
      <w:r>
        <w:rPr>
          <w:spacing w:val="-10"/>
          <w:sz w:val="22"/>
        </w:rPr>
        <w:t> </w:t>
      </w:r>
      <w:r>
        <w:rPr>
          <w:sz w:val="22"/>
        </w:rPr>
        <w:t>this</w:t>
      </w:r>
      <w:r>
        <w:rPr>
          <w:spacing w:val="-8"/>
          <w:sz w:val="22"/>
        </w:rPr>
        <w:t> </w:t>
      </w:r>
      <w:r>
        <w:rPr>
          <w:sz w:val="22"/>
        </w:rPr>
        <w:t>contract</w:t>
      </w:r>
      <w:r>
        <w:rPr>
          <w:spacing w:val="-10"/>
          <w:sz w:val="22"/>
        </w:rPr>
        <w:t> </w:t>
      </w:r>
      <w:r>
        <w:rPr>
          <w:sz w:val="22"/>
        </w:rPr>
        <w:t>shall</w:t>
      </w:r>
      <w:r>
        <w:rPr>
          <w:spacing w:val="-10"/>
          <w:sz w:val="22"/>
        </w:rPr>
        <w:t> </w:t>
      </w:r>
      <w:r>
        <w:rPr>
          <w:sz w:val="22"/>
        </w:rPr>
        <w:t>not</w:t>
      </w:r>
      <w:r>
        <w:rPr>
          <w:spacing w:val="-9"/>
          <w:sz w:val="22"/>
        </w:rPr>
        <w:t> </w:t>
      </w:r>
      <w:r>
        <w:rPr>
          <w:sz w:val="22"/>
        </w:rPr>
        <w:t>exceed</w:t>
      </w:r>
      <w:r>
        <w:rPr>
          <w:spacing w:val="-8"/>
          <w:sz w:val="22"/>
        </w:rPr>
        <w:t> </w:t>
      </w:r>
      <w:r>
        <w:rPr>
          <w:sz w:val="22"/>
        </w:rPr>
        <w:t>Indian</w:t>
      </w:r>
      <w:r>
        <w:rPr>
          <w:spacing w:val="-10"/>
          <w:sz w:val="22"/>
        </w:rPr>
        <w:t> </w:t>
      </w:r>
      <w:r>
        <w:rPr>
          <w:sz w:val="22"/>
        </w:rPr>
        <w:t>Rupees</w:t>
      </w:r>
      <w:r>
        <w:rPr>
          <w:spacing w:val="-6"/>
          <w:sz w:val="22"/>
        </w:rPr>
        <w:t> </w:t>
      </w:r>
      <w:r>
        <w:rPr>
          <w:sz w:val="22"/>
        </w:rPr>
        <w:t>30</w:t>
      </w:r>
      <w:r>
        <w:rPr>
          <w:spacing w:val="-9"/>
          <w:sz w:val="22"/>
        </w:rPr>
        <w:t> </w:t>
      </w:r>
      <w:r>
        <w:rPr>
          <w:sz w:val="22"/>
        </w:rPr>
        <w:t>mn.</w:t>
      </w:r>
    </w:p>
    <w:p>
      <w:pPr>
        <w:pStyle w:val="BodyText"/>
        <w:spacing w:before="10"/>
        <w:rPr>
          <w:sz w:val="20"/>
        </w:rPr>
      </w:pPr>
    </w:p>
    <w:p>
      <w:pPr>
        <w:pStyle w:val="ListParagraph"/>
        <w:numPr>
          <w:ilvl w:val="2"/>
          <w:numId w:val="15"/>
        </w:numPr>
        <w:tabs>
          <w:tab w:pos="1548" w:val="left" w:leader="none"/>
        </w:tabs>
        <w:spacing w:line="321" w:lineRule="auto" w:before="0" w:after="0"/>
        <w:ind w:left="1547" w:right="632" w:hanging="360"/>
        <w:jc w:val="both"/>
        <w:rPr>
          <w:sz w:val="22"/>
        </w:rPr>
      </w:pPr>
      <w:r>
        <w:rPr>
          <w:sz w:val="22"/>
        </w:rPr>
        <w:t>In the event that any of the Sponsor, Manager, Trustee, Embassy REIT in connection with the report</w:t>
      </w:r>
      <w:r>
        <w:rPr>
          <w:spacing w:val="-30"/>
          <w:sz w:val="22"/>
        </w:rPr>
        <w:t> </w:t>
      </w:r>
      <w:r>
        <w:rPr>
          <w:sz w:val="22"/>
        </w:rPr>
        <w:t>be</w:t>
      </w:r>
      <w:r>
        <w:rPr>
          <w:spacing w:val="-32"/>
          <w:sz w:val="22"/>
        </w:rPr>
        <w:t> </w:t>
      </w:r>
      <w:r>
        <w:rPr>
          <w:sz w:val="22"/>
        </w:rPr>
        <w:t>subject</w:t>
      </w:r>
      <w:r>
        <w:rPr>
          <w:spacing w:val="-31"/>
          <w:sz w:val="22"/>
        </w:rPr>
        <w:t> </w:t>
      </w:r>
      <w:r>
        <w:rPr>
          <w:sz w:val="22"/>
        </w:rPr>
        <w:t>to</w:t>
      </w:r>
      <w:r>
        <w:rPr>
          <w:spacing w:val="-30"/>
          <w:sz w:val="22"/>
        </w:rPr>
        <w:t> </w:t>
      </w:r>
      <w:r>
        <w:rPr>
          <w:sz w:val="22"/>
        </w:rPr>
        <w:t>any</w:t>
      </w:r>
      <w:r>
        <w:rPr>
          <w:spacing w:val="-31"/>
          <w:sz w:val="22"/>
        </w:rPr>
        <w:t> </w:t>
      </w:r>
      <w:r>
        <w:rPr>
          <w:sz w:val="22"/>
        </w:rPr>
        <w:t>claim</w:t>
      </w:r>
      <w:r>
        <w:rPr>
          <w:spacing w:val="-31"/>
          <w:sz w:val="22"/>
        </w:rPr>
        <w:t> </w:t>
      </w:r>
      <w:r>
        <w:rPr>
          <w:sz w:val="22"/>
        </w:rPr>
        <w:t>(“Claim</w:t>
      </w:r>
      <w:r>
        <w:rPr>
          <w:spacing w:val="-32"/>
          <w:sz w:val="22"/>
        </w:rPr>
        <w:t> </w:t>
      </w:r>
      <w:r>
        <w:rPr>
          <w:sz w:val="22"/>
        </w:rPr>
        <w:t>Parties”)</w:t>
      </w:r>
      <w:r>
        <w:rPr>
          <w:spacing w:val="-29"/>
          <w:sz w:val="22"/>
        </w:rPr>
        <w:t> </w:t>
      </w:r>
      <w:r>
        <w:rPr>
          <w:sz w:val="22"/>
        </w:rPr>
        <w:t>in</w:t>
      </w:r>
      <w:r>
        <w:rPr>
          <w:spacing w:val="-33"/>
          <w:sz w:val="22"/>
        </w:rPr>
        <w:t> </w:t>
      </w:r>
      <w:r>
        <w:rPr>
          <w:sz w:val="22"/>
        </w:rPr>
        <w:t>connection</w:t>
      </w:r>
      <w:r>
        <w:rPr>
          <w:spacing w:val="-30"/>
          <w:sz w:val="22"/>
        </w:rPr>
        <w:t> </w:t>
      </w:r>
      <w:r>
        <w:rPr>
          <w:sz w:val="22"/>
        </w:rPr>
        <w:t>with,</w:t>
      </w:r>
      <w:r>
        <w:rPr>
          <w:spacing w:val="-30"/>
          <w:sz w:val="22"/>
        </w:rPr>
        <w:t> </w:t>
      </w:r>
      <w:r>
        <w:rPr>
          <w:sz w:val="22"/>
        </w:rPr>
        <w:t>arising</w:t>
      </w:r>
      <w:r>
        <w:rPr>
          <w:spacing w:val="-32"/>
          <w:sz w:val="22"/>
        </w:rPr>
        <w:t> </w:t>
      </w:r>
      <w:r>
        <w:rPr>
          <w:sz w:val="22"/>
        </w:rPr>
        <w:t>out</w:t>
      </w:r>
      <w:r>
        <w:rPr>
          <w:spacing w:val="-29"/>
          <w:sz w:val="22"/>
        </w:rPr>
        <w:t> </w:t>
      </w:r>
      <w:r>
        <w:rPr>
          <w:sz w:val="22"/>
        </w:rPr>
        <w:t>of</w:t>
      </w:r>
      <w:r>
        <w:rPr>
          <w:spacing w:val="-30"/>
          <w:sz w:val="22"/>
        </w:rPr>
        <w:t> </w:t>
      </w:r>
      <w:r>
        <w:rPr>
          <w:sz w:val="22"/>
        </w:rPr>
        <w:t>or</w:t>
      </w:r>
      <w:r>
        <w:rPr>
          <w:spacing w:val="-31"/>
          <w:sz w:val="22"/>
        </w:rPr>
        <w:t> </w:t>
      </w:r>
      <w:r>
        <w:rPr>
          <w:sz w:val="22"/>
        </w:rPr>
        <w:t>attributable to</w:t>
      </w:r>
      <w:r>
        <w:rPr>
          <w:spacing w:val="-11"/>
          <w:sz w:val="22"/>
        </w:rPr>
        <w:t> </w:t>
      </w:r>
      <w:r>
        <w:rPr>
          <w:sz w:val="22"/>
        </w:rPr>
        <w:t>the</w:t>
      </w:r>
      <w:r>
        <w:rPr>
          <w:spacing w:val="-9"/>
          <w:sz w:val="22"/>
        </w:rPr>
        <w:t> </w:t>
      </w:r>
      <w:r>
        <w:rPr>
          <w:sz w:val="22"/>
        </w:rPr>
        <w:t>Valuation</w:t>
      </w:r>
      <w:r>
        <w:rPr>
          <w:spacing w:val="-9"/>
          <w:sz w:val="22"/>
        </w:rPr>
        <w:t> </w:t>
      </w:r>
      <w:r>
        <w:rPr>
          <w:sz w:val="22"/>
        </w:rPr>
        <w:t>Report,</w:t>
      </w:r>
      <w:r>
        <w:rPr>
          <w:spacing w:val="-9"/>
          <w:sz w:val="22"/>
        </w:rPr>
        <w:t> </w:t>
      </w:r>
      <w:r>
        <w:rPr>
          <w:sz w:val="22"/>
        </w:rPr>
        <w:t>the</w:t>
      </w:r>
      <w:r>
        <w:rPr>
          <w:spacing w:val="-9"/>
          <w:sz w:val="22"/>
        </w:rPr>
        <w:t> </w:t>
      </w:r>
      <w:r>
        <w:rPr>
          <w:sz w:val="22"/>
        </w:rPr>
        <w:t>Claim</w:t>
      </w:r>
      <w:r>
        <w:rPr>
          <w:spacing w:val="-11"/>
          <w:sz w:val="22"/>
        </w:rPr>
        <w:t> </w:t>
      </w:r>
      <w:r>
        <w:rPr>
          <w:sz w:val="22"/>
        </w:rPr>
        <w:t>Parties</w:t>
      </w:r>
      <w:r>
        <w:rPr>
          <w:spacing w:val="-9"/>
          <w:sz w:val="22"/>
        </w:rPr>
        <w:t> </w:t>
      </w:r>
      <w:r>
        <w:rPr>
          <w:sz w:val="22"/>
        </w:rPr>
        <w:t>will</w:t>
      </w:r>
      <w:r>
        <w:rPr>
          <w:spacing w:val="-9"/>
          <w:sz w:val="22"/>
        </w:rPr>
        <w:t> </w:t>
      </w:r>
      <w:r>
        <w:rPr>
          <w:sz w:val="22"/>
        </w:rPr>
        <w:t>be</w:t>
      </w:r>
      <w:r>
        <w:rPr>
          <w:spacing w:val="-10"/>
          <w:sz w:val="22"/>
        </w:rPr>
        <w:t> </w:t>
      </w:r>
      <w:r>
        <w:rPr>
          <w:sz w:val="22"/>
        </w:rPr>
        <w:t>entitled</w:t>
      </w:r>
      <w:r>
        <w:rPr>
          <w:spacing w:val="-10"/>
          <w:sz w:val="22"/>
        </w:rPr>
        <w:t> </w:t>
      </w:r>
      <w:r>
        <w:rPr>
          <w:sz w:val="22"/>
        </w:rPr>
        <w:t>to</w:t>
      </w:r>
      <w:r>
        <w:rPr>
          <w:spacing w:val="-9"/>
          <w:sz w:val="22"/>
        </w:rPr>
        <w:t> </w:t>
      </w:r>
      <w:r>
        <w:rPr>
          <w:sz w:val="22"/>
        </w:rPr>
        <w:t>require</w:t>
      </w:r>
      <w:r>
        <w:rPr>
          <w:spacing w:val="-8"/>
          <w:sz w:val="22"/>
        </w:rPr>
        <w:t> </w:t>
      </w:r>
      <w:r>
        <w:rPr>
          <w:sz w:val="22"/>
        </w:rPr>
        <w:t>the</w:t>
      </w:r>
      <w:r>
        <w:rPr>
          <w:spacing w:val="-11"/>
          <w:sz w:val="22"/>
        </w:rPr>
        <w:t> </w:t>
      </w:r>
      <w:r>
        <w:rPr>
          <w:sz w:val="22"/>
        </w:rPr>
        <w:t>‘Consultants’</w:t>
      </w:r>
      <w:r>
        <w:rPr>
          <w:spacing w:val="-8"/>
          <w:sz w:val="22"/>
        </w:rPr>
        <w:t> </w:t>
      </w:r>
      <w:r>
        <w:rPr>
          <w:sz w:val="22"/>
        </w:rPr>
        <w:t>to</w:t>
      </w:r>
      <w:r>
        <w:rPr>
          <w:spacing w:val="-11"/>
          <w:sz w:val="22"/>
        </w:rPr>
        <w:t> </w:t>
      </w:r>
      <w:r>
        <w:rPr>
          <w:sz w:val="22"/>
        </w:rPr>
        <w:t>be</w:t>
      </w:r>
      <w:r>
        <w:rPr>
          <w:spacing w:val="-11"/>
          <w:sz w:val="22"/>
        </w:rPr>
        <w:t> </w:t>
      </w:r>
      <w:r>
        <w:rPr>
          <w:sz w:val="22"/>
        </w:rPr>
        <w:t>a necessary</w:t>
      </w:r>
      <w:r>
        <w:rPr>
          <w:spacing w:val="-41"/>
          <w:sz w:val="22"/>
        </w:rPr>
        <w:t> </w:t>
      </w:r>
      <w:r>
        <w:rPr>
          <w:sz w:val="22"/>
        </w:rPr>
        <w:t>party/</w:t>
      </w:r>
      <w:r>
        <w:rPr>
          <w:spacing w:val="-41"/>
          <w:sz w:val="22"/>
        </w:rPr>
        <w:t> </w:t>
      </w:r>
      <w:r>
        <w:rPr>
          <w:sz w:val="22"/>
        </w:rPr>
        <w:t>respondent</w:t>
      </w:r>
      <w:r>
        <w:rPr>
          <w:spacing w:val="-41"/>
          <w:sz w:val="22"/>
        </w:rPr>
        <w:t> </w:t>
      </w:r>
      <w:r>
        <w:rPr>
          <w:sz w:val="22"/>
        </w:rPr>
        <w:t>to</w:t>
      </w:r>
      <w:r>
        <w:rPr>
          <w:spacing w:val="-41"/>
          <w:sz w:val="22"/>
        </w:rPr>
        <w:t> </w:t>
      </w:r>
      <w:r>
        <w:rPr>
          <w:sz w:val="22"/>
        </w:rPr>
        <w:t>such</w:t>
      </w:r>
      <w:r>
        <w:rPr>
          <w:spacing w:val="-41"/>
          <w:sz w:val="22"/>
        </w:rPr>
        <w:t> </w:t>
      </w:r>
      <w:r>
        <w:rPr>
          <w:sz w:val="22"/>
        </w:rPr>
        <w:t>claim</w:t>
      </w:r>
      <w:r>
        <w:rPr>
          <w:spacing w:val="-41"/>
          <w:sz w:val="22"/>
        </w:rPr>
        <w:t> </w:t>
      </w:r>
      <w:r>
        <w:rPr>
          <w:sz w:val="22"/>
        </w:rPr>
        <w:t>and</w:t>
      </w:r>
      <w:r>
        <w:rPr>
          <w:spacing w:val="-41"/>
          <w:sz w:val="22"/>
        </w:rPr>
        <w:t> </w:t>
      </w:r>
      <w:r>
        <w:rPr>
          <w:sz w:val="22"/>
        </w:rPr>
        <w:t>the</w:t>
      </w:r>
      <w:r>
        <w:rPr>
          <w:spacing w:val="-40"/>
          <w:sz w:val="22"/>
        </w:rPr>
        <w:t> </w:t>
      </w:r>
      <w:r>
        <w:rPr>
          <w:sz w:val="22"/>
        </w:rPr>
        <w:t>‘Consultants’</w:t>
      </w:r>
      <w:r>
        <w:rPr>
          <w:spacing w:val="-41"/>
          <w:sz w:val="22"/>
        </w:rPr>
        <w:t> </w:t>
      </w:r>
      <w:r>
        <w:rPr>
          <w:sz w:val="22"/>
        </w:rPr>
        <w:t>shall</w:t>
      </w:r>
      <w:r>
        <w:rPr>
          <w:spacing w:val="-42"/>
          <w:sz w:val="22"/>
        </w:rPr>
        <w:t> </w:t>
      </w:r>
      <w:r>
        <w:rPr>
          <w:sz w:val="22"/>
        </w:rPr>
        <w:t>not</w:t>
      </w:r>
      <w:r>
        <w:rPr>
          <w:spacing w:val="-41"/>
          <w:sz w:val="22"/>
        </w:rPr>
        <w:t> </w:t>
      </w:r>
      <w:r>
        <w:rPr>
          <w:sz w:val="22"/>
        </w:rPr>
        <w:t>object</w:t>
      </w:r>
      <w:r>
        <w:rPr>
          <w:spacing w:val="-41"/>
          <w:sz w:val="22"/>
        </w:rPr>
        <w:t> </w:t>
      </w:r>
      <w:r>
        <w:rPr>
          <w:sz w:val="22"/>
        </w:rPr>
        <w:t>to</w:t>
      </w:r>
      <w:r>
        <w:rPr>
          <w:spacing w:val="-40"/>
          <w:sz w:val="22"/>
        </w:rPr>
        <w:t> </w:t>
      </w:r>
      <w:r>
        <w:rPr>
          <w:sz w:val="22"/>
        </w:rPr>
        <w:t>their</w:t>
      </w:r>
      <w:r>
        <w:rPr>
          <w:spacing w:val="-41"/>
          <w:sz w:val="22"/>
        </w:rPr>
        <w:t> </w:t>
      </w:r>
      <w:r>
        <w:rPr>
          <w:sz w:val="22"/>
        </w:rPr>
        <w:t>inclusion as a necessary party/ respondent. If the ‘Consultants’ do not co-operate to be named as a necessary party/ respondent to such claims or co-operate in providing adequate/ successful defense</w:t>
      </w:r>
      <w:r>
        <w:rPr>
          <w:spacing w:val="-33"/>
          <w:sz w:val="22"/>
        </w:rPr>
        <w:t> </w:t>
      </w:r>
      <w:r>
        <w:rPr>
          <w:sz w:val="22"/>
        </w:rPr>
        <w:t>in</w:t>
      </w:r>
      <w:r>
        <w:rPr>
          <w:spacing w:val="-34"/>
          <w:sz w:val="22"/>
        </w:rPr>
        <w:t> </w:t>
      </w:r>
      <w:r>
        <w:rPr>
          <w:sz w:val="22"/>
        </w:rPr>
        <w:t>defending</w:t>
      </w:r>
      <w:r>
        <w:rPr>
          <w:spacing w:val="-33"/>
          <w:sz w:val="22"/>
        </w:rPr>
        <w:t> </w:t>
      </w:r>
      <w:r>
        <w:rPr>
          <w:sz w:val="22"/>
        </w:rPr>
        <w:t>such</w:t>
      </w:r>
      <w:r>
        <w:rPr>
          <w:spacing w:val="-32"/>
          <w:sz w:val="22"/>
        </w:rPr>
        <w:t> </w:t>
      </w:r>
      <w:r>
        <w:rPr>
          <w:sz w:val="22"/>
        </w:rPr>
        <w:t>claims,</w:t>
      </w:r>
      <w:r>
        <w:rPr>
          <w:spacing w:val="-32"/>
          <w:sz w:val="22"/>
        </w:rPr>
        <w:t> </w:t>
      </w:r>
      <w:r>
        <w:rPr>
          <w:sz w:val="22"/>
        </w:rPr>
        <w:t>the</w:t>
      </w:r>
      <w:r>
        <w:rPr>
          <w:spacing w:val="-32"/>
          <w:sz w:val="22"/>
        </w:rPr>
        <w:t> </w:t>
      </w:r>
      <w:r>
        <w:rPr>
          <w:sz w:val="22"/>
        </w:rPr>
        <w:t>Claim</w:t>
      </w:r>
      <w:r>
        <w:rPr>
          <w:spacing w:val="-34"/>
          <w:sz w:val="22"/>
        </w:rPr>
        <w:t> </w:t>
      </w:r>
      <w:r>
        <w:rPr>
          <w:sz w:val="22"/>
        </w:rPr>
        <w:t>Parties</w:t>
      </w:r>
      <w:r>
        <w:rPr>
          <w:spacing w:val="-31"/>
          <w:sz w:val="22"/>
        </w:rPr>
        <w:t> </w:t>
      </w:r>
      <w:r>
        <w:rPr>
          <w:sz w:val="22"/>
        </w:rPr>
        <w:t>jointly</w:t>
      </w:r>
      <w:r>
        <w:rPr>
          <w:spacing w:val="-31"/>
          <w:sz w:val="22"/>
        </w:rPr>
        <w:t> </w:t>
      </w:r>
      <w:r>
        <w:rPr>
          <w:sz w:val="22"/>
        </w:rPr>
        <w:t>or</w:t>
      </w:r>
      <w:r>
        <w:rPr>
          <w:spacing w:val="-34"/>
          <w:sz w:val="22"/>
        </w:rPr>
        <w:t> </w:t>
      </w:r>
      <w:r>
        <w:rPr>
          <w:sz w:val="22"/>
        </w:rPr>
        <w:t>severally</w:t>
      </w:r>
      <w:r>
        <w:rPr>
          <w:spacing w:val="-31"/>
          <w:sz w:val="22"/>
        </w:rPr>
        <w:t> </w:t>
      </w:r>
      <w:r>
        <w:rPr>
          <w:sz w:val="22"/>
        </w:rPr>
        <w:t>will</w:t>
      </w:r>
      <w:r>
        <w:rPr>
          <w:spacing w:val="-33"/>
          <w:sz w:val="22"/>
        </w:rPr>
        <w:t> </w:t>
      </w:r>
      <w:r>
        <w:rPr>
          <w:sz w:val="22"/>
        </w:rPr>
        <w:t>be</w:t>
      </w:r>
      <w:r>
        <w:rPr>
          <w:spacing w:val="-32"/>
          <w:sz w:val="22"/>
        </w:rPr>
        <w:t> </w:t>
      </w:r>
      <w:r>
        <w:rPr>
          <w:sz w:val="22"/>
        </w:rPr>
        <w:t>entitled</w:t>
      </w:r>
      <w:r>
        <w:rPr>
          <w:spacing w:val="-33"/>
          <w:sz w:val="22"/>
        </w:rPr>
        <w:t> </w:t>
      </w:r>
      <w:r>
        <w:rPr>
          <w:sz w:val="22"/>
        </w:rPr>
        <w:t>to</w:t>
      </w:r>
      <w:r>
        <w:rPr>
          <w:spacing w:val="-32"/>
          <w:sz w:val="22"/>
        </w:rPr>
        <w:t> </w:t>
      </w:r>
      <w:r>
        <w:rPr>
          <w:sz w:val="22"/>
        </w:rPr>
        <w:t>initiate a</w:t>
      </w:r>
      <w:r>
        <w:rPr>
          <w:spacing w:val="-41"/>
          <w:sz w:val="22"/>
        </w:rPr>
        <w:t> </w:t>
      </w:r>
      <w:r>
        <w:rPr>
          <w:sz w:val="22"/>
        </w:rPr>
        <w:t>separate</w:t>
      </w:r>
      <w:r>
        <w:rPr>
          <w:spacing w:val="-40"/>
          <w:sz w:val="22"/>
        </w:rPr>
        <w:t> </w:t>
      </w:r>
      <w:r>
        <w:rPr>
          <w:sz w:val="22"/>
        </w:rPr>
        <w:t>claim</w:t>
      </w:r>
      <w:r>
        <w:rPr>
          <w:spacing w:val="-41"/>
          <w:sz w:val="22"/>
        </w:rPr>
        <w:t> </w:t>
      </w:r>
      <w:r>
        <w:rPr>
          <w:sz w:val="22"/>
        </w:rPr>
        <w:t>against</w:t>
      </w:r>
      <w:r>
        <w:rPr>
          <w:spacing w:val="-40"/>
          <w:sz w:val="22"/>
        </w:rPr>
        <w:t> </w:t>
      </w:r>
      <w:r>
        <w:rPr>
          <w:sz w:val="22"/>
        </w:rPr>
        <w:t>the</w:t>
      </w:r>
      <w:r>
        <w:rPr>
          <w:spacing w:val="-41"/>
          <w:sz w:val="22"/>
        </w:rPr>
        <w:t> </w:t>
      </w:r>
      <w:r>
        <w:rPr>
          <w:sz w:val="22"/>
        </w:rPr>
        <w:t>‘Consultants’</w:t>
      </w:r>
      <w:r>
        <w:rPr>
          <w:spacing w:val="-40"/>
          <w:sz w:val="22"/>
        </w:rPr>
        <w:t> </w:t>
      </w:r>
      <w:r>
        <w:rPr>
          <w:sz w:val="22"/>
        </w:rPr>
        <w:t>in</w:t>
      </w:r>
      <w:r>
        <w:rPr>
          <w:spacing w:val="-41"/>
          <w:sz w:val="22"/>
        </w:rPr>
        <w:t> </w:t>
      </w:r>
      <w:r>
        <w:rPr>
          <w:sz w:val="22"/>
        </w:rPr>
        <w:t>this</w:t>
      </w:r>
      <w:r>
        <w:rPr>
          <w:spacing w:val="-39"/>
          <w:sz w:val="22"/>
        </w:rPr>
        <w:t> </w:t>
      </w:r>
      <w:r>
        <w:rPr>
          <w:sz w:val="22"/>
        </w:rPr>
        <w:t>regard</w:t>
      </w:r>
      <w:r>
        <w:rPr>
          <w:spacing w:val="-40"/>
          <w:sz w:val="22"/>
        </w:rPr>
        <w:t> </w:t>
      </w:r>
      <w:r>
        <w:rPr>
          <w:sz w:val="22"/>
        </w:rPr>
        <w:t>and</w:t>
      </w:r>
      <w:r>
        <w:rPr>
          <w:spacing w:val="-40"/>
          <w:sz w:val="22"/>
        </w:rPr>
        <w:t> </w:t>
      </w:r>
      <w:r>
        <w:rPr>
          <w:sz w:val="22"/>
        </w:rPr>
        <w:t>the</w:t>
      </w:r>
      <w:r>
        <w:rPr>
          <w:spacing w:val="-41"/>
          <w:sz w:val="22"/>
        </w:rPr>
        <w:t> </w:t>
      </w:r>
      <w:r>
        <w:rPr>
          <w:sz w:val="22"/>
        </w:rPr>
        <w:t>Consultants’</w:t>
      </w:r>
      <w:r>
        <w:rPr>
          <w:spacing w:val="-40"/>
          <w:sz w:val="22"/>
        </w:rPr>
        <w:t> </w:t>
      </w:r>
      <w:r>
        <w:rPr>
          <w:sz w:val="22"/>
        </w:rPr>
        <w:t>liability</w:t>
      </w:r>
      <w:r>
        <w:rPr>
          <w:spacing w:val="-37"/>
          <w:sz w:val="22"/>
        </w:rPr>
        <w:t> </w:t>
      </w:r>
      <w:r>
        <w:rPr>
          <w:sz w:val="22"/>
        </w:rPr>
        <w:t>shall</w:t>
      </w:r>
      <w:r>
        <w:rPr>
          <w:spacing w:val="-41"/>
          <w:sz w:val="22"/>
        </w:rPr>
        <w:t> </w:t>
      </w:r>
      <w:r>
        <w:rPr>
          <w:sz w:val="22"/>
        </w:rPr>
        <w:t>extend to</w:t>
      </w:r>
      <w:r>
        <w:rPr>
          <w:spacing w:val="-27"/>
          <w:sz w:val="22"/>
        </w:rPr>
        <w:t> </w:t>
      </w:r>
      <w:r>
        <w:rPr>
          <w:sz w:val="22"/>
        </w:rPr>
        <w:t>the</w:t>
      </w:r>
      <w:r>
        <w:rPr>
          <w:spacing w:val="-27"/>
          <w:sz w:val="22"/>
        </w:rPr>
        <w:t> </w:t>
      </w:r>
      <w:r>
        <w:rPr>
          <w:sz w:val="22"/>
        </w:rPr>
        <w:t>value</w:t>
      </w:r>
      <w:r>
        <w:rPr>
          <w:spacing w:val="-27"/>
          <w:sz w:val="22"/>
        </w:rPr>
        <w:t> </w:t>
      </w:r>
      <w:r>
        <w:rPr>
          <w:sz w:val="22"/>
        </w:rPr>
        <w:t>of</w:t>
      </w:r>
      <w:r>
        <w:rPr>
          <w:spacing w:val="-26"/>
          <w:sz w:val="22"/>
        </w:rPr>
        <w:t> </w:t>
      </w:r>
      <w:r>
        <w:rPr>
          <w:sz w:val="22"/>
        </w:rPr>
        <w:t>the</w:t>
      </w:r>
      <w:r>
        <w:rPr>
          <w:spacing w:val="-27"/>
          <w:sz w:val="22"/>
        </w:rPr>
        <w:t> </w:t>
      </w:r>
      <w:r>
        <w:rPr>
          <w:sz w:val="22"/>
        </w:rPr>
        <w:t>claims,</w:t>
      </w:r>
      <w:r>
        <w:rPr>
          <w:spacing w:val="-27"/>
          <w:sz w:val="22"/>
        </w:rPr>
        <w:t> </w:t>
      </w:r>
      <w:r>
        <w:rPr>
          <w:sz w:val="22"/>
        </w:rPr>
        <w:t>losses,</w:t>
      </w:r>
      <w:r>
        <w:rPr>
          <w:spacing w:val="-29"/>
          <w:sz w:val="22"/>
        </w:rPr>
        <w:t> </w:t>
      </w:r>
      <w:r>
        <w:rPr>
          <w:sz w:val="22"/>
        </w:rPr>
        <w:t>penalties,</w:t>
      </w:r>
      <w:r>
        <w:rPr>
          <w:spacing w:val="-27"/>
          <w:sz w:val="22"/>
        </w:rPr>
        <w:t> </w:t>
      </w:r>
      <w:r>
        <w:rPr>
          <w:sz w:val="22"/>
        </w:rPr>
        <w:t>costs</w:t>
      </w:r>
      <w:r>
        <w:rPr>
          <w:spacing w:val="-25"/>
          <w:sz w:val="22"/>
        </w:rPr>
        <w:t> </w:t>
      </w:r>
      <w:r>
        <w:rPr>
          <w:sz w:val="22"/>
        </w:rPr>
        <w:t>and</w:t>
      </w:r>
      <w:r>
        <w:rPr>
          <w:spacing w:val="-27"/>
          <w:sz w:val="22"/>
        </w:rPr>
        <w:t> </w:t>
      </w:r>
      <w:r>
        <w:rPr>
          <w:sz w:val="22"/>
        </w:rPr>
        <w:t>liabilities</w:t>
      </w:r>
      <w:r>
        <w:rPr>
          <w:spacing w:val="-26"/>
          <w:sz w:val="22"/>
        </w:rPr>
        <w:t> </w:t>
      </w:r>
      <w:r>
        <w:rPr>
          <w:sz w:val="22"/>
        </w:rPr>
        <w:t>incurred</w:t>
      </w:r>
      <w:r>
        <w:rPr>
          <w:spacing w:val="-26"/>
          <w:sz w:val="22"/>
        </w:rPr>
        <w:t> </w:t>
      </w:r>
      <w:r>
        <w:rPr>
          <w:sz w:val="22"/>
        </w:rPr>
        <w:t>by</w:t>
      </w:r>
      <w:r>
        <w:rPr>
          <w:spacing w:val="-26"/>
          <w:sz w:val="22"/>
        </w:rPr>
        <w:t> </w:t>
      </w:r>
      <w:r>
        <w:rPr>
          <w:sz w:val="22"/>
        </w:rPr>
        <w:t>the</w:t>
      </w:r>
      <w:r>
        <w:rPr>
          <w:spacing w:val="-27"/>
          <w:sz w:val="22"/>
        </w:rPr>
        <w:t> </w:t>
      </w:r>
      <w:r>
        <w:rPr>
          <w:sz w:val="22"/>
        </w:rPr>
        <w:t>Claim</w:t>
      </w:r>
      <w:r>
        <w:rPr>
          <w:spacing w:val="-27"/>
          <w:sz w:val="22"/>
        </w:rPr>
        <w:t> </w:t>
      </w:r>
      <w:r>
        <w:rPr>
          <w:sz w:val="22"/>
        </w:rPr>
        <w:t>Parties.</w:t>
      </w:r>
    </w:p>
    <w:p>
      <w:pPr>
        <w:pStyle w:val="BodyText"/>
        <w:spacing w:before="2"/>
        <w:rPr>
          <w:sz w:val="21"/>
        </w:rPr>
      </w:pPr>
    </w:p>
    <w:p>
      <w:pPr>
        <w:pStyle w:val="ListParagraph"/>
        <w:numPr>
          <w:ilvl w:val="2"/>
          <w:numId w:val="15"/>
        </w:numPr>
        <w:tabs>
          <w:tab w:pos="1548" w:val="left" w:leader="none"/>
        </w:tabs>
        <w:spacing w:line="321" w:lineRule="auto" w:before="0" w:after="0"/>
        <w:ind w:left="1547" w:right="637" w:hanging="360"/>
        <w:jc w:val="both"/>
        <w:rPr>
          <w:sz w:val="22"/>
        </w:rPr>
      </w:pPr>
      <w:r>
        <w:rPr>
          <w:sz w:val="22"/>
        </w:rPr>
        <w:t>The</w:t>
      </w:r>
      <w:r>
        <w:rPr>
          <w:spacing w:val="-40"/>
          <w:sz w:val="22"/>
        </w:rPr>
        <w:t> </w:t>
      </w:r>
      <w:r>
        <w:rPr>
          <w:sz w:val="22"/>
        </w:rPr>
        <w:t>Consultants</w:t>
      </w:r>
      <w:r>
        <w:rPr>
          <w:spacing w:val="-40"/>
          <w:sz w:val="22"/>
        </w:rPr>
        <w:t> </w:t>
      </w:r>
      <w:r>
        <w:rPr>
          <w:sz w:val="22"/>
        </w:rPr>
        <w:t>will</w:t>
      </w:r>
      <w:r>
        <w:rPr>
          <w:spacing w:val="-39"/>
          <w:sz w:val="22"/>
        </w:rPr>
        <w:t> </w:t>
      </w:r>
      <w:r>
        <w:rPr>
          <w:sz w:val="22"/>
        </w:rPr>
        <w:t>neither</w:t>
      </w:r>
      <w:r>
        <w:rPr>
          <w:spacing w:val="-40"/>
          <w:sz w:val="22"/>
        </w:rPr>
        <w:t> </w:t>
      </w:r>
      <w:r>
        <w:rPr>
          <w:sz w:val="22"/>
        </w:rPr>
        <w:t>be</w:t>
      </w:r>
      <w:r>
        <w:rPr>
          <w:spacing w:val="-39"/>
          <w:sz w:val="22"/>
        </w:rPr>
        <w:t> </w:t>
      </w:r>
      <w:r>
        <w:rPr>
          <w:sz w:val="22"/>
        </w:rPr>
        <w:t>responsible</w:t>
      </w:r>
      <w:r>
        <w:rPr>
          <w:spacing w:val="-40"/>
          <w:sz w:val="22"/>
        </w:rPr>
        <w:t> </w:t>
      </w:r>
      <w:r>
        <w:rPr>
          <w:sz w:val="22"/>
        </w:rPr>
        <w:t>for</w:t>
      </w:r>
      <w:r>
        <w:rPr>
          <w:spacing w:val="-40"/>
          <w:sz w:val="22"/>
        </w:rPr>
        <w:t> </w:t>
      </w:r>
      <w:r>
        <w:rPr>
          <w:sz w:val="22"/>
        </w:rPr>
        <w:t>any</w:t>
      </w:r>
      <w:r>
        <w:rPr>
          <w:spacing w:val="-40"/>
          <w:sz w:val="22"/>
        </w:rPr>
        <w:t> </w:t>
      </w:r>
      <w:r>
        <w:rPr>
          <w:sz w:val="22"/>
        </w:rPr>
        <w:t>legal</w:t>
      </w:r>
      <w:r>
        <w:rPr>
          <w:spacing w:val="-40"/>
          <w:sz w:val="22"/>
        </w:rPr>
        <w:t> </w:t>
      </w:r>
      <w:r>
        <w:rPr>
          <w:sz w:val="22"/>
        </w:rPr>
        <w:t>due</w:t>
      </w:r>
      <w:r>
        <w:rPr>
          <w:spacing w:val="-40"/>
          <w:sz w:val="22"/>
        </w:rPr>
        <w:t> </w:t>
      </w:r>
      <w:r>
        <w:rPr>
          <w:sz w:val="22"/>
        </w:rPr>
        <w:t>diligence,</w:t>
      </w:r>
      <w:r>
        <w:rPr>
          <w:spacing w:val="-40"/>
          <w:sz w:val="22"/>
        </w:rPr>
        <w:t> </w:t>
      </w:r>
      <w:r>
        <w:rPr>
          <w:sz w:val="22"/>
        </w:rPr>
        <w:t>title</w:t>
      </w:r>
      <w:r>
        <w:rPr>
          <w:spacing w:val="-39"/>
          <w:sz w:val="22"/>
        </w:rPr>
        <w:t> </w:t>
      </w:r>
      <w:r>
        <w:rPr>
          <w:sz w:val="22"/>
        </w:rPr>
        <w:t>search,</w:t>
      </w:r>
      <w:r>
        <w:rPr>
          <w:spacing w:val="-40"/>
          <w:sz w:val="22"/>
        </w:rPr>
        <w:t> </w:t>
      </w:r>
      <w:r>
        <w:rPr>
          <w:sz w:val="22"/>
        </w:rPr>
        <w:t>zoning</w:t>
      </w:r>
      <w:r>
        <w:rPr>
          <w:spacing w:val="-39"/>
          <w:sz w:val="22"/>
        </w:rPr>
        <w:t> </w:t>
      </w:r>
      <w:r>
        <w:rPr>
          <w:sz w:val="22"/>
        </w:rPr>
        <w:t>check, development</w:t>
      </w:r>
      <w:r>
        <w:rPr>
          <w:spacing w:val="-36"/>
          <w:sz w:val="22"/>
        </w:rPr>
        <w:t> </w:t>
      </w:r>
      <w:r>
        <w:rPr>
          <w:sz w:val="22"/>
        </w:rPr>
        <w:t>permissions</w:t>
      </w:r>
      <w:r>
        <w:rPr>
          <w:spacing w:val="-36"/>
          <w:sz w:val="22"/>
        </w:rPr>
        <w:t> </w:t>
      </w:r>
      <w:r>
        <w:rPr>
          <w:sz w:val="22"/>
        </w:rPr>
        <w:t>and</w:t>
      </w:r>
      <w:r>
        <w:rPr>
          <w:spacing w:val="-35"/>
          <w:sz w:val="22"/>
        </w:rPr>
        <w:t> </w:t>
      </w:r>
      <w:r>
        <w:rPr>
          <w:sz w:val="22"/>
        </w:rPr>
        <w:t>physical</w:t>
      </w:r>
      <w:r>
        <w:rPr>
          <w:spacing w:val="-36"/>
          <w:sz w:val="22"/>
        </w:rPr>
        <w:t> </w:t>
      </w:r>
      <w:r>
        <w:rPr>
          <w:sz w:val="22"/>
        </w:rPr>
        <w:t>measurements</w:t>
      </w:r>
      <w:r>
        <w:rPr>
          <w:spacing w:val="-35"/>
          <w:sz w:val="22"/>
        </w:rPr>
        <w:t> </w:t>
      </w:r>
      <w:r>
        <w:rPr>
          <w:sz w:val="22"/>
        </w:rPr>
        <w:t>nor</w:t>
      </w:r>
      <w:r>
        <w:rPr>
          <w:spacing w:val="-36"/>
          <w:sz w:val="22"/>
        </w:rPr>
        <w:t> </w:t>
      </w:r>
      <w:r>
        <w:rPr>
          <w:sz w:val="22"/>
        </w:rPr>
        <w:t>undertake</w:t>
      </w:r>
      <w:r>
        <w:rPr>
          <w:spacing w:val="-36"/>
          <w:sz w:val="22"/>
        </w:rPr>
        <w:t> </w:t>
      </w:r>
      <w:r>
        <w:rPr>
          <w:sz w:val="22"/>
        </w:rPr>
        <w:t>any</w:t>
      </w:r>
      <w:r>
        <w:rPr>
          <w:spacing w:val="-35"/>
          <w:sz w:val="22"/>
        </w:rPr>
        <w:t> </w:t>
      </w:r>
      <w:r>
        <w:rPr>
          <w:sz w:val="22"/>
        </w:rPr>
        <w:t>verification/</w:t>
      </w:r>
      <w:r>
        <w:rPr>
          <w:spacing w:val="-36"/>
          <w:sz w:val="22"/>
        </w:rPr>
        <w:t> </w:t>
      </w:r>
      <w:r>
        <w:rPr>
          <w:sz w:val="22"/>
        </w:rPr>
        <w:t>validation of the zoning regulations/ development controls</w:t>
      </w:r>
      <w:r>
        <w:rPr>
          <w:spacing w:val="-34"/>
          <w:sz w:val="22"/>
        </w:rPr>
        <w:t> </w:t>
      </w:r>
      <w:r>
        <w:rPr>
          <w:sz w:val="22"/>
        </w:rPr>
        <w:t>etc.</w:t>
      </w:r>
    </w:p>
    <w:p>
      <w:pPr>
        <w:pStyle w:val="BodyText"/>
        <w:spacing w:before="8"/>
        <w:rPr>
          <w:sz w:val="20"/>
        </w:rPr>
      </w:pPr>
    </w:p>
    <w:p>
      <w:pPr>
        <w:pStyle w:val="ListParagraph"/>
        <w:numPr>
          <w:ilvl w:val="1"/>
          <w:numId w:val="15"/>
        </w:numPr>
        <w:tabs>
          <w:tab w:pos="856" w:val="left" w:leader="none"/>
          <w:tab w:pos="857" w:val="left" w:leader="none"/>
        </w:tabs>
        <w:spacing w:line="240" w:lineRule="auto" w:before="1" w:after="0"/>
        <w:ind w:left="856" w:right="0" w:hanging="577"/>
        <w:jc w:val="left"/>
        <w:rPr>
          <w:sz w:val="22"/>
        </w:rPr>
      </w:pPr>
      <w:bookmarkStart w:name="_bookmark4" w:id="8"/>
      <w:bookmarkEnd w:id="8"/>
      <w:r>
        <w:rPr/>
      </w:r>
      <w:bookmarkStart w:name="_bookmark4" w:id="9"/>
      <w:bookmarkEnd w:id="9"/>
      <w:r>
        <w:rPr>
          <w:color w:val="1F6647"/>
          <w:sz w:val="22"/>
        </w:rPr>
        <w:t>S</w:t>
      </w:r>
      <w:r>
        <w:rPr>
          <w:color w:val="1F6647"/>
          <w:sz w:val="22"/>
        </w:rPr>
        <w:t>cope of</w:t>
      </w:r>
      <w:r>
        <w:rPr>
          <w:color w:val="1F6647"/>
          <w:spacing w:val="-3"/>
          <w:sz w:val="22"/>
        </w:rPr>
        <w:t> </w:t>
      </w:r>
      <w:r>
        <w:rPr>
          <w:color w:val="1F6647"/>
          <w:sz w:val="22"/>
        </w:rPr>
        <w:t>Services</w:t>
      </w:r>
    </w:p>
    <w:p>
      <w:pPr>
        <w:pStyle w:val="BodyText"/>
        <w:spacing w:line="321" w:lineRule="auto" w:before="207"/>
        <w:ind w:left="820" w:right="633"/>
        <w:jc w:val="both"/>
      </w:pPr>
      <w:r>
        <w:rPr/>
        <w:t>Services</w:t>
      </w:r>
      <w:r>
        <w:rPr>
          <w:spacing w:val="-43"/>
        </w:rPr>
        <w:t> </w:t>
      </w:r>
      <w:r>
        <w:rPr/>
        <w:t>will</w:t>
      </w:r>
      <w:r>
        <w:rPr>
          <w:spacing w:val="-43"/>
        </w:rPr>
        <w:t> </w:t>
      </w:r>
      <w:r>
        <w:rPr/>
        <w:t>be</w:t>
      </w:r>
      <w:r>
        <w:rPr>
          <w:spacing w:val="-44"/>
        </w:rPr>
        <w:t> </w:t>
      </w:r>
      <w:r>
        <w:rPr/>
        <w:t>provided</w:t>
      </w:r>
      <w:r>
        <w:rPr>
          <w:spacing w:val="-45"/>
        </w:rPr>
        <w:t> </w:t>
      </w:r>
      <w:r>
        <w:rPr/>
        <w:t>solely</w:t>
      </w:r>
      <w:r>
        <w:rPr>
          <w:spacing w:val="-43"/>
        </w:rPr>
        <w:t> </w:t>
      </w:r>
      <w:r>
        <w:rPr/>
        <w:t>for</w:t>
      </w:r>
      <w:r>
        <w:rPr>
          <w:spacing w:val="-44"/>
        </w:rPr>
        <w:t> </w:t>
      </w:r>
      <w:r>
        <w:rPr/>
        <w:t>the</w:t>
      </w:r>
      <w:r>
        <w:rPr>
          <w:spacing w:val="-44"/>
        </w:rPr>
        <w:t> </w:t>
      </w:r>
      <w:r>
        <w:rPr/>
        <w:t>benefit</w:t>
      </w:r>
      <w:r>
        <w:rPr>
          <w:spacing w:val="-44"/>
        </w:rPr>
        <w:t> </w:t>
      </w:r>
      <w:r>
        <w:rPr/>
        <w:t>and</w:t>
      </w:r>
      <w:r>
        <w:rPr>
          <w:spacing w:val="-44"/>
        </w:rPr>
        <w:t> </w:t>
      </w:r>
      <w:r>
        <w:rPr/>
        <w:t>use</w:t>
      </w:r>
      <w:r>
        <w:rPr>
          <w:spacing w:val="-43"/>
        </w:rPr>
        <w:t> </w:t>
      </w:r>
      <w:r>
        <w:rPr/>
        <w:t>of</w:t>
      </w:r>
      <w:r>
        <w:rPr>
          <w:spacing w:val="-44"/>
        </w:rPr>
        <w:t> </w:t>
      </w:r>
      <w:r>
        <w:rPr/>
        <w:t>the</w:t>
      </w:r>
      <w:r>
        <w:rPr>
          <w:spacing w:val="-43"/>
        </w:rPr>
        <w:t> </w:t>
      </w:r>
      <w:r>
        <w:rPr/>
        <w:t>Reliant</w:t>
      </w:r>
      <w:r>
        <w:rPr>
          <w:spacing w:val="-41"/>
        </w:rPr>
        <w:t> </w:t>
      </w:r>
      <w:r>
        <w:rPr/>
        <w:t>Party(ies)</w:t>
      </w:r>
      <w:r>
        <w:rPr>
          <w:spacing w:val="-44"/>
        </w:rPr>
        <w:t> </w:t>
      </w:r>
      <w:r>
        <w:rPr/>
        <w:t>by</w:t>
      </w:r>
      <w:r>
        <w:rPr>
          <w:spacing w:val="-43"/>
        </w:rPr>
        <w:t> </w:t>
      </w:r>
      <w:r>
        <w:rPr/>
        <w:t>the</w:t>
      </w:r>
      <w:r>
        <w:rPr>
          <w:spacing w:val="-44"/>
        </w:rPr>
        <w:t> </w:t>
      </w:r>
      <w:r>
        <w:rPr/>
        <w:t>valuer.</w:t>
      </w:r>
      <w:r>
        <w:rPr>
          <w:spacing w:val="-43"/>
        </w:rPr>
        <w:t> </w:t>
      </w:r>
      <w:r>
        <w:rPr/>
        <w:t>The</w:t>
      </w:r>
      <w:r>
        <w:rPr>
          <w:spacing w:val="-43"/>
        </w:rPr>
        <w:t> </w:t>
      </w:r>
      <w:r>
        <w:rPr/>
        <w:t>report(s) and</w:t>
      </w:r>
      <w:r>
        <w:rPr>
          <w:spacing w:val="-8"/>
        </w:rPr>
        <w:t> </w:t>
      </w:r>
      <w:r>
        <w:rPr/>
        <w:t>valuation(s)</w:t>
      </w:r>
      <w:r>
        <w:rPr>
          <w:spacing w:val="-6"/>
        </w:rPr>
        <w:t> </w:t>
      </w:r>
      <w:r>
        <w:rPr/>
        <w:t>may</w:t>
      </w:r>
      <w:r>
        <w:rPr>
          <w:spacing w:val="-5"/>
        </w:rPr>
        <w:t> </w:t>
      </w:r>
      <w:r>
        <w:rPr/>
        <w:t>not</w:t>
      </w:r>
      <w:r>
        <w:rPr>
          <w:spacing w:val="-9"/>
        </w:rPr>
        <w:t> </w:t>
      </w:r>
      <w:r>
        <w:rPr/>
        <w:t>be</w:t>
      </w:r>
      <w:r>
        <w:rPr>
          <w:spacing w:val="-7"/>
        </w:rPr>
        <w:t> </w:t>
      </w:r>
      <w:r>
        <w:rPr/>
        <w:t>used</w:t>
      </w:r>
      <w:r>
        <w:rPr>
          <w:spacing w:val="-6"/>
        </w:rPr>
        <w:t> </w:t>
      </w:r>
      <w:r>
        <w:rPr/>
        <w:t>for</w:t>
      </w:r>
      <w:r>
        <w:rPr>
          <w:spacing w:val="-7"/>
        </w:rPr>
        <w:t> </w:t>
      </w:r>
      <w:r>
        <w:rPr/>
        <w:t>any</w:t>
      </w:r>
      <w:r>
        <w:rPr>
          <w:spacing w:val="-7"/>
        </w:rPr>
        <w:t> </w:t>
      </w:r>
      <w:r>
        <w:rPr/>
        <w:t>other</w:t>
      </w:r>
      <w:r>
        <w:rPr>
          <w:spacing w:val="-7"/>
        </w:rPr>
        <w:t> </w:t>
      </w:r>
      <w:r>
        <w:rPr/>
        <w:t>purpose</w:t>
      </w:r>
      <w:r>
        <w:rPr>
          <w:spacing w:val="-7"/>
        </w:rPr>
        <w:t> </w:t>
      </w:r>
      <w:r>
        <w:rPr/>
        <w:t>other</w:t>
      </w:r>
      <w:r>
        <w:rPr>
          <w:spacing w:val="-7"/>
        </w:rPr>
        <w:t> </w:t>
      </w:r>
      <w:r>
        <w:rPr/>
        <w:t>than</w:t>
      </w:r>
      <w:r>
        <w:rPr>
          <w:spacing w:val="-8"/>
        </w:rPr>
        <w:t> </w:t>
      </w:r>
      <w:r>
        <w:rPr/>
        <w:t>the</w:t>
      </w:r>
      <w:r>
        <w:rPr>
          <w:spacing w:val="-8"/>
        </w:rPr>
        <w:t> </w:t>
      </w:r>
      <w:r>
        <w:rPr/>
        <w:t>expressly</w:t>
      </w:r>
      <w:r>
        <w:rPr>
          <w:spacing w:val="-6"/>
        </w:rPr>
        <w:t> </w:t>
      </w:r>
      <w:r>
        <w:rPr/>
        <w:t>intended</w:t>
      </w:r>
      <w:r>
        <w:rPr>
          <w:spacing w:val="-6"/>
        </w:rPr>
        <w:t> </w:t>
      </w:r>
      <w:r>
        <w:rPr/>
        <w:t>purpose</w:t>
      </w:r>
      <w:r>
        <w:rPr>
          <w:spacing w:val="-10"/>
        </w:rPr>
        <w:t> </w:t>
      </w:r>
      <w:r>
        <w:rPr/>
        <w:t>as mentioned</w:t>
      </w:r>
      <w:r>
        <w:rPr>
          <w:spacing w:val="-25"/>
        </w:rPr>
        <w:t> </w:t>
      </w:r>
      <w:r>
        <w:rPr/>
        <w:t>in</w:t>
      </w:r>
      <w:r>
        <w:rPr>
          <w:spacing w:val="-26"/>
        </w:rPr>
        <w:t> </w:t>
      </w:r>
      <w:r>
        <w:rPr/>
        <w:t>the</w:t>
      </w:r>
      <w:r>
        <w:rPr>
          <w:spacing w:val="-26"/>
        </w:rPr>
        <w:t> </w:t>
      </w:r>
      <w:r>
        <w:rPr/>
        <w:t>report(s).</w:t>
      </w:r>
      <w:r>
        <w:rPr>
          <w:spacing w:val="-25"/>
        </w:rPr>
        <w:t> </w:t>
      </w:r>
      <w:r>
        <w:rPr/>
        <w:t>They</w:t>
      </w:r>
      <w:r>
        <w:rPr>
          <w:spacing w:val="-24"/>
        </w:rPr>
        <w:t> </w:t>
      </w:r>
      <w:r>
        <w:rPr/>
        <w:t>are</w:t>
      </w:r>
      <w:r>
        <w:rPr>
          <w:spacing w:val="-26"/>
        </w:rPr>
        <w:t> </w:t>
      </w:r>
      <w:r>
        <w:rPr/>
        <w:t>not</w:t>
      </w:r>
      <w:r>
        <w:rPr>
          <w:spacing w:val="-25"/>
        </w:rPr>
        <w:t> </w:t>
      </w:r>
      <w:r>
        <w:rPr/>
        <w:t>to</w:t>
      </w:r>
      <w:r>
        <w:rPr>
          <w:spacing w:val="-25"/>
        </w:rPr>
        <w:t> </w:t>
      </w:r>
      <w:r>
        <w:rPr/>
        <w:t>be</w:t>
      </w:r>
      <w:r>
        <w:rPr>
          <w:spacing w:val="-25"/>
        </w:rPr>
        <w:t> </w:t>
      </w:r>
      <w:r>
        <w:rPr/>
        <w:t>used,</w:t>
      </w:r>
      <w:r>
        <w:rPr>
          <w:spacing w:val="-26"/>
        </w:rPr>
        <w:t> </w:t>
      </w:r>
      <w:r>
        <w:rPr/>
        <w:t>circulated,</w:t>
      </w:r>
      <w:r>
        <w:rPr>
          <w:spacing w:val="-25"/>
        </w:rPr>
        <w:t> </w:t>
      </w:r>
      <w:r>
        <w:rPr/>
        <w:t>quoted</w:t>
      </w:r>
      <w:r>
        <w:rPr>
          <w:spacing w:val="-24"/>
        </w:rPr>
        <w:t> </w:t>
      </w:r>
      <w:r>
        <w:rPr/>
        <w:t>or</w:t>
      </w:r>
      <w:r>
        <w:rPr>
          <w:spacing w:val="-26"/>
        </w:rPr>
        <w:t> </w:t>
      </w:r>
      <w:r>
        <w:rPr/>
        <w:t>otherwise</w:t>
      </w:r>
      <w:r>
        <w:rPr>
          <w:spacing w:val="-25"/>
        </w:rPr>
        <w:t> </w:t>
      </w:r>
      <w:r>
        <w:rPr/>
        <w:t>referred</w:t>
      </w:r>
      <w:r>
        <w:rPr>
          <w:spacing w:val="-25"/>
        </w:rPr>
        <w:t> </w:t>
      </w:r>
      <w:r>
        <w:rPr/>
        <w:t>to</w:t>
      </w:r>
      <w:r>
        <w:rPr>
          <w:spacing w:val="-25"/>
        </w:rPr>
        <w:t> </w:t>
      </w:r>
      <w:r>
        <w:rPr/>
        <w:t>for</w:t>
      </w:r>
      <w:r>
        <w:rPr>
          <w:spacing w:val="-26"/>
        </w:rPr>
        <w:t> </w:t>
      </w:r>
      <w:r>
        <w:rPr/>
        <w:t>any other</w:t>
      </w:r>
      <w:r>
        <w:rPr>
          <w:spacing w:val="-32"/>
        </w:rPr>
        <w:t> </w:t>
      </w:r>
      <w:r>
        <w:rPr/>
        <w:t>purpose,</w:t>
      </w:r>
      <w:r>
        <w:rPr>
          <w:spacing w:val="-32"/>
        </w:rPr>
        <w:t> </w:t>
      </w:r>
      <w:r>
        <w:rPr/>
        <w:t>nor</w:t>
      </w:r>
      <w:r>
        <w:rPr>
          <w:spacing w:val="-32"/>
        </w:rPr>
        <w:t> </w:t>
      </w:r>
      <w:r>
        <w:rPr/>
        <w:t>are</w:t>
      </w:r>
      <w:r>
        <w:rPr>
          <w:spacing w:val="-32"/>
        </w:rPr>
        <w:t> </w:t>
      </w:r>
      <w:r>
        <w:rPr/>
        <w:t>they</w:t>
      </w:r>
      <w:r>
        <w:rPr>
          <w:spacing w:val="-31"/>
        </w:rPr>
        <w:t> </w:t>
      </w:r>
      <w:r>
        <w:rPr/>
        <w:t>to</w:t>
      </w:r>
      <w:r>
        <w:rPr>
          <w:spacing w:val="-33"/>
        </w:rPr>
        <w:t> </w:t>
      </w:r>
      <w:r>
        <w:rPr/>
        <w:t>be</w:t>
      </w:r>
      <w:r>
        <w:rPr>
          <w:spacing w:val="-32"/>
        </w:rPr>
        <w:t> </w:t>
      </w:r>
      <w:r>
        <w:rPr/>
        <w:t>filed</w:t>
      </w:r>
      <w:r>
        <w:rPr>
          <w:spacing w:val="-32"/>
        </w:rPr>
        <w:t> </w:t>
      </w:r>
      <w:r>
        <w:rPr/>
        <w:t>with</w:t>
      </w:r>
      <w:r>
        <w:rPr>
          <w:spacing w:val="-33"/>
        </w:rPr>
        <w:t> </w:t>
      </w:r>
      <w:r>
        <w:rPr/>
        <w:t>or</w:t>
      </w:r>
      <w:r>
        <w:rPr>
          <w:spacing w:val="-32"/>
        </w:rPr>
        <w:t> </w:t>
      </w:r>
      <w:r>
        <w:rPr/>
        <w:t>referred</w:t>
      </w:r>
      <w:r>
        <w:rPr>
          <w:spacing w:val="-31"/>
        </w:rPr>
        <w:t> </w:t>
      </w:r>
      <w:r>
        <w:rPr/>
        <w:t>to</w:t>
      </w:r>
      <w:r>
        <w:rPr>
          <w:spacing w:val="-32"/>
        </w:rPr>
        <w:t> </w:t>
      </w:r>
      <w:r>
        <w:rPr/>
        <w:t>in</w:t>
      </w:r>
      <w:r>
        <w:rPr>
          <w:spacing w:val="-32"/>
        </w:rPr>
        <w:t> </w:t>
      </w:r>
      <w:r>
        <w:rPr/>
        <w:t>whole</w:t>
      </w:r>
      <w:r>
        <w:rPr>
          <w:spacing w:val="-33"/>
        </w:rPr>
        <w:t> </w:t>
      </w:r>
      <w:r>
        <w:rPr/>
        <w:t>or</w:t>
      </w:r>
      <w:r>
        <w:rPr>
          <w:spacing w:val="-30"/>
        </w:rPr>
        <w:t> </w:t>
      </w:r>
      <w:r>
        <w:rPr/>
        <w:t>in</w:t>
      </w:r>
      <w:r>
        <w:rPr>
          <w:spacing w:val="-35"/>
        </w:rPr>
        <w:t> </w:t>
      </w:r>
      <w:r>
        <w:rPr/>
        <w:t>part</w:t>
      </w:r>
      <w:r>
        <w:rPr>
          <w:spacing w:val="-33"/>
        </w:rPr>
        <w:t> </w:t>
      </w:r>
      <w:r>
        <w:rPr/>
        <w:t>in</w:t>
      </w:r>
      <w:r>
        <w:rPr>
          <w:spacing w:val="-32"/>
        </w:rPr>
        <w:t> </w:t>
      </w:r>
      <w:r>
        <w:rPr/>
        <w:t>any</w:t>
      </w:r>
      <w:r>
        <w:rPr>
          <w:spacing w:val="-31"/>
        </w:rPr>
        <w:t> </w:t>
      </w:r>
      <w:r>
        <w:rPr/>
        <w:t>document</w:t>
      </w:r>
      <w:r>
        <w:rPr>
          <w:spacing w:val="-33"/>
        </w:rPr>
        <w:t> </w:t>
      </w:r>
      <w:r>
        <w:rPr/>
        <w:t>without</w:t>
      </w:r>
      <w:r>
        <w:rPr>
          <w:spacing w:val="-32"/>
        </w:rPr>
        <w:t> </w:t>
      </w:r>
      <w:r>
        <w:rPr/>
        <w:t>the prior</w:t>
      </w:r>
      <w:r>
        <w:rPr>
          <w:spacing w:val="-8"/>
        </w:rPr>
        <w:t> </w:t>
      </w:r>
      <w:r>
        <w:rPr/>
        <w:t>written</w:t>
      </w:r>
      <w:r>
        <w:rPr>
          <w:spacing w:val="-7"/>
        </w:rPr>
        <w:t> </w:t>
      </w:r>
      <w:r>
        <w:rPr/>
        <w:t>consent</w:t>
      </w:r>
      <w:r>
        <w:rPr>
          <w:spacing w:val="-7"/>
        </w:rPr>
        <w:t> </w:t>
      </w:r>
      <w:r>
        <w:rPr/>
        <w:t>of</w:t>
      </w:r>
      <w:r>
        <w:rPr>
          <w:spacing w:val="-6"/>
        </w:rPr>
        <w:t> </w:t>
      </w:r>
      <w:r>
        <w:rPr/>
        <w:t>the</w:t>
      </w:r>
      <w:r>
        <w:rPr>
          <w:spacing w:val="-8"/>
        </w:rPr>
        <w:t> </w:t>
      </w:r>
      <w:r>
        <w:rPr/>
        <w:t>Consultants</w:t>
      </w:r>
      <w:r>
        <w:rPr>
          <w:spacing w:val="-7"/>
        </w:rPr>
        <w:t> </w:t>
      </w:r>
      <w:r>
        <w:rPr/>
        <w:t>where</w:t>
      </w:r>
      <w:r>
        <w:rPr>
          <w:spacing w:val="-8"/>
        </w:rPr>
        <w:t> </w:t>
      </w:r>
      <w:r>
        <w:rPr/>
        <w:t>such</w:t>
      </w:r>
      <w:r>
        <w:rPr>
          <w:spacing w:val="-7"/>
        </w:rPr>
        <w:t> </w:t>
      </w:r>
      <w:r>
        <w:rPr/>
        <w:t>consent</w:t>
      </w:r>
      <w:r>
        <w:rPr>
          <w:spacing w:val="-8"/>
        </w:rPr>
        <w:t> </w:t>
      </w:r>
      <w:r>
        <w:rPr/>
        <w:t>shall</w:t>
      </w:r>
      <w:r>
        <w:rPr>
          <w:spacing w:val="-8"/>
        </w:rPr>
        <w:t> </w:t>
      </w:r>
      <w:r>
        <w:rPr/>
        <w:t>be</w:t>
      </w:r>
      <w:r>
        <w:rPr>
          <w:spacing w:val="-9"/>
        </w:rPr>
        <w:t> </w:t>
      </w:r>
      <w:r>
        <w:rPr/>
        <w:t>given</w:t>
      </w:r>
      <w:r>
        <w:rPr>
          <w:spacing w:val="-7"/>
        </w:rPr>
        <w:t> </w:t>
      </w:r>
      <w:r>
        <w:rPr/>
        <w:t>at</w:t>
      </w:r>
      <w:r>
        <w:rPr>
          <w:spacing w:val="-6"/>
        </w:rPr>
        <w:t> </w:t>
      </w:r>
      <w:r>
        <w:rPr/>
        <w:t>the</w:t>
      </w:r>
      <w:r>
        <w:rPr>
          <w:spacing w:val="-7"/>
        </w:rPr>
        <w:t> </w:t>
      </w:r>
      <w:r>
        <w:rPr/>
        <w:t>absolute,</w:t>
      </w:r>
      <w:r>
        <w:rPr>
          <w:spacing w:val="-7"/>
        </w:rPr>
        <w:t> </w:t>
      </w:r>
      <w:r>
        <w:rPr/>
        <w:t>exclusive discretion</w:t>
      </w:r>
      <w:r>
        <w:rPr>
          <w:spacing w:val="-38"/>
        </w:rPr>
        <w:t> </w:t>
      </w:r>
      <w:r>
        <w:rPr/>
        <w:t>of</w:t>
      </w:r>
      <w:r>
        <w:rPr>
          <w:spacing w:val="-38"/>
        </w:rPr>
        <w:t> </w:t>
      </w:r>
      <w:r>
        <w:rPr/>
        <w:t>the</w:t>
      </w:r>
      <w:r>
        <w:rPr>
          <w:spacing w:val="-39"/>
        </w:rPr>
        <w:t> </w:t>
      </w:r>
      <w:r>
        <w:rPr/>
        <w:t>Consultants.</w:t>
      </w:r>
      <w:r>
        <w:rPr>
          <w:spacing w:val="-39"/>
        </w:rPr>
        <w:t> </w:t>
      </w:r>
      <w:r>
        <w:rPr/>
        <w:t>Where</w:t>
      </w:r>
      <w:r>
        <w:rPr>
          <w:spacing w:val="-37"/>
        </w:rPr>
        <w:t> </w:t>
      </w:r>
      <w:r>
        <w:rPr/>
        <w:t>they</w:t>
      </w:r>
      <w:r>
        <w:rPr>
          <w:spacing w:val="-38"/>
        </w:rPr>
        <w:t> </w:t>
      </w:r>
      <w:r>
        <w:rPr/>
        <w:t>are</w:t>
      </w:r>
      <w:r>
        <w:rPr>
          <w:spacing w:val="-38"/>
        </w:rPr>
        <w:t> </w:t>
      </w:r>
      <w:r>
        <w:rPr/>
        <w:t>to</w:t>
      </w:r>
      <w:r>
        <w:rPr>
          <w:spacing w:val="-38"/>
        </w:rPr>
        <w:t> </w:t>
      </w:r>
      <w:r>
        <w:rPr/>
        <w:t>be</w:t>
      </w:r>
      <w:r>
        <w:rPr>
          <w:spacing w:val="-39"/>
        </w:rPr>
        <w:t> </w:t>
      </w:r>
      <w:r>
        <w:rPr/>
        <w:t>used</w:t>
      </w:r>
      <w:r>
        <w:rPr>
          <w:spacing w:val="-38"/>
        </w:rPr>
        <w:t> </w:t>
      </w:r>
      <w:r>
        <w:rPr/>
        <w:t>with</w:t>
      </w:r>
      <w:r>
        <w:rPr>
          <w:spacing w:val="-39"/>
        </w:rPr>
        <w:t> </w:t>
      </w:r>
      <w:r>
        <w:rPr/>
        <w:t>the</w:t>
      </w:r>
      <w:r>
        <w:rPr>
          <w:spacing w:val="-39"/>
        </w:rPr>
        <w:t> </w:t>
      </w:r>
      <w:r>
        <w:rPr/>
        <w:t>Consultants’</w:t>
      </w:r>
      <w:r>
        <w:rPr>
          <w:spacing w:val="-39"/>
        </w:rPr>
        <w:t> </w:t>
      </w:r>
      <w:r>
        <w:rPr/>
        <w:t>written</w:t>
      </w:r>
      <w:r>
        <w:rPr>
          <w:spacing w:val="-37"/>
        </w:rPr>
        <w:t> </w:t>
      </w:r>
      <w:r>
        <w:rPr/>
        <w:t>consent,</w:t>
      </w:r>
      <w:r>
        <w:rPr>
          <w:spacing w:val="-39"/>
        </w:rPr>
        <w:t> </w:t>
      </w:r>
      <w:r>
        <w:rPr/>
        <w:t>they</w:t>
      </w:r>
      <w:r>
        <w:rPr>
          <w:spacing w:val="-39"/>
        </w:rPr>
        <w:t> </w:t>
      </w:r>
      <w:r>
        <w:rPr/>
        <w:t>shall be</w:t>
      </w:r>
      <w:r>
        <w:rPr>
          <w:spacing w:val="-10"/>
        </w:rPr>
        <w:t> </w:t>
      </w:r>
      <w:r>
        <w:rPr/>
        <w:t>used</w:t>
      </w:r>
      <w:r>
        <w:rPr>
          <w:spacing w:val="-8"/>
        </w:rPr>
        <w:t> </w:t>
      </w:r>
      <w:r>
        <w:rPr/>
        <w:t>only</w:t>
      </w:r>
      <w:r>
        <w:rPr>
          <w:spacing w:val="-9"/>
        </w:rPr>
        <w:t> </w:t>
      </w:r>
      <w:r>
        <w:rPr/>
        <w:t>in</w:t>
      </w:r>
      <w:r>
        <w:rPr>
          <w:spacing w:val="-10"/>
        </w:rPr>
        <w:t> </w:t>
      </w:r>
      <w:r>
        <w:rPr/>
        <w:t>their</w:t>
      </w:r>
      <w:r>
        <w:rPr>
          <w:spacing w:val="-9"/>
        </w:rPr>
        <w:t> </w:t>
      </w:r>
      <w:r>
        <w:rPr/>
        <w:t>entirety</w:t>
      </w:r>
      <w:r>
        <w:rPr>
          <w:spacing w:val="-7"/>
        </w:rPr>
        <w:t> </w:t>
      </w:r>
      <w:r>
        <w:rPr/>
        <w:t>and</w:t>
      </w:r>
      <w:r>
        <w:rPr>
          <w:spacing w:val="-10"/>
        </w:rPr>
        <w:t> </w:t>
      </w:r>
      <w:r>
        <w:rPr/>
        <w:t>no</w:t>
      </w:r>
      <w:r>
        <w:rPr>
          <w:spacing w:val="-9"/>
        </w:rPr>
        <w:t> </w:t>
      </w:r>
      <w:r>
        <w:rPr/>
        <w:t>part</w:t>
      </w:r>
      <w:r>
        <w:rPr>
          <w:spacing w:val="-10"/>
        </w:rPr>
        <w:t> </w:t>
      </w:r>
      <w:r>
        <w:rPr/>
        <w:t>shall</w:t>
      </w:r>
      <w:r>
        <w:rPr>
          <w:spacing w:val="-9"/>
        </w:rPr>
        <w:t> </w:t>
      </w:r>
      <w:r>
        <w:rPr/>
        <w:t>be</w:t>
      </w:r>
      <w:r>
        <w:rPr>
          <w:spacing w:val="-11"/>
        </w:rPr>
        <w:t> </w:t>
      </w:r>
      <w:r>
        <w:rPr/>
        <w:t>used</w:t>
      </w:r>
      <w:r>
        <w:rPr>
          <w:spacing w:val="-10"/>
        </w:rPr>
        <w:t> </w:t>
      </w:r>
      <w:r>
        <w:rPr/>
        <w:t>without</w:t>
      </w:r>
      <w:r>
        <w:rPr>
          <w:spacing w:val="-10"/>
        </w:rPr>
        <w:t> </w:t>
      </w:r>
      <w:r>
        <w:rPr/>
        <w:t>making</w:t>
      </w:r>
      <w:r>
        <w:rPr>
          <w:spacing w:val="-8"/>
        </w:rPr>
        <w:t> </w:t>
      </w:r>
      <w:r>
        <w:rPr/>
        <w:t>reference</w:t>
      </w:r>
      <w:r>
        <w:rPr>
          <w:spacing w:val="-9"/>
        </w:rPr>
        <w:t> </w:t>
      </w:r>
      <w:r>
        <w:rPr/>
        <w:t>to</w:t>
      </w:r>
      <w:r>
        <w:rPr>
          <w:spacing w:val="-8"/>
        </w:rPr>
        <w:t> </w:t>
      </w:r>
      <w:r>
        <w:rPr/>
        <w:t>the</w:t>
      </w:r>
      <w:r>
        <w:rPr>
          <w:spacing w:val="-10"/>
        </w:rPr>
        <w:t> </w:t>
      </w:r>
      <w:r>
        <w:rPr/>
        <w:t>whole</w:t>
      </w:r>
      <w:r>
        <w:rPr>
          <w:spacing w:val="-9"/>
        </w:rPr>
        <w:t> </w:t>
      </w:r>
      <w:r>
        <w:rPr/>
        <w:t>report unless otherwise expressly agreed in writing by the</w:t>
      </w:r>
      <w:r>
        <w:rPr>
          <w:spacing w:val="-49"/>
        </w:rPr>
        <w:t> </w:t>
      </w:r>
      <w:r>
        <w:rPr/>
        <w:t>Consultants.</w:t>
      </w:r>
    </w:p>
    <w:p>
      <w:pPr>
        <w:spacing w:after="0" w:line="321" w:lineRule="auto"/>
        <w:jc w:val="both"/>
        <w:sectPr>
          <w:pgSz w:w="11910" w:h="16840"/>
          <w:pgMar w:header="720" w:footer="842" w:top="1520" w:bottom="1040" w:left="440" w:right="80"/>
        </w:sectPr>
      </w:pPr>
    </w:p>
    <w:p>
      <w:pPr>
        <w:pStyle w:val="BodyText"/>
        <w:spacing w:before="5"/>
      </w:pPr>
    </w:p>
    <w:p>
      <w:pPr>
        <w:pStyle w:val="BodyText"/>
        <w:spacing w:line="321" w:lineRule="auto" w:before="106"/>
        <w:ind w:left="820" w:right="635"/>
        <w:jc w:val="both"/>
      </w:pPr>
      <w:r>
        <w:rPr/>
        <w:t>Any</w:t>
      </w:r>
      <w:r>
        <w:rPr>
          <w:spacing w:val="-36"/>
        </w:rPr>
        <w:t> </w:t>
      </w:r>
      <w:r>
        <w:rPr/>
        <w:t>reliance</w:t>
      </w:r>
      <w:r>
        <w:rPr>
          <w:spacing w:val="-35"/>
        </w:rPr>
        <w:t> </w:t>
      </w:r>
      <w:r>
        <w:rPr/>
        <w:t>by</w:t>
      </w:r>
      <w:r>
        <w:rPr>
          <w:spacing w:val="-35"/>
        </w:rPr>
        <w:t> </w:t>
      </w:r>
      <w:r>
        <w:rPr/>
        <w:t>any</w:t>
      </w:r>
      <w:r>
        <w:rPr>
          <w:spacing w:val="-35"/>
        </w:rPr>
        <w:t> </w:t>
      </w:r>
      <w:r>
        <w:rPr/>
        <w:t>party</w:t>
      </w:r>
      <w:r>
        <w:rPr>
          <w:spacing w:val="-35"/>
        </w:rPr>
        <w:t> </w:t>
      </w:r>
      <w:r>
        <w:rPr/>
        <w:t>other</w:t>
      </w:r>
      <w:r>
        <w:rPr>
          <w:spacing w:val="-36"/>
        </w:rPr>
        <w:t> </w:t>
      </w:r>
      <w:r>
        <w:rPr/>
        <w:t>than</w:t>
      </w:r>
      <w:r>
        <w:rPr>
          <w:spacing w:val="-34"/>
        </w:rPr>
        <w:t> </w:t>
      </w:r>
      <w:r>
        <w:rPr/>
        <w:t>the</w:t>
      </w:r>
      <w:r>
        <w:rPr>
          <w:spacing w:val="-36"/>
        </w:rPr>
        <w:t> </w:t>
      </w:r>
      <w:r>
        <w:rPr/>
        <w:t>Reliant</w:t>
      </w:r>
      <w:r>
        <w:rPr>
          <w:spacing w:val="-35"/>
        </w:rPr>
        <w:t> </w:t>
      </w:r>
      <w:r>
        <w:rPr/>
        <w:t>Party</w:t>
      </w:r>
      <w:r>
        <w:rPr>
          <w:spacing w:val="-35"/>
        </w:rPr>
        <w:t> </w:t>
      </w:r>
      <w:r>
        <w:rPr/>
        <w:t>on</w:t>
      </w:r>
      <w:r>
        <w:rPr>
          <w:spacing w:val="-35"/>
        </w:rPr>
        <w:t> </w:t>
      </w:r>
      <w:r>
        <w:rPr/>
        <w:t>the</w:t>
      </w:r>
      <w:r>
        <w:rPr>
          <w:spacing w:val="-36"/>
        </w:rPr>
        <w:t> </w:t>
      </w:r>
      <w:r>
        <w:rPr/>
        <w:t>valuation</w:t>
      </w:r>
      <w:r>
        <w:rPr>
          <w:spacing w:val="-34"/>
        </w:rPr>
        <w:t> </w:t>
      </w:r>
      <w:r>
        <w:rPr/>
        <w:t>report</w:t>
      </w:r>
      <w:r>
        <w:rPr>
          <w:spacing w:val="-35"/>
        </w:rPr>
        <w:t> </w:t>
      </w:r>
      <w:r>
        <w:rPr/>
        <w:t>will</w:t>
      </w:r>
      <w:r>
        <w:rPr>
          <w:spacing w:val="-36"/>
        </w:rPr>
        <w:t> </w:t>
      </w:r>
      <w:r>
        <w:rPr/>
        <w:t>be</w:t>
      </w:r>
      <w:r>
        <w:rPr>
          <w:spacing w:val="-36"/>
        </w:rPr>
        <w:t> </w:t>
      </w:r>
      <w:r>
        <w:rPr/>
        <w:t>on</w:t>
      </w:r>
      <w:r>
        <w:rPr>
          <w:spacing w:val="-36"/>
        </w:rPr>
        <w:t> </w:t>
      </w:r>
      <w:r>
        <w:rPr/>
        <w:t>their</w:t>
      </w:r>
      <w:r>
        <w:rPr>
          <w:spacing w:val="-36"/>
        </w:rPr>
        <w:t> </w:t>
      </w:r>
      <w:r>
        <w:rPr/>
        <w:t>own</w:t>
      </w:r>
      <w:r>
        <w:rPr>
          <w:spacing w:val="-36"/>
        </w:rPr>
        <w:t> </w:t>
      </w:r>
      <w:r>
        <w:rPr/>
        <w:t>accord. The</w:t>
      </w:r>
      <w:r>
        <w:rPr>
          <w:spacing w:val="-29"/>
        </w:rPr>
        <w:t> </w:t>
      </w:r>
      <w:r>
        <w:rPr/>
        <w:t>Consultants</w:t>
      </w:r>
      <w:r>
        <w:rPr>
          <w:spacing w:val="-27"/>
        </w:rPr>
        <w:t> </w:t>
      </w:r>
      <w:r>
        <w:rPr/>
        <w:t>do</w:t>
      </w:r>
      <w:r>
        <w:rPr>
          <w:spacing w:val="-28"/>
        </w:rPr>
        <w:t> </w:t>
      </w:r>
      <w:r>
        <w:rPr/>
        <w:t>not</w:t>
      </w:r>
      <w:r>
        <w:rPr>
          <w:spacing w:val="-27"/>
        </w:rPr>
        <w:t> </w:t>
      </w:r>
      <w:r>
        <w:rPr/>
        <w:t>purport</w:t>
      </w:r>
      <w:r>
        <w:rPr>
          <w:spacing w:val="-27"/>
        </w:rPr>
        <w:t> </w:t>
      </w:r>
      <w:r>
        <w:rPr/>
        <w:t>to</w:t>
      </w:r>
      <w:r>
        <w:rPr>
          <w:spacing w:val="-28"/>
        </w:rPr>
        <w:t> </w:t>
      </w:r>
      <w:r>
        <w:rPr/>
        <w:t>provide</w:t>
      </w:r>
      <w:r>
        <w:rPr>
          <w:spacing w:val="-28"/>
        </w:rPr>
        <w:t> </w:t>
      </w:r>
      <w:r>
        <w:rPr/>
        <w:t>a</w:t>
      </w:r>
      <w:r>
        <w:rPr>
          <w:spacing w:val="-28"/>
        </w:rPr>
        <w:t> </w:t>
      </w:r>
      <w:r>
        <w:rPr/>
        <w:t>site</w:t>
      </w:r>
      <w:r>
        <w:rPr>
          <w:spacing w:val="-28"/>
        </w:rPr>
        <w:t> </w:t>
      </w:r>
      <w:r>
        <w:rPr/>
        <w:t>or</w:t>
      </w:r>
      <w:r>
        <w:rPr>
          <w:spacing w:val="-27"/>
        </w:rPr>
        <w:t> </w:t>
      </w:r>
      <w:r>
        <w:rPr/>
        <w:t>structural</w:t>
      </w:r>
      <w:r>
        <w:rPr>
          <w:spacing w:val="-28"/>
        </w:rPr>
        <w:t> </w:t>
      </w:r>
      <w:r>
        <w:rPr/>
        <w:t>survey</w:t>
      </w:r>
      <w:r>
        <w:rPr>
          <w:spacing w:val="-27"/>
        </w:rPr>
        <w:t> </w:t>
      </w:r>
      <w:r>
        <w:rPr/>
        <w:t>in</w:t>
      </w:r>
      <w:r>
        <w:rPr>
          <w:spacing w:val="-28"/>
        </w:rPr>
        <w:t> </w:t>
      </w:r>
      <w:r>
        <w:rPr/>
        <w:t>respect</w:t>
      </w:r>
      <w:r>
        <w:rPr>
          <w:spacing w:val="-27"/>
        </w:rPr>
        <w:t> </w:t>
      </w:r>
      <w:r>
        <w:rPr/>
        <w:t>of</w:t>
      </w:r>
      <w:r>
        <w:rPr>
          <w:spacing w:val="-28"/>
        </w:rPr>
        <w:t> </w:t>
      </w:r>
      <w:r>
        <w:rPr/>
        <w:t>the</w:t>
      </w:r>
      <w:r>
        <w:rPr>
          <w:spacing w:val="-27"/>
        </w:rPr>
        <w:t> </w:t>
      </w:r>
      <w:r>
        <w:rPr/>
        <w:t>property(ies)</w:t>
      </w:r>
      <w:r>
        <w:rPr>
          <w:spacing w:val="-28"/>
        </w:rPr>
        <w:t> </w:t>
      </w:r>
      <w:r>
        <w:rPr/>
        <w:t>to</w:t>
      </w:r>
      <w:r>
        <w:rPr>
          <w:spacing w:val="-29"/>
        </w:rPr>
        <w:t> </w:t>
      </w:r>
      <w:r>
        <w:rPr/>
        <w:t>be valued.</w:t>
      </w:r>
      <w:r>
        <w:rPr>
          <w:spacing w:val="-28"/>
        </w:rPr>
        <w:t> </w:t>
      </w:r>
      <w:r>
        <w:rPr/>
        <w:t>The</w:t>
      </w:r>
      <w:r>
        <w:rPr>
          <w:spacing w:val="-29"/>
        </w:rPr>
        <w:t> </w:t>
      </w:r>
      <w:r>
        <w:rPr/>
        <w:t>Consultants</w:t>
      </w:r>
      <w:r>
        <w:rPr>
          <w:spacing w:val="-26"/>
        </w:rPr>
        <w:t> </w:t>
      </w:r>
      <w:r>
        <w:rPr/>
        <w:t>do</w:t>
      </w:r>
      <w:r>
        <w:rPr>
          <w:spacing w:val="-28"/>
        </w:rPr>
        <w:t> </w:t>
      </w:r>
      <w:r>
        <w:rPr/>
        <w:t>not</w:t>
      </w:r>
      <w:r>
        <w:rPr>
          <w:spacing w:val="-28"/>
        </w:rPr>
        <w:t> </w:t>
      </w:r>
      <w:r>
        <w:rPr/>
        <w:t>purport</w:t>
      </w:r>
      <w:r>
        <w:rPr>
          <w:spacing w:val="-28"/>
        </w:rPr>
        <w:t> </w:t>
      </w:r>
      <w:r>
        <w:rPr/>
        <w:t>to</w:t>
      </w:r>
      <w:r>
        <w:rPr>
          <w:spacing w:val="-28"/>
        </w:rPr>
        <w:t> </w:t>
      </w:r>
      <w:r>
        <w:rPr/>
        <w:t>be</w:t>
      </w:r>
      <w:r>
        <w:rPr>
          <w:spacing w:val="-28"/>
        </w:rPr>
        <w:t> </w:t>
      </w:r>
      <w:r>
        <w:rPr/>
        <w:t>suitably</w:t>
      </w:r>
      <w:r>
        <w:rPr>
          <w:spacing w:val="-27"/>
        </w:rPr>
        <w:t> </w:t>
      </w:r>
      <w:r>
        <w:rPr/>
        <w:t>qualified</w:t>
      </w:r>
      <w:r>
        <w:rPr>
          <w:spacing w:val="-28"/>
        </w:rPr>
        <w:t> </w:t>
      </w:r>
      <w:r>
        <w:rPr/>
        <w:t>to</w:t>
      </w:r>
      <w:r>
        <w:rPr>
          <w:spacing w:val="-27"/>
        </w:rPr>
        <w:t> </w:t>
      </w:r>
      <w:r>
        <w:rPr/>
        <w:t>provide</w:t>
      </w:r>
      <w:r>
        <w:rPr>
          <w:spacing w:val="-28"/>
        </w:rPr>
        <w:t> </w:t>
      </w:r>
      <w:r>
        <w:rPr/>
        <w:t>professional</w:t>
      </w:r>
      <w:r>
        <w:rPr>
          <w:spacing w:val="-29"/>
        </w:rPr>
        <w:t> </w:t>
      </w:r>
      <w:r>
        <w:rPr/>
        <w:t>advice</w:t>
      </w:r>
      <w:r>
        <w:rPr>
          <w:spacing w:val="-28"/>
        </w:rPr>
        <w:t> </w:t>
      </w:r>
      <w:r>
        <w:rPr/>
        <w:t>in</w:t>
      </w:r>
      <w:r>
        <w:rPr>
          <w:spacing w:val="-26"/>
        </w:rPr>
        <w:t> </w:t>
      </w:r>
      <w:r>
        <w:rPr/>
        <w:t>respect of</w:t>
      </w:r>
      <w:r>
        <w:rPr>
          <w:spacing w:val="-33"/>
        </w:rPr>
        <w:t> </w:t>
      </w:r>
      <w:r>
        <w:rPr/>
        <w:t>building</w:t>
      </w:r>
      <w:r>
        <w:rPr>
          <w:spacing w:val="-33"/>
        </w:rPr>
        <w:t> </w:t>
      </w:r>
      <w:r>
        <w:rPr/>
        <w:t>or</w:t>
      </w:r>
      <w:r>
        <w:rPr>
          <w:spacing w:val="-33"/>
        </w:rPr>
        <w:t> </w:t>
      </w:r>
      <w:r>
        <w:rPr/>
        <w:t>site</w:t>
      </w:r>
      <w:r>
        <w:rPr>
          <w:spacing w:val="-34"/>
        </w:rPr>
        <w:t> </w:t>
      </w:r>
      <w:r>
        <w:rPr/>
        <w:t>contamination.</w:t>
      </w:r>
      <w:r>
        <w:rPr>
          <w:spacing w:val="-33"/>
        </w:rPr>
        <w:t> </w:t>
      </w:r>
      <w:r>
        <w:rPr/>
        <w:t>The</w:t>
      </w:r>
      <w:r>
        <w:rPr>
          <w:spacing w:val="-34"/>
        </w:rPr>
        <w:t> </w:t>
      </w:r>
      <w:r>
        <w:rPr/>
        <w:t>Reliant</w:t>
      </w:r>
      <w:r>
        <w:rPr>
          <w:spacing w:val="-33"/>
        </w:rPr>
        <w:t> </w:t>
      </w:r>
      <w:r>
        <w:rPr/>
        <w:t>Party(ies)</w:t>
      </w:r>
      <w:r>
        <w:rPr>
          <w:spacing w:val="-34"/>
        </w:rPr>
        <w:t> </w:t>
      </w:r>
      <w:r>
        <w:rPr/>
        <w:t>should</w:t>
      </w:r>
      <w:r>
        <w:rPr>
          <w:spacing w:val="-34"/>
        </w:rPr>
        <w:t> </w:t>
      </w:r>
      <w:r>
        <w:rPr/>
        <w:t>seek</w:t>
      </w:r>
      <w:r>
        <w:rPr>
          <w:spacing w:val="-33"/>
        </w:rPr>
        <w:t> </w:t>
      </w:r>
      <w:r>
        <w:rPr/>
        <w:t>independent</w:t>
      </w:r>
      <w:r>
        <w:rPr>
          <w:spacing w:val="-33"/>
        </w:rPr>
        <w:t> </w:t>
      </w:r>
      <w:r>
        <w:rPr/>
        <w:t>advice</w:t>
      </w:r>
      <w:r>
        <w:rPr>
          <w:spacing w:val="-34"/>
        </w:rPr>
        <w:t> </w:t>
      </w:r>
      <w:r>
        <w:rPr/>
        <w:t>on</w:t>
      </w:r>
      <w:r>
        <w:rPr>
          <w:spacing w:val="-33"/>
        </w:rPr>
        <w:t> </w:t>
      </w:r>
      <w:r>
        <w:rPr/>
        <w:t>these</w:t>
      </w:r>
      <w:r>
        <w:rPr>
          <w:spacing w:val="-33"/>
        </w:rPr>
        <w:t> </w:t>
      </w:r>
      <w:r>
        <w:rPr/>
        <w:t>issues. The Services are provided on the basis that the Instructing Party has disclosed to the Consultants all information</w:t>
      </w:r>
      <w:r>
        <w:rPr>
          <w:spacing w:val="-40"/>
        </w:rPr>
        <w:t> </w:t>
      </w:r>
      <w:r>
        <w:rPr/>
        <w:t>which</w:t>
      </w:r>
      <w:r>
        <w:rPr>
          <w:spacing w:val="-38"/>
        </w:rPr>
        <w:t> </w:t>
      </w:r>
      <w:r>
        <w:rPr/>
        <w:t>may</w:t>
      </w:r>
      <w:r>
        <w:rPr>
          <w:spacing w:val="-39"/>
        </w:rPr>
        <w:t> </w:t>
      </w:r>
      <w:r>
        <w:rPr/>
        <w:t>affect</w:t>
      </w:r>
      <w:r>
        <w:rPr>
          <w:spacing w:val="-39"/>
        </w:rPr>
        <w:t> </w:t>
      </w:r>
      <w:r>
        <w:rPr/>
        <w:t>the</w:t>
      </w:r>
      <w:r>
        <w:rPr>
          <w:spacing w:val="-39"/>
        </w:rPr>
        <w:t> </w:t>
      </w:r>
      <w:r>
        <w:rPr/>
        <w:t>Services.</w:t>
      </w:r>
      <w:r>
        <w:rPr>
          <w:spacing w:val="-40"/>
        </w:rPr>
        <w:t> </w:t>
      </w:r>
      <w:r>
        <w:rPr/>
        <w:t>All</w:t>
      </w:r>
      <w:r>
        <w:rPr>
          <w:spacing w:val="-40"/>
        </w:rPr>
        <w:t> </w:t>
      </w:r>
      <w:r>
        <w:rPr/>
        <w:t>opinions</w:t>
      </w:r>
      <w:r>
        <w:rPr>
          <w:spacing w:val="-38"/>
        </w:rPr>
        <w:t> </w:t>
      </w:r>
      <w:r>
        <w:rPr/>
        <w:t>expressed</w:t>
      </w:r>
      <w:r>
        <w:rPr>
          <w:spacing w:val="-40"/>
        </w:rPr>
        <w:t> </w:t>
      </w:r>
      <w:r>
        <w:rPr/>
        <w:t>by</w:t>
      </w:r>
      <w:r>
        <w:rPr>
          <w:spacing w:val="-36"/>
        </w:rPr>
        <w:t> </w:t>
      </w:r>
      <w:r>
        <w:rPr/>
        <w:t>the</w:t>
      </w:r>
      <w:r>
        <w:rPr>
          <w:spacing w:val="-41"/>
        </w:rPr>
        <w:t> </w:t>
      </w:r>
      <w:r>
        <w:rPr/>
        <w:t>Consultants</w:t>
      </w:r>
      <w:r>
        <w:rPr>
          <w:spacing w:val="-39"/>
        </w:rPr>
        <w:t> </w:t>
      </w:r>
      <w:r>
        <w:rPr/>
        <w:t>or</w:t>
      </w:r>
      <w:r>
        <w:rPr>
          <w:spacing w:val="-39"/>
        </w:rPr>
        <w:t> </w:t>
      </w:r>
      <w:r>
        <w:rPr/>
        <w:t>its</w:t>
      </w:r>
      <w:r>
        <w:rPr>
          <w:spacing w:val="-38"/>
        </w:rPr>
        <w:t> </w:t>
      </w:r>
      <w:r>
        <w:rPr/>
        <w:t>employees</w:t>
      </w:r>
      <w:r>
        <w:rPr>
          <w:spacing w:val="-40"/>
        </w:rPr>
        <w:t> </w:t>
      </w:r>
      <w:r>
        <w:rPr/>
        <w:t>are subject</w:t>
      </w:r>
      <w:r>
        <w:rPr>
          <w:spacing w:val="-27"/>
        </w:rPr>
        <w:t> </w:t>
      </w:r>
      <w:r>
        <w:rPr/>
        <w:t>to</w:t>
      </w:r>
      <w:r>
        <w:rPr>
          <w:spacing w:val="-25"/>
        </w:rPr>
        <w:t> </w:t>
      </w:r>
      <w:r>
        <w:rPr/>
        <w:t>the</w:t>
      </w:r>
      <w:r>
        <w:rPr>
          <w:spacing w:val="-27"/>
        </w:rPr>
        <w:t> </w:t>
      </w:r>
      <w:r>
        <w:rPr/>
        <w:t>statement</w:t>
      </w:r>
      <w:r>
        <w:rPr>
          <w:spacing w:val="-28"/>
        </w:rPr>
        <w:t> </w:t>
      </w:r>
      <w:r>
        <w:rPr/>
        <w:t>of</w:t>
      </w:r>
      <w:r>
        <w:rPr>
          <w:spacing w:val="-25"/>
        </w:rPr>
        <w:t> </w:t>
      </w:r>
      <w:r>
        <w:rPr/>
        <w:t>valuation</w:t>
      </w:r>
      <w:r>
        <w:rPr>
          <w:spacing w:val="-26"/>
        </w:rPr>
        <w:t> </w:t>
      </w:r>
      <w:r>
        <w:rPr/>
        <w:t>policies</w:t>
      </w:r>
      <w:r>
        <w:rPr>
          <w:spacing w:val="-25"/>
        </w:rPr>
        <w:t> </w:t>
      </w:r>
      <w:r>
        <w:rPr/>
        <w:t>and</w:t>
      </w:r>
      <w:r>
        <w:rPr>
          <w:spacing w:val="-26"/>
        </w:rPr>
        <w:t> </w:t>
      </w:r>
      <w:r>
        <w:rPr/>
        <w:t>any</w:t>
      </w:r>
      <w:r>
        <w:rPr>
          <w:spacing w:val="-25"/>
        </w:rPr>
        <w:t> </w:t>
      </w:r>
      <w:r>
        <w:rPr/>
        <w:t>conditions</w:t>
      </w:r>
      <w:r>
        <w:rPr>
          <w:spacing w:val="-25"/>
        </w:rPr>
        <w:t> </w:t>
      </w:r>
      <w:r>
        <w:rPr/>
        <w:t>contained</w:t>
      </w:r>
      <w:r>
        <w:rPr>
          <w:spacing w:val="-25"/>
        </w:rPr>
        <w:t> </w:t>
      </w:r>
      <w:r>
        <w:rPr/>
        <w:t>in</w:t>
      </w:r>
      <w:r>
        <w:rPr>
          <w:spacing w:val="-27"/>
        </w:rPr>
        <w:t> </w:t>
      </w:r>
      <w:r>
        <w:rPr/>
        <w:t>written</w:t>
      </w:r>
      <w:r>
        <w:rPr>
          <w:spacing w:val="-26"/>
        </w:rPr>
        <w:t> </w:t>
      </w:r>
      <w:r>
        <w:rPr/>
        <w:t>valuation</w:t>
      </w:r>
      <w:r>
        <w:rPr>
          <w:spacing w:val="-25"/>
        </w:rPr>
        <w:t> </w:t>
      </w:r>
      <w:r>
        <w:rPr/>
        <w:t>report. The</w:t>
      </w:r>
      <w:r>
        <w:rPr>
          <w:spacing w:val="-24"/>
        </w:rPr>
        <w:t> </w:t>
      </w:r>
      <w:r>
        <w:rPr/>
        <w:t>Letter</w:t>
      </w:r>
      <w:r>
        <w:rPr>
          <w:spacing w:val="-24"/>
        </w:rPr>
        <w:t> </w:t>
      </w:r>
      <w:r>
        <w:rPr/>
        <w:t>of</w:t>
      </w:r>
      <w:r>
        <w:rPr>
          <w:spacing w:val="-23"/>
        </w:rPr>
        <w:t> </w:t>
      </w:r>
      <w:r>
        <w:rPr/>
        <w:t>Engagement</w:t>
      </w:r>
      <w:r>
        <w:rPr>
          <w:spacing w:val="-23"/>
        </w:rPr>
        <w:t> </w:t>
      </w:r>
      <w:r>
        <w:rPr/>
        <w:t>(LOE)</w:t>
      </w:r>
      <w:r>
        <w:rPr>
          <w:spacing w:val="-22"/>
        </w:rPr>
        <w:t> </w:t>
      </w:r>
      <w:r>
        <w:rPr/>
        <w:t>along</w:t>
      </w:r>
      <w:r>
        <w:rPr>
          <w:spacing w:val="-23"/>
        </w:rPr>
        <w:t> </w:t>
      </w:r>
      <w:r>
        <w:rPr/>
        <w:t>with</w:t>
      </w:r>
      <w:r>
        <w:rPr>
          <w:spacing w:val="-23"/>
        </w:rPr>
        <w:t> </w:t>
      </w:r>
      <w:r>
        <w:rPr/>
        <w:t>amendments</w:t>
      </w:r>
      <w:r>
        <w:rPr>
          <w:spacing w:val="-22"/>
        </w:rPr>
        <w:t> </w:t>
      </w:r>
      <w:r>
        <w:rPr/>
        <w:t>sets</w:t>
      </w:r>
      <w:r>
        <w:rPr>
          <w:spacing w:val="-22"/>
        </w:rPr>
        <w:t> </w:t>
      </w:r>
      <w:r>
        <w:rPr/>
        <w:t>out</w:t>
      </w:r>
      <w:r>
        <w:rPr>
          <w:spacing w:val="-23"/>
        </w:rPr>
        <w:t> </w:t>
      </w:r>
      <w:r>
        <w:rPr/>
        <w:t>the</w:t>
      </w:r>
      <w:r>
        <w:rPr>
          <w:spacing w:val="-24"/>
        </w:rPr>
        <w:t> </w:t>
      </w:r>
      <w:r>
        <w:rPr/>
        <w:t>full</w:t>
      </w:r>
      <w:r>
        <w:rPr>
          <w:spacing w:val="-24"/>
        </w:rPr>
        <w:t> </w:t>
      </w:r>
      <w:r>
        <w:rPr/>
        <w:t>scope</w:t>
      </w:r>
      <w:r>
        <w:rPr>
          <w:spacing w:val="-23"/>
        </w:rPr>
        <w:t> </w:t>
      </w:r>
      <w:r>
        <w:rPr/>
        <w:t>of</w:t>
      </w:r>
      <w:r>
        <w:rPr>
          <w:spacing w:val="-22"/>
        </w:rPr>
        <w:t> </w:t>
      </w:r>
      <w:r>
        <w:rPr/>
        <w:t>services</w:t>
      </w:r>
      <w:r>
        <w:rPr>
          <w:spacing w:val="-22"/>
        </w:rPr>
        <w:t> </w:t>
      </w:r>
      <w:r>
        <w:rPr/>
        <w:t>that</w:t>
      </w:r>
      <w:r>
        <w:rPr>
          <w:spacing w:val="-23"/>
        </w:rPr>
        <w:t> </w:t>
      </w:r>
      <w:r>
        <w:rPr/>
        <w:t>shall</w:t>
      </w:r>
      <w:r>
        <w:rPr>
          <w:spacing w:val="-23"/>
        </w:rPr>
        <w:t> </w:t>
      </w:r>
      <w:r>
        <w:rPr/>
        <w:t>be covered by the valuation</w:t>
      </w:r>
      <w:r>
        <w:rPr>
          <w:spacing w:val="-14"/>
        </w:rPr>
        <w:t> </w:t>
      </w:r>
      <w:r>
        <w:rPr/>
        <w:t>report.</w:t>
      </w:r>
    </w:p>
    <w:p>
      <w:pPr>
        <w:pStyle w:val="ListParagraph"/>
        <w:numPr>
          <w:ilvl w:val="1"/>
          <w:numId w:val="15"/>
        </w:numPr>
        <w:tabs>
          <w:tab w:pos="857" w:val="left" w:leader="none"/>
        </w:tabs>
        <w:spacing w:line="240" w:lineRule="auto" w:before="124" w:after="0"/>
        <w:ind w:left="856" w:right="0" w:hanging="577"/>
        <w:jc w:val="both"/>
        <w:rPr>
          <w:sz w:val="22"/>
        </w:rPr>
      </w:pPr>
      <w:bookmarkStart w:name="_bookmark5" w:id="10"/>
      <w:bookmarkEnd w:id="10"/>
      <w:r>
        <w:rPr/>
      </w:r>
      <w:bookmarkStart w:name="_bookmark5" w:id="11"/>
      <w:bookmarkEnd w:id="11"/>
      <w:r>
        <w:rPr>
          <w:color w:val="1F6647"/>
          <w:sz w:val="22"/>
        </w:rPr>
        <w:t>V</w:t>
      </w:r>
      <w:r>
        <w:rPr>
          <w:color w:val="1F6647"/>
          <w:sz w:val="22"/>
        </w:rPr>
        <w:t>aluation</w:t>
      </w:r>
      <w:r>
        <w:rPr>
          <w:color w:val="1F6647"/>
          <w:spacing w:val="-2"/>
          <w:sz w:val="22"/>
        </w:rPr>
        <w:t> </w:t>
      </w:r>
      <w:r>
        <w:rPr>
          <w:color w:val="1F6647"/>
          <w:sz w:val="22"/>
        </w:rPr>
        <w:t>Capability</w:t>
      </w:r>
    </w:p>
    <w:p>
      <w:pPr>
        <w:pStyle w:val="BodyText"/>
        <w:spacing w:before="208"/>
        <w:ind w:left="820"/>
        <w:jc w:val="both"/>
      </w:pPr>
      <w:r>
        <w:rPr>
          <w:u w:val="single"/>
        </w:rPr>
        <w:t>Valuer under SEBI (REIT) Regulations, 2014: Mr. Manish Gupta, Partner, iVAS Partners</w:t>
      </w:r>
    </w:p>
    <w:p>
      <w:pPr>
        <w:pStyle w:val="BodyText"/>
        <w:spacing w:line="321" w:lineRule="auto" w:before="208"/>
        <w:ind w:left="820" w:right="635"/>
        <w:jc w:val="both"/>
      </w:pPr>
      <w:hyperlink r:id="rId38">
        <w:r>
          <w:rPr>
            <w:color w:val="0000FF"/>
            <w:u w:val="single" w:color="0000FF"/>
          </w:rPr>
          <w:t>iVAS</w:t>
        </w:r>
        <w:r>
          <w:rPr>
            <w:color w:val="0000FF"/>
            <w:spacing w:val="-27"/>
            <w:u w:val="single" w:color="0000FF"/>
          </w:rPr>
          <w:t> </w:t>
        </w:r>
        <w:r>
          <w:rPr>
            <w:color w:val="0000FF"/>
            <w:u w:val="single" w:color="0000FF"/>
          </w:rPr>
          <w:t>Partners</w:t>
        </w:r>
        <w:r>
          <w:rPr>
            <w:color w:val="0000FF"/>
            <w:spacing w:val="-24"/>
          </w:rPr>
          <w:t> </w:t>
        </w:r>
      </w:hyperlink>
      <w:r>
        <w:rPr/>
        <w:t>(Valuer</w:t>
      </w:r>
      <w:r>
        <w:rPr>
          <w:spacing w:val="-26"/>
        </w:rPr>
        <w:t> </w:t>
      </w:r>
      <w:r>
        <w:rPr/>
        <w:t>Registration</w:t>
      </w:r>
      <w:r>
        <w:rPr>
          <w:spacing w:val="-26"/>
        </w:rPr>
        <w:t> </w:t>
      </w:r>
      <w:r>
        <w:rPr/>
        <w:t>Number:</w:t>
      </w:r>
      <w:r>
        <w:rPr>
          <w:spacing w:val="-26"/>
        </w:rPr>
        <w:t> </w:t>
      </w:r>
      <w:r>
        <w:rPr/>
        <w:t>IBBI/RV-E/02/2020/112)</w:t>
      </w:r>
      <w:r>
        <w:rPr>
          <w:spacing w:val="-25"/>
        </w:rPr>
        <w:t> </w:t>
      </w:r>
      <w:r>
        <w:rPr/>
        <w:t>delivers</w:t>
      </w:r>
      <w:r>
        <w:rPr>
          <w:spacing w:val="-25"/>
        </w:rPr>
        <w:t> </w:t>
      </w:r>
      <w:r>
        <w:rPr/>
        <w:t>reliable</w:t>
      </w:r>
      <w:r>
        <w:rPr>
          <w:spacing w:val="-26"/>
        </w:rPr>
        <w:t> </w:t>
      </w:r>
      <w:r>
        <w:rPr/>
        <w:t>and</w:t>
      </w:r>
      <w:r>
        <w:rPr>
          <w:spacing w:val="-25"/>
        </w:rPr>
        <w:t> </w:t>
      </w:r>
      <w:r>
        <w:rPr/>
        <w:t>independent valuation (across categories viz. land &amp; building and plant &amp; machinery), advisory and technical due diligence</w:t>
      </w:r>
      <w:r>
        <w:rPr>
          <w:spacing w:val="-7"/>
        </w:rPr>
        <w:t> </w:t>
      </w:r>
      <w:r>
        <w:rPr/>
        <w:t>services,</w:t>
      </w:r>
      <w:r>
        <w:rPr>
          <w:spacing w:val="-5"/>
        </w:rPr>
        <w:t> </w:t>
      </w:r>
      <w:r>
        <w:rPr/>
        <w:t>that</w:t>
      </w:r>
      <w:r>
        <w:rPr>
          <w:spacing w:val="-7"/>
        </w:rPr>
        <w:t> </w:t>
      </w:r>
      <w:r>
        <w:rPr/>
        <w:t>combine</w:t>
      </w:r>
      <w:r>
        <w:rPr>
          <w:spacing w:val="-6"/>
        </w:rPr>
        <w:t> </w:t>
      </w:r>
      <w:r>
        <w:rPr/>
        <w:t>professional</w:t>
      </w:r>
      <w:r>
        <w:rPr>
          <w:spacing w:val="-4"/>
        </w:rPr>
        <w:t> </w:t>
      </w:r>
      <w:r>
        <w:rPr/>
        <w:t>expertise</w:t>
      </w:r>
      <w:r>
        <w:rPr>
          <w:spacing w:val="-6"/>
        </w:rPr>
        <w:t> </w:t>
      </w:r>
      <w:r>
        <w:rPr/>
        <w:t>with</w:t>
      </w:r>
      <w:r>
        <w:rPr>
          <w:spacing w:val="-8"/>
        </w:rPr>
        <w:t> </w:t>
      </w:r>
      <w:r>
        <w:rPr/>
        <w:t>comprehensive</w:t>
      </w:r>
      <w:r>
        <w:rPr>
          <w:spacing w:val="-6"/>
        </w:rPr>
        <w:t> </w:t>
      </w:r>
      <w:r>
        <w:rPr/>
        <w:t>databases,</w:t>
      </w:r>
      <w:r>
        <w:rPr>
          <w:spacing w:val="-7"/>
        </w:rPr>
        <w:t> </w:t>
      </w:r>
      <w:r>
        <w:rPr/>
        <w:t>analytics</w:t>
      </w:r>
      <w:r>
        <w:rPr>
          <w:spacing w:val="-6"/>
        </w:rPr>
        <w:t> </w:t>
      </w:r>
      <w:r>
        <w:rPr>
          <w:spacing w:val="-2"/>
        </w:rPr>
        <w:t>and </w:t>
      </w:r>
      <w:r>
        <w:rPr/>
        <w:t>market intelligence across various asset classes </w:t>
      </w:r>
      <w:r>
        <w:rPr>
          <w:spacing w:val="-2"/>
        </w:rPr>
        <w:t>and </w:t>
      </w:r>
      <w:r>
        <w:rPr/>
        <w:t>locations in</w:t>
      </w:r>
      <w:r>
        <w:rPr>
          <w:spacing w:val="-46"/>
        </w:rPr>
        <w:t> </w:t>
      </w:r>
      <w:r>
        <w:rPr/>
        <w:t>India.</w:t>
      </w:r>
    </w:p>
    <w:p>
      <w:pPr>
        <w:pStyle w:val="BodyText"/>
        <w:spacing w:line="321" w:lineRule="auto" w:before="123"/>
        <w:ind w:left="820" w:right="635"/>
        <w:jc w:val="both"/>
      </w:pPr>
      <w:r>
        <w:rPr/>
        <w:t>Manish</w:t>
      </w:r>
      <w:r>
        <w:rPr>
          <w:spacing w:val="-30"/>
        </w:rPr>
        <w:t> </w:t>
      </w:r>
      <w:r>
        <w:rPr/>
        <w:t>Gupta,</w:t>
      </w:r>
      <w:r>
        <w:rPr>
          <w:spacing w:val="-30"/>
        </w:rPr>
        <w:t> </w:t>
      </w:r>
      <w:r>
        <w:rPr/>
        <w:t>Partner</w:t>
      </w:r>
      <w:r>
        <w:rPr>
          <w:spacing w:val="-29"/>
        </w:rPr>
        <w:t> </w:t>
      </w:r>
      <w:r>
        <w:rPr/>
        <w:t>at</w:t>
      </w:r>
      <w:r>
        <w:rPr>
          <w:spacing w:val="-31"/>
        </w:rPr>
        <w:t> </w:t>
      </w:r>
      <w:r>
        <w:rPr/>
        <w:t>iVAS</w:t>
      </w:r>
      <w:r>
        <w:rPr>
          <w:spacing w:val="-29"/>
        </w:rPr>
        <w:t> </w:t>
      </w:r>
      <w:r>
        <w:rPr/>
        <w:t>Partners,</w:t>
      </w:r>
      <w:r>
        <w:rPr>
          <w:spacing w:val="-30"/>
        </w:rPr>
        <w:t> </w:t>
      </w:r>
      <w:r>
        <w:rPr/>
        <w:t>is</w:t>
      </w:r>
      <w:r>
        <w:rPr>
          <w:spacing w:val="-30"/>
        </w:rPr>
        <w:t> </w:t>
      </w:r>
      <w:r>
        <w:rPr/>
        <w:t>a</w:t>
      </w:r>
      <w:r>
        <w:rPr>
          <w:spacing w:val="-30"/>
        </w:rPr>
        <w:t> </w:t>
      </w:r>
      <w:r>
        <w:rPr/>
        <w:t>Registered</w:t>
      </w:r>
      <w:r>
        <w:rPr>
          <w:spacing w:val="-29"/>
        </w:rPr>
        <w:t> </w:t>
      </w:r>
      <w:r>
        <w:rPr/>
        <w:t>Architect</w:t>
      </w:r>
      <w:r>
        <w:rPr>
          <w:spacing w:val="-29"/>
        </w:rPr>
        <w:t> </w:t>
      </w:r>
      <w:r>
        <w:rPr/>
        <w:t>with</w:t>
      </w:r>
      <w:r>
        <w:rPr>
          <w:spacing w:val="-31"/>
        </w:rPr>
        <w:t> </w:t>
      </w:r>
      <w:r>
        <w:rPr/>
        <w:t>Council</w:t>
      </w:r>
      <w:r>
        <w:rPr>
          <w:spacing w:val="-30"/>
        </w:rPr>
        <w:t> </w:t>
      </w:r>
      <w:r>
        <w:rPr/>
        <w:t>of</w:t>
      </w:r>
      <w:r>
        <w:rPr>
          <w:spacing w:val="-29"/>
        </w:rPr>
        <w:t> </w:t>
      </w:r>
      <w:r>
        <w:rPr/>
        <w:t>Architecture</w:t>
      </w:r>
      <w:r>
        <w:rPr>
          <w:spacing w:val="-30"/>
        </w:rPr>
        <w:t> </w:t>
      </w:r>
      <w:r>
        <w:rPr/>
        <w:t>(COA)</w:t>
      </w:r>
      <w:r>
        <w:rPr>
          <w:spacing w:val="-28"/>
        </w:rPr>
        <w:t> </w:t>
      </w:r>
      <w:r>
        <w:rPr>
          <w:spacing w:val="-2"/>
        </w:rPr>
        <w:t>and </w:t>
      </w:r>
      <w:r>
        <w:rPr/>
        <w:t>a</w:t>
      </w:r>
      <w:r>
        <w:rPr>
          <w:spacing w:val="-26"/>
        </w:rPr>
        <w:t> </w:t>
      </w:r>
      <w:r>
        <w:rPr/>
        <w:t>member</w:t>
      </w:r>
      <w:r>
        <w:rPr>
          <w:spacing w:val="-25"/>
        </w:rPr>
        <w:t> </w:t>
      </w:r>
      <w:r>
        <w:rPr/>
        <w:t>of</w:t>
      </w:r>
      <w:r>
        <w:rPr>
          <w:spacing w:val="-23"/>
        </w:rPr>
        <w:t> </w:t>
      </w:r>
      <w:r>
        <w:rPr/>
        <w:t>the</w:t>
      </w:r>
      <w:r>
        <w:rPr>
          <w:spacing w:val="-25"/>
        </w:rPr>
        <w:t> </w:t>
      </w:r>
      <w:r>
        <w:rPr/>
        <w:t>Royal</w:t>
      </w:r>
      <w:r>
        <w:rPr>
          <w:spacing w:val="-26"/>
        </w:rPr>
        <w:t> </w:t>
      </w:r>
      <w:r>
        <w:rPr/>
        <w:t>Institute</w:t>
      </w:r>
      <w:r>
        <w:rPr>
          <w:spacing w:val="-25"/>
        </w:rPr>
        <w:t> </w:t>
      </w:r>
      <w:r>
        <w:rPr/>
        <w:t>of</w:t>
      </w:r>
      <w:r>
        <w:rPr>
          <w:spacing w:val="-23"/>
        </w:rPr>
        <w:t> </w:t>
      </w:r>
      <w:r>
        <w:rPr/>
        <w:t>Charted</w:t>
      </w:r>
      <w:r>
        <w:rPr>
          <w:spacing w:val="-24"/>
        </w:rPr>
        <w:t> </w:t>
      </w:r>
      <w:r>
        <w:rPr/>
        <w:t>Surveyors</w:t>
      </w:r>
      <w:r>
        <w:rPr>
          <w:spacing w:val="-24"/>
        </w:rPr>
        <w:t> </w:t>
      </w:r>
      <w:r>
        <w:rPr/>
        <w:t>(MRICS)</w:t>
      </w:r>
      <w:r>
        <w:rPr>
          <w:spacing w:val="-21"/>
        </w:rPr>
        <w:t> </w:t>
      </w:r>
      <w:r>
        <w:rPr/>
        <w:t>and</w:t>
      </w:r>
      <w:r>
        <w:rPr>
          <w:spacing w:val="-24"/>
        </w:rPr>
        <w:t> </w:t>
      </w:r>
      <w:r>
        <w:rPr/>
        <w:t>Institution</w:t>
      </w:r>
      <w:r>
        <w:rPr>
          <w:spacing w:val="-25"/>
        </w:rPr>
        <w:t> </w:t>
      </w:r>
      <w:r>
        <w:rPr/>
        <w:t>of</w:t>
      </w:r>
      <w:r>
        <w:rPr>
          <w:spacing w:val="-23"/>
        </w:rPr>
        <w:t> </w:t>
      </w:r>
      <w:r>
        <w:rPr/>
        <w:t>Valuers</w:t>
      </w:r>
      <w:r>
        <w:rPr>
          <w:spacing w:val="-24"/>
        </w:rPr>
        <w:t> </w:t>
      </w:r>
      <w:r>
        <w:rPr/>
        <w:t>(IOV),</w:t>
      </w:r>
      <w:r>
        <w:rPr>
          <w:spacing w:val="-25"/>
        </w:rPr>
        <w:t> </w:t>
      </w:r>
      <w:r>
        <w:rPr/>
        <w:t>with</w:t>
      </w:r>
      <w:r>
        <w:rPr>
          <w:spacing w:val="-25"/>
        </w:rPr>
        <w:t> </w:t>
      </w:r>
      <w:r>
        <w:rPr/>
        <w:t>over 12</w:t>
      </w:r>
      <w:r>
        <w:rPr>
          <w:spacing w:val="-20"/>
        </w:rPr>
        <w:t> </w:t>
      </w:r>
      <w:r>
        <w:rPr/>
        <w:t>years</w:t>
      </w:r>
      <w:r>
        <w:rPr>
          <w:spacing w:val="-19"/>
        </w:rPr>
        <w:t> </w:t>
      </w:r>
      <w:r>
        <w:rPr/>
        <w:t>of</w:t>
      </w:r>
      <w:r>
        <w:rPr>
          <w:spacing w:val="-19"/>
        </w:rPr>
        <w:t> </w:t>
      </w:r>
      <w:r>
        <w:rPr/>
        <w:t>experience</w:t>
      </w:r>
      <w:r>
        <w:rPr>
          <w:spacing w:val="-19"/>
        </w:rPr>
        <w:t> </w:t>
      </w:r>
      <w:r>
        <w:rPr/>
        <w:t>in</w:t>
      </w:r>
      <w:r>
        <w:rPr>
          <w:spacing w:val="-20"/>
        </w:rPr>
        <w:t> </w:t>
      </w:r>
      <w:r>
        <w:rPr/>
        <w:t>the</w:t>
      </w:r>
      <w:r>
        <w:rPr>
          <w:spacing w:val="-19"/>
        </w:rPr>
        <w:t> </w:t>
      </w:r>
      <w:r>
        <w:rPr/>
        <w:t>real</w:t>
      </w:r>
      <w:r>
        <w:rPr>
          <w:spacing w:val="-19"/>
        </w:rPr>
        <w:t> </w:t>
      </w:r>
      <w:r>
        <w:rPr/>
        <w:t>estate</w:t>
      </w:r>
      <w:r>
        <w:rPr>
          <w:spacing w:val="-20"/>
        </w:rPr>
        <w:t> </w:t>
      </w:r>
      <w:r>
        <w:rPr/>
        <w:t>industry.</w:t>
      </w:r>
      <w:r>
        <w:rPr>
          <w:spacing w:val="-21"/>
        </w:rPr>
        <w:t> </w:t>
      </w:r>
      <w:r>
        <w:rPr/>
        <w:t>Manish</w:t>
      </w:r>
      <w:r>
        <w:rPr>
          <w:spacing w:val="-19"/>
        </w:rPr>
        <w:t> </w:t>
      </w:r>
      <w:r>
        <w:rPr/>
        <w:t>is</w:t>
      </w:r>
      <w:r>
        <w:rPr>
          <w:spacing w:val="-20"/>
        </w:rPr>
        <w:t> </w:t>
      </w:r>
      <w:r>
        <w:rPr/>
        <w:t>a</w:t>
      </w:r>
      <w:r>
        <w:rPr>
          <w:spacing w:val="-21"/>
        </w:rPr>
        <w:t> </w:t>
      </w:r>
      <w:r>
        <w:rPr/>
        <w:t>seasoned</w:t>
      </w:r>
      <w:r>
        <w:rPr>
          <w:spacing w:val="-20"/>
        </w:rPr>
        <w:t> </w:t>
      </w:r>
      <w:r>
        <w:rPr/>
        <w:t>professional</w:t>
      </w:r>
      <w:r>
        <w:rPr>
          <w:spacing w:val="-20"/>
        </w:rPr>
        <w:t> </w:t>
      </w:r>
      <w:r>
        <w:rPr/>
        <w:t>with</w:t>
      </w:r>
      <w:r>
        <w:rPr>
          <w:spacing w:val="-19"/>
        </w:rPr>
        <w:t> </w:t>
      </w:r>
      <w:r>
        <w:rPr/>
        <w:t>experience</w:t>
      </w:r>
      <w:r>
        <w:rPr>
          <w:spacing w:val="-20"/>
        </w:rPr>
        <w:t> </w:t>
      </w:r>
      <w:r>
        <w:rPr/>
        <w:t>in providing</w:t>
      </w:r>
      <w:r>
        <w:rPr>
          <w:spacing w:val="-4"/>
        </w:rPr>
        <w:t> </w:t>
      </w:r>
      <w:r>
        <w:rPr/>
        <w:t>real</w:t>
      </w:r>
      <w:r>
        <w:rPr>
          <w:spacing w:val="-5"/>
        </w:rPr>
        <w:t> </w:t>
      </w:r>
      <w:r>
        <w:rPr/>
        <w:t>estate</w:t>
      </w:r>
      <w:r>
        <w:rPr>
          <w:spacing w:val="-5"/>
        </w:rPr>
        <w:t> </w:t>
      </w:r>
      <w:r>
        <w:rPr/>
        <w:t>valuation</w:t>
      </w:r>
      <w:r>
        <w:rPr>
          <w:spacing w:val="-5"/>
        </w:rPr>
        <w:t> </w:t>
      </w:r>
      <w:r>
        <w:rPr/>
        <w:t>services</w:t>
      </w:r>
      <w:r>
        <w:rPr>
          <w:spacing w:val="-4"/>
        </w:rPr>
        <w:t> </w:t>
      </w:r>
      <w:r>
        <w:rPr/>
        <w:t>to</w:t>
      </w:r>
      <w:r>
        <w:rPr>
          <w:spacing w:val="-5"/>
        </w:rPr>
        <w:t> </w:t>
      </w:r>
      <w:r>
        <w:rPr/>
        <w:t>a</w:t>
      </w:r>
      <w:r>
        <w:rPr>
          <w:spacing w:val="-7"/>
        </w:rPr>
        <w:t> </w:t>
      </w:r>
      <w:r>
        <w:rPr/>
        <w:t>wide</w:t>
      </w:r>
      <w:r>
        <w:rPr>
          <w:spacing w:val="-5"/>
        </w:rPr>
        <w:t> </w:t>
      </w:r>
      <w:r>
        <w:rPr/>
        <w:t>spectrum</w:t>
      </w:r>
      <w:r>
        <w:rPr>
          <w:spacing w:val="-4"/>
        </w:rPr>
        <w:t> </w:t>
      </w:r>
      <w:r>
        <w:rPr/>
        <w:t>of</w:t>
      </w:r>
      <w:r>
        <w:rPr>
          <w:spacing w:val="-5"/>
        </w:rPr>
        <w:t> </w:t>
      </w:r>
      <w:r>
        <w:rPr/>
        <w:t>clients including</w:t>
      </w:r>
      <w:r>
        <w:rPr>
          <w:spacing w:val="-5"/>
        </w:rPr>
        <w:t> </w:t>
      </w:r>
      <w:r>
        <w:rPr/>
        <w:t>financial</w:t>
      </w:r>
      <w:r>
        <w:rPr>
          <w:spacing w:val="-5"/>
        </w:rPr>
        <w:t> </w:t>
      </w:r>
      <w:r>
        <w:rPr/>
        <w:t>institutions, private</w:t>
      </w:r>
      <w:r>
        <w:rPr>
          <w:spacing w:val="-43"/>
        </w:rPr>
        <w:t> </w:t>
      </w:r>
      <w:r>
        <w:rPr/>
        <w:t>equity</w:t>
      </w:r>
      <w:r>
        <w:rPr>
          <w:spacing w:val="-42"/>
        </w:rPr>
        <w:t> </w:t>
      </w:r>
      <w:r>
        <w:rPr/>
        <w:t>funds,</w:t>
      </w:r>
      <w:r>
        <w:rPr>
          <w:spacing w:val="-43"/>
        </w:rPr>
        <w:t> </w:t>
      </w:r>
      <w:r>
        <w:rPr/>
        <w:t>developers,</w:t>
      </w:r>
      <w:r>
        <w:rPr>
          <w:spacing w:val="-42"/>
        </w:rPr>
        <w:t> </w:t>
      </w:r>
      <w:r>
        <w:rPr/>
        <w:t>NBFCs,</w:t>
      </w:r>
      <w:r>
        <w:rPr>
          <w:spacing w:val="-43"/>
        </w:rPr>
        <w:t> </w:t>
      </w:r>
      <w:r>
        <w:rPr/>
        <w:t>corporate</w:t>
      </w:r>
      <w:r>
        <w:rPr>
          <w:spacing w:val="-42"/>
        </w:rPr>
        <w:t> </w:t>
      </w:r>
      <w:r>
        <w:rPr/>
        <w:t>houses,</w:t>
      </w:r>
      <w:r>
        <w:rPr>
          <w:spacing w:val="-43"/>
        </w:rPr>
        <w:t> </w:t>
      </w:r>
      <w:r>
        <w:rPr/>
        <w:t>banks,</w:t>
      </w:r>
      <w:r>
        <w:rPr>
          <w:spacing w:val="-42"/>
        </w:rPr>
        <w:t> </w:t>
      </w:r>
      <w:r>
        <w:rPr/>
        <w:t>resolution</w:t>
      </w:r>
      <w:r>
        <w:rPr>
          <w:spacing w:val="-43"/>
        </w:rPr>
        <w:t> </w:t>
      </w:r>
      <w:r>
        <w:rPr/>
        <w:t>professionals,</w:t>
      </w:r>
      <w:r>
        <w:rPr>
          <w:spacing w:val="-43"/>
        </w:rPr>
        <w:t> </w:t>
      </w:r>
      <w:r>
        <w:rPr/>
        <w:t>land</w:t>
      </w:r>
      <w:r>
        <w:rPr>
          <w:spacing w:val="-42"/>
        </w:rPr>
        <w:t> </w:t>
      </w:r>
      <w:r>
        <w:rPr/>
        <w:t>owners, etc.</w:t>
      </w:r>
    </w:p>
    <w:p>
      <w:pPr>
        <w:pStyle w:val="BodyText"/>
        <w:spacing w:line="321" w:lineRule="auto" w:before="123"/>
        <w:ind w:left="820" w:right="636"/>
        <w:jc w:val="both"/>
      </w:pPr>
      <w:r>
        <w:rPr/>
        <w:t>He</w:t>
      </w:r>
      <w:r>
        <w:rPr>
          <w:spacing w:val="-14"/>
        </w:rPr>
        <w:t> </w:t>
      </w:r>
      <w:r>
        <w:rPr/>
        <w:t>has</w:t>
      </w:r>
      <w:r>
        <w:rPr>
          <w:spacing w:val="-12"/>
        </w:rPr>
        <w:t> </w:t>
      </w:r>
      <w:r>
        <w:rPr/>
        <w:t>worked</w:t>
      </w:r>
      <w:r>
        <w:rPr>
          <w:spacing w:val="-12"/>
        </w:rPr>
        <w:t> </w:t>
      </w:r>
      <w:r>
        <w:rPr/>
        <w:t>on</w:t>
      </w:r>
      <w:r>
        <w:rPr>
          <w:spacing w:val="-13"/>
        </w:rPr>
        <w:t> </w:t>
      </w:r>
      <w:r>
        <w:rPr/>
        <w:t>variety</w:t>
      </w:r>
      <w:r>
        <w:rPr>
          <w:spacing w:val="-12"/>
        </w:rPr>
        <w:t> </w:t>
      </w:r>
      <w:r>
        <w:rPr/>
        <w:t>of</w:t>
      </w:r>
      <w:r>
        <w:rPr>
          <w:spacing w:val="-13"/>
        </w:rPr>
        <w:t> </w:t>
      </w:r>
      <w:r>
        <w:rPr/>
        <w:t>valuation,</w:t>
      </w:r>
      <w:r>
        <w:rPr>
          <w:spacing w:val="-13"/>
        </w:rPr>
        <w:t> </w:t>
      </w:r>
      <w:r>
        <w:rPr/>
        <w:t>consulting</w:t>
      </w:r>
      <w:r>
        <w:rPr>
          <w:spacing w:val="-14"/>
        </w:rPr>
        <w:t> </w:t>
      </w:r>
      <w:r>
        <w:rPr/>
        <w:t>and</w:t>
      </w:r>
      <w:r>
        <w:rPr>
          <w:spacing w:val="-13"/>
        </w:rPr>
        <w:t> </w:t>
      </w:r>
      <w:r>
        <w:rPr/>
        <w:t>technical</w:t>
      </w:r>
      <w:r>
        <w:rPr>
          <w:spacing w:val="-13"/>
        </w:rPr>
        <w:t> </w:t>
      </w:r>
      <w:r>
        <w:rPr/>
        <w:t>due-diligence</w:t>
      </w:r>
      <w:r>
        <w:rPr>
          <w:spacing w:val="-14"/>
        </w:rPr>
        <w:t> </w:t>
      </w:r>
      <w:r>
        <w:rPr/>
        <w:t>assignments</w:t>
      </w:r>
      <w:r>
        <w:rPr>
          <w:spacing w:val="-14"/>
        </w:rPr>
        <w:t> </w:t>
      </w:r>
      <w:r>
        <w:rPr/>
        <w:t>for</w:t>
      </w:r>
      <w:r>
        <w:rPr>
          <w:spacing w:val="-13"/>
        </w:rPr>
        <w:t> </w:t>
      </w:r>
      <w:r>
        <w:rPr/>
        <w:t>various </w:t>
      </w:r>
      <w:r>
        <w:rPr>
          <w:w w:val="95"/>
        </w:rPr>
        <w:t>purposes including investment related due diligence, mortgage/collateral appraisals, financial reporting, </w:t>
      </w:r>
      <w:r>
        <w:rPr/>
        <w:t>listing</w:t>
      </w:r>
      <w:r>
        <w:rPr>
          <w:spacing w:val="-20"/>
        </w:rPr>
        <w:t> </w:t>
      </w:r>
      <w:r>
        <w:rPr/>
        <w:t>purposes,</w:t>
      </w:r>
      <w:r>
        <w:rPr>
          <w:spacing w:val="-20"/>
        </w:rPr>
        <w:t> </w:t>
      </w:r>
      <w:r>
        <w:rPr/>
        <w:t>IBC</w:t>
      </w:r>
      <w:r>
        <w:rPr>
          <w:spacing w:val="-19"/>
        </w:rPr>
        <w:t> </w:t>
      </w:r>
      <w:r>
        <w:rPr/>
        <w:t>led</w:t>
      </w:r>
      <w:r>
        <w:rPr>
          <w:spacing w:val="-20"/>
        </w:rPr>
        <w:t> </w:t>
      </w:r>
      <w:r>
        <w:rPr/>
        <w:t>requirements,</w:t>
      </w:r>
      <w:r>
        <w:rPr>
          <w:spacing w:val="-19"/>
        </w:rPr>
        <w:t> </w:t>
      </w:r>
      <w:r>
        <w:rPr/>
        <w:t>etc.</w:t>
      </w:r>
      <w:r>
        <w:rPr>
          <w:spacing w:val="-19"/>
        </w:rPr>
        <w:t> </w:t>
      </w:r>
      <w:r>
        <w:rPr/>
        <w:t>across</w:t>
      </w:r>
      <w:r>
        <w:rPr>
          <w:spacing w:val="-20"/>
        </w:rPr>
        <w:t> </w:t>
      </w:r>
      <w:r>
        <w:rPr/>
        <w:t>a</w:t>
      </w:r>
      <w:r>
        <w:rPr>
          <w:spacing w:val="-20"/>
        </w:rPr>
        <w:t> </w:t>
      </w:r>
      <w:r>
        <w:rPr/>
        <w:t>range</w:t>
      </w:r>
      <w:r>
        <w:rPr>
          <w:spacing w:val="-19"/>
        </w:rPr>
        <w:t> </w:t>
      </w:r>
      <w:r>
        <w:rPr/>
        <w:t>of</w:t>
      </w:r>
      <w:r>
        <w:rPr>
          <w:spacing w:val="-19"/>
        </w:rPr>
        <w:t> </w:t>
      </w:r>
      <w:r>
        <w:rPr/>
        <w:t>asset</w:t>
      </w:r>
      <w:r>
        <w:rPr>
          <w:spacing w:val="-18"/>
        </w:rPr>
        <w:t> </w:t>
      </w:r>
      <w:r>
        <w:rPr/>
        <w:t>classes</w:t>
      </w:r>
      <w:r>
        <w:rPr>
          <w:spacing w:val="-22"/>
        </w:rPr>
        <w:t> </w:t>
      </w:r>
      <w:r>
        <w:rPr/>
        <w:t>such</w:t>
      </w:r>
      <w:r>
        <w:rPr>
          <w:spacing w:val="-19"/>
        </w:rPr>
        <w:t> </w:t>
      </w:r>
      <w:r>
        <w:rPr/>
        <w:t>as</w:t>
      </w:r>
      <w:r>
        <w:rPr>
          <w:spacing w:val="-19"/>
        </w:rPr>
        <w:t> </w:t>
      </w:r>
      <w:r>
        <w:rPr/>
        <w:t>residential</w:t>
      </w:r>
      <w:r>
        <w:rPr>
          <w:spacing w:val="-19"/>
        </w:rPr>
        <w:t> </w:t>
      </w:r>
      <w:r>
        <w:rPr/>
        <w:t>projects, </w:t>
      </w:r>
      <w:r>
        <w:rPr>
          <w:w w:val="95"/>
        </w:rPr>
        <w:t>integrated township developments, hospitality assets, commercial (office and retail) projects, industrial developments, warehousing parks, educational projects, healthcare developments, etc. for both national </w:t>
      </w:r>
      <w:r>
        <w:rPr/>
        <w:t>as well as international</w:t>
      </w:r>
      <w:r>
        <w:rPr>
          <w:spacing w:val="-15"/>
        </w:rPr>
        <w:t> </w:t>
      </w:r>
      <w:r>
        <w:rPr/>
        <w:t>clients.</w:t>
      </w:r>
    </w:p>
    <w:p>
      <w:pPr>
        <w:pStyle w:val="BodyText"/>
        <w:spacing w:before="124"/>
        <w:ind w:left="820"/>
        <w:jc w:val="both"/>
      </w:pPr>
      <w:r>
        <w:rPr>
          <w:u w:val="single"/>
        </w:rPr>
        <w:t>Value Assessment Service Provider: CBRE South Asia Pvt. Ltd.</w:t>
      </w:r>
    </w:p>
    <w:p>
      <w:pPr>
        <w:pStyle w:val="BodyText"/>
        <w:spacing w:line="321" w:lineRule="auto" w:before="208"/>
        <w:ind w:left="820" w:right="637"/>
        <w:jc w:val="both"/>
      </w:pPr>
      <w:r>
        <w:rPr/>
        <w:t>CBRE</w:t>
      </w:r>
      <w:r>
        <w:rPr>
          <w:spacing w:val="-23"/>
        </w:rPr>
        <w:t> </w:t>
      </w:r>
      <w:r>
        <w:rPr/>
        <w:t>Advisory</w:t>
      </w:r>
      <w:r>
        <w:rPr>
          <w:spacing w:val="-21"/>
        </w:rPr>
        <w:t> </w:t>
      </w:r>
      <w:r>
        <w:rPr/>
        <w:t>Services</w:t>
      </w:r>
      <w:r>
        <w:rPr>
          <w:spacing w:val="-19"/>
        </w:rPr>
        <w:t> </w:t>
      </w:r>
      <w:r>
        <w:rPr/>
        <w:t>India</w:t>
      </w:r>
      <w:r>
        <w:rPr>
          <w:spacing w:val="-22"/>
        </w:rPr>
        <w:t> </w:t>
      </w:r>
      <w:r>
        <w:rPr/>
        <w:t>is</w:t>
      </w:r>
      <w:r>
        <w:rPr>
          <w:spacing w:val="-20"/>
        </w:rPr>
        <w:t> </w:t>
      </w:r>
      <w:r>
        <w:rPr/>
        <w:t>an</w:t>
      </w:r>
      <w:r>
        <w:rPr>
          <w:spacing w:val="-21"/>
        </w:rPr>
        <w:t> </w:t>
      </w:r>
      <w:r>
        <w:rPr/>
        <w:t>integral</w:t>
      </w:r>
      <w:r>
        <w:rPr>
          <w:spacing w:val="-21"/>
        </w:rPr>
        <w:t> </w:t>
      </w:r>
      <w:r>
        <w:rPr/>
        <w:t>part</w:t>
      </w:r>
      <w:r>
        <w:rPr>
          <w:spacing w:val="-20"/>
        </w:rPr>
        <w:t> </w:t>
      </w:r>
      <w:r>
        <w:rPr/>
        <w:t>of</w:t>
      </w:r>
      <w:r>
        <w:rPr>
          <w:spacing w:val="-22"/>
        </w:rPr>
        <w:t> </w:t>
      </w:r>
      <w:r>
        <w:rPr/>
        <w:t>CBRE</w:t>
      </w:r>
      <w:r>
        <w:rPr>
          <w:spacing w:val="-22"/>
        </w:rPr>
        <w:t> </w:t>
      </w:r>
      <w:r>
        <w:rPr/>
        <w:t>Global</w:t>
      </w:r>
      <w:r>
        <w:rPr>
          <w:spacing w:val="-21"/>
        </w:rPr>
        <w:t> </w:t>
      </w:r>
      <w:r>
        <w:rPr/>
        <w:t>Valuation</w:t>
      </w:r>
      <w:r>
        <w:rPr>
          <w:spacing w:val="-21"/>
        </w:rPr>
        <w:t> </w:t>
      </w:r>
      <w:r>
        <w:rPr/>
        <w:t>&amp;</w:t>
      </w:r>
      <w:r>
        <w:rPr>
          <w:spacing w:val="-22"/>
        </w:rPr>
        <w:t> </w:t>
      </w:r>
      <w:r>
        <w:rPr/>
        <w:t>Advisory</w:t>
      </w:r>
      <w:r>
        <w:rPr>
          <w:spacing w:val="-20"/>
        </w:rPr>
        <w:t> </w:t>
      </w:r>
      <w:r>
        <w:rPr/>
        <w:t>Services</w:t>
      </w:r>
      <w:r>
        <w:rPr>
          <w:spacing w:val="-21"/>
        </w:rPr>
        <w:t> </w:t>
      </w:r>
      <w:r>
        <w:rPr/>
        <w:t>team.</w:t>
      </w:r>
      <w:r>
        <w:rPr>
          <w:spacing w:val="-23"/>
        </w:rPr>
        <w:t> </w:t>
      </w:r>
      <w:r>
        <w:rPr/>
        <w:t>The Global</w:t>
      </w:r>
      <w:r>
        <w:rPr>
          <w:spacing w:val="-6"/>
        </w:rPr>
        <w:t> </w:t>
      </w:r>
      <w:r>
        <w:rPr/>
        <w:t>VAS</w:t>
      </w:r>
      <w:r>
        <w:rPr>
          <w:spacing w:val="-5"/>
        </w:rPr>
        <w:t> </w:t>
      </w:r>
      <w:r>
        <w:rPr/>
        <w:t>team</w:t>
      </w:r>
      <w:r>
        <w:rPr>
          <w:spacing w:val="-6"/>
        </w:rPr>
        <w:t> </w:t>
      </w:r>
      <w:r>
        <w:rPr/>
        <w:t>comprises</w:t>
      </w:r>
      <w:r>
        <w:rPr>
          <w:spacing w:val="-3"/>
        </w:rPr>
        <w:t> </w:t>
      </w:r>
      <w:r>
        <w:rPr/>
        <w:t>of</w:t>
      </w:r>
      <w:r>
        <w:rPr>
          <w:spacing w:val="-5"/>
        </w:rPr>
        <w:t> </w:t>
      </w:r>
      <w:r>
        <w:rPr/>
        <w:t>over</w:t>
      </w:r>
      <w:r>
        <w:rPr>
          <w:spacing w:val="-5"/>
        </w:rPr>
        <w:t> </w:t>
      </w:r>
      <w:r>
        <w:rPr/>
        <w:t>1,500</w:t>
      </w:r>
      <w:r>
        <w:rPr>
          <w:spacing w:val="-6"/>
        </w:rPr>
        <w:t> </w:t>
      </w:r>
      <w:r>
        <w:rPr/>
        <w:t>professionals</w:t>
      </w:r>
      <w:r>
        <w:rPr>
          <w:spacing w:val="-4"/>
        </w:rPr>
        <w:t> </w:t>
      </w:r>
      <w:r>
        <w:rPr/>
        <w:t>across</w:t>
      </w:r>
      <w:r>
        <w:rPr>
          <w:spacing w:val="-4"/>
        </w:rPr>
        <w:t> </w:t>
      </w:r>
      <w:r>
        <w:rPr/>
        <w:t>approximately</w:t>
      </w:r>
      <w:r>
        <w:rPr>
          <w:spacing w:val="-4"/>
        </w:rPr>
        <w:t> </w:t>
      </w:r>
      <w:r>
        <w:rPr/>
        <w:t>280</w:t>
      </w:r>
      <w:r>
        <w:rPr>
          <w:spacing w:val="-6"/>
        </w:rPr>
        <w:t> </w:t>
      </w:r>
      <w:r>
        <w:rPr/>
        <w:t>offices</w:t>
      </w:r>
      <w:r>
        <w:rPr>
          <w:spacing w:val="-3"/>
        </w:rPr>
        <w:t> </w:t>
      </w:r>
      <w:r>
        <w:rPr/>
        <w:t>globally</w:t>
      </w:r>
      <w:r>
        <w:rPr>
          <w:spacing w:val="-4"/>
        </w:rPr>
        <w:t> </w:t>
      </w:r>
      <w:r>
        <w:rPr>
          <w:spacing w:val="-2"/>
        </w:rPr>
        <w:t>and </w:t>
      </w:r>
      <w:r>
        <w:rPr/>
        <w:t>India Advisory Services team comprises of more than 280</w:t>
      </w:r>
      <w:r>
        <w:rPr>
          <w:spacing w:val="-39"/>
        </w:rPr>
        <w:t> </w:t>
      </w:r>
      <w:r>
        <w:rPr/>
        <w:t>professionals.</w:t>
      </w:r>
    </w:p>
    <w:p>
      <w:pPr>
        <w:pStyle w:val="BodyText"/>
        <w:spacing w:line="321" w:lineRule="auto" w:before="120"/>
        <w:ind w:left="820" w:right="637"/>
        <w:jc w:val="both"/>
      </w:pPr>
      <w:r>
        <w:rPr/>
        <w:t>CBRE Advisory Services India have completed over 80,000 valuation and advisory assignments across varied asset classes spread across 20 states and 300+ cities. CBRE provides quality valuation, risk advisory</w:t>
      </w:r>
      <w:r>
        <w:rPr>
          <w:spacing w:val="-40"/>
        </w:rPr>
        <w:t> </w:t>
      </w:r>
      <w:r>
        <w:rPr/>
        <w:t>and</w:t>
      </w:r>
      <w:r>
        <w:rPr>
          <w:spacing w:val="-39"/>
        </w:rPr>
        <w:t> </w:t>
      </w:r>
      <w:r>
        <w:rPr/>
        <w:t>consulting</w:t>
      </w:r>
      <w:r>
        <w:rPr>
          <w:spacing w:val="-40"/>
        </w:rPr>
        <w:t> </w:t>
      </w:r>
      <w:r>
        <w:rPr/>
        <w:t>services</w:t>
      </w:r>
      <w:r>
        <w:rPr>
          <w:spacing w:val="-39"/>
        </w:rPr>
        <w:t> </w:t>
      </w:r>
      <w:r>
        <w:rPr/>
        <w:t>across</w:t>
      </w:r>
      <w:r>
        <w:rPr>
          <w:spacing w:val="-39"/>
        </w:rPr>
        <w:t> </w:t>
      </w:r>
      <w:r>
        <w:rPr/>
        <w:t>a</w:t>
      </w:r>
      <w:r>
        <w:rPr>
          <w:spacing w:val="-40"/>
        </w:rPr>
        <w:t> </w:t>
      </w:r>
      <w:r>
        <w:rPr/>
        <w:t>range</w:t>
      </w:r>
      <w:r>
        <w:rPr>
          <w:spacing w:val="-40"/>
        </w:rPr>
        <w:t> </w:t>
      </w:r>
      <w:r>
        <w:rPr/>
        <w:t>of</w:t>
      </w:r>
      <w:r>
        <w:rPr>
          <w:spacing w:val="-41"/>
        </w:rPr>
        <w:t> </w:t>
      </w:r>
      <w:r>
        <w:rPr/>
        <w:t>property</w:t>
      </w:r>
      <w:r>
        <w:rPr>
          <w:spacing w:val="-39"/>
        </w:rPr>
        <w:t> </w:t>
      </w:r>
      <w:r>
        <w:rPr/>
        <w:t>types</w:t>
      </w:r>
      <w:r>
        <w:rPr>
          <w:spacing w:val="-40"/>
        </w:rPr>
        <w:t> </w:t>
      </w:r>
      <w:r>
        <w:rPr/>
        <w:t>including</w:t>
      </w:r>
      <w:r>
        <w:rPr>
          <w:spacing w:val="-39"/>
        </w:rPr>
        <w:t> </w:t>
      </w:r>
      <w:r>
        <w:rPr/>
        <w:t>residential,</w:t>
      </w:r>
      <w:r>
        <w:rPr>
          <w:spacing w:val="-39"/>
        </w:rPr>
        <w:t> </w:t>
      </w:r>
      <w:r>
        <w:rPr/>
        <w:t>hospitality,</w:t>
      </w:r>
      <w:r>
        <w:rPr>
          <w:spacing w:val="-40"/>
        </w:rPr>
        <w:t> </w:t>
      </w:r>
      <w:r>
        <w:rPr/>
        <w:t>retail, </w:t>
      </w:r>
      <w:r>
        <w:rPr>
          <w:w w:val="95"/>
        </w:rPr>
        <w:t>commercial,</w:t>
      </w:r>
      <w:r>
        <w:rPr>
          <w:spacing w:val="-11"/>
          <w:w w:val="95"/>
        </w:rPr>
        <w:t> </w:t>
      </w:r>
      <w:r>
        <w:rPr>
          <w:w w:val="95"/>
        </w:rPr>
        <w:t>institutional,</w:t>
      </w:r>
      <w:r>
        <w:rPr>
          <w:spacing w:val="-9"/>
          <w:w w:val="95"/>
        </w:rPr>
        <w:t> </w:t>
      </w:r>
      <w:r>
        <w:rPr>
          <w:w w:val="95"/>
        </w:rPr>
        <w:t>Special</w:t>
      </w:r>
      <w:r>
        <w:rPr>
          <w:spacing w:val="-11"/>
          <w:w w:val="95"/>
        </w:rPr>
        <w:t> </w:t>
      </w:r>
      <w:r>
        <w:rPr>
          <w:w w:val="95"/>
        </w:rPr>
        <w:t>Economic</w:t>
      </w:r>
      <w:r>
        <w:rPr>
          <w:spacing w:val="-11"/>
          <w:w w:val="95"/>
        </w:rPr>
        <w:t> </w:t>
      </w:r>
      <w:r>
        <w:rPr>
          <w:w w:val="95"/>
        </w:rPr>
        <w:t>Zone</w:t>
      </w:r>
      <w:r>
        <w:rPr>
          <w:spacing w:val="-12"/>
          <w:w w:val="95"/>
        </w:rPr>
        <w:t> </w:t>
      </w:r>
      <w:r>
        <w:rPr>
          <w:w w:val="95"/>
        </w:rPr>
        <w:t>(SEZ),</w:t>
      </w:r>
      <w:r>
        <w:rPr>
          <w:spacing w:val="-10"/>
          <w:w w:val="95"/>
        </w:rPr>
        <w:t> </w:t>
      </w:r>
      <w:r>
        <w:rPr>
          <w:w w:val="95"/>
        </w:rPr>
        <w:t>industrial,</w:t>
      </w:r>
      <w:r>
        <w:rPr>
          <w:spacing w:val="-11"/>
          <w:w w:val="95"/>
        </w:rPr>
        <w:t> </w:t>
      </w:r>
      <w:r>
        <w:rPr>
          <w:w w:val="95"/>
        </w:rPr>
        <w:t>etc.</w:t>
      </w:r>
      <w:r>
        <w:rPr>
          <w:spacing w:val="-11"/>
          <w:w w:val="95"/>
        </w:rPr>
        <w:t> </w:t>
      </w:r>
      <w:r>
        <w:rPr>
          <w:w w:val="95"/>
        </w:rPr>
        <w:t>CBRE</w:t>
      </w:r>
      <w:r>
        <w:rPr>
          <w:spacing w:val="-13"/>
          <w:w w:val="95"/>
        </w:rPr>
        <w:t> </w:t>
      </w:r>
      <w:r>
        <w:rPr>
          <w:w w:val="95"/>
        </w:rPr>
        <w:t>derives</w:t>
      </w:r>
      <w:r>
        <w:rPr>
          <w:spacing w:val="-10"/>
          <w:w w:val="95"/>
        </w:rPr>
        <w:t> </w:t>
      </w:r>
      <w:r>
        <w:rPr>
          <w:w w:val="95"/>
        </w:rPr>
        <w:t>global</w:t>
      </w:r>
      <w:r>
        <w:rPr>
          <w:spacing w:val="-13"/>
          <w:w w:val="95"/>
        </w:rPr>
        <w:t> </w:t>
      </w:r>
      <w:r>
        <w:rPr>
          <w:w w:val="95"/>
        </w:rPr>
        <w:t>best</w:t>
      </w:r>
      <w:r>
        <w:rPr>
          <w:spacing w:val="-10"/>
          <w:w w:val="95"/>
        </w:rPr>
        <w:t> </w:t>
      </w:r>
      <w:r>
        <w:rPr>
          <w:w w:val="95"/>
        </w:rPr>
        <w:t>practices </w:t>
      </w:r>
      <w:r>
        <w:rPr/>
        <w:t>while</w:t>
      </w:r>
      <w:r>
        <w:rPr>
          <w:spacing w:val="-31"/>
        </w:rPr>
        <w:t> </w:t>
      </w:r>
      <w:r>
        <w:rPr/>
        <w:t>maintaining</w:t>
      </w:r>
      <w:r>
        <w:rPr>
          <w:spacing w:val="-30"/>
        </w:rPr>
        <w:t> </w:t>
      </w:r>
      <w:r>
        <w:rPr/>
        <w:t>the</w:t>
      </w:r>
      <w:r>
        <w:rPr>
          <w:spacing w:val="-31"/>
        </w:rPr>
        <w:t> </w:t>
      </w:r>
      <w:r>
        <w:rPr/>
        <w:t>complexities</w:t>
      </w:r>
      <w:r>
        <w:rPr>
          <w:spacing w:val="-29"/>
        </w:rPr>
        <w:t> </w:t>
      </w:r>
      <w:r>
        <w:rPr/>
        <w:t>of</w:t>
      </w:r>
      <w:r>
        <w:rPr>
          <w:spacing w:val="-30"/>
        </w:rPr>
        <w:t> </w:t>
      </w:r>
      <w:r>
        <w:rPr/>
        <w:t>Indian</w:t>
      </w:r>
      <w:r>
        <w:rPr>
          <w:spacing w:val="-31"/>
        </w:rPr>
        <w:t> </w:t>
      </w:r>
      <w:r>
        <w:rPr/>
        <w:t>real</w:t>
      </w:r>
      <w:r>
        <w:rPr>
          <w:spacing w:val="-30"/>
        </w:rPr>
        <w:t> </w:t>
      </w:r>
      <w:r>
        <w:rPr/>
        <w:t>estate</w:t>
      </w:r>
      <w:r>
        <w:rPr>
          <w:spacing w:val="-30"/>
        </w:rPr>
        <w:t> </w:t>
      </w:r>
      <w:r>
        <w:rPr/>
        <w:t>markets</w:t>
      </w:r>
      <w:r>
        <w:rPr>
          <w:spacing w:val="-30"/>
        </w:rPr>
        <w:t> </w:t>
      </w:r>
      <w:r>
        <w:rPr/>
        <w:t>and</w:t>
      </w:r>
      <w:r>
        <w:rPr>
          <w:spacing w:val="-30"/>
        </w:rPr>
        <w:t> </w:t>
      </w:r>
      <w:r>
        <w:rPr/>
        <w:t>are</w:t>
      </w:r>
      <w:r>
        <w:rPr>
          <w:spacing w:val="-30"/>
        </w:rPr>
        <w:t> </w:t>
      </w:r>
      <w:r>
        <w:rPr/>
        <w:t>ideally</w:t>
      </w:r>
      <w:r>
        <w:rPr>
          <w:spacing w:val="-30"/>
        </w:rPr>
        <w:t> </w:t>
      </w:r>
      <w:r>
        <w:rPr/>
        <w:t>positioned</w:t>
      </w:r>
      <w:r>
        <w:rPr>
          <w:spacing w:val="-29"/>
        </w:rPr>
        <w:t> </w:t>
      </w:r>
      <w:r>
        <w:rPr/>
        <w:t>to</w:t>
      </w:r>
      <w:r>
        <w:rPr>
          <w:spacing w:val="-30"/>
        </w:rPr>
        <w:t> </w:t>
      </w:r>
      <w:r>
        <w:rPr/>
        <w:t>help</w:t>
      </w:r>
      <w:r>
        <w:rPr>
          <w:spacing w:val="-30"/>
        </w:rPr>
        <w:t> </w:t>
      </w:r>
      <w:r>
        <w:rPr/>
        <w:t>solve</w:t>
      </w:r>
    </w:p>
    <w:p>
      <w:pPr>
        <w:spacing w:after="0" w:line="321" w:lineRule="auto"/>
        <w:jc w:val="both"/>
        <w:sectPr>
          <w:pgSz w:w="11910" w:h="16840"/>
          <w:pgMar w:header="720" w:footer="842" w:top="1520" w:bottom="1040" w:left="440" w:right="80"/>
        </w:sectPr>
      </w:pPr>
    </w:p>
    <w:p>
      <w:pPr>
        <w:pStyle w:val="BodyText"/>
        <w:spacing w:before="5"/>
      </w:pPr>
    </w:p>
    <w:p>
      <w:pPr>
        <w:pStyle w:val="BodyText"/>
        <w:spacing w:line="321" w:lineRule="auto" w:before="106"/>
        <w:ind w:left="820" w:right="636"/>
        <w:jc w:val="both"/>
      </w:pPr>
      <w:r>
        <w:rPr/>
        <w:t>any</w:t>
      </w:r>
      <w:r>
        <w:rPr>
          <w:spacing w:val="-15"/>
        </w:rPr>
        <w:t> </w:t>
      </w:r>
      <w:r>
        <w:rPr/>
        <w:t>valuation</w:t>
      </w:r>
      <w:r>
        <w:rPr>
          <w:spacing w:val="-14"/>
        </w:rPr>
        <w:t> </w:t>
      </w:r>
      <w:r>
        <w:rPr/>
        <w:t>related</w:t>
      </w:r>
      <w:r>
        <w:rPr>
          <w:spacing w:val="-14"/>
        </w:rPr>
        <w:t> </w:t>
      </w:r>
      <w:r>
        <w:rPr/>
        <w:t>real</w:t>
      </w:r>
      <w:r>
        <w:rPr>
          <w:spacing w:val="-15"/>
        </w:rPr>
        <w:t> </w:t>
      </w:r>
      <w:r>
        <w:rPr/>
        <w:t>estate</w:t>
      </w:r>
      <w:r>
        <w:rPr>
          <w:spacing w:val="-15"/>
        </w:rPr>
        <w:t> </w:t>
      </w:r>
      <w:r>
        <w:rPr/>
        <w:t>challenge,</w:t>
      </w:r>
      <w:r>
        <w:rPr>
          <w:spacing w:val="-15"/>
        </w:rPr>
        <w:t> </w:t>
      </w:r>
      <w:r>
        <w:rPr/>
        <w:t>ranging</w:t>
      </w:r>
      <w:r>
        <w:rPr>
          <w:spacing w:val="-14"/>
        </w:rPr>
        <w:t> </w:t>
      </w:r>
      <w:r>
        <w:rPr/>
        <w:t>from</w:t>
      </w:r>
      <w:r>
        <w:rPr>
          <w:spacing w:val="-14"/>
        </w:rPr>
        <w:t> </w:t>
      </w:r>
      <w:r>
        <w:rPr/>
        <w:t>single</w:t>
      </w:r>
      <w:r>
        <w:rPr>
          <w:spacing w:val="-16"/>
        </w:rPr>
        <w:t> </w:t>
      </w:r>
      <w:r>
        <w:rPr/>
        <w:t>asset</w:t>
      </w:r>
      <w:r>
        <w:rPr>
          <w:spacing w:val="-14"/>
        </w:rPr>
        <w:t> </w:t>
      </w:r>
      <w:r>
        <w:rPr/>
        <w:t>valuations</w:t>
      </w:r>
      <w:r>
        <w:rPr>
          <w:spacing w:val="-14"/>
        </w:rPr>
        <w:t> </w:t>
      </w:r>
      <w:r>
        <w:rPr/>
        <w:t>to</w:t>
      </w:r>
      <w:r>
        <w:rPr>
          <w:spacing w:val="-15"/>
        </w:rPr>
        <w:t> </w:t>
      </w:r>
      <w:r>
        <w:rPr/>
        <w:t>valuation</w:t>
      </w:r>
      <w:r>
        <w:rPr>
          <w:spacing w:val="-14"/>
        </w:rPr>
        <w:t> </w:t>
      </w:r>
      <w:r>
        <w:rPr/>
        <w:t>of</w:t>
      </w:r>
      <w:r>
        <w:rPr>
          <w:spacing w:val="-15"/>
        </w:rPr>
        <w:t> </w:t>
      </w:r>
      <w:r>
        <w:rPr/>
        <w:t>multi- market and multi-property</w:t>
      </w:r>
      <w:r>
        <w:rPr>
          <w:spacing w:val="-11"/>
        </w:rPr>
        <w:t> </w:t>
      </w:r>
      <w:r>
        <w:rPr/>
        <w:t>portfolios.</w:t>
      </w:r>
    </w:p>
    <w:p>
      <w:pPr>
        <w:pStyle w:val="BodyText"/>
        <w:spacing w:line="321" w:lineRule="auto" w:before="122"/>
        <w:ind w:left="820" w:right="632"/>
        <w:jc w:val="both"/>
      </w:pPr>
      <w:r>
        <w:rPr/>
        <w:t>Our</w:t>
      </w:r>
      <w:r>
        <w:rPr>
          <w:spacing w:val="-26"/>
        </w:rPr>
        <w:t> </w:t>
      </w:r>
      <w:r>
        <w:rPr/>
        <w:t>dedicated</w:t>
      </w:r>
      <w:r>
        <w:rPr>
          <w:spacing w:val="-26"/>
        </w:rPr>
        <w:t> </w:t>
      </w:r>
      <w:r>
        <w:rPr/>
        <w:t>and</w:t>
      </w:r>
      <w:r>
        <w:rPr>
          <w:spacing w:val="-27"/>
        </w:rPr>
        <w:t> </w:t>
      </w:r>
      <w:r>
        <w:rPr/>
        <w:t>experienced</w:t>
      </w:r>
      <w:r>
        <w:rPr>
          <w:spacing w:val="-25"/>
        </w:rPr>
        <w:t> </w:t>
      </w:r>
      <w:r>
        <w:rPr/>
        <w:t>professionals</w:t>
      </w:r>
      <w:r>
        <w:rPr>
          <w:spacing w:val="-27"/>
        </w:rPr>
        <w:t> </w:t>
      </w:r>
      <w:r>
        <w:rPr/>
        <w:t>provide</w:t>
      </w:r>
      <w:r>
        <w:rPr>
          <w:spacing w:val="-26"/>
        </w:rPr>
        <w:t> </w:t>
      </w:r>
      <w:r>
        <w:rPr/>
        <w:t>quality</w:t>
      </w:r>
      <w:r>
        <w:rPr>
          <w:spacing w:val="-26"/>
        </w:rPr>
        <w:t> </w:t>
      </w:r>
      <w:r>
        <w:rPr/>
        <w:t>services</w:t>
      </w:r>
      <w:r>
        <w:rPr>
          <w:spacing w:val="-26"/>
        </w:rPr>
        <w:t> </w:t>
      </w:r>
      <w:r>
        <w:rPr/>
        <w:t>from</w:t>
      </w:r>
      <w:r>
        <w:rPr>
          <w:spacing w:val="-27"/>
        </w:rPr>
        <w:t> </w:t>
      </w:r>
      <w:r>
        <w:rPr/>
        <w:t>9</w:t>
      </w:r>
      <w:r>
        <w:rPr>
          <w:spacing w:val="-26"/>
        </w:rPr>
        <w:t> </w:t>
      </w:r>
      <w:r>
        <w:rPr/>
        <w:t>offices</w:t>
      </w:r>
      <w:r>
        <w:rPr>
          <w:spacing w:val="-24"/>
        </w:rPr>
        <w:t> </w:t>
      </w:r>
      <w:r>
        <w:rPr/>
        <w:t>across</w:t>
      </w:r>
      <w:r>
        <w:rPr>
          <w:spacing w:val="-26"/>
        </w:rPr>
        <w:t> </w:t>
      </w:r>
      <w:r>
        <w:rPr/>
        <w:t>India</w:t>
      </w:r>
      <w:r>
        <w:rPr>
          <w:spacing w:val="-28"/>
        </w:rPr>
        <w:t> </w:t>
      </w:r>
      <w:r>
        <w:rPr/>
        <w:t>(Delhi, Mumbai, Bengaluru, Chennai, Kolkata, Gurgaon, Hyderabad, Pune and Ahmedabad). Our professionals</w:t>
      </w:r>
      <w:r>
        <w:rPr>
          <w:spacing w:val="-8"/>
        </w:rPr>
        <w:t> </w:t>
      </w:r>
      <w:r>
        <w:rPr/>
        <w:t>have</w:t>
      </w:r>
      <w:r>
        <w:rPr>
          <w:spacing w:val="-9"/>
        </w:rPr>
        <w:t> </w:t>
      </w:r>
      <w:r>
        <w:rPr/>
        <w:t>a</w:t>
      </w:r>
      <w:r>
        <w:rPr>
          <w:spacing w:val="-9"/>
        </w:rPr>
        <w:t> </w:t>
      </w:r>
      <w:r>
        <w:rPr/>
        <w:t>varied</w:t>
      </w:r>
      <w:r>
        <w:rPr>
          <w:spacing w:val="-8"/>
        </w:rPr>
        <w:t> </w:t>
      </w:r>
      <w:r>
        <w:rPr/>
        <w:t>qualification</w:t>
      </w:r>
      <w:r>
        <w:rPr>
          <w:spacing w:val="-10"/>
        </w:rPr>
        <w:t> </w:t>
      </w:r>
      <w:r>
        <w:rPr/>
        <w:t>base</w:t>
      </w:r>
      <w:r>
        <w:rPr>
          <w:spacing w:val="-10"/>
        </w:rPr>
        <w:t> </w:t>
      </w:r>
      <w:r>
        <w:rPr/>
        <w:t>such</w:t>
      </w:r>
      <w:r>
        <w:rPr>
          <w:spacing w:val="-8"/>
        </w:rPr>
        <w:t> </w:t>
      </w:r>
      <w:r>
        <w:rPr/>
        <w:t>as</w:t>
      </w:r>
      <w:r>
        <w:rPr>
          <w:spacing w:val="-7"/>
        </w:rPr>
        <w:t> </w:t>
      </w:r>
      <w:r>
        <w:rPr/>
        <w:t>Royal</w:t>
      </w:r>
      <w:r>
        <w:rPr>
          <w:spacing w:val="-9"/>
        </w:rPr>
        <w:t> </w:t>
      </w:r>
      <w:r>
        <w:rPr/>
        <w:t>Institute</w:t>
      </w:r>
      <w:r>
        <w:rPr>
          <w:spacing w:val="-9"/>
        </w:rPr>
        <w:t> </w:t>
      </w:r>
      <w:r>
        <w:rPr/>
        <w:t>of</w:t>
      </w:r>
      <w:r>
        <w:rPr>
          <w:spacing w:val="-9"/>
        </w:rPr>
        <w:t> </w:t>
      </w:r>
      <w:r>
        <w:rPr/>
        <w:t>Chartered</w:t>
      </w:r>
      <w:r>
        <w:rPr>
          <w:spacing w:val="-8"/>
        </w:rPr>
        <w:t> </w:t>
      </w:r>
      <w:r>
        <w:rPr/>
        <w:t>Surveyors</w:t>
      </w:r>
      <w:r>
        <w:rPr>
          <w:spacing w:val="-9"/>
        </w:rPr>
        <w:t> </w:t>
      </w:r>
      <w:r>
        <w:rPr/>
        <w:t>(RICS)</w:t>
      </w:r>
      <w:r>
        <w:rPr>
          <w:spacing w:val="-7"/>
        </w:rPr>
        <w:t> </w:t>
      </w:r>
      <w:r>
        <w:rPr/>
        <w:t>or IOV</w:t>
      </w:r>
      <w:r>
        <w:rPr>
          <w:spacing w:val="-7"/>
        </w:rPr>
        <w:t> </w:t>
      </w:r>
      <w:r>
        <w:rPr/>
        <w:t>certified</w:t>
      </w:r>
      <w:r>
        <w:rPr>
          <w:spacing w:val="-7"/>
        </w:rPr>
        <w:t> </w:t>
      </w:r>
      <w:r>
        <w:rPr/>
        <w:t>valuation</w:t>
      </w:r>
      <w:r>
        <w:rPr>
          <w:spacing w:val="-7"/>
        </w:rPr>
        <w:t> </w:t>
      </w:r>
      <w:r>
        <w:rPr/>
        <w:t>professionals,</w:t>
      </w:r>
      <w:r>
        <w:rPr>
          <w:spacing w:val="-8"/>
        </w:rPr>
        <w:t> </w:t>
      </w:r>
      <w:r>
        <w:rPr/>
        <w:t>master</w:t>
      </w:r>
      <w:r>
        <w:rPr>
          <w:spacing w:val="-8"/>
        </w:rPr>
        <w:t> </w:t>
      </w:r>
      <w:r>
        <w:rPr/>
        <w:t>planners,</w:t>
      </w:r>
      <w:r>
        <w:rPr>
          <w:spacing w:val="-7"/>
        </w:rPr>
        <w:t> </w:t>
      </w:r>
      <w:r>
        <w:rPr/>
        <w:t>Architects,</w:t>
      </w:r>
      <w:r>
        <w:rPr>
          <w:spacing w:val="-7"/>
        </w:rPr>
        <w:t> </w:t>
      </w:r>
      <w:r>
        <w:rPr/>
        <w:t>MBA,</w:t>
      </w:r>
      <w:r>
        <w:rPr>
          <w:spacing w:val="-8"/>
        </w:rPr>
        <w:t> </w:t>
      </w:r>
      <w:r>
        <w:rPr/>
        <w:t>CA,</w:t>
      </w:r>
      <w:r>
        <w:rPr>
          <w:spacing w:val="-8"/>
        </w:rPr>
        <w:t> </w:t>
      </w:r>
      <w:r>
        <w:rPr/>
        <w:t>CFA,</w:t>
      </w:r>
      <w:r>
        <w:rPr>
          <w:spacing w:val="-7"/>
        </w:rPr>
        <w:t> </w:t>
      </w:r>
      <w:r>
        <w:rPr/>
        <w:t>etc.</w:t>
      </w:r>
      <w:r>
        <w:rPr>
          <w:spacing w:val="-7"/>
        </w:rPr>
        <w:t> </w:t>
      </w:r>
      <w:r>
        <w:rPr/>
        <w:t>and</w:t>
      </w:r>
      <w:r>
        <w:rPr>
          <w:spacing w:val="-6"/>
        </w:rPr>
        <w:t> </w:t>
      </w:r>
      <w:r>
        <w:rPr/>
        <w:t>this</w:t>
      </w:r>
      <w:r>
        <w:rPr>
          <w:spacing w:val="-6"/>
        </w:rPr>
        <w:t> </w:t>
      </w:r>
      <w:r>
        <w:rPr/>
        <w:t>entire </w:t>
      </w:r>
      <w:r>
        <w:rPr>
          <w:w w:val="95"/>
        </w:rPr>
        <w:t>multi-faceted</w:t>
      </w:r>
      <w:r>
        <w:rPr>
          <w:spacing w:val="-16"/>
          <w:w w:val="95"/>
        </w:rPr>
        <w:t> </w:t>
      </w:r>
      <w:r>
        <w:rPr>
          <w:w w:val="95"/>
        </w:rPr>
        <w:t>experience</w:t>
      </w:r>
      <w:r>
        <w:rPr>
          <w:spacing w:val="-14"/>
          <w:w w:val="95"/>
        </w:rPr>
        <w:t> </w:t>
      </w:r>
      <w:r>
        <w:rPr>
          <w:w w:val="95"/>
        </w:rPr>
        <w:t>helps</w:t>
      </w:r>
      <w:r>
        <w:rPr>
          <w:spacing w:val="-15"/>
          <w:w w:val="95"/>
        </w:rPr>
        <w:t> </w:t>
      </w:r>
      <w:r>
        <w:rPr>
          <w:w w:val="95"/>
        </w:rPr>
        <w:t>us</w:t>
      </w:r>
      <w:r>
        <w:rPr>
          <w:spacing w:val="-15"/>
          <w:w w:val="95"/>
        </w:rPr>
        <w:t> </w:t>
      </w:r>
      <w:r>
        <w:rPr>
          <w:w w:val="95"/>
        </w:rPr>
        <w:t>in</w:t>
      </w:r>
      <w:r>
        <w:rPr>
          <w:spacing w:val="-17"/>
          <w:w w:val="95"/>
        </w:rPr>
        <w:t> </w:t>
      </w:r>
      <w:r>
        <w:rPr>
          <w:w w:val="95"/>
        </w:rPr>
        <w:t>achieving</w:t>
      </w:r>
      <w:r>
        <w:rPr>
          <w:spacing w:val="-16"/>
          <w:w w:val="95"/>
        </w:rPr>
        <w:t> </w:t>
      </w:r>
      <w:r>
        <w:rPr>
          <w:w w:val="95"/>
        </w:rPr>
        <w:t>our</w:t>
      </w:r>
      <w:r>
        <w:rPr>
          <w:spacing w:val="-14"/>
          <w:w w:val="95"/>
        </w:rPr>
        <w:t> </w:t>
      </w:r>
      <w:r>
        <w:rPr>
          <w:w w:val="95"/>
        </w:rPr>
        <w:t>commitment</w:t>
      </w:r>
      <w:r>
        <w:rPr>
          <w:spacing w:val="-15"/>
          <w:w w:val="95"/>
        </w:rPr>
        <w:t> </w:t>
      </w:r>
      <w:r>
        <w:rPr>
          <w:w w:val="95"/>
        </w:rPr>
        <w:t>to</w:t>
      </w:r>
      <w:r>
        <w:rPr>
          <w:spacing w:val="-16"/>
          <w:w w:val="95"/>
        </w:rPr>
        <w:t> </w:t>
      </w:r>
      <w:r>
        <w:rPr>
          <w:w w:val="95"/>
        </w:rPr>
        <w:t>provide</w:t>
      </w:r>
      <w:r>
        <w:rPr>
          <w:spacing w:val="-16"/>
          <w:w w:val="95"/>
        </w:rPr>
        <w:t> </w:t>
      </w:r>
      <w:r>
        <w:rPr>
          <w:w w:val="95"/>
        </w:rPr>
        <w:t>the</w:t>
      </w:r>
      <w:r>
        <w:rPr>
          <w:spacing w:val="-18"/>
          <w:w w:val="95"/>
        </w:rPr>
        <w:t> </w:t>
      </w:r>
      <w:r>
        <w:rPr>
          <w:w w:val="95"/>
        </w:rPr>
        <w:t>highest</w:t>
      </w:r>
      <w:r>
        <w:rPr>
          <w:spacing w:val="-15"/>
          <w:w w:val="95"/>
        </w:rPr>
        <w:t> </w:t>
      </w:r>
      <w:r>
        <w:rPr>
          <w:w w:val="95"/>
        </w:rPr>
        <w:t>level</w:t>
      </w:r>
      <w:r>
        <w:rPr>
          <w:spacing w:val="-16"/>
          <w:w w:val="95"/>
        </w:rPr>
        <w:t> </w:t>
      </w:r>
      <w:r>
        <w:rPr>
          <w:w w:val="95"/>
        </w:rPr>
        <w:t>of</w:t>
      </w:r>
      <w:r>
        <w:rPr>
          <w:spacing w:val="-15"/>
          <w:w w:val="95"/>
        </w:rPr>
        <w:t> </w:t>
      </w:r>
      <w:r>
        <w:rPr>
          <w:w w:val="95"/>
        </w:rPr>
        <w:t>professional </w:t>
      </w:r>
      <w:r>
        <w:rPr/>
        <w:t>expertise to our</w:t>
      </w:r>
      <w:r>
        <w:rPr>
          <w:spacing w:val="-11"/>
        </w:rPr>
        <w:t> </w:t>
      </w:r>
      <w:r>
        <w:rPr/>
        <w:t>clients.</w:t>
      </w:r>
    </w:p>
    <w:p>
      <w:pPr>
        <w:pStyle w:val="BodyText"/>
        <w:spacing w:line="319" w:lineRule="auto" w:before="124"/>
        <w:ind w:left="820" w:right="636"/>
        <w:jc w:val="both"/>
      </w:pPr>
      <w:r>
        <w:rPr/>
        <w:t>CBRE</w:t>
      </w:r>
      <w:r>
        <w:rPr>
          <w:spacing w:val="-33"/>
        </w:rPr>
        <w:t> </w:t>
      </w:r>
      <w:r>
        <w:rPr/>
        <w:t>Advisory</w:t>
      </w:r>
      <w:r>
        <w:rPr>
          <w:spacing w:val="-30"/>
        </w:rPr>
        <w:t> </w:t>
      </w:r>
      <w:r>
        <w:rPr/>
        <w:t>Services</w:t>
      </w:r>
      <w:r>
        <w:rPr>
          <w:spacing w:val="-30"/>
        </w:rPr>
        <w:t> </w:t>
      </w:r>
      <w:r>
        <w:rPr/>
        <w:t>India</w:t>
      </w:r>
      <w:r>
        <w:rPr>
          <w:spacing w:val="-31"/>
        </w:rPr>
        <w:t> </w:t>
      </w:r>
      <w:r>
        <w:rPr/>
        <w:t>team</w:t>
      </w:r>
      <w:r>
        <w:rPr>
          <w:spacing w:val="-31"/>
        </w:rPr>
        <w:t> </w:t>
      </w:r>
      <w:r>
        <w:rPr/>
        <w:t>has</w:t>
      </w:r>
      <w:r>
        <w:rPr>
          <w:spacing w:val="-30"/>
        </w:rPr>
        <w:t> </w:t>
      </w:r>
      <w:r>
        <w:rPr/>
        <w:t>substantial</w:t>
      </w:r>
      <w:r>
        <w:rPr>
          <w:spacing w:val="-31"/>
        </w:rPr>
        <w:t> </w:t>
      </w:r>
      <w:r>
        <w:rPr/>
        <w:t>experience</w:t>
      </w:r>
      <w:r>
        <w:rPr>
          <w:spacing w:val="-31"/>
        </w:rPr>
        <w:t> </w:t>
      </w:r>
      <w:r>
        <w:rPr/>
        <w:t>with</w:t>
      </w:r>
      <w:r>
        <w:rPr>
          <w:spacing w:val="-31"/>
        </w:rPr>
        <w:t> </w:t>
      </w:r>
      <w:r>
        <w:rPr/>
        <w:t>several</w:t>
      </w:r>
      <w:r>
        <w:rPr>
          <w:spacing w:val="-30"/>
        </w:rPr>
        <w:t> </w:t>
      </w:r>
      <w:r>
        <w:rPr/>
        <w:t>institutional</w:t>
      </w:r>
      <w:r>
        <w:rPr>
          <w:spacing w:val="-31"/>
        </w:rPr>
        <w:t> </w:t>
      </w:r>
      <w:r>
        <w:rPr/>
        <w:t>clients</w:t>
      </w:r>
      <w:r>
        <w:rPr>
          <w:spacing w:val="-30"/>
        </w:rPr>
        <w:t> </w:t>
      </w:r>
      <w:r>
        <w:rPr/>
        <w:t>including financial</w:t>
      </w:r>
      <w:r>
        <w:rPr>
          <w:spacing w:val="-43"/>
        </w:rPr>
        <w:t> </w:t>
      </w:r>
      <w:r>
        <w:rPr/>
        <w:t>institutions,</w:t>
      </w:r>
      <w:r>
        <w:rPr>
          <w:spacing w:val="-42"/>
        </w:rPr>
        <w:t> </w:t>
      </w:r>
      <w:r>
        <w:rPr/>
        <w:t>real</w:t>
      </w:r>
      <w:r>
        <w:rPr>
          <w:spacing w:val="-43"/>
        </w:rPr>
        <w:t> </w:t>
      </w:r>
      <w:r>
        <w:rPr/>
        <w:t>estate</w:t>
      </w:r>
      <w:r>
        <w:rPr>
          <w:spacing w:val="-42"/>
        </w:rPr>
        <w:t> </w:t>
      </w:r>
      <w:r>
        <w:rPr/>
        <w:t>funds,</w:t>
      </w:r>
      <w:r>
        <w:rPr>
          <w:spacing w:val="-43"/>
        </w:rPr>
        <w:t> </w:t>
      </w:r>
      <w:r>
        <w:rPr/>
        <w:t>private</w:t>
      </w:r>
      <w:r>
        <w:rPr>
          <w:spacing w:val="-42"/>
        </w:rPr>
        <w:t> </w:t>
      </w:r>
      <w:r>
        <w:rPr/>
        <w:t>equity</w:t>
      </w:r>
      <w:r>
        <w:rPr>
          <w:spacing w:val="-42"/>
        </w:rPr>
        <w:t> </w:t>
      </w:r>
      <w:r>
        <w:rPr/>
        <w:t>funds,</w:t>
      </w:r>
      <w:r>
        <w:rPr>
          <w:spacing w:val="-43"/>
        </w:rPr>
        <w:t> </w:t>
      </w:r>
      <w:r>
        <w:rPr/>
        <w:t>developers,</w:t>
      </w:r>
      <w:r>
        <w:rPr>
          <w:spacing w:val="-43"/>
        </w:rPr>
        <w:t> </w:t>
      </w:r>
      <w:r>
        <w:rPr/>
        <w:t>corporates,</w:t>
      </w:r>
      <w:r>
        <w:rPr>
          <w:spacing w:val="-42"/>
        </w:rPr>
        <w:t> </w:t>
      </w:r>
      <w:r>
        <w:rPr/>
        <w:t>banks,</w:t>
      </w:r>
      <w:r>
        <w:rPr>
          <w:spacing w:val="-42"/>
        </w:rPr>
        <w:t> </w:t>
      </w:r>
      <w:r>
        <w:rPr/>
        <w:t>NBFCs,</w:t>
      </w:r>
      <w:r>
        <w:rPr>
          <w:spacing w:val="-42"/>
        </w:rPr>
        <w:t> </w:t>
      </w:r>
      <w:r>
        <w:rPr/>
        <w:t>etc.</w:t>
      </w:r>
    </w:p>
    <w:p>
      <w:pPr>
        <w:pStyle w:val="ListParagraph"/>
        <w:numPr>
          <w:ilvl w:val="1"/>
          <w:numId w:val="15"/>
        </w:numPr>
        <w:tabs>
          <w:tab w:pos="857" w:val="left" w:leader="none"/>
        </w:tabs>
        <w:spacing w:line="240" w:lineRule="auto" w:before="124" w:after="0"/>
        <w:ind w:left="856" w:right="0" w:hanging="577"/>
        <w:jc w:val="both"/>
        <w:rPr>
          <w:sz w:val="22"/>
        </w:rPr>
      </w:pPr>
      <w:bookmarkStart w:name="_bookmark6" w:id="12"/>
      <w:bookmarkEnd w:id="12"/>
      <w:r>
        <w:rPr/>
      </w:r>
      <w:bookmarkStart w:name="_bookmark6" w:id="13"/>
      <w:bookmarkEnd w:id="13"/>
      <w:r>
        <w:rPr>
          <w:color w:val="1F6647"/>
          <w:sz w:val="22"/>
        </w:rPr>
        <w:t>S</w:t>
      </w:r>
      <w:r>
        <w:rPr>
          <w:color w:val="1F6647"/>
          <w:sz w:val="22"/>
        </w:rPr>
        <w:t>cope of</w:t>
      </w:r>
      <w:r>
        <w:rPr>
          <w:color w:val="1F6647"/>
          <w:spacing w:val="-3"/>
          <w:sz w:val="22"/>
        </w:rPr>
        <w:t> </w:t>
      </w:r>
      <w:r>
        <w:rPr>
          <w:color w:val="1F6647"/>
          <w:sz w:val="22"/>
        </w:rPr>
        <w:t>Appraisal</w:t>
      </w:r>
    </w:p>
    <w:p>
      <w:pPr>
        <w:pStyle w:val="BodyText"/>
        <w:spacing w:line="321" w:lineRule="auto" w:before="208"/>
        <w:ind w:left="827" w:right="634"/>
        <w:jc w:val="both"/>
      </w:pPr>
      <w:r>
        <w:rPr/>
        <w:t>The appraisal has been undertaken to ascertain the market value of the subject property given the prevalent market conditions. In consideration of the same, a detailed assessment of the site and surroundings</w:t>
      </w:r>
      <w:r>
        <w:rPr>
          <w:spacing w:val="-40"/>
        </w:rPr>
        <w:t> </w:t>
      </w:r>
      <w:r>
        <w:rPr/>
        <w:t>has</w:t>
      </w:r>
      <w:r>
        <w:rPr>
          <w:spacing w:val="-39"/>
        </w:rPr>
        <w:t> </w:t>
      </w:r>
      <w:r>
        <w:rPr/>
        <w:t>been</w:t>
      </w:r>
      <w:r>
        <w:rPr>
          <w:spacing w:val="-41"/>
        </w:rPr>
        <w:t> </w:t>
      </w:r>
      <w:r>
        <w:rPr/>
        <w:t>undertaken</w:t>
      </w:r>
      <w:r>
        <w:rPr>
          <w:spacing w:val="-40"/>
        </w:rPr>
        <w:t> </w:t>
      </w:r>
      <w:r>
        <w:rPr/>
        <w:t>with</w:t>
      </w:r>
      <w:r>
        <w:rPr>
          <w:spacing w:val="-40"/>
        </w:rPr>
        <w:t> </w:t>
      </w:r>
      <w:r>
        <w:rPr/>
        <w:t>respect</w:t>
      </w:r>
      <w:r>
        <w:rPr>
          <w:spacing w:val="-40"/>
        </w:rPr>
        <w:t> </w:t>
      </w:r>
      <w:r>
        <w:rPr/>
        <w:t>to</w:t>
      </w:r>
      <w:r>
        <w:rPr>
          <w:spacing w:val="-40"/>
        </w:rPr>
        <w:t> </w:t>
      </w:r>
      <w:r>
        <w:rPr/>
        <w:t>the</w:t>
      </w:r>
      <w:r>
        <w:rPr>
          <w:spacing w:val="-41"/>
        </w:rPr>
        <w:t> </w:t>
      </w:r>
      <w:r>
        <w:rPr/>
        <w:t>prevalent</w:t>
      </w:r>
      <w:r>
        <w:rPr>
          <w:spacing w:val="-40"/>
        </w:rPr>
        <w:t> </w:t>
      </w:r>
      <w:r>
        <w:rPr/>
        <w:t>activities,</w:t>
      </w:r>
      <w:r>
        <w:rPr>
          <w:spacing w:val="-40"/>
        </w:rPr>
        <w:t> </w:t>
      </w:r>
      <w:r>
        <w:rPr/>
        <w:t>change</w:t>
      </w:r>
      <w:r>
        <w:rPr>
          <w:spacing w:val="-40"/>
        </w:rPr>
        <w:t> </w:t>
      </w:r>
      <w:r>
        <w:rPr/>
        <w:t>in</w:t>
      </w:r>
      <w:r>
        <w:rPr>
          <w:spacing w:val="-41"/>
        </w:rPr>
        <w:t> </w:t>
      </w:r>
      <w:r>
        <w:rPr/>
        <w:t>dynamics</w:t>
      </w:r>
      <w:r>
        <w:rPr>
          <w:spacing w:val="-39"/>
        </w:rPr>
        <w:t> </w:t>
      </w:r>
      <w:r>
        <w:rPr/>
        <w:t>impacting the</w:t>
      </w:r>
      <w:r>
        <w:rPr>
          <w:spacing w:val="-19"/>
        </w:rPr>
        <w:t> </w:t>
      </w:r>
      <w:r>
        <w:rPr/>
        <w:t>values</w:t>
      </w:r>
      <w:r>
        <w:rPr>
          <w:spacing w:val="-18"/>
        </w:rPr>
        <w:t> </w:t>
      </w:r>
      <w:r>
        <w:rPr/>
        <w:t>and</w:t>
      </w:r>
      <w:r>
        <w:rPr>
          <w:spacing w:val="-19"/>
        </w:rPr>
        <w:t> </w:t>
      </w:r>
      <w:r>
        <w:rPr/>
        <w:t>the</w:t>
      </w:r>
      <w:r>
        <w:rPr>
          <w:spacing w:val="-18"/>
        </w:rPr>
        <w:t> </w:t>
      </w:r>
      <w:r>
        <w:rPr/>
        <w:t>optimal</w:t>
      </w:r>
      <w:r>
        <w:rPr>
          <w:spacing w:val="-20"/>
        </w:rPr>
        <w:t> </w:t>
      </w:r>
      <w:r>
        <w:rPr/>
        <w:t>use</w:t>
      </w:r>
      <w:r>
        <w:rPr>
          <w:spacing w:val="-18"/>
        </w:rPr>
        <w:t> </w:t>
      </w:r>
      <w:r>
        <w:rPr/>
        <w:t>of</w:t>
      </w:r>
      <w:r>
        <w:rPr>
          <w:spacing w:val="-18"/>
        </w:rPr>
        <w:t> </w:t>
      </w:r>
      <w:r>
        <w:rPr/>
        <w:t>the</w:t>
      </w:r>
      <w:r>
        <w:rPr>
          <w:spacing w:val="-19"/>
        </w:rPr>
        <w:t> </w:t>
      </w:r>
      <w:r>
        <w:rPr/>
        <w:t>subject</w:t>
      </w:r>
      <w:r>
        <w:rPr>
          <w:spacing w:val="-20"/>
        </w:rPr>
        <w:t> </w:t>
      </w:r>
      <w:r>
        <w:rPr/>
        <w:t>property</w:t>
      </w:r>
      <w:r>
        <w:rPr>
          <w:spacing w:val="-18"/>
        </w:rPr>
        <w:t> </w:t>
      </w:r>
      <w:r>
        <w:rPr/>
        <w:t>vis-à-vis</w:t>
      </w:r>
      <w:r>
        <w:rPr>
          <w:spacing w:val="-17"/>
        </w:rPr>
        <w:t> </w:t>
      </w:r>
      <w:r>
        <w:rPr/>
        <w:t>the</w:t>
      </w:r>
      <w:r>
        <w:rPr>
          <w:spacing w:val="-21"/>
        </w:rPr>
        <w:t> </w:t>
      </w:r>
      <w:r>
        <w:rPr/>
        <w:t>surrounding</w:t>
      </w:r>
      <w:r>
        <w:rPr>
          <w:spacing w:val="-19"/>
        </w:rPr>
        <w:t> </w:t>
      </w:r>
      <w:r>
        <w:rPr/>
        <w:t>sub</w:t>
      </w:r>
      <w:r>
        <w:rPr>
          <w:spacing w:val="-18"/>
        </w:rPr>
        <w:t> </w:t>
      </w:r>
      <w:r>
        <w:rPr/>
        <w:t>market,</w:t>
      </w:r>
      <w:r>
        <w:rPr>
          <w:spacing w:val="-18"/>
        </w:rPr>
        <w:t> </w:t>
      </w:r>
      <w:r>
        <w:rPr/>
        <w:t>etc.</w:t>
      </w:r>
    </w:p>
    <w:p>
      <w:pPr>
        <w:pStyle w:val="BodyText"/>
        <w:spacing w:before="11"/>
        <w:rPr>
          <w:sz w:val="20"/>
        </w:rPr>
      </w:pPr>
    </w:p>
    <w:p>
      <w:pPr>
        <w:pStyle w:val="BodyText"/>
        <w:spacing w:line="321" w:lineRule="auto"/>
        <w:ind w:left="827" w:right="633"/>
        <w:jc w:val="both"/>
      </w:pPr>
      <w:r>
        <w:rPr>
          <w:w w:val="95"/>
        </w:rPr>
        <w:t>Portfolio</w:t>
      </w:r>
      <w:r>
        <w:rPr>
          <w:spacing w:val="-10"/>
          <w:w w:val="95"/>
        </w:rPr>
        <w:t> </w:t>
      </w:r>
      <w:r>
        <w:rPr>
          <w:w w:val="95"/>
        </w:rPr>
        <w:t>comprises</w:t>
      </w:r>
      <w:r>
        <w:rPr>
          <w:spacing w:val="-7"/>
          <w:w w:val="95"/>
        </w:rPr>
        <w:t> </w:t>
      </w:r>
      <w:r>
        <w:rPr>
          <w:w w:val="95"/>
        </w:rPr>
        <w:t>seven</w:t>
      </w:r>
      <w:r>
        <w:rPr>
          <w:spacing w:val="-11"/>
          <w:w w:val="95"/>
        </w:rPr>
        <w:t> </w:t>
      </w:r>
      <w:r>
        <w:rPr>
          <w:w w:val="95"/>
        </w:rPr>
        <w:t>best-in-class</w:t>
      </w:r>
      <w:r>
        <w:rPr>
          <w:spacing w:val="-8"/>
          <w:w w:val="95"/>
        </w:rPr>
        <w:t> </w:t>
      </w:r>
      <w:r>
        <w:rPr>
          <w:w w:val="95"/>
        </w:rPr>
        <w:t>office</w:t>
      </w:r>
      <w:r>
        <w:rPr>
          <w:spacing w:val="-9"/>
          <w:w w:val="95"/>
        </w:rPr>
        <w:t> </w:t>
      </w:r>
      <w:r>
        <w:rPr>
          <w:w w:val="95"/>
        </w:rPr>
        <w:t>parks</w:t>
      </w:r>
      <w:r>
        <w:rPr>
          <w:spacing w:val="-9"/>
          <w:w w:val="95"/>
        </w:rPr>
        <w:t> </w:t>
      </w:r>
      <w:r>
        <w:rPr>
          <w:w w:val="95"/>
        </w:rPr>
        <w:t>and</w:t>
      </w:r>
      <w:r>
        <w:rPr>
          <w:spacing w:val="-9"/>
          <w:w w:val="95"/>
        </w:rPr>
        <w:t> </w:t>
      </w:r>
      <w:r>
        <w:rPr>
          <w:w w:val="95"/>
        </w:rPr>
        <w:t>four</w:t>
      </w:r>
      <w:r>
        <w:rPr>
          <w:spacing w:val="-9"/>
          <w:w w:val="95"/>
        </w:rPr>
        <w:t> </w:t>
      </w:r>
      <w:r>
        <w:rPr>
          <w:w w:val="95"/>
        </w:rPr>
        <w:t>prime</w:t>
      </w:r>
      <w:r>
        <w:rPr>
          <w:spacing w:val="-9"/>
          <w:w w:val="95"/>
        </w:rPr>
        <w:t> </w:t>
      </w:r>
      <w:r>
        <w:rPr>
          <w:w w:val="95"/>
        </w:rPr>
        <w:t>city-center</w:t>
      </w:r>
      <w:r>
        <w:rPr>
          <w:spacing w:val="-8"/>
          <w:w w:val="95"/>
        </w:rPr>
        <w:t> </w:t>
      </w:r>
      <w:r>
        <w:rPr>
          <w:w w:val="95"/>
        </w:rPr>
        <w:t>office</w:t>
      </w:r>
      <w:r>
        <w:rPr>
          <w:spacing w:val="-9"/>
          <w:w w:val="95"/>
        </w:rPr>
        <w:t> </w:t>
      </w:r>
      <w:r>
        <w:rPr>
          <w:w w:val="95"/>
        </w:rPr>
        <w:t>buildings,</w:t>
      </w:r>
      <w:r>
        <w:rPr>
          <w:spacing w:val="-9"/>
          <w:w w:val="95"/>
        </w:rPr>
        <w:t> </w:t>
      </w:r>
      <w:r>
        <w:rPr>
          <w:w w:val="95"/>
        </w:rPr>
        <w:t>hospitality </w:t>
      </w:r>
      <w:r>
        <w:rPr/>
        <w:t>assets</w:t>
      </w:r>
      <w:r>
        <w:rPr>
          <w:spacing w:val="-31"/>
        </w:rPr>
        <w:t> </w:t>
      </w:r>
      <w:r>
        <w:rPr/>
        <w:t>and</w:t>
      </w:r>
      <w:r>
        <w:rPr>
          <w:spacing w:val="-32"/>
        </w:rPr>
        <w:t> </w:t>
      </w:r>
      <w:r>
        <w:rPr/>
        <w:t>common</w:t>
      </w:r>
      <w:r>
        <w:rPr>
          <w:spacing w:val="-32"/>
        </w:rPr>
        <w:t> </w:t>
      </w:r>
      <w:r>
        <w:rPr/>
        <w:t>infrastructure</w:t>
      </w:r>
      <w:r>
        <w:rPr>
          <w:spacing w:val="-31"/>
        </w:rPr>
        <w:t> </w:t>
      </w:r>
      <w:r>
        <w:rPr/>
        <w:t>located</w:t>
      </w:r>
      <w:r>
        <w:rPr>
          <w:spacing w:val="-32"/>
        </w:rPr>
        <w:t> </w:t>
      </w:r>
      <w:r>
        <w:rPr/>
        <w:t>across</w:t>
      </w:r>
      <w:r>
        <w:rPr>
          <w:spacing w:val="-31"/>
        </w:rPr>
        <w:t> </w:t>
      </w:r>
      <w:r>
        <w:rPr/>
        <w:t>different</w:t>
      </w:r>
      <w:r>
        <w:rPr>
          <w:spacing w:val="-31"/>
        </w:rPr>
        <w:t> </w:t>
      </w:r>
      <w:r>
        <w:rPr/>
        <w:t>sub</w:t>
      </w:r>
      <w:r>
        <w:rPr>
          <w:spacing w:val="-32"/>
        </w:rPr>
        <w:t> </w:t>
      </w:r>
      <w:r>
        <w:rPr/>
        <w:t>markets</w:t>
      </w:r>
      <w:r>
        <w:rPr>
          <w:spacing w:val="-30"/>
        </w:rPr>
        <w:t> </w:t>
      </w:r>
      <w:r>
        <w:rPr/>
        <w:t>across</w:t>
      </w:r>
      <w:r>
        <w:rPr>
          <w:spacing w:val="-31"/>
        </w:rPr>
        <w:t> </w:t>
      </w:r>
      <w:r>
        <w:rPr/>
        <w:t>Bengaluru,</w:t>
      </w:r>
      <w:r>
        <w:rPr>
          <w:spacing w:val="-32"/>
        </w:rPr>
        <w:t> </w:t>
      </w:r>
      <w:r>
        <w:rPr/>
        <w:t>Pune,</w:t>
      </w:r>
      <w:r>
        <w:rPr>
          <w:spacing w:val="-32"/>
        </w:rPr>
        <w:t> </w:t>
      </w:r>
      <w:r>
        <w:rPr/>
        <w:t>Mumbai and</w:t>
      </w:r>
      <w:r>
        <w:rPr>
          <w:spacing w:val="-7"/>
        </w:rPr>
        <w:t> </w:t>
      </w:r>
      <w:r>
        <w:rPr/>
        <w:t>Noida.</w:t>
      </w:r>
      <w:r>
        <w:rPr>
          <w:spacing w:val="-7"/>
        </w:rPr>
        <w:t> </w:t>
      </w:r>
      <w:r>
        <w:rPr/>
        <w:t>The</w:t>
      </w:r>
      <w:r>
        <w:rPr>
          <w:spacing w:val="-7"/>
        </w:rPr>
        <w:t> </w:t>
      </w:r>
      <w:r>
        <w:rPr/>
        <w:t>portfolio</w:t>
      </w:r>
      <w:r>
        <w:rPr>
          <w:spacing w:val="-7"/>
        </w:rPr>
        <w:t> </w:t>
      </w:r>
      <w:r>
        <w:rPr/>
        <w:t>also</w:t>
      </w:r>
      <w:r>
        <w:rPr>
          <w:spacing w:val="-6"/>
        </w:rPr>
        <w:t> </w:t>
      </w:r>
      <w:r>
        <w:rPr/>
        <w:t>includes</w:t>
      </w:r>
      <w:r>
        <w:rPr>
          <w:spacing w:val="-5"/>
        </w:rPr>
        <w:t> </w:t>
      </w:r>
      <w:r>
        <w:rPr/>
        <w:t>a</w:t>
      </w:r>
      <w:r>
        <w:rPr>
          <w:spacing w:val="-8"/>
        </w:rPr>
        <w:t> </w:t>
      </w:r>
      <w:r>
        <w:rPr/>
        <w:t>Solar</w:t>
      </w:r>
      <w:r>
        <w:rPr>
          <w:spacing w:val="-6"/>
        </w:rPr>
        <w:t> </w:t>
      </w:r>
      <w:r>
        <w:rPr/>
        <w:t>Park</w:t>
      </w:r>
      <w:r>
        <w:rPr>
          <w:spacing w:val="-7"/>
        </w:rPr>
        <w:t> </w:t>
      </w:r>
      <w:r>
        <w:rPr/>
        <w:t>located</w:t>
      </w:r>
      <w:r>
        <w:rPr>
          <w:spacing w:val="-6"/>
        </w:rPr>
        <w:t> </w:t>
      </w:r>
      <w:r>
        <w:rPr/>
        <w:t>in</w:t>
      </w:r>
      <w:r>
        <w:rPr>
          <w:spacing w:val="-8"/>
        </w:rPr>
        <w:t> </w:t>
      </w:r>
      <w:r>
        <w:rPr/>
        <w:t>Bellary,</w:t>
      </w:r>
      <w:r>
        <w:rPr>
          <w:spacing w:val="-6"/>
        </w:rPr>
        <w:t> </w:t>
      </w:r>
      <w:r>
        <w:rPr/>
        <w:t>Karnataka.</w:t>
      </w:r>
    </w:p>
    <w:p>
      <w:pPr>
        <w:pStyle w:val="BodyText"/>
        <w:spacing w:before="8"/>
        <w:rPr>
          <w:sz w:val="20"/>
        </w:rPr>
      </w:pPr>
    </w:p>
    <w:p>
      <w:pPr>
        <w:pStyle w:val="BodyText"/>
        <w:spacing w:line="321" w:lineRule="auto" w:before="1"/>
        <w:ind w:left="827" w:right="634"/>
        <w:jc w:val="both"/>
      </w:pPr>
      <w:r>
        <w:rPr/>
        <w:t>The</w:t>
      </w:r>
      <w:r>
        <w:rPr>
          <w:spacing w:val="-36"/>
        </w:rPr>
        <w:t> </w:t>
      </w:r>
      <w:r>
        <w:rPr/>
        <w:t>location,</w:t>
      </w:r>
      <w:r>
        <w:rPr>
          <w:spacing w:val="-35"/>
        </w:rPr>
        <w:t> </w:t>
      </w:r>
      <w:r>
        <w:rPr/>
        <w:t>sub</w:t>
      </w:r>
      <w:r>
        <w:rPr>
          <w:spacing w:val="-34"/>
        </w:rPr>
        <w:t> </w:t>
      </w:r>
      <w:r>
        <w:rPr/>
        <w:t>market</w:t>
      </w:r>
      <w:r>
        <w:rPr>
          <w:spacing w:val="-36"/>
        </w:rPr>
        <w:t> </w:t>
      </w:r>
      <w:r>
        <w:rPr/>
        <w:t>and</w:t>
      </w:r>
      <w:r>
        <w:rPr>
          <w:spacing w:val="-34"/>
        </w:rPr>
        <w:t> </w:t>
      </w:r>
      <w:r>
        <w:rPr/>
        <w:t>catchment</w:t>
      </w:r>
      <w:r>
        <w:rPr>
          <w:spacing w:val="-35"/>
        </w:rPr>
        <w:t> </w:t>
      </w:r>
      <w:r>
        <w:rPr/>
        <w:t>area</w:t>
      </w:r>
      <w:r>
        <w:rPr>
          <w:spacing w:val="-36"/>
        </w:rPr>
        <w:t> </w:t>
      </w:r>
      <w:r>
        <w:rPr/>
        <w:t>for</w:t>
      </w:r>
      <w:r>
        <w:rPr>
          <w:spacing w:val="-35"/>
        </w:rPr>
        <w:t> </w:t>
      </w:r>
      <w:r>
        <w:rPr/>
        <w:t>the</w:t>
      </w:r>
      <w:r>
        <w:rPr>
          <w:spacing w:val="-35"/>
        </w:rPr>
        <w:t> </w:t>
      </w:r>
      <w:r>
        <w:rPr/>
        <w:t>individual</w:t>
      </w:r>
      <w:r>
        <w:rPr>
          <w:spacing w:val="-35"/>
        </w:rPr>
        <w:t> </w:t>
      </w:r>
      <w:r>
        <w:rPr/>
        <w:t>Commercial</w:t>
      </w:r>
      <w:r>
        <w:rPr>
          <w:spacing w:val="-35"/>
        </w:rPr>
        <w:t> </w:t>
      </w:r>
      <w:r>
        <w:rPr/>
        <w:t>Offices</w:t>
      </w:r>
      <w:r>
        <w:rPr>
          <w:spacing w:val="-33"/>
        </w:rPr>
        <w:t> </w:t>
      </w:r>
      <w:r>
        <w:rPr/>
        <w:t>have</w:t>
      </w:r>
      <w:r>
        <w:rPr>
          <w:spacing w:val="-35"/>
        </w:rPr>
        <w:t> </w:t>
      </w:r>
      <w:r>
        <w:rPr/>
        <w:t>been</w:t>
      </w:r>
      <w:r>
        <w:rPr>
          <w:spacing w:val="-35"/>
        </w:rPr>
        <w:t> </w:t>
      </w:r>
      <w:r>
        <w:rPr/>
        <w:t>tabulated below:</w:t>
      </w:r>
    </w:p>
    <w:p>
      <w:pPr>
        <w:pStyle w:val="BodyText"/>
        <w:spacing w:before="4" w:after="1"/>
        <w:rPr>
          <w:sz w:val="20"/>
        </w:rPr>
      </w:pPr>
    </w:p>
    <w:p>
      <w:pPr>
        <w:pStyle w:val="BodyText"/>
        <w:ind w:left="311"/>
        <w:rPr>
          <w:sz w:val="20"/>
        </w:rPr>
      </w:pPr>
      <w:r>
        <w:rPr>
          <w:sz w:val="20"/>
        </w:rPr>
        <w:pict>
          <v:group style="width:520.6pt;height:23.8pt;mso-position-horizontal-relative:char;mso-position-vertical-relative:line" coordorigin="0,0" coordsize="10412,476">
            <v:shape style="position:absolute;left:0;top:28;width:10409;height:432" coordorigin="0,29" coordsize="10409,432" path="m7881,29l5353,29,2823,29,0,29,0,461,2823,461,5353,461,7881,461,7881,29xm10409,29l7881,29,7881,461,10409,461,10409,29xe" filled="true" fillcolor="#006a4d" stroked="false">
              <v:path arrowok="t"/>
              <v:fill type="solid"/>
            </v:shape>
            <v:rect style="position:absolute;left:0;top:0;width:2824;height:29" filled="true" fillcolor="#1f6b16" stroked="false">
              <v:fill type="solid"/>
            </v:rect>
            <v:shape style="position:absolute;left:0;top:28;width:2853;height:3" coordorigin="0,29" coordsize="2853,3" path="m2852,29l2823,29,0,29,0,31,2823,31,2852,31,2852,29xe" filled="true" fillcolor="#006a4d" stroked="false">
              <v:path arrowok="t"/>
              <v:fill type="solid"/>
            </v:shape>
            <v:shape style="position:absolute;left:2823;top:0;width:2530;height:29" coordorigin="2823,0" coordsize="2530,29" path="m5353,0l2852,0,2823,0,2823,29,2852,29,5353,29,5353,0xe" filled="true" fillcolor="#1f6b16" stroked="false">
              <v:path arrowok="t"/>
              <v:fill type="solid"/>
            </v:shape>
            <v:shape style="position:absolute;left:2852;top:28;width:2530;height:3" coordorigin="2852,29" coordsize="2530,3" path="m5382,29l5353,29,2852,29,2852,31,5353,31,5382,31,5382,29xe" filled="true" fillcolor="#006a4d" stroked="false">
              <v:path arrowok="t"/>
              <v:fill type="solid"/>
            </v:shape>
            <v:shape style="position:absolute;left:5353;top:0;width:2528;height:29" coordorigin="5353,0" coordsize="2528,29" path="m7881,0l5382,0,5353,0,5353,29,5382,29,7881,29,7881,0xe" filled="true" fillcolor="#1f6b16" stroked="false">
              <v:path arrowok="t"/>
              <v:fill type="solid"/>
            </v:shape>
            <v:shape style="position:absolute;left:5382;top:28;width:2528;height:3" coordorigin="5382,29" coordsize="2528,3" path="m7881,29l5382,29,5382,31,7881,31,7881,29xm7910,29l7881,29,7881,31,7910,31,7910,29xe" filled="true" fillcolor="#006a4d" stroked="false">
              <v:path arrowok="t"/>
              <v:fill type="solid"/>
            </v:shape>
            <v:shape style="position:absolute;left:7881;top:0;width:2530;height:29" coordorigin="7881,0" coordsize="2530,29" path="m10411,0l7910,0,7881,0,7881,29,7910,29,10411,29,10411,0xe" filled="true" fillcolor="#1f6b16" stroked="false">
              <v:path arrowok="t"/>
              <v:fill type="solid"/>
            </v:shape>
            <v:rect style="position:absolute;left:7910;top:28;width:2502;height:3" filled="true" fillcolor="#006a4d" stroked="false">
              <v:fill type="solid"/>
            </v:rect>
            <v:shape style="position:absolute;left:0;top:460;width:10412;height:15" coordorigin="0,461" coordsize="10412,15" path="m7881,461l5368,461,5353,461,2838,461,2823,461,0,461,0,475,2823,475,2838,475,5353,475,5368,475,7881,475,7881,461xm10411,461l7896,461,7881,461,7881,475,7896,475,10411,475,10411,461xe" filled="true" fillcolor="#69bd28" stroked="false">
              <v:path arrowok="t"/>
              <v:fill type="solid"/>
            </v:shape>
            <v:shape style="position:absolute;left:502;top:136;width:1838;height:216" type="#_x0000_t202" filled="false" stroked="false">
              <v:textbox inset="0,0,0,0">
                <w:txbxContent>
                  <w:p>
                    <w:pPr>
                      <w:spacing w:before="4"/>
                      <w:ind w:left="0" w:right="0" w:firstLine="0"/>
                      <w:jc w:val="left"/>
                      <w:rPr>
                        <w:b/>
                        <w:sz w:val="18"/>
                      </w:rPr>
                    </w:pPr>
                    <w:r>
                      <w:rPr>
                        <w:b/>
                        <w:color w:val="FFFFFF"/>
                        <w:w w:val="110"/>
                        <w:sz w:val="18"/>
                      </w:rPr>
                      <w:t>Development Name</w:t>
                    </w:r>
                  </w:p>
                </w:txbxContent>
              </v:textbox>
              <w10:wrap type="none"/>
            </v:shape>
            <v:shape style="position:absolute;left:3709;top:136;width:781;height:216" type="#_x0000_t202" filled="false" stroked="false">
              <v:textbox inset="0,0,0,0">
                <w:txbxContent>
                  <w:p>
                    <w:pPr>
                      <w:spacing w:before="4"/>
                      <w:ind w:left="0" w:right="0" w:firstLine="0"/>
                      <w:jc w:val="left"/>
                      <w:rPr>
                        <w:b/>
                        <w:sz w:val="18"/>
                      </w:rPr>
                    </w:pPr>
                    <w:r>
                      <w:rPr>
                        <w:b/>
                        <w:color w:val="FFFFFF"/>
                        <w:w w:val="105"/>
                        <w:sz w:val="18"/>
                      </w:rPr>
                      <w:t>Location</w:t>
                    </w:r>
                  </w:p>
                </w:txbxContent>
              </v:textbox>
              <w10:wrap type="none"/>
            </v:shape>
            <v:shape style="position:absolute;left:6092;top:136;width:1070;height:216" type="#_x0000_t202" filled="false" stroked="false">
              <v:textbox inset="0,0,0,0">
                <w:txbxContent>
                  <w:p>
                    <w:pPr>
                      <w:spacing w:before="4"/>
                      <w:ind w:left="0" w:right="0" w:firstLine="0"/>
                      <w:jc w:val="left"/>
                      <w:rPr>
                        <w:b/>
                        <w:sz w:val="18"/>
                      </w:rPr>
                    </w:pPr>
                    <w:r>
                      <w:rPr>
                        <w:b/>
                        <w:color w:val="FFFFFF"/>
                        <w:w w:val="110"/>
                        <w:sz w:val="18"/>
                      </w:rPr>
                      <w:t>Sub Market</w:t>
                    </w:r>
                  </w:p>
                </w:txbxContent>
              </v:textbox>
              <w10:wrap type="none"/>
            </v:shape>
            <v:shape style="position:absolute;left:8087;top:28;width:2133;height:432" type="#_x0000_t202" filled="false" stroked="false">
              <v:textbox inset="0,0,0,0">
                <w:txbxContent>
                  <w:p>
                    <w:pPr>
                      <w:spacing w:line="247" w:lineRule="auto" w:before="4"/>
                      <w:ind w:left="225" w:right="0" w:hanging="226"/>
                      <w:jc w:val="left"/>
                      <w:rPr>
                        <w:b/>
                        <w:sz w:val="18"/>
                      </w:rPr>
                    </w:pPr>
                    <w:r>
                      <w:rPr>
                        <w:b/>
                        <w:color w:val="FFFFFF"/>
                        <w:w w:val="105"/>
                        <w:sz w:val="18"/>
                      </w:rPr>
                      <w:t>Catchment Area for the Valuation Exercise</w:t>
                    </w:r>
                  </w:p>
                </w:txbxContent>
              </v:textbox>
              <w10:wrap type="none"/>
            </v:shape>
          </v:group>
        </w:pict>
      </w:r>
      <w:r>
        <w:rPr>
          <w:sz w:val="20"/>
        </w:rPr>
      </w:r>
    </w:p>
    <w:p>
      <w:pPr>
        <w:spacing w:after="0"/>
        <w:rPr>
          <w:sz w:val="20"/>
        </w:rPr>
        <w:sectPr>
          <w:pgSz w:w="11910" w:h="16840"/>
          <w:pgMar w:header="720" w:footer="842" w:top="1520" w:bottom="1040" w:left="440" w:right="80"/>
        </w:sectPr>
      </w:pPr>
    </w:p>
    <w:p>
      <w:pPr>
        <w:spacing w:line="202" w:lineRule="exact" w:before="0"/>
        <w:ind w:left="1014" w:right="0" w:firstLine="0"/>
        <w:jc w:val="left"/>
        <w:rPr>
          <w:sz w:val="18"/>
        </w:rPr>
      </w:pPr>
      <w:r>
        <w:rPr/>
        <w:pict>
          <v:shape style="position:absolute;margin-left:305.230011pt;margin-top:11.229985pt;width:252.9pt;height:.75pt;mso-position-horizontal-relative:page;mso-position-vertical-relative:paragraph;z-index:-34818048" coordorigin="6105,225" coordsize="5058,15" path="m8632,225l6105,225,6105,239,8632,239,8632,225xm11162,225l8647,225,8632,225,8632,239,8647,239,11162,239,11162,225xe" filled="true" fillcolor="#69bd28" stroked="false">
            <v:path arrowok="t"/>
            <v:fill type="solid"/>
            <w10:wrap type="none"/>
          </v:shape>
        </w:pict>
      </w:r>
      <w:r>
        <w:rPr>
          <w:sz w:val="18"/>
        </w:rPr>
        <w:t>Embassy Manyata</w:t>
      </w:r>
    </w:p>
    <w:p>
      <w:pPr>
        <w:pStyle w:val="BodyText"/>
        <w:spacing w:line="20" w:lineRule="exact"/>
        <w:ind w:left="311" w:right="-735"/>
        <w:rPr>
          <w:sz w:val="2"/>
        </w:rPr>
      </w:pPr>
      <w:r>
        <w:rPr>
          <w:sz w:val="2"/>
        </w:rPr>
        <w:pict>
          <v:group style="width:141.2pt;height:.75pt;mso-position-horizontal-relative:char;mso-position-vertical-relative:line" coordorigin="0,0" coordsize="2824,15">
            <v:rect style="position:absolute;left:0;top:0;width:2824;height:15" filled="true" fillcolor="#69bd28" stroked="false">
              <v:fill type="solid"/>
            </v:rect>
          </v:group>
        </w:pict>
      </w:r>
      <w:r>
        <w:rPr>
          <w:sz w:val="2"/>
        </w:rPr>
      </w:r>
    </w:p>
    <w:p>
      <w:pPr>
        <w:tabs>
          <w:tab w:pos="3364" w:val="left" w:leader="none"/>
        </w:tabs>
        <w:spacing w:line="285" w:lineRule="auto" w:before="0"/>
        <w:ind w:left="3194" w:right="929" w:hanging="2180"/>
        <w:jc w:val="left"/>
        <w:rPr>
          <w:sz w:val="18"/>
        </w:rPr>
      </w:pPr>
      <w:r>
        <w:rPr/>
        <w:br w:type="column"/>
      </w:r>
      <w:r>
        <w:rPr>
          <w:sz w:val="18"/>
        </w:rPr>
        <w:t>North</w:t>
      </w:r>
      <w:r>
        <w:rPr>
          <w:spacing w:val="-3"/>
          <w:sz w:val="18"/>
        </w:rPr>
        <w:t> </w:t>
      </w:r>
      <w:r>
        <w:rPr>
          <w:sz w:val="18"/>
        </w:rPr>
        <w:t>Bengaluru</w:t>
        <w:tab/>
        <w:tab/>
        <w:t>Hebbal, Bellary Road Domlur, Inner Ring</w:t>
      </w:r>
      <w:r>
        <w:rPr>
          <w:spacing w:val="-33"/>
          <w:sz w:val="18"/>
        </w:rPr>
        <w:t> </w:t>
      </w:r>
      <w:r>
        <w:rPr>
          <w:sz w:val="18"/>
        </w:rPr>
        <w:t>Road,</w:t>
      </w:r>
    </w:p>
    <w:p>
      <w:pPr>
        <w:spacing w:after="0" w:line="285" w:lineRule="auto"/>
        <w:jc w:val="left"/>
        <w:rPr>
          <w:sz w:val="18"/>
        </w:rPr>
        <w:sectPr>
          <w:type w:val="continuous"/>
          <w:pgSz w:w="11910" w:h="16840"/>
          <w:pgMar w:top="800" w:bottom="280" w:left="440" w:right="80"/>
          <w:cols w:num="2" w:equalWidth="0">
            <w:col w:w="2469" w:space="2790"/>
            <w:col w:w="6131"/>
          </w:cols>
        </w:sectPr>
      </w:pPr>
    </w:p>
    <w:p>
      <w:pPr>
        <w:tabs>
          <w:tab w:pos="5928" w:val="left" w:leader="none"/>
          <w:tab w:pos="8470" w:val="left" w:leader="none"/>
        </w:tabs>
        <w:spacing w:line="154" w:lineRule="exact" w:before="0"/>
        <w:ind w:left="990" w:right="0" w:firstLine="0"/>
        <w:jc w:val="left"/>
        <w:rPr>
          <w:sz w:val="18"/>
        </w:rPr>
      </w:pPr>
      <w:r>
        <w:rPr>
          <w:sz w:val="18"/>
        </w:rPr>
        <w:t>Embassy</w:t>
      </w:r>
      <w:r>
        <w:rPr>
          <w:spacing w:val="-7"/>
          <w:sz w:val="18"/>
        </w:rPr>
        <w:t> </w:t>
      </w:r>
      <w:r>
        <w:rPr>
          <w:sz w:val="18"/>
        </w:rPr>
        <w:t>GolfLinks</w:t>
        <w:tab/>
        <w:t>Extended</w:t>
      </w:r>
      <w:r>
        <w:rPr>
          <w:spacing w:val="-33"/>
          <w:sz w:val="18"/>
        </w:rPr>
        <w:t> </w:t>
      </w:r>
      <w:r>
        <w:rPr>
          <w:sz w:val="18"/>
        </w:rPr>
        <w:t>Business</w:t>
      </w:r>
      <w:r>
        <w:rPr>
          <w:spacing w:val="-34"/>
          <w:sz w:val="18"/>
        </w:rPr>
        <w:t> </w:t>
      </w:r>
      <w:r>
        <w:rPr>
          <w:sz w:val="18"/>
        </w:rPr>
        <w:t>District</w:t>
        <w:tab/>
        <w:t>Indira Nagar, CV</w:t>
      </w:r>
      <w:r>
        <w:rPr>
          <w:spacing w:val="4"/>
          <w:sz w:val="18"/>
        </w:rPr>
        <w:t> </w:t>
      </w:r>
      <w:r>
        <w:rPr>
          <w:sz w:val="18"/>
        </w:rPr>
        <w:t>Raman</w:t>
      </w:r>
    </w:p>
    <w:p>
      <w:pPr>
        <w:spacing w:after="0" w:line="154" w:lineRule="exact"/>
        <w:jc w:val="left"/>
        <w:rPr>
          <w:sz w:val="18"/>
        </w:rPr>
        <w:sectPr>
          <w:type w:val="continuous"/>
          <w:pgSz w:w="11910" w:h="16840"/>
          <w:pgMar w:top="800" w:bottom="280" w:left="440" w:right="80"/>
        </w:sectPr>
      </w:pPr>
    </w:p>
    <w:p>
      <w:pPr>
        <w:spacing w:before="4"/>
        <w:ind w:left="0" w:right="0" w:firstLine="0"/>
        <w:jc w:val="right"/>
        <w:rPr>
          <w:sz w:val="18"/>
        </w:rPr>
      </w:pPr>
      <w:r>
        <w:rPr>
          <w:w w:val="95"/>
          <w:sz w:val="18"/>
        </w:rPr>
        <w:t>Bengaluru</w:t>
      </w:r>
    </w:p>
    <w:p>
      <w:pPr>
        <w:pStyle w:val="BodyText"/>
        <w:spacing w:line="20" w:lineRule="exact"/>
        <w:ind w:left="311"/>
        <w:rPr>
          <w:sz w:val="2"/>
        </w:rPr>
      </w:pPr>
      <w:r>
        <w:rPr>
          <w:sz w:val="2"/>
        </w:rPr>
        <w:pict>
          <v:group style="width:141.2pt;height:.75pt;mso-position-horizontal-relative:char;mso-position-vertical-relative:line" coordorigin="0,0" coordsize="2824,15">
            <v:rect style="position:absolute;left:0;top:0;width:2824;height:15" filled="true" fillcolor="#69bd28" stroked="false">
              <v:fill type="solid"/>
            </v:rect>
          </v:group>
        </w:pict>
      </w:r>
      <w:r>
        <w:rPr>
          <w:sz w:val="2"/>
        </w:rPr>
      </w:r>
    </w:p>
    <w:p>
      <w:pPr>
        <w:tabs>
          <w:tab w:pos="2938" w:val="left" w:leader="none"/>
          <w:tab w:pos="5216" w:val="left" w:leader="none"/>
        </w:tabs>
        <w:spacing w:before="23"/>
        <w:ind w:left="158" w:right="0" w:firstLine="0"/>
        <w:jc w:val="center"/>
        <w:rPr>
          <w:sz w:val="18"/>
        </w:rPr>
      </w:pPr>
      <w:r>
        <w:rPr/>
        <w:br w:type="column"/>
      </w:r>
      <w:r>
        <w:rPr>
          <w:w w:val="97"/>
          <w:sz w:val="18"/>
          <w:u w:val="single" w:color="69BD28"/>
        </w:rPr>
        <w:t> </w:t>
      </w:r>
      <w:r>
        <w:rPr>
          <w:sz w:val="18"/>
          <w:u w:val="single" w:color="69BD28"/>
        </w:rPr>
        <w:tab/>
      </w:r>
      <w:r>
        <w:rPr>
          <w:w w:val="105"/>
          <w:sz w:val="18"/>
          <w:u w:val="single" w:color="69BD28"/>
        </w:rPr>
        <w:t>Nagar, Old Madras</w:t>
      </w:r>
      <w:r>
        <w:rPr>
          <w:spacing w:val="-2"/>
          <w:w w:val="105"/>
          <w:sz w:val="18"/>
          <w:u w:val="single" w:color="69BD28"/>
        </w:rPr>
        <w:t> </w:t>
      </w:r>
      <w:r>
        <w:rPr>
          <w:w w:val="105"/>
          <w:sz w:val="18"/>
          <w:u w:val="single" w:color="69BD28"/>
        </w:rPr>
        <w:t>Road</w:t>
      </w:r>
      <w:r>
        <w:rPr>
          <w:sz w:val="18"/>
          <w:u w:val="single" w:color="69BD28"/>
        </w:rPr>
        <w:tab/>
      </w:r>
    </w:p>
    <w:p>
      <w:pPr>
        <w:spacing w:before="22"/>
        <w:ind w:left="2683" w:right="0" w:firstLine="0"/>
        <w:jc w:val="center"/>
        <w:rPr>
          <w:sz w:val="18"/>
        </w:rPr>
      </w:pPr>
      <w:r>
        <w:rPr/>
        <w:pict>
          <v:shape style="position:absolute;margin-left:37.560001pt;margin-top:10.008628pt;width:520.6pt;height:116.55pt;mso-position-horizontal-relative:page;mso-position-vertical-relative:paragraph;z-index:158105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23"/>
                    <w:gridCol w:w="2530"/>
                    <w:gridCol w:w="2530"/>
                    <w:gridCol w:w="2528"/>
                  </w:tblGrid>
                  <w:tr>
                    <w:trPr>
                      <w:trHeight w:val="432" w:hRule="atLeast"/>
                    </w:trPr>
                    <w:tc>
                      <w:tcPr>
                        <w:tcW w:w="2823" w:type="dxa"/>
                        <w:tcBorders>
                          <w:bottom w:val="single" w:sz="6" w:space="0" w:color="69BD28"/>
                        </w:tcBorders>
                      </w:tcPr>
                      <w:p>
                        <w:pPr>
                          <w:pStyle w:val="TableParagraph"/>
                          <w:spacing w:before="38"/>
                          <w:ind w:left="21" w:right="21"/>
                          <w:rPr>
                            <w:sz w:val="18"/>
                          </w:rPr>
                        </w:pPr>
                        <w:r>
                          <w:rPr>
                            <w:w w:val="105"/>
                            <w:sz w:val="18"/>
                          </w:rPr>
                          <w:t>Embassy One</w:t>
                        </w:r>
                      </w:p>
                    </w:tc>
                    <w:tc>
                      <w:tcPr>
                        <w:tcW w:w="2530" w:type="dxa"/>
                        <w:tcBorders>
                          <w:bottom w:val="single" w:sz="6" w:space="0" w:color="69BD28"/>
                        </w:tcBorders>
                      </w:tcPr>
                      <w:p>
                        <w:pPr>
                          <w:pStyle w:val="TableParagraph"/>
                          <w:jc w:val="left"/>
                          <w:rPr>
                            <w:rFonts w:ascii="Times New Roman"/>
                            <w:sz w:val="20"/>
                          </w:rPr>
                        </w:pPr>
                      </w:p>
                    </w:tc>
                    <w:tc>
                      <w:tcPr>
                        <w:tcW w:w="2530" w:type="dxa"/>
                        <w:tcBorders>
                          <w:bottom w:val="single" w:sz="6" w:space="0" w:color="69BD28"/>
                        </w:tcBorders>
                      </w:tcPr>
                      <w:p>
                        <w:pPr>
                          <w:pStyle w:val="TableParagraph"/>
                          <w:spacing w:before="38"/>
                          <w:ind w:right="265"/>
                          <w:jc w:val="right"/>
                          <w:rPr>
                            <w:sz w:val="18"/>
                          </w:rPr>
                        </w:pPr>
                        <w:r>
                          <w:rPr>
                            <w:w w:val="95"/>
                            <w:sz w:val="18"/>
                          </w:rPr>
                          <w:t>Extended Business District</w:t>
                        </w:r>
                      </w:p>
                    </w:tc>
                    <w:tc>
                      <w:tcPr>
                        <w:tcW w:w="2528" w:type="dxa"/>
                        <w:tcBorders>
                          <w:bottom w:val="single" w:sz="6" w:space="0" w:color="69BD28"/>
                        </w:tcBorders>
                      </w:tcPr>
                      <w:p>
                        <w:pPr>
                          <w:pStyle w:val="TableParagraph"/>
                          <w:spacing w:line="210" w:lineRule="atLeast" w:before="37"/>
                          <w:ind w:left="986" w:hanging="598"/>
                          <w:jc w:val="left"/>
                          <w:rPr>
                            <w:sz w:val="18"/>
                          </w:rPr>
                        </w:pPr>
                        <w:r>
                          <w:rPr>
                            <w:sz w:val="18"/>
                          </w:rPr>
                          <w:t>and prime City Center Offices</w:t>
                        </w:r>
                      </w:p>
                    </w:tc>
                  </w:tr>
                  <w:tr>
                    <w:trPr>
                      <w:trHeight w:val="228" w:hRule="atLeast"/>
                    </w:trPr>
                    <w:tc>
                      <w:tcPr>
                        <w:tcW w:w="2823" w:type="dxa"/>
                        <w:tcBorders>
                          <w:top w:val="single" w:sz="6" w:space="0" w:color="69BD28"/>
                          <w:bottom w:val="single" w:sz="6" w:space="0" w:color="69BD28"/>
                        </w:tcBorders>
                      </w:tcPr>
                      <w:p>
                        <w:pPr>
                          <w:pStyle w:val="TableParagraph"/>
                          <w:spacing w:line="177" w:lineRule="exact" w:before="32"/>
                          <w:ind w:left="21" w:right="20"/>
                          <w:rPr>
                            <w:sz w:val="18"/>
                          </w:rPr>
                        </w:pPr>
                        <w:r>
                          <w:rPr>
                            <w:sz w:val="18"/>
                          </w:rPr>
                          <w:t>Embassy TechZone</w:t>
                        </w:r>
                      </w:p>
                    </w:tc>
                    <w:tc>
                      <w:tcPr>
                        <w:tcW w:w="2530" w:type="dxa"/>
                        <w:tcBorders>
                          <w:top w:val="single" w:sz="6" w:space="0" w:color="69BD28"/>
                        </w:tcBorders>
                      </w:tcPr>
                      <w:p>
                        <w:pPr>
                          <w:pStyle w:val="TableParagraph"/>
                          <w:jc w:val="left"/>
                          <w:rPr>
                            <w:rFonts w:ascii="Times New Roman"/>
                            <w:sz w:val="16"/>
                          </w:rPr>
                        </w:pPr>
                      </w:p>
                    </w:tc>
                    <w:tc>
                      <w:tcPr>
                        <w:tcW w:w="2530" w:type="dxa"/>
                        <w:tcBorders>
                          <w:top w:val="single" w:sz="6" w:space="0" w:color="69BD28"/>
                          <w:bottom w:val="single" w:sz="6" w:space="0" w:color="69BD28"/>
                        </w:tcBorders>
                      </w:tcPr>
                      <w:p>
                        <w:pPr>
                          <w:pStyle w:val="TableParagraph"/>
                          <w:spacing w:line="177" w:lineRule="exact" w:before="32"/>
                          <w:ind w:left="176" w:right="176"/>
                          <w:rPr>
                            <w:sz w:val="18"/>
                          </w:rPr>
                        </w:pPr>
                        <w:r>
                          <w:rPr>
                            <w:sz w:val="18"/>
                          </w:rPr>
                          <w:t>Hinjewadi</w:t>
                        </w:r>
                      </w:p>
                    </w:tc>
                    <w:tc>
                      <w:tcPr>
                        <w:tcW w:w="2528" w:type="dxa"/>
                        <w:tcBorders>
                          <w:top w:val="single" w:sz="6" w:space="0" w:color="69BD28"/>
                          <w:bottom w:val="single" w:sz="6" w:space="0" w:color="69BD28"/>
                        </w:tcBorders>
                      </w:tcPr>
                      <w:p>
                        <w:pPr>
                          <w:pStyle w:val="TableParagraph"/>
                          <w:spacing w:line="177" w:lineRule="exact" w:before="32"/>
                          <w:ind w:left="108" w:right="108"/>
                          <w:rPr>
                            <w:sz w:val="18"/>
                          </w:rPr>
                        </w:pPr>
                        <w:r>
                          <w:rPr>
                            <w:sz w:val="18"/>
                          </w:rPr>
                          <w:t>Hinjewadi</w:t>
                        </w:r>
                      </w:p>
                    </w:tc>
                  </w:tr>
                  <w:tr>
                    <w:trPr>
                      <w:trHeight w:val="251" w:hRule="atLeast"/>
                    </w:trPr>
                    <w:tc>
                      <w:tcPr>
                        <w:tcW w:w="2823" w:type="dxa"/>
                        <w:tcBorders>
                          <w:top w:val="single" w:sz="6" w:space="0" w:color="69BD28"/>
                          <w:bottom w:val="single" w:sz="6" w:space="0" w:color="69BD28"/>
                        </w:tcBorders>
                      </w:tcPr>
                      <w:p>
                        <w:pPr>
                          <w:pStyle w:val="TableParagraph"/>
                          <w:spacing w:line="177" w:lineRule="exact" w:before="54"/>
                          <w:ind w:left="21" w:right="20"/>
                          <w:rPr>
                            <w:sz w:val="18"/>
                          </w:rPr>
                        </w:pPr>
                        <w:r>
                          <w:rPr>
                            <w:sz w:val="18"/>
                          </w:rPr>
                          <w:t>Embassy Qubix</w:t>
                        </w:r>
                      </w:p>
                    </w:tc>
                    <w:tc>
                      <w:tcPr>
                        <w:tcW w:w="2530" w:type="dxa"/>
                      </w:tcPr>
                      <w:p>
                        <w:pPr>
                          <w:pStyle w:val="TableParagraph"/>
                          <w:spacing w:line="177" w:lineRule="exact" w:before="54"/>
                          <w:ind w:left="176" w:right="176"/>
                          <w:rPr>
                            <w:sz w:val="18"/>
                          </w:rPr>
                        </w:pPr>
                        <w:r>
                          <w:rPr>
                            <w:sz w:val="18"/>
                          </w:rPr>
                          <w:t>Pune</w:t>
                        </w:r>
                      </w:p>
                    </w:tc>
                    <w:tc>
                      <w:tcPr>
                        <w:tcW w:w="2530" w:type="dxa"/>
                        <w:tcBorders>
                          <w:top w:val="single" w:sz="6" w:space="0" w:color="69BD28"/>
                          <w:bottom w:val="single" w:sz="6" w:space="0" w:color="69BD28"/>
                        </w:tcBorders>
                      </w:tcPr>
                      <w:p>
                        <w:pPr>
                          <w:pStyle w:val="TableParagraph"/>
                          <w:spacing w:line="177" w:lineRule="exact" w:before="54"/>
                          <w:ind w:left="176" w:right="176"/>
                          <w:rPr>
                            <w:sz w:val="18"/>
                          </w:rPr>
                        </w:pPr>
                        <w:r>
                          <w:rPr>
                            <w:sz w:val="18"/>
                          </w:rPr>
                          <w:t>Hinjewadi</w:t>
                        </w:r>
                      </w:p>
                    </w:tc>
                    <w:tc>
                      <w:tcPr>
                        <w:tcW w:w="2528" w:type="dxa"/>
                        <w:tcBorders>
                          <w:top w:val="single" w:sz="6" w:space="0" w:color="69BD28"/>
                          <w:bottom w:val="single" w:sz="6" w:space="0" w:color="69BD28"/>
                        </w:tcBorders>
                      </w:tcPr>
                      <w:p>
                        <w:pPr>
                          <w:pStyle w:val="TableParagraph"/>
                          <w:spacing w:line="177" w:lineRule="exact" w:before="54"/>
                          <w:ind w:left="108" w:right="108"/>
                          <w:rPr>
                            <w:sz w:val="18"/>
                          </w:rPr>
                        </w:pPr>
                        <w:r>
                          <w:rPr>
                            <w:sz w:val="18"/>
                          </w:rPr>
                          <w:t>Hinjewadi</w:t>
                        </w:r>
                      </w:p>
                    </w:tc>
                  </w:tr>
                  <w:tr>
                    <w:trPr>
                      <w:trHeight w:val="253" w:hRule="atLeast"/>
                    </w:trPr>
                    <w:tc>
                      <w:tcPr>
                        <w:tcW w:w="2823" w:type="dxa"/>
                        <w:tcBorders>
                          <w:top w:val="single" w:sz="6" w:space="0" w:color="69BD28"/>
                          <w:bottom w:val="single" w:sz="6" w:space="0" w:color="69BD28"/>
                        </w:tcBorders>
                      </w:tcPr>
                      <w:p>
                        <w:pPr>
                          <w:pStyle w:val="TableParagraph"/>
                          <w:spacing w:line="177" w:lineRule="exact" w:before="57"/>
                          <w:ind w:left="21" w:right="21"/>
                          <w:rPr>
                            <w:sz w:val="18"/>
                          </w:rPr>
                        </w:pPr>
                        <w:r>
                          <w:rPr>
                            <w:w w:val="105"/>
                            <w:sz w:val="18"/>
                          </w:rPr>
                          <w:t>Embassy Quadron</w:t>
                        </w:r>
                      </w:p>
                    </w:tc>
                    <w:tc>
                      <w:tcPr>
                        <w:tcW w:w="2530" w:type="dxa"/>
                        <w:tcBorders>
                          <w:bottom w:val="single" w:sz="6" w:space="0" w:color="69BD28"/>
                        </w:tcBorders>
                      </w:tcPr>
                      <w:p>
                        <w:pPr>
                          <w:pStyle w:val="TableParagraph"/>
                          <w:jc w:val="left"/>
                          <w:rPr>
                            <w:rFonts w:ascii="Times New Roman"/>
                            <w:sz w:val="18"/>
                          </w:rPr>
                        </w:pPr>
                      </w:p>
                    </w:tc>
                    <w:tc>
                      <w:tcPr>
                        <w:tcW w:w="2530" w:type="dxa"/>
                        <w:tcBorders>
                          <w:top w:val="single" w:sz="6" w:space="0" w:color="69BD28"/>
                          <w:bottom w:val="single" w:sz="6" w:space="0" w:color="69BD28"/>
                        </w:tcBorders>
                      </w:tcPr>
                      <w:p>
                        <w:pPr>
                          <w:pStyle w:val="TableParagraph"/>
                          <w:spacing w:line="177" w:lineRule="exact" w:before="57"/>
                          <w:ind w:left="176" w:right="176"/>
                          <w:rPr>
                            <w:sz w:val="18"/>
                          </w:rPr>
                        </w:pPr>
                        <w:r>
                          <w:rPr>
                            <w:sz w:val="18"/>
                          </w:rPr>
                          <w:t>Hinjewadi</w:t>
                        </w:r>
                      </w:p>
                    </w:tc>
                    <w:tc>
                      <w:tcPr>
                        <w:tcW w:w="2528" w:type="dxa"/>
                        <w:tcBorders>
                          <w:top w:val="single" w:sz="6" w:space="0" w:color="69BD28"/>
                          <w:bottom w:val="single" w:sz="6" w:space="0" w:color="69BD28"/>
                        </w:tcBorders>
                      </w:tcPr>
                      <w:p>
                        <w:pPr>
                          <w:pStyle w:val="TableParagraph"/>
                          <w:spacing w:line="177" w:lineRule="exact" w:before="57"/>
                          <w:ind w:left="108" w:right="108"/>
                          <w:rPr>
                            <w:sz w:val="18"/>
                          </w:rPr>
                        </w:pPr>
                        <w:r>
                          <w:rPr>
                            <w:sz w:val="18"/>
                          </w:rPr>
                          <w:t>Hinjewadi</w:t>
                        </w:r>
                      </w:p>
                    </w:tc>
                  </w:tr>
                  <w:tr>
                    <w:trPr>
                      <w:trHeight w:val="253" w:hRule="atLeast"/>
                    </w:trPr>
                    <w:tc>
                      <w:tcPr>
                        <w:tcW w:w="2823" w:type="dxa"/>
                        <w:tcBorders>
                          <w:top w:val="single" w:sz="6" w:space="0" w:color="69BD28"/>
                          <w:bottom w:val="single" w:sz="6" w:space="0" w:color="69BD28"/>
                        </w:tcBorders>
                      </w:tcPr>
                      <w:p>
                        <w:pPr>
                          <w:pStyle w:val="TableParagraph"/>
                          <w:spacing w:line="177" w:lineRule="exact" w:before="57"/>
                          <w:ind w:left="21" w:right="22"/>
                          <w:rPr>
                            <w:sz w:val="18"/>
                          </w:rPr>
                        </w:pPr>
                        <w:r>
                          <w:rPr>
                            <w:sz w:val="18"/>
                          </w:rPr>
                          <w:t>Express Towers</w:t>
                        </w:r>
                      </w:p>
                    </w:tc>
                    <w:tc>
                      <w:tcPr>
                        <w:tcW w:w="2530" w:type="dxa"/>
                        <w:tcBorders>
                          <w:top w:val="single" w:sz="6" w:space="0" w:color="69BD28"/>
                        </w:tcBorders>
                      </w:tcPr>
                      <w:p>
                        <w:pPr>
                          <w:pStyle w:val="TableParagraph"/>
                          <w:jc w:val="left"/>
                          <w:rPr>
                            <w:rFonts w:ascii="Times New Roman"/>
                            <w:sz w:val="18"/>
                          </w:rPr>
                        </w:pPr>
                      </w:p>
                    </w:tc>
                    <w:tc>
                      <w:tcPr>
                        <w:tcW w:w="2530" w:type="dxa"/>
                        <w:tcBorders>
                          <w:top w:val="single" w:sz="6" w:space="0" w:color="69BD28"/>
                          <w:bottom w:val="single" w:sz="6" w:space="0" w:color="69BD28"/>
                        </w:tcBorders>
                      </w:tcPr>
                      <w:p>
                        <w:pPr>
                          <w:pStyle w:val="TableParagraph"/>
                          <w:spacing w:line="177" w:lineRule="exact" w:before="57"/>
                          <w:ind w:left="329"/>
                          <w:jc w:val="left"/>
                          <w:rPr>
                            <w:sz w:val="18"/>
                          </w:rPr>
                        </w:pPr>
                        <w:r>
                          <w:rPr>
                            <w:sz w:val="18"/>
                          </w:rPr>
                          <w:t>Central Business District</w:t>
                        </w:r>
                      </w:p>
                    </w:tc>
                    <w:tc>
                      <w:tcPr>
                        <w:tcW w:w="2528" w:type="dxa"/>
                        <w:tcBorders>
                          <w:top w:val="single" w:sz="6" w:space="0" w:color="69BD28"/>
                          <w:bottom w:val="single" w:sz="6" w:space="0" w:color="69BD28"/>
                        </w:tcBorders>
                      </w:tcPr>
                      <w:p>
                        <w:pPr>
                          <w:pStyle w:val="TableParagraph"/>
                          <w:spacing w:line="177" w:lineRule="exact" w:before="57"/>
                          <w:ind w:left="108" w:right="108"/>
                          <w:rPr>
                            <w:sz w:val="18"/>
                          </w:rPr>
                        </w:pPr>
                        <w:r>
                          <w:rPr>
                            <w:sz w:val="18"/>
                          </w:rPr>
                          <w:t>Nariman Point</w:t>
                        </w:r>
                      </w:p>
                    </w:tc>
                  </w:tr>
                  <w:tr>
                    <w:trPr>
                      <w:trHeight w:val="251" w:hRule="atLeast"/>
                    </w:trPr>
                    <w:tc>
                      <w:tcPr>
                        <w:tcW w:w="2823" w:type="dxa"/>
                        <w:tcBorders>
                          <w:top w:val="single" w:sz="6" w:space="0" w:color="69BD28"/>
                          <w:bottom w:val="single" w:sz="6" w:space="0" w:color="69BD28"/>
                        </w:tcBorders>
                      </w:tcPr>
                      <w:p>
                        <w:pPr>
                          <w:pStyle w:val="TableParagraph"/>
                          <w:spacing w:line="177" w:lineRule="exact" w:before="54"/>
                          <w:ind w:left="21" w:right="25"/>
                          <w:rPr>
                            <w:sz w:val="18"/>
                          </w:rPr>
                        </w:pPr>
                        <w:r>
                          <w:rPr>
                            <w:sz w:val="18"/>
                          </w:rPr>
                          <w:t>First International Finance Centre</w:t>
                        </w:r>
                      </w:p>
                    </w:tc>
                    <w:tc>
                      <w:tcPr>
                        <w:tcW w:w="2530" w:type="dxa"/>
                      </w:tcPr>
                      <w:p>
                        <w:pPr>
                          <w:pStyle w:val="TableParagraph"/>
                          <w:spacing w:line="177" w:lineRule="exact" w:before="54"/>
                          <w:ind w:left="176" w:right="176"/>
                          <w:rPr>
                            <w:sz w:val="18"/>
                          </w:rPr>
                        </w:pPr>
                        <w:r>
                          <w:rPr>
                            <w:w w:val="105"/>
                            <w:sz w:val="18"/>
                          </w:rPr>
                          <w:t>Mumbai</w:t>
                        </w:r>
                      </w:p>
                    </w:tc>
                    <w:tc>
                      <w:tcPr>
                        <w:tcW w:w="2530" w:type="dxa"/>
                        <w:tcBorders>
                          <w:top w:val="single" w:sz="6" w:space="0" w:color="69BD28"/>
                          <w:bottom w:val="single" w:sz="6" w:space="0" w:color="69BD28"/>
                        </w:tcBorders>
                      </w:tcPr>
                      <w:p>
                        <w:pPr>
                          <w:pStyle w:val="TableParagraph"/>
                          <w:spacing w:line="177" w:lineRule="exact" w:before="54"/>
                          <w:ind w:right="270"/>
                          <w:jc w:val="right"/>
                          <w:rPr>
                            <w:sz w:val="18"/>
                          </w:rPr>
                        </w:pPr>
                        <w:r>
                          <w:rPr>
                            <w:w w:val="95"/>
                            <w:sz w:val="18"/>
                          </w:rPr>
                          <w:t>Alternate Business District</w:t>
                        </w:r>
                      </w:p>
                    </w:tc>
                    <w:tc>
                      <w:tcPr>
                        <w:tcW w:w="2528" w:type="dxa"/>
                        <w:tcBorders>
                          <w:top w:val="single" w:sz="6" w:space="0" w:color="69BD28"/>
                          <w:bottom w:val="single" w:sz="6" w:space="0" w:color="69BD28"/>
                        </w:tcBorders>
                      </w:tcPr>
                      <w:p>
                        <w:pPr>
                          <w:pStyle w:val="TableParagraph"/>
                          <w:spacing w:line="177" w:lineRule="exact" w:before="54"/>
                          <w:ind w:left="108" w:right="109"/>
                          <w:rPr>
                            <w:sz w:val="18"/>
                          </w:rPr>
                        </w:pPr>
                        <w:r>
                          <w:rPr>
                            <w:sz w:val="18"/>
                          </w:rPr>
                          <w:t>Bandra Kurla Complex</w:t>
                        </w:r>
                      </w:p>
                    </w:tc>
                  </w:tr>
                  <w:tr>
                    <w:trPr>
                      <w:trHeight w:val="253" w:hRule="atLeast"/>
                    </w:trPr>
                    <w:tc>
                      <w:tcPr>
                        <w:tcW w:w="2823" w:type="dxa"/>
                        <w:tcBorders>
                          <w:top w:val="single" w:sz="6" w:space="0" w:color="69BD28"/>
                          <w:bottom w:val="single" w:sz="6" w:space="0" w:color="69BD28"/>
                        </w:tcBorders>
                      </w:tcPr>
                      <w:p>
                        <w:pPr>
                          <w:pStyle w:val="TableParagraph"/>
                          <w:spacing w:line="177" w:lineRule="exact" w:before="57"/>
                          <w:ind w:left="21" w:right="21"/>
                          <w:rPr>
                            <w:sz w:val="18"/>
                          </w:rPr>
                        </w:pPr>
                        <w:r>
                          <w:rPr>
                            <w:w w:val="105"/>
                            <w:sz w:val="18"/>
                          </w:rPr>
                          <w:t>Embassy 247</w:t>
                        </w:r>
                      </w:p>
                    </w:tc>
                    <w:tc>
                      <w:tcPr>
                        <w:tcW w:w="2530" w:type="dxa"/>
                        <w:tcBorders>
                          <w:bottom w:val="single" w:sz="6" w:space="0" w:color="69BD28"/>
                        </w:tcBorders>
                      </w:tcPr>
                      <w:p>
                        <w:pPr>
                          <w:pStyle w:val="TableParagraph"/>
                          <w:jc w:val="left"/>
                          <w:rPr>
                            <w:rFonts w:ascii="Times New Roman"/>
                            <w:sz w:val="18"/>
                          </w:rPr>
                        </w:pPr>
                      </w:p>
                    </w:tc>
                    <w:tc>
                      <w:tcPr>
                        <w:tcW w:w="2530" w:type="dxa"/>
                        <w:tcBorders>
                          <w:top w:val="single" w:sz="6" w:space="0" w:color="69BD28"/>
                          <w:bottom w:val="single" w:sz="6" w:space="0" w:color="69BD28"/>
                        </w:tcBorders>
                      </w:tcPr>
                      <w:p>
                        <w:pPr>
                          <w:pStyle w:val="TableParagraph"/>
                          <w:spacing w:line="177" w:lineRule="exact" w:before="57"/>
                          <w:ind w:right="222"/>
                          <w:jc w:val="right"/>
                          <w:rPr>
                            <w:sz w:val="18"/>
                          </w:rPr>
                        </w:pPr>
                        <w:r>
                          <w:rPr>
                            <w:w w:val="95"/>
                            <w:sz w:val="18"/>
                          </w:rPr>
                          <w:t>Peripheral Business District</w:t>
                        </w:r>
                      </w:p>
                    </w:tc>
                    <w:tc>
                      <w:tcPr>
                        <w:tcW w:w="2528" w:type="dxa"/>
                        <w:tcBorders>
                          <w:top w:val="single" w:sz="6" w:space="0" w:color="69BD28"/>
                          <w:bottom w:val="single" w:sz="6" w:space="0" w:color="69BD28"/>
                        </w:tcBorders>
                      </w:tcPr>
                      <w:p>
                        <w:pPr>
                          <w:pStyle w:val="TableParagraph"/>
                          <w:spacing w:line="177" w:lineRule="exact" w:before="57"/>
                          <w:ind w:left="108" w:right="110"/>
                          <w:rPr>
                            <w:sz w:val="18"/>
                          </w:rPr>
                        </w:pPr>
                        <w:r>
                          <w:rPr>
                            <w:sz w:val="18"/>
                          </w:rPr>
                          <w:t>Vikhroli, Powai, Kanjurmarg</w:t>
                        </w:r>
                      </w:p>
                    </w:tc>
                  </w:tr>
                  <w:tr>
                    <w:trPr>
                      <w:trHeight w:val="253" w:hRule="atLeast"/>
                    </w:trPr>
                    <w:tc>
                      <w:tcPr>
                        <w:tcW w:w="2823" w:type="dxa"/>
                        <w:tcBorders>
                          <w:top w:val="single" w:sz="6" w:space="0" w:color="69BD28"/>
                          <w:bottom w:val="single" w:sz="6" w:space="0" w:color="69BD28"/>
                        </w:tcBorders>
                      </w:tcPr>
                      <w:p>
                        <w:pPr>
                          <w:pStyle w:val="TableParagraph"/>
                          <w:spacing w:line="177" w:lineRule="exact" w:before="57"/>
                          <w:ind w:left="21" w:right="19"/>
                          <w:rPr>
                            <w:sz w:val="18"/>
                          </w:rPr>
                        </w:pPr>
                        <w:r>
                          <w:rPr>
                            <w:sz w:val="18"/>
                          </w:rPr>
                          <w:t>Embassy Galaxy</w:t>
                        </w:r>
                      </w:p>
                    </w:tc>
                    <w:tc>
                      <w:tcPr>
                        <w:tcW w:w="2530" w:type="dxa"/>
                        <w:tcBorders>
                          <w:top w:val="single" w:sz="6" w:space="0" w:color="69BD28"/>
                        </w:tcBorders>
                      </w:tcPr>
                      <w:p>
                        <w:pPr>
                          <w:pStyle w:val="TableParagraph"/>
                          <w:jc w:val="left"/>
                          <w:rPr>
                            <w:rFonts w:ascii="Times New Roman"/>
                            <w:sz w:val="18"/>
                          </w:rPr>
                        </w:pPr>
                      </w:p>
                    </w:tc>
                    <w:tc>
                      <w:tcPr>
                        <w:tcW w:w="2530" w:type="dxa"/>
                        <w:tcBorders>
                          <w:top w:val="single" w:sz="6" w:space="0" w:color="69BD28"/>
                          <w:bottom w:val="single" w:sz="6" w:space="0" w:color="69BD28"/>
                        </w:tcBorders>
                      </w:tcPr>
                      <w:p>
                        <w:pPr>
                          <w:pStyle w:val="TableParagraph"/>
                          <w:spacing w:line="177" w:lineRule="exact" w:before="57"/>
                          <w:ind w:right="159"/>
                          <w:jc w:val="right"/>
                          <w:rPr>
                            <w:sz w:val="18"/>
                          </w:rPr>
                        </w:pPr>
                        <w:r>
                          <w:rPr>
                            <w:sz w:val="18"/>
                          </w:rPr>
                          <w:t>Sector 62/ Peripheral Noida</w:t>
                        </w:r>
                      </w:p>
                    </w:tc>
                    <w:tc>
                      <w:tcPr>
                        <w:tcW w:w="2528" w:type="dxa"/>
                        <w:tcBorders>
                          <w:top w:val="single" w:sz="6" w:space="0" w:color="69BD28"/>
                          <w:bottom w:val="single" w:sz="6" w:space="0" w:color="69BD28"/>
                        </w:tcBorders>
                      </w:tcPr>
                      <w:p>
                        <w:pPr>
                          <w:pStyle w:val="TableParagraph"/>
                          <w:spacing w:line="177" w:lineRule="exact" w:before="57"/>
                          <w:ind w:left="108" w:right="108"/>
                          <w:rPr>
                            <w:sz w:val="18"/>
                          </w:rPr>
                        </w:pPr>
                        <w:r>
                          <w:rPr>
                            <w:sz w:val="18"/>
                          </w:rPr>
                          <w:t>Sector 62</w:t>
                        </w:r>
                      </w:p>
                    </w:tc>
                  </w:tr>
                </w:tbl>
                <w:p>
                  <w:pPr>
                    <w:pStyle w:val="BodyText"/>
                  </w:pPr>
                </w:p>
              </w:txbxContent>
            </v:textbox>
            <w10:wrap type="none"/>
          </v:shape>
        </w:pict>
      </w:r>
      <w:r>
        <w:rPr>
          <w:sz w:val="18"/>
        </w:rPr>
        <w:t>Initial stretch of Bellary Road</w:t>
      </w:r>
    </w:p>
    <w:p>
      <w:pPr>
        <w:spacing w:after="0"/>
        <w:jc w:val="center"/>
        <w:rPr>
          <w:sz w:val="18"/>
        </w:rPr>
        <w:sectPr>
          <w:type w:val="continuous"/>
          <w:pgSz w:w="11910" w:h="16840"/>
          <w:pgMar w:top="800" w:bottom="280" w:left="440" w:right="80"/>
          <w:cols w:num="2" w:equalWidth="0">
            <w:col w:w="4800" w:space="40"/>
            <w:col w:w="655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spacing w:after="0"/>
        <w:rPr>
          <w:sz w:val="29"/>
        </w:rPr>
        <w:sectPr>
          <w:type w:val="continuous"/>
          <w:pgSz w:w="11910" w:h="16840"/>
          <w:pgMar w:top="800" w:bottom="280" w:left="440" w:right="80"/>
        </w:sectPr>
      </w:pPr>
    </w:p>
    <w:p>
      <w:pPr>
        <w:pStyle w:val="BodyText"/>
        <w:spacing w:before="6"/>
        <w:rPr>
          <w:sz w:val="20"/>
        </w:rPr>
      </w:pPr>
    </w:p>
    <w:p>
      <w:pPr>
        <w:spacing w:before="1"/>
        <w:ind w:left="1053" w:right="0" w:firstLine="0"/>
        <w:jc w:val="left"/>
        <w:rPr>
          <w:sz w:val="18"/>
        </w:rPr>
      </w:pPr>
      <w:r>
        <w:rPr>
          <w:sz w:val="18"/>
        </w:rPr>
        <w:t>Embassy Oxygen</w:t>
      </w:r>
    </w:p>
    <w:p>
      <w:pPr>
        <w:spacing w:before="104"/>
        <w:ind w:left="1053" w:right="0" w:firstLine="0"/>
        <w:jc w:val="left"/>
        <w:rPr>
          <w:sz w:val="18"/>
        </w:rPr>
      </w:pPr>
      <w:r>
        <w:rPr/>
        <w:br w:type="column"/>
      </w:r>
      <w:r>
        <w:rPr>
          <w:w w:val="105"/>
          <w:sz w:val="18"/>
        </w:rPr>
        <w:t>Noida</w:t>
      </w:r>
    </w:p>
    <w:p>
      <w:pPr>
        <w:spacing w:line="247" w:lineRule="auto" w:before="131"/>
        <w:ind w:left="1530" w:right="-15" w:hanging="478"/>
        <w:jc w:val="left"/>
        <w:rPr>
          <w:sz w:val="18"/>
        </w:rPr>
      </w:pPr>
      <w:r>
        <w:rPr/>
        <w:br w:type="column"/>
      </w:r>
      <w:r>
        <w:rPr>
          <w:w w:val="110"/>
          <w:sz w:val="18"/>
        </w:rPr>
        <w:t>Noida</w:t>
      </w:r>
      <w:r>
        <w:rPr>
          <w:spacing w:val="-37"/>
          <w:w w:val="110"/>
          <w:sz w:val="18"/>
        </w:rPr>
        <w:t> </w:t>
      </w:r>
      <w:r>
        <w:rPr>
          <w:w w:val="110"/>
          <w:sz w:val="18"/>
        </w:rPr>
        <w:t>–</w:t>
      </w:r>
      <w:r>
        <w:rPr>
          <w:spacing w:val="-36"/>
          <w:w w:val="110"/>
          <w:sz w:val="18"/>
        </w:rPr>
        <w:t> </w:t>
      </w:r>
      <w:r>
        <w:rPr>
          <w:w w:val="110"/>
          <w:sz w:val="18"/>
        </w:rPr>
        <w:t>Greater</w:t>
      </w:r>
      <w:r>
        <w:rPr>
          <w:spacing w:val="-36"/>
          <w:w w:val="110"/>
          <w:sz w:val="18"/>
        </w:rPr>
        <w:t> </w:t>
      </w:r>
      <w:r>
        <w:rPr>
          <w:w w:val="110"/>
          <w:sz w:val="18"/>
        </w:rPr>
        <w:t>Noida Expressway</w:t>
      </w:r>
    </w:p>
    <w:p>
      <w:pPr>
        <w:spacing w:line="247" w:lineRule="auto" w:before="131"/>
        <w:ind w:left="1128" w:right="997" w:hanging="480"/>
        <w:jc w:val="left"/>
        <w:rPr>
          <w:sz w:val="18"/>
        </w:rPr>
      </w:pPr>
      <w:r>
        <w:rPr/>
        <w:br w:type="column"/>
      </w:r>
      <w:r>
        <w:rPr>
          <w:w w:val="110"/>
          <w:sz w:val="18"/>
        </w:rPr>
        <w:t>Noida</w:t>
      </w:r>
      <w:r>
        <w:rPr>
          <w:spacing w:val="-36"/>
          <w:w w:val="110"/>
          <w:sz w:val="18"/>
        </w:rPr>
        <w:t> </w:t>
      </w:r>
      <w:r>
        <w:rPr>
          <w:w w:val="110"/>
          <w:sz w:val="18"/>
        </w:rPr>
        <w:t>–</w:t>
      </w:r>
      <w:r>
        <w:rPr>
          <w:spacing w:val="-35"/>
          <w:w w:val="110"/>
          <w:sz w:val="18"/>
        </w:rPr>
        <w:t> </w:t>
      </w:r>
      <w:r>
        <w:rPr>
          <w:w w:val="110"/>
          <w:sz w:val="18"/>
        </w:rPr>
        <w:t>Greater</w:t>
      </w:r>
      <w:r>
        <w:rPr>
          <w:spacing w:val="-36"/>
          <w:w w:val="110"/>
          <w:sz w:val="18"/>
        </w:rPr>
        <w:t> </w:t>
      </w:r>
      <w:r>
        <w:rPr>
          <w:w w:val="110"/>
          <w:sz w:val="18"/>
        </w:rPr>
        <w:t>Noida Expressway</w:t>
      </w:r>
    </w:p>
    <w:p>
      <w:pPr>
        <w:spacing w:after="0" w:line="247" w:lineRule="auto"/>
        <w:jc w:val="left"/>
        <w:rPr>
          <w:sz w:val="18"/>
        </w:rPr>
        <w:sectPr>
          <w:type w:val="continuous"/>
          <w:pgSz w:w="11910" w:h="16840"/>
          <w:pgMar w:top="800" w:bottom="280" w:left="440" w:right="80"/>
          <w:cols w:num="4" w:equalWidth="0">
            <w:col w:w="2435" w:space="664"/>
            <w:col w:w="1585" w:space="271"/>
            <w:col w:w="2893" w:space="39"/>
            <w:col w:w="3503"/>
          </w:cols>
        </w:sectPr>
      </w:pPr>
    </w:p>
    <w:p>
      <w:pPr>
        <w:pStyle w:val="BodyText"/>
        <w:spacing w:line="20" w:lineRule="exact"/>
        <w:ind w:left="311"/>
        <w:rPr>
          <w:sz w:val="2"/>
        </w:rPr>
      </w:pPr>
      <w:r>
        <w:rPr>
          <w:sz w:val="2"/>
        </w:rPr>
        <w:pict>
          <v:group style="width:520.6pt;height:.75pt;mso-position-horizontal-relative:char;mso-position-vertical-relative:line" coordorigin="0,0" coordsize="10412,15">
            <v:shape style="position:absolute;left:0;top:0;width:10412;height:15" coordorigin="0,0" coordsize="10412,15" path="m7881,0l5368,0,5353,0,2838,0,2823,0,0,0,0,14,2823,14,2838,14,5353,14,5368,14,7881,14,7881,0xm10411,0l7896,0,7881,0,7881,14,7896,14,10411,14,10411,0xe" filled="true" fillcolor="#69bd28" stroked="false">
              <v:path arrowok="t"/>
              <v:fill type="solid"/>
            </v:shape>
          </v:group>
        </w:pict>
      </w:r>
      <w:r>
        <w:rPr>
          <w:sz w:val="2"/>
        </w:rPr>
      </w:r>
    </w:p>
    <w:p>
      <w:pPr>
        <w:pStyle w:val="BodyText"/>
        <w:spacing w:before="3"/>
        <w:rPr>
          <w:sz w:val="11"/>
        </w:rPr>
      </w:pPr>
    </w:p>
    <w:p>
      <w:pPr>
        <w:pStyle w:val="BodyText"/>
        <w:spacing w:line="324" w:lineRule="auto" w:before="106"/>
        <w:ind w:left="827"/>
      </w:pPr>
      <w:r>
        <w:rPr/>
        <w:t>A</w:t>
      </w:r>
      <w:r>
        <w:rPr>
          <w:spacing w:val="-14"/>
        </w:rPr>
        <w:t> </w:t>
      </w:r>
      <w:r>
        <w:rPr/>
        <w:t>detailed</w:t>
      </w:r>
      <w:r>
        <w:rPr>
          <w:spacing w:val="-13"/>
        </w:rPr>
        <w:t> </w:t>
      </w:r>
      <w:r>
        <w:rPr/>
        <w:t>assessment</w:t>
      </w:r>
      <w:r>
        <w:rPr>
          <w:spacing w:val="-13"/>
        </w:rPr>
        <w:t> </w:t>
      </w:r>
      <w:r>
        <w:rPr/>
        <w:t>of</w:t>
      </w:r>
      <w:r>
        <w:rPr>
          <w:spacing w:val="-14"/>
        </w:rPr>
        <w:t> </w:t>
      </w:r>
      <w:r>
        <w:rPr/>
        <w:t>the</w:t>
      </w:r>
      <w:r>
        <w:rPr>
          <w:spacing w:val="-16"/>
        </w:rPr>
        <w:t> </w:t>
      </w:r>
      <w:r>
        <w:rPr/>
        <w:t>site</w:t>
      </w:r>
      <w:r>
        <w:rPr>
          <w:spacing w:val="-13"/>
        </w:rPr>
        <w:t> </w:t>
      </w:r>
      <w:r>
        <w:rPr/>
        <w:t>and</w:t>
      </w:r>
      <w:r>
        <w:rPr>
          <w:spacing w:val="-16"/>
        </w:rPr>
        <w:t> </w:t>
      </w:r>
      <w:r>
        <w:rPr/>
        <w:t>surroundings</w:t>
      </w:r>
      <w:r>
        <w:rPr>
          <w:spacing w:val="-13"/>
        </w:rPr>
        <w:t> </w:t>
      </w:r>
      <w:r>
        <w:rPr/>
        <w:t>has</w:t>
      </w:r>
      <w:r>
        <w:rPr>
          <w:spacing w:val="-14"/>
        </w:rPr>
        <w:t> </w:t>
      </w:r>
      <w:r>
        <w:rPr/>
        <w:t>been</w:t>
      </w:r>
      <w:r>
        <w:rPr>
          <w:spacing w:val="-13"/>
        </w:rPr>
        <w:t> </w:t>
      </w:r>
      <w:r>
        <w:rPr/>
        <w:t>undertaken</w:t>
      </w:r>
      <w:r>
        <w:rPr>
          <w:spacing w:val="-15"/>
        </w:rPr>
        <w:t> </w:t>
      </w:r>
      <w:r>
        <w:rPr/>
        <w:t>with</w:t>
      </w:r>
      <w:r>
        <w:rPr>
          <w:spacing w:val="-13"/>
        </w:rPr>
        <w:t> </w:t>
      </w:r>
      <w:r>
        <w:rPr/>
        <w:t>respect</w:t>
      </w:r>
      <w:r>
        <w:rPr>
          <w:spacing w:val="-14"/>
        </w:rPr>
        <w:t> </w:t>
      </w:r>
      <w:r>
        <w:rPr/>
        <w:t>to</w:t>
      </w:r>
      <w:r>
        <w:rPr>
          <w:spacing w:val="-13"/>
        </w:rPr>
        <w:t> </w:t>
      </w:r>
      <w:r>
        <w:rPr/>
        <w:t>the</w:t>
      </w:r>
      <w:r>
        <w:rPr>
          <w:spacing w:val="-15"/>
        </w:rPr>
        <w:t> </w:t>
      </w:r>
      <w:r>
        <w:rPr/>
        <w:t>prevalent activities,</w:t>
      </w:r>
      <w:r>
        <w:rPr>
          <w:spacing w:val="-31"/>
        </w:rPr>
        <w:t> </w:t>
      </w:r>
      <w:r>
        <w:rPr/>
        <w:t>change</w:t>
      </w:r>
      <w:r>
        <w:rPr>
          <w:spacing w:val="-30"/>
        </w:rPr>
        <w:t> </w:t>
      </w:r>
      <w:r>
        <w:rPr/>
        <w:t>in</w:t>
      </w:r>
      <w:r>
        <w:rPr>
          <w:spacing w:val="-30"/>
        </w:rPr>
        <w:t> </w:t>
      </w:r>
      <w:r>
        <w:rPr/>
        <w:t>dynamics</w:t>
      </w:r>
      <w:r>
        <w:rPr>
          <w:spacing w:val="-30"/>
        </w:rPr>
        <w:t> </w:t>
      </w:r>
      <w:r>
        <w:rPr/>
        <w:t>impacting</w:t>
      </w:r>
      <w:r>
        <w:rPr>
          <w:spacing w:val="-29"/>
        </w:rPr>
        <w:t> </w:t>
      </w:r>
      <w:r>
        <w:rPr/>
        <w:t>the</w:t>
      </w:r>
      <w:r>
        <w:rPr>
          <w:spacing w:val="-31"/>
        </w:rPr>
        <w:t> </w:t>
      </w:r>
      <w:r>
        <w:rPr/>
        <w:t>values</w:t>
      </w:r>
      <w:r>
        <w:rPr>
          <w:spacing w:val="-30"/>
        </w:rPr>
        <w:t> </w:t>
      </w:r>
      <w:r>
        <w:rPr/>
        <w:t>and</w:t>
      </w:r>
      <w:r>
        <w:rPr>
          <w:spacing w:val="-29"/>
        </w:rPr>
        <w:t> </w:t>
      </w:r>
      <w:r>
        <w:rPr/>
        <w:t>the</w:t>
      </w:r>
      <w:r>
        <w:rPr>
          <w:spacing w:val="-28"/>
        </w:rPr>
        <w:t> </w:t>
      </w:r>
      <w:r>
        <w:rPr/>
        <w:t>optimal</w:t>
      </w:r>
      <w:r>
        <w:rPr>
          <w:spacing w:val="-31"/>
        </w:rPr>
        <w:t> </w:t>
      </w:r>
      <w:r>
        <w:rPr/>
        <w:t>use</w:t>
      </w:r>
      <w:r>
        <w:rPr>
          <w:spacing w:val="-30"/>
        </w:rPr>
        <w:t> </w:t>
      </w:r>
      <w:r>
        <w:rPr/>
        <w:t>of</w:t>
      </w:r>
      <w:r>
        <w:rPr>
          <w:spacing w:val="-30"/>
        </w:rPr>
        <w:t> </w:t>
      </w:r>
      <w:r>
        <w:rPr/>
        <w:t>the</w:t>
      </w:r>
      <w:r>
        <w:rPr>
          <w:spacing w:val="-31"/>
        </w:rPr>
        <w:t> </w:t>
      </w:r>
      <w:r>
        <w:rPr/>
        <w:t>respective</w:t>
      </w:r>
      <w:r>
        <w:rPr>
          <w:spacing w:val="-30"/>
        </w:rPr>
        <w:t> </w:t>
      </w:r>
      <w:r>
        <w:rPr/>
        <w:t>properties</w:t>
      </w:r>
      <w:r>
        <w:rPr>
          <w:spacing w:val="-31"/>
        </w:rPr>
        <w:t> </w:t>
      </w:r>
      <w:r>
        <w:rPr/>
        <w:t>vis-</w:t>
      </w:r>
    </w:p>
    <w:p>
      <w:pPr>
        <w:spacing w:after="0" w:line="324" w:lineRule="auto"/>
        <w:sectPr>
          <w:type w:val="continuous"/>
          <w:pgSz w:w="11910" w:h="16840"/>
          <w:pgMar w:top="800" w:bottom="280" w:left="440" w:right="80"/>
        </w:sectPr>
      </w:pPr>
    </w:p>
    <w:p>
      <w:pPr>
        <w:pStyle w:val="BodyText"/>
        <w:spacing w:before="5"/>
      </w:pPr>
    </w:p>
    <w:p>
      <w:pPr>
        <w:pStyle w:val="BodyText"/>
        <w:spacing w:line="321" w:lineRule="auto" w:before="106"/>
        <w:ind w:left="827" w:right="636"/>
        <w:jc w:val="both"/>
      </w:pPr>
      <w:r>
        <w:rPr/>
        <w:t>à-vis</w:t>
      </w:r>
      <w:r>
        <w:rPr>
          <w:spacing w:val="-31"/>
        </w:rPr>
        <w:t> </w:t>
      </w:r>
      <w:r>
        <w:rPr/>
        <w:t>their</w:t>
      </w:r>
      <w:r>
        <w:rPr>
          <w:spacing w:val="-33"/>
        </w:rPr>
        <w:t> </w:t>
      </w:r>
      <w:r>
        <w:rPr/>
        <w:t>surrounding</w:t>
      </w:r>
      <w:r>
        <w:rPr>
          <w:spacing w:val="-32"/>
        </w:rPr>
        <w:t> </w:t>
      </w:r>
      <w:r>
        <w:rPr/>
        <w:t>sub-market,</w:t>
      </w:r>
      <w:r>
        <w:rPr>
          <w:spacing w:val="-31"/>
        </w:rPr>
        <w:t> </w:t>
      </w:r>
      <w:r>
        <w:rPr/>
        <w:t>etc.</w:t>
      </w:r>
      <w:r>
        <w:rPr>
          <w:spacing w:val="-33"/>
        </w:rPr>
        <w:t> </w:t>
      </w:r>
      <w:r>
        <w:rPr/>
        <w:t>A</w:t>
      </w:r>
      <w:r>
        <w:rPr>
          <w:spacing w:val="-32"/>
        </w:rPr>
        <w:t> </w:t>
      </w:r>
      <w:r>
        <w:rPr/>
        <w:t>primary</w:t>
      </w:r>
      <w:r>
        <w:rPr>
          <w:spacing w:val="-32"/>
        </w:rPr>
        <w:t> </w:t>
      </w:r>
      <w:r>
        <w:rPr/>
        <w:t>and</w:t>
      </w:r>
      <w:r>
        <w:rPr>
          <w:spacing w:val="-31"/>
        </w:rPr>
        <w:t> </w:t>
      </w:r>
      <w:r>
        <w:rPr/>
        <w:t>secondary</w:t>
      </w:r>
      <w:r>
        <w:rPr>
          <w:spacing w:val="-30"/>
        </w:rPr>
        <w:t> </w:t>
      </w:r>
      <w:r>
        <w:rPr/>
        <w:t>research</w:t>
      </w:r>
      <w:r>
        <w:rPr>
          <w:spacing w:val="-31"/>
        </w:rPr>
        <w:t> </w:t>
      </w:r>
      <w:r>
        <w:rPr/>
        <w:t>exercise</w:t>
      </w:r>
      <w:r>
        <w:rPr>
          <w:spacing w:val="-31"/>
        </w:rPr>
        <w:t> </w:t>
      </w:r>
      <w:r>
        <w:rPr/>
        <w:t>has</w:t>
      </w:r>
      <w:r>
        <w:rPr>
          <w:spacing w:val="-31"/>
        </w:rPr>
        <w:t> </w:t>
      </w:r>
      <w:r>
        <w:rPr/>
        <w:t>been</w:t>
      </w:r>
      <w:r>
        <w:rPr>
          <w:spacing w:val="-31"/>
        </w:rPr>
        <w:t> </w:t>
      </w:r>
      <w:r>
        <w:rPr/>
        <w:t>carried</w:t>
      </w:r>
      <w:r>
        <w:rPr>
          <w:spacing w:val="-32"/>
        </w:rPr>
        <w:t> </w:t>
      </w:r>
      <w:r>
        <w:rPr/>
        <w:t>out </w:t>
      </w:r>
      <w:r>
        <w:rPr>
          <w:w w:val="95"/>
        </w:rPr>
        <w:t>in</w:t>
      </w:r>
      <w:r>
        <w:rPr>
          <w:spacing w:val="-13"/>
          <w:w w:val="95"/>
        </w:rPr>
        <w:t> </w:t>
      </w:r>
      <w:r>
        <w:rPr>
          <w:w w:val="95"/>
        </w:rPr>
        <w:t>the</w:t>
      </w:r>
      <w:r>
        <w:rPr>
          <w:spacing w:val="-11"/>
          <w:w w:val="95"/>
        </w:rPr>
        <w:t> </w:t>
      </w:r>
      <w:r>
        <w:rPr>
          <w:w w:val="95"/>
        </w:rPr>
        <w:t>aforementioned</w:t>
      </w:r>
      <w:r>
        <w:rPr>
          <w:spacing w:val="-10"/>
          <w:w w:val="95"/>
        </w:rPr>
        <w:t> </w:t>
      </w:r>
      <w:r>
        <w:rPr>
          <w:w w:val="95"/>
        </w:rPr>
        <w:t>catchment</w:t>
      </w:r>
      <w:r>
        <w:rPr>
          <w:spacing w:val="-11"/>
          <w:w w:val="95"/>
        </w:rPr>
        <w:t> </w:t>
      </w:r>
      <w:r>
        <w:rPr>
          <w:w w:val="95"/>
        </w:rPr>
        <w:t>areas</w:t>
      </w:r>
      <w:r>
        <w:rPr>
          <w:spacing w:val="-9"/>
          <w:w w:val="95"/>
        </w:rPr>
        <w:t> </w:t>
      </w:r>
      <w:r>
        <w:rPr>
          <w:w w:val="95"/>
        </w:rPr>
        <w:t>to</w:t>
      </w:r>
      <w:r>
        <w:rPr>
          <w:spacing w:val="-11"/>
          <w:w w:val="95"/>
        </w:rPr>
        <w:t> </w:t>
      </w:r>
      <w:r>
        <w:rPr>
          <w:w w:val="95"/>
        </w:rPr>
        <w:t>ascertain</w:t>
      </w:r>
      <w:r>
        <w:rPr>
          <w:spacing w:val="-12"/>
          <w:w w:val="95"/>
        </w:rPr>
        <w:t> </w:t>
      </w:r>
      <w:r>
        <w:rPr>
          <w:w w:val="95"/>
        </w:rPr>
        <w:t>the</w:t>
      </w:r>
      <w:r>
        <w:rPr>
          <w:spacing w:val="-11"/>
          <w:w w:val="95"/>
        </w:rPr>
        <w:t> </w:t>
      </w:r>
      <w:r>
        <w:rPr>
          <w:w w:val="95"/>
        </w:rPr>
        <w:t>transaction</w:t>
      </w:r>
      <w:r>
        <w:rPr>
          <w:spacing w:val="-12"/>
          <w:w w:val="95"/>
        </w:rPr>
        <w:t> </w:t>
      </w:r>
      <w:r>
        <w:rPr>
          <w:w w:val="95"/>
        </w:rPr>
        <w:t>activity</w:t>
      </w:r>
      <w:r>
        <w:rPr>
          <w:spacing w:val="-9"/>
          <w:w w:val="95"/>
        </w:rPr>
        <w:t> </w:t>
      </w:r>
      <w:r>
        <w:rPr>
          <w:w w:val="95"/>
        </w:rPr>
        <w:t>of</w:t>
      </w:r>
      <w:r>
        <w:rPr>
          <w:spacing w:val="-12"/>
          <w:w w:val="95"/>
        </w:rPr>
        <w:t> </w:t>
      </w:r>
      <w:r>
        <w:rPr>
          <w:w w:val="95"/>
        </w:rPr>
        <w:t>commercial</w:t>
      </w:r>
      <w:r>
        <w:rPr>
          <w:spacing w:val="-11"/>
          <w:w w:val="95"/>
        </w:rPr>
        <w:t> </w:t>
      </w:r>
      <w:r>
        <w:rPr>
          <w:w w:val="95"/>
        </w:rPr>
        <w:t>developments. </w:t>
      </w:r>
      <w:r>
        <w:rPr/>
        <w:t>This</w:t>
      </w:r>
      <w:r>
        <w:rPr>
          <w:spacing w:val="-28"/>
        </w:rPr>
        <w:t> </w:t>
      </w:r>
      <w:r>
        <w:rPr/>
        <w:t>has</w:t>
      </w:r>
      <w:r>
        <w:rPr>
          <w:spacing w:val="-29"/>
        </w:rPr>
        <w:t> </w:t>
      </w:r>
      <w:r>
        <w:rPr/>
        <w:t>been</w:t>
      </w:r>
      <w:r>
        <w:rPr>
          <w:spacing w:val="-28"/>
        </w:rPr>
        <w:t> </w:t>
      </w:r>
      <w:r>
        <w:rPr/>
        <w:t>achieved</w:t>
      </w:r>
      <w:r>
        <w:rPr>
          <w:spacing w:val="-28"/>
        </w:rPr>
        <w:t> </w:t>
      </w:r>
      <w:r>
        <w:rPr/>
        <w:t>through</w:t>
      </w:r>
      <w:r>
        <w:rPr>
          <w:spacing w:val="-28"/>
        </w:rPr>
        <w:t> </w:t>
      </w:r>
      <w:r>
        <w:rPr/>
        <w:t>interactions</w:t>
      </w:r>
      <w:r>
        <w:rPr>
          <w:spacing w:val="-28"/>
        </w:rPr>
        <w:t> </w:t>
      </w:r>
      <w:r>
        <w:rPr/>
        <w:t>with</w:t>
      </w:r>
      <w:r>
        <w:rPr>
          <w:spacing w:val="-29"/>
        </w:rPr>
        <w:t> </w:t>
      </w:r>
      <w:r>
        <w:rPr/>
        <w:t>various</w:t>
      </w:r>
      <w:r>
        <w:rPr>
          <w:spacing w:val="-27"/>
        </w:rPr>
        <w:t> </w:t>
      </w:r>
      <w:r>
        <w:rPr/>
        <w:t>market</w:t>
      </w:r>
      <w:r>
        <w:rPr>
          <w:spacing w:val="-28"/>
        </w:rPr>
        <w:t> </w:t>
      </w:r>
      <w:r>
        <w:rPr/>
        <w:t>players</w:t>
      </w:r>
      <w:r>
        <w:rPr>
          <w:spacing w:val="-28"/>
        </w:rPr>
        <w:t> </w:t>
      </w:r>
      <w:r>
        <w:rPr/>
        <w:t>such</w:t>
      </w:r>
      <w:r>
        <w:rPr>
          <w:spacing w:val="-28"/>
        </w:rPr>
        <w:t> </w:t>
      </w:r>
      <w:r>
        <w:rPr/>
        <w:t>as</w:t>
      </w:r>
      <w:r>
        <w:rPr>
          <w:spacing w:val="-27"/>
        </w:rPr>
        <w:t> </w:t>
      </w:r>
      <w:r>
        <w:rPr/>
        <w:t>developers,</w:t>
      </w:r>
      <w:r>
        <w:rPr>
          <w:spacing w:val="-29"/>
        </w:rPr>
        <w:t> </w:t>
      </w:r>
      <w:r>
        <w:rPr/>
        <w:t>real</w:t>
      </w:r>
      <w:r>
        <w:rPr>
          <w:spacing w:val="-28"/>
        </w:rPr>
        <w:t> </w:t>
      </w:r>
      <w:r>
        <w:rPr/>
        <w:t>estate brokers, key office tenants,</w:t>
      </w:r>
      <w:r>
        <w:rPr>
          <w:spacing w:val="-15"/>
        </w:rPr>
        <w:t> </w:t>
      </w:r>
      <w:r>
        <w:rPr/>
        <w:t>etc.</w:t>
      </w:r>
    </w:p>
    <w:p>
      <w:pPr>
        <w:pStyle w:val="BodyText"/>
        <w:spacing w:before="9"/>
        <w:rPr>
          <w:sz w:val="20"/>
        </w:rPr>
      </w:pPr>
    </w:p>
    <w:p>
      <w:pPr>
        <w:pStyle w:val="BodyText"/>
        <w:spacing w:line="321" w:lineRule="auto"/>
        <w:ind w:left="827" w:right="632"/>
        <w:jc w:val="both"/>
      </w:pPr>
      <w:r>
        <w:rPr/>
        <w:t>For the hospitality assets, i.e. Hilton at GolfLinks, Four Seasons at Embassy One and Proposed 5 Star and</w:t>
      </w:r>
      <w:r>
        <w:rPr>
          <w:spacing w:val="-17"/>
        </w:rPr>
        <w:t> </w:t>
      </w:r>
      <w:r>
        <w:rPr/>
        <w:t>3</w:t>
      </w:r>
      <w:r>
        <w:rPr>
          <w:spacing w:val="-17"/>
        </w:rPr>
        <w:t> </w:t>
      </w:r>
      <w:r>
        <w:rPr/>
        <w:t>Star</w:t>
      </w:r>
      <w:r>
        <w:rPr>
          <w:spacing w:val="-17"/>
        </w:rPr>
        <w:t> </w:t>
      </w:r>
      <w:r>
        <w:rPr/>
        <w:t>hotels</w:t>
      </w:r>
      <w:r>
        <w:rPr>
          <w:spacing w:val="-16"/>
        </w:rPr>
        <w:t> </w:t>
      </w:r>
      <w:r>
        <w:rPr/>
        <w:t>in</w:t>
      </w:r>
      <w:r>
        <w:rPr>
          <w:spacing w:val="-18"/>
        </w:rPr>
        <w:t> </w:t>
      </w:r>
      <w:r>
        <w:rPr/>
        <w:t>Embassy</w:t>
      </w:r>
      <w:r>
        <w:rPr>
          <w:spacing w:val="-15"/>
        </w:rPr>
        <w:t> </w:t>
      </w:r>
      <w:r>
        <w:rPr/>
        <w:t>Manyata,</w:t>
      </w:r>
      <w:r>
        <w:rPr>
          <w:spacing w:val="-17"/>
        </w:rPr>
        <w:t> </w:t>
      </w:r>
      <w:r>
        <w:rPr/>
        <w:t>a</w:t>
      </w:r>
      <w:r>
        <w:rPr>
          <w:spacing w:val="-17"/>
        </w:rPr>
        <w:t> </w:t>
      </w:r>
      <w:r>
        <w:rPr/>
        <w:t>primary</w:t>
      </w:r>
      <w:r>
        <w:rPr>
          <w:spacing w:val="-17"/>
        </w:rPr>
        <w:t> </w:t>
      </w:r>
      <w:r>
        <w:rPr/>
        <w:t>and</w:t>
      </w:r>
      <w:r>
        <w:rPr>
          <w:spacing w:val="-16"/>
        </w:rPr>
        <w:t> </w:t>
      </w:r>
      <w:r>
        <w:rPr/>
        <w:t>secondary</w:t>
      </w:r>
      <w:r>
        <w:rPr>
          <w:spacing w:val="-15"/>
        </w:rPr>
        <w:t> </w:t>
      </w:r>
      <w:r>
        <w:rPr/>
        <w:t>research</w:t>
      </w:r>
      <w:r>
        <w:rPr>
          <w:spacing w:val="-17"/>
        </w:rPr>
        <w:t> </w:t>
      </w:r>
      <w:r>
        <w:rPr/>
        <w:t>exercise</w:t>
      </w:r>
      <w:r>
        <w:rPr>
          <w:spacing w:val="-17"/>
        </w:rPr>
        <w:t> </w:t>
      </w:r>
      <w:r>
        <w:rPr/>
        <w:t>has</w:t>
      </w:r>
      <w:r>
        <w:rPr>
          <w:spacing w:val="-16"/>
        </w:rPr>
        <w:t> </w:t>
      </w:r>
      <w:r>
        <w:rPr/>
        <w:t>been</w:t>
      </w:r>
      <w:r>
        <w:rPr>
          <w:spacing w:val="-17"/>
        </w:rPr>
        <w:t> </w:t>
      </w:r>
      <w:r>
        <w:rPr/>
        <w:t>carried</w:t>
      </w:r>
      <w:r>
        <w:rPr>
          <w:spacing w:val="-14"/>
        </w:rPr>
        <w:t> </w:t>
      </w:r>
      <w:r>
        <w:rPr/>
        <w:t>out in</w:t>
      </w:r>
      <w:r>
        <w:rPr>
          <w:spacing w:val="-35"/>
        </w:rPr>
        <w:t> </w:t>
      </w:r>
      <w:r>
        <w:rPr/>
        <w:t>the</w:t>
      </w:r>
      <w:r>
        <w:rPr>
          <w:spacing w:val="-34"/>
        </w:rPr>
        <w:t> </w:t>
      </w:r>
      <w:r>
        <w:rPr/>
        <w:t>relevant</w:t>
      </w:r>
      <w:r>
        <w:rPr>
          <w:spacing w:val="-34"/>
        </w:rPr>
        <w:t> </w:t>
      </w:r>
      <w:r>
        <w:rPr/>
        <w:t>sub</w:t>
      </w:r>
      <w:r>
        <w:rPr>
          <w:spacing w:val="-32"/>
        </w:rPr>
        <w:t> </w:t>
      </w:r>
      <w:r>
        <w:rPr/>
        <w:t>markets</w:t>
      </w:r>
      <w:r>
        <w:rPr>
          <w:spacing w:val="-33"/>
        </w:rPr>
        <w:t> </w:t>
      </w:r>
      <w:r>
        <w:rPr/>
        <w:t>to</w:t>
      </w:r>
      <w:r>
        <w:rPr>
          <w:spacing w:val="-33"/>
        </w:rPr>
        <w:t> </w:t>
      </w:r>
      <w:r>
        <w:rPr/>
        <w:t>understand</w:t>
      </w:r>
      <w:r>
        <w:rPr>
          <w:spacing w:val="-35"/>
        </w:rPr>
        <w:t> </w:t>
      </w:r>
      <w:r>
        <w:rPr/>
        <w:t>and</w:t>
      </w:r>
      <w:r>
        <w:rPr>
          <w:spacing w:val="-33"/>
        </w:rPr>
        <w:t> </w:t>
      </w:r>
      <w:r>
        <w:rPr/>
        <w:t>benchmark</w:t>
      </w:r>
      <w:r>
        <w:rPr>
          <w:spacing w:val="-34"/>
        </w:rPr>
        <w:t> </w:t>
      </w:r>
      <w:r>
        <w:rPr/>
        <w:t>the</w:t>
      </w:r>
      <w:r>
        <w:rPr>
          <w:spacing w:val="-35"/>
        </w:rPr>
        <w:t> </w:t>
      </w:r>
      <w:r>
        <w:rPr/>
        <w:t>performance</w:t>
      </w:r>
      <w:r>
        <w:rPr>
          <w:spacing w:val="-33"/>
        </w:rPr>
        <w:t> </w:t>
      </w:r>
      <w:r>
        <w:rPr/>
        <w:t>of</w:t>
      </w:r>
      <w:r>
        <w:rPr>
          <w:spacing w:val="-33"/>
        </w:rPr>
        <w:t> </w:t>
      </w:r>
      <w:r>
        <w:rPr/>
        <w:t>competing</w:t>
      </w:r>
      <w:r>
        <w:rPr>
          <w:spacing w:val="-35"/>
        </w:rPr>
        <w:t> </w:t>
      </w:r>
      <w:r>
        <w:rPr/>
        <w:t>developments. This has been achieved through interactions with various market players such as developers, key hospitality players,</w:t>
      </w:r>
      <w:r>
        <w:rPr>
          <w:spacing w:val="-9"/>
        </w:rPr>
        <w:t> </w:t>
      </w:r>
      <w:r>
        <w:rPr/>
        <w:t>etc.</w:t>
      </w:r>
    </w:p>
    <w:p>
      <w:pPr>
        <w:pStyle w:val="BodyText"/>
        <w:spacing w:before="10"/>
        <w:rPr>
          <w:sz w:val="20"/>
        </w:rPr>
      </w:pPr>
    </w:p>
    <w:p>
      <w:pPr>
        <w:pStyle w:val="BodyText"/>
        <w:spacing w:line="321" w:lineRule="auto" w:before="1"/>
        <w:ind w:left="827" w:right="634"/>
        <w:jc w:val="both"/>
      </w:pPr>
      <w:r>
        <w:rPr/>
        <w:t>The</w:t>
      </w:r>
      <w:r>
        <w:rPr>
          <w:spacing w:val="-16"/>
        </w:rPr>
        <w:t> </w:t>
      </w:r>
      <w:r>
        <w:rPr/>
        <w:t>Portfolio</w:t>
      </w:r>
      <w:r>
        <w:rPr>
          <w:spacing w:val="-15"/>
        </w:rPr>
        <w:t> </w:t>
      </w:r>
      <w:r>
        <w:rPr/>
        <w:t>also</w:t>
      </w:r>
      <w:r>
        <w:rPr>
          <w:spacing w:val="-15"/>
        </w:rPr>
        <w:t> </w:t>
      </w:r>
      <w:r>
        <w:rPr/>
        <w:t>includes</w:t>
      </w:r>
      <w:r>
        <w:rPr>
          <w:spacing w:val="-13"/>
        </w:rPr>
        <w:t> </w:t>
      </w:r>
      <w:r>
        <w:rPr/>
        <w:t>a</w:t>
      </w:r>
      <w:r>
        <w:rPr>
          <w:spacing w:val="-15"/>
        </w:rPr>
        <w:t> </w:t>
      </w:r>
      <w:r>
        <w:rPr/>
        <w:t>high-end</w:t>
      </w:r>
      <w:r>
        <w:rPr>
          <w:spacing w:val="-16"/>
        </w:rPr>
        <w:t> </w:t>
      </w:r>
      <w:r>
        <w:rPr/>
        <w:t>retail</w:t>
      </w:r>
      <w:r>
        <w:rPr>
          <w:spacing w:val="-15"/>
        </w:rPr>
        <w:t> </w:t>
      </w:r>
      <w:r>
        <w:rPr/>
        <w:t>offering</w:t>
      </w:r>
      <w:r>
        <w:rPr>
          <w:spacing w:val="-14"/>
        </w:rPr>
        <w:t> </w:t>
      </w:r>
      <w:r>
        <w:rPr/>
        <w:t>as</w:t>
      </w:r>
      <w:r>
        <w:rPr>
          <w:spacing w:val="-13"/>
        </w:rPr>
        <w:t> </w:t>
      </w:r>
      <w:r>
        <w:rPr/>
        <w:t>part</w:t>
      </w:r>
      <w:r>
        <w:rPr>
          <w:spacing w:val="-16"/>
        </w:rPr>
        <w:t> </w:t>
      </w:r>
      <w:r>
        <w:rPr/>
        <w:t>of</w:t>
      </w:r>
      <w:r>
        <w:rPr>
          <w:spacing w:val="-13"/>
        </w:rPr>
        <w:t> </w:t>
      </w:r>
      <w:r>
        <w:rPr/>
        <w:t>Embassy</w:t>
      </w:r>
      <w:r>
        <w:rPr>
          <w:spacing w:val="-15"/>
        </w:rPr>
        <w:t> </w:t>
      </w:r>
      <w:r>
        <w:rPr/>
        <w:t>One.</w:t>
      </w:r>
      <w:r>
        <w:rPr>
          <w:spacing w:val="-14"/>
        </w:rPr>
        <w:t> </w:t>
      </w:r>
      <w:r>
        <w:rPr/>
        <w:t>A</w:t>
      </w:r>
      <w:r>
        <w:rPr>
          <w:spacing w:val="-15"/>
        </w:rPr>
        <w:t> </w:t>
      </w:r>
      <w:r>
        <w:rPr/>
        <w:t>primary</w:t>
      </w:r>
      <w:r>
        <w:rPr>
          <w:spacing w:val="-13"/>
        </w:rPr>
        <w:t> </w:t>
      </w:r>
      <w:r>
        <w:rPr/>
        <w:t>and</w:t>
      </w:r>
      <w:r>
        <w:rPr>
          <w:spacing w:val="-16"/>
        </w:rPr>
        <w:t> </w:t>
      </w:r>
      <w:r>
        <w:rPr/>
        <w:t>secondary research exercise has been carried out across other high-end retail developments / offerings across Bengaluru</w:t>
      </w:r>
      <w:r>
        <w:rPr>
          <w:spacing w:val="-13"/>
        </w:rPr>
        <w:t> </w:t>
      </w:r>
      <w:r>
        <w:rPr/>
        <w:t>to</w:t>
      </w:r>
      <w:r>
        <w:rPr>
          <w:spacing w:val="-13"/>
        </w:rPr>
        <w:t> </w:t>
      </w:r>
      <w:r>
        <w:rPr/>
        <w:t>ascertain</w:t>
      </w:r>
      <w:r>
        <w:rPr>
          <w:spacing w:val="-14"/>
        </w:rPr>
        <w:t> </w:t>
      </w:r>
      <w:r>
        <w:rPr/>
        <w:t>the</w:t>
      </w:r>
      <w:r>
        <w:rPr>
          <w:spacing w:val="-13"/>
        </w:rPr>
        <w:t> </w:t>
      </w:r>
      <w:r>
        <w:rPr/>
        <w:t>transaction</w:t>
      </w:r>
      <w:r>
        <w:rPr>
          <w:spacing w:val="-13"/>
        </w:rPr>
        <w:t> </w:t>
      </w:r>
      <w:r>
        <w:rPr/>
        <w:t>activity</w:t>
      </w:r>
      <w:r>
        <w:rPr>
          <w:spacing w:val="-12"/>
        </w:rPr>
        <w:t> </w:t>
      </w:r>
      <w:r>
        <w:rPr/>
        <w:t>of</w:t>
      </w:r>
      <w:r>
        <w:rPr>
          <w:spacing w:val="-13"/>
        </w:rPr>
        <w:t> </w:t>
      </w:r>
      <w:r>
        <w:rPr/>
        <w:t>such</w:t>
      </w:r>
      <w:r>
        <w:rPr>
          <w:spacing w:val="-15"/>
        </w:rPr>
        <w:t> </w:t>
      </w:r>
      <w:r>
        <w:rPr/>
        <w:t>developments.</w:t>
      </w:r>
      <w:r>
        <w:rPr>
          <w:spacing w:val="-14"/>
        </w:rPr>
        <w:t> </w:t>
      </w:r>
      <w:r>
        <w:rPr/>
        <w:t>This</w:t>
      </w:r>
      <w:r>
        <w:rPr>
          <w:spacing w:val="-14"/>
        </w:rPr>
        <w:t> </w:t>
      </w:r>
      <w:r>
        <w:rPr/>
        <w:t>has</w:t>
      </w:r>
      <w:r>
        <w:rPr>
          <w:spacing w:val="-13"/>
        </w:rPr>
        <w:t> </w:t>
      </w:r>
      <w:r>
        <w:rPr/>
        <w:t>been</w:t>
      </w:r>
      <w:r>
        <w:rPr>
          <w:spacing w:val="-13"/>
        </w:rPr>
        <w:t> </w:t>
      </w:r>
      <w:r>
        <w:rPr/>
        <w:t>achieved</w:t>
      </w:r>
      <w:r>
        <w:rPr>
          <w:spacing w:val="-12"/>
        </w:rPr>
        <w:t> </w:t>
      </w:r>
      <w:r>
        <w:rPr/>
        <w:t>through interactions</w:t>
      </w:r>
      <w:r>
        <w:rPr>
          <w:spacing w:val="-12"/>
        </w:rPr>
        <w:t> </w:t>
      </w:r>
      <w:r>
        <w:rPr/>
        <w:t>with</w:t>
      </w:r>
      <w:r>
        <w:rPr>
          <w:spacing w:val="-13"/>
        </w:rPr>
        <w:t> </w:t>
      </w:r>
      <w:r>
        <w:rPr/>
        <w:t>various</w:t>
      </w:r>
      <w:r>
        <w:rPr>
          <w:spacing w:val="-12"/>
        </w:rPr>
        <w:t> </w:t>
      </w:r>
      <w:r>
        <w:rPr/>
        <w:t>market</w:t>
      </w:r>
      <w:r>
        <w:rPr>
          <w:spacing w:val="-13"/>
        </w:rPr>
        <w:t> </w:t>
      </w:r>
      <w:r>
        <w:rPr/>
        <w:t>players</w:t>
      </w:r>
      <w:r>
        <w:rPr>
          <w:spacing w:val="-13"/>
        </w:rPr>
        <w:t> </w:t>
      </w:r>
      <w:r>
        <w:rPr/>
        <w:t>such</w:t>
      </w:r>
      <w:r>
        <w:rPr>
          <w:spacing w:val="-14"/>
        </w:rPr>
        <w:t> </w:t>
      </w:r>
      <w:r>
        <w:rPr/>
        <w:t>as</w:t>
      </w:r>
      <w:r>
        <w:rPr>
          <w:spacing w:val="-10"/>
        </w:rPr>
        <w:t> </w:t>
      </w:r>
      <w:r>
        <w:rPr/>
        <w:t>developers,</w:t>
      </w:r>
      <w:r>
        <w:rPr>
          <w:spacing w:val="-13"/>
        </w:rPr>
        <w:t> </w:t>
      </w:r>
      <w:r>
        <w:rPr/>
        <w:t>real</w:t>
      </w:r>
      <w:r>
        <w:rPr>
          <w:spacing w:val="-13"/>
        </w:rPr>
        <w:t> </w:t>
      </w:r>
      <w:r>
        <w:rPr/>
        <w:t>estate</w:t>
      </w:r>
      <w:r>
        <w:rPr>
          <w:spacing w:val="-13"/>
        </w:rPr>
        <w:t> </w:t>
      </w:r>
      <w:r>
        <w:rPr/>
        <w:t>brokers,</w:t>
      </w:r>
      <w:r>
        <w:rPr>
          <w:spacing w:val="-12"/>
        </w:rPr>
        <w:t> </w:t>
      </w:r>
      <w:r>
        <w:rPr/>
        <w:t>etc.</w:t>
      </w:r>
    </w:p>
    <w:p>
      <w:pPr>
        <w:pStyle w:val="BodyText"/>
        <w:spacing w:before="11"/>
        <w:rPr>
          <w:sz w:val="20"/>
        </w:rPr>
      </w:pPr>
    </w:p>
    <w:p>
      <w:pPr>
        <w:pStyle w:val="BodyText"/>
        <w:ind w:left="827"/>
        <w:jc w:val="both"/>
      </w:pPr>
      <w:r>
        <w:rPr>
          <w:u w:val="single"/>
        </w:rPr>
        <w:t>Scope of Services for Value Assessment Service Provider</w:t>
      </w:r>
    </w:p>
    <w:p>
      <w:pPr>
        <w:pStyle w:val="BodyText"/>
        <w:spacing w:before="1"/>
        <w:rPr>
          <w:sz w:val="19"/>
        </w:rPr>
      </w:pPr>
    </w:p>
    <w:p>
      <w:pPr>
        <w:pStyle w:val="BodyText"/>
        <w:spacing w:line="321" w:lineRule="auto" w:before="106"/>
        <w:ind w:left="820" w:right="422"/>
      </w:pPr>
      <w:r>
        <w:rPr/>
        <w:t>CBRE</w:t>
      </w:r>
      <w:r>
        <w:rPr>
          <w:spacing w:val="-16"/>
        </w:rPr>
        <w:t> </w:t>
      </w:r>
      <w:r>
        <w:rPr/>
        <w:t>has</w:t>
      </w:r>
      <w:r>
        <w:rPr>
          <w:spacing w:val="-15"/>
        </w:rPr>
        <w:t> </w:t>
      </w:r>
      <w:r>
        <w:rPr/>
        <w:t>been</w:t>
      </w:r>
      <w:r>
        <w:rPr>
          <w:spacing w:val="-16"/>
        </w:rPr>
        <w:t> </w:t>
      </w:r>
      <w:r>
        <w:rPr/>
        <w:t>engaged</w:t>
      </w:r>
      <w:r>
        <w:rPr>
          <w:spacing w:val="-16"/>
        </w:rPr>
        <w:t> </w:t>
      </w:r>
      <w:r>
        <w:rPr/>
        <w:t>by</w:t>
      </w:r>
      <w:r>
        <w:rPr>
          <w:spacing w:val="-15"/>
        </w:rPr>
        <w:t> </w:t>
      </w:r>
      <w:r>
        <w:rPr/>
        <w:t>the</w:t>
      </w:r>
      <w:r>
        <w:rPr>
          <w:spacing w:val="-15"/>
        </w:rPr>
        <w:t> </w:t>
      </w:r>
      <w:r>
        <w:rPr/>
        <w:t>Instructing</w:t>
      </w:r>
      <w:r>
        <w:rPr>
          <w:spacing w:val="-15"/>
        </w:rPr>
        <w:t> </w:t>
      </w:r>
      <w:r>
        <w:rPr/>
        <w:t>Party</w:t>
      </w:r>
      <w:r>
        <w:rPr>
          <w:spacing w:val="-14"/>
        </w:rPr>
        <w:t> </w:t>
      </w:r>
      <w:r>
        <w:rPr/>
        <w:t>to</w:t>
      </w:r>
      <w:r>
        <w:rPr>
          <w:spacing w:val="-15"/>
        </w:rPr>
        <w:t> </w:t>
      </w:r>
      <w:r>
        <w:rPr/>
        <w:t>provide</w:t>
      </w:r>
      <w:r>
        <w:rPr>
          <w:spacing w:val="-16"/>
        </w:rPr>
        <w:t> </w:t>
      </w:r>
      <w:r>
        <w:rPr/>
        <w:t>value</w:t>
      </w:r>
      <w:r>
        <w:rPr>
          <w:spacing w:val="-16"/>
        </w:rPr>
        <w:t> </w:t>
      </w:r>
      <w:r>
        <w:rPr/>
        <w:t>assessment</w:t>
      </w:r>
      <w:r>
        <w:rPr>
          <w:spacing w:val="-15"/>
        </w:rPr>
        <w:t> </w:t>
      </w:r>
      <w:r>
        <w:rPr/>
        <w:t>services</w:t>
      </w:r>
      <w:r>
        <w:rPr>
          <w:spacing w:val="-14"/>
        </w:rPr>
        <w:t> </w:t>
      </w:r>
      <w:r>
        <w:rPr/>
        <w:t>and</w:t>
      </w:r>
      <w:r>
        <w:rPr>
          <w:spacing w:val="-16"/>
        </w:rPr>
        <w:t> </w:t>
      </w:r>
      <w:r>
        <w:rPr/>
        <w:t>accordingly, would</w:t>
      </w:r>
      <w:r>
        <w:rPr>
          <w:spacing w:val="-7"/>
        </w:rPr>
        <w:t> </w:t>
      </w:r>
      <w:r>
        <w:rPr/>
        <w:t>be</w:t>
      </w:r>
      <w:r>
        <w:rPr>
          <w:spacing w:val="-6"/>
        </w:rPr>
        <w:t> </w:t>
      </w:r>
      <w:r>
        <w:rPr/>
        <w:t>responsible</w:t>
      </w:r>
      <w:r>
        <w:rPr>
          <w:spacing w:val="-7"/>
        </w:rPr>
        <w:t> </w:t>
      </w:r>
      <w:r>
        <w:rPr/>
        <w:t>for</w:t>
      </w:r>
      <w:r>
        <w:rPr>
          <w:spacing w:val="-8"/>
        </w:rPr>
        <w:t> </w:t>
      </w:r>
      <w:r>
        <w:rPr/>
        <w:t>the</w:t>
      </w:r>
      <w:r>
        <w:rPr>
          <w:spacing w:val="-6"/>
        </w:rPr>
        <w:t> </w:t>
      </w:r>
      <w:r>
        <w:rPr/>
        <w:t>below</w:t>
      </w:r>
      <w:r>
        <w:rPr>
          <w:spacing w:val="-6"/>
        </w:rPr>
        <w:t> </w:t>
      </w:r>
      <w:r>
        <w:rPr/>
        <w:t>scope</w:t>
      </w:r>
      <w:r>
        <w:rPr>
          <w:spacing w:val="-6"/>
        </w:rPr>
        <w:t> </w:t>
      </w:r>
      <w:r>
        <w:rPr/>
        <w:t>as</w:t>
      </w:r>
      <w:r>
        <w:rPr>
          <w:spacing w:val="-5"/>
        </w:rPr>
        <w:t> </w:t>
      </w:r>
      <w:r>
        <w:rPr/>
        <w:t>part</w:t>
      </w:r>
      <w:r>
        <w:rPr>
          <w:spacing w:val="-8"/>
        </w:rPr>
        <w:t> </w:t>
      </w:r>
      <w:r>
        <w:rPr/>
        <w:t>of</w:t>
      </w:r>
      <w:r>
        <w:rPr>
          <w:spacing w:val="-5"/>
        </w:rPr>
        <w:t> </w:t>
      </w:r>
      <w:r>
        <w:rPr/>
        <w:t>this</w:t>
      </w:r>
      <w:r>
        <w:rPr>
          <w:spacing w:val="-5"/>
        </w:rPr>
        <w:t> </w:t>
      </w:r>
      <w:r>
        <w:rPr/>
        <w:t>exercise.</w:t>
      </w:r>
    </w:p>
    <w:p>
      <w:pPr>
        <w:pStyle w:val="ListParagraph"/>
        <w:numPr>
          <w:ilvl w:val="2"/>
          <w:numId w:val="15"/>
        </w:numPr>
        <w:tabs>
          <w:tab w:pos="1540" w:val="left" w:leader="none"/>
          <w:tab w:pos="1541" w:val="left" w:leader="none"/>
        </w:tabs>
        <w:spacing w:line="240" w:lineRule="auto" w:before="120" w:after="0"/>
        <w:ind w:left="1540" w:right="0" w:hanging="361"/>
        <w:jc w:val="left"/>
        <w:rPr>
          <w:sz w:val="22"/>
        </w:rPr>
      </w:pPr>
      <w:r>
        <w:rPr>
          <w:sz w:val="22"/>
        </w:rPr>
        <w:t>Provide</w:t>
      </w:r>
      <w:r>
        <w:rPr>
          <w:spacing w:val="-8"/>
          <w:sz w:val="22"/>
        </w:rPr>
        <w:t> </w:t>
      </w:r>
      <w:r>
        <w:rPr>
          <w:sz w:val="22"/>
        </w:rPr>
        <w:t>market</w:t>
      </w:r>
      <w:r>
        <w:rPr>
          <w:spacing w:val="-7"/>
          <w:sz w:val="22"/>
        </w:rPr>
        <w:t> </w:t>
      </w:r>
      <w:r>
        <w:rPr>
          <w:sz w:val="22"/>
        </w:rPr>
        <w:t>intelligence</w:t>
      </w:r>
      <w:r>
        <w:rPr>
          <w:spacing w:val="-8"/>
          <w:sz w:val="22"/>
        </w:rPr>
        <w:t> </w:t>
      </w:r>
      <w:r>
        <w:rPr>
          <w:sz w:val="22"/>
        </w:rPr>
        <w:t>to</w:t>
      </w:r>
      <w:r>
        <w:rPr>
          <w:spacing w:val="-7"/>
          <w:sz w:val="22"/>
        </w:rPr>
        <w:t> </w:t>
      </w:r>
      <w:r>
        <w:rPr>
          <w:sz w:val="22"/>
        </w:rPr>
        <w:t>the</w:t>
      </w:r>
      <w:r>
        <w:rPr>
          <w:spacing w:val="-8"/>
          <w:sz w:val="22"/>
        </w:rPr>
        <w:t> </w:t>
      </w:r>
      <w:r>
        <w:rPr>
          <w:sz w:val="22"/>
        </w:rPr>
        <w:t>Valuer</w:t>
      </w:r>
      <w:r>
        <w:rPr>
          <w:spacing w:val="-8"/>
          <w:sz w:val="22"/>
        </w:rPr>
        <w:t> </w:t>
      </w:r>
      <w:r>
        <w:rPr>
          <w:sz w:val="22"/>
        </w:rPr>
        <w:t>on</w:t>
      </w:r>
      <w:r>
        <w:rPr>
          <w:spacing w:val="-5"/>
          <w:sz w:val="22"/>
        </w:rPr>
        <w:t> </w:t>
      </w:r>
      <w:r>
        <w:rPr>
          <w:sz w:val="22"/>
        </w:rPr>
        <w:t>the</w:t>
      </w:r>
      <w:r>
        <w:rPr>
          <w:spacing w:val="-9"/>
          <w:sz w:val="22"/>
        </w:rPr>
        <w:t> </w:t>
      </w:r>
      <w:r>
        <w:rPr>
          <w:sz w:val="22"/>
        </w:rPr>
        <w:t>following</w:t>
      </w:r>
      <w:r>
        <w:rPr>
          <w:spacing w:val="-6"/>
          <w:sz w:val="22"/>
        </w:rPr>
        <w:t> </w:t>
      </w:r>
      <w:r>
        <w:rPr>
          <w:sz w:val="22"/>
        </w:rPr>
        <w:t>aspects:</w:t>
      </w:r>
    </w:p>
    <w:p>
      <w:pPr>
        <w:pStyle w:val="ListParagraph"/>
        <w:numPr>
          <w:ilvl w:val="3"/>
          <w:numId w:val="15"/>
        </w:numPr>
        <w:tabs>
          <w:tab w:pos="2260" w:val="left" w:leader="none"/>
          <w:tab w:pos="2261" w:val="left" w:leader="none"/>
        </w:tabs>
        <w:spacing w:line="240" w:lineRule="auto" w:before="208" w:after="0"/>
        <w:ind w:left="2260" w:right="0" w:hanging="361"/>
        <w:jc w:val="left"/>
        <w:rPr>
          <w:sz w:val="22"/>
        </w:rPr>
      </w:pPr>
      <w:r>
        <w:rPr>
          <w:sz w:val="22"/>
        </w:rPr>
        <w:t>Economic and Investment</w:t>
      </w:r>
      <w:r>
        <w:rPr>
          <w:spacing w:val="-12"/>
          <w:sz w:val="22"/>
        </w:rPr>
        <w:t> </w:t>
      </w:r>
      <w:r>
        <w:rPr>
          <w:sz w:val="22"/>
        </w:rPr>
        <w:t>Overview</w:t>
      </w:r>
    </w:p>
    <w:p>
      <w:pPr>
        <w:pStyle w:val="ListParagraph"/>
        <w:numPr>
          <w:ilvl w:val="3"/>
          <w:numId w:val="15"/>
        </w:numPr>
        <w:tabs>
          <w:tab w:pos="2260" w:val="left" w:leader="none"/>
          <w:tab w:pos="2261" w:val="left" w:leader="none"/>
        </w:tabs>
        <w:spacing w:line="240" w:lineRule="auto" w:before="190" w:after="0"/>
        <w:ind w:left="2260" w:right="0" w:hanging="361"/>
        <w:jc w:val="left"/>
        <w:rPr>
          <w:sz w:val="22"/>
        </w:rPr>
      </w:pPr>
      <w:r>
        <w:rPr>
          <w:sz w:val="22"/>
        </w:rPr>
        <w:t>India Real Estate</w:t>
      </w:r>
      <w:r>
        <w:rPr>
          <w:spacing w:val="-11"/>
          <w:sz w:val="22"/>
        </w:rPr>
        <w:t> </w:t>
      </w:r>
      <w:r>
        <w:rPr>
          <w:sz w:val="22"/>
        </w:rPr>
        <w:t>Overview</w:t>
      </w:r>
    </w:p>
    <w:p>
      <w:pPr>
        <w:pStyle w:val="ListParagraph"/>
        <w:numPr>
          <w:ilvl w:val="4"/>
          <w:numId w:val="15"/>
        </w:numPr>
        <w:tabs>
          <w:tab w:pos="2980" w:val="left" w:leader="none"/>
          <w:tab w:pos="2981" w:val="left" w:leader="none"/>
        </w:tabs>
        <w:spacing w:line="240" w:lineRule="auto" w:before="191" w:after="0"/>
        <w:ind w:left="2981" w:right="0" w:hanging="361"/>
        <w:jc w:val="left"/>
        <w:rPr>
          <w:sz w:val="22"/>
        </w:rPr>
      </w:pPr>
      <w:r>
        <w:rPr>
          <w:sz w:val="22"/>
        </w:rPr>
        <w:t>IT/ ITES Industry</w:t>
      </w:r>
      <w:r>
        <w:rPr>
          <w:spacing w:val="-11"/>
          <w:sz w:val="22"/>
        </w:rPr>
        <w:t> </w:t>
      </w:r>
      <w:r>
        <w:rPr>
          <w:sz w:val="22"/>
        </w:rPr>
        <w:t>Dynamics</w:t>
      </w:r>
    </w:p>
    <w:p>
      <w:pPr>
        <w:pStyle w:val="ListParagraph"/>
        <w:numPr>
          <w:ilvl w:val="4"/>
          <w:numId w:val="15"/>
        </w:numPr>
        <w:tabs>
          <w:tab w:pos="2980" w:val="left" w:leader="none"/>
          <w:tab w:pos="2981" w:val="left" w:leader="none"/>
        </w:tabs>
        <w:spacing w:line="240" w:lineRule="auto" w:before="207" w:after="0"/>
        <w:ind w:left="2981" w:right="0" w:hanging="361"/>
        <w:jc w:val="left"/>
        <w:rPr>
          <w:sz w:val="22"/>
        </w:rPr>
      </w:pPr>
      <w:r>
        <w:rPr>
          <w:sz w:val="22"/>
        </w:rPr>
        <w:t>Key Office</w:t>
      </w:r>
      <w:r>
        <w:rPr>
          <w:spacing w:val="-4"/>
          <w:sz w:val="22"/>
        </w:rPr>
        <w:t> </w:t>
      </w:r>
      <w:r>
        <w:rPr>
          <w:sz w:val="22"/>
        </w:rPr>
        <w:t>Markets</w:t>
      </w:r>
    </w:p>
    <w:p>
      <w:pPr>
        <w:pStyle w:val="ListParagraph"/>
        <w:numPr>
          <w:ilvl w:val="4"/>
          <w:numId w:val="15"/>
        </w:numPr>
        <w:tabs>
          <w:tab w:pos="2980" w:val="left" w:leader="none"/>
          <w:tab w:pos="2981" w:val="left" w:leader="none"/>
        </w:tabs>
        <w:spacing w:line="240" w:lineRule="auto" w:before="208" w:after="0"/>
        <w:ind w:left="2981" w:right="0" w:hanging="361"/>
        <w:jc w:val="left"/>
        <w:rPr>
          <w:sz w:val="22"/>
        </w:rPr>
      </w:pPr>
      <w:r>
        <w:rPr>
          <w:sz w:val="22"/>
        </w:rPr>
        <w:t>Outlook</w:t>
      </w:r>
    </w:p>
    <w:p>
      <w:pPr>
        <w:pStyle w:val="ListParagraph"/>
        <w:numPr>
          <w:ilvl w:val="3"/>
          <w:numId w:val="15"/>
        </w:numPr>
        <w:tabs>
          <w:tab w:pos="2260" w:val="left" w:leader="none"/>
          <w:tab w:pos="2261" w:val="left" w:leader="none"/>
        </w:tabs>
        <w:spacing w:line="240" w:lineRule="auto" w:before="208" w:after="0"/>
        <w:ind w:left="2260" w:right="0" w:hanging="361"/>
        <w:jc w:val="left"/>
        <w:rPr>
          <w:sz w:val="22"/>
        </w:rPr>
      </w:pPr>
      <w:r>
        <w:rPr>
          <w:sz w:val="22"/>
        </w:rPr>
        <w:t>For cities housing Embassy REIT</w:t>
      </w:r>
      <w:r>
        <w:rPr>
          <w:spacing w:val="-15"/>
          <w:sz w:val="22"/>
        </w:rPr>
        <w:t> </w:t>
      </w:r>
      <w:r>
        <w:rPr>
          <w:sz w:val="22"/>
        </w:rPr>
        <w:t>Assets</w:t>
      </w:r>
    </w:p>
    <w:p>
      <w:pPr>
        <w:pStyle w:val="ListParagraph"/>
        <w:numPr>
          <w:ilvl w:val="4"/>
          <w:numId w:val="15"/>
        </w:numPr>
        <w:tabs>
          <w:tab w:pos="2980" w:val="left" w:leader="none"/>
          <w:tab w:pos="2981" w:val="left" w:leader="none"/>
        </w:tabs>
        <w:spacing w:line="240" w:lineRule="auto" w:before="189" w:after="0"/>
        <w:ind w:left="2981" w:right="0" w:hanging="361"/>
        <w:jc w:val="left"/>
        <w:rPr>
          <w:sz w:val="22"/>
        </w:rPr>
      </w:pPr>
      <w:r>
        <w:rPr>
          <w:sz w:val="22"/>
        </w:rPr>
        <w:t>Key Office</w:t>
      </w:r>
      <w:r>
        <w:rPr>
          <w:spacing w:val="-4"/>
          <w:sz w:val="22"/>
        </w:rPr>
        <w:t> </w:t>
      </w:r>
      <w:r>
        <w:rPr>
          <w:sz w:val="22"/>
        </w:rPr>
        <w:t>Markets</w:t>
      </w:r>
    </w:p>
    <w:p>
      <w:pPr>
        <w:pStyle w:val="ListParagraph"/>
        <w:numPr>
          <w:ilvl w:val="4"/>
          <w:numId w:val="15"/>
        </w:numPr>
        <w:tabs>
          <w:tab w:pos="2980" w:val="left" w:leader="none"/>
          <w:tab w:pos="2981" w:val="left" w:leader="none"/>
        </w:tabs>
        <w:spacing w:line="240" w:lineRule="auto" w:before="207" w:after="0"/>
        <w:ind w:left="2981" w:right="0" w:hanging="361"/>
        <w:jc w:val="left"/>
        <w:rPr>
          <w:sz w:val="22"/>
        </w:rPr>
      </w:pPr>
      <w:r>
        <w:rPr>
          <w:sz w:val="22"/>
        </w:rPr>
        <w:t>General market</w:t>
      </w:r>
      <w:r>
        <w:rPr>
          <w:spacing w:val="-7"/>
          <w:sz w:val="22"/>
        </w:rPr>
        <w:t> </w:t>
      </w:r>
      <w:r>
        <w:rPr>
          <w:sz w:val="22"/>
        </w:rPr>
        <w:t>practices</w:t>
      </w:r>
    </w:p>
    <w:p>
      <w:pPr>
        <w:pStyle w:val="ListParagraph"/>
        <w:numPr>
          <w:ilvl w:val="4"/>
          <w:numId w:val="15"/>
        </w:numPr>
        <w:tabs>
          <w:tab w:pos="2980" w:val="left" w:leader="none"/>
          <w:tab w:pos="2981" w:val="left" w:leader="none"/>
        </w:tabs>
        <w:spacing w:line="240" w:lineRule="auto" w:before="208" w:after="0"/>
        <w:ind w:left="2981" w:right="0" w:hanging="361"/>
        <w:jc w:val="left"/>
        <w:rPr>
          <w:sz w:val="22"/>
        </w:rPr>
      </w:pPr>
      <w:r>
        <w:rPr>
          <w:sz w:val="22"/>
        </w:rPr>
        <w:t>Demand Supply for Key Office Markets &amp; Rental</w:t>
      </w:r>
      <w:r>
        <w:rPr>
          <w:spacing w:val="-39"/>
          <w:sz w:val="22"/>
        </w:rPr>
        <w:t> </w:t>
      </w:r>
      <w:r>
        <w:rPr>
          <w:sz w:val="22"/>
        </w:rPr>
        <w:t>Trends</w:t>
      </w:r>
    </w:p>
    <w:p>
      <w:pPr>
        <w:pStyle w:val="ListParagraph"/>
        <w:numPr>
          <w:ilvl w:val="4"/>
          <w:numId w:val="15"/>
        </w:numPr>
        <w:tabs>
          <w:tab w:pos="2980" w:val="left" w:leader="none"/>
          <w:tab w:pos="2981" w:val="left" w:leader="none"/>
        </w:tabs>
        <w:spacing w:line="240" w:lineRule="auto" w:before="208" w:after="0"/>
        <w:ind w:left="2981" w:right="0" w:hanging="361"/>
        <w:jc w:val="left"/>
        <w:rPr>
          <w:sz w:val="22"/>
        </w:rPr>
      </w:pPr>
      <w:r>
        <w:rPr>
          <w:sz w:val="22"/>
        </w:rPr>
        <w:t>Outlook</w:t>
      </w:r>
    </w:p>
    <w:p>
      <w:pPr>
        <w:pStyle w:val="ListParagraph"/>
        <w:numPr>
          <w:ilvl w:val="2"/>
          <w:numId w:val="15"/>
        </w:numPr>
        <w:tabs>
          <w:tab w:pos="1540" w:val="left" w:leader="none"/>
          <w:tab w:pos="1541" w:val="left" w:leader="none"/>
        </w:tabs>
        <w:spacing w:line="321" w:lineRule="auto" w:before="208" w:after="0"/>
        <w:ind w:left="1540" w:right="636" w:hanging="360"/>
        <w:jc w:val="left"/>
        <w:rPr>
          <w:sz w:val="22"/>
        </w:rPr>
      </w:pPr>
      <w:r>
        <w:rPr>
          <w:sz w:val="22"/>
        </w:rPr>
        <w:t>Review</w:t>
      </w:r>
      <w:r>
        <w:rPr>
          <w:spacing w:val="-42"/>
          <w:sz w:val="22"/>
        </w:rPr>
        <w:t> </w:t>
      </w:r>
      <w:r>
        <w:rPr>
          <w:sz w:val="22"/>
        </w:rPr>
        <w:t>rent</w:t>
      </w:r>
      <w:r>
        <w:rPr>
          <w:spacing w:val="-42"/>
          <w:sz w:val="22"/>
        </w:rPr>
        <w:t> </w:t>
      </w:r>
      <w:r>
        <w:rPr>
          <w:sz w:val="22"/>
        </w:rPr>
        <w:t>roll</w:t>
      </w:r>
      <w:r>
        <w:rPr>
          <w:spacing w:val="-43"/>
          <w:sz w:val="22"/>
        </w:rPr>
        <w:t> </w:t>
      </w:r>
      <w:r>
        <w:rPr>
          <w:sz w:val="22"/>
        </w:rPr>
        <w:t>and</w:t>
      </w:r>
      <w:r>
        <w:rPr>
          <w:spacing w:val="-42"/>
          <w:sz w:val="22"/>
        </w:rPr>
        <w:t> </w:t>
      </w:r>
      <w:r>
        <w:rPr>
          <w:sz w:val="22"/>
        </w:rPr>
        <w:t>forecast</w:t>
      </w:r>
      <w:r>
        <w:rPr>
          <w:spacing w:val="-41"/>
          <w:sz w:val="22"/>
        </w:rPr>
        <w:t> </w:t>
      </w:r>
      <w:r>
        <w:rPr>
          <w:sz w:val="22"/>
        </w:rPr>
        <w:t>cash</w:t>
      </w:r>
      <w:r>
        <w:rPr>
          <w:spacing w:val="-43"/>
          <w:sz w:val="22"/>
        </w:rPr>
        <w:t> </w:t>
      </w:r>
      <w:r>
        <w:rPr>
          <w:sz w:val="22"/>
        </w:rPr>
        <w:t>flows</w:t>
      </w:r>
      <w:r>
        <w:rPr>
          <w:spacing w:val="-43"/>
          <w:sz w:val="22"/>
        </w:rPr>
        <w:t> </w:t>
      </w:r>
      <w:r>
        <w:rPr>
          <w:sz w:val="22"/>
        </w:rPr>
        <w:t>from</w:t>
      </w:r>
      <w:r>
        <w:rPr>
          <w:spacing w:val="-42"/>
          <w:sz w:val="22"/>
        </w:rPr>
        <w:t> </w:t>
      </w:r>
      <w:r>
        <w:rPr>
          <w:sz w:val="22"/>
        </w:rPr>
        <w:t>the</w:t>
      </w:r>
      <w:r>
        <w:rPr>
          <w:spacing w:val="-42"/>
          <w:sz w:val="22"/>
        </w:rPr>
        <w:t> </w:t>
      </w:r>
      <w:r>
        <w:rPr>
          <w:sz w:val="22"/>
        </w:rPr>
        <w:t>respective</w:t>
      </w:r>
      <w:r>
        <w:rPr>
          <w:spacing w:val="-42"/>
          <w:sz w:val="22"/>
        </w:rPr>
        <w:t> </w:t>
      </w:r>
      <w:r>
        <w:rPr>
          <w:sz w:val="22"/>
        </w:rPr>
        <w:t>assets</w:t>
      </w:r>
      <w:r>
        <w:rPr>
          <w:spacing w:val="-42"/>
          <w:sz w:val="22"/>
        </w:rPr>
        <w:t> </w:t>
      </w:r>
      <w:r>
        <w:rPr>
          <w:sz w:val="22"/>
        </w:rPr>
        <w:t>for</w:t>
      </w:r>
      <w:r>
        <w:rPr>
          <w:spacing w:val="-42"/>
          <w:sz w:val="22"/>
        </w:rPr>
        <w:t> </w:t>
      </w:r>
      <w:r>
        <w:rPr>
          <w:sz w:val="22"/>
        </w:rPr>
        <w:t>the</w:t>
      </w:r>
      <w:r>
        <w:rPr>
          <w:spacing w:val="-43"/>
          <w:sz w:val="22"/>
        </w:rPr>
        <w:t> </w:t>
      </w:r>
      <w:r>
        <w:rPr>
          <w:sz w:val="22"/>
        </w:rPr>
        <w:t>Valuer</w:t>
      </w:r>
      <w:r>
        <w:rPr>
          <w:spacing w:val="-42"/>
          <w:sz w:val="22"/>
        </w:rPr>
        <w:t> </w:t>
      </w:r>
      <w:r>
        <w:rPr>
          <w:sz w:val="22"/>
        </w:rPr>
        <w:t>to</w:t>
      </w:r>
      <w:r>
        <w:rPr>
          <w:spacing w:val="-42"/>
          <w:sz w:val="22"/>
        </w:rPr>
        <w:t> </w:t>
      </w:r>
      <w:r>
        <w:rPr>
          <w:sz w:val="22"/>
        </w:rPr>
        <w:t>independently review</w:t>
      </w:r>
      <w:r>
        <w:rPr>
          <w:spacing w:val="-5"/>
          <w:sz w:val="22"/>
        </w:rPr>
        <w:t> </w:t>
      </w:r>
      <w:r>
        <w:rPr>
          <w:sz w:val="22"/>
        </w:rPr>
        <w:t>and</w:t>
      </w:r>
      <w:r>
        <w:rPr>
          <w:spacing w:val="-5"/>
          <w:sz w:val="22"/>
        </w:rPr>
        <w:t> </w:t>
      </w:r>
      <w:r>
        <w:rPr>
          <w:sz w:val="22"/>
        </w:rPr>
        <w:t>work</w:t>
      </w:r>
      <w:r>
        <w:rPr>
          <w:spacing w:val="-6"/>
          <w:sz w:val="22"/>
        </w:rPr>
        <w:t> </w:t>
      </w:r>
      <w:r>
        <w:rPr>
          <w:sz w:val="22"/>
        </w:rPr>
        <w:t>towards</w:t>
      </w:r>
      <w:r>
        <w:rPr>
          <w:spacing w:val="-7"/>
          <w:sz w:val="22"/>
        </w:rPr>
        <w:t> </w:t>
      </w:r>
      <w:r>
        <w:rPr>
          <w:sz w:val="22"/>
        </w:rPr>
        <w:t>assessing</w:t>
      </w:r>
      <w:r>
        <w:rPr>
          <w:spacing w:val="-4"/>
          <w:sz w:val="22"/>
        </w:rPr>
        <w:t> </w:t>
      </w:r>
      <w:r>
        <w:rPr>
          <w:sz w:val="22"/>
        </w:rPr>
        <w:t>the</w:t>
      </w:r>
      <w:r>
        <w:rPr>
          <w:spacing w:val="-6"/>
          <w:sz w:val="22"/>
        </w:rPr>
        <w:t> </w:t>
      </w:r>
      <w:r>
        <w:rPr>
          <w:sz w:val="22"/>
        </w:rPr>
        <w:t>valuation</w:t>
      </w:r>
      <w:r>
        <w:rPr>
          <w:spacing w:val="-7"/>
          <w:sz w:val="22"/>
        </w:rPr>
        <w:t> </w:t>
      </w:r>
      <w:r>
        <w:rPr>
          <w:sz w:val="22"/>
        </w:rPr>
        <w:t>of</w:t>
      </w:r>
      <w:r>
        <w:rPr>
          <w:spacing w:val="-4"/>
          <w:sz w:val="22"/>
        </w:rPr>
        <w:t> </w:t>
      </w:r>
      <w:r>
        <w:rPr>
          <w:sz w:val="22"/>
        </w:rPr>
        <w:t>each</w:t>
      </w:r>
      <w:r>
        <w:rPr>
          <w:spacing w:val="-6"/>
          <w:sz w:val="22"/>
        </w:rPr>
        <w:t> </w:t>
      </w:r>
      <w:r>
        <w:rPr>
          <w:sz w:val="22"/>
        </w:rPr>
        <w:t>Asset</w:t>
      </w:r>
    </w:p>
    <w:p>
      <w:pPr>
        <w:spacing w:after="0" w:line="321" w:lineRule="auto"/>
        <w:jc w:val="left"/>
        <w:rPr>
          <w:sz w:val="22"/>
        </w:rPr>
        <w:sectPr>
          <w:pgSz w:w="11910" w:h="16840"/>
          <w:pgMar w:header="720" w:footer="842" w:top="1520" w:bottom="1040" w:left="440" w:right="80"/>
        </w:sectPr>
      </w:pPr>
    </w:p>
    <w:p>
      <w:pPr>
        <w:pStyle w:val="BodyText"/>
        <w:spacing w:before="5"/>
      </w:pPr>
    </w:p>
    <w:p>
      <w:pPr>
        <w:pStyle w:val="BodyText"/>
        <w:spacing w:before="106"/>
        <w:ind w:left="392"/>
      </w:pPr>
      <w:r>
        <w:rPr/>
        <w:pict>
          <v:group style="position:absolute;margin-left:42.900002pt;margin-top:19.999443pt;width:106.5pt;height:38.8pt;mso-position-horizontal-relative:page;mso-position-vertical-relative:paragraph;z-index:-15646208;mso-wrap-distance-left:0;mso-wrap-distance-right:0" coordorigin="858,400" coordsize="2130,776">
            <v:shape style="position:absolute;left:1073;top:399;width:1268;height:721" type="#_x0000_t75" stroked="false">
              <v:imagedata r:id="rId15" o:title=""/>
            </v:shape>
            <v:line style="position:absolute" from="858,1168" to="2988,1168" stroked="true" strokeweight=".75pt" strokecolor="#000000">
              <v:stroke dashstyle="solid"/>
            </v:line>
            <w10:wrap type="topAndBottom"/>
          </v:group>
        </w:pict>
      </w:r>
      <w:r>
        <w:rPr>
          <w:u w:val="single"/>
        </w:rPr>
        <w:t>Official Signatory for Value Assessment Service Provider:</w:t>
      </w:r>
    </w:p>
    <w:p>
      <w:pPr>
        <w:pStyle w:val="BodyText"/>
        <w:spacing w:before="6"/>
        <w:rPr>
          <w:sz w:val="9"/>
        </w:rPr>
      </w:pPr>
    </w:p>
    <w:p>
      <w:pPr>
        <w:spacing w:before="105"/>
        <w:ind w:left="392" w:right="0" w:firstLine="0"/>
        <w:jc w:val="left"/>
        <w:rPr>
          <w:sz w:val="20"/>
        </w:rPr>
      </w:pPr>
      <w:r>
        <w:rPr>
          <w:sz w:val="20"/>
        </w:rPr>
        <w:t>Name: Vamshi KK Nakirekanti | MRICS | FIE | FIV | CEng (India)</w:t>
      </w:r>
    </w:p>
    <w:p>
      <w:pPr>
        <w:spacing w:line="247" w:lineRule="auto" w:before="7"/>
        <w:ind w:left="392" w:right="2214" w:firstLine="0"/>
        <w:jc w:val="left"/>
        <w:rPr>
          <w:sz w:val="20"/>
        </w:rPr>
      </w:pPr>
      <w:r>
        <w:rPr>
          <w:sz w:val="20"/>
        </w:rPr>
        <w:t>Designation:</w:t>
      </w:r>
      <w:r>
        <w:rPr>
          <w:spacing w:val="-19"/>
          <w:sz w:val="20"/>
        </w:rPr>
        <w:t> </w:t>
      </w:r>
      <w:r>
        <w:rPr>
          <w:sz w:val="20"/>
        </w:rPr>
        <w:t>Executive</w:t>
      </w:r>
      <w:r>
        <w:rPr>
          <w:spacing w:val="-20"/>
          <w:sz w:val="20"/>
        </w:rPr>
        <w:t> </w:t>
      </w:r>
      <w:r>
        <w:rPr>
          <w:sz w:val="20"/>
        </w:rPr>
        <w:t>Director,</w:t>
      </w:r>
      <w:r>
        <w:rPr>
          <w:spacing w:val="-20"/>
          <w:sz w:val="20"/>
        </w:rPr>
        <w:t> </w:t>
      </w:r>
      <w:r>
        <w:rPr>
          <w:sz w:val="20"/>
        </w:rPr>
        <w:t>Head</w:t>
      </w:r>
      <w:r>
        <w:rPr>
          <w:spacing w:val="-20"/>
          <w:sz w:val="20"/>
        </w:rPr>
        <w:t> </w:t>
      </w:r>
      <w:r>
        <w:rPr>
          <w:w w:val="105"/>
          <w:sz w:val="20"/>
        </w:rPr>
        <w:t>–</w:t>
      </w:r>
      <w:r>
        <w:rPr>
          <w:spacing w:val="-23"/>
          <w:w w:val="105"/>
          <w:sz w:val="20"/>
        </w:rPr>
        <w:t> </w:t>
      </w:r>
      <w:r>
        <w:rPr>
          <w:sz w:val="20"/>
        </w:rPr>
        <w:t>Valuation</w:t>
      </w:r>
      <w:r>
        <w:rPr>
          <w:spacing w:val="-21"/>
          <w:sz w:val="20"/>
        </w:rPr>
        <w:t> </w:t>
      </w:r>
      <w:r>
        <w:rPr>
          <w:sz w:val="20"/>
        </w:rPr>
        <w:t>and</w:t>
      </w:r>
      <w:r>
        <w:rPr>
          <w:spacing w:val="-20"/>
          <w:sz w:val="20"/>
        </w:rPr>
        <w:t> </w:t>
      </w:r>
      <w:r>
        <w:rPr>
          <w:sz w:val="20"/>
        </w:rPr>
        <w:t>Advisory</w:t>
      </w:r>
      <w:r>
        <w:rPr>
          <w:spacing w:val="-19"/>
          <w:sz w:val="20"/>
        </w:rPr>
        <w:t> </w:t>
      </w:r>
      <w:r>
        <w:rPr>
          <w:sz w:val="20"/>
        </w:rPr>
        <w:t>Services,</w:t>
      </w:r>
      <w:r>
        <w:rPr>
          <w:spacing w:val="-19"/>
          <w:sz w:val="20"/>
        </w:rPr>
        <w:t> </w:t>
      </w:r>
      <w:r>
        <w:rPr>
          <w:sz w:val="20"/>
        </w:rPr>
        <w:t>India</w:t>
      </w:r>
      <w:r>
        <w:rPr>
          <w:spacing w:val="-21"/>
          <w:sz w:val="20"/>
        </w:rPr>
        <w:t> </w:t>
      </w:r>
      <w:r>
        <w:rPr>
          <w:sz w:val="20"/>
        </w:rPr>
        <w:t>&amp;</w:t>
      </w:r>
      <w:r>
        <w:rPr>
          <w:spacing w:val="-20"/>
          <w:sz w:val="20"/>
        </w:rPr>
        <w:t> </w:t>
      </w:r>
      <w:r>
        <w:rPr>
          <w:sz w:val="20"/>
        </w:rPr>
        <w:t>South</w:t>
      </w:r>
      <w:r>
        <w:rPr>
          <w:spacing w:val="-21"/>
          <w:sz w:val="20"/>
        </w:rPr>
        <w:t> </w:t>
      </w:r>
      <w:r>
        <w:rPr>
          <w:sz w:val="20"/>
        </w:rPr>
        <w:t>East</w:t>
      </w:r>
      <w:r>
        <w:rPr>
          <w:spacing w:val="-19"/>
          <w:sz w:val="20"/>
        </w:rPr>
        <w:t> </w:t>
      </w:r>
      <w:r>
        <w:rPr>
          <w:sz w:val="20"/>
        </w:rPr>
        <w:t>Asia Firm: CBRE South Asia Pvt</w:t>
      </w:r>
      <w:r>
        <w:rPr>
          <w:spacing w:val="-10"/>
          <w:sz w:val="20"/>
        </w:rPr>
        <w:t> </w:t>
      </w:r>
      <w:r>
        <w:rPr>
          <w:sz w:val="20"/>
        </w:rPr>
        <w:t>Ltd</w:t>
      </w:r>
    </w:p>
    <w:p>
      <w:pPr>
        <w:pStyle w:val="BodyText"/>
        <w:spacing w:before="10"/>
        <w:rPr>
          <w:sz w:val="20"/>
        </w:rPr>
      </w:pPr>
    </w:p>
    <w:p>
      <w:pPr>
        <w:pStyle w:val="ListParagraph"/>
        <w:numPr>
          <w:ilvl w:val="1"/>
          <w:numId w:val="15"/>
        </w:numPr>
        <w:tabs>
          <w:tab w:pos="857" w:val="left" w:leader="none"/>
        </w:tabs>
        <w:spacing w:line="240" w:lineRule="auto" w:before="0" w:after="0"/>
        <w:ind w:left="856" w:right="0" w:hanging="577"/>
        <w:jc w:val="both"/>
        <w:rPr>
          <w:sz w:val="22"/>
        </w:rPr>
      </w:pPr>
      <w:bookmarkStart w:name="_bookmark7" w:id="14"/>
      <w:bookmarkEnd w:id="14"/>
      <w:r>
        <w:rPr/>
      </w:r>
      <w:bookmarkStart w:name="_bookmark7" w:id="15"/>
      <w:bookmarkEnd w:id="15"/>
      <w:r>
        <w:rPr>
          <w:color w:val="1F6647"/>
          <w:sz w:val="22"/>
        </w:rPr>
        <w:t>V</w:t>
      </w:r>
      <w:r>
        <w:rPr>
          <w:color w:val="1F6647"/>
          <w:sz w:val="22"/>
        </w:rPr>
        <w:t>aluer’s</w:t>
      </w:r>
      <w:r>
        <w:rPr>
          <w:color w:val="1F6647"/>
          <w:spacing w:val="-1"/>
          <w:sz w:val="22"/>
        </w:rPr>
        <w:t> </w:t>
      </w:r>
      <w:r>
        <w:rPr>
          <w:color w:val="1F6647"/>
          <w:sz w:val="22"/>
        </w:rPr>
        <w:t>Interest</w:t>
      </w:r>
    </w:p>
    <w:p>
      <w:pPr>
        <w:pStyle w:val="BodyText"/>
        <w:spacing w:line="321" w:lineRule="auto" w:before="208"/>
        <w:ind w:left="820" w:right="636"/>
        <w:jc w:val="both"/>
      </w:pPr>
      <w:r>
        <w:rPr/>
        <w:t>The</w:t>
      </w:r>
      <w:r>
        <w:rPr>
          <w:spacing w:val="-41"/>
        </w:rPr>
        <w:t> </w:t>
      </w:r>
      <w:r>
        <w:rPr/>
        <w:t>Valuer</w:t>
      </w:r>
      <w:r>
        <w:rPr>
          <w:spacing w:val="-41"/>
        </w:rPr>
        <w:t> </w:t>
      </w:r>
      <w:r>
        <w:rPr/>
        <w:t>certifies</w:t>
      </w:r>
      <w:r>
        <w:rPr>
          <w:spacing w:val="-39"/>
        </w:rPr>
        <w:t> </w:t>
      </w:r>
      <w:r>
        <w:rPr/>
        <w:t>that;</w:t>
      </w:r>
      <w:r>
        <w:rPr>
          <w:spacing w:val="-40"/>
        </w:rPr>
        <w:t> </w:t>
      </w:r>
      <w:r>
        <w:rPr/>
        <w:t>the</w:t>
      </w:r>
      <w:r>
        <w:rPr>
          <w:spacing w:val="-41"/>
        </w:rPr>
        <w:t> </w:t>
      </w:r>
      <w:r>
        <w:rPr/>
        <w:t>Valuer</w:t>
      </w:r>
      <w:r>
        <w:rPr>
          <w:spacing w:val="-39"/>
        </w:rPr>
        <w:t> </w:t>
      </w:r>
      <w:r>
        <w:rPr/>
        <w:t>does</w:t>
      </w:r>
      <w:r>
        <w:rPr>
          <w:spacing w:val="-40"/>
        </w:rPr>
        <w:t> </w:t>
      </w:r>
      <w:r>
        <w:rPr/>
        <w:t>not</w:t>
      </w:r>
      <w:r>
        <w:rPr>
          <w:spacing w:val="-40"/>
        </w:rPr>
        <w:t> </w:t>
      </w:r>
      <w:r>
        <w:rPr/>
        <w:t>have</w:t>
      </w:r>
      <w:r>
        <w:rPr>
          <w:spacing w:val="-39"/>
        </w:rPr>
        <w:t> </w:t>
      </w:r>
      <w:r>
        <w:rPr/>
        <w:t>a</w:t>
      </w:r>
      <w:r>
        <w:rPr>
          <w:spacing w:val="-41"/>
        </w:rPr>
        <w:t> </w:t>
      </w:r>
      <w:r>
        <w:rPr/>
        <w:t>pecuniary</w:t>
      </w:r>
      <w:r>
        <w:rPr>
          <w:spacing w:val="-39"/>
        </w:rPr>
        <w:t> </w:t>
      </w:r>
      <w:r>
        <w:rPr/>
        <w:t>interest,</w:t>
      </w:r>
      <w:r>
        <w:rPr>
          <w:spacing w:val="-40"/>
        </w:rPr>
        <w:t> </w:t>
      </w:r>
      <w:r>
        <w:rPr/>
        <w:t>financial</w:t>
      </w:r>
      <w:r>
        <w:rPr>
          <w:spacing w:val="-41"/>
        </w:rPr>
        <w:t> </w:t>
      </w:r>
      <w:r>
        <w:rPr/>
        <w:t>or</w:t>
      </w:r>
      <w:r>
        <w:rPr>
          <w:spacing w:val="-39"/>
        </w:rPr>
        <w:t> </w:t>
      </w:r>
      <w:r>
        <w:rPr/>
        <w:t>otherwise,</w:t>
      </w:r>
      <w:r>
        <w:rPr>
          <w:spacing w:val="-41"/>
        </w:rPr>
        <w:t> </w:t>
      </w:r>
      <w:r>
        <w:rPr/>
        <w:t>that</w:t>
      </w:r>
      <w:r>
        <w:rPr>
          <w:spacing w:val="-40"/>
        </w:rPr>
        <w:t> </w:t>
      </w:r>
      <w:r>
        <w:rPr/>
        <w:t>could conflict</w:t>
      </w:r>
      <w:r>
        <w:rPr>
          <w:spacing w:val="-39"/>
        </w:rPr>
        <w:t> </w:t>
      </w:r>
      <w:r>
        <w:rPr/>
        <w:t>with</w:t>
      </w:r>
      <w:r>
        <w:rPr>
          <w:spacing w:val="-40"/>
        </w:rPr>
        <w:t> </w:t>
      </w:r>
      <w:r>
        <w:rPr/>
        <w:t>the</w:t>
      </w:r>
      <w:r>
        <w:rPr>
          <w:spacing w:val="-40"/>
        </w:rPr>
        <w:t> </w:t>
      </w:r>
      <w:r>
        <w:rPr/>
        <w:t>proper</w:t>
      </w:r>
      <w:r>
        <w:rPr>
          <w:spacing w:val="-39"/>
        </w:rPr>
        <w:t> </w:t>
      </w:r>
      <w:r>
        <w:rPr/>
        <w:t>valuation</w:t>
      </w:r>
      <w:r>
        <w:rPr>
          <w:spacing w:val="-40"/>
        </w:rPr>
        <w:t> </w:t>
      </w:r>
      <w:r>
        <w:rPr/>
        <w:t>of</w:t>
      </w:r>
      <w:r>
        <w:rPr>
          <w:spacing w:val="-39"/>
        </w:rPr>
        <w:t> </w:t>
      </w:r>
      <w:r>
        <w:rPr/>
        <w:t>the</w:t>
      </w:r>
      <w:r>
        <w:rPr>
          <w:spacing w:val="-40"/>
        </w:rPr>
        <w:t> </w:t>
      </w:r>
      <w:r>
        <w:rPr/>
        <w:t>properties</w:t>
      </w:r>
      <w:r>
        <w:rPr>
          <w:spacing w:val="-38"/>
        </w:rPr>
        <w:t> </w:t>
      </w:r>
      <w:r>
        <w:rPr/>
        <w:t>(including</w:t>
      </w:r>
      <w:r>
        <w:rPr>
          <w:spacing w:val="-39"/>
        </w:rPr>
        <w:t> </w:t>
      </w:r>
      <w:r>
        <w:rPr/>
        <w:t>the</w:t>
      </w:r>
      <w:r>
        <w:rPr>
          <w:spacing w:val="-40"/>
        </w:rPr>
        <w:t> </w:t>
      </w:r>
      <w:r>
        <w:rPr/>
        <w:t>parties</w:t>
      </w:r>
      <w:r>
        <w:rPr>
          <w:spacing w:val="-40"/>
        </w:rPr>
        <w:t> </w:t>
      </w:r>
      <w:r>
        <w:rPr/>
        <w:t>with</w:t>
      </w:r>
      <w:r>
        <w:rPr>
          <w:spacing w:val="-39"/>
        </w:rPr>
        <w:t> </w:t>
      </w:r>
      <w:r>
        <w:rPr/>
        <w:t>whom</w:t>
      </w:r>
      <w:r>
        <w:rPr>
          <w:spacing w:val="-40"/>
        </w:rPr>
        <w:t> </w:t>
      </w:r>
      <w:r>
        <w:rPr/>
        <w:t>our</w:t>
      </w:r>
      <w:r>
        <w:rPr>
          <w:spacing w:val="-39"/>
        </w:rPr>
        <w:t> </w:t>
      </w:r>
      <w:r>
        <w:rPr/>
        <w:t>Client</w:t>
      </w:r>
      <w:r>
        <w:rPr>
          <w:spacing w:val="-40"/>
        </w:rPr>
        <w:t> </w:t>
      </w:r>
      <w:r>
        <w:rPr/>
        <w:t>is</w:t>
      </w:r>
      <w:r>
        <w:rPr>
          <w:spacing w:val="-38"/>
        </w:rPr>
        <w:t> </w:t>
      </w:r>
      <w:r>
        <w:rPr/>
        <w:t>dealing, including</w:t>
      </w:r>
      <w:r>
        <w:rPr>
          <w:spacing w:val="-10"/>
        </w:rPr>
        <w:t> </w:t>
      </w:r>
      <w:r>
        <w:rPr/>
        <w:t>the</w:t>
      </w:r>
      <w:r>
        <w:rPr>
          <w:spacing w:val="-10"/>
        </w:rPr>
        <w:t> </w:t>
      </w:r>
      <w:r>
        <w:rPr/>
        <w:t>lender</w:t>
      </w:r>
      <w:r>
        <w:rPr>
          <w:spacing w:val="-9"/>
        </w:rPr>
        <w:t> </w:t>
      </w:r>
      <w:r>
        <w:rPr/>
        <w:t>or</w:t>
      </w:r>
      <w:r>
        <w:rPr>
          <w:spacing w:val="-11"/>
        </w:rPr>
        <w:t> </w:t>
      </w:r>
      <w:r>
        <w:rPr/>
        <w:t>selling</w:t>
      </w:r>
      <w:r>
        <w:rPr>
          <w:spacing w:val="-9"/>
        </w:rPr>
        <w:t> </w:t>
      </w:r>
      <w:r>
        <w:rPr/>
        <w:t>agent,</w:t>
      </w:r>
      <w:r>
        <w:rPr>
          <w:spacing w:val="-10"/>
        </w:rPr>
        <w:t> </w:t>
      </w:r>
      <w:r>
        <w:rPr/>
        <w:t>if</w:t>
      </w:r>
      <w:r>
        <w:rPr>
          <w:spacing w:val="-10"/>
        </w:rPr>
        <w:t> </w:t>
      </w:r>
      <w:r>
        <w:rPr/>
        <w:t>any);</w:t>
      </w:r>
      <w:r>
        <w:rPr>
          <w:spacing w:val="-11"/>
        </w:rPr>
        <w:t> </w:t>
      </w:r>
      <w:r>
        <w:rPr/>
        <w:t>accepts</w:t>
      </w:r>
      <w:r>
        <w:rPr>
          <w:spacing w:val="-9"/>
        </w:rPr>
        <w:t> </w:t>
      </w:r>
      <w:r>
        <w:rPr/>
        <w:t>instructions</w:t>
      </w:r>
      <w:r>
        <w:rPr>
          <w:spacing w:val="-10"/>
        </w:rPr>
        <w:t> </w:t>
      </w:r>
      <w:r>
        <w:rPr/>
        <w:t>to</w:t>
      </w:r>
      <w:r>
        <w:rPr>
          <w:spacing w:val="-10"/>
        </w:rPr>
        <w:t> </w:t>
      </w:r>
      <w:r>
        <w:rPr/>
        <w:t>value</w:t>
      </w:r>
      <w:r>
        <w:rPr>
          <w:spacing w:val="-9"/>
        </w:rPr>
        <w:t> </w:t>
      </w:r>
      <w:r>
        <w:rPr/>
        <w:t>the</w:t>
      </w:r>
      <w:r>
        <w:rPr>
          <w:spacing w:val="-11"/>
        </w:rPr>
        <w:t> </w:t>
      </w:r>
      <w:r>
        <w:rPr/>
        <w:t>property</w:t>
      </w:r>
      <w:r>
        <w:rPr>
          <w:spacing w:val="-9"/>
        </w:rPr>
        <w:t> </w:t>
      </w:r>
      <w:r>
        <w:rPr/>
        <w:t>only</w:t>
      </w:r>
      <w:r>
        <w:rPr>
          <w:spacing w:val="-9"/>
        </w:rPr>
        <w:t> </w:t>
      </w:r>
      <w:r>
        <w:rPr/>
        <w:t>from</w:t>
      </w:r>
      <w:r>
        <w:rPr>
          <w:spacing w:val="-10"/>
        </w:rPr>
        <w:t> </w:t>
      </w:r>
      <w:r>
        <w:rPr/>
        <w:t>the instructing</w:t>
      </w:r>
      <w:r>
        <w:rPr>
          <w:spacing w:val="-3"/>
        </w:rPr>
        <w:t> </w:t>
      </w:r>
      <w:r>
        <w:rPr/>
        <w:t>party.</w:t>
      </w:r>
    </w:p>
    <w:p>
      <w:pPr>
        <w:pStyle w:val="ListParagraph"/>
        <w:numPr>
          <w:ilvl w:val="1"/>
          <w:numId w:val="15"/>
        </w:numPr>
        <w:tabs>
          <w:tab w:pos="857" w:val="left" w:leader="none"/>
        </w:tabs>
        <w:spacing w:line="240" w:lineRule="auto" w:before="122" w:after="0"/>
        <w:ind w:left="856" w:right="0" w:hanging="577"/>
        <w:jc w:val="both"/>
        <w:rPr>
          <w:sz w:val="22"/>
        </w:rPr>
      </w:pPr>
      <w:bookmarkStart w:name="_bookmark8" w:id="16"/>
      <w:bookmarkEnd w:id="16"/>
      <w:r>
        <w:rPr/>
      </w:r>
      <w:bookmarkStart w:name="_bookmark8" w:id="17"/>
      <w:bookmarkEnd w:id="17"/>
      <w:r>
        <w:rPr>
          <w:color w:val="1F6647"/>
          <w:sz w:val="22"/>
        </w:rPr>
        <w:t>Q</w:t>
      </w:r>
      <w:r>
        <w:rPr>
          <w:color w:val="1F6647"/>
          <w:sz w:val="22"/>
        </w:rPr>
        <w:t>ualifications</w:t>
      </w:r>
    </w:p>
    <w:p>
      <w:pPr>
        <w:pStyle w:val="BodyText"/>
        <w:spacing w:line="321" w:lineRule="auto" w:before="207"/>
        <w:ind w:left="827" w:right="637"/>
        <w:jc w:val="both"/>
      </w:pPr>
      <w:r>
        <w:rPr/>
        <w:t>This</w:t>
      </w:r>
      <w:r>
        <w:rPr>
          <w:spacing w:val="-47"/>
        </w:rPr>
        <w:t> </w:t>
      </w:r>
      <w:r>
        <w:rPr/>
        <w:t>valuation</w:t>
      </w:r>
      <w:r>
        <w:rPr>
          <w:spacing w:val="-46"/>
        </w:rPr>
        <w:t> </w:t>
      </w:r>
      <w:r>
        <w:rPr/>
        <w:t>is</w:t>
      </w:r>
      <w:r>
        <w:rPr>
          <w:spacing w:val="-46"/>
        </w:rPr>
        <w:t> </w:t>
      </w:r>
      <w:r>
        <w:rPr/>
        <w:t>prepared</w:t>
      </w:r>
      <w:r>
        <w:rPr>
          <w:spacing w:val="-45"/>
        </w:rPr>
        <w:t> </w:t>
      </w:r>
      <w:r>
        <w:rPr/>
        <w:t>in</w:t>
      </w:r>
      <w:r>
        <w:rPr>
          <w:spacing w:val="-47"/>
        </w:rPr>
        <w:t> </w:t>
      </w:r>
      <w:r>
        <w:rPr/>
        <w:t>accordance</w:t>
      </w:r>
      <w:r>
        <w:rPr>
          <w:spacing w:val="-47"/>
        </w:rPr>
        <w:t> </w:t>
      </w:r>
      <w:r>
        <w:rPr/>
        <w:t>with</w:t>
      </w:r>
      <w:r>
        <w:rPr>
          <w:spacing w:val="-47"/>
        </w:rPr>
        <w:t> </w:t>
      </w:r>
      <w:r>
        <w:rPr/>
        <w:t>the</w:t>
      </w:r>
      <w:r>
        <w:rPr>
          <w:spacing w:val="-45"/>
        </w:rPr>
        <w:t> </w:t>
      </w:r>
      <w:r>
        <w:rPr/>
        <w:t>Royal</w:t>
      </w:r>
      <w:r>
        <w:rPr>
          <w:spacing w:val="-47"/>
        </w:rPr>
        <w:t> </w:t>
      </w:r>
      <w:r>
        <w:rPr/>
        <w:t>Institution</w:t>
      </w:r>
      <w:r>
        <w:rPr>
          <w:spacing w:val="-46"/>
        </w:rPr>
        <w:t> </w:t>
      </w:r>
      <w:r>
        <w:rPr/>
        <w:t>of</w:t>
      </w:r>
      <w:r>
        <w:rPr>
          <w:spacing w:val="-46"/>
        </w:rPr>
        <w:t> </w:t>
      </w:r>
      <w:r>
        <w:rPr/>
        <w:t>Chartered</w:t>
      </w:r>
      <w:r>
        <w:rPr>
          <w:spacing w:val="-46"/>
        </w:rPr>
        <w:t> </w:t>
      </w:r>
      <w:r>
        <w:rPr/>
        <w:t>Surveyors</w:t>
      </w:r>
      <w:r>
        <w:rPr>
          <w:spacing w:val="-47"/>
        </w:rPr>
        <w:t> </w:t>
      </w:r>
      <w:r>
        <w:rPr/>
        <w:t>(RICS)</w:t>
      </w:r>
      <w:r>
        <w:rPr>
          <w:spacing w:val="-46"/>
        </w:rPr>
        <w:t> </w:t>
      </w:r>
      <w:r>
        <w:rPr/>
        <w:t>Valuation Standards</w:t>
      </w:r>
      <w:r>
        <w:rPr>
          <w:spacing w:val="-7"/>
        </w:rPr>
        <w:t> </w:t>
      </w:r>
      <w:r>
        <w:rPr>
          <w:spacing w:val="-2"/>
        </w:rPr>
        <w:t>and</w:t>
      </w:r>
      <w:r>
        <w:rPr>
          <w:spacing w:val="-7"/>
        </w:rPr>
        <w:t> </w:t>
      </w:r>
      <w:r>
        <w:rPr/>
        <w:t>is</w:t>
      </w:r>
      <w:r>
        <w:rPr>
          <w:spacing w:val="-7"/>
        </w:rPr>
        <w:t> </w:t>
      </w:r>
      <w:r>
        <w:rPr/>
        <w:t>in</w:t>
      </w:r>
      <w:r>
        <w:rPr>
          <w:spacing w:val="-9"/>
        </w:rPr>
        <w:t> </w:t>
      </w:r>
      <w:r>
        <w:rPr/>
        <w:t>compliance</w:t>
      </w:r>
      <w:r>
        <w:rPr>
          <w:spacing w:val="-8"/>
        </w:rPr>
        <w:t> </w:t>
      </w:r>
      <w:r>
        <w:rPr/>
        <w:t>with</w:t>
      </w:r>
      <w:r>
        <w:rPr>
          <w:spacing w:val="-8"/>
        </w:rPr>
        <w:t> </w:t>
      </w:r>
      <w:r>
        <w:rPr/>
        <w:t>the</w:t>
      </w:r>
      <w:r>
        <w:rPr>
          <w:spacing w:val="-8"/>
        </w:rPr>
        <w:t> </w:t>
      </w:r>
      <w:r>
        <w:rPr/>
        <w:t>International</w:t>
      </w:r>
      <w:r>
        <w:rPr>
          <w:spacing w:val="-8"/>
        </w:rPr>
        <w:t> </w:t>
      </w:r>
      <w:r>
        <w:rPr/>
        <w:t>Valuation</w:t>
      </w:r>
      <w:r>
        <w:rPr>
          <w:spacing w:val="-6"/>
        </w:rPr>
        <w:t> </w:t>
      </w:r>
      <w:r>
        <w:rPr/>
        <w:t>Standards</w:t>
      </w:r>
      <w:r>
        <w:rPr>
          <w:spacing w:val="-9"/>
        </w:rPr>
        <w:t> </w:t>
      </w:r>
      <w:r>
        <w:rPr/>
        <w:t>(IVS).</w:t>
      </w:r>
    </w:p>
    <w:p>
      <w:pPr>
        <w:pStyle w:val="BodyText"/>
        <w:spacing w:before="10"/>
        <w:rPr>
          <w:sz w:val="20"/>
        </w:rPr>
      </w:pPr>
    </w:p>
    <w:p>
      <w:pPr>
        <w:pStyle w:val="ListParagraph"/>
        <w:numPr>
          <w:ilvl w:val="1"/>
          <w:numId w:val="15"/>
        </w:numPr>
        <w:tabs>
          <w:tab w:pos="857" w:val="left" w:leader="none"/>
        </w:tabs>
        <w:spacing w:line="240" w:lineRule="auto" w:before="0" w:after="0"/>
        <w:ind w:left="856" w:right="0" w:hanging="577"/>
        <w:jc w:val="both"/>
        <w:rPr>
          <w:sz w:val="22"/>
        </w:rPr>
      </w:pPr>
      <w:bookmarkStart w:name="_bookmark9" w:id="18"/>
      <w:bookmarkEnd w:id="18"/>
      <w:r>
        <w:rPr/>
      </w:r>
      <w:bookmarkStart w:name="_bookmark9" w:id="19"/>
      <w:bookmarkEnd w:id="19"/>
      <w:r>
        <w:rPr>
          <w:color w:val="1F6647"/>
          <w:w w:val="105"/>
          <w:sz w:val="22"/>
        </w:rPr>
        <w:t>Dis</w:t>
      </w:r>
      <w:r>
        <w:rPr>
          <w:color w:val="1F6647"/>
          <w:w w:val="105"/>
          <w:sz w:val="22"/>
        </w:rPr>
        <w:t>closures</w:t>
      </w:r>
    </w:p>
    <w:p>
      <w:pPr>
        <w:pStyle w:val="BodyText"/>
        <w:spacing w:before="208"/>
        <w:ind w:left="820"/>
        <w:jc w:val="both"/>
      </w:pPr>
      <w:r>
        <w:rPr/>
        <w:t>The Consultants hereby certify that:</w:t>
      </w:r>
    </w:p>
    <w:p>
      <w:pPr>
        <w:pStyle w:val="BodyText"/>
        <w:spacing w:before="3"/>
        <w:rPr>
          <w:sz w:val="28"/>
        </w:rPr>
      </w:pPr>
    </w:p>
    <w:p>
      <w:pPr>
        <w:pStyle w:val="ListParagraph"/>
        <w:numPr>
          <w:ilvl w:val="2"/>
          <w:numId w:val="15"/>
        </w:numPr>
        <w:tabs>
          <w:tab w:pos="1541" w:val="left" w:leader="none"/>
        </w:tabs>
        <w:spacing w:line="321" w:lineRule="auto" w:before="0" w:after="0"/>
        <w:ind w:left="1540" w:right="635" w:hanging="360"/>
        <w:jc w:val="both"/>
        <w:rPr>
          <w:sz w:val="22"/>
        </w:rPr>
      </w:pPr>
      <w:r>
        <w:rPr>
          <w:sz w:val="22"/>
        </w:rPr>
        <w:t>iVAS</w:t>
      </w:r>
      <w:r>
        <w:rPr>
          <w:spacing w:val="-35"/>
          <w:sz w:val="22"/>
        </w:rPr>
        <w:t> </w:t>
      </w:r>
      <w:r>
        <w:rPr>
          <w:sz w:val="22"/>
        </w:rPr>
        <w:t>Partners</w:t>
      </w:r>
      <w:r>
        <w:rPr>
          <w:spacing w:val="-35"/>
          <w:sz w:val="22"/>
        </w:rPr>
        <w:t> </w:t>
      </w:r>
      <w:r>
        <w:rPr>
          <w:sz w:val="22"/>
        </w:rPr>
        <w:t>(Valuer</w:t>
      </w:r>
      <w:r>
        <w:rPr>
          <w:spacing w:val="-35"/>
          <w:sz w:val="22"/>
        </w:rPr>
        <w:t> </w:t>
      </w:r>
      <w:r>
        <w:rPr>
          <w:sz w:val="22"/>
        </w:rPr>
        <w:t>Registration</w:t>
      </w:r>
      <w:r>
        <w:rPr>
          <w:spacing w:val="-35"/>
          <w:sz w:val="22"/>
        </w:rPr>
        <w:t> </w:t>
      </w:r>
      <w:r>
        <w:rPr>
          <w:sz w:val="22"/>
        </w:rPr>
        <w:t>Number:</w:t>
      </w:r>
      <w:r>
        <w:rPr>
          <w:spacing w:val="-33"/>
          <w:sz w:val="22"/>
        </w:rPr>
        <w:t> </w:t>
      </w:r>
      <w:r>
        <w:rPr>
          <w:sz w:val="22"/>
        </w:rPr>
        <w:t>IBBI/RV-E/02/2020/112),</w:t>
      </w:r>
      <w:r>
        <w:rPr>
          <w:spacing w:val="-35"/>
          <w:sz w:val="22"/>
        </w:rPr>
        <w:t> </w:t>
      </w:r>
      <w:r>
        <w:rPr>
          <w:sz w:val="22"/>
        </w:rPr>
        <w:t>represented</w:t>
      </w:r>
      <w:r>
        <w:rPr>
          <w:spacing w:val="-35"/>
          <w:sz w:val="22"/>
        </w:rPr>
        <w:t> </w:t>
      </w:r>
      <w:r>
        <w:rPr>
          <w:sz w:val="22"/>
        </w:rPr>
        <w:t>by</w:t>
      </w:r>
      <w:r>
        <w:rPr>
          <w:spacing w:val="-33"/>
          <w:sz w:val="22"/>
        </w:rPr>
        <w:t> </w:t>
      </w:r>
      <w:r>
        <w:rPr>
          <w:sz w:val="22"/>
        </w:rPr>
        <w:t>Mr.</w:t>
      </w:r>
      <w:r>
        <w:rPr>
          <w:spacing w:val="-35"/>
          <w:sz w:val="22"/>
        </w:rPr>
        <w:t> </w:t>
      </w:r>
      <w:r>
        <w:rPr>
          <w:sz w:val="22"/>
        </w:rPr>
        <w:t>Manish Gupta</w:t>
      </w:r>
      <w:r>
        <w:rPr>
          <w:spacing w:val="-20"/>
          <w:sz w:val="22"/>
        </w:rPr>
        <w:t> </w:t>
      </w:r>
      <w:r>
        <w:rPr>
          <w:sz w:val="22"/>
        </w:rPr>
        <w:t>(hereinafter</w:t>
      </w:r>
      <w:r>
        <w:rPr>
          <w:spacing w:val="-17"/>
          <w:sz w:val="22"/>
        </w:rPr>
        <w:t> </w:t>
      </w:r>
      <w:r>
        <w:rPr>
          <w:sz w:val="22"/>
        </w:rPr>
        <w:t>referred</w:t>
      </w:r>
      <w:r>
        <w:rPr>
          <w:spacing w:val="-16"/>
          <w:sz w:val="22"/>
        </w:rPr>
        <w:t> </w:t>
      </w:r>
      <w:r>
        <w:rPr>
          <w:sz w:val="22"/>
        </w:rPr>
        <w:t>to</w:t>
      </w:r>
      <w:r>
        <w:rPr>
          <w:spacing w:val="-17"/>
          <w:sz w:val="22"/>
        </w:rPr>
        <w:t> </w:t>
      </w:r>
      <w:r>
        <w:rPr>
          <w:sz w:val="22"/>
        </w:rPr>
        <w:t>as</w:t>
      </w:r>
      <w:r>
        <w:rPr>
          <w:spacing w:val="-18"/>
          <w:sz w:val="22"/>
        </w:rPr>
        <w:t> </w:t>
      </w:r>
      <w:r>
        <w:rPr>
          <w:sz w:val="22"/>
        </w:rPr>
        <w:t>the</w:t>
      </w:r>
      <w:r>
        <w:rPr>
          <w:spacing w:val="-17"/>
          <w:sz w:val="22"/>
        </w:rPr>
        <w:t> </w:t>
      </w:r>
      <w:r>
        <w:rPr>
          <w:sz w:val="22"/>
        </w:rPr>
        <w:t>Valuer),</w:t>
      </w:r>
      <w:r>
        <w:rPr>
          <w:spacing w:val="-17"/>
          <w:sz w:val="22"/>
        </w:rPr>
        <w:t> </w:t>
      </w:r>
      <w:r>
        <w:rPr>
          <w:sz w:val="22"/>
        </w:rPr>
        <w:t>is</w:t>
      </w:r>
      <w:r>
        <w:rPr>
          <w:spacing w:val="-14"/>
          <w:sz w:val="22"/>
        </w:rPr>
        <w:t> </w:t>
      </w:r>
      <w:r>
        <w:rPr>
          <w:sz w:val="22"/>
        </w:rPr>
        <w:t>eligible</w:t>
      </w:r>
      <w:r>
        <w:rPr>
          <w:spacing w:val="-18"/>
          <w:sz w:val="22"/>
        </w:rPr>
        <w:t> </w:t>
      </w:r>
      <w:r>
        <w:rPr>
          <w:sz w:val="22"/>
        </w:rPr>
        <w:t>to</w:t>
      </w:r>
      <w:r>
        <w:rPr>
          <w:spacing w:val="-17"/>
          <w:sz w:val="22"/>
        </w:rPr>
        <w:t> </w:t>
      </w:r>
      <w:r>
        <w:rPr>
          <w:sz w:val="22"/>
        </w:rPr>
        <w:t>be</w:t>
      </w:r>
      <w:r>
        <w:rPr>
          <w:spacing w:val="-17"/>
          <w:sz w:val="22"/>
        </w:rPr>
        <w:t> </w:t>
      </w:r>
      <w:r>
        <w:rPr>
          <w:sz w:val="22"/>
        </w:rPr>
        <w:t>appointed</w:t>
      </w:r>
      <w:r>
        <w:rPr>
          <w:spacing w:val="-16"/>
          <w:sz w:val="22"/>
        </w:rPr>
        <w:t> </w:t>
      </w:r>
      <w:r>
        <w:rPr>
          <w:sz w:val="22"/>
        </w:rPr>
        <w:t>as</w:t>
      </w:r>
      <w:r>
        <w:rPr>
          <w:spacing w:val="-18"/>
          <w:sz w:val="22"/>
        </w:rPr>
        <w:t> </w:t>
      </w:r>
      <w:r>
        <w:rPr>
          <w:sz w:val="22"/>
        </w:rPr>
        <w:t>a</w:t>
      </w:r>
      <w:r>
        <w:rPr>
          <w:spacing w:val="-17"/>
          <w:sz w:val="22"/>
        </w:rPr>
        <w:t> </w:t>
      </w:r>
      <w:r>
        <w:rPr>
          <w:sz w:val="22"/>
        </w:rPr>
        <w:t>valuer</w:t>
      </w:r>
      <w:r>
        <w:rPr>
          <w:spacing w:val="-17"/>
          <w:sz w:val="22"/>
        </w:rPr>
        <w:t> </w:t>
      </w:r>
      <w:r>
        <w:rPr>
          <w:sz w:val="22"/>
        </w:rPr>
        <w:t>in</w:t>
      </w:r>
      <w:r>
        <w:rPr>
          <w:spacing w:val="-18"/>
          <w:sz w:val="22"/>
        </w:rPr>
        <w:t> </w:t>
      </w:r>
      <w:r>
        <w:rPr>
          <w:sz w:val="22"/>
        </w:rPr>
        <w:t>terms</w:t>
      </w:r>
      <w:r>
        <w:rPr>
          <w:spacing w:val="-17"/>
          <w:sz w:val="22"/>
        </w:rPr>
        <w:t> </w:t>
      </w:r>
      <w:r>
        <w:rPr>
          <w:sz w:val="22"/>
        </w:rPr>
        <w:t>of Regulation</w:t>
      </w:r>
      <w:r>
        <w:rPr>
          <w:spacing w:val="-31"/>
          <w:sz w:val="22"/>
        </w:rPr>
        <w:t> </w:t>
      </w:r>
      <w:r>
        <w:rPr>
          <w:sz w:val="22"/>
        </w:rPr>
        <w:t>2(1)(zz)</w:t>
      </w:r>
      <w:r>
        <w:rPr>
          <w:spacing w:val="-31"/>
          <w:sz w:val="22"/>
        </w:rPr>
        <w:t> </w:t>
      </w:r>
      <w:r>
        <w:rPr>
          <w:sz w:val="22"/>
        </w:rPr>
        <w:t>of</w:t>
      </w:r>
      <w:r>
        <w:rPr>
          <w:spacing w:val="-30"/>
          <w:sz w:val="22"/>
        </w:rPr>
        <w:t> </w:t>
      </w:r>
      <w:r>
        <w:rPr>
          <w:sz w:val="22"/>
        </w:rPr>
        <w:t>the</w:t>
      </w:r>
      <w:r>
        <w:rPr>
          <w:spacing w:val="-31"/>
          <w:sz w:val="22"/>
        </w:rPr>
        <w:t> </w:t>
      </w:r>
      <w:r>
        <w:rPr>
          <w:sz w:val="22"/>
        </w:rPr>
        <w:t>Securities</w:t>
      </w:r>
      <w:r>
        <w:rPr>
          <w:spacing w:val="-30"/>
          <w:sz w:val="22"/>
        </w:rPr>
        <w:t> </w:t>
      </w:r>
      <w:r>
        <w:rPr>
          <w:sz w:val="22"/>
        </w:rPr>
        <w:t>and</w:t>
      </w:r>
      <w:r>
        <w:rPr>
          <w:spacing w:val="-30"/>
          <w:sz w:val="22"/>
        </w:rPr>
        <w:t> </w:t>
      </w:r>
      <w:r>
        <w:rPr>
          <w:sz w:val="22"/>
        </w:rPr>
        <w:t>Exchange</w:t>
      </w:r>
      <w:r>
        <w:rPr>
          <w:spacing w:val="-31"/>
          <w:sz w:val="22"/>
        </w:rPr>
        <w:t> </w:t>
      </w:r>
      <w:r>
        <w:rPr>
          <w:sz w:val="22"/>
        </w:rPr>
        <w:t>Board</w:t>
      </w:r>
      <w:r>
        <w:rPr>
          <w:spacing w:val="-29"/>
          <w:sz w:val="22"/>
        </w:rPr>
        <w:t> </w:t>
      </w:r>
      <w:r>
        <w:rPr>
          <w:sz w:val="22"/>
        </w:rPr>
        <w:t>of</w:t>
      </w:r>
      <w:r>
        <w:rPr>
          <w:spacing w:val="-31"/>
          <w:sz w:val="22"/>
        </w:rPr>
        <w:t> </w:t>
      </w:r>
      <w:r>
        <w:rPr>
          <w:sz w:val="22"/>
        </w:rPr>
        <w:t>India</w:t>
      </w:r>
      <w:r>
        <w:rPr>
          <w:spacing w:val="-31"/>
          <w:sz w:val="22"/>
        </w:rPr>
        <w:t> </w:t>
      </w:r>
      <w:r>
        <w:rPr>
          <w:sz w:val="22"/>
        </w:rPr>
        <w:t>(Real</w:t>
      </w:r>
      <w:r>
        <w:rPr>
          <w:spacing w:val="-31"/>
          <w:sz w:val="22"/>
        </w:rPr>
        <w:t> </w:t>
      </w:r>
      <w:r>
        <w:rPr>
          <w:sz w:val="22"/>
        </w:rPr>
        <w:t>Estate</w:t>
      </w:r>
      <w:r>
        <w:rPr>
          <w:spacing w:val="-30"/>
          <w:sz w:val="22"/>
        </w:rPr>
        <w:t> </w:t>
      </w:r>
      <w:r>
        <w:rPr>
          <w:sz w:val="22"/>
        </w:rPr>
        <w:t>Investment</w:t>
      </w:r>
      <w:r>
        <w:rPr>
          <w:spacing w:val="-31"/>
          <w:sz w:val="22"/>
        </w:rPr>
        <w:t> </w:t>
      </w:r>
      <w:r>
        <w:rPr>
          <w:sz w:val="22"/>
        </w:rPr>
        <w:t>Trusts) Regulations,</w:t>
      </w:r>
      <w:r>
        <w:rPr>
          <w:spacing w:val="-2"/>
          <w:sz w:val="22"/>
        </w:rPr>
        <w:t> </w:t>
      </w:r>
      <w:r>
        <w:rPr>
          <w:sz w:val="22"/>
        </w:rPr>
        <w:t>2014</w:t>
      </w:r>
    </w:p>
    <w:p>
      <w:pPr>
        <w:pStyle w:val="BodyText"/>
        <w:spacing w:before="9"/>
        <w:rPr>
          <w:sz w:val="20"/>
        </w:rPr>
      </w:pPr>
    </w:p>
    <w:p>
      <w:pPr>
        <w:pStyle w:val="ListParagraph"/>
        <w:numPr>
          <w:ilvl w:val="2"/>
          <w:numId w:val="15"/>
        </w:numPr>
        <w:tabs>
          <w:tab w:pos="1541" w:val="left" w:leader="none"/>
        </w:tabs>
        <w:spacing w:line="321" w:lineRule="auto" w:before="0" w:after="0"/>
        <w:ind w:left="1540" w:right="632" w:hanging="360"/>
        <w:jc w:val="both"/>
        <w:rPr>
          <w:sz w:val="22"/>
        </w:rPr>
      </w:pPr>
      <w:r>
        <w:rPr>
          <w:sz w:val="22"/>
        </w:rPr>
        <w:t>Neither</w:t>
      </w:r>
      <w:r>
        <w:rPr>
          <w:spacing w:val="-15"/>
          <w:sz w:val="22"/>
        </w:rPr>
        <w:t> </w:t>
      </w:r>
      <w:r>
        <w:rPr>
          <w:sz w:val="22"/>
        </w:rPr>
        <w:t>CBRE</w:t>
      </w:r>
      <w:r>
        <w:rPr>
          <w:spacing w:val="-14"/>
          <w:sz w:val="22"/>
        </w:rPr>
        <w:t> </w:t>
      </w:r>
      <w:r>
        <w:rPr>
          <w:sz w:val="22"/>
        </w:rPr>
        <w:t>nor</w:t>
      </w:r>
      <w:r>
        <w:rPr>
          <w:spacing w:val="-14"/>
          <w:sz w:val="22"/>
        </w:rPr>
        <w:t> </w:t>
      </w:r>
      <w:r>
        <w:rPr>
          <w:sz w:val="22"/>
        </w:rPr>
        <w:t>iVAS</w:t>
      </w:r>
      <w:r>
        <w:rPr>
          <w:spacing w:val="-16"/>
          <w:sz w:val="22"/>
        </w:rPr>
        <w:t> </w:t>
      </w:r>
      <w:r>
        <w:rPr>
          <w:sz w:val="22"/>
        </w:rPr>
        <w:t>Partners</w:t>
      </w:r>
      <w:r>
        <w:rPr>
          <w:spacing w:val="-11"/>
          <w:sz w:val="22"/>
        </w:rPr>
        <w:t> </w:t>
      </w:r>
      <w:r>
        <w:rPr>
          <w:sz w:val="22"/>
        </w:rPr>
        <w:t>(represented</w:t>
      </w:r>
      <w:r>
        <w:rPr>
          <w:spacing w:val="-15"/>
          <w:sz w:val="22"/>
        </w:rPr>
        <w:t> </w:t>
      </w:r>
      <w:r>
        <w:rPr>
          <w:sz w:val="22"/>
        </w:rPr>
        <w:t>by</w:t>
      </w:r>
      <w:r>
        <w:rPr>
          <w:spacing w:val="-14"/>
          <w:sz w:val="22"/>
        </w:rPr>
        <w:t> </w:t>
      </w:r>
      <w:r>
        <w:rPr>
          <w:sz w:val="22"/>
        </w:rPr>
        <w:t>Mr.</w:t>
      </w:r>
      <w:r>
        <w:rPr>
          <w:spacing w:val="-14"/>
          <w:sz w:val="22"/>
        </w:rPr>
        <w:t> </w:t>
      </w:r>
      <w:r>
        <w:rPr>
          <w:sz w:val="22"/>
        </w:rPr>
        <w:t>Manish</w:t>
      </w:r>
      <w:r>
        <w:rPr>
          <w:spacing w:val="-14"/>
          <w:sz w:val="22"/>
        </w:rPr>
        <w:t> </w:t>
      </w:r>
      <w:r>
        <w:rPr>
          <w:sz w:val="22"/>
        </w:rPr>
        <w:t>Gupta</w:t>
      </w:r>
      <w:r>
        <w:rPr>
          <w:spacing w:val="-13"/>
          <w:sz w:val="22"/>
        </w:rPr>
        <w:t> </w:t>
      </w:r>
      <w:r>
        <w:rPr>
          <w:sz w:val="22"/>
        </w:rPr>
        <w:t>-</w:t>
      </w:r>
      <w:r>
        <w:rPr>
          <w:spacing w:val="-13"/>
          <w:sz w:val="22"/>
        </w:rPr>
        <w:t> </w:t>
      </w:r>
      <w:r>
        <w:rPr>
          <w:sz w:val="22"/>
        </w:rPr>
        <w:t>Partner,</w:t>
      </w:r>
      <w:r>
        <w:rPr>
          <w:spacing w:val="-13"/>
          <w:sz w:val="22"/>
        </w:rPr>
        <w:t> </w:t>
      </w:r>
      <w:r>
        <w:rPr>
          <w:sz w:val="22"/>
        </w:rPr>
        <w:t>iVAS</w:t>
      </w:r>
      <w:r>
        <w:rPr>
          <w:spacing w:val="-15"/>
          <w:sz w:val="22"/>
        </w:rPr>
        <w:t> </w:t>
      </w:r>
      <w:r>
        <w:rPr>
          <w:sz w:val="22"/>
        </w:rPr>
        <w:t>Partners)</w:t>
      </w:r>
      <w:r>
        <w:rPr>
          <w:spacing w:val="-12"/>
          <w:sz w:val="22"/>
        </w:rPr>
        <w:t> </w:t>
      </w:r>
      <w:r>
        <w:rPr>
          <w:sz w:val="22"/>
        </w:rPr>
        <w:t>are an associate of the instructing</w:t>
      </w:r>
      <w:r>
        <w:rPr>
          <w:spacing w:val="-20"/>
          <w:sz w:val="22"/>
        </w:rPr>
        <w:t> </w:t>
      </w:r>
      <w:r>
        <w:rPr>
          <w:sz w:val="22"/>
        </w:rPr>
        <w:t>party</w:t>
      </w:r>
    </w:p>
    <w:p>
      <w:pPr>
        <w:pStyle w:val="BodyText"/>
        <w:spacing w:before="9"/>
        <w:rPr>
          <w:sz w:val="20"/>
        </w:rPr>
      </w:pPr>
    </w:p>
    <w:p>
      <w:pPr>
        <w:pStyle w:val="ListParagraph"/>
        <w:numPr>
          <w:ilvl w:val="2"/>
          <w:numId w:val="15"/>
        </w:numPr>
        <w:tabs>
          <w:tab w:pos="1541" w:val="left" w:leader="none"/>
        </w:tabs>
        <w:spacing w:line="324" w:lineRule="auto" w:before="0" w:after="0"/>
        <w:ind w:left="1540" w:right="642" w:hanging="360"/>
        <w:jc w:val="both"/>
        <w:rPr>
          <w:sz w:val="22"/>
        </w:rPr>
      </w:pPr>
      <w:r>
        <w:rPr>
          <w:sz w:val="22"/>
        </w:rPr>
        <w:t>Mr.</w:t>
      </w:r>
      <w:r>
        <w:rPr>
          <w:spacing w:val="-27"/>
          <w:sz w:val="22"/>
        </w:rPr>
        <w:t> </w:t>
      </w:r>
      <w:r>
        <w:rPr>
          <w:sz w:val="22"/>
        </w:rPr>
        <w:t>Manish</w:t>
      </w:r>
      <w:r>
        <w:rPr>
          <w:spacing w:val="-27"/>
          <w:sz w:val="22"/>
        </w:rPr>
        <w:t> </w:t>
      </w:r>
      <w:r>
        <w:rPr>
          <w:sz w:val="22"/>
        </w:rPr>
        <w:t>Gupta,</w:t>
      </w:r>
      <w:r>
        <w:rPr>
          <w:spacing w:val="-27"/>
          <w:sz w:val="22"/>
        </w:rPr>
        <w:t> </w:t>
      </w:r>
      <w:r>
        <w:rPr>
          <w:sz w:val="22"/>
        </w:rPr>
        <w:t>Partner,</w:t>
      </w:r>
      <w:r>
        <w:rPr>
          <w:spacing w:val="-27"/>
          <w:sz w:val="22"/>
        </w:rPr>
        <w:t> </w:t>
      </w:r>
      <w:r>
        <w:rPr>
          <w:sz w:val="22"/>
        </w:rPr>
        <w:t>iVAS</w:t>
      </w:r>
      <w:r>
        <w:rPr>
          <w:spacing w:val="-27"/>
          <w:sz w:val="22"/>
        </w:rPr>
        <w:t> </w:t>
      </w:r>
      <w:r>
        <w:rPr>
          <w:sz w:val="22"/>
        </w:rPr>
        <w:t>Partners</w:t>
      </w:r>
      <w:r>
        <w:rPr>
          <w:spacing w:val="-27"/>
          <w:sz w:val="22"/>
        </w:rPr>
        <w:t> </w:t>
      </w:r>
      <w:r>
        <w:rPr>
          <w:sz w:val="22"/>
        </w:rPr>
        <w:t>(the</w:t>
      </w:r>
      <w:r>
        <w:rPr>
          <w:spacing w:val="-27"/>
          <w:sz w:val="22"/>
        </w:rPr>
        <w:t> </w:t>
      </w:r>
      <w:r>
        <w:rPr>
          <w:sz w:val="22"/>
        </w:rPr>
        <w:t>Valuer)</w:t>
      </w:r>
      <w:r>
        <w:rPr>
          <w:spacing w:val="-26"/>
          <w:sz w:val="22"/>
        </w:rPr>
        <w:t> </w:t>
      </w:r>
      <w:r>
        <w:rPr>
          <w:sz w:val="22"/>
        </w:rPr>
        <w:t>has</w:t>
      </w:r>
      <w:r>
        <w:rPr>
          <w:spacing w:val="-27"/>
          <w:sz w:val="22"/>
        </w:rPr>
        <w:t> </w:t>
      </w:r>
      <w:r>
        <w:rPr>
          <w:sz w:val="22"/>
        </w:rPr>
        <w:t>a</w:t>
      </w:r>
      <w:r>
        <w:rPr>
          <w:spacing w:val="-27"/>
          <w:sz w:val="22"/>
        </w:rPr>
        <w:t> </w:t>
      </w:r>
      <w:r>
        <w:rPr>
          <w:sz w:val="22"/>
        </w:rPr>
        <w:t>minimum</w:t>
      </w:r>
      <w:r>
        <w:rPr>
          <w:spacing w:val="-26"/>
          <w:sz w:val="22"/>
        </w:rPr>
        <w:t> </w:t>
      </w:r>
      <w:r>
        <w:rPr>
          <w:sz w:val="22"/>
        </w:rPr>
        <w:t>of</w:t>
      </w:r>
      <w:r>
        <w:rPr>
          <w:spacing w:val="-26"/>
          <w:sz w:val="22"/>
        </w:rPr>
        <w:t> </w:t>
      </w:r>
      <w:r>
        <w:rPr>
          <w:sz w:val="22"/>
        </w:rPr>
        <w:t>five</w:t>
      </w:r>
      <w:r>
        <w:rPr>
          <w:spacing w:val="-27"/>
          <w:sz w:val="22"/>
        </w:rPr>
        <w:t> </w:t>
      </w:r>
      <w:r>
        <w:rPr>
          <w:sz w:val="22"/>
        </w:rPr>
        <w:t>years</w:t>
      </w:r>
      <w:r>
        <w:rPr>
          <w:spacing w:val="-26"/>
          <w:sz w:val="22"/>
        </w:rPr>
        <w:t> </w:t>
      </w:r>
      <w:r>
        <w:rPr>
          <w:sz w:val="22"/>
        </w:rPr>
        <w:t>of</w:t>
      </w:r>
      <w:r>
        <w:rPr>
          <w:spacing w:val="-27"/>
          <w:sz w:val="22"/>
        </w:rPr>
        <w:t> </w:t>
      </w:r>
      <w:r>
        <w:rPr>
          <w:sz w:val="22"/>
        </w:rPr>
        <w:t>experience in the valuation of real</w:t>
      </w:r>
      <w:r>
        <w:rPr>
          <w:spacing w:val="-21"/>
          <w:sz w:val="22"/>
        </w:rPr>
        <w:t> </w:t>
      </w:r>
      <w:r>
        <w:rPr>
          <w:sz w:val="22"/>
        </w:rPr>
        <w:t>estate</w:t>
      </w:r>
    </w:p>
    <w:p>
      <w:pPr>
        <w:pStyle w:val="BodyText"/>
        <w:spacing w:before="3"/>
        <w:rPr>
          <w:sz w:val="20"/>
        </w:rPr>
      </w:pPr>
    </w:p>
    <w:p>
      <w:pPr>
        <w:pStyle w:val="ListParagraph"/>
        <w:numPr>
          <w:ilvl w:val="2"/>
          <w:numId w:val="15"/>
        </w:numPr>
        <w:tabs>
          <w:tab w:pos="1541" w:val="left" w:leader="none"/>
        </w:tabs>
        <w:spacing w:line="321" w:lineRule="auto" w:before="0" w:after="0"/>
        <w:ind w:left="1540" w:right="634" w:hanging="360"/>
        <w:jc w:val="both"/>
        <w:rPr>
          <w:sz w:val="22"/>
        </w:rPr>
      </w:pPr>
      <w:r>
        <w:rPr>
          <w:sz w:val="22"/>
        </w:rPr>
        <w:t>The</w:t>
      </w:r>
      <w:r>
        <w:rPr>
          <w:spacing w:val="-34"/>
          <w:sz w:val="22"/>
        </w:rPr>
        <w:t> </w:t>
      </w:r>
      <w:r>
        <w:rPr>
          <w:sz w:val="22"/>
        </w:rPr>
        <w:t>Valuer</w:t>
      </w:r>
      <w:r>
        <w:rPr>
          <w:spacing w:val="-33"/>
          <w:sz w:val="22"/>
        </w:rPr>
        <w:t> </w:t>
      </w:r>
      <w:r>
        <w:rPr>
          <w:sz w:val="22"/>
        </w:rPr>
        <w:t>has</w:t>
      </w:r>
      <w:r>
        <w:rPr>
          <w:spacing w:val="-33"/>
          <w:sz w:val="22"/>
        </w:rPr>
        <w:t> </w:t>
      </w:r>
      <w:r>
        <w:rPr>
          <w:sz w:val="22"/>
        </w:rPr>
        <w:t>not</w:t>
      </w:r>
      <w:r>
        <w:rPr>
          <w:spacing w:val="-33"/>
          <w:sz w:val="22"/>
        </w:rPr>
        <w:t> </w:t>
      </w:r>
      <w:r>
        <w:rPr>
          <w:sz w:val="22"/>
        </w:rPr>
        <w:t>been</w:t>
      </w:r>
      <w:r>
        <w:rPr>
          <w:spacing w:val="-34"/>
          <w:sz w:val="22"/>
        </w:rPr>
        <w:t> </w:t>
      </w:r>
      <w:r>
        <w:rPr>
          <w:sz w:val="22"/>
        </w:rPr>
        <w:t>involved</w:t>
      </w:r>
      <w:r>
        <w:rPr>
          <w:spacing w:val="-32"/>
          <w:sz w:val="22"/>
        </w:rPr>
        <w:t> </w:t>
      </w:r>
      <w:r>
        <w:rPr>
          <w:sz w:val="22"/>
        </w:rPr>
        <w:t>with</w:t>
      </w:r>
      <w:r>
        <w:rPr>
          <w:spacing w:val="-34"/>
          <w:sz w:val="22"/>
        </w:rPr>
        <w:t> </w:t>
      </w:r>
      <w:r>
        <w:rPr>
          <w:sz w:val="22"/>
        </w:rPr>
        <w:t>the</w:t>
      </w:r>
      <w:r>
        <w:rPr>
          <w:spacing w:val="-33"/>
          <w:sz w:val="22"/>
        </w:rPr>
        <w:t> </w:t>
      </w:r>
      <w:r>
        <w:rPr>
          <w:sz w:val="22"/>
        </w:rPr>
        <w:t>acquisition</w:t>
      </w:r>
      <w:r>
        <w:rPr>
          <w:spacing w:val="-33"/>
          <w:sz w:val="22"/>
        </w:rPr>
        <w:t> </w:t>
      </w:r>
      <w:r>
        <w:rPr>
          <w:sz w:val="22"/>
        </w:rPr>
        <w:t>or</w:t>
      </w:r>
      <w:r>
        <w:rPr>
          <w:spacing w:val="-33"/>
          <w:sz w:val="22"/>
        </w:rPr>
        <w:t> </w:t>
      </w:r>
      <w:r>
        <w:rPr>
          <w:sz w:val="22"/>
        </w:rPr>
        <w:t>disposal</w:t>
      </w:r>
      <w:r>
        <w:rPr>
          <w:spacing w:val="-35"/>
          <w:sz w:val="22"/>
        </w:rPr>
        <w:t> </w:t>
      </w:r>
      <w:r>
        <w:rPr>
          <w:sz w:val="22"/>
        </w:rPr>
        <w:t>within</w:t>
      </w:r>
      <w:r>
        <w:rPr>
          <w:spacing w:val="-33"/>
          <w:sz w:val="22"/>
        </w:rPr>
        <w:t> </w:t>
      </w:r>
      <w:r>
        <w:rPr>
          <w:sz w:val="22"/>
        </w:rPr>
        <w:t>the</w:t>
      </w:r>
      <w:r>
        <w:rPr>
          <w:spacing w:val="-34"/>
          <w:sz w:val="22"/>
        </w:rPr>
        <w:t> </w:t>
      </w:r>
      <w:r>
        <w:rPr>
          <w:sz w:val="22"/>
        </w:rPr>
        <w:t>last</w:t>
      </w:r>
      <w:r>
        <w:rPr>
          <w:spacing w:val="-30"/>
          <w:sz w:val="22"/>
        </w:rPr>
        <w:t> </w:t>
      </w:r>
      <w:r>
        <w:rPr>
          <w:sz w:val="22"/>
        </w:rPr>
        <w:t>twelve</w:t>
      </w:r>
      <w:r>
        <w:rPr>
          <w:spacing w:val="-33"/>
          <w:sz w:val="22"/>
        </w:rPr>
        <w:t> </w:t>
      </w:r>
      <w:r>
        <w:rPr>
          <w:sz w:val="22"/>
        </w:rPr>
        <w:t>months</w:t>
      </w:r>
      <w:r>
        <w:rPr>
          <w:spacing w:val="-34"/>
          <w:sz w:val="22"/>
        </w:rPr>
        <w:t> </w:t>
      </w:r>
      <w:r>
        <w:rPr>
          <w:sz w:val="22"/>
        </w:rPr>
        <w:t>of any</w:t>
      </w:r>
      <w:r>
        <w:rPr>
          <w:spacing w:val="-13"/>
          <w:sz w:val="22"/>
        </w:rPr>
        <w:t> </w:t>
      </w:r>
      <w:r>
        <w:rPr>
          <w:sz w:val="22"/>
        </w:rPr>
        <w:t>of</w:t>
      </w:r>
      <w:r>
        <w:rPr>
          <w:spacing w:val="-13"/>
          <w:sz w:val="22"/>
        </w:rPr>
        <w:t> </w:t>
      </w:r>
      <w:r>
        <w:rPr>
          <w:sz w:val="22"/>
        </w:rPr>
        <w:t>the</w:t>
      </w:r>
      <w:r>
        <w:rPr>
          <w:spacing w:val="-14"/>
          <w:sz w:val="22"/>
        </w:rPr>
        <w:t> </w:t>
      </w:r>
      <w:r>
        <w:rPr>
          <w:sz w:val="22"/>
        </w:rPr>
        <w:t>properties</w:t>
      </w:r>
      <w:r>
        <w:rPr>
          <w:spacing w:val="-13"/>
          <w:sz w:val="22"/>
        </w:rPr>
        <w:t> </w:t>
      </w:r>
      <w:r>
        <w:rPr>
          <w:sz w:val="22"/>
        </w:rPr>
        <w:t>valued</w:t>
      </w:r>
      <w:r>
        <w:rPr>
          <w:spacing w:val="-12"/>
          <w:sz w:val="22"/>
        </w:rPr>
        <w:t> </w:t>
      </w:r>
      <w:r>
        <w:rPr>
          <w:sz w:val="22"/>
        </w:rPr>
        <w:t>under</w:t>
      </w:r>
      <w:r>
        <w:rPr>
          <w:spacing w:val="-15"/>
          <w:sz w:val="22"/>
        </w:rPr>
        <w:t> </w:t>
      </w:r>
      <w:r>
        <w:rPr>
          <w:sz w:val="22"/>
        </w:rPr>
        <w:t>this</w:t>
      </w:r>
      <w:r>
        <w:rPr>
          <w:spacing w:val="-12"/>
          <w:sz w:val="22"/>
        </w:rPr>
        <w:t> </w:t>
      </w:r>
      <w:r>
        <w:rPr>
          <w:sz w:val="22"/>
        </w:rPr>
        <w:t>valuation</w:t>
      </w:r>
      <w:r>
        <w:rPr>
          <w:spacing w:val="-14"/>
          <w:sz w:val="22"/>
        </w:rPr>
        <w:t> </w:t>
      </w:r>
      <w:r>
        <w:rPr>
          <w:sz w:val="22"/>
        </w:rPr>
        <w:t>report</w:t>
      </w:r>
      <w:r>
        <w:rPr>
          <w:spacing w:val="-14"/>
          <w:sz w:val="22"/>
        </w:rPr>
        <w:t> </w:t>
      </w:r>
      <w:r>
        <w:rPr>
          <w:sz w:val="22"/>
        </w:rPr>
        <w:t>in</w:t>
      </w:r>
      <w:r>
        <w:rPr>
          <w:spacing w:val="-14"/>
          <w:sz w:val="22"/>
        </w:rPr>
        <w:t> </w:t>
      </w:r>
      <w:r>
        <w:rPr>
          <w:sz w:val="22"/>
        </w:rPr>
        <w:t>the</w:t>
      </w:r>
      <w:r>
        <w:rPr>
          <w:spacing w:val="-14"/>
          <w:sz w:val="22"/>
        </w:rPr>
        <w:t> </w:t>
      </w:r>
      <w:r>
        <w:rPr>
          <w:sz w:val="22"/>
        </w:rPr>
        <w:t>last</w:t>
      </w:r>
      <w:r>
        <w:rPr>
          <w:spacing w:val="-14"/>
          <w:sz w:val="22"/>
        </w:rPr>
        <w:t> </w:t>
      </w:r>
      <w:r>
        <w:rPr>
          <w:sz w:val="22"/>
        </w:rPr>
        <w:t>twelve</w:t>
      </w:r>
      <w:r>
        <w:rPr>
          <w:spacing w:val="-13"/>
          <w:sz w:val="22"/>
        </w:rPr>
        <w:t> </w:t>
      </w:r>
      <w:r>
        <w:rPr>
          <w:sz w:val="22"/>
        </w:rPr>
        <w:t>months</w:t>
      </w:r>
    </w:p>
    <w:p>
      <w:pPr>
        <w:pStyle w:val="BodyText"/>
        <w:spacing w:before="9"/>
        <w:rPr>
          <w:sz w:val="20"/>
        </w:rPr>
      </w:pPr>
    </w:p>
    <w:p>
      <w:pPr>
        <w:pStyle w:val="ListParagraph"/>
        <w:numPr>
          <w:ilvl w:val="2"/>
          <w:numId w:val="15"/>
        </w:numPr>
        <w:tabs>
          <w:tab w:pos="1541" w:val="left" w:leader="none"/>
        </w:tabs>
        <w:spacing w:line="321" w:lineRule="auto" w:before="1" w:after="0"/>
        <w:ind w:left="1540" w:right="640" w:hanging="360"/>
        <w:jc w:val="both"/>
        <w:rPr>
          <w:sz w:val="22"/>
        </w:rPr>
      </w:pPr>
      <w:r>
        <w:rPr>
          <w:sz w:val="22"/>
        </w:rPr>
        <w:t>The Valuer has adequate and robust internal controls to ensure the integrity of the valuation reports</w:t>
      </w:r>
    </w:p>
    <w:p>
      <w:pPr>
        <w:pStyle w:val="BodyText"/>
        <w:spacing w:before="9"/>
        <w:rPr>
          <w:sz w:val="20"/>
        </w:rPr>
      </w:pPr>
    </w:p>
    <w:p>
      <w:pPr>
        <w:pStyle w:val="ListParagraph"/>
        <w:numPr>
          <w:ilvl w:val="2"/>
          <w:numId w:val="15"/>
        </w:numPr>
        <w:tabs>
          <w:tab w:pos="1541" w:val="left" w:leader="none"/>
        </w:tabs>
        <w:spacing w:line="321" w:lineRule="auto" w:before="0" w:after="0"/>
        <w:ind w:left="1540" w:right="636" w:hanging="360"/>
        <w:jc w:val="both"/>
        <w:rPr>
          <w:sz w:val="22"/>
        </w:rPr>
      </w:pPr>
      <w:r>
        <w:rPr>
          <w:sz w:val="22"/>
        </w:rPr>
        <w:t>The</w:t>
      </w:r>
      <w:r>
        <w:rPr>
          <w:spacing w:val="-19"/>
          <w:sz w:val="22"/>
        </w:rPr>
        <w:t> </w:t>
      </w:r>
      <w:r>
        <w:rPr>
          <w:sz w:val="22"/>
        </w:rPr>
        <w:t>Valuer</w:t>
      </w:r>
      <w:r>
        <w:rPr>
          <w:spacing w:val="-18"/>
          <w:sz w:val="22"/>
        </w:rPr>
        <w:t> </w:t>
      </w:r>
      <w:r>
        <w:rPr>
          <w:sz w:val="22"/>
        </w:rPr>
        <w:t>has</w:t>
      </w:r>
      <w:r>
        <w:rPr>
          <w:spacing w:val="-19"/>
          <w:sz w:val="22"/>
        </w:rPr>
        <w:t> </w:t>
      </w:r>
      <w:r>
        <w:rPr>
          <w:sz w:val="22"/>
        </w:rPr>
        <w:t>sufficient</w:t>
      </w:r>
      <w:r>
        <w:rPr>
          <w:spacing w:val="-18"/>
          <w:sz w:val="22"/>
        </w:rPr>
        <w:t> </w:t>
      </w:r>
      <w:r>
        <w:rPr>
          <w:sz w:val="22"/>
        </w:rPr>
        <w:t>key</w:t>
      </w:r>
      <w:r>
        <w:rPr>
          <w:spacing w:val="-18"/>
          <w:sz w:val="22"/>
        </w:rPr>
        <w:t> </w:t>
      </w:r>
      <w:r>
        <w:rPr>
          <w:sz w:val="22"/>
        </w:rPr>
        <w:t>personnel</w:t>
      </w:r>
      <w:r>
        <w:rPr>
          <w:spacing w:val="-20"/>
          <w:sz w:val="22"/>
        </w:rPr>
        <w:t> </w:t>
      </w:r>
      <w:r>
        <w:rPr>
          <w:sz w:val="22"/>
        </w:rPr>
        <w:t>with</w:t>
      </w:r>
      <w:r>
        <w:rPr>
          <w:spacing w:val="-18"/>
          <w:sz w:val="22"/>
        </w:rPr>
        <w:t> </w:t>
      </w:r>
      <w:r>
        <w:rPr>
          <w:sz w:val="22"/>
        </w:rPr>
        <w:t>adequate</w:t>
      </w:r>
      <w:r>
        <w:rPr>
          <w:spacing w:val="-18"/>
          <w:sz w:val="22"/>
        </w:rPr>
        <w:t> </w:t>
      </w:r>
      <w:r>
        <w:rPr>
          <w:sz w:val="22"/>
        </w:rPr>
        <w:t>experience</w:t>
      </w:r>
      <w:r>
        <w:rPr>
          <w:spacing w:val="-18"/>
          <w:sz w:val="22"/>
        </w:rPr>
        <w:t> </w:t>
      </w:r>
      <w:r>
        <w:rPr>
          <w:sz w:val="22"/>
        </w:rPr>
        <w:t>and</w:t>
      </w:r>
      <w:r>
        <w:rPr>
          <w:spacing w:val="-18"/>
          <w:sz w:val="22"/>
        </w:rPr>
        <w:t> </w:t>
      </w:r>
      <w:r>
        <w:rPr>
          <w:sz w:val="22"/>
        </w:rPr>
        <w:t>qualification</w:t>
      </w:r>
      <w:r>
        <w:rPr>
          <w:spacing w:val="-19"/>
          <w:sz w:val="22"/>
        </w:rPr>
        <w:t> </w:t>
      </w:r>
      <w:r>
        <w:rPr>
          <w:sz w:val="22"/>
        </w:rPr>
        <w:t>to</w:t>
      </w:r>
      <w:r>
        <w:rPr>
          <w:spacing w:val="-18"/>
          <w:sz w:val="22"/>
        </w:rPr>
        <w:t> </w:t>
      </w:r>
      <w:r>
        <w:rPr>
          <w:sz w:val="22"/>
        </w:rPr>
        <w:t>perform services related to property valuation at all</w:t>
      </w:r>
      <w:r>
        <w:rPr>
          <w:spacing w:val="-40"/>
          <w:sz w:val="22"/>
        </w:rPr>
        <w:t> </w:t>
      </w:r>
      <w:r>
        <w:rPr>
          <w:sz w:val="22"/>
        </w:rPr>
        <w:t>times</w:t>
      </w:r>
    </w:p>
    <w:p>
      <w:pPr>
        <w:pStyle w:val="BodyText"/>
        <w:spacing w:before="10"/>
        <w:rPr>
          <w:sz w:val="20"/>
        </w:rPr>
      </w:pPr>
    </w:p>
    <w:p>
      <w:pPr>
        <w:pStyle w:val="ListParagraph"/>
        <w:numPr>
          <w:ilvl w:val="2"/>
          <w:numId w:val="15"/>
        </w:numPr>
        <w:tabs>
          <w:tab w:pos="1541" w:val="left" w:leader="none"/>
        </w:tabs>
        <w:spacing w:line="319" w:lineRule="auto" w:before="0" w:after="0"/>
        <w:ind w:left="1540" w:right="637" w:hanging="360"/>
        <w:jc w:val="both"/>
        <w:rPr>
          <w:sz w:val="22"/>
        </w:rPr>
      </w:pPr>
      <w:r>
        <w:rPr>
          <w:sz w:val="22"/>
        </w:rPr>
        <w:t>The</w:t>
      </w:r>
      <w:r>
        <w:rPr>
          <w:spacing w:val="-35"/>
          <w:sz w:val="22"/>
        </w:rPr>
        <w:t> </w:t>
      </w:r>
      <w:r>
        <w:rPr>
          <w:sz w:val="22"/>
        </w:rPr>
        <w:t>Valuer</w:t>
      </w:r>
      <w:r>
        <w:rPr>
          <w:spacing w:val="-33"/>
          <w:sz w:val="22"/>
        </w:rPr>
        <w:t> </w:t>
      </w:r>
      <w:r>
        <w:rPr>
          <w:sz w:val="22"/>
        </w:rPr>
        <w:t>has</w:t>
      </w:r>
      <w:r>
        <w:rPr>
          <w:spacing w:val="-35"/>
          <w:sz w:val="22"/>
        </w:rPr>
        <w:t> </w:t>
      </w:r>
      <w:r>
        <w:rPr>
          <w:sz w:val="22"/>
        </w:rPr>
        <w:t>sufficient</w:t>
      </w:r>
      <w:r>
        <w:rPr>
          <w:spacing w:val="-33"/>
          <w:sz w:val="22"/>
        </w:rPr>
        <w:t> </w:t>
      </w:r>
      <w:r>
        <w:rPr>
          <w:sz w:val="22"/>
        </w:rPr>
        <w:t>financial</w:t>
      </w:r>
      <w:r>
        <w:rPr>
          <w:spacing w:val="-34"/>
          <w:sz w:val="22"/>
        </w:rPr>
        <w:t> </w:t>
      </w:r>
      <w:r>
        <w:rPr>
          <w:sz w:val="22"/>
        </w:rPr>
        <w:t>resources</w:t>
      </w:r>
      <w:r>
        <w:rPr>
          <w:spacing w:val="-34"/>
          <w:sz w:val="22"/>
        </w:rPr>
        <w:t> </w:t>
      </w:r>
      <w:r>
        <w:rPr>
          <w:sz w:val="22"/>
        </w:rPr>
        <w:t>to</w:t>
      </w:r>
      <w:r>
        <w:rPr>
          <w:spacing w:val="-33"/>
          <w:sz w:val="22"/>
        </w:rPr>
        <w:t> </w:t>
      </w:r>
      <w:r>
        <w:rPr>
          <w:sz w:val="22"/>
        </w:rPr>
        <w:t>enable</w:t>
      </w:r>
      <w:r>
        <w:rPr>
          <w:spacing w:val="-35"/>
          <w:sz w:val="22"/>
        </w:rPr>
        <w:t> </w:t>
      </w:r>
      <w:r>
        <w:rPr>
          <w:sz w:val="22"/>
        </w:rPr>
        <w:t>them</w:t>
      </w:r>
      <w:r>
        <w:rPr>
          <w:spacing w:val="-33"/>
          <w:sz w:val="22"/>
        </w:rPr>
        <w:t> </w:t>
      </w:r>
      <w:r>
        <w:rPr>
          <w:sz w:val="22"/>
        </w:rPr>
        <w:t>to</w:t>
      </w:r>
      <w:r>
        <w:rPr>
          <w:spacing w:val="-35"/>
          <w:sz w:val="22"/>
        </w:rPr>
        <w:t> </w:t>
      </w:r>
      <w:r>
        <w:rPr>
          <w:sz w:val="22"/>
        </w:rPr>
        <w:t>conduct</w:t>
      </w:r>
      <w:r>
        <w:rPr>
          <w:spacing w:val="-34"/>
          <w:sz w:val="22"/>
        </w:rPr>
        <w:t> </w:t>
      </w:r>
      <w:r>
        <w:rPr>
          <w:sz w:val="22"/>
        </w:rPr>
        <w:t>their</w:t>
      </w:r>
      <w:r>
        <w:rPr>
          <w:spacing w:val="-34"/>
          <w:sz w:val="22"/>
        </w:rPr>
        <w:t> </w:t>
      </w:r>
      <w:r>
        <w:rPr>
          <w:sz w:val="22"/>
        </w:rPr>
        <w:t>business</w:t>
      </w:r>
      <w:r>
        <w:rPr>
          <w:spacing w:val="-34"/>
          <w:sz w:val="22"/>
        </w:rPr>
        <w:t> </w:t>
      </w:r>
      <w:r>
        <w:rPr>
          <w:sz w:val="22"/>
        </w:rPr>
        <w:t>effectively and meet their</w:t>
      </w:r>
      <w:r>
        <w:rPr>
          <w:spacing w:val="-12"/>
          <w:sz w:val="22"/>
        </w:rPr>
        <w:t> </w:t>
      </w:r>
      <w:r>
        <w:rPr>
          <w:sz w:val="22"/>
        </w:rPr>
        <w:t>liabilities</w:t>
      </w:r>
    </w:p>
    <w:p>
      <w:pPr>
        <w:spacing w:after="0" w:line="319" w:lineRule="auto"/>
        <w:jc w:val="both"/>
        <w:rPr>
          <w:sz w:val="22"/>
        </w:rPr>
        <w:sectPr>
          <w:pgSz w:w="11910" w:h="16840"/>
          <w:pgMar w:header="720" w:footer="842" w:top="1520" w:bottom="1040" w:left="440" w:right="80"/>
        </w:sectPr>
      </w:pPr>
    </w:p>
    <w:p>
      <w:pPr>
        <w:pStyle w:val="BodyText"/>
        <w:spacing w:before="5"/>
      </w:pPr>
    </w:p>
    <w:p>
      <w:pPr>
        <w:pStyle w:val="ListParagraph"/>
        <w:numPr>
          <w:ilvl w:val="2"/>
          <w:numId w:val="15"/>
        </w:numPr>
        <w:tabs>
          <w:tab w:pos="1540" w:val="left" w:leader="none"/>
          <w:tab w:pos="1541" w:val="left" w:leader="none"/>
        </w:tabs>
        <w:spacing w:line="240" w:lineRule="auto" w:before="106" w:after="0"/>
        <w:ind w:left="1540" w:right="0" w:hanging="361"/>
        <w:jc w:val="left"/>
        <w:rPr>
          <w:sz w:val="22"/>
        </w:rPr>
      </w:pPr>
      <w:r>
        <w:rPr>
          <w:sz w:val="22"/>
        </w:rPr>
        <w:t>The</w:t>
      </w:r>
      <w:r>
        <w:rPr>
          <w:spacing w:val="-13"/>
          <w:sz w:val="22"/>
        </w:rPr>
        <w:t> </w:t>
      </w:r>
      <w:r>
        <w:rPr>
          <w:sz w:val="22"/>
        </w:rPr>
        <w:t>Valuer</w:t>
      </w:r>
      <w:r>
        <w:rPr>
          <w:spacing w:val="-13"/>
          <w:sz w:val="22"/>
        </w:rPr>
        <w:t> </w:t>
      </w:r>
      <w:r>
        <w:rPr>
          <w:sz w:val="22"/>
        </w:rPr>
        <w:t>has</w:t>
      </w:r>
      <w:r>
        <w:rPr>
          <w:spacing w:val="-11"/>
          <w:sz w:val="22"/>
        </w:rPr>
        <w:t> </w:t>
      </w:r>
      <w:r>
        <w:rPr>
          <w:sz w:val="22"/>
        </w:rPr>
        <w:t>acquainted</w:t>
      </w:r>
      <w:r>
        <w:rPr>
          <w:spacing w:val="-12"/>
          <w:sz w:val="22"/>
        </w:rPr>
        <w:t> </w:t>
      </w:r>
      <w:r>
        <w:rPr>
          <w:sz w:val="22"/>
        </w:rPr>
        <w:t>itself</w:t>
      </w:r>
      <w:r>
        <w:rPr>
          <w:spacing w:val="-14"/>
          <w:sz w:val="22"/>
        </w:rPr>
        <w:t> </w:t>
      </w:r>
      <w:r>
        <w:rPr>
          <w:sz w:val="22"/>
        </w:rPr>
        <w:t>with</w:t>
      </w:r>
      <w:r>
        <w:rPr>
          <w:spacing w:val="-13"/>
          <w:sz w:val="22"/>
        </w:rPr>
        <w:t> </w:t>
      </w:r>
      <w:r>
        <w:rPr>
          <w:sz w:val="22"/>
        </w:rPr>
        <w:t>all</w:t>
      </w:r>
      <w:r>
        <w:rPr>
          <w:spacing w:val="-13"/>
          <w:sz w:val="22"/>
        </w:rPr>
        <w:t> </w:t>
      </w:r>
      <w:r>
        <w:rPr>
          <w:sz w:val="22"/>
        </w:rPr>
        <w:t>laws</w:t>
      </w:r>
      <w:r>
        <w:rPr>
          <w:spacing w:val="-11"/>
          <w:sz w:val="22"/>
        </w:rPr>
        <w:t> </w:t>
      </w:r>
      <w:r>
        <w:rPr>
          <w:sz w:val="22"/>
        </w:rPr>
        <w:t>or</w:t>
      </w:r>
      <w:r>
        <w:rPr>
          <w:spacing w:val="-12"/>
          <w:sz w:val="22"/>
        </w:rPr>
        <w:t> </w:t>
      </w:r>
      <w:r>
        <w:rPr>
          <w:sz w:val="22"/>
        </w:rPr>
        <w:t>regulations</w:t>
      </w:r>
      <w:r>
        <w:rPr>
          <w:spacing w:val="-11"/>
          <w:sz w:val="22"/>
        </w:rPr>
        <w:t> </w:t>
      </w:r>
      <w:r>
        <w:rPr>
          <w:sz w:val="22"/>
        </w:rPr>
        <w:t>relevant</w:t>
      </w:r>
      <w:r>
        <w:rPr>
          <w:spacing w:val="-12"/>
          <w:sz w:val="22"/>
        </w:rPr>
        <w:t> </w:t>
      </w:r>
      <w:r>
        <w:rPr>
          <w:sz w:val="22"/>
        </w:rPr>
        <w:t>to</w:t>
      </w:r>
      <w:r>
        <w:rPr>
          <w:spacing w:val="-12"/>
          <w:sz w:val="22"/>
        </w:rPr>
        <w:t> </w:t>
      </w:r>
      <w:r>
        <w:rPr>
          <w:sz w:val="22"/>
        </w:rPr>
        <w:t>such</w:t>
      </w:r>
      <w:r>
        <w:rPr>
          <w:spacing w:val="-13"/>
          <w:sz w:val="22"/>
        </w:rPr>
        <w:t> </w:t>
      </w:r>
      <w:r>
        <w:rPr>
          <w:sz w:val="22"/>
        </w:rPr>
        <w:t>valuation</w:t>
      </w:r>
    </w:p>
    <w:p>
      <w:pPr>
        <w:pStyle w:val="BodyText"/>
        <w:spacing w:before="3"/>
        <w:rPr>
          <w:sz w:val="28"/>
        </w:rPr>
      </w:pPr>
    </w:p>
    <w:p>
      <w:pPr>
        <w:pStyle w:val="ListParagraph"/>
        <w:numPr>
          <w:ilvl w:val="2"/>
          <w:numId w:val="15"/>
        </w:numPr>
        <w:tabs>
          <w:tab w:pos="1541" w:val="left" w:leader="none"/>
        </w:tabs>
        <w:spacing w:line="321" w:lineRule="auto" w:before="0" w:after="0"/>
        <w:ind w:left="1540" w:right="636" w:hanging="360"/>
        <w:jc w:val="both"/>
        <w:rPr>
          <w:sz w:val="22"/>
        </w:rPr>
      </w:pPr>
      <w:r>
        <w:rPr>
          <w:sz w:val="22"/>
        </w:rPr>
        <w:t>The</w:t>
      </w:r>
      <w:r>
        <w:rPr>
          <w:spacing w:val="-43"/>
          <w:sz w:val="22"/>
        </w:rPr>
        <w:t> </w:t>
      </w:r>
      <w:r>
        <w:rPr>
          <w:sz w:val="22"/>
        </w:rPr>
        <w:t>valuation</w:t>
      </w:r>
      <w:r>
        <w:rPr>
          <w:spacing w:val="-42"/>
          <w:sz w:val="22"/>
        </w:rPr>
        <w:t> </w:t>
      </w:r>
      <w:r>
        <w:rPr>
          <w:sz w:val="22"/>
        </w:rPr>
        <w:t>of</w:t>
      </w:r>
      <w:r>
        <w:rPr>
          <w:spacing w:val="-41"/>
          <w:sz w:val="22"/>
        </w:rPr>
        <w:t> </w:t>
      </w:r>
      <w:r>
        <w:rPr>
          <w:sz w:val="22"/>
        </w:rPr>
        <w:t>assets</w:t>
      </w:r>
      <w:r>
        <w:rPr>
          <w:spacing w:val="-42"/>
          <w:sz w:val="22"/>
        </w:rPr>
        <w:t> </w:t>
      </w:r>
      <w:r>
        <w:rPr>
          <w:sz w:val="22"/>
        </w:rPr>
        <w:t>undertaken</w:t>
      </w:r>
      <w:r>
        <w:rPr>
          <w:spacing w:val="-42"/>
          <w:sz w:val="22"/>
        </w:rPr>
        <w:t> </w:t>
      </w:r>
      <w:r>
        <w:rPr>
          <w:sz w:val="22"/>
        </w:rPr>
        <w:t>is</w:t>
      </w:r>
      <w:r>
        <w:rPr>
          <w:spacing w:val="-42"/>
          <w:sz w:val="22"/>
        </w:rPr>
        <w:t> </w:t>
      </w:r>
      <w:r>
        <w:rPr>
          <w:sz w:val="22"/>
        </w:rPr>
        <w:t>impartial,</w:t>
      </w:r>
      <w:r>
        <w:rPr>
          <w:spacing w:val="-42"/>
          <w:sz w:val="22"/>
        </w:rPr>
        <w:t> </w:t>
      </w:r>
      <w:r>
        <w:rPr>
          <w:sz w:val="22"/>
        </w:rPr>
        <w:t>true</w:t>
      </w:r>
      <w:r>
        <w:rPr>
          <w:spacing w:val="-42"/>
          <w:sz w:val="22"/>
        </w:rPr>
        <w:t> </w:t>
      </w:r>
      <w:r>
        <w:rPr>
          <w:sz w:val="22"/>
        </w:rPr>
        <w:t>and</w:t>
      </w:r>
      <w:r>
        <w:rPr>
          <w:spacing w:val="-42"/>
          <w:sz w:val="22"/>
        </w:rPr>
        <w:t> </w:t>
      </w:r>
      <w:r>
        <w:rPr>
          <w:sz w:val="22"/>
        </w:rPr>
        <w:t>fair</w:t>
      </w:r>
      <w:r>
        <w:rPr>
          <w:spacing w:val="-42"/>
          <w:sz w:val="22"/>
        </w:rPr>
        <w:t> </w:t>
      </w:r>
      <w:r>
        <w:rPr>
          <w:sz w:val="22"/>
        </w:rPr>
        <w:t>and</w:t>
      </w:r>
      <w:r>
        <w:rPr>
          <w:spacing w:val="-42"/>
          <w:sz w:val="22"/>
        </w:rPr>
        <w:t> </w:t>
      </w:r>
      <w:r>
        <w:rPr>
          <w:sz w:val="22"/>
        </w:rPr>
        <w:t>in</w:t>
      </w:r>
      <w:r>
        <w:rPr>
          <w:spacing w:val="-42"/>
          <w:sz w:val="22"/>
        </w:rPr>
        <w:t> </w:t>
      </w:r>
      <w:r>
        <w:rPr>
          <w:sz w:val="22"/>
        </w:rPr>
        <w:t>accordance</w:t>
      </w:r>
      <w:r>
        <w:rPr>
          <w:spacing w:val="-42"/>
          <w:sz w:val="22"/>
        </w:rPr>
        <w:t> </w:t>
      </w:r>
      <w:r>
        <w:rPr>
          <w:sz w:val="22"/>
        </w:rPr>
        <w:t>with</w:t>
      </w:r>
      <w:r>
        <w:rPr>
          <w:spacing w:val="-43"/>
          <w:sz w:val="22"/>
        </w:rPr>
        <w:t> </w:t>
      </w:r>
      <w:r>
        <w:rPr>
          <w:sz w:val="22"/>
        </w:rPr>
        <w:t>the</w:t>
      </w:r>
      <w:r>
        <w:rPr>
          <w:spacing w:val="-42"/>
          <w:sz w:val="22"/>
        </w:rPr>
        <w:t> </w:t>
      </w:r>
      <w:r>
        <w:rPr>
          <w:sz w:val="22"/>
        </w:rPr>
        <w:t>Securities and</w:t>
      </w:r>
      <w:r>
        <w:rPr>
          <w:spacing w:val="-9"/>
          <w:sz w:val="22"/>
        </w:rPr>
        <w:t> </w:t>
      </w:r>
      <w:r>
        <w:rPr>
          <w:sz w:val="22"/>
        </w:rPr>
        <w:t>Exchange</w:t>
      </w:r>
      <w:r>
        <w:rPr>
          <w:spacing w:val="-9"/>
          <w:sz w:val="22"/>
        </w:rPr>
        <w:t> </w:t>
      </w:r>
      <w:r>
        <w:rPr>
          <w:sz w:val="22"/>
        </w:rPr>
        <w:t>Board</w:t>
      </w:r>
      <w:r>
        <w:rPr>
          <w:spacing w:val="-8"/>
          <w:sz w:val="22"/>
        </w:rPr>
        <w:t> </w:t>
      </w:r>
      <w:r>
        <w:rPr>
          <w:sz w:val="22"/>
        </w:rPr>
        <w:t>of</w:t>
      </w:r>
      <w:r>
        <w:rPr>
          <w:spacing w:val="-8"/>
          <w:sz w:val="22"/>
        </w:rPr>
        <w:t> </w:t>
      </w:r>
      <w:r>
        <w:rPr>
          <w:sz w:val="22"/>
        </w:rPr>
        <w:t>India</w:t>
      </w:r>
      <w:r>
        <w:rPr>
          <w:spacing w:val="-9"/>
          <w:sz w:val="22"/>
        </w:rPr>
        <w:t> </w:t>
      </w:r>
      <w:r>
        <w:rPr>
          <w:sz w:val="22"/>
        </w:rPr>
        <w:t>(Real</w:t>
      </w:r>
      <w:r>
        <w:rPr>
          <w:spacing w:val="-10"/>
          <w:sz w:val="22"/>
        </w:rPr>
        <w:t> </w:t>
      </w:r>
      <w:r>
        <w:rPr>
          <w:sz w:val="22"/>
        </w:rPr>
        <w:t>Estate</w:t>
      </w:r>
      <w:r>
        <w:rPr>
          <w:spacing w:val="-11"/>
          <w:sz w:val="22"/>
        </w:rPr>
        <w:t> </w:t>
      </w:r>
      <w:r>
        <w:rPr>
          <w:sz w:val="22"/>
        </w:rPr>
        <w:t>Investment</w:t>
      </w:r>
      <w:r>
        <w:rPr>
          <w:spacing w:val="-9"/>
          <w:sz w:val="22"/>
        </w:rPr>
        <w:t> </w:t>
      </w:r>
      <w:r>
        <w:rPr>
          <w:sz w:val="22"/>
        </w:rPr>
        <w:t>Trusts)</w:t>
      </w:r>
      <w:r>
        <w:rPr>
          <w:spacing w:val="-8"/>
          <w:sz w:val="22"/>
        </w:rPr>
        <w:t> </w:t>
      </w:r>
      <w:r>
        <w:rPr>
          <w:sz w:val="22"/>
        </w:rPr>
        <w:t>Regulations,</w:t>
      </w:r>
      <w:r>
        <w:rPr>
          <w:spacing w:val="-8"/>
          <w:sz w:val="22"/>
        </w:rPr>
        <w:t> </w:t>
      </w:r>
      <w:r>
        <w:rPr>
          <w:sz w:val="22"/>
        </w:rPr>
        <w:t>2014</w:t>
      </w:r>
    </w:p>
    <w:p>
      <w:pPr>
        <w:pStyle w:val="BodyText"/>
        <w:spacing w:before="7"/>
        <w:rPr>
          <w:sz w:val="20"/>
        </w:rPr>
      </w:pPr>
    </w:p>
    <w:p>
      <w:pPr>
        <w:pStyle w:val="ListParagraph"/>
        <w:numPr>
          <w:ilvl w:val="2"/>
          <w:numId w:val="15"/>
        </w:numPr>
        <w:tabs>
          <w:tab w:pos="1541" w:val="left" w:leader="none"/>
        </w:tabs>
        <w:spacing w:line="321" w:lineRule="auto" w:before="0" w:after="0"/>
        <w:ind w:left="1540" w:right="636" w:hanging="360"/>
        <w:jc w:val="both"/>
        <w:rPr>
          <w:sz w:val="22"/>
        </w:rPr>
      </w:pPr>
      <w:r>
        <w:rPr>
          <w:sz w:val="22"/>
        </w:rPr>
        <w:t>The</w:t>
      </w:r>
      <w:r>
        <w:rPr>
          <w:spacing w:val="-28"/>
          <w:sz w:val="22"/>
        </w:rPr>
        <w:t> </w:t>
      </w:r>
      <w:r>
        <w:rPr>
          <w:sz w:val="22"/>
        </w:rPr>
        <w:t>Valuer</w:t>
      </w:r>
      <w:r>
        <w:rPr>
          <w:spacing w:val="-25"/>
          <w:sz w:val="22"/>
        </w:rPr>
        <w:t> </w:t>
      </w:r>
      <w:r>
        <w:rPr>
          <w:sz w:val="22"/>
        </w:rPr>
        <w:t>and</w:t>
      </w:r>
      <w:r>
        <w:rPr>
          <w:spacing w:val="-27"/>
          <w:sz w:val="22"/>
        </w:rPr>
        <w:t> </w:t>
      </w:r>
      <w:r>
        <w:rPr>
          <w:sz w:val="22"/>
        </w:rPr>
        <w:t>any</w:t>
      </w:r>
      <w:r>
        <w:rPr>
          <w:spacing w:val="-26"/>
          <w:sz w:val="22"/>
        </w:rPr>
        <w:t> </w:t>
      </w:r>
      <w:r>
        <w:rPr>
          <w:sz w:val="22"/>
        </w:rPr>
        <w:t>of</w:t>
      </w:r>
      <w:r>
        <w:rPr>
          <w:spacing w:val="-26"/>
          <w:sz w:val="22"/>
        </w:rPr>
        <w:t> </w:t>
      </w:r>
      <w:r>
        <w:rPr>
          <w:sz w:val="22"/>
        </w:rPr>
        <w:t>its</w:t>
      </w:r>
      <w:r>
        <w:rPr>
          <w:spacing w:val="-26"/>
          <w:sz w:val="22"/>
        </w:rPr>
        <w:t> </w:t>
      </w:r>
      <w:r>
        <w:rPr>
          <w:sz w:val="22"/>
        </w:rPr>
        <w:t>employees/</w:t>
      </w:r>
      <w:r>
        <w:rPr>
          <w:spacing w:val="-27"/>
          <w:sz w:val="22"/>
        </w:rPr>
        <w:t> </w:t>
      </w:r>
      <w:r>
        <w:rPr>
          <w:sz w:val="22"/>
        </w:rPr>
        <w:t>consultants</w:t>
      </w:r>
      <w:r>
        <w:rPr>
          <w:spacing w:val="-26"/>
          <w:sz w:val="22"/>
        </w:rPr>
        <w:t> </w:t>
      </w:r>
      <w:r>
        <w:rPr>
          <w:sz w:val="22"/>
        </w:rPr>
        <w:t>involved</w:t>
      </w:r>
      <w:r>
        <w:rPr>
          <w:spacing w:val="-26"/>
          <w:sz w:val="22"/>
        </w:rPr>
        <w:t> </w:t>
      </w:r>
      <w:r>
        <w:rPr>
          <w:sz w:val="22"/>
        </w:rPr>
        <w:t>in</w:t>
      </w:r>
      <w:r>
        <w:rPr>
          <w:spacing w:val="-25"/>
          <w:sz w:val="22"/>
        </w:rPr>
        <w:t> </w:t>
      </w:r>
      <w:r>
        <w:rPr>
          <w:sz w:val="22"/>
        </w:rPr>
        <w:t>valuation</w:t>
      </w:r>
      <w:r>
        <w:rPr>
          <w:spacing w:val="-28"/>
          <w:sz w:val="22"/>
        </w:rPr>
        <w:t> </w:t>
      </w:r>
      <w:r>
        <w:rPr>
          <w:sz w:val="22"/>
        </w:rPr>
        <w:t>of</w:t>
      </w:r>
      <w:r>
        <w:rPr>
          <w:spacing w:val="-26"/>
          <w:sz w:val="22"/>
        </w:rPr>
        <w:t> </w:t>
      </w:r>
      <w:r>
        <w:rPr>
          <w:sz w:val="22"/>
        </w:rPr>
        <w:t>the</w:t>
      </w:r>
      <w:r>
        <w:rPr>
          <w:spacing w:val="-27"/>
          <w:sz w:val="22"/>
        </w:rPr>
        <w:t> </w:t>
      </w:r>
      <w:r>
        <w:rPr>
          <w:sz w:val="22"/>
        </w:rPr>
        <w:t>REIT</w:t>
      </w:r>
      <w:r>
        <w:rPr>
          <w:spacing w:val="-26"/>
          <w:sz w:val="22"/>
        </w:rPr>
        <w:t> </w:t>
      </w:r>
      <w:r>
        <w:rPr>
          <w:sz w:val="22"/>
        </w:rPr>
        <w:t>assets</w:t>
      </w:r>
      <w:r>
        <w:rPr>
          <w:spacing w:val="-26"/>
          <w:sz w:val="22"/>
        </w:rPr>
        <w:t> </w:t>
      </w:r>
      <w:r>
        <w:rPr>
          <w:sz w:val="22"/>
        </w:rPr>
        <w:t>are</w:t>
      </w:r>
      <w:r>
        <w:rPr>
          <w:spacing w:val="-26"/>
          <w:sz w:val="22"/>
        </w:rPr>
        <w:t> </w:t>
      </w:r>
      <w:r>
        <w:rPr>
          <w:sz w:val="22"/>
        </w:rPr>
        <w:t>not invested</w:t>
      </w:r>
      <w:r>
        <w:rPr>
          <w:spacing w:val="-17"/>
          <w:sz w:val="22"/>
        </w:rPr>
        <w:t> </w:t>
      </w:r>
      <w:r>
        <w:rPr>
          <w:sz w:val="22"/>
        </w:rPr>
        <w:t>in</w:t>
      </w:r>
      <w:r>
        <w:rPr>
          <w:spacing w:val="-19"/>
          <w:sz w:val="22"/>
        </w:rPr>
        <w:t> </w:t>
      </w:r>
      <w:r>
        <w:rPr>
          <w:sz w:val="22"/>
        </w:rPr>
        <w:t>units</w:t>
      </w:r>
      <w:r>
        <w:rPr>
          <w:spacing w:val="-17"/>
          <w:sz w:val="22"/>
        </w:rPr>
        <w:t> </w:t>
      </w:r>
      <w:r>
        <w:rPr>
          <w:sz w:val="22"/>
        </w:rPr>
        <w:t>of</w:t>
      </w:r>
      <w:r>
        <w:rPr>
          <w:spacing w:val="-18"/>
          <w:sz w:val="22"/>
        </w:rPr>
        <w:t> </w:t>
      </w:r>
      <w:r>
        <w:rPr>
          <w:sz w:val="22"/>
        </w:rPr>
        <w:t>the</w:t>
      </w:r>
      <w:r>
        <w:rPr>
          <w:spacing w:val="-17"/>
          <w:sz w:val="22"/>
        </w:rPr>
        <w:t> </w:t>
      </w:r>
      <w:r>
        <w:rPr>
          <w:sz w:val="22"/>
        </w:rPr>
        <w:t>REIT</w:t>
      </w:r>
      <w:r>
        <w:rPr>
          <w:spacing w:val="-17"/>
          <w:sz w:val="22"/>
        </w:rPr>
        <w:t> </w:t>
      </w:r>
      <w:r>
        <w:rPr>
          <w:sz w:val="22"/>
        </w:rPr>
        <w:t>or</w:t>
      </w:r>
      <w:r>
        <w:rPr>
          <w:spacing w:val="-17"/>
          <w:sz w:val="22"/>
        </w:rPr>
        <w:t> </w:t>
      </w:r>
      <w:r>
        <w:rPr>
          <w:sz w:val="22"/>
        </w:rPr>
        <w:t>in</w:t>
      </w:r>
      <w:r>
        <w:rPr>
          <w:spacing w:val="-20"/>
          <w:sz w:val="22"/>
        </w:rPr>
        <w:t> </w:t>
      </w:r>
      <w:r>
        <w:rPr>
          <w:sz w:val="22"/>
        </w:rPr>
        <w:t>the</w:t>
      </w:r>
      <w:r>
        <w:rPr>
          <w:spacing w:val="-17"/>
          <w:sz w:val="22"/>
        </w:rPr>
        <w:t> </w:t>
      </w:r>
      <w:r>
        <w:rPr>
          <w:sz w:val="22"/>
        </w:rPr>
        <w:t>assets</w:t>
      </w:r>
      <w:r>
        <w:rPr>
          <w:spacing w:val="-18"/>
          <w:sz w:val="22"/>
        </w:rPr>
        <w:t> </w:t>
      </w:r>
      <w:r>
        <w:rPr>
          <w:sz w:val="22"/>
        </w:rPr>
        <w:t>being</w:t>
      </w:r>
      <w:r>
        <w:rPr>
          <w:spacing w:val="-19"/>
          <w:sz w:val="22"/>
        </w:rPr>
        <w:t> </w:t>
      </w:r>
      <w:r>
        <w:rPr>
          <w:sz w:val="22"/>
        </w:rPr>
        <w:t>valued</w:t>
      </w:r>
      <w:r>
        <w:rPr>
          <w:spacing w:val="-17"/>
          <w:sz w:val="22"/>
        </w:rPr>
        <w:t> </w:t>
      </w:r>
      <w:r>
        <w:rPr>
          <w:sz w:val="22"/>
        </w:rPr>
        <w:t>till</w:t>
      </w:r>
      <w:r>
        <w:rPr>
          <w:spacing w:val="-17"/>
          <w:sz w:val="22"/>
        </w:rPr>
        <w:t> </w:t>
      </w:r>
      <w:r>
        <w:rPr>
          <w:sz w:val="22"/>
        </w:rPr>
        <w:t>the</w:t>
      </w:r>
      <w:r>
        <w:rPr>
          <w:spacing w:val="-18"/>
          <w:sz w:val="22"/>
        </w:rPr>
        <w:t> </w:t>
      </w:r>
      <w:r>
        <w:rPr>
          <w:sz w:val="22"/>
        </w:rPr>
        <w:t>time</w:t>
      </w:r>
      <w:r>
        <w:rPr>
          <w:spacing w:val="-19"/>
          <w:sz w:val="22"/>
        </w:rPr>
        <w:t> </w:t>
      </w:r>
      <w:r>
        <w:rPr>
          <w:sz w:val="22"/>
        </w:rPr>
        <w:t>such</w:t>
      </w:r>
      <w:r>
        <w:rPr>
          <w:spacing w:val="-20"/>
          <w:sz w:val="22"/>
        </w:rPr>
        <w:t> </w:t>
      </w:r>
      <w:r>
        <w:rPr>
          <w:sz w:val="22"/>
        </w:rPr>
        <w:t>person</w:t>
      </w:r>
      <w:r>
        <w:rPr>
          <w:spacing w:val="-17"/>
          <w:sz w:val="22"/>
        </w:rPr>
        <w:t> </w:t>
      </w:r>
      <w:r>
        <w:rPr>
          <w:sz w:val="22"/>
        </w:rPr>
        <w:t>is</w:t>
      </w:r>
      <w:r>
        <w:rPr>
          <w:spacing w:val="-19"/>
          <w:sz w:val="22"/>
        </w:rPr>
        <w:t> </w:t>
      </w:r>
      <w:r>
        <w:rPr>
          <w:sz w:val="22"/>
        </w:rPr>
        <w:t>designated as</w:t>
      </w:r>
      <w:r>
        <w:rPr>
          <w:spacing w:val="-11"/>
          <w:sz w:val="22"/>
        </w:rPr>
        <w:t> </w:t>
      </w:r>
      <w:r>
        <w:rPr>
          <w:sz w:val="22"/>
        </w:rPr>
        <w:t>valuer</w:t>
      </w:r>
      <w:r>
        <w:rPr>
          <w:spacing w:val="-12"/>
          <w:sz w:val="22"/>
        </w:rPr>
        <w:t> </w:t>
      </w:r>
      <w:r>
        <w:rPr>
          <w:sz w:val="22"/>
        </w:rPr>
        <w:t>of</w:t>
      </w:r>
      <w:r>
        <w:rPr>
          <w:spacing w:val="-11"/>
          <w:sz w:val="22"/>
        </w:rPr>
        <w:t> </w:t>
      </w:r>
      <w:r>
        <w:rPr>
          <w:sz w:val="22"/>
        </w:rPr>
        <w:t>such</w:t>
      </w:r>
      <w:r>
        <w:rPr>
          <w:spacing w:val="-12"/>
          <w:sz w:val="22"/>
        </w:rPr>
        <w:t> </w:t>
      </w:r>
      <w:r>
        <w:rPr>
          <w:sz w:val="22"/>
        </w:rPr>
        <w:t>REIT</w:t>
      </w:r>
      <w:r>
        <w:rPr>
          <w:spacing w:val="-11"/>
          <w:sz w:val="22"/>
        </w:rPr>
        <w:t> </w:t>
      </w:r>
      <w:r>
        <w:rPr>
          <w:spacing w:val="-2"/>
          <w:sz w:val="22"/>
        </w:rPr>
        <w:t>and</w:t>
      </w:r>
      <w:r>
        <w:rPr>
          <w:spacing w:val="-11"/>
          <w:sz w:val="22"/>
        </w:rPr>
        <w:t> </w:t>
      </w:r>
      <w:r>
        <w:rPr>
          <w:sz w:val="22"/>
        </w:rPr>
        <w:t>not</w:t>
      </w:r>
      <w:r>
        <w:rPr>
          <w:spacing w:val="-11"/>
          <w:sz w:val="22"/>
        </w:rPr>
        <w:t> </w:t>
      </w:r>
      <w:r>
        <w:rPr>
          <w:sz w:val="22"/>
        </w:rPr>
        <w:t>less</w:t>
      </w:r>
      <w:r>
        <w:rPr>
          <w:spacing w:val="-11"/>
          <w:sz w:val="22"/>
        </w:rPr>
        <w:t> </w:t>
      </w:r>
      <w:r>
        <w:rPr>
          <w:sz w:val="22"/>
        </w:rPr>
        <w:t>than</w:t>
      </w:r>
      <w:r>
        <w:rPr>
          <w:spacing w:val="-12"/>
          <w:sz w:val="22"/>
        </w:rPr>
        <w:t> </w:t>
      </w:r>
      <w:r>
        <w:rPr>
          <w:sz w:val="22"/>
        </w:rPr>
        <w:t>6</w:t>
      </w:r>
      <w:r>
        <w:rPr>
          <w:spacing w:val="-10"/>
          <w:sz w:val="22"/>
        </w:rPr>
        <w:t> </w:t>
      </w:r>
      <w:r>
        <w:rPr>
          <w:sz w:val="22"/>
        </w:rPr>
        <w:t>months</w:t>
      </w:r>
      <w:r>
        <w:rPr>
          <w:spacing w:val="-13"/>
          <w:sz w:val="22"/>
        </w:rPr>
        <w:t> </w:t>
      </w:r>
      <w:r>
        <w:rPr>
          <w:sz w:val="22"/>
        </w:rPr>
        <w:t>after</w:t>
      </w:r>
      <w:r>
        <w:rPr>
          <w:spacing w:val="-11"/>
          <w:sz w:val="22"/>
        </w:rPr>
        <w:t> </w:t>
      </w:r>
      <w:r>
        <w:rPr>
          <w:sz w:val="22"/>
        </w:rPr>
        <w:t>ceasing</w:t>
      </w:r>
      <w:r>
        <w:rPr>
          <w:spacing w:val="-11"/>
          <w:sz w:val="22"/>
        </w:rPr>
        <w:t> </w:t>
      </w:r>
      <w:r>
        <w:rPr>
          <w:sz w:val="22"/>
        </w:rPr>
        <w:t>to</w:t>
      </w:r>
      <w:r>
        <w:rPr>
          <w:spacing w:val="-14"/>
          <w:sz w:val="22"/>
        </w:rPr>
        <w:t> </w:t>
      </w:r>
      <w:r>
        <w:rPr>
          <w:sz w:val="22"/>
        </w:rPr>
        <w:t>be</w:t>
      </w:r>
      <w:r>
        <w:rPr>
          <w:spacing w:val="-12"/>
          <w:sz w:val="22"/>
        </w:rPr>
        <w:t> </w:t>
      </w:r>
      <w:r>
        <w:rPr>
          <w:sz w:val="22"/>
        </w:rPr>
        <w:t>valuer</w:t>
      </w:r>
      <w:r>
        <w:rPr>
          <w:spacing w:val="-10"/>
          <w:sz w:val="22"/>
        </w:rPr>
        <w:t> </w:t>
      </w:r>
      <w:r>
        <w:rPr>
          <w:sz w:val="22"/>
        </w:rPr>
        <w:t>of</w:t>
      </w:r>
      <w:r>
        <w:rPr>
          <w:spacing w:val="-10"/>
          <w:sz w:val="22"/>
        </w:rPr>
        <w:t> </w:t>
      </w:r>
      <w:r>
        <w:rPr>
          <w:sz w:val="22"/>
        </w:rPr>
        <w:t>the</w:t>
      </w:r>
      <w:r>
        <w:rPr>
          <w:spacing w:val="-13"/>
          <w:sz w:val="22"/>
        </w:rPr>
        <w:t> </w:t>
      </w:r>
      <w:r>
        <w:rPr>
          <w:sz w:val="22"/>
        </w:rPr>
        <w:t>REIT</w:t>
      </w:r>
    </w:p>
    <w:p>
      <w:pPr>
        <w:pStyle w:val="BodyText"/>
        <w:spacing w:before="10"/>
        <w:rPr>
          <w:sz w:val="20"/>
        </w:rPr>
      </w:pPr>
    </w:p>
    <w:p>
      <w:pPr>
        <w:pStyle w:val="ListParagraph"/>
        <w:numPr>
          <w:ilvl w:val="2"/>
          <w:numId w:val="15"/>
        </w:numPr>
        <w:tabs>
          <w:tab w:pos="1541" w:val="left" w:leader="none"/>
        </w:tabs>
        <w:spacing w:line="321" w:lineRule="auto" w:before="0" w:after="0"/>
        <w:ind w:left="1540" w:right="636" w:hanging="360"/>
        <w:jc w:val="both"/>
        <w:rPr>
          <w:sz w:val="22"/>
        </w:rPr>
      </w:pPr>
      <w:r>
        <w:rPr>
          <w:sz w:val="22"/>
        </w:rPr>
        <w:t>The</w:t>
      </w:r>
      <w:r>
        <w:rPr>
          <w:spacing w:val="-7"/>
          <w:sz w:val="22"/>
        </w:rPr>
        <w:t> </w:t>
      </w:r>
      <w:r>
        <w:rPr>
          <w:sz w:val="22"/>
        </w:rPr>
        <w:t>Valuer</w:t>
      </w:r>
      <w:r>
        <w:rPr>
          <w:spacing w:val="-6"/>
          <w:sz w:val="22"/>
        </w:rPr>
        <w:t> </w:t>
      </w:r>
      <w:r>
        <w:rPr>
          <w:sz w:val="22"/>
        </w:rPr>
        <w:t>has</w:t>
      </w:r>
      <w:r>
        <w:rPr>
          <w:spacing w:val="-5"/>
          <w:sz w:val="22"/>
        </w:rPr>
        <w:t> </w:t>
      </w:r>
      <w:r>
        <w:rPr>
          <w:sz w:val="22"/>
        </w:rPr>
        <w:t>conducted</w:t>
      </w:r>
      <w:r>
        <w:rPr>
          <w:spacing w:val="-5"/>
          <w:sz w:val="22"/>
        </w:rPr>
        <w:t> </w:t>
      </w:r>
      <w:r>
        <w:rPr>
          <w:sz w:val="22"/>
        </w:rPr>
        <w:t>the</w:t>
      </w:r>
      <w:r>
        <w:rPr>
          <w:spacing w:val="-6"/>
          <w:sz w:val="22"/>
        </w:rPr>
        <w:t> </w:t>
      </w:r>
      <w:r>
        <w:rPr>
          <w:sz w:val="22"/>
        </w:rPr>
        <w:t>valuation</w:t>
      </w:r>
      <w:r>
        <w:rPr>
          <w:spacing w:val="-5"/>
          <w:sz w:val="22"/>
        </w:rPr>
        <w:t> </w:t>
      </w:r>
      <w:r>
        <w:rPr>
          <w:sz w:val="22"/>
        </w:rPr>
        <w:t>of</w:t>
      </w:r>
      <w:r>
        <w:rPr>
          <w:spacing w:val="-5"/>
          <w:sz w:val="22"/>
        </w:rPr>
        <w:t> </w:t>
      </w:r>
      <w:r>
        <w:rPr>
          <w:sz w:val="22"/>
        </w:rPr>
        <w:t>the</w:t>
      </w:r>
      <w:r>
        <w:rPr>
          <w:spacing w:val="-6"/>
          <w:sz w:val="22"/>
        </w:rPr>
        <w:t> </w:t>
      </w:r>
      <w:r>
        <w:rPr>
          <w:sz w:val="22"/>
        </w:rPr>
        <w:t>REIT</w:t>
      </w:r>
      <w:r>
        <w:rPr>
          <w:spacing w:val="-5"/>
          <w:sz w:val="22"/>
        </w:rPr>
        <w:t> </w:t>
      </w:r>
      <w:r>
        <w:rPr>
          <w:sz w:val="22"/>
        </w:rPr>
        <w:t>assets</w:t>
      </w:r>
      <w:r>
        <w:rPr>
          <w:spacing w:val="-7"/>
          <w:sz w:val="22"/>
        </w:rPr>
        <w:t> </w:t>
      </w:r>
      <w:r>
        <w:rPr>
          <w:sz w:val="22"/>
        </w:rPr>
        <w:t>with</w:t>
      </w:r>
      <w:r>
        <w:rPr>
          <w:spacing w:val="-6"/>
          <w:sz w:val="22"/>
        </w:rPr>
        <w:t> </w:t>
      </w:r>
      <w:r>
        <w:rPr>
          <w:sz w:val="22"/>
        </w:rPr>
        <w:t>transparency</w:t>
      </w:r>
      <w:r>
        <w:rPr>
          <w:spacing w:val="-5"/>
          <w:sz w:val="22"/>
        </w:rPr>
        <w:t> </w:t>
      </w:r>
      <w:r>
        <w:rPr>
          <w:sz w:val="22"/>
        </w:rPr>
        <w:t>and</w:t>
      </w:r>
      <w:r>
        <w:rPr>
          <w:spacing w:val="-7"/>
          <w:sz w:val="22"/>
        </w:rPr>
        <w:t> </w:t>
      </w:r>
      <w:r>
        <w:rPr>
          <w:sz w:val="22"/>
        </w:rPr>
        <w:t>fairness</w:t>
      </w:r>
      <w:r>
        <w:rPr>
          <w:spacing w:val="-5"/>
          <w:sz w:val="22"/>
        </w:rPr>
        <w:t> </w:t>
      </w:r>
      <w:r>
        <w:rPr>
          <w:spacing w:val="-3"/>
          <w:sz w:val="22"/>
        </w:rPr>
        <w:t>and </w:t>
      </w:r>
      <w:r>
        <w:rPr>
          <w:sz w:val="22"/>
        </w:rPr>
        <w:t>shall</w:t>
      </w:r>
      <w:r>
        <w:rPr>
          <w:spacing w:val="-17"/>
          <w:sz w:val="22"/>
        </w:rPr>
        <w:t> </w:t>
      </w:r>
      <w:r>
        <w:rPr>
          <w:sz w:val="22"/>
        </w:rPr>
        <w:t>render,</w:t>
      </w:r>
      <w:r>
        <w:rPr>
          <w:spacing w:val="-16"/>
          <w:sz w:val="22"/>
        </w:rPr>
        <w:t> </w:t>
      </w:r>
      <w:r>
        <w:rPr>
          <w:sz w:val="22"/>
        </w:rPr>
        <w:t>at</w:t>
      </w:r>
      <w:r>
        <w:rPr>
          <w:spacing w:val="-16"/>
          <w:sz w:val="22"/>
        </w:rPr>
        <w:t> </w:t>
      </w:r>
      <w:r>
        <w:rPr>
          <w:sz w:val="22"/>
        </w:rPr>
        <w:t>all</w:t>
      </w:r>
      <w:r>
        <w:rPr>
          <w:spacing w:val="-17"/>
          <w:sz w:val="22"/>
        </w:rPr>
        <w:t> </w:t>
      </w:r>
      <w:r>
        <w:rPr>
          <w:sz w:val="22"/>
        </w:rPr>
        <w:t>times,</w:t>
      </w:r>
      <w:r>
        <w:rPr>
          <w:spacing w:val="-17"/>
          <w:sz w:val="22"/>
        </w:rPr>
        <w:t> </w:t>
      </w:r>
      <w:r>
        <w:rPr>
          <w:sz w:val="22"/>
        </w:rPr>
        <w:t>high</w:t>
      </w:r>
      <w:r>
        <w:rPr>
          <w:spacing w:val="-16"/>
          <w:sz w:val="22"/>
        </w:rPr>
        <w:t> </w:t>
      </w:r>
      <w:r>
        <w:rPr>
          <w:sz w:val="22"/>
        </w:rPr>
        <w:t>standards</w:t>
      </w:r>
      <w:r>
        <w:rPr>
          <w:spacing w:val="-13"/>
          <w:sz w:val="22"/>
        </w:rPr>
        <w:t> </w:t>
      </w:r>
      <w:r>
        <w:rPr>
          <w:sz w:val="22"/>
        </w:rPr>
        <w:t>of</w:t>
      </w:r>
      <w:r>
        <w:rPr>
          <w:spacing w:val="-17"/>
          <w:sz w:val="22"/>
        </w:rPr>
        <w:t> </w:t>
      </w:r>
      <w:r>
        <w:rPr>
          <w:sz w:val="22"/>
        </w:rPr>
        <w:t>service,</w:t>
      </w:r>
      <w:r>
        <w:rPr>
          <w:spacing w:val="-16"/>
          <w:sz w:val="22"/>
        </w:rPr>
        <w:t> </w:t>
      </w:r>
      <w:r>
        <w:rPr>
          <w:sz w:val="22"/>
        </w:rPr>
        <w:t>exercise</w:t>
      </w:r>
      <w:r>
        <w:rPr>
          <w:spacing w:val="-16"/>
          <w:sz w:val="22"/>
        </w:rPr>
        <w:t> </w:t>
      </w:r>
      <w:r>
        <w:rPr>
          <w:sz w:val="22"/>
        </w:rPr>
        <w:t>due</w:t>
      </w:r>
      <w:r>
        <w:rPr>
          <w:spacing w:val="-16"/>
          <w:sz w:val="22"/>
        </w:rPr>
        <w:t> </w:t>
      </w:r>
      <w:r>
        <w:rPr>
          <w:sz w:val="22"/>
        </w:rPr>
        <w:t>diligence,</w:t>
      </w:r>
      <w:r>
        <w:rPr>
          <w:spacing w:val="-18"/>
          <w:sz w:val="22"/>
        </w:rPr>
        <w:t> </w:t>
      </w:r>
      <w:r>
        <w:rPr>
          <w:sz w:val="22"/>
        </w:rPr>
        <w:t>ensure</w:t>
      </w:r>
      <w:r>
        <w:rPr>
          <w:spacing w:val="-16"/>
          <w:sz w:val="22"/>
        </w:rPr>
        <w:t> </w:t>
      </w:r>
      <w:r>
        <w:rPr>
          <w:sz w:val="22"/>
        </w:rPr>
        <w:t>proper</w:t>
      </w:r>
      <w:r>
        <w:rPr>
          <w:spacing w:val="-16"/>
          <w:sz w:val="22"/>
        </w:rPr>
        <w:t> </w:t>
      </w:r>
      <w:r>
        <w:rPr>
          <w:sz w:val="22"/>
        </w:rPr>
        <w:t>care and exercise professional</w:t>
      </w:r>
      <w:r>
        <w:rPr>
          <w:spacing w:val="-12"/>
          <w:sz w:val="22"/>
        </w:rPr>
        <w:t> </w:t>
      </w:r>
      <w:r>
        <w:rPr>
          <w:sz w:val="22"/>
        </w:rPr>
        <w:t>judgement</w:t>
      </w:r>
    </w:p>
    <w:p>
      <w:pPr>
        <w:pStyle w:val="BodyText"/>
        <w:spacing w:before="9"/>
        <w:rPr>
          <w:sz w:val="20"/>
        </w:rPr>
      </w:pPr>
    </w:p>
    <w:p>
      <w:pPr>
        <w:pStyle w:val="ListParagraph"/>
        <w:numPr>
          <w:ilvl w:val="2"/>
          <w:numId w:val="15"/>
        </w:numPr>
        <w:tabs>
          <w:tab w:pos="1540" w:val="left" w:leader="none"/>
          <w:tab w:pos="1541" w:val="left" w:leader="none"/>
        </w:tabs>
        <w:spacing w:line="240" w:lineRule="auto" w:before="0" w:after="0"/>
        <w:ind w:left="1540" w:right="0" w:hanging="361"/>
        <w:jc w:val="left"/>
        <w:rPr>
          <w:sz w:val="22"/>
        </w:rPr>
      </w:pPr>
      <w:r>
        <w:rPr>
          <w:sz w:val="22"/>
        </w:rPr>
        <w:t>The</w:t>
      </w:r>
      <w:r>
        <w:rPr>
          <w:spacing w:val="-25"/>
          <w:sz w:val="22"/>
        </w:rPr>
        <w:t> </w:t>
      </w:r>
      <w:r>
        <w:rPr>
          <w:sz w:val="22"/>
        </w:rPr>
        <w:t>Valuer</w:t>
      </w:r>
      <w:r>
        <w:rPr>
          <w:spacing w:val="-24"/>
          <w:sz w:val="22"/>
        </w:rPr>
        <w:t> </w:t>
      </w:r>
      <w:r>
        <w:rPr>
          <w:sz w:val="22"/>
        </w:rPr>
        <w:t>has</w:t>
      </w:r>
      <w:r>
        <w:rPr>
          <w:spacing w:val="-23"/>
          <w:sz w:val="22"/>
        </w:rPr>
        <w:t> </w:t>
      </w:r>
      <w:r>
        <w:rPr>
          <w:sz w:val="22"/>
        </w:rPr>
        <w:t>acted</w:t>
      </w:r>
      <w:r>
        <w:rPr>
          <w:spacing w:val="-24"/>
          <w:sz w:val="22"/>
        </w:rPr>
        <w:t> </w:t>
      </w:r>
      <w:r>
        <w:rPr>
          <w:sz w:val="22"/>
        </w:rPr>
        <w:t>with</w:t>
      </w:r>
      <w:r>
        <w:rPr>
          <w:spacing w:val="-24"/>
          <w:sz w:val="22"/>
        </w:rPr>
        <w:t> </w:t>
      </w:r>
      <w:r>
        <w:rPr>
          <w:sz w:val="22"/>
        </w:rPr>
        <w:t>independence,</w:t>
      </w:r>
      <w:r>
        <w:rPr>
          <w:spacing w:val="-24"/>
          <w:sz w:val="22"/>
        </w:rPr>
        <w:t> </w:t>
      </w:r>
      <w:r>
        <w:rPr>
          <w:sz w:val="22"/>
        </w:rPr>
        <w:t>objectivity</w:t>
      </w:r>
      <w:r>
        <w:rPr>
          <w:spacing w:val="-23"/>
          <w:sz w:val="22"/>
        </w:rPr>
        <w:t> </w:t>
      </w:r>
      <w:r>
        <w:rPr>
          <w:sz w:val="22"/>
        </w:rPr>
        <w:t>and</w:t>
      </w:r>
      <w:r>
        <w:rPr>
          <w:spacing w:val="-24"/>
          <w:sz w:val="22"/>
        </w:rPr>
        <w:t> </w:t>
      </w:r>
      <w:r>
        <w:rPr>
          <w:sz w:val="22"/>
        </w:rPr>
        <w:t>impartiality</w:t>
      </w:r>
      <w:r>
        <w:rPr>
          <w:spacing w:val="-22"/>
          <w:sz w:val="22"/>
        </w:rPr>
        <w:t> </w:t>
      </w:r>
      <w:r>
        <w:rPr>
          <w:sz w:val="22"/>
        </w:rPr>
        <w:t>in</w:t>
      </w:r>
      <w:r>
        <w:rPr>
          <w:spacing w:val="-25"/>
          <w:sz w:val="22"/>
        </w:rPr>
        <w:t> </w:t>
      </w:r>
      <w:r>
        <w:rPr>
          <w:sz w:val="22"/>
        </w:rPr>
        <w:t>performing</w:t>
      </w:r>
      <w:r>
        <w:rPr>
          <w:spacing w:val="-23"/>
          <w:sz w:val="22"/>
        </w:rPr>
        <w:t> </w:t>
      </w:r>
      <w:r>
        <w:rPr>
          <w:sz w:val="22"/>
        </w:rPr>
        <w:t>the</w:t>
      </w:r>
      <w:r>
        <w:rPr>
          <w:spacing w:val="-24"/>
          <w:sz w:val="22"/>
        </w:rPr>
        <w:t> </w:t>
      </w:r>
      <w:r>
        <w:rPr>
          <w:sz w:val="22"/>
        </w:rPr>
        <w:t>valuation</w:t>
      </w:r>
    </w:p>
    <w:p>
      <w:pPr>
        <w:pStyle w:val="BodyText"/>
        <w:spacing w:before="3"/>
        <w:rPr>
          <w:sz w:val="28"/>
        </w:rPr>
      </w:pPr>
    </w:p>
    <w:p>
      <w:pPr>
        <w:pStyle w:val="ListParagraph"/>
        <w:numPr>
          <w:ilvl w:val="2"/>
          <w:numId w:val="15"/>
        </w:numPr>
        <w:tabs>
          <w:tab w:pos="1541" w:val="left" w:leader="none"/>
        </w:tabs>
        <w:spacing w:line="321" w:lineRule="auto" w:before="0" w:after="0"/>
        <w:ind w:left="1540" w:right="636" w:hanging="360"/>
        <w:jc w:val="both"/>
        <w:rPr>
          <w:sz w:val="22"/>
        </w:rPr>
      </w:pPr>
      <w:r>
        <w:rPr>
          <w:sz w:val="22"/>
        </w:rPr>
        <w:t>The Valuer has discharged its duties towards the Embassy REIT in an efficient and competent manner,</w:t>
      </w:r>
      <w:r>
        <w:rPr>
          <w:spacing w:val="-21"/>
          <w:sz w:val="22"/>
        </w:rPr>
        <w:t> </w:t>
      </w:r>
      <w:r>
        <w:rPr>
          <w:sz w:val="22"/>
        </w:rPr>
        <w:t>utilizing</w:t>
      </w:r>
      <w:r>
        <w:rPr>
          <w:spacing w:val="-20"/>
          <w:sz w:val="22"/>
        </w:rPr>
        <w:t> </w:t>
      </w:r>
      <w:r>
        <w:rPr>
          <w:sz w:val="22"/>
        </w:rPr>
        <w:t>its</w:t>
      </w:r>
      <w:r>
        <w:rPr>
          <w:spacing w:val="-19"/>
          <w:sz w:val="22"/>
        </w:rPr>
        <w:t> </w:t>
      </w:r>
      <w:r>
        <w:rPr>
          <w:sz w:val="22"/>
        </w:rPr>
        <w:t>knowledge,</w:t>
      </w:r>
      <w:r>
        <w:rPr>
          <w:spacing w:val="-23"/>
          <w:sz w:val="22"/>
        </w:rPr>
        <w:t> </w:t>
      </w:r>
      <w:r>
        <w:rPr>
          <w:sz w:val="22"/>
        </w:rPr>
        <w:t>skills</w:t>
      </w:r>
      <w:r>
        <w:rPr>
          <w:spacing w:val="-21"/>
          <w:sz w:val="22"/>
        </w:rPr>
        <w:t> </w:t>
      </w:r>
      <w:r>
        <w:rPr>
          <w:sz w:val="22"/>
        </w:rPr>
        <w:t>and</w:t>
      </w:r>
      <w:r>
        <w:rPr>
          <w:spacing w:val="-18"/>
          <w:sz w:val="22"/>
        </w:rPr>
        <w:t> </w:t>
      </w:r>
      <w:r>
        <w:rPr>
          <w:sz w:val="22"/>
        </w:rPr>
        <w:t>experience</w:t>
      </w:r>
      <w:r>
        <w:rPr>
          <w:spacing w:val="-21"/>
          <w:sz w:val="22"/>
        </w:rPr>
        <w:t> </w:t>
      </w:r>
      <w:r>
        <w:rPr>
          <w:sz w:val="22"/>
        </w:rPr>
        <w:t>in</w:t>
      </w:r>
      <w:r>
        <w:rPr>
          <w:spacing w:val="-21"/>
          <w:sz w:val="22"/>
        </w:rPr>
        <w:t> </w:t>
      </w:r>
      <w:r>
        <w:rPr>
          <w:sz w:val="22"/>
        </w:rPr>
        <w:t>best</w:t>
      </w:r>
      <w:r>
        <w:rPr>
          <w:spacing w:val="-21"/>
          <w:sz w:val="22"/>
        </w:rPr>
        <w:t> </w:t>
      </w:r>
      <w:r>
        <w:rPr>
          <w:sz w:val="22"/>
        </w:rPr>
        <w:t>possible</w:t>
      </w:r>
      <w:r>
        <w:rPr>
          <w:spacing w:val="-23"/>
          <w:sz w:val="22"/>
        </w:rPr>
        <w:t> </w:t>
      </w:r>
      <w:r>
        <w:rPr>
          <w:sz w:val="22"/>
        </w:rPr>
        <w:t>way</w:t>
      </w:r>
      <w:r>
        <w:rPr>
          <w:spacing w:val="-20"/>
          <w:sz w:val="22"/>
        </w:rPr>
        <w:t> </w:t>
      </w:r>
      <w:r>
        <w:rPr>
          <w:sz w:val="22"/>
        </w:rPr>
        <w:t>to</w:t>
      </w:r>
      <w:r>
        <w:rPr>
          <w:spacing w:val="-22"/>
          <w:sz w:val="22"/>
        </w:rPr>
        <w:t> </w:t>
      </w:r>
      <w:r>
        <w:rPr>
          <w:sz w:val="22"/>
        </w:rPr>
        <w:t>complete</w:t>
      </w:r>
      <w:r>
        <w:rPr>
          <w:spacing w:val="-22"/>
          <w:sz w:val="22"/>
        </w:rPr>
        <w:t> </w:t>
      </w:r>
      <w:r>
        <w:rPr>
          <w:sz w:val="22"/>
        </w:rPr>
        <w:t>the</w:t>
      </w:r>
      <w:r>
        <w:rPr>
          <w:spacing w:val="-22"/>
          <w:sz w:val="22"/>
        </w:rPr>
        <w:t> </w:t>
      </w:r>
      <w:r>
        <w:rPr>
          <w:sz w:val="22"/>
        </w:rPr>
        <w:t>said assignment</w:t>
      </w:r>
    </w:p>
    <w:p>
      <w:pPr>
        <w:pStyle w:val="BodyText"/>
        <w:spacing w:before="10"/>
        <w:rPr>
          <w:sz w:val="20"/>
        </w:rPr>
      </w:pPr>
    </w:p>
    <w:p>
      <w:pPr>
        <w:pStyle w:val="ListParagraph"/>
        <w:numPr>
          <w:ilvl w:val="2"/>
          <w:numId w:val="15"/>
        </w:numPr>
        <w:tabs>
          <w:tab w:pos="1541" w:val="left" w:leader="none"/>
        </w:tabs>
        <w:spacing w:line="324" w:lineRule="auto" w:before="0" w:after="0"/>
        <w:ind w:left="1540" w:right="643" w:hanging="360"/>
        <w:jc w:val="both"/>
        <w:rPr>
          <w:sz w:val="22"/>
        </w:rPr>
      </w:pPr>
      <w:r>
        <w:rPr>
          <w:sz w:val="22"/>
        </w:rPr>
        <w:t>The</w:t>
      </w:r>
      <w:r>
        <w:rPr>
          <w:spacing w:val="-9"/>
          <w:sz w:val="22"/>
        </w:rPr>
        <w:t> </w:t>
      </w:r>
      <w:r>
        <w:rPr>
          <w:sz w:val="22"/>
        </w:rPr>
        <w:t>Valuer</w:t>
      </w:r>
      <w:r>
        <w:rPr>
          <w:spacing w:val="-8"/>
          <w:sz w:val="22"/>
        </w:rPr>
        <w:t> </w:t>
      </w:r>
      <w:r>
        <w:rPr>
          <w:sz w:val="22"/>
        </w:rPr>
        <w:t>shall</w:t>
      </w:r>
      <w:r>
        <w:rPr>
          <w:spacing w:val="-9"/>
          <w:sz w:val="22"/>
        </w:rPr>
        <w:t> </w:t>
      </w:r>
      <w:r>
        <w:rPr>
          <w:sz w:val="22"/>
        </w:rPr>
        <w:t>not</w:t>
      </w:r>
      <w:r>
        <w:rPr>
          <w:spacing w:val="-7"/>
          <w:sz w:val="22"/>
        </w:rPr>
        <w:t> </w:t>
      </w:r>
      <w:r>
        <w:rPr>
          <w:sz w:val="22"/>
        </w:rPr>
        <w:t>accept</w:t>
      </w:r>
      <w:r>
        <w:rPr>
          <w:spacing w:val="-8"/>
          <w:sz w:val="22"/>
        </w:rPr>
        <w:t> </w:t>
      </w:r>
      <w:r>
        <w:rPr>
          <w:sz w:val="22"/>
        </w:rPr>
        <w:t>remuneration,</w:t>
      </w:r>
      <w:r>
        <w:rPr>
          <w:spacing w:val="-9"/>
          <w:sz w:val="22"/>
        </w:rPr>
        <w:t> </w:t>
      </w:r>
      <w:r>
        <w:rPr>
          <w:sz w:val="22"/>
        </w:rPr>
        <w:t>in</w:t>
      </w:r>
      <w:r>
        <w:rPr>
          <w:spacing w:val="-8"/>
          <w:sz w:val="22"/>
        </w:rPr>
        <w:t> </w:t>
      </w:r>
      <w:r>
        <w:rPr>
          <w:sz w:val="22"/>
        </w:rPr>
        <w:t>any</w:t>
      </w:r>
      <w:r>
        <w:rPr>
          <w:spacing w:val="-8"/>
          <w:sz w:val="22"/>
        </w:rPr>
        <w:t> </w:t>
      </w:r>
      <w:r>
        <w:rPr>
          <w:sz w:val="22"/>
        </w:rPr>
        <w:t>form,</w:t>
      </w:r>
      <w:r>
        <w:rPr>
          <w:spacing w:val="-7"/>
          <w:sz w:val="22"/>
        </w:rPr>
        <w:t> </w:t>
      </w:r>
      <w:r>
        <w:rPr>
          <w:sz w:val="22"/>
        </w:rPr>
        <w:t>for</w:t>
      </w:r>
      <w:r>
        <w:rPr>
          <w:spacing w:val="-9"/>
          <w:sz w:val="22"/>
        </w:rPr>
        <w:t> </w:t>
      </w:r>
      <w:r>
        <w:rPr>
          <w:sz w:val="22"/>
        </w:rPr>
        <w:t>performing</w:t>
      </w:r>
      <w:r>
        <w:rPr>
          <w:spacing w:val="-7"/>
          <w:sz w:val="22"/>
        </w:rPr>
        <w:t> </w:t>
      </w:r>
      <w:r>
        <w:rPr>
          <w:sz w:val="22"/>
        </w:rPr>
        <w:t>a</w:t>
      </w:r>
      <w:r>
        <w:rPr>
          <w:spacing w:val="-10"/>
          <w:sz w:val="22"/>
        </w:rPr>
        <w:t> </w:t>
      </w:r>
      <w:r>
        <w:rPr>
          <w:sz w:val="22"/>
        </w:rPr>
        <w:t>valuation</w:t>
      </w:r>
      <w:r>
        <w:rPr>
          <w:spacing w:val="-8"/>
          <w:sz w:val="22"/>
        </w:rPr>
        <w:t> </w:t>
      </w:r>
      <w:r>
        <w:rPr>
          <w:sz w:val="22"/>
        </w:rPr>
        <w:t>of</w:t>
      </w:r>
      <w:r>
        <w:rPr>
          <w:spacing w:val="-7"/>
          <w:sz w:val="22"/>
        </w:rPr>
        <w:t> </w:t>
      </w:r>
      <w:r>
        <w:rPr>
          <w:sz w:val="22"/>
        </w:rPr>
        <w:t>the</w:t>
      </w:r>
      <w:r>
        <w:rPr>
          <w:spacing w:val="-9"/>
          <w:sz w:val="22"/>
        </w:rPr>
        <w:t> </w:t>
      </w:r>
      <w:r>
        <w:rPr>
          <w:sz w:val="22"/>
        </w:rPr>
        <w:t>REIT assets</w:t>
      </w:r>
      <w:r>
        <w:rPr>
          <w:spacing w:val="-15"/>
          <w:sz w:val="22"/>
        </w:rPr>
        <w:t> </w:t>
      </w:r>
      <w:r>
        <w:rPr>
          <w:sz w:val="22"/>
        </w:rPr>
        <w:t>from</w:t>
      </w:r>
      <w:r>
        <w:rPr>
          <w:spacing w:val="-15"/>
          <w:sz w:val="22"/>
        </w:rPr>
        <w:t> </w:t>
      </w:r>
      <w:r>
        <w:rPr>
          <w:spacing w:val="-2"/>
          <w:sz w:val="22"/>
        </w:rPr>
        <w:t>any</w:t>
      </w:r>
      <w:r>
        <w:rPr>
          <w:spacing w:val="-14"/>
          <w:sz w:val="22"/>
        </w:rPr>
        <w:t> </w:t>
      </w:r>
      <w:r>
        <w:rPr>
          <w:sz w:val="22"/>
        </w:rPr>
        <w:t>person</w:t>
      </w:r>
      <w:r>
        <w:rPr>
          <w:spacing w:val="-16"/>
          <w:sz w:val="22"/>
        </w:rPr>
        <w:t> </w:t>
      </w:r>
      <w:r>
        <w:rPr>
          <w:sz w:val="22"/>
        </w:rPr>
        <w:t>other</w:t>
      </w:r>
      <w:r>
        <w:rPr>
          <w:spacing w:val="-15"/>
          <w:sz w:val="22"/>
        </w:rPr>
        <w:t> </w:t>
      </w:r>
      <w:r>
        <w:rPr>
          <w:sz w:val="22"/>
        </w:rPr>
        <w:t>than</w:t>
      </w:r>
      <w:r>
        <w:rPr>
          <w:spacing w:val="-15"/>
          <w:sz w:val="22"/>
        </w:rPr>
        <w:t> </w:t>
      </w:r>
      <w:r>
        <w:rPr>
          <w:sz w:val="22"/>
        </w:rPr>
        <w:t>the</w:t>
      </w:r>
      <w:r>
        <w:rPr>
          <w:spacing w:val="-16"/>
          <w:sz w:val="22"/>
        </w:rPr>
        <w:t> </w:t>
      </w:r>
      <w:r>
        <w:rPr>
          <w:sz w:val="22"/>
        </w:rPr>
        <w:t>Embassy</w:t>
      </w:r>
      <w:r>
        <w:rPr>
          <w:spacing w:val="-14"/>
          <w:sz w:val="22"/>
        </w:rPr>
        <w:t> </w:t>
      </w:r>
      <w:r>
        <w:rPr>
          <w:sz w:val="22"/>
        </w:rPr>
        <w:t>REIT</w:t>
      </w:r>
      <w:r>
        <w:rPr>
          <w:spacing w:val="-14"/>
          <w:sz w:val="22"/>
        </w:rPr>
        <w:t> </w:t>
      </w:r>
      <w:r>
        <w:rPr>
          <w:sz w:val="22"/>
        </w:rPr>
        <w:t>or</w:t>
      </w:r>
      <w:r>
        <w:rPr>
          <w:spacing w:val="-15"/>
          <w:sz w:val="22"/>
        </w:rPr>
        <w:t> </w:t>
      </w:r>
      <w:r>
        <w:rPr>
          <w:sz w:val="22"/>
        </w:rPr>
        <w:t>its</w:t>
      </w:r>
      <w:r>
        <w:rPr>
          <w:spacing w:val="-13"/>
          <w:sz w:val="22"/>
        </w:rPr>
        <w:t> </w:t>
      </w:r>
      <w:r>
        <w:rPr>
          <w:sz w:val="22"/>
        </w:rPr>
        <w:t>authorised</w:t>
      </w:r>
      <w:r>
        <w:rPr>
          <w:spacing w:val="-14"/>
          <w:sz w:val="22"/>
        </w:rPr>
        <w:t> </w:t>
      </w:r>
      <w:r>
        <w:rPr>
          <w:sz w:val="22"/>
        </w:rPr>
        <w:t>representatives.</w:t>
      </w:r>
    </w:p>
    <w:p>
      <w:pPr>
        <w:pStyle w:val="BodyText"/>
        <w:spacing w:before="5"/>
        <w:rPr>
          <w:sz w:val="20"/>
        </w:rPr>
      </w:pPr>
    </w:p>
    <w:p>
      <w:pPr>
        <w:pStyle w:val="ListParagraph"/>
        <w:numPr>
          <w:ilvl w:val="2"/>
          <w:numId w:val="15"/>
        </w:numPr>
        <w:tabs>
          <w:tab w:pos="1541" w:val="left" w:leader="none"/>
        </w:tabs>
        <w:spacing w:line="321" w:lineRule="auto" w:before="0" w:after="0"/>
        <w:ind w:left="1540" w:right="633" w:hanging="360"/>
        <w:jc w:val="both"/>
        <w:rPr>
          <w:sz w:val="22"/>
        </w:rPr>
      </w:pPr>
      <w:r>
        <w:rPr>
          <w:sz w:val="22"/>
        </w:rPr>
        <w:t>The</w:t>
      </w:r>
      <w:r>
        <w:rPr>
          <w:spacing w:val="-13"/>
          <w:sz w:val="22"/>
        </w:rPr>
        <w:t> </w:t>
      </w:r>
      <w:r>
        <w:rPr>
          <w:sz w:val="22"/>
        </w:rPr>
        <w:t>Valuer</w:t>
      </w:r>
      <w:r>
        <w:rPr>
          <w:spacing w:val="-13"/>
          <w:sz w:val="22"/>
        </w:rPr>
        <w:t> </w:t>
      </w:r>
      <w:r>
        <w:rPr>
          <w:sz w:val="22"/>
        </w:rPr>
        <w:t>shall</w:t>
      </w:r>
      <w:r>
        <w:rPr>
          <w:spacing w:val="-11"/>
          <w:sz w:val="22"/>
        </w:rPr>
        <w:t> </w:t>
      </w:r>
      <w:r>
        <w:rPr>
          <w:sz w:val="22"/>
        </w:rPr>
        <w:t>before</w:t>
      </w:r>
      <w:r>
        <w:rPr>
          <w:spacing w:val="-11"/>
          <w:sz w:val="22"/>
        </w:rPr>
        <w:t> </w:t>
      </w:r>
      <w:r>
        <w:rPr>
          <w:sz w:val="22"/>
        </w:rPr>
        <w:t>accepting</w:t>
      </w:r>
      <w:r>
        <w:rPr>
          <w:spacing w:val="-12"/>
          <w:sz w:val="22"/>
        </w:rPr>
        <w:t> </w:t>
      </w:r>
      <w:r>
        <w:rPr>
          <w:sz w:val="22"/>
        </w:rPr>
        <w:t>any</w:t>
      </w:r>
      <w:r>
        <w:rPr>
          <w:spacing w:val="-12"/>
          <w:sz w:val="22"/>
        </w:rPr>
        <w:t> </w:t>
      </w:r>
      <w:r>
        <w:rPr>
          <w:sz w:val="22"/>
        </w:rPr>
        <w:t>assignment</w:t>
      </w:r>
      <w:r>
        <w:rPr>
          <w:spacing w:val="-11"/>
          <w:sz w:val="22"/>
        </w:rPr>
        <w:t> </w:t>
      </w:r>
      <w:r>
        <w:rPr>
          <w:sz w:val="22"/>
        </w:rPr>
        <w:t>from</w:t>
      </w:r>
      <w:r>
        <w:rPr>
          <w:spacing w:val="-12"/>
          <w:sz w:val="22"/>
        </w:rPr>
        <w:t> </w:t>
      </w:r>
      <w:r>
        <w:rPr>
          <w:sz w:val="22"/>
        </w:rPr>
        <w:t>any</w:t>
      </w:r>
      <w:r>
        <w:rPr>
          <w:spacing w:val="-12"/>
          <w:sz w:val="22"/>
        </w:rPr>
        <w:t> </w:t>
      </w:r>
      <w:r>
        <w:rPr>
          <w:sz w:val="22"/>
        </w:rPr>
        <w:t>related</w:t>
      </w:r>
      <w:r>
        <w:rPr>
          <w:spacing w:val="-12"/>
          <w:sz w:val="22"/>
        </w:rPr>
        <w:t> </w:t>
      </w:r>
      <w:r>
        <w:rPr>
          <w:sz w:val="22"/>
        </w:rPr>
        <w:t>party</w:t>
      </w:r>
      <w:r>
        <w:rPr>
          <w:spacing w:val="-11"/>
          <w:sz w:val="22"/>
        </w:rPr>
        <w:t> </w:t>
      </w:r>
      <w:r>
        <w:rPr>
          <w:sz w:val="22"/>
        </w:rPr>
        <w:t>to</w:t>
      </w:r>
      <w:r>
        <w:rPr>
          <w:spacing w:val="-12"/>
          <w:sz w:val="22"/>
        </w:rPr>
        <w:t> </w:t>
      </w:r>
      <w:r>
        <w:rPr>
          <w:sz w:val="22"/>
        </w:rPr>
        <w:t>the</w:t>
      </w:r>
      <w:r>
        <w:rPr>
          <w:spacing w:val="-8"/>
          <w:sz w:val="22"/>
        </w:rPr>
        <w:t> </w:t>
      </w:r>
      <w:r>
        <w:rPr>
          <w:sz w:val="22"/>
        </w:rPr>
        <w:t>Embassy</w:t>
      </w:r>
      <w:r>
        <w:rPr>
          <w:spacing w:val="-11"/>
          <w:sz w:val="22"/>
        </w:rPr>
        <w:t> </w:t>
      </w:r>
      <w:r>
        <w:rPr>
          <w:sz w:val="22"/>
        </w:rPr>
        <w:t>REIT, shall</w:t>
      </w:r>
      <w:r>
        <w:rPr>
          <w:spacing w:val="-36"/>
          <w:sz w:val="22"/>
        </w:rPr>
        <w:t> </w:t>
      </w:r>
      <w:r>
        <w:rPr>
          <w:sz w:val="22"/>
        </w:rPr>
        <w:t>disclose</w:t>
      </w:r>
      <w:r>
        <w:rPr>
          <w:spacing w:val="-35"/>
          <w:sz w:val="22"/>
        </w:rPr>
        <w:t> </w:t>
      </w:r>
      <w:r>
        <w:rPr>
          <w:sz w:val="22"/>
        </w:rPr>
        <w:t>to</w:t>
      </w:r>
      <w:r>
        <w:rPr>
          <w:spacing w:val="-35"/>
          <w:sz w:val="22"/>
        </w:rPr>
        <w:t> </w:t>
      </w:r>
      <w:r>
        <w:rPr>
          <w:sz w:val="22"/>
        </w:rPr>
        <w:t>the</w:t>
      </w:r>
      <w:r>
        <w:rPr>
          <w:spacing w:val="-36"/>
          <w:sz w:val="22"/>
        </w:rPr>
        <w:t> </w:t>
      </w:r>
      <w:r>
        <w:rPr>
          <w:sz w:val="22"/>
        </w:rPr>
        <w:t>Embassy</w:t>
      </w:r>
      <w:r>
        <w:rPr>
          <w:spacing w:val="-34"/>
          <w:sz w:val="22"/>
        </w:rPr>
        <w:t> </w:t>
      </w:r>
      <w:r>
        <w:rPr>
          <w:sz w:val="22"/>
        </w:rPr>
        <w:t>REIT,</w:t>
      </w:r>
      <w:r>
        <w:rPr>
          <w:spacing w:val="-36"/>
          <w:sz w:val="22"/>
        </w:rPr>
        <w:t> </w:t>
      </w:r>
      <w:r>
        <w:rPr>
          <w:sz w:val="22"/>
        </w:rPr>
        <w:t>any</w:t>
      </w:r>
      <w:r>
        <w:rPr>
          <w:spacing w:val="-36"/>
          <w:sz w:val="22"/>
        </w:rPr>
        <w:t> </w:t>
      </w:r>
      <w:r>
        <w:rPr>
          <w:sz w:val="22"/>
        </w:rPr>
        <w:t>direct</w:t>
      </w:r>
      <w:r>
        <w:rPr>
          <w:spacing w:val="-35"/>
          <w:sz w:val="22"/>
        </w:rPr>
        <w:t> </w:t>
      </w:r>
      <w:r>
        <w:rPr>
          <w:sz w:val="22"/>
        </w:rPr>
        <w:t>or</w:t>
      </w:r>
      <w:r>
        <w:rPr>
          <w:spacing w:val="-35"/>
          <w:sz w:val="22"/>
        </w:rPr>
        <w:t> </w:t>
      </w:r>
      <w:r>
        <w:rPr>
          <w:sz w:val="22"/>
        </w:rPr>
        <w:t>indirect</w:t>
      </w:r>
      <w:r>
        <w:rPr>
          <w:spacing w:val="-34"/>
          <w:sz w:val="22"/>
        </w:rPr>
        <w:t> </w:t>
      </w:r>
      <w:r>
        <w:rPr>
          <w:sz w:val="22"/>
        </w:rPr>
        <w:t>consideration</w:t>
      </w:r>
      <w:r>
        <w:rPr>
          <w:spacing w:val="-35"/>
          <w:sz w:val="22"/>
        </w:rPr>
        <w:t> </w:t>
      </w:r>
      <w:r>
        <w:rPr>
          <w:sz w:val="22"/>
        </w:rPr>
        <w:t>which</w:t>
      </w:r>
      <w:r>
        <w:rPr>
          <w:spacing w:val="-37"/>
          <w:sz w:val="22"/>
        </w:rPr>
        <w:t> </w:t>
      </w:r>
      <w:r>
        <w:rPr>
          <w:sz w:val="22"/>
        </w:rPr>
        <w:t>the</w:t>
      </w:r>
      <w:r>
        <w:rPr>
          <w:spacing w:val="-36"/>
          <w:sz w:val="22"/>
        </w:rPr>
        <w:t> </w:t>
      </w:r>
      <w:r>
        <w:rPr>
          <w:sz w:val="22"/>
        </w:rPr>
        <w:t>valuer</w:t>
      </w:r>
      <w:r>
        <w:rPr>
          <w:spacing w:val="-35"/>
          <w:sz w:val="22"/>
        </w:rPr>
        <w:t> </w:t>
      </w:r>
      <w:r>
        <w:rPr>
          <w:sz w:val="22"/>
        </w:rPr>
        <w:t>may</w:t>
      </w:r>
      <w:r>
        <w:rPr>
          <w:spacing w:val="-34"/>
          <w:sz w:val="22"/>
        </w:rPr>
        <w:t> </w:t>
      </w:r>
      <w:r>
        <w:rPr>
          <w:sz w:val="22"/>
        </w:rPr>
        <w:t>have in respect of such</w:t>
      </w:r>
      <w:r>
        <w:rPr>
          <w:spacing w:val="-16"/>
          <w:sz w:val="22"/>
        </w:rPr>
        <w:t> </w:t>
      </w:r>
      <w:r>
        <w:rPr>
          <w:sz w:val="22"/>
        </w:rPr>
        <w:t>assignment</w:t>
      </w:r>
    </w:p>
    <w:p>
      <w:pPr>
        <w:pStyle w:val="BodyText"/>
        <w:spacing w:before="8"/>
        <w:rPr>
          <w:sz w:val="20"/>
        </w:rPr>
      </w:pPr>
    </w:p>
    <w:p>
      <w:pPr>
        <w:pStyle w:val="ListParagraph"/>
        <w:numPr>
          <w:ilvl w:val="2"/>
          <w:numId w:val="15"/>
        </w:numPr>
        <w:tabs>
          <w:tab w:pos="1541" w:val="left" w:leader="none"/>
        </w:tabs>
        <w:spacing w:line="321" w:lineRule="auto" w:before="0" w:after="0"/>
        <w:ind w:left="1540" w:right="633" w:hanging="360"/>
        <w:jc w:val="both"/>
        <w:rPr>
          <w:sz w:val="22"/>
        </w:rPr>
      </w:pPr>
      <w:r>
        <w:rPr>
          <w:sz w:val="22"/>
        </w:rPr>
        <w:t>The</w:t>
      </w:r>
      <w:r>
        <w:rPr>
          <w:spacing w:val="-22"/>
          <w:sz w:val="22"/>
        </w:rPr>
        <w:t> </w:t>
      </w:r>
      <w:r>
        <w:rPr>
          <w:sz w:val="22"/>
        </w:rPr>
        <w:t>Valuer</w:t>
      </w:r>
      <w:r>
        <w:rPr>
          <w:spacing w:val="-21"/>
          <w:sz w:val="22"/>
        </w:rPr>
        <w:t> </w:t>
      </w:r>
      <w:r>
        <w:rPr>
          <w:sz w:val="22"/>
        </w:rPr>
        <w:t>shall</w:t>
      </w:r>
      <w:r>
        <w:rPr>
          <w:spacing w:val="-22"/>
          <w:sz w:val="22"/>
        </w:rPr>
        <w:t> </w:t>
      </w:r>
      <w:r>
        <w:rPr>
          <w:sz w:val="22"/>
        </w:rPr>
        <w:t>disclose</w:t>
      </w:r>
      <w:r>
        <w:rPr>
          <w:spacing w:val="-23"/>
          <w:sz w:val="22"/>
        </w:rPr>
        <w:t> </w:t>
      </w:r>
      <w:r>
        <w:rPr>
          <w:sz w:val="22"/>
        </w:rPr>
        <w:t>to</w:t>
      </w:r>
      <w:r>
        <w:rPr>
          <w:spacing w:val="-21"/>
          <w:sz w:val="22"/>
        </w:rPr>
        <w:t> </w:t>
      </w:r>
      <w:r>
        <w:rPr>
          <w:sz w:val="22"/>
        </w:rPr>
        <w:t>the</w:t>
      </w:r>
      <w:r>
        <w:rPr>
          <w:spacing w:val="-21"/>
          <w:sz w:val="22"/>
        </w:rPr>
        <w:t> </w:t>
      </w:r>
      <w:r>
        <w:rPr>
          <w:sz w:val="22"/>
        </w:rPr>
        <w:t>trustee</w:t>
      </w:r>
      <w:r>
        <w:rPr>
          <w:spacing w:val="-21"/>
          <w:sz w:val="22"/>
        </w:rPr>
        <w:t> </w:t>
      </w:r>
      <w:r>
        <w:rPr>
          <w:sz w:val="22"/>
        </w:rPr>
        <w:t>of</w:t>
      </w:r>
      <w:r>
        <w:rPr>
          <w:spacing w:val="-22"/>
          <w:sz w:val="22"/>
        </w:rPr>
        <w:t> </w:t>
      </w:r>
      <w:r>
        <w:rPr>
          <w:sz w:val="22"/>
        </w:rPr>
        <w:t>the</w:t>
      </w:r>
      <w:r>
        <w:rPr>
          <w:spacing w:val="-21"/>
          <w:sz w:val="22"/>
        </w:rPr>
        <w:t> </w:t>
      </w:r>
      <w:r>
        <w:rPr>
          <w:sz w:val="22"/>
        </w:rPr>
        <w:t>Embassy</w:t>
      </w:r>
      <w:r>
        <w:rPr>
          <w:spacing w:val="-20"/>
          <w:sz w:val="22"/>
        </w:rPr>
        <w:t> </w:t>
      </w:r>
      <w:r>
        <w:rPr>
          <w:sz w:val="22"/>
        </w:rPr>
        <w:t>REIT,</w:t>
      </w:r>
      <w:r>
        <w:rPr>
          <w:spacing w:val="-21"/>
          <w:sz w:val="22"/>
        </w:rPr>
        <w:t> </w:t>
      </w:r>
      <w:r>
        <w:rPr>
          <w:sz w:val="22"/>
        </w:rPr>
        <w:t>any</w:t>
      </w:r>
      <w:r>
        <w:rPr>
          <w:spacing w:val="-21"/>
          <w:sz w:val="22"/>
        </w:rPr>
        <w:t> </w:t>
      </w:r>
      <w:r>
        <w:rPr>
          <w:sz w:val="22"/>
        </w:rPr>
        <w:t>pending</w:t>
      </w:r>
      <w:r>
        <w:rPr>
          <w:spacing w:val="-21"/>
          <w:sz w:val="22"/>
        </w:rPr>
        <w:t> </w:t>
      </w:r>
      <w:r>
        <w:rPr>
          <w:sz w:val="22"/>
        </w:rPr>
        <w:t>business</w:t>
      </w:r>
      <w:r>
        <w:rPr>
          <w:spacing w:val="-22"/>
          <w:sz w:val="22"/>
        </w:rPr>
        <w:t> </w:t>
      </w:r>
      <w:r>
        <w:rPr>
          <w:sz w:val="22"/>
        </w:rPr>
        <w:t>transactions, contracts</w:t>
      </w:r>
      <w:r>
        <w:rPr>
          <w:spacing w:val="-34"/>
          <w:sz w:val="22"/>
        </w:rPr>
        <w:t> </w:t>
      </w:r>
      <w:r>
        <w:rPr>
          <w:sz w:val="22"/>
        </w:rPr>
        <w:t>under</w:t>
      </w:r>
      <w:r>
        <w:rPr>
          <w:spacing w:val="-35"/>
          <w:sz w:val="22"/>
        </w:rPr>
        <w:t> </w:t>
      </w:r>
      <w:r>
        <w:rPr>
          <w:sz w:val="22"/>
        </w:rPr>
        <w:t>negotiation</w:t>
      </w:r>
      <w:r>
        <w:rPr>
          <w:spacing w:val="-35"/>
          <w:sz w:val="22"/>
        </w:rPr>
        <w:t> </w:t>
      </w:r>
      <w:r>
        <w:rPr>
          <w:sz w:val="22"/>
        </w:rPr>
        <w:t>and</w:t>
      </w:r>
      <w:r>
        <w:rPr>
          <w:spacing w:val="-34"/>
          <w:sz w:val="22"/>
        </w:rPr>
        <w:t> </w:t>
      </w:r>
      <w:r>
        <w:rPr>
          <w:sz w:val="22"/>
        </w:rPr>
        <w:t>other</w:t>
      </w:r>
      <w:r>
        <w:rPr>
          <w:spacing w:val="-35"/>
          <w:sz w:val="22"/>
        </w:rPr>
        <w:t> </w:t>
      </w:r>
      <w:r>
        <w:rPr>
          <w:sz w:val="22"/>
        </w:rPr>
        <w:t>arrangements</w:t>
      </w:r>
      <w:r>
        <w:rPr>
          <w:spacing w:val="-35"/>
          <w:sz w:val="22"/>
        </w:rPr>
        <w:t> </w:t>
      </w:r>
      <w:r>
        <w:rPr>
          <w:sz w:val="22"/>
        </w:rPr>
        <w:t>with</w:t>
      </w:r>
      <w:r>
        <w:rPr>
          <w:spacing w:val="-34"/>
          <w:sz w:val="22"/>
        </w:rPr>
        <w:t> </w:t>
      </w:r>
      <w:r>
        <w:rPr>
          <w:sz w:val="22"/>
        </w:rPr>
        <w:t>the</w:t>
      </w:r>
      <w:r>
        <w:rPr>
          <w:spacing w:val="-36"/>
          <w:sz w:val="22"/>
        </w:rPr>
        <w:t> </w:t>
      </w:r>
      <w:r>
        <w:rPr>
          <w:sz w:val="22"/>
        </w:rPr>
        <w:t>Instructing</w:t>
      </w:r>
      <w:r>
        <w:rPr>
          <w:spacing w:val="-34"/>
          <w:sz w:val="22"/>
        </w:rPr>
        <w:t> </w:t>
      </w:r>
      <w:r>
        <w:rPr>
          <w:sz w:val="22"/>
        </w:rPr>
        <w:t>Party</w:t>
      </w:r>
      <w:r>
        <w:rPr>
          <w:spacing w:val="-33"/>
          <w:sz w:val="22"/>
        </w:rPr>
        <w:t> </w:t>
      </w:r>
      <w:r>
        <w:rPr>
          <w:sz w:val="22"/>
        </w:rPr>
        <w:t>or</w:t>
      </w:r>
      <w:r>
        <w:rPr>
          <w:spacing w:val="-35"/>
          <w:sz w:val="22"/>
        </w:rPr>
        <w:t> </w:t>
      </w:r>
      <w:r>
        <w:rPr>
          <w:sz w:val="22"/>
        </w:rPr>
        <w:t>any</w:t>
      </w:r>
      <w:r>
        <w:rPr>
          <w:spacing w:val="-36"/>
          <w:sz w:val="22"/>
        </w:rPr>
        <w:t> </w:t>
      </w:r>
      <w:r>
        <w:rPr>
          <w:sz w:val="22"/>
        </w:rPr>
        <w:t>other</w:t>
      </w:r>
      <w:r>
        <w:rPr>
          <w:spacing w:val="-35"/>
          <w:sz w:val="22"/>
        </w:rPr>
        <w:t> </w:t>
      </w:r>
      <w:r>
        <w:rPr>
          <w:sz w:val="22"/>
        </w:rPr>
        <w:t>party whom</w:t>
      </w:r>
      <w:r>
        <w:rPr>
          <w:spacing w:val="-16"/>
          <w:sz w:val="22"/>
        </w:rPr>
        <w:t> </w:t>
      </w:r>
      <w:r>
        <w:rPr>
          <w:sz w:val="22"/>
        </w:rPr>
        <w:t>the</w:t>
      </w:r>
      <w:r>
        <w:rPr>
          <w:spacing w:val="-16"/>
          <w:sz w:val="22"/>
        </w:rPr>
        <w:t> </w:t>
      </w:r>
      <w:r>
        <w:rPr>
          <w:sz w:val="22"/>
        </w:rPr>
        <w:t>Embassy</w:t>
      </w:r>
      <w:r>
        <w:rPr>
          <w:spacing w:val="-14"/>
          <w:sz w:val="22"/>
        </w:rPr>
        <w:t> </w:t>
      </w:r>
      <w:r>
        <w:rPr>
          <w:sz w:val="22"/>
        </w:rPr>
        <w:t>REIT</w:t>
      </w:r>
      <w:r>
        <w:rPr>
          <w:spacing w:val="-16"/>
          <w:sz w:val="22"/>
        </w:rPr>
        <w:t> </w:t>
      </w:r>
      <w:r>
        <w:rPr>
          <w:sz w:val="22"/>
        </w:rPr>
        <w:t>is</w:t>
      </w:r>
      <w:r>
        <w:rPr>
          <w:spacing w:val="-15"/>
          <w:sz w:val="22"/>
        </w:rPr>
        <w:t> </w:t>
      </w:r>
      <w:r>
        <w:rPr>
          <w:sz w:val="22"/>
        </w:rPr>
        <w:t>contracting</w:t>
      </w:r>
      <w:r>
        <w:rPr>
          <w:spacing w:val="-15"/>
          <w:sz w:val="22"/>
        </w:rPr>
        <w:t> </w:t>
      </w:r>
      <w:r>
        <w:rPr>
          <w:sz w:val="22"/>
        </w:rPr>
        <w:t>with</w:t>
      </w:r>
      <w:r>
        <w:rPr>
          <w:spacing w:val="-16"/>
          <w:sz w:val="22"/>
        </w:rPr>
        <w:t> </w:t>
      </w:r>
      <w:r>
        <w:rPr>
          <w:sz w:val="22"/>
        </w:rPr>
        <w:t>and</w:t>
      </w:r>
      <w:r>
        <w:rPr>
          <w:spacing w:val="-15"/>
          <w:sz w:val="22"/>
        </w:rPr>
        <w:t> </w:t>
      </w:r>
      <w:r>
        <w:rPr>
          <w:sz w:val="22"/>
        </w:rPr>
        <w:t>any</w:t>
      </w:r>
      <w:r>
        <w:rPr>
          <w:spacing w:val="-15"/>
          <w:sz w:val="22"/>
        </w:rPr>
        <w:t> </w:t>
      </w:r>
      <w:r>
        <w:rPr>
          <w:sz w:val="22"/>
        </w:rPr>
        <w:t>other</w:t>
      </w:r>
      <w:r>
        <w:rPr>
          <w:spacing w:val="-16"/>
          <w:sz w:val="22"/>
        </w:rPr>
        <w:t> </w:t>
      </w:r>
      <w:r>
        <w:rPr>
          <w:sz w:val="22"/>
        </w:rPr>
        <w:t>factors</w:t>
      </w:r>
      <w:r>
        <w:rPr>
          <w:spacing w:val="-15"/>
          <w:sz w:val="22"/>
        </w:rPr>
        <w:t> </w:t>
      </w:r>
      <w:r>
        <w:rPr>
          <w:sz w:val="22"/>
        </w:rPr>
        <w:t>which</w:t>
      </w:r>
      <w:r>
        <w:rPr>
          <w:spacing w:val="-16"/>
          <w:sz w:val="22"/>
        </w:rPr>
        <w:t> </w:t>
      </w:r>
      <w:r>
        <w:rPr>
          <w:sz w:val="22"/>
        </w:rPr>
        <w:t>may</w:t>
      </w:r>
      <w:r>
        <w:rPr>
          <w:spacing w:val="-15"/>
          <w:sz w:val="22"/>
        </w:rPr>
        <w:t> </w:t>
      </w:r>
      <w:r>
        <w:rPr>
          <w:sz w:val="22"/>
        </w:rPr>
        <w:t>interfere</w:t>
      </w:r>
      <w:r>
        <w:rPr>
          <w:spacing w:val="-15"/>
          <w:sz w:val="22"/>
        </w:rPr>
        <w:t> </w:t>
      </w:r>
      <w:r>
        <w:rPr>
          <w:sz w:val="22"/>
        </w:rPr>
        <w:t>with</w:t>
      </w:r>
      <w:r>
        <w:rPr>
          <w:spacing w:val="-16"/>
          <w:sz w:val="22"/>
        </w:rPr>
        <w:t> </w:t>
      </w:r>
      <w:r>
        <w:rPr>
          <w:sz w:val="22"/>
        </w:rPr>
        <w:t>the Valuer’s</w:t>
      </w:r>
      <w:r>
        <w:rPr>
          <w:spacing w:val="-11"/>
          <w:sz w:val="22"/>
        </w:rPr>
        <w:t> </w:t>
      </w:r>
      <w:r>
        <w:rPr>
          <w:sz w:val="22"/>
        </w:rPr>
        <w:t>ability</w:t>
      </w:r>
      <w:r>
        <w:rPr>
          <w:spacing w:val="-11"/>
          <w:sz w:val="22"/>
        </w:rPr>
        <w:t> </w:t>
      </w:r>
      <w:r>
        <w:rPr>
          <w:sz w:val="22"/>
        </w:rPr>
        <w:t>to</w:t>
      </w:r>
      <w:r>
        <w:rPr>
          <w:spacing w:val="-11"/>
          <w:sz w:val="22"/>
        </w:rPr>
        <w:t> </w:t>
      </w:r>
      <w:r>
        <w:rPr>
          <w:sz w:val="22"/>
        </w:rPr>
        <w:t>give</w:t>
      </w:r>
      <w:r>
        <w:rPr>
          <w:spacing w:val="-12"/>
          <w:sz w:val="22"/>
        </w:rPr>
        <w:t> </w:t>
      </w:r>
      <w:r>
        <w:rPr>
          <w:sz w:val="22"/>
        </w:rPr>
        <w:t>an</w:t>
      </w:r>
      <w:r>
        <w:rPr>
          <w:spacing w:val="-12"/>
          <w:sz w:val="22"/>
        </w:rPr>
        <w:t> </w:t>
      </w:r>
      <w:r>
        <w:rPr>
          <w:sz w:val="22"/>
        </w:rPr>
        <w:t>independent</w:t>
      </w:r>
      <w:r>
        <w:rPr>
          <w:spacing w:val="-11"/>
          <w:sz w:val="22"/>
        </w:rPr>
        <w:t> </w:t>
      </w:r>
      <w:r>
        <w:rPr>
          <w:sz w:val="22"/>
        </w:rPr>
        <w:t>and</w:t>
      </w:r>
      <w:r>
        <w:rPr>
          <w:spacing w:val="-13"/>
          <w:sz w:val="22"/>
        </w:rPr>
        <w:t> </w:t>
      </w:r>
      <w:r>
        <w:rPr>
          <w:sz w:val="22"/>
        </w:rPr>
        <w:t>professional</w:t>
      </w:r>
      <w:r>
        <w:rPr>
          <w:spacing w:val="-13"/>
          <w:sz w:val="22"/>
        </w:rPr>
        <w:t> </w:t>
      </w:r>
      <w:r>
        <w:rPr>
          <w:sz w:val="22"/>
        </w:rPr>
        <w:t>valuation</w:t>
      </w:r>
      <w:r>
        <w:rPr>
          <w:spacing w:val="-12"/>
          <w:sz w:val="22"/>
        </w:rPr>
        <w:t> </w:t>
      </w:r>
      <w:r>
        <w:rPr>
          <w:sz w:val="22"/>
        </w:rPr>
        <w:t>of</w:t>
      </w:r>
      <w:r>
        <w:rPr>
          <w:spacing w:val="-11"/>
          <w:sz w:val="22"/>
        </w:rPr>
        <w:t> </w:t>
      </w:r>
      <w:r>
        <w:rPr>
          <w:sz w:val="22"/>
        </w:rPr>
        <w:t>the</w:t>
      </w:r>
      <w:r>
        <w:rPr>
          <w:spacing w:val="-12"/>
          <w:sz w:val="22"/>
        </w:rPr>
        <w:t> </w:t>
      </w:r>
      <w:r>
        <w:rPr>
          <w:sz w:val="22"/>
        </w:rPr>
        <w:t>property</w:t>
      </w:r>
    </w:p>
    <w:p>
      <w:pPr>
        <w:pStyle w:val="BodyText"/>
        <w:rPr>
          <w:sz w:val="21"/>
        </w:rPr>
      </w:pPr>
    </w:p>
    <w:p>
      <w:pPr>
        <w:pStyle w:val="ListParagraph"/>
        <w:numPr>
          <w:ilvl w:val="2"/>
          <w:numId w:val="15"/>
        </w:numPr>
        <w:tabs>
          <w:tab w:pos="1540" w:val="left" w:leader="none"/>
          <w:tab w:pos="1541" w:val="left" w:leader="none"/>
        </w:tabs>
        <w:spacing w:line="240" w:lineRule="auto" w:before="0" w:after="0"/>
        <w:ind w:left="1540" w:right="0" w:hanging="361"/>
        <w:jc w:val="left"/>
        <w:rPr>
          <w:sz w:val="22"/>
        </w:rPr>
      </w:pPr>
      <w:r>
        <w:rPr>
          <w:sz w:val="22"/>
        </w:rPr>
        <w:t>The</w:t>
      </w:r>
      <w:r>
        <w:rPr>
          <w:spacing w:val="-25"/>
          <w:sz w:val="22"/>
        </w:rPr>
        <w:t> </w:t>
      </w:r>
      <w:r>
        <w:rPr>
          <w:sz w:val="22"/>
        </w:rPr>
        <w:t>Valuer</w:t>
      </w:r>
      <w:r>
        <w:rPr>
          <w:spacing w:val="-25"/>
          <w:sz w:val="22"/>
        </w:rPr>
        <w:t> </w:t>
      </w:r>
      <w:r>
        <w:rPr>
          <w:sz w:val="22"/>
        </w:rPr>
        <w:t>shall</w:t>
      </w:r>
      <w:r>
        <w:rPr>
          <w:spacing w:val="-25"/>
          <w:sz w:val="22"/>
        </w:rPr>
        <w:t> </w:t>
      </w:r>
      <w:r>
        <w:rPr>
          <w:sz w:val="22"/>
        </w:rPr>
        <w:t>not</w:t>
      </w:r>
      <w:r>
        <w:rPr>
          <w:spacing w:val="-23"/>
          <w:sz w:val="22"/>
        </w:rPr>
        <w:t> </w:t>
      </w:r>
      <w:r>
        <w:rPr>
          <w:sz w:val="22"/>
        </w:rPr>
        <w:t>make</w:t>
      </w:r>
      <w:r>
        <w:rPr>
          <w:spacing w:val="-25"/>
          <w:sz w:val="22"/>
        </w:rPr>
        <w:t> </w:t>
      </w:r>
      <w:r>
        <w:rPr>
          <w:sz w:val="22"/>
        </w:rPr>
        <w:t>false,</w:t>
      </w:r>
      <w:r>
        <w:rPr>
          <w:spacing w:val="-24"/>
          <w:sz w:val="22"/>
        </w:rPr>
        <w:t> </w:t>
      </w:r>
      <w:r>
        <w:rPr>
          <w:sz w:val="22"/>
        </w:rPr>
        <w:t>misleading</w:t>
      </w:r>
      <w:r>
        <w:rPr>
          <w:spacing w:val="-24"/>
          <w:sz w:val="22"/>
        </w:rPr>
        <w:t> </w:t>
      </w:r>
      <w:r>
        <w:rPr>
          <w:sz w:val="22"/>
        </w:rPr>
        <w:t>or</w:t>
      </w:r>
      <w:r>
        <w:rPr>
          <w:spacing w:val="-25"/>
          <w:sz w:val="22"/>
        </w:rPr>
        <w:t> </w:t>
      </w:r>
      <w:r>
        <w:rPr>
          <w:sz w:val="22"/>
        </w:rPr>
        <w:t>exaggerated</w:t>
      </w:r>
      <w:r>
        <w:rPr>
          <w:spacing w:val="-23"/>
          <w:sz w:val="22"/>
        </w:rPr>
        <w:t> </w:t>
      </w:r>
      <w:r>
        <w:rPr>
          <w:sz w:val="22"/>
        </w:rPr>
        <w:t>claims</w:t>
      </w:r>
      <w:r>
        <w:rPr>
          <w:spacing w:val="-23"/>
          <w:sz w:val="22"/>
        </w:rPr>
        <w:t> </w:t>
      </w:r>
      <w:r>
        <w:rPr>
          <w:sz w:val="22"/>
        </w:rPr>
        <w:t>in</w:t>
      </w:r>
      <w:r>
        <w:rPr>
          <w:spacing w:val="-25"/>
          <w:sz w:val="22"/>
        </w:rPr>
        <w:t> </w:t>
      </w:r>
      <w:r>
        <w:rPr>
          <w:sz w:val="22"/>
        </w:rPr>
        <w:t>order</w:t>
      </w:r>
      <w:r>
        <w:rPr>
          <w:spacing w:val="-25"/>
          <w:sz w:val="22"/>
        </w:rPr>
        <w:t> </w:t>
      </w:r>
      <w:r>
        <w:rPr>
          <w:sz w:val="22"/>
        </w:rPr>
        <w:t>to</w:t>
      </w:r>
      <w:r>
        <w:rPr>
          <w:spacing w:val="-25"/>
          <w:sz w:val="22"/>
        </w:rPr>
        <w:t> </w:t>
      </w:r>
      <w:r>
        <w:rPr>
          <w:sz w:val="22"/>
        </w:rPr>
        <w:t>secure</w:t>
      </w:r>
      <w:r>
        <w:rPr>
          <w:spacing w:val="-25"/>
          <w:sz w:val="22"/>
        </w:rPr>
        <w:t> </w:t>
      </w:r>
      <w:r>
        <w:rPr>
          <w:sz w:val="22"/>
        </w:rPr>
        <w:t>assignments</w:t>
      </w:r>
    </w:p>
    <w:p>
      <w:pPr>
        <w:pStyle w:val="BodyText"/>
        <w:rPr>
          <w:sz w:val="28"/>
        </w:rPr>
      </w:pPr>
    </w:p>
    <w:p>
      <w:pPr>
        <w:pStyle w:val="ListParagraph"/>
        <w:numPr>
          <w:ilvl w:val="2"/>
          <w:numId w:val="15"/>
        </w:numPr>
        <w:tabs>
          <w:tab w:pos="1541" w:val="left" w:leader="none"/>
        </w:tabs>
        <w:spacing w:line="321" w:lineRule="auto" w:before="1" w:after="0"/>
        <w:ind w:left="1540" w:right="638" w:hanging="360"/>
        <w:jc w:val="both"/>
        <w:rPr>
          <w:sz w:val="22"/>
        </w:rPr>
      </w:pPr>
      <w:r>
        <w:rPr>
          <w:sz w:val="22"/>
        </w:rPr>
        <w:t>The</w:t>
      </w:r>
      <w:r>
        <w:rPr>
          <w:spacing w:val="-37"/>
          <w:sz w:val="22"/>
        </w:rPr>
        <w:t> </w:t>
      </w:r>
      <w:r>
        <w:rPr>
          <w:sz w:val="22"/>
        </w:rPr>
        <w:t>Valuer</w:t>
      </w:r>
      <w:r>
        <w:rPr>
          <w:spacing w:val="-36"/>
          <w:sz w:val="22"/>
        </w:rPr>
        <w:t> </w:t>
      </w:r>
      <w:r>
        <w:rPr>
          <w:sz w:val="22"/>
        </w:rPr>
        <w:t>shall</w:t>
      </w:r>
      <w:r>
        <w:rPr>
          <w:spacing w:val="-36"/>
          <w:sz w:val="22"/>
        </w:rPr>
        <w:t> </w:t>
      </w:r>
      <w:r>
        <w:rPr>
          <w:sz w:val="22"/>
        </w:rPr>
        <w:t>not</w:t>
      </w:r>
      <w:r>
        <w:rPr>
          <w:spacing w:val="-36"/>
          <w:sz w:val="22"/>
        </w:rPr>
        <w:t> </w:t>
      </w:r>
      <w:r>
        <w:rPr>
          <w:sz w:val="22"/>
        </w:rPr>
        <w:t>provide</w:t>
      </w:r>
      <w:r>
        <w:rPr>
          <w:spacing w:val="-36"/>
          <w:sz w:val="22"/>
        </w:rPr>
        <w:t> </w:t>
      </w:r>
      <w:r>
        <w:rPr>
          <w:sz w:val="22"/>
        </w:rPr>
        <w:t>misleading</w:t>
      </w:r>
      <w:r>
        <w:rPr>
          <w:spacing w:val="-36"/>
          <w:sz w:val="22"/>
        </w:rPr>
        <w:t> </w:t>
      </w:r>
      <w:r>
        <w:rPr>
          <w:sz w:val="22"/>
        </w:rPr>
        <w:t>valuation,</w:t>
      </w:r>
      <w:r>
        <w:rPr>
          <w:spacing w:val="-36"/>
          <w:sz w:val="22"/>
        </w:rPr>
        <w:t> </w:t>
      </w:r>
      <w:r>
        <w:rPr>
          <w:sz w:val="22"/>
        </w:rPr>
        <w:t>either</w:t>
      </w:r>
      <w:r>
        <w:rPr>
          <w:spacing w:val="-36"/>
          <w:sz w:val="22"/>
        </w:rPr>
        <w:t> </w:t>
      </w:r>
      <w:r>
        <w:rPr>
          <w:sz w:val="22"/>
        </w:rPr>
        <w:t>by</w:t>
      </w:r>
      <w:r>
        <w:rPr>
          <w:spacing w:val="-36"/>
          <w:sz w:val="22"/>
        </w:rPr>
        <w:t> </w:t>
      </w:r>
      <w:r>
        <w:rPr>
          <w:sz w:val="22"/>
        </w:rPr>
        <w:t>providing</w:t>
      </w:r>
      <w:r>
        <w:rPr>
          <w:spacing w:val="-35"/>
          <w:sz w:val="22"/>
        </w:rPr>
        <w:t> </w:t>
      </w:r>
      <w:r>
        <w:rPr>
          <w:sz w:val="22"/>
        </w:rPr>
        <w:t>incorrect</w:t>
      </w:r>
      <w:r>
        <w:rPr>
          <w:spacing w:val="-34"/>
          <w:sz w:val="22"/>
        </w:rPr>
        <w:t> </w:t>
      </w:r>
      <w:r>
        <w:rPr>
          <w:sz w:val="22"/>
        </w:rPr>
        <w:t>information</w:t>
      </w:r>
      <w:r>
        <w:rPr>
          <w:spacing w:val="-36"/>
          <w:sz w:val="22"/>
        </w:rPr>
        <w:t> </w:t>
      </w:r>
      <w:r>
        <w:rPr>
          <w:sz w:val="22"/>
        </w:rPr>
        <w:t>or</w:t>
      </w:r>
      <w:r>
        <w:rPr>
          <w:spacing w:val="-37"/>
          <w:sz w:val="22"/>
        </w:rPr>
        <w:t> </w:t>
      </w:r>
      <w:r>
        <w:rPr>
          <w:sz w:val="22"/>
        </w:rPr>
        <w:t>by withholding relevant</w:t>
      </w:r>
      <w:r>
        <w:rPr>
          <w:spacing w:val="-7"/>
          <w:sz w:val="22"/>
        </w:rPr>
        <w:t> </w:t>
      </w:r>
      <w:r>
        <w:rPr>
          <w:sz w:val="22"/>
        </w:rPr>
        <w:t>information</w:t>
      </w:r>
    </w:p>
    <w:p>
      <w:pPr>
        <w:pStyle w:val="BodyText"/>
        <w:spacing w:before="9"/>
        <w:rPr>
          <w:sz w:val="20"/>
        </w:rPr>
      </w:pPr>
    </w:p>
    <w:p>
      <w:pPr>
        <w:pStyle w:val="ListParagraph"/>
        <w:numPr>
          <w:ilvl w:val="2"/>
          <w:numId w:val="15"/>
        </w:numPr>
        <w:tabs>
          <w:tab w:pos="1541" w:val="left" w:leader="none"/>
        </w:tabs>
        <w:spacing w:line="321" w:lineRule="auto" w:before="0" w:after="0"/>
        <w:ind w:left="1540" w:right="642" w:hanging="360"/>
        <w:jc w:val="both"/>
        <w:rPr>
          <w:sz w:val="22"/>
        </w:rPr>
      </w:pPr>
      <w:r>
        <w:rPr>
          <w:sz w:val="22"/>
        </w:rPr>
        <w:t>The Valuer shall not accept an assignment that includes reporting of the outcome based on predetermined opinions and conclusions required by the Embassy</w:t>
      </w:r>
      <w:r>
        <w:rPr>
          <w:spacing w:val="-48"/>
          <w:sz w:val="22"/>
        </w:rPr>
        <w:t> </w:t>
      </w:r>
      <w:r>
        <w:rPr>
          <w:sz w:val="22"/>
        </w:rPr>
        <w:t>REIT</w:t>
      </w:r>
    </w:p>
    <w:p>
      <w:pPr>
        <w:pStyle w:val="BodyText"/>
        <w:spacing w:before="10"/>
        <w:rPr>
          <w:sz w:val="20"/>
        </w:rPr>
      </w:pPr>
    </w:p>
    <w:p>
      <w:pPr>
        <w:pStyle w:val="ListParagraph"/>
        <w:numPr>
          <w:ilvl w:val="2"/>
          <w:numId w:val="15"/>
        </w:numPr>
        <w:tabs>
          <w:tab w:pos="1540" w:val="left" w:leader="none"/>
          <w:tab w:pos="1541" w:val="left" w:leader="none"/>
        </w:tabs>
        <w:spacing w:line="240" w:lineRule="auto" w:before="0" w:after="0"/>
        <w:ind w:left="1540" w:right="0" w:hanging="361"/>
        <w:jc w:val="left"/>
        <w:rPr>
          <w:sz w:val="22"/>
        </w:rPr>
      </w:pPr>
      <w:r>
        <w:rPr>
          <w:sz w:val="22"/>
        </w:rPr>
        <w:t>The</w:t>
      </w:r>
      <w:r>
        <w:rPr>
          <w:spacing w:val="-11"/>
          <w:sz w:val="22"/>
        </w:rPr>
        <w:t> </w:t>
      </w:r>
      <w:r>
        <w:rPr>
          <w:sz w:val="22"/>
        </w:rPr>
        <w:t>valuation</w:t>
      </w:r>
      <w:r>
        <w:rPr>
          <w:spacing w:val="-11"/>
          <w:sz w:val="22"/>
        </w:rPr>
        <w:t> </w:t>
      </w:r>
      <w:r>
        <w:rPr>
          <w:sz w:val="22"/>
        </w:rPr>
        <w:t>undertaken</w:t>
      </w:r>
      <w:r>
        <w:rPr>
          <w:spacing w:val="-8"/>
          <w:sz w:val="22"/>
        </w:rPr>
        <w:t> </w:t>
      </w:r>
      <w:r>
        <w:rPr>
          <w:sz w:val="22"/>
        </w:rPr>
        <w:t>by</w:t>
      </w:r>
      <w:r>
        <w:rPr>
          <w:spacing w:val="-7"/>
          <w:sz w:val="22"/>
        </w:rPr>
        <w:t> </w:t>
      </w:r>
      <w:r>
        <w:rPr>
          <w:sz w:val="22"/>
        </w:rPr>
        <w:t>the</w:t>
      </w:r>
      <w:r>
        <w:rPr>
          <w:spacing w:val="-11"/>
          <w:sz w:val="22"/>
        </w:rPr>
        <w:t> </w:t>
      </w:r>
      <w:r>
        <w:rPr>
          <w:sz w:val="22"/>
        </w:rPr>
        <w:t>Valuer</w:t>
      </w:r>
      <w:r>
        <w:rPr>
          <w:spacing w:val="-10"/>
          <w:sz w:val="22"/>
        </w:rPr>
        <w:t> </w:t>
      </w:r>
      <w:r>
        <w:rPr>
          <w:sz w:val="22"/>
        </w:rPr>
        <w:t>abides</w:t>
      </w:r>
      <w:r>
        <w:rPr>
          <w:spacing w:val="-8"/>
          <w:sz w:val="22"/>
        </w:rPr>
        <w:t> </w:t>
      </w:r>
      <w:r>
        <w:rPr>
          <w:sz w:val="22"/>
        </w:rPr>
        <w:t>by</w:t>
      </w:r>
      <w:r>
        <w:rPr>
          <w:spacing w:val="-9"/>
          <w:sz w:val="22"/>
        </w:rPr>
        <w:t> </w:t>
      </w:r>
      <w:r>
        <w:rPr>
          <w:sz w:val="22"/>
        </w:rPr>
        <w:t>international</w:t>
      </w:r>
      <w:r>
        <w:rPr>
          <w:spacing w:val="-11"/>
          <w:sz w:val="22"/>
        </w:rPr>
        <w:t> </w:t>
      </w:r>
      <w:r>
        <w:rPr>
          <w:sz w:val="22"/>
        </w:rPr>
        <w:t>valuation</w:t>
      </w:r>
      <w:r>
        <w:rPr>
          <w:spacing w:val="-10"/>
          <w:sz w:val="22"/>
        </w:rPr>
        <w:t> </w:t>
      </w:r>
      <w:r>
        <w:rPr>
          <w:sz w:val="22"/>
        </w:rPr>
        <w:t>standards</w:t>
      </w:r>
    </w:p>
    <w:p>
      <w:pPr>
        <w:pStyle w:val="BodyText"/>
        <w:spacing w:before="2"/>
        <w:rPr>
          <w:sz w:val="28"/>
        </w:rPr>
      </w:pPr>
    </w:p>
    <w:p>
      <w:pPr>
        <w:pStyle w:val="ListParagraph"/>
        <w:numPr>
          <w:ilvl w:val="2"/>
          <w:numId w:val="15"/>
        </w:numPr>
        <w:tabs>
          <w:tab w:pos="1541" w:val="left" w:leader="none"/>
        </w:tabs>
        <w:spacing w:line="321" w:lineRule="auto" w:before="0" w:after="0"/>
        <w:ind w:left="1540" w:right="633" w:hanging="360"/>
        <w:jc w:val="both"/>
        <w:rPr>
          <w:sz w:val="22"/>
        </w:rPr>
      </w:pPr>
      <w:r>
        <w:rPr>
          <w:sz w:val="22"/>
        </w:rPr>
        <w:t>The</w:t>
      </w:r>
      <w:r>
        <w:rPr>
          <w:spacing w:val="-9"/>
          <w:sz w:val="22"/>
        </w:rPr>
        <w:t> </w:t>
      </w:r>
      <w:r>
        <w:rPr>
          <w:sz w:val="22"/>
        </w:rPr>
        <w:t>Valuer</w:t>
      </w:r>
      <w:r>
        <w:rPr>
          <w:spacing w:val="-8"/>
          <w:sz w:val="22"/>
        </w:rPr>
        <w:t> </w:t>
      </w:r>
      <w:r>
        <w:rPr>
          <w:sz w:val="22"/>
        </w:rPr>
        <w:t>notes</w:t>
      </w:r>
      <w:r>
        <w:rPr>
          <w:spacing w:val="-7"/>
          <w:sz w:val="22"/>
        </w:rPr>
        <w:t> </w:t>
      </w:r>
      <w:r>
        <w:rPr>
          <w:sz w:val="22"/>
        </w:rPr>
        <w:t>that</w:t>
      </w:r>
      <w:r>
        <w:rPr>
          <w:spacing w:val="-7"/>
          <w:sz w:val="22"/>
        </w:rPr>
        <w:t> </w:t>
      </w:r>
      <w:r>
        <w:rPr>
          <w:sz w:val="22"/>
        </w:rPr>
        <w:t>there</w:t>
      </w:r>
      <w:r>
        <w:rPr>
          <w:spacing w:val="-8"/>
          <w:sz w:val="22"/>
        </w:rPr>
        <w:t> </w:t>
      </w:r>
      <w:r>
        <w:rPr>
          <w:sz w:val="22"/>
        </w:rPr>
        <w:t>are</w:t>
      </w:r>
      <w:r>
        <w:rPr>
          <w:spacing w:val="-7"/>
          <w:sz w:val="22"/>
        </w:rPr>
        <w:t> </w:t>
      </w:r>
      <w:r>
        <w:rPr>
          <w:sz w:val="22"/>
        </w:rPr>
        <w:t>encumbrances,</w:t>
      </w:r>
      <w:r>
        <w:rPr>
          <w:spacing w:val="-6"/>
          <w:sz w:val="22"/>
        </w:rPr>
        <w:t> </w:t>
      </w:r>
      <w:r>
        <w:rPr>
          <w:sz w:val="22"/>
        </w:rPr>
        <w:t>however,</w:t>
      </w:r>
      <w:r>
        <w:rPr>
          <w:spacing w:val="-7"/>
          <w:sz w:val="22"/>
        </w:rPr>
        <w:t> </w:t>
      </w:r>
      <w:r>
        <w:rPr>
          <w:sz w:val="22"/>
        </w:rPr>
        <w:t>no</w:t>
      </w:r>
      <w:r>
        <w:rPr>
          <w:spacing w:val="-9"/>
          <w:sz w:val="22"/>
        </w:rPr>
        <w:t> </w:t>
      </w:r>
      <w:r>
        <w:rPr>
          <w:sz w:val="22"/>
        </w:rPr>
        <w:t>options</w:t>
      </w:r>
      <w:r>
        <w:rPr>
          <w:spacing w:val="-7"/>
          <w:sz w:val="22"/>
        </w:rPr>
        <w:t> </w:t>
      </w:r>
      <w:r>
        <w:rPr>
          <w:sz w:val="22"/>
        </w:rPr>
        <w:t>or</w:t>
      </w:r>
      <w:r>
        <w:rPr>
          <w:spacing w:val="-7"/>
          <w:sz w:val="22"/>
        </w:rPr>
        <w:t> </w:t>
      </w:r>
      <w:r>
        <w:rPr>
          <w:sz w:val="22"/>
        </w:rPr>
        <w:t>pre-emptions</w:t>
      </w:r>
      <w:r>
        <w:rPr>
          <w:spacing w:val="-7"/>
          <w:sz w:val="22"/>
        </w:rPr>
        <w:t> </w:t>
      </w:r>
      <w:r>
        <w:rPr>
          <w:sz w:val="22"/>
        </w:rPr>
        <w:t>rights</w:t>
      </w:r>
      <w:r>
        <w:rPr>
          <w:spacing w:val="-7"/>
          <w:sz w:val="22"/>
        </w:rPr>
        <w:t> </w:t>
      </w:r>
      <w:r>
        <w:rPr>
          <w:sz w:val="22"/>
        </w:rPr>
        <w:t>in relation</w:t>
      </w:r>
      <w:r>
        <w:rPr>
          <w:spacing w:val="-28"/>
          <w:sz w:val="22"/>
        </w:rPr>
        <w:t> </w:t>
      </w:r>
      <w:r>
        <w:rPr>
          <w:sz w:val="22"/>
        </w:rPr>
        <w:t>to</w:t>
      </w:r>
      <w:r>
        <w:rPr>
          <w:spacing w:val="-27"/>
          <w:sz w:val="22"/>
        </w:rPr>
        <w:t> </w:t>
      </w:r>
      <w:r>
        <w:rPr>
          <w:sz w:val="22"/>
        </w:rPr>
        <w:t>the</w:t>
      </w:r>
      <w:r>
        <w:rPr>
          <w:spacing w:val="-28"/>
          <w:sz w:val="22"/>
        </w:rPr>
        <w:t> </w:t>
      </w:r>
      <w:r>
        <w:rPr>
          <w:sz w:val="22"/>
        </w:rPr>
        <w:t>assets</w:t>
      </w:r>
      <w:r>
        <w:rPr>
          <w:spacing w:val="-26"/>
          <w:sz w:val="22"/>
        </w:rPr>
        <w:t> </w:t>
      </w:r>
      <w:r>
        <w:rPr>
          <w:sz w:val="22"/>
        </w:rPr>
        <w:t>based</w:t>
      </w:r>
      <w:r>
        <w:rPr>
          <w:spacing w:val="-26"/>
          <w:sz w:val="22"/>
        </w:rPr>
        <w:t> </w:t>
      </w:r>
      <w:r>
        <w:rPr>
          <w:sz w:val="22"/>
        </w:rPr>
        <w:t>on</w:t>
      </w:r>
      <w:r>
        <w:rPr>
          <w:spacing w:val="-28"/>
          <w:sz w:val="22"/>
        </w:rPr>
        <w:t> </w:t>
      </w:r>
      <w:r>
        <w:rPr>
          <w:sz w:val="22"/>
        </w:rPr>
        <w:t>the</w:t>
      </w:r>
      <w:r>
        <w:rPr>
          <w:spacing w:val="-27"/>
          <w:sz w:val="22"/>
        </w:rPr>
        <w:t> </w:t>
      </w:r>
      <w:r>
        <w:rPr>
          <w:sz w:val="22"/>
        </w:rPr>
        <w:t>title</w:t>
      </w:r>
      <w:r>
        <w:rPr>
          <w:spacing w:val="-28"/>
          <w:sz w:val="22"/>
        </w:rPr>
        <w:t> </w:t>
      </w:r>
      <w:r>
        <w:rPr>
          <w:sz w:val="22"/>
        </w:rPr>
        <w:t>report</w:t>
      </w:r>
      <w:r>
        <w:rPr>
          <w:spacing w:val="-26"/>
          <w:sz w:val="22"/>
        </w:rPr>
        <w:t> </w:t>
      </w:r>
      <w:r>
        <w:rPr>
          <w:sz w:val="22"/>
        </w:rPr>
        <w:t>prepared</w:t>
      </w:r>
      <w:r>
        <w:rPr>
          <w:spacing w:val="-27"/>
          <w:sz w:val="22"/>
        </w:rPr>
        <w:t> </w:t>
      </w:r>
      <w:r>
        <w:rPr>
          <w:sz w:val="22"/>
        </w:rPr>
        <w:t>by</w:t>
      </w:r>
      <w:r>
        <w:rPr>
          <w:spacing w:val="-26"/>
          <w:sz w:val="22"/>
        </w:rPr>
        <w:t> </w:t>
      </w:r>
      <w:r>
        <w:rPr>
          <w:sz w:val="22"/>
        </w:rPr>
        <w:t>King</w:t>
      </w:r>
      <w:r>
        <w:rPr>
          <w:spacing w:val="-28"/>
          <w:sz w:val="22"/>
        </w:rPr>
        <w:t> </w:t>
      </w:r>
      <w:r>
        <w:rPr>
          <w:sz w:val="22"/>
        </w:rPr>
        <w:t>&amp;</w:t>
      </w:r>
      <w:r>
        <w:rPr>
          <w:spacing w:val="-26"/>
          <w:sz w:val="22"/>
        </w:rPr>
        <w:t> </w:t>
      </w:r>
      <w:r>
        <w:rPr>
          <w:sz w:val="22"/>
        </w:rPr>
        <w:t>Partridge,</w:t>
      </w:r>
      <w:r>
        <w:rPr>
          <w:spacing w:val="-29"/>
          <w:sz w:val="22"/>
        </w:rPr>
        <w:t> </w:t>
      </w:r>
      <w:r>
        <w:rPr>
          <w:sz w:val="22"/>
        </w:rPr>
        <w:t>Shardul</w:t>
      </w:r>
      <w:r>
        <w:rPr>
          <w:spacing w:val="-27"/>
          <w:sz w:val="22"/>
        </w:rPr>
        <w:t> </w:t>
      </w:r>
      <w:r>
        <w:rPr>
          <w:sz w:val="22"/>
        </w:rPr>
        <w:t>Amarchand</w:t>
      </w:r>
    </w:p>
    <w:p>
      <w:pPr>
        <w:spacing w:after="0" w:line="321" w:lineRule="auto"/>
        <w:jc w:val="both"/>
        <w:rPr>
          <w:sz w:val="22"/>
        </w:rPr>
        <w:sectPr>
          <w:pgSz w:w="11910" w:h="16840"/>
          <w:pgMar w:header="720" w:footer="842" w:top="1520" w:bottom="1040" w:left="440" w:right="80"/>
        </w:sectPr>
      </w:pPr>
    </w:p>
    <w:p>
      <w:pPr>
        <w:pStyle w:val="BodyText"/>
        <w:spacing w:before="5"/>
      </w:pPr>
    </w:p>
    <w:p>
      <w:pPr>
        <w:pStyle w:val="BodyText"/>
        <w:spacing w:before="106"/>
        <w:ind w:left="1540"/>
      </w:pPr>
      <w:r>
        <w:rPr/>
        <w:t>Mangaldas &amp; Co, Cyril Amarchand Mangaldas, Little &amp; Company, Jayashree Sridhar and Law</w:t>
      </w:r>
    </w:p>
    <w:p>
      <w:pPr>
        <w:pStyle w:val="BodyText"/>
        <w:spacing w:before="88"/>
        <w:ind w:left="1540"/>
      </w:pPr>
      <w:r>
        <w:rPr/>
        <w:t>Shield (hereinafter collectively referred to as ‘Legal Counsels’)</w:t>
      </w:r>
    </w:p>
    <w:p>
      <w:pPr>
        <w:pStyle w:val="BodyText"/>
        <w:spacing w:before="2"/>
        <w:rPr>
          <w:sz w:val="28"/>
        </w:rPr>
      </w:pPr>
    </w:p>
    <w:p>
      <w:pPr>
        <w:pStyle w:val="ListParagraph"/>
        <w:numPr>
          <w:ilvl w:val="1"/>
          <w:numId w:val="15"/>
        </w:numPr>
        <w:tabs>
          <w:tab w:pos="857" w:val="left" w:leader="none"/>
        </w:tabs>
        <w:spacing w:line="240" w:lineRule="auto" w:before="1" w:after="0"/>
        <w:ind w:left="856" w:right="0" w:hanging="577"/>
        <w:jc w:val="left"/>
        <w:rPr>
          <w:sz w:val="22"/>
        </w:rPr>
      </w:pPr>
      <w:bookmarkStart w:name="_bookmark10" w:id="20"/>
      <w:bookmarkEnd w:id="20"/>
      <w:r>
        <w:rPr/>
      </w:r>
      <w:bookmarkStart w:name="_bookmark10" w:id="21"/>
      <w:bookmarkEnd w:id="21"/>
      <w:r>
        <w:rPr>
          <w:color w:val="1F6647"/>
          <w:sz w:val="22"/>
        </w:rPr>
        <w:t>Ass</w:t>
      </w:r>
      <w:r>
        <w:rPr>
          <w:color w:val="1F6647"/>
          <w:sz w:val="22"/>
        </w:rPr>
        <w:t>umptions, Disclaimers, Limitations &amp; Qualifications to</w:t>
      </w:r>
      <w:r>
        <w:rPr>
          <w:color w:val="1F6647"/>
          <w:spacing w:val="-1"/>
          <w:sz w:val="22"/>
        </w:rPr>
        <w:t> </w:t>
      </w:r>
      <w:r>
        <w:rPr>
          <w:color w:val="1F6647"/>
          <w:sz w:val="22"/>
        </w:rPr>
        <w:t>Valuation</w:t>
      </w:r>
    </w:p>
    <w:p>
      <w:pPr>
        <w:pStyle w:val="BodyText"/>
        <w:spacing w:before="10"/>
        <w:rPr>
          <w:sz w:val="13"/>
        </w:rPr>
      </w:pPr>
      <w:r>
        <w:rPr/>
        <w:pict>
          <v:group style="position:absolute;margin-left:41.400002pt;margin-top:10.026328pt;width:524.65pt;height:63.5pt;mso-position-horizontal-relative:page;mso-position-vertical-relative:paragraph;z-index:-15644672;mso-wrap-distance-left:0;mso-wrap-distance-right:0" coordorigin="828,201" coordsize="10493,1270">
            <v:shape style="position:absolute;left:828;top:200;width:10493;height:1270" coordorigin="828,201" coordsize="10493,1270" path="m11321,201l2672,201,828,201,828,1470,2672,1470,11321,1470,11321,201xe" filled="true" fillcolor="#f1f1f1" stroked="false">
              <v:path arrowok="t"/>
              <v:fill type="solid"/>
            </v:shape>
            <v:shape style="position:absolute;left:936;top:319;width:950;height:952" type="#_x0000_t202" filled="false" stroked="false">
              <v:textbox inset="0,0,0,0">
                <w:txbxContent>
                  <w:p>
                    <w:pPr>
                      <w:spacing w:line="321" w:lineRule="auto" w:before="6"/>
                      <w:ind w:left="0" w:right="0" w:firstLine="0"/>
                      <w:jc w:val="left"/>
                      <w:rPr>
                        <w:sz w:val="22"/>
                      </w:rPr>
                    </w:pPr>
                    <w:r>
                      <w:rPr>
                        <w:color w:val="1F664D"/>
                        <w:w w:val="95"/>
                        <w:sz w:val="22"/>
                      </w:rPr>
                      <w:t>Valuation Subject</w:t>
                    </w:r>
                    <w:r>
                      <w:rPr>
                        <w:color w:val="1F664D"/>
                        <w:spacing w:val="-42"/>
                        <w:w w:val="95"/>
                        <w:sz w:val="22"/>
                      </w:rPr>
                      <w:t> </w:t>
                    </w:r>
                    <w:r>
                      <w:rPr>
                        <w:color w:val="1F664D"/>
                        <w:spacing w:val="-7"/>
                        <w:w w:val="95"/>
                        <w:sz w:val="22"/>
                      </w:rPr>
                      <w:t>to</w:t>
                    </w:r>
                  </w:p>
                  <w:p>
                    <w:pPr>
                      <w:spacing w:before="2"/>
                      <w:ind w:left="0" w:right="0" w:firstLine="0"/>
                      <w:jc w:val="left"/>
                      <w:rPr>
                        <w:sz w:val="22"/>
                      </w:rPr>
                    </w:pPr>
                    <w:r>
                      <w:rPr>
                        <w:color w:val="1F664D"/>
                        <w:w w:val="105"/>
                        <w:sz w:val="22"/>
                      </w:rPr>
                      <w:t>Change:</w:t>
                    </w:r>
                  </w:p>
                </w:txbxContent>
              </v:textbox>
              <w10:wrap type="none"/>
            </v:shape>
            <v:shape style="position:absolute;left:2791;top:319;width:8438;height:952" type="#_x0000_t202" filled="false" stroked="false">
              <v:textbox inset="0,0,0,0">
                <w:txbxContent>
                  <w:p>
                    <w:pPr>
                      <w:numPr>
                        <w:ilvl w:val="0"/>
                        <w:numId w:val="16"/>
                      </w:numPr>
                      <w:tabs>
                        <w:tab w:pos="359" w:val="left" w:leader="none"/>
                        <w:tab w:pos="360" w:val="left" w:leader="none"/>
                      </w:tabs>
                      <w:spacing w:line="321" w:lineRule="auto" w:before="6"/>
                      <w:ind w:left="360" w:right="18" w:hanging="360"/>
                      <w:jc w:val="left"/>
                      <w:rPr>
                        <w:sz w:val="22"/>
                      </w:rPr>
                    </w:pPr>
                    <w:r>
                      <w:rPr>
                        <w:sz w:val="22"/>
                      </w:rPr>
                      <w:t>The</w:t>
                    </w:r>
                    <w:r>
                      <w:rPr>
                        <w:spacing w:val="-33"/>
                        <w:sz w:val="22"/>
                      </w:rPr>
                      <w:t> </w:t>
                    </w:r>
                    <w:r>
                      <w:rPr>
                        <w:sz w:val="22"/>
                      </w:rPr>
                      <w:t>subject</w:t>
                    </w:r>
                    <w:r>
                      <w:rPr>
                        <w:spacing w:val="-31"/>
                        <w:sz w:val="22"/>
                      </w:rPr>
                      <w:t> </w:t>
                    </w:r>
                    <w:r>
                      <w:rPr>
                        <w:sz w:val="22"/>
                      </w:rPr>
                      <w:t>valuation</w:t>
                    </w:r>
                    <w:r>
                      <w:rPr>
                        <w:spacing w:val="-31"/>
                        <w:sz w:val="22"/>
                      </w:rPr>
                      <w:t> </w:t>
                    </w:r>
                    <w:r>
                      <w:rPr>
                        <w:sz w:val="22"/>
                      </w:rPr>
                      <w:t>exercise</w:t>
                    </w:r>
                    <w:r>
                      <w:rPr>
                        <w:spacing w:val="-32"/>
                        <w:sz w:val="22"/>
                      </w:rPr>
                      <w:t> </w:t>
                    </w:r>
                    <w:r>
                      <w:rPr>
                        <w:sz w:val="22"/>
                      </w:rPr>
                      <w:t>is</w:t>
                    </w:r>
                    <w:r>
                      <w:rPr>
                        <w:spacing w:val="-32"/>
                        <w:sz w:val="22"/>
                      </w:rPr>
                      <w:t> </w:t>
                    </w:r>
                    <w:r>
                      <w:rPr>
                        <w:sz w:val="22"/>
                      </w:rPr>
                      <w:t>based</w:t>
                    </w:r>
                    <w:r>
                      <w:rPr>
                        <w:spacing w:val="-31"/>
                        <w:sz w:val="22"/>
                      </w:rPr>
                      <w:t> </w:t>
                    </w:r>
                    <w:r>
                      <w:rPr>
                        <w:sz w:val="22"/>
                      </w:rPr>
                      <w:t>on</w:t>
                    </w:r>
                    <w:r>
                      <w:rPr>
                        <w:spacing w:val="-32"/>
                        <w:sz w:val="22"/>
                      </w:rPr>
                      <w:t> </w:t>
                    </w:r>
                    <w:r>
                      <w:rPr>
                        <w:sz w:val="22"/>
                      </w:rPr>
                      <w:t>prevailing</w:t>
                    </w:r>
                    <w:r>
                      <w:rPr>
                        <w:spacing w:val="-30"/>
                        <w:sz w:val="22"/>
                      </w:rPr>
                      <w:t> </w:t>
                    </w:r>
                    <w:r>
                      <w:rPr>
                        <w:sz w:val="22"/>
                      </w:rPr>
                      <w:t>market</w:t>
                    </w:r>
                    <w:r>
                      <w:rPr>
                        <w:spacing w:val="-32"/>
                        <w:sz w:val="22"/>
                      </w:rPr>
                      <w:t> </w:t>
                    </w:r>
                    <w:r>
                      <w:rPr>
                        <w:sz w:val="22"/>
                      </w:rPr>
                      <w:t>dynamics</w:t>
                    </w:r>
                    <w:r>
                      <w:rPr>
                        <w:spacing w:val="-31"/>
                        <w:sz w:val="22"/>
                      </w:rPr>
                      <w:t> </w:t>
                    </w:r>
                    <w:r>
                      <w:rPr>
                        <w:sz w:val="22"/>
                      </w:rPr>
                      <w:t>as</w:t>
                    </w:r>
                    <w:r>
                      <w:rPr>
                        <w:spacing w:val="-30"/>
                        <w:sz w:val="22"/>
                      </w:rPr>
                      <w:t> </w:t>
                    </w:r>
                    <w:r>
                      <w:rPr>
                        <w:sz w:val="22"/>
                      </w:rPr>
                      <w:t>on</w:t>
                    </w:r>
                    <w:r>
                      <w:rPr>
                        <w:spacing w:val="-32"/>
                        <w:sz w:val="22"/>
                      </w:rPr>
                      <w:t> </w:t>
                    </w:r>
                    <w:r>
                      <w:rPr>
                        <w:sz w:val="22"/>
                      </w:rPr>
                      <w:t>the</w:t>
                    </w:r>
                    <w:r>
                      <w:rPr>
                        <w:spacing w:val="-32"/>
                        <w:sz w:val="22"/>
                      </w:rPr>
                      <w:t> </w:t>
                    </w:r>
                    <w:r>
                      <w:rPr>
                        <w:sz w:val="22"/>
                      </w:rPr>
                      <w:t>date of</w:t>
                    </w:r>
                    <w:r>
                      <w:rPr>
                        <w:spacing w:val="-22"/>
                        <w:sz w:val="22"/>
                      </w:rPr>
                      <w:t> </w:t>
                    </w:r>
                    <w:r>
                      <w:rPr>
                        <w:sz w:val="22"/>
                      </w:rPr>
                      <w:t>valuation</w:t>
                    </w:r>
                    <w:r>
                      <w:rPr>
                        <w:spacing w:val="-20"/>
                        <w:sz w:val="22"/>
                      </w:rPr>
                      <w:t> </w:t>
                    </w:r>
                    <w:r>
                      <w:rPr>
                        <w:sz w:val="22"/>
                      </w:rPr>
                      <w:t>and</w:t>
                    </w:r>
                    <w:r>
                      <w:rPr>
                        <w:spacing w:val="-22"/>
                        <w:sz w:val="22"/>
                      </w:rPr>
                      <w:t> </w:t>
                    </w:r>
                    <w:r>
                      <w:rPr>
                        <w:sz w:val="22"/>
                      </w:rPr>
                      <w:t>does</w:t>
                    </w:r>
                    <w:r>
                      <w:rPr>
                        <w:spacing w:val="-20"/>
                        <w:sz w:val="22"/>
                      </w:rPr>
                      <w:t> </w:t>
                    </w:r>
                    <w:r>
                      <w:rPr>
                        <w:sz w:val="22"/>
                      </w:rPr>
                      <w:t>not</w:t>
                    </w:r>
                    <w:r>
                      <w:rPr>
                        <w:spacing w:val="-21"/>
                        <w:sz w:val="22"/>
                      </w:rPr>
                      <w:t> </w:t>
                    </w:r>
                    <w:r>
                      <w:rPr>
                        <w:sz w:val="22"/>
                      </w:rPr>
                      <w:t>take</w:t>
                    </w:r>
                    <w:r>
                      <w:rPr>
                        <w:spacing w:val="-22"/>
                        <w:sz w:val="22"/>
                      </w:rPr>
                      <w:t> </w:t>
                    </w:r>
                    <w:r>
                      <w:rPr>
                        <w:sz w:val="22"/>
                      </w:rPr>
                      <w:t>into</w:t>
                    </w:r>
                    <w:r>
                      <w:rPr>
                        <w:spacing w:val="-22"/>
                        <w:sz w:val="22"/>
                      </w:rPr>
                      <w:t> </w:t>
                    </w:r>
                    <w:r>
                      <w:rPr>
                        <w:sz w:val="22"/>
                      </w:rPr>
                      <w:t>account</w:t>
                    </w:r>
                    <w:r>
                      <w:rPr>
                        <w:spacing w:val="-22"/>
                        <w:sz w:val="22"/>
                      </w:rPr>
                      <w:t> </w:t>
                    </w:r>
                    <w:r>
                      <w:rPr>
                        <w:sz w:val="22"/>
                      </w:rPr>
                      <w:t>any</w:t>
                    </w:r>
                    <w:r>
                      <w:rPr>
                        <w:spacing w:val="-21"/>
                        <w:sz w:val="22"/>
                      </w:rPr>
                      <w:t> </w:t>
                    </w:r>
                    <w:r>
                      <w:rPr>
                        <w:sz w:val="22"/>
                      </w:rPr>
                      <w:t>unforeseeable</w:t>
                    </w:r>
                    <w:r>
                      <w:rPr>
                        <w:spacing w:val="-23"/>
                        <w:sz w:val="22"/>
                      </w:rPr>
                      <w:t> </w:t>
                    </w:r>
                    <w:r>
                      <w:rPr>
                        <w:sz w:val="22"/>
                      </w:rPr>
                      <w:t>developments</w:t>
                    </w:r>
                    <w:r>
                      <w:rPr>
                        <w:spacing w:val="-21"/>
                        <w:sz w:val="22"/>
                      </w:rPr>
                      <w:t> </w:t>
                    </w:r>
                    <w:r>
                      <w:rPr>
                        <w:sz w:val="22"/>
                      </w:rPr>
                      <w:t>which</w:t>
                    </w:r>
                  </w:p>
                  <w:p>
                    <w:pPr>
                      <w:spacing w:before="2"/>
                      <w:ind w:left="360" w:right="0" w:firstLine="0"/>
                      <w:jc w:val="left"/>
                      <w:rPr>
                        <w:sz w:val="22"/>
                      </w:rPr>
                    </w:pPr>
                    <w:r>
                      <w:rPr>
                        <w:sz w:val="22"/>
                      </w:rPr>
                      <w:t>could impact the same in the future</w:t>
                    </w:r>
                  </w:p>
                </w:txbxContent>
              </v:textbox>
              <w10:wrap type="none"/>
            </v:shape>
            <w10:wrap type="topAndBottom"/>
          </v:group>
        </w:pict>
      </w:r>
    </w:p>
    <w:p>
      <w:pPr>
        <w:spacing w:after="0"/>
        <w:rPr>
          <w:sz w:val="13"/>
        </w:rPr>
        <w:sectPr>
          <w:pgSz w:w="11910" w:h="16840"/>
          <w:pgMar w:header="720" w:footer="842" w:top="1520" w:bottom="1040" w:left="440" w:right="80"/>
        </w:sectPr>
      </w:pPr>
    </w:p>
    <w:p>
      <w:pPr>
        <w:pStyle w:val="BodyText"/>
        <w:spacing w:line="324" w:lineRule="auto" w:before="95"/>
        <w:ind w:left="495" w:right="-18"/>
      </w:pPr>
      <w:r>
        <w:rPr>
          <w:color w:val="1F664D"/>
        </w:rPr>
        <w:t>Our </w:t>
      </w:r>
      <w:r>
        <w:rPr>
          <w:color w:val="1F664D"/>
          <w:w w:val="95"/>
        </w:rPr>
        <w:t>Investigations:</w:t>
      </w:r>
    </w:p>
    <w:p>
      <w:pPr>
        <w:pStyle w:val="ListParagraph"/>
        <w:numPr>
          <w:ilvl w:val="2"/>
          <w:numId w:val="15"/>
        </w:numPr>
        <w:tabs>
          <w:tab w:pos="814" w:val="left" w:leader="none"/>
        </w:tabs>
        <w:spacing w:line="321" w:lineRule="auto" w:before="95" w:after="0"/>
        <w:ind w:left="813" w:right="612" w:hanging="360"/>
        <w:jc w:val="both"/>
        <w:rPr>
          <w:sz w:val="22"/>
        </w:rPr>
      </w:pPr>
      <w:r>
        <w:rPr>
          <w:w w:val="87"/>
          <w:sz w:val="22"/>
        </w:rPr>
        <w:br w:type="column"/>
      </w:r>
      <w:r>
        <w:rPr>
          <w:sz w:val="22"/>
        </w:rPr>
        <w:t>The</w:t>
      </w:r>
      <w:r>
        <w:rPr>
          <w:spacing w:val="-31"/>
          <w:sz w:val="22"/>
        </w:rPr>
        <w:t> </w:t>
      </w:r>
      <w:r>
        <w:rPr>
          <w:sz w:val="22"/>
        </w:rPr>
        <w:t>Consultants</w:t>
      </w:r>
      <w:r>
        <w:rPr>
          <w:spacing w:val="-29"/>
          <w:sz w:val="22"/>
        </w:rPr>
        <w:t> </w:t>
      </w:r>
      <w:r>
        <w:rPr>
          <w:sz w:val="22"/>
        </w:rPr>
        <w:t>are</w:t>
      </w:r>
      <w:r>
        <w:rPr>
          <w:spacing w:val="-30"/>
          <w:sz w:val="22"/>
        </w:rPr>
        <w:t> </w:t>
      </w:r>
      <w:r>
        <w:rPr>
          <w:sz w:val="22"/>
        </w:rPr>
        <w:t>not</w:t>
      </w:r>
      <w:r>
        <w:rPr>
          <w:spacing w:val="-29"/>
          <w:sz w:val="22"/>
        </w:rPr>
        <w:t> </w:t>
      </w:r>
      <w:r>
        <w:rPr>
          <w:sz w:val="22"/>
        </w:rPr>
        <w:t>engaged</w:t>
      </w:r>
      <w:r>
        <w:rPr>
          <w:spacing w:val="-29"/>
          <w:sz w:val="22"/>
        </w:rPr>
        <w:t> </w:t>
      </w:r>
      <w:r>
        <w:rPr>
          <w:sz w:val="22"/>
        </w:rPr>
        <w:t>to</w:t>
      </w:r>
      <w:r>
        <w:rPr>
          <w:spacing w:val="-29"/>
          <w:sz w:val="22"/>
        </w:rPr>
        <w:t> </w:t>
      </w:r>
      <w:r>
        <w:rPr>
          <w:sz w:val="22"/>
        </w:rPr>
        <w:t>carry</w:t>
      </w:r>
      <w:r>
        <w:rPr>
          <w:spacing w:val="-30"/>
          <w:sz w:val="22"/>
        </w:rPr>
        <w:t> </w:t>
      </w:r>
      <w:r>
        <w:rPr>
          <w:sz w:val="22"/>
        </w:rPr>
        <w:t>out</w:t>
      </w:r>
      <w:r>
        <w:rPr>
          <w:spacing w:val="-29"/>
          <w:sz w:val="22"/>
        </w:rPr>
        <w:t> </w:t>
      </w:r>
      <w:r>
        <w:rPr>
          <w:sz w:val="22"/>
        </w:rPr>
        <w:t>all</w:t>
      </w:r>
      <w:r>
        <w:rPr>
          <w:spacing w:val="-28"/>
          <w:sz w:val="22"/>
        </w:rPr>
        <w:t> </w:t>
      </w:r>
      <w:r>
        <w:rPr>
          <w:sz w:val="22"/>
        </w:rPr>
        <w:t>possible</w:t>
      </w:r>
      <w:r>
        <w:rPr>
          <w:spacing w:val="-30"/>
          <w:sz w:val="22"/>
        </w:rPr>
        <w:t> </w:t>
      </w:r>
      <w:r>
        <w:rPr>
          <w:sz w:val="22"/>
        </w:rPr>
        <w:t>investigations</w:t>
      </w:r>
      <w:r>
        <w:rPr>
          <w:spacing w:val="-29"/>
          <w:sz w:val="22"/>
        </w:rPr>
        <w:t> </w:t>
      </w:r>
      <w:r>
        <w:rPr>
          <w:sz w:val="22"/>
        </w:rPr>
        <w:t>in</w:t>
      </w:r>
      <w:r>
        <w:rPr>
          <w:spacing w:val="-31"/>
          <w:sz w:val="22"/>
        </w:rPr>
        <w:t> </w:t>
      </w:r>
      <w:r>
        <w:rPr>
          <w:sz w:val="22"/>
        </w:rPr>
        <w:t>relation</w:t>
      </w:r>
      <w:r>
        <w:rPr>
          <w:spacing w:val="-29"/>
          <w:sz w:val="22"/>
        </w:rPr>
        <w:t> </w:t>
      </w:r>
      <w:r>
        <w:rPr>
          <w:sz w:val="22"/>
        </w:rPr>
        <w:t>to </w:t>
      </w:r>
      <w:r>
        <w:rPr>
          <w:w w:val="95"/>
          <w:sz w:val="22"/>
        </w:rPr>
        <w:t>the</w:t>
      </w:r>
      <w:r>
        <w:rPr>
          <w:spacing w:val="-16"/>
          <w:w w:val="95"/>
          <w:sz w:val="22"/>
        </w:rPr>
        <w:t> </w:t>
      </w:r>
      <w:r>
        <w:rPr>
          <w:w w:val="95"/>
          <w:sz w:val="22"/>
        </w:rPr>
        <w:t>subject</w:t>
      </w:r>
      <w:r>
        <w:rPr>
          <w:spacing w:val="-15"/>
          <w:w w:val="95"/>
          <w:sz w:val="22"/>
        </w:rPr>
        <w:t> </w:t>
      </w:r>
      <w:r>
        <w:rPr>
          <w:w w:val="95"/>
          <w:sz w:val="22"/>
        </w:rPr>
        <w:t>properties.</w:t>
      </w:r>
      <w:r>
        <w:rPr>
          <w:spacing w:val="-15"/>
          <w:w w:val="95"/>
          <w:sz w:val="22"/>
        </w:rPr>
        <w:t> </w:t>
      </w:r>
      <w:r>
        <w:rPr>
          <w:w w:val="95"/>
          <w:sz w:val="22"/>
        </w:rPr>
        <w:t>Where</w:t>
      </w:r>
      <w:r>
        <w:rPr>
          <w:spacing w:val="-15"/>
          <w:w w:val="95"/>
          <w:sz w:val="22"/>
        </w:rPr>
        <w:t> </w:t>
      </w:r>
      <w:r>
        <w:rPr>
          <w:w w:val="95"/>
          <w:sz w:val="22"/>
        </w:rPr>
        <w:t>in</w:t>
      </w:r>
      <w:r>
        <w:rPr>
          <w:spacing w:val="-16"/>
          <w:w w:val="95"/>
          <w:sz w:val="22"/>
        </w:rPr>
        <w:t> </w:t>
      </w:r>
      <w:r>
        <w:rPr>
          <w:w w:val="95"/>
          <w:sz w:val="22"/>
        </w:rPr>
        <w:t>our</w:t>
      </w:r>
      <w:r>
        <w:rPr>
          <w:spacing w:val="-15"/>
          <w:w w:val="95"/>
          <w:sz w:val="22"/>
        </w:rPr>
        <w:t> </w:t>
      </w:r>
      <w:r>
        <w:rPr>
          <w:w w:val="95"/>
          <w:sz w:val="22"/>
        </w:rPr>
        <w:t>report</w:t>
      </w:r>
      <w:r>
        <w:rPr>
          <w:spacing w:val="-14"/>
          <w:w w:val="95"/>
          <w:sz w:val="22"/>
        </w:rPr>
        <w:t> </w:t>
      </w:r>
      <w:r>
        <w:rPr>
          <w:w w:val="95"/>
          <w:sz w:val="22"/>
        </w:rPr>
        <w:t>the</w:t>
      </w:r>
      <w:r>
        <w:rPr>
          <w:spacing w:val="-16"/>
          <w:w w:val="95"/>
          <w:sz w:val="22"/>
        </w:rPr>
        <w:t> </w:t>
      </w:r>
      <w:r>
        <w:rPr>
          <w:w w:val="95"/>
          <w:sz w:val="22"/>
        </w:rPr>
        <w:t>Consultants</w:t>
      </w:r>
      <w:r>
        <w:rPr>
          <w:spacing w:val="-15"/>
          <w:w w:val="95"/>
          <w:sz w:val="22"/>
        </w:rPr>
        <w:t> </w:t>
      </w:r>
      <w:r>
        <w:rPr>
          <w:w w:val="95"/>
          <w:sz w:val="22"/>
        </w:rPr>
        <w:t>identify</w:t>
      </w:r>
      <w:r>
        <w:rPr>
          <w:spacing w:val="-14"/>
          <w:w w:val="95"/>
          <w:sz w:val="22"/>
        </w:rPr>
        <w:t> </w:t>
      </w:r>
      <w:r>
        <w:rPr>
          <w:w w:val="95"/>
          <w:sz w:val="22"/>
        </w:rPr>
        <w:t>certain</w:t>
      </w:r>
      <w:r>
        <w:rPr>
          <w:spacing w:val="-15"/>
          <w:w w:val="95"/>
          <w:sz w:val="22"/>
        </w:rPr>
        <w:t> </w:t>
      </w:r>
      <w:r>
        <w:rPr>
          <w:w w:val="95"/>
          <w:sz w:val="22"/>
        </w:rPr>
        <w:t>limitations to</w:t>
      </w:r>
      <w:r>
        <w:rPr>
          <w:spacing w:val="-19"/>
          <w:w w:val="95"/>
          <w:sz w:val="22"/>
        </w:rPr>
        <w:t> </w:t>
      </w:r>
      <w:r>
        <w:rPr>
          <w:w w:val="95"/>
          <w:sz w:val="22"/>
        </w:rPr>
        <w:t>our</w:t>
      </w:r>
      <w:r>
        <w:rPr>
          <w:spacing w:val="-20"/>
          <w:w w:val="95"/>
          <w:sz w:val="22"/>
        </w:rPr>
        <w:t> </w:t>
      </w:r>
      <w:r>
        <w:rPr>
          <w:w w:val="95"/>
          <w:sz w:val="22"/>
        </w:rPr>
        <w:t>investigations,</w:t>
      </w:r>
      <w:r>
        <w:rPr>
          <w:spacing w:val="-20"/>
          <w:w w:val="95"/>
          <w:sz w:val="22"/>
        </w:rPr>
        <w:t> </w:t>
      </w:r>
      <w:r>
        <w:rPr>
          <w:w w:val="95"/>
          <w:sz w:val="22"/>
        </w:rPr>
        <w:t>this</w:t>
      </w:r>
      <w:r>
        <w:rPr>
          <w:spacing w:val="-21"/>
          <w:w w:val="95"/>
          <w:sz w:val="22"/>
        </w:rPr>
        <w:t> </w:t>
      </w:r>
      <w:r>
        <w:rPr>
          <w:w w:val="95"/>
          <w:sz w:val="22"/>
        </w:rPr>
        <w:t>is</w:t>
      </w:r>
      <w:r>
        <w:rPr>
          <w:spacing w:val="-19"/>
          <w:w w:val="95"/>
          <w:sz w:val="22"/>
        </w:rPr>
        <w:t> </w:t>
      </w:r>
      <w:r>
        <w:rPr>
          <w:w w:val="95"/>
          <w:sz w:val="22"/>
        </w:rPr>
        <w:t>to</w:t>
      </w:r>
      <w:r>
        <w:rPr>
          <w:spacing w:val="-19"/>
          <w:w w:val="95"/>
          <w:sz w:val="22"/>
        </w:rPr>
        <w:t> </w:t>
      </w:r>
      <w:r>
        <w:rPr>
          <w:w w:val="95"/>
          <w:sz w:val="22"/>
        </w:rPr>
        <w:t>enable</w:t>
      </w:r>
      <w:r>
        <w:rPr>
          <w:spacing w:val="-20"/>
          <w:w w:val="95"/>
          <w:sz w:val="22"/>
        </w:rPr>
        <w:t> </w:t>
      </w:r>
      <w:r>
        <w:rPr>
          <w:w w:val="95"/>
          <w:sz w:val="22"/>
        </w:rPr>
        <w:t>the</w:t>
      </w:r>
      <w:r>
        <w:rPr>
          <w:spacing w:val="-20"/>
          <w:w w:val="95"/>
          <w:sz w:val="22"/>
        </w:rPr>
        <w:t> </w:t>
      </w:r>
      <w:r>
        <w:rPr>
          <w:w w:val="95"/>
          <w:sz w:val="22"/>
        </w:rPr>
        <w:t>reliant</w:t>
      </w:r>
      <w:r>
        <w:rPr>
          <w:spacing w:val="-19"/>
          <w:w w:val="95"/>
          <w:sz w:val="22"/>
        </w:rPr>
        <w:t> </w:t>
      </w:r>
      <w:r>
        <w:rPr>
          <w:w w:val="95"/>
          <w:sz w:val="22"/>
        </w:rPr>
        <w:t>party</w:t>
      </w:r>
      <w:r>
        <w:rPr>
          <w:spacing w:val="-18"/>
          <w:w w:val="95"/>
          <w:sz w:val="22"/>
        </w:rPr>
        <w:t> </w:t>
      </w:r>
      <w:r>
        <w:rPr>
          <w:w w:val="95"/>
          <w:sz w:val="22"/>
        </w:rPr>
        <w:t>to</w:t>
      </w:r>
      <w:r>
        <w:rPr>
          <w:spacing w:val="-19"/>
          <w:w w:val="95"/>
          <w:sz w:val="22"/>
        </w:rPr>
        <w:t> </w:t>
      </w:r>
      <w:r>
        <w:rPr>
          <w:w w:val="95"/>
          <w:sz w:val="22"/>
        </w:rPr>
        <w:t>instruct</w:t>
      </w:r>
      <w:r>
        <w:rPr>
          <w:spacing w:val="-19"/>
          <w:w w:val="95"/>
          <w:sz w:val="22"/>
        </w:rPr>
        <w:t> </w:t>
      </w:r>
      <w:r>
        <w:rPr>
          <w:w w:val="95"/>
          <w:sz w:val="22"/>
        </w:rPr>
        <w:t>further</w:t>
      </w:r>
      <w:r>
        <w:rPr>
          <w:spacing w:val="-20"/>
          <w:w w:val="95"/>
          <w:sz w:val="22"/>
        </w:rPr>
        <w:t> </w:t>
      </w:r>
      <w:r>
        <w:rPr>
          <w:w w:val="95"/>
          <w:sz w:val="22"/>
        </w:rPr>
        <w:t>investigations </w:t>
      </w:r>
      <w:r>
        <w:rPr>
          <w:sz w:val="22"/>
        </w:rPr>
        <w:t>where considered appropriate or where the Consultants recommend as necessary prior</w:t>
      </w:r>
      <w:r>
        <w:rPr>
          <w:spacing w:val="-28"/>
          <w:sz w:val="22"/>
        </w:rPr>
        <w:t> </w:t>
      </w:r>
      <w:r>
        <w:rPr>
          <w:sz w:val="22"/>
        </w:rPr>
        <w:t>to</w:t>
      </w:r>
      <w:r>
        <w:rPr>
          <w:spacing w:val="-28"/>
          <w:sz w:val="22"/>
        </w:rPr>
        <w:t> </w:t>
      </w:r>
      <w:r>
        <w:rPr>
          <w:sz w:val="22"/>
        </w:rPr>
        <w:t>reliance.</w:t>
      </w:r>
      <w:r>
        <w:rPr>
          <w:spacing w:val="-27"/>
          <w:sz w:val="22"/>
        </w:rPr>
        <w:t> </w:t>
      </w:r>
      <w:r>
        <w:rPr>
          <w:sz w:val="22"/>
        </w:rPr>
        <w:t>The</w:t>
      </w:r>
      <w:r>
        <w:rPr>
          <w:spacing w:val="-28"/>
          <w:sz w:val="22"/>
        </w:rPr>
        <w:t> </w:t>
      </w:r>
      <w:r>
        <w:rPr>
          <w:sz w:val="22"/>
        </w:rPr>
        <w:t>Consultants</w:t>
      </w:r>
      <w:r>
        <w:rPr>
          <w:spacing w:val="-27"/>
          <w:sz w:val="22"/>
        </w:rPr>
        <w:t> </w:t>
      </w:r>
      <w:r>
        <w:rPr>
          <w:sz w:val="22"/>
        </w:rPr>
        <w:t>are</w:t>
      </w:r>
      <w:r>
        <w:rPr>
          <w:spacing w:val="-28"/>
          <w:sz w:val="22"/>
        </w:rPr>
        <w:t> </w:t>
      </w:r>
      <w:r>
        <w:rPr>
          <w:sz w:val="22"/>
        </w:rPr>
        <w:t>not</w:t>
      </w:r>
      <w:r>
        <w:rPr>
          <w:spacing w:val="-27"/>
          <w:sz w:val="22"/>
        </w:rPr>
        <w:t> </w:t>
      </w:r>
      <w:r>
        <w:rPr>
          <w:sz w:val="22"/>
        </w:rPr>
        <w:t>liable</w:t>
      </w:r>
      <w:r>
        <w:rPr>
          <w:spacing w:val="-28"/>
          <w:sz w:val="22"/>
        </w:rPr>
        <w:t> </w:t>
      </w:r>
      <w:r>
        <w:rPr>
          <w:sz w:val="22"/>
        </w:rPr>
        <w:t>for</w:t>
      </w:r>
      <w:r>
        <w:rPr>
          <w:spacing w:val="-28"/>
          <w:sz w:val="22"/>
        </w:rPr>
        <w:t> </w:t>
      </w:r>
      <w:r>
        <w:rPr>
          <w:sz w:val="22"/>
        </w:rPr>
        <w:t>any</w:t>
      </w:r>
      <w:r>
        <w:rPr>
          <w:spacing w:val="-28"/>
          <w:sz w:val="22"/>
        </w:rPr>
        <w:t> </w:t>
      </w:r>
      <w:r>
        <w:rPr>
          <w:sz w:val="22"/>
        </w:rPr>
        <w:t>loss</w:t>
      </w:r>
      <w:r>
        <w:rPr>
          <w:spacing w:val="-26"/>
          <w:sz w:val="22"/>
        </w:rPr>
        <w:t> </w:t>
      </w:r>
      <w:r>
        <w:rPr>
          <w:sz w:val="22"/>
        </w:rPr>
        <w:t>occasioned</w:t>
      </w:r>
      <w:r>
        <w:rPr>
          <w:spacing w:val="-29"/>
          <w:sz w:val="22"/>
        </w:rPr>
        <w:t> </w:t>
      </w:r>
      <w:r>
        <w:rPr>
          <w:sz w:val="22"/>
        </w:rPr>
        <w:t>by</w:t>
      </w:r>
      <w:r>
        <w:rPr>
          <w:spacing w:val="-26"/>
          <w:sz w:val="22"/>
        </w:rPr>
        <w:t> </w:t>
      </w:r>
      <w:r>
        <w:rPr>
          <w:sz w:val="22"/>
        </w:rPr>
        <w:t>a</w:t>
      </w:r>
      <w:r>
        <w:rPr>
          <w:spacing w:val="-29"/>
          <w:sz w:val="22"/>
        </w:rPr>
        <w:t> </w:t>
      </w:r>
      <w:r>
        <w:rPr>
          <w:sz w:val="22"/>
        </w:rPr>
        <w:t>decision not to conduct further</w:t>
      </w:r>
      <w:r>
        <w:rPr>
          <w:spacing w:val="-21"/>
          <w:sz w:val="22"/>
        </w:rPr>
        <w:t> </w:t>
      </w:r>
      <w:r>
        <w:rPr>
          <w:sz w:val="22"/>
        </w:rPr>
        <w:t>investigations</w:t>
      </w:r>
    </w:p>
    <w:p>
      <w:pPr>
        <w:spacing w:after="0" w:line="321" w:lineRule="auto"/>
        <w:jc w:val="both"/>
        <w:rPr>
          <w:sz w:val="22"/>
        </w:rPr>
        <w:sectPr>
          <w:type w:val="continuous"/>
          <w:pgSz w:w="11910" w:h="16840"/>
          <w:pgMar w:top="800" w:bottom="280" w:left="440" w:right="80"/>
          <w:cols w:num="2" w:equalWidth="0">
            <w:col w:w="1858" w:space="40"/>
            <w:col w:w="9492"/>
          </w:cols>
        </w:sectPr>
      </w:pPr>
    </w:p>
    <w:p>
      <w:pPr>
        <w:pStyle w:val="BodyText"/>
        <w:spacing w:before="3"/>
        <w:rPr>
          <w:sz w:val="10"/>
        </w:rPr>
      </w:pPr>
    </w:p>
    <w:p>
      <w:pPr>
        <w:pStyle w:val="BodyText"/>
        <w:ind w:left="388"/>
        <w:rPr>
          <w:sz w:val="20"/>
        </w:rPr>
      </w:pPr>
      <w:r>
        <w:rPr>
          <w:sz w:val="20"/>
        </w:rPr>
        <w:pict>
          <v:group style="width:524.65pt;height:132.050pt;mso-position-horizontal-relative:char;mso-position-vertical-relative:line" coordorigin="0,0" coordsize="10493,2641">
            <v:shape style="position:absolute;left:0;top:0;width:10493;height:2641" coordorigin="0,0" coordsize="10493,2641" path="m10493,0l1844,0,0,0,0,2640,1844,2640,10493,2640,10493,0xe" filled="true" fillcolor="#f1f1f1" stroked="false">
              <v:path arrowok="t"/>
              <v:fill type="solid"/>
            </v:shape>
            <v:shape style="position:absolute;left:108;top:118;width:1290;height:265" type="#_x0000_t202" filled="false" stroked="false">
              <v:textbox inset="0,0,0,0">
                <w:txbxContent>
                  <w:p>
                    <w:pPr>
                      <w:spacing w:before="6"/>
                      <w:ind w:left="0" w:right="0" w:firstLine="0"/>
                      <w:jc w:val="left"/>
                      <w:rPr>
                        <w:sz w:val="22"/>
                      </w:rPr>
                    </w:pPr>
                    <w:r>
                      <w:rPr>
                        <w:color w:val="1F664D"/>
                        <w:w w:val="95"/>
                        <w:sz w:val="22"/>
                      </w:rPr>
                      <w:t>Assumptions:</w:t>
                    </w:r>
                  </w:p>
                </w:txbxContent>
              </v:textbox>
              <w10:wrap type="none"/>
            </v:shape>
            <v:shape style="position:absolute;left:1963;top:118;width:8444;height:2322" type="#_x0000_t202" filled="false" stroked="false">
              <v:textbox inset="0,0,0,0">
                <w:txbxContent>
                  <w:p>
                    <w:pPr>
                      <w:numPr>
                        <w:ilvl w:val="0"/>
                        <w:numId w:val="17"/>
                      </w:numPr>
                      <w:tabs>
                        <w:tab w:pos="360" w:val="left" w:leader="none"/>
                      </w:tabs>
                      <w:spacing w:line="321" w:lineRule="auto" w:before="6"/>
                      <w:ind w:left="360" w:right="18" w:hanging="360"/>
                      <w:jc w:val="both"/>
                      <w:rPr>
                        <w:sz w:val="22"/>
                      </w:rPr>
                    </w:pPr>
                    <w:r>
                      <w:rPr>
                        <w:sz w:val="22"/>
                      </w:rPr>
                      <w:t>Assumptions are a necessary part of undertaking valuations. The Valuer adopts assumptions</w:t>
                    </w:r>
                    <w:r>
                      <w:rPr>
                        <w:spacing w:val="-31"/>
                        <w:sz w:val="22"/>
                      </w:rPr>
                      <w:t> </w:t>
                    </w:r>
                    <w:r>
                      <w:rPr>
                        <w:sz w:val="22"/>
                      </w:rPr>
                      <w:t>for</w:t>
                    </w:r>
                    <w:r>
                      <w:rPr>
                        <w:spacing w:val="-30"/>
                        <w:sz w:val="22"/>
                      </w:rPr>
                      <w:t> </w:t>
                    </w:r>
                    <w:r>
                      <w:rPr>
                        <w:sz w:val="22"/>
                      </w:rPr>
                      <w:t>the</w:t>
                    </w:r>
                    <w:r>
                      <w:rPr>
                        <w:spacing w:val="-31"/>
                        <w:sz w:val="22"/>
                      </w:rPr>
                      <w:t> </w:t>
                    </w:r>
                    <w:r>
                      <w:rPr>
                        <w:sz w:val="22"/>
                      </w:rPr>
                      <w:t>purpose</w:t>
                    </w:r>
                    <w:r>
                      <w:rPr>
                        <w:spacing w:val="-30"/>
                        <w:sz w:val="22"/>
                      </w:rPr>
                      <w:t> </w:t>
                    </w:r>
                    <w:r>
                      <w:rPr>
                        <w:sz w:val="22"/>
                      </w:rPr>
                      <w:t>of</w:t>
                    </w:r>
                    <w:r>
                      <w:rPr>
                        <w:spacing w:val="-30"/>
                        <w:sz w:val="22"/>
                      </w:rPr>
                      <w:t> </w:t>
                    </w:r>
                    <w:r>
                      <w:rPr>
                        <w:sz w:val="22"/>
                      </w:rPr>
                      <w:t>providing</w:t>
                    </w:r>
                    <w:r>
                      <w:rPr>
                        <w:spacing w:val="-28"/>
                        <w:sz w:val="22"/>
                      </w:rPr>
                      <w:t> </w:t>
                    </w:r>
                    <w:r>
                      <w:rPr>
                        <w:sz w:val="22"/>
                      </w:rPr>
                      <w:t>valuation</w:t>
                    </w:r>
                    <w:r>
                      <w:rPr>
                        <w:spacing w:val="-30"/>
                        <w:sz w:val="22"/>
                      </w:rPr>
                      <w:t> </w:t>
                    </w:r>
                    <w:r>
                      <w:rPr>
                        <w:sz w:val="22"/>
                      </w:rPr>
                      <w:t>advice</w:t>
                    </w:r>
                    <w:r>
                      <w:rPr>
                        <w:spacing w:val="-30"/>
                        <w:sz w:val="22"/>
                      </w:rPr>
                      <w:t> </w:t>
                    </w:r>
                    <w:r>
                      <w:rPr>
                        <w:sz w:val="22"/>
                      </w:rPr>
                      <w:t>because</w:t>
                    </w:r>
                    <w:r>
                      <w:rPr>
                        <w:spacing w:val="-31"/>
                        <w:sz w:val="22"/>
                      </w:rPr>
                      <w:t> </w:t>
                    </w:r>
                    <w:r>
                      <w:rPr>
                        <w:sz w:val="22"/>
                      </w:rPr>
                      <w:t>some</w:t>
                    </w:r>
                    <w:r>
                      <w:rPr>
                        <w:spacing w:val="-30"/>
                        <w:sz w:val="22"/>
                      </w:rPr>
                      <w:t> </w:t>
                    </w:r>
                    <w:r>
                      <w:rPr>
                        <w:sz w:val="22"/>
                      </w:rPr>
                      <w:t>matters</w:t>
                    </w:r>
                    <w:r>
                      <w:rPr>
                        <w:spacing w:val="-28"/>
                        <w:sz w:val="22"/>
                      </w:rPr>
                      <w:t> </w:t>
                    </w:r>
                    <w:r>
                      <w:rPr>
                        <w:sz w:val="22"/>
                      </w:rPr>
                      <w:t>are not</w:t>
                    </w:r>
                    <w:r>
                      <w:rPr>
                        <w:spacing w:val="-40"/>
                        <w:sz w:val="22"/>
                      </w:rPr>
                      <w:t> </w:t>
                    </w:r>
                    <w:r>
                      <w:rPr>
                        <w:sz w:val="22"/>
                      </w:rPr>
                      <w:t>capable</w:t>
                    </w:r>
                    <w:r>
                      <w:rPr>
                        <w:spacing w:val="-41"/>
                        <w:sz w:val="22"/>
                      </w:rPr>
                      <w:t> </w:t>
                    </w:r>
                    <w:r>
                      <w:rPr>
                        <w:sz w:val="22"/>
                      </w:rPr>
                      <w:t>of</w:t>
                    </w:r>
                    <w:r>
                      <w:rPr>
                        <w:spacing w:val="-40"/>
                        <w:sz w:val="22"/>
                      </w:rPr>
                      <w:t> </w:t>
                    </w:r>
                    <w:r>
                      <w:rPr>
                        <w:sz w:val="22"/>
                      </w:rPr>
                      <w:t>accurate</w:t>
                    </w:r>
                    <w:r>
                      <w:rPr>
                        <w:spacing w:val="-40"/>
                        <w:sz w:val="22"/>
                      </w:rPr>
                      <w:t> </w:t>
                    </w:r>
                    <w:r>
                      <w:rPr>
                        <w:sz w:val="22"/>
                      </w:rPr>
                      <w:t>calculation</w:t>
                    </w:r>
                    <w:r>
                      <w:rPr>
                        <w:spacing w:val="-40"/>
                        <w:sz w:val="22"/>
                      </w:rPr>
                      <w:t> </w:t>
                    </w:r>
                    <w:r>
                      <w:rPr>
                        <w:sz w:val="22"/>
                      </w:rPr>
                      <w:t>or</w:t>
                    </w:r>
                    <w:r>
                      <w:rPr>
                        <w:spacing w:val="-40"/>
                        <w:sz w:val="22"/>
                      </w:rPr>
                      <w:t> </w:t>
                    </w:r>
                    <w:r>
                      <w:rPr>
                        <w:sz w:val="22"/>
                      </w:rPr>
                      <w:t>fall</w:t>
                    </w:r>
                    <w:r>
                      <w:rPr>
                        <w:spacing w:val="-41"/>
                        <w:sz w:val="22"/>
                      </w:rPr>
                      <w:t> </w:t>
                    </w:r>
                    <w:r>
                      <w:rPr>
                        <w:sz w:val="22"/>
                      </w:rPr>
                      <w:t>outside</w:t>
                    </w:r>
                    <w:r>
                      <w:rPr>
                        <w:spacing w:val="-40"/>
                        <w:sz w:val="22"/>
                      </w:rPr>
                      <w:t> </w:t>
                    </w:r>
                    <w:r>
                      <w:rPr>
                        <w:sz w:val="22"/>
                      </w:rPr>
                      <w:t>the</w:t>
                    </w:r>
                    <w:r>
                      <w:rPr>
                        <w:spacing w:val="-41"/>
                        <w:sz w:val="22"/>
                      </w:rPr>
                      <w:t> </w:t>
                    </w:r>
                    <w:r>
                      <w:rPr>
                        <w:sz w:val="22"/>
                      </w:rPr>
                      <w:t>scope</w:t>
                    </w:r>
                    <w:r>
                      <w:rPr>
                        <w:spacing w:val="-40"/>
                        <w:sz w:val="22"/>
                      </w:rPr>
                      <w:t> </w:t>
                    </w:r>
                    <w:r>
                      <w:rPr>
                        <w:sz w:val="22"/>
                      </w:rPr>
                      <w:t>of</w:t>
                    </w:r>
                    <w:r>
                      <w:rPr>
                        <w:spacing w:val="-38"/>
                        <w:sz w:val="22"/>
                      </w:rPr>
                      <w:t> </w:t>
                    </w:r>
                    <w:r>
                      <w:rPr>
                        <w:sz w:val="22"/>
                      </w:rPr>
                      <w:t>the</w:t>
                    </w:r>
                    <w:r>
                      <w:rPr>
                        <w:spacing w:val="-40"/>
                        <w:sz w:val="22"/>
                      </w:rPr>
                      <w:t> </w:t>
                    </w:r>
                    <w:r>
                      <w:rPr>
                        <w:sz w:val="22"/>
                      </w:rPr>
                      <w:t>Valuer’s</w:t>
                    </w:r>
                    <w:r>
                      <w:rPr>
                        <w:spacing w:val="-40"/>
                        <w:sz w:val="22"/>
                      </w:rPr>
                      <w:t> </w:t>
                    </w:r>
                    <w:r>
                      <w:rPr>
                        <w:sz w:val="22"/>
                      </w:rPr>
                      <w:t>expertise, or the instructions. The reliant parties accept that the valuation contains certain specific assumptions and acknowledges and accepts the risk that if any of the assumptions</w:t>
                    </w:r>
                    <w:r>
                      <w:rPr>
                        <w:spacing w:val="-23"/>
                        <w:sz w:val="22"/>
                      </w:rPr>
                      <w:t> </w:t>
                    </w:r>
                    <w:r>
                      <w:rPr>
                        <w:sz w:val="22"/>
                      </w:rPr>
                      <w:t>adopted</w:t>
                    </w:r>
                    <w:r>
                      <w:rPr>
                        <w:spacing w:val="-23"/>
                        <w:sz w:val="22"/>
                      </w:rPr>
                      <w:t> </w:t>
                    </w:r>
                    <w:r>
                      <w:rPr>
                        <w:sz w:val="22"/>
                      </w:rPr>
                      <w:t>in</w:t>
                    </w:r>
                    <w:r>
                      <w:rPr>
                        <w:spacing w:val="-24"/>
                        <w:sz w:val="22"/>
                      </w:rPr>
                      <w:t> </w:t>
                    </w:r>
                    <w:r>
                      <w:rPr>
                        <w:sz w:val="22"/>
                      </w:rPr>
                      <w:t>the</w:t>
                    </w:r>
                    <w:r>
                      <w:rPr>
                        <w:spacing w:val="-23"/>
                        <w:sz w:val="22"/>
                      </w:rPr>
                      <w:t> </w:t>
                    </w:r>
                    <w:r>
                      <w:rPr>
                        <w:sz w:val="22"/>
                      </w:rPr>
                      <w:t>valuation</w:t>
                    </w:r>
                    <w:r>
                      <w:rPr>
                        <w:spacing w:val="-22"/>
                        <w:sz w:val="22"/>
                      </w:rPr>
                      <w:t> </w:t>
                    </w:r>
                    <w:r>
                      <w:rPr>
                        <w:sz w:val="22"/>
                      </w:rPr>
                      <w:t>are</w:t>
                    </w:r>
                    <w:r>
                      <w:rPr>
                        <w:spacing w:val="-22"/>
                        <w:sz w:val="22"/>
                      </w:rPr>
                      <w:t> </w:t>
                    </w:r>
                    <w:r>
                      <w:rPr>
                        <w:sz w:val="22"/>
                      </w:rPr>
                      <w:t>incorrect,</w:t>
                    </w:r>
                    <w:r>
                      <w:rPr>
                        <w:spacing w:val="-23"/>
                        <w:sz w:val="22"/>
                      </w:rPr>
                      <w:t> </w:t>
                    </w:r>
                    <w:r>
                      <w:rPr>
                        <w:sz w:val="22"/>
                      </w:rPr>
                      <w:t>then</w:t>
                    </w:r>
                    <w:r>
                      <w:rPr>
                        <w:spacing w:val="-23"/>
                        <w:sz w:val="22"/>
                      </w:rPr>
                      <w:t> </w:t>
                    </w:r>
                    <w:r>
                      <w:rPr>
                        <w:sz w:val="22"/>
                      </w:rPr>
                      <w:t>this</w:t>
                    </w:r>
                    <w:r>
                      <w:rPr>
                        <w:spacing w:val="-23"/>
                        <w:sz w:val="22"/>
                      </w:rPr>
                      <w:t> </w:t>
                    </w:r>
                    <w:r>
                      <w:rPr>
                        <w:sz w:val="22"/>
                      </w:rPr>
                      <w:t>may</w:t>
                    </w:r>
                    <w:r>
                      <w:rPr>
                        <w:spacing w:val="-22"/>
                        <w:sz w:val="22"/>
                      </w:rPr>
                      <w:t> </w:t>
                    </w:r>
                    <w:r>
                      <w:rPr>
                        <w:sz w:val="22"/>
                      </w:rPr>
                      <w:t>have</w:t>
                    </w:r>
                    <w:r>
                      <w:rPr>
                        <w:spacing w:val="-23"/>
                        <w:sz w:val="22"/>
                      </w:rPr>
                      <w:t> </w:t>
                    </w:r>
                    <w:r>
                      <w:rPr>
                        <w:sz w:val="22"/>
                      </w:rPr>
                      <w:t>an</w:t>
                    </w:r>
                    <w:r>
                      <w:rPr>
                        <w:spacing w:val="-22"/>
                        <w:sz w:val="22"/>
                      </w:rPr>
                      <w:t> </w:t>
                    </w:r>
                    <w:r>
                      <w:rPr>
                        <w:sz w:val="22"/>
                      </w:rPr>
                      <w:t>effect</w:t>
                    </w:r>
                    <w:r>
                      <w:rPr>
                        <w:spacing w:val="-23"/>
                        <w:sz w:val="22"/>
                      </w:rPr>
                      <w:t> </w:t>
                    </w:r>
                    <w:r>
                      <w:rPr>
                        <w:sz w:val="22"/>
                      </w:rPr>
                      <w:t>on</w:t>
                    </w:r>
                  </w:p>
                  <w:p>
                    <w:pPr>
                      <w:spacing w:before="3"/>
                      <w:ind w:left="360" w:right="0" w:firstLine="0"/>
                      <w:jc w:val="both"/>
                      <w:rPr>
                        <w:sz w:val="22"/>
                      </w:rPr>
                    </w:pPr>
                    <w:r>
                      <w:rPr>
                        <w:sz w:val="22"/>
                      </w:rPr>
                      <w:t>the valuation</w:t>
                    </w:r>
                  </w:p>
                </w:txbxContent>
              </v:textbox>
              <w10:wrap type="none"/>
            </v:shape>
          </v:group>
        </w:pict>
      </w:r>
      <w:r>
        <w:rPr>
          <w:sz w:val="20"/>
        </w:rPr>
      </w:r>
    </w:p>
    <w:p>
      <w:pPr>
        <w:spacing w:after="0"/>
        <w:rPr>
          <w:sz w:val="20"/>
        </w:rPr>
        <w:sectPr>
          <w:type w:val="continuous"/>
          <w:pgSz w:w="11910" w:h="16840"/>
          <w:pgMar w:top="800" w:bottom="280" w:left="440" w:right="80"/>
        </w:sectPr>
      </w:pPr>
    </w:p>
    <w:p>
      <w:pPr>
        <w:pStyle w:val="BodyText"/>
        <w:spacing w:line="321" w:lineRule="auto" w:before="85"/>
        <w:ind w:left="495" w:right="38"/>
        <w:jc w:val="both"/>
      </w:pPr>
      <w:r>
        <w:rPr>
          <w:color w:val="1F664D"/>
          <w:w w:val="95"/>
        </w:rPr>
        <w:t>Information </w:t>
      </w:r>
      <w:r>
        <w:rPr>
          <w:color w:val="1F664D"/>
        </w:rPr>
        <w:t>Supplied </w:t>
      </w:r>
      <w:r>
        <w:rPr>
          <w:color w:val="1F664D"/>
          <w:spacing w:val="-8"/>
        </w:rPr>
        <w:t>by </w:t>
      </w:r>
      <w:r>
        <w:rPr>
          <w:color w:val="1F664D"/>
        </w:rPr>
        <w:t>Others:</w:t>
      </w:r>
    </w:p>
    <w:p>
      <w:pPr>
        <w:pStyle w:val="ListParagraph"/>
        <w:numPr>
          <w:ilvl w:val="2"/>
          <w:numId w:val="15"/>
        </w:numPr>
        <w:tabs>
          <w:tab w:pos="856" w:val="left" w:leader="none"/>
        </w:tabs>
        <w:spacing w:line="321" w:lineRule="auto" w:before="85" w:after="0"/>
        <w:ind w:left="856" w:right="614" w:hanging="360"/>
        <w:jc w:val="both"/>
        <w:rPr>
          <w:sz w:val="22"/>
        </w:rPr>
      </w:pPr>
      <w:r>
        <w:rPr>
          <w:w w:val="87"/>
          <w:sz w:val="22"/>
        </w:rPr>
        <w:br w:type="column"/>
      </w:r>
      <w:r>
        <w:rPr>
          <w:sz w:val="22"/>
        </w:rPr>
        <w:t>The valuations are based on the information provided by the Instructing Party (Embassy Office Parks Management Services Private Limited). The same has been assumed</w:t>
      </w:r>
      <w:r>
        <w:rPr>
          <w:spacing w:val="-27"/>
          <w:sz w:val="22"/>
        </w:rPr>
        <w:t> </w:t>
      </w:r>
      <w:r>
        <w:rPr>
          <w:sz w:val="22"/>
        </w:rPr>
        <w:t>to</w:t>
      </w:r>
      <w:r>
        <w:rPr>
          <w:spacing w:val="-28"/>
          <w:sz w:val="22"/>
        </w:rPr>
        <w:t> </w:t>
      </w:r>
      <w:r>
        <w:rPr>
          <w:sz w:val="22"/>
        </w:rPr>
        <w:t>be</w:t>
      </w:r>
      <w:r>
        <w:rPr>
          <w:spacing w:val="-27"/>
          <w:sz w:val="22"/>
        </w:rPr>
        <w:t> </w:t>
      </w:r>
      <w:r>
        <w:rPr>
          <w:sz w:val="22"/>
        </w:rPr>
        <w:t>correct</w:t>
      </w:r>
      <w:r>
        <w:rPr>
          <w:spacing w:val="-26"/>
          <w:sz w:val="22"/>
        </w:rPr>
        <w:t> </w:t>
      </w:r>
      <w:r>
        <w:rPr>
          <w:sz w:val="22"/>
        </w:rPr>
        <w:t>and</w:t>
      </w:r>
      <w:r>
        <w:rPr>
          <w:spacing w:val="-27"/>
          <w:sz w:val="22"/>
        </w:rPr>
        <w:t> </w:t>
      </w:r>
      <w:r>
        <w:rPr>
          <w:sz w:val="22"/>
        </w:rPr>
        <w:t>has</w:t>
      </w:r>
      <w:r>
        <w:rPr>
          <w:spacing w:val="-27"/>
          <w:sz w:val="22"/>
        </w:rPr>
        <w:t> </w:t>
      </w:r>
      <w:r>
        <w:rPr>
          <w:sz w:val="22"/>
        </w:rPr>
        <w:t>been</w:t>
      </w:r>
      <w:r>
        <w:rPr>
          <w:spacing w:val="-27"/>
          <w:sz w:val="22"/>
        </w:rPr>
        <w:t> </w:t>
      </w:r>
      <w:r>
        <w:rPr>
          <w:sz w:val="22"/>
        </w:rPr>
        <w:t>used</w:t>
      </w:r>
      <w:r>
        <w:rPr>
          <w:spacing w:val="-27"/>
          <w:sz w:val="22"/>
        </w:rPr>
        <w:t> </w:t>
      </w:r>
      <w:r>
        <w:rPr>
          <w:sz w:val="22"/>
        </w:rPr>
        <w:t>for</w:t>
      </w:r>
      <w:r>
        <w:rPr>
          <w:spacing w:val="-28"/>
          <w:sz w:val="22"/>
        </w:rPr>
        <w:t> </w:t>
      </w:r>
      <w:r>
        <w:rPr>
          <w:sz w:val="22"/>
        </w:rPr>
        <w:t>valuation</w:t>
      </w:r>
      <w:r>
        <w:rPr>
          <w:spacing w:val="-27"/>
          <w:sz w:val="22"/>
        </w:rPr>
        <w:t> </w:t>
      </w:r>
      <w:r>
        <w:rPr>
          <w:sz w:val="22"/>
        </w:rPr>
        <w:t>exercise.</w:t>
      </w:r>
      <w:r>
        <w:rPr>
          <w:spacing w:val="-28"/>
          <w:sz w:val="22"/>
        </w:rPr>
        <w:t> </w:t>
      </w:r>
      <w:r>
        <w:rPr>
          <w:sz w:val="22"/>
        </w:rPr>
        <w:t>Where</w:t>
      </w:r>
      <w:r>
        <w:rPr>
          <w:spacing w:val="-27"/>
          <w:sz w:val="22"/>
        </w:rPr>
        <w:t> </w:t>
      </w:r>
      <w:r>
        <w:rPr>
          <w:sz w:val="22"/>
        </w:rPr>
        <w:t>it</w:t>
      </w:r>
      <w:r>
        <w:rPr>
          <w:spacing w:val="-27"/>
          <w:sz w:val="22"/>
        </w:rPr>
        <w:t> </w:t>
      </w:r>
      <w:r>
        <w:rPr>
          <w:sz w:val="22"/>
        </w:rPr>
        <w:t>is</w:t>
      </w:r>
      <w:r>
        <w:rPr>
          <w:spacing w:val="-26"/>
          <w:sz w:val="22"/>
        </w:rPr>
        <w:t> </w:t>
      </w:r>
      <w:r>
        <w:rPr>
          <w:sz w:val="22"/>
        </w:rPr>
        <w:t>stated</w:t>
      </w:r>
      <w:r>
        <w:rPr>
          <w:spacing w:val="-27"/>
          <w:sz w:val="22"/>
        </w:rPr>
        <w:t> </w:t>
      </w:r>
      <w:r>
        <w:rPr>
          <w:sz w:val="22"/>
        </w:rPr>
        <w:t>in the report that another party has supplied information to the ‘Consultants’, this information is believed to be reliable but the ‘Consultants’ can accept no responsibility if this should prove not to be</w:t>
      </w:r>
      <w:r>
        <w:rPr>
          <w:spacing w:val="-46"/>
          <w:sz w:val="22"/>
        </w:rPr>
        <w:t> </w:t>
      </w:r>
      <w:r>
        <w:rPr>
          <w:sz w:val="22"/>
        </w:rPr>
        <w:t>so</w:t>
      </w:r>
    </w:p>
    <w:p>
      <w:pPr>
        <w:spacing w:after="0" w:line="321" w:lineRule="auto"/>
        <w:jc w:val="both"/>
        <w:rPr>
          <w:sz w:val="22"/>
        </w:rPr>
        <w:sectPr>
          <w:type w:val="continuous"/>
          <w:pgSz w:w="11910" w:h="16840"/>
          <w:pgMar w:top="800" w:bottom="280" w:left="440" w:right="80"/>
          <w:cols w:num="2" w:equalWidth="0">
            <w:col w:w="1656" w:space="199"/>
            <w:col w:w="9535"/>
          </w:cols>
        </w:sectPr>
      </w:pPr>
    </w:p>
    <w:p>
      <w:pPr>
        <w:pStyle w:val="BodyText"/>
        <w:spacing w:before="2" w:after="1"/>
        <w:rPr>
          <w:sz w:val="10"/>
        </w:rPr>
      </w:pPr>
    </w:p>
    <w:p>
      <w:pPr>
        <w:pStyle w:val="BodyText"/>
        <w:ind w:left="388"/>
        <w:rPr>
          <w:sz w:val="20"/>
        </w:rPr>
      </w:pPr>
      <w:r>
        <w:rPr>
          <w:sz w:val="20"/>
        </w:rPr>
        <w:pict>
          <v:group style="width:524.65pt;height:80.55pt;mso-position-horizontal-relative:char;mso-position-vertical-relative:line" coordorigin="0,0" coordsize="10493,1611">
            <v:shape style="position:absolute;left:0;top:0;width:10493;height:1611" coordorigin="0,0" coordsize="10493,1611" path="m10493,0l1844,0,0,0,0,1610,1844,1610,10493,1610,10493,0xe" filled="true" fillcolor="#f1f1f1" stroked="false">
              <v:path arrowok="t"/>
              <v:fill type="solid"/>
            </v:shape>
            <v:shape style="position:absolute;left:108;top:118;width:1461;height:265" type="#_x0000_t202" filled="false" stroked="false">
              <v:textbox inset="0,0,0,0">
                <w:txbxContent>
                  <w:p>
                    <w:pPr>
                      <w:spacing w:before="6"/>
                      <w:ind w:left="0" w:right="0" w:firstLine="0"/>
                      <w:jc w:val="left"/>
                      <w:rPr>
                        <w:sz w:val="22"/>
                      </w:rPr>
                    </w:pPr>
                    <w:r>
                      <w:rPr>
                        <w:color w:val="1F664D"/>
                        <w:w w:val="95"/>
                        <w:sz w:val="22"/>
                      </w:rPr>
                      <w:t>Future Matters:</w:t>
                    </w:r>
                  </w:p>
                </w:txbxContent>
              </v:textbox>
              <w10:wrap type="none"/>
            </v:shape>
            <v:shape style="position:absolute;left:1963;top:118;width:8444;height:1295" type="#_x0000_t202" filled="false" stroked="false">
              <v:textbox inset="0,0,0,0">
                <w:txbxContent>
                  <w:p>
                    <w:pPr>
                      <w:numPr>
                        <w:ilvl w:val="0"/>
                        <w:numId w:val="18"/>
                      </w:numPr>
                      <w:tabs>
                        <w:tab w:pos="360" w:val="left" w:leader="none"/>
                      </w:tabs>
                      <w:spacing w:line="321" w:lineRule="auto" w:before="6"/>
                      <w:ind w:left="360" w:right="18" w:hanging="360"/>
                      <w:jc w:val="both"/>
                      <w:rPr>
                        <w:sz w:val="22"/>
                      </w:rPr>
                    </w:pPr>
                    <w:r>
                      <w:rPr>
                        <w:sz w:val="22"/>
                      </w:rPr>
                      <w:t>To</w:t>
                    </w:r>
                    <w:r>
                      <w:rPr>
                        <w:spacing w:val="-17"/>
                        <w:sz w:val="22"/>
                      </w:rPr>
                      <w:t> </w:t>
                    </w:r>
                    <w:r>
                      <w:rPr>
                        <w:sz w:val="22"/>
                      </w:rPr>
                      <w:t>the</w:t>
                    </w:r>
                    <w:r>
                      <w:rPr>
                        <w:spacing w:val="-16"/>
                        <w:sz w:val="22"/>
                      </w:rPr>
                      <w:t> </w:t>
                    </w:r>
                    <w:r>
                      <w:rPr>
                        <w:sz w:val="22"/>
                      </w:rPr>
                      <w:t>extent</w:t>
                    </w:r>
                    <w:r>
                      <w:rPr>
                        <w:spacing w:val="-16"/>
                        <w:sz w:val="22"/>
                      </w:rPr>
                      <w:t> </w:t>
                    </w:r>
                    <w:r>
                      <w:rPr>
                        <w:sz w:val="22"/>
                      </w:rPr>
                      <w:t>that</w:t>
                    </w:r>
                    <w:r>
                      <w:rPr>
                        <w:spacing w:val="-15"/>
                        <w:sz w:val="22"/>
                      </w:rPr>
                      <w:t> </w:t>
                    </w:r>
                    <w:r>
                      <w:rPr>
                        <w:sz w:val="22"/>
                      </w:rPr>
                      <w:t>the</w:t>
                    </w:r>
                    <w:r>
                      <w:rPr>
                        <w:spacing w:val="-17"/>
                        <w:sz w:val="22"/>
                      </w:rPr>
                      <w:t> </w:t>
                    </w:r>
                    <w:r>
                      <w:rPr>
                        <w:sz w:val="22"/>
                      </w:rPr>
                      <w:t>valuation</w:t>
                    </w:r>
                    <w:r>
                      <w:rPr>
                        <w:spacing w:val="-15"/>
                        <w:sz w:val="22"/>
                      </w:rPr>
                      <w:t> </w:t>
                    </w:r>
                    <w:r>
                      <w:rPr>
                        <w:sz w:val="22"/>
                      </w:rPr>
                      <w:t>includes</w:t>
                    </w:r>
                    <w:r>
                      <w:rPr>
                        <w:spacing w:val="-15"/>
                        <w:sz w:val="22"/>
                      </w:rPr>
                      <w:t> </w:t>
                    </w:r>
                    <w:r>
                      <w:rPr>
                        <w:sz w:val="22"/>
                      </w:rPr>
                      <w:t>any</w:t>
                    </w:r>
                    <w:r>
                      <w:rPr>
                        <w:spacing w:val="-17"/>
                        <w:sz w:val="22"/>
                      </w:rPr>
                      <w:t> </w:t>
                    </w:r>
                    <w:r>
                      <w:rPr>
                        <w:sz w:val="22"/>
                      </w:rPr>
                      <w:t>statement</w:t>
                    </w:r>
                    <w:r>
                      <w:rPr>
                        <w:spacing w:val="-16"/>
                        <w:sz w:val="22"/>
                      </w:rPr>
                      <w:t> </w:t>
                    </w:r>
                    <w:r>
                      <w:rPr>
                        <w:sz w:val="22"/>
                      </w:rPr>
                      <w:t>as</w:t>
                    </w:r>
                    <w:r>
                      <w:rPr>
                        <w:spacing w:val="-15"/>
                        <w:sz w:val="22"/>
                      </w:rPr>
                      <w:t> </w:t>
                    </w:r>
                    <w:r>
                      <w:rPr>
                        <w:sz w:val="22"/>
                      </w:rPr>
                      <w:t>to</w:t>
                    </w:r>
                    <w:r>
                      <w:rPr>
                        <w:spacing w:val="-16"/>
                        <w:sz w:val="22"/>
                      </w:rPr>
                      <w:t> </w:t>
                    </w:r>
                    <w:r>
                      <w:rPr>
                        <w:sz w:val="22"/>
                      </w:rPr>
                      <w:t>a</w:t>
                    </w:r>
                    <w:r>
                      <w:rPr>
                        <w:spacing w:val="-16"/>
                        <w:sz w:val="22"/>
                      </w:rPr>
                      <w:t> </w:t>
                    </w:r>
                    <w:r>
                      <w:rPr>
                        <w:sz w:val="22"/>
                      </w:rPr>
                      <w:t>future</w:t>
                    </w:r>
                    <w:r>
                      <w:rPr>
                        <w:spacing w:val="-16"/>
                        <w:sz w:val="22"/>
                      </w:rPr>
                      <w:t> </w:t>
                    </w:r>
                    <w:r>
                      <w:rPr>
                        <w:sz w:val="22"/>
                      </w:rPr>
                      <w:t>matter,</w:t>
                    </w:r>
                    <w:r>
                      <w:rPr>
                        <w:spacing w:val="-13"/>
                        <w:sz w:val="22"/>
                      </w:rPr>
                      <w:t> </w:t>
                    </w:r>
                    <w:r>
                      <w:rPr>
                        <w:sz w:val="22"/>
                      </w:rPr>
                      <w:t>that statement</w:t>
                    </w:r>
                    <w:r>
                      <w:rPr>
                        <w:spacing w:val="-34"/>
                        <w:sz w:val="22"/>
                      </w:rPr>
                      <w:t> </w:t>
                    </w:r>
                    <w:r>
                      <w:rPr>
                        <w:sz w:val="22"/>
                      </w:rPr>
                      <w:t>is</w:t>
                    </w:r>
                    <w:r>
                      <w:rPr>
                        <w:spacing w:val="-33"/>
                        <w:sz w:val="22"/>
                      </w:rPr>
                      <w:t> </w:t>
                    </w:r>
                    <w:r>
                      <w:rPr>
                        <w:sz w:val="22"/>
                      </w:rPr>
                      <w:t>provided</w:t>
                    </w:r>
                    <w:r>
                      <w:rPr>
                        <w:spacing w:val="-34"/>
                        <w:sz w:val="22"/>
                      </w:rPr>
                      <w:t> </w:t>
                    </w:r>
                    <w:r>
                      <w:rPr>
                        <w:sz w:val="22"/>
                      </w:rPr>
                      <w:t>as</w:t>
                    </w:r>
                    <w:r>
                      <w:rPr>
                        <w:spacing w:val="-35"/>
                        <w:sz w:val="22"/>
                      </w:rPr>
                      <w:t> </w:t>
                    </w:r>
                    <w:r>
                      <w:rPr>
                        <w:sz w:val="22"/>
                      </w:rPr>
                      <w:t>an</w:t>
                    </w:r>
                    <w:r>
                      <w:rPr>
                        <w:spacing w:val="-34"/>
                        <w:sz w:val="22"/>
                      </w:rPr>
                      <w:t> </w:t>
                    </w:r>
                    <w:r>
                      <w:rPr>
                        <w:sz w:val="22"/>
                      </w:rPr>
                      <w:t>estimate</w:t>
                    </w:r>
                    <w:r>
                      <w:rPr>
                        <w:spacing w:val="-34"/>
                        <w:sz w:val="22"/>
                      </w:rPr>
                      <w:t> </w:t>
                    </w:r>
                    <w:r>
                      <w:rPr>
                        <w:sz w:val="22"/>
                      </w:rPr>
                      <w:t>and/or</w:t>
                    </w:r>
                    <w:r>
                      <w:rPr>
                        <w:spacing w:val="-34"/>
                        <w:sz w:val="22"/>
                      </w:rPr>
                      <w:t> </w:t>
                    </w:r>
                    <w:r>
                      <w:rPr>
                        <w:sz w:val="22"/>
                      </w:rPr>
                      <w:t>opinion</w:t>
                    </w:r>
                    <w:r>
                      <w:rPr>
                        <w:spacing w:val="-34"/>
                        <w:sz w:val="22"/>
                      </w:rPr>
                      <w:t> </w:t>
                    </w:r>
                    <w:r>
                      <w:rPr>
                        <w:sz w:val="22"/>
                      </w:rPr>
                      <w:t>based</w:t>
                    </w:r>
                    <w:r>
                      <w:rPr>
                        <w:spacing w:val="-34"/>
                        <w:sz w:val="22"/>
                      </w:rPr>
                      <w:t> </w:t>
                    </w:r>
                    <w:r>
                      <w:rPr>
                        <w:sz w:val="22"/>
                      </w:rPr>
                      <w:t>on</w:t>
                    </w:r>
                    <w:r>
                      <w:rPr>
                        <w:spacing w:val="-34"/>
                        <w:sz w:val="22"/>
                      </w:rPr>
                      <w:t> </w:t>
                    </w:r>
                    <w:r>
                      <w:rPr>
                        <w:sz w:val="22"/>
                      </w:rPr>
                      <w:t>the</w:t>
                    </w:r>
                    <w:r>
                      <w:rPr>
                        <w:spacing w:val="-34"/>
                        <w:sz w:val="22"/>
                      </w:rPr>
                      <w:t> </w:t>
                    </w:r>
                    <w:r>
                      <w:rPr>
                        <w:sz w:val="22"/>
                      </w:rPr>
                      <w:t>information</w:t>
                    </w:r>
                    <w:r>
                      <w:rPr>
                        <w:spacing w:val="-35"/>
                        <w:sz w:val="22"/>
                      </w:rPr>
                      <w:t> </w:t>
                    </w:r>
                    <w:r>
                      <w:rPr>
                        <w:sz w:val="22"/>
                      </w:rPr>
                      <w:t>known to</w:t>
                    </w:r>
                    <w:r>
                      <w:rPr>
                        <w:spacing w:val="-20"/>
                        <w:sz w:val="22"/>
                      </w:rPr>
                      <w:t> </w:t>
                    </w:r>
                    <w:r>
                      <w:rPr>
                        <w:sz w:val="22"/>
                      </w:rPr>
                      <w:t>the</w:t>
                    </w:r>
                    <w:r>
                      <w:rPr>
                        <w:spacing w:val="-21"/>
                        <w:sz w:val="22"/>
                      </w:rPr>
                      <w:t> </w:t>
                    </w:r>
                    <w:r>
                      <w:rPr>
                        <w:sz w:val="22"/>
                      </w:rPr>
                      <w:t>‘Consultants’</w:t>
                    </w:r>
                    <w:r>
                      <w:rPr>
                        <w:spacing w:val="-20"/>
                        <w:sz w:val="22"/>
                      </w:rPr>
                      <w:t> </w:t>
                    </w:r>
                    <w:r>
                      <w:rPr>
                        <w:sz w:val="22"/>
                      </w:rPr>
                      <w:t>at</w:t>
                    </w:r>
                    <w:r>
                      <w:rPr>
                        <w:spacing w:val="-19"/>
                        <w:sz w:val="22"/>
                      </w:rPr>
                      <w:t> </w:t>
                    </w:r>
                    <w:r>
                      <w:rPr>
                        <w:sz w:val="22"/>
                      </w:rPr>
                      <w:t>the</w:t>
                    </w:r>
                    <w:r>
                      <w:rPr>
                        <w:spacing w:val="-20"/>
                        <w:sz w:val="22"/>
                      </w:rPr>
                      <w:t> </w:t>
                    </w:r>
                    <w:r>
                      <w:rPr>
                        <w:sz w:val="22"/>
                      </w:rPr>
                      <w:t>date</w:t>
                    </w:r>
                    <w:r>
                      <w:rPr>
                        <w:spacing w:val="-20"/>
                        <w:sz w:val="22"/>
                      </w:rPr>
                      <w:t> </w:t>
                    </w:r>
                    <w:r>
                      <w:rPr>
                        <w:sz w:val="22"/>
                      </w:rPr>
                      <w:t>of</w:t>
                    </w:r>
                    <w:r>
                      <w:rPr>
                        <w:spacing w:val="-21"/>
                        <w:sz w:val="22"/>
                      </w:rPr>
                      <w:t> </w:t>
                    </w:r>
                    <w:r>
                      <w:rPr>
                        <w:sz w:val="22"/>
                      </w:rPr>
                      <w:t>this</w:t>
                    </w:r>
                    <w:r>
                      <w:rPr>
                        <w:spacing w:val="-20"/>
                        <w:sz w:val="22"/>
                      </w:rPr>
                      <w:t> </w:t>
                    </w:r>
                    <w:r>
                      <w:rPr>
                        <w:sz w:val="22"/>
                      </w:rPr>
                      <w:t>document.</w:t>
                    </w:r>
                    <w:r>
                      <w:rPr>
                        <w:spacing w:val="-22"/>
                        <w:sz w:val="22"/>
                      </w:rPr>
                      <w:t> </w:t>
                    </w:r>
                    <w:r>
                      <w:rPr>
                        <w:sz w:val="22"/>
                      </w:rPr>
                      <w:t>The</w:t>
                    </w:r>
                    <w:r>
                      <w:rPr>
                        <w:spacing w:val="-21"/>
                        <w:sz w:val="22"/>
                      </w:rPr>
                      <w:t> </w:t>
                    </w:r>
                    <w:r>
                      <w:rPr>
                        <w:sz w:val="22"/>
                      </w:rPr>
                      <w:t>‘Consultants’</w:t>
                    </w:r>
                    <w:r>
                      <w:rPr>
                        <w:spacing w:val="-21"/>
                        <w:sz w:val="22"/>
                      </w:rPr>
                      <w:t> </w:t>
                    </w:r>
                    <w:r>
                      <w:rPr>
                        <w:sz w:val="22"/>
                      </w:rPr>
                      <w:t>do</w:t>
                    </w:r>
                    <w:r>
                      <w:rPr>
                        <w:spacing w:val="-21"/>
                        <w:sz w:val="22"/>
                      </w:rPr>
                      <w:t> </w:t>
                    </w:r>
                    <w:r>
                      <w:rPr>
                        <w:sz w:val="22"/>
                      </w:rPr>
                      <w:t>not</w:t>
                    </w:r>
                    <w:r>
                      <w:rPr>
                        <w:spacing w:val="-21"/>
                        <w:sz w:val="22"/>
                      </w:rPr>
                      <w:t> </w:t>
                    </w:r>
                    <w:r>
                      <w:rPr>
                        <w:sz w:val="22"/>
                      </w:rPr>
                      <w:t>warrant</w:t>
                    </w:r>
                  </w:p>
                  <w:p>
                    <w:pPr>
                      <w:spacing w:before="2"/>
                      <w:ind w:left="360" w:right="0" w:firstLine="0"/>
                      <w:jc w:val="both"/>
                      <w:rPr>
                        <w:sz w:val="22"/>
                      </w:rPr>
                    </w:pPr>
                    <w:r>
                      <w:rPr>
                        <w:sz w:val="22"/>
                      </w:rPr>
                      <w:t>that such statements are accurate or correct</w:t>
                    </w:r>
                  </w:p>
                </w:txbxContent>
              </v:textbox>
              <w10:wrap type="none"/>
            </v:shape>
          </v:group>
        </w:pict>
      </w:r>
      <w:r>
        <w:rPr>
          <w:sz w:val="20"/>
        </w:rPr>
      </w:r>
    </w:p>
    <w:p>
      <w:pPr>
        <w:pStyle w:val="BodyText"/>
        <w:spacing w:line="321" w:lineRule="auto" w:before="90"/>
        <w:ind w:left="2711" w:right="614" w:hanging="2216"/>
        <w:jc w:val="both"/>
      </w:pPr>
      <w:r>
        <w:rPr>
          <w:color w:val="1F664D"/>
        </w:rPr>
        <w:t>Map and Plans: </w:t>
      </w:r>
      <w:r>
        <w:rPr>
          <w:rFonts w:ascii="Wingdings" w:hAnsi="Wingdings"/>
        </w:rPr>
        <w:t></w:t>
      </w:r>
      <w:r>
        <w:rPr>
          <w:rFonts w:ascii="Times New Roman" w:hAnsi="Times New Roman"/>
        </w:rPr>
        <w:t> </w:t>
      </w:r>
      <w:r>
        <w:rPr/>
        <w:t>Any sketch, plan or map in this report is included to assist reader while visualizing the properties and the Consultants assume no responsibility in connection with such matters</w:t>
      </w:r>
    </w:p>
    <w:p>
      <w:pPr>
        <w:spacing w:after="0" w:line="321" w:lineRule="auto"/>
        <w:jc w:val="both"/>
        <w:sectPr>
          <w:type w:val="continuous"/>
          <w:pgSz w:w="11910" w:h="16840"/>
          <w:pgMar w:top="800" w:bottom="280" w:left="440" w:right="80"/>
        </w:sectPr>
      </w:pPr>
    </w:p>
    <w:p>
      <w:pPr>
        <w:pStyle w:val="BodyText"/>
        <w:rPr>
          <w:sz w:val="20"/>
        </w:rPr>
      </w:pPr>
    </w:p>
    <w:p>
      <w:pPr>
        <w:pStyle w:val="BodyText"/>
        <w:spacing w:before="2"/>
        <w:rPr>
          <w:sz w:val="11"/>
        </w:rPr>
      </w:pPr>
    </w:p>
    <w:p>
      <w:pPr>
        <w:pStyle w:val="BodyText"/>
        <w:ind w:left="388"/>
        <w:rPr>
          <w:sz w:val="20"/>
        </w:rPr>
      </w:pPr>
      <w:r>
        <w:rPr>
          <w:sz w:val="20"/>
        </w:rPr>
        <w:pict>
          <v:group style="width:524.65pt;height:63.4pt;mso-position-horizontal-relative:char;mso-position-vertical-relative:line" coordorigin="0,0" coordsize="10493,1268">
            <v:shape style="position:absolute;left:0;top:0;width:10493;height:1268" coordorigin="0,0" coordsize="10493,1268" path="m10493,0l1844,0,0,0,0,1267,1844,1267,10493,1267,10493,0xe" filled="true" fillcolor="#f1f1f1" stroked="false">
              <v:path arrowok="t"/>
              <v:fill type="solid"/>
            </v:shape>
            <v:shape style="position:absolute;left:108;top:118;width:1144;height:265" type="#_x0000_t202" filled="false" stroked="false">
              <v:textbox inset="0,0,0,0">
                <w:txbxContent>
                  <w:p>
                    <w:pPr>
                      <w:spacing w:before="6"/>
                      <w:ind w:left="0" w:right="0" w:firstLine="0"/>
                      <w:jc w:val="left"/>
                      <w:rPr>
                        <w:sz w:val="22"/>
                      </w:rPr>
                    </w:pPr>
                    <w:r>
                      <w:rPr>
                        <w:color w:val="1F664D"/>
                        <w:w w:val="95"/>
                        <w:sz w:val="22"/>
                      </w:rPr>
                      <w:t>Site Details:</w:t>
                    </w:r>
                  </w:p>
                </w:txbxContent>
              </v:textbox>
              <w10:wrap type="none"/>
            </v:shape>
            <v:shape style="position:absolute;left:1963;top:118;width:8439;height:952" type="#_x0000_t202" filled="false" stroked="false">
              <v:textbox inset="0,0,0,0">
                <w:txbxContent>
                  <w:p>
                    <w:pPr>
                      <w:numPr>
                        <w:ilvl w:val="0"/>
                        <w:numId w:val="19"/>
                      </w:numPr>
                      <w:tabs>
                        <w:tab w:pos="359" w:val="left" w:leader="none"/>
                        <w:tab w:pos="360" w:val="left" w:leader="none"/>
                      </w:tabs>
                      <w:spacing w:before="6"/>
                      <w:ind w:left="360" w:right="0" w:hanging="360"/>
                      <w:jc w:val="left"/>
                      <w:rPr>
                        <w:sz w:val="22"/>
                      </w:rPr>
                    </w:pPr>
                    <w:r>
                      <w:rPr>
                        <w:sz w:val="22"/>
                      </w:rPr>
                      <w:t>Based on title due-diligence information provided by the Client, the</w:t>
                    </w:r>
                    <w:r>
                      <w:rPr>
                        <w:spacing w:val="6"/>
                        <w:sz w:val="22"/>
                      </w:rPr>
                      <w:t> </w:t>
                    </w:r>
                    <w:r>
                      <w:rPr>
                        <w:sz w:val="22"/>
                      </w:rPr>
                      <w:t>Valuer</w:t>
                    </w:r>
                  </w:p>
                  <w:p>
                    <w:pPr>
                      <w:spacing w:line="340" w:lineRule="atLeast" w:before="3"/>
                      <w:ind w:left="360" w:right="0" w:firstLine="0"/>
                      <w:jc w:val="left"/>
                      <w:rPr>
                        <w:sz w:val="22"/>
                      </w:rPr>
                    </w:pPr>
                    <w:r>
                      <w:rPr>
                        <w:sz w:val="22"/>
                      </w:rPr>
                      <w:t>understands</w:t>
                    </w:r>
                    <w:r>
                      <w:rPr>
                        <w:spacing w:val="-7"/>
                        <w:sz w:val="22"/>
                      </w:rPr>
                      <w:t> </w:t>
                    </w:r>
                    <w:r>
                      <w:rPr>
                        <w:sz w:val="22"/>
                      </w:rPr>
                      <w:t>that</w:t>
                    </w:r>
                    <w:r>
                      <w:rPr>
                        <w:spacing w:val="-9"/>
                        <w:sz w:val="22"/>
                      </w:rPr>
                      <w:t> </w:t>
                    </w:r>
                    <w:r>
                      <w:rPr>
                        <w:sz w:val="22"/>
                      </w:rPr>
                      <w:t>the</w:t>
                    </w:r>
                    <w:r>
                      <w:rPr>
                        <w:spacing w:val="-7"/>
                        <w:sz w:val="22"/>
                      </w:rPr>
                      <w:t> </w:t>
                    </w:r>
                    <w:r>
                      <w:rPr>
                        <w:sz w:val="22"/>
                      </w:rPr>
                      <w:t>subject</w:t>
                    </w:r>
                    <w:r>
                      <w:rPr>
                        <w:spacing w:val="-7"/>
                        <w:sz w:val="22"/>
                      </w:rPr>
                      <w:t> </w:t>
                    </w:r>
                    <w:r>
                      <w:rPr>
                        <w:sz w:val="22"/>
                      </w:rPr>
                      <w:t>properties</w:t>
                    </w:r>
                    <w:r>
                      <w:rPr>
                        <w:spacing w:val="-7"/>
                        <w:sz w:val="22"/>
                      </w:rPr>
                      <w:t> </w:t>
                    </w:r>
                    <w:r>
                      <w:rPr>
                        <w:sz w:val="22"/>
                      </w:rPr>
                      <w:t>are</w:t>
                    </w:r>
                    <w:r>
                      <w:rPr>
                        <w:spacing w:val="-7"/>
                        <w:sz w:val="22"/>
                      </w:rPr>
                      <w:t> </w:t>
                    </w:r>
                    <w:r>
                      <w:rPr>
                        <w:sz w:val="22"/>
                      </w:rPr>
                      <w:t>free</w:t>
                    </w:r>
                    <w:r>
                      <w:rPr>
                        <w:spacing w:val="-7"/>
                        <w:sz w:val="22"/>
                      </w:rPr>
                      <w:t> </w:t>
                    </w:r>
                    <w:r>
                      <w:rPr>
                        <w:sz w:val="22"/>
                      </w:rPr>
                      <w:t>from</w:t>
                    </w:r>
                    <w:r>
                      <w:rPr>
                        <w:spacing w:val="-7"/>
                        <w:sz w:val="22"/>
                      </w:rPr>
                      <w:t> </w:t>
                    </w:r>
                    <w:r>
                      <w:rPr>
                        <w:sz w:val="22"/>
                      </w:rPr>
                      <w:t>any</w:t>
                    </w:r>
                    <w:r>
                      <w:rPr>
                        <w:spacing w:val="-7"/>
                        <w:sz w:val="22"/>
                      </w:rPr>
                      <w:t> </w:t>
                    </w:r>
                    <w:r>
                      <w:rPr>
                        <w:sz w:val="22"/>
                      </w:rPr>
                      <w:t>encroachments</w:t>
                    </w:r>
                    <w:r>
                      <w:rPr>
                        <w:spacing w:val="-6"/>
                        <w:sz w:val="22"/>
                      </w:rPr>
                      <w:t> </w:t>
                    </w:r>
                    <w:r>
                      <w:rPr>
                        <w:sz w:val="22"/>
                      </w:rPr>
                      <w:t>and</w:t>
                    </w:r>
                    <w:r>
                      <w:rPr>
                        <w:spacing w:val="-7"/>
                        <w:sz w:val="22"/>
                      </w:rPr>
                      <w:t> </w:t>
                    </w:r>
                    <w:r>
                      <w:rPr>
                        <w:sz w:val="22"/>
                      </w:rPr>
                      <w:t>are available as on the date of the</w:t>
                    </w:r>
                    <w:r>
                      <w:rPr>
                        <w:spacing w:val="-29"/>
                        <w:sz w:val="22"/>
                      </w:rPr>
                      <w:t> </w:t>
                    </w:r>
                    <w:r>
                      <w:rPr>
                        <w:sz w:val="22"/>
                      </w:rPr>
                      <w:t>valuation</w:t>
                    </w:r>
                  </w:p>
                </w:txbxContent>
              </v:textbox>
              <w10:wrap type="none"/>
            </v:shape>
          </v:group>
        </w:pict>
      </w:r>
      <w:r>
        <w:rPr>
          <w:sz w:val="20"/>
        </w:rPr>
      </w:r>
    </w:p>
    <w:p>
      <w:pPr>
        <w:pStyle w:val="BodyText"/>
        <w:spacing w:line="321" w:lineRule="auto" w:before="92"/>
        <w:ind w:left="2711" w:right="613" w:hanging="2216"/>
        <w:jc w:val="both"/>
      </w:pPr>
      <w:r>
        <w:rPr>
          <w:color w:val="1F664D"/>
        </w:rPr>
        <w:t>Property Title:</w:t>
      </w:r>
      <w:r>
        <w:rPr>
          <w:color w:val="1F664D"/>
          <w:spacing w:val="33"/>
        </w:rPr>
        <w:t> </w:t>
      </w:r>
      <w:r>
        <w:rPr>
          <w:rFonts w:ascii="Wingdings" w:hAnsi="Wingdings"/>
        </w:rPr>
        <w:t></w:t>
      </w:r>
      <w:r>
        <w:rPr>
          <w:rFonts w:ascii="Times New Roman" w:hAnsi="Times New Roman"/>
        </w:rPr>
        <w:t> </w:t>
      </w:r>
      <w:r>
        <w:rPr/>
        <w:t>For the purpose of this valuation exercise, the Valuer has relied on the Title Reports prepared</w:t>
      </w:r>
      <w:r>
        <w:rPr>
          <w:spacing w:val="-13"/>
        </w:rPr>
        <w:t> </w:t>
      </w:r>
      <w:r>
        <w:rPr/>
        <w:t>by</w:t>
      </w:r>
      <w:r>
        <w:rPr>
          <w:spacing w:val="-13"/>
        </w:rPr>
        <w:t> </w:t>
      </w:r>
      <w:r>
        <w:rPr/>
        <w:t>the</w:t>
      </w:r>
      <w:r>
        <w:rPr>
          <w:spacing w:val="-13"/>
        </w:rPr>
        <w:t> </w:t>
      </w:r>
      <w:r>
        <w:rPr/>
        <w:t>Legal</w:t>
      </w:r>
      <w:r>
        <w:rPr>
          <w:spacing w:val="-12"/>
        </w:rPr>
        <w:t> </w:t>
      </w:r>
      <w:r>
        <w:rPr/>
        <w:t>Counsels</w:t>
      </w:r>
      <w:r>
        <w:rPr>
          <w:spacing w:val="-8"/>
        </w:rPr>
        <w:t> </w:t>
      </w:r>
      <w:r>
        <w:rPr/>
        <w:t>for</w:t>
      </w:r>
      <w:r>
        <w:rPr>
          <w:spacing w:val="-12"/>
        </w:rPr>
        <w:t> </w:t>
      </w:r>
      <w:r>
        <w:rPr/>
        <w:t>each</w:t>
      </w:r>
      <w:r>
        <w:rPr>
          <w:spacing w:val="-12"/>
        </w:rPr>
        <w:t> </w:t>
      </w:r>
      <w:r>
        <w:rPr/>
        <w:t>of</w:t>
      </w:r>
      <w:r>
        <w:rPr>
          <w:spacing w:val="-13"/>
        </w:rPr>
        <w:t> </w:t>
      </w:r>
      <w:r>
        <w:rPr/>
        <w:t>the</w:t>
      </w:r>
      <w:r>
        <w:rPr>
          <w:spacing w:val="-12"/>
        </w:rPr>
        <w:t> </w:t>
      </w:r>
      <w:r>
        <w:rPr/>
        <w:t>properties</w:t>
      </w:r>
      <w:r>
        <w:rPr>
          <w:spacing w:val="-11"/>
        </w:rPr>
        <w:t> </w:t>
      </w:r>
      <w:r>
        <w:rPr/>
        <w:t>and</w:t>
      </w:r>
      <w:r>
        <w:rPr>
          <w:spacing w:val="-11"/>
        </w:rPr>
        <w:t> </w:t>
      </w:r>
      <w:r>
        <w:rPr/>
        <w:t>has</w:t>
      </w:r>
      <w:r>
        <w:rPr>
          <w:spacing w:val="-11"/>
        </w:rPr>
        <w:t> </w:t>
      </w:r>
      <w:r>
        <w:rPr/>
        <w:t>made</w:t>
      </w:r>
      <w:r>
        <w:rPr>
          <w:spacing w:val="-14"/>
        </w:rPr>
        <w:t> </w:t>
      </w:r>
      <w:r>
        <w:rPr/>
        <w:t>no</w:t>
      </w:r>
      <w:r>
        <w:rPr>
          <w:spacing w:val="-13"/>
        </w:rPr>
        <w:t> </w:t>
      </w:r>
      <w:r>
        <w:rPr/>
        <w:t>further enquiries</w:t>
      </w:r>
      <w:r>
        <w:rPr>
          <w:spacing w:val="-15"/>
        </w:rPr>
        <w:t> </w:t>
      </w:r>
      <w:r>
        <w:rPr/>
        <w:t>with</w:t>
      </w:r>
      <w:r>
        <w:rPr>
          <w:spacing w:val="-18"/>
        </w:rPr>
        <w:t> </w:t>
      </w:r>
      <w:r>
        <w:rPr/>
        <w:t>the</w:t>
      </w:r>
      <w:r>
        <w:rPr>
          <w:spacing w:val="-16"/>
        </w:rPr>
        <w:t> </w:t>
      </w:r>
      <w:r>
        <w:rPr/>
        <w:t>relevant</w:t>
      </w:r>
      <w:r>
        <w:rPr>
          <w:spacing w:val="-16"/>
        </w:rPr>
        <w:t> </w:t>
      </w:r>
      <w:r>
        <w:rPr/>
        <w:t>local</w:t>
      </w:r>
      <w:r>
        <w:rPr>
          <w:spacing w:val="-16"/>
        </w:rPr>
        <w:t> </w:t>
      </w:r>
      <w:r>
        <w:rPr/>
        <w:t>authorities</w:t>
      </w:r>
      <w:r>
        <w:rPr>
          <w:spacing w:val="-15"/>
        </w:rPr>
        <w:t> </w:t>
      </w:r>
      <w:r>
        <w:rPr/>
        <w:t>in</w:t>
      </w:r>
      <w:r>
        <w:rPr>
          <w:spacing w:val="-16"/>
        </w:rPr>
        <w:t> </w:t>
      </w:r>
      <w:r>
        <w:rPr/>
        <w:t>this</w:t>
      </w:r>
      <w:r>
        <w:rPr>
          <w:spacing w:val="-15"/>
        </w:rPr>
        <w:t> </w:t>
      </w:r>
      <w:r>
        <w:rPr/>
        <w:t>regard.</w:t>
      </w:r>
      <w:r>
        <w:rPr>
          <w:spacing w:val="-17"/>
        </w:rPr>
        <w:t> </w:t>
      </w:r>
      <w:r>
        <w:rPr/>
        <w:t>The</w:t>
      </w:r>
      <w:r>
        <w:rPr>
          <w:spacing w:val="-17"/>
        </w:rPr>
        <w:t> </w:t>
      </w:r>
      <w:r>
        <w:rPr/>
        <w:t>Valuer</w:t>
      </w:r>
      <w:r>
        <w:rPr>
          <w:spacing w:val="-16"/>
        </w:rPr>
        <w:t> </w:t>
      </w:r>
      <w:r>
        <w:rPr/>
        <w:t>understands that</w:t>
      </w:r>
      <w:r>
        <w:rPr>
          <w:spacing w:val="-37"/>
        </w:rPr>
        <w:t> </w:t>
      </w:r>
      <w:r>
        <w:rPr/>
        <w:t>the</w:t>
      </w:r>
      <w:r>
        <w:rPr>
          <w:spacing w:val="-38"/>
        </w:rPr>
        <w:t> </w:t>
      </w:r>
      <w:r>
        <w:rPr/>
        <w:t>subject</w:t>
      </w:r>
      <w:r>
        <w:rPr>
          <w:spacing w:val="-37"/>
        </w:rPr>
        <w:t> </w:t>
      </w:r>
      <w:r>
        <w:rPr/>
        <w:t>properties</w:t>
      </w:r>
      <w:r>
        <w:rPr>
          <w:spacing w:val="-37"/>
        </w:rPr>
        <w:t> </w:t>
      </w:r>
      <w:r>
        <w:rPr/>
        <w:t>may</w:t>
      </w:r>
      <w:r>
        <w:rPr>
          <w:spacing w:val="-35"/>
        </w:rPr>
        <w:t> </w:t>
      </w:r>
      <w:r>
        <w:rPr/>
        <w:t>have</w:t>
      </w:r>
      <w:r>
        <w:rPr>
          <w:spacing w:val="-37"/>
        </w:rPr>
        <w:t> </w:t>
      </w:r>
      <w:r>
        <w:rPr/>
        <w:t>encumbrances,</w:t>
      </w:r>
      <w:r>
        <w:rPr>
          <w:spacing w:val="-37"/>
        </w:rPr>
        <w:t> </w:t>
      </w:r>
      <w:r>
        <w:rPr/>
        <w:t>disputes</w:t>
      </w:r>
      <w:r>
        <w:rPr>
          <w:spacing w:val="-37"/>
        </w:rPr>
        <w:t> </w:t>
      </w:r>
      <w:r>
        <w:rPr/>
        <w:t>and</w:t>
      </w:r>
      <w:r>
        <w:rPr>
          <w:spacing w:val="-36"/>
        </w:rPr>
        <w:t> </w:t>
      </w:r>
      <w:r>
        <w:rPr/>
        <w:t>claims.</w:t>
      </w:r>
      <w:r>
        <w:rPr>
          <w:spacing w:val="-38"/>
        </w:rPr>
        <w:t> </w:t>
      </w:r>
      <w:r>
        <w:rPr/>
        <w:t>The</w:t>
      </w:r>
      <w:r>
        <w:rPr>
          <w:spacing w:val="-37"/>
        </w:rPr>
        <w:t> </w:t>
      </w:r>
      <w:r>
        <w:rPr/>
        <w:t>Valuer does</w:t>
      </w:r>
      <w:r>
        <w:rPr>
          <w:spacing w:val="-9"/>
        </w:rPr>
        <w:t> </w:t>
      </w:r>
      <w:r>
        <w:rPr/>
        <w:t>not</w:t>
      </w:r>
      <w:r>
        <w:rPr>
          <w:spacing w:val="-10"/>
        </w:rPr>
        <w:t> </w:t>
      </w:r>
      <w:r>
        <w:rPr/>
        <w:t>have</w:t>
      </w:r>
      <w:r>
        <w:rPr>
          <w:spacing w:val="-10"/>
        </w:rPr>
        <w:t> </w:t>
      </w:r>
      <w:r>
        <w:rPr/>
        <w:t>the</w:t>
      </w:r>
      <w:r>
        <w:rPr>
          <w:spacing w:val="-10"/>
        </w:rPr>
        <w:t> </w:t>
      </w:r>
      <w:r>
        <w:rPr/>
        <w:t>expertise</w:t>
      </w:r>
      <w:r>
        <w:rPr>
          <w:spacing w:val="-10"/>
        </w:rPr>
        <w:t> </w:t>
      </w:r>
      <w:r>
        <w:rPr/>
        <w:t>or</w:t>
      </w:r>
      <w:r>
        <w:rPr>
          <w:spacing w:val="-10"/>
        </w:rPr>
        <w:t> </w:t>
      </w:r>
      <w:r>
        <w:rPr/>
        <w:t>the</w:t>
      </w:r>
      <w:r>
        <w:rPr>
          <w:spacing w:val="-10"/>
        </w:rPr>
        <w:t> </w:t>
      </w:r>
      <w:r>
        <w:rPr/>
        <w:t>preview</w:t>
      </w:r>
      <w:r>
        <w:rPr>
          <w:spacing w:val="-9"/>
        </w:rPr>
        <w:t> </w:t>
      </w:r>
      <w:r>
        <w:rPr/>
        <w:t>to</w:t>
      </w:r>
      <w:r>
        <w:rPr>
          <w:spacing w:val="-10"/>
        </w:rPr>
        <w:t> </w:t>
      </w:r>
      <w:r>
        <w:rPr/>
        <w:t>verify</w:t>
      </w:r>
      <w:r>
        <w:rPr>
          <w:spacing w:val="-9"/>
        </w:rPr>
        <w:t> </w:t>
      </w:r>
      <w:r>
        <w:rPr/>
        <w:t>the</w:t>
      </w:r>
      <w:r>
        <w:rPr>
          <w:spacing w:val="-10"/>
        </w:rPr>
        <w:t> </w:t>
      </w:r>
      <w:r>
        <w:rPr/>
        <w:t>veracity</w:t>
      </w:r>
      <w:r>
        <w:rPr>
          <w:spacing w:val="-9"/>
        </w:rPr>
        <w:t> </w:t>
      </w:r>
      <w:r>
        <w:rPr/>
        <w:t>or</w:t>
      </w:r>
      <w:r>
        <w:rPr>
          <w:spacing w:val="-10"/>
        </w:rPr>
        <w:t> </w:t>
      </w:r>
      <w:r>
        <w:rPr/>
        <w:t>quantify</w:t>
      </w:r>
      <w:r>
        <w:rPr>
          <w:spacing w:val="-9"/>
        </w:rPr>
        <w:t> </w:t>
      </w:r>
      <w:r>
        <w:rPr/>
        <w:t>these encumbrances,</w:t>
      </w:r>
      <w:r>
        <w:rPr>
          <w:spacing w:val="-20"/>
        </w:rPr>
        <w:t> </w:t>
      </w:r>
      <w:r>
        <w:rPr/>
        <w:t>disputes</w:t>
      </w:r>
      <w:r>
        <w:rPr>
          <w:spacing w:val="-21"/>
        </w:rPr>
        <w:t> </w:t>
      </w:r>
      <w:r>
        <w:rPr/>
        <w:t>or</w:t>
      </w:r>
      <w:r>
        <w:rPr>
          <w:spacing w:val="-20"/>
        </w:rPr>
        <w:t> </w:t>
      </w:r>
      <w:r>
        <w:rPr/>
        <w:t>claims.</w:t>
      </w:r>
      <w:r>
        <w:rPr>
          <w:spacing w:val="-19"/>
        </w:rPr>
        <w:t> </w:t>
      </w:r>
      <w:r>
        <w:rPr/>
        <w:t>For</w:t>
      </w:r>
      <w:r>
        <w:rPr>
          <w:spacing w:val="-20"/>
        </w:rPr>
        <w:t> </w:t>
      </w:r>
      <w:r>
        <w:rPr/>
        <w:t>the</w:t>
      </w:r>
      <w:r>
        <w:rPr>
          <w:spacing w:val="-20"/>
        </w:rPr>
        <w:t> </w:t>
      </w:r>
      <w:r>
        <w:rPr/>
        <w:t>purpose</w:t>
      </w:r>
      <w:r>
        <w:rPr>
          <w:spacing w:val="-20"/>
        </w:rPr>
        <w:t> </w:t>
      </w:r>
      <w:r>
        <w:rPr/>
        <w:t>of</w:t>
      </w:r>
      <w:r>
        <w:rPr>
          <w:spacing w:val="-19"/>
        </w:rPr>
        <w:t> </w:t>
      </w:r>
      <w:r>
        <w:rPr/>
        <w:t>this</w:t>
      </w:r>
      <w:r>
        <w:rPr>
          <w:spacing w:val="-19"/>
        </w:rPr>
        <w:t> </w:t>
      </w:r>
      <w:r>
        <w:rPr/>
        <w:t>valuation,</w:t>
      </w:r>
      <w:r>
        <w:rPr>
          <w:spacing w:val="-20"/>
        </w:rPr>
        <w:t> </w:t>
      </w:r>
      <w:r>
        <w:rPr/>
        <w:t>the</w:t>
      </w:r>
      <w:r>
        <w:rPr>
          <w:spacing w:val="-20"/>
        </w:rPr>
        <w:t> </w:t>
      </w:r>
      <w:r>
        <w:rPr/>
        <w:t>Valuer</w:t>
      </w:r>
      <w:r>
        <w:rPr>
          <w:spacing w:val="-20"/>
        </w:rPr>
        <w:t> </w:t>
      </w:r>
      <w:r>
        <w:rPr/>
        <w:t>has assumed</w:t>
      </w:r>
      <w:r>
        <w:rPr>
          <w:spacing w:val="-25"/>
        </w:rPr>
        <w:t> </w:t>
      </w:r>
      <w:r>
        <w:rPr/>
        <w:t>that</w:t>
      </w:r>
      <w:r>
        <w:rPr>
          <w:spacing w:val="-26"/>
        </w:rPr>
        <w:t> </w:t>
      </w:r>
      <w:r>
        <w:rPr/>
        <w:t>the</w:t>
      </w:r>
      <w:r>
        <w:rPr>
          <w:spacing w:val="-25"/>
        </w:rPr>
        <w:t> </w:t>
      </w:r>
      <w:r>
        <w:rPr/>
        <w:t>respective</w:t>
      </w:r>
      <w:r>
        <w:rPr>
          <w:spacing w:val="-26"/>
        </w:rPr>
        <w:t> </w:t>
      </w:r>
      <w:r>
        <w:rPr/>
        <w:t>assets</w:t>
      </w:r>
      <w:r>
        <w:rPr>
          <w:spacing w:val="-25"/>
        </w:rPr>
        <w:t> </w:t>
      </w:r>
      <w:r>
        <w:rPr/>
        <w:t>have</w:t>
      </w:r>
      <w:r>
        <w:rPr>
          <w:spacing w:val="-25"/>
        </w:rPr>
        <w:t> </w:t>
      </w:r>
      <w:r>
        <w:rPr/>
        <w:t>title</w:t>
      </w:r>
      <w:r>
        <w:rPr>
          <w:spacing w:val="-26"/>
        </w:rPr>
        <w:t> </w:t>
      </w:r>
      <w:r>
        <w:rPr/>
        <w:t>deeds</w:t>
      </w:r>
      <w:r>
        <w:rPr>
          <w:spacing w:val="-26"/>
        </w:rPr>
        <w:t> </w:t>
      </w:r>
      <w:r>
        <w:rPr/>
        <w:t>that</w:t>
      </w:r>
      <w:r>
        <w:rPr>
          <w:spacing w:val="-25"/>
        </w:rPr>
        <w:t> </w:t>
      </w:r>
      <w:r>
        <w:rPr/>
        <w:t>are</w:t>
      </w:r>
      <w:r>
        <w:rPr>
          <w:spacing w:val="-26"/>
        </w:rPr>
        <w:t> </w:t>
      </w:r>
      <w:r>
        <w:rPr/>
        <w:t>clear</w:t>
      </w:r>
      <w:r>
        <w:rPr>
          <w:spacing w:val="-25"/>
        </w:rPr>
        <w:t> </w:t>
      </w:r>
      <w:r>
        <w:rPr/>
        <w:t>and</w:t>
      </w:r>
      <w:r>
        <w:rPr>
          <w:spacing w:val="-26"/>
        </w:rPr>
        <w:t> </w:t>
      </w:r>
      <w:r>
        <w:rPr/>
        <w:t>marketable</w:t>
      </w:r>
    </w:p>
    <w:p>
      <w:pPr>
        <w:pStyle w:val="BodyText"/>
        <w:spacing w:before="10"/>
        <w:rPr>
          <w:sz w:val="11"/>
        </w:rPr>
      </w:pPr>
    </w:p>
    <w:p>
      <w:pPr>
        <w:spacing w:after="0"/>
        <w:rPr>
          <w:sz w:val="11"/>
        </w:rPr>
        <w:sectPr>
          <w:pgSz w:w="11910" w:h="16840"/>
          <w:pgMar w:header="720" w:footer="842" w:top="1520" w:bottom="1040" w:left="440" w:right="80"/>
        </w:sectPr>
      </w:pPr>
    </w:p>
    <w:p>
      <w:pPr>
        <w:pStyle w:val="BodyText"/>
        <w:spacing w:line="321" w:lineRule="auto" w:before="106"/>
        <w:ind w:left="495"/>
      </w:pPr>
      <w:r>
        <w:rPr/>
        <w:pict>
          <v:shape style="position:absolute;margin-left:41.400002pt;margin-top:-.931398pt;width:524.65pt;height:80.650pt;mso-position-horizontal-relative:page;mso-position-vertical-relative:paragraph;z-index:-34808832" coordorigin="828,-19" coordsize="10493,1613" path="m11321,-19l2672,-19,828,-19,828,1594,2672,1594,11321,1594,11321,-19xe" filled="true" fillcolor="#f1f1f1" stroked="false">
            <v:path arrowok="t"/>
            <v:fill type="solid"/>
            <w10:wrap type="none"/>
          </v:shape>
        </w:pict>
      </w:r>
      <w:r>
        <w:rPr>
          <w:color w:val="1F664D"/>
          <w:w w:val="95"/>
        </w:rPr>
        <w:t>Environmental </w:t>
      </w:r>
      <w:r>
        <w:rPr>
          <w:color w:val="1F664D"/>
        </w:rPr>
        <w:t>Conditions:</w:t>
      </w:r>
    </w:p>
    <w:p>
      <w:pPr>
        <w:pStyle w:val="ListParagraph"/>
        <w:numPr>
          <w:ilvl w:val="2"/>
          <w:numId w:val="15"/>
        </w:numPr>
        <w:tabs>
          <w:tab w:pos="805" w:val="left" w:leader="none"/>
        </w:tabs>
        <w:spacing w:line="321" w:lineRule="auto" w:before="106" w:after="0"/>
        <w:ind w:left="804" w:right="611" w:hanging="360"/>
        <w:jc w:val="both"/>
        <w:rPr>
          <w:sz w:val="22"/>
        </w:rPr>
      </w:pPr>
      <w:r>
        <w:rPr>
          <w:w w:val="87"/>
          <w:sz w:val="22"/>
        </w:rPr>
        <w:br w:type="column"/>
      </w:r>
      <w:r>
        <w:rPr>
          <w:sz w:val="22"/>
        </w:rPr>
        <w:t>The</w:t>
      </w:r>
      <w:r>
        <w:rPr>
          <w:spacing w:val="-8"/>
          <w:sz w:val="22"/>
        </w:rPr>
        <w:t> </w:t>
      </w:r>
      <w:r>
        <w:rPr>
          <w:sz w:val="22"/>
        </w:rPr>
        <w:t>Valuer</w:t>
      </w:r>
      <w:r>
        <w:rPr>
          <w:spacing w:val="-8"/>
          <w:sz w:val="22"/>
        </w:rPr>
        <w:t> </w:t>
      </w:r>
      <w:r>
        <w:rPr>
          <w:sz w:val="22"/>
        </w:rPr>
        <w:t>has</w:t>
      </w:r>
      <w:r>
        <w:rPr>
          <w:spacing w:val="-7"/>
          <w:sz w:val="22"/>
        </w:rPr>
        <w:t> </w:t>
      </w:r>
      <w:r>
        <w:rPr>
          <w:sz w:val="22"/>
        </w:rPr>
        <w:t>assumed</w:t>
      </w:r>
      <w:r>
        <w:rPr>
          <w:spacing w:val="-9"/>
          <w:sz w:val="22"/>
        </w:rPr>
        <w:t> </w:t>
      </w:r>
      <w:r>
        <w:rPr>
          <w:sz w:val="22"/>
        </w:rPr>
        <w:t>that</w:t>
      </w:r>
      <w:r>
        <w:rPr>
          <w:spacing w:val="-8"/>
          <w:sz w:val="22"/>
        </w:rPr>
        <w:t> </w:t>
      </w:r>
      <w:r>
        <w:rPr>
          <w:sz w:val="22"/>
        </w:rPr>
        <w:t>the</w:t>
      </w:r>
      <w:r>
        <w:rPr>
          <w:spacing w:val="-8"/>
          <w:sz w:val="22"/>
        </w:rPr>
        <w:t> </w:t>
      </w:r>
      <w:r>
        <w:rPr>
          <w:sz w:val="22"/>
        </w:rPr>
        <w:t>subject</w:t>
      </w:r>
      <w:r>
        <w:rPr>
          <w:spacing w:val="-7"/>
          <w:sz w:val="22"/>
        </w:rPr>
        <w:t> </w:t>
      </w:r>
      <w:r>
        <w:rPr>
          <w:sz w:val="22"/>
        </w:rPr>
        <w:t>properties</w:t>
      </w:r>
      <w:r>
        <w:rPr>
          <w:spacing w:val="-7"/>
          <w:sz w:val="22"/>
        </w:rPr>
        <w:t> </w:t>
      </w:r>
      <w:r>
        <w:rPr>
          <w:sz w:val="22"/>
        </w:rPr>
        <w:t>are</w:t>
      </w:r>
      <w:r>
        <w:rPr>
          <w:spacing w:val="-8"/>
          <w:sz w:val="22"/>
        </w:rPr>
        <w:t> </w:t>
      </w:r>
      <w:r>
        <w:rPr>
          <w:sz w:val="22"/>
        </w:rPr>
        <w:t>not</w:t>
      </w:r>
      <w:r>
        <w:rPr>
          <w:spacing w:val="-8"/>
          <w:sz w:val="22"/>
        </w:rPr>
        <w:t> </w:t>
      </w:r>
      <w:r>
        <w:rPr>
          <w:sz w:val="22"/>
        </w:rPr>
        <w:t>contaminated</w:t>
      </w:r>
      <w:r>
        <w:rPr>
          <w:spacing w:val="-5"/>
          <w:sz w:val="22"/>
        </w:rPr>
        <w:t> </w:t>
      </w:r>
      <w:r>
        <w:rPr>
          <w:sz w:val="22"/>
        </w:rPr>
        <w:t>and</w:t>
      </w:r>
      <w:r>
        <w:rPr>
          <w:spacing w:val="-8"/>
          <w:sz w:val="22"/>
        </w:rPr>
        <w:t> </w:t>
      </w:r>
      <w:r>
        <w:rPr>
          <w:sz w:val="22"/>
        </w:rPr>
        <w:t>are not adversely affected by any existing or proposed environmental law and any processes</w:t>
      </w:r>
      <w:r>
        <w:rPr>
          <w:spacing w:val="-5"/>
          <w:sz w:val="22"/>
        </w:rPr>
        <w:t> </w:t>
      </w:r>
      <w:r>
        <w:rPr>
          <w:sz w:val="22"/>
        </w:rPr>
        <w:t>which</w:t>
      </w:r>
      <w:r>
        <w:rPr>
          <w:spacing w:val="-5"/>
          <w:sz w:val="22"/>
        </w:rPr>
        <w:t> </w:t>
      </w:r>
      <w:r>
        <w:rPr>
          <w:sz w:val="22"/>
        </w:rPr>
        <w:t>are</w:t>
      </w:r>
      <w:r>
        <w:rPr>
          <w:spacing w:val="-6"/>
          <w:sz w:val="22"/>
        </w:rPr>
        <w:t> </w:t>
      </w:r>
      <w:r>
        <w:rPr>
          <w:sz w:val="22"/>
        </w:rPr>
        <w:t>carried</w:t>
      </w:r>
      <w:r>
        <w:rPr>
          <w:spacing w:val="-5"/>
          <w:sz w:val="22"/>
        </w:rPr>
        <w:t> </w:t>
      </w:r>
      <w:r>
        <w:rPr>
          <w:sz w:val="22"/>
        </w:rPr>
        <w:t>out</w:t>
      </w:r>
      <w:r>
        <w:rPr>
          <w:spacing w:val="-4"/>
          <w:sz w:val="22"/>
        </w:rPr>
        <w:t> </w:t>
      </w:r>
      <w:r>
        <w:rPr>
          <w:sz w:val="22"/>
        </w:rPr>
        <w:t>on</w:t>
      </w:r>
      <w:r>
        <w:rPr>
          <w:spacing w:val="-6"/>
          <w:sz w:val="22"/>
        </w:rPr>
        <w:t> </w:t>
      </w:r>
      <w:r>
        <w:rPr>
          <w:sz w:val="22"/>
        </w:rPr>
        <w:t>the</w:t>
      </w:r>
      <w:r>
        <w:rPr>
          <w:spacing w:val="-5"/>
          <w:sz w:val="22"/>
        </w:rPr>
        <w:t> </w:t>
      </w:r>
      <w:r>
        <w:rPr>
          <w:sz w:val="22"/>
        </w:rPr>
        <w:t>properties</w:t>
      </w:r>
      <w:r>
        <w:rPr>
          <w:spacing w:val="-5"/>
          <w:sz w:val="22"/>
        </w:rPr>
        <w:t> </w:t>
      </w:r>
      <w:r>
        <w:rPr>
          <w:sz w:val="22"/>
        </w:rPr>
        <w:t>are</w:t>
      </w:r>
      <w:r>
        <w:rPr>
          <w:spacing w:val="-5"/>
          <w:sz w:val="22"/>
        </w:rPr>
        <w:t> </w:t>
      </w:r>
      <w:r>
        <w:rPr>
          <w:sz w:val="22"/>
        </w:rPr>
        <w:t>regulated</w:t>
      </w:r>
      <w:r>
        <w:rPr>
          <w:spacing w:val="-4"/>
          <w:sz w:val="22"/>
        </w:rPr>
        <w:t> </w:t>
      </w:r>
      <w:r>
        <w:rPr>
          <w:sz w:val="22"/>
        </w:rPr>
        <w:t>by</w:t>
      </w:r>
      <w:r>
        <w:rPr>
          <w:spacing w:val="-4"/>
          <w:sz w:val="22"/>
        </w:rPr>
        <w:t> </w:t>
      </w:r>
      <w:r>
        <w:rPr>
          <w:sz w:val="22"/>
        </w:rPr>
        <w:t>environmental legislation</w:t>
      </w:r>
      <w:r>
        <w:rPr>
          <w:spacing w:val="-11"/>
          <w:sz w:val="22"/>
        </w:rPr>
        <w:t> </w:t>
      </w:r>
      <w:r>
        <w:rPr>
          <w:sz w:val="22"/>
        </w:rPr>
        <w:t>and</w:t>
      </w:r>
      <w:r>
        <w:rPr>
          <w:spacing w:val="-10"/>
          <w:sz w:val="22"/>
        </w:rPr>
        <w:t> </w:t>
      </w:r>
      <w:r>
        <w:rPr>
          <w:sz w:val="22"/>
        </w:rPr>
        <w:t>are</w:t>
      </w:r>
      <w:r>
        <w:rPr>
          <w:spacing w:val="-10"/>
          <w:sz w:val="22"/>
        </w:rPr>
        <w:t> </w:t>
      </w:r>
      <w:r>
        <w:rPr>
          <w:sz w:val="22"/>
        </w:rPr>
        <w:t>properly</w:t>
      </w:r>
      <w:r>
        <w:rPr>
          <w:spacing w:val="-10"/>
          <w:sz w:val="22"/>
        </w:rPr>
        <w:t> </w:t>
      </w:r>
      <w:r>
        <w:rPr>
          <w:sz w:val="22"/>
        </w:rPr>
        <w:t>licensed</w:t>
      </w:r>
      <w:r>
        <w:rPr>
          <w:spacing w:val="-10"/>
          <w:sz w:val="22"/>
        </w:rPr>
        <w:t> </w:t>
      </w:r>
      <w:r>
        <w:rPr>
          <w:sz w:val="22"/>
        </w:rPr>
        <w:t>by</w:t>
      </w:r>
      <w:r>
        <w:rPr>
          <w:spacing w:val="-9"/>
          <w:sz w:val="22"/>
        </w:rPr>
        <w:t> </w:t>
      </w:r>
      <w:r>
        <w:rPr>
          <w:sz w:val="22"/>
        </w:rPr>
        <w:t>the</w:t>
      </w:r>
      <w:r>
        <w:rPr>
          <w:spacing w:val="-11"/>
          <w:sz w:val="22"/>
        </w:rPr>
        <w:t> </w:t>
      </w:r>
      <w:r>
        <w:rPr>
          <w:sz w:val="22"/>
        </w:rPr>
        <w:t>appropriate</w:t>
      </w:r>
      <w:r>
        <w:rPr>
          <w:spacing w:val="-10"/>
          <w:sz w:val="22"/>
        </w:rPr>
        <w:t> </w:t>
      </w:r>
      <w:r>
        <w:rPr>
          <w:sz w:val="22"/>
        </w:rPr>
        <w:t>authorities</w:t>
      </w:r>
    </w:p>
    <w:p>
      <w:pPr>
        <w:spacing w:after="0" w:line="321" w:lineRule="auto"/>
        <w:jc w:val="both"/>
        <w:rPr>
          <w:sz w:val="22"/>
        </w:rPr>
        <w:sectPr>
          <w:type w:val="continuous"/>
          <w:pgSz w:w="11910" w:h="16840"/>
          <w:pgMar w:top="800" w:bottom="280" w:left="440" w:right="80"/>
          <w:cols w:num="2" w:equalWidth="0">
            <w:col w:w="1868" w:space="40"/>
            <w:col w:w="9482"/>
          </w:cols>
        </w:sectPr>
      </w:pPr>
    </w:p>
    <w:p>
      <w:pPr>
        <w:pStyle w:val="BodyText"/>
        <w:spacing w:before="10"/>
        <w:rPr>
          <w:sz w:val="11"/>
        </w:rPr>
      </w:pPr>
    </w:p>
    <w:p>
      <w:pPr>
        <w:pStyle w:val="BodyText"/>
        <w:spacing w:line="321" w:lineRule="auto" w:before="106"/>
        <w:ind w:left="2711" w:right="613" w:hanging="2216"/>
        <w:jc w:val="both"/>
      </w:pPr>
      <w:r>
        <w:rPr/>
        <w:pict>
          <v:group style="position:absolute;margin-left:41.400002pt;margin-top:131.098618pt;width:524.65pt;height:114.9pt;mso-position-horizontal-relative:page;mso-position-vertical-relative:paragraph;z-index:-15638528;mso-wrap-distance-left:0;mso-wrap-distance-right:0" coordorigin="828,2622" coordsize="10493,2298">
            <v:shape style="position:absolute;left:828;top:2621;width:10493;height:2298" coordorigin="828,2622" coordsize="10493,2298" path="m11321,2622l2672,2622,828,2622,828,4919,2672,4919,11321,4919,11321,2622xe" filled="true" fillcolor="#f1f1f1" stroked="false">
              <v:path arrowok="t"/>
              <v:fill type="solid"/>
            </v:shape>
            <v:shape style="position:absolute;left:936;top:2740;width:544;height:265" type="#_x0000_t202" filled="false" stroked="false">
              <v:textbox inset="0,0,0,0">
                <w:txbxContent>
                  <w:p>
                    <w:pPr>
                      <w:spacing w:before="6"/>
                      <w:ind w:left="0" w:right="0" w:firstLine="0"/>
                      <w:jc w:val="left"/>
                      <w:rPr>
                        <w:sz w:val="22"/>
                      </w:rPr>
                    </w:pPr>
                    <w:r>
                      <w:rPr>
                        <w:color w:val="1F664D"/>
                        <w:sz w:val="22"/>
                      </w:rPr>
                      <w:t>Area:</w:t>
                    </w:r>
                  </w:p>
                </w:txbxContent>
              </v:textbox>
              <w10:wrap type="none"/>
            </v:shape>
            <v:shape style="position:absolute;left:2791;top:2740;width:8440;height:1979" type="#_x0000_t202" filled="false" stroked="false">
              <v:textbox inset="0,0,0,0">
                <w:txbxContent>
                  <w:p>
                    <w:pPr>
                      <w:numPr>
                        <w:ilvl w:val="0"/>
                        <w:numId w:val="20"/>
                      </w:numPr>
                      <w:tabs>
                        <w:tab w:pos="360" w:val="left" w:leader="none"/>
                      </w:tabs>
                      <w:spacing w:line="321" w:lineRule="auto" w:before="6"/>
                      <w:ind w:left="360" w:right="18" w:hanging="360"/>
                      <w:jc w:val="both"/>
                      <w:rPr>
                        <w:sz w:val="22"/>
                      </w:rPr>
                    </w:pPr>
                    <w:r>
                      <w:rPr>
                        <w:sz w:val="22"/>
                      </w:rPr>
                      <w:t>The</w:t>
                    </w:r>
                    <w:r>
                      <w:rPr>
                        <w:spacing w:val="-30"/>
                        <w:sz w:val="22"/>
                      </w:rPr>
                      <w:t> </w:t>
                    </w:r>
                    <w:r>
                      <w:rPr>
                        <w:sz w:val="22"/>
                      </w:rPr>
                      <w:t>total</w:t>
                    </w:r>
                    <w:r>
                      <w:rPr>
                        <w:spacing w:val="-29"/>
                        <w:sz w:val="22"/>
                      </w:rPr>
                      <w:t> </w:t>
                    </w:r>
                    <w:r>
                      <w:rPr>
                        <w:sz w:val="22"/>
                      </w:rPr>
                      <w:t>leasable</w:t>
                    </w:r>
                    <w:r>
                      <w:rPr>
                        <w:spacing w:val="-30"/>
                        <w:sz w:val="22"/>
                      </w:rPr>
                      <w:t> </w:t>
                    </w:r>
                    <w:r>
                      <w:rPr>
                        <w:sz w:val="22"/>
                      </w:rPr>
                      <w:t>area</w:t>
                    </w:r>
                    <w:r>
                      <w:rPr>
                        <w:spacing w:val="-30"/>
                        <w:sz w:val="22"/>
                      </w:rPr>
                      <w:t> </w:t>
                    </w:r>
                    <w:r>
                      <w:rPr>
                        <w:sz w:val="22"/>
                      </w:rPr>
                      <w:t>considered</w:t>
                    </w:r>
                    <w:r>
                      <w:rPr>
                        <w:spacing w:val="-30"/>
                        <w:sz w:val="22"/>
                      </w:rPr>
                      <w:t> </w:t>
                    </w:r>
                    <w:r>
                      <w:rPr>
                        <w:sz w:val="22"/>
                      </w:rPr>
                      <w:t>for</w:t>
                    </w:r>
                    <w:r>
                      <w:rPr>
                        <w:spacing w:val="-29"/>
                        <w:sz w:val="22"/>
                      </w:rPr>
                      <w:t> </w:t>
                    </w:r>
                    <w:r>
                      <w:rPr>
                        <w:sz w:val="22"/>
                      </w:rPr>
                      <w:t>the</w:t>
                    </w:r>
                    <w:r>
                      <w:rPr>
                        <w:spacing w:val="-30"/>
                        <w:sz w:val="22"/>
                      </w:rPr>
                      <w:t> </w:t>
                    </w:r>
                    <w:r>
                      <w:rPr>
                        <w:sz w:val="22"/>
                      </w:rPr>
                      <w:t>purpose</w:t>
                    </w:r>
                    <w:r>
                      <w:rPr>
                        <w:spacing w:val="-29"/>
                        <w:sz w:val="22"/>
                      </w:rPr>
                      <w:t> </w:t>
                    </w:r>
                    <w:r>
                      <w:rPr>
                        <w:sz w:val="22"/>
                      </w:rPr>
                      <w:t>of</w:t>
                    </w:r>
                    <w:r>
                      <w:rPr>
                        <w:spacing w:val="-29"/>
                        <w:sz w:val="22"/>
                      </w:rPr>
                      <w:t> </w:t>
                    </w:r>
                    <w:r>
                      <w:rPr>
                        <w:sz w:val="22"/>
                      </w:rPr>
                      <w:t>this</w:t>
                    </w:r>
                    <w:r>
                      <w:rPr>
                        <w:spacing w:val="-28"/>
                        <w:sz w:val="22"/>
                      </w:rPr>
                      <w:t> </w:t>
                    </w:r>
                    <w:r>
                      <w:rPr>
                        <w:sz w:val="22"/>
                      </w:rPr>
                      <w:t>valuation</w:t>
                    </w:r>
                    <w:r>
                      <w:rPr>
                        <w:spacing w:val="-30"/>
                        <w:sz w:val="22"/>
                      </w:rPr>
                      <w:t> </w:t>
                    </w:r>
                    <w:r>
                      <w:rPr>
                        <w:sz w:val="22"/>
                      </w:rPr>
                      <w:t>exercise</w:t>
                    </w:r>
                    <w:r>
                      <w:rPr>
                        <w:spacing w:val="-29"/>
                        <w:sz w:val="22"/>
                      </w:rPr>
                      <w:t> </w:t>
                    </w:r>
                    <w:r>
                      <w:rPr>
                        <w:sz w:val="22"/>
                      </w:rPr>
                      <w:t>is</w:t>
                    </w:r>
                    <w:r>
                      <w:rPr>
                        <w:spacing w:val="-29"/>
                        <w:sz w:val="22"/>
                      </w:rPr>
                      <w:t> </w:t>
                    </w:r>
                    <w:r>
                      <w:rPr>
                        <w:sz w:val="22"/>
                      </w:rPr>
                      <w:t>based </w:t>
                    </w:r>
                    <w:r>
                      <w:rPr>
                        <w:w w:val="95"/>
                        <w:sz w:val="22"/>
                      </w:rPr>
                      <w:t>on</w:t>
                    </w:r>
                    <w:r>
                      <w:rPr>
                        <w:spacing w:val="-31"/>
                        <w:w w:val="95"/>
                        <w:sz w:val="22"/>
                      </w:rPr>
                      <w:t> </w:t>
                    </w:r>
                    <w:r>
                      <w:rPr>
                        <w:w w:val="95"/>
                        <w:sz w:val="22"/>
                      </w:rPr>
                      <w:t>the</w:t>
                    </w:r>
                    <w:r>
                      <w:rPr>
                        <w:spacing w:val="-30"/>
                        <w:w w:val="95"/>
                        <w:sz w:val="22"/>
                      </w:rPr>
                      <w:t> </w:t>
                    </w:r>
                    <w:r>
                      <w:rPr>
                        <w:w w:val="95"/>
                        <w:sz w:val="22"/>
                      </w:rPr>
                      <w:t>rent</w:t>
                    </w:r>
                    <w:r>
                      <w:rPr>
                        <w:spacing w:val="-30"/>
                        <w:w w:val="95"/>
                        <w:sz w:val="22"/>
                      </w:rPr>
                      <w:t> </w:t>
                    </w:r>
                    <w:r>
                      <w:rPr>
                        <w:w w:val="95"/>
                        <w:sz w:val="22"/>
                      </w:rPr>
                      <w:t>rolls/</w:t>
                    </w:r>
                    <w:r>
                      <w:rPr>
                        <w:spacing w:val="-30"/>
                        <w:w w:val="95"/>
                        <w:sz w:val="22"/>
                      </w:rPr>
                      <w:t> </w:t>
                    </w:r>
                    <w:r>
                      <w:rPr>
                        <w:w w:val="95"/>
                        <w:sz w:val="22"/>
                      </w:rPr>
                      <w:t>Architect</w:t>
                    </w:r>
                    <w:r>
                      <w:rPr>
                        <w:spacing w:val="-28"/>
                        <w:w w:val="95"/>
                        <w:sz w:val="22"/>
                      </w:rPr>
                      <w:t> </w:t>
                    </w:r>
                    <w:r>
                      <w:rPr>
                        <w:w w:val="95"/>
                        <w:sz w:val="22"/>
                      </w:rPr>
                      <w:t>certificate</w:t>
                    </w:r>
                    <w:r>
                      <w:rPr>
                        <w:spacing w:val="-31"/>
                        <w:w w:val="95"/>
                        <w:sz w:val="22"/>
                      </w:rPr>
                      <w:t> </w:t>
                    </w:r>
                    <w:r>
                      <w:rPr>
                        <w:w w:val="95"/>
                        <w:sz w:val="22"/>
                      </w:rPr>
                      <w:t>provided</w:t>
                    </w:r>
                    <w:r>
                      <w:rPr>
                        <w:spacing w:val="-29"/>
                        <w:w w:val="95"/>
                        <w:sz w:val="22"/>
                      </w:rPr>
                      <w:t> </w:t>
                    </w:r>
                    <w:r>
                      <w:rPr>
                        <w:w w:val="95"/>
                        <w:sz w:val="22"/>
                      </w:rPr>
                      <w:t>by</w:t>
                    </w:r>
                    <w:r>
                      <w:rPr>
                        <w:spacing w:val="-31"/>
                        <w:w w:val="95"/>
                        <w:sz w:val="22"/>
                      </w:rPr>
                      <w:t> </w:t>
                    </w:r>
                    <w:r>
                      <w:rPr>
                        <w:w w:val="95"/>
                        <w:sz w:val="22"/>
                      </w:rPr>
                      <w:t>the</w:t>
                    </w:r>
                    <w:r>
                      <w:rPr>
                        <w:spacing w:val="-31"/>
                        <w:w w:val="95"/>
                        <w:sz w:val="22"/>
                      </w:rPr>
                      <w:t> </w:t>
                    </w:r>
                    <w:r>
                      <w:rPr>
                        <w:w w:val="95"/>
                        <w:sz w:val="22"/>
                      </w:rPr>
                      <w:t>Instructing</w:t>
                    </w:r>
                    <w:r>
                      <w:rPr>
                        <w:spacing w:val="-29"/>
                        <w:w w:val="95"/>
                        <w:sz w:val="22"/>
                      </w:rPr>
                      <w:t> </w:t>
                    </w:r>
                    <w:r>
                      <w:rPr>
                        <w:w w:val="95"/>
                        <w:sz w:val="22"/>
                      </w:rPr>
                      <w:t>Party.</w:t>
                    </w:r>
                    <w:r>
                      <w:rPr>
                        <w:spacing w:val="-30"/>
                        <w:w w:val="95"/>
                        <w:sz w:val="22"/>
                      </w:rPr>
                      <w:t> </w:t>
                    </w:r>
                    <w:r>
                      <w:rPr>
                        <w:w w:val="95"/>
                        <w:sz w:val="22"/>
                      </w:rPr>
                      <w:t>It</w:t>
                    </w:r>
                    <w:r>
                      <w:rPr>
                        <w:spacing w:val="-30"/>
                        <w:w w:val="95"/>
                        <w:sz w:val="22"/>
                      </w:rPr>
                      <w:t> </w:t>
                    </w:r>
                    <w:r>
                      <w:rPr>
                        <w:w w:val="95"/>
                        <w:sz w:val="22"/>
                      </w:rPr>
                      <w:t>must</w:t>
                    </w:r>
                    <w:r>
                      <w:rPr>
                        <w:spacing w:val="-31"/>
                        <w:w w:val="95"/>
                        <w:sz w:val="22"/>
                      </w:rPr>
                      <w:t> </w:t>
                    </w:r>
                    <w:r>
                      <w:rPr>
                        <w:w w:val="95"/>
                        <w:sz w:val="22"/>
                      </w:rPr>
                      <w:t>be</w:t>
                    </w:r>
                    <w:r>
                      <w:rPr>
                        <w:spacing w:val="-31"/>
                        <w:w w:val="95"/>
                        <w:sz w:val="22"/>
                      </w:rPr>
                      <w:t> </w:t>
                    </w:r>
                    <w:r>
                      <w:rPr>
                        <w:w w:val="95"/>
                        <w:sz w:val="22"/>
                      </w:rPr>
                      <w:t>noted </w:t>
                    </w:r>
                    <w:r>
                      <w:rPr>
                        <w:sz w:val="22"/>
                      </w:rPr>
                      <w:t>that</w:t>
                    </w:r>
                    <w:r>
                      <w:rPr>
                        <w:spacing w:val="-4"/>
                        <w:sz w:val="22"/>
                      </w:rPr>
                      <w:t> </w:t>
                    </w:r>
                    <w:r>
                      <w:rPr>
                        <w:sz w:val="22"/>
                      </w:rPr>
                      <w:t>the</w:t>
                    </w:r>
                    <w:r>
                      <w:rPr>
                        <w:spacing w:val="-4"/>
                        <w:sz w:val="22"/>
                      </w:rPr>
                      <w:t> </w:t>
                    </w:r>
                    <w:r>
                      <w:rPr>
                        <w:sz w:val="22"/>
                      </w:rPr>
                      <w:t>above</w:t>
                    </w:r>
                    <w:r>
                      <w:rPr>
                        <w:spacing w:val="-5"/>
                        <w:sz w:val="22"/>
                      </w:rPr>
                      <w:t> </w:t>
                    </w:r>
                    <w:r>
                      <w:rPr>
                        <w:sz w:val="22"/>
                      </w:rPr>
                      <w:t>information</w:t>
                    </w:r>
                    <w:r>
                      <w:rPr>
                        <w:spacing w:val="-4"/>
                        <w:sz w:val="22"/>
                      </w:rPr>
                      <w:t> </w:t>
                    </w:r>
                    <w:r>
                      <w:rPr>
                        <w:sz w:val="22"/>
                      </w:rPr>
                      <w:t>has</w:t>
                    </w:r>
                    <w:r>
                      <w:rPr>
                        <w:spacing w:val="-3"/>
                        <w:sz w:val="22"/>
                      </w:rPr>
                      <w:t> </w:t>
                    </w:r>
                    <w:r>
                      <w:rPr>
                        <w:sz w:val="22"/>
                      </w:rPr>
                      <w:t>been</w:t>
                    </w:r>
                    <w:r>
                      <w:rPr>
                        <w:spacing w:val="-4"/>
                        <w:sz w:val="22"/>
                      </w:rPr>
                      <w:t> </w:t>
                    </w:r>
                    <w:r>
                      <w:rPr>
                        <w:sz w:val="22"/>
                      </w:rPr>
                      <w:t>provided</w:t>
                    </w:r>
                    <w:r>
                      <w:rPr>
                        <w:spacing w:val="-5"/>
                        <w:sz w:val="22"/>
                      </w:rPr>
                      <w:t> </w:t>
                    </w:r>
                    <w:r>
                      <w:rPr>
                        <w:sz w:val="22"/>
                      </w:rPr>
                      <w:t>by</w:t>
                    </w:r>
                    <w:r>
                      <w:rPr>
                        <w:spacing w:val="-3"/>
                        <w:sz w:val="22"/>
                      </w:rPr>
                      <w:t> </w:t>
                    </w:r>
                    <w:r>
                      <w:rPr>
                        <w:sz w:val="22"/>
                      </w:rPr>
                      <w:t>the</w:t>
                    </w:r>
                    <w:r>
                      <w:rPr>
                        <w:spacing w:val="-4"/>
                        <w:sz w:val="22"/>
                      </w:rPr>
                      <w:t> </w:t>
                    </w:r>
                    <w:r>
                      <w:rPr>
                        <w:sz w:val="22"/>
                      </w:rPr>
                      <w:t>Client</w:t>
                    </w:r>
                    <w:r>
                      <w:rPr>
                        <w:spacing w:val="-4"/>
                        <w:sz w:val="22"/>
                      </w:rPr>
                      <w:t> </w:t>
                    </w:r>
                    <w:r>
                      <w:rPr>
                        <w:sz w:val="22"/>
                      </w:rPr>
                      <w:t>and</w:t>
                    </w:r>
                    <w:r>
                      <w:rPr>
                        <w:spacing w:val="-3"/>
                        <w:sz w:val="22"/>
                      </w:rPr>
                      <w:t> </w:t>
                    </w:r>
                    <w:r>
                      <w:rPr>
                        <w:sz w:val="22"/>
                      </w:rPr>
                      <w:t>has</w:t>
                    </w:r>
                    <w:r>
                      <w:rPr>
                        <w:spacing w:val="-3"/>
                        <w:sz w:val="22"/>
                      </w:rPr>
                      <w:t> </w:t>
                    </w:r>
                    <w:r>
                      <w:rPr>
                        <w:sz w:val="22"/>
                      </w:rPr>
                      <w:t>been</w:t>
                    </w:r>
                    <w:r>
                      <w:rPr>
                        <w:spacing w:val="-5"/>
                        <w:sz w:val="22"/>
                      </w:rPr>
                      <w:t> </w:t>
                    </w:r>
                    <w:r>
                      <w:rPr>
                        <w:sz w:val="22"/>
                      </w:rPr>
                      <w:t>verified based on the approvals/ layout plans/building plans provided by the Client. However,</w:t>
                    </w:r>
                    <w:r>
                      <w:rPr>
                        <w:spacing w:val="53"/>
                        <w:sz w:val="22"/>
                      </w:rPr>
                      <w:t> </w:t>
                    </w:r>
                    <w:r>
                      <w:rPr>
                        <w:sz w:val="22"/>
                      </w:rPr>
                      <w:t>the</w:t>
                    </w:r>
                    <w:r>
                      <w:rPr>
                        <w:spacing w:val="54"/>
                        <w:sz w:val="22"/>
                      </w:rPr>
                      <w:t> </w:t>
                    </w:r>
                    <w:r>
                      <w:rPr>
                        <w:sz w:val="22"/>
                      </w:rPr>
                      <w:t>Valuer</w:t>
                    </w:r>
                    <w:r>
                      <w:rPr>
                        <w:spacing w:val="54"/>
                        <w:sz w:val="22"/>
                      </w:rPr>
                      <w:t> </w:t>
                    </w:r>
                    <w:r>
                      <w:rPr>
                        <w:sz w:val="22"/>
                      </w:rPr>
                      <w:t>has</w:t>
                    </w:r>
                    <w:r>
                      <w:rPr>
                        <w:spacing w:val="55"/>
                        <w:sz w:val="22"/>
                      </w:rPr>
                      <w:t> </w:t>
                    </w:r>
                    <w:r>
                      <w:rPr>
                        <w:sz w:val="22"/>
                      </w:rPr>
                      <w:t>not</w:t>
                    </w:r>
                    <w:r>
                      <w:rPr>
                        <w:spacing w:val="55"/>
                        <w:sz w:val="22"/>
                      </w:rPr>
                      <w:t> </w:t>
                    </w:r>
                    <w:r>
                      <w:rPr>
                        <w:sz w:val="22"/>
                      </w:rPr>
                      <w:t>undertaken</w:t>
                    </w:r>
                    <w:r>
                      <w:rPr>
                        <w:spacing w:val="54"/>
                        <w:sz w:val="22"/>
                      </w:rPr>
                      <w:t> </w:t>
                    </w:r>
                    <w:r>
                      <w:rPr>
                        <w:sz w:val="22"/>
                      </w:rPr>
                      <w:t>additional</w:t>
                    </w:r>
                    <w:r>
                      <w:rPr>
                        <w:spacing w:val="54"/>
                        <w:sz w:val="22"/>
                      </w:rPr>
                      <w:t> </w:t>
                    </w:r>
                    <w:r>
                      <w:rPr>
                        <w:sz w:val="22"/>
                      </w:rPr>
                      <w:t>verification</w:t>
                    </w:r>
                    <w:r>
                      <w:rPr>
                        <w:spacing w:val="54"/>
                        <w:sz w:val="22"/>
                      </w:rPr>
                      <w:t> </w:t>
                    </w:r>
                    <w:r>
                      <w:rPr>
                        <w:sz w:val="22"/>
                      </w:rPr>
                      <w:t>and</w:t>
                    </w:r>
                    <w:r>
                      <w:rPr>
                        <w:spacing w:val="55"/>
                        <w:sz w:val="22"/>
                      </w:rPr>
                      <w:t> </w:t>
                    </w:r>
                    <w:r>
                      <w:rPr>
                        <w:sz w:val="22"/>
                      </w:rPr>
                      <w:t>physical</w:t>
                    </w:r>
                  </w:p>
                  <w:p>
                    <w:pPr>
                      <w:spacing w:before="2"/>
                      <w:ind w:left="360" w:right="0" w:firstLine="0"/>
                      <w:jc w:val="both"/>
                      <w:rPr>
                        <w:sz w:val="22"/>
                      </w:rPr>
                    </w:pPr>
                    <w:r>
                      <w:rPr>
                        <w:sz w:val="22"/>
                      </w:rPr>
                      <w:t>measurement for the purpose of this valuation exercise</w:t>
                    </w:r>
                  </w:p>
                </w:txbxContent>
              </v:textbox>
              <w10:wrap type="none"/>
            </v:shape>
            <w10:wrap type="topAndBottom"/>
          </v:group>
        </w:pict>
      </w:r>
      <w:r>
        <w:rPr>
          <w:color w:val="1F664D"/>
        </w:rPr>
        <w:t>Town</w:t>
      </w:r>
      <w:r>
        <w:rPr>
          <w:color w:val="1F664D"/>
          <w:spacing w:val="-19"/>
        </w:rPr>
        <w:t> </w:t>
      </w:r>
      <w:r>
        <w:rPr>
          <w:color w:val="1F664D"/>
        </w:rPr>
        <w:t>Planning: </w:t>
      </w:r>
      <w:r>
        <w:rPr>
          <w:color w:val="1F664D"/>
          <w:spacing w:val="15"/>
        </w:rPr>
        <w:t> </w:t>
      </w:r>
      <w:r>
        <w:rPr>
          <w:rFonts w:ascii="Wingdings" w:hAnsi="Wingdings"/>
        </w:rPr>
        <w:t></w:t>
      </w:r>
      <w:r>
        <w:rPr>
          <w:rFonts w:ascii="Times New Roman" w:hAnsi="Times New Roman"/>
        </w:rPr>
        <w:t> </w:t>
      </w:r>
      <w:r>
        <w:rPr>
          <w:rFonts w:ascii="Times New Roman" w:hAnsi="Times New Roman"/>
          <w:spacing w:val="30"/>
        </w:rPr>
        <w:t> </w:t>
      </w:r>
      <w:r>
        <w:rPr/>
        <w:t>The</w:t>
      </w:r>
      <w:r>
        <w:rPr>
          <w:spacing w:val="-20"/>
        </w:rPr>
        <w:t> </w:t>
      </w:r>
      <w:r>
        <w:rPr/>
        <w:t>current</w:t>
      </w:r>
      <w:r>
        <w:rPr>
          <w:spacing w:val="-20"/>
        </w:rPr>
        <w:t> </w:t>
      </w:r>
      <w:r>
        <w:rPr/>
        <w:t>zoning</w:t>
      </w:r>
      <w:r>
        <w:rPr>
          <w:spacing w:val="-19"/>
        </w:rPr>
        <w:t> </w:t>
      </w:r>
      <w:r>
        <w:rPr/>
        <w:t>of</w:t>
      </w:r>
      <w:r>
        <w:rPr>
          <w:spacing w:val="-19"/>
        </w:rPr>
        <w:t> </w:t>
      </w:r>
      <w:r>
        <w:rPr/>
        <w:t>the</w:t>
      </w:r>
      <w:r>
        <w:rPr>
          <w:spacing w:val="-20"/>
        </w:rPr>
        <w:t> </w:t>
      </w:r>
      <w:r>
        <w:rPr/>
        <w:t>subject</w:t>
      </w:r>
      <w:r>
        <w:rPr>
          <w:spacing w:val="-19"/>
        </w:rPr>
        <w:t> </w:t>
      </w:r>
      <w:r>
        <w:rPr/>
        <w:t>properties</w:t>
      </w:r>
      <w:r>
        <w:rPr>
          <w:spacing w:val="-19"/>
        </w:rPr>
        <w:t> </w:t>
      </w:r>
      <w:r>
        <w:rPr/>
        <w:t>has</w:t>
      </w:r>
      <w:r>
        <w:rPr>
          <w:spacing w:val="-20"/>
        </w:rPr>
        <w:t> </w:t>
      </w:r>
      <w:r>
        <w:rPr/>
        <w:t>been</w:t>
      </w:r>
      <w:r>
        <w:rPr>
          <w:spacing w:val="-20"/>
        </w:rPr>
        <w:t> </w:t>
      </w:r>
      <w:r>
        <w:rPr/>
        <w:t>adopted</w:t>
      </w:r>
      <w:r>
        <w:rPr>
          <w:spacing w:val="-19"/>
        </w:rPr>
        <w:t> </w:t>
      </w:r>
      <w:r>
        <w:rPr/>
        <w:t>on</w:t>
      </w:r>
      <w:r>
        <w:rPr>
          <w:spacing w:val="-20"/>
        </w:rPr>
        <w:t> </w:t>
      </w:r>
      <w:r>
        <w:rPr/>
        <w:t>the</w:t>
      </w:r>
      <w:r>
        <w:rPr>
          <w:spacing w:val="-20"/>
        </w:rPr>
        <w:t> </w:t>
      </w:r>
      <w:r>
        <w:rPr/>
        <w:t>basis</w:t>
      </w:r>
      <w:r>
        <w:rPr>
          <w:spacing w:val="-21"/>
        </w:rPr>
        <w:t> </w:t>
      </w:r>
      <w:r>
        <w:rPr/>
        <w:t>of</w:t>
      </w:r>
      <w:r>
        <w:rPr>
          <w:spacing w:val="-19"/>
        </w:rPr>
        <w:t> </w:t>
      </w:r>
      <w:r>
        <w:rPr/>
        <w:t>review of</w:t>
      </w:r>
      <w:r>
        <w:rPr>
          <w:spacing w:val="-23"/>
        </w:rPr>
        <w:t> </w:t>
      </w:r>
      <w:r>
        <w:rPr/>
        <w:t>various</w:t>
      </w:r>
      <w:r>
        <w:rPr>
          <w:spacing w:val="-22"/>
        </w:rPr>
        <w:t> </w:t>
      </w:r>
      <w:r>
        <w:rPr/>
        <w:t>documents</w:t>
      </w:r>
      <w:r>
        <w:rPr>
          <w:spacing w:val="-23"/>
        </w:rPr>
        <w:t> </w:t>
      </w:r>
      <w:r>
        <w:rPr/>
        <w:t>(title</w:t>
      </w:r>
      <w:r>
        <w:rPr>
          <w:spacing w:val="-23"/>
        </w:rPr>
        <w:t> </w:t>
      </w:r>
      <w:r>
        <w:rPr/>
        <w:t>deeds)</w:t>
      </w:r>
      <w:r>
        <w:rPr>
          <w:spacing w:val="-24"/>
        </w:rPr>
        <w:t> </w:t>
      </w:r>
      <w:r>
        <w:rPr/>
        <w:t>provided</w:t>
      </w:r>
      <w:r>
        <w:rPr>
          <w:spacing w:val="-23"/>
        </w:rPr>
        <w:t> </w:t>
      </w:r>
      <w:r>
        <w:rPr/>
        <w:t>by</w:t>
      </w:r>
      <w:r>
        <w:rPr>
          <w:spacing w:val="-22"/>
        </w:rPr>
        <w:t> </w:t>
      </w:r>
      <w:r>
        <w:rPr/>
        <w:t>the</w:t>
      </w:r>
      <w:r>
        <w:rPr>
          <w:spacing w:val="-25"/>
        </w:rPr>
        <w:t> </w:t>
      </w:r>
      <w:r>
        <w:rPr/>
        <w:t>Instructing</w:t>
      </w:r>
      <w:r>
        <w:rPr>
          <w:spacing w:val="-23"/>
        </w:rPr>
        <w:t> </w:t>
      </w:r>
      <w:r>
        <w:rPr/>
        <w:t>Party</w:t>
      </w:r>
      <w:r>
        <w:rPr>
          <w:spacing w:val="-22"/>
        </w:rPr>
        <w:t> </w:t>
      </w:r>
      <w:r>
        <w:rPr/>
        <w:t>and</w:t>
      </w:r>
      <w:r>
        <w:rPr>
          <w:spacing w:val="-24"/>
        </w:rPr>
        <w:t> </w:t>
      </w:r>
      <w:r>
        <w:rPr/>
        <w:t>the</w:t>
      </w:r>
      <w:r>
        <w:rPr>
          <w:spacing w:val="-25"/>
        </w:rPr>
        <w:t> </w:t>
      </w:r>
      <w:r>
        <w:rPr/>
        <w:t>current land</w:t>
      </w:r>
      <w:r>
        <w:rPr>
          <w:spacing w:val="-24"/>
        </w:rPr>
        <w:t> </w:t>
      </w:r>
      <w:r>
        <w:rPr/>
        <w:t>use</w:t>
      </w:r>
      <w:r>
        <w:rPr>
          <w:spacing w:val="-24"/>
        </w:rPr>
        <w:t> </w:t>
      </w:r>
      <w:r>
        <w:rPr/>
        <w:t>maps</w:t>
      </w:r>
      <w:r>
        <w:rPr>
          <w:spacing w:val="-24"/>
        </w:rPr>
        <w:t> </w:t>
      </w:r>
      <w:r>
        <w:rPr/>
        <w:t>for</w:t>
      </w:r>
      <w:r>
        <w:rPr>
          <w:spacing w:val="-23"/>
        </w:rPr>
        <w:t> </w:t>
      </w:r>
      <w:r>
        <w:rPr/>
        <w:t>the</w:t>
      </w:r>
      <w:r>
        <w:rPr>
          <w:spacing w:val="-25"/>
        </w:rPr>
        <w:t> </w:t>
      </w:r>
      <w:r>
        <w:rPr/>
        <w:t>subject</w:t>
      </w:r>
      <w:r>
        <w:rPr>
          <w:spacing w:val="-22"/>
        </w:rPr>
        <w:t> </w:t>
      </w:r>
      <w:r>
        <w:rPr/>
        <w:t>region.</w:t>
      </w:r>
      <w:r>
        <w:rPr>
          <w:spacing w:val="-25"/>
        </w:rPr>
        <w:t> </w:t>
      </w:r>
      <w:r>
        <w:rPr/>
        <w:t>The</w:t>
      </w:r>
      <w:r>
        <w:rPr>
          <w:spacing w:val="-25"/>
        </w:rPr>
        <w:t> </w:t>
      </w:r>
      <w:r>
        <w:rPr/>
        <w:t>same</w:t>
      </w:r>
      <w:r>
        <w:rPr>
          <w:spacing w:val="-24"/>
        </w:rPr>
        <w:t> </w:t>
      </w:r>
      <w:r>
        <w:rPr/>
        <w:t>has</w:t>
      </w:r>
      <w:r>
        <w:rPr>
          <w:spacing w:val="-23"/>
        </w:rPr>
        <w:t> </w:t>
      </w:r>
      <w:r>
        <w:rPr/>
        <w:t>been</w:t>
      </w:r>
      <w:r>
        <w:rPr>
          <w:spacing w:val="-23"/>
        </w:rPr>
        <w:t> </w:t>
      </w:r>
      <w:r>
        <w:rPr/>
        <w:t>considered</w:t>
      </w:r>
      <w:r>
        <w:rPr>
          <w:spacing w:val="-24"/>
        </w:rPr>
        <w:t> </w:t>
      </w:r>
      <w:r>
        <w:rPr/>
        <w:t>for</w:t>
      </w:r>
      <w:r>
        <w:rPr>
          <w:spacing w:val="-24"/>
        </w:rPr>
        <w:t> </w:t>
      </w:r>
      <w:r>
        <w:rPr/>
        <w:t>the</w:t>
      </w:r>
      <w:r>
        <w:rPr>
          <w:spacing w:val="-23"/>
        </w:rPr>
        <w:t> </w:t>
      </w:r>
      <w:r>
        <w:rPr/>
        <w:t>purpose of</w:t>
      </w:r>
      <w:r>
        <w:rPr>
          <w:spacing w:val="-30"/>
        </w:rPr>
        <w:t> </w:t>
      </w:r>
      <w:r>
        <w:rPr/>
        <w:t>this</w:t>
      </w:r>
      <w:r>
        <w:rPr>
          <w:spacing w:val="-29"/>
        </w:rPr>
        <w:t> </w:t>
      </w:r>
      <w:r>
        <w:rPr/>
        <w:t>valuation</w:t>
      </w:r>
      <w:r>
        <w:rPr>
          <w:spacing w:val="-30"/>
        </w:rPr>
        <w:t> </w:t>
      </w:r>
      <w:r>
        <w:rPr/>
        <w:t>exercise.</w:t>
      </w:r>
      <w:r>
        <w:rPr>
          <w:spacing w:val="-30"/>
        </w:rPr>
        <w:t> </w:t>
      </w:r>
      <w:r>
        <w:rPr/>
        <w:t>Further,</w:t>
      </w:r>
      <w:r>
        <w:rPr>
          <w:spacing w:val="-30"/>
        </w:rPr>
        <w:t> </w:t>
      </w:r>
      <w:r>
        <w:rPr/>
        <w:t>it</w:t>
      </w:r>
      <w:r>
        <w:rPr>
          <w:spacing w:val="-30"/>
        </w:rPr>
        <w:t> </w:t>
      </w:r>
      <w:r>
        <w:rPr/>
        <w:t>has</w:t>
      </w:r>
      <w:r>
        <w:rPr>
          <w:spacing w:val="-29"/>
        </w:rPr>
        <w:t> </w:t>
      </w:r>
      <w:r>
        <w:rPr/>
        <w:t>been</w:t>
      </w:r>
      <w:r>
        <w:rPr>
          <w:spacing w:val="-30"/>
        </w:rPr>
        <w:t> </w:t>
      </w:r>
      <w:r>
        <w:rPr/>
        <w:t>assumed</w:t>
      </w:r>
      <w:r>
        <w:rPr>
          <w:spacing w:val="-29"/>
        </w:rPr>
        <w:t> </w:t>
      </w:r>
      <w:r>
        <w:rPr/>
        <w:t>that</w:t>
      </w:r>
      <w:r>
        <w:rPr>
          <w:spacing w:val="-30"/>
        </w:rPr>
        <w:t> </w:t>
      </w:r>
      <w:r>
        <w:rPr/>
        <w:t>the</w:t>
      </w:r>
      <w:r>
        <w:rPr>
          <w:spacing w:val="-31"/>
        </w:rPr>
        <w:t> </w:t>
      </w:r>
      <w:r>
        <w:rPr/>
        <w:t>development</w:t>
      </w:r>
      <w:r>
        <w:rPr>
          <w:spacing w:val="-30"/>
        </w:rPr>
        <w:t> </w:t>
      </w:r>
      <w:r>
        <w:rPr/>
        <w:t>on</w:t>
      </w:r>
      <w:r>
        <w:rPr>
          <w:spacing w:val="-30"/>
        </w:rPr>
        <w:t> </w:t>
      </w:r>
      <w:r>
        <w:rPr/>
        <w:t>the subject properties adheres/ would adhere to the development regulations as prescribed</w:t>
      </w:r>
      <w:r>
        <w:rPr>
          <w:spacing w:val="-18"/>
        </w:rPr>
        <w:t> </w:t>
      </w:r>
      <w:r>
        <w:rPr/>
        <w:t>by</w:t>
      </w:r>
      <w:r>
        <w:rPr>
          <w:spacing w:val="-15"/>
        </w:rPr>
        <w:t> </w:t>
      </w:r>
      <w:r>
        <w:rPr/>
        <w:t>the</w:t>
      </w:r>
      <w:r>
        <w:rPr>
          <w:spacing w:val="-17"/>
        </w:rPr>
        <w:t> </w:t>
      </w:r>
      <w:r>
        <w:rPr/>
        <w:t>relevant</w:t>
      </w:r>
      <w:r>
        <w:rPr>
          <w:spacing w:val="-17"/>
        </w:rPr>
        <w:t> </w:t>
      </w:r>
      <w:r>
        <w:rPr/>
        <w:t>authorities.</w:t>
      </w:r>
      <w:r>
        <w:rPr>
          <w:spacing w:val="-17"/>
        </w:rPr>
        <w:t> </w:t>
      </w:r>
      <w:r>
        <w:rPr/>
        <w:t>The</w:t>
      </w:r>
      <w:r>
        <w:rPr>
          <w:spacing w:val="-17"/>
        </w:rPr>
        <w:t> </w:t>
      </w:r>
      <w:r>
        <w:rPr/>
        <w:t>Valuer</w:t>
      </w:r>
      <w:r>
        <w:rPr>
          <w:spacing w:val="-17"/>
        </w:rPr>
        <w:t> </w:t>
      </w:r>
      <w:r>
        <w:rPr/>
        <w:t>has</w:t>
      </w:r>
      <w:r>
        <w:rPr>
          <w:spacing w:val="-16"/>
        </w:rPr>
        <w:t> </w:t>
      </w:r>
      <w:r>
        <w:rPr/>
        <w:t>not</w:t>
      </w:r>
      <w:r>
        <w:rPr>
          <w:spacing w:val="-16"/>
        </w:rPr>
        <w:t> </w:t>
      </w:r>
      <w:r>
        <w:rPr/>
        <w:t>made</w:t>
      </w:r>
      <w:r>
        <w:rPr>
          <w:spacing w:val="-17"/>
        </w:rPr>
        <w:t> </w:t>
      </w:r>
      <w:r>
        <w:rPr/>
        <w:t>any</w:t>
      </w:r>
      <w:r>
        <w:rPr>
          <w:spacing w:val="-17"/>
        </w:rPr>
        <w:t> </w:t>
      </w:r>
      <w:r>
        <w:rPr/>
        <w:t>enquiries</w:t>
      </w:r>
      <w:r>
        <w:rPr>
          <w:spacing w:val="-16"/>
        </w:rPr>
        <w:t> </w:t>
      </w:r>
      <w:r>
        <w:rPr/>
        <w:t>with the</w:t>
      </w:r>
      <w:r>
        <w:rPr>
          <w:spacing w:val="-17"/>
        </w:rPr>
        <w:t> </w:t>
      </w:r>
      <w:r>
        <w:rPr/>
        <w:t>relevant</w:t>
      </w:r>
      <w:r>
        <w:rPr>
          <w:spacing w:val="-17"/>
        </w:rPr>
        <w:t> </w:t>
      </w:r>
      <w:r>
        <w:rPr/>
        <w:t>development</w:t>
      </w:r>
      <w:r>
        <w:rPr>
          <w:spacing w:val="-17"/>
        </w:rPr>
        <w:t> </w:t>
      </w:r>
      <w:r>
        <w:rPr/>
        <w:t>authorities</w:t>
      </w:r>
      <w:r>
        <w:rPr>
          <w:spacing w:val="-16"/>
        </w:rPr>
        <w:t> </w:t>
      </w:r>
      <w:r>
        <w:rPr/>
        <w:t>to</w:t>
      </w:r>
      <w:r>
        <w:rPr>
          <w:spacing w:val="-17"/>
        </w:rPr>
        <w:t> </w:t>
      </w:r>
      <w:r>
        <w:rPr/>
        <w:t>validate</w:t>
      </w:r>
      <w:r>
        <w:rPr>
          <w:spacing w:val="-17"/>
        </w:rPr>
        <w:t> </w:t>
      </w:r>
      <w:r>
        <w:rPr/>
        <w:t>the</w:t>
      </w:r>
      <w:r>
        <w:rPr>
          <w:spacing w:val="-17"/>
        </w:rPr>
        <w:t> </w:t>
      </w:r>
      <w:r>
        <w:rPr/>
        <w:t>legality</w:t>
      </w:r>
      <w:r>
        <w:rPr>
          <w:spacing w:val="-16"/>
        </w:rPr>
        <w:t> </w:t>
      </w:r>
      <w:r>
        <w:rPr/>
        <w:t>of</w:t>
      </w:r>
      <w:r>
        <w:rPr>
          <w:spacing w:val="-16"/>
        </w:rPr>
        <w:t> </w:t>
      </w:r>
      <w:r>
        <w:rPr/>
        <w:t>the</w:t>
      </w:r>
      <w:r>
        <w:rPr>
          <w:spacing w:val="-19"/>
        </w:rPr>
        <w:t> </w:t>
      </w:r>
      <w:r>
        <w:rPr/>
        <w:t>same</w:t>
      </w:r>
    </w:p>
    <w:p>
      <w:pPr>
        <w:spacing w:after="0" w:line="321" w:lineRule="auto"/>
        <w:jc w:val="both"/>
        <w:sectPr>
          <w:type w:val="continuous"/>
          <w:pgSz w:w="11910" w:h="16840"/>
          <w:pgMar w:top="800" w:bottom="280" w:left="440" w:right="80"/>
        </w:sectPr>
      </w:pPr>
    </w:p>
    <w:p>
      <w:pPr>
        <w:pStyle w:val="BodyText"/>
        <w:spacing w:line="321" w:lineRule="auto" w:before="95"/>
        <w:ind w:left="495" w:right="14"/>
      </w:pPr>
      <w:r>
        <w:rPr>
          <w:color w:val="006A4D"/>
        </w:rPr>
        <w:t>Condition &amp; Repair:</w:t>
      </w:r>
    </w:p>
    <w:p>
      <w:pPr>
        <w:pStyle w:val="ListParagraph"/>
        <w:numPr>
          <w:ilvl w:val="2"/>
          <w:numId w:val="15"/>
        </w:numPr>
        <w:tabs>
          <w:tab w:pos="856" w:val="left" w:leader="none"/>
        </w:tabs>
        <w:spacing w:line="321" w:lineRule="auto" w:before="95" w:after="0"/>
        <w:ind w:left="856" w:right="612" w:hanging="360"/>
        <w:jc w:val="both"/>
        <w:rPr>
          <w:sz w:val="22"/>
        </w:rPr>
      </w:pPr>
      <w:r>
        <w:rPr>
          <w:w w:val="99"/>
          <w:sz w:val="22"/>
        </w:rPr>
        <w:br w:type="column"/>
      </w:r>
      <w:r>
        <w:rPr>
          <w:sz w:val="22"/>
        </w:rPr>
        <w:t>In</w:t>
      </w:r>
      <w:r>
        <w:rPr>
          <w:spacing w:val="-29"/>
          <w:sz w:val="22"/>
        </w:rPr>
        <w:t> </w:t>
      </w:r>
      <w:r>
        <w:rPr>
          <w:sz w:val="22"/>
        </w:rPr>
        <w:t>the</w:t>
      </w:r>
      <w:r>
        <w:rPr>
          <w:spacing w:val="-28"/>
          <w:sz w:val="22"/>
        </w:rPr>
        <w:t> </w:t>
      </w:r>
      <w:r>
        <w:rPr>
          <w:sz w:val="22"/>
        </w:rPr>
        <w:t>absence</w:t>
      </w:r>
      <w:r>
        <w:rPr>
          <w:spacing w:val="-28"/>
          <w:sz w:val="22"/>
        </w:rPr>
        <w:t> </w:t>
      </w:r>
      <w:r>
        <w:rPr>
          <w:sz w:val="22"/>
        </w:rPr>
        <w:t>of</w:t>
      </w:r>
      <w:r>
        <w:rPr>
          <w:spacing w:val="-29"/>
          <w:sz w:val="22"/>
        </w:rPr>
        <w:t> </w:t>
      </w:r>
      <w:r>
        <w:rPr>
          <w:sz w:val="22"/>
        </w:rPr>
        <w:t>any</w:t>
      </w:r>
      <w:r>
        <w:rPr>
          <w:spacing w:val="-28"/>
          <w:sz w:val="22"/>
        </w:rPr>
        <w:t> </w:t>
      </w:r>
      <w:r>
        <w:rPr>
          <w:sz w:val="22"/>
        </w:rPr>
        <w:t>information</w:t>
      </w:r>
      <w:r>
        <w:rPr>
          <w:spacing w:val="-29"/>
          <w:sz w:val="22"/>
        </w:rPr>
        <w:t> </w:t>
      </w:r>
      <w:r>
        <w:rPr>
          <w:sz w:val="22"/>
        </w:rPr>
        <w:t>to</w:t>
      </w:r>
      <w:r>
        <w:rPr>
          <w:spacing w:val="-28"/>
          <w:sz w:val="22"/>
        </w:rPr>
        <w:t> </w:t>
      </w:r>
      <w:r>
        <w:rPr>
          <w:sz w:val="22"/>
        </w:rPr>
        <w:t>the</w:t>
      </w:r>
      <w:r>
        <w:rPr>
          <w:spacing w:val="-29"/>
          <w:sz w:val="22"/>
        </w:rPr>
        <w:t> </w:t>
      </w:r>
      <w:r>
        <w:rPr>
          <w:sz w:val="22"/>
        </w:rPr>
        <w:t>contrary,</w:t>
      </w:r>
      <w:r>
        <w:rPr>
          <w:spacing w:val="-29"/>
          <w:sz w:val="22"/>
        </w:rPr>
        <w:t> </w:t>
      </w:r>
      <w:r>
        <w:rPr>
          <w:sz w:val="22"/>
        </w:rPr>
        <w:t>the</w:t>
      </w:r>
      <w:r>
        <w:rPr>
          <w:spacing w:val="-29"/>
          <w:sz w:val="22"/>
        </w:rPr>
        <w:t> </w:t>
      </w:r>
      <w:r>
        <w:rPr>
          <w:sz w:val="22"/>
        </w:rPr>
        <w:t>Valuer</w:t>
      </w:r>
      <w:r>
        <w:rPr>
          <w:spacing w:val="-28"/>
          <w:sz w:val="22"/>
        </w:rPr>
        <w:t> </w:t>
      </w:r>
      <w:r>
        <w:rPr>
          <w:sz w:val="22"/>
        </w:rPr>
        <w:t>has</w:t>
      </w:r>
      <w:r>
        <w:rPr>
          <w:spacing w:val="-27"/>
          <w:sz w:val="22"/>
        </w:rPr>
        <w:t> </w:t>
      </w:r>
      <w:r>
        <w:rPr>
          <w:sz w:val="22"/>
        </w:rPr>
        <w:t>assumed</w:t>
      </w:r>
      <w:r>
        <w:rPr>
          <w:spacing w:val="-29"/>
          <w:sz w:val="22"/>
        </w:rPr>
        <w:t> </w:t>
      </w:r>
      <w:r>
        <w:rPr>
          <w:sz w:val="22"/>
        </w:rPr>
        <w:t>that</w:t>
      </w:r>
      <w:r>
        <w:rPr>
          <w:spacing w:val="-28"/>
          <w:sz w:val="22"/>
        </w:rPr>
        <w:t> </w:t>
      </w:r>
      <w:r>
        <w:rPr>
          <w:sz w:val="22"/>
        </w:rPr>
        <w:t>there are</w:t>
      </w:r>
      <w:r>
        <w:rPr>
          <w:spacing w:val="-30"/>
          <w:sz w:val="22"/>
        </w:rPr>
        <w:t> </w:t>
      </w:r>
      <w:r>
        <w:rPr>
          <w:sz w:val="22"/>
        </w:rPr>
        <w:t>no</w:t>
      </w:r>
      <w:r>
        <w:rPr>
          <w:spacing w:val="-29"/>
          <w:sz w:val="22"/>
        </w:rPr>
        <w:t> </w:t>
      </w:r>
      <w:r>
        <w:rPr>
          <w:sz w:val="22"/>
        </w:rPr>
        <w:t>abnormal</w:t>
      </w:r>
      <w:r>
        <w:rPr>
          <w:spacing w:val="-30"/>
          <w:sz w:val="22"/>
        </w:rPr>
        <w:t> </w:t>
      </w:r>
      <w:r>
        <w:rPr>
          <w:sz w:val="22"/>
        </w:rPr>
        <w:t>ground</w:t>
      </w:r>
      <w:r>
        <w:rPr>
          <w:spacing w:val="-28"/>
          <w:sz w:val="22"/>
        </w:rPr>
        <w:t> </w:t>
      </w:r>
      <w:r>
        <w:rPr>
          <w:sz w:val="22"/>
        </w:rPr>
        <w:t>conditions,</w:t>
      </w:r>
      <w:r>
        <w:rPr>
          <w:spacing w:val="-30"/>
          <w:sz w:val="22"/>
        </w:rPr>
        <w:t> </w:t>
      </w:r>
      <w:r>
        <w:rPr>
          <w:sz w:val="22"/>
        </w:rPr>
        <w:t>nor</w:t>
      </w:r>
      <w:r>
        <w:rPr>
          <w:spacing w:val="-30"/>
          <w:sz w:val="22"/>
        </w:rPr>
        <w:t> </w:t>
      </w:r>
      <w:r>
        <w:rPr>
          <w:sz w:val="22"/>
        </w:rPr>
        <w:t>archaeological</w:t>
      </w:r>
      <w:r>
        <w:rPr>
          <w:spacing w:val="-29"/>
          <w:sz w:val="22"/>
        </w:rPr>
        <w:t> </w:t>
      </w:r>
      <w:r>
        <w:rPr>
          <w:sz w:val="22"/>
        </w:rPr>
        <w:t>remains</w:t>
      </w:r>
      <w:r>
        <w:rPr>
          <w:spacing w:val="-28"/>
          <w:sz w:val="22"/>
        </w:rPr>
        <w:t> </w:t>
      </w:r>
      <w:r>
        <w:rPr>
          <w:sz w:val="22"/>
        </w:rPr>
        <w:t>present</w:t>
      </w:r>
      <w:r>
        <w:rPr>
          <w:spacing w:val="-30"/>
          <w:sz w:val="22"/>
        </w:rPr>
        <w:t> </w:t>
      </w:r>
      <w:r>
        <w:rPr>
          <w:sz w:val="22"/>
        </w:rPr>
        <w:t>which</w:t>
      </w:r>
      <w:r>
        <w:rPr>
          <w:spacing w:val="-30"/>
          <w:sz w:val="22"/>
        </w:rPr>
        <w:t> </w:t>
      </w:r>
      <w:r>
        <w:rPr>
          <w:sz w:val="22"/>
        </w:rPr>
        <w:t>might adversely affect the current or future occupation, development or value of the property;</w:t>
      </w:r>
      <w:r>
        <w:rPr>
          <w:spacing w:val="-11"/>
          <w:sz w:val="22"/>
        </w:rPr>
        <w:t> </w:t>
      </w:r>
      <w:r>
        <w:rPr>
          <w:sz w:val="22"/>
        </w:rPr>
        <w:t>the</w:t>
      </w:r>
      <w:r>
        <w:rPr>
          <w:spacing w:val="-12"/>
          <w:sz w:val="22"/>
        </w:rPr>
        <w:t> </w:t>
      </w:r>
      <w:r>
        <w:rPr>
          <w:sz w:val="22"/>
        </w:rPr>
        <w:t>property</w:t>
      </w:r>
      <w:r>
        <w:rPr>
          <w:spacing w:val="-9"/>
          <w:sz w:val="22"/>
        </w:rPr>
        <w:t> </w:t>
      </w:r>
      <w:r>
        <w:rPr>
          <w:sz w:val="22"/>
        </w:rPr>
        <w:t>is</w:t>
      </w:r>
      <w:r>
        <w:rPr>
          <w:spacing w:val="-10"/>
          <w:sz w:val="22"/>
        </w:rPr>
        <w:t> </w:t>
      </w:r>
      <w:r>
        <w:rPr>
          <w:sz w:val="22"/>
        </w:rPr>
        <w:t>free</w:t>
      </w:r>
      <w:r>
        <w:rPr>
          <w:spacing w:val="-10"/>
          <w:sz w:val="22"/>
        </w:rPr>
        <w:t> </w:t>
      </w:r>
      <w:r>
        <w:rPr>
          <w:sz w:val="22"/>
        </w:rPr>
        <w:t>from</w:t>
      </w:r>
      <w:r>
        <w:rPr>
          <w:spacing w:val="-10"/>
          <w:sz w:val="22"/>
        </w:rPr>
        <w:t> </w:t>
      </w:r>
      <w:r>
        <w:rPr>
          <w:sz w:val="22"/>
        </w:rPr>
        <w:t>rot,</w:t>
      </w:r>
      <w:r>
        <w:rPr>
          <w:spacing w:val="-10"/>
          <w:sz w:val="22"/>
        </w:rPr>
        <w:t> </w:t>
      </w:r>
      <w:r>
        <w:rPr>
          <w:sz w:val="22"/>
        </w:rPr>
        <w:t>infestation,</w:t>
      </w:r>
      <w:r>
        <w:rPr>
          <w:spacing w:val="-10"/>
          <w:sz w:val="22"/>
        </w:rPr>
        <w:t> </w:t>
      </w:r>
      <w:r>
        <w:rPr>
          <w:sz w:val="22"/>
        </w:rPr>
        <w:t>structural</w:t>
      </w:r>
      <w:r>
        <w:rPr>
          <w:spacing w:val="-10"/>
          <w:sz w:val="22"/>
        </w:rPr>
        <w:t> </w:t>
      </w:r>
      <w:r>
        <w:rPr>
          <w:sz w:val="22"/>
        </w:rPr>
        <w:t>or</w:t>
      </w:r>
      <w:r>
        <w:rPr>
          <w:spacing w:val="-10"/>
          <w:sz w:val="22"/>
        </w:rPr>
        <w:t> </w:t>
      </w:r>
      <w:r>
        <w:rPr>
          <w:sz w:val="22"/>
        </w:rPr>
        <w:t>latent</w:t>
      </w:r>
      <w:r>
        <w:rPr>
          <w:spacing w:val="-9"/>
          <w:sz w:val="22"/>
        </w:rPr>
        <w:t> </w:t>
      </w:r>
      <w:r>
        <w:rPr>
          <w:sz w:val="22"/>
        </w:rPr>
        <w:t>defect;</w:t>
      </w:r>
      <w:r>
        <w:rPr>
          <w:spacing w:val="-10"/>
          <w:sz w:val="22"/>
        </w:rPr>
        <w:t> </w:t>
      </w:r>
      <w:r>
        <w:rPr>
          <w:sz w:val="22"/>
        </w:rPr>
        <w:t>no currently</w:t>
      </w:r>
      <w:r>
        <w:rPr>
          <w:spacing w:val="-45"/>
          <w:sz w:val="22"/>
        </w:rPr>
        <w:t> </w:t>
      </w:r>
      <w:r>
        <w:rPr>
          <w:sz w:val="22"/>
        </w:rPr>
        <w:t>known</w:t>
      </w:r>
      <w:r>
        <w:rPr>
          <w:spacing w:val="-45"/>
          <w:sz w:val="22"/>
        </w:rPr>
        <w:t> </w:t>
      </w:r>
      <w:r>
        <w:rPr>
          <w:sz w:val="22"/>
        </w:rPr>
        <w:t>deleterious</w:t>
      </w:r>
      <w:r>
        <w:rPr>
          <w:spacing w:val="-44"/>
          <w:sz w:val="22"/>
        </w:rPr>
        <w:t> </w:t>
      </w:r>
      <w:r>
        <w:rPr>
          <w:sz w:val="22"/>
        </w:rPr>
        <w:t>or</w:t>
      </w:r>
      <w:r>
        <w:rPr>
          <w:spacing w:val="-45"/>
          <w:sz w:val="22"/>
        </w:rPr>
        <w:t> </w:t>
      </w:r>
      <w:r>
        <w:rPr>
          <w:sz w:val="22"/>
        </w:rPr>
        <w:t>hazardous</w:t>
      </w:r>
      <w:r>
        <w:rPr>
          <w:spacing w:val="-45"/>
          <w:sz w:val="22"/>
        </w:rPr>
        <w:t> </w:t>
      </w:r>
      <w:r>
        <w:rPr>
          <w:sz w:val="22"/>
        </w:rPr>
        <w:t>materials</w:t>
      </w:r>
      <w:r>
        <w:rPr>
          <w:spacing w:val="-44"/>
          <w:sz w:val="22"/>
        </w:rPr>
        <w:t> </w:t>
      </w:r>
      <w:r>
        <w:rPr>
          <w:sz w:val="22"/>
        </w:rPr>
        <w:t>or</w:t>
      </w:r>
      <w:r>
        <w:rPr>
          <w:spacing w:val="-45"/>
          <w:sz w:val="22"/>
        </w:rPr>
        <w:t> </w:t>
      </w:r>
      <w:r>
        <w:rPr>
          <w:sz w:val="22"/>
        </w:rPr>
        <w:t>suspect</w:t>
      </w:r>
      <w:r>
        <w:rPr>
          <w:spacing w:val="-46"/>
          <w:sz w:val="22"/>
        </w:rPr>
        <w:t> </w:t>
      </w:r>
      <w:r>
        <w:rPr>
          <w:sz w:val="22"/>
        </w:rPr>
        <w:t>techniques</w:t>
      </w:r>
      <w:r>
        <w:rPr>
          <w:spacing w:val="-45"/>
          <w:sz w:val="22"/>
        </w:rPr>
        <w:t> </w:t>
      </w:r>
      <w:r>
        <w:rPr>
          <w:sz w:val="22"/>
        </w:rPr>
        <w:t>will</w:t>
      </w:r>
      <w:r>
        <w:rPr>
          <w:spacing w:val="-45"/>
          <w:sz w:val="22"/>
        </w:rPr>
        <w:t> </w:t>
      </w:r>
      <w:r>
        <w:rPr>
          <w:sz w:val="22"/>
        </w:rPr>
        <w:t>be</w:t>
      </w:r>
      <w:r>
        <w:rPr>
          <w:spacing w:val="-45"/>
          <w:sz w:val="22"/>
        </w:rPr>
        <w:t> </w:t>
      </w:r>
      <w:r>
        <w:rPr>
          <w:spacing w:val="-3"/>
          <w:sz w:val="22"/>
        </w:rPr>
        <w:t>used </w:t>
      </w:r>
      <w:r>
        <w:rPr>
          <w:sz w:val="22"/>
        </w:rPr>
        <w:t>in the construction of or subsequent alterations or additions to the property and comments</w:t>
      </w:r>
      <w:r>
        <w:rPr>
          <w:spacing w:val="-19"/>
          <w:sz w:val="22"/>
        </w:rPr>
        <w:t> </w:t>
      </w:r>
      <w:r>
        <w:rPr>
          <w:sz w:val="22"/>
        </w:rPr>
        <w:t>made</w:t>
      </w:r>
      <w:r>
        <w:rPr>
          <w:spacing w:val="-20"/>
          <w:sz w:val="22"/>
        </w:rPr>
        <w:t> </w:t>
      </w:r>
      <w:r>
        <w:rPr>
          <w:sz w:val="22"/>
        </w:rPr>
        <w:t>in</w:t>
      </w:r>
      <w:r>
        <w:rPr>
          <w:spacing w:val="-20"/>
          <w:sz w:val="22"/>
        </w:rPr>
        <w:t> </w:t>
      </w:r>
      <w:r>
        <w:rPr>
          <w:sz w:val="22"/>
        </w:rPr>
        <w:t>the</w:t>
      </w:r>
      <w:r>
        <w:rPr>
          <w:spacing w:val="-20"/>
          <w:sz w:val="22"/>
        </w:rPr>
        <w:t> </w:t>
      </w:r>
      <w:r>
        <w:rPr>
          <w:sz w:val="22"/>
        </w:rPr>
        <w:t>property</w:t>
      </w:r>
      <w:r>
        <w:rPr>
          <w:spacing w:val="-19"/>
          <w:sz w:val="22"/>
        </w:rPr>
        <w:t> </w:t>
      </w:r>
      <w:r>
        <w:rPr>
          <w:sz w:val="22"/>
        </w:rPr>
        <w:t>details</w:t>
      </w:r>
      <w:r>
        <w:rPr>
          <w:spacing w:val="-19"/>
          <w:sz w:val="22"/>
        </w:rPr>
        <w:t> </w:t>
      </w:r>
      <w:r>
        <w:rPr>
          <w:sz w:val="22"/>
        </w:rPr>
        <w:t>do</w:t>
      </w:r>
      <w:r>
        <w:rPr>
          <w:spacing w:val="-19"/>
          <w:sz w:val="22"/>
        </w:rPr>
        <w:t> </w:t>
      </w:r>
      <w:r>
        <w:rPr>
          <w:sz w:val="22"/>
        </w:rPr>
        <w:t>not</w:t>
      </w:r>
      <w:r>
        <w:rPr>
          <w:spacing w:val="-21"/>
          <w:sz w:val="22"/>
        </w:rPr>
        <w:t> </w:t>
      </w:r>
      <w:r>
        <w:rPr>
          <w:sz w:val="22"/>
        </w:rPr>
        <w:t>purport</w:t>
      </w:r>
      <w:r>
        <w:rPr>
          <w:spacing w:val="-18"/>
          <w:sz w:val="22"/>
        </w:rPr>
        <w:t> </w:t>
      </w:r>
      <w:r>
        <w:rPr>
          <w:sz w:val="22"/>
        </w:rPr>
        <w:t>to</w:t>
      </w:r>
      <w:r>
        <w:rPr>
          <w:spacing w:val="-20"/>
          <w:sz w:val="22"/>
        </w:rPr>
        <w:t> </w:t>
      </w:r>
      <w:r>
        <w:rPr>
          <w:sz w:val="22"/>
        </w:rPr>
        <w:t>express</w:t>
      </w:r>
      <w:r>
        <w:rPr>
          <w:spacing w:val="-18"/>
          <w:sz w:val="22"/>
        </w:rPr>
        <w:t> </w:t>
      </w:r>
      <w:r>
        <w:rPr>
          <w:sz w:val="22"/>
        </w:rPr>
        <w:t>an</w:t>
      </w:r>
      <w:r>
        <w:rPr>
          <w:spacing w:val="-20"/>
          <w:sz w:val="22"/>
        </w:rPr>
        <w:t> </w:t>
      </w:r>
      <w:r>
        <w:rPr>
          <w:sz w:val="22"/>
        </w:rPr>
        <w:t>opinion</w:t>
      </w:r>
      <w:r>
        <w:rPr>
          <w:spacing w:val="-19"/>
          <w:sz w:val="22"/>
        </w:rPr>
        <w:t> </w:t>
      </w:r>
      <w:r>
        <w:rPr>
          <w:sz w:val="22"/>
        </w:rPr>
        <w:t>about,</w:t>
      </w:r>
    </w:p>
    <w:p>
      <w:pPr>
        <w:spacing w:after="0" w:line="321" w:lineRule="auto"/>
        <w:jc w:val="both"/>
        <w:rPr>
          <w:sz w:val="22"/>
        </w:rPr>
        <w:sectPr>
          <w:type w:val="continuous"/>
          <w:pgSz w:w="11910" w:h="16840"/>
          <w:pgMar w:top="800" w:bottom="280" w:left="440" w:right="80"/>
          <w:cols w:num="2" w:equalWidth="0">
            <w:col w:w="1694" w:space="161"/>
            <w:col w:w="9535"/>
          </w:cols>
        </w:sectPr>
      </w:pPr>
    </w:p>
    <w:p>
      <w:pPr>
        <w:pStyle w:val="BodyText"/>
        <w:spacing w:before="5"/>
      </w:pPr>
    </w:p>
    <w:p>
      <w:pPr>
        <w:pStyle w:val="BodyText"/>
        <w:spacing w:line="321" w:lineRule="auto" w:before="106"/>
        <w:ind w:left="2711" w:right="422"/>
      </w:pPr>
      <w:r>
        <w:rPr/>
        <w:t>or</w:t>
      </w:r>
      <w:r>
        <w:rPr>
          <w:spacing w:val="-34"/>
        </w:rPr>
        <w:t> </w:t>
      </w:r>
      <w:r>
        <w:rPr/>
        <w:t>advice</w:t>
      </w:r>
      <w:r>
        <w:rPr>
          <w:spacing w:val="-32"/>
        </w:rPr>
        <w:t> </w:t>
      </w:r>
      <w:r>
        <w:rPr/>
        <w:t>upon,</w:t>
      </w:r>
      <w:r>
        <w:rPr>
          <w:spacing w:val="-33"/>
        </w:rPr>
        <w:t> </w:t>
      </w:r>
      <w:r>
        <w:rPr/>
        <w:t>the</w:t>
      </w:r>
      <w:r>
        <w:rPr>
          <w:spacing w:val="-34"/>
        </w:rPr>
        <w:t> </w:t>
      </w:r>
      <w:r>
        <w:rPr/>
        <w:t>condition</w:t>
      </w:r>
      <w:r>
        <w:rPr>
          <w:spacing w:val="-33"/>
        </w:rPr>
        <w:t> </w:t>
      </w:r>
      <w:r>
        <w:rPr/>
        <w:t>of</w:t>
      </w:r>
      <w:r>
        <w:rPr>
          <w:spacing w:val="-32"/>
        </w:rPr>
        <w:t> </w:t>
      </w:r>
      <w:r>
        <w:rPr/>
        <w:t>uninspected</w:t>
      </w:r>
      <w:r>
        <w:rPr>
          <w:spacing w:val="-33"/>
        </w:rPr>
        <w:t> </w:t>
      </w:r>
      <w:r>
        <w:rPr/>
        <w:t>parts</w:t>
      </w:r>
      <w:r>
        <w:rPr>
          <w:spacing w:val="-28"/>
        </w:rPr>
        <w:t> </w:t>
      </w:r>
      <w:r>
        <w:rPr/>
        <w:t>and</w:t>
      </w:r>
      <w:r>
        <w:rPr>
          <w:spacing w:val="-33"/>
        </w:rPr>
        <w:t> </w:t>
      </w:r>
      <w:r>
        <w:rPr/>
        <w:t>should</w:t>
      </w:r>
      <w:r>
        <w:rPr>
          <w:spacing w:val="-32"/>
        </w:rPr>
        <w:t> </w:t>
      </w:r>
      <w:r>
        <w:rPr/>
        <w:t>not</w:t>
      </w:r>
      <w:r>
        <w:rPr>
          <w:spacing w:val="-32"/>
        </w:rPr>
        <w:t> </w:t>
      </w:r>
      <w:r>
        <w:rPr/>
        <w:t>be</w:t>
      </w:r>
      <w:r>
        <w:rPr>
          <w:spacing w:val="-33"/>
        </w:rPr>
        <w:t> </w:t>
      </w:r>
      <w:r>
        <w:rPr/>
        <w:t>taken</w:t>
      </w:r>
      <w:r>
        <w:rPr>
          <w:spacing w:val="-33"/>
        </w:rPr>
        <w:t> </w:t>
      </w:r>
      <w:r>
        <w:rPr/>
        <w:t>as</w:t>
      </w:r>
      <w:r>
        <w:rPr>
          <w:spacing w:val="-32"/>
        </w:rPr>
        <w:t> </w:t>
      </w:r>
      <w:r>
        <w:rPr/>
        <w:t>making an</w:t>
      </w:r>
      <w:r>
        <w:rPr>
          <w:spacing w:val="-8"/>
        </w:rPr>
        <w:t> </w:t>
      </w:r>
      <w:r>
        <w:rPr/>
        <w:t>implied</w:t>
      </w:r>
      <w:r>
        <w:rPr>
          <w:spacing w:val="-6"/>
        </w:rPr>
        <w:t> </w:t>
      </w:r>
      <w:r>
        <w:rPr/>
        <w:t>representation</w:t>
      </w:r>
      <w:r>
        <w:rPr>
          <w:spacing w:val="-8"/>
        </w:rPr>
        <w:t> </w:t>
      </w:r>
      <w:r>
        <w:rPr/>
        <w:t>or</w:t>
      </w:r>
      <w:r>
        <w:rPr>
          <w:spacing w:val="-7"/>
        </w:rPr>
        <w:t> </w:t>
      </w:r>
      <w:r>
        <w:rPr/>
        <w:t>statement</w:t>
      </w:r>
      <w:r>
        <w:rPr>
          <w:spacing w:val="-7"/>
        </w:rPr>
        <w:t> </w:t>
      </w:r>
      <w:r>
        <w:rPr/>
        <w:t>about</w:t>
      </w:r>
      <w:r>
        <w:rPr>
          <w:spacing w:val="-9"/>
        </w:rPr>
        <w:t> </w:t>
      </w:r>
      <w:r>
        <w:rPr/>
        <w:t>such</w:t>
      </w:r>
      <w:r>
        <w:rPr>
          <w:spacing w:val="-8"/>
        </w:rPr>
        <w:t> </w:t>
      </w:r>
      <w:r>
        <w:rPr/>
        <w:t>parts</w:t>
      </w:r>
    </w:p>
    <w:p>
      <w:pPr>
        <w:pStyle w:val="BodyText"/>
        <w:spacing w:before="8"/>
        <w:rPr>
          <w:sz w:val="11"/>
        </w:rPr>
      </w:pPr>
    </w:p>
    <w:p>
      <w:pPr>
        <w:spacing w:after="0"/>
        <w:rPr>
          <w:sz w:val="11"/>
        </w:rPr>
        <w:sectPr>
          <w:pgSz w:w="11910" w:h="16840"/>
          <w:pgMar w:header="720" w:footer="842" w:top="1520" w:bottom="1040" w:left="440" w:right="80"/>
        </w:sectPr>
      </w:pPr>
    </w:p>
    <w:p>
      <w:pPr>
        <w:pStyle w:val="BodyText"/>
        <w:spacing w:line="319" w:lineRule="auto" w:before="106"/>
        <w:ind w:left="495" w:right="-7"/>
      </w:pPr>
      <w:r>
        <w:rPr>
          <w:color w:val="006A4D"/>
        </w:rPr>
        <w:t>Not a</w:t>
      </w:r>
      <w:r>
        <w:rPr>
          <w:color w:val="006A4D"/>
          <w:spacing w:val="-51"/>
        </w:rPr>
        <w:t> </w:t>
      </w:r>
      <w:r>
        <w:rPr>
          <w:color w:val="006A4D"/>
          <w:spacing w:val="-3"/>
        </w:rPr>
        <w:t>Structural </w:t>
      </w:r>
      <w:r>
        <w:rPr>
          <w:color w:val="006A4D"/>
        </w:rPr>
        <w:t>Survey:</w:t>
      </w:r>
    </w:p>
    <w:p>
      <w:pPr>
        <w:pStyle w:val="ListParagraph"/>
        <w:numPr>
          <w:ilvl w:val="1"/>
          <w:numId w:val="3"/>
        </w:numPr>
        <w:tabs>
          <w:tab w:pos="669" w:val="left" w:leader="none"/>
          <w:tab w:pos="670" w:val="left" w:leader="none"/>
        </w:tabs>
        <w:spacing w:line="240" w:lineRule="auto" w:before="106" w:after="0"/>
        <w:ind w:left="669" w:right="0" w:hanging="361"/>
        <w:jc w:val="left"/>
        <w:rPr>
          <w:sz w:val="22"/>
        </w:rPr>
      </w:pPr>
      <w:r>
        <w:rPr>
          <w:w w:val="87"/>
          <w:sz w:val="22"/>
        </w:rPr>
        <w:br w:type="column"/>
      </w:r>
      <w:r>
        <w:rPr>
          <w:sz w:val="22"/>
        </w:rPr>
        <w:t>The</w:t>
      </w:r>
      <w:r>
        <w:rPr>
          <w:spacing w:val="-13"/>
          <w:sz w:val="22"/>
        </w:rPr>
        <w:t> </w:t>
      </w:r>
      <w:r>
        <w:rPr>
          <w:sz w:val="22"/>
        </w:rPr>
        <w:t>Valuer</w:t>
      </w:r>
      <w:r>
        <w:rPr>
          <w:spacing w:val="-13"/>
          <w:sz w:val="22"/>
        </w:rPr>
        <w:t> </w:t>
      </w:r>
      <w:r>
        <w:rPr>
          <w:sz w:val="22"/>
        </w:rPr>
        <w:t>states</w:t>
      </w:r>
      <w:r>
        <w:rPr>
          <w:spacing w:val="-11"/>
          <w:sz w:val="22"/>
        </w:rPr>
        <w:t> </w:t>
      </w:r>
      <w:r>
        <w:rPr>
          <w:sz w:val="22"/>
        </w:rPr>
        <w:t>that</w:t>
      </w:r>
      <w:r>
        <w:rPr>
          <w:spacing w:val="-12"/>
          <w:sz w:val="22"/>
        </w:rPr>
        <w:t> </w:t>
      </w:r>
      <w:r>
        <w:rPr>
          <w:sz w:val="22"/>
        </w:rPr>
        <w:t>this</w:t>
      </w:r>
      <w:r>
        <w:rPr>
          <w:spacing w:val="-13"/>
          <w:sz w:val="22"/>
        </w:rPr>
        <w:t> </w:t>
      </w:r>
      <w:r>
        <w:rPr>
          <w:sz w:val="22"/>
        </w:rPr>
        <w:t>is</w:t>
      </w:r>
      <w:r>
        <w:rPr>
          <w:spacing w:val="-11"/>
          <w:sz w:val="22"/>
        </w:rPr>
        <w:t> </w:t>
      </w:r>
      <w:r>
        <w:rPr>
          <w:sz w:val="22"/>
        </w:rPr>
        <w:t>a</w:t>
      </w:r>
      <w:r>
        <w:rPr>
          <w:spacing w:val="-13"/>
          <w:sz w:val="22"/>
        </w:rPr>
        <w:t> </w:t>
      </w:r>
      <w:r>
        <w:rPr>
          <w:sz w:val="22"/>
        </w:rPr>
        <w:t>valuation</w:t>
      </w:r>
      <w:r>
        <w:rPr>
          <w:spacing w:val="-13"/>
          <w:sz w:val="22"/>
        </w:rPr>
        <w:t> </w:t>
      </w:r>
      <w:r>
        <w:rPr>
          <w:sz w:val="22"/>
        </w:rPr>
        <w:t>report</w:t>
      </w:r>
      <w:r>
        <w:rPr>
          <w:spacing w:val="-12"/>
          <w:sz w:val="22"/>
        </w:rPr>
        <w:t> </w:t>
      </w:r>
      <w:r>
        <w:rPr>
          <w:sz w:val="22"/>
        </w:rPr>
        <w:t>and</w:t>
      </w:r>
      <w:r>
        <w:rPr>
          <w:spacing w:val="-12"/>
          <w:sz w:val="22"/>
        </w:rPr>
        <w:t> </w:t>
      </w:r>
      <w:r>
        <w:rPr>
          <w:sz w:val="22"/>
        </w:rPr>
        <w:t>not</w:t>
      </w:r>
      <w:r>
        <w:rPr>
          <w:spacing w:val="-12"/>
          <w:sz w:val="22"/>
        </w:rPr>
        <w:t> </w:t>
      </w:r>
      <w:r>
        <w:rPr>
          <w:sz w:val="22"/>
        </w:rPr>
        <w:t>a</w:t>
      </w:r>
      <w:r>
        <w:rPr>
          <w:spacing w:val="-12"/>
          <w:sz w:val="22"/>
        </w:rPr>
        <w:t> </w:t>
      </w:r>
      <w:r>
        <w:rPr>
          <w:sz w:val="22"/>
        </w:rPr>
        <w:t>structural</w:t>
      </w:r>
      <w:r>
        <w:rPr>
          <w:spacing w:val="-13"/>
          <w:sz w:val="22"/>
        </w:rPr>
        <w:t> </w:t>
      </w:r>
      <w:r>
        <w:rPr>
          <w:sz w:val="22"/>
        </w:rPr>
        <w:t>survey</w:t>
      </w:r>
    </w:p>
    <w:p>
      <w:pPr>
        <w:spacing w:after="0" w:line="240" w:lineRule="auto"/>
        <w:jc w:val="left"/>
        <w:rPr>
          <w:sz w:val="22"/>
        </w:rPr>
        <w:sectPr>
          <w:type w:val="continuous"/>
          <w:pgSz w:w="11910" w:h="16840"/>
          <w:pgMar w:top="800" w:bottom="280" w:left="440" w:right="80"/>
          <w:cols w:num="2" w:equalWidth="0">
            <w:col w:w="2002" w:space="40"/>
            <w:col w:w="9348"/>
          </w:cols>
        </w:sectPr>
      </w:pPr>
    </w:p>
    <w:p>
      <w:pPr>
        <w:pStyle w:val="BodyText"/>
        <w:spacing w:before="4"/>
        <w:rPr>
          <w:sz w:val="10"/>
        </w:rPr>
      </w:pPr>
    </w:p>
    <w:p>
      <w:pPr>
        <w:pStyle w:val="BodyText"/>
        <w:ind w:left="388"/>
        <w:rPr>
          <w:sz w:val="20"/>
        </w:rPr>
      </w:pPr>
      <w:r>
        <w:rPr>
          <w:sz w:val="20"/>
        </w:rPr>
        <w:pict>
          <v:group style="width:524.65pt;height:63.5pt;mso-position-horizontal-relative:char;mso-position-vertical-relative:line" coordorigin="0,0" coordsize="10493,1270">
            <v:shape style="position:absolute;left:0;top:0;width:10493;height:1270" coordorigin="0,0" coordsize="10493,1270" path="m10493,0l1844,0,0,0,0,1270,1844,1270,10493,1270,10493,0xe" filled="true" fillcolor="#f1f1f1" stroked="false">
              <v:path arrowok="t"/>
              <v:fill type="solid"/>
            </v:shape>
            <v:shape style="position:absolute;left:108;top:118;width:609;height:265" type="#_x0000_t202" filled="false" stroked="false">
              <v:textbox inset="0,0,0,0">
                <w:txbxContent>
                  <w:p>
                    <w:pPr>
                      <w:spacing w:before="6"/>
                      <w:ind w:left="0" w:right="0" w:firstLine="0"/>
                      <w:jc w:val="left"/>
                      <w:rPr>
                        <w:sz w:val="22"/>
                      </w:rPr>
                    </w:pPr>
                    <w:r>
                      <w:rPr>
                        <w:color w:val="006A4D"/>
                        <w:w w:val="95"/>
                        <w:sz w:val="22"/>
                      </w:rPr>
                      <w:t>Legal:</w:t>
                    </w:r>
                  </w:p>
                </w:txbxContent>
              </v:textbox>
              <w10:wrap type="none"/>
            </v:shape>
            <v:shape style="position:absolute;left:1963;top:118;width:8441;height:952" type="#_x0000_t202" filled="false" stroked="false">
              <v:textbox inset="0,0,0,0">
                <w:txbxContent>
                  <w:p>
                    <w:pPr>
                      <w:numPr>
                        <w:ilvl w:val="0"/>
                        <w:numId w:val="21"/>
                      </w:numPr>
                      <w:tabs>
                        <w:tab w:pos="359" w:val="left" w:leader="none"/>
                        <w:tab w:pos="360" w:val="left" w:leader="none"/>
                      </w:tabs>
                      <w:spacing w:before="6"/>
                      <w:ind w:left="360" w:right="0" w:hanging="360"/>
                      <w:jc w:val="left"/>
                      <w:rPr>
                        <w:sz w:val="22"/>
                      </w:rPr>
                    </w:pPr>
                    <w:r>
                      <w:rPr>
                        <w:sz w:val="22"/>
                      </w:rPr>
                      <w:t>Unless</w:t>
                    </w:r>
                    <w:r>
                      <w:rPr>
                        <w:spacing w:val="-16"/>
                        <w:sz w:val="22"/>
                      </w:rPr>
                      <w:t> </w:t>
                    </w:r>
                    <w:r>
                      <w:rPr>
                        <w:sz w:val="22"/>
                      </w:rPr>
                      <w:t>specifically</w:t>
                    </w:r>
                    <w:r>
                      <w:rPr>
                        <w:spacing w:val="-15"/>
                        <w:sz w:val="22"/>
                      </w:rPr>
                      <w:t> </w:t>
                    </w:r>
                    <w:r>
                      <w:rPr>
                        <w:sz w:val="22"/>
                      </w:rPr>
                      <w:t>disclosed</w:t>
                    </w:r>
                    <w:r>
                      <w:rPr>
                        <w:spacing w:val="-14"/>
                        <w:sz w:val="22"/>
                      </w:rPr>
                      <w:t> </w:t>
                    </w:r>
                    <w:r>
                      <w:rPr>
                        <w:sz w:val="22"/>
                      </w:rPr>
                      <w:t>in</w:t>
                    </w:r>
                    <w:r>
                      <w:rPr>
                        <w:spacing w:val="-16"/>
                        <w:sz w:val="22"/>
                      </w:rPr>
                      <w:t> </w:t>
                    </w:r>
                    <w:r>
                      <w:rPr>
                        <w:sz w:val="22"/>
                      </w:rPr>
                      <w:t>the</w:t>
                    </w:r>
                    <w:r>
                      <w:rPr>
                        <w:spacing w:val="-15"/>
                        <w:sz w:val="22"/>
                      </w:rPr>
                      <w:t> </w:t>
                    </w:r>
                    <w:r>
                      <w:rPr>
                        <w:sz w:val="22"/>
                      </w:rPr>
                      <w:t>report,</w:t>
                    </w:r>
                    <w:r>
                      <w:rPr>
                        <w:spacing w:val="-14"/>
                        <w:sz w:val="22"/>
                      </w:rPr>
                      <w:t> </w:t>
                    </w:r>
                    <w:r>
                      <w:rPr>
                        <w:sz w:val="22"/>
                      </w:rPr>
                      <w:t>the</w:t>
                    </w:r>
                    <w:r>
                      <w:rPr>
                        <w:spacing w:val="-15"/>
                        <w:sz w:val="22"/>
                      </w:rPr>
                      <w:t> </w:t>
                    </w:r>
                    <w:r>
                      <w:rPr>
                        <w:sz w:val="22"/>
                      </w:rPr>
                      <w:t>Valuer</w:t>
                    </w:r>
                    <w:r>
                      <w:rPr>
                        <w:spacing w:val="-15"/>
                        <w:sz w:val="22"/>
                      </w:rPr>
                      <w:t> </w:t>
                    </w:r>
                    <w:r>
                      <w:rPr>
                        <w:sz w:val="22"/>
                      </w:rPr>
                      <w:t>has</w:t>
                    </w:r>
                    <w:r>
                      <w:rPr>
                        <w:spacing w:val="-14"/>
                        <w:sz w:val="22"/>
                      </w:rPr>
                      <w:t> </w:t>
                    </w:r>
                    <w:r>
                      <w:rPr>
                        <w:sz w:val="22"/>
                      </w:rPr>
                      <w:t>not</w:t>
                    </w:r>
                    <w:r>
                      <w:rPr>
                        <w:spacing w:val="-13"/>
                        <w:sz w:val="22"/>
                      </w:rPr>
                      <w:t> </w:t>
                    </w:r>
                    <w:r>
                      <w:rPr>
                        <w:sz w:val="22"/>
                      </w:rPr>
                      <w:t>made</w:t>
                    </w:r>
                    <w:r>
                      <w:rPr>
                        <w:spacing w:val="-15"/>
                        <w:sz w:val="22"/>
                      </w:rPr>
                      <w:t> </w:t>
                    </w:r>
                    <w:r>
                      <w:rPr>
                        <w:sz w:val="22"/>
                      </w:rPr>
                      <w:t>any</w:t>
                    </w:r>
                    <w:r>
                      <w:rPr>
                        <w:spacing w:val="-15"/>
                        <w:sz w:val="22"/>
                      </w:rPr>
                      <w:t> </w:t>
                    </w:r>
                    <w:r>
                      <w:rPr>
                        <w:sz w:val="22"/>
                      </w:rPr>
                      <w:t>allowances</w:t>
                    </w:r>
                  </w:p>
                  <w:p>
                    <w:pPr>
                      <w:spacing w:line="340" w:lineRule="atLeast" w:before="3"/>
                      <w:ind w:left="360" w:right="0" w:firstLine="0"/>
                      <w:jc w:val="left"/>
                      <w:rPr>
                        <w:sz w:val="22"/>
                      </w:rPr>
                    </w:pPr>
                    <w:r>
                      <w:rPr>
                        <w:sz w:val="22"/>
                      </w:rPr>
                      <w:t>with respect to any existing or proposed local legislation relating to taxation on realization of the sale value of the subject property</w:t>
                    </w:r>
                  </w:p>
                </w:txbxContent>
              </v:textbox>
              <w10:wrap type="none"/>
            </v:shape>
          </v:group>
        </w:pict>
      </w:r>
      <w:r>
        <w:rPr>
          <w:sz w:val="20"/>
        </w:rPr>
      </w:r>
    </w:p>
    <w:p>
      <w:pPr>
        <w:pStyle w:val="BodyText"/>
        <w:tabs>
          <w:tab w:pos="2351" w:val="left" w:leader="none"/>
        </w:tabs>
        <w:spacing w:line="321" w:lineRule="auto" w:before="95"/>
        <w:ind w:left="2711" w:right="610" w:hanging="2216"/>
        <w:jc w:val="both"/>
      </w:pPr>
      <w:r>
        <w:rPr>
          <w:color w:val="006A4D"/>
        </w:rPr>
        <w:t>Others:</w:t>
        <w:tab/>
      </w:r>
      <w:r>
        <w:rPr>
          <w:rFonts w:ascii="Wingdings" w:hAnsi="Wingdings"/>
        </w:rPr>
        <w:t></w:t>
      </w:r>
      <w:r>
        <w:rPr>
          <w:rFonts w:ascii="Times New Roman" w:hAnsi="Times New Roman"/>
          <w:spacing w:val="50"/>
        </w:rPr>
        <w:t> </w:t>
      </w:r>
      <w:r>
        <w:rPr/>
        <w:t>Considering the unorganized nature of real estate markets in India, all comparable evidence</w:t>
      </w:r>
      <w:r>
        <w:rPr>
          <w:spacing w:val="-37"/>
        </w:rPr>
        <w:t> </w:t>
      </w:r>
      <w:r>
        <w:rPr/>
        <w:t>(if</w:t>
      </w:r>
      <w:r>
        <w:rPr>
          <w:spacing w:val="-37"/>
        </w:rPr>
        <w:t> </w:t>
      </w:r>
      <w:r>
        <w:rPr/>
        <w:t>any)</w:t>
      </w:r>
      <w:r>
        <w:rPr>
          <w:spacing w:val="-38"/>
        </w:rPr>
        <w:t> </w:t>
      </w:r>
      <w:r>
        <w:rPr/>
        <w:t>provided</w:t>
      </w:r>
      <w:r>
        <w:rPr>
          <w:spacing w:val="-37"/>
        </w:rPr>
        <w:t> </w:t>
      </w:r>
      <w:r>
        <w:rPr/>
        <w:t>in</w:t>
      </w:r>
      <w:r>
        <w:rPr>
          <w:spacing w:val="-37"/>
        </w:rPr>
        <w:t> </w:t>
      </w:r>
      <w:r>
        <w:rPr/>
        <w:t>the</w:t>
      </w:r>
      <w:r>
        <w:rPr>
          <w:spacing w:val="-38"/>
        </w:rPr>
        <w:t> </w:t>
      </w:r>
      <w:r>
        <w:rPr/>
        <w:t>valuation</w:t>
      </w:r>
      <w:r>
        <w:rPr>
          <w:spacing w:val="-36"/>
        </w:rPr>
        <w:t> </w:t>
      </w:r>
      <w:r>
        <w:rPr/>
        <w:t>report</w:t>
      </w:r>
      <w:r>
        <w:rPr>
          <w:spacing w:val="-37"/>
        </w:rPr>
        <w:t> </w:t>
      </w:r>
      <w:r>
        <w:rPr/>
        <w:t>has</w:t>
      </w:r>
      <w:r>
        <w:rPr>
          <w:spacing w:val="-37"/>
        </w:rPr>
        <w:t> </w:t>
      </w:r>
      <w:r>
        <w:rPr/>
        <w:t>been</w:t>
      </w:r>
      <w:r>
        <w:rPr>
          <w:spacing w:val="-37"/>
        </w:rPr>
        <w:t> </w:t>
      </w:r>
      <w:r>
        <w:rPr/>
        <w:t>limited</w:t>
      </w:r>
      <w:r>
        <w:rPr>
          <w:spacing w:val="-37"/>
        </w:rPr>
        <w:t> </w:t>
      </w:r>
      <w:r>
        <w:rPr/>
        <w:t>to</w:t>
      </w:r>
      <w:r>
        <w:rPr>
          <w:spacing w:val="-37"/>
        </w:rPr>
        <w:t> </w:t>
      </w:r>
      <w:r>
        <w:rPr/>
        <w:t>the</w:t>
      </w:r>
      <w:r>
        <w:rPr>
          <w:spacing w:val="-39"/>
        </w:rPr>
        <w:t> </w:t>
      </w:r>
      <w:r>
        <w:rPr/>
        <w:t>basic</w:t>
      </w:r>
      <w:r>
        <w:rPr>
          <w:spacing w:val="-37"/>
        </w:rPr>
        <w:t> </w:t>
      </w:r>
      <w:r>
        <w:rPr/>
        <w:t>details such</w:t>
      </w:r>
      <w:r>
        <w:rPr>
          <w:spacing w:val="-37"/>
        </w:rPr>
        <w:t> </w:t>
      </w:r>
      <w:r>
        <w:rPr/>
        <w:t>as</w:t>
      </w:r>
      <w:r>
        <w:rPr>
          <w:spacing w:val="-37"/>
        </w:rPr>
        <w:t> </w:t>
      </w:r>
      <w:r>
        <w:rPr/>
        <w:t>the</w:t>
      </w:r>
      <w:r>
        <w:rPr>
          <w:spacing w:val="-36"/>
        </w:rPr>
        <w:t> </w:t>
      </w:r>
      <w:r>
        <w:rPr/>
        <w:t>area</w:t>
      </w:r>
      <w:r>
        <w:rPr>
          <w:spacing w:val="-36"/>
        </w:rPr>
        <w:t> </w:t>
      </w:r>
      <w:r>
        <w:rPr/>
        <w:t>of</w:t>
      </w:r>
      <w:r>
        <w:rPr>
          <w:spacing w:val="-36"/>
        </w:rPr>
        <w:t> </w:t>
      </w:r>
      <w:r>
        <w:rPr/>
        <w:t>asset,</w:t>
      </w:r>
      <w:r>
        <w:rPr>
          <w:spacing w:val="-37"/>
        </w:rPr>
        <w:t> </w:t>
      </w:r>
      <w:r>
        <w:rPr/>
        <w:t>rate</w:t>
      </w:r>
      <w:r>
        <w:rPr>
          <w:spacing w:val="-37"/>
        </w:rPr>
        <w:t> </w:t>
      </w:r>
      <w:r>
        <w:rPr/>
        <w:t>at</w:t>
      </w:r>
      <w:r>
        <w:rPr>
          <w:spacing w:val="-35"/>
        </w:rPr>
        <w:t> </w:t>
      </w:r>
      <w:r>
        <w:rPr/>
        <w:t>which</w:t>
      </w:r>
      <w:r>
        <w:rPr>
          <w:spacing w:val="-37"/>
        </w:rPr>
        <w:t> </w:t>
      </w:r>
      <w:r>
        <w:rPr/>
        <w:t>transacted,</w:t>
      </w:r>
      <w:r>
        <w:rPr>
          <w:spacing w:val="-36"/>
        </w:rPr>
        <w:t> </w:t>
      </w:r>
      <w:r>
        <w:rPr/>
        <w:t>broad</w:t>
      </w:r>
      <w:r>
        <w:rPr>
          <w:spacing w:val="-36"/>
        </w:rPr>
        <w:t> </w:t>
      </w:r>
      <w:r>
        <w:rPr/>
        <w:t>location,</w:t>
      </w:r>
      <w:r>
        <w:rPr>
          <w:spacing w:val="-37"/>
        </w:rPr>
        <w:t> </w:t>
      </w:r>
      <w:r>
        <w:rPr/>
        <w:t>etc.</w:t>
      </w:r>
      <w:r>
        <w:rPr>
          <w:spacing w:val="-36"/>
        </w:rPr>
        <w:t> </w:t>
      </w:r>
      <w:r>
        <w:rPr/>
        <w:t>other</w:t>
      </w:r>
      <w:r>
        <w:rPr>
          <w:spacing w:val="-36"/>
        </w:rPr>
        <w:t> </w:t>
      </w:r>
      <w:r>
        <w:rPr/>
        <w:t>specific details</w:t>
      </w:r>
      <w:r>
        <w:rPr>
          <w:spacing w:val="-14"/>
        </w:rPr>
        <w:t> </w:t>
      </w:r>
      <w:r>
        <w:rPr/>
        <w:t>would</w:t>
      </w:r>
      <w:r>
        <w:rPr>
          <w:spacing w:val="-16"/>
        </w:rPr>
        <w:t> </w:t>
      </w:r>
      <w:r>
        <w:rPr/>
        <w:t>be</w:t>
      </w:r>
      <w:r>
        <w:rPr>
          <w:spacing w:val="-14"/>
        </w:rPr>
        <w:t> </w:t>
      </w:r>
      <w:r>
        <w:rPr/>
        <w:t>provided</w:t>
      </w:r>
      <w:r>
        <w:rPr>
          <w:spacing w:val="-13"/>
        </w:rPr>
        <w:t> </w:t>
      </w:r>
      <w:r>
        <w:rPr/>
        <w:t>only</w:t>
      </w:r>
      <w:r>
        <w:rPr>
          <w:spacing w:val="-14"/>
        </w:rPr>
        <w:t> </w:t>
      </w:r>
      <w:r>
        <w:rPr/>
        <w:t>if</w:t>
      </w:r>
      <w:r>
        <w:rPr>
          <w:spacing w:val="-13"/>
        </w:rPr>
        <w:t> </w:t>
      </w:r>
      <w:r>
        <w:rPr/>
        <w:t>the</w:t>
      </w:r>
      <w:r>
        <w:rPr>
          <w:spacing w:val="-15"/>
        </w:rPr>
        <w:t> </w:t>
      </w:r>
      <w:r>
        <w:rPr/>
        <w:t>information</w:t>
      </w:r>
      <w:r>
        <w:rPr>
          <w:spacing w:val="-15"/>
        </w:rPr>
        <w:t> </w:t>
      </w:r>
      <w:r>
        <w:rPr/>
        <w:t>is</w:t>
      </w:r>
      <w:r>
        <w:rPr>
          <w:spacing w:val="-13"/>
        </w:rPr>
        <w:t> </w:t>
      </w:r>
      <w:r>
        <w:rPr/>
        <w:t>available</w:t>
      </w:r>
      <w:r>
        <w:rPr>
          <w:spacing w:val="-15"/>
        </w:rPr>
        <w:t> </w:t>
      </w:r>
      <w:r>
        <w:rPr/>
        <w:t>in</w:t>
      </w:r>
      <w:r>
        <w:rPr>
          <w:spacing w:val="-15"/>
        </w:rPr>
        <w:t> </w:t>
      </w:r>
      <w:r>
        <w:rPr/>
        <w:t>public</w:t>
      </w:r>
      <w:r>
        <w:rPr>
          <w:spacing w:val="-14"/>
        </w:rPr>
        <w:t> </w:t>
      </w:r>
      <w:r>
        <w:rPr/>
        <w:t>domain</w:t>
      </w:r>
    </w:p>
    <w:p>
      <w:pPr>
        <w:pStyle w:val="BodyText"/>
        <w:spacing w:before="7"/>
        <w:rPr>
          <w:sz w:val="11"/>
        </w:rPr>
      </w:pPr>
    </w:p>
    <w:p>
      <w:pPr>
        <w:spacing w:after="0"/>
        <w:rPr>
          <w:sz w:val="11"/>
        </w:rPr>
        <w:sectPr>
          <w:type w:val="continuous"/>
          <w:pgSz w:w="11910" w:h="16840"/>
          <w:pgMar w:top="800" w:bottom="280" w:left="440" w:right="80"/>
        </w:sectPr>
      </w:pPr>
    </w:p>
    <w:p>
      <w:pPr>
        <w:pStyle w:val="BodyText"/>
        <w:spacing w:line="321" w:lineRule="auto" w:before="106"/>
        <w:ind w:left="495"/>
      </w:pPr>
      <w:r>
        <w:rPr/>
        <w:pict>
          <v:shape style="position:absolute;margin-left:41.400002pt;margin-top:-.9304pt;width:524.65pt;height:338.6pt;mso-position-horizontal-relative:page;mso-position-vertical-relative:paragraph;z-index:-34806784" coordorigin="828,-19" coordsize="10493,6772" path="m11321,-19l2672,-19,828,-19,828,6753,2672,6753,11321,6753,11321,-19xe" filled="true" fillcolor="#f1f1f1" stroked="false">
            <v:path arrowok="t"/>
            <v:fill type="solid"/>
            <w10:wrap type="none"/>
          </v:shape>
        </w:pict>
      </w:r>
      <w:r>
        <w:rPr>
          <w:color w:val="006A4D"/>
        </w:rPr>
        <w:t>Other </w:t>
      </w:r>
      <w:r>
        <w:rPr>
          <w:color w:val="006A4D"/>
          <w:w w:val="95"/>
        </w:rPr>
        <w:t>Assumptions:</w:t>
      </w:r>
    </w:p>
    <w:p>
      <w:pPr>
        <w:pStyle w:val="ListParagraph"/>
        <w:numPr>
          <w:ilvl w:val="2"/>
          <w:numId w:val="3"/>
        </w:numPr>
        <w:tabs>
          <w:tab w:pos="856" w:val="left" w:leader="none"/>
        </w:tabs>
        <w:spacing w:line="321" w:lineRule="auto" w:before="106" w:after="0"/>
        <w:ind w:left="856" w:right="611" w:hanging="360"/>
        <w:jc w:val="both"/>
        <w:rPr>
          <w:sz w:val="22"/>
        </w:rPr>
      </w:pPr>
      <w:r>
        <w:rPr>
          <w:w w:val="90"/>
          <w:sz w:val="22"/>
        </w:rPr>
        <w:br w:type="column"/>
      </w:r>
      <w:r>
        <w:rPr>
          <w:sz w:val="22"/>
        </w:rPr>
        <w:t>Please note that all the factual information such as tenants’ leasable area, lease details</w:t>
      </w:r>
      <w:r>
        <w:rPr>
          <w:spacing w:val="-30"/>
          <w:sz w:val="22"/>
        </w:rPr>
        <w:t> </w:t>
      </w:r>
      <w:r>
        <w:rPr>
          <w:sz w:val="22"/>
        </w:rPr>
        <w:t>such</w:t>
      </w:r>
      <w:r>
        <w:rPr>
          <w:spacing w:val="-30"/>
          <w:sz w:val="22"/>
        </w:rPr>
        <w:t> </w:t>
      </w:r>
      <w:r>
        <w:rPr>
          <w:sz w:val="22"/>
        </w:rPr>
        <w:t>as</w:t>
      </w:r>
      <w:r>
        <w:rPr>
          <w:spacing w:val="-29"/>
          <w:sz w:val="22"/>
        </w:rPr>
        <w:t> </w:t>
      </w:r>
      <w:r>
        <w:rPr>
          <w:sz w:val="22"/>
        </w:rPr>
        <w:t>lease</w:t>
      </w:r>
      <w:r>
        <w:rPr>
          <w:spacing w:val="-30"/>
          <w:sz w:val="22"/>
        </w:rPr>
        <w:t> </w:t>
      </w:r>
      <w:r>
        <w:rPr>
          <w:sz w:val="22"/>
        </w:rPr>
        <w:t>rent,</w:t>
      </w:r>
      <w:r>
        <w:rPr>
          <w:spacing w:val="-31"/>
          <w:sz w:val="22"/>
        </w:rPr>
        <w:t> </w:t>
      </w:r>
      <w:r>
        <w:rPr>
          <w:sz w:val="22"/>
        </w:rPr>
        <w:t>lease</w:t>
      </w:r>
      <w:r>
        <w:rPr>
          <w:spacing w:val="-30"/>
          <w:sz w:val="22"/>
        </w:rPr>
        <w:t> </w:t>
      </w:r>
      <w:r>
        <w:rPr>
          <w:sz w:val="22"/>
        </w:rPr>
        <w:t>commencement</w:t>
      </w:r>
      <w:r>
        <w:rPr>
          <w:spacing w:val="-29"/>
          <w:sz w:val="22"/>
        </w:rPr>
        <w:t> </w:t>
      </w:r>
      <w:r>
        <w:rPr>
          <w:sz w:val="22"/>
        </w:rPr>
        <w:t>and</w:t>
      </w:r>
      <w:r>
        <w:rPr>
          <w:spacing w:val="-30"/>
          <w:sz w:val="22"/>
        </w:rPr>
        <w:t> </w:t>
      </w:r>
      <w:r>
        <w:rPr>
          <w:sz w:val="22"/>
        </w:rPr>
        <w:t>lease</w:t>
      </w:r>
      <w:r>
        <w:rPr>
          <w:spacing w:val="-30"/>
          <w:sz w:val="22"/>
        </w:rPr>
        <w:t> </w:t>
      </w:r>
      <w:r>
        <w:rPr>
          <w:sz w:val="22"/>
        </w:rPr>
        <w:t>end</w:t>
      </w:r>
      <w:r>
        <w:rPr>
          <w:spacing w:val="-29"/>
          <w:sz w:val="22"/>
        </w:rPr>
        <w:t> </w:t>
      </w:r>
      <w:r>
        <w:rPr>
          <w:sz w:val="22"/>
        </w:rPr>
        <w:t>date,</w:t>
      </w:r>
      <w:r>
        <w:rPr>
          <w:spacing w:val="-30"/>
          <w:sz w:val="22"/>
        </w:rPr>
        <w:t> </w:t>
      </w:r>
      <w:r>
        <w:rPr>
          <w:sz w:val="22"/>
        </w:rPr>
        <w:t>lock</w:t>
      </w:r>
      <w:r>
        <w:rPr>
          <w:spacing w:val="-27"/>
          <w:sz w:val="22"/>
        </w:rPr>
        <w:t> </w:t>
      </w:r>
      <w:r>
        <w:rPr>
          <w:w w:val="105"/>
          <w:sz w:val="22"/>
        </w:rPr>
        <w:t>–</w:t>
      </w:r>
      <w:r>
        <w:rPr>
          <w:spacing w:val="-33"/>
          <w:w w:val="105"/>
          <w:sz w:val="22"/>
        </w:rPr>
        <w:t> </w:t>
      </w:r>
      <w:r>
        <w:rPr>
          <w:sz w:val="22"/>
        </w:rPr>
        <w:t>in</w:t>
      </w:r>
      <w:r>
        <w:rPr>
          <w:spacing w:val="-30"/>
          <w:sz w:val="22"/>
        </w:rPr>
        <w:t> </w:t>
      </w:r>
      <w:r>
        <w:rPr>
          <w:sz w:val="22"/>
        </w:rPr>
        <w:t>period, escalation</w:t>
      </w:r>
      <w:r>
        <w:rPr>
          <w:spacing w:val="-43"/>
          <w:sz w:val="22"/>
        </w:rPr>
        <w:t> </w:t>
      </w:r>
      <w:r>
        <w:rPr>
          <w:sz w:val="22"/>
        </w:rPr>
        <w:t>terms,</w:t>
      </w:r>
      <w:r>
        <w:rPr>
          <w:spacing w:val="-43"/>
          <w:sz w:val="22"/>
        </w:rPr>
        <w:t> </w:t>
      </w:r>
      <w:r>
        <w:rPr>
          <w:sz w:val="22"/>
        </w:rPr>
        <w:t>etc.</w:t>
      </w:r>
      <w:r>
        <w:rPr>
          <w:spacing w:val="-43"/>
          <w:sz w:val="22"/>
        </w:rPr>
        <w:t> </w:t>
      </w:r>
      <w:r>
        <w:rPr>
          <w:sz w:val="22"/>
        </w:rPr>
        <w:t>pertaining</w:t>
      </w:r>
      <w:r>
        <w:rPr>
          <w:spacing w:val="-42"/>
          <w:sz w:val="22"/>
        </w:rPr>
        <w:t> </w:t>
      </w:r>
      <w:r>
        <w:rPr>
          <w:sz w:val="22"/>
        </w:rPr>
        <w:t>to</w:t>
      </w:r>
      <w:r>
        <w:rPr>
          <w:spacing w:val="-43"/>
          <w:sz w:val="22"/>
        </w:rPr>
        <w:t> </w:t>
      </w:r>
      <w:r>
        <w:rPr>
          <w:sz w:val="22"/>
        </w:rPr>
        <w:t>the</w:t>
      </w:r>
      <w:r>
        <w:rPr>
          <w:spacing w:val="-43"/>
          <w:sz w:val="22"/>
        </w:rPr>
        <w:t> </w:t>
      </w:r>
      <w:r>
        <w:rPr>
          <w:sz w:val="22"/>
        </w:rPr>
        <w:t>subject</w:t>
      </w:r>
      <w:r>
        <w:rPr>
          <w:spacing w:val="-42"/>
          <w:sz w:val="22"/>
        </w:rPr>
        <w:t> </w:t>
      </w:r>
      <w:r>
        <w:rPr>
          <w:sz w:val="22"/>
        </w:rPr>
        <w:t>properties</w:t>
      </w:r>
      <w:r>
        <w:rPr>
          <w:spacing w:val="-43"/>
          <w:sz w:val="22"/>
        </w:rPr>
        <w:t> </w:t>
      </w:r>
      <w:r>
        <w:rPr>
          <w:sz w:val="22"/>
        </w:rPr>
        <w:t>is</w:t>
      </w:r>
      <w:r>
        <w:rPr>
          <w:spacing w:val="-43"/>
          <w:sz w:val="22"/>
        </w:rPr>
        <w:t> </w:t>
      </w:r>
      <w:r>
        <w:rPr>
          <w:sz w:val="22"/>
        </w:rPr>
        <w:t>based</w:t>
      </w:r>
      <w:r>
        <w:rPr>
          <w:spacing w:val="-42"/>
          <w:sz w:val="22"/>
        </w:rPr>
        <w:t> </w:t>
      </w:r>
      <w:r>
        <w:rPr>
          <w:sz w:val="22"/>
        </w:rPr>
        <w:t>on</w:t>
      </w:r>
      <w:r>
        <w:rPr>
          <w:spacing w:val="-43"/>
          <w:sz w:val="22"/>
        </w:rPr>
        <w:t> </w:t>
      </w:r>
      <w:r>
        <w:rPr>
          <w:sz w:val="22"/>
        </w:rPr>
        <w:t>the</w:t>
      </w:r>
      <w:r>
        <w:rPr>
          <w:spacing w:val="-43"/>
          <w:sz w:val="22"/>
        </w:rPr>
        <w:t> </w:t>
      </w:r>
      <w:r>
        <w:rPr>
          <w:sz w:val="22"/>
        </w:rPr>
        <w:t>appropriate relevant</w:t>
      </w:r>
      <w:r>
        <w:rPr>
          <w:spacing w:val="-11"/>
          <w:sz w:val="22"/>
        </w:rPr>
        <w:t> </w:t>
      </w:r>
      <w:r>
        <w:rPr>
          <w:sz w:val="22"/>
        </w:rPr>
        <w:t>documents</w:t>
      </w:r>
      <w:r>
        <w:rPr>
          <w:spacing w:val="-10"/>
          <w:sz w:val="22"/>
        </w:rPr>
        <w:t> </w:t>
      </w:r>
      <w:r>
        <w:rPr>
          <w:sz w:val="22"/>
        </w:rPr>
        <w:t>provided</w:t>
      </w:r>
      <w:r>
        <w:rPr>
          <w:spacing w:val="-12"/>
          <w:sz w:val="22"/>
        </w:rPr>
        <w:t> </w:t>
      </w:r>
      <w:r>
        <w:rPr>
          <w:sz w:val="22"/>
        </w:rPr>
        <w:t>by</w:t>
      </w:r>
      <w:r>
        <w:rPr>
          <w:spacing w:val="-11"/>
          <w:sz w:val="22"/>
        </w:rPr>
        <w:t> </w:t>
      </w:r>
      <w:r>
        <w:rPr>
          <w:sz w:val="22"/>
        </w:rPr>
        <w:t>the</w:t>
      </w:r>
      <w:r>
        <w:rPr>
          <w:spacing w:val="-12"/>
          <w:sz w:val="22"/>
        </w:rPr>
        <w:t> </w:t>
      </w:r>
      <w:r>
        <w:rPr>
          <w:sz w:val="22"/>
        </w:rPr>
        <w:t>Client</w:t>
      </w:r>
      <w:r>
        <w:rPr>
          <w:spacing w:val="-10"/>
          <w:sz w:val="22"/>
        </w:rPr>
        <w:t> </w:t>
      </w:r>
      <w:r>
        <w:rPr>
          <w:sz w:val="22"/>
        </w:rPr>
        <w:t>and</w:t>
      </w:r>
      <w:r>
        <w:rPr>
          <w:spacing w:val="-11"/>
          <w:sz w:val="22"/>
        </w:rPr>
        <w:t> </w:t>
      </w:r>
      <w:r>
        <w:rPr>
          <w:sz w:val="22"/>
        </w:rPr>
        <w:t>the</w:t>
      </w:r>
      <w:r>
        <w:rPr>
          <w:spacing w:val="-11"/>
          <w:sz w:val="22"/>
        </w:rPr>
        <w:t> </w:t>
      </w:r>
      <w:r>
        <w:rPr>
          <w:sz w:val="22"/>
        </w:rPr>
        <w:t>same</w:t>
      </w:r>
      <w:r>
        <w:rPr>
          <w:spacing w:val="-11"/>
          <w:sz w:val="22"/>
        </w:rPr>
        <w:t> </w:t>
      </w:r>
      <w:r>
        <w:rPr>
          <w:sz w:val="22"/>
        </w:rPr>
        <w:t>has</w:t>
      </w:r>
      <w:r>
        <w:rPr>
          <w:spacing w:val="-12"/>
          <w:sz w:val="22"/>
        </w:rPr>
        <w:t> </w:t>
      </w:r>
      <w:r>
        <w:rPr>
          <w:sz w:val="22"/>
        </w:rPr>
        <w:t>been</w:t>
      </w:r>
      <w:r>
        <w:rPr>
          <w:spacing w:val="-11"/>
          <w:sz w:val="22"/>
        </w:rPr>
        <w:t> </w:t>
      </w:r>
      <w:r>
        <w:rPr>
          <w:sz w:val="22"/>
        </w:rPr>
        <w:t>adopted</w:t>
      </w:r>
      <w:r>
        <w:rPr>
          <w:spacing w:val="-11"/>
          <w:sz w:val="22"/>
        </w:rPr>
        <w:t> </w:t>
      </w:r>
      <w:r>
        <w:rPr>
          <w:sz w:val="22"/>
        </w:rPr>
        <w:t>for</w:t>
      </w:r>
      <w:r>
        <w:rPr>
          <w:spacing w:val="-11"/>
          <w:sz w:val="22"/>
        </w:rPr>
        <w:t> </w:t>
      </w:r>
      <w:r>
        <w:rPr>
          <w:sz w:val="22"/>
        </w:rPr>
        <w:t>the purpose</w:t>
      </w:r>
      <w:r>
        <w:rPr>
          <w:spacing w:val="-12"/>
          <w:sz w:val="22"/>
        </w:rPr>
        <w:t> </w:t>
      </w:r>
      <w:r>
        <w:rPr>
          <w:sz w:val="22"/>
        </w:rPr>
        <w:t>of</w:t>
      </w:r>
      <w:r>
        <w:rPr>
          <w:spacing w:val="-11"/>
          <w:sz w:val="22"/>
        </w:rPr>
        <w:t> </w:t>
      </w:r>
      <w:r>
        <w:rPr>
          <w:sz w:val="22"/>
        </w:rPr>
        <w:t>this</w:t>
      </w:r>
      <w:r>
        <w:rPr>
          <w:spacing w:val="-11"/>
          <w:sz w:val="22"/>
        </w:rPr>
        <w:t> </w:t>
      </w:r>
      <w:r>
        <w:rPr>
          <w:sz w:val="22"/>
        </w:rPr>
        <w:t>valuation</w:t>
      </w:r>
      <w:r>
        <w:rPr>
          <w:spacing w:val="-12"/>
          <w:sz w:val="22"/>
        </w:rPr>
        <w:t> </w:t>
      </w:r>
      <w:r>
        <w:rPr>
          <w:sz w:val="22"/>
        </w:rPr>
        <w:t>exercise.</w:t>
      </w:r>
      <w:r>
        <w:rPr>
          <w:spacing w:val="-11"/>
          <w:sz w:val="22"/>
        </w:rPr>
        <w:t> </w:t>
      </w:r>
      <w:r>
        <w:rPr>
          <w:sz w:val="22"/>
        </w:rPr>
        <w:t>While</w:t>
      </w:r>
      <w:r>
        <w:rPr>
          <w:spacing w:val="-13"/>
          <w:sz w:val="22"/>
        </w:rPr>
        <w:t> </w:t>
      </w:r>
      <w:r>
        <w:rPr>
          <w:sz w:val="22"/>
        </w:rPr>
        <w:t>we</w:t>
      </w:r>
      <w:r>
        <w:rPr>
          <w:spacing w:val="-12"/>
          <w:sz w:val="22"/>
        </w:rPr>
        <w:t> </w:t>
      </w:r>
      <w:r>
        <w:rPr>
          <w:sz w:val="22"/>
        </w:rPr>
        <w:t>have</w:t>
      </w:r>
      <w:r>
        <w:rPr>
          <w:spacing w:val="-11"/>
          <w:sz w:val="22"/>
        </w:rPr>
        <w:t> </w:t>
      </w:r>
      <w:r>
        <w:rPr>
          <w:sz w:val="22"/>
        </w:rPr>
        <w:t>reviewed</w:t>
      </w:r>
      <w:r>
        <w:rPr>
          <w:spacing w:val="-11"/>
          <w:sz w:val="22"/>
        </w:rPr>
        <w:t> </w:t>
      </w:r>
      <w:r>
        <w:rPr>
          <w:sz w:val="22"/>
        </w:rPr>
        <w:t>a</w:t>
      </w:r>
      <w:r>
        <w:rPr>
          <w:spacing w:val="-12"/>
          <w:sz w:val="22"/>
        </w:rPr>
        <w:t> </w:t>
      </w:r>
      <w:r>
        <w:rPr>
          <w:sz w:val="22"/>
        </w:rPr>
        <w:t>few</w:t>
      </w:r>
      <w:r>
        <w:rPr>
          <w:spacing w:val="-12"/>
          <w:sz w:val="22"/>
        </w:rPr>
        <w:t> </w:t>
      </w:r>
      <w:r>
        <w:rPr>
          <w:sz w:val="22"/>
        </w:rPr>
        <w:t>lease</w:t>
      </w:r>
      <w:r>
        <w:rPr>
          <w:spacing w:val="-12"/>
          <w:sz w:val="22"/>
        </w:rPr>
        <w:t> </w:t>
      </w:r>
      <w:r>
        <w:rPr>
          <w:sz w:val="22"/>
        </w:rPr>
        <w:t>deeds</w:t>
      </w:r>
      <w:r>
        <w:rPr>
          <w:spacing w:val="-10"/>
          <w:sz w:val="22"/>
        </w:rPr>
        <w:t> </w:t>
      </w:r>
      <w:r>
        <w:rPr>
          <w:sz w:val="22"/>
        </w:rPr>
        <w:t>on</w:t>
      </w:r>
      <w:r>
        <w:rPr>
          <w:spacing w:val="-14"/>
          <w:sz w:val="22"/>
        </w:rPr>
        <w:t> </w:t>
      </w:r>
      <w:r>
        <w:rPr>
          <w:sz w:val="22"/>
        </w:rPr>
        <w:t>a sample</w:t>
      </w:r>
      <w:r>
        <w:rPr>
          <w:spacing w:val="-25"/>
          <w:sz w:val="22"/>
        </w:rPr>
        <w:t> </w:t>
      </w:r>
      <w:r>
        <w:rPr>
          <w:sz w:val="22"/>
        </w:rPr>
        <w:t>basis,</w:t>
      </w:r>
      <w:r>
        <w:rPr>
          <w:spacing w:val="-25"/>
          <w:sz w:val="22"/>
        </w:rPr>
        <w:t> </w:t>
      </w:r>
      <w:r>
        <w:rPr>
          <w:sz w:val="22"/>
        </w:rPr>
        <w:t>the</w:t>
      </w:r>
      <w:r>
        <w:rPr>
          <w:spacing w:val="-23"/>
          <w:sz w:val="22"/>
        </w:rPr>
        <w:t> </w:t>
      </w:r>
      <w:r>
        <w:rPr>
          <w:sz w:val="22"/>
        </w:rPr>
        <w:t>Consultants</w:t>
      </w:r>
      <w:r>
        <w:rPr>
          <w:spacing w:val="-22"/>
          <w:sz w:val="22"/>
        </w:rPr>
        <w:t> </w:t>
      </w:r>
      <w:r>
        <w:rPr>
          <w:sz w:val="22"/>
        </w:rPr>
        <w:t>do</w:t>
      </w:r>
      <w:r>
        <w:rPr>
          <w:spacing w:val="-23"/>
          <w:sz w:val="22"/>
        </w:rPr>
        <w:t> </w:t>
      </w:r>
      <w:r>
        <w:rPr>
          <w:sz w:val="22"/>
        </w:rPr>
        <w:t>not</w:t>
      </w:r>
      <w:r>
        <w:rPr>
          <w:spacing w:val="-23"/>
          <w:sz w:val="22"/>
        </w:rPr>
        <w:t> </w:t>
      </w:r>
      <w:r>
        <w:rPr>
          <w:sz w:val="22"/>
        </w:rPr>
        <w:t>take</w:t>
      </w:r>
      <w:r>
        <w:rPr>
          <w:spacing w:val="-23"/>
          <w:sz w:val="22"/>
        </w:rPr>
        <w:t> </w:t>
      </w:r>
      <w:r>
        <w:rPr>
          <w:sz w:val="22"/>
        </w:rPr>
        <w:t>any</w:t>
      </w:r>
      <w:r>
        <w:rPr>
          <w:spacing w:val="-23"/>
          <w:sz w:val="22"/>
        </w:rPr>
        <w:t> </w:t>
      </w:r>
      <w:r>
        <w:rPr>
          <w:sz w:val="22"/>
        </w:rPr>
        <w:t>responsibility</w:t>
      </w:r>
      <w:r>
        <w:rPr>
          <w:spacing w:val="-22"/>
          <w:sz w:val="22"/>
        </w:rPr>
        <w:t> </w:t>
      </w:r>
      <w:r>
        <w:rPr>
          <w:sz w:val="22"/>
        </w:rPr>
        <w:t>towards</w:t>
      </w:r>
      <w:r>
        <w:rPr>
          <w:spacing w:val="-22"/>
          <w:sz w:val="22"/>
        </w:rPr>
        <w:t> </w:t>
      </w:r>
      <w:r>
        <w:rPr>
          <w:sz w:val="22"/>
        </w:rPr>
        <w:t>authenticity</w:t>
      </w:r>
      <w:r>
        <w:rPr>
          <w:spacing w:val="-22"/>
          <w:sz w:val="22"/>
        </w:rPr>
        <w:t> </w:t>
      </w:r>
      <w:r>
        <w:rPr>
          <w:sz w:val="22"/>
        </w:rPr>
        <w:t>of the</w:t>
      </w:r>
      <w:r>
        <w:rPr>
          <w:spacing w:val="-20"/>
          <w:sz w:val="22"/>
        </w:rPr>
        <w:t> </w:t>
      </w:r>
      <w:r>
        <w:rPr>
          <w:sz w:val="22"/>
        </w:rPr>
        <w:t>rent</w:t>
      </w:r>
      <w:r>
        <w:rPr>
          <w:spacing w:val="-19"/>
          <w:sz w:val="22"/>
        </w:rPr>
        <w:t> </w:t>
      </w:r>
      <w:r>
        <w:rPr>
          <w:sz w:val="22"/>
        </w:rPr>
        <w:t>rolls</w:t>
      </w:r>
      <w:r>
        <w:rPr>
          <w:spacing w:val="-18"/>
          <w:sz w:val="22"/>
        </w:rPr>
        <w:t> </w:t>
      </w:r>
      <w:r>
        <w:rPr>
          <w:sz w:val="22"/>
        </w:rPr>
        <w:t>provided</w:t>
      </w:r>
      <w:r>
        <w:rPr>
          <w:spacing w:val="-19"/>
          <w:sz w:val="22"/>
        </w:rPr>
        <w:t> </w:t>
      </w:r>
      <w:r>
        <w:rPr>
          <w:sz w:val="22"/>
        </w:rPr>
        <w:t>by</w:t>
      </w:r>
      <w:r>
        <w:rPr>
          <w:spacing w:val="-20"/>
          <w:sz w:val="22"/>
        </w:rPr>
        <w:t> </w:t>
      </w:r>
      <w:r>
        <w:rPr>
          <w:sz w:val="22"/>
        </w:rPr>
        <w:t>the</w:t>
      </w:r>
      <w:r>
        <w:rPr>
          <w:spacing w:val="-19"/>
          <w:sz w:val="22"/>
        </w:rPr>
        <w:t> </w:t>
      </w:r>
      <w:r>
        <w:rPr>
          <w:sz w:val="22"/>
        </w:rPr>
        <w:t>Client.</w:t>
      </w:r>
      <w:r>
        <w:rPr>
          <w:spacing w:val="-20"/>
          <w:sz w:val="22"/>
        </w:rPr>
        <w:t> </w:t>
      </w:r>
      <w:r>
        <w:rPr>
          <w:sz w:val="22"/>
        </w:rPr>
        <w:t>Any</w:t>
      </w:r>
      <w:r>
        <w:rPr>
          <w:spacing w:val="-18"/>
          <w:sz w:val="22"/>
        </w:rPr>
        <w:t> </w:t>
      </w:r>
      <w:r>
        <w:rPr>
          <w:sz w:val="22"/>
        </w:rPr>
        <w:t>change</w:t>
      </w:r>
      <w:r>
        <w:rPr>
          <w:spacing w:val="-19"/>
          <w:sz w:val="22"/>
        </w:rPr>
        <w:t> </w:t>
      </w:r>
      <w:r>
        <w:rPr>
          <w:sz w:val="22"/>
        </w:rPr>
        <w:t>in</w:t>
      </w:r>
      <w:r>
        <w:rPr>
          <w:spacing w:val="-20"/>
          <w:sz w:val="22"/>
        </w:rPr>
        <w:t> </w:t>
      </w:r>
      <w:r>
        <w:rPr>
          <w:sz w:val="22"/>
        </w:rPr>
        <w:t>the</w:t>
      </w:r>
      <w:r>
        <w:rPr>
          <w:spacing w:val="-19"/>
          <w:sz w:val="22"/>
        </w:rPr>
        <w:t> </w:t>
      </w:r>
      <w:r>
        <w:rPr>
          <w:sz w:val="22"/>
        </w:rPr>
        <w:t>above</w:t>
      </w:r>
      <w:r>
        <w:rPr>
          <w:spacing w:val="-20"/>
          <w:sz w:val="22"/>
        </w:rPr>
        <w:t> </w:t>
      </w:r>
      <w:r>
        <w:rPr>
          <w:sz w:val="22"/>
        </w:rPr>
        <w:t>information</w:t>
      </w:r>
      <w:r>
        <w:rPr>
          <w:spacing w:val="-17"/>
          <w:sz w:val="22"/>
        </w:rPr>
        <w:t> </w:t>
      </w:r>
      <w:r>
        <w:rPr>
          <w:sz w:val="22"/>
        </w:rPr>
        <w:t>will</w:t>
      </w:r>
      <w:r>
        <w:rPr>
          <w:spacing w:val="-20"/>
          <w:sz w:val="22"/>
        </w:rPr>
        <w:t> </w:t>
      </w:r>
      <w:r>
        <w:rPr>
          <w:sz w:val="22"/>
        </w:rPr>
        <w:t>have an</w:t>
      </w:r>
      <w:r>
        <w:rPr>
          <w:spacing w:val="-27"/>
          <w:sz w:val="22"/>
        </w:rPr>
        <w:t> </w:t>
      </w:r>
      <w:r>
        <w:rPr>
          <w:sz w:val="22"/>
        </w:rPr>
        <w:t>impact</w:t>
      </w:r>
      <w:r>
        <w:rPr>
          <w:spacing w:val="-25"/>
          <w:sz w:val="22"/>
        </w:rPr>
        <w:t> </w:t>
      </w:r>
      <w:r>
        <w:rPr>
          <w:sz w:val="22"/>
        </w:rPr>
        <w:t>on</w:t>
      </w:r>
      <w:r>
        <w:rPr>
          <w:spacing w:val="-28"/>
          <w:sz w:val="22"/>
        </w:rPr>
        <w:t> </w:t>
      </w:r>
      <w:r>
        <w:rPr>
          <w:sz w:val="22"/>
        </w:rPr>
        <w:t>the</w:t>
      </w:r>
      <w:r>
        <w:rPr>
          <w:spacing w:val="-27"/>
          <w:sz w:val="22"/>
        </w:rPr>
        <w:t> </w:t>
      </w:r>
      <w:r>
        <w:rPr>
          <w:sz w:val="22"/>
        </w:rPr>
        <w:t>assessed</w:t>
      </w:r>
      <w:r>
        <w:rPr>
          <w:spacing w:val="-25"/>
          <w:sz w:val="22"/>
        </w:rPr>
        <w:t> </w:t>
      </w:r>
      <w:r>
        <w:rPr>
          <w:sz w:val="22"/>
        </w:rPr>
        <w:t>value</w:t>
      </w:r>
      <w:r>
        <w:rPr>
          <w:spacing w:val="-26"/>
          <w:sz w:val="22"/>
        </w:rPr>
        <w:t> </w:t>
      </w:r>
      <w:r>
        <w:rPr>
          <w:sz w:val="22"/>
        </w:rPr>
        <w:t>and</w:t>
      </w:r>
      <w:r>
        <w:rPr>
          <w:spacing w:val="-28"/>
          <w:sz w:val="22"/>
        </w:rPr>
        <w:t> </w:t>
      </w:r>
      <w:r>
        <w:rPr>
          <w:sz w:val="22"/>
        </w:rPr>
        <w:t>in</w:t>
      </w:r>
      <w:r>
        <w:rPr>
          <w:spacing w:val="-27"/>
          <w:sz w:val="22"/>
        </w:rPr>
        <w:t> </w:t>
      </w:r>
      <w:r>
        <w:rPr>
          <w:sz w:val="22"/>
        </w:rPr>
        <w:t>that</w:t>
      </w:r>
      <w:r>
        <w:rPr>
          <w:spacing w:val="-25"/>
          <w:sz w:val="22"/>
        </w:rPr>
        <w:t> </w:t>
      </w:r>
      <w:r>
        <w:rPr>
          <w:sz w:val="22"/>
        </w:rPr>
        <w:t>case</w:t>
      </w:r>
      <w:r>
        <w:rPr>
          <w:spacing w:val="-26"/>
          <w:sz w:val="22"/>
        </w:rPr>
        <w:t> </w:t>
      </w:r>
      <w:r>
        <w:rPr>
          <w:sz w:val="22"/>
        </w:rPr>
        <w:t>the</w:t>
      </w:r>
      <w:r>
        <w:rPr>
          <w:spacing w:val="-27"/>
          <w:sz w:val="22"/>
        </w:rPr>
        <w:t> </w:t>
      </w:r>
      <w:r>
        <w:rPr>
          <w:sz w:val="22"/>
        </w:rPr>
        <w:t>Valuer</w:t>
      </w:r>
      <w:r>
        <w:rPr>
          <w:spacing w:val="-26"/>
          <w:sz w:val="22"/>
        </w:rPr>
        <w:t> </w:t>
      </w:r>
      <w:r>
        <w:rPr>
          <w:sz w:val="22"/>
        </w:rPr>
        <w:t>will</w:t>
      </w:r>
      <w:r>
        <w:rPr>
          <w:spacing w:val="-26"/>
          <w:sz w:val="22"/>
        </w:rPr>
        <w:t> </w:t>
      </w:r>
      <w:r>
        <w:rPr>
          <w:sz w:val="22"/>
        </w:rPr>
        <w:t>have</w:t>
      </w:r>
      <w:r>
        <w:rPr>
          <w:spacing w:val="-26"/>
          <w:sz w:val="22"/>
        </w:rPr>
        <w:t> </w:t>
      </w:r>
      <w:r>
        <w:rPr>
          <w:sz w:val="22"/>
        </w:rPr>
        <w:t>to</w:t>
      </w:r>
      <w:r>
        <w:rPr>
          <w:spacing w:val="-27"/>
          <w:sz w:val="22"/>
        </w:rPr>
        <w:t> </w:t>
      </w:r>
      <w:r>
        <w:rPr>
          <w:sz w:val="22"/>
        </w:rPr>
        <w:t>relook</w:t>
      </w:r>
      <w:r>
        <w:rPr>
          <w:spacing w:val="-26"/>
          <w:sz w:val="22"/>
        </w:rPr>
        <w:t> </w:t>
      </w:r>
      <w:r>
        <w:rPr>
          <w:sz w:val="22"/>
        </w:rPr>
        <w:t>at</w:t>
      </w:r>
      <w:r>
        <w:rPr>
          <w:spacing w:val="-26"/>
          <w:sz w:val="22"/>
        </w:rPr>
        <w:t> </w:t>
      </w:r>
      <w:r>
        <w:rPr>
          <w:sz w:val="22"/>
        </w:rPr>
        <w:t>the assessed</w:t>
      </w:r>
      <w:r>
        <w:rPr>
          <w:spacing w:val="-19"/>
          <w:sz w:val="22"/>
        </w:rPr>
        <w:t> </w:t>
      </w:r>
      <w:r>
        <w:rPr>
          <w:sz w:val="22"/>
        </w:rPr>
        <w:t>value.</w:t>
      </w:r>
      <w:r>
        <w:rPr>
          <w:spacing w:val="-18"/>
          <w:sz w:val="22"/>
        </w:rPr>
        <w:t> </w:t>
      </w:r>
      <w:r>
        <w:rPr>
          <w:sz w:val="22"/>
        </w:rPr>
        <w:t>The</w:t>
      </w:r>
      <w:r>
        <w:rPr>
          <w:spacing w:val="-20"/>
          <w:sz w:val="22"/>
        </w:rPr>
        <w:t> </w:t>
      </w:r>
      <w:r>
        <w:rPr>
          <w:sz w:val="22"/>
        </w:rPr>
        <w:t>relevant</w:t>
      </w:r>
      <w:r>
        <w:rPr>
          <w:spacing w:val="-19"/>
          <w:sz w:val="22"/>
        </w:rPr>
        <w:t> </w:t>
      </w:r>
      <w:r>
        <w:rPr>
          <w:sz w:val="22"/>
        </w:rPr>
        <w:t>information</w:t>
      </w:r>
      <w:r>
        <w:rPr>
          <w:spacing w:val="-21"/>
          <w:sz w:val="22"/>
        </w:rPr>
        <w:t> </w:t>
      </w:r>
      <w:r>
        <w:rPr>
          <w:sz w:val="22"/>
        </w:rPr>
        <w:t>sources</w:t>
      </w:r>
      <w:r>
        <w:rPr>
          <w:spacing w:val="-18"/>
          <w:sz w:val="22"/>
        </w:rPr>
        <w:t> </w:t>
      </w:r>
      <w:r>
        <w:rPr>
          <w:sz w:val="22"/>
        </w:rPr>
        <w:t>are</w:t>
      </w:r>
      <w:r>
        <w:rPr>
          <w:spacing w:val="-20"/>
          <w:sz w:val="22"/>
        </w:rPr>
        <w:t> </w:t>
      </w:r>
      <w:r>
        <w:rPr>
          <w:sz w:val="22"/>
        </w:rPr>
        <w:t>represented</w:t>
      </w:r>
      <w:r>
        <w:rPr>
          <w:spacing w:val="-18"/>
          <w:sz w:val="22"/>
        </w:rPr>
        <w:t> </w:t>
      </w:r>
      <w:r>
        <w:rPr>
          <w:sz w:val="22"/>
        </w:rPr>
        <w:t>in</w:t>
      </w:r>
      <w:r>
        <w:rPr>
          <w:spacing w:val="-20"/>
          <w:sz w:val="22"/>
        </w:rPr>
        <w:t> </w:t>
      </w:r>
      <w:r>
        <w:rPr>
          <w:sz w:val="22"/>
        </w:rPr>
        <w:t>section</w:t>
      </w:r>
      <w:r>
        <w:rPr>
          <w:spacing w:val="-22"/>
          <w:sz w:val="22"/>
        </w:rPr>
        <w:t> </w:t>
      </w:r>
      <w:hyperlink w:history="true" w:anchor="_bookmark19">
        <w:r>
          <w:rPr>
            <w:sz w:val="22"/>
          </w:rPr>
          <w:t>2.5</w:t>
        </w:r>
      </w:hyperlink>
    </w:p>
    <w:p>
      <w:pPr>
        <w:pStyle w:val="ListParagraph"/>
        <w:numPr>
          <w:ilvl w:val="2"/>
          <w:numId w:val="3"/>
        </w:numPr>
        <w:tabs>
          <w:tab w:pos="856" w:val="left" w:leader="none"/>
        </w:tabs>
        <w:spacing w:line="240" w:lineRule="auto" w:before="126" w:after="0"/>
        <w:ind w:left="856" w:right="0" w:hanging="361"/>
        <w:jc w:val="both"/>
        <w:rPr>
          <w:sz w:val="22"/>
        </w:rPr>
      </w:pPr>
      <w:r>
        <w:rPr>
          <w:sz w:val="22"/>
        </w:rPr>
        <w:t>All</w:t>
      </w:r>
      <w:r>
        <w:rPr>
          <w:spacing w:val="-8"/>
          <w:sz w:val="22"/>
        </w:rPr>
        <w:t> </w:t>
      </w:r>
      <w:r>
        <w:rPr>
          <w:sz w:val="22"/>
        </w:rPr>
        <w:t>measurements,</w:t>
      </w:r>
      <w:r>
        <w:rPr>
          <w:spacing w:val="-6"/>
          <w:sz w:val="22"/>
        </w:rPr>
        <w:t> </w:t>
      </w:r>
      <w:r>
        <w:rPr>
          <w:sz w:val="22"/>
        </w:rPr>
        <w:t>areas</w:t>
      </w:r>
      <w:r>
        <w:rPr>
          <w:spacing w:val="-8"/>
          <w:sz w:val="22"/>
        </w:rPr>
        <w:t> </w:t>
      </w:r>
      <w:r>
        <w:rPr>
          <w:sz w:val="22"/>
        </w:rPr>
        <w:t>and</w:t>
      </w:r>
      <w:r>
        <w:rPr>
          <w:spacing w:val="-6"/>
          <w:sz w:val="22"/>
        </w:rPr>
        <w:t> </w:t>
      </w:r>
      <w:r>
        <w:rPr>
          <w:sz w:val="22"/>
        </w:rPr>
        <w:t>ages</w:t>
      </w:r>
      <w:r>
        <w:rPr>
          <w:spacing w:val="-7"/>
          <w:sz w:val="22"/>
        </w:rPr>
        <w:t> </w:t>
      </w:r>
      <w:r>
        <w:rPr>
          <w:sz w:val="22"/>
        </w:rPr>
        <w:t>quoted</w:t>
      </w:r>
      <w:r>
        <w:rPr>
          <w:spacing w:val="-7"/>
          <w:sz w:val="22"/>
        </w:rPr>
        <w:t> </w:t>
      </w:r>
      <w:r>
        <w:rPr>
          <w:sz w:val="22"/>
        </w:rPr>
        <w:t>in</w:t>
      </w:r>
      <w:r>
        <w:rPr>
          <w:spacing w:val="-7"/>
          <w:sz w:val="22"/>
        </w:rPr>
        <w:t> </w:t>
      </w:r>
      <w:r>
        <w:rPr>
          <w:sz w:val="22"/>
        </w:rPr>
        <w:t>our</w:t>
      </w:r>
      <w:r>
        <w:rPr>
          <w:spacing w:val="-7"/>
          <w:sz w:val="22"/>
        </w:rPr>
        <w:t> </w:t>
      </w:r>
      <w:r>
        <w:rPr>
          <w:sz w:val="22"/>
        </w:rPr>
        <w:t>report</w:t>
      </w:r>
      <w:r>
        <w:rPr>
          <w:spacing w:val="-6"/>
          <w:sz w:val="22"/>
        </w:rPr>
        <w:t> </w:t>
      </w:r>
      <w:r>
        <w:rPr>
          <w:sz w:val="22"/>
        </w:rPr>
        <w:t>are</w:t>
      </w:r>
      <w:r>
        <w:rPr>
          <w:spacing w:val="-7"/>
          <w:sz w:val="22"/>
        </w:rPr>
        <w:t> </w:t>
      </w:r>
      <w:r>
        <w:rPr>
          <w:sz w:val="22"/>
        </w:rPr>
        <w:t>approximate</w:t>
      </w:r>
    </w:p>
    <w:p>
      <w:pPr>
        <w:pStyle w:val="ListParagraph"/>
        <w:numPr>
          <w:ilvl w:val="2"/>
          <w:numId w:val="3"/>
        </w:numPr>
        <w:tabs>
          <w:tab w:pos="856" w:val="left" w:leader="none"/>
        </w:tabs>
        <w:spacing w:line="321" w:lineRule="auto" w:before="208" w:after="0"/>
        <w:ind w:left="856" w:right="612" w:hanging="360"/>
        <w:jc w:val="both"/>
        <w:rPr>
          <w:sz w:val="22"/>
        </w:rPr>
      </w:pPr>
      <w:r>
        <w:rPr>
          <w:sz w:val="22"/>
        </w:rPr>
        <w:t>We are not advisors with respect to legal tax and regulatory matters for the transaction.</w:t>
      </w:r>
      <w:r>
        <w:rPr>
          <w:spacing w:val="-50"/>
          <w:sz w:val="22"/>
        </w:rPr>
        <w:t> </w:t>
      </w:r>
      <w:r>
        <w:rPr>
          <w:sz w:val="22"/>
        </w:rPr>
        <w:t>No</w:t>
      </w:r>
      <w:r>
        <w:rPr>
          <w:spacing w:val="-50"/>
          <w:sz w:val="22"/>
        </w:rPr>
        <w:t> </w:t>
      </w:r>
      <w:r>
        <w:rPr>
          <w:sz w:val="22"/>
        </w:rPr>
        <w:t>investigation</w:t>
      </w:r>
      <w:r>
        <w:rPr>
          <w:spacing w:val="-49"/>
          <w:sz w:val="22"/>
        </w:rPr>
        <w:t> </w:t>
      </w:r>
      <w:r>
        <w:rPr>
          <w:sz w:val="22"/>
        </w:rPr>
        <w:t>of</w:t>
      </w:r>
      <w:r>
        <w:rPr>
          <w:spacing w:val="-49"/>
          <w:sz w:val="22"/>
        </w:rPr>
        <w:t> </w:t>
      </w:r>
      <w:r>
        <w:rPr>
          <w:sz w:val="22"/>
        </w:rPr>
        <w:t>the</w:t>
      </w:r>
      <w:r>
        <w:rPr>
          <w:spacing w:val="-49"/>
          <w:sz w:val="22"/>
        </w:rPr>
        <w:t> </w:t>
      </w:r>
      <w:r>
        <w:rPr>
          <w:sz w:val="22"/>
        </w:rPr>
        <w:t>respective</w:t>
      </w:r>
      <w:r>
        <w:rPr>
          <w:spacing w:val="-50"/>
          <w:sz w:val="22"/>
        </w:rPr>
        <w:t> </w:t>
      </w:r>
      <w:r>
        <w:rPr>
          <w:sz w:val="22"/>
        </w:rPr>
        <w:t>Special</w:t>
      </w:r>
      <w:r>
        <w:rPr>
          <w:spacing w:val="-49"/>
          <w:sz w:val="22"/>
        </w:rPr>
        <w:t> </w:t>
      </w:r>
      <w:r>
        <w:rPr>
          <w:sz w:val="22"/>
        </w:rPr>
        <w:t>Purpose</w:t>
      </w:r>
      <w:r>
        <w:rPr>
          <w:spacing w:val="-50"/>
          <w:sz w:val="22"/>
        </w:rPr>
        <w:t> </w:t>
      </w:r>
      <w:r>
        <w:rPr>
          <w:sz w:val="22"/>
        </w:rPr>
        <w:t>Vehicles</w:t>
      </w:r>
      <w:r>
        <w:rPr>
          <w:spacing w:val="-49"/>
          <w:sz w:val="22"/>
        </w:rPr>
        <w:t> </w:t>
      </w:r>
      <w:r>
        <w:rPr>
          <w:sz w:val="22"/>
        </w:rPr>
        <w:t>(SPVs)</w:t>
      </w:r>
      <w:r>
        <w:rPr>
          <w:spacing w:val="-50"/>
          <w:sz w:val="22"/>
        </w:rPr>
        <w:t> </w:t>
      </w:r>
      <w:r>
        <w:rPr>
          <w:sz w:val="22"/>
        </w:rPr>
        <w:t>holding the</w:t>
      </w:r>
      <w:r>
        <w:rPr>
          <w:spacing w:val="-19"/>
          <w:sz w:val="22"/>
        </w:rPr>
        <w:t> </w:t>
      </w:r>
      <w:r>
        <w:rPr>
          <w:sz w:val="22"/>
        </w:rPr>
        <w:t>assets’</w:t>
      </w:r>
      <w:r>
        <w:rPr>
          <w:spacing w:val="-18"/>
          <w:sz w:val="22"/>
        </w:rPr>
        <w:t> </w:t>
      </w:r>
      <w:r>
        <w:rPr>
          <w:sz w:val="22"/>
        </w:rPr>
        <w:t>claim</w:t>
      </w:r>
      <w:r>
        <w:rPr>
          <w:spacing w:val="-18"/>
          <w:sz w:val="22"/>
        </w:rPr>
        <w:t> </w:t>
      </w:r>
      <w:r>
        <w:rPr>
          <w:sz w:val="22"/>
        </w:rPr>
        <w:t>to</w:t>
      </w:r>
      <w:r>
        <w:rPr>
          <w:spacing w:val="-18"/>
          <w:sz w:val="22"/>
        </w:rPr>
        <w:t> </w:t>
      </w:r>
      <w:r>
        <w:rPr>
          <w:sz w:val="22"/>
        </w:rPr>
        <w:t>title</w:t>
      </w:r>
      <w:r>
        <w:rPr>
          <w:spacing w:val="-19"/>
          <w:sz w:val="22"/>
        </w:rPr>
        <w:t> </w:t>
      </w:r>
      <w:r>
        <w:rPr>
          <w:sz w:val="22"/>
        </w:rPr>
        <w:t>of</w:t>
      </w:r>
      <w:r>
        <w:rPr>
          <w:spacing w:val="-17"/>
          <w:sz w:val="22"/>
        </w:rPr>
        <w:t> </w:t>
      </w:r>
      <w:r>
        <w:rPr>
          <w:sz w:val="22"/>
        </w:rPr>
        <w:t>assets</w:t>
      </w:r>
      <w:r>
        <w:rPr>
          <w:spacing w:val="-17"/>
          <w:sz w:val="22"/>
        </w:rPr>
        <w:t> </w:t>
      </w:r>
      <w:r>
        <w:rPr>
          <w:sz w:val="22"/>
        </w:rPr>
        <w:t>has</w:t>
      </w:r>
      <w:r>
        <w:rPr>
          <w:spacing w:val="-17"/>
          <w:sz w:val="22"/>
        </w:rPr>
        <w:t> </w:t>
      </w:r>
      <w:r>
        <w:rPr>
          <w:sz w:val="22"/>
        </w:rPr>
        <w:t>been</w:t>
      </w:r>
      <w:r>
        <w:rPr>
          <w:spacing w:val="-18"/>
          <w:sz w:val="22"/>
        </w:rPr>
        <w:t> </w:t>
      </w:r>
      <w:r>
        <w:rPr>
          <w:sz w:val="22"/>
        </w:rPr>
        <w:t>made</w:t>
      </w:r>
      <w:r>
        <w:rPr>
          <w:spacing w:val="-19"/>
          <w:sz w:val="22"/>
        </w:rPr>
        <w:t> </w:t>
      </w:r>
      <w:r>
        <w:rPr>
          <w:sz w:val="22"/>
        </w:rPr>
        <w:t>for</w:t>
      </w:r>
      <w:r>
        <w:rPr>
          <w:spacing w:val="-18"/>
          <w:sz w:val="22"/>
        </w:rPr>
        <w:t> </w:t>
      </w:r>
      <w:r>
        <w:rPr>
          <w:sz w:val="22"/>
        </w:rPr>
        <w:t>the</w:t>
      </w:r>
      <w:r>
        <w:rPr>
          <w:spacing w:val="-19"/>
          <w:sz w:val="22"/>
        </w:rPr>
        <w:t> </w:t>
      </w:r>
      <w:r>
        <w:rPr>
          <w:sz w:val="22"/>
        </w:rPr>
        <w:t>purpose</w:t>
      </w:r>
      <w:r>
        <w:rPr>
          <w:spacing w:val="-19"/>
          <w:sz w:val="22"/>
        </w:rPr>
        <w:t> </w:t>
      </w:r>
      <w:r>
        <w:rPr>
          <w:sz w:val="22"/>
        </w:rPr>
        <w:t>of</w:t>
      </w:r>
      <w:r>
        <w:rPr>
          <w:spacing w:val="-17"/>
          <w:sz w:val="22"/>
        </w:rPr>
        <w:t> </w:t>
      </w:r>
      <w:r>
        <w:rPr>
          <w:sz w:val="22"/>
        </w:rPr>
        <w:t>this</w:t>
      </w:r>
      <w:r>
        <w:rPr>
          <w:spacing w:val="-17"/>
          <w:sz w:val="22"/>
        </w:rPr>
        <w:t> </w:t>
      </w:r>
      <w:r>
        <w:rPr>
          <w:sz w:val="22"/>
        </w:rPr>
        <w:t>Report</w:t>
      </w:r>
      <w:r>
        <w:rPr>
          <w:spacing w:val="-17"/>
          <w:sz w:val="22"/>
        </w:rPr>
        <w:t> </w:t>
      </w:r>
      <w:r>
        <w:rPr>
          <w:sz w:val="22"/>
        </w:rPr>
        <w:t>and the</w:t>
      </w:r>
      <w:r>
        <w:rPr>
          <w:spacing w:val="-14"/>
          <w:sz w:val="22"/>
        </w:rPr>
        <w:t> </w:t>
      </w:r>
      <w:r>
        <w:rPr>
          <w:sz w:val="22"/>
        </w:rPr>
        <w:t>SPVs’</w:t>
      </w:r>
      <w:r>
        <w:rPr>
          <w:spacing w:val="-13"/>
          <w:sz w:val="22"/>
        </w:rPr>
        <w:t> </w:t>
      </w:r>
      <w:r>
        <w:rPr>
          <w:sz w:val="22"/>
        </w:rPr>
        <w:t>claim</w:t>
      </w:r>
      <w:r>
        <w:rPr>
          <w:spacing w:val="-14"/>
          <w:sz w:val="22"/>
        </w:rPr>
        <w:t> </w:t>
      </w:r>
      <w:r>
        <w:rPr>
          <w:sz w:val="22"/>
        </w:rPr>
        <w:t>to</w:t>
      </w:r>
      <w:r>
        <w:rPr>
          <w:spacing w:val="-13"/>
          <w:sz w:val="22"/>
        </w:rPr>
        <w:t> </w:t>
      </w:r>
      <w:r>
        <w:rPr>
          <w:sz w:val="22"/>
        </w:rPr>
        <w:t>such</w:t>
      </w:r>
      <w:r>
        <w:rPr>
          <w:spacing w:val="-12"/>
          <w:sz w:val="22"/>
        </w:rPr>
        <w:t> </w:t>
      </w:r>
      <w:r>
        <w:rPr>
          <w:sz w:val="22"/>
        </w:rPr>
        <w:t>rights</w:t>
      </w:r>
      <w:r>
        <w:rPr>
          <w:spacing w:val="-12"/>
          <w:sz w:val="22"/>
        </w:rPr>
        <w:t> </w:t>
      </w:r>
      <w:r>
        <w:rPr>
          <w:sz w:val="22"/>
        </w:rPr>
        <w:t>have</w:t>
      </w:r>
      <w:r>
        <w:rPr>
          <w:spacing w:val="-14"/>
          <w:sz w:val="22"/>
        </w:rPr>
        <w:t> </w:t>
      </w:r>
      <w:r>
        <w:rPr>
          <w:sz w:val="22"/>
        </w:rPr>
        <w:t>been</w:t>
      </w:r>
      <w:r>
        <w:rPr>
          <w:spacing w:val="-13"/>
          <w:sz w:val="22"/>
        </w:rPr>
        <w:t> </w:t>
      </w:r>
      <w:r>
        <w:rPr>
          <w:sz w:val="22"/>
        </w:rPr>
        <w:t>assumed</w:t>
      </w:r>
      <w:r>
        <w:rPr>
          <w:spacing w:val="-13"/>
          <w:sz w:val="22"/>
        </w:rPr>
        <w:t> </w:t>
      </w:r>
      <w:r>
        <w:rPr>
          <w:sz w:val="22"/>
        </w:rPr>
        <w:t>to</w:t>
      </w:r>
      <w:r>
        <w:rPr>
          <w:spacing w:val="-13"/>
          <w:sz w:val="22"/>
        </w:rPr>
        <w:t> </w:t>
      </w:r>
      <w:r>
        <w:rPr>
          <w:sz w:val="22"/>
        </w:rPr>
        <w:t>be</w:t>
      </w:r>
      <w:r>
        <w:rPr>
          <w:spacing w:val="-14"/>
          <w:sz w:val="22"/>
        </w:rPr>
        <w:t> </w:t>
      </w:r>
      <w:r>
        <w:rPr>
          <w:sz w:val="22"/>
        </w:rPr>
        <w:t>valid.</w:t>
      </w:r>
      <w:r>
        <w:rPr>
          <w:spacing w:val="-13"/>
          <w:sz w:val="22"/>
        </w:rPr>
        <w:t> </w:t>
      </w:r>
      <w:r>
        <w:rPr>
          <w:sz w:val="22"/>
        </w:rPr>
        <w:t>No</w:t>
      </w:r>
      <w:r>
        <w:rPr>
          <w:spacing w:val="-12"/>
          <w:sz w:val="22"/>
        </w:rPr>
        <w:t> </w:t>
      </w:r>
      <w:r>
        <w:rPr>
          <w:sz w:val="22"/>
        </w:rPr>
        <w:t>consideration</w:t>
      </w:r>
      <w:r>
        <w:rPr>
          <w:spacing w:val="-13"/>
          <w:sz w:val="22"/>
        </w:rPr>
        <w:t> </w:t>
      </w:r>
      <w:r>
        <w:rPr>
          <w:sz w:val="22"/>
        </w:rPr>
        <w:t>has been</w:t>
      </w:r>
      <w:r>
        <w:rPr>
          <w:spacing w:val="-26"/>
          <w:sz w:val="22"/>
        </w:rPr>
        <w:t> </w:t>
      </w:r>
      <w:r>
        <w:rPr>
          <w:sz w:val="22"/>
        </w:rPr>
        <w:t>given</w:t>
      </w:r>
      <w:r>
        <w:rPr>
          <w:spacing w:val="-26"/>
          <w:sz w:val="22"/>
        </w:rPr>
        <w:t> </w:t>
      </w:r>
      <w:r>
        <w:rPr>
          <w:sz w:val="22"/>
        </w:rPr>
        <w:t>to</w:t>
      </w:r>
      <w:r>
        <w:rPr>
          <w:spacing w:val="-26"/>
          <w:sz w:val="22"/>
        </w:rPr>
        <w:t> </w:t>
      </w:r>
      <w:r>
        <w:rPr>
          <w:sz w:val="22"/>
        </w:rPr>
        <w:t>liens</w:t>
      </w:r>
      <w:r>
        <w:rPr>
          <w:spacing w:val="-26"/>
          <w:sz w:val="22"/>
        </w:rPr>
        <w:t> </w:t>
      </w:r>
      <w:r>
        <w:rPr>
          <w:sz w:val="22"/>
        </w:rPr>
        <w:t>or</w:t>
      </w:r>
      <w:r>
        <w:rPr>
          <w:spacing w:val="-26"/>
          <w:sz w:val="22"/>
        </w:rPr>
        <w:t> </w:t>
      </w:r>
      <w:r>
        <w:rPr>
          <w:sz w:val="22"/>
        </w:rPr>
        <w:t>encumbrances</w:t>
      </w:r>
      <w:r>
        <w:rPr>
          <w:spacing w:val="-25"/>
          <w:sz w:val="22"/>
        </w:rPr>
        <w:t> </w:t>
      </w:r>
      <w:r>
        <w:rPr>
          <w:sz w:val="22"/>
        </w:rPr>
        <w:t>against</w:t>
      </w:r>
      <w:r>
        <w:rPr>
          <w:spacing w:val="-25"/>
          <w:sz w:val="22"/>
        </w:rPr>
        <w:t> </w:t>
      </w:r>
      <w:r>
        <w:rPr>
          <w:sz w:val="22"/>
        </w:rPr>
        <w:t>the</w:t>
      </w:r>
      <w:r>
        <w:rPr>
          <w:spacing w:val="-26"/>
          <w:sz w:val="22"/>
        </w:rPr>
        <w:t> </w:t>
      </w:r>
      <w:r>
        <w:rPr>
          <w:sz w:val="22"/>
        </w:rPr>
        <w:t>assets.</w:t>
      </w:r>
      <w:r>
        <w:rPr>
          <w:spacing w:val="-26"/>
          <w:sz w:val="22"/>
        </w:rPr>
        <w:t> </w:t>
      </w:r>
      <w:r>
        <w:rPr>
          <w:sz w:val="22"/>
        </w:rPr>
        <w:t>Therefore,</w:t>
      </w:r>
      <w:r>
        <w:rPr>
          <w:spacing w:val="-26"/>
          <w:sz w:val="22"/>
        </w:rPr>
        <w:t> </w:t>
      </w:r>
      <w:r>
        <w:rPr>
          <w:sz w:val="22"/>
        </w:rPr>
        <w:t>no</w:t>
      </w:r>
      <w:r>
        <w:rPr>
          <w:spacing w:val="-26"/>
          <w:sz w:val="22"/>
        </w:rPr>
        <w:t> </w:t>
      </w:r>
      <w:r>
        <w:rPr>
          <w:sz w:val="22"/>
        </w:rPr>
        <w:t>responsibility is assumed for matters of a legal</w:t>
      </w:r>
      <w:r>
        <w:rPr>
          <w:spacing w:val="-30"/>
          <w:sz w:val="22"/>
        </w:rPr>
        <w:t> </w:t>
      </w:r>
      <w:r>
        <w:rPr>
          <w:sz w:val="22"/>
        </w:rPr>
        <w:t>nature</w:t>
      </w:r>
    </w:p>
    <w:p>
      <w:pPr>
        <w:pStyle w:val="ListParagraph"/>
        <w:numPr>
          <w:ilvl w:val="2"/>
          <w:numId w:val="3"/>
        </w:numPr>
        <w:tabs>
          <w:tab w:pos="856" w:val="left" w:leader="none"/>
        </w:tabs>
        <w:spacing w:line="321" w:lineRule="auto" w:before="123" w:after="0"/>
        <w:ind w:left="856" w:right="617" w:hanging="360"/>
        <w:jc w:val="both"/>
        <w:rPr>
          <w:sz w:val="22"/>
        </w:rPr>
      </w:pPr>
      <w:r>
        <w:rPr>
          <w:sz w:val="22"/>
        </w:rPr>
        <w:t>Kindly note that we have undertaken a quarterly assessment of cash flows for</w:t>
      </w:r>
      <w:r>
        <w:rPr>
          <w:spacing w:val="-46"/>
          <w:sz w:val="22"/>
        </w:rPr>
        <w:t> </w:t>
      </w:r>
      <w:r>
        <w:rPr>
          <w:sz w:val="22"/>
        </w:rPr>
        <w:t>the purpose of the</w:t>
      </w:r>
      <w:r>
        <w:rPr>
          <w:spacing w:val="-9"/>
          <w:sz w:val="22"/>
        </w:rPr>
        <w:t> </w:t>
      </w:r>
      <w:r>
        <w:rPr>
          <w:sz w:val="22"/>
        </w:rPr>
        <w:t>valuations</w:t>
      </w:r>
    </w:p>
    <w:p>
      <w:pPr>
        <w:spacing w:after="0" w:line="321" w:lineRule="auto"/>
        <w:jc w:val="both"/>
        <w:rPr>
          <w:sz w:val="22"/>
        </w:rPr>
        <w:sectPr>
          <w:type w:val="continuous"/>
          <w:pgSz w:w="11910" w:h="16840"/>
          <w:pgMar w:top="800" w:bottom="280" w:left="440" w:right="80"/>
          <w:cols w:num="2" w:equalWidth="0">
            <w:col w:w="1806" w:space="50"/>
            <w:col w:w="9534"/>
          </w:cols>
        </w:sectPr>
      </w:pPr>
    </w:p>
    <w:p>
      <w:pPr>
        <w:pStyle w:val="BodyText"/>
        <w:spacing w:before="6"/>
        <w:rPr>
          <w:sz w:val="11"/>
        </w:rPr>
      </w:pPr>
    </w:p>
    <w:p>
      <w:pPr>
        <w:spacing w:after="0"/>
        <w:rPr>
          <w:sz w:val="11"/>
        </w:rPr>
        <w:sectPr>
          <w:type w:val="continuous"/>
          <w:pgSz w:w="11910" w:h="16840"/>
          <w:pgMar w:top="800" w:bottom="280" w:left="440" w:right="80"/>
        </w:sectPr>
      </w:pPr>
    </w:p>
    <w:p>
      <w:pPr>
        <w:pStyle w:val="BodyText"/>
        <w:spacing w:line="321" w:lineRule="auto" w:before="106"/>
        <w:ind w:left="495" w:right="23"/>
      </w:pPr>
      <w:r>
        <w:rPr>
          <w:color w:val="006A4D"/>
        </w:rPr>
        <w:t>Limited </w:t>
      </w:r>
      <w:r>
        <w:rPr>
          <w:color w:val="006A4D"/>
          <w:w w:val="95"/>
        </w:rPr>
        <w:t>Inspection:</w:t>
      </w:r>
    </w:p>
    <w:p>
      <w:pPr>
        <w:pStyle w:val="ListParagraph"/>
        <w:numPr>
          <w:ilvl w:val="2"/>
          <w:numId w:val="3"/>
        </w:numPr>
        <w:tabs>
          <w:tab w:pos="856" w:val="left" w:leader="none"/>
        </w:tabs>
        <w:spacing w:line="321" w:lineRule="auto" w:before="106" w:after="0"/>
        <w:ind w:left="856" w:right="611" w:hanging="360"/>
        <w:jc w:val="both"/>
        <w:rPr>
          <w:sz w:val="22"/>
        </w:rPr>
      </w:pPr>
      <w:r>
        <w:rPr>
          <w:spacing w:val="1"/>
          <w:w w:val="118"/>
          <w:sz w:val="22"/>
        </w:rPr>
        <w:br w:type="column"/>
      </w:r>
      <w:r>
        <w:rPr>
          <w:sz w:val="22"/>
        </w:rPr>
        <w:t>Due to the outbreak of the Novel Coronavirus (COVID-19), declared by the World Health Organisation as a “Global Pandemic” on the 11</w:t>
      </w:r>
      <w:r>
        <w:rPr>
          <w:sz w:val="22"/>
          <w:vertAlign w:val="superscript"/>
        </w:rPr>
        <w:t>th</w:t>
      </w:r>
      <w:r>
        <w:rPr>
          <w:sz w:val="22"/>
          <w:vertAlign w:val="baseline"/>
        </w:rPr>
        <w:t> March 2020, it has not been</w:t>
      </w:r>
      <w:r>
        <w:rPr>
          <w:spacing w:val="-44"/>
          <w:sz w:val="22"/>
          <w:vertAlign w:val="baseline"/>
        </w:rPr>
        <w:t> </w:t>
      </w:r>
      <w:r>
        <w:rPr>
          <w:sz w:val="22"/>
          <w:vertAlign w:val="baseline"/>
        </w:rPr>
        <w:t>possible</w:t>
      </w:r>
      <w:r>
        <w:rPr>
          <w:spacing w:val="-44"/>
          <w:sz w:val="22"/>
          <w:vertAlign w:val="baseline"/>
        </w:rPr>
        <w:t> </w:t>
      </w:r>
      <w:r>
        <w:rPr>
          <w:sz w:val="22"/>
          <w:vertAlign w:val="baseline"/>
        </w:rPr>
        <w:t>to</w:t>
      </w:r>
      <w:r>
        <w:rPr>
          <w:spacing w:val="-43"/>
          <w:sz w:val="22"/>
          <w:vertAlign w:val="baseline"/>
        </w:rPr>
        <w:t> </w:t>
      </w:r>
      <w:r>
        <w:rPr>
          <w:sz w:val="22"/>
          <w:vertAlign w:val="baseline"/>
        </w:rPr>
        <w:t>carry</w:t>
      </w:r>
      <w:r>
        <w:rPr>
          <w:spacing w:val="-42"/>
          <w:sz w:val="22"/>
          <w:vertAlign w:val="baseline"/>
        </w:rPr>
        <w:t> </w:t>
      </w:r>
      <w:r>
        <w:rPr>
          <w:sz w:val="22"/>
          <w:vertAlign w:val="baseline"/>
        </w:rPr>
        <w:t>out</w:t>
      </w:r>
      <w:r>
        <w:rPr>
          <w:spacing w:val="-44"/>
          <w:sz w:val="22"/>
          <w:vertAlign w:val="baseline"/>
        </w:rPr>
        <w:t> </w:t>
      </w:r>
      <w:r>
        <w:rPr>
          <w:sz w:val="22"/>
          <w:vertAlign w:val="baseline"/>
        </w:rPr>
        <w:t>a</w:t>
      </w:r>
      <w:r>
        <w:rPr>
          <w:spacing w:val="-43"/>
          <w:sz w:val="22"/>
          <w:vertAlign w:val="baseline"/>
        </w:rPr>
        <w:t> </w:t>
      </w:r>
      <w:r>
        <w:rPr>
          <w:sz w:val="22"/>
          <w:vertAlign w:val="baseline"/>
        </w:rPr>
        <w:t>formal</w:t>
      </w:r>
      <w:r>
        <w:rPr>
          <w:spacing w:val="-43"/>
          <w:sz w:val="22"/>
          <w:vertAlign w:val="baseline"/>
        </w:rPr>
        <w:t> </w:t>
      </w:r>
      <w:r>
        <w:rPr>
          <w:sz w:val="22"/>
          <w:vertAlign w:val="baseline"/>
        </w:rPr>
        <w:t>inspection</w:t>
      </w:r>
      <w:r>
        <w:rPr>
          <w:spacing w:val="-44"/>
          <w:sz w:val="22"/>
          <w:vertAlign w:val="baseline"/>
        </w:rPr>
        <w:t> </w:t>
      </w:r>
      <w:r>
        <w:rPr>
          <w:sz w:val="22"/>
          <w:vertAlign w:val="baseline"/>
        </w:rPr>
        <w:t>of</w:t>
      </w:r>
      <w:r>
        <w:rPr>
          <w:spacing w:val="-43"/>
          <w:sz w:val="22"/>
          <w:vertAlign w:val="baseline"/>
        </w:rPr>
        <w:t> </w:t>
      </w:r>
      <w:r>
        <w:rPr>
          <w:sz w:val="22"/>
          <w:vertAlign w:val="baseline"/>
        </w:rPr>
        <w:t>the</w:t>
      </w:r>
      <w:r>
        <w:rPr>
          <w:spacing w:val="-43"/>
          <w:sz w:val="22"/>
          <w:vertAlign w:val="baseline"/>
        </w:rPr>
        <w:t> </w:t>
      </w:r>
      <w:r>
        <w:rPr>
          <w:sz w:val="22"/>
          <w:vertAlign w:val="baseline"/>
        </w:rPr>
        <w:t>properties</w:t>
      </w:r>
      <w:r>
        <w:rPr>
          <w:spacing w:val="-44"/>
          <w:sz w:val="22"/>
          <w:vertAlign w:val="baseline"/>
        </w:rPr>
        <w:t> </w:t>
      </w:r>
      <w:r>
        <w:rPr>
          <w:sz w:val="22"/>
          <w:vertAlign w:val="baseline"/>
        </w:rPr>
        <w:t>for</w:t>
      </w:r>
      <w:r>
        <w:rPr>
          <w:spacing w:val="-43"/>
          <w:sz w:val="22"/>
          <w:vertAlign w:val="baseline"/>
        </w:rPr>
        <w:t> </w:t>
      </w:r>
      <w:r>
        <w:rPr>
          <w:sz w:val="22"/>
          <w:vertAlign w:val="baseline"/>
        </w:rPr>
        <w:t>the</w:t>
      </w:r>
      <w:r>
        <w:rPr>
          <w:spacing w:val="-44"/>
          <w:sz w:val="22"/>
          <w:vertAlign w:val="baseline"/>
        </w:rPr>
        <w:t> </w:t>
      </w:r>
      <w:r>
        <w:rPr>
          <w:sz w:val="22"/>
          <w:vertAlign w:val="baseline"/>
        </w:rPr>
        <w:t>current</w:t>
      </w:r>
      <w:r>
        <w:rPr>
          <w:spacing w:val="-43"/>
          <w:sz w:val="22"/>
          <w:vertAlign w:val="baseline"/>
        </w:rPr>
        <w:t> </w:t>
      </w:r>
      <w:r>
        <w:rPr>
          <w:sz w:val="22"/>
          <w:vertAlign w:val="baseline"/>
        </w:rPr>
        <w:t>update. Therefore,</w:t>
      </w:r>
      <w:r>
        <w:rPr>
          <w:spacing w:val="-32"/>
          <w:sz w:val="22"/>
          <w:vertAlign w:val="baseline"/>
        </w:rPr>
        <w:t> </w:t>
      </w:r>
      <w:r>
        <w:rPr>
          <w:sz w:val="22"/>
          <w:vertAlign w:val="baseline"/>
        </w:rPr>
        <w:t>as</w:t>
      </w:r>
      <w:r>
        <w:rPr>
          <w:spacing w:val="-32"/>
          <w:sz w:val="22"/>
          <w:vertAlign w:val="baseline"/>
        </w:rPr>
        <w:t> </w:t>
      </w:r>
      <w:r>
        <w:rPr>
          <w:sz w:val="22"/>
          <w:vertAlign w:val="baseline"/>
        </w:rPr>
        <w:t>instructed,</w:t>
      </w:r>
      <w:r>
        <w:rPr>
          <w:spacing w:val="-32"/>
          <w:sz w:val="22"/>
          <w:vertAlign w:val="baseline"/>
        </w:rPr>
        <w:t> </w:t>
      </w:r>
      <w:r>
        <w:rPr>
          <w:sz w:val="22"/>
          <w:vertAlign w:val="baseline"/>
        </w:rPr>
        <w:t>we</w:t>
      </w:r>
      <w:r>
        <w:rPr>
          <w:spacing w:val="-33"/>
          <w:sz w:val="22"/>
          <w:vertAlign w:val="baseline"/>
        </w:rPr>
        <w:t> </w:t>
      </w:r>
      <w:r>
        <w:rPr>
          <w:sz w:val="22"/>
          <w:vertAlign w:val="baseline"/>
        </w:rPr>
        <w:t>have</w:t>
      </w:r>
      <w:r>
        <w:rPr>
          <w:spacing w:val="-32"/>
          <w:sz w:val="22"/>
          <w:vertAlign w:val="baseline"/>
        </w:rPr>
        <w:t> </w:t>
      </w:r>
      <w:r>
        <w:rPr>
          <w:sz w:val="22"/>
          <w:vertAlign w:val="baseline"/>
        </w:rPr>
        <w:t>relied</w:t>
      </w:r>
      <w:r>
        <w:rPr>
          <w:spacing w:val="-31"/>
          <w:sz w:val="22"/>
          <w:vertAlign w:val="baseline"/>
        </w:rPr>
        <w:t> </w:t>
      </w:r>
      <w:r>
        <w:rPr>
          <w:sz w:val="22"/>
          <w:vertAlign w:val="baseline"/>
        </w:rPr>
        <w:t>on</w:t>
      </w:r>
      <w:r>
        <w:rPr>
          <w:spacing w:val="-32"/>
          <w:sz w:val="22"/>
          <w:vertAlign w:val="baseline"/>
        </w:rPr>
        <w:t> </w:t>
      </w:r>
      <w:r>
        <w:rPr>
          <w:sz w:val="22"/>
          <w:vertAlign w:val="baseline"/>
        </w:rPr>
        <w:t>information</w:t>
      </w:r>
      <w:r>
        <w:rPr>
          <w:spacing w:val="-32"/>
          <w:sz w:val="22"/>
          <w:vertAlign w:val="baseline"/>
        </w:rPr>
        <w:t> </w:t>
      </w:r>
      <w:r>
        <w:rPr>
          <w:sz w:val="22"/>
          <w:vertAlign w:val="baseline"/>
        </w:rPr>
        <w:t>provided</w:t>
      </w:r>
      <w:r>
        <w:rPr>
          <w:spacing w:val="-32"/>
          <w:sz w:val="22"/>
          <w:vertAlign w:val="baseline"/>
        </w:rPr>
        <w:t> </w:t>
      </w:r>
      <w:r>
        <w:rPr>
          <w:sz w:val="22"/>
          <w:vertAlign w:val="baseline"/>
        </w:rPr>
        <w:t>to</w:t>
      </w:r>
      <w:r>
        <w:rPr>
          <w:spacing w:val="-32"/>
          <w:sz w:val="22"/>
          <w:vertAlign w:val="baseline"/>
        </w:rPr>
        <w:t> </w:t>
      </w:r>
      <w:r>
        <w:rPr>
          <w:sz w:val="22"/>
          <w:vertAlign w:val="baseline"/>
        </w:rPr>
        <w:t>us</w:t>
      </w:r>
      <w:r>
        <w:rPr>
          <w:spacing w:val="-32"/>
          <w:sz w:val="22"/>
          <w:vertAlign w:val="baseline"/>
        </w:rPr>
        <w:t> </w:t>
      </w:r>
      <w:r>
        <w:rPr>
          <w:sz w:val="22"/>
          <w:vertAlign w:val="baseline"/>
        </w:rPr>
        <w:t>by</w:t>
      </w:r>
      <w:r>
        <w:rPr>
          <w:spacing w:val="-32"/>
          <w:sz w:val="22"/>
          <w:vertAlign w:val="baseline"/>
        </w:rPr>
        <w:t> </w:t>
      </w:r>
      <w:r>
        <w:rPr>
          <w:sz w:val="22"/>
          <w:vertAlign w:val="baseline"/>
        </w:rPr>
        <w:t>the</w:t>
      </w:r>
      <w:r>
        <w:rPr>
          <w:spacing w:val="-32"/>
          <w:sz w:val="22"/>
          <w:vertAlign w:val="baseline"/>
        </w:rPr>
        <w:t> </w:t>
      </w:r>
      <w:r>
        <w:rPr>
          <w:sz w:val="22"/>
          <w:vertAlign w:val="baseline"/>
        </w:rPr>
        <w:t>Client/</w:t>
      </w:r>
    </w:p>
    <w:p>
      <w:pPr>
        <w:spacing w:after="0" w:line="321" w:lineRule="auto"/>
        <w:jc w:val="both"/>
        <w:rPr>
          <w:sz w:val="22"/>
        </w:rPr>
        <w:sectPr>
          <w:type w:val="continuous"/>
          <w:pgSz w:w="11910" w:h="16840"/>
          <w:pgMar w:top="800" w:bottom="280" w:left="440" w:right="80"/>
          <w:cols w:num="2" w:equalWidth="0">
            <w:col w:w="1575" w:space="281"/>
            <w:col w:w="9534"/>
          </w:cols>
        </w:sectPr>
      </w:pPr>
    </w:p>
    <w:p>
      <w:pPr>
        <w:pStyle w:val="BodyText"/>
        <w:spacing w:before="5"/>
      </w:pPr>
    </w:p>
    <w:p>
      <w:pPr>
        <w:pStyle w:val="BodyText"/>
        <w:spacing w:line="321" w:lineRule="auto" w:before="106"/>
        <w:ind w:left="2711" w:right="615"/>
        <w:jc w:val="both"/>
      </w:pPr>
      <w:r>
        <w:rPr/>
        <w:t>as</w:t>
      </w:r>
      <w:r>
        <w:rPr>
          <w:spacing w:val="-35"/>
        </w:rPr>
        <w:t> </w:t>
      </w:r>
      <w:r>
        <w:rPr/>
        <w:t>obtained</w:t>
      </w:r>
      <w:r>
        <w:rPr>
          <w:spacing w:val="-35"/>
        </w:rPr>
        <w:t> </w:t>
      </w:r>
      <w:r>
        <w:rPr/>
        <w:t>during</w:t>
      </w:r>
      <w:r>
        <w:rPr>
          <w:spacing w:val="-34"/>
        </w:rPr>
        <w:t> </w:t>
      </w:r>
      <w:r>
        <w:rPr/>
        <w:t>the</w:t>
      </w:r>
      <w:r>
        <w:rPr>
          <w:spacing w:val="-34"/>
        </w:rPr>
        <w:t> </w:t>
      </w:r>
      <w:r>
        <w:rPr/>
        <w:t>previous</w:t>
      </w:r>
      <w:r>
        <w:rPr>
          <w:spacing w:val="-34"/>
        </w:rPr>
        <w:t> </w:t>
      </w:r>
      <w:r>
        <w:rPr/>
        <w:t>site</w:t>
      </w:r>
      <w:r>
        <w:rPr>
          <w:spacing w:val="-36"/>
        </w:rPr>
        <w:t> </w:t>
      </w:r>
      <w:r>
        <w:rPr/>
        <w:t>visit,</w:t>
      </w:r>
      <w:r>
        <w:rPr>
          <w:spacing w:val="-34"/>
        </w:rPr>
        <w:t> </w:t>
      </w:r>
      <w:r>
        <w:rPr/>
        <w:t>such</w:t>
      </w:r>
      <w:r>
        <w:rPr>
          <w:spacing w:val="-35"/>
        </w:rPr>
        <w:t> </w:t>
      </w:r>
      <w:r>
        <w:rPr/>
        <w:t>as</w:t>
      </w:r>
      <w:r>
        <w:rPr>
          <w:spacing w:val="-35"/>
        </w:rPr>
        <w:t> </w:t>
      </w:r>
      <w:r>
        <w:rPr/>
        <w:t>site</w:t>
      </w:r>
      <w:r>
        <w:rPr>
          <w:spacing w:val="-35"/>
        </w:rPr>
        <w:t> </w:t>
      </w:r>
      <w:r>
        <w:rPr/>
        <w:t>photographs,</w:t>
      </w:r>
      <w:r>
        <w:rPr>
          <w:spacing w:val="-36"/>
        </w:rPr>
        <w:t> </w:t>
      </w:r>
      <w:r>
        <w:rPr/>
        <w:t>site</w:t>
      </w:r>
      <w:r>
        <w:rPr>
          <w:spacing w:val="-35"/>
        </w:rPr>
        <w:t> </w:t>
      </w:r>
      <w:r>
        <w:rPr/>
        <w:t>observations, construction status,</w:t>
      </w:r>
      <w:r>
        <w:rPr>
          <w:spacing w:val="-10"/>
        </w:rPr>
        <w:t> </w:t>
      </w:r>
      <w:r>
        <w:rPr/>
        <w:t>etc.</w:t>
      </w:r>
    </w:p>
    <w:p>
      <w:pPr>
        <w:pStyle w:val="BodyText"/>
        <w:spacing w:line="321" w:lineRule="auto" w:before="122"/>
        <w:ind w:left="2711" w:right="614"/>
        <w:jc w:val="both"/>
      </w:pPr>
      <w:r>
        <w:rPr/>
        <w:pict>
          <v:group style="position:absolute;margin-left:41.400002pt;margin-top:131.778641pt;width:524.65pt;height:115pt;mso-position-horizontal-relative:page;mso-position-vertical-relative:paragraph;z-index:-15634432;mso-wrap-distance-left:0;mso-wrap-distance-right:0" coordorigin="828,2636" coordsize="10493,2300">
            <v:shape style="position:absolute;left:828;top:2635;width:10493;height:2300" coordorigin="828,2636" coordsize="10493,2300" path="m11321,2636l2672,2636,828,2636,828,4935,2672,4935,11321,4935,11321,2636xe" filled="true" fillcolor="#f1f1f1" stroked="false">
              <v:path arrowok="t"/>
              <v:fill type="solid"/>
            </v:shape>
            <v:shape style="position:absolute;left:936;top:2754;width:1070;height:265" type="#_x0000_t202" filled="false" stroked="false">
              <v:textbox inset="0,0,0,0">
                <w:txbxContent>
                  <w:p>
                    <w:pPr>
                      <w:spacing w:before="6"/>
                      <w:ind w:left="0" w:right="0" w:firstLine="0"/>
                      <w:jc w:val="left"/>
                      <w:rPr>
                        <w:sz w:val="22"/>
                      </w:rPr>
                    </w:pPr>
                    <w:r>
                      <w:rPr>
                        <w:color w:val="006A4D"/>
                        <w:w w:val="95"/>
                        <w:sz w:val="22"/>
                      </w:rPr>
                      <w:t>Additional:</w:t>
                    </w:r>
                  </w:p>
                </w:txbxContent>
              </v:textbox>
              <w10:wrap type="none"/>
            </v:shape>
            <v:shape style="position:absolute;left:2791;top:2754;width:8444;height:1981" type="#_x0000_t202" filled="false" stroked="false">
              <v:textbox inset="0,0,0,0">
                <w:txbxContent>
                  <w:p>
                    <w:pPr>
                      <w:numPr>
                        <w:ilvl w:val="0"/>
                        <w:numId w:val="22"/>
                      </w:numPr>
                      <w:tabs>
                        <w:tab w:pos="360" w:val="left" w:leader="none"/>
                      </w:tabs>
                      <w:spacing w:line="321" w:lineRule="auto" w:before="6"/>
                      <w:ind w:left="360" w:right="20" w:hanging="360"/>
                      <w:jc w:val="both"/>
                      <w:rPr>
                        <w:sz w:val="22"/>
                      </w:rPr>
                    </w:pPr>
                    <w:r>
                      <w:rPr>
                        <w:sz w:val="22"/>
                      </w:rPr>
                      <w:t>As</w:t>
                    </w:r>
                    <w:r>
                      <w:rPr>
                        <w:spacing w:val="-37"/>
                        <w:sz w:val="22"/>
                      </w:rPr>
                      <w:t> </w:t>
                    </w:r>
                    <w:r>
                      <w:rPr>
                        <w:sz w:val="22"/>
                      </w:rPr>
                      <w:t>per</w:t>
                    </w:r>
                    <w:r>
                      <w:rPr>
                        <w:spacing w:val="-36"/>
                        <w:sz w:val="22"/>
                      </w:rPr>
                      <w:t> </w:t>
                    </w:r>
                    <w:r>
                      <w:rPr>
                        <w:sz w:val="22"/>
                      </w:rPr>
                      <w:t>the</w:t>
                    </w:r>
                    <w:r>
                      <w:rPr>
                        <w:spacing w:val="-36"/>
                        <w:sz w:val="22"/>
                      </w:rPr>
                      <w:t> </w:t>
                    </w:r>
                    <w:r>
                      <w:rPr>
                        <w:sz w:val="22"/>
                      </w:rPr>
                      <w:t>Letter</w:t>
                    </w:r>
                    <w:r>
                      <w:rPr>
                        <w:spacing w:val="-37"/>
                        <w:sz w:val="22"/>
                      </w:rPr>
                      <w:t> </w:t>
                    </w:r>
                    <w:r>
                      <w:rPr>
                        <w:sz w:val="22"/>
                      </w:rPr>
                      <w:t>of</w:t>
                    </w:r>
                    <w:r>
                      <w:rPr>
                        <w:spacing w:val="-35"/>
                        <w:sz w:val="22"/>
                      </w:rPr>
                      <w:t> </w:t>
                    </w:r>
                    <w:r>
                      <w:rPr>
                        <w:sz w:val="22"/>
                      </w:rPr>
                      <w:t>Engagement</w:t>
                    </w:r>
                    <w:r>
                      <w:rPr>
                        <w:spacing w:val="-36"/>
                        <w:sz w:val="22"/>
                      </w:rPr>
                      <w:t> </w:t>
                    </w:r>
                    <w:r>
                      <w:rPr>
                        <w:sz w:val="22"/>
                      </w:rPr>
                      <w:t>(LOE)</w:t>
                    </w:r>
                    <w:r>
                      <w:rPr>
                        <w:spacing w:val="-37"/>
                        <w:sz w:val="22"/>
                      </w:rPr>
                      <w:t> </w:t>
                    </w:r>
                    <w:r>
                      <w:rPr>
                        <w:sz w:val="22"/>
                      </w:rPr>
                      <w:t>signed</w:t>
                    </w:r>
                    <w:r>
                      <w:rPr>
                        <w:spacing w:val="-34"/>
                        <w:sz w:val="22"/>
                      </w:rPr>
                      <w:t> </w:t>
                    </w:r>
                    <w:r>
                      <w:rPr>
                        <w:sz w:val="22"/>
                      </w:rPr>
                      <w:t>between</w:t>
                    </w:r>
                    <w:r>
                      <w:rPr>
                        <w:spacing w:val="-36"/>
                        <w:sz w:val="22"/>
                      </w:rPr>
                      <w:t> </w:t>
                    </w:r>
                    <w:r>
                      <w:rPr>
                        <w:sz w:val="22"/>
                      </w:rPr>
                      <w:t>the</w:t>
                    </w:r>
                    <w:r>
                      <w:rPr>
                        <w:spacing w:val="-37"/>
                        <w:sz w:val="22"/>
                      </w:rPr>
                      <w:t> </w:t>
                    </w:r>
                    <w:r>
                      <w:rPr>
                        <w:sz w:val="22"/>
                      </w:rPr>
                      <w:t>Consultants</w:t>
                    </w:r>
                    <w:r>
                      <w:rPr>
                        <w:spacing w:val="-35"/>
                        <w:sz w:val="22"/>
                      </w:rPr>
                      <w:t> </w:t>
                    </w:r>
                    <w:r>
                      <w:rPr>
                        <w:sz w:val="22"/>
                      </w:rPr>
                      <w:t>and</w:t>
                    </w:r>
                    <w:r>
                      <w:rPr>
                        <w:spacing w:val="-37"/>
                        <w:sz w:val="22"/>
                      </w:rPr>
                      <w:t> </w:t>
                    </w:r>
                    <w:r>
                      <w:rPr>
                        <w:sz w:val="22"/>
                      </w:rPr>
                      <w:t>the</w:t>
                    </w:r>
                    <w:r>
                      <w:rPr>
                        <w:spacing w:val="-37"/>
                        <w:sz w:val="22"/>
                      </w:rPr>
                      <w:t> </w:t>
                    </w:r>
                    <w:r>
                      <w:rPr>
                        <w:sz w:val="22"/>
                      </w:rPr>
                      <w:t>Client dated</w:t>
                    </w:r>
                    <w:r>
                      <w:rPr>
                        <w:spacing w:val="-9"/>
                        <w:sz w:val="22"/>
                      </w:rPr>
                      <w:t> </w:t>
                    </w:r>
                    <w:r>
                      <w:rPr>
                        <w:sz w:val="22"/>
                      </w:rPr>
                      <w:t>14</w:t>
                    </w:r>
                    <w:r>
                      <w:rPr>
                        <w:spacing w:val="-10"/>
                        <w:sz w:val="22"/>
                      </w:rPr>
                      <w:t> </w:t>
                    </w:r>
                    <w:r>
                      <w:rPr>
                        <w:sz w:val="22"/>
                      </w:rPr>
                      <w:t>August</w:t>
                    </w:r>
                    <w:r>
                      <w:rPr>
                        <w:spacing w:val="-8"/>
                        <w:sz w:val="22"/>
                      </w:rPr>
                      <w:t> </w:t>
                    </w:r>
                    <w:r>
                      <w:rPr>
                        <w:sz w:val="22"/>
                      </w:rPr>
                      <w:t>2019,</w:t>
                    </w:r>
                    <w:r>
                      <w:rPr>
                        <w:spacing w:val="-11"/>
                        <w:sz w:val="22"/>
                      </w:rPr>
                      <w:t> </w:t>
                    </w:r>
                    <w:r>
                      <w:rPr>
                        <w:sz w:val="22"/>
                      </w:rPr>
                      <w:t>Mr.</w:t>
                    </w:r>
                    <w:r>
                      <w:rPr>
                        <w:spacing w:val="-9"/>
                        <w:sz w:val="22"/>
                      </w:rPr>
                      <w:t> </w:t>
                    </w:r>
                    <w:r>
                      <w:rPr>
                        <w:sz w:val="22"/>
                      </w:rPr>
                      <w:t>Manish</w:t>
                    </w:r>
                    <w:r>
                      <w:rPr>
                        <w:spacing w:val="-9"/>
                        <w:sz w:val="22"/>
                      </w:rPr>
                      <w:t> </w:t>
                    </w:r>
                    <w:r>
                      <w:rPr>
                        <w:sz w:val="22"/>
                      </w:rPr>
                      <w:t>Gupta</w:t>
                    </w:r>
                    <w:r>
                      <w:rPr>
                        <w:spacing w:val="-10"/>
                        <w:sz w:val="22"/>
                      </w:rPr>
                      <w:t> </w:t>
                    </w:r>
                    <w:r>
                      <w:rPr>
                        <w:sz w:val="22"/>
                      </w:rPr>
                      <w:t>of</w:t>
                    </w:r>
                    <w:r>
                      <w:rPr>
                        <w:spacing w:val="-8"/>
                        <w:sz w:val="22"/>
                      </w:rPr>
                      <w:t> </w:t>
                    </w:r>
                    <w:r>
                      <w:rPr>
                        <w:sz w:val="22"/>
                      </w:rPr>
                      <w:t>iVAS</w:t>
                    </w:r>
                    <w:r>
                      <w:rPr>
                        <w:spacing w:val="-9"/>
                        <w:sz w:val="22"/>
                      </w:rPr>
                      <w:t> </w:t>
                    </w:r>
                    <w:r>
                      <w:rPr>
                        <w:sz w:val="22"/>
                      </w:rPr>
                      <w:t>Partners</w:t>
                    </w:r>
                    <w:r>
                      <w:rPr>
                        <w:spacing w:val="-9"/>
                        <w:sz w:val="22"/>
                      </w:rPr>
                      <w:t> </w:t>
                    </w:r>
                    <w:r>
                      <w:rPr>
                        <w:sz w:val="22"/>
                      </w:rPr>
                      <w:t>(vide</w:t>
                    </w:r>
                    <w:r>
                      <w:rPr>
                        <w:spacing w:val="-8"/>
                        <w:sz w:val="22"/>
                      </w:rPr>
                      <w:t> </w:t>
                    </w:r>
                    <w:r>
                      <w:rPr>
                        <w:sz w:val="22"/>
                      </w:rPr>
                      <w:t>Valuer</w:t>
                    </w:r>
                    <w:r>
                      <w:rPr>
                        <w:spacing w:val="-10"/>
                        <w:sz w:val="22"/>
                      </w:rPr>
                      <w:t> </w:t>
                    </w:r>
                    <w:r>
                      <w:rPr>
                        <w:sz w:val="22"/>
                      </w:rPr>
                      <w:t>Registration Number: IBBI/RV/02/2019/11505) was appointed as the Valuer under REIT Regulations 2014. Subsequently, Mr. Manish Gupta has applied for and received registration</w:t>
                    </w:r>
                    <w:r>
                      <w:rPr>
                        <w:spacing w:val="-26"/>
                        <w:sz w:val="22"/>
                      </w:rPr>
                      <w:t> </w:t>
                    </w:r>
                    <w:r>
                      <w:rPr>
                        <w:sz w:val="22"/>
                      </w:rPr>
                      <w:t>of</w:t>
                    </w:r>
                    <w:r>
                      <w:rPr>
                        <w:spacing w:val="-25"/>
                        <w:sz w:val="22"/>
                      </w:rPr>
                      <w:t> </w:t>
                    </w:r>
                    <w:r>
                      <w:rPr>
                        <w:sz w:val="22"/>
                      </w:rPr>
                      <w:t>iVAS</w:t>
                    </w:r>
                    <w:r>
                      <w:rPr>
                        <w:spacing w:val="-26"/>
                        <w:sz w:val="22"/>
                      </w:rPr>
                      <w:t> </w:t>
                    </w:r>
                    <w:r>
                      <w:rPr>
                        <w:sz w:val="22"/>
                      </w:rPr>
                      <w:t>Partners</w:t>
                    </w:r>
                    <w:r>
                      <w:rPr>
                        <w:spacing w:val="-25"/>
                        <w:sz w:val="22"/>
                      </w:rPr>
                      <w:t> </w:t>
                    </w:r>
                    <w:r>
                      <w:rPr>
                        <w:sz w:val="22"/>
                      </w:rPr>
                      <w:t>(Valuer</w:t>
                    </w:r>
                    <w:r>
                      <w:rPr>
                        <w:spacing w:val="-26"/>
                        <w:sz w:val="22"/>
                      </w:rPr>
                      <w:t> </w:t>
                    </w:r>
                    <w:r>
                      <w:rPr>
                        <w:sz w:val="22"/>
                      </w:rPr>
                      <w:t>Registration</w:t>
                    </w:r>
                    <w:r>
                      <w:rPr>
                        <w:spacing w:val="-24"/>
                        <w:sz w:val="22"/>
                      </w:rPr>
                      <w:t> </w:t>
                    </w:r>
                    <w:r>
                      <w:rPr>
                        <w:sz w:val="22"/>
                      </w:rPr>
                      <w:t>Number:</w:t>
                    </w:r>
                    <w:r>
                      <w:rPr>
                        <w:spacing w:val="-26"/>
                        <w:sz w:val="22"/>
                      </w:rPr>
                      <w:t> </w:t>
                    </w:r>
                    <w:r>
                      <w:rPr>
                        <w:sz w:val="22"/>
                      </w:rPr>
                      <w:t>IBBI/RV-E/02/2020/112,</w:t>
                    </w:r>
                  </w:p>
                  <w:p>
                    <w:pPr>
                      <w:spacing w:before="4"/>
                      <w:ind w:left="360" w:right="0" w:firstLine="0"/>
                      <w:jc w:val="both"/>
                      <w:rPr>
                        <w:sz w:val="22"/>
                      </w:rPr>
                    </w:pPr>
                    <w:r>
                      <w:rPr>
                        <w:sz w:val="22"/>
                      </w:rPr>
                      <w:t>an</w:t>
                    </w:r>
                    <w:r>
                      <w:rPr>
                        <w:spacing w:val="-33"/>
                        <w:sz w:val="22"/>
                      </w:rPr>
                      <w:t> </w:t>
                    </w:r>
                    <w:r>
                      <w:rPr>
                        <w:sz w:val="22"/>
                      </w:rPr>
                      <w:t>entity</w:t>
                    </w:r>
                    <w:r>
                      <w:rPr>
                        <w:spacing w:val="-32"/>
                        <w:sz w:val="22"/>
                      </w:rPr>
                      <w:t> </w:t>
                    </w:r>
                    <w:r>
                      <w:rPr>
                        <w:sz w:val="22"/>
                      </w:rPr>
                      <w:t>co-founded</w:t>
                    </w:r>
                    <w:r>
                      <w:rPr>
                        <w:spacing w:val="-33"/>
                        <w:sz w:val="22"/>
                      </w:rPr>
                      <w:t> </w:t>
                    </w:r>
                    <w:r>
                      <w:rPr>
                        <w:sz w:val="22"/>
                      </w:rPr>
                      <w:t>by</w:t>
                    </w:r>
                    <w:r>
                      <w:rPr>
                        <w:spacing w:val="-32"/>
                        <w:sz w:val="22"/>
                      </w:rPr>
                      <w:t> </w:t>
                    </w:r>
                    <w:r>
                      <w:rPr>
                        <w:sz w:val="22"/>
                      </w:rPr>
                      <w:t>Mr.</w:t>
                    </w:r>
                    <w:r>
                      <w:rPr>
                        <w:spacing w:val="-33"/>
                        <w:sz w:val="22"/>
                      </w:rPr>
                      <w:t> </w:t>
                    </w:r>
                    <w:r>
                      <w:rPr>
                        <w:sz w:val="22"/>
                      </w:rPr>
                      <w:t>Manish</w:t>
                    </w:r>
                    <w:r>
                      <w:rPr>
                        <w:spacing w:val="-33"/>
                        <w:sz w:val="22"/>
                      </w:rPr>
                      <w:t> </w:t>
                    </w:r>
                    <w:r>
                      <w:rPr>
                        <w:sz w:val="22"/>
                      </w:rPr>
                      <w:t>Gupta),</w:t>
                    </w:r>
                    <w:r>
                      <w:rPr>
                        <w:spacing w:val="-34"/>
                        <w:sz w:val="22"/>
                      </w:rPr>
                      <w:t> </w:t>
                    </w:r>
                    <w:r>
                      <w:rPr>
                        <w:sz w:val="22"/>
                      </w:rPr>
                      <w:t>and</w:t>
                    </w:r>
                    <w:r>
                      <w:rPr>
                        <w:spacing w:val="-32"/>
                        <w:sz w:val="22"/>
                      </w:rPr>
                      <w:t> </w:t>
                    </w:r>
                    <w:r>
                      <w:rPr>
                        <w:sz w:val="22"/>
                      </w:rPr>
                      <w:t>rescinded</w:t>
                    </w:r>
                    <w:r>
                      <w:rPr>
                        <w:spacing w:val="-32"/>
                        <w:sz w:val="22"/>
                      </w:rPr>
                      <w:t> </w:t>
                    </w:r>
                    <w:r>
                      <w:rPr>
                        <w:sz w:val="22"/>
                      </w:rPr>
                      <w:t>his</w:t>
                    </w:r>
                    <w:r>
                      <w:rPr>
                        <w:spacing w:val="-32"/>
                        <w:sz w:val="22"/>
                      </w:rPr>
                      <w:t> </w:t>
                    </w:r>
                    <w:r>
                      <w:rPr>
                        <w:sz w:val="22"/>
                      </w:rPr>
                      <w:t>individual</w:t>
                    </w:r>
                    <w:r>
                      <w:rPr>
                        <w:spacing w:val="-32"/>
                        <w:sz w:val="22"/>
                      </w:rPr>
                      <w:t> </w:t>
                    </w:r>
                    <w:r>
                      <w:rPr>
                        <w:sz w:val="22"/>
                      </w:rPr>
                      <w:t>registration.</w:t>
                    </w:r>
                  </w:p>
                </w:txbxContent>
              </v:textbox>
              <w10:wrap type="none"/>
            </v:shape>
            <w10:wrap type="topAndBottom"/>
          </v:group>
        </w:pict>
      </w:r>
      <w:r>
        <w:rPr/>
        <w:t>In</w:t>
      </w:r>
      <w:r>
        <w:rPr>
          <w:spacing w:val="-18"/>
        </w:rPr>
        <w:t> </w:t>
      </w:r>
      <w:r>
        <w:rPr/>
        <w:t>addition,</w:t>
      </w:r>
      <w:r>
        <w:rPr>
          <w:spacing w:val="-19"/>
        </w:rPr>
        <w:t> </w:t>
      </w:r>
      <w:r>
        <w:rPr/>
        <w:t>we</w:t>
      </w:r>
      <w:r>
        <w:rPr>
          <w:spacing w:val="-18"/>
        </w:rPr>
        <w:t> </w:t>
      </w:r>
      <w:r>
        <w:rPr/>
        <w:t>have</w:t>
      </w:r>
      <w:r>
        <w:rPr>
          <w:spacing w:val="-19"/>
        </w:rPr>
        <w:t> </w:t>
      </w:r>
      <w:r>
        <w:rPr/>
        <w:t>made</w:t>
      </w:r>
      <w:r>
        <w:rPr>
          <w:spacing w:val="-18"/>
        </w:rPr>
        <w:t> </w:t>
      </w:r>
      <w:r>
        <w:rPr/>
        <w:t>enquiries</w:t>
      </w:r>
      <w:r>
        <w:rPr>
          <w:spacing w:val="-18"/>
        </w:rPr>
        <w:t> </w:t>
      </w:r>
      <w:r>
        <w:rPr/>
        <w:t>through</w:t>
      </w:r>
      <w:r>
        <w:rPr>
          <w:spacing w:val="-17"/>
        </w:rPr>
        <w:t> </w:t>
      </w:r>
      <w:r>
        <w:rPr/>
        <w:t>online</w:t>
      </w:r>
      <w:r>
        <w:rPr>
          <w:spacing w:val="-19"/>
        </w:rPr>
        <w:t> </w:t>
      </w:r>
      <w:r>
        <w:rPr/>
        <w:t>portals</w:t>
      </w:r>
      <w:r>
        <w:rPr>
          <w:spacing w:val="-17"/>
        </w:rPr>
        <w:t> </w:t>
      </w:r>
      <w:r>
        <w:rPr/>
        <w:t>and</w:t>
      </w:r>
      <w:r>
        <w:rPr>
          <w:spacing w:val="-17"/>
        </w:rPr>
        <w:t> </w:t>
      </w:r>
      <w:r>
        <w:rPr/>
        <w:t>property</w:t>
      </w:r>
      <w:r>
        <w:rPr>
          <w:spacing w:val="-19"/>
        </w:rPr>
        <w:t> </w:t>
      </w:r>
      <w:r>
        <w:rPr/>
        <w:t>databases wherever possible. We have made the critical assumption that the property description within this report, including details such as location, site description, improvements, floor areas, etc., which is based on the information provided and available</w:t>
      </w:r>
      <w:r>
        <w:rPr>
          <w:spacing w:val="-23"/>
        </w:rPr>
        <w:t> </w:t>
      </w:r>
      <w:r>
        <w:rPr/>
        <w:t>to</w:t>
      </w:r>
      <w:r>
        <w:rPr>
          <w:spacing w:val="-22"/>
        </w:rPr>
        <w:t> </w:t>
      </w:r>
      <w:r>
        <w:rPr/>
        <w:t>us,</w:t>
      </w:r>
      <w:r>
        <w:rPr>
          <w:spacing w:val="-22"/>
        </w:rPr>
        <w:t> </w:t>
      </w:r>
      <w:r>
        <w:rPr/>
        <w:t>is</w:t>
      </w:r>
      <w:r>
        <w:rPr>
          <w:spacing w:val="-21"/>
        </w:rPr>
        <w:t> </w:t>
      </w:r>
      <w:r>
        <w:rPr/>
        <w:t>accurate,</w:t>
      </w:r>
      <w:r>
        <w:rPr>
          <w:spacing w:val="-22"/>
        </w:rPr>
        <w:t> </w:t>
      </w:r>
      <w:r>
        <w:rPr/>
        <w:t>as</w:t>
      </w:r>
      <w:r>
        <w:rPr>
          <w:spacing w:val="-20"/>
        </w:rPr>
        <w:t> </w:t>
      </w:r>
      <w:r>
        <w:rPr/>
        <w:t>at</w:t>
      </w:r>
      <w:r>
        <w:rPr>
          <w:spacing w:val="-22"/>
        </w:rPr>
        <w:t> </w:t>
      </w:r>
      <w:r>
        <w:rPr/>
        <w:t>the</w:t>
      </w:r>
      <w:r>
        <w:rPr>
          <w:spacing w:val="-21"/>
        </w:rPr>
        <w:t> </w:t>
      </w:r>
      <w:r>
        <w:rPr/>
        <w:t>date</w:t>
      </w:r>
      <w:r>
        <w:rPr>
          <w:spacing w:val="-22"/>
        </w:rPr>
        <w:t> </w:t>
      </w:r>
      <w:r>
        <w:rPr/>
        <w:t>of</w:t>
      </w:r>
      <w:r>
        <w:rPr>
          <w:spacing w:val="-21"/>
        </w:rPr>
        <w:t> </w:t>
      </w:r>
      <w:r>
        <w:rPr/>
        <w:t>valuation.</w:t>
      </w:r>
      <w:r>
        <w:rPr>
          <w:spacing w:val="-22"/>
        </w:rPr>
        <w:t> </w:t>
      </w:r>
      <w:r>
        <w:rPr/>
        <w:t>Whilst</w:t>
      </w:r>
      <w:r>
        <w:rPr>
          <w:spacing w:val="-21"/>
        </w:rPr>
        <w:t> </w:t>
      </w:r>
      <w:r>
        <w:rPr/>
        <w:t>all</w:t>
      </w:r>
      <w:r>
        <w:rPr>
          <w:spacing w:val="-22"/>
        </w:rPr>
        <w:t> </w:t>
      </w:r>
      <w:r>
        <w:rPr/>
        <w:t>attempts</w:t>
      </w:r>
      <w:r>
        <w:rPr>
          <w:spacing w:val="-22"/>
        </w:rPr>
        <w:t> </w:t>
      </w:r>
      <w:r>
        <w:rPr/>
        <w:t>to</w:t>
      </w:r>
      <w:r>
        <w:rPr>
          <w:spacing w:val="-22"/>
        </w:rPr>
        <w:t> </w:t>
      </w:r>
      <w:r>
        <w:rPr/>
        <w:t>verify this</w:t>
      </w:r>
      <w:r>
        <w:rPr>
          <w:spacing w:val="-4"/>
        </w:rPr>
        <w:t> </w:t>
      </w:r>
      <w:r>
        <w:rPr/>
        <w:t>information</w:t>
      </w:r>
      <w:r>
        <w:rPr>
          <w:spacing w:val="-6"/>
        </w:rPr>
        <w:t> </w:t>
      </w:r>
      <w:r>
        <w:rPr/>
        <w:t>have</w:t>
      </w:r>
      <w:r>
        <w:rPr>
          <w:spacing w:val="-5"/>
        </w:rPr>
        <w:t> </w:t>
      </w:r>
      <w:r>
        <w:rPr/>
        <w:t>been</w:t>
      </w:r>
      <w:r>
        <w:rPr>
          <w:spacing w:val="-5"/>
        </w:rPr>
        <w:t> </w:t>
      </w:r>
      <w:r>
        <w:rPr/>
        <w:t>undertaken,</w:t>
      </w:r>
      <w:r>
        <w:rPr>
          <w:spacing w:val="-5"/>
        </w:rPr>
        <w:t> </w:t>
      </w:r>
      <w:r>
        <w:rPr/>
        <w:t>the</w:t>
      </w:r>
      <w:r>
        <w:rPr>
          <w:spacing w:val="-4"/>
        </w:rPr>
        <w:t> </w:t>
      </w:r>
      <w:r>
        <w:rPr/>
        <w:t>report</w:t>
      </w:r>
      <w:r>
        <w:rPr>
          <w:spacing w:val="-4"/>
        </w:rPr>
        <w:t> </w:t>
      </w:r>
      <w:r>
        <w:rPr/>
        <w:t>should</w:t>
      </w:r>
      <w:r>
        <w:rPr>
          <w:spacing w:val="-4"/>
        </w:rPr>
        <w:t> </w:t>
      </w:r>
      <w:r>
        <w:rPr/>
        <w:t>be</w:t>
      </w:r>
      <w:r>
        <w:rPr>
          <w:spacing w:val="-5"/>
        </w:rPr>
        <w:t> </w:t>
      </w:r>
      <w:r>
        <w:rPr/>
        <w:t>referred</w:t>
      </w:r>
      <w:r>
        <w:rPr>
          <w:spacing w:val="-4"/>
        </w:rPr>
        <w:t> </w:t>
      </w:r>
      <w:r>
        <w:rPr/>
        <w:t>back</w:t>
      </w:r>
      <w:r>
        <w:rPr>
          <w:spacing w:val="-5"/>
        </w:rPr>
        <w:t> </w:t>
      </w:r>
      <w:r>
        <w:rPr/>
        <w:t>to</w:t>
      </w:r>
      <w:r>
        <w:rPr>
          <w:spacing w:val="-5"/>
        </w:rPr>
        <w:t> </w:t>
      </w:r>
      <w:r>
        <w:rPr/>
        <w:t>the Valuer</w:t>
      </w:r>
      <w:r>
        <w:rPr>
          <w:spacing w:val="-14"/>
        </w:rPr>
        <w:t> </w:t>
      </w:r>
      <w:r>
        <w:rPr/>
        <w:t>should</w:t>
      </w:r>
      <w:r>
        <w:rPr>
          <w:spacing w:val="-14"/>
        </w:rPr>
        <w:t> </w:t>
      </w:r>
      <w:r>
        <w:rPr/>
        <w:t>any</w:t>
      </w:r>
      <w:r>
        <w:rPr>
          <w:spacing w:val="-13"/>
        </w:rPr>
        <w:t> </w:t>
      </w:r>
      <w:r>
        <w:rPr/>
        <w:t>details</w:t>
      </w:r>
      <w:r>
        <w:rPr>
          <w:spacing w:val="-14"/>
        </w:rPr>
        <w:t> </w:t>
      </w:r>
      <w:r>
        <w:rPr/>
        <w:t>be</w:t>
      </w:r>
      <w:r>
        <w:rPr>
          <w:spacing w:val="-14"/>
        </w:rPr>
        <w:t> </w:t>
      </w:r>
      <w:r>
        <w:rPr/>
        <w:t>proven</w:t>
      </w:r>
      <w:r>
        <w:rPr>
          <w:spacing w:val="-14"/>
        </w:rPr>
        <w:t> </w:t>
      </w:r>
      <w:r>
        <w:rPr/>
        <w:t>to</w:t>
      </w:r>
      <w:r>
        <w:rPr>
          <w:spacing w:val="-14"/>
        </w:rPr>
        <w:t> </w:t>
      </w:r>
      <w:r>
        <w:rPr/>
        <w:t>be</w:t>
      </w:r>
      <w:r>
        <w:rPr>
          <w:spacing w:val="-14"/>
        </w:rPr>
        <w:t> </w:t>
      </w:r>
      <w:r>
        <w:rPr/>
        <w:t>incorrect,</w:t>
      </w:r>
      <w:r>
        <w:rPr>
          <w:spacing w:val="-13"/>
        </w:rPr>
        <w:t> </w:t>
      </w:r>
      <w:r>
        <w:rPr/>
        <w:t>as</w:t>
      </w:r>
      <w:r>
        <w:rPr>
          <w:spacing w:val="-13"/>
        </w:rPr>
        <w:t> </w:t>
      </w:r>
      <w:r>
        <w:rPr/>
        <w:t>at</w:t>
      </w:r>
      <w:r>
        <w:rPr>
          <w:spacing w:val="-14"/>
        </w:rPr>
        <w:t> </w:t>
      </w:r>
      <w:r>
        <w:rPr/>
        <w:t>date</w:t>
      </w:r>
      <w:r>
        <w:rPr>
          <w:spacing w:val="-14"/>
        </w:rPr>
        <w:t> </w:t>
      </w:r>
      <w:r>
        <w:rPr/>
        <w:t>of</w:t>
      </w:r>
      <w:r>
        <w:rPr>
          <w:spacing w:val="-13"/>
        </w:rPr>
        <w:t> </w:t>
      </w:r>
      <w:r>
        <w:rPr/>
        <w:t>valuation.</w:t>
      </w:r>
    </w:p>
    <w:p>
      <w:pPr>
        <w:pStyle w:val="BodyText"/>
        <w:spacing w:before="2"/>
        <w:rPr>
          <w:sz w:val="9"/>
        </w:rPr>
      </w:pPr>
    </w:p>
    <w:p>
      <w:pPr>
        <w:pStyle w:val="ListParagraph"/>
        <w:numPr>
          <w:ilvl w:val="1"/>
          <w:numId w:val="15"/>
        </w:numPr>
        <w:tabs>
          <w:tab w:pos="857" w:val="left" w:leader="none"/>
        </w:tabs>
        <w:spacing w:line="240" w:lineRule="auto" w:before="106" w:after="0"/>
        <w:ind w:left="856" w:right="0" w:hanging="577"/>
        <w:jc w:val="left"/>
        <w:rPr>
          <w:sz w:val="22"/>
        </w:rPr>
      </w:pPr>
      <w:bookmarkStart w:name="_bookmark11" w:id="22"/>
      <w:bookmarkEnd w:id="22"/>
      <w:r>
        <w:rPr/>
      </w:r>
      <w:bookmarkStart w:name="_bookmark11" w:id="23"/>
      <w:bookmarkEnd w:id="23"/>
      <w:r>
        <w:rPr>
          <w:color w:val="1F6647"/>
          <w:w w:val="105"/>
          <w:sz w:val="22"/>
        </w:rPr>
        <w:t>M</w:t>
      </w:r>
      <w:r>
        <w:rPr>
          <w:color w:val="1F6647"/>
          <w:w w:val="105"/>
          <w:sz w:val="22"/>
        </w:rPr>
        <w:t>aterial Valuation Uncertainty from Novel</w:t>
      </w:r>
      <w:r>
        <w:rPr>
          <w:color w:val="1F6647"/>
          <w:spacing w:val="-32"/>
          <w:w w:val="105"/>
          <w:sz w:val="22"/>
        </w:rPr>
        <w:t> </w:t>
      </w:r>
      <w:r>
        <w:rPr>
          <w:color w:val="1F6647"/>
          <w:w w:val="105"/>
          <w:sz w:val="22"/>
        </w:rPr>
        <w:t>Coronavirus</w:t>
      </w:r>
    </w:p>
    <w:p>
      <w:pPr>
        <w:pStyle w:val="BodyText"/>
        <w:spacing w:line="321" w:lineRule="auto" w:before="209"/>
        <w:ind w:left="820" w:right="634"/>
        <w:jc w:val="both"/>
      </w:pPr>
      <w:r>
        <w:rPr/>
        <w:t>The outbreak of the Novel Coronavirus (COVID-19), declared by the World Health Organisation as a “Global</w:t>
      </w:r>
      <w:r>
        <w:rPr>
          <w:spacing w:val="-11"/>
        </w:rPr>
        <w:t> </w:t>
      </w:r>
      <w:r>
        <w:rPr/>
        <w:t>Pandemic”</w:t>
      </w:r>
      <w:r>
        <w:rPr>
          <w:spacing w:val="-9"/>
        </w:rPr>
        <w:t> </w:t>
      </w:r>
      <w:r>
        <w:rPr/>
        <w:t>on</w:t>
      </w:r>
      <w:r>
        <w:rPr>
          <w:spacing w:val="-10"/>
        </w:rPr>
        <w:t> </w:t>
      </w:r>
      <w:r>
        <w:rPr/>
        <w:t>the</w:t>
      </w:r>
      <w:r>
        <w:rPr>
          <w:spacing w:val="-10"/>
        </w:rPr>
        <w:t> </w:t>
      </w:r>
      <w:r>
        <w:rPr/>
        <w:t>11</w:t>
      </w:r>
      <w:r>
        <w:rPr>
          <w:vertAlign w:val="superscript"/>
        </w:rPr>
        <w:t>th</w:t>
      </w:r>
      <w:r>
        <w:rPr>
          <w:spacing w:val="-9"/>
          <w:vertAlign w:val="baseline"/>
        </w:rPr>
        <w:t> </w:t>
      </w:r>
      <w:r>
        <w:rPr>
          <w:vertAlign w:val="baseline"/>
        </w:rPr>
        <w:t>March</w:t>
      </w:r>
      <w:r>
        <w:rPr>
          <w:spacing w:val="-10"/>
          <w:vertAlign w:val="baseline"/>
        </w:rPr>
        <w:t> </w:t>
      </w:r>
      <w:r>
        <w:rPr>
          <w:vertAlign w:val="baseline"/>
        </w:rPr>
        <w:t>2020,</w:t>
      </w:r>
      <w:r>
        <w:rPr>
          <w:spacing w:val="-9"/>
          <w:vertAlign w:val="baseline"/>
        </w:rPr>
        <w:t> </w:t>
      </w:r>
      <w:r>
        <w:rPr>
          <w:vertAlign w:val="baseline"/>
        </w:rPr>
        <w:t>is</w:t>
      </w:r>
      <w:r>
        <w:rPr>
          <w:spacing w:val="-9"/>
          <w:vertAlign w:val="baseline"/>
        </w:rPr>
        <w:t> </w:t>
      </w:r>
      <w:r>
        <w:rPr>
          <w:vertAlign w:val="baseline"/>
        </w:rPr>
        <w:t>causing</w:t>
      </w:r>
      <w:r>
        <w:rPr>
          <w:spacing w:val="-8"/>
          <w:vertAlign w:val="baseline"/>
        </w:rPr>
        <w:t> </w:t>
      </w:r>
      <w:r>
        <w:rPr>
          <w:vertAlign w:val="baseline"/>
        </w:rPr>
        <w:t>heightened</w:t>
      </w:r>
      <w:r>
        <w:rPr>
          <w:spacing w:val="-9"/>
          <w:vertAlign w:val="baseline"/>
        </w:rPr>
        <w:t> </w:t>
      </w:r>
      <w:r>
        <w:rPr>
          <w:vertAlign w:val="baseline"/>
        </w:rPr>
        <w:t>uncertainty</w:t>
      </w:r>
      <w:r>
        <w:rPr>
          <w:spacing w:val="-9"/>
          <w:vertAlign w:val="baseline"/>
        </w:rPr>
        <w:t> </w:t>
      </w:r>
      <w:r>
        <w:rPr>
          <w:vertAlign w:val="baseline"/>
        </w:rPr>
        <w:t>in</w:t>
      </w:r>
      <w:r>
        <w:rPr>
          <w:spacing w:val="-10"/>
          <w:vertAlign w:val="baseline"/>
        </w:rPr>
        <w:t> </w:t>
      </w:r>
      <w:r>
        <w:rPr>
          <w:vertAlign w:val="baseline"/>
        </w:rPr>
        <w:t>both</w:t>
      </w:r>
      <w:r>
        <w:rPr>
          <w:spacing w:val="-9"/>
          <w:vertAlign w:val="baseline"/>
        </w:rPr>
        <w:t> </w:t>
      </w:r>
      <w:r>
        <w:rPr>
          <w:vertAlign w:val="baseline"/>
        </w:rPr>
        <w:t>local</w:t>
      </w:r>
      <w:r>
        <w:rPr>
          <w:spacing w:val="-11"/>
          <w:vertAlign w:val="baseline"/>
        </w:rPr>
        <w:t> </w:t>
      </w:r>
      <w:r>
        <w:rPr>
          <w:vertAlign w:val="baseline"/>
        </w:rPr>
        <w:t>and</w:t>
      </w:r>
      <w:r>
        <w:rPr>
          <w:spacing w:val="-8"/>
          <w:vertAlign w:val="baseline"/>
        </w:rPr>
        <w:t> </w:t>
      </w:r>
      <w:r>
        <w:rPr>
          <w:vertAlign w:val="baseline"/>
        </w:rPr>
        <w:t>global market</w:t>
      </w:r>
      <w:r>
        <w:rPr>
          <w:spacing w:val="-25"/>
          <w:vertAlign w:val="baseline"/>
        </w:rPr>
        <w:t> </w:t>
      </w:r>
      <w:r>
        <w:rPr>
          <w:vertAlign w:val="baseline"/>
        </w:rPr>
        <w:t>conditions.</w:t>
      </w:r>
      <w:r>
        <w:rPr>
          <w:spacing w:val="-25"/>
          <w:vertAlign w:val="baseline"/>
        </w:rPr>
        <w:t> </w:t>
      </w:r>
      <w:r>
        <w:rPr>
          <w:vertAlign w:val="baseline"/>
        </w:rPr>
        <w:t>Global</w:t>
      </w:r>
      <w:r>
        <w:rPr>
          <w:spacing w:val="-25"/>
          <w:vertAlign w:val="baseline"/>
        </w:rPr>
        <w:t> </w:t>
      </w:r>
      <w:r>
        <w:rPr>
          <w:vertAlign w:val="baseline"/>
        </w:rPr>
        <w:t>financial</w:t>
      </w:r>
      <w:r>
        <w:rPr>
          <w:spacing w:val="-25"/>
          <w:vertAlign w:val="baseline"/>
        </w:rPr>
        <w:t> </w:t>
      </w:r>
      <w:r>
        <w:rPr>
          <w:vertAlign w:val="baseline"/>
        </w:rPr>
        <w:t>markets</w:t>
      </w:r>
      <w:r>
        <w:rPr>
          <w:spacing w:val="-24"/>
          <w:vertAlign w:val="baseline"/>
        </w:rPr>
        <w:t> </w:t>
      </w:r>
      <w:r>
        <w:rPr>
          <w:vertAlign w:val="baseline"/>
        </w:rPr>
        <w:t>have</w:t>
      </w:r>
      <w:r>
        <w:rPr>
          <w:spacing w:val="-24"/>
          <w:vertAlign w:val="baseline"/>
        </w:rPr>
        <w:t> </w:t>
      </w:r>
      <w:r>
        <w:rPr>
          <w:vertAlign w:val="baseline"/>
        </w:rPr>
        <w:t>seen</w:t>
      </w:r>
      <w:r>
        <w:rPr>
          <w:spacing w:val="-25"/>
          <w:vertAlign w:val="baseline"/>
        </w:rPr>
        <w:t> </w:t>
      </w:r>
      <w:r>
        <w:rPr>
          <w:vertAlign w:val="baseline"/>
        </w:rPr>
        <w:t>steep</w:t>
      </w:r>
      <w:r>
        <w:rPr>
          <w:spacing w:val="-26"/>
          <w:vertAlign w:val="baseline"/>
        </w:rPr>
        <w:t> </w:t>
      </w:r>
      <w:r>
        <w:rPr>
          <w:vertAlign w:val="baseline"/>
        </w:rPr>
        <w:t>declines</w:t>
      </w:r>
      <w:r>
        <w:rPr>
          <w:spacing w:val="-26"/>
          <w:vertAlign w:val="baseline"/>
        </w:rPr>
        <w:t> </w:t>
      </w:r>
      <w:r>
        <w:rPr>
          <w:vertAlign w:val="baseline"/>
        </w:rPr>
        <w:t>since</w:t>
      </w:r>
      <w:r>
        <w:rPr>
          <w:spacing w:val="-25"/>
          <w:vertAlign w:val="baseline"/>
        </w:rPr>
        <w:t> </w:t>
      </w:r>
      <w:r>
        <w:rPr>
          <w:vertAlign w:val="baseline"/>
        </w:rPr>
        <w:t>late</w:t>
      </w:r>
      <w:r>
        <w:rPr>
          <w:spacing w:val="-25"/>
          <w:vertAlign w:val="baseline"/>
        </w:rPr>
        <w:t> </w:t>
      </w:r>
      <w:r>
        <w:rPr>
          <w:vertAlign w:val="baseline"/>
        </w:rPr>
        <w:t>February</w:t>
      </w:r>
      <w:r>
        <w:rPr>
          <w:spacing w:val="-25"/>
          <w:vertAlign w:val="baseline"/>
        </w:rPr>
        <w:t> </w:t>
      </w:r>
      <w:r>
        <w:rPr>
          <w:vertAlign w:val="baseline"/>
        </w:rPr>
        <w:t>largely</w:t>
      </w:r>
      <w:r>
        <w:rPr>
          <w:spacing w:val="-24"/>
          <w:vertAlign w:val="baseline"/>
        </w:rPr>
        <w:t> </w:t>
      </w:r>
      <w:r>
        <w:rPr>
          <w:vertAlign w:val="baseline"/>
        </w:rPr>
        <w:t>on</w:t>
      </w:r>
      <w:r>
        <w:rPr>
          <w:spacing w:val="-27"/>
          <w:vertAlign w:val="baseline"/>
        </w:rPr>
        <w:t> </w:t>
      </w:r>
      <w:r>
        <w:rPr>
          <w:vertAlign w:val="baseline"/>
        </w:rPr>
        <w:t>the back</w:t>
      </w:r>
      <w:r>
        <w:rPr>
          <w:spacing w:val="-9"/>
          <w:vertAlign w:val="baseline"/>
        </w:rPr>
        <w:t> </w:t>
      </w:r>
      <w:r>
        <w:rPr>
          <w:vertAlign w:val="baseline"/>
        </w:rPr>
        <w:t>of</w:t>
      </w:r>
      <w:r>
        <w:rPr>
          <w:spacing w:val="-8"/>
          <w:vertAlign w:val="baseline"/>
        </w:rPr>
        <w:t> </w:t>
      </w:r>
      <w:r>
        <w:rPr>
          <w:vertAlign w:val="baseline"/>
        </w:rPr>
        <w:t>the</w:t>
      </w:r>
      <w:r>
        <w:rPr>
          <w:spacing w:val="-8"/>
          <w:vertAlign w:val="baseline"/>
        </w:rPr>
        <w:t> </w:t>
      </w:r>
      <w:r>
        <w:rPr>
          <w:vertAlign w:val="baseline"/>
        </w:rPr>
        <w:t>pandemic</w:t>
      </w:r>
      <w:r>
        <w:rPr>
          <w:spacing w:val="-8"/>
          <w:vertAlign w:val="baseline"/>
        </w:rPr>
        <w:t> </w:t>
      </w:r>
      <w:r>
        <w:rPr>
          <w:vertAlign w:val="baseline"/>
        </w:rPr>
        <w:t>over</w:t>
      </w:r>
      <w:r>
        <w:rPr>
          <w:spacing w:val="-9"/>
          <w:vertAlign w:val="baseline"/>
        </w:rPr>
        <w:t> </w:t>
      </w:r>
      <w:r>
        <w:rPr>
          <w:vertAlign w:val="baseline"/>
        </w:rPr>
        <w:t>concerns</w:t>
      </w:r>
      <w:r>
        <w:rPr>
          <w:spacing w:val="-7"/>
          <w:vertAlign w:val="baseline"/>
        </w:rPr>
        <w:t> </w:t>
      </w:r>
      <w:r>
        <w:rPr>
          <w:vertAlign w:val="baseline"/>
        </w:rPr>
        <w:t>of</w:t>
      </w:r>
      <w:r>
        <w:rPr>
          <w:spacing w:val="-8"/>
          <w:vertAlign w:val="baseline"/>
        </w:rPr>
        <w:t> </w:t>
      </w:r>
      <w:r>
        <w:rPr>
          <w:vertAlign w:val="baseline"/>
        </w:rPr>
        <w:t>trade</w:t>
      </w:r>
      <w:r>
        <w:rPr>
          <w:spacing w:val="-8"/>
          <w:vertAlign w:val="baseline"/>
        </w:rPr>
        <w:t> </w:t>
      </w:r>
      <w:r>
        <w:rPr>
          <w:vertAlign w:val="baseline"/>
        </w:rPr>
        <w:t>disruptions</w:t>
      </w:r>
      <w:r>
        <w:rPr>
          <w:spacing w:val="-8"/>
          <w:vertAlign w:val="baseline"/>
        </w:rPr>
        <w:t> </w:t>
      </w:r>
      <w:r>
        <w:rPr>
          <w:vertAlign w:val="baseline"/>
        </w:rPr>
        <w:t>and</w:t>
      </w:r>
      <w:r>
        <w:rPr>
          <w:spacing w:val="-9"/>
          <w:vertAlign w:val="baseline"/>
        </w:rPr>
        <w:t> </w:t>
      </w:r>
      <w:r>
        <w:rPr>
          <w:vertAlign w:val="baseline"/>
        </w:rPr>
        <w:t>falling</w:t>
      </w:r>
      <w:r>
        <w:rPr>
          <w:spacing w:val="-9"/>
          <w:vertAlign w:val="baseline"/>
        </w:rPr>
        <w:t> </w:t>
      </w:r>
      <w:r>
        <w:rPr>
          <w:vertAlign w:val="baseline"/>
        </w:rPr>
        <w:t>demand.</w:t>
      </w:r>
      <w:r>
        <w:rPr>
          <w:spacing w:val="-8"/>
          <w:vertAlign w:val="baseline"/>
        </w:rPr>
        <w:t> </w:t>
      </w:r>
      <w:r>
        <w:rPr>
          <w:vertAlign w:val="baseline"/>
        </w:rPr>
        <w:t>Many</w:t>
      </w:r>
      <w:r>
        <w:rPr>
          <w:spacing w:val="-8"/>
          <w:vertAlign w:val="baseline"/>
        </w:rPr>
        <w:t> </w:t>
      </w:r>
      <w:r>
        <w:rPr>
          <w:vertAlign w:val="baseline"/>
        </w:rPr>
        <w:t>countries</w:t>
      </w:r>
      <w:r>
        <w:rPr>
          <w:spacing w:val="-9"/>
          <w:vertAlign w:val="baseline"/>
        </w:rPr>
        <w:t> </w:t>
      </w:r>
      <w:r>
        <w:rPr>
          <w:vertAlign w:val="baseline"/>
        </w:rPr>
        <w:t>globally have</w:t>
      </w:r>
      <w:r>
        <w:rPr>
          <w:spacing w:val="-32"/>
          <w:vertAlign w:val="baseline"/>
        </w:rPr>
        <w:t> </w:t>
      </w:r>
      <w:r>
        <w:rPr>
          <w:vertAlign w:val="baseline"/>
        </w:rPr>
        <w:t>implemented</w:t>
      </w:r>
      <w:r>
        <w:rPr>
          <w:spacing w:val="-31"/>
          <w:vertAlign w:val="baseline"/>
        </w:rPr>
        <w:t> </w:t>
      </w:r>
      <w:r>
        <w:rPr>
          <w:vertAlign w:val="baseline"/>
        </w:rPr>
        <w:t>strict</w:t>
      </w:r>
      <w:r>
        <w:rPr>
          <w:spacing w:val="-32"/>
          <w:vertAlign w:val="baseline"/>
        </w:rPr>
        <w:t> </w:t>
      </w:r>
      <w:r>
        <w:rPr>
          <w:vertAlign w:val="baseline"/>
        </w:rPr>
        <w:t>travel</w:t>
      </w:r>
      <w:r>
        <w:rPr>
          <w:spacing w:val="-33"/>
          <w:vertAlign w:val="baseline"/>
        </w:rPr>
        <w:t> </w:t>
      </w:r>
      <w:r>
        <w:rPr>
          <w:vertAlign w:val="baseline"/>
        </w:rPr>
        <w:t>restrictions</w:t>
      </w:r>
      <w:r>
        <w:rPr>
          <w:spacing w:val="-31"/>
          <w:vertAlign w:val="baseline"/>
        </w:rPr>
        <w:t> </w:t>
      </w:r>
      <w:r>
        <w:rPr>
          <w:vertAlign w:val="baseline"/>
        </w:rPr>
        <w:t>and</w:t>
      </w:r>
      <w:r>
        <w:rPr>
          <w:spacing w:val="-32"/>
          <w:vertAlign w:val="baseline"/>
        </w:rPr>
        <w:t> </w:t>
      </w:r>
      <w:r>
        <w:rPr>
          <w:vertAlign w:val="baseline"/>
        </w:rPr>
        <w:t>a</w:t>
      </w:r>
      <w:r>
        <w:rPr>
          <w:spacing w:val="-31"/>
          <w:vertAlign w:val="baseline"/>
        </w:rPr>
        <w:t> </w:t>
      </w:r>
      <w:r>
        <w:rPr>
          <w:vertAlign w:val="baseline"/>
        </w:rPr>
        <w:t>range</w:t>
      </w:r>
      <w:r>
        <w:rPr>
          <w:spacing w:val="-32"/>
          <w:vertAlign w:val="baseline"/>
        </w:rPr>
        <w:t> </w:t>
      </w:r>
      <w:r>
        <w:rPr>
          <w:vertAlign w:val="baseline"/>
        </w:rPr>
        <w:t>of</w:t>
      </w:r>
      <w:r>
        <w:rPr>
          <w:spacing w:val="-31"/>
          <w:vertAlign w:val="baseline"/>
        </w:rPr>
        <w:t> </w:t>
      </w:r>
      <w:r>
        <w:rPr>
          <w:vertAlign w:val="baseline"/>
        </w:rPr>
        <w:t>quarantine</w:t>
      </w:r>
      <w:r>
        <w:rPr>
          <w:spacing w:val="-33"/>
          <w:vertAlign w:val="baseline"/>
        </w:rPr>
        <w:t> </w:t>
      </w:r>
      <w:r>
        <w:rPr>
          <w:vertAlign w:val="baseline"/>
        </w:rPr>
        <w:t>and</w:t>
      </w:r>
      <w:r>
        <w:rPr>
          <w:spacing w:val="-31"/>
          <w:vertAlign w:val="baseline"/>
        </w:rPr>
        <w:t> </w:t>
      </w:r>
      <w:r>
        <w:rPr>
          <w:vertAlign w:val="baseline"/>
        </w:rPr>
        <w:t>“social</w:t>
      </w:r>
      <w:r>
        <w:rPr>
          <w:spacing w:val="-33"/>
          <w:vertAlign w:val="baseline"/>
        </w:rPr>
        <w:t> </w:t>
      </w:r>
      <w:r>
        <w:rPr>
          <w:vertAlign w:val="baseline"/>
        </w:rPr>
        <w:t>distancing”</w:t>
      </w:r>
      <w:r>
        <w:rPr>
          <w:spacing w:val="-31"/>
          <w:vertAlign w:val="baseline"/>
        </w:rPr>
        <w:t> </w:t>
      </w:r>
      <w:r>
        <w:rPr>
          <w:vertAlign w:val="baseline"/>
        </w:rPr>
        <w:t>measures.</w:t>
      </w:r>
    </w:p>
    <w:p>
      <w:pPr>
        <w:pStyle w:val="BodyText"/>
        <w:spacing w:line="321" w:lineRule="auto" w:before="124"/>
        <w:ind w:left="820" w:right="635"/>
        <w:jc w:val="both"/>
      </w:pPr>
      <w:r>
        <w:rPr/>
        <w:t>Market</w:t>
      </w:r>
      <w:r>
        <w:rPr>
          <w:spacing w:val="-30"/>
        </w:rPr>
        <w:t> </w:t>
      </w:r>
      <w:r>
        <w:rPr/>
        <w:t>activity</w:t>
      </w:r>
      <w:r>
        <w:rPr>
          <w:spacing w:val="-29"/>
        </w:rPr>
        <w:t> </w:t>
      </w:r>
      <w:r>
        <w:rPr/>
        <w:t>is</w:t>
      </w:r>
      <w:r>
        <w:rPr>
          <w:spacing w:val="-31"/>
        </w:rPr>
        <w:t> </w:t>
      </w:r>
      <w:r>
        <w:rPr/>
        <w:t>being</w:t>
      </w:r>
      <w:r>
        <w:rPr>
          <w:spacing w:val="-29"/>
        </w:rPr>
        <w:t> </w:t>
      </w:r>
      <w:r>
        <w:rPr/>
        <w:t>impacted</w:t>
      </w:r>
      <w:r>
        <w:rPr>
          <w:spacing w:val="-31"/>
        </w:rPr>
        <w:t> </w:t>
      </w:r>
      <w:r>
        <w:rPr/>
        <w:t>in</w:t>
      </w:r>
      <w:r>
        <w:rPr>
          <w:spacing w:val="-30"/>
        </w:rPr>
        <w:t> </w:t>
      </w:r>
      <w:r>
        <w:rPr/>
        <w:t>most</w:t>
      </w:r>
      <w:r>
        <w:rPr>
          <w:spacing w:val="-31"/>
        </w:rPr>
        <w:t> </w:t>
      </w:r>
      <w:r>
        <w:rPr/>
        <w:t>sectors.</w:t>
      </w:r>
      <w:r>
        <w:rPr>
          <w:spacing w:val="-31"/>
        </w:rPr>
        <w:t> </w:t>
      </w:r>
      <w:r>
        <w:rPr/>
        <w:t>In</w:t>
      </w:r>
      <w:r>
        <w:rPr>
          <w:spacing w:val="-30"/>
        </w:rPr>
        <w:t> </w:t>
      </w:r>
      <w:r>
        <w:rPr/>
        <w:t>this</w:t>
      </w:r>
      <w:r>
        <w:rPr>
          <w:spacing w:val="-30"/>
        </w:rPr>
        <w:t> </w:t>
      </w:r>
      <w:r>
        <w:rPr/>
        <w:t>environment,</w:t>
      </w:r>
      <w:r>
        <w:rPr>
          <w:spacing w:val="-30"/>
        </w:rPr>
        <w:t> </w:t>
      </w:r>
      <w:r>
        <w:rPr/>
        <w:t>we</w:t>
      </w:r>
      <w:r>
        <w:rPr>
          <w:spacing w:val="-30"/>
        </w:rPr>
        <w:t> </w:t>
      </w:r>
      <w:r>
        <w:rPr/>
        <w:t>have</w:t>
      </w:r>
      <w:r>
        <w:rPr>
          <w:spacing w:val="-30"/>
        </w:rPr>
        <w:t> </w:t>
      </w:r>
      <w:r>
        <w:rPr/>
        <w:t>considered</w:t>
      </w:r>
      <w:r>
        <w:rPr>
          <w:spacing w:val="-29"/>
        </w:rPr>
        <w:t> </w:t>
      </w:r>
      <w:r>
        <w:rPr/>
        <w:t>/</w:t>
      </w:r>
      <w:r>
        <w:rPr>
          <w:spacing w:val="-31"/>
        </w:rPr>
        <w:t> </w:t>
      </w:r>
      <w:r>
        <w:rPr/>
        <w:t>relooked</w:t>
      </w:r>
      <w:r>
        <w:rPr>
          <w:spacing w:val="-29"/>
        </w:rPr>
        <w:t> </w:t>
      </w:r>
      <w:r>
        <w:rPr/>
        <w:t>at various performance parameters and have adopted heuristic/ careful interventions to our projected cashflows</w:t>
      </w:r>
      <w:r>
        <w:rPr>
          <w:spacing w:val="-30"/>
        </w:rPr>
        <w:t> </w:t>
      </w:r>
      <w:r>
        <w:rPr/>
        <w:t>based</w:t>
      </w:r>
      <w:r>
        <w:rPr>
          <w:spacing w:val="-29"/>
        </w:rPr>
        <w:t> </w:t>
      </w:r>
      <w:r>
        <w:rPr/>
        <w:t>on</w:t>
      </w:r>
      <w:r>
        <w:rPr>
          <w:spacing w:val="-29"/>
        </w:rPr>
        <w:t> </w:t>
      </w:r>
      <w:r>
        <w:rPr/>
        <w:t>our</w:t>
      </w:r>
      <w:r>
        <w:rPr>
          <w:spacing w:val="-29"/>
        </w:rPr>
        <w:t> </w:t>
      </w:r>
      <w:r>
        <w:rPr/>
        <w:t>view</w:t>
      </w:r>
      <w:r>
        <w:rPr>
          <w:spacing w:val="-28"/>
        </w:rPr>
        <w:t> </w:t>
      </w:r>
      <w:r>
        <w:rPr/>
        <w:t>as</w:t>
      </w:r>
      <w:r>
        <w:rPr>
          <w:spacing w:val="-28"/>
        </w:rPr>
        <w:t> </w:t>
      </w:r>
      <w:r>
        <w:rPr/>
        <w:t>of</w:t>
      </w:r>
      <w:r>
        <w:rPr>
          <w:spacing w:val="-29"/>
        </w:rPr>
        <w:t> </w:t>
      </w:r>
      <w:r>
        <w:rPr/>
        <w:t>this</w:t>
      </w:r>
      <w:r>
        <w:rPr>
          <w:spacing w:val="-28"/>
        </w:rPr>
        <w:t> </w:t>
      </w:r>
      <w:r>
        <w:rPr/>
        <w:t>date.</w:t>
      </w:r>
      <w:r>
        <w:rPr>
          <w:spacing w:val="-29"/>
        </w:rPr>
        <w:t> </w:t>
      </w:r>
      <w:r>
        <w:rPr/>
        <w:t>As</w:t>
      </w:r>
      <w:r>
        <w:rPr>
          <w:spacing w:val="-28"/>
        </w:rPr>
        <w:t> </w:t>
      </w:r>
      <w:r>
        <w:rPr/>
        <w:t>at</w:t>
      </w:r>
      <w:r>
        <w:rPr>
          <w:spacing w:val="-28"/>
        </w:rPr>
        <w:t> </w:t>
      </w:r>
      <w:r>
        <w:rPr/>
        <w:t>the</w:t>
      </w:r>
      <w:r>
        <w:rPr>
          <w:spacing w:val="-29"/>
        </w:rPr>
        <w:t> </w:t>
      </w:r>
      <w:r>
        <w:rPr/>
        <w:t>valuation</w:t>
      </w:r>
      <w:r>
        <w:rPr>
          <w:spacing w:val="-29"/>
        </w:rPr>
        <w:t> </w:t>
      </w:r>
      <w:r>
        <w:rPr/>
        <w:t>date,</w:t>
      </w:r>
      <w:r>
        <w:rPr>
          <w:spacing w:val="-29"/>
        </w:rPr>
        <w:t> </w:t>
      </w:r>
      <w:r>
        <w:rPr/>
        <w:t>we</w:t>
      </w:r>
      <w:r>
        <w:rPr>
          <w:spacing w:val="-29"/>
        </w:rPr>
        <w:t> </w:t>
      </w:r>
      <w:r>
        <w:rPr/>
        <w:t>consider</w:t>
      </w:r>
      <w:r>
        <w:rPr>
          <w:spacing w:val="-29"/>
        </w:rPr>
        <w:t> </w:t>
      </w:r>
      <w:r>
        <w:rPr/>
        <w:t>that</w:t>
      </w:r>
      <w:r>
        <w:rPr>
          <w:spacing w:val="-31"/>
        </w:rPr>
        <w:t> </w:t>
      </w:r>
      <w:r>
        <w:rPr/>
        <w:t>we</w:t>
      </w:r>
      <w:r>
        <w:rPr>
          <w:spacing w:val="-28"/>
        </w:rPr>
        <w:t> </w:t>
      </w:r>
      <w:r>
        <w:rPr/>
        <w:t>can</w:t>
      </w:r>
      <w:r>
        <w:rPr>
          <w:spacing w:val="-29"/>
        </w:rPr>
        <w:t> </w:t>
      </w:r>
      <w:r>
        <w:rPr/>
        <w:t>attach</w:t>
      </w:r>
      <w:r>
        <w:rPr>
          <w:spacing w:val="-29"/>
        </w:rPr>
        <w:t> </w:t>
      </w:r>
      <w:r>
        <w:rPr/>
        <w:t>less weight</w:t>
      </w:r>
      <w:r>
        <w:rPr>
          <w:spacing w:val="-19"/>
        </w:rPr>
        <w:t> </w:t>
      </w:r>
      <w:r>
        <w:rPr/>
        <w:t>to</w:t>
      </w:r>
      <w:r>
        <w:rPr>
          <w:spacing w:val="-21"/>
        </w:rPr>
        <w:t> </w:t>
      </w:r>
      <w:r>
        <w:rPr/>
        <w:t>previous</w:t>
      </w:r>
      <w:r>
        <w:rPr>
          <w:spacing w:val="-17"/>
        </w:rPr>
        <w:t> </w:t>
      </w:r>
      <w:r>
        <w:rPr/>
        <w:t>market</w:t>
      </w:r>
      <w:r>
        <w:rPr>
          <w:spacing w:val="-18"/>
        </w:rPr>
        <w:t> </w:t>
      </w:r>
      <w:r>
        <w:rPr/>
        <w:t>evidence</w:t>
      </w:r>
      <w:r>
        <w:rPr>
          <w:spacing w:val="-19"/>
        </w:rPr>
        <w:t> </w:t>
      </w:r>
      <w:r>
        <w:rPr/>
        <w:t>for</w:t>
      </w:r>
      <w:r>
        <w:rPr>
          <w:spacing w:val="-20"/>
        </w:rPr>
        <w:t> </w:t>
      </w:r>
      <w:r>
        <w:rPr/>
        <w:t>comparison</w:t>
      </w:r>
      <w:r>
        <w:rPr>
          <w:spacing w:val="-19"/>
        </w:rPr>
        <w:t> </w:t>
      </w:r>
      <w:r>
        <w:rPr/>
        <w:t>purposes,</w:t>
      </w:r>
      <w:r>
        <w:rPr>
          <w:spacing w:val="-18"/>
        </w:rPr>
        <w:t> </w:t>
      </w:r>
      <w:r>
        <w:rPr/>
        <w:t>to</w:t>
      </w:r>
      <w:r>
        <w:rPr>
          <w:spacing w:val="-19"/>
        </w:rPr>
        <w:t> </w:t>
      </w:r>
      <w:r>
        <w:rPr/>
        <w:t>inform</w:t>
      </w:r>
      <w:r>
        <w:rPr>
          <w:spacing w:val="-18"/>
        </w:rPr>
        <w:t> </w:t>
      </w:r>
      <w:r>
        <w:rPr/>
        <w:t>opinions</w:t>
      </w:r>
      <w:r>
        <w:rPr>
          <w:spacing w:val="-19"/>
        </w:rPr>
        <w:t> </w:t>
      </w:r>
      <w:r>
        <w:rPr/>
        <w:t>of</w:t>
      </w:r>
      <w:r>
        <w:rPr>
          <w:spacing w:val="-18"/>
        </w:rPr>
        <w:t> </w:t>
      </w:r>
      <w:r>
        <w:rPr/>
        <w:t>value.</w:t>
      </w:r>
      <w:r>
        <w:rPr>
          <w:spacing w:val="29"/>
        </w:rPr>
        <w:t> </w:t>
      </w:r>
      <w:r>
        <w:rPr/>
        <w:t>Indeed,</w:t>
      </w:r>
      <w:r>
        <w:rPr>
          <w:spacing w:val="-20"/>
        </w:rPr>
        <w:t> </w:t>
      </w:r>
      <w:r>
        <w:rPr/>
        <w:t>the current</w:t>
      </w:r>
      <w:r>
        <w:rPr>
          <w:spacing w:val="-19"/>
        </w:rPr>
        <w:t> </w:t>
      </w:r>
      <w:r>
        <w:rPr/>
        <w:t>response</w:t>
      </w:r>
      <w:r>
        <w:rPr>
          <w:spacing w:val="-20"/>
        </w:rPr>
        <w:t> </w:t>
      </w:r>
      <w:r>
        <w:rPr/>
        <w:t>to</w:t>
      </w:r>
      <w:r>
        <w:rPr>
          <w:spacing w:val="-19"/>
        </w:rPr>
        <w:t> </w:t>
      </w:r>
      <w:r>
        <w:rPr/>
        <w:t>COVID-19</w:t>
      </w:r>
      <w:r>
        <w:rPr>
          <w:spacing w:val="-18"/>
        </w:rPr>
        <w:t> </w:t>
      </w:r>
      <w:r>
        <w:rPr/>
        <w:t>means</w:t>
      </w:r>
      <w:r>
        <w:rPr>
          <w:spacing w:val="-18"/>
        </w:rPr>
        <w:t> </w:t>
      </w:r>
      <w:r>
        <w:rPr/>
        <w:t>that</w:t>
      </w:r>
      <w:r>
        <w:rPr>
          <w:spacing w:val="-20"/>
        </w:rPr>
        <w:t> </w:t>
      </w:r>
      <w:r>
        <w:rPr/>
        <w:t>we</w:t>
      </w:r>
      <w:r>
        <w:rPr>
          <w:spacing w:val="-21"/>
        </w:rPr>
        <w:t> </w:t>
      </w:r>
      <w:r>
        <w:rPr/>
        <w:t>are</w:t>
      </w:r>
      <w:r>
        <w:rPr>
          <w:spacing w:val="-20"/>
        </w:rPr>
        <w:t> </w:t>
      </w:r>
      <w:r>
        <w:rPr/>
        <w:t>faced</w:t>
      </w:r>
      <w:r>
        <w:rPr>
          <w:spacing w:val="-19"/>
        </w:rPr>
        <w:t> </w:t>
      </w:r>
      <w:r>
        <w:rPr/>
        <w:t>with</w:t>
      </w:r>
      <w:r>
        <w:rPr>
          <w:spacing w:val="-19"/>
        </w:rPr>
        <w:t> </w:t>
      </w:r>
      <w:r>
        <w:rPr/>
        <w:t>an</w:t>
      </w:r>
      <w:r>
        <w:rPr>
          <w:spacing w:val="-18"/>
        </w:rPr>
        <w:t> </w:t>
      </w:r>
      <w:r>
        <w:rPr/>
        <w:t>unprecedented</w:t>
      </w:r>
      <w:r>
        <w:rPr>
          <w:spacing w:val="-20"/>
        </w:rPr>
        <w:t> </w:t>
      </w:r>
      <w:r>
        <w:rPr/>
        <w:t>set</w:t>
      </w:r>
      <w:r>
        <w:rPr>
          <w:spacing w:val="-17"/>
        </w:rPr>
        <w:t> </w:t>
      </w:r>
      <w:r>
        <w:rPr/>
        <w:t>of</w:t>
      </w:r>
      <w:r>
        <w:rPr>
          <w:spacing w:val="-20"/>
        </w:rPr>
        <w:t> </w:t>
      </w:r>
      <w:r>
        <w:rPr/>
        <w:t>circumstances</w:t>
      </w:r>
      <w:r>
        <w:rPr>
          <w:spacing w:val="-19"/>
        </w:rPr>
        <w:t> </w:t>
      </w:r>
      <w:r>
        <w:rPr/>
        <w:t>on which to base a</w:t>
      </w:r>
      <w:r>
        <w:rPr>
          <w:spacing w:val="-14"/>
        </w:rPr>
        <w:t> </w:t>
      </w:r>
      <w:r>
        <w:rPr/>
        <w:t>judgement.</w:t>
      </w:r>
    </w:p>
    <w:p>
      <w:pPr>
        <w:pStyle w:val="BodyText"/>
        <w:spacing w:line="321" w:lineRule="auto" w:before="124"/>
        <w:ind w:left="820" w:right="634"/>
        <w:jc w:val="both"/>
      </w:pPr>
      <w:r>
        <w:rPr/>
        <w:t>Our</w:t>
      </w:r>
      <w:r>
        <w:rPr>
          <w:spacing w:val="-50"/>
        </w:rPr>
        <w:t> </w:t>
      </w:r>
      <w:r>
        <w:rPr/>
        <w:t>valuation(s)</w:t>
      </w:r>
      <w:r>
        <w:rPr>
          <w:spacing w:val="-48"/>
        </w:rPr>
        <w:t> </w:t>
      </w:r>
      <w:r>
        <w:rPr/>
        <w:t>is</w:t>
      </w:r>
      <w:r>
        <w:rPr>
          <w:spacing w:val="-49"/>
        </w:rPr>
        <w:t> </w:t>
      </w:r>
      <w:r>
        <w:rPr/>
        <w:t>/</w:t>
      </w:r>
      <w:r>
        <w:rPr>
          <w:spacing w:val="-49"/>
        </w:rPr>
        <w:t> </w:t>
      </w:r>
      <w:r>
        <w:rPr/>
        <w:t>are</w:t>
      </w:r>
      <w:r>
        <w:rPr>
          <w:spacing w:val="-49"/>
        </w:rPr>
        <w:t> </w:t>
      </w:r>
      <w:r>
        <w:rPr/>
        <w:t>therefore</w:t>
      </w:r>
      <w:r>
        <w:rPr>
          <w:spacing w:val="-49"/>
        </w:rPr>
        <w:t> </w:t>
      </w:r>
      <w:r>
        <w:rPr/>
        <w:t>reported</w:t>
      </w:r>
      <w:r>
        <w:rPr>
          <w:spacing w:val="-49"/>
        </w:rPr>
        <w:t> </w:t>
      </w:r>
      <w:r>
        <w:rPr/>
        <w:t>on</w:t>
      </w:r>
      <w:r>
        <w:rPr>
          <w:spacing w:val="-49"/>
        </w:rPr>
        <w:t> </w:t>
      </w:r>
      <w:r>
        <w:rPr/>
        <w:t>the</w:t>
      </w:r>
      <w:r>
        <w:rPr>
          <w:spacing w:val="-50"/>
        </w:rPr>
        <w:t> </w:t>
      </w:r>
      <w:r>
        <w:rPr/>
        <w:t>basis</w:t>
      </w:r>
      <w:r>
        <w:rPr>
          <w:spacing w:val="-48"/>
        </w:rPr>
        <w:t> </w:t>
      </w:r>
      <w:r>
        <w:rPr/>
        <w:t>of</w:t>
      </w:r>
      <w:r>
        <w:rPr>
          <w:spacing w:val="-49"/>
        </w:rPr>
        <w:t> </w:t>
      </w:r>
      <w:r>
        <w:rPr/>
        <w:t>‘material</w:t>
      </w:r>
      <w:r>
        <w:rPr>
          <w:spacing w:val="-49"/>
        </w:rPr>
        <w:t> </w:t>
      </w:r>
      <w:r>
        <w:rPr/>
        <w:t>valuation</w:t>
      </w:r>
      <w:r>
        <w:rPr>
          <w:spacing w:val="-49"/>
        </w:rPr>
        <w:t> </w:t>
      </w:r>
      <w:r>
        <w:rPr/>
        <w:t>uncertainty’.</w:t>
      </w:r>
      <w:r>
        <w:rPr>
          <w:spacing w:val="-49"/>
        </w:rPr>
        <w:t> </w:t>
      </w:r>
      <w:r>
        <w:rPr/>
        <w:t>Consequently, less</w:t>
      </w:r>
      <w:r>
        <w:rPr>
          <w:spacing w:val="-28"/>
        </w:rPr>
        <w:t> </w:t>
      </w:r>
      <w:r>
        <w:rPr/>
        <w:t>certainty</w:t>
      </w:r>
      <w:r>
        <w:rPr>
          <w:spacing w:val="-28"/>
        </w:rPr>
        <w:t> </w:t>
      </w:r>
      <w:r>
        <w:rPr>
          <w:w w:val="105"/>
        </w:rPr>
        <w:t>–</w:t>
      </w:r>
      <w:r>
        <w:rPr>
          <w:spacing w:val="-32"/>
          <w:w w:val="105"/>
        </w:rPr>
        <w:t> </w:t>
      </w:r>
      <w:r>
        <w:rPr/>
        <w:t>and</w:t>
      </w:r>
      <w:r>
        <w:rPr>
          <w:spacing w:val="-29"/>
        </w:rPr>
        <w:t> </w:t>
      </w:r>
      <w:r>
        <w:rPr/>
        <w:t>a</w:t>
      </w:r>
      <w:r>
        <w:rPr>
          <w:spacing w:val="-29"/>
        </w:rPr>
        <w:t> </w:t>
      </w:r>
      <w:r>
        <w:rPr/>
        <w:t>higher</w:t>
      </w:r>
      <w:r>
        <w:rPr>
          <w:spacing w:val="-30"/>
        </w:rPr>
        <w:t> </w:t>
      </w:r>
      <w:r>
        <w:rPr/>
        <w:t>degree</w:t>
      </w:r>
      <w:r>
        <w:rPr>
          <w:spacing w:val="-29"/>
        </w:rPr>
        <w:t> </w:t>
      </w:r>
      <w:r>
        <w:rPr/>
        <w:t>of</w:t>
      </w:r>
      <w:r>
        <w:rPr>
          <w:spacing w:val="-28"/>
        </w:rPr>
        <w:t> </w:t>
      </w:r>
      <w:r>
        <w:rPr/>
        <w:t>caution</w:t>
      </w:r>
      <w:r>
        <w:rPr>
          <w:spacing w:val="-27"/>
        </w:rPr>
        <w:t> </w:t>
      </w:r>
      <w:r>
        <w:rPr>
          <w:w w:val="105"/>
        </w:rPr>
        <w:t>–</w:t>
      </w:r>
      <w:r>
        <w:rPr>
          <w:spacing w:val="-32"/>
          <w:w w:val="105"/>
        </w:rPr>
        <w:t> </w:t>
      </w:r>
      <w:r>
        <w:rPr/>
        <w:t>should</w:t>
      </w:r>
      <w:r>
        <w:rPr>
          <w:spacing w:val="-29"/>
        </w:rPr>
        <w:t> </w:t>
      </w:r>
      <w:r>
        <w:rPr/>
        <w:t>be</w:t>
      </w:r>
      <w:r>
        <w:rPr>
          <w:spacing w:val="-30"/>
        </w:rPr>
        <w:t> </w:t>
      </w:r>
      <w:r>
        <w:rPr/>
        <w:t>attached</w:t>
      </w:r>
      <w:r>
        <w:rPr>
          <w:spacing w:val="-27"/>
        </w:rPr>
        <w:t> </w:t>
      </w:r>
      <w:r>
        <w:rPr/>
        <w:t>to</w:t>
      </w:r>
      <w:r>
        <w:rPr>
          <w:spacing w:val="-29"/>
        </w:rPr>
        <w:t> </w:t>
      </w:r>
      <w:r>
        <w:rPr/>
        <w:t>our</w:t>
      </w:r>
      <w:r>
        <w:rPr>
          <w:spacing w:val="-30"/>
        </w:rPr>
        <w:t> </w:t>
      </w:r>
      <w:r>
        <w:rPr/>
        <w:t>valuation</w:t>
      </w:r>
      <w:r>
        <w:rPr>
          <w:spacing w:val="-29"/>
        </w:rPr>
        <w:t> </w:t>
      </w:r>
      <w:r>
        <w:rPr/>
        <w:t>than</w:t>
      </w:r>
      <w:r>
        <w:rPr>
          <w:spacing w:val="-29"/>
        </w:rPr>
        <w:t> </w:t>
      </w:r>
      <w:r>
        <w:rPr/>
        <w:t>would</w:t>
      </w:r>
      <w:r>
        <w:rPr>
          <w:spacing w:val="-29"/>
        </w:rPr>
        <w:t> </w:t>
      </w:r>
      <w:r>
        <w:rPr/>
        <w:t>normally be</w:t>
      </w:r>
      <w:r>
        <w:rPr>
          <w:spacing w:val="-23"/>
        </w:rPr>
        <w:t> </w:t>
      </w:r>
      <w:r>
        <w:rPr/>
        <w:t>the</w:t>
      </w:r>
      <w:r>
        <w:rPr>
          <w:spacing w:val="-23"/>
        </w:rPr>
        <w:t> </w:t>
      </w:r>
      <w:r>
        <w:rPr/>
        <w:t>case.</w:t>
      </w:r>
      <w:r>
        <w:rPr>
          <w:spacing w:val="-22"/>
        </w:rPr>
        <w:t> </w:t>
      </w:r>
      <w:r>
        <w:rPr/>
        <w:t>Values</w:t>
      </w:r>
      <w:r>
        <w:rPr>
          <w:spacing w:val="-22"/>
        </w:rPr>
        <w:t> </w:t>
      </w:r>
      <w:r>
        <w:rPr/>
        <w:t>may</w:t>
      </w:r>
      <w:r>
        <w:rPr>
          <w:spacing w:val="-22"/>
        </w:rPr>
        <w:t> </w:t>
      </w:r>
      <w:r>
        <w:rPr/>
        <w:t>change</w:t>
      </w:r>
      <w:r>
        <w:rPr>
          <w:spacing w:val="-22"/>
        </w:rPr>
        <w:t> </w:t>
      </w:r>
      <w:r>
        <w:rPr/>
        <w:t>more</w:t>
      </w:r>
      <w:r>
        <w:rPr>
          <w:spacing w:val="-22"/>
        </w:rPr>
        <w:t> </w:t>
      </w:r>
      <w:r>
        <w:rPr/>
        <w:t>rapidly</w:t>
      </w:r>
      <w:r>
        <w:rPr>
          <w:spacing w:val="-22"/>
        </w:rPr>
        <w:t> </w:t>
      </w:r>
      <w:r>
        <w:rPr/>
        <w:t>and</w:t>
      </w:r>
      <w:r>
        <w:rPr>
          <w:spacing w:val="-23"/>
        </w:rPr>
        <w:t> </w:t>
      </w:r>
      <w:r>
        <w:rPr/>
        <w:t>significantly</w:t>
      </w:r>
      <w:r>
        <w:rPr>
          <w:spacing w:val="-23"/>
        </w:rPr>
        <w:t> </w:t>
      </w:r>
      <w:r>
        <w:rPr/>
        <w:t>than</w:t>
      </w:r>
      <w:r>
        <w:rPr>
          <w:spacing w:val="-23"/>
        </w:rPr>
        <w:t> </w:t>
      </w:r>
      <w:r>
        <w:rPr/>
        <w:t>during</w:t>
      </w:r>
      <w:r>
        <w:rPr>
          <w:spacing w:val="-23"/>
        </w:rPr>
        <w:t> </w:t>
      </w:r>
      <w:r>
        <w:rPr/>
        <w:t>standard</w:t>
      </w:r>
      <w:r>
        <w:rPr>
          <w:spacing w:val="-22"/>
        </w:rPr>
        <w:t> </w:t>
      </w:r>
      <w:r>
        <w:rPr/>
        <w:t>market</w:t>
      </w:r>
      <w:r>
        <w:rPr>
          <w:spacing w:val="-22"/>
        </w:rPr>
        <w:t> </w:t>
      </w:r>
      <w:r>
        <w:rPr/>
        <w:t>conditions. Given</w:t>
      </w:r>
      <w:r>
        <w:rPr>
          <w:spacing w:val="-21"/>
        </w:rPr>
        <w:t> </w:t>
      </w:r>
      <w:r>
        <w:rPr/>
        <w:t>the</w:t>
      </w:r>
      <w:r>
        <w:rPr>
          <w:spacing w:val="-19"/>
        </w:rPr>
        <w:t> </w:t>
      </w:r>
      <w:r>
        <w:rPr/>
        <w:t>unknown</w:t>
      </w:r>
      <w:r>
        <w:rPr>
          <w:spacing w:val="-20"/>
        </w:rPr>
        <w:t> </w:t>
      </w:r>
      <w:r>
        <w:rPr/>
        <w:t>future</w:t>
      </w:r>
      <w:r>
        <w:rPr>
          <w:spacing w:val="-19"/>
        </w:rPr>
        <w:t> </w:t>
      </w:r>
      <w:r>
        <w:rPr/>
        <w:t>impact</w:t>
      </w:r>
      <w:r>
        <w:rPr>
          <w:spacing w:val="-19"/>
        </w:rPr>
        <w:t> </w:t>
      </w:r>
      <w:r>
        <w:rPr/>
        <w:t>that</w:t>
      </w:r>
      <w:r>
        <w:rPr>
          <w:spacing w:val="-20"/>
        </w:rPr>
        <w:t> </w:t>
      </w:r>
      <w:r>
        <w:rPr/>
        <w:t>COVID-19</w:t>
      </w:r>
      <w:r>
        <w:rPr>
          <w:spacing w:val="-21"/>
        </w:rPr>
        <w:t> </w:t>
      </w:r>
      <w:r>
        <w:rPr/>
        <w:t>might</w:t>
      </w:r>
      <w:r>
        <w:rPr>
          <w:spacing w:val="-20"/>
        </w:rPr>
        <w:t> </w:t>
      </w:r>
      <w:r>
        <w:rPr/>
        <w:t>have</w:t>
      </w:r>
      <w:r>
        <w:rPr>
          <w:spacing w:val="-19"/>
        </w:rPr>
        <w:t> </w:t>
      </w:r>
      <w:r>
        <w:rPr/>
        <w:t>on</w:t>
      </w:r>
      <w:r>
        <w:rPr>
          <w:spacing w:val="-20"/>
        </w:rPr>
        <w:t> </w:t>
      </w:r>
      <w:r>
        <w:rPr/>
        <w:t>the</w:t>
      </w:r>
      <w:r>
        <w:rPr>
          <w:spacing w:val="-19"/>
        </w:rPr>
        <w:t> </w:t>
      </w:r>
      <w:r>
        <w:rPr/>
        <w:t>real</w:t>
      </w:r>
      <w:r>
        <w:rPr>
          <w:spacing w:val="-20"/>
        </w:rPr>
        <w:t> </w:t>
      </w:r>
      <w:r>
        <w:rPr/>
        <w:t>estate</w:t>
      </w:r>
      <w:r>
        <w:rPr>
          <w:spacing w:val="-20"/>
        </w:rPr>
        <w:t> </w:t>
      </w:r>
      <w:r>
        <w:rPr/>
        <w:t>market,</w:t>
      </w:r>
      <w:r>
        <w:rPr>
          <w:spacing w:val="-19"/>
        </w:rPr>
        <w:t> </w:t>
      </w:r>
      <w:r>
        <w:rPr/>
        <w:t>we</w:t>
      </w:r>
      <w:r>
        <w:rPr>
          <w:spacing w:val="-19"/>
        </w:rPr>
        <w:t> </w:t>
      </w:r>
      <w:r>
        <w:rPr/>
        <w:t>recommend that</w:t>
      </w:r>
      <w:r>
        <w:rPr>
          <w:spacing w:val="-9"/>
        </w:rPr>
        <w:t> </w:t>
      </w:r>
      <w:r>
        <w:rPr/>
        <w:t>you</w:t>
      </w:r>
      <w:r>
        <w:rPr>
          <w:spacing w:val="-9"/>
        </w:rPr>
        <w:t> </w:t>
      </w:r>
      <w:r>
        <w:rPr/>
        <w:t>keep</w:t>
      </w:r>
      <w:r>
        <w:rPr>
          <w:spacing w:val="-7"/>
        </w:rPr>
        <w:t> </w:t>
      </w:r>
      <w:r>
        <w:rPr/>
        <w:t>the</w:t>
      </w:r>
      <w:r>
        <w:rPr>
          <w:spacing w:val="-10"/>
        </w:rPr>
        <w:t> </w:t>
      </w:r>
      <w:r>
        <w:rPr/>
        <w:t>valuation</w:t>
      </w:r>
      <w:r>
        <w:rPr>
          <w:spacing w:val="-9"/>
        </w:rPr>
        <w:t> </w:t>
      </w:r>
      <w:r>
        <w:rPr/>
        <w:t>of</w:t>
      </w:r>
      <w:r>
        <w:rPr>
          <w:spacing w:val="-8"/>
        </w:rPr>
        <w:t> </w:t>
      </w:r>
      <w:r>
        <w:rPr/>
        <w:t>these</w:t>
      </w:r>
      <w:r>
        <w:rPr>
          <w:spacing w:val="-8"/>
        </w:rPr>
        <w:t> </w:t>
      </w:r>
      <w:r>
        <w:rPr/>
        <w:t>properties</w:t>
      </w:r>
      <w:r>
        <w:rPr>
          <w:spacing w:val="-8"/>
        </w:rPr>
        <w:t> </w:t>
      </w:r>
      <w:r>
        <w:rPr/>
        <w:t>under</w:t>
      </w:r>
      <w:r>
        <w:rPr>
          <w:spacing w:val="-9"/>
        </w:rPr>
        <w:t> </w:t>
      </w:r>
      <w:r>
        <w:rPr/>
        <w:t>frequent</w:t>
      </w:r>
      <w:r>
        <w:rPr>
          <w:spacing w:val="-9"/>
        </w:rPr>
        <w:t> </w:t>
      </w:r>
      <w:r>
        <w:rPr/>
        <w:t>review.</w:t>
      </w:r>
    </w:p>
    <w:p>
      <w:pPr>
        <w:pStyle w:val="BodyText"/>
        <w:spacing w:line="321" w:lineRule="auto" w:before="122"/>
        <w:ind w:left="820" w:right="635"/>
        <w:jc w:val="both"/>
      </w:pPr>
      <w:r>
        <w:rPr/>
        <w:t>For</w:t>
      </w:r>
      <w:r>
        <w:rPr>
          <w:spacing w:val="-31"/>
        </w:rPr>
        <w:t> </w:t>
      </w:r>
      <w:r>
        <w:rPr/>
        <w:t>the</w:t>
      </w:r>
      <w:r>
        <w:rPr>
          <w:spacing w:val="-31"/>
        </w:rPr>
        <w:t> </w:t>
      </w:r>
      <w:r>
        <w:rPr/>
        <w:t>avoidance</w:t>
      </w:r>
      <w:r>
        <w:rPr>
          <w:spacing w:val="-31"/>
        </w:rPr>
        <w:t> </w:t>
      </w:r>
      <w:r>
        <w:rPr/>
        <w:t>of</w:t>
      </w:r>
      <w:r>
        <w:rPr>
          <w:spacing w:val="-30"/>
        </w:rPr>
        <w:t> </w:t>
      </w:r>
      <w:r>
        <w:rPr/>
        <w:t>doubt,</w:t>
      </w:r>
      <w:r>
        <w:rPr>
          <w:spacing w:val="-31"/>
        </w:rPr>
        <w:t> </w:t>
      </w:r>
      <w:r>
        <w:rPr/>
        <w:t>the</w:t>
      </w:r>
      <w:r>
        <w:rPr>
          <w:spacing w:val="-31"/>
        </w:rPr>
        <w:t> </w:t>
      </w:r>
      <w:r>
        <w:rPr/>
        <w:t>inclusion</w:t>
      </w:r>
      <w:r>
        <w:rPr>
          <w:spacing w:val="-30"/>
        </w:rPr>
        <w:t> </w:t>
      </w:r>
      <w:r>
        <w:rPr/>
        <w:t>of</w:t>
      </w:r>
      <w:r>
        <w:rPr>
          <w:spacing w:val="-30"/>
        </w:rPr>
        <w:t> </w:t>
      </w:r>
      <w:r>
        <w:rPr/>
        <w:t>the</w:t>
      </w:r>
      <w:r>
        <w:rPr>
          <w:spacing w:val="-31"/>
        </w:rPr>
        <w:t> </w:t>
      </w:r>
      <w:r>
        <w:rPr/>
        <w:t>‘material</w:t>
      </w:r>
      <w:r>
        <w:rPr>
          <w:spacing w:val="-31"/>
        </w:rPr>
        <w:t> </w:t>
      </w:r>
      <w:r>
        <w:rPr/>
        <w:t>valuation</w:t>
      </w:r>
      <w:r>
        <w:rPr>
          <w:spacing w:val="-30"/>
        </w:rPr>
        <w:t> </w:t>
      </w:r>
      <w:r>
        <w:rPr/>
        <w:t>uncertainty’</w:t>
      </w:r>
      <w:r>
        <w:rPr>
          <w:spacing w:val="-31"/>
        </w:rPr>
        <w:t> </w:t>
      </w:r>
      <w:r>
        <w:rPr/>
        <w:t>declaration</w:t>
      </w:r>
      <w:r>
        <w:rPr>
          <w:spacing w:val="-30"/>
        </w:rPr>
        <w:t> </w:t>
      </w:r>
      <w:r>
        <w:rPr/>
        <w:t>above</w:t>
      </w:r>
      <w:r>
        <w:rPr>
          <w:spacing w:val="-31"/>
        </w:rPr>
        <w:t> </w:t>
      </w:r>
      <w:r>
        <w:rPr/>
        <w:t>does not</w:t>
      </w:r>
      <w:r>
        <w:rPr>
          <w:spacing w:val="-26"/>
        </w:rPr>
        <w:t> </w:t>
      </w:r>
      <w:r>
        <w:rPr/>
        <w:t>mean</w:t>
      </w:r>
      <w:r>
        <w:rPr>
          <w:spacing w:val="-26"/>
        </w:rPr>
        <w:t> </w:t>
      </w:r>
      <w:r>
        <w:rPr/>
        <w:t>that</w:t>
      </w:r>
      <w:r>
        <w:rPr>
          <w:spacing w:val="-25"/>
        </w:rPr>
        <w:t> </w:t>
      </w:r>
      <w:r>
        <w:rPr/>
        <w:t>the</w:t>
      </w:r>
      <w:r>
        <w:rPr>
          <w:spacing w:val="-27"/>
        </w:rPr>
        <w:t> </w:t>
      </w:r>
      <w:r>
        <w:rPr/>
        <w:t>valuation</w:t>
      </w:r>
      <w:r>
        <w:rPr>
          <w:spacing w:val="-26"/>
        </w:rPr>
        <w:t> </w:t>
      </w:r>
      <w:r>
        <w:rPr/>
        <w:t>cannot</w:t>
      </w:r>
      <w:r>
        <w:rPr>
          <w:spacing w:val="-25"/>
        </w:rPr>
        <w:t> </w:t>
      </w:r>
      <w:r>
        <w:rPr/>
        <w:t>be</w:t>
      </w:r>
      <w:r>
        <w:rPr>
          <w:spacing w:val="-26"/>
        </w:rPr>
        <w:t> </w:t>
      </w:r>
      <w:r>
        <w:rPr/>
        <w:t>relied</w:t>
      </w:r>
      <w:r>
        <w:rPr>
          <w:spacing w:val="-26"/>
        </w:rPr>
        <w:t> </w:t>
      </w:r>
      <w:r>
        <w:rPr/>
        <w:t>upon.</w:t>
      </w:r>
      <w:r>
        <w:rPr>
          <w:spacing w:val="-26"/>
        </w:rPr>
        <w:t> </w:t>
      </w:r>
      <w:r>
        <w:rPr/>
        <w:t>Rather,</w:t>
      </w:r>
      <w:r>
        <w:rPr>
          <w:spacing w:val="-26"/>
        </w:rPr>
        <w:t> </w:t>
      </w:r>
      <w:r>
        <w:rPr/>
        <w:t>the</w:t>
      </w:r>
      <w:r>
        <w:rPr>
          <w:spacing w:val="-26"/>
        </w:rPr>
        <w:t> </w:t>
      </w:r>
      <w:r>
        <w:rPr/>
        <w:t>declaration</w:t>
      </w:r>
      <w:r>
        <w:rPr>
          <w:spacing w:val="-26"/>
        </w:rPr>
        <w:t> </w:t>
      </w:r>
      <w:r>
        <w:rPr/>
        <w:t>has</w:t>
      </w:r>
      <w:r>
        <w:rPr>
          <w:spacing w:val="-25"/>
        </w:rPr>
        <w:t> </w:t>
      </w:r>
      <w:r>
        <w:rPr/>
        <w:t>been</w:t>
      </w:r>
      <w:r>
        <w:rPr>
          <w:spacing w:val="-26"/>
        </w:rPr>
        <w:t> </w:t>
      </w:r>
      <w:r>
        <w:rPr/>
        <w:t>included</w:t>
      </w:r>
      <w:r>
        <w:rPr>
          <w:spacing w:val="-27"/>
        </w:rPr>
        <w:t> </w:t>
      </w:r>
      <w:r>
        <w:rPr/>
        <w:t>to</w:t>
      </w:r>
      <w:r>
        <w:rPr>
          <w:spacing w:val="-26"/>
        </w:rPr>
        <w:t> </w:t>
      </w:r>
      <w:r>
        <w:rPr/>
        <w:t>ensure transparency</w:t>
      </w:r>
      <w:r>
        <w:rPr>
          <w:spacing w:val="-39"/>
        </w:rPr>
        <w:t> </w:t>
      </w:r>
      <w:r>
        <w:rPr/>
        <w:t>of</w:t>
      </w:r>
      <w:r>
        <w:rPr>
          <w:spacing w:val="-39"/>
        </w:rPr>
        <w:t> </w:t>
      </w:r>
      <w:r>
        <w:rPr/>
        <w:t>the</w:t>
      </w:r>
      <w:r>
        <w:rPr>
          <w:spacing w:val="-40"/>
        </w:rPr>
        <w:t> </w:t>
      </w:r>
      <w:r>
        <w:rPr/>
        <w:t>fact</w:t>
      </w:r>
      <w:r>
        <w:rPr>
          <w:spacing w:val="-38"/>
        </w:rPr>
        <w:t> </w:t>
      </w:r>
      <w:r>
        <w:rPr/>
        <w:t>that</w:t>
      </w:r>
      <w:r>
        <w:rPr>
          <w:spacing w:val="-39"/>
        </w:rPr>
        <w:t> </w:t>
      </w:r>
      <w:r>
        <w:rPr>
          <w:w w:val="105"/>
        </w:rPr>
        <w:t>–</w:t>
      </w:r>
      <w:r>
        <w:rPr>
          <w:spacing w:val="-42"/>
          <w:w w:val="105"/>
        </w:rPr>
        <w:t> </w:t>
      </w:r>
      <w:r>
        <w:rPr/>
        <w:t>in</w:t>
      </w:r>
      <w:r>
        <w:rPr>
          <w:spacing w:val="-39"/>
        </w:rPr>
        <w:t> </w:t>
      </w:r>
      <w:r>
        <w:rPr/>
        <w:t>the</w:t>
      </w:r>
      <w:r>
        <w:rPr>
          <w:spacing w:val="-39"/>
        </w:rPr>
        <w:t> </w:t>
      </w:r>
      <w:r>
        <w:rPr/>
        <w:t>current</w:t>
      </w:r>
      <w:r>
        <w:rPr>
          <w:spacing w:val="-40"/>
        </w:rPr>
        <w:t> </w:t>
      </w:r>
      <w:r>
        <w:rPr/>
        <w:t>extraordinary</w:t>
      </w:r>
      <w:r>
        <w:rPr>
          <w:spacing w:val="-38"/>
        </w:rPr>
        <w:t> </w:t>
      </w:r>
      <w:r>
        <w:rPr/>
        <w:t>circumstances</w:t>
      </w:r>
      <w:r>
        <w:rPr>
          <w:spacing w:val="-38"/>
        </w:rPr>
        <w:t> </w:t>
      </w:r>
      <w:r>
        <w:rPr>
          <w:w w:val="105"/>
        </w:rPr>
        <w:t>–</w:t>
      </w:r>
      <w:r>
        <w:rPr>
          <w:spacing w:val="-42"/>
          <w:w w:val="105"/>
        </w:rPr>
        <w:t> </w:t>
      </w:r>
      <w:r>
        <w:rPr/>
        <w:t>less</w:t>
      </w:r>
      <w:r>
        <w:rPr>
          <w:spacing w:val="-39"/>
        </w:rPr>
        <w:t> </w:t>
      </w:r>
      <w:r>
        <w:rPr/>
        <w:t>certainty</w:t>
      </w:r>
      <w:r>
        <w:rPr>
          <w:spacing w:val="-38"/>
        </w:rPr>
        <w:t> </w:t>
      </w:r>
      <w:r>
        <w:rPr/>
        <w:t>can</w:t>
      </w:r>
      <w:r>
        <w:rPr>
          <w:spacing w:val="-39"/>
        </w:rPr>
        <w:t> </w:t>
      </w:r>
      <w:r>
        <w:rPr/>
        <w:t>be</w:t>
      </w:r>
      <w:r>
        <w:rPr>
          <w:spacing w:val="-39"/>
        </w:rPr>
        <w:t> </w:t>
      </w:r>
      <w:r>
        <w:rPr/>
        <w:t>attached</w:t>
      </w:r>
    </w:p>
    <w:p>
      <w:pPr>
        <w:spacing w:after="0" w:line="321" w:lineRule="auto"/>
        <w:jc w:val="both"/>
        <w:sectPr>
          <w:pgSz w:w="11910" w:h="16840"/>
          <w:pgMar w:header="720" w:footer="842" w:top="1520" w:bottom="1040" w:left="440" w:right="80"/>
        </w:sectPr>
      </w:pPr>
    </w:p>
    <w:p>
      <w:pPr>
        <w:pStyle w:val="BodyText"/>
        <w:spacing w:before="5"/>
      </w:pPr>
    </w:p>
    <w:p>
      <w:pPr>
        <w:pStyle w:val="BodyText"/>
        <w:spacing w:line="321" w:lineRule="auto" w:before="106"/>
        <w:ind w:left="820"/>
      </w:pPr>
      <w:r>
        <w:rPr/>
        <w:t>to the valuation than would otherwise be the case. The material uncertainty clause is to serve as a precaution and does not invalidate the valuation.</w:t>
      </w:r>
    </w:p>
    <w:p>
      <w:pPr>
        <w:spacing w:after="0" w:line="321" w:lineRule="auto"/>
        <w:sectPr>
          <w:pgSz w:w="11910" w:h="16840"/>
          <w:pgMar w:header="720" w:footer="842" w:top="1520" w:bottom="1040" w:left="440" w:right="80"/>
        </w:sectPr>
      </w:pPr>
    </w:p>
    <w:p>
      <w:pPr>
        <w:pStyle w:val="BodyText"/>
        <w:spacing w:before="5"/>
      </w:pPr>
    </w:p>
    <w:p>
      <w:pPr>
        <w:pStyle w:val="Heading5"/>
        <w:numPr>
          <w:ilvl w:val="0"/>
          <w:numId w:val="14"/>
        </w:numPr>
        <w:tabs>
          <w:tab w:pos="713" w:val="left" w:leader="none"/>
        </w:tabs>
        <w:spacing w:line="240" w:lineRule="auto" w:before="106" w:after="0"/>
        <w:ind w:left="712" w:right="0" w:hanging="433"/>
        <w:jc w:val="both"/>
        <w:rPr>
          <w:rFonts w:ascii="Arial"/>
        </w:rPr>
      </w:pPr>
      <w:bookmarkStart w:name="_bookmark12" w:id="24"/>
      <w:bookmarkEnd w:id="24"/>
      <w:r>
        <w:rPr>
          <w:b w:val="0"/>
        </w:rPr>
      </w:r>
      <w:bookmarkStart w:name="_bookmark12" w:id="25"/>
      <w:bookmarkEnd w:id="25"/>
      <w:r>
        <w:rPr>
          <w:rFonts w:ascii="Arial"/>
          <w:color w:val="1F664D"/>
        </w:rPr>
        <w:t>V</w:t>
      </w:r>
      <w:r>
        <w:rPr>
          <w:rFonts w:ascii="Arial"/>
          <w:color w:val="1F664D"/>
        </w:rPr>
        <w:t>aluation Approach &amp;</w:t>
      </w:r>
      <w:r>
        <w:rPr>
          <w:rFonts w:ascii="Arial"/>
          <w:color w:val="1F664D"/>
          <w:spacing w:val="15"/>
        </w:rPr>
        <w:t> </w:t>
      </w:r>
      <w:r>
        <w:rPr>
          <w:rFonts w:ascii="Arial"/>
          <w:color w:val="1F664D"/>
        </w:rPr>
        <w:t>Methodology</w:t>
      </w:r>
    </w:p>
    <w:p>
      <w:pPr>
        <w:pStyle w:val="BodyText"/>
        <w:spacing w:before="8"/>
        <w:rPr>
          <w:rFonts w:ascii="Arial"/>
          <w:b/>
          <w:sz w:val="28"/>
        </w:rPr>
      </w:pPr>
    </w:p>
    <w:p>
      <w:pPr>
        <w:pStyle w:val="ListParagraph"/>
        <w:numPr>
          <w:ilvl w:val="1"/>
          <w:numId w:val="14"/>
        </w:numPr>
        <w:tabs>
          <w:tab w:pos="857" w:val="left" w:leader="none"/>
        </w:tabs>
        <w:spacing w:line="240" w:lineRule="auto" w:before="0" w:after="0"/>
        <w:ind w:left="856" w:right="0" w:hanging="577"/>
        <w:jc w:val="both"/>
        <w:rPr>
          <w:color w:val="1F6647"/>
          <w:sz w:val="22"/>
        </w:rPr>
      </w:pPr>
      <w:bookmarkStart w:name="_bookmark13" w:id="26"/>
      <w:bookmarkEnd w:id="26"/>
      <w:r>
        <w:rPr/>
      </w:r>
      <w:bookmarkStart w:name="_bookmark13" w:id="27"/>
      <w:bookmarkEnd w:id="27"/>
      <w:r>
        <w:rPr>
          <w:color w:val="1F6647"/>
          <w:sz w:val="22"/>
        </w:rPr>
        <w:t>S</w:t>
      </w:r>
      <w:r>
        <w:rPr>
          <w:color w:val="1F6647"/>
          <w:sz w:val="22"/>
        </w:rPr>
        <w:t>cope of</w:t>
      </w:r>
      <w:r>
        <w:rPr>
          <w:color w:val="1F6647"/>
          <w:spacing w:val="-3"/>
          <w:sz w:val="22"/>
        </w:rPr>
        <w:t> </w:t>
      </w:r>
      <w:r>
        <w:rPr>
          <w:color w:val="1F6647"/>
          <w:sz w:val="22"/>
        </w:rPr>
        <w:t>Valuation</w:t>
      </w:r>
    </w:p>
    <w:p>
      <w:pPr>
        <w:pStyle w:val="BodyText"/>
        <w:spacing w:line="321" w:lineRule="auto" w:before="208"/>
        <w:ind w:left="820" w:right="640"/>
        <w:jc w:val="both"/>
      </w:pPr>
      <w:r>
        <w:rPr/>
        <w:t>The</w:t>
      </w:r>
      <w:r>
        <w:rPr>
          <w:spacing w:val="-17"/>
        </w:rPr>
        <w:t> </w:t>
      </w:r>
      <w:r>
        <w:rPr/>
        <w:t>valuation</w:t>
      </w:r>
      <w:r>
        <w:rPr>
          <w:spacing w:val="-16"/>
        </w:rPr>
        <w:t> </w:t>
      </w:r>
      <w:r>
        <w:rPr/>
        <w:t>exercise</w:t>
      </w:r>
      <w:r>
        <w:rPr>
          <w:spacing w:val="-16"/>
        </w:rPr>
        <w:t> </w:t>
      </w:r>
      <w:r>
        <w:rPr/>
        <w:t>is</w:t>
      </w:r>
      <w:r>
        <w:rPr>
          <w:spacing w:val="-15"/>
        </w:rPr>
        <w:t> </w:t>
      </w:r>
      <w:r>
        <w:rPr/>
        <w:t>aimed</w:t>
      </w:r>
      <w:r>
        <w:rPr>
          <w:spacing w:val="-16"/>
        </w:rPr>
        <w:t> </w:t>
      </w:r>
      <w:r>
        <w:rPr/>
        <w:t>at</w:t>
      </w:r>
      <w:r>
        <w:rPr>
          <w:spacing w:val="-15"/>
        </w:rPr>
        <w:t> </w:t>
      </w:r>
      <w:r>
        <w:rPr/>
        <w:t>the</w:t>
      </w:r>
      <w:r>
        <w:rPr>
          <w:spacing w:val="-16"/>
        </w:rPr>
        <w:t> </w:t>
      </w:r>
      <w:r>
        <w:rPr/>
        <w:t>assessment</w:t>
      </w:r>
      <w:r>
        <w:rPr>
          <w:spacing w:val="-18"/>
        </w:rPr>
        <w:t> </w:t>
      </w:r>
      <w:r>
        <w:rPr/>
        <w:t>of</w:t>
      </w:r>
      <w:r>
        <w:rPr>
          <w:spacing w:val="-15"/>
        </w:rPr>
        <w:t> </w:t>
      </w:r>
      <w:r>
        <w:rPr/>
        <w:t>the</w:t>
      </w:r>
      <w:r>
        <w:rPr>
          <w:spacing w:val="-16"/>
        </w:rPr>
        <w:t> </w:t>
      </w:r>
      <w:r>
        <w:rPr/>
        <w:t>Market</w:t>
      </w:r>
      <w:r>
        <w:rPr>
          <w:spacing w:val="-16"/>
        </w:rPr>
        <w:t> </w:t>
      </w:r>
      <w:r>
        <w:rPr/>
        <w:t>Value</w:t>
      </w:r>
      <w:r>
        <w:rPr>
          <w:spacing w:val="-16"/>
        </w:rPr>
        <w:t> </w:t>
      </w:r>
      <w:r>
        <w:rPr/>
        <w:t>(MV)</w:t>
      </w:r>
      <w:r>
        <w:rPr>
          <w:spacing w:val="-15"/>
        </w:rPr>
        <w:t> </w:t>
      </w:r>
      <w:r>
        <w:rPr/>
        <w:t>of</w:t>
      </w:r>
      <w:r>
        <w:rPr>
          <w:spacing w:val="-15"/>
        </w:rPr>
        <w:t> </w:t>
      </w:r>
      <w:r>
        <w:rPr/>
        <w:t>the</w:t>
      </w:r>
      <w:r>
        <w:rPr>
          <w:spacing w:val="-18"/>
        </w:rPr>
        <w:t> </w:t>
      </w:r>
      <w:r>
        <w:rPr/>
        <w:t>subject</w:t>
      </w:r>
      <w:r>
        <w:rPr>
          <w:spacing w:val="-17"/>
        </w:rPr>
        <w:t> </w:t>
      </w:r>
      <w:r>
        <w:rPr/>
        <w:t>property.</w:t>
      </w:r>
      <w:r>
        <w:rPr>
          <w:spacing w:val="-16"/>
        </w:rPr>
        <w:t> </w:t>
      </w:r>
      <w:r>
        <w:rPr/>
        <w:t>In considering</w:t>
      </w:r>
      <w:r>
        <w:rPr>
          <w:spacing w:val="-12"/>
        </w:rPr>
        <w:t> </w:t>
      </w:r>
      <w:r>
        <w:rPr/>
        <w:t>the</w:t>
      </w:r>
      <w:r>
        <w:rPr>
          <w:spacing w:val="-13"/>
        </w:rPr>
        <w:t> </w:t>
      </w:r>
      <w:r>
        <w:rPr/>
        <w:t>value</w:t>
      </w:r>
      <w:r>
        <w:rPr>
          <w:spacing w:val="-13"/>
        </w:rPr>
        <w:t> </w:t>
      </w:r>
      <w:r>
        <w:rPr/>
        <w:t>of</w:t>
      </w:r>
      <w:r>
        <w:rPr>
          <w:spacing w:val="-13"/>
        </w:rPr>
        <w:t> </w:t>
      </w:r>
      <w:r>
        <w:rPr/>
        <w:t>the</w:t>
      </w:r>
      <w:r>
        <w:rPr>
          <w:spacing w:val="-13"/>
        </w:rPr>
        <w:t> </w:t>
      </w:r>
      <w:r>
        <w:rPr/>
        <w:t>property,</w:t>
      </w:r>
      <w:r>
        <w:rPr>
          <w:spacing w:val="-13"/>
        </w:rPr>
        <w:t> </w:t>
      </w:r>
      <w:r>
        <w:rPr/>
        <w:t>we</w:t>
      </w:r>
      <w:r>
        <w:rPr>
          <w:spacing w:val="-13"/>
        </w:rPr>
        <w:t> </w:t>
      </w:r>
      <w:r>
        <w:rPr/>
        <w:t>have</w:t>
      </w:r>
      <w:r>
        <w:rPr>
          <w:spacing w:val="-13"/>
        </w:rPr>
        <w:t> </w:t>
      </w:r>
      <w:r>
        <w:rPr/>
        <w:t>considered</w:t>
      </w:r>
      <w:r>
        <w:rPr>
          <w:spacing w:val="-11"/>
        </w:rPr>
        <w:t> </w:t>
      </w:r>
      <w:r>
        <w:rPr/>
        <w:t>the</w:t>
      </w:r>
      <w:r>
        <w:rPr>
          <w:spacing w:val="-15"/>
        </w:rPr>
        <w:t> </w:t>
      </w:r>
      <w:r>
        <w:rPr/>
        <w:t>guidelines</w:t>
      </w:r>
      <w:r>
        <w:rPr>
          <w:spacing w:val="-12"/>
        </w:rPr>
        <w:t> </w:t>
      </w:r>
      <w:r>
        <w:rPr/>
        <w:t>laid</w:t>
      </w:r>
      <w:r>
        <w:rPr>
          <w:spacing w:val="-12"/>
        </w:rPr>
        <w:t> </w:t>
      </w:r>
      <w:r>
        <w:rPr/>
        <w:t>out</w:t>
      </w:r>
      <w:r>
        <w:rPr>
          <w:spacing w:val="-12"/>
        </w:rPr>
        <w:t> </w:t>
      </w:r>
      <w:r>
        <w:rPr/>
        <w:t>in</w:t>
      </w:r>
      <w:r>
        <w:rPr>
          <w:spacing w:val="-14"/>
        </w:rPr>
        <w:t> </w:t>
      </w:r>
      <w:r>
        <w:rPr/>
        <w:t>the</w:t>
      </w:r>
      <w:r>
        <w:rPr>
          <w:spacing w:val="-13"/>
        </w:rPr>
        <w:t> </w:t>
      </w:r>
      <w:r>
        <w:rPr/>
        <w:t>Appraisal</w:t>
      </w:r>
      <w:r>
        <w:rPr>
          <w:spacing w:val="-15"/>
        </w:rPr>
        <w:t> </w:t>
      </w:r>
      <w:r>
        <w:rPr/>
        <w:t>and Valuation</w:t>
      </w:r>
      <w:r>
        <w:rPr>
          <w:spacing w:val="-10"/>
        </w:rPr>
        <w:t> </w:t>
      </w:r>
      <w:r>
        <w:rPr/>
        <w:t>Manual</w:t>
      </w:r>
      <w:r>
        <w:rPr>
          <w:spacing w:val="-9"/>
        </w:rPr>
        <w:t> </w:t>
      </w:r>
      <w:r>
        <w:rPr/>
        <w:t>published</w:t>
      </w:r>
      <w:r>
        <w:rPr>
          <w:spacing w:val="-8"/>
        </w:rPr>
        <w:t> </w:t>
      </w:r>
      <w:r>
        <w:rPr/>
        <w:t>by</w:t>
      </w:r>
      <w:r>
        <w:rPr>
          <w:spacing w:val="-7"/>
        </w:rPr>
        <w:t> </w:t>
      </w:r>
      <w:r>
        <w:rPr/>
        <w:t>the</w:t>
      </w:r>
      <w:r>
        <w:rPr>
          <w:spacing w:val="-10"/>
        </w:rPr>
        <w:t> </w:t>
      </w:r>
      <w:r>
        <w:rPr/>
        <w:t>Royal</w:t>
      </w:r>
      <w:r>
        <w:rPr>
          <w:spacing w:val="-9"/>
        </w:rPr>
        <w:t> </w:t>
      </w:r>
      <w:r>
        <w:rPr/>
        <w:t>Institution</w:t>
      </w:r>
      <w:r>
        <w:rPr>
          <w:spacing w:val="-9"/>
        </w:rPr>
        <w:t> </w:t>
      </w:r>
      <w:r>
        <w:rPr/>
        <w:t>of</w:t>
      </w:r>
      <w:r>
        <w:rPr>
          <w:spacing w:val="-8"/>
        </w:rPr>
        <w:t> </w:t>
      </w:r>
      <w:r>
        <w:rPr/>
        <w:t>Chartered</w:t>
      </w:r>
      <w:r>
        <w:rPr>
          <w:spacing w:val="-6"/>
        </w:rPr>
        <w:t> </w:t>
      </w:r>
      <w:r>
        <w:rPr/>
        <w:t>Surveyors</w:t>
      </w:r>
      <w:r>
        <w:rPr>
          <w:spacing w:val="-10"/>
        </w:rPr>
        <w:t> </w:t>
      </w:r>
      <w:r>
        <w:rPr/>
        <w:t>(RICS).</w:t>
      </w:r>
    </w:p>
    <w:p>
      <w:pPr>
        <w:pStyle w:val="ListParagraph"/>
        <w:numPr>
          <w:ilvl w:val="1"/>
          <w:numId w:val="14"/>
        </w:numPr>
        <w:tabs>
          <w:tab w:pos="857" w:val="left" w:leader="none"/>
        </w:tabs>
        <w:spacing w:line="240" w:lineRule="auto" w:before="120" w:after="0"/>
        <w:ind w:left="856" w:right="0" w:hanging="577"/>
        <w:jc w:val="both"/>
        <w:rPr>
          <w:color w:val="1F6647"/>
          <w:sz w:val="22"/>
        </w:rPr>
      </w:pPr>
      <w:bookmarkStart w:name="_bookmark14" w:id="28"/>
      <w:bookmarkEnd w:id="28"/>
      <w:r>
        <w:rPr/>
      </w:r>
      <w:bookmarkStart w:name="_bookmark14" w:id="29"/>
      <w:bookmarkEnd w:id="29"/>
      <w:r>
        <w:rPr>
          <w:color w:val="1F6647"/>
          <w:sz w:val="22"/>
        </w:rPr>
        <w:t>B</w:t>
      </w:r>
      <w:r>
        <w:rPr>
          <w:color w:val="1F6647"/>
          <w:sz w:val="22"/>
        </w:rPr>
        <w:t>asis of</w:t>
      </w:r>
      <w:r>
        <w:rPr>
          <w:color w:val="1F6647"/>
          <w:spacing w:val="-2"/>
          <w:sz w:val="22"/>
        </w:rPr>
        <w:t> </w:t>
      </w:r>
      <w:r>
        <w:rPr>
          <w:color w:val="1F6647"/>
          <w:sz w:val="22"/>
        </w:rPr>
        <w:t>Valuation</w:t>
      </w:r>
    </w:p>
    <w:p>
      <w:pPr>
        <w:pStyle w:val="BodyText"/>
        <w:spacing w:line="321" w:lineRule="auto" w:before="208"/>
        <w:ind w:left="820" w:right="635"/>
        <w:jc w:val="both"/>
      </w:pPr>
      <w:r>
        <w:rPr/>
        <w:t>The valuations have been conducted in accordance with the RICS Valuation </w:t>
      </w:r>
      <w:r>
        <w:rPr>
          <w:w w:val="105"/>
        </w:rPr>
        <w:t>– </w:t>
      </w:r>
      <w:r>
        <w:rPr/>
        <w:t>Global Standards 2020 (Red Book Global Incorporating the IVSC International Valuation Standards issued in November 2019, effective</w:t>
      </w:r>
      <w:r>
        <w:rPr>
          <w:spacing w:val="-16"/>
        </w:rPr>
        <w:t> </w:t>
      </w:r>
      <w:r>
        <w:rPr/>
        <w:t>from</w:t>
      </w:r>
      <w:r>
        <w:rPr>
          <w:spacing w:val="-15"/>
        </w:rPr>
        <w:t> </w:t>
      </w:r>
      <w:r>
        <w:rPr/>
        <w:t>31</w:t>
      </w:r>
      <w:r>
        <w:rPr>
          <w:spacing w:val="-17"/>
        </w:rPr>
        <w:t> </w:t>
      </w:r>
      <w:r>
        <w:rPr/>
        <w:t>January</w:t>
      </w:r>
      <w:r>
        <w:rPr>
          <w:spacing w:val="-14"/>
        </w:rPr>
        <w:t> </w:t>
      </w:r>
      <w:r>
        <w:rPr/>
        <w:t>2020)</w:t>
      </w:r>
      <w:r>
        <w:rPr>
          <w:spacing w:val="-16"/>
        </w:rPr>
        <w:t> </w:t>
      </w:r>
      <w:r>
        <w:rPr/>
        <w:t>and</w:t>
      </w:r>
      <w:r>
        <w:rPr>
          <w:spacing w:val="-15"/>
        </w:rPr>
        <w:t> </w:t>
      </w:r>
      <w:r>
        <w:rPr/>
        <w:t>is</w:t>
      </w:r>
      <w:r>
        <w:rPr>
          <w:spacing w:val="-14"/>
        </w:rPr>
        <w:t> </w:t>
      </w:r>
      <w:r>
        <w:rPr/>
        <w:t>in</w:t>
      </w:r>
      <w:r>
        <w:rPr>
          <w:spacing w:val="-17"/>
        </w:rPr>
        <w:t> </w:t>
      </w:r>
      <w:r>
        <w:rPr/>
        <w:t>compliance</w:t>
      </w:r>
      <w:r>
        <w:rPr>
          <w:spacing w:val="-15"/>
        </w:rPr>
        <w:t> </w:t>
      </w:r>
      <w:r>
        <w:rPr/>
        <w:t>with</w:t>
      </w:r>
      <w:r>
        <w:rPr>
          <w:spacing w:val="-16"/>
        </w:rPr>
        <w:t> </w:t>
      </w:r>
      <w:r>
        <w:rPr/>
        <w:t>the</w:t>
      </w:r>
      <w:r>
        <w:rPr>
          <w:spacing w:val="-16"/>
        </w:rPr>
        <w:t> </w:t>
      </w:r>
      <w:r>
        <w:rPr/>
        <w:t>International</w:t>
      </w:r>
      <w:r>
        <w:rPr>
          <w:spacing w:val="-16"/>
        </w:rPr>
        <w:t> </w:t>
      </w:r>
      <w:r>
        <w:rPr/>
        <w:t>Valuation</w:t>
      </w:r>
      <w:r>
        <w:rPr>
          <w:spacing w:val="-16"/>
        </w:rPr>
        <w:t> </w:t>
      </w:r>
      <w:r>
        <w:rPr/>
        <w:t>Standards</w:t>
      </w:r>
      <w:r>
        <w:rPr>
          <w:spacing w:val="-16"/>
        </w:rPr>
        <w:t> </w:t>
      </w:r>
      <w:r>
        <w:rPr/>
        <w:t>(IVS). The</w:t>
      </w:r>
      <w:r>
        <w:rPr>
          <w:spacing w:val="-10"/>
        </w:rPr>
        <w:t> </w:t>
      </w:r>
      <w:r>
        <w:rPr/>
        <w:t>valuation</w:t>
      </w:r>
      <w:r>
        <w:rPr>
          <w:spacing w:val="-8"/>
        </w:rPr>
        <w:t> </w:t>
      </w:r>
      <w:r>
        <w:rPr/>
        <w:t>exercise</w:t>
      </w:r>
      <w:r>
        <w:rPr>
          <w:spacing w:val="-9"/>
        </w:rPr>
        <w:t> </w:t>
      </w:r>
      <w:r>
        <w:rPr/>
        <w:t>has</w:t>
      </w:r>
      <w:r>
        <w:rPr>
          <w:spacing w:val="-8"/>
        </w:rPr>
        <w:t> </w:t>
      </w:r>
      <w:r>
        <w:rPr/>
        <w:t>been</w:t>
      </w:r>
      <w:r>
        <w:rPr>
          <w:spacing w:val="-9"/>
        </w:rPr>
        <w:t> </w:t>
      </w:r>
      <w:r>
        <w:rPr/>
        <w:t>undertaken</w:t>
      </w:r>
      <w:r>
        <w:rPr>
          <w:spacing w:val="-9"/>
        </w:rPr>
        <w:t> </w:t>
      </w:r>
      <w:r>
        <w:rPr/>
        <w:t>by</w:t>
      </w:r>
      <w:r>
        <w:rPr>
          <w:spacing w:val="-9"/>
        </w:rPr>
        <w:t> </w:t>
      </w:r>
      <w:r>
        <w:rPr/>
        <w:t>appropriately</w:t>
      </w:r>
      <w:r>
        <w:rPr>
          <w:spacing w:val="-9"/>
        </w:rPr>
        <w:t> </w:t>
      </w:r>
      <w:r>
        <w:rPr/>
        <w:t>qualified</w:t>
      </w:r>
      <w:r>
        <w:rPr>
          <w:spacing w:val="-9"/>
        </w:rPr>
        <w:t> </w:t>
      </w:r>
      <w:r>
        <w:rPr/>
        <w:t>Valuer</w:t>
      </w:r>
      <w:r>
        <w:rPr>
          <w:spacing w:val="-9"/>
        </w:rPr>
        <w:t> </w:t>
      </w:r>
      <w:r>
        <w:rPr/>
        <w:t>and</w:t>
      </w:r>
      <w:r>
        <w:rPr>
          <w:spacing w:val="-9"/>
        </w:rPr>
        <w:t> </w:t>
      </w:r>
      <w:r>
        <w:rPr/>
        <w:t>would</w:t>
      </w:r>
      <w:r>
        <w:rPr>
          <w:spacing w:val="-10"/>
        </w:rPr>
        <w:t> </w:t>
      </w:r>
      <w:r>
        <w:rPr/>
        <w:t>be</w:t>
      </w:r>
      <w:r>
        <w:rPr>
          <w:spacing w:val="-9"/>
        </w:rPr>
        <w:t> </w:t>
      </w:r>
      <w:r>
        <w:rPr/>
        <w:t>aimed</w:t>
      </w:r>
      <w:r>
        <w:rPr>
          <w:spacing w:val="-8"/>
        </w:rPr>
        <w:t> </w:t>
      </w:r>
      <w:r>
        <w:rPr/>
        <w:t>at assessing the Market Value of subject</w:t>
      </w:r>
      <w:r>
        <w:rPr>
          <w:spacing w:val="-26"/>
        </w:rPr>
        <w:t> </w:t>
      </w:r>
      <w:r>
        <w:rPr/>
        <w:t>properties.</w:t>
      </w:r>
    </w:p>
    <w:p>
      <w:pPr>
        <w:pStyle w:val="BodyText"/>
        <w:spacing w:line="321" w:lineRule="auto" w:before="123"/>
        <w:ind w:left="820" w:right="639"/>
        <w:jc w:val="both"/>
      </w:pPr>
      <w:r>
        <w:rPr/>
        <w:t>As</w:t>
      </w:r>
      <w:r>
        <w:rPr>
          <w:spacing w:val="-11"/>
        </w:rPr>
        <w:t> </w:t>
      </w:r>
      <w:r>
        <w:rPr/>
        <w:t>per</w:t>
      </w:r>
      <w:r>
        <w:rPr>
          <w:spacing w:val="-11"/>
        </w:rPr>
        <w:t> </w:t>
      </w:r>
      <w:r>
        <w:rPr/>
        <w:t>the</w:t>
      </w:r>
      <w:r>
        <w:rPr>
          <w:spacing w:val="-11"/>
        </w:rPr>
        <w:t> </w:t>
      </w:r>
      <w:r>
        <w:rPr/>
        <w:t>Valuation</w:t>
      </w:r>
      <w:r>
        <w:rPr>
          <w:spacing w:val="-10"/>
        </w:rPr>
        <w:t> </w:t>
      </w:r>
      <w:r>
        <w:rPr/>
        <w:t>and</w:t>
      </w:r>
      <w:r>
        <w:rPr>
          <w:spacing w:val="-9"/>
        </w:rPr>
        <w:t> </w:t>
      </w:r>
      <w:r>
        <w:rPr/>
        <w:t>Guidance</w:t>
      </w:r>
      <w:r>
        <w:rPr>
          <w:spacing w:val="-11"/>
        </w:rPr>
        <w:t> </w:t>
      </w:r>
      <w:r>
        <w:rPr/>
        <w:t>Notes</w:t>
      </w:r>
      <w:r>
        <w:rPr>
          <w:spacing w:val="-11"/>
        </w:rPr>
        <w:t> </w:t>
      </w:r>
      <w:r>
        <w:rPr/>
        <w:t>issued</w:t>
      </w:r>
      <w:r>
        <w:rPr>
          <w:spacing w:val="-10"/>
        </w:rPr>
        <w:t> </w:t>
      </w:r>
      <w:r>
        <w:rPr/>
        <w:t>by</w:t>
      </w:r>
      <w:r>
        <w:rPr>
          <w:spacing w:val="-10"/>
        </w:rPr>
        <w:t> </w:t>
      </w:r>
      <w:r>
        <w:rPr/>
        <w:t>the</w:t>
      </w:r>
      <w:r>
        <w:rPr>
          <w:spacing w:val="-11"/>
        </w:rPr>
        <w:t> </w:t>
      </w:r>
      <w:r>
        <w:rPr/>
        <w:t>Royal</w:t>
      </w:r>
      <w:r>
        <w:rPr>
          <w:spacing w:val="-11"/>
        </w:rPr>
        <w:t> </w:t>
      </w:r>
      <w:r>
        <w:rPr/>
        <w:t>Institution</w:t>
      </w:r>
      <w:r>
        <w:rPr>
          <w:spacing w:val="-12"/>
        </w:rPr>
        <w:t> </w:t>
      </w:r>
      <w:r>
        <w:rPr/>
        <w:t>of</w:t>
      </w:r>
      <w:r>
        <w:rPr>
          <w:spacing w:val="-12"/>
        </w:rPr>
        <w:t> </w:t>
      </w:r>
      <w:r>
        <w:rPr/>
        <w:t>Chartered</w:t>
      </w:r>
      <w:r>
        <w:rPr>
          <w:spacing w:val="-10"/>
        </w:rPr>
        <w:t> </w:t>
      </w:r>
      <w:r>
        <w:rPr/>
        <w:t>Surveyors</w:t>
      </w:r>
      <w:r>
        <w:rPr>
          <w:spacing w:val="-11"/>
        </w:rPr>
        <w:t> </w:t>
      </w:r>
      <w:r>
        <w:rPr/>
        <w:t>(RICS) the market value is defined</w:t>
      </w:r>
      <w:r>
        <w:rPr>
          <w:spacing w:val="-14"/>
        </w:rPr>
        <w:t> </w:t>
      </w:r>
      <w:r>
        <w:rPr/>
        <w:t>as:</w:t>
      </w:r>
    </w:p>
    <w:p>
      <w:pPr>
        <w:spacing w:line="321" w:lineRule="auto" w:before="122"/>
        <w:ind w:left="820" w:right="636" w:firstLine="0"/>
        <w:jc w:val="both"/>
        <w:rPr>
          <w:i/>
          <w:sz w:val="22"/>
        </w:rPr>
      </w:pPr>
      <w:r>
        <w:rPr>
          <w:i/>
          <w:sz w:val="22"/>
        </w:rPr>
        <w:t>‘The</w:t>
      </w:r>
      <w:r>
        <w:rPr>
          <w:i/>
          <w:spacing w:val="-28"/>
          <w:sz w:val="22"/>
        </w:rPr>
        <w:t> </w:t>
      </w:r>
      <w:r>
        <w:rPr>
          <w:i/>
          <w:sz w:val="22"/>
        </w:rPr>
        <w:t>estimated</w:t>
      </w:r>
      <w:r>
        <w:rPr>
          <w:i/>
          <w:spacing w:val="-27"/>
          <w:sz w:val="22"/>
        </w:rPr>
        <w:t> </w:t>
      </w:r>
      <w:r>
        <w:rPr>
          <w:i/>
          <w:sz w:val="22"/>
        </w:rPr>
        <w:t>amount</w:t>
      </w:r>
      <w:r>
        <w:rPr>
          <w:i/>
          <w:spacing w:val="-28"/>
          <w:sz w:val="22"/>
        </w:rPr>
        <w:t> </w:t>
      </w:r>
      <w:r>
        <w:rPr>
          <w:i/>
          <w:sz w:val="22"/>
        </w:rPr>
        <w:t>for</w:t>
      </w:r>
      <w:r>
        <w:rPr>
          <w:i/>
          <w:spacing w:val="-28"/>
          <w:sz w:val="22"/>
        </w:rPr>
        <w:t> </w:t>
      </w:r>
      <w:r>
        <w:rPr>
          <w:i/>
          <w:sz w:val="22"/>
        </w:rPr>
        <w:t>which</w:t>
      </w:r>
      <w:r>
        <w:rPr>
          <w:i/>
          <w:spacing w:val="-26"/>
          <w:sz w:val="22"/>
        </w:rPr>
        <w:t> </w:t>
      </w:r>
      <w:r>
        <w:rPr>
          <w:i/>
          <w:sz w:val="22"/>
        </w:rPr>
        <w:t>an</w:t>
      </w:r>
      <w:r>
        <w:rPr>
          <w:i/>
          <w:spacing w:val="-28"/>
          <w:sz w:val="22"/>
        </w:rPr>
        <w:t> </w:t>
      </w:r>
      <w:r>
        <w:rPr>
          <w:i/>
          <w:sz w:val="22"/>
        </w:rPr>
        <w:t>asset</w:t>
      </w:r>
      <w:r>
        <w:rPr>
          <w:i/>
          <w:spacing w:val="-27"/>
          <w:sz w:val="22"/>
        </w:rPr>
        <w:t> </w:t>
      </w:r>
      <w:r>
        <w:rPr>
          <w:i/>
          <w:sz w:val="22"/>
        </w:rPr>
        <w:t>or</w:t>
      </w:r>
      <w:r>
        <w:rPr>
          <w:i/>
          <w:spacing w:val="-28"/>
          <w:sz w:val="22"/>
        </w:rPr>
        <w:t> </w:t>
      </w:r>
      <w:r>
        <w:rPr>
          <w:i/>
          <w:sz w:val="22"/>
        </w:rPr>
        <w:t>liability</w:t>
      </w:r>
      <w:r>
        <w:rPr>
          <w:i/>
          <w:spacing w:val="-26"/>
          <w:sz w:val="22"/>
        </w:rPr>
        <w:t> </w:t>
      </w:r>
      <w:r>
        <w:rPr>
          <w:i/>
          <w:sz w:val="22"/>
        </w:rPr>
        <w:t>should</w:t>
      </w:r>
      <w:r>
        <w:rPr>
          <w:i/>
          <w:spacing w:val="-28"/>
          <w:sz w:val="22"/>
        </w:rPr>
        <w:t> </w:t>
      </w:r>
      <w:r>
        <w:rPr>
          <w:i/>
          <w:sz w:val="22"/>
        </w:rPr>
        <w:t>exchange</w:t>
      </w:r>
      <w:r>
        <w:rPr>
          <w:i/>
          <w:spacing w:val="-28"/>
          <w:sz w:val="22"/>
        </w:rPr>
        <w:t> </w:t>
      </w:r>
      <w:r>
        <w:rPr>
          <w:i/>
          <w:sz w:val="22"/>
        </w:rPr>
        <w:t>on</w:t>
      </w:r>
      <w:r>
        <w:rPr>
          <w:i/>
          <w:spacing w:val="-27"/>
          <w:sz w:val="22"/>
        </w:rPr>
        <w:t> </w:t>
      </w:r>
      <w:r>
        <w:rPr>
          <w:i/>
          <w:sz w:val="22"/>
        </w:rPr>
        <w:t>the</w:t>
      </w:r>
      <w:r>
        <w:rPr>
          <w:i/>
          <w:spacing w:val="-27"/>
          <w:sz w:val="22"/>
        </w:rPr>
        <w:t> </w:t>
      </w:r>
      <w:r>
        <w:rPr>
          <w:i/>
          <w:sz w:val="22"/>
        </w:rPr>
        <w:t>valuation</w:t>
      </w:r>
      <w:r>
        <w:rPr>
          <w:i/>
          <w:spacing w:val="-27"/>
          <w:sz w:val="22"/>
        </w:rPr>
        <w:t> </w:t>
      </w:r>
      <w:r>
        <w:rPr>
          <w:i/>
          <w:sz w:val="22"/>
        </w:rPr>
        <w:t>date</w:t>
      </w:r>
      <w:r>
        <w:rPr>
          <w:i/>
          <w:spacing w:val="-27"/>
          <w:sz w:val="22"/>
        </w:rPr>
        <w:t> </w:t>
      </w:r>
      <w:r>
        <w:rPr>
          <w:i/>
          <w:sz w:val="22"/>
        </w:rPr>
        <w:t>between</w:t>
      </w:r>
      <w:r>
        <w:rPr>
          <w:i/>
          <w:spacing w:val="-28"/>
          <w:sz w:val="22"/>
        </w:rPr>
        <w:t> </w:t>
      </w:r>
      <w:r>
        <w:rPr>
          <w:i/>
          <w:sz w:val="22"/>
        </w:rPr>
        <w:t>a </w:t>
      </w:r>
      <w:r>
        <w:rPr>
          <w:i/>
          <w:sz w:val="22"/>
        </w:rPr>
        <w:t>willing</w:t>
      </w:r>
      <w:r>
        <w:rPr>
          <w:i/>
          <w:spacing w:val="-24"/>
          <w:sz w:val="22"/>
        </w:rPr>
        <w:t> </w:t>
      </w:r>
      <w:r>
        <w:rPr>
          <w:i/>
          <w:sz w:val="22"/>
        </w:rPr>
        <w:t>buyer</w:t>
      </w:r>
      <w:r>
        <w:rPr>
          <w:i/>
          <w:spacing w:val="-25"/>
          <w:sz w:val="22"/>
        </w:rPr>
        <w:t> </w:t>
      </w:r>
      <w:r>
        <w:rPr>
          <w:i/>
          <w:sz w:val="22"/>
        </w:rPr>
        <w:t>and</w:t>
      </w:r>
      <w:r>
        <w:rPr>
          <w:i/>
          <w:spacing w:val="-25"/>
          <w:sz w:val="22"/>
        </w:rPr>
        <w:t> </w:t>
      </w:r>
      <w:r>
        <w:rPr>
          <w:i/>
          <w:sz w:val="22"/>
        </w:rPr>
        <w:t>a</w:t>
      </w:r>
      <w:r>
        <w:rPr>
          <w:i/>
          <w:spacing w:val="-24"/>
          <w:sz w:val="22"/>
        </w:rPr>
        <w:t> </w:t>
      </w:r>
      <w:r>
        <w:rPr>
          <w:i/>
          <w:sz w:val="22"/>
        </w:rPr>
        <w:t>willing</w:t>
      </w:r>
      <w:r>
        <w:rPr>
          <w:i/>
          <w:spacing w:val="-24"/>
          <w:sz w:val="22"/>
        </w:rPr>
        <w:t> </w:t>
      </w:r>
      <w:r>
        <w:rPr>
          <w:i/>
          <w:sz w:val="22"/>
        </w:rPr>
        <w:t>seller</w:t>
      </w:r>
      <w:r>
        <w:rPr>
          <w:i/>
          <w:spacing w:val="-24"/>
          <w:sz w:val="22"/>
        </w:rPr>
        <w:t> </w:t>
      </w:r>
      <w:r>
        <w:rPr>
          <w:i/>
          <w:sz w:val="22"/>
        </w:rPr>
        <w:t>in</w:t>
      </w:r>
      <w:r>
        <w:rPr>
          <w:i/>
          <w:spacing w:val="-25"/>
          <w:sz w:val="22"/>
        </w:rPr>
        <w:t> </w:t>
      </w:r>
      <w:r>
        <w:rPr>
          <w:i/>
          <w:sz w:val="22"/>
        </w:rPr>
        <w:t>an</w:t>
      </w:r>
      <w:r>
        <w:rPr>
          <w:i/>
          <w:spacing w:val="-25"/>
          <w:sz w:val="22"/>
        </w:rPr>
        <w:t> </w:t>
      </w:r>
      <w:r>
        <w:rPr>
          <w:i/>
          <w:sz w:val="22"/>
        </w:rPr>
        <w:t>arm’s</w:t>
      </w:r>
      <w:r>
        <w:rPr>
          <w:i/>
          <w:spacing w:val="-23"/>
          <w:sz w:val="22"/>
        </w:rPr>
        <w:t> </w:t>
      </w:r>
      <w:r>
        <w:rPr>
          <w:i/>
          <w:sz w:val="22"/>
        </w:rPr>
        <w:t>length</w:t>
      </w:r>
      <w:r>
        <w:rPr>
          <w:i/>
          <w:spacing w:val="-23"/>
          <w:sz w:val="22"/>
        </w:rPr>
        <w:t> </w:t>
      </w:r>
      <w:r>
        <w:rPr>
          <w:i/>
          <w:sz w:val="22"/>
        </w:rPr>
        <w:t>transaction,</w:t>
      </w:r>
      <w:r>
        <w:rPr>
          <w:i/>
          <w:spacing w:val="-22"/>
          <w:sz w:val="22"/>
        </w:rPr>
        <w:t> </w:t>
      </w:r>
      <w:r>
        <w:rPr>
          <w:i/>
          <w:sz w:val="22"/>
        </w:rPr>
        <w:t>after</w:t>
      </w:r>
      <w:r>
        <w:rPr>
          <w:i/>
          <w:spacing w:val="-25"/>
          <w:sz w:val="22"/>
        </w:rPr>
        <w:t> </w:t>
      </w:r>
      <w:r>
        <w:rPr>
          <w:i/>
          <w:sz w:val="22"/>
        </w:rPr>
        <w:t>proper</w:t>
      </w:r>
      <w:r>
        <w:rPr>
          <w:i/>
          <w:spacing w:val="-23"/>
          <w:sz w:val="22"/>
        </w:rPr>
        <w:t> </w:t>
      </w:r>
      <w:r>
        <w:rPr>
          <w:i/>
          <w:sz w:val="22"/>
        </w:rPr>
        <w:t>marketing</w:t>
      </w:r>
      <w:r>
        <w:rPr>
          <w:i/>
          <w:spacing w:val="-24"/>
          <w:sz w:val="22"/>
        </w:rPr>
        <w:t> </w:t>
      </w:r>
      <w:r>
        <w:rPr>
          <w:i/>
          <w:sz w:val="22"/>
        </w:rPr>
        <w:t>and</w:t>
      </w:r>
      <w:r>
        <w:rPr>
          <w:i/>
          <w:spacing w:val="-27"/>
          <w:sz w:val="22"/>
        </w:rPr>
        <w:t> </w:t>
      </w:r>
      <w:r>
        <w:rPr>
          <w:i/>
          <w:sz w:val="22"/>
        </w:rPr>
        <w:t>where</w:t>
      </w:r>
      <w:r>
        <w:rPr>
          <w:i/>
          <w:spacing w:val="-25"/>
          <w:sz w:val="22"/>
        </w:rPr>
        <w:t> </w:t>
      </w:r>
      <w:r>
        <w:rPr>
          <w:i/>
          <w:sz w:val="22"/>
        </w:rPr>
        <w:t>the parties</w:t>
      </w:r>
      <w:r>
        <w:rPr>
          <w:i/>
          <w:spacing w:val="-12"/>
          <w:sz w:val="22"/>
        </w:rPr>
        <w:t> </w:t>
      </w:r>
      <w:r>
        <w:rPr>
          <w:i/>
          <w:sz w:val="22"/>
        </w:rPr>
        <w:t>had</w:t>
      </w:r>
      <w:r>
        <w:rPr>
          <w:i/>
          <w:spacing w:val="-12"/>
          <w:sz w:val="22"/>
        </w:rPr>
        <w:t> </w:t>
      </w:r>
      <w:r>
        <w:rPr>
          <w:i/>
          <w:sz w:val="22"/>
        </w:rPr>
        <w:t>each</w:t>
      </w:r>
      <w:r>
        <w:rPr>
          <w:i/>
          <w:spacing w:val="-9"/>
          <w:sz w:val="22"/>
        </w:rPr>
        <w:t> </w:t>
      </w:r>
      <w:r>
        <w:rPr>
          <w:i/>
          <w:sz w:val="22"/>
        </w:rPr>
        <w:t>acted</w:t>
      </w:r>
      <w:r>
        <w:rPr>
          <w:i/>
          <w:spacing w:val="-10"/>
          <w:sz w:val="22"/>
        </w:rPr>
        <w:t> </w:t>
      </w:r>
      <w:r>
        <w:rPr>
          <w:i/>
          <w:sz w:val="22"/>
        </w:rPr>
        <w:t>knowledgeably,</w:t>
      </w:r>
      <w:r>
        <w:rPr>
          <w:i/>
          <w:spacing w:val="-8"/>
          <w:sz w:val="22"/>
        </w:rPr>
        <w:t> </w:t>
      </w:r>
      <w:r>
        <w:rPr>
          <w:i/>
          <w:sz w:val="22"/>
        </w:rPr>
        <w:t>prudently</w:t>
      </w:r>
      <w:r>
        <w:rPr>
          <w:i/>
          <w:spacing w:val="-11"/>
          <w:sz w:val="22"/>
        </w:rPr>
        <w:t> </w:t>
      </w:r>
      <w:r>
        <w:rPr>
          <w:i/>
          <w:sz w:val="22"/>
        </w:rPr>
        <w:t>and</w:t>
      </w:r>
      <w:r>
        <w:rPr>
          <w:i/>
          <w:spacing w:val="-11"/>
          <w:sz w:val="22"/>
        </w:rPr>
        <w:t> </w:t>
      </w:r>
      <w:r>
        <w:rPr>
          <w:i/>
          <w:sz w:val="22"/>
        </w:rPr>
        <w:t>without</w:t>
      </w:r>
      <w:r>
        <w:rPr>
          <w:i/>
          <w:spacing w:val="-11"/>
          <w:sz w:val="22"/>
        </w:rPr>
        <w:t> </w:t>
      </w:r>
      <w:r>
        <w:rPr>
          <w:i/>
          <w:sz w:val="22"/>
        </w:rPr>
        <w:t>compulsion’.</w:t>
      </w:r>
    </w:p>
    <w:p>
      <w:pPr>
        <w:pStyle w:val="ListParagraph"/>
        <w:numPr>
          <w:ilvl w:val="1"/>
          <w:numId w:val="14"/>
        </w:numPr>
        <w:tabs>
          <w:tab w:pos="857" w:val="left" w:leader="none"/>
        </w:tabs>
        <w:spacing w:line="240" w:lineRule="auto" w:before="120" w:after="0"/>
        <w:ind w:left="856" w:right="0" w:hanging="577"/>
        <w:jc w:val="both"/>
        <w:rPr>
          <w:color w:val="1F6647"/>
          <w:sz w:val="22"/>
        </w:rPr>
      </w:pPr>
      <w:bookmarkStart w:name="_bookmark15" w:id="30"/>
      <w:bookmarkEnd w:id="30"/>
      <w:r>
        <w:rPr/>
      </w:r>
      <w:bookmarkStart w:name="_bookmark15" w:id="31"/>
      <w:bookmarkEnd w:id="31"/>
      <w:r>
        <w:rPr>
          <w:color w:val="1F6647"/>
          <w:w w:val="105"/>
          <w:sz w:val="22"/>
        </w:rPr>
        <w:t>A</w:t>
      </w:r>
      <w:r>
        <w:rPr>
          <w:color w:val="1F6647"/>
          <w:w w:val="105"/>
          <w:sz w:val="22"/>
        </w:rPr>
        <w:t>pproach and</w:t>
      </w:r>
      <w:r>
        <w:rPr>
          <w:color w:val="1F6647"/>
          <w:spacing w:val="-8"/>
          <w:w w:val="105"/>
          <w:sz w:val="22"/>
        </w:rPr>
        <w:t> </w:t>
      </w:r>
      <w:r>
        <w:rPr>
          <w:color w:val="1F6647"/>
          <w:w w:val="105"/>
          <w:sz w:val="22"/>
        </w:rPr>
        <w:t>Methodology</w:t>
      </w:r>
    </w:p>
    <w:p>
      <w:pPr>
        <w:pStyle w:val="BodyText"/>
        <w:spacing w:line="321" w:lineRule="auto" w:before="208"/>
        <w:ind w:left="820" w:right="635"/>
        <w:jc w:val="both"/>
      </w:pPr>
      <w:r>
        <w:rPr/>
        <w:drawing>
          <wp:anchor distT="0" distB="0" distL="0" distR="0" allowOverlap="1" layoutInCell="1" locked="0" behindDoc="0" simplePos="0" relativeHeight="185">
            <wp:simplePos x="0" y="0"/>
            <wp:positionH relativeFrom="page">
              <wp:posOffset>800100</wp:posOffset>
            </wp:positionH>
            <wp:positionV relativeFrom="paragraph">
              <wp:posOffset>640316</wp:posOffset>
            </wp:positionV>
            <wp:extent cx="6308611" cy="1474470"/>
            <wp:effectExtent l="0" t="0" r="0" b="0"/>
            <wp:wrapTopAndBottom/>
            <wp:docPr id="49" name="image8.png"/>
            <wp:cNvGraphicFramePr>
              <a:graphicFrameLocks noChangeAspect="1"/>
            </wp:cNvGraphicFramePr>
            <a:graphic>
              <a:graphicData uri="http://schemas.openxmlformats.org/drawingml/2006/picture">
                <pic:pic>
                  <pic:nvPicPr>
                    <pic:cNvPr id="50" name="image8.png"/>
                    <pic:cNvPicPr/>
                  </pic:nvPicPr>
                  <pic:blipFill>
                    <a:blip r:embed="rId14" cstate="print"/>
                    <a:stretch>
                      <a:fillRect/>
                    </a:stretch>
                  </pic:blipFill>
                  <pic:spPr>
                    <a:xfrm>
                      <a:off x="0" y="0"/>
                      <a:ext cx="6308611" cy="1474470"/>
                    </a:xfrm>
                    <a:prstGeom prst="rect">
                      <a:avLst/>
                    </a:prstGeom>
                  </pic:spPr>
                </pic:pic>
              </a:graphicData>
            </a:graphic>
          </wp:anchor>
        </w:drawing>
      </w:r>
      <w:r>
        <w:rPr/>
        <w:t>The</w:t>
      </w:r>
      <w:r>
        <w:rPr>
          <w:spacing w:val="-11"/>
        </w:rPr>
        <w:t> </w:t>
      </w:r>
      <w:r>
        <w:rPr/>
        <w:t>purpose</w:t>
      </w:r>
      <w:r>
        <w:rPr>
          <w:spacing w:val="-9"/>
        </w:rPr>
        <w:t> </w:t>
      </w:r>
      <w:r>
        <w:rPr/>
        <w:t>of</w:t>
      </w:r>
      <w:r>
        <w:rPr>
          <w:spacing w:val="-9"/>
        </w:rPr>
        <w:t> </w:t>
      </w:r>
      <w:r>
        <w:rPr/>
        <w:t>this</w:t>
      </w:r>
      <w:r>
        <w:rPr>
          <w:spacing w:val="-7"/>
        </w:rPr>
        <w:t> </w:t>
      </w:r>
      <w:r>
        <w:rPr/>
        <w:t>valuation</w:t>
      </w:r>
      <w:r>
        <w:rPr>
          <w:spacing w:val="-9"/>
        </w:rPr>
        <w:t> </w:t>
      </w:r>
      <w:r>
        <w:rPr/>
        <w:t>exercise</w:t>
      </w:r>
      <w:r>
        <w:rPr>
          <w:spacing w:val="-10"/>
        </w:rPr>
        <w:t> </w:t>
      </w:r>
      <w:r>
        <w:rPr/>
        <w:t>is</w:t>
      </w:r>
      <w:r>
        <w:rPr>
          <w:spacing w:val="-10"/>
        </w:rPr>
        <w:t> </w:t>
      </w:r>
      <w:r>
        <w:rPr/>
        <w:t>to</w:t>
      </w:r>
      <w:r>
        <w:rPr>
          <w:spacing w:val="-10"/>
        </w:rPr>
        <w:t> </w:t>
      </w:r>
      <w:r>
        <w:rPr/>
        <w:t>estimate</w:t>
      </w:r>
      <w:r>
        <w:rPr>
          <w:spacing w:val="-9"/>
        </w:rPr>
        <w:t> </w:t>
      </w:r>
      <w:r>
        <w:rPr/>
        <w:t>the</w:t>
      </w:r>
      <w:r>
        <w:rPr>
          <w:spacing w:val="-10"/>
        </w:rPr>
        <w:t> </w:t>
      </w:r>
      <w:r>
        <w:rPr/>
        <w:t>Market</w:t>
      </w:r>
      <w:r>
        <w:rPr>
          <w:spacing w:val="-9"/>
        </w:rPr>
        <w:t> </w:t>
      </w:r>
      <w:r>
        <w:rPr/>
        <w:t>Value</w:t>
      </w:r>
      <w:r>
        <w:rPr>
          <w:spacing w:val="-10"/>
        </w:rPr>
        <w:t> </w:t>
      </w:r>
      <w:r>
        <w:rPr/>
        <w:t>(MV)</w:t>
      </w:r>
      <w:r>
        <w:rPr>
          <w:spacing w:val="-8"/>
        </w:rPr>
        <w:t> </w:t>
      </w:r>
      <w:r>
        <w:rPr/>
        <w:t>of</w:t>
      </w:r>
      <w:r>
        <w:rPr>
          <w:spacing w:val="-10"/>
        </w:rPr>
        <w:t> </w:t>
      </w:r>
      <w:r>
        <w:rPr/>
        <w:t>the</w:t>
      </w:r>
      <w:r>
        <w:rPr>
          <w:spacing w:val="-12"/>
        </w:rPr>
        <w:t> </w:t>
      </w:r>
      <w:r>
        <w:rPr/>
        <w:t>subject</w:t>
      </w:r>
      <w:r>
        <w:rPr>
          <w:spacing w:val="-11"/>
        </w:rPr>
        <w:t> </w:t>
      </w:r>
      <w:r>
        <w:rPr/>
        <w:t>properties. Market Value is derived through the following</w:t>
      </w:r>
      <w:r>
        <w:rPr>
          <w:spacing w:val="-30"/>
        </w:rPr>
        <w:t> </w:t>
      </w:r>
      <w:r>
        <w:rPr/>
        <w:t>Methodologies:</w:t>
      </w:r>
    </w:p>
    <w:p>
      <w:pPr>
        <w:pStyle w:val="BodyText"/>
        <w:spacing w:before="4"/>
        <w:rPr>
          <w:sz w:val="24"/>
        </w:rPr>
      </w:pPr>
    </w:p>
    <w:p>
      <w:pPr>
        <w:pStyle w:val="ListParagraph"/>
        <w:numPr>
          <w:ilvl w:val="2"/>
          <w:numId w:val="14"/>
        </w:numPr>
        <w:tabs>
          <w:tab w:pos="1001" w:val="left" w:leader="none"/>
        </w:tabs>
        <w:spacing w:line="240" w:lineRule="auto" w:before="1" w:after="0"/>
        <w:ind w:left="1000" w:right="0" w:hanging="721"/>
        <w:jc w:val="both"/>
        <w:rPr>
          <w:sz w:val="22"/>
        </w:rPr>
      </w:pPr>
      <w:bookmarkStart w:name="_bookmark16" w:id="32"/>
      <w:bookmarkEnd w:id="32"/>
      <w:r>
        <w:rPr/>
      </w:r>
      <w:bookmarkStart w:name="_bookmark16" w:id="33"/>
      <w:bookmarkEnd w:id="33"/>
      <w:r>
        <w:rPr>
          <w:color w:val="1F664D"/>
          <w:w w:val="105"/>
          <w:sz w:val="22"/>
        </w:rPr>
        <w:t>Direc</w:t>
      </w:r>
      <w:r>
        <w:rPr>
          <w:color w:val="1F664D"/>
          <w:w w:val="105"/>
          <w:sz w:val="22"/>
        </w:rPr>
        <w:t>t Comparison</w:t>
      </w:r>
      <w:r>
        <w:rPr>
          <w:color w:val="1F664D"/>
          <w:spacing w:val="-11"/>
          <w:w w:val="105"/>
          <w:sz w:val="22"/>
        </w:rPr>
        <w:t> </w:t>
      </w:r>
      <w:r>
        <w:rPr>
          <w:color w:val="1F664D"/>
          <w:w w:val="105"/>
          <w:sz w:val="22"/>
        </w:rPr>
        <w:t>Approach</w:t>
      </w:r>
    </w:p>
    <w:p>
      <w:pPr>
        <w:pStyle w:val="BodyText"/>
        <w:spacing w:line="321" w:lineRule="auto" w:before="207"/>
        <w:ind w:left="820" w:right="633"/>
        <w:jc w:val="both"/>
      </w:pPr>
      <w:r>
        <w:rPr/>
        <w:t>In ‘Direct Comparison Approach’, the subject property is compared to similar properties that have actually</w:t>
      </w:r>
      <w:r>
        <w:rPr>
          <w:spacing w:val="-35"/>
        </w:rPr>
        <w:t> </w:t>
      </w:r>
      <w:r>
        <w:rPr/>
        <w:t>been</w:t>
      </w:r>
      <w:r>
        <w:rPr>
          <w:spacing w:val="-37"/>
        </w:rPr>
        <w:t> </w:t>
      </w:r>
      <w:r>
        <w:rPr/>
        <w:t>sold</w:t>
      </w:r>
      <w:r>
        <w:rPr>
          <w:spacing w:val="-35"/>
        </w:rPr>
        <w:t> </w:t>
      </w:r>
      <w:r>
        <w:rPr/>
        <w:t>in</w:t>
      </w:r>
      <w:r>
        <w:rPr>
          <w:spacing w:val="-37"/>
        </w:rPr>
        <w:t> </w:t>
      </w:r>
      <w:r>
        <w:rPr/>
        <w:t>an</w:t>
      </w:r>
      <w:r>
        <w:rPr>
          <w:spacing w:val="-35"/>
        </w:rPr>
        <w:t> </w:t>
      </w:r>
      <w:r>
        <w:rPr/>
        <w:t>arms-length</w:t>
      </w:r>
      <w:r>
        <w:rPr>
          <w:spacing w:val="-36"/>
        </w:rPr>
        <w:t> </w:t>
      </w:r>
      <w:r>
        <w:rPr/>
        <w:t>transaction</w:t>
      </w:r>
      <w:r>
        <w:rPr>
          <w:spacing w:val="-36"/>
        </w:rPr>
        <w:t> </w:t>
      </w:r>
      <w:r>
        <w:rPr/>
        <w:t>or</w:t>
      </w:r>
      <w:r>
        <w:rPr>
          <w:spacing w:val="-35"/>
        </w:rPr>
        <w:t> </w:t>
      </w:r>
      <w:r>
        <w:rPr/>
        <w:t>are</w:t>
      </w:r>
      <w:r>
        <w:rPr>
          <w:spacing w:val="-36"/>
        </w:rPr>
        <w:t> </w:t>
      </w:r>
      <w:r>
        <w:rPr/>
        <w:t>offered</w:t>
      </w:r>
      <w:r>
        <w:rPr>
          <w:spacing w:val="-35"/>
        </w:rPr>
        <w:t> </w:t>
      </w:r>
      <w:r>
        <w:rPr/>
        <w:t>for</w:t>
      </w:r>
      <w:r>
        <w:rPr>
          <w:spacing w:val="-37"/>
        </w:rPr>
        <w:t> </w:t>
      </w:r>
      <w:r>
        <w:rPr/>
        <w:t>sale</w:t>
      </w:r>
      <w:r>
        <w:rPr>
          <w:spacing w:val="-36"/>
        </w:rPr>
        <w:t> </w:t>
      </w:r>
      <w:r>
        <w:rPr/>
        <w:t>(after</w:t>
      </w:r>
      <w:r>
        <w:rPr>
          <w:spacing w:val="-33"/>
        </w:rPr>
        <w:t> </w:t>
      </w:r>
      <w:r>
        <w:rPr/>
        <w:t>deducting</w:t>
      </w:r>
      <w:r>
        <w:rPr>
          <w:spacing w:val="-36"/>
        </w:rPr>
        <w:t> </w:t>
      </w:r>
      <w:r>
        <w:rPr/>
        <w:t>for</w:t>
      </w:r>
      <w:r>
        <w:rPr>
          <w:spacing w:val="-36"/>
        </w:rPr>
        <w:t> </w:t>
      </w:r>
      <w:r>
        <w:rPr/>
        <w:t>value</w:t>
      </w:r>
      <w:r>
        <w:rPr>
          <w:spacing w:val="-36"/>
        </w:rPr>
        <w:t> </w:t>
      </w:r>
      <w:r>
        <w:rPr/>
        <w:t>of</w:t>
      </w:r>
      <w:r>
        <w:rPr>
          <w:spacing w:val="-36"/>
        </w:rPr>
        <w:t> </w:t>
      </w:r>
      <w:r>
        <w:rPr/>
        <w:t>built- up structure located thereon). The comparable evidence gathered during research is adjusted for premiums and discounts based on property specific attributes to reflect the underlying value of the property.</w:t>
      </w:r>
    </w:p>
    <w:p>
      <w:pPr>
        <w:spacing w:after="0" w:line="321" w:lineRule="auto"/>
        <w:jc w:val="both"/>
        <w:sectPr>
          <w:pgSz w:w="11910" w:h="16840"/>
          <w:pgMar w:header="720" w:footer="842" w:top="1520" w:bottom="1040" w:left="440" w:right="80"/>
        </w:sectPr>
      </w:pPr>
    </w:p>
    <w:p>
      <w:pPr>
        <w:pStyle w:val="BodyText"/>
        <w:spacing w:before="5"/>
      </w:pPr>
    </w:p>
    <w:p>
      <w:pPr>
        <w:pStyle w:val="ListParagraph"/>
        <w:numPr>
          <w:ilvl w:val="2"/>
          <w:numId w:val="14"/>
        </w:numPr>
        <w:tabs>
          <w:tab w:pos="1001" w:val="left" w:leader="none"/>
        </w:tabs>
        <w:spacing w:line="240" w:lineRule="auto" w:before="106" w:after="0"/>
        <w:ind w:left="1000" w:right="0" w:hanging="721"/>
        <w:jc w:val="left"/>
        <w:rPr>
          <w:sz w:val="22"/>
        </w:rPr>
      </w:pPr>
      <w:bookmarkStart w:name="_bookmark17" w:id="34"/>
      <w:bookmarkEnd w:id="34"/>
      <w:r>
        <w:rPr/>
      </w:r>
      <w:bookmarkStart w:name="_bookmark17" w:id="35"/>
      <w:bookmarkEnd w:id="35"/>
      <w:r>
        <w:rPr>
          <w:color w:val="1F664D"/>
          <w:w w:val="105"/>
          <w:sz w:val="22"/>
        </w:rPr>
        <w:t>In</w:t>
      </w:r>
      <w:r>
        <w:rPr>
          <w:color w:val="1F664D"/>
          <w:w w:val="105"/>
          <w:sz w:val="22"/>
        </w:rPr>
        <w:t>come</w:t>
      </w:r>
      <w:r>
        <w:rPr>
          <w:color w:val="1F664D"/>
          <w:spacing w:val="-7"/>
          <w:w w:val="105"/>
          <w:sz w:val="22"/>
        </w:rPr>
        <w:t> </w:t>
      </w:r>
      <w:r>
        <w:rPr>
          <w:color w:val="1F664D"/>
          <w:w w:val="105"/>
          <w:sz w:val="22"/>
        </w:rPr>
        <w:t>Approach</w:t>
      </w:r>
    </w:p>
    <w:p>
      <w:pPr>
        <w:pStyle w:val="BodyText"/>
        <w:spacing w:line="321" w:lineRule="auto" w:before="208"/>
        <w:ind w:left="820" w:right="636"/>
        <w:jc w:val="both"/>
      </w:pPr>
      <w:r>
        <w:rPr/>
        <w:t>The</w:t>
      </w:r>
      <w:r>
        <w:rPr>
          <w:spacing w:val="-19"/>
        </w:rPr>
        <w:t> </w:t>
      </w:r>
      <w:r>
        <w:rPr/>
        <w:t>income</w:t>
      </w:r>
      <w:r>
        <w:rPr>
          <w:spacing w:val="-18"/>
        </w:rPr>
        <w:t> </w:t>
      </w:r>
      <w:r>
        <w:rPr/>
        <w:t>approach</w:t>
      </w:r>
      <w:r>
        <w:rPr>
          <w:spacing w:val="-19"/>
        </w:rPr>
        <w:t> </w:t>
      </w:r>
      <w:r>
        <w:rPr/>
        <w:t>is</w:t>
      </w:r>
      <w:r>
        <w:rPr>
          <w:spacing w:val="-19"/>
        </w:rPr>
        <w:t> </w:t>
      </w:r>
      <w:r>
        <w:rPr/>
        <w:t>based</w:t>
      </w:r>
      <w:r>
        <w:rPr>
          <w:spacing w:val="-17"/>
        </w:rPr>
        <w:t> </w:t>
      </w:r>
      <w:r>
        <w:rPr/>
        <w:t>on</w:t>
      </w:r>
      <w:r>
        <w:rPr>
          <w:spacing w:val="-19"/>
        </w:rPr>
        <w:t> </w:t>
      </w:r>
      <w:r>
        <w:rPr/>
        <w:t>the</w:t>
      </w:r>
      <w:r>
        <w:rPr>
          <w:spacing w:val="-20"/>
        </w:rPr>
        <w:t> </w:t>
      </w:r>
      <w:r>
        <w:rPr/>
        <w:t>premise</w:t>
      </w:r>
      <w:r>
        <w:rPr>
          <w:spacing w:val="-19"/>
        </w:rPr>
        <w:t> </w:t>
      </w:r>
      <w:r>
        <w:rPr/>
        <w:t>that</w:t>
      </w:r>
      <w:r>
        <w:rPr>
          <w:spacing w:val="-17"/>
        </w:rPr>
        <w:t> </w:t>
      </w:r>
      <w:r>
        <w:rPr/>
        <w:t>value</w:t>
      </w:r>
      <w:r>
        <w:rPr>
          <w:spacing w:val="-19"/>
        </w:rPr>
        <w:t> </w:t>
      </w:r>
      <w:r>
        <w:rPr/>
        <w:t>of</w:t>
      </w:r>
      <w:r>
        <w:rPr>
          <w:spacing w:val="-17"/>
        </w:rPr>
        <w:t> </w:t>
      </w:r>
      <w:r>
        <w:rPr/>
        <w:t>an</w:t>
      </w:r>
      <w:r>
        <w:rPr>
          <w:spacing w:val="-19"/>
        </w:rPr>
        <w:t> </w:t>
      </w:r>
      <w:r>
        <w:rPr/>
        <w:t>income</w:t>
      </w:r>
      <w:r>
        <w:rPr>
          <w:spacing w:val="-16"/>
        </w:rPr>
        <w:t> </w:t>
      </w:r>
      <w:r>
        <w:rPr/>
        <w:t>-</w:t>
      </w:r>
      <w:r>
        <w:rPr>
          <w:spacing w:val="-17"/>
        </w:rPr>
        <w:t> </w:t>
      </w:r>
      <w:r>
        <w:rPr/>
        <w:t>producing</w:t>
      </w:r>
      <w:r>
        <w:rPr>
          <w:spacing w:val="-17"/>
        </w:rPr>
        <w:t> </w:t>
      </w:r>
      <w:r>
        <w:rPr/>
        <w:t>asset</w:t>
      </w:r>
      <w:r>
        <w:rPr>
          <w:spacing w:val="-17"/>
        </w:rPr>
        <w:t> </w:t>
      </w:r>
      <w:r>
        <w:rPr/>
        <w:t>is</w:t>
      </w:r>
      <w:r>
        <w:rPr>
          <w:spacing w:val="-17"/>
        </w:rPr>
        <w:t> </w:t>
      </w:r>
      <w:r>
        <w:rPr/>
        <w:t>a</w:t>
      </w:r>
      <w:r>
        <w:rPr>
          <w:spacing w:val="-19"/>
        </w:rPr>
        <w:t> </w:t>
      </w:r>
      <w:r>
        <w:rPr/>
        <w:t>function</w:t>
      </w:r>
      <w:r>
        <w:rPr>
          <w:spacing w:val="-18"/>
        </w:rPr>
        <w:t> </w:t>
      </w:r>
      <w:r>
        <w:rPr/>
        <w:t>of future</w:t>
      </w:r>
      <w:r>
        <w:rPr>
          <w:spacing w:val="-40"/>
        </w:rPr>
        <w:t> </w:t>
      </w:r>
      <w:r>
        <w:rPr/>
        <w:t>benefits</w:t>
      </w:r>
      <w:r>
        <w:rPr>
          <w:spacing w:val="-39"/>
        </w:rPr>
        <w:t> </w:t>
      </w:r>
      <w:r>
        <w:rPr/>
        <w:t>and</w:t>
      </w:r>
      <w:r>
        <w:rPr>
          <w:spacing w:val="-41"/>
        </w:rPr>
        <w:t> </w:t>
      </w:r>
      <w:r>
        <w:rPr/>
        <w:t>income</w:t>
      </w:r>
      <w:r>
        <w:rPr>
          <w:spacing w:val="-39"/>
        </w:rPr>
        <w:t> </w:t>
      </w:r>
      <w:r>
        <w:rPr/>
        <w:t>derived</w:t>
      </w:r>
      <w:r>
        <w:rPr>
          <w:spacing w:val="-39"/>
        </w:rPr>
        <w:t> </w:t>
      </w:r>
      <w:r>
        <w:rPr/>
        <w:t>from</w:t>
      </w:r>
      <w:r>
        <w:rPr>
          <w:spacing w:val="-41"/>
        </w:rPr>
        <w:t> </w:t>
      </w:r>
      <w:r>
        <w:rPr/>
        <w:t>that</w:t>
      </w:r>
      <w:r>
        <w:rPr>
          <w:spacing w:val="-39"/>
        </w:rPr>
        <w:t> </w:t>
      </w:r>
      <w:r>
        <w:rPr/>
        <w:t>asset.</w:t>
      </w:r>
      <w:r>
        <w:rPr>
          <w:spacing w:val="-41"/>
        </w:rPr>
        <w:t> </w:t>
      </w:r>
      <w:r>
        <w:rPr/>
        <w:t>There</w:t>
      </w:r>
      <w:r>
        <w:rPr>
          <w:spacing w:val="-39"/>
        </w:rPr>
        <w:t> </w:t>
      </w:r>
      <w:r>
        <w:rPr/>
        <w:t>are</w:t>
      </w:r>
      <w:r>
        <w:rPr>
          <w:spacing w:val="-40"/>
        </w:rPr>
        <w:t> </w:t>
      </w:r>
      <w:r>
        <w:rPr/>
        <w:t>two</w:t>
      </w:r>
      <w:r>
        <w:rPr>
          <w:spacing w:val="-39"/>
        </w:rPr>
        <w:t> </w:t>
      </w:r>
      <w:r>
        <w:rPr/>
        <w:t>commonly</w:t>
      </w:r>
      <w:r>
        <w:rPr>
          <w:spacing w:val="-41"/>
        </w:rPr>
        <w:t> </w:t>
      </w:r>
      <w:r>
        <w:rPr/>
        <w:t>used</w:t>
      </w:r>
      <w:r>
        <w:rPr>
          <w:spacing w:val="-39"/>
        </w:rPr>
        <w:t> </w:t>
      </w:r>
      <w:r>
        <w:rPr/>
        <w:t>methods</w:t>
      </w:r>
      <w:r>
        <w:rPr>
          <w:spacing w:val="-40"/>
        </w:rPr>
        <w:t> </w:t>
      </w:r>
      <w:r>
        <w:rPr/>
        <w:t>of</w:t>
      </w:r>
      <w:r>
        <w:rPr>
          <w:spacing w:val="-40"/>
        </w:rPr>
        <w:t> </w:t>
      </w:r>
      <w:r>
        <w:rPr/>
        <w:t>the</w:t>
      </w:r>
      <w:r>
        <w:rPr>
          <w:spacing w:val="-39"/>
        </w:rPr>
        <w:t> </w:t>
      </w:r>
      <w:r>
        <w:rPr/>
        <w:t>income approach</w:t>
      </w:r>
      <w:r>
        <w:rPr>
          <w:spacing w:val="-17"/>
        </w:rPr>
        <w:t> </w:t>
      </w:r>
      <w:r>
        <w:rPr/>
        <w:t>in</w:t>
      </w:r>
      <w:r>
        <w:rPr>
          <w:spacing w:val="-17"/>
        </w:rPr>
        <w:t> </w:t>
      </w:r>
      <w:r>
        <w:rPr/>
        <w:t>real</w:t>
      </w:r>
      <w:r>
        <w:rPr>
          <w:spacing w:val="-17"/>
        </w:rPr>
        <w:t> </w:t>
      </w:r>
      <w:r>
        <w:rPr/>
        <w:t>estate</w:t>
      </w:r>
      <w:r>
        <w:rPr>
          <w:spacing w:val="-17"/>
        </w:rPr>
        <w:t> </w:t>
      </w:r>
      <w:r>
        <w:rPr/>
        <w:t>valuation</w:t>
      </w:r>
      <w:r>
        <w:rPr>
          <w:spacing w:val="-17"/>
        </w:rPr>
        <w:t> </w:t>
      </w:r>
      <w:r>
        <w:rPr/>
        <w:t>namely,</w:t>
      </w:r>
      <w:r>
        <w:rPr>
          <w:spacing w:val="-16"/>
        </w:rPr>
        <w:t> </w:t>
      </w:r>
      <w:r>
        <w:rPr/>
        <w:t>direct</w:t>
      </w:r>
      <w:r>
        <w:rPr>
          <w:spacing w:val="-16"/>
        </w:rPr>
        <w:t> </w:t>
      </w:r>
      <w:r>
        <w:rPr/>
        <w:t>capitalization</w:t>
      </w:r>
      <w:r>
        <w:rPr>
          <w:spacing w:val="-17"/>
        </w:rPr>
        <w:t> </w:t>
      </w:r>
      <w:r>
        <w:rPr/>
        <w:t>and</w:t>
      </w:r>
      <w:r>
        <w:rPr>
          <w:spacing w:val="-16"/>
        </w:rPr>
        <w:t> </w:t>
      </w:r>
      <w:r>
        <w:rPr/>
        <w:t>discounted</w:t>
      </w:r>
      <w:r>
        <w:rPr>
          <w:spacing w:val="-16"/>
        </w:rPr>
        <w:t> </w:t>
      </w:r>
      <w:r>
        <w:rPr/>
        <w:t>cash</w:t>
      </w:r>
      <w:r>
        <w:rPr>
          <w:spacing w:val="-17"/>
        </w:rPr>
        <w:t> </w:t>
      </w:r>
      <w:r>
        <w:rPr/>
        <w:t>flow</w:t>
      </w:r>
      <w:r>
        <w:rPr>
          <w:spacing w:val="-16"/>
        </w:rPr>
        <w:t> </w:t>
      </w:r>
      <w:r>
        <w:rPr/>
        <w:t>(DCF).</w:t>
      </w:r>
    </w:p>
    <w:p>
      <w:pPr>
        <w:pStyle w:val="ListParagraph"/>
        <w:numPr>
          <w:ilvl w:val="3"/>
          <w:numId w:val="14"/>
        </w:numPr>
        <w:tabs>
          <w:tab w:pos="1089" w:val="left" w:leader="none"/>
        </w:tabs>
        <w:spacing w:line="240" w:lineRule="auto" w:before="120" w:after="0"/>
        <w:ind w:left="1089" w:right="0" w:hanging="269"/>
        <w:jc w:val="both"/>
        <w:rPr>
          <w:sz w:val="22"/>
        </w:rPr>
      </w:pPr>
      <w:r>
        <w:rPr>
          <w:sz w:val="22"/>
        </w:rPr>
        <w:t>Direct Capitalization</w:t>
      </w:r>
      <w:r>
        <w:rPr>
          <w:spacing w:val="-7"/>
          <w:sz w:val="22"/>
        </w:rPr>
        <w:t> </w:t>
      </w:r>
      <w:r>
        <w:rPr>
          <w:sz w:val="22"/>
        </w:rPr>
        <w:t>Method</w:t>
      </w:r>
    </w:p>
    <w:p>
      <w:pPr>
        <w:pStyle w:val="BodyText"/>
        <w:spacing w:line="321" w:lineRule="auto" w:before="208"/>
        <w:ind w:left="820" w:right="635"/>
        <w:jc w:val="both"/>
      </w:pPr>
      <w:r>
        <w:rPr/>
        <w:t>Direct capitalization involves capitalizing a ‘normalized’ single - year net income estimated by an appropriate</w:t>
      </w:r>
      <w:r>
        <w:rPr>
          <w:spacing w:val="-26"/>
        </w:rPr>
        <w:t> </w:t>
      </w:r>
      <w:r>
        <w:rPr/>
        <w:t>yield.</w:t>
      </w:r>
      <w:r>
        <w:rPr>
          <w:spacing w:val="-26"/>
        </w:rPr>
        <w:t> </w:t>
      </w:r>
      <w:r>
        <w:rPr/>
        <w:t>This</w:t>
      </w:r>
      <w:r>
        <w:rPr>
          <w:spacing w:val="-24"/>
        </w:rPr>
        <w:t> </w:t>
      </w:r>
      <w:r>
        <w:rPr/>
        <w:t>approach</w:t>
      </w:r>
      <w:r>
        <w:rPr>
          <w:spacing w:val="-26"/>
        </w:rPr>
        <w:t> </w:t>
      </w:r>
      <w:r>
        <w:rPr/>
        <w:t>is</w:t>
      </w:r>
      <w:r>
        <w:rPr>
          <w:spacing w:val="-25"/>
        </w:rPr>
        <w:t> </w:t>
      </w:r>
      <w:r>
        <w:rPr/>
        <w:t>best</w:t>
      </w:r>
      <w:r>
        <w:rPr>
          <w:spacing w:val="-25"/>
        </w:rPr>
        <w:t> </w:t>
      </w:r>
      <w:r>
        <w:rPr/>
        <w:t>utilized</w:t>
      </w:r>
      <w:r>
        <w:rPr>
          <w:spacing w:val="-25"/>
        </w:rPr>
        <w:t> </w:t>
      </w:r>
      <w:r>
        <w:rPr/>
        <w:t>with</w:t>
      </w:r>
      <w:r>
        <w:rPr>
          <w:spacing w:val="-26"/>
        </w:rPr>
        <w:t> </w:t>
      </w:r>
      <w:r>
        <w:rPr/>
        <w:t>stable</w:t>
      </w:r>
      <w:r>
        <w:rPr>
          <w:spacing w:val="-26"/>
        </w:rPr>
        <w:t> </w:t>
      </w:r>
      <w:r>
        <w:rPr/>
        <w:t>revenue</w:t>
      </w:r>
      <w:r>
        <w:rPr>
          <w:spacing w:val="-25"/>
        </w:rPr>
        <w:t> </w:t>
      </w:r>
      <w:r>
        <w:rPr/>
        <w:t>producing</w:t>
      </w:r>
      <w:r>
        <w:rPr>
          <w:spacing w:val="-25"/>
        </w:rPr>
        <w:t> </w:t>
      </w:r>
      <w:r>
        <w:rPr/>
        <w:t>assets,</w:t>
      </w:r>
      <w:r>
        <w:rPr>
          <w:spacing w:val="-26"/>
        </w:rPr>
        <w:t> </w:t>
      </w:r>
      <w:r>
        <w:rPr/>
        <w:t>whereby</w:t>
      </w:r>
      <w:r>
        <w:rPr>
          <w:spacing w:val="-24"/>
        </w:rPr>
        <w:t> </w:t>
      </w:r>
      <w:r>
        <w:rPr/>
        <w:t>there</w:t>
      </w:r>
      <w:r>
        <w:rPr>
          <w:spacing w:val="-25"/>
        </w:rPr>
        <w:t> </w:t>
      </w:r>
      <w:r>
        <w:rPr/>
        <w:t>is little volatility in the net annual</w:t>
      </w:r>
      <w:r>
        <w:rPr>
          <w:spacing w:val="-33"/>
        </w:rPr>
        <w:t> </w:t>
      </w:r>
      <w:r>
        <w:rPr/>
        <w:t>income.</w:t>
      </w:r>
    </w:p>
    <w:p>
      <w:pPr>
        <w:pStyle w:val="BodyText"/>
        <w:rPr>
          <w:sz w:val="20"/>
        </w:rPr>
      </w:pPr>
    </w:p>
    <w:p>
      <w:pPr>
        <w:pStyle w:val="BodyText"/>
        <w:spacing w:before="3"/>
        <w:rPr>
          <w:sz w:val="29"/>
        </w:rPr>
      </w:pPr>
      <w:r>
        <w:rPr/>
        <w:drawing>
          <wp:anchor distT="0" distB="0" distL="0" distR="0" allowOverlap="1" layoutInCell="1" locked="0" behindDoc="0" simplePos="0" relativeHeight="186">
            <wp:simplePos x="0" y="0"/>
            <wp:positionH relativeFrom="page">
              <wp:posOffset>1057326</wp:posOffset>
            </wp:positionH>
            <wp:positionV relativeFrom="paragraph">
              <wp:posOffset>240855</wp:posOffset>
            </wp:positionV>
            <wp:extent cx="5762963" cy="3390900"/>
            <wp:effectExtent l="0" t="0" r="0" b="0"/>
            <wp:wrapTopAndBottom/>
            <wp:docPr id="51" name="image25.png"/>
            <wp:cNvGraphicFramePr>
              <a:graphicFrameLocks noChangeAspect="1"/>
            </wp:cNvGraphicFramePr>
            <a:graphic>
              <a:graphicData uri="http://schemas.openxmlformats.org/drawingml/2006/picture">
                <pic:pic>
                  <pic:nvPicPr>
                    <pic:cNvPr id="52" name="image25.png"/>
                    <pic:cNvPicPr/>
                  </pic:nvPicPr>
                  <pic:blipFill>
                    <a:blip r:embed="rId39" cstate="print"/>
                    <a:stretch>
                      <a:fillRect/>
                    </a:stretch>
                  </pic:blipFill>
                  <pic:spPr>
                    <a:xfrm>
                      <a:off x="0" y="0"/>
                      <a:ext cx="5762963" cy="3390900"/>
                    </a:xfrm>
                    <a:prstGeom prst="rect">
                      <a:avLst/>
                    </a:prstGeom>
                  </pic:spPr>
                </pic:pic>
              </a:graphicData>
            </a:graphic>
          </wp:anchor>
        </w:drawing>
      </w:r>
    </w:p>
    <w:p>
      <w:pPr>
        <w:pStyle w:val="ListParagraph"/>
        <w:numPr>
          <w:ilvl w:val="3"/>
          <w:numId w:val="14"/>
        </w:numPr>
        <w:tabs>
          <w:tab w:pos="1075" w:val="left" w:leader="none"/>
        </w:tabs>
        <w:spacing w:line="240" w:lineRule="auto" w:before="90" w:after="0"/>
        <w:ind w:left="1074" w:right="0" w:hanging="255"/>
        <w:jc w:val="both"/>
        <w:rPr>
          <w:sz w:val="22"/>
        </w:rPr>
      </w:pPr>
      <w:r>
        <w:rPr>
          <w:sz w:val="22"/>
        </w:rPr>
        <w:t>Discounted Cash Flow</w:t>
      </w:r>
      <w:r>
        <w:rPr>
          <w:spacing w:val="-9"/>
          <w:sz w:val="22"/>
        </w:rPr>
        <w:t> </w:t>
      </w:r>
      <w:r>
        <w:rPr>
          <w:sz w:val="22"/>
        </w:rPr>
        <w:t>Method</w:t>
      </w:r>
    </w:p>
    <w:p>
      <w:pPr>
        <w:pStyle w:val="BodyText"/>
        <w:spacing w:line="321" w:lineRule="auto" w:before="209"/>
        <w:ind w:left="820" w:right="634"/>
        <w:jc w:val="both"/>
      </w:pPr>
      <w:r>
        <w:rPr/>
        <w:t>Using</w:t>
      </w:r>
      <w:r>
        <w:rPr>
          <w:spacing w:val="-17"/>
        </w:rPr>
        <w:t> </w:t>
      </w:r>
      <w:r>
        <w:rPr/>
        <w:t>this</w:t>
      </w:r>
      <w:r>
        <w:rPr>
          <w:spacing w:val="-16"/>
        </w:rPr>
        <w:t> </w:t>
      </w:r>
      <w:r>
        <w:rPr/>
        <w:t>valuation</w:t>
      </w:r>
      <w:r>
        <w:rPr>
          <w:spacing w:val="-17"/>
        </w:rPr>
        <w:t> </w:t>
      </w:r>
      <w:r>
        <w:rPr/>
        <w:t>method,</w:t>
      </w:r>
      <w:r>
        <w:rPr>
          <w:spacing w:val="-17"/>
        </w:rPr>
        <w:t> </w:t>
      </w:r>
      <w:r>
        <w:rPr/>
        <w:t>future</w:t>
      </w:r>
      <w:r>
        <w:rPr>
          <w:spacing w:val="-17"/>
        </w:rPr>
        <w:t> </w:t>
      </w:r>
      <w:r>
        <w:rPr/>
        <w:t>cash</w:t>
      </w:r>
      <w:r>
        <w:rPr>
          <w:spacing w:val="-17"/>
        </w:rPr>
        <w:t> </w:t>
      </w:r>
      <w:r>
        <w:rPr/>
        <w:t>flows</w:t>
      </w:r>
      <w:r>
        <w:rPr>
          <w:spacing w:val="-17"/>
        </w:rPr>
        <w:t> </w:t>
      </w:r>
      <w:r>
        <w:rPr/>
        <w:t>from</w:t>
      </w:r>
      <w:r>
        <w:rPr>
          <w:spacing w:val="-16"/>
        </w:rPr>
        <w:t> </w:t>
      </w:r>
      <w:r>
        <w:rPr/>
        <w:t>the</w:t>
      </w:r>
      <w:r>
        <w:rPr>
          <w:spacing w:val="-18"/>
        </w:rPr>
        <w:t> </w:t>
      </w:r>
      <w:r>
        <w:rPr/>
        <w:t>property</w:t>
      </w:r>
      <w:r>
        <w:rPr>
          <w:spacing w:val="-17"/>
        </w:rPr>
        <w:t> </w:t>
      </w:r>
      <w:r>
        <w:rPr/>
        <w:t>are</w:t>
      </w:r>
      <w:r>
        <w:rPr>
          <w:spacing w:val="-17"/>
        </w:rPr>
        <w:t> </w:t>
      </w:r>
      <w:r>
        <w:rPr/>
        <w:t>forecasted</w:t>
      </w:r>
      <w:r>
        <w:rPr>
          <w:spacing w:val="-16"/>
        </w:rPr>
        <w:t> </w:t>
      </w:r>
      <w:r>
        <w:rPr/>
        <w:t>using</w:t>
      </w:r>
      <w:r>
        <w:rPr>
          <w:spacing w:val="-17"/>
        </w:rPr>
        <w:t> </w:t>
      </w:r>
      <w:r>
        <w:rPr/>
        <w:t>precisely</w:t>
      </w:r>
      <w:r>
        <w:rPr>
          <w:spacing w:val="-17"/>
        </w:rPr>
        <w:t> </w:t>
      </w:r>
      <w:r>
        <w:rPr/>
        <w:t>stated assumptions.</w:t>
      </w:r>
      <w:r>
        <w:rPr>
          <w:spacing w:val="-43"/>
        </w:rPr>
        <w:t> </w:t>
      </w:r>
      <w:r>
        <w:rPr/>
        <w:t>This</w:t>
      </w:r>
      <w:r>
        <w:rPr>
          <w:spacing w:val="-41"/>
        </w:rPr>
        <w:t> </w:t>
      </w:r>
      <w:r>
        <w:rPr/>
        <w:t>method</w:t>
      </w:r>
      <w:r>
        <w:rPr>
          <w:spacing w:val="-41"/>
        </w:rPr>
        <w:t> </w:t>
      </w:r>
      <w:r>
        <w:rPr/>
        <w:t>allows</w:t>
      </w:r>
      <w:r>
        <w:rPr>
          <w:spacing w:val="-41"/>
        </w:rPr>
        <w:t> </w:t>
      </w:r>
      <w:r>
        <w:rPr/>
        <w:t>for</w:t>
      </w:r>
      <w:r>
        <w:rPr>
          <w:spacing w:val="-43"/>
        </w:rPr>
        <w:t> </w:t>
      </w:r>
      <w:r>
        <w:rPr/>
        <w:t>the</w:t>
      </w:r>
      <w:r>
        <w:rPr>
          <w:spacing w:val="-41"/>
        </w:rPr>
        <w:t> </w:t>
      </w:r>
      <w:r>
        <w:rPr/>
        <w:t>explicit</w:t>
      </w:r>
      <w:r>
        <w:rPr>
          <w:spacing w:val="-42"/>
        </w:rPr>
        <w:t> </w:t>
      </w:r>
      <w:r>
        <w:rPr/>
        <w:t>modelling</w:t>
      </w:r>
      <w:r>
        <w:rPr>
          <w:spacing w:val="-41"/>
        </w:rPr>
        <w:t> </w:t>
      </w:r>
      <w:r>
        <w:rPr/>
        <w:t>of</w:t>
      </w:r>
      <w:r>
        <w:rPr>
          <w:spacing w:val="-41"/>
        </w:rPr>
        <w:t> </w:t>
      </w:r>
      <w:r>
        <w:rPr/>
        <w:t>income</w:t>
      </w:r>
      <w:r>
        <w:rPr>
          <w:spacing w:val="-41"/>
        </w:rPr>
        <w:t> </w:t>
      </w:r>
      <w:r>
        <w:rPr/>
        <w:t>associated</w:t>
      </w:r>
      <w:r>
        <w:rPr>
          <w:spacing w:val="-42"/>
        </w:rPr>
        <w:t> </w:t>
      </w:r>
      <w:r>
        <w:rPr/>
        <w:t>with</w:t>
      </w:r>
      <w:r>
        <w:rPr>
          <w:spacing w:val="-42"/>
        </w:rPr>
        <w:t> </w:t>
      </w:r>
      <w:r>
        <w:rPr/>
        <w:t>the</w:t>
      </w:r>
      <w:r>
        <w:rPr>
          <w:spacing w:val="-43"/>
        </w:rPr>
        <w:t> </w:t>
      </w:r>
      <w:r>
        <w:rPr/>
        <w:t>property.</w:t>
      </w:r>
      <w:r>
        <w:rPr>
          <w:spacing w:val="-42"/>
        </w:rPr>
        <w:t> </w:t>
      </w:r>
      <w:r>
        <w:rPr/>
        <w:t>These future</w:t>
      </w:r>
      <w:r>
        <w:rPr>
          <w:spacing w:val="-31"/>
        </w:rPr>
        <w:t> </w:t>
      </w:r>
      <w:r>
        <w:rPr/>
        <w:t>financial</w:t>
      </w:r>
      <w:r>
        <w:rPr>
          <w:spacing w:val="-31"/>
        </w:rPr>
        <w:t> </w:t>
      </w:r>
      <w:r>
        <w:rPr/>
        <w:t>benefits</w:t>
      </w:r>
      <w:r>
        <w:rPr>
          <w:spacing w:val="-30"/>
        </w:rPr>
        <w:t> </w:t>
      </w:r>
      <w:r>
        <w:rPr/>
        <w:t>are</w:t>
      </w:r>
      <w:r>
        <w:rPr>
          <w:spacing w:val="-30"/>
        </w:rPr>
        <w:t> </w:t>
      </w:r>
      <w:r>
        <w:rPr/>
        <w:t>then</w:t>
      </w:r>
      <w:r>
        <w:rPr>
          <w:spacing w:val="-30"/>
        </w:rPr>
        <w:t> </w:t>
      </w:r>
      <w:r>
        <w:rPr/>
        <w:t>discounted</w:t>
      </w:r>
      <w:r>
        <w:rPr>
          <w:spacing w:val="-30"/>
        </w:rPr>
        <w:t> </w:t>
      </w:r>
      <w:r>
        <w:rPr/>
        <w:t>to</w:t>
      </w:r>
      <w:r>
        <w:rPr>
          <w:spacing w:val="-29"/>
        </w:rPr>
        <w:t> </w:t>
      </w:r>
      <w:r>
        <w:rPr/>
        <w:t>a</w:t>
      </w:r>
      <w:r>
        <w:rPr>
          <w:spacing w:val="-31"/>
        </w:rPr>
        <w:t> </w:t>
      </w:r>
      <w:r>
        <w:rPr/>
        <w:t>present</w:t>
      </w:r>
      <w:r>
        <w:rPr>
          <w:spacing w:val="-30"/>
        </w:rPr>
        <w:t> </w:t>
      </w:r>
      <w:r>
        <w:rPr/>
        <w:t>day</w:t>
      </w:r>
      <w:r>
        <w:rPr>
          <w:spacing w:val="-30"/>
        </w:rPr>
        <w:t> </w:t>
      </w:r>
      <w:r>
        <w:rPr/>
        <w:t>value</w:t>
      </w:r>
      <w:r>
        <w:rPr>
          <w:spacing w:val="-30"/>
        </w:rPr>
        <w:t> </w:t>
      </w:r>
      <w:r>
        <w:rPr/>
        <w:t>at</w:t>
      </w:r>
      <w:r>
        <w:rPr>
          <w:spacing w:val="-32"/>
        </w:rPr>
        <w:t> </w:t>
      </w:r>
      <w:r>
        <w:rPr/>
        <w:t>an</w:t>
      </w:r>
      <w:r>
        <w:rPr>
          <w:spacing w:val="-30"/>
        </w:rPr>
        <w:t> </w:t>
      </w:r>
      <w:r>
        <w:rPr/>
        <w:t>appropriate</w:t>
      </w:r>
      <w:r>
        <w:rPr>
          <w:spacing w:val="-30"/>
        </w:rPr>
        <w:t> </w:t>
      </w:r>
      <w:r>
        <w:rPr/>
        <w:t>discount</w:t>
      </w:r>
      <w:r>
        <w:rPr>
          <w:spacing w:val="-30"/>
        </w:rPr>
        <w:t> </w:t>
      </w:r>
      <w:r>
        <w:rPr/>
        <w:t>rate.</w:t>
      </w:r>
      <w:r>
        <w:rPr>
          <w:spacing w:val="-31"/>
        </w:rPr>
        <w:t> </w:t>
      </w:r>
      <w:r>
        <w:rPr/>
        <w:t>The valuation</w:t>
      </w:r>
      <w:r>
        <w:rPr>
          <w:spacing w:val="-29"/>
        </w:rPr>
        <w:t> </w:t>
      </w:r>
      <w:r>
        <w:rPr/>
        <w:t>process</w:t>
      </w:r>
      <w:r>
        <w:rPr>
          <w:spacing w:val="-27"/>
        </w:rPr>
        <w:t> </w:t>
      </w:r>
      <w:r>
        <w:rPr/>
        <w:t>and</w:t>
      </w:r>
      <w:r>
        <w:rPr>
          <w:spacing w:val="-29"/>
        </w:rPr>
        <w:t> </w:t>
      </w:r>
      <w:r>
        <w:rPr/>
        <w:t>the</w:t>
      </w:r>
      <w:r>
        <w:rPr>
          <w:spacing w:val="-28"/>
        </w:rPr>
        <w:t> </w:t>
      </w:r>
      <w:r>
        <w:rPr/>
        <w:t>assumptions</w:t>
      </w:r>
      <w:r>
        <w:rPr>
          <w:spacing w:val="-27"/>
        </w:rPr>
        <w:t> </w:t>
      </w:r>
      <w:r>
        <w:rPr/>
        <w:t>for</w:t>
      </w:r>
      <w:r>
        <w:rPr>
          <w:spacing w:val="-28"/>
        </w:rPr>
        <w:t> </w:t>
      </w:r>
      <w:r>
        <w:rPr/>
        <w:t>valuation</w:t>
      </w:r>
      <w:r>
        <w:rPr>
          <w:spacing w:val="-29"/>
        </w:rPr>
        <w:t> </w:t>
      </w:r>
      <w:r>
        <w:rPr/>
        <w:t>adopted</w:t>
      </w:r>
      <w:r>
        <w:rPr>
          <w:spacing w:val="-27"/>
        </w:rPr>
        <w:t> </w:t>
      </w:r>
      <w:r>
        <w:rPr/>
        <w:t>while</w:t>
      </w:r>
      <w:r>
        <w:rPr>
          <w:spacing w:val="-28"/>
        </w:rPr>
        <w:t> </w:t>
      </w:r>
      <w:r>
        <w:rPr/>
        <w:t>undertaking</w:t>
      </w:r>
      <w:r>
        <w:rPr>
          <w:spacing w:val="-27"/>
        </w:rPr>
        <w:t> </w:t>
      </w:r>
      <w:r>
        <w:rPr/>
        <w:t>the</w:t>
      </w:r>
      <w:r>
        <w:rPr>
          <w:spacing w:val="-29"/>
        </w:rPr>
        <w:t> </w:t>
      </w:r>
      <w:r>
        <w:rPr/>
        <w:t>valuation</w:t>
      </w:r>
      <w:r>
        <w:rPr>
          <w:spacing w:val="-28"/>
        </w:rPr>
        <w:t> </w:t>
      </w:r>
      <w:r>
        <w:rPr/>
        <w:t>under</w:t>
      </w:r>
      <w:r>
        <w:rPr>
          <w:spacing w:val="-25"/>
        </w:rPr>
        <w:t> </w:t>
      </w:r>
      <w:r>
        <w:rPr/>
        <w:t>this approach are detailed</w:t>
      </w:r>
      <w:r>
        <w:rPr>
          <w:spacing w:val="-9"/>
        </w:rPr>
        <w:t> </w:t>
      </w:r>
      <w:r>
        <w:rPr/>
        <w:t>overleaf:</w:t>
      </w:r>
    </w:p>
    <w:p>
      <w:pPr>
        <w:spacing w:after="0" w:line="321" w:lineRule="auto"/>
        <w:jc w:val="both"/>
        <w:sectPr>
          <w:pgSz w:w="11910" w:h="16840"/>
          <w:pgMar w:header="720" w:footer="842" w:top="1520" w:bottom="1040" w:left="440" w:right="80"/>
        </w:sectPr>
      </w:pPr>
    </w:p>
    <w:p>
      <w:pPr>
        <w:pStyle w:val="BodyText"/>
        <w:rPr>
          <w:sz w:val="20"/>
        </w:rPr>
      </w:pPr>
    </w:p>
    <w:p>
      <w:pPr>
        <w:pStyle w:val="BodyText"/>
        <w:spacing w:before="5"/>
        <w:rPr>
          <w:sz w:val="11"/>
        </w:rPr>
      </w:pPr>
    </w:p>
    <w:p>
      <w:pPr>
        <w:pStyle w:val="BodyText"/>
        <w:ind w:left="894"/>
        <w:rPr>
          <w:sz w:val="20"/>
        </w:rPr>
      </w:pPr>
      <w:r>
        <w:rPr>
          <w:sz w:val="20"/>
        </w:rPr>
        <w:drawing>
          <wp:inline distT="0" distB="0" distL="0" distR="0">
            <wp:extent cx="5895673" cy="3333750"/>
            <wp:effectExtent l="0" t="0" r="0" b="0"/>
            <wp:docPr id="53" name="image26.png"/>
            <wp:cNvGraphicFramePr>
              <a:graphicFrameLocks noChangeAspect="1"/>
            </wp:cNvGraphicFramePr>
            <a:graphic>
              <a:graphicData uri="http://schemas.openxmlformats.org/drawingml/2006/picture">
                <pic:pic>
                  <pic:nvPicPr>
                    <pic:cNvPr id="54" name="image26.png"/>
                    <pic:cNvPicPr/>
                  </pic:nvPicPr>
                  <pic:blipFill>
                    <a:blip r:embed="rId40" cstate="print"/>
                    <a:stretch>
                      <a:fillRect/>
                    </a:stretch>
                  </pic:blipFill>
                  <pic:spPr>
                    <a:xfrm>
                      <a:off x="0" y="0"/>
                      <a:ext cx="5895673" cy="3333750"/>
                    </a:xfrm>
                    <a:prstGeom prst="rect">
                      <a:avLst/>
                    </a:prstGeom>
                  </pic:spPr>
                </pic:pic>
              </a:graphicData>
            </a:graphic>
          </wp:inline>
        </w:drawing>
      </w:r>
      <w:r>
        <w:rPr>
          <w:sz w:val="20"/>
        </w:rPr>
      </w:r>
    </w:p>
    <w:p>
      <w:pPr>
        <w:pStyle w:val="BodyText"/>
        <w:rPr>
          <w:sz w:val="20"/>
        </w:rPr>
      </w:pPr>
    </w:p>
    <w:p>
      <w:pPr>
        <w:pStyle w:val="BodyText"/>
        <w:spacing w:before="4"/>
        <w:rPr>
          <w:sz w:val="20"/>
        </w:rPr>
      </w:pPr>
    </w:p>
    <w:p>
      <w:pPr>
        <w:pStyle w:val="ListParagraph"/>
        <w:numPr>
          <w:ilvl w:val="4"/>
          <w:numId w:val="14"/>
        </w:numPr>
        <w:tabs>
          <w:tab w:pos="1270" w:val="left" w:leader="none"/>
        </w:tabs>
        <w:spacing w:line="240" w:lineRule="auto" w:before="0" w:after="0"/>
        <w:ind w:left="1269" w:right="0" w:hanging="450"/>
        <w:jc w:val="left"/>
        <w:rPr>
          <w:sz w:val="22"/>
        </w:rPr>
      </w:pPr>
      <w:r>
        <w:rPr>
          <w:sz w:val="22"/>
        </w:rPr>
        <w:t>Discounted Cash Flow Method using Rent</w:t>
      </w:r>
      <w:r>
        <w:rPr>
          <w:spacing w:val="-13"/>
          <w:sz w:val="22"/>
        </w:rPr>
        <w:t> </w:t>
      </w:r>
      <w:r>
        <w:rPr>
          <w:sz w:val="22"/>
        </w:rPr>
        <w:t>Reversion</w:t>
      </w:r>
    </w:p>
    <w:p>
      <w:pPr>
        <w:pStyle w:val="BodyText"/>
        <w:spacing w:line="321" w:lineRule="auto" w:before="208"/>
        <w:ind w:left="846" w:right="633"/>
        <w:jc w:val="both"/>
      </w:pPr>
      <w:r>
        <w:rPr/>
        <w:t>The</w:t>
      </w:r>
      <w:r>
        <w:rPr>
          <w:spacing w:val="-19"/>
        </w:rPr>
        <w:t> </w:t>
      </w:r>
      <w:r>
        <w:rPr/>
        <w:t>market</w:t>
      </w:r>
      <w:r>
        <w:rPr>
          <w:spacing w:val="-18"/>
        </w:rPr>
        <w:t> </w:t>
      </w:r>
      <w:r>
        <w:rPr/>
        <w:t>practice</w:t>
      </w:r>
      <w:r>
        <w:rPr>
          <w:spacing w:val="-19"/>
        </w:rPr>
        <w:t> </w:t>
      </w:r>
      <w:r>
        <w:rPr/>
        <w:t>in</w:t>
      </w:r>
      <w:r>
        <w:rPr>
          <w:spacing w:val="-16"/>
        </w:rPr>
        <w:t> </w:t>
      </w:r>
      <w:r>
        <w:rPr/>
        <w:t>most</w:t>
      </w:r>
      <w:r>
        <w:rPr>
          <w:spacing w:val="-18"/>
        </w:rPr>
        <w:t> </w:t>
      </w:r>
      <w:r>
        <w:rPr/>
        <w:t>commercial/</w:t>
      </w:r>
      <w:r>
        <w:rPr>
          <w:spacing w:val="-19"/>
        </w:rPr>
        <w:t> </w:t>
      </w:r>
      <w:r>
        <w:rPr/>
        <w:t>IT</w:t>
      </w:r>
      <w:r>
        <w:rPr>
          <w:spacing w:val="-18"/>
        </w:rPr>
        <w:t> </w:t>
      </w:r>
      <w:r>
        <w:rPr/>
        <w:t>developments</w:t>
      </w:r>
      <w:r>
        <w:rPr>
          <w:spacing w:val="-17"/>
        </w:rPr>
        <w:t> </w:t>
      </w:r>
      <w:r>
        <w:rPr/>
        <w:t>involves</w:t>
      </w:r>
      <w:r>
        <w:rPr>
          <w:spacing w:val="-18"/>
        </w:rPr>
        <w:t> </w:t>
      </w:r>
      <w:r>
        <w:rPr/>
        <w:t>contracting</w:t>
      </w:r>
      <w:r>
        <w:rPr>
          <w:spacing w:val="-17"/>
        </w:rPr>
        <w:t> </w:t>
      </w:r>
      <w:r>
        <w:rPr/>
        <w:t>tenants</w:t>
      </w:r>
      <w:r>
        <w:rPr>
          <w:spacing w:val="-17"/>
        </w:rPr>
        <w:t> </w:t>
      </w:r>
      <w:r>
        <w:rPr/>
        <w:t>in</w:t>
      </w:r>
      <w:r>
        <w:rPr>
          <w:spacing w:val="-19"/>
        </w:rPr>
        <w:t> </w:t>
      </w:r>
      <w:r>
        <w:rPr/>
        <w:t>the</w:t>
      </w:r>
      <w:r>
        <w:rPr>
          <w:spacing w:val="-19"/>
        </w:rPr>
        <w:t> </w:t>
      </w:r>
      <w:r>
        <w:rPr/>
        <w:t>form</w:t>
      </w:r>
      <w:r>
        <w:rPr>
          <w:spacing w:val="-18"/>
        </w:rPr>
        <w:t> </w:t>
      </w:r>
      <w:r>
        <w:rPr/>
        <w:t>of pre-commitments</w:t>
      </w:r>
      <w:r>
        <w:rPr>
          <w:spacing w:val="-33"/>
        </w:rPr>
        <w:t> </w:t>
      </w:r>
      <w:r>
        <w:rPr/>
        <w:t>at</w:t>
      </w:r>
      <w:r>
        <w:rPr>
          <w:spacing w:val="-32"/>
        </w:rPr>
        <w:t> </w:t>
      </w:r>
      <w:r>
        <w:rPr/>
        <w:t>sub-market</w:t>
      </w:r>
      <w:r>
        <w:rPr>
          <w:spacing w:val="-32"/>
        </w:rPr>
        <w:t> </w:t>
      </w:r>
      <w:r>
        <w:rPr/>
        <w:t>rent</w:t>
      </w:r>
      <w:r>
        <w:rPr>
          <w:spacing w:val="-32"/>
        </w:rPr>
        <w:t> </w:t>
      </w:r>
      <w:r>
        <w:rPr/>
        <w:t>to</w:t>
      </w:r>
      <w:r>
        <w:rPr>
          <w:spacing w:val="-33"/>
        </w:rPr>
        <w:t> </w:t>
      </w:r>
      <w:r>
        <w:rPr/>
        <w:t>increase</w:t>
      </w:r>
      <w:r>
        <w:rPr>
          <w:spacing w:val="-33"/>
        </w:rPr>
        <w:t> </w:t>
      </w:r>
      <w:r>
        <w:rPr/>
        <w:t>attractiveness</w:t>
      </w:r>
      <w:r>
        <w:rPr>
          <w:spacing w:val="-32"/>
        </w:rPr>
        <w:t> </w:t>
      </w:r>
      <w:r>
        <w:rPr/>
        <w:t>of</w:t>
      </w:r>
      <w:r>
        <w:rPr>
          <w:spacing w:val="-33"/>
        </w:rPr>
        <w:t> </w:t>
      </w:r>
      <w:r>
        <w:rPr/>
        <w:t>the</w:t>
      </w:r>
      <w:r>
        <w:rPr>
          <w:spacing w:val="-33"/>
        </w:rPr>
        <w:t> </w:t>
      </w:r>
      <w:r>
        <w:rPr/>
        <w:t>property</w:t>
      </w:r>
      <w:r>
        <w:rPr>
          <w:spacing w:val="-32"/>
        </w:rPr>
        <w:t> </w:t>
      </w:r>
      <w:r>
        <w:rPr/>
        <w:t>to</w:t>
      </w:r>
      <w:r>
        <w:rPr>
          <w:spacing w:val="-33"/>
        </w:rPr>
        <w:t> </w:t>
      </w:r>
      <w:r>
        <w:rPr/>
        <w:t>prospective</w:t>
      </w:r>
      <w:r>
        <w:rPr>
          <w:spacing w:val="-33"/>
        </w:rPr>
        <w:t> </w:t>
      </w:r>
      <w:r>
        <w:rPr/>
        <w:t>tenants</w:t>
      </w:r>
      <w:r>
        <w:rPr>
          <w:spacing w:val="-32"/>
        </w:rPr>
        <w:t> </w:t>
      </w:r>
      <w:r>
        <w:rPr>
          <w:w w:val="105"/>
        </w:rPr>
        <w:t>– </w:t>
      </w:r>
      <w:r>
        <w:rPr/>
        <w:t>typically</w:t>
      </w:r>
      <w:r>
        <w:rPr>
          <w:spacing w:val="-29"/>
        </w:rPr>
        <w:t> </w:t>
      </w:r>
      <w:r>
        <w:rPr/>
        <w:t>extended</w:t>
      </w:r>
      <w:r>
        <w:rPr>
          <w:spacing w:val="-28"/>
        </w:rPr>
        <w:t> </w:t>
      </w:r>
      <w:r>
        <w:rPr/>
        <w:t>to</w:t>
      </w:r>
      <w:r>
        <w:rPr>
          <w:spacing w:val="-29"/>
        </w:rPr>
        <w:t> </w:t>
      </w:r>
      <w:r>
        <w:rPr/>
        <w:t>anchor</w:t>
      </w:r>
      <w:r>
        <w:rPr>
          <w:spacing w:val="-29"/>
        </w:rPr>
        <w:t> </w:t>
      </w:r>
      <w:r>
        <w:rPr/>
        <w:t>tenants.</w:t>
      </w:r>
      <w:r>
        <w:rPr>
          <w:spacing w:val="-29"/>
        </w:rPr>
        <w:t> </w:t>
      </w:r>
      <w:r>
        <w:rPr/>
        <w:t>Additionally,</w:t>
      </w:r>
      <w:r>
        <w:rPr>
          <w:spacing w:val="-28"/>
        </w:rPr>
        <w:t> </w:t>
      </w:r>
      <w:r>
        <w:rPr/>
        <w:t>there</w:t>
      </w:r>
      <w:r>
        <w:rPr>
          <w:spacing w:val="-29"/>
        </w:rPr>
        <w:t> </w:t>
      </w:r>
      <w:r>
        <w:rPr/>
        <w:t>are</w:t>
      </w:r>
      <w:r>
        <w:rPr>
          <w:spacing w:val="-29"/>
        </w:rPr>
        <w:t> </w:t>
      </w:r>
      <w:r>
        <w:rPr/>
        <w:t>instances</w:t>
      </w:r>
      <w:r>
        <w:rPr>
          <w:spacing w:val="-28"/>
        </w:rPr>
        <w:t> </w:t>
      </w:r>
      <w:r>
        <w:rPr/>
        <w:t>of</w:t>
      </w:r>
      <w:r>
        <w:rPr>
          <w:spacing w:val="-29"/>
        </w:rPr>
        <w:t> </w:t>
      </w:r>
      <w:r>
        <w:rPr/>
        <w:t>tenants</w:t>
      </w:r>
      <w:r>
        <w:rPr>
          <w:spacing w:val="-28"/>
        </w:rPr>
        <w:t> </w:t>
      </w:r>
      <w:r>
        <w:rPr/>
        <w:t>paying</w:t>
      </w:r>
      <w:r>
        <w:rPr>
          <w:spacing w:val="-28"/>
        </w:rPr>
        <w:t> </w:t>
      </w:r>
      <w:r>
        <w:rPr/>
        <w:t>above-market rent</w:t>
      </w:r>
      <w:r>
        <w:rPr>
          <w:spacing w:val="-19"/>
        </w:rPr>
        <w:t> </w:t>
      </w:r>
      <w:r>
        <w:rPr/>
        <w:t>for</w:t>
      </w:r>
      <w:r>
        <w:rPr>
          <w:spacing w:val="-20"/>
        </w:rPr>
        <w:t> </w:t>
      </w:r>
      <w:r>
        <w:rPr/>
        <w:t>certain</w:t>
      </w:r>
      <w:r>
        <w:rPr>
          <w:spacing w:val="-19"/>
        </w:rPr>
        <w:t> </w:t>
      </w:r>
      <w:r>
        <w:rPr/>
        <w:t>properties</w:t>
      </w:r>
      <w:r>
        <w:rPr>
          <w:spacing w:val="-19"/>
        </w:rPr>
        <w:t> </w:t>
      </w:r>
      <w:r>
        <w:rPr/>
        <w:t>as</w:t>
      </w:r>
      <w:r>
        <w:rPr>
          <w:spacing w:val="-19"/>
        </w:rPr>
        <w:t> </w:t>
      </w:r>
      <w:r>
        <w:rPr/>
        <w:t>well</w:t>
      </w:r>
      <w:r>
        <w:rPr>
          <w:spacing w:val="-22"/>
        </w:rPr>
        <w:t> </w:t>
      </w:r>
      <w:r>
        <w:rPr/>
        <w:t>(primarily</w:t>
      </w:r>
      <w:r>
        <w:rPr>
          <w:spacing w:val="-18"/>
        </w:rPr>
        <w:t> </w:t>
      </w:r>
      <w:r>
        <w:rPr/>
        <w:t>owing</w:t>
      </w:r>
      <w:r>
        <w:rPr>
          <w:spacing w:val="-18"/>
        </w:rPr>
        <w:t> </w:t>
      </w:r>
      <w:r>
        <w:rPr/>
        <w:t>to</w:t>
      </w:r>
      <w:r>
        <w:rPr>
          <w:spacing w:val="-21"/>
        </w:rPr>
        <w:t> </w:t>
      </w:r>
      <w:r>
        <w:rPr/>
        <w:t>market</w:t>
      </w:r>
      <w:r>
        <w:rPr>
          <w:spacing w:val="-19"/>
        </w:rPr>
        <w:t> </w:t>
      </w:r>
      <w:r>
        <w:rPr/>
        <w:t>conditions</w:t>
      </w:r>
      <w:r>
        <w:rPr>
          <w:spacing w:val="-19"/>
        </w:rPr>
        <w:t> </w:t>
      </w:r>
      <w:r>
        <w:rPr/>
        <w:t>at</w:t>
      </w:r>
      <w:r>
        <w:rPr>
          <w:spacing w:val="-19"/>
        </w:rPr>
        <w:t> </w:t>
      </w:r>
      <w:r>
        <w:rPr/>
        <w:t>the</w:t>
      </w:r>
      <w:r>
        <w:rPr>
          <w:spacing w:val="-19"/>
        </w:rPr>
        <w:t> </w:t>
      </w:r>
      <w:r>
        <w:rPr/>
        <w:t>time</w:t>
      </w:r>
      <w:r>
        <w:rPr>
          <w:spacing w:val="-20"/>
        </w:rPr>
        <w:t> </w:t>
      </w:r>
      <w:r>
        <w:rPr/>
        <w:t>of</w:t>
      </w:r>
      <w:r>
        <w:rPr>
          <w:spacing w:val="-18"/>
        </w:rPr>
        <w:t> </w:t>
      </w:r>
      <w:r>
        <w:rPr/>
        <w:t>contracting</w:t>
      </w:r>
      <w:r>
        <w:rPr>
          <w:spacing w:val="-20"/>
        </w:rPr>
        <w:t> </w:t>
      </w:r>
      <w:r>
        <w:rPr/>
        <w:t>the lease).</w:t>
      </w:r>
      <w:r>
        <w:rPr>
          <w:spacing w:val="-29"/>
        </w:rPr>
        <w:t> </w:t>
      </w:r>
      <w:r>
        <w:rPr/>
        <w:t>In</w:t>
      </w:r>
      <w:r>
        <w:rPr>
          <w:spacing w:val="-28"/>
        </w:rPr>
        <w:t> </w:t>
      </w:r>
      <w:r>
        <w:rPr/>
        <w:t>order</w:t>
      </w:r>
      <w:r>
        <w:rPr>
          <w:spacing w:val="-29"/>
        </w:rPr>
        <w:t> </w:t>
      </w:r>
      <w:r>
        <w:rPr/>
        <w:t>to</w:t>
      </w:r>
      <w:r>
        <w:rPr>
          <w:spacing w:val="-29"/>
        </w:rPr>
        <w:t> </w:t>
      </w:r>
      <w:r>
        <w:rPr/>
        <w:t>arrive</w:t>
      </w:r>
      <w:r>
        <w:rPr>
          <w:spacing w:val="-27"/>
        </w:rPr>
        <w:t> </w:t>
      </w:r>
      <w:r>
        <w:rPr/>
        <w:t>at</w:t>
      </w:r>
      <w:r>
        <w:rPr>
          <w:spacing w:val="-28"/>
        </w:rPr>
        <w:t> </w:t>
      </w:r>
      <w:r>
        <w:rPr/>
        <w:t>a</w:t>
      </w:r>
      <w:r>
        <w:rPr>
          <w:spacing w:val="-29"/>
        </w:rPr>
        <w:t> </w:t>
      </w:r>
      <w:r>
        <w:rPr/>
        <w:t>unit</w:t>
      </w:r>
      <w:r>
        <w:rPr>
          <w:spacing w:val="-27"/>
        </w:rPr>
        <w:t> </w:t>
      </w:r>
      <w:r>
        <w:rPr/>
        <w:t>value</w:t>
      </w:r>
      <w:r>
        <w:rPr>
          <w:spacing w:val="-27"/>
        </w:rPr>
        <w:t> </w:t>
      </w:r>
      <w:r>
        <w:rPr/>
        <w:t>for</w:t>
      </w:r>
      <w:r>
        <w:rPr>
          <w:spacing w:val="-29"/>
        </w:rPr>
        <w:t> </w:t>
      </w:r>
      <w:r>
        <w:rPr/>
        <w:t>these</w:t>
      </w:r>
      <w:r>
        <w:rPr>
          <w:spacing w:val="-29"/>
        </w:rPr>
        <w:t> </w:t>
      </w:r>
      <w:r>
        <w:rPr/>
        <w:t>tenancies,</w:t>
      </w:r>
      <w:r>
        <w:rPr>
          <w:spacing w:val="-28"/>
        </w:rPr>
        <w:t> </w:t>
      </w:r>
      <w:r>
        <w:rPr/>
        <w:t>we</w:t>
      </w:r>
      <w:r>
        <w:rPr>
          <w:spacing w:val="-29"/>
        </w:rPr>
        <w:t> </w:t>
      </w:r>
      <w:r>
        <w:rPr/>
        <w:t>have</w:t>
      </w:r>
      <w:r>
        <w:rPr>
          <w:spacing w:val="-28"/>
        </w:rPr>
        <w:t> </w:t>
      </w:r>
      <w:r>
        <w:rPr/>
        <w:t>considered</w:t>
      </w:r>
      <w:r>
        <w:rPr>
          <w:spacing w:val="-28"/>
        </w:rPr>
        <w:t> </w:t>
      </w:r>
      <w:r>
        <w:rPr/>
        <w:t>the</w:t>
      </w:r>
      <w:r>
        <w:rPr>
          <w:spacing w:val="-28"/>
        </w:rPr>
        <w:t> </w:t>
      </w:r>
      <w:r>
        <w:rPr/>
        <w:t>impact</w:t>
      </w:r>
      <w:r>
        <w:rPr>
          <w:spacing w:val="-29"/>
        </w:rPr>
        <w:t> </w:t>
      </w:r>
      <w:r>
        <w:rPr/>
        <w:t>of</w:t>
      </w:r>
      <w:r>
        <w:rPr>
          <w:spacing w:val="-28"/>
        </w:rPr>
        <w:t> </w:t>
      </w:r>
      <w:r>
        <w:rPr/>
        <w:t>such</w:t>
      </w:r>
      <w:r>
        <w:rPr>
          <w:spacing w:val="-28"/>
        </w:rPr>
        <w:t> </w:t>
      </w:r>
      <w:r>
        <w:rPr/>
        <w:t>sub/ above</w:t>
      </w:r>
      <w:r>
        <w:rPr>
          <w:spacing w:val="-7"/>
        </w:rPr>
        <w:t> </w:t>
      </w:r>
      <w:r>
        <w:rPr/>
        <w:t>market</w:t>
      </w:r>
      <w:r>
        <w:rPr>
          <w:spacing w:val="-6"/>
        </w:rPr>
        <w:t> </w:t>
      </w:r>
      <w:r>
        <w:rPr/>
        <w:t>leases</w:t>
      </w:r>
      <w:r>
        <w:rPr>
          <w:spacing w:val="-5"/>
        </w:rPr>
        <w:t> </w:t>
      </w:r>
      <w:r>
        <w:rPr/>
        <w:t>on</w:t>
      </w:r>
      <w:r>
        <w:rPr>
          <w:spacing w:val="-7"/>
        </w:rPr>
        <w:t> </w:t>
      </w:r>
      <w:r>
        <w:rPr/>
        <w:t>the</w:t>
      </w:r>
      <w:r>
        <w:rPr>
          <w:spacing w:val="-6"/>
        </w:rPr>
        <w:t> </w:t>
      </w:r>
      <w:r>
        <w:rPr/>
        <w:t>valuation</w:t>
      </w:r>
      <w:r>
        <w:rPr>
          <w:spacing w:val="-7"/>
        </w:rPr>
        <w:t> </w:t>
      </w:r>
      <w:r>
        <w:rPr/>
        <w:t>of</w:t>
      </w:r>
      <w:r>
        <w:rPr>
          <w:spacing w:val="-6"/>
        </w:rPr>
        <w:t> </w:t>
      </w:r>
      <w:r>
        <w:rPr/>
        <w:t>the</w:t>
      </w:r>
      <w:r>
        <w:rPr>
          <w:spacing w:val="-7"/>
        </w:rPr>
        <w:t> </w:t>
      </w:r>
      <w:r>
        <w:rPr/>
        <w:t>subject</w:t>
      </w:r>
      <w:r>
        <w:rPr>
          <w:spacing w:val="-6"/>
        </w:rPr>
        <w:t> </w:t>
      </w:r>
      <w:r>
        <w:rPr/>
        <w:t>property.</w:t>
      </w:r>
    </w:p>
    <w:p>
      <w:pPr>
        <w:pStyle w:val="BodyText"/>
        <w:spacing w:before="11"/>
        <w:rPr>
          <w:sz w:val="20"/>
        </w:rPr>
      </w:pPr>
    </w:p>
    <w:p>
      <w:pPr>
        <w:pStyle w:val="BodyText"/>
        <w:spacing w:line="321" w:lineRule="auto"/>
        <w:ind w:left="846" w:right="633"/>
        <w:jc w:val="both"/>
      </w:pPr>
      <w:r>
        <w:rPr/>
        <w:t>For</w:t>
      </w:r>
      <w:r>
        <w:rPr>
          <w:spacing w:val="-23"/>
        </w:rPr>
        <w:t> </w:t>
      </w:r>
      <w:r>
        <w:rPr/>
        <w:t>the</w:t>
      </w:r>
      <w:r>
        <w:rPr>
          <w:spacing w:val="-23"/>
        </w:rPr>
        <w:t> </w:t>
      </w:r>
      <w:r>
        <w:rPr/>
        <w:t>purpose</w:t>
      </w:r>
      <w:r>
        <w:rPr>
          <w:spacing w:val="-23"/>
        </w:rPr>
        <w:t> </w:t>
      </w:r>
      <w:r>
        <w:rPr/>
        <w:t>of</w:t>
      </w:r>
      <w:r>
        <w:rPr>
          <w:spacing w:val="-22"/>
        </w:rPr>
        <w:t> </w:t>
      </w:r>
      <w:r>
        <w:rPr/>
        <w:t>this</w:t>
      </w:r>
      <w:r>
        <w:rPr>
          <w:spacing w:val="-21"/>
        </w:rPr>
        <w:t> </w:t>
      </w:r>
      <w:r>
        <w:rPr/>
        <w:t>valuation</w:t>
      </w:r>
      <w:r>
        <w:rPr>
          <w:spacing w:val="-23"/>
        </w:rPr>
        <w:t> </w:t>
      </w:r>
      <w:r>
        <w:rPr/>
        <w:t>exercise,</w:t>
      </w:r>
      <w:r>
        <w:rPr>
          <w:spacing w:val="-22"/>
        </w:rPr>
        <w:t> </w:t>
      </w:r>
      <w:r>
        <w:rPr/>
        <w:t>we</w:t>
      </w:r>
      <w:r>
        <w:rPr>
          <w:spacing w:val="-23"/>
        </w:rPr>
        <w:t> </w:t>
      </w:r>
      <w:r>
        <w:rPr/>
        <w:t>have</w:t>
      </w:r>
      <w:r>
        <w:rPr>
          <w:spacing w:val="-23"/>
        </w:rPr>
        <w:t> </w:t>
      </w:r>
      <w:r>
        <w:rPr/>
        <w:t>analysed</w:t>
      </w:r>
      <w:r>
        <w:rPr>
          <w:spacing w:val="-21"/>
        </w:rPr>
        <w:t> </w:t>
      </w:r>
      <w:r>
        <w:rPr/>
        <w:t>the</w:t>
      </w:r>
      <w:r>
        <w:rPr>
          <w:spacing w:val="-23"/>
        </w:rPr>
        <w:t> </w:t>
      </w:r>
      <w:r>
        <w:rPr/>
        <w:t>tenancy</w:t>
      </w:r>
      <w:r>
        <w:rPr>
          <w:spacing w:val="-22"/>
        </w:rPr>
        <w:t> </w:t>
      </w:r>
      <w:r>
        <w:rPr/>
        <w:t>details</w:t>
      </w:r>
      <w:r>
        <w:rPr>
          <w:spacing w:val="-22"/>
        </w:rPr>
        <w:t> </w:t>
      </w:r>
      <w:r>
        <w:rPr/>
        <w:t>provided</w:t>
      </w:r>
      <w:r>
        <w:rPr>
          <w:spacing w:val="-17"/>
        </w:rPr>
        <w:t> </w:t>
      </w:r>
      <w:r>
        <w:rPr/>
        <w:t>by</w:t>
      </w:r>
      <w:r>
        <w:rPr>
          <w:spacing w:val="-21"/>
        </w:rPr>
        <w:t> </w:t>
      </w:r>
      <w:r>
        <w:rPr/>
        <w:t>the</w:t>
      </w:r>
      <w:r>
        <w:rPr>
          <w:spacing w:val="-23"/>
        </w:rPr>
        <w:t> </w:t>
      </w:r>
      <w:r>
        <w:rPr/>
        <w:t>Client to</w:t>
      </w:r>
      <w:r>
        <w:rPr>
          <w:spacing w:val="-41"/>
        </w:rPr>
        <w:t> </w:t>
      </w:r>
      <w:r>
        <w:rPr/>
        <w:t>identify</w:t>
      </w:r>
      <w:r>
        <w:rPr>
          <w:spacing w:val="-41"/>
        </w:rPr>
        <w:t> </w:t>
      </w:r>
      <w:r>
        <w:rPr/>
        <w:t>variances</w:t>
      </w:r>
      <w:r>
        <w:rPr>
          <w:spacing w:val="-40"/>
        </w:rPr>
        <w:t> </w:t>
      </w:r>
      <w:r>
        <w:rPr/>
        <w:t>vis-à-vis</w:t>
      </w:r>
      <w:r>
        <w:rPr>
          <w:spacing w:val="-42"/>
        </w:rPr>
        <w:t> </w:t>
      </w:r>
      <w:r>
        <w:rPr/>
        <w:t>prevailing</w:t>
      </w:r>
      <w:r>
        <w:rPr>
          <w:spacing w:val="-40"/>
        </w:rPr>
        <w:t> </w:t>
      </w:r>
      <w:r>
        <w:rPr/>
        <w:t>marginal</w:t>
      </w:r>
      <w:r>
        <w:rPr>
          <w:spacing w:val="-41"/>
        </w:rPr>
        <w:t> </w:t>
      </w:r>
      <w:r>
        <w:rPr/>
        <w:t>rent.</w:t>
      </w:r>
      <w:r>
        <w:rPr>
          <w:spacing w:val="-42"/>
        </w:rPr>
        <w:t> </w:t>
      </w:r>
      <w:r>
        <w:rPr/>
        <w:t>In</w:t>
      </w:r>
      <w:r>
        <w:rPr>
          <w:spacing w:val="-40"/>
        </w:rPr>
        <w:t> </w:t>
      </w:r>
      <w:r>
        <w:rPr/>
        <w:t>the</w:t>
      </w:r>
      <w:r>
        <w:rPr>
          <w:spacing w:val="-42"/>
        </w:rPr>
        <w:t> </w:t>
      </w:r>
      <w:r>
        <w:rPr/>
        <w:t>event</w:t>
      </w:r>
      <w:r>
        <w:rPr>
          <w:spacing w:val="-42"/>
        </w:rPr>
        <w:t> </w:t>
      </w:r>
      <w:r>
        <w:rPr/>
        <w:t>the</w:t>
      </w:r>
      <w:r>
        <w:rPr>
          <w:spacing w:val="-41"/>
        </w:rPr>
        <w:t> </w:t>
      </w:r>
      <w:r>
        <w:rPr/>
        <w:t>rent</w:t>
      </w:r>
      <w:r>
        <w:rPr>
          <w:spacing w:val="-41"/>
        </w:rPr>
        <w:t> </w:t>
      </w:r>
      <w:r>
        <w:rPr/>
        <w:t>is</w:t>
      </w:r>
      <w:r>
        <w:rPr>
          <w:spacing w:val="-41"/>
        </w:rPr>
        <w:t> </w:t>
      </w:r>
      <w:r>
        <w:rPr/>
        <w:t>within</w:t>
      </w:r>
      <w:r>
        <w:rPr>
          <w:spacing w:val="-42"/>
        </w:rPr>
        <w:t> </w:t>
      </w:r>
      <w:r>
        <w:rPr/>
        <w:t>the</w:t>
      </w:r>
      <w:r>
        <w:rPr>
          <w:spacing w:val="-41"/>
        </w:rPr>
        <w:t> </w:t>
      </w:r>
      <w:r>
        <w:rPr/>
        <w:t>threshold</w:t>
      </w:r>
      <w:r>
        <w:rPr>
          <w:spacing w:val="-42"/>
        </w:rPr>
        <w:t> </w:t>
      </w:r>
      <w:r>
        <w:rPr/>
        <w:t>(10.0% for</w:t>
      </w:r>
      <w:r>
        <w:rPr>
          <w:spacing w:val="-10"/>
        </w:rPr>
        <w:t> </w:t>
      </w:r>
      <w:r>
        <w:rPr/>
        <w:t>Bengaluru/</w:t>
      </w:r>
      <w:r>
        <w:rPr>
          <w:spacing w:val="-9"/>
        </w:rPr>
        <w:t> </w:t>
      </w:r>
      <w:r>
        <w:rPr/>
        <w:t>Mumbai</w:t>
      </w:r>
      <w:r>
        <w:rPr>
          <w:spacing w:val="-11"/>
        </w:rPr>
        <w:t> </w:t>
      </w:r>
      <w:r>
        <w:rPr/>
        <w:t>assets</w:t>
      </w:r>
      <w:r>
        <w:rPr>
          <w:spacing w:val="-10"/>
        </w:rPr>
        <w:t> </w:t>
      </w:r>
      <w:r>
        <w:rPr/>
        <w:t>&amp;</w:t>
      </w:r>
      <w:r>
        <w:rPr>
          <w:spacing w:val="-8"/>
        </w:rPr>
        <w:t> </w:t>
      </w:r>
      <w:r>
        <w:rPr/>
        <w:t>15.0%</w:t>
      </w:r>
      <w:r>
        <w:rPr>
          <w:spacing w:val="-11"/>
        </w:rPr>
        <w:t> </w:t>
      </w:r>
      <w:r>
        <w:rPr/>
        <w:t>for</w:t>
      </w:r>
      <w:r>
        <w:rPr>
          <w:spacing w:val="-9"/>
        </w:rPr>
        <w:t> </w:t>
      </w:r>
      <w:r>
        <w:rPr/>
        <w:t>Pune/</w:t>
      </w:r>
      <w:r>
        <w:rPr>
          <w:spacing w:val="-9"/>
        </w:rPr>
        <w:t> </w:t>
      </w:r>
      <w:r>
        <w:rPr/>
        <w:t>Noida</w:t>
      </w:r>
      <w:r>
        <w:rPr>
          <w:spacing w:val="-9"/>
        </w:rPr>
        <w:t> </w:t>
      </w:r>
      <w:r>
        <w:rPr/>
        <w:t>assets),</w:t>
      </w:r>
      <w:r>
        <w:rPr>
          <w:spacing w:val="-10"/>
        </w:rPr>
        <w:t> </w:t>
      </w:r>
      <w:r>
        <w:rPr/>
        <w:t>we</w:t>
      </w:r>
      <w:r>
        <w:rPr>
          <w:spacing w:val="-9"/>
        </w:rPr>
        <w:t> </w:t>
      </w:r>
      <w:r>
        <w:rPr/>
        <w:t>have</w:t>
      </w:r>
      <w:r>
        <w:rPr>
          <w:spacing w:val="-9"/>
        </w:rPr>
        <w:t> </w:t>
      </w:r>
      <w:r>
        <w:rPr/>
        <w:t>assumed</w:t>
      </w:r>
      <w:r>
        <w:rPr>
          <w:spacing w:val="-8"/>
        </w:rPr>
        <w:t> </w:t>
      </w:r>
      <w:r>
        <w:rPr/>
        <w:t>that</w:t>
      </w:r>
      <w:r>
        <w:rPr>
          <w:spacing w:val="-10"/>
        </w:rPr>
        <w:t> </w:t>
      </w:r>
      <w:r>
        <w:rPr/>
        <w:t>the</w:t>
      </w:r>
      <w:r>
        <w:rPr>
          <w:spacing w:val="-9"/>
        </w:rPr>
        <w:t> </w:t>
      </w:r>
      <w:r>
        <w:rPr/>
        <w:t>tenant</w:t>
      </w:r>
      <w:r>
        <w:rPr>
          <w:spacing w:val="-11"/>
        </w:rPr>
        <w:t> </w:t>
      </w:r>
      <w:r>
        <w:rPr/>
        <w:t>will continue</w:t>
      </w:r>
      <w:r>
        <w:rPr>
          <w:spacing w:val="-21"/>
        </w:rPr>
        <w:t> </w:t>
      </w:r>
      <w:r>
        <w:rPr/>
        <w:t>on</w:t>
      </w:r>
      <w:r>
        <w:rPr>
          <w:spacing w:val="-20"/>
        </w:rPr>
        <w:t> </w:t>
      </w:r>
      <w:r>
        <w:rPr/>
        <w:t>the</w:t>
      </w:r>
      <w:r>
        <w:rPr>
          <w:spacing w:val="-20"/>
        </w:rPr>
        <w:t> </w:t>
      </w:r>
      <w:r>
        <w:rPr/>
        <w:t>current</w:t>
      </w:r>
      <w:r>
        <w:rPr>
          <w:spacing w:val="-20"/>
        </w:rPr>
        <w:t> </w:t>
      </w:r>
      <w:r>
        <w:rPr/>
        <w:t>agreed</w:t>
      </w:r>
      <w:r>
        <w:rPr>
          <w:spacing w:val="-19"/>
        </w:rPr>
        <w:t> </w:t>
      </w:r>
      <w:r>
        <w:rPr/>
        <w:t>terms.</w:t>
      </w:r>
      <w:r>
        <w:rPr>
          <w:spacing w:val="-20"/>
        </w:rPr>
        <w:t> </w:t>
      </w:r>
      <w:r>
        <w:rPr/>
        <w:t>In</w:t>
      </w:r>
      <w:r>
        <w:rPr>
          <w:spacing w:val="-20"/>
        </w:rPr>
        <w:t> </w:t>
      </w:r>
      <w:r>
        <w:rPr/>
        <w:t>the</w:t>
      </w:r>
      <w:r>
        <w:rPr>
          <w:spacing w:val="-20"/>
        </w:rPr>
        <w:t> </w:t>
      </w:r>
      <w:r>
        <w:rPr/>
        <w:t>event</w:t>
      </w:r>
      <w:r>
        <w:rPr>
          <w:spacing w:val="-20"/>
        </w:rPr>
        <w:t> </w:t>
      </w:r>
      <w:r>
        <w:rPr/>
        <w:t>the</w:t>
      </w:r>
      <w:r>
        <w:rPr>
          <w:spacing w:val="-20"/>
        </w:rPr>
        <w:t> </w:t>
      </w:r>
      <w:r>
        <w:rPr/>
        <w:t>rent</w:t>
      </w:r>
      <w:r>
        <w:rPr>
          <w:spacing w:val="-19"/>
        </w:rPr>
        <w:t> </w:t>
      </w:r>
      <w:r>
        <w:rPr/>
        <w:t>is</w:t>
      </w:r>
      <w:r>
        <w:rPr>
          <w:spacing w:val="-20"/>
        </w:rPr>
        <w:t> </w:t>
      </w:r>
      <w:r>
        <w:rPr/>
        <w:t>higher</w:t>
      </w:r>
      <w:r>
        <w:rPr>
          <w:spacing w:val="-20"/>
        </w:rPr>
        <w:t> </w:t>
      </w:r>
      <w:r>
        <w:rPr/>
        <w:t>than</w:t>
      </w:r>
      <w:r>
        <w:rPr>
          <w:spacing w:val="-20"/>
        </w:rPr>
        <w:t> </w:t>
      </w:r>
      <w:r>
        <w:rPr/>
        <w:t>the</w:t>
      </w:r>
      <w:r>
        <w:rPr>
          <w:spacing w:val="-20"/>
        </w:rPr>
        <w:t> </w:t>
      </w:r>
      <w:r>
        <w:rPr/>
        <w:t>marginal</w:t>
      </w:r>
      <w:r>
        <w:rPr>
          <w:spacing w:val="-20"/>
        </w:rPr>
        <w:t> </w:t>
      </w:r>
      <w:r>
        <w:rPr/>
        <w:t>rent</w:t>
      </w:r>
      <w:r>
        <w:rPr>
          <w:spacing w:val="-19"/>
        </w:rPr>
        <w:t> </w:t>
      </w:r>
      <w:r>
        <w:rPr/>
        <w:t>threshold, we</w:t>
      </w:r>
      <w:r>
        <w:rPr>
          <w:spacing w:val="-31"/>
        </w:rPr>
        <w:t> </w:t>
      </w:r>
      <w:r>
        <w:rPr/>
        <w:t>have</w:t>
      </w:r>
      <w:r>
        <w:rPr>
          <w:spacing w:val="-30"/>
        </w:rPr>
        <w:t> </w:t>
      </w:r>
      <w:r>
        <w:rPr/>
        <w:t>assumed</w:t>
      </w:r>
      <w:r>
        <w:rPr>
          <w:spacing w:val="-30"/>
        </w:rPr>
        <w:t> </w:t>
      </w:r>
      <w:r>
        <w:rPr/>
        <w:t>that</w:t>
      </w:r>
      <w:r>
        <w:rPr>
          <w:spacing w:val="-30"/>
        </w:rPr>
        <w:t> </w:t>
      </w:r>
      <w:r>
        <w:rPr/>
        <w:t>the</w:t>
      </w:r>
      <w:r>
        <w:rPr>
          <w:spacing w:val="-30"/>
        </w:rPr>
        <w:t> </w:t>
      </w:r>
      <w:r>
        <w:rPr/>
        <w:t>lease</w:t>
      </w:r>
      <w:r>
        <w:rPr>
          <w:spacing w:val="-31"/>
        </w:rPr>
        <w:t> </w:t>
      </w:r>
      <w:r>
        <w:rPr/>
        <w:t>would</w:t>
      </w:r>
      <w:r>
        <w:rPr>
          <w:spacing w:val="-29"/>
        </w:rPr>
        <w:t> </w:t>
      </w:r>
      <w:r>
        <w:rPr/>
        <w:t>be</w:t>
      </w:r>
      <w:r>
        <w:rPr>
          <w:spacing w:val="-31"/>
        </w:rPr>
        <w:t> </w:t>
      </w:r>
      <w:r>
        <w:rPr/>
        <w:t>renegotiated</w:t>
      </w:r>
      <w:r>
        <w:rPr>
          <w:spacing w:val="-30"/>
        </w:rPr>
        <w:t> </w:t>
      </w:r>
      <w:r>
        <w:rPr/>
        <w:t>to</w:t>
      </w:r>
      <w:r>
        <w:rPr>
          <w:spacing w:val="-29"/>
        </w:rPr>
        <w:t> </w:t>
      </w:r>
      <w:r>
        <w:rPr/>
        <w:t>marginal</w:t>
      </w:r>
      <w:r>
        <w:rPr>
          <w:spacing w:val="-31"/>
        </w:rPr>
        <w:t> </w:t>
      </w:r>
      <w:r>
        <w:rPr/>
        <w:t>rent</w:t>
      </w:r>
      <w:r>
        <w:rPr>
          <w:spacing w:val="-30"/>
        </w:rPr>
        <w:t> </w:t>
      </w:r>
      <w:r>
        <w:rPr/>
        <w:t>terms</w:t>
      </w:r>
      <w:r>
        <w:rPr>
          <w:spacing w:val="-29"/>
        </w:rPr>
        <w:t> </w:t>
      </w:r>
      <w:r>
        <w:rPr/>
        <w:t>(at</w:t>
      </w:r>
      <w:r>
        <w:rPr>
          <w:spacing w:val="-30"/>
        </w:rPr>
        <w:t> </w:t>
      </w:r>
      <w:r>
        <w:rPr/>
        <w:t>the</w:t>
      </w:r>
      <w:r>
        <w:rPr>
          <w:spacing w:val="-30"/>
        </w:rPr>
        <w:t> </w:t>
      </w:r>
      <w:r>
        <w:rPr/>
        <w:t>time</w:t>
      </w:r>
      <w:r>
        <w:rPr>
          <w:spacing w:val="-30"/>
        </w:rPr>
        <w:t> </w:t>
      </w:r>
      <w:r>
        <w:rPr/>
        <w:t>of</w:t>
      </w:r>
      <w:r>
        <w:rPr>
          <w:spacing w:val="-30"/>
        </w:rPr>
        <w:t> </w:t>
      </w:r>
      <w:r>
        <w:rPr/>
        <w:t>the</w:t>
      </w:r>
      <w:r>
        <w:rPr>
          <w:spacing w:val="-31"/>
        </w:rPr>
        <w:t> </w:t>
      </w:r>
      <w:r>
        <w:rPr/>
        <w:t>lock-in expiry, next escalation,</w:t>
      </w:r>
      <w:r>
        <w:rPr>
          <w:spacing w:val="-14"/>
        </w:rPr>
        <w:t> </w:t>
      </w:r>
      <w:r>
        <w:rPr/>
        <w:t>etc.).</w:t>
      </w:r>
    </w:p>
    <w:p>
      <w:pPr>
        <w:pStyle w:val="BodyText"/>
        <w:rPr>
          <w:sz w:val="21"/>
        </w:rPr>
      </w:pPr>
    </w:p>
    <w:p>
      <w:pPr>
        <w:pStyle w:val="BodyText"/>
        <w:ind w:left="846"/>
        <w:jc w:val="both"/>
      </w:pPr>
      <w:r>
        <w:rPr/>
        <w:t>For each lease, the following steps have been undertaken to assess the rent over a 10 year time horizon:</w:t>
      </w:r>
    </w:p>
    <w:p>
      <w:pPr>
        <w:pStyle w:val="BodyText"/>
        <w:spacing w:before="2"/>
        <w:rPr>
          <w:sz w:val="28"/>
        </w:rPr>
      </w:pPr>
    </w:p>
    <w:p>
      <w:pPr>
        <w:pStyle w:val="ListParagraph"/>
        <w:numPr>
          <w:ilvl w:val="5"/>
          <w:numId w:val="14"/>
        </w:numPr>
        <w:tabs>
          <w:tab w:pos="1541" w:val="left" w:leader="none"/>
        </w:tabs>
        <w:spacing w:line="321" w:lineRule="auto" w:before="0" w:after="0"/>
        <w:ind w:left="1540" w:right="637" w:hanging="360"/>
        <w:jc w:val="both"/>
        <w:rPr>
          <w:sz w:val="22"/>
        </w:rPr>
      </w:pPr>
      <w:r>
        <w:rPr>
          <w:sz w:val="22"/>
          <w:u w:val="single"/>
        </w:rPr>
        <w:t>Step</w:t>
      </w:r>
      <w:r>
        <w:rPr>
          <w:spacing w:val="-46"/>
          <w:sz w:val="22"/>
          <w:u w:val="single"/>
        </w:rPr>
        <w:t> </w:t>
      </w:r>
      <w:r>
        <w:rPr>
          <w:sz w:val="22"/>
          <w:u w:val="single"/>
        </w:rPr>
        <w:t>1:</w:t>
      </w:r>
      <w:r>
        <w:rPr>
          <w:spacing w:val="-46"/>
          <w:sz w:val="22"/>
        </w:rPr>
        <w:t> </w:t>
      </w:r>
      <w:r>
        <w:rPr>
          <w:sz w:val="22"/>
        </w:rPr>
        <w:t>Project</w:t>
      </w:r>
      <w:r>
        <w:rPr>
          <w:spacing w:val="-46"/>
          <w:sz w:val="22"/>
        </w:rPr>
        <w:t> </w:t>
      </w:r>
      <w:r>
        <w:rPr>
          <w:sz w:val="22"/>
        </w:rPr>
        <w:t>the</w:t>
      </w:r>
      <w:r>
        <w:rPr>
          <w:spacing w:val="-46"/>
          <w:sz w:val="22"/>
        </w:rPr>
        <w:t> </w:t>
      </w:r>
      <w:r>
        <w:rPr>
          <w:sz w:val="22"/>
        </w:rPr>
        <w:t>rent</w:t>
      </w:r>
      <w:r>
        <w:rPr>
          <w:spacing w:val="-47"/>
          <w:sz w:val="22"/>
        </w:rPr>
        <w:t> </w:t>
      </w:r>
      <w:r>
        <w:rPr>
          <w:sz w:val="22"/>
        </w:rPr>
        <w:t>for</w:t>
      </w:r>
      <w:r>
        <w:rPr>
          <w:spacing w:val="-46"/>
          <w:sz w:val="22"/>
        </w:rPr>
        <w:t> </w:t>
      </w:r>
      <w:r>
        <w:rPr>
          <w:sz w:val="22"/>
        </w:rPr>
        <w:t>identified</w:t>
      </w:r>
      <w:r>
        <w:rPr>
          <w:spacing w:val="-46"/>
          <w:sz w:val="22"/>
        </w:rPr>
        <w:t> </w:t>
      </w:r>
      <w:r>
        <w:rPr>
          <w:sz w:val="22"/>
        </w:rPr>
        <w:t>tenancies</w:t>
      </w:r>
      <w:r>
        <w:rPr>
          <w:spacing w:val="-45"/>
          <w:sz w:val="22"/>
        </w:rPr>
        <w:t> </w:t>
      </w:r>
      <w:r>
        <w:rPr>
          <w:sz w:val="22"/>
        </w:rPr>
        <w:t>up</w:t>
      </w:r>
      <w:r>
        <w:rPr>
          <w:spacing w:val="-46"/>
          <w:sz w:val="22"/>
        </w:rPr>
        <w:t> </w:t>
      </w:r>
      <w:r>
        <w:rPr>
          <w:sz w:val="22"/>
        </w:rPr>
        <w:t>to</w:t>
      </w:r>
      <w:r>
        <w:rPr>
          <w:spacing w:val="-46"/>
          <w:sz w:val="22"/>
        </w:rPr>
        <w:t> </w:t>
      </w:r>
      <w:r>
        <w:rPr>
          <w:sz w:val="22"/>
        </w:rPr>
        <w:t>the</w:t>
      </w:r>
      <w:r>
        <w:rPr>
          <w:spacing w:val="-47"/>
          <w:sz w:val="22"/>
        </w:rPr>
        <w:t> </w:t>
      </w:r>
      <w:r>
        <w:rPr>
          <w:sz w:val="22"/>
        </w:rPr>
        <w:t>period</w:t>
      </w:r>
      <w:r>
        <w:rPr>
          <w:spacing w:val="-45"/>
          <w:sz w:val="22"/>
        </w:rPr>
        <w:t> </w:t>
      </w:r>
      <w:r>
        <w:rPr>
          <w:sz w:val="22"/>
        </w:rPr>
        <w:t>of</w:t>
      </w:r>
      <w:r>
        <w:rPr>
          <w:spacing w:val="-46"/>
          <w:sz w:val="22"/>
        </w:rPr>
        <w:t> </w:t>
      </w:r>
      <w:r>
        <w:rPr>
          <w:sz w:val="22"/>
        </w:rPr>
        <w:t>lease</w:t>
      </w:r>
      <w:r>
        <w:rPr>
          <w:spacing w:val="-47"/>
          <w:sz w:val="22"/>
        </w:rPr>
        <w:t> </w:t>
      </w:r>
      <w:r>
        <w:rPr>
          <w:sz w:val="22"/>
        </w:rPr>
        <w:t>expiry,</w:t>
      </w:r>
      <w:r>
        <w:rPr>
          <w:spacing w:val="-46"/>
          <w:sz w:val="22"/>
        </w:rPr>
        <w:t> </w:t>
      </w:r>
      <w:r>
        <w:rPr>
          <w:sz w:val="22"/>
        </w:rPr>
        <w:t>lock-in</w:t>
      </w:r>
      <w:r>
        <w:rPr>
          <w:spacing w:val="-47"/>
          <w:sz w:val="22"/>
        </w:rPr>
        <w:t> </w:t>
      </w:r>
      <w:r>
        <w:rPr>
          <w:sz w:val="22"/>
        </w:rPr>
        <w:t>expiry,</w:t>
      </w:r>
      <w:r>
        <w:rPr>
          <w:spacing w:val="-46"/>
          <w:sz w:val="22"/>
        </w:rPr>
        <w:t> </w:t>
      </w:r>
      <w:r>
        <w:rPr>
          <w:sz w:val="22"/>
        </w:rPr>
        <w:t>first escalation, second escalation, etc. whichever is applicable. In the event of unleased spaces, marginal rent to be adopted with suitable lease-up</w:t>
      </w:r>
      <w:r>
        <w:rPr>
          <w:spacing w:val="-48"/>
          <w:sz w:val="22"/>
        </w:rPr>
        <w:t> </w:t>
      </w:r>
      <w:r>
        <w:rPr>
          <w:sz w:val="22"/>
        </w:rPr>
        <w:t>time</w:t>
      </w:r>
    </w:p>
    <w:p>
      <w:pPr>
        <w:pStyle w:val="BodyText"/>
        <w:spacing w:before="8"/>
        <w:rPr>
          <w:sz w:val="20"/>
        </w:rPr>
      </w:pPr>
    </w:p>
    <w:p>
      <w:pPr>
        <w:pStyle w:val="ListParagraph"/>
        <w:numPr>
          <w:ilvl w:val="5"/>
          <w:numId w:val="14"/>
        </w:numPr>
        <w:tabs>
          <w:tab w:pos="1541" w:val="left" w:leader="none"/>
        </w:tabs>
        <w:spacing w:line="324" w:lineRule="auto" w:before="0" w:after="0"/>
        <w:ind w:left="1540" w:right="640" w:hanging="360"/>
        <w:jc w:val="both"/>
        <w:rPr>
          <w:sz w:val="22"/>
        </w:rPr>
      </w:pPr>
      <w:r>
        <w:rPr>
          <w:sz w:val="22"/>
          <w:u w:val="single"/>
        </w:rPr>
        <w:t>Step</w:t>
      </w:r>
      <w:r>
        <w:rPr>
          <w:spacing w:val="-36"/>
          <w:sz w:val="22"/>
          <w:u w:val="single"/>
        </w:rPr>
        <w:t> </w:t>
      </w:r>
      <w:r>
        <w:rPr>
          <w:sz w:val="22"/>
          <w:u w:val="single"/>
        </w:rPr>
        <w:t>2:</w:t>
      </w:r>
      <w:r>
        <w:rPr>
          <w:spacing w:val="-36"/>
          <w:sz w:val="22"/>
        </w:rPr>
        <w:t> </w:t>
      </w:r>
      <w:r>
        <w:rPr>
          <w:sz w:val="22"/>
        </w:rPr>
        <w:t>Generating</w:t>
      </w:r>
      <w:r>
        <w:rPr>
          <w:spacing w:val="-36"/>
          <w:sz w:val="22"/>
        </w:rPr>
        <w:t> </w:t>
      </w:r>
      <w:r>
        <w:rPr>
          <w:sz w:val="22"/>
        </w:rPr>
        <w:t>a</w:t>
      </w:r>
      <w:r>
        <w:rPr>
          <w:spacing w:val="-38"/>
          <w:sz w:val="22"/>
        </w:rPr>
        <w:t> </w:t>
      </w:r>
      <w:r>
        <w:rPr>
          <w:sz w:val="22"/>
        </w:rPr>
        <w:t>comparable</w:t>
      </w:r>
      <w:r>
        <w:rPr>
          <w:spacing w:val="-36"/>
          <w:sz w:val="22"/>
        </w:rPr>
        <w:t> </w:t>
      </w:r>
      <w:r>
        <w:rPr>
          <w:sz w:val="22"/>
        </w:rPr>
        <w:t>marginal</w:t>
      </w:r>
      <w:r>
        <w:rPr>
          <w:spacing w:val="-37"/>
          <w:sz w:val="22"/>
        </w:rPr>
        <w:t> </w:t>
      </w:r>
      <w:r>
        <w:rPr>
          <w:sz w:val="22"/>
        </w:rPr>
        <w:t>rent</w:t>
      </w:r>
      <w:r>
        <w:rPr>
          <w:spacing w:val="-36"/>
          <w:sz w:val="22"/>
        </w:rPr>
        <w:t> </w:t>
      </w:r>
      <w:r>
        <w:rPr>
          <w:sz w:val="22"/>
        </w:rPr>
        <w:t>based</w:t>
      </w:r>
      <w:r>
        <w:rPr>
          <w:spacing w:val="-36"/>
          <w:sz w:val="22"/>
        </w:rPr>
        <w:t> </w:t>
      </w:r>
      <w:r>
        <w:rPr>
          <w:sz w:val="22"/>
        </w:rPr>
        <w:t>stream</w:t>
      </w:r>
      <w:r>
        <w:rPr>
          <w:spacing w:val="-37"/>
          <w:sz w:val="22"/>
        </w:rPr>
        <w:t> </w:t>
      </w:r>
      <w:r>
        <w:rPr>
          <w:sz w:val="22"/>
        </w:rPr>
        <w:t>for</w:t>
      </w:r>
      <w:r>
        <w:rPr>
          <w:spacing w:val="-37"/>
          <w:sz w:val="22"/>
        </w:rPr>
        <w:t> </w:t>
      </w:r>
      <w:r>
        <w:rPr>
          <w:sz w:val="22"/>
        </w:rPr>
        <w:t>identified</w:t>
      </w:r>
      <w:r>
        <w:rPr>
          <w:spacing w:val="-36"/>
          <w:sz w:val="22"/>
        </w:rPr>
        <w:t> </w:t>
      </w:r>
      <w:r>
        <w:rPr>
          <w:sz w:val="22"/>
        </w:rPr>
        <w:t>tenancies</w:t>
      </w:r>
      <w:r>
        <w:rPr>
          <w:spacing w:val="-36"/>
          <w:sz w:val="22"/>
        </w:rPr>
        <w:t> </w:t>
      </w:r>
      <w:r>
        <w:rPr>
          <w:sz w:val="22"/>
        </w:rPr>
        <w:t>for</w:t>
      </w:r>
      <w:r>
        <w:rPr>
          <w:spacing w:val="-37"/>
          <w:sz w:val="22"/>
        </w:rPr>
        <w:t> </w:t>
      </w:r>
      <w:r>
        <w:rPr>
          <w:sz w:val="22"/>
        </w:rPr>
        <w:t>the</w:t>
      </w:r>
      <w:r>
        <w:rPr>
          <w:spacing w:val="-37"/>
          <w:sz w:val="22"/>
        </w:rPr>
        <w:t> </w:t>
      </w:r>
      <w:r>
        <w:rPr>
          <w:sz w:val="22"/>
        </w:rPr>
        <w:t>time period</w:t>
      </w:r>
      <w:r>
        <w:rPr>
          <w:spacing w:val="-6"/>
          <w:sz w:val="22"/>
        </w:rPr>
        <w:t> </w:t>
      </w:r>
      <w:r>
        <w:rPr>
          <w:sz w:val="22"/>
        </w:rPr>
        <w:t>similar</w:t>
      </w:r>
      <w:r>
        <w:rPr>
          <w:spacing w:val="-7"/>
          <w:sz w:val="22"/>
        </w:rPr>
        <w:t> </w:t>
      </w:r>
      <w:r>
        <w:rPr>
          <w:sz w:val="22"/>
        </w:rPr>
        <w:t>to</w:t>
      </w:r>
      <w:r>
        <w:rPr>
          <w:spacing w:val="-7"/>
          <w:sz w:val="22"/>
        </w:rPr>
        <w:t> </w:t>
      </w:r>
      <w:r>
        <w:rPr>
          <w:sz w:val="22"/>
        </w:rPr>
        <w:t>the</w:t>
      </w:r>
      <w:r>
        <w:rPr>
          <w:spacing w:val="-8"/>
          <w:sz w:val="22"/>
        </w:rPr>
        <w:t> </w:t>
      </w:r>
      <w:r>
        <w:rPr>
          <w:sz w:val="22"/>
        </w:rPr>
        <w:t>cash</w:t>
      </w:r>
      <w:r>
        <w:rPr>
          <w:spacing w:val="-10"/>
          <w:sz w:val="22"/>
        </w:rPr>
        <w:t> </w:t>
      </w:r>
      <w:r>
        <w:rPr>
          <w:sz w:val="22"/>
        </w:rPr>
        <w:t>flows</w:t>
      </w:r>
      <w:r>
        <w:rPr>
          <w:spacing w:val="-8"/>
          <w:sz w:val="22"/>
        </w:rPr>
        <w:t> </w:t>
      </w:r>
      <w:r>
        <w:rPr>
          <w:sz w:val="22"/>
        </w:rPr>
        <w:t>drawn</w:t>
      </w:r>
      <w:r>
        <w:rPr>
          <w:spacing w:val="-7"/>
          <w:sz w:val="22"/>
        </w:rPr>
        <w:t> </w:t>
      </w:r>
      <w:r>
        <w:rPr>
          <w:sz w:val="22"/>
        </w:rPr>
        <w:t>in</w:t>
      </w:r>
      <w:r>
        <w:rPr>
          <w:spacing w:val="-8"/>
          <w:sz w:val="22"/>
        </w:rPr>
        <w:t> </w:t>
      </w:r>
      <w:r>
        <w:rPr>
          <w:sz w:val="22"/>
        </w:rPr>
        <w:t>the</w:t>
      </w:r>
      <w:r>
        <w:rPr>
          <w:spacing w:val="-8"/>
          <w:sz w:val="22"/>
        </w:rPr>
        <w:t> </w:t>
      </w:r>
      <w:r>
        <w:rPr>
          <w:sz w:val="22"/>
        </w:rPr>
        <w:t>aforementioned</w:t>
      </w:r>
      <w:r>
        <w:rPr>
          <w:spacing w:val="-6"/>
          <w:sz w:val="22"/>
        </w:rPr>
        <w:t> </w:t>
      </w:r>
      <w:r>
        <w:rPr>
          <w:sz w:val="22"/>
        </w:rPr>
        <w:t>step</w:t>
      </w:r>
    </w:p>
    <w:p>
      <w:pPr>
        <w:spacing w:after="0" w:line="324" w:lineRule="auto"/>
        <w:jc w:val="both"/>
        <w:rPr>
          <w:sz w:val="22"/>
        </w:rPr>
        <w:sectPr>
          <w:pgSz w:w="11910" w:h="16840"/>
          <w:pgMar w:header="720" w:footer="842" w:top="1520" w:bottom="1040" w:left="440" w:right="80"/>
        </w:sectPr>
      </w:pPr>
    </w:p>
    <w:p>
      <w:pPr>
        <w:pStyle w:val="BodyText"/>
        <w:spacing w:before="5"/>
      </w:pPr>
    </w:p>
    <w:p>
      <w:pPr>
        <w:pStyle w:val="ListParagraph"/>
        <w:numPr>
          <w:ilvl w:val="5"/>
          <w:numId w:val="14"/>
        </w:numPr>
        <w:tabs>
          <w:tab w:pos="1541" w:val="left" w:leader="none"/>
        </w:tabs>
        <w:spacing w:line="321" w:lineRule="auto" w:before="106" w:after="0"/>
        <w:ind w:left="1540" w:right="632" w:hanging="360"/>
        <w:jc w:val="both"/>
        <w:rPr>
          <w:sz w:val="22"/>
        </w:rPr>
      </w:pPr>
      <w:r>
        <w:rPr>
          <w:sz w:val="22"/>
          <w:u w:val="single"/>
        </w:rPr>
        <w:t>Step 3:</w:t>
      </w:r>
      <w:r>
        <w:rPr>
          <w:sz w:val="22"/>
        </w:rPr>
        <w:t> In the event the escalated contracted rent is above the marginal rent by threshold highlighted</w:t>
      </w:r>
      <w:r>
        <w:rPr>
          <w:spacing w:val="-14"/>
          <w:sz w:val="22"/>
        </w:rPr>
        <w:t> </w:t>
      </w:r>
      <w:r>
        <w:rPr>
          <w:sz w:val="22"/>
        </w:rPr>
        <w:t>above,</w:t>
      </w:r>
      <w:r>
        <w:rPr>
          <w:spacing w:val="-11"/>
          <w:sz w:val="22"/>
        </w:rPr>
        <w:t> </w:t>
      </w:r>
      <w:r>
        <w:rPr>
          <w:sz w:val="22"/>
        </w:rPr>
        <w:t>the</w:t>
      </w:r>
      <w:r>
        <w:rPr>
          <w:spacing w:val="-13"/>
          <w:sz w:val="22"/>
        </w:rPr>
        <w:t> </w:t>
      </w:r>
      <w:r>
        <w:rPr>
          <w:sz w:val="22"/>
        </w:rPr>
        <w:t>contracted</w:t>
      </w:r>
      <w:r>
        <w:rPr>
          <w:spacing w:val="-11"/>
          <w:sz w:val="22"/>
        </w:rPr>
        <w:t> </w:t>
      </w:r>
      <w:r>
        <w:rPr>
          <w:sz w:val="22"/>
        </w:rPr>
        <w:t>terms</w:t>
      </w:r>
      <w:r>
        <w:rPr>
          <w:spacing w:val="-12"/>
          <w:sz w:val="22"/>
        </w:rPr>
        <w:t> </w:t>
      </w:r>
      <w:r>
        <w:rPr>
          <w:sz w:val="22"/>
        </w:rPr>
        <w:t>are</w:t>
      </w:r>
      <w:r>
        <w:rPr>
          <w:spacing w:val="-12"/>
          <w:sz w:val="22"/>
        </w:rPr>
        <w:t> </w:t>
      </w:r>
      <w:r>
        <w:rPr>
          <w:sz w:val="22"/>
        </w:rPr>
        <w:t>discarded</w:t>
      </w:r>
      <w:r>
        <w:rPr>
          <w:spacing w:val="-11"/>
          <w:sz w:val="22"/>
        </w:rPr>
        <w:t> </w:t>
      </w:r>
      <w:r>
        <w:rPr>
          <w:sz w:val="22"/>
        </w:rPr>
        <w:t>and</w:t>
      </w:r>
      <w:r>
        <w:rPr>
          <w:spacing w:val="-14"/>
          <w:sz w:val="22"/>
        </w:rPr>
        <w:t> </w:t>
      </w:r>
      <w:r>
        <w:rPr>
          <w:sz w:val="22"/>
        </w:rPr>
        <w:t>the</w:t>
      </w:r>
      <w:r>
        <w:rPr>
          <w:spacing w:val="-12"/>
          <w:sz w:val="22"/>
        </w:rPr>
        <w:t> </w:t>
      </w:r>
      <w:r>
        <w:rPr>
          <w:sz w:val="22"/>
        </w:rPr>
        <w:t>terms</w:t>
      </w:r>
      <w:r>
        <w:rPr>
          <w:spacing w:val="-11"/>
          <w:sz w:val="22"/>
        </w:rPr>
        <w:t> </w:t>
      </w:r>
      <w:r>
        <w:rPr>
          <w:sz w:val="22"/>
        </w:rPr>
        <w:t>are</w:t>
      </w:r>
      <w:r>
        <w:rPr>
          <w:spacing w:val="-14"/>
          <w:sz w:val="22"/>
        </w:rPr>
        <w:t> </w:t>
      </w:r>
      <w:r>
        <w:rPr>
          <w:sz w:val="22"/>
        </w:rPr>
        <w:t>reverted</w:t>
      </w:r>
      <w:r>
        <w:rPr>
          <w:spacing w:val="-11"/>
          <w:sz w:val="22"/>
        </w:rPr>
        <w:t> </w:t>
      </w:r>
      <w:r>
        <w:rPr>
          <w:sz w:val="22"/>
        </w:rPr>
        <w:t>to</w:t>
      </w:r>
      <w:r>
        <w:rPr>
          <w:spacing w:val="-8"/>
          <w:sz w:val="22"/>
        </w:rPr>
        <w:t> </w:t>
      </w:r>
      <w:r>
        <w:rPr>
          <w:sz w:val="22"/>
        </w:rPr>
        <w:t>marginal rent.</w:t>
      </w:r>
      <w:r>
        <w:rPr>
          <w:spacing w:val="-36"/>
          <w:sz w:val="22"/>
        </w:rPr>
        <w:t> </w:t>
      </w:r>
      <w:r>
        <w:rPr>
          <w:sz w:val="22"/>
        </w:rPr>
        <w:t>In</w:t>
      </w:r>
      <w:r>
        <w:rPr>
          <w:spacing w:val="-35"/>
          <w:sz w:val="22"/>
        </w:rPr>
        <w:t> </w:t>
      </w:r>
      <w:r>
        <w:rPr>
          <w:sz w:val="22"/>
        </w:rPr>
        <w:t>the</w:t>
      </w:r>
      <w:r>
        <w:rPr>
          <w:spacing w:val="-35"/>
          <w:sz w:val="22"/>
        </w:rPr>
        <w:t> </w:t>
      </w:r>
      <w:r>
        <w:rPr>
          <w:sz w:val="22"/>
        </w:rPr>
        <w:t>event</w:t>
      </w:r>
      <w:r>
        <w:rPr>
          <w:spacing w:val="-35"/>
          <w:sz w:val="22"/>
        </w:rPr>
        <w:t> </w:t>
      </w:r>
      <w:r>
        <w:rPr>
          <w:sz w:val="22"/>
        </w:rPr>
        <w:t>the</w:t>
      </w:r>
      <w:r>
        <w:rPr>
          <w:spacing w:val="-36"/>
          <w:sz w:val="22"/>
        </w:rPr>
        <w:t> </w:t>
      </w:r>
      <w:r>
        <w:rPr>
          <w:sz w:val="22"/>
        </w:rPr>
        <w:t>escalated</w:t>
      </w:r>
      <w:r>
        <w:rPr>
          <w:spacing w:val="-34"/>
          <w:sz w:val="22"/>
        </w:rPr>
        <w:t> </w:t>
      </w:r>
      <w:r>
        <w:rPr>
          <w:sz w:val="22"/>
        </w:rPr>
        <w:t>contracted</w:t>
      </w:r>
      <w:r>
        <w:rPr>
          <w:spacing w:val="-35"/>
          <w:sz w:val="22"/>
        </w:rPr>
        <w:t> </w:t>
      </w:r>
      <w:r>
        <w:rPr>
          <w:sz w:val="22"/>
        </w:rPr>
        <w:t>rent</w:t>
      </w:r>
      <w:r>
        <w:rPr>
          <w:spacing w:val="-35"/>
          <w:sz w:val="22"/>
        </w:rPr>
        <w:t> </w:t>
      </w:r>
      <w:r>
        <w:rPr>
          <w:sz w:val="22"/>
        </w:rPr>
        <w:t>is</w:t>
      </w:r>
      <w:r>
        <w:rPr>
          <w:spacing w:val="-36"/>
          <w:sz w:val="22"/>
        </w:rPr>
        <w:t> </w:t>
      </w:r>
      <w:r>
        <w:rPr>
          <w:sz w:val="22"/>
        </w:rPr>
        <w:t>within</w:t>
      </w:r>
      <w:r>
        <w:rPr>
          <w:spacing w:val="-36"/>
          <w:sz w:val="22"/>
        </w:rPr>
        <w:t> </w:t>
      </w:r>
      <w:r>
        <w:rPr>
          <w:sz w:val="22"/>
        </w:rPr>
        <w:t>the</w:t>
      </w:r>
      <w:r>
        <w:rPr>
          <w:spacing w:val="-35"/>
          <w:sz w:val="22"/>
        </w:rPr>
        <w:t> </w:t>
      </w:r>
      <w:r>
        <w:rPr>
          <w:sz w:val="22"/>
        </w:rPr>
        <w:t>threshold</w:t>
      </w:r>
      <w:r>
        <w:rPr>
          <w:spacing w:val="-35"/>
          <w:sz w:val="22"/>
        </w:rPr>
        <w:t> </w:t>
      </w:r>
      <w:r>
        <w:rPr>
          <w:sz w:val="22"/>
        </w:rPr>
        <w:t>band</w:t>
      </w:r>
      <w:r>
        <w:rPr>
          <w:spacing w:val="-35"/>
          <w:sz w:val="22"/>
        </w:rPr>
        <w:t> </w:t>
      </w:r>
      <w:r>
        <w:rPr>
          <w:sz w:val="22"/>
        </w:rPr>
        <w:t>of</w:t>
      </w:r>
      <w:r>
        <w:rPr>
          <w:spacing w:val="-35"/>
          <w:sz w:val="22"/>
        </w:rPr>
        <w:t> </w:t>
      </w:r>
      <w:r>
        <w:rPr>
          <w:sz w:val="22"/>
        </w:rPr>
        <w:t>the</w:t>
      </w:r>
      <w:r>
        <w:rPr>
          <w:spacing w:val="-32"/>
          <w:sz w:val="22"/>
        </w:rPr>
        <w:t> </w:t>
      </w:r>
      <w:r>
        <w:rPr>
          <w:sz w:val="22"/>
        </w:rPr>
        <w:t>marginal</w:t>
      </w:r>
      <w:r>
        <w:rPr>
          <w:spacing w:val="-36"/>
          <w:sz w:val="22"/>
        </w:rPr>
        <w:t> </w:t>
      </w:r>
      <w:r>
        <w:rPr>
          <w:sz w:val="22"/>
        </w:rPr>
        <w:t>rent, the</w:t>
      </w:r>
      <w:r>
        <w:rPr>
          <w:spacing w:val="-48"/>
          <w:sz w:val="22"/>
        </w:rPr>
        <w:t> </w:t>
      </w:r>
      <w:r>
        <w:rPr>
          <w:sz w:val="22"/>
        </w:rPr>
        <w:t>contracted</w:t>
      </w:r>
      <w:r>
        <w:rPr>
          <w:spacing w:val="-47"/>
          <w:sz w:val="22"/>
        </w:rPr>
        <w:t> </w:t>
      </w:r>
      <w:r>
        <w:rPr>
          <w:sz w:val="22"/>
        </w:rPr>
        <w:t>terms</w:t>
      </w:r>
      <w:r>
        <w:rPr>
          <w:spacing w:val="-47"/>
          <w:sz w:val="22"/>
        </w:rPr>
        <w:t> </w:t>
      </w:r>
      <w:r>
        <w:rPr>
          <w:sz w:val="22"/>
        </w:rPr>
        <w:t>are</w:t>
      </w:r>
      <w:r>
        <w:rPr>
          <w:spacing w:val="-47"/>
          <w:sz w:val="22"/>
        </w:rPr>
        <w:t> </w:t>
      </w:r>
      <w:r>
        <w:rPr>
          <w:sz w:val="22"/>
        </w:rPr>
        <w:t>adopted</w:t>
      </w:r>
      <w:r>
        <w:rPr>
          <w:spacing w:val="-48"/>
          <w:sz w:val="22"/>
        </w:rPr>
        <w:t> </w:t>
      </w:r>
      <w:r>
        <w:rPr>
          <w:sz w:val="22"/>
        </w:rPr>
        <w:t>going</w:t>
      </w:r>
      <w:r>
        <w:rPr>
          <w:spacing w:val="-47"/>
          <w:sz w:val="22"/>
        </w:rPr>
        <w:t> </w:t>
      </w:r>
      <w:r>
        <w:rPr>
          <w:sz w:val="22"/>
        </w:rPr>
        <w:t>forward</w:t>
      </w:r>
      <w:r>
        <w:rPr>
          <w:spacing w:val="-47"/>
          <w:sz w:val="22"/>
        </w:rPr>
        <w:t> </w:t>
      </w:r>
      <w:r>
        <w:rPr>
          <w:sz w:val="22"/>
        </w:rPr>
        <w:t>until</w:t>
      </w:r>
      <w:r>
        <w:rPr>
          <w:spacing w:val="-48"/>
          <w:sz w:val="22"/>
        </w:rPr>
        <w:t> </w:t>
      </w:r>
      <w:r>
        <w:rPr>
          <w:sz w:val="22"/>
        </w:rPr>
        <w:t>the</w:t>
      </w:r>
      <w:r>
        <w:rPr>
          <w:spacing w:val="-48"/>
          <w:sz w:val="22"/>
        </w:rPr>
        <w:t> </w:t>
      </w:r>
      <w:r>
        <w:rPr>
          <w:sz w:val="22"/>
        </w:rPr>
        <w:t>next</w:t>
      </w:r>
      <w:r>
        <w:rPr>
          <w:spacing w:val="-47"/>
          <w:sz w:val="22"/>
        </w:rPr>
        <w:t> </w:t>
      </w:r>
      <w:r>
        <w:rPr>
          <w:sz w:val="22"/>
        </w:rPr>
        <w:t>lease</w:t>
      </w:r>
      <w:r>
        <w:rPr>
          <w:spacing w:val="-47"/>
          <w:sz w:val="22"/>
        </w:rPr>
        <w:t> </w:t>
      </w:r>
      <w:r>
        <w:rPr>
          <w:sz w:val="22"/>
        </w:rPr>
        <w:t>review/</w:t>
      </w:r>
      <w:r>
        <w:rPr>
          <w:spacing w:val="-47"/>
          <w:sz w:val="22"/>
        </w:rPr>
        <w:t> </w:t>
      </w:r>
      <w:r>
        <w:rPr>
          <w:sz w:val="22"/>
        </w:rPr>
        <w:t>renewal.</w:t>
      </w:r>
      <w:r>
        <w:rPr>
          <w:spacing w:val="-48"/>
          <w:sz w:val="22"/>
        </w:rPr>
        <w:t> </w:t>
      </w:r>
      <w:r>
        <w:rPr>
          <w:sz w:val="22"/>
        </w:rPr>
        <w:t>Intent</w:t>
      </w:r>
      <w:r>
        <w:rPr>
          <w:spacing w:val="-47"/>
          <w:sz w:val="22"/>
        </w:rPr>
        <w:t> </w:t>
      </w:r>
      <w:r>
        <w:rPr>
          <w:sz w:val="22"/>
        </w:rPr>
        <w:t>of</w:t>
      </w:r>
      <w:r>
        <w:rPr>
          <w:spacing w:val="-48"/>
          <w:sz w:val="22"/>
        </w:rPr>
        <w:t> </w:t>
      </w:r>
      <w:r>
        <w:rPr>
          <w:sz w:val="22"/>
        </w:rPr>
        <w:t>this step</w:t>
      </w:r>
      <w:r>
        <w:rPr>
          <w:spacing w:val="-37"/>
          <w:sz w:val="22"/>
        </w:rPr>
        <w:t> </w:t>
      </w:r>
      <w:r>
        <w:rPr>
          <w:sz w:val="22"/>
        </w:rPr>
        <w:t>is</w:t>
      </w:r>
      <w:r>
        <w:rPr>
          <w:spacing w:val="-35"/>
          <w:sz w:val="22"/>
        </w:rPr>
        <w:t> </w:t>
      </w:r>
      <w:r>
        <w:rPr>
          <w:sz w:val="22"/>
        </w:rPr>
        <w:t>to</w:t>
      </w:r>
      <w:r>
        <w:rPr>
          <w:spacing w:val="-36"/>
          <w:sz w:val="22"/>
        </w:rPr>
        <w:t> </w:t>
      </w:r>
      <w:r>
        <w:rPr>
          <w:sz w:val="22"/>
        </w:rPr>
        <w:t>project</w:t>
      </w:r>
      <w:r>
        <w:rPr>
          <w:spacing w:val="-36"/>
          <w:sz w:val="22"/>
        </w:rPr>
        <w:t> </w:t>
      </w:r>
      <w:r>
        <w:rPr>
          <w:sz w:val="22"/>
        </w:rPr>
        <w:t>the</w:t>
      </w:r>
      <w:r>
        <w:rPr>
          <w:spacing w:val="-37"/>
          <w:sz w:val="22"/>
        </w:rPr>
        <w:t> </w:t>
      </w:r>
      <w:r>
        <w:rPr>
          <w:sz w:val="22"/>
        </w:rPr>
        <w:t>rent</w:t>
      </w:r>
      <w:r>
        <w:rPr>
          <w:spacing w:val="-35"/>
          <w:sz w:val="22"/>
        </w:rPr>
        <w:t> </w:t>
      </w:r>
      <w:r>
        <w:rPr>
          <w:sz w:val="22"/>
        </w:rPr>
        <w:t>for</w:t>
      </w:r>
      <w:r>
        <w:rPr>
          <w:spacing w:val="-36"/>
          <w:sz w:val="22"/>
        </w:rPr>
        <w:t> </w:t>
      </w:r>
      <w:r>
        <w:rPr>
          <w:sz w:val="22"/>
        </w:rPr>
        <w:t>respective</w:t>
      </w:r>
      <w:r>
        <w:rPr>
          <w:spacing w:val="-36"/>
          <w:sz w:val="22"/>
        </w:rPr>
        <w:t> </w:t>
      </w:r>
      <w:r>
        <w:rPr>
          <w:sz w:val="22"/>
        </w:rPr>
        <w:t>leases</w:t>
      </w:r>
      <w:r>
        <w:rPr>
          <w:spacing w:val="-35"/>
          <w:sz w:val="22"/>
        </w:rPr>
        <w:t> </w:t>
      </w:r>
      <w:r>
        <w:rPr>
          <w:sz w:val="22"/>
        </w:rPr>
        <w:t>until</w:t>
      </w:r>
      <w:r>
        <w:rPr>
          <w:spacing w:val="-36"/>
          <w:sz w:val="22"/>
        </w:rPr>
        <w:t> </w:t>
      </w:r>
      <w:r>
        <w:rPr>
          <w:sz w:val="22"/>
        </w:rPr>
        <w:t>lease</w:t>
      </w:r>
      <w:r>
        <w:rPr>
          <w:spacing w:val="-36"/>
          <w:sz w:val="22"/>
        </w:rPr>
        <w:t> </w:t>
      </w:r>
      <w:r>
        <w:rPr>
          <w:sz w:val="22"/>
        </w:rPr>
        <w:t>expiry</w:t>
      </w:r>
      <w:r>
        <w:rPr>
          <w:spacing w:val="-35"/>
          <w:sz w:val="22"/>
        </w:rPr>
        <w:t> </w:t>
      </w:r>
      <w:r>
        <w:rPr>
          <w:sz w:val="22"/>
        </w:rPr>
        <w:t>as</w:t>
      </w:r>
      <w:r>
        <w:rPr>
          <w:spacing w:val="-36"/>
          <w:sz w:val="22"/>
        </w:rPr>
        <w:t> </w:t>
      </w:r>
      <w:r>
        <w:rPr>
          <w:sz w:val="22"/>
        </w:rPr>
        <w:t>well</w:t>
      </w:r>
      <w:r>
        <w:rPr>
          <w:spacing w:val="-37"/>
          <w:sz w:val="22"/>
        </w:rPr>
        <w:t> </w:t>
      </w:r>
      <w:r>
        <w:rPr>
          <w:sz w:val="22"/>
        </w:rPr>
        <w:t>as</w:t>
      </w:r>
      <w:r>
        <w:rPr>
          <w:spacing w:val="-35"/>
          <w:sz w:val="22"/>
        </w:rPr>
        <w:t> </w:t>
      </w:r>
      <w:r>
        <w:rPr>
          <w:sz w:val="22"/>
        </w:rPr>
        <w:t>post</w:t>
      </w:r>
      <w:r>
        <w:rPr>
          <w:spacing w:val="-36"/>
          <w:sz w:val="22"/>
        </w:rPr>
        <w:t> </w:t>
      </w:r>
      <w:r>
        <w:rPr>
          <w:sz w:val="22"/>
        </w:rPr>
        <w:t>expiry.</w:t>
      </w:r>
      <w:r>
        <w:rPr>
          <w:spacing w:val="-36"/>
          <w:sz w:val="22"/>
        </w:rPr>
        <w:t> </w:t>
      </w:r>
      <w:r>
        <w:rPr>
          <w:sz w:val="22"/>
        </w:rPr>
        <w:t>Further,</w:t>
      </w:r>
      <w:r>
        <w:rPr>
          <w:spacing w:val="-36"/>
          <w:sz w:val="22"/>
        </w:rPr>
        <w:t> </w:t>
      </w:r>
      <w:r>
        <w:rPr>
          <w:sz w:val="22"/>
        </w:rPr>
        <w:t>in </w:t>
      </w:r>
      <w:r>
        <w:rPr>
          <w:w w:val="95"/>
          <w:sz w:val="22"/>
        </w:rPr>
        <w:t>the</w:t>
      </w:r>
      <w:r>
        <w:rPr>
          <w:spacing w:val="-11"/>
          <w:w w:val="95"/>
          <w:sz w:val="22"/>
        </w:rPr>
        <w:t> </w:t>
      </w:r>
      <w:r>
        <w:rPr>
          <w:w w:val="95"/>
          <w:sz w:val="22"/>
        </w:rPr>
        <w:t>under-construction</w:t>
      </w:r>
      <w:r>
        <w:rPr>
          <w:spacing w:val="-10"/>
          <w:w w:val="95"/>
          <w:sz w:val="22"/>
        </w:rPr>
        <w:t> </w:t>
      </w:r>
      <w:r>
        <w:rPr>
          <w:w w:val="95"/>
          <w:sz w:val="22"/>
        </w:rPr>
        <w:t>developments,</w:t>
      </w:r>
      <w:r>
        <w:rPr>
          <w:spacing w:val="-10"/>
          <w:w w:val="95"/>
          <w:sz w:val="22"/>
        </w:rPr>
        <w:t> </w:t>
      </w:r>
      <w:r>
        <w:rPr>
          <w:w w:val="95"/>
          <w:sz w:val="22"/>
        </w:rPr>
        <w:t>the</w:t>
      </w:r>
      <w:r>
        <w:rPr>
          <w:spacing w:val="-11"/>
          <w:w w:val="95"/>
          <w:sz w:val="22"/>
        </w:rPr>
        <w:t> </w:t>
      </w:r>
      <w:r>
        <w:rPr>
          <w:w w:val="95"/>
          <w:sz w:val="22"/>
        </w:rPr>
        <w:t>pre-committed</w:t>
      </w:r>
      <w:r>
        <w:rPr>
          <w:spacing w:val="-8"/>
          <w:w w:val="95"/>
          <w:sz w:val="22"/>
        </w:rPr>
        <w:t> </w:t>
      </w:r>
      <w:r>
        <w:rPr>
          <w:w w:val="95"/>
          <w:sz w:val="22"/>
        </w:rPr>
        <w:t>rent</w:t>
      </w:r>
      <w:r>
        <w:rPr>
          <w:spacing w:val="-9"/>
          <w:w w:val="95"/>
          <w:sz w:val="22"/>
        </w:rPr>
        <w:t> </w:t>
      </w:r>
      <w:r>
        <w:rPr>
          <w:w w:val="95"/>
          <w:sz w:val="22"/>
        </w:rPr>
        <w:t>is</w:t>
      </w:r>
      <w:r>
        <w:rPr>
          <w:spacing w:val="-8"/>
          <w:w w:val="95"/>
          <w:sz w:val="22"/>
        </w:rPr>
        <w:t> </w:t>
      </w:r>
      <w:r>
        <w:rPr>
          <w:w w:val="95"/>
          <w:sz w:val="22"/>
        </w:rPr>
        <w:t>compared</w:t>
      </w:r>
      <w:r>
        <w:rPr>
          <w:spacing w:val="-11"/>
          <w:w w:val="95"/>
          <w:sz w:val="22"/>
        </w:rPr>
        <w:t> </w:t>
      </w:r>
      <w:r>
        <w:rPr>
          <w:w w:val="95"/>
          <w:sz w:val="22"/>
        </w:rPr>
        <w:t>with</w:t>
      </w:r>
      <w:r>
        <w:rPr>
          <w:spacing w:val="-11"/>
          <w:w w:val="95"/>
          <w:sz w:val="22"/>
        </w:rPr>
        <w:t> </w:t>
      </w:r>
      <w:r>
        <w:rPr>
          <w:w w:val="95"/>
          <w:sz w:val="22"/>
        </w:rPr>
        <w:t>the</w:t>
      </w:r>
      <w:r>
        <w:rPr>
          <w:spacing w:val="-9"/>
          <w:w w:val="95"/>
          <w:sz w:val="22"/>
        </w:rPr>
        <w:t> </w:t>
      </w:r>
      <w:r>
        <w:rPr>
          <w:w w:val="95"/>
          <w:sz w:val="22"/>
        </w:rPr>
        <w:t>marginal</w:t>
      </w:r>
      <w:r>
        <w:rPr>
          <w:spacing w:val="-9"/>
          <w:w w:val="95"/>
          <w:sz w:val="22"/>
        </w:rPr>
        <w:t> </w:t>
      </w:r>
      <w:r>
        <w:rPr>
          <w:w w:val="95"/>
          <w:sz w:val="22"/>
        </w:rPr>
        <w:t>rent </w:t>
      </w:r>
      <w:r>
        <w:rPr>
          <w:sz w:val="22"/>
        </w:rPr>
        <w:t>to assess the treatment w.r.t. threshold</w:t>
      </w:r>
      <w:r>
        <w:rPr>
          <w:spacing w:val="-39"/>
          <w:sz w:val="22"/>
        </w:rPr>
        <w:t> </w:t>
      </w:r>
      <w:r>
        <w:rPr>
          <w:sz w:val="22"/>
        </w:rPr>
        <w:t>limits</w:t>
      </w:r>
    </w:p>
    <w:p>
      <w:pPr>
        <w:pStyle w:val="BodyText"/>
        <w:rPr>
          <w:sz w:val="21"/>
        </w:rPr>
      </w:pPr>
    </w:p>
    <w:p>
      <w:pPr>
        <w:pStyle w:val="ListParagraph"/>
        <w:numPr>
          <w:ilvl w:val="5"/>
          <w:numId w:val="14"/>
        </w:numPr>
        <w:tabs>
          <w:tab w:pos="1541" w:val="left" w:leader="none"/>
        </w:tabs>
        <w:spacing w:line="321" w:lineRule="auto" w:before="0" w:after="0"/>
        <w:ind w:left="1540" w:right="637" w:hanging="360"/>
        <w:jc w:val="both"/>
        <w:rPr>
          <w:sz w:val="22"/>
        </w:rPr>
      </w:pPr>
      <w:r>
        <w:rPr>
          <w:sz w:val="22"/>
          <w:u w:val="single"/>
        </w:rPr>
        <w:t>Step</w:t>
      </w:r>
      <w:r>
        <w:rPr>
          <w:spacing w:val="-23"/>
          <w:sz w:val="22"/>
          <w:u w:val="single"/>
        </w:rPr>
        <w:t> </w:t>
      </w:r>
      <w:r>
        <w:rPr>
          <w:sz w:val="22"/>
          <w:u w:val="single"/>
        </w:rPr>
        <w:t>4:</w:t>
      </w:r>
      <w:r>
        <w:rPr>
          <w:spacing w:val="-23"/>
          <w:sz w:val="22"/>
        </w:rPr>
        <w:t> </w:t>
      </w:r>
      <w:r>
        <w:rPr>
          <w:sz w:val="22"/>
        </w:rPr>
        <w:t>Computing</w:t>
      </w:r>
      <w:r>
        <w:rPr>
          <w:spacing w:val="-23"/>
          <w:sz w:val="22"/>
        </w:rPr>
        <w:t> </w:t>
      </w:r>
      <w:r>
        <w:rPr>
          <w:sz w:val="22"/>
        </w:rPr>
        <w:t>the</w:t>
      </w:r>
      <w:r>
        <w:rPr>
          <w:spacing w:val="-25"/>
          <w:sz w:val="22"/>
        </w:rPr>
        <w:t> </w:t>
      </w:r>
      <w:r>
        <w:rPr>
          <w:sz w:val="22"/>
        </w:rPr>
        <w:t>monthly</w:t>
      </w:r>
      <w:r>
        <w:rPr>
          <w:spacing w:val="-23"/>
          <w:sz w:val="22"/>
        </w:rPr>
        <w:t> </w:t>
      </w:r>
      <w:r>
        <w:rPr>
          <w:sz w:val="22"/>
        </w:rPr>
        <w:t>income</w:t>
      </w:r>
      <w:r>
        <w:rPr>
          <w:spacing w:val="-23"/>
          <w:sz w:val="22"/>
        </w:rPr>
        <w:t> </w:t>
      </w:r>
      <w:r>
        <w:rPr>
          <w:sz w:val="22"/>
        </w:rPr>
        <w:t>based</w:t>
      </w:r>
      <w:r>
        <w:rPr>
          <w:spacing w:val="-23"/>
          <w:sz w:val="22"/>
        </w:rPr>
        <w:t> </w:t>
      </w:r>
      <w:r>
        <w:rPr>
          <w:sz w:val="22"/>
        </w:rPr>
        <w:t>on</w:t>
      </w:r>
      <w:r>
        <w:rPr>
          <w:spacing w:val="-24"/>
          <w:sz w:val="22"/>
        </w:rPr>
        <w:t> </w:t>
      </w:r>
      <w:r>
        <w:rPr>
          <w:sz w:val="22"/>
        </w:rPr>
        <w:t>rent</w:t>
      </w:r>
      <w:r>
        <w:rPr>
          <w:spacing w:val="-24"/>
          <w:sz w:val="22"/>
        </w:rPr>
        <w:t> </w:t>
      </w:r>
      <w:r>
        <w:rPr>
          <w:sz w:val="22"/>
        </w:rPr>
        <w:t>projected</w:t>
      </w:r>
      <w:r>
        <w:rPr>
          <w:spacing w:val="-23"/>
          <w:sz w:val="22"/>
        </w:rPr>
        <w:t> </w:t>
      </w:r>
      <w:r>
        <w:rPr>
          <w:sz w:val="22"/>
        </w:rPr>
        <w:t>as</w:t>
      </w:r>
      <w:r>
        <w:rPr>
          <w:spacing w:val="-23"/>
          <w:sz w:val="22"/>
        </w:rPr>
        <w:t> </w:t>
      </w:r>
      <w:r>
        <w:rPr>
          <w:sz w:val="22"/>
        </w:rPr>
        <w:t>part</w:t>
      </w:r>
      <w:r>
        <w:rPr>
          <w:spacing w:val="-22"/>
          <w:sz w:val="22"/>
        </w:rPr>
        <w:t> </w:t>
      </w:r>
      <w:r>
        <w:rPr>
          <w:sz w:val="22"/>
        </w:rPr>
        <w:t>of</w:t>
      </w:r>
      <w:r>
        <w:rPr>
          <w:spacing w:val="-23"/>
          <w:sz w:val="22"/>
        </w:rPr>
        <w:t> </w:t>
      </w:r>
      <w:r>
        <w:rPr>
          <w:sz w:val="22"/>
        </w:rPr>
        <w:t>Step</w:t>
      </w:r>
      <w:r>
        <w:rPr>
          <w:spacing w:val="-23"/>
          <w:sz w:val="22"/>
        </w:rPr>
        <w:t> </w:t>
      </w:r>
      <w:r>
        <w:rPr>
          <w:sz w:val="22"/>
        </w:rPr>
        <w:t>3</w:t>
      </w:r>
      <w:r>
        <w:rPr>
          <w:spacing w:val="-24"/>
          <w:sz w:val="22"/>
        </w:rPr>
        <w:t> </w:t>
      </w:r>
      <w:r>
        <w:rPr>
          <w:sz w:val="22"/>
        </w:rPr>
        <w:t>and</w:t>
      </w:r>
      <w:r>
        <w:rPr>
          <w:spacing w:val="-24"/>
          <w:sz w:val="22"/>
        </w:rPr>
        <w:t> </w:t>
      </w:r>
      <w:r>
        <w:rPr>
          <w:sz w:val="22"/>
        </w:rPr>
        <w:t>translating the</w:t>
      </w:r>
      <w:r>
        <w:rPr>
          <w:spacing w:val="-21"/>
          <w:sz w:val="22"/>
        </w:rPr>
        <w:t> </w:t>
      </w:r>
      <w:r>
        <w:rPr>
          <w:sz w:val="22"/>
        </w:rPr>
        <w:t>same</w:t>
      </w:r>
      <w:r>
        <w:rPr>
          <w:spacing w:val="-21"/>
          <w:sz w:val="22"/>
        </w:rPr>
        <w:t> </w:t>
      </w:r>
      <w:r>
        <w:rPr>
          <w:sz w:val="22"/>
        </w:rPr>
        <w:t>to</w:t>
      </w:r>
      <w:r>
        <w:rPr>
          <w:spacing w:val="-20"/>
          <w:sz w:val="22"/>
        </w:rPr>
        <w:t> </w:t>
      </w:r>
      <w:r>
        <w:rPr>
          <w:sz w:val="22"/>
        </w:rPr>
        <w:t>quarterly</w:t>
      </w:r>
      <w:r>
        <w:rPr>
          <w:spacing w:val="-21"/>
          <w:sz w:val="22"/>
        </w:rPr>
        <w:t> </w:t>
      </w:r>
      <w:r>
        <w:rPr>
          <w:sz w:val="22"/>
        </w:rPr>
        <w:t>income</w:t>
      </w:r>
      <w:r>
        <w:rPr>
          <w:spacing w:val="-21"/>
          <w:sz w:val="22"/>
        </w:rPr>
        <w:t> </w:t>
      </w:r>
      <w:r>
        <w:rPr>
          <w:sz w:val="22"/>
        </w:rPr>
        <w:t>(for</w:t>
      </w:r>
      <w:r>
        <w:rPr>
          <w:spacing w:val="-20"/>
          <w:sz w:val="22"/>
        </w:rPr>
        <w:t> </w:t>
      </w:r>
      <w:r>
        <w:rPr>
          <w:sz w:val="22"/>
        </w:rPr>
        <w:t>the</w:t>
      </w:r>
      <w:r>
        <w:rPr>
          <w:spacing w:val="-22"/>
          <w:sz w:val="22"/>
        </w:rPr>
        <w:t> </w:t>
      </w:r>
      <w:r>
        <w:rPr>
          <w:sz w:val="22"/>
        </w:rPr>
        <w:t>next</w:t>
      </w:r>
      <w:r>
        <w:rPr>
          <w:spacing w:val="-19"/>
          <w:sz w:val="22"/>
        </w:rPr>
        <w:t> </w:t>
      </w:r>
      <w:r>
        <w:rPr>
          <w:sz w:val="22"/>
        </w:rPr>
        <w:t>10</w:t>
      </w:r>
      <w:r>
        <w:rPr>
          <w:spacing w:val="-21"/>
          <w:sz w:val="22"/>
        </w:rPr>
        <w:t> </w:t>
      </w:r>
      <w:r>
        <w:rPr>
          <w:sz w:val="22"/>
        </w:rPr>
        <w:t>years</w:t>
      </w:r>
      <w:r>
        <w:rPr>
          <w:spacing w:val="-20"/>
          <w:sz w:val="22"/>
        </w:rPr>
        <w:t> </w:t>
      </w:r>
      <w:r>
        <w:rPr>
          <w:sz w:val="22"/>
        </w:rPr>
        <w:t>and</w:t>
      </w:r>
      <w:r>
        <w:rPr>
          <w:spacing w:val="-21"/>
          <w:sz w:val="22"/>
        </w:rPr>
        <w:t> </w:t>
      </w:r>
      <w:r>
        <w:rPr>
          <w:sz w:val="22"/>
        </w:rPr>
        <w:t>11</w:t>
      </w:r>
      <w:r>
        <w:rPr>
          <w:sz w:val="22"/>
          <w:vertAlign w:val="superscript"/>
        </w:rPr>
        <w:t>th</w:t>
      </w:r>
      <w:r>
        <w:rPr>
          <w:spacing w:val="-20"/>
          <w:sz w:val="22"/>
          <w:vertAlign w:val="baseline"/>
        </w:rPr>
        <w:t> </w:t>
      </w:r>
      <w:r>
        <w:rPr>
          <w:sz w:val="22"/>
          <w:vertAlign w:val="baseline"/>
        </w:rPr>
        <w:t>year</w:t>
      </w:r>
      <w:r>
        <w:rPr>
          <w:spacing w:val="-22"/>
          <w:sz w:val="22"/>
          <w:vertAlign w:val="baseline"/>
        </w:rPr>
        <w:t> </w:t>
      </w:r>
      <w:r>
        <w:rPr>
          <w:w w:val="105"/>
          <w:sz w:val="22"/>
          <w:vertAlign w:val="baseline"/>
        </w:rPr>
        <w:t>–</w:t>
      </w:r>
      <w:r>
        <w:rPr>
          <w:spacing w:val="-23"/>
          <w:w w:val="105"/>
          <w:sz w:val="22"/>
          <w:vertAlign w:val="baseline"/>
        </w:rPr>
        <w:t> </w:t>
      </w:r>
      <w:r>
        <w:rPr>
          <w:sz w:val="22"/>
          <w:vertAlign w:val="baseline"/>
        </w:rPr>
        <w:t>considered</w:t>
      </w:r>
      <w:r>
        <w:rPr>
          <w:spacing w:val="-20"/>
          <w:sz w:val="22"/>
          <w:vertAlign w:val="baseline"/>
        </w:rPr>
        <w:t> </w:t>
      </w:r>
      <w:r>
        <w:rPr>
          <w:sz w:val="22"/>
          <w:vertAlign w:val="baseline"/>
        </w:rPr>
        <w:t>for</w:t>
      </w:r>
      <w:r>
        <w:rPr>
          <w:spacing w:val="-22"/>
          <w:sz w:val="22"/>
          <w:vertAlign w:val="baseline"/>
        </w:rPr>
        <w:t> </w:t>
      </w:r>
      <w:r>
        <w:rPr>
          <w:sz w:val="22"/>
          <w:vertAlign w:val="baseline"/>
        </w:rPr>
        <w:t>calculation</w:t>
      </w:r>
      <w:r>
        <w:rPr>
          <w:spacing w:val="-19"/>
          <w:sz w:val="22"/>
          <w:vertAlign w:val="baseline"/>
        </w:rPr>
        <w:t> </w:t>
      </w:r>
      <w:r>
        <w:rPr>
          <w:sz w:val="22"/>
          <w:vertAlign w:val="baseline"/>
        </w:rPr>
        <w:t>of terminal</w:t>
      </w:r>
      <w:r>
        <w:rPr>
          <w:spacing w:val="-4"/>
          <w:sz w:val="22"/>
          <w:vertAlign w:val="baseline"/>
        </w:rPr>
        <w:t> </w:t>
      </w:r>
      <w:r>
        <w:rPr>
          <w:sz w:val="22"/>
          <w:vertAlign w:val="baseline"/>
        </w:rPr>
        <w:t>value)</w:t>
      </w:r>
    </w:p>
    <w:p>
      <w:pPr>
        <w:pStyle w:val="BodyText"/>
        <w:spacing w:before="9"/>
        <w:rPr>
          <w:sz w:val="20"/>
        </w:rPr>
      </w:pPr>
    </w:p>
    <w:p>
      <w:pPr>
        <w:pStyle w:val="BodyText"/>
        <w:ind w:left="846"/>
      </w:pPr>
      <w:r>
        <w:rPr>
          <w:u w:val="single"/>
        </w:rPr>
        <w:t>Adjustments for other revenues and recurring operational expenses</w:t>
      </w:r>
      <w:r>
        <w:rPr/>
        <w:t>:</w:t>
      </w:r>
    </w:p>
    <w:p>
      <w:pPr>
        <w:pStyle w:val="BodyText"/>
        <w:spacing w:before="1"/>
        <w:rPr>
          <w:sz w:val="19"/>
        </w:rPr>
      </w:pPr>
    </w:p>
    <w:p>
      <w:pPr>
        <w:pStyle w:val="BodyText"/>
        <w:spacing w:line="321" w:lineRule="auto" w:before="106"/>
        <w:ind w:left="846"/>
      </w:pPr>
      <w:r>
        <w:rPr/>
        <w:t>Further,</w:t>
      </w:r>
      <w:r>
        <w:rPr>
          <w:spacing w:val="-23"/>
        </w:rPr>
        <w:t> </w:t>
      </w:r>
      <w:r>
        <w:rPr/>
        <w:t>to</w:t>
      </w:r>
      <w:r>
        <w:rPr>
          <w:spacing w:val="-23"/>
        </w:rPr>
        <w:t> </w:t>
      </w:r>
      <w:r>
        <w:rPr/>
        <w:t>arrive</w:t>
      </w:r>
      <w:r>
        <w:rPr>
          <w:spacing w:val="-21"/>
        </w:rPr>
        <w:t> </w:t>
      </w:r>
      <w:r>
        <w:rPr/>
        <w:t>at</w:t>
      </w:r>
      <w:r>
        <w:rPr>
          <w:spacing w:val="-22"/>
        </w:rPr>
        <w:t> </w:t>
      </w:r>
      <w:r>
        <w:rPr/>
        <w:t>the</w:t>
      </w:r>
      <w:r>
        <w:rPr>
          <w:spacing w:val="-23"/>
        </w:rPr>
        <w:t> </w:t>
      </w:r>
      <w:r>
        <w:rPr/>
        <w:t>total</w:t>
      </w:r>
      <w:r>
        <w:rPr>
          <w:spacing w:val="-23"/>
        </w:rPr>
        <w:t> </w:t>
      </w:r>
      <w:r>
        <w:rPr/>
        <w:t>value</w:t>
      </w:r>
      <w:r>
        <w:rPr>
          <w:spacing w:val="-21"/>
        </w:rPr>
        <w:t> </w:t>
      </w:r>
      <w:r>
        <w:rPr/>
        <w:t>of</w:t>
      </w:r>
      <w:r>
        <w:rPr>
          <w:spacing w:val="-22"/>
        </w:rPr>
        <w:t> </w:t>
      </w:r>
      <w:r>
        <w:rPr/>
        <w:t>the</w:t>
      </w:r>
      <w:r>
        <w:rPr>
          <w:spacing w:val="-23"/>
        </w:rPr>
        <w:t> </w:t>
      </w:r>
      <w:r>
        <w:rPr/>
        <w:t>leased</w:t>
      </w:r>
      <w:r>
        <w:rPr>
          <w:spacing w:val="-22"/>
        </w:rPr>
        <w:t> </w:t>
      </w:r>
      <w:r>
        <w:rPr/>
        <w:t>spaces</w:t>
      </w:r>
      <w:r>
        <w:rPr>
          <w:spacing w:val="-22"/>
        </w:rPr>
        <w:t> </w:t>
      </w:r>
      <w:r>
        <w:rPr/>
        <w:t>(from</w:t>
      </w:r>
      <w:r>
        <w:rPr>
          <w:spacing w:val="-23"/>
        </w:rPr>
        <w:t> </w:t>
      </w:r>
      <w:r>
        <w:rPr/>
        <w:t>base</w:t>
      </w:r>
      <w:r>
        <w:rPr>
          <w:spacing w:val="-23"/>
        </w:rPr>
        <w:t> </w:t>
      </w:r>
      <w:r>
        <w:rPr/>
        <w:t>rentals),</w:t>
      </w:r>
      <w:r>
        <w:rPr>
          <w:spacing w:val="-22"/>
        </w:rPr>
        <w:t> </w:t>
      </w:r>
      <w:r>
        <w:rPr/>
        <w:t>appropriate</w:t>
      </w:r>
      <w:r>
        <w:rPr>
          <w:spacing w:val="-23"/>
        </w:rPr>
        <w:t> </w:t>
      </w:r>
      <w:r>
        <w:rPr/>
        <w:t>revenues</w:t>
      </w:r>
      <w:r>
        <w:rPr>
          <w:spacing w:val="-22"/>
        </w:rPr>
        <w:t> </w:t>
      </w:r>
      <w:r>
        <w:rPr/>
        <w:t>and operational</w:t>
      </w:r>
      <w:r>
        <w:rPr>
          <w:spacing w:val="-11"/>
        </w:rPr>
        <w:t> </w:t>
      </w:r>
      <w:r>
        <w:rPr/>
        <w:t>expenses</w:t>
      </w:r>
      <w:r>
        <w:rPr>
          <w:spacing w:val="-11"/>
        </w:rPr>
        <w:t> </w:t>
      </w:r>
      <w:r>
        <w:rPr/>
        <w:t>(as</w:t>
      </w:r>
      <w:r>
        <w:rPr>
          <w:spacing w:val="-10"/>
        </w:rPr>
        <w:t> </w:t>
      </w:r>
      <w:r>
        <w:rPr/>
        <w:t>highlighted</w:t>
      </w:r>
      <w:r>
        <w:rPr>
          <w:spacing w:val="-12"/>
        </w:rPr>
        <w:t> </w:t>
      </w:r>
      <w:r>
        <w:rPr/>
        <w:t>below)</w:t>
      </w:r>
      <w:r>
        <w:rPr>
          <w:spacing w:val="-9"/>
        </w:rPr>
        <w:t> </w:t>
      </w:r>
      <w:r>
        <w:rPr/>
        <w:t>have</w:t>
      </w:r>
      <w:r>
        <w:rPr>
          <w:spacing w:val="-12"/>
        </w:rPr>
        <w:t> </w:t>
      </w:r>
      <w:r>
        <w:rPr/>
        <w:t>been</w:t>
      </w:r>
      <w:r>
        <w:rPr>
          <w:spacing w:val="-11"/>
        </w:rPr>
        <w:t> </w:t>
      </w:r>
      <w:r>
        <w:rPr/>
        <w:t>projected</w:t>
      </w:r>
      <w:r>
        <w:rPr>
          <w:spacing w:val="-10"/>
        </w:rPr>
        <w:t> </w:t>
      </w:r>
      <w:r>
        <w:rPr/>
        <w:t>on</w:t>
      </w:r>
      <w:r>
        <w:rPr>
          <w:spacing w:val="-10"/>
        </w:rPr>
        <w:t> </w:t>
      </w:r>
      <w:r>
        <w:rPr/>
        <w:t>quarterly</w:t>
      </w:r>
      <w:r>
        <w:rPr>
          <w:spacing w:val="-10"/>
        </w:rPr>
        <w:t> </w:t>
      </w:r>
      <w:r>
        <w:rPr/>
        <w:t>basis.</w:t>
      </w:r>
    </w:p>
    <w:p>
      <w:pPr>
        <w:pStyle w:val="BodyText"/>
        <w:spacing w:before="9"/>
        <w:rPr>
          <w:sz w:val="20"/>
        </w:rPr>
      </w:pPr>
    </w:p>
    <w:p>
      <w:pPr>
        <w:pStyle w:val="ListParagraph"/>
        <w:numPr>
          <w:ilvl w:val="5"/>
          <w:numId w:val="14"/>
        </w:numPr>
        <w:tabs>
          <w:tab w:pos="1567" w:val="left" w:leader="none"/>
        </w:tabs>
        <w:spacing w:line="321" w:lineRule="auto" w:before="1" w:after="0"/>
        <w:ind w:left="1566" w:right="638" w:hanging="360"/>
        <w:jc w:val="both"/>
        <w:rPr>
          <w:sz w:val="22"/>
        </w:rPr>
      </w:pPr>
      <w:r>
        <w:rPr>
          <w:w w:val="105"/>
          <w:sz w:val="22"/>
        </w:rPr>
        <w:t>Parking</w:t>
      </w:r>
      <w:r>
        <w:rPr>
          <w:spacing w:val="-45"/>
          <w:w w:val="105"/>
          <w:sz w:val="22"/>
        </w:rPr>
        <w:t> </w:t>
      </w:r>
      <w:r>
        <w:rPr>
          <w:w w:val="105"/>
          <w:sz w:val="22"/>
        </w:rPr>
        <w:t>Income</w:t>
      </w:r>
      <w:r>
        <w:rPr>
          <w:spacing w:val="-44"/>
          <w:w w:val="105"/>
          <w:sz w:val="22"/>
        </w:rPr>
        <w:t> </w:t>
      </w:r>
      <w:r>
        <w:rPr>
          <w:w w:val="105"/>
          <w:sz w:val="22"/>
        </w:rPr>
        <w:t>–</w:t>
      </w:r>
      <w:r>
        <w:rPr>
          <w:spacing w:val="-45"/>
          <w:w w:val="105"/>
          <w:sz w:val="22"/>
        </w:rPr>
        <w:t> </w:t>
      </w:r>
      <w:r>
        <w:rPr>
          <w:w w:val="105"/>
          <w:sz w:val="22"/>
        </w:rPr>
        <w:t>adopted</w:t>
      </w:r>
      <w:r>
        <w:rPr>
          <w:spacing w:val="-45"/>
          <w:w w:val="105"/>
          <w:sz w:val="22"/>
        </w:rPr>
        <w:t> </w:t>
      </w:r>
      <w:r>
        <w:rPr>
          <w:w w:val="105"/>
          <w:sz w:val="22"/>
        </w:rPr>
        <w:t>based</w:t>
      </w:r>
      <w:r>
        <w:rPr>
          <w:spacing w:val="-44"/>
          <w:w w:val="105"/>
          <w:sz w:val="22"/>
        </w:rPr>
        <w:t> </w:t>
      </w:r>
      <w:r>
        <w:rPr>
          <w:w w:val="105"/>
          <w:sz w:val="22"/>
        </w:rPr>
        <w:t>on</w:t>
      </w:r>
      <w:r>
        <w:rPr>
          <w:spacing w:val="-46"/>
          <w:w w:val="105"/>
          <w:sz w:val="22"/>
        </w:rPr>
        <w:t> </w:t>
      </w:r>
      <w:r>
        <w:rPr>
          <w:w w:val="105"/>
          <w:sz w:val="22"/>
        </w:rPr>
        <w:t>income</w:t>
      </w:r>
      <w:r>
        <w:rPr>
          <w:spacing w:val="-45"/>
          <w:w w:val="105"/>
          <w:sz w:val="22"/>
        </w:rPr>
        <w:t> </w:t>
      </w:r>
      <w:r>
        <w:rPr>
          <w:w w:val="105"/>
          <w:sz w:val="22"/>
        </w:rPr>
        <w:t>inputs</w:t>
      </w:r>
      <w:r>
        <w:rPr>
          <w:spacing w:val="-44"/>
          <w:w w:val="105"/>
          <w:sz w:val="22"/>
        </w:rPr>
        <w:t> </w:t>
      </w:r>
      <w:r>
        <w:rPr>
          <w:w w:val="105"/>
          <w:sz w:val="22"/>
        </w:rPr>
        <w:t>provided</w:t>
      </w:r>
      <w:r>
        <w:rPr>
          <w:spacing w:val="-45"/>
          <w:w w:val="105"/>
          <w:sz w:val="22"/>
        </w:rPr>
        <w:t> </w:t>
      </w:r>
      <w:r>
        <w:rPr>
          <w:w w:val="105"/>
          <w:sz w:val="22"/>
        </w:rPr>
        <w:t>by</w:t>
      </w:r>
      <w:r>
        <w:rPr>
          <w:spacing w:val="-45"/>
          <w:w w:val="105"/>
          <w:sz w:val="22"/>
        </w:rPr>
        <w:t> </w:t>
      </w:r>
      <w:r>
        <w:rPr>
          <w:w w:val="105"/>
          <w:sz w:val="22"/>
        </w:rPr>
        <w:t>Client</w:t>
      </w:r>
      <w:r>
        <w:rPr>
          <w:spacing w:val="-45"/>
          <w:w w:val="105"/>
          <w:sz w:val="22"/>
        </w:rPr>
        <w:t> </w:t>
      </w:r>
      <w:r>
        <w:rPr>
          <w:w w:val="105"/>
          <w:sz w:val="22"/>
        </w:rPr>
        <w:t>for</w:t>
      </w:r>
      <w:r>
        <w:rPr>
          <w:spacing w:val="-45"/>
          <w:w w:val="105"/>
          <w:sz w:val="22"/>
        </w:rPr>
        <w:t> </w:t>
      </w:r>
      <w:r>
        <w:rPr>
          <w:w w:val="105"/>
          <w:sz w:val="22"/>
        </w:rPr>
        <w:t>the</w:t>
      </w:r>
      <w:r>
        <w:rPr>
          <w:spacing w:val="-46"/>
          <w:w w:val="105"/>
          <w:sz w:val="22"/>
        </w:rPr>
        <w:t> </w:t>
      </w:r>
      <w:r>
        <w:rPr>
          <w:w w:val="105"/>
          <w:sz w:val="22"/>
        </w:rPr>
        <w:t>leased</w:t>
      </w:r>
      <w:r>
        <w:rPr>
          <w:spacing w:val="-44"/>
          <w:w w:val="105"/>
          <w:sz w:val="22"/>
        </w:rPr>
        <w:t> </w:t>
      </w:r>
      <w:r>
        <w:rPr>
          <w:w w:val="105"/>
          <w:sz w:val="22"/>
        </w:rPr>
        <w:t>spaces</w:t>
      </w:r>
      <w:r>
        <w:rPr>
          <w:spacing w:val="-45"/>
          <w:w w:val="105"/>
          <w:sz w:val="22"/>
        </w:rPr>
        <w:t> </w:t>
      </w:r>
      <w:r>
        <w:rPr>
          <w:w w:val="105"/>
          <w:sz w:val="22"/>
        </w:rPr>
        <w:t>and market assumption taken for vacant</w:t>
      </w:r>
      <w:r>
        <w:rPr>
          <w:spacing w:val="-49"/>
          <w:w w:val="105"/>
          <w:sz w:val="22"/>
        </w:rPr>
        <w:t> </w:t>
      </w:r>
      <w:r>
        <w:rPr>
          <w:w w:val="105"/>
          <w:sz w:val="22"/>
        </w:rPr>
        <w:t>spaces</w:t>
      </w:r>
    </w:p>
    <w:p>
      <w:pPr>
        <w:pStyle w:val="BodyText"/>
        <w:spacing w:before="9"/>
        <w:rPr>
          <w:sz w:val="20"/>
        </w:rPr>
      </w:pPr>
    </w:p>
    <w:p>
      <w:pPr>
        <w:pStyle w:val="ListParagraph"/>
        <w:numPr>
          <w:ilvl w:val="5"/>
          <w:numId w:val="14"/>
        </w:numPr>
        <w:tabs>
          <w:tab w:pos="1567" w:val="left" w:leader="none"/>
        </w:tabs>
        <w:spacing w:line="319" w:lineRule="auto" w:before="1" w:after="0"/>
        <w:ind w:left="1566" w:right="634" w:hanging="360"/>
        <w:jc w:val="both"/>
        <w:rPr>
          <w:sz w:val="22"/>
        </w:rPr>
      </w:pPr>
      <w:r>
        <w:rPr>
          <w:w w:val="105"/>
          <w:sz w:val="22"/>
        </w:rPr>
        <w:t>Security</w:t>
      </w:r>
      <w:r>
        <w:rPr>
          <w:spacing w:val="-40"/>
          <w:w w:val="105"/>
          <w:sz w:val="22"/>
        </w:rPr>
        <w:t> </w:t>
      </w:r>
      <w:r>
        <w:rPr>
          <w:w w:val="105"/>
          <w:sz w:val="22"/>
        </w:rPr>
        <w:t>Deposit</w:t>
      </w:r>
      <w:r>
        <w:rPr>
          <w:spacing w:val="-40"/>
          <w:w w:val="105"/>
          <w:sz w:val="22"/>
        </w:rPr>
        <w:t> </w:t>
      </w:r>
      <w:r>
        <w:rPr>
          <w:w w:val="105"/>
          <w:sz w:val="22"/>
        </w:rPr>
        <w:t>–</w:t>
      </w:r>
      <w:r>
        <w:rPr>
          <w:spacing w:val="-39"/>
          <w:w w:val="105"/>
          <w:sz w:val="22"/>
        </w:rPr>
        <w:t> </w:t>
      </w:r>
      <w:r>
        <w:rPr>
          <w:w w:val="105"/>
          <w:sz w:val="22"/>
        </w:rPr>
        <w:t>adopted</w:t>
      </w:r>
      <w:r>
        <w:rPr>
          <w:spacing w:val="-40"/>
          <w:w w:val="105"/>
          <w:sz w:val="22"/>
        </w:rPr>
        <w:t> </w:t>
      </w:r>
      <w:r>
        <w:rPr>
          <w:w w:val="105"/>
          <w:sz w:val="22"/>
        </w:rPr>
        <w:t>based</w:t>
      </w:r>
      <w:r>
        <w:rPr>
          <w:spacing w:val="-39"/>
          <w:w w:val="105"/>
          <w:sz w:val="22"/>
        </w:rPr>
        <w:t> </w:t>
      </w:r>
      <w:r>
        <w:rPr>
          <w:w w:val="105"/>
          <w:sz w:val="22"/>
        </w:rPr>
        <w:t>on</w:t>
      </w:r>
      <w:r>
        <w:rPr>
          <w:spacing w:val="-41"/>
          <w:w w:val="105"/>
          <w:sz w:val="22"/>
        </w:rPr>
        <w:t> </w:t>
      </w:r>
      <w:r>
        <w:rPr>
          <w:w w:val="105"/>
          <w:sz w:val="22"/>
        </w:rPr>
        <w:t>inputs</w:t>
      </w:r>
      <w:r>
        <w:rPr>
          <w:spacing w:val="-39"/>
          <w:w w:val="105"/>
          <w:sz w:val="22"/>
        </w:rPr>
        <w:t> </w:t>
      </w:r>
      <w:r>
        <w:rPr>
          <w:w w:val="105"/>
          <w:sz w:val="22"/>
        </w:rPr>
        <w:t>received</w:t>
      </w:r>
      <w:r>
        <w:rPr>
          <w:spacing w:val="-40"/>
          <w:w w:val="105"/>
          <w:sz w:val="22"/>
        </w:rPr>
        <w:t> </w:t>
      </w:r>
      <w:r>
        <w:rPr>
          <w:w w:val="105"/>
          <w:sz w:val="22"/>
        </w:rPr>
        <w:t>from</w:t>
      </w:r>
      <w:r>
        <w:rPr>
          <w:spacing w:val="-40"/>
          <w:w w:val="105"/>
          <w:sz w:val="22"/>
        </w:rPr>
        <w:t> </w:t>
      </w:r>
      <w:r>
        <w:rPr>
          <w:w w:val="105"/>
          <w:sz w:val="22"/>
        </w:rPr>
        <w:t>the</w:t>
      </w:r>
      <w:r>
        <w:rPr>
          <w:spacing w:val="-40"/>
          <w:w w:val="105"/>
          <w:sz w:val="22"/>
        </w:rPr>
        <w:t> </w:t>
      </w:r>
      <w:r>
        <w:rPr>
          <w:w w:val="105"/>
          <w:sz w:val="22"/>
        </w:rPr>
        <w:t>Client</w:t>
      </w:r>
      <w:r>
        <w:rPr>
          <w:spacing w:val="-41"/>
          <w:w w:val="105"/>
          <w:sz w:val="22"/>
        </w:rPr>
        <w:t> </w:t>
      </w:r>
      <w:r>
        <w:rPr>
          <w:w w:val="105"/>
          <w:sz w:val="22"/>
        </w:rPr>
        <w:t>for</w:t>
      </w:r>
      <w:r>
        <w:rPr>
          <w:spacing w:val="-40"/>
          <w:w w:val="105"/>
          <w:sz w:val="22"/>
        </w:rPr>
        <w:t> </w:t>
      </w:r>
      <w:r>
        <w:rPr>
          <w:w w:val="105"/>
          <w:sz w:val="22"/>
        </w:rPr>
        <w:t>the</w:t>
      </w:r>
      <w:r>
        <w:rPr>
          <w:spacing w:val="-41"/>
          <w:w w:val="105"/>
          <w:sz w:val="22"/>
        </w:rPr>
        <w:t> </w:t>
      </w:r>
      <w:r>
        <w:rPr>
          <w:w w:val="105"/>
          <w:sz w:val="22"/>
        </w:rPr>
        <w:t>leased</w:t>
      </w:r>
      <w:r>
        <w:rPr>
          <w:spacing w:val="-36"/>
          <w:w w:val="105"/>
          <w:sz w:val="22"/>
        </w:rPr>
        <w:t> </w:t>
      </w:r>
      <w:r>
        <w:rPr>
          <w:w w:val="105"/>
          <w:sz w:val="22"/>
        </w:rPr>
        <w:t>spaces</w:t>
      </w:r>
      <w:r>
        <w:rPr>
          <w:spacing w:val="-40"/>
          <w:w w:val="105"/>
          <w:sz w:val="22"/>
        </w:rPr>
        <w:t> </w:t>
      </w:r>
      <w:r>
        <w:rPr>
          <w:w w:val="105"/>
          <w:sz w:val="22"/>
        </w:rPr>
        <w:t>and market assumption taken for vacant</w:t>
      </w:r>
      <w:r>
        <w:rPr>
          <w:spacing w:val="-49"/>
          <w:w w:val="105"/>
          <w:sz w:val="22"/>
        </w:rPr>
        <w:t> </w:t>
      </w:r>
      <w:r>
        <w:rPr>
          <w:w w:val="105"/>
          <w:sz w:val="22"/>
        </w:rPr>
        <w:t>spaces</w:t>
      </w:r>
    </w:p>
    <w:p>
      <w:pPr>
        <w:pStyle w:val="BodyText"/>
        <w:rPr>
          <w:sz w:val="21"/>
        </w:rPr>
      </w:pPr>
    </w:p>
    <w:p>
      <w:pPr>
        <w:pStyle w:val="ListParagraph"/>
        <w:numPr>
          <w:ilvl w:val="5"/>
          <w:numId w:val="14"/>
        </w:numPr>
        <w:tabs>
          <w:tab w:pos="1566" w:val="left" w:leader="none"/>
          <w:tab w:pos="1567" w:val="left" w:leader="none"/>
        </w:tabs>
        <w:spacing w:line="240" w:lineRule="auto" w:before="0" w:after="0"/>
        <w:ind w:left="1566" w:right="0" w:hanging="361"/>
        <w:jc w:val="left"/>
        <w:rPr>
          <w:sz w:val="22"/>
        </w:rPr>
      </w:pPr>
      <w:r>
        <w:rPr>
          <w:w w:val="105"/>
          <w:sz w:val="22"/>
        </w:rPr>
        <w:t>Miscellaneous</w:t>
      </w:r>
      <w:r>
        <w:rPr>
          <w:spacing w:val="-27"/>
          <w:w w:val="105"/>
          <w:sz w:val="22"/>
        </w:rPr>
        <w:t> </w:t>
      </w:r>
      <w:r>
        <w:rPr>
          <w:w w:val="105"/>
          <w:sz w:val="22"/>
        </w:rPr>
        <w:t>Income</w:t>
      </w:r>
      <w:r>
        <w:rPr>
          <w:spacing w:val="-25"/>
          <w:w w:val="105"/>
          <w:sz w:val="22"/>
        </w:rPr>
        <w:t> </w:t>
      </w:r>
      <w:r>
        <w:rPr>
          <w:w w:val="105"/>
          <w:sz w:val="22"/>
        </w:rPr>
        <w:t>–</w:t>
      </w:r>
      <w:r>
        <w:rPr>
          <w:spacing w:val="-29"/>
          <w:w w:val="105"/>
          <w:sz w:val="22"/>
        </w:rPr>
        <w:t> </w:t>
      </w:r>
      <w:r>
        <w:rPr>
          <w:w w:val="105"/>
          <w:sz w:val="22"/>
        </w:rPr>
        <w:t>adopted</w:t>
      </w:r>
      <w:r>
        <w:rPr>
          <w:spacing w:val="-26"/>
          <w:w w:val="105"/>
          <w:sz w:val="22"/>
        </w:rPr>
        <w:t> </w:t>
      </w:r>
      <w:r>
        <w:rPr>
          <w:w w:val="105"/>
          <w:sz w:val="22"/>
        </w:rPr>
        <w:t>based</w:t>
      </w:r>
      <w:r>
        <w:rPr>
          <w:spacing w:val="-27"/>
          <w:w w:val="105"/>
          <w:sz w:val="22"/>
        </w:rPr>
        <w:t> </w:t>
      </w:r>
      <w:r>
        <w:rPr>
          <w:w w:val="105"/>
          <w:sz w:val="22"/>
        </w:rPr>
        <w:t>on</w:t>
      </w:r>
      <w:r>
        <w:rPr>
          <w:spacing w:val="-28"/>
          <w:w w:val="105"/>
          <w:sz w:val="22"/>
        </w:rPr>
        <w:t> </w:t>
      </w:r>
      <w:r>
        <w:rPr>
          <w:w w:val="105"/>
          <w:sz w:val="22"/>
        </w:rPr>
        <w:t>income</w:t>
      </w:r>
      <w:r>
        <w:rPr>
          <w:spacing w:val="-27"/>
          <w:w w:val="105"/>
          <w:sz w:val="22"/>
        </w:rPr>
        <w:t> </w:t>
      </w:r>
      <w:r>
        <w:rPr>
          <w:w w:val="105"/>
          <w:sz w:val="22"/>
        </w:rPr>
        <w:t>inputs</w:t>
      </w:r>
      <w:r>
        <w:rPr>
          <w:spacing w:val="-26"/>
          <w:w w:val="105"/>
          <w:sz w:val="22"/>
        </w:rPr>
        <w:t> </w:t>
      </w:r>
      <w:r>
        <w:rPr>
          <w:w w:val="105"/>
          <w:sz w:val="22"/>
        </w:rPr>
        <w:t>provided</w:t>
      </w:r>
      <w:r>
        <w:rPr>
          <w:spacing w:val="-27"/>
          <w:w w:val="105"/>
          <w:sz w:val="22"/>
        </w:rPr>
        <w:t> </w:t>
      </w:r>
      <w:r>
        <w:rPr>
          <w:w w:val="105"/>
          <w:sz w:val="22"/>
        </w:rPr>
        <w:t>by</w:t>
      </w:r>
      <w:r>
        <w:rPr>
          <w:spacing w:val="-28"/>
          <w:w w:val="105"/>
          <w:sz w:val="22"/>
        </w:rPr>
        <w:t> </w:t>
      </w:r>
      <w:r>
        <w:rPr>
          <w:w w:val="105"/>
          <w:sz w:val="22"/>
        </w:rPr>
        <w:t>Client</w:t>
      </w:r>
      <w:r>
        <w:rPr>
          <w:spacing w:val="-27"/>
          <w:w w:val="105"/>
          <w:sz w:val="22"/>
        </w:rPr>
        <w:t> </w:t>
      </w:r>
      <w:r>
        <w:rPr>
          <w:w w:val="105"/>
          <w:sz w:val="22"/>
        </w:rPr>
        <w:t>for</w:t>
      </w:r>
      <w:r>
        <w:rPr>
          <w:spacing w:val="-28"/>
          <w:w w:val="105"/>
          <w:sz w:val="22"/>
        </w:rPr>
        <w:t> </w:t>
      </w:r>
      <w:r>
        <w:rPr>
          <w:w w:val="105"/>
          <w:sz w:val="22"/>
        </w:rPr>
        <w:t>the</w:t>
      </w:r>
      <w:r>
        <w:rPr>
          <w:spacing w:val="-28"/>
          <w:w w:val="105"/>
          <w:sz w:val="22"/>
        </w:rPr>
        <w:t> </w:t>
      </w:r>
      <w:r>
        <w:rPr>
          <w:w w:val="105"/>
          <w:sz w:val="22"/>
        </w:rPr>
        <w:t>property</w:t>
      </w:r>
    </w:p>
    <w:p>
      <w:pPr>
        <w:pStyle w:val="BodyText"/>
        <w:spacing w:before="3"/>
        <w:rPr>
          <w:sz w:val="28"/>
        </w:rPr>
      </w:pPr>
    </w:p>
    <w:p>
      <w:pPr>
        <w:pStyle w:val="ListParagraph"/>
        <w:numPr>
          <w:ilvl w:val="5"/>
          <w:numId w:val="14"/>
        </w:numPr>
        <w:tabs>
          <w:tab w:pos="1566" w:val="left" w:leader="none"/>
          <w:tab w:pos="1567" w:val="left" w:leader="none"/>
        </w:tabs>
        <w:spacing w:line="240" w:lineRule="auto" w:before="0" w:after="0"/>
        <w:ind w:left="1566" w:right="0" w:hanging="361"/>
        <w:jc w:val="left"/>
        <w:rPr>
          <w:sz w:val="22"/>
        </w:rPr>
      </w:pPr>
      <w:r>
        <w:rPr>
          <w:sz w:val="22"/>
        </w:rPr>
        <w:t>Annual Recurring</w:t>
      </w:r>
      <w:r>
        <w:rPr>
          <w:spacing w:val="-6"/>
          <w:sz w:val="22"/>
        </w:rPr>
        <w:t> </w:t>
      </w:r>
      <w:r>
        <w:rPr>
          <w:sz w:val="22"/>
        </w:rPr>
        <w:t>Expense:</w:t>
      </w:r>
    </w:p>
    <w:p>
      <w:pPr>
        <w:pStyle w:val="BodyText"/>
        <w:spacing w:before="2"/>
        <w:rPr>
          <w:sz w:val="28"/>
        </w:rPr>
      </w:pPr>
    </w:p>
    <w:p>
      <w:pPr>
        <w:pStyle w:val="ListParagraph"/>
        <w:numPr>
          <w:ilvl w:val="6"/>
          <w:numId w:val="14"/>
        </w:numPr>
        <w:tabs>
          <w:tab w:pos="2286" w:val="left" w:leader="none"/>
          <w:tab w:pos="2287" w:val="left" w:leader="none"/>
        </w:tabs>
        <w:spacing w:line="240" w:lineRule="auto" w:before="0" w:after="0"/>
        <w:ind w:left="2286" w:right="0" w:hanging="361"/>
        <w:jc w:val="left"/>
        <w:rPr>
          <w:sz w:val="22"/>
        </w:rPr>
      </w:pPr>
      <w:r>
        <w:rPr>
          <w:sz w:val="22"/>
        </w:rPr>
        <w:t>Insurance</w:t>
      </w:r>
      <w:r>
        <w:rPr>
          <w:spacing w:val="-5"/>
          <w:sz w:val="22"/>
        </w:rPr>
        <w:t> </w:t>
      </w:r>
      <w:r>
        <w:rPr>
          <w:w w:val="105"/>
          <w:sz w:val="22"/>
        </w:rPr>
        <w:t>–</w:t>
      </w:r>
      <w:r>
        <w:rPr>
          <w:spacing w:val="-10"/>
          <w:w w:val="105"/>
          <w:sz w:val="22"/>
        </w:rPr>
        <w:t> </w:t>
      </w:r>
      <w:r>
        <w:rPr>
          <w:sz w:val="22"/>
        </w:rPr>
        <w:t>adopted</w:t>
      </w:r>
      <w:r>
        <w:rPr>
          <w:spacing w:val="-8"/>
          <w:sz w:val="22"/>
        </w:rPr>
        <w:t> </w:t>
      </w:r>
      <w:r>
        <w:rPr>
          <w:sz w:val="22"/>
        </w:rPr>
        <w:t>based</w:t>
      </w:r>
      <w:r>
        <w:rPr>
          <w:spacing w:val="-6"/>
          <w:sz w:val="22"/>
        </w:rPr>
        <w:t> </w:t>
      </w:r>
      <w:r>
        <w:rPr>
          <w:sz w:val="22"/>
        </w:rPr>
        <w:t>on</w:t>
      </w:r>
      <w:r>
        <w:rPr>
          <w:spacing w:val="-8"/>
          <w:sz w:val="22"/>
        </w:rPr>
        <w:t> </w:t>
      </w:r>
      <w:r>
        <w:rPr>
          <w:sz w:val="22"/>
        </w:rPr>
        <w:t>insurance</w:t>
      </w:r>
      <w:r>
        <w:rPr>
          <w:spacing w:val="-7"/>
          <w:sz w:val="22"/>
        </w:rPr>
        <w:t> </w:t>
      </w:r>
      <w:r>
        <w:rPr>
          <w:sz w:val="22"/>
        </w:rPr>
        <w:t>outflow</w:t>
      </w:r>
      <w:r>
        <w:rPr>
          <w:spacing w:val="-5"/>
          <w:sz w:val="22"/>
        </w:rPr>
        <w:t> </w:t>
      </w:r>
      <w:r>
        <w:rPr>
          <w:sz w:val="22"/>
        </w:rPr>
        <w:t>(if</w:t>
      </w:r>
      <w:r>
        <w:rPr>
          <w:spacing w:val="-7"/>
          <w:sz w:val="22"/>
        </w:rPr>
        <w:t> </w:t>
      </w:r>
      <w:r>
        <w:rPr>
          <w:sz w:val="22"/>
        </w:rPr>
        <w:t>any)</w:t>
      </w:r>
      <w:r>
        <w:rPr>
          <w:spacing w:val="-8"/>
          <w:sz w:val="22"/>
        </w:rPr>
        <w:t> </w:t>
      </w:r>
      <w:r>
        <w:rPr>
          <w:sz w:val="22"/>
        </w:rPr>
        <w:t>provided</w:t>
      </w:r>
      <w:r>
        <w:rPr>
          <w:spacing w:val="-9"/>
          <w:sz w:val="22"/>
        </w:rPr>
        <w:t> </w:t>
      </w:r>
      <w:r>
        <w:rPr>
          <w:sz w:val="22"/>
        </w:rPr>
        <w:t>by</w:t>
      </w:r>
      <w:r>
        <w:rPr>
          <w:spacing w:val="-7"/>
          <w:sz w:val="22"/>
        </w:rPr>
        <w:t> </w:t>
      </w:r>
      <w:r>
        <w:rPr>
          <w:sz w:val="22"/>
        </w:rPr>
        <w:t>Client</w:t>
      </w:r>
    </w:p>
    <w:p>
      <w:pPr>
        <w:pStyle w:val="BodyText"/>
        <w:spacing w:before="9"/>
        <w:rPr>
          <w:sz w:val="26"/>
        </w:rPr>
      </w:pPr>
    </w:p>
    <w:p>
      <w:pPr>
        <w:pStyle w:val="ListParagraph"/>
        <w:numPr>
          <w:ilvl w:val="6"/>
          <w:numId w:val="14"/>
        </w:numPr>
        <w:tabs>
          <w:tab w:pos="2287" w:val="left" w:leader="none"/>
        </w:tabs>
        <w:spacing w:line="302" w:lineRule="auto" w:before="0" w:after="0"/>
        <w:ind w:left="2286" w:right="634" w:hanging="360"/>
        <w:jc w:val="both"/>
        <w:rPr>
          <w:sz w:val="22"/>
        </w:rPr>
      </w:pPr>
      <w:r>
        <w:rPr>
          <w:sz w:val="22"/>
        </w:rPr>
        <w:t>Annual</w:t>
      </w:r>
      <w:r>
        <w:rPr>
          <w:spacing w:val="-23"/>
          <w:sz w:val="22"/>
        </w:rPr>
        <w:t> </w:t>
      </w:r>
      <w:r>
        <w:rPr>
          <w:sz w:val="22"/>
        </w:rPr>
        <w:t>Lease</w:t>
      </w:r>
      <w:r>
        <w:rPr>
          <w:spacing w:val="-22"/>
          <w:sz w:val="22"/>
        </w:rPr>
        <w:t> </w:t>
      </w:r>
      <w:r>
        <w:rPr>
          <w:sz w:val="22"/>
        </w:rPr>
        <w:t>Rental</w:t>
      </w:r>
      <w:r>
        <w:rPr>
          <w:spacing w:val="-23"/>
          <w:sz w:val="22"/>
        </w:rPr>
        <w:t> </w:t>
      </w:r>
      <w:r>
        <w:rPr>
          <w:sz w:val="22"/>
        </w:rPr>
        <w:t>/</w:t>
      </w:r>
      <w:r>
        <w:rPr>
          <w:spacing w:val="-22"/>
          <w:sz w:val="22"/>
        </w:rPr>
        <w:t> </w:t>
      </w:r>
      <w:r>
        <w:rPr>
          <w:sz w:val="22"/>
        </w:rPr>
        <w:t>Property</w:t>
      </w:r>
      <w:r>
        <w:rPr>
          <w:spacing w:val="-21"/>
          <w:sz w:val="22"/>
        </w:rPr>
        <w:t> </w:t>
      </w:r>
      <w:r>
        <w:rPr>
          <w:sz w:val="22"/>
        </w:rPr>
        <w:t>Taxes</w:t>
      </w:r>
      <w:r>
        <w:rPr>
          <w:spacing w:val="-20"/>
          <w:sz w:val="22"/>
        </w:rPr>
        <w:t> </w:t>
      </w:r>
      <w:r>
        <w:rPr>
          <w:w w:val="110"/>
          <w:sz w:val="22"/>
        </w:rPr>
        <w:t>–</w:t>
      </w:r>
      <w:r>
        <w:rPr>
          <w:spacing w:val="-29"/>
          <w:w w:val="110"/>
          <w:sz w:val="22"/>
        </w:rPr>
        <w:t> </w:t>
      </w:r>
      <w:r>
        <w:rPr>
          <w:sz w:val="22"/>
        </w:rPr>
        <w:t>adopted</w:t>
      </w:r>
      <w:r>
        <w:rPr>
          <w:spacing w:val="-23"/>
          <w:sz w:val="22"/>
        </w:rPr>
        <w:t> </w:t>
      </w:r>
      <w:r>
        <w:rPr>
          <w:sz w:val="22"/>
        </w:rPr>
        <w:t>based</w:t>
      </w:r>
      <w:r>
        <w:rPr>
          <w:spacing w:val="-21"/>
          <w:sz w:val="22"/>
        </w:rPr>
        <w:t> </w:t>
      </w:r>
      <w:r>
        <w:rPr>
          <w:sz w:val="22"/>
        </w:rPr>
        <w:t>on</w:t>
      </w:r>
      <w:r>
        <w:rPr>
          <w:spacing w:val="-23"/>
          <w:sz w:val="22"/>
        </w:rPr>
        <w:t> </w:t>
      </w:r>
      <w:r>
        <w:rPr>
          <w:sz w:val="22"/>
        </w:rPr>
        <w:t>annual</w:t>
      </w:r>
      <w:r>
        <w:rPr>
          <w:spacing w:val="-22"/>
          <w:sz w:val="22"/>
        </w:rPr>
        <w:t> </w:t>
      </w:r>
      <w:r>
        <w:rPr>
          <w:sz w:val="22"/>
        </w:rPr>
        <w:t>lease</w:t>
      </w:r>
      <w:r>
        <w:rPr>
          <w:spacing w:val="-22"/>
          <w:sz w:val="22"/>
        </w:rPr>
        <w:t> </w:t>
      </w:r>
      <w:r>
        <w:rPr>
          <w:sz w:val="22"/>
        </w:rPr>
        <w:t>rental</w:t>
      </w:r>
      <w:r>
        <w:rPr>
          <w:spacing w:val="-23"/>
          <w:sz w:val="22"/>
        </w:rPr>
        <w:t> </w:t>
      </w:r>
      <w:r>
        <w:rPr>
          <w:sz w:val="22"/>
        </w:rPr>
        <w:t>/</w:t>
      </w:r>
      <w:r>
        <w:rPr>
          <w:spacing w:val="-22"/>
          <w:sz w:val="22"/>
        </w:rPr>
        <w:t> </w:t>
      </w:r>
      <w:r>
        <w:rPr>
          <w:sz w:val="22"/>
        </w:rPr>
        <w:t>property tax assessed for the property as provided by</w:t>
      </w:r>
      <w:r>
        <w:rPr>
          <w:spacing w:val="-45"/>
          <w:sz w:val="22"/>
        </w:rPr>
        <w:t> </w:t>
      </w:r>
      <w:r>
        <w:rPr>
          <w:sz w:val="22"/>
        </w:rPr>
        <w:t>Client</w:t>
      </w:r>
    </w:p>
    <w:p>
      <w:pPr>
        <w:pStyle w:val="BodyText"/>
        <w:spacing w:before="11"/>
      </w:pPr>
    </w:p>
    <w:p>
      <w:pPr>
        <w:pStyle w:val="ListParagraph"/>
        <w:numPr>
          <w:ilvl w:val="6"/>
          <w:numId w:val="14"/>
        </w:numPr>
        <w:tabs>
          <w:tab w:pos="2287" w:val="left" w:leader="none"/>
        </w:tabs>
        <w:spacing w:line="312" w:lineRule="auto" w:before="0" w:after="0"/>
        <w:ind w:left="2286" w:right="633" w:hanging="360"/>
        <w:jc w:val="both"/>
        <w:rPr>
          <w:sz w:val="22"/>
        </w:rPr>
      </w:pPr>
      <w:r>
        <w:rPr>
          <w:sz w:val="22"/>
        </w:rPr>
        <w:t>Repair</w:t>
      </w:r>
      <w:r>
        <w:rPr>
          <w:spacing w:val="-13"/>
          <w:sz w:val="22"/>
        </w:rPr>
        <w:t> </w:t>
      </w:r>
      <w:r>
        <w:rPr>
          <w:sz w:val="22"/>
        </w:rPr>
        <w:t>&amp;</w:t>
      </w:r>
      <w:r>
        <w:rPr>
          <w:spacing w:val="-11"/>
          <w:sz w:val="22"/>
        </w:rPr>
        <w:t> </w:t>
      </w:r>
      <w:r>
        <w:rPr>
          <w:sz w:val="22"/>
        </w:rPr>
        <w:t>Maintenance</w:t>
      </w:r>
      <w:r>
        <w:rPr>
          <w:spacing w:val="-12"/>
          <w:sz w:val="22"/>
        </w:rPr>
        <w:t> </w:t>
      </w:r>
      <w:r>
        <w:rPr>
          <w:sz w:val="22"/>
        </w:rPr>
        <w:t>Reserve</w:t>
      </w:r>
      <w:r>
        <w:rPr>
          <w:spacing w:val="-8"/>
          <w:sz w:val="22"/>
        </w:rPr>
        <w:t> </w:t>
      </w:r>
      <w:r>
        <w:rPr>
          <w:w w:val="105"/>
          <w:sz w:val="22"/>
        </w:rPr>
        <w:t>–</w:t>
      </w:r>
      <w:r>
        <w:rPr>
          <w:spacing w:val="-17"/>
          <w:w w:val="105"/>
          <w:sz w:val="22"/>
        </w:rPr>
        <w:t> </w:t>
      </w:r>
      <w:r>
        <w:rPr>
          <w:sz w:val="22"/>
        </w:rPr>
        <w:t>adopted</w:t>
      </w:r>
      <w:r>
        <w:rPr>
          <w:spacing w:val="-12"/>
          <w:sz w:val="22"/>
        </w:rPr>
        <w:t> </w:t>
      </w:r>
      <w:r>
        <w:rPr>
          <w:sz w:val="22"/>
        </w:rPr>
        <w:t>as</w:t>
      </w:r>
      <w:r>
        <w:rPr>
          <w:spacing w:val="-13"/>
          <w:sz w:val="22"/>
        </w:rPr>
        <w:t> </w:t>
      </w:r>
      <w:r>
        <w:rPr>
          <w:sz w:val="22"/>
        </w:rPr>
        <w:t>a</w:t>
      </w:r>
      <w:r>
        <w:rPr>
          <w:spacing w:val="-12"/>
          <w:sz w:val="22"/>
        </w:rPr>
        <w:t> </w:t>
      </w:r>
      <w:r>
        <w:rPr>
          <w:sz w:val="22"/>
        </w:rPr>
        <w:t>recurring</w:t>
      </w:r>
      <w:r>
        <w:rPr>
          <w:spacing w:val="-11"/>
          <w:sz w:val="22"/>
        </w:rPr>
        <w:t> </w:t>
      </w:r>
      <w:r>
        <w:rPr>
          <w:sz w:val="22"/>
        </w:rPr>
        <w:t>expense</w:t>
      </w:r>
      <w:r>
        <w:rPr>
          <w:spacing w:val="-14"/>
          <w:sz w:val="22"/>
        </w:rPr>
        <w:t> </w:t>
      </w:r>
      <w:r>
        <w:rPr>
          <w:sz w:val="22"/>
        </w:rPr>
        <w:t>as</w:t>
      </w:r>
      <w:r>
        <w:rPr>
          <w:spacing w:val="-13"/>
          <w:sz w:val="22"/>
        </w:rPr>
        <w:t> </w:t>
      </w:r>
      <w:r>
        <w:rPr>
          <w:sz w:val="22"/>
        </w:rPr>
        <w:t>a</w:t>
      </w:r>
      <w:r>
        <w:rPr>
          <w:spacing w:val="-14"/>
          <w:sz w:val="22"/>
        </w:rPr>
        <w:t> </w:t>
      </w:r>
      <w:r>
        <w:rPr>
          <w:sz w:val="22"/>
        </w:rPr>
        <w:t>percentage</w:t>
      </w:r>
      <w:r>
        <w:rPr>
          <w:spacing w:val="-12"/>
          <w:sz w:val="22"/>
        </w:rPr>
        <w:t> </w:t>
      </w:r>
      <w:r>
        <w:rPr>
          <w:sz w:val="22"/>
        </w:rPr>
        <w:t>of</w:t>
      </w:r>
      <w:r>
        <w:rPr>
          <w:spacing w:val="-13"/>
          <w:sz w:val="22"/>
        </w:rPr>
        <w:t> </w:t>
      </w:r>
      <w:r>
        <w:rPr>
          <w:sz w:val="22"/>
        </w:rPr>
        <w:t>the lease rental income as a provision for future repairs &amp; maintenance based on market assumptions</w:t>
      </w:r>
      <w:r>
        <w:rPr>
          <w:spacing w:val="-12"/>
          <w:sz w:val="22"/>
        </w:rPr>
        <w:t> </w:t>
      </w:r>
      <w:r>
        <w:rPr>
          <w:sz w:val="22"/>
        </w:rPr>
        <w:t>(only</w:t>
      </w:r>
      <w:r>
        <w:rPr>
          <w:spacing w:val="-11"/>
          <w:sz w:val="22"/>
        </w:rPr>
        <w:t> </w:t>
      </w:r>
      <w:r>
        <w:rPr>
          <w:sz w:val="22"/>
        </w:rPr>
        <w:t>for</w:t>
      </w:r>
      <w:r>
        <w:rPr>
          <w:spacing w:val="-11"/>
          <w:sz w:val="22"/>
        </w:rPr>
        <w:t> </w:t>
      </w:r>
      <w:r>
        <w:rPr>
          <w:sz w:val="22"/>
        </w:rPr>
        <w:t>Embassy</w:t>
      </w:r>
      <w:r>
        <w:rPr>
          <w:spacing w:val="-11"/>
          <w:sz w:val="22"/>
        </w:rPr>
        <w:t> </w:t>
      </w:r>
      <w:r>
        <w:rPr>
          <w:sz w:val="22"/>
        </w:rPr>
        <w:t>Manyata,</w:t>
      </w:r>
      <w:r>
        <w:rPr>
          <w:spacing w:val="-10"/>
          <w:sz w:val="22"/>
        </w:rPr>
        <w:t> </w:t>
      </w:r>
      <w:r>
        <w:rPr>
          <w:sz w:val="22"/>
        </w:rPr>
        <w:t>Embassy</w:t>
      </w:r>
      <w:r>
        <w:rPr>
          <w:spacing w:val="-10"/>
          <w:sz w:val="22"/>
        </w:rPr>
        <w:t> </w:t>
      </w:r>
      <w:r>
        <w:rPr>
          <w:sz w:val="22"/>
        </w:rPr>
        <w:t>GolfLinks</w:t>
      </w:r>
      <w:r>
        <w:rPr>
          <w:spacing w:val="-7"/>
          <w:sz w:val="22"/>
        </w:rPr>
        <w:t> </w:t>
      </w:r>
      <w:r>
        <w:rPr>
          <w:sz w:val="22"/>
        </w:rPr>
        <w:t>and</w:t>
      </w:r>
      <w:r>
        <w:rPr>
          <w:spacing w:val="-10"/>
          <w:sz w:val="22"/>
        </w:rPr>
        <w:t> </w:t>
      </w:r>
      <w:r>
        <w:rPr>
          <w:sz w:val="22"/>
        </w:rPr>
        <w:t>Embassy</w:t>
      </w:r>
      <w:r>
        <w:rPr>
          <w:spacing w:val="-11"/>
          <w:sz w:val="22"/>
        </w:rPr>
        <w:t> </w:t>
      </w:r>
      <w:r>
        <w:rPr>
          <w:sz w:val="22"/>
        </w:rPr>
        <w:t>TechZone)</w:t>
      </w:r>
    </w:p>
    <w:p>
      <w:pPr>
        <w:pStyle w:val="BodyText"/>
        <w:spacing w:before="9"/>
        <w:rPr>
          <w:sz w:val="21"/>
        </w:rPr>
      </w:pPr>
    </w:p>
    <w:p>
      <w:pPr>
        <w:pStyle w:val="ListParagraph"/>
        <w:numPr>
          <w:ilvl w:val="6"/>
          <w:numId w:val="14"/>
        </w:numPr>
        <w:tabs>
          <w:tab w:pos="2287" w:val="left" w:leader="none"/>
        </w:tabs>
        <w:spacing w:line="302" w:lineRule="auto" w:before="1" w:after="0"/>
        <w:ind w:left="2286" w:right="640" w:hanging="360"/>
        <w:jc w:val="both"/>
        <w:rPr>
          <w:sz w:val="22"/>
        </w:rPr>
      </w:pPr>
      <w:r>
        <w:rPr>
          <w:sz w:val="22"/>
        </w:rPr>
        <w:t>Asset Management fee - adopted as a recurring expense as a percentage of the</w:t>
      </w:r>
      <w:r>
        <w:rPr>
          <w:spacing w:val="-43"/>
          <w:sz w:val="22"/>
        </w:rPr>
        <w:t> </w:t>
      </w:r>
      <w:r>
        <w:rPr>
          <w:sz w:val="22"/>
        </w:rPr>
        <w:t>rental income</w:t>
      </w:r>
    </w:p>
    <w:p>
      <w:pPr>
        <w:pStyle w:val="BodyText"/>
        <w:spacing w:before="10"/>
      </w:pPr>
    </w:p>
    <w:p>
      <w:pPr>
        <w:pStyle w:val="ListParagraph"/>
        <w:numPr>
          <w:ilvl w:val="5"/>
          <w:numId w:val="14"/>
        </w:numPr>
        <w:tabs>
          <w:tab w:pos="1567" w:val="left" w:leader="none"/>
        </w:tabs>
        <w:spacing w:line="321" w:lineRule="auto" w:before="0" w:after="0"/>
        <w:ind w:left="1566" w:right="636" w:hanging="360"/>
        <w:jc w:val="both"/>
        <w:rPr>
          <w:sz w:val="22"/>
        </w:rPr>
      </w:pPr>
      <w:r>
        <w:rPr>
          <w:sz w:val="22"/>
        </w:rPr>
        <w:t>Margin on CAM </w:t>
      </w:r>
      <w:r>
        <w:rPr>
          <w:w w:val="105"/>
          <w:sz w:val="22"/>
        </w:rPr>
        <w:t>– </w:t>
      </w:r>
      <w:r>
        <w:rPr>
          <w:sz w:val="22"/>
        </w:rPr>
        <w:t>For all assets, we have looked at the operational revenues and expenses of the respective assets to understand the recurring, non-recurring, recoverable and non- recoverable expenses and accordingly modelled the common area maintenance income and operational expenses for the asset. For Embassy Manyata, Embassy GolfLinks and</w:t>
      </w:r>
      <w:r>
        <w:rPr>
          <w:spacing w:val="47"/>
          <w:sz w:val="22"/>
        </w:rPr>
        <w:t> </w:t>
      </w:r>
      <w:r>
        <w:rPr>
          <w:sz w:val="22"/>
        </w:rPr>
        <w:t>Embassy</w:t>
      </w:r>
    </w:p>
    <w:p>
      <w:pPr>
        <w:spacing w:after="0" w:line="321" w:lineRule="auto"/>
        <w:jc w:val="both"/>
        <w:rPr>
          <w:sz w:val="22"/>
        </w:rPr>
        <w:sectPr>
          <w:pgSz w:w="11910" w:h="16840"/>
          <w:pgMar w:header="720" w:footer="842" w:top="1520" w:bottom="1040" w:left="440" w:right="80"/>
        </w:sectPr>
      </w:pPr>
    </w:p>
    <w:p>
      <w:pPr>
        <w:pStyle w:val="BodyText"/>
        <w:spacing w:before="5"/>
      </w:pPr>
    </w:p>
    <w:p>
      <w:pPr>
        <w:pStyle w:val="BodyText"/>
        <w:spacing w:line="321" w:lineRule="auto" w:before="106"/>
        <w:ind w:left="1566" w:right="632"/>
        <w:jc w:val="both"/>
      </w:pPr>
      <w:r>
        <w:rPr/>
        <w:t>TechZone, common area maintenance is managed by an external agency and accordingly, no CAM margin has been considered during the course of operations. However, for assessing the exit</w:t>
      </w:r>
      <w:r>
        <w:rPr>
          <w:spacing w:val="-5"/>
        </w:rPr>
        <w:t> </w:t>
      </w:r>
      <w:r>
        <w:rPr/>
        <w:t>cash</w:t>
      </w:r>
      <w:r>
        <w:rPr>
          <w:spacing w:val="-5"/>
        </w:rPr>
        <w:t> </w:t>
      </w:r>
      <w:r>
        <w:rPr/>
        <w:t>flows,</w:t>
      </w:r>
      <w:r>
        <w:rPr>
          <w:spacing w:val="-5"/>
        </w:rPr>
        <w:t> </w:t>
      </w:r>
      <w:r>
        <w:rPr/>
        <w:t>we</w:t>
      </w:r>
      <w:r>
        <w:rPr>
          <w:spacing w:val="-4"/>
        </w:rPr>
        <w:t> </w:t>
      </w:r>
      <w:r>
        <w:rPr/>
        <w:t>have</w:t>
      </w:r>
      <w:r>
        <w:rPr>
          <w:spacing w:val="-5"/>
        </w:rPr>
        <w:t> </w:t>
      </w:r>
      <w:r>
        <w:rPr/>
        <w:t>assumed</w:t>
      </w:r>
      <w:r>
        <w:rPr>
          <w:spacing w:val="-4"/>
        </w:rPr>
        <w:t> </w:t>
      </w:r>
      <w:r>
        <w:rPr/>
        <w:t>that</w:t>
      </w:r>
      <w:r>
        <w:rPr>
          <w:spacing w:val="-4"/>
        </w:rPr>
        <w:t> </w:t>
      </w:r>
      <w:r>
        <w:rPr/>
        <w:t>on</w:t>
      </w:r>
      <w:r>
        <w:rPr>
          <w:spacing w:val="-5"/>
        </w:rPr>
        <w:t> </w:t>
      </w:r>
      <w:r>
        <w:rPr/>
        <w:t>a</w:t>
      </w:r>
      <w:r>
        <w:rPr>
          <w:spacing w:val="-5"/>
        </w:rPr>
        <w:t> </w:t>
      </w:r>
      <w:r>
        <w:rPr/>
        <w:t>notional</w:t>
      </w:r>
      <w:r>
        <w:rPr>
          <w:spacing w:val="-5"/>
        </w:rPr>
        <w:t> </w:t>
      </w:r>
      <w:r>
        <w:rPr/>
        <w:t>exit,</w:t>
      </w:r>
      <w:r>
        <w:rPr>
          <w:spacing w:val="-5"/>
        </w:rPr>
        <w:t> </w:t>
      </w:r>
      <w:r>
        <w:rPr/>
        <w:t>market-led</w:t>
      </w:r>
      <w:r>
        <w:rPr>
          <w:spacing w:val="-4"/>
        </w:rPr>
        <w:t> </w:t>
      </w:r>
      <w:r>
        <w:rPr/>
        <w:t>CAM</w:t>
      </w:r>
      <w:r>
        <w:rPr>
          <w:spacing w:val="-6"/>
        </w:rPr>
        <w:t> </w:t>
      </w:r>
      <w:r>
        <w:rPr/>
        <w:t>charges</w:t>
      </w:r>
      <w:r>
        <w:rPr>
          <w:spacing w:val="-4"/>
        </w:rPr>
        <w:t> </w:t>
      </w:r>
      <w:r>
        <w:rPr/>
        <w:t>and</w:t>
      </w:r>
      <w:r>
        <w:rPr>
          <w:spacing w:val="-4"/>
        </w:rPr>
        <w:t> </w:t>
      </w:r>
      <w:r>
        <w:rPr/>
        <w:t>hence CAM margin would be accruable to a potential buyer and the same has been adopted during capitalization.</w:t>
      </w:r>
    </w:p>
    <w:p>
      <w:pPr>
        <w:pStyle w:val="BodyText"/>
        <w:spacing w:before="10"/>
        <w:rPr>
          <w:sz w:val="20"/>
        </w:rPr>
      </w:pPr>
    </w:p>
    <w:p>
      <w:pPr>
        <w:pStyle w:val="ListParagraph"/>
        <w:numPr>
          <w:ilvl w:val="5"/>
          <w:numId w:val="14"/>
        </w:numPr>
        <w:tabs>
          <w:tab w:pos="1567" w:val="left" w:leader="none"/>
        </w:tabs>
        <w:spacing w:line="321" w:lineRule="auto" w:before="0" w:after="0"/>
        <w:ind w:left="1566" w:right="634" w:hanging="360"/>
        <w:jc w:val="both"/>
        <w:rPr>
          <w:sz w:val="22"/>
        </w:rPr>
      </w:pPr>
      <w:r>
        <w:rPr>
          <w:sz w:val="22"/>
        </w:rPr>
        <w:t>Vacancy provision </w:t>
      </w:r>
      <w:r>
        <w:rPr>
          <w:w w:val="130"/>
          <w:sz w:val="22"/>
        </w:rPr>
        <w:t>~ </w:t>
      </w:r>
      <w:r>
        <w:rPr>
          <w:sz w:val="22"/>
        </w:rPr>
        <w:t>based on the prevailing market benchmarks, vacancy provision is considered</w:t>
      </w:r>
      <w:r>
        <w:rPr>
          <w:spacing w:val="-8"/>
          <w:sz w:val="22"/>
        </w:rPr>
        <w:t> </w:t>
      </w:r>
      <w:r>
        <w:rPr>
          <w:sz w:val="22"/>
        </w:rPr>
        <w:t>for</w:t>
      </w:r>
      <w:r>
        <w:rPr>
          <w:spacing w:val="-8"/>
          <w:sz w:val="22"/>
        </w:rPr>
        <w:t> </w:t>
      </w:r>
      <w:r>
        <w:rPr>
          <w:sz w:val="22"/>
        </w:rPr>
        <w:t>the</w:t>
      </w:r>
      <w:r>
        <w:rPr>
          <w:spacing w:val="-8"/>
          <w:sz w:val="22"/>
        </w:rPr>
        <w:t> </w:t>
      </w:r>
      <w:r>
        <w:rPr>
          <w:sz w:val="22"/>
        </w:rPr>
        <w:t>value</w:t>
      </w:r>
      <w:r>
        <w:rPr>
          <w:spacing w:val="-8"/>
          <w:sz w:val="22"/>
        </w:rPr>
        <w:t> </w:t>
      </w:r>
      <w:r>
        <w:rPr>
          <w:sz w:val="22"/>
        </w:rPr>
        <w:t>assessment</w:t>
      </w:r>
      <w:r>
        <w:rPr>
          <w:spacing w:val="-7"/>
          <w:sz w:val="22"/>
        </w:rPr>
        <w:t> </w:t>
      </w:r>
      <w:r>
        <w:rPr>
          <w:sz w:val="22"/>
        </w:rPr>
        <w:t>of</w:t>
      </w:r>
      <w:r>
        <w:rPr>
          <w:spacing w:val="-8"/>
          <w:sz w:val="22"/>
        </w:rPr>
        <w:t> </w:t>
      </w:r>
      <w:r>
        <w:rPr>
          <w:sz w:val="22"/>
        </w:rPr>
        <w:t>subject</w:t>
      </w:r>
      <w:r>
        <w:rPr>
          <w:spacing w:val="-7"/>
          <w:sz w:val="22"/>
        </w:rPr>
        <w:t> </w:t>
      </w:r>
      <w:r>
        <w:rPr>
          <w:sz w:val="22"/>
        </w:rPr>
        <w:t>property</w:t>
      </w:r>
      <w:r>
        <w:rPr>
          <w:spacing w:val="-7"/>
          <w:sz w:val="22"/>
        </w:rPr>
        <w:t> </w:t>
      </w:r>
      <w:r>
        <w:rPr>
          <w:sz w:val="22"/>
        </w:rPr>
        <w:t>upon</w:t>
      </w:r>
      <w:r>
        <w:rPr>
          <w:spacing w:val="-7"/>
          <w:sz w:val="22"/>
        </w:rPr>
        <w:t> </w:t>
      </w:r>
      <w:r>
        <w:rPr>
          <w:sz w:val="22"/>
        </w:rPr>
        <w:t>exit</w:t>
      </w:r>
      <w:r>
        <w:rPr>
          <w:spacing w:val="-5"/>
          <w:sz w:val="22"/>
        </w:rPr>
        <w:t> </w:t>
      </w:r>
      <w:r>
        <w:rPr>
          <w:sz w:val="22"/>
        </w:rPr>
        <w:t>(the</w:t>
      </w:r>
      <w:r>
        <w:rPr>
          <w:spacing w:val="-8"/>
          <w:sz w:val="22"/>
        </w:rPr>
        <w:t> </w:t>
      </w:r>
      <w:r>
        <w:rPr>
          <w:sz w:val="22"/>
        </w:rPr>
        <w:t>rent</w:t>
      </w:r>
      <w:r>
        <w:rPr>
          <w:spacing w:val="-8"/>
          <w:sz w:val="22"/>
        </w:rPr>
        <w:t> </w:t>
      </w:r>
      <w:r>
        <w:rPr>
          <w:sz w:val="22"/>
        </w:rPr>
        <w:t>frees,</w:t>
      </w:r>
      <w:r>
        <w:rPr>
          <w:spacing w:val="-7"/>
          <w:sz w:val="22"/>
        </w:rPr>
        <w:t> </w:t>
      </w:r>
      <w:r>
        <w:rPr>
          <w:sz w:val="22"/>
        </w:rPr>
        <w:t>CAM</w:t>
      </w:r>
      <w:r>
        <w:rPr>
          <w:spacing w:val="-7"/>
          <w:sz w:val="22"/>
        </w:rPr>
        <w:t> </w:t>
      </w:r>
      <w:r>
        <w:rPr>
          <w:sz w:val="22"/>
        </w:rPr>
        <w:t>under recoveries,</w:t>
      </w:r>
      <w:r>
        <w:rPr>
          <w:spacing w:val="-18"/>
          <w:sz w:val="22"/>
        </w:rPr>
        <w:t> </w:t>
      </w:r>
      <w:r>
        <w:rPr>
          <w:sz w:val="22"/>
        </w:rPr>
        <w:t>brokerage</w:t>
      </w:r>
      <w:r>
        <w:rPr>
          <w:spacing w:val="-18"/>
          <w:sz w:val="22"/>
        </w:rPr>
        <w:t> </w:t>
      </w:r>
      <w:r>
        <w:rPr>
          <w:sz w:val="22"/>
        </w:rPr>
        <w:t>expenses</w:t>
      </w:r>
      <w:r>
        <w:rPr>
          <w:spacing w:val="-17"/>
          <w:sz w:val="22"/>
        </w:rPr>
        <w:t> </w:t>
      </w:r>
      <w:r>
        <w:rPr>
          <w:sz w:val="22"/>
        </w:rPr>
        <w:t>during</w:t>
      </w:r>
      <w:r>
        <w:rPr>
          <w:spacing w:val="-16"/>
          <w:sz w:val="22"/>
        </w:rPr>
        <w:t> </w:t>
      </w:r>
      <w:r>
        <w:rPr>
          <w:sz w:val="22"/>
        </w:rPr>
        <w:t>the</w:t>
      </w:r>
      <w:r>
        <w:rPr>
          <w:spacing w:val="-18"/>
          <w:sz w:val="22"/>
        </w:rPr>
        <w:t> </w:t>
      </w:r>
      <w:r>
        <w:rPr>
          <w:sz w:val="22"/>
        </w:rPr>
        <w:t>10</w:t>
      </w:r>
      <w:r>
        <w:rPr>
          <w:spacing w:val="-18"/>
          <w:sz w:val="22"/>
        </w:rPr>
        <w:t> </w:t>
      </w:r>
      <w:r>
        <w:rPr>
          <w:sz w:val="22"/>
        </w:rPr>
        <w:t>year</w:t>
      </w:r>
      <w:r>
        <w:rPr>
          <w:spacing w:val="-18"/>
          <w:sz w:val="22"/>
        </w:rPr>
        <w:t> </w:t>
      </w:r>
      <w:r>
        <w:rPr>
          <w:sz w:val="22"/>
        </w:rPr>
        <w:t>projection</w:t>
      </w:r>
      <w:r>
        <w:rPr>
          <w:spacing w:val="-16"/>
          <w:sz w:val="22"/>
        </w:rPr>
        <w:t> </w:t>
      </w:r>
      <w:r>
        <w:rPr>
          <w:sz w:val="22"/>
        </w:rPr>
        <w:t>period</w:t>
      </w:r>
      <w:r>
        <w:rPr>
          <w:spacing w:val="-17"/>
          <w:sz w:val="22"/>
        </w:rPr>
        <w:t> </w:t>
      </w:r>
      <w:r>
        <w:rPr>
          <w:sz w:val="22"/>
        </w:rPr>
        <w:t>captures</w:t>
      </w:r>
      <w:r>
        <w:rPr>
          <w:spacing w:val="-16"/>
          <w:sz w:val="22"/>
        </w:rPr>
        <w:t> </w:t>
      </w:r>
      <w:r>
        <w:rPr>
          <w:sz w:val="22"/>
        </w:rPr>
        <w:t>the</w:t>
      </w:r>
      <w:r>
        <w:rPr>
          <w:spacing w:val="-18"/>
          <w:sz w:val="22"/>
        </w:rPr>
        <w:t> </w:t>
      </w:r>
      <w:r>
        <w:rPr>
          <w:sz w:val="22"/>
        </w:rPr>
        <w:t>implied</w:t>
      </w:r>
      <w:r>
        <w:rPr>
          <w:spacing w:val="-17"/>
          <w:sz w:val="22"/>
        </w:rPr>
        <w:t> </w:t>
      </w:r>
      <w:r>
        <w:rPr>
          <w:sz w:val="22"/>
        </w:rPr>
        <w:t>rent loss during</w:t>
      </w:r>
      <w:r>
        <w:rPr>
          <w:spacing w:val="-5"/>
          <w:sz w:val="22"/>
        </w:rPr>
        <w:t> </w:t>
      </w:r>
      <w:r>
        <w:rPr>
          <w:sz w:val="22"/>
        </w:rPr>
        <w:t>operations)</w:t>
      </w:r>
    </w:p>
    <w:p>
      <w:pPr>
        <w:pStyle w:val="BodyText"/>
        <w:spacing w:before="9"/>
        <w:rPr>
          <w:sz w:val="20"/>
        </w:rPr>
      </w:pPr>
    </w:p>
    <w:p>
      <w:pPr>
        <w:pStyle w:val="ListParagraph"/>
        <w:numPr>
          <w:ilvl w:val="5"/>
          <w:numId w:val="14"/>
        </w:numPr>
        <w:tabs>
          <w:tab w:pos="1566" w:val="left" w:leader="none"/>
          <w:tab w:pos="1567" w:val="left" w:leader="none"/>
        </w:tabs>
        <w:spacing w:line="240" w:lineRule="auto" w:before="1" w:after="0"/>
        <w:ind w:left="1566" w:right="0" w:hanging="361"/>
        <w:jc w:val="left"/>
        <w:rPr>
          <w:sz w:val="22"/>
        </w:rPr>
      </w:pPr>
      <w:r>
        <w:rPr>
          <w:sz w:val="22"/>
        </w:rPr>
        <w:t>Revenue</w:t>
      </w:r>
      <w:r>
        <w:rPr>
          <w:spacing w:val="-11"/>
          <w:sz w:val="22"/>
        </w:rPr>
        <w:t> </w:t>
      </w:r>
      <w:r>
        <w:rPr>
          <w:sz w:val="22"/>
        </w:rPr>
        <w:t>escalation</w:t>
      </w:r>
      <w:r>
        <w:rPr>
          <w:spacing w:val="-11"/>
          <w:sz w:val="22"/>
        </w:rPr>
        <w:t> </w:t>
      </w:r>
      <w:r>
        <w:rPr>
          <w:w w:val="130"/>
          <w:sz w:val="22"/>
        </w:rPr>
        <w:t>~</w:t>
      </w:r>
      <w:r>
        <w:rPr>
          <w:spacing w:val="-25"/>
          <w:w w:val="130"/>
          <w:sz w:val="22"/>
        </w:rPr>
        <w:t> </w:t>
      </w:r>
      <w:r>
        <w:rPr>
          <w:sz w:val="22"/>
        </w:rPr>
        <w:t>a</w:t>
      </w:r>
      <w:r>
        <w:rPr>
          <w:spacing w:val="-13"/>
          <w:sz w:val="22"/>
        </w:rPr>
        <w:t> </w:t>
      </w:r>
      <w:r>
        <w:rPr>
          <w:sz w:val="22"/>
        </w:rPr>
        <w:t>market-led</w:t>
      </w:r>
      <w:r>
        <w:rPr>
          <w:spacing w:val="-9"/>
          <w:sz w:val="22"/>
        </w:rPr>
        <w:t> </w:t>
      </w:r>
      <w:r>
        <w:rPr>
          <w:sz w:val="22"/>
        </w:rPr>
        <w:t>annual</w:t>
      </w:r>
      <w:r>
        <w:rPr>
          <w:spacing w:val="-11"/>
          <w:sz w:val="22"/>
        </w:rPr>
        <w:t> </w:t>
      </w:r>
      <w:r>
        <w:rPr>
          <w:sz w:val="22"/>
        </w:rPr>
        <w:t>escalation</w:t>
      </w:r>
      <w:r>
        <w:rPr>
          <w:spacing w:val="-10"/>
          <w:sz w:val="22"/>
        </w:rPr>
        <w:t> </w:t>
      </w:r>
      <w:r>
        <w:rPr>
          <w:sz w:val="22"/>
        </w:rPr>
        <w:t>on</w:t>
      </w:r>
      <w:r>
        <w:rPr>
          <w:spacing w:val="-11"/>
          <w:sz w:val="22"/>
        </w:rPr>
        <w:t> </w:t>
      </w:r>
      <w:r>
        <w:rPr>
          <w:sz w:val="22"/>
        </w:rPr>
        <w:t>the</w:t>
      </w:r>
      <w:r>
        <w:rPr>
          <w:spacing w:val="-10"/>
          <w:sz w:val="22"/>
        </w:rPr>
        <w:t> </w:t>
      </w:r>
      <w:r>
        <w:rPr>
          <w:sz w:val="22"/>
        </w:rPr>
        <w:t>market</w:t>
      </w:r>
      <w:r>
        <w:rPr>
          <w:spacing w:val="-10"/>
          <w:sz w:val="22"/>
        </w:rPr>
        <w:t> </w:t>
      </w:r>
      <w:r>
        <w:rPr>
          <w:sz w:val="22"/>
        </w:rPr>
        <w:t>rent</w:t>
      </w:r>
      <w:r>
        <w:rPr>
          <w:spacing w:val="-10"/>
          <w:sz w:val="22"/>
        </w:rPr>
        <w:t> </w:t>
      </w:r>
      <w:r>
        <w:rPr>
          <w:sz w:val="22"/>
        </w:rPr>
        <w:t>has</w:t>
      </w:r>
      <w:r>
        <w:rPr>
          <w:spacing w:val="-10"/>
          <w:sz w:val="22"/>
        </w:rPr>
        <w:t> </w:t>
      </w:r>
      <w:r>
        <w:rPr>
          <w:sz w:val="22"/>
        </w:rPr>
        <w:t>been</w:t>
      </w:r>
      <w:r>
        <w:rPr>
          <w:spacing w:val="-11"/>
          <w:sz w:val="22"/>
        </w:rPr>
        <w:t> </w:t>
      </w:r>
      <w:r>
        <w:rPr>
          <w:sz w:val="22"/>
        </w:rPr>
        <w:t>adopted</w:t>
      </w:r>
    </w:p>
    <w:p>
      <w:pPr>
        <w:pStyle w:val="BodyText"/>
        <w:spacing w:before="2"/>
        <w:rPr>
          <w:sz w:val="28"/>
        </w:rPr>
      </w:pPr>
    </w:p>
    <w:p>
      <w:pPr>
        <w:pStyle w:val="ListParagraph"/>
        <w:numPr>
          <w:ilvl w:val="5"/>
          <w:numId w:val="14"/>
        </w:numPr>
        <w:tabs>
          <w:tab w:pos="1567" w:val="left" w:leader="none"/>
        </w:tabs>
        <w:spacing w:line="321" w:lineRule="auto" w:before="0" w:after="0"/>
        <w:ind w:left="1566" w:right="633" w:hanging="360"/>
        <w:jc w:val="both"/>
        <w:rPr>
          <w:sz w:val="22"/>
        </w:rPr>
      </w:pPr>
      <w:r>
        <w:rPr>
          <w:sz w:val="22"/>
        </w:rPr>
        <w:t>Rent </w:t>
      </w:r>
      <w:r>
        <w:rPr>
          <w:w w:val="130"/>
          <w:sz w:val="22"/>
        </w:rPr>
        <w:t>– </w:t>
      </w:r>
      <w:r>
        <w:rPr>
          <w:sz w:val="22"/>
        </w:rPr>
        <w:t>free period </w:t>
      </w:r>
      <w:r>
        <w:rPr>
          <w:w w:val="130"/>
          <w:sz w:val="22"/>
        </w:rPr>
        <w:t>~ </w:t>
      </w:r>
      <w:r>
        <w:rPr>
          <w:sz w:val="22"/>
        </w:rPr>
        <w:t>based on the trend prevalent in the subject sub market, we consider appropriate rent free periods for the value assessment of the subject property from lease commencement date (for future / new</w:t>
      </w:r>
      <w:r>
        <w:rPr>
          <w:spacing w:val="-31"/>
          <w:sz w:val="22"/>
        </w:rPr>
        <w:t> </w:t>
      </w:r>
      <w:r>
        <w:rPr>
          <w:sz w:val="22"/>
        </w:rPr>
        <w:t>leases)</w:t>
      </w:r>
    </w:p>
    <w:p>
      <w:pPr>
        <w:pStyle w:val="BodyText"/>
        <w:spacing w:before="10"/>
        <w:rPr>
          <w:sz w:val="20"/>
        </w:rPr>
      </w:pPr>
    </w:p>
    <w:p>
      <w:pPr>
        <w:pStyle w:val="ListParagraph"/>
        <w:numPr>
          <w:ilvl w:val="5"/>
          <w:numId w:val="14"/>
        </w:numPr>
        <w:tabs>
          <w:tab w:pos="1566" w:val="left" w:leader="none"/>
          <w:tab w:pos="1567" w:val="left" w:leader="none"/>
        </w:tabs>
        <w:spacing w:line="240" w:lineRule="auto" w:before="1" w:after="0"/>
        <w:ind w:left="1566" w:right="0" w:hanging="361"/>
        <w:jc w:val="left"/>
        <w:rPr>
          <w:sz w:val="22"/>
        </w:rPr>
      </w:pPr>
      <w:r>
        <w:rPr>
          <w:sz w:val="22"/>
        </w:rPr>
        <w:t>Brokerage</w:t>
      </w:r>
      <w:r>
        <w:rPr>
          <w:spacing w:val="-27"/>
          <w:sz w:val="22"/>
        </w:rPr>
        <w:t> </w:t>
      </w:r>
      <w:r>
        <w:rPr>
          <w:w w:val="130"/>
          <w:sz w:val="22"/>
        </w:rPr>
        <w:t>~</w:t>
      </w:r>
      <w:r>
        <w:rPr>
          <w:spacing w:val="-43"/>
          <w:w w:val="130"/>
          <w:sz w:val="22"/>
        </w:rPr>
        <w:t> </w:t>
      </w:r>
      <w:r>
        <w:rPr>
          <w:sz w:val="22"/>
        </w:rPr>
        <w:t>based</w:t>
      </w:r>
      <w:r>
        <w:rPr>
          <w:spacing w:val="-26"/>
          <w:sz w:val="22"/>
        </w:rPr>
        <w:t> </w:t>
      </w:r>
      <w:r>
        <w:rPr>
          <w:sz w:val="22"/>
        </w:rPr>
        <w:t>on</w:t>
      </w:r>
      <w:r>
        <w:rPr>
          <w:spacing w:val="-26"/>
          <w:sz w:val="22"/>
        </w:rPr>
        <w:t> </w:t>
      </w:r>
      <w:r>
        <w:rPr>
          <w:sz w:val="22"/>
        </w:rPr>
        <w:t>prevalent</w:t>
      </w:r>
      <w:r>
        <w:rPr>
          <w:spacing w:val="-26"/>
          <w:sz w:val="22"/>
        </w:rPr>
        <w:t> </w:t>
      </w:r>
      <w:r>
        <w:rPr>
          <w:sz w:val="22"/>
        </w:rPr>
        <w:t>market</w:t>
      </w:r>
      <w:r>
        <w:rPr>
          <w:spacing w:val="-25"/>
          <w:sz w:val="22"/>
        </w:rPr>
        <w:t> </w:t>
      </w:r>
      <w:r>
        <w:rPr>
          <w:sz w:val="22"/>
        </w:rPr>
        <w:t>dynamics,</w:t>
      </w:r>
      <w:r>
        <w:rPr>
          <w:spacing w:val="-28"/>
          <w:sz w:val="22"/>
        </w:rPr>
        <w:t> </w:t>
      </w:r>
      <w:r>
        <w:rPr>
          <w:sz w:val="22"/>
        </w:rPr>
        <w:t>we</w:t>
      </w:r>
      <w:r>
        <w:rPr>
          <w:spacing w:val="-25"/>
          <w:sz w:val="22"/>
        </w:rPr>
        <w:t> </w:t>
      </w:r>
      <w:r>
        <w:rPr>
          <w:sz w:val="22"/>
        </w:rPr>
        <w:t>consider</w:t>
      </w:r>
      <w:r>
        <w:rPr>
          <w:spacing w:val="-26"/>
          <w:sz w:val="22"/>
        </w:rPr>
        <w:t> </w:t>
      </w:r>
      <w:r>
        <w:rPr>
          <w:sz w:val="22"/>
        </w:rPr>
        <w:t>brokerage</w:t>
      </w:r>
      <w:r>
        <w:rPr>
          <w:spacing w:val="-27"/>
          <w:sz w:val="22"/>
        </w:rPr>
        <w:t> </w:t>
      </w:r>
      <w:r>
        <w:rPr>
          <w:sz w:val="22"/>
        </w:rPr>
        <w:t>for</w:t>
      </w:r>
      <w:r>
        <w:rPr>
          <w:spacing w:val="-26"/>
          <w:sz w:val="22"/>
        </w:rPr>
        <w:t> </w:t>
      </w:r>
      <w:r>
        <w:rPr>
          <w:sz w:val="22"/>
        </w:rPr>
        <w:t>future</w:t>
      </w:r>
      <w:r>
        <w:rPr>
          <w:spacing w:val="-26"/>
          <w:sz w:val="22"/>
        </w:rPr>
        <w:t> </w:t>
      </w:r>
      <w:r>
        <w:rPr>
          <w:sz w:val="22"/>
        </w:rPr>
        <w:t>/</w:t>
      </w:r>
      <w:r>
        <w:rPr>
          <w:spacing w:val="-24"/>
          <w:sz w:val="22"/>
        </w:rPr>
        <w:t> </w:t>
      </w:r>
      <w:r>
        <w:rPr>
          <w:sz w:val="22"/>
        </w:rPr>
        <w:t>new</w:t>
      </w:r>
      <w:r>
        <w:rPr>
          <w:spacing w:val="-26"/>
          <w:sz w:val="22"/>
        </w:rPr>
        <w:t> </w:t>
      </w:r>
      <w:r>
        <w:rPr>
          <w:sz w:val="22"/>
        </w:rPr>
        <w:t>leases</w:t>
      </w:r>
    </w:p>
    <w:p>
      <w:pPr>
        <w:pStyle w:val="BodyText"/>
        <w:spacing w:before="2"/>
        <w:rPr>
          <w:sz w:val="28"/>
        </w:rPr>
      </w:pPr>
    </w:p>
    <w:p>
      <w:pPr>
        <w:pStyle w:val="BodyText"/>
        <w:spacing w:line="324" w:lineRule="auto"/>
        <w:ind w:left="820" w:right="641"/>
      </w:pPr>
      <w:r>
        <w:rPr/>
        <w:t>The other revenues and recurring operational expenses highlighted above have been capitalized at market-led capitalization rates.</w:t>
      </w:r>
    </w:p>
    <w:p>
      <w:pPr>
        <w:pStyle w:val="BodyText"/>
        <w:spacing w:before="3"/>
        <w:rPr>
          <w:sz w:val="20"/>
        </w:rPr>
      </w:pPr>
    </w:p>
    <w:p>
      <w:pPr>
        <w:pStyle w:val="BodyText"/>
        <w:ind w:left="820"/>
      </w:pPr>
      <w:r>
        <w:rPr>
          <w:u w:val="single"/>
        </w:rPr>
        <w:t>Additional Adjustments:</w:t>
      </w:r>
    </w:p>
    <w:p>
      <w:pPr>
        <w:pStyle w:val="BodyText"/>
        <w:spacing w:before="1"/>
        <w:rPr>
          <w:sz w:val="19"/>
        </w:rPr>
      </w:pPr>
    </w:p>
    <w:p>
      <w:pPr>
        <w:pStyle w:val="ListParagraph"/>
        <w:numPr>
          <w:ilvl w:val="5"/>
          <w:numId w:val="14"/>
        </w:numPr>
        <w:tabs>
          <w:tab w:pos="1540" w:val="left" w:leader="none"/>
          <w:tab w:pos="1541" w:val="left" w:leader="none"/>
        </w:tabs>
        <w:spacing w:line="321" w:lineRule="auto" w:before="106" w:after="0"/>
        <w:ind w:left="1540" w:right="639" w:hanging="360"/>
        <w:jc w:val="left"/>
        <w:rPr>
          <w:sz w:val="22"/>
        </w:rPr>
      </w:pPr>
      <w:r>
        <w:rPr>
          <w:sz w:val="22"/>
        </w:rPr>
        <w:t>Fit-out Income </w:t>
      </w:r>
      <w:r>
        <w:rPr>
          <w:w w:val="130"/>
          <w:sz w:val="22"/>
        </w:rPr>
        <w:t>~ </w:t>
      </w:r>
      <w:r>
        <w:rPr>
          <w:sz w:val="22"/>
        </w:rPr>
        <w:t>adopted based on fit-out rent (if any) provided by Client till lease expiry of applicable leases (same is not</w:t>
      </w:r>
      <w:r>
        <w:rPr>
          <w:spacing w:val="-21"/>
          <w:sz w:val="22"/>
        </w:rPr>
        <w:t> </w:t>
      </w:r>
      <w:r>
        <w:rPr>
          <w:sz w:val="22"/>
        </w:rPr>
        <w:t>capitalized)</w:t>
      </w:r>
    </w:p>
    <w:p>
      <w:pPr>
        <w:pStyle w:val="BodyText"/>
        <w:spacing w:before="9"/>
        <w:rPr>
          <w:sz w:val="20"/>
        </w:rPr>
      </w:pPr>
    </w:p>
    <w:p>
      <w:pPr>
        <w:pStyle w:val="ListParagraph"/>
        <w:numPr>
          <w:ilvl w:val="5"/>
          <w:numId w:val="14"/>
        </w:numPr>
        <w:tabs>
          <w:tab w:pos="1540" w:val="left" w:leader="none"/>
          <w:tab w:pos="1541" w:val="left" w:leader="none"/>
        </w:tabs>
        <w:spacing w:line="321" w:lineRule="auto" w:before="0" w:after="0"/>
        <w:ind w:left="1540" w:right="643" w:hanging="360"/>
        <w:jc w:val="left"/>
        <w:rPr>
          <w:sz w:val="22"/>
        </w:rPr>
      </w:pPr>
      <w:r>
        <w:rPr>
          <w:sz w:val="22"/>
        </w:rPr>
        <w:t>Transaction Cost on Exit </w:t>
      </w:r>
      <w:r>
        <w:rPr>
          <w:w w:val="130"/>
          <w:sz w:val="22"/>
        </w:rPr>
        <w:t>~ </w:t>
      </w:r>
      <w:r>
        <w:rPr>
          <w:sz w:val="22"/>
        </w:rPr>
        <w:t>adopted as a percentage of the terminal value after aforesaid adjustments</w:t>
      </w:r>
    </w:p>
    <w:p>
      <w:pPr>
        <w:pStyle w:val="BodyText"/>
        <w:spacing w:before="10"/>
        <w:rPr>
          <w:sz w:val="20"/>
        </w:rPr>
      </w:pPr>
    </w:p>
    <w:p>
      <w:pPr>
        <w:pStyle w:val="BodyText"/>
        <w:spacing w:line="324" w:lineRule="auto"/>
        <w:ind w:left="820" w:right="422"/>
      </w:pPr>
      <w:r>
        <w:rPr/>
        <w:t>The</w:t>
      </w:r>
      <w:r>
        <w:rPr>
          <w:spacing w:val="-30"/>
        </w:rPr>
        <w:t> </w:t>
      </w:r>
      <w:r>
        <w:rPr/>
        <w:t>valuation</w:t>
      </w:r>
      <w:r>
        <w:rPr>
          <w:spacing w:val="-28"/>
        </w:rPr>
        <w:t> </w:t>
      </w:r>
      <w:r>
        <w:rPr/>
        <w:t>process</w:t>
      </w:r>
      <w:r>
        <w:rPr>
          <w:spacing w:val="-28"/>
        </w:rPr>
        <w:t> </w:t>
      </w:r>
      <w:r>
        <w:rPr/>
        <w:t>and</w:t>
      </w:r>
      <w:r>
        <w:rPr>
          <w:spacing w:val="-28"/>
        </w:rPr>
        <w:t> </w:t>
      </w:r>
      <w:r>
        <w:rPr/>
        <w:t>the</w:t>
      </w:r>
      <w:r>
        <w:rPr>
          <w:spacing w:val="-29"/>
        </w:rPr>
        <w:t> </w:t>
      </w:r>
      <w:r>
        <w:rPr/>
        <w:t>assumptions</w:t>
      </w:r>
      <w:r>
        <w:rPr>
          <w:spacing w:val="-29"/>
        </w:rPr>
        <w:t> </w:t>
      </w:r>
      <w:r>
        <w:rPr/>
        <w:t>for</w:t>
      </w:r>
      <w:r>
        <w:rPr>
          <w:spacing w:val="-29"/>
        </w:rPr>
        <w:t> </w:t>
      </w:r>
      <w:r>
        <w:rPr/>
        <w:t>valuation</w:t>
      </w:r>
      <w:r>
        <w:rPr>
          <w:spacing w:val="-28"/>
        </w:rPr>
        <w:t> </w:t>
      </w:r>
      <w:r>
        <w:rPr/>
        <w:t>adopted</w:t>
      </w:r>
      <w:r>
        <w:rPr>
          <w:spacing w:val="-29"/>
        </w:rPr>
        <w:t> </w:t>
      </w:r>
      <w:r>
        <w:rPr/>
        <w:t>while</w:t>
      </w:r>
      <w:r>
        <w:rPr>
          <w:spacing w:val="-30"/>
        </w:rPr>
        <w:t> </w:t>
      </w:r>
      <w:r>
        <w:rPr/>
        <w:t>undertaking</w:t>
      </w:r>
      <w:r>
        <w:rPr>
          <w:spacing w:val="-27"/>
        </w:rPr>
        <w:t> </w:t>
      </w:r>
      <w:r>
        <w:rPr/>
        <w:t>the</w:t>
      </w:r>
      <w:r>
        <w:rPr>
          <w:spacing w:val="-29"/>
        </w:rPr>
        <w:t> </w:t>
      </w:r>
      <w:r>
        <w:rPr/>
        <w:t>valuation</w:t>
      </w:r>
      <w:r>
        <w:rPr>
          <w:spacing w:val="-28"/>
        </w:rPr>
        <w:t> </w:t>
      </w:r>
      <w:r>
        <w:rPr/>
        <w:t>under this approach are detailed</w:t>
      </w:r>
      <w:r>
        <w:rPr>
          <w:spacing w:val="-13"/>
        </w:rPr>
        <w:t> </w:t>
      </w:r>
      <w:r>
        <w:rPr/>
        <w:t>overleaf:</w:t>
      </w:r>
    </w:p>
    <w:p>
      <w:pPr>
        <w:spacing w:after="0" w:line="324" w:lineRule="auto"/>
        <w:sectPr>
          <w:pgSz w:w="11910" w:h="16840"/>
          <w:pgMar w:header="720" w:footer="842" w:top="1520" w:bottom="1040" w:left="440" w:right="80"/>
        </w:sectPr>
      </w:pPr>
    </w:p>
    <w:p>
      <w:pPr>
        <w:pStyle w:val="BodyText"/>
        <w:rPr>
          <w:sz w:val="20"/>
        </w:rPr>
      </w:pPr>
    </w:p>
    <w:p>
      <w:pPr>
        <w:pStyle w:val="BodyText"/>
        <w:spacing w:before="6"/>
        <w:rPr>
          <w:sz w:val="21"/>
        </w:rPr>
      </w:pPr>
    </w:p>
    <w:p>
      <w:pPr>
        <w:pStyle w:val="BodyText"/>
        <w:ind w:left="1824"/>
        <w:rPr>
          <w:sz w:val="20"/>
        </w:rPr>
      </w:pPr>
      <w:r>
        <w:rPr>
          <w:sz w:val="20"/>
        </w:rPr>
        <w:pict>
          <v:group style="width:395.7pt;height:279.05pt;mso-position-horizontal-relative:char;mso-position-vertical-relative:line" coordorigin="0,0" coordsize="7914,5581">
            <v:shape style="position:absolute;left:956;top:0;width:1034;height:5581" coordorigin="957,0" coordsize="1034,5581" path="m1732,0l1215,0,1215,33,1732,33,1732,0xm1732,66l1215,66,1215,132,1732,132,1732,66xm1990,5325l957,5325,1474,5580,1990,5325xm1732,165l1215,165,1215,5325,1732,5325,1732,165xe" filled="true" fillcolor="#006a4d" stroked="false">
              <v:path arrowok="t"/>
              <v:fill type="solid"/>
            </v:shape>
            <v:shape style="position:absolute;left:294;top:150;width:2520;height:1221" coordorigin="294,150" coordsize="2520,1221" path="m2814,1165l2811,1149,2802,1136,2789,1127,2774,1124,335,1124,319,1127,306,1136,298,1149,294,1165,294,1330,298,1346,306,1359,319,1368,335,1371,2774,1371,2789,1368,2802,1359,2811,1346,2814,1330,2814,1165xm2814,639l2808,611,2793,587,2770,572,2742,566,366,566,338,572,315,587,300,611,294,639,294,932,300,961,315,984,338,1000,366,1006,2742,1006,2770,1000,2793,984,2808,961,2814,932,2814,639xm2814,200l2810,180,2800,165,2784,154,2766,150,343,150,324,154,308,165,298,180,294,200,294,397,298,416,308,432,324,443,343,446,2766,446,2784,443,2800,432,2810,416,2814,397,2814,200xe" filled="true" fillcolor="#69bd28" stroked="false">
              <v:path arrowok="t"/>
              <v:fill type="solid"/>
            </v:shape>
            <v:shape style="position:absolute;left:273;top:1444;width:911;height:443" coordorigin="274,1444" coordsize="911,443" path="m1076,1444l968,1555,1022,1555,1022,1721,382,1721,382,1665,274,1776,382,1887,382,1831,1130,1831,1130,1555,1184,1555,1076,1444xe" filled="true" fillcolor="#cfe2d9" stroked="false">
              <v:path arrowok="t"/>
              <v:fill type="solid"/>
            </v:shape>
            <v:shape style="position:absolute;left:273;top:1444;width:911;height:443" coordorigin="274,1444" coordsize="911,443" path="m274,1776l382,1665,382,1721,1022,1721,1022,1555,968,1555,1076,1444,1184,1555,1130,1555,1130,1831,382,1831,382,1887,274,1776xe" filled="false" stroked="true" strokeweight=".396749pt" strokecolor="#9db82b">
              <v:path arrowok="t"/>
              <v:stroke dashstyle="solid"/>
            </v:shape>
            <v:shape style="position:absolute;left:298;top:1928;width:659;height:194" coordorigin="299,1928" coordsize="659,194" path="m299,1961l301,1948,308,1938,318,1931,330,1928,926,1928,938,1931,948,1938,955,1948,958,1961,958,2090,955,2103,948,2113,938,2120,926,2122,330,2122,318,2120,308,2113,301,2103,299,2090,299,1961xe" filled="false" stroked="true" strokeweight="1.127142pt" strokecolor="#bed756">
              <v:path arrowok="t"/>
              <v:stroke dashstyle="solid"/>
            </v:shape>
            <v:shape style="position:absolute;left:1900;top:1945;width:820;height:179" coordorigin="1900,1946" coordsize="820,179" path="m2691,1946l1929,1946,1918,1948,1909,1954,1903,1964,1900,1975,1900,2094,1903,2106,1909,2115,1918,2121,1929,2124,2691,2124,2702,2121,2711,2115,2717,2106,2720,2094,2720,1975,2717,1964,2711,1954,2702,1948,2691,1946xe" filled="true" fillcolor="#ffffff" stroked="false">
              <v:path arrowok="t"/>
              <v:fill opacity="49087f" type="solid"/>
            </v:shape>
            <v:shape style="position:absolute;left:1900;top:1945;width:820;height:179" coordorigin="1900,1946" coordsize="820,179" path="m1900,1975l1903,1964,1909,1954,1918,1948,1929,1946,2691,1946,2702,1948,2711,1954,2717,1964,2720,1975,2720,2094,2717,2106,2711,2115,2702,2121,2691,2124,1929,2124,1918,2121,1909,2115,1903,2106,1900,2094,1900,1975xe" filled="false" stroked="true" strokeweight="1.128085pt" strokecolor="#bed756">
              <v:path arrowok="t"/>
              <v:stroke dashstyle="solid"/>
            </v:shape>
            <v:shape style="position:absolute;left:256;top:3801;width:2520;height:969" coordorigin="257,3801" coordsize="2520,969" path="m2776,4570l2773,4555,2765,4542,2752,4534,2737,4531,296,4531,280,4534,268,4542,260,4555,257,4570,257,4730,260,4745,268,4758,280,4767,296,4770,2737,4770,2752,4767,2765,4758,2773,4745,2776,4730,2776,4570xm2776,3862l2772,3838,2759,3819,2740,3806,2717,3801,316,3801,293,3806,274,3819,261,3838,257,3862,257,4103,261,4127,274,4146,293,4159,316,4164,2717,4164,2740,4159,2759,4146,2772,4127,2776,4103,2776,3862xe" filled="true" fillcolor="#69bd28" stroked="false">
              <v:path arrowok="t"/>
              <v:fill type="solid"/>
            </v:shape>
            <v:shape style="position:absolute;left:2872;top:242;width:417;height:624" coordorigin="2872,242" coordsize="417,624" path="m3286,810l3281,806,3221,755,3221,806,2872,806,2872,814,3221,814,3221,866,3281,814,3286,810xm3288,298l3284,294,3224,242,3224,294,2875,294,2875,302,3224,302,3224,353,3284,302,3288,298xe" filled="true" fillcolor="#003300" stroked="false">
              <v:path arrowok="t"/>
              <v:fill type="solid"/>
            </v:shape>
            <v:shape style="position:absolute;left:1775;top:1421;width:1002;height:463" coordorigin="1775,1422" coordsize="1002,463" path="m1893,1422l1775,1537,1836,1537,1836,1821,2663,1821,2663,1884,2776,1764,2663,1643,2663,1706,1949,1706,1949,1537,2010,1537,1893,1422xe" filled="true" fillcolor="#cfe2d9" stroked="false">
              <v:path arrowok="t"/>
              <v:fill type="solid"/>
            </v:shape>
            <v:shape style="position:absolute;left:1775;top:1421;width:1002;height:463" coordorigin="1775,1422" coordsize="1002,463" path="m1893,1422l2010,1537,1949,1537,1949,1706,2663,1706,2663,1643,2776,1764,2663,1884,2663,1821,1836,1821,1836,1537,1775,1537,1893,1422xe" filled="false" stroked="true" strokeweight=".396895pt" strokecolor="#9db82b">
              <v:path arrowok="t"/>
              <v:stroke dashstyle="solid"/>
            </v:shape>
            <v:line style="position:absolute" from="2889,1208" to="2896,2083" stroked="true" strokeweight=".388999pt" strokecolor="#000000">
              <v:stroke dashstyle="solid"/>
            </v:line>
            <v:shape style="position:absolute;left:2894;top:1570;width:413;height:3128" coordorigin="2894,1571" coordsize="413,3128" path="m3306,4643l3302,4639,3242,4588,3242,4639,2894,4639,2894,4647,3242,4647,3242,4699,3302,4647,3306,4643xm3306,3971l3302,3967,3242,3916,3242,3967,2894,3967,2894,3975,3242,3975,3242,4027,3302,3975,3306,3971xm3306,1626l3302,1622,3242,1571,3242,1622,2894,1622,2894,1630,3242,1630,3242,1682,3302,1630,3306,1626xe" filled="true" fillcolor="#003300" stroked="false">
              <v:path arrowok="t"/>
              <v:fill type="solid"/>
            </v:shape>
            <v:shape style="position:absolute;left:281;top:2250;width:2526;height:824" coordorigin="281,2251" coordsize="2526,824" path="m2801,2773l2796,2750,2784,2731,2765,2718,2742,2713,340,2713,317,2718,299,2731,286,2750,281,2773,281,3014,286,3038,299,3057,317,3070,340,3074,2742,3074,2765,3070,2784,3057,2796,3038,2801,3014,2801,2773xm2807,2311l2803,2288,2790,2268,2771,2255,2748,2251,347,2251,324,2255,305,2268,292,2288,288,2311,288,2553,292,2576,305,2596,324,2609,347,2613,2748,2613,2771,2609,2790,2596,2803,2576,2807,2553,2807,2311xe" filled="true" fillcolor="#69bd28" stroked="false">
              <v:path arrowok="t"/>
              <v:fill type="solid"/>
            </v:shape>
            <v:shape style="position:absolute;left:2878;top:2342;width:419;height:611" coordorigin="2879,2343" coordsize="419,611" path="m3291,2398l3286,2394,3226,2343,3226,2394,2879,2394,2879,2402,3226,2402,3226,2453,3286,2402,3291,2398xm3297,2898l3293,2894,3233,2842,3233,2894,2884,2894,2884,2902,3233,2902,3233,2953,3293,2902,3297,2898xe" filled="true" fillcolor="#003300" stroked="false">
              <v:path arrowok="t"/>
              <v:fill type="solid"/>
            </v:shape>
            <v:shape style="position:absolute;left:306;top:3193;width:2521;height:362" coordorigin="306,3194" coordsize="2521,362" path="m2768,3194l365,3194,342,3199,323,3212,311,3231,306,3254,306,3495,311,3519,323,3538,342,3551,365,3555,2768,3555,2791,3551,2809,3538,2822,3519,2827,3495,2827,3254,2822,3231,2809,3212,2791,3199,2768,3194xe" filled="true" fillcolor="#69bd28" stroked="false">
              <v:path arrowok="t"/>
              <v:fill type="solid"/>
            </v:shape>
            <v:shape style="position:absolute;left:2896;top:3272;width:414;height:111" coordorigin="2897,3273" coordsize="414,111" path="m3246,3273l3246,3383,3306,3332,3256,3332,3256,3324,3306,3324,3246,3273xm3246,3324l2897,3324,2897,3332,3246,3332,3246,3324xm3306,3324l3256,3324,3256,3332,3306,3332,3310,3328,3306,3324xe" filled="true" fillcolor="#003300" stroked="false">
              <v:path arrowok="t"/>
              <v:fill type="solid"/>
            </v:shape>
            <v:shape style="position:absolute;left:631;top:195;width:1866;height:1124" type="#_x0000_t202" filled="false" stroked="false">
              <v:textbox inset="0,0,0,0">
                <w:txbxContent>
                  <w:p>
                    <w:pPr>
                      <w:spacing w:before="0"/>
                      <w:ind w:left="22" w:right="43" w:firstLine="0"/>
                      <w:jc w:val="center"/>
                      <w:rPr>
                        <w:rFonts w:ascii="Arial"/>
                        <w:sz w:val="15"/>
                      </w:rPr>
                    </w:pPr>
                    <w:r>
                      <w:rPr>
                        <w:rFonts w:ascii="Arial"/>
                        <w:color w:val="FFFFFF"/>
                        <w:sz w:val="15"/>
                      </w:rPr>
                      <w:t>Location and Site Analysis</w:t>
                    </w:r>
                  </w:p>
                  <w:p>
                    <w:pPr>
                      <w:spacing w:line="240" w:lineRule="auto" w:before="7"/>
                      <w:rPr>
                        <w:rFonts w:ascii="Arial"/>
                        <w:sz w:val="22"/>
                      </w:rPr>
                    </w:pPr>
                  </w:p>
                  <w:p>
                    <w:pPr>
                      <w:spacing w:line="206" w:lineRule="auto" w:before="0"/>
                      <w:ind w:left="-1" w:right="18" w:firstLine="0"/>
                      <w:jc w:val="center"/>
                      <w:rPr>
                        <w:rFonts w:ascii="Arial"/>
                        <w:sz w:val="15"/>
                      </w:rPr>
                    </w:pPr>
                    <w:r>
                      <w:rPr>
                        <w:rFonts w:ascii="Arial"/>
                        <w:color w:val="FFFFFF"/>
                        <w:sz w:val="15"/>
                      </w:rPr>
                      <w:t>Market Research / </w:t>
                    </w:r>
                    <w:r>
                      <w:rPr>
                        <w:rFonts w:ascii="Arial"/>
                        <w:color w:val="FFFFFF"/>
                        <w:spacing w:val="-4"/>
                        <w:sz w:val="15"/>
                      </w:rPr>
                      <w:t>Demand </w:t>
                    </w:r>
                    <w:r>
                      <w:rPr>
                        <w:rFonts w:ascii="Arial"/>
                        <w:color w:val="FFFFFF"/>
                        <w:sz w:val="15"/>
                      </w:rPr>
                      <w:t>Estimation</w:t>
                    </w:r>
                  </w:p>
                  <w:p>
                    <w:pPr>
                      <w:spacing w:line="240" w:lineRule="auto" w:before="2"/>
                      <w:rPr>
                        <w:rFonts w:ascii="Arial"/>
                        <w:sz w:val="19"/>
                      </w:rPr>
                    </w:pPr>
                  </w:p>
                  <w:p>
                    <w:pPr>
                      <w:spacing w:before="0"/>
                      <w:ind w:left="22" w:right="40" w:firstLine="0"/>
                      <w:jc w:val="center"/>
                      <w:rPr>
                        <w:rFonts w:ascii="Arial"/>
                        <w:sz w:val="15"/>
                      </w:rPr>
                    </w:pPr>
                    <w:r>
                      <w:rPr>
                        <w:rFonts w:ascii="Arial"/>
                        <w:color w:val="FFFFFF"/>
                        <w:sz w:val="15"/>
                      </w:rPr>
                      <w:t>Project level Assumptions</w:t>
                    </w:r>
                  </w:p>
                </w:txbxContent>
              </v:textbox>
              <w10:wrap type="none"/>
            </v:shape>
            <v:shape style="position:absolute;left:391;top:1959;width:351;height:137" type="#_x0000_t202" filled="false" stroked="false">
              <v:textbox inset="0,0,0,0">
                <w:txbxContent>
                  <w:p>
                    <w:pPr>
                      <w:spacing w:line="136" w:lineRule="exact" w:before="0"/>
                      <w:ind w:left="0" w:right="0" w:firstLine="0"/>
                      <w:jc w:val="left"/>
                      <w:rPr>
                        <w:rFonts w:ascii="Arial"/>
                        <w:b/>
                        <w:sz w:val="12"/>
                      </w:rPr>
                    </w:pPr>
                    <w:r>
                      <w:rPr>
                        <w:rFonts w:ascii="Arial"/>
                        <w:b/>
                        <w:sz w:val="12"/>
                      </w:rPr>
                      <w:t>Costs</w:t>
                    </w:r>
                  </w:p>
                </w:txbxContent>
              </v:textbox>
              <w10:wrap type="none"/>
            </v:shape>
            <v:shape style="position:absolute;left:2065;top:1969;width:581;height:137" type="#_x0000_t202" filled="false" stroked="false">
              <v:textbox inset="0,0,0,0">
                <w:txbxContent>
                  <w:p>
                    <w:pPr>
                      <w:spacing w:line="136" w:lineRule="exact" w:before="0"/>
                      <w:ind w:left="0" w:right="0" w:firstLine="0"/>
                      <w:jc w:val="left"/>
                      <w:rPr>
                        <w:rFonts w:ascii="Arial"/>
                        <w:b/>
                        <w:sz w:val="12"/>
                      </w:rPr>
                    </w:pPr>
                    <w:r>
                      <w:rPr>
                        <w:rFonts w:ascii="Arial"/>
                        <w:b/>
                        <w:sz w:val="12"/>
                      </w:rPr>
                      <w:t>Revenues</w:t>
                    </w:r>
                  </w:p>
                </w:txbxContent>
              </v:textbox>
              <w10:wrap type="none"/>
            </v:shape>
            <v:shape style="position:absolute;left:476;top:2256;width:2201;height:1873" type="#_x0000_t202" filled="false" stroked="false">
              <v:textbox inset="0,0,0,0">
                <w:txbxContent>
                  <w:p>
                    <w:pPr>
                      <w:spacing w:line="206" w:lineRule="auto" w:before="19"/>
                      <w:ind w:left="0" w:right="53" w:firstLine="0"/>
                      <w:jc w:val="center"/>
                      <w:rPr>
                        <w:rFonts w:ascii="Arial"/>
                        <w:sz w:val="15"/>
                      </w:rPr>
                    </w:pPr>
                    <w:r>
                      <w:rPr>
                        <w:rFonts w:ascii="Arial"/>
                        <w:color w:val="FFFFFF"/>
                        <w:sz w:val="15"/>
                      </w:rPr>
                      <w:t>Comparison of pre-committed rentals with market rentals</w:t>
                    </w:r>
                  </w:p>
                  <w:p>
                    <w:pPr>
                      <w:spacing w:line="240" w:lineRule="auto" w:before="2"/>
                      <w:rPr>
                        <w:rFonts w:ascii="Arial"/>
                        <w:sz w:val="19"/>
                      </w:rPr>
                    </w:pPr>
                  </w:p>
                  <w:p>
                    <w:pPr>
                      <w:spacing w:before="0"/>
                      <w:ind w:left="0" w:right="66" w:firstLine="0"/>
                      <w:jc w:val="center"/>
                      <w:rPr>
                        <w:rFonts w:ascii="Arial"/>
                        <w:sz w:val="15"/>
                      </w:rPr>
                    </w:pPr>
                    <w:r>
                      <w:rPr>
                        <w:rFonts w:ascii="Arial"/>
                        <w:color w:val="FFFFFF"/>
                        <w:sz w:val="15"/>
                      </w:rPr>
                      <w:t>Adjustment for rental variance</w:t>
                    </w:r>
                  </w:p>
                  <w:p>
                    <w:pPr>
                      <w:spacing w:line="240" w:lineRule="auto" w:before="4"/>
                      <w:rPr>
                        <w:rFonts w:ascii="Arial"/>
                        <w:sz w:val="20"/>
                      </w:rPr>
                    </w:pPr>
                  </w:p>
                  <w:p>
                    <w:pPr>
                      <w:spacing w:line="161" w:lineRule="exact" w:before="0"/>
                      <w:ind w:left="0" w:right="18" w:firstLine="0"/>
                      <w:jc w:val="center"/>
                      <w:rPr>
                        <w:rFonts w:ascii="Arial"/>
                        <w:sz w:val="15"/>
                      </w:rPr>
                    </w:pPr>
                    <w:r>
                      <w:rPr>
                        <w:rFonts w:ascii="Arial"/>
                        <w:color w:val="FFFFFF"/>
                        <w:sz w:val="15"/>
                      </w:rPr>
                      <w:t>Adjustment for other income and</w:t>
                    </w:r>
                  </w:p>
                  <w:p>
                    <w:pPr>
                      <w:spacing w:line="161" w:lineRule="exact" w:before="0"/>
                      <w:ind w:left="0" w:right="18" w:firstLine="0"/>
                      <w:jc w:val="center"/>
                      <w:rPr>
                        <w:rFonts w:ascii="Arial"/>
                        <w:sz w:val="15"/>
                      </w:rPr>
                    </w:pPr>
                    <w:r>
                      <w:rPr>
                        <w:rFonts w:ascii="Arial"/>
                        <w:color w:val="FFFFFF"/>
                        <w:sz w:val="15"/>
                      </w:rPr>
                      <w:t>expenditure</w:t>
                    </w:r>
                  </w:p>
                  <w:p>
                    <w:pPr>
                      <w:spacing w:line="240" w:lineRule="auto" w:before="0"/>
                      <w:rPr>
                        <w:rFonts w:ascii="Arial"/>
                        <w:sz w:val="16"/>
                      </w:rPr>
                    </w:pPr>
                  </w:p>
                  <w:p>
                    <w:pPr>
                      <w:spacing w:line="206" w:lineRule="auto" w:before="122"/>
                      <w:ind w:left="0" w:right="117" w:firstLine="0"/>
                      <w:jc w:val="center"/>
                      <w:rPr>
                        <w:rFonts w:ascii="Arial"/>
                        <w:sz w:val="15"/>
                      </w:rPr>
                    </w:pPr>
                    <w:r>
                      <w:rPr>
                        <w:rFonts w:ascii="Arial"/>
                        <w:color w:val="FFFFFF"/>
                        <w:sz w:val="15"/>
                      </w:rPr>
                      <w:t>Capitalization of stabilized Net Operating Income</w:t>
                    </w:r>
                  </w:p>
                </w:txbxContent>
              </v:textbox>
              <w10:wrap type="none"/>
            </v:shape>
            <v:shape style="position:absolute;left:749;top:4548;width:1554;height:174" type="#_x0000_t202" filled="false" stroked="false">
              <v:textbox inset="0,0,0,0">
                <w:txbxContent>
                  <w:p>
                    <w:pPr>
                      <w:spacing w:before="0"/>
                      <w:ind w:left="0" w:right="0" w:firstLine="0"/>
                      <w:jc w:val="left"/>
                      <w:rPr>
                        <w:rFonts w:ascii="Arial"/>
                        <w:sz w:val="15"/>
                      </w:rPr>
                    </w:pPr>
                    <w:r>
                      <w:rPr>
                        <w:rFonts w:ascii="Arial"/>
                        <w:color w:val="FFFFFF"/>
                        <w:sz w:val="15"/>
                      </w:rPr>
                      <w:t>Discounting of EBDITA</w:t>
                    </w:r>
                  </w:p>
                </w:txbxContent>
              </v:textbox>
              <w10:wrap type="none"/>
            </v:shape>
            <v:shape style="position:absolute;left:3345;top:3595;width:4550;height:762" type="#_x0000_t202" filled="true" fillcolor="#c3e4a9" stroked="false">
              <v:textbox inset="0,0,0,0">
                <w:txbxContent>
                  <w:p>
                    <w:pPr>
                      <w:spacing w:line="240" w:lineRule="auto" w:before="9"/>
                      <w:rPr>
                        <w:sz w:val="10"/>
                      </w:rPr>
                    </w:pPr>
                  </w:p>
                  <w:p>
                    <w:pPr>
                      <w:spacing w:line="331" w:lineRule="auto" w:before="1"/>
                      <w:ind w:left="78" w:right="0" w:firstLine="0"/>
                      <w:jc w:val="left"/>
                      <w:rPr>
                        <w:rFonts w:ascii="Arial"/>
                        <w:sz w:val="12"/>
                      </w:rPr>
                    </w:pPr>
                    <w:r>
                      <w:rPr>
                        <w:rFonts w:ascii="Arial"/>
                        <w:b/>
                        <w:sz w:val="12"/>
                      </w:rPr>
                      <w:t>Net Annual Operating Income </w:t>
                    </w:r>
                    <w:r>
                      <w:rPr>
                        <w:rFonts w:ascii="Arial"/>
                        <w:sz w:val="12"/>
                      </w:rPr>
                      <w:t>for leased assets </w:t>
                    </w:r>
                    <w:r>
                      <w:rPr>
                        <w:rFonts w:ascii="Arial"/>
                        <w:b/>
                        <w:sz w:val="12"/>
                      </w:rPr>
                      <w:t>capitalized </w:t>
                    </w:r>
                    <w:r>
                      <w:rPr>
                        <w:rFonts w:ascii="Arial"/>
                        <w:sz w:val="12"/>
                      </w:rPr>
                      <w:t>post </w:t>
                    </w:r>
                    <w:r>
                      <w:rPr>
                        <w:rFonts w:ascii="Arial"/>
                        <w:b/>
                        <w:sz w:val="12"/>
                      </w:rPr>
                      <w:t>occupancy stabilization </w:t>
                    </w:r>
                    <w:r>
                      <w:rPr>
                        <w:rFonts w:ascii="Arial"/>
                        <w:sz w:val="12"/>
                      </w:rPr>
                      <w:t>/ stabilization of revenue stream</w:t>
                    </w:r>
                  </w:p>
                  <w:p>
                    <w:pPr>
                      <w:spacing w:line="137" w:lineRule="exact" w:before="0"/>
                      <w:ind w:left="78" w:right="0" w:firstLine="0"/>
                      <w:jc w:val="left"/>
                      <w:rPr>
                        <w:rFonts w:ascii="Arial"/>
                        <w:sz w:val="12"/>
                      </w:rPr>
                    </w:pPr>
                    <w:r>
                      <w:rPr>
                        <w:rFonts w:ascii="Arial"/>
                        <w:b/>
                        <w:sz w:val="12"/>
                        <w:u w:val="single"/>
                      </w:rPr>
                      <w:t>Capitalization rates</w:t>
                    </w:r>
                    <w:r>
                      <w:rPr>
                        <w:rFonts w:ascii="Arial"/>
                        <w:b/>
                        <w:sz w:val="12"/>
                      </w:rPr>
                      <w:t> </w:t>
                    </w:r>
                    <w:r>
                      <w:rPr>
                        <w:rFonts w:ascii="Arial"/>
                        <w:sz w:val="12"/>
                      </w:rPr>
                      <w:t>derived through </w:t>
                    </w:r>
                    <w:r>
                      <w:rPr>
                        <w:rFonts w:ascii="Arial"/>
                        <w:b/>
                        <w:sz w:val="12"/>
                      </w:rPr>
                      <w:t>commercial yields </w:t>
                    </w:r>
                    <w:r>
                      <w:rPr>
                        <w:rFonts w:ascii="Arial"/>
                        <w:sz w:val="12"/>
                      </w:rPr>
                      <w:t>in the micro-market</w:t>
                    </w:r>
                  </w:p>
                </w:txbxContent>
              </v:textbox>
              <v:fill type="solid"/>
              <w10:wrap type="none"/>
            </v:shape>
            <v:shape style="position:absolute;left:3345;top:3158;width:4550;height:374" type="#_x0000_t202" filled="true" fillcolor="#c3e4a9" stroked="false">
              <v:textbox inset="0,0,0,0">
                <w:txbxContent>
                  <w:p>
                    <w:pPr>
                      <w:spacing w:before="26"/>
                      <w:ind w:left="103" w:right="0" w:firstLine="0"/>
                      <w:jc w:val="left"/>
                      <w:rPr>
                        <w:rFonts w:ascii="Arial"/>
                        <w:sz w:val="12"/>
                      </w:rPr>
                    </w:pPr>
                    <w:r>
                      <w:rPr>
                        <w:rFonts w:ascii="Arial"/>
                        <w:b/>
                        <w:sz w:val="12"/>
                        <w:u w:val="single"/>
                      </w:rPr>
                      <w:t>Adjustments for other income</w:t>
                    </w:r>
                    <w:r>
                      <w:rPr>
                        <w:rFonts w:ascii="Arial"/>
                        <w:b/>
                        <w:sz w:val="12"/>
                      </w:rPr>
                      <w:t> </w:t>
                    </w:r>
                    <w:r>
                      <w:rPr>
                        <w:rFonts w:ascii="Arial"/>
                        <w:sz w:val="12"/>
                      </w:rPr>
                      <w:t>like parking, CAM margin, property tax, insurance</w:t>
                    </w:r>
                  </w:p>
                  <w:p>
                    <w:pPr>
                      <w:spacing w:before="52"/>
                      <w:ind w:left="103" w:right="0" w:firstLine="0"/>
                      <w:jc w:val="left"/>
                      <w:rPr>
                        <w:rFonts w:ascii="Arial"/>
                        <w:sz w:val="12"/>
                      </w:rPr>
                    </w:pPr>
                    <w:r>
                      <w:rPr>
                        <w:rFonts w:ascii="Arial"/>
                        <w:sz w:val="12"/>
                      </w:rPr>
                      <w:t>etc,</w:t>
                    </w:r>
                  </w:p>
                </w:txbxContent>
              </v:textbox>
              <v:fill type="solid"/>
              <w10:wrap type="none"/>
            </v:shape>
            <v:shape style="position:absolute;left:3364;top:2707;width:4549;height:375" type="#_x0000_t202" filled="true" fillcolor="#c3e4a9" stroked="false">
              <v:textbox inset="0,0,0,0">
                <w:txbxContent>
                  <w:p>
                    <w:pPr>
                      <w:spacing w:before="27"/>
                      <w:ind w:left="78" w:right="0" w:firstLine="0"/>
                      <w:jc w:val="left"/>
                      <w:rPr>
                        <w:rFonts w:ascii="Arial"/>
                        <w:sz w:val="12"/>
                      </w:rPr>
                    </w:pPr>
                    <w:r>
                      <w:rPr>
                        <w:rFonts w:ascii="Arial"/>
                        <w:sz w:val="12"/>
                      </w:rPr>
                      <w:t>Rentals are further </w:t>
                    </w:r>
                    <w:r>
                      <w:rPr>
                        <w:rFonts w:ascii="Arial"/>
                        <w:b/>
                        <w:sz w:val="12"/>
                      </w:rPr>
                      <w:t>adjusted for variance</w:t>
                    </w:r>
                    <w:r>
                      <w:rPr>
                        <w:rFonts w:ascii="Arial"/>
                        <w:sz w:val="12"/>
                      </w:rPr>
                      <w:t>, in order to best reflect the earning</w:t>
                    </w:r>
                  </w:p>
                  <w:p>
                    <w:pPr>
                      <w:spacing w:before="52"/>
                      <w:ind w:left="78" w:right="0" w:firstLine="0"/>
                      <w:jc w:val="left"/>
                      <w:rPr>
                        <w:rFonts w:ascii="Arial"/>
                        <w:sz w:val="12"/>
                      </w:rPr>
                    </w:pPr>
                    <w:r>
                      <w:rPr>
                        <w:rFonts w:ascii="Arial"/>
                        <w:sz w:val="12"/>
                      </w:rPr>
                      <w:t>potential of the property for the purpose of capitalization</w:t>
                    </w:r>
                  </w:p>
                </w:txbxContent>
              </v:textbox>
              <v:fill type="solid"/>
              <w10:wrap type="none"/>
            </v:shape>
            <v:shape style="position:absolute;left:3364;top:2188;width:4549;height:452" type="#_x0000_t202" filled="true" fillcolor="#c3e4a9" stroked="false">
              <v:textbox inset="0,0,0,0">
                <w:txbxContent>
                  <w:p>
                    <w:pPr>
                      <w:spacing w:line="331" w:lineRule="auto" w:before="66"/>
                      <w:ind w:left="65" w:right="0" w:firstLine="0"/>
                      <w:jc w:val="left"/>
                      <w:rPr>
                        <w:rFonts w:ascii="Arial"/>
                        <w:sz w:val="12"/>
                      </w:rPr>
                    </w:pPr>
                    <w:r>
                      <w:rPr>
                        <w:rFonts w:ascii="Arial"/>
                        <w:b/>
                        <w:sz w:val="12"/>
                        <w:u w:val="single"/>
                      </w:rPr>
                      <w:t>A comparative analysis</w:t>
                    </w:r>
                    <w:r>
                      <w:rPr>
                        <w:rFonts w:ascii="Arial"/>
                        <w:b/>
                        <w:sz w:val="12"/>
                      </w:rPr>
                      <w:t> </w:t>
                    </w:r>
                    <w:r>
                      <w:rPr>
                        <w:rFonts w:ascii="Arial"/>
                        <w:sz w:val="12"/>
                      </w:rPr>
                      <w:t>performed to analyze the difference between the pre- committed rentals and market rental</w:t>
                    </w:r>
                  </w:p>
                </w:txbxContent>
              </v:textbox>
              <v:fill type="solid"/>
              <w10:wrap type="none"/>
            </v:shape>
            <v:shape style="position:absolute;left:0;top:4943;width:3019;height:307" type="#_x0000_t202" filled="true" fillcolor="#006a4d" stroked="false">
              <v:textbox inset="0,0,0,0">
                <w:txbxContent>
                  <w:p>
                    <w:pPr>
                      <w:spacing w:before="52"/>
                      <w:ind w:left="627" w:right="0" w:firstLine="0"/>
                      <w:jc w:val="left"/>
                      <w:rPr>
                        <w:rFonts w:ascii="Arial"/>
                        <w:b/>
                        <w:sz w:val="15"/>
                      </w:rPr>
                    </w:pPr>
                    <w:r>
                      <w:rPr>
                        <w:rFonts w:ascii="Arial"/>
                        <w:b/>
                        <w:color w:val="FFFFFF"/>
                        <w:sz w:val="15"/>
                      </w:rPr>
                      <w:t>Market Value of Property</w:t>
                    </w:r>
                  </w:p>
                </w:txbxContent>
              </v:textbox>
              <v:fill type="solid"/>
              <w10:wrap type="none"/>
            </v:shape>
            <v:shape style="position:absolute;left:3345;top:4446;width:4550;height:489" type="#_x0000_t202" filled="true" fillcolor="#c3e4a9" stroked="false">
              <v:textbox inset="0,0,0,0">
                <w:txbxContent>
                  <w:p>
                    <w:pPr>
                      <w:spacing w:before="85"/>
                      <w:ind w:left="78" w:right="0" w:firstLine="0"/>
                      <w:jc w:val="left"/>
                      <w:rPr>
                        <w:rFonts w:ascii="Arial"/>
                        <w:sz w:val="12"/>
                      </w:rPr>
                    </w:pPr>
                    <w:r>
                      <w:rPr>
                        <w:rFonts w:ascii="Arial"/>
                        <w:b/>
                        <w:sz w:val="12"/>
                      </w:rPr>
                      <w:t>NPV </w:t>
                    </w:r>
                    <w:r>
                      <w:rPr>
                        <w:rFonts w:ascii="Arial"/>
                        <w:sz w:val="12"/>
                      </w:rPr>
                      <w:t>derivation through discounting of periodic EBITDA cash flows;</w:t>
                    </w:r>
                  </w:p>
                  <w:p>
                    <w:pPr>
                      <w:spacing w:before="52"/>
                      <w:ind w:left="78" w:right="0" w:firstLine="0"/>
                      <w:jc w:val="left"/>
                      <w:rPr>
                        <w:rFonts w:ascii="Arial"/>
                        <w:b/>
                        <w:sz w:val="12"/>
                      </w:rPr>
                    </w:pPr>
                    <w:r>
                      <w:rPr>
                        <w:rFonts w:ascii="Arial"/>
                        <w:b/>
                        <w:sz w:val="12"/>
                        <w:u w:val="single"/>
                      </w:rPr>
                      <w:t>Discounting rates</w:t>
                    </w:r>
                    <w:r>
                      <w:rPr>
                        <w:rFonts w:ascii="Arial"/>
                        <w:b/>
                        <w:sz w:val="12"/>
                      </w:rPr>
                      <w:t> </w:t>
                    </w:r>
                    <w:r>
                      <w:rPr>
                        <w:rFonts w:ascii="Arial"/>
                        <w:sz w:val="12"/>
                      </w:rPr>
                      <w:t>derived through </w:t>
                    </w:r>
                    <w:r>
                      <w:rPr>
                        <w:rFonts w:ascii="Arial"/>
                        <w:b/>
                        <w:sz w:val="12"/>
                      </w:rPr>
                      <w:t>WACC/ yield plus the growth rate</w:t>
                    </w:r>
                  </w:p>
                </w:txbxContent>
              </v:textbox>
              <v:fill type="solid"/>
              <w10:wrap type="none"/>
            </v:shape>
            <v:shape style="position:absolute;left:3345;top:1262;width:4550;height:737" type="#_x0000_t202" filled="true" fillcolor="#c3e4a9" stroked="false">
              <v:textbox inset="0,0,0,0">
                <w:txbxContent>
                  <w:p>
                    <w:pPr>
                      <w:spacing w:line="331" w:lineRule="auto" w:before="18"/>
                      <w:ind w:left="78" w:right="76" w:firstLine="0"/>
                      <w:jc w:val="left"/>
                      <w:rPr>
                        <w:rFonts w:ascii="Arial"/>
                        <w:sz w:val="12"/>
                      </w:rPr>
                    </w:pPr>
                    <w:r>
                      <w:rPr>
                        <w:rFonts w:ascii="Arial"/>
                        <w:b/>
                        <w:sz w:val="12"/>
                        <w:u w:val="single"/>
                      </w:rPr>
                      <w:t>Cost assumptions</w:t>
                    </w:r>
                    <w:r>
                      <w:rPr>
                        <w:rFonts w:ascii="Arial"/>
                        <w:b/>
                        <w:sz w:val="12"/>
                      </w:rPr>
                      <w:t>: </w:t>
                    </w:r>
                    <w:r>
                      <w:rPr>
                        <w:rFonts w:ascii="Arial"/>
                        <w:sz w:val="12"/>
                      </w:rPr>
                      <w:t>Capital expenditure (construction costs) &amp; Operating expenses</w:t>
                    </w:r>
                  </w:p>
                  <w:p>
                    <w:pPr>
                      <w:spacing w:line="137" w:lineRule="exact" w:before="0"/>
                      <w:ind w:left="78" w:right="0" w:firstLine="0"/>
                      <w:jc w:val="left"/>
                      <w:rPr>
                        <w:rFonts w:ascii="Arial"/>
                        <w:sz w:val="12"/>
                      </w:rPr>
                    </w:pPr>
                    <w:r>
                      <w:rPr>
                        <w:rFonts w:ascii="Arial"/>
                        <w:b/>
                        <w:sz w:val="12"/>
                        <w:u w:val="single"/>
                      </w:rPr>
                      <w:t>Revenue Assumptions</w:t>
                    </w:r>
                    <w:r>
                      <w:rPr>
                        <w:rFonts w:ascii="Arial"/>
                        <w:sz w:val="12"/>
                      </w:rPr>
                      <w:t>: Sale / Lease income, absorption scheduling &amp; other</w:t>
                    </w:r>
                  </w:p>
                  <w:p>
                    <w:pPr>
                      <w:spacing w:before="52"/>
                      <w:ind w:left="78" w:right="0" w:firstLine="0"/>
                      <w:jc w:val="left"/>
                      <w:rPr>
                        <w:rFonts w:ascii="Arial"/>
                        <w:sz w:val="12"/>
                      </w:rPr>
                    </w:pPr>
                    <w:r>
                      <w:rPr>
                        <w:rFonts w:ascii="Arial"/>
                        <w:sz w:val="12"/>
                      </w:rPr>
                      <w:t>revenues</w:t>
                    </w:r>
                  </w:p>
                </w:txbxContent>
              </v:textbox>
              <v:fill type="solid"/>
              <w10:wrap type="none"/>
            </v:shape>
            <v:shape style="position:absolute;left:3345;top:588;width:4550;height:451" type="#_x0000_t202" filled="true" fillcolor="#c3e4a9" stroked="false">
              <v:textbox inset="0,0,0,0">
                <w:txbxContent>
                  <w:p>
                    <w:pPr>
                      <w:spacing w:line="331" w:lineRule="auto" w:before="65"/>
                      <w:ind w:left="78" w:right="0" w:firstLine="0"/>
                      <w:jc w:val="left"/>
                      <w:rPr>
                        <w:rFonts w:ascii="Arial"/>
                        <w:sz w:val="12"/>
                      </w:rPr>
                    </w:pPr>
                    <w:r>
                      <w:rPr>
                        <w:rFonts w:ascii="Arial"/>
                        <w:b/>
                        <w:sz w:val="12"/>
                        <w:u w:val="single"/>
                      </w:rPr>
                      <w:t>Market Research </w:t>
                    </w:r>
                    <w:r>
                      <w:rPr>
                        <w:rFonts w:ascii="Arial"/>
                        <w:sz w:val="12"/>
                      </w:rPr>
                      <w:t>comprising of existing / upcoming supply, demand dynamics, competition in market, pricing trend analysis, etc.</w:t>
                    </w:r>
                  </w:p>
                </w:txbxContent>
              </v:textbox>
              <v:fill type="solid"/>
              <w10:wrap type="none"/>
            </v:shape>
            <v:shape style="position:absolute;left:3345;top:103;width:4550;height:375" type="#_x0000_t202" filled="true" fillcolor="#c3e4a9" stroked="false">
              <v:textbox inset="0,0,0,0">
                <w:txbxContent>
                  <w:p>
                    <w:pPr>
                      <w:spacing w:before="122"/>
                      <w:ind w:left="78" w:right="0" w:firstLine="0"/>
                      <w:jc w:val="left"/>
                      <w:rPr>
                        <w:rFonts w:ascii="Arial"/>
                        <w:sz w:val="12"/>
                      </w:rPr>
                    </w:pPr>
                    <w:r>
                      <w:rPr>
                        <w:rFonts w:ascii="Arial"/>
                        <w:sz w:val="12"/>
                      </w:rPr>
                      <w:t>Review of </w:t>
                    </w:r>
                    <w:r>
                      <w:rPr>
                        <w:rFonts w:ascii="Arial"/>
                        <w:b/>
                        <w:sz w:val="12"/>
                      </w:rPr>
                      <w:t>site attributes </w:t>
                    </w:r>
                    <w:r>
                      <w:rPr>
                        <w:rFonts w:ascii="Arial"/>
                        <w:sz w:val="12"/>
                      </w:rPr>
                      <w:t>impacting development potential</w:t>
                    </w:r>
                  </w:p>
                </w:txbxContent>
              </v:textbox>
              <v:fill type="solid"/>
              <w10:wrap type="none"/>
            </v:shape>
          </v:group>
        </w:pict>
      </w:r>
      <w:r>
        <w:rPr>
          <w:sz w:val="20"/>
        </w:rPr>
      </w:r>
    </w:p>
    <w:p>
      <w:pPr>
        <w:pStyle w:val="BodyText"/>
        <w:spacing w:before="7"/>
        <w:rPr>
          <w:sz w:val="28"/>
        </w:rPr>
      </w:pPr>
    </w:p>
    <w:p>
      <w:pPr>
        <w:pStyle w:val="ListParagraph"/>
        <w:numPr>
          <w:ilvl w:val="1"/>
          <w:numId w:val="14"/>
        </w:numPr>
        <w:tabs>
          <w:tab w:pos="856" w:val="left" w:leader="none"/>
          <w:tab w:pos="857" w:val="left" w:leader="none"/>
        </w:tabs>
        <w:spacing w:line="240" w:lineRule="auto" w:before="106" w:after="0"/>
        <w:ind w:left="856" w:right="0" w:hanging="577"/>
        <w:jc w:val="left"/>
        <w:rPr>
          <w:color w:val="1F6647"/>
          <w:sz w:val="22"/>
        </w:rPr>
      </w:pPr>
      <w:bookmarkStart w:name="_bookmark18" w:id="36"/>
      <w:bookmarkEnd w:id="36"/>
      <w:r>
        <w:rPr/>
      </w:r>
      <w:bookmarkStart w:name="_bookmark18" w:id="37"/>
      <w:bookmarkEnd w:id="37"/>
      <w:r>
        <w:rPr>
          <w:color w:val="1F6647"/>
          <w:w w:val="105"/>
          <w:sz w:val="22"/>
        </w:rPr>
        <w:t>A</w:t>
      </w:r>
      <w:r>
        <w:rPr>
          <w:color w:val="1F6647"/>
          <w:w w:val="105"/>
          <w:sz w:val="22"/>
        </w:rPr>
        <w:t>pproach and Methodology</w:t>
      </w:r>
      <w:r>
        <w:rPr>
          <w:color w:val="1F6647"/>
          <w:spacing w:val="-13"/>
          <w:w w:val="105"/>
          <w:sz w:val="22"/>
        </w:rPr>
        <w:t> </w:t>
      </w:r>
      <w:r>
        <w:rPr>
          <w:color w:val="1F6647"/>
          <w:w w:val="105"/>
          <w:sz w:val="22"/>
        </w:rPr>
        <w:t>Adopted</w:t>
      </w:r>
    </w:p>
    <w:p>
      <w:pPr>
        <w:pStyle w:val="BodyText"/>
        <w:spacing w:line="321" w:lineRule="auto" w:before="208"/>
        <w:ind w:left="820" w:right="634"/>
        <w:jc w:val="both"/>
      </w:pPr>
      <w:r>
        <w:rPr/>
        <w:t>Based</w:t>
      </w:r>
      <w:r>
        <w:rPr>
          <w:spacing w:val="-5"/>
        </w:rPr>
        <w:t> </w:t>
      </w:r>
      <w:r>
        <w:rPr/>
        <w:t>on</w:t>
      </w:r>
      <w:r>
        <w:rPr>
          <w:spacing w:val="-5"/>
        </w:rPr>
        <w:t> </w:t>
      </w:r>
      <w:r>
        <w:rPr/>
        <w:t>a</w:t>
      </w:r>
      <w:r>
        <w:rPr>
          <w:spacing w:val="-6"/>
        </w:rPr>
        <w:t> </w:t>
      </w:r>
      <w:r>
        <w:rPr/>
        <w:t>detailed</w:t>
      </w:r>
      <w:r>
        <w:rPr>
          <w:spacing w:val="-4"/>
        </w:rPr>
        <w:t> </w:t>
      </w:r>
      <w:r>
        <w:rPr/>
        <w:t>review</w:t>
      </w:r>
      <w:r>
        <w:rPr>
          <w:spacing w:val="-5"/>
        </w:rPr>
        <w:t> </w:t>
      </w:r>
      <w:r>
        <w:rPr/>
        <w:t>of</w:t>
      </w:r>
      <w:r>
        <w:rPr>
          <w:spacing w:val="-4"/>
        </w:rPr>
        <w:t> </w:t>
      </w:r>
      <w:r>
        <w:rPr/>
        <w:t>the</w:t>
      </w:r>
      <w:r>
        <w:rPr>
          <w:spacing w:val="-6"/>
        </w:rPr>
        <w:t> </w:t>
      </w:r>
      <w:r>
        <w:rPr/>
        <w:t>leases</w:t>
      </w:r>
      <w:r>
        <w:rPr>
          <w:spacing w:val="-4"/>
        </w:rPr>
        <w:t> </w:t>
      </w:r>
      <w:r>
        <w:rPr/>
        <w:t>for</w:t>
      </w:r>
      <w:r>
        <w:rPr>
          <w:spacing w:val="-5"/>
        </w:rPr>
        <w:t> </w:t>
      </w:r>
      <w:r>
        <w:rPr/>
        <w:t>the</w:t>
      </w:r>
      <w:r>
        <w:rPr>
          <w:spacing w:val="-4"/>
        </w:rPr>
        <w:t> </w:t>
      </w:r>
      <w:r>
        <w:rPr/>
        <w:t>respective</w:t>
      </w:r>
      <w:r>
        <w:rPr>
          <w:spacing w:val="-5"/>
        </w:rPr>
        <w:t> </w:t>
      </w:r>
      <w:r>
        <w:rPr/>
        <w:t>subject</w:t>
      </w:r>
      <w:r>
        <w:rPr>
          <w:spacing w:val="-4"/>
        </w:rPr>
        <w:t> </w:t>
      </w:r>
      <w:r>
        <w:rPr/>
        <w:t>properties,</w:t>
      </w:r>
      <w:r>
        <w:rPr>
          <w:spacing w:val="-5"/>
        </w:rPr>
        <w:t> </w:t>
      </w:r>
      <w:r>
        <w:rPr/>
        <w:t>we</w:t>
      </w:r>
      <w:r>
        <w:rPr>
          <w:spacing w:val="-5"/>
        </w:rPr>
        <w:t> </w:t>
      </w:r>
      <w:r>
        <w:rPr/>
        <w:t>noted</w:t>
      </w:r>
      <w:r>
        <w:rPr>
          <w:spacing w:val="-4"/>
        </w:rPr>
        <w:t> </w:t>
      </w:r>
      <w:r>
        <w:rPr/>
        <w:t>that</w:t>
      </w:r>
      <w:r>
        <w:rPr>
          <w:spacing w:val="-5"/>
        </w:rPr>
        <w:t> </w:t>
      </w:r>
      <w:r>
        <w:rPr/>
        <w:t>a</w:t>
      </w:r>
      <w:r>
        <w:rPr>
          <w:spacing w:val="-5"/>
        </w:rPr>
        <w:t> </w:t>
      </w:r>
      <w:r>
        <w:rPr/>
        <w:t>large number</w:t>
      </w:r>
      <w:r>
        <w:rPr>
          <w:spacing w:val="-36"/>
        </w:rPr>
        <w:t> </w:t>
      </w:r>
      <w:r>
        <w:rPr/>
        <w:t>of</w:t>
      </w:r>
      <w:r>
        <w:rPr>
          <w:spacing w:val="-35"/>
        </w:rPr>
        <w:t> </w:t>
      </w:r>
      <w:r>
        <w:rPr/>
        <w:t>leases</w:t>
      </w:r>
      <w:r>
        <w:rPr>
          <w:spacing w:val="-35"/>
        </w:rPr>
        <w:t> </w:t>
      </w:r>
      <w:r>
        <w:rPr/>
        <w:t>at</w:t>
      </w:r>
      <w:r>
        <w:rPr>
          <w:spacing w:val="-35"/>
        </w:rPr>
        <w:t> </w:t>
      </w:r>
      <w:r>
        <w:rPr/>
        <w:t>these</w:t>
      </w:r>
      <w:r>
        <w:rPr>
          <w:spacing w:val="-35"/>
        </w:rPr>
        <w:t> </w:t>
      </w:r>
      <w:r>
        <w:rPr/>
        <w:t>properties</w:t>
      </w:r>
      <w:r>
        <w:rPr>
          <w:spacing w:val="-36"/>
        </w:rPr>
        <w:t> </w:t>
      </w:r>
      <w:r>
        <w:rPr/>
        <w:t>were</w:t>
      </w:r>
      <w:r>
        <w:rPr>
          <w:spacing w:val="-35"/>
        </w:rPr>
        <w:t> </w:t>
      </w:r>
      <w:r>
        <w:rPr/>
        <w:t>executed</w:t>
      </w:r>
      <w:r>
        <w:rPr>
          <w:spacing w:val="-36"/>
        </w:rPr>
        <w:t> </w:t>
      </w:r>
      <w:r>
        <w:rPr/>
        <w:t>at</w:t>
      </w:r>
      <w:r>
        <w:rPr>
          <w:spacing w:val="-35"/>
        </w:rPr>
        <w:t> </w:t>
      </w:r>
      <w:r>
        <w:rPr/>
        <w:t>rent</w:t>
      </w:r>
      <w:r>
        <w:rPr>
          <w:spacing w:val="-35"/>
        </w:rPr>
        <w:t> </w:t>
      </w:r>
      <w:r>
        <w:rPr/>
        <w:t>prevalent</w:t>
      </w:r>
      <w:r>
        <w:rPr>
          <w:spacing w:val="-36"/>
        </w:rPr>
        <w:t> </w:t>
      </w:r>
      <w:r>
        <w:rPr/>
        <w:t>at</w:t>
      </w:r>
      <w:r>
        <w:rPr>
          <w:spacing w:val="-35"/>
        </w:rPr>
        <w:t> </w:t>
      </w:r>
      <w:r>
        <w:rPr/>
        <w:t>the</w:t>
      </w:r>
      <w:r>
        <w:rPr>
          <w:spacing w:val="-36"/>
        </w:rPr>
        <w:t> </w:t>
      </w:r>
      <w:r>
        <w:rPr/>
        <w:t>time</w:t>
      </w:r>
      <w:r>
        <w:rPr>
          <w:spacing w:val="-35"/>
        </w:rPr>
        <w:t> </w:t>
      </w:r>
      <w:r>
        <w:rPr/>
        <w:t>of</w:t>
      </w:r>
      <w:r>
        <w:rPr>
          <w:spacing w:val="-35"/>
        </w:rPr>
        <w:t> </w:t>
      </w:r>
      <w:r>
        <w:rPr/>
        <w:t>signing</w:t>
      </w:r>
      <w:r>
        <w:rPr>
          <w:spacing w:val="-35"/>
        </w:rPr>
        <w:t> </w:t>
      </w:r>
      <w:r>
        <w:rPr/>
        <w:t>of</w:t>
      </w:r>
      <w:r>
        <w:rPr>
          <w:spacing w:val="-35"/>
        </w:rPr>
        <w:t> </w:t>
      </w:r>
      <w:r>
        <w:rPr/>
        <w:t>such</w:t>
      </w:r>
      <w:r>
        <w:rPr>
          <w:spacing w:val="-35"/>
        </w:rPr>
        <w:t> </w:t>
      </w:r>
      <w:r>
        <w:rPr/>
        <w:t>leases or</w:t>
      </w:r>
      <w:r>
        <w:rPr>
          <w:spacing w:val="-18"/>
        </w:rPr>
        <w:t> </w:t>
      </w:r>
      <w:r>
        <w:rPr/>
        <w:t>at</w:t>
      </w:r>
      <w:r>
        <w:rPr>
          <w:spacing w:val="-18"/>
        </w:rPr>
        <w:t> </w:t>
      </w:r>
      <w:r>
        <w:rPr/>
        <w:t>a</w:t>
      </w:r>
      <w:r>
        <w:rPr>
          <w:spacing w:val="-18"/>
        </w:rPr>
        <w:t> </w:t>
      </w:r>
      <w:r>
        <w:rPr/>
        <w:t>discount</w:t>
      </w:r>
      <w:r>
        <w:rPr>
          <w:spacing w:val="-18"/>
        </w:rPr>
        <w:t> </w:t>
      </w:r>
      <w:r>
        <w:rPr/>
        <w:t>to</w:t>
      </w:r>
      <w:r>
        <w:rPr>
          <w:spacing w:val="-20"/>
        </w:rPr>
        <w:t> </w:t>
      </w:r>
      <w:r>
        <w:rPr/>
        <w:t>prevailing</w:t>
      </w:r>
      <w:r>
        <w:rPr>
          <w:spacing w:val="-17"/>
        </w:rPr>
        <w:t> </w:t>
      </w:r>
      <w:r>
        <w:rPr/>
        <w:t>market</w:t>
      </w:r>
      <w:r>
        <w:rPr>
          <w:spacing w:val="-17"/>
        </w:rPr>
        <w:t> </w:t>
      </w:r>
      <w:r>
        <w:rPr/>
        <w:t>rental</w:t>
      </w:r>
      <w:r>
        <w:rPr>
          <w:spacing w:val="-18"/>
        </w:rPr>
        <w:t> </w:t>
      </w:r>
      <w:r>
        <w:rPr/>
        <w:t>(for</w:t>
      </w:r>
      <w:r>
        <w:rPr>
          <w:spacing w:val="-18"/>
        </w:rPr>
        <w:t> </w:t>
      </w:r>
      <w:r>
        <w:rPr/>
        <w:t>a</w:t>
      </w:r>
      <w:r>
        <w:rPr>
          <w:spacing w:val="-20"/>
        </w:rPr>
        <w:t> </w:t>
      </w:r>
      <w:r>
        <w:rPr/>
        <w:t>few</w:t>
      </w:r>
      <w:r>
        <w:rPr>
          <w:spacing w:val="-18"/>
        </w:rPr>
        <w:t> </w:t>
      </w:r>
      <w:r>
        <w:rPr/>
        <w:t>anchor</w:t>
      </w:r>
      <w:r>
        <w:rPr>
          <w:spacing w:val="-18"/>
        </w:rPr>
        <w:t> </w:t>
      </w:r>
      <w:r>
        <w:rPr/>
        <w:t>tenants).</w:t>
      </w:r>
      <w:r>
        <w:rPr>
          <w:spacing w:val="-18"/>
        </w:rPr>
        <w:t> </w:t>
      </w:r>
      <w:r>
        <w:rPr/>
        <w:t>Since</w:t>
      </w:r>
      <w:r>
        <w:rPr>
          <w:spacing w:val="-18"/>
        </w:rPr>
        <w:t> </w:t>
      </w:r>
      <w:r>
        <w:rPr/>
        <w:t>the</w:t>
      </w:r>
      <w:r>
        <w:rPr>
          <w:spacing w:val="-19"/>
        </w:rPr>
        <w:t> </w:t>
      </w:r>
      <w:r>
        <w:rPr/>
        <w:t>real</w:t>
      </w:r>
      <w:r>
        <w:rPr>
          <w:spacing w:val="-18"/>
        </w:rPr>
        <w:t> </w:t>
      </w:r>
      <w:r>
        <w:rPr/>
        <w:t>estate</w:t>
      </w:r>
      <w:r>
        <w:rPr>
          <w:spacing w:val="-17"/>
        </w:rPr>
        <w:t> </w:t>
      </w:r>
      <w:r>
        <w:rPr/>
        <w:t>industry</w:t>
      </w:r>
      <w:r>
        <w:rPr>
          <w:spacing w:val="-18"/>
        </w:rPr>
        <w:t> </w:t>
      </w:r>
      <w:r>
        <w:rPr/>
        <w:t>is dynamic</w:t>
      </w:r>
      <w:r>
        <w:rPr>
          <w:spacing w:val="-23"/>
        </w:rPr>
        <w:t> </w:t>
      </w:r>
      <w:r>
        <w:rPr/>
        <w:t>and</w:t>
      </w:r>
      <w:r>
        <w:rPr>
          <w:spacing w:val="-22"/>
        </w:rPr>
        <w:t> </w:t>
      </w:r>
      <w:r>
        <w:rPr/>
        <w:t>is</w:t>
      </w:r>
      <w:r>
        <w:rPr>
          <w:spacing w:val="-22"/>
        </w:rPr>
        <w:t> </w:t>
      </w:r>
      <w:r>
        <w:rPr/>
        <w:t>influenced</w:t>
      </w:r>
      <w:r>
        <w:rPr>
          <w:spacing w:val="-22"/>
        </w:rPr>
        <w:t> </w:t>
      </w:r>
      <w:r>
        <w:rPr/>
        <w:t>by</w:t>
      </w:r>
      <w:r>
        <w:rPr>
          <w:spacing w:val="-22"/>
        </w:rPr>
        <w:t> </w:t>
      </w:r>
      <w:r>
        <w:rPr/>
        <w:t>various</w:t>
      </w:r>
      <w:r>
        <w:rPr>
          <w:spacing w:val="-21"/>
        </w:rPr>
        <w:t> </w:t>
      </w:r>
      <w:r>
        <w:rPr/>
        <w:t>factors</w:t>
      </w:r>
      <w:r>
        <w:rPr>
          <w:spacing w:val="-21"/>
        </w:rPr>
        <w:t> </w:t>
      </w:r>
      <w:r>
        <w:rPr/>
        <w:t>(such</w:t>
      </w:r>
      <w:r>
        <w:rPr>
          <w:spacing w:val="-22"/>
        </w:rPr>
        <w:t> </w:t>
      </w:r>
      <w:r>
        <w:rPr/>
        <w:t>as</w:t>
      </w:r>
      <w:r>
        <w:rPr>
          <w:spacing w:val="-22"/>
        </w:rPr>
        <w:t> </w:t>
      </w:r>
      <w:r>
        <w:rPr/>
        <w:t>existing</w:t>
      </w:r>
      <w:r>
        <w:rPr>
          <w:spacing w:val="-23"/>
        </w:rPr>
        <w:t> </w:t>
      </w:r>
      <w:r>
        <w:rPr/>
        <w:t>supply,</w:t>
      </w:r>
      <w:r>
        <w:rPr>
          <w:spacing w:val="-22"/>
        </w:rPr>
        <w:t> </w:t>
      </w:r>
      <w:r>
        <w:rPr/>
        <w:t>tenants</w:t>
      </w:r>
      <w:r>
        <w:rPr>
          <w:spacing w:val="-21"/>
        </w:rPr>
        <w:t> </w:t>
      </w:r>
      <w:r>
        <w:rPr/>
        <w:t>looking</w:t>
      </w:r>
      <w:r>
        <w:rPr>
          <w:spacing w:val="-22"/>
        </w:rPr>
        <w:t> </w:t>
      </w:r>
      <w:r>
        <w:rPr/>
        <w:t>at</w:t>
      </w:r>
      <w:r>
        <w:rPr>
          <w:spacing w:val="-22"/>
        </w:rPr>
        <w:t> </w:t>
      </w:r>
      <w:r>
        <w:rPr/>
        <w:t>spaces,</w:t>
      </w:r>
      <w:r>
        <w:rPr>
          <w:spacing w:val="-23"/>
        </w:rPr>
        <w:t> </w:t>
      </w:r>
      <w:r>
        <w:rPr/>
        <w:t>quality of</w:t>
      </w:r>
      <w:r>
        <w:rPr>
          <w:spacing w:val="-37"/>
        </w:rPr>
        <w:t> </w:t>
      </w:r>
      <w:r>
        <w:rPr/>
        <w:t>spaces</w:t>
      </w:r>
      <w:r>
        <w:rPr>
          <w:spacing w:val="-36"/>
        </w:rPr>
        <w:t> </w:t>
      </w:r>
      <w:r>
        <w:rPr/>
        <w:t>available</w:t>
      </w:r>
      <w:r>
        <w:rPr>
          <w:spacing w:val="-38"/>
        </w:rPr>
        <w:t> </w:t>
      </w:r>
      <w:r>
        <w:rPr/>
        <w:t>in</w:t>
      </w:r>
      <w:r>
        <w:rPr>
          <w:spacing w:val="-37"/>
        </w:rPr>
        <w:t> </w:t>
      </w:r>
      <w:r>
        <w:rPr/>
        <w:t>the</w:t>
      </w:r>
      <w:r>
        <w:rPr>
          <w:spacing w:val="-37"/>
        </w:rPr>
        <w:t> </w:t>
      </w:r>
      <w:r>
        <w:rPr/>
        <w:t>market,</w:t>
      </w:r>
      <w:r>
        <w:rPr>
          <w:spacing w:val="-37"/>
        </w:rPr>
        <w:t> </w:t>
      </w:r>
      <w:r>
        <w:rPr/>
        <w:t>overall</w:t>
      </w:r>
      <w:r>
        <w:rPr>
          <w:spacing w:val="-37"/>
        </w:rPr>
        <w:t> </w:t>
      </w:r>
      <w:r>
        <w:rPr/>
        <w:t>health</w:t>
      </w:r>
      <w:r>
        <w:rPr>
          <w:spacing w:val="-38"/>
        </w:rPr>
        <w:t> </w:t>
      </w:r>
      <w:r>
        <w:rPr/>
        <w:t>of</w:t>
      </w:r>
      <w:r>
        <w:rPr>
          <w:spacing w:val="-36"/>
        </w:rPr>
        <w:t> </w:t>
      </w:r>
      <w:r>
        <w:rPr/>
        <w:t>the</w:t>
      </w:r>
      <w:r>
        <w:rPr>
          <w:spacing w:val="-37"/>
        </w:rPr>
        <w:t> </w:t>
      </w:r>
      <w:r>
        <w:rPr/>
        <w:t>economy,</w:t>
      </w:r>
      <w:r>
        <w:rPr>
          <w:spacing w:val="-37"/>
        </w:rPr>
        <w:t> </w:t>
      </w:r>
      <w:r>
        <w:rPr/>
        <w:t>existing</w:t>
      </w:r>
      <w:r>
        <w:rPr>
          <w:spacing w:val="-37"/>
        </w:rPr>
        <w:t> </w:t>
      </w:r>
      <w:r>
        <w:rPr/>
        <w:t>rent,</w:t>
      </w:r>
      <w:r>
        <w:rPr>
          <w:spacing w:val="-37"/>
        </w:rPr>
        <w:t> </w:t>
      </w:r>
      <w:r>
        <w:rPr/>
        <w:t>future</w:t>
      </w:r>
      <w:r>
        <w:rPr>
          <w:spacing w:val="-37"/>
        </w:rPr>
        <w:t> </w:t>
      </w:r>
      <w:r>
        <w:rPr/>
        <w:t>growth</w:t>
      </w:r>
      <w:r>
        <w:rPr>
          <w:spacing w:val="-37"/>
        </w:rPr>
        <w:t> </w:t>
      </w:r>
      <w:r>
        <w:rPr/>
        <w:t>plans,</w:t>
      </w:r>
      <w:r>
        <w:rPr>
          <w:spacing w:val="-37"/>
        </w:rPr>
        <w:t> </w:t>
      </w:r>
      <w:r>
        <w:rPr/>
        <w:t>etc.) at</w:t>
      </w:r>
      <w:r>
        <w:rPr>
          <w:spacing w:val="-36"/>
        </w:rPr>
        <w:t> </w:t>
      </w:r>
      <w:r>
        <w:rPr/>
        <w:t>a</w:t>
      </w:r>
      <w:r>
        <w:rPr>
          <w:spacing w:val="-37"/>
        </w:rPr>
        <w:t> </w:t>
      </w:r>
      <w:r>
        <w:rPr/>
        <w:t>particular</w:t>
      </w:r>
      <w:r>
        <w:rPr>
          <w:spacing w:val="-36"/>
        </w:rPr>
        <w:t> </w:t>
      </w:r>
      <w:r>
        <w:rPr/>
        <w:t>point</w:t>
      </w:r>
      <w:r>
        <w:rPr>
          <w:spacing w:val="-35"/>
        </w:rPr>
        <w:t> </w:t>
      </w:r>
      <w:r>
        <w:rPr/>
        <w:t>in</w:t>
      </w:r>
      <w:r>
        <w:rPr>
          <w:spacing w:val="-37"/>
        </w:rPr>
        <w:t> </w:t>
      </w:r>
      <w:r>
        <w:rPr/>
        <w:t>time,</w:t>
      </w:r>
      <w:r>
        <w:rPr>
          <w:spacing w:val="-36"/>
        </w:rPr>
        <w:t> </w:t>
      </w:r>
      <w:r>
        <w:rPr/>
        <w:t>negotiated</w:t>
      </w:r>
      <w:r>
        <w:rPr>
          <w:spacing w:val="-35"/>
        </w:rPr>
        <w:t> </w:t>
      </w:r>
      <w:r>
        <w:rPr/>
        <w:t>rent</w:t>
      </w:r>
      <w:r>
        <w:rPr>
          <w:spacing w:val="-37"/>
        </w:rPr>
        <w:t> </w:t>
      </w:r>
      <w:r>
        <w:rPr/>
        <w:t>may</w:t>
      </w:r>
      <w:r>
        <w:rPr>
          <w:spacing w:val="-37"/>
        </w:rPr>
        <w:t> </w:t>
      </w:r>
      <w:r>
        <w:rPr/>
        <w:t>tend</w:t>
      </w:r>
      <w:r>
        <w:rPr>
          <w:spacing w:val="-36"/>
        </w:rPr>
        <w:t> </w:t>
      </w:r>
      <w:r>
        <w:rPr/>
        <w:t>to</w:t>
      </w:r>
      <w:r>
        <w:rPr>
          <w:spacing w:val="-36"/>
        </w:rPr>
        <w:t> </w:t>
      </w:r>
      <w:r>
        <w:rPr/>
        <w:t>move</w:t>
      </w:r>
      <w:r>
        <w:rPr>
          <w:spacing w:val="-36"/>
        </w:rPr>
        <w:t> </w:t>
      </w:r>
      <w:r>
        <w:rPr/>
        <w:t>away</w:t>
      </w:r>
      <w:r>
        <w:rPr>
          <w:spacing w:val="-35"/>
        </w:rPr>
        <w:t> </w:t>
      </w:r>
      <w:r>
        <w:rPr/>
        <w:t>from</w:t>
      </w:r>
      <w:r>
        <w:rPr>
          <w:spacing w:val="-37"/>
        </w:rPr>
        <w:t> </w:t>
      </w:r>
      <w:r>
        <w:rPr/>
        <w:t>the</w:t>
      </w:r>
      <w:r>
        <w:rPr>
          <w:spacing w:val="-37"/>
        </w:rPr>
        <w:t> </w:t>
      </w:r>
      <w:r>
        <w:rPr/>
        <w:t>prevalent</w:t>
      </w:r>
      <w:r>
        <w:rPr>
          <w:spacing w:val="-36"/>
        </w:rPr>
        <w:t> </w:t>
      </w:r>
      <w:r>
        <w:rPr/>
        <w:t>market</w:t>
      </w:r>
      <w:r>
        <w:rPr>
          <w:spacing w:val="-35"/>
        </w:rPr>
        <w:t> </w:t>
      </w:r>
      <w:r>
        <w:rPr/>
        <w:t>rent</w:t>
      </w:r>
      <w:r>
        <w:rPr>
          <w:spacing w:val="-36"/>
        </w:rPr>
        <w:t> </w:t>
      </w:r>
      <w:r>
        <w:rPr/>
        <w:t>over a</w:t>
      </w:r>
      <w:r>
        <w:rPr>
          <w:spacing w:val="-5"/>
        </w:rPr>
        <w:t> </w:t>
      </w:r>
      <w:r>
        <w:rPr/>
        <w:t>period</w:t>
      </w:r>
      <w:r>
        <w:rPr>
          <w:spacing w:val="-4"/>
        </w:rPr>
        <w:t> </w:t>
      </w:r>
      <w:r>
        <w:rPr/>
        <w:t>of</w:t>
      </w:r>
      <w:r>
        <w:rPr>
          <w:spacing w:val="-3"/>
        </w:rPr>
        <w:t> </w:t>
      </w:r>
      <w:r>
        <w:rPr/>
        <w:t>time.</w:t>
      </w:r>
      <w:r>
        <w:rPr>
          <w:spacing w:val="-4"/>
        </w:rPr>
        <w:t> </w:t>
      </w:r>
      <w:r>
        <w:rPr/>
        <w:t>It</w:t>
      </w:r>
      <w:r>
        <w:rPr>
          <w:spacing w:val="-4"/>
        </w:rPr>
        <w:t> </w:t>
      </w:r>
      <w:r>
        <w:rPr/>
        <w:t>has</w:t>
      </w:r>
      <w:r>
        <w:rPr>
          <w:spacing w:val="-5"/>
        </w:rPr>
        <w:t> </w:t>
      </w:r>
      <w:r>
        <w:rPr/>
        <w:t>also</w:t>
      </w:r>
      <w:r>
        <w:rPr>
          <w:spacing w:val="-4"/>
        </w:rPr>
        <w:t> </w:t>
      </w:r>
      <w:r>
        <w:rPr/>
        <w:t>been</w:t>
      </w:r>
      <w:r>
        <w:rPr>
          <w:spacing w:val="-5"/>
        </w:rPr>
        <w:t> </w:t>
      </w:r>
      <w:r>
        <w:rPr/>
        <w:t>witnessed</w:t>
      </w:r>
      <w:r>
        <w:rPr>
          <w:spacing w:val="-4"/>
        </w:rPr>
        <w:t> </w:t>
      </w:r>
      <w:r>
        <w:rPr/>
        <w:t>that</w:t>
      </w:r>
      <w:r>
        <w:rPr>
          <w:spacing w:val="-6"/>
        </w:rPr>
        <w:t> </w:t>
      </w:r>
      <w:r>
        <w:rPr/>
        <w:t>the</w:t>
      </w:r>
      <w:r>
        <w:rPr>
          <w:spacing w:val="-4"/>
        </w:rPr>
        <w:t> </w:t>
      </w:r>
      <w:r>
        <w:rPr/>
        <w:t>market</w:t>
      </w:r>
      <w:r>
        <w:rPr>
          <w:spacing w:val="-3"/>
        </w:rPr>
        <w:t> </w:t>
      </w:r>
      <w:r>
        <w:rPr/>
        <w:t>rent</w:t>
      </w:r>
      <w:r>
        <w:rPr>
          <w:spacing w:val="-5"/>
        </w:rPr>
        <w:t> </w:t>
      </w:r>
      <w:r>
        <w:rPr/>
        <w:t>for</w:t>
      </w:r>
      <w:r>
        <w:rPr>
          <w:spacing w:val="-4"/>
        </w:rPr>
        <w:t> </w:t>
      </w:r>
      <w:r>
        <w:rPr/>
        <w:t>some</w:t>
      </w:r>
      <w:r>
        <w:rPr>
          <w:spacing w:val="-4"/>
        </w:rPr>
        <w:t> </w:t>
      </w:r>
      <w:r>
        <w:rPr/>
        <w:t>properties</w:t>
      </w:r>
      <w:r>
        <w:rPr>
          <w:spacing w:val="-3"/>
        </w:rPr>
        <w:t> </w:t>
      </w:r>
      <w:r>
        <w:rPr/>
        <w:t>or</w:t>
      </w:r>
      <w:r>
        <w:rPr>
          <w:spacing w:val="2"/>
        </w:rPr>
        <w:t> </w:t>
      </w:r>
      <w:r>
        <w:rPr/>
        <w:t>sub</w:t>
      </w:r>
      <w:r>
        <w:rPr>
          <w:spacing w:val="-4"/>
        </w:rPr>
        <w:t> </w:t>
      </w:r>
      <w:r>
        <w:rPr/>
        <w:t>markets increase</w:t>
      </w:r>
      <w:r>
        <w:rPr>
          <w:spacing w:val="-29"/>
        </w:rPr>
        <w:t> </w:t>
      </w:r>
      <w:r>
        <w:rPr/>
        <w:t>or</w:t>
      </w:r>
      <w:r>
        <w:rPr>
          <w:spacing w:val="-28"/>
        </w:rPr>
        <w:t> </w:t>
      </w:r>
      <w:r>
        <w:rPr/>
        <w:t>decrease</w:t>
      </w:r>
      <w:r>
        <w:rPr>
          <w:spacing w:val="-28"/>
        </w:rPr>
        <w:t> </w:t>
      </w:r>
      <w:r>
        <w:rPr/>
        <w:t>at</w:t>
      </w:r>
      <w:r>
        <w:rPr>
          <w:spacing w:val="-27"/>
        </w:rPr>
        <w:t> </w:t>
      </w:r>
      <w:r>
        <w:rPr/>
        <w:t>a</w:t>
      </w:r>
      <w:r>
        <w:rPr>
          <w:spacing w:val="-28"/>
        </w:rPr>
        <w:t> </w:t>
      </w:r>
      <w:r>
        <w:rPr/>
        <w:t>rate</w:t>
      </w:r>
      <w:r>
        <w:rPr>
          <w:spacing w:val="-28"/>
        </w:rPr>
        <w:t> </w:t>
      </w:r>
      <w:r>
        <w:rPr/>
        <w:t>significantly</w:t>
      </w:r>
      <w:r>
        <w:rPr>
          <w:spacing w:val="-28"/>
        </w:rPr>
        <w:t> </w:t>
      </w:r>
      <w:r>
        <w:rPr/>
        <w:t>different</w:t>
      </w:r>
      <w:r>
        <w:rPr>
          <w:spacing w:val="-27"/>
        </w:rPr>
        <w:t> </w:t>
      </w:r>
      <w:r>
        <w:rPr/>
        <w:t>from</w:t>
      </w:r>
      <w:r>
        <w:rPr>
          <w:spacing w:val="-27"/>
        </w:rPr>
        <w:t> </w:t>
      </w:r>
      <w:r>
        <w:rPr/>
        <w:t>those</w:t>
      </w:r>
      <w:r>
        <w:rPr>
          <w:spacing w:val="-28"/>
        </w:rPr>
        <w:t> </w:t>
      </w:r>
      <w:r>
        <w:rPr/>
        <w:t>agreed</w:t>
      </w:r>
      <w:r>
        <w:rPr>
          <w:spacing w:val="-27"/>
        </w:rPr>
        <w:t> </w:t>
      </w:r>
      <w:r>
        <w:rPr/>
        <w:t>to</w:t>
      </w:r>
      <w:r>
        <w:rPr>
          <w:spacing w:val="-28"/>
        </w:rPr>
        <w:t> </w:t>
      </w:r>
      <w:r>
        <w:rPr/>
        <w:t>in</w:t>
      </w:r>
      <w:r>
        <w:rPr>
          <w:spacing w:val="-30"/>
        </w:rPr>
        <w:t> </w:t>
      </w:r>
      <w:r>
        <w:rPr/>
        <w:t>initial</w:t>
      </w:r>
      <w:r>
        <w:rPr>
          <w:spacing w:val="-28"/>
        </w:rPr>
        <w:t> </w:t>
      </w:r>
      <w:r>
        <w:rPr/>
        <w:t>leases.</w:t>
      </w:r>
      <w:r>
        <w:rPr>
          <w:spacing w:val="-27"/>
        </w:rPr>
        <w:t> </w:t>
      </w:r>
      <w:r>
        <w:rPr/>
        <w:t>These</w:t>
      </w:r>
      <w:r>
        <w:rPr>
          <w:spacing w:val="-29"/>
        </w:rPr>
        <w:t> </w:t>
      </w:r>
      <w:r>
        <w:rPr/>
        <w:t>factors reinforce</w:t>
      </w:r>
      <w:r>
        <w:rPr>
          <w:spacing w:val="-30"/>
        </w:rPr>
        <w:t> </w:t>
      </w:r>
      <w:r>
        <w:rPr/>
        <w:t>the</w:t>
      </w:r>
      <w:r>
        <w:rPr>
          <w:spacing w:val="-27"/>
        </w:rPr>
        <w:t> </w:t>
      </w:r>
      <w:r>
        <w:rPr/>
        <w:t>need</w:t>
      </w:r>
      <w:r>
        <w:rPr>
          <w:spacing w:val="-28"/>
        </w:rPr>
        <w:t> </w:t>
      </w:r>
      <w:r>
        <w:rPr/>
        <w:t>to</w:t>
      </w:r>
      <w:r>
        <w:rPr>
          <w:spacing w:val="-29"/>
        </w:rPr>
        <w:t> </w:t>
      </w:r>
      <w:r>
        <w:rPr/>
        <w:t>review</w:t>
      </w:r>
      <w:r>
        <w:rPr>
          <w:spacing w:val="-28"/>
        </w:rPr>
        <w:t> </w:t>
      </w:r>
      <w:r>
        <w:rPr/>
        <w:t>each</w:t>
      </w:r>
      <w:r>
        <w:rPr>
          <w:spacing w:val="-28"/>
        </w:rPr>
        <w:t> </w:t>
      </w:r>
      <w:r>
        <w:rPr/>
        <w:t>of</w:t>
      </w:r>
      <w:r>
        <w:rPr>
          <w:spacing w:val="-28"/>
        </w:rPr>
        <w:t> </w:t>
      </w:r>
      <w:r>
        <w:rPr/>
        <w:t>these</w:t>
      </w:r>
      <w:r>
        <w:rPr>
          <w:spacing w:val="-29"/>
        </w:rPr>
        <w:t> </w:t>
      </w:r>
      <w:r>
        <w:rPr/>
        <w:t>leases</w:t>
      </w:r>
      <w:r>
        <w:rPr>
          <w:spacing w:val="-28"/>
        </w:rPr>
        <w:t> </w:t>
      </w:r>
      <w:r>
        <w:rPr/>
        <w:t>in</w:t>
      </w:r>
      <w:r>
        <w:rPr>
          <w:spacing w:val="-30"/>
        </w:rPr>
        <w:t> </w:t>
      </w:r>
      <w:r>
        <w:rPr/>
        <w:t>isolation</w:t>
      </w:r>
      <w:r>
        <w:rPr>
          <w:spacing w:val="-28"/>
        </w:rPr>
        <w:t> </w:t>
      </w:r>
      <w:r>
        <w:rPr/>
        <w:t>to</w:t>
      </w:r>
      <w:r>
        <w:rPr>
          <w:spacing w:val="-28"/>
        </w:rPr>
        <w:t> </w:t>
      </w:r>
      <w:r>
        <w:rPr/>
        <w:t>assess</w:t>
      </w:r>
      <w:r>
        <w:rPr>
          <w:spacing w:val="-28"/>
        </w:rPr>
        <w:t> </w:t>
      </w:r>
      <w:r>
        <w:rPr/>
        <w:t>the</w:t>
      </w:r>
      <w:r>
        <w:rPr>
          <w:spacing w:val="-29"/>
        </w:rPr>
        <w:t> </w:t>
      </w:r>
      <w:r>
        <w:rPr/>
        <w:t>intrinsic</w:t>
      </w:r>
      <w:r>
        <w:rPr>
          <w:spacing w:val="-29"/>
        </w:rPr>
        <w:t> </w:t>
      </w:r>
      <w:r>
        <w:rPr/>
        <w:t>value</w:t>
      </w:r>
      <w:r>
        <w:rPr>
          <w:spacing w:val="-27"/>
        </w:rPr>
        <w:t> </w:t>
      </w:r>
      <w:r>
        <w:rPr/>
        <w:t>of</w:t>
      </w:r>
      <w:r>
        <w:rPr>
          <w:spacing w:val="-28"/>
        </w:rPr>
        <w:t> </w:t>
      </w:r>
      <w:r>
        <w:rPr/>
        <w:t>the</w:t>
      </w:r>
      <w:r>
        <w:rPr>
          <w:spacing w:val="-29"/>
        </w:rPr>
        <w:t> </w:t>
      </w:r>
      <w:r>
        <w:rPr/>
        <w:t>property under</w:t>
      </w:r>
      <w:r>
        <w:rPr>
          <w:spacing w:val="-4"/>
        </w:rPr>
        <w:t> </w:t>
      </w:r>
      <w:r>
        <w:rPr/>
        <w:t>review.</w:t>
      </w:r>
    </w:p>
    <w:p>
      <w:pPr>
        <w:pStyle w:val="BodyText"/>
        <w:spacing w:before="1"/>
        <w:rPr>
          <w:sz w:val="21"/>
        </w:rPr>
      </w:pPr>
    </w:p>
    <w:p>
      <w:pPr>
        <w:pStyle w:val="BodyText"/>
        <w:spacing w:line="321" w:lineRule="auto"/>
        <w:ind w:left="820" w:right="634"/>
        <w:jc w:val="both"/>
      </w:pPr>
      <w:r>
        <w:rPr/>
        <w:t>Considering the objective of this exercise and the nature of asset involved, the value of the office component</w:t>
      </w:r>
      <w:r>
        <w:rPr>
          <w:spacing w:val="-30"/>
        </w:rPr>
        <w:t> </w:t>
      </w:r>
      <w:r>
        <w:rPr/>
        <w:t>in</w:t>
      </w:r>
      <w:r>
        <w:rPr>
          <w:spacing w:val="-30"/>
        </w:rPr>
        <w:t> </w:t>
      </w:r>
      <w:r>
        <w:rPr/>
        <w:t>the</w:t>
      </w:r>
      <w:r>
        <w:rPr>
          <w:spacing w:val="-30"/>
        </w:rPr>
        <w:t> </w:t>
      </w:r>
      <w:r>
        <w:rPr/>
        <w:t>subject</w:t>
      </w:r>
      <w:r>
        <w:rPr>
          <w:spacing w:val="-30"/>
        </w:rPr>
        <w:t> </w:t>
      </w:r>
      <w:r>
        <w:rPr/>
        <w:t>properties</w:t>
      </w:r>
      <w:r>
        <w:rPr>
          <w:spacing w:val="-29"/>
        </w:rPr>
        <w:t> </w:t>
      </w:r>
      <w:r>
        <w:rPr/>
        <w:t>has</w:t>
      </w:r>
      <w:r>
        <w:rPr>
          <w:spacing w:val="-29"/>
        </w:rPr>
        <w:t> </w:t>
      </w:r>
      <w:r>
        <w:rPr/>
        <w:t>been</w:t>
      </w:r>
      <w:r>
        <w:rPr>
          <w:spacing w:val="-30"/>
        </w:rPr>
        <w:t> </w:t>
      </w:r>
      <w:r>
        <w:rPr/>
        <w:t>assessed</w:t>
      </w:r>
      <w:r>
        <w:rPr>
          <w:spacing w:val="-29"/>
        </w:rPr>
        <w:t> </w:t>
      </w:r>
      <w:r>
        <w:rPr/>
        <w:t>through</w:t>
      </w:r>
      <w:r>
        <w:rPr>
          <w:spacing w:val="-30"/>
        </w:rPr>
        <w:t> </w:t>
      </w:r>
      <w:r>
        <w:rPr/>
        <w:t>the</w:t>
      </w:r>
      <w:r>
        <w:rPr>
          <w:spacing w:val="-29"/>
        </w:rPr>
        <w:t> </w:t>
      </w:r>
      <w:r>
        <w:rPr/>
        <w:t>Discounted</w:t>
      </w:r>
      <w:r>
        <w:rPr>
          <w:spacing w:val="-29"/>
        </w:rPr>
        <w:t> </w:t>
      </w:r>
      <w:r>
        <w:rPr/>
        <w:t>Cash</w:t>
      </w:r>
      <w:r>
        <w:rPr>
          <w:spacing w:val="-30"/>
        </w:rPr>
        <w:t> </w:t>
      </w:r>
      <w:r>
        <w:rPr/>
        <w:t>Flow</w:t>
      </w:r>
      <w:r>
        <w:rPr>
          <w:spacing w:val="-29"/>
        </w:rPr>
        <w:t> </w:t>
      </w:r>
      <w:r>
        <w:rPr/>
        <w:t>Method</w:t>
      </w:r>
      <w:r>
        <w:rPr>
          <w:spacing w:val="-29"/>
        </w:rPr>
        <w:t> </w:t>
      </w:r>
      <w:r>
        <w:rPr/>
        <w:t>(using rent reversion</w:t>
      </w:r>
      <w:r>
        <w:rPr>
          <w:spacing w:val="-4"/>
        </w:rPr>
        <w:t> </w:t>
      </w:r>
      <w:r>
        <w:rPr/>
        <w:t>approach).</w:t>
      </w:r>
    </w:p>
    <w:p>
      <w:pPr>
        <w:pStyle w:val="BodyText"/>
        <w:spacing w:before="10"/>
        <w:rPr>
          <w:sz w:val="20"/>
        </w:rPr>
      </w:pPr>
    </w:p>
    <w:p>
      <w:pPr>
        <w:pStyle w:val="BodyText"/>
        <w:spacing w:line="321" w:lineRule="auto"/>
        <w:ind w:left="885" w:right="639"/>
        <w:jc w:val="both"/>
      </w:pPr>
      <w:r>
        <w:rPr/>
        <w:t>Further,</w:t>
      </w:r>
      <w:r>
        <w:rPr>
          <w:spacing w:val="-18"/>
        </w:rPr>
        <w:t> </w:t>
      </w:r>
      <w:r>
        <w:rPr/>
        <w:t>the</w:t>
      </w:r>
      <w:r>
        <w:rPr>
          <w:spacing w:val="-17"/>
        </w:rPr>
        <w:t> </w:t>
      </w:r>
      <w:r>
        <w:rPr/>
        <w:t>hotel</w:t>
      </w:r>
      <w:r>
        <w:rPr>
          <w:spacing w:val="-17"/>
        </w:rPr>
        <w:t> </w:t>
      </w:r>
      <w:r>
        <w:rPr/>
        <w:t>components</w:t>
      </w:r>
      <w:r>
        <w:rPr>
          <w:spacing w:val="-16"/>
        </w:rPr>
        <w:t> </w:t>
      </w:r>
      <w:r>
        <w:rPr/>
        <w:t>at</w:t>
      </w:r>
      <w:r>
        <w:rPr>
          <w:spacing w:val="-17"/>
        </w:rPr>
        <w:t> </w:t>
      </w:r>
      <w:r>
        <w:rPr/>
        <w:t>the</w:t>
      </w:r>
      <w:r>
        <w:rPr>
          <w:spacing w:val="-17"/>
        </w:rPr>
        <w:t> </w:t>
      </w:r>
      <w:r>
        <w:rPr/>
        <w:t>respective</w:t>
      </w:r>
      <w:r>
        <w:rPr>
          <w:spacing w:val="-18"/>
        </w:rPr>
        <w:t> </w:t>
      </w:r>
      <w:r>
        <w:rPr/>
        <w:t>properties</w:t>
      </w:r>
      <w:r>
        <w:rPr>
          <w:spacing w:val="-16"/>
        </w:rPr>
        <w:t> </w:t>
      </w:r>
      <w:r>
        <w:rPr/>
        <w:t>and</w:t>
      </w:r>
      <w:r>
        <w:rPr>
          <w:spacing w:val="-16"/>
        </w:rPr>
        <w:t> </w:t>
      </w:r>
      <w:r>
        <w:rPr/>
        <w:t>the</w:t>
      </w:r>
      <w:r>
        <w:rPr>
          <w:spacing w:val="-18"/>
        </w:rPr>
        <w:t> </w:t>
      </w:r>
      <w:r>
        <w:rPr/>
        <w:t>solar</w:t>
      </w:r>
      <w:r>
        <w:rPr>
          <w:spacing w:val="-17"/>
        </w:rPr>
        <w:t> </w:t>
      </w:r>
      <w:r>
        <w:rPr/>
        <w:t>park</w:t>
      </w:r>
      <w:r>
        <w:rPr>
          <w:spacing w:val="-17"/>
        </w:rPr>
        <w:t> </w:t>
      </w:r>
      <w:r>
        <w:rPr/>
        <w:t>have</w:t>
      </w:r>
      <w:r>
        <w:rPr>
          <w:spacing w:val="-16"/>
        </w:rPr>
        <w:t> </w:t>
      </w:r>
      <w:r>
        <w:rPr/>
        <w:t>been</w:t>
      </w:r>
      <w:r>
        <w:rPr>
          <w:spacing w:val="-18"/>
        </w:rPr>
        <w:t> </w:t>
      </w:r>
      <w:r>
        <w:rPr/>
        <w:t>valued</w:t>
      </w:r>
      <w:r>
        <w:rPr>
          <w:spacing w:val="-16"/>
        </w:rPr>
        <w:t> </w:t>
      </w:r>
      <w:r>
        <w:rPr/>
        <w:t>using Discounted Cash Flow</w:t>
      </w:r>
      <w:r>
        <w:rPr>
          <w:spacing w:val="-11"/>
        </w:rPr>
        <w:t> </w:t>
      </w:r>
      <w:r>
        <w:rPr/>
        <w:t>Method.</w:t>
      </w:r>
    </w:p>
    <w:p>
      <w:pPr>
        <w:spacing w:after="0" w:line="321" w:lineRule="auto"/>
        <w:jc w:val="both"/>
        <w:sectPr>
          <w:pgSz w:w="11910" w:h="16840"/>
          <w:pgMar w:header="720" w:footer="842" w:top="1520" w:bottom="1040" w:left="440" w:right="80"/>
        </w:sectPr>
      </w:pPr>
    </w:p>
    <w:p>
      <w:pPr>
        <w:pStyle w:val="BodyText"/>
        <w:spacing w:before="5"/>
      </w:pPr>
    </w:p>
    <w:p>
      <w:pPr>
        <w:pStyle w:val="ListParagraph"/>
        <w:numPr>
          <w:ilvl w:val="1"/>
          <w:numId w:val="14"/>
        </w:numPr>
        <w:tabs>
          <w:tab w:pos="856" w:val="left" w:leader="none"/>
          <w:tab w:pos="857" w:val="left" w:leader="none"/>
        </w:tabs>
        <w:spacing w:line="240" w:lineRule="auto" w:before="106" w:after="0"/>
        <w:ind w:left="856" w:right="0" w:hanging="577"/>
        <w:jc w:val="left"/>
        <w:rPr>
          <w:color w:val="1F6647"/>
          <w:sz w:val="22"/>
        </w:rPr>
      </w:pPr>
      <w:bookmarkStart w:name="_bookmark19" w:id="38"/>
      <w:bookmarkEnd w:id="38"/>
      <w:r>
        <w:rPr/>
      </w:r>
      <w:bookmarkStart w:name="_bookmark19" w:id="39"/>
      <w:bookmarkEnd w:id="39"/>
      <w:r>
        <w:rPr>
          <w:color w:val="1F6647"/>
          <w:sz w:val="22"/>
        </w:rPr>
        <w:t>In</w:t>
      </w:r>
      <w:r>
        <w:rPr>
          <w:color w:val="1F6647"/>
          <w:sz w:val="22"/>
        </w:rPr>
        <w:t>formation Sources for</w:t>
      </w:r>
      <w:r>
        <w:rPr>
          <w:color w:val="1F6647"/>
          <w:spacing w:val="-4"/>
          <w:sz w:val="22"/>
        </w:rPr>
        <w:t> </w:t>
      </w:r>
      <w:r>
        <w:rPr>
          <w:color w:val="1F6647"/>
          <w:sz w:val="22"/>
        </w:rPr>
        <w:t>Valuation</w:t>
      </w:r>
    </w:p>
    <w:p>
      <w:pPr>
        <w:pStyle w:val="BodyText"/>
        <w:spacing w:line="321" w:lineRule="auto" w:before="208"/>
        <w:ind w:left="820" w:right="634"/>
        <w:jc w:val="both"/>
      </w:pPr>
      <w:r>
        <w:rPr/>
        <w:t>Table</w:t>
      </w:r>
      <w:r>
        <w:rPr>
          <w:spacing w:val="-14"/>
        </w:rPr>
        <w:t> </w:t>
      </w:r>
      <w:r>
        <w:rPr/>
        <w:t>below</w:t>
      </w:r>
      <w:r>
        <w:rPr>
          <w:spacing w:val="-14"/>
        </w:rPr>
        <w:t> </w:t>
      </w:r>
      <w:r>
        <w:rPr/>
        <w:t>highlights</w:t>
      </w:r>
      <w:r>
        <w:rPr>
          <w:spacing w:val="-12"/>
        </w:rPr>
        <w:t> </w:t>
      </w:r>
      <w:r>
        <w:rPr/>
        <w:t>various</w:t>
      </w:r>
      <w:r>
        <w:rPr>
          <w:spacing w:val="-12"/>
        </w:rPr>
        <w:t> </w:t>
      </w:r>
      <w:r>
        <w:rPr/>
        <w:t>data</w:t>
      </w:r>
      <w:r>
        <w:rPr>
          <w:spacing w:val="-13"/>
        </w:rPr>
        <w:t> </w:t>
      </w:r>
      <w:r>
        <w:rPr/>
        <w:t>points</w:t>
      </w:r>
      <w:r>
        <w:rPr>
          <w:spacing w:val="-12"/>
        </w:rPr>
        <w:t> </w:t>
      </w:r>
      <w:r>
        <w:rPr/>
        <w:t>referred</w:t>
      </w:r>
      <w:r>
        <w:rPr>
          <w:spacing w:val="-12"/>
        </w:rPr>
        <w:t> </w:t>
      </w:r>
      <w:r>
        <w:rPr/>
        <w:t>throughout</w:t>
      </w:r>
      <w:r>
        <w:rPr>
          <w:spacing w:val="-12"/>
        </w:rPr>
        <w:t> </w:t>
      </w:r>
      <w:r>
        <w:rPr/>
        <w:t>the</w:t>
      </w:r>
      <w:r>
        <w:rPr>
          <w:spacing w:val="-14"/>
        </w:rPr>
        <w:t> </w:t>
      </w:r>
      <w:r>
        <w:rPr/>
        <w:t>course</w:t>
      </w:r>
      <w:r>
        <w:rPr>
          <w:spacing w:val="-14"/>
        </w:rPr>
        <w:t> </w:t>
      </w:r>
      <w:r>
        <w:rPr/>
        <w:t>of</w:t>
      </w:r>
      <w:r>
        <w:rPr>
          <w:spacing w:val="-12"/>
        </w:rPr>
        <w:t> </w:t>
      </w:r>
      <w:r>
        <w:rPr/>
        <w:t>this</w:t>
      </w:r>
      <w:r>
        <w:rPr>
          <w:spacing w:val="-12"/>
        </w:rPr>
        <w:t> </w:t>
      </w:r>
      <w:r>
        <w:rPr/>
        <w:t>valuation</w:t>
      </w:r>
      <w:r>
        <w:rPr>
          <w:spacing w:val="-13"/>
        </w:rPr>
        <w:t> </w:t>
      </w:r>
      <w:r>
        <w:rPr/>
        <w:t>report</w:t>
      </w:r>
      <w:r>
        <w:rPr>
          <w:spacing w:val="-14"/>
        </w:rPr>
        <w:t> </w:t>
      </w:r>
      <w:r>
        <w:rPr/>
        <w:t>and the</w:t>
      </w:r>
      <w:r>
        <w:rPr>
          <w:spacing w:val="-6"/>
        </w:rPr>
        <w:t> </w:t>
      </w:r>
      <w:r>
        <w:rPr/>
        <w:t>data</w:t>
      </w:r>
      <w:r>
        <w:rPr>
          <w:spacing w:val="-4"/>
        </w:rPr>
        <w:t> </w:t>
      </w:r>
      <w:r>
        <w:rPr/>
        <w:t>sources</w:t>
      </w:r>
      <w:r>
        <w:rPr>
          <w:spacing w:val="-3"/>
        </w:rPr>
        <w:t> </w:t>
      </w:r>
      <w:r>
        <w:rPr/>
        <w:t>for</w:t>
      </w:r>
      <w:r>
        <w:rPr>
          <w:spacing w:val="-5"/>
        </w:rPr>
        <w:t> </w:t>
      </w:r>
      <w:r>
        <w:rPr/>
        <w:t>the</w:t>
      </w:r>
      <w:r>
        <w:rPr>
          <w:spacing w:val="-5"/>
        </w:rPr>
        <w:t> </w:t>
      </w:r>
      <w:r>
        <w:rPr/>
        <w:t>same.</w:t>
      </w:r>
      <w:r>
        <w:rPr>
          <w:spacing w:val="-5"/>
        </w:rPr>
        <w:t> </w:t>
      </w:r>
      <w:r>
        <w:rPr/>
        <w:t>Property</w:t>
      </w:r>
      <w:r>
        <w:rPr>
          <w:spacing w:val="-3"/>
        </w:rPr>
        <w:t> </w:t>
      </w:r>
      <w:r>
        <w:rPr/>
        <w:t>related</w:t>
      </w:r>
      <w:r>
        <w:rPr>
          <w:spacing w:val="-4"/>
        </w:rPr>
        <w:t> </w:t>
      </w:r>
      <w:r>
        <w:rPr/>
        <w:t>documents</w:t>
      </w:r>
      <w:r>
        <w:rPr>
          <w:spacing w:val="-4"/>
        </w:rPr>
        <w:t> </w:t>
      </w:r>
      <w:r>
        <w:rPr/>
        <w:t>referred</w:t>
      </w:r>
      <w:r>
        <w:rPr>
          <w:spacing w:val="-3"/>
        </w:rPr>
        <w:t> </w:t>
      </w:r>
      <w:r>
        <w:rPr/>
        <w:t>to</w:t>
      </w:r>
      <w:r>
        <w:rPr>
          <w:spacing w:val="-5"/>
        </w:rPr>
        <w:t> </w:t>
      </w:r>
      <w:r>
        <w:rPr/>
        <w:t>in</w:t>
      </w:r>
      <w:r>
        <w:rPr>
          <w:spacing w:val="-5"/>
        </w:rPr>
        <w:t> </w:t>
      </w:r>
      <w:r>
        <w:rPr/>
        <w:t>the</w:t>
      </w:r>
      <w:r>
        <w:rPr>
          <w:spacing w:val="-5"/>
        </w:rPr>
        <w:t> </w:t>
      </w:r>
      <w:r>
        <w:rPr/>
        <w:t>table</w:t>
      </w:r>
      <w:r>
        <w:rPr>
          <w:spacing w:val="-6"/>
        </w:rPr>
        <w:t> </w:t>
      </w:r>
      <w:r>
        <w:rPr/>
        <w:t>below</w:t>
      </w:r>
      <w:r>
        <w:rPr>
          <w:spacing w:val="-3"/>
        </w:rPr>
        <w:t> </w:t>
      </w:r>
      <w:r>
        <w:rPr/>
        <w:t>have</w:t>
      </w:r>
      <w:r>
        <w:rPr>
          <w:spacing w:val="-4"/>
        </w:rPr>
        <w:t> </w:t>
      </w:r>
      <w:r>
        <w:rPr/>
        <w:t>been provided</w:t>
      </w:r>
      <w:r>
        <w:rPr>
          <w:spacing w:val="-12"/>
        </w:rPr>
        <w:t> </w:t>
      </w:r>
      <w:r>
        <w:rPr/>
        <w:t>to</w:t>
      </w:r>
      <w:r>
        <w:rPr>
          <w:spacing w:val="-12"/>
        </w:rPr>
        <w:t> </w:t>
      </w:r>
      <w:r>
        <w:rPr/>
        <w:t>the</w:t>
      </w:r>
      <w:r>
        <w:rPr>
          <w:spacing w:val="-15"/>
        </w:rPr>
        <w:t> </w:t>
      </w:r>
      <w:r>
        <w:rPr/>
        <w:t>Consultants</w:t>
      </w:r>
      <w:r>
        <w:rPr>
          <w:spacing w:val="-10"/>
        </w:rPr>
        <w:t> </w:t>
      </w:r>
      <w:r>
        <w:rPr/>
        <w:t>by</w:t>
      </w:r>
      <w:r>
        <w:rPr>
          <w:spacing w:val="-11"/>
        </w:rPr>
        <w:t> </w:t>
      </w:r>
      <w:r>
        <w:rPr/>
        <w:t>the</w:t>
      </w:r>
      <w:r>
        <w:rPr>
          <w:spacing w:val="-14"/>
        </w:rPr>
        <w:t> </w:t>
      </w:r>
      <w:r>
        <w:rPr/>
        <w:t>Client</w:t>
      </w:r>
      <w:r>
        <w:rPr>
          <w:spacing w:val="-13"/>
        </w:rPr>
        <w:t> </w:t>
      </w:r>
      <w:r>
        <w:rPr/>
        <w:t>unless</w:t>
      </w:r>
      <w:r>
        <w:rPr>
          <w:spacing w:val="-13"/>
        </w:rPr>
        <w:t> </w:t>
      </w:r>
      <w:r>
        <w:rPr/>
        <w:t>otherwise</w:t>
      </w:r>
      <w:r>
        <w:rPr>
          <w:spacing w:val="-13"/>
        </w:rPr>
        <w:t> </w:t>
      </w:r>
      <w:r>
        <w:rPr/>
        <w:t>mentioned.</w:t>
      </w:r>
      <w:r>
        <w:rPr>
          <w:spacing w:val="-11"/>
        </w:rPr>
        <w:t> </w:t>
      </w:r>
      <w:r>
        <w:rPr/>
        <w:t>The</w:t>
      </w:r>
      <w:r>
        <w:rPr>
          <w:spacing w:val="-13"/>
        </w:rPr>
        <w:t> </w:t>
      </w:r>
      <w:r>
        <w:rPr/>
        <w:t>Consultants</w:t>
      </w:r>
      <w:r>
        <w:rPr>
          <w:spacing w:val="-9"/>
        </w:rPr>
        <w:t> </w:t>
      </w:r>
      <w:r>
        <w:rPr/>
        <w:t>have</w:t>
      </w:r>
      <w:r>
        <w:rPr>
          <w:spacing w:val="-13"/>
        </w:rPr>
        <w:t> </w:t>
      </w:r>
      <w:r>
        <w:rPr/>
        <w:t>assumed the</w:t>
      </w:r>
      <w:r>
        <w:rPr>
          <w:spacing w:val="-16"/>
        </w:rPr>
        <w:t> </w:t>
      </w:r>
      <w:r>
        <w:rPr/>
        <w:t>documents</w:t>
      </w:r>
      <w:r>
        <w:rPr>
          <w:spacing w:val="-15"/>
        </w:rPr>
        <w:t> </w:t>
      </w:r>
      <w:r>
        <w:rPr/>
        <w:t>to</w:t>
      </w:r>
      <w:r>
        <w:rPr>
          <w:spacing w:val="-15"/>
        </w:rPr>
        <w:t> </w:t>
      </w:r>
      <w:r>
        <w:rPr/>
        <w:t>be</w:t>
      </w:r>
      <w:r>
        <w:rPr>
          <w:spacing w:val="-16"/>
        </w:rPr>
        <w:t> </w:t>
      </w:r>
      <w:r>
        <w:rPr/>
        <w:t>a</w:t>
      </w:r>
      <w:r>
        <w:rPr>
          <w:spacing w:val="-16"/>
        </w:rPr>
        <w:t> </w:t>
      </w:r>
      <w:r>
        <w:rPr/>
        <w:t>true</w:t>
      </w:r>
      <w:r>
        <w:rPr>
          <w:spacing w:val="-15"/>
        </w:rPr>
        <w:t> </w:t>
      </w:r>
      <w:r>
        <w:rPr/>
        <w:t>copy</w:t>
      </w:r>
      <w:r>
        <w:rPr>
          <w:spacing w:val="-15"/>
        </w:rPr>
        <w:t> </w:t>
      </w:r>
      <w:r>
        <w:rPr/>
        <w:t>of</w:t>
      </w:r>
      <w:r>
        <w:rPr>
          <w:spacing w:val="-15"/>
        </w:rPr>
        <w:t> </w:t>
      </w:r>
      <w:r>
        <w:rPr/>
        <w:t>the</w:t>
      </w:r>
      <w:r>
        <w:rPr>
          <w:spacing w:val="-15"/>
        </w:rPr>
        <w:t> </w:t>
      </w:r>
      <w:r>
        <w:rPr/>
        <w:t>original.</w:t>
      </w:r>
      <w:r>
        <w:rPr>
          <w:spacing w:val="-15"/>
        </w:rPr>
        <w:t> </w:t>
      </w:r>
      <w:r>
        <w:rPr/>
        <w:t>The</w:t>
      </w:r>
      <w:r>
        <w:rPr>
          <w:spacing w:val="-16"/>
        </w:rPr>
        <w:t> </w:t>
      </w:r>
      <w:r>
        <w:rPr/>
        <w:t>rent</w:t>
      </w:r>
      <w:r>
        <w:rPr>
          <w:spacing w:val="-15"/>
        </w:rPr>
        <w:t> </w:t>
      </w:r>
      <w:r>
        <w:rPr/>
        <w:t>rolls</w:t>
      </w:r>
      <w:r>
        <w:rPr>
          <w:spacing w:val="-14"/>
        </w:rPr>
        <w:t> </w:t>
      </w:r>
      <w:r>
        <w:rPr/>
        <w:t>have</w:t>
      </w:r>
      <w:r>
        <w:rPr>
          <w:spacing w:val="-16"/>
        </w:rPr>
        <w:t> </w:t>
      </w:r>
      <w:r>
        <w:rPr/>
        <w:t>been</w:t>
      </w:r>
      <w:r>
        <w:rPr>
          <w:spacing w:val="-10"/>
        </w:rPr>
        <w:t> </w:t>
      </w:r>
      <w:r>
        <w:rPr/>
        <w:t>cross-checked</w:t>
      </w:r>
      <w:r>
        <w:rPr>
          <w:spacing w:val="-14"/>
        </w:rPr>
        <w:t> </w:t>
      </w:r>
      <w:r>
        <w:rPr/>
        <w:t>with</w:t>
      </w:r>
      <w:r>
        <w:rPr>
          <w:spacing w:val="-16"/>
        </w:rPr>
        <w:t> </w:t>
      </w:r>
      <w:r>
        <w:rPr/>
        <w:t>the</w:t>
      </w:r>
      <w:r>
        <w:rPr>
          <w:spacing w:val="-15"/>
        </w:rPr>
        <w:t> </w:t>
      </w:r>
      <w:r>
        <w:rPr/>
        <w:t>lease deeds on a sample basis to verify the</w:t>
      </w:r>
      <w:r>
        <w:rPr>
          <w:spacing w:val="-44"/>
        </w:rPr>
        <w:t> </w:t>
      </w:r>
      <w:r>
        <w:rPr/>
        <w:t>authenticity.</w:t>
      </w:r>
    </w:p>
    <w:p>
      <w:pPr>
        <w:pStyle w:val="BodyText"/>
        <w:spacing w:before="5"/>
        <w:rPr>
          <w:sz w:val="20"/>
        </w:rPr>
      </w:pPr>
    </w:p>
    <w:tbl>
      <w:tblPr>
        <w:tblW w:w="0" w:type="auto"/>
        <w:jc w:val="left"/>
        <w:tblInd w:w="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36"/>
        <w:gridCol w:w="4357"/>
        <w:gridCol w:w="1940"/>
        <w:gridCol w:w="2338"/>
      </w:tblGrid>
      <w:tr>
        <w:trPr>
          <w:trHeight w:val="479" w:hRule="atLeast"/>
        </w:trPr>
        <w:tc>
          <w:tcPr>
            <w:tcW w:w="1836" w:type="dxa"/>
            <w:tcBorders>
              <w:top w:val="single" w:sz="12" w:space="0" w:color="1F6B16"/>
              <w:bottom w:val="single" w:sz="6" w:space="0" w:color="69BD28"/>
              <w:right w:val="single" w:sz="12" w:space="0" w:color="FFFFFF"/>
            </w:tcBorders>
            <w:shd w:val="clear" w:color="auto" w:fill="006A4D"/>
          </w:tcPr>
          <w:p>
            <w:pPr>
              <w:pStyle w:val="TableParagraph"/>
              <w:spacing w:before="123"/>
              <w:ind w:left="33" w:right="33"/>
              <w:rPr>
                <w:sz w:val="20"/>
              </w:rPr>
            </w:pPr>
            <w:r>
              <w:rPr>
                <w:color w:val="FFFFFF"/>
                <w:sz w:val="20"/>
              </w:rPr>
              <w:t>Particulars</w:t>
            </w:r>
          </w:p>
        </w:tc>
        <w:tc>
          <w:tcPr>
            <w:tcW w:w="4357" w:type="dxa"/>
            <w:tcBorders>
              <w:top w:val="single" w:sz="12" w:space="0" w:color="1F6B16"/>
              <w:left w:val="single" w:sz="12" w:space="0" w:color="FFFFFF"/>
              <w:bottom w:val="single" w:sz="6" w:space="0" w:color="69BD28"/>
              <w:right w:val="single" w:sz="12" w:space="0" w:color="FFFFFF"/>
            </w:tcBorders>
            <w:shd w:val="clear" w:color="auto" w:fill="006A4D"/>
          </w:tcPr>
          <w:p>
            <w:pPr>
              <w:pStyle w:val="TableParagraph"/>
              <w:spacing w:before="123"/>
              <w:ind w:left="1836" w:right="1836"/>
              <w:rPr>
                <w:sz w:val="20"/>
              </w:rPr>
            </w:pPr>
            <w:r>
              <w:rPr>
                <w:color w:val="FFFFFF"/>
                <w:sz w:val="20"/>
              </w:rPr>
              <w:t>Details</w:t>
            </w:r>
          </w:p>
        </w:tc>
        <w:tc>
          <w:tcPr>
            <w:tcW w:w="1940" w:type="dxa"/>
            <w:tcBorders>
              <w:top w:val="single" w:sz="12" w:space="0" w:color="1F6B16"/>
              <w:left w:val="single" w:sz="12" w:space="0" w:color="FFFFFF"/>
              <w:bottom w:val="single" w:sz="6" w:space="0" w:color="69BD28"/>
            </w:tcBorders>
            <w:shd w:val="clear" w:color="auto" w:fill="006A4D"/>
          </w:tcPr>
          <w:p>
            <w:pPr>
              <w:pStyle w:val="TableParagraph"/>
              <w:spacing w:before="123"/>
              <w:ind w:left="868" w:right="559"/>
              <w:rPr>
                <w:sz w:val="20"/>
              </w:rPr>
            </w:pPr>
            <w:r>
              <w:rPr>
                <w:color w:val="FFFFFF"/>
                <w:sz w:val="20"/>
              </w:rPr>
              <w:t>Units</w:t>
            </w:r>
          </w:p>
        </w:tc>
        <w:tc>
          <w:tcPr>
            <w:tcW w:w="2338" w:type="dxa"/>
            <w:tcBorders>
              <w:top w:val="single" w:sz="12" w:space="0" w:color="1F6B16"/>
              <w:bottom w:val="single" w:sz="6" w:space="0" w:color="69BD28"/>
            </w:tcBorders>
            <w:shd w:val="clear" w:color="auto" w:fill="006A4D"/>
          </w:tcPr>
          <w:p>
            <w:pPr>
              <w:pStyle w:val="TableParagraph"/>
              <w:spacing w:before="123"/>
              <w:ind w:left="1027"/>
              <w:jc w:val="left"/>
              <w:rPr>
                <w:sz w:val="20"/>
              </w:rPr>
            </w:pPr>
            <w:r>
              <w:rPr>
                <w:color w:val="FFFFFF"/>
                <w:sz w:val="20"/>
              </w:rPr>
              <w:t>Source</w:t>
            </w:r>
          </w:p>
        </w:tc>
      </w:tr>
      <w:tr>
        <w:trPr>
          <w:trHeight w:val="671"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top w:val="single" w:sz="6" w:space="0" w:color="69BD28"/>
              <w:left w:val="single" w:sz="12" w:space="0" w:color="FFFFFF"/>
            </w:tcBorders>
          </w:tcPr>
          <w:p>
            <w:pPr>
              <w:pStyle w:val="TableParagraph"/>
              <w:spacing w:before="2"/>
              <w:jc w:val="left"/>
              <w:rPr>
                <w:sz w:val="20"/>
              </w:rPr>
            </w:pPr>
          </w:p>
          <w:p>
            <w:pPr>
              <w:pStyle w:val="TableParagraph"/>
              <w:ind w:right="13"/>
              <w:rPr>
                <w:sz w:val="18"/>
              </w:rPr>
            </w:pPr>
            <w:r>
              <w:rPr>
                <w:sz w:val="18"/>
              </w:rPr>
              <w:t>Land Area</w:t>
            </w:r>
          </w:p>
        </w:tc>
        <w:tc>
          <w:tcPr>
            <w:tcW w:w="1940" w:type="dxa"/>
            <w:tcBorders>
              <w:top w:val="single" w:sz="6" w:space="0" w:color="69BD28"/>
            </w:tcBorders>
          </w:tcPr>
          <w:p>
            <w:pPr>
              <w:pStyle w:val="TableParagraph"/>
              <w:spacing w:before="2"/>
              <w:jc w:val="left"/>
              <w:rPr>
                <w:sz w:val="20"/>
              </w:rPr>
            </w:pPr>
          </w:p>
          <w:p>
            <w:pPr>
              <w:pStyle w:val="TableParagraph"/>
              <w:ind w:left="660" w:right="337"/>
              <w:rPr>
                <w:sz w:val="18"/>
              </w:rPr>
            </w:pPr>
            <w:r>
              <w:rPr>
                <w:sz w:val="18"/>
              </w:rPr>
              <w:t>Acres</w:t>
            </w:r>
          </w:p>
        </w:tc>
        <w:tc>
          <w:tcPr>
            <w:tcW w:w="2338" w:type="dxa"/>
            <w:tcBorders>
              <w:top w:val="single" w:sz="6" w:space="0" w:color="69BD28"/>
            </w:tcBorders>
          </w:tcPr>
          <w:p>
            <w:pPr>
              <w:pStyle w:val="TableParagraph"/>
              <w:spacing w:line="247" w:lineRule="auto" w:before="124"/>
              <w:ind w:left="727" w:hanging="332"/>
              <w:jc w:val="left"/>
              <w:rPr>
                <w:sz w:val="18"/>
              </w:rPr>
            </w:pPr>
            <w:r>
              <w:rPr>
                <w:w w:val="95"/>
                <w:sz w:val="18"/>
              </w:rPr>
              <w:t>Title report prepared by </w:t>
            </w:r>
            <w:r>
              <w:rPr>
                <w:sz w:val="18"/>
              </w:rPr>
              <w:t>Legal Counsels</w:t>
            </w:r>
          </w:p>
        </w:tc>
      </w:tr>
      <w:tr>
        <w:trPr>
          <w:trHeight w:val="455"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24"/>
              <w:ind w:right="14"/>
              <w:rPr>
                <w:sz w:val="18"/>
              </w:rPr>
            </w:pPr>
            <w:r>
              <w:rPr>
                <w:sz w:val="18"/>
              </w:rPr>
              <w:t>Permissible FSI</w:t>
            </w:r>
          </w:p>
        </w:tc>
        <w:tc>
          <w:tcPr>
            <w:tcW w:w="1940" w:type="dxa"/>
          </w:tcPr>
          <w:p>
            <w:pPr>
              <w:pStyle w:val="TableParagraph"/>
              <w:spacing w:before="124"/>
              <w:ind w:left="660" w:right="340"/>
              <w:rPr>
                <w:sz w:val="18"/>
              </w:rPr>
            </w:pPr>
            <w:r>
              <w:rPr>
                <w:sz w:val="18"/>
              </w:rPr>
              <w:t>Ratio / No.</w:t>
            </w:r>
          </w:p>
        </w:tc>
        <w:tc>
          <w:tcPr>
            <w:tcW w:w="2338" w:type="dxa"/>
          </w:tcPr>
          <w:p>
            <w:pPr>
              <w:pStyle w:val="TableParagraph"/>
              <w:spacing w:before="124"/>
              <w:ind w:right="257"/>
              <w:jc w:val="right"/>
              <w:rPr>
                <w:sz w:val="18"/>
              </w:rPr>
            </w:pPr>
            <w:r>
              <w:rPr>
                <w:w w:val="90"/>
                <w:sz w:val="18"/>
              </w:rPr>
              <w:t>Architect Certificate</w:t>
            </w:r>
          </w:p>
        </w:tc>
      </w:tr>
      <w:tr>
        <w:trPr>
          <w:trHeight w:val="456"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24"/>
              <w:ind w:right="11"/>
              <w:rPr>
                <w:sz w:val="18"/>
              </w:rPr>
            </w:pPr>
            <w:r>
              <w:rPr>
                <w:sz w:val="18"/>
              </w:rPr>
              <w:t>Achieved FSI</w:t>
            </w:r>
          </w:p>
        </w:tc>
        <w:tc>
          <w:tcPr>
            <w:tcW w:w="1940" w:type="dxa"/>
          </w:tcPr>
          <w:p>
            <w:pPr>
              <w:pStyle w:val="TableParagraph"/>
              <w:spacing w:before="124"/>
              <w:ind w:left="660" w:right="340"/>
              <w:rPr>
                <w:sz w:val="18"/>
              </w:rPr>
            </w:pPr>
            <w:r>
              <w:rPr>
                <w:w w:val="105"/>
                <w:sz w:val="18"/>
              </w:rPr>
              <w:t>No.</w:t>
            </w:r>
          </w:p>
        </w:tc>
        <w:tc>
          <w:tcPr>
            <w:tcW w:w="2338" w:type="dxa"/>
          </w:tcPr>
          <w:p>
            <w:pPr>
              <w:pStyle w:val="TableParagraph"/>
              <w:spacing w:before="124"/>
              <w:ind w:right="257"/>
              <w:jc w:val="right"/>
              <w:rPr>
                <w:sz w:val="18"/>
              </w:rPr>
            </w:pPr>
            <w:r>
              <w:rPr>
                <w:w w:val="90"/>
                <w:sz w:val="18"/>
              </w:rPr>
              <w:t>Architect Certificate</w:t>
            </w:r>
          </w:p>
        </w:tc>
      </w:tr>
      <w:tr>
        <w:trPr>
          <w:trHeight w:val="455"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24"/>
              <w:ind w:right="13"/>
              <w:rPr>
                <w:sz w:val="18"/>
              </w:rPr>
            </w:pPr>
            <w:r>
              <w:rPr>
                <w:sz w:val="18"/>
              </w:rPr>
              <w:t>FSI Area</w:t>
            </w:r>
          </w:p>
        </w:tc>
        <w:tc>
          <w:tcPr>
            <w:tcW w:w="1940" w:type="dxa"/>
          </w:tcPr>
          <w:p>
            <w:pPr>
              <w:pStyle w:val="TableParagraph"/>
              <w:spacing w:before="124"/>
              <w:ind w:left="660" w:right="335"/>
              <w:rPr>
                <w:sz w:val="18"/>
              </w:rPr>
            </w:pPr>
            <w:r>
              <w:rPr>
                <w:sz w:val="18"/>
              </w:rPr>
              <w:t>Sf</w:t>
            </w:r>
          </w:p>
        </w:tc>
        <w:tc>
          <w:tcPr>
            <w:tcW w:w="2338" w:type="dxa"/>
          </w:tcPr>
          <w:p>
            <w:pPr>
              <w:pStyle w:val="TableParagraph"/>
              <w:spacing w:before="124"/>
              <w:ind w:right="257"/>
              <w:jc w:val="right"/>
              <w:rPr>
                <w:sz w:val="18"/>
              </w:rPr>
            </w:pPr>
            <w:r>
              <w:rPr>
                <w:w w:val="90"/>
                <w:sz w:val="18"/>
              </w:rPr>
              <w:t>Architect Certificate</w:t>
            </w:r>
          </w:p>
        </w:tc>
      </w:tr>
      <w:tr>
        <w:trPr>
          <w:trHeight w:val="456"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24"/>
              <w:ind w:right="15"/>
              <w:rPr>
                <w:sz w:val="18"/>
              </w:rPr>
            </w:pPr>
            <w:r>
              <w:rPr>
                <w:sz w:val="18"/>
              </w:rPr>
              <w:t>Built-Up Area</w:t>
            </w:r>
          </w:p>
        </w:tc>
        <w:tc>
          <w:tcPr>
            <w:tcW w:w="1940" w:type="dxa"/>
          </w:tcPr>
          <w:p>
            <w:pPr>
              <w:pStyle w:val="TableParagraph"/>
              <w:spacing w:before="124"/>
              <w:ind w:left="660" w:right="335"/>
              <w:rPr>
                <w:sz w:val="18"/>
              </w:rPr>
            </w:pPr>
            <w:r>
              <w:rPr>
                <w:sz w:val="18"/>
              </w:rPr>
              <w:t>Sf</w:t>
            </w:r>
          </w:p>
        </w:tc>
        <w:tc>
          <w:tcPr>
            <w:tcW w:w="2338" w:type="dxa"/>
          </w:tcPr>
          <w:p>
            <w:pPr>
              <w:pStyle w:val="TableParagraph"/>
              <w:spacing w:before="124"/>
              <w:ind w:right="257"/>
              <w:jc w:val="right"/>
              <w:rPr>
                <w:sz w:val="18"/>
              </w:rPr>
            </w:pPr>
            <w:r>
              <w:rPr>
                <w:w w:val="90"/>
                <w:sz w:val="18"/>
              </w:rPr>
              <w:t>Architect Certificate</w:t>
            </w:r>
          </w:p>
        </w:tc>
      </w:tr>
      <w:tr>
        <w:trPr>
          <w:trHeight w:val="398"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24"/>
              <w:ind w:right="13"/>
              <w:rPr>
                <w:sz w:val="18"/>
              </w:rPr>
            </w:pPr>
            <w:r>
              <w:rPr>
                <w:w w:val="105"/>
                <w:sz w:val="18"/>
              </w:rPr>
              <w:t>Leasable Area – Tower Wise</w:t>
            </w:r>
          </w:p>
        </w:tc>
        <w:tc>
          <w:tcPr>
            <w:tcW w:w="1940" w:type="dxa"/>
          </w:tcPr>
          <w:p>
            <w:pPr>
              <w:pStyle w:val="TableParagraph"/>
              <w:spacing w:before="124"/>
              <w:ind w:left="660" w:right="335"/>
              <w:rPr>
                <w:sz w:val="18"/>
              </w:rPr>
            </w:pPr>
            <w:r>
              <w:rPr>
                <w:sz w:val="18"/>
              </w:rPr>
              <w:t>Sf</w:t>
            </w:r>
          </w:p>
        </w:tc>
        <w:tc>
          <w:tcPr>
            <w:tcW w:w="2338" w:type="dxa"/>
          </w:tcPr>
          <w:p>
            <w:pPr>
              <w:pStyle w:val="TableParagraph"/>
              <w:spacing w:before="124"/>
              <w:ind w:right="257"/>
              <w:jc w:val="right"/>
              <w:rPr>
                <w:sz w:val="18"/>
              </w:rPr>
            </w:pPr>
            <w:r>
              <w:rPr>
                <w:w w:val="90"/>
                <w:sz w:val="18"/>
              </w:rPr>
              <w:t>Architect Certificate</w:t>
            </w:r>
          </w:p>
        </w:tc>
      </w:tr>
      <w:tr>
        <w:trPr>
          <w:trHeight w:val="523" w:hRule="atLeast"/>
        </w:trPr>
        <w:tc>
          <w:tcPr>
            <w:tcW w:w="1836" w:type="dxa"/>
            <w:tcBorders>
              <w:right w:val="single" w:sz="12" w:space="0" w:color="FFFFFF"/>
            </w:tcBorders>
            <w:shd w:val="clear" w:color="auto" w:fill="69BD28"/>
          </w:tcPr>
          <w:p>
            <w:pPr>
              <w:pStyle w:val="TableParagraph"/>
              <w:spacing w:before="67"/>
              <w:ind w:left="33" w:right="33"/>
              <w:rPr>
                <w:b/>
                <w:sz w:val="18"/>
              </w:rPr>
            </w:pPr>
            <w:r>
              <w:rPr>
                <w:b/>
                <w:color w:val="FFFFFF"/>
                <w:w w:val="110"/>
                <w:sz w:val="18"/>
              </w:rPr>
              <w:t>Area Details</w:t>
            </w:r>
          </w:p>
        </w:tc>
        <w:tc>
          <w:tcPr>
            <w:tcW w:w="4357" w:type="dxa"/>
            <w:tcBorders>
              <w:left w:val="single" w:sz="12" w:space="0" w:color="FFFFFF"/>
            </w:tcBorders>
          </w:tcPr>
          <w:p>
            <w:pPr>
              <w:pStyle w:val="TableParagraph"/>
              <w:spacing w:before="191"/>
              <w:ind w:right="9"/>
              <w:rPr>
                <w:sz w:val="18"/>
              </w:rPr>
            </w:pPr>
            <w:r>
              <w:rPr>
                <w:w w:val="105"/>
                <w:sz w:val="18"/>
              </w:rPr>
              <w:t>Leasable Area – Future Development</w:t>
            </w:r>
          </w:p>
        </w:tc>
        <w:tc>
          <w:tcPr>
            <w:tcW w:w="1940" w:type="dxa"/>
          </w:tcPr>
          <w:p>
            <w:pPr>
              <w:pStyle w:val="TableParagraph"/>
              <w:spacing w:before="191"/>
              <w:ind w:left="660" w:right="335"/>
              <w:rPr>
                <w:sz w:val="18"/>
              </w:rPr>
            </w:pPr>
            <w:r>
              <w:rPr>
                <w:sz w:val="18"/>
              </w:rPr>
              <w:t>Sf</w:t>
            </w:r>
          </w:p>
        </w:tc>
        <w:tc>
          <w:tcPr>
            <w:tcW w:w="2338" w:type="dxa"/>
          </w:tcPr>
          <w:p>
            <w:pPr>
              <w:pStyle w:val="TableParagraph"/>
              <w:spacing w:before="191"/>
              <w:ind w:right="257"/>
              <w:jc w:val="right"/>
              <w:rPr>
                <w:sz w:val="18"/>
              </w:rPr>
            </w:pPr>
            <w:r>
              <w:rPr>
                <w:w w:val="90"/>
                <w:sz w:val="18"/>
              </w:rPr>
              <w:t>Architect Certificate</w:t>
            </w:r>
          </w:p>
        </w:tc>
      </w:tr>
      <w:tr>
        <w:trPr>
          <w:trHeight w:val="456"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24"/>
              <w:ind w:right="13"/>
              <w:rPr>
                <w:sz w:val="18"/>
              </w:rPr>
            </w:pPr>
            <w:r>
              <w:rPr>
                <w:sz w:val="18"/>
              </w:rPr>
              <w:t>No. of Floors</w:t>
            </w:r>
          </w:p>
        </w:tc>
        <w:tc>
          <w:tcPr>
            <w:tcW w:w="1940" w:type="dxa"/>
          </w:tcPr>
          <w:p>
            <w:pPr>
              <w:pStyle w:val="TableParagraph"/>
              <w:spacing w:before="124"/>
              <w:ind w:left="660" w:right="340"/>
              <w:rPr>
                <w:sz w:val="18"/>
              </w:rPr>
            </w:pPr>
            <w:r>
              <w:rPr>
                <w:w w:val="105"/>
                <w:sz w:val="18"/>
              </w:rPr>
              <w:t>No.</w:t>
            </w:r>
          </w:p>
        </w:tc>
        <w:tc>
          <w:tcPr>
            <w:tcW w:w="2338" w:type="dxa"/>
          </w:tcPr>
          <w:p>
            <w:pPr>
              <w:pStyle w:val="TableParagraph"/>
              <w:spacing w:before="124"/>
              <w:ind w:right="147"/>
              <w:jc w:val="right"/>
              <w:rPr>
                <w:sz w:val="18"/>
              </w:rPr>
            </w:pPr>
            <w:r>
              <w:rPr>
                <w:w w:val="95"/>
                <w:sz w:val="18"/>
              </w:rPr>
              <w:t>Occupancy Certificate</w:t>
            </w:r>
          </w:p>
        </w:tc>
      </w:tr>
      <w:tr>
        <w:trPr>
          <w:trHeight w:val="455"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24"/>
              <w:ind w:right="11"/>
              <w:rPr>
                <w:sz w:val="18"/>
              </w:rPr>
            </w:pPr>
            <w:r>
              <w:rPr>
                <w:sz w:val="18"/>
              </w:rPr>
              <w:t>Stacking Plan</w:t>
            </w:r>
          </w:p>
        </w:tc>
        <w:tc>
          <w:tcPr>
            <w:tcW w:w="1940" w:type="dxa"/>
          </w:tcPr>
          <w:p>
            <w:pPr>
              <w:pStyle w:val="TableParagraph"/>
              <w:spacing w:before="124"/>
              <w:ind w:left="659" w:right="340"/>
              <w:rPr>
                <w:sz w:val="18"/>
              </w:rPr>
            </w:pPr>
            <w:r>
              <w:rPr>
                <w:w w:val="115"/>
                <w:sz w:val="18"/>
              </w:rPr>
              <w:t>NA</w:t>
            </w:r>
          </w:p>
        </w:tc>
        <w:tc>
          <w:tcPr>
            <w:tcW w:w="2338" w:type="dxa"/>
          </w:tcPr>
          <w:p>
            <w:pPr>
              <w:pStyle w:val="TableParagraph"/>
              <w:spacing w:before="124"/>
              <w:ind w:right="240"/>
              <w:jc w:val="right"/>
              <w:rPr>
                <w:sz w:val="18"/>
              </w:rPr>
            </w:pPr>
            <w:r>
              <w:rPr>
                <w:sz w:val="18"/>
              </w:rPr>
              <w:t>Client/ Lease deeds</w:t>
            </w:r>
          </w:p>
        </w:tc>
      </w:tr>
      <w:tr>
        <w:trPr>
          <w:trHeight w:val="886"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3"/>
              <w:jc w:val="left"/>
              <w:rPr>
                <w:sz w:val="29"/>
              </w:rPr>
            </w:pPr>
          </w:p>
          <w:p>
            <w:pPr>
              <w:pStyle w:val="TableParagraph"/>
              <w:ind w:right="11"/>
              <w:rPr>
                <w:sz w:val="18"/>
              </w:rPr>
            </w:pPr>
            <w:r>
              <w:rPr>
                <w:sz w:val="18"/>
              </w:rPr>
              <w:t>No. of Basements</w:t>
            </w:r>
          </w:p>
        </w:tc>
        <w:tc>
          <w:tcPr>
            <w:tcW w:w="1940" w:type="dxa"/>
          </w:tcPr>
          <w:p>
            <w:pPr>
              <w:pStyle w:val="TableParagraph"/>
              <w:spacing w:before="3"/>
              <w:jc w:val="left"/>
              <w:rPr>
                <w:sz w:val="29"/>
              </w:rPr>
            </w:pPr>
          </w:p>
          <w:p>
            <w:pPr>
              <w:pStyle w:val="TableParagraph"/>
              <w:ind w:left="660" w:right="340"/>
              <w:rPr>
                <w:sz w:val="18"/>
              </w:rPr>
            </w:pPr>
            <w:r>
              <w:rPr>
                <w:w w:val="105"/>
                <w:sz w:val="18"/>
              </w:rPr>
              <w:t>No.</w:t>
            </w:r>
          </w:p>
        </w:tc>
        <w:tc>
          <w:tcPr>
            <w:tcW w:w="2338" w:type="dxa"/>
          </w:tcPr>
          <w:p>
            <w:pPr>
              <w:pStyle w:val="TableParagraph"/>
              <w:spacing w:line="247" w:lineRule="auto" w:before="124"/>
              <w:ind w:left="458" w:right="147" w:hanging="3"/>
              <w:rPr>
                <w:sz w:val="18"/>
              </w:rPr>
            </w:pPr>
            <w:r>
              <w:rPr>
                <w:w w:val="90"/>
                <w:sz w:val="18"/>
              </w:rPr>
              <w:t>Architect Certificate/ </w:t>
            </w:r>
            <w:r>
              <w:rPr>
                <w:sz w:val="18"/>
              </w:rPr>
              <w:t>Sanctioned Plan/ </w:t>
            </w:r>
            <w:r>
              <w:rPr>
                <w:w w:val="95"/>
                <w:sz w:val="18"/>
              </w:rPr>
              <w:t>Occupancy Certificate</w:t>
            </w:r>
          </w:p>
        </w:tc>
      </w:tr>
      <w:tr>
        <w:trPr>
          <w:trHeight w:val="454"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23"/>
              <w:ind w:right="13"/>
              <w:rPr>
                <w:sz w:val="18"/>
              </w:rPr>
            </w:pPr>
            <w:r>
              <w:rPr>
                <w:sz w:val="18"/>
              </w:rPr>
              <w:t>Car Parking Area</w:t>
            </w:r>
          </w:p>
        </w:tc>
        <w:tc>
          <w:tcPr>
            <w:tcW w:w="1940" w:type="dxa"/>
          </w:tcPr>
          <w:p>
            <w:pPr>
              <w:pStyle w:val="TableParagraph"/>
              <w:spacing w:before="123"/>
              <w:ind w:left="660" w:right="335"/>
              <w:rPr>
                <w:sz w:val="18"/>
              </w:rPr>
            </w:pPr>
            <w:r>
              <w:rPr>
                <w:sz w:val="18"/>
              </w:rPr>
              <w:t>Sf</w:t>
            </w:r>
          </w:p>
        </w:tc>
        <w:tc>
          <w:tcPr>
            <w:tcW w:w="2338" w:type="dxa"/>
          </w:tcPr>
          <w:p>
            <w:pPr>
              <w:pStyle w:val="TableParagraph"/>
              <w:spacing w:before="123"/>
              <w:ind w:right="256"/>
              <w:jc w:val="right"/>
              <w:rPr>
                <w:sz w:val="18"/>
              </w:rPr>
            </w:pPr>
            <w:r>
              <w:rPr>
                <w:w w:val="90"/>
                <w:sz w:val="18"/>
              </w:rPr>
              <w:t>Architect Certificate</w:t>
            </w:r>
          </w:p>
        </w:tc>
      </w:tr>
      <w:tr>
        <w:trPr>
          <w:trHeight w:val="456"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bottom w:val="single" w:sz="6" w:space="0" w:color="69BD28"/>
            </w:tcBorders>
          </w:tcPr>
          <w:p>
            <w:pPr>
              <w:pStyle w:val="TableParagraph"/>
              <w:spacing w:before="124"/>
              <w:ind w:right="11"/>
              <w:rPr>
                <w:sz w:val="18"/>
              </w:rPr>
            </w:pPr>
            <w:r>
              <w:rPr>
                <w:sz w:val="18"/>
              </w:rPr>
              <w:t>Number of car parks</w:t>
            </w:r>
          </w:p>
        </w:tc>
        <w:tc>
          <w:tcPr>
            <w:tcW w:w="1940" w:type="dxa"/>
            <w:tcBorders>
              <w:bottom w:val="single" w:sz="6" w:space="0" w:color="69BD28"/>
            </w:tcBorders>
          </w:tcPr>
          <w:p>
            <w:pPr>
              <w:pStyle w:val="TableParagraph"/>
              <w:spacing w:before="124"/>
              <w:ind w:left="660" w:right="340"/>
              <w:rPr>
                <w:sz w:val="18"/>
              </w:rPr>
            </w:pPr>
            <w:r>
              <w:rPr>
                <w:w w:val="105"/>
                <w:sz w:val="18"/>
              </w:rPr>
              <w:t>No.</w:t>
            </w:r>
          </w:p>
        </w:tc>
        <w:tc>
          <w:tcPr>
            <w:tcW w:w="2338" w:type="dxa"/>
            <w:tcBorders>
              <w:bottom w:val="single" w:sz="6" w:space="0" w:color="69BD28"/>
            </w:tcBorders>
          </w:tcPr>
          <w:p>
            <w:pPr>
              <w:pStyle w:val="TableParagraph"/>
              <w:spacing w:before="124"/>
              <w:ind w:right="257"/>
              <w:jc w:val="right"/>
              <w:rPr>
                <w:sz w:val="18"/>
              </w:rPr>
            </w:pPr>
            <w:r>
              <w:rPr>
                <w:w w:val="90"/>
                <w:sz w:val="18"/>
              </w:rPr>
              <w:t>Architect Certificate</w:t>
            </w:r>
          </w:p>
        </w:tc>
      </w:tr>
      <w:tr>
        <w:trPr>
          <w:trHeight w:val="464"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top w:val="single" w:sz="6" w:space="0" w:color="69BD28"/>
              <w:left w:val="single" w:sz="12" w:space="0" w:color="FFFFFF"/>
            </w:tcBorders>
          </w:tcPr>
          <w:p>
            <w:pPr>
              <w:pStyle w:val="TableParagraph"/>
              <w:spacing w:before="126"/>
              <w:ind w:right="13"/>
              <w:rPr>
                <w:sz w:val="18"/>
              </w:rPr>
            </w:pPr>
            <w:r>
              <w:rPr>
                <w:sz w:val="18"/>
              </w:rPr>
              <w:t>Land Use / Zoning</w:t>
            </w:r>
          </w:p>
        </w:tc>
        <w:tc>
          <w:tcPr>
            <w:tcW w:w="1940" w:type="dxa"/>
            <w:tcBorders>
              <w:top w:val="single" w:sz="6" w:space="0" w:color="69BD28"/>
            </w:tcBorders>
          </w:tcPr>
          <w:p>
            <w:pPr>
              <w:pStyle w:val="TableParagraph"/>
              <w:spacing w:before="126"/>
              <w:ind w:left="659" w:right="340"/>
              <w:rPr>
                <w:sz w:val="18"/>
              </w:rPr>
            </w:pPr>
            <w:r>
              <w:rPr>
                <w:w w:val="115"/>
                <w:sz w:val="18"/>
              </w:rPr>
              <w:t>NA</w:t>
            </w:r>
          </w:p>
        </w:tc>
        <w:tc>
          <w:tcPr>
            <w:tcW w:w="2338" w:type="dxa"/>
            <w:tcBorders>
              <w:top w:val="single" w:sz="6" w:space="0" w:color="69BD28"/>
            </w:tcBorders>
          </w:tcPr>
          <w:p>
            <w:pPr>
              <w:pStyle w:val="TableParagraph"/>
              <w:spacing w:before="126"/>
              <w:ind w:right="69"/>
              <w:jc w:val="right"/>
              <w:rPr>
                <w:sz w:val="18"/>
              </w:rPr>
            </w:pPr>
            <w:r>
              <w:rPr>
                <w:w w:val="95"/>
                <w:sz w:val="18"/>
              </w:rPr>
              <w:t>Title Report/Zoning Plan</w:t>
            </w:r>
          </w:p>
        </w:tc>
      </w:tr>
      <w:tr>
        <w:trPr>
          <w:trHeight w:val="470"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32"/>
              <w:ind w:right="11"/>
              <w:rPr>
                <w:sz w:val="18"/>
              </w:rPr>
            </w:pPr>
            <w:r>
              <w:rPr>
                <w:sz w:val="18"/>
              </w:rPr>
              <w:t>Title Deeds</w:t>
            </w:r>
          </w:p>
        </w:tc>
        <w:tc>
          <w:tcPr>
            <w:tcW w:w="1940" w:type="dxa"/>
          </w:tcPr>
          <w:p>
            <w:pPr>
              <w:pStyle w:val="TableParagraph"/>
              <w:spacing w:before="132"/>
              <w:ind w:left="659" w:right="340"/>
              <w:rPr>
                <w:sz w:val="18"/>
              </w:rPr>
            </w:pPr>
            <w:r>
              <w:rPr>
                <w:w w:val="115"/>
                <w:sz w:val="18"/>
              </w:rPr>
              <w:t>NA</w:t>
            </w:r>
          </w:p>
        </w:tc>
        <w:tc>
          <w:tcPr>
            <w:tcW w:w="2338" w:type="dxa"/>
          </w:tcPr>
          <w:p>
            <w:pPr>
              <w:pStyle w:val="TableParagraph"/>
              <w:spacing w:before="132"/>
              <w:ind w:left="886"/>
              <w:jc w:val="left"/>
              <w:rPr>
                <w:sz w:val="18"/>
              </w:rPr>
            </w:pPr>
            <w:r>
              <w:rPr>
                <w:sz w:val="18"/>
              </w:rPr>
              <w:t>Title Report</w:t>
            </w:r>
          </w:p>
        </w:tc>
      </w:tr>
      <w:tr>
        <w:trPr>
          <w:trHeight w:val="470"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31"/>
              <w:ind w:right="14"/>
              <w:rPr>
                <w:sz w:val="18"/>
              </w:rPr>
            </w:pPr>
            <w:r>
              <w:rPr>
                <w:sz w:val="18"/>
              </w:rPr>
              <w:t>Approved Sanction Plan</w:t>
            </w:r>
          </w:p>
        </w:tc>
        <w:tc>
          <w:tcPr>
            <w:tcW w:w="1940" w:type="dxa"/>
          </w:tcPr>
          <w:p>
            <w:pPr>
              <w:pStyle w:val="TableParagraph"/>
              <w:spacing w:before="131"/>
              <w:ind w:left="659" w:right="340"/>
              <w:rPr>
                <w:sz w:val="18"/>
              </w:rPr>
            </w:pPr>
            <w:r>
              <w:rPr>
                <w:w w:val="115"/>
                <w:sz w:val="18"/>
              </w:rPr>
              <w:t>NA</w:t>
            </w:r>
          </w:p>
        </w:tc>
        <w:tc>
          <w:tcPr>
            <w:tcW w:w="2338" w:type="dxa"/>
          </w:tcPr>
          <w:p>
            <w:pPr>
              <w:pStyle w:val="TableParagraph"/>
              <w:spacing w:before="131"/>
              <w:ind w:right="253"/>
              <w:jc w:val="right"/>
              <w:rPr>
                <w:sz w:val="18"/>
              </w:rPr>
            </w:pPr>
            <w:r>
              <w:rPr>
                <w:sz w:val="18"/>
              </w:rPr>
              <w:t>Copy as applicable</w:t>
            </w:r>
          </w:p>
        </w:tc>
      </w:tr>
      <w:tr>
        <w:trPr>
          <w:trHeight w:val="416"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31"/>
              <w:ind w:right="13"/>
              <w:rPr>
                <w:sz w:val="18"/>
              </w:rPr>
            </w:pPr>
            <w:r>
              <w:rPr>
                <w:sz w:val="18"/>
              </w:rPr>
              <w:t>Building Plan / Site Plan</w:t>
            </w:r>
          </w:p>
        </w:tc>
        <w:tc>
          <w:tcPr>
            <w:tcW w:w="1940" w:type="dxa"/>
          </w:tcPr>
          <w:p>
            <w:pPr>
              <w:pStyle w:val="TableParagraph"/>
              <w:spacing w:before="131"/>
              <w:ind w:left="659" w:right="340"/>
              <w:rPr>
                <w:sz w:val="18"/>
              </w:rPr>
            </w:pPr>
            <w:r>
              <w:rPr>
                <w:w w:val="115"/>
                <w:sz w:val="18"/>
              </w:rPr>
              <w:t>NA</w:t>
            </w:r>
          </w:p>
        </w:tc>
        <w:tc>
          <w:tcPr>
            <w:tcW w:w="2338" w:type="dxa"/>
          </w:tcPr>
          <w:p>
            <w:pPr>
              <w:pStyle w:val="TableParagraph"/>
              <w:spacing w:before="131"/>
              <w:ind w:right="253"/>
              <w:jc w:val="right"/>
              <w:rPr>
                <w:sz w:val="18"/>
              </w:rPr>
            </w:pPr>
            <w:r>
              <w:rPr>
                <w:sz w:val="18"/>
              </w:rPr>
              <w:t>Copy as applicable</w:t>
            </w:r>
          </w:p>
        </w:tc>
      </w:tr>
      <w:tr>
        <w:trPr>
          <w:trHeight w:val="578" w:hRule="atLeast"/>
        </w:trPr>
        <w:tc>
          <w:tcPr>
            <w:tcW w:w="1836" w:type="dxa"/>
            <w:tcBorders>
              <w:right w:val="single" w:sz="12" w:space="0" w:color="FFFFFF"/>
            </w:tcBorders>
            <w:shd w:val="clear" w:color="auto" w:fill="69BD28"/>
          </w:tcPr>
          <w:p>
            <w:pPr>
              <w:pStyle w:val="TableParagraph"/>
              <w:spacing w:line="247" w:lineRule="auto" w:before="77"/>
              <w:ind w:left="449" w:hanging="77"/>
              <w:jc w:val="left"/>
              <w:rPr>
                <w:b/>
                <w:sz w:val="18"/>
              </w:rPr>
            </w:pPr>
            <w:r>
              <w:rPr>
                <w:b/>
                <w:color w:val="FFFFFF"/>
                <w:w w:val="105"/>
                <w:sz w:val="18"/>
              </w:rPr>
              <w:t>Documents/ </w:t>
            </w:r>
            <w:r>
              <w:rPr>
                <w:b/>
                <w:color w:val="FFFFFF"/>
                <w:w w:val="110"/>
                <w:sz w:val="18"/>
              </w:rPr>
              <w:t>Approvals</w:t>
            </w:r>
          </w:p>
        </w:tc>
        <w:tc>
          <w:tcPr>
            <w:tcW w:w="4357" w:type="dxa"/>
            <w:tcBorders>
              <w:left w:val="single" w:sz="12" w:space="0" w:color="FFFFFF"/>
            </w:tcBorders>
          </w:tcPr>
          <w:p>
            <w:pPr>
              <w:pStyle w:val="TableParagraph"/>
              <w:spacing w:before="185"/>
              <w:ind w:right="11"/>
              <w:rPr>
                <w:sz w:val="18"/>
              </w:rPr>
            </w:pPr>
            <w:r>
              <w:rPr>
                <w:sz w:val="18"/>
              </w:rPr>
              <w:t>Floor Plans</w:t>
            </w:r>
          </w:p>
        </w:tc>
        <w:tc>
          <w:tcPr>
            <w:tcW w:w="1940" w:type="dxa"/>
          </w:tcPr>
          <w:p>
            <w:pPr>
              <w:pStyle w:val="TableParagraph"/>
              <w:spacing w:before="185"/>
              <w:ind w:left="659" w:right="340"/>
              <w:rPr>
                <w:sz w:val="18"/>
              </w:rPr>
            </w:pPr>
            <w:r>
              <w:rPr>
                <w:w w:val="115"/>
                <w:sz w:val="18"/>
              </w:rPr>
              <w:t>NA</w:t>
            </w:r>
          </w:p>
        </w:tc>
        <w:tc>
          <w:tcPr>
            <w:tcW w:w="2338" w:type="dxa"/>
          </w:tcPr>
          <w:p>
            <w:pPr>
              <w:pStyle w:val="TableParagraph"/>
              <w:spacing w:before="185"/>
              <w:ind w:right="253"/>
              <w:jc w:val="right"/>
              <w:rPr>
                <w:sz w:val="18"/>
              </w:rPr>
            </w:pPr>
            <w:r>
              <w:rPr>
                <w:sz w:val="18"/>
              </w:rPr>
              <w:t>Copy as applicable</w:t>
            </w:r>
          </w:p>
        </w:tc>
      </w:tr>
      <w:tr>
        <w:trPr>
          <w:trHeight w:val="416"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77"/>
              <w:ind w:right="15"/>
              <w:rPr>
                <w:sz w:val="18"/>
              </w:rPr>
            </w:pPr>
            <w:r>
              <w:rPr>
                <w:sz w:val="18"/>
              </w:rPr>
              <w:t>Height Clearance Approvals (AAI)</w:t>
            </w:r>
          </w:p>
        </w:tc>
        <w:tc>
          <w:tcPr>
            <w:tcW w:w="1940" w:type="dxa"/>
          </w:tcPr>
          <w:p>
            <w:pPr>
              <w:pStyle w:val="TableParagraph"/>
              <w:spacing w:before="77"/>
              <w:ind w:left="659" w:right="340"/>
              <w:rPr>
                <w:sz w:val="18"/>
              </w:rPr>
            </w:pPr>
            <w:r>
              <w:rPr>
                <w:w w:val="115"/>
                <w:sz w:val="18"/>
              </w:rPr>
              <w:t>NA</w:t>
            </w:r>
          </w:p>
        </w:tc>
        <w:tc>
          <w:tcPr>
            <w:tcW w:w="2338" w:type="dxa"/>
          </w:tcPr>
          <w:p>
            <w:pPr>
              <w:pStyle w:val="TableParagraph"/>
              <w:spacing w:before="77"/>
              <w:ind w:right="253"/>
              <w:jc w:val="right"/>
              <w:rPr>
                <w:sz w:val="18"/>
              </w:rPr>
            </w:pPr>
            <w:r>
              <w:rPr>
                <w:sz w:val="18"/>
              </w:rPr>
              <w:t>Copy as applicable</w:t>
            </w:r>
          </w:p>
        </w:tc>
      </w:tr>
      <w:tr>
        <w:trPr>
          <w:trHeight w:val="471"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31"/>
              <w:ind w:right="13"/>
              <w:rPr>
                <w:sz w:val="18"/>
              </w:rPr>
            </w:pPr>
            <w:r>
              <w:rPr>
                <w:w w:val="110"/>
                <w:sz w:val="18"/>
              </w:rPr>
              <w:t>Fire NOC</w:t>
            </w:r>
          </w:p>
        </w:tc>
        <w:tc>
          <w:tcPr>
            <w:tcW w:w="1940" w:type="dxa"/>
          </w:tcPr>
          <w:p>
            <w:pPr>
              <w:pStyle w:val="TableParagraph"/>
              <w:spacing w:before="131"/>
              <w:ind w:left="659" w:right="340"/>
              <w:rPr>
                <w:sz w:val="18"/>
              </w:rPr>
            </w:pPr>
            <w:r>
              <w:rPr>
                <w:w w:val="115"/>
                <w:sz w:val="18"/>
              </w:rPr>
              <w:t>NA</w:t>
            </w:r>
          </w:p>
        </w:tc>
        <w:tc>
          <w:tcPr>
            <w:tcW w:w="2338" w:type="dxa"/>
          </w:tcPr>
          <w:p>
            <w:pPr>
              <w:pStyle w:val="TableParagraph"/>
              <w:spacing w:before="131"/>
              <w:ind w:right="253"/>
              <w:jc w:val="right"/>
              <w:rPr>
                <w:sz w:val="18"/>
              </w:rPr>
            </w:pPr>
            <w:r>
              <w:rPr>
                <w:sz w:val="18"/>
              </w:rPr>
              <w:t>Copy as applicable</w:t>
            </w:r>
          </w:p>
        </w:tc>
      </w:tr>
      <w:tr>
        <w:trPr>
          <w:trHeight w:val="471"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33"/>
              <w:ind w:right="15"/>
              <w:rPr>
                <w:sz w:val="18"/>
              </w:rPr>
            </w:pPr>
            <w:r>
              <w:rPr>
                <w:sz w:val="18"/>
              </w:rPr>
              <w:t>Environment Clearance</w:t>
            </w:r>
          </w:p>
        </w:tc>
        <w:tc>
          <w:tcPr>
            <w:tcW w:w="1940" w:type="dxa"/>
          </w:tcPr>
          <w:p>
            <w:pPr>
              <w:pStyle w:val="TableParagraph"/>
              <w:spacing w:before="133"/>
              <w:ind w:left="659" w:right="340"/>
              <w:rPr>
                <w:sz w:val="18"/>
              </w:rPr>
            </w:pPr>
            <w:r>
              <w:rPr>
                <w:w w:val="115"/>
                <w:sz w:val="18"/>
              </w:rPr>
              <w:t>NA</w:t>
            </w:r>
          </w:p>
        </w:tc>
        <w:tc>
          <w:tcPr>
            <w:tcW w:w="2338" w:type="dxa"/>
          </w:tcPr>
          <w:p>
            <w:pPr>
              <w:pStyle w:val="TableParagraph"/>
              <w:spacing w:before="133"/>
              <w:ind w:right="253"/>
              <w:jc w:val="right"/>
              <w:rPr>
                <w:sz w:val="18"/>
              </w:rPr>
            </w:pPr>
            <w:r>
              <w:rPr>
                <w:sz w:val="18"/>
              </w:rPr>
              <w:t>Copy as applicable</w:t>
            </w:r>
          </w:p>
        </w:tc>
      </w:tr>
      <w:tr>
        <w:trPr>
          <w:trHeight w:val="464" w:hRule="atLeast"/>
        </w:trPr>
        <w:tc>
          <w:tcPr>
            <w:tcW w:w="1836" w:type="dxa"/>
            <w:tcBorders>
              <w:right w:val="single" w:sz="12" w:space="0" w:color="FFFFFF"/>
            </w:tcBorders>
            <w:shd w:val="clear" w:color="auto" w:fill="69BD28"/>
          </w:tcPr>
          <w:p>
            <w:pPr>
              <w:pStyle w:val="TableParagraph"/>
              <w:jc w:val="left"/>
              <w:rPr>
                <w:rFonts w:ascii="Times New Roman"/>
                <w:sz w:val="18"/>
              </w:rPr>
            </w:pPr>
          </w:p>
        </w:tc>
        <w:tc>
          <w:tcPr>
            <w:tcW w:w="4357" w:type="dxa"/>
            <w:tcBorders>
              <w:left w:val="single" w:sz="12" w:space="0" w:color="FFFFFF"/>
            </w:tcBorders>
          </w:tcPr>
          <w:p>
            <w:pPr>
              <w:pStyle w:val="TableParagraph"/>
              <w:spacing w:before="132"/>
              <w:ind w:right="13"/>
              <w:rPr>
                <w:sz w:val="18"/>
              </w:rPr>
            </w:pPr>
            <w:r>
              <w:rPr>
                <w:sz w:val="18"/>
              </w:rPr>
              <w:t>Commencement Certificate</w:t>
            </w:r>
          </w:p>
        </w:tc>
        <w:tc>
          <w:tcPr>
            <w:tcW w:w="1940" w:type="dxa"/>
          </w:tcPr>
          <w:p>
            <w:pPr>
              <w:pStyle w:val="TableParagraph"/>
              <w:spacing w:before="132"/>
              <w:ind w:left="659" w:right="340"/>
              <w:rPr>
                <w:sz w:val="18"/>
              </w:rPr>
            </w:pPr>
            <w:r>
              <w:rPr>
                <w:w w:val="115"/>
                <w:sz w:val="18"/>
              </w:rPr>
              <w:t>NA</w:t>
            </w:r>
          </w:p>
        </w:tc>
        <w:tc>
          <w:tcPr>
            <w:tcW w:w="2338" w:type="dxa"/>
          </w:tcPr>
          <w:p>
            <w:pPr>
              <w:pStyle w:val="TableParagraph"/>
              <w:spacing w:before="132"/>
              <w:ind w:right="253"/>
              <w:jc w:val="right"/>
              <w:rPr>
                <w:sz w:val="18"/>
              </w:rPr>
            </w:pPr>
            <w:r>
              <w:rPr>
                <w:sz w:val="18"/>
              </w:rPr>
              <w:t>Copy as applicable</w:t>
            </w:r>
          </w:p>
        </w:tc>
      </w:tr>
    </w:tbl>
    <w:p>
      <w:pPr>
        <w:spacing w:after="0"/>
        <w:jc w:val="right"/>
        <w:rPr>
          <w:sz w:val="18"/>
        </w:rPr>
        <w:sectPr>
          <w:pgSz w:w="11910" w:h="16840"/>
          <w:pgMar w:header="720" w:footer="842" w:top="1520" w:bottom="1040" w:left="440" w:right="80"/>
        </w:sectPr>
      </w:pPr>
    </w:p>
    <w:p>
      <w:pPr>
        <w:pStyle w:val="BodyText"/>
        <w:rPr>
          <w:sz w:val="20"/>
        </w:rPr>
      </w:pPr>
    </w:p>
    <w:p>
      <w:pPr>
        <w:pStyle w:val="BodyText"/>
        <w:spacing w:before="2"/>
        <w:rPr>
          <w:sz w:val="11"/>
        </w:rPr>
      </w:pPr>
    </w:p>
    <w:tbl>
      <w:tblPr>
        <w:tblW w:w="0" w:type="auto"/>
        <w:jc w:val="left"/>
        <w:tblInd w:w="287" w:type="dxa"/>
        <w:tblBorders>
          <w:top w:val="single" w:sz="12" w:space="0" w:color="1F6B16"/>
          <w:left w:val="single" w:sz="12" w:space="0" w:color="1F6B16"/>
          <w:bottom w:val="single" w:sz="12" w:space="0" w:color="1F6B16"/>
          <w:right w:val="single" w:sz="12" w:space="0" w:color="1F6B16"/>
          <w:insideH w:val="single" w:sz="12" w:space="0" w:color="1F6B16"/>
          <w:insideV w:val="single" w:sz="12" w:space="0" w:color="1F6B16"/>
        </w:tblBorders>
        <w:tblLayout w:type="fixed"/>
        <w:tblCellMar>
          <w:top w:w="0" w:type="dxa"/>
          <w:left w:w="0" w:type="dxa"/>
          <w:bottom w:w="0" w:type="dxa"/>
          <w:right w:w="0" w:type="dxa"/>
        </w:tblCellMar>
        <w:tblLook w:val="01E0"/>
      </w:tblPr>
      <w:tblGrid>
        <w:gridCol w:w="1836"/>
        <w:gridCol w:w="4357"/>
        <w:gridCol w:w="2127"/>
        <w:gridCol w:w="2151"/>
      </w:tblGrid>
      <w:tr>
        <w:trPr>
          <w:trHeight w:val="479" w:hRule="atLeast"/>
        </w:trPr>
        <w:tc>
          <w:tcPr>
            <w:tcW w:w="1836" w:type="dxa"/>
            <w:tcBorders>
              <w:left w:val="nil"/>
              <w:bottom w:val="single" w:sz="6" w:space="0" w:color="69BD28"/>
              <w:right w:val="single" w:sz="12" w:space="0" w:color="FFFFFF"/>
            </w:tcBorders>
            <w:shd w:val="clear" w:color="auto" w:fill="006A4D"/>
          </w:tcPr>
          <w:p>
            <w:pPr>
              <w:pStyle w:val="TableParagraph"/>
              <w:spacing w:before="123"/>
              <w:ind w:left="461"/>
              <w:jc w:val="left"/>
              <w:rPr>
                <w:sz w:val="20"/>
              </w:rPr>
            </w:pPr>
            <w:r>
              <w:rPr>
                <w:color w:val="FFFFFF"/>
                <w:sz w:val="20"/>
              </w:rPr>
              <w:t>Particulars</w:t>
            </w:r>
          </w:p>
        </w:tc>
        <w:tc>
          <w:tcPr>
            <w:tcW w:w="4357" w:type="dxa"/>
            <w:tcBorders>
              <w:left w:val="single" w:sz="12" w:space="0" w:color="FFFFFF"/>
              <w:bottom w:val="single" w:sz="6" w:space="0" w:color="69BD28"/>
              <w:right w:val="single" w:sz="12" w:space="0" w:color="FFFFFF"/>
            </w:tcBorders>
            <w:shd w:val="clear" w:color="auto" w:fill="006A4D"/>
          </w:tcPr>
          <w:p>
            <w:pPr>
              <w:pStyle w:val="TableParagraph"/>
              <w:spacing w:before="123"/>
              <w:ind w:left="1836" w:right="1836"/>
              <w:rPr>
                <w:sz w:val="20"/>
              </w:rPr>
            </w:pPr>
            <w:r>
              <w:rPr>
                <w:color w:val="FFFFFF"/>
                <w:sz w:val="20"/>
              </w:rPr>
              <w:t>Details</w:t>
            </w:r>
          </w:p>
        </w:tc>
        <w:tc>
          <w:tcPr>
            <w:tcW w:w="2127" w:type="dxa"/>
            <w:tcBorders>
              <w:left w:val="single" w:sz="12" w:space="0" w:color="FFFFFF"/>
              <w:bottom w:val="single" w:sz="6" w:space="0" w:color="69BD28"/>
              <w:right w:val="nil"/>
            </w:tcBorders>
            <w:shd w:val="clear" w:color="auto" w:fill="006A4D"/>
          </w:tcPr>
          <w:p>
            <w:pPr>
              <w:pStyle w:val="TableParagraph"/>
              <w:spacing w:before="123"/>
              <w:ind w:left="396" w:right="274"/>
              <w:rPr>
                <w:sz w:val="20"/>
              </w:rPr>
            </w:pPr>
            <w:r>
              <w:rPr>
                <w:color w:val="FFFFFF"/>
                <w:sz w:val="20"/>
              </w:rPr>
              <w:t>Units</w:t>
            </w:r>
          </w:p>
        </w:tc>
        <w:tc>
          <w:tcPr>
            <w:tcW w:w="2151" w:type="dxa"/>
            <w:tcBorders>
              <w:left w:val="nil"/>
              <w:bottom w:val="single" w:sz="6" w:space="0" w:color="69BD28"/>
              <w:right w:val="nil"/>
            </w:tcBorders>
            <w:shd w:val="clear" w:color="auto" w:fill="006A4D"/>
          </w:tcPr>
          <w:p>
            <w:pPr>
              <w:pStyle w:val="TableParagraph"/>
              <w:spacing w:before="123"/>
              <w:ind w:left="131" w:right="12"/>
              <w:rPr>
                <w:sz w:val="20"/>
              </w:rPr>
            </w:pPr>
            <w:r>
              <w:rPr>
                <w:color w:val="FFFFFF"/>
                <w:sz w:val="20"/>
              </w:rPr>
              <w:t>Source</w:t>
            </w:r>
          </w:p>
        </w:tc>
      </w:tr>
      <w:tr>
        <w:trPr>
          <w:trHeight w:val="2084" w:hRule="atLeast"/>
        </w:trPr>
        <w:tc>
          <w:tcPr>
            <w:tcW w:w="1836" w:type="dxa"/>
            <w:vMerge w:val="restart"/>
            <w:tcBorders>
              <w:top w:val="nil"/>
              <w:left w:val="nil"/>
              <w:bottom w:val="nil"/>
              <w:right w:val="single" w:sz="12" w:space="0" w:color="FFFFFF"/>
            </w:tcBorders>
            <w:shd w:val="clear" w:color="auto" w:fill="69BD28"/>
          </w:tcPr>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spacing w:before="3"/>
              <w:jc w:val="left"/>
              <w:rPr>
                <w:sz w:val="32"/>
              </w:rPr>
            </w:pPr>
          </w:p>
          <w:p>
            <w:pPr>
              <w:pStyle w:val="TableParagraph"/>
              <w:ind w:left="167"/>
              <w:jc w:val="left"/>
              <w:rPr>
                <w:b/>
                <w:sz w:val="18"/>
              </w:rPr>
            </w:pPr>
            <w:r>
              <w:rPr>
                <w:b/>
                <w:color w:val="FFFFFF"/>
                <w:w w:val="105"/>
                <w:sz w:val="18"/>
              </w:rPr>
              <w:t>Services Offered</w:t>
            </w: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7"/>
              </w:rPr>
            </w:pPr>
          </w:p>
          <w:p>
            <w:pPr>
              <w:pStyle w:val="TableParagraph"/>
              <w:ind w:left="122"/>
              <w:jc w:val="left"/>
              <w:rPr>
                <w:b/>
                <w:sz w:val="18"/>
              </w:rPr>
            </w:pPr>
            <w:r>
              <w:rPr>
                <w:b/>
                <w:color w:val="FFFFFF"/>
                <w:w w:val="105"/>
                <w:sz w:val="18"/>
              </w:rPr>
              <w:t>Cost</w:t>
            </w:r>
            <w:r>
              <w:rPr>
                <w:b/>
                <w:color w:val="FFFFFF"/>
                <w:spacing w:val="37"/>
                <w:w w:val="105"/>
                <w:sz w:val="18"/>
              </w:rPr>
              <w:t> </w:t>
            </w:r>
            <w:r>
              <w:rPr>
                <w:b/>
                <w:color w:val="FFFFFF"/>
                <w:w w:val="105"/>
                <w:sz w:val="18"/>
              </w:rPr>
              <w:t>Assumptions</w:t>
            </w: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spacing w:before="4"/>
              <w:jc w:val="left"/>
              <w:rPr>
                <w:sz w:val="30"/>
              </w:rPr>
            </w:pPr>
          </w:p>
          <w:p>
            <w:pPr>
              <w:pStyle w:val="TableParagraph"/>
              <w:ind w:left="153"/>
              <w:jc w:val="left"/>
              <w:rPr>
                <w:b/>
                <w:sz w:val="18"/>
              </w:rPr>
            </w:pPr>
            <w:r>
              <w:rPr>
                <w:b/>
                <w:color w:val="FFFFFF"/>
                <w:w w:val="105"/>
                <w:sz w:val="18"/>
              </w:rPr>
              <w:t>Exit</w:t>
            </w:r>
            <w:r>
              <w:rPr>
                <w:b/>
                <w:color w:val="FFFFFF"/>
                <w:spacing w:val="14"/>
                <w:w w:val="105"/>
                <w:sz w:val="18"/>
              </w:rPr>
              <w:t> </w:t>
            </w:r>
            <w:r>
              <w:rPr>
                <w:b/>
                <w:color w:val="FFFFFF"/>
                <w:w w:val="105"/>
                <w:sz w:val="18"/>
              </w:rPr>
              <w:t>Assumptions</w:t>
            </w:r>
          </w:p>
        </w:tc>
        <w:tc>
          <w:tcPr>
            <w:tcW w:w="4357" w:type="dxa"/>
            <w:tcBorders>
              <w:top w:val="single" w:sz="6" w:space="0" w:color="69BD28"/>
              <w:left w:val="single" w:sz="12" w:space="0" w:color="FFFFFF"/>
              <w:bottom w:val="single" w:sz="6" w:space="0" w:color="69BD28"/>
              <w:right w:val="nil"/>
            </w:tcBorders>
          </w:tcPr>
          <w:p>
            <w:pPr>
              <w:pStyle w:val="TableParagraph"/>
              <w:spacing w:before="10"/>
              <w:jc w:val="left"/>
              <w:rPr>
                <w:sz w:val="19"/>
              </w:rPr>
            </w:pPr>
          </w:p>
          <w:p>
            <w:pPr>
              <w:pStyle w:val="TableParagraph"/>
              <w:spacing w:before="1"/>
              <w:ind w:right="12"/>
              <w:rPr>
                <w:sz w:val="18"/>
              </w:rPr>
            </w:pPr>
            <w:r>
              <w:rPr>
                <w:sz w:val="18"/>
              </w:rPr>
              <w:t>Occupancy Certificate</w:t>
            </w:r>
          </w:p>
          <w:p>
            <w:pPr>
              <w:pStyle w:val="TableParagraph"/>
              <w:jc w:val="left"/>
              <w:rPr>
                <w:sz w:val="32"/>
              </w:rPr>
            </w:pPr>
          </w:p>
          <w:p>
            <w:pPr>
              <w:pStyle w:val="TableParagraph"/>
              <w:spacing w:line="540" w:lineRule="auto"/>
              <w:ind w:left="936" w:right="950" w:firstLine="408"/>
              <w:jc w:val="left"/>
              <w:rPr>
                <w:sz w:val="18"/>
              </w:rPr>
            </w:pPr>
            <w:r>
              <w:rPr>
                <w:sz w:val="18"/>
              </w:rPr>
              <w:t>Building Certification </w:t>
            </w:r>
            <w:r>
              <w:rPr>
                <w:w w:val="95"/>
                <w:sz w:val="18"/>
              </w:rPr>
              <w:t>Lease Agreements with Tenants</w:t>
            </w:r>
          </w:p>
          <w:p>
            <w:pPr>
              <w:pStyle w:val="TableParagraph"/>
              <w:ind w:right="14"/>
              <w:rPr>
                <w:sz w:val="18"/>
              </w:rPr>
            </w:pPr>
            <w:r>
              <w:rPr>
                <w:w w:val="105"/>
                <w:sz w:val="18"/>
              </w:rPr>
              <w:t>Sample CAM Agreements</w:t>
            </w:r>
          </w:p>
        </w:tc>
        <w:tc>
          <w:tcPr>
            <w:tcW w:w="2127" w:type="dxa"/>
            <w:tcBorders>
              <w:top w:val="single" w:sz="6" w:space="0" w:color="69BD28"/>
              <w:left w:val="nil"/>
              <w:bottom w:val="single" w:sz="6" w:space="0" w:color="69BD28"/>
              <w:right w:val="nil"/>
            </w:tcBorders>
          </w:tcPr>
          <w:p>
            <w:pPr>
              <w:pStyle w:val="TableParagraph"/>
              <w:spacing w:before="10"/>
              <w:jc w:val="left"/>
              <w:rPr>
                <w:sz w:val="19"/>
              </w:rPr>
            </w:pPr>
          </w:p>
          <w:p>
            <w:pPr>
              <w:pStyle w:val="TableParagraph"/>
              <w:spacing w:before="1"/>
              <w:ind w:left="322" w:right="190"/>
              <w:rPr>
                <w:sz w:val="18"/>
              </w:rPr>
            </w:pPr>
            <w:r>
              <w:rPr>
                <w:w w:val="115"/>
                <w:sz w:val="18"/>
              </w:rPr>
              <w:t>NA</w:t>
            </w:r>
          </w:p>
          <w:p>
            <w:pPr>
              <w:pStyle w:val="TableParagraph"/>
              <w:spacing w:line="470" w:lineRule="atLeast" w:before="110"/>
              <w:ind w:left="1004" w:right="869"/>
              <w:jc w:val="both"/>
              <w:rPr>
                <w:sz w:val="18"/>
              </w:rPr>
            </w:pPr>
            <w:r>
              <w:rPr>
                <w:w w:val="110"/>
                <w:sz w:val="18"/>
              </w:rPr>
              <w:t>NA NA NA</w:t>
            </w:r>
          </w:p>
        </w:tc>
        <w:tc>
          <w:tcPr>
            <w:tcW w:w="2151" w:type="dxa"/>
            <w:tcBorders>
              <w:top w:val="single" w:sz="6" w:space="0" w:color="69BD28"/>
              <w:left w:val="nil"/>
              <w:bottom w:val="single" w:sz="6" w:space="0" w:color="69BD28"/>
              <w:right w:val="nil"/>
            </w:tcBorders>
          </w:tcPr>
          <w:p>
            <w:pPr>
              <w:pStyle w:val="TableParagraph"/>
              <w:spacing w:line="247" w:lineRule="auto" w:before="123"/>
              <w:ind w:left="131" w:right="7"/>
              <w:rPr>
                <w:sz w:val="18"/>
              </w:rPr>
            </w:pPr>
            <w:r>
              <w:rPr>
                <w:w w:val="95"/>
                <w:sz w:val="18"/>
              </w:rPr>
              <w:t>Block-wise occupancy </w:t>
            </w:r>
            <w:r>
              <w:rPr>
                <w:sz w:val="18"/>
              </w:rPr>
              <w:t>certificate</w:t>
            </w:r>
          </w:p>
          <w:p>
            <w:pPr>
              <w:pStyle w:val="TableParagraph"/>
              <w:spacing w:before="3"/>
              <w:jc w:val="left"/>
              <w:rPr>
                <w:sz w:val="22"/>
              </w:rPr>
            </w:pPr>
          </w:p>
          <w:p>
            <w:pPr>
              <w:pStyle w:val="TableParagraph"/>
              <w:spacing w:line="540" w:lineRule="auto"/>
              <w:ind w:left="131" w:right="8"/>
              <w:rPr>
                <w:sz w:val="18"/>
              </w:rPr>
            </w:pPr>
            <w:r>
              <w:rPr>
                <w:sz w:val="18"/>
              </w:rPr>
              <w:t>Client (as applicable) Lease deeds</w:t>
            </w:r>
          </w:p>
          <w:p>
            <w:pPr>
              <w:pStyle w:val="TableParagraph"/>
              <w:ind w:left="131" w:right="10"/>
              <w:rPr>
                <w:sz w:val="18"/>
              </w:rPr>
            </w:pPr>
            <w:r>
              <w:rPr>
                <w:sz w:val="18"/>
              </w:rPr>
              <w:t>Client</w:t>
            </w:r>
          </w:p>
        </w:tc>
      </w:tr>
      <w:tr>
        <w:trPr>
          <w:trHeight w:val="1867" w:hRule="atLeast"/>
        </w:trPr>
        <w:tc>
          <w:tcPr>
            <w:tcW w:w="1836" w:type="dxa"/>
            <w:vMerge/>
            <w:tcBorders>
              <w:top w:val="nil"/>
              <w:left w:val="nil"/>
              <w:bottom w:val="nil"/>
              <w:right w:val="single" w:sz="12" w:space="0" w:color="FFFFFF"/>
            </w:tcBorders>
            <w:shd w:val="clear" w:color="auto" w:fill="69BD28"/>
          </w:tcPr>
          <w:p>
            <w:pPr>
              <w:rPr>
                <w:sz w:val="2"/>
                <w:szCs w:val="2"/>
              </w:rPr>
            </w:pPr>
          </w:p>
        </w:tc>
        <w:tc>
          <w:tcPr>
            <w:tcW w:w="4357" w:type="dxa"/>
            <w:tcBorders>
              <w:top w:val="single" w:sz="6" w:space="0" w:color="69BD28"/>
              <w:left w:val="single" w:sz="12" w:space="0" w:color="FFFFFF"/>
              <w:bottom w:val="single" w:sz="6" w:space="0" w:color="69BD28"/>
              <w:right w:val="nil"/>
            </w:tcBorders>
          </w:tcPr>
          <w:p>
            <w:pPr>
              <w:pStyle w:val="TableParagraph"/>
              <w:spacing w:line="540" w:lineRule="auto" w:before="123"/>
              <w:ind w:left="1500" w:right="1511"/>
              <w:rPr>
                <w:sz w:val="18"/>
              </w:rPr>
            </w:pPr>
            <w:r>
              <w:rPr>
                <w:sz w:val="18"/>
              </w:rPr>
              <w:t>HVAC (Tonnage) Power Back-up</w:t>
            </w:r>
          </w:p>
          <w:p>
            <w:pPr>
              <w:pStyle w:val="TableParagraph"/>
              <w:spacing w:before="1"/>
              <w:ind w:right="11"/>
              <w:rPr>
                <w:sz w:val="18"/>
              </w:rPr>
            </w:pPr>
            <w:r>
              <w:rPr>
                <w:sz w:val="18"/>
              </w:rPr>
              <w:t>No. of Lifts with capacity</w:t>
            </w:r>
          </w:p>
          <w:p>
            <w:pPr>
              <w:pStyle w:val="TableParagraph"/>
              <w:spacing w:before="6"/>
              <w:jc w:val="left"/>
              <w:rPr>
                <w:sz w:val="22"/>
              </w:rPr>
            </w:pPr>
          </w:p>
          <w:p>
            <w:pPr>
              <w:pStyle w:val="TableParagraph"/>
              <w:ind w:right="14"/>
              <w:rPr>
                <w:sz w:val="18"/>
              </w:rPr>
            </w:pPr>
            <w:r>
              <w:rPr>
                <w:sz w:val="18"/>
              </w:rPr>
              <w:t>No. of staircase</w:t>
            </w:r>
          </w:p>
        </w:tc>
        <w:tc>
          <w:tcPr>
            <w:tcW w:w="2127" w:type="dxa"/>
            <w:tcBorders>
              <w:top w:val="single" w:sz="6" w:space="0" w:color="69BD28"/>
              <w:left w:val="nil"/>
              <w:bottom w:val="single" w:sz="6" w:space="0" w:color="69BD28"/>
              <w:right w:val="nil"/>
            </w:tcBorders>
          </w:tcPr>
          <w:p>
            <w:pPr>
              <w:pStyle w:val="TableParagraph"/>
              <w:spacing w:line="540" w:lineRule="auto" w:before="123"/>
              <w:ind w:left="968" w:right="833" w:firstLine="3"/>
              <w:rPr>
                <w:sz w:val="18"/>
              </w:rPr>
            </w:pPr>
            <w:r>
              <w:rPr>
                <w:sz w:val="18"/>
              </w:rPr>
              <w:t>TR KVA</w:t>
            </w:r>
          </w:p>
          <w:p>
            <w:pPr>
              <w:pStyle w:val="TableParagraph"/>
              <w:spacing w:before="1"/>
              <w:ind w:left="323" w:right="190"/>
              <w:rPr>
                <w:sz w:val="18"/>
              </w:rPr>
            </w:pPr>
            <w:r>
              <w:rPr>
                <w:w w:val="105"/>
                <w:sz w:val="18"/>
              </w:rPr>
              <w:t>No.</w:t>
            </w:r>
          </w:p>
          <w:p>
            <w:pPr>
              <w:pStyle w:val="TableParagraph"/>
              <w:spacing w:before="6"/>
              <w:jc w:val="left"/>
              <w:rPr>
                <w:sz w:val="22"/>
              </w:rPr>
            </w:pPr>
          </w:p>
          <w:p>
            <w:pPr>
              <w:pStyle w:val="TableParagraph"/>
              <w:ind w:left="323" w:right="190"/>
              <w:rPr>
                <w:sz w:val="18"/>
              </w:rPr>
            </w:pPr>
            <w:r>
              <w:rPr>
                <w:w w:val="105"/>
                <w:sz w:val="18"/>
              </w:rPr>
              <w:t>No.</w:t>
            </w:r>
          </w:p>
        </w:tc>
        <w:tc>
          <w:tcPr>
            <w:tcW w:w="2151" w:type="dxa"/>
            <w:tcBorders>
              <w:top w:val="single" w:sz="6" w:space="0" w:color="69BD28"/>
              <w:left w:val="nil"/>
              <w:bottom w:val="single" w:sz="6" w:space="0" w:color="69BD28"/>
              <w:right w:val="nil"/>
            </w:tcBorders>
          </w:tcPr>
          <w:p>
            <w:pPr>
              <w:pStyle w:val="TableParagraph"/>
              <w:spacing w:line="540" w:lineRule="auto" w:before="123"/>
              <w:ind w:left="907" w:right="784"/>
              <w:jc w:val="both"/>
              <w:rPr>
                <w:sz w:val="18"/>
              </w:rPr>
            </w:pPr>
            <w:r>
              <w:rPr>
                <w:w w:val="95"/>
                <w:sz w:val="18"/>
              </w:rPr>
              <w:t>Client Client Client</w:t>
            </w:r>
          </w:p>
          <w:p>
            <w:pPr>
              <w:pStyle w:val="TableParagraph"/>
              <w:spacing w:before="1"/>
              <w:ind w:left="131" w:right="10"/>
              <w:rPr>
                <w:sz w:val="18"/>
              </w:rPr>
            </w:pPr>
            <w:r>
              <w:rPr>
                <w:sz w:val="18"/>
              </w:rPr>
              <w:t>Client</w:t>
            </w:r>
          </w:p>
        </w:tc>
      </w:tr>
      <w:tr>
        <w:trPr>
          <w:trHeight w:val="7833" w:hRule="atLeast"/>
        </w:trPr>
        <w:tc>
          <w:tcPr>
            <w:tcW w:w="1836" w:type="dxa"/>
            <w:vMerge/>
            <w:tcBorders>
              <w:top w:val="nil"/>
              <w:left w:val="nil"/>
              <w:bottom w:val="nil"/>
              <w:right w:val="single" w:sz="12" w:space="0" w:color="FFFFFF"/>
            </w:tcBorders>
            <w:shd w:val="clear" w:color="auto" w:fill="69BD28"/>
          </w:tcPr>
          <w:p>
            <w:pPr>
              <w:rPr>
                <w:sz w:val="2"/>
                <w:szCs w:val="2"/>
              </w:rPr>
            </w:pPr>
          </w:p>
        </w:tc>
        <w:tc>
          <w:tcPr>
            <w:tcW w:w="4357" w:type="dxa"/>
            <w:tcBorders>
              <w:top w:val="single" w:sz="6" w:space="0" w:color="69BD28"/>
              <w:left w:val="single" w:sz="12" w:space="0" w:color="FFFFFF"/>
              <w:bottom w:val="single" w:sz="6" w:space="0" w:color="69BD28"/>
              <w:right w:val="nil"/>
            </w:tcBorders>
          </w:tcPr>
          <w:p>
            <w:pPr>
              <w:pStyle w:val="TableParagraph"/>
              <w:spacing w:line="540" w:lineRule="auto" w:before="126"/>
              <w:ind w:left="597" w:right="543" w:firstLine="231"/>
              <w:jc w:val="left"/>
              <w:rPr>
                <w:sz w:val="18"/>
              </w:rPr>
            </w:pPr>
            <w:r>
              <w:rPr>
                <w:sz w:val="18"/>
              </w:rPr>
              <w:t>Pending Construction Cost (if any) Total Budgeted Cost </w:t>
            </w:r>
            <w:r>
              <w:rPr>
                <w:w w:val="105"/>
                <w:sz w:val="18"/>
              </w:rPr>
              <w:t>– </w:t>
            </w:r>
            <w:r>
              <w:rPr>
                <w:sz w:val="18"/>
              </w:rPr>
              <w:t>Land Stage Block</w:t>
            </w:r>
          </w:p>
          <w:p>
            <w:pPr>
              <w:pStyle w:val="TableParagraph"/>
              <w:spacing w:line="540" w:lineRule="auto"/>
              <w:ind w:left="213" w:right="227" w:firstLine="2"/>
              <w:rPr>
                <w:sz w:val="18"/>
              </w:rPr>
            </w:pPr>
            <w:r>
              <w:rPr>
                <w:sz w:val="18"/>
              </w:rPr>
              <w:t>Total</w:t>
            </w:r>
            <w:r>
              <w:rPr>
                <w:spacing w:val="-15"/>
                <w:sz w:val="18"/>
              </w:rPr>
              <w:t> </w:t>
            </w:r>
            <w:r>
              <w:rPr>
                <w:sz w:val="18"/>
              </w:rPr>
              <w:t>Budgeted</w:t>
            </w:r>
            <w:r>
              <w:rPr>
                <w:spacing w:val="-14"/>
                <w:sz w:val="18"/>
              </w:rPr>
              <w:t> </w:t>
            </w:r>
            <w:r>
              <w:rPr>
                <w:sz w:val="18"/>
              </w:rPr>
              <w:t>Cost</w:t>
            </w:r>
            <w:r>
              <w:rPr>
                <w:spacing w:val="-13"/>
                <w:sz w:val="18"/>
              </w:rPr>
              <w:t> </w:t>
            </w:r>
            <w:r>
              <w:rPr>
                <w:w w:val="105"/>
                <w:sz w:val="18"/>
              </w:rPr>
              <w:t>–</w:t>
            </w:r>
            <w:r>
              <w:rPr>
                <w:spacing w:val="-16"/>
                <w:w w:val="105"/>
                <w:sz w:val="18"/>
              </w:rPr>
              <w:t> </w:t>
            </w:r>
            <w:r>
              <w:rPr>
                <w:sz w:val="18"/>
              </w:rPr>
              <w:t>Under</w:t>
            </w:r>
            <w:r>
              <w:rPr>
                <w:spacing w:val="-15"/>
                <w:sz w:val="18"/>
              </w:rPr>
              <w:t> </w:t>
            </w:r>
            <w:r>
              <w:rPr>
                <w:sz w:val="18"/>
              </w:rPr>
              <w:t>Construction</w:t>
            </w:r>
            <w:r>
              <w:rPr>
                <w:spacing w:val="-13"/>
                <w:sz w:val="18"/>
              </w:rPr>
              <w:t> </w:t>
            </w:r>
            <w:r>
              <w:rPr>
                <w:sz w:val="18"/>
              </w:rPr>
              <w:t>Block Cost</w:t>
            </w:r>
            <w:r>
              <w:rPr>
                <w:spacing w:val="-15"/>
                <w:sz w:val="18"/>
              </w:rPr>
              <w:t> </w:t>
            </w:r>
            <w:r>
              <w:rPr>
                <w:sz w:val="18"/>
              </w:rPr>
              <w:t>Already</w:t>
            </w:r>
            <w:r>
              <w:rPr>
                <w:spacing w:val="-15"/>
                <w:sz w:val="18"/>
              </w:rPr>
              <w:t> </w:t>
            </w:r>
            <w:r>
              <w:rPr>
                <w:sz w:val="18"/>
              </w:rPr>
              <w:t>Incurred</w:t>
            </w:r>
            <w:r>
              <w:rPr>
                <w:spacing w:val="-12"/>
                <w:sz w:val="18"/>
              </w:rPr>
              <w:t> </w:t>
            </w:r>
            <w:r>
              <w:rPr>
                <w:w w:val="105"/>
                <w:sz w:val="18"/>
              </w:rPr>
              <w:t>–</w:t>
            </w:r>
            <w:r>
              <w:rPr>
                <w:spacing w:val="-16"/>
                <w:w w:val="105"/>
                <w:sz w:val="18"/>
              </w:rPr>
              <w:t> </w:t>
            </w:r>
            <w:r>
              <w:rPr>
                <w:sz w:val="18"/>
              </w:rPr>
              <w:t>Under</w:t>
            </w:r>
            <w:r>
              <w:rPr>
                <w:spacing w:val="-17"/>
                <w:sz w:val="18"/>
              </w:rPr>
              <w:t> </w:t>
            </w:r>
            <w:r>
              <w:rPr>
                <w:sz w:val="18"/>
              </w:rPr>
              <w:t>Construction</w:t>
            </w:r>
            <w:r>
              <w:rPr>
                <w:spacing w:val="-13"/>
                <w:sz w:val="18"/>
              </w:rPr>
              <w:t> </w:t>
            </w:r>
            <w:r>
              <w:rPr>
                <w:sz w:val="18"/>
              </w:rPr>
              <w:t>Block Cost towards</w:t>
            </w:r>
            <w:r>
              <w:rPr>
                <w:spacing w:val="-11"/>
                <w:sz w:val="18"/>
              </w:rPr>
              <w:t> </w:t>
            </w:r>
            <w:r>
              <w:rPr>
                <w:sz w:val="18"/>
              </w:rPr>
              <w:t>fit-outs</w:t>
            </w:r>
          </w:p>
          <w:p>
            <w:pPr>
              <w:pStyle w:val="TableParagraph"/>
              <w:spacing w:before="1"/>
              <w:ind w:right="18"/>
              <w:rPr>
                <w:sz w:val="18"/>
              </w:rPr>
            </w:pPr>
            <w:r>
              <w:rPr>
                <w:sz w:val="18"/>
              </w:rPr>
              <w:t>Cost provisioned towards refurbishment / renovation</w:t>
            </w:r>
          </w:p>
          <w:p>
            <w:pPr>
              <w:pStyle w:val="TableParagraph"/>
              <w:jc w:val="left"/>
              <w:rPr>
                <w:sz w:val="22"/>
              </w:rPr>
            </w:pPr>
          </w:p>
          <w:p>
            <w:pPr>
              <w:pStyle w:val="TableParagraph"/>
              <w:jc w:val="left"/>
              <w:rPr>
                <w:sz w:val="22"/>
              </w:rPr>
            </w:pPr>
          </w:p>
          <w:p>
            <w:pPr>
              <w:pStyle w:val="TableParagraph"/>
              <w:spacing w:before="182"/>
              <w:ind w:right="12"/>
              <w:rPr>
                <w:sz w:val="18"/>
              </w:rPr>
            </w:pPr>
            <w:r>
              <w:rPr>
                <w:sz w:val="18"/>
              </w:rPr>
              <w:t>Maintenance Charges</w:t>
            </w:r>
          </w:p>
          <w:p>
            <w:pPr>
              <w:pStyle w:val="TableParagraph"/>
              <w:jc w:val="left"/>
              <w:rPr>
                <w:sz w:val="22"/>
              </w:rPr>
            </w:pPr>
          </w:p>
          <w:p>
            <w:pPr>
              <w:pStyle w:val="TableParagraph"/>
              <w:jc w:val="left"/>
              <w:rPr>
                <w:sz w:val="22"/>
              </w:rPr>
            </w:pPr>
          </w:p>
          <w:p>
            <w:pPr>
              <w:pStyle w:val="TableParagraph"/>
              <w:jc w:val="left"/>
              <w:rPr>
                <w:sz w:val="25"/>
              </w:rPr>
            </w:pPr>
          </w:p>
          <w:p>
            <w:pPr>
              <w:pStyle w:val="TableParagraph"/>
              <w:ind w:right="10"/>
              <w:rPr>
                <w:sz w:val="18"/>
              </w:rPr>
            </w:pPr>
            <w:r>
              <w:rPr>
                <w:sz w:val="18"/>
              </w:rPr>
              <w:t>Insurance Cost</w:t>
            </w:r>
          </w:p>
          <w:p>
            <w:pPr>
              <w:pStyle w:val="TableParagraph"/>
              <w:jc w:val="left"/>
              <w:rPr>
                <w:sz w:val="22"/>
              </w:rPr>
            </w:pPr>
          </w:p>
          <w:p>
            <w:pPr>
              <w:pStyle w:val="TableParagraph"/>
              <w:spacing w:before="2"/>
              <w:jc w:val="left"/>
              <w:rPr>
                <w:sz w:val="19"/>
              </w:rPr>
            </w:pPr>
          </w:p>
          <w:p>
            <w:pPr>
              <w:pStyle w:val="TableParagraph"/>
              <w:spacing w:line="664" w:lineRule="auto"/>
              <w:ind w:left="1221" w:right="1224" w:firstLine="458"/>
              <w:jc w:val="left"/>
              <w:rPr>
                <w:sz w:val="18"/>
              </w:rPr>
            </w:pPr>
            <w:r>
              <w:rPr>
                <w:sz w:val="18"/>
              </w:rPr>
              <w:t>Property Tax Margin on</w:t>
            </w:r>
            <w:r>
              <w:rPr>
                <w:spacing w:val="21"/>
                <w:sz w:val="18"/>
              </w:rPr>
              <w:t> </w:t>
            </w:r>
            <w:r>
              <w:rPr>
                <w:sz w:val="18"/>
              </w:rPr>
              <w:t>Maintenance</w:t>
            </w:r>
          </w:p>
          <w:p>
            <w:pPr>
              <w:pStyle w:val="TableParagraph"/>
              <w:spacing w:before="110"/>
              <w:ind w:right="14"/>
              <w:rPr>
                <w:sz w:val="18"/>
              </w:rPr>
            </w:pPr>
            <w:r>
              <w:rPr>
                <w:sz w:val="18"/>
              </w:rPr>
              <w:t>Asset Management</w:t>
            </w:r>
            <w:r>
              <w:rPr>
                <w:spacing w:val="-27"/>
                <w:sz w:val="18"/>
              </w:rPr>
              <w:t> </w:t>
            </w:r>
            <w:r>
              <w:rPr>
                <w:sz w:val="18"/>
              </w:rPr>
              <w:t>Fee</w:t>
            </w:r>
          </w:p>
          <w:p>
            <w:pPr>
              <w:pStyle w:val="TableParagraph"/>
              <w:spacing w:before="7"/>
              <w:jc w:val="left"/>
              <w:rPr>
                <w:sz w:val="18"/>
              </w:rPr>
            </w:pPr>
          </w:p>
          <w:p>
            <w:pPr>
              <w:pStyle w:val="TableParagraph"/>
              <w:spacing w:line="470" w:lineRule="atLeast"/>
              <w:ind w:left="970" w:right="892" w:firstLine="432"/>
              <w:jc w:val="left"/>
              <w:rPr>
                <w:sz w:val="18"/>
              </w:rPr>
            </w:pPr>
            <w:r>
              <w:rPr>
                <w:sz w:val="18"/>
              </w:rPr>
              <w:t>Brokerage on lease Repair &amp; Maintenance Reserve</w:t>
            </w:r>
          </w:p>
        </w:tc>
        <w:tc>
          <w:tcPr>
            <w:tcW w:w="2127" w:type="dxa"/>
            <w:tcBorders>
              <w:top w:val="single" w:sz="6" w:space="0" w:color="69BD28"/>
              <w:left w:val="nil"/>
              <w:bottom w:val="single" w:sz="6" w:space="0" w:color="69BD28"/>
              <w:right w:val="nil"/>
            </w:tcBorders>
          </w:tcPr>
          <w:p>
            <w:pPr>
              <w:pStyle w:val="TableParagraph"/>
              <w:spacing w:line="540" w:lineRule="auto" w:before="126"/>
              <w:ind w:left="838" w:right="701"/>
              <w:jc w:val="both"/>
              <w:rPr>
                <w:sz w:val="18"/>
              </w:rPr>
            </w:pPr>
            <w:r>
              <w:rPr>
                <w:w w:val="105"/>
                <w:sz w:val="18"/>
              </w:rPr>
              <w:t>INR </w:t>
            </w:r>
            <w:r>
              <w:rPr>
                <w:spacing w:val="-8"/>
                <w:w w:val="105"/>
                <w:sz w:val="18"/>
              </w:rPr>
              <w:t>Mn </w:t>
            </w:r>
            <w:r>
              <w:rPr>
                <w:w w:val="105"/>
                <w:sz w:val="18"/>
              </w:rPr>
              <w:t>INR </w:t>
            </w:r>
            <w:r>
              <w:rPr>
                <w:spacing w:val="-8"/>
                <w:w w:val="105"/>
                <w:sz w:val="18"/>
              </w:rPr>
              <w:t>Mn </w:t>
            </w:r>
            <w:r>
              <w:rPr>
                <w:w w:val="105"/>
                <w:sz w:val="18"/>
              </w:rPr>
              <w:t>INR </w:t>
            </w:r>
            <w:r>
              <w:rPr>
                <w:spacing w:val="-8"/>
                <w:w w:val="105"/>
                <w:sz w:val="18"/>
              </w:rPr>
              <w:t>Mn </w:t>
            </w:r>
            <w:r>
              <w:rPr>
                <w:w w:val="105"/>
                <w:sz w:val="18"/>
              </w:rPr>
              <w:t>INR</w:t>
            </w:r>
            <w:r>
              <w:rPr>
                <w:spacing w:val="6"/>
                <w:w w:val="105"/>
                <w:sz w:val="18"/>
              </w:rPr>
              <w:t> </w:t>
            </w:r>
            <w:r>
              <w:rPr>
                <w:spacing w:val="-8"/>
                <w:w w:val="105"/>
                <w:sz w:val="18"/>
              </w:rPr>
              <w:t>Mn</w:t>
            </w:r>
          </w:p>
          <w:p>
            <w:pPr>
              <w:pStyle w:val="TableParagraph"/>
              <w:spacing w:line="540" w:lineRule="auto" w:before="1"/>
              <w:ind w:left="838" w:right="175" w:hanging="529"/>
              <w:jc w:val="both"/>
              <w:rPr>
                <w:sz w:val="18"/>
              </w:rPr>
            </w:pPr>
            <w:r>
              <w:rPr>
                <w:sz w:val="18"/>
              </w:rPr>
              <w:t>INR psf pm / INR </w:t>
            </w:r>
            <w:r>
              <w:rPr>
                <w:spacing w:val="-6"/>
                <w:sz w:val="18"/>
              </w:rPr>
              <w:t>Mn </w:t>
            </w:r>
            <w:r>
              <w:rPr>
                <w:sz w:val="18"/>
              </w:rPr>
              <w:t>INR</w:t>
            </w:r>
            <w:r>
              <w:rPr>
                <w:spacing w:val="1"/>
                <w:sz w:val="18"/>
              </w:rPr>
              <w:t> </w:t>
            </w:r>
            <w:r>
              <w:rPr>
                <w:sz w:val="18"/>
              </w:rPr>
              <w:t>Mn</w:t>
            </w:r>
          </w:p>
          <w:p>
            <w:pPr>
              <w:pStyle w:val="TableParagraph"/>
              <w:jc w:val="left"/>
              <w:rPr>
                <w:sz w:val="22"/>
              </w:rPr>
            </w:pPr>
          </w:p>
          <w:p>
            <w:pPr>
              <w:pStyle w:val="TableParagraph"/>
              <w:spacing w:before="176"/>
              <w:ind w:left="323" w:right="190"/>
              <w:rPr>
                <w:sz w:val="18"/>
              </w:rPr>
            </w:pPr>
            <w:r>
              <w:rPr>
                <w:sz w:val="18"/>
              </w:rPr>
              <w:t>INR</w:t>
            </w:r>
            <w:r>
              <w:rPr>
                <w:spacing w:val="-2"/>
                <w:sz w:val="18"/>
              </w:rPr>
              <w:t> </w:t>
            </w:r>
            <w:r>
              <w:rPr>
                <w:sz w:val="18"/>
              </w:rPr>
              <w:t>psf</w:t>
            </w:r>
          </w:p>
          <w:p>
            <w:pPr>
              <w:pStyle w:val="TableParagraph"/>
              <w:jc w:val="left"/>
              <w:rPr>
                <w:sz w:val="22"/>
              </w:rPr>
            </w:pPr>
          </w:p>
          <w:p>
            <w:pPr>
              <w:pStyle w:val="TableParagraph"/>
              <w:jc w:val="left"/>
              <w:rPr>
                <w:sz w:val="22"/>
              </w:rPr>
            </w:pPr>
          </w:p>
          <w:p>
            <w:pPr>
              <w:pStyle w:val="TableParagraph"/>
              <w:jc w:val="left"/>
              <w:rPr>
                <w:sz w:val="25"/>
              </w:rPr>
            </w:pPr>
          </w:p>
          <w:p>
            <w:pPr>
              <w:pStyle w:val="TableParagraph"/>
              <w:spacing w:before="1"/>
              <w:ind w:left="324" w:right="189"/>
              <w:rPr>
                <w:sz w:val="18"/>
              </w:rPr>
            </w:pPr>
            <w:r>
              <w:rPr>
                <w:w w:val="105"/>
                <w:sz w:val="18"/>
              </w:rPr>
              <w:t>INR</w:t>
            </w:r>
            <w:r>
              <w:rPr>
                <w:spacing w:val="6"/>
                <w:w w:val="105"/>
                <w:sz w:val="18"/>
              </w:rPr>
              <w:t> </w:t>
            </w:r>
            <w:r>
              <w:rPr>
                <w:w w:val="105"/>
                <w:sz w:val="18"/>
              </w:rPr>
              <w:t>Mn</w:t>
            </w:r>
          </w:p>
          <w:p>
            <w:pPr>
              <w:pStyle w:val="TableParagraph"/>
              <w:jc w:val="left"/>
              <w:rPr>
                <w:sz w:val="22"/>
              </w:rPr>
            </w:pPr>
          </w:p>
          <w:p>
            <w:pPr>
              <w:pStyle w:val="TableParagraph"/>
              <w:spacing w:before="1"/>
              <w:jc w:val="left"/>
              <w:rPr>
                <w:sz w:val="19"/>
              </w:rPr>
            </w:pPr>
          </w:p>
          <w:p>
            <w:pPr>
              <w:pStyle w:val="TableParagraph"/>
              <w:spacing w:before="1"/>
              <w:ind w:left="324" w:right="189"/>
              <w:rPr>
                <w:sz w:val="18"/>
              </w:rPr>
            </w:pPr>
            <w:r>
              <w:rPr>
                <w:w w:val="105"/>
                <w:sz w:val="18"/>
              </w:rPr>
              <w:t>INR</w:t>
            </w:r>
            <w:r>
              <w:rPr>
                <w:spacing w:val="6"/>
                <w:w w:val="105"/>
                <w:sz w:val="18"/>
              </w:rPr>
              <w:t> </w:t>
            </w:r>
            <w:r>
              <w:rPr>
                <w:w w:val="105"/>
                <w:sz w:val="18"/>
              </w:rPr>
              <w:t>Mn</w:t>
            </w:r>
          </w:p>
          <w:p>
            <w:pPr>
              <w:pStyle w:val="TableParagraph"/>
              <w:spacing w:before="9"/>
              <w:jc w:val="left"/>
              <w:rPr>
                <w:sz w:val="31"/>
              </w:rPr>
            </w:pPr>
          </w:p>
          <w:p>
            <w:pPr>
              <w:pStyle w:val="TableParagraph"/>
              <w:ind w:left="322" w:right="190"/>
              <w:rPr>
                <w:sz w:val="18"/>
              </w:rPr>
            </w:pPr>
            <w:r>
              <w:rPr>
                <w:w w:val="110"/>
                <w:sz w:val="18"/>
              </w:rPr>
              <w:t>% of CAM Charges</w:t>
            </w:r>
          </w:p>
          <w:p>
            <w:pPr>
              <w:pStyle w:val="TableParagraph"/>
              <w:jc w:val="left"/>
              <w:rPr>
                <w:sz w:val="22"/>
              </w:rPr>
            </w:pPr>
          </w:p>
          <w:p>
            <w:pPr>
              <w:pStyle w:val="TableParagraph"/>
              <w:spacing w:before="4"/>
              <w:jc w:val="left"/>
              <w:rPr>
                <w:sz w:val="19"/>
              </w:rPr>
            </w:pPr>
          </w:p>
          <w:p>
            <w:pPr>
              <w:pStyle w:val="TableParagraph"/>
              <w:ind w:left="323" w:right="190"/>
              <w:rPr>
                <w:sz w:val="18"/>
              </w:rPr>
            </w:pPr>
            <w:r>
              <w:rPr>
                <w:sz w:val="18"/>
              </w:rPr>
              <w:t>% of</w:t>
            </w:r>
            <w:r>
              <w:rPr>
                <w:spacing w:val="-20"/>
                <w:sz w:val="18"/>
              </w:rPr>
              <w:t> </w:t>
            </w:r>
            <w:r>
              <w:rPr>
                <w:sz w:val="18"/>
              </w:rPr>
              <w:t>revenues</w:t>
            </w:r>
          </w:p>
          <w:p>
            <w:pPr>
              <w:pStyle w:val="TableParagraph"/>
              <w:jc w:val="left"/>
              <w:rPr>
                <w:sz w:val="22"/>
              </w:rPr>
            </w:pPr>
          </w:p>
          <w:p>
            <w:pPr>
              <w:pStyle w:val="TableParagraph"/>
              <w:spacing w:before="1"/>
              <w:jc w:val="left"/>
              <w:rPr>
                <w:sz w:val="19"/>
              </w:rPr>
            </w:pPr>
          </w:p>
          <w:p>
            <w:pPr>
              <w:pStyle w:val="TableParagraph"/>
              <w:ind w:left="322" w:right="190"/>
              <w:rPr>
                <w:sz w:val="18"/>
              </w:rPr>
            </w:pPr>
            <w:r>
              <w:rPr>
                <w:sz w:val="18"/>
              </w:rPr>
              <w:t>No. of</w:t>
            </w:r>
            <w:r>
              <w:rPr>
                <w:spacing w:val="12"/>
                <w:sz w:val="18"/>
              </w:rPr>
              <w:t> </w:t>
            </w:r>
            <w:r>
              <w:rPr>
                <w:sz w:val="18"/>
              </w:rPr>
              <w:t>Months</w:t>
            </w:r>
          </w:p>
          <w:p>
            <w:pPr>
              <w:pStyle w:val="TableParagraph"/>
              <w:spacing w:before="6"/>
              <w:jc w:val="left"/>
              <w:rPr>
                <w:sz w:val="22"/>
              </w:rPr>
            </w:pPr>
          </w:p>
          <w:p>
            <w:pPr>
              <w:pStyle w:val="TableParagraph"/>
              <w:ind w:left="324" w:right="190"/>
              <w:rPr>
                <w:sz w:val="18"/>
              </w:rPr>
            </w:pPr>
            <w:r>
              <w:rPr>
                <w:sz w:val="18"/>
              </w:rPr>
              <w:t>% of lease revenues</w:t>
            </w:r>
          </w:p>
        </w:tc>
        <w:tc>
          <w:tcPr>
            <w:tcW w:w="2151" w:type="dxa"/>
            <w:tcBorders>
              <w:top w:val="single" w:sz="6" w:space="0" w:color="69BD28"/>
              <w:left w:val="nil"/>
              <w:bottom w:val="single" w:sz="6" w:space="0" w:color="69BD28"/>
              <w:right w:val="nil"/>
            </w:tcBorders>
          </w:tcPr>
          <w:p>
            <w:pPr>
              <w:pStyle w:val="TableParagraph"/>
              <w:spacing w:line="540" w:lineRule="auto" w:before="126"/>
              <w:ind w:left="907" w:right="784"/>
              <w:jc w:val="both"/>
              <w:rPr>
                <w:sz w:val="18"/>
              </w:rPr>
            </w:pPr>
            <w:r>
              <w:rPr>
                <w:w w:val="95"/>
                <w:sz w:val="18"/>
              </w:rPr>
              <w:t>Client Client Client Client Client Client</w:t>
            </w:r>
          </w:p>
          <w:p>
            <w:pPr>
              <w:pStyle w:val="TableParagraph"/>
              <w:spacing w:line="247" w:lineRule="auto" w:before="1"/>
              <w:ind w:left="131" w:right="9"/>
              <w:rPr>
                <w:sz w:val="18"/>
              </w:rPr>
            </w:pPr>
            <w:r>
              <w:rPr>
                <w:sz w:val="18"/>
              </w:rPr>
              <w:t>CAM contract between SPVs holding subject properties &amp; entity undertaking common area maintenance</w:t>
            </w:r>
          </w:p>
          <w:p>
            <w:pPr>
              <w:pStyle w:val="TableParagraph"/>
              <w:spacing w:before="2"/>
              <w:jc w:val="left"/>
              <w:rPr>
                <w:sz w:val="22"/>
              </w:rPr>
            </w:pPr>
          </w:p>
          <w:p>
            <w:pPr>
              <w:pStyle w:val="TableParagraph"/>
              <w:spacing w:line="247" w:lineRule="auto"/>
              <w:ind w:left="131" w:right="8"/>
              <w:rPr>
                <w:sz w:val="18"/>
              </w:rPr>
            </w:pPr>
            <w:r>
              <w:rPr>
                <w:sz w:val="18"/>
              </w:rPr>
              <w:t>Insurance</w:t>
            </w:r>
            <w:r>
              <w:rPr>
                <w:spacing w:val="-30"/>
                <w:sz w:val="18"/>
              </w:rPr>
              <w:t> </w:t>
            </w:r>
            <w:r>
              <w:rPr>
                <w:sz w:val="18"/>
              </w:rPr>
              <w:t>premium receipt</w:t>
            </w:r>
          </w:p>
          <w:p>
            <w:pPr>
              <w:pStyle w:val="TableParagraph"/>
              <w:spacing w:before="1"/>
              <w:jc w:val="left"/>
              <w:rPr>
                <w:sz w:val="22"/>
              </w:rPr>
            </w:pPr>
          </w:p>
          <w:p>
            <w:pPr>
              <w:pStyle w:val="TableParagraph"/>
              <w:spacing w:line="249" w:lineRule="auto"/>
              <w:ind w:left="131" w:right="11"/>
              <w:rPr>
                <w:sz w:val="18"/>
              </w:rPr>
            </w:pPr>
            <w:r>
              <w:rPr>
                <w:sz w:val="18"/>
              </w:rPr>
              <w:t>Property</w:t>
            </w:r>
            <w:r>
              <w:rPr>
                <w:spacing w:val="-25"/>
                <w:sz w:val="18"/>
              </w:rPr>
              <w:t> </w:t>
            </w:r>
            <w:r>
              <w:rPr>
                <w:sz w:val="18"/>
              </w:rPr>
              <w:t>Tax</w:t>
            </w:r>
            <w:r>
              <w:rPr>
                <w:spacing w:val="-23"/>
                <w:sz w:val="18"/>
              </w:rPr>
              <w:t> </w:t>
            </w:r>
            <w:r>
              <w:rPr>
                <w:sz w:val="18"/>
              </w:rPr>
              <w:t>Demand Notice</w:t>
            </w:r>
          </w:p>
          <w:p>
            <w:pPr>
              <w:pStyle w:val="TableParagraph"/>
              <w:spacing w:before="8"/>
              <w:jc w:val="left"/>
              <w:rPr>
                <w:sz w:val="21"/>
              </w:rPr>
            </w:pPr>
          </w:p>
          <w:p>
            <w:pPr>
              <w:pStyle w:val="TableParagraph"/>
              <w:ind w:left="131" w:right="11"/>
              <w:rPr>
                <w:sz w:val="18"/>
              </w:rPr>
            </w:pPr>
            <w:r>
              <w:rPr>
                <w:sz w:val="18"/>
              </w:rPr>
              <w:t>Consultants’ Assessment</w:t>
            </w:r>
          </w:p>
          <w:p>
            <w:pPr>
              <w:pStyle w:val="TableParagraph"/>
              <w:spacing w:before="8"/>
              <w:jc w:val="left"/>
              <w:rPr>
                <w:sz w:val="22"/>
              </w:rPr>
            </w:pPr>
          </w:p>
          <w:p>
            <w:pPr>
              <w:pStyle w:val="TableParagraph"/>
              <w:spacing w:line="247" w:lineRule="auto" w:before="1"/>
              <w:ind w:left="194" w:right="73" w:firstLine="3"/>
              <w:rPr>
                <w:sz w:val="18"/>
              </w:rPr>
            </w:pPr>
            <w:r>
              <w:rPr>
                <w:sz w:val="18"/>
              </w:rPr>
              <w:t>Agreement between Client and SPVs</w:t>
            </w:r>
            <w:r>
              <w:rPr>
                <w:spacing w:val="-22"/>
                <w:sz w:val="18"/>
              </w:rPr>
              <w:t> </w:t>
            </w:r>
            <w:r>
              <w:rPr>
                <w:sz w:val="18"/>
              </w:rPr>
              <w:t>holding subject</w:t>
            </w:r>
            <w:r>
              <w:rPr>
                <w:spacing w:val="-21"/>
                <w:sz w:val="18"/>
              </w:rPr>
              <w:t> </w:t>
            </w:r>
            <w:r>
              <w:rPr>
                <w:sz w:val="18"/>
              </w:rPr>
              <w:t>properties</w:t>
            </w:r>
          </w:p>
          <w:p>
            <w:pPr>
              <w:pStyle w:val="TableParagraph"/>
              <w:spacing w:line="470" w:lineRule="exact" w:before="49"/>
              <w:ind w:left="131" w:right="11"/>
              <w:rPr>
                <w:sz w:val="18"/>
              </w:rPr>
            </w:pPr>
            <w:r>
              <w:rPr>
                <w:w w:val="95"/>
                <w:sz w:val="18"/>
              </w:rPr>
              <w:t>Consultants’ Assessment Consultants’ Assessment</w:t>
            </w:r>
          </w:p>
        </w:tc>
      </w:tr>
      <w:tr>
        <w:trPr>
          <w:trHeight w:val="921" w:hRule="atLeast"/>
        </w:trPr>
        <w:tc>
          <w:tcPr>
            <w:tcW w:w="1836" w:type="dxa"/>
            <w:vMerge/>
            <w:tcBorders>
              <w:top w:val="nil"/>
              <w:left w:val="nil"/>
              <w:bottom w:val="nil"/>
              <w:right w:val="single" w:sz="12" w:space="0" w:color="FFFFFF"/>
            </w:tcBorders>
            <w:shd w:val="clear" w:color="auto" w:fill="69BD28"/>
          </w:tcPr>
          <w:p>
            <w:pPr>
              <w:rPr>
                <w:sz w:val="2"/>
                <w:szCs w:val="2"/>
              </w:rPr>
            </w:pPr>
          </w:p>
        </w:tc>
        <w:tc>
          <w:tcPr>
            <w:tcW w:w="8635" w:type="dxa"/>
            <w:gridSpan w:val="3"/>
            <w:tcBorders>
              <w:top w:val="single" w:sz="6" w:space="0" w:color="69BD28"/>
              <w:left w:val="single" w:sz="12" w:space="0" w:color="FFFFFF"/>
              <w:bottom w:val="nil"/>
              <w:right w:val="nil"/>
            </w:tcBorders>
          </w:tcPr>
          <w:p>
            <w:pPr>
              <w:pStyle w:val="TableParagraph"/>
              <w:tabs>
                <w:tab w:pos="3982" w:val="left" w:leader="none"/>
                <w:tab w:pos="5458" w:val="left" w:leader="none"/>
              </w:tabs>
              <w:spacing w:before="123"/>
              <w:ind w:right="285"/>
              <w:jc w:val="right"/>
              <w:rPr>
                <w:sz w:val="18"/>
              </w:rPr>
            </w:pPr>
            <w:r>
              <w:rPr>
                <w:sz w:val="18"/>
              </w:rPr>
              <w:t>Capitalization</w:t>
            </w:r>
            <w:r>
              <w:rPr>
                <w:spacing w:val="-28"/>
                <w:sz w:val="18"/>
              </w:rPr>
              <w:t> </w:t>
            </w:r>
            <w:r>
              <w:rPr>
                <w:sz w:val="18"/>
              </w:rPr>
              <w:t>Rate</w:t>
              <w:tab/>
              <w:t>%</w:t>
              <w:tab/>
            </w:r>
            <w:r>
              <w:rPr>
                <w:w w:val="95"/>
                <w:sz w:val="18"/>
              </w:rPr>
              <w:t>Valuer</w:t>
            </w:r>
            <w:r>
              <w:rPr>
                <w:spacing w:val="29"/>
                <w:w w:val="95"/>
                <w:sz w:val="18"/>
              </w:rPr>
              <w:t> </w:t>
            </w:r>
            <w:r>
              <w:rPr>
                <w:w w:val="95"/>
                <w:sz w:val="18"/>
              </w:rPr>
              <w:t>Assessment</w:t>
            </w:r>
          </w:p>
          <w:p>
            <w:pPr>
              <w:pStyle w:val="TableParagraph"/>
              <w:spacing w:before="2"/>
              <w:jc w:val="left"/>
              <w:rPr>
                <w:sz w:val="22"/>
              </w:rPr>
            </w:pPr>
          </w:p>
          <w:p>
            <w:pPr>
              <w:pStyle w:val="TableParagraph"/>
              <w:tabs>
                <w:tab w:pos="3752" w:val="left" w:leader="none"/>
                <w:tab w:pos="5705" w:val="left" w:leader="none"/>
              </w:tabs>
              <w:ind w:right="286"/>
              <w:jc w:val="right"/>
              <w:rPr>
                <w:sz w:val="18"/>
              </w:rPr>
            </w:pPr>
            <w:r>
              <w:rPr>
                <w:sz w:val="18"/>
              </w:rPr>
              <w:t>Quarter</w:t>
            </w:r>
            <w:r>
              <w:rPr>
                <w:spacing w:val="-17"/>
                <w:sz w:val="18"/>
              </w:rPr>
              <w:t> </w:t>
            </w:r>
            <w:r>
              <w:rPr>
                <w:sz w:val="18"/>
              </w:rPr>
              <w:t>of</w:t>
            </w:r>
            <w:r>
              <w:rPr>
                <w:spacing w:val="-16"/>
                <w:sz w:val="18"/>
              </w:rPr>
              <w:t> </w:t>
            </w:r>
            <w:r>
              <w:rPr>
                <w:sz w:val="18"/>
              </w:rPr>
              <w:t>Capitalization</w:t>
              <w:tab/>
              <w:t>Quarter,</w:t>
            </w:r>
            <w:r>
              <w:rPr>
                <w:spacing w:val="-9"/>
                <w:sz w:val="18"/>
              </w:rPr>
              <w:t> </w:t>
            </w:r>
            <w:r>
              <w:rPr>
                <w:sz w:val="18"/>
              </w:rPr>
              <w:t>Year</w:t>
              <w:tab/>
            </w:r>
            <w:r>
              <w:rPr>
                <w:w w:val="95"/>
                <w:sz w:val="18"/>
              </w:rPr>
              <w:t>Valuer</w:t>
            </w:r>
            <w:r>
              <w:rPr>
                <w:spacing w:val="27"/>
                <w:w w:val="95"/>
                <w:sz w:val="18"/>
              </w:rPr>
              <w:t> </w:t>
            </w:r>
            <w:r>
              <w:rPr>
                <w:w w:val="95"/>
                <w:sz w:val="18"/>
              </w:rPr>
              <w:t>Assessment</w:t>
            </w:r>
          </w:p>
        </w:tc>
      </w:tr>
    </w:tbl>
    <w:p>
      <w:pPr>
        <w:spacing w:after="0"/>
        <w:jc w:val="right"/>
        <w:rPr>
          <w:sz w:val="18"/>
        </w:rPr>
        <w:sectPr>
          <w:pgSz w:w="11910" w:h="16840"/>
          <w:pgMar w:header="720" w:footer="842" w:top="1520" w:bottom="1040" w:left="440" w:right="80"/>
        </w:sectPr>
      </w:pPr>
    </w:p>
    <w:p>
      <w:pPr>
        <w:pStyle w:val="BodyText"/>
        <w:rPr>
          <w:sz w:val="20"/>
        </w:rPr>
      </w:pPr>
    </w:p>
    <w:p>
      <w:pPr>
        <w:pStyle w:val="BodyText"/>
        <w:spacing w:before="2"/>
        <w:rPr>
          <w:sz w:val="11"/>
        </w:rPr>
      </w:pPr>
    </w:p>
    <w:tbl>
      <w:tblPr>
        <w:tblW w:w="0" w:type="auto"/>
        <w:jc w:val="left"/>
        <w:tblInd w:w="287" w:type="dxa"/>
        <w:tblBorders>
          <w:top w:val="single" w:sz="12" w:space="0" w:color="1F6B16"/>
          <w:left w:val="single" w:sz="12" w:space="0" w:color="1F6B16"/>
          <w:bottom w:val="single" w:sz="12" w:space="0" w:color="1F6B16"/>
          <w:right w:val="single" w:sz="12" w:space="0" w:color="1F6B16"/>
          <w:insideH w:val="single" w:sz="12" w:space="0" w:color="1F6B16"/>
          <w:insideV w:val="single" w:sz="12" w:space="0" w:color="1F6B16"/>
        </w:tblBorders>
        <w:tblLayout w:type="fixed"/>
        <w:tblCellMar>
          <w:top w:w="0" w:type="dxa"/>
          <w:left w:w="0" w:type="dxa"/>
          <w:bottom w:w="0" w:type="dxa"/>
          <w:right w:w="0" w:type="dxa"/>
        </w:tblCellMar>
        <w:tblLook w:val="01E0"/>
      </w:tblPr>
      <w:tblGrid>
        <w:gridCol w:w="1836"/>
        <w:gridCol w:w="4357"/>
        <w:gridCol w:w="4278"/>
      </w:tblGrid>
      <w:tr>
        <w:trPr>
          <w:trHeight w:val="479" w:hRule="atLeast"/>
        </w:trPr>
        <w:tc>
          <w:tcPr>
            <w:tcW w:w="1836" w:type="dxa"/>
            <w:tcBorders>
              <w:left w:val="nil"/>
              <w:bottom w:val="single" w:sz="6" w:space="0" w:color="69BD28"/>
              <w:right w:val="single" w:sz="12" w:space="0" w:color="FFFFFF"/>
            </w:tcBorders>
            <w:shd w:val="clear" w:color="auto" w:fill="006A4D"/>
          </w:tcPr>
          <w:p>
            <w:pPr>
              <w:pStyle w:val="TableParagraph"/>
              <w:spacing w:before="123"/>
              <w:ind w:left="461"/>
              <w:jc w:val="left"/>
              <w:rPr>
                <w:sz w:val="20"/>
              </w:rPr>
            </w:pPr>
            <w:r>
              <w:rPr>
                <w:color w:val="FFFFFF"/>
                <w:sz w:val="20"/>
              </w:rPr>
              <w:t>Particulars</w:t>
            </w:r>
          </w:p>
        </w:tc>
        <w:tc>
          <w:tcPr>
            <w:tcW w:w="4357" w:type="dxa"/>
            <w:tcBorders>
              <w:left w:val="single" w:sz="12" w:space="0" w:color="FFFFFF"/>
              <w:bottom w:val="single" w:sz="6" w:space="0" w:color="69BD28"/>
              <w:right w:val="single" w:sz="12" w:space="0" w:color="FFFFFF"/>
            </w:tcBorders>
            <w:shd w:val="clear" w:color="auto" w:fill="006A4D"/>
          </w:tcPr>
          <w:p>
            <w:pPr>
              <w:pStyle w:val="TableParagraph"/>
              <w:spacing w:before="123"/>
              <w:ind w:left="1836" w:right="1836"/>
              <w:rPr>
                <w:sz w:val="20"/>
              </w:rPr>
            </w:pPr>
            <w:r>
              <w:rPr>
                <w:color w:val="FFFFFF"/>
                <w:sz w:val="20"/>
              </w:rPr>
              <w:t>Details</w:t>
            </w:r>
          </w:p>
        </w:tc>
        <w:tc>
          <w:tcPr>
            <w:tcW w:w="4278" w:type="dxa"/>
            <w:tcBorders>
              <w:left w:val="single" w:sz="12" w:space="0" w:color="FFFFFF"/>
              <w:bottom w:val="single" w:sz="6" w:space="0" w:color="69BD28"/>
              <w:right w:val="nil"/>
            </w:tcBorders>
            <w:shd w:val="clear" w:color="auto" w:fill="006A4D"/>
          </w:tcPr>
          <w:p>
            <w:pPr>
              <w:pStyle w:val="TableParagraph"/>
              <w:tabs>
                <w:tab w:pos="2952" w:val="left" w:leader="none"/>
              </w:tabs>
              <w:spacing w:before="123"/>
              <w:ind w:left="898"/>
              <w:jc w:val="left"/>
              <w:rPr>
                <w:sz w:val="20"/>
              </w:rPr>
            </w:pPr>
            <w:r>
              <w:rPr>
                <w:color w:val="FFFFFF"/>
                <w:sz w:val="20"/>
              </w:rPr>
              <w:t>Units</w:t>
              <w:tab/>
              <w:t>Source</w:t>
            </w:r>
          </w:p>
        </w:tc>
      </w:tr>
      <w:tr>
        <w:trPr>
          <w:trHeight w:val="916" w:hRule="atLeast"/>
        </w:trPr>
        <w:tc>
          <w:tcPr>
            <w:tcW w:w="1836" w:type="dxa"/>
            <w:vMerge w:val="restart"/>
            <w:tcBorders>
              <w:top w:val="nil"/>
              <w:left w:val="nil"/>
              <w:bottom w:val="nil"/>
              <w:right w:val="single" w:sz="12" w:space="0" w:color="FFFFFF"/>
            </w:tcBorders>
            <w:shd w:val="clear" w:color="auto" w:fill="69BD28"/>
          </w:tcPr>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spacing w:line="247" w:lineRule="auto" w:before="187"/>
              <w:ind w:left="338" w:firstLine="19"/>
              <w:jc w:val="left"/>
              <w:rPr>
                <w:b/>
                <w:sz w:val="18"/>
              </w:rPr>
            </w:pPr>
            <w:r>
              <w:rPr>
                <w:b/>
                <w:color w:val="FFFFFF"/>
                <w:w w:val="110"/>
                <w:sz w:val="18"/>
              </w:rPr>
              <w:t>Operational </w:t>
            </w:r>
            <w:r>
              <w:rPr>
                <w:b/>
                <w:color w:val="FFFFFF"/>
                <w:w w:val="105"/>
                <w:sz w:val="18"/>
              </w:rPr>
              <w:t>Assumptions</w:t>
            </w:r>
          </w:p>
        </w:tc>
        <w:tc>
          <w:tcPr>
            <w:tcW w:w="8635" w:type="dxa"/>
            <w:gridSpan w:val="2"/>
            <w:tcBorders>
              <w:top w:val="single" w:sz="6" w:space="0" w:color="69BD28"/>
              <w:left w:val="single" w:sz="12" w:space="0" w:color="FFFFFF"/>
              <w:bottom w:val="single" w:sz="6" w:space="0" w:color="69BD28"/>
              <w:right w:val="nil"/>
            </w:tcBorders>
          </w:tcPr>
          <w:p>
            <w:pPr>
              <w:pStyle w:val="TableParagraph"/>
              <w:tabs>
                <w:tab w:pos="3776" w:val="left" w:leader="none"/>
                <w:tab w:pos="5252" w:val="left" w:leader="none"/>
              </w:tabs>
              <w:spacing w:before="118"/>
              <w:ind w:right="286"/>
              <w:jc w:val="right"/>
              <w:rPr>
                <w:sz w:val="18"/>
              </w:rPr>
            </w:pPr>
            <w:r>
              <w:rPr>
                <w:sz w:val="18"/>
              </w:rPr>
              <w:t>Discount</w:t>
            </w:r>
            <w:r>
              <w:rPr>
                <w:spacing w:val="-19"/>
                <w:sz w:val="18"/>
              </w:rPr>
              <w:t> </w:t>
            </w:r>
            <w:r>
              <w:rPr>
                <w:sz w:val="18"/>
              </w:rPr>
              <w:t>Rate</w:t>
              <w:tab/>
              <w:t>%</w:t>
              <w:tab/>
            </w:r>
            <w:r>
              <w:rPr>
                <w:w w:val="95"/>
                <w:sz w:val="18"/>
              </w:rPr>
              <w:t>Valuer</w:t>
            </w:r>
            <w:r>
              <w:rPr>
                <w:spacing w:val="28"/>
                <w:w w:val="95"/>
                <w:sz w:val="18"/>
              </w:rPr>
              <w:t> </w:t>
            </w:r>
            <w:r>
              <w:rPr>
                <w:w w:val="95"/>
                <w:sz w:val="18"/>
              </w:rPr>
              <w:t>Assessment</w:t>
            </w:r>
          </w:p>
          <w:p>
            <w:pPr>
              <w:pStyle w:val="TableParagraph"/>
              <w:spacing w:before="1"/>
              <w:jc w:val="left"/>
              <w:rPr>
                <w:sz w:val="22"/>
              </w:rPr>
            </w:pPr>
          </w:p>
          <w:p>
            <w:pPr>
              <w:pStyle w:val="TableParagraph"/>
              <w:tabs>
                <w:tab w:pos="4160" w:val="left" w:leader="none"/>
                <w:tab w:pos="5636" w:val="left" w:leader="none"/>
              </w:tabs>
              <w:spacing w:before="1"/>
              <w:ind w:right="286"/>
              <w:jc w:val="right"/>
              <w:rPr>
                <w:sz w:val="18"/>
              </w:rPr>
            </w:pPr>
            <w:r>
              <w:rPr>
                <w:sz w:val="18"/>
              </w:rPr>
              <w:t>Transaction</w:t>
            </w:r>
            <w:r>
              <w:rPr>
                <w:spacing w:val="-24"/>
                <w:sz w:val="18"/>
              </w:rPr>
              <w:t> </w:t>
            </w:r>
            <w:r>
              <w:rPr>
                <w:sz w:val="18"/>
              </w:rPr>
              <w:t>cost</w:t>
            </w:r>
            <w:r>
              <w:rPr>
                <w:spacing w:val="-25"/>
                <w:sz w:val="18"/>
              </w:rPr>
              <w:t> </w:t>
            </w:r>
            <w:r>
              <w:rPr>
                <w:sz w:val="18"/>
              </w:rPr>
              <w:t>on</w:t>
            </w:r>
            <w:r>
              <w:rPr>
                <w:spacing w:val="-24"/>
                <w:sz w:val="18"/>
              </w:rPr>
              <w:t> </w:t>
            </w:r>
            <w:r>
              <w:rPr>
                <w:sz w:val="18"/>
              </w:rPr>
              <w:t>Exit</w:t>
              <w:tab/>
              <w:t>%</w:t>
              <w:tab/>
            </w:r>
            <w:r>
              <w:rPr>
                <w:w w:val="95"/>
                <w:sz w:val="18"/>
              </w:rPr>
              <w:t>Valuer</w:t>
            </w:r>
            <w:r>
              <w:rPr>
                <w:spacing w:val="27"/>
                <w:w w:val="95"/>
                <w:sz w:val="18"/>
              </w:rPr>
              <w:t> </w:t>
            </w:r>
            <w:r>
              <w:rPr>
                <w:w w:val="95"/>
                <w:sz w:val="18"/>
              </w:rPr>
              <w:t>Assessment</w:t>
            </w:r>
          </w:p>
        </w:tc>
      </w:tr>
      <w:tr>
        <w:trPr>
          <w:trHeight w:val="11708" w:hRule="atLeast"/>
        </w:trPr>
        <w:tc>
          <w:tcPr>
            <w:tcW w:w="1836" w:type="dxa"/>
            <w:vMerge/>
            <w:tcBorders>
              <w:top w:val="nil"/>
              <w:left w:val="nil"/>
              <w:bottom w:val="nil"/>
              <w:right w:val="single" w:sz="12" w:space="0" w:color="FFFFFF"/>
            </w:tcBorders>
            <w:shd w:val="clear" w:color="auto" w:fill="69BD28"/>
          </w:tcPr>
          <w:p>
            <w:pPr>
              <w:rPr>
                <w:sz w:val="2"/>
                <w:szCs w:val="2"/>
              </w:rPr>
            </w:pPr>
          </w:p>
        </w:tc>
        <w:tc>
          <w:tcPr>
            <w:tcW w:w="8635" w:type="dxa"/>
            <w:gridSpan w:val="2"/>
            <w:tcBorders>
              <w:top w:val="single" w:sz="6" w:space="0" w:color="69BD28"/>
              <w:left w:val="single" w:sz="12" w:space="0" w:color="FFFFFF"/>
              <w:bottom w:val="nil"/>
              <w:right w:val="nil"/>
            </w:tcBorders>
          </w:tcPr>
          <w:p>
            <w:pPr>
              <w:pStyle w:val="TableParagraph"/>
              <w:tabs>
                <w:tab w:pos="5401" w:val="left" w:leader="none"/>
                <w:tab w:pos="6961" w:val="left" w:leader="none"/>
              </w:tabs>
              <w:spacing w:line="163" w:lineRule="auto" w:before="144"/>
              <w:ind w:left="7146" w:right="370" w:hanging="5469"/>
              <w:jc w:val="left"/>
              <w:rPr>
                <w:sz w:val="18"/>
              </w:rPr>
            </w:pPr>
            <w:r>
              <w:rPr>
                <w:position w:val="-10"/>
                <w:sz w:val="18"/>
              </w:rPr>
              <w:t>Leased</w:t>
            </w:r>
            <w:r>
              <w:rPr>
                <w:spacing w:val="-5"/>
                <w:position w:val="-10"/>
                <w:sz w:val="18"/>
              </w:rPr>
              <w:t> </w:t>
            </w:r>
            <w:r>
              <w:rPr>
                <w:position w:val="-10"/>
                <w:sz w:val="18"/>
              </w:rPr>
              <w:t>Area</w:t>
              <w:tab/>
              <w:t>Sf</w:t>
              <w:tab/>
            </w:r>
            <w:r>
              <w:rPr>
                <w:w w:val="95"/>
                <w:sz w:val="18"/>
              </w:rPr>
              <w:t>Rent rolls/</w:t>
            </w:r>
            <w:r>
              <w:rPr>
                <w:spacing w:val="-27"/>
                <w:w w:val="95"/>
                <w:sz w:val="18"/>
              </w:rPr>
              <w:t> </w:t>
            </w:r>
            <w:r>
              <w:rPr>
                <w:w w:val="95"/>
                <w:sz w:val="18"/>
              </w:rPr>
              <w:t>Lease </w:t>
            </w:r>
            <w:r>
              <w:rPr>
                <w:sz w:val="18"/>
              </w:rPr>
              <w:t>agreements</w:t>
            </w:r>
          </w:p>
          <w:p>
            <w:pPr>
              <w:pStyle w:val="TableParagraph"/>
              <w:spacing w:before="9"/>
              <w:jc w:val="left"/>
              <w:rPr>
                <w:sz w:val="23"/>
              </w:rPr>
            </w:pPr>
          </w:p>
          <w:p>
            <w:pPr>
              <w:pStyle w:val="TableParagraph"/>
              <w:tabs>
                <w:tab w:pos="5401" w:val="left" w:leader="none"/>
                <w:tab w:pos="6961" w:val="left" w:leader="none"/>
              </w:tabs>
              <w:spacing w:line="163" w:lineRule="auto"/>
              <w:ind w:left="7146" w:right="370" w:hanging="5464"/>
              <w:jc w:val="left"/>
              <w:rPr>
                <w:sz w:val="18"/>
              </w:rPr>
            </w:pPr>
            <w:r>
              <w:rPr>
                <w:position w:val="-10"/>
                <w:sz w:val="18"/>
              </w:rPr>
              <w:t>Vacant</w:t>
            </w:r>
            <w:r>
              <w:rPr>
                <w:spacing w:val="-8"/>
                <w:position w:val="-10"/>
                <w:sz w:val="18"/>
              </w:rPr>
              <w:t> </w:t>
            </w:r>
            <w:r>
              <w:rPr>
                <w:position w:val="-10"/>
                <w:sz w:val="18"/>
              </w:rPr>
              <w:t>Area</w:t>
              <w:tab/>
              <w:t>Sf</w:t>
              <w:tab/>
            </w:r>
            <w:r>
              <w:rPr>
                <w:w w:val="95"/>
                <w:sz w:val="18"/>
              </w:rPr>
              <w:t>Rent rolls/</w:t>
            </w:r>
            <w:r>
              <w:rPr>
                <w:spacing w:val="-27"/>
                <w:w w:val="95"/>
                <w:sz w:val="18"/>
              </w:rPr>
              <w:t> </w:t>
            </w:r>
            <w:r>
              <w:rPr>
                <w:w w:val="95"/>
                <w:sz w:val="18"/>
              </w:rPr>
              <w:t>Lease </w:t>
            </w:r>
            <w:r>
              <w:rPr>
                <w:sz w:val="18"/>
              </w:rPr>
              <w:t>agreements</w:t>
            </w:r>
          </w:p>
          <w:p>
            <w:pPr>
              <w:pStyle w:val="TableParagraph"/>
              <w:spacing w:before="1"/>
              <w:jc w:val="left"/>
              <w:rPr>
                <w:sz w:val="29"/>
              </w:rPr>
            </w:pPr>
          </w:p>
          <w:p>
            <w:pPr>
              <w:pStyle w:val="TableParagraph"/>
              <w:tabs>
                <w:tab w:pos="5401" w:val="left" w:leader="none"/>
                <w:tab w:pos="6961" w:val="left" w:leader="none"/>
              </w:tabs>
              <w:spacing w:line="124" w:lineRule="auto" w:before="1"/>
              <w:ind w:left="7146" w:right="369" w:hanging="5815"/>
              <w:jc w:val="left"/>
              <w:rPr>
                <w:sz w:val="18"/>
              </w:rPr>
            </w:pPr>
            <w:r>
              <w:rPr>
                <w:sz w:val="18"/>
              </w:rPr>
              <w:t>Pre-</w:t>
            </w:r>
            <w:r>
              <w:rPr>
                <w:spacing w:val="-12"/>
                <w:sz w:val="18"/>
              </w:rPr>
              <w:t> </w:t>
            </w:r>
            <w:r>
              <w:rPr>
                <w:sz w:val="18"/>
              </w:rPr>
              <w:t>Committed</w:t>
            </w:r>
            <w:r>
              <w:rPr>
                <w:spacing w:val="-12"/>
                <w:sz w:val="18"/>
              </w:rPr>
              <w:t> </w:t>
            </w:r>
            <w:r>
              <w:rPr>
                <w:sz w:val="18"/>
              </w:rPr>
              <w:t>Area</w:t>
              <w:tab/>
              <w:t>Sf</w:t>
              <w:tab/>
            </w:r>
            <w:r>
              <w:rPr>
                <w:w w:val="95"/>
                <w:position w:val="11"/>
                <w:sz w:val="18"/>
              </w:rPr>
              <w:t>Rent rolls/</w:t>
            </w:r>
            <w:r>
              <w:rPr>
                <w:spacing w:val="-26"/>
                <w:w w:val="95"/>
                <w:position w:val="11"/>
                <w:sz w:val="18"/>
              </w:rPr>
              <w:t> </w:t>
            </w:r>
            <w:r>
              <w:rPr>
                <w:w w:val="95"/>
                <w:position w:val="11"/>
                <w:sz w:val="18"/>
              </w:rPr>
              <w:t>Lease </w:t>
            </w:r>
            <w:r>
              <w:rPr>
                <w:sz w:val="18"/>
              </w:rPr>
              <w:t>agreements</w:t>
            </w:r>
          </w:p>
          <w:p>
            <w:pPr>
              <w:pStyle w:val="TableParagraph"/>
              <w:spacing w:before="5"/>
              <w:jc w:val="left"/>
              <w:rPr>
                <w:sz w:val="24"/>
              </w:rPr>
            </w:pPr>
          </w:p>
          <w:p>
            <w:pPr>
              <w:pStyle w:val="TableParagraph"/>
              <w:tabs>
                <w:tab w:pos="4908" w:val="left" w:leader="none"/>
                <w:tab w:pos="6961" w:val="left" w:leader="none"/>
                <w:tab w:pos="7146" w:val="left" w:leader="none"/>
              </w:tabs>
              <w:spacing w:line="163" w:lineRule="auto"/>
              <w:ind w:left="1608" w:right="370" w:hanging="1448"/>
              <w:jc w:val="left"/>
              <w:rPr>
                <w:sz w:val="18"/>
              </w:rPr>
            </w:pPr>
            <w:r>
              <w:rPr>
                <w:sz w:val="18"/>
              </w:rPr>
              <w:t>Lease</w:t>
            </w:r>
            <w:r>
              <w:rPr>
                <w:spacing w:val="-26"/>
                <w:sz w:val="18"/>
              </w:rPr>
              <w:t> </w:t>
            </w:r>
            <w:r>
              <w:rPr>
                <w:sz w:val="18"/>
              </w:rPr>
              <w:t>Dates</w:t>
            </w:r>
            <w:r>
              <w:rPr>
                <w:spacing w:val="-25"/>
                <w:sz w:val="18"/>
              </w:rPr>
              <w:t> </w:t>
            </w:r>
            <w:r>
              <w:rPr>
                <w:sz w:val="18"/>
              </w:rPr>
              <w:t>(Start,</w:t>
            </w:r>
            <w:r>
              <w:rPr>
                <w:spacing w:val="-25"/>
                <w:sz w:val="18"/>
              </w:rPr>
              <w:t> </w:t>
            </w:r>
            <w:r>
              <w:rPr>
                <w:sz w:val="18"/>
              </w:rPr>
              <w:t>End,</w:t>
            </w:r>
            <w:r>
              <w:rPr>
                <w:spacing w:val="-26"/>
                <w:sz w:val="18"/>
              </w:rPr>
              <w:t> </w:t>
            </w:r>
            <w:r>
              <w:rPr>
                <w:sz w:val="18"/>
              </w:rPr>
              <w:t>Lock</w:t>
            </w:r>
            <w:r>
              <w:rPr>
                <w:spacing w:val="-25"/>
                <w:sz w:val="18"/>
              </w:rPr>
              <w:t> </w:t>
            </w:r>
            <w:r>
              <w:rPr>
                <w:sz w:val="18"/>
              </w:rPr>
              <w:t>in,</w:t>
            </w:r>
            <w:r>
              <w:rPr>
                <w:spacing w:val="-26"/>
                <w:sz w:val="18"/>
              </w:rPr>
              <w:t> </w:t>
            </w:r>
            <w:r>
              <w:rPr>
                <w:sz w:val="18"/>
              </w:rPr>
              <w:t>Escalation</w:t>
            </w:r>
            <w:r>
              <w:rPr>
                <w:spacing w:val="-25"/>
                <w:sz w:val="18"/>
              </w:rPr>
              <w:t> </w:t>
            </w:r>
            <w:r>
              <w:rPr>
                <w:sz w:val="18"/>
              </w:rPr>
              <w:t>etc.)</w:t>
            </w:r>
            <w:r>
              <w:rPr>
                <w:spacing w:val="-25"/>
                <w:sz w:val="18"/>
              </w:rPr>
              <w:t> </w:t>
            </w:r>
            <w:r>
              <w:rPr>
                <w:sz w:val="18"/>
              </w:rPr>
              <w:t>for</w:t>
              <w:tab/>
            </w:r>
            <w:r>
              <w:rPr>
                <w:position w:val="-10"/>
                <w:sz w:val="18"/>
              </w:rPr>
              <w:t>MM/DD/YYYY</w:t>
              <w:tab/>
            </w:r>
            <w:r>
              <w:rPr>
                <w:w w:val="95"/>
                <w:sz w:val="18"/>
              </w:rPr>
              <w:t>Rent rolls/</w:t>
            </w:r>
            <w:r>
              <w:rPr>
                <w:spacing w:val="-27"/>
                <w:w w:val="95"/>
                <w:sz w:val="18"/>
              </w:rPr>
              <w:t> </w:t>
            </w:r>
            <w:r>
              <w:rPr>
                <w:w w:val="95"/>
                <w:sz w:val="18"/>
              </w:rPr>
              <w:t>Lease </w:t>
            </w:r>
            <w:r>
              <w:rPr>
                <w:sz w:val="18"/>
              </w:rPr>
              <w:t>existing</w:t>
            </w:r>
            <w:r>
              <w:rPr>
                <w:spacing w:val="-18"/>
                <w:sz w:val="18"/>
              </w:rPr>
              <w:t> </w:t>
            </w:r>
            <w:r>
              <w:rPr>
                <w:sz w:val="18"/>
              </w:rPr>
              <w:t>leases</w:t>
              <w:tab/>
              <w:tab/>
              <w:tab/>
              <w:t>agreements</w:t>
            </w:r>
          </w:p>
          <w:p>
            <w:pPr>
              <w:pStyle w:val="TableParagraph"/>
              <w:spacing w:before="1"/>
              <w:jc w:val="left"/>
              <w:rPr>
                <w:sz w:val="29"/>
              </w:rPr>
            </w:pPr>
          </w:p>
          <w:p>
            <w:pPr>
              <w:pStyle w:val="TableParagraph"/>
              <w:tabs>
                <w:tab w:pos="5036" w:val="left" w:leader="none"/>
                <w:tab w:pos="6961" w:val="left" w:leader="none"/>
              </w:tabs>
              <w:spacing w:line="124" w:lineRule="auto" w:before="1"/>
              <w:ind w:left="7146" w:right="370" w:hanging="5531"/>
              <w:jc w:val="left"/>
              <w:rPr>
                <w:sz w:val="18"/>
              </w:rPr>
            </w:pPr>
            <w:r>
              <w:rPr>
                <w:sz w:val="18"/>
              </w:rPr>
              <w:t>Rent</w:t>
            </w:r>
            <w:r>
              <w:rPr>
                <w:spacing w:val="-19"/>
                <w:sz w:val="18"/>
              </w:rPr>
              <w:t> </w:t>
            </w:r>
            <w:r>
              <w:rPr>
                <w:sz w:val="18"/>
              </w:rPr>
              <w:t>Achieved</w:t>
              <w:tab/>
              <w:t>INR</w:t>
            </w:r>
            <w:r>
              <w:rPr>
                <w:spacing w:val="-1"/>
                <w:sz w:val="18"/>
              </w:rPr>
              <w:t> </w:t>
            </w:r>
            <w:r>
              <w:rPr>
                <w:sz w:val="18"/>
              </w:rPr>
              <w:t>psf pm</w:t>
              <w:tab/>
            </w:r>
            <w:r>
              <w:rPr>
                <w:w w:val="95"/>
                <w:position w:val="11"/>
                <w:sz w:val="18"/>
              </w:rPr>
              <w:t>Rent rolls/</w:t>
            </w:r>
            <w:r>
              <w:rPr>
                <w:spacing w:val="-27"/>
                <w:w w:val="95"/>
                <w:position w:val="11"/>
                <w:sz w:val="18"/>
              </w:rPr>
              <w:t> </w:t>
            </w:r>
            <w:r>
              <w:rPr>
                <w:w w:val="95"/>
                <w:position w:val="11"/>
                <w:sz w:val="18"/>
              </w:rPr>
              <w:t>Lease </w:t>
            </w:r>
            <w:r>
              <w:rPr>
                <w:sz w:val="18"/>
              </w:rPr>
              <w:t>agreements</w:t>
            </w:r>
          </w:p>
          <w:p>
            <w:pPr>
              <w:pStyle w:val="TableParagraph"/>
              <w:spacing w:before="7"/>
              <w:jc w:val="left"/>
              <w:rPr>
                <w:sz w:val="29"/>
              </w:rPr>
            </w:pPr>
          </w:p>
          <w:p>
            <w:pPr>
              <w:pStyle w:val="TableParagraph"/>
              <w:tabs>
                <w:tab w:pos="5036" w:val="left" w:leader="none"/>
                <w:tab w:pos="6961" w:val="left" w:leader="none"/>
              </w:tabs>
              <w:spacing w:line="124" w:lineRule="auto" w:before="1"/>
              <w:ind w:left="7146" w:right="370" w:hanging="5769"/>
              <w:jc w:val="left"/>
              <w:rPr>
                <w:sz w:val="18"/>
              </w:rPr>
            </w:pPr>
            <w:r>
              <w:rPr>
                <w:sz w:val="18"/>
              </w:rPr>
              <w:t>Pre-Committed</w:t>
            </w:r>
            <w:r>
              <w:rPr>
                <w:spacing w:val="-25"/>
                <w:sz w:val="18"/>
              </w:rPr>
              <w:t> </w:t>
            </w:r>
            <w:r>
              <w:rPr>
                <w:sz w:val="18"/>
              </w:rPr>
              <w:t>Rent</w:t>
              <w:tab/>
              <w:t>INR</w:t>
            </w:r>
            <w:r>
              <w:rPr>
                <w:spacing w:val="-1"/>
                <w:sz w:val="18"/>
              </w:rPr>
              <w:t> </w:t>
            </w:r>
            <w:r>
              <w:rPr>
                <w:sz w:val="18"/>
              </w:rPr>
              <w:t>psf</w:t>
            </w:r>
            <w:r>
              <w:rPr>
                <w:spacing w:val="1"/>
                <w:sz w:val="18"/>
              </w:rPr>
              <w:t> </w:t>
            </w:r>
            <w:r>
              <w:rPr>
                <w:sz w:val="18"/>
              </w:rPr>
              <w:t>pm</w:t>
              <w:tab/>
            </w:r>
            <w:r>
              <w:rPr>
                <w:w w:val="95"/>
                <w:position w:val="11"/>
                <w:sz w:val="18"/>
              </w:rPr>
              <w:t>Rent rolls/</w:t>
            </w:r>
            <w:r>
              <w:rPr>
                <w:spacing w:val="-27"/>
                <w:w w:val="95"/>
                <w:position w:val="11"/>
                <w:sz w:val="18"/>
              </w:rPr>
              <w:t> </w:t>
            </w:r>
            <w:r>
              <w:rPr>
                <w:w w:val="95"/>
                <w:position w:val="11"/>
                <w:sz w:val="18"/>
              </w:rPr>
              <w:t>Lease </w:t>
            </w:r>
            <w:r>
              <w:rPr>
                <w:sz w:val="18"/>
              </w:rPr>
              <w:t>agreements</w:t>
            </w:r>
          </w:p>
          <w:p>
            <w:pPr>
              <w:pStyle w:val="TableParagraph"/>
              <w:spacing w:before="5"/>
              <w:jc w:val="left"/>
              <w:rPr>
                <w:sz w:val="29"/>
              </w:rPr>
            </w:pPr>
          </w:p>
          <w:p>
            <w:pPr>
              <w:pStyle w:val="TableParagraph"/>
              <w:tabs>
                <w:tab w:pos="4548" w:val="left" w:leader="none"/>
                <w:tab w:pos="6961" w:val="left" w:leader="none"/>
              </w:tabs>
              <w:spacing w:line="124" w:lineRule="auto"/>
              <w:ind w:left="7146" w:right="370" w:hanging="5603"/>
              <w:jc w:val="left"/>
              <w:rPr>
                <w:sz w:val="18"/>
              </w:rPr>
            </w:pPr>
            <w:r>
              <w:rPr>
                <w:sz w:val="18"/>
              </w:rPr>
              <w:t>Security</w:t>
            </w:r>
            <w:r>
              <w:rPr>
                <w:spacing w:val="-20"/>
                <w:sz w:val="18"/>
              </w:rPr>
              <w:t> </w:t>
            </w:r>
            <w:r>
              <w:rPr>
                <w:sz w:val="18"/>
              </w:rPr>
              <w:t>Deposit</w:t>
              <w:tab/>
              <w:t>No. of months/</w:t>
            </w:r>
            <w:r>
              <w:rPr>
                <w:spacing w:val="-1"/>
                <w:sz w:val="18"/>
              </w:rPr>
              <w:t> </w:t>
            </w:r>
            <w:r>
              <w:rPr>
                <w:sz w:val="18"/>
              </w:rPr>
              <w:t>INR</w:t>
            </w:r>
            <w:r>
              <w:rPr>
                <w:spacing w:val="-1"/>
                <w:sz w:val="18"/>
              </w:rPr>
              <w:t> </w:t>
            </w:r>
            <w:r>
              <w:rPr>
                <w:sz w:val="18"/>
              </w:rPr>
              <w:t>Mn</w:t>
              <w:tab/>
            </w:r>
            <w:r>
              <w:rPr>
                <w:w w:val="95"/>
                <w:position w:val="11"/>
                <w:sz w:val="18"/>
              </w:rPr>
              <w:t>Rent rolls/</w:t>
            </w:r>
            <w:r>
              <w:rPr>
                <w:spacing w:val="-27"/>
                <w:w w:val="95"/>
                <w:position w:val="11"/>
                <w:sz w:val="18"/>
              </w:rPr>
              <w:t> </w:t>
            </w:r>
            <w:r>
              <w:rPr>
                <w:w w:val="95"/>
                <w:position w:val="11"/>
                <w:sz w:val="18"/>
              </w:rPr>
              <w:t>Lease </w:t>
            </w:r>
            <w:r>
              <w:rPr>
                <w:sz w:val="18"/>
              </w:rPr>
              <w:t>agreements</w:t>
            </w:r>
          </w:p>
          <w:p>
            <w:pPr>
              <w:pStyle w:val="TableParagraph"/>
              <w:spacing w:before="10"/>
              <w:jc w:val="left"/>
              <w:rPr>
                <w:sz w:val="22"/>
              </w:rPr>
            </w:pPr>
          </w:p>
          <w:p>
            <w:pPr>
              <w:pStyle w:val="TableParagraph"/>
              <w:ind w:left="6671"/>
              <w:jc w:val="left"/>
              <w:rPr>
                <w:sz w:val="18"/>
              </w:rPr>
            </w:pPr>
            <w:r>
              <w:rPr>
                <w:sz w:val="18"/>
              </w:rPr>
              <w:t>Rent</w:t>
            </w:r>
            <w:r>
              <w:rPr>
                <w:spacing w:val="-27"/>
                <w:sz w:val="18"/>
              </w:rPr>
              <w:t> </w:t>
            </w:r>
            <w:r>
              <w:rPr>
                <w:sz w:val="18"/>
              </w:rPr>
              <w:t>rolls</w:t>
            </w:r>
            <w:r>
              <w:rPr>
                <w:spacing w:val="-26"/>
                <w:sz w:val="18"/>
              </w:rPr>
              <w:t> </w:t>
            </w:r>
            <w:r>
              <w:rPr>
                <w:sz w:val="18"/>
              </w:rPr>
              <w:t>/</w:t>
            </w:r>
            <w:r>
              <w:rPr>
                <w:spacing w:val="-26"/>
                <w:sz w:val="18"/>
              </w:rPr>
              <w:t> </w:t>
            </w:r>
            <w:r>
              <w:rPr>
                <w:sz w:val="18"/>
              </w:rPr>
              <w:t>Consultants’</w:t>
            </w:r>
          </w:p>
          <w:p>
            <w:pPr>
              <w:pStyle w:val="TableParagraph"/>
              <w:tabs>
                <w:tab w:pos="4385" w:val="left" w:leader="none"/>
                <w:tab w:pos="6872" w:val="left" w:leader="none"/>
              </w:tabs>
              <w:spacing w:line="247" w:lineRule="auto" w:before="7"/>
              <w:ind w:left="7146" w:right="282" w:hanging="5474"/>
              <w:jc w:val="left"/>
              <w:rPr>
                <w:sz w:val="18"/>
              </w:rPr>
            </w:pPr>
            <w:r>
              <w:rPr>
                <w:sz w:val="18"/>
              </w:rPr>
              <w:t>Parking</w:t>
            </w:r>
            <w:r>
              <w:rPr>
                <w:spacing w:val="-17"/>
                <w:sz w:val="18"/>
              </w:rPr>
              <w:t> </w:t>
            </w:r>
            <w:r>
              <w:rPr>
                <w:sz w:val="18"/>
              </w:rPr>
              <w:t>Rent</w:t>
              <w:tab/>
              <w:t>INR per car park</w:t>
            </w:r>
            <w:r>
              <w:rPr>
                <w:spacing w:val="-24"/>
                <w:sz w:val="18"/>
              </w:rPr>
              <w:t> </w:t>
            </w:r>
            <w:r>
              <w:rPr>
                <w:sz w:val="18"/>
              </w:rPr>
              <w:t>per</w:t>
            </w:r>
            <w:r>
              <w:rPr>
                <w:spacing w:val="-6"/>
                <w:sz w:val="18"/>
              </w:rPr>
              <w:t> </w:t>
            </w:r>
            <w:r>
              <w:rPr>
                <w:sz w:val="18"/>
              </w:rPr>
              <w:t>month</w:t>
              <w:tab/>
            </w:r>
            <w:r>
              <w:rPr>
                <w:w w:val="95"/>
                <w:sz w:val="18"/>
              </w:rPr>
              <w:t>Assessment/ Lease </w:t>
            </w:r>
            <w:r>
              <w:rPr>
                <w:sz w:val="18"/>
              </w:rPr>
              <w:t>agreements</w:t>
            </w:r>
          </w:p>
          <w:p>
            <w:pPr>
              <w:pStyle w:val="TableParagraph"/>
              <w:spacing w:before="7"/>
              <w:jc w:val="left"/>
              <w:rPr>
                <w:sz w:val="27"/>
              </w:rPr>
            </w:pPr>
          </w:p>
          <w:p>
            <w:pPr>
              <w:pStyle w:val="TableParagraph"/>
              <w:tabs>
                <w:tab w:pos="5036" w:val="left" w:leader="none"/>
                <w:tab w:pos="6961" w:val="left" w:leader="none"/>
              </w:tabs>
              <w:spacing w:line="124" w:lineRule="auto" w:before="1"/>
              <w:ind w:left="7146" w:right="370" w:hanging="5426"/>
              <w:jc w:val="left"/>
              <w:rPr>
                <w:sz w:val="18"/>
              </w:rPr>
            </w:pPr>
            <w:r>
              <w:rPr>
                <w:sz w:val="18"/>
              </w:rPr>
              <w:t>Fit-out</w:t>
            </w:r>
            <w:r>
              <w:rPr>
                <w:spacing w:val="-26"/>
                <w:sz w:val="18"/>
              </w:rPr>
              <w:t> </w:t>
            </w:r>
            <w:r>
              <w:rPr>
                <w:sz w:val="18"/>
              </w:rPr>
              <w:t>Rent</w:t>
              <w:tab/>
              <w:t>INR</w:t>
            </w:r>
            <w:r>
              <w:rPr>
                <w:spacing w:val="-1"/>
                <w:sz w:val="18"/>
              </w:rPr>
              <w:t> </w:t>
            </w:r>
            <w:r>
              <w:rPr>
                <w:sz w:val="18"/>
              </w:rPr>
              <w:t>psf pm</w:t>
              <w:tab/>
            </w:r>
            <w:r>
              <w:rPr>
                <w:w w:val="95"/>
                <w:position w:val="11"/>
                <w:sz w:val="18"/>
              </w:rPr>
              <w:t>Rent rolls/</w:t>
            </w:r>
            <w:r>
              <w:rPr>
                <w:spacing w:val="-27"/>
                <w:w w:val="95"/>
                <w:position w:val="11"/>
                <w:sz w:val="18"/>
              </w:rPr>
              <w:t> </w:t>
            </w:r>
            <w:r>
              <w:rPr>
                <w:w w:val="95"/>
                <w:position w:val="11"/>
                <w:sz w:val="18"/>
              </w:rPr>
              <w:t>Lease </w:t>
            </w:r>
            <w:r>
              <w:rPr>
                <w:sz w:val="18"/>
              </w:rPr>
              <w:t>agreements</w:t>
            </w:r>
          </w:p>
          <w:p>
            <w:pPr>
              <w:pStyle w:val="TableParagraph"/>
              <w:spacing w:before="7"/>
              <w:jc w:val="left"/>
              <w:rPr>
                <w:sz w:val="29"/>
              </w:rPr>
            </w:pPr>
          </w:p>
          <w:p>
            <w:pPr>
              <w:pStyle w:val="TableParagraph"/>
              <w:tabs>
                <w:tab w:pos="5180" w:val="left" w:leader="none"/>
                <w:tab w:pos="6829" w:val="left" w:leader="none"/>
              </w:tabs>
              <w:spacing w:line="124" w:lineRule="auto"/>
              <w:ind w:left="7182" w:right="236" w:hanging="5882"/>
              <w:jc w:val="left"/>
              <w:rPr>
                <w:sz w:val="18"/>
              </w:rPr>
            </w:pPr>
            <w:r>
              <w:rPr>
                <w:sz w:val="18"/>
              </w:rPr>
              <w:t>Miscellaneous</w:t>
            </w:r>
            <w:r>
              <w:rPr>
                <w:spacing w:val="-7"/>
                <w:sz w:val="18"/>
              </w:rPr>
              <w:t> </w:t>
            </w:r>
            <w:r>
              <w:rPr>
                <w:sz w:val="18"/>
              </w:rPr>
              <w:t>Income</w:t>
              <w:tab/>
              <w:t>INR</w:t>
            </w:r>
            <w:r>
              <w:rPr>
                <w:spacing w:val="6"/>
                <w:sz w:val="18"/>
              </w:rPr>
              <w:t> </w:t>
            </w:r>
            <w:r>
              <w:rPr>
                <w:sz w:val="18"/>
              </w:rPr>
              <w:t>Mn</w:t>
              <w:tab/>
            </w:r>
            <w:r>
              <w:rPr>
                <w:w w:val="95"/>
                <w:position w:val="11"/>
                <w:sz w:val="18"/>
              </w:rPr>
              <w:t>Rent rolls/</w:t>
            </w:r>
            <w:r>
              <w:rPr>
                <w:spacing w:val="-19"/>
                <w:w w:val="95"/>
                <w:position w:val="11"/>
                <w:sz w:val="18"/>
              </w:rPr>
              <w:t> </w:t>
            </w:r>
            <w:r>
              <w:rPr>
                <w:w w:val="95"/>
                <w:position w:val="11"/>
                <w:sz w:val="18"/>
              </w:rPr>
              <w:t>Financial </w:t>
            </w:r>
            <w:r>
              <w:rPr>
                <w:sz w:val="18"/>
              </w:rPr>
              <w:t>Statements</w:t>
            </w:r>
          </w:p>
          <w:p>
            <w:pPr>
              <w:pStyle w:val="TableParagraph"/>
              <w:spacing w:before="10"/>
              <w:jc w:val="left"/>
              <w:rPr>
                <w:sz w:val="22"/>
              </w:rPr>
            </w:pPr>
          </w:p>
          <w:p>
            <w:pPr>
              <w:pStyle w:val="TableParagraph"/>
              <w:tabs>
                <w:tab w:pos="4719" w:val="left" w:leader="none"/>
                <w:tab w:pos="5346" w:val="left" w:leader="none"/>
                <w:tab w:pos="5406" w:val="left" w:leader="none"/>
                <w:tab w:pos="6330" w:val="left" w:leader="none"/>
                <w:tab w:pos="6646" w:val="left" w:leader="none"/>
              </w:tabs>
              <w:spacing w:line="523" w:lineRule="auto" w:before="1"/>
              <w:ind w:left="1380" w:right="57" w:hanging="274"/>
              <w:jc w:val="right"/>
              <w:rPr>
                <w:sz w:val="18"/>
              </w:rPr>
            </w:pPr>
            <w:r>
              <w:rPr>
                <w:sz w:val="18"/>
              </w:rPr>
              <w:t>Interest</w:t>
            </w:r>
            <w:r>
              <w:rPr>
                <w:spacing w:val="-31"/>
                <w:sz w:val="18"/>
              </w:rPr>
              <w:t> </w:t>
            </w:r>
            <w:r>
              <w:rPr>
                <w:sz w:val="18"/>
              </w:rPr>
              <w:t>on</w:t>
            </w:r>
            <w:r>
              <w:rPr>
                <w:spacing w:val="-29"/>
                <w:sz w:val="18"/>
              </w:rPr>
              <w:t> </w:t>
            </w:r>
            <w:r>
              <w:rPr>
                <w:sz w:val="18"/>
              </w:rPr>
              <w:t>Security</w:t>
            </w:r>
            <w:r>
              <w:rPr>
                <w:spacing w:val="-30"/>
                <w:sz w:val="18"/>
              </w:rPr>
              <w:t> </w:t>
            </w:r>
            <w:r>
              <w:rPr>
                <w:sz w:val="18"/>
              </w:rPr>
              <w:t>Deposit</w:t>
              <w:tab/>
              <w:tab/>
              <w:t>NA</w:t>
              <w:tab/>
              <w:tab/>
            </w:r>
            <w:r>
              <w:rPr>
                <w:w w:val="95"/>
                <w:sz w:val="18"/>
              </w:rPr>
              <w:t>Consultants’</w:t>
            </w:r>
            <w:r>
              <w:rPr>
                <w:spacing w:val="33"/>
                <w:w w:val="95"/>
                <w:sz w:val="18"/>
              </w:rPr>
              <w:t> </w:t>
            </w:r>
            <w:r>
              <w:rPr>
                <w:w w:val="95"/>
                <w:sz w:val="18"/>
              </w:rPr>
              <w:t>Assessment</w:t>
            </w:r>
            <w:r>
              <w:rPr>
                <w:w w:val="65"/>
                <w:sz w:val="18"/>
              </w:rPr>
              <w:t> </w:t>
            </w:r>
            <w:r>
              <w:rPr>
                <w:sz w:val="18"/>
              </w:rPr>
              <w:t>Market</w:t>
            </w:r>
            <w:r>
              <w:rPr>
                <w:spacing w:val="-19"/>
                <w:sz w:val="18"/>
              </w:rPr>
              <w:t> </w:t>
            </w:r>
            <w:r>
              <w:rPr>
                <w:sz w:val="18"/>
              </w:rPr>
              <w:t>Rent</w:t>
              <w:tab/>
              <w:t>INR</w:t>
            </w:r>
            <w:r>
              <w:rPr>
                <w:spacing w:val="-1"/>
                <w:sz w:val="18"/>
              </w:rPr>
              <w:t> </w:t>
            </w:r>
            <w:r>
              <w:rPr>
                <w:sz w:val="18"/>
              </w:rPr>
              <w:t>psf pm</w:t>
              <w:tab/>
            </w:r>
            <w:r>
              <w:rPr>
                <w:w w:val="95"/>
                <w:sz w:val="18"/>
              </w:rPr>
              <w:t>Consultants’</w:t>
            </w:r>
            <w:r>
              <w:rPr>
                <w:spacing w:val="33"/>
                <w:w w:val="95"/>
                <w:sz w:val="18"/>
              </w:rPr>
              <w:t> </w:t>
            </w:r>
            <w:r>
              <w:rPr>
                <w:w w:val="95"/>
                <w:sz w:val="18"/>
              </w:rPr>
              <w:t>Assessment</w:t>
            </w:r>
            <w:r>
              <w:rPr>
                <w:w w:val="65"/>
                <w:sz w:val="18"/>
              </w:rPr>
              <w:t> </w:t>
            </w:r>
            <w:r>
              <w:rPr>
                <w:sz w:val="18"/>
              </w:rPr>
              <w:t>Reversion</w:t>
            </w:r>
            <w:r>
              <w:rPr>
                <w:spacing w:val="-24"/>
                <w:sz w:val="18"/>
              </w:rPr>
              <w:t> </w:t>
            </w:r>
            <w:r>
              <w:rPr>
                <w:sz w:val="18"/>
              </w:rPr>
              <w:t>Threshold</w:t>
              <w:tab/>
              <w:tab/>
              <w:tab/>
              <w:t>%</w:t>
              <w:tab/>
              <w:tab/>
            </w:r>
            <w:r>
              <w:rPr>
                <w:w w:val="95"/>
                <w:sz w:val="18"/>
              </w:rPr>
              <w:t>Consultants’</w:t>
            </w:r>
            <w:r>
              <w:rPr>
                <w:spacing w:val="33"/>
                <w:w w:val="95"/>
                <w:sz w:val="18"/>
              </w:rPr>
              <w:t> </w:t>
            </w:r>
            <w:r>
              <w:rPr>
                <w:w w:val="95"/>
                <w:sz w:val="18"/>
              </w:rPr>
              <w:t>Assessment</w:t>
            </w:r>
          </w:p>
          <w:p>
            <w:pPr>
              <w:pStyle w:val="TableParagraph"/>
              <w:tabs>
                <w:tab w:pos="5406" w:val="left" w:leader="none"/>
                <w:tab w:pos="6646" w:val="left" w:leader="none"/>
              </w:tabs>
              <w:spacing w:line="208" w:lineRule="exact"/>
              <w:ind w:left="1188"/>
              <w:jc w:val="left"/>
              <w:rPr>
                <w:sz w:val="18"/>
              </w:rPr>
            </w:pPr>
            <w:r>
              <w:rPr>
                <w:sz w:val="18"/>
              </w:rPr>
              <w:t>Escalation in Rent</w:t>
            </w:r>
            <w:r>
              <w:rPr>
                <w:spacing w:val="-30"/>
                <w:sz w:val="18"/>
              </w:rPr>
              <w:t> </w:t>
            </w:r>
            <w:r>
              <w:rPr>
                <w:sz w:val="18"/>
              </w:rPr>
              <w:t>/</w:t>
            </w:r>
            <w:r>
              <w:rPr>
                <w:spacing w:val="-10"/>
                <w:sz w:val="18"/>
              </w:rPr>
              <w:t> </w:t>
            </w:r>
            <w:r>
              <w:rPr>
                <w:sz w:val="18"/>
              </w:rPr>
              <w:t>CAM</w:t>
              <w:tab/>
              <w:t>%</w:t>
              <w:tab/>
            </w:r>
            <w:r>
              <w:rPr>
                <w:w w:val="95"/>
                <w:sz w:val="18"/>
              </w:rPr>
              <w:t>Consultants’</w:t>
            </w:r>
            <w:r>
              <w:rPr>
                <w:spacing w:val="33"/>
                <w:w w:val="95"/>
                <w:sz w:val="18"/>
              </w:rPr>
              <w:t> </w:t>
            </w:r>
            <w:r>
              <w:rPr>
                <w:w w:val="95"/>
                <w:sz w:val="18"/>
              </w:rPr>
              <w:t>Assessment</w:t>
            </w:r>
          </w:p>
          <w:p>
            <w:pPr>
              <w:pStyle w:val="TableParagraph"/>
              <w:spacing w:before="11"/>
              <w:jc w:val="left"/>
              <w:rPr>
                <w:sz w:val="22"/>
              </w:rPr>
            </w:pPr>
          </w:p>
          <w:p>
            <w:pPr>
              <w:pStyle w:val="TableParagraph"/>
              <w:tabs>
                <w:tab w:pos="4908" w:val="left" w:leader="none"/>
                <w:tab w:pos="6646" w:val="left" w:leader="none"/>
              </w:tabs>
              <w:spacing w:line="156" w:lineRule="auto"/>
              <w:ind w:left="160"/>
              <w:jc w:val="left"/>
              <w:rPr>
                <w:sz w:val="18"/>
              </w:rPr>
            </w:pPr>
            <w:r>
              <w:rPr>
                <w:sz w:val="18"/>
              </w:rPr>
              <w:t>Lease</w:t>
            </w:r>
            <w:r>
              <w:rPr>
                <w:spacing w:val="-25"/>
                <w:sz w:val="18"/>
              </w:rPr>
              <w:t> </w:t>
            </w:r>
            <w:r>
              <w:rPr>
                <w:sz w:val="18"/>
              </w:rPr>
              <w:t>Dates</w:t>
            </w:r>
            <w:r>
              <w:rPr>
                <w:spacing w:val="-25"/>
                <w:sz w:val="18"/>
              </w:rPr>
              <w:t> </w:t>
            </w:r>
            <w:r>
              <w:rPr>
                <w:sz w:val="18"/>
              </w:rPr>
              <w:t>(Start,</w:t>
            </w:r>
            <w:r>
              <w:rPr>
                <w:spacing w:val="-25"/>
                <w:sz w:val="18"/>
              </w:rPr>
              <w:t> </w:t>
            </w:r>
            <w:r>
              <w:rPr>
                <w:sz w:val="18"/>
              </w:rPr>
              <w:t>End,</w:t>
            </w:r>
            <w:r>
              <w:rPr>
                <w:spacing w:val="-26"/>
                <w:sz w:val="18"/>
              </w:rPr>
              <w:t> </w:t>
            </w:r>
            <w:r>
              <w:rPr>
                <w:sz w:val="18"/>
              </w:rPr>
              <w:t>Lock</w:t>
            </w:r>
            <w:r>
              <w:rPr>
                <w:spacing w:val="-25"/>
                <w:sz w:val="18"/>
              </w:rPr>
              <w:t> </w:t>
            </w:r>
            <w:r>
              <w:rPr>
                <w:sz w:val="18"/>
              </w:rPr>
              <w:t>in,</w:t>
            </w:r>
            <w:r>
              <w:rPr>
                <w:spacing w:val="-25"/>
                <w:sz w:val="18"/>
              </w:rPr>
              <w:t> </w:t>
            </w:r>
            <w:r>
              <w:rPr>
                <w:sz w:val="18"/>
              </w:rPr>
              <w:t>Escalation</w:t>
            </w:r>
            <w:r>
              <w:rPr>
                <w:spacing w:val="-25"/>
                <w:sz w:val="18"/>
              </w:rPr>
              <w:t> </w:t>
            </w:r>
            <w:r>
              <w:rPr>
                <w:sz w:val="18"/>
              </w:rPr>
              <w:t>etc.)</w:t>
            </w:r>
            <w:r>
              <w:rPr>
                <w:spacing w:val="-25"/>
                <w:sz w:val="18"/>
              </w:rPr>
              <w:t> </w:t>
            </w:r>
            <w:r>
              <w:rPr>
                <w:sz w:val="18"/>
              </w:rPr>
              <w:t>for</w:t>
              <w:tab/>
            </w:r>
            <w:r>
              <w:rPr>
                <w:position w:val="-10"/>
                <w:sz w:val="18"/>
              </w:rPr>
              <w:t>MM/DD/YYYY</w:t>
              <w:tab/>
            </w:r>
            <w:r>
              <w:rPr>
                <w:w w:val="95"/>
                <w:position w:val="-10"/>
                <w:sz w:val="18"/>
              </w:rPr>
              <w:t>Consultants’</w:t>
            </w:r>
            <w:r>
              <w:rPr>
                <w:spacing w:val="33"/>
                <w:w w:val="95"/>
                <w:position w:val="-10"/>
                <w:sz w:val="18"/>
              </w:rPr>
              <w:t> </w:t>
            </w:r>
            <w:r>
              <w:rPr>
                <w:w w:val="95"/>
                <w:position w:val="-10"/>
                <w:sz w:val="18"/>
              </w:rPr>
              <w:t>Assessment</w:t>
            </w:r>
          </w:p>
          <w:p>
            <w:pPr>
              <w:pStyle w:val="TableParagraph"/>
              <w:spacing w:line="157" w:lineRule="exact"/>
              <w:ind w:left="1699"/>
              <w:jc w:val="left"/>
              <w:rPr>
                <w:sz w:val="18"/>
              </w:rPr>
            </w:pPr>
            <w:r>
              <w:rPr>
                <w:sz w:val="18"/>
              </w:rPr>
              <w:t>vacant area</w:t>
            </w:r>
          </w:p>
          <w:p>
            <w:pPr>
              <w:pStyle w:val="TableParagraph"/>
              <w:spacing w:before="3"/>
              <w:jc w:val="left"/>
              <w:rPr>
                <w:sz w:val="21"/>
              </w:rPr>
            </w:pPr>
          </w:p>
          <w:p>
            <w:pPr>
              <w:pStyle w:val="TableParagraph"/>
              <w:tabs>
                <w:tab w:pos="4399" w:val="left" w:leader="none"/>
                <w:tab w:pos="4906" w:val="left" w:leader="none"/>
                <w:tab w:pos="5406" w:val="left" w:leader="none"/>
                <w:tab w:pos="6010" w:val="left" w:leader="none"/>
                <w:tab w:pos="6646" w:val="left" w:leader="none"/>
              </w:tabs>
              <w:spacing w:line="523" w:lineRule="auto"/>
              <w:ind w:left="633" w:right="57" w:hanging="502"/>
              <w:jc w:val="right"/>
              <w:rPr>
                <w:sz w:val="18"/>
              </w:rPr>
            </w:pPr>
            <w:r>
              <w:rPr>
                <w:sz w:val="18"/>
              </w:rPr>
              <w:t>Lease</w:t>
            </w:r>
            <w:r>
              <w:rPr>
                <w:spacing w:val="-23"/>
                <w:sz w:val="18"/>
              </w:rPr>
              <w:t> </w:t>
            </w:r>
            <w:r>
              <w:rPr>
                <w:sz w:val="18"/>
              </w:rPr>
              <w:t>escalation</w:t>
            </w:r>
            <w:r>
              <w:rPr>
                <w:spacing w:val="-22"/>
                <w:sz w:val="18"/>
              </w:rPr>
              <w:t> </w:t>
            </w:r>
            <w:r>
              <w:rPr>
                <w:sz w:val="18"/>
              </w:rPr>
              <w:t>on</w:t>
            </w:r>
            <w:r>
              <w:rPr>
                <w:spacing w:val="-22"/>
                <w:sz w:val="18"/>
              </w:rPr>
              <w:t> </w:t>
            </w:r>
            <w:r>
              <w:rPr>
                <w:sz w:val="18"/>
              </w:rPr>
              <w:t>Renewal</w:t>
            </w:r>
            <w:r>
              <w:rPr>
                <w:spacing w:val="-22"/>
                <w:sz w:val="18"/>
              </w:rPr>
              <w:t> </w:t>
            </w:r>
            <w:r>
              <w:rPr>
                <w:sz w:val="18"/>
              </w:rPr>
              <w:t>for</w:t>
            </w:r>
            <w:r>
              <w:rPr>
                <w:spacing w:val="-22"/>
                <w:sz w:val="18"/>
              </w:rPr>
              <w:t> </w:t>
            </w:r>
            <w:r>
              <w:rPr>
                <w:sz w:val="18"/>
              </w:rPr>
              <w:t>New/Future</w:t>
            </w:r>
            <w:r>
              <w:rPr>
                <w:spacing w:val="-22"/>
                <w:sz w:val="18"/>
              </w:rPr>
              <w:t> </w:t>
            </w:r>
            <w:r>
              <w:rPr>
                <w:sz w:val="18"/>
              </w:rPr>
              <w:t>Leases</w:t>
              <w:tab/>
              <w:tab/>
              <w:tab/>
              <w:t>%</w:t>
              <w:tab/>
              <w:tab/>
            </w:r>
            <w:r>
              <w:rPr>
                <w:w w:val="95"/>
                <w:sz w:val="18"/>
              </w:rPr>
              <w:t>Consultants’</w:t>
            </w:r>
            <w:r>
              <w:rPr>
                <w:spacing w:val="33"/>
                <w:w w:val="95"/>
                <w:sz w:val="18"/>
              </w:rPr>
              <w:t> </w:t>
            </w:r>
            <w:r>
              <w:rPr>
                <w:w w:val="95"/>
                <w:sz w:val="18"/>
              </w:rPr>
              <w:t>Assessment</w:t>
            </w:r>
            <w:r>
              <w:rPr>
                <w:w w:val="65"/>
                <w:sz w:val="18"/>
              </w:rPr>
              <w:t> </w:t>
            </w:r>
            <w:r>
              <w:rPr>
                <w:sz w:val="18"/>
              </w:rPr>
              <w:t>Security</w:t>
            </w:r>
            <w:r>
              <w:rPr>
                <w:spacing w:val="-28"/>
                <w:sz w:val="18"/>
              </w:rPr>
              <w:t> </w:t>
            </w:r>
            <w:r>
              <w:rPr>
                <w:sz w:val="18"/>
              </w:rPr>
              <w:t>Deposit</w:t>
            </w:r>
            <w:r>
              <w:rPr>
                <w:spacing w:val="-28"/>
                <w:sz w:val="18"/>
              </w:rPr>
              <w:t> </w:t>
            </w:r>
            <w:r>
              <w:rPr>
                <w:sz w:val="18"/>
              </w:rPr>
              <w:t>for</w:t>
            </w:r>
            <w:r>
              <w:rPr>
                <w:spacing w:val="-28"/>
                <w:sz w:val="18"/>
              </w:rPr>
              <w:t> </w:t>
            </w:r>
            <w:r>
              <w:rPr>
                <w:sz w:val="18"/>
              </w:rPr>
              <w:t>New/Future</w:t>
            </w:r>
            <w:r>
              <w:rPr>
                <w:spacing w:val="-28"/>
                <w:sz w:val="18"/>
              </w:rPr>
              <w:t> </w:t>
            </w:r>
            <w:r>
              <w:rPr>
                <w:sz w:val="18"/>
              </w:rPr>
              <w:t>Leases</w:t>
              <w:tab/>
              <w:tab/>
              <w:t>No.</w:t>
            </w:r>
            <w:r>
              <w:rPr>
                <w:spacing w:val="-3"/>
                <w:sz w:val="18"/>
              </w:rPr>
              <w:t> </w:t>
            </w:r>
            <w:r>
              <w:rPr>
                <w:sz w:val="18"/>
              </w:rPr>
              <w:t>of</w:t>
            </w:r>
            <w:r>
              <w:rPr>
                <w:spacing w:val="-3"/>
                <w:sz w:val="18"/>
              </w:rPr>
              <w:t> </w:t>
            </w:r>
            <w:r>
              <w:rPr>
                <w:sz w:val="18"/>
              </w:rPr>
              <w:t>months</w:t>
              <w:tab/>
            </w:r>
            <w:r>
              <w:rPr>
                <w:w w:val="95"/>
                <w:sz w:val="18"/>
              </w:rPr>
              <w:t>Consultants’</w:t>
            </w:r>
            <w:r>
              <w:rPr>
                <w:spacing w:val="33"/>
                <w:w w:val="95"/>
                <w:sz w:val="18"/>
              </w:rPr>
              <w:t> </w:t>
            </w:r>
            <w:r>
              <w:rPr>
                <w:w w:val="95"/>
                <w:sz w:val="18"/>
              </w:rPr>
              <w:t>Assessment</w:t>
            </w:r>
            <w:r>
              <w:rPr>
                <w:w w:val="65"/>
                <w:sz w:val="18"/>
              </w:rPr>
              <w:t> </w:t>
            </w:r>
            <w:r>
              <w:rPr>
                <w:sz w:val="18"/>
              </w:rPr>
              <w:t>CAM</w:t>
            </w:r>
            <w:r>
              <w:rPr>
                <w:spacing w:val="-2"/>
                <w:sz w:val="18"/>
              </w:rPr>
              <w:t> </w:t>
            </w:r>
            <w:r>
              <w:rPr>
                <w:sz w:val="18"/>
              </w:rPr>
              <w:t>Under-recoveries</w:t>
              <w:tab/>
              <w:t>INR psf pm</w:t>
              <w:tab/>
              <w:tab/>
            </w:r>
            <w:r>
              <w:rPr>
                <w:w w:val="95"/>
                <w:sz w:val="18"/>
              </w:rPr>
              <w:t>Consultants’</w:t>
            </w:r>
            <w:r>
              <w:rPr>
                <w:spacing w:val="33"/>
                <w:w w:val="95"/>
                <w:sz w:val="18"/>
              </w:rPr>
              <w:t> </w:t>
            </w:r>
            <w:r>
              <w:rPr>
                <w:w w:val="95"/>
                <w:sz w:val="18"/>
              </w:rPr>
              <w:t>Assessment</w:t>
            </w:r>
          </w:p>
          <w:p>
            <w:pPr>
              <w:pStyle w:val="TableParagraph"/>
              <w:tabs>
                <w:tab w:pos="3381" w:val="left" w:leader="none"/>
                <w:tab w:pos="5122" w:val="left" w:leader="none"/>
              </w:tabs>
              <w:spacing w:before="1"/>
              <w:ind w:right="57"/>
              <w:jc w:val="right"/>
              <w:rPr>
                <w:sz w:val="18"/>
              </w:rPr>
            </w:pPr>
            <w:r>
              <w:rPr>
                <w:sz w:val="18"/>
              </w:rPr>
              <w:t>Rent</w:t>
            </w:r>
            <w:r>
              <w:rPr>
                <w:spacing w:val="-25"/>
                <w:sz w:val="18"/>
              </w:rPr>
              <w:t> </w:t>
            </w:r>
            <w:r>
              <w:rPr>
                <w:sz w:val="18"/>
              </w:rPr>
              <w:t>Free</w:t>
            </w:r>
            <w:r>
              <w:rPr>
                <w:spacing w:val="-22"/>
                <w:sz w:val="18"/>
              </w:rPr>
              <w:t> </w:t>
            </w:r>
            <w:r>
              <w:rPr>
                <w:sz w:val="18"/>
              </w:rPr>
              <w:t>Period</w:t>
              <w:tab/>
              <w:t>No.</w:t>
            </w:r>
            <w:r>
              <w:rPr>
                <w:spacing w:val="1"/>
                <w:sz w:val="18"/>
              </w:rPr>
              <w:t> </w:t>
            </w:r>
            <w:r>
              <w:rPr>
                <w:sz w:val="18"/>
              </w:rPr>
              <w:t>of</w:t>
            </w:r>
            <w:r>
              <w:rPr>
                <w:spacing w:val="3"/>
                <w:sz w:val="18"/>
              </w:rPr>
              <w:t> </w:t>
            </w:r>
            <w:r>
              <w:rPr>
                <w:sz w:val="18"/>
              </w:rPr>
              <w:t>Months</w:t>
              <w:tab/>
            </w:r>
            <w:r>
              <w:rPr>
                <w:w w:val="95"/>
                <w:sz w:val="18"/>
              </w:rPr>
              <w:t>Consultants’</w:t>
            </w:r>
            <w:r>
              <w:rPr>
                <w:spacing w:val="33"/>
                <w:w w:val="95"/>
                <w:sz w:val="18"/>
              </w:rPr>
              <w:t> </w:t>
            </w:r>
            <w:r>
              <w:rPr>
                <w:w w:val="95"/>
                <w:sz w:val="18"/>
              </w:rPr>
              <w:t>Assessment</w:t>
            </w:r>
          </w:p>
          <w:p>
            <w:pPr>
              <w:pStyle w:val="TableParagraph"/>
              <w:spacing w:before="3"/>
              <w:jc w:val="left"/>
              <w:rPr>
                <w:sz w:val="21"/>
              </w:rPr>
            </w:pPr>
          </w:p>
          <w:p>
            <w:pPr>
              <w:pStyle w:val="TableParagraph"/>
              <w:tabs>
                <w:tab w:pos="3146" w:val="left" w:leader="none"/>
                <w:tab w:pos="4887" w:val="left" w:leader="none"/>
              </w:tabs>
              <w:ind w:right="57"/>
              <w:jc w:val="right"/>
              <w:rPr>
                <w:sz w:val="18"/>
              </w:rPr>
            </w:pPr>
            <w:r>
              <w:rPr>
                <w:sz w:val="18"/>
              </w:rPr>
              <w:t>Brokerage</w:t>
              <w:tab/>
              <w:t>No.</w:t>
            </w:r>
            <w:r>
              <w:rPr>
                <w:spacing w:val="-4"/>
                <w:sz w:val="18"/>
              </w:rPr>
              <w:t> </w:t>
            </w:r>
            <w:r>
              <w:rPr>
                <w:sz w:val="18"/>
              </w:rPr>
              <w:t>of</w:t>
            </w:r>
            <w:r>
              <w:rPr>
                <w:spacing w:val="-3"/>
                <w:sz w:val="18"/>
              </w:rPr>
              <w:t> </w:t>
            </w:r>
            <w:r>
              <w:rPr>
                <w:sz w:val="18"/>
              </w:rPr>
              <w:t>months</w:t>
              <w:tab/>
            </w:r>
            <w:r>
              <w:rPr>
                <w:w w:val="95"/>
                <w:sz w:val="18"/>
              </w:rPr>
              <w:t>Consultants’</w:t>
            </w:r>
            <w:r>
              <w:rPr>
                <w:spacing w:val="33"/>
                <w:w w:val="95"/>
                <w:sz w:val="18"/>
              </w:rPr>
              <w:t> </w:t>
            </w:r>
            <w:r>
              <w:rPr>
                <w:w w:val="95"/>
                <w:sz w:val="18"/>
              </w:rPr>
              <w:t>Assessment</w:t>
            </w:r>
          </w:p>
        </w:tc>
      </w:tr>
    </w:tbl>
    <w:p>
      <w:pPr>
        <w:spacing w:after="0"/>
        <w:jc w:val="right"/>
        <w:rPr>
          <w:sz w:val="18"/>
        </w:rPr>
        <w:sectPr>
          <w:pgSz w:w="11910" w:h="16840"/>
          <w:pgMar w:header="720" w:footer="842" w:top="1520" w:bottom="1040" w:left="440" w:right="80"/>
        </w:sectPr>
      </w:pPr>
    </w:p>
    <w:p>
      <w:pPr>
        <w:pStyle w:val="BodyText"/>
        <w:rPr>
          <w:sz w:val="20"/>
        </w:rPr>
      </w:pPr>
    </w:p>
    <w:p>
      <w:pPr>
        <w:pStyle w:val="BodyText"/>
        <w:spacing w:before="2"/>
        <w:rPr>
          <w:sz w:val="11"/>
        </w:rPr>
      </w:pPr>
    </w:p>
    <w:tbl>
      <w:tblPr>
        <w:tblW w:w="0" w:type="auto"/>
        <w:jc w:val="left"/>
        <w:tblInd w:w="287" w:type="dxa"/>
        <w:tblBorders>
          <w:top w:val="single" w:sz="12" w:space="0" w:color="1F6B16"/>
          <w:left w:val="single" w:sz="12" w:space="0" w:color="1F6B16"/>
          <w:bottom w:val="single" w:sz="12" w:space="0" w:color="1F6B16"/>
          <w:right w:val="single" w:sz="12" w:space="0" w:color="1F6B16"/>
          <w:insideH w:val="single" w:sz="12" w:space="0" w:color="1F6B16"/>
          <w:insideV w:val="single" w:sz="12" w:space="0" w:color="1F6B16"/>
        </w:tblBorders>
        <w:tblLayout w:type="fixed"/>
        <w:tblCellMar>
          <w:top w:w="0" w:type="dxa"/>
          <w:left w:w="0" w:type="dxa"/>
          <w:bottom w:w="0" w:type="dxa"/>
          <w:right w:w="0" w:type="dxa"/>
        </w:tblCellMar>
        <w:tblLook w:val="01E0"/>
      </w:tblPr>
      <w:tblGrid>
        <w:gridCol w:w="1836"/>
        <w:gridCol w:w="4357"/>
        <w:gridCol w:w="4278"/>
      </w:tblGrid>
      <w:tr>
        <w:trPr>
          <w:trHeight w:val="479" w:hRule="atLeast"/>
        </w:trPr>
        <w:tc>
          <w:tcPr>
            <w:tcW w:w="1836" w:type="dxa"/>
            <w:tcBorders>
              <w:left w:val="nil"/>
              <w:bottom w:val="nil"/>
              <w:right w:val="single" w:sz="12" w:space="0" w:color="FFFFFF"/>
            </w:tcBorders>
            <w:shd w:val="clear" w:color="auto" w:fill="006A4D"/>
          </w:tcPr>
          <w:p>
            <w:pPr>
              <w:pStyle w:val="TableParagraph"/>
              <w:spacing w:before="123"/>
              <w:ind w:left="461"/>
              <w:jc w:val="left"/>
              <w:rPr>
                <w:sz w:val="20"/>
              </w:rPr>
            </w:pPr>
            <w:r>
              <w:rPr>
                <w:color w:val="FFFFFF"/>
                <w:sz w:val="20"/>
              </w:rPr>
              <w:t>Particulars</w:t>
            </w:r>
          </w:p>
        </w:tc>
        <w:tc>
          <w:tcPr>
            <w:tcW w:w="4357" w:type="dxa"/>
            <w:tcBorders>
              <w:left w:val="single" w:sz="12" w:space="0" w:color="FFFFFF"/>
              <w:bottom w:val="single" w:sz="6" w:space="0" w:color="69BD28"/>
              <w:right w:val="single" w:sz="12" w:space="0" w:color="FFFFFF"/>
            </w:tcBorders>
            <w:shd w:val="clear" w:color="auto" w:fill="006A4D"/>
          </w:tcPr>
          <w:p>
            <w:pPr>
              <w:pStyle w:val="TableParagraph"/>
              <w:spacing w:before="123"/>
              <w:ind w:left="1836" w:right="1836"/>
              <w:rPr>
                <w:sz w:val="20"/>
              </w:rPr>
            </w:pPr>
            <w:r>
              <w:rPr>
                <w:color w:val="FFFFFF"/>
                <w:sz w:val="20"/>
              </w:rPr>
              <w:t>Details</w:t>
            </w:r>
          </w:p>
        </w:tc>
        <w:tc>
          <w:tcPr>
            <w:tcW w:w="4278" w:type="dxa"/>
            <w:tcBorders>
              <w:left w:val="single" w:sz="12" w:space="0" w:color="FFFFFF"/>
              <w:bottom w:val="single" w:sz="6" w:space="0" w:color="69BD28"/>
              <w:right w:val="nil"/>
            </w:tcBorders>
            <w:shd w:val="clear" w:color="auto" w:fill="006A4D"/>
          </w:tcPr>
          <w:p>
            <w:pPr>
              <w:pStyle w:val="TableParagraph"/>
              <w:tabs>
                <w:tab w:pos="2952" w:val="left" w:leader="none"/>
              </w:tabs>
              <w:spacing w:before="123"/>
              <w:ind w:left="898"/>
              <w:jc w:val="left"/>
              <w:rPr>
                <w:sz w:val="20"/>
              </w:rPr>
            </w:pPr>
            <w:r>
              <w:rPr>
                <w:color w:val="FFFFFF"/>
                <w:sz w:val="20"/>
              </w:rPr>
              <w:t>Units</w:t>
              <w:tab/>
              <w:t>Source</w:t>
            </w:r>
          </w:p>
        </w:tc>
      </w:tr>
      <w:tr>
        <w:trPr>
          <w:trHeight w:val="440" w:hRule="atLeast"/>
        </w:trPr>
        <w:tc>
          <w:tcPr>
            <w:tcW w:w="1836" w:type="dxa"/>
            <w:vMerge w:val="restart"/>
            <w:tcBorders>
              <w:top w:val="nil"/>
              <w:left w:val="nil"/>
              <w:bottom w:val="nil"/>
              <w:right w:val="single" w:sz="12" w:space="0" w:color="FFFFFF"/>
            </w:tcBorders>
            <w:shd w:val="clear" w:color="auto" w:fill="69BD28"/>
          </w:tcPr>
          <w:p>
            <w:pPr>
              <w:pStyle w:val="TableParagraph"/>
              <w:jc w:val="left"/>
              <w:rPr>
                <w:sz w:val="22"/>
              </w:rPr>
            </w:pPr>
          </w:p>
          <w:p>
            <w:pPr>
              <w:pStyle w:val="TableParagraph"/>
              <w:jc w:val="left"/>
              <w:rPr>
                <w:sz w:val="22"/>
              </w:rPr>
            </w:pPr>
          </w:p>
          <w:p>
            <w:pPr>
              <w:pStyle w:val="TableParagraph"/>
              <w:jc w:val="left"/>
              <w:rPr>
                <w:sz w:val="22"/>
              </w:rPr>
            </w:pPr>
          </w:p>
          <w:p>
            <w:pPr>
              <w:pStyle w:val="TableParagraph"/>
              <w:spacing w:line="247" w:lineRule="auto" w:before="149"/>
              <w:ind w:left="34" w:right="33"/>
              <w:rPr>
                <w:b/>
                <w:sz w:val="18"/>
              </w:rPr>
            </w:pPr>
            <w:r>
              <w:rPr>
                <w:b/>
                <w:color w:val="FFFFFF"/>
                <w:sz w:val="18"/>
              </w:rPr>
              <w:t>Construction </w:t>
            </w:r>
            <w:r>
              <w:rPr>
                <w:b/>
                <w:color w:val="FFFFFF"/>
                <w:w w:val="105"/>
                <w:sz w:val="18"/>
              </w:rPr>
              <w:t>Timelines</w:t>
            </w:r>
          </w:p>
          <w:p>
            <w:pPr>
              <w:pStyle w:val="TableParagraph"/>
              <w:jc w:val="left"/>
              <w:rPr>
                <w:sz w:val="22"/>
              </w:rPr>
            </w:pPr>
          </w:p>
          <w:p>
            <w:pPr>
              <w:pStyle w:val="TableParagraph"/>
              <w:spacing w:before="11"/>
              <w:jc w:val="left"/>
              <w:rPr>
                <w:sz w:val="28"/>
              </w:rPr>
            </w:pPr>
          </w:p>
          <w:p>
            <w:pPr>
              <w:pStyle w:val="TableParagraph"/>
              <w:spacing w:line="247" w:lineRule="auto"/>
              <w:ind w:left="290" w:right="283" w:hanging="2"/>
              <w:rPr>
                <w:b/>
                <w:sz w:val="18"/>
              </w:rPr>
            </w:pPr>
            <w:r>
              <w:rPr>
                <w:b/>
                <w:color w:val="FFFFFF"/>
                <w:w w:val="105"/>
                <w:sz w:val="18"/>
              </w:rPr>
              <w:t>Absorption Timelines</w:t>
            </w:r>
            <w:r>
              <w:rPr>
                <w:b/>
                <w:color w:val="FFFFFF"/>
                <w:spacing w:val="-5"/>
                <w:w w:val="105"/>
                <w:sz w:val="18"/>
              </w:rPr>
              <w:t> </w:t>
            </w:r>
            <w:r>
              <w:rPr>
                <w:b/>
                <w:color w:val="FFFFFF"/>
                <w:w w:val="105"/>
                <w:sz w:val="18"/>
              </w:rPr>
              <w:t>(for vacant</w:t>
            </w:r>
            <w:r>
              <w:rPr>
                <w:b/>
                <w:color w:val="FFFFFF"/>
                <w:spacing w:val="43"/>
                <w:w w:val="105"/>
                <w:sz w:val="18"/>
              </w:rPr>
              <w:t> </w:t>
            </w:r>
            <w:r>
              <w:rPr>
                <w:b/>
                <w:color w:val="FFFFFF"/>
                <w:spacing w:val="-4"/>
                <w:w w:val="105"/>
                <w:sz w:val="18"/>
              </w:rPr>
              <w:t>space)</w:t>
            </w:r>
          </w:p>
          <w:p>
            <w:pPr>
              <w:pStyle w:val="TableParagraph"/>
              <w:spacing w:before="2"/>
              <w:jc w:val="left"/>
              <w:rPr>
                <w:sz w:val="22"/>
              </w:rPr>
            </w:pPr>
          </w:p>
          <w:p>
            <w:pPr>
              <w:pStyle w:val="TableParagraph"/>
              <w:spacing w:line="247" w:lineRule="auto"/>
              <w:ind w:left="35" w:right="33"/>
              <w:rPr>
                <w:b/>
                <w:sz w:val="18"/>
              </w:rPr>
            </w:pPr>
            <w:r>
              <w:rPr>
                <w:b/>
                <w:color w:val="FFFFFF"/>
                <w:w w:val="110"/>
                <w:sz w:val="18"/>
              </w:rPr>
              <w:t>Market assessment and key portfolio characteristics</w:t>
            </w:r>
          </w:p>
        </w:tc>
        <w:tc>
          <w:tcPr>
            <w:tcW w:w="8635" w:type="dxa"/>
            <w:gridSpan w:val="2"/>
            <w:tcBorders>
              <w:top w:val="single" w:sz="6" w:space="0" w:color="69BD28"/>
              <w:left w:val="single" w:sz="12" w:space="0" w:color="FFFFFF"/>
              <w:bottom w:val="single" w:sz="6" w:space="0" w:color="69BD28"/>
              <w:right w:val="nil"/>
            </w:tcBorders>
          </w:tcPr>
          <w:p>
            <w:pPr>
              <w:pStyle w:val="TableParagraph"/>
              <w:tabs>
                <w:tab w:pos="5406" w:val="left" w:leader="none"/>
                <w:tab w:pos="6646" w:val="left" w:leader="none"/>
              </w:tabs>
              <w:spacing w:before="109"/>
              <w:ind w:left="1462"/>
              <w:jc w:val="left"/>
              <w:rPr>
                <w:sz w:val="18"/>
              </w:rPr>
            </w:pPr>
            <w:r>
              <w:rPr>
                <w:sz w:val="18"/>
              </w:rPr>
              <w:t>Vacancy</w:t>
            </w:r>
            <w:r>
              <w:rPr>
                <w:spacing w:val="-15"/>
                <w:sz w:val="18"/>
              </w:rPr>
              <w:t> </w:t>
            </w:r>
            <w:r>
              <w:rPr>
                <w:sz w:val="18"/>
              </w:rPr>
              <w:t>Provision</w:t>
              <w:tab/>
              <w:t>%</w:t>
              <w:tab/>
              <w:t>Consultants’</w:t>
            </w:r>
            <w:r>
              <w:rPr>
                <w:spacing w:val="-29"/>
                <w:sz w:val="18"/>
              </w:rPr>
              <w:t> </w:t>
            </w:r>
            <w:r>
              <w:rPr>
                <w:sz w:val="18"/>
              </w:rPr>
              <w:t>Assessment</w:t>
            </w:r>
          </w:p>
        </w:tc>
      </w:tr>
      <w:tr>
        <w:trPr>
          <w:trHeight w:val="1343" w:hRule="atLeast"/>
        </w:trPr>
        <w:tc>
          <w:tcPr>
            <w:tcW w:w="1836" w:type="dxa"/>
            <w:vMerge/>
            <w:tcBorders>
              <w:top w:val="nil"/>
              <w:left w:val="nil"/>
              <w:bottom w:val="nil"/>
              <w:right w:val="single" w:sz="12" w:space="0" w:color="FFFFFF"/>
            </w:tcBorders>
            <w:shd w:val="clear" w:color="auto" w:fill="69BD28"/>
          </w:tcPr>
          <w:p>
            <w:pPr>
              <w:rPr>
                <w:sz w:val="2"/>
                <w:szCs w:val="2"/>
              </w:rPr>
            </w:pPr>
          </w:p>
        </w:tc>
        <w:tc>
          <w:tcPr>
            <w:tcW w:w="8635" w:type="dxa"/>
            <w:gridSpan w:val="2"/>
            <w:tcBorders>
              <w:top w:val="single" w:sz="6" w:space="0" w:color="69BD28"/>
              <w:left w:val="single" w:sz="12" w:space="0" w:color="FFFFFF"/>
              <w:bottom w:val="single" w:sz="6" w:space="0" w:color="69BD28"/>
              <w:right w:val="nil"/>
            </w:tcBorders>
          </w:tcPr>
          <w:p>
            <w:pPr>
              <w:pStyle w:val="TableParagraph"/>
              <w:tabs>
                <w:tab w:pos="3934" w:val="left" w:leader="none"/>
                <w:tab w:pos="5806" w:val="left" w:leader="none"/>
              </w:tabs>
              <w:spacing w:line="269" w:lineRule="exact" w:before="121"/>
              <w:ind w:right="210"/>
              <w:jc w:val="right"/>
              <w:rPr>
                <w:sz w:val="18"/>
              </w:rPr>
            </w:pPr>
            <w:r>
              <w:rPr>
                <w:sz w:val="18"/>
              </w:rPr>
              <w:t>Construction</w:t>
            </w:r>
            <w:r>
              <w:rPr>
                <w:spacing w:val="-15"/>
                <w:sz w:val="18"/>
              </w:rPr>
              <w:t> </w:t>
            </w:r>
            <w:r>
              <w:rPr>
                <w:sz w:val="18"/>
              </w:rPr>
              <w:t>Commencement</w:t>
              <w:tab/>
              <w:t>Quarter,</w:t>
            </w:r>
            <w:r>
              <w:rPr>
                <w:spacing w:val="-8"/>
                <w:sz w:val="18"/>
              </w:rPr>
              <w:t> </w:t>
            </w:r>
            <w:r>
              <w:rPr>
                <w:sz w:val="18"/>
              </w:rPr>
              <w:t>Year</w:t>
              <w:tab/>
            </w:r>
            <w:r>
              <w:rPr>
                <w:w w:val="95"/>
                <w:position w:val="11"/>
                <w:sz w:val="18"/>
              </w:rPr>
              <w:t>Client /</w:t>
            </w:r>
            <w:r>
              <w:rPr>
                <w:spacing w:val="-2"/>
                <w:w w:val="95"/>
                <w:position w:val="11"/>
                <w:sz w:val="18"/>
              </w:rPr>
              <w:t> </w:t>
            </w:r>
            <w:r>
              <w:rPr>
                <w:w w:val="95"/>
                <w:position w:val="11"/>
                <w:sz w:val="18"/>
              </w:rPr>
              <w:t>Consultants’</w:t>
            </w:r>
          </w:p>
          <w:p>
            <w:pPr>
              <w:pStyle w:val="TableParagraph"/>
              <w:spacing w:line="159" w:lineRule="exact"/>
              <w:ind w:left="7161"/>
              <w:jc w:val="left"/>
              <w:rPr>
                <w:sz w:val="18"/>
              </w:rPr>
            </w:pPr>
            <w:r>
              <w:rPr>
                <w:sz w:val="18"/>
              </w:rPr>
              <w:t>Assessment</w:t>
            </w:r>
          </w:p>
          <w:p>
            <w:pPr>
              <w:pStyle w:val="TableParagraph"/>
              <w:spacing w:before="1"/>
              <w:jc w:val="left"/>
              <w:rPr>
                <w:sz w:val="21"/>
              </w:rPr>
            </w:pPr>
          </w:p>
          <w:p>
            <w:pPr>
              <w:pStyle w:val="TableParagraph"/>
              <w:tabs>
                <w:tab w:pos="3744" w:val="left" w:leader="none"/>
                <w:tab w:pos="5616" w:val="left" w:leader="none"/>
              </w:tabs>
              <w:spacing w:line="269" w:lineRule="exact"/>
              <w:ind w:right="210"/>
              <w:jc w:val="right"/>
              <w:rPr>
                <w:sz w:val="18"/>
              </w:rPr>
            </w:pPr>
            <w:r>
              <w:rPr>
                <w:sz w:val="18"/>
              </w:rPr>
              <w:t>Construction</w:t>
            </w:r>
            <w:r>
              <w:rPr>
                <w:spacing w:val="-15"/>
                <w:sz w:val="18"/>
              </w:rPr>
              <w:t> </w:t>
            </w:r>
            <w:r>
              <w:rPr>
                <w:sz w:val="18"/>
              </w:rPr>
              <w:t>Completion</w:t>
              <w:tab/>
              <w:t>Quarter,</w:t>
            </w:r>
            <w:r>
              <w:rPr>
                <w:spacing w:val="-7"/>
                <w:sz w:val="18"/>
              </w:rPr>
              <w:t> </w:t>
            </w:r>
            <w:r>
              <w:rPr>
                <w:sz w:val="18"/>
              </w:rPr>
              <w:t>Year</w:t>
              <w:tab/>
            </w:r>
            <w:r>
              <w:rPr>
                <w:w w:val="95"/>
                <w:position w:val="11"/>
                <w:sz w:val="18"/>
              </w:rPr>
              <w:t>Client /</w:t>
            </w:r>
            <w:r>
              <w:rPr>
                <w:spacing w:val="-2"/>
                <w:w w:val="95"/>
                <w:position w:val="11"/>
                <w:sz w:val="18"/>
              </w:rPr>
              <w:t> </w:t>
            </w:r>
            <w:r>
              <w:rPr>
                <w:w w:val="95"/>
                <w:position w:val="11"/>
                <w:sz w:val="18"/>
              </w:rPr>
              <w:t>Consultants’</w:t>
            </w:r>
          </w:p>
          <w:p>
            <w:pPr>
              <w:pStyle w:val="TableParagraph"/>
              <w:spacing w:line="159" w:lineRule="exact"/>
              <w:ind w:left="7161"/>
              <w:jc w:val="left"/>
              <w:rPr>
                <w:sz w:val="18"/>
              </w:rPr>
            </w:pPr>
            <w:r>
              <w:rPr>
                <w:sz w:val="18"/>
              </w:rPr>
              <w:t>Assessment</w:t>
            </w:r>
          </w:p>
        </w:tc>
      </w:tr>
      <w:tr>
        <w:trPr>
          <w:trHeight w:val="887" w:hRule="atLeast"/>
        </w:trPr>
        <w:tc>
          <w:tcPr>
            <w:tcW w:w="1836" w:type="dxa"/>
            <w:vMerge/>
            <w:tcBorders>
              <w:top w:val="nil"/>
              <w:left w:val="nil"/>
              <w:bottom w:val="nil"/>
              <w:right w:val="single" w:sz="12" w:space="0" w:color="FFFFFF"/>
            </w:tcBorders>
            <w:shd w:val="clear" w:color="auto" w:fill="69BD28"/>
          </w:tcPr>
          <w:p>
            <w:pPr>
              <w:rPr>
                <w:sz w:val="2"/>
                <w:szCs w:val="2"/>
              </w:rPr>
            </w:pPr>
          </w:p>
        </w:tc>
        <w:tc>
          <w:tcPr>
            <w:tcW w:w="8635" w:type="dxa"/>
            <w:gridSpan w:val="2"/>
            <w:tcBorders>
              <w:top w:val="single" w:sz="6" w:space="0" w:color="69BD28"/>
              <w:left w:val="single" w:sz="12" w:space="0" w:color="FFFFFF"/>
              <w:bottom w:val="single" w:sz="6" w:space="0" w:color="69BD28"/>
              <w:right w:val="nil"/>
            </w:tcBorders>
          </w:tcPr>
          <w:p>
            <w:pPr>
              <w:pStyle w:val="TableParagraph"/>
              <w:spacing w:before="2"/>
              <w:jc w:val="left"/>
              <w:rPr>
                <w:sz w:val="29"/>
              </w:rPr>
            </w:pPr>
          </w:p>
          <w:p>
            <w:pPr>
              <w:pStyle w:val="TableParagraph"/>
              <w:tabs>
                <w:tab w:pos="4928" w:val="left" w:leader="none"/>
                <w:tab w:pos="6646" w:val="left" w:leader="none"/>
              </w:tabs>
              <w:ind w:left="628"/>
              <w:jc w:val="left"/>
              <w:rPr>
                <w:sz w:val="18"/>
              </w:rPr>
            </w:pPr>
            <w:r>
              <w:rPr>
                <w:sz w:val="18"/>
              </w:rPr>
              <w:t>Respective</w:t>
            </w:r>
            <w:r>
              <w:rPr>
                <w:spacing w:val="-25"/>
                <w:sz w:val="18"/>
              </w:rPr>
              <w:t> </w:t>
            </w:r>
            <w:r>
              <w:rPr>
                <w:sz w:val="18"/>
              </w:rPr>
              <w:t>spaces</w:t>
            </w:r>
            <w:r>
              <w:rPr>
                <w:spacing w:val="-26"/>
                <w:sz w:val="18"/>
              </w:rPr>
              <w:t> </w:t>
            </w:r>
            <w:r>
              <w:rPr>
                <w:sz w:val="18"/>
              </w:rPr>
              <w:t>in</w:t>
            </w:r>
            <w:r>
              <w:rPr>
                <w:spacing w:val="-25"/>
                <w:sz w:val="18"/>
              </w:rPr>
              <w:t> </w:t>
            </w:r>
            <w:r>
              <w:rPr>
                <w:sz w:val="18"/>
              </w:rPr>
              <w:t>each</w:t>
            </w:r>
            <w:r>
              <w:rPr>
                <w:spacing w:val="-26"/>
                <w:sz w:val="18"/>
              </w:rPr>
              <w:t> </w:t>
            </w:r>
            <w:r>
              <w:rPr>
                <w:sz w:val="18"/>
              </w:rPr>
              <w:t>development</w:t>
              <w:tab/>
              <w:t>Quarter,</w:t>
            </w:r>
            <w:r>
              <w:rPr>
                <w:spacing w:val="-9"/>
                <w:sz w:val="18"/>
              </w:rPr>
              <w:t> </w:t>
            </w:r>
            <w:r>
              <w:rPr>
                <w:sz w:val="18"/>
              </w:rPr>
              <w:t>Year</w:t>
              <w:tab/>
              <w:t>Consultants’</w:t>
            </w:r>
            <w:r>
              <w:rPr>
                <w:spacing w:val="-29"/>
                <w:sz w:val="18"/>
              </w:rPr>
              <w:t> </w:t>
            </w:r>
            <w:r>
              <w:rPr>
                <w:sz w:val="18"/>
              </w:rPr>
              <w:t>Assessment</w:t>
            </w:r>
          </w:p>
        </w:tc>
      </w:tr>
      <w:tr>
        <w:trPr>
          <w:trHeight w:val="887" w:hRule="atLeast"/>
        </w:trPr>
        <w:tc>
          <w:tcPr>
            <w:tcW w:w="1836" w:type="dxa"/>
            <w:vMerge/>
            <w:tcBorders>
              <w:top w:val="nil"/>
              <w:left w:val="nil"/>
              <w:bottom w:val="nil"/>
              <w:right w:val="single" w:sz="12" w:space="0" w:color="FFFFFF"/>
            </w:tcBorders>
            <w:shd w:val="clear" w:color="auto" w:fill="69BD28"/>
          </w:tcPr>
          <w:p>
            <w:pPr>
              <w:rPr>
                <w:sz w:val="2"/>
                <w:szCs w:val="2"/>
              </w:rPr>
            </w:pPr>
          </w:p>
        </w:tc>
        <w:tc>
          <w:tcPr>
            <w:tcW w:w="8635" w:type="dxa"/>
            <w:gridSpan w:val="2"/>
            <w:tcBorders>
              <w:top w:val="single" w:sz="6" w:space="0" w:color="69BD28"/>
              <w:left w:val="single" w:sz="12" w:space="0" w:color="FFFFFF"/>
              <w:bottom w:val="nil"/>
              <w:right w:val="nil"/>
            </w:tcBorders>
          </w:tcPr>
          <w:p>
            <w:pPr>
              <w:pStyle w:val="TableParagraph"/>
              <w:spacing w:before="123"/>
              <w:ind w:left="95"/>
              <w:jc w:val="left"/>
              <w:rPr>
                <w:sz w:val="18"/>
              </w:rPr>
            </w:pPr>
            <w:r>
              <w:rPr>
                <w:sz w:val="18"/>
              </w:rPr>
              <w:t>Opinions expressed on the scale of portfolio, relative</w:t>
            </w:r>
          </w:p>
          <w:p>
            <w:pPr>
              <w:pStyle w:val="TableParagraph"/>
              <w:tabs>
                <w:tab w:pos="4891" w:val="left" w:leader="none"/>
                <w:tab w:pos="6646" w:val="left" w:leader="none"/>
              </w:tabs>
              <w:spacing w:before="7"/>
              <w:ind w:left="371"/>
              <w:jc w:val="left"/>
              <w:rPr>
                <w:sz w:val="18"/>
              </w:rPr>
            </w:pPr>
            <w:r>
              <w:rPr>
                <w:sz w:val="18"/>
              </w:rPr>
              <w:t>performance</w:t>
            </w:r>
            <w:r>
              <w:rPr>
                <w:spacing w:val="-22"/>
                <w:sz w:val="18"/>
              </w:rPr>
              <w:t> </w:t>
            </w:r>
            <w:r>
              <w:rPr>
                <w:sz w:val="18"/>
              </w:rPr>
              <w:t>of</w:t>
            </w:r>
            <w:r>
              <w:rPr>
                <w:spacing w:val="-22"/>
                <w:sz w:val="18"/>
              </w:rPr>
              <w:t> </w:t>
            </w:r>
            <w:r>
              <w:rPr>
                <w:sz w:val="18"/>
              </w:rPr>
              <w:t>submarkets,</w:t>
            </w:r>
            <w:r>
              <w:rPr>
                <w:spacing w:val="-22"/>
                <w:sz w:val="18"/>
              </w:rPr>
              <w:t> </w:t>
            </w:r>
            <w:r>
              <w:rPr>
                <w:sz w:val="18"/>
              </w:rPr>
              <w:t>asset</w:t>
            </w:r>
            <w:r>
              <w:rPr>
                <w:spacing w:val="-23"/>
                <w:sz w:val="18"/>
              </w:rPr>
              <w:t> </w:t>
            </w:r>
            <w:r>
              <w:rPr>
                <w:sz w:val="18"/>
              </w:rPr>
              <w:t>quality</w:t>
            </w:r>
            <w:r>
              <w:rPr>
                <w:spacing w:val="-23"/>
                <w:sz w:val="18"/>
              </w:rPr>
              <w:t> </w:t>
            </w:r>
            <w:r>
              <w:rPr>
                <w:sz w:val="18"/>
              </w:rPr>
              <w:t>and</w:t>
              <w:tab/>
              <w:t>Not</w:t>
            </w:r>
            <w:r>
              <w:rPr>
                <w:spacing w:val="-5"/>
                <w:sz w:val="18"/>
              </w:rPr>
              <w:t> </w:t>
            </w:r>
            <w:r>
              <w:rPr>
                <w:sz w:val="18"/>
              </w:rPr>
              <w:t>applicable</w:t>
              <w:tab/>
              <w:t>Consultants’</w:t>
            </w:r>
            <w:r>
              <w:rPr>
                <w:spacing w:val="-29"/>
                <w:sz w:val="18"/>
              </w:rPr>
              <w:t> </w:t>
            </w:r>
            <w:r>
              <w:rPr>
                <w:sz w:val="18"/>
              </w:rPr>
              <w:t>Assessment</w:t>
            </w:r>
          </w:p>
          <w:p>
            <w:pPr>
              <w:pStyle w:val="TableParagraph"/>
              <w:spacing w:before="7"/>
              <w:ind w:left="1065"/>
              <w:jc w:val="left"/>
              <w:rPr>
                <w:sz w:val="18"/>
              </w:rPr>
            </w:pPr>
            <w:r>
              <w:rPr>
                <w:sz w:val="18"/>
              </w:rPr>
              <w:t>characteristics of assets, etc.</w:t>
            </w:r>
          </w:p>
        </w:tc>
      </w:tr>
    </w:tbl>
    <w:p>
      <w:pPr>
        <w:spacing w:after="0"/>
        <w:jc w:val="left"/>
        <w:rPr>
          <w:sz w:val="18"/>
        </w:rPr>
        <w:sectPr>
          <w:pgSz w:w="11910" w:h="16840"/>
          <w:pgMar w:header="720" w:footer="842" w:top="1520" w:bottom="1040" w:left="440" w:right="80"/>
        </w:sectPr>
      </w:pPr>
    </w:p>
    <w:p>
      <w:pPr>
        <w:pStyle w:val="BodyText"/>
        <w:spacing w:before="5"/>
      </w:pPr>
    </w:p>
    <w:p>
      <w:pPr>
        <w:pStyle w:val="Heading5"/>
        <w:numPr>
          <w:ilvl w:val="0"/>
          <w:numId w:val="14"/>
        </w:numPr>
        <w:tabs>
          <w:tab w:pos="712" w:val="left" w:leader="none"/>
          <w:tab w:pos="713" w:val="left" w:leader="none"/>
        </w:tabs>
        <w:spacing w:line="240" w:lineRule="auto" w:before="106" w:after="0"/>
        <w:ind w:left="712" w:right="0" w:hanging="433"/>
        <w:jc w:val="left"/>
        <w:rPr>
          <w:rFonts w:ascii="Arial"/>
        </w:rPr>
      </w:pPr>
      <w:bookmarkStart w:name="_bookmark20" w:id="40"/>
      <w:bookmarkEnd w:id="40"/>
      <w:r>
        <w:rPr>
          <w:b w:val="0"/>
        </w:rPr>
      </w:r>
      <w:bookmarkStart w:name="_bookmark20" w:id="41"/>
      <w:bookmarkEnd w:id="41"/>
      <w:r>
        <w:rPr>
          <w:rFonts w:ascii="Arial"/>
          <w:color w:val="1F664D"/>
        </w:rPr>
        <w:t>E</w:t>
      </w:r>
      <w:r>
        <w:rPr>
          <w:rFonts w:ascii="Arial"/>
          <w:color w:val="1F664D"/>
        </w:rPr>
        <w:t>mbassy REIT Assets at a</w:t>
      </w:r>
      <w:r>
        <w:rPr>
          <w:rFonts w:ascii="Arial"/>
          <w:color w:val="1F664D"/>
          <w:spacing w:val="16"/>
        </w:rPr>
        <w:t> </w:t>
      </w:r>
      <w:r>
        <w:rPr>
          <w:rFonts w:ascii="Arial"/>
          <w:color w:val="1F664D"/>
        </w:rPr>
        <w:t>Glance</w:t>
      </w:r>
    </w:p>
    <w:p>
      <w:pPr>
        <w:pStyle w:val="BodyText"/>
        <w:spacing w:before="8"/>
        <w:rPr>
          <w:rFonts w:ascii="Arial"/>
          <w:b/>
          <w:sz w:val="28"/>
        </w:rPr>
      </w:pPr>
    </w:p>
    <w:p>
      <w:pPr>
        <w:pStyle w:val="ListParagraph"/>
        <w:numPr>
          <w:ilvl w:val="1"/>
          <w:numId w:val="14"/>
        </w:numPr>
        <w:tabs>
          <w:tab w:pos="856" w:val="left" w:leader="none"/>
          <w:tab w:pos="857" w:val="left" w:leader="none"/>
        </w:tabs>
        <w:spacing w:line="240" w:lineRule="auto" w:before="0" w:after="0"/>
        <w:ind w:left="856" w:right="0" w:hanging="577"/>
        <w:jc w:val="left"/>
        <w:rPr>
          <w:color w:val="1F6647"/>
          <w:sz w:val="22"/>
        </w:rPr>
      </w:pPr>
      <w:bookmarkStart w:name="_bookmark21" w:id="42"/>
      <w:bookmarkEnd w:id="42"/>
      <w:r>
        <w:rPr/>
      </w:r>
      <w:bookmarkStart w:name="_bookmark21" w:id="43"/>
      <w:bookmarkEnd w:id="43"/>
      <w:r>
        <w:rPr>
          <w:color w:val="1F6647"/>
          <w:sz w:val="22"/>
        </w:rPr>
        <w:t>Ke</w:t>
      </w:r>
      <w:r>
        <w:rPr>
          <w:color w:val="1F6647"/>
          <w:sz w:val="22"/>
        </w:rPr>
        <w:t>y</w:t>
      </w:r>
      <w:r>
        <w:rPr>
          <w:color w:val="1F6647"/>
          <w:spacing w:val="-2"/>
          <w:sz w:val="22"/>
        </w:rPr>
        <w:t> </w:t>
      </w:r>
      <w:r>
        <w:rPr>
          <w:color w:val="1F6647"/>
          <w:sz w:val="22"/>
        </w:rPr>
        <w:t>Characteristics</w:t>
      </w:r>
    </w:p>
    <w:p>
      <w:pPr>
        <w:pStyle w:val="BodyText"/>
        <w:rPr>
          <w:sz w:val="20"/>
        </w:rPr>
      </w:pPr>
    </w:p>
    <w:p>
      <w:pPr>
        <w:pStyle w:val="BodyText"/>
        <w:rPr>
          <w:sz w:val="20"/>
        </w:rPr>
      </w:pPr>
    </w:p>
    <w:p>
      <w:pPr>
        <w:spacing w:line="247" w:lineRule="auto" w:before="271"/>
        <w:ind w:left="280" w:right="6659" w:firstLine="0"/>
        <w:jc w:val="left"/>
        <w:rPr>
          <w:i/>
          <w:sz w:val="32"/>
        </w:rPr>
      </w:pPr>
      <w:r>
        <w:rPr>
          <w:i/>
          <w:color w:val="69BD28"/>
          <w:w w:val="100"/>
          <w:sz w:val="32"/>
        </w:rPr>
        <w:t>Sev</w:t>
      </w:r>
      <w:r>
        <w:rPr>
          <w:i/>
          <w:color w:val="69BD28"/>
          <w:w w:val="99"/>
          <w:sz w:val="32"/>
        </w:rPr>
        <w:t>e</w:t>
      </w:r>
      <w:r>
        <w:rPr>
          <w:i/>
          <w:color w:val="69BD28"/>
          <w:w w:val="105"/>
          <w:sz w:val="32"/>
        </w:rPr>
        <w:t>n</w:t>
      </w:r>
      <w:r>
        <w:rPr>
          <w:i/>
          <w:color w:val="69BD28"/>
          <w:spacing w:val="-3"/>
          <w:sz w:val="32"/>
        </w:rPr>
        <w:t> </w:t>
      </w:r>
      <w:r>
        <w:rPr>
          <w:i/>
          <w:color w:val="69BD28"/>
          <w:spacing w:val="-1"/>
          <w:w w:val="100"/>
          <w:sz w:val="32"/>
        </w:rPr>
        <w:t>be</w:t>
      </w:r>
      <w:r>
        <w:rPr>
          <w:i/>
          <w:color w:val="69BD28"/>
          <w:spacing w:val="1"/>
          <w:w w:val="100"/>
          <w:sz w:val="32"/>
        </w:rPr>
        <w:t>s</w:t>
      </w:r>
      <w:r>
        <w:rPr>
          <w:i/>
          <w:color w:val="69BD28"/>
          <w:spacing w:val="2"/>
          <w:w w:val="69"/>
          <w:sz w:val="32"/>
        </w:rPr>
        <w:t>t</w:t>
      </w:r>
      <w:r>
        <w:rPr>
          <w:i/>
          <w:color w:val="69BD28"/>
          <w:w w:val="99"/>
          <w:sz w:val="32"/>
        </w:rPr>
        <w:t>-</w:t>
      </w:r>
      <w:r>
        <w:rPr>
          <w:i/>
          <w:color w:val="69BD28"/>
          <w:spacing w:val="-1"/>
          <w:w w:val="97"/>
          <w:sz w:val="32"/>
        </w:rPr>
        <w:t>i</w:t>
      </w:r>
      <w:r>
        <w:rPr>
          <w:i/>
          <w:color w:val="69BD28"/>
          <w:w w:val="97"/>
          <w:sz w:val="32"/>
        </w:rPr>
        <w:t>n</w:t>
      </w:r>
      <w:r>
        <w:rPr>
          <w:i/>
          <w:color w:val="69BD28"/>
          <w:w w:val="99"/>
          <w:sz w:val="32"/>
        </w:rPr>
        <w:t>-</w:t>
      </w:r>
      <w:r>
        <w:rPr>
          <w:i/>
          <w:color w:val="69BD28"/>
          <w:w w:val="92"/>
          <w:sz w:val="32"/>
        </w:rPr>
        <w:t>c</w:t>
      </w:r>
      <w:r>
        <w:rPr>
          <w:i/>
          <w:color w:val="69BD28"/>
          <w:spacing w:val="-1"/>
          <w:w w:val="92"/>
          <w:sz w:val="32"/>
        </w:rPr>
        <w:t>l</w:t>
      </w:r>
      <w:r>
        <w:rPr>
          <w:i/>
          <w:color w:val="69BD28"/>
          <w:spacing w:val="1"/>
          <w:w w:val="109"/>
          <w:sz w:val="32"/>
        </w:rPr>
        <w:t>a</w:t>
      </w:r>
      <w:r>
        <w:rPr>
          <w:i/>
          <w:color w:val="69BD28"/>
          <w:w w:val="99"/>
          <w:sz w:val="32"/>
        </w:rPr>
        <w:t>ss</w:t>
      </w:r>
      <w:r>
        <w:rPr>
          <w:i/>
          <w:color w:val="69BD28"/>
          <w:spacing w:val="-2"/>
          <w:sz w:val="32"/>
        </w:rPr>
        <w:t> </w:t>
      </w:r>
      <w:r>
        <w:rPr>
          <w:i/>
          <w:color w:val="69BD28"/>
          <w:w w:val="92"/>
          <w:sz w:val="32"/>
        </w:rPr>
        <w:t>office</w:t>
      </w:r>
      <w:r>
        <w:rPr>
          <w:i/>
          <w:color w:val="69BD28"/>
          <w:spacing w:val="-3"/>
          <w:sz w:val="32"/>
        </w:rPr>
        <w:t> </w:t>
      </w:r>
      <w:r>
        <w:rPr>
          <w:i/>
          <w:color w:val="69BD28"/>
          <w:w w:val="102"/>
          <w:sz w:val="32"/>
        </w:rPr>
        <w:t>p</w:t>
      </w:r>
      <w:r>
        <w:rPr>
          <w:i/>
          <w:color w:val="69BD28"/>
          <w:spacing w:val="-1"/>
          <w:w w:val="100"/>
          <w:sz w:val="32"/>
        </w:rPr>
        <w:t>arks</w:t>
      </w:r>
      <w:r>
        <w:rPr>
          <w:i/>
          <w:color w:val="69BD28"/>
          <w:spacing w:val="-1"/>
          <w:w w:val="100"/>
          <w:sz w:val="32"/>
        </w:rPr>
        <w:t> </w:t>
      </w:r>
      <w:r>
        <w:rPr>
          <w:i/>
          <w:color w:val="69BD28"/>
          <w:spacing w:val="-1"/>
          <w:w w:val="105"/>
          <w:sz w:val="32"/>
        </w:rPr>
        <w:t>an</w:t>
      </w:r>
      <w:r>
        <w:rPr>
          <w:i/>
          <w:color w:val="69BD28"/>
          <w:w w:val="105"/>
          <w:sz w:val="32"/>
        </w:rPr>
        <w:t>d</w:t>
      </w:r>
      <w:r>
        <w:rPr>
          <w:i/>
          <w:color w:val="69BD28"/>
          <w:spacing w:val="-4"/>
          <w:sz w:val="32"/>
        </w:rPr>
        <w:t> </w:t>
      </w:r>
      <w:r>
        <w:rPr>
          <w:i/>
          <w:color w:val="69BD28"/>
          <w:w w:val="94"/>
          <w:sz w:val="32"/>
        </w:rPr>
        <w:t>f</w:t>
      </w:r>
      <w:r>
        <w:rPr>
          <w:i/>
          <w:color w:val="69BD28"/>
          <w:spacing w:val="2"/>
          <w:w w:val="94"/>
          <w:sz w:val="32"/>
        </w:rPr>
        <w:t>o</w:t>
      </w:r>
      <w:r>
        <w:rPr>
          <w:i/>
          <w:smallCaps/>
          <w:color w:val="69BD28"/>
          <w:w w:val="94"/>
          <w:sz w:val="32"/>
        </w:rPr>
        <w:t>ur</w:t>
      </w:r>
      <w:r>
        <w:rPr>
          <w:i/>
          <w:smallCaps w:val="0"/>
          <w:color w:val="69BD28"/>
          <w:spacing w:val="-3"/>
          <w:sz w:val="32"/>
        </w:rPr>
        <w:t> </w:t>
      </w:r>
      <w:r>
        <w:rPr>
          <w:i/>
          <w:smallCaps w:val="0"/>
          <w:color w:val="69BD28"/>
          <w:spacing w:val="-1"/>
          <w:w w:val="92"/>
          <w:sz w:val="32"/>
        </w:rPr>
        <w:t>pr</w:t>
      </w:r>
      <w:r>
        <w:rPr>
          <w:i/>
          <w:smallCaps w:val="0"/>
          <w:color w:val="69BD28"/>
          <w:spacing w:val="1"/>
          <w:w w:val="92"/>
          <w:sz w:val="32"/>
        </w:rPr>
        <w:t>i</w:t>
      </w:r>
      <w:r>
        <w:rPr>
          <w:i/>
          <w:smallCaps w:val="0"/>
          <w:color w:val="69BD28"/>
          <w:spacing w:val="-1"/>
          <w:w w:val="101"/>
          <w:sz w:val="32"/>
        </w:rPr>
        <w:t>m</w:t>
      </w:r>
      <w:r>
        <w:rPr>
          <w:i/>
          <w:smallCaps w:val="0"/>
          <w:color w:val="69BD28"/>
          <w:w w:val="101"/>
          <w:sz w:val="32"/>
        </w:rPr>
        <w:t>e</w:t>
      </w:r>
      <w:r>
        <w:rPr>
          <w:i/>
          <w:smallCaps w:val="0"/>
          <w:color w:val="69BD28"/>
          <w:spacing w:val="-3"/>
          <w:sz w:val="32"/>
        </w:rPr>
        <w:t> </w:t>
      </w:r>
      <w:r>
        <w:rPr>
          <w:i/>
          <w:smallCaps w:val="0"/>
          <w:color w:val="69BD28"/>
          <w:spacing w:val="1"/>
          <w:w w:val="101"/>
          <w:sz w:val="32"/>
        </w:rPr>
        <w:t>c</w:t>
      </w:r>
      <w:r>
        <w:rPr>
          <w:i/>
          <w:smallCaps w:val="0"/>
          <w:color w:val="69BD28"/>
          <w:w w:val="82"/>
          <w:sz w:val="32"/>
        </w:rPr>
        <w:t>it</w:t>
      </w:r>
      <w:r>
        <w:rPr>
          <w:i/>
          <w:smallCaps w:val="0"/>
          <w:color w:val="69BD28"/>
          <w:spacing w:val="2"/>
          <w:w w:val="82"/>
          <w:sz w:val="32"/>
        </w:rPr>
        <w:t>y</w:t>
      </w:r>
      <w:r>
        <w:rPr>
          <w:i/>
          <w:smallCaps w:val="0"/>
          <w:color w:val="69BD28"/>
          <w:w w:val="99"/>
          <w:sz w:val="32"/>
        </w:rPr>
        <w:t>-</w:t>
      </w:r>
      <w:r>
        <w:rPr>
          <w:i/>
          <w:smallCaps w:val="0"/>
          <w:color w:val="69BD28"/>
          <w:w w:val="102"/>
          <w:sz w:val="32"/>
        </w:rPr>
        <w:t>ce</w:t>
      </w:r>
      <w:r>
        <w:rPr>
          <w:i/>
          <w:smallCaps w:val="0"/>
          <w:color w:val="69BD28"/>
          <w:spacing w:val="1"/>
          <w:w w:val="102"/>
          <w:sz w:val="32"/>
        </w:rPr>
        <w:t>n</w:t>
      </w:r>
      <w:r>
        <w:rPr>
          <w:i/>
          <w:smallCaps w:val="0"/>
          <w:color w:val="69BD28"/>
          <w:w w:val="86"/>
          <w:sz w:val="32"/>
        </w:rPr>
        <w:t>t</w:t>
      </w:r>
      <w:r>
        <w:rPr>
          <w:i/>
          <w:smallCaps w:val="0"/>
          <w:color w:val="69BD28"/>
          <w:spacing w:val="1"/>
          <w:w w:val="86"/>
          <w:sz w:val="32"/>
        </w:rPr>
        <w:t>e</w:t>
      </w:r>
      <w:r>
        <w:rPr>
          <w:i/>
          <w:smallCaps w:val="0"/>
          <w:color w:val="69BD28"/>
          <w:w w:val="85"/>
          <w:sz w:val="32"/>
        </w:rPr>
        <w:t>r </w:t>
      </w:r>
      <w:r>
        <w:rPr>
          <w:i/>
          <w:smallCaps w:val="0"/>
          <w:color w:val="69BD28"/>
          <w:w w:val="92"/>
          <w:sz w:val="32"/>
        </w:rPr>
        <w:t>office</w:t>
      </w:r>
      <w:r>
        <w:rPr>
          <w:i/>
          <w:smallCaps w:val="0"/>
          <w:color w:val="69BD28"/>
          <w:spacing w:val="-3"/>
          <w:sz w:val="32"/>
        </w:rPr>
        <w:t> </w:t>
      </w:r>
      <w:r>
        <w:rPr>
          <w:i/>
          <w:smallCaps/>
          <w:color w:val="69BD28"/>
          <w:spacing w:val="-1"/>
          <w:w w:val="117"/>
          <w:sz w:val="32"/>
        </w:rPr>
        <w:t>b</w:t>
      </w:r>
      <w:r>
        <w:rPr>
          <w:i/>
          <w:smallCaps/>
          <w:color w:val="69BD28"/>
          <w:spacing w:val="1"/>
          <w:w w:val="117"/>
          <w:sz w:val="32"/>
        </w:rPr>
        <w:t>u</w:t>
      </w:r>
      <w:r>
        <w:rPr>
          <w:i/>
          <w:smallCaps w:val="0"/>
          <w:color w:val="69BD28"/>
          <w:w w:val="81"/>
          <w:sz w:val="32"/>
        </w:rPr>
        <w:t>i</w:t>
      </w:r>
      <w:r>
        <w:rPr>
          <w:i/>
          <w:smallCaps w:val="0"/>
          <w:color w:val="69BD28"/>
          <w:spacing w:val="1"/>
          <w:w w:val="81"/>
          <w:sz w:val="32"/>
        </w:rPr>
        <w:t>l</w:t>
      </w:r>
      <w:r>
        <w:rPr>
          <w:i/>
          <w:smallCaps w:val="0"/>
          <w:color w:val="69BD28"/>
          <w:spacing w:val="-1"/>
          <w:w w:val="95"/>
          <w:sz w:val="32"/>
        </w:rPr>
        <w:t>d</w:t>
      </w:r>
      <w:r>
        <w:rPr>
          <w:i/>
          <w:smallCaps w:val="0"/>
          <w:color w:val="69BD28"/>
          <w:spacing w:val="-2"/>
          <w:w w:val="95"/>
          <w:sz w:val="32"/>
        </w:rPr>
        <w:t>i</w:t>
      </w:r>
      <w:r>
        <w:rPr>
          <w:i/>
          <w:smallCaps w:val="0"/>
          <w:color w:val="69BD28"/>
          <w:spacing w:val="-1"/>
          <w:w w:val="106"/>
          <w:sz w:val="32"/>
        </w:rPr>
        <w:t>ngs</w:t>
      </w:r>
    </w:p>
    <w:p>
      <w:pPr>
        <w:pStyle w:val="BodyText"/>
        <w:spacing w:before="1"/>
        <w:rPr>
          <w:i/>
          <w:sz w:val="25"/>
        </w:rPr>
      </w:pPr>
    </w:p>
    <w:p>
      <w:pPr>
        <w:spacing w:after="0"/>
        <w:rPr>
          <w:sz w:val="25"/>
        </w:rPr>
        <w:sectPr>
          <w:pgSz w:w="11910" w:h="16840"/>
          <w:pgMar w:header="720" w:footer="842" w:top="1520" w:bottom="1040" w:left="440" w:right="80"/>
        </w:sectPr>
      </w:pPr>
    </w:p>
    <w:p>
      <w:pPr>
        <w:spacing w:line="249" w:lineRule="auto" w:before="107"/>
        <w:ind w:left="280" w:right="32" w:firstLine="0"/>
        <w:jc w:val="left"/>
        <w:rPr>
          <w:i/>
          <w:sz w:val="32"/>
        </w:rPr>
      </w:pPr>
      <w:r>
        <w:rPr>
          <w:i/>
          <w:color w:val="69BD28"/>
          <w:spacing w:val="-1"/>
          <w:w w:val="90"/>
          <w:sz w:val="32"/>
        </w:rPr>
        <w:t>Affili</w:t>
      </w:r>
      <w:r>
        <w:rPr>
          <w:i/>
          <w:color w:val="69BD28"/>
          <w:spacing w:val="-2"/>
          <w:w w:val="90"/>
          <w:sz w:val="32"/>
        </w:rPr>
        <w:t>a</w:t>
      </w:r>
      <w:r>
        <w:rPr>
          <w:i/>
          <w:color w:val="69BD28"/>
          <w:w w:val="86"/>
          <w:sz w:val="32"/>
        </w:rPr>
        <w:t>t</w:t>
      </w:r>
      <w:r>
        <w:rPr>
          <w:i/>
          <w:color w:val="69BD28"/>
          <w:spacing w:val="3"/>
          <w:w w:val="86"/>
          <w:sz w:val="32"/>
        </w:rPr>
        <w:t>e</w:t>
      </w:r>
      <w:r>
        <w:rPr>
          <w:i/>
          <w:color w:val="69BD28"/>
          <w:w w:val="102"/>
          <w:sz w:val="32"/>
        </w:rPr>
        <w:t>d</w:t>
      </w:r>
      <w:r>
        <w:rPr>
          <w:i/>
          <w:color w:val="69BD28"/>
          <w:spacing w:val="-4"/>
          <w:sz w:val="32"/>
        </w:rPr>
        <w:t> </w:t>
      </w:r>
      <w:r>
        <w:rPr>
          <w:i/>
          <w:color w:val="69BD28"/>
          <w:spacing w:val="2"/>
          <w:w w:val="78"/>
          <w:sz w:val="32"/>
        </w:rPr>
        <w:t>f</w:t>
      </w:r>
      <w:r>
        <w:rPr>
          <w:i/>
          <w:color w:val="69BD28"/>
          <w:spacing w:val="-1"/>
          <w:w w:val="105"/>
          <w:sz w:val="32"/>
        </w:rPr>
        <w:t>a</w:t>
      </w:r>
      <w:r>
        <w:rPr>
          <w:i/>
          <w:color w:val="69BD28"/>
          <w:spacing w:val="-2"/>
          <w:w w:val="105"/>
          <w:sz w:val="32"/>
        </w:rPr>
        <w:t>c</w:t>
      </w:r>
      <w:r>
        <w:rPr>
          <w:i/>
          <w:color w:val="69BD28"/>
          <w:w w:val="81"/>
          <w:sz w:val="32"/>
        </w:rPr>
        <w:t>i</w:t>
      </w:r>
      <w:r>
        <w:rPr>
          <w:i/>
          <w:color w:val="69BD28"/>
          <w:spacing w:val="1"/>
          <w:w w:val="81"/>
          <w:sz w:val="32"/>
        </w:rPr>
        <w:t>l</w:t>
      </w:r>
      <w:r>
        <w:rPr>
          <w:i/>
          <w:color w:val="69BD28"/>
          <w:w w:val="85"/>
          <w:sz w:val="32"/>
        </w:rPr>
        <w:t>iti</w:t>
      </w:r>
      <w:r>
        <w:rPr>
          <w:i/>
          <w:color w:val="69BD28"/>
          <w:spacing w:val="2"/>
          <w:w w:val="85"/>
          <w:sz w:val="32"/>
        </w:rPr>
        <w:t>e</w:t>
      </w:r>
      <w:r>
        <w:rPr>
          <w:i/>
          <w:color w:val="69BD28"/>
          <w:w w:val="99"/>
          <w:sz w:val="32"/>
        </w:rPr>
        <w:t>s</w:t>
      </w:r>
      <w:r>
        <w:rPr>
          <w:i/>
          <w:color w:val="69BD28"/>
          <w:spacing w:val="-2"/>
          <w:sz w:val="32"/>
        </w:rPr>
        <w:t> </w:t>
      </w:r>
      <w:r>
        <w:rPr>
          <w:i/>
          <w:color w:val="69BD28"/>
          <w:spacing w:val="-1"/>
          <w:w w:val="83"/>
          <w:sz w:val="32"/>
        </w:rPr>
        <w:t>i</w:t>
      </w:r>
      <w:r>
        <w:rPr>
          <w:i/>
          <w:smallCaps/>
          <w:color w:val="69BD28"/>
          <w:spacing w:val="-1"/>
          <w:w w:val="105"/>
          <w:sz w:val="32"/>
        </w:rPr>
        <w:t>nclude</w:t>
      </w:r>
      <w:r>
        <w:rPr>
          <w:i/>
          <w:smallCaps w:val="0"/>
          <w:color w:val="69BD28"/>
          <w:spacing w:val="-1"/>
          <w:w w:val="105"/>
          <w:sz w:val="32"/>
        </w:rPr>
        <w:t> </w:t>
      </w:r>
      <w:r>
        <w:rPr>
          <w:i/>
          <w:smallCaps w:val="0"/>
          <w:color w:val="69BD28"/>
          <w:spacing w:val="-1"/>
          <w:w w:val="103"/>
          <w:sz w:val="32"/>
        </w:rPr>
        <w:t>c</w:t>
      </w:r>
      <w:r>
        <w:rPr>
          <w:i/>
          <w:smallCaps w:val="0"/>
          <w:color w:val="69BD28"/>
          <w:w w:val="103"/>
          <w:sz w:val="32"/>
        </w:rPr>
        <w:t>o</w:t>
      </w:r>
      <w:r>
        <w:rPr>
          <w:i/>
          <w:smallCaps w:val="0"/>
          <w:color w:val="69BD28"/>
          <w:spacing w:val="-1"/>
          <w:w w:val="102"/>
          <w:sz w:val="32"/>
        </w:rPr>
        <w:t>m</w:t>
      </w:r>
      <w:r>
        <w:rPr>
          <w:i/>
          <w:smallCaps w:val="0"/>
          <w:color w:val="69BD28"/>
          <w:spacing w:val="1"/>
          <w:w w:val="102"/>
          <w:sz w:val="32"/>
        </w:rPr>
        <w:t>p</w:t>
      </w:r>
      <w:r>
        <w:rPr>
          <w:i/>
          <w:smallCaps w:val="0"/>
          <w:color w:val="69BD28"/>
          <w:w w:val="84"/>
          <w:sz w:val="32"/>
        </w:rPr>
        <w:t>let</w:t>
      </w:r>
      <w:r>
        <w:rPr>
          <w:i/>
          <w:smallCaps w:val="0"/>
          <w:color w:val="69BD28"/>
          <w:w w:val="99"/>
          <w:sz w:val="32"/>
        </w:rPr>
        <w:t>e</w:t>
      </w:r>
      <w:r>
        <w:rPr>
          <w:i/>
          <w:smallCaps w:val="0"/>
          <w:color w:val="69BD28"/>
          <w:w w:val="102"/>
          <w:sz w:val="32"/>
        </w:rPr>
        <w:t>d</w:t>
      </w:r>
      <w:r>
        <w:rPr>
          <w:i/>
          <w:smallCaps w:val="0"/>
          <w:color w:val="69BD28"/>
          <w:spacing w:val="-4"/>
          <w:sz w:val="32"/>
        </w:rPr>
        <w:t> </w:t>
      </w:r>
      <w:r>
        <w:rPr>
          <w:i/>
          <w:smallCaps w:val="0"/>
          <w:color w:val="69BD28"/>
          <w:spacing w:val="1"/>
          <w:w w:val="88"/>
          <w:sz w:val="32"/>
        </w:rPr>
        <w:t>(</w:t>
      </w:r>
      <w:r>
        <w:rPr>
          <w:i/>
          <w:smallCaps w:val="0"/>
          <w:color w:val="69BD28"/>
          <w:spacing w:val="1"/>
          <w:w w:val="112"/>
          <w:sz w:val="32"/>
        </w:rPr>
        <w:t>2</w:t>
      </w:r>
      <w:r>
        <w:rPr>
          <w:i/>
          <w:smallCaps w:val="0"/>
          <w:color w:val="69BD28"/>
          <w:spacing w:val="-1"/>
          <w:w w:val="88"/>
          <w:sz w:val="32"/>
        </w:rPr>
        <w:t>)</w:t>
      </w:r>
      <w:r>
        <w:rPr>
          <w:i/>
          <w:smallCaps w:val="0"/>
          <w:color w:val="69BD28"/>
          <w:w w:val="88"/>
          <w:sz w:val="32"/>
        </w:rPr>
        <w:t>/</w:t>
      </w:r>
      <w:r>
        <w:rPr>
          <w:i/>
          <w:smallCaps w:val="0"/>
          <w:color w:val="69BD28"/>
          <w:spacing w:val="-3"/>
          <w:sz w:val="32"/>
        </w:rPr>
        <w:t> </w:t>
      </w:r>
      <w:r>
        <w:rPr>
          <w:i/>
          <w:smallCaps w:val="0"/>
          <w:color w:val="69BD28"/>
          <w:w w:val="102"/>
          <w:sz w:val="32"/>
        </w:rPr>
        <w:t>p</w:t>
      </w:r>
      <w:r>
        <w:rPr>
          <w:i/>
          <w:smallCaps w:val="0"/>
          <w:color w:val="69BD28"/>
          <w:w w:val="100"/>
          <w:sz w:val="32"/>
        </w:rPr>
        <w:t>ropos</w:t>
      </w:r>
      <w:r>
        <w:rPr>
          <w:i/>
          <w:smallCaps w:val="0"/>
          <w:color w:val="69BD28"/>
          <w:w w:val="99"/>
          <w:sz w:val="32"/>
        </w:rPr>
        <w:t>e</w:t>
      </w:r>
      <w:r>
        <w:rPr>
          <w:i/>
          <w:smallCaps w:val="0"/>
          <w:color w:val="69BD28"/>
          <w:w w:val="102"/>
          <w:sz w:val="32"/>
        </w:rPr>
        <w:t>d</w:t>
      </w:r>
      <w:r>
        <w:rPr>
          <w:i/>
          <w:smallCaps w:val="0"/>
          <w:color w:val="69BD28"/>
          <w:spacing w:val="-4"/>
          <w:sz w:val="32"/>
        </w:rPr>
        <w:t> </w:t>
      </w:r>
      <w:r>
        <w:rPr>
          <w:i/>
          <w:smallCaps w:val="0"/>
          <w:color w:val="69BD28"/>
          <w:spacing w:val="-1"/>
          <w:w w:val="104"/>
          <w:sz w:val="32"/>
        </w:rPr>
        <w:t>h</w:t>
      </w:r>
      <w:r>
        <w:rPr>
          <w:i/>
          <w:smallCaps w:val="0"/>
          <w:color w:val="69BD28"/>
          <w:w w:val="104"/>
          <w:sz w:val="32"/>
        </w:rPr>
        <w:t>o</w:t>
      </w:r>
      <w:r>
        <w:rPr>
          <w:i/>
          <w:smallCaps w:val="0"/>
          <w:color w:val="69BD28"/>
          <w:w w:val="86"/>
          <w:sz w:val="32"/>
        </w:rPr>
        <w:t>t</w:t>
      </w:r>
      <w:r>
        <w:rPr>
          <w:i/>
          <w:smallCaps w:val="0"/>
          <w:color w:val="69BD28"/>
          <w:spacing w:val="1"/>
          <w:w w:val="86"/>
          <w:sz w:val="32"/>
        </w:rPr>
        <w:t>e</w:t>
      </w:r>
      <w:r>
        <w:rPr>
          <w:i/>
          <w:smallCaps w:val="0"/>
          <w:color w:val="69BD28"/>
          <w:w w:val="90"/>
          <w:sz w:val="32"/>
        </w:rPr>
        <w:t>ls</w:t>
      </w:r>
      <w:r>
        <w:rPr>
          <w:i/>
          <w:smallCaps w:val="0"/>
          <w:color w:val="69BD28"/>
          <w:spacing w:val="-3"/>
          <w:sz w:val="32"/>
        </w:rPr>
        <w:t> </w:t>
      </w:r>
      <w:r>
        <w:rPr>
          <w:i/>
          <w:smallCaps w:val="0"/>
          <w:color w:val="69BD28"/>
          <w:spacing w:val="1"/>
          <w:w w:val="88"/>
          <w:sz w:val="32"/>
        </w:rPr>
        <w:t>(</w:t>
      </w:r>
      <w:r>
        <w:rPr>
          <w:i/>
          <w:smallCaps w:val="0"/>
          <w:color w:val="69BD28"/>
          <w:spacing w:val="-2"/>
          <w:w w:val="112"/>
          <w:sz w:val="32"/>
        </w:rPr>
        <w:t>2</w:t>
      </w:r>
      <w:r>
        <w:rPr>
          <w:i/>
          <w:smallCaps w:val="0"/>
          <w:color w:val="69BD28"/>
          <w:w w:val="88"/>
          <w:sz w:val="32"/>
        </w:rPr>
        <w:t>) </w:t>
      </w:r>
      <w:r>
        <w:rPr>
          <w:i/>
          <w:smallCaps w:val="0"/>
          <w:color w:val="69BD28"/>
          <w:spacing w:val="-1"/>
          <w:w w:val="105"/>
          <w:sz w:val="32"/>
        </w:rPr>
        <w:t>an</w:t>
      </w:r>
      <w:r>
        <w:rPr>
          <w:i/>
          <w:smallCaps w:val="0"/>
          <w:color w:val="69BD28"/>
          <w:w w:val="105"/>
          <w:sz w:val="32"/>
        </w:rPr>
        <w:t>d</w:t>
      </w:r>
      <w:r>
        <w:rPr>
          <w:i/>
          <w:smallCaps w:val="0"/>
          <w:color w:val="69BD28"/>
          <w:spacing w:val="-2"/>
          <w:sz w:val="32"/>
        </w:rPr>
        <w:t> </w:t>
      </w:r>
      <w:r>
        <w:rPr>
          <w:i/>
          <w:smallCaps w:val="0"/>
          <w:color w:val="69BD28"/>
          <w:w w:val="109"/>
          <w:sz w:val="32"/>
        </w:rPr>
        <w:t>a</w:t>
      </w:r>
      <w:r>
        <w:rPr>
          <w:i/>
          <w:smallCaps w:val="0"/>
          <w:color w:val="69BD28"/>
          <w:spacing w:val="-4"/>
          <w:sz w:val="32"/>
        </w:rPr>
        <w:t> </w:t>
      </w:r>
      <w:r>
        <w:rPr>
          <w:i/>
          <w:smallCaps w:val="0"/>
          <w:color w:val="69BD28"/>
          <w:w w:val="99"/>
          <w:sz w:val="32"/>
        </w:rPr>
        <w:t>s</w:t>
      </w:r>
      <w:r>
        <w:rPr>
          <w:i/>
          <w:smallCaps w:val="0"/>
          <w:color w:val="69BD28"/>
          <w:w w:val="96"/>
          <w:sz w:val="32"/>
        </w:rPr>
        <w:t>o</w:t>
      </w:r>
      <w:r>
        <w:rPr>
          <w:i/>
          <w:smallCaps w:val="0"/>
          <w:color w:val="69BD28"/>
          <w:spacing w:val="1"/>
          <w:w w:val="96"/>
          <w:sz w:val="32"/>
        </w:rPr>
        <w:t>l</w:t>
      </w:r>
      <w:r>
        <w:rPr>
          <w:i/>
          <w:smallCaps w:val="0"/>
          <w:color w:val="69BD28"/>
          <w:spacing w:val="-1"/>
          <w:w w:val="98"/>
          <w:sz w:val="32"/>
        </w:rPr>
        <w:t>a</w:t>
      </w:r>
      <w:r>
        <w:rPr>
          <w:i/>
          <w:smallCaps w:val="0"/>
          <w:color w:val="69BD28"/>
          <w:w w:val="98"/>
          <w:sz w:val="32"/>
        </w:rPr>
        <w:t>r</w:t>
      </w:r>
      <w:r>
        <w:rPr>
          <w:i/>
          <w:smallCaps w:val="0"/>
          <w:color w:val="69BD28"/>
          <w:sz w:val="32"/>
        </w:rPr>
        <w:t> </w:t>
      </w:r>
      <w:r>
        <w:rPr>
          <w:i/>
          <w:smallCaps w:val="0"/>
          <w:color w:val="69BD28"/>
          <w:spacing w:val="-1"/>
          <w:w w:val="105"/>
          <w:sz w:val="32"/>
        </w:rPr>
        <w:t>p</w:t>
      </w:r>
      <w:r>
        <w:rPr>
          <w:i/>
          <w:smallCaps w:val="0"/>
          <w:color w:val="69BD28"/>
          <w:spacing w:val="-2"/>
          <w:w w:val="105"/>
          <w:sz w:val="32"/>
        </w:rPr>
        <w:t>a</w:t>
      </w:r>
      <w:r>
        <w:rPr>
          <w:i/>
          <w:smallCaps w:val="0"/>
          <w:color w:val="69BD28"/>
          <w:w w:val="95"/>
          <w:sz w:val="32"/>
        </w:rPr>
        <w:t>rk</w:t>
      </w:r>
      <w:r>
        <w:rPr>
          <w:i/>
          <w:smallCaps w:val="0"/>
          <w:color w:val="69BD28"/>
          <w:sz w:val="32"/>
        </w:rPr>
        <w:t> </w:t>
      </w:r>
      <w:r>
        <w:rPr>
          <w:i/>
          <w:smallCaps w:val="0"/>
          <w:color w:val="69BD28"/>
          <w:spacing w:val="-1"/>
          <w:w w:val="107"/>
          <w:sz w:val="32"/>
        </w:rPr>
        <w:t>(10</w:t>
      </w:r>
      <w:r>
        <w:rPr>
          <w:i/>
          <w:smallCaps w:val="0"/>
          <w:color w:val="69BD28"/>
          <w:w w:val="107"/>
          <w:sz w:val="32"/>
        </w:rPr>
        <w:t>0</w:t>
      </w:r>
      <w:r>
        <w:rPr>
          <w:i/>
          <w:smallCaps w:val="0"/>
          <w:color w:val="69BD28"/>
          <w:spacing w:val="-3"/>
          <w:sz w:val="32"/>
        </w:rPr>
        <w:t> </w:t>
      </w:r>
      <w:r>
        <w:rPr>
          <w:i/>
          <w:smallCaps w:val="0"/>
          <w:color w:val="69BD28"/>
          <w:w w:val="115"/>
          <w:sz w:val="32"/>
        </w:rPr>
        <w:t>M</w:t>
      </w:r>
      <w:r>
        <w:rPr>
          <w:i/>
          <w:smallCaps w:val="0"/>
          <w:color w:val="69BD28"/>
          <w:w w:val="106"/>
          <w:sz w:val="32"/>
        </w:rPr>
        <w:t>W</w:t>
      </w:r>
      <w:r>
        <w:rPr>
          <w:i/>
          <w:smallCaps w:val="0"/>
          <w:color w:val="69BD28"/>
          <w:spacing w:val="-2"/>
          <w:sz w:val="32"/>
        </w:rPr>
        <w:t> </w:t>
      </w:r>
      <w:r>
        <w:rPr>
          <w:i/>
          <w:smallCaps w:val="0"/>
          <w:color w:val="69BD28"/>
          <w:spacing w:val="-1"/>
          <w:w w:val="106"/>
          <w:sz w:val="32"/>
        </w:rPr>
        <w:t>A</w:t>
      </w:r>
      <w:r>
        <w:rPr>
          <w:i/>
          <w:smallCaps w:val="0"/>
          <w:color w:val="69BD28"/>
          <w:spacing w:val="1"/>
          <w:w w:val="106"/>
          <w:sz w:val="32"/>
        </w:rPr>
        <w:t>C</w:t>
      </w:r>
      <w:r>
        <w:rPr>
          <w:i/>
          <w:smallCaps w:val="0"/>
          <w:color w:val="69BD28"/>
          <w:w w:val="88"/>
          <w:sz w:val="32"/>
        </w:rPr>
        <w:t>)</w:t>
      </w:r>
    </w:p>
    <w:p>
      <w:pPr>
        <w:spacing w:line="247" w:lineRule="auto" w:before="288"/>
        <w:ind w:left="280" w:right="286" w:firstLine="0"/>
        <w:jc w:val="left"/>
        <w:rPr>
          <w:i/>
          <w:sz w:val="32"/>
        </w:rPr>
      </w:pPr>
      <w:r>
        <w:rPr>
          <w:i/>
          <w:color w:val="69BD28"/>
          <w:w w:val="100"/>
          <w:sz w:val="32"/>
        </w:rPr>
        <w:t>‘</w:t>
      </w:r>
      <w:r>
        <w:rPr>
          <w:i/>
          <w:color w:val="69BD28"/>
          <w:spacing w:val="-1"/>
          <w:w w:val="100"/>
          <w:sz w:val="32"/>
        </w:rPr>
        <w:t>H</w:t>
      </w:r>
      <w:r>
        <w:rPr>
          <w:i/>
          <w:color w:val="69BD28"/>
          <w:spacing w:val="1"/>
          <w:w w:val="83"/>
          <w:sz w:val="32"/>
        </w:rPr>
        <w:t>i</w:t>
      </w:r>
      <w:r>
        <w:rPr>
          <w:i/>
          <w:color w:val="69BD28"/>
          <w:spacing w:val="-1"/>
          <w:w w:val="108"/>
          <w:sz w:val="32"/>
        </w:rPr>
        <w:t>g</w:t>
      </w:r>
      <w:r>
        <w:rPr>
          <w:i/>
          <w:color w:val="69BD28"/>
          <w:w w:val="108"/>
          <w:sz w:val="32"/>
        </w:rPr>
        <w:t>h</w:t>
      </w:r>
      <w:r>
        <w:rPr>
          <w:i/>
          <w:color w:val="69BD28"/>
          <w:spacing w:val="-3"/>
          <w:sz w:val="32"/>
        </w:rPr>
        <w:t> </w:t>
      </w:r>
      <w:r>
        <w:rPr>
          <w:i/>
          <w:color w:val="69BD28"/>
          <w:spacing w:val="-2"/>
          <w:w w:val="102"/>
          <w:sz w:val="32"/>
        </w:rPr>
        <w:t>q</w:t>
      </w:r>
      <w:r>
        <w:rPr>
          <w:i/>
          <w:smallCaps/>
          <w:color w:val="69BD28"/>
          <w:spacing w:val="2"/>
          <w:w w:val="109"/>
          <w:sz w:val="32"/>
        </w:rPr>
        <w:t>u</w:t>
      </w:r>
      <w:r>
        <w:rPr>
          <w:i/>
          <w:smallCaps w:val="0"/>
          <w:color w:val="69BD28"/>
          <w:spacing w:val="-1"/>
          <w:w w:val="98"/>
          <w:sz w:val="32"/>
        </w:rPr>
        <w:t>a</w:t>
      </w:r>
      <w:r>
        <w:rPr>
          <w:i/>
          <w:smallCaps w:val="0"/>
          <w:color w:val="69BD28"/>
          <w:w w:val="98"/>
          <w:sz w:val="32"/>
        </w:rPr>
        <w:t>l</w:t>
      </w:r>
      <w:r>
        <w:rPr>
          <w:i/>
          <w:smallCaps w:val="0"/>
          <w:color w:val="69BD28"/>
          <w:w w:val="82"/>
          <w:sz w:val="32"/>
        </w:rPr>
        <w:t>ity</w:t>
      </w:r>
      <w:r>
        <w:rPr>
          <w:i/>
          <w:smallCaps w:val="0"/>
          <w:color w:val="69BD28"/>
          <w:spacing w:val="-3"/>
          <w:sz w:val="32"/>
        </w:rPr>
        <w:t> </w:t>
      </w:r>
      <w:r>
        <w:rPr>
          <w:i/>
          <w:smallCaps w:val="0"/>
          <w:color w:val="69BD28"/>
          <w:spacing w:val="-2"/>
          <w:w w:val="109"/>
          <w:sz w:val="32"/>
        </w:rPr>
        <w:t>a</w:t>
      </w:r>
      <w:r>
        <w:rPr>
          <w:i/>
          <w:smallCaps w:val="0"/>
          <w:color w:val="69BD28"/>
          <w:w w:val="99"/>
          <w:sz w:val="32"/>
        </w:rPr>
        <w:t>s</w:t>
      </w:r>
      <w:r>
        <w:rPr>
          <w:i/>
          <w:smallCaps w:val="0"/>
          <w:color w:val="69BD28"/>
          <w:spacing w:val="3"/>
          <w:w w:val="99"/>
          <w:sz w:val="32"/>
        </w:rPr>
        <w:t>s</w:t>
      </w:r>
      <w:r>
        <w:rPr>
          <w:i/>
          <w:smallCaps w:val="0"/>
          <w:color w:val="69BD28"/>
          <w:w w:val="99"/>
          <w:sz w:val="32"/>
        </w:rPr>
        <w:t>e</w:t>
      </w:r>
      <w:r>
        <w:rPr>
          <w:i/>
          <w:smallCaps w:val="0"/>
          <w:color w:val="69BD28"/>
          <w:w w:val="84"/>
          <w:sz w:val="32"/>
        </w:rPr>
        <w:t>ts</w:t>
      </w:r>
      <w:r>
        <w:rPr>
          <w:i/>
          <w:smallCaps w:val="0"/>
          <w:color w:val="69BD28"/>
          <w:spacing w:val="-2"/>
          <w:sz w:val="32"/>
        </w:rPr>
        <w:t> </w:t>
      </w:r>
      <w:r>
        <w:rPr>
          <w:i/>
          <w:smallCaps w:val="0"/>
          <w:color w:val="69BD28"/>
          <w:spacing w:val="-2"/>
          <w:w w:val="102"/>
          <w:sz w:val="32"/>
        </w:rPr>
        <w:t>b</w:t>
      </w:r>
      <w:r>
        <w:rPr>
          <w:i/>
          <w:smallCaps/>
          <w:color w:val="69BD28"/>
          <w:w w:val="85"/>
          <w:sz w:val="32"/>
        </w:rPr>
        <w:t>uilt</w:t>
      </w:r>
      <w:r>
        <w:rPr>
          <w:i/>
          <w:smallCaps w:val="0"/>
          <w:color w:val="69BD28"/>
          <w:spacing w:val="-3"/>
          <w:sz w:val="32"/>
        </w:rPr>
        <w:t> </w:t>
      </w:r>
      <w:r>
        <w:rPr>
          <w:i/>
          <w:smallCaps w:val="0"/>
          <w:color w:val="69BD28"/>
          <w:w w:val="89"/>
          <w:sz w:val="32"/>
        </w:rPr>
        <w:t>to</w:t>
      </w:r>
      <w:r>
        <w:rPr>
          <w:i/>
          <w:smallCaps w:val="0"/>
          <w:color w:val="69BD28"/>
          <w:w w:val="89"/>
          <w:sz w:val="32"/>
        </w:rPr>
        <w:t> </w:t>
      </w:r>
      <w:r>
        <w:rPr>
          <w:i/>
          <w:smallCaps w:val="0"/>
          <w:color w:val="69BD28"/>
          <w:spacing w:val="-1"/>
          <w:w w:val="83"/>
          <w:sz w:val="32"/>
        </w:rPr>
        <w:t>i</w:t>
      </w:r>
      <w:r>
        <w:rPr>
          <w:i/>
          <w:smallCaps w:val="0"/>
          <w:color w:val="69BD28"/>
          <w:spacing w:val="-1"/>
          <w:w w:val="89"/>
          <w:sz w:val="32"/>
        </w:rPr>
        <w:t>n</w:t>
      </w:r>
      <w:r>
        <w:rPr>
          <w:i/>
          <w:smallCaps w:val="0"/>
          <w:color w:val="69BD28"/>
          <w:w w:val="89"/>
          <w:sz w:val="32"/>
        </w:rPr>
        <w:t>t</w:t>
      </w:r>
      <w:r>
        <w:rPr>
          <w:i/>
          <w:smallCaps w:val="0"/>
          <w:color w:val="69BD28"/>
          <w:w w:val="99"/>
          <w:sz w:val="32"/>
        </w:rPr>
        <w:t>e</w:t>
      </w:r>
      <w:r>
        <w:rPr>
          <w:i/>
          <w:smallCaps w:val="0"/>
          <w:color w:val="69BD28"/>
          <w:w w:val="96"/>
          <w:sz w:val="32"/>
        </w:rPr>
        <w:t>r</w:t>
      </w:r>
      <w:r>
        <w:rPr>
          <w:i/>
          <w:smallCaps w:val="0"/>
          <w:color w:val="69BD28"/>
          <w:spacing w:val="1"/>
          <w:w w:val="96"/>
          <w:sz w:val="32"/>
        </w:rPr>
        <w:t>n</w:t>
      </w:r>
      <w:r>
        <w:rPr>
          <w:i/>
          <w:smallCaps w:val="0"/>
          <w:color w:val="69BD28"/>
          <w:spacing w:val="-1"/>
          <w:w w:val="97"/>
          <w:sz w:val="32"/>
        </w:rPr>
        <w:t>ationa</w:t>
      </w:r>
      <w:r>
        <w:rPr>
          <w:i/>
          <w:smallCaps w:val="0"/>
          <w:color w:val="69BD28"/>
          <w:w w:val="97"/>
          <w:sz w:val="32"/>
        </w:rPr>
        <w:t>l</w:t>
      </w:r>
      <w:r>
        <w:rPr>
          <w:i/>
          <w:smallCaps w:val="0"/>
          <w:color w:val="69BD28"/>
          <w:spacing w:val="-4"/>
          <w:sz w:val="32"/>
        </w:rPr>
        <w:t> </w:t>
      </w:r>
      <w:r>
        <w:rPr>
          <w:i/>
          <w:smallCaps w:val="0"/>
          <w:color w:val="69BD28"/>
          <w:spacing w:val="2"/>
          <w:w w:val="99"/>
          <w:sz w:val="32"/>
        </w:rPr>
        <w:t>s</w:t>
      </w:r>
      <w:r>
        <w:rPr>
          <w:i/>
          <w:smallCaps w:val="0"/>
          <w:color w:val="69BD28"/>
          <w:spacing w:val="-1"/>
          <w:w w:val="95"/>
          <w:sz w:val="32"/>
        </w:rPr>
        <w:t>pecificatio</w:t>
      </w:r>
      <w:r>
        <w:rPr>
          <w:i/>
          <w:smallCaps w:val="0"/>
          <w:color w:val="69BD28"/>
          <w:w w:val="95"/>
          <w:sz w:val="32"/>
        </w:rPr>
        <w:t>n</w:t>
      </w:r>
      <w:r>
        <w:rPr>
          <w:i/>
          <w:smallCaps w:val="0"/>
          <w:color w:val="69BD28"/>
          <w:w w:val="99"/>
          <w:sz w:val="32"/>
        </w:rPr>
        <w:t>s</w:t>
      </w:r>
      <w:r>
        <w:rPr>
          <w:i/>
          <w:smallCaps w:val="0"/>
          <w:color w:val="69BD28"/>
          <w:sz w:val="32"/>
        </w:rPr>
        <w:t> </w:t>
      </w:r>
      <w:r>
        <w:rPr>
          <w:i/>
          <w:smallCaps w:val="0"/>
          <w:color w:val="69BD28"/>
          <w:spacing w:val="-1"/>
          <w:w w:val="105"/>
          <w:sz w:val="32"/>
        </w:rPr>
        <w:t>and </w:t>
      </w:r>
      <w:r>
        <w:rPr>
          <w:i/>
          <w:smallCaps w:val="0"/>
          <w:color w:val="69BD28"/>
          <w:spacing w:val="1"/>
          <w:w w:val="99"/>
          <w:sz w:val="32"/>
        </w:rPr>
        <w:t>s</w:t>
      </w:r>
      <w:r>
        <w:rPr>
          <w:i/>
          <w:smallCaps w:val="0"/>
          <w:color w:val="69BD28"/>
          <w:w w:val="100"/>
          <w:sz w:val="32"/>
        </w:rPr>
        <w:t>tand</w:t>
      </w:r>
      <w:r>
        <w:rPr>
          <w:i/>
          <w:smallCaps w:val="0"/>
          <w:color w:val="69BD28"/>
          <w:spacing w:val="-2"/>
          <w:w w:val="100"/>
          <w:sz w:val="32"/>
        </w:rPr>
        <w:t>a</w:t>
      </w:r>
      <w:r>
        <w:rPr>
          <w:i/>
          <w:smallCaps w:val="0"/>
          <w:color w:val="69BD28"/>
          <w:spacing w:val="2"/>
          <w:w w:val="85"/>
          <w:sz w:val="32"/>
        </w:rPr>
        <w:t>r</w:t>
      </w:r>
      <w:r>
        <w:rPr>
          <w:i/>
          <w:smallCaps w:val="0"/>
          <w:color w:val="69BD28"/>
          <w:spacing w:val="-1"/>
          <w:w w:val="101"/>
          <w:sz w:val="32"/>
        </w:rPr>
        <w:t>d</w:t>
      </w:r>
      <w:r>
        <w:rPr>
          <w:i/>
          <w:smallCaps w:val="0"/>
          <w:color w:val="69BD28"/>
          <w:w w:val="101"/>
          <w:sz w:val="32"/>
        </w:rPr>
        <w:t>s</w:t>
      </w:r>
      <w:r>
        <w:rPr>
          <w:i/>
          <w:smallCaps w:val="0"/>
          <w:color w:val="69BD28"/>
          <w:spacing w:val="-3"/>
          <w:sz w:val="32"/>
        </w:rPr>
        <w:t> </w:t>
      </w:r>
      <w:r>
        <w:rPr>
          <w:i/>
          <w:smallCaps w:val="0"/>
          <w:color w:val="69BD28"/>
          <w:w w:val="92"/>
          <w:sz w:val="32"/>
        </w:rPr>
        <w:t>with</w:t>
      </w:r>
      <w:r>
        <w:rPr>
          <w:i/>
          <w:smallCaps w:val="0"/>
          <w:color w:val="69BD28"/>
          <w:spacing w:val="-1"/>
          <w:sz w:val="32"/>
        </w:rPr>
        <w:t> </w:t>
      </w:r>
      <w:r>
        <w:rPr>
          <w:i/>
          <w:smallCaps w:val="0"/>
          <w:color w:val="69BD28"/>
          <w:w w:val="102"/>
          <w:sz w:val="32"/>
        </w:rPr>
        <w:t>b</w:t>
      </w:r>
      <w:r>
        <w:rPr>
          <w:i/>
          <w:smallCaps w:val="0"/>
          <w:color w:val="69BD28"/>
          <w:w w:val="99"/>
          <w:sz w:val="32"/>
        </w:rPr>
        <w:t>e</w:t>
      </w:r>
      <w:r>
        <w:rPr>
          <w:i/>
          <w:smallCaps w:val="0"/>
          <w:color w:val="69BD28"/>
          <w:w w:val="99"/>
          <w:sz w:val="32"/>
        </w:rPr>
        <w:t>s</w:t>
      </w:r>
      <w:r>
        <w:rPr>
          <w:i/>
          <w:smallCaps w:val="0"/>
          <w:color w:val="69BD28"/>
          <w:spacing w:val="3"/>
          <w:w w:val="69"/>
          <w:sz w:val="32"/>
        </w:rPr>
        <w:t>t</w:t>
      </w:r>
      <w:r>
        <w:rPr>
          <w:i/>
          <w:smallCaps w:val="0"/>
          <w:color w:val="69BD28"/>
          <w:w w:val="99"/>
          <w:sz w:val="32"/>
        </w:rPr>
        <w:t>-</w:t>
      </w:r>
      <w:r>
        <w:rPr>
          <w:i/>
          <w:smallCaps w:val="0"/>
          <w:color w:val="69BD28"/>
          <w:spacing w:val="-1"/>
          <w:w w:val="97"/>
          <w:sz w:val="32"/>
        </w:rPr>
        <w:t>i</w:t>
      </w:r>
      <w:r>
        <w:rPr>
          <w:i/>
          <w:smallCaps w:val="0"/>
          <w:color w:val="69BD28"/>
          <w:w w:val="97"/>
          <w:sz w:val="32"/>
        </w:rPr>
        <w:t>n</w:t>
      </w:r>
      <w:r>
        <w:rPr>
          <w:i/>
          <w:smallCaps w:val="0"/>
          <w:color w:val="69BD28"/>
          <w:w w:val="99"/>
          <w:sz w:val="32"/>
        </w:rPr>
        <w:t>-</w:t>
      </w:r>
      <w:r>
        <w:rPr>
          <w:i/>
          <w:smallCaps w:val="0"/>
          <w:color w:val="69BD28"/>
          <w:w w:val="92"/>
          <w:sz w:val="32"/>
        </w:rPr>
        <w:t>c</w:t>
      </w:r>
      <w:r>
        <w:rPr>
          <w:i/>
          <w:smallCaps w:val="0"/>
          <w:color w:val="69BD28"/>
          <w:spacing w:val="-1"/>
          <w:w w:val="92"/>
          <w:sz w:val="32"/>
        </w:rPr>
        <w:t>l</w:t>
      </w:r>
      <w:r>
        <w:rPr>
          <w:i/>
          <w:smallCaps w:val="0"/>
          <w:color w:val="69BD28"/>
          <w:spacing w:val="-1"/>
          <w:w w:val="103"/>
          <w:sz w:val="32"/>
        </w:rPr>
        <w:t>as</w:t>
      </w:r>
      <w:r>
        <w:rPr>
          <w:i/>
          <w:smallCaps w:val="0"/>
          <w:color w:val="69BD28"/>
          <w:w w:val="103"/>
          <w:sz w:val="32"/>
        </w:rPr>
        <w:t>s</w:t>
      </w:r>
      <w:r>
        <w:rPr>
          <w:i/>
          <w:smallCaps w:val="0"/>
          <w:color w:val="69BD28"/>
          <w:spacing w:val="-2"/>
          <w:sz w:val="32"/>
        </w:rPr>
        <w:t> </w:t>
      </w:r>
      <w:r>
        <w:rPr>
          <w:i/>
          <w:smallCaps w:val="0"/>
          <w:color w:val="69BD28"/>
          <w:spacing w:val="-2"/>
          <w:w w:val="109"/>
          <w:sz w:val="32"/>
        </w:rPr>
        <w:t>a</w:t>
      </w:r>
      <w:r>
        <w:rPr>
          <w:i/>
          <w:smallCaps w:val="0"/>
          <w:color w:val="69BD28"/>
          <w:w w:val="99"/>
          <w:sz w:val="32"/>
        </w:rPr>
        <w:t>ss</w:t>
      </w:r>
      <w:r>
        <w:rPr>
          <w:i/>
          <w:smallCaps w:val="0"/>
          <w:color w:val="69BD28"/>
          <w:w w:val="99"/>
          <w:sz w:val="32"/>
        </w:rPr>
        <w:t>e</w:t>
      </w:r>
      <w:r>
        <w:rPr>
          <w:i/>
          <w:smallCaps w:val="0"/>
          <w:color w:val="69BD28"/>
          <w:w w:val="69"/>
          <w:sz w:val="32"/>
        </w:rPr>
        <w:t>t</w:t>
      </w:r>
    </w:p>
    <w:p>
      <w:pPr>
        <w:pStyle w:val="BodyText"/>
        <w:rPr>
          <w:i/>
          <w:sz w:val="26"/>
        </w:rPr>
      </w:pPr>
      <w:r>
        <w:rPr/>
        <w:br w:type="column"/>
      </w:r>
      <w:r>
        <w:rPr>
          <w:i/>
          <w:sz w:val="26"/>
        </w:rPr>
      </w:r>
    </w:p>
    <w:p>
      <w:pPr>
        <w:pStyle w:val="BodyText"/>
        <w:rPr>
          <w:i/>
          <w:sz w:val="26"/>
        </w:rPr>
      </w:pPr>
    </w:p>
    <w:p>
      <w:pPr>
        <w:pStyle w:val="BodyText"/>
        <w:rPr>
          <w:i/>
          <w:sz w:val="26"/>
        </w:rPr>
      </w:pPr>
    </w:p>
    <w:p>
      <w:pPr>
        <w:pStyle w:val="BodyText"/>
        <w:rPr>
          <w:i/>
          <w:sz w:val="26"/>
        </w:rPr>
      </w:pPr>
    </w:p>
    <w:p>
      <w:pPr>
        <w:pStyle w:val="BodyText"/>
        <w:rPr>
          <w:i/>
          <w:sz w:val="34"/>
        </w:rPr>
      </w:pPr>
    </w:p>
    <w:p>
      <w:pPr>
        <w:pStyle w:val="BodyText"/>
        <w:ind w:left="280"/>
      </w:pPr>
      <w:r>
        <w:rPr>
          <w:color w:val="006A4D"/>
          <w:w w:val="105"/>
        </w:rPr>
        <w:t>Noida</w:t>
      </w:r>
    </w:p>
    <w:p>
      <w:pPr>
        <w:pStyle w:val="BodyText"/>
        <w:rPr>
          <w:sz w:val="26"/>
        </w:rPr>
      </w:pPr>
      <w:r>
        <w:rPr/>
        <w:br w:type="column"/>
      </w:r>
      <w:r>
        <w:rPr>
          <w:sz w:val="26"/>
        </w:rPr>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21"/>
        </w:rPr>
      </w:pPr>
    </w:p>
    <w:p>
      <w:pPr>
        <w:pStyle w:val="BodyText"/>
        <w:spacing w:line="320" w:lineRule="atLeast"/>
        <w:ind w:left="280" w:right="707" w:firstLine="36"/>
      </w:pPr>
      <w:r>
        <w:rPr/>
        <w:t>Embassy Galaxy Embassy Oxygen</w:t>
      </w:r>
    </w:p>
    <w:p>
      <w:pPr>
        <w:spacing w:after="0" w:line="320" w:lineRule="atLeast"/>
        <w:sectPr>
          <w:type w:val="continuous"/>
          <w:pgSz w:w="11910" w:h="16840"/>
          <w:pgMar w:top="800" w:bottom="280" w:left="440" w:right="80"/>
          <w:cols w:num="3" w:equalWidth="0">
            <w:col w:w="5303" w:space="1741"/>
            <w:col w:w="921" w:space="41"/>
            <w:col w:w="3384"/>
          </w:cols>
        </w:sectPr>
      </w:pPr>
    </w:p>
    <w:p>
      <w:pPr>
        <w:pStyle w:val="Heading2"/>
        <w:rPr>
          <w:i/>
        </w:rPr>
      </w:pPr>
      <w:r>
        <w:rPr>
          <w:i/>
          <w:color w:val="69BD28"/>
        </w:rPr>
        <w:t>management</w:t>
      </w:r>
    </w:p>
    <w:p>
      <w:pPr>
        <w:pStyle w:val="BodyText"/>
        <w:spacing w:before="2"/>
        <w:rPr>
          <w:i/>
          <w:sz w:val="38"/>
        </w:rPr>
      </w:pPr>
      <w:r>
        <w:rPr/>
        <w:br w:type="column"/>
      </w:r>
      <w:r>
        <w:rPr>
          <w:i/>
          <w:sz w:val="38"/>
        </w:rPr>
      </w:r>
    </w:p>
    <w:p>
      <w:pPr>
        <w:pStyle w:val="BodyText"/>
        <w:spacing w:line="302" w:lineRule="auto" w:before="1"/>
        <w:ind w:left="280" w:right="38"/>
        <w:jc w:val="center"/>
      </w:pPr>
      <w:r>
        <w:rPr>
          <w:w w:val="95"/>
        </w:rPr>
        <w:t>Express Towers </w:t>
      </w:r>
      <w:r>
        <w:rPr/>
        <w:t>FIFC</w:t>
      </w:r>
    </w:p>
    <w:p>
      <w:pPr>
        <w:pStyle w:val="BodyText"/>
        <w:spacing w:before="1"/>
        <w:ind w:left="279" w:right="38"/>
        <w:jc w:val="center"/>
      </w:pPr>
      <w:r>
        <w:rPr>
          <w:w w:val="105"/>
        </w:rPr>
        <w:t>Embassy 247</w:t>
      </w:r>
    </w:p>
    <w:p>
      <w:pPr>
        <w:pStyle w:val="BodyText"/>
        <w:spacing w:before="69"/>
        <w:ind w:left="280"/>
      </w:pPr>
      <w:r>
        <w:rPr/>
        <w:br w:type="column"/>
      </w:r>
      <w:r>
        <w:rPr/>
        <w:t>(Total Leasable Area </w:t>
      </w:r>
      <w:r>
        <w:rPr>
          <w:w w:val="110"/>
        </w:rPr>
        <w:t>– </w:t>
      </w:r>
      <w:r>
        <w:rPr/>
        <w:t>4.61 Mn sft)</w:t>
      </w:r>
    </w:p>
    <w:p>
      <w:pPr>
        <w:pStyle w:val="BodyText"/>
        <w:spacing w:before="8"/>
        <w:rPr>
          <w:sz w:val="32"/>
        </w:rPr>
      </w:pPr>
    </w:p>
    <w:p>
      <w:pPr>
        <w:spacing w:before="0"/>
        <w:ind w:left="1163" w:right="0" w:firstLine="0"/>
        <w:jc w:val="left"/>
        <w:rPr>
          <w:sz w:val="40"/>
        </w:rPr>
      </w:pPr>
      <w:r>
        <w:rPr>
          <w:w w:val="105"/>
          <w:sz w:val="40"/>
        </w:rPr>
        <w:t>PRESENCE</w:t>
      </w:r>
    </w:p>
    <w:p>
      <w:pPr>
        <w:spacing w:after="0"/>
        <w:jc w:val="left"/>
        <w:rPr>
          <w:sz w:val="40"/>
        </w:rPr>
        <w:sectPr>
          <w:type w:val="continuous"/>
          <w:pgSz w:w="11910" w:h="16840"/>
          <w:pgMar w:top="800" w:bottom="280" w:left="440" w:right="80"/>
          <w:cols w:num="3" w:equalWidth="0">
            <w:col w:w="2219" w:space="2983"/>
            <w:col w:w="1761" w:space="179"/>
            <w:col w:w="4248"/>
          </w:cols>
        </w:sectPr>
      </w:pPr>
    </w:p>
    <w:p>
      <w:pPr>
        <w:pStyle w:val="BodyText"/>
        <w:spacing w:before="69"/>
        <w:ind w:left="4519"/>
      </w:pPr>
      <w:r>
        <w:rPr/>
        <w:pict>
          <v:shape style="position:absolute;margin-left:36pt;margin-top:4.8986pt;width:193.65pt;height:185.35pt;mso-position-horizontal-relative:page;mso-position-vertical-relative:paragraph;z-index:158325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75"/>
                    <w:gridCol w:w="1697"/>
                  </w:tblGrid>
                  <w:tr>
                    <w:trPr>
                      <w:trHeight w:val="457" w:hRule="atLeast"/>
                    </w:trPr>
                    <w:tc>
                      <w:tcPr>
                        <w:tcW w:w="2175" w:type="dxa"/>
                        <w:tcBorders>
                          <w:top w:val="single" w:sz="6" w:space="0" w:color="69BD28"/>
                        </w:tcBorders>
                      </w:tcPr>
                      <w:p>
                        <w:pPr>
                          <w:pStyle w:val="TableParagraph"/>
                          <w:spacing w:before="126"/>
                          <w:ind w:right="174"/>
                          <w:jc w:val="right"/>
                          <w:rPr>
                            <w:b/>
                            <w:sz w:val="18"/>
                          </w:rPr>
                        </w:pPr>
                        <w:r>
                          <w:rPr>
                            <w:b/>
                            <w:color w:val="FFFFFF"/>
                            <w:w w:val="110"/>
                            <w:sz w:val="18"/>
                          </w:rPr>
                          <w:t>Embassy REIT Assets</w:t>
                        </w:r>
                      </w:p>
                    </w:tc>
                    <w:tc>
                      <w:tcPr>
                        <w:tcW w:w="1697" w:type="dxa"/>
                        <w:tcBorders>
                          <w:top w:val="single" w:sz="6" w:space="0" w:color="69BD28"/>
                          <w:bottom w:val="single" w:sz="6" w:space="0" w:color="69BD28"/>
                        </w:tcBorders>
                      </w:tcPr>
                      <w:p>
                        <w:pPr>
                          <w:pStyle w:val="TableParagraph"/>
                          <w:spacing w:before="126"/>
                          <w:ind w:left="454" w:right="470"/>
                          <w:rPr>
                            <w:b/>
                            <w:sz w:val="18"/>
                          </w:rPr>
                        </w:pPr>
                        <w:r>
                          <w:rPr>
                            <w:b/>
                            <w:color w:val="FFFFFF"/>
                            <w:w w:val="110"/>
                            <w:sz w:val="18"/>
                          </w:rPr>
                          <w:t>Number</w:t>
                        </w:r>
                      </w:p>
                    </w:tc>
                  </w:tr>
                  <w:tr>
                    <w:trPr>
                      <w:trHeight w:val="671" w:hRule="atLeast"/>
                    </w:trPr>
                    <w:tc>
                      <w:tcPr>
                        <w:tcW w:w="2175" w:type="dxa"/>
                        <w:shd w:val="clear" w:color="auto" w:fill="69BD28"/>
                      </w:tcPr>
                      <w:p>
                        <w:pPr>
                          <w:pStyle w:val="TableParagraph"/>
                          <w:spacing w:line="247" w:lineRule="auto" w:before="123"/>
                          <w:ind w:left="854" w:hanging="685"/>
                          <w:jc w:val="left"/>
                          <w:rPr>
                            <w:b/>
                            <w:sz w:val="18"/>
                          </w:rPr>
                        </w:pPr>
                        <w:r>
                          <w:rPr>
                            <w:b/>
                            <w:color w:val="FFFFFF"/>
                            <w:w w:val="110"/>
                            <w:sz w:val="18"/>
                          </w:rPr>
                          <w:t>Total Leasable Area (msf)</w:t>
                        </w:r>
                      </w:p>
                    </w:tc>
                    <w:tc>
                      <w:tcPr>
                        <w:tcW w:w="1697" w:type="dxa"/>
                        <w:tcBorders>
                          <w:top w:val="single" w:sz="6" w:space="0" w:color="69BD28"/>
                          <w:bottom w:val="single" w:sz="6" w:space="0" w:color="69BD28"/>
                        </w:tcBorders>
                      </w:tcPr>
                      <w:p>
                        <w:pPr>
                          <w:pStyle w:val="TableParagraph"/>
                          <w:spacing w:before="10"/>
                          <w:jc w:val="left"/>
                          <w:rPr>
                            <w:sz w:val="19"/>
                          </w:rPr>
                        </w:pPr>
                      </w:p>
                      <w:p>
                        <w:pPr>
                          <w:pStyle w:val="TableParagraph"/>
                          <w:spacing w:before="1"/>
                          <w:ind w:left="454" w:right="470"/>
                          <w:rPr>
                            <w:sz w:val="18"/>
                          </w:rPr>
                        </w:pPr>
                        <w:r>
                          <w:rPr>
                            <w:w w:val="105"/>
                            <w:sz w:val="18"/>
                          </w:rPr>
                          <w:t>33.26</w:t>
                        </w:r>
                      </w:p>
                    </w:tc>
                  </w:tr>
                  <w:tr>
                    <w:trPr>
                      <w:trHeight w:val="455" w:hRule="atLeast"/>
                    </w:trPr>
                    <w:tc>
                      <w:tcPr>
                        <w:tcW w:w="2175" w:type="dxa"/>
                        <w:shd w:val="clear" w:color="auto" w:fill="69BD28"/>
                      </w:tcPr>
                      <w:p>
                        <w:pPr>
                          <w:pStyle w:val="TableParagraph"/>
                          <w:spacing w:before="123"/>
                          <w:ind w:right="229"/>
                          <w:jc w:val="right"/>
                          <w:rPr>
                            <w:sz w:val="18"/>
                          </w:rPr>
                        </w:pPr>
                        <w:r>
                          <w:rPr>
                            <w:color w:val="FFFFFF"/>
                            <w:sz w:val="18"/>
                          </w:rPr>
                          <w:t>Completed Area (msf)</w:t>
                        </w:r>
                      </w:p>
                    </w:tc>
                    <w:tc>
                      <w:tcPr>
                        <w:tcW w:w="1697" w:type="dxa"/>
                        <w:tcBorders>
                          <w:top w:val="single" w:sz="6" w:space="0" w:color="69BD28"/>
                          <w:bottom w:val="single" w:sz="6" w:space="0" w:color="69BD28"/>
                        </w:tcBorders>
                      </w:tcPr>
                      <w:p>
                        <w:pPr>
                          <w:pStyle w:val="TableParagraph"/>
                          <w:spacing w:before="123"/>
                          <w:ind w:left="454" w:right="470"/>
                          <w:rPr>
                            <w:sz w:val="18"/>
                          </w:rPr>
                        </w:pPr>
                        <w:r>
                          <w:rPr>
                            <w:w w:val="105"/>
                            <w:sz w:val="18"/>
                          </w:rPr>
                          <w:t>26.14</w:t>
                        </w:r>
                      </w:p>
                    </w:tc>
                  </w:tr>
                  <w:tr>
                    <w:trPr>
                      <w:trHeight w:val="455" w:hRule="atLeast"/>
                    </w:trPr>
                    <w:tc>
                      <w:tcPr>
                        <w:tcW w:w="2175" w:type="dxa"/>
                        <w:shd w:val="clear" w:color="auto" w:fill="69BD28"/>
                      </w:tcPr>
                      <w:p>
                        <w:pPr>
                          <w:pStyle w:val="TableParagraph"/>
                          <w:spacing w:before="123"/>
                          <w:ind w:left="492"/>
                          <w:jc w:val="left"/>
                          <w:rPr>
                            <w:sz w:val="18"/>
                          </w:rPr>
                        </w:pPr>
                        <w:r>
                          <w:rPr>
                            <w:color w:val="FFFFFF"/>
                            <w:sz w:val="18"/>
                          </w:rPr>
                          <w:t>Occupancy (%)</w:t>
                        </w:r>
                      </w:p>
                    </w:tc>
                    <w:tc>
                      <w:tcPr>
                        <w:tcW w:w="1697" w:type="dxa"/>
                        <w:tcBorders>
                          <w:top w:val="single" w:sz="6" w:space="0" w:color="69BD28"/>
                          <w:bottom w:val="single" w:sz="6" w:space="0" w:color="69BD28"/>
                        </w:tcBorders>
                      </w:tcPr>
                      <w:p>
                        <w:pPr>
                          <w:pStyle w:val="TableParagraph"/>
                          <w:spacing w:before="123"/>
                          <w:ind w:left="453" w:right="470"/>
                          <w:rPr>
                            <w:sz w:val="18"/>
                          </w:rPr>
                        </w:pPr>
                        <w:r>
                          <w:rPr>
                            <w:w w:val="110"/>
                            <w:sz w:val="18"/>
                          </w:rPr>
                          <w:t>92.8%</w:t>
                        </w:r>
                      </w:p>
                    </w:tc>
                  </w:tr>
                  <w:tr>
                    <w:trPr>
                      <w:trHeight w:val="671" w:hRule="atLeast"/>
                    </w:trPr>
                    <w:tc>
                      <w:tcPr>
                        <w:tcW w:w="2175" w:type="dxa"/>
                        <w:shd w:val="clear" w:color="auto" w:fill="69BD28"/>
                      </w:tcPr>
                      <w:p>
                        <w:pPr>
                          <w:pStyle w:val="TableParagraph"/>
                          <w:spacing w:line="249" w:lineRule="auto" w:before="123"/>
                          <w:ind w:left="960" w:hanging="786"/>
                          <w:jc w:val="left"/>
                          <w:rPr>
                            <w:sz w:val="18"/>
                          </w:rPr>
                        </w:pPr>
                        <w:r>
                          <w:rPr>
                            <w:color w:val="FFFFFF"/>
                            <w:sz w:val="18"/>
                          </w:rPr>
                          <w:t>Committed Occupancy (%)</w:t>
                        </w:r>
                      </w:p>
                    </w:tc>
                    <w:tc>
                      <w:tcPr>
                        <w:tcW w:w="1697" w:type="dxa"/>
                        <w:tcBorders>
                          <w:top w:val="single" w:sz="6" w:space="0" w:color="69BD28"/>
                          <w:bottom w:val="single" w:sz="6" w:space="0" w:color="69BD28"/>
                        </w:tcBorders>
                      </w:tcPr>
                      <w:p>
                        <w:pPr>
                          <w:pStyle w:val="TableParagraph"/>
                          <w:spacing w:before="10"/>
                          <w:jc w:val="left"/>
                          <w:rPr>
                            <w:sz w:val="19"/>
                          </w:rPr>
                        </w:pPr>
                      </w:p>
                      <w:p>
                        <w:pPr>
                          <w:pStyle w:val="TableParagraph"/>
                          <w:spacing w:before="1"/>
                          <w:ind w:left="453" w:right="470"/>
                          <w:rPr>
                            <w:sz w:val="18"/>
                          </w:rPr>
                        </w:pPr>
                        <w:r>
                          <w:rPr>
                            <w:w w:val="110"/>
                            <w:sz w:val="18"/>
                          </w:rPr>
                          <w:t>93.5%</w:t>
                        </w:r>
                      </w:p>
                    </w:tc>
                  </w:tr>
                  <w:tr>
                    <w:trPr>
                      <w:trHeight w:val="335" w:hRule="atLeast"/>
                    </w:trPr>
                    <w:tc>
                      <w:tcPr>
                        <w:tcW w:w="2175" w:type="dxa"/>
                        <w:shd w:val="clear" w:color="auto" w:fill="69BD28"/>
                      </w:tcPr>
                      <w:p>
                        <w:pPr>
                          <w:pStyle w:val="TableParagraph"/>
                          <w:spacing w:line="192" w:lineRule="exact" w:before="123"/>
                          <w:ind w:right="228"/>
                          <w:jc w:val="right"/>
                          <w:rPr>
                            <w:sz w:val="18"/>
                          </w:rPr>
                        </w:pPr>
                        <w:r>
                          <w:rPr>
                            <w:color w:val="FFFFFF"/>
                            <w:sz w:val="18"/>
                          </w:rPr>
                          <w:t>Number of Hotel Keys</w:t>
                        </w:r>
                      </w:p>
                    </w:tc>
                    <w:tc>
                      <w:tcPr>
                        <w:tcW w:w="1697" w:type="dxa"/>
                        <w:tcBorders>
                          <w:top w:val="single" w:sz="6" w:space="0" w:color="69BD28"/>
                        </w:tcBorders>
                      </w:tcPr>
                      <w:p>
                        <w:pPr>
                          <w:pStyle w:val="TableParagraph"/>
                          <w:jc w:val="left"/>
                          <w:rPr>
                            <w:rFonts w:ascii="Times New Roman"/>
                            <w:sz w:val="22"/>
                          </w:rPr>
                        </w:pPr>
                      </w:p>
                    </w:tc>
                  </w:tr>
                  <w:tr>
                    <w:trPr>
                      <w:trHeight w:val="215" w:hRule="atLeast"/>
                    </w:trPr>
                    <w:tc>
                      <w:tcPr>
                        <w:tcW w:w="2175" w:type="dxa"/>
                        <w:shd w:val="clear" w:color="auto" w:fill="69BD28"/>
                      </w:tcPr>
                      <w:p>
                        <w:pPr>
                          <w:pStyle w:val="TableParagraph"/>
                          <w:spacing w:line="192" w:lineRule="exact" w:before="4"/>
                          <w:ind w:left="406"/>
                          <w:jc w:val="left"/>
                          <w:rPr>
                            <w:sz w:val="18"/>
                          </w:rPr>
                        </w:pPr>
                        <w:r>
                          <w:rPr>
                            <w:color w:val="FFFFFF"/>
                            <w:sz w:val="18"/>
                          </w:rPr>
                          <w:t>(including under-</w:t>
                        </w:r>
                      </w:p>
                    </w:tc>
                    <w:tc>
                      <w:tcPr>
                        <w:tcW w:w="1697" w:type="dxa"/>
                      </w:tcPr>
                      <w:p>
                        <w:pPr>
                          <w:pStyle w:val="TableParagraph"/>
                          <w:spacing w:line="192" w:lineRule="exact" w:before="4"/>
                          <w:ind w:left="454" w:right="469"/>
                          <w:rPr>
                            <w:sz w:val="18"/>
                          </w:rPr>
                        </w:pPr>
                        <w:r>
                          <w:rPr>
                            <w:w w:val="105"/>
                            <w:sz w:val="18"/>
                          </w:rPr>
                          <w:t>1,096</w:t>
                        </w:r>
                      </w:p>
                    </w:tc>
                  </w:tr>
                  <w:tr>
                    <w:trPr>
                      <w:trHeight w:val="338" w:hRule="atLeast"/>
                    </w:trPr>
                    <w:tc>
                      <w:tcPr>
                        <w:tcW w:w="2175" w:type="dxa"/>
                        <w:shd w:val="clear" w:color="auto" w:fill="69BD28"/>
                      </w:tcPr>
                      <w:p>
                        <w:pPr>
                          <w:pStyle w:val="TableParagraph"/>
                          <w:spacing w:before="4"/>
                          <w:ind w:left="583"/>
                          <w:jc w:val="left"/>
                          <w:rPr>
                            <w:sz w:val="18"/>
                          </w:rPr>
                        </w:pPr>
                        <w:r>
                          <w:rPr>
                            <w:color w:val="FFFFFF"/>
                            <w:sz w:val="18"/>
                          </w:rPr>
                          <w:t>construction)</w:t>
                        </w:r>
                      </w:p>
                    </w:tc>
                    <w:tc>
                      <w:tcPr>
                        <w:tcW w:w="1697" w:type="dxa"/>
                        <w:tcBorders>
                          <w:bottom w:val="single" w:sz="6" w:space="0" w:color="69BD28"/>
                        </w:tcBorders>
                      </w:tcPr>
                      <w:p>
                        <w:pPr>
                          <w:pStyle w:val="TableParagraph"/>
                          <w:jc w:val="left"/>
                          <w:rPr>
                            <w:rFonts w:ascii="Times New Roman"/>
                            <w:sz w:val="22"/>
                          </w:rPr>
                        </w:pPr>
                      </w:p>
                    </w:tc>
                  </w:tr>
                </w:tbl>
                <w:p>
                  <w:pPr>
                    <w:pStyle w:val="BodyText"/>
                  </w:pPr>
                </w:p>
              </w:txbxContent>
            </v:textbox>
            <w10:wrap type="none"/>
          </v:shape>
        </w:pict>
      </w:r>
      <w:r>
        <w:rPr/>
        <w:t>(Total Leasable Area </w:t>
      </w:r>
      <w:r>
        <w:rPr>
          <w:w w:val="110"/>
        </w:rPr>
        <w:t>– </w:t>
      </w:r>
      <w:r>
        <w:rPr/>
        <w:t>2.02 Mn sft)</w:t>
      </w:r>
    </w:p>
    <w:p>
      <w:pPr>
        <w:pStyle w:val="BodyText"/>
        <w:rPr>
          <w:sz w:val="26"/>
        </w:rPr>
      </w:pPr>
    </w:p>
    <w:p>
      <w:pPr>
        <w:pStyle w:val="BodyText"/>
        <w:spacing w:before="230"/>
        <w:ind w:left="2865" w:right="507"/>
        <w:jc w:val="center"/>
      </w:pPr>
      <w:r>
        <w:rPr>
          <w:color w:val="006A4D"/>
        </w:rPr>
        <w:t>Pune</w:t>
      </w:r>
    </w:p>
    <w:p>
      <w:pPr>
        <w:spacing w:after="0"/>
        <w:jc w:val="center"/>
        <w:sectPr>
          <w:type w:val="continuous"/>
          <w:pgSz w:w="11910" w:h="16840"/>
          <w:pgMar w:top="800" w:bottom="280" w:left="440" w:right="80"/>
        </w:sectPr>
      </w:pPr>
    </w:p>
    <w:p>
      <w:pPr>
        <w:pStyle w:val="BodyText"/>
        <w:spacing w:before="131"/>
        <w:jc w:val="right"/>
      </w:pPr>
      <w:r>
        <w:rPr/>
        <w:pict>
          <v:group style="position:absolute;margin-left:144.020004pt;margin-top:115.499992pt;width:449.3pt;height:647.25pt;mso-position-horizontal-relative:page;mso-position-vertical-relative:page;z-index:-34796032" coordorigin="2880,2310" coordsize="8986,12945">
            <v:rect style="position:absolute;left:2880;top:9066;width:1712;height:456" filled="true" fillcolor="#006a4d" stroked="false">
              <v:fill type="solid"/>
            </v:rect>
            <v:shape style="position:absolute;left:2880;top:9522;width:1712;height:3234" coordorigin="2880,9522" coordsize="1712,3234" path="m4592,12741l2880,12741,2880,12756,4592,12756,4592,12741xm4592,9522l2895,9522,2895,9537,4592,9537,4592,9522xe" filled="true" fillcolor="#69bd28" stroked="false">
              <v:path arrowok="t"/>
              <v:fill type="solid"/>
            </v:shape>
            <v:shape style="position:absolute;left:4052;top:2310;width:7814;height:12475" type="#_x0000_t75" stroked="false">
              <v:imagedata r:id="rId41" o:title=""/>
            </v:shape>
            <v:shape style="position:absolute;left:8241;top:12441;width:400;height:346" type="#_x0000_t75" stroked="false">
              <v:imagedata r:id="rId42" o:title=""/>
            </v:shape>
            <v:shape style="position:absolute;left:8241;top:12441;width:400;height:346" coordorigin="8242,12441" coordsize="400,346" path="m8242,12614l8257,12547,8300,12492,8364,12455,8442,12441,8520,12455,8583,12492,8626,12547,8642,12614,8626,12681,8583,12736,8520,12773,8442,12786,8364,12773,8300,12736,8257,12681,8242,12614xe" filled="false" stroked="true" strokeweight=".75pt" strokecolor="#edebe0">
              <v:path arrowok="t"/>
              <v:stroke dashstyle="solid"/>
            </v:shape>
            <v:shape style="position:absolute;left:7070;top:10044;width:389;height:311" type="#_x0000_t75" stroked="false">
              <v:imagedata r:id="rId43" o:title=""/>
            </v:shape>
            <v:shape style="position:absolute;left:7413;top:10304;width:994;height:2998" coordorigin="7413,10304" coordsize="994,2998" path="m8407,12808l8407,13302m7413,10304l8150,10583e" filled="false" stroked="true" strokeweight=".75pt" strokecolor="#69bd28">
              <v:path arrowok="t"/>
              <v:stroke dashstyle="solid"/>
            </v:shape>
            <v:shape style="position:absolute;left:7044;top:10581;width:1178;height:462" type="#_x0000_t75" stroked="false">
              <v:imagedata r:id="rId44" o:title=""/>
            </v:shape>
            <v:shape style="position:absolute;left:7936;top:10581;width:1391;height:462" type="#_x0000_t75" stroked="false">
              <v:imagedata r:id="rId45" o:title=""/>
            </v:shape>
            <v:shape style="position:absolute;left:7209;top:10831;width:1950;height:535" type="#_x0000_t75" stroked="false">
              <v:imagedata r:id="rId46" o:title=""/>
            </v:shape>
            <v:shape style="position:absolute;left:7056;top:11152;width:2258;height:535" type="#_x0000_t75" stroked="false">
              <v:imagedata r:id="rId47" o:title=""/>
            </v:shape>
            <v:shape style="position:absolute;left:6362;top:11479;width:3543;height:468" type="#_x0000_t75" stroked="false">
              <v:imagedata r:id="rId48" o:title=""/>
            </v:shape>
            <v:shape style="position:absolute;left:7574;top:13370;width:2205;height:460" type="#_x0000_t75" stroked="false">
              <v:imagedata r:id="rId49" o:title=""/>
            </v:shape>
            <v:shape style="position:absolute;left:7543;top:13617;width:2270;height:535" type="#_x0000_t75" stroked="false">
              <v:imagedata r:id="rId50" o:title=""/>
            </v:shape>
            <v:shape style="position:absolute;left:7550;top:13941;width:2255;height:535" type="#_x0000_t75" stroked="false">
              <v:imagedata r:id="rId51" o:title=""/>
            </v:shape>
            <v:shape style="position:absolute;left:7780;top:14263;width:1792;height:535" type="#_x0000_t75" stroked="false">
              <v:imagedata r:id="rId52" o:title=""/>
            </v:shape>
            <v:shape style="position:absolute;left:6638;top:14587;width:4077;height:535" type="#_x0000_t75" stroked="false">
              <v:imagedata r:id="rId53" o:title=""/>
            </v:shape>
            <v:shape style="position:absolute;left:7063;top:14908;width:3227;height:346" type="#_x0000_t75" stroked="false">
              <v:imagedata r:id="rId54" o:title=""/>
            </v:shape>
            <v:shape style="position:absolute;left:8740;top:8253;width:2036;height:658" type="#_x0000_t75" stroked="false">
              <v:imagedata r:id="rId55" o:title=""/>
            </v:shape>
            <v:shape style="position:absolute;left:6354;top:10147;width:388;height:310" type="#_x0000_t75" stroked="false">
              <v:imagedata r:id="rId56" o:title=""/>
            </v:shape>
            <v:shape style="position:absolute;left:5738;top:8016;width:1912;height:460" type="#_x0000_t75" stroked="false">
              <v:imagedata r:id="rId57" o:title=""/>
            </v:shape>
            <v:shape style="position:absolute;left:6249;top:8263;width:892;height:535" type="#_x0000_t75" stroked="false">
              <v:imagedata r:id="rId58" o:title=""/>
            </v:shape>
            <v:shape style="position:absolute;left:5820;top:8587;width:1749;height:535" type="#_x0000_t75" stroked="false">
              <v:imagedata r:id="rId59" o:title=""/>
            </v:shape>
            <v:shape style="position:absolute;left:4872;top:8911;width:3540;height:468" type="#_x0000_t75" stroked="false">
              <v:imagedata r:id="rId60" o:title=""/>
            </v:shape>
            <v:line style="position:absolute" from="6579,10139" to="6679,9353" stroked="true" strokeweight=".75pt" strokecolor="#69bd28">
              <v:stroke dashstyle="solid"/>
            </v:line>
            <v:shape style="position:absolute;left:8445;top:6481;width:388;height:310" type="#_x0000_t75" stroked="false">
              <v:imagedata r:id="rId61" o:title=""/>
            </v:shape>
            <v:shape style="position:absolute;left:8575;top:6993;width:2044;height:460" type="#_x0000_t75" stroked="false">
              <v:imagedata r:id="rId62" o:title=""/>
            </v:shape>
            <v:shape style="position:absolute;left:8539;top:7243;width:2114;height:535" type="#_x0000_t75" stroked="false">
              <v:imagedata r:id="rId63" o:title=""/>
            </v:shape>
            <v:shape style="position:absolute;left:7773;top:7567;width:3540;height:535" type="#_x0000_t75" stroked="false">
              <v:imagedata r:id="rId64" o:title=""/>
            </v:shape>
            <v:line style="position:absolute" from="9575,6993" to="8828,6691" stroked="true" strokeweight=".75pt" strokecolor="#69bd28">
              <v:stroke dashstyle="solid"/>
            </v:line>
            <w10:wrap type="none"/>
          </v:group>
        </w:pict>
      </w:r>
      <w:r>
        <w:rPr>
          <w:color w:val="006A4D"/>
        </w:rPr>
        <w:t>Mumbai</w:t>
      </w:r>
    </w:p>
    <w:p>
      <w:pPr>
        <w:pStyle w:val="BodyText"/>
        <w:rPr>
          <w:sz w:val="26"/>
        </w:rPr>
      </w:pPr>
      <w:r>
        <w:rPr/>
        <w:br w:type="column"/>
      </w:r>
      <w:r>
        <w:rPr>
          <w:sz w:val="26"/>
        </w:rPr>
      </w:r>
    </w:p>
    <w:p>
      <w:pPr>
        <w:pStyle w:val="BodyText"/>
        <w:spacing w:before="10"/>
        <w:rPr>
          <w:sz w:val="21"/>
        </w:rPr>
      </w:pPr>
    </w:p>
    <w:p>
      <w:pPr>
        <w:pStyle w:val="BodyText"/>
        <w:spacing w:line="302" w:lineRule="auto"/>
        <w:ind w:left="866" w:right="2753"/>
        <w:jc w:val="center"/>
      </w:pPr>
      <w:r>
        <w:rPr/>
        <w:t>Embassy TechZone Embassy Qubix Embassy Quadron</w:t>
      </w:r>
    </w:p>
    <w:p>
      <w:pPr>
        <w:pStyle w:val="BodyText"/>
        <w:spacing w:before="5"/>
        <w:ind w:left="67" w:right="1954"/>
        <w:jc w:val="center"/>
      </w:pPr>
      <w:r>
        <w:rPr/>
        <w:t>(Total Leasable Area </w:t>
      </w:r>
      <w:r>
        <w:rPr>
          <w:w w:val="110"/>
        </w:rPr>
        <w:t>– </w:t>
      </w:r>
      <w:r>
        <w:rPr/>
        <w:t>8.82 Mn sft)</w:t>
      </w:r>
    </w:p>
    <w:p>
      <w:pPr>
        <w:pStyle w:val="BodyText"/>
        <w:spacing w:before="7"/>
        <w:rPr>
          <w:sz w:val="29"/>
        </w:rPr>
      </w:pPr>
    </w:p>
    <w:p>
      <w:pPr>
        <w:pStyle w:val="BodyText"/>
        <w:ind w:left="1414"/>
      </w:pPr>
      <w:r>
        <w:rPr>
          <w:color w:val="006A4D"/>
        </w:rPr>
        <w:t>Bengaluru</w:t>
      </w:r>
    </w:p>
    <w:p>
      <w:pPr>
        <w:pStyle w:val="BodyText"/>
        <w:rPr>
          <w:sz w:val="26"/>
        </w:rPr>
      </w:pPr>
    </w:p>
    <w:p>
      <w:pPr>
        <w:pStyle w:val="BodyText"/>
        <w:rPr>
          <w:sz w:val="26"/>
        </w:rPr>
      </w:pPr>
    </w:p>
    <w:p>
      <w:pPr>
        <w:pStyle w:val="BodyText"/>
        <w:spacing w:before="9"/>
        <w:rPr>
          <w:sz w:val="30"/>
        </w:rPr>
      </w:pPr>
    </w:p>
    <w:p>
      <w:pPr>
        <w:pStyle w:val="BodyText"/>
        <w:spacing w:line="302" w:lineRule="auto" w:before="1"/>
        <w:ind w:left="1402" w:right="2305" w:hanging="2"/>
        <w:jc w:val="center"/>
      </w:pPr>
      <w:r>
        <w:rPr/>
        <w:t>Embassy Manyata Embassy</w:t>
      </w:r>
      <w:r>
        <w:rPr>
          <w:spacing w:val="-17"/>
        </w:rPr>
        <w:t> </w:t>
      </w:r>
      <w:r>
        <w:rPr/>
        <w:t>GolfLinks Hilton</w:t>
      </w:r>
      <w:r>
        <w:rPr>
          <w:spacing w:val="-34"/>
        </w:rPr>
        <w:t> </w:t>
      </w:r>
      <w:r>
        <w:rPr/>
        <w:t>at</w:t>
      </w:r>
      <w:r>
        <w:rPr>
          <w:spacing w:val="-33"/>
        </w:rPr>
        <w:t> </w:t>
      </w:r>
      <w:r>
        <w:rPr/>
        <w:t>GolfLinks Embassy</w:t>
      </w:r>
      <w:r>
        <w:rPr>
          <w:spacing w:val="7"/>
        </w:rPr>
        <w:t> </w:t>
      </w:r>
      <w:r>
        <w:rPr/>
        <w:t>One</w:t>
      </w:r>
    </w:p>
    <w:p>
      <w:pPr>
        <w:pStyle w:val="BodyText"/>
        <w:spacing w:line="302" w:lineRule="auto" w:before="4"/>
        <w:ind w:left="544" w:right="1386"/>
        <w:jc w:val="center"/>
      </w:pPr>
      <w:r>
        <w:rPr/>
        <w:t>(Total Leasable Area </w:t>
      </w:r>
      <w:r>
        <w:rPr>
          <w:w w:val="110"/>
        </w:rPr>
        <w:t>– </w:t>
      </w:r>
      <w:r>
        <w:rPr/>
        <w:t>17.81 Mn sft) Embassy Energy (Solar park)</w:t>
      </w:r>
    </w:p>
    <w:p>
      <w:pPr>
        <w:spacing w:after="0" w:line="302" w:lineRule="auto"/>
        <w:jc w:val="center"/>
        <w:sectPr>
          <w:type w:val="continuous"/>
          <w:pgSz w:w="11910" w:h="16840"/>
          <w:pgMar w:top="800" w:bottom="280" w:left="440" w:right="80"/>
          <w:cols w:num="2" w:equalWidth="0">
            <w:col w:w="5850" w:space="40"/>
            <w:col w:w="5500"/>
          </w:cols>
        </w:sectPr>
      </w:pPr>
    </w:p>
    <w:p>
      <w:pPr>
        <w:pStyle w:val="BodyText"/>
        <w:rPr>
          <w:sz w:val="20"/>
        </w:rPr>
      </w:pPr>
    </w:p>
    <w:p>
      <w:pPr>
        <w:pStyle w:val="BodyText"/>
        <w:spacing w:before="2"/>
        <w:rPr>
          <w:sz w:val="11"/>
        </w:rPr>
      </w:pPr>
    </w:p>
    <w:tbl>
      <w:tblPr>
        <w:tblW w:w="0" w:type="auto"/>
        <w:jc w:val="left"/>
        <w:tblInd w:w="2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98"/>
        <w:gridCol w:w="2283"/>
      </w:tblGrid>
      <w:tr>
        <w:trPr>
          <w:trHeight w:val="671" w:hRule="atLeast"/>
        </w:trPr>
        <w:tc>
          <w:tcPr>
            <w:tcW w:w="4698" w:type="dxa"/>
            <w:tcBorders>
              <w:top w:val="single" w:sz="6" w:space="0" w:color="69BD28"/>
            </w:tcBorders>
            <w:shd w:val="clear" w:color="auto" w:fill="006A4D"/>
          </w:tcPr>
          <w:p>
            <w:pPr>
              <w:pStyle w:val="TableParagraph"/>
              <w:spacing w:before="10"/>
              <w:jc w:val="left"/>
              <w:rPr>
                <w:sz w:val="19"/>
              </w:rPr>
            </w:pPr>
          </w:p>
          <w:p>
            <w:pPr>
              <w:pStyle w:val="TableParagraph"/>
              <w:spacing w:before="1"/>
              <w:ind w:left="924" w:right="935"/>
              <w:rPr>
                <w:b/>
                <w:sz w:val="18"/>
              </w:rPr>
            </w:pPr>
            <w:r>
              <w:rPr>
                <w:b/>
                <w:color w:val="FFFFFF"/>
                <w:w w:val="105"/>
                <w:sz w:val="18"/>
              </w:rPr>
              <w:t>Top 10 Tenants by Gross Rental</w:t>
            </w:r>
          </w:p>
        </w:tc>
        <w:tc>
          <w:tcPr>
            <w:tcW w:w="2283" w:type="dxa"/>
            <w:tcBorders>
              <w:top w:val="single" w:sz="6" w:space="0" w:color="69BD28"/>
              <w:bottom w:val="single" w:sz="6" w:space="0" w:color="69BD28"/>
            </w:tcBorders>
            <w:shd w:val="clear" w:color="auto" w:fill="006A4D"/>
          </w:tcPr>
          <w:p>
            <w:pPr>
              <w:pStyle w:val="TableParagraph"/>
              <w:spacing w:line="247" w:lineRule="auto" w:before="123"/>
              <w:ind w:left="986" w:right="139" w:hanging="843"/>
              <w:jc w:val="left"/>
              <w:rPr>
                <w:b/>
                <w:sz w:val="18"/>
              </w:rPr>
            </w:pPr>
            <w:r>
              <w:rPr>
                <w:b/>
                <w:color w:val="FFFFFF"/>
                <w:w w:val="110"/>
                <w:sz w:val="18"/>
              </w:rPr>
              <w:t>Share of Gross Rental (%)</w:t>
            </w:r>
          </w:p>
        </w:tc>
      </w:tr>
      <w:tr>
        <w:trPr>
          <w:trHeight w:val="455" w:hRule="atLeast"/>
        </w:trPr>
        <w:tc>
          <w:tcPr>
            <w:tcW w:w="4698" w:type="dxa"/>
            <w:shd w:val="clear" w:color="auto" w:fill="69BD28"/>
          </w:tcPr>
          <w:p>
            <w:pPr>
              <w:pStyle w:val="TableParagraph"/>
              <w:spacing w:before="123"/>
              <w:ind w:left="923" w:right="935"/>
              <w:rPr>
                <w:sz w:val="18"/>
              </w:rPr>
            </w:pPr>
            <w:r>
              <w:rPr>
                <w:color w:val="FFFFFF"/>
                <w:w w:val="105"/>
                <w:sz w:val="18"/>
              </w:rPr>
              <w:t>IBM</w:t>
            </w:r>
          </w:p>
        </w:tc>
        <w:tc>
          <w:tcPr>
            <w:tcW w:w="2283" w:type="dxa"/>
            <w:tcBorders>
              <w:top w:val="single" w:sz="6" w:space="0" w:color="69BD28"/>
              <w:bottom w:val="single" w:sz="6" w:space="0" w:color="69BD28"/>
            </w:tcBorders>
          </w:tcPr>
          <w:p>
            <w:pPr>
              <w:pStyle w:val="TableParagraph"/>
              <w:spacing w:before="123"/>
              <w:ind w:left="881"/>
              <w:jc w:val="left"/>
              <w:rPr>
                <w:sz w:val="18"/>
              </w:rPr>
            </w:pPr>
            <w:r>
              <w:rPr>
                <w:w w:val="110"/>
                <w:sz w:val="18"/>
              </w:rPr>
              <w:t>12.0%</w:t>
            </w:r>
          </w:p>
        </w:tc>
      </w:tr>
      <w:tr>
        <w:trPr>
          <w:trHeight w:val="455" w:hRule="atLeast"/>
        </w:trPr>
        <w:tc>
          <w:tcPr>
            <w:tcW w:w="4698" w:type="dxa"/>
            <w:shd w:val="clear" w:color="auto" w:fill="69BD28"/>
          </w:tcPr>
          <w:p>
            <w:pPr>
              <w:pStyle w:val="TableParagraph"/>
              <w:spacing w:before="123"/>
              <w:ind w:left="921" w:right="935"/>
              <w:rPr>
                <w:sz w:val="18"/>
              </w:rPr>
            </w:pPr>
            <w:r>
              <w:rPr>
                <w:color w:val="FFFFFF"/>
                <w:sz w:val="18"/>
              </w:rPr>
              <w:t>Cognizant</w:t>
            </w:r>
          </w:p>
        </w:tc>
        <w:tc>
          <w:tcPr>
            <w:tcW w:w="2283" w:type="dxa"/>
            <w:tcBorders>
              <w:top w:val="single" w:sz="6" w:space="0" w:color="69BD28"/>
              <w:bottom w:val="single" w:sz="6" w:space="0" w:color="69BD28"/>
            </w:tcBorders>
          </w:tcPr>
          <w:p>
            <w:pPr>
              <w:pStyle w:val="TableParagraph"/>
              <w:spacing w:before="123"/>
              <w:ind w:left="933"/>
              <w:jc w:val="left"/>
              <w:rPr>
                <w:sz w:val="18"/>
              </w:rPr>
            </w:pPr>
            <w:r>
              <w:rPr>
                <w:w w:val="110"/>
                <w:sz w:val="18"/>
              </w:rPr>
              <w:t>8.9%</w:t>
            </w:r>
          </w:p>
        </w:tc>
      </w:tr>
      <w:tr>
        <w:trPr>
          <w:trHeight w:val="457" w:hRule="atLeast"/>
        </w:trPr>
        <w:tc>
          <w:tcPr>
            <w:tcW w:w="4698" w:type="dxa"/>
            <w:shd w:val="clear" w:color="auto" w:fill="69BD28"/>
          </w:tcPr>
          <w:p>
            <w:pPr>
              <w:pStyle w:val="TableParagraph"/>
              <w:spacing w:before="126"/>
              <w:ind w:left="919" w:right="935"/>
              <w:rPr>
                <w:sz w:val="18"/>
              </w:rPr>
            </w:pPr>
            <w:r>
              <w:rPr>
                <w:color w:val="FFFFFF"/>
                <w:sz w:val="18"/>
              </w:rPr>
              <w:t>NTT Data</w:t>
            </w:r>
          </w:p>
        </w:tc>
        <w:tc>
          <w:tcPr>
            <w:tcW w:w="2283" w:type="dxa"/>
            <w:tcBorders>
              <w:top w:val="single" w:sz="6" w:space="0" w:color="69BD28"/>
              <w:bottom w:val="single" w:sz="6" w:space="0" w:color="69BD28"/>
            </w:tcBorders>
          </w:tcPr>
          <w:p>
            <w:pPr>
              <w:pStyle w:val="TableParagraph"/>
              <w:spacing w:before="126"/>
              <w:ind w:left="933"/>
              <w:jc w:val="left"/>
              <w:rPr>
                <w:sz w:val="18"/>
              </w:rPr>
            </w:pPr>
            <w:r>
              <w:rPr>
                <w:w w:val="110"/>
                <w:sz w:val="18"/>
              </w:rPr>
              <w:t>4.3%</w:t>
            </w:r>
          </w:p>
        </w:tc>
      </w:tr>
      <w:tr>
        <w:trPr>
          <w:trHeight w:val="455" w:hRule="atLeast"/>
        </w:trPr>
        <w:tc>
          <w:tcPr>
            <w:tcW w:w="4698" w:type="dxa"/>
            <w:shd w:val="clear" w:color="auto" w:fill="69BD28"/>
          </w:tcPr>
          <w:p>
            <w:pPr>
              <w:pStyle w:val="TableParagraph"/>
              <w:spacing w:before="123"/>
              <w:ind w:left="921" w:right="935"/>
              <w:rPr>
                <w:sz w:val="18"/>
              </w:rPr>
            </w:pPr>
            <w:r>
              <w:rPr>
                <w:color w:val="FFFFFF"/>
                <w:w w:val="105"/>
                <w:sz w:val="18"/>
              </w:rPr>
              <w:t>ANSR</w:t>
            </w:r>
          </w:p>
        </w:tc>
        <w:tc>
          <w:tcPr>
            <w:tcW w:w="2283" w:type="dxa"/>
            <w:tcBorders>
              <w:top w:val="single" w:sz="6" w:space="0" w:color="69BD28"/>
              <w:bottom w:val="single" w:sz="6" w:space="0" w:color="69BD28"/>
            </w:tcBorders>
          </w:tcPr>
          <w:p>
            <w:pPr>
              <w:pStyle w:val="TableParagraph"/>
              <w:spacing w:before="123"/>
              <w:ind w:left="933"/>
              <w:jc w:val="left"/>
              <w:rPr>
                <w:sz w:val="18"/>
              </w:rPr>
            </w:pPr>
            <w:r>
              <w:rPr>
                <w:w w:val="110"/>
                <w:sz w:val="18"/>
              </w:rPr>
              <w:t>3.4%</w:t>
            </w:r>
          </w:p>
        </w:tc>
      </w:tr>
      <w:tr>
        <w:trPr>
          <w:trHeight w:val="455" w:hRule="atLeast"/>
        </w:trPr>
        <w:tc>
          <w:tcPr>
            <w:tcW w:w="4698" w:type="dxa"/>
            <w:shd w:val="clear" w:color="auto" w:fill="69BD28"/>
          </w:tcPr>
          <w:p>
            <w:pPr>
              <w:pStyle w:val="TableParagraph"/>
              <w:spacing w:before="123"/>
              <w:ind w:left="921" w:right="935"/>
              <w:rPr>
                <w:sz w:val="18"/>
              </w:rPr>
            </w:pPr>
            <w:r>
              <w:rPr>
                <w:color w:val="FFFFFF"/>
                <w:sz w:val="18"/>
              </w:rPr>
              <w:t>Cerner</w:t>
            </w:r>
          </w:p>
        </w:tc>
        <w:tc>
          <w:tcPr>
            <w:tcW w:w="2283" w:type="dxa"/>
            <w:tcBorders>
              <w:top w:val="single" w:sz="6" w:space="0" w:color="69BD28"/>
              <w:bottom w:val="single" w:sz="6" w:space="0" w:color="69BD28"/>
            </w:tcBorders>
          </w:tcPr>
          <w:p>
            <w:pPr>
              <w:pStyle w:val="TableParagraph"/>
              <w:spacing w:before="123"/>
              <w:ind w:left="933"/>
              <w:jc w:val="left"/>
              <w:rPr>
                <w:sz w:val="18"/>
              </w:rPr>
            </w:pPr>
            <w:r>
              <w:rPr>
                <w:w w:val="110"/>
                <w:sz w:val="18"/>
              </w:rPr>
              <w:t>2.5%</w:t>
            </w:r>
          </w:p>
        </w:tc>
      </w:tr>
      <w:tr>
        <w:trPr>
          <w:trHeight w:val="456" w:hRule="atLeast"/>
        </w:trPr>
        <w:tc>
          <w:tcPr>
            <w:tcW w:w="4698" w:type="dxa"/>
            <w:shd w:val="clear" w:color="auto" w:fill="69BD28"/>
          </w:tcPr>
          <w:p>
            <w:pPr>
              <w:pStyle w:val="TableParagraph"/>
              <w:spacing w:before="124"/>
              <w:ind w:left="922" w:right="935"/>
              <w:rPr>
                <w:sz w:val="18"/>
              </w:rPr>
            </w:pPr>
            <w:r>
              <w:rPr>
                <w:color w:val="FFFFFF"/>
                <w:sz w:val="18"/>
              </w:rPr>
              <w:t>PwC</w:t>
            </w:r>
          </w:p>
        </w:tc>
        <w:tc>
          <w:tcPr>
            <w:tcW w:w="2283" w:type="dxa"/>
            <w:tcBorders>
              <w:top w:val="single" w:sz="6" w:space="0" w:color="69BD28"/>
              <w:bottom w:val="single" w:sz="6" w:space="0" w:color="69BD28"/>
            </w:tcBorders>
          </w:tcPr>
          <w:p>
            <w:pPr>
              <w:pStyle w:val="TableParagraph"/>
              <w:spacing w:before="124"/>
              <w:ind w:left="933"/>
              <w:jc w:val="left"/>
              <w:rPr>
                <w:sz w:val="18"/>
              </w:rPr>
            </w:pPr>
            <w:r>
              <w:rPr>
                <w:w w:val="110"/>
                <w:sz w:val="18"/>
              </w:rPr>
              <w:t>2.4%</w:t>
            </w:r>
          </w:p>
        </w:tc>
      </w:tr>
      <w:tr>
        <w:trPr>
          <w:trHeight w:val="455" w:hRule="atLeast"/>
        </w:trPr>
        <w:tc>
          <w:tcPr>
            <w:tcW w:w="4698" w:type="dxa"/>
            <w:shd w:val="clear" w:color="auto" w:fill="69BD28"/>
          </w:tcPr>
          <w:p>
            <w:pPr>
              <w:pStyle w:val="TableParagraph"/>
              <w:spacing w:before="123"/>
              <w:ind w:left="920" w:right="935"/>
              <w:rPr>
                <w:sz w:val="18"/>
              </w:rPr>
            </w:pPr>
            <w:r>
              <w:rPr>
                <w:color w:val="FFFFFF"/>
                <w:sz w:val="18"/>
              </w:rPr>
              <w:t>Google India</w:t>
            </w:r>
          </w:p>
        </w:tc>
        <w:tc>
          <w:tcPr>
            <w:tcW w:w="2283" w:type="dxa"/>
            <w:tcBorders>
              <w:top w:val="single" w:sz="6" w:space="0" w:color="69BD28"/>
              <w:bottom w:val="single" w:sz="6" w:space="0" w:color="69BD28"/>
            </w:tcBorders>
          </w:tcPr>
          <w:p>
            <w:pPr>
              <w:pStyle w:val="TableParagraph"/>
              <w:spacing w:before="123"/>
              <w:ind w:left="933"/>
              <w:jc w:val="left"/>
              <w:rPr>
                <w:sz w:val="18"/>
              </w:rPr>
            </w:pPr>
            <w:r>
              <w:rPr>
                <w:w w:val="110"/>
                <w:sz w:val="18"/>
              </w:rPr>
              <w:t>2.4%</w:t>
            </w:r>
          </w:p>
        </w:tc>
      </w:tr>
      <w:tr>
        <w:trPr>
          <w:trHeight w:val="455" w:hRule="atLeast"/>
        </w:trPr>
        <w:tc>
          <w:tcPr>
            <w:tcW w:w="4698" w:type="dxa"/>
            <w:shd w:val="clear" w:color="auto" w:fill="69BD28"/>
          </w:tcPr>
          <w:p>
            <w:pPr>
              <w:pStyle w:val="TableParagraph"/>
              <w:spacing w:before="123"/>
              <w:ind w:left="920" w:right="935"/>
              <w:rPr>
                <w:sz w:val="18"/>
              </w:rPr>
            </w:pPr>
            <w:r>
              <w:rPr>
                <w:color w:val="FFFFFF"/>
                <w:w w:val="110"/>
                <w:sz w:val="18"/>
              </w:rPr>
              <w:t>NOKIA</w:t>
            </w:r>
          </w:p>
        </w:tc>
        <w:tc>
          <w:tcPr>
            <w:tcW w:w="2283" w:type="dxa"/>
            <w:tcBorders>
              <w:top w:val="single" w:sz="6" w:space="0" w:color="69BD28"/>
              <w:bottom w:val="single" w:sz="6" w:space="0" w:color="69BD28"/>
            </w:tcBorders>
          </w:tcPr>
          <w:p>
            <w:pPr>
              <w:pStyle w:val="TableParagraph"/>
              <w:spacing w:before="123"/>
              <w:ind w:left="933"/>
              <w:jc w:val="left"/>
              <w:rPr>
                <w:sz w:val="18"/>
              </w:rPr>
            </w:pPr>
            <w:r>
              <w:rPr>
                <w:w w:val="110"/>
                <w:sz w:val="18"/>
              </w:rPr>
              <w:t>2.2%</w:t>
            </w:r>
          </w:p>
        </w:tc>
      </w:tr>
      <w:tr>
        <w:trPr>
          <w:trHeight w:val="455" w:hRule="atLeast"/>
        </w:trPr>
        <w:tc>
          <w:tcPr>
            <w:tcW w:w="4698" w:type="dxa"/>
            <w:shd w:val="clear" w:color="auto" w:fill="69BD28"/>
          </w:tcPr>
          <w:p>
            <w:pPr>
              <w:pStyle w:val="TableParagraph"/>
              <w:spacing w:before="126"/>
              <w:ind w:left="922" w:right="935"/>
              <w:rPr>
                <w:sz w:val="18"/>
              </w:rPr>
            </w:pPr>
            <w:r>
              <w:rPr>
                <w:color w:val="FFFFFF"/>
                <w:sz w:val="18"/>
              </w:rPr>
              <w:t>JP Morgan</w:t>
            </w:r>
          </w:p>
        </w:tc>
        <w:tc>
          <w:tcPr>
            <w:tcW w:w="2283" w:type="dxa"/>
            <w:tcBorders>
              <w:top w:val="single" w:sz="6" w:space="0" w:color="69BD28"/>
              <w:bottom w:val="single" w:sz="6" w:space="0" w:color="69BD28"/>
            </w:tcBorders>
          </w:tcPr>
          <w:p>
            <w:pPr>
              <w:pStyle w:val="TableParagraph"/>
              <w:spacing w:before="126"/>
              <w:ind w:left="933"/>
              <w:jc w:val="left"/>
              <w:rPr>
                <w:sz w:val="18"/>
              </w:rPr>
            </w:pPr>
            <w:r>
              <w:rPr>
                <w:w w:val="110"/>
                <w:sz w:val="18"/>
              </w:rPr>
              <w:t>2.0%</w:t>
            </w:r>
          </w:p>
        </w:tc>
      </w:tr>
      <w:tr>
        <w:trPr>
          <w:trHeight w:val="457" w:hRule="atLeast"/>
        </w:trPr>
        <w:tc>
          <w:tcPr>
            <w:tcW w:w="4698" w:type="dxa"/>
            <w:shd w:val="clear" w:color="auto" w:fill="69BD28"/>
          </w:tcPr>
          <w:p>
            <w:pPr>
              <w:pStyle w:val="TableParagraph"/>
              <w:spacing w:before="126"/>
              <w:ind w:left="921" w:right="935"/>
              <w:rPr>
                <w:sz w:val="18"/>
              </w:rPr>
            </w:pPr>
            <w:r>
              <w:rPr>
                <w:color w:val="FFFFFF"/>
                <w:sz w:val="18"/>
              </w:rPr>
              <w:t>L&amp;T Infotech</w:t>
            </w:r>
          </w:p>
        </w:tc>
        <w:tc>
          <w:tcPr>
            <w:tcW w:w="2283" w:type="dxa"/>
            <w:tcBorders>
              <w:top w:val="single" w:sz="6" w:space="0" w:color="69BD28"/>
              <w:bottom w:val="single" w:sz="6" w:space="0" w:color="69BD28"/>
            </w:tcBorders>
          </w:tcPr>
          <w:p>
            <w:pPr>
              <w:pStyle w:val="TableParagraph"/>
              <w:spacing w:before="126"/>
              <w:ind w:left="933"/>
              <w:jc w:val="left"/>
              <w:rPr>
                <w:sz w:val="18"/>
              </w:rPr>
            </w:pPr>
            <w:r>
              <w:rPr>
                <w:w w:val="110"/>
                <w:sz w:val="18"/>
              </w:rPr>
              <w:t>1.9%</w:t>
            </w:r>
          </w:p>
        </w:tc>
      </w:tr>
      <w:tr>
        <w:trPr>
          <w:trHeight w:val="455" w:hRule="atLeast"/>
        </w:trPr>
        <w:tc>
          <w:tcPr>
            <w:tcW w:w="4698" w:type="dxa"/>
            <w:tcBorders>
              <w:bottom w:val="single" w:sz="6" w:space="0" w:color="69BD28"/>
            </w:tcBorders>
            <w:shd w:val="clear" w:color="auto" w:fill="006A4D"/>
          </w:tcPr>
          <w:p>
            <w:pPr>
              <w:pStyle w:val="TableParagraph"/>
              <w:spacing w:before="123"/>
              <w:ind w:left="923" w:right="935"/>
              <w:rPr>
                <w:b/>
                <w:sz w:val="18"/>
              </w:rPr>
            </w:pPr>
            <w:r>
              <w:rPr>
                <w:b/>
                <w:color w:val="FFFFFF"/>
                <w:w w:val="105"/>
                <w:sz w:val="18"/>
              </w:rPr>
              <w:t>Top 10 tenants share</w:t>
            </w:r>
          </w:p>
        </w:tc>
        <w:tc>
          <w:tcPr>
            <w:tcW w:w="2283" w:type="dxa"/>
            <w:tcBorders>
              <w:top w:val="single" w:sz="6" w:space="0" w:color="69BD28"/>
              <w:bottom w:val="single" w:sz="6" w:space="0" w:color="69BD28"/>
            </w:tcBorders>
            <w:shd w:val="clear" w:color="auto" w:fill="006A4D"/>
          </w:tcPr>
          <w:p>
            <w:pPr>
              <w:pStyle w:val="TableParagraph"/>
              <w:spacing w:before="123"/>
              <w:ind w:left="881"/>
              <w:jc w:val="left"/>
              <w:rPr>
                <w:sz w:val="18"/>
              </w:rPr>
            </w:pPr>
            <w:r>
              <w:rPr>
                <w:color w:val="FFFFFF"/>
                <w:w w:val="110"/>
                <w:sz w:val="18"/>
              </w:rPr>
              <w:t>42.0%</w:t>
            </w:r>
          </w:p>
        </w:tc>
      </w:tr>
    </w:tbl>
    <w:p>
      <w:pPr>
        <w:spacing w:before="4"/>
        <w:ind w:left="1994" w:right="0" w:firstLine="0"/>
        <w:jc w:val="left"/>
        <w:rPr>
          <w:i/>
          <w:sz w:val="20"/>
        </w:rPr>
      </w:pPr>
      <w:r>
        <w:rPr>
          <w:i/>
          <w:sz w:val="20"/>
        </w:rPr>
        <w:t>Source: Rent rolls provided by the Client</w:t>
      </w:r>
    </w:p>
    <w:p>
      <w:pPr>
        <w:pStyle w:val="BodyText"/>
        <w:rPr>
          <w:i/>
          <w:sz w:val="24"/>
        </w:rPr>
      </w:pPr>
    </w:p>
    <w:p>
      <w:pPr>
        <w:pStyle w:val="BodyText"/>
        <w:spacing w:before="193"/>
        <w:ind w:left="820"/>
      </w:pPr>
      <w:r>
        <w:rPr>
          <w:u w:val="single"/>
        </w:rPr>
        <w:t>Consultants’ opinion on asset portfolio characteristics:</w:t>
      </w:r>
    </w:p>
    <w:p>
      <w:pPr>
        <w:pStyle w:val="ListParagraph"/>
        <w:numPr>
          <w:ilvl w:val="0"/>
          <w:numId w:val="23"/>
        </w:numPr>
        <w:tabs>
          <w:tab w:pos="1541" w:val="left" w:leader="none"/>
        </w:tabs>
        <w:spacing w:line="321" w:lineRule="auto" w:before="208" w:after="0"/>
        <w:ind w:left="1540" w:right="632" w:hanging="360"/>
        <w:jc w:val="both"/>
        <w:rPr>
          <w:sz w:val="22"/>
        </w:rPr>
      </w:pPr>
      <w:r>
        <w:rPr>
          <w:sz w:val="22"/>
        </w:rPr>
        <w:t>In</w:t>
      </w:r>
      <w:r>
        <w:rPr>
          <w:spacing w:val="-38"/>
          <w:sz w:val="22"/>
        </w:rPr>
        <w:t> </w:t>
      </w:r>
      <w:r>
        <w:rPr>
          <w:sz w:val="22"/>
        </w:rPr>
        <w:t>our</w:t>
      </w:r>
      <w:r>
        <w:rPr>
          <w:spacing w:val="-37"/>
          <w:sz w:val="22"/>
        </w:rPr>
        <w:t> </w:t>
      </w:r>
      <w:r>
        <w:rPr>
          <w:sz w:val="22"/>
        </w:rPr>
        <w:t>opinion,</w:t>
      </w:r>
      <w:r>
        <w:rPr>
          <w:spacing w:val="-38"/>
          <w:sz w:val="22"/>
        </w:rPr>
        <w:t> </w:t>
      </w:r>
      <w:r>
        <w:rPr>
          <w:sz w:val="22"/>
        </w:rPr>
        <w:t>considering</w:t>
      </w:r>
      <w:r>
        <w:rPr>
          <w:spacing w:val="-37"/>
          <w:sz w:val="22"/>
        </w:rPr>
        <w:t> </w:t>
      </w:r>
      <w:r>
        <w:rPr>
          <w:sz w:val="22"/>
        </w:rPr>
        <w:t>the</w:t>
      </w:r>
      <w:r>
        <w:rPr>
          <w:spacing w:val="-39"/>
          <w:sz w:val="22"/>
        </w:rPr>
        <w:t> </w:t>
      </w:r>
      <w:r>
        <w:rPr>
          <w:sz w:val="22"/>
        </w:rPr>
        <w:t>portfolio’s</w:t>
      </w:r>
      <w:r>
        <w:rPr>
          <w:spacing w:val="-37"/>
          <w:sz w:val="22"/>
        </w:rPr>
        <w:t> </w:t>
      </w:r>
      <w:r>
        <w:rPr>
          <w:sz w:val="22"/>
        </w:rPr>
        <w:t>scale</w:t>
      </w:r>
      <w:r>
        <w:rPr>
          <w:spacing w:val="-38"/>
          <w:sz w:val="22"/>
        </w:rPr>
        <w:t> </w:t>
      </w:r>
      <w:r>
        <w:rPr>
          <w:sz w:val="22"/>
        </w:rPr>
        <w:t>(upwards</w:t>
      </w:r>
      <w:r>
        <w:rPr>
          <w:spacing w:val="-37"/>
          <w:sz w:val="22"/>
        </w:rPr>
        <w:t> </w:t>
      </w:r>
      <w:r>
        <w:rPr>
          <w:sz w:val="22"/>
        </w:rPr>
        <w:t>of</w:t>
      </w:r>
      <w:r>
        <w:rPr>
          <w:spacing w:val="-37"/>
          <w:sz w:val="22"/>
        </w:rPr>
        <w:t> </w:t>
      </w:r>
      <w:r>
        <w:rPr>
          <w:sz w:val="22"/>
        </w:rPr>
        <w:t>25</w:t>
      </w:r>
      <w:r>
        <w:rPr>
          <w:spacing w:val="-39"/>
          <w:sz w:val="22"/>
        </w:rPr>
        <w:t> </w:t>
      </w:r>
      <w:r>
        <w:rPr>
          <w:sz w:val="22"/>
        </w:rPr>
        <w:t>msf),</w:t>
      </w:r>
      <w:r>
        <w:rPr>
          <w:spacing w:val="-37"/>
          <w:sz w:val="22"/>
        </w:rPr>
        <w:t> </w:t>
      </w:r>
      <w:r>
        <w:rPr>
          <w:sz w:val="22"/>
        </w:rPr>
        <w:t>geographical</w:t>
      </w:r>
      <w:r>
        <w:rPr>
          <w:spacing w:val="-37"/>
          <w:sz w:val="22"/>
        </w:rPr>
        <w:t> </w:t>
      </w:r>
      <w:r>
        <w:rPr>
          <w:sz w:val="22"/>
        </w:rPr>
        <w:t>diversity</w:t>
      </w:r>
      <w:r>
        <w:rPr>
          <w:spacing w:val="-38"/>
          <w:sz w:val="22"/>
        </w:rPr>
        <w:t> </w:t>
      </w:r>
      <w:r>
        <w:rPr>
          <w:sz w:val="22"/>
        </w:rPr>
        <w:t>(more than</w:t>
      </w:r>
      <w:r>
        <w:rPr>
          <w:spacing w:val="-7"/>
          <w:sz w:val="22"/>
        </w:rPr>
        <w:t> </w:t>
      </w:r>
      <w:r>
        <w:rPr>
          <w:sz w:val="22"/>
        </w:rPr>
        <w:t>3</w:t>
      </w:r>
      <w:r>
        <w:rPr>
          <w:spacing w:val="-7"/>
          <w:sz w:val="22"/>
        </w:rPr>
        <w:t> </w:t>
      </w:r>
      <w:r>
        <w:rPr>
          <w:sz w:val="22"/>
        </w:rPr>
        <w:t>cities)</w:t>
      </w:r>
      <w:r>
        <w:rPr>
          <w:spacing w:val="-5"/>
          <w:sz w:val="22"/>
        </w:rPr>
        <w:t> </w:t>
      </w:r>
      <w:r>
        <w:rPr>
          <w:sz w:val="22"/>
        </w:rPr>
        <w:t>and</w:t>
      </w:r>
      <w:r>
        <w:rPr>
          <w:spacing w:val="-5"/>
          <w:sz w:val="22"/>
        </w:rPr>
        <w:t> </w:t>
      </w:r>
      <w:r>
        <w:rPr>
          <w:sz w:val="22"/>
        </w:rPr>
        <w:t>best-in-class</w:t>
      </w:r>
      <w:r>
        <w:rPr>
          <w:spacing w:val="-6"/>
          <w:sz w:val="22"/>
        </w:rPr>
        <w:t> </w:t>
      </w:r>
      <w:r>
        <w:rPr>
          <w:sz w:val="22"/>
        </w:rPr>
        <w:t>asset</w:t>
      </w:r>
      <w:r>
        <w:rPr>
          <w:spacing w:val="-5"/>
          <w:sz w:val="22"/>
        </w:rPr>
        <w:t> </w:t>
      </w:r>
      <w:r>
        <w:rPr>
          <w:sz w:val="22"/>
        </w:rPr>
        <w:t>quality,</w:t>
      </w:r>
      <w:r>
        <w:rPr>
          <w:spacing w:val="-6"/>
          <w:sz w:val="22"/>
        </w:rPr>
        <w:t> </w:t>
      </w:r>
      <w:r>
        <w:rPr>
          <w:sz w:val="22"/>
        </w:rPr>
        <w:t>Embassy</w:t>
      </w:r>
      <w:r>
        <w:rPr>
          <w:spacing w:val="-5"/>
          <w:sz w:val="22"/>
        </w:rPr>
        <w:t> </w:t>
      </w:r>
      <w:r>
        <w:rPr>
          <w:sz w:val="22"/>
        </w:rPr>
        <w:t>REIT</w:t>
      </w:r>
      <w:r>
        <w:rPr>
          <w:spacing w:val="-6"/>
          <w:sz w:val="22"/>
        </w:rPr>
        <w:t> </w:t>
      </w:r>
      <w:r>
        <w:rPr>
          <w:sz w:val="22"/>
        </w:rPr>
        <w:t>would</w:t>
      </w:r>
      <w:r>
        <w:rPr>
          <w:spacing w:val="-5"/>
          <w:sz w:val="22"/>
        </w:rPr>
        <w:t> </w:t>
      </w:r>
      <w:r>
        <w:rPr>
          <w:sz w:val="22"/>
        </w:rPr>
        <w:t>be</w:t>
      </w:r>
      <w:r>
        <w:rPr>
          <w:spacing w:val="-7"/>
          <w:sz w:val="22"/>
        </w:rPr>
        <w:t> </w:t>
      </w:r>
      <w:r>
        <w:rPr>
          <w:sz w:val="22"/>
        </w:rPr>
        <w:t>amongst</w:t>
      </w:r>
      <w:r>
        <w:rPr>
          <w:spacing w:val="-7"/>
          <w:sz w:val="22"/>
        </w:rPr>
        <w:t> </w:t>
      </w:r>
      <w:r>
        <w:rPr>
          <w:sz w:val="22"/>
        </w:rPr>
        <w:t>the</w:t>
      </w:r>
      <w:r>
        <w:rPr>
          <w:spacing w:val="-7"/>
          <w:sz w:val="22"/>
        </w:rPr>
        <w:t> </w:t>
      </w:r>
      <w:r>
        <w:rPr>
          <w:sz w:val="22"/>
        </w:rPr>
        <w:t>top</w:t>
      </w:r>
      <w:r>
        <w:rPr>
          <w:spacing w:val="-5"/>
          <w:sz w:val="22"/>
        </w:rPr>
        <w:t> </w:t>
      </w:r>
      <w:r>
        <w:rPr>
          <w:sz w:val="22"/>
        </w:rPr>
        <w:t>3</w:t>
      </w:r>
      <w:r>
        <w:rPr>
          <w:spacing w:val="-7"/>
          <w:sz w:val="22"/>
        </w:rPr>
        <w:t> </w:t>
      </w:r>
      <w:r>
        <w:rPr>
          <w:sz w:val="22"/>
        </w:rPr>
        <w:t>office developers</w:t>
      </w:r>
      <w:r>
        <w:rPr>
          <w:spacing w:val="-5"/>
          <w:sz w:val="22"/>
        </w:rPr>
        <w:t> </w:t>
      </w:r>
      <w:r>
        <w:rPr>
          <w:sz w:val="22"/>
        </w:rPr>
        <w:t>in</w:t>
      </w:r>
      <w:r>
        <w:rPr>
          <w:spacing w:val="-6"/>
          <w:sz w:val="22"/>
        </w:rPr>
        <w:t> </w:t>
      </w:r>
      <w:r>
        <w:rPr>
          <w:sz w:val="22"/>
        </w:rPr>
        <w:t>India</w:t>
      </w:r>
      <w:r>
        <w:rPr>
          <w:spacing w:val="-5"/>
          <w:sz w:val="22"/>
        </w:rPr>
        <w:t> </w:t>
      </w:r>
      <w:r>
        <w:rPr>
          <w:sz w:val="22"/>
        </w:rPr>
        <w:t>and</w:t>
      </w:r>
      <w:r>
        <w:rPr>
          <w:spacing w:val="-6"/>
          <w:sz w:val="22"/>
        </w:rPr>
        <w:t> </w:t>
      </w:r>
      <w:r>
        <w:rPr>
          <w:sz w:val="22"/>
        </w:rPr>
        <w:t>over</w:t>
      </w:r>
      <w:r>
        <w:rPr>
          <w:spacing w:val="-5"/>
          <w:sz w:val="22"/>
        </w:rPr>
        <w:t> </w:t>
      </w:r>
      <w:r>
        <w:rPr>
          <w:sz w:val="22"/>
        </w:rPr>
        <w:t>200,000</w:t>
      </w:r>
      <w:r>
        <w:rPr>
          <w:spacing w:val="-5"/>
          <w:sz w:val="22"/>
        </w:rPr>
        <w:t> </w:t>
      </w:r>
      <w:r>
        <w:rPr>
          <w:sz w:val="22"/>
        </w:rPr>
        <w:t>employees</w:t>
      </w:r>
      <w:r>
        <w:rPr>
          <w:spacing w:val="-4"/>
          <w:sz w:val="22"/>
        </w:rPr>
        <w:t> </w:t>
      </w:r>
      <w:r>
        <w:rPr>
          <w:sz w:val="22"/>
        </w:rPr>
        <w:t>work</w:t>
      </w:r>
      <w:r>
        <w:rPr>
          <w:spacing w:val="-7"/>
          <w:sz w:val="22"/>
        </w:rPr>
        <w:t> </w:t>
      </w:r>
      <w:r>
        <w:rPr>
          <w:sz w:val="22"/>
        </w:rPr>
        <w:t>out</w:t>
      </w:r>
      <w:r>
        <w:rPr>
          <w:spacing w:val="-5"/>
          <w:sz w:val="22"/>
        </w:rPr>
        <w:t> </w:t>
      </w:r>
      <w:r>
        <w:rPr>
          <w:sz w:val="22"/>
        </w:rPr>
        <w:t>of</w:t>
      </w:r>
      <w:r>
        <w:rPr>
          <w:spacing w:val="-4"/>
          <w:sz w:val="22"/>
        </w:rPr>
        <w:t> </w:t>
      </w:r>
      <w:r>
        <w:rPr>
          <w:sz w:val="22"/>
        </w:rPr>
        <w:t>their</w:t>
      </w:r>
      <w:r>
        <w:rPr>
          <w:spacing w:val="-6"/>
          <w:sz w:val="22"/>
        </w:rPr>
        <w:t> </w:t>
      </w:r>
      <w:r>
        <w:rPr>
          <w:sz w:val="22"/>
        </w:rPr>
        <w:t>assets</w:t>
      </w:r>
    </w:p>
    <w:p>
      <w:pPr>
        <w:pStyle w:val="ListParagraph"/>
        <w:numPr>
          <w:ilvl w:val="0"/>
          <w:numId w:val="23"/>
        </w:numPr>
        <w:tabs>
          <w:tab w:pos="1541" w:val="left" w:leader="none"/>
        </w:tabs>
        <w:spacing w:line="321" w:lineRule="auto" w:before="120" w:after="0"/>
        <w:ind w:left="1540" w:right="633" w:hanging="360"/>
        <w:jc w:val="both"/>
        <w:rPr>
          <w:sz w:val="22"/>
        </w:rPr>
      </w:pPr>
      <w:r>
        <w:rPr>
          <w:sz w:val="22"/>
        </w:rPr>
        <w:t>In general, the Embassy REIT assets are located in in-fill locations within the best</w:t>
      </w:r>
      <w:r>
        <w:rPr>
          <w:spacing w:val="-33"/>
          <w:sz w:val="22"/>
        </w:rPr>
        <w:t> </w:t>
      </w:r>
      <w:r>
        <w:rPr>
          <w:sz w:val="22"/>
        </w:rPr>
        <w:t>performing submarkets</w:t>
      </w:r>
      <w:r>
        <w:rPr>
          <w:spacing w:val="-24"/>
          <w:sz w:val="22"/>
        </w:rPr>
        <w:t> </w:t>
      </w:r>
      <w:r>
        <w:rPr>
          <w:sz w:val="22"/>
        </w:rPr>
        <w:t>of</w:t>
      </w:r>
      <w:r>
        <w:rPr>
          <w:spacing w:val="-23"/>
          <w:sz w:val="22"/>
        </w:rPr>
        <w:t> </w:t>
      </w:r>
      <w:r>
        <w:rPr>
          <w:sz w:val="22"/>
        </w:rPr>
        <w:t>India’s</w:t>
      </w:r>
      <w:r>
        <w:rPr>
          <w:spacing w:val="-24"/>
          <w:sz w:val="22"/>
        </w:rPr>
        <w:t> </w:t>
      </w:r>
      <w:r>
        <w:rPr>
          <w:sz w:val="22"/>
        </w:rPr>
        <w:t>top</w:t>
      </w:r>
      <w:r>
        <w:rPr>
          <w:spacing w:val="-25"/>
          <w:sz w:val="22"/>
        </w:rPr>
        <w:t> </w:t>
      </w:r>
      <w:r>
        <w:rPr>
          <w:sz w:val="22"/>
        </w:rPr>
        <w:t>office</w:t>
      </w:r>
      <w:r>
        <w:rPr>
          <w:spacing w:val="-24"/>
          <w:sz w:val="22"/>
        </w:rPr>
        <w:t> </w:t>
      </w:r>
      <w:r>
        <w:rPr>
          <w:sz w:val="22"/>
        </w:rPr>
        <w:t>markets</w:t>
      </w:r>
      <w:r>
        <w:rPr>
          <w:spacing w:val="-23"/>
          <w:sz w:val="22"/>
        </w:rPr>
        <w:t> </w:t>
      </w:r>
      <w:r>
        <w:rPr>
          <w:sz w:val="22"/>
        </w:rPr>
        <w:t>of</w:t>
      </w:r>
      <w:r>
        <w:rPr>
          <w:spacing w:val="-24"/>
          <w:sz w:val="22"/>
        </w:rPr>
        <w:t> </w:t>
      </w:r>
      <w:r>
        <w:rPr>
          <w:sz w:val="22"/>
        </w:rPr>
        <w:t>Bengaluru,</w:t>
      </w:r>
      <w:r>
        <w:rPr>
          <w:spacing w:val="-24"/>
          <w:sz w:val="22"/>
        </w:rPr>
        <w:t> </w:t>
      </w:r>
      <w:r>
        <w:rPr>
          <w:sz w:val="22"/>
        </w:rPr>
        <w:t>Pune,</w:t>
      </w:r>
      <w:r>
        <w:rPr>
          <w:spacing w:val="-24"/>
          <w:sz w:val="22"/>
        </w:rPr>
        <w:t> </w:t>
      </w:r>
      <w:r>
        <w:rPr>
          <w:sz w:val="22"/>
        </w:rPr>
        <w:t>Mumbai</w:t>
      </w:r>
      <w:r>
        <w:rPr>
          <w:spacing w:val="-24"/>
          <w:sz w:val="22"/>
        </w:rPr>
        <w:t> </w:t>
      </w:r>
      <w:r>
        <w:rPr>
          <w:sz w:val="22"/>
        </w:rPr>
        <w:t>and</w:t>
      </w:r>
      <w:r>
        <w:rPr>
          <w:spacing w:val="-24"/>
          <w:sz w:val="22"/>
        </w:rPr>
        <w:t> </w:t>
      </w:r>
      <w:r>
        <w:rPr>
          <w:sz w:val="22"/>
        </w:rPr>
        <w:t>Noida.</w:t>
      </w:r>
      <w:r>
        <w:rPr>
          <w:spacing w:val="-24"/>
          <w:sz w:val="22"/>
        </w:rPr>
        <w:t> </w:t>
      </w:r>
      <w:r>
        <w:rPr>
          <w:sz w:val="22"/>
        </w:rPr>
        <w:t>These</w:t>
      </w:r>
      <w:r>
        <w:rPr>
          <w:spacing w:val="-24"/>
          <w:sz w:val="22"/>
        </w:rPr>
        <w:t> </w:t>
      </w:r>
      <w:r>
        <w:rPr>
          <w:sz w:val="22"/>
        </w:rPr>
        <w:t>cities</w:t>
      </w:r>
      <w:r>
        <w:rPr>
          <w:spacing w:val="-24"/>
          <w:sz w:val="22"/>
        </w:rPr>
        <w:t> </w:t>
      </w:r>
      <w:r>
        <w:rPr>
          <w:sz w:val="22"/>
        </w:rPr>
        <w:t>on an average have exhibited strong demographics, house skilled talent pools and have well- developed</w:t>
      </w:r>
      <w:r>
        <w:rPr>
          <w:spacing w:val="-3"/>
          <w:sz w:val="22"/>
        </w:rPr>
        <w:t> </w:t>
      </w:r>
      <w:r>
        <w:rPr>
          <w:sz w:val="22"/>
        </w:rPr>
        <w:t>infrastructure</w:t>
      </w:r>
    </w:p>
    <w:p>
      <w:pPr>
        <w:pStyle w:val="ListParagraph"/>
        <w:numPr>
          <w:ilvl w:val="0"/>
          <w:numId w:val="23"/>
        </w:numPr>
        <w:tabs>
          <w:tab w:pos="1541" w:val="left" w:leader="none"/>
        </w:tabs>
        <w:spacing w:line="319" w:lineRule="auto" w:before="124" w:after="0"/>
        <w:ind w:left="1540" w:right="637" w:hanging="360"/>
        <w:jc w:val="both"/>
        <w:rPr>
          <w:sz w:val="22"/>
        </w:rPr>
      </w:pPr>
      <w:r>
        <w:rPr>
          <w:sz w:val="22"/>
        </w:rPr>
        <w:t>Most of the submarkets where Embassy REIT assets are located have exhibited strong market dynamics,</w:t>
      </w:r>
      <w:r>
        <w:rPr>
          <w:spacing w:val="-10"/>
          <w:sz w:val="22"/>
        </w:rPr>
        <w:t> </w:t>
      </w:r>
      <w:r>
        <w:rPr>
          <w:sz w:val="22"/>
        </w:rPr>
        <w:t>robust</w:t>
      </w:r>
      <w:r>
        <w:rPr>
          <w:spacing w:val="-10"/>
          <w:sz w:val="22"/>
        </w:rPr>
        <w:t> </w:t>
      </w:r>
      <w:r>
        <w:rPr>
          <w:sz w:val="22"/>
        </w:rPr>
        <w:t>absorption</w:t>
      </w:r>
      <w:r>
        <w:rPr>
          <w:spacing w:val="-10"/>
          <w:sz w:val="22"/>
        </w:rPr>
        <w:t> </w:t>
      </w:r>
      <w:r>
        <w:rPr>
          <w:sz w:val="22"/>
        </w:rPr>
        <w:t>leading</w:t>
      </w:r>
      <w:r>
        <w:rPr>
          <w:spacing w:val="-9"/>
          <w:sz w:val="22"/>
        </w:rPr>
        <w:t> </w:t>
      </w:r>
      <w:r>
        <w:rPr>
          <w:sz w:val="22"/>
        </w:rPr>
        <w:t>to</w:t>
      </w:r>
      <w:r>
        <w:rPr>
          <w:spacing w:val="-10"/>
          <w:sz w:val="22"/>
        </w:rPr>
        <w:t> </w:t>
      </w:r>
      <w:r>
        <w:rPr>
          <w:sz w:val="22"/>
        </w:rPr>
        <w:t>lower</w:t>
      </w:r>
      <w:r>
        <w:rPr>
          <w:spacing w:val="-10"/>
          <w:sz w:val="22"/>
        </w:rPr>
        <w:t> </w:t>
      </w:r>
      <w:r>
        <w:rPr>
          <w:sz w:val="22"/>
        </w:rPr>
        <w:t>vacancy,</w:t>
      </w:r>
      <w:r>
        <w:rPr>
          <w:spacing w:val="-9"/>
          <w:sz w:val="22"/>
        </w:rPr>
        <w:t> </w:t>
      </w:r>
      <w:r>
        <w:rPr>
          <w:sz w:val="22"/>
        </w:rPr>
        <w:t>high</w:t>
      </w:r>
      <w:r>
        <w:rPr>
          <w:spacing w:val="-11"/>
          <w:sz w:val="22"/>
        </w:rPr>
        <w:t> </w:t>
      </w:r>
      <w:r>
        <w:rPr>
          <w:sz w:val="22"/>
        </w:rPr>
        <w:t>rent</w:t>
      </w:r>
      <w:r>
        <w:rPr>
          <w:spacing w:val="-10"/>
          <w:sz w:val="22"/>
        </w:rPr>
        <w:t> </w:t>
      </w:r>
      <w:r>
        <w:rPr>
          <w:sz w:val="22"/>
        </w:rPr>
        <w:t>growth,</w:t>
      </w:r>
      <w:r>
        <w:rPr>
          <w:spacing w:val="-10"/>
          <w:sz w:val="22"/>
        </w:rPr>
        <w:t> </w:t>
      </w:r>
      <w:r>
        <w:rPr>
          <w:sz w:val="22"/>
        </w:rPr>
        <w:t>etc.</w:t>
      </w:r>
    </w:p>
    <w:p>
      <w:pPr>
        <w:pStyle w:val="ListParagraph"/>
        <w:numPr>
          <w:ilvl w:val="0"/>
          <w:numId w:val="23"/>
        </w:numPr>
        <w:tabs>
          <w:tab w:pos="1541" w:val="left" w:leader="none"/>
        </w:tabs>
        <w:spacing w:line="321" w:lineRule="auto" w:before="125" w:after="0"/>
        <w:ind w:left="1540" w:right="635" w:hanging="360"/>
        <w:jc w:val="both"/>
        <w:rPr>
          <w:sz w:val="22"/>
        </w:rPr>
      </w:pPr>
      <w:r>
        <w:rPr>
          <w:sz w:val="22"/>
        </w:rPr>
        <w:t>Based</w:t>
      </w:r>
      <w:r>
        <w:rPr>
          <w:spacing w:val="-26"/>
          <w:sz w:val="22"/>
        </w:rPr>
        <w:t> </w:t>
      </w:r>
      <w:r>
        <w:rPr>
          <w:sz w:val="22"/>
        </w:rPr>
        <w:t>on</w:t>
      </w:r>
      <w:r>
        <w:rPr>
          <w:spacing w:val="-25"/>
          <w:sz w:val="22"/>
        </w:rPr>
        <w:t> </w:t>
      </w:r>
      <w:r>
        <w:rPr>
          <w:sz w:val="22"/>
        </w:rPr>
        <w:t>our</w:t>
      </w:r>
      <w:r>
        <w:rPr>
          <w:spacing w:val="-25"/>
          <w:sz w:val="22"/>
        </w:rPr>
        <w:t> </w:t>
      </w:r>
      <w:r>
        <w:rPr>
          <w:sz w:val="22"/>
        </w:rPr>
        <w:t>understanding,</w:t>
      </w:r>
      <w:r>
        <w:rPr>
          <w:spacing w:val="-24"/>
          <w:sz w:val="22"/>
        </w:rPr>
        <w:t> </w:t>
      </w:r>
      <w:r>
        <w:rPr>
          <w:sz w:val="22"/>
        </w:rPr>
        <w:t>few</w:t>
      </w:r>
      <w:r>
        <w:rPr>
          <w:spacing w:val="-24"/>
          <w:sz w:val="22"/>
        </w:rPr>
        <w:t> </w:t>
      </w:r>
      <w:r>
        <w:rPr>
          <w:sz w:val="22"/>
        </w:rPr>
        <w:t>prominent</w:t>
      </w:r>
      <w:r>
        <w:rPr>
          <w:spacing w:val="-24"/>
          <w:sz w:val="22"/>
        </w:rPr>
        <w:t> </w:t>
      </w:r>
      <w:r>
        <w:rPr>
          <w:sz w:val="22"/>
        </w:rPr>
        <w:t>multinational</w:t>
      </w:r>
      <w:r>
        <w:rPr>
          <w:spacing w:val="-25"/>
          <w:sz w:val="22"/>
        </w:rPr>
        <w:t> </w:t>
      </w:r>
      <w:r>
        <w:rPr>
          <w:sz w:val="22"/>
        </w:rPr>
        <w:t>tenants</w:t>
      </w:r>
      <w:r>
        <w:rPr>
          <w:spacing w:val="-23"/>
          <w:sz w:val="22"/>
        </w:rPr>
        <w:t> </w:t>
      </w:r>
      <w:r>
        <w:rPr>
          <w:sz w:val="22"/>
        </w:rPr>
        <w:t>in</w:t>
      </w:r>
      <w:r>
        <w:rPr>
          <w:spacing w:val="-25"/>
          <w:sz w:val="22"/>
        </w:rPr>
        <w:t> </w:t>
      </w:r>
      <w:r>
        <w:rPr>
          <w:sz w:val="22"/>
        </w:rPr>
        <w:t>the</w:t>
      </w:r>
      <w:r>
        <w:rPr>
          <w:spacing w:val="-25"/>
          <w:sz w:val="22"/>
        </w:rPr>
        <w:t> </w:t>
      </w:r>
      <w:r>
        <w:rPr>
          <w:sz w:val="22"/>
        </w:rPr>
        <w:t>Embassy</w:t>
      </w:r>
      <w:r>
        <w:rPr>
          <w:spacing w:val="-24"/>
          <w:sz w:val="22"/>
        </w:rPr>
        <w:t> </w:t>
      </w:r>
      <w:r>
        <w:rPr>
          <w:sz w:val="22"/>
        </w:rPr>
        <w:t>REIT</w:t>
      </w:r>
      <w:r>
        <w:rPr>
          <w:spacing w:val="-26"/>
          <w:sz w:val="22"/>
        </w:rPr>
        <w:t> </w:t>
      </w:r>
      <w:r>
        <w:rPr>
          <w:sz w:val="22"/>
        </w:rPr>
        <w:t>portfolio have</w:t>
      </w:r>
      <w:r>
        <w:rPr>
          <w:spacing w:val="-30"/>
          <w:sz w:val="22"/>
        </w:rPr>
        <w:t> </w:t>
      </w:r>
      <w:r>
        <w:rPr>
          <w:sz w:val="22"/>
        </w:rPr>
        <w:t>one</w:t>
      </w:r>
      <w:r>
        <w:rPr>
          <w:spacing w:val="-30"/>
          <w:sz w:val="22"/>
        </w:rPr>
        <w:t> </w:t>
      </w:r>
      <w:r>
        <w:rPr>
          <w:sz w:val="22"/>
        </w:rPr>
        <w:t>of</w:t>
      </w:r>
      <w:r>
        <w:rPr>
          <w:spacing w:val="-28"/>
          <w:sz w:val="22"/>
        </w:rPr>
        <w:t> </w:t>
      </w:r>
      <w:r>
        <w:rPr>
          <w:sz w:val="22"/>
        </w:rPr>
        <w:t>their</w:t>
      </w:r>
      <w:r>
        <w:rPr>
          <w:spacing w:val="-30"/>
          <w:sz w:val="22"/>
        </w:rPr>
        <w:t> </w:t>
      </w:r>
      <w:r>
        <w:rPr>
          <w:sz w:val="22"/>
        </w:rPr>
        <w:t>largest</w:t>
      </w:r>
      <w:r>
        <w:rPr>
          <w:spacing w:val="-31"/>
          <w:sz w:val="22"/>
        </w:rPr>
        <w:t> </w:t>
      </w:r>
      <w:r>
        <w:rPr>
          <w:sz w:val="22"/>
        </w:rPr>
        <w:t>operations</w:t>
      </w:r>
      <w:r>
        <w:rPr>
          <w:spacing w:val="-28"/>
          <w:sz w:val="22"/>
        </w:rPr>
        <w:t> </w:t>
      </w:r>
      <w:r>
        <w:rPr>
          <w:sz w:val="22"/>
        </w:rPr>
        <w:t>in</w:t>
      </w:r>
      <w:r>
        <w:rPr>
          <w:spacing w:val="-30"/>
          <w:sz w:val="22"/>
        </w:rPr>
        <w:t> </w:t>
      </w:r>
      <w:r>
        <w:rPr>
          <w:sz w:val="22"/>
        </w:rPr>
        <w:t>India.</w:t>
      </w:r>
      <w:r>
        <w:rPr>
          <w:spacing w:val="-31"/>
          <w:sz w:val="22"/>
        </w:rPr>
        <w:t> </w:t>
      </w:r>
      <w:r>
        <w:rPr>
          <w:sz w:val="22"/>
        </w:rPr>
        <w:t>These</w:t>
      </w:r>
      <w:r>
        <w:rPr>
          <w:spacing w:val="-29"/>
          <w:sz w:val="22"/>
        </w:rPr>
        <w:t> </w:t>
      </w:r>
      <w:r>
        <w:rPr>
          <w:sz w:val="22"/>
        </w:rPr>
        <w:t>occupiers</w:t>
      </w:r>
      <w:r>
        <w:rPr>
          <w:spacing w:val="-29"/>
          <w:sz w:val="22"/>
        </w:rPr>
        <w:t> </w:t>
      </w:r>
      <w:r>
        <w:rPr>
          <w:sz w:val="22"/>
        </w:rPr>
        <w:t>typically</w:t>
      </w:r>
      <w:r>
        <w:rPr>
          <w:spacing w:val="-29"/>
          <w:sz w:val="22"/>
        </w:rPr>
        <w:t> </w:t>
      </w:r>
      <w:r>
        <w:rPr>
          <w:sz w:val="22"/>
        </w:rPr>
        <w:t>prefer</w:t>
      </w:r>
      <w:r>
        <w:rPr>
          <w:spacing w:val="-29"/>
          <w:sz w:val="22"/>
        </w:rPr>
        <w:t> </w:t>
      </w:r>
      <w:r>
        <w:rPr>
          <w:sz w:val="22"/>
        </w:rPr>
        <w:t>to</w:t>
      </w:r>
      <w:r>
        <w:rPr>
          <w:spacing w:val="-29"/>
          <w:sz w:val="22"/>
        </w:rPr>
        <w:t> </w:t>
      </w:r>
      <w:r>
        <w:rPr>
          <w:sz w:val="22"/>
        </w:rPr>
        <w:t>be</w:t>
      </w:r>
      <w:r>
        <w:rPr>
          <w:spacing w:val="-30"/>
          <w:sz w:val="22"/>
        </w:rPr>
        <w:t> </w:t>
      </w:r>
      <w:r>
        <w:rPr>
          <w:sz w:val="22"/>
        </w:rPr>
        <w:t>operating</w:t>
      </w:r>
      <w:r>
        <w:rPr>
          <w:spacing w:val="-28"/>
          <w:sz w:val="22"/>
        </w:rPr>
        <w:t> </w:t>
      </w:r>
      <w:r>
        <w:rPr>
          <w:spacing w:val="-2"/>
          <w:sz w:val="22"/>
        </w:rPr>
        <w:t>out </w:t>
      </w:r>
      <w:r>
        <w:rPr>
          <w:sz w:val="22"/>
        </w:rPr>
        <w:t>of parks developed by Grade-A developers across the country including that of Embassy REIT assets</w:t>
      </w:r>
    </w:p>
    <w:p>
      <w:pPr>
        <w:pStyle w:val="ListParagraph"/>
        <w:numPr>
          <w:ilvl w:val="0"/>
          <w:numId w:val="23"/>
        </w:numPr>
        <w:tabs>
          <w:tab w:pos="1541" w:val="left" w:leader="none"/>
        </w:tabs>
        <w:spacing w:line="321" w:lineRule="auto" w:before="123" w:after="0"/>
        <w:ind w:left="1540" w:right="633" w:hanging="360"/>
        <w:jc w:val="both"/>
        <w:rPr>
          <w:sz w:val="22"/>
        </w:rPr>
      </w:pPr>
      <w:r>
        <w:rPr>
          <w:sz w:val="22"/>
        </w:rPr>
        <w:t>The assets are developed and managed according to international standards (for Grade-A spaces)</w:t>
      </w:r>
      <w:r>
        <w:rPr>
          <w:spacing w:val="-10"/>
          <w:sz w:val="22"/>
        </w:rPr>
        <w:t> </w:t>
      </w:r>
      <w:r>
        <w:rPr>
          <w:w w:val="105"/>
          <w:sz w:val="22"/>
        </w:rPr>
        <w:t>–</w:t>
      </w:r>
      <w:r>
        <w:rPr>
          <w:spacing w:val="-14"/>
          <w:w w:val="105"/>
          <w:sz w:val="22"/>
        </w:rPr>
        <w:t> </w:t>
      </w:r>
      <w:r>
        <w:rPr>
          <w:sz w:val="22"/>
        </w:rPr>
        <w:t>makes</w:t>
      </w:r>
      <w:r>
        <w:rPr>
          <w:spacing w:val="-10"/>
          <w:sz w:val="22"/>
        </w:rPr>
        <w:t> </w:t>
      </w:r>
      <w:r>
        <w:rPr>
          <w:sz w:val="22"/>
        </w:rPr>
        <w:t>them</w:t>
      </w:r>
      <w:r>
        <w:rPr>
          <w:spacing w:val="-11"/>
          <w:sz w:val="22"/>
        </w:rPr>
        <w:t> </w:t>
      </w:r>
      <w:r>
        <w:rPr>
          <w:sz w:val="22"/>
        </w:rPr>
        <w:t>a</w:t>
      </w:r>
      <w:r>
        <w:rPr>
          <w:spacing w:val="-12"/>
          <w:sz w:val="22"/>
        </w:rPr>
        <w:t> </w:t>
      </w:r>
      <w:r>
        <w:rPr>
          <w:sz w:val="22"/>
        </w:rPr>
        <w:t>preferred</w:t>
      </w:r>
      <w:r>
        <w:rPr>
          <w:spacing w:val="-10"/>
          <w:sz w:val="22"/>
        </w:rPr>
        <w:t> </w:t>
      </w:r>
      <w:r>
        <w:rPr>
          <w:sz w:val="22"/>
        </w:rPr>
        <w:t>option</w:t>
      </w:r>
      <w:r>
        <w:rPr>
          <w:spacing w:val="-11"/>
          <w:sz w:val="22"/>
        </w:rPr>
        <w:t> </w:t>
      </w:r>
      <w:r>
        <w:rPr>
          <w:sz w:val="22"/>
        </w:rPr>
        <w:t>in</w:t>
      </w:r>
      <w:r>
        <w:rPr>
          <w:spacing w:val="-12"/>
          <w:sz w:val="22"/>
        </w:rPr>
        <w:t> </w:t>
      </w:r>
      <w:r>
        <w:rPr>
          <w:sz w:val="22"/>
        </w:rPr>
        <w:t>their</w:t>
      </w:r>
      <w:r>
        <w:rPr>
          <w:spacing w:val="-10"/>
          <w:sz w:val="22"/>
        </w:rPr>
        <w:t> </w:t>
      </w:r>
      <w:r>
        <w:rPr>
          <w:sz w:val="22"/>
        </w:rPr>
        <w:t>respective</w:t>
      </w:r>
      <w:r>
        <w:rPr>
          <w:spacing w:val="-11"/>
          <w:sz w:val="22"/>
        </w:rPr>
        <w:t> </w:t>
      </w:r>
      <w:r>
        <w:rPr>
          <w:sz w:val="22"/>
        </w:rPr>
        <w:t>submarkets</w:t>
      </w:r>
      <w:r>
        <w:rPr>
          <w:spacing w:val="-10"/>
          <w:sz w:val="22"/>
        </w:rPr>
        <w:t> </w:t>
      </w:r>
      <w:r>
        <w:rPr>
          <w:sz w:val="22"/>
        </w:rPr>
        <w:t>for</w:t>
      </w:r>
      <w:r>
        <w:rPr>
          <w:spacing w:val="-11"/>
          <w:sz w:val="22"/>
        </w:rPr>
        <w:t> </w:t>
      </w:r>
      <w:r>
        <w:rPr>
          <w:sz w:val="22"/>
        </w:rPr>
        <w:t>both</w:t>
      </w:r>
      <w:r>
        <w:rPr>
          <w:spacing w:val="-11"/>
          <w:sz w:val="22"/>
        </w:rPr>
        <w:t> </w:t>
      </w:r>
      <w:r>
        <w:rPr>
          <w:sz w:val="22"/>
        </w:rPr>
        <w:t>domestic</w:t>
      </w:r>
      <w:r>
        <w:rPr>
          <w:spacing w:val="-10"/>
          <w:sz w:val="22"/>
        </w:rPr>
        <w:t> </w:t>
      </w:r>
      <w:r>
        <w:rPr>
          <w:sz w:val="22"/>
        </w:rPr>
        <w:t>and multinational</w:t>
      </w:r>
      <w:r>
        <w:rPr>
          <w:spacing w:val="-4"/>
          <w:sz w:val="22"/>
        </w:rPr>
        <w:t> </w:t>
      </w:r>
      <w:r>
        <w:rPr>
          <w:sz w:val="22"/>
        </w:rPr>
        <w:t>occupiers</w:t>
      </w:r>
    </w:p>
    <w:p>
      <w:pPr>
        <w:spacing w:after="0" w:line="321" w:lineRule="auto"/>
        <w:jc w:val="both"/>
        <w:rPr>
          <w:sz w:val="22"/>
        </w:rPr>
        <w:sectPr>
          <w:pgSz w:w="11910" w:h="16840"/>
          <w:pgMar w:header="720" w:footer="842" w:top="1520" w:bottom="1040" w:left="440" w:right="80"/>
        </w:sectPr>
      </w:pPr>
    </w:p>
    <w:p>
      <w:pPr>
        <w:pStyle w:val="BodyText"/>
        <w:spacing w:before="5"/>
      </w:pPr>
    </w:p>
    <w:p>
      <w:pPr>
        <w:pStyle w:val="ListParagraph"/>
        <w:numPr>
          <w:ilvl w:val="0"/>
          <w:numId w:val="23"/>
        </w:numPr>
        <w:tabs>
          <w:tab w:pos="1541" w:val="left" w:leader="none"/>
        </w:tabs>
        <w:spacing w:line="321" w:lineRule="auto" w:before="106" w:after="0"/>
        <w:ind w:left="1540" w:right="636" w:hanging="360"/>
        <w:jc w:val="both"/>
        <w:rPr>
          <w:sz w:val="22"/>
        </w:rPr>
      </w:pPr>
      <w:r>
        <w:rPr>
          <w:sz w:val="22"/>
        </w:rPr>
        <w:t>Average</w:t>
      </w:r>
      <w:r>
        <w:rPr>
          <w:spacing w:val="-7"/>
          <w:sz w:val="22"/>
        </w:rPr>
        <w:t> </w:t>
      </w:r>
      <w:r>
        <w:rPr>
          <w:sz w:val="22"/>
        </w:rPr>
        <w:t>in-place</w:t>
      </w:r>
      <w:r>
        <w:rPr>
          <w:spacing w:val="-7"/>
          <w:sz w:val="22"/>
        </w:rPr>
        <w:t> </w:t>
      </w:r>
      <w:r>
        <w:rPr>
          <w:sz w:val="22"/>
        </w:rPr>
        <w:t>rent</w:t>
      </w:r>
      <w:r>
        <w:rPr>
          <w:spacing w:val="-7"/>
          <w:sz w:val="22"/>
        </w:rPr>
        <w:t> </w:t>
      </w:r>
      <w:r>
        <w:rPr>
          <w:sz w:val="22"/>
        </w:rPr>
        <w:t>across</w:t>
      </w:r>
      <w:r>
        <w:rPr>
          <w:spacing w:val="-5"/>
          <w:sz w:val="22"/>
        </w:rPr>
        <w:t> </w:t>
      </w:r>
      <w:r>
        <w:rPr>
          <w:sz w:val="22"/>
        </w:rPr>
        <w:t>the</w:t>
      </w:r>
      <w:r>
        <w:rPr>
          <w:spacing w:val="-7"/>
          <w:sz w:val="22"/>
        </w:rPr>
        <w:t> </w:t>
      </w:r>
      <w:r>
        <w:rPr>
          <w:sz w:val="22"/>
        </w:rPr>
        <w:t>portfolio</w:t>
      </w:r>
      <w:r>
        <w:rPr>
          <w:spacing w:val="-7"/>
          <w:sz w:val="22"/>
        </w:rPr>
        <w:t> </w:t>
      </w:r>
      <w:r>
        <w:rPr>
          <w:sz w:val="22"/>
        </w:rPr>
        <w:t>is</w:t>
      </w:r>
      <w:r>
        <w:rPr>
          <w:spacing w:val="-7"/>
          <w:sz w:val="22"/>
        </w:rPr>
        <w:t> </w:t>
      </w:r>
      <w:r>
        <w:rPr>
          <w:sz w:val="22"/>
        </w:rPr>
        <w:t>significantly</w:t>
      </w:r>
      <w:r>
        <w:rPr>
          <w:spacing w:val="-4"/>
          <w:sz w:val="22"/>
        </w:rPr>
        <w:t> </w:t>
      </w:r>
      <w:r>
        <w:rPr>
          <w:sz w:val="22"/>
        </w:rPr>
        <w:t>below</w:t>
      </w:r>
      <w:r>
        <w:rPr>
          <w:spacing w:val="-7"/>
          <w:sz w:val="22"/>
        </w:rPr>
        <w:t> </w:t>
      </w:r>
      <w:r>
        <w:rPr>
          <w:sz w:val="22"/>
        </w:rPr>
        <w:t>the</w:t>
      </w:r>
      <w:r>
        <w:rPr>
          <w:spacing w:val="-7"/>
          <w:sz w:val="22"/>
        </w:rPr>
        <w:t> </w:t>
      </w:r>
      <w:r>
        <w:rPr>
          <w:sz w:val="22"/>
        </w:rPr>
        <w:t>marginal</w:t>
      </w:r>
      <w:r>
        <w:rPr>
          <w:spacing w:val="-7"/>
          <w:sz w:val="22"/>
        </w:rPr>
        <w:t> </w:t>
      </w:r>
      <w:r>
        <w:rPr>
          <w:sz w:val="22"/>
        </w:rPr>
        <w:t>rent</w:t>
      </w:r>
      <w:r>
        <w:rPr>
          <w:spacing w:val="-7"/>
          <w:sz w:val="22"/>
        </w:rPr>
        <w:t> </w:t>
      </w:r>
      <w:r>
        <w:rPr>
          <w:sz w:val="22"/>
        </w:rPr>
        <w:t>across</w:t>
      </w:r>
      <w:r>
        <w:rPr>
          <w:spacing w:val="-5"/>
          <w:sz w:val="22"/>
        </w:rPr>
        <w:t> </w:t>
      </w:r>
      <w:r>
        <w:rPr>
          <w:sz w:val="22"/>
        </w:rPr>
        <w:t>most submarkets</w:t>
      </w:r>
      <w:r>
        <w:rPr>
          <w:spacing w:val="-36"/>
          <w:sz w:val="22"/>
        </w:rPr>
        <w:t> </w:t>
      </w:r>
      <w:r>
        <w:rPr>
          <w:sz w:val="22"/>
        </w:rPr>
        <w:t>owing</w:t>
      </w:r>
      <w:r>
        <w:rPr>
          <w:spacing w:val="-35"/>
          <w:sz w:val="22"/>
        </w:rPr>
        <w:t> </w:t>
      </w:r>
      <w:r>
        <w:rPr>
          <w:sz w:val="22"/>
        </w:rPr>
        <w:t>to</w:t>
      </w:r>
      <w:r>
        <w:rPr>
          <w:spacing w:val="-36"/>
          <w:sz w:val="22"/>
        </w:rPr>
        <w:t> </w:t>
      </w:r>
      <w:r>
        <w:rPr>
          <w:sz w:val="22"/>
        </w:rPr>
        <w:t>a</w:t>
      </w:r>
      <w:r>
        <w:rPr>
          <w:spacing w:val="-36"/>
          <w:sz w:val="22"/>
        </w:rPr>
        <w:t> </w:t>
      </w:r>
      <w:r>
        <w:rPr>
          <w:sz w:val="22"/>
        </w:rPr>
        <w:t>combination</w:t>
      </w:r>
      <w:r>
        <w:rPr>
          <w:spacing w:val="-36"/>
          <w:sz w:val="22"/>
        </w:rPr>
        <w:t> </w:t>
      </w:r>
      <w:r>
        <w:rPr>
          <w:sz w:val="22"/>
        </w:rPr>
        <w:t>of</w:t>
      </w:r>
      <w:r>
        <w:rPr>
          <w:spacing w:val="-36"/>
          <w:sz w:val="22"/>
        </w:rPr>
        <w:t> </w:t>
      </w:r>
      <w:r>
        <w:rPr>
          <w:sz w:val="22"/>
        </w:rPr>
        <w:t>long-term</w:t>
      </w:r>
      <w:r>
        <w:rPr>
          <w:spacing w:val="-35"/>
          <w:sz w:val="22"/>
        </w:rPr>
        <w:t> </w:t>
      </w:r>
      <w:r>
        <w:rPr>
          <w:sz w:val="22"/>
        </w:rPr>
        <w:t>nature</w:t>
      </w:r>
      <w:r>
        <w:rPr>
          <w:spacing w:val="-37"/>
          <w:sz w:val="22"/>
        </w:rPr>
        <w:t> </w:t>
      </w:r>
      <w:r>
        <w:rPr>
          <w:sz w:val="22"/>
        </w:rPr>
        <w:t>of</w:t>
      </w:r>
      <w:r>
        <w:rPr>
          <w:spacing w:val="-35"/>
          <w:sz w:val="22"/>
        </w:rPr>
        <w:t> </w:t>
      </w:r>
      <w:r>
        <w:rPr>
          <w:sz w:val="22"/>
        </w:rPr>
        <w:t>existing</w:t>
      </w:r>
      <w:r>
        <w:rPr>
          <w:spacing w:val="-35"/>
          <w:sz w:val="22"/>
        </w:rPr>
        <w:t> </w:t>
      </w:r>
      <w:r>
        <w:rPr>
          <w:sz w:val="22"/>
        </w:rPr>
        <w:t>leases</w:t>
      </w:r>
      <w:r>
        <w:rPr>
          <w:spacing w:val="-35"/>
          <w:sz w:val="22"/>
        </w:rPr>
        <w:t> </w:t>
      </w:r>
      <w:r>
        <w:rPr>
          <w:sz w:val="22"/>
        </w:rPr>
        <w:t>as</w:t>
      </w:r>
      <w:r>
        <w:rPr>
          <w:spacing w:val="-37"/>
          <w:sz w:val="22"/>
        </w:rPr>
        <w:t> </w:t>
      </w:r>
      <w:r>
        <w:rPr>
          <w:sz w:val="22"/>
        </w:rPr>
        <w:t>well</w:t>
      </w:r>
      <w:r>
        <w:rPr>
          <w:spacing w:val="-37"/>
          <w:sz w:val="22"/>
        </w:rPr>
        <w:t> </w:t>
      </w:r>
      <w:r>
        <w:rPr>
          <w:sz w:val="22"/>
        </w:rPr>
        <w:t>as</w:t>
      </w:r>
      <w:r>
        <w:rPr>
          <w:spacing w:val="-37"/>
          <w:sz w:val="22"/>
        </w:rPr>
        <w:t> </w:t>
      </w:r>
      <w:r>
        <w:rPr>
          <w:sz w:val="22"/>
        </w:rPr>
        <w:t>strong</w:t>
      </w:r>
      <w:r>
        <w:rPr>
          <w:spacing w:val="-37"/>
          <w:sz w:val="22"/>
        </w:rPr>
        <w:t> </w:t>
      </w:r>
      <w:r>
        <w:rPr>
          <w:sz w:val="22"/>
        </w:rPr>
        <w:t>growth </w:t>
      </w:r>
      <w:r>
        <w:rPr>
          <w:w w:val="95"/>
          <w:sz w:val="22"/>
        </w:rPr>
        <w:t>witnessed</w:t>
      </w:r>
      <w:r>
        <w:rPr>
          <w:spacing w:val="-21"/>
          <w:w w:val="95"/>
          <w:sz w:val="22"/>
        </w:rPr>
        <w:t> </w:t>
      </w:r>
      <w:r>
        <w:rPr>
          <w:w w:val="95"/>
          <w:sz w:val="22"/>
        </w:rPr>
        <w:t>in</w:t>
      </w:r>
      <w:r>
        <w:rPr>
          <w:spacing w:val="-22"/>
          <w:w w:val="95"/>
          <w:sz w:val="22"/>
        </w:rPr>
        <w:t> </w:t>
      </w:r>
      <w:r>
        <w:rPr>
          <w:w w:val="95"/>
          <w:sz w:val="22"/>
        </w:rPr>
        <w:t>the</w:t>
      </w:r>
      <w:r>
        <w:rPr>
          <w:spacing w:val="-23"/>
          <w:w w:val="95"/>
          <w:sz w:val="22"/>
        </w:rPr>
        <w:t> </w:t>
      </w:r>
      <w:r>
        <w:rPr>
          <w:w w:val="95"/>
          <w:sz w:val="22"/>
        </w:rPr>
        <w:t>market</w:t>
      </w:r>
      <w:r>
        <w:rPr>
          <w:spacing w:val="-20"/>
          <w:w w:val="95"/>
          <w:sz w:val="22"/>
        </w:rPr>
        <w:t> </w:t>
      </w:r>
      <w:r>
        <w:rPr>
          <w:w w:val="95"/>
          <w:sz w:val="22"/>
        </w:rPr>
        <w:t>rents.</w:t>
      </w:r>
      <w:r>
        <w:rPr>
          <w:spacing w:val="-22"/>
          <w:w w:val="95"/>
          <w:sz w:val="22"/>
        </w:rPr>
        <w:t> </w:t>
      </w:r>
      <w:r>
        <w:rPr>
          <w:w w:val="95"/>
          <w:sz w:val="22"/>
        </w:rPr>
        <w:t>This</w:t>
      </w:r>
      <w:r>
        <w:rPr>
          <w:spacing w:val="-21"/>
          <w:w w:val="95"/>
          <w:sz w:val="22"/>
        </w:rPr>
        <w:t> </w:t>
      </w:r>
      <w:r>
        <w:rPr>
          <w:w w:val="95"/>
          <w:sz w:val="22"/>
        </w:rPr>
        <w:t>is</w:t>
      </w:r>
      <w:r>
        <w:rPr>
          <w:spacing w:val="-20"/>
          <w:w w:val="95"/>
          <w:sz w:val="22"/>
        </w:rPr>
        <w:t> </w:t>
      </w:r>
      <w:r>
        <w:rPr>
          <w:w w:val="95"/>
          <w:sz w:val="22"/>
        </w:rPr>
        <w:t>expected</w:t>
      </w:r>
      <w:r>
        <w:rPr>
          <w:spacing w:val="-21"/>
          <w:w w:val="95"/>
          <w:sz w:val="22"/>
        </w:rPr>
        <w:t> </w:t>
      </w:r>
      <w:r>
        <w:rPr>
          <w:w w:val="95"/>
          <w:sz w:val="22"/>
        </w:rPr>
        <w:t>to</w:t>
      </w:r>
      <w:r>
        <w:rPr>
          <w:spacing w:val="-21"/>
          <w:w w:val="95"/>
          <w:sz w:val="22"/>
        </w:rPr>
        <w:t> </w:t>
      </w:r>
      <w:r>
        <w:rPr>
          <w:w w:val="95"/>
          <w:sz w:val="22"/>
        </w:rPr>
        <w:t>result</w:t>
      </w:r>
      <w:r>
        <w:rPr>
          <w:spacing w:val="-22"/>
          <w:w w:val="95"/>
          <w:sz w:val="22"/>
        </w:rPr>
        <w:t> </w:t>
      </w:r>
      <w:r>
        <w:rPr>
          <w:w w:val="95"/>
          <w:sz w:val="22"/>
        </w:rPr>
        <w:t>in</w:t>
      </w:r>
      <w:r>
        <w:rPr>
          <w:spacing w:val="-20"/>
          <w:w w:val="95"/>
          <w:sz w:val="22"/>
        </w:rPr>
        <w:t> </w:t>
      </w:r>
      <w:r>
        <w:rPr>
          <w:w w:val="95"/>
          <w:sz w:val="22"/>
        </w:rPr>
        <w:t>a</w:t>
      </w:r>
      <w:r>
        <w:rPr>
          <w:spacing w:val="-20"/>
          <w:w w:val="95"/>
          <w:sz w:val="22"/>
        </w:rPr>
        <w:t> </w:t>
      </w:r>
      <w:r>
        <w:rPr>
          <w:w w:val="95"/>
          <w:sz w:val="22"/>
        </w:rPr>
        <w:t>significantly</w:t>
      </w:r>
      <w:r>
        <w:rPr>
          <w:spacing w:val="-21"/>
          <w:w w:val="95"/>
          <w:sz w:val="22"/>
        </w:rPr>
        <w:t> </w:t>
      </w:r>
      <w:r>
        <w:rPr>
          <w:w w:val="95"/>
          <w:sz w:val="22"/>
        </w:rPr>
        <w:t>favourable</w:t>
      </w:r>
      <w:r>
        <w:rPr>
          <w:spacing w:val="-22"/>
          <w:w w:val="95"/>
          <w:sz w:val="22"/>
        </w:rPr>
        <w:t> </w:t>
      </w:r>
      <w:r>
        <w:rPr>
          <w:w w:val="95"/>
          <w:sz w:val="22"/>
        </w:rPr>
        <w:t>mark</w:t>
      </w:r>
      <w:r>
        <w:rPr>
          <w:spacing w:val="-23"/>
          <w:w w:val="95"/>
          <w:sz w:val="22"/>
        </w:rPr>
        <w:t> </w:t>
      </w:r>
      <w:r>
        <w:rPr>
          <w:w w:val="95"/>
          <w:sz w:val="22"/>
        </w:rPr>
        <w:t>to</w:t>
      </w:r>
      <w:r>
        <w:rPr>
          <w:spacing w:val="-19"/>
          <w:w w:val="95"/>
          <w:sz w:val="22"/>
        </w:rPr>
        <w:t> </w:t>
      </w:r>
      <w:r>
        <w:rPr>
          <w:w w:val="95"/>
          <w:sz w:val="22"/>
        </w:rPr>
        <w:t>market </w:t>
      </w:r>
      <w:r>
        <w:rPr>
          <w:sz w:val="22"/>
        </w:rPr>
        <w:t>upside upon reversion of</w:t>
      </w:r>
      <w:r>
        <w:rPr>
          <w:spacing w:val="-13"/>
          <w:sz w:val="22"/>
        </w:rPr>
        <w:t> </w:t>
      </w:r>
      <w:r>
        <w:rPr>
          <w:sz w:val="22"/>
        </w:rPr>
        <w:t>leases.</w:t>
      </w:r>
    </w:p>
    <w:p>
      <w:pPr>
        <w:pStyle w:val="ListParagraph"/>
        <w:numPr>
          <w:ilvl w:val="0"/>
          <w:numId w:val="23"/>
        </w:numPr>
        <w:tabs>
          <w:tab w:pos="1541" w:val="left" w:leader="none"/>
        </w:tabs>
        <w:spacing w:line="321" w:lineRule="auto" w:before="121" w:after="0"/>
        <w:ind w:left="1540" w:right="633" w:hanging="360"/>
        <w:jc w:val="both"/>
        <w:rPr>
          <w:sz w:val="22"/>
        </w:rPr>
      </w:pPr>
      <w:r>
        <w:rPr>
          <w:sz w:val="22"/>
        </w:rPr>
        <w:t>Few</w:t>
      </w:r>
      <w:r>
        <w:rPr>
          <w:spacing w:val="-17"/>
          <w:sz w:val="22"/>
        </w:rPr>
        <w:t> </w:t>
      </w:r>
      <w:r>
        <w:rPr>
          <w:sz w:val="22"/>
        </w:rPr>
        <w:t>of</w:t>
      </w:r>
      <w:r>
        <w:rPr>
          <w:spacing w:val="-17"/>
          <w:sz w:val="22"/>
        </w:rPr>
        <w:t> </w:t>
      </w:r>
      <w:r>
        <w:rPr>
          <w:sz w:val="22"/>
        </w:rPr>
        <w:t>the</w:t>
      </w:r>
      <w:r>
        <w:rPr>
          <w:spacing w:val="-18"/>
          <w:sz w:val="22"/>
        </w:rPr>
        <w:t> </w:t>
      </w:r>
      <w:r>
        <w:rPr>
          <w:sz w:val="22"/>
        </w:rPr>
        <w:t>Embassy</w:t>
      </w:r>
      <w:r>
        <w:rPr>
          <w:spacing w:val="-17"/>
          <w:sz w:val="22"/>
        </w:rPr>
        <w:t> </w:t>
      </w:r>
      <w:r>
        <w:rPr>
          <w:sz w:val="22"/>
        </w:rPr>
        <w:t>REIT</w:t>
      </w:r>
      <w:r>
        <w:rPr>
          <w:spacing w:val="-18"/>
          <w:sz w:val="22"/>
        </w:rPr>
        <w:t> </w:t>
      </w:r>
      <w:r>
        <w:rPr>
          <w:sz w:val="22"/>
        </w:rPr>
        <w:t>assets</w:t>
      </w:r>
      <w:r>
        <w:rPr>
          <w:spacing w:val="-16"/>
          <w:sz w:val="22"/>
        </w:rPr>
        <w:t> </w:t>
      </w:r>
      <w:r>
        <w:rPr>
          <w:sz w:val="22"/>
        </w:rPr>
        <w:t>are</w:t>
      </w:r>
      <w:r>
        <w:rPr>
          <w:spacing w:val="-17"/>
          <w:sz w:val="22"/>
        </w:rPr>
        <w:t> </w:t>
      </w:r>
      <w:r>
        <w:rPr>
          <w:sz w:val="22"/>
        </w:rPr>
        <w:t>amongst</w:t>
      </w:r>
      <w:r>
        <w:rPr>
          <w:spacing w:val="-17"/>
          <w:sz w:val="22"/>
        </w:rPr>
        <w:t> </w:t>
      </w:r>
      <w:r>
        <w:rPr>
          <w:sz w:val="22"/>
        </w:rPr>
        <w:t>the</w:t>
      </w:r>
      <w:r>
        <w:rPr>
          <w:spacing w:val="-18"/>
          <w:sz w:val="22"/>
        </w:rPr>
        <w:t> </w:t>
      </w:r>
      <w:r>
        <w:rPr>
          <w:sz w:val="22"/>
        </w:rPr>
        <w:t>largest</w:t>
      </w:r>
      <w:r>
        <w:rPr>
          <w:spacing w:val="-17"/>
          <w:sz w:val="22"/>
        </w:rPr>
        <w:t> </w:t>
      </w:r>
      <w:r>
        <w:rPr>
          <w:sz w:val="22"/>
        </w:rPr>
        <w:t>in</w:t>
      </w:r>
      <w:r>
        <w:rPr>
          <w:spacing w:val="-20"/>
          <w:sz w:val="22"/>
        </w:rPr>
        <w:t> </w:t>
      </w:r>
      <w:r>
        <w:rPr>
          <w:sz w:val="22"/>
        </w:rPr>
        <w:t>their</w:t>
      </w:r>
      <w:r>
        <w:rPr>
          <w:spacing w:val="-18"/>
          <w:sz w:val="22"/>
        </w:rPr>
        <w:t> </w:t>
      </w:r>
      <w:r>
        <w:rPr>
          <w:sz w:val="22"/>
        </w:rPr>
        <w:t>respective</w:t>
      </w:r>
      <w:r>
        <w:rPr>
          <w:spacing w:val="-19"/>
          <w:sz w:val="22"/>
        </w:rPr>
        <w:t> </w:t>
      </w:r>
      <w:r>
        <w:rPr>
          <w:sz w:val="22"/>
        </w:rPr>
        <w:t>submarkets</w:t>
      </w:r>
      <w:r>
        <w:rPr>
          <w:spacing w:val="-17"/>
          <w:sz w:val="22"/>
        </w:rPr>
        <w:t> </w:t>
      </w:r>
      <w:r>
        <w:rPr>
          <w:sz w:val="22"/>
        </w:rPr>
        <w:t>offering scalability</w:t>
      </w:r>
      <w:r>
        <w:rPr>
          <w:spacing w:val="-11"/>
          <w:sz w:val="22"/>
        </w:rPr>
        <w:t> </w:t>
      </w:r>
      <w:r>
        <w:rPr>
          <w:sz w:val="22"/>
        </w:rPr>
        <w:t>to</w:t>
      </w:r>
      <w:r>
        <w:rPr>
          <w:spacing w:val="-10"/>
          <w:sz w:val="22"/>
        </w:rPr>
        <w:t> </w:t>
      </w:r>
      <w:r>
        <w:rPr>
          <w:sz w:val="22"/>
        </w:rPr>
        <w:t>its</w:t>
      </w:r>
      <w:r>
        <w:rPr>
          <w:spacing w:val="-11"/>
          <w:sz w:val="22"/>
        </w:rPr>
        <w:t> </w:t>
      </w:r>
      <w:r>
        <w:rPr>
          <w:sz w:val="22"/>
        </w:rPr>
        <w:t>occupiers.</w:t>
      </w:r>
      <w:r>
        <w:rPr>
          <w:spacing w:val="-9"/>
          <w:sz w:val="22"/>
        </w:rPr>
        <w:t> </w:t>
      </w:r>
      <w:r>
        <w:rPr>
          <w:sz w:val="22"/>
        </w:rPr>
        <w:t>Replicating</w:t>
      </w:r>
      <w:r>
        <w:rPr>
          <w:spacing w:val="-11"/>
          <w:sz w:val="22"/>
        </w:rPr>
        <w:t> </w:t>
      </w:r>
      <w:r>
        <w:rPr>
          <w:sz w:val="22"/>
        </w:rPr>
        <w:t>the</w:t>
      </w:r>
      <w:r>
        <w:rPr>
          <w:spacing w:val="-12"/>
          <w:sz w:val="22"/>
        </w:rPr>
        <w:t> </w:t>
      </w:r>
      <w:r>
        <w:rPr>
          <w:sz w:val="22"/>
        </w:rPr>
        <w:t>development</w:t>
      </w:r>
      <w:r>
        <w:rPr>
          <w:spacing w:val="-11"/>
          <w:sz w:val="22"/>
        </w:rPr>
        <w:t> </w:t>
      </w:r>
      <w:r>
        <w:rPr>
          <w:sz w:val="22"/>
        </w:rPr>
        <w:t>and</w:t>
      </w:r>
      <w:r>
        <w:rPr>
          <w:spacing w:val="-11"/>
          <w:sz w:val="22"/>
        </w:rPr>
        <w:t> </w:t>
      </w:r>
      <w:r>
        <w:rPr>
          <w:sz w:val="22"/>
        </w:rPr>
        <w:t>success</w:t>
      </w:r>
      <w:r>
        <w:rPr>
          <w:spacing w:val="-10"/>
          <w:sz w:val="22"/>
        </w:rPr>
        <w:t> </w:t>
      </w:r>
      <w:r>
        <w:rPr>
          <w:sz w:val="22"/>
        </w:rPr>
        <w:t>of</w:t>
      </w:r>
      <w:r>
        <w:rPr>
          <w:spacing w:val="-11"/>
          <w:sz w:val="22"/>
        </w:rPr>
        <w:t> </w:t>
      </w:r>
      <w:r>
        <w:rPr>
          <w:sz w:val="22"/>
        </w:rPr>
        <w:t>such</w:t>
      </w:r>
      <w:r>
        <w:rPr>
          <w:spacing w:val="-12"/>
          <w:sz w:val="22"/>
        </w:rPr>
        <w:t> </w:t>
      </w:r>
      <w:r>
        <w:rPr>
          <w:sz w:val="22"/>
        </w:rPr>
        <w:t>large</w:t>
      </w:r>
      <w:r>
        <w:rPr>
          <w:spacing w:val="-10"/>
          <w:sz w:val="22"/>
        </w:rPr>
        <w:t> </w:t>
      </w:r>
      <w:r>
        <w:rPr>
          <w:sz w:val="22"/>
        </w:rPr>
        <w:t>scale</w:t>
      </w:r>
      <w:r>
        <w:rPr>
          <w:spacing w:val="-10"/>
          <w:sz w:val="22"/>
        </w:rPr>
        <w:t> </w:t>
      </w:r>
      <w:r>
        <w:rPr>
          <w:sz w:val="22"/>
        </w:rPr>
        <w:t>office parks</w:t>
      </w:r>
      <w:r>
        <w:rPr>
          <w:spacing w:val="-9"/>
          <w:sz w:val="22"/>
        </w:rPr>
        <w:t> </w:t>
      </w:r>
      <w:r>
        <w:rPr>
          <w:sz w:val="22"/>
        </w:rPr>
        <w:t>are</w:t>
      </w:r>
      <w:r>
        <w:rPr>
          <w:spacing w:val="-10"/>
          <w:sz w:val="22"/>
        </w:rPr>
        <w:t> </w:t>
      </w:r>
      <w:r>
        <w:rPr>
          <w:sz w:val="22"/>
        </w:rPr>
        <w:t>limited</w:t>
      </w:r>
      <w:r>
        <w:rPr>
          <w:spacing w:val="-11"/>
          <w:sz w:val="22"/>
        </w:rPr>
        <w:t> </w:t>
      </w:r>
      <w:r>
        <w:rPr>
          <w:sz w:val="22"/>
        </w:rPr>
        <w:t>by</w:t>
      </w:r>
      <w:r>
        <w:rPr>
          <w:spacing w:val="-8"/>
          <w:sz w:val="22"/>
        </w:rPr>
        <w:t> </w:t>
      </w:r>
      <w:r>
        <w:rPr>
          <w:sz w:val="22"/>
        </w:rPr>
        <w:t>challenges</w:t>
      </w:r>
      <w:r>
        <w:rPr>
          <w:spacing w:val="-9"/>
          <w:sz w:val="22"/>
        </w:rPr>
        <w:t> </w:t>
      </w:r>
      <w:r>
        <w:rPr>
          <w:sz w:val="22"/>
        </w:rPr>
        <w:t>in</w:t>
      </w:r>
      <w:r>
        <w:rPr>
          <w:spacing w:val="-11"/>
          <w:sz w:val="22"/>
        </w:rPr>
        <w:t> </w:t>
      </w:r>
      <w:r>
        <w:rPr>
          <w:sz w:val="22"/>
        </w:rPr>
        <w:t>land</w:t>
      </w:r>
      <w:r>
        <w:rPr>
          <w:spacing w:val="-9"/>
          <w:sz w:val="22"/>
        </w:rPr>
        <w:t> </w:t>
      </w:r>
      <w:r>
        <w:rPr>
          <w:sz w:val="22"/>
        </w:rPr>
        <w:t>acquisition</w:t>
      </w:r>
      <w:r>
        <w:rPr>
          <w:spacing w:val="-9"/>
          <w:sz w:val="22"/>
        </w:rPr>
        <w:t> </w:t>
      </w:r>
      <w:r>
        <w:rPr>
          <w:sz w:val="22"/>
        </w:rPr>
        <w:t>in</w:t>
      </w:r>
      <w:r>
        <w:rPr>
          <w:spacing w:val="-11"/>
          <w:sz w:val="22"/>
        </w:rPr>
        <w:t> </w:t>
      </w:r>
      <w:r>
        <w:rPr>
          <w:sz w:val="22"/>
        </w:rPr>
        <w:t>India</w:t>
      </w:r>
      <w:r>
        <w:rPr>
          <w:spacing w:val="-10"/>
          <w:sz w:val="22"/>
        </w:rPr>
        <w:t> </w:t>
      </w:r>
      <w:r>
        <w:rPr>
          <w:sz w:val="22"/>
        </w:rPr>
        <w:t>along</w:t>
      </w:r>
      <w:r>
        <w:rPr>
          <w:spacing w:val="-9"/>
          <w:sz w:val="22"/>
        </w:rPr>
        <w:t> </w:t>
      </w:r>
      <w:r>
        <w:rPr>
          <w:sz w:val="22"/>
        </w:rPr>
        <w:t>with</w:t>
      </w:r>
      <w:r>
        <w:rPr>
          <w:spacing w:val="-11"/>
          <w:sz w:val="22"/>
        </w:rPr>
        <w:t> </w:t>
      </w:r>
      <w:r>
        <w:rPr>
          <w:sz w:val="22"/>
        </w:rPr>
        <w:t>longer</w:t>
      </w:r>
      <w:r>
        <w:rPr>
          <w:spacing w:val="-10"/>
          <w:sz w:val="22"/>
        </w:rPr>
        <w:t> </w:t>
      </w:r>
      <w:r>
        <w:rPr>
          <w:sz w:val="22"/>
        </w:rPr>
        <w:t>development</w:t>
      </w:r>
      <w:r>
        <w:rPr>
          <w:spacing w:val="-3"/>
          <w:sz w:val="22"/>
        </w:rPr>
        <w:t> </w:t>
      </w:r>
      <w:r>
        <w:rPr>
          <w:sz w:val="22"/>
        </w:rPr>
        <w:t>and marketing timeframe involved in the evolution of such</w:t>
      </w:r>
      <w:r>
        <w:rPr>
          <w:spacing w:val="-45"/>
          <w:sz w:val="22"/>
        </w:rPr>
        <w:t> </w:t>
      </w:r>
      <w:r>
        <w:rPr>
          <w:sz w:val="22"/>
        </w:rPr>
        <w:t>parks</w:t>
      </w:r>
    </w:p>
    <w:p>
      <w:pPr>
        <w:spacing w:after="0" w:line="321" w:lineRule="auto"/>
        <w:jc w:val="both"/>
        <w:rPr>
          <w:sz w:val="22"/>
        </w:rPr>
        <w:sectPr>
          <w:pgSz w:w="11910" w:h="16840"/>
          <w:pgMar w:header="720" w:footer="842" w:top="1520" w:bottom="1040" w:left="440" w:right="80"/>
        </w:sectPr>
      </w:pPr>
    </w:p>
    <w:p>
      <w:pPr>
        <w:pStyle w:val="BodyText"/>
        <w:spacing w:before="5"/>
      </w:pPr>
    </w:p>
    <w:p>
      <w:pPr>
        <w:pStyle w:val="ListParagraph"/>
        <w:numPr>
          <w:ilvl w:val="1"/>
          <w:numId w:val="14"/>
        </w:numPr>
        <w:tabs>
          <w:tab w:pos="856" w:val="left" w:leader="none"/>
          <w:tab w:pos="857" w:val="left" w:leader="none"/>
        </w:tabs>
        <w:spacing w:line="240" w:lineRule="auto" w:before="106" w:after="0"/>
        <w:ind w:left="856" w:right="0" w:hanging="577"/>
        <w:jc w:val="left"/>
        <w:rPr>
          <w:color w:val="1F6647"/>
          <w:sz w:val="22"/>
        </w:rPr>
      </w:pPr>
      <w:bookmarkStart w:name="_bookmark22" w:id="44"/>
      <w:bookmarkEnd w:id="44"/>
      <w:r>
        <w:rPr/>
      </w:r>
      <w:bookmarkStart w:name="_bookmark22" w:id="45"/>
      <w:bookmarkEnd w:id="45"/>
      <w:r>
        <w:rPr>
          <w:color w:val="1F6647"/>
          <w:sz w:val="22"/>
        </w:rPr>
        <w:t>N</w:t>
      </w:r>
      <w:r>
        <w:rPr>
          <w:color w:val="1F6647"/>
          <w:sz w:val="22"/>
        </w:rPr>
        <w:t>ature of the Interest of the Embassy</w:t>
      </w:r>
      <w:r>
        <w:rPr>
          <w:color w:val="1F6647"/>
          <w:spacing w:val="-6"/>
          <w:sz w:val="22"/>
        </w:rPr>
        <w:t> </w:t>
      </w:r>
      <w:r>
        <w:rPr>
          <w:color w:val="1F6647"/>
          <w:sz w:val="22"/>
        </w:rPr>
        <w:t>REIT</w:t>
      </w:r>
    </w:p>
    <w:p>
      <w:pPr>
        <w:pStyle w:val="BodyText"/>
        <w:spacing w:before="208"/>
        <w:ind w:left="820"/>
      </w:pPr>
      <w:r>
        <w:rPr/>
        <w:t>The table below highlights the nature of interest of the Embassy REIT:</w:t>
      </w:r>
    </w:p>
    <w:p>
      <w:pPr>
        <w:pStyle w:val="BodyText"/>
        <w:spacing w:before="8"/>
        <w:rPr>
          <w:sz w:val="18"/>
        </w:rPr>
      </w:pPr>
    </w:p>
    <w:tbl>
      <w:tblPr>
        <w:tblW w:w="0" w:type="auto"/>
        <w:jc w:val="left"/>
        <w:tblInd w:w="3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75"/>
        <w:gridCol w:w="1974"/>
        <w:gridCol w:w="1711"/>
        <w:gridCol w:w="2363"/>
      </w:tblGrid>
      <w:tr>
        <w:trPr>
          <w:trHeight w:val="1081" w:hRule="atLeast"/>
        </w:trPr>
        <w:tc>
          <w:tcPr>
            <w:tcW w:w="4375" w:type="dxa"/>
            <w:tcBorders>
              <w:top w:val="single" w:sz="12" w:space="0" w:color="1F6B16"/>
              <w:bottom w:val="single" w:sz="6" w:space="0" w:color="69BD28"/>
            </w:tcBorders>
            <w:shd w:val="clear" w:color="auto" w:fill="006A4D"/>
          </w:tcPr>
          <w:p>
            <w:pPr>
              <w:pStyle w:val="TableParagraph"/>
              <w:jc w:val="left"/>
              <w:rPr>
                <w:sz w:val="22"/>
              </w:rPr>
            </w:pPr>
          </w:p>
          <w:p>
            <w:pPr>
              <w:pStyle w:val="TableParagraph"/>
              <w:spacing w:before="148"/>
              <w:ind w:left="36" w:right="185"/>
              <w:rPr>
                <w:b/>
                <w:sz w:val="18"/>
              </w:rPr>
            </w:pPr>
            <w:r>
              <w:rPr>
                <w:b/>
                <w:color w:val="FFFFFF"/>
                <w:w w:val="110"/>
                <w:sz w:val="18"/>
              </w:rPr>
              <w:t>Development Name</w:t>
            </w:r>
          </w:p>
        </w:tc>
        <w:tc>
          <w:tcPr>
            <w:tcW w:w="1974" w:type="dxa"/>
            <w:tcBorders>
              <w:top w:val="single" w:sz="12" w:space="0" w:color="1F6B16"/>
              <w:bottom w:val="single" w:sz="6" w:space="0" w:color="69BD28"/>
            </w:tcBorders>
            <w:shd w:val="clear" w:color="auto" w:fill="006A4D"/>
          </w:tcPr>
          <w:p>
            <w:pPr>
              <w:pStyle w:val="TableParagraph"/>
              <w:jc w:val="left"/>
              <w:rPr>
                <w:sz w:val="22"/>
              </w:rPr>
            </w:pPr>
          </w:p>
          <w:p>
            <w:pPr>
              <w:pStyle w:val="TableParagraph"/>
              <w:spacing w:before="148"/>
              <w:ind w:left="247" w:right="268"/>
              <w:rPr>
                <w:b/>
                <w:sz w:val="18"/>
              </w:rPr>
            </w:pPr>
            <w:r>
              <w:rPr>
                <w:b/>
                <w:color w:val="FFFFFF"/>
                <w:w w:val="110"/>
                <w:sz w:val="18"/>
              </w:rPr>
              <w:t>Interest Valued</w:t>
            </w:r>
          </w:p>
        </w:tc>
        <w:tc>
          <w:tcPr>
            <w:tcW w:w="1711" w:type="dxa"/>
            <w:tcBorders>
              <w:top w:val="single" w:sz="12" w:space="0" w:color="1F6B16"/>
              <w:bottom w:val="single" w:sz="6" w:space="0" w:color="69BD28"/>
            </w:tcBorders>
            <w:shd w:val="clear" w:color="auto" w:fill="006A4D"/>
          </w:tcPr>
          <w:p>
            <w:pPr>
              <w:pStyle w:val="TableParagraph"/>
              <w:spacing w:line="321" w:lineRule="auto" w:before="123"/>
              <w:ind w:left="300" w:right="187" w:hanging="5"/>
              <w:rPr>
                <w:b/>
                <w:sz w:val="18"/>
              </w:rPr>
            </w:pPr>
            <w:r>
              <w:rPr>
                <w:b/>
                <w:color w:val="FFFFFF"/>
                <w:w w:val="105"/>
                <w:sz w:val="18"/>
              </w:rPr>
              <w:t>Interest Embassy REIT holds</w:t>
            </w:r>
          </w:p>
        </w:tc>
        <w:tc>
          <w:tcPr>
            <w:tcW w:w="2363" w:type="dxa"/>
            <w:tcBorders>
              <w:top w:val="single" w:sz="12" w:space="0" w:color="1F6B16"/>
              <w:bottom w:val="single" w:sz="6" w:space="0" w:color="69BD28"/>
            </w:tcBorders>
            <w:shd w:val="clear" w:color="auto" w:fill="006A4D"/>
          </w:tcPr>
          <w:p>
            <w:pPr>
              <w:pStyle w:val="TableParagraph"/>
              <w:spacing w:line="321" w:lineRule="auto" w:before="123"/>
              <w:ind w:left="196" w:right="230"/>
              <w:rPr>
                <w:b/>
                <w:sz w:val="18"/>
              </w:rPr>
            </w:pPr>
            <w:r>
              <w:rPr>
                <w:b/>
                <w:color w:val="FFFFFF"/>
                <w:w w:val="105"/>
                <w:sz w:val="18"/>
              </w:rPr>
              <w:t>Remainder of term in case of Leasehold (approx.)</w:t>
            </w:r>
          </w:p>
        </w:tc>
      </w:tr>
      <w:tr>
        <w:trPr>
          <w:trHeight w:val="520" w:hRule="atLeast"/>
        </w:trPr>
        <w:tc>
          <w:tcPr>
            <w:tcW w:w="4375" w:type="dxa"/>
            <w:tcBorders>
              <w:top w:val="single" w:sz="6" w:space="0" w:color="69BD28"/>
              <w:bottom w:val="single" w:sz="6" w:space="0" w:color="69BD28"/>
            </w:tcBorders>
          </w:tcPr>
          <w:p>
            <w:pPr>
              <w:pStyle w:val="TableParagraph"/>
              <w:spacing w:before="123"/>
              <w:ind w:left="36" w:right="186"/>
              <w:rPr>
                <w:sz w:val="18"/>
              </w:rPr>
            </w:pPr>
            <w:r>
              <w:rPr>
                <w:sz w:val="18"/>
              </w:rPr>
              <w:t>Embassy Manyata, Bengaluru</w:t>
            </w:r>
          </w:p>
        </w:tc>
        <w:tc>
          <w:tcPr>
            <w:tcW w:w="1974" w:type="dxa"/>
            <w:tcBorders>
              <w:top w:val="single" w:sz="6" w:space="0" w:color="69BD28"/>
              <w:bottom w:val="single" w:sz="6" w:space="0" w:color="69BD28"/>
            </w:tcBorders>
          </w:tcPr>
          <w:p>
            <w:pPr>
              <w:pStyle w:val="TableParagraph"/>
              <w:spacing w:before="123"/>
              <w:ind w:left="246" w:right="268"/>
              <w:rPr>
                <w:sz w:val="18"/>
              </w:rPr>
            </w:pPr>
            <w:r>
              <w:rPr>
                <w:sz w:val="18"/>
              </w:rPr>
              <w:t>Freehold*</w:t>
            </w:r>
          </w:p>
        </w:tc>
        <w:tc>
          <w:tcPr>
            <w:tcW w:w="1711" w:type="dxa"/>
            <w:tcBorders>
              <w:top w:val="single" w:sz="6" w:space="0" w:color="69BD28"/>
              <w:bottom w:val="single" w:sz="6" w:space="0" w:color="69BD28"/>
            </w:tcBorders>
          </w:tcPr>
          <w:p>
            <w:pPr>
              <w:pStyle w:val="TableParagraph"/>
              <w:spacing w:before="123"/>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3"/>
              <w:ind w:left="196" w:right="228"/>
              <w:rPr>
                <w:sz w:val="18"/>
              </w:rPr>
            </w:pPr>
            <w:r>
              <w:rPr>
                <w:w w:val="115"/>
                <w:sz w:val="18"/>
              </w:rPr>
              <w:t>NA</w:t>
            </w:r>
          </w:p>
        </w:tc>
      </w:tr>
      <w:tr>
        <w:trPr>
          <w:trHeight w:val="520" w:hRule="atLeast"/>
        </w:trPr>
        <w:tc>
          <w:tcPr>
            <w:tcW w:w="4375" w:type="dxa"/>
            <w:tcBorders>
              <w:top w:val="single" w:sz="6" w:space="0" w:color="69BD28"/>
              <w:bottom w:val="single" w:sz="6" w:space="0" w:color="69BD28"/>
            </w:tcBorders>
          </w:tcPr>
          <w:p>
            <w:pPr>
              <w:pStyle w:val="TableParagraph"/>
              <w:spacing w:before="123"/>
              <w:ind w:left="36" w:right="186"/>
              <w:rPr>
                <w:sz w:val="18"/>
              </w:rPr>
            </w:pPr>
            <w:r>
              <w:rPr>
                <w:sz w:val="18"/>
              </w:rPr>
              <w:t>Express Towers, Mumbai</w:t>
            </w:r>
          </w:p>
        </w:tc>
        <w:tc>
          <w:tcPr>
            <w:tcW w:w="1974" w:type="dxa"/>
            <w:tcBorders>
              <w:top w:val="single" w:sz="6" w:space="0" w:color="69BD28"/>
              <w:bottom w:val="single" w:sz="6" w:space="0" w:color="69BD28"/>
            </w:tcBorders>
          </w:tcPr>
          <w:p>
            <w:pPr>
              <w:pStyle w:val="TableParagraph"/>
              <w:spacing w:before="123"/>
              <w:ind w:left="247" w:right="267"/>
              <w:rPr>
                <w:sz w:val="18"/>
              </w:rPr>
            </w:pPr>
            <w:r>
              <w:rPr>
                <w:sz w:val="18"/>
              </w:rPr>
              <w:t>Freehold</w:t>
            </w:r>
          </w:p>
        </w:tc>
        <w:tc>
          <w:tcPr>
            <w:tcW w:w="1711" w:type="dxa"/>
            <w:tcBorders>
              <w:top w:val="single" w:sz="6" w:space="0" w:color="69BD28"/>
              <w:bottom w:val="single" w:sz="6" w:space="0" w:color="69BD28"/>
            </w:tcBorders>
          </w:tcPr>
          <w:p>
            <w:pPr>
              <w:pStyle w:val="TableParagraph"/>
              <w:spacing w:before="123"/>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3"/>
              <w:ind w:left="196" w:right="228"/>
              <w:rPr>
                <w:sz w:val="18"/>
              </w:rPr>
            </w:pPr>
            <w:r>
              <w:rPr>
                <w:w w:val="115"/>
                <w:sz w:val="18"/>
              </w:rPr>
              <w:t>NA</w:t>
            </w:r>
          </w:p>
        </w:tc>
      </w:tr>
      <w:tr>
        <w:trPr>
          <w:trHeight w:val="520" w:hRule="atLeast"/>
        </w:trPr>
        <w:tc>
          <w:tcPr>
            <w:tcW w:w="4375" w:type="dxa"/>
            <w:tcBorders>
              <w:top w:val="single" w:sz="6" w:space="0" w:color="69BD28"/>
              <w:bottom w:val="single" w:sz="6" w:space="0" w:color="69BD28"/>
            </w:tcBorders>
          </w:tcPr>
          <w:p>
            <w:pPr>
              <w:pStyle w:val="TableParagraph"/>
              <w:spacing w:before="123"/>
              <w:ind w:left="36" w:right="186"/>
              <w:rPr>
                <w:sz w:val="18"/>
              </w:rPr>
            </w:pPr>
            <w:r>
              <w:rPr>
                <w:sz w:val="18"/>
              </w:rPr>
              <w:t>Embassy 247, Mumbai</w:t>
            </w:r>
          </w:p>
        </w:tc>
        <w:tc>
          <w:tcPr>
            <w:tcW w:w="1974" w:type="dxa"/>
            <w:tcBorders>
              <w:top w:val="single" w:sz="6" w:space="0" w:color="69BD28"/>
              <w:bottom w:val="single" w:sz="6" w:space="0" w:color="69BD28"/>
            </w:tcBorders>
          </w:tcPr>
          <w:p>
            <w:pPr>
              <w:pStyle w:val="TableParagraph"/>
              <w:spacing w:before="123"/>
              <w:ind w:left="247" w:right="267"/>
              <w:rPr>
                <w:sz w:val="18"/>
              </w:rPr>
            </w:pPr>
            <w:r>
              <w:rPr>
                <w:sz w:val="18"/>
              </w:rPr>
              <w:t>Freehold</w:t>
            </w:r>
          </w:p>
        </w:tc>
        <w:tc>
          <w:tcPr>
            <w:tcW w:w="1711" w:type="dxa"/>
            <w:tcBorders>
              <w:top w:val="single" w:sz="6" w:space="0" w:color="69BD28"/>
              <w:bottom w:val="single" w:sz="6" w:space="0" w:color="69BD28"/>
            </w:tcBorders>
          </w:tcPr>
          <w:p>
            <w:pPr>
              <w:pStyle w:val="TableParagraph"/>
              <w:spacing w:before="123"/>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3"/>
              <w:ind w:left="196" w:right="228"/>
              <w:rPr>
                <w:sz w:val="18"/>
              </w:rPr>
            </w:pPr>
            <w:r>
              <w:rPr>
                <w:w w:val="115"/>
                <w:sz w:val="18"/>
              </w:rPr>
              <w:t>NA</w:t>
            </w:r>
          </w:p>
        </w:tc>
      </w:tr>
      <w:tr>
        <w:trPr>
          <w:trHeight w:val="520" w:hRule="atLeast"/>
        </w:trPr>
        <w:tc>
          <w:tcPr>
            <w:tcW w:w="4375" w:type="dxa"/>
            <w:tcBorders>
              <w:top w:val="single" w:sz="6" w:space="0" w:color="69BD28"/>
              <w:bottom w:val="single" w:sz="6" w:space="0" w:color="69BD28"/>
            </w:tcBorders>
          </w:tcPr>
          <w:p>
            <w:pPr>
              <w:pStyle w:val="TableParagraph"/>
              <w:spacing w:before="126"/>
              <w:ind w:left="36" w:right="186"/>
              <w:rPr>
                <w:sz w:val="18"/>
              </w:rPr>
            </w:pPr>
            <w:r>
              <w:rPr>
                <w:sz w:val="18"/>
              </w:rPr>
              <w:t>First International Financial Center (FIFC), Mumbai</w:t>
            </w:r>
          </w:p>
        </w:tc>
        <w:tc>
          <w:tcPr>
            <w:tcW w:w="1974" w:type="dxa"/>
            <w:tcBorders>
              <w:top w:val="single" w:sz="6" w:space="0" w:color="69BD28"/>
              <w:bottom w:val="single" w:sz="6" w:space="0" w:color="69BD28"/>
            </w:tcBorders>
          </w:tcPr>
          <w:p>
            <w:pPr>
              <w:pStyle w:val="TableParagraph"/>
              <w:spacing w:before="126"/>
              <w:ind w:left="245" w:right="268"/>
              <w:rPr>
                <w:sz w:val="18"/>
              </w:rPr>
            </w:pPr>
            <w:r>
              <w:rPr>
                <w:sz w:val="18"/>
              </w:rPr>
              <w:t>Leasehold</w:t>
            </w:r>
          </w:p>
        </w:tc>
        <w:tc>
          <w:tcPr>
            <w:tcW w:w="1711" w:type="dxa"/>
            <w:tcBorders>
              <w:top w:val="single" w:sz="6" w:space="0" w:color="69BD28"/>
              <w:bottom w:val="single" w:sz="6" w:space="0" w:color="69BD28"/>
            </w:tcBorders>
          </w:tcPr>
          <w:p>
            <w:pPr>
              <w:pStyle w:val="TableParagraph"/>
              <w:spacing w:before="126"/>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6"/>
              <w:ind w:left="196" w:right="227"/>
              <w:rPr>
                <w:sz w:val="18"/>
              </w:rPr>
            </w:pPr>
            <w:r>
              <w:rPr>
                <w:w w:val="105"/>
                <w:sz w:val="18"/>
              </w:rPr>
              <w:t>68 Years</w:t>
            </w:r>
          </w:p>
        </w:tc>
      </w:tr>
      <w:tr>
        <w:trPr>
          <w:trHeight w:val="522" w:hRule="atLeast"/>
        </w:trPr>
        <w:tc>
          <w:tcPr>
            <w:tcW w:w="4375" w:type="dxa"/>
            <w:tcBorders>
              <w:top w:val="single" w:sz="6" w:space="0" w:color="69BD28"/>
              <w:bottom w:val="single" w:sz="6" w:space="0" w:color="69BD28"/>
            </w:tcBorders>
          </w:tcPr>
          <w:p>
            <w:pPr>
              <w:pStyle w:val="TableParagraph"/>
              <w:spacing w:before="126"/>
              <w:ind w:left="35" w:right="186"/>
              <w:rPr>
                <w:sz w:val="18"/>
              </w:rPr>
            </w:pPr>
            <w:r>
              <w:rPr>
                <w:sz w:val="18"/>
              </w:rPr>
              <w:t>Embassy TechZone, Pune</w:t>
            </w:r>
          </w:p>
        </w:tc>
        <w:tc>
          <w:tcPr>
            <w:tcW w:w="1974" w:type="dxa"/>
            <w:tcBorders>
              <w:top w:val="single" w:sz="6" w:space="0" w:color="69BD28"/>
              <w:bottom w:val="single" w:sz="6" w:space="0" w:color="69BD28"/>
            </w:tcBorders>
          </w:tcPr>
          <w:p>
            <w:pPr>
              <w:pStyle w:val="TableParagraph"/>
              <w:spacing w:before="126"/>
              <w:ind w:left="245" w:right="268"/>
              <w:rPr>
                <w:sz w:val="18"/>
              </w:rPr>
            </w:pPr>
            <w:r>
              <w:rPr>
                <w:sz w:val="18"/>
              </w:rPr>
              <w:t>Leasehold</w:t>
            </w:r>
          </w:p>
        </w:tc>
        <w:tc>
          <w:tcPr>
            <w:tcW w:w="1711" w:type="dxa"/>
            <w:tcBorders>
              <w:top w:val="single" w:sz="6" w:space="0" w:color="69BD28"/>
              <w:bottom w:val="single" w:sz="6" w:space="0" w:color="69BD28"/>
            </w:tcBorders>
          </w:tcPr>
          <w:p>
            <w:pPr>
              <w:pStyle w:val="TableParagraph"/>
              <w:spacing w:before="126"/>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6"/>
              <w:ind w:left="196" w:right="227"/>
              <w:rPr>
                <w:sz w:val="18"/>
              </w:rPr>
            </w:pPr>
            <w:r>
              <w:rPr>
                <w:w w:val="105"/>
                <w:sz w:val="18"/>
              </w:rPr>
              <w:t>80 Years</w:t>
            </w:r>
          </w:p>
        </w:tc>
      </w:tr>
      <w:tr>
        <w:trPr>
          <w:trHeight w:val="520" w:hRule="atLeast"/>
        </w:trPr>
        <w:tc>
          <w:tcPr>
            <w:tcW w:w="4375" w:type="dxa"/>
            <w:tcBorders>
              <w:top w:val="single" w:sz="6" w:space="0" w:color="69BD28"/>
              <w:bottom w:val="single" w:sz="6" w:space="0" w:color="69BD28"/>
            </w:tcBorders>
          </w:tcPr>
          <w:p>
            <w:pPr>
              <w:pStyle w:val="TableParagraph"/>
              <w:spacing w:before="123"/>
              <w:ind w:left="36" w:right="184"/>
              <w:rPr>
                <w:sz w:val="18"/>
              </w:rPr>
            </w:pPr>
            <w:r>
              <w:rPr>
                <w:sz w:val="18"/>
              </w:rPr>
              <w:t>Embassy Quadron, Pune</w:t>
            </w:r>
          </w:p>
        </w:tc>
        <w:tc>
          <w:tcPr>
            <w:tcW w:w="1974" w:type="dxa"/>
            <w:tcBorders>
              <w:top w:val="single" w:sz="6" w:space="0" w:color="69BD28"/>
              <w:bottom w:val="single" w:sz="6" w:space="0" w:color="69BD28"/>
            </w:tcBorders>
          </w:tcPr>
          <w:p>
            <w:pPr>
              <w:pStyle w:val="TableParagraph"/>
              <w:spacing w:before="123"/>
              <w:ind w:left="245" w:right="268"/>
              <w:rPr>
                <w:sz w:val="18"/>
              </w:rPr>
            </w:pPr>
            <w:r>
              <w:rPr>
                <w:sz w:val="18"/>
              </w:rPr>
              <w:t>Leasehold</w:t>
            </w:r>
          </w:p>
        </w:tc>
        <w:tc>
          <w:tcPr>
            <w:tcW w:w="1711" w:type="dxa"/>
            <w:tcBorders>
              <w:top w:val="single" w:sz="6" w:space="0" w:color="69BD28"/>
              <w:bottom w:val="single" w:sz="6" w:space="0" w:color="69BD28"/>
            </w:tcBorders>
          </w:tcPr>
          <w:p>
            <w:pPr>
              <w:pStyle w:val="TableParagraph"/>
              <w:spacing w:before="123"/>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3"/>
              <w:ind w:left="196" w:right="227"/>
              <w:rPr>
                <w:sz w:val="18"/>
              </w:rPr>
            </w:pPr>
            <w:r>
              <w:rPr>
                <w:w w:val="105"/>
                <w:sz w:val="18"/>
              </w:rPr>
              <w:t>80 Years</w:t>
            </w:r>
          </w:p>
        </w:tc>
      </w:tr>
      <w:tr>
        <w:trPr>
          <w:trHeight w:val="520" w:hRule="atLeast"/>
        </w:trPr>
        <w:tc>
          <w:tcPr>
            <w:tcW w:w="4375" w:type="dxa"/>
            <w:tcBorders>
              <w:top w:val="single" w:sz="6" w:space="0" w:color="69BD28"/>
              <w:bottom w:val="single" w:sz="6" w:space="0" w:color="69BD28"/>
            </w:tcBorders>
          </w:tcPr>
          <w:p>
            <w:pPr>
              <w:pStyle w:val="TableParagraph"/>
              <w:spacing w:before="123"/>
              <w:ind w:left="35" w:right="186"/>
              <w:rPr>
                <w:sz w:val="18"/>
              </w:rPr>
            </w:pPr>
            <w:r>
              <w:rPr>
                <w:sz w:val="18"/>
              </w:rPr>
              <w:t>Embassy Qubix, Pune</w:t>
            </w:r>
          </w:p>
        </w:tc>
        <w:tc>
          <w:tcPr>
            <w:tcW w:w="1974" w:type="dxa"/>
            <w:tcBorders>
              <w:top w:val="single" w:sz="6" w:space="0" w:color="69BD28"/>
              <w:bottom w:val="single" w:sz="6" w:space="0" w:color="69BD28"/>
            </w:tcBorders>
          </w:tcPr>
          <w:p>
            <w:pPr>
              <w:pStyle w:val="TableParagraph"/>
              <w:spacing w:before="123"/>
              <w:ind w:left="247" w:right="267"/>
              <w:rPr>
                <w:sz w:val="18"/>
              </w:rPr>
            </w:pPr>
            <w:r>
              <w:rPr>
                <w:sz w:val="18"/>
              </w:rPr>
              <w:t>Freehold</w:t>
            </w:r>
          </w:p>
        </w:tc>
        <w:tc>
          <w:tcPr>
            <w:tcW w:w="1711" w:type="dxa"/>
            <w:tcBorders>
              <w:top w:val="single" w:sz="6" w:space="0" w:color="69BD28"/>
              <w:bottom w:val="single" w:sz="6" w:space="0" w:color="69BD28"/>
            </w:tcBorders>
          </w:tcPr>
          <w:p>
            <w:pPr>
              <w:pStyle w:val="TableParagraph"/>
              <w:spacing w:before="123"/>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3"/>
              <w:ind w:left="196" w:right="228"/>
              <w:rPr>
                <w:sz w:val="18"/>
              </w:rPr>
            </w:pPr>
            <w:r>
              <w:rPr>
                <w:w w:val="115"/>
                <w:sz w:val="18"/>
              </w:rPr>
              <w:t>NA</w:t>
            </w:r>
          </w:p>
        </w:tc>
      </w:tr>
      <w:tr>
        <w:trPr>
          <w:trHeight w:val="520" w:hRule="atLeast"/>
        </w:trPr>
        <w:tc>
          <w:tcPr>
            <w:tcW w:w="4375" w:type="dxa"/>
            <w:tcBorders>
              <w:top w:val="single" w:sz="6" w:space="0" w:color="69BD28"/>
              <w:bottom w:val="single" w:sz="6" w:space="0" w:color="69BD28"/>
            </w:tcBorders>
          </w:tcPr>
          <w:p>
            <w:pPr>
              <w:pStyle w:val="TableParagraph"/>
              <w:spacing w:before="123"/>
              <w:ind w:left="36" w:right="184"/>
              <w:rPr>
                <w:sz w:val="18"/>
              </w:rPr>
            </w:pPr>
            <w:r>
              <w:rPr>
                <w:sz w:val="18"/>
              </w:rPr>
              <w:t>Embassy Oxygen, Noida</w:t>
            </w:r>
          </w:p>
        </w:tc>
        <w:tc>
          <w:tcPr>
            <w:tcW w:w="1974" w:type="dxa"/>
            <w:tcBorders>
              <w:top w:val="single" w:sz="6" w:space="0" w:color="69BD28"/>
              <w:bottom w:val="single" w:sz="6" w:space="0" w:color="69BD28"/>
            </w:tcBorders>
          </w:tcPr>
          <w:p>
            <w:pPr>
              <w:pStyle w:val="TableParagraph"/>
              <w:spacing w:before="123"/>
              <w:ind w:left="245" w:right="268"/>
              <w:rPr>
                <w:sz w:val="18"/>
              </w:rPr>
            </w:pPr>
            <w:r>
              <w:rPr>
                <w:sz w:val="18"/>
              </w:rPr>
              <w:t>Leasehold</w:t>
            </w:r>
          </w:p>
        </w:tc>
        <w:tc>
          <w:tcPr>
            <w:tcW w:w="1711" w:type="dxa"/>
            <w:tcBorders>
              <w:top w:val="single" w:sz="6" w:space="0" w:color="69BD28"/>
              <w:bottom w:val="single" w:sz="6" w:space="0" w:color="69BD28"/>
            </w:tcBorders>
          </w:tcPr>
          <w:p>
            <w:pPr>
              <w:pStyle w:val="TableParagraph"/>
              <w:spacing w:before="123"/>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3"/>
              <w:ind w:left="196" w:right="227"/>
              <w:rPr>
                <w:sz w:val="18"/>
              </w:rPr>
            </w:pPr>
            <w:r>
              <w:rPr>
                <w:w w:val="105"/>
                <w:sz w:val="18"/>
              </w:rPr>
              <w:t>77 Years</w:t>
            </w:r>
          </w:p>
        </w:tc>
      </w:tr>
      <w:tr>
        <w:trPr>
          <w:trHeight w:val="520" w:hRule="atLeast"/>
        </w:trPr>
        <w:tc>
          <w:tcPr>
            <w:tcW w:w="4375" w:type="dxa"/>
            <w:tcBorders>
              <w:top w:val="single" w:sz="6" w:space="0" w:color="69BD28"/>
              <w:bottom w:val="single" w:sz="6" w:space="0" w:color="69BD28"/>
            </w:tcBorders>
          </w:tcPr>
          <w:p>
            <w:pPr>
              <w:pStyle w:val="TableParagraph"/>
              <w:spacing w:before="124"/>
              <w:ind w:left="36" w:right="185"/>
              <w:rPr>
                <w:sz w:val="18"/>
              </w:rPr>
            </w:pPr>
            <w:r>
              <w:rPr>
                <w:sz w:val="18"/>
              </w:rPr>
              <w:t>Embassy Galaxy, Noida</w:t>
            </w:r>
          </w:p>
        </w:tc>
        <w:tc>
          <w:tcPr>
            <w:tcW w:w="1974" w:type="dxa"/>
            <w:tcBorders>
              <w:top w:val="single" w:sz="6" w:space="0" w:color="69BD28"/>
              <w:bottom w:val="single" w:sz="6" w:space="0" w:color="69BD28"/>
            </w:tcBorders>
          </w:tcPr>
          <w:p>
            <w:pPr>
              <w:pStyle w:val="TableParagraph"/>
              <w:spacing w:before="124"/>
              <w:ind w:left="245" w:right="268"/>
              <w:rPr>
                <w:sz w:val="18"/>
              </w:rPr>
            </w:pPr>
            <w:r>
              <w:rPr>
                <w:sz w:val="18"/>
              </w:rPr>
              <w:t>Leasehold</w:t>
            </w:r>
          </w:p>
        </w:tc>
        <w:tc>
          <w:tcPr>
            <w:tcW w:w="1711" w:type="dxa"/>
            <w:tcBorders>
              <w:top w:val="single" w:sz="6" w:space="0" w:color="69BD28"/>
              <w:bottom w:val="single" w:sz="6" w:space="0" w:color="69BD28"/>
            </w:tcBorders>
          </w:tcPr>
          <w:p>
            <w:pPr>
              <w:pStyle w:val="TableParagraph"/>
              <w:spacing w:before="124"/>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4"/>
              <w:ind w:left="196" w:right="227"/>
              <w:rPr>
                <w:sz w:val="18"/>
              </w:rPr>
            </w:pPr>
            <w:r>
              <w:rPr>
                <w:w w:val="105"/>
                <w:sz w:val="18"/>
              </w:rPr>
              <w:t>76 Years</w:t>
            </w:r>
          </w:p>
        </w:tc>
      </w:tr>
      <w:tr>
        <w:trPr>
          <w:trHeight w:val="520" w:hRule="atLeast"/>
        </w:trPr>
        <w:tc>
          <w:tcPr>
            <w:tcW w:w="4375" w:type="dxa"/>
            <w:tcBorders>
              <w:top w:val="single" w:sz="6" w:space="0" w:color="69BD28"/>
              <w:bottom w:val="single" w:sz="6" w:space="0" w:color="69BD28"/>
            </w:tcBorders>
          </w:tcPr>
          <w:p>
            <w:pPr>
              <w:pStyle w:val="TableParagraph"/>
              <w:spacing w:before="123"/>
              <w:ind w:left="36" w:right="186"/>
              <w:rPr>
                <w:sz w:val="18"/>
              </w:rPr>
            </w:pPr>
            <w:r>
              <w:rPr>
                <w:sz w:val="18"/>
              </w:rPr>
              <w:t>Embassy GolfLinks, Bengaluru</w:t>
            </w:r>
          </w:p>
        </w:tc>
        <w:tc>
          <w:tcPr>
            <w:tcW w:w="1974" w:type="dxa"/>
            <w:tcBorders>
              <w:top w:val="single" w:sz="6" w:space="0" w:color="69BD28"/>
              <w:bottom w:val="single" w:sz="6" w:space="0" w:color="69BD28"/>
            </w:tcBorders>
          </w:tcPr>
          <w:p>
            <w:pPr>
              <w:pStyle w:val="TableParagraph"/>
              <w:spacing w:before="123"/>
              <w:ind w:left="247" w:right="267"/>
              <w:rPr>
                <w:sz w:val="18"/>
              </w:rPr>
            </w:pPr>
            <w:r>
              <w:rPr>
                <w:sz w:val="18"/>
              </w:rPr>
              <w:t>Freehold</w:t>
            </w:r>
          </w:p>
        </w:tc>
        <w:tc>
          <w:tcPr>
            <w:tcW w:w="1711" w:type="dxa"/>
            <w:tcBorders>
              <w:top w:val="single" w:sz="6" w:space="0" w:color="69BD28"/>
              <w:bottom w:val="single" w:sz="6" w:space="0" w:color="69BD28"/>
            </w:tcBorders>
          </w:tcPr>
          <w:p>
            <w:pPr>
              <w:pStyle w:val="TableParagraph"/>
              <w:spacing w:before="123"/>
              <w:ind w:left="240" w:right="131"/>
              <w:rPr>
                <w:sz w:val="18"/>
              </w:rPr>
            </w:pPr>
            <w:r>
              <w:rPr>
                <w:w w:val="110"/>
                <w:sz w:val="18"/>
              </w:rPr>
              <w:t>50.0%</w:t>
            </w:r>
          </w:p>
        </w:tc>
        <w:tc>
          <w:tcPr>
            <w:tcW w:w="2363" w:type="dxa"/>
            <w:tcBorders>
              <w:top w:val="single" w:sz="6" w:space="0" w:color="69BD28"/>
              <w:bottom w:val="single" w:sz="6" w:space="0" w:color="69BD28"/>
            </w:tcBorders>
          </w:tcPr>
          <w:p>
            <w:pPr>
              <w:pStyle w:val="TableParagraph"/>
              <w:spacing w:before="123"/>
              <w:ind w:left="196" w:right="228"/>
              <w:rPr>
                <w:sz w:val="18"/>
              </w:rPr>
            </w:pPr>
            <w:r>
              <w:rPr>
                <w:w w:val="115"/>
                <w:sz w:val="18"/>
              </w:rPr>
              <w:t>NA</w:t>
            </w:r>
          </w:p>
        </w:tc>
      </w:tr>
      <w:tr>
        <w:trPr>
          <w:trHeight w:val="520" w:hRule="atLeast"/>
        </w:trPr>
        <w:tc>
          <w:tcPr>
            <w:tcW w:w="4375" w:type="dxa"/>
            <w:tcBorders>
              <w:top w:val="single" w:sz="6" w:space="0" w:color="69BD28"/>
              <w:bottom w:val="single" w:sz="6" w:space="0" w:color="69BD28"/>
            </w:tcBorders>
          </w:tcPr>
          <w:p>
            <w:pPr>
              <w:pStyle w:val="TableParagraph"/>
              <w:spacing w:before="123"/>
              <w:ind w:left="35" w:right="186"/>
              <w:rPr>
                <w:sz w:val="18"/>
              </w:rPr>
            </w:pPr>
            <w:r>
              <w:rPr>
                <w:sz w:val="18"/>
              </w:rPr>
              <w:t>Embassy One, Bengaluru</w:t>
            </w:r>
          </w:p>
        </w:tc>
        <w:tc>
          <w:tcPr>
            <w:tcW w:w="1974" w:type="dxa"/>
            <w:tcBorders>
              <w:top w:val="single" w:sz="6" w:space="0" w:color="69BD28"/>
              <w:bottom w:val="single" w:sz="6" w:space="0" w:color="69BD28"/>
            </w:tcBorders>
          </w:tcPr>
          <w:p>
            <w:pPr>
              <w:pStyle w:val="TableParagraph"/>
              <w:spacing w:before="123"/>
              <w:ind w:left="247" w:right="267"/>
              <w:rPr>
                <w:sz w:val="18"/>
              </w:rPr>
            </w:pPr>
            <w:r>
              <w:rPr>
                <w:sz w:val="18"/>
              </w:rPr>
              <w:t>Freehold</w:t>
            </w:r>
          </w:p>
        </w:tc>
        <w:tc>
          <w:tcPr>
            <w:tcW w:w="1711" w:type="dxa"/>
            <w:tcBorders>
              <w:top w:val="single" w:sz="6" w:space="0" w:color="69BD28"/>
              <w:bottom w:val="single" w:sz="6" w:space="0" w:color="69BD28"/>
            </w:tcBorders>
          </w:tcPr>
          <w:p>
            <w:pPr>
              <w:pStyle w:val="TableParagraph"/>
              <w:spacing w:before="123"/>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3"/>
              <w:ind w:left="196" w:right="228"/>
              <w:rPr>
                <w:sz w:val="18"/>
              </w:rPr>
            </w:pPr>
            <w:r>
              <w:rPr>
                <w:w w:val="115"/>
                <w:sz w:val="18"/>
              </w:rPr>
              <w:t>NA</w:t>
            </w:r>
          </w:p>
        </w:tc>
      </w:tr>
      <w:tr>
        <w:trPr>
          <w:trHeight w:val="520" w:hRule="atLeast"/>
        </w:trPr>
        <w:tc>
          <w:tcPr>
            <w:tcW w:w="4375" w:type="dxa"/>
            <w:tcBorders>
              <w:top w:val="single" w:sz="6" w:space="0" w:color="69BD28"/>
              <w:bottom w:val="single" w:sz="6" w:space="0" w:color="69BD28"/>
            </w:tcBorders>
          </w:tcPr>
          <w:p>
            <w:pPr>
              <w:pStyle w:val="TableParagraph"/>
              <w:spacing w:before="126"/>
              <w:ind w:left="36" w:right="186"/>
              <w:rPr>
                <w:sz w:val="18"/>
              </w:rPr>
            </w:pPr>
            <w:r>
              <w:rPr>
                <w:sz w:val="18"/>
              </w:rPr>
              <w:t>Hilton at GolfLinks, Bengaluru</w:t>
            </w:r>
          </w:p>
        </w:tc>
        <w:tc>
          <w:tcPr>
            <w:tcW w:w="1974" w:type="dxa"/>
            <w:tcBorders>
              <w:top w:val="single" w:sz="6" w:space="0" w:color="69BD28"/>
              <w:bottom w:val="single" w:sz="6" w:space="0" w:color="69BD28"/>
            </w:tcBorders>
          </w:tcPr>
          <w:p>
            <w:pPr>
              <w:pStyle w:val="TableParagraph"/>
              <w:spacing w:before="126"/>
              <w:ind w:left="247" w:right="267"/>
              <w:rPr>
                <w:sz w:val="18"/>
              </w:rPr>
            </w:pPr>
            <w:r>
              <w:rPr>
                <w:sz w:val="18"/>
              </w:rPr>
              <w:t>Freehold</w:t>
            </w:r>
          </w:p>
        </w:tc>
        <w:tc>
          <w:tcPr>
            <w:tcW w:w="1711" w:type="dxa"/>
            <w:tcBorders>
              <w:top w:val="single" w:sz="6" w:space="0" w:color="69BD28"/>
              <w:bottom w:val="single" w:sz="6" w:space="0" w:color="69BD28"/>
            </w:tcBorders>
          </w:tcPr>
          <w:p>
            <w:pPr>
              <w:pStyle w:val="TableParagraph"/>
              <w:spacing w:before="126"/>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6"/>
              <w:ind w:left="196" w:right="228"/>
              <w:rPr>
                <w:sz w:val="18"/>
              </w:rPr>
            </w:pPr>
            <w:r>
              <w:rPr>
                <w:w w:val="115"/>
                <w:sz w:val="18"/>
              </w:rPr>
              <w:t>NA</w:t>
            </w:r>
          </w:p>
        </w:tc>
      </w:tr>
      <w:tr>
        <w:trPr>
          <w:trHeight w:val="522" w:hRule="atLeast"/>
        </w:trPr>
        <w:tc>
          <w:tcPr>
            <w:tcW w:w="4375" w:type="dxa"/>
            <w:tcBorders>
              <w:top w:val="single" w:sz="6" w:space="0" w:color="69BD28"/>
              <w:bottom w:val="single" w:sz="6" w:space="0" w:color="69BD28"/>
            </w:tcBorders>
          </w:tcPr>
          <w:p>
            <w:pPr>
              <w:pStyle w:val="TableParagraph"/>
              <w:spacing w:before="126"/>
              <w:ind w:left="34" w:right="186"/>
              <w:rPr>
                <w:sz w:val="18"/>
              </w:rPr>
            </w:pPr>
            <w:r>
              <w:rPr>
                <w:sz w:val="18"/>
              </w:rPr>
              <w:t>Embassy Energy, Bellary District, Karnataka</w:t>
            </w:r>
          </w:p>
        </w:tc>
        <w:tc>
          <w:tcPr>
            <w:tcW w:w="1974" w:type="dxa"/>
            <w:tcBorders>
              <w:top w:val="single" w:sz="6" w:space="0" w:color="69BD28"/>
              <w:bottom w:val="single" w:sz="6" w:space="0" w:color="69BD28"/>
            </w:tcBorders>
          </w:tcPr>
          <w:p>
            <w:pPr>
              <w:pStyle w:val="TableParagraph"/>
              <w:spacing w:before="126"/>
              <w:ind w:left="247" w:right="267"/>
              <w:rPr>
                <w:sz w:val="18"/>
              </w:rPr>
            </w:pPr>
            <w:r>
              <w:rPr>
                <w:sz w:val="18"/>
              </w:rPr>
              <w:t>Freehold</w:t>
            </w:r>
          </w:p>
        </w:tc>
        <w:tc>
          <w:tcPr>
            <w:tcW w:w="1711" w:type="dxa"/>
            <w:tcBorders>
              <w:top w:val="single" w:sz="6" w:space="0" w:color="69BD28"/>
              <w:bottom w:val="single" w:sz="6" w:space="0" w:color="69BD28"/>
            </w:tcBorders>
          </w:tcPr>
          <w:p>
            <w:pPr>
              <w:pStyle w:val="TableParagraph"/>
              <w:spacing w:before="126"/>
              <w:ind w:left="235" w:right="131"/>
              <w:rPr>
                <w:sz w:val="18"/>
              </w:rPr>
            </w:pPr>
            <w:r>
              <w:rPr>
                <w:w w:val="110"/>
                <w:sz w:val="18"/>
              </w:rPr>
              <w:t>100.0%</w:t>
            </w:r>
          </w:p>
        </w:tc>
        <w:tc>
          <w:tcPr>
            <w:tcW w:w="2363" w:type="dxa"/>
            <w:tcBorders>
              <w:top w:val="single" w:sz="6" w:space="0" w:color="69BD28"/>
              <w:bottom w:val="single" w:sz="6" w:space="0" w:color="69BD28"/>
            </w:tcBorders>
          </w:tcPr>
          <w:p>
            <w:pPr>
              <w:pStyle w:val="TableParagraph"/>
              <w:spacing w:before="126"/>
              <w:ind w:left="196" w:right="228"/>
              <w:rPr>
                <w:sz w:val="18"/>
              </w:rPr>
            </w:pPr>
            <w:r>
              <w:rPr>
                <w:w w:val="115"/>
                <w:sz w:val="18"/>
              </w:rPr>
              <w:t>NA</w:t>
            </w:r>
          </w:p>
        </w:tc>
      </w:tr>
    </w:tbl>
    <w:p>
      <w:pPr>
        <w:spacing w:before="0"/>
        <w:ind w:left="280" w:right="0" w:firstLine="0"/>
        <w:jc w:val="left"/>
        <w:rPr>
          <w:i/>
          <w:sz w:val="18"/>
        </w:rPr>
      </w:pPr>
      <w:r>
        <w:rPr>
          <w:i/>
          <w:sz w:val="18"/>
        </w:rPr>
        <w:t>*Excluding the M3 block which is being developed on a leasehold land parcel (6.64 Acres)</w:t>
      </w:r>
    </w:p>
    <w:p>
      <w:pPr>
        <w:spacing w:after="0"/>
        <w:jc w:val="left"/>
        <w:rPr>
          <w:sz w:val="18"/>
        </w:rPr>
        <w:sectPr>
          <w:pgSz w:w="11910" w:h="16840"/>
          <w:pgMar w:header="720" w:footer="842" w:top="1520" w:bottom="1040" w:left="440" w:right="80"/>
        </w:sectPr>
      </w:pPr>
    </w:p>
    <w:p>
      <w:pPr>
        <w:pStyle w:val="BodyText"/>
        <w:spacing w:before="5"/>
        <w:rPr>
          <w:i/>
        </w:rPr>
      </w:pPr>
    </w:p>
    <w:p>
      <w:pPr>
        <w:pStyle w:val="ListParagraph"/>
        <w:numPr>
          <w:ilvl w:val="1"/>
          <w:numId w:val="14"/>
        </w:numPr>
        <w:tabs>
          <w:tab w:pos="856" w:val="left" w:leader="none"/>
          <w:tab w:pos="857" w:val="left" w:leader="none"/>
        </w:tabs>
        <w:spacing w:line="240" w:lineRule="auto" w:before="106" w:after="0"/>
        <w:ind w:left="856" w:right="0" w:hanging="577"/>
        <w:jc w:val="left"/>
        <w:rPr>
          <w:color w:val="1F6647"/>
          <w:sz w:val="22"/>
        </w:rPr>
      </w:pPr>
      <w:bookmarkStart w:name="_bookmark23" w:id="46"/>
      <w:bookmarkEnd w:id="46"/>
      <w:r>
        <w:rPr/>
      </w:r>
      <w:bookmarkStart w:name="_bookmark23" w:id="47"/>
      <w:bookmarkEnd w:id="47"/>
      <w:r>
        <w:rPr>
          <w:color w:val="1F6647"/>
          <w:sz w:val="22"/>
        </w:rPr>
        <w:t>Ca</w:t>
      </w:r>
      <w:r>
        <w:rPr>
          <w:color w:val="1F6647"/>
          <w:sz w:val="22"/>
        </w:rPr>
        <w:t>pitalization Rate</w:t>
      </w:r>
      <w:r>
        <w:rPr>
          <w:color w:val="1F6647"/>
          <w:spacing w:val="-2"/>
          <w:sz w:val="22"/>
        </w:rPr>
        <w:t> </w:t>
      </w:r>
      <w:r>
        <w:rPr>
          <w:color w:val="1F6647"/>
          <w:sz w:val="22"/>
        </w:rPr>
        <w:t>Adopted</w:t>
      </w:r>
    </w:p>
    <w:p>
      <w:pPr>
        <w:pStyle w:val="BodyText"/>
        <w:spacing w:before="208"/>
        <w:ind w:left="820"/>
        <w:jc w:val="both"/>
      </w:pPr>
      <w:r>
        <w:rPr/>
        <w:t>The capitalization rate adopted for valuing various assets has been based on factors such as:</w:t>
      </w:r>
    </w:p>
    <w:p>
      <w:pPr>
        <w:pStyle w:val="ListParagraph"/>
        <w:numPr>
          <w:ilvl w:val="0"/>
          <w:numId w:val="24"/>
        </w:numPr>
        <w:tabs>
          <w:tab w:pos="1541" w:val="left" w:leader="none"/>
        </w:tabs>
        <w:spacing w:line="321" w:lineRule="auto" w:before="208" w:after="0"/>
        <w:ind w:left="1540" w:right="634" w:hanging="360"/>
        <w:jc w:val="both"/>
        <w:rPr>
          <w:sz w:val="22"/>
        </w:rPr>
      </w:pPr>
      <w:r>
        <w:rPr>
          <w:sz w:val="22"/>
        </w:rPr>
        <w:t>historical</w:t>
      </w:r>
      <w:r>
        <w:rPr>
          <w:spacing w:val="-25"/>
          <w:sz w:val="22"/>
        </w:rPr>
        <w:t> </w:t>
      </w:r>
      <w:r>
        <w:rPr>
          <w:sz w:val="22"/>
        </w:rPr>
        <w:t>entry</w:t>
      </w:r>
      <w:r>
        <w:rPr>
          <w:spacing w:val="-24"/>
          <w:sz w:val="22"/>
        </w:rPr>
        <w:t> </w:t>
      </w:r>
      <w:r>
        <w:rPr>
          <w:sz w:val="22"/>
        </w:rPr>
        <w:t>yields</w:t>
      </w:r>
      <w:r>
        <w:rPr>
          <w:spacing w:val="-26"/>
          <w:sz w:val="22"/>
        </w:rPr>
        <w:t> </w:t>
      </w:r>
      <w:r>
        <w:rPr>
          <w:sz w:val="22"/>
        </w:rPr>
        <w:t>(going</w:t>
      </w:r>
      <w:r>
        <w:rPr>
          <w:spacing w:val="-24"/>
          <w:sz w:val="22"/>
        </w:rPr>
        <w:t> </w:t>
      </w:r>
      <w:r>
        <w:rPr>
          <w:sz w:val="22"/>
        </w:rPr>
        <w:t>in</w:t>
      </w:r>
      <w:r>
        <w:rPr>
          <w:spacing w:val="-25"/>
          <w:sz w:val="22"/>
        </w:rPr>
        <w:t> </w:t>
      </w:r>
      <w:r>
        <w:rPr>
          <w:sz w:val="22"/>
        </w:rPr>
        <w:t>cap</w:t>
      </w:r>
      <w:r>
        <w:rPr>
          <w:spacing w:val="-25"/>
          <w:sz w:val="22"/>
        </w:rPr>
        <w:t> </w:t>
      </w:r>
      <w:r>
        <w:rPr>
          <w:sz w:val="22"/>
        </w:rPr>
        <w:t>rates)</w:t>
      </w:r>
      <w:r>
        <w:rPr>
          <w:spacing w:val="-25"/>
          <w:sz w:val="22"/>
        </w:rPr>
        <w:t> </w:t>
      </w:r>
      <w:r>
        <w:rPr>
          <w:sz w:val="22"/>
        </w:rPr>
        <w:t>for</w:t>
      </w:r>
      <w:r>
        <w:rPr>
          <w:spacing w:val="-25"/>
          <w:sz w:val="22"/>
        </w:rPr>
        <w:t> </w:t>
      </w:r>
      <w:r>
        <w:rPr>
          <w:sz w:val="22"/>
        </w:rPr>
        <w:t>yield/</w:t>
      </w:r>
      <w:r>
        <w:rPr>
          <w:spacing w:val="-25"/>
          <w:sz w:val="22"/>
        </w:rPr>
        <w:t> </w:t>
      </w:r>
      <w:r>
        <w:rPr>
          <w:sz w:val="22"/>
        </w:rPr>
        <w:t>core</w:t>
      </w:r>
      <w:r>
        <w:rPr>
          <w:spacing w:val="-25"/>
          <w:sz w:val="22"/>
        </w:rPr>
        <w:t> </w:t>
      </w:r>
      <w:r>
        <w:rPr>
          <w:sz w:val="22"/>
        </w:rPr>
        <w:t>office</w:t>
      </w:r>
      <w:r>
        <w:rPr>
          <w:spacing w:val="-25"/>
          <w:sz w:val="22"/>
        </w:rPr>
        <w:t> </w:t>
      </w:r>
      <w:r>
        <w:rPr>
          <w:sz w:val="22"/>
        </w:rPr>
        <w:t>asset</w:t>
      </w:r>
      <w:r>
        <w:rPr>
          <w:spacing w:val="-24"/>
          <w:sz w:val="22"/>
        </w:rPr>
        <w:t> </w:t>
      </w:r>
      <w:r>
        <w:rPr>
          <w:sz w:val="22"/>
        </w:rPr>
        <w:t>transactions</w:t>
      </w:r>
      <w:r>
        <w:rPr>
          <w:spacing w:val="-24"/>
          <w:sz w:val="22"/>
        </w:rPr>
        <w:t> </w:t>
      </w:r>
      <w:r>
        <w:rPr>
          <w:sz w:val="22"/>
        </w:rPr>
        <w:t>across</w:t>
      </w:r>
      <w:r>
        <w:rPr>
          <w:spacing w:val="-25"/>
          <w:sz w:val="22"/>
        </w:rPr>
        <w:t> </w:t>
      </w:r>
      <w:r>
        <w:rPr>
          <w:sz w:val="22"/>
        </w:rPr>
        <w:t>various key markets in India which have steadily shown a downward trend over last 7 - 8 years from 10.5- 11.5% to about 7.5% - 8.5% in</w:t>
      </w:r>
      <w:r>
        <w:rPr>
          <w:spacing w:val="10"/>
          <w:sz w:val="22"/>
        </w:rPr>
        <w:t> </w:t>
      </w:r>
      <w:r>
        <w:rPr>
          <w:sz w:val="22"/>
        </w:rPr>
        <w:t>2019-2020</w:t>
      </w:r>
    </w:p>
    <w:p>
      <w:pPr>
        <w:pStyle w:val="ListParagraph"/>
        <w:numPr>
          <w:ilvl w:val="0"/>
          <w:numId w:val="24"/>
        </w:numPr>
        <w:tabs>
          <w:tab w:pos="1541" w:val="left" w:leader="none"/>
        </w:tabs>
        <w:spacing w:line="321" w:lineRule="auto" w:before="120" w:after="0"/>
        <w:ind w:left="1540" w:right="635" w:hanging="360"/>
        <w:jc w:val="both"/>
        <w:rPr>
          <w:sz w:val="22"/>
        </w:rPr>
      </w:pPr>
      <w:r>
        <w:rPr>
          <w:sz w:val="22"/>
        </w:rPr>
        <w:t>Hotel</w:t>
      </w:r>
      <w:r>
        <w:rPr>
          <w:spacing w:val="-19"/>
          <w:sz w:val="22"/>
        </w:rPr>
        <w:t> </w:t>
      </w:r>
      <w:r>
        <w:rPr>
          <w:sz w:val="22"/>
        </w:rPr>
        <w:t>assets</w:t>
      </w:r>
      <w:r>
        <w:rPr>
          <w:spacing w:val="-17"/>
          <w:sz w:val="22"/>
        </w:rPr>
        <w:t> </w:t>
      </w:r>
      <w:r>
        <w:rPr>
          <w:sz w:val="22"/>
        </w:rPr>
        <w:t>have</w:t>
      </w:r>
      <w:r>
        <w:rPr>
          <w:spacing w:val="-18"/>
          <w:sz w:val="22"/>
        </w:rPr>
        <w:t> </w:t>
      </w:r>
      <w:r>
        <w:rPr>
          <w:sz w:val="22"/>
        </w:rPr>
        <w:t>been</w:t>
      </w:r>
      <w:r>
        <w:rPr>
          <w:spacing w:val="-19"/>
          <w:sz w:val="22"/>
        </w:rPr>
        <w:t> </w:t>
      </w:r>
      <w:r>
        <w:rPr>
          <w:sz w:val="22"/>
        </w:rPr>
        <w:t>observed</w:t>
      </w:r>
      <w:r>
        <w:rPr>
          <w:spacing w:val="-17"/>
          <w:sz w:val="22"/>
        </w:rPr>
        <w:t> </w:t>
      </w:r>
      <w:r>
        <w:rPr>
          <w:sz w:val="22"/>
        </w:rPr>
        <w:t>to</w:t>
      </w:r>
      <w:r>
        <w:rPr>
          <w:spacing w:val="-18"/>
          <w:sz w:val="22"/>
        </w:rPr>
        <w:t> </w:t>
      </w:r>
      <w:r>
        <w:rPr>
          <w:sz w:val="22"/>
        </w:rPr>
        <w:t>transact</w:t>
      </w:r>
      <w:r>
        <w:rPr>
          <w:spacing w:val="-19"/>
          <w:sz w:val="22"/>
        </w:rPr>
        <w:t> </w:t>
      </w:r>
      <w:r>
        <w:rPr>
          <w:sz w:val="22"/>
        </w:rPr>
        <w:t>between</w:t>
      </w:r>
      <w:r>
        <w:rPr>
          <w:spacing w:val="-19"/>
          <w:sz w:val="22"/>
        </w:rPr>
        <w:t> </w:t>
      </w:r>
      <w:r>
        <w:rPr>
          <w:sz w:val="22"/>
        </w:rPr>
        <w:t>an</w:t>
      </w:r>
      <w:r>
        <w:rPr>
          <w:spacing w:val="-18"/>
          <w:sz w:val="22"/>
        </w:rPr>
        <w:t> </w:t>
      </w:r>
      <w:r>
        <w:rPr>
          <w:sz w:val="22"/>
        </w:rPr>
        <w:t>EV/</w:t>
      </w:r>
      <w:r>
        <w:rPr>
          <w:spacing w:val="-17"/>
          <w:sz w:val="22"/>
        </w:rPr>
        <w:t> </w:t>
      </w:r>
      <w:r>
        <w:rPr>
          <w:sz w:val="22"/>
        </w:rPr>
        <w:t>EBITDA</w:t>
      </w:r>
      <w:r>
        <w:rPr>
          <w:spacing w:val="-17"/>
          <w:sz w:val="22"/>
        </w:rPr>
        <w:t> </w:t>
      </w:r>
      <w:r>
        <w:rPr>
          <w:sz w:val="22"/>
        </w:rPr>
        <w:t>multiple</w:t>
      </w:r>
      <w:r>
        <w:rPr>
          <w:spacing w:val="-19"/>
          <w:sz w:val="22"/>
        </w:rPr>
        <w:t> </w:t>
      </w:r>
      <w:r>
        <w:rPr>
          <w:sz w:val="22"/>
        </w:rPr>
        <w:t>of</w:t>
      </w:r>
      <w:r>
        <w:rPr>
          <w:spacing w:val="-18"/>
          <w:sz w:val="22"/>
        </w:rPr>
        <w:t> </w:t>
      </w:r>
      <w:r>
        <w:rPr>
          <w:sz w:val="22"/>
        </w:rPr>
        <w:t>approximately 11 </w:t>
      </w:r>
      <w:r>
        <w:rPr>
          <w:w w:val="105"/>
          <w:sz w:val="22"/>
        </w:rPr>
        <w:t>– </w:t>
      </w:r>
      <w:r>
        <w:rPr>
          <w:sz w:val="22"/>
        </w:rPr>
        <w:t>13 historically and over the past few years has improved to an approximately 12 </w:t>
      </w:r>
      <w:r>
        <w:rPr>
          <w:w w:val="105"/>
          <w:sz w:val="22"/>
        </w:rPr>
        <w:t>– </w:t>
      </w:r>
      <w:r>
        <w:rPr>
          <w:sz w:val="22"/>
        </w:rPr>
        <w:t>14 multiple</w:t>
      </w:r>
    </w:p>
    <w:p>
      <w:pPr>
        <w:pStyle w:val="ListParagraph"/>
        <w:numPr>
          <w:ilvl w:val="0"/>
          <w:numId w:val="24"/>
        </w:numPr>
        <w:tabs>
          <w:tab w:pos="1541" w:val="left" w:leader="none"/>
        </w:tabs>
        <w:spacing w:line="319" w:lineRule="auto" w:before="123" w:after="0"/>
        <w:ind w:left="1540" w:right="635" w:hanging="360"/>
        <w:jc w:val="both"/>
        <w:rPr>
          <w:sz w:val="22"/>
        </w:rPr>
      </w:pPr>
      <w:r>
        <w:rPr>
          <w:sz w:val="22"/>
        </w:rPr>
        <w:t>The</w:t>
      </w:r>
      <w:r>
        <w:rPr>
          <w:spacing w:val="-24"/>
          <w:sz w:val="22"/>
        </w:rPr>
        <w:t> </w:t>
      </w:r>
      <w:r>
        <w:rPr>
          <w:sz w:val="22"/>
        </w:rPr>
        <w:t>increased</w:t>
      </w:r>
      <w:r>
        <w:rPr>
          <w:spacing w:val="-22"/>
          <w:sz w:val="22"/>
        </w:rPr>
        <w:t> </w:t>
      </w:r>
      <w:r>
        <w:rPr>
          <w:sz w:val="22"/>
        </w:rPr>
        <w:t>appetite</w:t>
      </w:r>
      <w:r>
        <w:rPr>
          <w:spacing w:val="-23"/>
          <w:sz w:val="22"/>
        </w:rPr>
        <w:t> </w:t>
      </w:r>
      <w:r>
        <w:rPr>
          <w:sz w:val="22"/>
        </w:rPr>
        <w:t>for</w:t>
      </w:r>
      <w:r>
        <w:rPr>
          <w:spacing w:val="-24"/>
          <w:sz w:val="22"/>
        </w:rPr>
        <w:t> </w:t>
      </w:r>
      <w:r>
        <w:rPr>
          <w:sz w:val="22"/>
        </w:rPr>
        <w:t>income</w:t>
      </w:r>
      <w:r>
        <w:rPr>
          <w:spacing w:val="-23"/>
          <w:sz w:val="22"/>
        </w:rPr>
        <w:t> </w:t>
      </w:r>
      <w:r>
        <w:rPr>
          <w:sz w:val="22"/>
        </w:rPr>
        <w:t>producing</w:t>
      </w:r>
      <w:r>
        <w:rPr>
          <w:spacing w:val="-22"/>
          <w:sz w:val="22"/>
        </w:rPr>
        <w:t> </w:t>
      </w:r>
      <w:r>
        <w:rPr>
          <w:sz w:val="22"/>
        </w:rPr>
        <w:t>assets</w:t>
      </w:r>
      <w:r>
        <w:rPr>
          <w:spacing w:val="-22"/>
          <w:sz w:val="22"/>
        </w:rPr>
        <w:t> </w:t>
      </w:r>
      <w:r>
        <w:rPr>
          <w:sz w:val="22"/>
        </w:rPr>
        <w:t>and</w:t>
      </w:r>
      <w:r>
        <w:rPr>
          <w:spacing w:val="-22"/>
          <w:sz w:val="22"/>
        </w:rPr>
        <w:t> </w:t>
      </w:r>
      <w:r>
        <w:rPr>
          <w:sz w:val="22"/>
        </w:rPr>
        <w:t>availability</w:t>
      </w:r>
      <w:r>
        <w:rPr>
          <w:spacing w:val="-21"/>
          <w:sz w:val="22"/>
        </w:rPr>
        <w:t> </w:t>
      </w:r>
      <w:r>
        <w:rPr>
          <w:sz w:val="22"/>
        </w:rPr>
        <w:t>of</w:t>
      </w:r>
      <w:r>
        <w:rPr>
          <w:spacing w:val="-22"/>
          <w:sz w:val="22"/>
        </w:rPr>
        <w:t> </w:t>
      </w:r>
      <w:r>
        <w:rPr>
          <w:sz w:val="22"/>
        </w:rPr>
        <w:t>various</w:t>
      </w:r>
      <w:r>
        <w:rPr>
          <w:spacing w:val="-22"/>
          <w:sz w:val="22"/>
        </w:rPr>
        <w:t> </w:t>
      </w:r>
      <w:r>
        <w:rPr>
          <w:sz w:val="22"/>
        </w:rPr>
        <w:t>modes</w:t>
      </w:r>
      <w:r>
        <w:rPr>
          <w:spacing w:val="-22"/>
          <w:sz w:val="22"/>
        </w:rPr>
        <w:t> </w:t>
      </w:r>
      <w:r>
        <w:rPr>
          <w:sz w:val="22"/>
        </w:rPr>
        <w:t>of</w:t>
      </w:r>
      <w:r>
        <w:rPr>
          <w:spacing w:val="-23"/>
          <w:sz w:val="22"/>
        </w:rPr>
        <w:t> </w:t>
      </w:r>
      <w:r>
        <w:rPr>
          <w:sz w:val="22"/>
        </w:rPr>
        <w:t>finance (real estate credit flows) backing such</w:t>
      </w:r>
      <w:r>
        <w:rPr>
          <w:spacing w:val="-34"/>
          <w:sz w:val="22"/>
        </w:rPr>
        <w:t> </w:t>
      </w:r>
      <w:r>
        <w:rPr>
          <w:sz w:val="22"/>
        </w:rPr>
        <w:t>acquisitions</w:t>
      </w:r>
    </w:p>
    <w:p>
      <w:pPr>
        <w:pStyle w:val="ListParagraph"/>
        <w:numPr>
          <w:ilvl w:val="0"/>
          <w:numId w:val="24"/>
        </w:numPr>
        <w:tabs>
          <w:tab w:pos="1541" w:val="left" w:leader="none"/>
        </w:tabs>
        <w:spacing w:line="321" w:lineRule="auto" w:before="125" w:after="0"/>
        <w:ind w:left="1540" w:right="635" w:hanging="360"/>
        <w:jc w:val="both"/>
        <w:rPr>
          <w:sz w:val="22"/>
        </w:rPr>
      </w:pPr>
      <w:r>
        <w:rPr>
          <w:sz w:val="22"/>
        </w:rPr>
        <w:t>The</w:t>
      </w:r>
      <w:r>
        <w:rPr>
          <w:spacing w:val="-9"/>
          <w:sz w:val="22"/>
        </w:rPr>
        <w:t> </w:t>
      </w:r>
      <w:r>
        <w:rPr>
          <w:sz w:val="22"/>
        </w:rPr>
        <w:t>demand</w:t>
      </w:r>
      <w:r>
        <w:rPr>
          <w:spacing w:val="-8"/>
          <w:sz w:val="22"/>
        </w:rPr>
        <w:t> </w:t>
      </w:r>
      <w:r>
        <w:rPr>
          <w:sz w:val="22"/>
        </w:rPr>
        <w:t>supply</w:t>
      </w:r>
      <w:r>
        <w:rPr>
          <w:spacing w:val="-9"/>
          <w:sz w:val="22"/>
        </w:rPr>
        <w:t> </w:t>
      </w:r>
      <w:r>
        <w:rPr>
          <w:sz w:val="22"/>
        </w:rPr>
        <w:t>situation</w:t>
      </w:r>
      <w:r>
        <w:rPr>
          <w:spacing w:val="-8"/>
          <w:sz w:val="22"/>
        </w:rPr>
        <w:t> </w:t>
      </w:r>
      <w:r>
        <w:rPr>
          <w:sz w:val="22"/>
        </w:rPr>
        <w:t>in</w:t>
      </w:r>
      <w:r>
        <w:rPr>
          <w:spacing w:val="-8"/>
          <w:sz w:val="22"/>
        </w:rPr>
        <w:t> </w:t>
      </w:r>
      <w:r>
        <w:rPr>
          <w:sz w:val="22"/>
        </w:rPr>
        <w:t>the</w:t>
      </w:r>
      <w:r>
        <w:rPr>
          <w:spacing w:val="-8"/>
          <w:sz w:val="22"/>
        </w:rPr>
        <w:t> </w:t>
      </w:r>
      <w:r>
        <w:rPr>
          <w:sz w:val="22"/>
        </w:rPr>
        <w:t>respective</w:t>
      </w:r>
      <w:r>
        <w:rPr>
          <w:spacing w:val="-7"/>
          <w:sz w:val="22"/>
        </w:rPr>
        <w:t> </w:t>
      </w:r>
      <w:r>
        <w:rPr>
          <w:sz w:val="22"/>
        </w:rPr>
        <w:t>city</w:t>
      </w:r>
      <w:r>
        <w:rPr>
          <w:spacing w:val="-7"/>
          <w:sz w:val="22"/>
        </w:rPr>
        <w:t> </w:t>
      </w:r>
      <w:r>
        <w:rPr>
          <w:sz w:val="22"/>
        </w:rPr>
        <w:t>and</w:t>
      </w:r>
      <w:r>
        <w:rPr>
          <w:spacing w:val="-9"/>
          <w:sz w:val="22"/>
        </w:rPr>
        <w:t> </w:t>
      </w:r>
      <w:r>
        <w:rPr>
          <w:sz w:val="22"/>
        </w:rPr>
        <w:t>expected</w:t>
      </w:r>
      <w:r>
        <w:rPr>
          <w:spacing w:val="-9"/>
          <w:sz w:val="22"/>
        </w:rPr>
        <w:t> </w:t>
      </w:r>
      <w:r>
        <w:rPr>
          <w:sz w:val="22"/>
        </w:rPr>
        <w:t>dynamics</w:t>
      </w:r>
      <w:r>
        <w:rPr>
          <w:spacing w:val="-7"/>
          <w:sz w:val="22"/>
        </w:rPr>
        <w:t> </w:t>
      </w:r>
      <w:r>
        <w:rPr>
          <w:sz w:val="22"/>
        </w:rPr>
        <w:t>of</w:t>
      </w:r>
      <w:r>
        <w:rPr>
          <w:spacing w:val="-8"/>
          <w:sz w:val="22"/>
        </w:rPr>
        <w:t> </w:t>
      </w:r>
      <w:r>
        <w:rPr>
          <w:sz w:val="22"/>
        </w:rPr>
        <w:t>demand</w:t>
      </w:r>
      <w:r>
        <w:rPr>
          <w:spacing w:val="-7"/>
          <w:sz w:val="22"/>
        </w:rPr>
        <w:t> </w:t>
      </w:r>
      <w:r>
        <w:rPr>
          <w:sz w:val="22"/>
        </w:rPr>
        <w:t>leading supply - given the barriers to entry such as land availability, higher initial cost outlays etc. </w:t>
      </w:r>
      <w:r>
        <w:rPr>
          <w:w w:val="95"/>
          <w:sz w:val="22"/>
        </w:rPr>
        <w:t>developers</w:t>
      </w:r>
      <w:r>
        <w:rPr>
          <w:spacing w:val="-20"/>
          <w:w w:val="95"/>
          <w:sz w:val="22"/>
        </w:rPr>
        <w:t> </w:t>
      </w:r>
      <w:r>
        <w:rPr>
          <w:w w:val="95"/>
          <w:sz w:val="22"/>
        </w:rPr>
        <w:t>are</w:t>
      </w:r>
      <w:r>
        <w:rPr>
          <w:spacing w:val="-20"/>
          <w:w w:val="95"/>
          <w:sz w:val="22"/>
        </w:rPr>
        <w:t> </w:t>
      </w:r>
      <w:r>
        <w:rPr>
          <w:w w:val="95"/>
          <w:sz w:val="22"/>
        </w:rPr>
        <w:t>expected</w:t>
      </w:r>
      <w:r>
        <w:rPr>
          <w:spacing w:val="-20"/>
          <w:w w:val="95"/>
          <w:sz w:val="22"/>
        </w:rPr>
        <w:t> </w:t>
      </w:r>
      <w:r>
        <w:rPr>
          <w:w w:val="95"/>
          <w:sz w:val="22"/>
        </w:rPr>
        <w:t>to</w:t>
      </w:r>
      <w:r>
        <w:rPr>
          <w:spacing w:val="-20"/>
          <w:w w:val="95"/>
          <w:sz w:val="22"/>
        </w:rPr>
        <w:t> </w:t>
      </w:r>
      <w:r>
        <w:rPr>
          <w:w w:val="95"/>
          <w:sz w:val="22"/>
        </w:rPr>
        <w:t>focus</w:t>
      </w:r>
      <w:r>
        <w:rPr>
          <w:spacing w:val="-19"/>
          <w:w w:val="95"/>
          <w:sz w:val="22"/>
        </w:rPr>
        <w:t> </w:t>
      </w:r>
      <w:r>
        <w:rPr>
          <w:w w:val="95"/>
          <w:sz w:val="22"/>
        </w:rPr>
        <w:t>on</w:t>
      </w:r>
      <w:r>
        <w:rPr>
          <w:spacing w:val="-21"/>
          <w:w w:val="95"/>
          <w:sz w:val="22"/>
        </w:rPr>
        <w:t> </w:t>
      </w:r>
      <w:r>
        <w:rPr>
          <w:w w:val="95"/>
          <w:sz w:val="22"/>
        </w:rPr>
        <w:t>fully</w:t>
      </w:r>
      <w:r>
        <w:rPr>
          <w:spacing w:val="-21"/>
          <w:w w:val="95"/>
          <w:sz w:val="22"/>
        </w:rPr>
        <w:t> </w:t>
      </w:r>
      <w:r>
        <w:rPr>
          <w:w w:val="95"/>
          <w:sz w:val="22"/>
        </w:rPr>
        <w:t>built</w:t>
      </w:r>
      <w:r>
        <w:rPr>
          <w:spacing w:val="-19"/>
          <w:w w:val="95"/>
          <w:sz w:val="22"/>
        </w:rPr>
        <w:t> </w:t>
      </w:r>
      <w:r>
        <w:rPr>
          <w:w w:val="95"/>
          <w:sz w:val="22"/>
        </w:rPr>
        <w:t>to</w:t>
      </w:r>
      <w:r>
        <w:rPr>
          <w:spacing w:val="-22"/>
          <w:w w:val="95"/>
          <w:sz w:val="22"/>
        </w:rPr>
        <w:t> </w:t>
      </w:r>
      <w:r>
        <w:rPr>
          <w:w w:val="95"/>
          <w:sz w:val="22"/>
        </w:rPr>
        <w:t>suit</w:t>
      </w:r>
      <w:r>
        <w:rPr>
          <w:spacing w:val="-20"/>
          <w:w w:val="95"/>
          <w:sz w:val="22"/>
        </w:rPr>
        <w:t> </w:t>
      </w:r>
      <w:r>
        <w:rPr>
          <w:w w:val="95"/>
          <w:sz w:val="22"/>
        </w:rPr>
        <w:t>or</w:t>
      </w:r>
      <w:r>
        <w:rPr>
          <w:spacing w:val="-20"/>
          <w:w w:val="95"/>
          <w:sz w:val="22"/>
        </w:rPr>
        <w:t> </w:t>
      </w:r>
      <w:r>
        <w:rPr>
          <w:w w:val="95"/>
          <w:sz w:val="22"/>
        </w:rPr>
        <w:t>semi-speculative</w:t>
      </w:r>
      <w:r>
        <w:rPr>
          <w:spacing w:val="-20"/>
          <w:w w:val="95"/>
          <w:sz w:val="22"/>
        </w:rPr>
        <w:t> </w:t>
      </w:r>
      <w:r>
        <w:rPr>
          <w:w w:val="95"/>
          <w:sz w:val="22"/>
        </w:rPr>
        <w:t>projects</w:t>
      </w:r>
      <w:r>
        <w:rPr>
          <w:spacing w:val="-19"/>
          <w:w w:val="95"/>
          <w:sz w:val="22"/>
        </w:rPr>
        <w:t> </w:t>
      </w:r>
      <w:r>
        <w:rPr>
          <w:w w:val="95"/>
          <w:sz w:val="22"/>
        </w:rPr>
        <w:t>(with</w:t>
      </w:r>
      <w:r>
        <w:rPr>
          <w:spacing w:val="-20"/>
          <w:w w:val="95"/>
          <w:sz w:val="22"/>
        </w:rPr>
        <w:t> </w:t>
      </w:r>
      <w:r>
        <w:rPr>
          <w:w w:val="95"/>
          <w:sz w:val="22"/>
        </w:rPr>
        <w:t>key</w:t>
      </w:r>
      <w:r>
        <w:rPr>
          <w:spacing w:val="-21"/>
          <w:w w:val="95"/>
          <w:sz w:val="22"/>
        </w:rPr>
        <w:t> </w:t>
      </w:r>
      <w:r>
        <w:rPr>
          <w:w w:val="95"/>
          <w:sz w:val="22"/>
        </w:rPr>
        <w:t>tenants </w:t>
      </w:r>
      <w:r>
        <w:rPr>
          <w:sz w:val="22"/>
        </w:rPr>
        <w:t>tied in prior to launch of</w:t>
      </w:r>
      <w:r>
        <w:rPr>
          <w:spacing w:val="-26"/>
          <w:sz w:val="22"/>
        </w:rPr>
        <w:t> </w:t>
      </w:r>
      <w:r>
        <w:rPr>
          <w:sz w:val="22"/>
        </w:rPr>
        <w:t>construction)</w:t>
      </w:r>
    </w:p>
    <w:p>
      <w:pPr>
        <w:pStyle w:val="ListParagraph"/>
        <w:numPr>
          <w:ilvl w:val="0"/>
          <w:numId w:val="24"/>
        </w:numPr>
        <w:tabs>
          <w:tab w:pos="1541" w:val="left" w:leader="none"/>
        </w:tabs>
        <w:spacing w:line="321" w:lineRule="auto" w:before="123" w:after="0"/>
        <w:ind w:left="1540" w:right="634" w:hanging="360"/>
        <w:jc w:val="both"/>
        <w:rPr>
          <w:sz w:val="22"/>
        </w:rPr>
      </w:pPr>
      <w:r>
        <w:rPr>
          <w:w w:val="95"/>
          <w:sz w:val="22"/>
        </w:rPr>
        <w:t>Inflation</w:t>
      </w:r>
      <w:r>
        <w:rPr>
          <w:spacing w:val="-16"/>
          <w:w w:val="95"/>
          <w:sz w:val="22"/>
        </w:rPr>
        <w:t> </w:t>
      </w:r>
      <w:r>
        <w:rPr>
          <w:w w:val="95"/>
          <w:sz w:val="22"/>
        </w:rPr>
        <w:t>–</w:t>
      </w:r>
      <w:r>
        <w:rPr>
          <w:spacing w:val="-14"/>
          <w:w w:val="95"/>
          <w:sz w:val="22"/>
        </w:rPr>
        <w:t> </w:t>
      </w:r>
      <w:r>
        <w:rPr>
          <w:w w:val="95"/>
          <w:sz w:val="22"/>
        </w:rPr>
        <w:t>inflation</w:t>
      </w:r>
      <w:r>
        <w:rPr>
          <w:spacing w:val="-16"/>
          <w:w w:val="95"/>
          <w:sz w:val="22"/>
        </w:rPr>
        <w:t> </w:t>
      </w:r>
      <w:r>
        <w:rPr>
          <w:w w:val="95"/>
          <w:sz w:val="22"/>
        </w:rPr>
        <w:t>(and</w:t>
      </w:r>
      <w:r>
        <w:rPr>
          <w:spacing w:val="-16"/>
          <w:w w:val="95"/>
          <w:sz w:val="22"/>
        </w:rPr>
        <w:t> </w:t>
      </w:r>
      <w:r>
        <w:rPr>
          <w:w w:val="95"/>
          <w:sz w:val="22"/>
        </w:rPr>
        <w:t>interest</w:t>
      </w:r>
      <w:r>
        <w:rPr>
          <w:spacing w:val="-14"/>
          <w:w w:val="95"/>
          <w:sz w:val="22"/>
        </w:rPr>
        <w:t> </w:t>
      </w:r>
      <w:r>
        <w:rPr>
          <w:w w:val="95"/>
          <w:sz w:val="22"/>
        </w:rPr>
        <w:t>rates)</w:t>
      </w:r>
      <w:r>
        <w:rPr>
          <w:spacing w:val="-16"/>
          <w:w w:val="95"/>
          <w:sz w:val="22"/>
        </w:rPr>
        <w:t> </w:t>
      </w:r>
      <w:r>
        <w:rPr>
          <w:w w:val="95"/>
          <w:sz w:val="22"/>
        </w:rPr>
        <w:t>expected</w:t>
      </w:r>
      <w:r>
        <w:rPr>
          <w:spacing w:val="-16"/>
          <w:w w:val="95"/>
          <w:sz w:val="22"/>
        </w:rPr>
        <w:t> </w:t>
      </w:r>
      <w:r>
        <w:rPr>
          <w:w w:val="95"/>
          <w:sz w:val="22"/>
        </w:rPr>
        <w:t>to</w:t>
      </w:r>
      <w:r>
        <w:rPr>
          <w:spacing w:val="-17"/>
          <w:w w:val="95"/>
          <w:sz w:val="22"/>
        </w:rPr>
        <w:t> </w:t>
      </w:r>
      <w:r>
        <w:rPr>
          <w:w w:val="95"/>
          <w:sz w:val="22"/>
        </w:rPr>
        <w:t>be</w:t>
      </w:r>
      <w:r>
        <w:rPr>
          <w:spacing w:val="-15"/>
          <w:w w:val="95"/>
          <w:sz w:val="22"/>
        </w:rPr>
        <w:t> </w:t>
      </w:r>
      <w:r>
        <w:rPr>
          <w:w w:val="95"/>
          <w:sz w:val="22"/>
        </w:rPr>
        <w:t>maintained</w:t>
      </w:r>
      <w:r>
        <w:rPr>
          <w:spacing w:val="-14"/>
          <w:w w:val="95"/>
          <w:sz w:val="22"/>
        </w:rPr>
        <w:t> </w:t>
      </w:r>
      <w:r>
        <w:rPr>
          <w:w w:val="95"/>
          <w:sz w:val="22"/>
        </w:rPr>
        <w:t>in</w:t>
      </w:r>
      <w:r>
        <w:rPr>
          <w:spacing w:val="-18"/>
          <w:w w:val="95"/>
          <w:sz w:val="22"/>
        </w:rPr>
        <w:t> </w:t>
      </w:r>
      <w:r>
        <w:rPr>
          <w:w w:val="95"/>
          <w:sz w:val="22"/>
        </w:rPr>
        <w:t>check</w:t>
      </w:r>
      <w:r>
        <w:rPr>
          <w:spacing w:val="-15"/>
          <w:w w:val="95"/>
          <w:sz w:val="22"/>
        </w:rPr>
        <w:t> </w:t>
      </w:r>
      <w:r>
        <w:rPr>
          <w:w w:val="95"/>
          <w:sz w:val="22"/>
        </w:rPr>
        <w:t>with</w:t>
      </w:r>
      <w:r>
        <w:rPr>
          <w:spacing w:val="-13"/>
          <w:w w:val="95"/>
          <w:sz w:val="22"/>
        </w:rPr>
        <w:t> </w:t>
      </w:r>
      <w:r>
        <w:rPr>
          <w:w w:val="95"/>
          <w:sz w:val="22"/>
        </w:rPr>
        <w:t>interventions</w:t>
      </w:r>
      <w:r>
        <w:rPr>
          <w:spacing w:val="-15"/>
          <w:w w:val="95"/>
          <w:sz w:val="22"/>
        </w:rPr>
        <w:t> </w:t>
      </w:r>
      <w:r>
        <w:rPr>
          <w:w w:val="95"/>
          <w:sz w:val="22"/>
        </w:rPr>
        <w:t>from </w:t>
      </w:r>
      <w:r>
        <w:rPr>
          <w:sz w:val="22"/>
        </w:rPr>
        <w:t>regulators in case of severe</w:t>
      </w:r>
      <w:r>
        <w:rPr>
          <w:spacing w:val="-15"/>
          <w:sz w:val="22"/>
        </w:rPr>
        <w:t> </w:t>
      </w:r>
      <w:r>
        <w:rPr>
          <w:sz w:val="22"/>
        </w:rPr>
        <w:t>swings</w:t>
      </w:r>
    </w:p>
    <w:p>
      <w:pPr>
        <w:pStyle w:val="ListParagraph"/>
        <w:numPr>
          <w:ilvl w:val="0"/>
          <w:numId w:val="24"/>
        </w:numPr>
        <w:tabs>
          <w:tab w:pos="1541" w:val="left" w:leader="none"/>
        </w:tabs>
        <w:spacing w:line="321" w:lineRule="auto" w:before="120" w:after="0"/>
        <w:ind w:left="1540" w:right="641" w:hanging="360"/>
        <w:jc w:val="both"/>
        <w:rPr>
          <w:sz w:val="22"/>
        </w:rPr>
      </w:pPr>
      <w:r>
        <w:rPr>
          <w:sz w:val="22"/>
        </w:rPr>
        <w:t>Liquidity</w:t>
      </w:r>
      <w:r>
        <w:rPr>
          <w:spacing w:val="-19"/>
          <w:sz w:val="22"/>
        </w:rPr>
        <w:t> </w:t>
      </w:r>
      <w:r>
        <w:rPr>
          <w:sz w:val="22"/>
        </w:rPr>
        <w:t>associated</w:t>
      </w:r>
      <w:r>
        <w:rPr>
          <w:spacing w:val="-18"/>
          <w:sz w:val="22"/>
        </w:rPr>
        <w:t> </w:t>
      </w:r>
      <w:r>
        <w:rPr>
          <w:sz w:val="22"/>
        </w:rPr>
        <w:t>with</w:t>
      </w:r>
      <w:r>
        <w:rPr>
          <w:spacing w:val="-21"/>
          <w:sz w:val="22"/>
        </w:rPr>
        <w:t> </w:t>
      </w:r>
      <w:r>
        <w:rPr>
          <w:sz w:val="22"/>
        </w:rPr>
        <w:t>REIT</w:t>
      </w:r>
      <w:r>
        <w:rPr>
          <w:spacing w:val="-18"/>
          <w:sz w:val="22"/>
        </w:rPr>
        <w:t> </w:t>
      </w:r>
      <w:r>
        <w:rPr>
          <w:sz w:val="22"/>
        </w:rPr>
        <w:t>listed/</w:t>
      </w:r>
      <w:r>
        <w:rPr>
          <w:spacing w:val="-20"/>
          <w:sz w:val="22"/>
        </w:rPr>
        <w:t> </w:t>
      </w:r>
      <w:r>
        <w:rPr>
          <w:sz w:val="22"/>
        </w:rPr>
        <w:t>public</w:t>
      </w:r>
      <w:r>
        <w:rPr>
          <w:spacing w:val="-19"/>
          <w:sz w:val="22"/>
        </w:rPr>
        <w:t> </w:t>
      </w:r>
      <w:r>
        <w:rPr>
          <w:sz w:val="22"/>
        </w:rPr>
        <w:t>listings</w:t>
      </w:r>
      <w:r>
        <w:rPr>
          <w:spacing w:val="-19"/>
          <w:sz w:val="22"/>
        </w:rPr>
        <w:t> </w:t>
      </w:r>
      <w:r>
        <w:rPr>
          <w:sz w:val="22"/>
        </w:rPr>
        <w:t>(multiplicity</w:t>
      </w:r>
      <w:r>
        <w:rPr>
          <w:spacing w:val="-18"/>
          <w:sz w:val="22"/>
        </w:rPr>
        <w:t> </w:t>
      </w:r>
      <w:r>
        <w:rPr>
          <w:sz w:val="22"/>
        </w:rPr>
        <w:t>of</w:t>
      </w:r>
      <w:r>
        <w:rPr>
          <w:spacing w:val="-19"/>
          <w:sz w:val="22"/>
        </w:rPr>
        <w:t> </w:t>
      </w:r>
      <w:r>
        <w:rPr>
          <w:sz w:val="22"/>
        </w:rPr>
        <w:t>buyers</w:t>
      </w:r>
      <w:r>
        <w:rPr>
          <w:spacing w:val="-20"/>
          <w:sz w:val="22"/>
        </w:rPr>
        <w:t> </w:t>
      </w:r>
      <w:r>
        <w:rPr>
          <w:sz w:val="22"/>
        </w:rPr>
        <w:t>and</w:t>
      </w:r>
      <w:r>
        <w:rPr>
          <w:spacing w:val="-18"/>
          <w:sz w:val="22"/>
        </w:rPr>
        <w:t> </w:t>
      </w:r>
      <w:r>
        <w:rPr>
          <w:sz w:val="22"/>
        </w:rPr>
        <w:t>relatively</w:t>
      </w:r>
      <w:r>
        <w:rPr>
          <w:spacing w:val="-19"/>
          <w:sz w:val="22"/>
        </w:rPr>
        <w:t> </w:t>
      </w:r>
      <w:r>
        <w:rPr>
          <w:sz w:val="22"/>
        </w:rPr>
        <w:t>lower budgets per</w:t>
      </w:r>
      <w:r>
        <w:rPr>
          <w:spacing w:val="-5"/>
          <w:sz w:val="22"/>
        </w:rPr>
        <w:t> </w:t>
      </w:r>
      <w:r>
        <w:rPr>
          <w:sz w:val="22"/>
        </w:rPr>
        <w:t>buyer)</w:t>
      </w:r>
    </w:p>
    <w:p>
      <w:pPr>
        <w:pStyle w:val="BodyText"/>
        <w:spacing w:line="321" w:lineRule="auto" w:before="122"/>
        <w:ind w:left="820" w:right="635"/>
        <w:jc w:val="both"/>
      </w:pPr>
      <w:r>
        <w:rPr/>
        <w:t>Based</w:t>
      </w:r>
      <w:r>
        <w:rPr>
          <w:spacing w:val="-28"/>
        </w:rPr>
        <w:t> </w:t>
      </w:r>
      <w:r>
        <w:rPr/>
        <w:t>on</w:t>
      </w:r>
      <w:r>
        <w:rPr>
          <w:spacing w:val="-29"/>
        </w:rPr>
        <w:t> </w:t>
      </w:r>
      <w:r>
        <w:rPr/>
        <w:t>the</w:t>
      </w:r>
      <w:r>
        <w:rPr>
          <w:spacing w:val="-29"/>
        </w:rPr>
        <w:t> </w:t>
      </w:r>
      <w:r>
        <w:rPr/>
        <w:t>above</w:t>
      </w:r>
      <w:r>
        <w:rPr>
          <w:spacing w:val="-29"/>
        </w:rPr>
        <w:t> </w:t>
      </w:r>
      <w:r>
        <w:rPr/>
        <w:t>highlighted</w:t>
      </w:r>
      <w:r>
        <w:rPr>
          <w:spacing w:val="-28"/>
        </w:rPr>
        <w:t> </w:t>
      </w:r>
      <w:r>
        <w:rPr/>
        <w:t>attributes,</w:t>
      </w:r>
      <w:r>
        <w:rPr>
          <w:spacing w:val="-28"/>
        </w:rPr>
        <w:t> </w:t>
      </w:r>
      <w:r>
        <w:rPr/>
        <w:t>the</w:t>
      </w:r>
      <w:r>
        <w:rPr>
          <w:spacing w:val="-29"/>
        </w:rPr>
        <w:t> </w:t>
      </w:r>
      <w:r>
        <w:rPr/>
        <w:t>following</w:t>
      </w:r>
      <w:r>
        <w:rPr>
          <w:spacing w:val="-28"/>
        </w:rPr>
        <w:t> </w:t>
      </w:r>
      <w:r>
        <w:rPr/>
        <w:t>cap</w:t>
      </w:r>
      <w:r>
        <w:rPr>
          <w:spacing w:val="-28"/>
        </w:rPr>
        <w:t> </w:t>
      </w:r>
      <w:r>
        <w:rPr/>
        <w:t>rates</w:t>
      </w:r>
      <w:r>
        <w:rPr>
          <w:spacing w:val="-28"/>
        </w:rPr>
        <w:t> </w:t>
      </w:r>
      <w:r>
        <w:rPr/>
        <w:t>have</w:t>
      </w:r>
      <w:r>
        <w:rPr>
          <w:spacing w:val="-29"/>
        </w:rPr>
        <w:t> </w:t>
      </w:r>
      <w:r>
        <w:rPr/>
        <w:t>been</w:t>
      </w:r>
      <w:r>
        <w:rPr>
          <w:spacing w:val="-28"/>
        </w:rPr>
        <w:t> </w:t>
      </w:r>
      <w:r>
        <w:rPr/>
        <w:t>adopted</w:t>
      </w:r>
      <w:r>
        <w:rPr>
          <w:spacing w:val="-28"/>
        </w:rPr>
        <w:t> </w:t>
      </w:r>
      <w:r>
        <w:rPr/>
        <w:t>for</w:t>
      </w:r>
      <w:r>
        <w:rPr>
          <w:spacing w:val="-29"/>
        </w:rPr>
        <w:t> </w:t>
      </w:r>
      <w:r>
        <w:rPr/>
        <w:t>the</w:t>
      </w:r>
      <w:r>
        <w:rPr>
          <w:spacing w:val="-29"/>
        </w:rPr>
        <w:t> </w:t>
      </w:r>
      <w:r>
        <w:rPr/>
        <w:t>purpose</w:t>
      </w:r>
      <w:r>
        <w:rPr>
          <w:spacing w:val="-29"/>
        </w:rPr>
        <w:t> </w:t>
      </w:r>
      <w:r>
        <w:rPr/>
        <w:t>of our</w:t>
      </w:r>
      <w:r>
        <w:rPr>
          <w:spacing w:val="-3"/>
        </w:rPr>
        <w:t> </w:t>
      </w:r>
      <w:r>
        <w:rPr/>
        <w:t>valuation.</w:t>
      </w:r>
    </w:p>
    <w:p>
      <w:pPr>
        <w:pStyle w:val="BodyText"/>
        <w:spacing w:before="1"/>
        <w:rPr>
          <w:sz w:val="10"/>
        </w:rPr>
      </w:pPr>
    </w:p>
    <w:tbl>
      <w:tblPr>
        <w:tblW w:w="0" w:type="auto"/>
        <w:jc w:val="left"/>
        <w:tblInd w:w="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61"/>
        <w:gridCol w:w="4709"/>
      </w:tblGrid>
      <w:tr>
        <w:trPr>
          <w:trHeight w:val="316" w:hRule="atLeast"/>
        </w:trPr>
        <w:tc>
          <w:tcPr>
            <w:tcW w:w="5761" w:type="dxa"/>
            <w:tcBorders>
              <w:top w:val="single" w:sz="8" w:space="0" w:color="92D050"/>
            </w:tcBorders>
            <w:shd w:val="clear" w:color="auto" w:fill="006A4D"/>
          </w:tcPr>
          <w:p>
            <w:pPr>
              <w:pStyle w:val="TableParagraph"/>
              <w:spacing w:before="49"/>
              <w:ind w:left="1173" w:right="1173"/>
              <w:rPr>
                <w:sz w:val="18"/>
              </w:rPr>
            </w:pPr>
            <w:r>
              <w:rPr>
                <w:color w:val="FFFFFF"/>
                <w:sz w:val="18"/>
              </w:rPr>
              <w:t>Asset/ Property Name</w:t>
            </w:r>
          </w:p>
        </w:tc>
        <w:tc>
          <w:tcPr>
            <w:tcW w:w="4709" w:type="dxa"/>
            <w:tcBorders>
              <w:top w:val="single" w:sz="8" w:space="0" w:color="92D050"/>
              <w:bottom w:val="single" w:sz="8" w:space="0" w:color="92D050"/>
            </w:tcBorders>
            <w:shd w:val="clear" w:color="auto" w:fill="006A4D"/>
          </w:tcPr>
          <w:p>
            <w:pPr>
              <w:pStyle w:val="TableParagraph"/>
              <w:spacing w:before="49"/>
              <w:ind w:left="398" w:right="394"/>
              <w:rPr>
                <w:sz w:val="18"/>
              </w:rPr>
            </w:pPr>
            <w:r>
              <w:rPr>
                <w:color w:val="FFFFFF"/>
                <w:sz w:val="18"/>
              </w:rPr>
              <w:t>Particular</w:t>
            </w:r>
          </w:p>
        </w:tc>
      </w:tr>
      <w:tr>
        <w:trPr>
          <w:trHeight w:val="522" w:hRule="atLeast"/>
        </w:trPr>
        <w:tc>
          <w:tcPr>
            <w:tcW w:w="5761" w:type="dxa"/>
            <w:shd w:val="clear" w:color="auto" w:fill="69BD28"/>
          </w:tcPr>
          <w:p>
            <w:pPr>
              <w:pStyle w:val="TableParagraph"/>
              <w:spacing w:before="154"/>
              <w:ind w:left="1173" w:right="1173"/>
              <w:rPr>
                <w:sz w:val="18"/>
              </w:rPr>
            </w:pPr>
            <w:r>
              <w:rPr>
                <w:color w:val="FFFFFF"/>
                <w:sz w:val="18"/>
              </w:rPr>
              <w:t>Embassy Manyata</w:t>
            </w:r>
          </w:p>
        </w:tc>
        <w:tc>
          <w:tcPr>
            <w:tcW w:w="4709" w:type="dxa"/>
            <w:tcBorders>
              <w:top w:val="single" w:sz="8" w:space="0" w:color="92D050"/>
              <w:bottom w:val="single" w:sz="8" w:space="0" w:color="92D050"/>
            </w:tcBorders>
          </w:tcPr>
          <w:p>
            <w:pPr>
              <w:pStyle w:val="TableParagraph"/>
              <w:spacing w:before="46"/>
              <w:ind w:left="398" w:right="394"/>
              <w:rPr>
                <w:sz w:val="18"/>
              </w:rPr>
            </w:pPr>
            <w:r>
              <w:rPr>
                <w:sz w:val="18"/>
              </w:rPr>
              <w:t>Office - 8%</w:t>
            </w:r>
          </w:p>
          <w:p>
            <w:pPr>
              <w:pStyle w:val="TableParagraph"/>
              <w:spacing w:line="192" w:lineRule="exact" w:before="55"/>
              <w:ind w:left="398" w:right="395"/>
              <w:rPr>
                <w:sz w:val="18"/>
              </w:rPr>
            </w:pPr>
            <w:r>
              <w:rPr>
                <w:sz w:val="18"/>
              </w:rPr>
              <w:t>Hotel - 7.14% (viz. an EV-EBITDA multiple of 14)</w:t>
            </w:r>
          </w:p>
        </w:tc>
      </w:tr>
      <w:tr>
        <w:trPr>
          <w:trHeight w:val="306" w:hRule="atLeast"/>
        </w:trPr>
        <w:tc>
          <w:tcPr>
            <w:tcW w:w="5761" w:type="dxa"/>
            <w:shd w:val="clear" w:color="auto" w:fill="69BD28"/>
          </w:tcPr>
          <w:p>
            <w:pPr>
              <w:pStyle w:val="TableParagraph"/>
              <w:spacing w:before="46"/>
              <w:ind w:left="1176" w:right="1169"/>
              <w:rPr>
                <w:sz w:val="18"/>
              </w:rPr>
            </w:pPr>
            <w:r>
              <w:rPr>
                <w:color w:val="FFFFFF"/>
                <w:sz w:val="18"/>
              </w:rPr>
              <w:t>Express Towers</w:t>
            </w:r>
          </w:p>
        </w:tc>
        <w:tc>
          <w:tcPr>
            <w:tcW w:w="4709" w:type="dxa"/>
            <w:tcBorders>
              <w:top w:val="single" w:sz="8" w:space="0" w:color="92D050"/>
              <w:bottom w:val="single" w:sz="8" w:space="0" w:color="92D050"/>
            </w:tcBorders>
          </w:tcPr>
          <w:p>
            <w:pPr>
              <w:pStyle w:val="TableParagraph"/>
              <w:spacing w:before="46"/>
              <w:ind w:left="395" w:right="395"/>
              <w:rPr>
                <w:sz w:val="18"/>
              </w:rPr>
            </w:pPr>
            <w:r>
              <w:rPr>
                <w:w w:val="110"/>
                <w:sz w:val="18"/>
              </w:rPr>
              <w:t>7.5%</w:t>
            </w:r>
          </w:p>
        </w:tc>
      </w:tr>
      <w:tr>
        <w:trPr>
          <w:trHeight w:val="306" w:hRule="atLeast"/>
        </w:trPr>
        <w:tc>
          <w:tcPr>
            <w:tcW w:w="5761" w:type="dxa"/>
            <w:shd w:val="clear" w:color="auto" w:fill="69BD28"/>
          </w:tcPr>
          <w:p>
            <w:pPr>
              <w:pStyle w:val="TableParagraph"/>
              <w:spacing w:before="46"/>
              <w:ind w:left="1176" w:right="1167"/>
              <w:rPr>
                <w:sz w:val="18"/>
              </w:rPr>
            </w:pPr>
            <w:r>
              <w:rPr>
                <w:color w:val="FFFFFF"/>
                <w:w w:val="105"/>
                <w:sz w:val="18"/>
              </w:rPr>
              <w:t>Embassy 247</w:t>
            </w:r>
          </w:p>
        </w:tc>
        <w:tc>
          <w:tcPr>
            <w:tcW w:w="4709" w:type="dxa"/>
            <w:tcBorders>
              <w:top w:val="single" w:sz="8" w:space="0" w:color="92D050"/>
              <w:bottom w:val="single" w:sz="8" w:space="0" w:color="92D050"/>
            </w:tcBorders>
          </w:tcPr>
          <w:p>
            <w:pPr>
              <w:pStyle w:val="TableParagraph"/>
              <w:spacing w:before="46"/>
              <w:ind w:left="395" w:right="395"/>
              <w:rPr>
                <w:sz w:val="18"/>
              </w:rPr>
            </w:pPr>
            <w:r>
              <w:rPr>
                <w:w w:val="120"/>
                <w:sz w:val="18"/>
              </w:rPr>
              <w:t>8%</w:t>
            </w:r>
          </w:p>
        </w:tc>
      </w:tr>
      <w:tr>
        <w:trPr>
          <w:trHeight w:val="307" w:hRule="atLeast"/>
        </w:trPr>
        <w:tc>
          <w:tcPr>
            <w:tcW w:w="5761" w:type="dxa"/>
            <w:shd w:val="clear" w:color="auto" w:fill="69BD28"/>
          </w:tcPr>
          <w:p>
            <w:pPr>
              <w:pStyle w:val="TableParagraph"/>
              <w:spacing w:before="47"/>
              <w:ind w:left="1176" w:right="1173"/>
              <w:rPr>
                <w:sz w:val="18"/>
              </w:rPr>
            </w:pPr>
            <w:r>
              <w:rPr>
                <w:color w:val="FFFFFF"/>
                <w:sz w:val="18"/>
              </w:rPr>
              <w:t>First International Financial Center (FIFC)</w:t>
            </w:r>
          </w:p>
        </w:tc>
        <w:tc>
          <w:tcPr>
            <w:tcW w:w="4709" w:type="dxa"/>
            <w:tcBorders>
              <w:top w:val="single" w:sz="8" w:space="0" w:color="92D050"/>
              <w:bottom w:val="single" w:sz="8" w:space="0" w:color="92D050"/>
            </w:tcBorders>
          </w:tcPr>
          <w:p>
            <w:pPr>
              <w:pStyle w:val="TableParagraph"/>
              <w:spacing w:before="47"/>
              <w:ind w:left="395" w:right="395"/>
              <w:rPr>
                <w:sz w:val="18"/>
              </w:rPr>
            </w:pPr>
            <w:r>
              <w:rPr>
                <w:w w:val="110"/>
                <w:sz w:val="18"/>
              </w:rPr>
              <w:t>7.75%</w:t>
            </w:r>
          </w:p>
        </w:tc>
      </w:tr>
      <w:tr>
        <w:trPr>
          <w:trHeight w:val="306" w:hRule="atLeast"/>
        </w:trPr>
        <w:tc>
          <w:tcPr>
            <w:tcW w:w="5761" w:type="dxa"/>
            <w:shd w:val="clear" w:color="auto" w:fill="69BD28"/>
          </w:tcPr>
          <w:p>
            <w:pPr>
              <w:pStyle w:val="TableParagraph"/>
              <w:spacing w:before="46"/>
              <w:ind w:left="1176" w:right="1168"/>
              <w:rPr>
                <w:sz w:val="18"/>
              </w:rPr>
            </w:pPr>
            <w:r>
              <w:rPr>
                <w:color w:val="FFFFFF"/>
                <w:sz w:val="18"/>
              </w:rPr>
              <w:t>Embassy TechZone</w:t>
            </w:r>
          </w:p>
        </w:tc>
        <w:tc>
          <w:tcPr>
            <w:tcW w:w="4709" w:type="dxa"/>
            <w:tcBorders>
              <w:top w:val="single" w:sz="8" w:space="0" w:color="92D050"/>
              <w:bottom w:val="single" w:sz="8" w:space="0" w:color="92D050"/>
            </w:tcBorders>
          </w:tcPr>
          <w:p>
            <w:pPr>
              <w:pStyle w:val="TableParagraph"/>
              <w:spacing w:before="46"/>
              <w:ind w:left="395" w:right="395"/>
              <w:rPr>
                <w:sz w:val="18"/>
              </w:rPr>
            </w:pPr>
            <w:r>
              <w:rPr>
                <w:w w:val="110"/>
                <w:sz w:val="18"/>
              </w:rPr>
              <w:t>8.25%</w:t>
            </w:r>
          </w:p>
        </w:tc>
      </w:tr>
      <w:tr>
        <w:trPr>
          <w:trHeight w:val="308" w:hRule="atLeast"/>
        </w:trPr>
        <w:tc>
          <w:tcPr>
            <w:tcW w:w="5761" w:type="dxa"/>
            <w:shd w:val="clear" w:color="auto" w:fill="69BD28"/>
          </w:tcPr>
          <w:p>
            <w:pPr>
              <w:pStyle w:val="TableParagraph"/>
              <w:spacing w:before="46"/>
              <w:ind w:left="1176" w:right="1166"/>
              <w:rPr>
                <w:sz w:val="18"/>
              </w:rPr>
            </w:pPr>
            <w:r>
              <w:rPr>
                <w:color w:val="FFFFFF"/>
                <w:w w:val="105"/>
                <w:sz w:val="18"/>
              </w:rPr>
              <w:t>Embassy Quadron</w:t>
            </w:r>
          </w:p>
        </w:tc>
        <w:tc>
          <w:tcPr>
            <w:tcW w:w="4709" w:type="dxa"/>
            <w:tcBorders>
              <w:top w:val="single" w:sz="8" w:space="0" w:color="92D050"/>
              <w:bottom w:val="single" w:sz="8" w:space="0" w:color="92D050"/>
            </w:tcBorders>
          </w:tcPr>
          <w:p>
            <w:pPr>
              <w:pStyle w:val="TableParagraph"/>
              <w:spacing w:before="46"/>
              <w:ind w:left="395" w:right="395"/>
              <w:rPr>
                <w:sz w:val="18"/>
              </w:rPr>
            </w:pPr>
            <w:r>
              <w:rPr>
                <w:w w:val="110"/>
                <w:sz w:val="18"/>
              </w:rPr>
              <w:t>8.25%</w:t>
            </w:r>
          </w:p>
        </w:tc>
      </w:tr>
      <w:tr>
        <w:trPr>
          <w:trHeight w:val="306" w:hRule="atLeast"/>
        </w:trPr>
        <w:tc>
          <w:tcPr>
            <w:tcW w:w="5761" w:type="dxa"/>
            <w:shd w:val="clear" w:color="auto" w:fill="69BD28"/>
          </w:tcPr>
          <w:p>
            <w:pPr>
              <w:pStyle w:val="TableParagraph"/>
              <w:spacing w:before="44"/>
              <w:ind w:left="1176" w:right="1169"/>
              <w:rPr>
                <w:sz w:val="18"/>
              </w:rPr>
            </w:pPr>
            <w:r>
              <w:rPr>
                <w:color w:val="FFFFFF"/>
                <w:sz w:val="18"/>
              </w:rPr>
              <w:t>Embassy Qubix</w:t>
            </w:r>
          </w:p>
        </w:tc>
        <w:tc>
          <w:tcPr>
            <w:tcW w:w="4709" w:type="dxa"/>
            <w:tcBorders>
              <w:top w:val="single" w:sz="8" w:space="0" w:color="92D050"/>
              <w:bottom w:val="single" w:sz="8" w:space="0" w:color="92D050"/>
            </w:tcBorders>
          </w:tcPr>
          <w:p>
            <w:pPr>
              <w:pStyle w:val="TableParagraph"/>
              <w:spacing w:before="44"/>
              <w:ind w:left="395" w:right="395"/>
              <w:rPr>
                <w:sz w:val="18"/>
              </w:rPr>
            </w:pPr>
            <w:r>
              <w:rPr>
                <w:w w:val="110"/>
                <w:sz w:val="18"/>
              </w:rPr>
              <w:t>8.25%</w:t>
            </w:r>
          </w:p>
        </w:tc>
      </w:tr>
      <w:tr>
        <w:trPr>
          <w:trHeight w:val="306" w:hRule="atLeast"/>
        </w:trPr>
        <w:tc>
          <w:tcPr>
            <w:tcW w:w="5761" w:type="dxa"/>
            <w:shd w:val="clear" w:color="auto" w:fill="69BD28"/>
          </w:tcPr>
          <w:p>
            <w:pPr>
              <w:pStyle w:val="TableParagraph"/>
              <w:spacing w:before="44"/>
              <w:ind w:left="1176" w:right="1169"/>
              <w:rPr>
                <w:sz w:val="18"/>
              </w:rPr>
            </w:pPr>
            <w:r>
              <w:rPr>
                <w:color w:val="FFFFFF"/>
                <w:sz w:val="18"/>
              </w:rPr>
              <w:t>Embassy Oxygen</w:t>
            </w:r>
          </w:p>
        </w:tc>
        <w:tc>
          <w:tcPr>
            <w:tcW w:w="4709" w:type="dxa"/>
            <w:tcBorders>
              <w:top w:val="single" w:sz="8" w:space="0" w:color="92D050"/>
              <w:bottom w:val="single" w:sz="8" w:space="0" w:color="92D050"/>
            </w:tcBorders>
          </w:tcPr>
          <w:p>
            <w:pPr>
              <w:pStyle w:val="TableParagraph"/>
              <w:spacing w:before="44"/>
              <w:ind w:left="395" w:right="395"/>
              <w:rPr>
                <w:sz w:val="18"/>
              </w:rPr>
            </w:pPr>
            <w:r>
              <w:rPr>
                <w:w w:val="110"/>
                <w:sz w:val="18"/>
              </w:rPr>
              <w:t>8.25%</w:t>
            </w:r>
          </w:p>
        </w:tc>
      </w:tr>
      <w:tr>
        <w:trPr>
          <w:trHeight w:val="306" w:hRule="atLeast"/>
        </w:trPr>
        <w:tc>
          <w:tcPr>
            <w:tcW w:w="5761" w:type="dxa"/>
            <w:shd w:val="clear" w:color="auto" w:fill="69BD28"/>
          </w:tcPr>
          <w:p>
            <w:pPr>
              <w:pStyle w:val="TableParagraph"/>
              <w:spacing w:before="44"/>
              <w:ind w:left="1176" w:right="1168"/>
              <w:rPr>
                <w:sz w:val="18"/>
              </w:rPr>
            </w:pPr>
            <w:r>
              <w:rPr>
                <w:color w:val="FFFFFF"/>
                <w:sz w:val="18"/>
              </w:rPr>
              <w:t>Embassy Galaxy</w:t>
            </w:r>
          </w:p>
        </w:tc>
        <w:tc>
          <w:tcPr>
            <w:tcW w:w="4709" w:type="dxa"/>
            <w:tcBorders>
              <w:top w:val="single" w:sz="8" w:space="0" w:color="92D050"/>
              <w:bottom w:val="single" w:sz="8" w:space="0" w:color="92D050"/>
            </w:tcBorders>
          </w:tcPr>
          <w:p>
            <w:pPr>
              <w:pStyle w:val="TableParagraph"/>
              <w:spacing w:before="44"/>
              <w:ind w:left="395" w:right="395"/>
              <w:rPr>
                <w:sz w:val="18"/>
              </w:rPr>
            </w:pPr>
            <w:r>
              <w:rPr>
                <w:w w:val="110"/>
                <w:sz w:val="18"/>
              </w:rPr>
              <w:t>8.25%</w:t>
            </w:r>
          </w:p>
        </w:tc>
      </w:tr>
      <w:tr>
        <w:trPr>
          <w:trHeight w:val="306" w:hRule="atLeast"/>
        </w:trPr>
        <w:tc>
          <w:tcPr>
            <w:tcW w:w="5761" w:type="dxa"/>
            <w:shd w:val="clear" w:color="auto" w:fill="69BD28"/>
          </w:tcPr>
          <w:p>
            <w:pPr>
              <w:pStyle w:val="TableParagraph"/>
              <w:spacing w:before="44"/>
              <w:ind w:left="1174" w:right="1173"/>
              <w:rPr>
                <w:sz w:val="18"/>
              </w:rPr>
            </w:pPr>
            <w:r>
              <w:rPr>
                <w:color w:val="FFFFFF"/>
                <w:sz w:val="18"/>
              </w:rPr>
              <w:t>Embassy GolfLinks</w:t>
            </w:r>
          </w:p>
        </w:tc>
        <w:tc>
          <w:tcPr>
            <w:tcW w:w="4709" w:type="dxa"/>
            <w:tcBorders>
              <w:top w:val="single" w:sz="8" w:space="0" w:color="92D050"/>
              <w:bottom w:val="single" w:sz="4" w:space="0" w:color="92D050"/>
            </w:tcBorders>
          </w:tcPr>
          <w:p>
            <w:pPr>
              <w:pStyle w:val="TableParagraph"/>
              <w:spacing w:before="44"/>
              <w:ind w:left="395" w:right="395"/>
              <w:rPr>
                <w:sz w:val="18"/>
              </w:rPr>
            </w:pPr>
            <w:r>
              <w:rPr>
                <w:w w:val="120"/>
                <w:sz w:val="18"/>
              </w:rPr>
              <w:t>8%</w:t>
            </w:r>
          </w:p>
        </w:tc>
      </w:tr>
      <w:tr>
        <w:trPr>
          <w:trHeight w:val="532" w:hRule="atLeast"/>
        </w:trPr>
        <w:tc>
          <w:tcPr>
            <w:tcW w:w="5761" w:type="dxa"/>
            <w:shd w:val="clear" w:color="auto" w:fill="69BD28"/>
          </w:tcPr>
          <w:p>
            <w:pPr>
              <w:pStyle w:val="TableParagraph"/>
              <w:spacing w:before="162"/>
              <w:ind w:left="1173" w:right="1173"/>
              <w:rPr>
                <w:sz w:val="18"/>
              </w:rPr>
            </w:pPr>
            <w:r>
              <w:rPr>
                <w:color w:val="FFFFFF"/>
                <w:w w:val="105"/>
                <w:sz w:val="18"/>
              </w:rPr>
              <w:t>Embassy One</w:t>
            </w:r>
          </w:p>
        </w:tc>
        <w:tc>
          <w:tcPr>
            <w:tcW w:w="4709" w:type="dxa"/>
            <w:tcBorders>
              <w:top w:val="single" w:sz="4" w:space="0" w:color="92D050"/>
              <w:bottom w:val="single" w:sz="4" w:space="0" w:color="92D050"/>
            </w:tcBorders>
          </w:tcPr>
          <w:p>
            <w:pPr>
              <w:pStyle w:val="TableParagraph"/>
              <w:spacing w:before="54"/>
              <w:ind w:left="398" w:right="395"/>
              <w:rPr>
                <w:sz w:val="18"/>
              </w:rPr>
            </w:pPr>
            <w:r>
              <w:rPr>
                <w:w w:val="105"/>
                <w:sz w:val="18"/>
              </w:rPr>
              <w:t>Office and retail – 7.5%</w:t>
            </w:r>
          </w:p>
          <w:p>
            <w:pPr>
              <w:pStyle w:val="TableParagraph"/>
              <w:spacing w:line="192" w:lineRule="exact" w:before="57"/>
              <w:ind w:left="398" w:right="395"/>
              <w:rPr>
                <w:sz w:val="18"/>
              </w:rPr>
            </w:pPr>
            <w:r>
              <w:rPr>
                <w:sz w:val="18"/>
              </w:rPr>
              <w:t>Hotel - 7.14% (viz. an EV-EBITDA multiple of 14)</w:t>
            </w:r>
          </w:p>
        </w:tc>
      </w:tr>
      <w:tr>
        <w:trPr>
          <w:trHeight w:val="316" w:hRule="atLeast"/>
        </w:trPr>
        <w:tc>
          <w:tcPr>
            <w:tcW w:w="5761" w:type="dxa"/>
            <w:shd w:val="clear" w:color="auto" w:fill="69BD28"/>
          </w:tcPr>
          <w:p>
            <w:pPr>
              <w:pStyle w:val="TableParagraph"/>
              <w:spacing w:before="54"/>
              <w:ind w:left="1172" w:right="1173"/>
              <w:rPr>
                <w:sz w:val="18"/>
              </w:rPr>
            </w:pPr>
            <w:r>
              <w:rPr>
                <w:color w:val="FFFFFF"/>
                <w:sz w:val="18"/>
              </w:rPr>
              <w:t>Hilton at GolfLinks</w:t>
            </w:r>
          </w:p>
        </w:tc>
        <w:tc>
          <w:tcPr>
            <w:tcW w:w="4709" w:type="dxa"/>
            <w:tcBorders>
              <w:top w:val="single" w:sz="4" w:space="0" w:color="92D050"/>
              <w:bottom w:val="single" w:sz="4" w:space="0" w:color="92D050"/>
            </w:tcBorders>
          </w:tcPr>
          <w:p>
            <w:pPr>
              <w:pStyle w:val="TableParagraph"/>
              <w:spacing w:before="58"/>
              <w:ind w:left="398" w:right="395"/>
              <w:rPr>
                <w:sz w:val="18"/>
              </w:rPr>
            </w:pPr>
            <w:r>
              <w:rPr>
                <w:sz w:val="18"/>
              </w:rPr>
              <w:t>Hotel - 7.14% (viz. an EV-EBITDA multiple of 14)</w:t>
            </w:r>
          </w:p>
        </w:tc>
      </w:tr>
      <w:tr>
        <w:trPr>
          <w:trHeight w:val="316" w:hRule="atLeast"/>
        </w:trPr>
        <w:tc>
          <w:tcPr>
            <w:tcW w:w="5761" w:type="dxa"/>
            <w:tcBorders>
              <w:bottom w:val="single" w:sz="8" w:space="0" w:color="92D050"/>
            </w:tcBorders>
            <w:shd w:val="clear" w:color="auto" w:fill="69BD28"/>
          </w:tcPr>
          <w:p>
            <w:pPr>
              <w:pStyle w:val="TableParagraph"/>
              <w:spacing w:before="54"/>
              <w:ind w:left="1173" w:right="1173"/>
              <w:rPr>
                <w:sz w:val="18"/>
              </w:rPr>
            </w:pPr>
            <w:r>
              <w:rPr>
                <w:color w:val="FFFFFF"/>
                <w:sz w:val="18"/>
              </w:rPr>
              <w:t>Embassy Energy</w:t>
            </w:r>
          </w:p>
        </w:tc>
        <w:tc>
          <w:tcPr>
            <w:tcW w:w="4709" w:type="dxa"/>
            <w:tcBorders>
              <w:top w:val="single" w:sz="4" w:space="0" w:color="92D050"/>
              <w:bottom w:val="single" w:sz="8" w:space="0" w:color="92D050"/>
            </w:tcBorders>
          </w:tcPr>
          <w:p>
            <w:pPr>
              <w:pStyle w:val="TableParagraph"/>
              <w:spacing w:before="54"/>
              <w:ind w:left="398" w:right="393"/>
              <w:rPr>
                <w:sz w:val="18"/>
              </w:rPr>
            </w:pPr>
            <w:r>
              <w:rPr>
                <w:sz w:val="18"/>
              </w:rPr>
              <w:t>Not applicable</w:t>
            </w:r>
          </w:p>
        </w:tc>
      </w:tr>
    </w:tbl>
    <w:p>
      <w:pPr>
        <w:spacing w:after="0"/>
        <w:rPr>
          <w:sz w:val="18"/>
        </w:rPr>
        <w:sectPr>
          <w:pgSz w:w="11910" w:h="16840"/>
          <w:pgMar w:header="720" w:footer="842" w:top="1520" w:bottom="1040" w:left="440" w:right="80"/>
        </w:sectPr>
      </w:pPr>
    </w:p>
    <w:p>
      <w:pPr>
        <w:pStyle w:val="BodyText"/>
        <w:spacing w:before="5"/>
      </w:pPr>
    </w:p>
    <w:p>
      <w:pPr>
        <w:pStyle w:val="ListParagraph"/>
        <w:numPr>
          <w:ilvl w:val="1"/>
          <w:numId w:val="14"/>
        </w:numPr>
        <w:tabs>
          <w:tab w:pos="856" w:val="left" w:leader="none"/>
          <w:tab w:pos="857" w:val="left" w:leader="none"/>
        </w:tabs>
        <w:spacing w:line="240" w:lineRule="auto" w:before="106" w:after="0"/>
        <w:ind w:left="856" w:right="0" w:hanging="577"/>
        <w:jc w:val="left"/>
        <w:rPr>
          <w:color w:val="1F6647"/>
          <w:sz w:val="22"/>
        </w:rPr>
      </w:pPr>
      <w:bookmarkStart w:name="_bookmark24" w:id="48"/>
      <w:bookmarkEnd w:id="48"/>
      <w:r>
        <w:rPr/>
      </w:r>
      <w:bookmarkStart w:name="_bookmark24" w:id="49"/>
      <w:bookmarkEnd w:id="49"/>
      <w:r>
        <w:rPr>
          <w:color w:val="1F6647"/>
          <w:sz w:val="22"/>
        </w:rPr>
        <w:t>Dis</w:t>
      </w:r>
      <w:r>
        <w:rPr>
          <w:color w:val="1F6647"/>
          <w:sz w:val="22"/>
        </w:rPr>
        <w:t>count Rate</w:t>
      </w:r>
      <w:r>
        <w:rPr>
          <w:color w:val="1F6647"/>
          <w:spacing w:val="-2"/>
          <w:sz w:val="22"/>
        </w:rPr>
        <w:t> </w:t>
      </w:r>
      <w:r>
        <w:rPr>
          <w:color w:val="1F6647"/>
          <w:sz w:val="22"/>
        </w:rPr>
        <w:t>Adopted</w:t>
      </w:r>
    </w:p>
    <w:p>
      <w:pPr>
        <w:pStyle w:val="BodyText"/>
        <w:spacing w:before="3"/>
        <w:rPr>
          <w:sz w:val="28"/>
        </w:rPr>
      </w:pPr>
    </w:p>
    <w:p>
      <w:pPr>
        <w:pStyle w:val="BodyText"/>
        <w:ind w:left="911"/>
      </w:pPr>
      <w:r>
        <w:rPr/>
        <w:t>For discounting the cash flows, an appropriate discount rate has been calculated on the basis of</w:t>
      </w:r>
    </w:p>
    <w:p>
      <w:pPr>
        <w:pStyle w:val="BodyText"/>
        <w:spacing w:before="88"/>
        <w:ind w:left="911"/>
      </w:pPr>
      <w:r>
        <w:rPr/>
        <w:t>estimated ‘Weighted Average Cost of Capital’ (WACC).</w:t>
      </w:r>
    </w:p>
    <w:p>
      <w:pPr>
        <w:pStyle w:val="BodyText"/>
        <w:rPr>
          <w:sz w:val="28"/>
        </w:rPr>
      </w:pPr>
    </w:p>
    <w:p>
      <w:pPr>
        <w:pStyle w:val="ListParagraph"/>
        <w:numPr>
          <w:ilvl w:val="2"/>
          <w:numId w:val="14"/>
        </w:numPr>
        <w:tabs>
          <w:tab w:pos="1001" w:val="left" w:leader="none"/>
        </w:tabs>
        <w:spacing w:line="240" w:lineRule="auto" w:before="0" w:after="0"/>
        <w:ind w:left="1000" w:right="0" w:hanging="721"/>
        <w:jc w:val="left"/>
        <w:rPr>
          <w:sz w:val="22"/>
        </w:rPr>
      </w:pPr>
      <w:bookmarkStart w:name="_bookmark25" w:id="50"/>
      <w:bookmarkEnd w:id="50"/>
      <w:r>
        <w:rPr/>
      </w:r>
      <w:bookmarkStart w:name="_bookmark25" w:id="51"/>
      <w:bookmarkEnd w:id="51"/>
      <w:r>
        <w:rPr>
          <w:color w:val="1F664D"/>
          <w:sz w:val="22"/>
        </w:rPr>
        <w:t>Co</w:t>
      </w:r>
      <w:r>
        <w:rPr>
          <w:color w:val="1F664D"/>
          <w:sz w:val="22"/>
        </w:rPr>
        <w:t>st of Equity</w:t>
      </w:r>
    </w:p>
    <w:p>
      <w:pPr>
        <w:pStyle w:val="BodyText"/>
        <w:spacing w:before="2"/>
        <w:rPr>
          <w:sz w:val="28"/>
        </w:rPr>
      </w:pPr>
    </w:p>
    <w:p>
      <w:pPr>
        <w:pStyle w:val="BodyText"/>
        <w:spacing w:line="321" w:lineRule="auto"/>
        <w:ind w:left="911" w:right="640"/>
        <w:jc w:val="both"/>
      </w:pPr>
      <w:r>
        <w:rPr/>
        <w:t>The Valuer has computed the cost of equity as per the Capital Asset Pricing Model (CAPM), which is derived as follows:</w:t>
      </w:r>
    </w:p>
    <w:p>
      <w:pPr>
        <w:pStyle w:val="BodyText"/>
        <w:spacing w:before="7"/>
        <w:rPr>
          <w:sz w:val="20"/>
        </w:rPr>
      </w:pPr>
    </w:p>
    <w:p>
      <w:pPr>
        <w:pStyle w:val="BodyText"/>
        <w:spacing w:before="1"/>
        <w:ind w:left="911"/>
      </w:pPr>
      <w:r>
        <w:rPr/>
        <w:t>Cost of equity </w:t>
      </w:r>
      <w:r>
        <w:rPr>
          <w:w w:val="130"/>
        </w:rPr>
        <w:t>= </w:t>
      </w:r>
      <w:r>
        <w:rPr/>
        <w:t>Risk Free Rate (Rf) </w:t>
      </w:r>
      <w:r>
        <w:rPr>
          <w:w w:val="130"/>
        </w:rPr>
        <w:t>+ </w:t>
      </w:r>
      <w:r>
        <w:rPr/>
        <w:t>Beta (</w:t>
      </w:r>
      <w:r>
        <w:rPr>
          <w:rFonts w:ascii="Carlito" w:hAnsi="Carlito"/>
          <w:b/>
        </w:rPr>
        <w:t>β) </w:t>
      </w:r>
      <w:r>
        <w:rPr/>
        <w:t>* (Market Return (Rm) </w:t>
      </w:r>
      <w:r>
        <w:rPr>
          <w:w w:val="130"/>
        </w:rPr>
        <w:t>– </w:t>
      </w:r>
      <w:r>
        <w:rPr/>
        <w:t>Risk Free Rate (Rf))</w:t>
      </w:r>
    </w:p>
    <w:p>
      <w:pPr>
        <w:pStyle w:val="BodyText"/>
        <w:spacing w:before="11"/>
        <w:rPr>
          <w:sz w:val="27"/>
        </w:rPr>
      </w:pPr>
    </w:p>
    <w:p>
      <w:pPr>
        <w:pStyle w:val="BodyText"/>
        <w:ind w:left="911"/>
      </w:pPr>
      <w:r>
        <w:rPr/>
        <w:t>As mentioned above, the cost of equity computed using CAPM constitutes of the following components:</w:t>
      </w:r>
    </w:p>
    <w:p>
      <w:pPr>
        <w:pStyle w:val="BodyText"/>
        <w:spacing w:before="9"/>
        <w:rPr>
          <w:sz w:val="27"/>
        </w:rPr>
      </w:pPr>
    </w:p>
    <w:p>
      <w:pPr>
        <w:pStyle w:val="ListParagraph"/>
        <w:numPr>
          <w:ilvl w:val="0"/>
          <w:numId w:val="25"/>
        </w:numPr>
        <w:tabs>
          <w:tab w:pos="1561" w:val="left" w:leader="none"/>
          <w:tab w:pos="1562" w:val="left" w:leader="none"/>
        </w:tabs>
        <w:spacing w:line="240" w:lineRule="auto" w:before="0" w:after="0"/>
        <w:ind w:left="1562" w:right="0" w:hanging="360"/>
        <w:jc w:val="left"/>
        <w:rPr>
          <w:sz w:val="22"/>
        </w:rPr>
      </w:pPr>
      <w:r>
        <w:rPr>
          <w:sz w:val="22"/>
        </w:rPr>
        <w:t>Risk</w:t>
      </w:r>
      <w:r>
        <w:rPr>
          <w:spacing w:val="-9"/>
          <w:sz w:val="22"/>
        </w:rPr>
        <w:t> </w:t>
      </w:r>
      <w:r>
        <w:rPr>
          <w:sz w:val="22"/>
        </w:rPr>
        <w:t>free</w:t>
      </w:r>
      <w:r>
        <w:rPr>
          <w:spacing w:val="-8"/>
          <w:sz w:val="22"/>
        </w:rPr>
        <w:t> </w:t>
      </w:r>
      <w:r>
        <w:rPr>
          <w:sz w:val="22"/>
        </w:rPr>
        <w:t>rate</w:t>
      </w:r>
      <w:r>
        <w:rPr>
          <w:spacing w:val="-7"/>
          <w:sz w:val="22"/>
        </w:rPr>
        <w:t> </w:t>
      </w:r>
      <w:r>
        <w:rPr>
          <w:sz w:val="22"/>
        </w:rPr>
        <w:t>(Rf)</w:t>
      </w:r>
      <w:r>
        <w:rPr>
          <w:spacing w:val="-7"/>
          <w:sz w:val="22"/>
        </w:rPr>
        <w:t> </w:t>
      </w:r>
      <w:r>
        <w:rPr>
          <w:sz w:val="22"/>
        </w:rPr>
        <w:t>i.e.</w:t>
      </w:r>
      <w:r>
        <w:rPr>
          <w:spacing w:val="-7"/>
          <w:sz w:val="22"/>
        </w:rPr>
        <w:t> </w:t>
      </w:r>
      <w:r>
        <w:rPr>
          <w:sz w:val="22"/>
        </w:rPr>
        <w:t>long</w:t>
      </w:r>
      <w:r>
        <w:rPr>
          <w:spacing w:val="-8"/>
          <w:sz w:val="22"/>
        </w:rPr>
        <w:t> </w:t>
      </w:r>
      <w:r>
        <w:rPr>
          <w:sz w:val="22"/>
        </w:rPr>
        <w:t>term</w:t>
      </w:r>
      <w:r>
        <w:rPr>
          <w:spacing w:val="-8"/>
          <w:sz w:val="22"/>
        </w:rPr>
        <w:t> </w:t>
      </w:r>
      <w:r>
        <w:rPr>
          <w:sz w:val="22"/>
        </w:rPr>
        <w:t>(10-year)</w:t>
      </w:r>
      <w:r>
        <w:rPr>
          <w:spacing w:val="-8"/>
          <w:sz w:val="22"/>
        </w:rPr>
        <w:t> </w:t>
      </w:r>
      <w:r>
        <w:rPr>
          <w:sz w:val="22"/>
        </w:rPr>
        <w:t>treasury</w:t>
      </w:r>
      <w:r>
        <w:rPr>
          <w:spacing w:val="-9"/>
          <w:sz w:val="22"/>
        </w:rPr>
        <w:t> </w:t>
      </w:r>
      <w:r>
        <w:rPr>
          <w:sz w:val="22"/>
        </w:rPr>
        <w:t>bond</w:t>
      </w:r>
      <w:r>
        <w:rPr>
          <w:spacing w:val="-7"/>
          <w:sz w:val="22"/>
        </w:rPr>
        <w:t> </w:t>
      </w:r>
      <w:r>
        <w:rPr>
          <w:sz w:val="22"/>
        </w:rPr>
        <w:t>rate</w:t>
      </w:r>
      <w:r>
        <w:rPr>
          <w:spacing w:val="-8"/>
          <w:sz w:val="22"/>
        </w:rPr>
        <w:t> </w:t>
      </w:r>
      <w:r>
        <w:rPr>
          <w:sz w:val="22"/>
        </w:rPr>
        <w:t>in</w:t>
      </w:r>
      <w:r>
        <w:rPr>
          <w:spacing w:val="-8"/>
          <w:sz w:val="22"/>
        </w:rPr>
        <w:t> </w:t>
      </w:r>
      <w:r>
        <w:rPr>
          <w:sz w:val="22"/>
        </w:rPr>
        <w:t>India</w:t>
      </w:r>
    </w:p>
    <w:p>
      <w:pPr>
        <w:pStyle w:val="ListParagraph"/>
        <w:numPr>
          <w:ilvl w:val="0"/>
          <w:numId w:val="25"/>
        </w:numPr>
        <w:tabs>
          <w:tab w:pos="1562" w:val="left" w:leader="none"/>
        </w:tabs>
        <w:spacing w:line="316" w:lineRule="auto" w:before="203" w:after="0"/>
        <w:ind w:left="1562" w:right="642" w:hanging="360"/>
        <w:jc w:val="both"/>
        <w:rPr>
          <w:sz w:val="22"/>
        </w:rPr>
      </w:pPr>
      <w:r>
        <w:rPr>
          <w:sz w:val="22"/>
        </w:rPr>
        <w:t>Market</w:t>
      </w:r>
      <w:r>
        <w:rPr>
          <w:spacing w:val="-9"/>
          <w:sz w:val="22"/>
        </w:rPr>
        <w:t> </w:t>
      </w:r>
      <w:r>
        <w:rPr>
          <w:sz w:val="22"/>
        </w:rPr>
        <w:t>return</w:t>
      </w:r>
      <w:r>
        <w:rPr>
          <w:spacing w:val="-10"/>
          <w:sz w:val="22"/>
        </w:rPr>
        <w:t> </w:t>
      </w:r>
      <w:r>
        <w:rPr>
          <w:sz w:val="22"/>
        </w:rPr>
        <w:t>(Rm)</w:t>
      </w:r>
      <w:r>
        <w:rPr>
          <w:spacing w:val="-11"/>
          <w:sz w:val="22"/>
        </w:rPr>
        <w:t> </w:t>
      </w:r>
      <w:r>
        <w:rPr>
          <w:sz w:val="22"/>
        </w:rPr>
        <w:t>based</w:t>
      </w:r>
      <w:r>
        <w:rPr>
          <w:spacing w:val="-11"/>
          <w:sz w:val="22"/>
        </w:rPr>
        <w:t> </w:t>
      </w:r>
      <w:r>
        <w:rPr>
          <w:sz w:val="22"/>
        </w:rPr>
        <w:t>on</w:t>
      </w:r>
      <w:r>
        <w:rPr>
          <w:spacing w:val="-10"/>
          <w:sz w:val="22"/>
        </w:rPr>
        <w:t> </w:t>
      </w:r>
      <w:r>
        <w:rPr>
          <w:sz w:val="22"/>
        </w:rPr>
        <w:t>the</w:t>
      </w:r>
      <w:r>
        <w:rPr>
          <w:spacing w:val="-10"/>
          <w:sz w:val="22"/>
        </w:rPr>
        <w:t> </w:t>
      </w:r>
      <w:r>
        <w:rPr>
          <w:sz w:val="22"/>
        </w:rPr>
        <w:t>returns</w:t>
      </w:r>
      <w:r>
        <w:rPr>
          <w:spacing w:val="-10"/>
          <w:sz w:val="22"/>
        </w:rPr>
        <w:t> </w:t>
      </w:r>
      <w:r>
        <w:rPr>
          <w:sz w:val="22"/>
        </w:rPr>
        <w:t>of</w:t>
      </w:r>
      <w:r>
        <w:rPr>
          <w:spacing w:val="-10"/>
          <w:sz w:val="22"/>
        </w:rPr>
        <w:t> </w:t>
      </w:r>
      <w:r>
        <w:rPr>
          <w:sz w:val="22"/>
        </w:rPr>
        <w:t>Broad</w:t>
      </w:r>
      <w:r>
        <w:rPr>
          <w:spacing w:val="-13"/>
          <w:sz w:val="22"/>
        </w:rPr>
        <w:t> </w:t>
      </w:r>
      <w:r>
        <w:rPr>
          <w:sz w:val="22"/>
        </w:rPr>
        <w:t>Based</w:t>
      </w:r>
      <w:r>
        <w:rPr>
          <w:spacing w:val="-11"/>
          <w:sz w:val="22"/>
        </w:rPr>
        <w:t> </w:t>
      </w:r>
      <w:r>
        <w:rPr>
          <w:sz w:val="22"/>
        </w:rPr>
        <w:t>BSE</w:t>
      </w:r>
      <w:r>
        <w:rPr>
          <w:spacing w:val="-10"/>
          <w:sz w:val="22"/>
        </w:rPr>
        <w:t> </w:t>
      </w:r>
      <w:r>
        <w:rPr>
          <w:sz w:val="22"/>
        </w:rPr>
        <w:t>500</w:t>
      </w:r>
      <w:r>
        <w:rPr>
          <w:spacing w:val="-12"/>
          <w:sz w:val="22"/>
        </w:rPr>
        <w:t> </w:t>
      </w:r>
      <w:r>
        <w:rPr>
          <w:sz w:val="22"/>
        </w:rPr>
        <w:t>stock</w:t>
      </w:r>
      <w:r>
        <w:rPr>
          <w:spacing w:val="-10"/>
          <w:sz w:val="22"/>
        </w:rPr>
        <w:t> </w:t>
      </w:r>
      <w:r>
        <w:rPr>
          <w:sz w:val="22"/>
        </w:rPr>
        <w:t>index</w:t>
      </w:r>
      <w:r>
        <w:rPr>
          <w:spacing w:val="-9"/>
          <w:sz w:val="22"/>
        </w:rPr>
        <w:t> </w:t>
      </w:r>
      <w:r>
        <w:rPr>
          <w:sz w:val="22"/>
        </w:rPr>
        <w:t>for</w:t>
      </w:r>
      <w:r>
        <w:rPr>
          <w:spacing w:val="-12"/>
          <w:sz w:val="22"/>
        </w:rPr>
        <w:t> </w:t>
      </w:r>
      <w:r>
        <w:rPr>
          <w:sz w:val="22"/>
        </w:rPr>
        <w:t>the</w:t>
      </w:r>
      <w:r>
        <w:rPr>
          <w:spacing w:val="-10"/>
          <w:sz w:val="22"/>
        </w:rPr>
        <w:t> </w:t>
      </w:r>
      <w:r>
        <w:rPr>
          <w:sz w:val="22"/>
        </w:rPr>
        <w:t>past</w:t>
      </w:r>
      <w:r>
        <w:rPr>
          <w:spacing w:val="-11"/>
          <w:sz w:val="22"/>
        </w:rPr>
        <w:t> </w:t>
      </w:r>
      <w:r>
        <w:rPr>
          <w:sz w:val="22"/>
        </w:rPr>
        <w:t>10</w:t>
      </w:r>
      <w:r>
        <w:rPr>
          <w:spacing w:val="-10"/>
          <w:sz w:val="22"/>
        </w:rPr>
        <w:t> </w:t>
      </w:r>
      <w:r>
        <w:rPr>
          <w:sz w:val="22"/>
        </w:rPr>
        <w:t>to 15</w:t>
      </w:r>
      <w:r>
        <w:rPr>
          <w:spacing w:val="-2"/>
          <w:sz w:val="22"/>
        </w:rPr>
        <w:t> </w:t>
      </w:r>
      <w:r>
        <w:rPr>
          <w:sz w:val="22"/>
        </w:rPr>
        <w:t>years</w:t>
      </w:r>
    </w:p>
    <w:p>
      <w:pPr>
        <w:pStyle w:val="ListParagraph"/>
        <w:numPr>
          <w:ilvl w:val="0"/>
          <w:numId w:val="25"/>
        </w:numPr>
        <w:tabs>
          <w:tab w:pos="1562" w:val="left" w:leader="none"/>
        </w:tabs>
        <w:spacing w:line="312" w:lineRule="auto" w:before="122" w:after="0"/>
        <w:ind w:left="1562" w:right="637" w:hanging="360"/>
        <w:jc w:val="both"/>
        <w:rPr>
          <w:sz w:val="22"/>
        </w:rPr>
      </w:pPr>
      <w:r>
        <w:rPr>
          <w:sz w:val="22"/>
        </w:rPr>
        <w:t>Computation</w:t>
      </w:r>
      <w:r>
        <w:rPr>
          <w:spacing w:val="-25"/>
          <w:sz w:val="22"/>
        </w:rPr>
        <w:t> </w:t>
      </w:r>
      <w:r>
        <w:rPr>
          <w:sz w:val="22"/>
        </w:rPr>
        <w:t>of</w:t>
      </w:r>
      <w:r>
        <w:rPr>
          <w:spacing w:val="-24"/>
          <w:sz w:val="22"/>
        </w:rPr>
        <w:t> </w:t>
      </w:r>
      <w:r>
        <w:rPr>
          <w:sz w:val="22"/>
        </w:rPr>
        <w:t>‘Beta</w:t>
      </w:r>
      <w:r>
        <w:rPr>
          <w:spacing w:val="-25"/>
          <w:sz w:val="22"/>
        </w:rPr>
        <w:t> </w:t>
      </w:r>
      <w:r>
        <w:rPr>
          <w:sz w:val="22"/>
        </w:rPr>
        <w:t>(</w:t>
      </w:r>
      <w:r>
        <w:rPr>
          <w:rFonts w:ascii="Carlito" w:hAnsi="Carlito"/>
          <w:sz w:val="22"/>
        </w:rPr>
        <w:t>β)</w:t>
      </w:r>
      <w:r>
        <w:rPr>
          <w:sz w:val="22"/>
        </w:rPr>
        <w:t>’</w:t>
      </w:r>
      <w:r>
        <w:rPr>
          <w:spacing w:val="-25"/>
          <w:sz w:val="22"/>
        </w:rPr>
        <w:t> </w:t>
      </w:r>
      <w:r>
        <w:rPr>
          <w:sz w:val="22"/>
        </w:rPr>
        <w:t>of</w:t>
      </w:r>
      <w:r>
        <w:rPr>
          <w:spacing w:val="-24"/>
          <w:sz w:val="22"/>
        </w:rPr>
        <w:t> </w:t>
      </w:r>
      <w:r>
        <w:rPr>
          <w:sz w:val="22"/>
        </w:rPr>
        <w:t>key</w:t>
      </w:r>
      <w:r>
        <w:rPr>
          <w:spacing w:val="-24"/>
          <w:sz w:val="22"/>
        </w:rPr>
        <w:t> </w:t>
      </w:r>
      <w:r>
        <w:rPr>
          <w:sz w:val="22"/>
        </w:rPr>
        <w:t>listed</w:t>
      </w:r>
      <w:r>
        <w:rPr>
          <w:spacing w:val="-24"/>
          <w:sz w:val="22"/>
        </w:rPr>
        <w:t> </w:t>
      </w:r>
      <w:r>
        <w:rPr>
          <w:sz w:val="22"/>
        </w:rPr>
        <w:t>realty</w:t>
      </w:r>
      <w:r>
        <w:rPr>
          <w:spacing w:val="-24"/>
          <w:sz w:val="22"/>
        </w:rPr>
        <w:t> </w:t>
      </w:r>
      <w:r>
        <w:rPr>
          <w:sz w:val="22"/>
        </w:rPr>
        <w:t>stocks</w:t>
      </w:r>
      <w:r>
        <w:rPr>
          <w:spacing w:val="-25"/>
          <w:sz w:val="22"/>
        </w:rPr>
        <w:t> </w:t>
      </w:r>
      <w:r>
        <w:rPr>
          <w:sz w:val="22"/>
        </w:rPr>
        <w:t>in</w:t>
      </w:r>
      <w:r>
        <w:rPr>
          <w:spacing w:val="-25"/>
          <w:sz w:val="22"/>
        </w:rPr>
        <w:t> </w:t>
      </w:r>
      <w:r>
        <w:rPr>
          <w:sz w:val="22"/>
        </w:rPr>
        <w:t>India</w:t>
      </w:r>
      <w:r>
        <w:rPr>
          <w:spacing w:val="-25"/>
          <w:sz w:val="22"/>
        </w:rPr>
        <w:t> </w:t>
      </w:r>
      <w:r>
        <w:rPr>
          <w:sz w:val="22"/>
        </w:rPr>
        <w:t>with</w:t>
      </w:r>
      <w:r>
        <w:rPr>
          <w:spacing w:val="-24"/>
          <w:sz w:val="22"/>
        </w:rPr>
        <w:t> </w:t>
      </w:r>
      <w:r>
        <w:rPr>
          <w:sz w:val="22"/>
        </w:rPr>
        <w:t>respect</w:t>
      </w:r>
      <w:r>
        <w:rPr>
          <w:spacing w:val="-24"/>
          <w:sz w:val="22"/>
        </w:rPr>
        <w:t> </w:t>
      </w:r>
      <w:r>
        <w:rPr>
          <w:sz w:val="22"/>
        </w:rPr>
        <w:t>to</w:t>
      </w:r>
      <w:r>
        <w:rPr>
          <w:spacing w:val="-24"/>
          <w:sz w:val="22"/>
        </w:rPr>
        <w:t> </w:t>
      </w:r>
      <w:r>
        <w:rPr>
          <w:sz w:val="22"/>
        </w:rPr>
        <w:t>the</w:t>
      </w:r>
      <w:r>
        <w:rPr>
          <w:spacing w:val="-25"/>
          <w:sz w:val="22"/>
        </w:rPr>
        <w:t> </w:t>
      </w:r>
      <w:r>
        <w:rPr>
          <w:sz w:val="22"/>
        </w:rPr>
        <w:t>Broad</w:t>
      </w:r>
      <w:r>
        <w:rPr>
          <w:spacing w:val="-24"/>
          <w:sz w:val="22"/>
        </w:rPr>
        <w:t> </w:t>
      </w:r>
      <w:r>
        <w:rPr>
          <w:sz w:val="22"/>
        </w:rPr>
        <w:t>Based</w:t>
      </w:r>
      <w:r>
        <w:rPr>
          <w:spacing w:val="-24"/>
          <w:sz w:val="22"/>
        </w:rPr>
        <w:t> </w:t>
      </w:r>
      <w:r>
        <w:rPr>
          <w:sz w:val="22"/>
        </w:rPr>
        <w:t>BSE 500 stock</w:t>
      </w:r>
      <w:r>
        <w:rPr>
          <w:spacing w:val="-6"/>
          <w:sz w:val="22"/>
        </w:rPr>
        <w:t> </w:t>
      </w:r>
      <w:r>
        <w:rPr>
          <w:sz w:val="22"/>
        </w:rPr>
        <w:t>index</w:t>
      </w:r>
    </w:p>
    <w:p>
      <w:pPr>
        <w:pStyle w:val="BodyText"/>
        <w:spacing w:line="321" w:lineRule="auto" w:before="136"/>
        <w:ind w:left="820" w:right="638"/>
        <w:jc w:val="both"/>
      </w:pPr>
      <w:r>
        <w:rPr/>
        <w:t>The cost of equity adopted for specific projects has been adjusted for market/ project specific risk pertaining</w:t>
      </w:r>
      <w:r>
        <w:rPr>
          <w:spacing w:val="-26"/>
        </w:rPr>
        <w:t> </w:t>
      </w:r>
      <w:r>
        <w:rPr/>
        <w:t>to</w:t>
      </w:r>
      <w:r>
        <w:rPr>
          <w:spacing w:val="-26"/>
        </w:rPr>
        <w:t> </w:t>
      </w:r>
      <w:r>
        <w:rPr/>
        <w:t>a</w:t>
      </w:r>
      <w:r>
        <w:rPr>
          <w:spacing w:val="-27"/>
        </w:rPr>
        <w:t> </w:t>
      </w:r>
      <w:r>
        <w:rPr/>
        <w:t>real</w:t>
      </w:r>
      <w:r>
        <w:rPr>
          <w:spacing w:val="-26"/>
        </w:rPr>
        <w:t> </w:t>
      </w:r>
      <w:r>
        <w:rPr/>
        <w:t>estate</w:t>
      </w:r>
      <w:r>
        <w:rPr>
          <w:spacing w:val="-26"/>
        </w:rPr>
        <w:t> </w:t>
      </w:r>
      <w:r>
        <w:rPr/>
        <w:t>project</w:t>
      </w:r>
      <w:r>
        <w:rPr>
          <w:spacing w:val="-26"/>
        </w:rPr>
        <w:t> </w:t>
      </w:r>
      <w:r>
        <w:rPr/>
        <w:t>such</w:t>
      </w:r>
      <w:r>
        <w:rPr>
          <w:spacing w:val="-26"/>
        </w:rPr>
        <w:t> </w:t>
      </w:r>
      <w:r>
        <w:rPr/>
        <w:t>as</w:t>
      </w:r>
      <w:r>
        <w:rPr>
          <w:spacing w:val="-26"/>
        </w:rPr>
        <w:t> </w:t>
      </w:r>
      <w:r>
        <w:rPr/>
        <w:t>execution</w:t>
      </w:r>
      <w:r>
        <w:rPr>
          <w:spacing w:val="-26"/>
        </w:rPr>
        <w:t> </w:t>
      </w:r>
      <w:r>
        <w:rPr/>
        <w:t>risk</w:t>
      </w:r>
      <w:r>
        <w:rPr>
          <w:spacing w:val="-24"/>
        </w:rPr>
        <w:t> </w:t>
      </w:r>
      <w:r>
        <w:rPr/>
        <w:t>(construction</w:t>
      </w:r>
      <w:r>
        <w:rPr>
          <w:spacing w:val="-28"/>
        </w:rPr>
        <w:t> </w:t>
      </w:r>
      <w:r>
        <w:rPr/>
        <w:t>status),</w:t>
      </w:r>
      <w:r>
        <w:rPr>
          <w:spacing w:val="-26"/>
        </w:rPr>
        <w:t> </w:t>
      </w:r>
      <w:r>
        <w:rPr/>
        <w:t>approval</w:t>
      </w:r>
      <w:r>
        <w:rPr>
          <w:spacing w:val="-26"/>
        </w:rPr>
        <w:t> </w:t>
      </w:r>
      <w:r>
        <w:rPr/>
        <w:t>risk,</w:t>
      </w:r>
      <w:r>
        <w:rPr>
          <w:spacing w:val="-26"/>
        </w:rPr>
        <w:t> </w:t>
      </w:r>
      <w:r>
        <w:rPr/>
        <w:t>marketing risk,</w:t>
      </w:r>
      <w:r>
        <w:rPr>
          <w:spacing w:val="-30"/>
        </w:rPr>
        <w:t> </w:t>
      </w:r>
      <w:r>
        <w:rPr/>
        <w:t>etc.</w:t>
      </w:r>
      <w:r>
        <w:rPr>
          <w:spacing w:val="-29"/>
        </w:rPr>
        <w:t> </w:t>
      </w:r>
      <w:r>
        <w:rPr/>
        <w:t>and</w:t>
      </w:r>
      <w:r>
        <w:rPr>
          <w:spacing w:val="-28"/>
        </w:rPr>
        <w:t> </w:t>
      </w:r>
      <w:r>
        <w:rPr/>
        <w:t>adjusted</w:t>
      </w:r>
      <w:r>
        <w:rPr>
          <w:spacing w:val="-29"/>
        </w:rPr>
        <w:t> </w:t>
      </w:r>
      <w:r>
        <w:rPr/>
        <w:t>for</w:t>
      </w:r>
      <w:r>
        <w:rPr>
          <w:spacing w:val="-30"/>
        </w:rPr>
        <w:t> </w:t>
      </w:r>
      <w:r>
        <w:rPr/>
        <w:t>taxation.</w:t>
      </w:r>
      <w:r>
        <w:rPr>
          <w:spacing w:val="-30"/>
        </w:rPr>
        <w:t> </w:t>
      </w:r>
      <w:r>
        <w:rPr/>
        <w:t>While</w:t>
      </w:r>
      <w:r>
        <w:rPr>
          <w:spacing w:val="-30"/>
        </w:rPr>
        <w:t> </w:t>
      </w:r>
      <w:r>
        <w:rPr/>
        <w:t>the</w:t>
      </w:r>
      <w:r>
        <w:rPr>
          <w:spacing w:val="-29"/>
        </w:rPr>
        <w:t> </w:t>
      </w:r>
      <w:r>
        <w:rPr/>
        <w:t>assumptions</w:t>
      </w:r>
      <w:r>
        <w:rPr>
          <w:spacing w:val="-28"/>
        </w:rPr>
        <w:t> </w:t>
      </w:r>
      <w:r>
        <w:rPr/>
        <w:t>regarding</w:t>
      </w:r>
      <w:r>
        <w:rPr>
          <w:spacing w:val="-28"/>
        </w:rPr>
        <w:t> </w:t>
      </w:r>
      <w:r>
        <w:rPr/>
        <w:t>the</w:t>
      </w:r>
      <w:r>
        <w:rPr>
          <w:spacing w:val="-31"/>
        </w:rPr>
        <w:t> </w:t>
      </w:r>
      <w:r>
        <w:rPr/>
        <w:t>quantum</w:t>
      </w:r>
      <w:r>
        <w:rPr>
          <w:spacing w:val="-30"/>
        </w:rPr>
        <w:t> </w:t>
      </w:r>
      <w:r>
        <w:rPr/>
        <w:t>of</w:t>
      </w:r>
      <w:r>
        <w:rPr>
          <w:spacing w:val="-28"/>
        </w:rPr>
        <w:t> </w:t>
      </w:r>
      <w:r>
        <w:rPr/>
        <w:t>these</w:t>
      </w:r>
      <w:r>
        <w:rPr>
          <w:spacing w:val="-29"/>
        </w:rPr>
        <w:t> </w:t>
      </w:r>
      <w:r>
        <w:rPr/>
        <w:t>risks</w:t>
      </w:r>
      <w:r>
        <w:rPr>
          <w:spacing w:val="-28"/>
        </w:rPr>
        <w:t> </w:t>
      </w:r>
      <w:r>
        <w:rPr/>
        <w:t>have</w:t>
      </w:r>
      <w:r>
        <w:rPr>
          <w:spacing w:val="-29"/>
        </w:rPr>
        <w:t> </w:t>
      </w:r>
      <w:r>
        <w:rPr/>
        <w:t>no quantitative</w:t>
      </w:r>
      <w:r>
        <w:rPr>
          <w:spacing w:val="-8"/>
        </w:rPr>
        <w:t> </w:t>
      </w:r>
      <w:r>
        <w:rPr/>
        <w:t>basis,</w:t>
      </w:r>
      <w:r>
        <w:rPr>
          <w:spacing w:val="-7"/>
        </w:rPr>
        <w:t> </w:t>
      </w:r>
      <w:r>
        <w:rPr/>
        <w:t>we</w:t>
      </w:r>
      <w:r>
        <w:rPr>
          <w:spacing w:val="-7"/>
        </w:rPr>
        <w:t> </w:t>
      </w:r>
      <w:r>
        <w:rPr/>
        <w:t>have</w:t>
      </w:r>
      <w:r>
        <w:rPr>
          <w:spacing w:val="-7"/>
        </w:rPr>
        <w:t> </w:t>
      </w:r>
      <w:r>
        <w:rPr/>
        <w:t>adopted</w:t>
      </w:r>
      <w:r>
        <w:rPr>
          <w:spacing w:val="-5"/>
        </w:rPr>
        <w:t> </w:t>
      </w:r>
      <w:r>
        <w:rPr/>
        <w:t>them</w:t>
      </w:r>
      <w:r>
        <w:rPr>
          <w:spacing w:val="-6"/>
        </w:rPr>
        <w:t> </w:t>
      </w:r>
      <w:r>
        <w:rPr/>
        <w:t>based</w:t>
      </w:r>
      <w:r>
        <w:rPr>
          <w:spacing w:val="-6"/>
        </w:rPr>
        <w:t> </w:t>
      </w:r>
      <w:r>
        <w:rPr/>
        <w:t>on</w:t>
      </w:r>
      <w:r>
        <w:rPr>
          <w:spacing w:val="-7"/>
        </w:rPr>
        <w:t> </w:t>
      </w:r>
      <w:r>
        <w:rPr/>
        <w:t>our</w:t>
      </w:r>
      <w:r>
        <w:rPr>
          <w:spacing w:val="-5"/>
        </w:rPr>
        <w:t> </w:t>
      </w:r>
      <w:r>
        <w:rPr/>
        <w:t>understanding</w:t>
      </w:r>
      <w:r>
        <w:rPr>
          <w:spacing w:val="-6"/>
        </w:rPr>
        <w:t> </w:t>
      </w:r>
      <w:r>
        <w:rPr/>
        <w:t>of</w:t>
      </w:r>
      <w:r>
        <w:rPr>
          <w:spacing w:val="-8"/>
        </w:rPr>
        <w:t> </w:t>
      </w:r>
      <w:r>
        <w:rPr/>
        <w:t>the</w:t>
      </w:r>
      <w:r>
        <w:rPr>
          <w:spacing w:val="-7"/>
        </w:rPr>
        <w:t> </w:t>
      </w:r>
      <w:r>
        <w:rPr/>
        <w:t>market</w:t>
      </w:r>
      <w:r>
        <w:rPr>
          <w:spacing w:val="-6"/>
        </w:rPr>
        <w:t> </w:t>
      </w:r>
      <w:r>
        <w:rPr/>
        <w:t>and</w:t>
      </w:r>
      <w:r>
        <w:rPr>
          <w:spacing w:val="-6"/>
        </w:rPr>
        <w:t> </w:t>
      </w:r>
      <w:r>
        <w:rPr/>
        <w:t>our</w:t>
      </w:r>
      <w:r>
        <w:rPr>
          <w:spacing w:val="-6"/>
        </w:rPr>
        <w:t> </w:t>
      </w:r>
      <w:r>
        <w:rPr/>
        <w:t>opinion on the project</w:t>
      </w:r>
      <w:r>
        <w:rPr>
          <w:spacing w:val="-11"/>
        </w:rPr>
        <w:t> </w:t>
      </w:r>
      <w:r>
        <w:rPr/>
        <w:t>performance.</w:t>
      </w:r>
    </w:p>
    <w:p>
      <w:pPr>
        <w:pStyle w:val="BodyText"/>
        <w:spacing w:before="9"/>
        <w:rPr>
          <w:sz w:val="20"/>
        </w:rPr>
      </w:pPr>
    </w:p>
    <w:p>
      <w:pPr>
        <w:pStyle w:val="ListParagraph"/>
        <w:numPr>
          <w:ilvl w:val="2"/>
          <w:numId w:val="14"/>
        </w:numPr>
        <w:tabs>
          <w:tab w:pos="1001" w:val="left" w:leader="none"/>
        </w:tabs>
        <w:spacing w:line="240" w:lineRule="auto" w:before="1" w:after="0"/>
        <w:ind w:left="1000" w:right="0" w:hanging="721"/>
        <w:jc w:val="left"/>
        <w:rPr>
          <w:sz w:val="22"/>
        </w:rPr>
      </w:pPr>
      <w:bookmarkStart w:name="_bookmark26" w:id="52"/>
      <w:bookmarkEnd w:id="52"/>
      <w:r>
        <w:rPr/>
      </w:r>
      <w:bookmarkStart w:name="_bookmark26" w:id="53"/>
      <w:bookmarkEnd w:id="53"/>
      <w:r>
        <w:rPr>
          <w:color w:val="1F664D"/>
          <w:sz w:val="22"/>
        </w:rPr>
        <w:t>Co</w:t>
      </w:r>
      <w:r>
        <w:rPr>
          <w:color w:val="1F664D"/>
          <w:sz w:val="22"/>
        </w:rPr>
        <w:t>st of Debt</w:t>
      </w:r>
    </w:p>
    <w:p>
      <w:pPr>
        <w:pStyle w:val="BodyText"/>
        <w:spacing w:before="207"/>
        <w:ind w:left="842"/>
      </w:pPr>
      <w:r>
        <w:rPr>
          <w:u w:val="single"/>
        </w:rPr>
        <w:t>Completed Blocks</w:t>
      </w:r>
    </w:p>
    <w:p>
      <w:pPr>
        <w:pStyle w:val="BodyText"/>
        <w:spacing w:line="324" w:lineRule="auto" w:before="208"/>
        <w:ind w:left="842" w:right="646"/>
        <w:jc w:val="both"/>
      </w:pPr>
      <w:r>
        <w:rPr/>
        <w:t>The cost of debt for competed office blocks has been considered based on prevalent Lease Rental Discounting (LRD) rates for Grade A office parks across the Embassy REIT sub-markets.</w:t>
      </w:r>
    </w:p>
    <w:p>
      <w:pPr>
        <w:pStyle w:val="BodyText"/>
        <w:spacing w:before="115"/>
        <w:ind w:left="842"/>
      </w:pPr>
      <w:r>
        <w:rPr>
          <w:u w:val="single"/>
        </w:rPr>
        <w:t>Under Construction/ Proposed Blocks</w:t>
      </w:r>
    </w:p>
    <w:p>
      <w:pPr>
        <w:pStyle w:val="BodyText"/>
        <w:spacing w:line="321" w:lineRule="auto" w:before="208"/>
        <w:ind w:left="842" w:right="642"/>
        <w:jc w:val="both"/>
      </w:pPr>
      <w:r>
        <w:rPr/>
        <w:t>For under construction/ proposed blocks, the cost of debt has been considered based on prevalent Construction Finance (CF) rates for Grade A office parks across the Embassy REIT sub-markets.</w:t>
      </w:r>
    </w:p>
    <w:p>
      <w:pPr>
        <w:spacing w:after="0" w:line="321" w:lineRule="auto"/>
        <w:jc w:val="both"/>
        <w:sectPr>
          <w:pgSz w:w="11910" w:h="16840"/>
          <w:pgMar w:header="720" w:footer="842" w:top="1520" w:bottom="1040" w:left="440" w:right="80"/>
        </w:sectPr>
      </w:pPr>
    </w:p>
    <w:p>
      <w:pPr>
        <w:pStyle w:val="BodyText"/>
        <w:spacing w:before="5"/>
      </w:pPr>
    </w:p>
    <w:p>
      <w:pPr>
        <w:pStyle w:val="ListParagraph"/>
        <w:numPr>
          <w:ilvl w:val="2"/>
          <w:numId w:val="14"/>
        </w:numPr>
        <w:tabs>
          <w:tab w:pos="1001" w:val="left" w:leader="none"/>
        </w:tabs>
        <w:spacing w:line="240" w:lineRule="auto" w:before="106" w:after="0"/>
        <w:ind w:left="1000" w:right="0" w:hanging="721"/>
        <w:jc w:val="left"/>
        <w:rPr>
          <w:sz w:val="22"/>
        </w:rPr>
      </w:pPr>
      <w:bookmarkStart w:name="_bookmark27" w:id="54"/>
      <w:bookmarkEnd w:id="54"/>
      <w:r>
        <w:rPr/>
      </w:r>
      <w:bookmarkStart w:name="_bookmark27" w:id="55"/>
      <w:bookmarkEnd w:id="55"/>
      <w:r>
        <w:rPr>
          <w:color w:val="1F664D"/>
          <w:w w:val="105"/>
          <w:sz w:val="22"/>
        </w:rPr>
        <w:t>W</w:t>
      </w:r>
      <w:r>
        <w:rPr>
          <w:color w:val="1F664D"/>
          <w:w w:val="105"/>
          <w:sz w:val="22"/>
        </w:rPr>
        <w:t>eighted Average Cost of Capital</w:t>
      </w:r>
      <w:r>
        <w:rPr>
          <w:color w:val="1F664D"/>
          <w:spacing w:val="-24"/>
          <w:w w:val="105"/>
          <w:sz w:val="22"/>
        </w:rPr>
        <w:t> </w:t>
      </w:r>
      <w:r>
        <w:rPr>
          <w:color w:val="1F664D"/>
          <w:w w:val="105"/>
          <w:sz w:val="22"/>
        </w:rPr>
        <w:t>(WACC)</w:t>
      </w:r>
    </w:p>
    <w:p>
      <w:pPr>
        <w:pStyle w:val="BodyText"/>
        <w:spacing w:before="208"/>
        <w:ind w:left="842"/>
        <w:jc w:val="both"/>
      </w:pPr>
      <w:r>
        <w:rPr>
          <w:u w:val="single"/>
        </w:rPr>
        <w:t>Completed Blocks</w:t>
      </w:r>
    </w:p>
    <w:p>
      <w:pPr>
        <w:pStyle w:val="BodyText"/>
        <w:spacing w:line="321" w:lineRule="auto" w:before="208"/>
        <w:ind w:left="842" w:right="634"/>
        <w:jc w:val="both"/>
      </w:pPr>
      <w:r>
        <w:rPr/>
        <w:t>As</w:t>
      </w:r>
      <w:r>
        <w:rPr>
          <w:spacing w:val="-9"/>
        </w:rPr>
        <w:t> </w:t>
      </w:r>
      <w:r>
        <w:rPr/>
        <w:t>highlighted</w:t>
      </w:r>
      <w:r>
        <w:rPr>
          <w:spacing w:val="-8"/>
        </w:rPr>
        <w:t> </w:t>
      </w:r>
      <w:r>
        <w:rPr/>
        <w:t>earlier,</w:t>
      </w:r>
      <w:r>
        <w:rPr>
          <w:spacing w:val="-9"/>
        </w:rPr>
        <w:t> </w:t>
      </w:r>
      <w:r>
        <w:rPr/>
        <w:t>the</w:t>
      </w:r>
      <w:r>
        <w:rPr>
          <w:spacing w:val="-9"/>
        </w:rPr>
        <w:t> </w:t>
      </w:r>
      <w:r>
        <w:rPr/>
        <w:t>cost</w:t>
      </w:r>
      <w:r>
        <w:rPr>
          <w:spacing w:val="-9"/>
        </w:rPr>
        <w:t> </w:t>
      </w:r>
      <w:r>
        <w:rPr/>
        <w:t>of</w:t>
      </w:r>
      <w:r>
        <w:rPr>
          <w:spacing w:val="-5"/>
        </w:rPr>
        <w:t> </w:t>
      </w:r>
      <w:r>
        <w:rPr/>
        <w:t>debt</w:t>
      </w:r>
      <w:r>
        <w:rPr>
          <w:spacing w:val="-9"/>
        </w:rPr>
        <w:t> </w:t>
      </w:r>
      <w:r>
        <w:rPr/>
        <w:t>has</w:t>
      </w:r>
      <w:r>
        <w:rPr>
          <w:spacing w:val="-8"/>
        </w:rPr>
        <w:t> </w:t>
      </w:r>
      <w:r>
        <w:rPr/>
        <w:t>been</w:t>
      </w:r>
      <w:r>
        <w:rPr>
          <w:spacing w:val="-11"/>
        </w:rPr>
        <w:t> </w:t>
      </w:r>
      <w:r>
        <w:rPr/>
        <w:t>assumed</w:t>
      </w:r>
      <w:r>
        <w:rPr>
          <w:spacing w:val="-8"/>
        </w:rPr>
        <w:t> </w:t>
      </w:r>
      <w:r>
        <w:rPr/>
        <w:t>based</w:t>
      </w:r>
      <w:r>
        <w:rPr>
          <w:spacing w:val="-8"/>
        </w:rPr>
        <w:t> </w:t>
      </w:r>
      <w:r>
        <w:rPr/>
        <w:t>on</w:t>
      </w:r>
      <w:r>
        <w:rPr>
          <w:spacing w:val="-9"/>
        </w:rPr>
        <w:t> </w:t>
      </w:r>
      <w:r>
        <w:rPr/>
        <w:t>the</w:t>
      </w:r>
      <w:r>
        <w:rPr>
          <w:spacing w:val="-10"/>
        </w:rPr>
        <w:t> </w:t>
      </w:r>
      <w:r>
        <w:rPr/>
        <w:t>prevalent</w:t>
      </w:r>
      <w:r>
        <w:rPr>
          <w:spacing w:val="-9"/>
        </w:rPr>
        <w:t> </w:t>
      </w:r>
      <w:r>
        <w:rPr/>
        <w:t>LRD</w:t>
      </w:r>
      <w:r>
        <w:rPr>
          <w:spacing w:val="-9"/>
        </w:rPr>
        <w:t> </w:t>
      </w:r>
      <w:r>
        <w:rPr/>
        <w:t>rates</w:t>
      </w:r>
      <w:r>
        <w:rPr>
          <w:spacing w:val="-8"/>
        </w:rPr>
        <w:t> </w:t>
      </w:r>
      <w:r>
        <w:rPr/>
        <w:t>while</w:t>
      </w:r>
      <w:r>
        <w:rPr>
          <w:spacing w:val="-8"/>
        </w:rPr>
        <w:t> </w:t>
      </w:r>
      <w:r>
        <w:rPr/>
        <w:t>the cost</w:t>
      </w:r>
      <w:r>
        <w:rPr>
          <w:spacing w:val="-25"/>
        </w:rPr>
        <w:t> </w:t>
      </w:r>
      <w:r>
        <w:rPr/>
        <w:t>of</w:t>
      </w:r>
      <w:r>
        <w:rPr>
          <w:spacing w:val="-24"/>
        </w:rPr>
        <w:t> </w:t>
      </w:r>
      <w:r>
        <w:rPr/>
        <w:t>equity</w:t>
      </w:r>
      <w:r>
        <w:rPr>
          <w:spacing w:val="-24"/>
        </w:rPr>
        <w:t> </w:t>
      </w:r>
      <w:r>
        <w:rPr/>
        <w:t>assumed</w:t>
      </w:r>
      <w:r>
        <w:rPr>
          <w:spacing w:val="-24"/>
        </w:rPr>
        <w:t> </w:t>
      </w:r>
      <w:r>
        <w:rPr/>
        <w:t>has</w:t>
      </w:r>
      <w:r>
        <w:rPr>
          <w:spacing w:val="-23"/>
        </w:rPr>
        <w:t> </w:t>
      </w:r>
      <w:r>
        <w:rPr/>
        <w:t>been</w:t>
      </w:r>
      <w:r>
        <w:rPr>
          <w:spacing w:val="-25"/>
        </w:rPr>
        <w:t> </w:t>
      </w:r>
      <w:r>
        <w:rPr/>
        <w:t>adjusted</w:t>
      </w:r>
      <w:r>
        <w:rPr>
          <w:spacing w:val="-24"/>
        </w:rPr>
        <w:t> </w:t>
      </w:r>
      <w:r>
        <w:rPr/>
        <w:t>for</w:t>
      </w:r>
      <w:r>
        <w:rPr>
          <w:spacing w:val="-25"/>
        </w:rPr>
        <w:t> </w:t>
      </w:r>
      <w:r>
        <w:rPr/>
        <w:t>asset</w:t>
      </w:r>
      <w:r>
        <w:rPr>
          <w:spacing w:val="-24"/>
        </w:rPr>
        <w:t> </w:t>
      </w:r>
      <w:r>
        <w:rPr/>
        <w:t>and</w:t>
      </w:r>
      <w:r>
        <w:rPr>
          <w:spacing w:val="-24"/>
        </w:rPr>
        <w:t> </w:t>
      </w:r>
      <w:r>
        <w:rPr/>
        <w:t>market</w:t>
      </w:r>
      <w:r>
        <w:rPr>
          <w:spacing w:val="-24"/>
        </w:rPr>
        <w:t> </w:t>
      </w:r>
      <w:r>
        <w:rPr/>
        <w:t>specific</w:t>
      </w:r>
      <w:r>
        <w:rPr>
          <w:spacing w:val="-25"/>
        </w:rPr>
        <w:t> </w:t>
      </w:r>
      <w:r>
        <w:rPr/>
        <w:t>attributes</w:t>
      </w:r>
      <w:r>
        <w:rPr>
          <w:spacing w:val="-24"/>
        </w:rPr>
        <w:t> </w:t>
      </w:r>
      <w:r>
        <w:rPr/>
        <w:t>to</w:t>
      </w:r>
      <w:r>
        <w:rPr>
          <w:spacing w:val="-25"/>
        </w:rPr>
        <w:t> </w:t>
      </w:r>
      <w:r>
        <w:rPr/>
        <w:t>reflect</w:t>
      </w:r>
      <w:r>
        <w:rPr>
          <w:spacing w:val="-24"/>
        </w:rPr>
        <w:t> </w:t>
      </w:r>
      <w:r>
        <w:rPr/>
        <w:t>the</w:t>
      </w:r>
      <w:r>
        <w:rPr>
          <w:spacing w:val="-25"/>
        </w:rPr>
        <w:t> </w:t>
      </w:r>
      <w:r>
        <w:rPr/>
        <w:t>market expectations</w:t>
      </w:r>
      <w:r>
        <w:rPr>
          <w:spacing w:val="-44"/>
        </w:rPr>
        <w:t> </w:t>
      </w:r>
      <w:r>
        <w:rPr/>
        <w:t>from</w:t>
      </w:r>
      <w:r>
        <w:rPr>
          <w:spacing w:val="-43"/>
        </w:rPr>
        <w:t> </w:t>
      </w:r>
      <w:r>
        <w:rPr/>
        <w:t>an</w:t>
      </w:r>
      <w:r>
        <w:rPr>
          <w:spacing w:val="-44"/>
        </w:rPr>
        <w:t> </w:t>
      </w:r>
      <w:r>
        <w:rPr/>
        <w:t>operational</w:t>
      </w:r>
      <w:r>
        <w:rPr>
          <w:spacing w:val="-43"/>
        </w:rPr>
        <w:t> </w:t>
      </w:r>
      <w:r>
        <w:rPr/>
        <w:t>Grade</w:t>
      </w:r>
      <w:r>
        <w:rPr>
          <w:spacing w:val="-44"/>
        </w:rPr>
        <w:t> </w:t>
      </w:r>
      <w:r>
        <w:rPr/>
        <w:t>A</w:t>
      </w:r>
      <w:r>
        <w:rPr>
          <w:spacing w:val="-43"/>
        </w:rPr>
        <w:t> </w:t>
      </w:r>
      <w:r>
        <w:rPr/>
        <w:t>office</w:t>
      </w:r>
      <w:r>
        <w:rPr>
          <w:spacing w:val="-44"/>
        </w:rPr>
        <w:t> </w:t>
      </w:r>
      <w:r>
        <w:rPr/>
        <w:t>development.</w:t>
      </w:r>
      <w:r>
        <w:rPr>
          <w:spacing w:val="-43"/>
        </w:rPr>
        <w:t> </w:t>
      </w:r>
      <w:r>
        <w:rPr/>
        <w:t>Further,</w:t>
      </w:r>
      <w:r>
        <w:rPr>
          <w:spacing w:val="-43"/>
        </w:rPr>
        <w:t> </w:t>
      </w:r>
      <w:r>
        <w:rPr/>
        <w:t>the</w:t>
      </w:r>
      <w:r>
        <w:rPr>
          <w:spacing w:val="-43"/>
        </w:rPr>
        <w:t> </w:t>
      </w:r>
      <w:r>
        <w:rPr/>
        <w:t>proportion</w:t>
      </w:r>
      <w:r>
        <w:rPr>
          <w:spacing w:val="-43"/>
        </w:rPr>
        <w:t> </w:t>
      </w:r>
      <w:r>
        <w:rPr/>
        <w:t>of</w:t>
      </w:r>
      <w:r>
        <w:rPr>
          <w:spacing w:val="-41"/>
        </w:rPr>
        <w:t> </w:t>
      </w:r>
      <w:r>
        <w:rPr/>
        <w:t>debt</w:t>
      </w:r>
      <w:r>
        <w:rPr>
          <w:spacing w:val="-43"/>
        </w:rPr>
        <w:t> </w:t>
      </w:r>
      <w:r>
        <w:rPr/>
        <w:t>and</w:t>
      </w:r>
      <w:r>
        <w:rPr>
          <w:spacing w:val="-43"/>
        </w:rPr>
        <w:t> </w:t>
      </w:r>
      <w:r>
        <w:rPr/>
        <w:t>equity has</w:t>
      </w:r>
      <w:r>
        <w:rPr>
          <w:spacing w:val="-26"/>
        </w:rPr>
        <w:t> </w:t>
      </w:r>
      <w:r>
        <w:rPr/>
        <w:t>been</w:t>
      </w:r>
      <w:r>
        <w:rPr>
          <w:spacing w:val="-27"/>
        </w:rPr>
        <w:t> </w:t>
      </w:r>
      <w:r>
        <w:rPr/>
        <w:t>derived</w:t>
      </w:r>
      <w:r>
        <w:rPr>
          <w:spacing w:val="-25"/>
        </w:rPr>
        <w:t> </w:t>
      </w:r>
      <w:r>
        <w:rPr/>
        <w:t>considering</w:t>
      </w:r>
      <w:r>
        <w:rPr>
          <w:spacing w:val="-26"/>
        </w:rPr>
        <w:t> </w:t>
      </w:r>
      <w:r>
        <w:rPr/>
        <w:t>the</w:t>
      </w:r>
      <w:r>
        <w:rPr>
          <w:spacing w:val="-27"/>
        </w:rPr>
        <w:t> </w:t>
      </w:r>
      <w:r>
        <w:rPr/>
        <w:t>prevalent</w:t>
      </w:r>
      <w:r>
        <w:rPr>
          <w:spacing w:val="-26"/>
        </w:rPr>
        <w:t> </w:t>
      </w:r>
      <w:r>
        <w:rPr/>
        <w:t>LRD</w:t>
      </w:r>
      <w:r>
        <w:rPr>
          <w:spacing w:val="-26"/>
        </w:rPr>
        <w:t> </w:t>
      </w:r>
      <w:r>
        <w:rPr/>
        <w:t>tenures</w:t>
      </w:r>
      <w:r>
        <w:rPr>
          <w:spacing w:val="-25"/>
        </w:rPr>
        <w:t> </w:t>
      </w:r>
      <w:r>
        <w:rPr/>
        <w:t>and</w:t>
      </w:r>
      <w:r>
        <w:rPr>
          <w:spacing w:val="-26"/>
        </w:rPr>
        <w:t> </w:t>
      </w:r>
      <w:r>
        <w:rPr/>
        <w:t>its</w:t>
      </w:r>
      <w:r>
        <w:rPr>
          <w:spacing w:val="-26"/>
        </w:rPr>
        <w:t> </w:t>
      </w:r>
      <w:r>
        <w:rPr/>
        <w:t>contribution</w:t>
      </w:r>
      <w:r>
        <w:rPr>
          <w:spacing w:val="-28"/>
        </w:rPr>
        <w:t> </w:t>
      </w:r>
      <w:r>
        <w:rPr/>
        <w:t>in</w:t>
      </w:r>
      <w:r>
        <w:rPr>
          <w:spacing w:val="-27"/>
        </w:rPr>
        <w:t> </w:t>
      </w:r>
      <w:r>
        <w:rPr/>
        <w:t>the</w:t>
      </w:r>
      <w:r>
        <w:rPr>
          <w:spacing w:val="-26"/>
        </w:rPr>
        <w:t> </w:t>
      </w:r>
      <w:r>
        <w:rPr/>
        <w:t>overall</w:t>
      </w:r>
      <w:r>
        <w:rPr>
          <w:spacing w:val="-27"/>
        </w:rPr>
        <w:t> </w:t>
      </w:r>
      <w:r>
        <w:rPr/>
        <w:t>asset</w:t>
      </w:r>
      <w:r>
        <w:rPr>
          <w:spacing w:val="-26"/>
        </w:rPr>
        <w:t> </w:t>
      </w:r>
      <w:r>
        <w:rPr/>
        <w:t>value.</w:t>
      </w:r>
    </w:p>
    <w:p>
      <w:pPr>
        <w:pStyle w:val="BodyText"/>
        <w:spacing w:line="321" w:lineRule="auto" w:before="121"/>
        <w:ind w:left="842" w:right="637"/>
        <w:jc w:val="both"/>
      </w:pPr>
      <w:r>
        <w:rPr/>
        <w:t>Based on above, the following WACC rate has been assumed for completed office blocks at various Embassy REIT assets forming part of the said REIT portfolio:</w:t>
      </w:r>
    </w:p>
    <w:p>
      <w:pPr>
        <w:pStyle w:val="BodyText"/>
        <w:spacing w:before="4"/>
        <w:rPr>
          <w:sz w:val="11"/>
        </w:rPr>
      </w:pPr>
    </w:p>
    <w:tbl>
      <w:tblPr>
        <w:tblW w:w="0" w:type="auto"/>
        <w:jc w:val="left"/>
        <w:tblInd w:w="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30"/>
        <w:gridCol w:w="2729"/>
        <w:gridCol w:w="5314"/>
      </w:tblGrid>
      <w:tr>
        <w:trPr>
          <w:trHeight w:val="344" w:hRule="atLeast"/>
        </w:trPr>
        <w:tc>
          <w:tcPr>
            <w:tcW w:w="2430" w:type="dxa"/>
            <w:tcBorders>
              <w:top w:val="single" w:sz="12" w:space="0" w:color="1F6B16"/>
              <w:bottom w:val="single" w:sz="8" w:space="0" w:color="69BD28"/>
            </w:tcBorders>
            <w:shd w:val="clear" w:color="auto" w:fill="006A4D"/>
          </w:tcPr>
          <w:p>
            <w:pPr>
              <w:pStyle w:val="TableParagraph"/>
              <w:spacing w:before="63"/>
              <w:ind w:left="729" w:right="791"/>
              <w:rPr>
                <w:b/>
                <w:sz w:val="18"/>
              </w:rPr>
            </w:pPr>
            <w:r>
              <w:rPr>
                <w:b/>
                <w:color w:val="FFFFFF"/>
                <w:w w:val="105"/>
                <w:sz w:val="18"/>
              </w:rPr>
              <w:t>Particular</w:t>
            </w:r>
          </w:p>
        </w:tc>
        <w:tc>
          <w:tcPr>
            <w:tcW w:w="2729" w:type="dxa"/>
            <w:tcBorders>
              <w:top w:val="single" w:sz="12" w:space="0" w:color="1F6B16"/>
              <w:bottom w:val="single" w:sz="8" w:space="0" w:color="69BD28"/>
            </w:tcBorders>
            <w:shd w:val="clear" w:color="auto" w:fill="006A4D"/>
          </w:tcPr>
          <w:p>
            <w:pPr>
              <w:pStyle w:val="TableParagraph"/>
              <w:spacing w:before="63"/>
              <w:ind w:left="796" w:right="946"/>
              <w:rPr>
                <w:b/>
                <w:sz w:val="18"/>
              </w:rPr>
            </w:pPr>
            <w:r>
              <w:rPr>
                <w:b/>
                <w:color w:val="FFFFFF"/>
                <w:w w:val="105"/>
                <w:sz w:val="18"/>
              </w:rPr>
              <w:t>Proportion</w:t>
            </w:r>
          </w:p>
        </w:tc>
        <w:tc>
          <w:tcPr>
            <w:tcW w:w="5314" w:type="dxa"/>
            <w:tcBorders>
              <w:top w:val="single" w:sz="12" w:space="0" w:color="1F6B16"/>
              <w:bottom w:val="single" w:sz="8" w:space="0" w:color="69BD28"/>
            </w:tcBorders>
            <w:shd w:val="clear" w:color="auto" w:fill="006A4D"/>
          </w:tcPr>
          <w:p>
            <w:pPr>
              <w:pStyle w:val="TableParagraph"/>
              <w:tabs>
                <w:tab w:pos="3696" w:val="left" w:leader="none"/>
              </w:tabs>
              <w:spacing w:before="63"/>
              <w:ind w:left="1072"/>
              <w:jc w:val="left"/>
              <w:rPr>
                <w:b/>
                <w:sz w:val="18"/>
              </w:rPr>
            </w:pPr>
            <w:r>
              <w:rPr>
                <w:b/>
                <w:color w:val="FFFFFF"/>
                <w:w w:val="105"/>
                <w:sz w:val="18"/>
              </w:rPr>
              <w:t>Cost</w:t>
              <w:tab/>
              <w:t>WACC</w:t>
            </w:r>
          </w:p>
        </w:tc>
      </w:tr>
      <w:tr>
        <w:trPr>
          <w:trHeight w:val="327" w:hRule="atLeast"/>
        </w:trPr>
        <w:tc>
          <w:tcPr>
            <w:tcW w:w="2430" w:type="dxa"/>
            <w:tcBorders>
              <w:top w:val="single" w:sz="8" w:space="0" w:color="69BD28"/>
            </w:tcBorders>
          </w:tcPr>
          <w:p>
            <w:pPr>
              <w:pStyle w:val="TableParagraph"/>
              <w:spacing w:before="46"/>
              <w:ind w:left="729" w:right="791"/>
              <w:rPr>
                <w:sz w:val="18"/>
              </w:rPr>
            </w:pPr>
            <w:r>
              <w:rPr>
                <w:sz w:val="18"/>
              </w:rPr>
              <w:t>Debt</w:t>
            </w:r>
          </w:p>
        </w:tc>
        <w:tc>
          <w:tcPr>
            <w:tcW w:w="2729" w:type="dxa"/>
            <w:tcBorders>
              <w:top w:val="single" w:sz="8" w:space="0" w:color="69BD28"/>
            </w:tcBorders>
          </w:tcPr>
          <w:p>
            <w:pPr>
              <w:pStyle w:val="TableParagraph"/>
              <w:spacing w:before="46"/>
              <w:ind w:left="791" w:right="946"/>
              <w:rPr>
                <w:sz w:val="18"/>
              </w:rPr>
            </w:pPr>
            <w:r>
              <w:rPr>
                <w:w w:val="110"/>
                <w:sz w:val="18"/>
              </w:rPr>
              <w:t>45.00%</w:t>
            </w:r>
          </w:p>
        </w:tc>
        <w:tc>
          <w:tcPr>
            <w:tcW w:w="5314" w:type="dxa"/>
            <w:tcBorders>
              <w:top w:val="single" w:sz="8" w:space="0" w:color="69BD28"/>
            </w:tcBorders>
          </w:tcPr>
          <w:p>
            <w:pPr>
              <w:pStyle w:val="TableParagraph"/>
              <w:spacing w:before="46"/>
              <w:ind w:left="1008"/>
              <w:jc w:val="left"/>
              <w:rPr>
                <w:sz w:val="18"/>
              </w:rPr>
            </w:pPr>
            <w:r>
              <w:rPr>
                <w:w w:val="110"/>
                <w:sz w:val="18"/>
              </w:rPr>
              <w:t>9.00%</w:t>
            </w:r>
          </w:p>
        </w:tc>
      </w:tr>
      <w:tr>
        <w:trPr>
          <w:trHeight w:val="365" w:hRule="atLeast"/>
        </w:trPr>
        <w:tc>
          <w:tcPr>
            <w:tcW w:w="2430" w:type="dxa"/>
            <w:tcBorders>
              <w:bottom w:val="single" w:sz="8" w:space="0" w:color="69BD28"/>
            </w:tcBorders>
          </w:tcPr>
          <w:p>
            <w:pPr>
              <w:pStyle w:val="TableParagraph"/>
              <w:spacing w:before="74"/>
              <w:ind w:left="728" w:right="791"/>
              <w:rPr>
                <w:sz w:val="18"/>
              </w:rPr>
            </w:pPr>
            <w:r>
              <w:rPr>
                <w:sz w:val="18"/>
              </w:rPr>
              <w:t>Equity</w:t>
            </w:r>
          </w:p>
        </w:tc>
        <w:tc>
          <w:tcPr>
            <w:tcW w:w="2729" w:type="dxa"/>
            <w:tcBorders>
              <w:bottom w:val="single" w:sz="8" w:space="0" w:color="69BD28"/>
            </w:tcBorders>
          </w:tcPr>
          <w:p>
            <w:pPr>
              <w:pStyle w:val="TableParagraph"/>
              <w:spacing w:before="74"/>
              <w:ind w:left="791" w:right="946"/>
              <w:rPr>
                <w:sz w:val="18"/>
              </w:rPr>
            </w:pPr>
            <w:r>
              <w:rPr>
                <w:w w:val="110"/>
                <w:sz w:val="18"/>
              </w:rPr>
              <w:t>55.00%</w:t>
            </w:r>
          </w:p>
        </w:tc>
        <w:tc>
          <w:tcPr>
            <w:tcW w:w="5314" w:type="dxa"/>
            <w:tcBorders>
              <w:bottom w:val="single" w:sz="8" w:space="0" w:color="69BD28"/>
            </w:tcBorders>
          </w:tcPr>
          <w:p>
            <w:pPr>
              <w:pStyle w:val="TableParagraph"/>
              <w:spacing w:line="97" w:lineRule="exact"/>
              <w:ind w:left="3655"/>
              <w:jc w:val="left"/>
              <w:rPr>
                <w:sz w:val="18"/>
              </w:rPr>
            </w:pPr>
            <w:r>
              <w:rPr>
                <w:w w:val="110"/>
                <w:sz w:val="18"/>
              </w:rPr>
              <w:t>12.03%</w:t>
            </w:r>
          </w:p>
          <w:p>
            <w:pPr>
              <w:pStyle w:val="TableParagraph"/>
              <w:spacing w:line="186" w:lineRule="exact"/>
              <w:ind w:left="955"/>
              <w:jc w:val="left"/>
              <w:rPr>
                <w:sz w:val="18"/>
              </w:rPr>
            </w:pPr>
            <w:r>
              <w:rPr>
                <w:w w:val="110"/>
                <w:sz w:val="18"/>
              </w:rPr>
              <w:t>14.50%</w:t>
            </w:r>
          </w:p>
        </w:tc>
      </w:tr>
    </w:tbl>
    <w:p>
      <w:pPr>
        <w:pStyle w:val="BodyText"/>
        <w:spacing w:before="2"/>
        <w:rPr>
          <w:sz w:val="20"/>
        </w:rPr>
      </w:pPr>
    </w:p>
    <w:p>
      <w:pPr>
        <w:pStyle w:val="BodyText"/>
        <w:spacing w:before="1"/>
        <w:ind w:left="911"/>
        <w:jc w:val="both"/>
      </w:pPr>
      <w:r>
        <w:rPr>
          <w:u w:val="single"/>
        </w:rPr>
        <w:t>Under construction/ Proposed Blocks</w:t>
      </w:r>
    </w:p>
    <w:p>
      <w:pPr>
        <w:pStyle w:val="BodyText"/>
        <w:rPr>
          <w:sz w:val="19"/>
        </w:rPr>
      </w:pPr>
    </w:p>
    <w:p>
      <w:pPr>
        <w:pStyle w:val="BodyText"/>
        <w:spacing w:line="321" w:lineRule="auto" w:before="107"/>
        <w:ind w:left="911" w:right="636"/>
        <w:jc w:val="both"/>
      </w:pPr>
      <w:r>
        <w:rPr/>
        <w:t>As</w:t>
      </w:r>
      <w:r>
        <w:rPr>
          <w:spacing w:val="-22"/>
        </w:rPr>
        <w:t> </w:t>
      </w:r>
      <w:r>
        <w:rPr/>
        <w:t>highlighted</w:t>
      </w:r>
      <w:r>
        <w:rPr>
          <w:spacing w:val="-20"/>
        </w:rPr>
        <w:t> </w:t>
      </w:r>
      <w:r>
        <w:rPr/>
        <w:t>earlier,</w:t>
      </w:r>
      <w:r>
        <w:rPr>
          <w:spacing w:val="-21"/>
        </w:rPr>
        <w:t> </w:t>
      </w:r>
      <w:r>
        <w:rPr/>
        <w:t>the</w:t>
      </w:r>
      <w:r>
        <w:rPr>
          <w:spacing w:val="-22"/>
        </w:rPr>
        <w:t> </w:t>
      </w:r>
      <w:r>
        <w:rPr/>
        <w:t>cost</w:t>
      </w:r>
      <w:r>
        <w:rPr>
          <w:spacing w:val="-20"/>
        </w:rPr>
        <w:t> </w:t>
      </w:r>
      <w:r>
        <w:rPr/>
        <w:t>of</w:t>
      </w:r>
      <w:r>
        <w:rPr>
          <w:spacing w:val="-22"/>
        </w:rPr>
        <w:t> </w:t>
      </w:r>
      <w:r>
        <w:rPr/>
        <w:t>debt</w:t>
      </w:r>
      <w:r>
        <w:rPr>
          <w:spacing w:val="-20"/>
        </w:rPr>
        <w:t> </w:t>
      </w:r>
      <w:r>
        <w:rPr/>
        <w:t>has</w:t>
      </w:r>
      <w:r>
        <w:rPr>
          <w:spacing w:val="-22"/>
        </w:rPr>
        <w:t> </w:t>
      </w:r>
      <w:r>
        <w:rPr/>
        <w:t>been</w:t>
      </w:r>
      <w:r>
        <w:rPr>
          <w:spacing w:val="-17"/>
        </w:rPr>
        <w:t> </w:t>
      </w:r>
      <w:r>
        <w:rPr/>
        <w:t>assumed</w:t>
      </w:r>
      <w:r>
        <w:rPr>
          <w:spacing w:val="-22"/>
        </w:rPr>
        <w:t> </w:t>
      </w:r>
      <w:r>
        <w:rPr/>
        <w:t>based</w:t>
      </w:r>
      <w:r>
        <w:rPr>
          <w:spacing w:val="-20"/>
        </w:rPr>
        <w:t> </w:t>
      </w:r>
      <w:r>
        <w:rPr/>
        <w:t>on</w:t>
      </w:r>
      <w:r>
        <w:rPr>
          <w:spacing w:val="-21"/>
        </w:rPr>
        <w:t> </w:t>
      </w:r>
      <w:r>
        <w:rPr/>
        <w:t>the</w:t>
      </w:r>
      <w:r>
        <w:rPr>
          <w:spacing w:val="-23"/>
        </w:rPr>
        <w:t> </w:t>
      </w:r>
      <w:r>
        <w:rPr/>
        <w:t>prevalent</w:t>
      </w:r>
      <w:r>
        <w:rPr>
          <w:spacing w:val="-21"/>
        </w:rPr>
        <w:t> </w:t>
      </w:r>
      <w:r>
        <w:rPr/>
        <w:t>CF</w:t>
      </w:r>
      <w:r>
        <w:rPr>
          <w:spacing w:val="-20"/>
        </w:rPr>
        <w:t> </w:t>
      </w:r>
      <w:r>
        <w:rPr/>
        <w:t>rates.</w:t>
      </w:r>
      <w:r>
        <w:rPr>
          <w:spacing w:val="-22"/>
        </w:rPr>
        <w:t> </w:t>
      </w:r>
      <w:r>
        <w:rPr/>
        <w:t>Further,</w:t>
      </w:r>
      <w:r>
        <w:rPr>
          <w:spacing w:val="-21"/>
        </w:rPr>
        <w:t> </w:t>
      </w:r>
      <w:r>
        <w:rPr/>
        <w:t>on the</w:t>
      </w:r>
      <w:r>
        <w:rPr>
          <w:spacing w:val="-40"/>
        </w:rPr>
        <w:t> </w:t>
      </w:r>
      <w:r>
        <w:rPr/>
        <w:t>base</w:t>
      </w:r>
      <w:r>
        <w:rPr>
          <w:spacing w:val="-40"/>
        </w:rPr>
        <w:t> </w:t>
      </w:r>
      <w:r>
        <w:rPr/>
        <w:t>cost</w:t>
      </w:r>
      <w:r>
        <w:rPr>
          <w:spacing w:val="-39"/>
        </w:rPr>
        <w:t> </w:t>
      </w:r>
      <w:r>
        <w:rPr/>
        <w:t>of</w:t>
      </w:r>
      <w:r>
        <w:rPr>
          <w:spacing w:val="-39"/>
        </w:rPr>
        <w:t> </w:t>
      </w:r>
      <w:r>
        <w:rPr/>
        <w:t>equity</w:t>
      </w:r>
      <w:r>
        <w:rPr>
          <w:spacing w:val="-39"/>
        </w:rPr>
        <w:t> </w:t>
      </w:r>
      <w:r>
        <w:rPr/>
        <w:t>assessed</w:t>
      </w:r>
      <w:r>
        <w:rPr>
          <w:spacing w:val="-39"/>
        </w:rPr>
        <w:t> </w:t>
      </w:r>
      <w:r>
        <w:rPr/>
        <w:t>for</w:t>
      </w:r>
      <w:r>
        <w:rPr>
          <w:spacing w:val="-39"/>
        </w:rPr>
        <w:t> </w:t>
      </w:r>
      <w:r>
        <w:rPr/>
        <w:t>completed</w:t>
      </w:r>
      <w:r>
        <w:rPr>
          <w:spacing w:val="-40"/>
        </w:rPr>
        <w:t> </w:t>
      </w:r>
      <w:r>
        <w:rPr/>
        <w:t>blocks,</w:t>
      </w:r>
      <w:r>
        <w:rPr>
          <w:spacing w:val="-40"/>
        </w:rPr>
        <w:t> </w:t>
      </w:r>
      <w:r>
        <w:rPr/>
        <w:t>additional</w:t>
      </w:r>
      <w:r>
        <w:rPr>
          <w:spacing w:val="-39"/>
        </w:rPr>
        <w:t> </w:t>
      </w:r>
      <w:r>
        <w:rPr/>
        <w:t>risk</w:t>
      </w:r>
      <w:r>
        <w:rPr>
          <w:spacing w:val="-40"/>
        </w:rPr>
        <w:t> </w:t>
      </w:r>
      <w:r>
        <w:rPr/>
        <w:t>premium</w:t>
      </w:r>
      <w:r>
        <w:rPr>
          <w:spacing w:val="-39"/>
        </w:rPr>
        <w:t> </w:t>
      </w:r>
      <w:r>
        <w:rPr/>
        <w:t>towards</w:t>
      </w:r>
      <w:r>
        <w:rPr>
          <w:spacing w:val="-40"/>
        </w:rPr>
        <w:t> </w:t>
      </w:r>
      <w:r>
        <w:rPr/>
        <w:t>construction</w:t>
      </w:r>
      <w:r>
        <w:rPr>
          <w:spacing w:val="-39"/>
        </w:rPr>
        <w:t> </w:t>
      </w:r>
      <w:r>
        <w:rPr/>
        <w:t>and marketing</w:t>
      </w:r>
      <w:r>
        <w:rPr>
          <w:spacing w:val="-8"/>
        </w:rPr>
        <w:t> </w:t>
      </w:r>
      <w:r>
        <w:rPr/>
        <w:t>has</w:t>
      </w:r>
      <w:r>
        <w:rPr>
          <w:spacing w:val="-7"/>
        </w:rPr>
        <w:t> </w:t>
      </w:r>
      <w:r>
        <w:rPr/>
        <w:t>been</w:t>
      </w:r>
      <w:r>
        <w:rPr>
          <w:spacing w:val="-8"/>
        </w:rPr>
        <w:t> </w:t>
      </w:r>
      <w:r>
        <w:rPr/>
        <w:t>adopted</w:t>
      </w:r>
      <w:r>
        <w:rPr>
          <w:spacing w:val="-8"/>
        </w:rPr>
        <w:t> </w:t>
      </w:r>
      <w:r>
        <w:rPr/>
        <w:t>to</w:t>
      </w:r>
      <w:r>
        <w:rPr>
          <w:spacing w:val="-8"/>
        </w:rPr>
        <w:t> </w:t>
      </w:r>
      <w:r>
        <w:rPr/>
        <w:t>arrive</w:t>
      </w:r>
      <w:r>
        <w:rPr>
          <w:spacing w:val="-8"/>
        </w:rPr>
        <w:t> </w:t>
      </w:r>
      <w:r>
        <w:rPr/>
        <w:t>at</w:t>
      </w:r>
      <w:r>
        <w:rPr>
          <w:spacing w:val="-7"/>
        </w:rPr>
        <w:t> </w:t>
      </w:r>
      <w:r>
        <w:rPr/>
        <w:t>the</w:t>
      </w:r>
      <w:r>
        <w:rPr>
          <w:spacing w:val="-8"/>
        </w:rPr>
        <w:t> </w:t>
      </w:r>
      <w:r>
        <w:rPr/>
        <w:t>cost</w:t>
      </w:r>
      <w:r>
        <w:rPr>
          <w:spacing w:val="-7"/>
        </w:rPr>
        <w:t> </w:t>
      </w:r>
      <w:r>
        <w:rPr/>
        <w:t>of</w:t>
      </w:r>
      <w:r>
        <w:rPr>
          <w:spacing w:val="-7"/>
        </w:rPr>
        <w:t> </w:t>
      </w:r>
      <w:r>
        <w:rPr/>
        <w:t>equity</w:t>
      </w:r>
      <w:r>
        <w:rPr>
          <w:spacing w:val="-9"/>
        </w:rPr>
        <w:t> </w:t>
      </w:r>
      <w:r>
        <w:rPr/>
        <w:t>for</w:t>
      </w:r>
      <w:r>
        <w:rPr>
          <w:spacing w:val="-8"/>
        </w:rPr>
        <w:t> </w:t>
      </w:r>
      <w:r>
        <w:rPr/>
        <w:t>under</w:t>
      </w:r>
      <w:r>
        <w:rPr>
          <w:spacing w:val="-8"/>
        </w:rPr>
        <w:t> </w:t>
      </w:r>
      <w:r>
        <w:rPr/>
        <w:t>construction/</w:t>
      </w:r>
      <w:r>
        <w:rPr>
          <w:spacing w:val="-9"/>
        </w:rPr>
        <w:t> </w:t>
      </w:r>
      <w:r>
        <w:rPr/>
        <w:t>proposed</w:t>
      </w:r>
      <w:r>
        <w:rPr>
          <w:spacing w:val="-9"/>
        </w:rPr>
        <w:t> </w:t>
      </w:r>
      <w:r>
        <w:rPr/>
        <w:t>blocks. Additionally,</w:t>
      </w:r>
      <w:r>
        <w:rPr>
          <w:spacing w:val="-31"/>
        </w:rPr>
        <w:t> </w:t>
      </w:r>
      <w:r>
        <w:rPr/>
        <w:t>the</w:t>
      </w:r>
      <w:r>
        <w:rPr>
          <w:spacing w:val="-30"/>
        </w:rPr>
        <w:t> </w:t>
      </w:r>
      <w:r>
        <w:rPr/>
        <w:t>proportion</w:t>
      </w:r>
      <w:r>
        <w:rPr>
          <w:spacing w:val="-31"/>
        </w:rPr>
        <w:t> </w:t>
      </w:r>
      <w:r>
        <w:rPr/>
        <w:t>of</w:t>
      </w:r>
      <w:r>
        <w:rPr>
          <w:spacing w:val="-29"/>
        </w:rPr>
        <w:t> </w:t>
      </w:r>
      <w:r>
        <w:rPr/>
        <w:t>debt</w:t>
      </w:r>
      <w:r>
        <w:rPr>
          <w:spacing w:val="-31"/>
        </w:rPr>
        <w:t> </w:t>
      </w:r>
      <w:r>
        <w:rPr/>
        <w:t>and</w:t>
      </w:r>
      <w:r>
        <w:rPr>
          <w:spacing w:val="-30"/>
        </w:rPr>
        <w:t> </w:t>
      </w:r>
      <w:r>
        <w:rPr/>
        <w:t>equity</w:t>
      </w:r>
      <w:r>
        <w:rPr>
          <w:spacing w:val="-30"/>
        </w:rPr>
        <w:t> </w:t>
      </w:r>
      <w:r>
        <w:rPr/>
        <w:t>has</w:t>
      </w:r>
      <w:r>
        <w:rPr>
          <w:spacing w:val="-29"/>
        </w:rPr>
        <w:t> </w:t>
      </w:r>
      <w:r>
        <w:rPr/>
        <w:t>been</w:t>
      </w:r>
      <w:r>
        <w:rPr>
          <w:spacing w:val="-31"/>
        </w:rPr>
        <w:t> </w:t>
      </w:r>
      <w:r>
        <w:rPr/>
        <w:t>derived</w:t>
      </w:r>
      <w:r>
        <w:rPr>
          <w:spacing w:val="-27"/>
        </w:rPr>
        <w:t> </w:t>
      </w:r>
      <w:r>
        <w:rPr/>
        <w:t>considering</w:t>
      </w:r>
      <w:r>
        <w:rPr>
          <w:spacing w:val="-30"/>
        </w:rPr>
        <w:t> </w:t>
      </w:r>
      <w:r>
        <w:rPr/>
        <w:t>the</w:t>
      </w:r>
      <w:r>
        <w:rPr>
          <w:spacing w:val="-31"/>
        </w:rPr>
        <w:t> </w:t>
      </w:r>
      <w:r>
        <w:rPr/>
        <w:t>leverage</w:t>
      </w:r>
      <w:r>
        <w:rPr>
          <w:spacing w:val="-30"/>
        </w:rPr>
        <w:t> </w:t>
      </w:r>
      <w:r>
        <w:rPr/>
        <w:t>extended</w:t>
      </w:r>
      <w:r>
        <w:rPr>
          <w:spacing w:val="-30"/>
        </w:rPr>
        <w:t> </w:t>
      </w:r>
      <w:r>
        <w:rPr/>
        <w:t>for construction</w:t>
      </w:r>
      <w:r>
        <w:rPr>
          <w:spacing w:val="-39"/>
        </w:rPr>
        <w:t> </w:t>
      </w:r>
      <w:r>
        <w:rPr/>
        <w:t>of</w:t>
      </w:r>
      <w:r>
        <w:rPr>
          <w:spacing w:val="-38"/>
        </w:rPr>
        <w:t> </w:t>
      </w:r>
      <w:r>
        <w:rPr/>
        <w:t>Grade</w:t>
      </w:r>
      <w:r>
        <w:rPr>
          <w:spacing w:val="-39"/>
        </w:rPr>
        <w:t> </w:t>
      </w:r>
      <w:r>
        <w:rPr/>
        <w:t>A</w:t>
      </w:r>
      <w:r>
        <w:rPr>
          <w:spacing w:val="-38"/>
        </w:rPr>
        <w:t> </w:t>
      </w:r>
      <w:r>
        <w:rPr/>
        <w:t>office</w:t>
      </w:r>
      <w:r>
        <w:rPr>
          <w:spacing w:val="-38"/>
        </w:rPr>
        <w:t> </w:t>
      </w:r>
      <w:r>
        <w:rPr/>
        <w:t>developments</w:t>
      </w:r>
      <w:r>
        <w:rPr>
          <w:spacing w:val="-38"/>
        </w:rPr>
        <w:t> </w:t>
      </w:r>
      <w:r>
        <w:rPr/>
        <w:t>based</w:t>
      </w:r>
      <w:r>
        <w:rPr>
          <w:spacing w:val="-39"/>
        </w:rPr>
        <w:t> </w:t>
      </w:r>
      <w:r>
        <w:rPr/>
        <w:t>on</w:t>
      </w:r>
      <w:r>
        <w:rPr>
          <w:spacing w:val="-39"/>
        </w:rPr>
        <w:t> </w:t>
      </w:r>
      <w:r>
        <w:rPr/>
        <w:t>industry</w:t>
      </w:r>
      <w:r>
        <w:rPr>
          <w:spacing w:val="-38"/>
        </w:rPr>
        <w:t> </w:t>
      </w:r>
      <w:r>
        <w:rPr/>
        <w:t>benchmarks</w:t>
      </w:r>
      <w:r>
        <w:rPr>
          <w:spacing w:val="-37"/>
        </w:rPr>
        <w:t> </w:t>
      </w:r>
      <w:r>
        <w:rPr/>
        <w:t>and</w:t>
      </w:r>
      <w:r>
        <w:rPr>
          <w:spacing w:val="-38"/>
        </w:rPr>
        <w:t> </w:t>
      </w:r>
      <w:r>
        <w:rPr/>
        <w:t>feedback</w:t>
      </w:r>
      <w:r>
        <w:rPr>
          <w:spacing w:val="-39"/>
        </w:rPr>
        <w:t> </w:t>
      </w:r>
      <w:r>
        <w:rPr/>
        <w:t>received</w:t>
      </w:r>
      <w:r>
        <w:rPr>
          <w:spacing w:val="-38"/>
        </w:rPr>
        <w:t> </w:t>
      </w:r>
      <w:r>
        <w:rPr/>
        <w:t>from financial</w:t>
      </w:r>
      <w:r>
        <w:rPr>
          <w:spacing w:val="-5"/>
        </w:rPr>
        <w:t> </w:t>
      </w:r>
      <w:r>
        <w:rPr/>
        <w:t>institutions.</w:t>
      </w:r>
    </w:p>
    <w:p>
      <w:pPr>
        <w:pStyle w:val="BodyText"/>
        <w:spacing w:before="11"/>
        <w:rPr>
          <w:sz w:val="20"/>
        </w:rPr>
      </w:pPr>
    </w:p>
    <w:p>
      <w:pPr>
        <w:pStyle w:val="BodyText"/>
        <w:spacing w:line="319" w:lineRule="auto"/>
        <w:ind w:left="911" w:right="635"/>
        <w:jc w:val="both"/>
      </w:pPr>
      <w:r>
        <w:rPr/>
        <w:t>Based</w:t>
      </w:r>
      <w:r>
        <w:rPr>
          <w:spacing w:val="-8"/>
        </w:rPr>
        <w:t> </w:t>
      </w:r>
      <w:r>
        <w:rPr/>
        <w:t>on</w:t>
      </w:r>
      <w:r>
        <w:rPr>
          <w:spacing w:val="-10"/>
        </w:rPr>
        <w:t> </w:t>
      </w:r>
      <w:r>
        <w:rPr/>
        <w:t>above,</w:t>
      </w:r>
      <w:r>
        <w:rPr>
          <w:spacing w:val="-8"/>
        </w:rPr>
        <w:t> </w:t>
      </w:r>
      <w:r>
        <w:rPr/>
        <w:t>the</w:t>
      </w:r>
      <w:r>
        <w:rPr>
          <w:spacing w:val="-10"/>
        </w:rPr>
        <w:t> </w:t>
      </w:r>
      <w:r>
        <w:rPr/>
        <w:t>following</w:t>
      </w:r>
      <w:r>
        <w:rPr>
          <w:spacing w:val="-7"/>
        </w:rPr>
        <w:t> </w:t>
      </w:r>
      <w:r>
        <w:rPr/>
        <w:t>WACC</w:t>
      </w:r>
      <w:r>
        <w:rPr>
          <w:spacing w:val="-9"/>
        </w:rPr>
        <w:t> </w:t>
      </w:r>
      <w:r>
        <w:rPr/>
        <w:t>rate</w:t>
      </w:r>
      <w:r>
        <w:rPr>
          <w:spacing w:val="-8"/>
        </w:rPr>
        <w:t> </w:t>
      </w:r>
      <w:r>
        <w:rPr/>
        <w:t>has</w:t>
      </w:r>
      <w:r>
        <w:rPr>
          <w:spacing w:val="-8"/>
        </w:rPr>
        <w:t> </w:t>
      </w:r>
      <w:r>
        <w:rPr/>
        <w:t>been</w:t>
      </w:r>
      <w:r>
        <w:rPr>
          <w:spacing w:val="-10"/>
        </w:rPr>
        <w:t> </w:t>
      </w:r>
      <w:r>
        <w:rPr/>
        <w:t>assumed</w:t>
      </w:r>
      <w:r>
        <w:rPr>
          <w:spacing w:val="-10"/>
        </w:rPr>
        <w:t> </w:t>
      </w:r>
      <w:r>
        <w:rPr/>
        <w:t>for</w:t>
      </w:r>
      <w:r>
        <w:rPr>
          <w:spacing w:val="-9"/>
        </w:rPr>
        <w:t> </w:t>
      </w:r>
      <w:r>
        <w:rPr/>
        <w:t>under</w:t>
      </w:r>
      <w:r>
        <w:rPr>
          <w:spacing w:val="-10"/>
        </w:rPr>
        <w:t> </w:t>
      </w:r>
      <w:r>
        <w:rPr/>
        <w:t>construction/</w:t>
      </w:r>
      <w:r>
        <w:rPr>
          <w:spacing w:val="-10"/>
        </w:rPr>
        <w:t> </w:t>
      </w:r>
      <w:r>
        <w:rPr/>
        <w:t>proposed</w:t>
      </w:r>
      <w:r>
        <w:rPr>
          <w:spacing w:val="-8"/>
        </w:rPr>
        <w:t> </w:t>
      </w:r>
      <w:r>
        <w:rPr/>
        <w:t>office blocks</w:t>
      </w:r>
      <w:r>
        <w:rPr>
          <w:spacing w:val="-7"/>
        </w:rPr>
        <w:t> </w:t>
      </w:r>
      <w:r>
        <w:rPr/>
        <w:t>at</w:t>
      </w:r>
      <w:r>
        <w:rPr>
          <w:spacing w:val="-8"/>
        </w:rPr>
        <w:t> </w:t>
      </w:r>
      <w:r>
        <w:rPr/>
        <w:t>various</w:t>
      </w:r>
      <w:r>
        <w:rPr>
          <w:spacing w:val="-7"/>
        </w:rPr>
        <w:t> </w:t>
      </w:r>
      <w:r>
        <w:rPr/>
        <w:t>Embassy</w:t>
      </w:r>
      <w:r>
        <w:rPr>
          <w:spacing w:val="-7"/>
        </w:rPr>
        <w:t> </w:t>
      </w:r>
      <w:r>
        <w:rPr/>
        <w:t>REIT</w:t>
      </w:r>
      <w:r>
        <w:rPr>
          <w:spacing w:val="-7"/>
        </w:rPr>
        <w:t> </w:t>
      </w:r>
      <w:r>
        <w:rPr/>
        <w:t>assets</w:t>
      </w:r>
      <w:r>
        <w:rPr>
          <w:spacing w:val="-7"/>
        </w:rPr>
        <w:t> </w:t>
      </w:r>
      <w:r>
        <w:rPr/>
        <w:t>forming</w:t>
      </w:r>
      <w:r>
        <w:rPr>
          <w:spacing w:val="-10"/>
        </w:rPr>
        <w:t> </w:t>
      </w:r>
      <w:r>
        <w:rPr/>
        <w:t>part</w:t>
      </w:r>
      <w:r>
        <w:rPr>
          <w:spacing w:val="-8"/>
        </w:rPr>
        <w:t> </w:t>
      </w:r>
      <w:r>
        <w:rPr/>
        <w:t>of</w:t>
      </w:r>
      <w:r>
        <w:rPr>
          <w:spacing w:val="-7"/>
        </w:rPr>
        <w:t> </w:t>
      </w:r>
      <w:r>
        <w:rPr/>
        <w:t>the</w:t>
      </w:r>
      <w:r>
        <w:rPr>
          <w:spacing w:val="-8"/>
        </w:rPr>
        <w:t> </w:t>
      </w:r>
      <w:r>
        <w:rPr/>
        <w:t>said</w:t>
      </w:r>
      <w:r>
        <w:rPr>
          <w:spacing w:val="-8"/>
        </w:rPr>
        <w:t> </w:t>
      </w:r>
      <w:r>
        <w:rPr/>
        <w:t>REIT</w:t>
      </w:r>
      <w:r>
        <w:rPr>
          <w:spacing w:val="-9"/>
        </w:rPr>
        <w:t> </w:t>
      </w:r>
      <w:r>
        <w:rPr/>
        <w:t>portfolio:</w:t>
      </w:r>
    </w:p>
    <w:p>
      <w:pPr>
        <w:pStyle w:val="BodyText"/>
        <w:spacing w:before="10"/>
        <w:rPr>
          <w:sz w:val="21"/>
        </w:rPr>
      </w:pPr>
    </w:p>
    <w:tbl>
      <w:tblPr>
        <w:tblW w:w="0" w:type="auto"/>
        <w:jc w:val="left"/>
        <w:tblInd w:w="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30"/>
        <w:gridCol w:w="2729"/>
        <w:gridCol w:w="5314"/>
      </w:tblGrid>
      <w:tr>
        <w:trPr>
          <w:trHeight w:val="346" w:hRule="atLeast"/>
        </w:trPr>
        <w:tc>
          <w:tcPr>
            <w:tcW w:w="2430" w:type="dxa"/>
            <w:tcBorders>
              <w:top w:val="single" w:sz="12" w:space="0" w:color="1F6B16"/>
              <w:bottom w:val="single" w:sz="8" w:space="0" w:color="69BD28"/>
            </w:tcBorders>
            <w:shd w:val="clear" w:color="auto" w:fill="006A4D"/>
          </w:tcPr>
          <w:p>
            <w:pPr>
              <w:pStyle w:val="TableParagraph"/>
              <w:spacing w:before="65"/>
              <w:ind w:left="729" w:right="791"/>
              <w:rPr>
                <w:b/>
                <w:sz w:val="18"/>
              </w:rPr>
            </w:pPr>
            <w:r>
              <w:rPr>
                <w:b/>
                <w:color w:val="FFFFFF"/>
                <w:w w:val="105"/>
                <w:sz w:val="18"/>
              </w:rPr>
              <w:t>Particular</w:t>
            </w:r>
          </w:p>
        </w:tc>
        <w:tc>
          <w:tcPr>
            <w:tcW w:w="2729" w:type="dxa"/>
            <w:tcBorders>
              <w:top w:val="single" w:sz="12" w:space="0" w:color="1F6B16"/>
              <w:bottom w:val="single" w:sz="8" w:space="0" w:color="69BD28"/>
            </w:tcBorders>
            <w:shd w:val="clear" w:color="auto" w:fill="006A4D"/>
          </w:tcPr>
          <w:p>
            <w:pPr>
              <w:pStyle w:val="TableParagraph"/>
              <w:spacing w:before="65"/>
              <w:ind w:left="796" w:right="946"/>
              <w:rPr>
                <w:b/>
                <w:sz w:val="18"/>
              </w:rPr>
            </w:pPr>
            <w:r>
              <w:rPr>
                <w:b/>
                <w:color w:val="FFFFFF"/>
                <w:w w:val="105"/>
                <w:sz w:val="18"/>
              </w:rPr>
              <w:t>Proportion</w:t>
            </w:r>
          </w:p>
        </w:tc>
        <w:tc>
          <w:tcPr>
            <w:tcW w:w="5314" w:type="dxa"/>
            <w:tcBorders>
              <w:top w:val="single" w:sz="12" w:space="0" w:color="1F6B16"/>
              <w:bottom w:val="single" w:sz="8" w:space="0" w:color="69BD28"/>
            </w:tcBorders>
            <w:shd w:val="clear" w:color="auto" w:fill="006A4D"/>
          </w:tcPr>
          <w:p>
            <w:pPr>
              <w:pStyle w:val="TableParagraph"/>
              <w:tabs>
                <w:tab w:pos="3696" w:val="left" w:leader="none"/>
              </w:tabs>
              <w:spacing w:before="65"/>
              <w:ind w:left="1072"/>
              <w:jc w:val="left"/>
              <w:rPr>
                <w:b/>
                <w:sz w:val="18"/>
              </w:rPr>
            </w:pPr>
            <w:r>
              <w:rPr>
                <w:b/>
                <w:color w:val="FFFFFF"/>
                <w:w w:val="105"/>
                <w:sz w:val="18"/>
              </w:rPr>
              <w:t>Cost</w:t>
              <w:tab/>
              <w:t>WACC</w:t>
            </w:r>
          </w:p>
        </w:tc>
      </w:tr>
      <w:tr>
        <w:trPr>
          <w:trHeight w:val="325" w:hRule="atLeast"/>
        </w:trPr>
        <w:tc>
          <w:tcPr>
            <w:tcW w:w="2430" w:type="dxa"/>
            <w:tcBorders>
              <w:top w:val="single" w:sz="8" w:space="0" w:color="69BD28"/>
            </w:tcBorders>
          </w:tcPr>
          <w:p>
            <w:pPr>
              <w:pStyle w:val="TableParagraph"/>
              <w:spacing w:before="44"/>
              <w:ind w:left="729" w:right="791"/>
              <w:rPr>
                <w:sz w:val="18"/>
              </w:rPr>
            </w:pPr>
            <w:r>
              <w:rPr>
                <w:sz w:val="18"/>
              </w:rPr>
              <w:t>Debt</w:t>
            </w:r>
          </w:p>
        </w:tc>
        <w:tc>
          <w:tcPr>
            <w:tcW w:w="2729" w:type="dxa"/>
            <w:tcBorders>
              <w:top w:val="single" w:sz="8" w:space="0" w:color="69BD28"/>
            </w:tcBorders>
          </w:tcPr>
          <w:p>
            <w:pPr>
              <w:pStyle w:val="TableParagraph"/>
              <w:spacing w:before="44"/>
              <w:ind w:left="791" w:right="946"/>
              <w:rPr>
                <w:sz w:val="18"/>
              </w:rPr>
            </w:pPr>
            <w:r>
              <w:rPr>
                <w:w w:val="110"/>
                <w:sz w:val="18"/>
              </w:rPr>
              <w:t>60.00%</w:t>
            </w:r>
          </w:p>
        </w:tc>
        <w:tc>
          <w:tcPr>
            <w:tcW w:w="5314" w:type="dxa"/>
            <w:tcBorders>
              <w:top w:val="single" w:sz="8" w:space="0" w:color="69BD28"/>
            </w:tcBorders>
          </w:tcPr>
          <w:p>
            <w:pPr>
              <w:pStyle w:val="TableParagraph"/>
              <w:spacing w:before="44"/>
              <w:ind w:left="955"/>
              <w:jc w:val="left"/>
              <w:rPr>
                <w:sz w:val="18"/>
              </w:rPr>
            </w:pPr>
            <w:r>
              <w:rPr>
                <w:w w:val="110"/>
                <w:sz w:val="18"/>
              </w:rPr>
              <w:t>11.00%</w:t>
            </w:r>
          </w:p>
        </w:tc>
      </w:tr>
      <w:tr>
        <w:trPr>
          <w:trHeight w:val="365" w:hRule="atLeast"/>
        </w:trPr>
        <w:tc>
          <w:tcPr>
            <w:tcW w:w="2430" w:type="dxa"/>
            <w:tcBorders>
              <w:bottom w:val="single" w:sz="8" w:space="0" w:color="69BD28"/>
            </w:tcBorders>
          </w:tcPr>
          <w:p>
            <w:pPr>
              <w:pStyle w:val="TableParagraph"/>
              <w:spacing w:before="74"/>
              <w:ind w:left="728" w:right="791"/>
              <w:rPr>
                <w:sz w:val="18"/>
              </w:rPr>
            </w:pPr>
            <w:r>
              <w:rPr>
                <w:sz w:val="18"/>
              </w:rPr>
              <w:t>Equity</w:t>
            </w:r>
          </w:p>
        </w:tc>
        <w:tc>
          <w:tcPr>
            <w:tcW w:w="2729" w:type="dxa"/>
            <w:tcBorders>
              <w:bottom w:val="single" w:sz="8" w:space="0" w:color="69BD28"/>
            </w:tcBorders>
          </w:tcPr>
          <w:p>
            <w:pPr>
              <w:pStyle w:val="TableParagraph"/>
              <w:spacing w:before="74"/>
              <w:ind w:left="791" w:right="946"/>
              <w:rPr>
                <w:sz w:val="18"/>
              </w:rPr>
            </w:pPr>
            <w:r>
              <w:rPr>
                <w:w w:val="110"/>
                <w:sz w:val="18"/>
              </w:rPr>
              <w:t>40.00%</w:t>
            </w:r>
          </w:p>
        </w:tc>
        <w:tc>
          <w:tcPr>
            <w:tcW w:w="5314" w:type="dxa"/>
            <w:tcBorders>
              <w:bottom w:val="single" w:sz="8" w:space="0" w:color="69BD28"/>
            </w:tcBorders>
          </w:tcPr>
          <w:p>
            <w:pPr>
              <w:pStyle w:val="TableParagraph"/>
              <w:spacing w:line="97" w:lineRule="exact"/>
              <w:ind w:left="3655"/>
              <w:jc w:val="left"/>
              <w:rPr>
                <w:sz w:val="18"/>
              </w:rPr>
            </w:pPr>
            <w:r>
              <w:rPr>
                <w:w w:val="110"/>
                <w:sz w:val="18"/>
              </w:rPr>
              <w:t>13.00%</w:t>
            </w:r>
          </w:p>
          <w:p>
            <w:pPr>
              <w:pStyle w:val="TableParagraph"/>
              <w:spacing w:line="186" w:lineRule="exact"/>
              <w:ind w:left="955"/>
              <w:jc w:val="left"/>
              <w:rPr>
                <w:sz w:val="18"/>
              </w:rPr>
            </w:pPr>
            <w:r>
              <w:rPr>
                <w:w w:val="110"/>
                <w:sz w:val="18"/>
              </w:rPr>
              <w:t>16.00%</w:t>
            </w:r>
          </w:p>
        </w:tc>
      </w:tr>
    </w:tbl>
    <w:p>
      <w:pPr>
        <w:pStyle w:val="BodyText"/>
        <w:spacing w:before="2"/>
        <w:rPr>
          <w:sz w:val="29"/>
        </w:rPr>
      </w:pPr>
    </w:p>
    <w:p>
      <w:pPr>
        <w:pStyle w:val="BodyText"/>
        <w:ind w:left="911"/>
      </w:pPr>
      <w:r>
        <w:rPr>
          <w:u w:val="single"/>
        </w:rPr>
        <w:t>Hotel</w:t>
      </w:r>
    </w:p>
    <w:p>
      <w:pPr>
        <w:pStyle w:val="BodyText"/>
        <w:spacing w:before="1"/>
        <w:rPr>
          <w:sz w:val="19"/>
        </w:rPr>
      </w:pPr>
    </w:p>
    <w:p>
      <w:pPr>
        <w:pStyle w:val="BodyText"/>
        <w:spacing w:line="321" w:lineRule="auto" w:before="106"/>
        <w:ind w:left="911" w:right="633"/>
        <w:jc w:val="both"/>
      </w:pPr>
      <w:r>
        <w:rPr/>
        <w:t>For the hotel component at various properties located across Bengaluru, the cost of debt has been considered</w:t>
      </w:r>
      <w:r>
        <w:rPr>
          <w:spacing w:val="-15"/>
        </w:rPr>
        <w:t> </w:t>
      </w:r>
      <w:r>
        <w:rPr/>
        <w:t>based</w:t>
      </w:r>
      <w:r>
        <w:rPr>
          <w:spacing w:val="-14"/>
        </w:rPr>
        <w:t> </w:t>
      </w:r>
      <w:r>
        <w:rPr/>
        <w:t>on</w:t>
      </w:r>
      <w:r>
        <w:rPr>
          <w:spacing w:val="-17"/>
        </w:rPr>
        <w:t> </w:t>
      </w:r>
      <w:r>
        <w:rPr/>
        <w:t>the</w:t>
      </w:r>
      <w:r>
        <w:rPr>
          <w:spacing w:val="-16"/>
        </w:rPr>
        <w:t> </w:t>
      </w:r>
      <w:r>
        <w:rPr/>
        <w:t>prevalent</w:t>
      </w:r>
      <w:r>
        <w:rPr>
          <w:spacing w:val="-15"/>
        </w:rPr>
        <w:t> </w:t>
      </w:r>
      <w:r>
        <w:rPr/>
        <w:t>lending</w:t>
      </w:r>
      <w:r>
        <w:rPr>
          <w:spacing w:val="-14"/>
        </w:rPr>
        <w:t> </w:t>
      </w:r>
      <w:r>
        <w:rPr/>
        <w:t>rates</w:t>
      </w:r>
      <w:r>
        <w:rPr>
          <w:spacing w:val="-16"/>
        </w:rPr>
        <w:t> </w:t>
      </w:r>
      <w:r>
        <w:rPr/>
        <w:t>for</w:t>
      </w:r>
      <w:r>
        <w:rPr>
          <w:spacing w:val="-16"/>
        </w:rPr>
        <w:t> </w:t>
      </w:r>
      <w:r>
        <w:rPr/>
        <w:t>hospitality</w:t>
      </w:r>
      <w:r>
        <w:rPr>
          <w:spacing w:val="-14"/>
        </w:rPr>
        <w:t> </w:t>
      </w:r>
      <w:r>
        <w:rPr/>
        <w:t>assets.</w:t>
      </w:r>
      <w:r>
        <w:rPr>
          <w:spacing w:val="-15"/>
        </w:rPr>
        <w:t> </w:t>
      </w:r>
      <w:r>
        <w:rPr/>
        <w:t>Further,</w:t>
      </w:r>
      <w:r>
        <w:rPr>
          <w:spacing w:val="-15"/>
        </w:rPr>
        <w:t> </w:t>
      </w:r>
      <w:r>
        <w:rPr/>
        <w:t>the</w:t>
      </w:r>
      <w:r>
        <w:rPr>
          <w:spacing w:val="-16"/>
        </w:rPr>
        <w:t> </w:t>
      </w:r>
      <w:r>
        <w:rPr/>
        <w:t>cost</w:t>
      </w:r>
      <w:r>
        <w:rPr>
          <w:spacing w:val="-15"/>
        </w:rPr>
        <w:t> </w:t>
      </w:r>
      <w:r>
        <w:rPr/>
        <w:t>of</w:t>
      </w:r>
      <w:r>
        <w:rPr>
          <w:spacing w:val="-14"/>
        </w:rPr>
        <w:t> </w:t>
      </w:r>
      <w:r>
        <w:rPr/>
        <w:t>equity</w:t>
      </w:r>
      <w:r>
        <w:rPr>
          <w:spacing w:val="-15"/>
        </w:rPr>
        <w:t> </w:t>
      </w:r>
      <w:r>
        <w:rPr>
          <w:spacing w:val="-3"/>
        </w:rPr>
        <w:t>has </w:t>
      </w:r>
      <w:r>
        <w:rPr/>
        <w:t>been</w:t>
      </w:r>
      <w:r>
        <w:rPr>
          <w:spacing w:val="-31"/>
        </w:rPr>
        <w:t> </w:t>
      </w:r>
      <w:r>
        <w:rPr/>
        <w:t>assessed</w:t>
      </w:r>
      <w:r>
        <w:rPr>
          <w:spacing w:val="-31"/>
        </w:rPr>
        <w:t> </w:t>
      </w:r>
      <w:r>
        <w:rPr/>
        <w:t>keeping</w:t>
      </w:r>
      <w:r>
        <w:rPr>
          <w:spacing w:val="-30"/>
        </w:rPr>
        <w:t> </w:t>
      </w:r>
      <w:r>
        <w:rPr/>
        <w:t>in</w:t>
      </w:r>
      <w:r>
        <w:rPr>
          <w:spacing w:val="-31"/>
        </w:rPr>
        <w:t> </w:t>
      </w:r>
      <w:r>
        <w:rPr/>
        <w:t>purview</w:t>
      </w:r>
      <w:r>
        <w:rPr>
          <w:spacing w:val="-31"/>
        </w:rPr>
        <w:t> </w:t>
      </w:r>
      <w:r>
        <w:rPr/>
        <w:t>the</w:t>
      </w:r>
      <w:r>
        <w:rPr>
          <w:spacing w:val="-31"/>
        </w:rPr>
        <w:t> </w:t>
      </w:r>
      <w:r>
        <w:rPr/>
        <w:t>historical</w:t>
      </w:r>
      <w:r>
        <w:rPr>
          <w:spacing w:val="-30"/>
        </w:rPr>
        <w:t> </w:t>
      </w:r>
      <w:r>
        <w:rPr/>
        <w:t>returns</w:t>
      </w:r>
      <w:r>
        <w:rPr>
          <w:spacing w:val="-30"/>
        </w:rPr>
        <w:t> </w:t>
      </w:r>
      <w:r>
        <w:rPr/>
        <w:t>of</w:t>
      </w:r>
      <w:r>
        <w:rPr>
          <w:spacing w:val="-30"/>
        </w:rPr>
        <w:t> </w:t>
      </w:r>
      <w:r>
        <w:rPr/>
        <w:t>listed</w:t>
      </w:r>
      <w:r>
        <w:rPr>
          <w:spacing w:val="-31"/>
        </w:rPr>
        <w:t> </w:t>
      </w:r>
      <w:r>
        <w:rPr/>
        <w:t>hospitality</w:t>
      </w:r>
      <w:r>
        <w:rPr>
          <w:spacing w:val="-31"/>
        </w:rPr>
        <w:t> </w:t>
      </w:r>
      <w:r>
        <w:rPr/>
        <w:t>stocks,</w:t>
      </w:r>
      <w:r>
        <w:rPr>
          <w:spacing w:val="-31"/>
        </w:rPr>
        <w:t> </w:t>
      </w:r>
      <w:r>
        <w:rPr/>
        <w:t>duly</w:t>
      </w:r>
      <w:r>
        <w:rPr>
          <w:spacing w:val="-30"/>
        </w:rPr>
        <w:t> </w:t>
      </w:r>
      <w:r>
        <w:rPr/>
        <w:t>factoring</w:t>
      </w:r>
      <w:r>
        <w:rPr>
          <w:spacing w:val="-31"/>
        </w:rPr>
        <w:t> </w:t>
      </w:r>
      <w:r>
        <w:rPr/>
        <w:t>in</w:t>
      </w:r>
      <w:r>
        <w:rPr>
          <w:spacing w:val="-31"/>
        </w:rPr>
        <w:t> </w:t>
      </w:r>
      <w:r>
        <w:rPr/>
        <w:t>the risk</w:t>
      </w:r>
      <w:r>
        <w:rPr>
          <w:spacing w:val="-7"/>
        </w:rPr>
        <w:t> </w:t>
      </w:r>
      <w:r>
        <w:rPr/>
        <w:t>premium</w:t>
      </w:r>
      <w:r>
        <w:rPr>
          <w:spacing w:val="-6"/>
        </w:rPr>
        <w:t> </w:t>
      </w:r>
      <w:r>
        <w:rPr/>
        <w:t>for</w:t>
      </w:r>
      <w:r>
        <w:rPr>
          <w:spacing w:val="-8"/>
        </w:rPr>
        <w:t> </w:t>
      </w:r>
      <w:r>
        <w:rPr/>
        <w:t>the</w:t>
      </w:r>
      <w:r>
        <w:rPr>
          <w:spacing w:val="-7"/>
        </w:rPr>
        <w:t> </w:t>
      </w:r>
      <w:r>
        <w:rPr/>
        <w:t>status</w:t>
      </w:r>
      <w:r>
        <w:rPr>
          <w:spacing w:val="-4"/>
        </w:rPr>
        <w:t> </w:t>
      </w:r>
      <w:r>
        <w:rPr/>
        <w:t>of</w:t>
      </w:r>
      <w:r>
        <w:rPr>
          <w:spacing w:val="-7"/>
        </w:rPr>
        <w:t> </w:t>
      </w:r>
      <w:r>
        <w:rPr/>
        <w:t>development</w:t>
      </w:r>
      <w:r>
        <w:rPr>
          <w:spacing w:val="-6"/>
        </w:rPr>
        <w:t> </w:t>
      </w:r>
      <w:r>
        <w:rPr/>
        <w:t>and</w:t>
      </w:r>
      <w:r>
        <w:rPr>
          <w:spacing w:val="-6"/>
        </w:rPr>
        <w:t> </w:t>
      </w:r>
      <w:r>
        <w:rPr/>
        <w:t>impact</w:t>
      </w:r>
      <w:r>
        <w:rPr>
          <w:spacing w:val="-6"/>
        </w:rPr>
        <w:t> </w:t>
      </w:r>
      <w:r>
        <w:rPr/>
        <w:t>of</w:t>
      </w:r>
      <w:r>
        <w:rPr>
          <w:spacing w:val="-7"/>
        </w:rPr>
        <w:t> </w:t>
      </w:r>
      <w:r>
        <w:rPr/>
        <w:t>seasonality</w:t>
      </w:r>
      <w:r>
        <w:rPr>
          <w:spacing w:val="-5"/>
        </w:rPr>
        <w:t> </w:t>
      </w:r>
      <w:r>
        <w:rPr/>
        <w:t>in</w:t>
      </w:r>
      <w:r>
        <w:rPr>
          <w:spacing w:val="-9"/>
        </w:rPr>
        <w:t> </w:t>
      </w:r>
      <w:r>
        <w:rPr/>
        <w:t>sustaining</w:t>
      </w:r>
      <w:r>
        <w:rPr>
          <w:spacing w:val="-6"/>
        </w:rPr>
        <w:t> </w:t>
      </w:r>
      <w:r>
        <w:rPr/>
        <w:t>a</w:t>
      </w:r>
      <w:r>
        <w:rPr>
          <w:spacing w:val="-8"/>
        </w:rPr>
        <w:t> </w:t>
      </w:r>
      <w:r>
        <w:rPr/>
        <w:t>stable</w:t>
      </w:r>
      <w:r>
        <w:rPr>
          <w:spacing w:val="-9"/>
        </w:rPr>
        <w:t> </w:t>
      </w:r>
      <w:r>
        <w:rPr/>
        <w:t>ARR</w:t>
      </w:r>
      <w:r>
        <w:rPr>
          <w:spacing w:val="-6"/>
        </w:rPr>
        <w:t> </w:t>
      </w:r>
      <w:r>
        <w:rPr>
          <w:spacing w:val="-2"/>
        </w:rPr>
        <w:t>and </w:t>
      </w:r>
      <w:r>
        <w:rPr/>
        <w:t>occupancy.</w:t>
      </w:r>
      <w:r>
        <w:rPr>
          <w:spacing w:val="-21"/>
        </w:rPr>
        <w:t> </w:t>
      </w:r>
      <w:r>
        <w:rPr/>
        <w:t>Additionally,</w:t>
      </w:r>
      <w:r>
        <w:rPr>
          <w:spacing w:val="-21"/>
        </w:rPr>
        <w:t> </w:t>
      </w:r>
      <w:r>
        <w:rPr/>
        <w:t>the</w:t>
      </w:r>
      <w:r>
        <w:rPr>
          <w:spacing w:val="-20"/>
        </w:rPr>
        <w:t> </w:t>
      </w:r>
      <w:r>
        <w:rPr/>
        <w:t>proportion</w:t>
      </w:r>
      <w:r>
        <w:rPr>
          <w:spacing w:val="-21"/>
        </w:rPr>
        <w:t> </w:t>
      </w:r>
      <w:r>
        <w:rPr/>
        <w:t>of</w:t>
      </w:r>
      <w:r>
        <w:rPr>
          <w:spacing w:val="-20"/>
        </w:rPr>
        <w:t> </w:t>
      </w:r>
      <w:r>
        <w:rPr/>
        <w:t>debt</w:t>
      </w:r>
      <w:r>
        <w:rPr>
          <w:spacing w:val="-20"/>
        </w:rPr>
        <w:t> </w:t>
      </w:r>
      <w:r>
        <w:rPr/>
        <w:t>and</w:t>
      </w:r>
      <w:r>
        <w:rPr>
          <w:spacing w:val="-20"/>
        </w:rPr>
        <w:t> </w:t>
      </w:r>
      <w:r>
        <w:rPr/>
        <w:t>equity</w:t>
      </w:r>
      <w:r>
        <w:rPr>
          <w:spacing w:val="-20"/>
        </w:rPr>
        <w:t> </w:t>
      </w:r>
      <w:r>
        <w:rPr/>
        <w:t>has</w:t>
      </w:r>
      <w:r>
        <w:rPr>
          <w:spacing w:val="-20"/>
        </w:rPr>
        <w:t> </w:t>
      </w:r>
      <w:r>
        <w:rPr/>
        <w:t>been</w:t>
      </w:r>
      <w:r>
        <w:rPr>
          <w:spacing w:val="-21"/>
        </w:rPr>
        <w:t> </w:t>
      </w:r>
      <w:r>
        <w:rPr/>
        <w:t>derived</w:t>
      </w:r>
      <w:r>
        <w:rPr>
          <w:spacing w:val="-20"/>
        </w:rPr>
        <w:t> </w:t>
      </w:r>
      <w:r>
        <w:rPr/>
        <w:t>considering</w:t>
      </w:r>
      <w:r>
        <w:rPr>
          <w:spacing w:val="-20"/>
        </w:rPr>
        <w:t> </w:t>
      </w:r>
      <w:r>
        <w:rPr/>
        <w:t>the</w:t>
      </w:r>
      <w:r>
        <w:rPr>
          <w:spacing w:val="-20"/>
        </w:rPr>
        <w:t> </w:t>
      </w:r>
      <w:r>
        <w:rPr/>
        <w:t>leverage extended for hospitality developments based on industry benchmarks and feedback received from financial</w:t>
      </w:r>
      <w:r>
        <w:rPr>
          <w:spacing w:val="-5"/>
        </w:rPr>
        <w:t> </w:t>
      </w:r>
      <w:r>
        <w:rPr/>
        <w:t>institutions.</w:t>
      </w:r>
    </w:p>
    <w:p>
      <w:pPr>
        <w:spacing w:after="0" w:line="321" w:lineRule="auto"/>
        <w:jc w:val="both"/>
        <w:sectPr>
          <w:pgSz w:w="11910" w:h="16840"/>
          <w:pgMar w:header="720" w:footer="842" w:top="1520" w:bottom="1040" w:left="440" w:right="80"/>
        </w:sectPr>
      </w:pPr>
    </w:p>
    <w:p>
      <w:pPr>
        <w:pStyle w:val="BodyText"/>
        <w:spacing w:before="5"/>
      </w:pPr>
    </w:p>
    <w:p>
      <w:pPr>
        <w:pStyle w:val="BodyText"/>
        <w:spacing w:line="321" w:lineRule="auto" w:before="106"/>
        <w:ind w:left="911" w:right="640"/>
        <w:jc w:val="both"/>
      </w:pPr>
      <w:r>
        <w:rPr/>
        <w:t>Based</w:t>
      </w:r>
      <w:r>
        <w:rPr>
          <w:spacing w:val="-10"/>
        </w:rPr>
        <w:t> </w:t>
      </w:r>
      <w:r>
        <w:rPr/>
        <w:t>on</w:t>
      </w:r>
      <w:r>
        <w:rPr>
          <w:spacing w:val="-11"/>
        </w:rPr>
        <w:t> </w:t>
      </w:r>
      <w:r>
        <w:rPr/>
        <w:t>above,</w:t>
      </w:r>
      <w:r>
        <w:rPr>
          <w:spacing w:val="-11"/>
        </w:rPr>
        <w:t> </w:t>
      </w:r>
      <w:r>
        <w:rPr/>
        <w:t>the</w:t>
      </w:r>
      <w:r>
        <w:rPr>
          <w:spacing w:val="-10"/>
        </w:rPr>
        <w:t> </w:t>
      </w:r>
      <w:r>
        <w:rPr/>
        <w:t>following</w:t>
      </w:r>
      <w:r>
        <w:rPr>
          <w:spacing w:val="-10"/>
        </w:rPr>
        <w:t> </w:t>
      </w:r>
      <w:r>
        <w:rPr/>
        <w:t>WACC</w:t>
      </w:r>
      <w:r>
        <w:rPr>
          <w:spacing w:val="-9"/>
        </w:rPr>
        <w:t> </w:t>
      </w:r>
      <w:r>
        <w:rPr/>
        <w:t>rate</w:t>
      </w:r>
      <w:r>
        <w:rPr>
          <w:spacing w:val="-10"/>
        </w:rPr>
        <w:t> </w:t>
      </w:r>
      <w:r>
        <w:rPr/>
        <w:t>has</w:t>
      </w:r>
      <w:r>
        <w:rPr>
          <w:spacing w:val="-10"/>
        </w:rPr>
        <w:t> </w:t>
      </w:r>
      <w:r>
        <w:rPr/>
        <w:t>been</w:t>
      </w:r>
      <w:r>
        <w:rPr>
          <w:spacing w:val="-11"/>
        </w:rPr>
        <w:t> </w:t>
      </w:r>
      <w:r>
        <w:rPr/>
        <w:t>assumed</w:t>
      </w:r>
      <w:r>
        <w:rPr>
          <w:spacing w:val="-10"/>
        </w:rPr>
        <w:t> </w:t>
      </w:r>
      <w:r>
        <w:rPr/>
        <w:t>for</w:t>
      </w:r>
      <w:r>
        <w:rPr>
          <w:spacing w:val="-11"/>
        </w:rPr>
        <w:t> </w:t>
      </w:r>
      <w:r>
        <w:rPr/>
        <w:t>hotel</w:t>
      </w:r>
      <w:r>
        <w:rPr>
          <w:spacing w:val="-10"/>
        </w:rPr>
        <w:t> </w:t>
      </w:r>
      <w:r>
        <w:rPr/>
        <w:t>component</w:t>
      </w:r>
      <w:r>
        <w:rPr>
          <w:spacing w:val="-11"/>
        </w:rPr>
        <w:t> </w:t>
      </w:r>
      <w:r>
        <w:rPr/>
        <w:t>at</w:t>
      </w:r>
      <w:r>
        <w:rPr>
          <w:spacing w:val="-10"/>
        </w:rPr>
        <w:t> </w:t>
      </w:r>
      <w:r>
        <w:rPr/>
        <w:t>various</w:t>
      </w:r>
      <w:r>
        <w:rPr>
          <w:spacing w:val="-10"/>
        </w:rPr>
        <w:t> </w:t>
      </w:r>
      <w:r>
        <w:rPr/>
        <w:t>Embassy REIT assets forming part of the said REIT</w:t>
      </w:r>
      <w:r>
        <w:rPr>
          <w:spacing w:val="-39"/>
        </w:rPr>
        <w:t> </w:t>
      </w:r>
      <w:r>
        <w:rPr/>
        <w:t>portfolio:</w:t>
      </w:r>
    </w:p>
    <w:p>
      <w:pPr>
        <w:pStyle w:val="BodyText"/>
        <w:spacing w:before="5"/>
        <w:rPr>
          <w:sz w:val="20"/>
        </w:rPr>
      </w:pPr>
    </w:p>
    <w:tbl>
      <w:tblPr>
        <w:tblW w:w="0" w:type="auto"/>
        <w:jc w:val="left"/>
        <w:tblInd w:w="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38"/>
        <w:gridCol w:w="1818"/>
        <w:gridCol w:w="2100"/>
        <w:gridCol w:w="1945"/>
        <w:gridCol w:w="2072"/>
      </w:tblGrid>
      <w:tr>
        <w:trPr>
          <w:trHeight w:val="344" w:hRule="atLeast"/>
        </w:trPr>
        <w:tc>
          <w:tcPr>
            <w:tcW w:w="2538" w:type="dxa"/>
            <w:tcBorders>
              <w:top w:val="single" w:sz="12" w:space="0" w:color="1F6B16"/>
              <w:bottom w:val="single" w:sz="8" w:space="0" w:color="69BD28"/>
            </w:tcBorders>
            <w:shd w:val="clear" w:color="auto" w:fill="006A4D"/>
          </w:tcPr>
          <w:p>
            <w:pPr>
              <w:pStyle w:val="TableParagraph"/>
              <w:spacing w:before="63"/>
              <w:ind w:left="75" w:right="95"/>
              <w:rPr>
                <w:b/>
                <w:sz w:val="18"/>
              </w:rPr>
            </w:pPr>
            <w:r>
              <w:rPr>
                <w:b/>
                <w:color w:val="FFFFFF"/>
                <w:w w:val="105"/>
                <w:sz w:val="18"/>
              </w:rPr>
              <w:t>Asset/ Property Name</w:t>
            </w:r>
          </w:p>
        </w:tc>
        <w:tc>
          <w:tcPr>
            <w:tcW w:w="1818" w:type="dxa"/>
            <w:tcBorders>
              <w:top w:val="single" w:sz="12" w:space="0" w:color="1F6B16"/>
              <w:bottom w:val="single" w:sz="8" w:space="0" w:color="69BD28"/>
            </w:tcBorders>
            <w:shd w:val="clear" w:color="auto" w:fill="006A4D"/>
          </w:tcPr>
          <w:p>
            <w:pPr>
              <w:pStyle w:val="TableParagraph"/>
              <w:spacing w:before="63"/>
              <w:ind w:left="431"/>
              <w:jc w:val="left"/>
              <w:rPr>
                <w:b/>
                <w:sz w:val="18"/>
              </w:rPr>
            </w:pPr>
            <w:r>
              <w:rPr>
                <w:b/>
                <w:color w:val="FFFFFF"/>
                <w:w w:val="105"/>
                <w:sz w:val="18"/>
              </w:rPr>
              <w:t>Particular</w:t>
            </w:r>
          </w:p>
        </w:tc>
        <w:tc>
          <w:tcPr>
            <w:tcW w:w="2100" w:type="dxa"/>
            <w:tcBorders>
              <w:top w:val="single" w:sz="12" w:space="0" w:color="1F6B16"/>
              <w:bottom w:val="single" w:sz="8" w:space="0" w:color="69BD28"/>
            </w:tcBorders>
            <w:shd w:val="clear" w:color="auto" w:fill="006A4D"/>
          </w:tcPr>
          <w:p>
            <w:pPr>
              <w:pStyle w:val="TableParagraph"/>
              <w:spacing w:before="63"/>
              <w:ind w:left="498"/>
              <w:jc w:val="left"/>
              <w:rPr>
                <w:b/>
                <w:sz w:val="18"/>
              </w:rPr>
            </w:pPr>
            <w:r>
              <w:rPr>
                <w:b/>
                <w:color w:val="FFFFFF"/>
                <w:w w:val="105"/>
                <w:sz w:val="18"/>
              </w:rPr>
              <w:t>Proportion</w:t>
            </w:r>
          </w:p>
        </w:tc>
        <w:tc>
          <w:tcPr>
            <w:tcW w:w="1945" w:type="dxa"/>
            <w:tcBorders>
              <w:top w:val="single" w:sz="12" w:space="0" w:color="1F6B16"/>
              <w:bottom w:val="single" w:sz="8" w:space="0" w:color="69BD28"/>
            </w:tcBorders>
            <w:shd w:val="clear" w:color="auto" w:fill="006A4D"/>
          </w:tcPr>
          <w:p>
            <w:pPr>
              <w:pStyle w:val="TableParagraph"/>
              <w:spacing w:before="63"/>
              <w:ind w:left="728" w:right="798"/>
              <w:rPr>
                <w:b/>
                <w:sz w:val="18"/>
              </w:rPr>
            </w:pPr>
            <w:r>
              <w:rPr>
                <w:b/>
                <w:color w:val="FFFFFF"/>
                <w:w w:val="105"/>
                <w:sz w:val="18"/>
              </w:rPr>
              <w:t>Cost</w:t>
            </w:r>
          </w:p>
        </w:tc>
        <w:tc>
          <w:tcPr>
            <w:tcW w:w="2072" w:type="dxa"/>
            <w:tcBorders>
              <w:top w:val="single" w:sz="12" w:space="0" w:color="1F6B16"/>
              <w:bottom w:val="single" w:sz="8" w:space="0" w:color="69BD28"/>
            </w:tcBorders>
            <w:shd w:val="clear" w:color="auto" w:fill="006A4D"/>
          </w:tcPr>
          <w:p>
            <w:pPr>
              <w:pStyle w:val="TableParagraph"/>
              <w:spacing w:before="63"/>
              <w:ind w:left="685" w:right="664"/>
              <w:rPr>
                <w:b/>
                <w:sz w:val="18"/>
              </w:rPr>
            </w:pPr>
            <w:r>
              <w:rPr>
                <w:b/>
                <w:color w:val="FFFFFF"/>
                <w:w w:val="105"/>
                <w:sz w:val="18"/>
              </w:rPr>
              <w:t>WACC</w:t>
            </w:r>
          </w:p>
        </w:tc>
      </w:tr>
      <w:tr>
        <w:trPr>
          <w:trHeight w:val="690" w:hRule="atLeast"/>
        </w:trPr>
        <w:tc>
          <w:tcPr>
            <w:tcW w:w="2538" w:type="dxa"/>
            <w:shd w:val="clear" w:color="auto" w:fill="69BD28"/>
          </w:tcPr>
          <w:p>
            <w:pPr>
              <w:pStyle w:val="TableParagraph"/>
              <w:spacing w:before="6"/>
              <w:jc w:val="left"/>
              <w:rPr>
                <w:sz w:val="20"/>
              </w:rPr>
            </w:pPr>
          </w:p>
          <w:p>
            <w:pPr>
              <w:pStyle w:val="TableParagraph"/>
              <w:ind w:left="79" w:right="95"/>
              <w:rPr>
                <w:sz w:val="18"/>
              </w:rPr>
            </w:pPr>
            <w:r>
              <w:rPr>
                <w:color w:val="FFFFFF"/>
                <w:sz w:val="18"/>
              </w:rPr>
              <w:t>Embassy Manyata, Bengaluru</w:t>
            </w:r>
          </w:p>
        </w:tc>
        <w:tc>
          <w:tcPr>
            <w:tcW w:w="1818" w:type="dxa"/>
            <w:tcBorders>
              <w:top w:val="single" w:sz="8" w:space="0" w:color="69BD28"/>
              <w:bottom w:val="single" w:sz="8" w:space="0" w:color="69BD28"/>
            </w:tcBorders>
          </w:tcPr>
          <w:p>
            <w:pPr>
              <w:pStyle w:val="TableParagraph"/>
              <w:spacing w:before="46"/>
              <w:ind w:left="602" w:right="668"/>
              <w:rPr>
                <w:sz w:val="18"/>
              </w:rPr>
            </w:pPr>
            <w:r>
              <w:rPr>
                <w:sz w:val="18"/>
              </w:rPr>
              <w:t>Debt</w:t>
            </w:r>
          </w:p>
          <w:p>
            <w:pPr>
              <w:pStyle w:val="TableParagraph"/>
              <w:spacing w:before="146"/>
              <w:ind w:left="602" w:right="668"/>
              <w:rPr>
                <w:sz w:val="18"/>
              </w:rPr>
            </w:pPr>
            <w:r>
              <w:rPr>
                <w:sz w:val="18"/>
              </w:rPr>
              <w:t>Equity</w:t>
            </w:r>
          </w:p>
        </w:tc>
        <w:tc>
          <w:tcPr>
            <w:tcW w:w="2100" w:type="dxa"/>
            <w:tcBorders>
              <w:top w:val="single" w:sz="8" w:space="0" w:color="69BD28"/>
              <w:bottom w:val="single" w:sz="8" w:space="0" w:color="69BD28"/>
            </w:tcBorders>
          </w:tcPr>
          <w:p>
            <w:pPr>
              <w:pStyle w:val="TableParagraph"/>
              <w:spacing w:before="46"/>
              <w:ind w:left="675"/>
              <w:jc w:val="left"/>
              <w:rPr>
                <w:sz w:val="18"/>
              </w:rPr>
            </w:pPr>
            <w:r>
              <w:rPr>
                <w:w w:val="110"/>
                <w:sz w:val="18"/>
              </w:rPr>
              <w:t>50.00%</w:t>
            </w:r>
          </w:p>
          <w:p>
            <w:pPr>
              <w:pStyle w:val="TableParagraph"/>
              <w:spacing w:before="146"/>
              <w:ind w:left="675"/>
              <w:jc w:val="left"/>
              <w:rPr>
                <w:sz w:val="18"/>
              </w:rPr>
            </w:pPr>
            <w:r>
              <w:rPr>
                <w:w w:val="110"/>
                <w:sz w:val="18"/>
              </w:rPr>
              <w:t>50.00%</w:t>
            </w:r>
          </w:p>
        </w:tc>
        <w:tc>
          <w:tcPr>
            <w:tcW w:w="1945" w:type="dxa"/>
            <w:tcBorders>
              <w:top w:val="single" w:sz="8" w:space="0" w:color="69BD28"/>
              <w:bottom w:val="single" w:sz="8" w:space="0" w:color="69BD28"/>
            </w:tcBorders>
          </w:tcPr>
          <w:p>
            <w:pPr>
              <w:pStyle w:val="TableParagraph"/>
              <w:spacing w:before="46"/>
              <w:ind w:left="630"/>
              <w:jc w:val="left"/>
              <w:rPr>
                <w:sz w:val="18"/>
              </w:rPr>
            </w:pPr>
            <w:r>
              <w:rPr>
                <w:w w:val="110"/>
                <w:sz w:val="18"/>
              </w:rPr>
              <w:t>10.50%</w:t>
            </w:r>
          </w:p>
          <w:p>
            <w:pPr>
              <w:pStyle w:val="TableParagraph"/>
              <w:spacing w:before="146"/>
              <w:ind w:left="630"/>
              <w:jc w:val="left"/>
              <w:rPr>
                <w:sz w:val="18"/>
              </w:rPr>
            </w:pPr>
            <w:r>
              <w:rPr>
                <w:w w:val="110"/>
                <w:sz w:val="18"/>
              </w:rPr>
              <w:t>14.75%</w:t>
            </w:r>
          </w:p>
        </w:tc>
        <w:tc>
          <w:tcPr>
            <w:tcW w:w="2072" w:type="dxa"/>
            <w:tcBorders>
              <w:top w:val="single" w:sz="8" w:space="0" w:color="69BD28"/>
              <w:bottom w:val="single" w:sz="8" w:space="0" w:color="69BD28"/>
            </w:tcBorders>
          </w:tcPr>
          <w:p>
            <w:pPr>
              <w:pStyle w:val="TableParagraph"/>
              <w:spacing w:before="6"/>
              <w:jc w:val="left"/>
              <w:rPr>
                <w:sz w:val="20"/>
              </w:rPr>
            </w:pPr>
          </w:p>
          <w:p>
            <w:pPr>
              <w:pStyle w:val="TableParagraph"/>
              <w:ind w:left="685" w:right="667"/>
              <w:rPr>
                <w:sz w:val="18"/>
              </w:rPr>
            </w:pPr>
            <w:r>
              <w:rPr>
                <w:w w:val="110"/>
                <w:sz w:val="18"/>
              </w:rPr>
              <w:t>13.60%*</w:t>
            </w:r>
          </w:p>
        </w:tc>
      </w:tr>
      <w:tr>
        <w:trPr>
          <w:trHeight w:val="747" w:hRule="atLeast"/>
        </w:trPr>
        <w:tc>
          <w:tcPr>
            <w:tcW w:w="2538" w:type="dxa"/>
            <w:shd w:val="clear" w:color="auto" w:fill="69BD28"/>
          </w:tcPr>
          <w:p>
            <w:pPr>
              <w:pStyle w:val="TableParagraph"/>
              <w:spacing w:line="259" w:lineRule="auto" w:before="152"/>
              <w:ind w:left="857" w:right="81" w:hanging="721"/>
              <w:jc w:val="left"/>
              <w:rPr>
                <w:sz w:val="18"/>
              </w:rPr>
            </w:pPr>
            <w:r>
              <w:rPr>
                <w:color w:val="FFFFFF"/>
                <w:sz w:val="18"/>
              </w:rPr>
              <w:t>Hilton at Embassy GolfLinks, Bengaluru</w:t>
            </w:r>
          </w:p>
        </w:tc>
        <w:tc>
          <w:tcPr>
            <w:tcW w:w="1818" w:type="dxa"/>
            <w:tcBorders>
              <w:top w:val="single" w:sz="8" w:space="0" w:color="69BD28"/>
              <w:bottom w:val="single" w:sz="8" w:space="0" w:color="69BD28"/>
            </w:tcBorders>
          </w:tcPr>
          <w:p>
            <w:pPr>
              <w:pStyle w:val="TableParagraph"/>
              <w:spacing w:before="75"/>
              <w:ind w:left="602" w:right="668"/>
              <w:rPr>
                <w:sz w:val="18"/>
              </w:rPr>
            </w:pPr>
            <w:r>
              <w:rPr>
                <w:sz w:val="18"/>
              </w:rPr>
              <w:t>Debt</w:t>
            </w:r>
          </w:p>
          <w:p>
            <w:pPr>
              <w:pStyle w:val="TableParagraph"/>
              <w:spacing w:before="175"/>
              <w:ind w:left="602" w:right="668"/>
              <w:rPr>
                <w:sz w:val="18"/>
              </w:rPr>
            </w:pPr>
            <w:r>
              <w:rPr>
                <w:sz w:val="18"/>
              </w:rPr>
              <w:t>Equity</w:t>
            </w:r>
          </w:p>
        </w:tc>
        <w:tc>
          <w:tcPr>
            <w:tcW w:w="2100" w:type="dxa"/>
            <w:tcBorders>
              <w:top w:val="single" w:sz="8" w:space="0" w:color="69BD28"/>
              <w:bottom w:val="single" w:sz="8" w:space="0" w:color="69BD28"/>
            </w:tcBorders>
          </w:tcPr>
          <w:p>
            <w:pPr>
              <w:pStyle w:val="TableParagraph"/>
              <w:spacing w:before="75"/>
              <w:ind w:left="675"/>
              <w:jc w:val="left"/>
              <w:rPr>
                <w:sz w:val="18"/>
              </w:rPr>
            </w:pPr>
            <w:r>
              <w:rPr>
                <w:w w:val="110"/>
                <w:sz w:val="18"/>
              </w:rPr>
              <w:t>50.00%</w:t>
            </w:r>
          </w:p>
          <w:p>
            <w:pPr>
              <w:pStyle w:val="TableParagraph"/>
              <w:spacing w:before="175"/>
              <w:ind w:left="675"/>
              <w:jc w:val="left"/>
              <w:rPr>
                <w:sz w:val="18"/>
              </w:rPr>
            </w:pPr>
            <w:r>
              <w:rPr>
                <w:w w:val="110"/>
                <w:sz w:val="18"/>
              </w:rPr>
              <w:t>50.00%</w:t>
            </w:r>
          </w:p>
        </w:tc>
        <w:tc>
          <w:tcPr>
            <w:tcW w:w="1945" w:type="dxa"/>
            <w:tcBorders>
              <w:top w:val="single" w:sz="8" w:space="0" w:color="69BD28"/>
              <w:bottom w:val="single" w:sz="8" w:space="0" w:color="69BD28"/>
            </w:tcBorders>
          </w:tcPr>
          <w:p>
            <w:pPr>
              <w:pStyle w:val="TableParagraph"/>
              <w:spacing w:before="75"/>
              <w:ind w:left="630"/>
              <w:jc w:val="left"/>
              <w:rPr>
                <w:sz w:val="18"/>
              </w:rPr>
            </w:pPr>
            <w:r>
              <w:rPr>
                <w:w w:val="110"/>
                <w:sz w:val="18"/>
              </w:rPr>
              <w:t>10.50%</w:t>
            </w:r>
          </w:p>
          <w:p>
            <w:pPr>
              <w:pStyle w:val="TableParagraph"/>
              <w:spacing w:before="175"/>
              <w:ind w:left="630"/>
              <w:jc w:val="left"/>
              <w:rPr>
                <w:sz w:val="18"/>
              </w:rPr>
            </w:pPr>
            <w:r>
              <w:rPr>
                <w:w w:val="110"/>
                <w:sz w:val="18"/>
              </w:rPr>
              <w:t>14.75%</w:t>
            </w:r>
          </w:p>
        </w:tc>
        <w:tc>
          <w:tcPr>
            <w:tcW w:w="2072" w:type="dxa"/>
            <w:tcBorders>
              <w:top w:val="single" w:sz="8" w:space="0" w:color="69BD28"/>
              <w:bottom w:val="single" w:sz="8" w:space="0" w:color="69BD28"/>
            </w:tcBorders>
          </w:tcPr>
          <w:p>
            <w:pPr>
              <w:pStyle w:val="TableParagraph"/>
              <w:jc w:val="left"/>
              <w:rPr>
                <w:sz w:val="23"/>
              </w:rPr>
            </w:pPr>
          </w:p>
          <w:p>
            <w:pPr>
              <w:pStyle w:val="TableParagraph"/>
              <w:ind w:left="685" w:right="666"/>
              <w:rPr>
                <w:sz w:val="18"/>
              </w:rPr>
            </w:pPr>
            <w:r>
              <w:rPr>
                <w:w w:val="110"/>
                <w:sz w:val="18"/>
              </w:rPr>
              <w:t>12.63%</w:t>
            </w:r>
          </w:p>
        </w:tc>
      </w:tr>
      <w:tr>
        <w:trPr>
          <w:trHeight w:val="750" w:hRule="atLeast"/>
        </w:trPr>
        <w:tc>
          <w:tcPr>
            <w:tcW w:w="2538" w:type="dxa"/>
            <w:shd w:val="clear" w:color="auto" w:fill="69BD28"/>
          </w:tcPr>
          <w:p>
            <w:pPr>
              <w:pStyle w:val="TableParagraph"/>
              <w:jc w:val="left"/>
              <w:rPr>
                <w:sz w:val="23"/>
              </w:rPr>
            </w:pPr>
          </w:p>
          <w:p>
            <w:pPr>
              <w:pStyle w:val="TableParagraph"/>
              <w:spacing w:before="1"/>
              <w:ind w:left="73" w:right="95"/>
              <w:rPr>
                <w:sz w:val="18"/>
              </w:rPr>
            </w:pPr>
            <w:r>
              <w:rPr>
                <w:color w:val="FFFFFF"/>
                <w:sz w:val="18"/>
              </w:rPr>
              <w:t>Embassy One, Bengaluru</w:t>
            </w:r>
          </w:p>
        </w:tc>
        <w:tc>
          <w:tcPr>
            <w:tcW w:w="1818" w:type="dxa"/>
            <w:tcBorders>
              <w:top w:val="single" w:sz="8" w:space="0" w:color="69BD28"/>
              <w:bottom w:val="single" w:sz="8" w:space="0" w:color="69BD28"/>
            </w:tcBorders>
          </w:tcPr>
          <w:p>
            <w:pPr>
              <w:pStyle w:val="TableParagraph"/>
              <w:spacing w:before="75"/>
              <w:ind w:left="602" w:right="668"/>
              <w:rPr>
                <w:sz w:val="18"/>
              </w:rPr>
            </w:pPr>
            <w:r>
              <w:rPr>
                <w:sz w:val="18"/>
              </w:rPr>
              <w:t>Debt</w:t>
            </w:r>
          </w:p>
          <w:p>
            <w:pPr>
              <w:pStyle w:val="TableParagraph"/>
              <w:spacing w:before="176"/>
              <w:ind w:left="602" w:right="668"/>
              <w:rPr>
                <w:sz w:val="18"/>
              </w:rPr>
            </w:pPr>
            <w:r>
              <w:rPr>
                <w:sz w:val="18"/>
              </w:rPr>
              <w:t>Equity</w:t>
            </w:r>
          </w:p>
        </w:tc>
        <w:tc>
          <w:tcPr>
            <w:tcW w:w="2100" w:type="dxa"/>
            <w:tcBorders>
              <w:top w:val="single" w:sz="8" w:space="0" w:color="69BD28"/>
              <w:bottom w:val="single" w:sz="8" w:space="0" w:color="69BD28"/>
            </w:tcBorders>
          </w:tcPr>
          <w:p>
            <w:pPr>
              <w:pStyle w:val="TableParagraph"/>
              <w:spacing w:before="75"/>
              <w:ind w:left="675"/>
              <w:jc w:val="left"/>
              <w:rPr>
                <w:sz w:val="18"/>
              </w:rPr>
            </w:pPr>
            <w:r>
              <w:rPr>
                <w:w w:val="110"/>
                <w:sz w:val="18"/>
              </w:rPr>
              <w:t>50.00%</w:t>
            </w:r>
          </w:p>
          <w:p>
            <w:pPr>
              <w:pStyle w:val="TableParagraph"/>
              <w:spacing w:before="176"/>
              <w:ind w:left="675"/>
              <w:jc w:val="left"/>
              <w:rPr>
                <w:sz w:val="18"/>
              </w:rPr>
            </w:pPr>
            <w:r>
              <w:rPr>
                <w:w w:val="110"/>
                <w:sz w:val="18"/>
              </w:rPr>
              <w:t>50.00%</w:t>
            </w:r>
          </w:p>
        </w:tc>
        <w:tc>
          <w:tcPr>
            <w:tcW w:w="1945" w:type="dxa"/>
            <w:tcBorders>
              <w:top w:val="single" w:sz="8" w:space="0" w:color="69BD28"/>
              <w:bottom w:val="single" w:sz="8" w:space="0" w:color="69BD28"/>
            </w:tcBorders>
          </w:tcPr>
          <w:p>
            <w:pPr>
              <w:pStyle w:val="TableParagraph"/>
              <w:spacing w:before="75"/>
              <w:ind w:left="630"/>
              <w:jc w:val="left"/>
              <w:rPr>
                <w:sz w:val="18"/>
              </w:rPr>
            </w:pPr>
            <w:r>
              <w:rPr>
                <w:w w:val="110"/>
                <w:sz w:val="18"/>
              </w:rPr>
              <w:t>10.50%</w:t>
            </w:r>
          </w:p>
          <w:p>
            <w:pPr>
              <w:pStyle w:val="TableParagraph"/>
              <w:spacing w:before="176"/>
              <w:ind w:left="630"/>
              <w:jc w:val="left"/>
              <w:rPr>
                <w:sz w:val="18"/>
              </w:rPr>
            </w:pPr>
            <w:r>
              <w:rPr>
                <w:w w:val="110"/>
                <w:sz w:val="18"/>
              </w:rPr>
              <w:t>14.75%</w:t>
            </w:r>
          </w:p>
        </w:tc>
        <w:tc>
          <w:tcPr>
            <w:tcW w:w="2072" w:type="dxa"/>
            <w:tcBorders>
              <w:top w:val="single" w:sz="8" w:space="0" w:color="69BD28"/>
              <w:bottom w:val="single" w:sz="8" w:space="0" w:color="69BD28"/>
            </w:tcBorders>
          </w:tcPr>
          <w:p>
            <w:pPr>
              <w:pStyle w:val="TableParagraph"/>
              <w:jc w:val="left"/>
              <w:rPr>
                <w:sz w:val="23"/>
              </w:rPr>
            </w:pPr>
          </w:p>
          <w:p>
            <w:pPr>
              <w:pStyle w:val="TableParagraph"/>
              <w:spacing w:before="1"/>
              <w:ind w:left="685" w:right="666"/>
              <w:rPr>
                <w:sz w:val="18"/>
              </w:rPr>
            </w:pPr>
            <w:r>
              <w:rPr>
                <w:w w:val="110"/>
                <w:sz w:val="18"/>
              </w:rPr>
              <w:t>12.63%</w:t>
            </w:r>
          </w:p>
        </w:tc>
      </w:tr>
    </w:tbl>
    <w:p>
      <w:pPr>
        <w:spacing w:before="3"/>
        <w:ind w:left="280" w:right="0" w:firstLine="0"/>
        <w:jc w:val="left"/>
        <w:rPr>
          <w:i/>
          <w:sz w:val="18"/>
        </w:rPr>
      </w:pPr>
      <w:r>
        <w:rPr>
          <w:i/>
          <w:sz w:val="18"/>
        </w:rPr>
        <w:t>* Additional risk premium adopted towards construction and operations commencement</w:t>
      </w:r>
    </w:p>
    <w:p>
      <w:pPr>
        <w:pStyle w:val="BodyText"/>
        <w:spacing w:before="9"/>
        <w:rPr>
          <w:i/>
          <w:sz w:val="26"/>
        </w:rPr>
      </w:pPr>
    </w:p>
    <w:p>
      <w:pPr>
        <w:pStyle w:val="BodyText"/>
        <w:spacing w:line="321" w:lineRule="auto"/>
        <w:ind w:left="911" w:right="634"/>
        <w:jc w:val="both"/>
      </w:pPr>
      <w:r>
        <w:rPr/>
        <w:t>The</w:t>
      </w:r>
      <w:r>
        <w:rPr>
          <w:spacing w:val="-19"/>
        </w:rPr>
        <w:t> </w:t>
      </w:r>
      <w:r>
        <w:rPr/>
        <w:t>cash</w:t>
      </w:r>
      <w:r>
        <w:rPr>
          <w:spacing w:val="-18"/>
        </w:rPr>
        <w:t> </w:t>
      </w:r>
      <w:r>
        <w:rPr/>
        <w:t>flows</w:t>
      </w:r>
      <w:r>
        <w:rPr>
          <w:spacing w:val="-17"/>
        </w:rPr>
        <w:t> </w:t>
      </w:r>
      <w:r>
        <w:rPr/>
        <w:t>are</w:t>
      </w:r>
      <w:r>
        <w:rPr>
          <w:spacing w:val="-18"/>
        </w:rPr>
        <w:t> </w:t>
      </w:r>
      <w:r>
        <w:rPr/>
        <w:t>assumed</w:t>
      </w:r>
      <w:r>
        <w:rPr>
          <w:spacing w:val="-17"/>
        </w:rPr>
        <w:t> </w:t>
      </w:r>
      <w:r>
        <w:rPr/>
        <w:t>to</w:t>
      </w:r>
      <w:r>
        <w:rPr>
          <w:spacing w:val="-18"/>
        </w:rPr>
        <w:t> </w:t>
      </w:r>
      <w:r>
        <w:rPr/>
        <w:t>realize</w:t>
      </w:r>
      <w:r>
        <w:rPr>
          <w:spacing w:val="-18"/>
        </w:rPr>
        <w:t> </w:t>
      </w:r>
      <w:r>
        <w:rPr/>
        <w:t>evenly</w:t>
      </w:r>
      <w:r>
        <w:rPr>
          <w:spacing w:val="-17"/>
        </w:rPr>
        <w:t> </w:t>
      </w:r>
      <w:r>
        <w:rPr/>
        <w:t>during</w:t>
      </w:r>
      <w:r>
        <w:rPr>
          <w:spacing w:val="-17"/>
        </w:rPr>
        <w:t> </w:t>
      </w:r>
      <w:r>
        <w:rPr/>
        <w:t>the</w:t>
      </w:r>
      <w:r>
        <w:rPr>
          <w:spacing w:val="-19"/>
        </w:rPr>
        <w:t> </w:t>
      </w:r>
      <w:r>
        <w:rPr/>
        <w:t>course</w:t>
      </w:r>
      <w:r>
        <w:rPr>
          <w:spacing w:val="-18"/>
        </w:rPr>
        <w:t> </w:t>
      </w:r>
      <w:r>
        <w:rPr/>
        <w:t>of</w:t>
      </w:r>
      <w:r>
        <w:rPr>
          <w:spacing w:val="-17"/>
        </w:rPr>
        <w:t> </w:t>
      </w:r>
      <w:r>
        <w:rPr/>
        <w:t>every</w:t>
      </w:r>
      <w:r>
        <w:rPr>
          <w:spacing w:val="-17"/>
        </w:rPr>
        <w:t> </w:t>
      </w:r>
      <w:r>
        <w:rPr/>
        <w:t>quarter,</w:t>
      </w:r>
      <w:r>
        <w:rPr>
          <w:spacing w:val="-17"/>
        </w:rPr>
        <w:t> </w:t>
      </w:r>
      <w:r>
        <w:rPr/>
        <w:t>hence</w:t>
      </w:r>
      <w:r>
        <w:rPr>
          <w:spacing w:val="-19"/>
        </w:rPr>
        <w:t> </w:t>
      </w:r>
      <w:r>
        <w:rPr/>
        <w:t>a</w:t>
      </w:r>
      <w:r>
        <w:rPr>
          <w:spacing w:val="-17"/>
        </w:rPr>
        <w:t> </w:t>
      </w:r>
      <w:r>
        <w:rPr/>
        <w:t>mid-quarter discounting</w:t>
      </w:r>
      <w:r>
        <w:rPr>
          <w:spacing w:val="-20"/>
        </w:rPr>
        <w:t> </w:t>
      </w:r>
      <w:r>
        <w:rPr/>
        <w:t>convention</w:t>
      </w:r>
      <w:r>
        <w:rPr>
          <w:spacing w:val="-19"/>
        </w:rPr>
        <w:t> </w:t>
      </w:r>
      <w:r>
        <w:rPr/>
        <w:t>has</w:t>
      </w:r>
      <w:r>
        <w:rPr>
          <w:spacing w:val="-20"/>
        </w:rPr>
        <w:t> </w:t>
      </w:r>
      <w:r>
        <w:rPr/>
        <w:t>been</w:t>
      </w:r>
      <w:r>
        <w:rPr>
          <w:spacing w:val="-19"/>
        </w:rPr>
        <w:t> </w:t>
      </w:r>
      <w:r>
        <w:rPr/>
        <w:t>adopted</w:t>
      </w:r>
      <w:r>
        <w:rPr>
          <w:spacing w:val="-20"/>
        </w:rPr>
        <w:t> </w:t>
      </w:r>
      <w:r>
        <w:rPr/>
        <w:t>for</w:t>
      </w:r>
      <w:r>
        <w:rPr>
          <w:spacing w:val="-21"/>
        </w:rPr>
        <w:t> </w:t>
      </w:r>
      <w:r>
        <w:rPr/>
        <w:t>the</w:t>
      </w:r>
      <w:r>
        <w:rPr>
          <w:spacing w:val="-20"/>
        </w:rPr>
        <w:t> </w:t>
      </w:r>
      <w:r>
        <w:rPr/>
        <w:t>purpose</w:t>
      </w:r>
      <w:r>
        <w:rPr>
          <w:spacing w:val="-21"/>
        </w:rPr>
        <w:t> </w:t>
      </w:r>
      <w:r>
        <w:rPr/>
        <w:t>of</w:t>
      </w:r>
      <w:r>
        <w:rPr>
          <w:spacing w:val="-19"/>
        </w:rPr>
        <w:t> </w:t>
      </w:r>
      <w:r>
        <w:rPr/>
        <w:t>this</w:t>
      </w:r>
      <w:r>
        <w:rPr>
          <w:spacing w:val="-20"/>
        </w:rPr>
        <w:t> </w:t>
      </w:r>
      <w:r>
        <w:rPr/>
        <w:t>valuation.</w:t>
      </w:r>
      <w:r>
        <w:rPr>
          <w:spacing w:val="-19"/>
        </w:rPr>
        <w:t> </w:t>
      </w:r>
      <w:r>
        <w:rPr/>
        <w:t>Additionally,</w:t>
      </w:r>
      <w:r>
        <w:rPr>
          <w:spacing w:val="-21"/>
        </w:rPr>
        <w:t> </w:t>
      </w:r>
      <w:r>
        <w:rPr/>
        <w:t>we</w:t>
      </w:r>
      <w:r>
        <w:rPr>
          <w:spacing w:val="-19"/>
        </w:rPr>
        <w:t> </w:t>
      </w:r>
      <w:r>
        <w:rPr/>
        <w:t>have</w:t>
      </w:r>
      <w:r>
        <w:rPr>
          <w:spacing w:val="-19"/>
        </w:rPr>
        <w:t> </w:t>
      </w:r>
      <w:r>
        <w:rPr/>
        <w:t>also not</w:t>
      </w:r>
      <w:r>
        <w:rPr>
          <w:spacing w:val="-24"/>
        </w:rPr>
        <w:t> </w:t>
      </w:r>
      <w:r>
        <w:rPr/>
        <w:t>factored</w:t>
      </w:r>
      <w:r>
        <w:rPr>
          <w:spacing w:val="-24"/>
        </w:rPr>
        <w:t> </w:t>
      </w:r>
      <w:r>
        <w:rPr/>
        <w:t>any</w:t>
      </w:r>
      <w:r>
        <w:rPr>
          <w:spacing w:val="-24"/>
        </w:rPr>
        <w:t> </w:t>
      </w:r>
      <w:r>
        <w:rPr/>
        <w:t>cash</w:t>
      </w:r>
      <w:r>
        <w:rPr>
          <w:spacing w:val="-24"/>
        </w:rPr>
        <w:t> </w:t>
      </w:r>
      <w:r>
        <w:rPr/>
        <w:t>flows</w:t>
      </w:r>
      <w:r>
        <w:rPr>
          <w:spacing w:val="-24"/>
        </w:rPr>
        <w:t> </w:t>
      </w:r>
      <w:r>
        <w:rPr/>
        <w:t>attributable</w:t>
      </w:r>
      <w:r>
        <w:rPr>
          <w:spacing w:val="-25"/>
        </w:rPr>
        <w:t> </w:t>
      </w:r>
      <w:r>
        <w:rPr/>
        <w:t>to</w:t>
      </w:r>
      <w:r>
        <w:rPr>
          <w:spacing w:val="-24"/>
        </w:rPr>
        <w:t> </w:t>
      </w:r>
      <w:r>
        <w:rPr/>
        <w:t>working</w:t>
      </w:r>
      <w:r>
        <w:rPr>
          <w:spacing w:val="-24"/>
        </w:rPr>
        <w:t> </w:t>
      </w:r>
      <w:r>
        <w:rPr/>
        <w:t>capital</w:t>
      </w:r>
      <w:r>
        <w:rPr>
          <w:spacing w:val="-25"/>
        </w:rPr>
        <w:t> </w:t>
      </w:r>
      <w:r>
        <w:rPr/>
        <w:t>requirement/expenses</w:t>
      </w:r>
      <w:r>
        <w:rPr>
          <w:spacing w:val="-23"/>
        </w:rPr>
        <w:t> </w:t>
      </w:r>
      <w:r>
        <w:rPr/>
        <w:t>for</w:t>
      </w:r>
      <w:r>
        <w:rPr>
          <w:spacing w:val="-25"/>
        </w:rPr>
        <w:t> </w:t>
      </w:r>
      <w:r>
        <w:rPr/>
        <w:t>valuation</w:t>
      </w:r>
      <w:r>
        <w:rPr>
          <w:spacing w:val="-23"/>
        </w:rPr>
        <w:t> </w:t>
      </w:r>
      <w:r>
        <w:rPr/>
        <w:t>as</w:t>
      </w:r>
      <w:r>
        <w:rPr>
          <w:spacing w:val="-24"/>
        </w:rPr>
        <w:t> </w:t>
      </w:r>
      <w:r>
        <w:rPr/>
        <w:t>the same is</w:t>
      </w:r>
      <w:r>
        <w:rPr>
          <w:spacing w:val="-5"/>
        </w:rPr>
        <w:t> </w:t>
      </w:r>
      <w:r>
        <w:rPr/>
        <w:t>immaterial.</w:t>
      </w:r>
    </w:p>
    <w:p>
      <w:pPr>
        <w:spacing w:after="0" w:line="321" w:lineRule="auto"/>
        <w:jc w:val="both"/>
        <w:sectPr>
          <w:pgSz w:w="11910" w:h="16840"/>
          <w:pgMar w:header="720" w:footer="842" w:top="1520" w:bottom="1040" w:left="440" w:right="80"/>
        </w:sectPr>
      </w:pPr>
    </w:p>
    <w:p>
      <w:pPr>
        <w:pStyle w:val="BodyText"/>
        <w:spacing w:before="5"/>
      </w:pPr>
    </w:p>
    <w:p>
      <w:pPr>
        <w:pStyle w:val="Heading5"/>
        <w:numPr>
          <w:ilvl w:val="0"/>
          <w:numId w:val="14"/>
        </w:numPr>
        <w:tabs>
          <w:tab w:pos="712" w:val="left" w:leader="none"/>
          <w:tab w:pos="713" w:val="left" w:leader="none"/>
        </w:tabs>
        <w:spacing w:line="240" w:lineRule="auto" w:before="106" w:after="0"/>
        <w:ind w:left="712" w:right="0" w:hanging="433"/>
        <w:jc w:val="left"/>
        <w:rPr>
          <w:rFonts w:ascii="Arial"/>
        </w:rPr>
      </w:pPr>
      <w:bookmarkStart w:name="_bookmark28" w:id="56"/>
      <w:bookmarkEnd w:id="56"/>
      <w:r>
        <w:rPr>
          <w:b w:val="0"/>
        </w:rPr>
      </w:r>
      <w:bookmarkStart w:name="_bookmark28" w:id="57"/>
      <w:bookmarkEnd w:id="57"/>
      <w:r>
        <w:rPr>
          <w:rFonts w:ascii="Arial"/>
          <w:color w:val="1F664D"/>
        </w:rPr>
        <w:t>V</w:t>
      </w:r>
      <w:r>
        <w:rPr>
          <w:rFonts w:ascii="Arial"/>
          <w:color w:val="1F664D"/>
        </w:rPr>
        <w:t>aluation</w:t>
      </w:r>
      <w:r>
        <w:rPr>
          <w:rFonts w:ascii="Arial"/>
          <w:color w:val="1F664D"/>
          <w:spacing w:val="5"/>
        </w:rPr>
        <w:t> </w:t>
      </w:r>
      <w:r>
        <w:rPr>
          <w:rFonts w:ascii="Arial"/>
          <w:color w:val="1F664D"/>
        </w:rPr>
        <w:t>Certificate</w:t>
      </w:r>
    </w:p>
    <w:p>
      <w:pPr>
        <w:pStyle w:val="BodyText"/>
        <w:spacing w:before="8"/>
        <w:rPr>
          <w:rFonts w:ascii="Arial"/>
          <w:b/>
          <w:sz w:val="28"/>
        </w:rPr>
      </w:pPr>
    </w:p>
    <w:p>
      <w:pPr>
        <w:pStyle w:val="ListParagraph"/>
        <w:numPr>
          <w:ilvl w:val="1"/>
          <w:numId w:val="14"/>
        </w:numPr>
        <w:tabs>
          <w:tab w:pos="856" w:val="left" w:leader="none"/>
          <w:tab w:pos="857" w:val="left" w:leader="none"/>
        </w:tabs>
        <w:spacing w:line="240" w:lineRule="auto" w:before="0" w:after="0"/>
        <w:ind w:left="856" w:right="0" w:hanging="577"/>
        <w:jc w:val="left"/>
        <w:rPr>
          <w:color w:val="1F6647"/>
          <w:sz w:val="22"/>
        </w:rPr>
      </w:pPr>
      <w:bookmarkStart w:name="_bookmark29" w:id="58"/>
      <w:bookmarkEnd w:id="58"/>
      <w:r>
        <w:rPr/>
      </w:r>
      <w:bookmarkStart w:name="_bookmark29" w:id="59"/>
      <w:bookmarkEnd w:id="59"/>
      <w:r>
        <w:rPr>
          <w:color w:val="1F6647"/>
          <w:w w:val="105"/>
          <w:sz w:val="22"/>
        </w:rPr>
        <w:t>E</w:t>
      </w:r>
      <w:r>
        <w:rPr>
          <w:color w:val="1F6647"/>
          <w:w w:val="105"/>
          <w:sz w:val="22"/>
        </w:rPr>
        <w:t>mbassy</w:t>
      </w:r>
      <w:r>
        <w:rPr>
          <w:color w:val="1F6647"/>
          <w:spacing w:val="-4"/>
          <w:w w:val="105"/>
          <w:sz w:val="22"/>
        </w:rPr>
        <w:t> </w:t>
      </w:r>
      <w:r>
        <w:rPr>
          <w:color w:val="1F6647"/>
          <w:w w:val="105"/>
          <w:sz w:val="22"/>
        </w:rPr>
        <w:t>Manyata</w:t>
      </w:r>
    </w:p>
    <w:p>
      <w:pPr>
        <w:tabs>
          <w:tab w:pos="2536" w:val="left" w:leader="none"/>
        </w:tabs>
        <w:spacing w:line="530" w:lineRule="atLeast" w:before="16"/>
        <w:ind w:left="392" w:right="811" w:firstLine="0"/>
        <w:jc w:val="left"/>
        <w:rPr>
          <w:sz w:val="18"/>
        </w:rPr>
      </w:pPr>
      <w:r>
        <w:rPr>
          <w:color w:val="006A4D"/>
          <w:sz w:val="18"/>
        </w:rPr>
        <w:t>Property</w:t>
      </w:r>
      <w:r>
        <w:rPr>
          <w:color w:val="006A4D"/>
          <w:spacing w:val="-15"/>
          <w:sz w:val="18"/>
        </w:rPr>
        <w:t> </w:t>
      </w:r>
      <w:r>
        <w:rPr>
          <w:color w:val="006A4D"/>
          <w:sz w:val="18"/>
        </w:rPr>
        <w:t>Name:</w:t>
        <w:tab/>
      </w:r>
      <w:r>
        <w:rPr>
          <w:sz w:val="18"/>
        </w:rPr>
        <w:t>Embassy Manyata is an Office Park located along Outer Ring Road, Nagavara, Bengaluru, Karnataka </w:t>
      </w:r>
      <w:r>
        <w:rPr>
          <w:color w:val="006A4D"/>
          <w:sz w:val="18"/>
        </w:rPr>
        <w:t>Property</w:t>
      </w:r>
      <w:r>
        <w:rPr>
          <w:color w:val="006A4D"/>
          <w:spacing w:val="-25"/>
          <w:sz w:val="18"/>
        </w:rPr>
        <w:t> </w:t>
      </w:r>
      <w:r>
        <w:rPr>
          <w:color w:val="006A4D"/>
          <w:sz w:val="18"/>
        </w:rPr>
        <w:t>Address:</w:t>
        <w:tab/>
      </w:r>
      <w:r>
        <w:rPr>
          <w:sz w:val="18"/>
        </w:rPr>
        <w:t>Nagavara</w:t>
      </w:r>
      <w:r>
        <w:rPr>
          <w:spacing w:val="20"/>
          <w:sz w:val="18"/>
        </w:rPr>
        <w:t> </w:t>
      </w:r>
      <w:r>
        <w:rPr>
          <w:sz w:val="18"/>
        </w:rPr>
        <w:t>Village,</w:t>
      </w:r>
      <w:r>
        <w:rPr>
          <w:spacing w:val="21"/>
          <w:sz w:val="18"/>
        </w:rPr>
        <w:t> </w:t>
      </w:r>
      <w:r>
        <w:rPr>
          <w:sz w:val="18"/>
        </w:rPr>
        <w:t>Kasaba</w:t>
      </w:r>
      <w:r>
        <w:rPr>
          <w:spacing w:val="23"/>
          <w:sz w:val="18"/>
        </w:rPr>
        <w:t> </w:t>
      </w:r>
      <w:r>
        <w:rPr>
          <w:sz w:val="18"/>
        </w:rPr>
        <w:t>Hobli,</w:t>
      </w:r>
      <w:r>
        <w:rPr>
          <w:spacing w:val="21"/>
          <w:sz w:val="18"/>
        </w:rPr>
        <w:t> </w:t>
      </w:r>
      <w:r>
        <w:rPr>
          <w:sz w:val="18"/>
        </w:rPr>
        <w:t>Bangalore</w:t>
      </w:r>
      <w:r>
        <w:rPr>
          <w:spacing w:val="22"/>
          <w:sz w:val="18"/>
        </w:rPr>
        <w:t> </w:t>
      </w:r>
      <w:r>
        <w:rPr>
          <w:sz w:val="18"/>
        </w:rPr>
        <w:t>North</w:t>
      </w:r>
      <w:r>
        <w:rPr>
          <w:spacing w:val="22"/>
          <w:sz w:val="18"/>
        </w:rPr>
        <w:t> </w:t>
      </w:r>
      <w:r>
        <w:rPr>
          <w:sz w:val="18"/>
        </w:rPr>
        <w:t>Taluk,</w:t>
      </w:r>
      <w:r>
        <w:rPr>
          <w:spacing w:val="27"/>
          <w:sz w:val="18"/>
        </w:rPr>
        <w:t> </w:t>
      </w:r>
      <w:r>
        <w:rPr>
          <w:sz w:val="18"/>
        </w:rPr>
        <w:t>Bengaluru</w:t>
      </w:r>
      <w:r>
        <w:rPr>
          <w:spacing w:val="22"/>
          <w:sz w:val="18"/>
        </w:rPr>
        <w:t> </w:t>
      </w:r>
      <w:r>
        <w:rPr>
          <w:sz w:val="18"/>
        </w:rPr>
        <w:t>District</w:t>
      </w:r>
      <w:r>
        <w:rPr>
          <w:spacing w:val="21"/>
          <w:sz w:val="18"/>
        </w:rPr>
        <w:t> </w:t>
      </w:r>
      <w:r>
        <w:rPr>
          <w:sz w:val="18"/>
        </w:rPr>
        <w:t>and</w:t>
      </w:r>
      <w:r>
        <w:rPr>
          <w:spacing w:val="22"/>
          <w:sz w:val="18"/>
        </w:rPr>
        <w:t> </w:t>
      </w:r>
      <w:r>
        <w:rPr>
          <w:sz w:val="18"/>
        </w:rPr>
        <w:t>Rachenahalli</w:t>
      </w:r>
      <w:r>
        <w:rPr>
          <w:spacing w:val="21"/>
          <w:sz w:val="18"/>
        </w:rPr>
        <w:t> </w:t>
      </w:r>
      <w:r>
        <w:rPr>
          <w:sz w:val="18"/>
        </w:rPr>
        <w:t>and</w:t>
      </w:r>
    </w:p>
    <w:p>
      <w:pPr>
        <w:spacing w:before="72"/>
        <w:ind w:left="2536" w:right="0" w:firstLine="0"/>
        <w:jc w:val="both"/>
        <w:rPr>
          <w:sz w:val="18"/>
        </w:rPr>
      </w:pPr>
      <w:r>
        <w:rPr>
          <w:sz w:val="18"/>
        </w:rPr>
        <w:t>Thanisandra Villages, Krishnarajapuram Hobli, Bengaluru East Taluk, Bengaluru District, Karnataka</w:t>
      </w:r>
    </w:p>
    <w:p>
      <w:pPr>
        <w:pStyle w:val="BodyText"/>
        <w:spacing w:before="8"/>
        <w:rPr>
          <w:sz w:val="27"/>
        </w:rPr>
      </w:pPr>
    </w:p>
    <w:p>
      <w:pPr>
        <w:tabs>
          <w:tab w:pos="2536" w:val="left" w:leader="none"/>
        </w:tabs>
        <w:spacing w:line="321" w:lineRule="auto" w:before="0"/>
        <w:ind w:left="2536" w:right="811" w:hanging="2144"/>
        <w:jc w:val="both"/>
        <w:rPr>
          <w:sz w:val="18"/>
        </w:rPr>
      </w:pPr>
      <w:r>
        <w:rPr>
          <w:color w:val="006A4D"/>
          <w:sz w:val="18"/>
        </w:rPr>
        <w:t>Land</w:t>
      </w:r>
      <w:r>
        <w:rPr>
          <w:color w:val="006A4D"/>
          <w:spacing w:val="-4"/>
          <w:sz w:val="18"/>
        </w:rPr>
        <w:t> </w:t>
      </w:r>
      <w:r>
        <w:rPr>
          <w:color w:val="006A4D"/>
          <w:sz w:val="18"/>
        </w:rPr>
        <w:t>Area:</w:t>
        <w:tab/>
      </w:r>
      <w:r>
        <w:rPr>
          <w:sz w:val="18"/>
        </w:rPr>
        <w:t>Based on review of the title report (for Manyata Promoters Pvt Ltd and M3 Block respectively), we understand that the total land area of the subject property under the ownership of the Client is approximately 121.76</w:t>
      </w:r>
      <w:r>
        <w:rPr>
          <w:spacing w:val="-5"/>
          <w:sz w:val="18"/>
        </w:rPr>
        <w:t> </w:t>
      </w:r>
      <w:r>
        <w:rPr>
          <w:sz w:val="18"/>
        </w:rPr>
        <w:t>Acres</w:t>
      </w:r>
    </w:p>
    <w:p>
      <w:pPr>
        <w:pStyle w:val="BodyText"/>
        <w:spacing w:before="6"/>
        <w:rPr>
          <w:sz w:val="21"/>
        </w:rPr>
      </w:pPr>
    </w:p>
    <w:p>
      <w:pPr>
        <w:tabs>
          <w:tab w:pos="2536" w:val="left" w:leader="none"/>
        </w:tabs>
        <w:spacing w:line="321" w:lineRule="auto" w:before="0"/>
        <w:ind w:left="2536" w:right="812" w:hanging="2144"/>
        <w:jc w:val="both"/>
        <w:rPr>
          <w:sz w:val="18"/>
        </w:rPr>
      </w:pPr>
      <w:r>
        <w:rPr>
          <w:color w:val="006A4D"/>
          <w:sz w:val="18"/>
        </w:rPr>
        <w:t>Brief</w:t>
      </w:r>
      <w:r>
        <w:rPr>
          <w:color w:val="006A4D"/>
          <w:spacing w:val="-31"/>
          <w:sz w:val="18"/>
        </w:rPr>
        <w:t> </w:t>
      </w:r>
      <w:r>
        <w:rPr>
          <w:color w:val="006A4D"/>
          <w:sz w:val="18"/>
        </w:rPr>
        <w:t>Description:</w:t>
        <w:tab/>
      </w:r>
      <w:r>
        <w:rPr>
          <w:sz w:val="18"/>
        </w:rPr>
        <w:t>The</w:t>
      </w:r>
      <w:r>
        <w:rPr>
          <w:spacing w:val="-25"/>
          <w:sz w:val="18"/>
        </w:rPr>
        <w:t> </w:t>
      </w:r>
      <w:r>
        <w:rPr>
          <w:sz w:val="18"/>
        </w:rPr>
        <w:t>subject</w:t>
      </w:r>
      <w:r>
        <w:rPr>
          <w:spacing w:val="-27"/>
          <w:sz w:val="18"/>
        </w:rPr>
        <w:t> </w:t>
      </w:r>
      <w:r>
        <w:rPr>
          <w:sz w:val="18"/>
        </w:rPr>
        <w:t>property</w:t>
      </w:r>
      <w:r>
        <w:rPr>
          <w:spacing w:val="-26"/>
          <w:sz w:val="18"/>
        </w:rPr>
        <w:t> </w:t>
      </w:r>
      <w:r>
        <w:rPr>
          <w:sz w:val="18"/>
        </w:rPr>
        <w:t>is</w:t>
      </w:r>
      <w:r>
        <w:rPr>
          <w:spacing w:val="-25"/>
          <w:sz w:val="18"/>
        </w:rPr>
        <w:t> </w:t>
      </w:r>
      <w:r>
        <w:rPr>
          <w:sz w:val="18"/>
        </w:rPr>
        <w:t>the</w:t>
      </w:r>
      <w:r>
        <w:rPr>
          <w:spacing w:val="-26"/>
          <w:sz w:val="18"/>
        </w:rPr>
        <w:t> </w:t>
      </w:r>
      <w:r>
        <w:rPr>
          <w:sz w:val="18"/>
        </w:rPr>
        <w:t>second</w:t>
      </w:r>
      <w:r>
        <w:rPr>
          <w:spacing w:val="-26"/>
          <w:sz w:val="18"/>
        </w:rPr>
        <w:t> </w:t>
      </w:r>
      <w:r>
        <w:rPr>
          <w:sz w:val="18"/>
        </w:rPr>
        <w:t>largest</w:t>
      </w:r>
      <w:r>
        <w:rPr>
          <w:spacing w:val="-27"/>
          <w:sz w:val="18"/>
        </w:rPr>
        <w:t> </w:t>
      </w:r>
      <w:r>
        <w:rPr>
          <w:sz w:val="18"/>
        </w:rPr>
        <w:t>commercial</w:t>
      </w:r>
      <w:r>
        <w:rPr>
          <w:spacing w:val="-27"/>
          <w:sz w:val="18"/>
        </w:rPr>
        <w:t> </w:t>
      </w:r>
      <w:r>
        <w:rPr>
          <w:sz w:val="18"/>
        </w:rPr>
        <w:t>office</w:t>
      </w:r>
      <w:r>
        <w:rPr>
          <w:spacing w:val="-25"/>
          <w:sz w:val="18"/>
        </w:rPr>
        <w:t> </w:t>
      </w:r>
      <w:r>
        <w:rPr>
          <w:sz w:val="18"/>
        </w:rPr>
        <w:t>asset</w:t>
      </w:r>
      <w:r>
        <w:rPr>
          <w:spacing w:val="-27"/>
          <w:sz w:val="18"/>
        </w:rPr>
        <w:t> </w:t>
      </w:r>
      <w:r>
        <w:rPr>
          <w:sz w:val="18"/>
        </w:rPr>
        <w:t>in</w:t>
      </w:r>
      <w:r>
        <w:rPr>
          <w:spacing w:val="-26"/>
          <w:sz w:val="18"/>
        </w:rPr>
        <w:t> </w:t>
      </w:r>
      <w:r>
        <w:rPr>
          <w:sz w:val="18"/>
        </w:rPr>
        <w:t>India</w:t>
      </w:r>
      <w:r>
        <w:rPr>
          <w:spacing w:val="-26"/>
          <w:sz w:val="18"/>
        </w:rPr>
        <w:t> </w:t>
      </w:r>
      <w:r>
        <w:rPr>
          <w:sz w:val="18"/>
        </w:rPr>
        <w:t>(in</w:t>
      </w:r>
      <w:r>
        <w:rPr>
          <w:spacing w:val="-26"/>
          <w:sz w:val="18"/>
        </w:rPr>
        <w:t> </w:t>
      </w:r>
      <w:r>
        <w:rPr>
          <w:sz w:val="18"/>
        </w:rPr>
        <w:t>terms</w:t>
      </w:r>
      <w:r>
        <w:rPr>
          <w:spacing w:val="-26"/>
          <w:sz w:val="18"/>
        </w:rPr>
        <w:t> </w:t>
      </w:r>
      <w:r>
        <w:rPr>
          <w:sz w:val="18"/>
        </w:rPr>
        <w:t>of</w:t>
      </w:r>
      <w:r>
        <w:rPr>
          <w:spacing w:val="-26"/>
          <w:sz w:val="18"/>
        </w:rPr>
        <w:t> </w:t>
      </w:r>
      <w:r>
        <w:rPr>
          <w:sz w:val="18"/>
        </w:rPr>
        <w:t>scale),</w:t>
      </w:r>
      <w:r>
        <w:rPr>
          <w:spacing w:val="-28"/>
          <w:sz w:val="18"/>
        </w:rPr>
        <w:t> </w:t>
      </w:r>
      <w:r>
        <w:rPr>
          <w:sz w:val="18"/>
        </w:rPr>
        <w:t>largest</w:t>
      </w:r>
      <w:r>
        <w:rPr>
          <w:spacing w:val="-26"/>
          <w:sz w:val="18"/>
        </w:rPr>
        <w:t> </w:t>
      </w:r>
      <w:r>
        <w:rPr>
          <w:sz w:val="18"/>
        </w:rPr>
        <w:t>in Bengaluru and is a landmark in North Bengaluru. The property is accessible through the Nagavara Outer</w:t>
      </w:r>
      <w:r>
        <w:rPr>
          <w:spacing w:val="-17"/>
          <w:sz w:val="18"/>
        </w:rPr>
        <w:t> </w:t>
      </w:r>
      <w:r>
        <w:rPr>
          <w:sz w:val="18"/>
        </w:rPr>
        <w:t>Ring</w:t>
      </w:r>
      <w:r>
        <w:rPr>
          <w:spacing w:val="-16"/>
          <w:sz w:val="18"/>
        </w:rPr>
        <w:t> </w:t>
      </w:r>
      <w:r>
        <w:rPr>
          <w:sz w:val="18"/>
        </w:rPr>
        <w:t>Road</w:t>
      </w:r>
      <w:r>
        <w:rPr>
          <w:spacing w:val="-16"/>
          <w:sz w:val="18"/>
        </w:rPr>
        <w:t> </w:t>
      </w:r>
      <w:r>
        <w:rPr>
          <w:sz w:val="18"/>
        </w:rPr>
        <w:t>emanating</w:t>
      </w:r>
      <w:r>
        <w:rPr>
          <w:spacing w:val="-16"/>
          <w:sz w:val="18"/>
        </w:rPr>
        <w:t> </w:t>
      </w:r>
      <w:r>
        <w:rPr>
          <w:sz w:val="18"/>
        </w:rPr>
        <w:t>from</w:t>
      </w:r>
      <w:r>
        <w:rPr>
          <w:spacing w:val="-16"/>
          <w:sz w:val="18"/>
        </w:rPr>
        <w:t> </w:t>
      </w:r>
      <w:r>
        <w:rPr>
          <w:sz w:val="18"/>
        </w:rPr>
        <w:t>Hebbal.</w:t>
      </w:r>
      <w:r>
        <w:rPr>
          <w:spacing w:val="-16"/>
          <w:sz w:val="18"/>
        </w:rPr>
        <w:t> </w:t>
      </w:r>
      <w:r>
        <w:rPr>
          <w:sz w:val="18"/>
        </w:rPr>
        <w:t>Further,</w:t>
      </w:r>
      <w:r>
        <w:rPr>
          <w:spacing w:val="-16"/>
          <w:sz w:val="18"/>
        </w:rPr>
        <w:t> </w:t>
      </w:r>
      <w:r>
        <w:rPr>
          <w:sz w:val="18"/>
        </w:rPr>
        <w:t>the</w:t>
      </w:r>
      <w:r>
        <w:rPr>
          <w:spacing w:val="-16"/>
          <w:sz w:val="18"/>
        </w:rPr>
        <w:t> </w:t>
      </w:r>
      <w:r>
        <w:rPr>
          <w:sz w:val="18"/>
        </w:rPr>
        <w:t>subject</w:t>
      </w:r>
      <w:r>
        <w:rPr>
          <w:spacing w:val="-16"/>
          <w:sz w:val="18"/>
        </w:rPr>
        <w:t> </w:t>
      </w:r>
      <w:r>
        <w:rPr>
          <w:sz w:val="18"/>
        </w:rPr>
        <w:t>development</w:t>
      </w:r>
      <w:r>
        <w:rPr>
          <w:spacing w:val="-17"/>
          <w:sz w:val="18"/>
        </w:rPr>
        <w:t> </w:t>
      </w:r>
      <w:r>
        <w:rPr>
          <w:sz w:val="18"/>
        </w:rPr>
        <w:t>is</w:t>
      </w:r>
      <w:r>
        <w:rPr>
          <w:spacing w:val="-17"/>
          <w:sz w:val="18"/>
        </w:rPr>
        <w:t> </w:t>
      </w:r>
      <w:r>
        <w:rPr>
          <w:sz w:val="18"/>
        </w:rPr>
        <w:t>strategically</w:t>
      </w:r>
      <w:r>
        <w:rPr>
          <w:spacing w:val="-17"/>
          <w:sz w:val="18"/>
        </w:rPr>
        <w:t> </w:t>
      </w:r>
      <w:r>
        <w:rPr>
          <w:sz w:val="18"/>
        </w:rPr>
        <w:t>located</w:t>
      </w:r>
      <w:r>
        <w:rPr>
          <w:spacing w:val="-16"/>
          <w:sz w:val="18"/>
        </w:rPr>
        <w:t> </w:t>
      </w:r>
      <w:r>
        <w:rPr>
          <w:sz w:val="18"/>
        </w:rPr>
        <w:t>in proximity</w:t>
      </w:r>
      <w:r>
        <w:rPr>
          <w:spacing w:val="-11"/>
          <w:sz w:val="18"/>
        </w:rPr>
        <w:t> </w:t>
      </w:r>
      <w:r>
        <w:rPr>
          <w:sz w:val="18"/>
        </w:rPr>
        <w:t>to</w:t>
      </w:r>
      <w:r>
        <w:rPr>
          <w:spacing w:val="-11"/>
          <w:sz w:val="18"/>
        </w:rPr>
        <w:t> </w:t>
      </w:r>
      <w:r>
        <w:rPr>
          <w:sz w:val="18"/>
        </w:rPr>
        <w:t>micro-markets</w:t>
      </w:r>
      <w:r>
        <w:rPr>
          <w:spacing w:val="-11"/>
          <w:sz w:val="18"/>
        </w:rPr>
        <w:t> </w:t>
      </w:r>
      <w:r>
        <w:rPr>
          <w:sz w:val="18"/>
        </w:rPr>
        <w:t>of</w:t>
      </w:r>
      <w:r>
        <w:rPr>
          <w:spacing w:val="-11"/>
          <w:sz w:val="18"/>
        </w:rPr>
        <w:t> </w:t>
      </w:r>
      <w:r>
        <w:rPr>
          <w:sz w:val="18"/>
        </w:rPr>
        <w:t>Thanisandra</w:t>
      </w:r>
      <w:r>
        <w:rPr>
          <w:spacing w:val="-11"/>
          <w:sz w:val="18"/>
        </w:rPr>
        <w:t> </w:t>
      </w:r>
      <w:r>
        <w:rPr>
          <w:sz w:val="18"/>
        </w:rPr>
        <w:t>&amp;</w:t>
      </w:r>
      <w:r>
        <w:rPr>
          <w:spacing w:val="-12"/>
          <w:sz w:val="18"/>
        </w:rPr>
        <w:t> </w:t>
      </w:r>
      <w:r>
        <w:rPr>
          <w:sz w:val="18"/>
        </w:rPr>
        <w:t>Hennur</w:t>
      </w:r>
      <w:r>
        <w:rPr>
          <w:spacing w:val="-12"/>
          <w:sz w:val="18"/>
        </w:rPr>
        <w:t> </w:t>
      </w:r>
      <w:r>
        <w:rPr>
          <w:sz w:val="18"/>
        </w:rPr>
        <w:t>Road</w:t>
      </w:r>
      <w:r>
        <w:rPr>
          <w:spacing w:val="-11"/>
          <w:sz w:val="18"/>
        </w:rPr>
        <w:t> </w:t>
      </w:r>
      <w:r>
        <w:rPr>
          <w:sz w:val="18"/>
        </w:rPr>
        <w:t>which</w:t>
      </w:r>
      <w:r>
        <w:rPr>
          <w:spacing w:val="-11"/>
          <w:sz w:val="18"/>
        </w:rPr>
        <w:t> </w:t>
      </w:r>
      <w:r>
        <w:rPr>
          <w:sz w:val="18"/>
        </w:rPr>
        <w:t>are</w:t>
      </w:r>
      <w:r>
        <w:rPr>
          <w:spacing w:val="-11"/>
          <w:sz w:val="18"/>
        </w:rPr>
        <w:t> </w:t>
      </w:r>
      <w:r>
        <w:rPr>
          <w:sz w:val="18"/>
        </w:rPr>
        <w:t>amongst</w:t>
      </w:r>
      <w:r>
        <w:rPr>
          <w:spacing w:val="-11"/>
          <w:sz w:val="18"/>
        </w:rPr>
        <w:t> </w:t>
      </w:r>
      <w:r>
        <w:rPr>
          <w:sz w:val="18"/>
        </w:rPr>
        <w:t>the</w:t>
      </w:r>
      <w:r>
        <w:rPr>
          <w:spacing w:val="-11"/>
          <w:sz w:val="18"/>
        </w:rPr>
        <w:t> </w:t>
      </w:r>
      <w:r>
        <w:rPr>
          <w:sz w:val="18"/>
        </w:rPr>
        <w:t>fastest</w:t>
      </w:r>
      <w:r>
        <w:rPr>
          <w:spacing w:val="-12"/>
          <w:sz w:val="18"/>
        </w:rPr>
        <w:t> </w:t>
      </w:r>
      <w:r>
        <w:rPr>
          <w:sz w:val="18"/>
        </w:rPr>
        <w:t>developing vectors in North</w:t>
      </w:r>
      <w:r>
        <w:rPr>
          <w:spacing w:val="-6"/>
          <w:sz w:val="18"/>
        </w:rPr>
        <w:t> </w:t>
      </w:r>
      <w:r>
        <w:rPr>
          <w:sz w:val="18"/>
        </w:rPr>
        <w:t>Bengaluru.</w:t>
      </w:r>
    </w:p>
    <w:p>
      <w:pPr>
        <w:spacing w:line="321" w:lineRule="auto" w:before="124"/>
        <w:ind w:left="2536" w:right="809" w:firstLine="0"/>
        <w:jc w:val="both"/>
        <w:rPr>
          <w:sz w:val="18"/>
        </w:rPr>
      </w:pPr>
      <w:r>
        <w:rPr>
          <w:sz w:val="18"/>
        </w:rPr>
        <w:t>The Nagavara Outer Ring Road, connects the subject location to prominent locations such as Yeshwanthpur,</w:t>
      </w:r>
      <w:r>
        <w:rPr>
          <w:spacing w:val="-8"/>
          <w:sz w:val="18"/>
        </w:rPr>
        <w:t> </w:t>
      </w:r>
      <w:r>
        <w:rPr>
          <w:sz w:val="18"/>
        </w:rPr>
        <w:t>KR</w:t>
      </w:r>
      <w:r>
        <w:rPr>
          <w:spacing w:val="-7"/>
          <w:sz w:val="18"/>
        </w:rPr>
        <w:t> </w:t>
      </w:r>
      <w:r>
        <w:rPr>
          <w:sz w:val="18"/>
        </w:rPr>
        <w:t>Puram,</w:t>
      </w:r>
      <w:r>
        <w:rPr>
          <w:spacing w:val="-8"/>
          <w:sz w:val="18"/>
        </w:rPr>
        <w:t> </w:t>
      </w:r>
      <w:r>
        <w:rPr>
          <w:sz w:val="18"/>
        </w:rPr>
        <w:t>Whitefield,</w:t>
      </w:r>
      <w:r>
        <w:rPr>
          <w:spacing w:val="-7"/>
          <w:sz w:val="18"/>
        </w:rPr>
        <w:t> </w:t>
      </w:r>
      <w:r>
        <w:rPr>
          <w:sz w:val="18"/>
        </w:rPr>
        <w:t>Sarjapur</w:t>
      </w:r>
      <w:r>
        <w:rPr>
          <w:spacing w:val="-8"/>
          <w:sz w:val="18"/>
        </w:rPr>
        <w:t> </w:t>
      </w:r>
      <w:r>
        <w:rPr>
          <w:sz w:val="18"/>
        </w:rPr>
        <w:t>Outer</w:t>
      </w:r>
      <w:r>
        <w:rPr>
          <w:spacing w:val="-7"/>
          <w:sz w:val="18"/>
        </w:rPr>
        <w:t> </w:t>
      </w:r>
      <w:r>
        <w:rPr>
          <w:sz w:val="18"/>
        </w:rPr>
        <w:t>Ring</w:t>
      </w:r>
      <w:r>
        <w:rPr>
          <w:spacing w:val="-7"/>
          <w:sz w:val="18"/>
        </w:rPr>
        <w:t> </w:t>
      </w:r>
      <w:r>
        <w:rPr>
          <w:sz w:val="18"/>
        </w:rPr>
        <w:t>Road,</w:t>
      </w:r>
      <w:r>
        <w:rPr>
          <w:spacing w:val="-7"/>
          <w:sz w:val="18"/>
        </w:rPr>
        <w:t> </w:t>
      </w:r>
      <w:r>
        <w:rPr>
          <w:sz w:val="18"/>
        </w:rPr>
        <w:t>Old</w:t>
      </w:r>
      <w:r>
        <w:rPr>
          <w:spacing w:val="-8"/>
          <w:sz w:val="18"/>
        </w:rPr>
        <w:t> </w:t>
      </w:r>
      <w:r>
        <w:rPr>
          <w:sz w:val="18"/>
        </w:rPr>
        <w:t>Madras</w:t>
      </w:r>
      <w:r>
        <w:rPr>
          <w:spacing w:val="-6"/>
          <w:sz w:val="18"/>
        </w:rPr>
        <w:t> </w:t>
      </w:r>
      <w:r>
        <w:rPr>
          <w:sz w:val="18"/>
        </w:rPr>
        <w:t>road,</w:t>
      </w:r>
      <w:r>
        <w:rPr>
          <w:spacing w:val="-8"/>
          <w:sz w:val="18"/>
        </w:rPr>
        <w:t> </w:t>
      </w:r>
      <w:r>
        <w:rPr>
          <w:sz w:val="18"/>
        </w:rPr>
        <w:t>etc.</w:t>
      </w:r>
      <w:r>
        <w:rPr>
          <w:spacing w:val="-7"/>
          <w:sz w:val="18"/>
        </w:rPr>
        <w:t> </w:t>
      </w:r>
      <w:r>
        <w:rPr>
          <w:sz w:val="18"/>
        </w:rPr>
        <w:t>Further,</w:t>
      </w:r>
      <w:r>
        <w:rPr>
          <w:spacing w:val="-7"/>
          <w:sz w:val="18"/>
        </w:rPr>
        <w:t> </w:t>
      </w:r>
      <w:r>
        <w:rPr>
          <w:sz w:val="18"/>
        </w:rPr>
        <w:t>it</w:t>
      </w:r>
      <w:r>
        <w:rPr>
          <w:spacing w:val="-8"/>
          <w:sz w:val="18"/>
        </w:rPr>
        <w:t> </w:t>
      </w:r>
      <w:r>
        <w:rPr>
          <w:sz w:val="18"/>
        </w:rPr>
        <w:t>is located</w:t>
      </w:r>
      <w:r>
        <w:rPr>
          <w:spacing w:val="-5"/>
          <w:sz w:val="18"/>
        </w:rPr>
        <w:t> </w:t>
      </w:r>
      <w:r>
        <w:rPr>
          <w:sz w:val="18"/>
        </w:rPr>
        <w:t>at</w:t>
      </w:r>
      <w:r>
        <w:rPr>
          <w:spacing w:val="-5"/>
          <w:sz w:val="18"/>
        </w:rPr>
        <w:t> </w:t>
      </w:r>
      <w:r>
        <w:rPr>
          <w:sz w:val="18"/>
        </w:rPr>
        <w:t>a</w:t>
      </w:r>
      <w:r>
        <w:rPr>
          <w:spacing w:val="-4"/>
          <w:sz w:val="18"/>
        </w:rPr>
        <w:t> </w:t>
      </w:r>
      <w:r>
        <w:rPr>
          <w:sz w:val="18"/>
        </w:rPr>
        <w:t>distance</w:t>
      </w:r>
      <w:r>
        <w:rPr>
          <w:spacing w:val="-4"/>
          <w:sz w:val="18"/>
        </w:rPr>
        <w:t> </w:t>
      </w:r>
      <w:r>
        <w:rPr>
          <w:sz w:val="18"/>
        </w:rPr>
        <w:t>of</w:t>
      </w:r>
      <w:r>
        <w:rPr>
          <w:spacing w:val="-4"/>
          <w:sz w:val="18"/>
        </w:rPr>
        <w:t> </w:t>
      </w:r>
      <w:r>
        <w:rPr>
          <w:sz w:val="18"/>
        </w:rPr>
        <w:t>1-2</w:t>
      </w:r>
      <w:r>
        <w:rPr>
          <w:spacing w:val="-5"/>
          <w:sz w:val="18"/>
        </w:rPr>
        <w:t> </w:t>
      </w:r>
      <w:r>
        <w:rPr>
          <w:sz w:val="18"/>
        </w:rPr>
        <w:t>km</w:t>
      </w:r>
      <w:r>
        <w:rPr>
          <w:spacing w:val="-4"/>
          <w:sz w:val="18"/>
        </w:rPr>
        <w:t> </w:t>
      </w:r>
      <w:r>
        <w:rPr>
          <w:sz w:val="18"/>
        </w:rPr>
        <w:t>from</w:t>
      </w:r>
      <w:r>
        <w:rPr>
          <w:spacing w:val="-5"/>
          <w:sz w:val="18"/>
        </w:rPr>
        <w:t> </w:t>
      </w:r>
      <w:r>
        <w:rPr>
          <w:sz w:val="18"/>
        </w:rPr>
        <w:t>Nagavara</w:t>
      </w:r>
      <w:r>
        <w:rPr>
          <w:spacing w:val="-4"/>
          <w:sz w:val="18"/>
        </w:rPr>
        <w:t> </w:t>
      </w:r>
      <w:r>
        <w:rPr>
          <w:sz w:val="18"/>
        </w:rPr>
        <w:t>Junction,</w:t>
      </w:r>
      <w:r>
        <w:rPr>
          <w:spacing w:val="-5"/>
          <w:sz w:val="18"/>
        </w:rPr>
        <w:t> </w:t>
      </w:r>
      <w:r>
        <w:rPr>
          <w:sz w:val="18"/>
        </w:rPr>
        <w:t>3-4</w:t>
      </w:r>
      <w:r>
        <w:rPr>
          <w:spacing w:val="-5"/>
          <w:sz w:val="18"/>
        </w:rPr>
        <w:t> </w:t>
      </w:r>
      <w:r>
        <w:rPr>
          <w:sz w:val="18"/>
        </w:rPr>
        <w:t>km</w:t>
      </w:r>
      <w:r>
        <w:rPr>
          <w:spacing w:val="-3"/>
          <w:sz w:val="18"/>
        </w:rPr>
        <w:t> </w:t>
      </w:r>
      <w:r>
        <w:rPr>
          <w:sz w:val="18"/>
        </w:rPr>
        <w:t>from</w:t>
      </w:r>
      <w:r>
        <w:rPr>
          <w:spacing w:val="-5"/>
          <w:sz w:val="18"/>
        </w:rPr>
        <w:t> </w:t>
      </w:r>
      <w:r>
        <w:rPr>
          <w:sz w:val="18"/>
        </w:rPr>
        <w:t>Hebbal</w:t>
      </w:r>
      <w:r>
        <w:rPr>
          <w:spacing w:val="-5"/>
          <w:sz w:val="18"/>
        </w:rPr>
        <w:t> </w:t>
      </w:r>
      <w:r>
        <w:rPr>
          <w:sz w:val="18"/>
        </w:rPr>
        <w:t>Junction,</w:t>
      </w:r>
      <w:r>
        <w:rPr>
          <w:spacing w:val="-2"/>
          <w:sz w:val="18"/>
        </w:rPr>
        <w:t> </w:t>
      </w:r>
      <w:r>
        <w:rPr>
          <w:sz w:val="18"/>
        </w:rPr>
        <w:t>7-8</w:t>
      </w:r>
      <w:r>
        <w:rPr>
          <w:spacing w:val="-6"/>
          <w:sz w:val="18"/>
        </w:rPr>
        <w:t> </w:t>
      </w:r>
      <w:r>
        <w:rPr>
          <w:sz w:val="18"/>
        </w:rPr>
        <w:t>km</w:t>
      </w:r>
      <w:r>
        <w:rPr>
          <w:spacing w:val="-3"/>
          <w:sz w:val="18"/>
        </w:rPr>
        <w:t> </w:t>
      </w:r>
      <w:r>
        <w:rPr>
          <w:sz w:val="18"/>
        </w:rPr>
        <w:t>from Yelahanka Junction, 11-14 km from MG Road (CBD) and 29-31 km from Kempegowda International Airport</w:t>
      </w:r>
    </w:p>
    <w:p>
      <w:pPr>
        <w:pStyle w:val="BodyText"/>
        <w:spacing w:before="7"/>
        <w:rPr>
          <w:sz w:val="21"/>
        </w:rPr>
      </w:pPr>
    </w:p>
    <w:p>
      <w:pPr>
        <w:spacing w:line="321" w:lineRule="auto" w:before="0"/>
        <w:ind w:left="2536" w:right="811" w:hanging="2144"/>
        <w:jc w:val="both"/>
        <w:rPr>
          <w:sz w:val="18"/>
        </w:rPr>
      </w:pPr>
      <w:r>
        <w:rPr/>
        <w:pict>
          <v:group style="position:absolute;margin-left:148.820007pt;margin-top:76.010681pt;width:402pt;height:34.6pt;mso-position-horizontal-relative:page;mso-position-vertical-relative:paragraph;z-index:-34792448" coordorigin="2976,1520" coordsize="8040,692">
            <v:shape style="position:absolute;left:2976;top:2197;width:8040;height:15" coordorigin="2976,2197" coordsize="8040,15" path="m4866,2197l2976,2197,2976,2211,4866,2211,4866,2197xm4880,2197l4866,2197,4866,2211,4880,2211,4880,2197xm8354,2197l6827,2197,6813,2197,6813,2197,4880,2197,4880,2211,6813,2211,6813,2211,6827,2211,8354,2211,8354,2197xm11016,2197l9950,2197,9936,2197,9936,2197,8368,2197,8354,2197,8354,2211,8368,2211,9936,2211,9936,2211,9950,2211,11016,2211,11016,2197xe" filled="true" fillcolor="#69bd28" stroked="false">
              <v:path arrowok="t"/>
              <v:fill type="solid"/>
            </v:shape>
            <v:shape style="position:absolute;left:2976;top:1549;width:8040;height:648" coordorigin="2976,1549" coordsize="8040,648" path="m4866,1549l2976,1549,2976,2197,4866,2197,4866,1549xm8354,1549l6813,1549,6813,1549,4866,1549,4866,2197,6813,2197,6813,2197,8354,2197,8354,1549xm11016,1549l9936,1549,9936,1549,8354,1549,8354,2197,9936,2197,9936,2197,11016,2197,11016,1549xe" filled="true" fillcolor="#006a4d" stroked="false">
              <v:path arrowok="t"/>
              <v:fill type="solid"/>
            </v:shape>
            <v:rect style="position:absolute;left:2976;top:1520;width:1890;height:29" filled="true" fillcolor="#1f6b16" stroked="false">
              <v:fill type="solid"/>
            </v:rect>
            <v:shape style="position:absolute;left:2976;top:1549;width:1919;height:3" coordorigin="2976,1549" coordsize="1919,3" path="m4866,1549l2976,1549,2976,1551,4866,1551,4866,1549xm4895,1549l4866,1549,4866,1551,4895,1551,4895,1549xe" filled="true" fillcolor="#006a4d" stroked="false">
              <v:path arrowok="t"/>
              <v:fill type="solid"/>
            </v:shape>
            <v:shape style="position:absolute;left:4865;top:1520;width:1947;height:29" coordorigin="4866,1520" coordsize="1947,29" path="m6813,1520l4895,1520,4866,1520,4866,1549,4895,1549,6813,1549,6813,1520xe" filled="true" fillcolor="#1f6b16" stroked="false">
              <v:path arrowok="t"/>
              <v:fill type="solid"/>
            </v:shape>
            <v:shape style="position:absolute;left:4894;top:1549;width:1947;height:3" coordorigin="4895,1549" coordsize="1947,3" path="m6841,1549l6813,1549,4895,1549,4895,1551,6813,1551,6841,1551,6841,1549xe" filled="true" fillcolor="#006a4d" stroked="false">
              <v:path arrowok="t"/>
              <v:fill type="solid"/>
            </v:shape>
            <v:shape style="position:absolute;left:6812;top:1520;width:1542;height:29" coordorigin="6813,1520" coordsize="1542,29" path="m8354,1520l6841,1520,6813,1520,6813,1549,6841,1549,8354,1549,8354,1520xe" filled="true" fillcolor="#1f6b16" stroked="false">
              <v:path arrowok="t"/>
              <v:fill type="solid"/>
            </v:shape>
            <v:shape style="position:absolute;left:6841;top:1549;width:1542;height:3" coordorigin="6841,1549" coordsize="1542,3" path="m8354,1549l6841,1549,6841,1551,8354,1551,8354,1549xm8383,1549l8354,1549,8354,1551,8383,1551,8383,1549xe" filled="true" fillcolor="#006a4d" stroked="false">
              <v:path arrowok="t"/>
              <v:fill type="solid"/>
            </v:shape>
            <v:shape style="position:absolute;left:8354;top:1520;width:1583;height:29" coordorigin="8354,1520" coordsize="1583,29" path="m9936,1520l8383,1520,8354,1520,8354,1549,8383,1549,9936,1549,9936,1520xe" filled="true" fillcolor="#1f6b16" stroked="false">
              <v:path arrowok="t"/>
              <v:fill type="solid"/>
            </v:shape>
            <v:shape style="position:absolute;left:8382;top:1549;width:1582;height:3" coordorigin="8383,1549" coordsize="1582,3" path="m9965,1549l9936,1549,8383,1549,8383,1551,9936,1551,9965,1551,9965,1549xe" filled="true" fillcolor="#006a4d" stroked="false">
              <v:path arrowok="t"/>
              <v:fill type="solid"/>
            </v:shape>
            <v:shape style="position:absolute;left:9936;top:1520;width:1080;height:29" coordorigin="9936,1520" coordsize="1080,29" path="m11016,1520l9965,1520,9936,1520,9936,1549,9965,1549,11016,1549,11016,1520xe" filled="true" fillcolor="#1f6b16" stroked="false">
              <v:path arrowok="t"/>
              <v:fill type="solid"/>
            </v:shape>
            <v:rect style="position:absolute;left:9964;top:1549;width:1052;height:3" filled="true" fillcolor="#006a4d" stroked="false">
              <v:fill type="solid"/>
            </v:rect>
            <v:shape style="position:absolute;left:3675;top:1764;width:510;height:216" type="#_x0000_t202" filled="false" stroked="false">
              <v:textbox inset="0,0,0,0">
                <w:txbxContent>
                  <w:p>
                    <w:pPr>
                      <w:spacing w:before="4"/>
                      <w:ind w:left="0" w:right="0" w:firstLine="0"/>
                      <w:jc w:val="left"/>
                      <w:rPr>
                        <w:b/>
                        <w:sz w:val="18"/>
                      </w:rPr>
                    </w:pPr>
                    <w:r>
                      <w:rPr>
                        <w:b/>
                        <w:color w:val="FFFFFF"/>
                        <w:w w:val="110"/>
                        <w:sz w:val="18"/>
                      </w:rPr>
                      <w:t>Block</w:t>
                    </w:r>
                  </w:p>
                </w:txbxContent>
              </v:textbox>
              <w10:wrap type="none"/>
            </v:shape>
            <v:shape style="position:absolute;left:5451;top:1656;width:796;height:432" type="#_x0000_t202" filled="false" stroked="false">
              <v:textbox inset="0,0,0,0">
                <w:txbxContent>
                  <w:p>
                    <w:pPr>
                      <w:spacing w:line="247" w:lineRule="auto" w:before="4"/>
                      <w:ind w:left="0" w:right="0" w:firstLine="163"/>
                      <w:jc w:val="left"/>
                      <w:rPr>
                        <w:b/>
                        <w:sz w:val="18"/>
                      </w:rPr>
                    </w:pPr>
                    <w:r>
                      <w:rPr>
                        <w:b/>
                        <w:color w:val="FFFFFF"/>
                        <w:w w:val="105"/>
                        <w:sz w:val="18"/>
                      </w:rPr>
                      <w:t>Total Area (sf)</w:t>
                    </w:r>
                  </w:p>
                </w:txbxContent>
              </v:textbox>
              <w10:wrap type="none"/>
            </v:shape>
            <v:shape style="position:absolute;left:7028;top:1656;width:1130;height:432" type="#_x0000_t202" filled="false" stroked="false">
              <v:textbox inset="0,0,0,0">
                <w:txbxContent>
                  <w:p>
                    <w:pPr>
                      <w:spacing w:line="247" w:lineRule="auto" w:before="4"/>
                      <w:ind w:left="55" w:right="0" w:hanging="56"/>
                      <w:jc w:val="left"/>
                      <w:rPr>
                        <w:b/>
                        <w:sz w:val="18"/>
                      </w:rPr>
                    </w:pPr>
                    <w:r>
                      <w:rPr>
                        <w:b/>
                        <w:color w:val="FFFFFF"/>
                        <w:w w:val="110"/>
                        <w:sz w:val="18"/>
                      </w:rPr>
                      <w:t>Operational area (in sf)</w:t>
                    </w:r>
                  </w:p>
                </w:txbxContent>
              </v:textbox>
              <w10:wrap type="none"/>
            </v:shape>
            <v:shape style="position:absolute;left:8582;top:1548;width:2342;height:432" type="#_x0000_t202" filled="false" stroked="false">
              <v:textbox inset="0,0,0,0">
                <w:txbxContent>
                  <w:p>
                    <w:pPr>
                      <w:tabs>
                        <w:tab w:pos="1466" w:val="left" w:leader="none"/>
                        <w:tab w:pos="1531" w:val="left" w:leader="none"/>
                      </w:tabs>
                      <w:spacing w:line="247" w:lineRule="auto" w:before="4"/>
                      <w:ind w:left="0" w:right="18" w:firstLine="276"/>
                      <w:jc w:val="left"/>
                      <w:rPr>
                        <w:b/>
                        <w:sz w:val="18"/>
                      </w:rPr>
                    </w:pPr>
                    <w:r>
                      <w:rPr>
                        <w:b/>
                        <w:color w:val="FFFFFF"/>
                        <w:w w:val="110"/>
                        <w:sz w:val="18"/>
                      </w:rPr>
                      <w:t>Under</w:t>
                      <w:tab/>
                    </w:r>
                    <w:r>
                      <w:rPr>
                        <w:b/>
                        <w:color w:val="FFFFFF"/>
                        <w:spacing w:val="-3"/>
                        <w:w w:val="110"/>
                        <w:sz w:val="18"/>
                      </w:rPr>
                      <w:t>Proposed </w:t>
                    </w:r>
                    <w:r>
                      <w:rPr>
                        <w:b/>
                        <w:color w:val="FFFFFF"/>
                        <w:w w:val="110"/>
                        <w:sz w:val="18"/>
                      </w:rPr>
                      <w:t>Construction</w:t>
                      <w:tab/>
                      <w:tab/>
                      <w:t>area</w:t>
                    </w:r>
                    <w:r>
                      <w:rPr>
                        <w:b/>
                        <w:color w:val="FFFFFF"/>
                        <w:spacing w:val="1"/>
                        <w:w w:val="110"/>
                        <w:sz w:val="18"/>
                      </w:rPr>
                      <w:t> </w:t>
                    </w:r>
                    <w:r>
                      <w:rPr>
                        <w:b/>
                        <w:color w:val="FFFFFF"/>
                        <w:w w:val="110"/>
                        <w:sz w:val="18"/>
                      </w:rPr>
                      <w:t>(in</w:t>
                    </w:r>
                  </w:p>
                </w:txbxContent>
              </v:textbox>
              <w10:wrap type="none"/>
            </v:shape>
            <w10:wrap type="none"/>
          </v:group>
        </w:pict>
      </w:r>
      <w:r>
        <w:rPr>
          <w:color w:val="006A4D"/>
          <w:sz w:val="18"/>
        </w:rPr>
        <w:t>Statement of Assets (sf): </w:t>
      </w:r>
      <w:r>
        <w:rPr>
          <w:sz w:val="18"/>
        </w:rPr>
        <w:t>Based on physical verification of various documents, we understand that the subject property is an operational</w:t>
      </w:r>
      <w:r>
        <w:rPr>
          <w:spacing w:val="-8"/>
          <w:sz w:val="18"/>
        </w:rPr>
        <w:t> </w:t>
      </w:r>
      <w:r>
        <w:rPr>
          <w:sz w:val="18"/>
        </w:rPr>
        <w:t>Office</w:t>
      </w:r>
      <w:r>
        <w:rPr>
          <w:spacing w:val="-6"/>
          <w:sz w:val="18"/>
        </w:rPr>
        <w:t> </w:t>
      </w:r>
      <w:r>
        <w:rPr>
          <w:sz w:val="18"/>
        </w:rPr>
        <w:t>Park</w:t>
      </w:r>
      <w:r>
        <w:rPr>
          <w:spacing w:val="-7"/>
          <w:sz w:val="18"/>
        </w:rPr>
        <w:t> </w:t>
      </w:r>
      <w:r>
        <w:rPr>
          <w:sz w:val="18"/>
        </w:rPr>
        <w:t>with</w:t>
      </w:r>
      <w:r>
        <w:rPr>
          <w:spacing w:val="-7"/>
          <w:sz w:val="18"/>
        </w:rPr>
        <w:t> </w:t>
      </w:r>
      <w:r>
        <w:rPr>
          <w:sz w:val="18"/>
        </w:rPr>
        <w:t>approximately</w:t>
      </w:r>
      <w:r>
        <w:rPr>
          <w:spacing w:val="-7"/>
          <w:sz w:val="18"/>
        </w:rPr>
        <w:t> </w:t>
      </w:r>
      <w:r>
        <w:rPr>
          <w:sz w:val="18"/>
        </w:rPr>
        <w:t>11.75</w:t>
      </w:r>
      <w:r>
        <w:rPr>
          <w:spacing w:val="-7"/>
          <w:sz w:val="18"/>
        </w:rPr>
        <w:t> </w:t>
      </w:r>
      <w:r>
        <w:rPr>
          <w:sz w:val="18"/>
        </w:rPr>
        <w:t>mn</w:t>
      </w:r>
      <w:r>
        <w:rPr>
          <w:spacing w:val="-7"/>
          <w:sz w:val="18"/>
        </w:rPr>
        <w:t> </w:t>
      </w:r>
      <w:r>
        <w:rPr>
          <w:sz w:val="18"/>
        </w:rPr>
        <w:t>sf</w:t>
      </w:r>
      <w:r>
        <w:rPr>
          <w:spacing w:val="-8"/>
          <w:sz w:val="18"/>
        </w:rPr>
        <w:t> </w:t>
      </w:r>
      <w:r>
        <w:rPr>
          <w:sz w:val="18"/>
        </w:rPr>
        <w:t>of</w:t>
      </w:r>
      <w:r>
        <w:rPr>
          <w:spacing w:val="-7"/>
          <w:sz w:val="18"/>
        </w:rPr>
        <w:t> </w:t>
      </w:r>
      <w:r>
        <w:rPr>
          <w:sz w:val="18"/>
        </w:rPr>
        <w:t>completed</w:t>
      </w:r>
      <w:r>
        <w:rPr>
          <w:spacing w:val="-7"/>
          <w:sz w:val="18"/>
        </w:rPr>
        <w:t> </w:t>
      </w:r>
      <w:r>
        <w:rPr>
          <w:sz w:val="18"/>
        </w:rPr>
        <w:t>leasable</w:t>
      </w:r>
      <w:r>
        <w:rPr>
          <w:spacing w:val="-6"/>
          <w:sz w:val="18"/>
        </w:rPr>
        <w:t> </w:t>
      </w:r>
      <w:r>
        <w:rPr>
          <w:sz w:val="18"/>
        </w:rPr>
        <w:t>area</w:t>
      </w:r>
      <w:r>
        <w:rPr>
          <w:spacing w:val="-7"/>
          <w:sz w:val="18"/>
        </w:rPr>
        <w:t> </w:t>
      </w:r>
      <w:r>
        <w:rPr>
          <w:sz w:val="18"/>
        </w:rPr>
        <w:t>with</w:t>
      </w:r>
      <w:r>
        <w:rPr>
          <w:spacing w:val="-3"/>
          <w:sz w:val="18"/>
        </w:rPr>
        <w:t> </w:t>
      </w:r>
      <w:r>
        <w:rPr>
          <w:sz w:val="18"/>
        </w:rPr>
        <w:t>committed occupancy of 97.7% as on the date of valuation. Projects with such large scale of development are typically</w:t>
      </w:r>
      <w:r>
        <w:rPr>
          <w:spacing w:val="-16"/>
          <w:sz w:val="18"/>
        </w:rPr>
        <w:t> </w:t>
      </w:r>
      <w:r>
        <w:rPr>
          <w:sz w:val="18"/>
        </w:rPr>
        <w:t>observed</w:t>
      </w:r>
      <w:r>
        <w:rPr>
          <w:spacing w:val="-16"/>
          <w:sz w:val="18"/>
        </w:rPr>
        <w:t> </w:t>
      </w:r>
      <w:r>
        <w:rPr>
          <w:sz w:val="18"/>
        </w:rPr>
        <w:t>to</w:t>
      </w:r>
      <w:r>
        <w:rPr>
          <w:spacing w:val="-15"/>
          <w:sz w:val="18"/>
        </w:rPr>
        <w:t> </w:t>
      </w:r>
      <w:r>
        <w:rPr>
          <w:sz w:val="18"/>
        </w:rPr>
        <w:t>have</w:t>
      </w:r>
      <w:r>
        <w:rPr>
          <w:spacing w:val="-15"/>
          <w:sz w:val="18"/>
        </w:rPr>
        <w:t> </w:t>
      </w:r>
      <w:r>
        <w:rPr>
          <w:sz w:val="18"/>
        </w:rPr>
        <w:t>longer</w:t>
      </w:r>
      <w:r>
        <w:rPr>
          <w:spacing w:val="-16"/>
          <w:sz w:val="18"/>
        </w:rPr>
        <w:t> </w:t>
      </w:r>
      <w:r>
        <w:rPr>
          <w:sz w:val="18"/>
        </w:rPr>
        <w:t>development</w:t>
      </w:r>
      <w:r>
        <w:rPr>
          <w:spacing w:val="-17"/>
          <w:sz w:val="18"/>
        </w:rPr>
        <w:t> </w:t>
      </w:r>
      <w:r>
        <w:rPr>
          <w:sz w:val="18"/>
        </w:rPr>
        <w:t>lifecycle.</w:t>
      </w:r>
      <w:r>
        <w:rPr>
          <w:spacing w:val="-11"/>
          <w:sz w:val="18"/>
        </w:rPr>
        <w:t> </w:t>
      </w:r>
      <w:r>
        <w:rPr>
          <w:sz w:val="18"/>
        </w:rPr>
        <w:t>Table</w:t>
      </w:r>
      <w:r>
        <w:rPr>
          <w:spacing w:val="-16"/>
          <w:sz w:val="18"/>
        </w:rPr>
        <w:t> </w:t>
      </w:r>
      <w:r>
        <w:rPr>
          <w:sz w:val="18"/>
        </w:rPr>
        <w:t>below</w:t>
      </w:r>
      <w:r>
        <w:rPr>
          <w:spacing w:val="-15"/>
          <w:sz w:val="18"/>
        </w:rPr>
        <w:t> </w:t>
      </w:r>
      <w:r>
        <w:rPr>
          <w:sz w:val="18"/>
        </w:rPr>
        <w:t>highlights</w:t>
      </w:r>
      <w:r>
        <w:rPr>
          <w:spacing w:val="-15"/>
          <w:sz w:val="18"/>
        </w:rPr>
        <w:t> </w:t>
      </w:r>
      <w:r>
        <w:rPr>
          <w:sz w:val="18"/>
        </w:rPr>
        <w:t>the</w:t>
      </w:r>
      <w:r>
        <w:rPr>
          <w:spacing w:val="-16"/>
          <w:sz w:val="18"/>
        </w:rPr>
        <w:t> </w:t>
      </w:r>
      <w:r>
        <w:rPr>
          <w:sz w:val="18"/>
        </w:rPr>
        <w:t>leasable</w:t>
      </w:r>
      <w:r>
        <w:rPr>
          <w:spacing w:val="-15"/>
          <w:sz w:val="18"/>
        </w:rPr>
        <w:t> </w:t>
      </w:r>
      <w:r>
        <w:rPr>
          <w:sz w:val="18"/>
        </w:rPr>
        <w:t>area</w:t>
      </w:r>
      <w:r>
        <w:rPr>
          <w:spacing w:val="-15"/>
          <w:sz w:val="18"/>
        </w:rPr>
        <w:t> </w:t>
      </w:r>
      <w:r>
        <w:rPr>
          <w:sz w:val="18"/>
        </w:rPr>
        <w:t>for individual</w:t>
      </w:r>
      <w:r>
        <w:rPr>
          <w:spacing w:val="-6"/>
          <w:sz w:val="18"/>
        </w:rPr>
        <w:t> </w:t>
      </w:r>
      <w:r>
        <w:rPr>
          <w:sz w:val="18"/>
        </w:rPr>
        <w:t>blocks</w:t>
      </w:r>
      <w:r>
        <w:rPr>
          <w:spacing w:val="-5"/>
          <w:sz w:val="18"/>
        </w:rPr>
        <w:t> </w:t>
      </w:r>
      <w:r>
        <w:rPr>
          <w:sz w:val="18"/>
        </w:rPr>
        <w:t>that</w:t>
      </w:r>
      <w:r>
        <w:rPr>
          <w:spacing w:val="-7"/>
          <w:sz w:val="18"/>
        </w:rPr>
        <w:t> </w:t>
      </w:r>
      <w:r>
        <w:rPr>
          <w:sz w:val="18"/>
        </w:rPr>
        <w:t>form</w:t>
      </w:r>
      <w:r>
        <w:rPr>
          <w:spacing w:val="-5"/>
          <w:sz w:val="18"/>
        </w:rPr>
        <w:t> </w:t>
      </w:r>
      <w:r>
        <w:rPr>
          <w:sz w:val="18"/>
        </w:rPr>
        <w:t>part</w:t>
      </w:r>
      <w:r>
        <w:rPr>
          <w:spacing w:val="-7"/>
          <w:sz w:val="18"/>
        </w:rPr>
        <w:t> </w:t>
      </w:r>
      <w:r>
        <w:rPr>
          <w:sz w:val="18"/>
        </w:rPr>
        <w:t>of</w:t>
      </w:r>
      <w:r>
        <w:rPr>
          <w:spacing w:val="-5"/>
          <w:sz w:val="18"/>
        </w:rPr>
        <w:t> </w:t>
      </w:r>
      <w:r>
        <w:rPr>
          <w:sz w:val="18"/>
        </w:rPr>
        <w:t>the</w:t>
      </w:r>
      <w:r>
        <w:rPr>
          <w:spacing w:val="-4"/>
          <w:sz w:val="18"/>
        </w:rPr>
        <w:t> </w:t>
      </w:r>
      <w:r>
        <w:rPr>
          <w:sz w:val="18"/>
        </w:rPr>
        <w:t>subject</w:t>
      </w:r>
      <w:r>
        <w:rPr>
          <w:spacing w:val="-7"/>
          <w:sz w:val="18"/>
        </w:rPr>
        <w:t> </w:t>
      </w:r>
      <w:r>
        <w:rPr>
          <w:sz w:val="18"/>
        </w:rPr>
        <w:t>development:</w:t>
      </w:r>
    </w:p>
    <w:p>
      <w:pPr>
        <w:pStyle w:val="BodyText"/>
        <w:rPr>
          <w:sz w:val="20"/>
        </w:rPr>
      </w:pPr>
    </w:p>
    <w:p>
      <w:pPr>
        <w:pStyle w:val="BodyText"/>
        <w:spacing w:before="4"/>
        <w:rPr>
          <w:sz w:val="29"/>
        </w:rPr>
      </w:pPr>
    </w:p>
    <w:tbl>
      <w:tblPr>
        <w:tblW w:w="0" w:type="auto"/>
        <w:jc w:val="left"/>
        <w:tblInd w:w="25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68"/>
        <w:gridCol w:w="1666"/>
        <w:gridCol w:w="1642"/>
        <w:gridCol w:w="1493"/>
        <w:gridCol w:w="1170"/>
      </w:tblGrid>
      <w:tr>
        <w:trPr>
          <w:trHeight w:val="233" w:hRule="atLeast"/>
        </w:trPr>
        <w:tc>
          <w:tcPr>
            <w:tcW w:w="5376" w:type="dxa"/>
            <w:gridSpan w:val="3"/>
            <w:shd w:val="clear" w:color="auto" w:fill="006A4D"/>
          </w:tcPr>
          <w:p>
            <w:pPr>
              <w:pStyle w:val="TableParagraph"/>
              <w:jc w:val="left"/>
              <w:rPr>
                <w:rFonts w:ascii="Times New Roman"/>
                <w:sz w:val="16"/>
              </w:rPr>
            </w:pPr>
          </w:p>
        </w:tc>
        <w:tc>
          <w:tcPr>
            <w:tcW w:w="1493" w:type="dxa"/>
            <w:shd w:val="clear" w:color="auto" w:fill="006A4D"/>
          </w:tcPr>
          <w:p>
            <w:pPr>
              <w:pStyle w:val="TableParagraph"/>
              <w:spacing w:line="202" w:lineRule="exact" w:before="12"/>
              <w:ind w:left="292"/>
              <w:jc w:val="left"/>
              <w:rPr>
                <w:b/>
                <w:sz w:val="18"/>
              </w:rPr>
            </w:pPr>
            <w:r>
              <w:rPr>
                <w:b/>
                <w:color w:val="FFFFFF"/>
                <w:w w:val="105"/>
                <w:sz w:val="18"/>
              </w:rPr>
              <w:t>area (in sf)</w:t>
            </w:r>
          </w:p>
        </w:tc>
        <w:tc>
          <w:tcPr>
            <w:tcW w:w="1170" w:type="dxa"/>
            <w:shd w:val="clear" w:color="auto" w:fill="006A4D"/>
          </w:tcPr>
          <w:p>
            <w:pPr>
              <w:pStyle w:val="TableParagraph"/>
              <w:spacing w:line="202" w:lineRule="exact" w:before="12"/>
              <w:ind w:left="192" w:right="103"/>
              <w:rPr>
                <w:b/>
                <w:sz w:val="18"/>
              </w:rPr>
            </w:pPr>
            <w:r>
              <w:rPr>
                <w:b/>
                <w:color w:val="FFFFFF"/>
                <w:sz w:val="18"/>
              </w:rPr>
              <w:t>sf)</w:t>
            </w:r>
          </w:p>
        </w:tc>
      </w:tr>
      <w:tr>
        <w:trPr>
          <w:trHeight w:val="255" w:hRule="atLeast"/>
        </w:trPr>
        <w:tc>
          <w:tcPr>
            <w:tcW w:w="2068" w:type="dxa"/>
            <w:tcBorders>
              <w:bottom w:val="single" w:sz="6" w:space="0" w:color="69BD28"/>
            </w:tcBorders>
          </w:tcPr>
          <w:p>
            <w:pPr>
              <w:pStyle w:val="TableParagraph"/>
              <w:spacing w:line="206" w:lineRule="exact" w:before="30"/>
              <w:ind w:left="67" w:right="244"/>
              <w:rPr>
                <w:sz w:val="18"/>
              </w:rPr>
            </w:pPr>
            <w:r>
              <w:rPr>
                <w:sz w:val="18"/>
              </w:rPr>
              <w:t>SEZ Area</w:t>
            </w:r>
          </w:p>
        </w:tc>
        <w:tc>
          <w:tcPr>
            <w:tcW w:w="1666" w:type="dxa"/>
            <w:tcBorders>
              <w:bottom w:val="single" w:sz="6" w:space="0" w:color="69BD28"/>
            </w:tcBorders>
          </w:tcPr>
          <w:p>
            <w:pPr>
              <w:pStyle w:val="TableParagraph"/>
              <w:spacing w:line="206" w:lineRule="exact" w:before="30"/>
              <w:ind w:left="310" w:right="383"/>
              <w:rPr>
                <w:sz w:val="18"/>
              </w:rPr>
            </w:pPr>
            <w:r>
              <w:rPr>
                <w:w w:val="105"/>
                <w:sz w:val="18"/>
              </w:rPr>
              <w:t>10,650,357</w:t>
            </w:r>
          </w:p>
        </w:tc>
        <w:tc>
          <w:tcPr>
            <w:tcW w:w="1642" w:type="dxa"/>
            <w:tcBorders>
              <w:bottom w:val="single" w:sz="6" w:space="0" w:color="69BD28"/>
            </w:tcBorders>
          </w:tcPr>
          <w:p>
            <w:pPr>
              <w:pStyle w:val="TableParagraph"/>
              <w:spacing w:line="206" w:lineRule="exact" w:before="30"/>
              <w:ind w:left="149" w:right="48"/>
              <w:rPr>
                <w:sz w:val="18"/>
              </w:rPr>
            </w:pPr>
            <w:r>
              <w:rPr>
                <w:w w:val="105"/>
                <w:sz w:val="18"/>
              </w:rPr>
              <w:t>8,347,511</w:t>
            </w:r>
          </w:p>
        </w:tc>
        <w:tc>
          <w:tcPr>
            <w:tcW w:w="1493" w:type="dxa"/>
            <w:tcBorders>
              <w:bottom w:val="single" w:sz="6" w:space="0" w:color="69BD28"/>
            </w:tcBorders>
          </w:tcPr>
          <w:p>
            <w:pPr>
              <w:pStyle w:val="TableParagraph"/>
              <w:spacing w:line="206" w:lineRule="exact" w:before="30"/>
              <w:ind w:left="366"/>
              <w:jc w:val="left"/>
              <w:rPr>
                <w:sz w:val="18"/>
              </w:rPr>
            </w:pPr>
            <w:r>
              <w:rPr>
                <w:w w:val="105"/>
                <w:sz w:val="18"/>
              </w:rPr>
              <w:t>1,594,846</w:t>
            </w:r>
          </w:p>
        </w:tc>
        <w:tc>
          <w:tcPr>
            <w:tcW w:w="1170" w:type="dxa"/>
            <w:tcBorders>
              <w:bottom w:val="single" w:sz="6" w:space="0" w:color="69BD28"/>
            </w:tcBorders>
          </w:tcPr>
          <w:p>
            <w:pPr>
              <w:pStyle w:val="TableParagraph"/>
              <w:spacing w:line="206" w:lineRule="exact" w:before="30"/>
              <w:ind w:left="192" w:right="103"/>
              <w:rPr>
                <w:sz w:val="18"/>
              </w:rPr>
            </w:pPr>
            <w:r>
              <w:rPr>
                <w:w w:val="110"/>
                <w:sz w:val="18"/>
              </w:rPr>
              <w:t>708,000</w:t>
            </w:r>
          </w:p>
        </w:tc>
      </w:tr>
      <w:tr>
        <w:trPr>
          <w:trHeight w:val="260" w:hRule="atLeast"/>
        </w:trPr>
        <w:tc>
          <w:tcPr>
            <w:tcW w:w="2068" w:type="dxa"/>
            <w:tcBorders>
              <w:top w:val="single" w:sz="6" w:space="0" w:color="69BD28"/>
              <w:bottom w:val="single" w:sz="6" w:space="0" w:color="69BD28"/>
            </w:tcBorders>
          </w:tcPr>
          <w:p>
            <w:pPr>
              <w:pStyle w:val="TableParagraph"/>
              <w:spacing w:line="206" w:lineRule="exact" w:before="35"/>
              <w:ind w:left="67" w:right="241"/>
              <w:rPr>
                <w:sz w:val="18"/>
              </w:rPr>
            </w:pPr>
            <w:r>
              <w:rPr>
                <w:w w:val="110"/>
                <w:sz w:val="18"/>
              </w:rPr>
              <w:t>Non – SEZ Area</w:t>
            </w:r>
          </w:p>
        </w:tc>
        <w:tc>
          <w:tcPr>
            <w:tcW w:w="1666" w:type="dxa"/>
            <w:tcBorders>
              <w:top w:val="single" w:sz="6" w:space="0" w:color="69BD28"/>
              <w:bottom w:val="single" w:sz="6" w:space="0" w:color="69BD28"/>
            </w:tcBorders>
          </w:tcPr>
          <w:p>
            <w:pPr>
              <w:pStyle w:val="TableParagraph"/>
              <w:spacing w:line="206" w:lineRule="exact" w:before="35"/>
              <w:ind w:left="310" w:right="383"/>
              <w:rPr>
                <w:sz w:val="18"/>
              </w:rPr>
            </w:pPr>
            <w:r>
              <w:rPr>
                <w:w w:val="105"/>
                <w:sz w:val="18"/>
              </w:rPr>
              <w:t>4,111,213</w:t>
            </w:r>
          </w:p>
        </w:tc>
        <w:tc>
          <w:tcPr>
            <w:tcW w:w="1642" w:type="dxa"/>
            <w:tcBorders>
              <w:top w:val="single" w:sz="6" w:space="0" w:color="69BD28"/>
              <w:bottom w:val="single" w:sz="6" w:space="0" w:color="69BD28"/>
            </w:tcBorders>
          </w:tcPr>
          <w:p>
            <w:pPr>
              <w:pStyle w:val="TableParagraph"/>
              <w:spacing w:line="206" w:lineRule="exact" w:before="35"/>
              <w:ind w:left="149" w:right="48"/>
              <w:rPr>
                <w:sz w:val="18"/>
              </w:rPr>
            </w:pPr>
            <w:r>
              <w:rPr>
                <w:w w:val="105"/>
                <w:sz w:val="18"/>
              </w:rPr>
              <w:t>3,403,663</w:t>
            </w:r>
          </w:p>
        </w:tc>
        <w:tc>
          <w:tcPr>
            <w:tcW w:w="1493" w:type="dxa"/>
            <w:tcBorders>
              <w:top w:val="single" w:sz="6" w:space="0" w:color="69BD28"/>
              <w:bottom w:val="single" w:sz="6" w:space="0" w:color="69BD28"/>
            </w:tcBorders>
          </w:tcPr>
          <w:p>
            <w:pPr>
              <w:pStyle w:val="TableParagraph"/>
              <w:spacing w:line="206" w:lineRule="exact" w:before="35"/>
              <w:ind w:left="88"/>
              <w:rPr>
                <w:sz w:val="18"/>
              </w:rPr>
            </w:pPr>
            <w:r>
              <w:rPr>
                <w:w w:val="99"/>
                <w:sz w:val="18"/>
              </w:rPr>
              <w:t>-</w:t>
            </w:r>
          </w:p>
        </w:tc>
        <w:tc>
          <w:tcPr>
            <w:tcW w:w="1170" w:type="dxa"/>
            <w:tcBorders>
              <w:top w:val="single" w:sz="6" w:space="0" w:color="69BD28"/>
              <w:bottom w:val="single" w:sz="6" w:space="0" w:color="69BD28"/>
            </w:tcBorders>
          </w:tcPr>
          <w:p>
            <w:pPr>
              <w:pStyle w:val="TableParagraph"/>
              <w:spacing w:line="206" w:lineRule="exact" w:before="35"/>
              <w:ind w:left="192" w:right="103"/>
              <w:rPr>
                <w:sz w:val="18"/>
              </w:rPr>
            </w:pPr>
            <w:r>
              <w:rPr>
                <w:w w:val="110"/>
                <w:sz w:val="18"/>
              </w:rPr>
              <w:t>707,550</w:t>
            </w:r>
          </w:p>
        </w:tc>
      </w:tr>
      <w:tr>
        <w:trPr>
          <w:trHeight w:val="259" w:hRule="atLeast"/>
        </w:trPr>
        <w:tc>
          <w:tcPr>
            <w:tcW w:w="2068" w:type="dxa"/>
            <w:tcBorders>
              <w:top w:val="single" w:sz="6" w:space="0" w:color="69BD28"/>
              <w:bottom w:val="single" w:sz="6" w:space="0" w:color="69BD28"/>
            </w:tcBorders>
          </w:tcPr>
          <w:p>
            <w:pPr>
              <w:pStyle w:val="TableParagraph"/>
              <w:spacing w:line="206" w:lineRule="exact" w:before="33"/>
              <w:ind w:left="67" w:right="242"/>
              <w:rPr>
                <w:sz w:val="18"/>
              </w:rPr>
            </w:pPr>
            <w:r>
              <w:rPr>
                <w:sz w:val="18"/>
              </w:rPr>
              <w:t>Retail</w:t>
            </w:r>
          </w:p>
        </w:tc>
        <w:tc>
          <w:tcPr>
            <w:tcW w:w="1666" w:type="dxa"/>
            <w:tcBorders>
              <w:top w:val="single" w:sz="6" w:space="0" w:color="69BD28"/>
              <w:bottom w:val="single" w:sz="6" w:space="0" w:color="69BD28"/>
            </w:tcBorders>
          </w:tcPr>
          <w:p>
            <w:pPr>
              <w:pStyle w:val="TableParagraph"/>
              <w:spacing w:line="206" w:lineRule="exact" w:before="33"/>
              <w:ind w:left="308" w:right="383"/>
              <w:rPr>
                <w:sz w:val="18"/>
              </w:rPr>
            </w:pPr>
            <w:r>
              <w:rPr>
                <w:w w:val="110"/>
                <w:sz w:val="18"/>
              </w:rPr>
              <w:t>58,083</w:t>
            </w:r>
          </w:p>
        </w:tc>
        <w:tc>
          <w:tcPr>
            <w:tcW w:w="1642" w:type="dxa"/>
            <w:tcBorders>
              <w:top w:val="single" w:sz="6" w:space="0" w:color="69BD28"/>
              <w:bottom w:val="single" w:sz="6" w:space="0" w:color="69BD28"/>
            </w:tcBorders>
          </w:tcPr>
          <w:p>
            <w:pPr>
              <w:pStyle w:val="TableParagraph"/>
              <w:spacing w:line="206" w:lineRule="exact" w:before="33"/>
              <w:ind w:left="103"/>
              <w:rPr>
                <w:sz w:val="18"/>
              </w:rPr>
            </w:pPr>
            <w:r>
              <w:rPr>
                <w:w w:val="99"/>
                <w:sz w:val="18"/>
              </w:rPr>
              <w:t>-</w:t>
            </w:r>
          </w:p>
        </w:tc>
        <w:tc>
          <w:tcPr>
            <w:tcW w:w="1493" w:type="dxa"/>
            <w:tcBorders>
              <w:top w:val="single" w:sz="6" w:space="0" w:color="69BD28"/>
              <w:bottom w:val="single" w:sz="6" w:space="0" w:color="69BD28"/>
            </w:tcBorders>
          </w:tcPr>
          <w:p>
            <w:pPr>
              <w:pStyle w:val="TableParagraph"/>
              <w:spacing w:line="206" w:lineRule="exact" w:before="33"/>
              <w:ind w:left="498"/>
              <w:jc w:val="left"/>
              <w:rPr>
                <w:sz w:val="18"/>
              </w:rPr>
            </w:pPr>
            <w:r>
              <w:rPr>
                <w:w w:val="110"/>
                <w:sz w:val="18"/>
              </w:rPr>
              <w:t>58,083</w:t>
            </w:r>
          </w:p>
        </w:tc>
        <w:tc>
          <w:tcPr>
            <w:tcW w:w="1170" w:type="dxa"/>
            <w:tcBorders>
              <w:top w:val="single" w:sz="6" w:space="0" w:color="69BD28"/>
              <w:bottom w:val="single" w:sz="6" w:space="0" w:color="69BD28"/>
            </w:tcBorders>
          </w:tcPr>
          <w:p>
            <w:pPr>
              <w:pStyle w:val="TableParagraph"/>
              <w:jc w:val="left"/>
              <w:rPr>
                <w:rFonts w:ascii="Times New Roman"/>
                <w:sz w:val="18"/>
              </w:rPr>
            </w:pPr>
          </w:p>
        </w:tc>
      </w:tr>
      <w:tr>
        <w:trPr>
          <w:trHeight w:val="258" w:hRule="atLeast"/>
        </w:trPr>
        <w:tc>
          <w:tcPr>
            <w:tcW w:w="2068" w:type="dxa"/>
            <w:tcBorders>
              <w:top w:val="single" w:sz="6" w:space="0" w:color="69BD28"/>
              <w:bottom w:val="single" w:sz="6" w:space="0" w:color="69BD28"/>
            </w:tcBorders>
          </w:tcPr>
          <w:p>
            <w:pPr>
              <w:pStyle w:val="TableParagraph"/>
              <w:spacing w:line="206" w:lineRule="exact" w:before="33"/>
              <w:ind w:left="67" w:right="244"/>
              <w:rPr>
                <w:sz w:val="18"/>
              </w:rPr>
            </w:pPr>
            <w:r>
              <w:rPr>
                <w:sz w:val="18"/>
              </w:rPr>
              <w:t>Total </w:t>
            </w:r>
            <w:r>
              <w:rPr>
                <w:w w:val="105"/>
                <w:sz w:val="18"/>
              </w:rPr>
              <w:t>– </w:t>
            </w:r>
            <w:r>
              <w:rPr>
                <w:sz w:val="18"/>
              </w:rPr>
              <w:t>Office/ Retail</w:t>
            </w:r>
          </w:p>
        </w:tc>
        <w:tc>
          <w:tcPr>
            <w:tcW w:w="1666" w:type="dxa"/>
            <w:tcBorders>
              <w:top w:val="single" w:sz="6" w:space="0" w:color="69BD28"/>
              <w:bottom w:val="single" w:sz="6" w:space="0" w:color="69BD28"/>
            </w:tcBorders>
          </w:tcPr>
          <w:p>
            <w:pPr>
              <w:pStyle w:val="TableParagraph"/>
              <w:spacing w:line="206" w:lineRule="exact" w:before="33"/>
              <w:ind w:left="310" w:right="383"/>
              <w:rPr>
                <w:sz w:val="18"/>
              </w:rPr>
            </w:pPr>
            <w:r>
              <w:rPr>
                <w:w w:val="105"/>
                <w:sz w:val="18"/>
              </w:rPr>
              <w:t>14,819,653</w:t>
            </w:r>
          </w:p>
        </w:tc>
        <w:tc>
          <w:tcPr>
            <w:tcW w:w="1642" w:type="dxa"/>
            <w:tcBorders>
              <w:top w:val="single" w:sz="6" w:space="0" w:color="69BD28"/>
              <w:bottom w:val="single" w:sz="6" w:space="0" w:color="69BD28"/>
            </w:tcBorders>
          </w:tcPr>
          <w:p>
            <w:pPr>
              <w:pStyle w:val="TableParagraph"/>
              <w:spacing w:line="206" w:lineRule="exact" w:before="33"/>
              <w:ind w:left="149" w:right="48"/>
              <w:rPr>
                <w:sz w:val="18"/>
              </w:rPr>
            </w:pPr>
            <w:r>
              <w:rPr>
                <w:w w:val="105"/>
                <w:sz w:val="18"/>
              </w:rPr>
              <w:t>11,751,174</w:t>
            </w:r>
          </w:p>
        </w:tc>
        <w:tc>
          <w:tcPr>
            <w:tcW w:w="1493" w:type="dxa"/>
            <w:tcBorders>
              <w:top w:val="single" w:sz="6" w:space="0" w:color="69BD28"/>
              <w:bottom w:val="single" w:sz="6" w:space="0" w:color="69BD28"/>
            </w:tcBorders>
          </w:tcPr>
          <w:p>
            <w:pPr>
              <w:pStyle w:val="TableParagraph"/>
              <w:spacing w:line="206" w:lineRule="exact" w:before="33"/>
              <w:ind w:left="366"/>
              <w:jc w:val="left"/>
              <w:rPr>
                <w:sz w:val="18"/>
              </w:rPr>
            </w:pPr>
            <w:r>
              <w:rPr>
                <w:w w:val="105"/>
                <w:sz w:val="18"/>
              </w:rPr>
              <w:t>1,652,929</w:t>
            </w:r>
          </w:p>
        </w:tc>
        <w:tc>
          <w:tcPr>
            <w:tcW w:w="1170" w:type="dxa"/>
            <w:tcBorders>
              <w:top w:val="single" w:sz="6" w:space="0" w:color="69BD28"/>
              <w:bottom w:val="single" w:sz="6" w:space="0" w:color="69BD28"/>
            </w:tcBorders>
          </w:tcPr>
          <w:p>
            <w:pPr>
              <w:pStyle w:val="TableParagraph"/>
              <w:spacing w:line="206" w:lineRule="exact" w:before="33"/>
              <w:ind w:left="194" w:right="103"/>
              <w:rPr>
                <w:sz w:val="18"/>
              </w:rPr>
            </w:pPr>
            <w:r>
              <w:rPr>
                <w:w w:val="105"/>
                <w:sz w:val="18"/>
              </w:rPr>
              <w:t>1,415,550</w:t>
            </w:r>
          </w:p>
        </w:tc>
      </w:tr>
    </w:tbl>
    <w:p>
      <w:pPr>
        <w:spacing w:after="0" w:line="206" w:lineRule="exact"/>
        <w:rPr>
          <w:sz w:val="18"/>
        </w:rPr>
        <w:sectPr>
          <w:pgSz w:w="11910" w:h="16840"/>
          <w:pgMar w:header="720" w:footer="842" w:top="1520" w:bottom="1040" w:left="440" w:right="80"/>
        </w:sectPr>
      </w:pPr>
    </w:p>
    <w:p>
      <w:pPr>
        <w:spacing w:line="247" w:lineRule="auto" w:before="112"/>
        <w:ind w:left="2644" w:right="0" w:firstLine="629"/>
        <w:jc w:val="left"/>
        <w:rPr>
          <w:sz w:val="18"/>
        </w:rPr>
      </w:pPr>
      <w:r>
        <w:rPr>
          <w:sz w:val="18"/>
        </w:rPr>
        <w:t>Hotel </w:t>
      </w:r>
      <w:r>
        <w:rPr>
          <w:w w:val="95"/>
          <w:sz w:val="18"/>
        </w:rPr>
        <w:t>(including convention</w:t>
      </w:r>
    </w:p>
    <w:p>
      <w:pPr>
        <w:spacing w:before="1"/>
        <w:ind w:left="3216" w:right="0" w:firstLine="0"/>
        <w:jc w:val="left"/>
        <w:rPr>
          <w:sz w:val="18"/>
        </w:rPr>
      </w:pPr>
      <w:r>
        <w:rPr>
          <w:sz w:val="18"/>
        </w:rPr>
        <w:t>centre)</w:t>
      </w:r>
    </w:p>
    <w:p>
      <w:pPr>
        <w:spacing w:before="112"/>
        <w:ind w:left="693" w:right="0" w:firstLine="0"/>
        <w:jc w:val="left"/>
        <w:rPr>
          <w:sz w:val="18"/>
        </w:rPr>
      </w:pPr>
      <w:r>
        <w:rPr/>
        <w:br w:type="column"/>
      </w:r>
      <w:r>
        <w:rPr>
          <w:w w:val="105"/>
          <w:sz w:val="18"/>
        </w:rPr>
        <w:t>619 keys</w:t>
      </w:r>
    </w:p>
    <w:p>
      <w:pPr>
        <w:tabs>
          <w:tab w:pos="2755" w:val="left" w:leader="none"/>
        </w:tabs>
        <w:spacing w:before="7"/>
        <w:ind w:left="380" w:right="0" w:firstLine="0"/>
        <w:jc w:val="left"/>
        <w:rPr>
          <w:sz w:val="18"/>
        </w:rPr>
      </w:pPr>
      <w:r>
        <w:rPr>
          <w:w w:val="105"/>
          <w:sz w:val="18"/>
        </w:rPr>
        <w:t>(Hotel</w:t>
      </w:r>
      <w:r>
        <w:rPr>
          <w:spacing w:val="-16"/>
          <w:w w:val="105"/>
          <w:sz w:val="18"/>
        </w:rPr>
        <w:t> </w:t>
      </w:r>
      <w:r>
        <w:rPr>
          <w:w w:val="105"/>
          <w:sz w:val="18"/>
        </w:rPr>
        <w:t>-</w:t>
      </w:r>
      <w:r>
        <w:rPr>
          <w:spacing w:val="-15"/>
          <w:w w:val="105"/>
          <w:sz w:val="18"/>
        </w:rPr>
        <w:t> </w:t>
      </w:r>
      <w:r>
        <w:rPr>
          <w:w w:val="105"/>
          <w:sz w:val="18"/>
        </w:rPr>
        <w:t>722,678</w:t>
        <w:tab/>
      </w:r>
      <w:r>
        <w:rPr>
          <w:spacing w:val="-20"/>
          <w:w w:val="105"/>
          <w:sz w:val="18"/>
        </w:rPr>
        <w:t>-</w:t>
      </w:r>
    </w:p>
    <w:p>
      <w:pPr>
        <w:spacing w:before="7"/>
        <w:ind w:left="179" w:right="0" w:firstLine="0"/>
        <w:jc w:val="left"/>
        <w:rPr>
          <w:sz w:val="18"/>
        </w:rPr>
      </w:pPr>
      <w:r>
        <w:rPr>
          <w:w w:val="110"/>
          <w:sz w:val="18"/>
        </w:rPr>
        <w:t>Convention – 58,000)</w:t>
      </w:r>
    </w:p>
    <w:p>
      <w:pPr>
        <w:spacing w:before="4"/>
        <w:ind w:left="813" w:right="2009" w:firstLine="0"/>
        <w:jc w:val="center"/>
        <w:rPr>
          <w:sz w:val="18"/>
        </w:rPr>
      </w:pPr>
      <w:r>
        <w:rPr/>
        <w:br w:type="column"/>
      </w:r>
      <w:r>
        <w:rPr>
          <w:w w:val="105"/>
          <w:sz w:val="18"/>
        </w:rPr>
        <w:t>619 keys</w:t>
      </w:r>
    </w:p>
    <w:p>
      <w:pPr>
        <w:spacing w:before="7"/>
        <w:ind w:left="813" w:right="2010" w:firstLine="0"/>
        <w:jc w:val="center"/>
        <w:rPr>
          <w:sz w:val="18"/>
        </w:rPr>
      </w:pPr>
      <w:r>
        <w:rPr>
          <w:sz w:val="18"/>
        </w:rPr>
        <w:t>(Hotel - 722,678</w:t>
      </w:r>
    </w:p>
    <w:p>
      <w:pPr>
        <w:spacing w:before="7"/>
        <w:ind w:left="813" w:right="2009" w:firstLine="0"/>
        <w:jc w:val="center"/>
        <w:rPr>
          <w:sz w:val="18"/>
        </w:rPr>
      </w:pPr>
      <w:r>
        <w:rPr>
          <w:w w:val="115"/>
          <w:sz w:val="18"/>
        </w:rPr>
        <w:t>Convention –</w:t>
      </w:r>
    </w:p>
    <w:p>
      <w:pPr>
        <w:spacing w:before="7"/>
        <w:ind w:left="809" w:right="2010" w:firstLine="0"/>
        <w:jc w:val="center"/>
        <w:rPr>
          <w:sz w:val="18"/>
        </w:rPr>
      </w:pPr>
      <w:r>
        <w:rPr>
          <w:w w:val="105"/>
          <w:sz w:val="18"/>
        </w:rPr>
        <w:t>58,000)</w:t>
      </w:r>
    </w:p>
    <w:p>
      <w:pPr>
        <w:spacing w:after="0"/>
        <w:jc w:val="center"/>
        <w:rPr>
          <w:sz w:val="18"/>
        </w:rPr>
        <w:sectPr>
          <w:type w:val="continuous"/>
          <w:pgSz w:w="11910" w:h="16840"/>
          <w:pgMar w:top="800" w:bottom="280" w:left="440" w:right="80"/>
          <w:cols w:num="3" w:equalWidth="0">
            <w:col w:w="4315" w:space="40"/>
            <w:col w:w="2822" w:space="39"/>
            <w:col w:w="4174"/>
          </w:cols>
        </w:sectPr>
      </w:pPr>
    </w:p>
    <w:p>
      <w:pPr>
        <w:pStyle w:val="BodyText"/>
        <w:spacing w:line="20" w:lineRule="exact"/>
        <w:ind w:left="2522"/>
        <w:rPr>
          <w:sz w:val="2"/>
        </w:rPr>
      </w:pPr>
      <w:r>
        <w:rPr>
          <w:sz w:val="2"/>
        </w:rPr>
        <w:pict>
          <v:group style="width:402.7pt;height:.75pt;mso-position-horizontal-relative:char;mso-position-vertical-relative:line" coordorigin="0,0" coordsize="8054,15">
            <v:rect style="position:absolute;left:0;top:0;width:8054;height:15" filled="true" fillcolor="#69bd28" stroked="false">
              <v:fill type="solid"/>
            </v:rect>
          </v:group>
        </w:pict>
      </w:r>
      <w:r>
        <w:rPr>
          <w:sz w:val="2"/>
        </w:rPr>
      </w:r>
    </w:p>
    <w:p>
      <w:pPr>
        <w:spacing w:line="321" w:lineRule="auto" w:before="121"/>
        <w:ind w:left="2536" w:right="811" w:firstLine="0"/>
        <w:jc w:val="left"/>
        <w:rPr>
          <w:sz w:val="18"/>
        </w:rPr>
      </w:pPr>
      <w:r>
        <w:rPr>
          <w:sz w:val="18"/>
        </w:rPr>
        <w:t>Source:</w:t>
      </w:r>
      <w:r>
        <w:rPr>
          <w:spacing w:val="-21"/>
          <w:sz w:val="18"/>
        </w:rPr>
        <w:t> </w:t>
      </w:r>
      <w:r>
        <w:rPr>
          <w:sz w:val="18"/>
        </w:rPr>
        <w:t>Architect</w:t>
      </w:r>
      <w:r>
        <w:rPr>
          <w:spacing w:val="-19"/>
          <w:sz w:val="18"/>
        </w:rPr>
        <w:t> </w:t>
      </w:r>
      <w:r>
        <w:rPr>
          <w:sz w:val="18"/>
        </w:rPr>
        <w:t>certificates,</w:t>
      </w:r>
      <w:r>
        <w:rPr>
          <w:spacing w:val="-19"/>
          <w:sz w:val="18"/>
        </w:rPr>
        <w:t> </w:t>
      </w:r>
      <w:r>
        <w:rPr>
          <w:sz w:val="18"/>
        </w:rPr>
        <w:t>rent</w:t>
      </w:r>
      <w:r>
        <w:rPr>
          <w:spacing w:val="-20"/>
          <w:sz w:val="18"/>
        </w:rPr>
        <w:t> </w:t>
      </w:r>
      <w:r>
        <w:rPr>
          <w:sz w:val="18"/>
        </w:rPr>
        <w:t>roll,</w:t>
      </w:r>
      <w:r>
        <w:rPr>
          <w:spacing w:val="-19"/>
          <w:sz w:val="18"/>
        </w:rPr>
        <w:t> </w:t>
      </w:r>
      <w:r>
        <w:rPr>
          <w:sz w:val="18"/>
        </w:rPr>
        <w:t>lease</w:t>
      </w:r>
      <w:r>
        <w:rPr>
          <w:spacing w:val="-19"/>
          <w:sz w:val="18"/>
        </w:rPr>
        <w:t> </w:t>
      </w:r>
      <w:r>
        <w:rPr>
          <w:sz w:val="18"/>
        </w:rPr>
        <w:t>deeds;</w:t>
      </w:r>
      <w:r>
        <w:rPr>
          <w:spacing w:val="-20"/>
          <w:sz w:val="18"/>
        </w:rPr>
        <w:t> </w:t>
      </w:r>
      <w:r>
        <w:rPr>
          <w:sz w:val="18"/>
        </w:rPr>
        <w:t>Note</w:t>
      </w:r>
      <w:r>
        <w:rPr>
          <w:spacing w:val="-16"/>
          <w:sz w:val="18"/>
        </w:rPr>
        <w:t> </w:t>
      </w:r>
      <w:r>
        <w:rPr>
          <w:w w:val="105"/>
          <w:sz w:val="18"/>
        </w:rPr>
        <w:t>–</w:t>
      </w:r>
      <w:r>
        <w:rPr>
          <w:spacing w:val="-21"/>
          <w:w w:val="105"/>
          <w:sz w:val="18"/>
        </w:rPr>
        <w:t> </w:t>
      </w:r>
      <w:r>
        <w:rPr>
          <w:sz w:val="18"/>
        </w:rPr>
        <w:t>office</w:t>
      </w:r>
      <w:r>
        <w:rPr>
          <w:spacing w:val="-18"/>
          <w:sz w:val="18"/>
        </w:rPr>
        <w:t> </w:t>
      </w:r>
      <w:r>
        <w:rPr>
          <w:sz w:val="18"/>
        </w:rPr>
        <w:t>&amp;</w:t>
      </w:r>
      <w:r>
        <w:rPr>
          <w:spacing w:val="-19"/>
          <w:sz w:val="18"/>
        </w:rPr>
        <w:t> </w:t>
      </w:r>
      <w:r>
        <w:rPr>
          <w:sz w:val="18"/>
        </w:rPr>
        <w:t>retail</w:t>
      </w:r>
      <w:r>
        <w:rPr>
          <w:spacing w:val="-20"/>
          <w:sz w:val="18"/>
        </w:rPr>
        <w:t> </w:t>
      </w:r>
      <w:r>
        <w:rPr>
          <w:sz w:val="18"/>
        </w:rPr>
        <w:t>refers</w:t>
      </w:r>
      <w:r>
        <w:rPr>
          <w:spacing w:val="-19"/>
          <w:sz w:val="18"/>
        </w:rPr>
        <w:t> </w:t>
      </w:r>
      <w:r>
        <w:rPr>
          <w:sz w:val="18"/>
        </w:rPr>
        <w:t>to</w:t>
      </w:r>
      <w:r>
        <w:rPr>
          <w:spacing w:val="-19"/>
          <w:sz w:val="18"/>
        </w:rPr>
        <w:t> </w:t>
      </w:r>
      <w:r>
        <w:rPr>
          <w:sz w:val="18"/>
        </w:rPr>
        <w:t>leasable</w:t>
      </w:r>
      <w:r>
        <w:rPr>
          <w:spacing w:val="-20"/>
          <w:sz w:val="18"/>
        </w:rPr>
        <w:t> </w:t>
      </w:r>
      <w:r>
        <w:rPr>
          <w:sz w:val="18"/>
        </w:rPr>
        <w:t>area while hotel &amp; convention refers to developable</w:t>
      </w:r>
      <w:r>
        <w:rPr>
          <w:spacing w:val="-29"/>
          <w:sz w:val="18"/>
        </w:rPr>
        <w:t> </w:t>
      </w:r>
      <w:r>
        <w:rPr>
          <w:sz w:val="18"/>
        </w:rPr>
        <w:t>area</w:t>
      </w:r>
    </w:p>
    <w:p>
      <w:pPr>
        <w:spacing w:after="0" w:line="321" w:lineRule="auto"/>
        <w:jc w:val="left"/>
        <w:rPr>
          <w:sz w:val="18"/>
        </w:rPr>
        <w:sectPr>
          <w:type w:val="continuous"/>
          <w:pgSz w:w="11910" w:h="16840"/>
          <w:pgMar w:top="800" w:bottom="280" w:left="440" w:right="80"/>
        </w:sectPr>
      </w:pPr>
    </w:p>
    <w:p>
      <w:pPr>
        <w:pStyle w:val="BodyText"/>
        <w:rPr>
          <w:sz w:val="20"/>
        </w:rPr>
      </w:pPr>
    </w:p>
    <w:p>
      <w:pPr>
        <w:pStyle w:val="BodyText"/>
        <w:spacing w:before="7"/>
      </w:pPr>
    </w:p>
    <w:p>
      <w:pPr>
        <w:spacing w:before="1"/>
        <w:ind w:left="392" w:right="0" w:firstLine="0"/>
        <w:jc w:val="left"/>
        <w:rPr>
          <w:sz w:val="18"/>
        </w:rPr>
      </w:pPr>
      <w:r>
        <w:rPr/>
        <w:pict>
          <v:shape style="position:absolute;margin-left:148.100006pt;margin-top:-6.139346pt;width:402.7pt;height:113.3pt;mso-position-horizontal-relative:page;mso-position-vertical-relative:paragraph;z-index:1583616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6"/>
                    <w:gridCol w:w="2780"/>
                    <w:gridCol w:w="2817"/>
                  </w:tblGrid>
                  <w:tr>
                    <w:trPr>
                      <w:trHeight w:val="671" w:hRule="atLeast"/>
                    </w:trPr>
                    <w:tc>
                      <w:tcPr>
                        <w:tcW w:w="2456" w:type="dxa"/>
                        <w:tcBorders>
                          <w:top w:val="single" w:sz="6" w:space="0" w:color="69BD28"/>
                        </w:tcBorders>
                        <w:shd w:val="clear" w:color="auto" w:fill="006A4D"/>
                      </w:tcPr>
                      <w:p>
                        <w:pPr>
                          <w:pStyle w:val="TableParagraph"/>
                          <w:spacing w:before="10"/>
                          <w:jc w:val="left"/>
                          <w:rPr>
                            <w:sz w:val="19"/>
                          </w:rPr>
                        </w:pPr>
                      </w:p>
                      <w:p>
                        <w:pPr>
                          <w:pStyle w:val="TableParagraph"/>
                          <w:spacing w:before="1"/>
                          <w:ind w:left="324"/>
                          <w:jc w:val="left"/>
                          <w:rPr>
                            <w:b/>
                            <w:sz w:val="18"/>
                          </w:rPr>
                        </w:pPr>
                        <w:r>
                          <w:rPr>
                            <w:b/>
                            <w:color w:val="FFFFFF"/>
                            <w:w w:val="110"/>
                            <w:sz w:val="18"/>
                          </w:rPr>
                          <w:t>Valuation Approach</w:t>
                        </w:r>
                      </w:p>
                    </w:tc>
                    <w:tc>
                      <w:tcPr>
                        <w:tcW w:w="2780" w:type="dxa"/>
                        <w:tcBorders>
                          <w:top w:val="single" w:sz="6" w:space="0" w:color="69BD28"/>
                          <w:bottom w:val="single" w:sz="6" w:space="0" w:color="69BD28"/>
                        </w:tcBorders>
                        <w:shd w:val="clear" w:color="auto" w:fill="006A4D"/>
                      </w:tcPr>
                      <w:p>
                        <w:pPr>
                          <w:pStyle w:val="TableParagraph"/>
                          <w:spacing w:before="10"/>
                          <w:jc w:val="left"/>
                          <w:rPr>
                            <w:sz w:val="19"/>
                          </w:rPr>
                        </w:pPr>
                      </w:p>
                      <w:p>
                        <w:pPr>
                          <w:pStyle w:val="TableParagraph"/>
                          <w:spacing w:before="1"/>
                          <w:ind w:left="543" w:right="555"/>
                          <w:rPr>
                            <w:b/>
                            <w:sz w:val="18"/>
                          </w:rPr>
                        </w:pPr>
                        <w:r>
                          <w:rPr>
                            <w:b/>
                            <w:color w:val="FFFFFF"/>
                            <w:w w:val="110"/>
                            <w:sz w:val="18"/>
                          </w:rPr>
                          <w:t>Completed Blocks</w:t>
                        </w:r>
                      </w:p>
                    </w:tc>
                    <w:tc>
                      <w:tcPr>
                        <w:tcW w:w="2817" w:type="dxa"/>
                        <w:tcBorders>
                          <w:top w:val="single" w:sz="6" w:space="0" w:color="69BD28"/>
                          <w:bottom w:val="single" w:sz="6" w:space="0" w:color="69BD28"/>
                        </w:tcBorders>
                        <w:shd w:val="clear" w:color="auto" w:fill="006A4D"/>
                      </w:tcPr>
                      <w:p>
                        <w:pPr>
                          <w:pStyle w:val="TableParagraph"/>
                          <w:spacing w:line="247" w:lineRule="auto" w:before="123"/>
                          <w:ind w:left="828" w:right="174" w:hanging="596"/>
                          <w:jc w:val="left"/>
                          <w:rPr>
                            <w:b/>
                            <w:sz w:val="18"/>
                          </w:rPr>
                        </w:pPr>
                        <w:r>
                          <w:rPr>
                            <w:b/>
                            <w:color w:val="FFFFFF"/>
                            <w:w w:val="110"/>
                            <w:sz w:val="18"/>
                          </w:rPr>
                          <w:t>Under Construction/ Land Stage Blocks</w:t>
                        </w:r>
                      </w:p>
                    </w:tc>
                  </w:tr>
                  <w:tr>
                    <w:trPr>
                      <w:trHeight w:val="743" w:hRule="atLeast"/>
                    </w:trPr>
                    <w:tc>
                      <w:tcPr>
                        <w:tcW w:w="2456" w:type="dxa"/>
                        <w:vMerge w:val="restart"/>
                        <w:shd w:val="clear" w:color="auto" w:fill="69BD28"/>
                      </w:tcPr>
                      <w:p>
                        <w:pPr>
                          <w:pStyle w:val="TableParagraph"/>
                          <w:jc w:val="left"/>
                          <w:rPr>
                            <w:sz w:val="23"/>
                          </w:rPr>
                        </w:pPr>
                      </w:p>
                      <w:p>
                        <w:pPr>
                          <w:pStyle w:val="TableParagraph"/>
                          <w:ind w:left="122" w:right="107"/>
                          <w:rPr>
                            <w:b/>
                            <w:sz w:val="18"/>
                          </w:rPr>
                        </w:pPr>
                        <w:r>
                          <w:rPr>
                            <w:b/>
                            <w:color w:val="FFFFFF"/>
                            <w:w w:val="105"/>
                            <w:sz w:val="18"/>
                          </w:rPr>
                          <w:t>Office/Retail Component</w:t>
                        </w:r>
                      </w:p>
                      <w:p>
                        <w:pPr>
                          <w:pStyle w:val="TableParagraph"/>
                          <w:jc w:val="left"/>
                          <w:rPr>
                            <w:sz w:val="22"/>
                          </w:rPr>
                        </w:pPr>
                      </w:p>
                      <w:p>
                        <w:pPr>
                          <w:pStyle w:val="TableParagraph"/>
                          <w:spacing w:before="150"/>
                          <w:ind w:left="118" w:right="107"/>
                          <w:rPr>
                            <w:b/>
                            <w:sz w:val="18"/>
                          </w:rPr>
                        </w:pPr>
                        <w:r>
                          <w:rPr>
                            <w:b/>
                            <w:color w:val="FFFFFF"/>
                            <w:w w:val="115"/>
                            <w:sz w:val="18"/>
                          </w:rPr>
                          <w:t>Other Components –</w:t>
                        </w:r>
                      </w:p>
                      <w:p>
                        <w:pPr>
                          <w:pStyle w:val="TableParagraph"/>
                          <w:spacing w:before="127"/>
                          <w:ind w:left="120" w:right="107"/>
                          <w:rPr>
                            <w:b/>
                            <w:sz w:val="18"/>
                          </w:rPr>
                        </w:pPr>
                        <w:r>
                          <w:rPr>
                            <w:b/>
                            <w:color w:val="FFFFFF"/>
                            <w:w w:val="105"/>
                            <w:sz w:val="18"/>
                          </w:rPr>
                          <w:t>Hotel, Convention, etc.</w:t>
                        </w:r>
                      </w:p>
                    </w:tc>
                    <w:tc>
                      <w:tcPr>
                        <w:tcW w:w="2780" w:type="dxa"/>
                        <w:tcBorders>
                          <w:top w:val="single" w:sz="6" w:space="0" w:color="69BD28"/>
                          <w:bottom w:val="single" w:sz="6" w:space="0" w:color="69BD28"/>
                        </w:tcBorders>
                      </w:tcPr>
                      <w:p>
                        <w:pPr>
                          <w:pStyle w:val="TableParagraph"/>
                          <w:spacing w:line="247" w:lineRule="auto" w:before="159"/>
                          <w:ind w:left="153" w:right="75" w:firstLine="28"/>
                          <w:jc w:val="left"/>
                          <w:rPr>
                            <w:sz w:val="18"/>
                          </w:rPr>
                        </w:pPr>
                        <w:r>
                          <w:rPr>
                            <w:sz w:val="18"/>
                          </w:rPr>
                          <w:t>Discounted Cash Flow Method (using rent reversion approach)</w:t>
                        </w:r>
                      </w:p>
                    </w:tc>
                    <w:tc>
                      <w:tcPr>
                        <w:tcW w:w="2817" w:type="dxa"/>
                        <w:tcBorders>
                          <w:top w:val="single" w:sz="6" w:space="0" w:color="69BD28"/>
                          <w:bottom w:val="single" w:sz="6" w:space="0" w:color="69BD28"/>
                        </w:tcBorders>
                      </w:tcPr>
                      <w:p>
                        <w:pPr>
                          <w:pStyle w:val="TableParagraph"/>
                          <w:spacing w:line="247" w:lineRule="auto" w:before="159"/>
                          <w:ind w:left="175" w:right="90" w:firstLine="26"/>
                          <w:jc w:val="left"/>
                          <w:rPr>
                            <w:sz w:val="18"/>
                          </w:rPr>
                        </w:pPr>
                        <w:r>
                          <w:rPr>
                            <w:sz w:val="18"/>
                          </w:rPr>
                          <w:t>Discounted Cash Flow Method (using rent reversion approach)</w:t>
                        </w:r>
                      </w:p>
                    </w:tc>
                  </w:tr>
                  <w:tr>
                    <w:trPr>
                      <w:trHeight w:val="791" w:hRule="atLeast"/>
                    </w:trPr>
                    <w:tc>
                      <w:tcPr>
                        <w:tcW w:w="2456" w:type="dxa"/>
                        <w:vMerge/>
                        <w:tcBorders>
                          <w:top w:val="nil"/>
                        </w:tcBorders>
                        <w:shd w:val="clear" w:color="auto" w:fill="69BD28"/>
                      </w:tcPr>
                      <w:p>
                        <w:pPr>
                          <w:rPr>
                            <w:sz w:val="2"/>
                            <w:szCs w:val="2"/>
                          </w:rPr>
                        </w:pPr>
                      </w:p>
                    </w:tc>
                    <w:tc>
                      <w:tcPr>
                        <w:tcW w:w="2780" w:type="dxa"/>
                        <w:tcBorders>
                          <w:top w:val="single" w:sz="6" w:space="0" w:color="69BD28"/>
                          <w:bottom w:val="single" w:sz="6" w:space="0" w:color="69BD28"/>
                        </w:tcBorders>
                      </w:tcPr>
                      <w:p>
                        <w:pPr>
                          <w:pStyle w:val="TableParagraph"/>
                          <w:spacing w:before="1"/>
                          <w:jc w:val="left"/>
                          <w:rPr>
                            <w:sz w:val="25"/>
                          </w:rPr>
                        </w:pPr>
                      </w:p>
                      <w:p>
                        <w:pPr>
                          <w:pStyle w:val="TableParagraph"/>
                          <w:ind w:left="540" w:right="555"/>
                          <w:rPr>
                            <w:sz w:val="18"/>
                          </w:rPr>
                        </w:pPr>
                        <w:r>
                          <w:rPr>
                            <w:w w:val="115"/>
                            <w:sz w:val="18"/>
                          </w:rPr>
                          <w:t>NA</w:t>
                        </w:r>
                      </w:p>
                    </w:tc>
                    <w:tc>
                      <w:tcPr>
                        <w:tcW w:w="2817" w:type="dxa"/>
                        <w:tcBorders>
                          <w:top w:val="single" w:sz="6" w:space="0" w:color="69BD28"/>
                          <w:bottom w:val="single" w:sz="6" w:space="0" w:color="69BD28"/>
                        </w:tcBorders>
                      </w:tcPr>
                      <w:p>
                        <w:pPr>
                          <w:pStyle w:val="TableParagraph"/>
                          <w:spacing w:before="1"/>
                          <w:jc w:val="left"/>
                          <w:rPr>
                            <w:sz w:val="25"/>
                          </w:rPr>
                        </w:pPr>
                      </w:p>
                      <w:p>
                        <w:pPr>
                          <w:pStyle w:val="TableParagraph"/>
                          <w:ind w:left="204"/>
                          <w:jc w:val="left"/>
                          <w:rPr>
                            <w:sz w:val="18"/>
                          </w:rPr>
                        </w:pPr>
                        <w:r>
                          <w:rPr>
                            <w:sz w:val="18"/>
                          </w:rPr>
                          <w:t>Discounted Cash Flow Method</w:t>
                        </w:r>
                      </w:p>
                    </w:tc>
                  </w:tr>
                </w:tbl>
                <w:p>
                  <w:pPr>
                    <w:pStyle w:val="BodyText"/>
                  </w:pPr>
                </w:p>
              </w:txbxContent>
            </v:textbox>
            <w10:wrap type="none"/>
          </v:shape>
        </w:pict>
      </w:r>
      <w:r>
        <w:rPr>
          <w:color w:val="006A4D"/>
          <w:sz w:val="18"/>
        </w:rPr>
        <w:t>Valuation Approaches: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3"/>
        </w:rPr>
      </w:pPr>
    </w:p>
    <w:p>
      <w:pPr>
        <w:tabs>
          <w:tab w:pos="2536" w:val="left" w:leader="none"/>
        </w:tabs>
        <w:spacing w:before="1"/>
        <w:ind w:left="392" w:right="0" w:firstLine="0"/>
        <w:jc w:val="left"/>
        <w:rPr>
          <w:sz w:val="18"/>
        </w:rPr>
      </w:pPr>
      <w:r>
        <w:rPr>
          <w:color w:val="006A4D"/>
          <w:sz w:val="18"/>
        </w:rPr>
        <w:t>Date</w:t>
      </w:r>
      <w:r>
        <w:rPr>
          <w:color w:val="006A4D"/>
          <w:spacing w:val="-14"/>
          <w:sz w:val="18"/>
        </w:rPr>
        <w:t> </w:t>
      </w:r>
      <w:r>
        <w:rPr>
          <w:color w:val="006A4D"/>
          <w:sz w:val="18"/>
        </w:rPr>
        <w:t>of</w:t>
      </w:r>
      <w:r>
        <w:rPr>
          <w:color w:val="006A4D"/>
          <w:spacing w:val="-13"/>
          <w:sz w:val="18"/>
        </w:rPr>
        <w:t> </w:t>
      </w:r>
      <w:r>
        <w:rPr>
          <w:color w:val="006A4D"/>
          <w:sz w:val="18"/>
        </w:rPr>
        <w:t>Valuation:</w:t>
        <w:tab/>
      </w:r>
      <w:r>
        <w:rPr>
          <w:sz w:val="18"/>
        </w:rPr>
        <w:t>March 31,</w:t>
      </w:r>
      <w:r>
        <w:rPr>
          <w:spacing w:val="-1"/>
          <w:sz w:val="18"/>
        </w:rPr>
        <w:t> </w:t>
      </w:r>
      <w:r>
        <w:rPr>
          <w:sz w:val="18"/>
        </w:rPr>
        <w:t>2020</w:t>
      </w:r>
    </w:p>
    <w:p>
      <w:pPr>
        <w:pStyle w:val="BodyText"/>
        <w:spacing w:before="8"/>
        <w:rPr>
          <w:sz w:val="27"/>
        </w:rPr>
      </w:pPr>
    </w:p>
    <w:p>
      <w:pPr>
        <w:tabs>
          <w:tab w:pos="2536" w:val="left" w:leader="none"/>
        </w:tabs>
        <w:spacing w:line="321" w:lineRule="auto" w:before="0"/>
        <w:ind w:left="2536" w:right="812" w:hanging="2144"/>
        <w:jc w:val="both"/>
        <w:rPr>
          <w:sz w:val="18"/>
        </w:rPr>
      </w:pPr>
      <w:r>
        <w:rPr>
          <w:color w:val="006A4D"/>
          <w:sz w:val="18"/>
        </w:rPr>
        <w:t>Date</w:t>
      </w:r>
      <w:r>
        <w:rPr>
          <w:color w:val="006A4D"/>
          <w:spacing w:val="-18"/>
          <w:sz w:val="18"/>
        </w:rPr>
        <w:t> </w:t>
      </w:r>
      <w:r>
        <w:rPr>
          <w:color w:val="006A4D"/>
          <w:sz w:val="18"/>
        </w:rPr>
        <w:t>of</w:t>
      </w:r>
      <w:r>
        <w:rPr>
          <w:color w:val="006A4D"/>
          <w:spacing w:val="-18"/>
          <w:sz w:val="18"/>
        </w:rPr>
        <w:t> </w:t>
      </w:r>
      <w:r>
        <w:rPr>
          <w:color w:val="006A4D"/>
          <w:sz w:val="18"/>
        </w:rPr>
        <w:t>Inspection:</w:t>
        <w:tab/>
      </w:r>
      <w:r>
        <w:rPr>
          <w:sz w:val="18"/>
        </w:rPr>
        <w:t>Not</w:t>
      </w:r>
      <w:r>
        <w:rPr>
          <w:spacing w:val="-6"/>
          <w:sz w:val="18"/>
        </w:rPr>
        <w:t> </w:t>
      </w:r>
      <w:r>
        <w:rPr>
          <w:sz w:val="18"/>
        </w:rPr>
        <w:t>Applicable.</w:t>
      </w:r>
      <w:r>
        <w:rPr>
          <w:spacing w:val="-4"/>
          <w:sz w:val="18"/>
        </w:rPr>
        <w:t> </w:t>
      </w:r>
      <w:r>
        <w:rPr>
          <w:sz w:val="18"/>
        </w:rPr>
        <w:t>Due</w:t>
      </w:r>
      <w:r>
        <w:rPr>
          <w:spacing w:val="-3"/>
          <w:sz w:val="18"/>
        </w:rPr>
        <w:t> </w:t>
      </w:r>
      <w:r>
        <w:rPr>
          <w:sz w:val="18"/>
        </w:rPr>
        <w:t>to</w:t>
      </w:r>
      <w:r>
        <w:rPr>
          <w:spacing w:val="-5"/>
          <w:sz w:val="18"/>
        </w:rPr>
        <w:t> </w:t>
      </w:r>
      <w:r>
        <w:rPr>
          <w:sz w:val="18"/>
        </w:rPr>
        <w:t>the</w:t>
      </w:r>
      <w:r>
        <w:rPr>
          <w:spacing w:val="-4"/>
          <w:sz w:val="18"/>
        </w:rPr>
        <w:t> </w:t>
      </w:r>
      <w:r>
        <w:rPr>
          <w:sz w:val="18"/>
        </w:rPr>
        <w:t>outbreak</w:t>
      </w:r>
      <w:r>
        <w:rPr>
          <w:spacing w:val="-5"/>
          <w:sz w:val="18"/>
        </w:rPr>
        <w:t> </w:t>
      </w:r>
      <w:r>
        <w:rPr>
          <w:sz w:val="18"/>
        </w:rPr>
        <w:t>of</w:t>
      </w:r>
      <w:r>
        <w:rPr>
          <w:spacing w:val="-4"/>
          <w:sz w:val="18"/>
        </w:rPr>
        <w:t> </w:t>
      </w:r>
      <w:r>
        <w:rPr>
          <w:sz w:val="18"/>
        </w:rPr>
        <w:t>Novel</w:t>
      </w:r>
      <w:r>
        <w:rPr>
          <w:spacing w:val="-6"/>
          <w:sz w:val="18"/>
        </w:rPr>
        <w:t> </w:t>
      </w:r>
      <w:r>
        <w:rPr>
          <w:sz w:val="18"/>
        </w:rPr>
        <w:t>Coronavirus</w:t>
      </w:r>
      <w:r>
        <w:rPr>
          <w:spacing w:val="-4"/>
          <w:sz w:val="18"/>
        </w:rPr>
        <w:t> </w:t>
      </w:r>
      <w:r>
        <w:rPr>
          <w:sz w:val="18"/>
        </w:rPr>
        <w:t>(COVID-19),</w:t>
      </w:r>
      <w:r>
        <w:rPr>
          <w:spacing w:val="-5"/>
          <w:sz w:val="18"/>
        </w:rPr>
        <w:t> </w:t>
      </w:r>
      <w:r>
        <w:rPr>
          <w:sz w:val="18"/>
        </w:rPr>
        <w:t>declared</w:t>
      </w:r>
      <w:r>
        <w:rPr>
          <w:spacing w:val="-5"/>
          <w:sz w:val="18"/>
        </w:rPr>
        <w:t> </w:t>
      </w:r>
      <w:r>
        <w:rPr>
          <w:sz w:val="18"/>
        </w:rPr>
        <w:t>by</w:t>
      </w:r>
      <w:r>
        <w:rPr>
          <w:spacing w:val="-5"/>
          <w:sz w:val="18"/>
        </w:rPr>
        <w:t> </w:t>
      </w:r>
      <w:r>
        <w:rPr>
          <w:sz w:val="18"/>
        </w:rPr>
        <w:t>the</w:t>
      </w:r>
      <w:r>
        <w:rPr>
          <w:spacing w:val="-3"/>
          <w:sz w:val="18"/>
        </w:rPr>
        <w:t> </w:t>
      </w:r>
      <w:r>
        <w:rPr>
          <w:sz w:val="18"/>
        </w:rPr>
        <w:t>World</w:t>
      </w:r>
      <w:r>
        <w:rPr>
          <w:spacing w:val="-5"/>
          <w:sz w:val="18"/>
        </w:rPr>
        <w:t> </w:t>
      </w:r>
      <w:r>
        <w:rPr>
          <w:sz w:val="18"/>
        </w:rPr>
        <w:t>health Organisation as a “Global Pandemic” on 11</w:t>
      </w:r>
      <w:r>
        <w:rPr>
          <w:position w:val="6"/>
          <w:sz w:val="11"/>
        </w:rPr>
        <w:t>th </w:t>
      </w:r>
      <w:r>
        <w:rPr>
          <w:sz w:val="18"/>
        </w:rPr>
        <w:t>March 2020, it has not been possible to carry out a formal</w:t>
      </w:r>
      <w:r>
        <w:rPr>
          <w:spacing w:val="-25"/>
          <w:sz w:val="18"/>
        </w:rPr>
        <w:t> </w:t>
      </w:r>
      <w:r>
        <w:rPr>
          <w:sz w:val="18"/>
        </w:rPr>
        <w:t>inspection</w:t>
      </w:r>
      <w:r>
        <w:rPr>
          <w:spacing w:val="-23"/>
          <w:sz w:val="18"/>
        </w:rPr>
        <w:t> </w:t>
      </w:r>
      <w:r>
        <w:rPr>
          <w:sz w:val="18"/>
        </w:rPr>
        <w:t>of</w:t>
      </w:r>
      <w:r>
        <w:rPr>
          <w:spacing w:val="-24"/>
          <w:sz w:val="18"/>
        </w:rPr>
        <w:t> </w:t>
      </w:r>
      <w:r>
        <w:rPr>
          <w:sz w:val="18"/>
        </w:rPr>
        <w:t>the</w:t>
      </w:r>
      <w:r>
        <w:rPr>
          <w:spacing w:val="-24"/>
          <w:sz w:val="18"/>
        </w:rPr>
        <w:t> </w:t>
      </w:r>
      <w:r>
        <w:rPr>
          <w:sz w:val="18"/>
        </w:rPr>
        <w:t>property</w:t>
      </w:r>
      <w:r>
        <w:rPr>
          <w:spacing w:val="-22"/>
          <w:sz w:val="18"/>
        </w:rPr>
        <w:t> </w:t>
      </w:r>
      <w:r>
        <w:rPr>
          <w:sz w:val="18"/>
        </w:rPr>
        <w:t>for</w:t>
      </w:r>
      <w:r>
        <w:rPr>
          <w:spacing w:val="-23"/>
          <w:sz w:val="18"/>
        </w:rPr>
        <w:t> </w:t>
      </w:r>
      <w:r>
        <w:rPr>
          <w:sz w:val="18"/>
        </w:rPr>
        <w:t>the</w:t>
      </w:r>
      <w:r>
        <w:rPr>
          <w:spacing w:val="-23"/>
          <w:sz w:val="18"/>
        </w:rPr>
        <w:t> </w:t>
      </w:r>
      <w:r>
        <w:rPr>
          <w:sz w:val="18"/>
        </w:rPr>
        <w:t>current</w:t>
      </w:r>
      <w:r>
        <w:rPr>
          <w:spacing w:val="-25"/>
          <w:sz w:val="18"/>
        </w:rPr>
        <w:t> </w:t>
      </w:r>
      <w:r>
        <w:rPr>
          <w:sz w:val="18"/>
        </w:rPr>
        <w:t>update.</w:t>
      </w:r>
      <w:r>
        <w:rPr>
          <w:spacing w:val="-23"/>
          <w:sz w:val="18"/>
        </w:rPr>
        <w:t> </w:t>
      </w:r>
      <w:r>
        <w:rPr>
          <w:sz w:val="18"/>
        </w:rPr>
        <w:t>The</w:t>
      </w:r>
      <w:r>
        <w:rPr>
          <w:spacing w:val="-24"/>
          <w:sz w:val="18"/>
        </w:rPr>
        <w:t> </w:t>
      </w:r>
      <w:r>
        <w:rPr>
          <w:sz w:val="18"/>
        </w:rPr>
        <w:t>site</w:t>
      </w:r>
      <w:r>
        <w:rPr>
          <w:spacing w:val="-23"/>
          <w:sz w:val="18"/>
        </w:rPr>
        <w:t> </w:t>
      </w:r>
      <w:r>
        <w:rPr>
          <w:sz w:val="18"/>
        </w:rPr>
        <w:t>observation,</w:t>
      </w:r>
      <w:r>
        <w:rPr>
          <w:spacing w:val="-25"/>
          <w:sz w:val="18"/>
        </w:rPr>
        <w:t> </w:t>
      </w:r>
      <w:r>
        <w:rPr>
          <w:sz w:val="18"/>
        </w:rPr>
        <w:t>details</w:t>
      </w:r>
      <w:r>
        <w:rPr>
          <w:spacing w:val="-23"/>
          <w:sz w:val="18"/>
        </w:rPr>
        <w:t> </w:t>
      </w:r>
      <w:r>
        <w:rPr>
          <w:sz w:val="18"/>
        </w:rPr>
        <w:t>and</w:t>
      </w:r>
      <w:r>
        <w:rPr>
          <w:spacing w:val="-24"/>
          <w:sz w:val="18"/>
        </w:rPr>
        <w:t> </w:t>
      </w:r>
      <w:r>
        <w:rPr>
          <w:sz w:val="18"/>
        </w:rPr>
        <w:t>pictures</w:t>
      </w:r>
      <w:r>
        <w:rPr>
          <w:spacing w:val="-24"/>
          <w:sz w:val="18"/>
        </w:rPr>
        <w:t> </w:t>
      </w:r>
      <w:r>
        <w:rPr>
          <w:sz w:val="18"/>
        </w:rPr>
        <w:t>are as</w:t>
      </w:r>
      <w:r>
        <w:rPr>
          <w:spacing w:val="-6"/>
          <w:sz w:val="18"/>
        </w:rPr>
        <w:t> </w:t>
      </w:r>
      <w:r>
        <w:rPr>
          <w:sz w:val="18"/>
        </w:rPr>
        <w:t>per</w:t>
      </w:r>
      <w:r>
        <w:rPr>
          <w:spacing w:val="-6"/>
          <w:sz w:val="18"/>
        </w:rPr>
        <w:t> </w:t>
      </w:r>
      <w:r>
        <w:rPr>
          <w:sz w:val="18"/>
        </w:rPr>
        <w:t>the</w:t>
      </w:r>
      <w:r>
        <w:rPr>
          <w:spacing w:val="-5"/>
          <w:sz w:val="18"/>
        </w:rPr>
        <w:t> </w:t>
      </w:r>
      <w:r>
        <w:rPr>
          <w:sz w:val="18"/>
        </w:rPr>
        <w:t>previous</w:t>
      </w:r>
      <w:r>
        <w:rPr>
          <w:spacing w:val="-5"/>
          <w:sz w:val="18"/>
        </w:rPr>
        <w:t> </w:t>
      </w:r>
      <w:r>
        <w:rPr>
          <w:sz w:val="18"/>
        </w:rPr>
        <w:t>site</w:t>
      </w:r>
      <w:r>
        <w:rPr>
          <w:spacing w:val="-5"/>
          <w:sz w:val="18"/>
        </w:rPr>
        <w:t> </w:t>
      </w:r>
      <w:r>
        <w:rPr>
          <w:sz w:val="18"/>
        </w:rPr>
        <w:t>visit</w:t>
      </w:r>
      <w:r>
        <w:rPr>
          <w:spacing w:val="-7"/>
          <w:sz w:val="18"/>
        </w:rPr>
        <w:t> </w:t>
      </w:r>
      <w:r>
        <w:rPr>
          <w:sz w:val="18"/>
        </w:rPr>
        <w:t>undertaken/</w:t>
      </w:r>
      <w:r>
        <w:rPr>
          <w:spacing w:val="-7"/>
          <w:sz w:val="18"/>
        </w:rPr>
        <w:t> </w:t>
      </w:r>
      <w:r>
        <w:rPr>
          <w:sz w:val="18"/>
        </w:rPr>
        <w:t>as</w:t>
      </w:r>
      <w:r>
        <w:rPr>
          <w:spacing w:val="-6"/>
          <w:sz w:val="18"/>
        </w:rPr>
        <w:t> </w:t>
      </w:r>
      <w:r>
        <w:rPr>
          <w:sz w:val="18"/>
        </w:rPr>
        <w:t>provided</w:t>
      </w:r>
      <w:r>
        <w:rPr>
          <w:spacing w:val="-6"/>
          <w:sz w:val="18"/>
        </w:rPr>
        <w:t> </w:t>
      </w:r>
      <w:r>
        <w:rPr>
          <w:sz w:val="18"/>
        </w:rPr>
        <w:t>by</w:t>
      </w:r>
      <w:r>
        <w:rPr>
          <w:spacing w:val="-6"/>
          <w:sz w:val="18"/>
        </w:rPr>
        <w:t> </w:t>
      </w:r>
      <w:r>
        <w:rPr>
          <w:sz w:val="18"/>
        </w:rPr>
        <w:t>the</w:t>
      </w:r>
      <w:r>
        <w:rPr>
          <w:spacing w:val="-5"/>
          <w:sz w:val="18"/>
        </w:rPr>
        <w:t> </w:t>
      </w:r>
      <w:r>
        <w:rPr>
          <w:sz w:val="18"/>
        </w:rPr>
        <w:t>Client</w:t>
      </w:r>
    </w:p>
    <w:p>
      <w:pPr>
        <w:pStyle w:val="BodyText"/>
        <w:spacing w:before="9"/>
        <w:rPr>
          <w:sz w:val="12"/>
        </w:rPr>
      </w:pPr>
    </w:p>
    <w:p>
      <w:pPr>
        <w:spacing w:after="0"/>
        <w:rPr>
          <w:sz w:val="12"/>
        </w:rPr>
        <w:sectPr>
          <w:pgSz w:w="11910" w:h="16840"/>
          <w:pgMar w:header="720" w:footer="842" w:top="1520" w:bottom="1040" w:left="440" w:right="80"/>
        </w:sectPr>
      </w:pPr>
    </w:p>
    <w:p>
      <w:pPr>
        <w:spacing w:line="321" w:lineRule="auto" w:before="104"/>
        <w:ind w:left="392" w:right="-16" w:firstLine="0"/>
        <w:jc w:val="left"/>
        <w:rPr>
          <w:sz w:val="18"/>
        </w:rPr>
      </w:pPr>
      <w:r>
        <w:rPr>
          <w:color w:val="006A4D"/>
          <w:sz w:val="18"/>
        </w:rPr>
        <w:t>Purchase</w:t>
      </w:r>
      <w:r>
        <w:rPr>
          <w:color w:val="006A4D"/>
          <w:spacing w:val="-36"/>
          <w:sz w:val="18"/>
        </w:rPr>
        <w:t> </w:t>
      </w:r>
      <w:r>
        <w:rPr>
          <w:color w:val="006A4D"/>
          <w:sz w:val="18"/>
        </w:rPr>
        <w:t>Price</w:t>
      </w:r>
      <w:r>
        <w:rPr>
          <w:color w:val="006A4D"/>
          <w:spacing w:val="-36"/>
          <w:sz w:val="18"/>
        </w:rPr>
        <w:t> </w:t>
      </w:r>
      <w:r>
        <w:rPr>
          <w:color w:val="006A4D"/>
          <w:sz w:val="18"/>
        </w:rPr>
        <w:t>for</w:t>
      </w:r>
      <w:r>
        <w:rPr>
          <w:color w:val="006A4D"/>
          <w:spacing w:val="-36"/>
          <w:sz w:val="18"/>
        </w:rPr>
        <w:t> </w:t>
      </w:r>
      <w:r>
        <w:rPr>
          <w:color w:val="006A4D"/>
          <w:sz w:val="18"/>
        </w:rPr>
        <w:t>the property:</w:t>
      </w:r>
    </w:p>
    <w:p>
      <w:pPr>
        <w:spacing w:before="104"/>
        <w:ind w:left="392" w:right="0" w:firstLine="0"/>
        <w:jc w:val="left"/>
        <w:rPr>
          <w:sz w:val="18"/>
        </w:rPr>
      </w:pPr>
      <w:r>
        <w:rPr/>
        <w:br w:type="column"/>
      </w:r>
      <w:r>
        <w:rPr>
          <w:sz w:val="18"/>
        </w:rPr>
        <w:t>The said acquisition was undertaken as part of the ‘Formation Transaction’ as described in the Final</w:t>
      </w:r>
    </w:p>
    <w:p>
      <w:pPr>
        <w:spacing w:before="72"/>
        <w:ind w:left="392" w:right="0" w:firstLine="0"/>
        <w:jc w:val="left"/>
        <w:rPr>
          <w:sz w:val="18"/>
        </w:rPr>
      </w:pPr>
      <w:r>
        <w:rPr>
          <w:sz w:val="18"/>
        </w:rPr>
        <w:t>Offer 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2083" w:space="61"/>
            <w:col w:w="9246"/>
          </w:cols>
        </w:sectPr>
      </w:pPr>
    </w:p>
    <w:p>
      <w:pPr>
        <w:pStyle w:val="BodyText"/>
        <w:spacing w:before="8"/>
        <w:rPr>
          <w:sz w:val="12"/>
        </w:rPr>
      </w:pPr>
    </w:p>
    <w:p>
      <w:pPr>
        <w:spacing w:after="0"/>
        <w:rPr>
          <w:sz w:val="12"/>
        </w:rPr>
        <w:sectPr>
          <w:type w:val="continuous"/>
          <w:pgSz w:w="11910" w:h="16840"/>
          <w:pgMar w:top="800" w:bottom="280" w:left="440" w:right="80"/>
        </w:sectPr>
      </w:pPr>
    </w:p>
    <w:p>
      <w:pPr>
        <w:spacing w:line="321" w:lineRule="auto" w:before="104"/>
        <w:ind w:left="392" w:right="-14" w:firstLine="0"/>
        <w:jc w:val="left"/>
        <w:rPr>
          <w:sz w:val="18"/>
        </w:rPr>
      </w:pPr>
      <w:r>
        <w:rPr>
          <w:color w:val="006A4D"/>
          <w:sz w:val="18"/>
        </w:rPr>
        <w:t>Ready</w:t>
      </w:r>
      <w:r>
        <w:rPr>
          <w:color w:val="006A4D"/>
          <w:spacing w:val="-30"/>
          <w:sz w:val="18"/>
        </w:rPr>
        <w:t> </w:t>
      </w:r>
      <w:r>
        <w:rPr>
          <w:color w:val="006A4D"/>
          <w:sz w:val="18"/>
        </w:rPr>
        <w:t>Reckoner</w:t>
      </w:r>
      <w:r>
        <w:rPr>
          <w:color w:val="006A4D"/>
          <w:spacing w:val="-29"/>
          <w:sz w:val="18"/>
        </w:rPr>
        <w:t> </w:t>
      </w:r>
      <w:r>
        <w:rPr>
          <w:color w:val="006A4D"/>
          <w:sz w:val="18"/>
        </w:rPr>
        <w:t>Rate</w:t>
      </w:r>
      <w:r>
        <w:rPr>
          <w:color w:val="006A4D"/>
          <w:spacing w:val="-29"/>
          <w:sz w:val="18"/>
        </w:rPr>
        <w:t> </w:t>
      </w:r>
      <w:r>
        <w:rPr>
          <w:color w:val="006A4D"/>
          <w:sz w:val="18"/>
        </w:rPr>
        <w:t>(as per documents published by State Government):</w:t>
      </w:r>
    </w:p>
    <w:p>
      <w:pPr>
        <w:spacing w:line="319" w:lineRule="auto" w:before="133"/>
        <w:ind w:left="392" w:right="90" w:firstLine="0"/>
        <w:jc w:val="left"/>
        <w:rPr>
          <w:sz w:val="18"/>
        </w:rPr>
      </w:pPr>
      <w:r>
        <w:rPr>
          <w:color w:val="006A4D"/>
          <w:sz w:val="18"/>
        </w:rPr>
        <w:t>Value Conclusion as of March 31, 2020:</w:t>
      </w:r>
    </w:p>
    <w:p>
      <w:pPr>
        <w:pStyle w:val="BodyText"/>
      </w:pPr>
    </w:p>
    <w:p>
      <w:pPr>
        <w:pStyle w:val="BodyText"/>
      </w:pPr>
    </w:p>
    <w:p>
      <w:pPr>
        <w:pStyle w:val="BodyText"/>
      </w:pPr>
    </w:p>
    <w:p>
      <w:pPr>
        <w:pStyle w:val="BodyText"/>
      </w:pPr>
    </w:p>
    <w:p>
      <w:pPr>
        <w:pStyle w:val="BodyText"/>
      </w:pPr>
    </w:p>
    <w:p>
      <w:pPr>
        <w:pStyle w:val="BodyText"/>
      </w:pPr>
    </w:p>
    <w:p>
      <w:pPr>
        <w:spacing w:line="321" w:lineRule="auto" w:before="175"/>
        <w:ind w:left="392" w:right="59" w:firstLine="0"/>
        <w:jc w:val="left"/>
        <w:rPr>
          <w:sz w:val="18"/>
        </w:rPr>
      </w:pPr>
      <w:r>
        <w:rPr>
          <w:color w:val="006A4D"/>
          <w:sz w:val="18"/>
        </w:rPr>
        <w:t>Assumptions, </w:t>
      </w:r>
      <w:r>
        <w:rPr>
          <w:color w:val="006A4D"/>
          <w:w w:val="95"/>
          <w:sz w:val="18"/>
        </w:rPr>
        <w:t>Disclaimers, Limitations </w:t>
      </w:r>
      <w:r>
        <w:rPr>
          <w:color w:val="006A4D"/>
          <w:sz w:val="18"/>
        </w:rPr>
        <w:t>&amp; Qualifications</w:t>
      </w:r>
    </w:p>
    <w:p>
      <w:pPr>
        <w:spacing w:line="460" w:lineRule="auto" w:before="104"/>
        <w:ind w:left="189" w:right="6080" w:firstLine="0"/>
        <w:jc w:val="left"/>
        <w:rPr>
          <w:sz w:val="18"/>
        </w:rPr>
      </w:pPr>
      <w:r>
        <w:rPr/>
        <w:br w:type="column"/>
      </w:r>
      <w:r>
        <w:rPr>
          <w:sz w:val="18"/>
        </w:rPr>
        <w:t>Land Rate: INR 86,000 per sqm Built-up Rate: INR 74,000 per sqm</w:t>
      </w:r>
    </w:p>
    <w:p>
      <w:pPr>
        <w:pStyle w:val="BodyText"/>
        <w:rPr>
          <w:sz w:val="20"/>
        </w:rPr>
      </w:pPr>
    </w:p>
    <w:p>
      <w:pPr>
        <w:pStyle w:val="BodyText"/>
        <w:spacing w:before="8"/>
        <w:rPr>
          <w:sz w:val="19"/>
        </w:rPr>
      </w:pPr>
    </w:p>
    <w:tbl>
      <w:tblPr>
        <w:tblW w:w="0" w:type="auto"/>
        <w:jc w:val="left"/>
        <w:tblInd w:w="1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79"/>
        <w:gridCol w:w="3770"/>
      </w:tblGrid>
      <w:tr>
        <w:trPr>
          <w:trHeight w:val="306" w:hRule="atLeast"/>
        </w:trPr>
        <w:tc>
          <w:tcPr>
            <w:tcW w:w="4279" w:type="dxa"/>
            <w:tcBorders>
              <w:top w:val="single" w:sz="12" w:space="0" w:color="1F6B16"/>
              <w:bottom w:val="single" w:sz="6" w:space="0" w:color="69BD28"/>
            </w:tcBorders>
            <w:shd w:val="clear" w:color="auto" w:fill="006A4D"/>
          </w:tcPr>
          <w:p>
            <w:pPr>
              <w:pStyle w:val="TableParagraph"/>
              <w:spacing w:before="49"/>
              <w:ind w:left="582" w:right="709"/>
              <w:rPr>
                <w:b/>
                <w:sz w:val="18"/>
              </w:rPr>
            </w:pPr>
            <w:r>
              <w:rPr>
                <w:b/>
                <w:color w:val="FFFFFF"/>
                <w:w w:val="105"/>
                <w:sz w:val="18"/>
              </w:rPr>
              <w:t>Component</w:t>
            </w:r>
          </w:p>
        </w:tc>
        <w:tc>
          <w:tcPr>
            <w:tcW w:w="3770" w:type="dxa"/>
            <w:tcBorders>
              <w:top w:val="single" w:sz="12" w:space="0" w:color="1F6B16"/>
              <w:bottom w:val="single" w:sz="6" w:space="0" w:color="69BD28"/>
            </w:tcBorders>
            <w:shd w:val="clear" w:color="auto" w:fill="006A4D"/>
          </w:tcPr>
          <w:p>
            <w:pPr>
              <w:pStyle w:val="TableParagraph"/>
              <w:spacing w:before="49"/>
              <w:ind w:left="724" w:right="859"/>
              <w:rPr>
                <w:b/>
                <w:sz w:val="18"/>
              </w:rPr>
            </w:pPr>
            <w:r>
              <w:rPr>
                <w:b/>
                <w:color w:val="FFFFFF"/>
                <w:w w:val="115"/>
                <w:sz w:val="18"/>
              </w:rPr>
              <w:t>Market Value (INR Mn)</w:t>
            </w:r>
          </w:p>
        </w:tc>
      </w:tr>
      <w:tr>
        <w:trPr>
          <w:trHeight w:val="325" w:hRule="atLeast"/>
        </w:trPr>
        <w:tc>
          <w:tcPr>
            <w:tcW w:w="4279" w:type="dxa"/>
            <w:tcBorders>
              <w:top w:val="single" w:sz="6" w:space="0" w:color="69BD28"/>
              <w:bottom w:val="single" w:sz="6" w:space="0" w:color="69BD28"/>
            </w:tcBorders>
          </w:tcPr>
          <w:p>
            <w:pPr>
              <w:pStyle w:val="TableParagraph"/>
              <w:spacing w:before="61"/>
              <w:ind w:left="582" w:right="706"/>
              <w:rPr>
                <w:sz w:val="18"/>
              </w:rPr>
            </w:pPr>
            <w:r>
              <w:rPr>
                <w:sz w:val="18"/>
              </w:rPr>
              <w:t>Completed Area</w:t>
            </w:r>
          </w:p>
        </w:tc>
        <w:tc>
          <w:tcPr>
            <w:tcW w:w="3770" w:type="dxa"/>
            <w:tcBorders>
              <w:top w:val="single" w:sz="6" w:space="0" w:color="69BD28"/>
              <w:bottom w:val="single" w:sz="6" w:space="0" w:color="69BD28"/>
            </w:tcBorders>
          </w:tcPr>
          <w:p>
            <w:pPr>
              <w:pStyle w:val="TableParagraph"/>
              <w:spacing w:before="61"/>
              <w:ind w:left="720" w:right="859"/>
              <w:rPr>
                <w:sz w:val="18"/>
              </w:rPr>
            </w:pPr>
            <w:r>
              <w:rPr>
                <w:w w:val="110"/>
                <w:sz w:val="18"/>
              </w:rPr>
              <w:t>129,952</w:t>
            </w:r>
          </w:p>
        </w:tc>
      </w:tr>
      <w:tr>
        <w:trPr>
          <w:trHeight w:val="347" w:hRule="atLeast"/>
        </w:trPr>
        <w:tc>
          <w:tcPr>
            <w:tcW w:w="4279" w:type="dxa"/>
            <w:tcBorders>
              <w:top w:val="single" w:sz="6" w:space="0" w:color="69BD28"/>
              <w:bottom w:val="single" w:sz="6" w:space="0" w:color="69BD28"/>
            </w:tcBorders>
          </w:tcPr>
          <w:p>
            <w:pPr>
              <w:pStyle w:val="TableParagraph"/>
              <w:spacing w:before="70"/>
              <w:ind w:left="582" w:right="709"/>
              <w:rPr>
                <w:sz w:val="18"/>
              </w:rPr>
            </w:pPr>
            <w:r>
              <w:rPr>
                <w:sz w:val="18"/>
              </w:rPr>
              <w:t>Under Construction/Proposed Blocks</w:t>
            </w:r>
          </w:p>
        </w:tc>
        <w:tc>
          <w:tcPr>
            <w:tcW w:w="3770" w:type="dxa"/>
            <w:tcBorders>
              <w:top w:val="single" w:sz="6" w:space="0" w:color="69BD28"/>
              <w:bottom w:val="single" w:sz="6" w:space="0" w:color="69BD28"/>
            </w:tcBorders>
          </w:tcPr>
          <w:p>
            <w:pPr>
              <w:pStyle w:val="TableParagraph"/>
              <w:spacing w:before="70"/>
              <w:ind w:left="722" w:right="859"/>
              <w:rPr>
                <w:sz w:val="18"/>
              </w:rPr>
            </w:pPr>
            <w:r>
              <w:rPr>
                <w:w w:val="110"/>
                <w:sz w:val="18"/>
              </w:rPr>
              <w:t>20,154</w:t>
            </w:r>
          </w:p>
        </w:tc>
      </w:tr>
      <w:tr>
        <w:trPr>
          <w:trHeight w:val="332" w:hRule="atLeast"/>
        </w:trPr>
        <w:tc>
          <w:tcPr>
            <w:tcW w:w="4279" w:type="dxa"/>
            <w:tcBorders>
              <w:top w:val="single" w:sz="6" w:space="0" w:color="69BD28"/>
              <w:bottom w:val="single" w:sz="6" w:space="0" w:color="69BD28"/>
            </w:tcBorders>
          </w:tcPr>
          <w:p>
            <w:pPr>
              <w:pStyle w:val="TableParagraph"/>
              <w:spacing w:before="58"/>
              <w:ind w:left="582" w:right="707"/>
              <w:rPr>
                <w:sz w:val="18"/>
              </w:rPr>
            </w:pPr>
            <w:r>
              <w:rPr>
                <w:sz w:val="18"/>
              </w:rPr>
              <w:t>Hotel (proposed)</w:t>
            </w:r>
          </w:p>
        </w:tc>
        <w:tc>
          <w:tcPr>
            <w:tcW w:w="3770" w:type="dxa"/>
            <w:tcBorders>
              <w:top w:val="single" w:sz="6" w:space="0" w:color="69BD28"/>
              <w:bottom w:val="single" w:sz="6" w:space="0" w:color="69BD28"/>
            </w:tcBorders>
          </w:tcPr>
          <w:p>
            <w:pPr>
              <w:pStyle w:val="TableParagraph"/>
              <w:spacing w:before="58"/>
              <w:ind w:left="722" w:right="859"/>
              <w:rPr>
                <w:sz w:val="18"/>
              </w:rPr>
            </w:pPr>
            <w:r>
              <w:rPr>
                <w:w w:val="105"/>
                <w:sz w:val="18"/>
              </w:rPr>
              <w:t>3,800</w:t>
            </w:r>
          </w:p>
        </w:tc>
      </w:tr>
      <w:tr>
        <w:trPr>
          <w:trHeight w:val="330" w:hRule="atLeast"/>
        </w:trPr>
        <w:tc>
          <w:tcPr>
            <w:tcW w:w="4279" w:type="dxa"/>
            <w:shd w:val="clear" w:color="auto" w:fill="69BD28"/>
          </w:tcPr>
          <w:p>
            <w:pPr>
              <w:pStyle w:val="TableParagraph"/>
              <w:spacing w:before="51"/>
              <w:ind w:left="579" w:right="709"/>
              <w:rPr>
                <w:sz w:val="18"/>
              </w:rPr>
            </w:pPr>
            <w:r>
              <w:rPr>
                <w:color w:val="FFFFFF"/>
                <w:sz w:val="18"/>
              </w:rPr>
              <w:t>Total Value of the property</w:t>
            </w:r>
          </w:p>
        </w:tc>
        <w:tc>
          <w:tcPr>
            <w:tcW w:w="3770" w:type="dxa"/>
            <w:shd w:val="clear" w:color="auto" w:fill="69BD28"/>
          </w:tcPr>
          <w:p>
            <w:pPr>
              <w:pStyle w:val="TableParagraph"/>
              <w:spacing w:before="51"/>
              <w:ind w:left="722" w:right="859"/>
              <w:rPr>
                <w:sz w:val="18"/>
              </w:rPr>
            </w:pPr>
            <w:r>
              <w:rPr>
                <w:color w:val="FFFFFF"/>
                <w:w w:val="110"/>
                <w:sz w:val="18"/>
              </w:rPr>
              <w:t>153,906</w:t>
            </w:r>
          </w:p>
        </w:tc>
      </w:tr>
    </w:tbl>
    <w:p>
      <w:pPr>
        <w:pStyle w:val="BodyText"/>
      </w:pPr>
    </w:p>
    <w:p>
      <w:pPr>
        <w:pStyle w:val="BodyText"/>
        <w:rPr>
          <w:sz w:val="24"/>
        </w:rPr>
      </w:pPr>
    </w:p>
    <w:p>
      <w:pPr>
        <w:spacing w:line="321" w:lineRule="auto" w:before="0"/>
        <w:ind w:left="189" w:right="808" w:firstLine="0"/>
        <w:jc w:val="both"/>
        <w:rPr>
          <w:sz w:val="18"/>
        </w:rPr>
      </w:pPr>
      <w:r>
        <w:rPr>
          <w:sz w:val="18"/>
        </w:rPr>
        <w:t>This valuation report is provided subject to assumptions, disclaimers, limitations and qualifications detailed throughout this report which are made in conjunction with those included within the </w:t>
      </w:r>
      <w:r>
        <w:rPr>
          <w:w w:val="95"/>
          <w:sz w:val="18"/>
        </w:rPr>
        <w:t>Assumptions,</w:t>
      </w:r>
      <w:r>
        <w:rPr>
          <w:spacing w:val="-14"/>
          <w:w w:val="95"/>
          <w:sz w:val="18"/>
        </w:rPr>
        <w:t> </w:t>
      </w:r>
      <w:r>
        <w:rPr>
          <w:w w:val="95"/>
          <w:sz w:val="18"/>
        </w:rPr>
        <w:t>Disclaimers,</w:t>
      </w:r>
      <w:r>
        <w:rPr>
          <w:spacing w:val="-13"/>
          <w:w w:val="95"/>
          <w:sz w:val="18"/>
        </w:rPr>
        <w:t> </w:t>
      </w:r>
      <w:r>
        <w:rPr>
          <w:w w:val="95"/>
          <w:sz w:val="18"/>
        </w:rPr>
        <w:t>Limitations</w:t>
      </w:r>
      <w:r>
        <w:rPr>
          <w:spacing w:val="-12"/>
          <w:w w:val="95"/>
          <w:sz w:val="18"/>
        </w:rPr>
        <w:t> </w:t>
      </w:r>
      <w:r>
        <w:rPr>
          <w:w w:val="95"/>
          <w:sz w:val="18"/>
        </w:rPr>
        <w:t>&amp;</w:t>
      </w:r>
      <w:r>
        <w:rPr>
          <w:spacing w:val="-13"/>
          <w:w w:val="95"/>
          <w:sz w:val="18"/>
        </w:rPr>
        <w:t> </w:t>
      </w:r>
      <w:r>
        <w:rPr>
          <w:w w:val="95"/>
          <w:sz w:val="18"/>
        </w:rPr>
        <w:t>Qualifications</w:t>
      </w:r>
      <w:r>
        <w:rPr>
          <w:spacing w:val="-12"/>
          <w:w w:val="95"/>
          <w:sz w:val="18"/>
        </w:rPr>
        <w:t> </w:t>
      </w:r>
      <w:r>
        <w:rPr>
          <w:w w:val="95"/>
          <w:sz w:val="18"/>
        </w:rPr>
        <w:t>section</w:t>
      </w:r>
      <w:r>
        <w:rPr>
          <w:spacing w:val="-12"/>
          <w:w w:val="95"/>
          <w:sz w:val="18"/>
        </w:rPr>
        <w:t> </w:t>
      </w:r>
      <w:r>
        <w:rPr>
          <w:w w:val="95"/>
          <w:sz w:val="18"/>
        </w:rPr>
        <w:t>located</w:t>
      </w:r>
      <w:r>
        <w:rPr>
          <w:spacing w:val="-13"/>
          <w:w w:val="95"/>
          <w:sz w:val="18"/>
        </w:rPr>
        <w:t> </w:t>
      </w:r>
      <w:r>
        <w:rPr>
          <w:w w:val="95"/>
          <w:sz w:val="18"/>
        </w:rPr>
        <w:t>within</w:t>
      </w:r>
      <w:r>
        <w:rPr>
          <w:spacing w:val="-12"/>
          <w:w w:val="95"/>
          <w:sz w:val="18"/>
        </w:rPr>
        <w:t> </w:t>
      </w:r>
      <w:r>
        <w:rPr>
          <w:w w:val="95"/>
          <w:sz w:val="18"/>
        </w:rPr>
        <w:t>this</w:t>
      </w:r>
      <w:r>
        <w:rPr>
          <w:spacing w:val="-12"/>
          <w:w w:val="95"/>
          <w:sz w:val="18"/>
        </w:rPr>
        <w:t> </w:t>
      </w:r>
      <w:r>
        <w:rPr>
          <w:w w:val="95"/>
          <w:sz w:val="18"/>
        </w:rPr>
        <w:t>report.</w:t>
      </w:r>
      <w:r>
        <w:rPr>
          <w:spacing w:val="-13"/>
          <w:w w:val="95"/>
          <w:sz w:val="18"/>
        </w:rPr>
        <w:t> </w:t>
      </w:r>
      <w:r>
        <w:rPr>
          <w:w w:val="95"/>
          <w:sz w:val="18"/>
        </w:rPr>
        <w:t>Reliance</w:t>
      </w:r>
      <w:r>
        <w:rPr>
          <w:spacing w:val="-12"/>
          <w:w w:val="95"/>
          <w:sz w:val="18"/>
        </w:rPr>
        <w:t> </w:t>
      </w:r>
      <w:r>
        <w:rPr>
          <w:w w:val="95"/>
          <w:sz w:val="18"/>
        </w:rPr>
        <w:t>on</w:t>
      </w:r>
      <w:r>
        <w:rPr>
          <w:spacing w:val="-13"/>
          <w:w w:val="95"/>
          <w:sz w:val="18"/>
        </w:rPr>
        <w:t> </w:t>
      </w:r>
      <w:r>
        <w:rPr>
          <w:w w:val="95"/>
          <w:sz w:val="18"/>
        </w:rPr>
        <w:t>this </w:t>
      </w:r>
      <w:r>
        <w:rPr>
          <w:sz w:val="18"/>
        </w:rPr>
        <w:t>report and extension of our liability is conditional upon the reader’s acknowledgement and understanding</w:t>
      </w:r>
      <w:r>
        <w:rPr>
          <w:spacing w:val="-29"/>
          <w:sz w:val="18"/>
        </w:rPr>
        <w:t> </w:t>
      </w:r>
      <w:r>
        <w:rPr>
          <w:sz w:val="18"/>
        </w:rPr>
        <w:t>of</w:t>
      </w:r>
      <w:r>
        <w:rPr>
          <w:spacing w:val="-27"/>
          <w:sz w:val="18"/>
        </w:rPr>
        <w:t> </w:t>
      </w:r>
      <w:r>
        <w:rPr>
          <w:sz w:val="18"/>
        </w:rPr>
        <w:t>these</w:t>
      </w:r>
      <w:r>
        <w:rPr>
          <w:spacing w:val="-27"/>
          <w:sz w:val="18"/>
        </w:rPr>
        <w:t> </w:t>
      </w:r>
      <w:r>
        <w:rPr>
          <w:sz w:val="18"/>
        </w:rPr>
        <w:t>statements.</w:t>
      </w:r>
      <w:r>
        <w:rPr>
          <w:spacing w:val="-27"/>
          <w:sz w:val="18"/>
        </w:rPr>
        <w:t> </w:t>
      </w:r>
      <w:r>
        <w:rPr>
          <w:sz w:val="18"/>
        </w:rPr>
        <w:t>This</w:t>
      </w:r>
      <w:r>
        <w:rPr>
          <w:spacing w:val="-27"/>
          <w:sz w:val="18"/>
        </w:rPr>
        <w:t> </w:t>
      </w:r>
      <w:r>
        <w:rPr>
          <w:sz w:val="18"/>
        </w:rPr>
        <w:t>valuation</w:t>
      </w:r>
      <w:r>
        <w:rPr>
          <w:spacing w:val="-27"/>
          <w:sz w:val="18"/>
        </w:rPr>
        <w:t> </w:t>
      </w:r>
      <w:r>
        <w:rPr>
          <w:sz w:val="18"/>
        </w:rPr>
        <w:t>is</w:t>
      </w:r>
      <w:r>
        <w:rPr>
          <w:spacing w:val="-27"/>
          <w:sz w:val="18"/>
        </w:rPr>
        <w:t> </w:t>
      </w:r>
      <w:r>
        <w:rPr>
          <w:sz w:val="18"/>
        </w:rPr>
        <w:t>for</w:t>
      </w:r>
      <w:r>
        <w:rPr>
          <w:spacing w:val="-28"/>
          <w:sz w:val="18"/>
        </w:rPr>
        <w:t> </w:t>
      </w:r>
      <w:r>
        <w:rPr>
          <w:sz w:val="18"/>
        </w:rPr>
        <w:t>the</w:t>
      </w:r>
      <w:r>
        <w:rPr>
          <w:spacing w:val="-27"/>
          <w:sz w:val="18"/>
        </w:rPr>
        <w:t> </w:t>
      </w:r>
      <w:r>
        <w:rPr>
          <w:sz w:val="18"/>
        </w:rPr>
        <w:t>use</w:t>
      </w:r>
      <w:r>
        <w:rPr>
          <w:spacing w:val="-28"/>
          <w:sz w:val="18"/>
        </w:rPr>
        <w:t> </w:t>
      </w:r>
      <w:r>
        <w:rPr>
          <w:sz w:val="18"/>
        </w:rPr>
        <w:t>of</w:t>
      </w:r>
      <w:r>
        <w:rPr>
          <w:spacing w:val="-27"/>
          <w:sz w:val="18"/>
        </w:rPr>
        <w:t> </w:t>
      </w:r>
      <w:r>
        <w:rPr>
          <w:sz w:val="18"/>
        </w:rPr>
        <w:t>the</w:t>
      </w:r>
      <w:r>
        <w:rPr>
          <w:spacing w:val="-27"/>
          <w:sz w:val="18"/>
        </w:rPr>
        <w:t> </w:t>
      </w:r>
      <w:r>
        <w:rPr>
          <w:sz w:val="18"/>
        </w:rPr>
        <w:t>party</w:t>
      </w:r>
      <w:r>
        <w:rPr>
          <w:spacing w:val="-28"/>
          <w:sz w:val="18"/>
        </w:rPr>
        <w:t> </w:t>
      </w:r>
      <w:r>
        <w:rPr>
          <w:sz w:val="18"/>
        </w:rPr>
        <w:t>to</w:t>
      </w:r>
      <w:r>
        <w:rPr>
          <w:spacing w:val="-27"/>
          <w:sz w:val="18"/>
        </w:rPr>
        <w:t> </w:t>
      </w:r>
      <w:r>
        <w:rPr>
          <w:sz w:val="18"/>
        </w:rPr>
        <w:t>whom</w:t>
      </w:r>
      <w:r>
        <w:rPr>
          <w:spacing w:val="-27"/>
          <w:sz w:val="18"/>
        </w:rPr>
        <w:t> </w:t>
      </w:r>
      <w:r>
        <w:rPr>
          <w:sz w:val="18"/>
        </w:rPr>
        <w:t>it</w:t>
      </w:r>
      <w:r>
        <w:rPr>
          <w:spacing w:val="-28"/>
          <w:sz w:val="18"/>
        </w:rPr>
        <w:t> </w:t>
      </w:r>
      <w:r>
        <w:rPr>
          <w:sz w:val="18"/>
        </w:rPr>
        <w:t>is</w:t>
      </w:r>
      <w:r>
        <w:rPr>
          <w:spacing w:val="-27"/>
          <w:sz w:val="18"/>
        </w:rPr>
        <w:t> </w:t>
      </w:r>
      <w:r>
        <w:rPr>
          <w:sz w:val="18"/>
        </w:rPr>
        <w:t>addressed</w:t>
      </w:r>
      <w:r>
        <w:rPr>
          <w:spacing w:val="-27"/>
          <w:sz w:val="18"/>
        </w:rPr>
        <w:t> </w:t>
      </w:r>
      <w:r>
        <w:rPr>
          <w:sz w:val="18"/>
        </w:rPr>
        <w:t>and for</w:t>
      </w:r>
      <w:r>
        <w:rPr>
          <w:spacing w:val="-19"/>
          <w:sz w:val="18"/>
        </w:rPr>
        <w:t> </w:t>
      </w:r>
      <w:r>
        <w:rPr>
          <w:sz w:val="18"/>
        </w:rPr>
        <w:t>no</w:t>
      </w:r>
      <w:r>
        <w:rPr>
          <w:spacing w:val="-20"/>
          <w:sz w:val="18"/>
        </w:rPr>
        <w:t> </w:t>
      </w:r>
      <w:r>
        <w:rPr>
          <w:sz w:val="18"/>
        </w:rPr>
        <w:t>other</w:t>
      </w:r>
      <w:r>
        <w:rPr>
          <w:spacing w:val="-18"/>
          <w:sz w:val="18"/>
        </w:rPr>
        <w:t> </w:t>
      </w:r>
      <w:r>
        <w:rPr>
          <w:sz w:val="18"/>
        </w:rPr>
        <w:t>purpose.</w:t>
      </w:r>
      <w:r>
        <w:rPr>
          <w:spacing w:val="-19"/>
          <w:sz w:val="18"/>
        </w:rPr>
        <w:t> </w:t>
      </w:r>
      <w:r>
        <w:rPr>
          <w:sz w:val="18"/>
        </w:rPr>
        <w:t>No</w:t>
      </w:r>
      <w:r>
        <w:rPr>
          <w:spacing w:val="-19"/>
          <w:sz w:val="18"/>
        </w:rPr>
        <w:t> </w:t>
      </w:r>
      <w:r>
        <w:rPr>
          <w:sz w:val="18"/>
        </w:rPr>
        <w:t>responsibility</w:t>
      </w:r>
      <w:r>
        <w:rPr>
          <w:spacing w:val="-19"/>
          <w:sz w:val="18"/>
        </w:rPr>
        <w:t> </w:t>
      </w:r>
      <w:r>
        <w:rPr>
          <w:sz w:val="18"/>
        </w:rPr>
        <w:t>is</w:t>
      </w:r>
      <w:r>
        <w:rPr>
          <w:spacing w:val="-18"/>
          <w:sz w:val="18"/>
        </w:rPr>
        <w:t> </w:t>
      </w:r>
      <w:r>
        <w:rPr>
          <w:sz w:val="18"/>
        </w:rPr>
        <w:t>accepted</w:t>
      </w:r>
      <w:r>
        <w:rPr>
          <w:spacing w:val="-19"/>
          <w:sz w:val="18"/>
        </w:rPr>
        <w:t> </w:t>
      </w:r>
      <w:r>
        <w:rPr>
          <w:sz w:val="18"/>
        </w:rPr>
        <w:t>to</w:t>
      </w:r>
      <w:r>
        <w:rPr>
          <w:spacing w:val="-20"/>
          <w:sz w:val="18"/>
        </w:rPr>
        <w:t> </w:t>
      </w:r>
      <w:r>
        <w:rPr>
          <w:sz w:val="18"/>
        </w:rPr>
        <w:t>any</w:t>
      </w:r>
      <w:r>
        <w:rPr>
          <w:spacing w:val="-18"/>
          <w:sz w:val="18"/>
        </w:rPr>
        <w:t> </w:t>
      </w:r>
      <w:r>
        <w:rPr>
          <w:sz w:val="18"/>
        </w:rPr>
        <w:t>third</w:t>
      </w:r>
      <w:r>
        <w:rPr>
          <w:spacing w:val="-19"/>
          <w:sz w:val="18"/>
        </w:rPr>
        <w:t> </w:t>
      </w:r>
      <w:r>
        <w:rPr>
          <w:sz w:val="18"/>
        </w:rPr>
        <w:t>party</w:t>
      </w:r>
      <w:r>
        <w:rPr>
          <w:spacing w:val="-19"/>
          <w:sz w:val="18"/>
        </w:rPr>
        <w:t> </w:t>
      </w:r>
      <w:r>
        <w:rPr>
          <w:sz w:val="18"/>
        </w:rPr>
        <w:t>who</w:t>
      </w:r>
      <w:r>
        <w:rPr>
          <w:spacing w:val="-18"/>
          <w:sz w:val="18"/>
        </w:rPr>
        <w:t> </w:t>
      </w:r>
      <w:r>
        <w:rPr>
          <w:sz w:val="18"/>
        </w:rPr>
        <w:t>may</w:t>
      </w:r>
      <w:r>
        <w:rPr>
          <w:spacing w:val="-19"/>
          <w:sz w:val="18"/>
        </w:rPr>
        <w:t> </w:t>
      </w:r>
      <w:r>
        <w:rPr>
          <w:sz w:val="18"/>
        </w:rPr>
        <w:t>use</w:t>
      </w:r>
      <w:r>
        <w:rPr>
          <w:spacing w:val="-18"/>
          <w:sz w:val="18"/>
        </w:rPr>
        <w:t> </w:t>
      </w:r>
      <w:r>
        <w:rPr>
          <w:sz w:val="18"/>
        </w:rPr>
        <w:t>or</w:t>
      </w:r>
      <w:r>
        <w:rPr>
          <w:spacing w:val="-19"/>
          <w:sz w:val="18"/>
        </w:rPr>
        <w:t> </w:t>
      </w:r>
      <w:r>
        <w:rPr>
          <w:sz w:val="18"/>
        </w:rPr>
        <w:t>rely</w:t>
      </w:r>
      <w:r>
        <w:rPr>
          <w:spacing w:val="-20"/>
          <w:sz w:val="18"/>
        </w:rPr>
        <w:t> </w:t>
      </w:r>
      <w:r>
        <w:rPr>
          <w:sz w:val="18"/>
        </w:rPr>
        <w:t>on</w:t>
      </w:r>
      <w:r>
        <w:rPr>
          <w:spacing w:val="-18"/>
          <w:sz w:val="18"/>
        </w:rPr>
        <w:t> </w:t>
      </w:r>
      <w:r>
        <w:rPr>
          <w:sz w:val="18"/>
        </w:rPr>
        <w:t>the</w:t>
      </w:r>
      <w:r>
        <w:rPr>
          <w:spacing w:val="-18"/>
          <w:sz w:val="18"/>
        </w:rPr>
        <w:t> </w:t>
      </w:r>
      <w:r>
        <w:rPr>
          <w:sz w:val="18"/>
        </w:rPr>
        <w:t>whole or</w:t>
      </w:r>
      <w:r>
        <w:rPr>
          <w:spacing w:val="-31"/>
          <w:sz w:val="18"/>
        </w:rPr>
        <w:t> </w:t>
      </w:r>
      <w:r>
        <w:rPr>
          <w:sz w:val="18"/>
        </w:rPr>
        <w:t>any</w:t>
      </w:r>
      <w:r>
        <w:rPr>
          <w:spacing w:val="-29"/>
          <w:sz w:val="18"/>
        </w:rPr>
        <w:t> </w:t>
      </w:r>
      <w:r>
        <w:rPr>
          <w:sz w:val="18"/>
        </w:rPr>
        <w:t>part</w:t>
      </w:r>
      <w:r>
        <w:rPr>
          <w:spacing w:val="-30"/>
          <w:sz w:val="18"/>
        </w:rPr>
        <w:t> </w:t>
      </w:r>
      <w:r>
        <w:rPr>
          <w:sz w:val="18"/>
        </w:rPr>
        <w:t>of</w:t>
      </w:r>
      <w:r>
        <w:rPr>
          <w:spacing w:val="-30"/>
          <w:sz w:val="18"/>
        </w:rPr>
        <w:t> </w:t>
      </w:r>
      <w:r>
        <w:rPr>
          <w:sz w:val="18"/>
        </w:rPr>
        <w:t>the</w:t>
      </w:r>
      <w:r>
        <w:rPr>
          <w:spacing w:val="-29"/>
          <w:sz w:val="18"/>
        </w:rPr>
        <w:t> </w:t>
      </w:r>
      <w:r>
        <w:rPr>
          <w:sz w:val="18"/>
        </w:rPr>
        <w:t>content</w:t>
      </w:r>
      <w:r>
        <w:rPr>
          <w:spacing w:val="-30"/>
          <w:sz w:val="18"/>
        </w:rPr>
        <w:t> </w:t>
      </w:r>
      <w:r>
        <w:rPr>
          <w:sz w:val="18"/>
        </w:rPr>
        <w:t>of</w:t>
      </w:r>
      <w:r>
        <w:rPr>
          <w:spacing w:val="-30"/>
          <w:sz w:val="18"/>
        </w:rPr>
        <w:t> </w:t>
      </w:r>
      <w:r>
        <w:rPr>
          <w:sz w:val="18"/>
        </w:rPr>
        <w:t>this</w:t>
      </w:r>
      <w:r>
        <w:rPr>
          <w:spacing w:val="-29"/>
          <w:sz w:val="18"/>
        </w:rPr>
        <w:t> </w:t>
      </w:r>
      <w:r>
        <w:rPr>
          <w:sz w:val="18"/>
        </w:rPr>
        <w:t>valuation.</w:t>
      </w:r>
      <w:r>
        <w:rPr>
          <w:spacing w:val="-31"/>
          <w:sz w:val="18"/>
        </w:rPr>
        <w:t> </w:t>
      </w:r>
      <w:r>
        <w:rPr>
          <w:sz w:val="18"/>
        </w:rPr>
        <w:t>The</w:t>
      </w:r>
      <w:r>
        <w:rPr>
          <w:spacing w:val="-29"/>
          <w:sz w:val="18"/>
        </w:rPr>
        <w:t> </w:t>
      </w:r>
      <w:r>
        <w:rPr>
          <w:sz w:val="18"/>
        </w:rPr>
        <w:t>valuer</w:t>
      </w:r>
      <w:r>
        <w:rPr>
          <w:spacing w:val="-30"/>
          <w:sz w:val="18"/>
        </w:rPr>
        <w:t> </w:t>
      </w:r>
      <w:r>
        <w:rPr>
          <w:sz w:val="18"/>
        </w:rPr>
        <w:t>has</w:t>
      </w:r>
      <w:r>
        <w:rPr>
          <w:spacing w:val="-29"/>
          <w:sz w:val="18"/>
        </w:rPr>
        <w:t> </w:t>
      </w:r>
      <w:r>
        <w:rPr>
          <w:sz w:val="18"/>
        </w:rPr>
        <w:t>no</w:t>
      </w:r>
      <w:r>
        <w:rPr>
          <w:spacing w:val="-30"/>
          <w:sz w:val="18"/>
        </w:rPr>
        <w:t> </w:t>
      </w:r>
      <w:r>
        <w:rPr>
          <w:sz w:val="18"/>
        </w:rPr>
        <w:t>pecuniary</w:t>
      </w:r>
      <w:r>
        <w:rPr>
          <w:spacing w:val="-30"/>
          <w:sz w:val="18"/>
        </w:rPr>
        <w:t> </w:t>
      </w:r>
      <w:r>
        <w:rPr>
          <w:sz w:val="18"/>
        </w:rPr>
        <w:t>interest</w:t>
      </w:r>
      <w:r>
        <w:rPr>
          <w:spacing w:val="-30"/>
          <w:sz w:val="18"/>
        </w:rPr>
        <w:t> </w:t>
      </w:r>
      <w:r>
        <w:rPr>
          <w:sz w:val="18"/>
        </w:rPr>
        <w:t>that</w:t>
      </w:r>
      <w:r>
        <w:rPr>
          <w:spacing w:val="-30"/>
          <w:sz w:val="18"/>
        </w:rPr>
        <w:t> </w:t>
      </w:r>
      <w:r>
        <w:rPr>
          <w:sz w:val="18"/>
        </w:rPr>
        <w:t>would</w:t>
      </w:r>
      <w:r>
        <w:rPr>
          <w:spacing w:val="-30"/>
          <w:sz w:val="18"/>
        </w:rPr>
        <w:t> </w:t>
      </w:r>
      <w:r>
        <w:rPr>
          <w:sz w:val="18"/>
        </w:rPr>
        <w:t>conflict</w:t>
      </w:r>
      <w:r>
        <w:rPr>
          <w:spacing w:val="-30"/>
          <w:sz w:val="18"/>
        </w:rPr>
        <w:t> </w:t>
      </w:r>
      <w:r>
        <w:rPr>
          <w:sz w:val="18"/>
        </w:rPr>
        <w:t>with the proper valuation of the</w:t>
      </w:r>
      <w:r>
        <w:rPr>
          <w:spacing w:val="-15"/>
          <w:sz w:val="18"/>
        </w:rPr>
        <w:t> </w:t>
      </w:r>
      <w:r>
        <w:rPr>
          <w:sz w:val="18"/>
        </w:rPr>
        <w:t>property.</w:t>
      </w:r>
    </w:p>
    <w:p>
      <w:pPr>
        <w:spacing w:after="0" w:line="321" w:lineRule="auto"/>
        <w:jc w:val="both"/>
        <w:rPr>
          <w:sz w:val="18"/>
        </w:rPr>
        <w:sectPr>
          <w:type w:val="continuous"/>
          <w:pgSz w:w="11910" w:h="16840"/>
          <w:pgMar w:top="800" w:bottom="280" w:left="440" w:right="80"/>
          <w:cols w:num="2" w:equalWidth="0">
            <w:col w:w="2308" w:space="40"/>
            <w:col w:w="9042"/>
          </w:cols>
        </w:sectPr>
      </w:pPr>
    </w:p>
    <w:p>
      <w:pPr>
        <w:pStyle w:val="BodyText"/>
        <w:spacing w:before="5"/>
      </w:pPr>
    </w:p>
    <w:p>
      <w:pPr>
        <w:pStyle w:val="ListParagraph"/>
        <w:numPr>
          <w:ilvl w:val="1"/>
          <w:numId w:val="14"/>
        </w:numPr>
        <w:tabs>
          <w:tab w:pos="856" w:val="left" w:leader="none"/>
          <w:tab w:pos="857" w:val="left" w:leader="none"/>
        </w:tabs>
        <w:spacing w:line="240" w:lineRule="auto" w:before="106" w:after="0"/>
        <w:ind w:left="856" w:right="0" w:hanging="577"/>
        <w:jc w:val="left"/>
        <w:rPr>
          <w:color w:val="1F6647"/>
          <w:sz w:val="22"/>
        </w:rPr>
      </w:pPr>
      <w:bookmarkStart w:name="_bookmark30" w:id="60"/>
      <w:bookmarkEnd w:id="60"/>
      <w:r>
        <w:rPr/>
      </w:r>
      <w:bookmarkStart w:name="_bookmark30" w:id="61"/>
      <w:bookmarkEnd w:id="61"/>
      <w:r>
        <w:rPr>
          <w:color w:val="1F6647"/>
          <w:sz w:val="22"/>
        </w:rPr>
        <w:t>E</w:t>
      </w:r>
      <w:r>
        <w:rPr>
          <w:color w:val="1F6647"/>
          <w:sz w:val="22"/>
        </w:rPr>
        <w:t>xpress</w:t>
      </w:r>
      <w:r>
        <w:rPr>
          <w:color w:val="1F6647"/>
          <w:spacing w:val="-2"/>
          <w:sz w:val="22"/>
        </w:rPr>
        <w:t> </w:t>
      </w:r>
      <w:r>
        <w:rPr>
          <w:color w:val="1F6647"/>
          <w:sz w:val="22"/>
        </w:rPr>
        <w:t>Towers</w:t>
      </w:r>
    </w:p>
    <w:p>
      <w:pPr>
        <w:pStyle w:val="BodyText"/>
        <w:spacing w:before="2"/>
        <w:rPr>
          <w:sz w:val="28"/>
        </w:rPr>
      </w:pPr>
    </w:p>
    <w:p>
      <w:pPr>
        <w:spacing w:line="321" w:lineRule="auto" w:before="0"/>
        <w:ind w:left="2121" w:right="964" w:hanging="1734"/>
        <w:jc w:val="both"/>
        <w:rPr>
          <w:sz w:val="18"/>
        </w:rPr>
      </w:pPr>
      <w:r>
        <w:rPr>
          <w:color w:val="006A4D"/>
          <w:sz w:val="18"/>
        </w:rPr>
        <w:t>Property</w:t>
      </w:r>
      <w:r>
        <w:rPr>
          <w:color w:val="006A4D"/>
          <w:spacing w:val="-21"/>
          <w:sz w:val="18"/>
        </w:rPr>
        <w:t> </w:t>
      </w:r>
      <w:r>
        <w:rPr>
          <w:color w:val="006A4D"/>
          <w:sz w:val="18"/>
        </w:rPr>
        <w:t>Name:</w:t>
      </w:r>
      <w:r>
        <w:rPr>
          <w:color w:val="006A4D"/>
          <w:spacing w:val="42"/>
          <w:sz w:val="18"/>
        </w:rPr>
        <w:t> </w:t>
      </w:r>
      <w:r>
        <w:rPr>
          <w:sz w:val="18"/>
        </w:rPr>
        <w:t>‘Express</w:t>
      </w:r>
      <w:r>
        <w:rPr>
          <w:spacing w:val="-26"/>
          <w:sz w:val="18"/>
        </w:rPr>
        <w:t> </w:t>
      </w:r>
      <w:r>
        <w:rPr>
          <w:sz w:val="18"/>
        </w:rPr>
        <w:t>Towers’</w:t>
      </w:r>
      <w:r>
        <w:rPr>
          <w:spacing w:val="-28"/>
          <w:sz w:val="18"/>
        </w:rPr>
        <w:t> </w:t>
      </w:r>
      <w:r>
        <w:rPr>
          <w:sz w:val="18"/>
        </w:rPr>
        <w:t>is</w:t>
      </w:r>
      <w:r>
        <w:rPr>
          <w:spacing w:val="-27"/>
          <w:sz w:val="18"/>
        </w:rPr>
        <w:t> </w:t>
      </w:r>
      <w:r>
        <w:rPr>
          <w:sz w:val="18"/>
        </w:rPr>
        <w:t>an</w:t>
      </w:r>
      <w:r>
        <w:rPr>
          <w:spacing w:val="-26"/>
          <w:sz w:val="18"/>
        </w:rPr>
        <w:t> </w:t>
      </w:r>
      <w:r>
        <w:rPr>
          <w:sz w:val="18"/>
        </w:rPr>
        <w:t>operational</w:t>
      </w:r>
      <w:r>
        <w:rPr>
          <w:spacing w:val="-25"/>
          <w:sz w:val="18"/>
        </w:rPr>
        <w:t> </w:t>
      </w:r>
      <w:r>
        <w:rPr>
          <w:sz w:val="18"/>
        </w:rPr>
        <w:t>city</w:t>
      </w:r>
      <w:r>
        <w:rPr>
          <w:spacing w:val="-27"/>
          <w:sz w:val="18"/>
        </w:rPr>
        <w:t> </w:t>
      </w:r>
      <w:r>
        <w:rPr>
          <w:sz w:val="18"/>
        </w:rPr>
        <w:t>centre</w:t>
      </w:r>
      <w:r>
        <w:rPr>
          <w:spacing w:val="-26"/>
          <w:sz w:val="18"/>
        </w:rPr>
        <w:t> </w:t>
      </w:r>
      <w:r>
        <w:rPr>
          <w:sz w:val="18"/>
        </w:rPr>
        <w:t>office</w:t>
      </w:r>
      <w:r>
        <w:rPr>
          <w:spacing w:val="-25"/>
          <w:sz w:val="18"/>
        </w:rPr>
        <w:t> </w:t>
      </w:r>
      <w:r>
        <w:rPr>
          <w:sz w:val="18"/>
        </w:rPr>
        <w:t>located</w:t>
      </w:r>
      <w:r>
        <w:rPr>
          <w:spacing w:val="-27"/>
          <w:sz w:val="18"/>
        </w:rPr>
        <w:t> </w:t>
      </w:r>
      <w:r>
        <w:rPr>
          <w:sz w:val="18"/>
        </w:rPr>
        <w:t>along</w:t>
      </w:r>
      <w:r>
        <w:rPr>
          <w:spacing w:val="-27"/>
          <w:sz w:val="18"/>
        </w:rPr>
        <w:t> </w:t>
      </w:r>
      <w:r>
        <w:rPr>
          <w:sz w:val="18"/>
        </w:rPr>
        <w:t>Barrister</w:t>
      </w:r>
      <w:r>
        <w:rPr>
          <w:spacing w:val="-27"/>
          <w:sz w:val="18"/>
        </w:rPr>
        <w:t> </w:t>
      </w:r>
      <w:r>
        <w:rPr>
          <w:sz w:val="18"/>
        </w:rPr>
        <w:t>Rajni</w:t>
      </w:r>
      <w:r>
        <w:rPr>
          <w:spacing w:val="-27"/>
          <w:sz w:val="18"/>
        </w:rPr>
        <w:t> </w:t>
      </w:r>
      <w:r>
        <w:rPr>
          <w:sz w:val="18"/>
        </w:rPr>
        <w:t>Patel</w:t>
      </w:r>
      <w:r>
        <w:rPr>
          <w:spacing w:val="-28"/>
          <w:sz w:val="18"/>
        </w:rPr>
        <w:t> </w:t>
      </w:r>
      <w:r>
        <w:rPr>
          <w:sz w:val="18"/>
        </w:rPr>
        <w:t>Marg,</w:t>
      </w:r>
      <w:r>
        <w:rPr>
          <w:spacing w:val="-26"/>
          <w:sz w:val="18"/>
        </w:rPr>
        <w:t> </w:t>
      </w:r>
      <w:r>
        <w:rPr>
          <w:sz w:val="18"/>
        </w:rPr>
        <w:t>Nariman</w:t>
      </w:r>
      <w:r>
        <w:rPr>
          <w:spacing w:val="-25"/>
          <w:sz w:val="18"/>
        </w:rPr>
        <w:t> </w:t>
      </w:r>
      <w:r>
        <w:rPr>
          <w:sz w:val="18"/>
        </w:rPr>
        <w:t>Point, Mumbai</w:t>
      </w:r>
    </w:p>
    <w:p>
      <w:pPr>
        <w:pStyle w:val="BodyText"/>
        <w:spacing w:before="7"/>
        <w:rPr>
          <w:sz w:val="20"/>
        </w:rPr>
      </w:pPr>
    </w:p>
    <w:p>
      <w:pPr>
        <w:tabs>
          <w:tab w:pos="2121" w:val="left" w:leader="none"/>
        </w:tabs>
        <w:spacing w:before="0"/>
        <w:ind w:left="388" w:right="0" w:firstLine="0"/>
        <w:jc w:val="left"/>
        <w:rPr>
          <w:sz w:val="18"/>
        </w:rPr>
      </w:pPr>
      <w:r>
        <w:rPr>
          <w:color w:val="006A4D"/>
          <w:sz w:val="18"/>
        </w:rPr>
        <w:t>Property</w:t>
      </w:r>
      <w:r>
        <w:rPr>
          <w:color w:val="006A4D"/>
          <w:spacing w:val="-25"/>
          <w:sz w:val="18"/>
        </w:rPr>
        <w:t> </w:t>
      </w:r>
      <w:r>
        <w:rPr>
          <w:color w:val="006A4D"/>
          <w:sz w:val="18"/>
        </w:rPr>
        <w:t>Address:</w:t>
        <w:tab/>
      </w:r>
      <w:r>
        <w:rPr>
          <w:sz w:val="18"/>
        </w:rPr>
        <w:t>Plot</w:t>
      </w:r>
      <w:r>
        <w:rPr>
          <w:spacing w:val="-10"/>
          <w:sz w:val="18"/>
        </w:rPr>
        <w:t> </w:t>
      </w:r>
      <w:r>
        <w:rPr>
          <w:sz w:val="18"/>
        </w:rPr>
        <w:t>No.</w:t>
      </w:r>
      <w:r>
        <w:rPr>
          <w:spacing w:val="-10"/>
          <w:sz w:val="18"/>
        </w:rPr>
        <w:t> </w:t>
      </w:r>
      <w:r>
        <w:rPr>
          <w:sz w:val="18"/>
        </w:rPr>
        <w:t>236,</w:t>
      </w:r>
      <w:r>
        <w:rPr>
          <w:spacing w:val="-7"/>
          <w:sz w:val="18"/>
        </w:rPr>
        <w:t> </w:t>
      </w:r>
      <w:r>
        <w:rPr>
          <w:sz w:val="18"/>
        </w:rPr>
        <w:t>Block-III</w:t>
      </w:r>
      <w:r>
        <w:rPr>
          <w:spacing w:val="-11"/>
          <w:sz w:val="18"/>
        </w:rPr>
        <w:t> </w:t>
      </w:r>
      <w:r>
        <w:rPr>
          <w:sz w:val="18"/>
        </w:rPr>
        <w:t>of</w:t>
      </w:r>
      <w:r>
        <w:rPr>
          <w:spacing w:val="-8"/>
          <w:sz w:val="18"/>
        </w:rPr>
        <w:t> </w:t>
      </w:r>
      <w:r>
        <w:rPr>
          <w:sz w:val="18"/>
        </w:rPr>
        <w:t>Backbay</w:t>
      </w:r>
      <w:r>
        <w:rPr>
          <w:spacing w:val="-10"/>
          <w:sz w:val="18"/>
        </w:rPr>
        <w:t> </w:t>
      </w:r>
      <w:r>
        <w:rPr>
          <w:sz w:val="18"/>
        </w:rPr>
        <w:t>Reclamation</w:t>
      </w:r>
      <w:r>
        <w:rPr>
          <w:spacing w:val="-9"/>
          <w:sz w:val="18"/>
        </w:rPr>
        <w:t> </w:t>
      </w:r>
      <w:r>
        <w:rPr>
          <w:sz w:val="18"/>
        </w:rPr>
        <w:t>Estate,</w:t>
      </w:r>
      <w:r>
        <w:rPr>
          <w:spacing w:val="-9"/>
          <w:sz w:val="18"/>
        </w:rPr>
        <w:t> </w:t>
      </w:r>
      <w:r>
        <w:rPr>
          <w:sz w:val="18"/>
        </w:rPr>
        <w:t>Barrister</w:t>
      </w:r>
      <w:r>
        <w:rPr>
          <w:spacing w:val="-10"/>
          <w:sz w:val="18"/>
        </w:rPr>
        <w:t> </w:t>
      </w:r>
      <w:r>
        <w:rPr>
          <w:sz w:val="18"/>
        </w:rPr>
        <w:t>Rajni</w:t>
      </w:r>
      <w:r>
        <w:rPr>
          <w:spacing w:val="-9"/>
          <w:sz w:val="18"/>
        </w:rPr>
        <w:t> </w:t>
      </w:r>
      <w:r>
        <w:rPr>
          <w:sz w:val="18"/>
        </w:rPr>
        <w:t>Patel</w:t>
      </w:r>
      <w:r>
        <w:rPr>
          <w:spacing w:val="-10"/>
          <w:sz w:val="18"/>
        </w:rPr>
        <w:t> </w:t>
      </w:r>
      <w:r>
        <w:rPr>
          <w:sz w:val="18"/>
        </w:rPr>
        <w:t>Marg,</w:t>
      </w:r>
      <w:r>
        <w:rPr>
          <w:spacing w:val="-9"/>
          <w:sz w:val="18"/>
        </w:rPr>
        <w:t> </w:t>
      </w:r>
      <w:r>
        <w:rPr>
          <w:sz w:val="18"/>
        </w:rPr>
        <w:t>Nariman</w:t>
      </w:r>
      <w:r>
        <w:rPr>
          <w:spacing w:val="-9"/>
          <w:sz w:val="18"/>
        </w:rPr>
        <w:t> </w:t>
      </w:r>
      <w:r>
        <w:rPr>
          <w:sz w:val="18"/>
        </w:rPr>
        <w:t>Point,</w:t>
      </w:r>
      <w:r>
        <w:rPr>
          <w:spacing w:val="-9"/>
          <w:sz w:val="18"/>
        </w:rPr>
        <w:t> </w:t>
      </w:r>
      <w:r>
        <w:rPr>
          <w:sz w:val="18"/>
        </w:rPr>
        <w:t>Mumbai</w:t>
      </w:r>
    </w:p>
    <w:p>
      <w:pPr>
        <w:pStyle w:val="BodyText"/>
        <w:spacing w:before="9"/>
        <w:rPr>
          <w:sz w:val="26"/>
        </w:rPr>
      </w:pPr>
    </w:p>
    <w:p>
      <w:pPr>
        <w:tabs>
          <w:tab w:pos="2121" w:val="left" w:leader="none"/>
        </w:tabs>
        <w:spacing w:line="321" w:lineRule="auto" w:before="1"/>
        <w:ind w:left="2121" w:right="968" w:hanging="1734"/>
        <w:jc w:val="both"/>
        <w:rPr>
          <w:sz w:val="18"/>
        </w:rPr>
      </w:pPr>
      <w:r>
        <w:rPr>
          <w:color w:val="006A4D"/>
          <w:sz w:val="18"/>
        </w:rPr>
        <w:t>Land</w:t>
      </w:r>
      <w:r>
        <w:rPr>
          <w:color w:val="006A4D"/>
          <w:spacing w:val="-4"/>
          <w:sz w:val="18"/>
        </w:rPr>
        <w:t> </w:t>
      </w:r>
      <w:r>
        <w:rPr>
          <w:color w:val="006A4D"/>
          <w:sz w:val="18"/>
        </w:rPr>
        <w:t>Area:</w:t>
        <w:tab/>
      </w:r>
      <w:r>
        <w:rPr>
          <w:sz w:val="18"/>
        </w:rPr>
        <w:t>Based</w:t>
      </w:r>
      <w:r>
        <w:rPr>
          <w:spacing w:val="-31"/>
          <w:sz w:val="18"/>
        </w:rPr>
        <w:t> </w:t>
      </w:r>
      <w:r>
        <w:rPr>
          <w:sz w:val="18"/>
        </w:rPr>
        <w:t>on</w:t>
      </w:r>
      <w:r>
        <w:rPr>
          <w:spacing w:val="-31"/>
          <w:sz w:val="18"/>
        </w:rPr>
        <w:t> </w:t>
      </w:r>
      <w:r>
        <w:rPr>
          <w:sz w:val="18"/>
        </w:rPr>
        <w:t>review</w:t>
      </w:r>
      <w:r>
        <w:rPr>
          <w:spacing w:val="-31"/>
          <w:sz w:val="18"/>
        </w:rPr>
        <w:t> </w:t>
      </w:r>
      <w:r>
        <w:rPr>
          <w:sz w:val="18"/>
        </w:rPr>
        <w:t>of</w:t>
      </w:r>
      <w:r>
        <w:rPr>
          <w:spacing w:val="-31"/>
          <w:sz w:val="18"/>
        </w:rPr>
        <w:t> </w:t>
      </w:r>
      <w:r>
        <w:rPr>
          <w:sz w:val="18"/>
        </w:rPr>
        <w:t>the</w:t>
      </w:r>
      <w:r>
        <w:rPr>
          <w:spacing w:val="-31"/>
          <w:sz w:val="18"/>
        </w:rPr>
        <w:t> </w:t>
      </w:r>
      <w:r>
        <w:rPr>
          <w:sz w:val="18"/>
        </w:rPr>
        <w:t>title</w:t>
      </w:r>
      <w:r>
        <w:rPr>
          <w:spacing w:val="-31"/>
          <w:sz w:val="18"/>
        </w:rPr>
        <w:t> </w:t>
      </w:r>
      <w:r>
        <w:rPr>
          <w:sz w:val="18"/>
        </w:rPr>
        <w:t>report,</w:t>
      </w:r>
      <w:r>
        <w:rPr>
          <w:spacing w:val="-32"/>
          <w:sz w:val="18"/>
        </w:rPr>
        <w:t> </w:t>
      </w:r>
      <w:r>
        <w:rPr>
          <w:sz w:val="18"/>
        </w:rPr>
        <w:t>we</w:t>
      </w:r>
      <w:r>
        <w:rPr>
          <w:spacing w:val="-31"/>
          <w:sz w:val="18"/>
        </w:rPr>
        <w:t> </w:t>
      </w:r>
      <w:r>
        <w:rPr>
          <w:sz w:val="18"/>
        </w:rPr>
        <w:t>understand</w:t>
      </w:r>
      <w:r>
        <w:rPr>
          <w:spacing w:val="-31"/>
          <w:sz w:val="18"/>
        </w:rPr>
        <w:t> </w:t>
      </w:r>
      <w:r>
        <w:rPr>
          <w:sz w:val="18"/>
        </w:rPr>
        <w:t>that</w:t>
      </w:r>
      <w:r>
        <w:rPr>
          <w:spacing w:val="-32"/>
          <w:sz w:val="18"/>
        </w:rPr>
        <w:t> </w:t>
      </w:r>
      <w:r>
        <w:rPr>
          <w:sz w:val="18"/>
        </w:rPr>
        <w:t>the</w:t>
      </w:r>
      <w:r>
        <w:rPr>
          <w:spacing w:val="-30"/>
          <w:sz w:val="18"/>
        </w:rPr>
        <w:t> </w:t>
      </w:r>
      <w:r>
        <w:rPr>
          <w:sz w:val="18"/>
        </w:rPr>
        <w:t>total</w:t>
      </w:r>
      <w:r>
        <w:rPr>
          <w:spacing w:val="-32"/>
          <w:sz w:val="18"/>
        </w:rPr>
        <w:t> </w:t>
      </w:r>
      <w:r>
        <w:rPr>
          <w:sz w:val="18"/>
        </w:rPr>
        <w:t>land</w:t>
      </w:r>
      <w:r>
        <w:rPr>
          <w:spacing w:val="-31"/>
          <w:sz w:val="18"/>
        </w:rPr>
        <w:t> </w:t>
      </w:r>
      <w:r>
        <w:rPr>
          <w:sz w:val="18"/>
        </w:rPr>
        <w:t>area</w:t>
      </w:r>
      <w:r>
        <w:rPr>
          <w:spacing w:val="-31"/>
          <w:sz w:val="18"/>
        </w:rPr>
        <w:t> </w:t>
      </w:r>
      <w:r>
        <w:rPr>
          <w:sz w:val="18"/>
        </w:rPr>
        <w:t>of</w:t>
      </w:r>
      <w:r>
        <w:rPr>
          <w:spacing w:val="-32"/>
          <w:sz w:val="18"/>
        </w:rPr>
        <w:t> </w:t>
      </w:r>
      <w:r>
        <w:rPr>
          <w:sz w:val="18"/>
        </w:rPr>
        <w:t>the</w:t>
      </w:r>
      <w:r>
        <w:rPr>
          <w:spacing w:val="-30"/>
          <w:sz w:val="18"/>
        </w:rPr>
        <w:t> </w:t>
      </w:r>
      <w:r>
        <w:rPr>
          <w:sz w:val="18"/>
        </w:rPr>
        <w:t>subject</w:t>
      </w:r>
      <w:r>
        <w:rPr>
          <w:spacing w:val="-28"/>
          <w:sz w:val="18"/>
        </w:rPr>
        <w:t> </w:t>
      </w:r>
      <w:r>
        <w:rPr>
          <w:sz w:val="18"/>
        </w:rPr>
        <w:t>property</w:t>
      </w:r>
      <w:r>
        <w:rPr>
          <w:spacing w:val="-31"/>
          <w:sz w:val="18"/>
        </w:rPr>
        <w:t> </w:t>
      </w:r>
      <w:r>
        <w:rPr>
          <w:sz w:val="18"/>
        </w:rPr>
        <w:t>under</w:t>
      </w:r>
      <w:r>
        <w:rPr>
          <w:spacing w:val="-32"/>
          <w:sz w:val="18"/>
        </w:rPr>
        <w:t> </w:t>
      </w:r>
      <w:r>
        <w:rPr>
          <w:sz w:val="18"/>
        </w:rPr>
        <w:t>the ownership of the Client is approximately 1.46</w:t>
      </w:r>
      <w:r>
        <w:rPr>
          <w:spacing w:val="-26"/>
          <w:sz w:val="18"/>
        </w:rPr>
        <w:t> </w:t>
      </w:r>
      <w:r>
        <w:rPr>
          <w:sz w:val="18"/>
        </w:rPr>
        <w:t>acres</w:t>
      </w:r>
    </w:p>
    <w:p>
      <w:pPr>
        <w:pStyle w:val="BodyText"/>
        <w:spacing w:before="9"/>
        <w:rPr>
          <w:sz w:val="20"/>
        </w:rPr>
      </w:pPr>
    </w:p>
    <w:p>
      <w:pPr>
        <w:spacing w:line="321" w:lineRule="auto" w:before="0"/>
        <w:ind w:left="2121" w:right="962" w:hanging="1734"/>
        <w:jc w:val="both"/>
        <w:rPr>
          <w:sz w:val="18"/>
        </w:rPr>
      </w:pPr>
      <w:r>
        <w:rPr>
          <w:color w:val="006A4D"/>
          <w:sz w:val="18"/>
        </w:rPr>
        <w:t>Brief</w:t>
      </w:r>
      <w:r>
        <w:rPr>
          <w:color w:val="006A4D"/>
          <w:spacing w:val="-22"/>
          <w:sz w:val="18"/>
        </w:rPr>
        <w:t> </w:t>
      </w:r>
      <w:r>
        <w:rPr>
          <w:color w:val="006A4D"/>
          <w:sz w:val="18"/>
        </w:rPr>
        <w:t>Description:</w:t>
      </w:r>
      <w:r>
        <w:rPr>
          <w:color w:val="006A4D"/>
          <w:spacing w:val="26"/>
          <w:sz w:val="18"/>
        </w:rPr>
        <w:t> </w:t>
      </w:r>
      <w:r>
        <w:rPr>
          <w:sz w:val="18"/>
        </w:rPr>
        <w:t>The</w:t>
      </w:r>
      <w:r>
        <w:rPr>
          <w:spacing w:val="-21"/>
          <w:sz w:val="18"/>
        </w:rPr>
        <w:t> </w:t>
      </w:r>
      <w:r>
        <w:rPr>
          <w:sz w:val="18"/>
        </w:rPr>
        <w:t>subject</w:t>
      </w:r>
      <w:r>
        <w:rPr>
          <w:spacing w:val="-22"/>
          <w:sz w:val="18"/>
        </w:rPr>
        <w:t> </w:t>
      </w:r>
      <w:r>
        <w:rPr>
          <w:sz w:val="18"/>
        </w:rPr>
        <w:t>property</w:t>
      </w:r>
      <w:r>
        <w:rPr>
          <w:spacing w:val="-22"/>
          <w:sz w:val="18"/>
        </w:rPr>
        <w:t> </w:t>
      </w:r>
      <w:r>
        <w:rPr>
          <w:sz w:val="18"/>
        </w:rPr>
        <w:t>‘Express</w:t>
      </w:r>
      <w:r>
        <w:rPr>
          <w:spacing w:val="-22"/>
          <w:sz w:val="18"/>
        </w:rPr>
        <w:t> </w:t>
      </w:r>
      <w:r>
        <w:rPr>
          <w:sz w:val="18"/>
        </w:rPr>
        <w:t>Towers’</w:t>
      </w:r>
      <w:r>
        <w:rPr>
          <w:spacing w:val="-21"/>
          <w:sz w:val="18"/>
        </w:rPr>
        <w:t> </w:t>
      </w:r>
      <w:r>
        <w:rPr>
          <w:sz w:val="18"/>
        </w:rPr>
        <w:t>is</w:t>
      </w:r>
      <w:r>
        <w:rPr>
          <w:spacing w:val="-22"/>
          <w:sz w:val="18"/>
        </w:rPr>
        <w:t> </w:t>
      </w:r>
      <w:r>
        <w:rPr>
          <w:sz w:val="18"/>
        </w:rPr>
        <w:t>a</w:t>
      </w:r>
      <w:r>
        <w:rPr>
          <w:spacing w:val="-21"/>
          <w:sz w:val="18"/>
        </w:rPr>
        <w:t> </w:t>
      </w:r>
      <w:r>
        <w:rPr>
          <w:sz w:val="18"/>
        </w:rPr>
        <w:t>city</w:t>
      </w:r>
      <w:r>
        <w:rPr>
          <w:spacing w:val="-22"/>
          <w:sz w:val="18"/>
        </w:rPr>
        <w:t> </w:t>
      </w:r>
      <w:r>
        <w:rPr>
          <w:sz w:val="18"/>
        </w:rPr>
        <w:t>centre</w:t>
      </w:r>
      <w:r>
        <w:rPr>
          <w:spacing w:val="-21"/>
          <w:sz w:val="18"/>
        </w:rPr>
        <w:t> </w:t>
      </w:r>
      <w:r>
        <w:rPr>
          <w:sz w:val="18"/>
        </w:rPr>
        <w:t>office</w:t>
      </w:r>
      <w:r>
        <w:rPr>
          <w:spacing w:val="-22"/>
          <w:sz w:val="18"/>
        </w:rPr>
        <w:t> </w:t>
      </w:r>
      <w:r>
        <w:rPr>
          <w:sz w:val="18"/>
        </w:rPr>
        <w:t>situated</w:t>
      </w:r>
      <w:r>
        <w:rPr>
          <w:spacing w:val="-22"/>
          <w:sz w:val="18"/>
        </w:rPr>
        <w:t> </w:t>
      </w:r>
      <w:r>
        <w:rPr>
          <w:sz w:val="18"/>
        </w:rPr>
        <w:t>in</w:t>
      </w:r>
      <w:r>
        <w:rPr>
          <w:spacing w:val="-21"/>
          <w:sz w:val="18"/>
        </w:rPr>
        <w:t> </w:t>
      </w:r>
      <w:r>
        <w:rPr>
          <w:sz w:val="18"/>
        </w:rPr>
        <w:t>Nariman</w:t>
      </w:r>
      <w:r>
        <w:rPr>
          <w:spacing w:val="-22"/>
          <w:sz w:val="18"/>
        </w:rPr>
        <w:t> </w:t>
      </w:r>
      <w:r>
        <w:rPr>
          <w:sz w:val="18"/>
        </w:rPr>
        <w:t>Point.</w:t>
      </w:r>
      <w:r>
        <w:rPr>
          <w:spacing w:val="-21"/>
          <w:sz w:val="18"/>
        </w:rPr>
        <w:t> </w:t>
      </w:r>
      <w:r>
        <w:rPr>
          <w:sz w:val="18"/>
        </w:rPr>
        <w:t>The</w:t>
      </w:r>
      <w:r>
        <w:rPr>
          <w:spacing w:val="-20"/>
          <w:sz w:val="18"/>
        </w:rPr>
        <w:t> </w:t>
      </w:r>
      <w:r>
        <w:rPr>
          <w:w w:val="110"/>
          <w:sz w:val="18"/>
        </w:rPr>
        <w:t>B+G+25</w:t>
      </w:r>
      <w:r>
        <w:rPr>
          <w:spacing w:val="-28"/>
          <w:w w:val="110"/>
          <w:sz w:val="18"/>
        </w:rPr>
        <w:t> </w:t>
      </w:r>
      <w:r>
        <w:rPr>
          <w:sz w:val="18"/>
        </w:rPr>
        <w:t>storey structure</w:t>
      </w:r>
      <w:r>
        <w:rPr>
          <w:spacing w:val="-2"/>
          <w:sz w:val="18"/>
        </w:rPr>
        <w:t> </w:t>
      </w:r>
      <w:r>
        <w:rPr>
          <w:sz w:val="18"/>
        </w:rPr>
        <w:t>which</w:t>
      </w:r>
      <w:r>
        <w:rPr>
          <w:spacing w:val="-2"/>
          <w:sz w:val="18"/>
        </w:rPr>
        <w:t> </w:t>
      </w:r>
      <w:r>
        <w:rPr>
          <w:sz w:val="18"/>
        </w:rPr>
        <w:t>was</w:t>
      </w:r>
      <w:r>
        <w:rPr>
          <w:spacing w:val="-3"/>
          <w:sz w:val="18"/>
        </w:rPr>
        <w:t> </w:t>
      </w:r>
      <w:r>
        <w:rPr>
          <w:sz w:val="18"/>
        </w:rPr>
        <w:t>completed</w:t>
      </w:r>
      <w:r>
        <w:rPr>
          <w:spacing w:val="-4"/>
          <w:sz w:val="18"/>
        </w:rPr>
        <w:t> </w:t>
      </w:r>
      <w:r>
        <w:rPr>
          <w:sz w:val="18"/>
        </w:rPr>
        <w:t>in</w:t>
      </w:r>
      <w:r>
        <w:rPr>
          <w:spacing w:val="-3"/>
          <w:sz w:val="18"/>
        </w:rPr>
        <w:t> </w:t>
      </w:r>
      <w:r>
        <w:rPr>
          <w:sz w:val="18"/>
        </w:rPr>
        <w:t>the</w:t>
      </w:r>
      <w:r>
        <w:rPr>
          <w:spacing w:val="-1"/>
          <w:sz w:val="18"/>
        </w:rPr>
        <w:t> </w:t>
      </w:r>
      <w:r>
        <w:rPr>
          <w:sz w:val="18"/>
        </w:rPr>
        <w:t>early</w:t>
      </w:r>
      <w:r>
        <w:rPr>
          <w:spacing w:val="-3"/>
          <w:sz w:val="18"/>
        </w:rPr>
        <w:t> </w:t>
      </w:r>
      <w:r>
        <w:rPr>
          <w:sz w:val="18"/>
        </w:rPr>
        <w:t>1970s</w:t>
      </w:r>
      <w:r>
        <w:rPr>
          <w:spacing w:val="-2"/>
          <w:sz w:val="18"/>
        </w:rPr>
        <w:t> </w:t>
      </w:r>
      <w:r>
        <w:rPr>
          <w:sz w:val="18"/>
        </w:rPr>
        <w:t>has</w:t>
      </w:r>
      <w:r>
        <w:rPr>
          <w:spacing w:val="-2"/>
          <w:sz w:val="18"/>
        </w:rPr>
        <w:t> </w:t>
      </w:r>
      <w:r>
        <w:rPr>
          <w:sz w:val="18"/>
        </w:rPr>
        <w:t>been</w:t>
      </w:r>
      <w:r>
        <w:rPr>
          <w:spacing w:val="-3"/>
          <w:sz w:val="18"/>
        </w:rPr>
        <w:t> </w:t>
      </w:r>
      <w:r>
        <w:rPr>
          <w:sz w:val="18"/>
        </w:rPr>
        <w:t>refurbished</w:t>
      </w:r>
      <w:r>
        <w:rPr>
          <w:spacing w:val="-3"/>
          <w:sz w:val="18"/>
        </w:rPr>
        <w:t> </w:t>
      </w:r>
      <w:r>
        <w:rPr>
          <w:sz w:val="18"/>
        </w:rPr>
        <w:t>in</w:t>
      </w:r>
      <w:r>
        <w:rPr>
          <w:spacing w:val="-3"/>
          <w:sz w:val="18"/>
        </w:rPr>
        <w:t> </w:t>
      </w:r>
      <w:r>
        <w:rPr>
          <w:sz w:val="18"/>
        </w:rPr>
        <w:t>the</w:t>
      </w:r>
      <w:r>
        <w:rPr>
          <w:spacing w:val="-2"/>
          <w:sz w:val="18"/>
        </w:rPr>
        <w:t> </w:t>
      </w:r>
      <w:r>
        <w:rPr>
          <w:sz w:val="18"/>
        </w:rPr>
        <w:t>past</w:t>
      </w:r>
      <w:r>
        <w:rPr>
          <w:spacing w:val="-4"/>
          <w:sz w:val="18"/>
        </w:rPr>
        <w:t> </w:t>
      </w:r>
      <w:r>
        <w:rPr>
          <w:sz w:val="18"/>
        </w:rPr>
        <w:t>few</w:t>
      </w:r>
      <w:r>
        <w:rPr>
          <w:spacing w:val="-2"/>
          <w:sz w:val="18"/>
        </w:rPr>
        <w:t> </w:t>
      </w:r>
      <w:r>
        <w:rPr>
          <w:sz w:val="18"/>
        </w:rPr>
        <w:t>years.</w:t>
      </w:r>
      <w:r>
        <w:rPr>
          <w:spacing w:val="-4"/>
          <w:sz w:val="18"/>
        </w:rPr>
        <w:t> </w:t>
      </w:r>
      <w:r>
        <w:rPr>
          <w:sz w:val="18"/>
        </w:rPr>
        <w:t>Nariman Point</w:t>
      </w:r>
      <w:r>
        <w:rPr>
          <w:spacing w:val="-6"/>
          <w:sz w:val="18"/>
        </w:rPr>
        <w:t> </w:t>
      </w:r>
      <w:r>
        <w:rPr>
          <w:sz w:val="18"/>
        </w:rPr>
        <w:t>is</w:t>
      </w:r>
      <w:r>
        <w:rPr>
          <w:spacing w:val="-5"/>
          <w:sz w:val="18"/>
        </w:rPr>
        <w:t> </w:t>
      </w:r>
      <w:r>
        <w:rPr>
          <w:sz w:val="18"/>
        </w:rPr>
        <w:t>located</w:t>
      </w:r>
      <w:r>
        <w:rPr>
          <w:spacing w:val="-4"/>
          <w:sz w:val="18"/>
        </w:rPr>
        <w:t> </w:t>
      </w:r>
      <w:r>
        <w:rPr>
          <w:sz w:val="18"/>
        </w:rPr>
        <w:t>at</w:t>
      </w:r>
      <w:r>
        <w:rPr>
          <w:spacing w:val="-6"/>
          <w:sz w:val="18"/>
        </w:rPr>
        <w:t> </w:t>
      </w:r>
      <w:r>
        <w:rPr>
          <w:sz w:val="18"/>
        </w:rPr>
        <w:t>the</w:t>
      </w:r>
      <w:r>
        <w:rPr>
          <w:spacing w:val="-4"/>
          <w:sz w:val="18"/>
        </w:rPr>
        <w:t> </w:t>
      </w:r>
      <w:r>
        <w:rPr>
          <w:sz w:val="18"/>
        </w:rPr>
        <w:t>southern</w:t>
      </w:r>
      <w:r>
        <w:rPr>
          <w:spacing w:val="-4"/>
          <w:sz w:val="18"/>
        </w:rPr>
        <w:t> </w:t>
      </w:r>
      <w:r>
        <w:rPr>
          <w:sz w:val="18"/>
        </w:rPr>
        <w:t>tip</w:t>
      </w:r>
      <w:r>
        <w:rPr>
          <w:spacing w:val="-6"/>
          <w:sz w:val="18"/>
        </w:rPr>
        <w:t> </w:t>
      </w:r>
      <w:r>
        <w:rPr>
          <w:sz w:val="18"/>
        </w:rPr>
        <w:t>of</w:t>
      </w:r>
      <w:r>
        <w:rPr>
          <w:spacing w:val="-4"/>
          <w:sz w:val="18"/>
        </w:rPr>
        <w:t> </w:t>
      </w:r>
      <w:r>
        <w:rPr>
          <w:sz w:val="18"/>
        </w:rPr>
        <w:t>the</w:t>
      </w:r>
      <w:r>
        <w:rPr>
          <w:spacing w:val="-4"/>
          <w:sz w:val="18"/>
        </w:rPr>
        <w:t> </w:t>
      </w:r>
      <w:r>
        <w:rPr>
          <w:sz w:val="18"/>
        </w:rPr>
        <w:t>Mumbai</w:t>
      </w:r>
      <w:r>
        <w:rPr>
          <w:spacing w:val="-5"/>
          <w:sz w:val="18"/>
        </w:rPr>
        <w:t> </w:t>
      </w:r>
      <w:r>
        <w:rPr>
          <w:sz w:val="18"/>
        </w:rPr>
        <w:t>City,</w:t>
      </w:r>
      <w:r>
        <w:rPr>
          <w:spacing w:val="-5"/>
          <w:sz w:val="18"/>
        </w:rPr>
        <w:t> </w:t>
      </w:r>
      <w:r>
        <w:rPr>
          <w:sz w:val="18"/>
        </w:rPr>
        <w:t>at</w:t>
      </w:r>
      <w:r>
        <w:rPr>
          <w:spacing w:val="-6"/>
          <w:sz w:val="18"/>
        </w:rPr>
        <w:t> </w:t>
      </w:r>
      <w:r>
        <w:rPr>
          <w:sz w:val="18"/>
        </w:rPr>
        <w:t>approximately</w:t>
      </w:r>
      <w:r>
        <w:rPr>
          <w:spacing w:val="-5"/>
          <w:sz w:val="18"/>
        </w:rPr>
        <w:t> </w:t>
      </w:r>
      <w:r>
        <w:rPr>
          <w:sz w:val="18"/>
        </w:rPr>
        <w:t>1</w:t>
      </w:r>
      <w:r>
        <w:rPr>
          <w:spacing w:val="-1"/>
          <w:sz w:val="18"/>
        </w:rPr>
        <w:t> </w:t>
      </w:r>
      <w:r>
        <w:rPr>
          <w:sz w:val="18"/>
        </w:rPr>
        <w:t>-</w:t>
      </w:r>
      <w:r>
        <w:rPr>
          <w:spacing w:val="-3"/>
          <w:sz w:val="18"/>
        </w:rPr>
        <w:t> </w:t>
      </w:r>
      <w:r>
        <w:rPr>
          <w:sz w:val="18"/>
        </w:rPr>
        <w:t>2</w:t>
      </w:r>
      <w:r>
        <w:rPr>
          <w:spacing w:val="-8"/>
          <w:sz w:val="18"/>
        </w:rPr>
        <w:t> </w:t>
      </w:r>
      <w:r>
        <w:rPr>
          <w:sz w:val="18"/>
        </w:rPr>
        <w:t>km</w:t>
      </w:r>
      <w:r>
        <w:rPr>
          <w:spacing w:val="-6"/>
          <w:sz w:val="18"/>
        </w:rPr>
        <w:t> </w:t>
      </w:r>
      <w:r>
        <w:rPr>
          <w:sz w:val="18"/>
        </w:rPr>
        <w:t>from</w:t>
      </w:r>
      <w:r>
        <w:rPr>
          <w:spacing w:val="-4"/>
          <w:sz w:val="18"/>
        </w:rPr>
        <w:t> </w:t>
      </w:r>
      <w:r>
        <w:rPr>
          <w:sz w:val="18"/>
        </w:rPr>
        <w:t>the</w:t>
      </w:r>
      <w:r>
        <w:rPr>
          <w:spacing w:val="-4"/>
          <w:sz w:val="18"/>
        </w:rPr>
        <w:t> </w:t>
      </w:r>
      <w:r>
        <w:rPr>
          <w:sz w:val="18"/>
        </w:rPr>
        <w:t>Churchgate Railway</w:t>
      </w:r>
      <w:r>
        <w:rPr>
          <w:spacing w:val="-17"/>
          <w:sz w:val="18"/>
        </w:rPr>
        <w:t> </w:t>
      </w:r>
      <w:r>
        <w:rPr>
          <w:sz w:val="18"/>
        </w:rPr>
        <w:t>Station</w:t>
      </w:r>
      <w:r>
        <w:rPr>
          <w:spacing w:val="-15"/>
          <w:sz w:val="18"/>
        </w:rPr>
        <w:t> </w:t>
      </w:r>
      <w:r>
        <w:rPr>
          <w:sz w:val="18"/>
        </w:rPr>
        <w:t>and</w:t>
      </w:r>
      <w:r>
        <w:rPr>
          <w:spacing w:val="-16"/>
          <w:sz w:val="18"/>
        </w:rPr>
        <w:t> </w:t>
      </w:r>
      <w:r>
        <w:rPr>
          <w:sz w:val="18"/>
        </w:rPr>
        <w:t>approximately</w:t>
      </w:r>
      <w:r>
        <w:rPr>
          <w:spacing w:val="-17"/>
          <w:sz w:val="18"/>
        </w:rPr>
        <w:t> </w:t>
      </w:r>
      <w:r>
        <w:rPr>
          <w:sz w:val="18"/>
        </w:rPr>
        <w:t>25</w:t>
      </w:r>
      <w:r>
        <w:rPr>
          <w:spacing w:val="-16"/>
          <w:sz w:val="18"/>
        </w:rPr>
        <w:t> </w:t>
      </w:r>
      <w:r>
        <w:rPr>
          <w:w w:val="110"/>
          <w:sz w:val="18"/>
        </w:rPr>
        <w:t>–</w:t>
      </w:r>
      <w:r>
        <w:rPr>
          <w:spacing w:val="-22"/>
          <w:w w:val="110"/>
          <w:sz w:val="18"/>
        </w:rPr>
        <w:t> </w:t>
      </w:r>
      <w:r>
        <w:rPr>
          <w:sz w:val="18"/>
        </w:rPr>
        <w:t>28</w:t>
      </w:r>
      <w:r>
        <w:rPr>
          <w:spacing w:val="-17"/>
          <w:sz w:val="18"/>
        </w:rPr>
        <w:t> </w:t>
      </w:r>
      <w:r>
        <w:rPr>
          <w:sz w:val="18"/>
        </w:rPr>
        <w:t>km</w:t>
      </w:r>
      <w:r>
        <w:rPr>
          <w:spacing w:val="-16"/>
          <w:sz w:val="18"/>
        </w:rPr>
        <w:t> </w:t>
      </w:r>
      <w:r>
        <w:rPr>
          <w:sz w:val="18"/>
        </w:rPr>
        <w:t>from</w:t>
      </w:r>
      <w:r>
        <w:rPr>
          <w:spacing w:val="-16"/>
          <w:sz w:val="18"/>
        </w:rPr>
        <w:t> </w:t>
      </w:r>
      <w:r>
        <w:rPr>
          <w:sz w:val="18"/>
        </w:rPr>
        <w:t>the</w:t>
      </w:r>
      <w:r>
        <w:rPr>
          <w:spacing w:val="-16"/>
          <w:sz w:val="18"/>
        </w:rPr>
        <w:t> </w:t>
      </w:r>
      <w:r>
        <w:rPr>
          <w:sz w:val="18"/>
        </w:rPr>
        <w:t>Domestic</w:t>
      </w:r>
      <w:r>
        <w:rPr>
          <w:spacing w:val="-17"/>
          <w:sz w:val="18"/>
        </w:rPr>
        <w:t> </w:t>
      </w:r>
      <w:r>
        <w:rPr>
          <w:sz w:val="18"/>
        </w:rPr>
        <w:t>/</w:t>
      </w:r>
      <w:r>
        <w:rPr>
          <w:spacing w:val="-17"/>
          <w:sz w:val="18"/>
        </w:rPr>
        <w:t> </w:t>
      </w:r>
      <w:r>
        <w:rPr>
          <w:sz w:val="18"/>
        </w:rPr>
        <w:t>International</w:t>
      </w:r>
      <w:r>
        <w:rPr>
          <w:spacing w:val="-17"/>
          <w:sz w:val="18"/>
        </w:rPr>
        <w:t> </w:t>
      </w:r>
      <w:r>
        <w:rPr>
          <w:sz w:val="18"/>
        </w:rPr>
        <w:t>City</w:t>
      </w:r>
      <w:r>
        <w:rPr>
          <w:spacing w:val="-17"/>
          <w:sz w:val="18"/>
        </w:rPr>
        <w:t> </w:t>
      </w:r>
      <w:r>
        <w:rPr>
          <w:sz w:val="18"/>
        </w:rPr>
        <w:t>Airport</w:t>
      </w:r>
      <w:r>
        <w:rPr>
          <w:spacing w:val="-12"/>
          <w:sz w:val="18"/>
        </w:rPr>
        <w:t> </w:t>
      </w:r>
      <w:r>
        <w:rPr>
          <w:sz w:val="18"/>
        </w:rPr>
        <w:t>terminal.</w:t>
      </w:r>
    </w:p>
    <w:p>
      <w:pPr>
        <w:pStyle w:val="BodyText"/>
        <w:rPr>
          <w:sz w:val="12"/>
        </w:rPr>
      </w:pPr>
    </w:p>
    <w:p>
      <w:pPr>
        <w:spacing w:after="0"/>
        <w:rPr>
          <w:sz w:val="12"/>
        </w:rPr>
        <w:sectPr>
          <w:pgSz w:w="11910" w:h="16840"/>
          <w:pgMar w:header="720" w:footer="842" w:top="1520" w:bottom="1040" w:left="440" w:right="80"/>
        </w:sectPr>
      </w:pPr>
    </w:p>
    <w:p>
      <w:pPr>
        <w:spacing w:line="319" w:lineRule="auto" w:before="104"/>
        <w:ind w:left="388" w:right="-12" w:firstLine="0"/>
        <w:jc w:val="left"/>
        <w:rPr>
          <w:sz w:val="18"/>
        </w:rPr>
      </w:pPr>
      <w:r>
        <w:rPr>
          <w:color w:val="006A4D"/>
          <w:w w:val="95"/>
          <w:sz w:val="18"/>
        </w:rPr>
        <w:t>Statement of</w:t>
      </w:r>
      <w:r>
        <w:rPr>
          <w:color w:val="006A4D"/>
          <w:spacing w:val="-27"/>
          <w:w w:val="95"/>
          <w:sz w:val="18"/>
        </w:rPr>
        <w:t> </w:t>
      </w:r>
      <w:r>
        <w:rPr>
          <w:color w:val="006A4D"/>
          <w:w w:val="95"/>
          <w:sz w:val="18"/>
        </w:rPr>
        <w:t>Assets </w:t>
      </w:r>
      <w:r>
        <w:rPr>
          <w:color w:val="006A4D"/>
          <w:sz w:val="18"/>
        </w:rPr>
        <w:t>(sf):</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line="321" w:lineRule="auto" w:before="155"/>
        <w:ind w:left="388" w:right="493" w:firstLine="0"/>
        <w:jc w:val="left"/>
        <w:rPr>
          <w:sz w:val="18"/>
        </w:rPr>
      </w:pPr>
      <w:r>
        <w:rPr>
          <w:color w:val="006A4D"/>
          <w:sz w:val="18"/>
        </w:rPr>
        <w:t>Valuation Approaches:</w:t>
      </w:r>
    </w:p>
    <w:p>
      <w:pPr>
        <w:spacing w:line="321" w:lineRule="auto" w:before="104"/>
        <w:ind w:left="187" w:right="965" w:firstLine="0"/>
        <w:jc w:val="both"/>
        <w:rPr>
          <w:sz w:val="18"/>
        </w:rPr>
      </w:pPr>
      <w:r>
        <w:rPr/>
        <w:br w:type="column"/>
      </w:r>
      <w:r>
        <w:rPr>
          <w:sz w:val="18"/>
        </w:rPr>
        <w:t>Based</w:t>
      </w:r>
      <w:r>
        <w:rPr>
          <w:spacing w:val="-35"/>
          <w:sz w:val="18"/>
        </w:rPr>
        <w:t> </w:t>
      </w:r>
      <w:r>
        <w:rPr>
          <w:sz w:val="18"/>
        </w:rPr>
        <w:t>on</w:t>
      </w:r>
      <w:r>
        <w:rPr>
          <w:spacing w:val="-35"/>
          <w:sz w:val="18"/>
        </w:rPr>
        <w:t> </w:t>
      </w:r>
      <w:r>
        <w:rPr>
          <w:sz w:val="18"/>
        </w:rPr>
        <w:t>review</w:t>
      </w:r>
      <w:r>
        <w:rPr>
          <w:spacing w:val="-36"/>
          <w:sz w:val="18"/>
        </w:rPr>
        <w:t> </w:t>
      </w:r>
      <w:r>
        <w:rPr>
          <w:sz w:val="18"/>
        </w:rPr>
        <w:t>of</w:t>
      </w:r>
      <w:r>
        <w:rPr>
          <w:spacing w:val="-34"/>
          <w:sz w:val="18"/>
        </w:rPr>
        <w:t> </w:t>
      </w:r>
      <w:r>
        <w:rPr>
          <w:sz w:val="18"/>
        </w:rPr>
        <w:t>various</w:t>
      </w:r>
      <w:r>
        <w:rPr>
          <w:spacing w:val="-35"/>
          <w:sz w:val="18"/>
        </w:rPr>
        <w:t> </w:t>
      </w:r>
      <w:r>
        <w:rPr>
          <w:sz w:val="18"/>
        </w:rPr>
        <w:t>documents</w:t>
      </w:r>
      <w:r>
        <w:rPr>
          <w:spacing w:val="-35"/>
          <w:sz w:val="18"/>
        </w:rPr>
        <w:t> </w:t>
      </w:r>
      <w:r>
        <w:rPr>
          <w:sz w:val="18"/>
        </w:rPr>
        <w:t>(such</w:t>
      </w:r>
      <w:r>
        <w:rPr>
          <w:spacing w:val="-35"/>
          <w:sz w:val="18"/>
        </w:rPr>
        <w:t> </w:t>
      </w:r>
      <w:r>
        <w:rPr>
          <w:sz w:val="18"/>
        </w:rPr>
        <w:t>as</w:t>
      </w:r>
      <w:r>
        <w:rPr>
          <w:spacing w:val="-35"/>
          <w:sz w:val="18"/>
        </w:rPr>
        <w:t> </w:t>
      </w:r>
      <w:r>
        <w:rPr>
          <w:sz w:val="18"/>
        </w:rPr>
        <w:t>rent</w:t>
      </w:r>
      <w:r>
        <w:rPr>
          <w:spacing w:val="-35"/>
          <w:sz w:val="18"/>
        </w:rPr>
        <w:t> </w:t>
      </w:r>
      <w:r>
        <w:rPr>
          <w:sz w:val="18"/>
        </w:rPr>
        <w:t>roll,</w:t>
      </w:r>
      <w:r>
        <w:rPr>
          <w:spacing w:val="-36"/>
          <w:sz w:val="18"/>
        </w:rPr>
        <w:t> </w:t>
      </w:r>
      <w:r>
        <w:rPr>
          <w:sz w:val="18"/>
        </w:rPr>
        <w:t>Architect’s</w:t>
      </w:r>
      <w:r>
        <w:rPr>
          <w:spacing w:val="-35"/>
          <w:sz w:val="18"/>
        </w:rPr>
        <w:t> </w:t>
      </w:r>
      <w:r>
        <w:rPr>
          <w:sz w:val="18"/>
        </w:rPr>
        <w:t>Certificate</w:t>
      </w:r>
      <w:r>
        <w:rPr>
          <w:spacing w:val="-34"/>
          <w:sz w:val="18"/>
        </w:rPr>
        <w:t> </w:t>
      </w:r>
      <w:r>
        <w:rPr>
          <w:sz w:val="18"/>
        </w:rPr>
        <w:t>etc.),</w:t>
      </w:r>
      <w:r>
        <w:rPr>
          <w:spacing w:val="-36"/>
          <w:sz w:val="18"/>
        </w:rPr>
        <w:t> </w:t>
      </w:r>
      <w:r>
        <w:rPr>
          <w:sz w:val="18"/>
        </w:rPr>
        <w:t>the</w:t>
      </w:r>
      <w:r>
        <w:rPr>
          <w:spacing w:val="-35"/>
          <w:sz w:val="18"/>
        </w:rPr>
        <w:t> </w:t>
      </w:r>
      <w:r>
        <w:rPr>
          <w:sz w:val="18"/>
        </w:rPr>
        <w:t>subject</w:t>
      </w:r>
      <w:r>
        <w:rPr>
          <w:spacing w:val="-35"/>
          <w:sz w:val="18"/>
        </w:rPr>
        <w:t> </w:t>
      </w:r>
      <w:r>
        <w:rPr>
          <w:sz w:val="18"/>
        </w:rPr>
        <w:t>property</w:t>
      </w:r>
      <w:r>
        <w:rPr>
          <w:spacing w:val="-36"/>
          <w:sz w:val="18"/>
        </w:rPr>
        <w:t> </w:t>
      </w:r>
      <w:r>
        <w:rPr>
          <w:sz w:val="18"/>
        </w:rPr>
        <w:t>is an</w:t>
      </w:r>
      <w:r>
        <w:rPr>
          <w:spacing w:val="-13"/>
          <w:sz w:val="18"/>
        </w:rPr>
        <w:t> </w:t>
      </w:r>
      <w:r>
        <w:rPr>
          <w:sz w:val="18"/>
        </w:rPr>
        <w:t>operational</w:t>
      </w:r>
      <w:r>
        <w:rPr>
          <w:spacing w:val="-11"/>
          <w:sz w:val="18"/>
        </w:rPr>
        <w:t> </w:t>
      </w:r>
      <w:r>
        <w:rPr>
          <w:sz w:val="18"/>
        </w:rPr>
        <w:t>city</w:t>
      </w:r>
      <w:r>
        <w:rPr>
          <w:spacing w:val="-12"/>
          <w:sz w:val="18"/>
        </w:rPr>
        <w:t> </w:t>
      </w:r>
      <w:r>
        <w:rPr>
          <w:sz w:val="18"/>
        </w:rPr>
        <w:t>centre</w:t>
      </w:r>
      <w:r>
        <w:rPr>
          <w:spacing w:val="-12"/>
          <w:sz w:val="18"/>
        </w:rPr>
        <w:t> </w:t>
      </w:r>
      <w:r>
        <w:rPr>
          <w:sz w:val="18"/>
        </w:rPr>
        <w:t>office</w:t>
      </w:r>
      <w:r>
        <w:rPr>
          <w:spacing w:val="-10"/>
          <w:sz w:val="18"/>
        </w:rPr>
        <w:t> </w:t>
      </w:r>
      <w:r>
        <w:rPr>
          <w:sz w:val="18"/>
        </w:rPr>
        <w:t>with</w:t>
      </w:r>
      <w:r>
        <w:rPr>
          <w:spacing w:val="-12"/>
          <w:sz w:val="18"/>
        </w:rPr>
        <w:t> </w:t>
      </w:r>
      <w:r>
        <w:rPr>
          <w:sz w:val="18"/>
        </w:rPr>
        <w:t>approximately</w:t>
      </w:r>
      <w:r>
        <w:rPr>
          <w:spacing w:val="-13"/>
          <w:sz w:val="18"/>
        </w:rPr>
        <w:t> </w:t>
      </w:r>
      <w:r>
        <w:rPr>
          <w:sz w:val="18"/>
        </w:rPr>
        <w:t>472,377</w:t>
      </w:r>
      <w:r>
        <w:rPr>
          <w:spacing w:val="-13"/>
          <w:sz w:val="18"/>
        </w:rPr>
        <w:t> </w:t>
      </w:r>
      <w:r>
        <w:rPr>
          <w:sz w:val="18"/>
        </w:rPr>
        <w:t>sf</w:t>
      </w:r>
      <w:r>
        <w:rPr>
          <w:spacing w:val="-13"/>
          <w:sz w:val="18"/>
        </w:rPr>
        <w:t> </w:t>
      </w:r>
      <w:r>
        <w:rPr>
          <w:sz w:val="18"/>
        </w:rPr>
        <w:t>of</w:t>
      </w:r>
      <w:r>
        <w:rPr>
          <w:spacing w:val="-12"/>
          <w:sz w:val="18"/>
        </w:rPr>
        <w:t> </w:t>
      </w:r>
      <w:r>
        <w:rPr>
          <w:sz w:val="18"/>
        </w:rPr>
        <w:t>completed</w:t>
      </w:r>
      <w:r>
        <w:rPr>
          <w:spacing w:val="-12"/>
          <w:sz w:val="18"/>
        </w:rPr>
        <w:t> </w:t>
      </w:r>
      <w:r>
        <w:rPr>
          <w:sz w:val="18"/>
        </w:rPr>
        <w:t>leasable</w:t>
      </w:r>
      <w:r>
        <w:rPr>
          <w:spacing w:val="-12"/>
          <w:sz w:val="18"/>
        </w:rPr>
        <w:t> </w:t>
      </w:r>
      <w:r>
        <w:rPr>
          <w:sz w:val="18"/>
        </w:rPr>
        <w:t>area</w:t>
      </w:r>
      <w:r>
        <w:rPr>
          <w:spacing w:val="-13"/>
          <w:sz w:val="18"/>
        </w:rPr>
        <w:t> </w:t>
      </w:r>
      <w:r>
        <w:rPr>
          <w:sz w:val="18"/>
        </w:rPr>
        <w:t>out</w:t>
      </w:r>
      <w:r>
        <w:rPr>
          <w:spacing w:val="-13"/>
          <w:sz w:val="18"/>
        </w:rPr>
        <w:t> </w:t>
      </w:r>
      <w:r>
        <w:rPr>
          <w:sz w:val="18"/>
        </w:rPr>
        <w:t>of</w:t>
      </w:r>
      <w:r>
        <w:rPr>
          <w:spacing w:val="-13"/>
          <w:sz w:val="18"/>
        </w:rPr>
        <w:t> </w:t>
      </w:r>
      <w:r>
        <w:rPr>
          <w:sz w:val="18"/>
        </w:rPr>
        <w:t>which approximately</w:t>
      </w:r>
      <w:r>
        <w:rPr>
          <w:spacing w:val="-11"/>
          <w:sz w:val="18"/>
        </w:rPr>
        <w:t> </w:t>
      </w:r>
      <w:r>
        <w:rPr>
          <w:sz w:val="18"/>
        </w:rPr>
        <w:t>441,851</w:t>
      </w:r>
      <w:r>
        <w:rPr>
          <w:spacing w:val="-11"/>
          <w:sz w:val="18"/>
        </w:rPr>
        <w:t> </w:t>
      </w:r>
      <w:r>
        <w:rPr>
          <w:sz w:val="18"/>
        </w:rPr>
        <w:t>sf</w:t>
      </w:r>
      <w:r>
        <w:rPr>
          <w:spacing w:val="-10"/>
          <w:sz w:val="18"/>
        </w:rPr>
        <w:t> </w:t>
      </w:r>
      <w:r>
        <w:rPr>
          <w:sz w:val="18"/>
        </w:rPr>
        <w:t>is</w:t>
      </w:r>
      <w:r>
        <w:rPr>
          <w:spacing w:val="-10"/>
          <w:sz w:val="18"/>
        </w:rPr>
        <w:t> </w:t>
      </w:r>
      <w:r>
        <w:rPr>
          <w:sz w:val="18"/>
        </w:rPr>
        <w:t>leased</w:t>
      </w:r>
      <w:r>
        <w:rPr>
          <w:spacing w:val="-12"/>
          <w:sz w:val="18"/>
        </w:rPr>
        <w:t> </w:t>
      </w:r>
      <w:r>
        <w:rPr>
          <w:sz w:val="18"/>
        </w:rPr>
        <w:t>as</w:t>
      </w:r>
      <w:r>
        <w:rPr>
          <w:spacing w:val="-12"/>
          <w:sz w:val="18"/>
        </w:rPr>
        <w:t> </w:t>
      </w:r>
      <w:r>
        <w:rPr>
          <w:sz w:val="18"/>
        </w:rPr>
        <w:t>on</w:t>
      </w:r>
      <w:r>
        <w:rPr>
          <w:spacing w:val="-11"/>
          <w:sz w:val="18"/>
        </w:rPr>
        <w:t> </w:t>
      </w:r>
      <w:r>
        <w:rPr>
          <w:sz w:val="18"/>
        </w:rPr>
        <w:t>the</w:t>
      </w:r>
      <w:r>
        <w:rPr>
          <w:spacing w:val="-10"/>
          <w:sz w:val="18"/>
        </w:rPr>
        <w:t> </w:t>
      </w:r>
      <w:r>
        <w:rPr>
          <w:sz w:val="18"/>
        </w:rPr>
        <w:t>date</w:t>
      </w:r>
      <w:r>
        <w:rPr>
          <w:spacing w:val="-12"/>
          <w:sz w:val="18"/>
        </w:rPr>
        <w:t> </w:t>
      </w:r>
      <w:r>
        <w:rPr>
          <w:sz w:val="18"/>
        </w:rPr>
        <w:t>of</w:t>
      </w:r>
      <w:r>
        <w:rPr>
          <w:spacing w:val="-11"/>
          <w:sz w:val="18"/>
        </w:rPr>
        <w:t> </w:t>
      </w:r>
      <w:r>
        <w:rPr>
          <w:sz w:val="18"/>
        </w:rPr>
        <w:t>valuation.</w:t>
      </w:r>
      <w:r>
        <w:rPr>
          <w:spacing w:val="-7"/>
          <w:sz w:val="18"/>
        </w:rPr>
        <w:t> </w:t>
      </w:r>
      <w:r>
        <w:rPr>
          <w:sz w:val="18"/>
        </w:rPr>
        <w:t>Also,</w:t>
      </w:r>
      <w:r>
        <w:rPr>
          <w:spacing w:val="-11"/>
          <w:sz w:val="18"/>
        </w:rPr>
        <w:t> </w:t>
      </w:r>
      <w:r>
        <w:rPr>
          <w:sz w:val="18"/>
        </w:rPr>
        <w:t>the</w:t>
      </w:r>
      <w:r>
        <w:rPr>
          <w:spacing w:val="-10"/>
          <w:sz w:val="18"/>
        </w:rPr>
        <w:t> </w:t>
      </w:r>
      <w:r>
        <w:rPr>
          <w:sz w:val="18"/>
        </w:rPr>
        <w:t>top</w:t>
      </w:r>
      <w:r>
        <w:rPr>
          <w:spacing w:val="-10"/>
          <w:sz w:val="18"/>
        </w:rPr>
        <w:t> </w:t>
      </w:r>
      <w:r>
        <w:rPr>
          <w:sz w:val="18"/>
        </w:rPr>
        <w:t>2</w:t>
      </w:r>
      <w:r>
        <w:rPr>
          <w:spacing w:val="-13"/>
          <w:sz w:val="18"/>
        </w:rPr>
        <w:t> </w:t>
      </w:r>
      <w:r>
        <w:rPr>
          <w:sz w:val="18"/>
        </w:rPr>
        <w:t>floors</w:t>
      </w:r>
      <w:r>
        <w:rPr>
          <w:spacing w:val="-10"/>
          <w:sz w:val="18"/>
        </w:rPr>
        <w:t> </w:t>
      </w:r>
      <w:r>
        <w:rPr>
          <w:sz w:val="18"/>
        </w:rPr>
        <w:t>viz</w:t>
      </w:r>
      <w:r>
        <w:rPr>
          <w:spacing w:val="-11"/>
          <w:sz w:val="18"/>
        </w:rPr>
        <w:t> </w:t>
      </w:r>
      <w:r>
        <w:rPr>
          <w:sz w:val="18"/>
        </w:rPr>
        <w:t>the</w:t>
      </w:r>
      <w:r>
        <w:rPr>
          <w:spacing w:val="-13"/>
          <w:sz w:val="18"/>
        </w:rPr>
        <w:t> </w:t>
      </w:r>
      <w:r>
        <w:rPr>
          <w:sz w:val="18"/>
        </w:rPr>
        <w:t>24</w:t>
      </w:r>
      <w:r>
        <w:rPr>
          <w:position w:val="6"/>
          <w:sz w:val="11"/>
        </w:rPr>
        <w:t>th</w:t>
      </w:r>
      <w:r>
        <w:rPr>
          <w:spacing w:val="11"/>
          <w:position w:val="6"/>
          <w:sz w:val="11"/>
        </w:rPr>
        <w:t> </w:t>
      </w:r>
      <w:r>
        <w:rPr>
          <w:sz w:val="18"/>
        </w:rPr>
        <w:t>and</w:t>
      </w:r>
      <w:r>
        <w:rPr>
          <w:spacing w:val="-12"/>
          <w:sz w:val="18"/>
        </w:rPr>
        <w:t> </w:t>
      </w:r>
      <w:r>
        <w:rPr>
          <w:sz w:val="18"/>
        </w:rPr>
        <w:t>25</w:t>
      </w:r>
      <w:r>
        <w:rPr>
          <w:position w:val="6"/>
          <w:sz w:val="11"/>
        </w:rPr>
        <w:t>th </w:t>
      </w:r>
      <w:r>
        <w:rPr>
          <w:sz w:val="18"/>
        </w:rPr>
        <w:t>floor are not owned by the Client. Table below highlights the leasable area details for the subject development under the ownership of the</w:t>
      </w:r>
      <w:r>
        <w:rPr>
          <w:spacing w:val="-19"/>
          <w:sz w:val="18"/>
        </w:rPr>
        <w:t> </w:t>
      </w:r>
      <w:r>
        <w:rPr>
          <w:sz w:val="18"/>
        </w:rPr>
        <w:t>Client.</w:t>
      </w:r>
    </w:p>
    <w:p>
      <w:pPr>
        <w:pStyle w:val="BodyText"/>
        <w:spacing w:before="4"/>
        <w:rPr>
          <w:sz w:val="10"/>
        </w:rPr>
      </w:pPr>
    </w:p>
    <w:tbl>
      <w:tblPr>
        <w:tblW w:w="0" w:type="auto"/>
        <w:jc w:val="lef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9"/>
        <w:gridCol w:w="2561"/>
        <w:gridCol w:w="2880"/>
      </w:tblGrid>
      <w:tr>
        <w:trPr>
          <w:trHeight w:val="337" w:hRule="atLeast"/>
        </w:trPr>
        <w:tc>
          <w:tcPr>
            <w:tcW w:w="2939" w:type="dxa"/>
            <w:tcBorders>
              <w:top w:val="single" w:sz="12" w:space="0" w:color="1F6B16"/>
              <w:bottom w:val="single" w:sz="6" w:space="0" w:color="69BD28"/>
            </w:tcBorders>
            <w:shd w:val="clear" w:color="auto" w:fill="006A4D"/>
          </w:tcPr>
          <w:p>
            <w:pPr>
              <w:pStyle w:val="TableParagraph"/>
              <w:spacing w:before="63"/>
              <w:ind w:left="313" w:right="466"/>
              <w:rPr>
                <w:b/>
                <w:sz w:val="18"/>
              </w:rPr>
            </w:pPr>
            <w:r>
              <w:rPr>
                <w:b/>
                <w:color w:val="FFFFFF"/>
                <w:w w:val="105"/>
                <w:sz w:val="18"/>
              </w:rPr>
              <w:t>Particular</w:t>
            </w:r>
          </w:p>
        </w:tc>
        <w:tc>
          <w:tcPr>
            <w:tcW w:w="2561" w:type="dxa"/>
            <w:tcBorders>
              <w:top w:val="single" w:sz="12" w:space="0" w:color="1F6B16"/>
              <w:bottom w:val="single" w:sz="6" w:space="0" w:color="69BD28"/>
            </w:tcBorders>
            <w:shd w:val="clear" w:color="auto" w:fill="006A4D"/>
          </w:tcPr>
          <w:p>
            <w:pPr>
              <w:pStyle w:val="TableParagraph"/>
              <w:spacing w:before="63"/>
              <w:ind w:left="485" w:right="375"/>
              <w:rPr>
                <w:b/>
                <w:sz w:val="18"/>
              </w:rPr>
            </w:pPr>
            <w:r>
              <w:rPr>
                <w:b/>
                <w:color w:val="FFFFFF"/>
                <w:w w:val="110"/>
                <w:sz w:val="18"/>
              </w:rPr>
              <w:t>Leasable Area (sf)</w:t>
            </w:r>
          </w:p>
        </w:tc>
        <w:tc>
          <w:tcPr>
            <w:tcW w:w="2880" w:type="dxa"/>
            <w:tcBorders>
              <w:top w:val="single" w:sz="12" w:space="0" w:color="1F6B16"/>
              <w:bottom w:val="single" w:sz="6" w:space="0" w:color="69BD28"/>
            </w:tcBorders>
            <w:shd w:val="clear" w:color="auto" w:fill="006A4D"/>
          </w:tcPr>
          <w:p>
            <w:pPr>
              <w:pStyle w:val="TableParagraph"/>
              <w:spacing w:before="63"/>
              <w:ind w:left="401" w:right="126"/>
              <w:rPr>
                <w:b/>
                <w:sz w:val="18"/>
              </w:rPr>
            </w:pPr>
            <w:r>
              <w:rPr>
                <w:b/>
                <w:color w:val="FFFFFF"/>
                <w:w w:val="105"/>
                <w:sz w:val="18"/>
              </w:rPr>
              <w:t>Committed Occupancy (%)</w:t>
            </w:r>
          </w:p>
        </w:tc>
      </w:tr>
      <w:tr>
        <w:trPr>
          <w:trHeight w:val="229" w:hRule="atLeast"/>
        </w:trPr>
        <w:tc>
          <w:tcPr>
            <w:tcW w:w="2939" w:type="dxa"/>
            <w:tcBorders>
              <w:top w:val="single" w:sz="6" w:space="0" w:color="69BD28"/>
              <w:bottom w:val="single" w:sz="6" w:space="0" w:color="69BD28"/>
            </w:tcBorders>
          </w:tcPr>
          <w:p>
            <w:pPr>
              <w:pStyle w:val="TableParagraph"/>
              <w:spacing w:line="199" w:lineRule="exact" w:before="10"/>
              <w:ind w:left="312" w:right="466"/>
              <w:rPr>
                <w:sz w:val="18"/>
              </w:rPr>
            </w:pPr>
            <w:r>
              <w:rPr>
                <w:sz w:val="18"/>
              </w:rPr>
              <w:t>Completed Blocks</w:t>
            </w:r>
          </w:p>
        </w:tc>
        <w:tc>
          <w:tcPr>
            <w:tcW w:w="2561" w:type="dxa"/>
            <w:tcBorders>
              <w:top w:val="single" w:sz="6" w:space="0" w:color="69BD28"/>
              <w:bottom w:val="single" w:sz="6" w:space="0" w:color="69BD28"/>
            </w:tcBorders>
          </w:tcPr>
          <w:p>
            <w:pPr>
              <w:pStyle w:val="TableParagraph"/>
              <w:spacing w:line="199" w:lineRule="exact" w:before="10"/>
              <w:ind w:left="484" w:right="375"/>
              <w:rPr>
                <w:sz w:val="18"/>
              </w:rPr>
            </w:pPr>
            <w:r>
              <w:rPr>
                <w:w w:val="110"/>
                <w:sz w:val="18"/>
              </w:rPr>
              <w:t>472,377</w:t>
            </w:r>
          </w:p>
        </w:tc>
        <w:tc>
          <w:tcPr>
            <w:tcW w:w="2880" w:type="dxa"/>
            <w:tcBorders>
              <w:top w:val="single" w:sz="6" w:space="0" w:color="69BD28"/>
              <w:bottom w:val="single" w:sz="6" w:space="0" w:color="69BD28"/>
            </w:tcBorders>
          </w:tcPr>
          <w:p>
            <w:pPr>
              <w:pStyle w:val="TableParagraph"/>
              <w:spacing w:line="199" w:lineRule="exact" w:before="10"/>
              <w:ind w:left="398" w:right="126"/>
              <w:rPr>
                <w:sz w:val="18"/>
              </w:rPr>
            </w:pPr>
            <w:r>
              <w:rPr>
                <w:w w:val="110"/>
                <w:sz w:val="18"/>
              </w:rPr>
              <w:t>93.5%</w:t>
            </w:r>
          </w:p>
        </w:tc>
      </w:tr>
      <w:tr>
        <w:trPr>
          <w:trHeight w:val="230" w:hRule="atLeast"/>
        </w:trPr>
        <w:tc>
          <w:tcPr>
            <w:tcW w:w="2939" w:type="dxa"/>
            <w:tcBorders>
              <w:top w:val="single" w:sz="6" w:space="0" w:color="69BD28"/>
              <w:bottom w:val="single" w:sz="6" w:space="0" w:color="69BD28"/>
            </w:tcBorders>
          </w:tcPr>
          <w:p>
            <w:pPr>
              <w:pStyle w:val="TableParagraph"/>
              <w:spacing w:line="199" w:lineRule="exact" w:before="11"/>
              <w:ind w:left="313" w:right="466"/>
              <w:rPr>
                <w:sz w:val="18"/>
              </w:rPr>
            </w:pPr>
            <w:r>
              <w:rPr>
                <w:sz w:val="18"/>
              </w:rPr>
              <w:t>Under Construction Blocks</w:t>
            </w:r>
          </w:p>
        </w:tc>
        <w:tc>
          <w:tcPr>
            <w:tcW w:w="2561" w:type="dxa"/>
            <w:tcBorders>
              <w:top w:val="single" w:sz="6" w:space="0" w:color="69BD28"/>
              <w:bottom w:val="single" w:sz="6" w:space="0" w:color="69BD28"/>
            </w:tcBorders>
          </w:tcPr>
          <w:p>
            <w:pPr>
              <w:pStyle w:val="TableParagraph"/>
              <w:spacing w:line="199" w:lineRule="exact" w:before="11"/>
              <w:ind w:left="110"/>
              <w:rPr>
                <w:sz w:val="18"/>
              </w:rPr>
            </w:pPr>
            <w:r>
              <w:rPr>
                <w:w w:val="99"/>
                <w:sz w:val="18"/>
              </w:rPr>
              <w:t>-</w:t>
            </w:r>
          </w:p>
        </w:tc>
        <w:tc>
          <w:tcPr>
            <w:tcW w:w="2880" w:type="dxa"/>
            <w:tcBorders>
              <w:top w:val="single" w:sz="6" w:space="0" w:color="69BD28"/>
              <w:bottom w:val="single" w:sz="6" w:space="0" w:color="69BD28"/>
            </w:tcBorders>
          </w:tcPr>
          <w:p>
            <w:pPr>
              <w:pStyle w:val="TableParagraph"/>
              <w:spacing w:line="199" w:lineRule="exact" w:before="11"/>
              <w:ind w:left="396" w:right="126"/>
              <w:rPr>
                <w:sz w:val="18"/>
              </w:rPr>
            </w:pPr>
            <w:r>
              <w:rPr>
                <w:w w:val="115"/>
                <w:sz w:val="18"/>
              </w:rPr>
              <w:t>NA</w:t>
            </w:r>
          </w:p>
        </w:tc>
      </w:tr>
      <w:tr>
        <w:trPr>
          <w:trHeight w:val="229" w:hRule="atLeast"/>
        </w:trPr>
        <w:tc>
          <w:tcPr>
            <w:tcW w:w="2939" w:type="dxa"/>
            <w:tcBorders>
              <w:top w:val="single" w:sz="6" w:space="0" w:color="69BD28"/>
              <w:bottom w:val="single" w:sz="6" w:space="0" w:color="69BD28"/>
            </w:tcBorders>
          </w:tcPr>
          <w:p>
            <w:pPr>
              <w:pStyle w:val="TableParagraph"/>
              <w:spacing w:line="199" w:lineRule="exact" w:before="10"/>
              <w:ind w:left="313" w:right="466"/>
              <w:rPr>
                <w:sz w:val="18"/>
              </w:rPr>
            </w:pPr>
            <w:r>
              <w:rPr>
                <w:sz w:val="18"/>
              </w:rPr>
              <w:t>Proposed Blocks</w:t>
            </w:r>
          </w:p>
        </w:tc>
        <w:tc>
          <w:tcPr>
            <w:tcW w:w="2561" w:type="dxa"/>
            <w:tcBorders>
              <w:top w:val="single" w:sz="6" w:space="0" w:color="69BD28"/>
              <w:bottom w:val="single" w:sz="6" w:space="0" w:color="69BD28"/>
            </w:tcBorders>
          </w:tcPr>
          <w:p>
            <w:pPr>
              <w:pStyle w:val="TableParagraph"/>
              <w:spacing w:line="199" w:lineRule="exact" w:before="10"/>
              <w:ind w:left="110"/>
              <w:rPr>
                <w:sz w:val="18"/>
              </w:rPr>
            </w:pPr>
            <w:r>
              <w:rPr>
                <w:w w:val="99"/>
                <w:sz w:val="18"/>
              </w:rPr>
              <w:t>-</w:t>
            </w:r>
          </w:p>
        </w:tc>
        <w:tc>
          <w:tcPr>
            <w:tcW w:w="2880" w:type="dxa"/>
            <w:tcBorders>
              <w:top w:val="single" w:sz="6" w:space="0" w:color="69BD28"/>
              <w:bottom w:val="single" w:sz="6" w:space="0" w:color="69BD28"/>
            </w:tcBorders>
          </w:tcPr>
          <w:p>
            <w:pPr>
              <w:pStyle w:val="TableParagraph"/>
              <w:spacing w:line="199" w:lineRule="exact" w:before="10"/>
              <w:ind w:left="396" w:right="126"/>
              <w:rPr>
                <w:sz w:val="18"/>
              </w:rPr>
            </w:pPr>
            <w:r>
              <w:rPr>
                <w:w w:val="115"/>
                <w:sz w:val="18"/>
              </w:rPr>
              <w:t>NA</w:t>
            </w:r>
          </w:p>
        </w:tc>
      </w:tr>
      <w:tr>
        <w:trPr>
          <w:trHeight w:val="229" w:hRule="atLeast"/>
        </w:trPr>
        <w:tc>
          <w:tcPr>
            <w:tcW w:w="2939" w:type="dxa"/>
            <w:tcBorders>
              <w:top w:val="single" w:sz="6" w:space="0" w:color="69BD28"/>
              <w:bottom w:val="single" w:sz="6" w:space="0" w:color="69BD28"/>
            </w:tcBorders>
          </w:tcPr>
          <w:p>
            <w:pPr>
              <w:pStyle w:val="TableParagraph"/>
              <w:spacing w:line="199" w:lineRule="exact" w:before="10"/>
              <w:ind w:left="312" w:right="466"/>
              <w:rPr>
                <w:sz w:val="18"/>
              </w:rPr>
            </w:pPr>
            <w:r>
              <w:rPr>
                <w:sz w:val="18"/>
              </w:rPr>
              <w:t>Total</w:t>
            </w:r>
          </w:p>
        </w:tc>
        <w:tc>
          <w:tcPr>
            <w:tcW w:w="2561" w:type="dxa"/>
            <w:tcBorders>
              <w:top w:val="single" w:sz="6" w:space="0" w:color="69BD28"/>
              <w:bottom w:val="single" w:sz="6" w:space="0" w:color="69BD28"/>
            </w:tcBorders>
          </w:tcPr>
          <w:p>
            <w:pPr>
              <w:pStyle w:val="TableParagraph"/>
              <w:spacing w:line="199" w:lineRule="exact" w:before="10"/>
              <w:ind w:left="484" w:right="375"/>
              <w:rPr>
                <w:sz w:val="18"/>
              </w:rPr>
            </w:pPr>
            <w:r>
              <w:rPr>
                <w:w w:val="110"/>
                <w:sz w:val="18"/>
              </w:rPr>
              <w:t>472,377</w:t>
            </w:r>
          </w:p>
        </w:tc>
        <w:tc>
          <w:tcPr>
            <w:tcW w:w="2880" w:type="dxa"/>
            <w:tcBorders>
              <w:top w:val="single" w:sz="6" w:space="0" w:color="69BD28"/>
              <w:bottom w:val="single" w:sz="6" w:space="0" w:color="69BD28"/>
            </w:tcBorders>
          </w:tcPr>
          <w:p>
            <w:pPr>
              <w:pStyle w:val="TableParagraph"/>
              <w:jc w:val="left"/>
              <w:rPr>
                <w:rFonts w:ascii="Times New Roman"/>
                <w:sz w:val="16"/>
              </w:rPr>
            </w:pPr>
          </w:p>
        </w:tc>
      </w:tr>
    </w:tbl>
    <w:p>
      <w:pPr>
        <w:spacing w:before="116"/>
        <w:ind w:left="187" w:right="0" w:firstLine="0"/>
        <w:jc w:val="both"/>
        <w:rPr>
          <w:i/>
          <w:sz w:val="18"/>
        </w:rPr>
      </w:pPr>
      <w:r>
        <w:rPr/>
        <w:pict>
          <v:shape style="position:absolute;margin-left:133.820007pt;margin-top:26.130695pt;width:399.95pt;height:64.2pt;mso-position-horizontal-relative:page;mso-position-vertical-relative:paragraph;z-index:1583667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0"/>
                    <w:gridCol w:w="4489"/>
                  </w:tblGrid>
                  <w:tr>
                    <w:trPr>
                      <w:trHeight w:val="457" w:hRule="atLeast"/>
                    </w:trPr>
                    <w:tc>
                      <w:tcPr>
                        <w:tcW w:w="7999" w:type="dxa"/>
                        <w:gridSpan w:val="2"/>
                        <w:tcBorders>
                          <w:top w:val="single" w:sz="6" w:space="0" w:color="69BD28"/>
                        </w:tcBorders>
                        <w:shd w:val="clear" w:color="auto" w:fill="006A4D"/>
                      </w:tcPr>
                      <w:p>
                        <w:pPr>
                          <w:pStyle w:val="TableParagraph"/>
                          <w:tabs>
                            <w:tab w:pos="4945" w:val="left" w:leader="none"/>
                          </w:tabs>
                          <w:spacing w:before="126"/>
                          <w:ind w:left="835"/>
                          <w:jc w:val="left"/>
                          <w:rPr>
                            <w:b/>
                            <w:sz w:val="18"/>
                          </w:rPr>
                        </w:pPr>
                        <w:r>
                          <w:rPr>
                            <w:b/>
                            <w:color w:val="FFFFFF"/>
                            <w:w w:val="110"/>
                            <w:sz w:val="18"/>
                          </w:rPr>
                          <w:t>Valuation Approach</w:t>
                          <w:tab/>
                          <w:t>Completed</w:t>
                        </w:r>
                        <w:r>
                          <w:rPr>
                            <w:b/>
                            <w:color w:val="FFFFFF"/>
                            <w:spacing w:val="-5"/>
                            <w:w w:val="110"/>
                            <w:sz w:val="18"/>
                          </w:rPr>
                          <w:t> </w:t>
                        </w:r>
                        <w:r>
                          <w:rPr>
                            <w:b/>
                            <w:color w:val="FFFFFF"/>
                            <w:w w:val="110"/>
                            <w:sz w:val="18"/>
                          </w:rPr>
                          <w:t>Blocks</w:t>
                        </w:r>
                      </w:p>
                    </w:tc>
                  </w:tr>
                  <w:tr>
                    <w:trPr>
                      <w:trHeight w:val="781" w:hRule="atLeast"/>
                    </w:trPr>
                    <w:tc>
                      <w:tcPr>
                        <w:tcW w:w="3510" w:type="dxa"/>
                        <w:shd w:val="clear" w:color="auto" w:fill="69BD28"/>
                      </w:tcPr>
                      <w:p>
                        <w:pPr>
                          <w:pStyle w:val="TableParagraph"/>
                          <w:spacing w:before="8"/>
                          <w:jc w:val="left"/>
                          <w:rPr>
                            <w:sz w:val="24"/>
                          </w:rPr>
                        </w:pPr>
                      </w:p>
                      <w:p>
                        <w:pPr>
                          <w:pStyle w:val="TableParagraph"/>
                          <w:ind w:left="936"/>
                          <w:jc w:val="left"/>
                          <w:rPr>
                            <w:b/>
                            <w:sz w:val="18"/>
                          </w:rPr>
                        </w:pPr>
                        <w:r>
                          <w:rPr>
                            <w:b/>
                            <w:color w:val="FFFFFF"/>
                            <w:w w:val="105"/>
                            <w:sz w:val="18"/>
                          </w:rPr>
                          <w:t>Office Component</w:t>
                        </w:r>
                      </w:p>
                    </w:tc>
                    <w:tc>
                      <w:tcPr>
                        <w:tcW w:w="4489" w:type="dxa"/>
                        <w:tcBorders>
                          <w:top w:val="single" w:sz="6" w:space="0" w:color="69BD28"/>
                          <w:bottom w:val="single" w:sz="6" w:space="0" w:color="69BD28"/>
                        </w:tcBorders>
                      </w:tcPr>
                      <w:p>
                        <w:pPr>
                          <w:pStyle w:val="TableParagraph"/>
                          <w:spacing w:line="247" w:lineRule="auto" w:before="178"/>
                          <w:ind w:left="1833" w:right="137" w:hanging="1616"/>
                          <w:jc w:val="left"/>
                          <w:rPr>
                            <w:sz w:val="18"/>
                          </w:rPr>
                        </w:pPr>
                        <w:r>
                          <w:rPr>
                            <w:sz w:val="18"/>
                          </w:rPr>
                          <w:t>Discounted Cash Flow Method (using rent reversion approach)</w:t>
                        </w:r>
                      </w:p>
                    </w:tc>
                  </w:tr>
                </w:tbl>
                <w:p>
                  <w:pPr>
                    <w:pStyle w:val="BodyText"/>
                  </w:pPr>
                </w:p>
              </w:txbxContent>
            </v:textbox>
            <w10:wrap type="none"/>
          </v:shape>
        </w:pict>
      </w:r>
      <w:r>
        <w:rPr>
          <w:i/>
          <w:sz w:val="18"/>
        </w:rPr>
        <w:t>Source: Architect certificate, Rent-roll, lease deeds</w:t>
      </w:r>
    </w:p>
    <w:p>
      <w:pPr>
        <w:spacing w:after="0"/>
        <w:jc w:val="both"/>
        <w:rPr>
          <w:sz w:val="18"/>
        </w:rPr>
        <w:sectPr>
          <w:type w:val="continuous"/>
          <w:pgSz w:w="11910" w:h="16840"/>
          <w:pgMar w:top="800" w:bottom="280" w:left="440" w:right="80"/>
          <w:cols w:num="2" w:equalWidth="0">
            <w:col w:w="1894" w:space="40"/>
            <w:col w:w="9456"/>
          </w:cols>
        </w:sectPr>
      </w:pPr>
    </w:p>
    <w:p>
      <w:pPr>
        <w:pStyle w:val="BodyText"/>
        <w:rPr>
          <w:i/>
          <w:sz w:val="20"/>
        </w:rPr>
      </w:pPr>
    </w:p>
    <w:p>
      <w:pPr>
        <w:pStyle w:val="BodyText"/>
        <w:rPr>
          <w:i/>
          <w:sz w:val="20"/>
        </w:rPr>
      </w:pPr>
    </w:p>
    <w:p>
      <w:pPr>
        <w:pStyle w:val="BodyText"/>
        <w:spacing w:before="2"/>
        <w:rPr>
          <w:i/>
          <w:sz w:val="23"/>
        </w:rPr>
      </w:pPr>
    </w:p>
    <w:p>
      <w:pPr>
        <w:tabs>
          <w:tab w:pos="2236" w:val="left" w:leader="none"/>
        </w:tabs>
        <w:spacing w:before="0"/>
        <w:ind w:left="388" w:right="0" w:firstLine="0"/>
        <w:jc w:val="left"/>
        <w:rPr>
          <w:sz w:val="18"/>
        </w:rPr>
      </w:pPr>
      <w:r>
        <w:rPr>
          <w:color w:val="006A4D"/>
          <w:sz w:val="18"/>
        </w:rPr>
        <w:t>Date</w:t>
      </w:r>
      <w:r>
        <w:rPr>
          <w:color w:val="006A4D"/>
          <w:spacing w:val="-14"/>
          <w:sz w:val="18"/>
        </w:rPr>
        <w:t> </w:t>
      </w:r>
      <w:r>
        <w:rPr>
          <w:color w:val="006A4D"/>
          <w:sz w:val="18"/>
        </w:rPr>
        <w:t>of</w:t>
      </w:r>
      <w:r>
        <w:rPr>
          <w:color w:val="006A4D"/>
          <w:spacing w:val="-13"/>
          <w:sz w:val="18"/>
        </w:rPr>
        <w:t> </w:t>
      </w:r>
      <w:r>
        <w:rPr>
          <w:color w:val="006A4D"/>
          <w:sz w:val="18"/>
        </w:rPr>
        <w:t>Valuation:</w:t>
        <w:tab/>
      </w:r>
      <w:r>
        <w:rPr>
          <w:sz w:val="18"/>
        </w:rPr>
        <w:t>March 31,</w:t>
      </w:r>
      <w:r>
        <w:rPr>
          <w:spacing w:val="-1"/>
          <w:sz w:val="18"/>
        </w:rPr>
        <w:t> </w:t>
      </w:r>
      <w:r>
        <w:rPr>
          <w:sz w:val="18"/>
        </w:rPr>
        <w:t>2020</w:t>
      </w:r>
    </w:p>
    <w:p>
      <w:pPr>
        <w:pStyle w:val="BodyText"/>
        <w:spacing w:before="8"/>
        <w:rPr>
          <w:sz w:val="27"/>
        </w:rPr>
      </w:pPr>
    </w:p>
    <w:p>
      <w:pPr>
        <w:spacing w:line="321" w:lineRule="auto" w:before="0"/>
        <w:ind w:left="2236" w:right="847" w:hanging="1849"/>
        <w:jc w:val="both"/>
        <w:rPr>
          <w:sz w:val="18"/>
        </w:rPr>
      </w:pPr>
      <w:r>
        <w:rPr>
          <w:color w:val="006A4D"/>
          <w:sz w:val="18"/>
        </w:rPr>
        <w:t>Date of Inspection: </w:t>
      </w:r>
      <w:r>
        <w:rPr>
          <w:sz w:val="18"/>
        </w:rPr>
        <w:t>Not Applicable. Due to the outbreak of Novel Coronavirus (COVID-19), declared by the World health Organisation as a “Global Pandemic” on 11</w:t>
      </w:r>
      <w:r>
        <w:rPr>
          <w:position w:val="6"/>
          <w:sz w:val="11"/>
        </w:rPr>
        <w:t>th </w:t>
      </w:r>
      <w:r>
        <w:rPr>
          <w:sz w:val="18"/>
        </w:rPr>
        <w:t>March 2020, it has not been possible to carry out a formal inspection</w:t>
      </w:r>
      <w:r>
        <w:rPr>
          <w:spacing w:val="-24"/>
          <w:sz w:val="18"/>
        </w:rPr>
        <w:t> </w:t>
      </w:r>
      <w:r>
        <w:rPr>
          <w:sz w:val="18"/>
        </w:rPr>
        <w:t>of</w:t>
      </w:r>
      <w:r>
        <w:rPr>
          <w:spacing w:val="-21"/>
          <w:sz w:val="18"/>
        </w:rPr>
        <w:t> </w:t>
      </w:r>
      <w:r>
        <w:rPr>
          <w:sz w:val="18"/>
        </w:rPr>
        <w:t>the</w:t>
      </w:r>
      <w:r>
        <w:rPr>
          <w:spacing w:val="-22"/>
          <w:sz w:val="18"/>
        </w:rPr>
        <w:t> </w:t>
      </w:r>
      <w:r>
        <w:rPr>
          <w:sz w:val="18"/>
        </w:rPr>
        <w:t>property</w:t>
      </w:r>
      <w:r>
        <w:rPr>
          <w:spacing w:val="-20"/>
          <w:sz w:val="18"/>
        </w:rPr>
        <w:t> </w:t>
      </w:r>
      <w:r>
        <w:rPr>
          <w:sz w:val="18"/>
        </w:rPr>
        <w:t>for</w:t>
      </w:r>
      <w:r>
        <w:rPr>
          <w:spacing w:val="-23"/>
          <w:sz w:val="18"/>
        </w:rPr>
        <w:t> </w:t>
      </w:r>
      <w:r>
        <w:rPr>
          <w:sz w:val="18"/>
        </w:rPr>
        <w:t>the</w:t>
      </w:r>
      <w:r>
        <w:rPr>
          <w:spacing w:val="-22"/>
          <w:sz w:val="18"/>
        </w:rPr>
        <w:t> </w:t>
      </w:r>
      <w:r>
        <w:rPr>
          <w:sz w:val="18"/>
        </w:rPr>
        <w:t>current</w:t>
      </w:r>
      <w:r>
        <w:rPr>
          <w:spacing w:val="-22"/>
          <w:sz w:val="18"/>
        </w:rPr>
        <w:t> </w:t>
      </w:r>
      <w:r>
        <w:rPr>
          <w:sz w:val="18"/>
        </w:rPr>
        <w:t>update.</w:t>
      </w:r>
      <w:r>
        <w:rPr>
          <w:spacing w:val="-21"/>
          <w:sz w:val="18"/>
        </w:rPr>
        <w:t> </w:t>
      </w:r>
      <w:r>
        <w:rPr>
          <w:sz w:val="18"/>
        </w:rPr>
        <w:t>The</w:t>
      </w:r>
      <w:r>
        <w:rPr>
          <w:spacing w:val="-22"/>
          <w:sz w:val="18"/>
        </w:rPr>
        <w:t> </w:t>
      </w:r>
      <w:r>
        <w:rPr>
          <w:sz w:val="18"/>
        </w:rPr>
        <w:t>site</w:t>
      </w:r>
      <w:r>
        <w:rPr>
          <w:spacing w:val="-21"/>
          <w:sz w:val="18"/>
        </w:rPr>
        <w:t> </w:t>
      </w:r>
      <w:r>
        <w:rPr>
          <w:sz w:val="18"/>
        </w:rPr>
        <w:t>observation,</w:t>
      </w:r>
      <w:r>
        <w:rPr>
          <w:spacing w:val="-23"/>
          <w:sz w:val="18"/>
        </w:rPr>
        <w:t> </w:t>
      </w:r>
      <w:r>
        <w:rPr>
          <w:sz w:val="18"/>
        </w:rPr>
        <w:t>details</w:t>
      </w:r>
      <w:r>
        <w:rPr>
          <w:spacing w:val="-22"/>
          <w:sz w:val="18"/>
        </w:rPr>
        <w:t> </w:t>
      </w:r>
      <w:r>
        <w:rPr>
          <w:sz w:val="18"/>
        </w:rPr>
        <w:t>and</w:t>
      </w:r>
      <w:r>
        <w:rPr>
          <w:spacing w:val="-22"/>
          <w:sz w:val="18"/>
        </w:rPr>
        <w:t> </w:t>
      </w:r>
      <w:r>
        <w:rPr>
          <w:sz w:val="18"/>
        </w:rPr>
        <w:t>pictures</w:t>
      </w:r>
      <w:r>
        <w:rPr>
          <w:spacing w:val="-23"/>
          <w:sz w:val="18"/>
        </w:rPr>
        <w:t> </w:t>
      </w:r>
      <w:r>
        <w:rPr>
          <w:sz w:val="18"/>
        </w:rPr>
        <w:t>are</w:t>
      </w:r>
      <w:r>
        <w:rPr>
          <w:spacing w:val="-22"/>
          <w:sz w:val="18"/>
        </w:rPr>
        <w:t> </w:t>
      </w:r>
      <w:r>
        <w:rPr>
          <w:sz w:val="18"/>
        </w:rPr>
        <w:t>as</w:t>
      </w:r>
      <w:r>
        <w:rPr>
          <w:spacing w:val="-21"/>
          <w:sz w:val="18"/>
        </w:rPr>
        <w:t> </w:t>
      </w:r>
      <w:r>
        <w:rPr>
          <w:sz w:val="18"/>
        </w:rPr>
        <w:t>per</w:t>
      </w:r>
      <w:r>
        <w:rPr>
          <w:spacing w:val="-23"/>
          <w:sz w:val="18"/>
        </w:rPr>
        <w:t> </w:t>
      </w:r>
      <w:r>
        <w:rPr>
          <w:sz w:val="18"/>
        </w:rPr>
        <w:t>the previous site visit undertaken/ as provided by the</w:t>
      </w:r>
      <w:r>
        <w:rPr>
          <w:spacing w:val="-38"/>
          <w:sz w:val="18"/>
        </w:rPr>
        <w:t> </w:t>
      </w:r>
      <w:r>
        <w:rPr>
          <w:sz w:val="18"/>
        </w:rPr>
        <w:t>Client</w:t>
      </w:r>
    </w:p>
    <w:p>
      <w:pPr>
        <w:pStyle w:val="BodyText"/>
        <w:spacing w:before="10"/>
        <w:rPr>
          <w:sz w:val="12"/>
        </w:rPr>
      </w:pPr>
    </w:p>
    <w:p>
      <w:pPr>
        <w:spacing w:after="0"/>
        <w:rPr>
          <w:sz w:val="12"/>
        </w:rPr>
        <w:sectPr>
          <w:type w:val="continuous"/>
          <w:pgSz w:w="11910" w:h="16840"/>
          <w:pgMar w:top="800" w:bottom="280" w:left="440" w:right="80"/>
        </w:sectPr>
      </w:pPr>
    </w:p>
    <w:p>
      <w:pPr>
        <w:spacing w:line="321" w:lineRule="auto" w:before="104"/>
        <w:ind w:left="388" w:right="-12" w:firstLine="0"/>
        <w:jc w:val="left"/>
        <w:rPr>
          <w:sz w:val="18"/>
        </w:rPr>
      </w:pPr>
      <w:r>
        <w:rPr>
          <w:color w:val="006A4D"/>
          <w:sz w:val="18"/>
        </w:rPr>
        <w:t>Purchase</w:t>
      </w:r>
      <w:r>
        <w:rPr>
          <w:color w:val="006A4D"/>
          <w:spacing w:val="-35"/>
          <w:sz w:val="18"/>
        </w:rPr>
        <w:t> </w:t>
      </w:r>
      <w:r>
        <w:rPr>
          <w:color w:val="006A4D"/>
          <w:sz w:val="18"/>
        </w:rPr>
        <w:t>Price</w:t>
      </w:r>
      <w:r>
        <w:rPr>
          <w:color w:val="006A4D"/>
          <w:spacing w:val="-35"/>
          <w:sz w:val="18"/>
        </w:rPr>
        <w:t> </w:t>
      </w:r>
      <w:r>
        <w:rPr>
          <w:color w:val="006A4D"/>
          <w:spacing w:val="-4"/>
          <w:sz w:val="18"/>
        </w:rPr>
        <w:t>for </w:t>
      </w:r>
      <w:r>
        <w:rPr>
          <w:color w:val="006A4D"/>
          <w:sz w:val="18"/>
        </w:rPr>
        <w:t>the</w:t>
      </w:r>
      <w:r>
        <w:rPr>
          <w:color w:val="006A4D"/>
          <w:spacing w:val="-11"/>
          <w:sz w:val="18"/>
        </w:rPr>
        <w:t> </w:t>
      </w:r>
      <w:r>
        <w:rPr>
          <w:color w:val="006A4D"/>
          <w:sz w:val="18"/>
        </w:rPr>
        <w:t>property:</w:t>
      </w:r>
    </w:p>
    <w:p>
      <w:pPr>
        <w:spacing w:before="104"/>
        <w:ind w:left="388" w:right="0" w:firstLine="0"/>
        <w:jc w:val="left"/>
        <w:rPr>
          <w:sz w:val="18"/>
        </w:rPr>
      </w:pPr>
      <w:r>
        <w:rPr/>
        <w:br w:type="column"/>
      </w:r>
      <w:r>
        <w:rPr>
          <w:sz w:val="18"/>
        </w:rPr>
        <w:t>The said acquisition was undertaken as part of the ‘Formation Transaction’ as described in the Final Offer</w:t>
      </w:r>
    </w:p>
    <w:p>
      <w:pPr>
        <w:spacing w:before="72"/>
        <w:ind w:left="388" w:right="0" w:firstLine="0"/>
        <w:jc w:val="left"/>
        <w:rPr>
          <w:sz w:val="18"/>
        </w:rPr>
      </w:pPr>
      <w:r>
        <w:rPr>
          <w:sz w:val="18"/>
        </w:rPr>
        <w:t>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1787" w:space="62"/>
            <w:col w:w="9541"/>
          </w:cols>
        </w:sectPr>
      </w:pPr>
    </w:p>
    <w:p>
      <w:pPr>
        <w:pStyle w:val="BodyText"/>
        <w:spacing w:before="7"/>
        <w:rPr>
          <w:sz w:val="12"/>
        </w:rPr>
      </w:pPr>
    </w:p>
    <w:p>
      <w:pPr>
        <w:spacing w:after="0"/>
        <w:rPr>
          <w:sz w:val="12"/>
        </w:rPr>
        <w:sectPr>
          <w:type w:val="continuous"/>
          <w:pgSz w:w="11910" w:h="16840"/>
          <w:pgMar w:top="800" w:bottom="280" w:left="440" w:right="80"/>
        </w:sectPr>
      </w:pPr>
    </w:p>
    <w:p>
      <w:pPr>
        <w:spacing w:line="321" w:lineRule="auto" w:before="105"/>
        <w:ind w:left="388" w:right="-9" w:firstLine="0"/>
        <w:jc w:val="left"/>
        <w:rPr>
          <w:sz w:val="18"/>
        </w:rPr>
      </w:pPr>
      <w:r>
        <w:rPr>
          <w:color w:val="006A4D"/>
          <w:sz w:val="18"/>
        </w:rPr>
        <w:t>Ready Reckoner Rate (as per documents published</w:t>
      </w:r>
      <w:r>
        <w:rPr>
          <w:color w:val="006A4D"/>
          <w:spacing w:val="-26"/>
          <w:sz w:val="18"/>
        </w:rPr>
        <w:t> </w:t>
      </w:r>
      <w:r>
        <w:rPr>
          <w:color w:val="006A4D"/>
          <w:sz w:val="18"/>
        </w:rPr>
        <w:t>by</w:t>
      </w:r>
      <w:r>
        <w:rPr>
          <w:color w:val="006A4D"/>
          <w:spacing w:val="-26"/>
          <w:sz w:val="18"/>
        </w:rPr>
        <w:t> </w:t>
      </w:r>
      <w:r>
        <w:rPr>
          <w:color w:val="006A4D"/>
          <w:spacing w:val="-4"/>
          <w:sz w:val="18"/>
        </w:rPr>
        <w:t>State </w:t>
      </w:r>
      <w:r>
        <w:rPr>
          <w:color w:val="006A4D"/>
          <w:sz w:val="18"/>
        </w:rPr>
        <w:t>Government):</w:t>
      </w:r>
    </w:p>
    <w:p>
      <w:pPr>
        <w:spacing w:line="460" w:lineRule="auto" w:before="105"/>
        <w:ind w:left="377" w:right="6281" w:firstLine="0"/>
        <w:jc w:val="left"/>
        <w:rPr>
          <w:sz w:val="18"/>
        </w:rPr>
      </w:pPr>
      <w:r>
        <w:rPr/>
        <w:br w:type="column"/>
      </w:r>
      <w:r>
        <w:rPr>
          <w:sz w:val="18"/>
        </w:rPr>
        <w:t>Land Rate: INR 192,200 per sqm; Built-up Rate: INR 518,000 per sqm</w:t>
      </w:r>
    </w:p>
    <w:p>
      <w:pPr>
        <w:spacing w:after="0" w:line="460" w:lineRule="auto"/>
        <w:jc w:val="left"/>
        <w:rPr>
          <w:sz w:val="18"/>
        </w:rPr>
        <w:sectPr>
          <w:type w:val="continuous"/>
          <w:pgSz w:w="11910" w:h="16840"/>
          <w:pgMar w:top="800" w:bottom="280" w:left="440" w:right="80"/>
          <w:cols w:num="2" w:equalWidth="0">
            <w:col w:w="1820" w:space="40"/>
            <w:col w:w="9530"/>
          </w:cols>
        </w:sectPr>
      </w:pPr>
    </w:p>
    <w:p>
      <w:pPr>
        <w:pStyle w:val="BodyText"/>
        <w:spacing w:before="4"/>
        <w:rPr>
          <w:sz w:val="23"/>
        </w:rPr>
      </w:pPr>
    </w:p>
    <w:p>
      <w:pPr>
        <w:spacing w:after="0"/>
        <w:rPr>
          <w:sz w:val="23"/>
        </w:rPr>
        <w:sectPr>
          <w:pgSz w:w="11910" w:h="16840"/>
          <w:pgMar w:header="720" w:footer="842" w:top="1520" w:bottom="1040" w:left="440" w:right="80"/>
        </w:sectPr>
      </w:pPr>
    </w:p>
    <w:p>
      <w:pPr>
        <w:spacing w:line="321" w:lineRule="auto" w:before="104"/>
        <w:ind w:left="388" w:right="31" w:firstLine="0"/>
        <w:jc w:val="left"/>
        <w:rPr>
          <w:sz w:val="18"/>
        </w:rPr>
      </w:pPr>
      <w:r>
        <w:rPr>
          <w:color w:val="006A4D"/>
          <w:sz w:val="18"/>
        </w:rPr>
        <w:t>Value Conclusion as of March 31, 2020:</w:t>
      </w:r>
    </w:p>
    <w:p>
      <w:pPr>
        <w:pStyle w:val="BodyText"/>
      </w:pPr>
      <w:r>
        <w:rPr/>
        <w:br w:type="column"/>
      </w:r>
      <w:r>
        <w:rPr/>
      </w:r>
    </w:p>
    <w:p>
      <w:pPr>
        <w:pStyle w:val="BodyText"/>
        <w:spacing w:before="10"/>
        <w:rPr>
          <w:sz w:val="26"/>
        </w:rPr>
      </w:pPr>
    </w:p>
    <w:p>
      <w:pPr>
        <w:tabs>
          <w:tab w:pos="4802" w:val="left" w:leader="none"/>
        </w:tabs>
        <w:spacing w:before="0"/>
        <w:ind w:left="388" w:right="0" w:firstLine="0"/>
        <w:jc w:val="left"/>
        <w:rPr>
          <w:sz w:val="18"/>
        </w:rPr>
      </w:pPr>
      <w:r>
        <w:rPr/>
        <w:pict>
          <v:group style="position:absolute;margin-left:135.5pt;margin-top:-23.349319pt;width:411.85pt;height:19.45pt;mso-position-horizontal-relative:page;mso-position-vertical-relative:paragraph;z-index:15838208" coordorigin="2710,-467" coordsize="8237,389">
            <v:shape style="position:absolute;left:2710;top:-436;width:8237;height:344" coordorigin="2710,-436" coordsize="8237,344" path="m10946,-436l6940,-436,2710,-436,2710,-93,6940,-93,10946,-93,10946,-436xe" filled="true" fillcolor="#006a4d" stroked="false">
              <v:path arrowok="t"/>
              <v:fill type="solid"/>
            </v:shape>
            <v:rect style="position:absolute;left:2710;top:-467;width:4230;height:29" filled="true" fillcolor="#1f6b16" stroked="false">
              <v:fill type="solid"/>
            </v:rect>
            <v:shape style="position:absolute;left:2710;top:-439;width:4259;height:3" coordorigin="2710,-438" coordsize="4259,3" path="m6969,-438l6940,-438,2710,-438,2710,-436,6940,-436,6969,-436,6969,-438xe" filled="true" fillcolor="#006a4d" stroked="false">
              <v:path arrowok="t"/>
              <v:fill type="solid"/>
            </v:shape>
            <v:shape style="position:absolute;left:6939;top:-467;width:4007;height:29" coordorigin="6940,-467" coordsize="4007,29" path="m10946,-467l6969,-467,6940,-467,6940,-438,6969,-438,10946,-438,10946,-467xe" filled="true" fillcolor="#1f6b16" stroked="false">
              <v:path arrowok="t"/>
              <v:fill type="solid"/>
            </v:shape>
            <v:rect style="position:absolute;left:6968;top:-439;width:3978;height:3" filled="true" fillcolor="#006a4d" stroked="false">
              <v:fill type="solid"/>
            </v:rect>
            <v:shape style="position:absolute;left:2710;top:-93;width:8237;height:15" coordorigin="2710,-93" coordsize="8237,15" path="m10946,-93l6954,-93,6940,-93,2710,-93,2710,-78,6940,-78,6954,-78,10946,-78,10946,-93xe" filled="true" fillcolor="#69bd28" stroked="false">
              <v:path arrowok="t"/>
              <v:fill type="solid"/>
            </v:shape>
            <v:shape style="position:absolute;left:2710;top:-439;width:8237;height:346" type="#_x0000_t202" filled="false" stroked="false">
              <v:textbox inset="0,0,0,0">
                <w:txbxContent>
                  <w:p>
                    <w:pPr>
                      <w:tabs>
                        <w:tab w:pos="5183" w:val="left" w:leader="none"/>
                      </w:tabs>
                      <w:spacing w:before="68"/>
                      <w:ind w:left="1596" w:right="0" w:firstLine="0"/>
                      <w:jc w:val="left"/>
                      <w:rPr>
                        <w:b/>
                        <w:sz w:val="18"/>
                      </w:rPr>
                    </w:pPr>
                    <w:r>
                      <w:rPr>
                        <w:b/>
                        <w:color w:val="FFFFFF"/>
                        <w:w w:val="110"/>
                        <w:sz w:val="18"/>
                      </w:rPr>
                      <w:t>Component</w:t>
                      <w:tab/>
                      <w:t>Market Value (INR</w:t>
                    </w:r>
                    <w:r>
                      <w:rPr>
                        <w:b/>
                        <w:color w:val="FFFFFF"/>
                        <w:spacing w:val="-2"/>
                        <w:w w:val="110"/>
                        <w:sz w:val="18"/>
                      </w:rPr>
                      <w:t> </w:t>
                    </w:r>
                    <w:r>
                      <w:rPr>
                        <w:b/>
                        <w:color w:val="FFFFFF"/>
                        <w:w w:val="110"/>
                        <w:sz w:val="18"/>
                      </w:rPr>
                      <w:t>Mn)</w:t>
                    </w:r>
                  </w:p>
                </w:txbxContent>
              </v:textbox>
              <w10:wrap type="none"/>
            </v:shape>
            <w10:wrap type="none"/>
          </v:group>
        </w:pict>
      </w:r>
      <w:r>
        <w:rPr>
          <w:sz w:val="18"/>
        </w:rPr>
        <w:t>Express</w:t>
      </w:r>
      <w:r>
        <w:rPr>
          <w:spacing w:val="-21"/>
          <w:sz w:val="18"/>
        </w:rPr>
        <w:t> </w:t>
      </w:r>
      <w:r>
        <w:rPr>
          <w:sz w:val="18"/>
        </w:rPr>
        <w:t>Towers</w:t>
        <w:tab/>
        <w:t>17,866</w:t>
      </w:r>
    </w:p>
    <w:p>
      <w:pPr>
        <w:spacing w:after="0"/>
        <w:jc w:val="left"/>
        <w:rPr>
          <w:sz w:val="18"/>
        </w:rPr>
        <w:sectPr>
          <w:type w:val="continuous"/>
          <w:pgSz w:w="11910" w:h="16840"/>
          <w:pgMar w:top="800" w:bottom="280" w:left="440" w:right="80"/>
          <w:cols w:num="2" w:equalWidth="0">
            <w:col w:w="2028" w:space="1379"/>
            <w:col w:w="7983"/>
          </w:cols>
        </w:sectPr>
      </w:pPr>
    </w:p>
    <w:p>
      <w:pPr>
        <w:pStyle w:val="BodyText"/>
        <w:spacing w:before="5"/>
        <w:rPr>
          <w:sz w:val="6"/>
        </w:rPr>
      </w:pPr>
    </w:p>
    <w:p>
      <w:pPr>
        <w:pStyle w:val="BodyText"/>
        <w:ind w:left="2255"/>
        <w:rPr>
          <w:sz w:val="20"/>
        </w:rPr>
      </w:pPr>
      <w:r>
        <w:rPr>
          <w:sz w:val="20"/>
        </w:rPr>
        <w:pict>
          <v:shape style="width:412.55pt;height:19.6pt;mso-position-horizontal-relative:char;mso-position-vertical-relative:line" type="#_x0000_t202" filled="true" fillcolor="#69bd28" stroked="false">
            <w10:anchorlock/>
            <v:textbox inset="0,0,0,0">
              <w:txbxContent>
                <w:p>
                  <w:pPr>
                    <w:tabs>
                      <w:tab w:pos="5953" w:val="left" w:leader="none"/>
                    </w:tabs>
                    <w:spacing w:before="92"/>
                    <w:ind w:left="1083" w:right="0" w:firstLine="0"/>
                    <w:jc w:val="left"/>
                    <w:rPr>
                      <w:sz w:val="18"/>
                    </w:rPr>
                  </w:pPr>
                  <w:r>
                    <w:rPr>
                      <w:color w:val="FFFFFF"/>
                      <w:sz w:val="18"/>
                    </w:rPr>
                    <w:t>Total</w:t>
                  </w:r>
                  <w:r>
                    <w:rPr>
                      <w:color w:val="FFFFFF"/>
                      <w:spacing w:val="-24"/>
                      <w:sz w:val="18"/>
                    </w:rPr>
                    <w:t> </w:t>
                  </w:r>
                  <w:r>
                    <w:rPr>
                      <w:color w:val="FFFFFF"/>
                      <w:sz w:val="18"/>
                    </w:rPr>
                    <w:t>Value</w:t>
                  </w:r>
                  <w:r>
                    <w:rPr>
                      <w:color w:val="FFFFFF"/>
                      <w:spacing w:val="-23"/>
                      <w:sz w:val="18"/>
                    </w:rPr>
                    <w:t> </w:t>
                  </w:r>
                  <w:r>
                    <w:rPr>
                      <w:color w:val="FFFFFF"/>
                      <w:sz w:val="18"/>
                    </w:rPr>
                    <w:t>of</w:t>
                  </w:r>
                  <w:r>
                    <w:rPr>
                      <w:color w:val="FFFFFF"/>
                      <w:spacing w:val="-23"/>
                      <w:sz w:val="18"/>
                    </w:rPr>
                    <w:t> </w:t>
                  </w:r>
                  <w:r>
                    <w:rPr>
                      <w:color w:val="FFFFFF"/>
                      <w:sz w:val="18"/>
                    </w:rPr>
                    <w:t>the</w:t>
                  </w:r>
                  <w:r>
                    <w:rPr>
                      <w:color w:val="FFFFFF"/>
                      <w:spacing w:val="-23"/>
                      <w:sz w:val="18"/>
                    </w:rPr>
                    <w:t> </w:t>
                  </w:r>
                  <w:r>
                    <w:rPr>
                      <w:color w:val="FFFFFF"/>
                      <w:sz w:val="18"/>
                    </w:rPr>
                    <w:t>property</w:t>
                    <w:tab/>
                    <w:t>17,866</w:t>
                  </w:r>
                </w:p>
              </w:txbxContent>
            </v:textbox>
            <v:fill type="solid"/>
          </v:shape>
        </w:pict>
      </w:r>
      <w:r>
        <w:rPr>
          <w:sz w:val="20"/>
        </w:rPr>
      </w:r>
    </w:p>
    <w:p>
      <w:pPr>
        <w:pStyle w:val="BodyText"/>
        <w:spacing w:before="2"/>
        <w:rPr>
          <w:sz w:val="15"/>
        </w:rPr>
      </w:pPr>
    </w:p>
    <w:p>
      <w:pPr>
        <w:spacing w:after="0"/>
        <w:rPr>
          <w:sz w:val="15"/>
        </w:rPr>
        <w:sectPr>
          <w:type w:val="continuous"/>
          <w:pgSz w:w="11910" w:h="16840"/>
          <w:pgMar w:top="800" w:bottom="280" w:left="440" w:right="80"/>
        </w:sectPr>
      </w:pPr>
    </w:p>
    <w:p>
      <w:pPr>
        <w:spacing w:line="321" w:lineRule="auto" w:before="104"/>
        <w:ind w:left="388" w:right="29" w:firstLine="0"/>
        <w:jc w:val="left"/>
        <w:rPr>
          <w:sz w:val="18"/>
        </w:rPr>
      </w:pPr>
      <w:r>
        <w:rPr>
          <w:color w:val="006A4D"/>
          <w:sz w:val="18"/>
        </w:rPr>
        <w:t>Assumptions, Disclaimers, Limitations &amp; </w:t>
      </w:r>
      <w:r>
        <w:rPr>
          <w:color w:val="006A4D"/>
          <w:w w:val="95"/>
          <w:sz w:val="18"/>
        </w:rPr>
        <w:t>Qualifications</w:t>
      </w:r>
    </w:p>
    <w:p>
      <w:pPr>
        <w:spacing w:line="321" w:lineRule="auto" w:before="104"/>
        <w:ind w:left="388" w:right="847" w:firstLine="0"/>
        <w:jc w:val="both"/>
        <w:rPr>
          <w:sz w:val="18"/>
        </w:rPr>
      </w:pPr>
      <w:r>
        <w:rPr/>
        <w:br w:type="column"/>
      </w:r>
      <w:r>
        <w:rPr>
          <w:w w:val="95"/>
          <w:sz w:val="18"/>
        </w:rPr>
        <w:t>This</w:t>
      </w:r>
      <w:r>
        <w:rPr>
          <w:spacing w:val="-5"/>
          <w:w w:val="95"/>
          <w:sz w:val="18"/>
        </w:rPr>
        <w:t> </w:t>
      </w:r>
      <w:r>
        <w:rPr>
          <w:w w:val="95"/>
          <w:sz w:val="18"/>
        </w:rPr>
        <w:t>valuation</w:t>
      </w:r>
      <w:r>
        <w:rPr>
          <w:spacing w:val="-5"/>
          <w:w w:val="95"/>
          <w:sz w:val="18"/>
        </w:rPr>
        <w:t> </w:t>
      </w:r>
      <w:r>
        <w:rPr>
          <w:w w:val="95"/>
          <w:sz w:val="18"/>
        </w:rPr>
        <w:t>report</w:t>
      </w:r>
      <w:r>
        <w:rPr>
          <w:spacing w:val="-7"/>
          <w:w w:val="95"/>
          <w:sz w:val="18"/>
        </w:rPr>
        <w:t> </w:t>
      </w:r>
      <w:r>
        <w:rPr>
          <w:w w:val="95"/>
          <w:sz w:val="18"/>
        </w:rPr>
        <w:t>is</w:t>
      </w:r>
      <w:r>
        <w:rPr>
          <w:spacing w:val="-5"/>
          <w:w w:val="95"/>
          <w:sz w:val="18"/>
        </w:rPr>
        <w:t> </w:t>
      </w:r>
      <w:r>
        <w:rPr>
          <w:w w:val="95"/>
          <w:sz w:val="18"/>
        </w:rPr>
        <w:t>provided</w:t>
      </w:r>
      <w:r>
        <w:rPr>
          <w:spacing w:val="-5"/>
          <w:w w:val="95"/>
          <w:sz w:val="18"/>
        </w:rPr>
        <w:t> </w:t>
      </w:r>
      <w:r>
        <w:rPr>
          <w:w w:val="95"/>
          <w:sz w:val="18"/>
        </w:rPr>
        <w:t>subject</w:t>
      </w:r>
      <w:r>
        <w:rPr>
          <w:spacing w:val="-6"/>
          <w:w w:val="95"/>
          <w:sz w:val="18"/>
        </w:rPr>
        <w:t> </w:t>
      </w:r>
      <w:r>
        <w:rPr>
          <w:w w:val="95"/>
          <w:sz w:val="18"/>
        </w:rPr>
        <w:t>to</w:t>
      </w:r>
      <w:r>
        <w:rPr>
          <w:spacing w:val="-5"/>
          <w:w w:val="95"/>
          <w:sz w:val="18"/>
        </w:rPr>
        <w:t> </w:t>
      </w:r>
      <w:r>
        <w:rPr>
          <w:w w:val="95"/>
          <w:sz w:val="18"/>
        </w:rPr>
        <w:t>assumptions,</w:t>
      </w:r>
      <w:r>
        <w:rPr>
          <w:spacing w:val="-6"/>
          <w:w w:val="95"/>
          <w:sz w:val="18"/>
        </w:rPr>
        <w:t> </w:t>
      </w:r>
      <w:r>
        <w:rPr>
          <w:w w:val="95"/>
          <w:sz w:val="18"/>
        </w:rPr>
        <w:t>disclaimers,</w:t>
      </w:r>
      <w:r>
        <w:rPr>
          <w:spacing w:val="-6"/>
          <w:w w:val="95"/>
          <w:sz w:val="18"/>
        </w:rPr>
        <w:t> </w:t>
      </w:r>
      <w:r>
        <w:rPr>
          <w:w w:val="95"/>
          <w:sz w:val="18"/>
        </w:rPr>
        <w:t>limitations</w:t>
      </w:r>
      <w:r>
        <w:rPr>
          <w:spacing w:val="-5"/>
          <w:w w:val="95"/>
          <w:sz w:val="18"/>
        </w:rPr>
        <w:t> </w:t>
      </w:r>
      <w:r>
        <w:rPr>
          <w:w w:val="95"/>
          <w:sz w:val="18"/>
        </w:rPr>
        <w:t>and</w:t>
      </w:r>
      <w:r>
        <w:rPr>
          <w:spacing w:val="-4"/>
          <w:w w:val="95"/>
          <w:sz w:val="18"/>
        </w:rPr>
        <w:t> </w:t>
      </w:r>
      <w:r>
        <w:rPr>
          <w:w w:val="95"/>
          <w:sz w:val="18"/>
        </w:rPr>
        <w:t>qualifications</w:t>
      </w:r>
      <w:r>
        <w:rPr>
          <w:spacing w:val="-5"/>
          <w:w w:val="95"/>
          <w:sz w:val="18"/>
        </w:rPr>
        <w:t> </w:t>
      </w:r>
      <w:r>
        <w:rPr>
          <w:w w:val="95"/>
          <w:sz w:val="18"/>
        </w:rPr>
        <w:t>detailed </w:t>
      </w:r>
      <w:r>
        <w:rPr>
          <w:sz w:val="18"/>
        </w:rPr>
        <w:t>throughout this report which are made in conjunction with those included within the Assumptions, Disclaimers,</w:t>
      </w:r>
      <w:r>
        <w:rPr>
          <w:spacing w:val="-8"/>
          <w:sz w:val="18"/>
        </w:rPr>
        <w:t> </w:t>
      </w:r>
      <w:r>
        <w:rPr>
          <w:sz w:val="18"/>
        </w:rPr>
        <w:t>Limitations</w:t>
      </w:r>
      <w:r>
        <w:rPr>
          <w:spacing w:val="-6"/>
          <w:sz w:val="18"/>
        </w:rPr>
        <w:t> </w:t>
      </w:r>
      <w:r>
        <w:rPr>
          <w:sz w:val="18"/>
        </w:rPr>
        <w:t>&amp;</w:t>
      </w:r>
      <w:r>
        <w:rPr>
          <w:spacing w:val="-7"/>
          <w:sz w:val="18"/>
        </w:rPr>
        <w:t> </w:t>
      </w:r>
      <w:r>
        <w:rPr>
          <w:sz w:val="18"/>
        </w:rPr>
        <w:t>Qualifications</w:t>
      </w:r>
      <w:r>
        <w:rPr>
          <w:spacing w:val="-7"/>
          <w:sz w:val="18"/>
        </w:rPr>
        <w:t> </w:t>
      </w:r>
      <w:r>
        <w:rPr>
          <w:sz w:val="18"/>
        </w:rPr>
        <w:t>section</w:t>
      </w:r>
      <w:r>
        <w:rPr>
          <w:spacing w:val="-6"/>
          <w:sz w:val="18"/>
        </w:rPr>
        <w:t> </w:t>
      </w:r>
      <w:r>
        <w:rPr>
          <w:sz w:val="18"/>
        </w:rPr>
        <w:t>located</w:t>
      </w:r>
      <w:r>
        <w:rPr>
          <w:spacing w:val="-7"/>
          <w:sz w:val="18"/>
        </w:rPr>
        <w:t> </w:t>
      </w:r>
      <w:r>
        <w:rPr>
          <w:sz w:val="18"/>
        </w:rPr>
        <w:t>within</w:t>
      </w:r>
      <w:r>
        <w:rPr>
          <w:spacing w:val="-7"/>
          <w:sz w:val="18"/>
        </w:rPr>
        <w:t> </w:t>
      </w:r>
      <w:r>
        <w:rPr>
          <w:sz w:val="18"/>
        </w:rPr>
        <w:t>this</w:t>
      </w:r>
      <w:r>
        <w:rPr>
          <w:spacing w:val="-6"/>
          <w:sz w:val="18"/>
        </w:rPr>
        <w:t> </w:t>
      </w:r>
      <w:r>
        <w:rPr>
          <w:sz w:val="18"/>
        </w:rPr>
        <w:t>report.</w:t>
      </w:r>
      <w:r>
        <w:rPr>
          <w:spacing w:val="-6"/>
          <w:sz w:val="18"/>
        </w:rPr>
        <w:t> </w:t>
      </w:r>
      <w:r>
        <w:rPr>
          <w:sz w:val="18"/>
        </w:rPr>
        <w:t>Reliance</w:t>
      </w:r>
      <w:r>
        <w:rPr>
          <w:spacing w:val="-7"/>
          <w:sz w:val="18"/>
        </w:rPr>
        <w:t> </w:t>
      </w:r>
      <w:r>
        <w:rPr>
          <w:sz w:val="18"/>
        </w:rPr>
        <w:t>on</w:t>
      </w:r>
      <w:r>
        <w:rPr>
          <w:spacing w:val="-6"/>
          <w:sz w:val="18"/>
        </w:rPr>
        <w:t> </w:t>
      </w:r>
      <w:r>
        <w:rPr>
          <w:sz w:val="18"/>
        </w:rPr>
        <w:t>this</w:t>
      </w:r>
      <w:r>
        <w:rPr>
          <w:spacing w:val="-7"/>
          <w:sz w:val="18"/>
        </w:rPr>
        <w:t> </w:t>
      </w:r>
      <w:r>
        <w:rPr>
          <w:sz w:val="18"/>
        </w:rPr>
        <w:t>report</w:t>
      </w:r>
      <w:r>
        <w:rPr>
          <w:spacing w:val="-7"/>
          <w:sz w:val="18"/>
        </w:rPr>
        <w:t> </w:t>
      </w:r>
      <w:r>
        <w:rPr>
          <w:sz w:val="18"/>
        </w:rPr>
        <w:t>and extension</w:t>
      </w:r>
      <w:r>
        <w:rPr>
          <w:spacing w:val="-9"/>
          <w:sz w:val="18"/>
        </w:rPr>
        <w:t> </w:t>
      </w:r>
      <w:r>
        <w:rPr>
          <w:sz w:val="18"/>
        </w:rPr>
        <w:t>of</w:t>
      </w:r>
      <w:r>
        <w:rPr>
          <w:spacing w:val="-9"/>
          <w:sz w:val="18"/>
        </w:rPr>
        <w:t> </w:t>
      </w:r>
      <w:r>
        <w:rPr>
          <w:sz w:val="18"/>
        </w:rPr>
        <w:t>our</w:t>
      </w:r>
      <w:r>
        <w:rPr>
          <w:spacing w:val="-9"/>
          <w:sz w:val="18"/>
        </w:rPr>
        <w:t> </w:t>
      </w:r>
      <w:r>
        <w:rPr>
          <w:sz w:val="18"/>
        </w:rPr>
        <w:t>liability</w:t>
      </w:r>
      <w:r>
        <w:rPr>
          <w:spacing w:val="-9"/>
          <w:sz w:val="18"/>
        </w:rPr>
        <w:t> </w:t>
      </w:r>
      <w:r>
        <w:rPr>
          <w:sz w:val="18"/>
        </w:rPr>
        <w:t>is</w:t>
      </w:r>
      <w:r>
        <w:rPr>
          <w:spacing w:val="-8"/>
          <w:sz w:val="18"/>
        </w:rPr>
        <w:t> </w:t>
      </w:r>
      <w:r>
        <w:rPr>
          <w:sz w:val="18"/>
        </w:rPr>
        <w:t>conditional</w:t>
      </w:r>
      <w:r>
        <w:rPr>
          <w:spacing w:val="-9"/>
          <w:sz w:val="18"/>
        </w:rPr>
        <w:t> </w:t>
      </w:r>
      <w:r>
        <w:rPr>
          <w:sz w:val="18"/>
        </w:rPr>
        <w:t>upon</w:t>
      </w:r>
      <w:r>
        <w:rPr>
          <w:spacing w:val="-8"/>
          <w:sz w:val="18"/>
        </w:rPr>
        <w:t> </w:t>
      </w:r>
      <w:r>
        <w:rPr>
          <w:sz w:val="18"/>
        </w:rPr>
        <w:t>the</w:t>
      </w:r>
      <w:r>
        <w:rPr>
          <w:spacing w:val="-8"/>
          <w:sz w:val="18"/>
        </w:rPr>
        <w:t> </w:t>
      </w:r>
      <w:r>
        <w:rPr>
          <w:sz w:val="18"/>
        </w:rPr>
        <w:t>reader’s</w:t>
      </w:r>
      <w:r>
        <w:rPr>
          <w:spacing w:val="-9"/>
          <w:sz w:val="18"/>
        </w:rPr>
        <w:t> </w:t>
      </w:r>
      <w:r>
        <w:rPr>
          <w:sz w:val="18"/>
        </w:rPr>
        <w:t>acknowledgement</w:t>
      </w:r>
      <w:r>
        <w:rPr>
          <w:spacing w:val="-9"/>
          <w:sz w:val="18"/>
        </w:rPr>
        <w:t> </w:t>
      </w:r>
      <w:r>
        <w:rPr>
          <w:sz w:val="18"/>
        </w:rPr>
        <w:t>and</w:t>
      </w:r>
      <w:r>
        <w:rPr>
          <w:spacing w:val="-8"/>
          <w:sz w:val="18"/>
        </w:rPr>
        <w:t> </w:t>
      </w:r>
      <w:r>
        <w:rPr>
          <w:sz w:val="18"/>
        </w:rPr>
        <w:t>understanding</w:t>
      </w:r>
      <w:r>
        <w:rPr>
          <w:spacing w:val="-8"/>
          <w:sz w:val="18"/>
        </w:rPr>
        <w:t> </w:t>
      </w:r>
      <w:r>
        <w:rPr>
          <w:sz w:val="18"/>
        </w:rPr>
        <w:t>of</w:t>
      </w:r>
      <w:r>
        <w:rPr>
          <w:spacing w:val="-8"/>
          <w:sz w:val="18"/>
        </w:rPr>
        <w:t> </w:t>
      </w:r>
      <w:r>
        <w:rPr>
          <w:sz w:val="18"/>
        </w:rPr>
        <w:t>these statements.</w:t>
      </w:r>
      <w:r>
        <w:rPr>
          <w:spacing w:val="-19"/>
          <w:sz w:val="18"/>
        </w:rPr>
        <w:t> </w:t>
      </w:r>
      <w:r>
        <w:rPr>
          <w:sz w:val="18"/>
        </w:rPr>
        <w:t>This</w:t>
      </w:r>
      <w:r>
        <w:rPr>
          <w:spacing w:val="-19"/>
          <w:sz w:val="18"/>
        </w:rPr>
        <w:t> </w:t>
      </w:r>
      <w:r>
        <w:rPr>
          <w:sz w:val="18"/>
        </w:rPr>
        <w:t>valuation</w:t>
      </w:r>
      <w:r>
        <w:rPr>
          <w:spacing w:val="-18"/>
          <w:sz w:val="18"/>
        </w:rPr>
        <w:t> </w:t>
      </w:r>
      <w:r>
        <w:rPr>
          <w:sz w:val="18"/>
        </w:rPr>
        <w:t>is</w:t>
      </w:r>
      <w:r>
        <w:rPr>
          <w:spacing w:val="-20"/>
          <w:sz w:val="18"/>
        </w:rPr>
        <w:t> </w:t>
      </w:r>
      <w:r>
        <w:rPr>
          <w:sz w:val="18"/>
        </w:rPr>
        <w:t>for</w:t>
      </w:r>
      <w:r>
        <w:rPr>
          <w:spacing w:val="-21"/>
          <w:sz w:val="18"/>
        </w:rPr>
        <w:t> </w:t>
      </w:r>
      <w:r>
        <w:rPr>
          <w:sz w:val="18"/>
        </w:rPr>
        <w:t>the</w:t>
      </w:r>
      <w:r>
        <w:rPr>
          <w:spacing w:val="-18"/>
          <w:sz w:val="18"/>
        </w:rPr>
        <w:t> </w:t>
      </w:r>
      <w:r>
        <w:rPr>
          <w:sz w:val="18"/>
        </w:rPr>
        <w:t>use</w:t>
      </w:r>
      <w:r>
        <w:rPr>
          <w:spacing w:val="-18"/>
          <w:sz w:val="18"/>
        </w:rPr>
        <w:t> </w:t>
      </w:r>
      <w:r>
        <w:rPr>
          <w:sz w:val="18"/>
        </w:rPr>
        <w:t>of</w:t>
      </w:r>
      <w:r>
        <w:rPr>
          <w:spacing w:val="-18"/>
          <w:sz w:val="18"/>
        </w:rPr>
        <w:t> </w:t>
      </w:r>
      <w:r>
        <w:rPr>
          <w:sz w:val="18"/>
        </w:rPr>
        <w:t>the</w:t>
      </w:r>
      <w:r>
        <w:rPr>
          <w:spacing w:val="-19"/>
          <w:sz w:val="18"/>
        </w:rPr>
        <w:t> </w:t>
      </w:r>
      <w:r>
        <w:rPr>
          <w:sz w:val="18"/>
        </w:rPr>
        <w:t>party</w:t>
      </w:r>
      <w:r>
        <w:rPr>
          <w:spacing w:val="-19"/>
          <w:sz w:val="18"/>
        </w:rPr>
        <w:t> </w:t>
      </w:r>
      <w:r>
        <w:rPr>
          <w:sz w:val="18"/>
        </w:rPr>
        <w:t>to</w:t>
      </w:r>
      <w:r>
        <w:rPr>
          <w:spacing w:val="-18"/>
          <w:sz w:val="18"/>
        </w:rPr>
        <w:t> </w:t>
      </w:r>
      <w:r>
        <w:rPr>
          <w:sz w:val="18"/>
        </w:rPr>
        <w:t>whom</w:t>
      </w:r>
      <w:r>
        <w:rPr>
          <w:spacing w:val="-18"/>
          <w:sz w:val="18"/>
        </w:rPr>
        <w:t> </w:t>
      </w:r>
      <w:r>
        <w:rPr>
          <w:sz w:val="18"/>
        </w:rPr>
        <w:t>it</w:t>
      </w:r>
      <w:r>
        <w:rPr>
          <w:spacing w:val="-15"/>
          <w:sz w:val="18"/>
        </w:rPr>
        <w:t> </w:t>
      </w:r>
      <w:r>
        <w:rPr>
          <w:sz w:val="18"/>
        </w:rPr>
        <w:t>is</w:t>
      </w:r>
      <w:r>
        <w:rPr>
          <w:spacing w:val="-18"/>
          <w:sz w:val="18"/>
        </w:rPr>
        <w:t> </w:t>
      </w:r>
      <w:r>
        <w:rPr>
          <w:sz w:val="18"/>
        </w:rPr>
        <w:t>addressed</w:t>
      </w:r>
      <w:r>
        <w:rPr>
          <w:spacing w:val="-19"/>
          <w:sz w:val="18"/>
        </w:rPr>
        <w:t> </w:t>
      </w:r>
      <w:r>
        <w:rPr>
          <w:sz w:val="18"/>
        </w:rPr>
        <w:t>and</w:t>
      </w:r>
      <w:r>
        <w:rPr>
          <w:spacing w:val="-19"/>
          <w:sz w:val="18"/>
        </w:rPr>
        <w:t> </w:t>
      </w:r>
      <w:r>
        <w:rPr>
          <w:sz w:val="18"/>
        </w:rPr>
        <w:t>for</w:t>
      </w:r>
      <w:r>
        <w:rPr>
          <w:spacing w:val="-19"/>
          <w:sz w:val="18"/>
        </w:rPr>
        <w:t> </w:t>
      </w:r>
      <w:r>
        <w:rPr>
          <w:sz w:val="18"/>
        </w:rPr>
        <w:t>no</w:t>
      </w:r>
      <w:r>
        <w:rPr>
          <w:spacing w:val="-18"/>
          <w:sz w:val="18"/>
        </w:rPr>
        <w:t> </w:t>
      </w:r>
      <w:r>
        <w:rPr>
          <w:sz w:val="18"/>
        </w:rPr>
        <w:t>other</w:t>
      </w:r>
      <w:r>
        <w:rPr>
          <w:spacing w:val="-19"/>
          <w:sz w:val="18"/>
        </w:rPr>
        <w:t> </w:t>
      </w:r>
      <w:r>
        <w:rPr>
          <w:sz w:val="18"/>
        </w:rPr>
        <w:t>purpose.</w:t>
      </w:r>
      <w:r>
        <w:rPr>
          <w:spacing w:val="-19"/>
          <w:sz w:val="18"/>
        </w:rPr>
        <w:t> </w:t>
      </w:r>
      <w:r>
        <w:rPr>
          <w:sz w:val="18"/>
        </w:rPr>
        <w:t>No responsibility</w:t>
      </w:r>
      <w:r>
        <w:rPr>
          <w:spacing w:val="-21"/>
          <w:sz w:val="18"/>
        </w:rPr>
        <w:t> </w:t>
      </w:r>
      <w:r>
        <w:rPr>
          <w:sz w:val="18"/>
        </w:rPr>
        <w:t>is</w:t>
      </w:r>
      <w:r>
        <w:rPr>
          <w:spacing w:val="-20"/>
          <w:sz w:val="18"/>
        </w:rPr>
        <w:t> </w:t>
      </w:r>
      <w:r>
        <w:rPr>
          <w:sz w:val="18"/>
        </w:rPr>
        <w:t>accepted</w:t>
      </w:r>
      <w:r>
        <w:rPr>
          <w:spacing w:val="-21"/>
          <w:sz w:val="18"/>
        </w:rPr>
        <w:t> </w:t>
      </w:r>
      <w:r>
        <w:rPr>
          <w:sz w:val="18"/>
        </w:rPr>
        <w:t>to</w:t>
      </w:r>
      <w:r>
        <w:rPr>
          <w:spacing w:val="-20"/>
          <w:sz w:val="18"/>
        </w:rPr>
        <w:t> </w:t>
      </w:r>
      <w:r>
        <w:rPr>
          <w:sz w:val="18"/>
        </w:rPr>
        <w:t>any</w:t>
      </w:r>
      <w:r>
        <w:rPr>
          <w:spacing w:val="-20"/>
          <w:sz w:val="18"/>
        </w:rPr>
        <w:t> </w:t>
      </w:r>
      <w:r>
        <w:rPr>
          <w:sz w:val="18"/>
        </w:rPr>
        <w:t>third</w:t>
      </w:r>
      <w:r>
        <w:rPr>
          <w:spacing w:val="-19"/>
          <w:sz w:val="18"/>
        </w:rPr>
        <w:t> </w:t>
      </w:r>
      <w:r>
        <w:rPr>
          <w:sz w:val="18"/>
        </w:rPr>
        <w:t>party</w:t>
      </w:r>
      <w:r>
        <w:rPr>
          <w:spacing w:val="-21"/>
          <w:sz w:val="18"/>
        </w:rPr>
        <w:t> </w:t>
      </w:r>
      <w:r>
        <w:rPr>
          <w:sz w:val="18"/>
        </w:rPr>
        <w:t>who</w:t>
      </w:r>
      <w:r>
        <w:rPr>
          <w:spacing w:val="-19"/>
          <w:sz w:val="18"/>
        </w:rPr>
        <w:t> </w:t>
      </w:r>
      <w:r>
        <w:rPr>
          <w:sz w:val="18"/>
        </w:rPr>
        <w:t>may</w:t>
      </w:r>
      <w:r>
        <w:rPr>
          <w:spacing w:val="-21"/>
          <w:sz w:val="18"/>
        </w:rPr>
        <w:t> </w:t>
      </w:r>
      <w:r>
        <w:rPr>
          <w:sz w:val="18"/>
        </w:rPr>
        <w:t>use</w:t>
      </w:r>
      <w:r>
        <w:rPr>
          <w:spacing w:val="-20"/>
          <w:sz w:val="18"/>
        </w:rPr>
        <w:t> </w:t>
      </w:r>
      <w:r>
        <w:rPr>
          <w:sz w:val="18"/>
        </w:rPr>
        <w:t>or</w:t>
      </w:r>
      <w:r>
        <w:rPr>
          <w:spacing w:val="-21"/>
          <w:sz w:val="18"/>
        </w:rPr>
        <w:t> </w:t>
      </w:r>
      <w:r>
        <w:rPr>
          <w:sz w:val="18"/>
        </w:rPr>
        <w:t>rely</w:t>
      </w:r>
      <w:r>
        <w:rPr>
          <w:spacing w:val="-20"/>
          <w:sz w:val="18"/>
        </w:rPr>
        <w:t> </w:t>
      </w:r>
      <w:r>
        <w:rPr>
          <w:sz w:val="18"/>
        </w:rPr>
        <w:t>on</w:t>
      </w:r>
      <w:r>
        <w:rPr>
          <w:spacing w:val="-20"/>
          <w:sz w:val="18"/>
        </w:rPr>
        <w:t> </w:t>
      </w:r>
      <w:r>
        <w:rPr>
          <w:sz w:val="18"/>
        </w:rPr>
        <w:t>the</w:t>
      </w:r>
      <w:r>
        <w:rPr>
          <w:spacing w:val="-20"/>
          <w:sz w:val="18"/>
        </w:rPr>
        <w:t> </w:t>
      </w:r>
      <w:r>
        <w:rPr>
          <w:sz w:val="18"/>
        </w:rPr>
        <w:t>whole</w:t>
      </w:r>
      <w:r>
        <w:rPr>
          <w:spacing w:val="-20"/>
          <w:sz w:val="18"/>
        </w:rPr>
        <w:t> </w:t>
      </w:r>
      <w:r>
        <w:rPr>
          <w:sz w:val="18"/>
        </w:rPr>
        <w:t>or</w:t>
      </w:r>
      <w:r>
        <w:rPr>
          <w:spacing w:val="-21"/>
          <w:sz w:val="18"/>
        </w:rPr>
        <w:t> </w:t>
      </w:r>
      <w:r>
        <w:rPr>
          <w:sz w:val="18"/>
        </w:rPr>
        <w:t>any</w:t>
      </w:r>
      <w:r>
        <w:rPr>
          <w:spacing w:val="-20"/>
          <w:sz w:val="18"/>
        </w:rPr>
        <w:t> </w:t>
      </w:r>
      <w:r>
        <w:rPr>
          <w:sz w:val="18"/>
        </w:rPr>
        <w:t>part</w:t>
      </w:r>
      <w:r>
        <w:rPr>
          <w:spacing w:val="-20"/>
          <w:sz w:val="18"/>
        </w:rPr>
        <w:t> </w:t>
      </w:r>
      <w:r>
        <w:rPr>
          <w:sz w:val="18"/>
        </w:rPr>
        <w:t>of</w:t>
      </w:r>
      <w:r>
        <w:rPr>
          <w:spacing w:val="-20"/>
          <w:sz w:val="18"/>
        </w:rPr>
        <w:t> </w:t>
      </w:r>
      <w:r>
        <w:rPr>
          <w:sz w:val="18"/>
        </w:rPr>
        <w:t>the</w:t>
      </w:r>
      <w:r>
        <w:rPr>
          <w:spacing w:val="-20"/>
          <w:sz w:val="18"/>
        </w:rPr>
        <w:t> </w:t>
      </w:r>
      <w:r>
        <w:rPr>
          <w:sz w:val="18"/>
        </w:rPr>
        <w:t>content</w:t>
      </w:r>
      <w:r>
        <w:rPr>
          <w:spacing w:val="-21"/>
          <w:sz w:val="18"/>
        </w:rPr>
        <w:t> </w:t>
      </w:r>
      <w:r>
        <w:rPr>
          <w:sz w:val="18"/>
        </w:rPr>
        <w:t>of this</w:t>
      </w:r>
      <w:r>
        <w:rPr>
          <w:spacing w:val="-10"/>
          <w:sz w:val="18"/>
        </w:rPr>
        <w:t> </w:t>
      </w:r>
      <w:r>
        <w:rPr>
          <w:sz w:val="18"/>
        </w:rPr>
        <w:t>valuation.</w:t>
      </w:r>
      <w:r>
        <w:rPr>
          <w:spacing w:val="-10"/>
          <w:sz w:val="18"/>
        </w:rPr>
        <w:t> </w:t>
      </w:r>
      <w:r>
        <w:rPr>
          <w:sz w:val="18"/>
        </w:rPr>
        <w:t>The</w:t>
      </w:r>
      <w:r>
        <w:rPr>
          <w:spacing w:val="-9"/>
          <w:sz w:val="18"/>
        </w:rPr>
        <w:t> </w:t>
      </w:r>
      <w:r>
        <w:rPr>
          <w:sz w:val="18"/>
        </w:rPr>
        <w:t>valuer</w:t>
      </w:r>
      <w:r>
        <w:rPr>
          <w:spacing w:val="-11"/>
          <w:sz w:val="18"/>
        </w:rPr>
        <w:t> </w:t>
      </w:r>
      <w:r>
        <w:rPr>
          <w:sz w:val="18"/>
        </w:rPr>
        <w:t>has</w:t>
      </w:r>
      <w:r>
        <w:rPr>
          <w:spacing w:val="-10"/>
          <w:sz w:val="18"/>
        </w:rPr>
        <w:t> </w:t>
      </w:r>
      <w:r>
        <w:rPr>
          <w:sz w:val="18"/>
        </w:rPr>
        <w:t>no</w:t>
      </w:r>
      <w:r>
        <w:rPr>
          <w:spacing w:val="-10"/>
          <w:sz w:val="18"/>
        </w:rPr>
        <w:t> </w:t>
      </w:r>
      <w:r>
        <w:rPr>
          <w:sz w:val="18"/>
        </w:rPr>
        <w:t>pecuniary</w:t>
      </w:r>
      <w:r>
        <w:rPr>
          <w:spacing w:val="-10"/>
          <w:sz w:val="18"/>
        </w:rPr>
        <w:t> </w:t>
      </w:r>
      <w:r>
        <w:rPr>
          <w:sz w:val="18"/>
        </w:rPr>
        <w:t>interest</w:t>
      </w:r>
      <w:r>
        <w:rPr>
          <w:spacing w:val="-10"/>
          <w:sz w:val="18"/>
        </w:rPr>
        <w:t> </w:t>
      </w:r>
      <w:r>
        <w:rPr>
          <w:sz w:val="18"/>
        </w:rPr>
        <w:t>that</w:t>
      </w:r>
      <w:r>
        <w:rPr>
          <w:spacing w:val="-11"/>
          <w:sz w:val="18"/>
        </w:rPr>
        <w:t> </w:t>
      </w:r>
      <w:r>
        <w:rPr>
          <w:sz w:val="18"/>
        </w:rPr>
        <w:t>would</w:t>
      </w:r>
      <w:r>
        <w:rPr>
          <w:spacing w:val="-10"/>
          <w:sz w:val="18"/>
        </w:rPr>
        <w:t> </w:t>
      </w:r>
      <w:r>
        <w:rPr>
          <w:sz w:val="18"/>
        </w:rPr>
        <w:t>conflict</w:t>
      </w:r>
      <w:r>
        <w:rPr>
          <w:spacing w:val="-11"/>
          <w:sz w:val="18"/>
        </w:rPr>
        <w:t> </w:t>
      </w:r>
      <w:r>
        <w:rPr>
          <w:sz w:val="18"/>
        </w:rPr>
        <w:t>with</w:t>
      </w:r>
      <w:r>
        <w:rPr>
          <w:spacing w:val="-9"/>
          <w:sz w:val="18"/>
        </w:rPr>
        <w:t> </w:t>
      </w:r>
      <w:r>
        <w:rPr>
          <w:sz w:val="18"/>
        </w:rPr>
        <w:t>the</w:t>
      </w:r>
      <w:r>
        <w:rPr>
          <w:spacing w:val="-10"/>
          <w:sz w:val="18"/>
        </w:rPr>
        <w:t> </w:t>
      </w:r>
      <w:r>
        <w:rPr>
          <w:sz w:val="18"/>
        </w:rPr>
        <w:t>proper</w:t>
      </w:r>
      <w:r>
        <w:rPr>
          <w:spacing w:val="-10"/>
          <w:sz w:val="18"/>
        </w:rPr>
        <w:t> </w:t>
      </w:r>
      <w:r>
        <w:rPr>
          <w:sz w:val="18"/>
        </w:rPr>
        <w:t>valuation</w:t>
      </w:r>
      <w:r>
        <w:rPr>
          <w:spacing w:val="-9"/>
          <w:sz w:val="18"/>
        </w:rPr>
        <w:t> </w:t>
      </w:r>
      <w:r>
        <w:rPr>
          <w:sz w:val="18"/>
        </w:rPr>
        <w:t>of</w:t>
      </w:r>
      <w:r>
        <w:rPr>
          <w:spacing w:val="-10"/>
          <w:sz w:val="18"/>
        </w:rPr>
        <w:t> </w:t>
      </w:r>
      <w:r>
        <w:rPr>
          <w:sz w:val="18"/>
        </w:rPr>
        <w:t>the property.</w:t>
      </w:r>
    </w:p>
    <w:p>
      <w:pPr>
        <w:spacing w:after="0" w:line="321" w:lineRule="auto"/>
        <w:jc w:val="both"/>
        <w:rPr>
          <w:sz w:val="18"/>
        </w:rPr>
        <w:sectPr>
          <w:type w:val="continuous"/>
          <w:pgSz w:w="11910" w:h="16840"/>
          <w:pgMar w:top="800" w:bottom="280" w:left="440" w:right="80"/>
          <w:cols w:num="2" w:equalWidth="0">
            <w:col w:w="1518" w:space="330"/>
            <w:col w:w="9542"/>
          </w:cols>
        </w:sectPr>
      </w:pPr>
    </w:p>
    <w:p>
      <w:pPr>
        <w:pStyle w:val="BodyText"/>
        <w:spacing w:before="5"/>
      </w:pPr>
    </w:p>
    <w:p>
      <w:pPr>
        <w:pStyle w:val="ListParagraph"/>
        <w:numPr>
          <w:ilvl w:val="1"/>
          <w:numId w:val="14"/>
        </w:numPr>
        <w:tabs>
          <w:tab w:pos="856" w:val="left" w:leader="none"/>
          <w:tab w:pos="857" w:val="left" w:leader="none"/>
        </w:tabs>
        <w:spacing w:line="240" w:lineRule="auto" w:before="106" w:after="0"/>
        <w:ind w:left="856" w:right="0" w:hanging="577"/>
        <w:jc w:val="left"/>
        <w:rPr>
          <w:color w:val="1F6647"/>
          <w:sz w:val="22"/>
        </w:rPr>
      </w:pPr>
      <w:bookmarkStart w:name="_bookmark31" w:id="62"/>
      <w:bookmarkEnd w:id="62"/>
      <w:r>
        <w:rPr/>
      </w:r>
      <w:bookmarkStart w:name="_bookmark31" w:id="63"/>
      <w:bookmarkEnd w:id="63"/>
      <w:r>
        <w:rPr>
          <w:color w:val="1F6647"/>
          <w:w w:val="110"/>
          <w:sz w:val="22"/>
        </w:rPr>
        <w:t>E</w:t>
      </w:r>
      <w:r>
        <w:rPr>
          <w:color w:val="1F6647"/>
          <w:w w:val="110"/>
          <w:sz w:val="22"/>
        </w:rPr>
        <w:t>mbassy</w:t>
      </w:r>
      <w:r>
        <w:rPr>
          <w:color w:val="1F6647"/>
          <w:spacing w:val="-10"/>
          <w:w w:val="110"/>
          <w:sz w:val="22"/>
        </w:rPr>
        <w:t> </w:t>
      </w:r>
      <w:r>
        <w:rPr>
          <w:color w:val="1F6647"/>
          <w:w w:val="110"/>
          <w:sz w:val="22"/>
        </w:rPr>
        <w:t>247</w:t>
      </w:r>
    </w:p>
    <w:p>
      <w:pPr>
        <w:pStyle w:val="BodyText"/>
        <w:spacing w:before="2"/>
        <w:rPr>
          <w:sz w:val="28"/>
        </w:rPr>
      </w:pPr>
    </w:p>
    <w:p>
      <w:pPr>
        <w:tabs>
          <w:tab w:pos="2361" w:val="left" w:leader="none"/>
        </w:tabs>
        <w:spacing w:line="597" w:lineRule="auto" w:before="0"/>
        <w:ind w:left="495" w:right="2214" w:firstLine="0"/>
        <w:jc w:val="left"/>
        <w:rPr>
          <w:sz w:val="18"/>
        </w:rPr>
      </w:pPr>
      <w:r>
        <w:rPr>
          <w:color w:val="006A4D"/>
          <w:sz w:val="18"/>
        </w:rPr>
        <w:t>Property</w:t>
      </w:r>
      <w:r>
        <w:rPr>
          <w:color w:val="006A4D"/>
          <w:spacing w:val="-15"/>
          <w:sz w:val="18"/>
        </w:rPr>
        <w:t> </w:t>
      </w:r>
      <w:r>
        <w:rPr>
          <w:color w:val="006A4D"/>
          <w:sz w:val="18"/>
        </w:rPr>
        <w:t>Name:</w:t>
        <w:tab/>
      </w:r>
      <w:r>
        <w:rPr>
          <w:sz w:val="18"/>
        </w:rPr>
        <w:t>‘Embassy</w:t>
      </w:r>
      <w:r>
        <w:rPr>
          <w:spacing w:val="-13"/>
          <w:sz w:val="18"/>
        </w:rPr>
        <w:t> </w:t>
      </w:r>
      <w:r>
        <w:rPr>
          <w:sz w:val="18"/>
        </w:rPr>
        <w:t>247’</w:t>
      </w:r>
      <w:r>
        <w:rPr>
          <w:spacing w:val="-13"/>
          <w:sz w:val="18"/>
        </w:rPr>
        <w:t> </w:t>
      </w:r>
      <w:r>
        <w:rPr>
          <w:sz w:val="18"/>
        </w:rPr>
        <w:t>is</w:t>
      </w:r>
      <w:r>
        <w:rPr>
          <w:spacing w:val="-12"/>
          <w:sz w:val="18"/>
        </w:rPr>
        <w:t> </w:t>
      </w:r>
      <w:r>
        <w:rPr>
          <w:sz w:val="18"/>
        </w:rPr>
        <w:t>an</w:t>
      </w:r>
      <w:r>
        <w:rPr>
          <w:spacing w:val="-12"/>
          <w:sz w:val="18"/>
        </w:rPr>
        <w:t> </w:t>
      </w:r>
      <w:r>
        <w:rPr>
          <w:sz w:val="18"/>
        </w:rPr>
        <w:t>operational</w:t>
      </w:r>
      <w:r>
        <w:rPr>
          <w:spacing w:val="-13"/>
          <w:sz w:val="18"/>
        </w:rPr>
        <w:t> </w:t>
      </w:r>
      <w:r>
        <w:rPr>
          <w:sz w:val="18"/>
        </w:rPr>
        <w:t>office</w:t>
      </w:r>
      <w:r>
        <w:rPr>
          <w:spacing w:val="-13"/>
          <w:sz w:val="18"/>
        </w:rPr>
        <w:t> </w:t>
      </w:r>
      <w:r>
        <w:rPr>
          <w:sz w:val="18"/>
        </w:rPr>
        <w:t>located</w:t>
      </w:r>
      <w:r>
        <w:rPr>
          <w:spacing w:val="-14"/>
          <w:sz w:val="18"/>
        </w:rPr>
        <w:t> </w:t>
      </w:r>
      <w:r>
        <w:rPr>
          <w:sz w:val="18"/>
        </w:rPr>
        <w:t>along</w:t>
      </w:r>
      <w:r>
        <w:rPr>
          <w:spacing w:val="-13"/>
          <w:sz w:val="18"/>
        </w:rPr>
        <w:t> </w:t>
      </w:r>
      <w:r>
        <w:rPr>
          <w:sz w:val="18"/>
        </w:rPr>
        <w:t>LBS</w:t>
      </w:r>
      <w:r>
        <w:rPr>
          <w:spacing w:val="-9"/>
          <w:sz w:val="18"/>
        </w:rPr>
        <w:t> </w:t>
      </w:r>
      <w:r>
        <w:rPr>
          <w:sz w:val="18"/>
        </w:rPr>
        <w:t>Road,</w:t>
      </w:r>
      <w:r>
        <w:rPr>
          <w:spacing w:val="-12"/>
          <w:sz w:val="18"/>
        </w:rPr>
        <w:t> </w:t>
      </w:r>
      <w:r>
        <w:rPr>
          <w:sz w:val="18"/>
        </w:rPr>
        <w:t>Vikhroli</w:t>
      </w:r>
      <w:r>
        <w:rPr>
          <w:spacing w:val="-13"/>
          <w:sz w:val="18"/>
        </w:rPr>
        <w:t> </w:t>
      </w:r>
      <w:r>
        <w:rPr>
          <w:sz w:val="18"/>
        </w:rPr>
        <w:t>West,</w:t>
      </w:r>
      <w:r>
        <w:rPr>
          <w:spacing w:val="-13"/>
          <w:sz w:val="18"/>
        </w:rPr>
        <w:t> </w:t>
      </w:r>
      <w:r>
        <w:rPr>
          <w:sz w:val="18"/>
        </w:rPr>
        <w:t>Mumbai </w:t>
      </w:r>
      <w:r>
        <w:rPr>
          <w:color w:val="006A4D"/>
          <w:sz w:val="18"/>
        </w:rPr>
        <w:t>Property</w:t>
      </w:r>
      <w:r>
        <w:rPr>
          <w:color w:val="006A4D"/>
          <w:spacing w:val="-25"/>
          <w:sz w:val="18"/>
        </w:rPr>
        <w:t> </w:t>
      </w:r>
      <w:r>
        <w:rPr>
          <w:color w:val="006A4D"/>
          <w:sz w:val="18"/>
        </w:rPr>
        <w:t>Address:</w:t>
        <w:tab/>
      </w:r>
      <w:r>
        <w:rPr>
          <w:sz w:val="18"/>
        </w:rPr>
        <w:t>LBS Road, Vikhroli (W), Mumbai,</w:t>
      </w:r>
      <w:r>
        <w:rPr>
          <w:spacing w:val="-13"/>
          <w:sz w:val="18"/>
        </w:rPr>
        <w:t> </w:t>
      </w:r>
      <w:r>
        <w:rPr>
          <w:sz w:val="18"/>
        </w:rPr>
        <w:t>Maharashtra.</w:t>
      </w:r>
    </w:p>
    <w:p>
      <w:pPr>
        <w:tabs>
          <w:tab w:pos="2361" w:val="left" w:leader="none"/>
        </w:tabs>
        <w:spacing w:line="321" w:lineRule="auto" w:before="0"/>
        <w:ind w:left="2361" w:right="593" w:hanging="1866"/>
        <w:jc w:val="both"/>
        <w:rPr>
          <w:sz w:val="18"/>
        </w:rPr>
      </w:pPr>
      <w:r>
        <w:rPr>
          <w:color w:val="006A4D"/>
          <w:sz w:val="18"/>
        </w:rPr>
        <w:t>Land</w:t>
      </w:r>
      <w:r>
        <w:rPr>
          <w:color w:val="006A4D"/>
          <w:spacing w:val="-4"/>
          <w:sz w:val="18"/>
        </w:rPr>
        <w:t> </w:t>
      </w:r>
      <w:r>
        <w:rPr>
          <w:color w:val="006A4D"/>
          <w:sz w:val="18"/>
        </w:rPr>
        <w:t>Area:</w:t>
        <w:tab/>
      </w:r>
      <w:r>
        <w:rPr>
          <w:sz w:val="18"/>
        </w:rPr>
        <w:t>Based</w:t>
      </w:r>
      <w:r>
        <w:rPr>
          <w:spacing w:val="-24"/>
          <w:sz w:val="18"/>
        </w:rPr>
        <w:t> </w:t>
      </w:r>
      <w:r>
        <w:rPr>
          <w:sz w:val="18"/>
        </w:rPr>
        <w:t>on</w:t>
      </w:r>
      <w:r>
        <w:rPr>
          <w:spacing w:val="-24"/>
          <w:sz w:val="18"/>
        </w:rPr>
        <w:t> </w:t>
      </w:r>
      <w:r>
        <w:rPr>
          <w:sz w:val="18"/>
        </w:rPr>
        <w:t>review</w:t>
      </w:r>
      <w:r>
        <w:rPr>
          <w:spacing w:val="-24"/>
          <w:sz w:val="18"/>
        </w:rPr>
        <w:t> </w:t>
      </w:r>
      <w:r>
        <w:rPr>
          <w:sz w:val="18"/>
        </w:rPr>
        <w:t>of</w:t>
      </w:r>
      <w:r>
        <w:rPr>
          <w:spacing w:val="-23"/>
          <w:sz w:val="18"/>
        </w:rPr>
        <w:t> </w:t>
      </w:r>
      <w:r>
        <w:rPr>
          <w:sz w:val="18"/>
        </w:rPr>
        <w:t>the</w:t>
      </w:r>
      <w:r>
        <w:rPr>
          <w:spacing w:val="-24"/>
          <w:sz w:val="18"/>
        </w:rPr>
        <w:t> </w:t>
      </w:r>
      <w:r>
        <w:rPr>
          <w:sz w:val="18"/>
        </w:rPr>
        <w:t>title</w:t>
      </w:r>
      <w:r>
        <w:rPr>
          <w:spacing w:val="-24"/>
          <w:sz w:val="18"/>
        </w:rPr>
        <w:t> </w:t>
      </w:r>
      <w:r>
        <w:rPr>
          <w:sz w:val="18"/>
        </w:rPr>
        <w:t>report,</w:t>
      </w:r>
      <w:r>
        <w:rPr>
          <w:spacing w:val="-24"/>
          <w:sz w:val="18"/>
        </w:rPr>
        <w:t> </w:t>
      </w:r>
      <w:r>
        <w:rPr>
          <w:sz w:val="18"/>
        </w:rPr>
        <w:t>we</w:t>
      </w:r>
      <w:r>
        <w:rPr>
          <w:spacing w:val="-24"/>
          <w:sz w:val="18"/>
        </w:rPr>
        <w:t> </w:t>
      </w:r>
      <w:r>
        <w:rPr>
          <w:sz w:val="18"/>
        </w:rPr>
        <w:t>understand</w:t>
      </w:r>
      <w:r>
        <w:rPr>
          <w:spacing w:val="-24"/>
          <w:sz w:val="18"/>
        </w:rPr>
        <w:t> </w:t>
      </w:r>
      <w:r>
        <w:rPr>
          <w:sz w:val="18"/>
        </w:rPr>
        <w:t>that</w:t>
      </w:r>
      <w:r>
        <w:rPr>
          <w:spacing w:val="-24"/>
          <w:sz w:val="18"/>
        </w:rPr>
        <w:t> </w:t>
      </w:r>
      <w:r>
        <w:rPr>
          <w:sz w:val="18"/>
        </w:rPr>
        <w:t>the</w:t>
      </w:r>
      <w:r>
        <w:rPr>
          <w:spacing w:val="-24"/>
          <w:sz w:val="18"/>
        </w:rPr>
        <w:t> </w:t>
      </w:r>
      <w:r>
        <w:rPr>
          <w:sz w:val="18"/>
        </w:rPr>
        <w:t>total</w:t>
      </w:r>
      <w:r>
        <w:rPr>
          <w:spacing w:val="-24"/>
          <w:sz w:val="18"/>
        </w:rPr>
        <w:t> </w:t>
      </w:r>
      <w:r>
        <w:rPr>
          <w:sz w:val="18"/>
        </w:rPr>
        <w:t>land</w:t>
      </w:r>
      <w:r>
        <w:rPr>
          <w:spacing w:val="-24"/>
          <w:sz w:val="18"/>
        </w:rPr>
        <w:t> </w:t>
      </w:r>
      <w:r>
        <w:rPr>
          <w:sz w:val="18"/>
        </w:rPr>
        <w:t>area</w:t>
      </w:r>
      <w:r>
        <w:rPr>
          <w:spacing w:val="-24"/>
          <w:sz w:val="18"/>
        </w:rPr>
        <w:t> </w:t>
      </w:r>
      <w:r>
        <w:rPr>
          <w:sz w:val="18"/>
        </w:rPr>
        <w:t>of</w:t>
      </w:r>
      <w:r>
        <w:rPr>
          <w:spacing w:val="-24"/>
          <w:sz w:val="18"/>
        </w:rPr>
        <w:t> </w:t>
      </w:r>
      <w:r>
        <w:rPr>
          <w:sz w:val="18"/>
        </w:rPr>
        <w:t>the</w:t>
      </w:r>
      <w:r>
        <w:rPr>
          <w:spacing w:val="-23"/>
          <w:sz w:val="18"/>
        </w:rPr>
        <w:t> </w:t>
      </w:r>
      <w:r>
        <w:rPr>
          <w:sz w:val="18"/>
        </w:rPr>
        <w:t>subject</w:t>
      </w:r>
      <w:r>
        <w:rPr>
          <w:spacing w:val="-25"/>
          <w:sz w:val="18"/>
        </w:rPr>
        <w:t> </w:t>
      </w:r>
      <w:r>
        <w:rPr>
          <w:sz w:val="18"/>
        </w:rPr>
        <w:t>property</w:t>
      </w:r>
      <w:r>
        <w:rPr>
          <w:spacing w:val="-24"/>
          <w:sz w:val="18"/>
        </w:rPr>
        <w:t> </w:t>
      </w:r>
      <w:r>
        <w:rPr>
          <w:sz w:val="18"/>
        </w:rPr>
        <w:t>under</w:t>
      </w:r>
      <w:r>
        <w:rPr>
          <w:spacing w:val="-24"/>
          <w:sz w:val="18"/>
        </w:rPr>
        <w:t> </w:t>
      </w:r>
      <w:r>
        <w:rPr>
          <w:sz w:val="18"/>
        </w:rPr>
        <w:t>the ownership of the Client is approximately 7.27</w:t>
      </w:r>
      <w:r>
        <w:rPr>
          <w:spacing w:val="-23"/>
          <w:sz w:val="18"/>
        </w:rPr>
        <w:t> </w:t>
      </w:r>
      <w:r>
        <w:rPr>
          <w:sz w:val="18"/>
        </w:rPr>
        <w:t>acres</w:t>
      </w:r>
    </w:p>
    <w:p>
      <w:pPr>
        <w:pStyle w:val="BodyText"/>
        <w:spacing w:before="7"/>
        <w:rPr>
          <w:sz w:val="20"/>
        </w:rPr>
      </w:pPr>
    </w:p>
    <w:p>
      <w:pPr>
        <w:spacing w:line="321" w:lineRule="auto" w:before="1"/>
        <w:ind w:left="2361" w:right="576" w:hanging="1866"/>
        <w:jc w:val="both"/>
        <w:rPr>
          <w:sz w:val="18"/>
        </w:rPr>
      </w:pPr>
      <w:r>
        <w:rPr>
          <w:color w:val="006A4D"/>
          <w:sz w:val="18"/>
        </w:rPr>
        <w:t>Brief</w:t>
      </w:r>
      <w:r>
        <w:rPr>
          <w:color w:val="006A4D"/>
          <w:spacing w:val="-17"/>
          <w:sz w:val="18"/>
        </w:rPr>
        <w:t> </w:t>
      </w:r>
      <w:r>
        <w:rPr>
          <w:color w:val="006A4D"/>
          <w:sz w:val="18"/>
        </w:rPr>
        <w:t>Description:</w:t>
      </w:r>
      <w:r>
        <w:rPr>
          <w:color w:val="006A4D"/>
          <w:spacing w:val="49"/>
          <w:sz w:val="18"/>
        </w:rPr>
        <w:t> </w:t>
      </w:r>
      <w:r>
        <w:rPr>
          <w:sz w:val="18"/>
        </w:rPr>
        <w:t>The</w:t>
      </w:r>
      <w:r>
        <w:rPr>
          <w:spacing w:val="-22"/>
          <w:sz w:val="18"/>
        </w:rPr>
        <w:t> </w:t>
      </w:r>
      <w:r>
        <w:rPr>
          <w:sz w:val="18"/>
        </w:rPr>
        <w:t>subject</w:t>
      </w:r>
      <w:r>
        <w:rPr>
          <w:spacing w:val="-25"/>
          <w:sz w:val="18"/>
        </w:rPr>
        <w:t> </w:t>
      </w:r>
      <w:r>
        <w:rPr>
          <w:sz w:val="18"/>
        </w:rPr>
        <w:t>property</w:t>
      </w:r>
      <w:r>
        <w:rPr>
          <w:spacing w:val="-23"/>
          <w:sz w:val="18"/>
        </w:rPr>
        <w:t> </w:t>
      </w:r>
      <w:r>
        <w:rPr>
          <w:sz w:val="18"/>
        </w:rPr>
        <w:t>‘Embassy</w:t>
      </w:r>
      <w:r>
        <w:rPr>
          <w:spacing w:val="-25"/>
          <w:sz w:val="18"/>
        </w:rPr>
        <w:t> </w:t>
      </w:r>
      <w:r>
        <w:rPr>
          <w:sz w:val="18"/>
        </w:rPr>
        <w:t>247’</w:t>
      </w:r>
      <w:r>
        <w:rPr>
          <w:spacing w:val="-24"/>
          <w:sz w:val="18"/>
        </w:rPr>
        <w:t> </w:t>
      </w:r>
      <w:r>
        <w:rPr>
          <w:sz w:val="18"/>
        </w:rPr>
        <w:t>is</w:t>
      </w:r>
      <w:r>
        <w:rPr>
          <w:spacing w:val="-24"/>
          <w:sz w:val="18"/>
        </w:rPr>
        <w:t> </w:t>
      </w:r>
      <w:r>
        <w:rPr>
          <w:sz w:val="18"/>
        </w:rPr>
        <w:t>an</w:t>
      </w:r>
      <w:r>
        <w:rPr>
          <w:spacing w:val="-23"/>
          <w:sz w:val="18"/>
        </w:rPr>
        <w:t> </w:t>
      </w:r>
      <w:r>
        <w:rPr>
          <w:sz w:val="18"/>
        </w:rPr>
        <w:t>operational</w:t>
      </w:r>
      <w:r>
        <w:rPr>
          <w:spacing w:val="-24"/>
          <w:sz w:val="18"/>
        </w:rPr>
        <w:t> </w:t>
      </w:r>
      <w:r>
        <w:rPr>
          <w:sz w:val="18"/>
        </w:rPr>
        <w:t>office</w:t>
      </w:r>
      <w:r>
        <w:rPr>
          <w:spacing w:val="-19"/>
          <w:sz w:val="18"/>
        </w:rPr>
        <w:t> </w:t>
      </w:r>
      <w:r>
        <w:rPr>
          <w:sz w:val="18"/>
        </w:rPr>
        <w:t>located</w:t>
      </w:r>
      <w:r>
        <w:rPr>
          <w:spacing w:val="-24"/>
          <w:sz w:val="18"/>
        </w:rPr>
        <w:t> </w:t>
      </w:r>
      <w:r>
        <w:rPr>
          <w:sz w:val="18"/>
        </w:rPr>
        <w:t>along</w:t>
      </w:r>
      <w:r>
        <w:rPr>
          <w:spacing w:val="-23"/>
          <w:sz w:val="18"/>
        </w:rPr>
        <w:t> </w:t>
      </w:r>
      <w:r>
        <w:rPr>
          <w:sz w:val="18"/>
        </w:rPr>
        <w:t>LBS</w:t>
      </w:r>
      <w:r>
        <w:rPr>
          <w:spacing w:val="-23"/>
          <w:sz w:val="18"/>
        </w:rPr>
        <w:t> </w:t>
      </w:r>
      <w:r>
        <w:rPr>
          <w:sz w:val="18"/>
        </w:rPr>
        <w:t>Road</w:t>
      </w:r>
      <w:r>
        <w:rPr>
          <w:spacing w:val="-23"/>
          <w:sz w:val="18"/>
        </w:rPr>
        <w:t> </w:t>
      </w:r>
      <w:r>
        <w:rPr>
          <w:sz w:val="18"/>
        </w:rPr>
        <w:t>in</w:t>
      </w:r>
      <w:r>
        <w:rPr>
          <w:spacing w:val="-26"/>
          <w:sz w:val="18"/>
        </w:rPr>
        <w:t> </w:t>
      </w:r>
      <w:r>
        <w:rPr>
          <w:sz w:val="18"/>
        </w:rPr>
        <w:t>Vikhroli</w:t>
      </w:r>
      <w:r>
        <w:rPr>
          <w:spacing w:val="-24"/>
          <w:sz w:val="18"/>
        </w:rPr>
        <w:t> </w:t>
      </w:r>
      <w:r>
        <w:rPr>
          <w:sz w:val="18"/>
        </w:rPr>
        <w:t>west,</w:t>
      </w:r>
      <w:r>
        <w:rPr>
          <w:spacing w:val="-24"/>
          <w:sz w:val="18"/>
        </w:rPr>
        <w:t> </w:t>
      </w:r>
      <w:r>
        <w:rPr>
          <w:sz w:val="18"/>
        </w:rPr>
        <w:t>Mumbai. The</w:t>
      </w:r>
      <w:r>
        <w:rPr>
          <w:spacing w:val="-14"/>
          <w:sz w:val="18"/>
        </w:rPr>
        <w:t> </w:t>
      </w:r>
      <w:r>
        <w:rPr>
          <w:sz w:val="18"/>
        </w:rPr>
        <w:t>development</w:t>
      </w:r>
      <w:r>
        <w:rPr>
          <w:spacing w:val="-15"/>
          <w:sz w:val="18"/>
        </w:rPr>
        <w:t> </w:t>
      </w:r>
      <w:r>
        <w:rPr>
          <w:sz w:val="18"/>
        </w:rPr>
        <w:t>is</w:t>
      </w:r>
      <w:r>
        <w:rPr>
          <w:spacing w:val="-15"/>
          <w:sz w:val="18"/>
        </w:rPr>
        <w:t> </w:t>
      </w:r>
      <w:r>
        <w:rPr>
          <w:sz w:val="18"/>
        </w:rPr>
        <w:t>divided</w:t>
      </w:r>
      <w:r>
        <w:rPr>
          <w:spacing w:val="-14"/>
          <w:sz w:val="18"/>
        </w:rPr>
        <w:t> </w:t>
      </w:r>
      <w:r>
        <w:rPr>
          <w:sz w:val="18"/>
        </w:rPr>
        <w:t>in</w:t>
      </w:r>
      <w:r>
        <w:rPr>
          <w:spacing w:val="-13"/>
          <w:sz w:val="18"/>
        </w:rPr>
        <w:t> </w:t>
      </w:r>
      <w:r>
        <w:rPr>
          <w:sz w:val="18"/>
        </w:rPr>
        <w:t>three</w:t>
      </w:r>
      <w:r>
        <w:rPr>
          <w:spacing w:val="-14"/>
          <w:sz w:val="18"/>
        </w:rPr>
        <w:t> </w:t>
      </w:r>
      <w:r>
        <w:rPr>
          <w:sz w:val="18"/>
        </w:rPr>
        <w:t>towers</w:t>
      </w:r>
      <w:r>
        <w:rPr>
          <w:spacing w:val="-14"/>
          <w:sz w:val="18"/>
        </w:rPr>
        <w:t> </w:t>
      </w:r>
      <w:r>
        <w:rPr>
          <w:sz w:val="18"/>
        </w:rPr>
        <w:t>viz.</w:t>
      </w:r>
      <w:r>
        <w:rPr>
          <w:spacing w:val="-15"/>
          <w:sz w:val="18"/>
        </w:rPr>
        <w:t> </w:t>
      </w:r>
      <w:r>
        <w:rPr>
          <w:sz w:val="18"/>
        </w:rPr>
        <w:t>A,</w:t>
      </w:r>
      <w:r>
        <w:rPr>
          <w:spacing w:val="-13"/>
          <w:sz w:val="18"/>
        </w:rPr>
        <w:t> </w:t>
      </w:r>
      <w:r>
        <w:rPr>
          <w:sz w:val="18"/>
        </w:rPr>
        <w:t>B</w:t>
      </w:r>
      <w:r>
        <w:rPr>
          <w:spacing w:val="-13"/>
          <w:sz w:val="18"/>
        </w:rPr>
        <w:t> </w:t>
      </w:r>
      <w:r>
        <w:rPr>
          <w:sz w:val="18"/>
        </w:rPr>
        <w:t>&amp;</w:t>
      </w:r>
      <w:r>
        <w:rPr>
          <w:spacing w:val="-13"/>
          <w:sz w:val="18"/>
        </w:rPr>
        <w:t> </w:t>
      </w:r>
      <w:r>
        <w:rPr>
          <w:sz w:val="18"/>
        </w:rPr>
        <w:t>C.</w:t>
      </w:r>
      <w:r>
        <w:rPr>
          <w:spacing w:val="-15"/>
          <w:sz w:val="18"/>
        </w:rPr>
        <w:t> </w:t>
      </w:r>
      <w:r>
        <w:rPr>
          <w:sz w:val="18"/>
        </w:rPr>
        <w:t>The</w:t>
      </w:r>
      <w:r>
        <w:rPr>
          <w:spacing w:val="-12"/>
          <w:sz w:val="18"/>
        </w:rPr>
        <w:t> </w:t>
      </w:r>
      <w:r>
        <w:rPr>
          <w:sz w:val="18"/>
        </w:rPr>
        <w:t>towers</w:t>
      </w:r>
      <w:r>
        <w:rPr>
          <w:spacing w:val="-14"/>
          <w:sz w:val="18"/>
        </w:rPr>
        <w:t> </w:t>
      </w:r>
      <w:r>
        <w:rPr>
          <w:sz w:val="18"/>
        </w:rPr>
        <w:t>A</w:t>
      </w:r>
      <w:r>
        <w:rPr>
          <w:spacing w:val="-14"/>
          <w:sz w:val="18"/>
        </w:rPr>
        <w:t> </w:t>
      </w:r>
      <w:r>
        <w:rPr>
          <w:sz w:val="18"/>
        </w:rPr>
        <w:t>&amp;</w:t>
      </w:r>
      <w:r>
        <w:rPr>
          <w:spacing w:val="-13"/>
          <w:sz w:val="18"/>
        </w:rPr>
        <w:t> </w:t>
      </w:r>
      <w:r>
        <w:rPr>
          <w:w w:val="130"/>
          <w:sz w:val="18"/>
        </w:rPr>
        <w:t>C</w:t>
      </w:r>
      <w:r>
        <w:rPr>
          <w:spacing w:val="-30"/>
          <w:w w:val="130"/>
          <w:sz w:val="18"/>
        </w:rPr>
        <w:t> </w:t>
      </w:r>
      <w:r>
        <w:rPr>
          <w:sz w:val="18"/>
        </w:rPr>
        <w:t>are</w:t>
      </w:r>
      <w:r>
        <w:rPr>
          <w:spacing w:val="-14"/>
          <w:sz w:val="18"/>
        </w:rPr>
        <w:t> </w:t>
      </w:r>
      <w:r>
        <w:rPr>
          <w:sz w:val="18"/>
        </w:rPr>
        <w:t>identical</w:t>
      </w:r>
      <w:r>
        <w:rPr>
          <w:spacing w:val="-15"/>
          <w:sz w:val="18"/>
        </w:rPr>
        <w:t> </w:t>
      </w:r>
      <w:r>
        <w:rPr>
          <w:sz w:val="18"/>
        </w:rPr>
        <w:t>to</w:t>
      </w:r>
      <w:r>
        <w:rPr>
          <w:spacing w:val="-11"/>
          <w:sz w:val="18"/>
        </w:rPr>
        <w:t> </w:t>
      </w:r>
      <w:r>
        <w:rPr>
          <w:sz w:val="18"/>
        </w:rPr>
        <w:t>each</w:t>
      </w:r>
      <w:r>
        <w:rPr>
          <w:spacing w:val="-15"/>
          <w:sz w:val="18"/>
        </w:rPr>
        <w:t> </w:t>
      </w:r>
      <w:r>
        <w:rPr>
          <w:sz w:val="18"/>
        </w:rPr>
        <w:t>other</w:t>
      </w:r>
      <w:r>
        <w:rPr>
          <w:spacing w:val="-15"/>
          <w:sz w:val="18"/>
        </w:rPr>
        <w:t> </w:t>
      </w:r>
      <w:r>
        <w:rPr>
          <w:sz w:val="18"/>
        </w:rPr>
        <w:t>and have</w:t>
      </w:r>
      <w:r>
        <w:rPr>
          <w:spacing w:val="-4"/>
          <w:sz w:val="18"/>
        </w:rPr>
        <w:t> </w:t>
      </w:r>
      <w:r>
        <w:rPr>
          <w:sz w:val="18"/>
        </w:rPr>
        <w:t>an</w:t>
      </w:r>
      <w:r>
        <w:rPr>
          <w:spacing w:val="-1"/>
          <w:sz w:val="18"/>
        </w:rPr>
        <w:t> </w:t>
      </w:r>
      <w:r>
        <w:rPr>
          <w:sz w:val="18"/>
        </w:rPr>
        <w:t>elevation</w:t>
      </w:r>
      <w:r>
        <w:rPr>
          <w:spacing w:val="-1"/>
          <w:sz w:val="18"/>
        </w:rPr>
        <w:t> </w:t>
      </w:r>
      <w:r>
        <w:rPr>
          <w:sz w:val="18"/>
        </w:rPr>
        <w:t>of</w:t>
      </w:r>
      <w:r>
        <w:rPr>
          <w:spacing w:val="-2"/>
          <w:sz w:val="18"/>
        </w:rPr>
        <w:t> </w:t>
      </w:r>
      <w:r>
        <w:rPr>
          <w:sz w:val="18"/>
        </w:rPr>
        <w:t>2</w:t>
      </w:r>
      <w:r>
        <w:rPr>
          <w:spacing w:val="-2"/>
          <w:sz w:val="18"/>
        </w:rPr>
        <w:t> </w:t>
      </w:r>
      <w:r>
        <w:rPr>
          <w:sz w:val="18"/>
        </w:rPr>
        <w:t>Basement</w:t>
      </w:r>
      <w:r>
        <w:rPr>
          <w:spacing w:val="-2"/>
          <w:sz w:val="18"/>
        </w:rPr>
        <w:t> </w:t>
      </w:r>
      <w:r>
        <w:rPr>
          <w:w w:val="130"/>
          <w:sz w:val="18"/>
        </w:rPr>
        <w:t>+</w:t>
      </w:r>
      <w:r>
        <w:rPr>
          <w:spacing w:val="-17"/>
          <w:w w:val="130"/>
          <w:sz w:val="18"/>
        </w:rPr>
        <w:t> </w:t>
      </w:r>
      <w:r>
        <w:rPr>
          <w:sz w:val="18"/>
        </w:rPr>
        <w:t>Ground</w:t>
      </w:r>
      <w:r>
        <w:rPr>
          <w:spacing w:val="-1"/>
          <w:sz w:val="18"/>
        </w:rPr>
        <w:t> </w:t>
      </w:r>
      <w:r>
        <w:rPr>
          <w:w w:val="130"/>
          <w:sz w:val="18"/>
        </w:rPr>
        <w:t>+</w:t>
      </w:r>
      <w:r>
        <w:rPr>
          <w:spacing w:val="-17"/>
          <w:w w:val="130"/>
          <w:sz w:val="18"/>
        </w:rPr>
        <w:t> </w:t>
      </w:r>
      <w:r>
        <w:rPr>
          <w:sz w:val="18"/>
        </w:rPr>
        <w:t>11</w:t>
      </w:r>
      <w:r>
        <w:rPr>
          <w:spacing w:val="-2"/>
          <w:sz w:val="18"/>
        </w:rPr>
        <w:t> </w:t>
      </w:r>
      <w:r>
        <w:rPr>
          <w:sz w:val="18"/>
        </w:rPr>
        <w:t>upper</w:t>
      </w:r>
      <w:r>
        <w:rPr>
          <w:spacing w:val="-2"/>
          <w:sz w:val="18"/>
        </w:rPr>
        <w:t> </w:t>
      </w:r>
      <w:r>
        <w:rPr>
          <w:sz w:val="18"/>
        </w:rPr>
        <w:t>floors.</w:t>
      </w:r>
      <w:r>
        <w:rPr>
          <w:spacing w:val="-2"/>
          <w:sz w:val="18"/>
        </w:rPr>
        <w:t> </w:t>
      </w:r>
      <w:r>
        <w:rPr>
          <w:sz w:val="18"/>
        </w:rPr>
        <w:t>Tower</w:t>
      </w:r>
      <w:r>
        <w:rPr>
          <w:spacing w:val="-3"/>
          <w:sz w:val="18"/>
        </w:rPr>
        <w:t> </w:t>
      </w:r>
      <w:r>
        <w:rPr>
          <w:sz w:val="18"/>
        </w:rPr>
        <w:t>B</w:t>
      </w:r>
      <w:r>
        <w:rPr>
          <w:spacing w:val="-2"/>
          <w:sz w:val="18"/>
        </w:rPr>
        <w:t> </w:t>
      </w:r>
      <w:r>
        <w:rPr>
          <w:sz w:val="18"/>
        </w:rPr>
        <w:t>situated</w:t>
      </w:r>
      <w:r>
        <w:rPr>
          <w:spacing w:val="-1"/>
          <w:sz w:val="18"/>
        </w:rPr>
        <w:t> </w:t>
      </w:r>
      <w:r>
        <w:rPr>
          <w:sz w:val="18"/>
        </w:rPr>
        <w:t>in</w:t>
      </w:r>
      <w:r>
        <w:rPr>
          <w:spacing w:val="-2"/>
          <w:sz w:val="18"/>
        </w:rPr>
        <w:t> </w:t>
      </w:r>
      <w:r>
        <w:rPr>
          <w:sz w:val="18"/>
        </w:rPr>
        <w:t>between</w:t>
      </w:r>
      <w:r>
        <w:rPr>
          <w:spacing w:val="-1"/>
          <w:sz w:val="18"/>
        </w:rPr>
        <w:t> </w:t>
      </w:r>
      <w:r>
        <w:rPr>
          <w:sz w:val="18"/>
        </w:rPr>
        <w:t>Tower</w:t>
      </w:r>
      <w:r>
        <w:rPr>
          <w:spacing w:val="-2"/>
          <w:sz w:val="18"/>
        </w:rPr>
        <w:t> </w:t>
      </w:r>
      <w:r>
        <w:rPr>
          <w:sz w:val="18"/>
        </w:rPr>
        <w:t>A</w:t>
      </w:r>
      <w:r>
        <w:rPr>
          <w:spacing w:val="-1"/>
          <w:sz w:val="18"/>
        </w:rPr>
        <w:t> </w:t>
      </w:r>
      <w:r>
        <w:rPr>
          <w:sz w:val="18"/>
        </w:rPr>
        <w:t>&amp;</w:t>
      </w:r>
      <w:r>
        <w:rPr>
          <w:spacing w:val="-3"/>
          <w:sz w:val="18"/>
        </w:rPr>
        <w:t> </w:t>
      </w:r>
      <w:r>
        <w:rPr>
          <w:w w:val="130"/>
          <w:sz w:val="18"/>
        </w:rPr>
        <w:t>C </w:t>
      </w:r>
      <w:r>
        <w:rPr>
          <w:sz w:val="18"/>
        </w:rPr>
        <w:t>has</w:t>
      </w:r>
      <w:r>
        <w:rPr>
          <w:spacing w:val="-14"/>
          <w:sz w:val="18"/>
        </w:rPr>
        <w:t> </w:t>
      </w:r>
      <w:r>
        <w:rPr>
          <w:sz w:val="18"/>
        </w:rPr>
        <w:t>an</w:t>
      </w:r>
      <w:r>
        <w:rPr>
          <w:spacing w:val="-15"/>
          <w:sz w:val="18"/>
        </w:rPr>
        <w:t> </w:t>
      </w:r>
      <w:r>
        <w:rPr>
          <w:sz w:val="18"/>
        </w:rPr>
        <w:t>elevation</w:t>
      </w:r>
      <w:r>
        <w:rPr>
          <w:spacing w:val="-14"/>
          <w:sz w:val="18"/>
        </w:rPr>
        <w:t> </w:t>
      </w:r>
      <w:r>
        <w:rPr>
          <w:sz w:val="18"/>
        </w:rPr>
        <w:t>of</w:t>
      </w:r>
      <w:r>
        <w:rPr>
          <w:spacing w:val="-15"/>
          <w:sz w:val="18"/>
        </w:rPr>
        <w:t> </w:t>
      </w:r>
      <w:r>
        <w:rPr>
          <w:sz w:val="18"/>
        </w:rPr>
        <w:t>2</w:t>
      </w:r>
      <w:r>
        <w:rPr>
          <w:spacing w:val="-15"/>
          <w:sz w:val="18"/>
        </w:rPr>
        <w:t> </w:t>
      </w:r>
      <w:r>
        <w:rPr>
          <w:sz w:val="18"/>
        </w:rPr>
        <w:t>Basement</w:t>
      </w:r>
      <w:r>
        <w:rPr>
          <w:spacing w:val="-15"/>
          <w:sz w:val="18"/>
        </w:rPr>
        <w:t> </w:t>
      </w:r>
      <w:r>
        <w:rPr>
          <w:w w:val="130"/>
          <w:sz w:val="18"/>
        </w:rPr>
        <w:t>+</w:t>
      </w:r>
      <w:r>
        <w:rPr>
          <w:spacing w:val="-30"/>
          <w:w w:val="130"/>
          <w:sz w:val="18"/>
        </w:rPr>
        <w:t> </w:t>
      </w:r>
      <w:r>
        <w:rPr>
          <w:sz w:val="18"/>
        </w:rPr>
        <w:t>Ground</w:t>
      </w:r>
      <w:r>
        <w:rPr>
          <w:spacing w:val="-14"/>
          <w:sz w:val="18"/>
        </w:rPr>
        <w:t> </w:t>
      </w:r>
      <w:r>
        <w:rPr>
          <w:w w:val="130"/>
          <w:sz w:val="18"/>
        </w:rPr>
        <w:t>+</w:t>
      </w:r>
      <w:r>
        <w:rPr>
          <w:spacing w:val="-30"/>
          <w:w w:val="130"/>
          <w:sz w:val="18"/>
        </w:rPr>
        <w:t> </w:t>
      </w:r>
      <w:r>
        <w:rPr>
          <w:sz w:val="18"/>
        </w:rPr>
        <w:t>14</w:t>
      </w:r>
      <w:r>
        <w:rPr>
          <w:spacing w:val="-16"/>
          <w:sz w:val="18"/>
        </w:rPr>
        <w:t> </w:t>
      </w:r>
      <w:r>
        <w:rPr>
          <w:sz w:val="18"/>
        </w:rPr>
        <w:t>upper</w:t>
      </w:r>
      <w:r>
        <w:rPr>
          <w:spacing w:val="-15"/>
          <w:sz w:val="18"/>
        </w:rPr>
        <w:t> </w:t>
      </w:r>
      <w:r>
        <w:rPr>
          <w:sz w:val="18"/>
        </w:rPr>
        <w:t>floors.</w:t>
      </w:r>
      <w:r>
        <w:rPr>
          <w:spacing w:val="-15"/>
          <w:sz w:val="18"/>
        </w:rPr>
        <w:t> </w:t>
      </w:r>
      <w:r>
        <w:rPr>
          <w:sz w:val="18"/>
        </w:rPr>
        <w:t>Based</w:t>
      </w:r>
      <w:r>
        <w:rPr>
          <w:spacing w:val="-15"/>
          <w:sz w:val="18"/>
        </w:rPr>
        <w:t> </w:t>
      </w:r>
      <w:r>
        <w:rPr>
          <w:sz w:val="18"/>
        </w:rPr>
        <w:t>on</w:t>
      </w:r>
      <w:r>
        <w:rPr>
          <w:spacing w:val="-14"/>
          <w:sz w:val="18"/>
        </w:rPr>
        <w:t> </w:t>
      </w:r>
      <w:r>
        <w:rPr>
          <w:sz w:val="18"/>
        </w:rPr>
        <w:t>the</w:t>
      </w:r>
      <w:r>
        <w:rPr>
          <w:spacing w:val="-14"/>
          <w:sz w:val="18"/>
        </w:rPr>
        <w:t> </w:t>
      </w:r>
      <w:r>
        <w:rPr>
          <w:sz w:val="18"/>
        </w:rPr>
        <w:t>site</w:t>
      </w:r>
      <w:r>
        <w:rPr>
          <w:spacing w:val="-13"/>
          <w:sz w:val="18"/>
        </w:rPr>
        <w:t> </w:t>
      </w:r>
      <w:r>
        <w:rPr>
          <w:sz w:val="18"/>
        </w:rPr>
        <w:t>visit,</w:t>
      </w:r>
      <w:r>
        <w:rPr>
          <w:spacing w:val="-16"/>
          <w:sz w:val="18"/>
        </w:rPr>
        <w:t> </w:t>
      </w:r>
      <w:r>
        <w:rPr>
          <w:sz w:val="18"/>
        </w:rPr>
        <w:t>it</w:t>
      </w:r>
      <w:r>
        <w:rPr>
          <w:spacing w:val="-16"/>
          <w:sz w:val="18"/>
        </w:rPr>
        <w:t> </w:t>
      </w:r>
      <w:r>
        <w:rPr>
          <w:sz w:val="18"/>
        </w:rPr>
        <w:t>is</w:t>
      </w:r>
      <w:r>
        <w:rPr>
          <w:spacing w:val="-14"/>
          <w:sz w:val="18"/>
        </w:rPr>
        <w:t> </w:t>
      </w:r>
      <w:r>
        <w:rPr>
          <w:sz w:val="18"/>
        </w:rPr>
        <w:t>understood</w:t>
      </w:r>
      <w:r>
        <w:rPr>
          <w:spacing w:val="-15"/>
          <w:sz w:val="18"/>
        </w:rPr>
        <w:t> </w:t>
      </w:r>
      <w:r>
        <w:rPr>
          <w:sz w:val="18"/>
        </w:rPr>
        <w:t>that</w:t>
      </w:r>
      <w:r>
        <w:rPr>
          <w:spacing w:val="-15"/>
          <w:sz w:val="18"/>
        </w:rPr>
        <w:t> </w:t>
      </w:r>
      <w:r>
        <w:rPr>
          <w:sz w:val="18"/>
        </w:rPr>
        <w:t>all the</w:t>
      </w:r>
      <w:r>
        <w:rPr>
          <w:spacing w:val="-8"/>
          <w:sz w:val="18"/>
        </w:rPr>
        <w:t> </w:t>
      </w:r>
      <w:r>
        <w:rPr>
          <w:sz w:val="18"/>
        </w:rPr>
        <w:t>three</w:t>
      </w:r>
      <w:r>
        <w:rPr>
          <w:spacing w:val="-8"/>
          <w:sz w:val="18"/>
        </w:rPr>
        <w:t> </w:t>
      </w:r>
      <w:r>
        <w:rPr>
          <w:sz w:val="18"/>
        </w:rPr>
        <w:t>towers</w:t>
      </w:r>
      <w:r>
        <w:rPr>
          <w:spacing w:val="-9"/>
          <w:sz w:val="18"/>
        </w:rPr>
        <w:t> </w:t>
      </w:r>
      <w:r>
        <w:rPr>
          <w:sz w:val="18"/>
        </w:rPr>
        <w:t>are</w:t>
      </w:r>
      <w:r>
        <w:rPr>
          <w:spacing w:val="-7"/>
          <w:sz w:val="18"/>
        </w:rPr>
        <w:t> </w:t>
      </w:r>
      <w:r>
        <w:rPr>
          <w:sz w:val="18"/>
        </w:rPr>
        <w:t>internally</w:t>
      </w:r>
      <w:r>
        <w:rPr>
          <w:spacing w:val="-10"/>
          <w:sz w:val="18"/>
        </w:rPr>
        <w:t> </w:t>
      </w:r>
      <w:r>
        <w:rPr>
          <w:sz w:val="18"/>
        </w:rPr>
        <w:t>connected</w:t>
      </w:r>
      <w:r>
        <w:rPr>
          <w:spacing w:val="-9"/>
          <w:sz w:val="18"/>
        </w:rPr>
        <w:t> </w:t>
      </w:r>
      <w:r>
        <w:rPr>
          <w:sz w:val="18"/>
        </w:rPr>
        <w:t>from</w:t>
      </w:r>
      <w:r>
        <w:rPr>
          <w:spacing w:val="-9"/>
          <w:sz w:val="18"/>
        </w:rPr>
        <w:t> </w:t>
      </w:r>
      <w:r>
        <w:rPr>
          <w:sz w:val="18"/>
        </w:rPr>
        <w:t>basement</w:t>
      </w:r>
      <w:r>
        <w:rPr>
          <w:spacing w:val="-4"/>
          <w:sz w:val="18"/>
        </w:rPr>
        <w:t> </w:t>
      </w:r>
      <w:r>
        <w:rPr>
          <w:sz w:val="18"/>
        </w:rPr>
        <w:t>to</w:t>
      </w:r>
      <w:r>
        <w:rPr>
          <w:spacing w:val="-7"/>
          <w:sz w:val="18"/>
        </w:rPr>
        <w:t> </w:t>
      </w:r>
      <w:r>
        <w:rPr>
          <w:sz w:val="18"/>
        </w:rPr>
        <w:t>the</w:t>
      </w:r>
      <w:r>
        <w:rPr>
          <w:spacing w:val="-8"/>
          <w:sz w:val="18"/>
        </w:rPr>
        <w:t> </w:t>
      </w:r>
      <w:r>
        <w:rPr>
          <w:sz w:val="18"/>
        </w:rPr>
        <w:t>3</w:t>
      </w:r>
      <w:r>
        <w:rPr>
          <w:position w:val="6"/>
          <w:sz w:val="11"/>
        </w:rPr>
        <w:t>rd</w:t>
      </w:r>
      <w:r>
        <w:rPr>
          <w:spacing w:val="13"/>
          <w:position w:val="6"/>
          <w:sz w:val="11"/>
        </w:rPr>
        <w:t> </w:t>
      </w:r>
      <w:r>
        <w:rPr>
          <w:sz w:val="18"/>
        </w:rPr>
        <w:t>floor</w:t>
      </w:r>
      <w:r>
        <w:rPr>
          <w:spacing w:val="-8"/>
          <w:sz w:val="18"/>
        </w:rPr>
        <w:t> </w:t>
      </w:r>
      <w:r>
        <w:rPr>
          <w:sz w:val="18"/>
        </w:rPr>
        <w:t>and</w:t>
      </w:r>
      <w:r>
        <w:rPr>
          <w:spacing w:val="-10"/>
          <w:sz w:val="18"/>
        </w:rPr>
        <w:t> </w:t>
      </w:r>
      <w:r>
        <w:rPr>
          <w:sz w:val="18"/>
        </w:rPr>
        <w:t>floors</w:t>
      </w:r>
      <w:r>
        <w:rPr>
          <w:spacing w:val="-7"/>
          <w:sz w:val="18"/>
        </w:rPr>
        <w:t> </w:t>
      </w:r>
      <w:r>
        <w:rPr>
          <w:sz w:val="18"/>
        </w:rPr>
        <w:t>10</w:t>
      </w:r>
      <w:r>
        <w:rPr>
          <w:spacing w:val="-8"/>
          <w:sz w:val="18"/>
        </w:rPr>
        <w:t> </w:t>
      </w:r>
      <w:r>
        <w:rPr>
          <w:sz w:val="18"/>
        </w:rPr>
        <w:t>and</w:t>
      </w:r>
      <w:r>
        <w:rPr>
          <w:spacing w:val="-10"/>
          <w:sz w:val="18"/>
        </w:rPr>
        <w:t> </w:t>
      </w:r>
      <w:r>
        <w:rPr>
          <w:sz w:val="18"/>
        </w:rPr>
        <w:t>11.</w:t>
      </w:r>
      <w:r>
        <w:rPr>
          <w:spacing w:val="-8"/>
          <w:sz w:val="18"/>
        </w:rPr>
        <w:t> </w:t>
      </w:r>
      <w:r>
        <w:rPr>
          <w:sz w:val="18"/>
        </w:rPr>
        <w:t>The</w:t>
      </w:r>
      <w:r>
        <w:rPr>
          <w:spacing w:val="-9"/>
          <w:sz w:val="18"/>
        </w:rPr>
        <w:t> </w:t>
      </w:r>
      <w:r>
        <w:rPr>
          <w:sz w:val="18"/>
        </w:rPr>
        <w:t>entire development</w:t>
      </w:r>
      <w:r>
        <w:rPr>
          <w:spacing w:val="-18"/>
          <w:sz w:val="18"/>
        </w:rPr>
        <w:t> </w:t>
      </w:r>
      <w:r>
        <w:rPr>
          <w:sz w:val="18"/>
        </w:rPr>
        <w:t>has</w:t>
      </w:r>
      <w:r>
        <w:rPr>
          <w:spacing w:val="-18"/>
          <w:sz w:val="18"/>
        </w:rPr>
        <w:t> </w:t>
      </w:r>
      <w:r>
        <w:rPr>
          <w:sz w:val="18"/>
        </w:rPr>
        <w:t>a</w:t>
      </w:r>
      <w:r>
        <w:rPr>
          <w:spacing w:val="-17"/>
          <w:sz w:val="18"/>
        </w:rPr>
        <w:t> </w:t>
      </w:r>
      <w:r>
        <w:rPr>
          <w:sz w:val="18"/>
        </w:rPr>
        <w:t>total</w:t>
      </w:r>
      <w:r>
        <w:rPr>
          <w:spacing w:val="-19"/>
          <w:sz w:val="18"/>
        </w:rPr>
        <w:t> </w:t>
      </w:r>
      <w:r>
        <w:rPr>
          <w:sz w:val="18"/>
        </w:rPr>
        <w:t>completed</w:t>
      </w:r>
      <w:r>
        <w:rPr>
          <w:spacing w:val="-16"/>
          <w:sz w:val="18"/>
        </w:rPr>
        <w:t> </w:t>
      </w:r>
      <w:r>
        <w:rPr>
          <w:sz w:val="18"/>
        </w:rPr>
        <w:t>leasable</w:t>
      </w:r>
      <w:r>
        <w:rPr>
          <w:spacing w:val="-17"/>
          <w:sz w:val="18"/>
        </w:rPr>
        <w:t> </w:t>
      </w:r>
      <w:r>
        <w:rPr>
          <w:sz w:val="18"/>
        </w:rPr>
        <w:t>area</w:t>
      </w:r>
      <w:r>
        <w:rPr>
          <w:spacing w:val="-16"/>
          <w:sz w:val="18"/>
        </w:rPr>
        <w:t> </w:t>
      </w:r>
      <w:r>
        <w:rPr>
          <w:sz w:val="18"/>
        </w:rPr>
        <w:t>of</w:t>
      </w:r>
      <w:r>
        <w:rPr>
          <w:spacing w:val="-17"/>
          <w:sz w:val="18"/>
        </w:rPr>
        <w:t> </w:t>
      </w:r>
      <w:r>
        <w:rPr>
          <w:sz w:val="18"/>
        </w:rPr>
        <w:t>approximately</w:t>
      </w:r>
      <w:r>
        <w:rPr>
          <w:spacing w:val="-18"/>
          <w:sz w:val="18"/>
        </w:rPr>
        <w:t> </w:t>
      </w:r>
      <w:r>
        <w:rPr>
          <w:sz w:val="18"/>
        </w:rPr>
        <w:t>1,189,544</w:t>
      </w:r>
      <w:r>
        <w:rPr>
          <w:spacing w:val="-17"/>
          <w:sz w:val="18"/>
        </w:rPr>
        <w:t> </w:t>
      </w:r>
      <w:r>
        <w:rPr>
          <w:sz w:val="18"/>
        </w:rPr>
        <w:t>sf.</w:t>
      </w:r>
      <w:r>
        <w:rPr>
          <w:spacing w:val="-18"/>
          <w:sz w:val="18"/>
        </w:rPr>
        <w:t> </w:t>
      </w:r>
      <w:r>
        <w:rPr>
          <w:sz w:val="18"/>
        </w:rPr>
        <w:t>The</w:t>
      </w:r>
      <w:r>
        <w:rPr>
          <w:spacing w:val="-17"/>
          <w:sz w:val="18"/>
        </w:rPr>
        <w:t> </w:t>
      </w:r>
      <w:r>
        <w:rPr>
          <w:sz w:val="18"/>
        </w:rPr>
        <w:t>subject</w:t>
      </w:r>
      <w:r>
        <w:rPr>
          <w:spacing w:val="-17"/>
          <w:sz w:val="18"/>
        </w:rPr>
        <w:t> </w:t>
      </w:r>
      <w:r>
        <w:rPr>
          <w:sz w:val="18"/>
        </w:rPr>
        <w:t>property</w:t>
      </w:r>
      <w:r>
        <w:rPr>
          <w:spacing w:val="-17"/>
          <w:sz w:val="18"/>
        </w:rPr>
        <w:t> </w:t>
      </w:r>
      <w:r>
        <w:rPr>
          <w:sz w:val="18"/>
        </w:rPr>
        <w:t>is</w:t>
      </w:r>
      <w:r>
        <w:rPr>
          <w:spacing w:val="-17"/>
          <w:sz w:val="18"/>
        </w:rPr>
        <w:t> </w:t>
      </w:r>
      <w:r>
        <w:rPr>
          <w:sz w:val="18"/>
        </w:rPr>
        <w:t>in proximity</w:t>
      </w:r>
      <w:r>
        <w:rPr>
          <w:spacing w:val="-5"/>
          <w:sz w:val="18"/>
        </w:rPr>
        <w:t> </w:t>
      </w:r>
      <w:r>
        <w:rPr>
          <w:sz w:val="18"/>
        </w:rPr>
        <w:t>to</w:t>
      </w:r>
      <w:r>
        <w:rPr>
          <w:spacing w:val="-4"/>
          <w:sz w:val="18"/>
        </w:rPr>
        <w:t> </w:t>
      </w:r>
      <w:r>
        <w:rPr>
          <w:sz w:val="18"/>
        </w:rPr>
        <w:t>established</w:t>
      </w:r>
      <w:r>
        <w:rPr>
          <w:spacing w:val="-3"/>
          <w:sz w:val="18"/>
        </w:rPr>
        <w:t> </w:t>
      </w:r>
      <w:r>
        <w:rPr>
          <w:sz w:val="18"/>
        </w:rPr>
        <w:t>residential</w:t>
      </w:r>
      <w:r>
        <w:rPr>
          <w:spacing w:val="-5"/>
          <w:sz w:val="18"/>
        </w:rPr>
        <w:t> </w:t>
      </w:r>
      <w:r>
        <w:rPr>
          <w:sz w:val="18"/>
        </w:rPr>
        <w:t>and</w:t>
      </w:r>
      <w:r>
        <w:rPr>
          <w:spacing w:val="-3"/>
          <w:sz w:val="18"/>
        </w:rPr>
        <w:t> </w:t>
      </w:r>
      <w:r>
        <w:rPr>
          <w:sz w:val="18"/>
        </w:rPr>
        <w:t>commercial</w:t>
      </w:r>
      <w:r>
        <w:rPr>
          <w:spacing w:val="-5"/>
          <w:sz w:val="18"/>
        </w:rPr>
        <w:t> </w:t>
      </w:r>
      <w:r>
        <w:rPr>
          <w:sz w:val="18"/>
        </w:rPr>
        <w:t>locations</w:t>
      </w:r>
      <w:r>
        <w:rPr>
          <w:spacing w:val="-3"/>
          <w:sz w:val="18"/>
        </w:rPr>
        <w:t> </w:t>
      </w:r>
      <w:r>
        <w:rPr>
          <w:sz w:val="18"/>
        </w:rPr>
        <w:t>within</w:t>
      </w:r>
      <w:r>
        <w:rPr>
          <w:spacing w:val="-5"/>
          <w:sz w:val="18"/>
        </w:rPr>
        <w:t> </w:t>
      </w:r>
      <w:r>
        <w:rPr>
          <w:sz w:val="18"/>
        </w:rPr>
        <w:t>the</w:t>
      </w:r>
      <w:r>
        <w:rPr>
          <w:spacing w:val="-5"/>
          <w:sz w:val="18"/>
        </w:rPr>
        <w:t> </w:t>
      </w:r>
      <w:r>
        <w:rPr>
          <w:sz w:val="18"/>
        </w:rPr>
        <w:t>city</w:t>
      </w:r>
      <w:r>
        <w:rPr>
          <w:spacing w:val="-4"/>
          <w:sz w:val="18"/>
        </w:rPr>
        <w:t> </w:t>
      </w:r>
      <w:r>
        <w:rPr>
          <w:sz w:val="18"/>
        </w:rPr>
        <w:t>such</w:t>
      </w:r>
      <w:r>
        <w:rPr>
          <w:spacing w:val="-5"/>
          <w:sz w:val="18"/>
        </w:rPr>
        <w:t> </w:t>
      </w:r>
      <w:r>
        <w:rPr>
          <w:sz w:val="18"/>
        </w:rPr>
        <w:t>as</w:t>
      </w:r>
      <w:r>
        <w:rPr>
          <w:spacing w:val="-5"/>
          <w:sz w:val="18"/>
        </w:rPr>
        <w:t> </w:t>
      </w:r>
      <w:r>
        <w:rPr>
          <w:sz w:val="18"/>
        </w:rPr>
        <w:t>Powai,</w:t>
      </w:r>
      <w:r>
        <w:rPr>
          <w:spacing w:val="-5"/>
          <w:sz w:val="18"/>
        </w:rPr>
        <w:t> </w:t>
      </w:r>
      <w:r>
        <w:rPr>
          <w:sz w:val="18"/>
        </w:rPr>
        <w:t>Vikhroli</w:t>
      </w:r>
      <w:r>
        <w:rPr>
          <w:spacing w:val="-4"/>
          <w:sz w:val="18"/>
        </w:rPr>
        <w:t> </w:t>
      </w:r>
      <w:r>
        <w:rPr>
          <w:sz w:val="18"/>
        </w:rPr>
        <w:t>and Kanjurmarg</w:t>
      </w:r>
      <w:r>
        <w:rPr>
          <w:spacing w:val="-3"/>
          <w:sz w:val="18"/>
        </w:rPr>
        <w:t> </w:t>
      </w:r>
      <w:r>
        <w:rPr>
          <w:sz w:val="18"/>
        </w:rPr>
        <w:t>etc.</w:t>
      </w:r>
    </w:p>
    <w:p>
      <w:pPr>
        <w:spacing w:line="321" w:lineRule="auto" w:before="124"/>
        <w:ind w:left="2361" w:right="577" w:firstLine="0"/>
        <w:jc w:val="both"/>
        <w:rPr>
          <w:sz w:val="18"/>
        </w:rPr>
      </w:pPr>
      <w:r>
        <w:rPr>
          <w:sz w:val="18"/>
        </w:rPr>
        <w:t>The</w:t>
      </w:r>
      <w:r>
        <w:rPr>
          <w:spacing w:val="-26"/>
          <w:sz w:val="18"/>
        </w:rPr>
        <w:t> </w:t>
      </w:r>
      <w:r>
        <w:rPr>
          <w:sz w:val="18"/>
        </w:rPr>
        <w:t>subject</w:t>
      </w:r>
      <w:r>
        <w:rPr>
          <w:spacing w:val="-26"/>
          <w:sz w:val="18"/>
        </w:rPr>
        <w:t> </w:t>
      </w:r>
      <w:r>
        <w:rPr>
          <w:sz w:val="18"/>
        </w:rPr>
        <w:t>property</w:t>
      </w:r>
      <w:r>
        <w:rPr>
          <w:spacing w:val="-26"/>
          <w:sz w:val="18"/>
        </w:rPr>
        <w:t> </w:t>
      </w:r>
      <w:r>
        <w:rPr>
          <w:sz w:val="18"/>
        </w:rPr>
        <w:t>is</w:t>
      </w:r>
      <w:r>
        <w:rPr>
          <w:spacing w:val="-25"/>
          <w:sz w:val="18"/>
        </w:rPr>
        <w:t> </w:t>
      </w:r>
      <w:r>
        <w:rPr>
          <w:sz w:val="18"/>
        </w:rPr>
        <w:t>located</w:t>
      </w:r>
      <w:r>
        <w:rPr>
          <w:spacing w:val="-27"/>
          <w:sz w:val="18"/>
        </w:rPr>
        <w:t> </w:t>
      </w:r>
      <w:r>
        <w:rPr>
          <w:sz w:val="18"/>
        </w:rPr>
        <w:t>at</w:t>
      </w:r>
      <w:r>
        <w:rPr>
          <w:spacing w:val="-26"/>
          <w:sz w:val="18"/>
        </w:rPr>
        <w:t> </w:t>
      </w:r>
      <w:r>
        <w:rPr>
          <w:sz w:val="18"/>
        </w:rPr>
        <w:t>approximately</w:t>
      </w:r>
      <w:r>
        <w:rPr>
          <w:spacing w:val="-26"/>
          <w:sz w:val="18"/>
        </w:rPr>
        <w:t> </w:t>
      </w:r>
      <w:r>
        <w:rPr>
          <w:sz w:val="18"/>
        </w:rPr>
        <w:t>28-30</w:t>
      </w:r>
      <w:r>
        <w:rPr>
          <w:spacing w:val="-27"/>
          <w:sz w:val="18"/>
        </w:rPr>
        <w:t> </w:t>
      </w:r>
      <w:r>
        <w:rPr>
          <w:sz w:val="18"/>
        </w:rPr>
        <w:t>km</w:t>
      </w:r>
      <w:r>
        <w:rPr>
          <w:spacing w:val="-25"/>
          <w:sz w:val="18"/>
        </w:rPr>
        <w:t> </w:t>
      </w:r>
      <w:r>
        <w:rPr>
          <w:sz w:val="18"/>
        </w:rPr>
        <w:t>from</w:t>
      </w:r>
      <w:r>
        <w:rPr>
          <w:spacing w:val="-25"/>
          <w:sz w:val="18"/>
        </w:rPr>
        <w:t> </w:t>
      </w:r>
      <w:r>
        <w:rPr>
          <w:sz w:val="18"/>
        </w:rPr>
        <w:t>the</w:t>
      </w:r>
      <w:r>
        <w:rPr>
          <w:spacing w:val="-26"/>
          <w:sz w:val="18"/>
        </w:rPr>
        <w:t> </w:t>
      </w:r>
      <w:r>
        <w:rPr>
          <w:sz w:val="18"/>
        </w:rPr>
        <w:t>Central</w:t>
      </w:r>
      <w:r>
        <w:rPr>
          <w:spacing w:val="-26"/>
          <w:sz w:val="18"/>
        </w:rPr>
        <w:t> </w:t>
      </w:r>
      <w:r>
        <w:rPr>
          <w:sz w:val="18"/>
        </w:rPr>
        <w:t>Business</w:t>
      </w:r>
      <w:r>
        <w:rPr>
          <w:spacing w:val="-25"/>
          <w:sz w:val="18"/>
        </w:rPr>
        <w:t> </w:t>
      </w:r>
      <w:r>
        <w:rPr>
          <w:sz w:val="18"/>
        </w:rPr>
        <w:t>District</w:t>
      </w:r>
      <w:r>
        <w:rPr>
          <w:spacing w:val="-26"/>
          <w:sz w:val="18"/>
        </w:rPr>
        <w:t> </w:t>
      </w:r>
      <w:r>
        <w:rPr>
          <w:sz w:val="18"/>
        </w:rPr>
        <w:t>of</w:t>
      </w:r>
      <w:r>
        <w:rPr>
          <w:spacing w:val="-26"/>
          <w:sz w:val="18"/>
        </w:rPr>
        <w:t> </w:t>
      </w:r>
      <w:r>
        <w:rPr>
          <w:sz w:val="18"/>
        </w:rPr>
        <w:t>Mumbai</w:t>
      </w:r>
      <w:r>
        <w:rPr>
          <w:spacing w:val="-26"/>
          <w:sz w:val="18"/>
        </w:rPr>
        <w:t> </w:t>
      </w:r>
      <w:r>
        <w:rPr>
          <w:sz w:val="18"/>
        </w:rPr>
        <w:t>(viz. Nariman</w:t>
      </w:r>
      <w:r>
        <w:rPr>
          <w:spacing w:val="-22"/>
          <w:sz w:val="18"/>
        </w:rPr>
        <w:t> </w:t>
      </w:r>
      <w:r>
        <w:rPr>
          <w:sz w:val="18"/>
        </w:rPr>
        <w:t>Point),</w:t>
      </w:r>
      <w:r>
        <w:rPr>
          <w:spacing w:val="-22"/>
          <w:sz w:val="18"/>
        </w:rPr>
        <w:t> </w:t>
      </w:r>
      <w:r>
        <w:rPr>
          <w:sz w:val="18"/>
        </w:rPr>
        <w:t>approximately</w:t>
      </w:r>
      <w:r>
        <w:rPr>
          <w:spacing w:val="-24"/>
          <w:sz w:val="18"/>
        </w:rPr>
        <w:t> </w:t>
      </w:r>
      <w:r>
        <w:rPr>
          <w:sz w:val="18"/>
        </w:rPr>
        <w:t>11-12</w:t>
      </w:r>
      <w:r>
        <w:rPr>
          <w:spacing w:val="-22"/>
          <w:sz w:val="18"/>
        </w:rPr>
        <w:t> </w:t>
      </w:r>
      <w:r>
        <w:rPr>
          <w:sz w:val="18"/>
        </w:rPr>
        <w:t>km</w:t>
      </w:r>
      <w:r>
        <w:rPr>
          <w:spacing w:val="-21"/>
          <w:sz w:val="18"/>
        </w:rPr>
        <w:t> </w:t>
      </w:r>
      <w:r>
        <w:rPr>
          <w:sz w:val="18"/>
        </w:rPr>
        <w:t>from</w:t>
      </w:r>
      <w:r>
        <w:rPr>
          <w:spacing w:val="-20"/>
          <w:sz w:val="18"/>
        </w:rPr>
        <w:t> </w:t>
      </w:r>
      <w:r>
        <w:rPr>
          <w:sz w:val="18"/>
        </w:rPr>
        <w:t>Domestic</w:t>
      </w:r>
      <w:r>
        <w:rPr>
          <w:spacing w:val="-22"/>
          <w:sz w:val="18"/>
        </w:rPr>
        <w:t> </w:t>
      </w:r>
      <w:r>
        <w:rPr>
          <w:sz w:val="18"/>
        </w:rPr>
        <w:t>Airport</w:t>
      </w:r>
      <w:r>
        <w:rPr>
          <w:spacing w:val="-22"/>
          <w:sz w:val="18"/>
        </w:rPr>
        <w:t> </w:t>
      </w:r>
      <w:r>
        <w:rPr>
          <w:sz w:val="18"/>
        </w:rPr>
        <w:t>terminal,</w:t>
      </w:r>
      <w:r>
        <w:rPr>
          <w:spacing w:val="-22"/>
          <w:sz w:val="18"/>
        </w:rPr>
        <w:t> </w:t>
      </w:r>
      <w:r>
        <w:rPr>
          <w:sz w:val="18"/>
        </w:rPr>
        <w:t>approximately</w:t>
      </w:r>
      <w:r>
        <w:rPr>
          <w:spacing w:val="-22"/>
          <w:sz w:val="18"/>
        </w:rPr>
        <w:t> </w:t>
      </w:r>
      <w:r>
        <w:rPr>
          <w:sz w:val="18"/>
        </w:rPr>
        <w:t>10-12</w:t>
      </w:r>
      <w:r>
        <w:rPr>
          <w:spacing w:val="-22"/>
          <w:sz w:val="18"/>
        </w:rPr>
        <w:t> </w:t>
      </w:r>
      <w:r>
        <w:rPr>
          <w:sz w:val="18"/>
        </w:rPr>
        <w:t>km</w:t>
      </w:r>
      <w:r>
        <w:rPr>
          <w:spacing w:val="-21"/>
          <w:sz w:val="18"/>
        </w:rPr>
        <w:t> </w:t>
      </w:r>
      <w:r>
        <w:rPr>
          <w:sz w:val="18"/>
        </w:rPr>
        <w:t>from</w:t>
      </w:r>
      <w:r>
        <w:rPr>
          <w:spacing w:val="-21"/>
          <w:sz w:val="18"/>
        </w:rPr>
        <w:t> </w:t>
      </w:r>
      <w:r>
        <w:rPr>
          <w:sz w:val="18"/>
        </w:rPr>
        <w:t>the Chhatrapati Shivaji International</w:t>
      </w:r>
      <w:r>
        <w:rPr>
          <w:spacing w:val="-11"/>
          <w:sz w:val="18"/>
        </w:rPr>
        <w:t> </w:t>
      </w:r>
      <w:r>
        <w:rPr>
          <w:sz w:val="18"/>
        </w:rPr>
        <w:t>Terminal.</w:t>
      </w:r>
    </w:p>
    <w:p>
      <w:pPr>
        <w:pStyle w:val="BodyText"/>
        <w:spacing w:before="10"/>
        <w:rPr>
          <w:sz w:val="11"/>
        </w:rPr>
      </w:pPr>
    </w:p>
    <w:p>
      <w:pPr>
        <w:spacing w:after="0"/>
        <w:rPr>
          <w:sz w:val="11"/>
        </w:rPr>
        <w:sectPr>
          <w:pgSz w:w="11910" w:h="16840"/>
          <w:pgMar w:header="720" w:footer="842" w:top="1520" w:bottom="1040" w:left="440" w:right="80"/>
        </w:sectPr>
      </w:pPr>
    </w:p>
    <w:p>
      <w:pPr>
        <w:spacing w:line="321" w:lineRule="auto" w:before="104"/>
        <w:ind w:left="495" w:right="-11" w:firstLine="0"/>
        <w:jc w:val="left"/>
        <w:rPr>
          <w:sz w:val="18"/>
        </w:rPr>
      </w:pPr>
      <w:r>
        <w:rPr>
          <w:color w:val="006A4D"/>
          <w:w w:val="95"/>
          <w:sz w:val="18"/>
        </w:rPr>
        <w:t>Statement of</w:t>
      </w:r>
      <w:r>
        <w:rPr>
          <w:color w:val="006A4D"/>
          <w:spacing w:val="-29"/>
          <w:w w:val="95"/>
          <w:sz w:val="18"/>
        </w:rPr>
        <w:t> </w:t>
      </w:r>
      <w:r>
        <w:rPr>
          <w:color w:val="006A4D"/>
          <w:w w:val="95"/>
          <w:sz w:val="18"/>
        </w:rPr>
        <w:t>Assets </w:t>
      </w:r>
      <w:r>
        <w:rPr>
          <w:color w:val="006A4D"/>
          <w:sz w:val="18"/>
        </w:rPr>
        <w:t>(sf):</w:t>
      </w:r>
    </w:p>
    <w:p>
      <w:pPr>
        <w:spacing w:line="321" w:lineRule="auto" w:before="104"/>
        <w:ind w:left="321" w:right="473" w:firstLine="0"/>
        <w:jc w:val="left"/>
        <w:rPr>
          <w:sz w:val="18"/>
        </w:rPr>
      </w:pPr>
      <w:r>
        <w:rPr/>
        <w:br w:type="column"/>
      </w:r>
      <w:r>
        <w:rPr>
          <w:sz w:val="18"/>
        </w:rPr>
        <w:t>Based</w:t>
      </w:r>
      <w:r>
        <w:rPr>
          <w:spacing w:val="-18"/>
          <w:sz w:val="18"/>
        </w:rPr>
        <w:t> </w:t>
      </w:r>
      <w:r>
        <w:rPr>
          <w:sz w:val="18"/>
        </w:rPr>
        <w:t>on</w:t>
      </w:r>
      <w:r>
        <w:rPr>
          <w:spacing w:val="-17"/>
          <w:sz w:val="18"/>
        </w:rPr>
        <w:t> </w:t>
      </w:r>
      <w:r>
        <w:rPr>
          <w:sz w:val="18"/>
        </w:rPr>
        <w:t>information</w:t>
      </w:r>
      <w:r>
        <w:rPr>
          <w:spacing w:val="-18"/>
          <w:sz w:val="18"/>
        </w:rPr>
        <w:t> </w:t>
      </w:r>
      <w:r>
        <w:rPr>
          <w:sz w:val="18"/>
        </w:rPr>
        <w:t>provided</w:t>
      </w:r>
      <w:r>
        <w:rPr>
          <w:spacing w:val="-18"/>
          <w:sz w:val="18"/>
        </w:rPr>
        <w:t> </w:t>
      </w:r>
      <w:r>
        <w:rPr>
          <w:sz w:val="18"/>
        </w:rPr>
        <w:t>by</w:t>
      </w:r>
      <w:r>
        <w:rPr>
          <w:spacing w:val="-18"/>
          <w:sz w:val="18"/>
        </w:rPr>
        <w:t> </w:t>
      </w:r>
      <w:r>
        <w:rPr>
          <w:sz w:val="18"/>
        </w:rPr>
        <w:t>the</w:t>
      </w:r>
      <w:r>
        <w:rPr>
          <w:spacing w:val="-17"/>
          <w:sz w:val="18"/>
        </w:rPr>
        <w:t> </w:t>
      </w:r>
      <w:r>
        <w:rPr>
          <w:sz w:val="18"/>
        </w:rPr>
        <w:t>Client,</w:t>
      </w:r>
      <w:r>
        <w:rPr>
          <w:spacing w:val="-18"/>
          <w:sz w:val="18"/>
        </w:rPr>
        <w:t> </w:t>
      </w:r>
      <w:r>
        <w:rPr>
          <w:sz w:val="18"/>
        </w:rPr>
        <w:t>the</w:t>
      </w:r>
      <w:r>
        <w:rPr>
          <w:spacing w:val="-16"/>
          <w:sz w:val="18"/>
        </w:rPr>
        <w:t> </w:t>
      </w:r>
      <w:r>
        <w:rPr>
          <w:sz w:val="18"/>
        </w:rPr>
        <w:t>total</w:t>
      </w:r>
      <w:r>
        <w:rPr>
          <w:spacing w:val="-19"/>
          <w:sz w:val="18"/>
        </w:rPr>
        <w:t> </w:t>
      </w:r>
      <w:r>
        <w:rPr>
          <w:sz w:val="18"/>
        </w:rPr>
        <w:t>completed</w:t>
      </w:r>
      <w:r>
        <w:rPr>
          <w:spacing w:val="-17"/>
          <w:sz w:val="18"/>
        </w:rPr>
        <w:t> </w:t>
      </w:r>
      <w:r>
        <w:rPr>
          <w:sz w:val="18"/>
        </w:rPr>
        <w:t>leasable</w:t>
      </w:r>
      <w:r>
        <w:rPr>
          <w:spacing w:val="-17"/>
          <w:sz w:val="18"/>
        </w:rPr>
        <w:t> </w:t>
      </w:r>
      <w:r>
        <w:rPr>
          <w:sz w:val="18"/>
        </w:rPr>
        <w:t>area</w:t>
      </w:r>
      <w:r>
        <w:rPr>
          <w:spacing w:val="-17"/>
          <w:sz w:val="18"/>
        </w:rPr>
        <w:t> </w:t>
      </w:r>
      <w:r>
        <w:rPr>
          <w:sz w:val="18"/>
        </w:rPr>
        <w:t>considered</w:t>
      </w:r>
      <w:r>
        <w:rPr>
          <w:spacing w:val="-18"/>
          <w:sz w:val="18"/>
        </w:rPr>
        <w:t> </w:t>
      </w:r>
      <w:r>
        <w:rPr>
          <w:sz w:val="18"/>
        </w:rPr>
        <w:t>for</w:t>
      </w:r>
      <w:r>
        <w:rPr>
          <w:spacing w:val="-18"/>
          <w:sz w:val="18"/>
        </w:rPr>
        <w:t> </w:t>
      </w:r>
      <w:r>
        <w:rPr>
          <w:sz w:val="18"/>
        </w:rPr>
        <w:t>the</w:t>
      </w:r>
      <w:r>
        <w:rPr>
          <w:spacing w:val="-16"/>
          <w:sz w:val="18"/>
        </w:rPr>
        <w:t> </w:t>
      </w:r>
      <w:r>
        <w:rPr>
          <w:sz w:val="18"/>
        </w:rPr>
        <w:t>purpose of</w:t>
      </w:r>
      <w:r>
        <w:rPr>
          <w:spacing w:val="-33"/>
          <w:sz w:val="18"/>
        </w:rPr>
        <w:t> </w:t>
      </w:r>
      <w:r>
        <w:rPr>
          <w:sz w:val="18"/>
        </w:rPr>
        <w:t>this</w:t>
      </w:r>
      <w:r>
        <w:rPr>
          <w:spacing w:val="-33"/>
          <w:sz w:val="18"/>
        </w:rPr>
        <w:t> </w:t>
      </w:r>
      <w:r>
        <w:rPr>
          <w:sz w:val="18"/>
        </w:rPr>
        <w:t>valuation</w:t>
      </w:r>
      <w:r>
        <w:rPr>
          <w:spacing w:val="-33"/>
          <w:sz w:val="18"/>
        </w:rPr>
        <w:t> </w:t>
      </w:r>
      <w:r>
        <w:rPr>
          <w:sz w:val="18"/>
        </w:rPr>
        <w:t>is</w:t>
      </w:r>
      <w:r>
        <w:rPr>
          <w:spacing w:val="-31"/>
          <w:sz w:val="18"/>
        </w:rPr>
        <w:t> </w:t>
      </w:r>
      <w:r>
        <w:rPr>
          <w:sz w:val="18"/>
        </w:rPr>
        <w:t>1,189,544</w:t>
      </w:r>
      <w:r>
        <w:rPr>
          <w:spacing w:val="-33"/>
          <w:sz w:val="18"/>
        </w:rPr>
        <w:t> </w:t>
      </w:r>
      <w:r>
        <w:rPr>
          <w:sz w:val="18"/>
        </w:rPr>
        <w:t>sf.</w:t>
      </w:r>
      <w:r>
        <w:rPr>
          <w:spacing w:val="-34"/>
          <w:sz w:val="18"/>
        </w:rPr>
        <w:t> </w:t>
      </w:r>
      <w:r>
        <w:rPr>
          <w:sz w:val="18"/>
        </w:rPr>
        <w:t>Table</w:t>
      </w:r>
      <w:r>
        <w:rPr>
          <w:spacing w:val="-33"/>
          <w:sz w:val="18"/>
        </w:rPr>
        <w:t> </w:t>
      </w:r>
      <w:r>
        <w:rPr>
          <w:sz w:val="18"/>
        </w:rPr>
        <w:t>below</w:t>
      </w:r>
      <w:r>
        <w:rPr>
          <w:spacing w:val="-32"/>
          <w:sz w:val="18"/>
        </w:rPr>
        <w:t> </w:t>
      </w:r>
      <w:r>
        <w:rPr>
          <w:sz w:val="18"/>
        </w:rPr>
        <w:t>highlights</w:t>
      </w:r>
      <w:r>
        <w:rPr>
          <w:spacing w:val="-34"/>
          <w:sz w:val="18"/>
        </w:rPr>
        <w:t> </w:t>
      </w:r>
      <w:r>
        <w:rPr>
          <w:sz w:val="18"/>
        </w:rPr>
        <w:t>the</w:t>
      </w:r>
      <w:r>
        <w:rPr>
          <w:spacing w:val="-33"/>
          <w:sz w:val="18"/>
        </w:rPr>
        <w:t> </w:t>
      </w:r>
      <w:r>
        <w:rPr>
          <w:sz w:val="18"/>
        </w:rPr>
        <w:t>leasable</w:t>
      </w:r>
      <w:r>
        <w:rPr>
          <w:spacing w:val="-34"/>
          <w:sz w:val="18"/>
        </w:rPr>
        <w:t> </w:t>
      </w:r>
      <w:r>
        <w:rPr>
          <w:sz w:val="18"/>
        </w:rPr>
        <w:t>area</w:t>
      </w:r>
      <w:r>
        <w:rPr>
          <w:spacing w:val="-32"/>
          <w:sz w:val="18"/>
        </w:rPr>
        <w:t> </w:t>
      </w:r>
      <w:r>
        <w:rPr>
          <w:sz w:val="18"/>
        </w:rPr>
        <w:t>details</w:t>
      </w:r>
      <w:r>
        <w:rPr>
          <w:spacing w:val="-33"/>
          <w:sz w:val="18"/>
        </w:rPr>
        <w:t> </w:t>
      </w:r>
      <w:r>
        <w:rPr>
          <w:sz w:val="18"/>
        </w:rPr>
        <w:t>for</w:t>
      </w:r>
      <w:r>
        <w:rPr>
          <w:spacing w:val="-33"/>
          <w:sz w:val="18"/>
        </w:rPr>
        <w:t> </w:t>
      </w:r>
      <w:r>
        <w:rPr>
          <w:sz w:val="18"/>
        </w:rPr>
        <w:t>the</w:t>
      </w:r>
      <w:r>
        <w:rPr>
          <w:spacing w:val="-33"/>
          <w:sz w:val="18"/>
        </w:rPr>
        <w:t> </w:t>
      </w:r>
      <w:r>
        <w:rPr>
          <w:sz w:val="18"/>
        </w:rPr>
        <w:t>subject</w:t>
      </w:r>
      <w:r>
        <w:rPr>
          <w:spacing w:val="-31"/>
          <w:sz w:val="18"/>
        </w:rPr>
        <w:t> </w:t>
      </w:r>
      <w:r>
        <w:rPr>
          <w:sz w:val="18"/>
        </w:rPr>
        <w:t>development:</w:t>
      </w:r>
    </w:p>
    <w:p>
      <w:pPr>
        <w:spacing w:after="0" w:line="321" w:lineRule="auto"/>
        <w:jc w:val="left"/>
        <w:rPr>
          <w:sz w:val="18"/>
        </w:rPr>
        <w:sectPr>
          <w:type w:val="continuous"/>
          <w:pgSz w:w="11910" w:h="16840"/>
          <w:pgMar w:top="800" w:bottom="280" w:left="440" w:right="80"/>
          <w:cols w:num="2" w:equalWidth="0">
            <w:col w:w="2000" w:space="40"/>
            <w:col w:w="9350"/>
          </w:cols>
        </w:sectPr>
      </w:pPr>
    </w:p>
    <w:p>
      <w:pPr>
        <w:pStyle w:val="BodyText"/>
        <w:spacing w:before="11"/>
        <w:rPr>
          <w:sz w:val="8"/>
        </w:rPr>
      </w:pPr>
    </w:p>
    <w:p>
      <w:pPr>
        <w:pStyle w:val="BodyText"/>
        <w:ind w:left="2346"/>
        <w:rPr>
          <w:sz w:val="20"/>
        </w:rPr>
      </w:pPr>
      <w:r>
        <w:rPr>
          <w:sz w:val="20"/>
        </w:rPr>
        <w:pict>
          <v:group style="width:423.1pt;height:18.5pt;mso-position-horizontal-relative:char;mso-position-vertical-relative:line" coordorigin="0,0" coordsize="8462,370">
            <v:shape style="position:absolute;left:14;top:31;width:8448;height:324" coordorigin="14,31" coordsize="8448,324" path="m5867,31l2799,31,14,31,14,355,2799,355,5867,355,5867,31xm8462,31l5867,31,5867,355,8462,355,8462,31xe" filled="true" fillcolor="#006a4d" stroked="false">
              <v:path arrowok="t"/>
              <v:fill type="solid"/>
            </v:shape>
            <v:rect style="position:absolute;left:14;top:0;width:2785;height:29" filled="true" fillcolor="#1f6b16" stroked="false">
              <v:fill type="solid"/>
            </v:rect>
            <v:shape style="position:absolute;left:14;top:28;width:2814;height:3" coordorigin="14,29" coordsize="2814,3" path="m2828,29l2799,29,14,29,14,31,2799,31,2828,31,2828,29xe" filled="true" fillcolor="#006a4d" stroked="false">
              <v:path arrowok="t"/>
              <v:fill type="solid"/>
            </v:shape>
            <v:shape style="position:absolute;left:2799;top:0;width:3068;height:29" coordorigin="2799,0" coordsize="3068,29" path="m5867,0l2828,0,2799,0,2799,29,2828,29,5867,29,5867,0xe" filled="true" fillcolor="#1f6b16" stroked="false">
              <v:path arrowok="t"/>
              <v:fill type="solid"/>
            </v:shape>
            <v:shape style="position:absolute;left:2828;top:28;width:3068;height:3" coordorigin="2828,29" coordsize="3068,3" path="m5867,29l2828,29,2828,31,5867,31,5867,29xm5896,29l5867,29,5867,31,5896,31,5896,29xe" filled="true" fillcolor="#006a4d" stroked="false">
              <v:path arrowok="t"/>
              <v:fill type="solid"/>
            </v:shape>
            <v:shape style="position:absolute;left:5867;top:0;width:2595;height:29" coordorigin="5867,0" coordsize="2595,29" path="m8462,0l5896,0,5867,0,5867,29,5896,29,8462,29,8462,0xe" filled="true" fillcolor="#1f6b16" stroked="false">
              <v:path arrowok="t"/>
              <v:fill type="solid"/>
            </v:shape>
            <v:rect style="position:absolute;left:5896;top:28;width:2566;height:3" filled="true" fillcolor="#006a4d" stroked="false">
              <v:fill type="solid"/>
            </v:rect>
            <v:shape style="position:absolute;left:14;top:355;width:8448;height:15" coordorigin="14,355" coordsize="8448,15" path="m5867,355l2814,355,2799,355,14,355,14,370,2799,370,2814,370,5867,370,5867,355xm8462,355l5882,355,5867,355,5867,370,5882,370,8462,370,8462,355xe" filled="true" fillcolor="#69bd28" stroked="false">
              <v:path arrowok="t"/>
              <v:fill type="solid"/>
            </v:shape>
            <v:shape style="position:absolute;left:0;top:28;width:8462;height:327" type="#_x0000_t202" filled="false" stroked="false">
              <v:textbox inset="0,0,0,0">
                <w:txbxContent>
                  <w:p>
                    <w:pPr>
                      <w:tabs>
                        <w:tab w:pos="3507" w:val="left" w:leader="none"/>
                        <w:tab w:pos="5987" w:val="left" w:leader="none"/>
                      </w:tabs>
                      <w:spacing w:before="61"/>
                      <w:ind w:left="963" w:right="0" w:firstLine="0"/>
                      <w:jc w:val="left"/>
                      <w:rPr>
                        <w:b/>
                        <w:sz w:val="18"/>
                      </w:rPr>
                    </w:pPr>
                    <w:r>
                      <w:rPr>
                        <w:b/>
                        <w:color w:val="FFFFFF"/>
                        <w:w w:val="105"/>
                        <w:sz w:val="18"/>
                      </w:rPr>
                      <w:t>Particular</w:t>
                      <w:tab/>
                      <w:t>Leasable</w:t>
                    </w:r>
                    <w:r>
                      <w:rPr>
                        <w:b/>
                        <w:color w:val="FFFFFF"/>
                        <w:spacing w:val="13"/>
                        <w:w w:val="105"/>
                        <w:sz w:val="18"/>
                      </w:rPr>
                      <w:t> </w:t>
                    </w:r>
                    <w:r>
                      <w:rPr>
                        <w:b/>
                        <w:color w:val="FFFFFF"/>
                        <w:w w:val="105"/>
                        <w:sz w:val="18"/>
                      </w:rPr>
                      <w:t>Area</w:t>
                    </w:r>
                    <w:r>
                      <w:rPr>
                        <w:b/>
                        <w:color w:val="FFFFFF"/>
                        <w:spacing w:val="17"/>
                        <w:w w:val="105"/>
                        <w:sz w:val="18"/>
                      </w:rPr>
                      <w:t> </w:t>
                    </w:r>
                    <w:r>
                      <w:rPr>
                        <w:b/>
                        <w:color w:val="FFFFFF"/>
                        <w:w w:val="105"/>
                        <w:sz w:val="18"/>
                      </w:rPr>
                      <w:t>(sf)</w:t>
                      <w:tab/>
                      <w:t>Committed Occupancy</w:t>
                    </w:r>
                    <w:r>
                      <w:rPr>
                        <w:b/>
                        <w:color w:val="FFFFFF"/>
                        <w:spacing w:val="19"/>
                        <w:w w:val="105"/>
                        <w:sz w:val="18"/>
                      </w:rPr>
                      <w:t> </w:t>
                    </w:r>
                    <w:r>
                      <w:rPr>
                        <w:b/>
                        <w:color w:val="FFFFFF"/>
                        <w:w w:val="105"/>
                        <w:sz w:val="18"/>
                      </w:rPr>
                      <w:t>(%)</w:t>
                    </w:r>
                  </w:p>
                </w:txbxContent>
              </v:textbox>
              <w10:wrap type="none"/>
            </v:shape>
          </v:group>
        </w:pict>
      </w:r>
      <w:r>
        <w:rPr>
          <w:sz w:val="20"/>
        </w:rPr>
      </w:r>
    </w:p>
    <w:p>
      <w:pPr>
        <w:spacing w:after="0"/>
        <w:rPr>
          <w:sz w:val="20"/>
        </w:rPr>
        <w:sectPr>
          <w:type w:val="continuous"/>
          <w:pgSz w:w="11910" w:h="16840"/>
          <w:pgMar w:top="800" w:bottom="280" w:left="440" w:right="80"/>
        </w:sectPr>
      </w:pPr>
    </w:p>
    <w:p>
      <w:pPr>
        <w:pStyle w:val="BodyText"/>
      </w:pPr>
    </w:p>
    <w:p>
      <w:pPr>
        <w:pStyle w:val="BodyText"/>
      </w:pPr>
    </w:p>
    <w:p>
      <w:pPr>
        <w:pStyle w:val="BodyText"/>
      </w:pPr>
    </w:p>
    <w:p>
      <w:pPr>
        <w:pStyle w:val="BodyText"/>
      </w:pPr>
    </w:p>
    <w:p>
      <w:pPr>
        <w:pStyle w:val="BodyText"/>
      </w:pPr>
    </w:p>
    <w:p>
      <w:pPr>
        <w:pStyle w:val="BodyText"/>
        <w:spacing w:before="10"/>
      </w:pPr>
    </w:p>
    <w:p>
      <w:pPr>
        <w:spacing w:line="321" w:lineRule="auto" w:before="0"/>
        <w:ind w:left="495" w:right="21" w:firstLine="0"/>
        <w:jc w:val="left"/>
        <w:rPr>
          <w:sz w:val="18"/>
        </w:rPr>
      </w:pPr>
      <w:r>
        <w:rPr>
          <w:color w:val="006A4D"/>
          <w:sz w:val="18"/>
        </w:rPr>
        <w:t>Valuation Approaches:</w:t>
      </w:r>
    </w:p>
    <w:p>
      <w:pPr>
        <w:tabs>
          <w:tab w:pos="4473" w:val="left" w:leader="none"/>
          <w:tab w:pos="7477" w:val="left" w:leader="none"/>
        </w:tabs>
        <w:spacing w:line="187" w:lineRule="exact" w:before="0"/>
        <w:ind w:left="1266" w:right="0" w:firstLine="0"/>
        <w:jc w:val="left"/>
        <w:rPr>
          <w:sz w:val="18"/>
        </w:rPr>
      </w:pPr>
      <w:r>
        <w:rPr/>
        <w:br w:type="column"/>
      </w:r>
      <w:r>
        <w:rPr>
          <w:w w:val="105"/>
          <w:sz w:val="18"/>
        </w:rPr>
        <w:t>Completed</w:t>
      </w:r>
      <w:r>
        <w:rPr>
          <w:spacing w:val="-38"/>
          <w:w w:val="105"/>
          <w:sz w:val="18"/>
        </w:rPr>
        <w:t> </w:t>
      </w:r>
      <w:r>
        <w:rPr>
          <w:w w:val="105"/>
          <w:sz w:val="18"/>
        </w:rPr>
        <w:t>Blocks</w:t>
        <w:tab/>
        <w:t>1,189,544</w:t>
        <w:tab/>
        <w:t>93.2%</w:t>
      </w:r>
    </w:p>
    <w:p>
      <w:pPr>
        <w:pStyle w:val="BodyText"/>
        <w:spacing w:line="20" w:lineRule="exact"/>
        <w:ind w:left="580"/>
        <w:rPr>
          <w:sz w:val="2"/>
        </w:rPr>
      </w:pPr>
      <w:r>
        <w:rPr>
          <w:sz w:val="2"/>
        </w:rPr>
        <w:pict>
          <v:group style="width:422.4pt;height:.75pt;mso-position-horizontal-relative:char;mso-position-vertical-relative:line" coordorigin="0,0" coordsize="8448,15">
            <v:shape style="position:absolute;left:0;top:0;width:8448;height:15" coordorigin="0,0" coordsize="8448,15" path="m5853,0l2799,0,2785,0,0,0,0,14,2785,14,2799,14,5853,14,5853,0xm8448,0l5867,0,5853,0,5853,14,5867,14,8448,14,8448,0xe" filled="true" fillcolor="#69bd28" stroked="false">
              <v:path arrowok="t"/>
              <v:fill type="solid"/>
            </v:shape>
          </v:group>
        </w:pict>
      </w:r>
      <w:r>
        <w:rPr>
          <w:sz w:val="2"/>
        </w:rPr>
      </w:r>
    </w:p>
    <w:p>
      <w:pPr>
        <w:tabs>
          <w:tab w:pos="4864" w:val="left" w:leader="none"/>
          <w:tab w:pos="7604" w:val="left" w:leader="none"/>
        </w:tabs>
        <w:spacing w:before="8"/>
        <w:ind w:left="935" w:right="0" w:firstLine="0"/>
        <w:jc w:val="left"/>
        <w:rPr>
          <w:sz w:val="18"/>
        </w:rPr>
      </w:pPr>
      <w:r>
        <w:rPr>
          <w:sz w:val="18"/>
        </w:rPr>
        <w:t>Under</w:t>
      </w:r>
      <w:r>
        <w:rPr>
          <w:spacing w:val="-16"/>
          <w:sz w:val="18"/>
        </w:rPr>
        <w:t> </w:t>
      </w:r>
      <w:r>
        <w:rPr>
          <w:sz w:val="18"/>
        </w:rPr>
        <w:t>Construction</w:t>
      </w:r>
      <w:r>
        <w:rPr>
          <w:spacing w:val="-15"/>
          <w:sz w:val="18"/>
        </w:rPr>
        <w:t> </w:t>
      </w:r>
      <w:r>
        <w:rPr>
          <w:sz w:val="18"/>
        </w:rPr>
        <w:t>Blocks</w:t>
        <w:tab/>
        <w:t>-</w:t>
        <w:tab/>
        <w:t>NA</w:t>
      </w:r>
    </w:p>
    <w:p>
      <w:pPr>
        <w:pStyle w:val="BodyText"/>
        <w:spacing w:line="20" w:lineRule="exact"/>
        <w:ind w:left="580"/>
        <w:rPr>
          <w:sz w:val="2"/>
        </w:rPr>
      </w:pPr>
      <w:r>
        <w:rPr>
          <w:sz w:val="2"/>
        </w:rPr>
        <w:pict>
          <v:group style="width:422.4pt;height:.75pt;mso-position-horizontal-relative:char;mso-position-vertical-relative:line" coordorigin="0,0" coordsize="8448,15">
            <v:shape style="position:absolute;left:0;top:0;width:8448;height:15" coordorigin="0,0" coordsize="8448,15" path="m5853,0l2799,0,2785,0,0,0,0,14,2785,14,2799,14,5853,14,5853,0xm8448,0l5867,0,5853,0,5853,14,5867,14,8448,14,8448,0xe" filled="true" fillcolor="#69bd28" stroked="false">
              <v:path arrowok="t"/>
              <v:fill type="solid"/>
            </v:shape>
          </v:group>
        </w:pict>
      </w:r>
      <w:r>
        <w:rPr>
          <w:sz w:val="2"/>
        </w:rPr>
      </w:r>
    </w:p>
    <w:p>
      <w:pPr>
        <w:tabs>
          <w:tab w:pos="4473" w:val="left" w:leader="none"/>
          <w:tab w:pos="4864" w:val="left" w:leader="none"/>
          <w:tab w:pos="7604" w:val="left" w:leader="none"/>
        </w:tabs>
        <w:spacing w:line="273" w:lineRule="auto" w:before="6"/>
        <w:ind w:left="1778" w:right="1749" w:hanging="444"/>
        <w:jc w:val="left"/>
        <w:rPr>
          <w:sz w:val="18"/>
        </w:rPr>
      </w:pPr>
      <w:r>
        <w:rPr/>
        <w:pict>
          <v:shape style="position:absolute;margin-left:140.060013pt;margin-top:11.15067pt;width:422.4pt;height:.75pt;mso-position-horizontal-relative:page;mso-position-vertical-relative:paragraph;z-index:-34787328" coordorigin="2801,223" coordsize="8448,15" path="m8654,223l5601,223,5586,223,2801,223,2801,237,5586,237,5601,237,8654,237,8654,223xm11249,223l8668,223,8654,223,8654,237,8668,237,11249,237,11249,223xe" filled="true" fillcolor="#69bd28" stroked="false">
            <v:path arrowok="t"/>
            <v:fill type="solid"/>
            <w10:wrap type="none"/>
          </v:shape>
        </w:pict>
      </w:r>
      <w:r>
        <w:rPr/>
        <w:pict>
          <v:rect style="position:absolute;margin-left:139.340012pt;margin-top:23.03067pt;width:423.10002pt;height:.72pt;mso-position-horizontal-relative:page;mso-position-vertical-relative:paragraph;z-index:15841280" filled="true" fillcolor="#69bd28" stroked="false">
            <v:fill type="solid"/>
            <w10:wrap type="none"/>
          </v:rect>
        </w:pict>
      </w:r>
      <w:r>
        <w:rPr>
          <w:sz w:val="18"/>
        </w:rPr>
        <w:t>Proposed</w:t>
      </w:r>
      <w:r>
        <w:rPr>
          <w:spacing w:val="-11"/>
          <w:sz w:val="18"/>
        </w:rPr>
        <w:t> </w:t>
      </w:r>
      <w:r>
        <w:rPr>
          <w:sz w:val="18"/>
        </w:rPr>
        <w:t>Blocks</w:t>
        <w:tab/>
        <w:tab/>
        <w:t>-</w:t>
        <w:tab/>
      </w:r>
      <w:r>
        <w:rPr>
          <w:spacing w:val="-9"/>
          <w:sz w:val="18"/>
        </w:rPr>
        <w:t>NA </w:t>
      </w:r>
      <w:r>
        <w:rPr>
          <w:sz w:val="18"/>
        </w:rPr>
        <w:t>Total</w:t>
        <w:tab/>
        <w:t>1,189,544</w:t>
      </w:r>
    </w:p>
    <w:p>
      <w:pPr>
        <w:spacing w:before="116"/>
        <w:ind w:left="579" w:right="0" w:firstLine="0"/>
        <w:jc w:val="left"/>
        <w:rPr>
          <w:i/>
          <w:sz w:val="16"/>
        </w:rPr>
      </w:pPr>
      <w:r>
        <w:rPr/>
        <w:pict>
          <v:shape style="position:absolute;margin-left:135.860001pt;margin-top:24.5917pt;width:405.6pt;height:58.6pt;mso-position-horizontal-relative:page;mso-position-vertical-relative:paragraph;z-index:1584179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46"/>
                    <w:gridCol w:w="4566"/>
                  </w:tblGrid>
                  <w:tr>
                    <w:trPr>
                      <w:trHeight w:val="455" w:hRule="atLeast"/>
                    </w:trPr>
                    <w:tc>
                      <w:tcPr>
                        <w:tcW w:w="8112" w:type="dxa"/>
                        <w:gridSpan w:val="2"/>
                        <w:tcBorders>
                          <w:top w:val="single" w:sz="6" w:space="0" w:color="69BD28"/>
                        </w:tcBorders>
                        <w:shd w:val="clear" w:color="auto" w:fill="006A4D"/>
                      </w:tcPr>
                      <w:p>
                        <w:pPr>
                          <w:pStyle w:val="TableParagraph"/>
                          <w:tabs>
                            <w:tab w:pos="5027" w:val="left" w:leader="none"/>
                          </w:tabs>
                          <w:spacing w:before="123"/>
                          <w:ind w:left="862"/>
                          <w:jc w:val="left"/>
                          <w:rPr>
                            <w:b/>
                            <w:sz w:val="18"/>
                          </w:rPr>
                        </w:pPr>
                        <w:r>
                          <w:rPr>
                            <w:b/>
                            <w:color w:val="FFFFFF"/>
                            <w:w w:val="110"/>
                            <w:sz w:val="18"/>
                          </w:rPr>
                          <w:t>Valuation Approach</w:t>
                          <w:tab/>
                          <w:t>Completed</w:t>
                        </w:r>
                        <w:r>
                          <w:rPr>
                            <w:b/>
                            <w:color w:val="FFFFFF"/>
                            <w:spacing w:val="-5"/>
                            <w:w w:val="110"/>
                            <w:sz w:val="18"/>
                          </w:rPr>
                          <w:t> </w:t>
                        </w:r>
                        <w:r>
                          <w:rPr>
                            <w:b/>
                            <w:color w:val="FFFFFF"/>
                            <w:w w:val="110"/>
                            <w:sz w:val="18"/>
                          </w:rPr>
                          <w:t>Blocks</w:t>
                        </w:r>
                      </w:p>
                    </w:tc>
                  </w:tr>
                  <w:tr>
                    <w:trPr>
                      <w:trHeight w:val="671" w:hRule="atLeast"/>
                    </w:trPr>
                    <w:tc>
                      <w:tcPr>
                        <w:tcW w:w="3546" w:type="dxa"/>
                        <w:shd w:val="clear" w:color="auto" w:fill="69BD28"/>
                      </w:tcPr>
                      <w:p>
                        <w:pPr>
                          <w:pStyle w:val="TableParagraph"/>
                          <w:spacing w:before="10"/>
                          <w:jc w:val="left"/>
                          <w:rPr>
                            <w:sz w:val="19"/>
                          </w:rPr>
                        </w:pPr>
                      </w:p>
                      <w:p>
                        <w:pPr>
                          <w:pStyle w:val="TableParagraph"/>
                          <w:spacing w:before="1"/>
                          <w:ind w:left="960"/>
                          <w:jc w:val="left"/>
                          <w:rPr>
                            <w:b/>
                            <w:sz w:val="18"/>
                          </w:rPr>
                        </w:pPr>
                        <w:r>
                          <w:rPr>
                            <w:b/>
                            <w:color w:val="FFFFFF"/>
                            <w:w w:val="105"/>
                            <w:sz w:val="18"/>
                          </w:rPr>
                          <w:t>Office Component</w:t>
                        </w:r>
                      </w:p>
                    </w:tc>
                    <w:tc>
                      <w:tcPr>
                        <w:tcW w:w="4566" w:type="dxa"/>
                        <w:tcBorders>
                          <w:top w:val="single" w:sz="6" w:space="0" w:color="69BD28"/>
                          <w:bottom w:val="single" w:sz="6" w:space="0" w:color="69BD28"/>
                        </w:tcBorders>
                      </w:tcPr>
                      <w:p>
                        <w:pPr>
                          <w:pStyle w:val="TableParagraph"/>
                          <w:spacing w:line="247" w:lineRule="auto" w:before="123"/>
                          <w:ind w:left="1879" w:right="171" w:hanging="1619"/>
                          <w:jc w:val="left"/>
                          <w:rPr>
                            <w:sz w:val="18"/>
                          </w:rPr>
                        </w:pPr>
                        <w:r>
                          <w:rPr>
                            <w:sz w:val="18"/>
                          </w:rPr>
                          <w:t>Discounted Cash Flow Method (using rent reversion approach)</w:t>
                        </w:r>
                      </w:p>
                    </w:tc>
                  </w:tr>
                </w:tbl>
                <w:p>
                  <w:pPr>
                    <w:pStyle w:val="BodyText"/>
                  </w:pPr>
                </w:p>
              </w:txbxContent>
            </v:textbox>
            <w10:wrap type="none"/>
          </v:shape>
        </w:pict>
      </w:r>
      <w:r>
        <w:rPr>
          <w:i/>
          <w:sz w:val="16"/>
        </w:rPr>
        <w:t>Source: Architect certificate, Rent roll, lease deeds</w:t>
      </w:r>
    </w:p>
    <w:p>
      <w:pPr>
        <w:spacing w:after="0"/>
        <w:jc w:val="left"/>
        <w:rPr>
          <w:sz w:val="16"/>
        </w:rPr>
        <w:sectPr>
          <w:type w:val="continuous"/>
          <w:pgSz w:w="11910" w:h="16840"/>
          <w:pgMar w:top="800" w:bottom="280" w:left="440" w:right="80"/>
          <w:cols w:num="2" w:equalWidth="0">
            <w:col w:w="1529" w:space="253"/>
            <w:col w:w="9608"/>
          </w:cols>
        </w:sectPr>
      </w:pPr>
    </w:p>
    <w:p>
      <w:pPr>
        <w:pStyle w:val="BodyText"/>
        <w:rPr>
          <w:i/>
          <w:sz w:val="20"/>
        </w:rPr>
      </w:pPr>
    </w:p>
    <w:p>
      <w:pPr>
        <w:pStyle w:val="BodyText"/>
        <w:spacing w:before="8"/>
        <w:rPr>
          <w:i/>
          <w:sz w:val="24"/>
        </w:rPr>
      </w:pPr>
    </w:p>
    <w:p>
      <w:pPr>
        <w:tabs>
          <w:tab w:pos="2277" w:val="left" w:leader="none"/>
        </w:tabs>
        <w:spacing w:before="105"/>
        <w:ind w:left="495" w:right="0" w:firstLine="0"/>
        <w:jc w:val="left"/>
        <w:rPr>
          <w:sz w:val="18"/>
        </w:rPr>
      </w:pPr>
      <w:r>
        <w:rPr>
          <w:color w:val="006A4D"/>
          <w:sz w:val="18"/>
        </w:rPr>
        <w:t>Date</w:t>
      </w:r>
      <w:r>
        <w:rPr>
          <w:color w:val="006A4D"/>
          <w:spacing w:val="-14"/>
          <w:sz w:val="18"/>
        </w:rPr>
        <w:t> </w:t>
      </w:r>
      <w:r>
        <w:rPr>
          <w:color w:val="006A4D"/>
          <w:sz w:val="18"/>
        </w:rPr>
        <w:t>of</w:t>
      </w:r>
      <w:r>
        <w:rPr>
          <w:color w:val="006A4D"/>
          <w:spacing w:val="-13"/>
          <w:sz w:val="18"/>
        </w:rPr>
        <w:t> </w:t>
      </w:r>
      <w:r>
        <w:rPr>
          <w:color w:val="006A4D"/>
          <w:sz w:val="18"/>
        </w:rPr>
        <w:t>Valuation:</w:t>
        <w:tab/>
      </w:r>
      <w:r>
        <w:rPr>
          <w:sz w:val="18"/>
        </w:rPr>
        <w:t>March 31,</w:t>
      </w:r>
      <w:r>
        <w:rPr>
          <w:spacing w:val="-2"/>
          <w:sz w:val="18"/>
        </w:rPr>
        <w:t> </w:t>
      </w:r>
      <w:r>
        <w:rPr>
          <w:sz w:val="18"/>
        </w:rPr>
        <w:t>2020</w:t>
      </w:r>
    </w:p>
    <w:p>
      <w:pPr>
        <w:pStyle w:val="BodyText"/>
        <w:spacing w:before="7"/>
        <w:rPr>
          <w:sz w:val="27"/>
        </w:rPr>
      </w:pPr>
    </w:p>
    <w:p>
      <w:pPr>
        <w:spacing w:line="321" w:lineRule="auto" w:before="1"/>
        <w:ind w:left="2277" w:right="396" w:hanging="1782"/>
        <w:jc w:val="both"/>
        <w:rPr>
          <w:sz w:val="18"/>
        </w:rPr>
      </w:pPr>
      <w:r>
        <w:rPr>
          <w:color w:val="006A4D"/>
          <w:sz w:val="18"/>
        </w:rPr>
        <w:t>Date of Inspection: </w:t>
      </w:r>
      <w:r>
        <w:rPr>
          <w:sz w:val="18"/>
        </w:rPr>
        <w:t>Not Applicable. Due to the outbreak of Novel Coronavirus (COVID-19), declared by the World health Organisation as a “Global Pandemic” on 11</w:t>
      </w:r>
      <w:r>
        <w:rPr>
          <w:position w:val="6"/>
          <w:sz w:val="11"/>
        </w:rPr>
        <w:t>th </w:t>
      </w:r>
      <w:r>
        <w:rPr>
          <w:sz w:val="18"/>
        </w:rPr>
        <w:t>March 2020, it has not been possible to carry out a formal inspection</w:t>
      </w:r>
      <w:r>
        <w:rPr>
          <w:spacing w:val="-39"/>
          <w:sz w:val="18"/>
        </w:rPr>
        <w:t> </w:t>
      </w:r>
      <w:r>
        <w:rPr>
          <w:sz w:val="18"/>
        </w:rPr>
        <w:t>of</w:t>
      </w:r>
      <w:r>
        <w:rPr>
          <w:spacing w:val="-38"/>
          <w:sz w:val="18"/>
        </w:rPr>
        <w:t> </w:t>
      </w:r>
      <w:r>
        <w:rPr>
          <w:sz w:val="18"/>
        </w:rPr>
        <w:t>the</w:t>
      </w:r>
      <w:r>
        <w:rPr>
          <w:spacing w:val="-39"/>
          <w:sz w:val="18"/>
        </w:rPr>
        <w:t> </w:t>
      </w:r>
      <w:r>
        <w:rPr>
          <w:sz w:val="18"/>
        </w:rPr>
        <w:t>property</w:t>
      </w:r>
      <w:r>
        <w:rPr>
          <w:spacing w:val="-37"/>
          <w:sz w:val="18"/>
        </w:rPr>
        <w:t> </w:t>
      </w:r>
      <w:r>
        <w:rPr>
          <w:sz w:val="18"/>
        </w:rPr>
        <w:t>for</w:t>
      </w:r>
      <w:r>
        <w:rPr>
          <w:spacing w:val="-38"/>
          <w:sz w:val="18"/>
        </w:rPr>
        <w:t> </w:t>
      </w:r>
      <w:r>
        <w:rPr>
          <w:sz w:val="18"/>
        </w:rPr>
        <w:t>the</w:t>
      </w:r>
      <w:r>
        <w:rPr>
          <w:spacing w:val="-38"/>
          <w:sz w:val="18"/>
        </w:rPr>
        <w:t> </w:t>
      </w:r>
      <w:r>
        <w:rPr>
          <w:sz w:val="18"/>
        </w:rPr>
        <w:t>current</w:t>
      </w:r>
      <w:r>
        <w:rPr>
          <w:spacing w:val="-38"/>
          <w:sz w:val="18"/>
        </w:rPr>
        <w:t> </w:t>
      </w:r>
      <w:r>
        <w:rPr>
          <w:sz w:val="18"/>
        </w:rPr>
        <w:t>update.</w:t>
      </w:r>
      <w:r>
        <w:rPr>
          <w:spacing w:val="-38"/>
          <w:sz w:val="18"/>
        </w:rPr>
        <w:t> </w:t>
      </w:r>
      <w:r>
        <w:rPr>
          <w:sz w:val="18"/>
        </w:rPr>
        <w:t>The</w:t>
      </w:r>
      <w:r>
        <w:rPr>
          <w:spacing w:val="-38"/>
          <w:sz w:val="18"/>
        </w:rPr>
        <w:t> </w:t>
      </w:r>
      <w:r>
        <w:rPr>
          <w:sz w:val="18"/>
        </w:rPr>
        <w:t>site</w:t>
      </w:r>
      <w:r>
        <w:rPr>
          <w:spacing w:val="-38"/>
          <w:sz w:val="18"/>
        </w:rPr>
        <w:t> </w:t>
      </w:r>
      <w:r>
        <w:rPr>
          <w:sz w:val="18"/>
        </w:rPr>
        <w:t>observation,</w:t>
      </w:r>
      <w:r>
        <w:rPr>
          <w:spacing w:val="-38"/>
          <w:sz w:val="18"/>
        </w:rPr>
        <w:t> </w:t>
      </w:r>
      <w:r>
        <w:rPr>
          <w:sz w:val="18"/>
        </w:rPr>
        <w:t>details</w:t>
      </w:r>
      <w:r>
        <w:rPr>
          <w:spacing w:val="-38"/>
          <w:sz w:val="18"/>
        </w:rPr>
        <w:t> </w:t>
      </w:r>
      <w:r>
        <w:rPr>
          <w:sz w:val="18"/>
        </w:rPr>
        <w:t>and</w:t>
      </w:r>
      <w:r>
        <w:rPr>
          <w:spacing w:val="-38"/>
          <w:sz w:val="18"/>
        </w:rPr>
        <w:t> </w:t>
      </w:r>
      <w:r>
        <w:rPr>
          <w:sz w:val="18"/>
        </w:rPr>
        <w:t>pictures</w:t>
      </w:r>
      <w:r>
        <w:rPr>
          <w:spacing w:val="-39"/>
          <w:sz w:val="18"/>
        </w:rPr>
        <w:t> </w:t>
      </w:r>
      <w:r>
        <w:rPr>
          <w:sz w:val="18"/>
        </w:rPr>
        <w:t>are</w:t>
      </w:r>
      <w:r>
        <w:rPr>
          <w:spacing w:val="-38"/>
          <w:sz w:val="18"/>
        </w:rPr>
        <w:t> </w:t>
      </w:r>
      <w:r>
        <w:rPr>
          <w:sz w:val="18"/>
        </w:rPr>
        <w:t>as</w:t>
      </w:r>
      <w:r>
        <w:rPr>
          <w:spacing w:val="-38"/>
          <w:sz w:val="18"/>
        </w:rPr>
        <w:t> </w:t>
      </w:r>
      <w:r>
        <w:rPr>
          <w:sz w:val="18"/>
        </w:rPr>
        <w:t>per</w:t>
      </w:r>
      <w:r>
        <w:rPr>
          <w:spacing w:val="-38"/>
          <w:sz w:val="18"/>
        </w:rPr>
        <w:t> </w:t>
      </w:r>
      <w:r>
        <w:rPr>
          <w:sz w:val="18"/>
        </w:rPr>
        <w:t>the</w:t>
      </w:r>
      <w:r>
        <w:rPr>
          <w:spacing w:val="-39"/>
          <w:sz w:val="18"/>
        </w:rPr>
        <w:t> </w:t>
      </w:r>
      <w:r>
        <w:rPr>
          <w:sz w:val="18"/>
        </w:rPr>
        <w:t>previous site visit undertaken/ as provided by the</w:t>
      </w:r>
      <w:r>
        <w:rPr>
          <w:spacing w:val="-26"/>
          <w:sz w:val="18"/>
        </w:rPr>
        <w:t> </w:t>
      </w:r>
      <w:r>
        <w:rPr>
          <w:sz w:val="18"/>
        </w:rPr>
        <w:t>Client</w:t>
      </w:r>
    </w:p>
    <w:p>
      <w:pPr>
        <w:pStyle w:val="BodyText"/>
        <w:spacing w:before="6"/>
        <w:rPr>
          <w:sz w:val="12"/>
        </w:rPr>
      </w:pPr>
    </w:p>
    <w:p>
      <w:pPr>
        <w:spacing w:after="0"/>
        <w:rPr>
          <w:sz w:val="12"/>
        </w:rPr>
        <w:sectPr>
          <w:type w:val="continuous"/>
          <w:pgSz w:w="11910" w:h="16840"/>
          <w:pgMar w:top="800" w:bottom="280" w:left="440" w:right="80"/>
        </w:sectPr>
      </w:pPr>
    </w:p>
    <w:p>
      <w:pPr>
        <w:spacing w:line="321" w:lineRule="auto" w:before="104"/>
        <w:ind w:left="495" w:right="-12" w:firstLine="0"/>
        <w:jc w:val="left"/>
        <w:rPr>
          <w:sz w:val="18"/>
        </w:rPr>
      </w:pPr>
      <w:r>
        <w:rPr>
          <w:color w:val="006A4D"/>
          <w:sz w:val="18"/>
        </w:rPr>
        <w:t>Purchase</w:t>
      </w:r>
      <w:r>
        <w:rPr>
          <w:color w:val="006A4D"/>
          <w:spacing w:val="-34"/>
          <w:sz w:val="18"/>
        </w:rPr>
        <w:t> </w:t>
      </w:r>
      <w:r>
        <w:rPr>
          <w:color w:val="006A4D"/>
          <w:sz w:val="18"/>
        </w:rPr>
        <w:t>Price</w:t>
      </w:r>
      <w:r>
        <w:rPr>
          <w:color w:val="006A4D"/>
          <w:spacing w:val="-35"/>
          <w:sz w:val="18"/>
        </w:rPr>
        <w:t> </w:t>
      </w:r>
      <w:r>
        <w:rPr>
          <w:color w:val="006A4D"/>
          <w:spacing w:val="-4"/>
          <w:sz w:val="18"/>
        </w:rPr>
        <w:t>for </w:t>
      </w:r>
      <w:r>
        <w:rPr>
          <w:color w:val="006A4D"/>
          <w:sz w:val="18"/>
        </w:rPr>
        <w:t>the</w:t>
      </w:r>
      <w:r>
        <w:rPr>
          <w:color w:val="006A4D"/>
          <w:spacing w:val="-11"/>
          <w:sz w:val="18"/>
        </w:rPr>
        <w:t> </w:t>
      </w:r>
      <w:r>
        <w:rPr>
          <w:color w:val="006A4D"/>
          <w:sz w:val="18"/>
        </w:rPr>
        <w:t>property:</w:t>
      </w:r>
    </w:p>
    <w:p>
      <w:pPr>
        <w:spacing w:before="104"/>
        <w:ind w:left="342" w:right="0" w:firstLine="0"/>
        <w:jc w:val="left"/>
        <w:rPr>
          <w:sz w:val="18"/>
        </w:rPr>
      </w:pPr>
      <w:r>
        <w:rPr/>
        <w:br w:type="column"/>
      </w:r>
      <w:r>
        <w:rPr>
          <w:sz w:val="18"/>
        </w:rPr>
        <w:t>The said acquisition was undertaken as part of the ‘Formation Transaction’ as described in the Final Offer</w:t>
      </w:r>
    </w:p>
    <w:p>
      <w:pPr>
        <w:spacing w:before="72"/>
        <w:ind w:left="342" w:right="0" w:firstLine="0"/>
        <w:jc w:val="left"/>
        <w:rPr>
          <w:sz w:val="18"/>
        </w:rPr>
      </w:pPr>
      <w:r>
        <w:rPr>
          <w:sz w:val="18"/>
        </w:rPr>
        <w:t>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1895" w:space="40"/>
            <w:col w:w="9455"/>
          </w:cols>
        </w:sectPr>
      </w:pPr>
    </w:p>
    <w:p>
      <w:pPr>
        <w:pStyle w:val="BodyText"/>
        <w:spacing w:before="8"/>
        <w:rPr>
          <w:sz w:val="12"/>
        </w:rPr>
      </w:pPr>
    </w:p>
    <w:p>
      <w:pPr>
        <w:spacing w:after="0"/>
        <w:rPr>
          <w:sz w:val="12"/>
        </w:rPr>
        <w:sectPr>
          <w:type w:val="continuous"/>
          <w:pgSz w:w="11910" w:h="16840"/>
          <w:pgMar w:top="800" w:bottom="280" w:left="440" w:right="80"/>
        </w:sectPr>
      </w:pPr>
    </w:p>
    <w:p>
      <w:pPr>
        <w:spacing w:line="321" w:lineRule="auto" w:before="104"/>
        <w:ind w:left="495" w:right="-9" w:firstLine="0"/>
        <w:jc w:val="left"/>
        <w:rPr>
          <w:sz w:val="18"/>
        </w:rPr>
      </w:pPr>
      <w:r>
        <w:rPr>
          <w:color w:val="006A4D"/>
          <w:sz w:val="18"/>
        </w:rPr>
        <w:t>Ready</w:t>
      </w:r>
      <w:r>
        <w:rPr>
          <w:color w:val="006A4D"/>
          <w:spacing w:val="-27"/>
          <w:sz w:val="18"/>
        </w:rPr>
        <w:t> </w:t>
      </w:r>
      <w:r>
        <w:rPr>
          <w:color w:val="006A4D"/>
          <w:spacing w:val="-3"/>
          <w:sz w:val="18"/>
        </w:rPr>
        <w:t>Reckoner </w:t>
      </w:r>
      <w:r>
        <w:rPr>
          <w:color w:val="006A4D"/>
          <w:sz w:val="18"/>
        </w:rPr>
        <w:t>Rate (as per documents</w:t>
      </w:r>
    </w:p>
    <w:p>
      <w:pPr>
        <w:spacing w:line="460" w:lineRule="auto" w:before="104"/>
        <w:ind w:left="495" w:right="6240" w:firstLine="0"/>
        <w:jc w:val="left"/>
        <w:rPr>
          <w:sz w:val="18"/>
        </w:rPr>
      </w:pPr>
      <w:r>
        <w:rPr/>
        <w:br w:type="column"/>
      </w:r>
      <w:r>
        <w:rPr>
          <w:sz w:val="18"/>
        </w:rPr>
        <w:t>Land Rate: INR 85,900 per sqm; Built-up Rate: INR 188,000 per sqm</w:t>
      </w:r>
    </w:p>
    <w:p>
      <w:pPr>
        <w:spacing w:after="0" w:line="460" w:lineRule="auto"/>
        <w:jc w:val="left"/>
        <w:rPr>
          <w:sz w:val="18"/>
        </w:rPr>
        <w:sectPr>
          <w:type w:val="continuous"/>
          <w:pgSz w:w="11910" w:h="16840"/>
          <w:pgMar w:top="800" w:bottom="280" w:left="440" w:right="80"/>
          <w:cols w:num="2" w:equalWidth="0">
            <w:col w:w="1742" w:space="40"/>
            <w:col w:w="9608"/>
          </w:cols>
        </w:sectPr>
      </w:pPr>
    </w:p>
    <w:p>
      <w:pPr>
        <w:pStyle w:val="BodyText"/>
        <w:spacing w:before="4"/>
        <w:rPr>
          <w:sz w:val="23"/>
        </w:rPr>
      </w:pPr>
    </w:p>
    <w:p>
      <w:pPr>
        <w:spacing w:after="0"/>
        <w:rPr>
          <w:sz w:val="23"/>
        </w:rPr>
        <w:sectPr>
          <w:pgSz w:w="11910" w:h="16840"/>
          <w:pgMar w:header="720" w:footer="842" w:top="1520" w:bottom="1040" w:left="440" w:right="80"/>
        </w:sectPr>
      </w:pPr>
    </w:p>
    <w:p>
      <w:pPr>
        <w:spacing w:line="321" w:lineRule="auto" w:before="104"/>
        <w:ind w:left="495" w:right="23" w:firstLine="0"/>
        <w:jc w:val="left"/>
        <w:rPr>
          <w:sz w:val="18"/>
        </w:rPr>
      </w:pPr>
      <w:r>
        <w:rPr>
          <w:color w:val="006A4D"/>
          <w:sz w:val="18"/>
        </w:rPr>
        <w:t>published</w:t>
      </w:r>
      <w:r>
        <w:rPr>
          <w:color w:val="006A4D"/>
          <w:spacing w:val="-32"/>
          <w:sz w:val="18"/>
        </w:rPr>
        <w:t> </w:t>
      </w:r>
      <w:r>
        <w:rPr>
          <w:color w:val="006A4D"/>
          <w:sz w:val="18"/>
        </w:rPr>
        <w:t>by</w:t>
      </w:r>
      <w:r>
        <w:rPr>
          <w:color w:val="006A4D"/>
          <w:spacing w:val="-31"/>
          <w:sz w:val="18"/>
        </w:rPr>
        <w:t> </w:t>
      </w:r>
      <w:r>
        <w:rPr>
          <w:color w:val="006A4D"/>
          <w:sz w:val="18"/>
        </w:rPr>
        <w:t>State Government):</w:t>
      </w:r>
    </w:p>
    <w:p>
      <w:pPr>
        <w:spacing w:line="321" w:lineRule="auto" w:before="131"/>
        <w:ind w:left="495" w:right="86" w:firstLine="0"/>
        <w:jc w:val="left"/>
        <w:rPr>
          <w:sz w:val="18"/>
        </w:rPr>
      </w:pPr>
      <w:r>
        <w:rPr>
          <w:color w:val="006A4D"/>
          <w:sz w:val="18"/>
        </w:rPr>
        <w:t>Value Conclusion as of March 31, 2020:</w:t>
      </w:r>
    </w:p>
    <w:p>
      <w:pPr>
        <w:pStyle w:val="BodyText"/>
      </w:pPr>
      <w:r>
        <w:rPr/>
        <w:br w:type="column"/>
      </w:r>
      <w:r>
        <w:rPr/>
      </w:r>
    </w:p>
    <w:p>
      <w:pPr>
        <w:pStyle w:val="BodyText"/>
      </w:pPr>
    </w:p>
    <w:p>
      <w:pPr>
        <w:pStyle w:val="BodyText"/>
      </w:pPr>
    </w:p>
    <w:p>
      <w:pPr>
        <w:pStyle w:val="BodyText"/>
      </w:pPr>
    </w:p>
    <w:p>
      <w:pPr>
        <w:pStyle w:val="BodyText"/>
        <w:spacing w:before="7"/>
        <w:rPr>
          <w:sz w:val="20"/>
        </w:rPr>
      </w:pPr>
    </w:p>
    <w:p>
      <w:pPr>
        <w:tabs>
          <w:tab w:pos="5085" w:val="left" w:leader="none"/>
        </w:tabs>
        <w:spacing w:before="0"/>
        <w:ind w:left="496" w:right="0" w:firstLine="0"/>
        <w:jc w:val="left"/>
        <w:rPr>
          <w:sz w:val="18"/>
        </w:rPr>
      </w:pPr>
      <w:r>
        <w:rPr/>
        <w:pict>
          <v:group style="position:absolute;margin-left:135.860001pt;margin-top:-23.469311pt;width:435.7pt;height:19.6pt;mso-position-horizontal-relative:page;mso-position-vertical-relative:paragraph;z-index:15842816" coordorigin="2717,-469" coordsize="8714,392">
            <v:shape style="position:absolute;left:2717;top:-441;width:8714;height:348" coordorigin="2717,-441" coordsize="8714,348" path="m11431,-441l7192,-441,2717,-441,2717,-93,7192,-93,11431,-93,11431,-441xe" filled="true" fillcolor="#006a4d" stroked="false">
              <v:path arrowok="t"/>
              <v:fill type="solid"/>
            </v:shape>
            <v:rect style="position:absolute;left:2717;top:-470;width:4475;height:29" filled="true" fillcolor="#1f6b16" stroked="false">
              <v:fill type="solid"/>
            </v:rect>
            <v:shape style="position:absolute;left:2717;top:-441;width:4504;height:3" coordorigin="2717,-441" coordsize="4504,3" path="m7221,-441l7192,-441,2717,-441,2717,-438,7192,-438,7221,-438,7221,-441xe" filled="true" fillcolor="#006a4d" stroked="false">
              <v:path arrowok="t"/>
              <v:fill type="solid"/>
            </v:shape>
            <v:shape style="position:absolute;left:7191;top:-470;width:4240;height:29" coordorigin="7192,-469" coordsize="4240,29" path="m11431,-469l7221,-469,7192,-469,7192,-441,7221,-441,11431,-441,11431,-469xe" filled="true" fillcolor="#1f6b16" stroked="false">
              <v:path arrowok="t"/>
              <v:fill type="solid"/>
            </v:shape>
            <v:rect style="position:absolute;left:7220;top:-441;width:4211;height:3" filled="true" fillcolor="#006a4d" stroked="false">
              <v:fill type="solid"/>
            </v:rect>
            <v:shape style="position:absolute;left:2717;top:-93;width:8714;height:15" coordorigin="2717,-93" coordsize="8714,15" path="m11431,-93l7206,-93,7192,-93,2717,-93,2717,-78,7192,-78,7206,-78,11431,-78,11431,-93xe" filled="true" fillcolor="#69bd28" stroked="false">
              <v:path arrowok="t"/>
              <v:fill type="solid"/>
            </v:shape>
            <v:shape style="position:absolute;left:2717;top:-441;width:8714;height:348" type="#_x0000_t202" filled="false" stroked="false">
              <v:textbox inset="0,0,0,0">
                <w:txbxContent>
                  <w:p>
                    <w:pPr>
                      <w:tabs>
                        <w:tab w:pos="5543" w:val="left" w:leader="none"/>
                      </w:tabs>
                      <w:spacing w:before="68"/>
                      <w:ind w:left="1718" w:right="0" w:firstLine="0"/>
                      <w:jc w:val="left"/>
                      <w:rPr>
                        <w:b/>
                        <w:sz w:val="18"/>
                      </w:rPr>
                    </w:pPr>
                    <w:r>
                      <w:rPr>
                        <w:b/>
                        <w:color w:val="FFFFFF"/>
                        <w:w w:val="110"/>
                        <w:sz w:val="18"/>
                      </w:rPr>
                      <w:t>Component</w:t>
                      <w:tab/>
                      <w:t>Market Value (INR</w:t>
                    </w:r>
                    <w:r>
                      <w:rPr>
                        <w:b/>
                        <w:color w:val="FFFFFF"/>
                        <w:spacing w:val="-3"/>
                        <w:w w:val="110"/>
                        <w:sz w:val="18"/>
                      </w:rPr>
                      <w:t> </w:t>
                    </w:r>
                    <w:r>
                      <w:rPr>
                        <w:b/>
                        <w:color w:val="FFFFFF"/>
                        <w:w w:val="110"/>
                        <w:sz w:val="18"/>
                      </w:rPr>
                      <w:t>Mn)</w:t>
                    </w:r>
                  </w:p>
                </w:txbxContent>
              </v:textbox>
              <w10:wrap type="none"/>
            </v:shape>
            <w10:wrap type="none"/>
          </v:group>
        </w:pict>
      </w:r>
      <w:r>
        <w:rPr/>
        <w:pict>
          <v:shape style="position:absolute;margin-left:135.139999pt;margin-top:14.330688pt;width:436.45pt;height:19.7pt;mso-position-horizontal-relative:page;mso-position-vertical-relative:paragraph;z-index:15843328" type="#_x0000_t202" filled="true" fillcolor="#69bd28" stroked="false">
            <v:textbox inset="0,0,0,0">
              <w:txbxContent>
                <w:p>
                  <w:pPr>
                    <w:tabs>
                      <w:tab w:pos="6313" w:val="left" w:leader="none"/>
                    </w:tabs>
                    <w:spacing w:before="92"/>
                    <w:ind w:left="1205" w:right="0" w:firstLine="0"/>
                    <w:jc w:val="left"/>
                    <w:rPr>
                      <w:sz w:val="18"/>
                    </w:rPr>
                  </w:pPr>
                  <w:r>
                    <w:rPr>
                      <w:color w:val="FFFFFF"/>
                      <w:sz w:val="18"/>
                    </w:rPr>
                    <w:t>Total</w:t>
                  </w:r>
                  <w:r>
                    <w:rPr>
                      <w:color w:val="FFFFFF"/>
                      <w:spacing w:val="-24"/>
                      <w:sz w:val="18"/>
                    </w:rPr>
                    <w:t> </w:t>
                  </w:r>
                  <w:r>
                    <w:rPr>
                      <w:color w:val="FFFFFF"/>
                      <w:sz w:val="18"/>
                    </w:rPr>
                    <w:t>Value</w:t>
                  </w:r>
                  <w:r>
                    <w:rPr>
                      <w:color w:val="FFFFFF"/>
                      <w:spacing w:val="-23"/>
                      <w:sz w:val="18"/>
                    </w:rPr>
                    <w:t> </w:t>
                  </w:r>
                  <w:r>
                    <w:rPr>
                      <w:color w:val="FFFFFF"/>
                      <w:sz w:val="18"/>
                    </w:rPr>
                    <w:t>of</w:t>
                  </w:r>
                  <w:r>
                    <w:rPr>
                      <w:color w:val="FFFFFF"/>
                      <w:spacing w:val="-23"/>
                      <w:sz w:val="18"/>
                    </w:rPr>
                    <w:t> </w:t>
                  </w:r>
                  <w:r>
                    <w:rPr>
                      <w:color w:val="FFFFFF"/>
                      <w:sz w:val="18"/>
                    </w:rPr>
                    <w:t>the</w:t>
                  </w:r>
                  <w:r>
                    <w:rPr>
                      <w:color w:val="FFFFFF"/>
                      <w:spacing w:val="-23"/>
                      <w:sz w:val="18"/>
                    </w:rPr>
                    <w:t> </w:t>
                  </w:r>
                  <w:r>
                    <w:rPr>
                      <w:color w:val="FFFFFF"/>
                      <w:sz w:val="18"/>
                    </w:rPr>
                    <w:t>property</w:t>
                    <w:tab/>
                    <w:t>16,624</w:t>
                  </w:r>
                </w:p>
              </w:txbxContent>
            </v:textbox>
            <v:fill type="solid"/>
            <w10:wrap type="none"/>
          </v:shape>
        </w:pict>
      </w:r>
      <w:r>
        <w:rPr>
          <w:w w:val="105"/>
          <w:sz w:val="18"/>
        </w:rPr>
        <w:t>Embassy</w:t>
      </w:r>
      <w:r>
        <w:rPr>
          <w:spacing w:val="-10"/>
          <w:w w:val="105"/>
          <w:sz w:val="18"/>
        </w:rPr>
        <w:t> </w:t>
      </w:r>
      <w:r>
        <w:rPr>
          <w:w w:val="105"/>
          <w:sz w:val="18"/>
        </w:rPr>
        <w:t>247</w:t>
        <w:tab/>
        <w:t>16,624</w:t>
      </w:r>
    </w:p>
    <w:p>
      <w:pPr>
        <w:spacing w:after="0"/>
        <w:jc w:val="left"/>
        <w:rPr>
          <w:sz w:val="18"/>
        </w:rPr>
        <w:sectPr>
          <w:type w:val="continuous"/>
          <w:pgSz w:w="11910" w:h="16840"/>
          <w:pgMar w:top="800" w:bottom="280" w:left="440" w:right="80"/>
          <w:cols w:num="2" w:equalWidth="0">
            <w:col w:w="1968" w:space="1525"/>
            <w:col w:w="7897"/>
          </w:cols>
        </w:sectPr>
      </w:pPr>
    </w:p>
    <w:p>
      <w:pPr>
        <w:pStyle w:val="BodyText"/>
        <w:rPr>
          <w:sz w:val="20"/>
        </w:rPr>
      </w:pPr>
    </w:p>
    <w:p>
      <w:pPr>
        <w:pStyle w:val="BodyText"/>
        <w:spacing w:before="11"/>
        <w:rPr>
          <w:sz w:val="23"/>
        </w:rPr>
      </w:pPr>
    </w:p>
    <w:p>
      <w:pPr>
        <w:spacing w:after="0"/>
        <w:rPr>
          <w:sz w:val="23"/>
        </w:rPr>
        <w:sectPr>
          <w:type w:val="continuous"/>
          <w:pgSz w:w="11910" w:h="16840"/>
          <w:pgMar w:top="800" w:bottom="280" w:left="440" w:right="80"/>
        </w:sectPr>
      </w:pPr>
    </w:p>
    <w:p>
      <w:pPr>
        <w:spacing w:line="321" w:lineRule="auto" w:before="104"/>
        <w:ind w:left="495" w:right="31" w:firstLine="0"/>
        <w:jc w:val="left"/>
        <w:rPr>
          <w:sz w:val="18"/>
        </w:rPr>
      </w:pPr>
      <w:r>
        <w:rPr>
          <w:color w:val="006A4D"/>
          <w:sz w:val="18"/>
        </w:rPr>
        <w:t>Assumptions, Disclaimers, Limitations &amp; </w:t>
      </w:r>
      <w:r>
        <w:rPr>
          <w:color w:val="006A4D"/>
          <w:w w:val="95"/>
          <w:sz w:val="18"/>
        </w:rPr>
        <w:t>Qualifications</w:t>
      </w:r>
    </w:p>
    <w:p>
      <w:pPr>
        <w:spacing w:line="321" w:lineRule="auto" w:before="104"/>
        <w:ind w:left="495" w:right="397" w:firstLine="0"/>
        <w:jc w:val="both"/>
        <w:rPr>
          <w:sz w:val="18"/>
        </w:rPr>
      </w:pPr>
      <w:r>
        <w:rPr/>
        <w:br w:type="column"/>
      </w:r>
      <w:r>
        <w:rPr>
          <w:sz w:val="18"/>
        </w:rPr>
        <w:t>This</w:t>
      </w:r>
      <w:r>
        <w:rPr>
          <w:spacing w:val="-6"/>
          <w:sz w:val="18"/>
        </w:rPr>
        <w:t> </w:t>
      </w:r>
      <w:r>
        <w:rPr>
          <w:sz w:val="18"/>
        </w:rPr>
        <w:t>valuation</w:t>
      </w:r>
      <w:r>
        <w:rPr>
          <w:spacing w:val="-7"/>
          <w:sz w:val="18"/>
        </w:rPr>
        <w:t> </w:t>
      </w:r>
      <w:r>
        <w:rPr>
          <w:sz w:val="18"/>
        </w:rPr>
        <w:t>report</w:t>
      </w:r>
      <w:r>
        <w:rPr>
          <w:spacing w:val="-7"/>
          <w:sz w:val="18"/>
        </w:rPr>
        <w:t> </w:t>
      </w:r>
      <w:r>
        <w:rPr>
          <w:sz w:val="18"/>
        </w:rPr>
        <w:t>is</w:t>
      </w:r>
      <w:r>
        <w:rPr>
          <w:spacing w:val="-6"/>
          <w:sz w:val="18"/>
        </w:rPr>
        <w:t> </w:t>
      </w:r>
      <w:r>
        <w:rPr>
          <w:sz w:val="18"/>
        </w:rPr>
        <w:t>provided</w:t>
      </w:r>
      <w:r>
        <w:rPr>
          <w:spacing w:val="-6"/>
          <w:sz w:val="18"/>
        </w:rPr>
        <w:t> </w:t>
      </w:r>
      <w:r>
        <w:rPr>
          <w:sz w:val="18"/>
        </w:rPr>
        <w:t>subject</w:t>
      </w:r>
      <w:r>
        <w:rPr>
          <w:spacing w:val="-7"/>
          <w:sz w:val="18"/>
        </w:rPr>
        <w:t> </w:t>
      </w:r>
      <w:r>
        <w:rPr>
          <w:sz w:val="18"/>
        </w:rPr>
        <w:t>to</w:t>
      </w:r>
      <w:r>
        <w:rPr>
          <w:spacing w:val="-5"/>
          <w:sz w:val="18"/>
        </w:rPr>
        <w:t> </w:t>
      </w:r>
      <w:r>
        <w:rPr>
          <w:sz w:val="18"/>
        </w:rPr>
        <w:t>assumptions,</w:t>
      </w:r>
      <w:r>
        <w:rPr>
          <w:spacing w:val="-6"/>
          <w:sz w:val="18"/>
        </w:rPr>
        <w:t> </w:t>
      </w:r>
      <w:r>
        <w:rPr>
          <w:sz w:val="18"/>
        </w:rPr>
        <w:t>disclaimers,</w:t>
      </w:r>
      <w:r>
        <w:rPr>
          <w:spacing w:val="-6"/>
          <w:sz w:val="18"/>
        </w:rPr>
        <w:t> </w:t>
      </w:r>
      <w:r>
        <w:rPr>
          <w:sz w:val="18"/>
        </w:rPr>
        <w:t>limitations</w:t>
      </w:r>
      <w:r>
        <w:rPr>
          <w:spacing w:val="-6"/>
          <w:sz w:val="18"/>
        </w:rPr>
        <w:t> </w:t>
      </w:r>
      <w:r>
        <w:rPr>
          <w:sz w:val="18"/>
        </w:rPr>
        <w:t>and</w:t>
      </w:r>
      <w:r>
        <w:rPr>
          <w:spacing w:val="-6"/>
          <w:sz w:val="18"/>
        </w:rPr>
        <w:t> </w:t>
      </w:r>
      <w:r>
        <w:rPr>
          <w:sz w:val="18"/>
        </w:rPr>
        <w:t>qualifications</w:t>
      </w:r>
      <w:r>
        <w:rPr>
          <w:spacing w:val="-5"/>
          <w:sz w:val="18"/>
        </w:rPr>
        <w:t> </w:t>
      </w:r>
      <w:r>
        <w:rPr>
          <w:sz w:val="18"/>
        </w:rPr>
        <w:t>detailed throughout</w:t>
      </w:r>
      <w:r>
        <w:rPr>
          <w:spacing w:val="-25"/>
          <w:sz w:val="18"/>
        </w:rPr>
        <w:t> </w:t>
      </w:r>
      <w:r>
        <w:rPr>
          <w:sz w:val="18"/>
        </w:rPr>
        <w:t>this</w:t>
      </w:r>
      <w:r>
        <w:rPr>
          <w:spacing w:val="-24"/>
          <w:sz w:val="18"/>
        </w:rPr>
        <w:t> </w:t>
      </w:r>
      <w:r>
        <w:rPr>
          <w:sz w:val="18"/>
        </w:rPr>
        <w:t>report</w:t>
      </w:r>
      <w:r>
        <w:rPr>
          <w:spacing w:val="-25"/>
          <w:sz w:val="18"/>
        </w:rPr>
        <w:t> </w:t>
      </w:r>
      <w:r>
        <w:rPr>
          <w:sz w:val="18"/>
        </w:rPr>
        <w:t>which</w:t>
      </w:r>
      <w:r>
        <w:rPr>
          <w:spacing w:val="-23"/>
          <w:sz w:val="18"/>
        </w:rPr>
        <w:t> </w:t>
      </w:r>
      <w:r>
        <w:rPr>
          <w:sz w:val="18"/>
        </w:rPr>
        <w:t>are</w:t>
      </w:r>
      <w:r>
        <w:rPr>
          <w:spacing w:val="-24"/>
          <w:sz w:val="18"/>
        </w:rPr>
        <w:t> </w:t>
      </w:r>
      <w:r>
        <w:rPr>
          <w:sz w:val="18"/>
        </w:rPr>
        <w:t>made</w:t>
      </w:r>
      <w:r>
        <w:rPr>
          <w:spacing w:val="-24"/>
          <w:sz w:val="18"/>
        </w:rPr>
        <w:t> </w:t>
      </w:r>
      <w:r>
        <w:rPr>
          <w:sz w:val="18"/>
        </w:rPr>
        <w:t>in</w:t>
      </w:r>
      <w:r>
        <w:rPr>
          <w:spacing w:val="-24"/>
          <w:sz w:val="18"/>
        </w:rPr>
        <w:t> </w:t>
      </w:r>
      <w:r>
        <w:rPr>
          <w:sz w:val="18"/>
        </w:rPr>
        <w:t>conjunction</w:t>
      </w:r>
      <w:r>
        <w:rPr>
          <w:spacing w:val="-24"/>
          <w:sz w:val="18"/>
        </w:rPr>
        <w:t> </w:t>
      </w:r>
      <w:r>
        <w:rPr>
          <w:sz w:val="18"/>
        </w:rPr>
        <w:t>with</w:t>
      </w:r>
      <w:r>
        <w:rPr>
          <w:spacing w:val="-24"/>
          <w:sz w:val="18"/>
        </w:rPr>
        <w:t> </w:t>
      </w:r>
      <w:r>
        <w:rPr>
          <w:sz w:val="18"/>
        </w:rPr>
        <w:t>those</w:t>
      </w:r>
      <w:r>
        <w:rPr>
          <w:spacing w:val="-24"/>
          <w:sz w:val="18"/>
        </w:rPr>
        <w:t> </w:t>
      </w:r>
      <w:r>
        <w:rPr>
          <w:sz w:val="18"/>
        </w:rPr>
        <w:t>included</w:t>
      </w:r>
      <w:r>
        <w:rPr>
          <w:spacing w:val="-24"/>
          <w:sz w:val="18"/>
        </w:rPr>
        <w:t> </w:t>
      </w:r>
      <w:r>
        <w:rPr>
          <w:sz w:val="18"/>
        </w:rPr>
        <w:t>within</w:t>
      </w:r>
      <w:r>
        <w:rPr>
          <w:spacing w:val="-24"/>
          <w:sz w:val="18"/>
        </w:rPr>
        <w:t> </w:t>
      </w:r>
      <w:r>
        <w:rPr>
          <w:sz w:val="18"/>
        </w:rPr>
        <w:t>the</w:t>
      </w:r>
      <w:r>
        <w:rPr>
          <w:spacing w:val="-24"/>
          <w:sz w:val="18"/>
        </w:rPr>
        <w:t> </w:t>
      </w:r>
      <w:r>
        <w:rPr>
          <w:sz w:val="18"/>
        </w:rPr>
        <w:t>Assumptions,</w:t>
      </w:r>
      <w:r>
        <w:rPr>
          <w:spacing w:val="-24"/>
          <w:sz w:val="18"/>
        </w:rPr>
        <w:t> </w:t>
      </w:r>
      <w:r>
        <w:rPr>
          <w:sz w:val="18"/>
        </w:rPr>
        <w:t>Disclaimers, </w:t>
      </w:r>
      <w:r>
        <w:rPr>
          <w:w w:val="95"/>
          <w:sz w:val="18"/>
        </w:rPr>
        <w:t>Limitations</w:t>
      </w:r>
      <w:r>
        <w:rPr>
          <w:spacing w:val="-13"/>
          <w:w w:val="95"/>
          <w:sz w:val="18"/>
        </w:rPr>
        <w:t> </w:t>
      </w:r>
      <w:r>
        <w:rPr>
          <w:w w:val="95"/>
          <w:sz w:val="18"/>
        </w:rPr>
        <w:t>&amp;</w:t>
      </w:r>
      <w:r>
        <w:rPr>
          <w:spacing w:val="-14"/>
          <w:w w:val="95"/>
          <w:sz w:val="18"/>
        </w:rPr>
        <w:t> </w:t>
      </w:r>
      <w:r>
        <w:rPr>
          <w:w w:val="95"/>
          <w:sz w:val="18"/>
        </w:rPr>
        <w:t>Qualifications</w:t>
      </w:r>
      <w:r>
        <w:rPr>
          <w:spacing w:val="-13"/>
          <w:w w:val="95"/>
          <w:sz w:val="18"/>
        </w:rPr>
        <w:t> </w:t>
      </w:r>
      <w:r>
        <w:rPr>
          <w:w w:val="95"/>
          <w:sz w:val="18"/>
        </w:rPr>
        <w:t>section</w:t>
      </w:r>
      <w:r>
        <w:rPr>
          <w:spacing w:val="-13"/>
          <w:w w:val="95"/>
          <w:sz w:val="18"/>
        </w:rPr>
        <w:t> </w:t>
      </w:r>
      <w:r>
        <w:rPr>
          <w:w w:val="95"/>
          <w:sz w:val="18"/>
        </w:rPr>
        <w:t>located</w:t>
      </w:r>
      <w:r>
        <w:rPr>
          <w:spacing w:val="-15"/>
          <w:w w:val="95"/>
          <w:sz w:val="18"/>
        </w:rPr>
        <w:t> </w:t>
      </w:r>
      <w:r>
        <w:rPr>
          <w:w w:val="95"/>
          <w:sz w:val="18"/>
        </w:rPr>
        <w:t>within</w:t>
      </w:r>
      <w:r>
        <w:rPr>
          <w:spacing w:val="-13"/>
          <w:w w:val="95"/>
          <w:sz w:val="18"/>
        </w:rPr>
        <w:t> </w:t>
      </w:r>
      <w:r>
        <w:rPr>
          <w:w w:val="95"/>
          <w:sz w:val="18"/>
        </w:rPr>
        <w:t>this</w:t>
      </w:r>
      <w:r>
        <w:rPr>
          <w:spacing w:val="-14"/>
          <w:w w:val="95"/>
          <w:sz w:val="18"/>
        </w:rPr>
        <w:t> </w:t>
      </w:r>
      <w:r>
        <w:rPr>
          <w:w w:val="95"/>
          <w:sz w:val="18"/>
        </w:rPr>
        <w:t>report.</w:t>
      </w:r>
      <w:r>
        <w:rPr>
          <w:spacing w:val="-13"/>
          <w:w w:val="95"/>
          <w:sz w:val="18"/>
        </w:rPr>
        <w:t> </w:t>
      </w:r>
      <w:r>
        <w:rPr>
          <w:w w:val="95"/>
          <w:sz w:val="18"/>
        </w:rPr>
        <w:t>Reliance</w:t>
      </w:r>
      <w:r>
        <w:rPr>
          <w:spacing w:val="-15"/>
          <w:w w:val="95"/>
          <w:sz w:val="18"/>
        </w:rPr>
        <w:t> </w:t>
      </w:r>
      <w:r>
        <w:rPr>
          <w:w w:val="95"/>
          <w:sz w:val="18"/>
        </w:rPr>
        <w:t>on</w:t>
      </w:r>
      <w:r>
        <w:rPr>
          <w:spacing w:val="-15"/>
          <w:w w:val="95"/>
          <w:sz w:val="18"/>
        </w:rPr>
        <w:t> </w:t>
      </w:r>
      <w:r>
        <w:rPr>
          <w:w w:val="95"/>
          <w:sz w:val="18"/>
        </w:rPr>
        <w:t>this</w:t>
      </w:r>
      <w:r>
        <w:rPr>
          <w:spacing w:val="-13"/>
          <w:w w:val="95"/>
          <w:sz w:val="18"/>
        </w:rPr>
        <w:t> </w:t>
      </w:r>
      <w:r>
        <w:rPr>
          <w:w w:val="95"/>
          <w:sz w:val="18"/>
        </w:rPr>
        <w:t>report</w:t>
      </w:r>
      <w:r>
        <w:rPr>
          <w:spacing w:val="-15"/>
          <w:w w:val="95"/>
          <w:sz w:val="18"/>
        </w:rPr>
        <w:t> </w:t>
      </w:r>
      <w:r>
        <w:rPr>
          <w:w w:val="95"/>
          <w:sz w:val="18"/>
        </w:rPr>
        <w:t>and</w:t>
      </w:r>
      <w:r>
        <w:rPr>
          <w:spacing w:val="-15"/>
          <w:w w:val="95"/>
          <w:sz w:val="18"/>
        </w:rPr>
        <w:t> </w:t>
      </w:r>
      <w:r>
        <w:rPr>
          <w:w w:val="95"/>
          <w:sz w:val="18"/>
        </w:rPr>
        <w:t>extension</w:t>
      </w:r>
      <w:r>
        <w:rPr>
          <w:spacing w:val="-15"/>
          <w:w w:val="95"/>
          <w:sz w:val="18"/>
        </w:rPr>
        <w:t> </w:t>
      </w:r>
      <w:r>
        <w:rPr>
          <w:w w:val="95"/>
          <w:sz w:val="18"/>
        </w:rPr>
        <w:t>of</w:t>
      </w:r>
      <w:r>
        <w:rPr>
          <w:spacing w:val="-15"/>
          <w:w w:val="95"/>
          <w:sz w:val="18"/>
        </w:rPr>
        <w:t> </w:t>
      </w:r>
      <w:r>
        <w:rPr>
          <w:w w:val="95"/>
          <w:sz w:val="18"/>
        </w:rPr>
        <w:t>our</w:t>
      </w:r>
      <w:r>
        <w:rPr>
          <w:spacing w:val="-15"/>
          <w:w w:val="95"/>
          <w:sz w:val="18"/>
        </w:rPr>
        <w:t> </w:t>
      </w:r>
      <w:r>
        <w:rPr>
          <w:w w:val="95"/>
          <w:sz w:val="18"/>
        </w:rPr>
        <w:t>liability </w:t>
      </w:r>
      <w:r>
        <w:rPr>
          <w:sz w:val="18"/>
        </w:rPr>
        <w:t>is</w:t>
      </w:r>
      <w:r>
        <w:rPr>
          <w:spacing w:val="-24"/>
          <w:sz w:val="18"/>
        </w:rPr>
        <w:t> </w:t>
      </w:r>
      <w:r>
        <w:rPr>
          <w:sz w:val="18"/>
        </w:rPr>
        <w:t>conditional</w:t>
      </w:r>
      <w:r>
        <w:rPr>
          <w:spacing w:val="-23"/>
          <w:sz w:val="18"/>
        </w:rPr>
        <w:t> </w:t>
      </w:r>
      <w:r>
        <w:rPr>
          <w:sz w:val="18"/>
        </w:rPr>
        <w:t>upon</w:t>
      </w:r>
      <w:r>
        <w:rPr>
          <w:spacing w:val="-24"/>
          <w:sz w:val="18"/>
        </w:rPr>
        <w:t> </w:t>
      </w:r>
      <w:r>
        <w:rPr>
          <w:sz w:val="18"/>
        </w:rPr>
        <w:t>the</w:t>
      </w:r>
      <w:r>
        <w:rPr>
          <w:spacing w:val="-23"/>
          <w:sz w:val="18"/>
        </w:rPr>
        <w:t> </w:t>
      </w:r>
      <w:r>
        <w:rPr>
          <w:sz w:val="18"/>
        </w:rPr>
        <w:t>reader’s</w:t>
      </w:r>
      <w:r>
        <w:rPr>
          <w:spacing w:val="-23"/>
          <w:sz w:val="18"/>
        </w:rPr>
        <w:t> </w:t>
      </w:r>
      <w:r>
        <w:rPr>
          <w:sz w:val="18"/>
        </w:rPr>
        <w:t>acknowledgement</w:t>
      </w:r>
      <w:r>
        <w:rPr>
          <w:spacing w:val="-25"/>
          <w:sz w:val="18"/>
        </w:rPr>
        <w:t> </w:t>
      </w:r>
      <w:r>
        <w:rPr>
          <w:sz w:val="18"/>
        </w:rPr>
        <w:t>and</w:t>
      </w:r>
      <w:r>
        <w:rPr>
          <w:spacing w:val="-23"/>
          <w:sz w:val="18"/>
        </w:rPr>
        <w:t> </w:t>
      </w:r>
      <w:r>
        <w:rPr>
          <w:sz w:val="18"/>
        </w:rPr>
        <w:t>understanding</w:t>
      </w:r>
      <w:r>
        <w:rPr>
          <w:spacing w:val="-23"/>
          <w:sz w:val="18"/>
        </w:rPr>
        <w:t> </w:t>
      </w:r>
      <w:r>
        <w:rPr>
          <w:sz w:val="18"/>
        </w:rPr>
        <w:t>of</w:t>
      </w:r>
      <w:r>
        <w:rPr>
          <w:spacing w:val="-23"/>
          <w:sz w:val="18"/>
        </w:rPr>
        <w:t> </w:t>
      </w:r>
      <w:r>
        <w:rPr>
          <w:sz w:val="18"/>
        </w:rPr>
        <w:t>these</w:t>
      </w:r>
      <w:r>
        <w:rPr>
          <w:spacing w:val="-25"/>
          <w:sz w:val="18"/>
        </w:rPr>
        <w:t> </w:t>
      </w:r>
      <w:r>
        <w:rPr>
          <w:sz w:val="18"/>
        </w:rPr>
        <w:t>statements.</w:t>
      </w:r>
      <w:r>
        <w:rPr>
          <w:spacing w:val="-23"/>
          <w:sz w:val="18"/>
        </w:rPr>
        <w:t> </w:t>
      </w:r>
      <w:r>
        <w:rPr>
          <w:sz w:val="18"/>
        </w:rPr>
        <w:t>This</w:t>
      </w:r>
      <w:r>
        <w:rPr>
          <w:spacing w:val="-24"/>
          <w:sz w:val="18"/>
        </w:rPr>
        <w:t> </w:t>
      </w:r>
      <w:r>
        <w:rPr>
          <w:sz w:val="18"/>
        </w:rPr>
        <w:t>valuation</w:t>
      </w:r>
      <w:r>
        <w:rPr>
          <w:spacing w:val="-23"/>
          <w:sz w:val="18"/>
        </w:rPr>
        <w:t> </w:t>
      </w:r>
      <w:r>
        <w:rPr>
          <w:sz w:val="18"/>
        </w:rPr>
        <w:t>is</w:t>
      </w:r>
      <w:r>
        <w:rPr>
          <w:spacing w:val="-24"/>
          <w:sz w:val="18"/>
        </w:rPr>
        <w:t> </w:t>
      </w:r>
      <w:r>
        <w:rPr>
          <w:sz w:val="18"/>
        </w:rPr>
        <w:t>for the</w:t>
      </w:r>
      <w:r>
        <w:rPr>
          <w:spacing w:val="-19"/>
          <w:sz w:val="18"/>
        </w:rPr>
        <w:t> </w:t>
      </w:r>
      <w:r>
        <w:rPr>
          <w:sz w:val="18"/>
        </w:rPr>
        <w:t>use</w:t>
      </w:r>
      <w:r>
        <w:rPr>
          <w:spacing w:val="-20"/>
          <w:sz w:val="18"/>
        </w:rPr>
        <w:t> </w:t>
      </w:r>
      <w:r>
        <w:rPr>
          <w:sz w:val="18"/>
        </w:rPr>
        <w:t>of</w:t>
      </w:r>
      <w:r>
        <w:rPr>
          <w:spacing w:val="-18"/>
          <w:sz w:val="18"/>
        </w:rPr>
        <w:t> </w:t>
      </w:r>
      <w:r>
        <w:rPr>
          <w:sz w:val="18"/>
        </w:rPr>
        <w:t>the</w:t>
      </w:r>
      <w:r>
        <w:rPr>
          <w:spacing w:val="-20"/>
          <w:sz w:val="18"/>
        </w:rPr>
        <w:t> </w:t>
      </w:r>
      <w:r>
        <w:rPr>
          <w:sz w:val="18"/>
        </w:rPr>
        <w:t>party</w:t>
      </w:r>
      <w:r>
        <w:rPr>
          <w:spacing w:val="-19"/>
          <w:sz w:val="18"/>
        </w:rPr>
        <w:t> </w:t>
      </w:r>
      <w:r>
        <w:rPr>
          <w:sz w:val="18"/>
        </w:rPr>
        <w:t>to</w:t>
      </w:r>
      <w:r>
        <w:rPr>
          <w:spacing w:val="-19"/>
          <w:sz w:val="18"/>
        </w:rPr>
        <w:t> </w:t>
      </w:r>
      <w:r>
        <w:rPr>
          <w:sz w:val="18"/>
        </w:rPr>
        <w:t>whom</w:t>
      </w:r>
      <w:r>
        <w:rPr>
          <w:spacing w:val="-18"/>
          <w:sz w:val="18"/>
        </w:rPr>
        <w:t> </w:t>
      </w:r>
      <w:r>
        <w:rPr>
          <w:sz w:val="18"/>
        </w:rPr>
        <w:t>it</w:t>
      </w:r>
      <w:r>
        <w:rPr>
          <w:spacing w:val="-20"/>
          <w:sz w:val="18"/>
        </w:rPr>
        <w:t> </w:t>
      </w:r>
      <w:r>
        <w:rPr>
          <w:sz w:val="18"/>
        </w:rPr>
        <w:t>is</w:t>
      </w:r>
      <w:r>
        <w:rPr>
          <w:spacing w:val="-18"/>
          <w:sz w:val="18"/>
        </w:rPr>
        <w:t> </w:t>
      </w:r>
      <w:r>
        <w:rPr>
          <w:sz w:val="18"/>
        </w:rPr>
        <w:t>addressed</w:t>
      </w:r>
      <w:r>
        <w:rPr>
          <w:spacing w:val="-19"/>
          <w:sz w:val="18"/>
        </w:rPr>
        <w:t> </w:t>
      </w:r>
      <w:r>
        <w:rPr>
          <w:sz w:val="18"/>
        </w:rPr>
        <w:t>and</w:t>
      </w:r>
      <w:r>
        <w:rPr>
          <w:spacing w:val="-21"/>
          <w:sz w:val="18"/>
        </w:rPr>
        <w:t> </w:t>
      </w:r>
      <w:r>
        <w:rPr>
          <w:sz w:val="18"/>
        </w:rPr>
        <w:t>for</w:t>
      </w:r>
      <w:r>
        <w:rPr>
          <w:spacing w:val="-19"/>
          <w:sz w:val="18"/>
        </w:rPr>
        <w:t> </w:t>
      </w:r>
      <w:r>
        <w:rPr>
          <w:sz w:val="18"/>
        </w:rPr>
        <w:t>no</w:t>
      </w:r>
      <w:r>
        <w:rPr>
          <w:spacing w:val="-18"/>
          <w:sz w:val="18"/>
        </w:rPr>
        <w:t> </w:t>
      </w:r>
      <w:r>
        <w:rPr>
          <w:sz w:val="18"/>
        </w:rPr>
        <w:t>other</w:t>
      </w:r>
      <w:r>
        <w:rPr>
          <w:spacing w:val="-22"/>
          <w:sz w:val="18"/>
        </w:rPr>
        <w:t> </w:t>
      </w:r>
      <w:r>
        <w:rPr>
          <w:sz w:val="18"/>
        </w:rPr>
        <w:t>purpose.</w:t>
      </w:r>
      <w:r>
        <w:rPr>
          <w:spacing w:val="-19"/>
          <w:sz w:val="18"/>
        </w:rPr>
        <w:t> </w:t>
      </w:r>
      <w:r>
        <w:rPr>
          <w:sz w:val="18"/>
        </w:rPr>
        <w:t>No</w:t>
      </w:r>
      <w:r>
        <w:rPr>
          <w:spacing w:val="-20"/>
          <w:sz w:val="18"/>
        </w:rPr>
        <w:t> </w:t>
      </w:r>
      <w:r>
        <w:rPr>
          <w:sz w:val="18"/>
        </w:rPr>
        <w:t>responsibility</w:t>
      </w:r>
      <w:r>
        <w:rPr>
          <w:spacing w:val="-19"/>
          <w:sz w:val="18"/>
        </w:rPr>
        <w:t> </w:t>
      </w:r>
      <w:r>
        <w:rPr>
          <w:sz w:val="18"/>
        </w:rPr>
        <w:t>is</w:t>
      </w:r>
      <w:r>
        <w:rPr>
          <w:spacing w:val="-19"/>
          <w:sz w:val="18"/>
        </w:rPr>
        <w:t> </w:t>
      </w:r>
      <w:r>
        <w:rPr>
          <w:sz w:val="18"/>
        </w:rPr>
        <w:t>accepted</w:t>
      </w:r>
      <w:r>
        <w:rPr>
          <w:spacing w:val="-19"/>
          <w:sz w:val="18"/>
        </w:rPr>
        <w:t> </w:t>
      </w:r>
      <w:r>
        <w:rPr>
          <w:sz w:val="18"/>
        </w:rPr>
        <w:t>to</w:t>
      </w:r>
      <w:r>
        <w:rPr>
          <w:spacing w:val="-20"/>
          <w:sz w:val="18"/>
        </w:rPr>
        <w:t> </w:t>
      </w:r>
      <w:r>
        <w:rPr>
          <w:sz w:val="18"/>
        </w:rPr>
        <w:t>any</w:t>
      </w:r>
      <w:r>
        <w:rPr>
          <w:spacing w:val="-20"/>
          <w:sz w:val="18"/>
        </w:rPr>
        <w:t> </w:t>
      </w:r>
      <w:r>
        <w:rPr>
          <w:sz w:val="18"/>
        </w:rPr>
        <w:t>third party</w:t>
      </w:r>
      <w:r>
        <w:rPr>
          <w:spacing w:val="-21"/>
          <w:sz w:val="18"/>
        </w:rPr>
        <w:t> </w:t>
      </w:r>
      <w:r>
        <w:rPr>
          <w:sz w:val="18"/>
        </w:rPr>
        <w:t>who</w:t>
      </w:r>
      <w:r>
        <w:rPr>
          <w:spacing w:val="-20"/>
          <w:sz w:val="18"/>
        </w:rPr>
        <w:t> </w:t>
      </w:r>
      <w:r>
        <w:rPr>
          <w:sz w:val="18"/>
        </w:rPr>
        <w:t>may</w:t>
      </w:r>
      <w:r>
        <w:rPr>
          <w:spacing w:val="-20"/>
          <w:sz w:val="18"/>
        </w:rPr>
        <w:t> </w:t>
      </w:r>
      <w:r>
        <w:rPr>
          <w:sz w:val="18"/>
        </w:rPr>
        <w:t>use</w:t>
      </w:r>
      <w:r>
        <w:rPr>
          <w:spacing w:val="-22"/>
          <w:sz w:val="18"/>
        </w:rPr>
        <w:t> </w:t>
      </w:r>
      <w:r>
        <w:rPr>
          <w:sz w:val="18"/>
        </w:rPr>
        <w:t>or</w:t>
      </w:r>
      <w:r>
        <w:rPr>
          <w:spacing w:val="-21"/>
          <w:sz w:val="18"/>
        </w:rPr>
        <w:t> </w:t>
      </w:r>
      <w:r>
        <w:rPr>
          <w:sz w:val="18"/>
        </w:rPr>
        <w:t>rely</w:t>
      </w:r>
      <w:r>
        <w:rPr>
          <w:spacing w:val="-21"/>
          <w:sz w:val="18"/>
        </w:rPr>
        <w:t> </w:t>
      </w:r>
      <w:r>
        <w:rPr>
          <w:sz w:val="18"/>
        </w:rPr>
        <w:t>on</w:t>
      </w:r>
      <w:r>
        <w:rPr>
          <w:spacing w:val="-20"/>
          <w:sz w:val="18"/>
        </w:rPr>
        <w:t> </w:t>
      </w:r>
      <w:r>
        <w:rPr>
          <w:sz w:val="18"/>
        </w:rPr>
        <w:t>the</w:t>
      </w:r>
      <w:r>
        <w:rPr>
          <w:spacing w:val="-20"/>
          <w:sz w:val="18"/>
        </w:rPr>
        <w:t> </w:t>
      </w:r>
      <w:r>
        <w:rPr>
          <w:sz w:val="18"/>
        </w:rPr>
        <w:t>whole</w:t>
      </w:r>
      <w:r>
        <w:rPr>
          <w:spacing w:val="-22"/>
          <w:sz w:val="18"/>
        </w:rPr>
        <w:t> </w:t>
      </w:r>
      <w:r>
        <w:rPr>
          <w:sz w:val="18"/>
        </w:rPr>
        <w:t>or</w:t>
      </w:r>
      <w:r>
        <w:rPr>
          <w:spacing w:val="-21"/>
          <w:sz w:val="18"/>
        </w:rPr>
        <w:t> </w:t>
      </w:r>
      <w:r>
        <w:rPr>
          <w:sz w:val="18"/>
        </w:rPr>
        <w:t>any</w:t>
      </w:r>
      <w:r>
        <w:rPr>
          <w:spacing w:val="-20"/>
          <w:sz w:val="18"/>
        </w:rPr>
        <w:t> </w:t>
      </w:r>
      <w:r>
        <w:rPr>
          <w:sz w:val="18"/>
        </w:rPr>
        <w:t>part</w:t>
      </w:r>
      <w:r>
        <w:rPr>
          <w:spacing w:val="-21"/>
          <w:sz w:val="18"/>
        </w:rPr>
        <w:t> </w:t>
      </w:r>
      <w:r>
        <w:rPr>
          <w:sz w:val="18"/>
        </w:rPr>
        <w:t>of</w:t>
      </w:r>
      <w:r>
        <w:rPr>
          <w:spacing w:val="-20"/>
          <w:sz w:val="18"/>
        </w:rPr>
        <w:t> </w:t>
      </w:r>
      <w:r>
        <w:rPr>
          <w:sz w:val="18"/>
        </w:rPr>
        <w:t>the</w:t>
      </w:r>
      <w:r>
        <w:rPr>
          <w:spacing w:val="-20"/>
          <w:sz w:val="18"/>
        </w:rPr>
        <w:t> </w:t>
      </w:r>
      <w:r>
        <w:rPr>
          <w:sz w:val="18"/>
        </w:rPr>
        <w:t>content</w:t>
      </w:r>
      <w:r>
        <w:rPr>
          <w:spacing w:val="-21"/>
          <w:sz w:val="18"/>
        </w:rPr>
        <w:t> </w:t>
      </w:r>
      <w:r>
        <w:rPr>
          <w:sz w:val="18"/>
        </w:rPr>
        <w:t>of</w:t>
      </w:r>
      <w:r>
        <w:rPr>
          <w:spacing w:val="-20"/>
          <w:sz w:val="18"/>
        </w:rPr>
        <w:t> </w:t>
      </w:r>
      <w:r>
        <w:rPr>
          <w:sz w:val="18"/>
        </w:rPr>
        <w:t>this</w:t>
      </w:r>
      <w:r>
        <w:rPr>
          <w:spacing w:val="-21"/>
          <w:sz w:val="18"/>
        </w:rPr>
        <w:t> </w:t>
      </w:r>
      <w:r>
        <w:rPr>
          <w:sz w:val="18"/>
        </w:rPr>
        <w:t>valuation.</w:t>
      </w:r>
      <w:r>
        <w:rPr>
          <w:spacing w:val="-20"/>
          <w:sz w:val="18"/>
        </w:rPr>
        <w:t> </w:t>
      </w:r>
      <w:r>
        <w:rPr>
          <w:sz w:val="18"/>
        </w:rPr>
        <w:t>The</w:t>
      </w:r>
      <w:r>
        <w:rPr>
          <w:spacing w:val="-20"/>
          <w:sz w:val="18"/>
        </w:rPr>
        <w:t> </w:t>
      </w:r>
      <w:r>
        <w:rPr>
          <w:sz w:val="18"/>
        </w:rPr>
        <w:t>valuer</w:t>
      </w:r>
      <w:r>
        <w:rPr>
          <w:spacing w:val="-21"/>
          <w:sz w:val="18"/>
        </w:rPr>
        <w:t> </w:t>
      </w:r>
      <w:r>
        <w:rPr>
          <w:sz w:val="18"/>
        </w:rPr>
        <w:t>has</w:t>
      </w:r>
      <w:r>
        <w:rPr>
          <w:spacing w:val="-20"/>
          <w:sz w:val="18"/>
        </w:rPr>
        <w:t> </w:t>
      </w:r>
      <w:r>
        <w:rPr>
          <w:sz w:val="18"/>
        </w:rPr>
        <w:t>no</w:t>
      </w:r>
      <w:r>
        <w:rPr>
          <w:spacing w:val="-20"/>
          <w:sz w:val="18"/>
        </w:rPr>
        <w:t> </w:t>
      </w:r>
      <w:r>
        <w:rPr>
          <w:sz w:val="18"/>
        </w:rPr>
        <w:t>pecuniary interest</w:t>
      </w:r>
      <w:r>
        <w:rPr>
          <w:spacing w:val="-9"/>
          <w:sz w:val="18"/>
        </w:rPr>
        <w:t> </w:t>
      </w:r>
      <w:r>
        <w:rPr>
          <w:sz w:val="18"/>
        </w:rPr>
        <w:t>that</w:t>
      </w:r>
      <w:r>
        <w:rPr>
          <w:spacing w:val="-8"/>
          <w:sz w:val="18"/>
        </w:rPr>
        <w:t> </w:t>
      </w:r>
      <w:r>
        <w:rPr>
          <w:sz w:val="18"/>
        </w:rPr>
        <w:t>would</w:t>
      </w:r>
      <w:r>
        <w:rPr>
          <w:spacing w:val="-7"/>
          <w:sz w:val="18"/>
        </w:rPr>
        <w:t> </w:t>
      </w:r>
      <w:r>
        <w:rPr>
          <w:sz w:val="18"/>
        </w:rPr>
        <w:t>conflict</w:t>
      </w:r>
      <w:r>
        <w:rPr>
          <w:spacing w:val="-9"/>
          <w:sz w:val="18"/>
        </w:rPr>
        <w:t> </w:t>
      </w:r>
      <w:r>
        <w:rPr>
          <w:sz w:val="18"/>
        </w:rPr>
        <w:t>with</w:t>
      </w:r>
      <w:r>
        <w:rPr>
          <w:spacing w:val="-6"/>
          <w:sz w:val="18"/>
        </w:rPr>
        <w:t> </w:t>
      </w:r>
      <w:r>
        <w:rPr>
          <w:sz w:val="18"/>
        </w:rPr>
        <w:t>the</w:t>
      </w:r>
      <w:r>
        <w:rPr>
          <w:spacing w:val="-7"/>
          <w:sz w:val="18"/>
        </w:rPr>
        <w:t> </w:t>
      </w:r>
      <w:r>
        <w:rPr>
          <w:sz w:val="18"/>
        </w:rPr>
        <w:t>proper</w:t>
      </w:r>
      <w:r>
        <w:rPr>
          <w:spacing w:val="-7"/>
          <w:sz w:val="18"/>
        </w:rPr>
        <w:t> </w:t>
      </w:r>
      <w:r>
        <w:rPr>
          <w:sz w:val="18"/>
        </w:rPr>
        <w:t>valuation</w:t>
      </w:r>
      <w:r>
        <w:rPr>
          <w:spacing w:val="-7"/>
          <w:sz w:val="18"/>
        </w:rPr>
        <w:t> </w:t>
      </w:r>
      <w:r>
        <w:rPr>
          <w:sz w:val="18"/>
        </w:rPr>
        <w:t>of</w:t>
      </w:r>
      <w:r>
        <w:rPr>
          <w:spacing w:val="-6"/>
          <w:sz w:val="18"/>
        </w:rPr>
        <w:t> </w:t>
      </w:r>
      <w:r>
        <w:rPr>
          <w:sz w:val="18"/>
        </w:rPr>
        <w:t>the</w:t>
      </w:r>
      <w:r>
        <w:rPr>
          <w:spacing w:val="-7"/>
          <w:sz w:val="18"/>
        </w:rPr>
        <w:t> </w:t>
      </w:r>
      <w:r>
        <w:rPr>
          <w:sz w:val="18"/>
        </w:rPr>
        <w:t>property.</w:t>
      </w:r>
    </w:p>
    <w:p>
      <w:pPr>
        <w:spacing w:after="0" w:line="321" w:lineRule="auto"/>
        <w:jc w:val="both"/>
        <w:rPr>
          <w:sz w:val="18"/>
        </w:rPr>
        <w:sectPr>
          <w:type w:val="continuous"/>
          <w:pgSz w:w="11910" w:h="16840"/>
          <w:pgMar w:top="800" w:bottom="280" w:left="440" w:right="80"/>
          <w:cols w:num="2" w:equalWidth="0">
            <w:col w:w="1627" w:space="154"/>
            <w:col w:w="9609"/>
          </w:cols>
        </w:sectPr>
      </w:pPr>
    </w:p>
    <w:p>
      <w:pPr>
        <w:pStyle w:val="BodyText"/>
        <w:spacing w:before="5"/>
      </w:pPr>
    </w:p>
    <w:p>
      <w:pPr>
        <w:pStyle w:val="ListParagraph"/>
        <w:numPr>
          <w:ilvl w:val="1"/>
          <w:numId w:val="14"/>
        </w:numPr>
        <w:tabs>
          <w:tab w:pos="856" w:val="left" w:leader="none"/>
          <w:tab w:pos="857" w:val="left" w:leader="none"/>
        </w:tabs>
        <w:spacing w:line="240" w:lineRule="auto" w:before="106" w:after="0"/>
        <w:ind w:left="856" w:right="0" w:hanging="577"/>
        <w:jc w:val="left"/>
        <w:rPr>
          <w:color w:val="1F6647"/>
          <w:sz w:val="22"/>
        </w:rPr>
      </w:pPr>
      <w:bookmarkStart w:name="_bookmark32" w:id="64"/>
      <w:bookmarkEnd w:id="64"/>
      <w:r>
        <w:rPr/>
      </w:r>
      <w:bookmarkStart w:name="_bookmark32" w:id="65"/>
      <w:bookmarkEnd w:id="65"/>
      <w:r>
        <w:rPr>
          <w:color w:val="1F6647"/>
          <w:sz w:val="22"/>
        </w:rPr>
        <w:t>F</w:t>
      </w:r>
      <w:r>
        <w:rPr>
          <w:color w:val="1F6647"/>
          <w:sz w:val="22"/>
        </w:rPr>
        <w:t>irst International Finance Centre</w:t>
      </w:r>
      <w:r>
        <w:rPr>
          <w:color w:val="1F6647"/>
          <w:spacing w:val="-1"/>
          <w:sz w:val="22"/>
        </w:rPr>
        <w:t> </w:t>
      </w:r>
      <w:r>
        <w:rPr>
          <w:color w:val="1F6647"/>
          <w:sz w:val="22"/>
        </w:rPr>
        <w:t>(FIFC)</w:t>
      </w:r>
    </w:p>
    <w:p>
      <w:pPr>
        <w:pStyle w:val="BodyText"/>
        <w:rPr>
          <w:sz w:val="29"/>
        </w:rPr>
      </w:pPr>
    </w:p>
    <w:p>
      <w:pPr>
        <w:tabs>
          <w:tab w:pos="2385" w:val="left" w:leader="none"/>
        </w:tabs>
        <w:spacing w:line="321" w:lineRule="auto" w:before="0"/>
        <w:ind w:left="2385" w:right="668" w:hanging="1993"/>
        <w:jc w:val="both"/>
        <w:rPr>
          <w:sz w:val="18"/>
        </w:rPr>
      </w:pPr>
      <w:r>
        <w:rPr>
          <w:color w:val="006A4D"/>
          <w:sz w:val="18"/>
        </w:rPr>
        <w:t>Property</w:t>
      </w:r>
      <w:r>
        <w:rPr>
          <w:color w:val="006A4D"/>
          <w:spacing w:val="-15"/>
          <w:sz w:val="18"/>
        </w:rPr>
        <w:t> </w:t>
      </w:r>
      <w:r>
        <w:rPr>
          <w:color w:val="006A4D"/>
          <w:sz w:val="18"/>
        </w:rPr>
        <w:t>Name:</w:t>
        <w:tab/>
      </w:r>
      <w:r>
        <w:rPr>
          <w:sz w:val="18"/>
        </w:rPr>
        <w:t>First International Finance Centre is an operational office located along Bandra Kurla Complex Road, Bandra Kurla Complex, Mumbai,</w:t>
      </w:r>
      <w:r>
        <w:rPr>
          <w:spacing w:val="-6"/>
          <w:sz w:val="18"/>
        </w:rPr>
        <w:t> </w:t>
      </w:r>
      <w:r>
        <w:rPr>
          <w:sz w:val="18"/>
        </w:rPr>
        <w:t>Maharashtra</w:t>
      </w:r>
    </w:p>
    <w:p>
      <w:pPr>
        <w:pStyle w:val="BodyText"/>
        <w:spacing w:before="7"/>
        <w:rPr>
          <w:sz w:val="21"/>
        </w:rPr>
      </w:pPr>
    </w:p>
    <w:p>
      <w:pPr>
        <w:tabs>
          <w:tab w:pos="2385" w:val="left" w:leader="none"/>
        </w:tabs>
        <w:spacing w:before="0"/>
        <w:ind w:left="392" w:right="0" w:firstLine="0"/>
        <w:jc w:val="left"/>
        <w:rPr>
          <w:sz w:val="18"/>
        </w:rPr>
      </w:pPr>
      <w:r>
        <w:rPr>
          <w:color w:val="006A4D"/>
          <w:sz w:val="18"/>
        </w:rPr>
        <w:t>Property</w:t>
      </w:r>
      <w:r>
        <w:rPr>
          <w:color w:val="006A4D"/>
          <w:spacing w:val="-25"/>
          <w:sz w:val="18"/>
        </w:rPr>
        <w:t> </w:t>
      </w:r>
      <w:r>
        <w:rPr>
          <w:color w:val="006A4D"/>
          <w:sz w:val="18"/>
        </w:rPr>
        <w:t>Address:</w:t>
        <w:tab/>
      </w:r>
      <w:r>
        <w:rPr>
          <w:sz w:val="18"/>
        </w:rPr>
        <w:t>G-Block, BKC Road, Bandra Kurla Complex, Mumbai,</w:t>
      </w:r>
      <w:r>
        <w:rPr>
          <w:spacing w:val="-10"/>
          <w:sz w:val="18"/>
        </w:rPr>
        <w:t> </w:t>
      </w:r>
      <w:r>
        <w:rPr>
          <w:sz w:val="18"/>
        </w:rPr>
        <w:t>Maharashtra</w:t>
      </w:r>
    </w:p>
    <w:p>
      <w:pPr>
        <w:pStyle w:val="BodyText"/>
        <w:spacing w:before="8"/>
        <w:rPr>
          <w:sz w:val="27"/>
        </w:rPr>
      </w:pPr>
    </w:p>
    <w:p>
      <w:pPr>
        <w:tabs>
          <w:tab w:pos="2385" w:val="left" w:leader="none"/>
        </w:tabs>
        <w:spacing w:line="321" w:lineRule="auto" w:before="0"/>
        <w:ind w:left="2385" w:right="667" w:hanging="1993"/>
        <w:jc w:val="both"/>
        <w:rPr>
          <w:sz w:val="18"/>
        </w:rPr>
      </w:pPr>
      <w:r>
        <w:rPr>
          <w:color w:val="006A4D"/>
          <w:sz w:val="18"/>
        </w:rPr>
        <w:t>Land</w:t>
      </w:r>
      <w:r>
        <w:rPr>
          <w:color w:val="006A4D"/>
          <w:spacing w:val="-4"/>
          <w:sz w:val="18"/>
        </w:rPr>
        <w:t> </w:t>
      </w:r>
      <w:r>
        <w:rPr>
          <w:color w:val="006A4D"/>
          <w:sz w:val="18"/>
        </w:rPr>
        <w:t>Area:</w:t>
        <w:tab/>
      </w:r>
      <w:r>
        <w:rPr>
          <w:sz w:val="18"/>
        </w:rPr>
        <w:t>Based</w:t>
      </w:r>
      <w:r>
        <w:rPr>
          <w:spacing w:val="-29"/>
          <w:sz w:val="18"/>
        </w:rPr>
        <w:t> </w:t>
      </w:r>
      <w:r>
        <w:rPr>
          <w:sz w:val="18"/>
        </w:rPr>
        <w:t>on</w:t>
      </w:r>
      <w:r>
        <w:rPr>
          <w:spacing w:val="-29"/>
          <w:sz w:val="18"/>
        </w:rPr>
        <w:t> </w:t>
      </w:r>
      <w:r>
        <w:rPr>
          <w:sz w:val="18"/>
        </w:rPr>
        <w:t>review</w:t>
      </w:r>
      <w:r>
        <w:rPr>
          <w:spacing w:val="-29"/>
          <w:sz w:val="18"/>
        </w:rPr>
        <w:t> </w:t>
      </w:r>
      <w:r>
        <w:rPr>
          <w:sz w:val="18"/>
        </w:rPr>
        <w:t>of</w:t>
      </w:r>
      <w:r>
        <w:rPr>
          <w:spacing w:val="-29"/>
          <w:sz w:val="18"/>
        </w:rPr>
        <w:t> </w:t>
      </w:r>
      <w:r>
        <w:rPr>
          <w:sz w:val="18"/>
        </w:rPr>
        <w:t>the</w:t>
      </w:r>
      <w:r>
        <w:rPr>
          <w:spacing w:val="-28"/>
          <w:sz w:val="18"/>
        </w:rPr>
        <w:t> </w:t>
      </w:r>
      <w:r>
        <w:rPr>
          <w:sz w:val="18"/>
        </w:rPr>
        <w:t>title</w:t>
      </w:r>
      <w:r>
        <w:rPr>
          <w:spacing w:val="-29"/>
          <w:sz w:val="18"/>
        </w:rPr>
        <w:t> </w:t>
      </w:r>
      <w:r>
        <w:rPr>
          <w:sz w:val="18"/>
        </w:rPr>
        <w:t>report,</w:t>
      </w:r>
      <w:r>
        <w:rPr>
          <w:spacing w:val="-29"/>
          <w:sz w:val="18"/>
        </w:rPr>
        <w:t> </w:t>
      </w:r>
      <w:r>
        <w:rPr>
          <w:sz w:val="18"/>
        </w:rPr>
        <w:t>we</w:t>
      </w:r>
      <w:r>
        <w:rPr>
          <w:spacing w:val="-29"/>
          <w:sz w:val="18"/>
        </w:rPr>
        <w:t> </w:t>
      </w:r>
      <w:r>
        <w:rPr>
          <w:sz w:val="18"/>
        </w:rPr>
        <w:t>understand</w:t>
      </w:r>
      <w:r>
        <w:rPr>
          <w:spacing w:val="-29"/>
          <w:sz w:val="18"/>
        </w:rPr>
        <w:t> </w:t>
      </w:r>
      <w:r>
        <w:rPr>
          <w:sz w:val="18"/>
        </w:rPr>
        <w:t>that</w:t>
      </w:r>
      <w:r>
        <w:rPr>
          <w:spacing w:val="-30"/>
          <w:sz w:val="18"/>
        </w:rPr>
        <w:t> </w:t>
      </w:r>
      <w:r>
        <w:rPr>
          <w:sz w:val="18"/>
        </w:rPr>
        <w:t>the</w:t>
      </w:r>
      <w:r>
        <w:rPr>
          <w:spacing w:val="-29"/>
          <w:sz w:val="18"/>
        </w:rPr>
        <w:t> </w:t>
      </w:r>
      <w:r>
        <w:rPr>
          <w:sz w:val="18"/>
        </w:rPr>
        <w:t>total</w:t>
      </w:r>
      <w:r>
        <w:rPr>
          <w:spacing w:val="-29"/>
          <w:sz w:val="18"/>
        </w:rPr>
        <w:t> </w:t>
      </w:r>
      <w:r>
        <w:rPr>
          <w:sz w:val="18"/>
        </w:rPr>
        <w:t>land</w:t>
      </w:r>
      <w:r>
        <w:rPr>
          <w:spacing w:val="-29"/>
          <w:sz w:val="18"/>
        </w:rPr>
        <w:t> </w:t>
      </w:r>
      <w:r>
        <w:rPr>
          <w:sz w:val="18"/>
        </w:rPr>
        <w:t>area</w:t>
      </w:r>
      <w:r>
        <w:rPr>
          <w:spacing w:val="-29"/>
          <w:sz w:val="18"/>
        </w:rPr>
        <w:t> </w:t>
      </w:r>
      <w:r>
        <w:rPr>
          <w:sz w:val="18"/>
        </w:rPr>
        <w:t>of</w:t>
      </w:r>
      <w:r>
        <w:rPr>
          <w:spacing w:val="-29"/>
          <w:sz w:val="18"/>
        </w:rPr>
        <w:t> </w:t>
      </w:r>
      <w:r>
        <w:rPr>
          <w:sz w:val="18"/>
        </w:rPr>
        <w:t>the</w:t>
      </w:r>
      <w:r>
        <w:rPr>
          <w:spacing w:val="-29"/>
          <w:sz w:val="18"/>
        </w:rPr>
        <w:t> </w:t>
      </w:r>
      <w:r>
        <w:rPr>
          <w:sz w:val="18"/>
        </w:rPr>
        <w:t>subject</w:t>
      </w:r>
      <w:r>
        <w:rPr>
          <w:spacing w:val="-29"/>
          <w:sz w:val="18"/>
        </w:rPr>
        <w:t> </w:t>
      </w:r>
      <w:r>
        <w:rPr>
          <w:sz w:val="18"/>
        </w:rPr>
        <w:t>property</w:t>
      </w:r>
      <w:r>
        <w:rPr>
          <w:spacing w:val="-29"/>
          <w:sz w:val="18"/>
        </w:rPr>
        <w:t> </w:t>
      </w:r>
      <w:r>
        <w:rPr>
          <w:sz w:val="18"/>
        </w:rPr>
        <w:t>under</w:t>
      </w:r>
      <w:r>
        <w:rPr>
          <w:spacing w:val="-30"/>
          <w:sz w:val="18"/>
        </w:rPr>
        <w:t> </w:t>
      </w:r>
      <w:r>
        <w:rPr>
          <w:sz w:val="18"/>
        </w:rPr>
        <w:t>the ownership of the Client is approximately 1.99</w:t>
      </w:r>
      <w:r>
        <w:rPr>
          <w:spacing w:val="-26"/>
          <w:sz w:val="18"/>
        </w:rPr>
        <w:t> </w:t>
      </w:r>
      <w:r>
        <w:rPr>
          <w:sz w:val="18"/>
        </w:rPr>
        <w:t>Acres</w:t>
      </w:r>
    </w:p>
    <w:p>
      <w:pPr>
        <w:pStyle w:val="BodyText"/>
        <w:spacing w:before="7"/>
        <w:rPr>
          <w:sz w:val="21"/>
        </w:rPr>
      </w:pPr>
    </w:p>
    <w:p>
      <w:pPr>
        <w:tabs>
          <w:tab w:pos="2385" w:val="left" w:leader="none"/>
        </w:tabs>
        <w:spacing w:line="321" w:lineRule="auto" w:before="0"/>
        <w:ind w:left="2385" w:right="662" w:hanging="1993"/>
        <w:jc w:val="both"/>
        <w:rPr>
          <w:sz w:val="18"/>
        </w:rPr>
      </w:pPr>
      <w:r>
        <w:rPr>
          <w:color w:val="006A4D"/>
          <w:sz w:val="18"/>
        </w:rPr>
        <w:t>Brief</w:t>
      </w:r>
      <w:r>
        <w:rPr>
          <w:color w:val="006A4D"/>
          <w:spacing w:val="-31"/>
          <w:sz w:val="18"/>
        </w:rPr>
        <w:t> </w:t>
      </w:r>
      <w:r>
        <w:rPr>
          <w:color w:val="006A4D"/>
          <w:sz w:val="18"/>
        </w:rPr>
        <w:t>Description:</w:t>
        <w:tab/>
      </w:r>
      <w:r>
        <w:rPr>
          <w:sz w:val="18"/>
        </w:rPr>
        <w:t>The</w:t>
      </w:r>
      <w:r>
        <w:rPr>
          <w:spacing w:val="-18"/>
          <w:sz w:val="18"/>
        </w:rPr>
        <w:t> </w:t>
      </w:r>
      <w:r>
        <w:rPr>
          <w:sz w:val="18"/>
        </w:rPr>
        <w:t>subject</w:t>
      </w:r>
      <w:r>
        <w:rPr>
          <w:spacing w:val="-20"/>
          <w:sz w:val="18"/>
        </w:rPr>
        <w:t> </w:t>
      </w:r>
      <w:r>
        <w:rPr>
          <w:sz w:val="18"/>
        </w:rPr>
        <w:t>property,</w:t>
      </w:r>
      <w:r>
        <w:rPr>
          <w:spacing w:val="-19"/>
          <w:sz w:val="18"/>
        </w:rPr>
        <w:t> </w:t>
      </w:r>
      <w:r>
        <w:rPr>
          <w:sz w:val="18"/>
        </w:rPr>
        <w:t>‘First</w:t>
      </w:r>
      <w:r>
        <w:rPr>
          <w:spacing w:val="-20"/>
          <w:sz w:val="18"/>
        </w:rPr>
        <w:t> </w:t>
      </w:r>
      <w:r>
        <w:rPr>
          <w:sz w:val="18"/>
        </w:rPr>
        <w:t>International</w:t>
      </w:r>
      <w:r>
        <w:rPr>
          <w:spacing w:val="-20"/>
          <w:sz w:val="18"/>
        </w:rPr>
        <w:t> </w:t>
      </w:r>
      <w:r>
        <w:rPr>
          <w:sz w:val="18"/>
        </w:rPr>
        <w:t>Finance</w:t>
      </w:r>
      <w:r>
        <w:rPr>
          <w:spacing w:val="-18"/>
          <w:sz w:val="18"/>
        </w:rPr>
        <w:t> </w:t>
      </w:r>
      <w:r>
        <w:rPr>
          <w:sz w:val="18"/>
        </w:rPr>
        <w:t>Centre’</w:t>
      </w:r>
      <w:r>
        <w:rPr>
          <w:spacing w:val="-20"/>
          <w:sz w:val="18"/>
        </w:rPr>
        <w:t> </w:t>
      </w:r>
      <w:r>
        <w:rPr>
          <w:sz w:val="18"/>
        </w:rPr>
        <w:t>is</w:t>
      </w:r>
      <w:r>
        <w:rPr>
          <w:spacing w:val="-19"/>
          <w:sz w:val="18"/>
        </w:rPr>
        <w:t> </w:t>
      </w:r>
      <w:r>
        <w:rPr>
          <w:sz w:val="18"/>
        </w:rPr>
        <w:t>an</w:t>
      </w:r>
      <w:r>
        <w:rPr>
          <w:spacing w:val="-19"/>
          <w:sz w:val="18"/>
        </w:rPr>
        <w:t> </w:t>
      </w:r>
      <w:r>
        <w:rPr>
          <w:sz w:val="18"/>
        </w:rPr>
        <w:t>operational</w:t>
      </w:r>
      <w:r>
        <w:rPr>
          <w:spacing w:val="-19"/>
          <w:sz w:val="18"/>
        </w:rPr>
        <w:t> </w:t>
      </w:r>
      <w:r>
        <w:rPr>
          <w:sz w:val="18"/>
        </w:rPr>
        <w:t>office</w:t>
      </w:r>
      <w:r>
        <w:rPr>
          <w:spacing w:val="-19"/>
          <w:sz w:val="18"/>
        </w:rPr>
        <w:t> </w:t>
      </w:r>
      <w:r>
        <w:rPr>
          <w:sz w:val="18"/>
        </w:rPr>
        <w:t>located</w:t>
      </w:r>
      <w:r>
        <w:rPr>
          <w:spacing w:val="-20"/>
          <w:sz w:val="18"/>
        </w:rPr>
        <w:t> </w:t>
      </w:r>
      <w:r>
        <w:rPr>
          <w:sz w:val="18"/>
        </w:rPr>
        <w:t>along</w:t>
      </w:r>
      <w:r>
        <w:rPr>
          <w:spacing w:val="-18"/>
          <w:sz w:val="18"/>
        </w:rPr>
        <w:t> </w:t>
      </w:r>
      <w:r>
        <w:rPr>
          <w:sz w:val="18"/>
        </w:rPr>
        <w:t>BKC</w:t>
      </w:r>
      <w:r>
        <w:rPr>
          <w:spacing w:val="-20"/>
          <w:sz w:val="18"/>
        </w:rPr>
        <w:t> </w:t>
      </w:r>
      <w:r>
        <w:rPr>
          <w:sz w:val="18"/>
        </w:rPr>
        <w:t>Road in G Block, Bandra Kurla Complex, Mumbai. The subject development has a total leasable area of approximately</w:t>
      </w:r>
      <w:r>
        <w:rPr>
          <w:spacing w:val="-24"/>
          <w:sz w:val="18"/>
        </w:rPr>
        <w:t> </w:t>
      </w:r>
      <w:r>
        <w:rPr>
          <w:sz w:val="18"/>
        </w:rPr>
        <w:t>658,390</w:t>
      </w:r>
      <w:r>
        <w:rPr>
          <w:spacing w:val="-23"/>
          <w:sz w:val="18"/>
        </w:rPr>
        <w:t> </w:t>
      </w:r>
      <w:r>
        <w:rPr>
          <w:sz w:val="18"/>
        </w:rPr>
        <w:t>sf.</w:t>
      </w:r>
      <w:r>
        <w:rPr>
          <w:spacing w:val="-23"/>
          <w:sz w:val="18"/>
        </w:rPr>
        <w:t> </w:t>
      </w:r>
      <w:r>
        <w:rPr>
          <w:sz w:val="18"/>
        </w:rPr>
        <w:t>The</w:t>
      </w:r>
      <w:r>
        <w:rPr>
          <w:spacing w:val="-23"/>
          <w:sz w:val="18"/>
        </w:rPr>
        <w:t> </w:t>
      </w:r>
      <w:r>
        <w:rPr>
          <w:sz w:val="18"/>
        </w:rPr>
        <w:t>development</w:t>
      </w:r>
      <w:r>
        <w:rPr>
          <w:spacing w:val="-24"/>
          <w:sz w:val="18"/>
        </w:rPr>
        <w:t> </w:t>
      </w:r>
      <w:r>
        <w:rPr>
          <w:sz w:val="18"/>
        </w:rPr>
        <w:t>is</w:t>
      </w:r>
      <w:r>
        <w:rPr>
          <w:spacing w:val="-23"/>
          <w:sz w:val="18"/>
        </w:rPr>
        <w:t> </w:t>
      </w:r>
      <w:r>
        <w:rPr>
          <w:sz w:val="18"/>
        </w:rPr>
        <w:t>operated</w:t>
      </w:r>
      <w:r>
        <w:rPr>
          <w:spacing w:val="-23"/>
          <w:sz w:val="18"/>
        </w:rPr>
        <w:t> </w:t>
      </w:r>
      <w:r>
        <w:rPr>
          <w:sz w:val="18"/>
        </w:rPr>
        <w:t>as</w:t>
      </w:r>
      <w:r>
        <w:rPr>
          <w:spacing w:val="-23"/>
          <w:sz w:val="18"/>
        </w:rPr>
        <w:t> </w:t>
      </w:r>
      <w:r>
        <w:rPr>
          <w:sz w:val="18"/>
        </w:rPr>
        <w:t>a</w:t>
      </w:r>
      <w:r>
        <w:rPr>
          <w:spacing w:val="-23"/>
          <w:sz w:val="18"/>
        </w:rPr>
        <w:t> </w:t>
      </w:r>
      <w:r>
        <w:rPr>
          <w:sz w:val="18"/>
        </w:rPr>
        <w:t>condominium</w:t>
      </w:r>
      <w:r>
        <w:rPr>
          <w:spacing w:val="-23"/>
          <w:sz w:val="18"/>
        </w:rPr>
        <w:t> </w:t>
      </w:r>
      <w:r>
        <w:rPr>
          <w:sz w:val="18"/>
        </w:rPr>
        <w:t>and</w:t>
      </w:r>
      <w:r>
        <w:rPr>
          <w:spacing w:val="-23"/>
          <w:sz w:val="18"/>
        </w:rPr>
        <w:t> </w:t>
      </w:r>
      <w:r>
        <w:rPr>
          <w:sz w:val="18"/>
        </w:rPr>
        <w:t>is</w:t>
      </w:r>
      <w:r>
        <w:rPr>
          <w:spacing w:val="-23"/>
          <w:sz w:val="18"/>
        </w:rPr>
        <w:t> </w:t>
      </w:r>
      <w:r>
        <w:rPr>
          <w:sz w:val="18"/>
        </w:rPr>
        <w:t>co-owned</w:t>
      </w:r>
      <w:r>
        <w:rPr>
          <w:spacing w:val="-25"/>
          <w:sz w:val="18"/>
        </w:rPr>
        <w:t> </w:t>
      </w:r>
      <w:r>
        <w:rPr>
          <w:sz w:val="18"/>
        </w:rPr>
        <w:t>by</w:t>
      </w:r>
      <w:r>
        <w:rPr>
          <w:spacing w:val="-23"/>
          <w:sz w:val="18"/>
        </w:rPr>
        <w:t> </w:t>
      </w:r>
      <w:r>
        <w:rPr>
          <w:sz w:val="18"/>
        </w:rPr>
        <w:t>two</w:t>
      </w:r>
      <w:r>
        <w:rPr>
          <w:spacing w:val="-23"/>
          <w:sz w:val="18"/>
        </w:rPr>
        <w:t> </w:t>
      </w:r>
      <w:r>
        <w:rPr>
          <w:sz w:val="18"/>
        </w:rPr>
        <w:t>entities viz.</w:t>
      </w:r>
      <w:r>
        <w:rPr>
          <w:spacing w:val="-30"/>
          <w:sz w:val="18"/>
        </w:rPr>
        <w:t> </w:t>
      </w:r>
      <w:r>
        <w:rPr>
          <w:sz w:val="18"/>
        </w:rPr>
        <w:t>a</w:t>
      </w:r>
      <w:r>
        <w:rPr>
          <w:spacing w:val="-29"/>
          <w:sz w:val="18"/>
        </w:rPr>
        <w:t> </w:t>
      </w:r>
      <w:r>
        <w:rPr>
          <w:sz w:val="18"/>
        </w:rPr>
        <w:t>leading</w:t>
      </w:r>
      <w:r>
        <w:rPr>
          <w:spacing w:val="-30"/>
          <w:sz w:val="18"/>
        </w:rPr>
        <w:t> </w:t>
      </w:r>
      <w:r>
        <w:rPr>
          <w:sz w:val="18"/>
        </w:rPr>
        <w:t>bank</w:t>
      </w:r>
      <w:r>
        <w:rPr>
          <w:spacing w:val="-29"/>
          <w:sz w:val="18"/>
        </w:rPr>
        <w:t> </w:t>
      </w:r>
      <w:r>
        <w:rPr>
          <w:sz w:val="18"/>
        </w:rPr>
        <w:t>and</w:t>
      </w:r>
      <w:r>
        <w:rPr>
          <w:spacing w:val="-30"/>
          <w:sz w:val="18"/>
        </w:rPr>
        <w:t> </w:t>
      </w:r>
      <w:r>
        <w:rPr>
          <w:sz w:val="18"/>
        </w:rPr>
        <w:t>the</w:t>
      </w:r>
      <w:r>
        <w:rPr>
          <w:spacing w:val="-29"/>
          <w:sz w:val="18"/>
        </w:rPr>
        <w:t> </w:t>
      </w:r>
      <w:r>
        <w:rPr>
          <w:sz w:val="18"/>
        </w:rPr>
        <w:t>Client.</w:t>
      </w:r>
      <w:r>
        <w:rPr>
          <w:spacing w:val="-29"/>
          <w:sz w:val="18"/>
        </w:rPr>
        <w:t> </w:t>
      </w:r>
      <w:r>
        <w:rPr>
          <w:sz w:val="18"/>
        </w:rPr>
        <w:t>Based</w:t>
      </w:r>
      <w:r>
        <w:rPr>
          <w:spacing w:val="-31"/>
          <w:sz w:val="18"/>
        </w:rPr>
        <w:t> </w:t>
      </w:r>
      <w:r>
        <w:rPr>
          <w:sz w:val="18"/>
        </w:rPr>
        <w:t>on</w:t>
      </w:r>
      <w:r>
        <w:rPr>
          <w:spacing w:val="-29"/>
          <w:sz w:val="18"/>
        </w:rPr>
        <w:t> </w:t>
      </w:r>
      <w:r>
        <w:rPr>
          <w:sz w:val="18"/>
        </w:rPr>
        <w:t>review</w:t>
      </w:r>
      <w:r>
        <w:rPr>
          <w:spacing w:val="-30"/>
          <w:sz w:val="18"/>
        </w:rPr>
        <w:t> </w:t>
      </w:r>
      <w:r>
        <w:rPr>
          <w:sz w:val="18"/>
        </w:rPr>
        <w:t>of</w:t>
      </w:r>
      <w:r>
        <w:rPr>
          <w:spacing w:val="-29"/>
          <w:sz w:val="18"/>
        </w:rPr>
        <w:t> </w:t>
      </w:r>
      <w:r>
        <w:rPr>
          <w:sz w:val="18"/>
        </w:rPr>
        <w:t>the</w:t>
      </w:r>
      <w:r>
        <w:rPr>
          <w:spacing w:val="-29"/>
          <w:sz w:val="18"/>
        </w:rPr>
        <w:t> </w:t>
      </w:r>
      <w:r>
        <w:rPr>
          <w:sz w:val="18"/>
        </w:rPr>
        <w:t>title</w:t>
      </w:r>
      <w:r>
        <w:rPr>
          <w:spacing w:val="-30"/>
          <w:sz w:val="18"/>
        </w:rPr>
        <w:t> </w:t>
      </w:r>
      <w:r>
        <w:rPr>
          <w:sz w:val="18"/>
        </w:rPr>
        <w:t>report</w:t>
      </w:r>
      <w:r>
        <w:rPr>
          <w:spacing w:val="-30"/>
          <w:sz w:val="18"/>
        </w:rPr>
        <w:t> </w:t>
      </w:r>
      <w:r>
        <w:rPr>
          <w:sz w:val="18"/>
        </w:rPr>
        <w:t>for</w:t>
      </w:r>
      <w:r>
        <w:rPr>
          <w:spacing w:val="-30"/>
          <w:sz w:val="18"/>
        </w:rPr>
        <w:t> </w:t>
      </w:r>
      <w:r>
        <w:rPr>
          <w:sz w:val="18"/>
        </w:rPr>
        <w:t>the</w:t>
      </w:r>
      <w:r>
        <w:rPr>
          <w:spacing w:val="-29"/>
          <w:sz w:val="18"/>
        </w:rPr>
        <w:t> </w:t>
      </w:r>
      <w:r>
        <w:rPr>
          <w:sz w:val="18"/>
        </w:rPr>
        <w:t>subject</w:t>
      </w:r>
      <w:r>
        <w:rPr>
          <w:spacing w:val="-31"/>
          <w:sz w:val="18"/>
        </w:rPr>
        <w:t> </w:t>
      </w:r>
      <w:r>
        <w:rPr>
          <w:sz w:val="18"/>
        </w:rPr>
        <w:t>property,</w:t>
      </w:r>
      <w:r>
        <w:rPr>
          <w:spacing w:val="-29"/>
          <w:sz w:val="18"/>
        </w:rPr>
        <w:t> </w:t>
      </w:r>
      <w:r>
        <w:rPr>
          <w:sz w:val="18"/>
        </w:rPr>
        <w:t>the</w:t>
      </w:r>
      <w:r>
        <w:rPr>
          <w:spacing w:val="-29"/>
          <w:sz w:val="18"/>
        </w:rPr>
        <w:t> </w:t>
      </w:r>
      <w:r>
        <w:rPr>
          <w:sz w:val="18"/>
        </w:rPr>
        <w:t>Client</w:t>
      </w:r>
      <w:r>
        <w:rPr>
          <w:spacing w:val="-31"/>
          <w:sz w:val="18"/>
        </w:rPr>
        <w:t> </w:t>
      </w:r>
      <w:r>
        <w:rPr>
          <w:sz w:val="18"/>
        </w:rPr>
        <w:t>has an ownership of approximately 360,947 sf of the total leasable area and the same has been considered for</w:t>
      </w:r>
      <w:r>
        <w:rPr>
          <w:spacing w:val="-31"/>
          <w:sz w:val="18"/>
        </w:rPr>
        <w:t> </w:t>
      </w:r>
      <w:r>
        <w:rPr>
          <w:sz w:val="18"/>
        </w:rPr>
        <w:t>the</w:t>
      </w:r>
      <w:r>
        <w:rPr>
          <w:spacing w:val="-30"/>
          <w:sz w:val="18"/>
        </w:rPr>
        <w:t> </w:t>
      </w:r>
      <w:r>
        <w:rPr>
          <w:sz w:val="18"/>
        </w:rPr>
        <w:t>purpose</w:t>
      </w:r>
      <w:r>
        <w:rPr>
          <w:spacing w:val="-31"/>
          <w:sz w:val="18"/>
        </w:rPr>
        <w:t> </w:t>
      </w:r>
      <w:r>
        <w:rPr>
          <w:sz w:val="18"/>
        </w:rPr>
        <w:t>for</w:t>
      </w:r>
      <w:r>
        <w:rPr>
          <w:spacing w:val="-31"/>
          <w:sz w:val="18"/>
        </w:rPr>
        <w:t> </w:t>
      </w:r>
      <w:r>
        <w:rPr>
          <w:sz w:val="18"/>
        </w:rPr>
        <w:t>this</w:t>
      </w:r>
      <w:r>
        <w:rPr>
          <w:spacing w:val="-30"/>
          <w:sz w:val="18"/>
        </w:rPr>
        <w:t> </w:t>
      </w:r>
      <w:r>
        <w:rPr>
          <w:sz w:val="18"/>
        </w:rPr>
        <w:t>valuation</w:t>
      </w:r>
      <w:r>
        <w:rPr>
          <w:spacing w:val="-30"/>
          <w:sz w:val="18"/>
        </w:rPr>
        <w:t> </w:t>
      </w:r>
      <w:r>
        <w:rPr>
          <w:sz w:val="18"/>
        </w:rPr>
        <w:t>exercise</w:t>
      </w:r>
      <w:r>
        <w:rPr>
          <w:spacing w:val="-30"/>
          <w:sz w:val="18"/>
        </w:rPr>
        <w:t> </w:t>
      </w:r>
      <w:r>
        <w:rPr>
          <w:sz w:val="18"/>
        </w:rPr>
        <w:t>(this</w:t>
      </w:r>
      <w:r>
        <w:rPr>
          <w:spacing w:val="-30"/>
          <w:sz w:val="18"/>
        </w:rPr>
        <w:t> </w:t>
      </w:r>
      <w:r>
        <w:rPr>
          <w:sz w:val="18"/>
        </w:rPr>
        <w:t>area</w:t>
      </w:r>
      <w:r>
        <w:rPr>
          <w:spacing w:val="-31"/>
          <w:sz w:val="18"/>
        </w:rPr>
        <w:t> </w:t>
      </w:r>
      <w:r>
        <w:rPr>
          <w:sz w:val="18"/>
        </w:rPr>
        <w:t>will</w:t>
      </w:r>
      <w:r>
        <w:rPr>
          <w:spacing w:val="-31"/>
          <w:sz w:val="18"/>
        </w:rPr>
        <w:t> </w:t>
      </w:r>
      <w:r>
        <w:rPr>
          <w:sz w:val="18"/>
        </w:rPr>
        <w:t>be</w:t>
      </w:r>
      <w:r>
        <w:rPr>
          <w:spacing w:val="-30"/>
          <w:sz w:val="18"/>
        </w:rPr>
        <w:t> </w:t>
      </w:r>
      <w:r>
        <w:rPr>
          <w:sz w:val="18"/>
        </w:rPr>
        <w:t>considered</w:t>
      </w:r>
      <w:r>
        <w:rPr>
          <w:spacing w:val="-30"/>
          <w:sz w:val="18"/>
        </w:rPr>
        <w:t> </w:t>
      </w:r>
      <w:r>
        <w:rPr>
          <w:sz w:val="18"/>
        </w:rPr>
        <w:t>as</w:t>
      </w:r>
      <w:r>
        <w:rPr>
          <w:spacing w:val="-30"/>
          <w:sz w:val="18"/>
        </w:rPr>
        <w:t> </w:t>
      </w:r>
      <w:r>
        <w:rPr>
          <w:sz w:val="18"/>
        </w:rPr>
        <w:t>the</w:t>
      </w:r>
      <w:r>
        <w:rPr>
          <w:spacing w:val="-31"/>
          <w:sz w:val="18"/>
        </w:rPr>
        <w:t> </w:t>
      </w:r>
      <w:r>
        <w:rPr>
          <w:sz w:val="18"/>
        </w:rPr>
        <w:t>subject</w:t>
      </w:r>
      <w:r>
        <w:rPr>
          <w:spacing w:val="-32"/>
          <w:sz w:val="18"/>
        </w:rPr>
        <w:t> </w:t>
      </w:r>
      <w:r>
        <w:rPr>
          <w:sz w:val="18"/>
        </w:rPr>
        <w:t>property</w:t>
      </w:r>
      <w:r>
        <w:rPr>
          <w:spacing w:val="-30"/>
          <w:sz w:val="18"/>
        </w:rPr>
        <w:t> </w:t>
      </w:r>
      <w:r>
        <w:rPr>
          <w:sz w:val="18"/>
        </w:rPr>
        <w:t>hereinafter). The</w:t>
      </w:r>
      <w:r>
        <w:rPr>
          <w:spacing w:val="-2"/>
          <w:sz w:val="18"/>
        </w:rPr>
        <w:t> </w:t>
      </w:r>
      <w:r>
        <w:rPr>
          <w:sz w:val="18"/>
        </w:rPr>
        <w:t>subject</w:t>
      </w:r>
      <w:r>
        <w:rPr>
          <w:spacing w:val="-4"/>
          <w:sz w:val="18"/>
        </w:rPr>
        <w:t> </w:t>
      </w:r>
      <w:r>
        <w:rPr>
          <w:sz w:val="18"/>
        </w:rPr>
        <w:t>property</w:t>
      </w:r>
      <w:r>
        <w:rPr>
          <w:spacing w:val="-2"/>
          <w:sz w:val="18"/>
        </w:rPr>
        <w:t> </w:t>
      </w:r>
      <w:r>
        <w:rPr>
          <w:sz w:val="18"/>
        </w:rPr>
        <w:t>is</w:t>
      </w:r>
      <w:r>
        <w:rPr>
          <w:spacing w:val="-3"/>
          <w:sz w:val="18"/>
        </w:rPr>
        <w:t> </w:t>
      </w:r>
      <w:r>
        <w:rPr>
          <w:sz w:val="18"/>
        </w:rPr>
        <w:t>in</w:t>
      </w:r>
      <w:r>
        <w:rPr>
          <w:spacing w:val="-2"/>
          <w:sz w:val="18"/>
        </w:rPr>
        <w:t> </w:t>
      </w:r>
      <w:r>
        <w:rPr>
          <w:sz w:val="18"/>
        </w:rPr>
        <w:t>proximity</w:t>
      </w:r>
      <w:r>
        <w:rPr>
          <w:spacing w:val="-3"/>
          <w:sz w:val="18"/>
        </w:rPr>
        <w:t> </w:t>
      </w:r>
      <w:r>
        <w:rPr>
          <w:sz w:val="18"/>
        </w:rPr>
        <w:t>to</w:t>
      </w:r>
      <w:r>
        <w:rPr>
          <w:spacing w:val="-2"/>
          <w:sz w:val="18"/>
        </w:rPr>
        <w:t> </w:t>
      </w:r>
      <w:r>
        <w:rPr>
          <w:sz w:val="18"/>
        </w:rPr>
        <w:t>locations</w:t>
      </w:r>
      <w:r>
        <w:rPr>
          <w:spacing w:val="-2"/>
          <w:sz w:val="18"/>
        </w:rPr>
        <w:t> </w:t>
      </w:r>
      <w:r>
        <w:rPr>
          <w:sz w:val="18"/>
        </w:rPr>
        <w:t>such</w:t>
      </w:r>
      <w:r>
        <w:rPr>
          <w:spacing w:val="-2"/>
          <w:sz w:val="18"/>
        </w:rPr>
        <w:t> </w:t>
      </w:r>
      <w:r>
        <w:rPr>
          <w:sz w:val="18"/>
        </w:rPr>
        <w:t>as</w:t>
      </w:r>
      <w:r>
        <w:rPr>
          <w:spacing w:val="-2"/>
          <w:sz w:val="18"/>
        </w:rPr>
        <w:t> </w:t>
      </w:r>
      <w:r>
        <w:rPr>
          <w:sz w:val="18"/>
        </w:rPr>
        <w:t>Kurla,</w:t>
      </w:r>
      <w:r>
        <w:rPr>
          <w:spacing w:val="-3"/>
          <w:sz w:val="18"/>
        </w:rPr>
        <w:t> </w:t>
      </w:r>
      <w:r>
        <w:rPr>
          <w:sz w:val="18"/>
        </w:rPr>
        <w:t>Bandra</w:t>
      </w:r>
      <w:r>
        <w:rPr>
          <w:spacing w:val="-2"/>
          <w:sz w:val="18"/>
        </w:rPr>
        <w:t> </w:t>
      </w:r>
      <w:r>
        <w:rPr>
          <w:sz w:val="18"/>
        </w:rPr>
        <w:t>West,</w:t>
      </w:r>
      <w:r>
        <w:rPr>
          <w:spacing w:val="-2"/>
          <w:sz w:val="18"/>
        </w:rPr>
        <w:t> </w:t>
      </w:r>
      <w:r>
        <w:rPr>
          <w:sz w:val="18"/>
        </w:rPr>
        <w:t>Santacruz</w:t>
      </w:r>
      <w:r>
        <w:rPr>
          <w:spacing w:val="-3"/>
          <w:sz w:val="18"/>
        </w:rPr>
        <w:t> </w:t>
      </w:r>
      <w:r>
        <w:rPr>
          <w:sz w:val="18"/>
        </w:rPr>
        <w:t>etc.,</w:t>
      </w:r>
      <w:r>
        <w:rPr>
          <w:spacing w:val="-4"/>
          <w:sz w:val="18"/>
        </w:rPr>
        <w:t> </w:t>
      </w:r>
      <w:r>
        <w:rPr>
          <w:sz w:val="18"/>
        </w:rPr>
        <w:t>which</w:t>
      </w:r>
      <w:r>
        <w:rPr>
          <w:spacing w:val="-1"/>
          <w:sz w:val="18"/>
        </w:rPr>
        <w:t> </w:t>
      </w:r>
      <w:r>
        <w:rPr>
          <w:sz w:val="18"/>
        </w:rPr>
        <w:t>are considered</w:t>
      </w:r>
      <w:r>
        <w:rPr>
          <w:spacing w:val="-9"/>
          <w:sz w:val="18"/>
        </w:rPr>
        <w:t> </w:t>
      </w:r>
      <w:r>
        <w:rPr>
          <w:sz w:val="18"/>
        </w:rPr>
        <w:t>as</w:t>
      </w:r>
      <w:r>
        <w:rPr>
          <w:spacing w:val="-7"/>
          <w:sz w:val="18"/>
        </w:rPr>
        <w:t> </w:t>
      </w:r>
      <w:r>
        <w:rPr>
          <w:sz w:val="18"/>
        </w:rPr>
        <w:t>established</w:t>
      </w:r>
      <w:r>
        <w:rPr>
          <w:spacing w:val="-8"/>
          <w:sz w:val="18"/>
        </w:rPr>
        <w:t> </w:t>
      </w:r>
      <w:r>
        <w:rPr>
          <w:sz w:val="18"/>
        </w:rPr>
        <w:t>residential</w:t>
      </w:r>
      <w:r>
        <w:rPr>
          <w:spacing w:val="-8"/>
          <w:sz w:val="18"/>
        </w:rPr>
        <w:t> </w:t>
      </w:r>
      <w:r>
        <w:rPr>
          <w:sz w:val="18"/>
        </w:rPr>
        <w:t>and</w:t>
      </w:r>
      <w:r>
        <w:rPr>
          <w:spacing w:val="-8"/>
          <w:sz w:val="18"/>
        </w:rPr>
        <w:t> </w:t>
      </w:r>
      <w:r>
        <w:rPr>
          <w:sz w:val="18"/>
        </w:rPr>
        <w:t>commercial</w:t>
      </w:r>
      <w:r>
        <w:rPr>
          <w:spacing w:val="-8"/>
          <w:sz w:val="18"/>
        </w:rPr>
        <w:t> </w:t>
      </w:r>
      <w:r>
        <w:rPr>
          <w:sz w:val="18"/>
        </w:rPr>
        <w:t>locations</w:t>
      </w:r>
      <w:r>
        <w:rPr>
          <w:spacing w:val="-7"/>
          <w:sz w:val="18"/>
        </w:rPr>
        <w:t> </w:t>
      </w:r>
      <w:r>
        <w:rPr>
          <w:sz w:val="18"/>
        </w:rPr>
        <w:t>within</w:t>
      </w:r>
      <w:r>
        <w:rPr>
          <w:spacing w:val="-8"/>
          <w:sz w:val="18"/>
        </w:rPr>
        <w:t> </w:t>
      </w:r>
      <w:r>
        <w:rPr>
          <w:sz w:val="18"/>
        </w:rPr>
        <w:t>the</w:t>
      </w:r>
      <w:r>
        <w:rPr>
          <w:spacing w:val="-8"/>
          <w:sz w:val="18"/>
        </w:rPr>
        <w:t> </w:t>
      </w:r>
      <w:r>
        <w:rPr>
          <w:sz w:val="18"/>
        </w:rPr>
        <w:t>city.</w:t>
      </w:r>
    </w:p>
    <w:p>
      <w:pPr>
        <w:spacing w:line="321" w:lineRule="auto" w:before="124"/>
        <w:ind w:left="2385" w:right="661" w:firstLine="0"/>
        <w:jc w:val="both"/>
        <w:rPr>
          <w:sz w:val="18"/>
        </w:rPr>
      </w:pPr>
      <w:r>
        <w:rPr>
          <w:sz w:val="18"/>
        </w:rPr>
        <w:t>The</w:t>
      </w:r>
      <w:r>
        <w:rPr>
          <w:spacing w:val="-30"/>
          <w:sz w:val="18"/>
        </w:rPr>
        <w:t> </w:t>
      </w:r>
      <w:r>
        <w:rPr>
          <w:sz w:val="18"/>
        </w:rPr>
        <w:t>subject</w:t>
      </w:r>
      <w:r>
        <w:rPr>
          <w:spacing w:val="-31"/>
          <w:sz w:val="18"/>
        </w:rPr>
        <w:t> </w:t>
      </w:r>
      <w:r>
        <w:rPr>
          <w:sz w:val="18"/>
        </w:rPr>
        <w:t>property</w:t>
      </w:r>
      <w:r>
        <w:rPr>
          <w:spacing w:val="-31"/>
          <w:sz w:val="18"/>
        </w:rPr>
        <w:t> </w:t>
      </w:r>
      <w:r>
        <w:rPr>
          <w:sz w:val="18"/>
        </w:rPr>
        <w:t>is</w:t>
      </w:r>
      <w:r>
        <w:rPr>
          <w:spacing w:val="-30"/>
          <w:sz w:val="18"/>
        </w:rPr>
        <w:t> </w:t>
      </w:r>
      <w:r>
        <w:rPr>
          <w:sz w:val="18"/>
        </w:rPr>
        <w:t>located</w:t>
      </w:r>
      <w:r>
        <w:rPr>
          <w:spacing w:val="-32"/>
          <w:sz w:val="18"/>
        </w:rPr>
        <w:t> </w:t>
      </w:r>
      <w:r>
        <w:rPr>
          <w:sz w:val="18"/>
        </w:rPr>
        <w:t>approximately</w:t>
      </w:r>
      <w:r>
        <w:rPr>
          <w:spacing w:val="-30"/>
          <w:sz w:val="18"/>
        </w:rPr>
        <w:t> </w:t>
      </w:r>
      <w:r>
        <w:rPr>
          <w:sz w:val="18"/>
        </w:rPr>
        <w:t>20-22</w:t>
      </w:r>
      <w:r>
        <w:rPr>
          <w:spacing w:val="-31"/>
          <w:sz w:val="18"/>
        </w:rPr>
        <w:t> </w:t>
      </w:r>
      <w:r>
        <w:rPr>
          <w:sz w:val="18"/>
        </w:rPr>
        <w:t>km</w:t>
      </w:r>
      <w:r>
        <w:rPr>
          <w:spacing w:val="-32"/>
          <w:sz w:val="18"/>
        </w:rPr>
        <w:t> </w:t>
      </w:r>
      <w:r>
        <w:rPr>
          <w:sz w:val="18"/>
        </w:rPr>
        <w:t>from</w:t>
      </w:r>
      <w:r>
        <w:rPr>
          <w:spacing w:val="-31"/>
          <w:sz w:val="18"/>
        </w:rPr>
        <w:t> </w:t>
      </w:r>
      <w:r>
        <w:rPr>
          <w:sz w:val="18"/>
        </w:rPr>
        <w:t>the</w:t>
      </w:r>
      <w:r>
        <w:rPr>
          <w:spacing w:val="-30"/>
          <w:sz w:val="18"/>
        </w:rPr>
        <w:t> </w:t>
      </w:r>
      <w:r>
        <w:rPr>
          <w:sz w:val="18"/>
        </w:rPr>
        <w:t>Central</w:t>
      </w:r>
      <w:r>
        <w:rPr>
          <w:spacing w:val="-31"/>
          <w:sz w:val="18"/>
        </w:rPr>
        <w:t> </w:t>
      </w:r>
      <w:r>
        <w:rPr>
          <w:sz w:val="18"/>
        </w:rPr>
        <w:t>Business</w:t>
      </w:r>
      <w:r>
        <w:rPr>
          <w:spacing w:val="-30"/>
          <w:sz w:val="18"/>
        </w:rPr>
        <w:t> </w:t>
      </w:r>
      <w:r>
        <w:rPr>
          <w:sz w:val="18"/>
        </w:rPr>
        <w:t>District</w:t>
      </w:r>
      <w:r>
        <w:rPr>
          <w:spacing w:val="-31"/>
          <w:sz w:val="18"/>
        </w:rPr>
        <w:t> </w:t>
      </w:r>
      <w:r>
        <w:rPr>
          <w:sz w:val="18"/>
        </w:rPr>
        <w:t>(CBD)</w:t>
      </w:r>
      <w:r>
        <w:rPr>
          <w:spacing w:val="-30"/>
          <w:sz w:val="18"/>
        </w:rPr>
        <w:t> </w:t>
      </w:r>
      <w:r>
        <w:rPr>
          <w:sz w:val="18"/>
        </w:rPr>
        <w:t>of</w:t>
      </w:r>
      <w:r>
        <w:rPr>
          <w:spacing w:val="-31"/>
          <w:sz w:val="18"/>
        </w:rPr>
        <w:t> </w:t>
      </w:r>
      <w:r>
        <w:rPr>
          <w:sz w:val="18"/>
        </w:rPr>
        <w:t>Mumbai, approximately</w:t>
      </w:r>
      <w:r>
        <w:rPr>
          <w:spacing w:val="-34"/>
          <w:sz w:val="18"/>
        </w:rPr>
        <w:t> </w:t>
      </w:r>
      <w:r>
        <w:rPr>
          <w:sz w:val="18"/>
        </w:rPr>
        <w:t>6-8</w:t>
      </w:r>
      <w:r>
        <w:rPr>
          <w:spacing w:val="-33"/>
          <w:sz w:val="18"/>
        </w:rPr>
        <w:t> </w:t>
      </w:r>
      <w:r>
        <w:rPr>
          <w:sz w:val="18"/>
        </w:rPr>
        <w:t>km</w:t>
      </w:r>
      <w:r>
        <w:rPr>
          <w:spacing w:val="-33"/>
          <w:sz w:val="18"/>
        </w:rPr>
        <w:t> </w:t>
      </w:r>
      <w:r>
        <w:rPr>
          <w:sz w:val="18"/>
        </w:rPr>
        <w:t>from</w:t>
      </w:r>
      <w:r>
        <w:rPr>
          <w:spacing w:val="-32"/>
          <w:sz w:val="18"/>
        </w:rPr>
        <w:t> </w:t>
      </w:r>
      <w:r>
        <w:rPr>
          <w:sz w:val="18"/>
        </w:rPr>
        <w:t>Domestic</w:t>
      </w:r>
      <w:r>
        <w:rPr>
          <w:spacing w:val="-33"/>
          <w:sz w:val="18"/>
        </w:rPr>
        <w:t> </w:t>
      </w:r>
      <w:r>
        <w:rPr>
          <w:sz w:val="18"/>
        </w:rPr>
        <w:t>Airport</w:t>
      </w:r>
      <w:r>
        <w:rPr>
          <w:spacing w:val="-34"/>
          <w:sz w:val="18"/>
        </w:rPr>
        <w:t> </w:t>
      </w:r>
      <w:r>
        <w:rPr>
          <w:sz w:val="18"/>
        </w:rPr>
        <w:t>Terminal,</w:t>
      </w:r>
      <w:r>
        <w:rPr>
          <w:spacing w:val="-33"/>
          <w:sz w:val="18"/>
        </w:rPr>
        <w:t> </w:t>
      </w:r>
      <w:r>
        <w:rPr>
          <w:sz w:val="18"/>
        </w:rPr>
        <w:t>approximately</w:t>
      </w:r>
      <w:r>
        <w:rPr>
          <w:spacing w:val="-33"/>
          <w:sz w:val="18"/>
        </w:rPr>
        <w:t> </w:t>
      </w:r>
      <w:r>
        <w:rPr>
          <w:sz w:val="18"/>
        </w:rPr>
        <w:t>8-9</w:t>
      </w:r>
      <w:r>
        <w:rPr>
          <w:spacing w:val="-33"/>
          <w:sz w:val="18"/>
        </w:rPr>
        <w:t> </w:t>
      </w:r>
      <w:r>
        <w:rPr>
          <w:sz w:val="18"/>
        </w:rPr>
        <w:t>km</w:t>
      </w:r>
      <w:r>
        <w:rPr>
          <w:spacing w:val="-33"/>
          <w:sz w:val="18"/>
        </w:rPr>
        <w:t> </w:t>
      </w:r>
      <w:r>
        <w:rPr>
          <w:sz w:val="18"/>
        </w:rPr>
        <w:t>from</w:t>
      </w:r>
      <w:r>
        <w:rPr>
          <w:spacing w:val="-33"/>
          <w:sz w:val="18"/>
        </w:rPr>
        <w:t> </w:t>
      </w:r>
      <w:r>
        <w:rPr>
          <w:sz w:val="18"/>
        </w:rPr>
        <w:t>the</w:t>
      </w:r>
      <w:r>
        <w:rPr>
          <w:spacing w:val="-33"/>
          <w:sz w:val="18"/>
        </w:rPr>
        <w:t> </w:t>
      </w:r>
      <w:r>
        <w:rPr>
          <w:sz w:val="18"/>
        </w:rPr>
        <w:t>International</w:t>
      </w:r>
      <w:r>
        <w:rPr>
          <w:spacing w:val="-33"/>
          <w:sz w:val="18"/>
        </w:rPr>
        <w:t> </w:t>
      </w:r>
      <w:r>
        <w:rPr>
          <w:sz w:val="18"/>
        </w:rPr>
        <w:t>Airport Terminal,</w:t>
      </w:r>
      <w:r>
        <w:rPr>
          <w:spacing w:val="-3"/>
          <w:sz w:val="18"/>
        </w:rPr>
        <w:t> </w:t>
      </w:r>
      <w:r>
        <w:rPr>
          <w:sz w:val="18"/>
        </w:rPr>
        <w:t>Mumbai</w:t>
      </w:r>
    </w:p>
    <w:p>
      <w:pPr>
        <w:pStyle w:val="BodyText"/>
        <w:spacing w:before="8"/>
        <w:rPr>
          <w:sz w:val="12"/>
        </w:rPr>
      </w:pPr>
    </w:p>
    <w:p>
      <w:pPr>
        <w:spacing w:after="0"/>
        <w:rPr>
          <w:sz w:val="12"/>
        </w:rPr>
        <w:sectPr>
          <w:pgSz w:w="11910" w:h="16840"/>
          <w:pgMar w:header="720" w:footer="842" w:top="1520" w:bottom="1040" w:left="440" w:right="80"/>
        </w:sectPr>
      </w:pPr>
    </w:p>
    <w:p>
      <w:pPr>
        <w:spacing w:line="319" w:lineRule="auto" w:before="105"/>
        <w:ind w:left="392" w:right="-11" w:firstLine="0"/>
        <w:jc w:val="left"/>
        <w:rPr>
          <w:sz w:val="18"/>
        </w:rPr>
      </w:pPr>
      <w:r>
        <w:rPr>
          <w:color w:val="006A4D"/>
          <w:w w:val="95"/>
          <w:sz w:val="18"/>
        </w:rPr>
        <w:t>Statement of</w:t>
      </w:r>
      <w:r>
        <w:rPr>
          <w:color w:val="006A4D"/>
          <w:spacing w:val="-27"/>
          <w:w w:val="95"/>
          <w:sz w:val="18"/>
        </w:rPr>
        <w:t> </w:t>
      </w:r>
      <w:r>
        <w:rPr>
          <w:color w:val="006A4D"/>
          <w:w w:val="95"/>
          <w:sz w:val="18"/>
        </w:rPr>
        <w:t>Assets </w:t>
      </w:r>
      <w:r>
        <w:rPr>
          <w:color w:val="006A4D"/>
          <w:sz w:val="18"/>
        </w:rPr>
        <w:t>(sf):</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9"/>
        <w:rPr>
          <w:sz w:val="26"/>
        </w:rPr>
      </w:pPr>
    </w:p>
    <w:p>
      <w:pPr>
        <w:spacing w:line="324" w:lineRule="auto" w:before="0"/>
        <w:ind w:left="392" w:right="494" w:firstLine="0"/>
        <w:jc w:val="left"/>
        <w:rPr>
          <w:sz w:val="18"/>
        </w:rPr>
      </w:pPr>
      <w:r>
        <w:rPr>
          <w:color w:val="006A4D"/>
          <w:sz w:val="18"/>
        </w:rPr>
        <w:t>Valuation Approaches:</w:t>
      </w:r>
    </w:p>
    <w:p>
      <w:pPr>
        <w:spacing w:line="321" w:lineRule="auto" w:before="105"/>
        <w:ind w:left="424" w:right="663" w:firstLine="0"/>
        <w:jc w:val="both"/>
        <w:rPr>
          <w:sz w:val="18"/>
        </w:rPr>
      </w:pPr>
      <w:r>
        <w:rPr/>
        <w:br w:type="column"/>
      </w:r>
      <w:r>
        <w:rPr>
          <w:w w:val="95"/>
          <w:sz w:val="18"/>
        </w:rPr>
        <w:t>Based</w:t>
      </w:r>
      <w:r>
        <w:rPr>
          <w:spacing w:val="-18"/>
          <w:w w:val="95"/>
          <w:sz w:val="18"/>
        </w:rPr>
        <w:t> </w:t>
      </w:r>
      <w:r>
        <w:rPr>
          <w:w w:val="95"/>
          <w:sz w:val="18"/>
        </w:rPr>
        <w:t>on</w:t>
      </w:r>
      <w:r>
        <w:rPr>
          <w:spacing w:val="-18"/>
          <w:w w:val="95"/>
          <w:sz w:val="18"/>
        </w:rPr>
        <w:t> </w:t>
      </w:r>
      <w:r>
        <w:rPr>
          <w:w w:val="95"/>
          <w:sz w:val="18"/>
        </w:rPr>
        <w:t>review</w:t>
      </w:r>
      <w:r>
        <w:rPr>
          <w:spacing w:val="-20"/>
          <w:w w:val="95"/>
          <w:sz w:val="18"/>
        </w:rPr>
        <w:t> </w:t>
      </w:r>
      <w:r>
        <w:rPr>
          <w:w w:val="95"/>
          <w:sz w:val="18"/>
        </w:rPr>
        <w:t>of</w:t>
      </w:r>
      <w:r>
        <w:rPr>
          <w:spacing w:val="-18"/>
          <w:w w:val="95"/>
          <w:sz w:val="18"/>
        </w:rPr>
        <w:t> </w:t>
      </w:r>
      <w:r>
        <w:rPr>
          <w:w w:val="95"/>
          <w:sz w:val="18"/>
        </w:rPr>
        <w:t>various</w:t>
      </w:r>
      <w:r>
        <w:rPr>
          <w:spacing w:val="-17"/>
          <w:w w:val="95"/>
          <w:sz w:val="18"/>
        </w:rPr>
        <w:t> </w:t>
      </w:r>
      <w:r>
        <w:rPr>
          <w:w w:val="95"/>
          <w:sz w:val="18"/>
        </w:rPr>
        <w:t>documents</w:t>
      </w:r>
      <w:r>
        <w:rPr>
          <w:spacing w:val="-18"/>
          <w:w w:val="95"/>
          <w:sz w:val="18"/>
        </w:rPr>
        <w:t> </w:t>
      </w:r>
      <w:r>
        <w:rPr>
          <w:w w:val="95"/>
          <w:sz w:val="18"/>
        </w:rPr>
        <w:t>(such</w:t>
      </w:r>
      <w:r>
        <w:rPr>
          <w:spacing w:val="-20"/>
          <w:w w:val="95"/>
          <w:sz w:val="18"/>
        </w:rPr>
        <w:t> </w:t>
      </w:r>
      <w:r>
        <w:rPr>
          <w:w w:val="95"/>
          <w:sz w:val="18"/>
        </w:rPr>
        <w:t>as</w:t>
      </w:r>
      <w:r>
        <w:rPr>
          <w:spacing w:val="-18"/>
          <w:w w:val="95"/>
          <w:sz w:val="18"/>
        </w:rPr>
        <w:t> </w:t>
      </w:r>
      <w:r>
        <w:rPr>
          <w:w w:val="95"/>
          <w:sz w:val="18"/>
        </w:rPr>
        <w:t>rent</w:t>
      </w:r>
      <w:r>
        <w:rPr>
          <w:spacing w:val="-19"/>
          <w:w w:val="95"/>
          <w:sz w:val="18"/>
        </w:rPr>
        <w:t> </w:t>
      </w:r>
      <w:r>
        <w:rPr>
          <w:w w:val="95"/>
          <w:sz w:val="18"/>
        </w:rPr>
        <w:t>roll,</w:t>
      </w:r>
      <w:r>
        <w:rPr>
          <w:spacing w:val="-19"/>
          <w:w w:val="95"/>
          <w:sz w:val="18"/>
        </w:rPr>
        <w:t> </w:t>
      </w:r>
      <w:r>
        <w:rPr>
          <w:w w:val="95"/>
          <w:sz w:val="18"/>
        </w:rPr>
        <w:t>Architect’s</w:t>
      </w:r>
      <w:r>
        <w:rPr>
          <w:spacing w:val="-17"/>
          <w:w w:val="95"/>
          <w:sz w:val="18"/>
        </w:rPr>
        <w:t> </w:t>
      </w:r>
      <w:r>
        <w:rPr>
          <w:w w:val="95"/>
          <w:sz w:val="18"/>
        </w:rPr>
        <w:t>Certificate,</w:t>
      </w:r>
      <w:r>
        <w:rPr>
          <w:spacing w:val="-19"/>
          <w:w w:val="95"/>
          <w:sz w:val="18"/>
        </w:rPr>
        <w:t> </w:t>
      </w:r>
      <w:r>
        <w:rPr>
          <w:w w:val="95"/>
          <w:sz w:val="18"/>
        </w:rPr>
        <w:t>lease</w:t>
      </w:r>
      <w:r>
        <w:rPr>
          <w:spacing w:val="-18"/>
          <w:w w:val="95"/>
          <w:sz w:val="18"/>
        </w:rPr>
        <w:t> </w:t>
      </w:r>
      <w:r>
        <w:rPr>
          <w:w w:val="95"/>
          <w:sz w:val="18"/>
        </w:rPr>
        <w:t>deeds,</w:t>
      </w:r>
      <w:r>
        <w:rPr>
          <w:spacing w:val="-20"/>
          <w:w w:val="95"/>
          <w:sz w:val="18"/>
        </w:rPr>
        <w:t> </w:t>
      </w:r>
      <w:r>
        <w:rPr>
          <w:w w:val="95"/>
          <w:sz w:val="18"/>
        </w:rPr>
        <w:t>etc.),</w:t>
      </w:r>
      <w:r>
        <w:rPr>
          <w:spacing w:val="-18"/>
          <w:w w:val="95"/>
          <w:sz w:val="18"/>
        </w:rPr>
        <w:t> </w:t>
      </w:r>
      <w:r>
        <w:rPr>
          <w:w w:val="95"/>
          <w:sz w:val="18"/>
        </w:rPr>
        <w:t>the</w:t>
      </w:r>
      <w:r>
        <w:rPr>
          <w:spacing w:val="-18"/>
          <w:w w:val="95"/>
          <w:sz w:val="18"/>
        </w:rPr>
        <w:t> </w:t>
      </w:r>
      <w:r>
        <w:rPr>
          <w:w w:val="95"/>
          <w:sz w:val="18"/>
        </w:rPr>
        <w:t>subject </w:t>
      </w:r>
      <w:r>
        <w:rPr>
          <w:sz w:val="18"/>
        </w:rPr>
        <w:t>property</w:t>
      </w:r>
      <w:r>
        <w:rPr>
          <w:spacing w:val="-6"/>
          <w:sz w:val="18"/>
        </w:rPr>
        <w:t> </w:t>
      </w:r>
      <w:r>
        <w:rPr>
          <w:sz w:val="18"/>
        </w:rPr>
        <w:t>is</w:t>
      </w:r>
      <w:r>
        <w:rPr>
          <w:spacing w:val="-6"/>
          <w:sz w:val="18"/>
        </w:rPr>
        <w:t> </w:t>
      </w:r>
      <w:r>
        <w:rPr>
          <w:sz w:val="18"/>
        </w:rPr>
        <w:t>an</w:t>
      </w:r>
      <w:r>
        <w:rPr>
          <w:spacing w:val="-5"/>
          <w:sz w:val="18"/>
        </w:rPr>
        <w:t> </w:t>
      </w:r>
      <w:r>
        <w:rPr>
          <w:sz w:val="18"/>
        </w:rPr>
        <w:t>operational</w:t>
      </w:r>
      <w:r>
        <w:rPr>
          <w:spacing w:val="-6"/>
          <w:sz w:val="18"/>
        </w:rPr>
        <w:t> </w:t>
      </w:r>
      <w:r>
        <w:rPr>
          <w:sz w:val="18"/>
        </w:rPr>
        <w:t>office</w:t>
      </w:r>
      <w:r>
        <w:rPr>
          <w:spacing w:val="-5"/>
          <w:sz w:val="18"/>
        </w:rPr>
        <w:t> </w:t>
      </w:r>
      <w:r>
        <w:rPr>
          <w:sz w:val="18"/>
        </w:rPr>
        <w:t>asset</w:t>
      </w:r>
      <w:r>
        <w:rPr>
          <w:spacing w:val="-7"/>
          <w:sz w:val="18"/>
        </w:rPr>
        <w:t> </w:t>
      </w:r>
      <w:r>
        <w:rPr>
          <w:sz w:val="18"/>
        </w:rPr>
        <w:t>with</w:t>
      </w:r>
      <w:r>
        <w:rPr>
          <w:spacing w:val="-5"/>
          <w:sz w:val="18"/>
        </w:rPr>
        <w:t> </w:t>
      </w:r>
      <w:r>
        <w:rPr>
          <w:sz w:val="18"/>
        </w:rPr>
        <w:t>approximately 360,947</w:t>
      </w:r>
      <w:r>
        <w:rPr>
          <w:spacing w:val="-4"/>
          <w:sz w:val="18"/>
        </w:rPr>
        <w:t> </w:t>
      </w:r>
      <w:r>
        <w:rPr>
          <w:sz w:val="18"/>
        </w:rPr>
        <w:t>sf</w:t>
      </w:r>
      <w:r>
        <w:rPr>
          <w:spacing w:val="-5"/>
          <w:sz w:val="18"/>
        </w:rPr>
        <w:t> </w:t>
      </w:r>
      <w:r>
        <w:rPr>
          <w:sz w:val="18"/>
        </w:rPr>
        <w:t>of</w:t>
      </w:r>
      <w:r>
        <w:rPr>
          <w:spacing w:val="-6"/>
          <w:sz w:val="18"/>
        </w:rPr>
        <w:t> </w:t>
      </w:r>
      <w:r>
        <w:rPr>
          <w:sz w:val="18"/>
        </w:rPr>
        <w:t>completed</w:t>
      </w:r>
      <w:r>
        <w:rPr>
          <w:spacing w:val="-5"/>
          <w:sz w:val="18"/>
        </w:rPr>
        <w:t> </w:t>
      </w:r>
      <w:r>
        <w:rPr>
          <w:sz w:val="18"/>
        </w:rPr>
        <w:t>leasable</w:t>
      </w:r>
      <w:r>
        <w:rPr>
          <w:spacing w:val="-5"/>
          <w:sz w:val="18"/>
        </w:rPr>
        <w:t> </w:t>
      </w:r>
      <w:r>
        <w:rPr>
          <w:sz w:val="18"/>
        </w:rPr>
        <w:t>area</w:t>
      </w:r>
      <w:r>
        <w:rPr>
          <w:spacing w:val="-5"/>
          <w:sz w:val="18"/>
        </w:rPr>
        <w:t> </w:t>
      </w:r>
      <w:r>
        <w:rPr>
          <w:sz w:val="18"/>
        </w:rPr>
        <w:t>out</w:t>
      </w:r>
      <w:r>
        <w:rPr>
          <w:spacing w:val="-7"/>
          <w:sz w:val="18"/>
        </w:rPr>
        <w:t> </w:t>
      </w:r>
      <w:r>
        <w:rPr>
          <w:sz w:val="18"/>
        </w:rPr>
        <w:t>of which</w:t>
      </w:r>
      <w:r>
        <w:rPr>
          <w:spacing w:val="-16"/>
          <w:sz w:val="18"/>
        </w:rPr>
        <w:t> </w:t>
      </w:r>
      <w:r>
        <w:rPr>
          <w:sz w:val="18"/>
        </w:rPr>
        <w:t>approximately</w:t>
      </w:r>
      <w:r>
        <w:rPr>
          <w:spacing w:val="-16"/>
          <w:sz w:val="18"/>
        </w:rPr>
        <w:t> </w:t>
      </w:r>
      <w:r>
        <w:rPr>
          <w:sz w:val="18"/>
        </w:rPr>
        <w:t>77.8%</w:t>
      </w:r>
      <w:r>
        <w:rPr>
          <w:spacing w:val="-16"/>
          <w:sz w:val="18"/>
        </w:rPr>
        <w:t> </w:t>
      </w:r>
      <w:r>
        <w:rPr>
          <w:sz w:val="18"/>
        </w:rPr>
        <w:t>is</w:t>
      </w:r>
      <w:r>
        <w:rPr>
          <w:spacing w:val="-16"/>
          <w:sz w:val="18"/>
        </w:rPr>
        <w:t> </w:t>
      </w:r>
      <w:r>
        <w:rPr>
          <w:sz w:val="18"/>
        </w:rPr>
        <w:t>leased</w:t>
      </w:r>
      <w:r>
        <w:rPr>
          <w:spacing w:val="-16"/>
          <w:sz w:val="18"/>
        </w:rPr>
        <w:t> </w:t>
      </w:r>
      <w:r>
        <w:rPr>
          <w:sz w:val="18"/>
        </w:rPr>
        <w:t>as</w:t>
      </w:r>
      <w:r>
        <w:rPr>
          <w:spacing w:val="-17"/>
          <w:sz w:val="18"/>
        </w:rPr>
        <w:t> </w:t>
      </w:r>
      <w:r>
        <w:rPr>
          <w:sz w:val="18"/>
        </w:rPr>
        <w:t>on</w:t>
      </w:r>
      <w:r>
        <w:rPr>
          <w:spacing w:val="-16"/>
          <w:sz w:val="18"/>
        </w:rPr>
        <w:t> </w:t>
      </w:r>
      <w:r>
        <w:rPr>
          <w:sz w:val="18"/>
        </w:rPr>
        <w:t>the</w:t>
      </w:r>
      <w:r>
        <w:rPr>
          <w:spacing w:val="-15"/>
          <w:sz w:val="18"/>
        </w:rPr>
        <w:t> </w:t>
      </w:r>
      <w:r>
        <w:rPr>
          <w:sz w:val="18"/>
        </w:rPr>
        <w:t>date</w:t>
      </w:r>
      <w:r>
        <w:rPr>
          <w:spacing w:val="-16"/>
          <w:sz w:val="18"/>
        </w:rPr>
        <w:t> </w:t>
      </w:r>
      <w:r>
        <w:rPr>
          <w:sz w:val="18"/>
        </w:rPr>
        <w:t>of</w:t>
      </w:r>
      <w:r>
        <w:rPr>
          <w:spacing w:val="-16"/>
          <w:sz w:val="18"/>
        </w:rPr>
        <w:t> </w:t>
      </w:r>
      <w:r>
        <w:rPr>
          <w:sz w:val="18"/>
        </w:rPr>
        <w:t>valuation.</w:t>
      </w:r>
      <w:r>
        <w:rPr>
          <w:spacing w:val="-17"/>
          <w:sz w:val="18"/>
        </w:rPr>
        <w:t> </w:t>
      </w:r>
      <w:r>
        <w:rPr>
          <w:sz w:val="18"/>
        </w:rPr>
        <w:t>Table</w:t>
      </w:r>
      <w:r>
        <w:rPr>
          <w:spacing w:val="-15"/>
          <w:sz w:val="18"/>
        </w:rPr>
        <w:t> </w:t>
      </w:r>
      <w:r>
        <w:rPr>
          <w:sz w:val="18"/>
        </w:rPr>
        <w:t>below</w:t>
      </w:r>
      <w:r>
        <w:rPr>
          <w:spacing w:val="-17"/>
          <w:sz w:val="18"/>
        </w:rPr>
        <w:t> </w:t>
      </w:r>
      <w:r>
        <w:rPr>
          <w:sz w:val="18"/>
        </w:rPr>
        <w:t>highlights</w:t>
      </w:r>
      <w:r>
        <w:rPr>
          <w:spacing w:val="-16"/>
          <w:sz w:val="18"/>
        </w:rPr>
        <w:t> </w:t>
      </w:r>
      <w:r>
        <w:rPr>
          <w:sz w:val="18"/>
        </w:rPr>
        <w:t>the</w:t>
      </w:r>
      <w:r>
        <w:rPr>
          <w:spacing w:val="-17"/>
          <w:sz w:val="18"/>
        </w:rPr>
        <w:t> </w:t>
      </w:r>
      <w:r>
        <w:rPr>
          <w:sz w:val="18"/>
        </w:rPr>
        <w:t>leasable</w:t>
      </w:r>
      <w:r>
        <w:rPr>
          <w:spacing w:val="-16"/>
          <w:sz w:val="18"/>
        </w:rPr>
        <w:t> </w:t>
      </w:r>
      <w:r>
        <w:rPr>
          <w:sz w:val="18"/>
        </w:rPr>
        <w:t>area details for the subject</w:t>
      </w:r>
      <w:r>
        <w:rPr>
          <w:spacing w:val="-15"/>
          <w:sz w:val="18"/>
        </w:rPr>
        <w:t> </w:t>
      </w:r>
      <w:r>
        <w:rPr>
          <w:sz w:val="18"/>
        </w:rPr>
        <w:t>development:</w:t>
      </w:r>
    </w:p>
    <w:p>
      <w:pPr>
        <w:pStyle w:val="BodyText"/>
        <w:spacing w:before="3"/>
        <w:rPr>
          <w:sz w:val="10"/>
        </w:rPr>
      </w:pPr>
    </w:p>
    <w:tbl>
      <w:tblPr>
        <w:tblW w:w="0" w:type="auto"/>
        <w:jc w:val="left"/>
        <w:tblInd w:w="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27"/>
        <w:gridCol w:w="2557"/>
        <w:gridCol w:w="2866"/>
      </w:tblGrid>
      <w:tr>
        <w:trPr>
          <w:trHeight w:val="325" w:hRule="atLeast"/>
        </w:trPr>
        <w:tc>
          <w:tcPr>
            <w:tcW w:w="2927" w:type="dxa"/>
            <w:tcBorders>
              <w:top w:val="single" w:sz="12" w:space="0" w:color="1F6B16"/>
              <w:bottom w:val="single" w:sz="6" w:space="0" w:color="69BD28"/>
            </w:tcBorders>
            <w:shd w:val="clear" w:color="auto" w:fill="006A4D"/>
          </w:tcPr>
          <w:p>
            <w:pPr>
              <w:pStyle w:val="TableParagraph"/>
              <w:spacing w:before="58"/>
              <w:ind w:left="301" w:right="461"/>
              <w:rPr>
                <w:b/>
                <w:sz w:val="18"/>
              </w:rPr>
            </w:pPr>
            <w:r>
              <w:rPr>
                <w:b/>
                <w:color w:val="FFFFFF"/>
                <w:w w:val="105"/>
                <w:sz w:val="18"/>
              </w:rPr>
              <w:t>Particular</w:t>
            </w:r>
          </w:p>
        </w:tc>
        <w:tc>
          <w:tcPr>
            <w:tcW w:w="2557" w:type="dxa"/>
            <w:tcBorders>
              <w:top w:val="single" w:sz="12" w:space="0" w:color="1F6B16"/>
              <w:bottom w:val="single" w:sz="6" w:space="0" w:color="69BD28"/>
            </w:tcBorders>
            <w:shd w:val="clear" w:color="auto" w:fill="006A4D"/>
          </w:tcPr>
          <w:p>
            <w:pPr>
              <w:pStyle w:val="TableParagraph"/>
              <w:spacing w:before="58"/>
              <w:ind w:left="484" w:right="372"/>
              <w:rPr>
                <w:b/>
                <w:sz w:val="18"/>
              </w:rPr>
            </w:pPr>
            <w:r>
              <w:rPr>
                <w:b/>
                <w:color w:val="FFFFFF"/>
                <w:w w:val="110"/>
                <w:sz w:val="18"/>
              </w:rPr>
              <w:t>Leasable Area (sf)</w:t>
            </w:r>
          </w:p>
        </w:tc>
        <w:tc>
          <w:tcPr>
            <w:tcW w:w="2866" w:type="dxa"/>
            <w:tcBorders>
              <w:top w:val="single" w:sz="12" w:space="0" w:color="1F6B16"/>
              <w:bottom w:val="single" w:sz="6" w:space="0" w:color="69BD28"/>
            </w:tcBorders>
            <w:shd w:val="clear" w:color="auto" w:fill="006A4D"/>
          </w:tcPr>
          <w:p>
            <w:pPr>
              <w:pStyle w:val="TableParagraph"/>
              <w:spacing w:before="58"/>
              <w:ind w:left="398" w:right="115"/>
              <w:rPr>
                <w:b/>
                <w:sz w:val="18"/>
              </w:rPr>
            </w:pPr>
            <w:r>
              <w:rPr>
                <w:b/>
                <w:color w:val="FFFFFF"/>
                <w:w w:val="105"/>
                <w:sz w:val="18"/>
              </w:rPr>
              <w:t>Committed Occupancy (%)</w:t>
            </w:r>
          </w:p>
        </w:tc>
      </w:tr>
      <w:tr>
        <w:trPr>
          <w:trHeight w:val="222" w:hRule="atLeast"/>
        </w:trPr>
        <w:tc>
          <w:tcPr>
            <w:tcW w:w="2927" w:type="dxa"/>
            <w:tcBorders>
              <w:top w:val="single" w:sz="6" w:space="0" w:color="69BD28"/>
              <w:bottom w:val="single" w:sz="6" w:space="0" w:color="69BD28"/>
            </w:tcBorders>
          </w:tcPr>
          <w:p>
            <w:pPr>
              <w:pStyle w:val="TableParagraph"/>
              <w:spacing w:line="197" w:lineRule="exact" w:before="6"/>
              <w:ind w:left="301" w:right="462"/>
              <w:rPr>
                <w:sz w:val="18"/>
              </w:rPr>
            </w:pPr>
            <w:r>
              <w:rPr>
                <w:sz w:val="18"/>
              </w:rPr>
              <w:t>Completed Blocks</w:t>
            </w:r>
          </w:p>
        </w:tc>
        <w:tc>
          <w:tcPr>
            <w:tcW w:w="2557" w:type="dxa"/>
            <w:tcBorders>
              <w:top w:val="single" w:sz="6" w:space="0" w:color="69BD28"/>
              <w:bottom w:val="single" w:sz="6" w:space="0" w:color="69BD28"/>
            </w:tcBorders>
          </w:tcPr>
          <w:p>
            <w:pPr>
              <w:pStyle w:val="TableParagraph"/>
              <w:spacing w:line="197" w:lineRule="exact" w:before="6"/>
              <w:ind w:left="481" w:right="372"/>
              <w:rPr>
                <w:sz w:val="18"/>
              </w:rPr>
            </w:pPr>
            <w:r>
              <w:rPr>
                <w:w w:val="110"/>
                <w:sz w:val="18"/>
              </w:rPr>
              <w:t>360,947</w:t>
            </w:r>
          </w:p>
        </w:tc>
        <w:tc>
          <w:tcPr>
            <w:tcW w:w="2866" w:type="dxa"/>
            <w:tcBorders>
              <w:top w:val="single" w:sz="6" w:space="0" w:color="69BD28"/>
              <w:bottom w:val="single" w:sz="6" w:space="0" w:color="69BD28"/>
            </w:tcBorders>
          </w:tcPr>
          <w:p>
            <w:pPr>
              <w:pStyle w:val="TableParagraph"/>
              <w:spacing w:line="197" w:lineRule="exact" w:before="6"/>
              <w:ind w:left="395" w:right="115"/>
              <w:rPr>
                <w:sz w:val="18"/>
              </w:rPr>
            </w:pPr>
            <w:r>
              <w:rPr>
                <w:w w:val="110"/>
                <w:sz w:val="18"/>
              </w:rPr>
              <w:t>77.8%</w:t>
            </w:r>
          </w:p>
        </w:tc>
      </w:tr>
      <w:tr>
        <w:trPr>
          <w:trHeight w:val="220" w:hRule="atLeast"/>
        </w:trPr>
        <w:tc>
          <w:tcPr>
            <w:tcW w:w="2927" w:type="dxa"/>
            <w:tcBorders>
              <w:top w:val="single" w:sz="6" w:space="0" w:color="69BD28"/>
              <w:bottom w:val="single" w:sz="6" w:space="0" w:color="69BD28"/>
            </w:tcBorders>
          </w:tcPr>
          <w:p>
            <w:pPr>
              <w:pStyle w:val="TableParagraph"/>
              <w:spacing w:line="194" w:lineRule="exact" w:before="6"/>
              <w:ind w:left="301" w:right="466"/>
              <w:rPr>
                <w:sz w:val="18"/>
              </w:rPr>
            </w:pPr>
            <w:r>
              <w:rPr>
                <w:sz w:val="18"/>
              </w:rPr>
              <w:t>Under Construction Blocks</w:t>
            </w:r>
          </w:p>
        </w:tc>
        <w:tc>
          <w:tcPr>
            <w:tcW w:w="2557" w:type="dxa"/>
            <w:tcBorders>
              <w:top w:val="single" w:sz="6" w:space="0" w:color="69BD28"/>
              <w:bottom w:val="single" w:sz="6" w:space="0" w:color="69BD28"/>
            </w:tcBorders>
          </w:tcPr>
          <w:p>
            <w:pPr>
              <w:pStyle w:val="TableParagraph"/>
              <w:spacing w:line="194" w:lineRule="exact" w:before="6"/>
              <w:ind w:left="484" w:right="372"/>
              <w:rPr>
                <w:sz w:val="18"/>
              </w:rPr>
            </w:pPr>
            <w:r>
              <w:rPr>
                <w:w w:val="115"/>
                <w:sz w:val="18"/>
              </w:rPr>
              <w:t>NA</w:t>
            </w:r>
          </w:p>
        </w:tc>
        <w:tc>
          <w:tcPr>
            <w:tcW w:w="2866" w:type="dxa"/>
            <w:tcBorders>
              <w:top w:val="single" w:sz="6" w:space="0" w:color="69BD28"/>
              <w:bottom w:val="single" w:sz="6" w:space="0" w:color="69BD28"/>
            </w:tcBorders>
          </w:tcPr>
          <w:p>
            <w:pPr>
              <w:pStyle w:val="TableParagraph"/>
              <w:spacing w:line="194" w:lineRule="exact" w:before="6"/>
              <w:ind w:left="398" w:right="115"/>
              <w:rPr>
                <w:sz w:val="18"/>
              </w:rPr>
            </w:pPr>
            <w:r>
              <w:rPr>
                <w:w w:val="115"/>
                <w:sz w:val="18"/>
              </w:rPr>
              <w:t>NA</w:t>
            </w:r>
          </w:p>
        </w:tc>
      </w:tr>
      <w:tr>
        <w:trPr>
          <w:trHeight w:val="222" w:hRule="atLeast"/>
        </w:trPr>
        <w:tc>
          <w:tcPr>
            <w:tcW w:w="2927" w:type="dxa"/>
            <w:tcBorders>
              <w:top w:val="single" w:sz="6" w:space="0" w:color="69BD28"/>
              <w:bottom w:val="single" w:sz="6" w:space="0" w:color="69BD28"/>
            </w:tcBorders>
          </w:tcPr>
          <w:p>
            <w:pPr>
              <w:pStyle w:val="TableParagraph"/>
              <w:spacing w:line="194" w:lineRule="exact" w:before="8"/>
              <w:ind w:left="301" w:right="461"/>
              <w:rPr>
                <w:sz w:val="18"/>
              </w:rPr>
            </w:pPr>
            <w:r>
              <w:rPr>
                <w:sz w:val="18"/>
              </w:rPr>
              <w:t>Proposed Blocks</w:t>
            </w:r>
          </w:p>
        </w:tc>
        <w:tc>
          <w:tcPr>
            <w:tcW w:w="2557" w:type="dxa"/>
            <w:tcBorders>
              <w:top w:val="single" w:sz="6" w:space="0" w:color="69BD28"/>
              <w:bottom w:val="single" w:sz="6" w:space="0" w:color="69BD28"/>
            </w:tcBorders>
          </w:tcPr>
          <w:p>
            <w:pPr>
              <w:pStyle w:val="TableParagraph"/>
              <w:spacing w:line="194" w:lineRule="exact" w:before="8"/>
              <w:ind w:left="484" w:right="372"/>
              <w:rPr>
                <w:sz w:val="18"/>
              </w:rPr>
            </w:pPr>
            <w:r>
              <w:rPr>
                <w:w w:val="115"/>
                <w:sz w:val="18"/>
              </w:rPr>
              <w:t>NA</w:t>
            </w:r>
          </w:p>
        </w:tc>
        <w:tc>
          <w:tcPr>
            <w:tcW w:w="2866" w:type="dxa"/>
            <w:tcBorders>
              <w:top w:val="single" w:sz="6" w:space="0" w:color="69BD28"/>
              <w:bottom w:val="single" w:sz="6" w:space="0" w:color="69BD28"/>
            </w:tcBorders>
          </w:tcPr>
          <w:p>
            <w:pPr>
              <w:pStyle w:val="TableParagraph"/>
              <w:spacing w:line="194" w:lineRule="exact" w:before="8"/>
              <w:ind w:left="398" w:right="115"/>
              <w:rPr>
                <w:sz w:val="18"/>
              </w:rPr>
            </w:pPr>
            <w:r>
              <w:rPr>
                <w:w w:val="115"/>
                <w:sz w:val="18"/>
              </w:rPr>
              <w:t>NA</w:t>
            </w:r>
          </w:p>
        </w:tc>
      </w:tr>
      <w:tr>
        <w:trPr>
          <w:trHeight w:val="222" w:hRule="atLeast"/>
        </w:trPr>
        <w:tc>
          <w:tcPr>
            <w:tcW w:w="2927" w:type="dxa"/>
            <w:tcBorders>
              <w:top w:val="single" w:sz="6" w:space="0" w:color="69BD28"/>
              <w:bottom w:val="single" w:sz="6" w:space="0" w:color="69BD28"/>
            </w:tcBorders>
          </w:tcPr>
          <w:p>
            <w:pPr>
              <w:pStyle w:val="TableParagraph"/>
              <w:spacing w:line="194" w:lineRule="exact" w:before="8"/>
              <w:ind w:left="301" w:right="462"/>
              <w:rPr>
                <w:sz w:val="18"/>
              </w:rPr>
            </w:pPr>
            <w:r>
              <w:rPr>
                <w:sz w:val="18"/>
              </w:rPr>
              <w:t>Total</w:t>
            </w:r>
          </w:p>
        </w:tc>
        <w:tc>
          <w:tcPr>
            <w:tcW w:w="2557" w:type="dxa"/>
            <w:tcBorders>
              <w:top w:val="single" w:sz="6" w:space="0" w:color="69BD28"/>
              <w:bottom w:val="single" w:sz="6" w:space="0" w:color="69BD28"/>
            </w:tcBorders>
          </w:tcPr>
          <w:p>
            <w:pPr>
              <w:pStyle w:val="TableParagraph"/>
              <w:spacing w:line="194" w:lineRule="exact" w:before="8"/>
              <w:ind w:left="481" w:right="372"/>
              <w:rPr>
                <w:sz w:val="18"/>
              </w:rPr>
            </w:pPr>
            <w:r>
              <w:rPr>
                <w:w w:val="110"/>
                <w:sz w:val="18"/>
              </w:rPr>
              <w:t>360,947</w:t>
            </w:r>
          </w:p>
        </w:tc>
        <w:tc>
          <w:tcPr>
            <w:tcW w:w="2866" w:type="dxa"/>
            <w:tcBorders>
              <w:top w:val="single" w:sz="6" w:space="0" w:color="69BD28"/>
              <w:bottom w:val="single" w:sz="6" w:space="0" w:color="69BD28"/>
            </w:tcBorders>
          </w:tcPr>
          <w:p>
            <w:pPr>
              <w:pStyle w:val="TableParagraph"/>
              <w:jc w:val="left"/>
              <w:rPr>
                <w:rFonts w:ascii="Times New Roman"/>
                <w:sz w:val="14"/>
              </w:rPr>
            </w:pPr>
          </w:p>
        </w:tc>
      </w:tr>
    </w:tbl>
    <w:p>
      <w:pPr>
        <w:spacing w:before="116"/>
        <w:ind w:left="424" w:right="0" w:firstLine="0"/>
        <w:jc w:val="both"/>
        <w:rPr>
          <w:i/>
          <w:sz w:val="16"/>
        </w:rPr>
      </w:pPr>
      <w:r>
        <w:rPr/>
        <w:pict>
          <v:shape style="position:absolute;margin-left:139.699997pt;margin-top:24.59174pt;width:426.85pt;height:62.35pt;mso-position-horizontal-relative:page;mso-position-vertical-relative:paragraph;z-index:158438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67"/>
                    <w:gridCol w:w="4470"/>
                  </w:tblGrid>
                  <w:tr>
                    <w:trPr>
                      <w:trHeight w:val="455" w:hRule="atLeast"/>
                    </w:trPr>
                    <w:tc>
                      <w:tcPr>
                        <w:tcW w:w="8537" w:type="dxa"/>
                        <w:gridSpan w:val="2"/>
                        <w:tcBorders>
                          <w:top w:val="single" w:sz="6" w:space="0" w:color="69BD28"/>
                          <w:bottom w:val="single" w:sz="6" w:space="0" w:color="69BD28"/>
                        </w:tcBorders>
                        <w:shd w:val="clear" w:color="auto" w:fill="006A4D"/>
                      </w:tcPr>
                      <w:p>
                        <w:pPr>
                          <w:pStyle w:val="TableParagraph"/>
                          <w:tabs>
                            <w:tab w:pos="5495" w:val="left" w:leader="none"/>
                          </w:tabs>
                          <w:spacing w:before="126"/>
                          <w:ind w:left="984"/>
                          <w:jc w:val="left"/>
                          <w:rPr>
                            <w:b/>
                            <w:sz w:val="18"/>
                          </w:rPr>
                        </w:pPr>
                        <w:r>
                          <w:rPr>
                            <w:b/>
                            <w:color w:val="FFFFFF"/>
                            <w:w w:val="110"/>
                            <w:sz w:val="18"/>
                          </w:rPr>
                          <w:t>Valuation Approach</w:t>
                          <w:tab/>
                          <w:t>Completed</w:t>
                        </w:r>
                        <w:r>
                          <w:rPr>
                            <w:b/>
                            <w:color w:val="FFFFFF"/>
                            <w:spacing w:val="-5"/>
                            <w:w w:val="110"/>
                            <w:sz w:val="18"/>
                          </w:rPr>
                          <w:t> </w:t>
                        </w:r>
                        <w:r>
                          <w:rPr>
                            <w:b/>
                            <w:color w:val="FFFFFF"/>
                            <w:w w:val="110"/>
                            <w:sz w:val="18"/>
                          </w:rPr>
                          <w:t>Blocks</w:t>
                        </w:r>
                      </w:p>
                    </w:tc>
                  </w:tr>
                  <w:tr>
                    <w:trPr>
                      <w:trHeight w:val="745" w:hRule="atLeast"/>
                    </w:trPr>
                    <w:tc>
                      <w:tcPr>
                        <w:tcW w:w="4067" w:type="dxa"/>
                        <w:shd w:val="clear" w:color="auto" w:fill="69BD28"/>
                      </w:tcPr>
                      <w:p>
                        <w:pPr>
                          <w:pStyle w:val="TableParagraph"/>
                          <w:spacing w:before="2"/>
                          <w:jc w:val="left"/>
                          <w:rPr>
                            <w:sz w:val="23"/>
                          </w:rPr>
                        </w:pPr>
                      </w:p>
                      <w:p>
                        <w:pPr>
                          <w:pStyle w:val="TableParagraph"/>
                          <w:spacing w:before="1"/>
                          <w:ind w:left="1085"/>
                          <w:jc w:val="left"/>
                          <w:rPr>
                            <w:b/>
                            <w:sz w:val="18"/>
                          </w:rPr>
                        </w:pPr>
                        <w:r>
                          <w:rPr>
                            <w:b/>
                            <w:color w:val="FFFFFF"/>
                            <w:w w:val="105"/>
                            <w:sz w:val="18"/>
                          </w:rPr>
                          <w:t>Office Component</w:t>
                        </w:r>
                      </w:p>
                    </w:tc>
                    <w:tc>
                      <w:tcPr>
                        <w:tcW w:w="4470" w:type="dxa"/>
                        <w:tcBorders>
                          <w:top w:val="single" w:sz="6" w:space="0" w:color="69BD28"/>
                          <w:bottom w:val="single" w:sz="6" w:space="0" w:color="69BD28"/>
                        </w:tcBorders>
                      </w:tcPr>
                      <w:p>
                        <w:pPr>
                          <w:pStyle w:val="TableParagraph"/>
                          <w:spacing w:line="247" w:lineRule="auto" w:before="162"/>
                          <w:ind w:left="1826" w:right="52" w:hanging="1691"/>
                          <w:jc w:val="left"/>
                          <w:rPr>
                            <w:sz w:val="18"/>
                          </w:rPr>
                        </w:pPr>
                        <w:r>
                          <w:rPr>
                            <w:sz w:val="18"/>
                          </w:rPr>
                          <w:t>Discounted Cash Flow Method (using rental reversion approach)</w:t>
                        </w:r>
                      </w:p>
                    </w:tc>
                  </w:tr>
                </w:tbl>
                <w:p>
                  <w:pPr>
                    <w:pStyle w:val="BodyText"/>
                  </w:pPr>
                </w:p>
              </w:txbxContent>
            </v:textbox>
            <w10:wrap type="none"/>
          </v:shape>
        </w:pict>
      </w:r>
      <w:r>
        <w:rPr>
          <w:i/>
          <w:sz w:val="16"/>
        </w:rPr>
        <w:t>Source: Architect certificate, Rent Roll, lease deeds</w:t>
      </w:r>
    </w:p>
    <w:p>
      <w:pPr>
        <w:spacing w:after="0"/>
        <w:jc w:val="both"/>
        <w:rPr>
          <w:sz w:val="16"/>
        </w:rPr>
        <w:sectPr>
          <w:type w:val="continuous"/>
          <w:pgSz w:w="11910" w:h="16840"/>
          <w:pgMar w:top="800" w:bottom="280" w:left="440" w:right="80"/>
          <w:cols w:num="2" w:equalWidth="0">
            <w:col w:w="1899" w:space="62"/>
            <w:col w:w="9429"/>
          </w:cols>
        </w:sectPr>
      </w:pPr>
    </w:p>
    <w:p>
      <w:pPr>
        <w:pStyle w:val="BodyText"/>
        <w:rPr>
          <w:i/>
          <w:sz w:val="20"/>
        </w:rPr>
      </w:pPr>
    </w:p>
    <w:p>
      <w:pPr>
        <w:pStyle w:val="BodyText"/>
        <w:rPr>
          <w:i/>
          <w:sz w:val="20"/>
        </w:rPr>
      </w:pPr>
    </w:p>
    <w:p>
      <w:pPr>
        <w:pStyle w:val="BodyText"/>
        <w:spacing w:before="6"/>
        <w:rPr>
          <w:i/>
          <w:sz w:val="19"/>
        </w:rPr>
      </w:pPr>
    </w:p>
    <w:p>
      <w:pPr>
        <w:tabs>
          <w:tab w:pos="2368" w:val="left" w:leader="none"/>
        </w:tabs>
        <w:spacing w:before="0"/>
        <w:ind w:left="392" w:right="0" w:firstLine="0"/>
        <w:jc w:val="left"/>
        <w:rPr>
          <w:sz w:val="18"/>
        </w:rPr>
      </w:pPr>
      <w:r>
        <w:rPr>
          <w:color w:val="006A4D"/>
          <w:sz w:val="18"/>
        </w:rPr>
        <w:t>Date</w:t>
      </w:r>
      <w:r>
        <w:rPr>
          <w:color w:val="006A4D"/>
          <w:spacing w:val="-14"/>
          <w:sz w:val="18"/>
        </w:rPr>
        <w:t> </w:t>
      </w:r>
      <w:r>
        <w:rPr>
          <w:color w:val="006A4D"/>
          <w:sz w:val="18"/>
        </w:rPr>
        <w:t>of</w:t>
      </w:r>
      <w:r>
        <w:rPr>
          <w:color w:val="006A4D"/>
          <w:spacing w:val="-13"/>
          <w:sz w:val="18"/>
        </w:rPr>
        <w:t> </w:t>
      </w:r>
      <w:r>
        <w:rPr>
          <w:color w:val="006A4D"/>
          <w:sz w:val="18"/>
        </w:rPr>
        <w:t>Valuation:</w:t>
        <w:tab/>
      </w:r>
      <w:r>
        <w:rPr>
          <w:sz w:val="18"/>
        </w:rPr>
        <w:t>March 31,</w:t>
      </w:r>
      <w:r>
        <w:rPr>
          <w:spacing w:val="-2"/>
          <w:sz w:val="18"/>
        </w:rPr>
        <w:t> </w:t>
      </w:r>
      <w:r>
        <w:rPr>
          <w:sz w:val="18"/>
        </w:rPr>
        <w:t>2020</w:t>
      </w:r>
    </w:p>
    <w:p>
      <w:pPr>
        <w:pStyle w:val="BodyText"/>
        <w:spacing w:before="8"/>
        <w:rPr>
          <w:sz w:val="27"/>
        </w:rPr>
      </w:pPr>
    </w:p>
    <w:p>
      <w:pPr>
        <w:spacing w:line="321" w:lineRule="auto" w:before="0"/>
        <w:ind w:left="2368" w:right="497" w:hanging="1976"/>
        <w:jc w:val="both"/>
        <w:rPr>
          <w:sz w:val="18"/>
        </w:rPr>
      </w:pPr>
      <w:r>
        <w:rPr>
          <w:color w:val="006A4D"/>
          <w:sz w:val="18"/>
        </w:rPr>
        <w:t>Date of Inspection: </w:t>
      </w:r>
      <w:r>
        <w:rPr>
          <w:sz w:val="18"/>
        </w:rPr>
        <w:t>Not Applicable. Due to the outbreak of Novel Coronavirus (COVID-19), declared by the World health Organisation as a “Global Pandemic” on 11</w:t>
      </w:r>
      <w:r>
        <w:rPr>
          <w:position w:val="6"/>
          <w:sz w:val="11"/>
        </w:rPr>
        <w:t>th </w:t>
      </w:r>
      <w:r>
        <w:rPr>
          <w:sz w:val="18"/>
        </w:rPr>
        <w:t>March 2020, it has not been possible to carry out a formal inspection</w:t>
      </w:r>
      <w:r>
        <w:rPr>
          <w:spacing w:val="-10"/>
          <w:sz w:val="18"/>
        </w:rPr>
        <w:t> </w:t>
      </w:r>
      <w:r>
        <w:rPr>
          <w:sz w:val="18"/>
        </w:rPr>
        <w:t>of</w:t>
      </w:r>
      <w:r>
        <w:rPr>
          <w:spacing w:val="-9"/>
          <w:sz w:val="18"/>
        </w:rPr>
        <w:t> </w:t>
      </w:r>
      <w:r>
        <w:rPr>
          <w:sz w:val="18"/>
        </w:rPr>
        <w:t>the</w:t>
      </w:r>
      <w:r>
        <w:rPr>
          <w:spacing w:val="-9"/>
          <w:sz w:val="18"/>
        </w:rPr>
        <w:t> </w:t>
      </w:r>
      <w:r>
        <w:rPr>
          <w:sz w:val="18"/>
        </w:rPr>
        <w:t>property</w:t>
      </w:r>
      <w:r>
        <w:rPr>
          <w:spacing w:val="-8"/>
          <w:sz w:val="18"/>
        </w:rPr>
        <w:t> </w:t>
      </w:r>
      <w:r>
        <w:rPr>
          <w:sz w:val="18"/>
        </w:rPr>
        <w:t>for</w:t>
      </w:r>
      <w:r>
        <w:rPr>
          <w:spacing w:val="-10"/>
          <w:sz w:val="18"/>
        </w:rPr>
        <w:t> </w:t>
      </w:r>
      <w:r>
        <w:rPr>
          <w:sz w:val="18"/>
        </w:rPr>
        <w:t>the</w:t>
      </w:r>
      <w:r>
        <w:rPr>
          <w:spacing w:val="-10"/>
          <w:sz w:val="18"/>
        </w:rPr>
        <w:t> </w:t>
      </w:r>
      <w:r>
        <w:rPr>
          <w:sz w:val="18"/>
        </w:rPr>
        <w:t>current</w:t>
      </w:r>
      <w:r>
        <w:rPr>
          <w:spacing w:val="-9"/>
          <w:sz w:val="18"/>
        </w:rPr>
        <w:t> </w:t>
      </w:r>
      <w:r>
        <w:rPr>
          <w:sz w:val="18"/>
        </w:rPr>
        <w:t>update.</w:t>
      </w:r>
      <w:r>
        <w:rPr>
          <w:spacing w:val="-10"/>
          <w:sz w:val="18"/>
        </w:rPr>
        <w:t> </w:t>
      </w:r>
      <w:r>
        <w:rPr>
          <w:sz w:val="18"/>
        </w:rPr>
        <w:t>The</w:t>
      </w:r>
      <w:r>
        <w:rPr>
          <w:spacing w:val="-8"/>
          <w:sz w:val="18"/>
        </w:rPr>
        <w:t> </w:t>
      </w:r>
      <w:r>
        <w:rPr>
          <w:sz w:val="18"/>
        </w:rPr>
        <w:t>site</w:t>
      </w:r>
      <w:r>
        <w:rPr>
          <w:spacing w:val="-9"/>
          <w:sz w:val="18"/>
        </w:rPr>
        <w:t> </w:t>
      </w:r>
      <w:r>
        <w:rPr>
          <w:sz w:val="18"/>
        </w:rPr>
        <w:t>observation,</w:t>
      </w:r>
      <w:r>
        <w:rPr>
          <w:spacing w:val="-10"/>
          <w:sz w:val="18"/>
        </w:rPr>
        <w:t> </w:t>
      </w:r>
      <w:r>
        <w:rPr>
          <w:sz w:val="18"/>
        </w:rPr>
        <w:t>details</w:t>
      </w:r>
      <w:r>
        <w:rPr>
          <w:spacing w:val="-9"/>
          <w:sz w:val="18"/>
        </w:rPr>
        <w:t> </w:t>
      </w:r>
      <w:r>
        <w:rPr>
          <w:sz w:val="18"/>
        </w:rPr>
        <w:t>and</w:t>
      </w:r>
      <w:r>
        <w:rPr>
          <w:spacing w:val="-9"/>
          <w:sz w:val="18"/>
        </w:rPr>
        <w:t> </w:t>
      </w:r>
      <w:r>
        <w:rPr>
          <w:sz w:val="18"/>
        </w:rPr>
        <w:t>pictures</w:t>
      </w:r>
      <w:r>
        <w:rPr>
          <w:spacing w:val="-10"/>
          <w:sz w:val="18"/>
        </w:rPr>
        <w:t> </w:t>
      </w:r>
      <w:r>
        <w:rPr>
          <w:sz w:val="18"/>
        </w:rPr>
        <w:t>are</w:t>
      </w:r>
      <w:r>
        <w:rPr>
          <w:spacing w:val="-9"/>
          <w:sz w:val="18"/>
        </w:rPr>
        <w:t> </w:t>
      </w:r>
      <w:r>
        <w:rPr>
          <w:sz w:val="18"/>
        </w:rPr>
        <w:t>as</w:t>
      </w:r>
      <w:r>
        <w:rPr>
          <w:spacing w:val="-9"/>
          <w:sz w:val="18"/>
        </w:rPr>
        <w:t> </w:t>
      </w:r>
      <w:r>
        <w:rPr>
          <w:sz w:val="18"/>
        </w:rPr>
        <w:t>per</w:t>
      </w:r>
      <w:r>
        <w:rPr>
          <w:spacing w:val="-10"/>
          <w:sz w:val="18"/>
        </w:rPr>
        <w:t> </w:t>
      </w:r>
      <w:r>
        <w:rPr>
          <w:sz w:val="18"/>
        </w:rPr>
        <w:t>the previous site visit undertaken/ as provided by the</w:t>
      </w:r>
      <w:r>
        <w:rPr>
          <w:spacing w:val="-39"/>
          <w:sz w:val="18"/>
        </w:rPr>
        <w:t> </w:t>
      </w:r>
      <w:r>
        <w:rPr>
          <w:sz w:val="18"/>
        </w:rPr>
        <w:t>Client</w:t>
      </w:r>
    </w:p>
    <w:p>
      <w:pPr>
        <w:pStyle w:val="BodyText"/>
        <w:spacing w:before="9"/>
        <w:rPr>
          <w:sz w:val="12"/>
        </w:rPr>
      </w:pPr>
    </w:p>
    <w:p>
      <w:pPr>
        <w:spacing w:after="0"/>
        <w:rPr>
          <w:sz w:val="12"/>
        </w:rPr>
        <w:sectPr>
          <w:type w:val="continuous"/>
          <w:pgSz w:w="11910" w:h="16840"/>
          <w:pgMar w:top="800" w:bottom="280" w:left="440" w:right="80"/>
        </w:sectPr>
      </w:pPr>
    </w:p>
    <w:p>
      <w:pPr>
        <w:spacing w:line="321" w:lineRule="auto" w:before="104"/>
        <w:ind w:left="392" w:right="-16" w:firstLine="0"/>
        <w:jc w:val="left"/>
        <w:rPr>
          <w:sz w:val="18"/>
        </w:rPr>
      </w:pPr>
      <w:r>
        <w:rPr>
          <w:color w:val="006A4D"/>
          <w:sz w:val="18"/>
        </w:rPr>
        <w:t>Purchase</w:t>
      </w:r>
      <w:r>
        <w:rPr>
          <w:color w:val="006A4D"/>
          <w:spacing w:val="-36"/>
          <w:sz w:val="18"/>
        </w:rPr>
        <w:t> </w:t>
      </w:r>
      <w:r>
        <w:rPr>
          <w:color w:val="006A4D"/>
          <w:sz w:val="18"/>
        </w:rPr>
        <w:t>Price</w:t>
      </w:r>
      <w:r>
        <w:rPr>
          <w:color w:val="006A4D"/>
          <w:spacing w:val="-36"/>
          <w:sz w:val="18"/>
        </w:rPr>
        <w:t> </w:t>
      </w:r>
      <w:r>
        <w:rPr>
          <w:color w:val="006A4D"/>
          <w:sz w:val="18"/>
        </w:rPr>
        <w:t>for</w:t>
      </w:r>
      <w:r>
        <w:rPr>
          <w:color w:val="006A4D"/>
          <w:spacing w:val="-36"/>
          <w:sz w:val="18"/>
        </w:rPr>
        <w:t> </w:t>
      </w:r>
      <w:r>
        <w:rPr>
          <w:color w:val="006A4D"/>
          <w:sz w:val="18"/>
        </w:rPr>
        <w:t>the property:</w:t>
      </w:r>
    </w:p>
    <w:p>
      <w:pPr>
        <w:spacing w:line="321" w:lineRule="auto" w:before="104"/>
        <w:ind w:left="246" w:right="407" w:firstLine="0"/>
        <w:jc w:val="left"/>
        <w:rPr>
          <w:sz w:val="18"/>
        </w:rPr>
      </w:pPr>
      <w:r>
        <w:rPr/>
        <w:br w:type="column"/>
      </w:r>
      <w:r>
        <w:rPr>
          <w:sz w:val="18"/>
        </w:rPr>
        <w:t>The said acquisition was undertaken as part of the ‘Formation Transaction’ as described in the Final Offer Document dated 27</w:t>
      </w:r>
      <w:r>
        <w:rPr>
          <w:position w:val="6"/>
          <w:sz w:val="11"/>
        </w:rPr>
        <w:t>th </w:t>
      </w:r>
      <w:r>
        <w:rPr>
          <w:sz w:val="18"/>
        </w:rPr>
        <w:t>March 2019</w:t>
      </w:r>
    </w:p>
    <w:p>
      <w:pPr>
        <w:spacing w:after="0" w:line="321" w:lineRule="auto"/>
        <w:jc w:val="left"/>
        <w:rPr>
          <w:sz w:val="18"/>
        </w:rPr>
        <w:sectPr>
          <w:type w:val="continuous"/>
          <w:pgSz w:w="11910" w:h="16840"/>
          <w:pgMar w:top="800" w:bottom="280" w:left="440" w:right="80"/>
          <w:cols w:num="2" w:equalWidth="0">
            <w:col w:w="2083" w:space="40"/>
            <w:col w:w="9267"/>
          </w:cols>
        </w:sectPr>
      </w:pPr>
    </w:p>
    <w:p>
      <w:pPr>
        <w:pStyle w:val="BodyText"/>
        <w:rPr>
          <w:sz w:val="20"/>
        </w:rPr>
      </w:pPr>
    </w:p>
    <w:p>
      <w:pPr>
        <w:spacing w:after="0"/>
        <w:rPr>
          <w:sz w:val="20"/>
        </w:rPr>
        <w:sectPr>
          <w:pgSz w:w="11910" w:h="16840"/>
          <w:pgMar w:header="720" w:footer="842" w:top="1520" w:bottom="1040" w:left="440" w:right="80"/>
        </w:sectPr>
      </w:pPr>
    </w:p>
    <w:p>
      <w:pPr>
        <w:pStyle w:val="BodyText"/>
        <w:spacing w:before="7"/>
      </w:pPr>
    </w:p>
    <w:p>
      <w:pPr>
        <w:spacing w:line="321" w:lineRule="auto" w:before="1"/>
        <w:ind w:left="392" w:right="-10" w:firstLine="0"/>
        <w:jc w:val="left"/>
        <w:rPr>
          <w:sz w:val="18"/>
        </w:rPr>
      </w:pPr>
      <w:r>
        <w:rPr>
          <w:color w:val="006A4D"/>
          <w:w w:val="95"/>
          <w:sz w:val="18"/>
        </w:rPr>
        <w:t>Ready Reckoner Rate </w:t>
      </w:r>
      <w:r>
        <w:rPr>
          <w:color w:val="006A4D"/>
          <w:sz w:val="18"/>
        </w:rPr>
        <w:t>(as per documents published by State Government):</w:t>
      </w:r>
    </w:p>
    <w:p>
      <w:pPr>
        <w:spacing w:line="321" w:lineRule="auto" w:before="132"/>
        <w:ind w:left="392" w:right="26" w:firstLine="0"/>
        <w:jc w:val="left"/>
        <w:rPr>
          <w:sz w:val="18"/>
        </w:rPr>
      </w:pPr>
      <w:r>
        <w:rPr>
          <w:color w:val="006A4D"/>
          <w:sz w:val="18"/>
        </w:rPr>
        <w:t>Value Conclusion as of March 31, 2020:</w:t>
      </w:r>
    </w:p>
    <w:p>
      <w:pPr>
        <w:pStyle w:val="BodyText"/>
        <w:spacing w:before="7"/>
      </w:pPr>
      <w:r>
        <w:rPr/>
        <w:br w:type="column"/>
      </w:r>
      <w:r>
        <w:rPr/>
      </w:r>
    </w:p>
    <w:p>
      <w:pPr>
        <w:spacing w:line="460" w:lineRule="auto" w:before="1"/>
        <w:ind w:left="301" w:right="6149" w:firstLine="0"/>
        <w:jc w:val="left"/>
        <w:rPr>
          <w:sz w:val="18"/>
        </w:rPr>
      </w:pPr>
      <w:r>
        <w:rPr>
          <w:sz w:val="18"/>
        </w:rPr>
        <w:t>Land Rate: INR 179,200 per sqm; Built-up Rate: INR 336,300 per sqm</w:t>
      </w:r>
    </w:p>
    <w:p>
      <w:pPr>
        <w:pStyle w:val="BodyText"/>
        <w:rPr>
          <w:sz w:val="20"/>
        </w:rPr>
      </w:pPr>
    </w:p>
    <w:p>
      <w:pPr>
        <w:pStyle w:val="BodyText"/>
        <w:spacing w:before="1"/>
        <w:rPr>
          <w:sz w:val="15"/>
        </w:rPr>
      </w:pPr>
      <w:r>
        <w:rPr/>
        <w:pict>
          <v:group style="position:absolute;margin-left:140.419998pt;margin-top:10.708164pt;width:426.1pt;height:19.45pt;mso-position-horizontal-relative:page;mso-position-vertical-relative:paragraph;z-index:-15612416;mso-wrap-distance-left:0;mso-wrap-distance-right:0" coordorigin="2808,214" coordsize="8522,389">
            <v:shape style="position:absolute;left:2808;top:242;width:8522;height:346" coordorigin="2808,243" coordsize="8522,346" path="m11330,243l7182,243,2808,243,2808,589,7182,589,11330,589,11330,243xe" filled="true" fillcolor="#006a4d" stroked="false">
              <v:path arrowok="t"/>
              <v:fill type="solid"/>
            </v:shape>
            <v:rect style="position:absolute;left:2808;top:214;width:4377;height:29" filled="true" fillcolor="#1f6b16" stroked="false">
              <v:fill type="solid"/>
            </v:rect>
            <v:shape style="position:absolute;left:2808;top:242;width:4405;height:3" coordorigin="2808,243" coordsize="4405,3" path="m7213,243l7185,243,2808,243,2808,245,7185,245,7213,245,7213,243xe" filled="true" fillcolor="#006a4d" stroked="false">
              <v:path arrowok="t"/>
              <v:fill type="solid"/>
            </v:shape>
            <v:shape style="position:absolute;left:7184;top:214;width:4146;height:29" coordorigin="7185,214" coordsize="4146,29" path="m11330,214l7213,214,7185,214,7185,243,7213,243,11330,243,11330,214xe" filled="true" fillcolor="#1f6b16" stroked="false">
              <v:path arrowok="t"/>
              <v:fill type="solid"/>
            </v:shape>
            <v:rect style="position:absolute;left:7213;top:242;width:4117;height:3" filled="true" fillcolor="#006a4d" stroked="false">
              <v:fill type="solid"/>
            </v:rect>
            <v:shape style="position:absolute;left:2808;top:588;width:8522;height:15" coordorigin="2808,589" coordsize="8522,15" path="m11330,589l7199,589,7185,589,2808,589,2808,603,7185,603,7199,603,11330,603,11330,589xe" filled="true" fillcolor="#69bd28" stroked="false">
              <v:path arrowok="t"/>
              <v:fill type="solid"/>
            </v:shape>
            <v:shape style="position:absolute;left:2808;top:242;width:8522;height:346" type="#_x0000_t202" filled="false" stroked="false">
              <v:textbox inset="0,0,0,0">
                <w:txbxContent>
                  <w:p>
                    <w:pPr>
                      <w:tabs>
                        <w:tab w:pos="5396" w:val="left" w:leader="none"/>
                      </w:tabs>
                      <w:spacing w:before="68"/>
                      <w:ind w:left="1671" w:right="0" w:firstLine="0"/>
                      <w:jc w:val="left"/>
                      <w:rPr>
                        <w:b/>
                        <w:sz w:val="18"/>
                      </w:rPr>
                    </w:pPr>
                    <w:r>
                      <w:rPr>
                        <w:b/>
                        <w:color w:val="FFFFFF"/>
                        <w:w w:val="110"/>
                        <w:sz w:val="18"/>
                      </w:rPr>
                      <w:t>Component</w:t>
                      <w:tab/>
                      <w:t>Market Value (INR</w:t>
                    </w:r>
                    <w:r>
                      <w:rPr>
                        <w:b/>
                        <w:color w:val="FFFFFF"/>
                        <w:spacing w:val="-5"/>
                        <w:w w:val="110"/>
                        <w:sz w:val="18"/>
                      </w:rPr>
                      <w:t> </w:t>
                    </w:r>
                    <w:r>
                      <w:rPr>
                        <w:b/>
                        <w:color w:val="FFFFFF"/>
                        <w:w w:val="110"/>
                        <w:sz w:val="18"/>
                      </w:rPr>
                      <w:t>mn)</w:t>
                    </w:r>
                  </w:p>
                </w:txbxContent>
              </v:textbox>
              <w10:wrap type="none"/>
            </v:shape>
            <w10:wrap type="topAndBottom"/>
          </v:group>
        </w:pict>
      </w:r>
    </w:p>
    <w:p>
      <w:pPr>
        <w:tabs>
          <w:tab w:pos="6456" w:val="left" w:leader="none"/>
        </w:tabs>
        <w:spacing w:before="51"/>
        <w:ind w:left="1288" w:right="0" w:firstLine="0"/>
        <w:jc w:val="left"/>
        <w:rPr>
          <w:sz w:val="18"/>
        </w:rPr>
      </w:pPr>
      <w:r>
        <w:rPr>
          <w:position w:val="1"/>
          <w:sz w:val="16"/>
        </w:rPr>
        <w:t>First</w:t>
      </w:r>
      <w:r>
        <w:rPr>
          <w:spacing w:val="-27"/>
          <w:position w:val="1"/>
          <w:sz w:val="16"/>
        </w:rPr>
        <w:t> </w:t>
      </w:r>
      <w:r>
        <w:rPr>
          <w:position w:val="1"/>
          <w:sz w:val="16"/>
        </w:rPr>
        <w:t>International</w:t>
      </w:r>
      <w:r>
        <w:rPr>
          <w:spacing w:val="-26"/>
          <w:position w:val="1"/>
          <w:sz w:val="16"/>
        </w:rPr>
        <w:t> </w:t>
      </w:r>
      <w:r>
        <w:rPr>
          <w:position w:val="1"/>
          <w:sz w:val="16"/>
        </w:rPr>
        <w:t>Financial</w:t>
      </w:r>
      <w:r>
        <w:rPr>
          <w:spacing w:val="-27"/>
          <w:position w:val="1"/>
          <w:sz w:val="16"/>
        </w:rPr>
        <w:t> </w:t>
      </w:r>
      <w:r>
        <w:rPr>
          <w:position w:val="1"/>
          <w:sz w:val="16"/>
        </w:rPr>
        <w:t>Centre</w:t>
        <w:tab/>
      </w:r>
      <w:r>
        <w:rPr>
          <w:sz w:val="18"/>
        </w:rPr>
        <w:t>13,911</w:t>
      </w:r>
    </w:p>
    <w:p>
      <w:pPr>
        <w:spacing w:after="0"/>
        <w:jc w:val="left"/>
        <w:rPr>
          <w:sz w:val="18"/>
        </w:rPr>
        <w:sectPr>
          <w:type w:val="continuous"/>
          <w:pgSz w:w="11910" w:h="16840"/>
          <w:pgMar w:top="800" w:bottom="280" w:left="440" w:right="80"/>
          <w:cols w:num="2" w:equalWidth="0">
            <w:col w:w="2027" w:space="40"/>
            <w:col w:w="9323"/>
          </w:cols>
        </w:sectPr>
      </w:pPr>
    </w:p>
    <w:p>
      <w:pPr>
        <w:pStyle w:val="BodyText"/>
        <w:spacing w:before="6"/>
        <w:rPr>
          <w:sz w:val="6"/>
        </w:rPr>
      </w:pPr>
    </w:p>
    <w:p>
      <w:pPr>
        <w:pStyle w:val="BodyText"/>
        <w:ind w:left="2354"/>
        <w:rPr>
          <w:sz w:val="20"/>
        </w:rPr>
      </w:pPr>
      <w:r>
        <w:rPr>
          <w:sz w:val="20"/>
        </w:rPr>
        <w:pict>
          <v:shape style="width:426.85pt;height:19.7pt;mso-position-horizontal-relative:char;mso-position-vertical-relative:line" type="#_x0000_t202" filled="true" fillcolor="#69bd28" stroked="false">
            <w10:anchorlock/>
            <v:textbox inset="0,0,0,0">
              <w:txbxContent>
                <w:p>
                  <w:pPr>
                    <w:tabs>
                      <w:tab w:pos="6169" w:val="left" w:leader="none"/>
                    </w:tabs>
                    <w:spacing w:before="95"/>
                    <w:ind w:left="1157" w:right="0" w:firstLine="0"/>
                    <w:jc w:val="left"/>
                    <w:rPr>
                      <w:sz w:val="18"/>
                    </w:rPr>
                  </w:pPr>
                  <w:r>
                    <w:rPr>
                      <w:color w:val="FFFFFF"/>
                      <w:sz w:val="18"/>
                    </w:rPr>
                    <w:t>Total</w:t>
                  </w:r>
                  <w:r>
                    <w:rPr>
                      <w:color w:val="FFFFFF"/>
                      <w:spacing w:val="-24"/>
                      <w:sz w:val="18"/>
                    </w:rPr>
                    <w:t> </w:t>
                  </w:r>
                  <w:r>
                    <w:rPr>
                      <w:color w:val="FFFFFF"/>
                      <w:sz w:val="18"/>
                    </w:rPr>
                    <w:t>Value</w:t>
                  </w:r>
                  <w:r>
                    <w:rPr>
                      <w:color w:val="FFFFFF"/>
                      <w:spacing w:val="-23"/>
                      <w:sz w:val="18"/>
                    </w:rPr>
                    <w:t> </w:t>
                  </w:r>
                  <w:r>
                    <w:rPr>
                      <w:color w:val="FFFFFF"/>
                      <w:sz w:val="18"/>
                    </w:rPr>
                    <w:t>of</w:t>
                  </w:r>
                  <w:r>
                    <w:rPr>
                      <w:color w:val="FFFFFF"/>
                      <w:spacing w:val="-23"/>
                      <w:sz w:val="18"/>
                    </w:rPr>
                    <w:t> </w:t>
                  </w:r>
                  <w:r>
                    <w:rPr>
                      <w:color w:val="FFFFFF"/>
                      <w:sz w:val="18"/>
                    </w:rPr>
                    <w:t>the</w:t>
                  </w:r>
                  <w:r>
                    <w:rPr>
                      <w:color w:val="FFFFFF"/>
                      <w:spacing w:val="-23"/>
                      <w:sz w:val="18"/>
                    </w:rPr>
                    <w:t> </w:t>
                  </w:r>
                  <w:r>
                    <w:rPr>
                      <w:color w:val="FFFFFF"/>
                      <w:sz w:val="18"/>
                    </w:rPr>
                    <w:t>property</w:t>
                    <w:tab/>
                    <w:t>13,911</w:t>
                  </w:r>
                </w:p>
              </w:txbxContent>
            </v:textbox>
            <v:fill type="solid"/>
          </v:shape>
        </w:pict>
      </w:r>
      <w:r>
        <w:rPr>
          <w:sz w:val="20"/>
        </w:rPr>
      </w:r>
    </w:p>
    <w:p>
      <w:pPr>
        <w:pStyle w:val="BodyText"/>
        <w:spacing w:before="6"/>
        <w:rPr>
          <w:sz w:val="15"/>
        </w:rPr>
      </w:pPr>
    </w:p>
    <w:p>
      <w:pPr>
        <w:spacing w:after="0"/>
        <w:rPr>
          <w:sz w:val="15"/>
        </w:rPr>
        <w:sectPr>
          <w:type w:val="continuous"/>
          <w:pgSz w:w="11910" w:h="16840"/>
          <w:pgMar w:top="800" w:bottom="280" w:left="440" w:right="80"/>
        </w:sectPr>
      </w:pPr>
    </w:p>
    <w:p>
      <w:pPr>
        <w:spacing w:line="321" w:lineRule="auto" w:before="104"/>
        <w:ind w:left="392" w:right="30" w:firstLine="0"/>
        <w:jc w:val="left"/>
        <w:rPr>
          <w:sz w:val="18"/>
        </w:rPr>
      </w:pPr>
      <w:r>
        <w:rPr>
          <w:color w:val="006A4D"/>
          <w:sz w:val="18"/>
        </w:rPr>
        <w:t>Assumptions, Disclaimers, Limitations &amp; </w:t>
      </w:r>
      <w:r>
        <w:rPr>
          <w:color w:val="006A4D"/>
          <w:w w:val="95"/>
          <w:sz w:val="18"/>
        </w:rPr>
        <w:t>Qualifications</w:t>
      </w:r>
    </w:p>
    <w:p>
      <w:pPr>
        <w:spacing w:line="321" w:lineRule="auto" w:before="104"/>
        <w:ind w:left="392" w:right="498" w:firstLine="0"/>
        <w:jc w:val="both"/>
        <w:rPr>
          <w:sz w:val="18"/>
        </w:rPr>
      </w:pPr>
      <w:r>
        <w:rPr/>
        <w:br w:type="column"/>
      </w:r>
      <w:r>
        <w:rPr>
          <w:sz w:val="18"/>
        </w:rPr>
        <w:t>This</w:t>
      </w:r>
      <w:r>
        <w:rPr>
          <w:spacing w:val="-22"/>
          <w:sz w:val="18"/>
        </w:rPr>
        <w:t> </w:t>
      </w:r>
      <w:r>
        <w:rPr>
          <w:sz w:val="18"/>
        </w:rPr>
        <w:t>valuation</w:t>
      </w:r>
      <w:r>
        <w:rPr>
          <w:spacing w:val="-21"/>
          <w:sz w:val="18"/>
        </w:rPr>
        <w:t> </w:t>
      </w:r>
      <w:r>
        <w:rPr>
          <w:sz w:val="18"/>
        </w:rPr>
        <w:t>report</w:t>
      </w:r>
      <w:r>
        <w:rPr>
          <w:spacing w:val="-22"/>
          <w:sz w:val="18"/>
        </w:rPr>
        <w:t> </w:t>
      </w:r>
      <w:r>
        <w:rPr>
          <w:sz w:val="18"/>
        </w:rPr>
        <w:t>is</w:t>
      </w:r>
      <w:r>
        <w:rPr>
          <w:spacing w:val="-22"/>
          <w:sz w:val="18"/>
        </w:rPr>
        <w:t> </w:t>
      </w:r>
      <w:r>
        <w:rPr>
          <w:sz w:val="18"/>
        </w:rPr>
        <w:t>provided</w:t>
      </w:r>
      <w:r>
        <w:rPr>
          <w:spacing w:val="-21"/>
          <w:sz w:val="18"/>
        </w:rPr>
        <w:t> </w:t>
      </w:r>
      <w:r>
        <w:rPr>
          <w:sz w:val="18"/>
        </w:rPr>
        <w:t>subject</w:t>
      </w:r>
      <w:r>
        <w:rPr>
          <w:spacing w:val="-22"/>
          <w:sz w:val="18"/>
        </w:rPr>
        <w:t> </w:t>
      </w:r>
      <w:r>
        <w:rPr>
          <w:sz w:val="18"/>
        </w:rPr>
        <w:t>to</w:t>
      </w:r>
      <w:r>
        <w:rPr>
          <w:spacing w:val="-22"/>
          <w:sz w:val="18"/>
        </w:rPr>
        <w:t> </w:t>
      </w:r>
      <w:r>
        <w:rPr>
          <w:sz w:val="18"/>
        </w:rPr>
        <w:t>assumptions,</w:t>
      </w:r>
      <w:r>
        <w:rPr>
          <w:spacing w:val="-21"/>
          <w:sz w:val="18"/>
        </w:rPr>
        <w:t> </w:t>
      </w:r>
      <w:r>
        <w:rPr>
          <w:sz w:val="18"/>
        </w:rPr>
        <w:t>disclaimers,</w:t>
      </w:r>
      <w:r>
        <w:rPr>
          <w:spacing w:val="-22"/>
          <w:sz w:val="18"/>
        </w:rPr>
        <w:t> </w:t>
      </w:r>
      <w:r>
        <w:rPr>
          <w:sz w:val="18"/>
        </w:rPr>
        <w:t>limitations</w:t>
      </w:r>
      <w:r>
        <w:rPr>
          <w:spacing w:val="-22"/>
          <w:sz w:val="18"/>
        </w:rPr>
        <w:t> </w:t>
      </w:r>
      <w:r>
        <w:rPr>
          <w:sz w:val="18"/>
        </w:rPr>
        <w:t>and</w:t>
      </w:r>
      <w:r>
        <w:rPr>
          <w:spacing w:val="-21"/>
          <w:sz w:val="18"/>
        </w:rPr>
        <w:t> </w:t>
      </w:r>
      <w:r>
        <w:rPr>
          <w:sz w:val="18"/>
        </w:rPr>
        <w:t>qualifications</w:t>
      </w:r>
      <w:r>
        <w:rPr>
          <w:spacing w:val="-21"/>
          <w:sz w:val="18"/>
        </w:rPr>
        <w:t> </w:t>
      </w:r>
      <w:r>
        <w:rPr>
          <w:sz w:val="18"/>
        </w:rPr>
        <w:t>detailed throughout</w:t>
      </w:r>
      <w:r>
        <w:rPr>
          <w:spacing w:val="-38"/>
          <w:sz w:val="18"/>
        </w:rPr>
        <w:t> </w:t>
      </w:r>
      <w:r>
        <w:rPr>
          <w:sz w:val="18"/>
        </w:rPr>
        <w:t>this</w:t>
      </w:r>
      <w:r>
        <w:rPr>
          <w:spacing w:val="-37"/>
          <w:sz w:val="18"/>
        </w:rPr>
        <w:t> </w:t>
      </w:r>
      <w:r>
        <w:rPr>
          <w:sz w:val="18"/>
        </w:rPr>
        <w:t>report</w:t>
      </w:r>
      <w:r>
        <w:rPr>
          <w:spacing w:val="-38"/>
          <w:sz w:val="18"/>
        </w:rPr>
        <w:t> </w:t>
      </w:r>
      <w:r>
        <w:rPr>
          <w:sz w:val="18"/>
        </w:rPr>
        <w:t>which</w:t>
      </w:r>
      <w:r>
        <w:rPr>
          <w:spacing w:val="-36"/>
          <w:sz w:val="18"/>
        </w:rPr>
        <w:t> </w:t>
      </w:r>
      <w:r>
        <w:rPr>
          <w:sz w:val="18"/>
        </w:rPr>
        <w:t>are</w:t>
      </w:r>
      <w:r>
        <w:rPr>
          <w:spacing w:val="-37"/>
          <w:sz w:val="18"/>
        </w:rPr>
        <w:t> </w:t>
      </w:r>
      <w:r>
        <w:rPr>
          <w:sz w:val="18"/>
        </w:rPr>
        <w:t>made</w:t>
      </w:r>
      <w:r>
        <w:rPr>
          <w:spacing w:val="-37"/>
          <w:sz w:val="18"/>
        </w:rPr>
        <w:t> </w:t>
      </w:r>
      <w:r>
        <w:rPr>
          <w:sz w:val="18"/>
        </w:rPr>
        <w:t>in</w:t>
      </w:r>
      <w:r>
        <w:rPr>
          <w:spacing w:val="-37"/>
          <w:sz w:val="18"/>
        </w:rPr>
        <w:t> </w:t>
      </w:r>
      <w:r>
        <w:rPr>
          <w:sz w:val="18"/>
        </w:rPr>
        <w:t>conjunction</w:t>
      </w:r>
      <w:r>
        <w:rPr>
          <w:spacing w:val="-37"/>
          <w:sz w:val="18"/>
        </w:rPr>
        <w:t> </w:t>
      </w:r>
      <w:r>
        <w:rPr>
          <w:sz w:val="18"/>
        </w:rPr>
        <w:t>with</w:t>
      </w:r>
      <w:r>
        <w:rPr>
          <w:spacing w:val="-37"/>
          <w:sz w:val="18"/>
        </w:rPr>
        <w:t> </w:t>
      </w:r>
      <w:r>
        <w:rPr>
          <w:sz w:val="18"/>
        </w:rPr>
        <w:t>those</w:t>
      </w:r>
      <w:r>
        <w:rPr>
          <w:spacing w:val="-37"/>
          <w:sz w:val="18"/>
        </w:rPr>
        <w:t> </w:t>
      </w:r>
      <w:r>
        <w:rPr>
          <w:sz w:val="18"/>
        </w:rPr>
        <w:t>included</w:t>
      </w:r>
      <w:r>
        <w:rPr>
          <w:spacing w:val="-37"/>
          <w:sz w:val="18"/>
        </w:rPr>
        <w:t> </w:t>
      </w:r>
      <w:r>
        <w:rPr>
          <w:sz w:val="18"/>
        </w:rPr>
        <w:t>within</w:t>
      </w:r>
      <w:r>
        <w:rPr>
          <w:spacing w:val="-37"/>
          <w:sz w:val="18"/>
        </w:rPr>
        <w:t> </w:t>
      </w:r>
      <w:r>
        <w:rPr>
          <w:sz w:val="18"/>
        </w:rPr>
        <w:t>the</w:t>
      </w:r>
      <w:r>
        <w:rPr>
          <w:spacing w:val="-37"/>
          <w:sz w:val="18"/>
        </w:rPr>
        <w:t> </w:t>
      </w:r>
      <w:r>
        <w:rPr>
          <w:sz w:val="18"/>
        </w:rPr>
        <w:t>Assumptions,</w:t>
      </w:r>
      <w:r>
        <w:rPr>
          <w:spacing w:val="-37"/>
          <w:sz w:val="18"/>
        </w:rPr>
        <w:t> </w:t>
      </w:r>
      <w:r>
        <w:rPr>
          <w:sz w:val="18"/>
        </w:rPr>
        <w:t>Disclaimers, Limitations</w:t>
      </w:r>
      <w:r>
        <w:rPr>
          <w:spacing w:val="-13"/>
          <w:sz w:val="18"/>
        </w:rPr>
        <w:t> </w:t>
      </w:r>
      <w:r>
        <w:rPr>
          <w:sz w:val="18"/>
        </w:rPr>
        <w:t>&amp;</w:t>
      </w:r>
      <w:r>
        <w:rPr>
          <w:spacing w:val="-13"/>
          <w:sz w:val="18"/>
        </w:rPr>
        <w:t> </w:t>
      </w:r>
      <w:r>
        <w:rPr>
          <w:sz w:val="18"/>
        </w:rPr>
        <w:t>Qualifications</w:t>
      </w:r>
      <w:r>
        <w:rPr>
          <w:spacing w:val="-13"/>
          <w:sz w:val="18"/>
        </w:rPr>
        <w:t> </w:t>
      </w:r>
      <w:r>
        <w:rPr>
          <w:sz w:val="18"/>
        </w:rPr>
        <w:t>section</w:t>
      </w:r>
      <w:r>
        <w:rPr>
          <w:spacing w:val="-13"/>
          <w:sz w:val="18"/>
        </w:rPr>
        <w:t> </w:t>
      </w:r>
      <w:r>
        <w:rPr>
          <w:sz w:val="18"/>
        </w:rPr>
        <w:t>located</w:t>
      </w:r>
      <w:r>
        <w:rPr>
          <w:spacing w:val="-14"/>
          <w:sz w:val="18"/>
        </w:rPr>
        <w:t> </w:t>
      </w:r>
      <w:r>
        <w:rPr>
          <w:sz w:val="18"/>
        </w:rPr>
        <w:t>within</w:t>
      </w:r>
      <w:r>
        <w:rPr>
          <w:spacing w:val="-12"/>
          <w:sz w:val="18"/>
        </w:rPr>
        <w:t> </w:t>
      </w:r>
      <w:r>
        <w:rPr>
          <w:sz w:val="18"/>
        </w:rPr>
        <w:t>this</w:t>
      </w:r>
      <w:r>
        <w:rPr>
          <w:spacing w:val="-13"/>
          <w:sz w:val="18"/>
        </w:rPr>
        <w:t> </w:t>
      </w:r>
      <w:r>
        <w:rPr>
          <w:sz w:val="18"/>
        </w:rPr>
        <w:t>report.</w:t>
      </w:r>
      <w:r>
        <w:rPr>
          <w:spacing w:val="-13"/>
          <w:sz w:val="18"/>
        </w:rPr>
        <w:t> </w:t>
      </w:r>
      <w:r>
        <w:rPr>
          <w:sz w:val="18"/>
        </w:rPr>
        <w:t>Reliance</w:t>
      </w:r>
      <w:r>
        <w:rPr>
          <w:spacing w:val="-13"/>
          <w:sz w:val="18"/>
        </w:rPr>
        <w:t> </w:t>
      </w:r>
      <w:r>
        <w:rPr>
          <w:sz w:val="18"/>
        </w:rPr>
        <w:t>on</w:t>
      </w:r>
      <w:r>
        <w:rPr>
          <w:spacing w:val="-13"/>
          <w:sz w:val="18"/>
        </w:rPr>
        <w:t> </w:t>
      </w:r>
      <w:r>
        <w:rPr>
          <w:sz w:val="18"/>
        </w:rPr>
        <w:t>this</w:t>
      </w:r>
      <w:r>
        <w:rPr>
          <w:spacing w:val="-14"/>
          <w:sz w:val="18"/>
        </w:rPr>
        <w:t> </w:t>
      </w:r>
      <w:r>
        <w:rPr>
          <w:sz w:val="18"/>
        </w:rPr>
        <w:t>report</w:t>
      </w:r>
      <w:r>
        <w:rPr>
          <w:spacing w:val="-14"/>
          <w:sz w:val="18"/>
        </w:rPr>
        <w:t> </w:t>
      </w:r>
      <w:r>
        <w:rPr>
          <w:sz w:val="18"/>
        </w:rPr>
        <w:t>and</w:t>
      </w:r>
      <w:r>
        <w:rPr>
          <w:spacing w:val="-15"/>
          <w:sz w:val="18"/>
        </w:rPr>
        <w:t> </w:t>
      </w:r>
      <w:r>
        <w:rPr>
          <w:sz w:val="18"/>
        </w:rPr>
        <w:t>extension</w:t>
      </w:r>
      <w:r>
        <w:rPr>
          <w:spacing w:val="-14"/>
          <w:sz w:val="18"/>
        </w:rPr>
        <w:t> </w:t>
      </w:r>
      <w:r>
        <w:rPr>
          <w:sz w:val="18"/>
        </w:rPr>
        <w:t>of</w:t>
      </w:r>
      <w:r>
        <w:rPr>
          <w:spacing w:val="-12"/>
          <w:sz w:val="18"/>
        </w:rPr>
        <w:t> </w:t>
      </w:r>
      <w:r>
        <w:rPr>
          <w:sz w:val="18"/>
        </w:rPr>
        <w:t>our liability is conditional upon the reader’s acknowledgement and understanding of these statements. This valuation</w:t>
      </w:r>
      <w:r>
        <w:rPr>
          <w:spacing w:val="-4"/>
          <w:sz w:val="18"/>
        </w:rPr>
        <w:t> </w:t>
      </w:r>
      <w:r>
        <w:rPr>
          <w:sz w:val="18"/>
        </w:rPr>
        <w:t>is</w:t>
      </w:r>
      <w:r>
        <w:rPr>
          <w:spacing w:val="-3"/>
          <w:sz w:val="18"/>
        </w:rPr>
        <w:t> </w:t>
      </w:r>
      <w:r>
        <w:rPr>
          <w:sz w:val="18"/>
        </w:rPr>
        <w:t>for</w:t>
      </w:r>
      <w:r>
        <w:rPr>
          <w:spacing w:val="-4"/>
          <w:sz w:val="18"/>
        </w:rPr>
        <w:t> </w:t>
      </w:r>
      <w:r>
        <w:rPr>
          <w:sz w:val="18"/>
        </w:rPr>
        <w:t>the</w:t>
      </w:r>
      <w:r>
        <w:rPr>
          <w:spacing w:val="-3"/>
          <w:sz w:val="18"/>
        </w:rPr>
        <w:t> </w:t>
      </w:r>
      <w:r>
        <w:rPr>
          <w:sz w:val="18"/>
        </w:rPr>
        <w:t>use</w:t>
      </w:r>
      <w:r>
        <w:rPr>
          <w:spacing w:val="-3"/>
          <w:sz w:val="18"/>
        </w:rPr>
        <w:t> </w:t>
      </w:r>
      <w:r>
        <w:rPr>
          <w:sz w:val="18"/>
        </w:rPr>
        <w:t>of</w:t>
      </w:r>
      <w:r>
        <w:rPr>
          <w:spacing w:val="-5"/>
          <w:sz w:val="18"/>
        </w:rPr>
        <w:t> </w:t>
      </w:r>
      <w:r>
        <w:rPr>
          <w:sz w:val="18"/>
        </w:rPr>
        <w:t>the</w:t>
      </w:r>
      <w:r>
        <w:rPr>
          <w:spacing w:val="-4"/>
          <w:sz w:val="18"/>
        </w:rPr>
        <w:t> </w:t>
      </w:r>
      <w:r>
        <w:rPr>
          <w:sz w:val="18"/>
        </w:rPr>
        <w:t>party</w:t>
      </w:r>
      <w:r>
        <w:rPr>
          <w:spacing w:val="-4"/>
          <w:sz w:val="18"/>
        </w:rPr>
        <w:t> </w:t>
      </w:r>
      <w:r>
        <w:rPr>
          <w:sz w:val="18"/>
        </w:rPr>
        <w:t>to</w:t>
      </w:r>
      <w:r>
        <w:rPr>
          <w:spacing w:val="-4"/>
          <w:sz w:val="18"/>
        </w:rPr>
        <w:t> </w:t>
      </w:r>
      <w:r>
        <w:rPr>
          <w:sz w:val="18"/>
        </w:rPr>
        <w:t>whom</w:t>
      </w:r>
      <w:r>
        <w:rPr>
          <w:spacing w:val="-3"/>
          <w:sz w:val="18"/>
        </w:rPr>
        <w:t> </w:t>
      </w:r>
      <w:r>
        <w:rPr>
          <w:sz w:val="18"/>
        </w:rPr>
        <w:t>it</w:t>
      </w:r>
      <w:r>
        <w:rPr>
          <w:spacing w:val="-4"/>
          <w:sz w:val="18"/>
        </w:rPr>
        <w:t> </w:t>
      </w:r>
      <w:r>
        <w:rPr>
          <w:sz w:val="18"/>
        </w:rPr>
        <w:t>is</w:t>
      </w:r>
      <w:r>
        <w:rPr>
          <w:spacing w:val="-4"/>
          <w:sz w:val="18"/>
        </w:rPr>
        <w:t> </w:t>
      </w:r>
      <w:r>
        <w:rPr>
          <w:sz w:val="18"/>
        </w:rPr>
        <w:t>addressed</w:t>
      </w:r>
      <w:r>
        <w:rPr>
          <w:spacing w:val="-5"/>
          <w:sz w:val="18"/>
        </w:rPr>
        <w:t> </w:t>
      </w:r>
      <w:r>
        <w:rPr>
          <w:sz w:val="18"/>
        </w:rPr>
        <w:t>and</w:t>
      </w:r>
      <w:r>
        <w:rPr>
          <w:spacing w:val="-3"/>
          <w:sz w:val="18"/>
        </w:rPr>
        <w:t> </w:t>
      </w:r>
      <w:r>
        <w:rPr>
          <w:sz w:val="18"/>
        </w:rPr>
        <w:t>for</w:t>
      </w:r>
      <w:r>
        <w:rPr>
          <w:spacing w:val="-4"/>
          <w:sz w:val="18"/>
        </w:rPr>
        <w:t> </w:t>
      </w:r>
      <w:r>
        <w:rPr>
          <w:sz w:val="18"/>
        </w:rPr>
        <w:t>no</w:t>
      </w:r>
      <w:r>
        <w:rPr>
          <w:spacing w:val="-3"/>
          <w:sz w:val="18"/>
        </w:rPr>
        <w:t> </w:t>
      </w:r>
      <w:r>
        <w:rPr>
          <w:sz w:val="18"/>
        </w:rPr>
        <w:t>other</w:t>
      </w:r>
      <w:r>
        <w:rPr>
          <w:spacing w:val="-4"/>
          <w:sz w:val="18"/>
        </w:rPr>
        <w:t> </w:t>
      </w:r>
      <w:r>
        <w:rPr>
          <w:sz w:val="18"/>
        </w:rPr>
        <w:t>purpose.</w:t>
      </w:r>
      <w:r>
        <w:rPr>
          <w:spacing w:val="-4"/>
          <w:sz w:val="18"/>
        </w:rPr>
        <w:t> </w:t>
      </w:r>
      <w:r>
        <w:rPr>
          <w:sz w:val="18"/>
        </w:rPr>
        <w:t>No</w:t>
      </w:r>
      <w:r>
        <w:rPr>
          <w:spacing w:val="-6"/>
          <w:sz w:val="18"/>
        </w:rPr>
        <w:t> </w:t>
      </w:r>
      <w:r>
        <w:rPr>
          <w:sz w:val="18"/>
        </w:rPr>
        <w:t>responsibility</w:t>
      </w:r>
      <w:r>
        <w:rPr>
          <w:spacing w:val="-4"/>
          <w:sz w:val="18"/>
        </w:rPr>
        <w:t> </w:t>
      </w:r>
      <w:r>
        <w:rPr>
          <w:sz w:val="18"/>
        </w:rPr>
        <w:t>is accepted</w:t>
      </w:r>
      <w:r>
        <w:rPr>
          <w:spacing w:val="-25"/>
          <w:sz w:val="18"/>
        </w:rPr>
        <w:t> </w:t>
      </w:r>
      <w:r>
        <w:rPr>
          <w:sz w:val="18"/>
        </w:rPr>
        <w:t>to</w:t>
      </w:r>
      <w:r>
        <w:rPr>
          <w:spacing w:val="-25"/>
          <w:sz w:val="18"/>
        </w:rPr>
        <w:t> </w:t>
      </w:r>
      <w:r>
        <w:rPr>
          <w:sz w:val="18"/>
        </w:rPr>
        <w:t>any</w:t>
      </w:r>
      <w:r>
        <w:rPr>
          <w:spacing w:val="-25"/>
          <w:sz w:val="18"/>
        </w:rPr>
        <w:t> </w:t>
      </w:r>
      <w:r>
        <w:rPr>
          <w:sz w:val="18"/>
        </w:rPr>
        <w:t>third</w:t>
      </w:r>
      <w:r>
        <w:rPr>
          <w:spacing w:val="-25"/>
          <w:sz w:val="18"/>
        </w:rPr>
        <w:t> </w:t>
      </w:r>
      <w:r>
        <w:rPr>
          <w:sz w:val="18"/>
        </w:rPr>
        <w:t>party</w:t>
      </w:r>
      <w:r>
        <w:rPr>
          <w:spacing w:val="-25"/>
          <w:sz w:val="18"/>
        </w:rPr>
        <w:t> </w:t>
      </w:r>
      <w:r>
        <w:rPr>
          <w:sz w:val="18"/>
        </w:rPr>
        <w:t>who</w:t>
      </w:r>
      <w:r>
        <w:rPr>
          <w:spacing w:val="-24"/>
          <w:sz w:val="18"/>
        </w:rPr>
        <w:t> </w:t>
      </w:r>
      <w:r>
        <w:rPr>
          <w:sz w:val="18"/>
        </w:rPr>
        <w:t>may</w:t>
      </w:r>
      <w:r>
        <w:rPr>
          <w:spacing w:val="-25"/>
          <w:sz w:val="18"/>
        </w:rPr>
        <w:t> </w:t>
      </w:r>
      <w:r>
        <w:rPr>
          <w:sz w:val="18"/>
        </w:rPr>
        <w:t>use</w:t>
      </w:r>
      <w:r>
        <w:rPr>
          <w:spacing w:val="-24"/>
          <w:sz w:val="18"/>
        </w:rPr>
        <w:t> </w:t>
      </w:r>
      <w:r>
        <w:rPr>
          <w:sz w:val="18"/>
        </w:rPr>
        <w:t>or</w:t>
      </w:r>
      <w:r>
        <w:rPr>
          <w:spacing w:val="-26"/>
          <w:sz w:val="18"/>
        </w:rPr>
        <w:t> </w:t>
      </w:r>
      <w:r>
        <w:rPr>
          <w:sz w:val="18"/>
        </w:rPr>
        <w:t>rely</w:t>
      </w:r>
      <w:r>
        <w:rPr>
          <w:spacing w:val="-26"/>
          <w:sz w:val="18"/>
        </w:rPr>
        <w:t> </w:t>
      </w:r>
      <w:r>
        <w:rPr>
          <w:sz w:val="18"/>
        </w:rPr>
        <w:t>overall</w:t>
      </w:r>
      <w:r>
        <w:rPr>
          <w:spacing w:val="-26"/>
          <w:sz w:val="18"/>
        </w:rPr>
        <w:t> </w:t>
      </w:r>
      <w:r>
        <w:rPr>
          <w:sz w:val="18"/>
        </w:rPr>
        <w:t>or</w:t>
      </w:r>
      <w:r>
        <w:rPr>
          <w:spacing w:val="-25"/>
          <w:sz w:val="18"/>
        </w:rPr>
        <w:t> </w:t>
      </w:r>
      <w:r>
        <w:rPr>
          <w:sz w:val="18"/>
        </w:rPr>
        <w:t>any</w:t>
      </w:r>
      <w:r>
        <w:rPr>
          <w:spacing w:val="-25"/>
          <w:sz w:val="18"/>
        </w:rPr>
        <w:t> </w:t>
      </w:r>
      <w:r>
        <w:rPr>
          <w:sz w:val="18"/>
        </w:rPr>
        <w:t>part</w:t>
      </w:r>
      <w:r>
        <w:rPr>
          <w:spacing w:val="-25"/>
          <w:sz w:val="18"/>
        </w:rPr>
        <w:t> </w:t>
      </w:r>
      <w:r>
        <w:rPr>
          <w:sz w:val="18"/>
        </w:rPr>
        <w:t>of</w:t>
      </w:r>
      <w:r>
        <w:rPr>
          <w:spacing w:val="-25"/>
          <w:sz w:val="18"/>
        </w:rPr>
        <w:t> </w:t>
      </w:r>
      <w:r>
        <w:rPr>
          <w:sz w:val="18"/>
        </w:rPr>
        <w:t>the</w:t>
      </w:r>
      <w:r>
        <w:rPr>
          <w:spacing w:val="-24"/>
          <w:sz w:val="18"/>
        </w:rPr>
        <w:t> </w:t>
      </w:r>
      <w:r>
        <w:rPr>
          <w:sz w:val="18"/>
        </w:rPr>
        <w:t>content</w:t>
      </w:r>
      <w:r>
        <w:rPr>
          <w:spacing w:val="-26"/>
          <w:sz w:val="18"/>
        </w:rPr>
        <w:t> </w:t>
      </w:r>
      <w:r>
        <w:rPr>
          <w:sz w:val="18"/>
        </w:rPr>
        <w:t>of</w:t>
      </w:r>
      <w:r>
        <w:rPr>
          <w:spacing w:val="-24"/>
          <w:sz w:val="18"/>
        </w:rPr>
        <w:t> </w:t>
      </w:r>
      <w:r>
        <w:rPr>
          <w:sz w:val="18"/>
        </w:rPr>
        <w:t>this</w:t>
      </w:r>
      <w:r>
        <w:rPr>
          <w:spacing w:val="-26"/>
          <w:sz w:val="18"/>
        </w:rPr>
        <w:t> </w:t>
      </w:r>
      <w:r>
        <w:rPr>
          <w:sz w:val="18"/>
        </w:rPr>
        <w:t>valuation.</w:t>
      </w:r>
      <w:r>
        <w:rPr>
          <w:spacing w:val="-26"/>
          <w:sz w:val="18"/>
        </w:rPr>
        <w:t> </w:t>
      </w:r>
      <w:r>
        <w:rPr>
          <w:sz w:val="18"/>
        </w:rPr>
        <w:t>The</w:t>
      </w:r>
      <w:r>
        <w:rPr>
          <w:spacing w:val="-24"/>
          <w:sz w:val="18"/>
        </w:rPr>
        <w:t> </w:t>
      </w:r>
      <w:r>
        <w:rPr>
          <w:sz w:val="18"/>
        </w:rPr>
        <w:t>valuer has</w:t>
      </w:r>
      <w:r>
        <w:rPr>
          <w:spacing w:val="-10"/>
          <w:sz w:val="18"/>
        </w:rPr>
        <w:t> </w:t>
      </w:r>
      <w:r>
        <w:rPr>
          <w:sz w:val="18"/>
        </w:rPr>
        <w:t>no</w:t>
      </w:r>
      <w:r>
        <w:rPr>
          <w:spacing w:val="-10"/>
          <w:sz w:val="18"/>
        </w:rPr>
        <w:t> </w:t>
      </w:r>
      <w:r>
        <w:rPr>
          <w:sz w:val="18"/>
        </w:rPr>
        <w:t>pecuniary</w:t>
      </w:r>
      <w:r>
        <w:rPr>
          <w:spacing w:val="-11"/>
          <w:sz w:val="18"/>
        </w:rPr>
        <w:t> </w:t>
      </w:r>
      <w:r>
        <w:rPr>
          <w:sz w:val="18"/>
        </w:rPr>
        <w:t>interest</w:t>
      </w:r>
      <w:r>
        <w:rPr>
          <w:spacing w:val="-12"/>
          <w:sz w:val="18"/>
        </w:rPr>
        <w:t> </w:t>
      </w:r>
      <w:r>
        <w:rPr>
          <w:sz w:val="18"/>
        </w:rPr>
        <w:t>that</w:t>
      </w:r>
      <w:r>
        <w:rPr>
          <w:spacing w:val="-12"/>
          <w:sz w:val="18"/>
        </w:rPr>
        <w:t> </w:t>
      </w:r>
      <w:r>
        <w:rPr>
          <w:sz w:val="18"/>
        </w:rPr>
        <w:t>would</w:t>
      </w:r>
      <w:r>
        <w:rPr>
          <w:spacing w:val="-10"/>
          <w:sz w:val="18"/>
        </w:rPr>
        <w:t> </w:t>
      </w:r>
      <w:r>
        <w:rPr>
          <w:sz w:val="18"/>
        </w:rPr>
        <w:t>conflict</w:t>
      </w:r>
      <w:r>
        <w:rPr>
          <w:spacing w:val="-12"/>
          <w:sz w:val="18"/>
        </w:rPr>
        <w:t> </w:t>
      </w:r>
      <w:r>
        <w:rPr>
          <w:sz w:val="18"/>
        </w:rPr>
        <w:t>with</w:t>
      </w:r>
      <w:r>
        <w:rPr>
          <w:spacing w:val="-10"/>
          <w:sz w:val="18"/>
        </w:rPr>
        <w:t> </w:t>
      </w:r>
      <w:r>
        <w:rPr>
          <w:sz w:val="18"/>
        </w:rPr>
        <w:t>the</w:t>
      </w:r>
      <w:r>
        <w:rPr>
          <w:spacing w:val="-10"/>
          <w:sz w:val="18"/>
        </w:rPr>
        <w:t> </w:t>
      </w:r>
      <w:r>
        <w:rPr>
          <w:sz w:val="18"/>
        </w:rPr>
        <w:t>proper</w:t>
      </w:r>
      <w:r>
        <w:rPr>
          <w:spacing w:val="-11"/>
          <w:sz w:val="18"/>
        </w:rPr>
        <w:t> </w:t>
      </w:r>
      <w:r>
        <w:rPr>
          <w:sz w:val="18"/>
        </w:rPr>
        <w:t>valuation</w:t>
      </w:r>
      <w:r>
        <w:rPr>
          <w:spacing w:val="-10"/>
          <w:sz w:val="18"/>
        </w:rPr>
        <w:t> </w:t>
      </w:r>
      <w:r>
        <w:rPr>
          <w:sz w:val="18"/>
        </w:rPr>
        <w:t>of</w:t>
      </w:r>
      <w:r>
        <w:rPr>
          <w:spacing w:val="-10"/>
          <w:sz w:val="18"/>
        </w:rPr>
        <w:t> </w:t>
      </w:r>
      <w:r>
        <w:rPr>
          <w:sz w:val="18"/>
        </w:rPr>
        <w:t>the</w:t>
      </w:r>
      <w:r>
        <w:rPr>
          <w:spacing w:val="-10"/>
          <w:sz w:val="18"/>
        </w:rPr>
        <w:t> </w:t>
      </w:r>
      <w:r>
        <w:rPr>
          <w:sz w:val="18"/>
        </w:rPr>
        <w:t>property.</w:t>
      </w:r>
    </w:p>
    <w:p>
      <w:pPr>
        <w:spacing w:after="0" w:line="321" w:lineRule="auto"/>
        <w:jc w:val="both"/>
        <w:rPr>
          <w:sz w:val="18"/>
        </w:rPr>
        <w:sectPr>
          <w:type w:val="continuous"/>
          <w:pgSz w:w="11910" w:h="16840"/>
          <w:pgMar w:top="800" w:bottom="280" w:left="440" w:right="80"/>
          <w:cols w:num="2" w:equalWidth="0">
            <w:col w:w="1523" w:space="452"/>
            <w:col w:w="9415"/>
          </w:cols>
        </w:sectPr>
      </w:pPr>
    </w:p>
    <w:p>
      <w:pPr>
        <w:pStyle w:val="BodyText"/>
        <w:spacing w:before="5"/>
      </w:pPr>
    </w:p>
    <w:p>
      <w:pPr>
        <w:pStyle w:val="ListParagraph"/>
        <w:numPr>
          <w:ilvl w:val="1"/>
          <w:numId w:val="14"/>
        </w:numPr>
        <w:tabs>
          <w:tab w:pos="856" w:val="left" w:leader="none"/>
          <w:tab w:pos="857" w:val="left" w:leader="none"/>
        </w:tabs>
        <w:spacing w:line="240" w:lineRule="auto" w:before="106" w:after="0"/>
        <w:ind w:left="856" w:right="0" w:hanging="577"/>
        <w:jc w:val="left"/>
        <w:rPr>
          <w:color w:val="1F6647"/>
          <w:sz w:val="22"/>
        </w:rPr>
      </w:pPr>
      <w:bookmarkStart w:name="_bookmark33" w:id="66"/>
      <w:bookmarkEnd w:id="66"/>
      <w:r>
        <w:rPr/>
      </w:r>
      <w:bookmarkStart w:name="_bookmark33" w:id="67"/>
      <w:bookmarkEnd w:id="67"/>
      <w:r>
        <w:rPr>
          <w:color w:val="1F6647"/>
          <w:w w:val="105"/>
          <w:sz w:val="22"/>
        </w:rPr>
        <w:t>E</w:t>
      </w:r>
      <w:r>
        <w:rPr>
          <w:color w:val="1F6647"/>
          <w:w w:val="105"/>
          <w:sz w:val="22"/>
        </w:rPr>
        <w:t>mbassy</w:t>
      </w:r>
      <w:r>
        <w:rPr>
          <w:color w:val="1F6647"/>
          <w:spacing w:val="-6"/>
          <w:w w:val="105"/>
          <w:sz w:val="22"/>
        </w:rPr>
        <w:t> </w:t>
      </w:r>
      <w:r>
        <w:rPr>
          <w:color w:val="1F6647"/>
          <w:w w:val="105"/>
          <w:sz w:val="22"/>
        </w:rPr>
        <w:t>TechZone</w:t>
      </w:r>
    </w:p>
    <w:p>
      <w:pPr>
        <w:pStyle w:val="BodyText"/>
        <w:rPr>
          <w:sz w:val="29"/>
        </w:rPr>
      </w:pPr>
    </w:p>
    <w:p>
      <w:pPr>
        <w:tabs>
          <w:tab w:pos="2224" w:val="left" w:leader="none"/>
        </w:tabs>
        <w:spacing w:line="321" w:lineRule="auto" w:before="0"/>
        <w:ind w:left="2224" w:right="657" w:hanging="1832"/>
        <w:jc w:val="both"/>
        <w:rPr>
          <w:sz w:val="18"/>
        </w:rPr>
      </w:pPr>
      <w:r>
        <w:rPr>
          <w:color w:val="006A4D"/>
          <w:sz w:val="18"/>
        </w:rPr>
        <w:t>Property</w:t>
      </w:r>
      <w:r>
        <w:rPr>
          <w:color w:val="006A4D"/>
          <w:spacing w:val="-15"/>
          <w:sz w:val="18"/>
        </w:rPr>
        <w:t> </w:t>
      </w:r>
      <w:r>
        <w:rPr>
          <w:color w:val="006A4D"/>
          <w:sz w:val="18"/>
        </w:rPr>
        <w:t>Name:</w:t>
        <w:tab/>
      </w:r>
      <w:r>
        <w:rPr>
          <w:sz w:val="18"/>
        </w:rPr>
        <w:t>‘Embassy TechZone’ is an office park located in Phase 2, Rajiv Gandhi Infotech Park, Hinjewadi, Pune, Maharashtra</w:t>
      </w:r>
    </w:p>
    <w:p>
      <w:pPr>
        <w:pStyle w:val="BodyText"/>
        <w:spacing w:before="7"/>
        <w:rPr>
          <w:sz w:val="21"/>
        </w:rPr>
      </w:pPr>
    </w:p>
    <w:p>
      <w:pPr>
        <w:spacing w:line="321" w:lineRule="auto" w:before="0"/>
        <w:ind w:left="2224" w:right="660" w:hanging="1832"/>
        <w:jc w:val="both"/>
        <w:rPr>
          <w:sz w:val="18"/>
        </w:rPr>
      </w:pPr>
      <w:r>
        <w:rPr>
          <w:color w:val="006A4D"/>
          <w:sz w:val="18"/>
        </w:rPr>
        <w:t>Property</w:t>
      </w:r>
      <w:r>
        <w:rPr>
          <w:color w:val="006A4D"/>
          <w:spacing w:val="-17"/>
          <w:sz w:val="18"/>
        </w:rPr>
        <w:t> </w:t>
      </w:r>
      <w:r>
        <w:rPr>
          <w:color w:val="006A4D"/>
          <w:sz w:val="18"/>
        </w:rPr>
        <w:t>Address:</w:t>
      </w:r>
      <w:r>
        <w:rPr>
          <w:color w:val="006A4D"/>
          <w:spacing w:val="1"/>
          <w:sz w:val="18"/>
        </w:rPr>
        <w:t> </w:t>
      </w:r>
      <w:r>
        <w:rPr>
          <w:sz w:val="18"/>
        </w:rPr>
        <w:t>Plot</w:t>
      </w:r>
      <w:r>
        <w:rPr>
          <w:spacing w:val="-27"/>
          <w:sz w:val="18"/>
        </w:rPr>
        <w:t> </w:t>
      </w:r>
      <w:r>
        <w:rPr>
          <w:sz w:val="18"/>
        </w:rPr>
        <w:t>No.</w:t>
      </w:r>
      <w:r>
        <w:rPr>
          <w:spacing w:val="-25"/>
          <w:sz w:val="18"/>
        </w:rPr>
        <w:t> </w:t>
      </w:r>
      <w:r>
        <w:rPr>
          <w:sz w:val="18"/>
        </w:rPr>
        <w:t>3/A</w:t>
      </w:r>
      <w:r>
        <w:rPr>
          <w:spacing w:val="-26"/>
          <w:sz w:val="18"/>
        </w:rPr>
        <w:t> </w:t>
      </w:r>
      <w:r>
        <w:rPr>
          <w:sz w:val="18"/>
        </w:rPr>
        <w:t>and</w:t>
      </w:r>
      <w:r>
        <w:rPr>
          <w:spacing w:val="-27"/>
          <w:sz w:val="18"/>
        </w:rPr>
        <w:t> </w:t>
      </w:r>
      <w:r>
        <w:rPr>
          <w:sz w:val="18"/>
        </w:rPr>
        <w:t>Plot</w:t>
      </w:r>
      <w:r>
        <w:rPr>
          <w:spacing w:val="-26"/>
          <w:sz w:val="18"/>
        </w:rPr>
        <w:t> </w:t>
      </w:r>
      <w:r>
        <w:rPr>
          <w:sz w:val="18"/>
        </w:rPr>
        <w:t>No.</w:t>
      </w:r>
      <w:r>
        <w:rPr>
          <w:spacing w:val="-25"/>
          <w:sz w:val="18"/>
        </w:rPr>
        <w:t> </w:t>
      </w:r>
      <w:r>
        <w:rPr>
          <w:sz w:val="18"/>
        </w:rPr>
        <w:t>3/B,</w:t>
      </w:r>
      <w:r>
        <w:rPr>
          <w:spacing w:val="-28"/>
          <w:sz w:val="18"/>
        </w:rPr>
        <w:t> </w:t>
      </w:r>
      <w:r>
        <w:rPr>
          <w:sz w:val="18"/>
        </w:rPr>
        <w:t>Rajiv</w:t>
      </w:r>
      <w:r>
        <w:rPr>
          <w:spacing w:val="-25"/>
          <w:sz w:val="18"/>
        </w:rPr>
        <w:t> </w:t>
      </w:r>
      <w:r>
        <w:rPr>
          <w:sz w:val="18"/>
        </w:rPr>
        <w:t>Gandhi</w:t>
      </w:r>
      <w:r>
        <w:rPr>
          <w:spacing w:val="-27"/>
          <w:sz w:val="18"/>
        </w:rPr>
        <w:t> </w:t>
      </w:r>
      <w:r>
        <w:rPr>
          <w:sz w:val="18"/>
        </w:rPr>
        <w:t>Infotech</w:t>
      </w:r>
      <w:r>
        <w:rPr>
          <w:spacing w:val="-26"/>
          <w:sz w:val="18"/>
        </w:rPr>
        <w:t> </w:t>
      </w:r>
      <w:r>
        <w:rPr>
          <w:sz w:val="18"/>
        </w:rPr>
        <w:t>Park,</w:t>
      </w:r>
      <w:r>
        <w:rPr>
          <w:spacing w:val="-25"/>
          <w:sz w:val="18"/>
        </w:rPr>
        <w:t> </w:t>
      </w:r>
      <w:r>
        <w:rPr>
          <w:sz w:val="18"/>
        </w:rPr>
        <w:t>Hinjewadi,</w:t>
      </w:r>
      <w:r>
        <w:rPr>
          <w:spacing w:val="-26"/>
          <w:sz w:val="18"/>
        </w:rPr>
        <w:t> </w:t>
      </w:r>
      <w:r>
        <w:rPr>
          <w:sz w:val="18"/>
        </w:rPr>
        <w:t>Phase-II,</w:t>
      </w:r>
      <w:r>
        <w:rPr>
          <w:spacing w:val="-25"/>
          <w:sz w:val="18"/>
        </w:rPr>
        <w:t> </w:t>
      </w:r>
      <w:r>
        <w:rPr>
          <w:sz w:val="18"/>
        </w:rPr>
        <w:t>Village</w:t>
      </w:r>
      <w:r>
        <w:rPr>
          <w:spacing w:val="-27"/>
          <w:sz w:val="18"/>
        </w:rPr>
        <w:t> </w:t>
      </w:r>
      <w:r>
        <w:rPr>
          <w:sz w:val="18"/>
        </w:rPr>
        <w:t>Marunji,</w:t>
      </w:r>
      <w:r>
        <w:rPr>
          <w:spacing w:val="-26"/>
          <w:sz w:val="18"/>
        </w:rPr>
        <w:t> </w:t>
      </w:r>
      <w:r>
        <w:rPr>
          <w:sz w:val="18"/>
        </w:rPr>
        <w:t>Taluka</w:t>
      </w:r>
      <w:r>
        <w:rPr>
          <w:spacing w:val="-25"/>
          <w:sz w:val="18"/>
        </w:rPr>
        <w:t> </w:t>
      </w:r>
      <w:r>
        <w:rPr>
          <w:sz w:val="18"/>
        </w:rPr>
        <w:t>Mulshi, District Pune,</w:t>
      </w:r>
      <w:r>
        <w:rPr>
          <w:spacing w:val="-6"/>
          <w:sz w:val="18"/>
        </w:rPr>
        <w:t> </w:t>
      </w:r>
      <w:r>
        <w:rPr>
          <w:sz w:val="18"/>
        </w:rPr>
        <w:t>Maharashtra</w:t>
      </w:r>
    </w:p>
    <w:p>
      <w:pPr>
        <w:pStyle w:val="BodyText"/>
        <w:spacing w:before="7"/>
        <w:rPr>
          <w:sz w:val="21"/>
        </w:rPr>
      </w:pPr>
    </w:p>
    <w:p>
      <w:pPr>
        <w:tabs>
          <w:tab w:pos="2224" w:val="left" w:leader="none"/>
        </w:tabs>
        <w:spacing w:line="321" w:lineRule="auto" w:before="0"/>
        <w:ind w:left="2224" w:right="664" w:hanging="1832"/>
        <w:jc w:val="both"/>
        <w:rPr>
          <w:sz w:val="18"/>
        </w:rPr>
      </w:pPr>
      <w:r>
        <w:rPr>
          <w:color w:val="006A4D"/>
          <w:sz w:val="18"/>
        </w:rPr>
        <w:t>Land</w:t>
      </w:r>
      <w:r>
        <w:rPr>
          <w:color w:val="006A4D"/>
          <w:spacing w:val="-4"/>
          <w:sz w:val="18"/>
        </w:rPr>
        <w:t> </w:t>
      </w:r>
      <w:r>
        <w:rPr>
          <w:color w:val="006A4D"/>
          <w:sz w:val="18"/>
        </w:rPr>
        <w:t>Area:</w:t>
        <w:tab/>
      </w:r>
      <w:r>
        <w:rPr>
          <w:sz w:val="18"/>
        </w:rPr>
        <w:t>Based</w:t>
      </w:r>
      <w:r>
        <w:rPr>
          <w:spacing w:val="-22"/>
          <w:sz w:val="18"/>
        </w:rPr>
        <w:t> </w:t>
      </w:r>
      <w:r>
        <w:rPr>
          <w:sz w:val="18"/>
        </w:rPr>
        <w:t>on</w:t>
      </w:r>
      <w:r>
        <w:rPr>
          <w:spacing w:val="-20"/>
          <w:sz w:val="18"/>
        </w:rPr>
        <w:t> </w:t>
      </w:r>
      <w:r>
        <w:rPr>
          <w:sz w:val="18"/>
        </w:rPr>
        <w:t>review</w:t>
      </w:r>
      <w:r>
        <w:rPr>
          <w:spacing w:val="-21"/>
          <w:sz w:val="18"/>
        </w:rPr>
        <w:t> </w:t>
      </w:r>
      <w:r>
        <w:rPr>
          <w:sz w:val="18"/>
        </w:rPr>
        <w:t>of</w:t>
      </w:r>
      <w:r>
        <w:rPr>
          <w:spacing w:val="-22"/>
          <w:sz w:val="18"/>
        </w:rPr>
        <w:t> </w:t>
      </w:r>
      <w:r>
        <w:rPr>
          <w:sz w:val="18"/>
        </w:rPr>
        <w:t>the</w:t>
      </w:r>
      <w:r>
        <w:rPr>
          <w:spacing w:val="-20"/>
          <w:sz w:val="18"/>
        </w:rPr>
        <w:t> </w:t>
      </w:r>
      <w:r>
        <w:rPr>
          <w:sz w:val="18"/>
        </w:rPr>
        <w:t>title</w:t>
      </w:r>
      <w:r>
        <w:rPr>
          <w:spacing w:val="-20"/>
          <w:sz w:val="18"/>
        </w:rPr>
        <w:t> </w:t>
      </w:r>
      <w:r>
        <w:rPr>
          <w:sz w:val="18"/>
        </w:rPr>
        <w:t>report,</w:t>
      </w:r>
      <w:r>
        <w:rPr>
          <w:spacing w:val="-21"/>
          <w:sz w:val="18"/>
        </w:rPr>
        <w:t> </w:t>
      </w:r>
      <w:r>
        <w:rPr>
          <w:sz w:val="18"/>
        </w:rPr>
        <w:t>we</w:t>
      </w:r>
      <w:r>
        <w:rPr>
          <w:spacing w:val="-19"/>
          <w:sz w:val="18"/>
        </w:rPr>
        <w:t> </w:t>
      </w:r>
      <w:r>
        <w:rPr>
          <w:sz w:val="18"/>
        </w:rPr>
        <w:t>understand</w:t>
      </w:r>
      <w:r>
        <w:rPr>
          <w:spacing w:val="-21"/>
          <w:sz w:val="18"/>
        </w:rPr>
        <w:t> </w:t>
      </w:r>
      <w:r>
        <w:rPr>
          <w:sz w:val="18"/>
        </w:rPr>
        <w:t>that</w:t>
      </w:r>
      <w:r>
        <w:rPr>
          <w:spacing w:val="-20"/>
          <w:sz w:val="18"/>
        </w:rPr>
        <w:t> </w:t>
      </w:r>
      <w:r>
        <w:rPr>
          <w:sz w:val="18"/>
        </w:rPr>
        <w:t>the</w:t>
      </w:r>
      <w:r>
        <w:rPr>
          <w:spacing w:val="-21"/>
          <w:sz w:val="18"/>
        </w:rPr>
        <w:t> </w:t>
      </w:r>
      <w:r>
        <w:rPr>
          <w:sz w:val="18"/>
        </w:rPr>
        <w:t>total</w:t>
      </w:r>
      <w:r>
        <w:rPr>
          <w:spacing w:val="-20"/>
          <w:sz w:val="18"/>
        </w:rPr>
        <w:t> </w:t>
      </w:r>
      <w:r>
        <w:rPr>
          <w:sz w:val="18"/>
        </w:rPr>
        <w:t>land</w:t>
      </w:r>
      <w:r>
        <w:rPr>
          <w:spacing w:val="-22"/>
          <w:sz w:val="18"/>
        </w:rPr>
        <w:t> </w:t>
      </w:r>
      <w:r>
        <w:rPr>
          <w:sz w:val="18"/>
        </w:rPr>
        <w:t>area</w:t>
      </w:r>
      <w:r>
        <w:rPr>
          <w:spacing w:val="-21"/>
          <w:sz w:val="18"/>
        </w:rPr>
        <w:t> </w:t>
      </w:r>
      <w:r>
        <w:rPr>
          <w:sz w:val="18"/>
        </w:rPr>
        <w:t>of</w:t>
      </w:r>
      <w:r>
        <w:rPr>
          <w:spacing w:val="-20"/>
          <w:sz w:val="18"/>
        </w:rPr>
        <w:t> </w:t>
      </w:r>
      <w:r>
        <w:rPr>
          <w:sz w:val="18"/>
        </w:rPr>
        <w:t>the</w:t>
      </w:r>
      <w:r>
        <w:rPr>
          <w:spacing w:val="-21"/>
          <w:sz w:val="18"/>
        </w:rPr>
        <w:t> </w:t>
      </w:r>
      <w:r>
        <w:rPr>
          <w:sz w:val="18"/>
        </w:rPr>
        <w:t>subject</w:t>
      </w:r>
      <w:r>
        <w:rPr>
          <w:spacing w:val="-20"/>
          <w:sz w:val="18"/>
        </w:rPr>
        <w:t> </w:t>
      </w:r>
      <w:r>
        <w:rPr>
          <w:sz w:val="18"/>
        </w:rPr>
        <w:t>property</w:t>
      </w:r>
      <w:r>
        <w:rPr>
          <w:spacing w:val="-21"/>
          <w:sz w:val="18"/>
        </w:rPr>
        <w:t> </w:t>
      </w:r>
      <w:r>
        <w:rPr>
          <w:sz w:val="18"/>
        </w:rPr>
        <w:t>under</w:t>
      </w:r>
      <w:r>
        <w:rPr>
          <w:spacing w:val="-20"/>
          <w:sz w:val="18"/>
        </w:rPr>
        <w:t> </w:t>
      </w:r>
      <w:r>
        <w:rPr>
          <w:sz w:val="18"/>
        </w:rPr>
        <w:t>the ownership of the Client is approximately 67.45</w:t>
      </w:r>
      <w:r>
        <w:rPr>
          <w:spacing w:val="-21"/>
          <w:sz w:val="18"/>
        </w:rPr>
        <w:t> </w:t>
      </w:r>
      <w:r>
        <w:rPr>
          <w:sz w:val="18"/>
        </w:rPr>
        <w:t>acres</w:t>
      </w:r>
    </w:p>
    <w:p>
      <w:pPr>
        <w:pStyle w:val="BodyText"/>
        <w:spacing w:before="8"/>
        <w:rPr>
          <w:sz w:val="21"/>
        </w:rPr>
      </w:pPr>
    </w:p>
    <w:p>
      <w:pPr>
        <w:spacing w:line="321" w:lineRule="auto" w:before="0"/>
        <w:ind w:left="2224" w:right="660" w:hanging="1832"/>
        <w:jc w:val="both"/>
        <w:rPr>
          <w:sz w:val="18"/>
        </w:rPr>
      </w:pPr>
      <w:r>
        <w:rPr>
          <w:color w:val="006A4D"/>
          <w:sz w:val="18"/>
        </w:rPr>
        <w:t>Brief Description: </w:t>
      </w:r>
      <w:r>
        <w:rPr>
          <w:sz w:val="18"/>
        </w:rPr>
        <w:t>‘Embassy TechZone’, has been conceptualized as an office park spread across a total land area of approximately</w:t>
      </w:r>
      <w:r>
        <w:rPr>
          <w:spacing w:val="-20"/>
          <w:sz w:val="18"/>
        </w:rPr>
        <w:t> </w:t>
      </w:r>
      <w:r>
        <w:rPr>
          <w:sz w:val="18"/>
        </w:rPr>
        <w:t>67.45</w:t>
      </w:r>
      <w:r>
        <w:rPr>
          <w:spacing w:val="-22"/>
          <w:sz w:val="18"/>
        </w:rPr>
        <w:t> </w:t>
      </w:r>
      <w:r>
        <w:rPr>
          <w:sz w:val="18"/>
        </w:rPr>
        <w:t>acres.</w:t>
      </w:r>
      <w:r>
        <w:rPr>
          <w:spacing w:val="-23"/>
          <w:sz w:val="18"/>
        </w:rPr>
        <w:t> </w:t>
      </w:r>
      <w:r>
        <w:rPr>
          <w:sz w:val="18"/>
        </w:rPr>
        <w:t>The</w:t>
      </w:r>
      <w:r>
        <w:rPr>
          <w:spacing w:val="-20"/>
          <w:sz w:val="18"/>
        </w:rPr>
        <w:t> </w:t>
      </w:r>
      <w:r>
        <w:rPr>
          <w:sz w:val="18"/>
        </w:rPr>
        <w:t>property</w:t>
      </w:r>
      <w:r>
        <w:rPr>
          <w:spacing w:val="-20"/>
          <w:sz w:val="18"/>
        </w:rPr>
        <w:t> </w:t>
      </w:r>
      <w:r>
        <w:rPr>
          <w:sz w:val="18"/>
        </w:rPr>
        <w:t>is</w:t>
      </w:r>
      <w:r>
        <w:rPr>
          <w:spacing w:val="-22"/>
          <w:sz w:val="18"/>
        </w:rPr>
        <w:t> </w:t>
      </w:r>
      <w:r>
        <w:rPr>
          <w:sz w:val="18"/>
        </w:rPr>
        <w:t>an</w:t>
      </w:r>
      <w:r>
        <w:rPr>
          <w:spacing w:val="-22"/>
          <w:sz w:val="18"/>
        </w:rPr>
        <w:t> </w:t>
      </w:r>
      <w:r>
        <w:rPr>
          <w:sz w:val="18"/>
        </w:rPr>
        <w:t>operational</w:t>
      </w:r>
      <w:r>
        <w:rPr>
          <w:spacing w:val="-22"/>
          <w:sz w:val="18"/>
        </w:rPr>
        <w:t> </w:t>
      </w:r>
      <w:r>
        <w:rPr>
          <w:sz w:val="18"/>
        </w:rPr>
        <w:t>IT</w:t>
      </w:r>
      <w:r>
        <w:rPr>
          <w:spacing w:val="-22"/>
          <w:sz w:val="18"/>
        </w:rPr>
        <w:t> </w:t>
      </w:r>
      <w:r>
        <w:rPr>
          <w:sz w:val="18"/>
        </w:rPr>
        <w:t>office</w:t>
      </w:r>
      <w:r>
        <w:rPr>
          <w:spacing w:val="-18"/>
          <w:sz w:val="18"/>
        </w:rPr>
        <w:t> </w:t>
      </w:r>
      <w:r>
        <w:rPr>
          <w:sz w:val="18"/>
        </w:rPr>
        <w:t>park</w:t>
      </w:r>
      <w:r>
        <w:rPr>
          <w:spacing w:val="-21"/>
          <w:sz w:val="18"/>
        </w:rPr>
        <w:t> </w:t>
      </w:r>
      <w:r>
        <w:rPr>
          <w:sz w:val="18"/>
        </w:rPr>
        <w:t>leased</w:t>
      </w:r>
      <w:r>
        <w:rPr>
          <w:spacing w:val="-21"/>
          <w:sz w:val="18"/>
        </w:rPr>
        <w:t> </w:t>
      </w:r>
      <w:r>
        <w:rPr>
          <w:sz w:val="18"/>
        </w:rPr>
        <w:t>to</w:t>
      </w:r>
      <w:r>
        <w:rPr>
          <w:spacing w:val="-22"/>
          <w:sz w:val="18"/>
        </w:rPr>
        <w:t> </w:t>
      </w:r>
      <w:r>
        <w:rPr>
          <w:sz w:val="18"/>
        </w:rPr>
        <w:t>various</w:t>
      </w:r>
      <w:r>
        <w:rPr>
          <w:spacing w:val="-20"/>
          <w:sz w:val="18"/>
        </w:rPr>
        <w:t> </w:t>
      </w:r>
      <w:r>
        <w:rPr>
          <w:sz w:val="18"/>
        </w:rPr>
        <w:t>tenants</w:t>
      </w:r>
      <w:r>
        <w:rPr>
          <w:spacing w:val="-22"/>
          <w:sz w:val="18"/>
        </w:rPr>
        <w:t> </w:t>
      </w:r>
      <w:r>
        <w:rPr>
          <w:sz w:val="18"/>
        </w:rPr>
        <w:t>and</w:t>
      </w:r>
      <w:r>
        <w:rPr>
          <w:spacing w:val="-20"/>
          <w:sz w:val="18"/>
        </w:rPr>
        <w:t> </w:t>
      </w:r>
      <w:r>
        <w:rPr>
          <w:sz w:val="18"/>
        </w:rPr>
        <w:t>is</w:t>
      </w:r>
      <w:r>
        <w:rPr>
          <w:spacing w:val="-22"/>
          <w:sz w:val="18"/>
        </w:rPr>
        <w:t> </w:t>
      </w:r>
      <w:r>
        <w:rPr>
          <w:sz w:val="18"/>
        </w:rPr>
        <w:t>also well equipped with number of facilities and amenities like food court, amphitheatre, intra park</w:t>
      </w:r>
      <w:r>
        <w:rPr>
          <w:spacing w:val="-37"/>
          <w:sz w:val="18"/>
        </w:rPr>
        <w:t> </w:t>
      </w:r>
      <w:r>
        <w:rPr>
          <w:sz w:val="18"/>
        </w:rPr>
        <w:t>shuttles, gymnasium,</w:t>
      </w:r>
      <w:r>
        <w:rPr>
          <w:spacing w:val="-16"/>
          <w:sz w:val="18"/>
        </w:rPr>
        <w:t> </w:t>
      </w:r>
      <w:r>
        <w:rPr>
          <w:sz w:val="18"/>
        </w:rPr>
        <w:t>multilevel</w:t>
      </w:r>
      <w:r>
        <w:rPr>
          <w:spacing w:val="-16"/>
          <w:sz w:val="18"/>
        </w:rPr>
        <w:t> </w:t>
      </w:r>
      <w:r>
        <w:rPr>
          <w:sz w:val="18"/>
        </w:rPr>
        <w:t>car</w:t>
      </w:r>
      <w:r>
        <w:rPr>
          <w:spacing w:val="-16"/>
          <w:sz w:val="18"/>
        </w:rPr>
        <w:t> </w:t>
      </w:r>
      <w:r>
        <w:rPr>
          <w:sz w:val="18"/>
        </w:rPr>
        <w:t>parking,</w:t>
      </w:r>
      <w:r>
        <w:rPr>
          <w:spacing w:val="-16"/>
          <w:sz w:val="18"/>
        </w:rPr>
        <w:t> </w:t>
      </w:r>
      <w:r>
        <w:rPr>
          <w:sz w:val="18"/>
        </w:rPr>
        <w:t>sports</w:t>
      </w:r>
      <w:r>
        <w:rPr>
          <w:spacing w:val="-15"/>
          <w:sz w:val="18"/>
        </w:rPr>
        <w:t> </w:t>
      </w:r>
      <w:r>
        <w:rPr>
          <w:sz w:val="18"/>
        </w:rPr>
        <w:t>ground,</w:t>
      </w:r>
      <w:r>
        <w:rPr>
          <w:spacing w:val="-16"/>
          <w:sz w:val="18"/>
        </w:rPr>
        <w:t> </w:t>
      </w:r>
      <w:r>
        <w:rPr>
          <w:sz w:val="18"/>
        </w:rPr>
        <w:t>etc.</w:t>
      </w:r>
      <w:r>
        <w:rPr>
          <w:spacing w:val="-16"/>
          <w:sz w:val="18"/>
        </w:rPr>
        <w:t> </w:t>
      </w:r>
      <w:r>
        <w:rPr>
          <w:sz w:val="18"/>
        </w:rPr>
        <w:t>The</w:t>
      </w:r>
      <w:r>
        <w:rPr>
          <w:spacing w:val="-16"/>
          <w:sz w:val="18"/>
        </w:rPr>
        <w:t> </w:t>
      </w:r>
      <w:r>
        <w:rPr>
          <w:sz w:val="18"/>
        </w:rPr>
        <w:t>area</w:t>
      </w:r>
      <w:r>
        <w:rPr>
          <w:spacing w:val="-15"/>
          <w:sz w:val="18"/>
        </w:rPr>
        <w:t> </w:t>
      </w:r>
      <w:r>
        <w:rPr>
          <w:sz w:val="18"/>
        </w:rPr>
        <w:t>details</w:t>
      </w:r>
      <w:r>
        <w:rPr>
          <w:spacing w:val="-15"/>
          <w:sz w:val="18"/>
        </w:rPr>
        <w:t> </w:t>
      </w:r>
      <w:r>
        <w:rPr>
          <w:sz w:val="18"/>
        </w:rPr>
        <w:t>of</w:t>
      </w:r>
      <w:r>
        <w:rPr>
          <w:spacing w:val="-16"/>
          <w:sz w:val="18"/>
        </w:rPr>
        <w:t> </w:t>
      </w:r>
      <w:r>
        <w:rPr>
          <w:sz w:val="18"/>
        </w:rPr>
        <w:t>the</w:t>
      </w:r>
      <w:r>
        <w:rPr>
          <w:spacing w:val="-15"/>
          <w:sz w:val="18"/>
        </w:rPr>
        <w:t> </w:t>
      </w:r>
      <w:r>
        <w:rPr>
          <w:sz w:val="18"/>
        </w:rPr>
        <w:t>property</w:t>
      </w:r>
      <w:r>
        <w:rPr>
          <w:spacing w:val="-16"/>
          <w:sz w:val="18"/>
        </w:rPr>
        <w:t> </w:t>
      </w:r>
      <w:r>
        <w:rPr>
          <w:sz w:val="18"/>
        </w:rPr>
        <w:t>are</w:t>
      </w:r>
      <w:r>
        <w:rPr>
          <w:spacing w:val="-17"/>
          <w:sz w:val="18"/>
        </w:rPr>
        <w:t> </w:t>
      </w:r>
      <w:r>
        <w:rPr>
          <w:sz w:val="18"/>
        </w:rPr>
        <w:t>as</w:t>
      </w:r>
      <w:r>
        <w:rPr>
          <w:spacing w:val="-15"/>
          <w:sz w:val="18"/>
        </w:rPr>
        <w:t> </w:t>
      </w:r>
      <w:r>
        <w:rPr>
          <w:sz w:val="18"/>
        </w:rPr>
        <w:t>follows:</w:t>
      </w:r>
    </w:p>
    <w:p>
      <w:pPr>
        <w:pStyle w:val="BodyText"/>
        <w:spacing w:before="1"/>
        <w:rPr>
          <w:sz w:val="10"/>
        </w:rPr>
      </w:pPr>
    </w:p>
    <w:tbl>
      <w:tblPr>
        <w:tblW w:w="0" w:type="auto"/>
        <w:jc w:val="left"/>
        <w:tblInd w:w="2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70"/>
        <w:gridCol w:w="4048"/>
      </w:tblGrid>
      <w:tr>
        <w:trPr>
          <w:trHeight w:val="350" w:hRule="atLeast"/>
        </w:trPr>
        <w:tc>
          <w:tcPr>
            <w:tcW w:w="4470" w:type="dxa"/>
            <w:tcBorders>
              <w:bottom w:val="single" w:sz="4" w:space="0" w:color="92D050"/>
            </w:tcBorders>
            <w:shd w:val="clear" w:color="auto" w:fill="006A4D"/>
          </w:tcPr>
          <w:p>
            <w:pPr>
              <w:pStyle w:val="TableParagraph"/>
              <w:spacing w:before="42"/>
              <w:ind w:left="743" w:right="840"/>
              <w:rPr>
                <w:rFonts w:ascii="Verdana"/>
                <w:b/>
                <w:i/>
                <w:sz w:val="18"/>
              </w:rPr>
            </w:pPr>
            <w:r>
              <w:rPr>
                <w:rFonts w:ascii="Verdana"/>
                <w:b/>
                <w:i/>
                <w:color w:val="FFFFFF"/>
                <w:w w:val="77"/>
                <w:sz w:val="18"/>
              </w:rPr>
              <w:t>P</w:t>
            </w:r>
            <w:r>
              <w:rPr>
                <w:rFonts w:ascii="Verdana"/>
                <w:b/>
                <w:i/>
                <w:color w:val="FFFFFF"/>
                <w:w w:val="89"/>
                <w:sz w:val="18"/>
              </w:rPr>
              <w:t>a</w:t>
            </w:r>
            <w:r>
              <w:rPr>
                <w:rFonts w:ascii="Verdana"/>
                <w:b/>
                <w:i/>
                <w:color w:val="FFFFFF"/>
                <w:w w:val="79"/>
                <w:sz w:val="18"/>
              </w:rPr>
              <w:t>r</w:t>
            </w:r>
            <w:r>
              <w:rPr>
                <w:rFonts w:ascii="Verdana"/>
                <w:b/>
                <w:i/>
                <w:color w:val="FFFFFF"/>
                <w:spacing w:val="-1"/>
                <w:w w:val="74"/>
                <w:sz w:val="18"/>
              </w:rPr>
              <w:t>t</w:t>
            </w:r>
            <w:r>
              <w:rPr>
                <w:rFonts w:ascii="Verdana"/>
                <w:b/>
                <w:i/>
                <w:color w:val="FFFFFF"/>
                <w:w w:val="80"/>
                <w:sz w:val="18"/>
              </w:rPr>
              <w:t>i</w:t>
            </w:r>
            <w:r>
              <w:rPr>
                <w:rFonts w:ascii="Verdana"/>
                <w:b/>
                <w:i/>
                <w:color w:val="FFFFFF"/>
                <w:spacing w:val="1"/>
                <w:w w:val="80"/>
                <w:sz w:val="18"/>
              </w:rPr>
              <w:t>c</w:t>
            </w:r>
            <w:r>
              <w:rPr>
                <w:rFonts w:ascii="Verdana"/>
                <w:b/>
                <w:i/>
                <w:smallCaps/>
                <w:color w:val="FFFFFF"/>
                <w:spacing w:val="-1"/>
                <w:w w:val="93"/>
                <w:sz w:val="18"/>
              </w:rPr>
              <w:t>u</w:t>
            </w:r>
            <w:r>
              <w:rPr>
                <w:rFonts w:ascii="Verdana"/>
                <w:b/>
                <w:i/>
                <w:smallCaps w:val="0"/>
                <w:color w:val="FFFFFF"/>
                <w:w w:val="86"/>
                <w:sz w:val="18"/>
              </w:rPr>
              <w:t>la</w:t>
            </w:r>
            <w:r>
              <w:rPr>
                <w:rFonts w:ascii="Verdana"/>
                <w:b/>
                <w:i/>
                <w:smallCaps w:val="0"/>
                <w:color w:val="FFFFFF"/>
                <w:w w:val="79"/>
                <w:sz w:val="18"/>
              </w:rPr>
              <w:t>r</w:t>
            </w:r>
            <w:r>
              <w:rPr>
                <w:rFonts w:ascii="Verdana"/>
                <w:b/>
                <w:i/>
                <w:smallCaps w:val="0"/>
                <w:color w:val="FFFFFF"/>
                <w:w w:val="76"/>
                <w:sz w:val="18"/>
              </w:rPr>
              <w:t>s</w:t>
            </w:r>
          </w:p>
        </w:tc>
        <w:tc>
          <w:tcPr>
            <w:tcW w:w="4048" w:type="dxa"/>
            <w:tcBorders>
              <w:bottom w:val="single" w:sz="4" w:space="0" w:color="92D050"/>
            </w:tcBorders>
            <w:shd w:val="clear" w:color="auto" w:fill="006A4D"/>
          </w:tcPr>
          <w:p>
            <w:pPr>
              <w:pStyle w:val="TableParagraph"/>
              <w:spacing w:before="42"/>
              <w:ind w:left="977"/>
              <w:jc w:val="left"/>
              <w:rPr>
                <w:rFonts w:ascii="Verdana"/>
                <w:b/>
                <w:i/>
                <w:sz w:val="18"/>
              </w:rPr>
            </w:pPr>
            <w:r>
              <w:rPr>
                <w:rFonts w:ascii="Verdana"/>
                <w:b/>
                <w:i/>
                <w:color w:val="FFFFFF"/>
                <w:w w:val="90"/>
                <w:sz w:val="18"/>
              </w:rPr>
              <w:t>Leasable area (in sf)</w:t>
            </w:r>
          </w:p>
        </w:tc>
      </w:tr>
      <w:tr>
        <w:trPr>
          <w:trHeight w:val="318" w:hRule="atLeast"/>
        </w:trPr>
        <w:tc>
          <w:tcPr>
            <w:tcW w:w="4470" w:type="dxa"/>
            <w:tcBorders>
              <w:top w:val="single" w:sz="4" w:space="0" w:color="92D050"/>
              <w:bottom w:val="single" w:sz="4" w:space="0" w:color="92D050"/>
            </w:tcBorders>
          </w:tcPr>
          <w:p>
            <w:pPr>
              <w:pStyle w:val="TableParagraph"/>
              <w:spacing w:before="22"/>
              <w:ind w:left="743" w:right="841"/>
              <w:rPr>
                <w:sz w:val="18"/>
              </w:rPr>
            </w:pPr>
            <w:r>
              <w:rPr>
                <w:sz w:val="18"/>
              </w:rPr>
              <w:t>Completed Leasable Area</w:t>
            </w:r>
          </w:p>
        </w:tc>
        <w:tc>
          <w:tcPr>
            <w:tcW w:w="4048" w:type="dxa"/>
            <w:tcBorders>
              <w:top w:val="single" w:sz="4" w:space="0" w:color="92D050"/>
              <w:bottom w:val="single" w:sz="4" w:space="0" w:color="92D050"/>
            </w:tcBorders>
          </w:tcPr>
          <w:p>
            <w:pPr>
              <w:pStyle w:val="TableParagraph"/>
              <w:spacing w:before="22"/>
              <w:ind w:left="1499" w:right="1672"/>
              <w:rPr>
                <w:sz w:val="18"/>
              </w:rPr>
            </w:pPr>
            <w:r>
              <w:rPr>
                <w:w w:val="105"/>
                <w:sz w:val="18"/>
              </w:rPr>
              <w:t>2,160,055</w:t>
            </w:r>
          </w:p>
        </w:tc>
      </w:tr>
      <w:tr>
        <w:trPr>
          <w:trHeight w:val="304" w:hRule="atLeast"/>
        </w:trPr>
        <w:tc>
          <w:tcPr>
            <w:tcW w:w="4470" w:type="dxa"/>
            <w:tcBorders>
              <w:top w:val="single" w:sz="4" w:space="0" w:color="92D050"/>
              <w:bottom w:val="single" w:sz="4" w:space="0" w:color="92D050"/>
            </w:tcBorders>
          </w:tcPr>
          <w:p>
            <w:pPr>
              <w:pStyle w:val="TableParagraph"/>
              <w:spacing w:before="15"/>
              <w:ind w:left="743" w:right="935"/>
              <w:rPr>
                <w:sz w:val="18"/>
              </w:rPr>
            </w:pPr>
            <w:r>
              <w:rPr>
                <w:sz w:val="18"/>
              </w:rPr>
              <w:t>Under-Construction Leasable Area</w:t>
            </w:r>
          </w:p>
        </w:tc>
        <w:tc>
          <w:tcPr>
            <w:tcW w:w="4048" w:type="dxa"/>
            <w:tcBorders>
              <w:top w:val="single" w:sz="4" w:space="0" w:color="92D050"/>
              <w:bottom w:val="single" w:sz="4" w:space="0" w:color="92D050"/>
            </w:tcBorders>
          </w:tcPr>
          <w:p>
            <w:pPr>
              <w:pStyle w:val="TableParagraph"/>
              <w:spacing w:before="15"/>
              <w:ind w:left="1499" w:right="1672"/>
              <w:rPr>
                <w:sz w:val="18"/>
              </w:rPr>
            </w:pPr>
            <w:r>
              <w:rPr>
                <w:w w:val="110"/>
                <w:sz w:val="18"/>
              </w:rPr>
              <w:t>880,615</w:t>
            </w:r>
          </w:p>
        </w:tc>
      </w:tr>
      <w:tr>
        <w:trPr>
          <w:trHeight w:val="304" w:hRule="atLeast"/>
        </w:trPr>
        <w:tc>
          <w:tcPr>
            <w:tcW w:w="4470" w:type="dxa"/>
            <w:tcBorders>
              <w:top w:val="single" w:sz="4" w:space="0" w:color="92D050"/>
              <w:bottom w:val="single" w:sz="4" w:space="0" w:color="92D050"/>
            </w:tcBorders>
          </w:tcPr>
          <w:p>
            <w:pPr>
              <w:pStyle w:val="TableParagraph"/>
              <w:spacing w:before="15"/>
              <w:ind w:left="743" w:right="840"/>
              <w:rPr>
                <w:sz w:val="18"/>
              </w:rPr>
            </w:pPr>
            <w:r>
              <w:rPr>
                <w:sz w:val="18"/>
              </w:rPr>
              <w:t>Proposed Leasable Area</w:t>
            </w:r>
          </w:p>
        </w:tc>
        <w:tc>
          <w:tcPr>
            <w:tcW w:w="4048" w:type="dxa"/>
            <w:tcBorders>
              <w:top w:val="single" w:sz="4" w:space="0" w:color="92D050"/>
              <w:bottom w:val="single" w:sz="4" w:space="0" w:color="92D050"/>
            </w:tcBorders>
          </w:tcPr>
          <w:p>
            <w:pPr>
              <w:pStyle w:val="TableParagraph"/>
              <w:spacing w:before="15"/>
              <w:ind w:left="1499" w:right="1672"/>
              <w:rPr>
                <w:sz w:val="18"/>
              </w:rPr>
            </w:pPr>
            <w:r>
              <w:rPr>
                <w:w w:val="105"/>
                <w:sz w:val="18"/>
              </w:rPr>
              <w:t>2,432,276</w:t>
            </w:r>
          </w:p>
        </w:tc>
      </w:tr>
      <w:tr>
        <w:trPr>
          <w:trHeight w:val="306" w:hRule="atLeast"/>
        </w:trPr>
        <w:tc>
          <w:tcPr>
            <w:tcW w:w="4470" w:type="dxa"/>
            <w:tcBorders>
              <w:top w:val="single" w:sz="4" w:space="0" w:color="92D050"/>
              <w:bottom w:val="single" w:sz="4" w:space="0" w:color="92D050"/>
            </w:tcBorders>
          </w:tcPr>
          <w:p>
            <w:pPr>
              <w:pStyle w:val="TableParagraph"/>
              <w:spacing w:before="15"/>
              <w:ind w:left="743" w:right="839"/>
              <w:rPr>
                <w:sz w:val="18"/>
              </w:rPr>
            </w:pPr>
            <w:r>
              <w:rPr>
                <w:sz w:val="18"/>
              </w:rPr>
              <w:t>Total</w:t>
            </w:r>
          </w:p>
        </w:tc>
        <w:tc>
          <w:tcPr>
            <w:tcW w:w="4048" w:type="dxa"/>
            <w:tcBorders>
              <w:top w:val="single" w:sz="4" w:space="0" w:color="92D050"/>
              <w:bottom w:val="single" w:sz="4" w:space="0" w:color="92D050"/>
            </w:tcBorders>
          </w:tcPr>
          <w:p>
            <w:pPr>
              <w:pStyle w:val="TableParagraph"/>
              <w:spacing w:before="15"/>
              <w:ind w:left="1501" w:right="1671"/>
              <w:rPr>
                <w:sz w:val="18"/>
              </w:rPr>
            </w:pPr>
            <w:r>
              <w:rPr>
                <w:w w:val="105"/>
                <w:sz w:val="18"/>
              </w:rPr>
              <w:t>5,472,946</w:t>
            </w:r>
          </w:p>
        </w:tc>
      </w:tr>
    </w:tbl>
    <w:p>
      <w:pPr>
        <w:spacing w:before="119"/>
        <w:ind w:left="2224" w:right="0" w:firstLine="0"/>
        <w:jc w:val="both"/>
        <w:rPr>
          <w:i/>
          <w:sz w:val="18"/>
        </w:rPr>
      </w:pPr>
      <w:r>
        <w:rPr>
          <w:i/>
          <w:sz w:val="18"/>
        </w:rPr>
        <w:t>Source: Client Inputs</w:t>
      </w:r>
    </w:p>
    <w:p>
      <w:pPr>
        <w:spacing w:line="321" w:lineRule="auto" w:before="189"/>
        <w:ind w:left="2224" w:right="658" w:firstLine="0"/>
        <w:jc w:val="both"/>
        <w:rPr>
          <w:sz w:val="18"/>
        </w:rPr>
      </w:pPr>
      <w:r>
        <w:rPr>
          <w:sz w:val="18"/>
        </w:rPr>
        <w:t>‘Embassy</w:t>
      </w:r>
      <w:r>
        <w:rPr>
          <w:spacing w:val="-26"/>
          <w:sz w:val="18"/>
        </w:rPr>
        <w:t> </w:t>
      </w:r>
      <w:r>
        <w:rPr>
          <w:sz w:val="18"/>
        </w:rPr>
        <w:t>TechZone’</w:t>
      </w:r>
      <w:r>
        <w:rPr>
          <w:spacing w:val="-27"/>
          <w:sz w:val="18"/>
        </w:rPr>
        <w:t> </w:t>
      </w:r>
      <w:r>
        <w:rPr>
          <w:sz w:val="18"/>
        </w:rPr>
        <w:t>is</w:t>
      </w:r>
      <w:r>
        <w:rPr>
          <w:spacing w:val="-26"/>
          <w:sz w:val="18"/>
        </w:rPr>
        <w:t> </w:t>
      </w:r>
      <w:r>
        <w:rPr>
          <w:sz w:val="18"/>
        </w:rPr>
        <w:t>strategically</w:t>
      </w:r>
      <w:r>
        <w:rPr>
          <w:spacing w:val="-27"/>
          <w:sz w:val="18"/>
        </w:rPr>
        <w:t> </w:t>
      </w:r>
      <w:r>
        <w:rPr>
          <w:sz w:val="18"/>
        </w:rPr>
        <w:t>located</w:t>
      </w:r>
      <w:r>
        <w:rPr>
          <w:spacing w:val="-26"/>
          <w:sz w:val="18"/>
        </w:rPr>
        <w:t> </w:t>
      </w:r>
      <w:r>
        <w:rPr>
          <w:sz w:val="18"/>
        </w:rPr>
        <w:t>in</w:t>
      </w:r>
      <w:r>
        <w:rPr>
          <w:spacing w:val="-26"/>
          <w:sz w:val="18"/>
        </w:rPr>
        <w:t> </w:t>
      </w:r>
      <w:r>
        <w:rPr>
          <w:sz w:val="18"/>
        </w:rPr>
        <w:t>Hinjewadi</w:t>
      </w:r>
      <w:r>
        <w:rPr>
          <w:spacing w:val="-26"/>
          <w:sz w:val="18"/>
        </w:rPr>
        <w:t> </w:t>
      </w:r>
      <w:r>
        <w:rPr>
          <w:sz w:val="18"/>
        </w:rPr>
        <w:t>which</w:t>
      </w:r>
      <w:r>
        <w:rPr>
          <w:spacing w:val="-27"/>
          <w:sz w:val="18"/>
        </w:rPr>
        <w:t> </w:t>
      </w:r>
      <w:r>
        <w:rPr>
          <w:sz w:val="18"/>
        </w:rPr>
        <w:t>is</w:t>
      </w:r>
      <w:r>
        <w:rPr>
          <w:spacing w:val="-26"/>
          <w:sz w:val="18"/>
        </w:rPr>
        <w:t> </w:t>
      </w:r>
      <w:r>
        <w:rPr>
          <w:sz w:val="18"/>
        </w:rPr>
        <w:t>a</w:t>
      </w:r>
      <w:r>
        <w:rPr>
          <w:spacing w:val="-26"/>
          <w:sz w:val="18"/>
        </w:rPr>
        <w:t> </w:t>
      </w:r>
      <w:r>
        <w:rPr>
          <w:sz w:val="18"/>
        </w:rPr>
        <w:t>prominent</w:t>
      </w:r>
      <w:r>
        <w:rPr>
          <w:spacing w:val="-27"/>
          <w:sz w:val="18"/>
        </w:rPr>
        <w:t> </w:t>
      </w:r>
      <w:r>
        <w:rPr>
          <w:sz w:val="18"/>
        </w:rPr>
        <w:t>commercial</w:t>
      </w:r>
      <w:r>
        <w:rPr>
          <w:spacing w:val="-23"/>
          <w:sz w:val="18"/>
        </w:rPr>
        <w:t> </w:t>
      </w:r>
      <w:r>
        <w:rPr>
          <w:sz w:val="18"/>
        </w:rPr>
        <w:t>technology</w:t>
      </w:r>
      <w:r>
        <w:rPr>
          <w:spacing w:val="-26"/>
          <w:sz w:val="18"/>
        </w:rPr>
        <w:t> </w:t>
      </w:r>
      <w:r>
        <w:rPr>
          <w:sz w:val="18"/>
        </w:rPr>
        <w:t>hub</w:t>
      </w:r>
      <w:r>
        <w:rPr>
          <w:spacing w:val="-26"/>
          <w:sz w:val="18"/>
        </w:rPr>
        <w:t> </w:t>
      </w:r>
      <w:r>
        <w:rPr>
          <w:sz w:val="18"/>
        </w:rPr>
        <w:t>of </w:t>
      </w:r>
      <w:r>
        <w:rPr>
          <w:w w:val="105"/>
          <w:sz w:val="18"/>
        </w:rPr>
        <w:t>Pune</w:t>
      </w:r>
      <w:r>
        <w:rPr>
          <w:spacing w:val="-38"/>
          <w:w w:val="105"/>
          <w:sz w:val="18"/>
        </w:rPr>
        <w:t> </w:t>
      </w:r>
      <w:r>
        <w:rPr>
          <w:w w:val="105"/>
          <w:sz w:val="18"/>
        </w:rPr>
        <w:t>city.</w:t>
      </w:r>
      <w:r>
        <w:rPr>
          <w:spacing w:val="-38"/>
          <w:w w:val="105"/>
          <w:sz w:val="18"/>
        </w:rPr>
        <w:t> </w:t>
      </w:r>
      <w:r>
        <w:rPr>
          <w:w w:val="105"/>
          <w:sz w:val="18"/>
        </w:rPr>
        <w:t>‘Embassy</w:t>
      </w:r>
      <w:r>
        <w:rPr>
          <w:spacing w:val="-38"/>
          <w:w w:val="105"/>
          <w:sz w:val="18"/>
        </w:rPr>
        <w:t> </w:t>
      </w:r>
      <w:r>
        <w:rPr>
          <w:w w:val="105"/>
          <w:sz w:val="18"/>
        </w:rPr>
        <w:t>TechZone’</w:t>
      </w:r>
      <w:r>
        <w:rPr>
          <w:spacing w:val="-38"/>
          <w:w w:val="105"/>
          <w:sz w:val="18"/>
        </w:rPr>
        <w:t> </w:t>
      </w:r>
      <w:r>
        <w:rPr>
          <w:w w:val="105"/>
          <w:sz w:val="18"/>
        </w:rPr>
        <w:t>is</w:t>
      </w:r>
      <w:r>
        <w:rPr>
          <w:spacing w:val="-37"/>
          <w:w w:val="105"/>
          <w:sz w:val="18"/>
        </w:rPr>
        <w:t> </w:t>
      </w:r>
      <w:r>
        <w:rPr>
          <w:w w:val="105"/>
          <w:sz w:val="18"/>
        </w:rPr>
        <w:t>located</w:t>
      </w:r>
      <w:r>
        <w:rPr>
          <w:spacing w:val="-38"/>
          <w:w w:val="105"/>
          <w:sz w:val="18"/>
        </w:rPr>
        <w:t> </w:t>
      </w:r>
      <w:r>
        <w:rPr>
          <w:w w:val="105"/>
          <w:sz w:val="18"/>
        </w:rPr>
        <w:t>at</w:t>
      </w:r>
      <w:r>
        <w:rPr>
          <w:spacing w:val="-38"/>
          <w:w w:val="105"/>
          <w:sz w:val="18"/>
        </w:rPr>
        <w:t> </w:t>
      </w:r>
      <w:r>
        <w:rPr>
          <w:w w:val="105"/>
          <w:sz w:val="18"/>
        </w:rPr>
        <w:t>a</w:t>
      </w:r>
      <w:r>
        <w:rPr>
          <w:spacing w:val="-38"/>
          <w:w w:val="105"/>
          <w:sz w:val="18"/>
        </w:rPr>
        <w:t> </w:t>
      </w:r>
      <w:r>
        <w:rPr>
          <w:w w:val="105"/>
          <w:sz w:val="18"/>
        </w:rPr>
        <w:t>distance</w:t>
      </w:r>
      <w:r>
        <w:rPr>
          <w:spacing w:val="-37"/>
          <w:w w:val="105"/>
          <w:sz w:val="18"/>
        </w:rPr>
        <w:t> </w:t>
      </w:r>
      <w:r>
        <w:rPr>
          <w:w w:val="105"/>
          <w:sz w:val="18"/>
        </w:rPr>
        <w:t>of</w:t>
      </w:r>
      <w:r>
        <w:rPr>
          <w:spacing w:val="-38"/>
          <w:w w:val="105"/>
          <w:sz w:val="18"/>
        </w:rPr>
        <w:t> </w:t>
      </w:r>
      <w:r>
        <w:rPr>
          <w:w w:val="105"/>
          <w:sz w:val="18"/>
        </w:rPr>
        <w:t>approximately</w:t>
      </w:r>
      <w:r>
        <w:rPr>
          <w:spacing w:val="-38"/>
          <w:w w:val="105"/>
          <w:sz w:val="18"/>
        </w:rPr>
        <w:t> </w:t>
      </w:r>
      <w:r>
        <w:rPr>
          <w:w w:val="105"/>
          <w:sz w:val="18"/>
        </w:rPr>
        <w:t>5</w:t>
      </w:r>
      <w:r>
        <w:rPr>
          <w:spacing w:val="-35"/>
          <w:w w:val="105"/>
          <w:sz w:val="18"/>
        </w:rPr>
        <w:t> </w:t>
      </w:r>
      <w:r>
        <w:rPr>
          <w:w w:val="105"/>
          <w:sz w:val="18"/>
        </w:rPr>
        <w:t>–</w:t>
      </w:r>
      <w:r>
        <w:rPr>
          <w:spacing w:val="-38"/>
          <w:w w:val="105"/>
          <w:sz w:val="18"/>
        </w:rPr>
        <w:t> </w:t>
      </w:r>
      <w:r>
        <w:rPr>
          <w:w w:val="105"/>
          <w:sz w:val="18"/>
        </w:rPr>
        <w:t>6</w:t>
      </w:r>
      <w:r>
        <w:rPr>
          <w:spacing w:val="-38"/>
          <w:w w:val="105"/>
          <w:sz w:val="18"/>
        </w:rPr>
        <w:t> </w:t>
      </w:r>
      <w:r>
        <w:rPr>
          <w:w w:val="105"/>
          <w:sz w:val="18"/>
        </w:rPr>
        <w:t>km</w:t>
      </w:r>
      <w:r>
        <w:rPr>
          <w:spacing w:val="-37"/>
          <w:w w:val="105"/>
          <w:sz w:val="18"/>
        </w:rPr>
        <w:t> </w:t>
      </w:r>
      <w:r>
        <w:rPr>
          <w:w w:val="105"/>
          <w:sz w:val="18"/>
        </w:rPr>
        <w:t>from</w:t>
      </w:r>
      <w:r>
        <w:rPr>
          <w:spacing w:val="-38"/>
          <w:w w:val="105"/>
          <w:sz w:val="18"/>
        </w:rPr>
        <w:t> </w:t>
      </w:r>
      <w:r>
        <w:rPr>
          <w:w w:val="105"/>
          <w:sz w:val="18"/>
        </w:rPr>
        <w:t>National</w:t>
      </w:r>
      <w:r>
        <w:rPr>
          <w:spacing w:val="-38"/>
          <w:w w:val="105"/>
          <w:sz w:val="18"/>
        </w:rPr>
        <w:t> </w:t>
      </w:r>
      <w:r>
        <w:rPr>
          <w:w w:val="105"/>
          <w:sz w:val="18"/>
        </w:rPr>
        <w:t>Highway</w:t>
      </w:r>
      <w:r>
        <w:rPr>
          <w:spacing w:val="-37"/>
          <w:w w:val="105"/>
          <w:sz w:val="18"/>
        </w:rPr>
        <w:t> </w:t>
      </w:r>
      <w:r>
        <w:rPr>
          <w:w w:val="105"/>
          <w:sz w:val="18"/>
        </w:rPr>
        <w:t>48 (Connecting</w:t>
      </w:r>
      <w:r>
        <w:rPr>
          <w:spacing w:val="-16"/>
          <w:w w:val="105"/>
          <w:sz w:val="18"/>
        </w:rPr>
        <w:t> </w:t>
      </w:r>
      <w:r>
        <w:rPr>
          <w:w w:val="105"/>
          <w:sz w:val="18"/>
        </w:rPr>
        <w:t>Mumbai</w:t>
      </w:r>
      <w:r>
        <w:rPr>
          <w:spacing w:val="-17"/>
          <w:w w:val="105"/>
          <w:sz w:val="18"/>
        </w:rPr>
        <w:t> </w:t>
      </w:r>
      <w:r>
        <w:rPr>
          <w:w w:val="105"/>
          <w:sz w:val="18"/>
        </w:rPr>
        <w:t>–</w:t>
      </w:r>
      <w:r>
        <w:rPr>
          <w:spacing w:val="-15"/>
          <w:w w:val="105"/>
          <w:sz w:val="18"/>
        </w:rPr>
        <w:t> </w:t>
      </w:r>
      <w:r>
        <w:rPr>
          <w:w w:val="105"/>
          <w:sz w:val="18"/>
        </w:rPr>
        <w:t>Pune</w:t>
      </w:r>
      <w:r>
        <w:rPr>
          <w:spacing w:val="-16"/>
          <w:w w:val="105"/>
          <w:sz w:val="18"/>
        </w:rPr>
        <w:t> </w:t>
      </w:r>
      <w:r>
        <w:rPr>
          <w:w w:val="105"/>
          <w:sz w:val="18"/>
        </w:rPr>
        <w:t>–</w:t>
      </w:r>
      <w:r>
        <w:rPr>
          <w:spacing w:val="-15"/>
          <w:w w:val="105"/>
          <w:sz w:val="18"/>
        </w:rPr>
        <w:t> </w:t>
      </w:r>
      <w:r>
        <w:rPr>
          <w:w w:val="105"/>
          <w:sz w:val="18"/>
        </w:rPr>
        <w:t>Bengaluru),</w:t>
      </w:r>
      <w:r>
        <w:rPr>
          <w:spacing w:val="-16"/>
          <w:w w:val="105"/>
          <w:sz w:val="18"/>
        </w:rPr>
        <w:t> </w:t>
      </w:r>
      <w:r>
        <w:rPr>
          <w:w w:val="105"/>
          <w:sz w:val="18"/>
        </w:rPr>
        <w:t>20</w:t>
      </w:r>
      <w:r>
        <w:rPr>
          <w:spacing w:val="-16"/>
          <w:w w:val="105"/>
          <w:sz w:val="18"/>
        </w:rPr>
        <w:t> </w:t>
      </w:r>
      <w:r>
        <w:rPr>
          <w:w w:val="105"/>
          <w:sz w:val="18"/>
        </w:rPr>
        <w:t>–</w:t>
      </w:r>
      <w:r>
        <w:rPr>
          <w:spacing w:val="-16"/>
          <w:w w:val="105"/>
          <w:sz w:val="18"/>
        </w:rPr>
        <w:t> </w:t>
      </w:r>
      <w:r>
        <w:rPr>
          <w:w w:val="105"/>
          <w:sz w:val="18"/>
        </w:rPr>
        <w:t>21</w:t>
      </w:r>
      <w:r>
        <w:rPr>
          <w:spacing w:val="-15"/>
          <w:w w:val="105"/>
          <w:sz w:val="18"/>
        </w:rPr>
        <w:t> </w:t>
      </w:r>
      <w:r>
        <w:rPr>
          <w:w w:val="105"/>
          <w:sz w:val="18"/>
        </w:rPr>
        <w:t>km</w:t>
      </w:r>
      <w:r>
        <w:rPr>
          <w:spacing w:val="-16"/>
          <w:w w:val="105"/>
          <w:sz w:val="18"/>
        </w:rPr>
        <w:t> </w:t>
      </w:r>
      <w:r>
        <w:rPr>
          <w:w w:val="105"/>
          <w:sz w:val="18"/>
        </w:rPr>
        <w:t>from</w:t>
      </w:r>
      <w:r>
        <w:rPr>
          <w:spacing w:val="-16"/>
          <w:w w:val="105"/>
          <w:sz w:val="18"/>
        </w:rPr>
        <w:t> </w:t>
      </w:r>
      <w:r>
        <w:rPr>
          <w:w w:val="105"/>
          <w:sz w:val="18"/>
        </w:rPr>
        <w:t>Pune</w:t>
      </w:r>
      <w:r>
        <w:rPr>
          <w:spacing w:val="-16"/>
          <w:w w:val="105"/>
          <w:sz w:val="18"/>
        </w:rPr>
        <w:t> </w:t>
      </w:r>
      <w:r>
        <w:rPr>
          <w:w w:val="105"/>
          <w:sz w:val="18"/>
        </w:rPr>
        <w:t>CBD</w:t>
      </w:r>
      <w:r>
        <w:rPr>
          <w:spacing w:val="-17"/>
          <w:w w:val="105"/>
          <w:sz w:val="18"/>
        </w:rPr>
        <w:t> </w:t>
      </w:r>
      <w:r>
        <w:rPr>
          <w:w w:val="105"/>
          <w:sz w:val="18"/>
        </w:rPr>
        <w:t>(Peth</w:t>
      </w:r>
      <w:r>
        <w:rPr>
          <w:spacing w:val="-16"/>
          <w:w w:val="105"/>
          <w:sz w:val="18"/>
        </w:rPr>
        <w:t> </w:t>
      </w:r>
      <w:r>
        <w:rPr>
          <w:w w:val="105"/>
          <w:sz w:val="18"/>
        </w:rPr>
        <w:t>areas),</w:t>
      </w:r>
      <w:r>
        <w:rPr>
          <w:spacing w:val="-17"/>
          <w:w w:val="105"/>
          <w:sz w:val="18"/>
        </w:rPr>
        <w:t> </w:t>
      </w:r>
      <w:r>
        <w:rPr>
          <w:w w:val="105"/>
          <w:sz w:val="18"/>
        </w:rPr>
        <w:t>20</w:t>
      </w:r>
      <w:r>
        <w:rPr>
          <w:spacing w:val="-13"/>
          <w:w w:val="105"/>
          <w:sz w:val="18"/>
        </w:rPr>
        <w:t> </w:t>
      </w:r>
      <w:r>
        <w:rPr>
          <w:w w:val="105"/>
          <w:sz w:val="18"/>
        </w:rPr>
        <w:t>–</w:t>
      </w:r>
      <w:r>
        <w:rPr>
          <w:spacing w:val="-16"/>
          <w:w w:val="105"/>
          <w:sz w:val="18"/>
        </w:rPr>
        <w:t> </w:t>
      </w:r>
      <w:r>
        <w:rPr>
          <w:w w:val="105"/>
          <w:sz w:val="18"/>
        </w:rPr>
        <w:t>21</w:t>
      </w:r>
      <w:r>
        <w:rPr>
          <w:spacing w:val="-16"/>
          <w:w w:val="105"/>
          <w:sz w:val="18"/>
        </w:rPr>
        <w:t> </w:t>
      </w:r>
      <w:r>
        <w:rPr>
          <w:w w:val="105"/>
          <w:sz w:val="18"/>
        </w:rPr>
        <w:t>km</w:t>
      </w:r>
      <w:r>
        <w:rPr>
          <w:spacing w:val="-16"/>
          <w:w w:val="105"/>
          <w:sz w:val="18"/>
        </w:rPr>
        <w:t> </w:t>
      </w:r>
      <w:r>
        <w:rPr>
          <w:w w:val="105"/>
          <w:sz w:val="18"/>
        </w:rPr>
        <w:t>from</w:t>
      </w:r>
      <w:r>
        <w:rPr>
          <w:spacing w:val="-16"/>
          <w:w w:val="105"/>
          <w:sz w:val="18"/>
        </w:rPr>
        <w:t> </w:t>
      </w:r>
      <w:r>
        <w:rPr>
          <w:w w:val="105"/>
          <w:sz w:val="18"/>
        </w:rPr>
        <w:t>Pune Railway</w:t>
      </w:r>
      <w:r>
        <w:rPr>
          <w:spacing w:val="-14"/>
          <w:w w:val="105"/>
          <w:sz w:val="18"/>
        </w:rPr>
        <w:t> </w:t>
      </w:r>
      <w:r>
        <w:rPr>
          <w:w w:val="105"/>
          <w:sz w:val="18"/>
        </w:rPr>
        <w:t>Station</w:t>
      </w:r>
      <w:r>
        <w:rPr>
          <w:spacing w:val="-13"/>
          <w:w w:val="105"/>
          <w:sz w:val="18"/>
        </w:rPr>
        <w:t> </w:t>
      </w:r>
      <w:r>
        <w:rPr>
          <w:w w:val="105"/>
          <w:sz w:val="18"/>
        </w:rPr>
        <w:t>and</w:t>
      </w:r>
      <w:r>
        <w:rPr>
          <w:spacing w:val="-14"/>
          <w:w w:val="105"/>
          <w:sz w:val="18"/>
        </w:rPr>
        <w:t> </w:t>
      </w:r>
      <w:r>
        <w:rPr>
          <w:w w:val="105"/>
          <w:sz w:val="18"/>
        </w:rPr>
        <w:t>approximately</w:t>
      </w:r>
      <w:r>
        <w:rPr>
          <w:spacing w:val="-13"/>
          <w:w w:val="105"/>
          <w:sz w:val="18"/>
        </w:rPr>
        <w:t> </w:t>
      </w:r>
      <w:r>
        <w:rPr>
          <w:w w:val="105"/>
          <w:sz w:val="18"/>
        </w:rPr>
        <w:t>26</w:t>
      </w:r>
      <w:r>
        <w:rPr>
          <w:spacing w:val="-12"/>
          <w:w w:val="105"/>
          <w:sz w:val="18"/>
        </w:rPr>
        <w:t> </w:t>
      </w:r>
      <w:r>
        <w:rPr>
          <w:w w:val="105"/>
          <w:sz w:val="18"/>
        </w:rPr>
        <w:t>-</w:t>
      </w:r>
      <w:r>
        <w:rPr>
          <w:spacing w:val="-12"/>
          <w:w w:val="105"/>
          <w:sz w:val="18"/>
        </w:rPr>
        <w:t> </w:t>
      </w:r>
      <w:r>
        <w:rPr>
          <w:w w:val="105"/>
          <w:sz w:val="18"/>
        </w:rPr>
        <w:t>27</w:t>
      </w:r>
      <w:r>
        <w:rPr>
          <w:spacing w:val="-14"/>
          <w:w w:val="105"/>
          <w:sz w:val="18"/>
        </w:rPr>
        <w:t> </w:t>
      </w:r>
      <w:r>
        <w:rPr>
          <w:w w:val="105"/>
          <w:sz w:val="18"/>
        </w:rPr>
        <w:t>km</w:t>
      </w:r>
      <w:r>
        <w:rPr>
          <w:spacing w:val="-13"/>
          <w:w w:val="105"/>
          <w:sz w:val="18"/>
        </w:rPr>
        <w:t> </w:t>
      </w:r>
      <w:r>
        <w:rPr>
          <w:w w:val="105"/>
          <w:sz w:val="18"/>
        </w:rPr>
        <w:t>from</w:t>
      </w:r>
      <w:r>
        <w:rPr>
          <w:spacing w:val="-12"/>
          <w:w w:val="105"/>
          <w:sz w:val="18"/>
        </w:rPr>
        <w:t> </w:t>
      </w:r>
      <w:r>
        <w:rPr>
          <w:w w:val="105"/>
          <w:sz w:val="18"/>
        </w:rPr>
        <w:t>Pune</w:t>
      </w:r>
      <w:r>
        <w:rPr>
          <w:spacing w:val="-12"/>
          <w:w w:val="105"/>
          <w:sz w:val="18"/>
        </w:rPr>
        <w:t> </w:t>
      </w:r>
      <w:r>
        <w:rPr>
          <w:w w:val="105"/>
          <w:sz w:val="18"/>
        </w:rPr>
        <w:t>International</w:t>
      </w:r>
      <w:r>
        <w:rPr>
          <w:spacing w:val="-14"/>
          <w:w w:val="105"/>
          <w:sz w:val="18"/>
        </w:rPr>
        <w:t> </w:t>
      </w:r>
      <w:r>
        <w:rPr>
          <w:w w:val="105"/>
          <w:sz w:val="18"/>
        </w:rPr>
        <w:t>Airport.</w:t>
      </w:r>
    </w:p>
    <w:p>
      <w:pPr>
        <w:pStyle w:val="BodyText"/>
        <w:spacing w:before="9"/>
        <w:rPr>
          <w:sz w:val="12"/>
        </w:rPr>
      </w:pPr>
    </w:p>
    <w:p>
      <w:pPr>
        <w:spacing w:after="0"/>
        <w:rPr>
          <w:sz w:val="12"/>
        </w:rPr>
        <w:sectPr>
          <w:pgSz w:w="11910" w:h="16840"/>
          <w:pgMar w:header="720" w:footer="842" w:top="1520" w:bottom="1040" w:left="440" w:right="80"/>
        </w:sectPr>
      </w:pPr>
    </w:p>
    <w:p>
      <w:pPr>
        <w:spacing w:line="321" w:lineRule="auto" w:before="105"/>
        <w:ind w:left="392" w:right="-11" w:firstLine="0"/>
        <w:jc w:val="left"/>
        <w:rPr>
          <w:sz w:val="18"/>
        </w:rPr>
      </w:pPr>
      <w:r>
        <w:rPr>
          <w:color w:val="006A4D"/>
          <w:w w:val="95"/>
          <w:sz w:val="18"/>
        </w:rPr>
        <w:t>Statement of</w:t>
      </w:r>
      <w:r>
        <w:rPr>
          <w:color w:val="006A4D"/>
          <w:spacing w:val="-29"/>
          <w:w w:val="95"/>
          <w:sz w:val="18"/>
        </w:rPr>
        <w:t> </w:t>
      </w:r>
      <w:r>
        <w:rPr>
          <w:color w:val="006A4D"/>
          <w:w w:val="95"/>
          <w:sz w:val="18"/>
        </w:rPr>
        <w:t>Assets </w:t>
      </w:r>
      <w:r>
        <w:rPr>
          <w:color w:val="006A4D"/>
          <w:sz w:val="18"/>
        </w:rPr>
        <w:t>(sf):</w:t>
      </w:r>
    </w:p>
    <w:p>
      <w:pPr>
        <w:spacing w:line="321" w:lineRule="auto" w:before="105"/>
        <w:ind w:left="287" w:right="658" w:firstLine="0"/>
        <w:jc w:val="both"/>
        <w:rPr>
          <w:sz w:val="18"/>
        </w:rPr>
      </w:pPr>
      <w:r>
        <w:rPr/>
        <w:br w:type="column"/>
      </w:r>
      <w:r>
        <w:rPr>
          <w:sz w:val="18"/>
        </w:rPr>
        <w:t>Based</w:t>
      </w:r>
      <w:r>
        <w:rPr>
          <w:spacing w:val="-12"/>
          <w:sz w:val="18"/>
        </w:rPr>
        <w:t> </w:t>
      </w:r>
      <w:r>
        <w:rPr>
          <w:sz w:val="18"/>
        </w:rPr>
        <w:t>on</w:t>
      </w:r>
      <w:r>
        <w:rPr>
          <w:spacing w:val="-11"/>
          <w:sz w:val="18"/>
        </w:rPr>
        <w:t> </w:t>
      </w:r>
      <w:r>
        <w:rPr>
          <w:sz w:val="18"/>
        </w:rPr>
        <w:t>review</w:t>
      </w:r>
      <w:r>
        <w:rPr>
          <w:spacing w:val="-12"/>
          <w:sz w:val="18"/>
        </w:rPr>
        <w:t> </w:t>
      </w:r>
      <w:r>
        <w:rPr>
          <w:sz w:val="18"/>
        </w:rPr>
        <w:t>of</w:t>
      </w:r>
      <w:r>
        <w:rPr>
          <w:spacing w:val="-11"/>
          <w:sz w:val="18"/>
        </w:rPr>
        <w:t> </w:t>
      </w:r>
      <w:r>
        <w:rPr>
          <w:sz w:val="18"/>
        </w:rPr>
        <w:t>various</w:t>
      </w:r>
      <w:r>
        <w:rPr>
          <w:spacing w:val="-11"/>
          <w:sz w:val="18"/>
        </w:rPr>
        <w:t> </w:t>
      </w:r>
      <w:r>
        <w:rPr>
          <w:sz w:val="18"/>
        </w:rPr>
        <w:t>documents</w:t>
      </w:r>
      <w:r>
        <w:rPr>
          <w:spacing w:val="-11"/>
          <w:sz w:val="18"/>
        </w:rPr>
        <w:t> </w:t>
      </w:r>
      <w:r>
        <w:rPr>
          <w:sz w:val="18"/>
        </w:rPr>
        <w:t>(such</w:t>
      </w:r>
      <w:r>
        <w:rPr>
          <w:spacing w:val="-11"/>
          <w:sz w:val="18"/>
        </w:rPr>
        <w:t> </w:t>
      </w:r>
      <w:r>
        <w:rPr>
          <w:sz w:val="18"/>
        </w:rPr>
        <w:t>as</w:t>
      </w:r>
      <w:r>
        <w:rPr>
          <w:spacing w:val="-11"/>
          <w:sz w:val="18"/>
        </w:rPr>
        <w:t> </w:t>
      </w:r>
      <w:r>
        <w:rPr>
          <w:sz w:val="18"/>
        </w:rPr>
        <w:t>rent</w:t>
      </w:r>
      <w:r>
        <w:rPr>
          <w:spacing w:val="-12"/>
          <w:sz w:val="18"/>
        </w:rPr>
        <w:t> </w:t>
      </w:r>
      <w:r>
        <w:rPr>
          <w:sz w:val="18"/>
        </w:rPr>
        <w:t>roll,</w:t>
      </w:r>
      <w:r>
        <w:rPr>
          <w:spacing w:val="-12"/>
          <w:sz w:val="18"/>
        </w:rPr>
        <w:t> </w:t>
      </w:r>
      <w:r>
        <w:rPr>
          <w:sz w:val="18"/>
        </w:rPr>
        <w:t>Architect’s</w:t>
      </w:r>
      <w:r>
        <w:rPr>
          <w:spacing w:val="-10"/>
          <w:sz w:val="18"/>
        </w:rPr>
        <w:t> </w:t>
      </w:r>
      <w:r>
        <w:rPr>
          <w:sz w:val="18"/>
        </w:rPr>
        <w:t>Certificate,</w:t>
      </w:r>
      <w:r>
        <w:rPr>
          <w:spacing w:val="-12"/>
          <w:sz w:val="18"/>
        </w:rPr>
        <w:t> </w:t>
      </w:r>
      <w:r>
        <w:rPr>
          <w:sz w:val="18"/>
        </w:rPr>
        <w:t>etc.),</w:t>
      </w:r>
      <w:r>
        <w:rPr>
          <w:spacing w:val="-11"/>
          <w:sz w:val="18"/>
        </w:rPr>
        <w:t> </w:t>
      </w:r>
      <w:r>
        <w:rPr>
          <w:sz w:val="18"/>
        </w:rPr>
        <w:t>we</w:t>
      </w:r>
      <w:r>
        <w:rPr>
          <w:spacing w:val="-12"/>
          <w:sz w:val="18"/>
        </w:rPr>
        <w:t> </w:t>
      </w:r>
      <w:r>
        <w:rPr>
          <w:sz w:val="18"/>
        </w:rPr>
        <w:t>understand</w:t>
      </w:r>
      <w:r>
        <w:rPr>
          <w:spacing w:val="-12"/>
          <w:sz w:val="18"/>
        </w:rPr>
        <w:t> </w:t>
      </w:r>
      <w:r>
        <w:rPr>
          <w:sz w:val="18"/>
        </w:rPr>
        <w:t>that ‘Embassy TechZone’ is an operational technology office park with approximately 2.16 msf of completed leasable</w:t>
      </w:r>
      <w:r>
        <w:rPr>
          <w:spacing w:val="-24"/>
          <w:sz w:val="18"/>
        </w:rPr>
        <w:t> </w:t>
      </w:r>
      <w:r>
        <w:rPr>
          <w:sz w:val="18"/>
        </w:rPr>
        <w:t>area</w:t>
      </w:r>
      <w:r>
        <w:rPr>
          <w:spacing w:val="-23"/>
          <w:sz w:val="18"/>
        </w:rPr>
        <w:t> </w:t>
      </w:r>
      <w:r>
        <w:rPr>
          <w:sz w:val="18"/>
        </w:rPr>
        <w:t>out</w:t>
      </w:r>
      <w:r>
        <w:rPr>
          <w:spacing w:val="-25"/>
          <w:sz w:val="18"/>
        </w:rPr>
        <w:t> </w:t>
      </w:r>
      <w:r>
        <w:rPr>
          <w:sz w:val="18"/>
        </w:rPr>
        <w:t>of</w:t>
      </w:r>
      <w:r>
        <w:rPr>
          <w:spacing w:val="-23"/>
          <w:sz w:val="18"/>
        </w:rPr>
        <w:t> </w:t>
      </w:r>
      <w:r>
        <w:rPr>
          <w:sz w:val="18"/>
        </w:rPr>
        <w:t>which</w:t>
      </w:r>
      <w:r>
        <w:rPr>
          <w:spacing w:val="-23"/>
          <w:sz w:val="18"/>
        </w:rPr>
        <w:t> </w:t>
      </w:r>
      <w:r>
        <w:rPr>
          <w:sz w:val="18"/>
        </w:rPr>
        <w:t>approximately</w:t>
      </w:r>
      <w:r>
        <w:rPr>
          <w:spacing w:val="-21"/>
          <w:sz w:val="18"/>
        </w:rPr>
        <w:t> </w:t>
      </w:r>
      <w:r>
        <w:rPr>
          <w:sz w:val="18"/>
        </w:rPr>
        <w:t>93.9%</w:t>
      </w:r>
      <w:r>
        <w:rPr>
          <w:spacing w:val="-23"/>
          <w:sz w:val="18"/>
        </w:rPr>
        <w:t> </w:t>
      </w:r>
      <w:r>
        <w:rPr>
          <w:sz w:val="18"/>
        </w:rPr>
        <w:t>is</w:t>
      </w:r>
      <w:r>
        <w:rPr>
          <w:spacing w:val="-23"/>
          <w:sz w:val="18"/>
        </w:rPr>
        <w:t> </w:t>
      </w:r>
      <w:r>
        <w:rPr>
          <w:sz w:val="18"/>
        </w:rPr>
        <w:t>leased</w:t>
      </w:r>
      <w:r>
        <w:rPr>
          <w:spacing w:val="-23"/>
          <w:sz w:val="18"/>
        </w:rPr>
        <w:t> </w:t>
      </w:r>
      <w:r>
        <w:rPr>
          <w:sz w:val="18"/>
        </w:rPr>
        <w:t>as</w:t>
      </w:r>
      <w:r>
        <w:rPr>
          <w:spacing w:val="-24"/>
          <w:sz w:val="18"/>
        </w:rPr>
        <w:t> </w:t>
      </w:r>
      <w:r>
        <w:rPr>
          <w:sz w:val="18"/>
        </w:rPr>
        <w:t>on</w:t>
      </w:r>
      <w:r>
        <w:rPr>
          <w:spacing w:val="-23"/>
          <w:sz w:val="18"/>
        </w:rPr>
        <w:t> </w:t>
      </w:r>
      <w:r>
        <w:rPr>
          <w:sz w:val="18"/>
        </w:rPr>
        <w:t>the</w:t>
      </w:r>
      <w:r>
        <w:rPr>
          <w:spacing w:val="-23"/>
          <w:sz w:val="18"/>
        </w:rPr>
        <w:t> </w:t>
      </w:r>
      <w:r>
        <w:rPr>
          <w:sz w:val="18"/>
        </w:rPr>
        <w:t>date</w:t>
      </w:r>
      <w:r>
        <w:rPr>
          <w:spacing w:val="-23"/>
          <w:sz w:val="18"/>
        </w:rPr>
        <w:t> </w:t>
      </w:r>
      <w:r>
        <w:rPr>
          <w:sz w:val="18"/>
        </w:rPr>
        <w:t>of</w:t>
      </w:r>
      <w:r>
        <w:rPr>
          <w:spacing w:val="-24"/>
          <w:sz w:val="18"/>
        </w:rPr>
        <w:t> </w:t>
      </w:r>
      <w:r>
        <w:rPr>
          <w:sz w:val="18"/>
        </w:rPr>
        <w:t>valuation.</w:t>
      </w:r>
      <w:r>
        <w:rPr>
          <w:spacing w:val="-24"/>
          <w:sz w:val="18"/>
        </w:rPr>
        <w:t> </w:t>
      </w:r>
      <w:r>
        <w:rPr>
          <w:sz w:val="18"/>
        </w:rPr>
        <w:t>Further,</w:t>
      </w:r>
      <w:r>
        <w:rPr>
          <w:spacing w:val="-24"/>
          <w:sz w:val="18"/>
        </w:rPr>
        <w:t> </w:t>
      </w:r>
      <w:r>
        <w:rPr>
          <w:sz w:val="18"/>
        </w:rPr>
        <w:t>approximately</w:t>
      </w:r>
    </w:p>
    <w:p>
      <w:pPr>
        <w:spacing w:line="321" w:lineRule="auto" w:before="2"/>
        <w:ind w:left="287" w:right="658" w:firstLine="0"/>
        <w:jc w:val="both"/>
        <w:rPr>
          <w:sz w:val="18"/>
        </w:rPr>
      </w:pPr>
      <w:r>
        <w:rPr>
          <w:sz w:val="18"/>
        </w:rPr>
        <w:t>2.43</w:t>
      </w:r>
      <w:r>
        <w:rPr>
          <w:spacing w:val="-8"/>
          <w:sz w:val="18"/>
        </w:rPr>
        <w:t> </w:t>
      </w:r>
      <w:r>
        <w:rPr>
          <w:sz w:val="18"/>
        </w:rPr>
        <w:t>msf</w:t>
      </w:r>
      <w:r>
        <w:rPr>
          <w:spacing w:val="-5"/>
          <w:sz w:val="18"/>
        </w:rPr>
        <w:t> </w:t>
      </w:r>
      <w:r>
        <w:rPr>
          <w:sz w:val="18"/>
        </w:rPr>
        <w:t>is</w:t>
      </w:r>
      <w:r>
        <w:rPr>
          <w:spacing w:val="-6"/>
          <w:sz w:val="18"/>
        </w:rPr>
        <w:t> </w:t>
      </w:r>
      <w:r>
        <w:rPr>
          <w:sz w:val="18"/>
        </w:rPr>
        <w:t>currently</w:t>
      </w:r>
      <w:r>
        <w:rPr>
          <w:spacing w:val="-8"/>
          <w:sz w:val="18"/>
        </w:rPr>
        <w:t> </w:t>
      </w:r>
      <w:r>
        <w:rPr>
          <w:sz w:val="18"/>
        </w:rPr>
        <w:t>under</w:t>
      </w:r>
      <w:r>
        <w:rPr>
          <w:spacing w:val="-7"/>
          <w:sz w:val="18"/>
        </w:rPr>
        <w:t> </w:t>
      </w:r>
      <w:r>
        <w:rPr>
          <w:sz w:val="18"/>
        </w:rPr>
        <w:t>planning</w:t>
      </w:r>
      <w:r>
        <w:rPr>
          <w:spacing w:val="-8"/>
          <w:sz w:val="18"/>
        </w:rPr>
        <w:t> </w:t>
      </w:r>
      <w:r>
        <w:rPr>
          <w:sz w:val="18"/>
        </w:rPr>
        <w:t>stage</w:t>
      </w:r>
      <w:r>
        <w:rPr>
          <w:spacing w:val="-6"/>
          <w:sz w:val="18"/>
        </w:rPr>
        <w:t> </w:t>
      </w:r>
      <w:r>
        <w:rPr>
          <w:sz w:val="18"/>
        </w:rPr>
        <w:t>and</w:t>
      </w:r>
      <w:r>
        <w:rPr>
          <w:spacing w:val="-7"/>
          <w:sz w:val="18"/>
        </w:rPr>
        <w:t> </w:t>
      </w:r>
      <w:r>
        <w:rPr>
          <w:sz w:val="18"/>
        </w:rPr>
        <w:t>approximately</w:t>
      </w:r>
      <w:r>
        <w:rPr>
          <w:spacing w:val="-1"/>
          <w:sz w:val="18"/>
        </w:rPr>
        <w:t> </w:t>
      </w:r>
      <w:r>
        <w:rPr>
          <w:sz w:val="18"/>
        </w:rPr>
        <w:t>0.88</w:t>
      </w:r>
      <w:r>
        <w:rPr>
          <w:spacing w:val="-6"/>
          <w:sz w:val="18"/>
        </w:rPr>
        <w:t> </w:t>
      </w:r>
      <w:r>
        <w:rPr>
          <w:sz w:val="18"/>
        </w:rPr>
        <w:t>msf</w:t>
      </w:r>
      <w:r>
        <w:rPr>
          <w:spacing w:val="-6"/>
          <w:sz w:val="18"/>
        </w:rPr>
        <w:t> </w:t>
      </w:r>
      <w:r>
        <w:rPr>
          <w:sz w:val="18"/>
        </w:rPr>
        <w:t>is</w:t>
      </w:r>
      <w:r>
        <w:rPr>
          <w:spacing w:val="-7"/>
          <w:sz w:val="18"/>
        </w:rPr>
        <w:t> </w:t>
      </w:r>
      <w:r>
        <w:rPr>
          <w:sz w:val="18"/>
        </w:rPr>
        <w:t>under</w:t>
      </w:r>
      <w:r>
        <w:rPr>
          <w:spacing w:val="-8"/>
          <w:sz w:val="18"/>
        </w:rPr>
        <w:t> </w:t>
      </w:r>
      <w:r>
        <w:rPr>
          <w:sz w:val="18"/>
        </w:rPr>
        <w:t>construction</w:t>
      </w:r>
      <w:r>
        <w:rPr>
          <w:spacing w:val="-4"/>
          <w:sz w:val="18"/>
        </w:rPr>
        <w:t> </w:t>
      </w:r>
      <w:r>
        <w:rPr>
          <w:sz w:val="18"/>
        </w:rPr>
        <w:t>as</w:t>
      </w:r>
      <w:r>
        <w:rPr>
          <w:spacing w:val="-7"/>
          <w:sz w:val="18"/>
        </w:rPr>
        <w:t> </w:t>
      </w:r>
      <w:r>
        <w:rPr>
          <w:sz w:val="18"/>
        </w:rPr>
        <w:t>on</w:t>
      </w:r>
      <w:r>
        <w:rPr>
          <w:spacing w:val="-7"/>
          <w:sz w:val="18"/>
        </w:rPr>
        <w:t> </w:t>
      </w:r>
      <w:r>
        <w:rPr>
          <w:sz w:val="18"/>
        </w:rPr>
        <w:t>date</w:t>
      </w:r>
      <w:r>
        <w:rPr>
          <w:spacing w:val="-6"/>
          <w:sz w:val="18"/>
        </w:rPr>
        <w:t> </w:t>
      </w:r>
      <w:r>
        <w:rPr>
          <w:sz w:val="18"/>
        </w:rPr>
        <w:t>of valuation. Table below highlights the leasable area for individual blocks that form part of the subject development:</w:t>
      </w:r>
    </w:p>
    <w:p>
      <w:pPr>
        <w:pStyle w:val="BodyText"/>
        <w:spacing w:before="2" w:after="1"/>
        <w:rPr>
          <w:sz w:val="11"/>
        </w:rPr>
      </w:pPr>
    </w:p>
    <w:tbl>
      <w:tblPr>
        <w:tblW w:w="0" w:type="auto"/>
        <w:jc w:val="left"/>
        <w:tblInd w:w="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31"/>
        <w:gridCol w:w="1560"/>
        <w:gridCol w:w="1594"/>
        <w:gridCol w:w="1732"/>
      </w:tblGrid>
      <w:tr>
        <w:trPr>
          <w:trHeight w:val="650" w:hRule="atLeast"/>
        </w:trPr>
        <w:tc>
          <w:tcPr>
            <w:tcW w:w="3631" w:type="dxa"/>
            <w:tcBorders>
              <w:top w:val="single" w:sz="12" w:space="0" w:color="1F6B16"/>
              <w:bottom w:val="single" w:sz="6" w:space="0" w:color="69BD28"/>
            </w:tcBorders>
            <w:shd w:val="clear" w:color="auto" w:fill="006A4D"/>
          </w:tcPr>
          <w:p>
            <w:pPr>
              <w:pStyle w:val="TableParagraph"/>
              <w:spacing w:before="1"/>
              <w:jc w:val="left"/>
              <w:rPr>
                <w:sz w:val="19"/>
              </w:rPr>
            </w:pPr>
          </w:p>
          <w:p>
            <w:pPr>
              <w:pStyle w:val="TableParagraph"/>
              <w:ind w:left="69" w:right="174"/>
              <w:rPr>
                <w:b/>
                <w:sz w:val="18"/>
              </w:rPr>
            </w:pPr>
            <w:r>
              <w:rPr>
                <w:b/>
                <w:color w:val="FFFFFF"/>
                <w:w w:val="105"/>
                <w:sz w:val="18"/>
              </w:rPr>
              <w:t>Component</w:t>
            </w:r>
          </w:p>
        </w:tc>
        <w:tc>
          <w:tcPr>
            <w:tcW w:w="1560" w:type="dxa"/>
            <w:tcBorders>
              <w:top w:val="single" w:sz="12" w:space="0" w:color="1F6B16"/>
              <w:bottom w:val="single" w:sz="6" w:space="0" w:color="69BD28"/>
            </w:tcBorders>
            <w:shd w:val="clear" w:color="auto" w:fill="006A4D"/>
          </w:tcPr>
          <w:p>
            <w:pPr>
              <w:pStyle w:val="TableParagraph"/>
              <w:spacing w:line="216" w:lineRule="exact" w:before="2"/>
              <w:ind w:left="281" w:right="278" w:hanging="3"/>
              <w:rPr>
                <w:b/>
                <w:sz w:val="18"/>
              </w:rPr>
            </w:pPr>
            <w:r>
              <w:rPr>
                <w:b/>
                <w:color w:val="FFFFFF"/>
                <w:w w:val="105"/>
                <w:sz w:val="18"/>
              </w:rPr>
              <w:t>Completed Leasable area (in sf)</w:t>
            </w:r>
          </w:p>
        </w:tc>
        <w:tc>
          <w:tcPr>
            <w:tcW w:w="1594" w:type="dxa"/>
            <w:tcBorders>
              <w:top w:val="single" w:sz="12" w:space="0" w:color="1F6B16"/>
              <w:bottom w:val="single" w:sz="6" w:space="0" w:color="69BD28"/>
            </w:tcBorders>
            <w:shd w:val="clear" w:color="auto" w:fill="006A4D"/>
          </w:tcPr>
          <w:p>
            <w:pPr>
              <w:pStyle w:val="TableParagraph"/>
              <w:spacing w:line="216" w:lineRule="exact" w:before="2"/>
              <w:ind w:left="280" w:right="191" w:hanging="1"/>
              <w:rPr>
                <w:b/>
                <w:sz w:val="18"/>
              </w:rPr>
            </w:pPr>
            <w:r>
              <w:rPr>
                <w:b/>
                <w:color w:val="FFFFFF"/>
                <w:w w:val="105"/>
                <w:sz w:val="18"/>
              </w:rPr>
              <w:t>Under </w:t>
            </w:r>
            <w:r>
              <w:rPr>
                <w:b/>
                <w:color w:val="FFFFFF"/>
                <w:sz w:val="18"/>
              </w:rPr>
              <w:t>Construction </w:t>
            </w:r>
            <w:r>
              <w:rPr>
                <w:b/>
                <w:color w:val="FFFFFF"/>
                <w:w w:val="105"/>
                <w:sz w:val="18"/>
              </w:rPr>
              <w:t>area (in sf)</w:t>
            </w:r>
          </w:p>
        </w:tc>
        <w:tc>
          <w:tcPr>
            <w:tcW w:w="1732" w:type="dxa"/>
            <w:tcBorders>
              <w:top w:val="single" w:sz="12" w:space="0" w:color="1F6B16"/>
              <w:bottom w:val="single" w:sz="6" w:space="0" w:color="69BD28"/>
            </w:tcBorders>
            <w:shd w:val="clear" w:color="auto" w:fill="006A4D"/>
          </w:tcPr>
          <w:p>
            <w:pPr>
              <w:pStyle w:val="TableParagraph"/>
              <w:spacing w:line="216" w:lineRule="exact" w:before="2"/>
              <w:ind w:left="193" w:right="328" w:firstLine="2"/>
              <w:rPr>
                <w:b/>
                <w:sz w:val="18"/>
              </w:rPr>
            </w:pPr>
            <w:r>
              <w:rPr>
                <w:b/>
                <w:color w:val="FFFFFF"/>
                <w:w w:val="110"/>
                <w:sz w:val="18"/>
              </w:rPr>
              <w:t>Proposed </w:t>
            </w:r>
            <w:r>
              <w:rPr>
                <w:b/>
                <w:color w:val="FFFFFF"/>
                <w:w w:val="105"/>
                <w:sz w:val="18"/>
              </w:rPr>
              <w:t>Development </w:t>
            </w:r>
            <w:r>
              <w:rPr>
                <w:b/>
                <w:color w:val="FFFFFF"/>
                <w:w w:val="110"/>
                <w:sz w:val="18"/>
              </w:rPr>
              <w:t>area (in sf)</w:t>
            </w:r>
          </w:p>
        </w:tc>
      </w:tr>
      <w:tr>
        <w:trPr>
          <w:trHeight w:val="520" w:hRule="atLeast"/>
        </w:trPr>
        <w:tc>
          <w:tcPr>
            <w:tcW w:w="3631" w:type="dxa"/>
            <w:tcBorders>
              <w:top w:val="single" w:sz="6" w:space="0" w:color="69BD28"/>
              <w:bottom w:val="single" w:sz="6" w:space="0" w:color="69BD28"/>
            </w:tcBorders>
          </w:tcPr>
          <w:p>
            <w:pPr>
              <w:pStyle w:val="TableParagraph"/>
              <w:spacing w:before="123"/>
              <w:ind w:left="69" w:right="175"/>
              <w:rPr>
                <w:sz w:val="18"/>
              </w:rPr>
            </w:pPr>
            <w:r>
              <w:rPr>
                <w:sz w:val="18"/>
              </w:rPr>
              <w:t>Office</w:t>
            </w:r>
          </w:p>
        </w:tc>
        <w:tc>
          <w:tcPr>
            <w:tcW w:w="1560" w:type="dxa"/>
            <w:tcBorders>
              <w:top w:val="single" w:sz="6" w:space="0" w:color="69BD28"/>
              <w:bottom w:val="single" w:sz="6" w:space="0" w:color="69BD28"/>
            </w:tcBorders>
          </w:tcPr>
          <w:p>
            <w:pPr>
              <w:pStyle w:val="TableParagraph"/>
              <w:spacing w:before="123"/>
              <w:ind w:left="342" w:right="344"/>
              <w:rPr>
                <w:sz w:val="18"/>
              </w:rPr>
            </w:pPr>
            <w:r>
              <w:rPr>
                <w:w w:val="105"/>
                <w:sz w:val="18"/>
              </w:rPr>
              <w:t>2,151,630</w:t>
            </w:r>
          </w:p>
        </w:tc>
        <w:tc>
          <w:tcPr>
            <w:tcW w:w="1594" w:type="dxa"/>
            <w:tcBorders>
              <w:top w:val="single" w:sz="6" w:space="0" w:color="69BD28"/>
              <w:bottom w:val="single" w:sz="6" w:space="0" w:color="69BD28"/>
            </w:tcBorders>
          </w:tcPr>
          <w:p>
            <w:pPr>
              <w:pStyle w:val="TableParagraph"/>
              <w:spacing w:before="123"/>
              <w:ind w:left="468" w:right="386"/>
              <w:rPr>
                <w:sz w:val="18"/>
              </w:rPr>
            </w:pPr>
            <w:r>
              <w:rPr>
                <w:w w:val="110"/>
                <w:sz w:val="18"/>
              </w:rPr>
              <w:t>880,615</w:t>
            </w:r>
          </w:p>
        </w:tc>
        <w:tc>
          <w:tcPr>
            <w:tcW w:w="1732" w:type="dxa"/>
            <w:tcBorders>
              <w:top w:val="single" w:sz="6" w:space="0" w:color="69BD28"/>
              <w:bottom w:val="single" w:sz="6" w:space="0" w:color="69BD28"/>
            </w:tcBorders>
          </w:tcPr>
          <w:p>
            <w:pPr>
              <w:pStyle w:val="TableParagraph"/>
              <w:spacing w:before="123"/>
              <w:ind w:left="361" w:right="495"/>
              <w:rPr>
                <w:sz w:val="18"/>
              </w:rPr>
            </w:pPr>
            <w:r>
              <w:rPr>
                <w:w w:val="105"/>
                <w:sz w:val="18"/>
              </w:rPr>
              <w:t>2,392,587</w:t>
            </w:r>
          </w:p>
        </w:tc>
      </w:tr>
      <w:tr>
        <w:trPr>
          <w:trHeight w:val="520" w:hRule="atLeast"/>
        </w:trPr>
        <w:tc>
          <w:tcPr>
            <w:tcW w:w="3631" w:type="dxa"/>
            <w:tcBorders>
              <w:top w:val="single" w:sz="6" w:space="0" w:color="69BD28"/>
              <w:bottom w:val="single" w:sz="6" w:space="0" w:color="69BD28"/>
            </w:tcBorders>
          </w:tcPr>
          <w:p>
            <w:pPr>
              <w:pStyle w:val="TableParagraph"/>
              <w:spacing w:before="123"/>
              <w:ind w:left="69" w:right="177"/>
              <w:rPr>
                <w:sz w:val="18"/>
              </w:rPr>
            </w:pPr>
            <w:r>
              <w:rPr>
                <w:sz w:val="18"/>
              </w:rPr>
              <w:t>Other </w:t>
            </w:r>
            <w:r>
              <w:rPr>
                <w:w w:val="130"/>
                <w:sz w:val="18"/>
              </w:rPr>
              <w:t>~ </w:t>
            </w:r>
            <w:r>
              <w:rPr>
                <w:sz w:val="18"/>
              </w:rPr>
              <w:t>Food court, training centre, etc.</w:t>
            </w:r>
          </w:p>
        </w:tc>
        <w:tc>
          <w:tcPr>
            <w:tcW w:w="1560" w:type="dxa"/>
            <w:tcBorders>
              <w:top w:val="single" w:sz="6" w:space="0" w:color="69BD28"/>
              <w:bottom w:val="single" w:sz="6" w:space="0" w:color="69BD28"/>
            </w:tcBorders>
          </w:tcPr>
          <w:p>
            <w:pPr>
              <w:pStyle w:val="TableParagraph"/>
              <w:spacing w:before="123"/>
              <w:ind w:left="342" w:right="343"/>
              <w:rPr>
                <w:sz w:val="18"/>
              </w:rPr>
            </w:pPr>
            <w:r>
              <w:rPr>
                <w:w w:val="105"/>
                <w:sz w:val="18"/>
              </w:rPr>
              <w:t>8,425</w:t>
            </w:r>
          </w:p>
        </w:tc>
        <w:tc>
          <w:tcPr>
            <w:tcW w:w="1594" w:type="dxa"/>
            <w:tcBorders>
              <w:top w:val="single" w:sz="6" w:space="0" w:color="69BD28"/>
              <w:bottom w:val="single" w:sz="6" w:space="0" w:color="69BD28"/>
            </w:tcBorders>
          </w:tcPr>
          <w:p>
            <w:pPr>
              <w:pStyle w:val="TableParagraph"/>
              <w:spacing w:before="123"/>
              <w:ind w:left="88"/>
              <w:rPr>
                <w:sz w:val="18"/>
              </w:rPr>
            </w:pPr>
            <w:r>
              <w:rPr>
                <w:w w:val="99"/>
                <w:sz w:val="18"/>
              </w:rPr>
              <w:t>-</w:t>
            </w:r>
          </w:p>
        </w:tc>
        <w:tc>
          <w:tcPr>
            <w:tcW w:w="1732" w:type="dxa"/>
            <w:tcBorders>
              <w:top w:val="single" w:sz="6" w:space="0" w:color="69BD28"/>
              <w:bottom w:val="single" w:sz="6" w:space="0" w:color="69BD28"/>
            </w:tcBorders>
          </w:tcPr>
          <w:p>
            <w:pPr>
              <w:pStyle w:val="TableParagraph"/>
              <w:spacing w:before="123"/>
              <w:ind w:left="359" w:right="495"/>
              <w:rPr>
                <w:sz w:val="18"/>
              </w:rPr>
            </w:pPr>
            <w:r>
              <w:rPr>
                <w:w w:val="110"/>
                <w:sz w:val="18"/>
              </w:rPr>
              <w:t>39,689</w:t>
            </w:r>
          </w:p>
        </w:tc>
      </w:tr>
      <w:tr>
        <w:trPr>
          <w:trHeight w:val="301" w:hRule="atLeast"/>
        </w:trPr>
        <w:tc>
          <w:tcPr>
            <w:tcW w:w="3631" w:type="dxa"/>
            <w:tcBorders>
              <w:top w:val="single" w:sz="6" w:space="0" w:color="69BD28"/>
              <w:bottom w:val="single" w:sz="6" w:space="0" w:color="69BD28"/>
            </w:tcBorders>
          </w:tcPr>
          <w:p>
            <w:pPr>
              <w:pStyle w:val="TableParagraph"/>
              <w:spacing w:before="13"/>
              <w:ind w:left="69" w:right="176"/>
              <w:rPr>
                <w:sz w:val="18"/>
              </w:rPr>
            </w:pPr>
            <w:r>
              <w:rPr>
                <w:sz w:val="18"/>
              </w:rPr>
              <w:t>Total</w:t>
            </w:r>
          </w:p>
        </w:tc>
        <w:tc>
          <w:tcPr>
            <w:tcW w:w="1560" w:type="dxa"/>
            <w:tcBorders>
              <w:top w:val="single" w:sz="6" w:space="0" w:color="69BD28"/>
              <w:bottom w:val="single" w:sz="6" w:space="0" w:color="69BD28"/>
            </w:tcBorders>
          </w:tcPr>
          <w:p>
            <w:pPr>
              <w:pStyle w:val="TableParagraph"/>
              <w:spacing w:before="13"/>
              <w:ind w:left="342" w:right="343"/>
              <w:rPr>
                <w:sz w:val="18"/>
              </w:rPr>
            </w:pPr>
            <w:r>
              <w:rPr>
                <w:w w:val="105"/>
                <w:sz w:val="18"/>
              </w:rPr>
              <w:t>2,160,055</w:t>
            </w:r>
          </w:p>
        </w:tc>
        <w:tc>
          <w:tcPr>
            <w:tcW w:w="1594" w:type="dxa"/>
            <w:tcBorders>
              <w:top w:val="single" w:sz="6" w:space="0" w:color="69BD28"/>
              <w:bottom w:val="single" w:sz="6" w:space="0" w:color="69BD28"/>
            </w:tcBorders>
          </w:tcPr>
          <w:p>
            <w:pPr>
              <w:pStyle w:val="TableParagraph"/>
              <w:spacing w:before="13"/>
              <w:ind w:left="470" w:right="385"/>
              <w:rPr>
                <w:sz w:val="18"/>
              </w:rPr>
            </w:pPr>
            <w:r>
              <w:rPr>
                <w:w w:val="110"/>
                <w:sz w:val="18"/>
              </w:rPr>
              <w:t>880,615</w:t>
            </w:r>
          </w:p>
        </w:tc>
        <w:tc>
          <w:tcPr>
            <w:tcW w:w="1732" w:type="dxa"/>
            <w:tcBorders>
              <w:top w:val="single" w:sz="6" w:space="0" w:color="69BD28"/>
              <w:bottom w:val="single" w:sz="6" w:space="0" w:color="69BD28"/>
            </w:tcBorders>
          </w:tcPr>
          <w:p>
            <w:pPr>
              <w:pStyle w:val="TableParagraph"/>
              <w:spacing w:before="13"/>
              <w:ind w:left="362" w:right="494"/>
              <w:rPr>
                <w:sz w:val="18"/>
              </w:rPr>
            </w:pPr>
            <w:r>
              <w:rPr>
                <w:w w:val="105"/>
                <w:sz w:val="18"/>
              </w:rPr>
              <w:t>2,432,276</w:t>
            </w:r>
          </w:p>
        </w:tc>
      </w:tr>
    </w:tbl>
    <w:p>
      <w:pPr>
        <w:spacing w:before="116"/>
        <w:ind w:left="287" w:right="0" w:firstLine="0"/>
        <w:jc w:val="both"/>
        <w:rPr>
          <w:sz w:val="18"/>
        </w:rPr>
      </w:pPr>
      <w:r>
        <w:rPr>
          <w:sz w:val="18"/>
        </w:rPr>
        <w:t>Source: Rent roll, lease deeds, architect certificate provided by the Client</w:t>
      </w:r>
    </w:p>
    <w:p>
      <w:pPr>
        <w:spacing w:after="0"/>
        <w:jc w:val="both"/>
        <w:rPr>
          <w:sz w:val="18"/>
        </w:rPr>
        <w:sectPr>
          <w:type w:val="continuous"/>
          <w:pgSz w:w="11910" w:h="16840"/>
          <w:pgMar w:top="800" w:bottom="280" w:left="440" w:right="80"/>
          <w:cols w:num="2" w:equalWidth="0">
            <w:col w:w="1897" w:space="40"/>
            <w:col w:w="9453"/>
          </w:cols>
        </w:sectPr>
      </w:pPr>
    </w:p>
    <w:p>
      <w:pPr>
        <w:pStyle w:val="BodyText"/>
        <w:rPr>
          <w:sz w:val="20"/>
        </w:rPr>
      </w:pPr>
    </w:p>
    <w:p>
      <w:pPr>
        <w:pStyle w:val="BodyText"/>
        <w:spacing w:before="7"/>
      </w:pPr>
    </w:p>
    <w:p>
      <w:pPr>
        <w:spacing w:line="321" w:lineRule="auto" w:before="1"/>
        <w:ind w:left="392" w:right="9985" w:firstLine="0"/>
        <w:jc w:val="left"/>
        <w:rPr>
          <w:sz w:val="18"/>
        </w:rPr>
      </w:pPr>
      <w:r>
        <w:rPr/>
        <w:pict>
          <v:shape style="position:absolute;margin-left:133.220001pt;margin-top:-6.139346pt;width:425.15pt;height:77.55pt;mso-position-horizontal-relative:page;mso-position-vertical-relative:paragraph;z-index:158458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57"/>
                    <w:gridCol w:w="2985"/>
                    <w:gridCol w:w="3160"/>
                  </w:tblGrid>
                  <w:tr>
                    <w:trPr>
                      <w:trHeight w:val="671" w:hRule="atLeast"/>
                    </w:trPr>
                    <w:tc>
                      <w:tcPr>
                        <w:tcW w:w="2357" w:type="dxa"/>
                        <w:tcBorders>
                          <w:top w:val="single" w:sz="6" w:space="0" w:color="69BD28"/>
                          <w:bottom w:val="single" w:sz="6" w:space="0" w:color="69BD28"/>
                        </w:tcBorders>
                        <w:shd w:val="clear" w:color="auto" w:fill="006A4D"/>
                      </w:tcPr>
                      <w:p>
                        <w:pPr>
                          <w:pStyle w:val="TableParagraph"/>
                          <w:spacing w:before="10"/>
                          <w:jc w:val="left"/>
                          <w:rPr>
                            <w:sz w:val="19"/>
                          </w:rPr>
                        </w:pPr>
                      </w:p>
                      <w:p>
                        <w:pPr>
                          <w:pStyle w:val="TableParagraph"/>
                          <w:spacing w:before="1"/>
                          <w:ind w:left="251" w:right="252"/>
                          <w:rPr>
                            <w:b/>
                            <w:sz w:val="18"/>
                          </w:rPr>
                        </w:pPr>
                        <w:r>
                          <w:rPr>
                            <w:b/>
                            <w:color w:val="FFFFFF"/>
                            <w:w w:val="110"/>
                            <w:sz w:val="18"/>
                          </w:rPr>
                          <w:t>Valuation Approach</w:t>
                        </w:r>
                      </w:p>
                    </w:tc>
                    <w:tc>
                      <w:tcPr>
                        <w:tcW w:w="2985" w:type="dxa"/>
                        <w:tcBorders>
                          <w:top w:val="single" w:sz="6" w:space="0" w:color="69BD28"/>
                          <w:bottom w:val="single" w:sz="6" w:space="0" w:color="69BD28"/>
                        </w:tcBorders>
                        <w:shd w:val="clear" w:color="auto" w:fill="006A4D"/>
                      </w:tcPr>
                      <w:p>
                        <w:pPr>
                          <w:pStyle w:val="TableParagraph"/>
                          <w:spacing w:before="10"/>
                          <w:jc w:val="left"/>
                          <w:rPr>
                            <w:sz w:val="19"/>
                          </w:rPr>
                        </w:pPr>
                      </w:p>
                      <w:p>
                        <w:pPr>
                          <w:pStyle w:val="TableParagraph"/>
                          <w:spacing w:before="1"/>
                          <w:ind w:left="716"/>
                          <w:jc w:val="left"/>
                          <w:rPr>
                            <w:b/>
                            <w:sz w:val="18"/>
                          </w:rPr>
                        </w:pPr>
                        <w:r>
                          <w:rPr>
                            <w:b/>
                            <w:color w:val="FFFFFF"/>
                            <w:w w:val="110"/>
                            <w:sz w:val="18"/>
                          </w:rPr>
                          <w:t>Completed Blocks</w:t>
                        </w:r>
                      </w:p>
                    </w:tc>
                    <w:tc>
                      <w:tcPr>
                        <w:tcW w:w="3160" w:type="dxa"/>
                        <w:tcBorders>
                          <w:top w:val="single" w:sz="6" w:space="0" w:color="69BD28"/>
                          <w:bottom w:val="single" w:sz="6" w:space="0" w:color="69BD28"/>
                        </w:tcBorders>
                        <w:shd w:val="clear" w:color="auto" w:fill="006A4D"/>
                      </w:tcPr>
                      <w:p>
                        <w:pPr>
                          <w:pStyle w:val="TableParagraph"/>
                          <w:spacing w:line="247" w:lineRule="auto" w:before="123"/>
                          <w:ind w:left="1319" w:right="102" w:hanging="1080"/>
                          <w:jc w:val="left"/>
                          <w:rPr>
                            <w:b/>
                            <w:sz w:val="18"/>
                          </w:rPr>
                        </w:pPr>
                        <w:r>
                          <w:rPr>
                            <w:b/>
                            <w:color w:val="FFFFFF"/>
                            <w:w w:val="110"/>
                            <w:sz w:val="18"/>
                          </w:rPr>
                          <w:t>Under Construction/ Proposed Blocks</w:t>
                        </w:r>
                      </w:p>
                    </w:tc>
                  </w:tr>
                  <w:tr>
                    <w:trPr>
                      <w:trHeight w:val="834" w:hRule="atLeast"/>
                    </w:trPr>
                    <w:tc>
                      <w:tcPr>
                        <w:tcW w:w="2357" w:type="dxa"/>
                        <w:shd w:val="clear" w:color="auto" w:fill="69BD28"/>
                      </w:tcPr>
                      <w:p>
                        <w:pPr>
                          <w:pStyle w:val="TableParagraph"/>
                          <w:spacing w:before="11"/>
                          <w:jc w:val="left"/>
                          <w:rPr>
                            <w:sz w:val="26"/>
                          </w:rPr>
                        </w:pPr>
                      </w:p>
                      <w:p>
                        <w:pPr>
                          <w:pStyle w:val="TableParagraph"/>
                          <w:ind w:left="251" w:right="251"/>
                          <w:rPr>
                            <w:b/>
                            <w:sz w:val="18"/>
                          </w:rPr>
                        </w:pPr>
                        <w:r>
                          <w:rPr>
                            <w:b/>
                            <w:color w:val="FFFFFF"/>
                            <w:w w:val="105"/>
                            <w:sz w:val="18"/>
                          </w:rPr>
                          <w:t>Office Component</w:t>
                        </w:r>
                      </w:p>
                    </w:tc>
                    <w:tc>
                      <w:tcPr>
                        <w:tcW w:w="2985" w:type="dxa"/>
                        <w:tcBorders>
                          <w:top w:val="single" w:sz="6" w:space="0" w:color="69BD28"/>
                          <w:bottom w:val="single" w:sz="6" w:space="0" w:color="69BD28"/>
                        </w:tcBorders>
                      </w:tcPr>
                      <w:p>
                        <w:pPr>
                          <w:pStyle w:val="TableParagraph"/>
                          <w:spacing w:before="7"/>
                          <w:jc w:val="left"/>
                          <w:rPr>
                            <w:sz w:val="17"/>
                          </w:rPr>
                        </w:pPr>
                      </w:p>
                      <w:p>
                        <w:pPr>
                          <w:pStyle w:val="TableParagraph"/>
                          <w:spacing w:line="247" w:lineRule="auto"/>
                          <w:ind w:left="293" w:right="140" w:firstLine="26"/>
                          <w:jc w:val="left"/>
                          <w:rPr>
                            <w:sz w:val="18"/>
                          </w:rPr>
                        </w:pPr>
                        <w:r>
                          <w:rPr>
                            <w:sz w:val="18"/>
                          </w:rPr>
                          <w:t>Discounted Cash Flow Method (using rent reversion approach)</w:t>
                        </w:r>
                      </w:p>
                    </w:tc>
                    <w:tc>
                      <w:tcPr>
                        <w:tcW w:w="3160" w:type="dxa"/>
                        <w:tcBorders>
                          <w:top w:val="single" w:sz="6" w:space="0" w:color="69BD28"/>
                          <w:bottom w:val="single" w:sz="6" w:space="0" w:color="69BD28"/>
                        </w:tcBorders>
                      </w:tcPr>
                      <w:p>
                        <w:pPr>
                          <w:pStyle w:val="TableParagraph"/>
                          <w:spacing w:before="7"/>
                          <w:jc w:val="left"/>
                          <w:rPr>
                            <w:sz w:val="17"/>
                          </w:rPr>
                        </w:pPr>
                      </w:p>
                      <w:p>
                        <w:pPr>
                          <w:pStyle w:val="TableParagraph"/>
                          <w:spacing w:line="247" w:lineRule="auto"/>
                          <w:ind w:left="381" w:right="227" w:firstLine="26"/>
                          <w:jc w:val="left"/>
                          <w:rPr>
                            <w:sz w:val="18"/>
                          </w:rPr>
                        </w:pPr>
                        <w:r>
                          <w:rPr>
                            <w:sz w:val="18"/>
                          </w:rPr>
                          <w:t>Discounted Cash Flow Method (using rent reversion approach)</w:t>
                        </w:r>
                      </w:p>
                    </w:tc>
                  </w:tr>
                </w:tbl>
                <w:p>
                  <w:pPr>
                    <w:pStyle w:val="BodyText"/>
                  </w:pPr>
                </w:p>
              </w:txbxContent>
            </v:textbox>
            <w10:wrap type="none"/>
          </v:shape>
        </w:pict>
      </w:r>
      <w:r>
        <w:rPr>
          <w:color w:val="006A4D"/>
          <w:sz w:val="18"/>
        </w:rPr>
        <w:t>Valuation Approaches:</w:t>
      </w:r>
    </w:p>
    <w:p>
      <w:pPr>
        <w:pStyle w:val="BodyText"/>
      </w:pPr>
    </w:p>
    <w:p>
      <w:pPr>
        <w:pStyle w:val="BodyText"/>
      </w:pPr>
    </w:p>
    <w:p>
      <w:pPr>
        <w:pStyle w:val="BodyText"/>
      </w:pPr>
    </w:p>
    <w:p>
      <w:pPr>
        <w:pStyle w:val="BodyText"/>
        <w:spacing w:before="1"/>
        <w:rPr>
          <w:sz w:val="20"/>
        </w:rPr>
      </w:pPr>
    </w:p>
    <w:p>
      <w:pPr>
        <w:tabs>
          <w:tab w:pos="2224" w:val="left" w:leader="none"/>
        </w:tabs>
        <w:spacing w:before="0"/>
        <w:ind w:left="392" w:right="0" w:firstLine="0"/>
        <w:jc w:val="left"/>
        <w:rPr>
          <w:sz w:val="18"/>
        </w:rPr>
      </w:pPr>
      <w:r>
        <w:rPr>
          <w:color w:val="006A4D"/>
          <w:sz w:val="18"/>
        </w:rPr>
        <w:t>Date</w:t>
      </w:r>
      <w:r>
        <w:rPr>
          <w:color w:val="006A4D"/>
          <w:spacing w:val="-14"/>
          <w:sz w:val="18"/>
        </w:rPr>
        <w:t> </w:t>
      </w:r>
      <w:r>
        <w:rPr>
          <w:color w:val="006A4D"/>
          <w:sz w:val="18"/>
        </w:rPr>
        <w:t>of</w:t>
      </w:r>
      <w:r>
        <w:rPr>
          <w:color w:val="006A4D"/>
          <w:spacing w:val="-13"/>
          <w:sz w:val="18"/>
        </w:rPr>
        <w:t> </w:t>
      </w:r>
      <w:r>
        <w:rPr>
          <w:color w:val="006A4D"/>
          <w:sz w:val="18"/>
        </w:rPr>
        <w:t>Valuation:</w:t>
        <w:tab/>
      </w:r>
      <w:r>
        <w:rPr>
          <w:sz w:val="18"/>
        </w:rPr>
        <w:t>March 31,</w:t>
      </w:r>
      <w:r>
        <w:rPr>
          <w:spacing w:val="-1"/>
          <w:sz w:val="18"/>
        </w:rPr>
        <w:t> </w:t>
      </w:r>
      <w:r>
        <w:rPr>
          <w:sz w:val="18"/>
        </w:rPr>
        <w:t>2020</w:t>
      </w:r>
    </w:p>
    <w:p>
      <w:pPr>
        <w:pStyle w:val="BodyText"/>
        <w:spacing w:before="8"/>
        <w:rPr>
          <w:sz w:val="27"/>
        </w:rPr>
      </w:pPr>
    </w:p>
    <w:p>
      <w:pPr>
        <w:spacing w:line="321" w:lineRule="auto" w:before="0"/>
        <w:ind w:left="2224" w:right="660" w:hanging="1832"/>
        <w:jc w:val="both"/>
        <w:rPr>
          <w:sz w:val="18"/>
        </w:rPr>
      </w:pPr>
      <w:r>
        <w:rPr>
          <w:color w:val="006A4D"/>
          <w:sz w:val="18"/>
        </w:rPr>
        <w:t>Date of Inspection: </w:t>
      </w:r>
      <w:r>
        <w:rPr>
          <w:sz w:val="18"/>
        </w:rPr>
        <w:t>Not Applicable. Due to the outbreak of Novel Coronavirus (COVID-19), declared by the World health Organisation as a “Global Pandemic” on 11</w:t>
      </w:r>
      <w:r>
        <w:rPr>
          <w:position w:val="6"/>
          <w:sz w:val="11"/>
        </w:rPr>
        <w:t>th </w:t>
      </w:r>
      <w:r>
        <w:rPr>
          <w:sz w:val="18"/>
        </w:rPr>
        <w:t>March 2020, it has not been possible to carry out a formal inspection</w:t>
      </w:r>
      <w:r>
        <w:rPr>
          <w:spacing w:val="-12"/>
          <w:sz w:val="18"/>
        </w:rPr>
        <w:t> </w:t>
      </w:r>
      <w:r>
        <w:rPr>
          <w:sz w:val="18"/>
        </w:rPr>
        <w:t>of</w:t>
      </w:r>
      <w:r>
        <w:rPr>
          <w:spacing w:val="-10"/>
          <w:sz w:val="18"/>
        </w:rPr>
        <w:t> </w:t>
      </w:r>
      <w:r>
        <w:rPr>
          <w:sz w:val="18"/>
        </w:rPr>
        <w:t>the</w:t>
      </w:r>
      <w:r>
        <w:rPr>
          <w:spacing w:val="-11"/>
          <w:sz w:val="18"/>
        </w:rPr>
        <w:t> </w:t>
      </w:r>
      <w:r>
        <w:rPr>
          <w:sz w:val="18"/>
        </w:rPr>
        <w:t>property</w:t>
      </w:r>
      <w:r>
        <w:rPr>
          <w:spacing w:val="-9"/>
          <w:sz w:val="18"/>
        </w:rPr>
        <w:t> </w:t>
      </w:r>
      <w:r>
        <w:rPr>
          <w:sz w:val="18"/>
        </w:rPr>
        <w:t>for</w:t>
      </w:r>
      <w:r>
        <w:rPr>
          <w:spacing w:val="-11"/>
          <w:sz w:val="18"/>
        </w:rPr>
        <w:t> </w:t>
      </w:r>
      <w:r>
        <w:rPr>
          <w:sz w:val="18"/>
        </w:rPr>
        <w:t>the</w:t>
      </w:r>
      <w:r>
        <w:rPr>
          <w:spacing w:val="-10"/>
          <w:sz w:val="18"/>
        </w:rPr>
        <w:t> </w:t>
      </w:r>
      <w:r>
        <w:rPr>
          <w:sz w:val="18"/>
        </w:rPr>
        <w:t>current</w:t>
      </w:r>
      <w:r>
        <w:rPr>
          <w:spacing w:val="-11"/>
          <w:sz w:val="18"/>
        </w:rPr>
        <w:t> </w:t>
      </w:r>
      <w:r>
        <w:rPr>
          <w:sz w:val="18"/>
        </w:rPr>
        <w:t>update.</w:t>
      </w:r>
      <w:r>
        <w:rPr>
          <w:spacing w:val="-9"/>
          <w:sz w:val="18"/>
        </w:rPr>
        <w:t> </w:t>
      </w:r>
      <w:r>
        <w:rPr>
          <w:sz w:val="18"/>
        </w:rPr>
        <w:t>The</w:t>
      </w:r>
      <w:r>
        <w:rPr>
          <w:spacing w:val="-10"/>
          <w:sz w:val="18"/>
        </w:rPr>
        <w:t> </w:t>
      </w:r>
      <w:r>
        <w:rPr>
          <w:sz w:val="18"/>
        </w:rPr>
        <w:t>site</w:t>
      </w:r>
      <w:r>
        <w:rPr>
          <w:spacing w:val="-11"/>
          <w:sz w:val="18"/>
        </w:rPr>
        <w:t> </w:t>
      </w:r>
      <w:r>
        <w:rPr>
          <w:sz w:val="18"/>
        </w:rPr>
        <w:t>observation,</w:t>
      </w:r>
      <w:r>
        <w:rPr>
          <w:spacing w:val="-11"/>
          <w:sz w:val="18"/>
        </w:rPr>
        <w:t> </w:t>
      </w:r>
      <w:r>
        <w:rPr>
          <w:sz w:val="18"/>
        </w:rPr>
        <w:t>details</w:t>
      </w:r>
      <w:r>
        <w:rPr>
          <w:spacing w:val="-9"/>
          <w:sz w:val="18"/>
        </w:rPr>
        <w:t> </w:t>
      </w:r>
      <w:r>
        <w:rPr>
          <w:sz w:val="18"/>
        </w:rPr>
        <w:t>and</w:t>
      </w:r>
      <w:r>
        <w:rPr>
          <w:spacing w:val="-11"/>
          <w:sz w:val="18"/>
        </w:rPr>
        <w:t> </w:t>
      </w:r>
      <w:r>
        <w:rPr>
          <w:sz w:val="18"/>
        </w:rPr>
        <w:t>pictures</w:t>
      </w:r>
      <w:r>
        <w:rPr>
          <w:spacing w:val="-11"/>
          <w:sz w:val="18"/>
        </w:rPr>
        <w:t> </w:t>
      </w:r>
      <w:r>
        <w:rPr>
          <w:sz w:val="18"/>
        </w:rPr>
        <w:t>are</w:t>
      </w:r>
      <w:r>
        <w:rPr>
          <w:spacing w:val="-10"/>
          <w:sz w:val="18"/>
        </w:rPr>
        <w:t> </w:t>
      </w:r>
      <w:r>
        <w:rPr>
          <w:sz w:val="18"/>
        </w:rPr>
        <w:t>as</w:t>
      </w:r>
      <w:r>
        <w:rPr>
          <w:spacing w:val="-11"/>
          <w:sz w:val="18"/>
        </w:rPr>
        <w:t> </w:t>
      </w:r>
      <w:r>
        <w:rPr>
          <w:sz w:val="18"/>
        </w:rPr>
        <w:t>per</w:t>
      </w:r>
      <w:r>
        <w:rPr>
          <w:spacing w:val="-11"/>
          <w:sz w:val="18"/>
        </w:rPr>
        <w:t> </w:t>
      </w:r>
      <w:r>
        <w:rPr>
          <w:sz w:val="18"/>
        </w:rPr>
        <w:t>the previous site visit undertaken/ as provided by the</w:t>
      </w:r>
      <w:r>
        <w:rPr>
          <w:spacing w:val="-39"/>
          <w:sz w:val="18"/>
        </w:rPr>
        <w:t> </w:t>
      </w:r>
      <w:r>
        <w:rPr>
          <w:sz w:val="18"/>
        </w:rPr>
        <w:t>Client</w:t>
      </w:r>
    </w:p>
    <w:p>
      <w:pPr>
        <w:pStyle w:val="BodyText"/>
        <w:spacing w:before="9"/>
        <w:rPr>
          <w:sz w:val="12"/>
        </w:rPr>
      </w:pPr>
    </w:p>
    <w:p>
      <w:pPr>
        <w:spacing w:after="0"/>
        <w:rPr>
          <w:sz w:val="12"/>
        </w:rPr>
        <w:sectPr>
          <w:pgSz w:w="11910" w:h="16840"/>
          <w:pgMar w:header="720" w:footer="842" w:top="1520" w:bottom="1040" w:left="440" w:right="80"/>
        </w:sectPr>
      </w:pPr>
    </w:p>
    <w:p>
      <w:pPr>
        <w:spacing w:line="321" w:lineRule="auto" w:before="105"/>
        <w:ind w:left="392" w:right="-12" w:firstLine="0"/>
        <w:jc w:val="left"/>
        <w:rPr>
          <w:sz w:val="18"/>
        </w:rPr>
      </w:pPr>
      <w:r>
        <w:rPr>
          <w:color w:val="006A4D"/>
          <w:sz w:val="18"/>
        </w:rPr>
        <w:t>Purchase</w:t>
      </w:r>
      <w:r>
        <w:rPr>
          <w:color w:val="006A4D"/>
          <w:spacing w:val="-34"/>
          <w:sz w:val="18"/>
        </w:rPr>
        <w:t> </w:t>
      </w:r>
      <w:r>
        <w:rPr>
          <w:color w:val="006A4D"/>
          <w:sz w:val="18"/>
        </w:rPr>
        <w:t>Price</w:t>
      </w:r>
      <w:r>
        <w:rPr>
          <w:color w:val="006A4D"/>
          <w:spacing w:val="-35"/>
          <w:sz w:val="18"/>
        </w:rPr>
        <w:t> </w:t>
      </w:r>
      <w:r>
        <w:rPr>
          <w:color w:val="006A4D"/>
          <w:spacing w:val="-4"/>
          <w:sz w:val="18"/>
        </w:rPr>
        <w:t>for </w:t>
      </w:r>
      <w:r>
        <w:rPr>
          <w:color w:val="006A4D"/>
          <w:sz w:val="18"/>
        </w:rPr>
        <w:t>the</w:t>
      </w:r>
      <w:r>
        <w:rPr>
          <w:color w:val="006A4D"/>
          <w:spacing w:val="-11"/>
          <w:sz w:val="18"/>
        </w:rPr>
        <w:t> </w:t>
      </w:r>
      <w:r>
        <w:rPr>
          <w:color w:val="006A4D"/>
          <w:sz w:val="18"/>
        </w:rPr>
        <w:t>property:</w:t>
      </w:r>
    </w:p>
    <w:p>
      <w:pPr>
        <w:spacing w:before="105"/>
        <w:ind w:left="392" w:right="0" w:firstLine="0"/>
        <w:jc w:val="left"/>
        <w:rPr>
          <w:sz w:val="18"/>
        </w:rPr>
      </w:pPr>
      <w:r>
        <w:rPr/>
        <w:br w:type="column"/>
      </w:r>
      <w:r>
        <w:rPr>
          <w:sz w:val="18"/>
        </w:rPr>
        <w:t>The said acquisition was undertaken as part of the ‘Formation Transaction’ as described in the Final Offer</w:t>
      </w:r>
    </w:p>
    <w:p>
      <w:pPr>
        <w:spacing w:before="71"/>
        <w:ind w:left="392" w:right="0" w:firstLine="0"/>
        <w:jc w:val="left"/>
        <w:rPr>
          <w:sz w:val="18"/>
        </w:rPr>
      </w:pPr>
      <w:r>
        <w:rPr>
          <w:sz w:val="18"/>
        </w:rPr>
        <w:t>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1792" w:space="40"/>
            <w:col w:w="9558"/>
          </w:cols>
        </w:sectPr>
      </w:pPr>
    </w:p>
    <w:p>
      <w:pPr>
        <w:pStyle w:val="BodyText"/>
        <w:spacing w:before="7"/>
        <w:rPr>
          <w:sz w:val="12"/>
        </w:rPr>
      </w:pPr>
    </w:p>
    <w:p>
      <w:pPr>
        <w:spacing w:after="0"/>
        <w:rPr>
          <w:sz w:val="12"/>
        </w:rPr>
        <w:sectPr>
          <w:type w:val="continuous"/>
          <w:pgSz w:w="11910" w:h="16840"/>
          <w:pgMar w:top="800" w:bottom="280" w:left="440" w:right="80"/>
        </w:sectPr>
      </w:pPr>
    </w:p>
    <w:p>
      <w:pPr>
        <w:spacing w:line="321" w:lineRule="auto" w:before="104"/>
        <w:ind w:left="392" w:right="86" w:firstLine="0"/>
        <w:jc w:val="left"/>
        <w:rPr>
          <w:sz w:val="18"/>
        </w:rPr>
      </w:pPr>
      <w:r>
        <w:rPr>
          <w:color w:val="006A4D"/>
          <w:sz w:val="18"/>
        </w:rPr>
        <w:t>Ready Reckoner Rate (as per documents published by State Government):</w:t>
      </w:r>
    </w:p>
    <w:p>
      <w:pPr>
        <w:pStyle w:val="BodyText"/>
        <w:spacing w:before="7"/>
        <w:rPr>
          <w:sz w:val="21"/>
        </w:rPr>
      </w:pPr>
    </w:p>
    <w:p>
      <w:pPr>
        <w:spacing w:line="324" w:lineRule="auto" w:before="0"/>
        <w:ind w:left="392" w:right="-10" w:firstLine="0"/>
        <w:jc w:val="left"/>
        <w:rPr>
          <w:sz w:val="18"/>
        </w:rPr>
      </w:pPr>
      <w:r>
        <w:rPr>
          <w:color w:val="006A4D"/>
          <w:sz w:val="18"/>
        </w:rPr>
        <w:t>Value Conclusion as of March 31, 2020:</w:t>
      </w:r>
    </w:p>
    <w:p>
      <w:pPr>
        <w:pStyle w:val="BodyText"/>
      </w:pPr>
    </w:p>
    <w:p>
      <w:pPr>
        <w:pStyle w:val="BodyText"/>
      </w:pPr>
    </w:p>
    <w:p>
      <w:pPr>
        <w:pStyle w:val="BodyText"/>
      </w:pPr>
    </w:p>
    <w:p>
      <w:pPr>
        <w:pStyle w:val="BodyText"/>
      </w:pPr>
    </w:p>
    <w:p>
      <w:pPr>
        <w:pStyle w:val="BodyText"/>
        <w:spacing w:before="11"/>
        <w:rPr>
          <w:sz w:val="32"/>
        </w:rPr>
      </w:pPr>
    </w:p>
    <w:p>
      <w:pPr>
        <w:spacing w:line="321" w:lineRule="auto" w:before="0"/>
        <w:ind w:left="392" w:right="498" w:firstLine="0"/>
        <w:jc w:val="left"/>
        <w:rPr>
          <w:sz w:val="18"/>
        </w:rPr>
      </w:pPr>
      <w:r>
        <w:rPr>
          <w:color w:val="006A4D"/>
          <w:sz w:val="18"/>
        </w:rPr>
        <w:t>Assumptions, Disclaimers, Limitations &amp; </w:t>
      </w:r>
      <w:r>
        <w:rPr>
          <w:color w:val="006A4D"/>
          <w:w w:val="95"/>
          <w:sz w:val="18"/>
        </w:rPr>
        <w:t>Qualifications</w:t>
      </w:r>
    </w:p>
    <w:p>
      <w:pPr>
        <w:spacing w:line="458" w:lineRule="auto" w:before="104"/>
        <w:ind w:left="193" w:right="6393" w:firstLine="0"/>
        <w:jc w:val="left"/>
        <w:rPr>
          <w:sz w:val="18"/>
        </w:rPr>
      </w:pPr>
      <w:r>
        <w:rPr/>
        <w:br w:type="column"/>
      </w:r>
      <w:r>
        <w:rPr>
          <w:sz w:val="18"/>
        </w:rPr>
        <w:t>Land Rate: INR 17,760 per sqm Built-up Rate: INR 24,200 per sqm</w:t>
      </w:r>
    </w:p>
    <w:p>
      <w:pPr>
        <w:pStyle w:val="BodyText"/>
        <w:rPr>
          <w:sz w:val="20"/>
        </w:rPr>
      </w:pPr>
    </w:p>
    <w:p>
      <w:pPr>
        <w:pStyle w:val="BodyText"/>
        <w:rPr>
          <w:sz w:val="20"/>
        </w:rPr>
      </w:pPr>
    </w:p>
    <w:p>
      <w:pPr>
        <w:pStyle w:val="BodyText"/>
        <w:spacing w:after="1"/>
        <w:rPr>
          <w:sz w:val="24"/>
        </w:rPr>
      </w:pPr>
    </w:p>
    <w:tbl>
      <w:tblPr>
        <w:tblW w:w="0" w:type="auto"/>
        <w:jc w:val="left"/>
        <w:tblInd w:w="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32"/>
        <w:gridCol w:w="3986"/>
      </w:tblGrid>
      <w:tr>
        <w:trPr>
          <w:trHeight w:val="347" w:hRule="atLeast"/>
        </w:trPr>
        <w:tc>
          <w:tcPr>
            <w:tcW w:w="4532" w:type="dxa"/>
            <w:tcBorders>
              <w:top w:val="single" w:sz="12" w:space="0" w:color="1F6B16"/>
              <w:bottom w:val="single" w:sz="6" w:space="0" w:color="69BD28"/>
            </w:tcBorders>
            <w:shd w:val="clear" w:color="auto" w:fill="006A4D"/>
          </w:tcPr>
          <w:p>
            <w:pPr>
              <w:pStyle w:val="TableParagraph"/>
              <w:spacing w:before="70"/>
              <w:ind w:left="677" w:right="810"/>
              <w:rPr>
                <w:b/>
                <w:sz w:val="18"/>
              </w:rPr>
            </w:pPr>
            <w:r>
              <w:rPr>
                <w:b/>
                <w:color w:val="FFFFFF"/>
                <w:w w:val="105"/>
                <w:sz w:val="18"/>
              </w:rPr>
              <w:t>Component</w:t>
            </w:r>
          </w:p>
        </w:tc>
        <w:tc>
          <w:tcPr>
            <w:tcW w:w="3986" w:type="dxa"/>
            <w:tcBorders>
              <w:top w:val="single" w:sz="12" w:space="0" w:color="1F6B16"/>
              <w:bottom w:val="single" w:sz="6" w:space="0" w:color="69BD28"/>
            </w:tcBorders>
            <w:shd w:val="clear" w:color="auto" w:fill="006A4D"/>
          </w:tcPr>
          <w:p>
            <w:pPr>
              <w:pStyle w:val="TableParagraph"/>
              <w:spacing w:before="70"/>
              <w:ind w:left="825" w:right="974"/>
              <w:rPr>
                <w:b/>
                <w:sz w:val="18"/>
              </w:rPr>
            </w:pPr>
            <w:r>
              <w:rPr>
                <w:b/>
                <w:color w:val="FFFFFF"/>
                <w:w w:val="115"/>
                <w:sz w:val="18"/>
              </w:rPr>
              <w:t>Market Value (INR Mn)</w:t>
            </w:r>
          </w:p>
        </w:tc>
      </w:tr>
      <w:tr>
        <w:trPr>
          <w:trHeight w:val="364" w:hRule="atLeast"/>
        </w:trPr>
        <w:tc>
          <w:tcPr>
            <w:tcW w:w="4532" w:type="dxa"/>
            <w:tcBorders>
              <w:top w:val="single" w:sz="6" w:space="0" w:color="69BD28"/>
              <w:bottom w:val="single" w:sz="6" w:space="0" w:color="69BD28"/>
            </w:tcBorders>
          </w:tcPr>
          <w:p>
            <w:pPr>
              <w:pStyle w:val="TableParagraph"/>
              <w:spacing w:before="78"/>
              <w:ind w:left="677" w:right="811"/>
              <w:rPr>
                <w:sz w:val="18"/>
              </w:rPr>
            </w:pPr>
            <w:r>
              <w:rPr>
                <w:sz w:val="18"/>
              </w:rPr>
              <w:t>Completed Blocks</w:t>
            </w:r>
          </w:p>
        </w:tc>
        <w:tc>
          <w:tcPr>
            <w:tcW w:w="3986" w:type="dxa"/>
            <w:tcBorders>
              <w:top w:val="single" w:sz="6" w:space="0" w:color="69BD28"/>
              <w:bottom w:val="single" w:sz="6" w:space="0" w:color="69BD28"/>
            </w:tcBorders>
          </w:tcPr>
          <w:p>
            <w:pPr>
              <w:pStyle w:val="TableParagraph"/>
              <w:spacing w:before="78"/>
              <w:ind w:left="818" w:right="974"/>
              <w:rPr>
                <w:sz w:val="18"/>
              </w:rPr>
            </w:pPr>
            <w:r>
              <w:rPr>
                <w:w w:val="110"/>
                <w:sz w:val="18"/>
              </w:rPr>
              <w:t>14,929</w:t>
            </w:r>
          </w:p>
        </w:tc>
      </w:tr>
      <w:tr>
        <w:trPr>
          <w:trHeight w:val="400" w:hRule="atLeast"/>
        </w:trPr>
        <w:tc>
          <w:tcPr>
            <w:tcW w:w="4532" w:type="dxa"/>
            <w:tcBorders>
              <w:top w:val="single" w:sz="6" w:space="0" w:color="69BD28"/>
              <w:bottom w:val="single" w:sz="6" w:space="0" w:color="69BD28"/>
            </w:tcBorders>
          </w:tcPr>
          <w:p>
            <w:pPr>
              <w:pStyle w:val="TableParagraph"/>
              <w:spacing w:before="92"/>
              <w:ind w:left="677" w:right="812"/>
              <w:rPr>
                <w:sz w:val="18"/>
              </w:rPr>
            </w:pPr>
            <w:r>
              <w:rPr>
                <w:sz w:val="18"/>
              </w:rPr>
              <w:t>Under Construction/ Proposed Blocks</w:t>
            </w:r>
          </w:p>
        </w:tc>
        <w:tc>
          <w:tcPr>
            <w:tcW w:w="3986" w:type="dxa"/>
            <w:tcBorders>
              <w:top w:val="single" w:sz="6" w:space="0" w:color="69BD28"/>
              <w:bottom w:val="single" w:sz="6" w:space="0" w:color="69BD28"/>
            </w:tcBorders>
          </w:tcPr>
          <w:p>
            <w:pPr>
              <w:pStyle w:val="TableParagraph"/>
              <w:spacing w:before="92"/>
              <w:ind w:left="818" w:right="974"/>
              <w:rPr>
                <w:sz w:val="18"/>
              </w:rPr>
            </w:pPr>
            <w:r>
              <w:rPr>
                <w:w w:val="105"/>
                <w:sz w:val="18"/>
              </w:rPr>
              <w:t>6,103</w:t>
            </w:r>
          </w:p>
        </w:tc>
      </w:tr>
      <w:tr>
        <w:trPr>
          <w:trHeight w:val="369" w:hRule="atLeast"/>
        </w:trPr>
        <w:tc>
          <w:tcPr>
            <w:tcW w:w="4532" w:type="dxa"/>
            <w:shd w:val="clear" w:color="auto" w:fill="69BD28"/>
          </w:tcPr>
          <w:p>
            <w:pPr>
              <w:pStyle w:val="TableParagraph"/>
              <w:spacing w:before="70"/>
              <w:ind w:left="676" w:right="812"/>
              <w:rPr>
                <w:sz w:val="18"/>
              </w:rPr>
            </w:pPr>
            <w:r>
              <w:rPr>
                <w:color w:val="FFFFFF"/>
                <w:sz w:val="18"/>
              </w:rPr>
              <w:t>Total Value of the property</w:t>
            </w:r>
          </w:p>
        </w:tc>
        <w:tc>
          <w:tcPr>
            <w:tcW w:w="3986" w:type="dxa"/>
            <w:shd w:val="clear" w:color="auto" w:fill="69BD28"/>
          </w:tcPr>
          <w:p>
            <w:pPr>
              <w:pStyle w:val="TableParagraph"/>
              <w:spacing w:before="70"/>
              <w:ind w:left="822" w:right="974"/>
              <w:rPr>
                <w:b/>
                <w:sz w:val="18"/>
              </w:rPr>
            </w:pPr>
            <w:r>
              <w:rPr>
                <w:b/>
                <w:color w:val="FFFFFF"/>
                <w:w w:val="105"/>
                <w:sz w:val="18"/>
              </w:rPr>
              <w:t>21,032</w:t>
            </w:r>
          </w:p>
        </w:tc>
      </w:tr>
    </w:tbl>
    <w:p>
      <w:pPr>
        <w:pStyle w:val="BodyText"/>
      </w:pPr>
    </w:p>
    <w:p>
      <w:pPr>
        <w:pStyle w:val="BodyText"/>
        <w:spacing w:before="2"/>
        <w:rPr>
          <w:sz w:val="24"/>
        </w:rPr>
      </w:pPr>
    </w:p>
    <w:p>
      <w:pPr>
        <w:spacing w:line="321" w:lineRule="auto" w:before="0"/>
        <w:ind w:left="193" w:right="660" w:firstLine="0"/>
        <w:jc w:val="both"/>
        <w:rPr>
          <w:sz w:val="18"/>
        </w:rPr>
      </w:pPr>
      <w:r>
        <w:rPr>
          <w:sz w:val="18"/>
        </w:rPr>
        <w:t>This</w:t>
      </w:r>
      <w:r>
        <w:rPr>
          <w:spacing w:val="-23"/>
          <w:sz w:val="18"/>
        </w:rPr>
        <w:t> </w:t>
      </w:r>
      <w:r>
        <w:rPr>
          <w:sz w:val="18"/>
        </w:rPr>
        <w:t>valuation</w:t>
      </w:r>
      <w:r>
        <w:rPr>
          <w:spacing w:val="-23"/>
          <w:sz w:val="18"/>
        </w:rPr>
        <w:t> </w:t>
      </w:r>
      <w:r>
        <w:rPr>
          <w:sz w:val="18"/>
        </w:rPr>
        <w:t>report</w:t>
      </w:r>
      <w:r>
        <w:rPr>
          <w:spacing w:val="-24"/>
          <w:sz w:val="18"/>
        </w:rPr>
        <w:t> </w:t>
      </w:r>
      <w:r>
        <w:rPr>
          <w:sz w:val="18"/>
        </w:rPr>
        <w:t>is</w:t>
      </w:r>
      <w:r>
        <w:rPr>
          <w:spacing w:val="-23"/>
          <w:sz w:val="18"/>
        </w:rPr>
        <w:t> </w:t>
      </w:r>
      <w:r>
        <w:rPr>
          <w:sz w:val="18"/>
        </w:rPr>
        <w:t>provided</w:t>
      </w:r>
      <w:r>
        <w:rPr>
          <w:spacing w:val="-23"/>
          <w:sz w:val="18"/>
        </w:rPr>
        <w:t> </w:t>
      </w:r>
      <w:r>
        <w:rPr>
          <w:sz w:val="18"/>
        </w:rPr>
        <w:t>subject</w:t>
      </w:r>
      <w:r>
        <w:rPr>
          <w:spacing w:val="-24"/>
          <w:sz w:val="18"/>
        </w:rPr>
        <w:t> </w:t>
      </w:r>
      <w:r>
        <w:rPr>
          <w:sz w:val="18"/>
        </w:rPr>
        <w:t>to</w:t>
      </w:r>
      <w:r>
        <w:rPr>
          <w:spacing w:val="-23"/>
          <w:sz w:val="18"/>
        </w:rPr>
        <w:t> </w:t>
      </w:r>
      <w:r>
        <w:rPr>
          <w:sz w:val="18"/>
        </w:rPr>
        <w:t>assumptions,</w:t>
      </w:r>
      <w:r>
        <w:rPr>
          <w:spacing w:val="-23"/>
          <w:sz w:val="18"/>
        </w:rPr>
        <w:t> </w:t>
      </w:r>
      <w:r>
        <w:rPr>
          <w:sz w:val="18"/>
        </w:rPr>
        <w:t>disclaimers,</w:t>
      </w:r>
      <w:r>
        <w:rPr>
          <w:spacing w:val="-23"/>
          <w:sz w:val="18"/>
        </w:rPr>
        <w:t> </w:t>
      </w:r>
      <w:r>
        <w:rPr>
          <w:sz w:val="18"/>
        </w:rPr>
        <w:t>limitations</w:t>
      </w:r>
      <w:r>
        <w:rPr>
          <w:spacing w:val="-23"/>
          <w:sz w:val="18"/>
        </w:rPr>
        <w:t> </w:t>
      </w:r>
      <w:r>
        <w:rPr>
          <w:sz w:val="18"/>
        </w:rPr>
        <w:t>and</w:t>
      </w:r>
      <w:r>
        <w:rPr>
          <w:spacing w:val="-23"/>
          <w:sz w:val="18"/>
        </w:rPr>
        <w:t> </w:t>
      </w:r>
      <w:r>
        <w:rPr>
          <w:sz w:val="18"/>
        </w:rPr>
        <w:t>qualifications</w:t>
      </w:r>
      <w:r>
        <w:rPr>
          <w:spacing w:val="-23"/>
          <w:sz w:val="18"/>
        </w:rPr>
        <w:t> </w:t>
      </w:r>
      <w:r>
        <w:rPr>
          <w:sz w:val="18"/>
        </w:rPr>
        <w:t>detailed throughout</w:t>
      </w:r>
      <w:r>
        <w:rPr>
          <w:spacing w:val="-39"/>
          <w:sz w:val="18"/>
        </w:rPr>
        <w:t> </w:t>
      </w:r>
      <w:r>
        <w:rPr>
          <w:sz w:val="18"/>
        </w:rPr>
        <w:t>this</w:t>
      </w:r>
      <w:r>
        <w:rPr>
          <w:spacing w:val="-38"/>
          <w:sz w:val="18"/>
        </w:rPr>
        <w:t> </w:t>
      </w:r>
      <w:r>
        <w:rPr>
          <w:sz w:val="18"/>
        </w:rPr>
        <w:t>report</w:t>
      </w:r>
      <w:r>
        <w:rPr>
          <w:spacing w:val="-38"/>
          <w:sz w:val="18"/>
        </w:rPr>
        <w:t> </w:t>
      </w:r>
      <w:r>
        <w:rPr>
          <w:sz w:val="18"/>
        </w:rPr>
        <w:t>which</w:t>
      </w:r>
      <w:r>
        <w:rPr>
          <w:spacing w:val="-38"/>
          <w:sz w:val="18"/>
        </w:rPr>
        <w:t> </w:t>
      </w:r>
      <w:r>
        <w:rPr>
          <w:sz w:val="18"/>
        </w:rPr>
        <w:t>are</w:t>
      </w:r>
      <w:r>
        <w:rPr>
          <w:spacing w:val="-39"/>
          <w:sz w:val="18"/>
        </w:rPr>
        <w:t> </w:t>
      </w:r>
      <w:r>
        <w:rPr>
          <w:sz w:val="18"/>
        </w:rPr>
        <w:t>made</w:t>
      </w:r>
      <w:r>
        <w:rPr>
          <w:spacing w:val="-38"/>
          <w:sz w:val="18"/>
        </w:rPr>
        <w:t> </w:t>
      </w:r>
      <w:r>
        <w:rPr>
          <w:sz w:val="18"/>
        </w:rPr>
        <w:t>in</w:t>
      </w:r>
      <w:r>
        <w:rPr>
          <w:spacing w:val="-38"/>
          <w:sz w:val="18"/>
        </w:rPr>
        <w:t> </w:t>
      </w:r>
      <w:r>
        <w:rPr>
          <w:sz w:val="18"/>
        </w:rPr>
        <w:t>conjunction</w:t>
      </w:r>
      <w:r>
        <w:rPr>
          <w:spacing w:val="-38"/>
          <w:sz w:val="18"/>
        </w:rPr>
        <w:t> </w:t>
      </w:r>
      <w:r>
        <w:rPr>
          <w:sz w:val="18"/>
        </w:rPr>
        <w:t>with</w:t>
      </w:r>
      <w:r>
        <w:rPr>
          <w:spacing w:val="-39"/>
          <w:sz w:val="18"/>
        </w:rPr>
        <w:t> </w:t>
      </w:r>
      <w:r>
        <w:rPr>
          <w:sz w:val="18"/>
        </w:rPr>
        <w:t>those</w:t>
      </w:r>
      <w:r>
        <w:rPr>
          <w:spacing w:val="-38"/>
          <w:sz w:val="18"/>
        </w:rPr>
        <w:t> </w:t>
      </w:r>
      <w:r>
        <w:rPr>
          <w:sz w:val="18"/>
        </w:rPr>
        <w:t>included</w:t>
      </w:r>
      <w:r>
        <w:rPr>
          <w:spacing w:val="-38"/>
          <w:sz w:val="18"/>
        </w:rPr>
        <w:t> </w:t>
      </w:r>
      <w:r>
        <w:rPr>
          <w:sz w:val="18"/>
        </w:rPr>
        <w:t>within</w:t>
      </w:r>
      <w:r>
        <w:rPr>
          <w:spacing w:val="-38"/>
          <w:sz w:val="18"/>
        </w:rPr>
        <w:t> </w:t>
      </w:r>
      <w:r>
        <w:rPr>
          <w:sz w:val="18"/>
        </w:rPr>
        <w:t>the</w:t>
      </w:r>
      <w:r>
        <w:rPr>
          <w:spacing w:val="-39"/>
          <w:sz w:val="18"/>
        </w:rPr>
        <w:t> </w:t>
      </w:r>
      <w:r>
        <w:rPr>
          <w:sz w:val="18"/>
        </w:rPr>
        <w:t>Assumptions,</w:t>
      </w:r>
      <w:r>
        <w:rPr>
          <w:spacing w:val="-38"/>
          <w:sz w:val="18"/>
        </w:rPr>
        <w:t> </w:t>
      </w:r>
      <w:r>
        <w:rPr>
          <w:sz w:val="18"/>
        </w:rPr>
        <w:t>Disclaimers, Limitations</w:t>
      </w:r>
      <w:r>
        <w:rPr>
          <w:spacing w:val="-14"/>
          <w:sz w:val="18"/>
        </w:rPr>
        <w:t> </w:t>
      </w:r>
      <w:r>
        <w:rPr>
          <w:sz w:val="18"/>
        </w:rPr>
        <w:t>&amp;</w:t>
      </w:r>
      <w:r>
        <w:rPr>
          <w:spacing w:val="-15"/>
          <w:sz w:val="18"/>
        </w:rPr>
        <w:t> </w:t>
      </w:r>
      <w:r>
        <w:rPr>
          <w:sz w:val="18"/>
        </w:rPr>
        <w:t>Qualifications</w:t>
      </w:r>
      <w:r>
        <w:rPr>
          <w:spacing w:val="-14"/>
          <w:sz w:val="18"/>
        </w:rPr>
        <w:t> </w:t>
      </w:r>
      <w:r>
        <w:rPr>
          <w:sz w:val="18"/>
        </w:rPr>
        <w:t>section</w:t>
      </w:r>
      <w:r>
        <w:rPr>
          <w:spacing w:val="-14"/>
          <w:sz w:val="18"/>
        </w:rPr>
        <w:t> </w:t>
      </w:r>
      <w:r>
        <w:rPr>
          <w:sz w:val="18"/>
        </w:rPr>
        <w:t>located</w:t>
      </w:r>
      <w:r>
        <w:rPr>
          <w:spacing w:val="-15"/>
          <w:sz w:val="18"/>
        </w:rPr>
        <w:t> </w:t>
      </w:r>
      <w:r>
        <w:rPr>
          <w:sz w:val="18"/>
        </w:rPr>
        <w:t>within</w:t>
      </w:r>
      <w:r>
        <w:rPr>
          <w:spacing w:val="-14"/>
          <w:sz w:val="18"/>
        </w:rPr>
        <w:t> </w:t>
      </w:r>
      <w:r>
        <w:rPr>
          <w:sz w:val="18"/>
        </w:rPr>
        <w:t>this</w:t>
      </w:r>
      <w:r>
        <w:rPr>
          <w:spacing w:val="-15"/>
          <w:sz w:val="18"/>
        </w:rPr>
        <w:t> </w:t>
      </w:r>
      <w:r>
        <w:rPr>
          <w:sz w:val="18"/>
        </w:rPr>
        <w:t>report.</w:t>
      </w:r>
      <w:r>
        <w:rPr>
          <w:spacing w:val="-15"/>
          <w:sz w:val="18"/>
        </w:rPr>
        <w:t> </w:t>
      </w:r>
      <w:r>
        <w:rPr>
          <w:sz w:val="18"/>
        </w:rPr>
        <w:t>Reliance</w:t>
      </w:r>
      <w:r>
        <w:rPr>
          <w:spacing w:val="-13"/>
          <w:sz w:val="18"/>
        </w:rPr>
        <w:t> </w:t>
      </w:r>
      <w:r>
        <w:rPr>
          <w:sz w:val="18"/>
        </w:rPr>
        <w:t>on</w:t>
      </w:r>
      <w:r>
        <w:rPr>
          <w:spacing w:val="-15"/>
          <w:sz w:val="18"/>
        </w:rPr>
        <w:t> </w:t>
      </w:r>
      <w:r>
        <w:rPr>
          <w:sz w:val="18"/>
        </w:rPr>
        <w:t>this</w:t>
      </w:r>
      <w:r>
        <w:rPr>
          <w:spacing w:val="-14"/>
          <w:sz w:val="18"/>
        </w:rPr>
        <w:t> </w:t>
      </w:r>
      <w:r>
        <w:rPr>
          <w:sz w:val="18"/>
        </w:rPr>
        <w:t>report</w:t>
      </w:r>
      <w:r>
        <w:rPr>
          <w:spacing w:val="-15"/>
          <w:sz w:val="18"/>
        </w:rPr>
        <w:t> </w:t>
      </w:r>
      <w:r>
        <w:rPr>
          <w:sz w:val="18"/>
        </w:rPr>
        <w:t>and</w:t>
      </w:r>
      <w:r>
        <w:rPr>
          <w:spacing w:val="-16"/>
          <w:sz w:val="18"/>
        </w:rPr>
        <w:t> </w:t>
      </w:r>
      <w:r>
        <w:rPr>
          <w:sz w:val="18"/>
        </w:rPr>
        <w:t>extension</w:t>
      </w:r>
      <w:r>
        <w:rPr>
          <w:spacing w:val="-14"/>
          <w:sz w:val="18"/>
        </w:rPr>
        <w:t> </w:t>
      </w:r>
      <w:r>
        <w:rPr>
          <w:sz w:val="18"/>
        </w:rPr>
        <w:t>of</w:t>
      </w:r>
      <w:r>
        <w:rPr>
          <w:spacing w:val="-14"/>
          <w:sz w:val="18"/>
        </w:rPr>
        <w:t> </w:t>
      </w:r>
      <w:r>
        <w:rPr>
          <w:sz w:val="18"/>
        </w:rPr>
        <w:t>our liability is conditional upon the reader’s acknowledgement and understanding of these statements. This valuation</w:t>
      </w:r>
      <w:r>
        <w:rPr>
          <w:spacing w:val="-5"/>
          <w:sz w:val="18"/>
        </w:rPr>
        <w:t> </w:t>
      </w:r>
      <w:r>
        <w:rPr>
          <w:sz w:val="18"/>
        </w:rPr>
        <w:t>is</w:t>
      </w:r>
      <w:r>
        <w:rPr>
          <w:spacing w:val="-5"/>
          <w:sz w:val="18"/>
        </w:rPr>
        <w:t> </w:t>
      </w:r>
      <w:r>
        <w:rPr>
          <w:sz w:val="18"/>
        </w:rPr>
        <w:t>for</w:t>
      </w:r>
      <w:r>
        <w:rPr>
          <w:spacing w:val="-6"/>
          <w:sz w:val="18"/>
        </w:rPr>
        <w:t> </w:t>
      </w:r>
      <w:r>
        <w:rPr>
          <w:sz w:val="18"/>
        </w:rPr>
        <w:t>the</w:t>
      </w:r>
      <w:r>
        <w:rPr>
          <w:spacing w:val="-4"/>
          <w:sz w:val="18"/>
        </w:rPr>
        <w:t> </w:t>
      </w:r>
      <w:r>
        <w:rPr>
          <w:sz w:val="18"/>
        </w:rPr>
        <w:t>use</w:t>
      </w:r>
      <w:r>
        <w:rPr>
          <w:spacing w:val="-4"/>
          <w:sz w:val="18"/>
        </w:rPr>
        <w:t> </w:t>
      </w:r>
      <w:r>
        <w:rPr>
          <w:sz w:val="18"/>
        </w:rPr>
        <w:t>of</w:t>
      </w:r>
      <w:r>
        <w:rPr>
          <w:spacing w:val="-5"/>
          <w:sz w:val="18"/>
        </w:rPr>
        <w:t> </w:t>
      </w:r>
      <w:r>
        <w:rPr>
          <w:sz w:val="18"/>
        </w:rPr>
        <w:t>the</w:t>
      </w:r>
      <w:r>
        <w:rPr>
          <w:spacing w:val="-3"/>
          <w:sz w:val="18"/>
        </w:rPr>
        <w:t> </w:t>
      </w:r>
      <w:r>
        <w:rPr>
          <w:sz w:val="18"/>
        </w:rPr>
        <w:t>party</w:t>
      </w:r>
      <w:r>
        <w:rPr>
          <w:spacing w:val="-5"/>
          <w:sz w:val="18"/>
        </w:rPr>
        <w:t> </w:t>
      </w:r>
      <w:r>
        <w:rPr>
          <w:sz w:val="18"/>
        </w:rPr>
        <w:t>to</w:t>
      </w:r>
      <w:r>
        <w:rPr>
          <w:spacing w:val="-5"/>
          <w:sz w:val="18"/>
        </w:rPr>
        <w:t> </w:t>
      </w:r>
      <w:r>
        <w:rPr>
          <w:sz w:val="18"/>
        </w:rPr>
        <w:t>whom</w:t>
      </w:r>
      <w:r>
        <w:rPr>
          <w:spacing w:val="-5"/>
          <w:sz w:val="18"/>
        </w:rPr>
        <w:t> </w:t>
      </w:r>
      <w:r>
        <w:rPr>
          <w:sz w:val="18"/>
        </w:rPr>
        <w:t>it</w:t>
      </w:r>
      <w:r>
        <w:rPr>
          <w:spacing w:val="-6"/>
          <w:sz w:val="18"/>
        </w:rPr>
        <w:t> </w:t>
      </w:r>
      <w:r>
        <w:rPr>
          <w:sz w:val="18"/>
        </w:rPr>
        <w:t>is</w:t>
      </w:r>
      <w:r>
        <w:rPr>
          <w:spacing w:val="-5"/>
          <w:sz w:val="18"/>
        </w:rPr>
        <w:t> </w:t>
      </w:r>
      <w:r>
        <w:rPr>
          <w:sz w:val="18"/>
        </w:rPr>
        <w:t>addressed</w:t>
      </w:r>
      <w:r>
        <w:rPr>
          <w:spacing w:val="-5"/>
          <w:sz w:val="18"/>
        </w:rPr>
        <w:t> </w:t>
      </w:r>
      <w:r>
        <w:rPr>
          <w:sz w:val="18"/>
        </w:rPr>
        <w:t>and</w:t>
      </w:r>
      <w:r>
        <w:rPr>
          <w:spacing w:val="-5"/>
          <w:sz w:val="18"/>
        </w:rPr>
        <w:t> </w:t>
      </w:r>
      <w:r>
        <w:rPr>
          <w:sz w:val="18"/>
        </w:rPr>
        <w:t>for</w:t>
      </w:r>
      <w:r>
        <w:rPr>
          <w:spacing w:val="-6"/>
          <w:sz w:val="18"/>
        </w:rPr>
        <w:t> </w:t>
      </w:r>
      <w:r>
        <w:rPr>
          <w:sz w:val="18"/>
        </w:rPr>
        <w:t>no</w:t>
      </w:r>
      <w:r>
        <w:rPr>
          <w:spacing w:val="-5"/>
          <w:sz w:val="18"/>
        </w:rPr>
        <w:t> </w:t>
      </w:r>
      <w:r>
        <w:rPr>
          <w:sz w:val="18"/>
        </w:rPr>
        <w:t>other</w:t>
      </w:r>
      <w:r>
        <w:rPr>
          <w:spacing w:val="-6"/>
          <w:sz w:val="18"/>
        </w:rPr>
        <w:t> </w:t>
      </w:r>
      <w:r>
        <w:rPr>
          <w:sz w:val="18"/>
        </w:rPr>
        <w:t>purpose.</w:t>
      </w:r>
      <w:r>
        <w:rPr>
          <w:spacing w:val="-5"/>
          <w:sz w:val="18"/>
        </w:rPr>
        <w:t> </w:t>
      </w:r>
      <w:r>
        <w:rPr>
          <w:sz w:val="18"/>
        </w:rPr>
        <w:t>No</w:t>
      </w:r>
      <w:r>
        <w:rPr>
          <w:spacing w:val="-5"/>
          <w:sz w:val="18"/>
        </w:rPr>
        <w:t> </w:t>
      </w:r>
      <w:r>
        <w:rPr>
          <w:sz w:val="18"/>
        </w:rPr>
        <w:t>responsibility</w:t>
      </w:r>
      <w:r>
        <w:rPr>
          <w:spacing w:val="-5"/>
          <w:sz w:val="18"/>
        </w:rPr>
        <w:t> </w:t>
      </w:r>
      <w:r>
        <w:rPr>
          <w:sz w:val="18"/>
        </w:rPr>
        <w:t>is accepted</w:t>
      </w:r>
      <w:r>
        <w:rPr>
          <w:spacing w:val="-23"/>
          <w:sz w:val="18"/>
        </w:rPr>
        <w:t> </w:t>
      </w:r>
      <w:r>
        <w:rPr>
          <w:sz w:val="18"/>
        </w:rPr>
        <w:t>to</w:t>
      </w:r>
      <w:r>
        <w:rPr>
          <w:spacing w:val="-23"/>
          <w:sz w:val="18"/>
        </w:rPr>
        <w:t> </w:t>
      </w:r>
      <w:r>
        <w:rPr>
          <w:sz w:val="18"/>
        </w:rPr>
        <w:t>any</w:t>
      </w:r>
      <w:r>
        <w:rPr>
          <w:spacing w:val="-22"/>
          <w:sz w:val="18"/>
        </w:rPr>
        <w:t> </w:t>
      </w:r>
      <w:r>
        <w:rPr>
          <w:sz w:val="18"/>
        </w:rPr>
        <w:t>third</w:t>
      </w:r>
      <w:r>
        <w:rPr>
          <w:spacing w:val="-22"/>
          <w:sz w:val="18"/>
        </w:rPr>
        <w:t> </w:t>
      </w:r>
      <w:r>
        <w:rPr>
          <w:sz w:val="18"/>
        </w:rPr>
        <w:t>party</w:t>
      </w:r>
      <w:r>
        <w:rPr>
          <w:spacing w:val="-21"/>
          <w:sz w:val="18"/>
        </w:rPr>
        <w:t> </w:t>
      </w:r>
      <w:r>
        <w:rPr>
          <w:sz w:val="18"/>
        </w:rPr>
        <w:t>who</w:t>
      </w:r>
      <w:r>
        <w:rPr>
          <w:spacing w:val="-23"/>
          <w:sz w:val="18"/>
        </w:rPr>
        <w:t> </w:t>
      </w:r>
      <w:r>
        <w:rPr>
          <w:sz w:val="18"/>
        </w:rPr>
        <w:t>may</w:t>
      </w:r>
      <w:r>
        <w:rPr>
          <w:spacing w:val="-22"/>
          <w:sz w:val="18"/>
        </w:rPr>
        <w:t> </w:t>
      </w:r>
      <w:r>
        <w:rPr>
          <w:sz w:val="18"/>
        </w:rPr>
        <w:t>use</w:t>
      </w:r>
      <w:r>
        <w:rPr>
          <w:spacing w:val="-22"/>
          <w:sz w:val="18"/>
        </w:rPr>
        <w:t> </w:t>
      </w:r>
      <w:r>
        <w:rPr>
          <w:sz w:val="18"/>
        </w:rPr>
        <w:t>or</w:t>
      </w:r>
      <w:r>
        <w:rPr>
          <w:spacing w:val="-24"/>
          <w:sz w:val="18"/>
        </w:rPr>
        <w:t> </w:t>
      </w:r>
      <w:r>
        <w:rPr>
          <w:sz w:val="18"/>
        </w:rPr>
        <w:t>rely</w:t>
      </w:r>
      <w:r>
        <w:rPr>
          <w:spacing w:val="-23"/>
          <w:sz w:val="18"/>
        </w:rPr>
        <w:t> </w:t>
      </w:r>
      <w:r>
        <w:rPr>
          <w:sz w:val="18"/>
        </w:rPr>
        <w:t>on</w:t>
      </w:r>
      <w:r>
        <w:rPr>
          <w:spacing w:val="-21"/>
          <w:sz w:val="18"/>
        </w:rPr>
        <w:t> </w:t>
      </w:r>
      <w:r>
        <w:rPr>
          <w:sz w:val="18"/>
        </w:rPr>
        <w:t>the</w:t>
      </w:r>
      <w:r>
        <w:rPr>
          <w:spacing w:val="-22"/>
          <w:sz w:val="18"/>
        </w:rPr>
        <w:t> </w:t>
      </w:r>
      <w:r>
        <w:rPr>
          <w:sz w:val="18"/>
        </w:rPr>
        <w:t>whole</w:t>
      </w:r>
      <w:r>
        <w:rPr>
          <w:spacing w:val="-22"/>
          <w:sz w:val="18"/>
        </w:rPr>
        <w:t> </w:t>
      </w:r>
      <w:r>
        <w:rPr>
          <w:sz w:val="18"/>
        </w:rPr>
        <w:t>or</w:t>
      </w:r>
      <w:r>
        <w:rPr>
          <w:spacing w:val="-23"/>
          <w:sz w:val="18"/>
        </w:rPr>
        <w:t> </w:t>
      </w:r>
      <w:r>
        <w:rPr>
          <w:sz w:val="18"/>
        </w:rPr>
        <w:t>any</w:t>
      </w:r>
      <w:r>
        <w:rPr>
          <w:spacing w:val="-23"/>
          <w:sz w:val="18"/>
        </w:rPr>
        <w:t> </w:t>
      </w:r>
      <w:r>
        <w:rPr>
          <w:sz w:val="18"/>
        </w:rPr>
        <w:t>part</w:t>
      </w:r>
      <w:r>
        <w:rPr>
          <w:spacing w:val="-23"/>
          <w:sz w:val="18"/>
        </w:rPr>
        <w:t> </w:t>
      </w:r>
      <w:r>
        <w:rPr>
          <w:sz w:val="18"/>
        </w:rPr>
        <w:t>of</w:t>
      </w:r>
      <w:r>
        <w:rPr>
          <w:spacing w:val="-21"/>
          <w:sz w:val="18"/>
        </w:rPr>
        <w:t> </w:t>
      </w:r>
      <w:r>
        <w:rPr>
          <w:sz w:val="18"/>
        </w:rPr>
        <w:t>the</w:t>
      </w:r>
      <w:r>
        <w:rPr>
          <w:spacing w:val="-17"/>
          <w:sz w:val="18"/>
        </w:rPr>
        <w:t> </w:t>
      </w:r>
      <w:r>
        <w:rPr>
          <w:sz w:val="18"/>
        </w:rPr>
        <w:t>content</w:t>
      </w:r>
      <w:r>
        <w:rPr>
          <w:spacing w:val="-23"/>
          <w:sz w:val="18"/>
        </w:rPr>
        <w:t> </w:t>
      </w:r>
      <w:r>
        <w:rPr>
          <w:sz w:val="18"/>
        </w:rPr>
        <w:t>of</w:t>
      </w:r>
      <w:r>
        <w:rPr>
          <w:spacing w:val="-22"/>
          <w:sz w:val="18"/>
        </w:rPr>
        <w:t> </w:t>
      </w:r>
      <w:r>
        <w:rPr>
          <w:sz w:val="18"/>
        </w:rPr>
        <w:t>this</w:t>
      </w:r>
      <w:r>
        <w:rPr>
          <w:spacing w:val="-22"/>
          <w:sz w:val="18"/>
        </w:rPr>
        <w:t> </w:t>
      </w:r>
      <w:r>
        <w:rPr>
          <w:sz w:val="18"/>
        </w:rPr>
        <w:t>valuation.</w:t>
      </w:r>
      <w:r>
        <w:rPr>
          <w:spacing w:val="-23"/>
          <w:sz w:val="18"/>
        </w:rPr>
        <w:t> </w:t>
      </w:r>
      <w:r>
        <w:rPr>
          <w:sz w:val="18"/>
        </w:rPr>
        <w:t>The valuer</w:t>
      </w:r>
      <w:r>
        <w:rPr>
          <w:spacing w:val="-13"/>
          <w:sz w:val="18"/>
        </w:rPr>
        <w:t> </w:t>
      </w:r>
      <w:r>
        <w:rPr>
          <w:sz w:val="18"/>
        </w:rPr>
        <w:t>has</w:t>
      </w:r>
      <w:r>
        <w:rPr>
          <w:spacing w:val="-14"/>
          <w:sz w:val="18"/>
        </w:rPr>
        <w:t> </w:t>
      </w:r>
      <w:r>
        <w:rPr>
          <w:sz w:val="18"/>
        </w:rPr>
        <w:t>no</w:t>
      </w:r>
      <w:r>
        <w:rPr>
          <w:spacing w:val="-12"/>
          <w:sz w:val="18"/>
        </w:rPr>
        <w:t> </w:t>
      </w:r>
      <w:r>
        <w:rPr>
          <w:sz w:val="18"/>
        </w:rPr>
        <w:t>pecuniary</w:t>
      </w:r>
      <w:r>
        <w:rPr>
          <w:spacing w:val="-13"/>
          <w:sz w:val="18"/>
        </w:rPr>
        <w:t> </w:t>
      </w:r>
      <w:r>
        <w:rPr>
          <w:sz w:val="18"/>
        </w:rPr>
        <w:t>interest</w:t>
      </w:r>
      <w:r>
        <w:rPr>
          <w:spacing w:val="-13"/>
          <w:sz w:val="18"/>
        </w:rPr>
        <w:t> </w:t>
      </w:r>
      <w:r>
        <w:rPr>
          <w:sz w:val="18"/>
        </w:rPr>
        <w:t>that</w:t>
      </w:r>
      <w:r>
        <w:rPr>
          <w:spacing w:val="-14"/>
          <w:sz w:val="18"/>
        </w:rPr>
        <w:t> </w:t>
      </w:r>
      <w:r>
        <w:rPr>
          <w:sz w:val="18"/>
        </w:rPr>
        <w:t>would</w:t>
      </w:r>
      <w:r>
        <w:rPr>
          <w:spacing w:val="-13"/>
          <w:sz w:val="18"/>
        </w:rPr>
        <w:t> </w:t>
      </w:r>
      <w:r>
        <w:rPr>
          <w:sz w:val="18"/>
        </w:rPr>
        <w:t>conflict</w:t>
      </w:r>
      <w:r>
        <w:rPr>
          <w:spacing w:val="-13"/>
          <w:sz w:val="18"/>
        </w:rPr>
        <w:t> </w:t>
      </w:r>
      <w:r>
        <w:rPr>
          <w:sz w:val="18"/>
        </w:rPr>
        <w:t>with</w:t>
      </w:r>
      <w:r>
        <w:rPr>
          <w:spacing w:val="-12"/>
          <w:sz w:val="18"/>
        </w:rPr>
        <w:t> </w:t>
      </w:r>
      <w:r>
        <w:rPr>
          <w:sz w:val="18"/>
        </w:rPr>
        <w:t>the</w:t>
      </w:r>
      <w:r>
        <w:rPr>
          <w:spacing w:val="-12"/>
          <w:sz w:val="18"/>
        </w:rPr>
        <w:t> </w:t>
      </w:r>
      <w:r>
        <w:rPr>
          <w:sz w:val="18"/>
        </w:rPr>
        <w:t>proper</w:t>
      </w:r>
      <w:r>
        <w:rPr>
          <w:spacing w:val="-13"/>
          <w:sz w:val="18"/>
        </w:rPr>
        <w:t> </w:t>
      </w:r>
      <w:r>
        <w:rPr>
          <w:sz w:val="18"/>
        </w:rPr>
        <w:t>valuation</w:t>
      </w:r>
      <w:r>
        <w:rPr>
          <w:spacing w:val="-12"/>
          <w:sz w:val="18"/>
        </w:rPr>
        <w:t> </w:t>
      </w:r>
      <w:r>
        <w:rPr>
          <w:sz w:val="18"/>
        </w:rPr>
        <w:t>of</w:t>
      </w:r>
      <w:r>
        <w:rPr>
          <w:spacing w:val="-12"/>
          <w:sz w:val="18"/>
        </w:rPr>
        <w:t> </w:t>
      </w:r>
      <w:r>
        <w:rPr>
          <w:sz w:val="18"/>
        </w:rPr>
        <w:t>the</w:t>
      </w:r>
      <w:r>
        <w:rPr>
          <w:spacing w:val="-12"/>
          <w:sz w:val="18"/>
        </w:rPr>
        <w:t> </w:t>
      </w:r>
      <w:r>
        <w:rPr>
          <w:sz w:val="18"/>
        </w:rPr>
        <w:t>property</w:t>
      </w:r>
    </w:p>
    <w:p>
      <w:pPr>
        <w:spacing w:after="0" w:line="321" w:lineRule="auto"/>
        <w:jc w:val="both"/>
        <w:rPr>
          <w:sz w:val="18"/>
        </w:rPr>
        <w:sectPr>
          <w:type w:val="continuous"/>
          <w:pgSz w:w="11910" w:h="16840"/>
          <w:pgMar w:top="800" w:bottom="280" w:left="440" w:right="80"/>
          <w:cols w:num="2" w:equalWidth="0">
            <w:col w:w="1991" w:space="40"/>
            <w:col w:w="9359"/>
          </w:cols>
        </w:sectPr>
      </w:pPr>
    </w:p>
    <w:p>
      <w:pPr>
        <w:pStyle w:val="BodyText"/>
        <w:spacing w:before="5"/>
      </w:pPr>
    </w:p>
    <w:p>
      <w:pPr>
        <w:pStyle w:val="ListParagraph"/>
        <w:numPr>
          <w:ilvl w:val="1"/>
          <w:numId w:val="26"/>
        </w:numPr>
        <w:tabs>
          <w:tab w:pos="856" w:val="left" w:leader="none"/>
          <w:tab w:pos="857" w:val="left" w:leader="none"/>
        </w:tabs>
        <w:spacing w:line="240" w:lineRule="auto" w:before="106" w:after="0"/>
        <w:ind w:left="856" w:right="0" w:hanging="577"/>
        <w:jc w:val="left"/>
        <w:rPr>
          <w:sz w:val="22"/>
        </w:rPr>
      </w:pPr>
      <w:bookmarkStart w:name="_bookmark34" w:id="68"/>
      <w:bookmarkEnd w:id="68"/>
      <w:r>
        <w:rPr/>
      </w:r>
      <w:bookmarkStart w:name="_bookmark34" w:id="69"/>
      <w:bookmarkEnd w:id="69"/>
      <w:r>
        <w:rPr>
          <w:color w:val="1F6647"/>
          <w:w w:val="105"/>
          <w:sz w:val="22"/>
        </w:rPr>
        <w:t>E</w:t>
      </w:r>
      <w:r>
        <w:rPr>
          <w:color w:val="1F6647"/>
          <w:w w:val="105"/>
          <w:sz w:val="22"/>
        </w:rPr>
        <w:t>mbassy</w:t>
      </w:r>
      <w:r>
        <w:rPr>
          <w:color w:val="1F6647"/>
          <w:spacing w:val="-6"/>
          <w:w w:val="105"/>
          <w:sz w:val="22"/>
        </w:rPr>
        <w:t> </w:t>
      </w:r>
      <w:r>
        <w:rPr>
          <w:color w:val="1F6647"/>
          <w:w w:val="105"/>
          <w:sz w:val="22"/>
        </w:rPr>
        <w:t>Quadron</w:t>
      </w:r>
    </w:p>
    <w:p>
      <w:pPr>
        <w:pStyle w:val="BodyText"/>
        <w:rPr>
          <w:sz w:val="29"/>
        </w:rPr>
      </w:pPr>
    </w:p>
    <w:p>
      <w:pPr>
        <w:tabs>
          <w:tab w:pos="2277" w:val="left" w:leader="none"/>
        </w:tabs>
        <w:spacing w:line="321" w:lineRule="auto" w:before="0"/>
        <w:ind w:left="2277" w:right="661" w:hanging="1885"/>
        <w:jc w:val="both"/>
        <w:rPr>
          <w:sz w:val="18"/>
        </w:rPr>
      </w:pPr>
      <w:r>
        <w:rPr>
          <w:color w:val="006A4D"/>
          <w:sz w:val="18"/>
        </w:rPr>
        <w:t>Property</w:t>
      </w:r>
      <w:r>
        <w:rPr>
          <w:color w:val="006A4D"/>
          <w:spacing w:val="-15"/>
          <w:sz w:val="18"/>
        </w:rPr>
        <w:t> </w:t>
      </w:r>
      <w:r>
        <w:rPr>
          <w:color w:val="006A4D"/>
          <w:sz w:val="18"/>
        </w:rPr>
        <w:t>Name:</w:t>
        <w:tab/>
      </w:r>
      <w:r>
        <w:rPr>
          <w:sz w:val="18"/>
        </w:rPr>
        <w:t>‘Embassy Quadron’ is an office park located in Phase 2, Rajiv Gandhi Infotech Park, Hinjewadi, Pune, Maharashtra</w:t>
      </w:r>
    </w:p>
    <w:p>
      <w:pPr>
        <w:pStyle w:val="BodyText"/>
        <w:spacing w:before="7"/>
        <w:rPr>
          <w:sz w:val="21"/>
        </w:rPr>
      </w:pPr>
    </w:p>
    <w:p>
      <w:pPr>
        <w:tabs>
          <w:tab w:pos="2277" w:val="left" w:leader="none"/>
        </w:tabs>
        <w:spacing w:before="0"/>
        <w:ind w:left="392" w:right="0" w:firstLine="0"/>
        <w:jc w:val="left"/>
        <w:rPr>
          <w:sz w:val="18"/>
        </w:rPr>
      </w:pPr>
      <w:r>
        <w:rPr>
          <w:color w:val="006A4D"/>
          <w:sz w:val="18"/>
        </w:rPr>
        <w:t>Property</w:t>
      </w:r>
      <w:r>
        <w:rPr>
          <w:color w:val="006A4D"/>
          <w:spacing w:val="-25"/>
          <w:sz w:val="18"/>
        </w:rPr>
        <w:t> </w:t>
      </w:r>
      <w:r>
        <w:rPr>
          <w:color w:val="006A4D"/>
          <w:sz w:val="18"/>
        </w:rPr>
        <w:t>Address:</w:t>
        <w:tab/>
      </w:r>
      <w:r>
        <w:rPr>
          <w:sz w:val="18"/>
        </w:rPr>
        <w:t>Plot</w:t>
      </w:r>
      <w:r>
        <w:rPr>
          <w:spacing w:val="-5"/>
          <w:sz w:val="18"/>
        </w:rPr>
        <w:t> </w:t>
      </w:r>
      <w:r>
        <w:rPr>
          <w:sz w:val="18"/>
        </w:rPr>
        <w:t>No.</w:t>
      </w:r>
      <w:r>
        <w:rPr>
          <w:spacing w:val="-4"/>
          <w:sz w:val="18"/>
        </w:rPr>
        <w:t> </w:t>
      </w:r>
      <w:r>
        <w:rPr>
          <w:sz w:val="18"/>
        </w:rPr>
        <w:t>28,</w:t>
      </w:r>
      <w:r>
        <w:rPr>
          <w:spacing w:val="-5"/>
          <w:sz w:val="18"/>
        </w:rPr>
        <w:t> </w:t>
      </w:r>
      <w:r>
        <w:rPr>
          <w:sz w:val="18"/>
        </w:rPr>
        <w:t>Hinjewadi</w:t>
      </w:r>
      <w:r>
        <w:rPr>
          <w:spacing w:val="-4"/>
          <w:sz w:val="18"/>
        </w:rPr>
        <w:t> </w:t>
      </w:r>
      <w:r>
        <w:rPr>
          <w:sz w:val="18"/>
        </w:rPr>
        <w:t>Phase</w:t>
      </w:r>
      <w:r>
        <w:rPr>
          <w:spacing w:val="-3"/>
          <w:sz w:val="18"/>
        </w:rPr>
        <w:t> </w:t>
      </w:r>
      <w:r>
        <w:rPr>
          <w:sz w:val="18"/>
        </w:rPr>
        <w:t>II,</w:t>
      </w:r>
      <w:r>
        <w:rPr>
          <w:spacing w:val="-5"/>
          <w:sz w:val="18"/>
        </w:rPr>
        <w:t> </w:t>
      </w:r>
      <w:r>
        <w:rPr>
          <w:sz w:val="18"/>
        </w:rPr>
        <w:t>Rajiv</w:t>
      </w:r>
      <w:r>
        <w:rPr>
          <w:spacing w:val="-4"/>
          <w:sz w:val="18"/>
        </w:rPr>
        <w:t> </w:t>
      </w:r>
      <w:r>
        <w:rPr>
          <w:sz w:val="18"/>
        </w:rPr>
        <w:t>Gandhi</w:t>
      </w:r>
      <w:r>
        <w:rPr>
          <w:spacing w:val="-4"/>
          <w:sz w:val="18"/>
        </w:rPr>
        <w:t> </w:t>
      </w:r>
      <w:r>
        <w:rPr>
          <w:sz w:val="18"/>
        </w:rPr>
        <w:t>Infotech</w:t>
      </w:r>
      <w:r>
        <w:rPr>
          <w:spacing w:val="-3"/>
          <w:sz w:val="18"/>
        </w:rPr>
        <w:t> </w:t>
      </w:r>
      <w:r>
        <w:rPr>
          <w:sz w:val="18"/>
        </w:rPr>
        <w:t>Park,</w:t>
      </w:r>
      <w:r>
        <w:rPr>
          <w:spacing w:val="-5"/>
          <w:sz w:val="18"/>
        </w:rPr>
        <w:t> </w:t>
      </w:r>
      <w:r>
        <w:rPr>
          <w:sz w:val="18"/>
        </w:rPr>
        <w:t>Pune,</w:t>
      </w:r>
      <w:r>
        <w:rPr>
          <w:spacing w:val="-4"/>
          <w:sz w:val="18"/>
        </w:rPr>
        <w:t> </w:t>
      </w:r>
      <w:r>
        <w:rPr>
          <w:sz w:val="18"/>
        </w:rPr>
        <w:t>Maharashtra,</w:t>
      </w:r>
      <w:r>
        <w:rPr>
          <w:spacing w:val="-4"/>
          <w:sz w:val="18"/>
        </w:rPr>
        <w:t> </w:t>
      </w:r>
      <w:r>
        <w:rPr>
          <w:sz w:val="18"/>
        </w:rPr>
        <w:t>411057</w:t>
      </w:r>
    </w:p>
    <w:p>
      <w:pPr>
        <w:pStyle w:val="BodyText"/>
        <w:spacing w:before="8"/>
        <w:rPr>
          <w:sz w:val="27"/>
        </w:rPr>
      </w:pPr>
    </w:p>
    <w:p>
      <w:pPr>
        <w:tabs>
          <w:tab w:pos="2277" w:val="left" w:leader="none"/>
        </w:tabs>
        <w:spacing w:line="321" w:lineRule="auto" w:before="0"/>
        <w:ind w:left="2277" w:right="667" w:hanging="1885"/>
        <w:jc w:val="both"/>
        <w:rPr>
          <w:sz w:val="18"/>
        </w:rPr>
      </w:pPr>
      <w:r>
        <w:rPr>
          <w:color w:val="006A4D"/>
          <w:sz w:val="18"/>
        </w:rPr>
        <w:t>Land</w:t>
      </w:r>
      <w:r>
        <w:rPr>
          <w:color w:val="006A4D"/>
          <w:spacing w:val="-4"/>
          <w:sz w:val="18"/>
        </w:rPr>
        <w:t> </w:t>
      </w:r>
      <w:r>
        <w:rPr>
          <w:color w:val="006A4D"/>
          <w:sz w:val="18"/>
        </w:rPr>
        <w:t>Area:</w:t>
        <w:tab/>
      </w:r>
      <w:r>
        <w:rPr>
          <w:sz w:val="18"/>
        </w:rPr>
        <w:t>Based</w:t>
      </w:r>
      <w:r>
        <w:rPr>
          <w:spacing w:val="-23"/>
          <w:sz w:val="18"/>
        </w:rPr>
        <w:t> </w:t>
      </w:r>
      <w:r>
        <w:rPr>
          <w:sz w:val="18"/>
        </w:rPr>
        <w:t>on</w:t>
      </w:r>
      <w:r>
        <w:rPr>
          <w:spacing w:val="-24"/>
          <w:sz w:val="18"/>
        </w:rPr>
        <w:t> </w:t>
      </w:r>
      <w:r>
        <w:rPr>
          <w:sz w:val="18"/>
        </w:rPr>
        <w:t>review</w:t>
      </w:r>
      <w:r>
        <w:rPr>
          <w:spacing w:val="-24"/>
          <w:sz w:val="18"/>
        </w:rPr>
        <w:t> </w:t>
      </w:r>
      <w:r>
        <w:rPr>
          <w:sz w:val="18"/>
        </w:rPr>
        <w:t>of</w:t>
      </w:r>
      <w:r>
        <w:rPr>
          <w:spacing w:val="-24"/>
          <w:sz w:val="18"/>
        </w:rPr>
        <w:t> </w:t>
      </w:r>
      <w:r>
        <w:rPr>
          <w:sz w:val="18"/>
        </w:rPr>
        <w:t>the</w:t>
      </w:r>
      <w:r>
        <w:rPr>
          <w:spacing w:val="-23"/>
          <w:sz w:val="18"/>
        </w:rPr>
        <w:t> </w:t>
      </w:r>
      <w:r>
        <w:rPr>
          <w:sz w:val="18"/>
        </w:rPr>
        <w:t>title</w:t>
      </w:r>
      <w:r>
        <w:rPr>
          <w:spacing w:val="-24"/>
          <w:sz w:val="18"/>
        </w:rPr>
        <w:t> </w:t>
      </w:r>
      <w:r>
        <w:rPr>
          <w:sz w:val="18"/>
        </w:rPr>
        <w:t>report,</w:t>
      </w:r>
      <w:r>
        <w:rPr>
          <w:spacing w:val="-24"/>
          <w:sz w:val="18"/>
        </w:rPr>
        <w:t> </w:t>
      </w:r>
      <w:r>
        <w:rPr>
          <w:sz w:val="18"/>
        </w:rPr>
        <w:t>we</w:t>
      </w:r>
      <w:r>
        <w:rPr>
          <w:spacing w:val="-23"/>
          <w:sz w:val="18"/>
        </w:rPr>
        <w:t> </w:t>
      </w:r>
      <w:r>
        <w:rPr>
          <w:sz w:val="18"/>
        </w:rPr>
        <w:t>understand</w:t>
      </w:r>
      <w:r>
        <w:rPr>
          <w:spacing w:val="-24"/>
          <w:sz w:val="18"/>
        </w:rPr>
        <w:t> </w:t>
      </w:r>
      <w:r>
        <w:rPr>
          <w:sz w:val="18"/>
        </w:rPr>
        <w:t>that</w:t>
      </w:r>
      <w:r>
        <w:rPr>
          <w:spacing w:val="-20"/>
          <w:sz w:val="18"/>
        </w:rPr>
        <w:t> </w:t>
      </w:r>
      <w:r>
        <w:rPr>
          <w:sz w:val="18"/>
        </w:rPr>
        <w:t>the</w:t>
      </w:r>
      <w:r>
        <w:rPr>
          <w:spacing w:val="-22"/>
          <w:sz w:val="18"/>
        </w:rPr>
        <w:t> </w:t>
      </w:r>
      <w:r>
        <w:rPr>
          <w:sz w:val="18"/>
        </w:rPr>
        <w:t>total</w:t>
      </w:r>
      <w:r>
        <w:rPr>
          <w:spacing w:val="-25"/>
          <w:sz w:val="18"/>
        </w:rPr>
        <w:t> </w:t>
      </w:r>
      <w:r>
        <w:rPr>
          <w:sz w:val="18"/>
        </w:rPr>
        <w:t>land</w:t>
      </w:r>
      <w:r>
        <w:rPr>
          <w:spacing w:val="-23"/>
          <w:sz w:val="18"/>
        </w:rPr>
        <w:t> </w:t>
      </w:r>
      <w:r>
        <w:rPr>
          <w:sz w:val="18"/>
        </w:rPr>
        <w:t>area</w:t>
      </w:r>
      <w:r>
        <w:rPr>
          <w:spacing w:val="-24"/>
          <w:sz w:val="18"/>
        </w:rPr>
        <w:t> </w:t>
      </w:r>
      <w:r>
        <w:rPr>
          <w:sz w:val="18"/>
        </w:rPr>
        <w:t>of</w:t>
      </w:r>
      <w:r>
        <w:rPr>
          <w:spacing w:val="-24"/>
          <w:sz w:val="18"/>
        </w:rPr>
        <w:t> </w:t>
      </w:r>
      <w:r>
        <w:rPr>
          <w:sz w:val="18"/>
        </w:rPr>
        <w:t>the</w:t>
      </w:r>
      <w:r>
        <w:rPr>
          <w:spacing w:val="-23"/>
          <w:sz w:val="18"/>
        </w:rPr>
        <w:t> </w:t>
      </w:r>
      <w:r>
        <w:rPr>
          <w:sz w:val="18"/>
        </w:rPr>
        <w:t>subject</w:t>
      </w:r>
      <w:r>
        <w:rPr>
          <w:spacing w:val="-24"/>
          <w:sz w:val="18"/>
        </w:rPr>
        <w:t> </w:t>
      </w:r>
      <w:r>
        <w:rPr>
          <w:sz w:val="18"/>
        </w:rPr>
        <w:t>property</w:t>
      </w:r>
      <w:r>
        <w:rPr>
          <w:spacing w:val="-24"/>
          <w:sz w:val="18"/>
        </w:rPr>
        <w:t> </w:t>
      </w:r>
      <w:r>
        <w:rPr>
          <w:sz w:val="18"/>
        </w:rPr>
        <w:t>under</w:t>
      </w:r>
      <w:r>
        <w:rPr>
          <w:spacing w:val="-24"/>
          <w:sz w:val="18"/>
        </w:rPr>
        <w:t> </w:t>
      </w:r>
      <w:r>
        <w:rPr>
          <w:sz w:val="18"/>
        </w:rPr>
        <w:t>the ownership of the Client is approximately 25.52</w:t>
      </w:r>
      <w:r>
        <w:rPr>
          <w:spacing w:val="-25"/>
          <w:sz w:val="18"/>
        </w:rPr>
        <w:t> </w:t>
      </w:r>
      <w:r>
        <w:rPr>
          <w:sz w:val="18"/>
        </w:rPr>
        <w:t>acres</w:t>
      </w:r>
    </w:p>
    <w:p>
      <w:pPr>
        <w:pStyle w:val="BodyText"/>
        <w:spacing w:before="7"/>
        <w:rPr>
          <w:sz w:val="21"/>
        </w:rPr>
      </w:pPr>
    </w:p>
    <w:p>
      <w:pPr>
        <w:spacing w:line="321" w:lineRule="auto" w:before="0"/>
        <w:ind w:left="2277" w:right="658" w:hanging="1885"/>
        <w:jc w:val="both"/>
        <w:rPr>
          <w:sz w:val="18"/>
        </w:rPr>
      </w:pPr>
      <w:r>
        <w:rPr>
          <w:color w:val="006A4D"/>
          <w:sz w:val="18"/>
        </w:rPr>
        <w:t>Brief Description:</w:t>
      </w:r>
      <w:r>
        <w:rPr>
          <w:color w:val="006A4D"/>
          <w:spacing w:val="15"/>
          <w:sz w:val="18"/>
        </w:rPr>
        <w:t> </w:t>
      </w:r>
      <w:r>
        <w:rPr>
          <w:sz w:val="18"/>
        </w:rPr>
        <w:t>‘Embassy Quadron’, has been conceptualized as an IT SEZ office park leased to various domestic and multi- national</w:t>
      </w:r>
      <w:r>
        <w:rPr>
          <w:spacing w:val="-22"/>
          <w:sz w:val="18"/>
        </w:rPr>
        <w:t> </w:t>
      </w:r>
      <w:r>
        <w:rPr>
          <w:sz w:val="18"/>
        </w:rPr>
        <w:t>IT/</w:t>
      </w:r>
      <w:r>
        <w:rPr>
          <w:spacing w:val="-22"/>
          <w:sz w:val="18"/>
        </w:rPr>
        <w:t> </w:t>
      </w:r>
      <w:r>
        <w:rPr>
          <w:sz w:val="18"/>
        </w:rPr>
        <w:t>ITeS</w:t>
      </w:r>
      <w:r>
        <w:rPr>
          <w:spacing w:val="-22"/>
          <w:sz w:val="18"/>
        </w:rPr>
        <w:t> </w:t>
      </w:r>
      <w:r>
        <w:rPr>
          <w:sz w:val="18"/>
        </w:rPr>
        <w:t>tenants.</w:t>
      </w:r>
      <w:r>
        <w:rPr>
          <w:spacing w:val="-21"/>
          <w:sz w:val="18"/>
        </w:rPr>
        <w:t> </w:t>
      </w:r>
      <w:r>
        <w:rPr>
          <w:sz w:val="18"/>
        </w:rPr>
        <w:t>The</w:t>
      </w:r>
      <w:r>
        <w:rPr>
          <w:spacing w:val="-23"/>
          <w:sz w:val="18"/>
        </w:rPr>
        <w:t> </w:t>
      </w:r>
      <w:r>
        <w:rPr>
          <w:sz w:val="18"/>
        </w:rPr>
        <w:t>property</w:t>
      </w:r>
      <w:r>
        <w:rPr>
          <w:spacing w:val="-21"/>
          <w:sz w:val="18"/>
        </w:rPr>
        <w:t> </w:t>
      </w:r>
      <w:r>
        <w:rPr>
          <w:sz w:val="18"/>
        </w:rPr>
        <w:t>is</w:t>
      </w:r>
      <w:r>
        <w:rPr>
          <w:spacing w:val="-19"/>
          <w:sz w:val="18"/>
        </w:rPr>
        <w:t> </w:t>
      </w:r>
      <w:r>
        <w:rPr>
          <w:sz w:val="18"/>
        </w:rPr>
        <w:t>a</w:t>
      </w:r>
      <w:r>
        <w:rPr>
          <w:spacing w:val="-21"/>
          <w:sz w:val="18"/>
        </w:rPr>
        <w:t> </w:t>
      </w:r>
      <w:r>
        <w:rPr>
          <w:sz w:val="18"/>
        </w:rPr>
        <w:t>high-quality</w:t>
      </w:r>
      <w:r>
        <w:rPr>
          <w:spacing w:val="-21"/>
          <w:sz w:val="18"/>
        </w:rPr>
        <w:t> </w:t>
      </w:r>
      <w:r>
        <w:rPr>
          <w:sz w:val="18"/>
        </w:rPr>
        <w:t>office</w:t>
      </w:r>
      <w:r>
        <w:rPr>
          <w:spacing w:val="-22"/>
          <w:sz w:val="18"/>
        </w:rPr>
        <w:t> </w:t>
      </w:r>
      <w:r>
        <w:rPr>
          <w:sz w:val="18"/>
        </w:rPr>
        <w:t>park,</w:t>
      </w:r>
      <w:r>
        <w:rPr>
          <w:spacing w:val="-21"/>
          <w:sz w:val="18"/>
        </w:rPr>
        <w:t> </w:t>
      </w:r>
      <w:r>
        <w:rPr>
          <w:sz w:val="18"/>
        </w:rPr>
        <w:t>well</w:t>
      </w:r>
      <w:r>
        <w:rPr>
          <w:spacing w:val="-23"/>
          <w:sz w:val="18"/>
        </w:rPr>
        <w:t> </w:t>
      </w:r>
      <w:r>
        <w:rPr>
          <w:sz w:val="18"/>
        </w:rPr>
        <w:t>equipped</w:t>
      </w:r>
      <w:r>
        <w:rPr>
          <w:spacing w:val="-23"/>
          <w:sz w:val="18"/>
        </w:rPr>
        <w:t> </w:t>
      </w:r>
      <w:r>
        <w:rPr>
          <w:sz w:val="18"/>
        </w:rPr>
        <w:t>with</w:t>
      </w:r>
      <w:r>
        <w:rPr>
          <w:spacing w:val="-21"/>
          <w:sz w:val="18"/>
        </w:rPr>
        <w:t> </w:t>
      </w:r>
      <w:r>
        <w:rPr>
          <w:sz w:val="18"/>
        </w:rPr>
        <w:t>number</w:t>
      </w:r>
      <w:r>
        <w:rPr>
          <w:spacing w:val="-21"/>
          <w:sz w:val="18"/>
        </w:rPr>
        <w:t> </w:t>
      </w:r>
      <w:r>
        <w:rPr>
          <w:sz w:val="18"/>
        </w:rPr>
        <w:t>of</w:t>
      </w:r>
      <w:r>
        <w:rPr>
          <w:spacing w:val="-22"/>
          <w:sz w:val="18"/>
        </w:rPr>
        <w:t> </w:t>
      </w:r>
      <w:r>
        <w:rPr>
          <w:sz w:val="18"/>
        </w:rPr>
        <w:t>facilities and amenities like enhanced landscapes, state of the art 2,000+ seater food court, ATMs, indoor sports zone,</w:t>
      </w:r>
      <w:r>
        <w:rPr>
          <w:spacing w:val="-7"/>
          <w:sz w:val="18"/>
        </w:rPr>
        <w:t> </w:t>
      </w:r>
      <w:r>
        <w:rPr>
          <w:sz w:val="18"/>
        </w:rPr>
        <w:t>gymnasium,</w:t>
      </w:r>
      <w:r>
        <w:rPr>
          <w:spacing w:val="-6"/>
          <w:sz w:val="18"/>
        </w:rPr>
        <w:t> </w:t>
      </w:r>
      <w:r>
        <w:rPr>
          <w:sz w:val="18"/>
        </w:rPr>
        <w:t>crèche,</w:t>
      </w:r>
      <w:r>
        <w:rPr>
          <w:spacing w:val="-7"/>
          <w:sz w:val="18"/>
        </w:rPr>
        <w:t> </w:t>
      </w:r>
      <w:r>
        <w:rPr>
          <w:sz w:val="18"/>
        </w:rPr>
        <w:t>two-wheeler</w:t>
      </w:r>
      <w:r>
        <w:rPr>
          <w:spacing w:val="-7"/>
          <w:sz w:val="18"/>
        </w:rPr>
        <w:t> </w:t>
      </w:r>
      <w:r>
        <w:rPr>
          <w:sz w:val="18"/>
        </w:rPr>
        <w:t>and</w:t>
      </w:r>
      <w:r>
        <w:rPr>
          <w:spacing w:val="-6"/>
          <w:sz w:val="18"/>
        </w:rPr>
        <w:t> </w:t>
      </w:r>
      <w:r>
        <w:rPr>
          <w:sz w:val="18"/>
        </w:rPr>
        <w:t>four-wheeler</w:t>
      </w:r>
      <w:r>
        <w:rPr>
          <w:spacing w:val="-7"/>
          <w:sz w:val="18"/>
        </w:rPr>
        <w:t> </w:t>
      </w:r>
      <w:r>
        <w:rPr>
          <w:sz w:val="18"/>
        </w:rPr>
        <w:t>car</w:t>
      </w:r>
      <w:r>
        <w:rPr>
          <w:spacing w:val="-7"/>
          <w:sz w:val="18"/>
        </w:rPr>
        <w:t> </w:t>
      </w:r>
      <w:r>
        <w:rPr>
          <w:sz w:val="18"/>
        </w:rPr>
        <w:t>parking</w:t>
      </w:r>
      <w:r>
        <w:rPr>
          <w:spacing w:val="-6"/>
          <w:sz w:val="18"/>
        </w:rPr>
        <w:t> </w:t>
      </w:r>
      <w:r>
        <w:rPr>
          <w:sz w:val="18"/>
        </w:rPr>
        <w:t>spaces,</w:t>
      </w:r>
      <w:r>
        <w:rPr>
          <w:spacing w:val="-6"/>
          <w:sz w:val="18"/>
        </w:rPr>
        <w:t> </w:t>
      </w:r>
      <w:r>
        <w:rPr>
          <w:sz w:val="18"/>
        </w:rPr>
        <w:t>etc.</w:t>
      </w:r>
      <w:r>
        <w:rPr>
          <w:spacing w:val="-7"/>
          <w:sz w:val="18"/>
        </w:rPr>
        <w:t> </w:t>
      </w:r>
      <w:r>
        <w:rPr>
          <w:sz w:val="18"/>
        </w:rPr>
        <w:t>The</w:t>
      </w:r>
      <w:r>
        <w:rPr>
          <w:spacing w:val="-5"/>
          <w:sz w:val="18"/>
        </w:rPr>
        <w:t> </w:t>
      </w:r>
      <w:r>
        <w:rPr>
          <w:sz w:val="18"/>
        </w:rPr>
        <w:t>property</w:t>
      </w:r>
      <w:r>
        <w:rPr>
          <w:spacing w:val="-6"/>
          <w:sz w:val="18"/>
        </w:rPr>
        <w:t> </w:t>
      </w:r>
      <w:r>
        <w:rPr>
          <w:sz w:val="18"/>
        </w:rPr>
        <w:t>has</w:t>
      </w:r>
      <w:r>
        <w:rPr>
          <w:spacing w:val="-6"/>
          <w:sz w:val="18"/>
        </w:rPr>
        <w:t> </w:t>
      </w:r>
      <w:r>
        <w:rPr>
          <w:sz w:val="18"/>
        </w:rPr>
        <w:t>been constructed in phased manner between 2008 to</w:t>
      </w:r>
      <w:r>
        <w:rPr>
          <w:spacing w:val="-16"/>
          <w:sz w:val="18"/>
        </w:rPr>
        <w:t> </w:t>
      </w:r>
      <w:r>
        <w:rPr>
          <w:sz w:val="18"/>
        </w:rPr>
        <w:t>2011.</w:t>
      </w:r>
    </w:p>
    <w:p>
      <w:pPr>
        <w:spacing w:before="122"/>
        <w:ind w:left="2277" w:right="0" w:firstLine="0"/>
        <w:jc w:val="both"/>
        <w:rPr>
          <w:sz w:val="18"/>
        </w:rPr>
      </w:pPr>
      <w:r>
        <w:rPr>
          <w:sz w:val="18"/>
        </w:rPr>
        <w:t>The development currently includes four operational buildings vis. Q1 to Q4.</w:t>
      </w:r>
    </w:p>
    <w:p>
      <w:pPr>
        <w:spacing w:line="321" w:lineRule="auto" w:before="192"/>
        <w:ind w:left="2277" w:right="660" w:firstLine="0"/>
        <w:jc w:val="both"/>
        <w:rPr>
          <w:sz w:val="18"/>
        </w:rPr>
      </w:pPr>
      <w:r>
        <w:rPr>
          <w:sz w:val="18"/>
        </w:rPr>
        <w:t>Further,</w:t>
      </w:r>
      <w:r>
        <w:rPr>
          <w:spacing w:val="-36"/>
          <w:sz w:val="18"/>
        </w:rPr>
        <w:t> </w:t>
      </w:r>
      <w:r>
        <w:rPr>
          <w:sz w:val="18"/>
        </w:rPr>
        <w:t>‘Embassy</w:t>
      </w:r>
      <w:r>
        <w:rPr>
          <w:spacing w:val="-36"/>
          <w:sz w:val="18"/>
        </w:rPr>
        <w:t> </w:t>
      </w:r>
      <w:r>
        <w:rPr>
          <w:sz w:val="18"/>
        </w:rPr>
        <w:t>Quadron’</w:t>
      </w:r>
      <w:r>
        <w:rPr>
          <w:spacing w:val="-35"/>
          <w:sz w:val="18"/>
        </w:rPr>
        <w:t> </w:t>
      </w:r>
      <w:r>
        <w:rPr>
          <w:sz w:val="18"/>
        </w:rPr>
        <w:t>is</w:t>
      </w:r>
      <w:r>
        <w:rPr>
          <w:spacing w:val="-38"/>
          <w:sz w:val="18"/>
        </w:rPr>
        <w:t> </w:t>
      </w:r>
      <w:r>
        <w:rPr>
          <w:sz w:val="18"/>
        </w:rPr>
        <w:t>strategically</w:t>
      </w:r>
      <w:r>
        <w:rPr>
          <w:spacing w:val="-35"/>
          <w:sz w:val="18"/>
        </w:rPr>
        <w:t> </w:t>
      </w:r>
      <w:r>
        <w:rPr>
          <w:sz w:val="18"/>
        </w:rPr>
        <w:t>located</w:t>
      </w:r>
      <w:r>
        <w:rPr>
          <w:spacing w:val="-35"/>
          <w:sz w:val="18"/>
        </w:rPr>
        <w:t> </w:t>
      </w:r>
      <w:r>
        <w:rPr>
          <w:sz w:val="18"/>
        </w:rPr>
        <w:t>in</w:t>
      </w:r>
      <w:r>
        <w:rPr>
          <w:spacing w:val="-36"/>
          <w:sz w:val="18"/>
        </w:rPr>
        <w:t> </w:t>
      </w:r>
      <w:r>
        <w:rPr>
          <w:sz w:val="18"/>
        </w:rPr>
        <w:t>Hinjewadi</w:t>
      </w:r>
      <w:r>
        <w:rPr>
          <w:spacing w:val="-35"/>
          <w:sz w:val="18"/>
        </w:rPr>
        <w:t> </w:t>
      </w:r>
      <w:r>
        <w:rPr>
          <w:sz w:val="18"/>
        </w:rPr>
        <w:t>which</w:t>
      </w:r>
      <w:r>
        <w:rPr>
          <w:spacing w:val="-36"/>
          <w:sz w:val="18"/>
        </w:rPr>
        <w:t> </w:t>
      </w:r>
      <w:r>
        <w:rPr>
          <w:sz w:val="18"/>
        </w:rPr>
        <w:t>is</w:t>
      </w:r>
      <w:r>
        <w:rPr>
          <w:spacing w:val="-36"/>
          <w:sz w:val="18"/>
        </w:rPr>
        <w:t> </w:t>
      </w:r>
      <w:r>
        <w:rPr>
          <w:sz w:val="18"/>
        </w:rPr>
        <w:t>a</w:t>
      </w:r>
      <w:r>
        <w:rPr>
          <w:spacing w:val="-35"/>
          <w:sz w:val="18"/>
        </w:rPr>
        <w:t> </w:t>
      </w:r>
      <w:r>
        <w:rPr>
          <w:sz w:val="18"/>
        </w:rPr>
        <w:t>prominent</w:t>
      </w:r>
      <w:r>
        <w:rPr>
          <w:spacing w:val="-37"/>
          <w:sz w:val="18"/>
        </w:rPr>
        <w:t> </w:t>
      </w:r>
      <w:r>
        <w:rPr>
          <w:sz w:val="18"/>
        </w:rPr>
        <w:t>commercial</w:t>
      </w:r>
      <w:r>
        <w:rPr>
          <w:spacing w:val="-34"/>
          <w:sz w:val="18"/>
        </w:rPr>
        <w:t> </w:t>
      </w:r>
      <w:r>
        <w:rPr>
          <w:sz w:val="18"/>
        </w:rPr>
        <w:t>technology hub of Pune city. ‘Embassy Quadron’ is located at a distance of approximately 7 </w:t>
      </w:r>
      <w:r>
        <w:rPr>
          <w:w w:val="105"/>
          <w:sz w:val="18"/>
        </w:rPr>
        <w:t>– </w:t>
      </w:r>
      <w:r>
        <w:rPr>
          <w:sz w:val="18"/>
        </w:rPr>
        <w:t>8 km from National Highway</w:t>
      </w:r>
      <w:r>
        <w:rPr>
          <w:spacing w:val="-4"/>
          <w:sz w:val="18"/>
        </w:rPr>
        <w:t> </w:t>
      </w:r>
      <w:r>
        <w:rPr>
          <w:sz w:val="18"/>
        </w:rPr>
        <w:t>48</w:t>
      </w:r>
      <w:r>
        <w:rPr>
          <w:spacing w:val="-3"/>
          <w:sz w:val="18"/>
        </w:rPr>
        <w:t> </w:t>
      </w:r>
      <w:r>
        <w:rPr>
          <w:sz w:val="18"/>
        </w:rPr>
        <w:t>(connecting</w:t>
      </w:r>
      <w:r>
        <w:rPr>
          <w:spacing w:val="-3"/>
          <w:sz w:val="18"/>
        </w:rPr>
        <w:t> </w:t>
      </w:r>
      <w:r>
        <w:rPr>
          <w:sz w:val="18"/>
        </w:rPr>
        <w:t>Mumbai </w:t>
      </w:r>
      <w:r>
        <w:rPr>
          <w:w w:val="105"/>
          <w:sz w:val="18"/>
        </w:rPr>
        <w:t>–</w:t>
      </w:r>
      <w:r>
        <w:rPr>
          <w:spacing w:val="-5"/>
          <w:w w:val="105"/>
          <w:sz w:val="18"/>
        </w:rPr>
        <w:t> </w:t>
      </w:r>
      <w:r>
        <w:rPr>
          <w:sz w:val="18"/>
        </w:rPr>
        <w:t>Pune</w:t>
      </w:r>
      <w:r>
        <w:rPr>
          <w:spacing w:val="-2"/>
          <w:sz w:val="18"/>
        </w:rPr>
        <w:t> </w:t>
      </w:r>
      <w:r>
        <w:rPr>
          <w:w w:val="105"/>
          <w:sz w:val="18"/>
        </w:rPr>
        <w:t>–</w:t>
      </w:r>
      <w:r>
        <w:rPr>
          <w:spacing w:val="-5"/>
          <w:w w:val="105"/>
          <w:sz w:val="18"/>
        </w:rPr>
        <w:t> </w:t>
      </w:r>
      <w:r>
        <w:rPr>
          <w:sz w:val="18"/>
        </w:rPr>
        <w:t>Bengaluru),</w:t>
      </w:r>
      <w:r>
        <w:rPr>
          <w:spacing w:val="-3"/>
          <w:sz w:val="18"/>
        </w:rPr>
        <w:t> </w:t>
      </w:r>
      <w:r>
        <w:rPr>
          <w:sz w:val="18"/>
        </w:rPr>
        <w:t>22</w:t>
      </w:r>
      <w:r>
        <w:rPr>
          <w:spacing w:val="-4"/>
          <w:sz w:val="18"/>
        </w:rPr>
        <w:t> </w:t>
      </w:r>
      <w:r>
        <w:rPr>
          <w:w w:val="105"/>
          <w:sz w:val="18"/>
        </w:rPr>
        <w:t>–</w:t>
      </w:r>
      <w:r>
        <w:rPr>
          <w:spacing w:val="-5"/>
          <w:w w:val="105"/>
          <w:sz w:val="18"/>
        </w:rPr>
        <w:t> </w:t>
      </w:r>
      <w:r>
        <w:rPr>
          <w:sz w:val="18"/>
        </w:rPr>
        <w:t>23</w:t>
      </w:r>
      <w:r>
        <w:rPr>
          <w:spacing w:val="-3"/>
          <w:sz w:val="18"/>
        </w:rPr>
        <w:t> </w:t>
      </w:r>
      <w:r>
        <w:rPr>
          <w:sz w:val="18"/>
        </w:rPr>
        <w:t>km</w:t>
      </w:r>
      <w:r>
        <w:rPr>
          <w:spacing w:val="-3"/>
          <w:sz w:val="18"/>
        </w:rPr>
        <w:t> </w:t>
      </w:r>
      <w:r>
        <w:rPr>
          <w:sz w:val="18"/>
        </w:rPr>
        <w:t>from</w:t>
      </w:r>
      <w:r>
        <w:rPr>
          <w:spacing w:val="-2"/>
          <w:sz w:val="18"/>
        </w:rPr>
        <w:t> </w:t>
      </w:r>
      <w:r>
        <w:rPr>
          <w:sz w:val="18"/>
        </w:rPr>
        <w:t>Pune</w:t>
      </w:r>
      <w:r>
        <w:rPr>
          <w:spacing w:val="-3"/>
          <w:sz w:val="18"/>
        </w:rPr>
        <w:t> </w:t>
      </w:r>
      <w:r>
        <w:rPr>
          <w:sz w:val="18"/>
        </w:rPr>
        <w:t>CBD (Peth</w:t>
      </w:r>
      <w:r>
        <w:rPr>
          <w:spacing w:val="-2"/>
          <w:sz w:val="18"/>
        </w:rPr>
        <w:t> </w:t>
      </w:r>
      <w:r>
        <w:rPr>
          <w:sz w:val="18"/>
        </w:rPr>
        <w:t>areas),</w:t>
      </w:r>
      <w:r>
        <w:rPr>
          <w:spacing w:val="-4"/>
          <w:sz w:val="18"/>
        </w:rPr>
        <w:t> </w:t>
      </w:r>
      <w:r>
        <w:rPr>
          <w:sz w:val="18"/>
        </w:rPr>
        <w:t>22</w:t>
      </w:r>
      <w:r>
        <w:rPr>
          <w:spacing w:val="-1"/>
          <w:sz w:val="18"/>
        </w:rPr>
        <w:t> </w:t>
      </w:r>
      <w:r>
        <w:rPr>
          <w:w w:val="105"/>
          <w:sz w:val="18"/>
        </w:rPr>
        <w:t>–</w:t>
      </w:r>
      <w:r>
        <w:rPr>
          <w:spacing w:val="-5"/>
          <w:w w:val="105"/>
          <w:sz w:val="18"/>
        </w:rPr>
        <w:t> </w:t>
      </w:r>
      <w:r>
        <w:rPr>
          <w:sz w:val="18"/>
        </w:rPr>
        <w:t>23</w:t>
      </w:r>
      <w:r>
        <w:rPr>
          <w:spacing w:val="-4"/>
          <w:sz w:val="18"/>
        </w:rPr>
        <w:t> </w:t>
      </w:r>
      <w:r>
        <w:rPr>
          <w:sz w:val="18"/>
        </w:rPr>
        <w:t>km from</w:t>
      </w:r>
      <w:r>
        <w:rPr>
          <w:spacing w:val="-7"/>
          <w:sz w:val="18"/>
        </w:rPr>
        <w:t> </w:t>
      </w:r>
      <w:r>
        <w:rPr>
          <w:sz w:val="18"/>
        </w:rPr>
        <w:t>Pune</w:t>
      </w:r>
      <w:r>
        <w:rPr>
          <w:spacing w:val="-6"/>
          <w:sz w:val="18"/>
        </w:rPr>
        <w:t> </w:t>
      </w:r>
      <w:r>
        <w:rPr>
          <w:sz w:val="18"/>
        </w:rPr>
        <w:t>Railway</w:t>
      </w:r>
      <w:r>
        <w:rPr>
          <w:spacing w:val="-10"/>
          <w:sz w:val="18"/>
        </w:rPr>
        <w:t> </w:t>
      </w:r>
      <w:r>
        <w:rPr>
          <w:sz w:val="18"/>
        </w:rPr>
        <w:t>Station</w:t>
      </w:r>
      <w:r>
        <w:rPr>
          <w:spacing w:val="-7"/>
          <w:sz w:val="18"/>
        </w:rPr>
        <w:t> </w:t>
      </w:r>
      <w:r>
        <w:rPr>
          <w:sz w:val="18"/>
        </w:rPr>
        <w:t>and</w:t>
      </w:r>
      <w:r>
        <w:rPr>
          <w:spacing w:val="-9"/>
          <w:sz w:val="18"/>
        </w:rPr>
        <w:t> </w:t>
      </w:r>
      <w:r>
        <w:rPr>
          <w:sz w:val="18"/>
        </w:rPr>
        <w:t>approximately</w:t>
      </w:r>
      <w:r>
        <w:rPr>
          <w:spacing w:val="-8"/>
          <w:sz w:val="18"/>
        </w:rPr>
        <w:t> </w:t>
      </w:r>
      <w:r>
        <w:rPr>
          <w:sz w:val="18"/>
        </w:rPr>
        <w:t>26</w:t>
      </w:r>
      <w:r>
        <w:rPr>
          <w:spacing w:val="-5"/>
          <w:sz w:val="18"/>
        </w:rPr>
        <w:t> </w:t>
      </w:r>
      <w:r>
        <w:rPr>
          <w:sz w:val="18"/>
        </w:rPr>
        <w:t>-</w:t>
      </w:r>
      <w:r>
        <w:rPr>
          <w:spacing w:val="-7"/>
          <w:sz w:val="18"/>
        </w:rPr>
        <w:t> </w:t>
      </w:r>
      <w:r>
        <w:rPr>
          <w:sz w:val="18"/>
        </w:rPr>
        <w:t>27</w:t>
      </w:r>
      <w:r>
        <w:rPr>
          <w:spacing w:val="-8"/>
          <w:sz w:val="18"/>
        </w:rPr>
        <w:t> </w:t>
      </w:r>
      <w:r>
        <w:rPr>
          <w:sz w:val="18"/>
        </w:rPr>
        <w:t>km</w:t>
      </w:r>
      <w:r>
        <w:rPr>
          <w:spacing w:val="-7"/>
          <w:sz w:val="18"/>
        </w:rPr>
        <w:t> </w:t>
      </w:r>
      <w:r>
        <w:rPr>
          <w:sz w:val="18"/>
        </w:rPr>
        <w:t>from</w:t>
      </w:r>
      <w:r>
        <w:rPr>
          <w:spacing w:val="-6"/>
          <w:sz w:val="18"/>
        </w:rPr>
        <w:t> </w:t>
      </w:r>
      <w:r>
        <w:rPr>
          <w:sz w:val="18"/>
        </w:rPr>
        <w:t>Pune</w:t>
      </w:r>
      <w:r>
        <w:rPr>
          <w:spacing w:val="-6"/>
          <w:sz w:val="18"/>
        </w:rPr>
        <w:t> </w:t>
      </w:r>
      <w:r>
        <w:rPr>
          <w:sz w:val="18"/>
        </w:rPr>
        <w:t>International</w:t>
      </w:r>
      <w:r>
        <w:rPr>
          <w:spacing w:val="-8"/>
          <w:sz w:val="18"/>
        </w:rPr>
        <w:t> </w:t>
      </w:r>
      <w:r>
        <w:rPr>
          <w:sz w:val="18"/>
        </w:rPr>
        <w:t>Airport.</w:t>
      </w:r>
    </w:p>
    <w:p>
      <w:pPr>
        <w:pStyle w:val="BodyText"/>
        <w:spacing w:before="9"/>
        <w:rPr>
          <w:sz w:val="12"/>
        </w:rPr>
      </w:pPr>
    </w:p>
    <w:p>
      <w:pPr>
        <w:spacing w:after="0"/>
        <w:rPr>
          <w:sz w:val="12"/>
        </w:rPr>
        <w:sectPr>
          <w:pgSz w:w="11910" w:h="16840"/>
          <w:pgMar w:header="720" w:footer="842" w:top="1520" w:bottom="1040" w:left="440" w:right="80"/>
        </w:sectPr>
      </w:pPr>
    </w:p>
    <w:p>
      <w:pPr>
        <w:spacing w:line="324" w:lineRule="auto" w:before="104"/>
        <w:ind w:left="392" w:right="-11" w:firstLine="0"/>
        <w:jc w:val="left"/>
        <w:rPr>
          <w:sz w:val="18"/>
        </w:rPr>
      </w:pPr>
      <w:r>
        <w:rPr>
          <w:color w:val="006A4D"/>
          <w:w w:val="95"/>
          <w:sz w:val="18"/>
        </w:rPr>
        <w:t>Statement of</w:t>
      </w:r>
      <w:r>
        <w:rPr>
          <w:color w:val="006A4D"/>
          <w:spacing w:val="-29"/>
          <w:w w:val="95"/>
          <w:sz w:val="18"/>
        </w:rPr>
        <w:t> </w:t>
      </w:r>
      <w:r>
        <w:rPr>
          <w:color w:val="006A4D"/>
          <w:w w:val="95"/>
          <w:sz w:val="18"/>
        </w:rPr>
        <w:t>Assets </w:t>
      </w:r>
      <w:r>
        <w:rPr>
          <w:color w:val="006A4D"/>
          <w:sz w:val="18"/>
        </w:rPr>
        <w:t>(sft):</w:t>
      </w:r>
    </w:p>
    <w:p>
      <w:pPr>
        <w:spacing w:line="321" w:lineRule="auto" w:before="104"/>
        <w:ind w:left="340" w:right="664" w:firstLine="0"/>
        <w:jc w:val="both"/>
        <w:rPr>
          <w:sz w:val="18"/>
        </w:rPr>
      </w:pPr>
      <w:r>
        <w:rPr/>
        <w:br w:type="column"/>
      </w:r>
      <w:r>
        <w:rPr>
          <w:sz w:val="18"/>
        </w:rPr>
        <w:t>Based</w:t>
      </w:r>
      <w:r>
        <w:rPr>
          <w:spacing w:val="-16"/>
          <w:sz w:val="18"/>
        </w:rPr>
        <w:t> </w:t>
      </w:r>
      <w:r>
        <w:rPr>
          <w:sz w:val="18"/>
        </w:rPr>
        <w:t>on</w:t>
      </w:r>
      <w:r>
        <w:rPr>
          <w:spacing w:val="-15"/>
          <w:sz w:val="18"/>
        </w:rPr>
        <w:t> </w:t>
      </w:r>
      <w:r>
        <w:rPr>
          <w:sz w:val="18"/>
        </w:rPr>
        <w:t>review</w:t>
      </w:r>
      <w:r>
        <w:rPr>
          <w:spacing w:val="-16"/>
          <w:sz w:val="18"/>
        </w:rPr>
        <w:t> </w:t>
      </w:r>
      <w:r>
        <w:rPr>
          <w:sz w:val="18"/>
        </w:rPr>
        <w:t>of</w:t>
      </w:r>
      <w:r>
        <w:rPr>
          <w:spacing w:val="-15"/>
          <w:sz w:val="18"/>
        </w:rPr>
        <w:t> </w:t>
      </w:r>
      <w:r>
        <w:rPr>
          <w:sz w:val="18"/>
        </w:rPr>
        <w:t>various</w:t>
      </w:r>
      <w:r>
        <w:rPr>
          <w:spacing w:val="-15"/>
          <w:sz w:val="18"/>
        </w:rPr>
        <w:t> </w:t>
      </w:r>
      <w:r>
        <w:rPr>
          <w:sz w:val="18"/>
        </w:rPr>
        <w:t>documents</w:t>
      </w:r>
      <w:r>
        <w:rPr>
          <w:spacing w:val="-14"/>
          <w:sz w:val="18"/>
        </w:rPr>
        <w:t> </w:t>
      </w:r>
      <w:r>
        <w:rPr>
          <w:sz w:val="18"/>
        </w:rPr>
        <w:t>(such</w:t>
      </w:r>
      <w:r>
        <w:rPr>
          <w:spacing w:val="-15"/>
          <w:sz w:val="18"/>
        </w:rPr>
        <w:t> </w:t>
      </w:r>
      <w:r>
        <w:rPr>
          <w:sz w:val="18"/>
        </w:rPr>
        <w:t>as</w:t>
      </w:r>
      <w:r>
        <w:rPr>
          <w:spacing w:val="-15"/>
          <w:sz w:val="18"/>
        </w:rPr>
        <w:t> </w:t>
      </w:r>
      <w:r>
        <w:rPr>
          <w:sz w:val="18"/>
        </w:rPr>
        <w:t>rent</w:t>
      </w:r>
      <w:r>
        <w:rPr>
          <w:spacing w:val="-15"/>
          <w:sz w:val="18"/>
        </w:rPr>
        <w:t> </w:t>
      </w:r>
      <w:r>
        <w:rPr>
          <w:sz w:val="18"/>
        </w:rPr>
        <w:t>roll,</w:t>
      </w:r>
      <w:r>
        <w:rPr>
          <w:spacing w:val="-15"/>
          <w:sz w:val="18"/>
        </w:rPr>
        <w:t> </w:t>
      </w:r>
      <w:r>
        <w:rPr>
          <w:sz w:val="18"/>
        </w:rPr>
        <w:t>Architect’s</w:t>
      </w:r>
      <w:r>
        <w:rPr>
          <w:spacing w:val="-14"/>
          <w:sz w:val="18"/>
        </w:rPr>
        <w:t> </w:t>
      </w:r>
      <w:r>
        <w:rPr>
          <w:sz w:val="18"/>
        </w:rPr>
        <w:t>Certificate,</w:t>
      </w:r>
      <w:r>
        <w:rPr>
          <w:spacing w:val="-15"/>
          <w:sz w:val="18"/>
        </w:rPr>
        <w:t> </w:t>
      </w:r>
      <w:r>
        <w:rPr>
          <w:sz w:val="18"/>
        </w:rPr>
        <w:t>etc.),</w:t>
      </w:r>
      <w:r>
        <w:rPr>
          <w:spacing w:val="-16"/>
          <w:sz w:val="18"/>
        </w:rPr>
        <w:t> </w:t>
      </w:r>
      <w:r>
        <w:rPr>
          <w:sz w:val="18"/>
        </w:rPr>
        <w:t>we</w:t>
      </w:r>
      <w:r>
        <w:rPr>
          <w:spacing w:val="-17"/>
          <w:sz w:val="18"/>
        </w:rPr>
        <w:t> </w:t>
      </w:r>
      <w:r>
        <w:rPr>
          <w:sz w:val="18"/>
        </w:rPr>
        <w:t>understand</w:t>
      </w:r>
      <w:r>
        <w:rPr>
          <w:spacing w:val="-14"/>
          <w:sz w:val="18"/>
        </w:rPr>
        <w:t> </w:t>
      </w:r>
      <w:r>
        <w:rPr>
          <w:sz w:val="18"/>
        </w:rPr>
        <w:t>that ‘Embassy</w:t>
      </w:r>
      <w:r>
        <w:rPr>
          <w:spacing w:val="-13"/>
          <w:sz w:val="18"/>
        </w:rPr>
        <w:t> </w:t>
      </w:r>
      <w:r>
        <w:rPr>
          <w:sz w:val="18"/>
        </w:rPr>
        <w:t>Quadron’</w:t>
      </w:r>
      <w:r>
        <w:rPr>
          <w:spacing w:val="-14"/>
          <w:sz w:val="18"/>
        </w:rPr>
        <w:t> </w:t>
      </w:r>
      <w:r>
        <w:rPr>
          <w:sz w:val="18"/>
        </w:rPr>
        <w:t>is</w:t>
      </w:r>
      <w:r>
        <w:rPr>
          <w:spacing w:val="-14"/>
          <w:sz w:val="18"/>
        </w:rPr>
        <w:t> </w:t>
      </w:r>
      <w:r>
        <w:rPr>
          <w:sz w:val="18"/>
        </w:rPr>
        <w:t>an</w:t>
      </w:r>
      <w:r>
        <w:rPr>
          <w:spacing w:val="-13"/>
          <w:sz w:val="18"/>
        </w:rPr>
        <w:t> </w:t>
      </w:r>
      <w:r>
        <w:rPr>
          <w:sz w:val="18"/>
        </w:rPr>
        <w:t>operational</w:t>
      </w:r>
      <w:r>
        <w:rPr>
          <w:spacing w:val="-12"/>
          <w:sz w:val="18"/>
        </w:rPr>
        <w:t> </w:t>
      </w:r>
      <w:r>
        <w:rPr>
          <w:sz w:val="18"/>
        </w:rPr>
        <w:t>SEZ</w:t>
      </w:r>
      <w:r>
        <w:rPr>
          <w:spacing w:val="-14"/>
          <w:sz w:val="18"/>
        </w:rPr>
        <w:t> </w:t>
      </w:r>
      <w:r>
        <w:rPr>
          <w:sz w:val="18"/>
        </w:rPr>
        <w:t>office</w:t>
      </w:r>
      <w:r>
        <w:rPr>
          <w:spacing w:val="-13"/>
          <w:sz w:val="18"/>
        </w:rPr>
        <w:t> </w:t>
      </w:r>
      <w:r>
        <w:rPr>
          <w:sz w:val="18"/>
        </w:rPr>
        <w:t>asset</w:t>
      </w:r>
      <w:r>
        <w:rPr>
          <w:spacing w:val="-13"/>
          <w:sz w:val="18"/>
        </w:rPr>
        <w:t> </w:t>
      </w:r>
      <w:r>
        <w:rPr>
          <w:sz w:val="18"/>
        </w:rPr>
        <w:t>with</w:t>
      </w:r>
      <w:r>
        <w:rPr>
          <w:spacing w:val="-13"/>
          <w:sz w:val="18"/>
        </w:rPr>
        <w:t> </w:t>
      </w:r>
      <w:r>
        <w:rPr>
          <w:sz w:val="18"/>
        </w:rPr>
        <w:t>approximately</w:t>
      </w:r>
      <w:r>
        <w:rPr>
          <w:spacing w:val="-15"/>
          <w:sz w:val="18"/>
        </w:rPr>
        <w:t> </w:t>
      </w:r>
      <w:r>
        <w:rPr>
          <w:sz w:val="18"/>
        </w:rPr>
        <w:t>1.9</w:t>
      </w:r>
      <w:r>
        <w:rPr>
          <w:spacing w:val="-14"/>
          <w:sz w:val="18"/>
        </w:rPr>
        <w:t> </w:t>
      </w:r>
      <w:r>
        <w:rPr>
          <w:sz w:val="18"/>
        </w:rPr>
        <w:t>mn</w:t>
      </w:r>
      <w:r>
        <w:rPr>
          <w:spacing w:val="-13"/>
          <w:sz w:val="18"/>
        </w:rPr>
        <w:t> </w:t>
      </w:r>
      <w:r>
        <w:rPr>
          <w:sz w:val="18"/>
        </w:rPr>
        <w:t>sft</w:t>
      </w:r>
      <w:r>
        <w:rPr>
          <w:spacing w:val="-14"/>
          <w:sz w:val="18"/>
        </w:rPr>
        <w:t> </w:t>
      </w:r>
      <w:r>
        <w:rPr>
          <w:sz w:val="18"/>
        </w:rPr>
        <w:t>of</w:t>
      </w:r>
      <w:r>
        <w:rPr>
          <w:spacing w:val="-14"/>
          <w:sz w:val="18"/>
        </w:rPr>
        <w:t> </w:t>
      </w:r>
      <w:r>
        <w:rPr>
          <w:sz w:val="18"/>
        </w:rPr>
        <w:t>completed</w:t>
      </w:r>
      <w:r>
        <w:rPr>
          <w:spacing w:val="-13"/>
          <w:sz w:val="18"/>
        </w:rPr>
        <w:t> </w:t>
      </w:r>
      <w:r>
        <w:rPr>
          <w:sz w:val="18"/>
        </w:rPr>
        <w:t>leasable area</w:t>
      </w:r>
      <w:r>
        <w:rPr>
          <w:spacing w:val="-4"/>
          <w:sz w:val="18"/>
        </w:rPr>
        <w:t> </w:t>
      </w:r>
      <w:r>
        <w:rPr>
          <w:sz w:val="18"/>
        </w:rPr>
        <w:t>out</w:t>
      </w:r>
      <w:r>
        <w:rPr>
          <w:spacing w:val="-7"/>
          <w:sz w:val="18"/>
        </w:rPr>
        <w:t> </w:t>
      </w:r>
      <w:r>
        <w:rPr>
          <w:sz w:val="18"/>
        </w:rPr>
        <w:t>of</w:t>
      </w:r>
      <w:r>
        <w:rPr>
          <w:spacing w:val="-4"/>
          <w:sz w:val="18"/>
        </w:rPr>
        <w:t> </w:t>
      </w:r>
      <w:r>
        <w:rPr>
          <w:sz w:val="18"/>
        </w:rPr>
        <w:t>which</w:t>
      </w:r>
      <w:r>
        <w:rPr>
          <w:spacing w:val="-3"/>
          <w:sz w:val="18"/>
        </w:rPr>
        <w:t> </w:t>
      </w:r>
      <w:r>
        <w:rPr>
          <w:sz w:val="18"/>
        </w:rPr>
        <w:t>committed</w:t>
      </w:r>
      <w:r>
        <w:rPr>
          <w:spacing w:val="-5"/>
          <w:sz w:val="18"/>
        </w:rPr>
        <w:t> </w:t>
      </w:r>
      <w:r>
        <w:rPr>
          <w:sz w:val="18"/>
        </w:rPr>
        <w:t>occupancy</w:t>
      </w:r>
      <w:r>
        <w:rPr>
          <w:spacing w:val="-5"/>
          <w:sz w:val="18"/>
        </w:rPr>
        <w:t> </w:t>
      </w:r>
      <w:r>
        <w:rPr>
          <w:sz w:val="18"/>
        </w:rPr>
        <w:t>is</w:t>
      </w:r>
      <w:r>
        <w:rPr>
          <w:spacing w:val="-5"/>
          <w:sz w:val="18"/>
        </w:rPr>
        <w:t> </w:t>
      </w:r>
      <w:r>
        <w:rPr>
          <w:sz w:val="18"/>
        </w:rPr>
        <w:t>approximately</w:t>
      </w:r>
      <w:r>
        <w:rPr>
          <w:spacing w:val="-5"/>
          <w:sz w:val="18"/>
        </w:rPr>
        <w:t> </w:t>
      </w:r>
      <w:r>
        <w:rPr>
          <w:sz w:val="18"/>
        </w:rPr>
        <w:t>79.0%</w:t>
      </w:r>
      <w:r>
        <w:rPr>
          <w:spacing w:val="-4"/>
          <w:sz w:val="18"/>
        </w:rPr>
        <w:t> </w:t>
      </w:r>
      <w:r>
        <w:rPr>
          <w:sz w:val="18"/>
        </w:rPr>
        <w:t>as</w:t>
      </w:r>
      <w:r>
        <w:rPr>
          <w:spacing w:val="-5"/>
          <w:sz w:val="18"/>
        </w:rPr>
        <w:t> </w:t>
      </w:r>
      <w:r>
        <w:rPr>
          <w:sz w:val="18"/>
        </w:rPr>
        <w:t>on</w:t>
      </w:r>
      <w:r>
        <w:rPr>
          <w:spacing w:val="-4"/>
          <w:sz w:val="18"/>
        </w:rPr>
        <w:t> </w:t>
      </w:r>
      <w:r>
        <w:rPr>
          <w:sz w:val="18"/>
        </w:rPr>
        <w:t>the</w:t>
      </w:r>
      <w:r>
        <w:rPr>
          <w:spacing w:val="-5"/>
          <w:sz w:val="18"/>
        </w:rPr>
        <w:t> </w:t>
      </w:r>
      <w:r>
        <w:rPr>
          <w:sz w:val="18"/>
        </w:rPr>
        <w:t>date</w:t>
      </w:r>
      <w:r>
        <w:rPr>
          <w:spacing w:val="-5"/>
          <w:sz w:val="18"/>
        </w:rPr>
        <w:t> </w:t>
      </w:r>
      <w:r>
        <w:rPr>
          <w:sz w:val="18"/>
        </w:rPr>
        <w:t>of</w:t>
      </w:r>
      <w:r>
        <w:rPr>
          <w:spacing w:val="-6"/>
          <w:sz w:val="18"/>
        </w:rPr>
        <w:t> </w:t>
      </w:r>
      <w:r>
        <w:rPr>
          <w:sz w:val="18"/>
        </w:rPr>
        <w:t>valuation.</w:t>
      </w:r>
      <w:r>
        <w:rPr>
          <w:spacing w:val="-5"/>
          <w:sz w:val="18"/>
        </w:rPr>
        <w:t> </w:t>
      </w:r>
      <w:r>
        <w:rPr>
          <w:sz w:val="18"/>
        </w:rPr>
        <w:t>Table</w:t>
      </w:r>
      <w:r>
        <w:rPr>
          <w:spacing w:val="-5"/>
          <w:sz w:val="18"/>
        </w:rPr>
        <w:t> </w:t>
      </w:r>
      <w:r>
        <w:rPr>
          <w:sz w:val="18"/>
        </w:rPr>
        <w:t>below highlights</w:t>
      </w:r>
      <w:r>
        <w:rPr>
          <w:spacing w:val="-11"/>
          <w:sz w:val="18"/>
        </w:rPr>
        <w:t> </w:t>
      </w:r>
      <w:r>
        <w:rPr>
          <w:sz w:val="18"/>
        </w:rPr>
        <w:t>the</w:t>
      </w:r>
      <w:r>
        <w:rPr>
          <w:spacing w:val="-11"/>
          <w:sz w:val="18"/>
        </w:rPr>
        <w:t> </w:t>
      </w:r>
      <w:r>
        <w:rPr>
          <w:sz w:val="18"/>
        </w:rPr>
        <w:t>leasable</w:t>
      </w:r>
      <w:r>
        <w:rPr>
          <w:spacing w:val="-13"/>
          <w:sz w:val="18"/>
        </w:rPr>
        <w:t> </w:t>
      </w:r>
      <w:r>
        <w:rPr>
          <w:sz w:val="18"/>
        </w:rPr>
        <w:t>area</w:t>
      </w:r>
      <w:r>
        <w:rPr>
          <w:spacing w:val="-10"/>
          <w:sz w:val="18"/>
        </w:rPr>
        <w:t> </w:t>
      </w:r>
      <w:r>
        <w:rPr>
          <w:sz w:val="18"/>
        </w:rPr>
        <w:t>for</w:t>
      </w:r>
      <w:r>
        <w:rPr>
          <w:spacing w:val="-11"/>
          <w:sz w:val="18"/>
        </w:rPr>
        <w:t> </w:t>
      </w:r>
      <w:r>
        <w:rPr>
          <w:sz w:val="18"/>
        </w:rPr>
        <w:t>individual</w:t>
      </w:r>
      <w:r>
        <w:rPr>
          <w:spacing w:val="-12"/>
          <w:sz w:val="18"/>
        </w:rPr>
        <w:t> </w:t>
      </w:r>
      <w:r>
        <w:rPr>
          <w:sz w:val="18"/>
        </w:rPr>
        <w:t>blocks</w:t>
      </w:r>
      <w:r>
        <w:rPr>
          <w:spacing w:val="-6"/>
          <w:sz w:val="18"/>
        </w:rPr>
        <w:t> </w:t>
      </w:r>
      <w:r>
        <w:rPr>
          <w:sz w:val="18"/>
        </w:rPr>
        <w:t>that</w:t>
      </w:r>
      <w:r>
        <w:rPr>
          <w:spacing w:val="-12"/>
          <w:sz w:val="18"/>
        </w:rPr>
        <w:t> </w:t>
      </w:r>
      <w:r>
        <w:rPr>
          <w:sz w:val="18"/>
        </w:rPr>
        <w:t>form</w:t>
      </w:r>
      <w:r>
        <w:rPr>
          <w:spacing w:val="-11"/>
          <w:sz w:val="18"/>
        </w:rPr>
        <w:t> </w:t>
      </w:r>
      <w:r>
        <w:rPr>
          <w:sz w:val="18"/>
        </w:rPr>
        <w:t>part</w:t>
      </w:r>
      <w:r>
        <w:rPr>
          <w:spacing w:val="-12"/>
          <w:sz w:val="18"/>
        </w:rPr>
        <w:t> </w:t>
      </w:r>
      <w:r>
        <w:rPr>
          <w:sz w:val="18"/>
        </w:rPr>
        <w:t>of</w:t>
      </w:r>
      <w:r>
        <w:rPr>
          <w:spacing w:val="-11"/>
          <w:sz w:val="18"/>
        </w:rPr>
        <w:t> </w:t>
      </w:r>
      <w:r>
        <w:rPr>
          <w:sz w:val="18"/>
        </w:rPr>
        <w:t>the</w:t>
      </w:r>
      <w:r>
        <w:rPr>
          <w:spacing w:val="-10"/>
          <w:sz w:val="18"/>
        </w:rPr>
        <w:t> </w:t>
      </w:r>
      <w:r>
        <w:rPr>
          <w:sz w:val="18"/>
        </w:rPr>
        <w:t>subject</w:t>
      </w:r>
      <w:r>
        <w:rPr>
          <w:spacing w:val="-12"/>
          <w:sz w:val="18"/>
        </w:rPr>
        <w:t> </w:t>
      </w:r>
      <w:r>
        <w:rPr>
          <w:sz w:val="18"/>
        </w:rPr>
        <w:t>development:</w:t>
      </w:r>
    </w:p>
    <w:p>
      <w:pPr>
        <w:pStyle w:val="BodyText"/>
        <w:spacing w:before="1"/>
        <w:rPr>
          <w:sz w:val="10"/>
        </w:rPr>
      </w:pPr>
    </w:p>
    <w:tbl>
      <w:tblPr>
        <w:tblW w:w="0" w:type="auto"/>
        <w:jc w:val="left"/>
        <w:tblInd w:w="3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02"/>
        <w:gridCol w:w="5223"/>
      </w:tblGrid>
      <w:tr>
        <w:trPr>
          <w:trHeight w:val="333" w:hRule="atLeast"/>
        </w:trPr>
        <w:tc>
          <w:tcPr>
            <w:tcW w:w="3302" w:type="dxa"/>
            <w:tcBorders>
              <w:bottom w:val="single" w:sz="4" w:space="0" w:color="92D050"/>
            </w:tcBorders>
            <w:shd w:val="clear" w:color="auto" w:fill="006A4D"/>
          </w:tcPr>
          <w:p>
            <w:pPr>
              <w:pStyle w:val="TableParagraph"/>
              <w:spacing w:before="35"/>
              <w:ind w:left="945" w:right="1121"/>
              <w:rPr>
                <w:rFonts w:ascii="Verdana"/>
                <w:b/>
                <w:i/>
                <w:sz w:val="18"/>
              </w:rPr>
            </w:pPr>
            <w:r>
              <w:rPr>
                <w:rFonts w:ascii="Verdana"/>
                <w:b/>
                <w:i/>
                <w:color w:val="FFFFFF"/>
                <w:w w:val="95"/>
                <w:sz w:val="18"/>
              </w:rPr>
              <w:t>Components</w:t>
            </w:r>
          </w:p>
        </w:tc>
        <w:tc>
          <w:tcPr>
            <w:tcW w:w="5223" w:type="dxa"/>
            <w:tcBorders>
              <w:bottom w:val="single" w:sz="4" w:space="0" w:color="92D050"/>
            </w:tcBorders>
            <w:shd w:val="clear" w:color="auto" w:fill="006A4D"/>
          </w:tcPr>
          <w:p>
            <w:pPr>
              <w:pStyle w:val="TableParagraph"/>
              <w:spacing w:before="35"/>
              <w:ind w:left="996" w:right="1089"/>
              <w:rPr>
                <w:rFonts w:ascii="Verdana"/>
                <w:b/>
                <w:i/>
                <w:sz w:val="18"/>
              </w:rPr>
            </w:pPr>
            <w:r>
              <w:rPr>
                <w:rFonts w:ascii="Verdana"/>
                <w:b/>
                <w:i/>
                <w:color w:val="FFFFFF"/>
                <w:w w:val="95"/>
                <w:sz w:val="18"/>
              </w:rPr>
              <w:t>Completed leasable area (in sft)</w:t>
            </w:r>
          </w:p>
        </w:tc>
      </w:tr>
      <w:tr>
        <w:trPr>
          <w:trHeight w:val="302" w:hRule="atLeast"/>
        </w:trPr>
        <w:tc>
          <w:tcPr>
            <w:tcW w:w="3302" w:type="dxa"/>
            <w:tcBorders>
              <w:top w:val="single" w:sz="4" w:space="0" w:color="92D050"/>
              <w:bottom w:val="single" w:sz="4" w:space="0" w:color="92D050"/>
            </w:tcBorders>
          </w:tcPr>
          <w:p>
            <w:pPr>
              <w:pStyle w:val="TableParagraph"/>
              <w:spacing w:before="15"/>
              <w:ind w:left="943" w:right="1121"/>
              <w:rPr>
                <w:sz w:val="18"/>
              </w:rPr>
            </w:pPr>
            <w:r>
              <w:rPr>
                <w:sz w:val="18"/>
              </w:rPr>
              <w:t>Office space</w:t>
            </w:r>
          </w:p>
        </w:tc>
        <w:tc>
          <w:tcPr>
            <w:tcW w:w="5223" w:type="dxa"/>
            <w:tcBorders>
              <w:top w:val="single" w:sz="4" w:space="0" w:color="92D050"/>
              <w:bottom w:val="single" w:sz="4" w:space="0" w:color="92D050"/>
            </w:tcBorders>
          </w:tcPr>
          <w:p>
            <w:pPr>
              <w:pStyle w:val="TableParagraph"/>
              <w:spacing w:before="15"/>
              <w:ind w:left="996" w:right="1088"/>
              <w:rPr>
                <w:sz w:val="18"/>
              </w:rPr>
            </w:pPr>
            <w:r>
              <w:rPr>
                <w:w w:val="105"/>
                <w:sz w:val="18"/>
              </w:rPr>
              <w:t>1,843,236</w:t>
            </w:r>
          </w:p>
        </w:tc>
      </w:tr>
      <w:tr>
        <w:trPr>
          <w:trHeight w:val="299" w:hRule="atLeast"/>
        </w:trPr>
        <w:tc>
          <w:tcPr>
            <w:tcW w:w="3302" w:type="dxa"/>
            <w:tcBorders>
              <w:top w:val="single" w:sz="4" w:space="0" w:color="92D050"/>
              <w:bottom w:val="single" w:sz="4" w:space="0" w:color="92D050"/>
            </w:tcBorders>
          </w:tcPr>
          <w:p>
            <w:pPr>
              <w:pStyle w:val="TableParagraph"/>
              <w:spacing w:before="13"/>
              <w:ind w:left="945" w:right="1121"/>
              <w:rPr>
                <w:sz w:val="18"/>
              </w:rPr>
            </w:pPr>
            <w:r>
              <w:rPr>
                <w:sz w:val="18"/>
              </w:rPr>
              <w:t>Retail</w:t>
            </w:r>
          </w:p>
        </w:tc>
        <w:tc>
          <w:tcPr>
            <w:tcW w:w="5223" w:type="dxa"/>
            <w:tcBorders>
              <w:top w:val="single" w:sz="4" w:space="0" w:color="92D050"/>
              <w:bottom w:val="single" w:sz="4" w:space="0" w:color="92D050"/>
            </w:tcBorders>
          </w:tcPr>
          <w:p>
            <w:pPr>
              <w:pStyle w:val="TableParagraph"/>
              <w:spacing w:before="13"/>
              <w:ind w:left="996" w:right="1085"/>
              <w:rPr>
                <w:sz w:val="18"/>
              </w:rPr>
            </w:pPr>
            <w:r>
              <w:rPr>
                <w:w w:val="110"/>
                <w:sz w:val="18"/>
              </w:rPr>
              <w:t>22,887</w:t>
            </w:r>
          </w:p>
        </w:tc>
      </w:tr>
      <w:tr>
        <w:trPr>
          <w:trHeight w:val="302" w:hRule="atLeast"/>
        </w:trPr>
        <w:tc>
          <w:tcPr>
            <w:tcW w:w="3302" w:type="dxa"/>
            <w:tcBorders>
              <w:top w:val="single" w:sz="4" w:space="0" w:color="92D050"/>
              <w:bottom w:val="single" w:sz="4" w:space="0" w:color="92D050"/>
            </w:tcBorders>
          </w:tcPr>
          <w:p>
            <w:pPr>
              <w:pStyle w:val="TableParagraph"/>
              <w:spacing w:before="13"/>
              <w:ind w:left="943" w:right="1121"/>
              <w:rPr>
                <w:sz w:val="18"/>
              </w:rPr>
            </w:pPr>
            <w:r>
              <w:rPr>
                <w:sz w:val="18"/>
              </w:rPr>
              <w:t>Food Court</w:t>
            </w:r>
          </w:p>
        </w:tc>
        <w:tc>
          <w:tcPr>
            <w:tcW w:w="5223" w:type="dxa"/>
            <w:tcBorders>
              <w:top w:val="single" w:sz="4" w:space="0" w:color="92D050"/>
              <w:bottom w:val="single" w:sz="4" w:space="0" w:color="92D050"/>
            </w:tcBorders>
          </w:tcPr>
          <w:p>
            <w:pPr>
              <w:pStyle w:val="TableParagraph"/>
              <w:spacing w:before="13"/>
              <w:ind w:left="996" w:right="1085"/>
              <w:rPr>
                <w:sz w:val="18"/>
              </w:rPr>
            </w:pPr>
            <w:r>
              <w:rPr>
                <w:w w:val="110"/>
                <w:sz w:val="18"/>
              </w:rPr>
              <w:t>28,551</w:t>
            </w:r>
          </w:p>
        </w:tc>
      </w:tr>
      <w:tr>
        <w:trPr>
          <w:trHeight w:val="299" w:hRule="atLeast"/>
        </w:trPr>
        <w:tc>
          <w:tcPr>
            <w:tcW w:w="3302" w:type="dxa"/>
            <w:tcBorders>
              <w:top w:val="single" w:sz="4" w:space="0" w:color="92D050"/>
              <w:bottom w:val="single" w:sz="4" w:space="0" w:color="92D050"/>
            </w:tcBorders>
          </w:tcPr>
          <w:p>
            <w:pPr>
              <w:pStyle w:val="TableParagraph"/>
              <w:spacing w:before="13"/>
              <w:ind w:left="945" w:right="1121"/>
              <w:rPr>
                <w:sz w:val="18"/>
              </w:rPr>
            </w:pPr>
            <w:r>
              <w:rPr>
                <w:sz w:val="18"/>
              </w:rPr>
              <w:t>Total</w:t>
            </w:r>
          </w:p>
        </w:tc>
        <w:tc>
          <w:tcPr>
            <w:tcW w:w="5223" w:type="dxa"/>
            <w:tcBorders>
              <w:top w:val="single" w:sz="4" w:space="0" w:color="92D050"/>
              <w:bottom w:val="single" w:sz="4" w:space="0" w:color="92D050"/>
            </w:tcBorders>
          </w:tcPr>
          <w:p>
            <w:pPr>
              <w:pStyle w:val="TableParagraph"/>
              <w:spacing w:before="13"/>
              <w:ind w:left="996" w:right="1085"/>
              <w:rPr>
                <w:sz w:val="18"/>
              </w:rPr>
            </w:pPr>
            <w:r>
              <w:rPr>
                <w:w w:val="105"/>
                <w:sz w:val="18"/>
              </w:rPr>
              <w:t>1,894,674</w:t>
            </w:r>
          </w:p>
        </w:tc>
      </w:tr>
    </w:tbl>
    <w:p>
      <w:pPr>
        <w:spacing w:before="119"/>
        <w:ind w:left="340" w:right="0" w:firstLine="0"/>
        <w:jc w:val="both"/>
        <w:rPr>
          <w:sz w:val="18"/>
        </w:rPr>
      </w:pPr>
      <w:r>
        <w:rPr>
          <w:sz w:val="18"/>
        </w:rPr>
        <w:t>Source: Rent roll, lease deeds, architect certificate provided by the Client;</w:t>
      </w:r>
    </w:p>
    <w:p>
      <w:pPr>
        <w:spacing w:after="0"/>
        <w:jc w:val="both"/>
        <w:rPr>
          <w:sz w:val="18"/>
        </w:rPr>
        <w:sectPr>
          <w:type w:val="continuous"/>
          <w:pgSz w:w="11910" w:h="16840"/>
          <w:pgMar w:top="800" w:bottom="280" w:left="440" w:right="80"/>
          <w:cols w:num="2" w:equalWidth="0">
            <w:col w:w="1897" w:space="40"/>
            <w:col w:w="9453"/>
          </w:cols>
        </w:sectPr>
      </w:pPr>
    </w:p>
    <w:p>
      <w:pPr>
        <w:pStyle w:val="BodyText"/>
        <w:rPr>
          <w:sz w:val="20"/>
        </w:rPr>
      </w:pPr>
    </w:p>
    <w:p>
      <w:pPr>
        <w:pStyle w:val="BodyText"/>
        <w:spacing w:before="2"/>
        <w:rPr>
          <w:sz w:val="20"/>
        </w:rPr>
      </w:pPr>
    </w:p>
    <w:p>
      <w:pPr>
        <w:spacing w:line="321" w:lineRule="auto" w:before="105"/>
        <w:ind w:left="392" w:right="9985" w:firstLine="0"/>
        <w:jc w:val="left"/>
        <w:rPr>
          <w:sz w:val="18"/>
        </w:rPr>
      </w:pPr>
      <w:r>
        <w:rPr/>
        <w:pict>
          <v:shape style="position:absolute;margin-left:135.139999pt;margin-top:-.969345pt;width:426.25pt;height:66.75pt;mso-position-horizontal-relative:page;mso-position-vertical-relative:paragraph;z-index:158464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27"/>
                    <w:gridCol w:w="4597"/>
                  </w:tblGrid>
                  <w:tr>
                    <w:trPr>
                      <w:trHeight w:val="456" w:hRule="atLeast"/>
                    </w:trPr>
                    <w:tc>
                      <w:tcPr>
                        <w:tcW w:w="8524" w:type="dxa"/>
                        <w:gridSpan w:val="2"/>
                        <w:tcBorders>
                          <w:top w:val="single" w:sz="6" w:space="0" w:color="69BD28"/>
                          <w:bottom w:val="single" w:sz="6" w:space="0" w:color="69BD28"/>
                        </w:tcBorders>
                        <w:shd w:val="clear" w:color="auto" w:fill="006A4D"/>
                      </w:tcPr>
                      <w:p>
                        <w:pPr>
                          <w:pStyle w:val="TableParagraph"/>
                          <w:tabs>
                            <w:tab w:pos="5423" w:val="left" w:leader="none"/>
                          </w:tabs>
                          <w:spacing w:before="124"/>
                          <w:ind w:left="1051"/>
                          <w:jc w:val="left"/>
                          <w:rPr>
                            <w:b/>
                            <w:sz w:val="18"/>
                          </w:rPr>
                        </w:pPr>
                        <w:r>
                          <w:rPr>
                            <w:b/>
                            <w:color w:val="FFFFFF"/>
                            <w:w w:val="110"/>
                            <w:sz w:val="18"/>
                          </w:rPr>
                          <w:t>Valuation Approach</w:t>
                          <w:tab/>
                          <w:t>Completed</w:t>
                        </w:r>
                        <w:r>
                          <w:rPr>
                            <w:b/>
                            <w:color w:val="FFFFFF"/>
                            <w:spacing w:val="-5"/>
                            <w:w w:val="110"/>
                            <w:sz w:val="18"/>
                          </w:rPr>
                          <w:t> </w:t>
                        </w:r>
                        <w:r>
                          <w:rPr>
                            <w:b/>
                            <w:color w:val="FFFFFF"/>
                            <w:w w:val="110"/>
                            <w:sz w:val="18"/>
                          </w:rPr>
                          <w:t>Blocks</w:t>
                        </w:r>
                      </w:p>
                    </w:tc>
                  </w:tr>
                  <w:tr>
                    <w:trPr>
                      <w:trHeight w:val="834" w:hRule="atLeast"/>
                    </w:trPr>
                    <w:tc>
                      <w:tcPr>
                        <w:tcW w:w="3927" w:type="dxa"/>
                        <w:shd w:val="clear" w:color="auto" w:fill="69BD28"/>
                      </w:tcPr>
                      <w:p>
                        <w:pPr>
                          <w:pStyle w:val="TableParagraph"/>
                          <w:spacing w:before="11"/>
                          <w:jc w:val="left"/>
                          <w:rPr>
                            <w:sz w:val="26"/>
                          </w:rPr>
                        </w:pPr>
                      </w:p>
                      <w:p>
                        <w:pPr>
                          <w:pStyle w:val="TableParagraph"/>
                          <w:ind w:left="1152"/>
                          <w:jc w:val="left"/>
                          <w:rPr>
                            <w:b/>
                            <w:sz w:val="18"/>
                          </w:rPr>
                        </w:pPr>
                        <w:r>
                          <w:rPr>
                            <w:b/>
                            <w:color w:val="FFFFFF"/>
                            <w:w w:val="105"/>
                            <w:sz w:val="18"/>
                          </w:rPr>
                          <w:t>Office Component</w:t>
                        </w:r>
                      </w:p>
                    </w:tc>
                    <w:tc>
                      <w:tcPr>
                        <w:tcW w:w="4597" w:type="dxa"/>
                        <w:tcBorders>
                          <w:top w:val="single" w:sz="6" w:space="0" w:color="69BD28"/>
                          <w:bottom w:val="single" w:sz="6" w:space="0" w:color="69BD28"/>
                        </w:tcBorders>
                      </w:tcPr>
                      <w:p>
                        <w:pPr>
                          <w:pStyle w:val="TableParagraph"/>
                          <w:spacing w:before="7"/>
                          <w:jc w:val="left"/>
                          <w:rPr>
                            <w:sz w:val="17"/>
                          </w:rPr>
                        </w:pPr>
                      </w:p>
                      <w:p>
                        <w:pPr>
                          <w:pStyle w:val="TableParagraph"/>
                          <w:spacing w:line="247" w:lineRule="auto"/>
                          <w:ind w:left="1894" w:right="111" w:hanging="1691"/>
                          <w:jc w:val="left"/>
                          <w:rPr>
                            <w:sz w:val="18"/>
                          </w:rPr>
                        </w:pPr>
                        <w:r>
                          <w:rPr>
                            <w:sz w:val="18"/>
                          </w:rPr>
                          <w:t>Discounted Cash Flow Method (using rental reversion approach)</w:t>
                        </w:r>
                      </w:p>
                    </w:tc>
                  </w:tr>
                </w:tbl>
                <w:p>
                  <w:pPr>
                    <w:pStyle w:val="BodyText"/>
                  </w:pPr>
                </w:p>
              </w:txbxContent>
            </v:textbox>
            <w10:wrap type="none"/>
          </v:shape>
        </w:pict>
      </w:r>
      <w:r>
        <w:rPr>
          <w:color w:val="006A4D"/>
          <w:sz w:val="18"/>
        </w:rPr>
        <w:t>Valuation Approaches:</w:t>
      </w:r>
    </w:p>
    <w:p>
      <w:pPr>
        <w:pStyle w:val="BodyText"/>
      </w:pPr>
    </w:p>
    <w:p>
      <w:pPr>
        <w:pStyle w:val="BodyText"/>
      </w:pPr>
    </w:p>
    <w:p>
      <w:pPr>
        <w:pStyle w:val="BodyText"/>
        <w:spacing w:before="6"/>
        <w:rPr>
          <w:sz w:val="23"/>
        </w:rPr>
      </w:pPr>
    </w:p>
    <w:p>
      <w:pPr>
        <w:tabs>
          <w:tab w:pos="2365" w:val="left" w:leader="none"/>
        </w:tabs>
        <w:spacing w:before="0"/>
        <w:ind w:left="392" w:right="0" w:firstLine="0"/>
        <w:jc w:val="left"/>
        <w:rPr>
          <w:sz w:val="18"/>
        </w:rPr>
      </w:pPr>
      <w:r>
        <w:rPr>
          <w:color w:val="006A4D"/>
          <w:sz w:val="18"/>
        </w:rPr>
        <w:t>Date</w:t>
      </w:r>
      <w:r>
        <w:rPr>
          <w:color w:val="006A4D"/>
          <w:spacing w:val="-14"/>
          <w:sz w:val="18"/>
        </w:rPr>
        <w:t> </w:t>
      </w:r>
      <w:r>
        <w:rPr>
          <w:color w:val="006A4D"/>
          <w:sz w:val="18"/>
        </w:rPr>
        <w:t>of</w:t>
      </w:r>
      <w:r>
        <w:rPr>
          <w:color w:val="006A4D"/>
          <w:spacing w:val="-13"/>
          <w:sz w:val="18"/>
        </w:rPr>
        <w:t> </w:t>
      </w:r>
      <w:r>
        <w:rPr>
          <w:color w:val="006A4D"/>
          <w:sz w:val="18"/>
        </w:rPr>
        <w:t>Valuation:</w:t>
        <w:tab/>
      </w:r>
      <w:r>
        <w:rPr>
          <w:sz w:val="18"/>
        </w:rPr>
        <w:t>March 31,</w:t>
      </w:r>
      <w:r>
        <w:rPr>
          <w:spacing w:val="-1"/>
          <w:sz w:val="18"/>
        </w:rPr>
        <w:t> </w:t>
      </w:r>
      <w:r>
        <w:rPr>
          <w:sz w:val="18"/>
        </w:rPr>
        <w:t>2020</w:t>
      </w:r>
    </w:p>
    <w:p>
      <w:pPr>
        <w:pStyle w:val="BodyText"/>
        <w:spacing w:before="7"/>
        <w:rPr>
          <w:sz w:val="27"/>
        </w:rPr>
      </w:pPr>
    </w:p>
    <w:p>
      <w:pPr>
        <w:spacing w:line="321" w:lineRule="auto" w:before="1"/>
        <w:ind w:left="2366" w:right="500" w:hanging="1974"/>
        <w:jc w:val="both"/>
        <w:rPr>
          <w:sz w:val="18"/>
        </w:rPr>
      </w:pPr>
      <w:r>
        <w:rPr>
          <w:color w:val="006A4D"/>
          <w:sz w:val="18"/>
        </w:rPr>
        <w:t>Date of Inspection: </w:t>
      </w:r>
      <w:r>
        <w:rPr>
          <w:sz w:val="18"/>
        </w:rPr>
        <w:t>Not Applicable. Due to the outbreak of Novel Coronavirus (COVID-19), declared by the World health Organisation as a “Global Pandemic” on 11</w:t>
      </w:r>
      <w:r>
        <w:rPr>
          <w:position w:val="6"/>
          <w:sz w:val="11"/>
        </w:rPr>
        <w:t>th </w:t>
      </w:r>
      <w:r>
        <w:rPr>
          <w:sz w:val="18"/>
        </w:rPr>
        <w:t>March 2020, it has not been possible to carry out a formal inspection</w:t>
      </w:r>
      <w:r>
        <w:rPr>
          <w:spacing w:val="-10"/>
          <w:sz w:val="18"/>
        </w:rPr>
        <w:t> </w:t>
      </w:r>
      <w:r>
        <w:rPr>
          <w:sz w:val="18"/>
        </w:rPr>
        <w:t>of</w:t>
      </w:r>
      <w:r>
        <w:rPr>
          <w:spacing w:val="-9"/>
          <w:sz w:val="18"/>
        </w:rPr>
        <w:t> </w:t>
      </w:r>
      <w:r>
        <w:rPr>
          <w:sz w:val="18"/>
        </w:rPr>
        <w:t>the</w:t>
      </w:r>
      <w:r>
        <w:rPr>
          <w:spacing w:val="-9"/>
          <w:sz w:val="18"/>
        </w:rPr>
        <w:t> </w:t>
      </w:r>
      <w:r>
        <w:rPr>
          <w:sz w:val="18"/>
        </w:rPr>
        <w:t>property</w:t>
      </w:r>
      <w:r>
        <w:rPr>
          <w:spacing w:val="-9"/>
          <w:sz w:val="18"/>
        </w:rPr>
        <w:t> </w:t>
      </w:r>
      <w:r>
        <w:rPr>
          <w:sz w:val="18"/>
        </w:rPr>
        <w:t>for</w:t>
      </w:r>
      <w:r>
        <w:rPr>
          <w:spacing w:val="-11"/>
          <w:sz w:val="18"/>
        </w:rPr>
        <w:t> </w:t>
      </w:r>
      <w:r>
        <w:rPr>
          <w:sz w:val="18"/>
        </w:rPr>
        <w:t>the</w:t>
      </w:r>
      <w:r>
        <w:rPr>
          <w:spacing w:val="-9"/>
          <w:sz w:val="18"/>
        </w:rPr>
        <w:t> </w:t>
      </w:r>
      <w:r>
        <w:rPr>
          <w:sz w:val="18"/>
        </w:rPr>
        <w:t>current</w:t>
      </w:r>
      <w:r>
        <w:rPr>
          <w:spacing w:val="-10"/>
          <w:sz w:val="18"/>
        </w:rPr>
        <w:t> </w:t>
      </w:r>
      <w:r>
        <w:rPr>
          <w:sz w:val="18"/>
        </w:rPr>
        <w:t>update.</w:t>
      </w:r>
      <w:r>
        <w:rPr>
          <w:spacing w:val="-8"/>
          <w:sz w:val="18"/>
        </w:rPr>
        <w:t> </w:t>
      </w:r>
      <w:r>
        <w:rPr>
          <w:sz w:val="18"/>
        </w:rPr>
        <w:t>The</w:t>
      </w:r>
      <w:r>
        <w:rPr>
          <w:spacing w:val="-9"/>
          <w:sz w:val="18"/>
        </w:rPr>
        <w:t> </w:t>
      </w:r>
      <w:r>
        <w:rPr>
          <w:sz w:val="18"/>
        </w:rPr>
        <w:t>site</w:t>
      </w:r>
      <w:r>
        <w:rPr>
          <w:spacing w:val="-9"/>
          <w:sz w:val="18"/>
        </w:rPr>
        <w:t> </w:t>
      </w:r>
      <w:r>
        <w:rPr>
          <w:sz w:val="18"/>
        </w:rPr>
        <w:t>observation,</w:t>
      </w:r>
      <w:r>
        <w:rPr>
          <w:spacing w:val="-10"/>
          <w:sz w:val="18"/>
        </w:rPr>
        <w:t> </w:t>
      </w:r>
      <w:r>
        <w:rPr>
          <w:sz w:val="18"/>
        </w:rPr>
        <w:t>details</w:t>
      </w:r>
      <w:r>
        <w:rPr>
          <w:spacing w:val="-8"/>
          <w:sz w:val="18"/>
        </w:rPr>
        <w:t> </w:t>
      </w:r>
      <w:r>
        <w:rPr>
          <w:sz w:val="18"/>
        </w:rPr>
        <w:t>and</w:t>
      </w:r>
      <w:r>
        <w:rPr>
          <w:spacing w:val="-10"/>
          <w:sz w:val="18"/>
        </w:rPr>
        <w:t> </w:t>
      </w:r>
      <w:r>
        <w:rPr>
          <w:sz w:val="18"/>
        </w:rPr>
        <w:t>pictures</w:t>
      </w:r>
      <w:r>
        <w:rPr>
          <w:spacing w:val="-9"/>
          <w:sz w:val="18"/>
        </w:rPr>
        <w:t> </w:t>
      </w:r>
      <w:r>
        <w:rPr>
          <w:sz w:val="18"/>
        </w:rPr>
        <w:t>are</w:t>
      </w:r>
      <w:r>
        <w:rPr>
          <w:spacing w:val="-9"/>
          <w:sz w:val="18"/>
        </w:rPr>
        <w:t> </w:t>
      </w:r>
      <w:r>
        <w:rPr>
          <w:sz w:val="18"/>
        </w:rPr>
        <w:t>as</w:t>
      </w:r>
      <w:r>
        <w:rPr>
          <w:spacing w:val="-9"/>
          <w:sz w:val="18"/>
        </w:rPr>
        <w:t> </w:t>
      </w:r>
      <w:r>
        <w:rPr>
          <w:sz w:val="18"/>
        </w:rPr>
        <w:t>per</w:t>
      </w:r>
      <w:r>
        <w:rPr>
          <w:spacing w:val="-11"/>
          <w:sz w:val="18"/>
        </w:rPr>
        <w:t> </w:t>
      </w:r>
      <w:r>
        <w:rPr>
          <w:sz w:val="18"/>
        </w:rPr>
        <w:t>the previous site visit undertaken/ as provided by the</w:t>
      </w:r>
      <w:r>
        <w:rPr>
          <w:spacing w:val="-39"/>
          <w:sz w:val="18"/>
        </w:rPr>
        <w:t> </w:t>
      </w:r>
      <w:r>
        <w:rPr>
          <w:sz w:val="18"/>
        </w:rPr>
        <w:t>Client</w:t>
      </w:r>
    </w:p>
    <w:p>
      <w:pPr>
        <w:spacing w:after="0" w:line="321" w:lineRule="auto"/>
        <w:jc w:val="both"/>
        <w:rPr>
          <w:sz w:val="18"/>
        </w:rPr>
        <w:sectPr>
          <w:type w:val="continuous"/>
          <w:pgSz w:w="11910" w:h="16840"/>
          <w:pgMar w:top="800" w:bottom="280" w:left="440" w:right="80"/>
        </w:sectPr>
      </w:pPr>
    </w:p>
    <w:p>
      <w:pPr>
        <w:pStyle w:val="BodyText"/>
        <w:rPr>
          <w:sz w:val="20"/>
        </w:rPr>
      </w:pPr>
    </w:p>
    <w:p>
      <w:pPr>
        <w:spacing w:after="0"/>
        <w:rPr>
          <w:sz w:val="20"/>
        </w:rPr>
        <w:sectPr>
          <w:pgSz w:w="11910" w:h="16840"/>
          <w:pgMar w:header="720" w:footer="842" w:top="1520" w:bottom="1040" w:left="440" w:right="80"/>
        </w:sectPr>
      </w:pPr>
    </w:p>
    <w:p>
      <w:pPr>
        <w:pStyle w:val="BodyText"/>
        <w:spacing w:before="7"/>
      </w:pPr>
    </w:p>
    <w:p>
      <w:pPr>
        <w:spacing w:line="321" w:lineRule="auto" w:before="1"/>
        <w:ind w:left="392" w:right="-16" w:firstLine="0"/>
        <w:jc w:val="left"/>
        <w:rPr>
          <w:sz w:val="18"/>
        </w:rPr>
      </w:pPr>
      <w:r>
        <w:rPr>
          <w:color w:val="006A4D"/>
          <w:sz w:val="18"/>
        </w:rPr>
        <w:t>Purchase</w:t>
      </w:r>
      <w:r>
        <w:rPr>
          <w:color w:val="006A4D"/>
          <w:spacing w:val="-36"/>
          <w:sz w:val="18"/>
        </w:rPr>
        <w:t> </w:t>
      </w:r>
      <w:r>
        <w:rPr>
          <w:color w:val="006A4D"/>
          <w:sz w:val="18"/>
        </w:rPr>
        <w:t>Price</w:t>
      </w:r>
      <w:r>
        <w:rPr>
          <w:color w:val="006A4D"/>
          <w:spacing w:val="-36"/>
          <w:sz w:val="18"/>
        </w:rPr>
        <w:t> </w:t>
      </w:r>
      <w:r>
        <w:rPr>
          <w:color w:val="006A4D"/>
          <w:sz w:val="18"/>
        </w:rPr>
        <w:t>for</w:t>
      </w:r>
      <w:r>
        <w:rPr>
          <w:color w:val="006A4D"/>
          <w:spacing w:val="-36"/>
          <w:sz w:val="18"/>
        </w:rPr>
        <w:t> </w:t>
      </w:r>
      <w:r>
        <w:rPr>
          <w:color w:val="006A4D"/>
          <w:sz w:val="18"/>
        </w:rPr>
        <w:t>the property:</w:t>
      </w:r>
    </w:p>
    <w:p>
      <w:pPr>
        <w:pStyle w:val="BodyText"/>
        <w:spacing w:before="7"/>
      </w:pPr>
      <w:r>
        <w:rPr/>
        <w:br w:type="column"/>
      </w:r>
      <w:r>
        <w:rPr/>
      </w:r>
    </w:p>
    <w:p>
      <w:pPr>
        <w:spacing w:before="1"/>
        <w:ind w:left="243" w:right="0" w:firstLine="0"/>
        <w:jc w:val="left"/>
        <w:rPr>
          <w:sz w:val="18"/>
        </w:rPr>
      </w:pPr>
      <w:r>
        <w:rPr>
          <w:sz w:val="18"/>
        </w:rPr>
        <w:t>The said acquisition was undertaken as part of the ‘Formation Transaction’ as described in the Final Offer</w:t>
      </w:r>
    </w:p>
    <w:p>
      <w:pPr>
        <w:spacing w:before="71"/>
        <w:ind w:left="243" w:right="0" w:firstLine="0"/>
        <w:jc w:val="left"/>
        <w:rPr>
          <w:sz w:val="18"/>
        </w:rPr>
      </w:pPr>
      <w:r>
        <w:rPr>
          <w:sz w:val="18"/>
        </w:rPr>
        <w:t>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2083" w:space="40"/>
            <w:col w:w="9267"/>
          </w:cols>
        </w:sectPr>
      </w:pPr>
    </w:p>
    <w:p>
      <w:pPr>
        <w:pStyle w:val="BodyText"/>
        <w:spacing w:before="7"/>
        <w:rPr>
          <w:sz w:val="12"/>
        </w:rPr>
      </w:pPr>
    </w:p>
    <w:p>
      <w:pPr>
        <w:spacing w:after="0"/>
        <w:rPr>
          <w:sz w:val="12"/>
        </w:rPr>
        <w:sectPr>
          <w:type w:val="continuous"/>
          <w:pgSz w:w="11910" w:h="16840"/>
          <w:pgMar w:top="800" w:bottom="280" w:left="440" w:right="80"/>
        </w:sectPr>
      </w:pPr>
    </w:p>
    <w:p>
      <w:pPr>
        <w:spacing w:line="321" w:lineRule="auto" w:before="104"/>
        <w:ind w:left="392" w:right="-10" w:firstLine="0"/>
        <w:jc w:val="left"/>
        <w:rPr>
          <w:sz w:val="18"/>
        </w:rPr>
      </w:pPr>
      <w:r>
        <w:rPr>
          <w:color w:val="006A4D"/>
          <w:w w:val="95"/>
          <w:sz w:val="18"/>
        </w:rPr>
        <w:t>Ready Reckoner Rate </w:t>
      </w:r>
      <w:r>
        <w:rPr>
          <w:color w:val="006A4D"/>
          <w:sz w:val="18"/>
        </w:rPr>
        <w:t>(as per documents published by State Government):</w:t>
      </w:r>
    </w:p>
    <w:p>
      <w:pPr>
        <w:spacing w:line="319" w:lineRule="auto" w:before="133"/>
        <w:ind w:left="392" w:right="26" w:firstLine="0"/>
        <w:jc w:val="left"/>
        <w:rPr>
          <w:sz w:val="18"/>
        </w:rPr>
      </w:pPr>
      <w:r>
        <w:rPr>
          <w:color w:val="006A4D"/>
          <w:sz w:val="18"/>
        </w:rPr>
        <w:t>Value Conclusion as of March 31, 2020:</w:t>
      </w:r>
    </w:p>
    <w:p>
      <w:pPr>
        <w:spacing w:line="460" w:lineRule="auto" w:before="104"/>
        <w:ind w:left="299" w:right="6251" w:firstLine="0"/>
        <w:jc w:val="left"/>
        <w:rPr>
          <w:sz w:val="18"/>
        </w:rPr>
      </w:pPr>
      <w:r>
        <w:rPr/>
        <w:br w:type="column"/>
      </w:r>
      <w:r>
        <w:rPr>
          <w:sz w:val="18"/>
        </w:rPr>
        <w:t>Land Rate: INR 17,760 per sqm Built-up Rate: INR 24,200 per sqm</w:t>
      </w:r>
    </w:p>
    <w:p>
      <w:pPr>
        <w:pStyle w:val="BodyText"/>
        <w:rPr>
          <w:sz w:val="20"/>
        </w:rPr>
      </w:pPr>
    </w:p>
    <w:p>
      <w:pPr>
        <w:pStyle w:val="BodyText"/>
        <w:spacing w:before="1"/>
        <w:rPr>
          <w:sz w:val="15"/>
        </w:rPr>
      </w:pPr>
      <w:r>
        <w:rPr/>
        <w:pict>
          <v:group style="position:absolute;margin-left:140.300003pt;margin-top:10.744843pt;width:426.25pt;height:19.45pt;mso-position-horizontal-relative:page;mso-position-vertical-relative:paragraph;z-index:-15609856;mso-wrap-distance-left:0;mso-wrap-distance-right:0" coordorigin="2806,215" coordsize="8525,389">
            <v:shape style="position:absolute;left:2806;top:243;width:8525;height:346" coordorigin="2806,244" coordsize="8525,346" path="m11330,244l7182,244,2806,244,2806,589,7182,589,11330,589,11330,244xe" filled="true" fillcolor="#006a4d" stroked="false">
              <v:path arrowok="t"/>
              <v:fill type="solid"/>
            </v:shape>
            <v:rect style="position:absolute;left:2806;top:214;width:4377;height:29" filled="true" fillcolor="#1f6b16" stroked="false">
              <v:fill type="solid"/>
            </v:rect>
            <v:shape style="position:absolute;left:2806;top:243;width:4405;height:3" coordorigin="2806,244" coordsize="4405,3" path="m7211,244l7182,244,2806,244,2806,246,7182,246,7211,246,7211,244xe" filled="true" fillcolor="#006a4d" stroked="false">
              <v:path arrowok="t"/>
              <v:fill type="solid"/>
            </v:shape>
            <v:shape style="position:absolute;left:7182;top:214;width:4146;height:29" coordorigin="7182,215" coordsize="4146,29" path="m11328,215l7211,215,7182,215,7182,244,7211,244,11328,244,11328,215xe" filled="true" fillcolor="#1f6b16" stroked="false">
              <v:path arrowok="t"/>
              <v:fill type="solid"/>
            </v:shape>
            <v:rect style="position:absolute;left:7211;top:243;width:4117;height:3" filled="true" fillcolor="#006a4d" stroked="false">
              <v:fill type="solid"/>
            </v:rect>
            <v:shape style="position:absolute;left:2806;top:589;width:8522;height:15" coordorigin="2806,589" coordsize="8522,15" path="m11328,589l7197,589,7182,589,2806,589,2806,604,7182,604,7197,604,11328,604,11328,589xe" filled="true" fillcolor="#69bd28" stroked="false">
              <v:path arrowok="t"/>
              <v:fill type="solid"/>
            </v:shape>
            <v:shape style="position:absolute;left:2806;top:243;width:8525;height:346" type="#_x0000_t202" filled="false" stroked="false">
              <v:textbox inset="0,0,0,0">
                <w:txbxContent>
                  <w:p>
                    <w:pPr>
                      <w:tabs>
                        <w:tab w:pos="5401" w:val="left" w:leader="none"/>
                      </w:tabs>
                      <w:spacing w:before="68"/>
                      <w:ind w:left="1670" w:right="0" w:firstLine="0"/>
                      <w:jc w:val="left"/>
                      <w:rPr>
                        <w:b/>
                        <w:sz w:val="18"/>
                      </w:rPr>
                    </w:pPr>
                    <w:r>
                      <w:rPr>
                        <w:b/>
                        <w:color w:val="FFFFFF"/>
                        <w:w w:val="110"/>
                        <w:sz w:val="18"/>
                      </w:rPr>
                      <w:t>Component</w:t>
                      <w:tab/>
                      <w:t>Market Value (INR</w:t>
                    </w:r>
                    <w:r>
                      <w:rPr>
                        <w:b/>
                        <w:color w:val="FFFFFF"/>
                        <w:spacing w:val="-3"/>
                        <w:w w:val="110"/>
                        <w:sz w:val="18"/>
                      </w:rPr>
                      <w:t> </w:t>
                    </w:r>
                    <w:r>
                      <w:rPr>
                        <w:b/>
                        <w:color w:val="FFFFFF"/>
                        <w:w w:val="110"/>
                        <w:sz w:val="18"/>
                      </w:rPr>
                      <w:t>Mn)</w:t>
                    </w:r>
                  </w:p>
                </w:txbxContent>
              </v:textbox>
              <w10:wrap type="none"/>
            </v:shape>
            <w10:wrap type="topAndBottom"/>
          </v:group>
        </w:pict>
      </w:r>
    </w:p>
    <w:p>
      <w:pPr>
        <w:tabs>
          <w:tab w:pos="6456" w:val="left" w:leader="none"/>
        </w:tabs>
        <w:spacing w:before="51"/>
        <w:ind w:left="1758" w:right="0" w:firstLine="0"/>
        <w:jc w:val="left"/>
        <w:rPr>
          <w:sz w:val="18"/>
        </w:rPr>
      </w:pPr>
      <w:r>
        <w:rPr>
          <w:w w:val="105"/>
          <w:sz w:val="18"/>
        </w:rPr>
        <w:t>Embassy</w:t>
      </w:r>
      <w:r>
        <w:rPr>
          <w:spacing w:val="-13"/>
          <w:w w:val="105"/>
          <w:sz w:val="18"/>
        </w:rPr>
        <w:t> </w:t>
      </w:r>
      <w:r>
        <w:rPr>
          <w:w w:val="105"/>
          <w:sz w:val="18"/>
        </w:rPr>
        <w:t>Quadron</w:t>
        <w:tab/>
        <w:t>13,838</w:t>
      </w:r>
    </w:p>
    <w:p>
      <w:pPr>
        <w:spacing w:after="0"/>
        <w:jc w:val="left"/>
        <w:rPr>
          <w:sz w:val="18"/>
        </w:rPr>
        <w:sectPr>
          <w:type w:val="continuous"/>
          <w:pgSz w:w="11910" w:h="16840"/>
          <w:pgMar w:top="800" w:bottom="280" w:left="440" w:right="80"/>
          <w:cols w:num="2" w:equalWidth="0">
            <w:col w:w="2027" w:space="40"/>
            <w:col w:w="9323"/>
          </w:cols>
        </w:sectPr>
      </w:pPr>
    </w:p>
    <w:p>
      <w:pPr>
        <w:pStyle w:val="BodyText"/>
        <w:spacing w:before="6"/>
        <w:rPr>
          <w:sz w:val="6"/>
        </w:rPr>
      </w:pPr>
    </w:p>
    <w:p>
      <w:pPr>
        <w:pStyle w:val="BodyText"/>
        <w:ind w:left="2351"/>
        <w:rPr>
          <w:sz w:val="20"/>
        </w:rPr>
      </w:pPr>
      <w:r>
        <w:rPr>
          <w:sz w:val="20"/>
        </w:rPr>
        <w:pict>
          <v:shape style="width:426.95pt;height:19.75pt;mso-position-horizontal-relative:char;mso-position-vertical-relative:line" type="#_x0000_t202" filled="true" fillcolor="#69bd28" stroked="false">
            <w10:anchorlock/>
            <v:textbox inset="0,0,0,0">
              <w:txbxContent>
                <w:p>
                  <w:pPr>
                    <w:tabs>
                      <w:tab w:pos="6171" w:val="left" w:leader="none"/>
                    </w:tabs>
                    <w:spacing w:before="95"/>
                    <w:ind w:left="1157" w:right="0" w:firstLine="0"/>
                    <w:jc w:val="left"/>
                    <w:rPr>
                      <w:sz w:val="18"/>
                    </w:rPr>
                  </w:pPr>
                  <w:r>
                    <w:rPr>
                      <w:color w:val="FFFFFF"/>
                      <w:sz w:val="18"/>
                    </w:rPr>
                    <w:t>Total</w:t>
                  </w:r>
                  <w:r>
                    <w:rPr>
                      <w:color w:val="FFFFFF"/>
                      <w:spacing w:val="-24"/>
                      <w:sz w:val="18"/>
                    </w:rPr>
                    <w:t> </w:t>
                  </w:r>
                  <w:r>
                    <w:rPr>
                      <w:color w:val="FFFFFF"/>
                      <w:sz w:val="18"/>
                    </w:rPr>
                    <w:t>Value</w:t>
                  </w:r>
                  <w:r>
                    <w:rPr>
                      <w:color w:val="FFFFFF"/>
                      <w:spacing w:val="-23"/>
                      <w:sz w:val="18"/>
                    </w:rPr>
                    <w:t> </w:t>
                  </w:r>
                  <w:r>
                    <w:rPr>
                      <w:color w:val="FFFFFF"/>
                      <w:sz w:val="18"/>
                    </w:rPr>
                    <w:t>of</w:t>
                  </w:r>
                  <w:r>
                    <w:rPr>
                      <w:color w:val="FFFFFF"/>
                      <w:spacing w:val="-23"/>
                      <w:sz w:val="18"/>
                    </w:rPr>
                    <w:t> </w:t>
                  </w:r>
                  <w:r>
                    <w:rPr>
                      <w:color w:val="FFFFFF"/>
                      <w:sz w:val="18"/>
                    </w:rPr>
                    <w:t>the</w:t>
                  </w:r>
                  <w:r>
                    <w:rPr>
                      <w:color w:val="FFFFFF"/>
                      <w:spacing w:val="-23"/>
                      <w:sz w:val="18"/>
                    </w:rPr>
                    <w:t> </w:t>
                  </w:r>
                  <w:r>
                    <w:rPr>
                      <w:color w:val="FFFFFF"/>
                      <w:sz w:val="18"/>
                    </w:rPr>
                    <w:t>property</w:t>
                    <w:tab/>
                    <w:t>13,838</w:t>
                  </w:r>
                </w:p>
              </w:txbxContent>
            </v:textbox>
            <v:fill type="solid"/>
          </v:shape>
        </w:pict>
      </w:r>
      <w:r>
        <w:rPr>
          <w:sz w:val="20"/>
        </w:rPr>
      </w:r>
    </w:p>
    <w:p>
      <w:pPr>
        <w:pStyle w:val="BodyText"/>
        <w:spacing w:before="4"/>
        <w:rPr>
          <w:sz w:val="15"/>
        </w:rPr>
      </w:pPr>
    </w:p>
    <w:p>
      <w:pPr>
        <w:spacing w:after="0"/>
        <w:rPr>
          <w:sz w:val="15"/>
        </w:rPr>
        <w:sectPr>
          <w:type w:val="continuous"/>
          <w:pgSz w:w="11910" w:h="16840"/>
          <w:pgMar w:top="800" w:bottom="280" w:left="440" w:right="80"/>
        </w:sectPr>
      </w:pPr>
    </w:p>
    <w:p>
      <w:pPr>
        <w:spacing w:line="321" w:lineRule="auto" w:before="104"/>
        <w:ind w:left="392" w:right="30" w:firstLine="0"/>
        <w:jc w:val="left"/>
        <w:rPr>
          <w:sz w:val="18"/>
        </w:rPr>
      </w:pPr>
      <w:r>
        <w:rPr>
          <w:color w:val="006A4D"/>
          <w:sz w:val="18"/>
        </w:rPr>
        <w:t>Assumptions, Disclaimers, Limitations &amp; </w:t>
      </w:r>
      <w:r>
        <w:rPr>
          <w:color w:val="006A4D"/>
          <w:w w:val="95"/>
          <w:sz w:val="18"/>
        </w:rPr>
        <w:t>Qualifications</w:t>
      </w:r>
    </w:p>
    <w:p>
      <w:pPr>
        <w:spacing w:line="321" w:lineRule="auto" w:before="104"/>
        <w:ind w:left="392" w:right="498" w:firstLine="0"/>
        <w:jc w:val="both"/>
        <w:rPr>
          <w:sz w:val="18"/>
        </w:rPr>
      </w:pPr>
      <w:r>
        <w:rPr/>
        <w:br w:type="column"/>
      </w:r>
      <w:r>
        <w:rPr>
          <w:sz w:val="18"/>
        </w:rPr>
        <w:t>This</w:t>
      </w:r>
      <w:r>
        <w:rPr>
          <w:spacing w:val="-22"/>
          <w:sz w:val="18"/>
        </w:rPr>
        <w:t> </w:t>
      </w:r>
      <w:r>
        <w:rPr>
          <w:sz w:val="18"/>
        </w:rPr>
        <w:t>valuation</w:t>
      </w:r>
      <w:r>
        <w:rPr>
          <w:spacing w:val="-21"/>
          <w:sz w:val="18"/>
        </w:rPr>
        <w:t> </w:t>
      </w:r>
      <w:r>
        <w:rPr>
          <w:sz w:val="18"/>
        </w:rPr>
        <w:t>report</w:t>
      </w:r>
      <w:r>
        <w:rPr>
          <w:spacing w:val="-22"/>
          <w:sz w:val="18"/>
        </w:rPr>
        <w:t> </w:t>
      </w:r>
      <w:r>
        <w:rPr>
          <w:sz w:val="18"/>
        </w:rPr>
        <w:t>is</w:t>
      </w:r>
      <w:r>
        <w:rPr>
          <w:spacing w:val="-21"/>
          <w:sz w:val="18"/>
        </w:rPr>
        <w:t> </w:t>
      </w:r>
      <w:r>
        <w:rPr>
          <w:sz w:val="18"/>
        </w:rPr>
        <w:t>provided</w:t>
      </w:r>
      <w:r>
        <w:rPr>
          <w:spacing w:val="-21"/>
          <w:sz w:val="18"/>
        </w:rPr>
        <w:t> </w:t>
      </w:r>
      <w:r>
        <w:rPr>
          <w:sz w:val="18"/>
        </w:rPr>
        <w:t>subject</w:t>
      </w:r>
      <w:r>
        <w:rPr>
          <w:spacing w:val="-23"/>
          <w:sz w:val="18"/>
        </w:rPr>
        <w:t> </w:t>
      </w:r>
      <w:r>
        <w:rPr>
          <w:sz w:val="18"/>
        </w:rPr>
        <w:t>to</w:t>
      </w:r>
      <w:r>
        <w:rPr>
          <w:spacing w:val="-21"/>
          <w:sz w:val="18"/>
        </w:rPr>
        <w:t> </w:t>
      </w:r>
      <w:r>
        <w:rPr>
          <w:sz w:val="18"/>
        </w:rPr>
        <w:t>assumptions,</w:t>
      </w:r>
      <w:r>
        <w:rPr>
          <w:spacing w:val="-21"/>
          <w:sz w:val="18"/>
        </w:rPr>
        <w:t> </w:t>
      </w:r>
      <w:r>
        <w:rPr>
          <w:sz w:val="18"/>
        </w:rPr>
        <w:t>disclaimers,</w:t>
      </w:r>
      <w:r>
        <w:rPr>
          <w:spacing w:val="-22"/>
          <w:sz w:val="18"/>
        </w:rPr>
        <w:t> </w:t>
      </w:r>
      <w:r>
        <w:rPr>
          <w:sz w:val="18"/>
        </w:rPr>
        <w:t>limitations</w:t>
      </w:r>
      <w:r>
        <w:rPr>
          <w:spacing w:val="-21"/>
          <w:sz w:val="18"/>
        </w:rPr>
        <w:t> </w:t>
      </w:r>
      <w:r>
        <w:rPr>
          <w:sz w:val="18"/>
        </w:rPr>
        <w:t>and</w:t>
      </w:r>
      <w:r>
        <w:rPr>
          <w:spacing w:val="-17"/>
          <w:sz w:val="18"/>
        </w:rPr>
        <w:t> </w:t>
      </w:r>
      <w:r>
        <w:rPr>
          <w:sz w:val="18"/>
        </w:rPr>
        <w:t>qualifications</w:t>
      </w:r>
      <w:r>
        <w:rPr>
          <w:spacing w:val="-21"/>
          <w:sz w:val="18"/>
        </w:rPr>
        <w:t> </w:t>
      </w:r>
      <w:r>
        <w:rPr>
          <w:sz w:val="18"/>
        </w:rPr>
        <w:t>detailed throughout</w:t>
      </w:r>
      <w:r>
        <w:rPr>
          <w:spacing w:val="-38"/>
          <w:sz w:val="18"/>
        </w:rPr>
        <w:t> </w:t>
      </w:r>
      <w:r>
        <w:rPr>
          <w:sz w:val="18"/>
        </w:rPr>
        <w:t>this</w:t>
      </w:r>
      <w:r>
        <w:rPr>
          <w:spacing w:val="-37"/>
          <w:sz w:val="18"/>
        </w:rPr>
        <w:t> </w:t>
      </w:r>
      <w:r>
        <w:rPr>
          <w:sz w:val="18"/>
        </w:rPr>
        <w:t>report</w:t>
      </w:r>
      <w:r>
        <w:rPr>
          <w:spacing w:val="-37"/>
          <w:sz w:val="18"/>
        </w:rPr>
        <w:t> </w:t>
      </w:r>
      <w:r>
        <w:rPr>
          <w:sz w:val="18"/>
        </w:rPr>
        <w:t>which</w:t>
      </w:r>
      <w:r>
        <w:rPr>
          <w:spacing w:val="-37"/>
          <w:sz w:val="18"/>
        </w:rPr>
        <w:t> </w:t>
      </w:r>
      <w:r>
        <w:rPr>
          <w:sz w:val="18"/>
        </w:rPr>
        <w:t>are</w:t>
      </w:r>
      <w:r>
        <w:rPr>
          <w:spacing w:val="-36"/>
          <w:sz w:val="18"/>
        </w:rPr>
        <w:t> </w:t>
      </w:r>
      <w:r>
        <w:rPr>
          <w:sz w:val="18"/>
        </w:rPr>
        <w:t>made</w:t>
      </w:r>
      <w:r>
        <w:rPr>
          <w:spacing w:val="-37"/>
          <w:sz w:val="18"/>
        </w:rPr>
        <w:t> </w:t>
      </w:r>
      <w:r>
        <w:rPr>
          <w:sz w:val="18"/>
        </w:rPr>
        <w:t>in</w:t>
      </w:r>
      <w:r>
        <w:rPr>
          <w:spacing w:val="-37"/>
          <w:sz w:val="18"/>
        </w:rPr>
        <w:t> </w:t>
      </w:r>
      <w:r>
        <w:rPr>
          <w:sz w:val="18"/>
        </w:rPr>
        <w:t>conjunction</w:t>
      </w:r>
      <w:r>
        <w:rPr>
          <w:spacing w:val="-37"/>
          <w:sz w:val="18"/>
        </w:rPr>
        <w:t> </w:t>
      </w:r>
      <w:r>
        <w:rPr>
          <w:sz w:val="18"/>
        </w:rPr>
        <w:t>with</w:t>
      </w:r>
      <w:r>
        <w:rPr>
          <w:spacing w:val="-37"/>
          <w:sz w:val="18"/>
        </w:rPr>
        <w:t> </w:t>
      </w:r>
      <w:r>
        <w:rPr>
          <w:sz w:val="18"/>
        </w:rPr>
        <w:t>those</w:t>
      </w:r>
      <w:r>
        <w:rPr>
          <w:spacing w:val="-36"/>
          <w:sz w:val="18"/>
        </w:rPr>
        <w:t> </w:t>
      </w:r>
      <w:r>
        <w:rPr>
          <w:sz w:val="18"/>
        </w:rPr>
        <w:t>included</w:t>
      </w:r>
      <w:r>
        <w:rPr>
          <w:spacing w:val="-37"/>
          <w:sz w:val="18"/>
        </w:rPr>
        <w:t> </w:t>
      </w:r>
      <w:r>
        <w:rPr>
          <w:sz w:val="18"/>
        </w:rPr>
        <w:t>within</w:t>
      </w:r>
      <w:r>
        <w:rPr>
          <w:spacing w:val="-37"/>
          <w:sz w:val="18"/>
        </w:rPr>
        <w:t> </w:t>
      </w:r>
      <w:r>
        <w:rPr>
          <w:sz w:val="18"/>
        </w:rPr>
        <w:t>the</w:t>
      </w:r>
      <w:r>
        <w:rPr>
          <w:spacing w:val="-37"/>
          <w:sz w:val="18"/>
        </w:rPr>
        <w:t> </w:t>
      </w:r>
      <w:r>
        <w:rPr>
          <w:sz w:val="18"/>
        </w:rPr>
        <w:t>Assumptions,</w:t>
      </w:r>
      <w:r>
        <w:rPr>
          <w:spacing w:val="-37"/>
          <w:sz w:val="18"/>
        </w:rPr>
        <w:t> </w:t>
      </w:r>
      <w:r>
        <w:rPr>
          <w:sz w:val="18"/>
        </w:rPr>
        <w:t>Disclaimers, Limitations</w:t>
      </w:r>
      <w:r>
        <w:rPr>
          <w:spacing w:val="-13"/>
          <w:sz w:val="18"/>
        </w:rPr>
        <w:t> </w:t>
      </w:r>
      <w:r>
        <w:rPr>
          <w:sz w:val="18"/>
        </w:rPr>
        <w:t>&amp;</w:t>
      </w:r>
      <w:r>
        <w:rPr>
          <w:spacing w:val="-13"/>
          <w:sz w:val="18"/>
        </w:rPr>
        <w:t> </w:t>
      </w:r>
      <w:r>
        <w:rPr>
          <w:sz w:val="18"/>
        </w:rPr>
        <w:t>Qualifications</w:t>
      </w:r>
      <w:r>
        <w:rPr>
          <w:spacing w:val="-13"/>
          <w:sz w:val="18"/>
        </w:rPr>
        <w:t> </w:t>
      </w:r>
      <w:r>
        <w:rPr>
          <w:sz w:val="18"/>
        </w:rPr>
        <w:t>section</w:t>
      </w:r>
      <w:r>
        <w:rPr>
          <w:spacing w:val="-13"/>
          <w:sz w:val="18"/>
        </w:rPr>
        <w:t> </w:t>
      </w:r>
      <w:r>
        <w:rPr>
          <w:sz w:val="18"/>
        </w:rPr>
        <w:t>located</w:t>
      </w:r>
      <w:r>
        <w:rPr>
          <w:spacing w:val="-14"/>
          <w:sz w:val="18"/>
        </w:rPr>
        <w:t> </w:t>
      </w:r>
      <w:r>
        <w:rPr>
          <w:sz w:val="18"/>
        </w:rPr>
        <w:t>within</w:t>
      </w:r>
      <w:r>
        <w:rPr>
          <w:spacing w:val="-13"/>
          <w:sz w:val="18"/>
        </w:rPr>
        <w:t> </w:t>
      </w:r>
      <w:r>
        <w:rPr>
          <w:sz w:val="18"/>
        </w:rPr>
        <w:t>this</w:t>
      </w:r>
      <w:r>
        <w:rPr>
          <w:spacing w:val="-12"/>
          <w:sz w:val="18"/>
        </w:rPr>
        <w:t> </w:t>
      </w:r>
      <w:r>
        <w:rPr>
          <w:sz w:val="18"/>
        </w:rPr>
        <w:t>report.</w:t>
      </w:r>
      <w:r>
        <w:rPr>
          <w:spacing w:val="-13"/>
          <w:sz w:val="18"/>
        </w:rPr>
        <w:t> </w:t>
      </w:r>
      <w:r>
        <w:rPr>
          <w:sz w:val="18"/>
        </w:rPr>
        <w:t>Reliance</w:t>
      </w:r>
      <w:r>
        <w:rPr>
          <w:spacing w:val="-14"/>
          <w:sz w:val="18"/>
        </w:rPr>
        <w:t> </w:t>
      </w:r>
      <w:r>
        <w:rPr>
          <w:sz w:val="18"/>
        </w:rPr>
        <w:t>on</w:t>
      </w:r>
      <w:r>
        <w:rPr>
          <w:spacing w:val="-13"/>
          <w:sz w:val="18"/>
        </w:rPr>
        <w:t> </w:t>
      </w:r>
      <w:r>
        <w:rPr>
          <w:sz w:val="18"/>
        </w:rPr>
        <w:t>this</w:t>
      </w:r>
      <w:r>
        <w:rPr>
          <w:spacing w:val="-12"/>
          <w:sz w:val="18"/>
        </w:rPr>
        <w:t> </w:t>
      </w:r>
      <w:r>
        <w:rPr>
          <w:sz w:val="18"/>
        </w:rPr>
        <w:t>report</w:t>
      </w:r>
      <w:r>
        <w:rPr>
          <w:spacing w:val="-14"/>
          <w:sz w:val="18"/>
        </w:rPr>
        <w:t> </w:t>
      </w:r>
      <w:r>
        <w:rPr>
          <w:sz w:val="18"/>
        </w:rPr>
        <w:t>and</w:t>
      </w:r>
      <w:r>
        <w:rPr>
          <w:spacing w:val="-14"/>
          <w:sz w:val="18"/>
        </w:rPr>
        <w:t> </w:t>
      </w:r>
      <w:r>
        <w:rPr>
          <w:sz w:val="18"/>
        </w:rPr>
        <w:t>extension</w:t>
      </w:r>
      <w:r>
        <w:rPr>
          <w:spacing w:val="-14"/>
          <w:sz w:val="18"/>
        </w:rPr>
        <w:t> </w:t>
      </w:r>
      <w:r>
        <w:rPr>
          <w:sz w:val="18"/>
        </w:rPr>
        <w:t>of</w:t>
      </w:r>
      <w:r>
        <w:rPr>
          <w:spacing w:val="-12"/>
          <w:sz w:val="18"/>
        </w:rPr>
        <w:t> </w:t>
      </w:r>
      <w:r>
        <w:rPr>
          <w:sz w:val="18"/>
        </w:rPr>
        <w:t>our liability is conditional upon the reader’s acknowledgement and understanding of these statements. This valuation</w:t>
      </w:r>
      <w:r>
        <w:rPr>
          <w:spacing w:val="-4"/>
          <w:sz w:val="18"/>
        </w:rPr>
        <w:t> </w:t>
      </w:r>
      <w:r>
        <w:rPr>
          <w:sz w:val="18"/>
        </w:rPr>
        <w:t>is</w:t>
      </w:r>
      <w:r>
        <w:rPr>
          <w:spacing w:val="-3"/>
          <w:sz w:val="18"/>
        </w:rPr>
        <w:t> </w:t>
      </w:r>
      <w:r>
        <w:rPr>
          <w:sz w:val="18"/>
        </w:rPr>
        <w:t>for</w:t>
      </w:r>
      <w:r>
        <w:rPr>
          <w:spacing w:val="-4"/>
          <w:sz w:val="18"/>
        </w:rPr>
        <w:t> </w:t>
      </w:r>
      <w:r>
        <w:rPr>
          <w:sz w:val="18"/>
        </w:rPr>
        <w:t>the</w:t>
      </w:r>
      <w:r>
        <w:rPr>
          <w:spacing w:val="-3"/>
          <w:sz w:val="18"/>
        </w:rPr>
        <w:t> </w:t>
      </w:r>
      <w:r>
        <w:rPr>
          <w:sz w:val="18"/>
        </w:rPr>
        <w:t>use</w:t>
      </w:r>
      <w:r>
        <w:rPr>
          <w:spacing w:val="-3"/>
          <w:sz w:val="18"/>
        </w:rPr>
        <w:t> </w:t>
      </w:r>
      <w:r>
        <w:rPr>
          <w:sz w:val="18"/>
        </w:rPr>
        <w:t>of</w:t>
      </w:r>
      <w:r>
        <w:rPr>
          <w:spacing w:val="-4"/>
          <w:sz w:val="18"/>
        </w:rPr>
        <w:t> </w:t>
      </w:r>
      <w:r>
        <w:rPr>
          <w:sz w:val="18"/>
        </w:rPr>
        <w:t>the</w:t>
      </w:r>
      <w:r>
        <w:rPr>
          <w:spacing w:val="-4"/>
          <w:sz w:val="18"/>
        </w:rPr>
        <w:t> </w:t>
      </w:r>
      <w:r>
        <w:rPr>
          <w:sz w:val="18"/>
        </w:rPr>
        <w:t>party</w:t>
      </w:r>
      <w:r>
        <w:rPr>
          <w:spacing w:val="-4"/>
          <w:sz w:val="18"/>
        </w:rPr>
        <w:t> </w:t>
      </w:r>
      <w:r>
        <w:rPr>
          <w:sz w:val="18"/>
        </w:rPr>
        <w:t>to</w:t>
      </w:r>
      <w:r>
        <w:rPr>
          <w:spacing w:val="-3"/>
          <w:sz w:val="18"/>
        </w:rPr>
        <w:t> </w:t>
      </w:r>
      <w:r>
        <w:rPr>
          <w:sz w:val="18"/>
        </w:rPr>
        <w:t>whom</w:t>
      </w:r>
      <w:r>
        <w:rPr>
          <w:spacing w:val="-4"/>
          <w:sz w:val="18"/>
        </w:rPr>
        <w:t> </w:t>
      </w:r>
      <w:r>
        <w:rPr>
          <w:sz w:val="18"/>
        </w:rPr>
        <w:t>it</w:t>
      </w:r>
      <w:r>
        <w:rPr>
          <w:spacing w:val="-4"/>
          <w:sz w:val="18"/>
        </w:rPr>
        <w:t> </w:t>
      </w:r>
      <w:r>
        <w:rPr>
          <w:sz w:val="18"/>
        </w:rPr>
        <w:t>is</w:t>
      </w:r>
      <w:r>
        <w:rPr>
          <w:spacing w:val="-4"/>
          <w:sz w:val="18"/>
        </w:rPr>
        <w:t> </w:t>
      </w:r>
      <w:r>
        <w:rPr>
          <w:sz w:val="18"/>
        </w:rPr>
        <w:t>addressed</w:t>
      </w:r>
      <w:r>
        <w:rPr>
          <w:spacing w:val="-5"/>
          <w:sz w:val="18"/>
        </w:rPr>
        <w:t> </w:t>
      </w:r>
      <w:r>
        <w:rPr>
          <w:sz w:val="18"/>
        </w:rPr>
        <w:t>and</w:t>
      </w:r>
      <w:r>
        <w:rPr>
          <w:spacing w:val="-3"/>
          <w:sz w:val="18"/>
        </w:rPr>
        <w:t> </w:t>
      </w:r>
      <w:r>
        <w:rPr>
          <w:sz w:val="18"/>
        </w:rPr>
        <w:t>for</w:t>
      </w:r>
      <w:r>
        <w:rPr>
          <w:spacing w:val="-4"/>
          <w:sz w:val="18"/>
        </w:rPr>
        <w:t> </w:t>
      </w:r>
      <w:r>
        <w:rPr>
          <w:sz w:val="18"/>
        </w:rPr>
        <w:t>no</w:t>
      </w:r>
      <w:r>
        <w:rPr>
          <w:spacing w:val="-4"/>
          <w:sz w:val="18"/>
        </w:rPr>
        <w:t> </w:t>
      </w:r>
      <w:r>
        <w:rPr>
          <w:sz w:val="18"/>
        </w:rPr>
        <w:t>other</w:t>
      </w:r>
      <w:r>
        <w:rPr>
          <w:spacing w:val="-4"/>
          <w:sz w:val="18"/>
        </w:rPr>
        <w:t> </w:t>
      </w:r>
      <w:r>
        <w:rPr>
          <w:sz w:val="18"/>
        </w:rPr>
        <w:t>purpose.</w:t>
      </w:r>
      <w:r>
        <w:rPr>
          <w:spacing w:val="-4"/>
          <w:sz w:val="18"/>
        </w:rPr>
        <w:t> </w:t>
      </w:r>
      <w:r>
        <w:rPr>
          <w:sz w:val="18"/>
        </w:rPr>
        <w:t>No</w:t>
      </w:r>
      <w:r>
        <w:rPr>
          <w:spacing w:val="-5"/>
          <w:sz w:val="18"/>
        </w:rPr>
        <w:t> </w:t>
      </w:r>
      <w:r>
        <w:rPr>
          <w:sz w:val="18"/>
        </w:rPr>
        <w:t>responsibility</w:t>
      </w:r>
      <w:r>
        <w:rPr>
          <w:spacing w:val="-4"/>
          <w:sz w:val="18"/>
        </w:rPr>
        <w:t> </w:t>
      </w:r>
      <w:r>
        <w:rPr>
          <w:sz w:val="18"/>
        </w:rPr>
        <w:t>is accepted</w:t>
      </w:r>
      <w:r>
        <w:rPr>
          <w:spacing w:val="-22"/>
          <w:sz w:val="18"/>
        </w:rPr>
        <w:t> </w:t>
      </w:r>
      <w:r>
        <w:rPr>
          <w:sz w:val="18"/>
        </w:rPr>
        <w:t>to</w:t>
      </w:r>
      <w:r>
        <w:rPr>
          <w:spacing w:val="-20"/>
          <w:sz w:val="18"/>
        </w:rPr>
        <w:t> </w:t>
      </w:r>
      <w:r>
        <w:rPr>
          <w:sz w:val="18"/>
        </w:rPr>
        <w:t>any</w:t>
      </w:r>
      <w:r>
        <w:rPr>
          <w:spacing w:val="-22"/>
          <w:sz w:val="18"/>
        </w:rPr>
        <w:t> </w:t>
      </w:r>
      <w:r>
        <w:rPr>
          <w:sz w:val="18"/>
        </w:rPr>
        <w:t>third</w:t>
      </w:r>
      <w:r>
        <w:rPr>
          <w:spacing w:val="-21"/>
          <w:sz w:val="18"/>
        </w:rPr>
        <w:t> </w:t>
      </w:r>
      <w:r>
        <w:rPr>
          <w:sz w:val="18"/>
        </w:rPr>
        <w:t>party</w:t>
      </w:r>
      <w:r>
        <w:rPr>
          <w:spacing w:val="-21"/>
          <w:sz w:val="18"/>
        </w:rPr>
        <w:t> </w:t>
      </w:r>
      <w:r>
        <w:rPr>
          <w:sz w:val="18"/>
        </w:rPr>
        <w:t>who</w:t>
      </w:r>
      <w:r>
        <w:rPr>
          <w:spacing w:val="-21"/>
          <w:sz w:val="18"/>
        </w:rPr>
        <w:t> </w:t>
      </w:r>
      <w:r>
        <w:rPr>
          <w:sz w:val="18"/>
        </w:rPr>
        <w:t>may</w:t>
      </w:r>
      <w:r>
        <w:rPr>
          <w:spacing w:val="-21"/>
          <w:sz w:val="18"/>
        </w:rPr>
        <w:t> </w:t>
      </w:r>
      <w:r>
        <w:rPr>
          <w:sz w:val="18"/>
        </w:rPr>
        <w:t>use</w:t>
      </w:r>
      <w:r>
        <w:rPr>
          <w:spacing w:val="-21"/>
          <w:sz w:val="18"/>
        </w:rPr>
        <w:t> </w:t>
      </w:r>
      <w:r>
        <w:rPr>
          <w:sz w:val="18"/>
        </w:rPr>
        <w:t>or</w:t>
      </w:r>
      <w:r>
        <w:rPr>
          <w:spacing w:val="-21"/>
          <w:sz w:val="18"/>
        </w:rPr>
        <w:t> </w:t>
      </w:r>
      <w:r>
        <w:rPr>
          <w:sz w:val="18"/>
        </w:rPr>
        <w:t>rely</w:t>
      </w:r>
      <w:r>
        <w:rPr>
          <w:spacing w:val="-21"/>
          <w:sz w:val="18"/>
        </w:rPr>
        <w:t> </w:t>
      </w:r>
      <w:r>
        <w:rPr>
          <w:sz w:val="18"/>
        </w:rPr>
        <w:t>on</w:t>
      </w:r>
      <w:r>
        <w:rPr>
          <w:spacing w:val="-22"/>
          <w:sz w:val="18"/>
        </w:rPr>
        <w:t> </w:t>
      </w:r>
      <w:r>
        <w:rPr>
          <w:sz w:val="18"/>
        </w:rPr>
        <w:t>the</w:t>
      </w:r>
      <w:r>
        <w:rPr>
          <w:spacing w:val="-21"/>
          <w:sz w:val="18"/>
        </w:rPr>
        <w:t> </w:t>
      </w:r>
      <w:r>
        <w:rPr>
          <w:sz w:val="18"/>
        </w:rPr>
        <w:t>whole</w:t>
      </w:r>
      <w:r>
        <w:rPr>
          <w:spacing w:val="-22"/>
          <w:sz w:val="18"/>
        </w:rPr>
        <w:t> </w:t>
      </w:r>
      <w:r>
        <w:rPr>
          <w:sz w:val="18"/>
        </w:rPr>
        <w:t>or</w:t>
      </w:r>
      <w:r>
        <w:rPr>
          <w:spacing w:val="-21"/>
          <w:sz w:val="18"/>
        </w:rPr>
        <w:t> </w:t>
      </w:r>
      <w:r>
        <w:rPr>
          <w:sz w:val="18"/>
        </w:rPr>
        <w:t>any</w:t>
      </w:r>
      <w:r>
        <w:rPr>
          <w:spacing w:val="-21"/>
          <w:sz w:val="18"/>
        </w:rPr>
        <w:t> </w:t>
      </w:r>
      <w:r>
        <w:rPr>
          <w:sz w:val="18"/>
        </w:rPr>
        <w:t>part</w:t>
      </w:r>
      <w:r>
        <w:rPr>
          <w:spacing w:val="-22"/>
          <w:sz w:val="18"/>
        </w:rPr>
        <w:t> </w:t>
      </w:r>
      <w:r>
        <w:rPr>
          <w:sz w:val="18"/>
        </w:rPr>
        <w:t>of</w:t>
      </w:r>
      <w:r>
        <w:rPr>
          <w:spacing w:val="-21"/>
          <w:sz w:val="18"/>
        </w:rPr>
        <w:t> </w:t>
      </w:r>
      <w:r>
        <w:rPr>
          <w:sz w:val="18"/>
        </w:rPr>
        <w:t>the</w:t>
      </w:r>
      <w:r>
        <w:rPr>
          <w:spacing w:val="-22"/>
          <w:sz w:val="18"/>
        </w:rPr>
        <w:t> </w:t>
      </w:r>
      <w:r>
        <w:rPr>
          <w:sz w:val="18"/>
        </w:rPr>
        <w:t>content</w:t>
      </w:r>
      <w:r>
        <w:rPr>
          <w:spacing w:val="-22"/>
          <w:sz w:val="18"/>
        </w:rPr>
        <w:t> </w:t>
      </w:r>
      <w:r>
        <w:rPr>
          <w:sz w:val="18"/>
        </w:rPr>
        <w:t>of</w:t>
      </w:r>
      <w:r>
        <w:rPr>
          <w:spacing w:val="-20"/>
          <w:sz w:val="18"/>
        </w:rPr>
        <w:t> </w:t>
      </w:r>
      <w:r>
        <w:rPr>
          <w:sz w:val="18"/>
        </w:rPr>
        <w:t>this</w:t>
      </w:r>
      <w:r>
        <w:rPr>
          <w:spacing w:val="-21"/>
          <w:sz w:val="18"/>
        </w:rPr>
        <w:t> </w:t>
      </w:r>
      <w:r>
        <w:rPr>
          <w:sz w:val="18"/>
        </w:rPr>
        <w:t>valuation.</w:t>
      </w:r>
      <w:r>
        <w:rPr>
          <w:spacing w:val="-21"/>
          <w:sz w:val="18"/>
        </w:rPr>
        <w:t> </w:t>
      </w:r>
      <w:r>
        <w:rPr>
          <w:sz w:val="18"/>
        </w:rPr>
        <w:t>The valuer</w:t>
      </w:r>
      <w:r>
        <w:rPr>
          <w:spacing w:val="-14"/>
          <w:sz w:val="18"/>
        </w:rPr>
        <w:t> </w:t>
      </w:r>
      <w:r>
        <w:rPr>
          <w:sz w:val="18"/>
        </w:rPr>
        <w:t>has</w:t>
      </w:r>
      <w:r>
        <w:rPr>
          <w:spacing w:val="-14"/>
          <w:sz w:val="18"/>
        </w:rPr>
        <w:t> </w:t>
      </w:r>
      <w:r>
        <w:rPr>
          <w:sz w:val="18"/>
        </w:rPr>
        <w:t>no</w:t>
      </w:r>
      <w:r>
        <w:rPr>
          <w:spacing w:val="-12"/>
          <w:sz w:val="18"/>
        </w:rPr>
        <w:t> </w:t>
      </w:r>
      <w:r>
        <w:rPr>
          <w:sz w:val="18"/>
        </w:rPr>
        <w:t>pecuniary</w:t>
      </w:r>
      <w:r>
        <w:rPr>
          <w:spacing w:val="-14"/>
          <w:sz w:val="18"/>
        </w:rPr>
        <w:t> </w:t>
      </w:r>
      <w:r>
        <w:rPr>
          <w:sz w:val="18"/>
        </w:rPr>
        <w:t>interest</w:t>
      </w:r>
      <w:r>
        <w:rPr>
          <w:spacing w:val="-14"/>
          <w:sz w:val="18"/>
        </w:rPr>
        <w:t> </w:t>
      </w:r>
      <w:r>
        <w:rPr>
          <w:sz w:val="18"/>
        </w:rPr>
        <w:t>that</w:t>
      </w:r>
      <w:r>
        <w:rPr>
          <w:spacing w:val="-14"/>
          <w:sz w:val="18"/>
        </w:rPr>
        <w:t> </w:t>
      </w:r>
      <w:r>
        <w:rPr>
          <w:sz w:val="18"/>
        </w:rPr>
        <w:t>would</w:t>
      </w:r>
      <w:r>
        <w:rPr>
          <w:spacing w:val="-13"/>
          <w:sz w:val="18"/>
        </w:rPr>
        <w:t> </w:t>
      </w:r>
      <w:r>
        <w:rPr>
          <w:sz w:val="18"/>
        </w:rPr>
        <w:t>conflict</w:t>
      </w:r>
      <w:r>
        <w:rPr>
          <w:spacing w:val="-14"/>
          <w:sz w:val="18"/>
        </w:rPr>
        <w:t> </w:t>
      </w:r>
      <w:r>
        <w:rPr>
          <w:sz w:val="18"/>
        </w:rPr>
        <w:t>with</w:t>
      </w:r>
      <w:r>
        <w:rPr>
          <w:spacing w:val="-13"/>
          <w:sz w:val="18"/>
        </w:rPr>
        <w:t> </w:t>
      </w:r>
      <w:r>
        <w:rPr>
          <w:sz w:val="18"/>
        </w:rPr>
        <w:t>the</w:t>
      </w:r>
      <w:r>
        <w:rPr>
          <w:spacing w:val="-12"/>
          <w:sz w:val="18"/>
        </w:rPr>
        <w:t> </w:t>
      </w:r>
      <w:r>
        <w:rPr>
          <w:sz w:val="18"/>
        </w:rPr>
        <w:t>proper</w:t>
      </w:r>
      <w:r>
        <w:rPr>
          <w:spacing w:val="-13"/>
          <w:sz w:val="18"/>
        </w:rPr>
        <w:t> </w:t>
      </w:r>
      <w:r>
        <w:rPr>
          <w:sz w:val="18"/>
        </w:rPr>
        <w:t>valuation</w:t>
      </w:r>
      <w:r>
        <w:rPr>
          <w:spacing w:val="-13"/>
          <w:sz w:val="18"/>
        </w:rPr>
        <w:t> </w:t>
      </w:r>
      <w:r>
        <w:rPr>
          <w:sz w:val="18"/>
        </w:rPr>
        <w:t>of</w:t>
      </w:r>
      <w:r>
        <w:rPr>
          <w:spacing w:val="-12"/>
          <w:sz w:val="18"/>
        </w:rPr>
        <w:t> </w:t>
      </w:r>
      <w:r>
        <w:rPr>
          <w:sz w:val="18"/>
        </w:rPr>
        <w:t>the</w:t>
      </w:r>
      <w:r>
        <w:rPr>
          <w:spacing w:val="-13"/>
          <w:sz w:val="18"/>
        </w:rPr>
        <w:t> </w:t>
      </w:r>
      <w:r>
        <w:rPr>
          <w:sz w:val="18"/>
        </w:rPr>
        <w:t>property.</w:t>
      </w:r>
    </w:p>
    <w:p>
      <w:pPr>
        <w:spacing w:after="0" w:line="321" w:lineRule="auto"/>
        <w:jc w:val="both"/>
        <w:rPr>
          <w:sz w:val="18"/>
        </w:rPr>
        <w:sectPr>
          <w:type w:val="continuous"/>
          <w:pgSz w:w="11910" w:h="16840"/>
          <w:pgMar w:top="800" w:bottom="280" w:left="440" w:right="80"/>
          <w:cols w:num="2" w:equalWidth="0">
            <w:col w:w="1523" w:space="450"/>
            <w:col w:w="9417"/>
          </w:cols>
        </w:sectPr>
      </w:pPr>
    </w:p>
    <w:p>
      <w:pPr>
        <w:pStyle w:val="BodyText"/>
        <w:spacing w:before="5"/>
      </w:pPr>
    </w:p>
    <w:p>
      <w:pPr>
        <w:pStyle w:val="ListParagraph"/>
        <w:numPr>
          <w:ilvl w:val="1"/>
          <w:numId w:val="26"/>
        </w:numPr>
        <w:tabs>
          <w:tab w:pos="856" w:val="left" w:leader="none"/>
          <w:tab w:pos="857" w:val="left" w:leader="none"/>
        </w:tabs>
        <w:spacing w:line="240" w:lineRule="auto" w:before="106" w:after="0"/>
        <w:ind w:left="856" w:right="0" w:hanging="577"/>
        <w:jc w:val="left"/>
        <w:rPr>
          <w:sz w:val="22"/>
        </w:rPr>
      </w:pPr>
      <w:bookmarkStart w:name="_bookmark35" w:id="70"/>
      <w:bookmarkEnd w:id="70"/>
      <w:r>
        <w:rPr/>
      </w:r>
      <w:bookmarkStart w:name="_bookmark35" w:id="71"/>
      <w:bookmarkEnd w:id="71"/>
      <w:r>
        <w:rPr>
          <w:color w:val="1F6647"/>
          <w:w w:val="105"/>
          <w:sz w:val="22"/>
        </w:rPr>
        <w:t>E</w:t>
      </w:r>
      <w:r>
        <w:rPr>
          <w:color w:val="1F6647"/>
          <w:w w:val="105"/>
          <w:sz w:val="22"/>
        </w:rPr>
        <w:t>mbassy</w:t>
      </w:r>
      <w:r>
        <w:rPr>
          <w:color w:val="1F6647"/>
          <w:spacing w:val="-6"/>
          <w:w w:val="105"/>
          <w:sz w:val="22"/>
        </w:rPr>
        <w:t> </w:t>
      </w:r>
      <w:r>
        <w:rPr>
          <w:color w:val="1F6647"/>
          <w:w w:val="105"/>
          <w:sz w:val="22"/>
        </w:rPr>
        <w:t>Qubix</w:t>
      </w:r>
    </w:p>
    <w:p>
      <w:pPr>
        <w:pStyle w:val="BodyText"/>
        <w:rPr>
          <w:sz w:val="29"/>
        </w:rPr>
      </w:pPr>
    </w:p>
    <w:p>
      <w:pPr>
        <w:tabs>
          <w:tab w:pos="2457" w:val="left" w:leader="none"/>
        </w:tabs>
        <w:spacing w:line="321" w:lineRule="auto" w:before="0"/>
        <w:ind w:left="2457" w:right="659" w:hanging="2065"/>
        <w:jc w:val="both"/>
        <w:rPr>
          <w:sz w:val="18"/>
        </w:rPr>
      </w:pPr>
      <w:r>
        <w:rPr>
          <w:color w:val="006A4D"/>
          <w:sz w:val="18"/>
        </w:rPr>
        <w:t>Property</w:t>
      </w:r>
      <w:r>
        <w:rPr>
          <w:color w:val="006A4D"/>
          <w:spacing w:val="-15"/>
          <w:sz w:val="18"/>
        </w:rPr>
        <w:t> </w:t>
      </w:r>
      <w:r>
        <w:rPr>
          <w:color w:val="006A4D"/>
          <w:sz w:val="18"/>
        </w:rPr>
        <w:t>Name:</w:t>
        <w:tab/>
      </w:r>
      <w:r>
        <w:rPr>
          <w:sz w:val="18"/>
        </w:rPr>
        <w:t>‘Embassy Qubix’ is an office park located in Phase 1, Rajiv Gandhi Infotech Park, Hinjewadi, Pune, Maharashtra</w:t>
      </w:r>
    </w:p>
    <w:p>
      <w:pPr>
        <w:pStyle w:val="BodyText"/>
        <w:spacing w:before="7"/>
        <w:rPr>
          <w:sz w:val="21"/>
        </w:rPr>
      </w:pPr>
    </w:p>
    <w:p>
      <w:pPr>
        <w:tabs>
          <w:tab w:pos="2457" w:val="left" w:leader="none"/>
        </w:tabs>
        <w:spacing w:line="321" w:lineRule="auto" w:before="0"/>
        <w:ind w:left="2457" w:right="662" w:hanging="2065"/>
        <w:jc w:val="both"/>
        <w:rPr>
          <w:sz w:val="18"/>
        </w:rPr>
      </w:pPr>
      <w:r>
        <w:rPr>
          <w:color w:val="006A4D"/>
          <w:sz w:val="18"/>
        </w:rPr>
        <w:t>Property</w:t>
      </w:r>
      <w:r>
        <w:rPr>
          <w:color w:val="006A4D"/>
          <w:spacing w:val="-25"/>
          <w:sz w:val="18"/>
        </w:rPr>
        <w:t> </w:t>
      </w:r>
      <w:r>
        <w:rPr>
          <w:color w:val="006A4D"/>
          <w:sz w:val="18"/>
        </w:rPr>
        <w:t>Address:</w:t>
        <w:tab/>
      </w:r>
      <w:r>
        <w:rPr>
          <w:sz w:val="18"/>
        </w:rPr>
        <w:t>Plot</w:t>
      </w:r>
      <w:r>
        <w:rPr>
          <w:spacing w:val="-21"/>
          <w:sz w:val="18"/>
        </w:rPr>
        <w:t> </w:t>
      </w:r>
      <w:r>
        <w:rPr>
          <w:sz w:val="18"/>
        </w:rPr>
        <w:t>No.2,</w:t>
      </w:r>
      <w:r>
        <w:rPr>
          <w:spacing w:val="-20"/>
          <w:sz w:val="18"/>
        </w:rPr>
        <w:t> </w:t>
      </w:r>
      <w:r>
        <w:rPr>
          <w:sz w:val="18"/>
        </w:rPr>
        <w:t>Blue</w:t>
      </w:r>
      <w:r>
        <w:rPr>
          <w:spacing w:val="-19"/>
          <w:sz w:val="18"/>
        </w:rPr>
        <w:t> </w:t>
      </w:r>
      <w:r>
        <w:rPr>
          <w:sz w:val="18"/>
        </w:rPr>
        <w:t>Ridge</w:t>
      </w:r>
      <w:r>
        <w:rPr>
          <w:spacing w:val="-20"/>
          <w:sz w:val="18"/>
        </w:rPr>
        <w:t> </w:t>
      </w:r>
      <w:r>
        <w:rPr>
          <w:sz w:val="18"/>
        </w:rPr>
        <w:t>Township,</w:t>
      </w:r>
      <w:r>
        <w:rPr>
          <w:spacing w:val="-20"/>
          <w:sz w:val="18"/>
        </w:rPr>
        <w:t> </w:t>
      </w:r>
      <w:r>
        <w:rPr>
          <w:sz w:val="18"/>
        </w:rPr>
        <w:t>Near</w:t>
      </w:r>
      <w:r>
        <w:rPr>
          <w:spacing w:val="-20"/>
          <w:sz w:val="18"/>
        </w:rPr>
        <w:t> </w:t>
      </w:r>
      <w:r>
        <w:rPr>
          <w:sz w:val="18"/>
        </w:rPr>
        <w:t>Rajiv</w:t>
      </w:r>
      <w:r>
        <w:rPr>
          <w:spacing w:val="-20"/>
          <w:sz w:val="18"/>
        </w:rPr>
        <w:t> </w:t>
      </w:r>
      <w:r>
        <w:rPr>
          <w:sz w:val="18"/>
        </w:rPr>
        <w:t>Gandhi</w:t>
      </w:r>
      <w:r>
        <w:rPr>
          <w:spacing w:val="-21"/>
          <w:sz w:val="18"/>
        </w:rPr>
        <w:t> </w:t>
      </w:r>
      <w:r>
        <w:rPr>
          <w:sz w:val="18"/>
        </w:rPr>
        <w:t>Infotech</w:t>
      </w:r>
      <w:r>
        <w:rPr>
          <w:spacing w:val="-20"/>
          <w:sz w:val="18"/>
        </w:rPr>
        <w:t> </w:t>
      </w:r>
      <w:r>
        <w:rPr>
          <w:sz w:val="18"/>
        </w:rPr>
        <w:t>Park</w:t>
      </w:r>
      <w:r>
        <w:rPr>
          <w:spacing w:val="-16"/>
          <w:sz w:val="18"/>
        </w:rPr>
        <w:t> </w:t>
      </w:r>
      <w:r>
        <w:rPr>
          <w:w w:val="105"/>
          <w:sz w:val="18"/>
        </w:rPr>
        <w:t>–</w:t>
      </w:r>
      <w:r>
        <w:rPr>
          <w:spacing w:val="-23"/>
          <w:w w:val="105"/>
          <w:sz w:val="18"/>
        </w:rPr>
        <w:t> </w:t>
      </w:r>
      <w:r>
        <w:rPr>
          <w:sz w:val="18"/>
        </w:rPr>
        <w:t>Phase</w:t>
      </w:r>
      <w:r>
        <w:rPr>
          <w:spacing w:val="-19"/>
          <w:sz w:val="18"/>
        </w:rPr>
        <w:t> </w:t>
      </w:r>
      <w:r>
        <w:rPr>
          <w:sz w:val="18"/>
        </w:rPr>
        <w:t>I,</w:t>
      </w:r>
      <w:r>
        <w:rPr>
          <w:spacing w:val="-20"/>
          <w:sz w:val="18"/>
        </w:rPr>
        <w:t> </w:t>
      </w:r>
      <w:r>
        <w:rPr>
          <w:sz w:val="18"/>
        </w:rPr>
        <w:t>Hinjewadi,</w:t>
      </w:r>
      <w:r>
        <w:rPr>
          <w:spacing w:val="-21"/>
          <w:sz w:val="18"/>
        </w:rPr>
        <w:t> </w:t>
      </w:r>
      <w:r>
        <w:rPr>
          <w:sz w:val="18"/>
        </w:rPr>
        <w:t>Pune,</w:t>
      </w:r>
      <w:r>
        <w:rPr>
          <w:spacing w:val="-21"/>
          <w:sz w:val="18"/>
        </w:rPr>
        <w:t> </w:t>
      </w:r>
      <w:r>
        <w:rPr>
          <w:sz w:val="18"/>
        </w:rPr>
        <w:t>Maharashtra 411057</w:t>
      </w:r>
    </w:p>
    <w:p>
      <w:pPr>
        <w:pStyle w:val="BodyText"/>
        <w:spacing w:before="7"/>
        <w:rPr>
          <w:sz w:val="21"/>
        </w:rPr>
      </w:pPr>
    </w:p>
    <w:p>
      <w:pPr>
        <w:tabs>
          <w:tab w:pos="2457" w:val="left" w:leader="none"/>
        </w:tabs>
        <w:spacing w:line="321" w:lineRule="auto" w:before="0"/>
        <w:ind w:left="2457" w:right="661" w:hanging="2065"/>
        <w:jc w:val="both"/>
        <w:rPr>
          <w:sz w:val="18"/>
        </w:rPr>
      </w:pPr>
      <w:r>
        <w:rPr>
          <w:color w:val="006A4D"/>
          <w:sz w:val="18"/>
        </w:rPr>
        <w:t>Land</w:t>
      </w:r>
      <w:r>
        <w:rPr>
          <w:color w:val="006A4D"/>
          <w:spacing w:val="-4"/>
          <w:sz w:val="18"/>
        </w:rPr>
        <w:t> </w:t>
      </w:r>
      <w:r>
        <w:rPr>
          <w:color w:val="006A4D"/>
          <w:sz w:val="18"/>
        </w:rPr>
        <w:t>Area:</w:t>
        <w:tab/>
      </w:r>
      <w:r>
        <w:rPr>
          <w:sz w:val="18"/>
        </w:rPr>
        <w:t>Based</w:t>
      </w:r>
      <w:r>
        <w:rPr>
          <w:spacing w:val="-32"/>
          <w:sz w:val="18"/>
        </w:rPr>
        <w:t> </w:t>
      </w:r>
      <w:r>
        <w:rPr>
          <w:sz w:val="18"/>
        </w:rPr>
        <w:t>on</w:t>
      </w:r>
      <w:r>
        <w:rPr>
          <w:spacing w:val="-33"/>
          <w:sz w:val="18"/>
        </w:rPr>
        <w:t> </w:t>
      </w:r>
      <w:r>
        <w:rPr>
          <w:sz w:val="18"/>
        </w:rPr>
        <w:t>review</w:t>
      </w:r>
      <w:r>
        <w:rPr>
          <w:spacing w:val="-32"/>
          <w:sz w:val="18"/>
        </w:rPr>
        <w:t> </w:t>
      </w:r>
      <w:r>
        <w:rPr>
          <w:sz w:val="18"/>
        </w:rPr>
        <w:t>of</w:t>
      </w:r>
      <w:r>
        <w:rPr>
          <w:spacing w:val="-33"/>
          <w:sz w:val="18"/>
        </w:rPr>
        <w:t> </w:t>
      </w:r>
      <w:r>
        <w:rPr>
          <w:sz w:val="18"/>
        </w:rPr>
        <w:t>the</w:t>
      </w:r>
      <w:r>
        <w:rPr>
          <w:spacing w:val="-32"/>
          <w:sz w:val="18"/>
        </w:rPr>
        <w:t> </w:t>
      </w:r>
      <w:r>
        <w:rPr>
          <w:sz w:val="18"/>
        </w:rPr>
        <w:t>title</w:t>
      </w:r>
      <w:r>
        <w:rPr>
          <w:spacing w:val="-32"/>
          <w:sz w:val="18"/>
        </w:rPr>
        <w:t> </w:t>
      </w:r>
      <w:r>
        <w:rPr>
          <w:sz w:val="18"/>
        </w:rPr>
        <w:t>report,</w:t>
      </w:r>
      <w:r>
        <w:rPr>
          <w:spacing w:val="-33"/>
          <w:sz w:val="18"/>
        </w:rPr>
        <w:t> </w:t>
      </w:r>
      <w:r>
        <w:rPr>
          <w:sz w:val="18"/>
        </w:rPr>
        <w:t>we</w:t>
      </w:r>
      <w:r>
        <w:rPr>
          <w:spacing w:val="-32"/>
          <w:sz w:val="18"/>
        </w:rPr>
        <w:t> </w:t>
      </w:r>
      <w:r>
        <w:rPr>
          <w:sz w:val="18"/>
        </w:rPr>
        <w:t>understand</w:t>
      </w:r>
      <w:r>
        <w:rPr>
          <w:spacing w:val="-33"/>
          <w:sz w:val="18"/>
        </w:rPr>
        <w:t> </w:t>
      </w:r>
      <w:r>
        <w:rPr>
          <w:sz w:val="18"/>
        </w:rPr>
        <w:t>that</w:t>
      </w:r>
      <w:r>
        <w:rPr>
          <w:spacing w:val="-32"/>
          <w:sz w:val="18"/>
        </w:rPr>
        <w:t> </w:t>
      </w:r>
      <w:r>
        <w:rPr>
          <w:sz w:val="18"/>
        </w:rPr>
        <w:t>the</w:t>
      </w:r>
      <w:r>
        <w:rPr>
          <w:spacing w:val="-30"/>
          <w:sz w:val="18"/>
        </w:rPr>
        <w:t> </w:t>
      </w:r>
      <w:r>
        <w:rPr>
          <w:sz w:val="18"/>
        </w:rPr>
        <w:t>total</w:t>
      </w:r>
      <w:r>
        <w:rPr>
          <w:spacing w:val="-33"/>
          <w:sz w:val="18"/>
        </w:rPr>
        <w:t> </w:t>
      </w:r>
      <w:r>
        <w:rPr>
          <w:sz w:val="18"/>
        </w:rPr>
        <w:t>land</w:t>
      </w:r>
      <w:r>
        <w:rPr>
          <w:spacing w:val="-33"/>
          <w:sz w:val="18"/>
        </w:rPr>
        <w:t> </w:t>
      </w:r>
      <w:r>
        <w:rPr>
          <w:sz w:val="18"/>
        </w:rPr>
        <w:t>area</w:t>
      </w:r>
      <w:r>
        <w:rPr>
          <w:spacing w:val="-32"/>
          <w:sz w:val="18"/>
        </w:rPr>
        <w:t> </w:t>
      </w:r>
      <w:r>
        <w:rPr>
          <w:sz w:val="18"/>
        </w:rPr>
        <w:t>of</w:t>
      </w:r>
      <w:r>
        <w:rPr>
          <w:spacing w:val="-33"/>
          <w:sz w:val="18"/>
        </w:rPr>
        <w:t> </w:t>
      </w:r>
      <w:r>
        <w:rPr>
          <w:sz w:val="18"/>
        </w:rPr>
        <w:t>the</w:t>
      </w:r>
      <w:r>
        <w:rPr>
          <w:spacing w:val="-32"/>
          <w:sz w:val="18"/>
        </w:rPr>
        <w:t> </w:t>
      </w:r>
      <w:r>
        <w:rPr>
          <w:sz w:val="18"/>
        </w:rPr>
        <w:t>subject</w:t>
      </w:r>
      <w:r>
        <w:rPr>
          <w:spacing w:val="-34"/>
          <w:sz w:val="18"/>
        </w:rPr>
        <w:t> </w:t>
      </w:r>
      <w:r>
        <w:rPr>
          <w:sz w:val="18"/>
        </w:rPr>
        <w:t>property</w:t>
      </w:r>
      <w:r>
        <w:rPr>
          <w:spacing w:val="-33"/>
          <w:sz w:val="18"/>
        </w:rPr>
        <w:t> </w:t>
      </w:r>
      <w:r>
        <w:rPr>
          <w:sz w:val="18"/>
        </w:rPr>
        <w:t>under</w:t>
      </w:r>
      <w:r>
        <w:rPr>
          <w:spacing w:val="-32"/>
          <w:sz w:val="18"/>
        </w:rPr>
        <w:t> </w:t>
      </w:r>
      <w:r>
        <w:rPr>
          <w:sz w:val="18"/>
        </w:rPr>
        <w:t>the ownership of the Client is approximately 25.16</w:t>
      </w:r>
      <w:r>
        <w:rPr>
          <w:spacing w:val="-25"/>
          <w:sz w:val="18"/>
        </w:rPr>
        <w:t> </w:t>
      </w:r>
      <w:r>
        <w:rPr>
          <w:sz w:val="18"/>
        </w:rPr>
        <w:t>acres</w:t>
      </w:r>
    </w:p>
    <w:p>
      <w:pPr>
        <w:pStyle w:val="BodyText"/>
        <w:spacing w:before="8"/>
        <w:rPr>
          <w:sz w:val="21"/>
        </w:rPr>
      </w:pPr>
    </w:p>
    <w:p>
      <w:pPr>
        <w:tabs>
          <w:tab w:pos="2457" w:val="left" w:leader="none"/>
        </w:tabs>
        <w:spacing w:line="321" w:lineRule="auto" w:before="0"/>
        <w:ind w:left="2457" w:right="659" w:hanging="2065"/>
        <w:jc w:val="both"/>
        <w:rPr>
          <w:sz w:val="18"/>
        </w:rPr>
      </w:pPr>
      <w:r>
        <w:rPr>
          <w:color w:val="006A4D"/>
          <w:sz w:val="18"/>
        </w:rPr>
        <w:t>Brief</w:t>
      </w:r>
      <w:r>
        <w:rPr>
          <w:color w:val="006A4D"/>
          <w:spacing w:val="-31"/>
          <w:sz w:val="18"/>
        </w:rPr>
        <w:t> </w:t>
      </w:r>
      <w:r>
        <w:rPr>
          <w:color w:val="006A4D"/>
          <w:sz w:val="18"/>
        </w:rPr>
        <w:t>Description:</w:t>
        <w:tab/>
      </w:r>
      <w:r>
        <w:rPr>
          <w:sz w:val="18"/>
        </w:rPr>
        <w:t>“Embassy</w:t>
      </w:r>
      <w:r>
        <w:rPr>
          <w:spacing w:val="-18"/>
          <w:sz w:val="18"/>
        </w:rPr>
        <w:t> </w:t>
      </w:r>
      <w:r>
        <w:rPr>
          <w:sz w:val="18"/>
        </w:rPr>
        <w:t>Qubix”,</w:t>
      </w:r>
      <w:r>
        <w:rPr>
          <w:spacing w:val="-19"/>
          <w:sz w:val="18"/>
        </w:rPr>
        <w:t> </w:t>
      </w:r>
      <w:r>
        <w:rPr>
          <w:sz w:val="18"/>
        </w:rPr>
        <w:t>has</w:t>
      </w:r>
      <w:r>
        <w:rPr>
          <w:spacing w:val="-18"/>
          <w:sz w:val="18"/>
        </w:rPr>
        <w:t> </w:t>
      </w:r>
      <w:r>
        <w:rPr>
          <w:sz w:val="18"/>
        </w:rPr>
        <w:t>been</w:t>
      </w:r>
      <w:r>
        <w:rPr>
          <w:spacing w:val="-19"/>
          <w:sz w:val="18"/>
        </w:rPr>
        <w:t> </w:t>
      </w:r>
      <w:r>
        <w:rPr>
          <w:sz w:val="18"/>
        </w:rPr>
        <w:t>conceptualized</w:t>
      </w:r>
      <w:r>
        <w:rPr>
          <w:spacing w:val="-19"/>
          <w:sz w:val="18"/>
        </w:rPr>
        <w:t> </w:t>
      </w:r>
      <w:r>
        <w:rPr>
          <w:sz w:val="18"/>
        </w:rPr>
        <w:t>as</w:t>
      </w:r>
      <w:r>
        <w:rPr>
          <w:spacing w:val="-18"/>
          <w:sz w:val="18"/>
        </w:rPr>
        <w:t> </w:t>
      </w:r>
      <w:r>
        <w:rPr>
          <w:sz w:val="18"/>
        </w:rPr>
        <w:t>an</w:t>
      </w:r>
      <w:r>
        <w:rPr>
          <w:spacing w:val="-19"/>
          <w:sz w:val="18"/>
        </w:rPr>
        <w:t> </w:t>
      </w:r>
      <w:r>
        <w:rPr>
          <w:sz w:val="18"/>
        </w:rPr>
        <w:t>IT</w:t>
      </w:r>
      <w:r>
        <w:rPr>
          <w:spacing w:val="-19"/>
          <w:sz w:val="18"/>
        </w:rPr>
        <w:t> </w:t>
      </w:r>
      <w:r>
        <w:rPr>
          <w:sz w:val="18"/>
        </w:rPr>
        <w:t>SEZ</w:t>
      </w:r>
      <w:r>
        <w:rPr>
          <w:spacing w:val="-20"/>
          <w:sz w:val="18"/>
        </w:rPr>
        <w:t> </w:t>
      </w:r>
      <w:r>
        <w:rPr>
          <w:sz w:val="18"/>
        </w:rPr>
        <w:t>office</w:t>
      </w:r>
      <w:r>
        <w:rPr>
          <w:spacing w:val="-16"/>
          <w:sz w:val="18"/>
        </w:rPr>
        <w:t> </w:t>
      </w:r>
      <w:r>
        <w:rPr>
          <w:sz w:val="18"/>
        </w:rPr>
        <w:t>park</w:t>
      </w:r>
      <w:r>
        <w:rPr>
          <w:spacing w:val="-18"/>
          <w:sz w:val="18"/>
        </w:rPr>
        <w:t> </w:t>
      </w:r>
      <w:r>
        <w:rPr>
          <w:sz w:val="18"/>
        </w:rPr>
        <w:t>leased</w:t>
      </w:r>
      <w:r>
        <w:rPr>
          <w:spacing w:val="-19"/>
          <w:sz w:val="18"/>
        </w:rPr>
        <w:t> </w:t>
      </w:r>
      <w:r>
        <w:rPr>
          <w:sz w:val="18"/>
        </w:rPr>
        <w:t>to</w:t>
      </w:r>
      <w:r>
        <w:rPr>
          <w:spacing w:val="-19"/>
          <w:sz w:val="18"/>
        </w:rPr>
        <w:t> </w:t>
      </w:r>
      <w:r>
        <w:rPr>
          <w:sz w:val="18"/>
        </w:rPr>
        <w:t>various</w:t>
      </w:r>
      <w:r>
        <w:rPr>
          <w:spacing w:val="-18"/>
          <w:sz w:val="18"/>
        </w:rPr>
        <w:t> </w:t>
      </w:r>
      <w:r>
        <w:rPr>
          <w:sz w:val="18"/>
        </w:rPr>
        <w:t>domestic</w:t>
      </w:r>
      <w:r>
        <w:rPr>
          <w:spacing w:val="-19"/>
          <w:sz w:val="18"/>
        </w:rPr>
        <w:t> </w:t>
      </w:r>
      <w:r>
        <w:rPr>
          <w:sz w:val="18"/>
        </w:rPr>
        <w:t>and</w:t>
      </w:r>
      <w:r>
        <w:rPr>
          <w:spacing w:val="-19"/>
          <w:sz w:val="18"/>
        </w:rPr>
        <w:t> </w:t>
      </w:r>
      <w:r>
        <w:rPr>
          <w:sz w:val="18"/>
        </w:rPr>
        <w:t>multi- national IT/ ITeS tenants. The property is well equipped with number of facilities and amenities like enhanced landscapes, Q Court Courtyard, grocery stores, ATMs, two-wheeler and four-wheeler car parking</w:t>
      </w:r>
      <w:r>
        <w:rPr>
          <w:spacing w:val="-9"/>
          <w:sz w:val="18"/>
        </w:rPr>
        <w:t> </w:t>
      </w:r>
      <w:r>
        <w:rPr>
          <w:sz w:val="18"/>
        </w:rPr>
        <w:t>spaces,</w:t>
      </w:r>
      <w:r>
        <w:rPr>
          <w:spacing w:val="-13"/>
          <w:sz w:val="18"/>
        </w:rPr>
        <w:t> </w:t>
      </w:r>
      <w:r>
        <w:rPr>
          <w:sz w:val="18"/>
        </w:rPr>
        <w:t>etc.</w:t>
      </w:r>
      <w:r>
        <w:rPr>
          <w:spacing w:val="-9"/>
          <w:sz w:val="18"/>
        </w:rPr>
        <w:t> </w:t>
      </w:r>
      <w:r>
        <w:rPr>
          <w:sz w:val="18"/>
        </w:rPr>
        <w:t>The</w:t>
      </w:r>
      <w:r>
        <w:rPr>
          <w:spacing w:val="-8"/>
          <w:sz w:val="18"/>
        </w:rPr>
        <w:t> </w:t>
      </w:r>
      <w:r>
        <w:rPr>
          <w:sz w:val="18"/>
        </w:rPr>
        <w:t>property</w:t>
      </w:r>
      <w:r>
        <w:rPr>
          <w:spacing w:val="-10"/>
          <w:sz w:val="18"/>
        </w:rPr>
        <w:t> </w:t>
      </w:r>
      <w:r>
        <w:rPr>
          <w:sz w:val="18"/>
        </w:rPr>
        <w:t>has</w:t>
      </w:r>
      <w:r>
        <w:rPr>
          <w:spacing w:val="-9"/>
          <w:sz w:val="18"/>
        </w:rPr>
        <w:t> </w:t>
      </w:r>
      <w:r>
        <w:rPr>
          <w:sz w:val="18"/>
        </w:rPr>
        <w:t>been</w:t>
      </w:r>
      <w:r>
        <w:rPr>
          <w:spacing w:val="-9"/>
          <w:sz w:val="18"/>
        </w:rPr>
        <w:t> </w:t>
      </w:r>
      <w:r>
        <w:rPr>
          <w:sz w:val="18"/>
        </w:rPr>
        <w:t>constructed</w:t>
      </w:r>
      <w:r>
        <w:rPr>
          <w:spacing w:val="-9"/>
          <w:sz w:val="18"/>
        </w:rPr>
        <w:t> </w:t>
      </w:r>
      <w:r>
        <w:rPr>
          <w:sz w:val="18"/>
        </w:rPr>
        <w:t>in</w:t>
      </w:r>
      <w:r>
        <w:rPr>
          <w:spacing w:val="-10"/>
          <w:sz w:val="18"/>
        </w:rPr>
        <w:t> </w:t>
      </w:r>
      <w:r>
        <w:rPr>
          <w:sz w:val="18"/>
        </w:rPr>
        <w:t>phased</w:t>
      </w:r>
      <w:r>
        <w:rPr>
          <w:spacing w:val="-10"/>
          <w:sz w:val="18"/>
        </w:rPr>
        <w:t> </w:t>
      </w:r>
      <w:r>
        <w:rPr>
          <w:sz w:val="18"/>
        </w:rPr>
        <w:t>manner</w:t>
      </w:r>
      <w:r>
        <w:rPr>
          <w:spacing w:val="-9"/>
          <w:sz w:val="18"/>
        </w:rPr>
        <w:t> </w:t>
      </w:r>
      <w:r>
        <w:rPr>
          <w:sz w:val="18"/>
        </w:rPr>
        <w:t>between</w:t>
      </w:r>
      <w:r>
        <w:rPr>
          <w:spacing w:val="-9"/>
          <w:sz w:val="18"/>
        </w:rPr>
        <w:t> </w:t>
      </w:r>
      <w:r>
        <w:rPr>
          <w:sz w:val="18"/>
        </w:rPr>
        <w:t>2010</w:t>
      </w:r>
      <w:r>
        <w:rPr>
          <w:spacing w:val="-10"/>
          <w:sz w:val="18"/>
        </w:rPr>
        <w:t> </w:t>
      </w:r>
      <w:r>
        <w:rPr>
          <w:sz w:val="18"/>
        </w:rPr>
        <w:t>to</w:t>
      </w:r>
      <w:r>
        <w:rPr>
          <w:spacing w:val="-9"/>
          <w:sz w:val="18"/>
        </w:rPr>
        <w:t> </w:t>
      </w:r>
      <w:r>
        <w:rPr>
          <w:sz w:val="18"/>
        </w:rPr>
        <w:t>2012.</w:t>
      </w:r>
    </w:p>
    <w:p>
      <w:pPr>
        <w:spacing w:before="121"/>
        <w:ind w:left="2457" w:right="0" w:firstLine="0"/>
        <w:jc w:val="both"/>
        <w:rPr>
          <w:sz w:val="18"/>
        </w:rPr>
      </w:pPr>
      <w:r>
        <w:rPr>
          <w:sz w:val="18"/>
        </w:rPr>
        <w:t>The development currently includes six operational buildings (IT 1 to IT 6).</w:t>
      </w:r>
    </w:p>
    <w:p>
      <w:pPr>
        <w:spacing w:line="321" w:lineRule="auto" w:before="192"/>
        <w:ind w:left="2457" w:right="660" w:firstLine="0"/>
        <w:jc w:val="both"/>
        <w:rPr>
          <w:sz w:val="18"/>
        </w:rPr>
      </w:pPr>
      <w:r>
        <w:rPr>
          <w:sz w:val="18"/>
        </w:rPr>
        <w:t>Further,</w:t>
      </w:r>
      <w:r>
        <w:rPr>
          <w:spacing w:val="-35"/>
          <w:sz w:val="18"/>
        </w:rPr>
        <w:t> </w:t>
      </w:r>
      <w:r>
        <w:rPr>
          <w:sz w:val="18"/>
        </w:rPr>
        <w:t>Embassy</w:t>
      </w:r>
      <w:r>
        <w:rPr>
          <w:spacing w:val="-34"/>
          <w:sz w:val="18"/>
        </w:rPr>
        <w:t> </w:t>
      </w:r>
      <w:r>
        <w:rPr>
          <w:sz w:val="18"/>
        </w:rPr>
        <w:t>Qubix</w:t>
      </w:r>
      <w:r>
        <w:rPr>
          <w:spacing w:val="-34"/>
          <w:sz w:val="18"/>
        </w:rPr>
        <w:t> </w:t>
      </w:r>
      <w:r>
        <w:rPr>
          <w:sz w:val="18"/>
        </w:rPr>
        <w:t>is</w:t>
      </w:r>
      <w:r>
        <w:rPr>
          <w:spacing w:val="-34"/>
          <w:sz w:val="18"/>
        </w:rPr>
        <w:t> </w:t>
      </w:r>
      <w:r>
        <w:rPr>
          <w:sz w:val="18"/>
        </w:rPr>
        <w:t>strategically</w:t>
      </w:r>
      <w:r>
        <w:rPr>
          <w:spacing w:val="-35"/>
          <w:sz w:val="18"/>
        </w:rPr>
        <w:t> </w:t>
      </w:r>
      <w:r>
        <w:rPr>
          <w:sz w:val="18"/>
        </w:rPr>
        <w:t>located</w:t>
      </w:r>
      <w:r>
        <w:rPr>
          <w:spacing w:val="-34"/>
          <w:sz w:val="18"/>
        </w:rPr>
        <w:t> </w:t>
      </w:r>
      <w:r>
        <w:rPr>
          <w:sz w:val="18"/>
        </w:rPr>
        <w:t>in</w:t>
      </w:r>
      <w:r>
        <w:rPr>
          <w:spacing w:val="-35"/>
          <w:sz w:val="18"/>
        </w:rPr>
        <w:t> </w:t>
      </w:r>
      <w:r>
        <w:rPr>
          <w:sz w:val="18"/>
        </w:rPr>
        <w:t>Hinjewadi</w:t>
      </w:r>
      <w:r>
        <w:rPr>
          <w:spacing w:val="-35"/>
          <w:sz w:val="18"/>
        </w:rPr>
        <w:t> </w:t>
      </w:r>
      <w:r>
        <w:rPr>
          <w:sz w:val="18"/>
        </w:rPr>
        <w:t>which</w:t>
      </w:r>
      <w:r>
        <w:rPr>
          <w:spacing w:val="-34"/>
          <w:sz w:val="18"/>
        </w:rPr>
        <w:t> </w:t>
      </w:r>
      <w:r>
        <w:rPr>
          <w:sz w:val="18"/>
        </w:rPr>
        <w:t>is</w:t>
      </w:r>
      <w:r>
        <w:rPr>
          <w:spacing w:val="-34"/>
          <w:sz w:val="18"/>
        </w:rPr>
        <w:t> </w:t>
      </w:r>
      <w:r>
        <w:rPr>
          <w:sz w:val="18"/>
        </w:rPr>
        <w:t>a</w:t>
      </w:r>
      <w:r>
        <w:rPr>
          <w:spacing w:val="-36"/>
          <w:sz w:val="18"/>
        </w:rPr>
        <w:t> </w:t>
      </w:r>
      <w:r>
        <w:rPr>
          <w:sz w:val="18"/>
        </w:rPr>
        <w:t>prominent</w:t>
      </w:r>
      <w:r>
        <w:rPr>
          <w:spacing w:val="-35"/>
          <w:sz w:val="18"/>
        </w:rPr>
        <w:t> </w:t>
      </w:r>
      <w:r>
        <w:rPr>
          <w:sz w:val="18"/>
        </w:rPr>
        <w:t>commercial</w:t>
      </w:r>
      <w:r>
        <w:rPr>
          <w:spacing w:val="-36"/>
          <w:sz w:val="18"/>
        </w:rPr>
        <w:t> </w:t>
      </w:r>
      <w:r>
        <w:rPr>
          <w:sz w:val="18"/>
        </w:rPr>
        <w:t>(IT/ITeS)</w:t>
      </w:r>
      <w:r>
        <w:rPr>
          <w:spacing w:val="-34"/>
          <w:sz w:val="18"/>
        </w:rPr>
        <w:t> </w:t>
      </w:r>
      <w:r>
        <w:rPr>
          <w:sz w:val="18"/>
        </w:rPr>
        <w:t>hub of</w:t>
      </w:r>
      <w:r>
        <w:rPr>
          <w:spacing w:val="-14"/>
          <w:sz w:val="18"/>
        </w:rPr>
        <w:t> </w:t>
      </w:r>
      <w:r>
        <w:rPr>
          <w:sz w:val="18"/>
        </w:rPr>
        <w:t>Pune</w:t>
      </w:r>
      <w:r>
        <w:rPr>
          <w:spacing w:val="-14"/>
          <w:sz w:val="18"/>
        </w:rPr>
        <w:t> </w:t>
      </w:r>
      <w:r>
        <w:rPr>
          <w:sz w:val="18"/>
        </w:rPr>
        <w:t>city.</w:t>
      </w:r>
      <w:r>
        <w:rPr>
          <w:spacing w:val="-13"/>
          <w:sz w:val="18"/>
        </w:rPr>
        <w:t> </w:t>
      </w:r>
      <w:r>
        <w:rPr>
          <w:sz w:val="18"/>
        </w:rPr>
        <w:t>Embassy</w:t>
      </w:r>
      <w:r>
        <w:rPr>
          <w:spacing w:val="-14"/>
          <w:sz w:val="18"/>
        </w:rPr>
        <w:t> </w:t>
      </w:r>
      <w:r>
        <w:rPr>
          <w:sz w:val="18"/>
        </w:rPr>
        <w:t>Qubix</w:t>
      </w:r>
      <w:r>
        <w:rPr>
          <w:spacing w:val="-14"/>
          <w:sz w:val="18"/>
        </w:rPr>
        <w:t> </w:t>
      </w:r>
      <w:r>
        <w:rPr>
          <w:sz w:val="18"/>
        </w:rPr>
        <w:t>is</w:t>
      </w:r>
      <w:r>
        <w:rPr>
          <w:spacing w:val="-13"/>
          <w:sz w:val="18"/>
        </w:rPr>
        <w:t> </w:t>
      </w:r>
      <w:r>
        <w:rPr>
          <w:sz w:val="18"/>
        </w:rPr>
        <w:t>located</w:t>
      </w:r>
      <w:r>
        <w:rPr>
          <w:spacing w:val="-14"/>
          <w:sz w:val="18"/>
        </w:rPr>
        <w:t> </w:t>
      </w:r>
      <w:r>
        <w:rPr>
          <w:sz w:val="18"/>
        </w:rPr>
        <w:t>at</w:t>
      </w:r>
      <w:r>
        <w:rPr>
          <w:spacing w:val="-15"/>
          <w:sz w:val="18"/>
        </w:rPr>
        <w:t> </w:t>
      </w:r>
      <w:r>
        <w:rPr>
          <w:sz w:val="18"/>
        </w:rPr>
        <w:t>a</w:t>
      </w:r>
      <w:r>
        <w:rPr>
          <w:spacing w:val="-14"/>
          <w:sz w:val="18"/>
        </w:rPr>
        <w:t> </w:t>
      </w:r>
      <w:r>
        <w:rPr>
          <w:sz w:val="18"/>
        </w:rPr>
        <w:t>distance</w:t>
      </w:r>
      <w:r>
        <w:rPr>
          <w:spacing w:val="-14"/>
          <w:sz w:val="18"/>
        </w:rPr>
        <w:t> </w:t>
      </w:r>
      <w:r>
        <w:rPr>
          <w:sz w:val="18"/>
        </w:rPr>
        <w:t>of</w:t>
      </w:r>
      <w:r>
        <w:rPr>
          <w:spacing w:val="-13"/>
          <w:sz w:val="18"/>
        </w:rPr>
        <w:t> </w:t>
      </w:r>
      <w:r>
        <w:rPr>
          <w:sz w:val="18"/>
        </w:rPr>
        <w:t>approximately</w:t>
      </w:r>
      <w:r>
        <w:rPr>
          <w:spacing w:val="-15"/>
          <w:sz w:val="18"/>
        </w:rPr>
        <w:t> </w:t>
      </w:r>
      <w:r>
        <w:rPr>
          <w:sz w:val="18"/>
        </w:rPr>
        <w:t>3</w:t>
      </w:r>
      <w:r>
        <w:rPr>
          <w:spacing w:val="-14"/>
          <w:sz w:val="18"/>
        </w:rPr>
        <w:t> </w:t>
      </w:r>
      <w:r>
        <w:rPr>
          <w:w w:val="105"/>
          <w:sz w:val="18"/>
        </w:rPr>
        <w:t>–</w:t>
      </w:r>
      <w:r>
        <w:rPr>
          <w:spacing w:val="-17"/>
          <w:w w:val="105"/>
          <w:sz w:val="18"/>
        </w:rPr>
        <w:t> </w:t>
      </w:r>
      <w:r>
        <w:rPr>
          <w:sz w:val="18"/>
        </w:rPr>
        <w:t>4</w:t>
      </w:r>
      <w:r>
        <w:rPr>
          <w:spacing w:val="-14"/>
          <w:sz w:val="18"/>
        </w:rPr>
        <w:t> </w:t>
      </w:r>
      <w:r>
        <w:rPr>
          <w:sz w:val="18"/>
        </w:rPr>
        <w:t>km</w:t>
      </w:r>
      <w:r>
        <w:rPr>
          <w:spacing w:val="-14"/>
          <w:sz w:val="18"/>
        </w:rPr>
        <w:t> </w:t>
      </w:r>
      <w:r>
        <w:rPr>
          <w:sz w:val="18"/>
        </w:rPr>
        <w:t>from</w:t>
      </w:r>
      <w:r>
        <w:rPr>
          <w:spacing w:val="-14"/>
          <w:sz w:val="18"/>
        </w:rPr>
        <w:t> </w:t>
      </w:r>
      <w:r>
        <w:rPr>
          <w:sz w:val="18"/>
        </w:rPr>
        <w:t>National</w:t>
      </w:r>
      <w:r>
        <w:rPr>
          <w:spacing w:val="-12"/>
          <w:sz w:val="18"/>
        </w:rPr>
        <w:t> </w:t>
      </w:r>
      <w:r>
        <w:rPr>
          <w:sz w:val="18"/>
        </w:rPr>
        <w:t>Highway</w:t>
      </w:r>
      <w:r>
        <w:rPr>
          <w:spacing w:val="-15"/>
          <w:sz w:val="18"/>
        </w:rPr>
        <w:t> </w:t>
      </w:r>
      <w:r>
        <w:rPr>
          <w:sz w:val="18"/>
        </w:rPr>
        <w:t>48 (connecting</w:t>
      </w:r>
      <w:r>
        <w:rPr>
          <w:spacing w:val="-8"/>
          <w:sz w:val="18"/>
        </w:rPr>
        <w:t> </w:t>
      </w:r>
      <w:r>
        <w:rPr>
          <w:sz w:val="18"/>
        </w:rPr>
        <w:t>Mumbai</w:t>
      </w:r>
      <w:r>
        <w:rPr>
          <w:spacing w:val="-6"/>
          <w:sz w:val="18"/>
        </w:rPr>
        <w:t> </w:t>
      </w:r>
      <w:r>
        <w:rPr>
          <w:w w:val="105"/>
          <w:sz w:val="18"/>
        </w:rPr>
        <w:t>–</w:t>
      </w:r>
      <w:r>
        <w:rPr>
          <w:spacing w:val="-9"/>
          <w:w w:val="105"/>
          <w:sz w:val="18"/>
        </w:rPr>
        <w:t> </w:t>
      </w:r>
      <w:r>
        <w:rPr>
          <w:sz w:val="18"/>
        </w:rPr>
        <w:t>Pune</w:t>
      </w:r>
      <w:r>
        <w:rPr>
          <w:spacing w:val="-7"/>
          <w:sz w:val="18"/>
        </w:rPr>
        <w:t> </w:t>
      </w:r>
      <w:r>
        <w:rPr>
          <w:w w:val="105"/>
          <w:sz w:val="18"/>
        </w:rPr>
        <w:t>–</w:t>
      </w:r>
      <w:r>
        <w:rPr>
          <w:spacing w:val="-10"/>
          <w:w w:val="105"/>
          <w:sz w:val="18"/>
        </w:rPr>
        <w:t> </w:t>
      </w:r>
      <w:r>
        <w:rPr>
          <w:sz w:val="18"/>
        </w:rPr>
        <w:t>Bengaluru),</w:t>
      </w:r>
      <w:r>
        <w:rPr>
          <w:spacing w:val="-8"/>
          <w:sz w:val="18"/>
        </w:rPr>
        <w:t> </w:t>
      </w:r>
      <w:r>
        <w:rPr>
          <w:sz w:val="18"/>
        </w:rPr>
        <w:t>18</w:t>
      </w:r>
      <w:r>
        <w:rPr>
          <w:spacing w:val="-7"/>
          <w:sz w:val="18"/>
        </w:rPr>
        <w:t> </w:t>
      </w:r>
      <w:r>
        <w:rPr>
          <w:w w:val="105"/>
          <w:sz w:val="18"/>
        </w:rPr>
        <w:t>–</w:t>
      </w:r>
      <w:r>
        <w:rPr>
          <w:spacing w:val="-10"/>
          <w:w w:val="105"/>
          <w:sz w:val="18"/>
        </w:rPr>
        <w:t> </w:t>
      </w:r>
      <w:r>
        <w:rPr>
          <w:sz w:val="18"/>
        </w:rPr>
        <w:t>19</w:t>
      </w:r>
      <w:r>
        <w:rPr>
          <w:spacing w:val="-7"/>
          <w:sz w:val="18"/>
        </w:rPr>
        <w:t> </w:t>
      </w:r>
      <w:r>
        <w:rPr>
          <w:sz w:val="18"/>
        </w:rPr>
        <w:t>km</w:t>
      </w:r>
      <w:r>
        <w:rPr>
          <w:spacing w:val="-6"/>
          <w:sz w:val="18"/>
        </w:rPr>
        <w:t> </w:t>
      </w:r>
      <w:r>
        <w:rPr>
          <w:sz w:val="18"/>
        </w:rPr>
        <w:t>from</w:t>
      </w:r>
      <w:r>
        <w:rPr>
          <w:spacing w:val="-7"/>
          <w:sz w:val="18"/>
        </w:rPr>
        <w:t> </w:t>
      </w:r>
      <w:r>
        <w:rPr>
          <w:sz w:val="18"/>
        </w:rPr>
        <w:t>Pune</w:t>
      </w:r>
      <w:r>
        <w:rPr>
          <w:spacing w:val="-7"/>
          <w:sz w:val="18"/>
        </w:rPr>
        <w:t> </w:t>
      </w:r>
      <w:r>
        <w:rPr>
          <w:sz w:val="18"/>
        </w:rPr>
        <w:t>CBD</w:t>
      </w:r>
      <w:r>
        <w:rPr>
          <w:spacing w:val="-7"/>
          <w:sz w:val="18"/>
        </w:rPr>
        <w:t> </w:t>
      </w:r>
      <w:r>
        <w:rPr>
          <w:sz w:val="18"/>
        </w:rPr>
        <w:t>(Peth</w:t>
      </w:r>
      <w:r>
        <w:rPr>
          <w:spacing w:val="-7"/>
          <w:sz w:val="18"/>
        </w:rPr>
        <w:t> </w:t>
      </w:r>
      <w:r>
        <w:rPr>
          <w:sz w:val="18"/>
        </w:rPr>
        <w:t>areas),</w:t>
      </w:r>
      <w:r>
        <w:rPr>
          <w:spacing w:val="-8"/>
          <w:sz w:val="18"/>
        </w:rPr>
        <w:t> </w:t>
      </w:r>
      <w:r>
        <w:rPr>
          <w:sz w:val="18"/>
        </w:rPr>
        <w:t>19</w:t>
      </w:r>
      <w:r>
        <w:rPr>
          <w:spacing w:val="-4"/>
          <w:sz w:val="18"/>
        </w:rPr>
        <w:t> </w:t>
      </w:r>
      <w:r>
        <w:rPr>
          <w:w w:val="105"/>
          <w:sz w:val="18"/>
        </w:rPr>
        <w:t>–</w:t>
      </w:r>
      <w:r>
        <w:rPr>
          <w:spacing w:val="-9"/>
          <w:w w:val="105"/>
          <w:sz w:val="18"/>
        </w:rPr>
        <w:t> </w:t>
      </w:r>
      <w:r>
        <w:rPr>
          <w:sz w:val="18"/>
        </w:rPr>
        <w:t>20</w:t>
      </w:r>
      <w:r>
        <w:rPr>
          <w:spacing w:val="-7"/>
          <w:sz w:val="18"/>
        </w:rPr>
        <w:t> </w:t>
      </w:r>
      <w:r>
        <w:rPr>
          <w:sz w:val="18"/>
        </w:rPr>
        <w:t>km</w:t>
      </w:r>
      <w:r>
        <w:rPr>
          <w:spacing w:val="-7"/>
          <w:sz w:val="18"/>
        </w:rPr>
        <w:t> </w:t>
      </w:r>
      <w:r>
        <w:rPr>
          <w:sz w:val="18"/>
        </w:rPr>
        <w:t>from</w:t>
      </w:r>
      <w:r>
        <w:rPr>
          <w:spacing w:val="-7"/>
          <w:sz w:val="18"/>
        </w:rPr>
        <w:t> </w:t>
      </w:r>
      <w:r>
        <w:rPr>
          <w:sz w:val="18"/>
        </w:rPr>
        <w:t>Pune Railway</w:t>
      </w:r>
      <w:r>
        <w:rPr>
          <w:spacing w:val="-7"/>
          <w:sz w:val="18"/>
        </w:rPr>
        <w:t> </w:t>
      </w:r>
      <w:r>
        <w:rPr>
          <w:sz w:val="18"/>
        </w:rPr>
        <w:t>Station</w:t>
      </w:r>
      <w:r>
        <w:rPr>
          <w:spacing w:val="-5"/>
          <w:sz w:val="18"/>
        </w:rPr>
        <w:t> </w:t>
      </w:r>
      <w:r>
        <w:rPr>
          <w:sz w:val="18"/>
        </w:rPr>
        <w:t>and</w:t>
      </w:r>
      <w:r>
        <w:rPr>
          <w:spacing w:val="-6"/>
          <w:sz w:val="18"/>
        </w:rPr>
        <w:t> </w:t>
      </w:r>
      <w:r>
        <w:rPr>
          <w:sz w:val="18"/>
        </w:rPr>
        <w:t>approximately</w:t>
      </w:r>
      <w:r>
        <w:rPr>
          <w:spacing w:val="-6"/>
          <w:sz w:val="18"/>
        </w:rPr>
        <w:t> </w:t>
      </w:r>
      <w:r>
        <w:rPr>
          <w:sz w:val="18"/>
        </w:rPr>
        <w:t>23</w:t>
      </w:r>
      <w:r>
        <w:rPr>
          <w:spacing w:val="-4"/>
          <w:sz w:val="18"/>
        </w:rPr>
        <w:t> </w:t>
      </w:r>
      <w:r>
        <w:rPr>
          <w:sz w:val="18"/>
        </w:rPr>
        <w:t>-</w:t>
      </w:r>
      <w:r>
        <w:rPr>
          <w:spacing w:val="-5"/>
          <w:sz w:val="18"/>
        </w:rPr>
        <w:t> </w:t>
      </w:r>
      <w:r>
        <w:rPr>
          <w:sz w:val="18"/>
        </w:rPr>
        <w:t>24</w:t>
      </w:r>
      <w:r>
        <w:rPr>
          <w:spacing w:val="-6"/>
          <w:sz w:val="18"/>
        </w:rPr>
        <w:t> </w:t>
      </w:r>
      <w:r>
        <w:rPr>
          <w:sz w:val="18"/>
        </w:rPr>
        <w:t>km</w:t>
      </w:r>
      <w:r>
        <w:rPr>
          <w:spacing w:val="-5"/>
          <w:sz w:val="18"/>
        </w:rPr>
        <w:t> </w:t>
      </w:r>
      <w:r>
        <w:rPr>
          <w:sz w:val="18"/>
        </w:rPr>
        <w:t>from</w:t>
      </w:r>
      <w:r>
        <w:rPr>
          <w:spacing w:val="-4"/>
          <w:sz w:val="18"/>
        </w:rPr>
        <w:t> </w:t>
      </w:r>
      <w:r>
        <w:rPr>
          <w:sz w:val="18"/>
        </w:rPr>
        <w:t>Pune</w:t>
      </w:r>
      <w:r>
        <w:rPr>
          <w:spacing w:val="-5"/>
          <w:sz w:val="18"/>
        </w:rPr>
        <w:t> </w:t>
      </w:r>
      <w:r>
        <w:rPr>
          <w:sz w:val="18"/>
        </w:rPr>
        <w:t>International</w:t>
      </w:r>
      <w:r>
        <w:rPr>
          <w:spacing w:val="-6"/>
          <w:sz w:val="18"/>
        </w:rPr>
        <w:t> </w:t>
      </w:r>
      <w:r>
        <w:rPr>
          <w:sz w:val="18"/>
        </w:rPr>
        <w:t>Airport.</w:t>
      </w:r>
    </w:p>
    <w:p>
      <w:pPr>
        <w:pStyle w:val="BodyText"/>
        <w:spacing w:before="8"/>
        <w:rPr>
          <w:sz w:val="21"/>
        </w:rPr>
      </w:pPr>
    </w:p>
    <w:p>
      <w:pPr>
        <w:spacing w:line="321" w:lineRule="auto" w:before="0"/>
        <w:ind w:left="2457" w:right="658" w:hanging="2065"/>
        <w:jc w:val="both"/>
        <w:rPr>
          <w:sz w:val="18"/>
        </w:rPr>
      </w:pPr>
      <w:r>
        <w:rPr/>
        <w:pict>
          <v:group style="position:absolute;margin-left:144.860001pt;margin-top:61.270687pt;width:413.5pt;height:23.8pt;mso-position-horizontal-relative:page;mso-position-vertical-relative:paragraph;z-index:-15607296;mso-wrap-distance-left:0;mso-wrap-distance-right:0" coordorigin="2897,1225" coordsize="8270,476">
            <v:shape style="position:absolute;left:2897;top:1254;width:8270;height:432" coordorigin="2897,1254" coordsize="8270,432" path="m9007,1254l5625,1254,2897,1254,2897,1686,5625,1686,9007,1686,9007,1254xm11167,1254l9007,1254,9007,1686,11167,1686,11167,1254xe" filled="true" fillcolor="#006a4d" stroked="false">
              <v:path arrowok="t"/>
              <v:fill type="solid"/>
            </v:shape>
            <v:rect style="position:absolute;left:2897;top:1225;width:2725;height:29" filled="true" fillcolor="#1f6b16" stroked="false">
              <v:fill type="solid"/>
            </v:rect>
            <v:shape style="position:absolute;left:2897;top:1254;width:2754;height:3" coordorigin="2897,1254" coordsize="2754,3" path="m5651,1254l5622,1254,2897,1254,2897,1257,5622,1257,5651,1257,5651,1254xe" filled="true" fillcolor="#006a4d" stroked="false">
              <v:path arrowok="t"/>
              <v:fill type="solid"/>
            </v:shape>
            <v:shape style="position:absolute;left:5622;top:1225;width:3382;height:29" coordorigin="5622,1225" coordsize="3382,29" path="m9004,1225l5651,1225,5622,1225,5622,1254,5651,1254,9004,1254,9004,1225xe" filled="true" fillcolor="#1f6b16" stroked="false">
              <v:path arrowok="t"/>
              <v:fill type="solid"/>
            </v:shape>
            <v:shape style="position:absolute;left:5651;top:1254;width:3383;height:3" coordorigin="5651,1254" coordsize="3383,3" path="m9004,1254l5651,1254,5651,1257,9004,1257,9004,1254xm9033,1254l9004,1254,9004,1257,9033,1257,9033,1254xe" filled="true" fillcolor="#006a4d" stroked="false">
              <v:path arrowok="t"/>
              <v:fill type="solid"/>
            </v:shape>
            <v:shape style="position:absolute;left:9004;top:1225;width:2163;height:29" coordorigin="9004,1225" coordsize="2163,29" path="m11167,1225l9033,1225,9004,1225,9004,1254,9033,1254,11167,1254,11167,1225xe" filled="true" fillcolor="#1f6b16" stroked="false">
              <v:path arrowok="t"/>
              <v:fill type="solid"/>
            </v:shape>
            <v:rect style="position:absolute;left:9033;top:1254;width:2134;height:3" filled="true" fillcolor="#006a4d" stroked="false">
              <v:fill type="solid"/>
            </v:rect>
            <v:shape style="position:absolute;left:2897;top:1686;width:8270;height:15" coordorigin="2897,1686" coordsize="8270,15" path="m9004,1686l5637,1686,5622,1686,2897,1686,2897,1701,5622,1701,5637,1701,9004,1701,9004,1686xm11167,1686l9019,1686,9004,1686,9004,1701,9019,1701,11167,1701,11167,1686xe" filled="true" fillcolor="#69bd28" stroked="false">
              <v:path arrowok="t"/>
              <v:fill type="solid"/>
            </v:shape>
            <v:shape style="position:absolute;left:3817;top:1361;width:907;height:216" type="#_x0000_t202" filled="false" stroked="false">
              <v:textbox inset="0,0,0,0">
                <w:txbxContent>
                  <w:p>
                    <w:pPr>
                      <w:spacing w:before="4"/>
                      <w:ind w:left="0" w:right="0" w:firstLine="0"/>
                      <w:jc w:val="left"/>
                      <w:rPr>
                        <w:b/>
                        <w:sz w:val="18"/>
                      </w:rPr>
                    </w:pPr>
                    <w:r>
                      <w:rPr>
                        <w:b/>
                        <w:color w:val="FFFFFF"/>
                        <w:w w:val="105"/>
                        <w:sz w:val="18"/>
                      </w:rPr>
                      <w:t>Particular</w:t>
                    </w:r>
                  </w:p>
                </w:txbxContent>
              </v:textbox>
              <w10:wrap type="none"/>
            </v:shape>
            <v:shape style="position:absolute;left:6491;top:1361;width:1670;height:216" type="#_x0000_t202" filled="false" stroked="false">
              <v:textbox inset="0,0,0,0">
                <w:txbxContent>
                  <w:p>
                    <w:pPr>
                      <w:spacing w:before="4"/>
                      <w:ind w:left="0" w:right="0" w:firstLine="0"/>
                      <w:jc w:val="left"/>
                      <w:rPr>
                        <w:b/>
                        <w:sz w:val="18"/>
                      </w:rPr>
                    </w:pPr>
                    <w:r>
                      <w:rPr>
                        <w:b/>
                        <w:color w:val="FFFFFF"/>
                        <w:w w:val="110"/>
                        <w:sz w:val="18"/>
                      </w:rPr>
                      <w:t>Leasable Area (sf)</w:t>
                    </w:r>
                  </w:p>
                </w:txbxContent>
              </v:textbox>
              <w10:wrap type="none"/>
            </v:shape>
            <v:shape style="position:absolute;left:9426;top:1253;width:1340;height:432" type="#_x0000_t202" filled="false" stroked="false">
              <v:textbox inset="0,0,0,0">
                <w:txbxContent>
                  <w:p>
                    <w:pPr>
                      <w:spacing w:line="247" w:lineRule="auto" w:before="4"/>
                      <w:ind w:left="0" w:right="0" w:firstLine="170"/>
                      <w:jc w:val="left"/>
                      <w:rPr>
                        <w:b/>
                        <w:sz w:val="18"/>
                      </w:rPr>
                    </w:pPr>
                    <w:r>
                      <w:rPr>
                        <w:b/>
                        <w:color w:val="FFFFFF"/>
                        <w:w w:val="105"/>
                        <w:sz w:val="18"/>
                      </w:rPr>
                      <w:t>Committed Occupancy (%)</w:t>
                    </w:r>
                  </w:p>
                </w:txbxContent>
              </v:textbox>
              <w10:wrap type="none"/>
            </v:shape>
            <w10:wrap type="topAndBottom"/>
          </v:group>
        </w:pict>
      </w:r>
      <w:r>
        <w:rPr>
          <w:color w:val="006A4D"/>
          <w:sz w:val="18"/>
        </w:rPr>
        <w:t>Statement</w:t>
      </w:r>
      <w:r>
        <w:rPr>
          <w:color w:val="006A4D"/>
          <w:spacing w:val="-29"/>
          <w:sz w:val="18"/>
        </w:rPr>
        <w:t> </w:t>
      </w:r>
      <w:r>
        <w:rPr>
          <w:color w:val="006A4D"/>
          <w:sz w:val="18"/>
        </w:rPr>
        <w:t>of</w:t>
      </w:r>
      <w:r>
        <w:rPr>
          <w:color w:val="006A4D"/>
          <w:spacing w:val="-28"/>
          <w:sz w:val="18"/>
        </w:rPr>
        <w:t> </w:t>
      </w:r>
      <w:r>
        <w:rPr>
          <w:color w:val="006A4D"/>
          <w:sz w:val="18"/>
        </w:rPr>
        <w:t>Assets</w:t>
      </w:r>
      <w:r>
        <w:rPr>
          <w:color w:val="006A4D"/>
          <w:spacing w:val="-28"/>
          <w:sz w:val="18"/>
        </w:rPr>
        <w:t> </w:t>
      </w:r>
      <w:r>
        <w:rPr>
          <w:color w:val="006A4D"/>
          <w:sz w:val="18"/>
        </w:rPr>
        <w:t>(sf):</w:t>
      </w:r>
      <w:r>
        <w:rPr>
          <w:color w:val="006A4D"/>
          <w:spacing w:val="53"/>
          <w:sz w:val="18"/>
        </w:rPr>
        <w:t> </w:t>
      </w:r>
      <w:r>
        <w:rPr>
          <w:sz w:val="18"/>
        </w:rPr>
        <w:t>Based</w:t>
      </w:r>
      <w:r>
        <w:rPr>
          <w:spacing w:val="-24"/>
          <w:sz w:val="18"/>
        </w:rPr>
        <w:t> </w:t>
      </w:r>
      <w:r>
        <w:rPr>
          <w:sz w:val="18"/>
        </w:rPr>
        <w:t>on</w:t>
      </w:r>
      <w:r>
        <w:rPr>
          <w:spacing w:val="-23"/>
          <w:sz w:val="18"/>
        </w:rPr>
        <w:t> </w:t>
      </w:r>
      <w:r>
        <w:rPr>
          <w:sz w:val="18"/>
        </w:rPr>
        <w:t>review</w:t>
      </w:r>
      <w:r>
        <w:rPr>
          <w:spacing w:val="-25"/>
          <w:sz w:val="18"/>
        </w:rPr>
        <w:t> </w:t>
      </w:r>
      <w:r>
        <w:rPr>
          <w:sz w:val="18"/>
        </w:rPr>
        <w:t>of</w:t>
      </w:r>
      <w:r>
        <w:rPr>
          <w:spacing w:val="-24"/>
          <w:sz w:val="18"/>
        </w:rPr>
        <w:t> </w:t>
      </w:r>
      <w:r>
        <w:rPr>
          <w:sz w:val="18"/>
        </w:rPr>
        <w:t>various</w:t>
      </w:r>
      <w:r>
        <w:rPr>
          <w:spacing w:val="-24"/>
          <w:sz w:val="18"/>
        </w:rPr>
        <w:t> </w:t>
      </w:r>
      <w:r>
        <w:rPr>
          <w:sz w:val="18"/>
        </w:rPr>
        <w:t>documents</w:t>
      </w:r>
      <w:r>
        <w:rPr>
          <w:spacing w:val="-24"/>
          <w:sz w:val="18"/>
        </w:rPr>
        <w:t> </w:t>
      </w:r>
      <w:r>
        <w:rPr>
          <w:sz w:val="18"/>
        </w:rPr>
        <w:t>(such</w:t>
      </w:r>
      <w:r>
        <w:rPr>
          <w:spacing w:val="-25"/>
          <w:sz w:val="18"/>
        </w:rPr>
        <w:t> </w:t>
      </w:r>
      <w:r>
        <w:rPr>
          <w:sz w:val="18"/>
        </w:rPr>
        <w:t>as</w:t>
      </w:r>
      <w:r>
        <w:rPr>
          <w:spacing w:val="-24"/>
          <w:sz w:val="18"/>
        </w:rPr>
        <w:t> </w:t>
      </w:r>
      <w:r>
        <w:rPr>
          <w:sz w:val="18"/>
        </w:rPr>
        <w:t>rent</w:t>
      </w:r>
      <w:r>
        <w:rPr>
          <w:spacing w:val="-22"/>
          <w:sz w:val="18"/>
        </w:rPr>
        <w:t> </w:t>
      </w:r>
      <w:r>
        <w:rPr>
          <w:sz w:val="18"/>
        </w:rPr>
        <w:t>roll,</w:t>
      </w:r>
      <w:r>
        <w:rPr>
          <w:spacing w:val="-23"/>
          <w:sz w:val="18"/>
        </w:rPr>
        <w:t> </w:t>
      </w:r>
      <w:r>
        <w:rPr>
          <w:sz w:val="18"/>
        </w:rPr>
        <w:t>Architect’s</w:t>
      </w:r>
      <w:r>
        <w:rPr>
          <w:spacing w:val="-24"/>
          <w:sz w:val="18"/>
        </w:rPr>
        <w:t> </w:t>
      </w:r>
      <w:r>
        <w:rPr>
          <w:sz w:val="18"/>
        </w:rPr>
        <w:t>Certificate,</w:t>
      </w:r>
      <w:r>
        <w:rPr>
          <w:spacing w:val="-24"/>
          <w:sz w:val="18"/>
        </w:rPr>
        <w:t> </w:t>
      </w:r>
      <w:r>
        <w:rPr>
          <w:sz w:val="18"/>
        </w:rPr>
        <w:t>etc.),</w:t>
      </w:r>
      <w:r>
        <w:rPr>
          <w:spacing w:val="-24"/>
          <w:sz w:val="18"/>
        </w:rPr>
        <w:t> </w:t>
      </w:r>
      <w:r>
        <w:rPr>
          <w:sz w:val="18"/>
        </w:rPr>
        <w:t>we</w:t>
      </w:r>
      <w:r>
        <w:rPr>
          <w:spacing w:val="-24"/>
          <w:sz w:val="18"/>
        </w:rPr>
        <w:t> </w:t>
      </w:r>
      <w:r>
        <w:rPr>
          <w:sz w:val="18"/>
        </w:rPr>
        <w:t>understand</w:t>
      </w:r>
      <w:r>
        <w:rPr>
          <w:spacing w:val="-23"/>
          <w:sz w:val="18"/>
        </w:rPr>
        <w:t> </w:t>
      </w:r>
      <w:r>
        <w:rPr>
          <w:sz w:val="18"/>
        </w:rPr>
        <w:t>that “Embassy</w:t>
      </w:r>
      <w:r>
        <w:rPr>
          <w:spacing w:val="-15"/>
          <w:sz w:val="18"/>
        </w:rPr>
        <w:t> </w:t>
      </w:r>
      <w:r>
        <w:rPr>
          <w:sz w:val="18"/>
        </w:rPr>
        <w:t>Qubix”</w:t>
      </w:r>
      <w:r>
        <w:rPr>
          <w:spacing w:val="-16"/>
          <w:sz w:val="18"/>
        </w:rPr>
        <w:t> </w:t>
      </w:r>
      <w:r>
        <w:rPr>
          <w:sz w:val="18"/>
        </w:rPr>
        <w:t>is</w:t>
      </w:r>
      <w:r>
        <w:rPr>
          <w:spacing w:val="-15"/>
          <w:sz w:val="18"/>
        </w:rPr>
        <w:t> </w:t>
      </w:r>
      <w:r>
        <w:rPr>
          <w:sz w:val="18"/>
        </w:rPr>
        <w:t>an</w:t>
      </w:r>
      <w:r>
        <w:rPr>
          <w:spacing w:val="-17"/>
          <w:sz w:val="18"/>
        </w:rPr>
        <w:t> </w:t>
      </w:r>
      <w:r>
        <w:rPr>
          <w:sz w:val="18"/>
        </w:rPr>
        <w:t>operational</w:t>
      </w:r>
      <w:r>
        <w:rPr>
          <w:spacing w:val="-14"/>
          <w:sz w:val="18"/>
        </w:rPr>
        <w:t> </w:t>
      </w:r>
      <w:r>
        <w:rPr>
          <w:sz w:val="18"/>
        </w:rPr>
        <w:t>SEZ</w:t>
      </w:r>
      <w:r>
        <w:rPr>
          <w:spacing w:val="-17"/>
          <w:sz w:val="18"/>
        </w:rPr>
        <w:t> </w:t>
      </w:r>
      <w:r>
        <w:rPr>
          <w:sz w:val="18"/>
        </w:rPr>
        <w:t>office</w:t>
      </w:r>
      <w:r>
        <w:rPr>
          <w:spacing w:val="-15"/>
          <w:sz w:val="18"/>
        </w:rPr>
        <w:t> </w:t>
      </w:r>
      <w:r>
        <w:rPr>
          <w:sz w:val="18"/>
        </w:rPr>
        <w:t>asset</w:t>
      </w:r>
      <w:r>
        <w:rPr>
          <w:spacing w:val="-16"/>
          <w:sz w:val="18"/>
        </w:rPr>
        <w:t> </w:t>
      </w:r>
      <w:r>
        <w:rPr>
          <w:sz w:val="18"/>
        </w:rPr>
        <w:t>with</w:t>
      </w:r>
      <w:r>
        <w:rPr>
          <w:spacing w:val="-16"/>
          <w:sz w:val="18"/>
        </w:rPr>
        <w:t> </w:t>
      </w:r>
      <w:r>
        <w:rPr>
          <w:sz w:val="18"/>
        </w:rPr>
        <w:t>approximately</w:t>
      </w:r>
      <w:r>
        <w:rPr>
          <w:spacing w:val="-16"/>
          <w:sz w:val="18"/>
        </w:rPr>
        <w:t> </w:t>
      </w:r>
      <w:r>
        <w:rPr>
          <w:sz w:val="18"/>
        </w:rPr>
        <w:t>1.45</w:t>
      </w:r>
      <w:r>
        <w:rPr>
          <w:spacing w:val="-16"/>
          <w:sz w:val="18"/>
        </w:rPr>
        <w:t> </w:t>
      </w:r>
      <w:r>
        <w:rPr>
          <w:sz w:val="18"/>
        </w:rPr>
        <w:t>mn</w:t>
      </w:r>
      <w:r>
        <w:rPr>
          <w:spacing w:val="-16"/>
          <w:sz w:val="18"/>
        </w:rPr>
        <w:t> </w:t>
      </w:r>
      <w:r>
        <w:rPr>
          <w:sz w:val="18"/>
        </w:rPr>
        <w:t>sf</w:t>
      </w:r>
      <w:r>
        <w:rPr>
          <w:spacing w:val="-15"/>
          <w:sz w:val="18"/>
        </w:rPr>
        <w:t> </w:t>
      </w:r>
      <w:r>
        <w:rPr>
          <w:sz w:val="18"/>
        </w:rPr>
        <w:t>of</w:t>
      </w:r>
      <w:r>
        <w:rPr>
          <w:spacing w:val="-16"/>
          <w:sz w:val="18"/>
        </w:rPr>
        <w:t> </w:t>
      </w:r>
      <w:r>
        <w:rPr>
          <w:sz w:val="18"/>
        </w:rPr>
        <w:t>completed</w:t>
      </w:r>
      <w:r>
        <w:rPr>
          <w:spacing w:val="-15"/>
          <w:sz w:val="18"/>
        </w:rPr>
        <w:t> </w:t>
      </w:r>
      <w:r>
        <w:rPr>
          <w:sz w:val="18"/>
        </w:rPr>
        <w:t>leasable area</w:t>
      </w:r>
      <w:r>
        <w:rPr>
          <w:spacing w:val="-14"/>
          <w:sz w:val="18"/>
        </w:rPr>
        <w:t> </w:t>
      </w:r>
      <w:r>
        <w:rPr>
          <w:sz w:val="18"/>
        </w:rPr>
        <w:t>and</w:t>
      </w:r>
      <w:r>
        <w:rPr>
          <w:spacing w:val="-14"/>
          <w:sz w:val="18"/>
        </w:rPr>
        <w:t> </w:t>
      </w:r>
      <w:r>
        <w:rPr>
          <w:sz w:val="18"/>
        </w:rPr>
        <w:t>is</w:t>
      </w:r>
      <w:r>
        <w:rPr>
          <w:spacing w:val="-12"/>
          <w:sz w:val="18"/>
        </w:rPr>
        <w:t> </w:t>
      </w:r>
      <w:r>
        <w:rPr>
          <w:sz w:val="18"/>
        </w:rPr>
        <w:t>approx.</w:t>
      </w:r>
      <w:r>
        <w:rPr>
          <w:spacing w:val="-14"/>
          <w:sz w:val="18"/>
        </w:rPr>
        <w:t> </w:t>
      </w:r>
      <w:r>
        <w:rPr>
          <w:sz w:val="18"/>
        </w:rPr>
        <w:t>99.8%</w:t>
      </w:r>
      <w:r>
        <w:rPr>
          <w:spacing w:val="-13"/>
          <w:sz w:val="18"/>
        </w:rPr>
        <w:t> </w:t>
      </w:r>
      <w:r>
        <w:rPr>
          <w:sz w:val="18"/>
        </w:rPr>
        <w:t>occupied</w:t>
      </w:r>
      <w:r>
        <w:rPr>
          <w:spacing w:val="-12"/>
          <w:sz w:val="18"/>
        </w:rPr>
        <w:t> </w:t>
      </w:r>
      <w:r>
        <w:rPr>
          <w:sz w:val="18"/>
        </w:rPr>
        <w:t>as</w:t>
      </w:r>
      <w:r>
        <w:rPr>
          <w:spacing w:val="-13"/>
          <w:sz w:val="18"/>
        </w:rPr>
        <w:t> </w:t>
      </w:r>
      <w:r>
        <w:rPr>
          <w:sz w:val="18"/>
        </w:rPr>
        <w:t>on</w:t>
      </w:r>
      <w:r>
        <w:rPr>
          <w:spacing w:val="-14"/>
          <w:sz w:val="18"/>
        </w:rPr>
        <w:t> </w:t>
      </w:r>
      <w:r>
        <w:rPr>
          <w:sz w:val="18"/>
        </w:rPr>
        <w:t>the</w:t>
      </w:r>
      <w:r>
        <w:rPr>
          <w:spacing w:val="-13"/>
          <w:sz w:val="18"/>
        </w:rPr>
        <w:t> </w:t>
      </w:r>
      <w:r>
        <w:rPr>
          <w:sz w:val="18"/>
        </w:rPr>
        <w:t>date</w:t>
      </w:r>
      <w:r>
        <w:rPr>
          <w:spacing w:val="-13"/>
          <w:sz w:val="18"/>
        </w:rPr>
        <w:t> </w:t>
      </w:r>
      <w:r>
        <w:rPr>
          <w:sz w:val="18"/>
        </w:rPr>
        <w:t>of</w:t>
      </w:r>
      <w:r>
        <w:rPr>
          <w:spacing w:val="-13"/>
          <w:sz w:val="18"/>
        </w:rPr>
        <w:t> </w:t>
      </w:r>
      <w:r>
        <w:rPr>
          <w:sz w:val="18"/>
        </w:rPr>
        <w:t>valuation.</w:t>
      </w:r>
      <w:r>
        <w:rPr>
          <w:spacing w:val="-15"/>
          <w:sz w:val="18"/>
        </w:rPr>
        <w:t> </w:t>
      </w:r>
      <w:r>
        <w:rPr>
          <w:sz w:val="18"/>
        </w:rPr>
        <w:t>Table</w:t>
      </w:r>
      <w:r>
        <w:rPr>
          <w:spacing w:val="-14"/>
          <w:sz w:val="18"/>
        </w:rPr>
        <w:t> </w:t>
      </w:r>
      <w:r>
        <w:rPr>
          <w:sz w:val="18"/>
        </w:rPr>
        <w:t>below</w:t>
      </w:r>
      <w:r>
        <w:rPr>
          <w:spacing w:val="-13"/>
          <w:sz w:val="18"/>
        </w:rPr>
        <w:t> </w:t>
      </w:r>
      <w:r>
        <w:rPr>
          <w:sz w:val="18"/>
        </w:rPr>
        <w:t>highlights</w:t>
      </w:r>
      <w:r>
        <w:rPr>
          <w:spacing w:val="-13"/>
          <w:sz w:val="18"/>
        </w:rPr>
        <w:t> </w:t>
      </w:r>
      <w:r>
        <w:rPr>
          <w:sz w:val="18"/>
        </w:rPr>
        <w:t>the</w:t>
      </w:r>
      <w:r>
        <w:rPr>
          <w:spacing w:val="-13"/>
          <w:sz w:val="18"/>
        </w:rPr>
        <w:t> </w:t>
      </w:r>
      <w:r>
        <w:rPr>
          <w:sz w:val="18"/>
        </w:rPr>
        <w:t>leasable</w:t>
      </w:r>
      <w:r>
        <w:rPr>
          <w:spacing w:val="-14"/>
          <w:sz w:val="18"/>
        </w:rPr>
        <w:t> </w:t>
      </w:r>
      <w:r>
        <w:rPr>
          <w:sz w:val="18"/>
        </w:rPr>
        <w:t>area for</w:t>
      </w:r>
      <w:r>
        <w:rPr>
          <w:spacing w:val="-6"/>
          <w:sz w:val="18"/>
        </w:rPr>
        <w:t> </w:t>
      </w:r>
      <w:r>
        <w:rPr>
          <w:sz w:val="18"/>
        </w:rPr>
        <w:t>individual</w:t>
      </w:r>
      <w:r>
        <w:rPr>
          <w:spacing w:val="-6"/>
          <w:sz w:val="18"/>
        </w:rPr>
        <w:t> </w:t>
      </w:r>
      <w:r>
        <w:rPr>
          <w:sz w:val="18"/>
        </w:rPr>
        <w:t>blocks</w:t>
      </w:r>
      <w:r>
        <w:rPr>
          <w:spacing w:val="-6"/>
          <w:sz w:val="18"/>
        </w:rPr>
        <w:t> </w:t>
      </w:r>
      <w:r>
        <w:rPr>
          <w:sz w:val="18"/>
        </w:rPr>
        <w:t>that</w:t>
      </w:r>
      <w:r>
        <w:rPr>
          <w:spacing w:val="-6"/>
          <w:sz w:val="18"/>
        </w:rPr>
        <w:t> </w:t>
      </w:r>
      <w:r>
        <w:rPr>
          <w:sz w:val="18"/>
        </w:rPr>
        <w:t>form</w:t>
      </w:r>
      <w:r>
        <w:rPr>
          <w:spacing w:val="-8"/>
          <w:sz w:val="18"/>
        </w:rPr>
        <w:t> </w:t>
      </w:r>
      <w:r>
        <w:rPr>
          <w:sz w:val="18"/>
        </w:rPr>
        <w:t>part</w:t>
      </w:r>
      <w:r>
        <w:rPr>
          <w:spacing w:val="-7"/>
          <w:sz w:val="18"/>
        </w:rPr>
        <w:t> </w:t>
      </w:r>
      <w:r>
        <w:rPr>
          <w:sz w:val="18"/>
        </w:rPr>
        <w:t>of</w:t>
      </w:r>
      <w:r>
        <w:rPr>
          <w:spacing w:val="-5"/>
          <w:sz w:val="18"/>
        </w:rPr>
        <w:t> </w:t>
      </w:r>
      <w:r>
        <w:rPr>
          <w:sz w:val="18"/>
        </w:rPr>
        <w:t>the</w:t>
      </w:r>
      <w:r>
        <w:rPr>
          <w:spacing w:val="-5"/>
          <w:sz w:val="18"/>
        </w:rPr>
        <w:t> </w:t>
      </w:r>
      <w:r>
        <w:rPr>
          <w:sz w:val="18"/>
        </w:rPr>
        <w:t>subject</w:t>
      </w:r>
      <w:r>
        <w:rPr>
          <w:spacing w:val="-7"/>
          <w:sz w:val="18"/>
        </w:rPr>
        <w:t> </w:t>
      </w:r>
      <w:r>
        <w:rPr>
          <w:sz w:val="18"/>
        </w:rPr>
        <w:t>development:</w:t>
      </w:r>
    </w:p>
    <w:p>
      <w:pPr>
        <w:tabs>
          <w:tab w:pos="6449" w:val="left" w:leader="none"/>
          <w:tab w:pos="9395" w:val="left" w:leader="none"/>
        </w:tabs>
        <w:spacing w:line="189" w:lineRule="exact" w:before="0" w:after="6"/>
        <w:ind w:left="3115" w:right="0" w:firstLine="0"/>
        <w:jc w:val="left"/>
        <w:rPr>
          <w:sz w:val="18"/>
        </w:rPr>
      </w:pPr>
      <w:r>
        <w:rPr>
          <w:w w:val="105"/>
          <w:sz w:val="18"/>
        </w:rPr>
        <w:t>Completed</w:t>
      </w:r>
      <w:r>
        <w:rPr>
          <w:spacing w:val="-38"/>
          <w:w w:val="105"/>
          <w:sz w:val="18"/>
        </w:rPr>
        <w:t> </w:t>
      </w:r>
      <w:r>
        <w:rPr>
          <w:w w:val="105"/>
          <w:sz w:val="18"/>
        </w:rPr>
        <w:t>Blocks</w:t>
        <w:tab/>
        <w:t>1,450,494</w:t>
        <w:tab/>
        <w:t>99.8%</w:t>
      </w:r>
    </w:p>
    <w:p>
      <w:pPr>
        <w:pStyle w:val="BodyText"/>
        <w:spacing w:line="20" w:lineRule="exact"/>
        <w:ind w:left="2457"/>
        <w:rPr>
          <w:sz w:val="2"/>
        </w:rPr>
      </w:pPr>
      <w:r>
        <w:rPr>
          <w:sz w:val="2"/>
        </w:rPr>
        <w:pict>
          <v:group style="width:413.5pt;height:.75pt;mso-position-horizontal-relative:char;mso-position-vertical-relative:line" coordorigin="0,0" coordsize="8270,15">
            <v:shape style="position:absolute;left:0;top:0;width:8270;height:15" coordorigin="0,0" coordsize="8270,15" path="m6107,0l2739,0,2725,0,0,0,0,14,2725,14,2739,14,6107,14,6107,0xm8270,0l6122,0,6107,0,6107,14,6122,14,8270,14,8270,0xe" filled="true" fillcolor="#69bd28" stroked="false">
              <v:path arrowok="t"/>
              <v:fill type="solid"/>
            </v:shape>
          </v:group>
        </w:pict>
      </w:r>
      <w:r>
        <w:rPr>
          <w:sz w:val="2"/>
        </w:rPr>
      </w:r>
    </w:p>
    <w:p>
      <w:pPr>
        <w:tabs>
          <w:tab w:pos="6842" w:val="left" w:leader="none"/>
          <w:tab w:pos="9519" w:val="left" w:leader="none"/>
        </w:tabs>
        <w:spacing w:before="0" w:after="9"/>
        <w:ind w:left="2781" w:right="0" w:firstLine="0"/>
        <w:jc w:val="left"/>
        <w:rPr>
          <w:sz w:val="18"/>
        </w:rPr>
      </w:pPr>
      <w:r>
        <w:rPr>
          <w:sz w:val="18"/>
        </w:rPr>
        <w:t>Under</w:t>
      </w:r>
      <w:r>
        <w:rPr>
          <w:spacing w:val="-16"/>
          <w:sz w:val="18"/>
        </w:rPr>
        <w:t> </w:t>
      </w:r>
      <w:r>
        <w:rPr>
          <w:sz w:val="18"/>
        </w:rPr>
        <w:t>Construction</w:t>
      </w:r>
      <w:r>
        <w:rPr>
          <w:spacing w:val="-15"/>
          <w:sz w:val="18"/>
        </w:rPr>
        <w:t> </w:t>
      </w:r>
      <w:r>
        <w:rPr>
          <w:sz w:val="18"/>
        </w:rPr>
        <w:t>Blocks</w:t>
        <w:tab/>
        <w:t>-</w:t>
        <w:tab/>
        <w:t>NA</w:t>
      </w:r>
    </w:p>
    <w:p>
      <w:pPr>
        <w:pStyle w:val="BodyText"/>
        <w:spacing w:line="20" w:lineRule="exact"/>
        <w:ind w:left="2457"/>
        <w:rPr>
          <w:sz w:val="2"/>
        </w:rPr>
      </w:pPr>
      <w:r>
        <w:rPr>
          <w:sz w:val="2"/>
        </w:rPr>
        <w:pict>
          <v:group style="width:413.5pt;height:.75pt;mso-position-horizontal-relative:char;mso-position-vertical-relative:line" coordorigin="0,0" coordsize="8270,15">
            <v:shape style="position:absolute;left:0;top:0;width:8270;height:15" coordorigin="0,0" coordsize="8270,15" path="m6107,0l2739,0,2725,0,0,0,0,14,2725,14,2739,14,6107,14,6107,0xm8270,0l6122,0,6107,0,6107,14,6122,14,8270,14,8270,0xe" filled="true" fillcolor="#69bd28" stroked="false">
              <v:path arrowok="t"/>
              <v:fill type="solid"/>
            </v:shape>
          </v:group>
        </w:pict>
      </w:r>
      <w:r>
        <w:rPr>
          <w:sz w:val="2"/>
        </w:rPr>
      </w:r>
    </w:p>
    <w:p>
      <w:pPr>
        <w:tabs>
          <w:tab w:pos="6449" w:val="left" w:leader="none"/>
          <w:tab w:pos="6842" w:val="left" w:leader="none"/>
          <w:tab w:pos="9519" w:val="left" w:leader="none"/>
        </w:tabs>
        <w:spacing w:line="273" w:lineRule="auto" w:before="0"/>
        <w:ind w:left="3626" w:right="1615" w:hanging="444"/>
        <w:jc w:val="left"/>
        <w:rPr>
          <w:sz w:val="18"/>
        </w:rPr>
      </w:pPr>
      <w:r>
        <w:rPr/>
        <w:pict>
          <v:shape style="position:absolute;margin-left:144.860001pt;margin-top:10.731667pt;width:413.5pt;height:.75pt;mso-position-horizontal-relative:page;mso-position-vertical-relative:paragraph;z-index:-34776576" coordorigin="2897,215" coordsize="8270,15" path="m9004,215l5637,215,5622,215,2897,215,2897,229,5622,229,5637,229,9004,229,9004,215xm11167,215l9019,215,9004,215,9004,229,9019,229,11167,229,11167,215xe" filled="true" fillcolor="#69bd28" stroked="false">
            <v:path arrowok="t"/>
            <v:fill type="solid"/>
            <w10:wrap type="none"/>
          </v:shape>
        </w:pict>
      </w:r>
      <w:r>
        <w:rPr/>
        <w:pict>
          <v:rect style="position:absolute;margin-left:144.139999pt;margin-top:22.611668pt;width:414.22002pt;height:.719pt;mso-position-horizontal-relative:page;mso-position-vertical-relative:paragraph;z-index:15852032" filled="true" fillcolor="#69bd28" stroked="false">
            <v:fill type="solid"/>
            <w10:wrap type="none"/>
          </v:rect>
        </w:pict>
      </w:r>
      <w:r>
        <w:rPr>
          <w:sz w:val="18"/>
        </w:rPr>
        <w:t>Proposed</w:t>
      </w:r>
      <w:r>
        <w:rPr>
          <w:spacing w:val="-10"/>
          <w:sz w:val="18"/>
        </w:rPr>
        <w:t> </w:t>
      </w:r>
      <w:r>
        <w:rPr>
          <w:sz w:val="18"/>
        </w:rPr>
        <w:t>Blocks</w:t>
        <w:tab/>
        <w:tab/>
        <w:t>-</w:t>
        <w:tab/>
      </w:r>
      <w:r>
        <w:rPr>
          <w:spacing w:val="-9"/>
          <w:sz w:val="18"/>
        </w:rPr>
        <w:t>NA </w:t>
      </w:r>
      <w:r>
        <w:rPr>
          <w:sz w:val="18"/>
        </w:rPr>
        <w:t>Total</w:t>
        <w:tab/>
        <w:t>1,450,494</w:t>
      </w:r>
    </w:p>
    <w:p>
      <w:pPr>
        <w:spacing w:before="114"/>
        <w:ind w:left="2457" w:right="0" w:firstLine="0"/>
        <w:jc w:val="left"/>
        <w:rPr>
          <w:sz w:val="18"/>
        </w:rPr>
      </w:pPr>
      <w:r>
        <w:rPr>
          <w:sz w:val="18"/>
        </w:rPr>
        <w:t>Source: Rent roll, lease deeds, architect certificate;</w:t>
      </w:r>
    </w:p>
    <w:p>
      <w:pPr>
        <w:pStyle w:val="BodyText"/>
        <w:rPr>
          <w:sz w:val="20"/>
        </w:rPr>
      </w:pPr>
    </w:p>
    <w:p>
      <w:pPr>
        <w:pStyle w:val="BodyText"/>
        <w:spacing w:before="5"/>
        <w:rPr>
          <w:sz w:val="20"/>
        </w:rPr>
      </w:pPr>
    </w:p>
    <w:p>
      <w:pPr>
        <w:spacing w:before="105"/>
        <w:ind w:left="392" w:right="0" w:firstLine="0"/>
        <w:jc w:val="left"/>
        <w:rPr>
          <w:sz w:val="18"/>
        </w:rPr>
      </w:pPr>
      <w:r>
        <w:rPr/>
        <w:pict>
          <v:shape style="position:absolute;margin-left:148.820007pt;margin-top:-.969361pt;width:412.55pt;height:66.650pt;mso-position-horizontal-relative:page;mso-position-vertical-relative:paragraph;z-index:158525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23"/>
                    <w:gridCol w:w="4329"/>
                  </w:tblGrid>
                  <w:tr>
                    <w:trPr>
                      <w:trHeight w:val="456" w:hRule="atLeast"/>
                    </w:trPr>
                    <w:tc>
                      <w:tcPr>
                        <w:tcW w:w="8252" w:type="dxa"/>
                        <w:gridSpan w:val="2"/>
                        <w:tcBorders>
                          <w:top w:val="single" w:sz="6" w:space="0" w:color="69BD28"/>
                        </w:tcBorders>
                        <w:shd w:val="clear" w:color="auto" w:fill="006A4D"/>
                      </w:tcPr>
                      <w:p>
                        <w:pPr>
                          <w:pStyle w:val="TableParagraph"/>
                          <w:tabs>
                            <w:tab w:pos="4234" w:val="left" w:leader="none"/>
                          </w:tabs>
                          <w:spacing w:before="124"/>
                          <w:ind w:right="322"/>
                          <w:rPr>
                            <w:b/>
                            <w:sz w:val="18"/>
                          </w:rPr>
                        </w:pPr>
                        <w:r>
                          <w:rPr>
                            <w:b/>
                            <w:color w:val="FFFFFF"/>
                            <w:w w:val="110"/>
                            <w:sz w:val="18"/>
                          </w:rPr>
                          <w:t>Valuation Approach</w:t>
                          <w:tab/>
                          <w:t>Completed</w:t>
                        </w:r>
                        <w:r>
                          <w:rPr>
                            <w:b/>
                            <w:color w:val="FFFFFF"/>
                            <w:spacing w:val="-6"/>
                            <w:w w:val="110"/>
                            <w:sz w:val="18"/>
                          </w:rPr>
                          <w:t> </w:t>
                        </w:r>
                        <w:r>
                          <w:rPr>
                            <w:b/>
                            <w:color w:val="FFFFFF"/>
                            <w:w w:val="110"/>
                            <w:sz w:val="18"/>
                          </w:rPr>
                          <w:t>Blocks</w:t>
                        </w:r>
                      </w:p>
                    </w:tc>
                  </w:tr>
                  <w:tr>
                    <w:trPr>
                      <w:trHeight w:val="832" w:hRule="atLeast"/>
                    </w:trPr>
                    <w:tc>
                      <w:tcPr>
                        <w:tcW w:w="3923" w:type="dxa"/>
                        <w:shd w:val="clear" w:color="auto" w:fill="69BD28"/>
                      </w:tcPr>
                      <w:p>
                        <w:pPr>
                          <w:pStyle w:val="TableParagraph"/>
                          <w:spacing w:before="11"/>
                          <w:jc w:val="left"/>
                          <w:rPr>
                            <w:sz w:val="26"/>
                          </w:rPr>
                        </w:pPr>
                      </w:p>
                      <w:p>
                        <w:pPr>
                          <w:pStyle w:val="TableParagraph"/>
                          <w:ind w:left="1143"/>
                          <w:jc w:val="left"/>
                          <w:rPr>
                            <w:b/>
                            <w:sz w:val="18"/>
                          </w:rPr>
                        </w:pPr>
                        <w:r>
                          <w:rPr>
                            <w:b/>
                            <w:color w:val="FFFFFF"/>
                            <w:w w:val="105"/>
                            <w:sz w:val="18"/>
                          </w:rPr>
                          <w:t>Office Component</w:t>
                        </w:r>
                      </w:p>
                    </w:tc>
                    <w:tc>
                      <w:tcPr>
                        <w:tcW w:w="4329" w:type="dxa"/>
                        <w:tcBorders>
                          <w:top w:val="single" w:sz="6" w:space="0" w:color="69BD28"/>
                          <w:bottom w:val="single" w:sz="6" w:space="0" w:color="69BD28"/>
                        </w:tcBorders>
                      </w:tcPr>
                      <w:p>
                        <w:pPr>
                          <w:pStyle w:val="TableParagraph"/>
                          <w:spacing w:before="7"/>
                          <w:jc w:val="left"/>
                          <w:rPr>
                            <w:sz w:val="17"/>
                          </w:rPr>
                        </w:pPr>
                      </w:p>
                      <w:p>
                        <w:pPr>
                          <w:pStyle w:val="TableParagraph"/>
                          <w:spacing w:line="247" w:lineRule="auto"/>
                          <w:ind w:left="1368" w:right="401" w:hanging="925"/>
                          <w:jc w:val="left"/>
                          <w:rPr>
                            <w:sz w:val="18"/>
                          </w:rPr>
                        </w:pPr>
                        <w:r>
                          <w:rPr>
                            <w:sz w:val="18"/>
                          </w:rPr>
                          <w:t>Discounted Cash Flow Method (using rental reversion approach)</w:t>
                        </w:r>
                      </w:p>
                    </w:tc>
                  </w:tr>
                </w:tbl>
                <w:p>
                  <w:pPr>
                    <w:pStyle w:val="BodyText"/>
                  </w:pPr>
                </w:p>
              </w:txbxContent>
            </v:textbox>
            <w10:wrap type="none"/>
          </v:shape>
        </w:pict>
      </w:r>
      <w:r>
        <w:rPr>
          <w:color w:val="006A4D"/>
          <w:sz w:val="18"/>
        </w:rPr>
        <w:t>Valuation Approaches:</w:t>
      </w:r>
    </w:p>
    <w:p>
      <w:pPr>
        <w:pStyle w:val="BodyText"/>
      </w:pPr>
    </w:p>
    <w:p>
      <w:pPr>
        <w:pStyle w:val="BodyText"/>
      </w:pPr>
    </w:p>
    <w:p>
      <w:pPr>
        <w:pStyle w:val="BodyText"/>
      </w:pPr>
    </w:p>
    <w:p>
      <w:pPr>
        <w:pStyle w:val="BodyText"/>
        <w:spacing w:before="8"/>
        <w:rPr>
          <w:sz w:val="31"/>
        </w:rPr>
      </w:pPr>
    </w:p>
    <w:p>
      <w:pPr>
        <w:tabs>
          <w:tab w:pos="2637" w:val="left" w:leader="none"/>
        </w:tabs>
        <w:spacing w:before="0"/>
        <w:ind w:left="392" w:right="0" w:firstLine="0"/>
        <w:jc w:val="left"/>
        <w:rPr>
          <w:sz w:val="18"/>
        </w:rPr>
      </w:pPr>
      <w:r>
        <w:rPr>
          <w:color w:val="006A4D"/>
          <w:sz w:val="18"/>
        </w:rPr>
        <w:t>Date</w:t>
      </w:r>
      <w:r>
        <w:rPr>
          <w:color w:val="006A4D"/>
          <w:spacing w:val="-13"/>
          <w:sz w:val="18"/>
        </w:rPr>
        <w:t> </w:t>
      </w:r>
      <w:r>
        <w:rPr>
          <w:color w:val="006A4D"/>
          <w:sz w:val="18"/>
        </w:rPr>
        <w:t>of</w:t>
      </w:r>
      <w:r>
        <w:rPr>
          <w:color w:val="006A4D"/>
          <w:spacing w:val="-13"/>
          <w:sz w:val="18"/>
        </w:rPr>
        <w:t> </w:t>
      </w:r>
      <w:r>
        <w:rPr>
          <w:color w:val="006A4D"/>
          <w:sz w:val="18"/>
        </w:rPr>
        <w:t>Valuation:</w:t>
        <w:tab/>
      </w:r>
      <w:r>
        <w:rPr>
          <w:sz w:val="18"/>
        </w:rPr>
        <w:t>March 31,</w:t>
      </w:r>
      <w:r>
        <w:rPr>
          <w:spacing w:val="-1"/>
          <w:sz w:val="18"/>
        </w:rPr>
        <w:t> </w:t>
      </w:r>
      <w:r>
        <w:rPr>
          <w:sz w:val="18"/>
        </w:rPr>
        <w:t>2020</w:t>
      </w:r>
    </w:p>
    <w:p>
      <w:pPr>
        <w:pStyle w:val="BodyText"/>
        <w:spacing w:before="8"/>
        <w:rPr>
          <w:sz w:val="27"/>
        </w:rPr>
      </w:pPr>
    </w:p>
    <w:p>
      <w:pPr>
        <w:tabs>
          <w:tab w:pos="2637" w:val="left" w:leader="none"/>
        </w:tabs>
        <w:spacing w:line="321" w:lineRule="auto" w:before="0"/>
        <w:ind w:left="2637" w:right="500" w:hanging="2245"/>
        <w:jc w:val="both"/>
        <w:rPr>
          <w:sz w:val="18"/>
        </w:rPr>
      </w:pPr>
      <w:r>
        <w:rPr>
          <w:color w:val="006A4D"/>
          <w:sz w:val="18"/>
        </w:rPr>
        <w:t>Date</w:t>
      </w:r>
      <w:r>
        <w:rPr>
          <w:color w:val="006A4D"/>
          <w:spacing w:val="-18"/>
          <w:sz w:val="18"/>
        </w:rPr>
        <w:t> </w:t>
      </w:r>
      <w:r>
        <w:rPr>
          <w:color w:val="006A4D"/>
          <w:sz w:val="18"/>
        </w:rPr>
        <w:t>of</w:t>
      </w:r>
      <w:r>
        <w:rPr>
          <w:color w:val="006A4D"/>
          <w:spacing w:val="-18"/>
          <w:sz w:val="18"/>
        </w:rPr>
        <w:t> </w:t>
      </w:r>
      <w:r>
        <w:rPr>
          <w:color w:val="006A4D"/>
          <w:sz w:val="18"/>
        </w:rPr>
        <w:t>Inspection:</w:t>
        <w:tab/>
      </w:r>
      <w:r>
        <w:rPr>
          <w:sz w:val="18"/>
        </w:rPr>
        <w:t>Not Applicable. Due to the outbreak of Novel Coronavirus (COVID-19), declared by the World health Organisation</w:t>
      </w:r>
      <w:r>
        <w:rPr>
          <w:spacing w:val="-5"/>
          <w:sz w:val="18"/>
        </w:rPr>
        <w:t> </w:t>
      </w:r>
      <w:r>
        <w:rPr>
          <w:sz w:val="18"/>
        </w:rPr>
        <w:t>as</w:t>
      </w:r>
      <w:r>
        <w:rPr>
          <w:spacing w:val="-6"/>
          <w:sz w:val="18"/>
        </w:rPr>
        <w:t> </w:t>
      </w:r>
      <w:r>
        <w:rPr>
          <w:sz w:val="18"/>
        </w:rPr>
        <w:t>a</w:t>
      </w:r>
      <w:r>
        <w:rPr>
          <w:spacing w:val="-5"/>
          <w:sz w:val="18"/>
        </w:rPr>
        <w:t> </w:t>
      </w:r>
      <w:r>
        <w:rPr>
          <w:sz w:val="18"/>
        </w:rPr>
        <w:t>“Global</w:t>
      </w:r>
      <w:r>
        <w:rPr>
          <w:spacing w:val="-6"/>
          <w:sz w:val="18"/>
        </w:rPr>
        <w:t> </w:t>
      </w:r>
      <w:r>
        <w:rPr>
          <w:sz w:val="18"/>
        </w:rPr>
        <w:t>Pandemic”</w:t>
      </w:r>
      <w:r>
        <w:rPr>
          <w:spacing w:val="-7"/>
          <w:sz w:val="18"/>
        </w:rPr>
        <w:t> </w:t>
      </w:r>
      <w:r>
        <w:rPr>
          <w:sz w:val="18"/>
        </w:rPr>
        <w:t>on</w:t>
      </w:r>
      <w:r>
        <w:rPr>
          <w:spacing w:val="-5"/>
          <w:sz w:val="18"/>
        </w:rPr>
        <w:t> </w:t>
      </w:r>
      <w:r>
        <w:rPr>
          <w:sz w:val="18"/>
        </w:rPr>
        <w:t>11</w:t>
      </w:r>
      <w:r>
        <w:rPr>
          <w:position w:val="6"/>
          <w:sz w:val="11"/>
        </w:rPr>
        <w:t>th</w:t>
      </w:r>
      <w:r>
        <w:rPr>
          <w:spacing w:val="14"/>
          <w:position w:val="6"/>
          <w:sz w:val="11"/>
        </w:rPr>
        <w:t> </w:t>
      </w:r>
      <w:r>
        <w:rPr>
          <w:sz w:val="18"/>
        </w:rPr>
        <w:t>March</w:t>
      </w:r>
      <w:r>
        <w:rPr>
          <w:spacing w:val="-5"/>
          <w:sz w:val="18"/>
        </w:rPr>
        <w:t> </w:t>
      </w:r>
      <w:r>
        <w:rPr>
          <w:sz w:val="18"/>
        </w:rPr>
        <w:t>2020,</w:t>
      </w:r>
      <w:r>
        <w:rPr>
          <w:spacing w:val="-6"/>
          <w:sz w:val="18"/>
        </w:rPr>
        <w:t> </w:t>
      </w:r>
      <w:r>
        <w:rPr>
          <w:sz w:val="18"/>
        </w:rPr>
        <w:t>it</w:t>
      </w:r>
      <w:r>
        <w:rPr>
          <w:spacing w:val="-7"/>
          <w:sz w:val="18"/>
        </w:rPr>
        <w:t> </w:t>
      </w:r>
      <w:r>
        <w:rPr>
          <w:sz w:val="18"/>
        </w:rPr>
        <w:t>has</w:t>
      </w:r>
      <w:r>
        <w:rPr>
          <w:spacing w:val="-5"/>
          <w:sz w:val="18"/>
        </w:rPr>
        <w:t> </w:t>
      </w:r>
      <w:r>
        <w:rPr>
          <w:sz w:val="18"/>
        </w:rPr>
        <w:t>not</w:t>
      </w:r>
      <w:r>
        <w:rPr>
          <w:spacing w:val="-7"/>
          <w:sz w:val="18"/>
        </w:rPr>
        <w:t> </w:t>
      </w:r>
      <w:r>
        <w:rPr>
          <w:sz w:val="18"/>
        </w:rPr>
        <w:t>been</w:t>
      </w:r>
      <w:r>
        <w:rPr>
          <w:spacing w:val="-5"/>
          <w:sz w:val="18"/>
        </w:rPr>
        <w:t> </w:t>
      </w:r>
      <w:r>
        <w:rPr>
          <w:sz w:val="18"/>
        </w:rPr>
        <w:t>possible</w:t>
      </w:r>
      <w:r>
        <w:rPr>
          <w:spacing w:val="-5"/>
          <w:sz w:val="18"/>
        </w:rPr>
        <w:t> </w:t>
      </w:r>
      <w:r>
        <w:rPr>
          <w:sz w:val="18"/>
        </w:rPr>
        <w:t>to</w:t>
      </w:r>
      <w:r>
        <w:rPr>
          <w:spacing w:val="-7"/>
          <w:sz w:val="18"/>
        </w:rPr>
        <w:t> </w:t>
      </w:r>
      <w:r>
        <w:rPr>
          <w:sz w:val="18"/>
        </w:rPr>
        <w:t>carry</w:t>
      </w:r>
      <w:r>
        <w:rPr>
          <w:spacing w:val="-6"/>
          <w:sz w:val="18"/>
        </w:rPr>
        <w:t> </w:t>
      </w:r>
      <w:r>
        <w:rPr>
          <w:sz w:val="18"/>
        </w:rPr>
        <w:t>out</w:t>
      </w:r>
      <w:r>
        <w:rPr>
          <w:spacing w:val="-6"/>
          <w:sz w:val="18"/>
        </w:rPr>
        <w:t> </w:t>
      </w:r>
      <w:r>
        <w:rPr>
          <w:sz w:val="18"/>
        </w:rPr>
        <w:t>a</w:t>
      </w:r>
      <w:r>
        <w:rPr>
          <w:spacing w:val="-6"/>
          <w:sz w:val="18"/>
        </w:rPr>
        <w:t> </w:t>
      </w:r>
      <w:r>
        <w:rPr>
          <w:sz w:val="18"/>
        </w:rPr>
        <w:t>formal inspection</w:t>
      </w:r>
      <w:r>
        <w:rPr>
          <w:spacing w:val="-26"/>
          <w:sz w:val="18"/>
        </w:rPr>
        <w:t> </w:t>
      </w:r>
      <w:r>
        <w:rPr>
          <w:sz w:val="18"/>
        </w:rPr>
        <w:t>of</w:t>
      </w:r>
      <w:r>
        <w:rPr>
          <w:spacing w:val="-26"/>
          <w:sz w:val="18"/>
        </w:rPr>
        <w:t> </w:t>
      </w:r>
      <w:r>
        <w:rPr>
          <w:sz w:val="18"/>
        </w:rPr>
        <w:t>the</w:t>
      </w:r>
      <w:r>
        <w:rPr>
          <w:spacing w:val="-24"/>
          <w:sz w:val="18"/>
        </w:rPr>
        <w:t> </w:t>
      </w:r>
      <w:r>
        <w:rPr>
          <w:sz w:val="18"/>
        </w:rPr>
        <w:t>property</w:t>
      </w:r>
      <w:r>
        <w:rPr>
          <w:spacing w:val="-23"/>
          <w:sz w:val="18"/>
        </w:rPr>
        <w:t> </w:t>
      </w:r>
      <w:r>
        <w:rPr>
          <w:sz w:val="18"/>
        </w:rPr>
        <w:t>for</w:t>
      </w:r>
      <w:r>
        <w:rPr>
          <w:spacing w:val="-25"/>
          <w:sz w:val="18"/>
        </w:rPr>
        <w:t> </w:t>
      </w:r>
      <w:r>
        <w:rPr>
          <w:sz w:val="18"/>
        </w:rPr>
        <w:t>the</w:t>
      </w:r>
      <w:r>
        <w:rPr>
          <w:spacing w:val="-25"/>
          <w:sz w:val="18"/>
        </w:rPr>
        <w:t> </w:t>
      </w:r>
      <w:r>
        <w:rPr>
          <w:sz w:val="18"/>
        </w:rPr>
        <w:t>current</w:t>
      </w:r>
      <w:r>
        <w:rPr>
          <w:spacing w:val="-25"/>
          <w:sz w:val="18"/>
        </w:rPr>
        <w:t> </w:t>
      </w:r>
      <w:r>
        <w:rPr>
          <w:sz w:val="18"/>
        </w:rPr>
        <w:t>update.</w:t>
      </w:r>
      <w:r>
        <w:rPr>
          <w:spacing w:val="-23"/>
          <w:sz w:val="18"/>
        </w:rPr>
        <w:t> </w:t>
      </w:r>
      <w:r>
        <w:rPr>
          <w:sz w:val="18"/>
        </w:rPr>
        <w:t>The</w:t>
      </w:r>
      <w:r>
        <w:rPr>
          <w:spacing w:val="-25"/>
          <w:sz w:val="18"/>
        </w:rPr>
        <w:t> </w:t>
      </w:r>
      <w:r>
        <w:rPr>
          <w:sz w:val="18"/>
        </w:rPr>
        <w:t>site</w:t>
      </w:r>
      <w:r>
        <w:rPr>
          <w:spacing w:val="-26"/>
          <w:sz w:val="18"/>
        </w:rPr>
        <w:t> </w:t>
      </w:r>
      <w:r>
        <w:rPr>
          <w:sz w:val="18"/>
        </w:rPr>
        <w:t>observation,</w:t>
      </w:r>
      <w:r>
        <w:rPr>
          <w:spacing w:val="-25"/>
          <w:sz w:val="18"/>
        </w:rPr>
        <w:t> </w:t>
      </w:r>
      <w:r>
        <w:rPr>
          <w:sz w:val="18"/>
        </w:rPr>
        <w:t>details</w:t>
      </w:r>
      <w:r>
        <w:rPr>
          <w:spacing w:val="-25"/>
          <w:sz w:val="18"/>
        </w:rPr>
        <w:t> </w:t>
      </w:r>
      <w:r>
        <w:rPr>
          <w:sz w:val="18"/>
        </w:rPr>
        <w:t>and</w:t>
      </w:r>
      <w:r>
        <w:rPr>
          <w:spacing w:val="-26"/>
          <w:sz w:val="18"/>
        </w:rPr>
        <w:t> </w:t>
      </w:r>
      <w:r>
        <w:rPr>
          <w:sz w:val="18"/>
        </w:rPr>
        <w:t>pictures</w:t>
      </w:r>
      <w:r>
        <w:rPr>
          <w:spacing w:val="-26"/>
          <w:sz w:val="18"/>
        </w:rPr>
        <w:t> </w:t>
      </w:r>
      <w:r>
        <w:rPr>
          <w:sz w:val="18"/>
        </w:rPr>
        <w:t>are</w:t>
      </w:r>
      <w:r>
        <w:rPr>
          <w:spacing w:val="-24"/>
          <w:sz w:val="18"/>
        </w:rPr>
        <w:t> </w:t>
      </w:r>
      <w:r>
        <w:rPr>
          <w:sz w:val="18"/>
        </w:rPr>
        <w:t>as</w:t>
      </w:r>
      <w:r>
        <w:rPr>
          <w:spacing w:val="-26"/>
          <w:sz w:val="18"/>
        </w:rPr>
        <w:t> </w:t>
      </w:r>
      <w:r>
        <w:rPr>
          <w:sz w:val="18"/>
        </w:rPr>
        <w:t>per</w:t>
      </w:r>
      <w:r>
        <w:rPr>
          <w:spacing w:val="-25"/>
          <w:sz w:val="18"/>
        </w:rPr>
        <w:t> </w:t>
      </w:r>
      <w:r>
        <w:rPr>
          <w:sz w:val="18"/>
        </w:rPr>
        <w:t>the previous site visit undertaken/</w:t>
      </w:r>
      <w:r>
        <w:rPr>
          <w:spacing w:val="-40"/>
          <w:sz w:val="18"/>
        </w:rPr>
        <w:t> </w:t>
      </w:r>
      <w:r>
        <w:rPr>
          <w:sz w:val="18"/>
        </w:rPr>
        <w:t>as provided by the Client</w:t>
      </w:r>
    </w:p>
    <w:p>
      <w:pPr>
        <w:pStyle w:val="BodyText"/>
        <w:spacing w:before="7"/>
        <w:rPr>
          <w:sz w:val="12"/>
        </w:rPr>
      </w:pPr>
    </w:p>
    <w:p>
      <w:pPr>
        <w:spacing w:after="0"/>
        <w:rPr>
          <w:sz w:val="12"/>
        </w:rPr>
        <w:sectPr>
          <w:pgSz w:w="11910" w:h="16840"/>
          <w:pgMar w:header="720" w:footer="842" w:top="1520" w:bottom="1040" w:left="440" w:right="80"/>
        </w:sectPr>
      </w:pPr>
    </w:p>
    <w:p>
      <w:pPr>
        <w:spacing w:line="321" w:lineRule="auto" w:before="104"/>
        <w:ind w:left="392" w:right="23" w:firstLine="0"/>
        <w:jc w:val="left"/>
        <w:rPr>
          <w:sz w:val="18"/>
        </w:rPr>
      </w:pPr>
      <w:r>
        <w:rPr>
          <w:color w:val="006A4D"/>
          <w:sz w:val="18"/>
        </w:rPr>
        <w:t>Purchase</w:t>
      </w:r>
      <w:r>
        <w:rPr>
          <w:color w:val="006A4D"/>
          <w:spacing w:val="-36"/>
          <w:sz w:val="18"/>
        </w:rPr>
        <w:t> </w:t>
      </w:r>
      <w:r>
        <w:rPr>
          <w:color w:val="006A4D"/>
          <w:sz w:val="18"/>
        </w:rPr>
        <w:t>Price</w:t>
      </w:r>
      <w:r>
        <w:rPr>
          <w:color w:val="006A4D"/>
          <w:spacing w:val="-35"/>
          <w:sz w:val="18"/>
        </w:rPr>
        <w:t> </w:t>
      </w:r>
      <w:r>
        <w:rPr>
          <w:color w:val="006A4D"/>
          <w:sz w:val="18"/>
        </w:rPr>
        <w:t>for</w:t>
      </w:r>
      <w:r>
        <w:rPr>
          <w:color w:val="006A4D"/>
          <w:spacing w:val="-36"/>
          <w:sz w:val="18"/>
        </w:rPr>
        <w:t> </w:t>
      </w:r>
      <w:r>
        <w:rPr>
          <w:color w:val="006A4D"/>
          <w:sz w:val="18"/>
        </w:rPr>
        <w:t>the property:</w:t>
      </w:r>
    </w:p>
    <w:p>
      <w:pPr>
        <w:spacing w:before="104"/>
        <w:ind w:left="392" w:right="0" w:firstLine="0"/>
        <w:jc w:val="left"/>
        <w:rPr>
          <w:sz w:val="18"/>
        </w:rPr>
      </w:pPr>
      <w:r>
        <w:rPr/>
        <w:br w:type="column"/>
      </w:r>
      <w:r>
        <w:rPr>
          <w:sz w:val="18"/>
        </w:rPr>
        <w:t>The said acquisition was undertaken as part of the ‘Formation Transaction’ as described in the Final</w:t>
      </w:r>
    </w:p>
    <w:p>
      <w:pPr>
        <w:spacing w:before="72"/>
        <w:ind w:left="392" w:right="0" w:firstLine="0"/>
        <w:jc w:val="left"/>
        <w:rPr>
          <w:sz w:val="18"/>
        </w:rPr>
      </w:pPr>
      <w:r>
        <w:rPr>
          <w:sz w:val="18"/>
        </w:rPr>
        <w:t>Offer 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2123" w:space="122"/>
            <w:col w:w="9145"/>
          </w:cols>
        </w:sectPr>
      </w:pPr>
    </w:p>
    <w:p>
      <w:pPr>
        <w:pStyle w:val="BodyText"/>
        <w:rPr>
          <w:sz w:val="20"/>
        </w:rPr>
      </w:pPr>
    </w:p>
    <w:p>
      <w:pPr>
        <w:spacing w:after="0"/>
        <w:rPr>
          <w:sz w:val="20"/>
        </w:rPr>
        <w:sectPr>
          <w:pgSz w:w="11910" w:h="16840"/>
          <w:pgMar w:header="720" w:footer="842" w:top="1520" w:bottom="1040" w:left="440" w:right="80"/>
        </w:sectPr>
      </w:pPr>
    </w:p>
    <w:p>
      <w:pPr>
        <w:pStyle w:val="BodyText"/>
        <w:spacing w:before="7"/>
      </w:pPr>
    </w:p>
    <w:p>
      <w:pPr>
        <w:spacing w:line="321" w:lineRule="auto" w:before="1"/>
        <w:ind w:left="392" w:right="-6" w:firstLine="0"/>
        <w:jc w:val="left"/>
        <w:rPr>
          <w:sz w:val="18"/>
        </w:rPr>
      </w:pPr>
      <w:r>
        <w:rPr>
          <w:color w:val="006A4D"/>
          <w:sz w:val="18"/>
        </w:rPr>
        <w:t>Ready</w:t>
      </w:r>
      <w:r>
        <w:rPr>
          <w:color w:val="006A4D"/>
          <w:spacing w:val="-23"/>
          <w:sz w:val="18"/>
        </w:rPr>
        <w:t> </w:t>
      </w:r>
      <w:r>
        <w:rPr>
          <w:color w:val="006A4D"/>
          <w:sz w:val="18"/>
        </w:rPr>
        <w:t>Reckoner</w:t>
      </w:r>
      <w:r>
        <w:rPr>
          <w:color w:val="006A4D"/>
          <w:spacing w:val="-22"/>
          <w:sz w:val="18"/>
        </w:rPr>
        <w:t> </w:t>
      </w:r>
      <w:r>
        <w:rPr>
          <w:color w:val="006A4D"/>
          <w:sz w:val="18"/>
        </w:rPr>
        <w:t>Rate</w:t>
      </w:r>
      <w:r>
        <w:rPr>
          <w:color w:val="006A4D"/>
          <w:spacing w:val="-21"/>
          <w:sz w:val="18"/>
        </w:rPr>
        <w:t> </w:t>
      </w:r>
      <w:r>
        <w:rPr>
          <w:color w:val="006A4D"/>
          <w:sz w:val="18"/>
        </w:rPr>
        <w:t>(as per documents</w:t>
      </w:r>
      <w:r>
        <w:rPr>
          <w:color w:val="006A4D"/>
          <w:spacing w:val="-35"/>
          <w:sz w:val="18"/>
        </w:rPr>
        <w:t> </w:t>
      </w:r>
      <w:r>
        <w:rPr>
          <w:color w:val="006A4D"/>
          <w:spacing w:val="-3"/>
          <w:sz w:val="18"/>
        </w:rPr>
        <w:t>published </w:t>
      </w:r>
      <w:r>
        <w:rPr>
          <w:color w:val="006A4D"/>
          <w:sz w:val="18"/>
        </w:rPr>
        <w:t>by State</w:t>
      </w:r>
      <w:r>
        <w:rPr>
          <w:color w:val="006A4D"/>
          <w:spacing w:val="-33"/>
          <w:sz w:val="18"/>
        </w:rPr>
        <w:t> </w:t>
      </w:r>
      <w:r>
        <w:rPr>
          <w:color w:val="006A4D"/>
          <w:sz w:val="18"/>
        </w:rPr>
        <w:t>Government):</w:t>
      </w:r>
    </w:p>
    <w:p>
      <w:pPr>
        <w:spacing w:line="321" w:lineRule="auto" w:before="131"/>
        <w:ind w:left="392" w:right="151" w:firstLine="0"/>
        <w:jc w:val="left"/>
        <w:rPr>
          <w:sz w:val="18"/>
        </w:rPr>
      </w:pPr>
      <w:r>
        <w:rPr>
          <w:color w:val="006A4D"/>
          <w:sz w:val="18"/>
        </w:rPr>
        <w:t>Value Conclusion as of March 31, 2020:</w:t>
      </w:r>
    </w:p>
    <w:p>
      <w:pPr>
        <w:pStyle w:val="BodyText"/>
        <w:spacing w:before="7"/>
      </w:pPr>
      <w:r>
        <w:rPr/>
        <w:br w:type="column"/>
      </w:r>
      <w:r>
        <w:rPr/>
      </w:r>
    </w:p>
    <w:p>
      <w:pPr>
        <w:spacing w:line="460" w:lineRule="auto" w:before="1"/>
        <w:ind w:left="228" w:right="5980" w:firstLine="0"/>
        <w:jc w:val="left"/>
        <w:rPr>
          <w:sz w:val="18"/>
        </w:rPr>
      </w:pPr>
      <w:r>
        <w:rPr>
          <w:sz w:val="18"/>
        </w:rPr>
        <w:t>Land Rate: INR 9,640 per sqm Built-up Rate: INR 24,200 per sqm</w:t>
      </w:r>
    </w:p>
    <w:p>
      <w:pPr>
        <w:pStyle w:val="BodyText"/>
        <w:spacing w:before="10"/>
        <w:rPr>
          <w:sz w:val="10"/>
        </w:rPr>
      </w:pPr>
      <w:r>
        <w:rPr/>
        <w:pict>
          <v:group style="position:absolute;margin-left:153.860001pt;margin-top:8.279492pt;width:412.7pt;height:19.45pt;mso-position-horizontal-relative:page;mso-position-vertical-relative:paragraph;z-index:-15603712;mso-wrap-distance-left:0;mso-wrap-distance-right:0" coordorigin="3077,166" coordsize="8254,389">
            <v:shape style="position:absolute;left:3077;top:194;width:8254;height:346" coordorigin="3077,194" coordsize="8254,346" path="m11330,194l7314,194,3077,194,3077,540,7314,540,11330,540,11330,194xe" filled="true" fillcolor="#006a4d" stroked="false">
              <v:path arrowok="t"/>
              <v:fill type="solid"/>
            </v:shape>
            <v:rect style="position:absolute;left:3077;top:165;width:4237;height:29" filled="true" fillcolor="#1f6b16" stroked="false">
              <v:fill type="solid"/>
            </v:rect>
            <v:shape style="position:absolute;left:3077;top:194;width:4266;height:3" coordorigin="3077,194" coordsize="4266,3" path="m7343,194l7314,194,3077,194,3077,197,7314,197,7343,197,7343,194xe" filled="true" fillcolor="#006a4d" stroked="false">
              <v:path arrowok="t"/>
              <v:fill type="solid"/>
            </v:shape>
            <v:shape style="position:absolute;left:7314;top:165;width:4014;height:29" coordorigin="7314,166" coordsize="4014,29" path="m11328,166l7343,166,7314,166,7314,194,7343,194,11328,194,11328,166xe" filled="true" fillcolor="#1f6b16" stroked="false">
              <v:path arrowok="t"/>
              <v:fill type="solid"/>
            </v:shape>
            <v:rect style="position:absolute;left:7343;top:194;width:3985;height:3" filled="true" fillcolor="#006a4d" stroked="false">
              <v:fill type="solid"/>
            </v:rect>
            <v:shape style="position:absolute;left:3077;top:539;width:8251;height:15" coordorigin="3077,540" coordsize="8251,15" path="m11328,540l7329,540,7314,540,3077,540,3077,554,7314,554,7329,554,11328,554,11328,540xe" filled="true" fillcolor="#69bd28" stroked="false">
              <v:path arrowok="t"/>
              <v:fill type="solid"/>
            </v:shape>
            <v:shape style="position:absolute;left:3077;top:194;width:8254;height:346" type="#_x0000_t202" filled="false" stroked="false">
              <v:textbox inset="0,0,0,0">
                <w:txbxContent>
                  <w:p>
                    <w:pPr>
                      <w:tabs>
                        <w:tab w:pos="5195" w:val="left" w:leader="none"/>
                      </w:tabs>
                      <w:spacing w:before="68"/>
                      <w:ind w:left="1601" w:right="0" w:firstLine="0"/>
                      <w:jc w:val="left"/>
                      <w:rPr>
                        <w:b/>
                        <w:sz w:val="18"/>
                      </w:rPr>
                    </w:pPr>
                    <w:r>
                      <w:rPr>
                        <w:b/>
                        <w:color w:val="FFFFFF"/>
                        <w:w w:val="110"/>
                        <w:sz w:val="18"/>
                      </w:rPr>
                      <w:t>Component</w:t>
                      <w:tab/>
                      <w:t>Market Value (INR</w:t>
                    </w:r>
                    <w:r>
                      <w:rPr>
                        <w:b/>
                        <w:color w:val="FFFFFF"/>
                        <w:spacing w:val="-2"/>
                        <w:w w:val="110"/>
                        <w:sz w:val="18"/>
                      </w:rPr>
                      <w:t> </w:t>
                    </w:r>
                    <w:r>
                      <w:rPr>
                        <w:b/>
                        <w:color w:val="FFFFFF"/>
                        <w:w w:val="110"/>
                        <w:sz w:val="18"/>
                      </w:rPr>
                      <w:t>Mn)</w:t>
                    </w:r>
                  </w:p>
                </w:txbxContent>
              </v:textbox>
              <w10:wrap type="none"/>
            </v:shape>
            <w10:wrap type="topAndBottom"/>
          </v:group>
        </w:pict>
      </w:r>
    </w:p>
    <w:p>
      <w:pPr>
        <w:tabs>
          <w:tab w:pos="6181" w:val="left" w:leader="none"/>
        </w:tabs>
        <w:spacing w:before="51"/>
        <w:ind w:left="1740" w:right="0" w:firstLine="0"/>
        <w:jc w:val="left"/>
        <w:rPr>
          <w:sz w:val="18"/>
        </w:rPr>
      </w:pPr>
      <w:r>
        <w:rPr>
          <w:sz w:val="18"/>
        </w:rPr>
        <w:t>Embassy</w:t>
      </w:r>
      <w:r>
        <w:rPr>
          <w:spacing w:val="3"/>
          <w:sz w:val="18"/>
        </w:rPr>
        <w:t> </w:t>
      </w:r>
      <w:r>
        <w:rPr>
          <w:sz w:val="18"/>
        </w:rPr>
        <w:t>Qubix</w:t>
        <w:tab/>
        <w:t>10,085</w:t>
      </w:r>
    </w:p>
    <w:p>
      <w:pPr>
        <w:spacing w:after="0"/>
        <w:jc w:val="left"/>
        <w:rPr>
          <w:sz w:val="18"/>
        </w:rPr>
        <w:sectPr>
          <w:type w:val="continuous"/>
          <w:pgSz w:w="11910" w:h="16840"/>
          <w:pgMar w:top="800" w:bottom="280" w:left="440" w:right="80"/>
          <w:cols w:num="2" w:equalWidth="0">
            <w:col w:w="2369" w:space="40"/>
            <w:col w:w="8981"/>
          </w:cols>
        </w:sectPr>
      </w:pPr>
    </w:p>
    <w:p>
      <w:pPr>
        <w:pStyle w:val="BodyText"/>
        <w:spacing w:before="6"/>
        <w:rPr>
          <w:sz w:val="6"/>
        </w:rPr>
      </w:pPr>
    </w:p>
    <w:p>
      <w:pPr>
        <w:pStyle w:val="BodyText"/>
        <w:ind w:left="2622"/>
        <w:rPr>
          <w:sz w:val="20"/>
        </w:rPr>
      </w:pPr>
      <w:r>
        <w:rPr>
          <w:sz w:val="20"/>
        </w:rPr>
        <w:pict>
          <v:shape style="width:413.4pt;height:19.8pt;mso-position-horizontal-relative:char;mso-position-vertical-relative:line" type="#_x0000_t202" filled="true" fillcolor="#69bd28" stroked="false">
            <w10:anchorlock/>
            <v:textbox inset="0,0,0,0">
              <w:txbxContent>
                <w:p>
                  <w:pPr>
                    <w:tabs>
                      <w:tab w:pos="5965" w:val="left" w:leader="none"/>
                    </w:tabs>
                    <w:spacing w:before="95"/>
                    <w:ind w:left="1087" w:right="0" w:firstLine="0"/>
                    <w:jc w:val="left"/>
                    <w:rPr>
                      <w:sz w:val="18"/>
                    </w:rPr>
                  </w:pPr>
                  <w:r>
                    <w:rPr>
                      <w:color w:val="FFFFFF"/>
                      <w:sz w:val="18"/>
                    </w:rPr>
                    <w:t>Total</w:t>
                  </w:r>
                  <w:r>
                    <w:rPr>
                      <w:color w:val="FFFFFF"/>
                      <w:spacing w:val="-24"/>
                      <w:sz w:val="18"/>
                    </w:rPr>
                    <w:t> </w:t>
                  </w:r>
                  <w:r>
                    <w:rPr>
                      <w:color w:val="FFFFFF"/>
                      <w:sz w:val="18"/>
                    </w:rPr>
                    <w:t>Value</w:t>
                  </w:r>
                  <w:r>
                    <w:rPr>
                      <w:color w:val="FFFFFF"/>
                      <w:spacing w:val="-22"/>
                      <w:sz w:val="18"/>
                    </w:rPr>
                    <w:t> </w:t>
                  </w:r>
                  <w:r>
                    <w:rPr>
                      <w:color w:val="FFFFFF"/>
                      <w:sz w:val="18"/>
                    </w:rPr>
                    <w:t>of</w:t>
                  </w:r>
                  <w:r>
                    <w:rPr>
                      <w:color w:val="FFFFFF"/>
                      <w:spacing w:val="-23"/>
                      <w:sz w:val="18"/>
                    </w:rPr>
                    <w:t> </w:t>
                  </w:r>
                  <w:r>
                    <w:rPr>
                      <w:color w:val="FFFFFF"/>
                      <w:sz w:val="18"/>
                    </w:rPr>
                    <w:t>the</w:t>
                  </w:r>
                  <w:r>
                    <w:rPr>
                      <w:color w:val="FFFFFF"/>
                      <w:spacing w:val="-22"/>
                      <w:sz w:val="18"/>
                    </w:rPr>
                    <w:t> </w:t>
                  </w:r>
                  <w:r>
                    <w:rPr>
                      <w:color w:val="FFFFFF"/>
                      <w:sz w:val="18"/>
                    </w:rPr>
                    <w:t>property</w:t>
                    <w:tab/>
                    <w:t>10,085</w:t>
                  </w:r>
                </w:p>
              </w:txbxContent>
            </v:textbox>
            <v:fill type="solid"/>
          </v:shape>
        </w:pict>
      </w:r>
      <w:r>
        <w:rPr>
          <w:sz w:val="20"/>
        </w:rPr>
      </w:r>
    </w:p>
    <w:p>
      <w:pPr>
        <w:pStyle w:val="BodyText"/>
        <w:spacing w:before="6"/>
        <w:rPr>
          <w:sz w:val="15"/>
        </w:rPr>
      </w:pPr>
    </w:p>
    <w:p>
      <w:pPr>
        <w:spacing w:after="0"/>
        <w:rPr>
          <w:sz w:val="15"/>
        </w:rPr>
        <w:sectPr>
          <w:type w:val="continuous"/>
          <w:pgSz w:w="11910" w:h="16840"/>
          <w:pgMar w:top="800" w:bottom="280" w:left="440" w:right="80"/>
        </w:sectPr>
      </w:pPr>
    </w:p>
    <w:p>
      <w:pPr>
        <w:spacing w:line="321" w:lineRule="auto" w:before="104"/>
        <w:ind w:left="392" w:right="0" w:firstLine="0"/>
        <w:jc w:val="left"/>
        <w:rPr>
          <w:sz w:val="18"/>
        </w:rPr>
      </w:pPr>
      <w:r>
        <w:rPr>
          <w:color w:val="006A4D"/>
          <w:sz w:val="18"/>
        </w:rPr>
        <w:t>Assumptions, </w:t>
      </w:r>
      <w:r>
        <w:rPr>
          <w:color w:val="006A4D"/>
          <w:w w:val="95"/>
          <w:sz w:val="18"/>
        </w:rPr>
        <w:t>Disclaimers, Limitations &amp; </w:t>
      </w:r>
      <w:r>
        <w:rPr>
          <w:color w:val="006A4D"/>
          <w:sz w:val="18"/>
        </w:rPr>
        <w:t>Qualifications</w:t>
      </w:r>
    </w:p>
    <w:p>
      <w:pPr>
        <w:spacing w:line="321" w:lineRule="auto" w:before="104"/>
        <w:ind w:left="187" w:right="498" w:firstLine="0"/>
        <w:jc w:val="both"/>
        <w:rPr>
          <w:sz w:val="18"/>
        </w:rPr>
      </w:pPr>
      <w:r>
        <w:rPr/>
        <w:br w:type="column"/>
      </w:r>
      <w:r>
        <w:rPr>
          <w:w w:val="95"/>
          <w:sz w:val="18"/>
        </w:rPr>
        <w:t>This</w:t>
      </w:r>
      <w:r>
        <w:rPr>
          <w:spacing w:val="-9"/>
          <w:w w:val="95"/>
          <w:sz w:val="18"/>
        </w:rPr>
        <w:t> </w:t>
      </w:r>
      <w:r>
        <w:rPr>
          <w:w w:val="95"/>
          <w:sz w:val="18"/>
        </w:rPr>
        <w:t>valuation</w:t>
      </w:r>
      <w:r>
        <w:rPr>
          <w:spacing w:val="-9"/>
          <w:w w:val="95"/>
          <w:sz w:val="18"/>
        </w:rPr>
        <w:t> </w:t>
      </w:r>
      <w:r>
        <w:rPr>
          <w:w w:val="95"/>
          <w:sz w:val="18"/>
        </w:rPr>
        <w:t>report</w:t>
      </w:r>
      <w:r>
        <w:rPr>
          <w:spacing w:val="-11"/>
          <w:w w:val="95"/>
          <w:sz w:val="18"/>
        </w:rPr>
        <w:t> </w:t>
      </w:r>
      <w:r>
        <w:rPr>
          <w:w w:val="95"/>
          <w:sz w:val="18"/>
        </w:rPr>
        <w:t>is</w:t>
      </w:r>
      <w:r>
        <w:rPr>
          <w:spacing w:val="-12"/>
          <w:w w:val="95"/>
          <w:sz w:val="18"/>
        </w:rPr>
        <w:t> </w:t>
      </w:r>
      <w:r>
        <w:rPr>
          <w:w w:val="95"/>
          <w:sz w:val="18"/>
        </w:rPr>
        <w:t>provided</w:t>
      </w:r>
      <w:r>
        <w:rPr>
          <w:spacing w:val="-9"/>
          <w:w w:val="95"/>
          <w:sz w:val="18"/>
        </w:rPr>
        <w:t> </w:t>
      </w:r>
      <w:r>
        <w:rPr>
          <w:w w:val="95"/>
          <w:sz w:val="18"/>
        </w:rPr>
        <w:t>subject</w:t>
      </w:r>
      <w:r>
        <w:rPr>
          <w:spacing w:val="-11"/>
          <w:w w:val="95"/>
          <w:sz w:val="18"/>
        </w:rPr>
        <w:t> </w:t>
      </w:r>
      <w:r>
        <w:rPr>
          <w:w w:val="95"/>
          <w:sz w:val="18"/>
        </w:rPr>
        <w:t>to</w:t>
      </w:r>
      <w:r>
        <w:rPr>
          <w:spacing w:val="-10"/>
          <w:w w:val="95"/>
          <w:sz w:val="18"/>
        </w:rPr>
        <w:t> </w:t>
      </w:r>
      <w:r>
        <w:rPr>
          <w:w w:val="95"/>
          <w:sz w:val="18"/>
        </w:rPr>
        <w:t>assumptions,</w:t>
      </w:r>
      <w:r>
        <w:rPr>
          <w:spacing w:val="-5"/>
          <w:w w:val="95"/>
          <w:sz w:val="18"/>
        </w:rPr>
        <w:t> </w:t>
      </w:r>
      <w:r>
        <w:rPr>
          <w:w w:val="95"/>
          <w:sz w:val="18"/>
        </w:rPr>
        <w:t>disclaimers,</w:t>
      </w:r>
      <w:r>
        <w:rPr>
          <w:spacing w:val="-10"/>
          <w:w w:val="95"/>
          <w:sz w:val="18"/>
        </w:rPr>
        <w:t> </w:t>
      </w:r>
      <w:r>
        <w:rPr>
          <w:w w:val="95"/>
          <w:sz w:val="18"/>
        </w:rPr>
        <w:t>limitations</w:t>
      </w:r>
      <w:r>
        <w:rPr>
          <w:spacing w:val="-12"/>
          <w:w w:val="95"/>
          <w:sz w:val="18"/>
        </w:rPr>
        <w:t> </w:t>
      </w:r>
      <w:r>
        <w:rPr>
          <w:w w:val="95"/>
          <w:sz w:val="18"/>
        </w:rPr>
        <w:t>and</w:t>
      </w:r>
      <w:r>
        <w:rPr>
          <w:spacing w:val="-9"/>
          <w:w w:val="95"/>
          <w:sz w:val="18"/>
        </w:rPr>
        <w:t> </w:t>
      </w:r>
      <w:r>
        <w:rPr>
          <w:w w:val="95"/>
          <w:sz w:val="18"/>
        </w:rPr>
        <w:t>qualifications</w:t>
      </w:r>
      <w:r>
        <w:rPr>
          <w:spacing w:val="-9"/>
          <w:w w:val="95"/>
          <w:sz w:val="18"/>
        </w:rPr>
        <w:t> </w:t>
      </w:r>
      <w:r>
        <w:rPr>
          <w:w w:val="95"/>
          <w:sz w:val="18"/>
        </w:rPr>
        <w:t>detailed </w:t>
      </w:r>
      <w:r>
        <w:rPr>
          <w:sz w:val="18"/>
        </w:rPr>
        <w:t>throughout this report which are made in conjunction with those included within the Assumptions, Disclaimers,</w:t>
      </w:r>
      <w:r>
        <w:rPr>
          <w:spacing w:val="-11"/>
          <w:sz w:val="18"/>
        </w:rPr>
        <w:t> </w:t>
      </w:r>
      <w:r>
        <w:rPr>
          <w:sz w:val="18"/>
        </w:rPr>
        <w:t>Limitations</w:t>
      </w:r>
      <w:r>
        <w:rPr>
          <w:spacing w:val="-9"/>
          <w:sz w:val="18"/>
        </w:rPr>
        <w:t> </w:t>
      </w:r>
      <w:r>
        <w:rPr>
          <w:sz w:val="18"/>
        </w:rPr>
        <w:t>&amp;</w:t>
      </w:r>
      <w:r>
        <w:rPr>
          <w:spacing w:val="-11"/>
          <w:sz w:val="18"/>
        </w:rPr>
        <w:t> </w:t>
      </w:r>
      <w:r>
        <w:rPr>
          <w:sz w:val="18"/>
        </w:rPr>
        <w:t>Qualifications</w:t>
      </w:r>
      <w:r>
        <w:rPr>
          <w:spacing w:val="-12"/>
          <w:sz w:val="18"/>
        </w:rPr>
        <w:t> </w:t>
      </w:r>
      <w:r>
        <w:rPr>
          <w:sz w:val="18"/>
        </w:rPr>
        <w:t>section</w:t>
      </w:r>
      <w:r>
        <w:rPr>
          <w:spacing w:val="-9"/>
          <w:sz w:val="18"/>
        </w:rPr>
        <w:t> </w:t>
      </w:r>
      <w:r>
        <w:rPr>
          <w:sz w:val="18"/>
        </w:rPr>
        <w:t>located</w:t>
      </w:r>
      <w:r>
        <w:rPr>
          <w:spacing w:val="-12"/>
          <w:sz w:val="18"/>
        </w:rPr>
        <w:t> </w:t>
      </w:r>
      <w:r>
        <w:rPr>
          <w:sz w:val="18"/>
        </w:rPr>
        <w:t>within</w:t>
      </w:r>
      <w:r>
        <w:rPr>
          <w:spacing w:val="-10"/>
          <w:sz w:val="18"/>
        </w:rPr>
        <w:t> </w:t>
      </w:r>
      <w:r>
        <w:rPr>
          <w:sz w:val="18"/>
        </w:rPr>
        <w:t>this</w:t>
      </w:r>
      <w:r>
        <w:rPr>
          <w:spacing w:val="-10"/>
          <w:sz w:val="18"/>
        </w:rPr>
        <w:t> </w:t>
      </w:r>
      <w:r>
        <w:rPr>
          <w:sz w:val="18"/>
        </w:rPr>
        <w:t>report.</w:t>
      </w:r>
      <w:r>
        <w:rPr>
          <w:spacing w:val="-10"/>
          <w:sz w:val="18"/>
        </w:rPr>
        <w:t> </w:t>
      </w:r>
      <w:r>
        <w:rPr>
          <w:sz w:val="18"/>
        </w:rPr>
        <w:t>Reliance</w:t>
      </w:r>
      <w:r>
        <w:rPr>
          <w:spacing w:val="-12"/>
          <w:sz w:val="18"/>
        </w:rPr>
        <w:t> </w:t>
      </w:r>
      <w:r>
        <w:rPr>
          <w:sz w:val="18"/>
        </w:rPr>
        <w:t>on</w:t>
      </w:r>
      <w:r>
        <w:rPr>
          <w:spacing w:val="-10"/>
          <w:sz w:val="18"/>
        </w:rPr>
        <w:t> </w:t>
      </w:r>
      <w:r>
        <w:rPr>
          <w:sz w:val="18"/>
        </w:rPr>
        <w:t>this</w:t>
      </w:r>
      <w:r>
        <w:rPr>
          <w:spacing w:val="-10"/>
          <w:sz w:val="18"/>
        </w:rPr>
        <w:t> </w:t>
      </w:r>
      <w:r>
        <w:rPr>
          <w:sz w:val="18"/>
        </w:rPr>
        <w:t>report</w:t>
      </w:r>
      <w:r>
        <w:rPr>
          <w:spacing w:val="-11"/>
          <w:sz w:val="18"/>
        </w:rPr>
        <w:t> </w:t>
      </w:r>
      <w:r>
        <w:rPr>
          <w:sz w:val="18"/>
        </w:rPr>
        <w:t>and extension</w:t>
      </w:r>
      <w:r>
        <w:rPr>
          <w:spacing w:val="-12"/>
          <w:sz w:val="18"/>
        </w:rPr>
        <w:t> </w:t>
      </w:r>
      <w:r>
        <w:rPr>
          <w:sz w:val="18"/>
        </w:rPr>
        <w:t>of</w:t>
      </w:r>
      <w:r>
        <w:rPr>
          <w:spacing w:val="-13"/>
          <w:sz w:val="18"/>
        </w:rPr>
        <w:t> </w:t>
      </w:r>
      <w:r>
        <w:rPr>
          <w:sz w:val="18"/>
        </w:rPr>
        <w:t>our</w:t>
      </w:r>
      <w:r>
        <w:rPr>
          <w:spacing w:val="-13"/>
          <w:sz w:val="18"/>
        </w:rPr>
        <w:t> </w:t>
      </w:r>
      <w:r>
        <w:rPr>
          <w:sz w:val="18"/>
        </w:rPr>
        <w:t>liability</w:t>
      </w:r>
      <w:r>
        <w:rPr>
          <w:spacing w:val="-13"/>
          <w:sz w:val="18"/>
        </w:rPr>
        <w:t> </w:t>
      </w:r>
      <w:r>
        <w:rPr>
          <w:sz w:val="18"/>
        </w:rPr>
        <w:t>is</w:t>
      </w:r>
      <w:r>
        <w:rPr>
          <w:spacing w:val="-11"/>
          <w:sz w:val="18"/>
        </w:rPr>
        <w:t> </w:t>
      </w:r>
      <w:r>
        <w:rPr>
          <w:sz w:val="18"/>
        </w:rPr>
        <w:t>conditional</w:t>
      </w:r>
      <w:r>
        <w:rPr>
          <w:spacing w:val="-13"/>
          <w:sz w:val="18"/>
        </w:rPr>
        <w:t> </w:t>
      </w:r>
      <w:r>
        <w:rPr>
          <w:sz w:val="18"/>
        </w:rPr>
        <w:t>upon</w:t>
      </w:r>
      <w:r>
        <w:rPr>
          <w:spacing w:val="-13"/>
          <w:sz w:val="18"/>
        </w:rPr>
        <w:t> </w:t>
      </w:r>
      <w:r>
        <w:rPr>
          <w:sz w:val="18"/>
        </w:rPr>
        <w:t>the</w:t>
      </w:r>
      <w:r>
        <w:rPr>
          <w:spacing w:val="-12"/>
          <w:sz w:val="18"/>
        </w:rPr>
        <w:t> </w:t>
      </w:r>
      <w:r>
        <w:rPr>
          <w:sz w:val="18"/>
        </w:rPr>
        <w:t>reader’s</w:t>
      </w:r>
      <w:r>
        <w:rPr>
          <w:spacing w:val="-11"/>
          <w:sz w:val="18"/>
        </w:rPr>
        <w:t> </w:t>
      </w:r>
      <w:r>
        <w:rPr>
          <w:sz w:val="18"/>
        </w:rPr>
        <w:t>acknowledgement</w:t>
      </w:r>
      <w:r>
        <w:rPr>
          <w:spacing w:val="-14"/>
          <w:sz w:val="18"/>
        </w:rPr>
        <w:t> </w:t>
      </w:r>
      <w:r>
        <w:rPr>
          <w:sz w:val="18"/>
        </w:rPr>
        <w:t>and</w:t>
      </w:r>
      <w:r>
        <w:rPr>
          <w:spacing w:val="-12"/>
          <w:sz w:val="18"/>
        </w:rPr>
        <w:t> </w:t>
      </w:r>
      <w:r>
        <w:rPr>
          <w:sz w:val="18"/>
        </w:rPr>
        <w:t>understanding</w:t>
      </w:r>
      <w:r>
        <w:rPr>
          <w:spacing w:val="-12"/>
          <w:sz w:val="18"/>
        </w:rPr>
        <w:t> </w:t>
      </w:r>
      <w:r>
        <w:rPr>
          <w:sz w:val="18"/>
        </w:rPr>
        <w:t>of</w:t>
      </w:r>
      <w:r>
        <w:rPr>
          <w:spacing w:val="-13"/>
          <w:sz w:val="18"/>
        </w:rPr>
        <w:t> </w:t>
      </w:r>
      <w:r>
        <w:rPr>
          <w:sz w:val="18"/>
        </w:rPr>
        <w:t>these statements.</w:t>
      </w:r>
      <w:r>
        <w:rPr>
          <w:spacing w:val="-22"/>
          <w:sz w:val="18"/>
        </w:rPr>
        <w:t> </w:t>
      </w:r>
      <w:r>
        <w:rPr>
          <w:sz w:val="18"/>
        </w:rPr>
        <w:t>This</w:t>
      </w:r>
      <w:r>
        <w:rPr>
          <w:spacing w:val="-21"/>
          <w:sz w:val="18"/>
        </w:rPr>
        <w:t> </w:t>
      </w:r>
      <w:r>
        <w:rPr>
          <w:sz w:val="18"/>
        </w:rPr>
        <w:t>valuation</w:t>
      </w:r>
      <w:r>
        <w:rPr>
          <w:spacing w:val="-21"/>
          <w:sz w:val="18"/>
        </w:rPr>
        <w:t> </w:t>
      </w:r>
      <w:r>
        <w:rPr>
          <w:sz w:val="18"/>
        </w:rPr>
        <w:t>is</w:t>
      </w:r>
      <w:r>
        <w:rPr>
          <w:spacing w:val="-21"/>
          <w:sz w:val="18"/>
        </w:rPr>
        <w:t> </w:t>
      </w:r>
      <w:r>
        <w:rPr>
          <w:sz w:val="18"/>
        </w:rPr>
        <w:t>for</w:t>
      </w:r>
      <w:r>
        <w:rPr>
          <w:spacing w:val="-24"/>
          <w:sz w:val="18"/>
        </w:rPr>
        <w:t> </w:t>
      </w:r>
      <w:r>
        <w:rPr>
          <w:sz w:val="18"/>
        </w:rPr>
        <w:t>the</w:t>
      </w:r>
      <w:r>
        <w:rPr>
          <w:spacing w:val="-20"/>
          <w:sz w:val="18"/>
        </w:rPr>
        <w:t> </w:t>
      </w:r>
      <w:r>
        <w:rPr>
          <w:sz w:val="18"/>
        </w:rPr>
        <w:t>use</w:t>
      </w:r>
      <w:r>
        <w:rPr>
          <w:spacing w:val="-20"/>
          <w:sz w:val="18"/>
        </w:rPr>
        <w:t> </w:t>
      </w:r>
      <w:r>
        <w:rPr>
          <w:sz w:val="18"/>
        </w:rPr>
        <w:t>of</w:t>
      </w:r>
      <w:r>
        <w:rPr>
          <w:spacing w:val="-21"/>
          <w:sz w:val="18"/>
        </w:rPr>
        <w:t> </w:t>
      </w:r>
      <w:r>
        <w:rPr>
          <w:sz w:val="18"/>
        </w:rPr>
        <w:t>the</w:t>
      </w:r>
      <w:r>
        <w:rPr>
          <w:spacing w:val="-21"/>
          <w:sz w:val="18"/>
        </w:rPr>
        <w:t> </w:t>
      </w:r>
      <w:r>
        <w:rPr>
          <w:sz w:val="18"/>
        </w:rPr>
        <w:t>party</w:t>
      </w:r>
      <w:r>
        <w:rPr>
          <w:spacing w:val="-21"/>
          <w:sz w:val="18"/>
        </w:rPr>
        <w:t> </w:t>
      </w:r>
      <w:r>
        <w:rPr>
          <w:sz w:val="18"/>
        </w:rPr>
        <w:t>to</w:t>
      </w:r>
      <w:r>
        <w:rPr>
          <w:spacing w:val="-20"/>
          <w:sz w:val="18"/>
        </w:rPr>
        <w:t> </w:t>
      </w:r>
      <w:r>
        <w:rPr>
          <w:sz w:val="18"/>
        </w:rPr>
        <w:t>whom</w:t>
      </w:r>
      <w:r>
        <w:rPr>
          <w:spacing w:val="-21"/>
          <w:sz w:val="18"/>
        </w:rPr>
        <w:t> </w:t>
      </w:r>
      <w:r>
        <w:rPr>
          <w:sz w:val="18"/>
        </w:rPr>
        <w:t>it</w:t>
      </w:r>
      <w:r>
        <w:rPr>
          <w:spacing w:val="-24"/>
          <w:sz w:val="18"/>
        </w:rPr>
        <w:t> </w:t>
      </w:r>
      <w:r>
        <w:rPr>
          <w:sz w:val="18"/>
        </w:rPr>
        <w:t>is</w:t>
      </w:r>
      <w:r>
        <w:rPr>
          <w:spacing w:val="-21"/>
          <w:sz w:val="18"/>
        </w:rPr>
        <w:t> </w:t>
      </w:r>
      <w:r>
        <w:rPr>
          <w:sz w:val="18"/>
        </w:rPr>
        <w:t>addressed</w:t>
      </w:r>
      <w:r>
        <w:rPr>
          <w:spacing w:val="-22"/>
          <w:sz w:val="18"/>
        </w:rPr>
        <w:t> </w:t>
      </w:r>
      <w:r>
        <w:rPr>
          <w:sz w:val="18"/>
        </w:rPr>
        <w:t>and</w:t>
      </w:r>
      <w:r>
        <w:rPr>
          <w:spacing w:val="-21"/>
          <w:sz w:val="18"/>
        </w:rPr>
        <w:t> </w:t>
      </w:r>
      <w:r>
        <w:rPr>
          <w:sz w:val="18"/>
        </w:rPr>
        <w:t>for</w:t>
      </w:r>
      <w:r>
        <w:rPr>
          <w:spacing w:val="-22"/>
          <w:sz w:val="18"/>
        </w:rPr>
        <w:t> </w:t>
      </w:r>
      <w:r>
        <w:rPr>
          <w:sz w:val="18"/>
        </w:rPr>
        <w:t>no</w:t>
      </w:r>
      <w:r>
        <w:rPr>
          <w:spacing w:val="-21"/>
          <w:sz w:val="18"/>
        </w:rPr>
        <w:t> </w:t>
      </w:r>
      <w:r>
        <w:rPr>
          <w:sz w:val="18"/>
        </w:rPr>
        <w:t>other</w:t>
      </w:r>
      <w:r>
        <w:rPr>
          <w:spacing w:val="-23"/>
          <w:sz w:val="18"/>
        </w:rPr>
        <w:t> </w:t>
      </w:r>
      <w:r>
        <w:rPr>
          <w:sz w:val="18"/>
        </w:rPr>
        <w:t>purpose.</w:t>
      </w:r>
      <w:r>
        <w:rPr>
          <w:spacing w:val="-21"/>
          <w:sz w:val="18"/>
        </w:rPr>
        <w:t> </w:t>
      </w:r>
      <w:r>
        <w:rPr>
          <w:sz w:val="18"/>
        </w:rPr>
        <w:t>No responsibility</w:t>
      </w:r>
      <w:r>
        <w:rPr>
          <w:spacing w:val="-23"/>
          <w:sz w:val="18"/>
        </w:rPr>
        <w:t> </w:t>
      </w:r>
      <w:r>
        <w:rPr>
          <w:sz w:val="18"/>
        </w:rPr>
        <w:t>is</w:t>
      </w:r>
      <w:r>
        <w:rPr>
          <w:spacing w:val="-23"/>
          <w:sz w:val="18"/>
        </w:rPr>
        <w:t> </w:t>
      </w:r>
      <w:r>
        <w:rPr>
          <w:sz w:val="18"/>
        </w:rPr>
        <w:t>accepted</w:t>
      </w:r>
      <w:r>
        <w:rPr>
          <w:spacing w:val="-23"/>
          <w:sz w:val="18"/>
        </w:rPr>
        <w:t> </w:t>
      </w:r>
      <w:r>
        <w:rPr>
          <w:sz w:val="18"/>
        </w:rPr>
        <w:t>to</w:t>
      </w:r>
      <w:r>
        <w:rPr>
          <w:spacing w:val="-23"/>
          <w:sz w:val="18"/>
        </w:rPr>
        <w:t> </w:t>
      </w:r>
      <w:r>
        <w:rPr>
          <w:sz w:val="18"/>
        </w:rPr>
        <w:t>any</w:t>
      </w:r>
      <w:r>
        <w:rPr>
          <w:spacing w:val="-23"/>
          <w:sz w:val="18"/>
        </w:rPr>
        <w:t> </w:t>
      </w:r>
      <w:r>
        <w:rPr>
          <w:sz w:val="18"/>
        </w:rPr>
        <w:t>third</w:t>
      </w:r>
      <w:r>
        <w:rPr>
          <w:spacing w:val="-22"/>
          <w:sz w:val="18"/>
        </w:rPr>
        <w:t> </w:t>
      </w:r>
      <w:r>
        <w:rPr>
          <w:sz w:val="18"/>
        </w:rPr>
        <w:t>party</w:t>
      </w:r>
      <w:r>
        <w:rPr>
          <w:spacing w:val="-20"/>
          <w:sz w:val="18"/>
        </w:rPr>
        <w:t> </w:t>
      </w:r>
      <w:r>
        <w:rPr>
          <w:sz w:val="18"/>
        </w:rPr>
        <w:t>who</w:t>
      </w:r>
      <w:r>
        <w:rPr>
          <w:spacing w:val="-23"/>
          <w:sz w:val="18"/>
        </w:rPr>
        <w:t> </w:t>
      </w:r>
      <w:r>
        <w:rPr>
          <w:sz w:val="18"/>
        </w:rPr>
        <w:t>may</w:t>
      </w:r>
      <w:r>
        <w:rPr>
          <w:spacing w:val="-23"/>
          <w:sz w:val="18"/>
        </w:rPr>
        <w:t> </w:t>
      </w:r>
      <w:r>
        <w:rPr>
          <w:sz w:val="18"/>
        </w:rPr>
        <w:t>use</w:t>
      </w:r>
      <w:r>
        <w:rPr>
          <w:spacing w:val="-23"/>
          <w:sz w:val="18"/>
        </w:rPr>
        <w:t> </w:t>
      </w:r>
      <w:r>
        <w:rPr>
          <w:sz w:val="18"/>
        </w:rPr>
        <w:t>or</w:t>
      </w:r>
      <w:r>
        <w:rPr>
          <w:spacing w:val="-23"/>
          <w:sz w:val="18"/>
        </w:rPr>
        <w:t> </w:t>
      </w:r>
      <w:r>
        <w:rPr>
          <w:sz w:val="18"/>
        </w:rPr>
        <w:t>rely</w:t>
      </w:r>
      <w:r>
        <w:rPr>
          <w:spacing w:val="-24"/>
          <w:sz w:val="18"/>
        </w:rPr>
        <w:t> </w:t>
      </w:r>
      <w:r>
        <w:rPr>
          <w:sz w:val="18"/>
        </w:rPr>
        <w:t>on</w:t>
      </w:r>
      <w:r>
        <w:rPr>
          <w:spacing w:val="-23"/>
          <w:sz w:val="18"/>
        </w:rPr>
        <w:t> </w:t>
      </w:r>
      <w:r>
        <w:rPr>
          <w:sz w:val="18"/>
        </w:rPr>
        <w:t>the</w:t>
      </w:r>
      <w:r>
        <w:rPr>
          <w:spacing w:val="-22"/>
          <w:sz w:val="18"/>
        </w:rPr>
        <w:t> </w:t>
      </w:r>
      <w:r>
        <w:rPr>
          <w:sz w:val="18"/>
        </w:rPr>
        <w:t>whole</w:t>
      </w:r>
      <w:r>
        <w:rPr>
          <w:spacing w:val="-23"/>
          <w:sz w:val="18"/>
        </w:rPr>
        <w:t> </w:t>
      </w:r>
      <w:r>
        <w:rPr>
          <w:sz w:val="18"/>
        </w:rPr>
        <w:t>or</w:t>
      </w:r>
      <w:r>
        <w:rPr>
          <w:spacing w:val="-24"/>
          <w:sz w:val="18"/>
        </w:rPr>
        <w:t> </w:t>
      </w:r>
      <w:r>
        <w:rPr>
          <w:sz w:val="18"/>
        </w:rPr>
        <w:t>any</w:t>
      </w:r>
      <w:r>
        <w:rPr>
          <w:spacing w:val="-23"/>
          <w:sz w:val="18"/>
        </w:rPr>
        <w:t> </w:t>
      </w:r>
      <w:r>
        <w:rPr>
          <w:sz w:val="18"/>
        </w:rPr>
        <w:t>part</w:t>
      </w:r>
      <w:r>
        <w:rPr>
          <w:spacing w:val="-22"/>
          <w:sz w:val="18"/>
        </w:rPr>
        <w:t> </w:t>
      </w:r>
      <w:r>
        <w:rPr>
          <w:sz w:val="18"/>
        </w:rPr>
        <w:t>of</w:t>
      </w:r>
      <w:r>
        <w:rPr>
          <w:spacing w:val="-23"/>
          <w:sz w:val="18"/>
        </w:rPr>
        <w:t> </w:t>
      </w:r>
      <w:r>
        <w:rPr>
          <w:sz w:val="18"/>
        </w:rPr>
        <w:t>the</w:t>
      </w:r>
      <w:r>
        <w:rPr>
          <w:spacing w:val="-22"/>
          <w:sz w:val="18"/>
        </w:rPr>
        <w:t> </w:t>
      </w:r>
      <w:r>
        <w:rPr>
          <w:sz w:val="18"/>
        </w:rPr>
        <w:t>content</w:t>
      </w:r>
      <w:r>
        <w:rPr>
          <w:spacing w:val="-24"/>
          <w:sz w:val="18"/>
        </w:rPr>
        <w:t> </w:t>
      </w:r>
      <w:r>
        <w:rPr>
          <w:sz w:val="18"/>
        </w:rPr>
        <w:t>of this</w:t>
      </w:r>
      <w:r>
        <w:rPr>
          <w:spacing w:val="-13"/>
          <w:sz w:val="18"/>
        </w:rPr>
        <w:t> </w:t>
      </w:r>
      <w:r>
        <w:rPr>
          <w:sz w:val="18"/>
        </w:rPr>
        <w:t>valuation.</w:t>
      </w:r>
      <w:r>
        <w:rPr>
          <w:spacing w:val="-13"/>
          <w:sz w:val="18"/>
        </w:rPr>
        <w:t> </w:t>
      </w:r>
      <w:r>
        <w:rPr>
          <w:sz w:val="18"/>
        </w:rPr>
        <w:t>The</w:t>
      </w:r>
      <w:r>
        <w:rPr>
          <w:spacing w:val="-13"/>
          <w:sz w:val="18"/>
        </w:rPr>
        <w:t> </w:t>
      </w:r>
      <w:r>
        <w:rPr>
          <w:sz w:val="18"/>
        </w:rPr>
        <w:t>valuer</w:t>
      </w:r>
      <w:r>
        <w:rPr>
          <w:spacing w:val="-13"/>
          <w:sz w:val="18"/>
        </w:rPr>
        <w:t> </w:t>
      </w:r>
      <w:r>
        <w:rPr>
          <w:sz w:val="18"/>
        </w:rPr>
        <w:t>has</w:t>
      </w:r>
      <w:r>
        <w:rPr>
          <w:spacing w:val="-14"/>
          <w:sz w:val="18"/>
        </w:rPr>
        <w:t> </w:t>
      </w:r>
      <w:r>
        <w:rPr>
          <w:sz w:val="18"/>
        </w:rPr>
        <w:t>no</w:t>
      </w:r>
      <w:r>
        <w:rPr>
          <w:spacing w:val="-13"/>
          <w:sz w:val="18"/>
        </w:rPr>
        <w:t> </w:t>
      </w:r>
      <w:r>
        <w:rPr>
          <w:sz w:val="18"/>
        </w:rPr>
        <w:t>pecuniary</w:t>
      </w:r>
      <w:r>
        <w:rPr>
          <w:spacing w:val="-12"/>
          <w:sz w:val="18"/>
        </w:rPr>
        <w:t> </w:t>
      </w:r>
      <w:r>
        <w:rPr>
          <w:sz w:val="18"/>
        </w:rPr>
        <w:t>interest</w:t>
      </w:r>
      <w:r>
        <w:rPr>
          <w:spacing w:val="-14"/>
          <w:sz w:val="18"/>
        </w:rPr>
        <w:t> </w:t>
      </w:r>
      <w:r>
        <w:rPr>
          <w:sz w:val="18"/>
        </w:rPr>
        <w:t>that</w:t>
      </w:r>
      <w:r>
        <w:rPr>
          <w:spacing w:val="-13"/>
          <w:sz w:val="18"/>
        </w:rPr>
        <w:t> </w:t>
      </w:r>
      <w:r>
        <w:rPr>
          <w:sz w:val="18"/>
        </w:rPr>
        <w:t>would</w:t>
      </w:r>
      <w:r>
        <w:rPr>
          <w:spacing w:val="-13"/>
          <w:sz w:val="18"/>
        </w:rPr>
        <w:t> </w:t>
      </w:r>
      <w:r>
        <w:rPr>
          <w:sz w:val="18"/>
        </w:rPr>
        <w:t>conflict</w:t>
      </w:r>
      <w:r>
        <w:rPr>
          <w:spacing w:val="-13"/>
          <w:sz w:val="18"/>
        </w:rPr>
        <w:t> </w:t>
      </w:r>
      <w:r>
        <w:rPr>
          <w:sz w:val="18"/>
        </w:rPr>
        <w:t>with</w:t>
      </w:r>
      <w:r>
        <w:rPr>
          <w:spacing w:val="-13"/>
          <w:sz w:val="18"/>
        </w:rPr>
        <w:t> </w:t>
      </w:r>
      <w:r>
        <w:rPr>
          <w:sz w:val="18"/>
        </w:rPr>
        <w:t>the</w:t>
      </w:r>
      <w:r>
        <w:rPr>
          <w:spacing w:val="-12"/>
          <w:sz w:val="18"/>
        </w:rPr>
        <w:t> </w:t>
      </w:r>
      <w:r>
        <w:rPr>
          <w:sz w:val="18"/>
        </w:rPr>
        <w:t>proper</w:t>
      </w:r>
      <w:r>
        <w:rPr>
          <w:spacing w:val="-13"/>
          <w:sz w:val="18"/>
        </w:rPr>
        <w:t> </w:t>
      </w:r>
      <w:r>
        <w:rPr>
          <w:sz w:val="18"/>
        </w:rPr>
        <w:t>valuation</w:t>
      </w:r>
      <w:r>
        <w:rPr>
          <w:spacing w:val="-13"/>
          <w:sz w:val="18"/>
        </w:rPr>
        <w:t> </w:t>
      </w:r>
      <w:r>
        <w:rPr>
          <w:sz w:val="18"/>
        </w:rPr>
        <w:t>of</w:t>
      </w:r>
      <w:r>
        <w:rPr>
          <w:spacing w:val="-12"/>
          <w:sz w:val="18"/>
        </w:rPr>
        <w:t> </w:t>
      </w:r>
      <w:r>
        <w:rPr>
          <w:sz w:val="18"/>
        </w:rPr>
        <w:t>the property.</w:t>
      </w:r>
    </w:p>
    <w:p>
      <w:pPr>
        <w:spacing w:after="0" w:line="321" w:lineRule="auto"/>
        <w:jc w:val="both"/>
        <w:rPr>
          <w:sz w:val="18"/>
        </w:rPr>
        <w:sectPr>
          <w:type w:val="continuous"/>
          <w:pgSz w:w="11910" w:h="16840"/>
          <w:pgMar w:top="800" w:bottom="280" w:left="440" w:right="80"/>
          <w:cols w:num="2" w:equalWidth="0">
            <w:col w:w="2410" w:space="40"/>
            <w:col w:w="8940"/>
          </w:cols>
        </w:sectPr>
      </w:pPr>
    </w:p>
    <w:p>
      <w:pPr>
        <w:pStyle w:val="BodyText"/>
        <w:spacing w:before="5"/>
      </w:pPr>
    </w:p>
    <w:p>
      <w:pPr>
        <w:pStyle w:val="ListParagraph"/>
        <w:numPr>
          <w:ilvl w:val="1"/>
          <w:numId w:val="26"/>
        </w:numPr>
        <w:tabs>
          <w:tab w:pos="856" w:val="left" w:leader="none"/>
          <w:tab w:pos="857" w:val="left" w:leader="none"/>
        </w:tabs>
        <w:spacing w:line="240" w:lineRule="auto" w:before="106" w:after="0"/>
        <w:ind w:left="856" w:right="0" w:hanging="577"/>
        <w:jc w:val="left"/>
        <w:rPr>
          <w:sz w:val="22"/>
        </w:rPr>
      </w:pPr>
      <w:bookmarkStart w:name="_bookmark36" w:id="72"/>
      <w:bookmarkEnd w:id="72"/>
      <w:r>
        <w:rPr/>
      </w:r>
      <w:bookmarkStart w:name="_bookmark36" w:id="73"/>
      <w:bookmarkEnd w:id="73"/>
      <w:r>
        <w:rPr>
          <w:color w:val="1F6647"/>
          <w:w w:val="105"/>
          <w:sz w:val="22"/>
        </w:rPr>
        <w:t>E</w:t>
      </w:r>
      <w:r>
        <w:rPr>
          <w:color w:val="1F6647"/>
          <w:w w:val="105"/>
          <w:sz w:val="22"/>
        </w:rPr>
        <w:t>mbassy</w:t>
      </w:r>
      <w:r>
        <w:rPr>
          <w:color w:val="1F6647"/>
          <w:spacing w:val="-6"/>
          <w:w w:val="105"/>
          <w:sz w:val="22"/>
        </w:rPr>
        <w:t> </w:t>
      </w:r>
      <w:r>
        <w:rPr>
          <w:color w:val="1F6647"/>
          <w:w w:val="105"/>
          <w:sz w:val="22"/>
        </w:rPr>
        <w:t>Oxygen</w:t>
      </w:r>
    </w:p>
    <w:p>
      <w:pPr>
        <w:pStyle w:val="BodyText"/>
        <w:spacing w:before="9"/>
        <w:rPr>
          <w:sz w:val="29"/>
        </w:rPr>
      </w:pPr>
    </w:p>
    <w:p>
      <w:pPr>
        <w:tabs>
          <w:tab w:pos="2685" w:val="left" w:leader="none"/>
        </w:tabs>
        <w:spacing w:line="609" w:lineRule="auto" w:before="0"/>
        <w:ind w:left="505" w:right="1486" w:firstLine="0"/>
        <w:jc w:val="left"/>
        <w:rPr>
          <w:sz w:val="18"/>
        </w:rPr>
      </w:pPr>
      <w:r>
        <w:rPr>
          <w:color w:val="006A4D"/>
          <w:sz w:val="18"/>
        </w:rPr>
        <w:t>Property</w:t>
      </w:r>
      <w:r>
        <w:rPr>
          <w:color w:val="006A4D"/>
          <w:spacing w:val="-15"/>
          <w:sz w:val="18"/>
        </w:rPr>
        <w:t> </w:t>
      </w:r>
      <w:r>
        <w:rPr>
          <w:color w:val="006A4D"/>
          <w:sz w:val="18"/>
        </w:rPr>
        <w:t>Name:</w:t>
        <w:tab/>
      </w:r>
      <w:r>
        <w:rPr>
          <w:sz w:val="18"/>
        </w:rPr>
        <w:t>‘Embassy</w:t>
      </w:r>
      <w:r>
        <w:rPr>
          <w:spacing w:val="-14"/>
          <w:sz w:val="18"/>
        </w:rPr>
        <w:t> </w:t>
      </w:r>
      <w:r>
        <w:rPr>
          <w:sz w:val="18"/>
        </w:rPr>
        <w:t>Oxygen’</w:t>
      </w:r>
      <w:r>
        <w:rPr>
          <w:spacing w:val="-16"/>
          <w:sz w:val="18"/>
        </w:rPr>
        <w:t> </w:t>
      </w:r>
      <w:r>
        <w:rPr>
          <w:sz w:val="18"/>
        </w:rPr>
        <w:t>is</w:t>
      </w:r>
      <w:r>
        <w:rPr>
          <w:spacing w:val="-14"/>
          <w:sz w:val="18"/>
        </w:rPr>
        <w:t> </w:t>
      </w:r>
      <w:r>
        <w:rPr>
          <w:sz w:val="18"/>
        </w:rPr>
        <w:t>an</w:t>
      </w:r>
      <w:r>
        <w:rPr>
          <w:spacing w:val="-14"/>
          <w:sz w:val="18"/>
        </w:rPr>
        <w:t> </w:t>
      </w:r>
      <w:r>
        <w:rPr>
          <w:sz w:val="18"/>
        </w:rPr>
        <w:t>operational</w:t>
      </w:r>
      <w:r>
        <w:rPr>
          <w:spacing w:val="-16"/>
          <w:sz w:val="18"/>
        </w:rPr>
        <w:t> </w:t>
      </w:r>
      <w:r>
        <w:rPr>
          <w:sz w:val="18"/>
        </w:rPr>
        <w:t>office</w:t>
      </w:r>
      <w:r>
        <w:rPr>
          <w:spacing w:val="-12"/>
          <w:sz w:val="18"/>
        </w:rPr>
        <w:t> </w:t>
      </w:r>
      <w:r>
        <w:rPr>
          <w:sz w:val="18"/>
        </w:rPr>
        <w:t>park</w:t>
      </w:r>
      <w:r>
        <w:rPr>
          <w:spacing w:val="-15"/>
          <w:sz w:val="18"/>
        </w:rPr>
        <w:t> </w:t>
      </w:r>
      <w:r>
        <w:rPr>
          <w:sz w:val="18"/>
        </w:rPr>
        <w:t>located</w:t>
      </w:r>
      <w:r>
        <w:rPr>
          <w:spacing w:val="-15"/>
          <w:sz w:val="18"/>
        </w:rPr>
        <w:t> </w:t>
      </w:r>
      <w:r>
        <w:rPr>
          <w:sz w:val="18"/>
        </w:rPr>
        <w:t>at</w:t>
      </w:r>
      <w:r>
        <w:rPr>
          <w:spacing w:val="-16"/>
          <w:sz w:val="18"/>
        </w:rPr>
        <w:t> </w:t>
      </w:r>
      <w:r>
        <w:rPr>
          <w:sz w:val="18"/>
        </w:rPr>
        <w:t>Sector</w:t>
      </w:r>
      <w:r>
        <w:rPr>
          <w:spacing w:val="-15"/>
          <w:sz w:val="18"/>
        </w:rPr>
        <w:t> </w:t>
      </w:r>
      <w:r>
        <w:rPr>
          <w:sz w:val="18"/>
        </w:rPr>
        <w:t>144,</w:t>
      </w:r>
      <w:r>
        <w:rPr>
          <w:spacing w:val="-14"/>
          <w:sz w:val="18"/>
        </w:rPr>
        <w:t> </w:t>
      </w:r>
      <w:r>
        <w:rPr>
          <w:sz w:val="18"/>
        </w:rPr>
        <w:t>Noida,</w:t>
      </w:r>
      <w:r>
        <w:rPr>
          <w:spacing w:val="-15"/>
          <w:sz w:val="18"/>
        </w:rPr>
        <w:t> </w:t>
      </w:r>
      <w:r>
        <w:rPr>
          <w:sz w:val="18"/>
        </w:rPr>
        <w:t>Uttar</w:t>
      </w:r>
      <w:r>
        <w:rPr>
          <w:spacing w:val="-15"/>
          <w:sz w:val="18"/>
        </w:rPr>
        <w:t> </w:t>
      </w:r>
      <w:r>
        <w:rPr>
          <w:sz w:val="18"/>
        </w:rPr>
        <w:t>Pradesh </w:t>
      </w:r>
      <w:r>
        <w:rPr>
          <w:color w:val="006A4D"/>
          <w:sz w:val="18"/>
        </w:rPr>
        <w:t>Property</w:t>
      </w:r>
      <w:r>
        <w:rPr>
          <w:color w:val="006A4D"/>
          <w:spacing w:val="-25"/>
          <w:sz w:val="18"/>
        </w:rPr>
        <w:t> </w:t>
      </w:r>
      <w:r>
        <w:rPr>
          <w:color w:val="006A4D"/>
          <w:sz w:val="18"/>
        </w:rPr>
        <w:t>Address:</w:t>
        <w:tab/>
      </w:r>
      <w:r>
        <w:rPr>
          <w:sz w:val="18"/>
        </w:rPr>
        <w:t>Plot No. </w:t>
      </w:r>
      <w:r>
        <w:rPr>
          <w:w w:val="105"/>
          <w:sz w:val="18"/>
        </w:rPr>
        <w:t>– </w:t>
      </w:r>
      <w:r>
        <w:rPr>
          <w:sz w:val="18"/>
        </w:rPr>
        <w:t>07, Sector 144, Noida, Uttar Pradesh,</w:t>
      </w:r>
      <w:r>
        <w:rPr>
          <w:spacing w:val="-26"/>
          <w:sz w:val="18"/>
        </w:rPr>
        <w:t> </w:t>
      </w:r>
      <w:r>
        <w:rPr>
          <w:sz w:val="18"/>
        </w:rPr>
        <w:t>India</w:t>
      </w:r>
    </w:p>
    <w:p>
      <w:pPr>
        <w:tabs>
          <w:tab w:pos="2685" w:val="left" w:leader="none"/>
        </w:tabs>
        <w:spacing w:line="321" w:lineRule="auto" w:before="0"/>
        <w:ind w:left="2685" w:right="554" w:hanging="2180"/>
        <w:jc w:val="both"/>
        <w:rPr>
          <w:sz w:val="18"/>
        </w:rPr>
      </w:pPr>
      <w:r>
        <w:rPr>
          <w:color w:val="006A4D"/>
          <w:sz w:val="18"/>
        </w:rPr>
        <w:t>Land</w:t>
      </w:r>
      <w:r>
        <w:rPr>
          <w:color w:val="006A4D"/>
          <w:spacing w:val="-4"/>
          <w:sz w:val="18"/>
        </w:rPr>
        <w:t> </w:t>
      </w:r>
      <w:r>
        <w:rPr>
          <w:color w:val="006A4D"/>
          <w:sz w:val="18"/>
        </w:rPr>
        <w:t>Area:</w:t>
        <w:tab/>
      </w:r>
      <w:r>
        <w:rPr>
          <w:sz w:val="18"/>
        </w:rPr>
        <w:t>Based</w:t>
      </w:r>
      <w:r>
        <w:rPr>
          <w:spacing w:val="-23"/>
          <w:sz w:val="18"/>
        </w:rPr>
        <w:t> </w:t>
      </w:r>
      <w:r>
        <w:rPr>
          <w:sz w:val="18"/>
        </w:rPr>
        <w:t>on</w:t>
      </w:r>
      <w:r>
        <w:rPr>
          <w:spacing w:val="-24"/>
          <w:sz w:val="18"/>
        </w:rPr>
        <w:t> </w:t>
      </w:r>
      <w:r>
        <w:rPr>
          <w:sz w:val="18"/>
        </w:rPr>
        <w:t>review</w:t>
      </w:r>
      <w:r>
        <w:rPr>
          <w:spacing w:val="-23"/>
          <w:sz w:val="18"/>
        </w:rPr>
        <w:t> </w:t>
      </w:r>
      <w:r>
        <w:rPr>
          <w:sz w:val="18"/>
        </w:rPr>
        <w:t>of</w:t>
      </w:r>
      <w:r>
        <w:rPr>
          <w:spacing w:val="-24"/>
          <w:sz w:val="18"/>
        </w:rPr>
        <w:t> </w:t>
      </w:r>
      <w:r>
        <w:rPr>
          <w:sz w:val="18"/>
        </w:rPr>
        <w:t>the</w:t>
      </w:r>
      <w:r>
        <w:rPr>
          <w:spacing w:val="-23"/>
          <w:sz w:val="18"/>
        </w:rPr>
        <w:t> </w:t>
      </w:r>
      <w:r>
        <w:rPr>
          <w:sz w:val="18"/>
        </w:rPr>
        <w:t>title</w:t>
      </w:r>
      <w:r>
        <w:rPr>
          <w:spacing w:val="-23"/>
          <w:sz w:val="18"/>
        </w:rPr>
        <w:t> </w:t>
      </w:r>
      <w:r>
        <w:rPr>
          <w:sz w:val="18"/>
        </w:rPr>
        <w:t>report,</w:t>
      </w:r>
      <w:r>
        <w:rPr>
          <w:spacing w:val="-21"/>
          <w:sz w:val="18"/>
        </w:rPr>
        <w:t> </w:t>
      </w:r>
      <w:r>
        <w:rPr>
          <w:sz w:val="18"/>
        </w:rPr>
        <w:t>we</w:t>
      </w:r>
      <w:r>
        <w:rPr>
          <w:spacing w:val="-23"/>
          <w:sz w:val="18"/>
        </w:rPr>
        <w:t> </w:t>
      </w:r>
      <w:r>
        <w:rPr>
          <w:sz w:val="18"/>
        </w:rPr>
        <w:t>understand</w:t>
      </w:r>
      <w:r>
        <w:rPr>
          <w:spacing w:val="-23"/>
          <w:sz w:val="18"/>
        </w:rPr>
        <w:t> </w:t>
      </w:r>
      <w:r>
        <w:rPr>
          <w:sz w:val="18"/>
        </w:rPr>
        <w:t>that</w:t>
      </w:r>
      <w:r>
        <w:rPr>
          <w:spacing w:val="-23"/>
          <w:sz w:val="18"/>
        </w:rPr>
        <w:t> </w:t>
      </w:r>
      <w:r>
        <w:rPr>
          <w:sz w:val="18"/>
        </w:rPr>
        <w:t>the</w:t>
      </w:r>
      <w:r>
        <w:rPr>
          <w:spacing w:val="-23"/>
          <w:sz w:val="18"/>
        </w:rPr>
        <w:t> </w:t>
      </w:r>
      <w:r>
        <w:rPr>
          <w:sz w:val="18"/>
        </w:rPr>
        <w:t>total</w:t>
      </w:r>
      <w:r>
        <w:rPr>
          <w:spacing w:val="-24"/>
          <w:sz w:val="18"/>
        </w:rPr>
        <w:t> </w:t>
      </w:r>
      <w:r>
        <w:rPr>
          <w:sz w:val="18"/>
        </w:rPr>
        <w:t>land</w:t>
      </w:r>
      <w:r>
        <w:rPr>
          <w:spacing w:val="-24"/>
          <w:sz w:val="18"/>
        </w:rPr>
        <w:t> </w:t>
      </w:r>
      <w:r>
        <w:rPr>
          <w:sz w:val="18"/>
        </w:rPr>
        <w:t>area</w:t>
      </w:r>
      <w:r>
        <w:rPr>
          <w:spacing w:val="-23"/>
          <w:sz w:val="18"/>
        </w:rPr>
        <w:t> </w:t>
      </w:r>
      <w:r>
        <w:rPr>
          <w:sz w:val="18"/>
        </w:rPr>
        <w:t>of</w:t>
      </w:r>
      <w:r>
        <w:rPr>
          <w:spacing w:val="-24"/>
          <w:sz w:val="18"/>
        </w:rPr>
        <w:t> </w:t>
      </w:r>
      <w:r>
        <w:rPr>
          <w:sz w:val="18"/>
        </w:rPr>
        <w:t>the</w:t>
      </w:r>
      <w:r>
        <w:rPr>
          <w:spacing w:val="-23"/>
          <w:sz w:val="18"/>
        </w:rPr>
        <w:t> </w:t>
      </w:r>
      <w:r>
        <w:rPr>
          <w:sz w:val="18"/>
        </w:rPr>
        <w:t>subject</w:t>
      </w:r>
      <w:r>
        <w:rPr>
          <w:spacing w:val="-24"/>
          <w:sz w:val="18"/>
        </w:rPr>
        <w:t> </w:t>
      </w:r>
      <w:r>
        <w:rPr>
          <w:sz w:val="18"/>
        </w:rPr>
        <w:t>property</w:t>
      </w:r>
      <w:r>
        <w:rPr>
          <w:spacing w:val="-23"/>
          <w:sz w:val="18"/>
        </w:rPr>
        <w:t> </w:t>
      </w:r>
      <w:r>
        <w:rPr>
          <w:sz w:val="18"/>
        </w:rPr>
        <w:t>under the ownership of the Client is approximately 24.83</w:t>
      </w:r>
      <w:r>
        <w:rPr>
          <w:spacing w:val="-26"/>
          <w:sz w:val="18"/>
        </w:rPr>
        <w:t> </w:t>
      </w:r>
      <w:r>
        <w:rPr>
          <w:sz w:val="18"/>
        </w:rPr>
        <w:t>acres</w:t>
      </w:r>
    </w:p>
    <w:p>
      <w:pPr>
        <w:pStyle w:val="BodyText"/>
        <w:spacing w:before="7"/>
        <w:rPr>
          <w:sz w:val="21"/>
        </w:rPr>
      </w:pPr>
    </w:p>
    <w:p>
      <w:pPr>
        <w:tabs>
          <w:tab w:pos="2685" w:val="left" w:leader="none"/>
        </w:tabs>
        <w:spacing w:line="321" w:lineRule="auto" w:before="0"/>
        <w:ind w:left="2685" w:right="544" w:hanging="2180"/>
        <w:jc w:val="both"/>
        <w:rPr>
          <w:sz w:val="18"/>
        </w:rPr>
      </w:pPr>
      <w:r>
        <w:rPr>
          <w:color w:val="006A4D"/>
          <w:sz w:val="18"/>
        </w:rPr>
        <w:t>Brief</w:t>
      </w:r>
      <w:r>
        <w:rPr>
          <w:color w:val="006A4D"/>
          <w:spacing w:val="-31"/>
          <w:sz w:val="18"/>
        </w:rPr>
        <w:t> </w:t>
      </w:r>
      <w:r>
        <w:rPr>
          <w:color w:val="006A4D"/>
          <w:sz w:val="18"/>
        </w:rPr>
        <w:t>Description:</w:t>
        <w:tab/>
      </w:r>
      <w:r>
        <w:rPr>
          <w:sz w:val="18"/>
        </w:rPr>
        <w:t>The</w:t>
      </w:r>
      <w:r>
        <w:rPr>
          <w:spacing w:val="-18"/>
          <w:sz w:val="18"/>
        </w:rPr>
        <w:t> </w:t>
      </w:r>
      <w:r>
        <w:rPr>
          <w:sz w:val="18"/>
        </w:rPr>
        <w:t>subject</w:t>
      </w:r>
      <w:r>
        <w:rPr>
          <w:spacing w:val="-20"/>
          <w:sz w:val="18"/>
        </w:rPr>
        <w:t> </w:t>
      </w:r>
      <w:r>
        <w:rPr>
          <w:sz w:val="18"/>
        </w:rPr>
        <w:t>property</w:t>
      </w:r>
      <w:r>
        <w:rPr>
          <w:spacing w:val="-19"/>
          <w:sz w:val="18"/>
        </w:rPr>
        <w:t> </w:t>
      </w:r>
      <w:r>
        <w:rPr>
          <w:sz w:val="18"/>
        </w:rPr>
        <w:t>“Embassy</w:t>
      </w:r>
      <w:r>
        <w:rPr>
          <w:spacing w:val="-20"/>
          <w:sz w:val="18"/>
        </w:rPr>
        <w:t> </w:t>
      </w:r>
      <w:r>
        <w:rPr>
          <w:sz w:val="18"/>
        </w:rPr>
        <w:t>Oxygen”</w:t>
      </w:r>
      <w:r>
        <w:rPr>
          <w:spacing w:val="-19"/>
          <w:sz w:val="18"/>
        </w:rPr>
        <w:t> </w:t>
      </w:r>
      <w:r>
        <w:rPr>
          <w:sz w:val="18"/>
        </w:rPr>
        <w:t>is</w:t>
      </w:r>
      <w:r>
        <w:rPr>
          <w:spacing w:val="-20"/>
          <w:sz w:val="18"/>
        </w:rPr>
        <w:t> </w:t>
      </w:r>
      <w:r>
        <w:rPr>
          <w:sz w:val="18"/>
        </w:rPr>
        <w:t>a</w:t>
      </w:r>
      <w:r>
        <w:rPr>
          <w:spacing w:val="-19"/>
          <w:sz w:val="18"/>
        </w:rPr>
        <w:t> </w:t>
      </w:r>
      <w:r>
        <w:rPr>
          <w:sz w:val="18"/>
        </w:rPr>
        <w:t>partly</w:t>
      </w:r>
      <w:r>
        <w:rPr>
          <w:spacing w:val="-20"/>
          <w:sz w:val="18"/>
        </w:rPr>
        <w:t> </w:t>
      </w:r>
      <w:r>
        <w:rPr>
          <w:sz w:val="18"/>
        </w:rPr>
        <w:t>operational</w:t>
      </w:r>
      <w:r>
        <w:rPr>
          <w:spacing w:val="-19"/>
          <w:sz w:val="18"/>
        </w:rPr>
        <w:t> </w:t>
      </w:r>
      <w:r>
        <w:rPr>
          <w:sz w:val="18"/>
        </w:rPr>
        <w:t>office</w:t>
      </w:r>
      <w:r>
        <w:rPr>
          <w:spacing w:val="-19"/>
          <w:sz w:val="18"/>
        </w:rPr>
        <w:t> </w:t>
      </w:r>
      <w:r>
        <w:rPr>
          <w:sz w:val="18"/>
        </w:rPr>
        <w:t>park,</w:t>
      </w:r>
      <w:r>
        <w:rPr>
          <w:spacing w:val="-19"/>
          <w:sz w:val="18"/>
        </w:rPr>
        <w:t> </w:t>
      </w:r>
      <w:r>
        <w:rPr>
          <w:sz w:val="18"/>
        </w:rPr>
        <w:t>leased</w:t>
      </w:r>
      <w:r>
        <w:rPr>
          <w:spacing w:val="-19"/>
          <w:sz w:val="18"/>
        </w:rPr>
        <w:t> </w:t>
      </w:r>
      <w:r>
        <w:rPr>
          <w:sz w:val="18"/>
        </w:rPr>
        <w:t>to</w:t>
      </w:r>
      <w:r>
        <w:rPr>
          <w:spacing w:val="-20"/>
          <w:sz w:val="18"/>
        </w:rPr>
        <w:t> </w:t>
      </w:r>
      <w:r>
        <w:rPr>
          <w:sz w:val="18"/>
        </w:rPr>
        <w:t>various</w:t>
      </w:r>
      <w:r>
        <w:rPr>
          <w:spacing w:val="-18"/>
          <w:sz w:val="18"/>
        </w:rPr>
        <w:t> </w:t>
      </w:r>
      <w:r>
        <w:rPr>
          <w:sz w:val="18"/>
        </w:rPr>
        <w:t>occupiers. The</w:t>
      </w:r>
      <w:r>
        <w:rPr>
          <w:spacing w:val="-14"/>
          <w:sz w:val="18"/>
        </w:rPr>
        <w:t> </w:t>
      </w:r>
      <w:r>
        <w:rPr>
          <w:sz w:val="18"/>
        </w:rPr>
        <w:t>subject</w:t>
      </w:r>
      <w:r>
        <w:rPr>
          <w:spacing w:val="-15"/>
          <w:sz w:val="18"/>
        </w:rPr>
        <w:t> </w:t>
      </w:r>
      <w:r>
        <w:rPr>
          <w:sz w:val="18"/>
        </w:rPr>
        <w:t>property</w:t>
      </w:r>
      <w:r>
        <w:rPr>
          <w:spacing w:val="-14"/>
          <w:sz w:val="18"/>
        </w:rPr>
        <w:t> </w:t>
      </w:r>
      <w:r>
        <w:rPr>
          <w:sz w:val="18"/>
        </w:rPr>
        <w:t>is</w:t>
      </w:r>
      <w:r>
        <w:rPr>
          <w:spacing w:val="-14"/>
          <w:sz w:val="18"/>
        </w:rPr>
        <w:t> </w:t>
      </w:r>
      <w:r>
        <w:rPr>
          <w:sz w:val="18"/>
        </w:rPr>
        <w:t>located</w:t>
      </w:r>
      <w:r>
        <w:rPr>
          <w:spacing w:val="-16"/>
          <w:sz w:val="18"/>
        </w:rPr>
        <w:t> </w:t>
      </w:r>
      <w:r>
        <w:rPr>
          <w:sz w:val="18"/>
        </w:rPr>
        <w:t>at</w:t>
      </w:r>
      <w:r>
        <w:rPr>
          <w:spacing w:val="-15"/>
          <w:sz w:val="18"/>
        </w:rPr>
        <w:t> </w:t>
      </w:r>
      <w:r>
        <w:rPr>
          <w:sz w:val="18"/>
        </w:rPr>
        <w:t>Sector</w:t>
      </w:r>
      <w:r>
        <w:rPr>
          <w:spacing w:val="-15"/>
          <w:sz w:val="18"/>
        </w:rPr>
        <w:t> </w:t>
      </w:r>
      <w:r>
        <w:rPr>
          <w:sz w:val="18"/>
        </w:rPr>
        <w:t>144,</w:t>
      </w:r>
      <w:r>
        <w:rPr>
          <w:spacing w:val="-14"/>
          <w:sz w:val="18"/>
        </w:rPr>
        <w:t> </w:t>
      </w:r>
      <w:r>
        <w:rPr>
          <w:sz w:val="18"/>
        </w:rPr>
        <w:t>Noida</w:t>
      </w:r>
      <w:r>
        <w:rPr>
          <w:spacing w:val="-14"/>
          <w:sz w:val="18"/>
        </w:rPr>
        <w:t> </w:t>
      </w:r>
      <w:r>
        <w:rPr>
          <w:sz w:val="18"/>
        </w:rPr>
        <w:t>in</w:t>
      </w:r>
      <w:r>
        <w:rPr>
          <w:spacing w:val="-15"/>
          <w:sz w:val="18"/>
        </w:rPr>
        <w:t> </w:t>
      </w:r>
      <w:r>
        <w:rPr>
          <w:sz w:val="18"/>
        </w:rPr>
        <w:t>proximity</w:t>
      </w:r>
      <w:r>
        <w:rPr>
          <w:spacing w:val="-14"/>
          <w:sz w:val="18"/>
        </w:rPr>
        <w:t> </w:t>
      </w:r>
      <w:r>
        <w:rPr>
          <w:sz w:val="18"/>
        </w:rPr>
        <w:t>to</w:t>
      </w:r>
      <w:r>
        <w:rPr>
          <w:spacing w:val="-14"/>
          <w:sz w:val="18"/>
        </w:rPr>
        <w:t> </w:t>
      </w:r>
      <w:r>
        <w:rPr>
          <w:sz w:val="18"/>
        </w:rPr>
        <w:t>Noida</w:t>
      </w:r>
      <w:r>
        <w:rPr>
          <w:spacing w:val="-9"/>
          <w:sz w:val="18"/>
        </w:rPr>
        <w:t> </w:t>
      </w:r>
      <w:r>
        <w:rPr>
          <w:w w:val="105"/>
          <w:sz w:val="18"/>
        </w:rPr>
        <w:t>–</w:t>
      </w:r>
      <w:r>
        <w:rPr>
          <w:spacing w:val="-16"/>
          <w:w w:val="105"/>
          <w:sz w:val="18"/>
        </w:rPr>
        <w:t> </w:t>
      </w:r>
      <w:r>
        <w:rPr>
          <w:sz w:val="18"/>
        </w:rPr>
        <w:t>Greater</w:t>
      </w:r>
      <w:r>
        <w:rPr>
          <w:spacing w:val="-15"/>
          <w:sz w:val="18"/>
        </w:rPr>
        <w:t> </w:t>
      </w:r>
      <w:r>
        <w:rPr>
          <w:sz w:val="18"/>
        </w:rPr>
        <w:t>Noida</w:t>
      </w:r>
      <w:r>
        <w:rPr>
          <w:spacing w:val="-14"/>
          <w:sz w:val="18"/>
        </w:rPr>
        <w:t> </w:t>
      </w:r>
      <w:r>
        <w:rPr>
          <w:sz w:val="18"/>
        </w:rPr>
        <w:t>Expressway, which</w:t>
      </w:r>
      <w:r>
        <w:rPr>
          <w:spacing w:val="-22"/>
          <w:sz w:val="18"/>
        </w:rPr>
        <w:t> </w:t>
      </w:r>
      <w:r>
        <w:rPr>
          <w:sz w:val="18"/>
        </w:rPr>
        <w:t>is</w:t>
      </w:r>
      <w:r>
        <w:rPr>
          <w:spacing w:val="-22"/>
          <w:sz w:val="18"/>
        </w:rPr>
        <w:t> </w:t>
      </w:r>
      <w:r>
        <w:rPr>
          <w:sz w:val="18"/>
        </w:rPr>
        <w:t>an</w:t>
      </w:r>
      <w:r>
        <w:rPr>
          <w:spacing w:val="-22"/>
          <w:sz w:val="18"/>
        </w:rPr>
        <w:t> </w:t>
      </w:r>
      <w:r>
        <w:rPr>
          <w:sz w:val="18"/>
        </w:rPr>
        <w:t>emerging</w:t>
      </w:r>
      <w:r>
        <w:rPr>
          <w:spacing w:val="-22"/>
          <w:sz w:val="18"/>
        </w:rPr>
        <w:t> </w:t>
      </w:r>
      <w:r>
        <w:rPr>
          <w:sz w:val="18"/>
        </w:rPr>
        <w:t>commercial</w:t>
      </w:r>
      <w:r>
        <w:rPr>
          <w:spacing w:val="-21"/>
          <w:sz w:val="18"/>
        </w:rPr>
        <w:t> </w:t>
      </w:r>
      <w:r>
        <w:rPr>
          <w:sz w:val="18"/>
        </w:rPr>
        <w:t>/</w:t>
      </w:r>
      <w:r>
        <w:rPr>
          <w:spacing w:val="-23"/>
          <w:sz w:val="18"/>
        </w:rPr>
        <w:t> </w:t>
      </w:r>
      <w:r>
        <w:rPr>
          <w:sz w:val="18"/>
        </w:rPr>
        <w:t>residential</w:t>
      </w:r>
      <w:r>
        <w:rPr>
          <w:spacing w:val="-21"/>
          <w:sz w:val="18"/>
        </w:rPr>
        <w:t> </w:t>
      </w:r>
      <w:r>
        <w:rPr>
          <w:sz w:val="18"/>
        </w:rPr>
        <w:t>vector</w:t>
      </w:r>
      <w:r>
        <w:rPr>
          <w:spacing w:val="-23"/>
          <w:sz w:val="18"/>
        </w:rPr>
        <w:t> </w:t>
      </w:r>
      <w:r>
        <w:rPr>
          <w:sz w:val="18"/>
        </w:rPr>
        <w:t>of</w:t>
      </w:r>
      <w:r>
        <w:rPr>
          <w:spacing w:val="-22"/>
          <w:sz w:val="18"/>
        </w:rPr>
        <w:t> </w:t>
      </w:r>
      <w:r>
        <w:rPr>
          <w:sz w:val="18"/>
        </w:rPr>
        <w:t>Noida.</w:t>
      </w:r>
      <w:r>
        <w:rPr>
          <w:spacing w:val="-22"/>
          <w:sz w:val="18"/>
        </w:rPr>
        <w:t> </w:t>
      </w:r>
      <w:r>
        <w:rPr>
          <w:sz w:val="18"/>
        </w:rPr>
        <w:t>The</w:t>
      </w:r>
      <w:r>
        <w:rPr>
          <w:spacing w:val="-21"/>
          <w:sz w:val="18"/>
        </w:rPr>
        <w:t> </w:t>
      </w:r>
      <w:r>
        <w:rPr>
          <w:sz w:val="18"/>
        </w:rPr>
        <w:t>property</w:t>
      </w:r>
      <w:r>
        <w:rPr>
          <w:spacing w:val="-22"/>
          <w:sz w:val="18"/>
        </w:rPr>
        <w:t> </w:t>
      </w:r>
      <w:r>
        <w:rPr>
          <w:sz w:val="18"/>
        </w:rPr>
        <w:t>is</w:t>
      </w:r>
      <w:r>
        <w:rPr>
          <w:spacing w:val="-22"/>
          <w:sz w:val="18"/>
        </w:rPr>
        <w:t> </w:t>
      </w:r>
      <w:r>
        <w:rPr>
          <w:sz w:val="18"/>
        </w:rPr>
        <w:t>a</w:t>
      </w:r>
      <w:r>
        <w:rPr>
          <w:spacing w:val="-21"/>
          <w:sz w:val="18"/>
        </w:rPr>
        <w:t> </w:t>
      </w:r>
      <w:r>
        <w:rPr>
          <w:sz w:val="18"/>
        </w:rPr>
        <w:t>two</w:t>
      </w:r>
      <w:r>
        <w:rPr>
          <w:spacing w:val="-21"/>
          <w:sz w:val="18"/>
        </w:rPr>
        <w:t> </w:t>
      </w:r>
      <w:r>
        <w:rPr>
          <w:sz w:val="18"/>
        </w:rPr>
        <w:t>side</w:t>
      </w:r>
      <w:r>
        <w:rPr>
          <w:spacing w:val="-22"/>
          <w:sz w:val="18"/>
        </w:rPr>
        <w:t> </w:t>
      </w:r>
      <w:r>
        <w:rPr>
          <w:sz w:val="18"/>
        </w:rPr>
        <w:t>open</w:t>
      </w:r>
      <w:r>
        <w:rPr>
          <w:spacing w:val="-22"/>
          <w:sz w:val="18"/>
        </w:rPr>
        <w:t> </w:t>
      </w:r>
      <w:r>
        <w:rPr>
          <w:sz w:val="18"/>
        </w:rPr>
        <w:t>plot</w:t>
      </w:r>
      <w:r>
        <w:rPr>
          <w:spacing w:val="-22"/>
          <w:sz w:val="18"/>
        </w:rPr>
        <w:t> </w:t>
      </w:r>
      <w:r>
        <w:rPr>
          <w:sz w:val="18"/>
        </w:rPr>
        <w:t>with accessibility</w:t>
      </w:r>
      <w:r>
        <w:rPr>
          <w:spacing w:val="-33"/>
          <w:sz w:val="18"/>
        </w:rPr>
        <w:t> </w:t>
      </w:r>
      <w:r>
        <w:rPr>
          <w:sz w:val="18"/>
        </w:rPr>
        <w:t>via</w:t>
      </w:r>
      <w:r>
        <w:rPr>
          <w:spacing w:val="-33"/>
          <w:sz w:val="18"/>
        </w:rPr>
        <w:t> </w:t>
      </w:r>
      <w:r>
        <w:rPr>
          <w:sz w:val="18"/>
        </w:rPr>
        <w:t>approximately</w:t>
      </w:r>
      <w:r>
        <w:rPr>
          <w:spacing w:val="-34"/>
          <w:sz w:val="18"/>
        </w:rPr>
        <w:t> </w:t>
      </w:r>
      <w:r>
        <w:rPr>
          <w:sz w:val="18"/>
        </w:rPr>
        <w:t>45</w:t>
      </w:r>
      <w:r>
        <w:rPr>
          <w:spacing w:val="-32"/>
          <w:sz w:val="18"/>
        </w:rPr>
        <w:t> </w:t>
      </w:r>
      <w:r>
        <w:rPr>
          <w:sz w:val="18"/>
        </w:rPr>
        <w:t>m</w:t>
      </w:r>
      <w:r>
        <w:rPr>
          <w:spacing w:val="-33"/>
          <w:sz w:val="18"/>
        </w:rPr>
        <w:t> </w:t>
      </w:r>
      <w:r>
        <w:rPr>
          <w:sz w:val="18"/>
        </w:rPr>
        <w:t>and</w:t>
      </w:r>
      <w:r>
        <w:rPr>
          <w:spacing w:val="-32"/>
          <w:sz w:val="18"/>
        </w:rPr>
        <w:t> </w:t>
      </w:r>
      <w:r>
        <w:rPr>
          <w:sz w:val="18"/>
        </w:rPr>
        <w:t>24</w:t>
      </w:r>
      <w:r>
        <w:rPr>
          <w:spacing w:val="-32"/>
          <w:sz w:val="18"/>
        </w:rPr>
        <w:t> </w:t>
      </w:r>
      <w:r>
        <w:rPr>
          <w:sz w:val="18"/>
        </w:rPr>
        <w:t>m</w:t>
      </w:r>
      <w:r>
        <w:rPr>
          <w:spacing w:val="-32"/>
          <w:sz w:val="18"/>
        </w:rPr>
        <w:t> </w:t>
      </w:r>
      <w:r>
        <w:rPr>
          <w:sz w:val="18"/>
        </w:rPr>
        <w:t>wide</w:t>
      </w:r>
      <w:r>
        <w:rPr>
          <w:spacing w:val="-32"/>
          <w:sz w:val="18"/>
        </w:rPr>
        <w:t> </w:t>
      </w:r>
      <w:r>
        <w:rPr>
          <w:sz w:val="18"/>
        </w:rPr>
        <w:t>roads.</w:t>
      </w:r>
      <w:r>
        <w:rPr>
          <w:spacing w:val="-30"/>
          <w:sz w:val="18"/>
        </w:rPr>
        <w:t> </w:t>
      </w:r>
      <w:r>
        <w:rPr>
          <w:sz w:val="18"/>
        </w:rPr>
        <w:t>The</w:t>
      </w:r>
      <w:r>
        <w:rPr>
          <w:spacing w:val="-32"/>
          <w:sz w:val="18"/>
        </w:rPr>
        <w:t> </w:t>
      </w:r>
      <w:r>
        <w:rPr>
          <w:sz w:val="18"/>
        </w:rPr>
        <w:t>subject</w:t>
      </w:r>
      <w:r>
        <w:rPr>
          <w:spacing w:val="-33"/>
          <w:sz w:val="18"/>
        </w:rPr>
        <w:t> </w:t>
      </w:r>
      <w:r>
        <w:rPr>
          <w:sz w:val="18"/>
        </w:rPr>
        <w:t>property</w:t>
      </w:r>
      <w:r>
        <w:rPr>
          <w:spacing w:val="-33"/>
          <w:sz w:val="18"/>
        </w:rPr>
        <w:t> </w:t>
      </w:r>
      <w:r>
        <w:rPr>
          <w:sz w:val="18"/>
        </w:rPr>
        <w:t>lies</w:t>
      </w:r>
      <w:r>
        <w:rPr>
          <w:spacing w:val="-32"/>
          <w:sz w:val="18"/>
        </w:rPr>
        <w:t> </w:t>
      </w:r>
      <w:r>
        <w:rPr>
          <w:sz w:val="18"/>
        </w:rPr>
        <w:t>in</w:t>
      </w:r>
      <w:r>
        <w:rPr>
          <w:spacing w:val="-33"/>
          <w:sz w:val="18"/>
        </w:rPr>
        <w:t> </w:t>
      </w:r>
      <w:r>
        <w:rPr>
          <w:sz w:val="18"/>
        </w:rPr>
        <w:t>proximity</w:t>
      </w:r>
      <w:r>
        <w:rPr>
          <w:spacing w:val="-31"/>
          <w:sz w:val="18"/>
        </w:rPr>
        <w:t> </w:t>
      </w:r>
      <w:r>
        <w:rPr>
          <w:sz w:val="18"/>
        </w:rPr>
        <w:t>to</w:t>
      </w:r>
      <w:r>
        <w:rPr>
          <w:spacing w:val="-32"/>
          <w:sz w:val="18"/>
        </w:rPr>
        <w:t> </w:t>
      </w:r>
      <w:r>
        <w:rPr>
          <w:sz w:val="18"/>
        </w:rPr>
        <w:t>various office developments such as Candor TechSpace, Assotech Business Cresterra, Advant Navis Business Park, Stellar 135, Express Trade Towers 2,</w:t>
      </w:r>
      <w:r>
        <w:rPr>
          <w:spacing w:val="-24"/>
          <w:sz w:val="18"/>
        </w:rPr>
        <w:t> </w:t>
      </w:r>
      <w:r>
        <w:rPr>
          <w:sz w:val="18"/>
        </w:rPr>
        <w:t>etc.</w:t>
      </w:r>
    </w:p>
    <w:p>
      <w:pPr>
        <w:spacing w:line="321" w:lineRule="auto" w:before="122"/>
        <w:ind w:left="2685" w:right="545" w:firstLine="0"/>
        <w:jc w:val="both"/>
        <w:rPr>
          <w:sz w:val="18"/>
        </w:rPr>
      </w:pPr>
      <w:r>
        <w:rPr>
          <w:sz w:val="18"/>
        </w:rPr>
        <w:t>The</w:t>
      </w:r>
      <w:r>
        <w:rPr>
          <w:spacing w:val="-16"/>
          <w:sz w:val="18"/>
        </w:rPr>
        <w:t> </w:t>
      </w:r>
      <w:r>
        <w:rPr>
          <w:sz w:val="18"/>
        </w:rPr>
        <w:t>subject</w:t>
      </w:r>
      <w:r>
        <w:rPr>
          <w:spacing w:val="-16"/>
          <w:sz w:val="18"/>
        </w:rPr>
        <w:t> </w:t>
      </w:r>
      <w:r>
        <w:rPr>
          <w:sz w:val="18"/>
        </w:rPr>
        <w:t>property</w:t>
      </w:r>
      <w:r>
        <w:rPr>
          <w:spacing w:val="-16"/>
          <w:sz w:val="18"/>
        </w:rPr>
        <w:t> </w:t>
      </w:r>
      <w:r>
        <w:rPr>
          <w:sz w:val="18"/>
        </w:rPr>
        <w:t>is</w:t>
      </w:r>
      <w:r>
        <w:rPr>
          <w:spacing w:val="-15"/>
          <w:sz w:val="18"/>
        </w:rPr>
        <w:t> </w:t>
      </w:r>
      <w:r>
        <w:rPr>
          <w:sz w:val="18"/>
        </w:rPr>
        <w:t>located</w:t>
      </w:r>
      <w:r>
        <w:rPr>
          <w:spacing w:val="-17"/>
          <w:sz w:val="18"/>
        </w:rPr>
        <w:t> </w:t>
      </w:r>
      <w:r>
        <w:rPr>
          <w:sz w:val="18"/>
        </w:rPr>
        <w:t>in</w:t>
      </w:r>
      <w:r>
        <w:rPr>
          <w:spacing w:val="-16"/>
          <w:sz w:val="18"/>
        </w:rPr>
        <w:t> </w:t>
      </w:r>
      <w:r>
        <w:rPr>
          <w:sz w:val="18"/>
        </w:rPr>
        <w:t>close</w:t>
      </w:r>
      <w:r>
        <w:rPr>
          <w:spacing w:val="-15"/>
          <w:sz w:val="18"/>
        </w:rPr>
        <w:t> </w:t>
      </w:r>
      <w:r>
        <w:rPr>
          <w:sz w:val="18"/>
        </w:rPr>
        <w:t>proximity</w:t>
      </w:r>
      <w:r>
        <w:rPr>
          <w:spacing w:val="-16"/>
          <w:sz w:val="18"/>
        </w:rPr>
        <w:t> </w:t>
      </w:r>
      <w:r>
        <w:rPr>
          <w:sz w:val="18"/>
        </w:rPr>
        <w:t>to</w:t>
      </w:r>
      <w:r>
        <w:rPr>
          <w:spacing w:val="-16"/>
          <w:sz w:val="18"/>
        </w:rPr>
        <w:t> </w:t>
      </w:r>
      <w:r>
        <w:rPr>
          <w:sz w:val="18"/>
        </w:rPr>
        <w:t>Noida</w:t>
      </w:r>
      <w:r>
        <w:rPr>
          <w:spacing w:val="-11"/>
          <w:sz w:val="18"/>
        </w:rPr>
        <w:t> </w:t>
      </w:r>
      <w:r>
        <w:rPr>
          <w:w w:val="105"/>
          <w:sz w:val="18"/>
        </w:rPr>
        <w:t>–</w:t>
      </w:r>
      <w:r>
        <w:rPr>
          <w:spacing w:val="-18"/>
          <w:w w:val="105"/>
          <w:sz w:val="18"/>
        </w:rPr>
        <w:t> </w:t>
      </w:r>
      <w:r>
        <w:rPr>
          <w:sz w:val="18"/>
        </w:rPr>
        <w:t>Greater</w:t>
      </w:r>
      <w:r>
        <w:rPr>
          <w:spacing w:val="-17"/>
          <w:sz w:val="18"/>
        </w:rPr>
        <w:t> </w:t>
      </w:r>
      <w:r>
        <w:rPr>
          <w:sz w:val="18"/>
        </w:rPr>
        <w:t>Noida</w:t>
      </w:r>
      <w:r>
        <w:rPr>
          <w:spacing w:val="-15"/>
          <w:sz w:val="18"/>
        </w:rPr>
        <w:t> </w:t>
      </w:r>
      <w:r>
        <w:rPr>
          <w:sz w:val="18"/>
        </w:rPr>
        <w:t>Expressway,</w:t>
      </w:r>
      <w:r>
        <w:rPr>
          <w:spacing w:val="-16"/>
          <w:sz w:val="18"/>
        </w:rPr>
        <w:t> </w:t>
      </w:r>
      <w:r>
        <w:rPr>
          <w:sz w:val="18"/>
        </w:rPr>
        <w:t>which</w:t>
      </w:r>
      <w:r>
        <w:rPr>
          <w:spacing w:val="-16"/>
          <w:sz w:val="18"/>
        </w:rPr>
        <w:t> </w:t>
      </w:r>
      <w:r>
        <w:rPr>
          <w:sz w:val="18"/>
        </w:rPr>
        <w:t>makes</w:t>
      </w:r>
      <w:r>
        <w:rPr>
          <w:spacing w:val="-15"/>
          <w:sz w:val="18"/>
        </w:rPr>
        <w:t> </w:t>
      </w:r>
      <w:r>
        <w:rPr>
          <w:sz w:val="18"/>
        </w:rPr>
        <w:t>it easily</w:t>
      </w:r>
      <w:r>
        <w:rPr>
          <w:spacing w:val="-17"/>
          <w:sz w:val="18"/>
        </w:rPr>
        <w:t> </w:t>
      </w:r>
      <w:r>
        <w:rPr>
          <w:sz w:val="18"/>
        </w:rPr>
        <w:t>accessible</w:t>
      </w:r>
      <w:r>
        <w:rPr>
          <w:spacing w:val="-15"/>
          <w:sz w:val="18"/>
        </w:rPr>
        <w:t> </w:t>
      </w:r>
      <w:r>
        <w:rPr>
          <w:sz w:val="18"/>
        </w:rPr>
        <w:t>from</w:t>
      </w:r>
      <w:r>
        <w:rPr>
          <w:spacing w:val="-18"/>
          <w:sz w:val="18"/>
        </w:rPr>
        <w:t> </w:t>
      </w:r>
      <w:r>
        <w:rPr>
          <w:sz w:val="18"/>
        </w:rPr>
        <w:t>other</w:t>
      </w:r>
      <w:r>
        <w:rPr>
          <w:spacing w:val="-17"/>
          <w:sz w:val="18"/>
        </w:rPr>
        <w:t> </w:t>
      </w:r>
      <w:r>
        <w:rPr>
          <w:sz w:val="18"/>
        </w:rPr>
        <w:t>regions</w:t>
      </w:r>
      <w:r>
        <w:rPr>
          <w:spacing w:val="-16"/>
          <w:sz w:val="18"/>
        </w:rPr>
        <w:t> </w:t>
      </w:r>
      <w:r>
        <w:rPr>
          <w:sz w:val="18"/>
        </w:rPr>
        <w:t>of</w:t>
      </w:r>
      <w:r>
        <w:rPr>
          <w:spacing w:val="-16"/>
          <w:sz w:val="18"/>
        </w:rPr>
        <w:t> </w:t>
      </w:r>
      <w:r>
        <w:rPr>
          <w:sz w:val="18"/>
        </w:rPr>
        <w:t>NCR</w:t>
      </w:r>
      <w:r>
        <w:rPr>
          <w:spacing w:val="-17"/>
          <w:sz w:val="18"/>
        </w:rPr>
        <w:t> </w:t>
      </w:r>
      <w:r>
        <w:rPr>
          <w:sz w:val="18"/>
        </w:rPr>
        <w:t>(National</w:t>
      </w:r>
      <w:r>
        <w:rPr>
          <w:spacing w:val="-17"/>
          <w:sz w:val="18"/>
        </w:rPr>
        <w:t> </w:t>
      </w:r>
      <w:r>
        <w:rPr>
          <w:sz w:val="18"/>
        </w:rPr>
        <w:t>Capital</w:t>
      </w:r>
      <w:r>
        <w:rPr>
          <w:spacing w:val="-19"/>
          <w:sz w:val="18"/>
        </w:rPr>
        <w:t> </w:t>
      </w:r>
      <w:r>
        <w:rPr>
          <w:sz w:val="18"/>
        </w:rPr>
        <w:t>Region)</w:t>
      </w:r>
      <w:r>
        <w:rPr>
          <w:spacing w:val="-17"/>
          <w:sz w:val="18"/>
        </w:rPr>
        <w:t> </w:t>
      </w:r>
      <w:r>
        <w:rPr>
          <w:sz w:val="18"/>
        </w:rPr>
        <w:t>such</w:t>
      </w:r>
      <w:r>
        <w:rPr>
          <w:spacing w:val="-18"/>
          <w:sz w:val="18"/>
        </w:rPr>
        <w:t> </w:t>
      </w:r>
      <w:r>
        <w:rPr>
          <w:sz w:val="18"/>
        </w:rPr>
        <w:t>as</w:t>
      </w:r>
      <w:r>
        <w:rPr>
          <w:spacing w:val="-18"/>
          <w:sz w:val="18"/>
        </w:rPr>
        <w:t> </w:t>
      </w:r>
      <w:r>
        <w:rPr>
          <w:sz w:val="18"/>
        </w:rPr>
        <w:t>Delhi,</w:t>
      </w:r>
      <w:r>
        <w:rPr>
          <w:spacing w:val="-17"/>
          <w:sz w:val="18"/>
        </w:rPr>
        <w:t> </w:t>
      </w:r>
      <w:r>
        <w:rPr>
          <w:sz w:val="18"/>
        </w:rPr>
        <w:t>Greater</w:t>
      </w:r>
      <w:r>
        <w:rPr>
          <w:spacing w:val="-19"/>
          <w:sz w:val="18"/>
        </w:rPr>
        <w:t> </w:t>
      </w:r>
      <w:r>
        <w:rPr>
          <w:sz w:val="18"/>
        </w:rPr>
        <w:t>Noida,</w:t>
      </w:r>
      <w:r>
        <w:rPr>
          <w:spacing w:val="-17"/>
          <w:sz w:val="18"/>
        </w:rPr>
        <w:t> </w:t>
      </w:r>
      <w:r>
        <w:rPr>
          <w:sz w:val="18"/>
        </w:rPr>
        <w:t>etc. Further,</w:t>
      </w:r>
      <w:r>
        <w:rPr>
          <w:spacing w:val="-16"/>
          <w:sz w:val="18"/>
        </w:rPr>
        <w:t> </w:t>
      </w:r>
      <w:r>
        <w:rPr>
          <w:sz w:val="18"/>
        </w:rPr>
        <w:t>it</w:t>
      </w:r>
      <w:r>
        <w:rPr>
          <w:spacing w:val="-17"/>
          <w:sz w:val="18"/>
        </w:rPr>
        <w:t> </w:t>
      </w:r>
      <w:r>
        <w:rPr>
          <w:sz w:val="18"/>
        </w:rPr>
        <w:t>is</w:t>
      </w:r>
      <w:r>
        <w:rPr>
          <w:spacing w:val="-15"/>
          <w:sz w:val="18"/>
        </w:rPr>
        <w:t> </w:t>
      </w:r>
      <w:r>
        <w:rPr>
          <w:sz w:val="18"/>
        </w:rPr>
        <w:t>located</w:t>
      </w:r>
      <w:r>
        <w:rPr>
          <w:spacing w:val="-15"/>
          <w:sz w:val="18"/>
        </w:rPr>
        <w:t> </w:t>
      </w:r>
      <w:r>
        <w:rPr>
          <w:sz w:val="18"/>
        </w:rPr>
        <w:t>at</w:t>
      </w:r>
      <w:r>
        <w:rPr>
          <w:spacing w:val="-17"/>
          <w:sz w:val="18"/>
        </w:rPr>
        <w:t> </w:t>
      </w:r>
      <w:r>
        <w:rPr>
          <w:sz w:val="18"/>
        </w:rPr>
        <w:t>a</w:t>
      </w:r>
      <w:r>
        <w:rPr>
          <w:spacing w:val="-15"/>
          <w:sz w:val="18"/>
        </w:rPr>
        <w:t> </w:t>
      </w:r>
      <w:r>
        <w:rPr>
          <w:sz w:val="18"/>
        </w:rPr>
        <w:t>distance</w:t>
      </w:r>
      <w:r>
        <w:rPr>
          <w:spacing w:val="-15"/>
          <w:sz w:val="18"/>
        </w:rPr>
        <w:t> </w:t>
      </w:r>
      <w:r>
        <w:rPr>
          <w:sz w:val="18"/>
        </w:rPr>
        <w:t>of</w:t>
      </w:r>
      <w:r>
        <w:rPr>
          <w:spacing w:val="-17"/>
          <w:sz w:val="18"/>
        </w:rPr>
        <w:t> </w:t>
      </w:r>
      <w:r>
        <w:rPr>
          <w:sz w:val="18"/>
        </w:rPr>
        <w:t>approximately</w:t>
      </w:r>
      <w:r>
        <w:rPr>
          <w:spacing w:val="-12"/>
          <w:sz w:val="18"/>
        </w:rPr>
        <w:t> </w:t>
      </w:r>
      <w:r>
        <w:rPr>
          <w:sz w:val="18"/>
        </w:rPr>
        <w:t>16</w:t>
      </w:r>
      <w:r>
        <w:rPr>
          <w:spacing w:val="-15"/>
          <w:sz w:val="18"/>
        </w:rPr>
        <w:t> </w:t>
      </w:r>
      <w:r>
        <w:rPr>
          <w:w w:val="105"/>
          <w:sz w:val="18"/>
        </w:rPr>
        <w:t>–</w:t>
      </w:r>
      <w:r>
        <w:rPr>
          <w:spacing w:val="-18"/>
          <w:w w:val="105"/>
          <w:sz w:val="18"/>
        </w:rPr>
        <w:t> </w:t>
      </w:r>
      <w:r>
        <w:rPr>
          <w:sz w:val="18"/>
        </w:rPr>
        <w:t>17</w:t>
      </w:r>
      <w:r>
        <w:rPr>
          <w:spacing w:val="-16"/>
          <w:sz w:val="18"/>
        </w:rPr>
        <w:t> </w:t>
      </w:r>
      <w:r>
        <w:rPr>
          <w:sz w:val="18"/>
        </w:rPr>
        <w:t>km</w:t>
      </w:r>
      <w:r>
        <w:rPr>
          <w:spacing w:val="-15"/>
          <w:sz w:val="18"/>
        </w:rPr>
        <w:t> </w:t>
      </w:r>
      <w:r>
        <w:rPr>
          <w:sz w:val="18"/>
        </w:rPr>
        <w:t>from</w:t>
      </w:r>
      <w:r>
        <w:rPr>
          <w:spacing w:val="-15"/>
          <w:sz w:val="18"/>
        </w:rPr>
        <w:t> </w:t>
      </w:r>
      <w:r>
        <w:rPr>
          <w:sz w:val="18"/>
        </w:rPr>
        <w:t>the</w:t>
      </w:r>
      <w:r>
        <w:rPr>
          <w:spacing w:val="-17"/>
          <w:sz w:val="18"/>
        </w:rPr>
        <w:t> </w:t>
      </w:r>
      <w:r>
        <w:rPr>
          <w:sz w:val="18"/>
        </w:rPr>
        <w:t>established</w:t>
      </w:r>
      <w:r>
        <w:rPr>
          <w:spacing w:val="-15"/>
          <w:sz w:val="18"/>
        </w:rPr>
        <w:t> </w:t>
      </w:r>
      <w:r>
        <w:rPr>
          <w:sz w:val="18"/>
        </w:rPr>
        <w:t>commercial</w:t>
      </w:r>
      <w:r>
        <w:rPr>
          <w:spacing w:val="-16"/>
          <w:sz w:val="18"/>
        </w:rPr>
        <w:t> </w:t>
      </w:r>
      <w:r>
        <w:rPr>
          <w:sz w:val="18"/>
        </w:rPr>
        <w:t>hub</w:t>
      </w:r>
      <w:r>
        <w:rPr>
          <w:spacing w:val="-15"/>
          <w:sz w:val="18"/>
        </w:rPr>
        <w:t> </w:t>
      </w:r>
      <w:r>
        <w:rPr>
          <w:sz w:val="18"/>
        </w:rPr>
        <w:t>of Noida viz. Sector-18, approximately 16 </w:t>
      </w:r>
      <w:r>
        <w:rPr>
          <w:w w:val="105"/>
          <w:sz w:val="18"/>
        </w:rPr>
        <w:t>– </w:t>
      </w:r>
      <w:r>
        <w:rPr>
          <w:sz w:val="18"/>
        </w:rPr>
        <w:t>17 km from </w:t>
      </w:r>
      <w:r>
        <w:rPr>
          <w:w w:val="105"/>
          <w:sz w:val="18"/>
        </w:rPr>
        <w:t>DND </w:t>
      </w:r>
      <w:r>
        <w:rPr>
          <w:sz w:val="18"/>
        </w:rPr>
        <w:t>(Delhi-Noida Direct) Flyway and approximately 38 </w:t>
      </w:r>
      <w:r>
        <w:rPr>
          <w:w w:val="105"/>
          <w:sz w:val="18"/>
        </w:rPr>
        <w:t>– </w:t>
      </w:r>
      <w:r>
        <w:rPr>
          <w:sz w:val="18"/>
        </w:rPr>
        <w:t>39 km from Indira Gandhi International Airport,</w:t>
      </w:r>
      <w:r>
        <w:rPr>
          <w:spacing w:val="-35"/>
          <w:sz w:val="18"/>
        </w:rPr>
        <w:t> </w:t>
      </w:r>
      <w:r>
        <w:rPr>
          <w:sz w:val="18"/>
        </w:rPr>
        <w:t>Delhi</w:t>
      </w:r>
    </w:p>
    <w:p>
      <w:pPr>
        <w:pStyle w:val="BodyText"/>
        <w:spacing w:before="10"/>
        <w:rPr>
          <w:sz w:val="21"/>
        </w:rPr>
      </w:pPr>
    </w:p>
    <w:p>
      <w:pPr>
        <w:spacing w:line="321" w:lineRule="auto" w:before="0"/>
        <w:ind w:left="2685" w:right="543" w:hanging="2180"/>
        <w:jc w:val="both"/>
        <w:rPr>
          <w:sz w:val="18"/>
        </w:rPr>
      </w:pPr>
      <w:r>
        <w:rPr>
          <w:color w:val="006A4D"/>
          <w:sz w:val="18"/>
        </w:rPr>
        <w:t>Statement</w:t>
      </w:r>
      <w:r>
        <w:rPr>
          <w:color w:val="006A4D"/>
          <w:spacing w:val="-34"/>
          <w:sz w:val="18"/>
        </w:rPr>
        <w:t> </w:t>
      </w:r>
      <w:r>
        <w:rPr>
          <w:color w:val="006A4D"/>
          <w:sz w:val="18"/>
        </w:rPr>
        <w:t>of</w:t>
      </w:r>
      <w:r>
        <w:rPr>
          <w:color w:val="006A4D"/>
          <w:spacing w:val="-33"/>
          <w:sz w:val="18"/>
        </w:rPr>
        <w:t> </w:t>
      </w:r>
      <w:r>
        <w:rPr>
          <w:color w:val="006A4D"/>
          <w:sz w:val="18"/>
        </w:rPr>
        <w:t>Assets</w:t>
      </w:r>
      <w:r>
        <w:rPr>
          <w:color w:val="006A4D"/>
          <w:spacing w:val="-33"/>
          <w:sz w:val="18"/>
        </w:rPr>
        <w:t> </w:t>
      </w:r>
      <w:r>
        <w:rPr>
          <w:color w:val="006A4D"/>
          <w:sz w:val="18"/>
        </w:rPr>
        <w:t>(sf):</w:t>
      </w:r>
      <w:r>
        <w:rPr>
          <w:color w:val="006A4D"/>
          <w:spacing w:val="26"/>
          <w:sz w:val="18"/>
        </w:rPr>
        <w:t> </w:t>
      </w:r>
      <w:r>
        <w:rPr>
          <w:sz w:val="18"/>
        </w:rPr>
        <w:t>Based</w:t>
      </w:r>
      <w:r>
        <w:rPr>
          <w:spacing w:val="-37"/>
          <w:sz w:val="18"/>
        </w:rPr>
        <w:t> </w:t>
      </w:r>
      <w:r>
        <w:rPr>
          <w:sz w:val="18"/>
        </w:rPr>
        <w:t>on</w:t>
      </w:r>
      <w:r>
        <w:rPr>
          <w:spacing w:val="-37"/>
          <w:sz w:val="18"/>
        </w:rPr>
        <w:t> </w:t>
      </w:r>
      <w:r>
        <w:rPr>
          <w:sz w:val="18"/>
        </w:rPr>
        <w:t>review</w:t>
      </w:r>
      <w:r>
        <w:rPr>
          <w:spacing w:val="-38"/>
          <w:sz w:val="18"/>
        </w:rPr>
        <w:t> </w:t>
      </w:r>
      <w:r>
        <w:rPr>
          <w:sz w:val="18"/>
        </w:rPr>
        <w:t>of</w:t>
      </w:r>
      <w:r>
        <w:rPr>
          <w:spacing w:val="-36"/>
          <w:sz w:val="18"/>
        </w:rPr>
        <w:t> </w:t>
      </w:r>
      <w:r>
        <w:rPr>
          <w:sz w:val="18"/>
        </w:rPr>
        <w:t>various</w:t>
      </w:r>
      <w:r>
        <w:rPr>
          <w:spacing w:val="-37"/>
          <w:sz w:val="18"/>
        </w:rPr>
        <w:t> </w:t>
      </w:r>
      <w:r>
        <w:rPr>
          <w:sz w:val="18"/>
        </w:rPr>
        <w:t>documents</w:t>
      </w:r>
      <w:r>
        <w:rPr>
          <w:spacing w:val="-37"/>
          <w:sz w:val="18"/>
        </w:rPr>
        <w:t> </w:t>
      </w:r>
      <w:r>
        <w:rPr>
          <w:sz w:val="18"/>
        </w:rPr>
        <w:t>(such</w:t>
      </w:r>
      <w:r>
        <w:rPr>
          <w:spacing w:val="-38"/>
          <w:sz w:val="18"/>
        </w:rPr>
        <w:t> </w:t>
      </w:r>
      <w:r>
        <w:rPr>
          <w:sz w:val="18"/>
        </w:rPr>
        <w:t>as</w:t>
      </w:r>
      <w:r>
        <w:rPr>
          <w:spacing w:val="-37"/>
          <w:sz w:val="18"/>
        </w:rPr>
        <w:t> </w:t>
      </w:r>
      <w:r>
        <w:rPr>
          <w:sz w:val="18"/>
        </w:rPr>
        <w:t>architect</w:t>
      </w:r>
      <w:r>
        <w:rPr>
          <w:spacing w:val="-37"/>
          <w:sz w:val="18"/>
        </w:rPr>
        <w:t> </w:t>
      </w:r>
      <w:r>
        <w:rPr>
          <w:sz w:val="18"/>
        </w:rPr>
        <w:t>certificate,</w:t>
      </w:r>
      <w:r>
        <w:rPr>
          <w:spacing w:val="-38"/>
          <w:sz w:val="18"/>
        </w:rPr>
        <w:t> </w:t>
      </w:r>
      <w:r>
        <w:rPr>
          <w:sz w:val="18"/>
        </w:rPr>
        <w:t>rent</w:t>
      </w:r>
      <w:r>
        <w:rPr>
          <w:spacing w:val="-37"/>
          <w:sz w:val="18"/>
        </w:rPr>
        <w:t> </w:t>
      </w:r>
      <w:r>
        <w:rPr>
          <w:sz w:val="18"/>
        </w:rPr>
        <w:t>roll,</w:t>
      </w:r>
      <w:r>
        <w:rPr>
          <w:spacing w:val="-38"/>
          <w:sz w:val="18"/>
        </w:rPr>
        <w:t> </w:t>
      </w:r>
      <w:r>
        <w:rPr>
          <w:sz w:val="18"/>
        </w:rPr>
        <w:t>lease</w:t>
      </w:r>
      <w:r>
        <w:rPr>
          <w:spacing w:val="-37"/>
          <w:sz w:val="18"/>
        </w:rPr>
        <w:t> </w:t>
      </w:r>
      <w:r>
        <w:rPr>
          <w:sz w:val="18"/>
        </w:rPr>
        <w:t>deeds,</w:t>
      </w:r>
      <w:r>
        <w:rPr>
          <w:spacing w:val="-38"/>
          <w:sz w:val="18"/>
        </w:rPr>
        <w:t> </w:t>
      </w:r>
      <w:r>
        <w:rPr>
          <w:sz w:val="18"/>
        </w:rPr>
        <w:t>etc.),</w:t>
      </w:r>
      <w:r>
        <w:rPr>
          <w:spacing w:val="-37"/>
          <w:sz w:val="18"/>
        </w:rPr>
        <w:t> </w:t>
      </w:r>
      <w:r>
        <w:rPr>
          <w:sz w:val="18"/>
        </w:rPr>
        <w:t>the</w:t>
      </w:r>
      <w:r>
        <w:rPr>
          <w:spacing w:val="-37"/>
          <w:sz w:val="18"/>
        </w:rPr>
        <w:t> </w:t>
      </w:r>
      <w:r>
        <w:rPr>
          <w:sz w:val="18"/>
        </w:rPr>
        <w:t>subject property</w:t>
      </w:r>
      <w:r>
        <w:rPr>
          <w:spacing w:val="-21"/>
          <w:sz w:val="18"/>
        </w:rPr>
        <w:t> </w:t>
      </w:r>
      <w:r>
        <w:rPr>
          <w:sz w:val="18"/>
        </w:rPr>
        <w:t>is</w:t>
      </w:r>
      <w:r>
        <w:rPr>
          <w:spacing w:val="-20"/>
          <w:sz w:val="18"/>
        </w:rPr>
        <w:t> </w:t>
      </w:r>
      <w:r>
        <w:rPr>
          <w:sz w:val="18"/>
        </w:rPr>
        <w:t>an</w:t>
      </w:r>
      <w:r>
        <w:rPr>
          <w:spacing w:val="-22"/>
          <w:sz w:val="18"/>
        </w:rPr>
        <w:t> </w:t>
      </w:r>
      <w:r>
        <w:rPr>
          <w:sz w:val="18"/>
        </w:rPr>
        <w:t>operational</w:t>
      </w:r>
      <w:r>
        <w:rPr>
          <w:spacing w:val="-19"/>
          <w:sz w:val="18"/>
        </w:rPr>
        <w:t> </w:t>
      </w:r>
      <w:r>
        <w:rPr>
          <w:sz w:val="18"/>
        </w:rPr>
        <w:t>SEZ</w:t>
      </w:r>
      <w:r>
        <w:rPr>
          <w:spacing w:val="-22"/>
          <w:sz w:val="18"/>
        </w:rPr>
        <w:t> </w:t>
      </w:r>
      <w:r>
        <w:rPr>
          <w:sz w:val="18"/>
        </w:rPr>
        <w:t>office</w:t>
      </w:r>
      <w:r>
        <w:rPr>
          <w:spacing w:val="-20"/>
          <w:sz w:val="18"/>
        </w:rPr>
        <w:t> </w:t>
      </w:r>
      <w:r>
        <w:rPr>
          <w:sz w:val="18"/>
        </w:rPr>
        <w:t>asset</w:t>
      </w:r>
      <w:r>
        <w:rPr>
          <w:spacing w:val="-21"/>
          <w:sz w:val="18"/>
        </w:rPr>
        <w:t> </w:t>
      </w:r>
      <w:r>
        <w:rPr>
          <w:sz w:val="18"/>
        </w:rPr>
        <w:t>with</w:t>
      </w:r>
      <w:r>
        <w:rPr>
          <w:spacing w:val="-20"/>
          <w:sz w:val="18"/>
        </w:rPr>
        <w:t> </w:t>
      </w:r>
      <w:r>
        <w:rPr>
          <w:sz w:val="18"/>
        </w:rPr>
        <w:t>approximately</w:t>
      </w:r>
      <w:r>
        <w:rPr>
          <w:spacing w:val="-20"/>
          <w:sz w:val="18"/>
        </w:rPr>
        <w:t> </w:t>
      </w:r>
      <w:r>
        <w:rPr>
          <w:sz w:val="18"/>
        </w:rPr>
        <w:t>2.52</w:t>
      </w:r>
      <w:r>
        <w:rPr>
          <w:spacing w:val="-21"/>
          <w:sz w:val="18"/>
        </w:rPr>
        <w:t> </w:t>
      </w:r>
      <w:r>
        <w:rPr>
          <w:sz w:val="18"/>
        </w:rPr>
        <w:t>msf</w:t>
      </w:r>
      <w:r>
        <w:rPr>
          <w:spacing w:val="-21"/>
          <w:sz w:val="18"/>
        </w:rPr>
        <w:t> </w:t>
      </w:r>
      <w:r>
        <w:rPr>
          <w:sz w:val="18"/>
        </w:rPr>
        <w:t>of</w:t>
      </w:r>
      <w:r>
        <w:rPr>
          <w:spacing w:val="-22"/>
          <w:sz w:val="18"/>
        </w:rPr>
        <w:t> </w:t>
      </w:r>
      <w:r>
        <w:rPr>
          <w:sz w:val="18"/>
        </w:rPr>
        <w:t>completed</w:t>
      </w:r>
      <w:r>
        <w:rPr>
          <w:spacing w:val="-20"/>
          <w:sz w:val="18"/>
        </w:rPr>
        <w:t> </w:t>
      </w:r>
      <w:r>
        <w:rPr>
          <w:sz w:val="18"/>
        </w:rPr>
        <w:t>leasable</w:t>
      </w:r>
      <w:r>
        <w:rPr>
          <w:spacing w:val="-20"/>
          <w:sz w:val="18"/>
        </w:rPr>
        <w:t> </w:t>
      </w:r>
      <w:r>
        <w:rPr>
          <w:sz w:val="18"/>
        </w:rPr>
        <w:t>area,</w:t>
      </w:r>
      <w:r>
        <w:rPr>
          <w:spacing w:val="-19"/>
          <w:sz w:val="18"/>
        </w:rPr>
        <w:t> </w:t>
      </w:r>
      <w:r>
        <w:rPr>
          <w:sz w:val="18"/>
        </w:rPr>
        <w:t>out of</w:t>
      </w:r>
      <w:r>
        <w:rPr>
          <w:spacing w:val="-31"/>
          <w:sz w:val="18"/>
        </w:rPr>
        <w:t> </w:t>
      </w:r>
      <w:r>
        <w:rPr>
          <w:sz w:val="18"/>
        </w:rPr>
        <w:t>which</w:t>
      </w:r>
      <w:r>
        <w:rPr>
          <w:spacing w:val="-30"/>
          <w:sz w:val="18"/>
        </w:rPr>
        <w:t> </w:t>
      </w:r>
      <w:r>
        <w:rPr>
          <w:sz w:val="18"/>
        </w:rPr>
        <w:t>committed</w:t>
      </w:r>
      <w:r>
        <w:rPr>
          <w:spacing w:val="-30"/>
          <w:sz w:val="18"/>
        </w:rPr>
        <w:t> </w:t>
      </w:r>
      <w:r>
        <w:rPr>
          <w:sz w:val="18"/>
        </w:rPr>
        <w:t>occupancy</w:t>
      </w:r>
      <w:r>
        <w:rPr>
          <w:spacing w:val="-32"/>
          <w:sz w:val="18"/>
        </w:rPr>
        <w:t> </w:t>
      </w:r>
      <w:r>
        <w:rPr>
          <w:sz w:val="18"/>
        </w:rPr>
        <w:t>is</w:t>
      </w:r>
      <w:r>
        <w:rPr>
          <w:spacing w:val="-31"/>
          <w:sz w:val="18"/>
        </w:rPr>
        <w:t> </w:t>
      </w:r>
      <w:r>
        <w:rPr>
          <w:sz w:val="18"/>
        </w:rPr>
        <w:t>approximately</w:t>
      </w:r>
      <w:r>
        <w:rPr>
          <w:spacing w:val="-29"/>
          <w:sz w:val="18"/>
        </w:rPr>
        <w:t> </w:t>
      </w:r>
      <w:r>
        <w:rPr>
          <w:sz w:val="18"/>
        </w:rPr>
        <w:t>84.0%</w:t>
      </w:r>
      <w:r>
        <w:rPr>
          <w:spacing w:val="-31"/>
          <w:sz w:val="18"/>
        </w:rPr>
        <w:t> </w:t>
      </w:r>
      <w:r>
        <w:rPr>
          <w:sz w:val="18"/>
        </w:rPr>
        <w:t>as</w:t>
      </w:r>
      <w:r>
        <w:rPr>
          <w:spacing w:val="-30"/>
          <w:sz w:val="18"/>
        </w:rPr>
        <w:t> </w:t>
      </w:r>
      <w:r>
        <w:rPr>
          <w:sz w:val="18"/>
        </w:rPr>
        <w:t>on</w:t>
      </w:r>
      <w:r>
        <w:rPr>
          <w:spacing w:val="-30"/>
          <w:sz w:val="18"/>
        </w:rPr>
        <w:t> </w:t>
      </w:r>
      <w:r>
        <w:rPr>
          <w:sz w:val="18"/>
        </w:rPr>
        <w:t>the</w:t>
      </w:r>
      <w:r>
        <w:rPr>
          <w:spacing w:val="-31"/>
          <w:sz w:val="18"/>
        </w:rPr>
        <w:t> </w:t>
      </w:r>
      <w:r>
        <w:rPr>
          <w:sz w:val="18"/>
        </w:rPr>
        <w:t>date</w:t>
      </w:r>
      <w:r>
        <w:rPr>
          <w:spacing w:val="-30"/>
          <w:sz w:val="18"/>
        </w:rPr>
        <w:t> </w:t>
      </w:r>
      <w:r>
        <w:rPr>
          <w:sz w:val="18"/>
        </w:rPr>
        <w:t>of</w:t>
      </w:r>
      <w:r>
        <w:rPr>
          <w:spacing w:val="-30"/>
          <w:sz w:val="18"/>
        </w:rPr>
        <w:t> </w:t>
      </w:r>
      <w:r>
        <w:rPr>
          <w:sz w:val="18"/>
        </w:rPr>
        <w:t>valuation.</w:t>
      </w:r>
      <w:r>
        <w:rPr>
          <w:spacing w:val="-31"/>
          <w:sz w:val="18"/>
        </w:rPr>
        <w:t> </w:t>
      </w:r>
      <w:r>
        <w:rPr>
          <w:sz w:val="18"/>
        </w:rPr>
        <w:t>Table</w:t>
      </w:r>
      <w:r>
        <w:rPr>
          <w:spacing w:val="-31"/>
          <w:sz w:val="18"/>
        </w:rPr>
        <w:t> </w:t>
      </w:r>
      <w:r>
        <w:rPr>
          <w:sz w:val="18"/>
        </w:rPr>
        <w:t>below</w:t>
      </w:r>
      <w:r>
        <w:rPr>
          <w:spacing w:val="-31"/>
          <w:sz w:val="18"/>
        </w:rPr>
        <w:t> </w:t>
      </w:r>
      <w:r>
        <w:rPr>
          <w:sz w:val="18"/>
        </w:rPr>
        <w:t>highlights the</w:t>
      </w:r>
      <w:r>
        <w:rPr>
          <w:spacing w:val="-16"/>
          <w:sz w:val="18"/>
        </w:rPr>
        <w:t> </w:t>
      </w:r>
      <w:r>
        <w:rPr>
          <w:sz w:val="18"/>
        </w:rPr>
        <w:t>leasable</w:t>
      </w:r>
      <w:r>
        <w:rPr>
          <w:spacing w:val="-16"/>
          <w:sz w:val="18"/>
        </w:rPr>
        <w:t> </w:t>
      </w:r>
      <w:r>
        <w:rPr>
          <w:sz w:val="18"/>
        </w:rPr>
        <w:t>area</w:t>
      </w:r>
      <w:r>
        <w:rPr>
          <w:spacing w:val="-17"/>
          <w:sz w:val="18"/>
        </w:rPr>
        <w:t> </w:t>
      </w:r>
      <w:r>
        <w:rPr>
          <w:sz w:val="18"/>
        </w:rPr>
        <w:t>for</w:t>
      </w:r>
      <w:r>
        <w:rPr>
          <w:spacing w:val="-15"/>
          <w:sz w:val="18"/>
        </w:rPr>
        <w:t> </w:t>
      </w:r>
      <w:r>
        <w:rPr>
          <w:sz w:val="18"/>
        </w:rPr>
        <w:t>completed</w:t>
      </w:r>
      <w:r>
        <w:rPr>
          <w:spacing w:val="-15"/>
          <w:sz w:val="18"/>
        </w:rPr>
        <w:t> </w:t>
      </w:r>
      <w:r>
        <w:rPr>
          <w:sz w:val="18"/>
        </w:rPr>
        <w:t>and</w:t>
      </w:r>
      <w:r>
        <w:rPr>
          <w:spacing w:val="-16"/>
          <w:sz w:val="18"/>
        </w:rPr>
        <w:t> </w:t>
      </w:r>
      <w:r>
        <w:rPr>
          <w:sz w:val="18"/>
        </w:rPr>
        <w:t>under</w:t>
      </w:r>
      <w:r>
        <w:rPr>
          <w:spacing w:val="-17"/>
          <w:sz w:val="18"/>
        </w:rPr>
        <w:t> </w:t>
      </w:r>
      <w:r>
        <w:rPr>
          <w:sz w:val="18"/>
        </w:rPr>
        <w:t>construction/</w:t>
      </w:r>
      <w:r>
        <w:rPr>
          <w:spacing w:val="-16"/>
          <w:sz w:val="18"/>
        </w:rPr>
        <w:t> </w:t>
      </w:r>
      <w:r>
        <w:rPr>
          <w:sz w:val="18"/>
        </w:rPr>
        <w:t>proposed</w:t>
      </w:r>
      <w:r>
        <w:rPr>
          <w:spacing w:val="-16"/>
          <w:sz w:val="18"/>
        </w:rPr>
        <w:t> </w:t>
      </w:r>
      <w:r>
        <w:rPr>
          <w:sz w:val="18"/>
        </w:rPr>
        <w:t>blocks</w:t>
      </w:r>
      <w:r>
        <w:rPr>
          <w:spacing w:val="-15"/>
          <w:sz w:val="18"/>
        </w:rPr>
        <w:t> </w:t>
      </w:r>
      <w:r>
        <w:rPr>
          <w:sz w:val="18"/>
        </w:rPr>
        <w:t>that</w:t>
      </w:r>
      <w:r>
        <w:rPr>
          <w:spacing w:val="-17"/>
          <w:sz w:val="18"/>
        </w:rPr>
        <w:t> </w:t>
      </w:r>
      <w:r>
        <w:rPr>
          <w:sz w:val="18"/>
        </w:rPr>
        <w:t>form</w:t>
      </w:r>
      <w:r>
        <w:rPr>
          <w:spacing w:val="-15"/>
          <w:sz w:val="18"/>
        </w:rPr>
        <w:t> </w:t>
      </w:r>
      <w:r>
        <w:rPr>
          <w:sz w:val="18"/>
        </w:rPr>
        <w:t>part</w:t>
      </w:r>
      <w:r>
        <w:rPr>
          <w:spacing w:val="-17"/>
          <w:sz w:val="18"/>
        </w:rPr>
        <w:t> </w:t>
      </w:r>
      <w:r>
        <w:rPr>
          <w:sz w:val="18"/>
        </w:rPr>
        <w:t>of</w:t>
      </w:r>
      <w:r>
        <w:rPr>
          <w:spacing w:val="-16"/>
          <w:sz w:val="18"/>
        </w:rPr>
        <w:t> </w:t>
      </w:r>
      <w:r>
        <w:rPr>
          <w:sz w:val="18"/>
        </w:rPr>
        <w:t>the</w:t>
      </w:r>
      <w:r>
        <w:rPr>
          <w:spacing w:val="-16"/>
          <w:sz w:val="18"/>
        </w:rPr>
        <w:t> </w:t>
      </w:r>
      <w:r>
        <w:rPr>
          <w:sz w:val="18"/>
        </w:rPr>
        <w:t>subject development:</w:t>
      </w:r>
    </w:p>
    <w:p>
      <w:pPr>
        <w:pStyle w:val="BodyText"/>
        <w:spacing w:before="4"/>
        <w:rPr>
          <w:sz w:val="10"/>
        </w:rPr>
      </w:pPr>
    </w:p>
    <w:tbl>
      <w:tblPr>
        <w:tblW w:w="0" w:type="auto"/>
        <w:jc w:val="left"/>
        <w:tblInd w:w="2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48"/>
        <w:gridCol w:w="2372"/>
        <w:gridCol w:w="2811"/>
      </w:tblGrid>
      <w:tr>
        <w:trPr>
          <w:trHeight w:val="325" w:hRule="atLeast"/>
        </w:trPr>
        <w:tc>
          <w:tcPr>
            <w:tcW w:w="2748" w:type="dxa"/>
            <w:tcBorders>
              <w:top w:val="single" w:sz="12" w:space="0" w:color="1F6B16"/>
              <w:bottom w:val="single" w:sz="6" w:space="0" w:color="69BD28"/>
            </w:tcBorders>
            <w:shd w:val="clear" w:color="auto" w:fill="006A4D"/>
          </w:tcPr>
          <w:p>
            <w:pPr>
              <w:pStyle w:val="TableParagraph"/>
              <w:spacing w:before="58"/>
              <w:ind w:left="234" w:right="354"/>
              <w:rPr>
                <w:b/>
                <w:sz w:val="18"/>
              </w:rPr>
            </w:pPr>
            <w:r>
              <w:rPr>
                <w:b/>
                <w:color w:val="FFFFFF"/>
                <w:w w:val="105"/>
                <w:sz w:val="18"/>
              </w:rPr>
              <w:t>Particular</w:t>
            </w:r>
          </w:p>
        </w:tc>
        <w:tc>
          <w:tcPr>
            <w:tcW w:w="2372" w:type="dxa"/>
            <w:tcBorders>
              <w:top w:val="single" w:sz="12" w:space="0" w:color="1F6B16"/>
              <w:bottom w:val="single" w:sz="6" w:space="0" w:color="69BD28"/>
            </w:tcBorders>
            <w:shd w:val="clear" w:color="auto" w:fill="006A4D"/>
          </w:tcPr>
          <w:p>
            <w:pPr>
              <w:pStyle w:val="TableParagraph"/>
              <w:spacing w:before="58"/>
              <w:ind w:left="371" w:right="301"/>
              <w:rPr>
                <w:b/>
                <w:sz w:val="18"/>
              </w:rPr>
            </w:pPr>
            <w:r>
              <w:rPr>
                <w:b/>
                <w:color w:val="FFFFFF"/>
                <w:w w:val="110"/>
                <w:sz w:val="18"/>
              </w:rPr>
              <w:t>Leasable Area (sf)</w:t>
            </w:r>
          </w:p>
        </w:tc>
        <w:tc>
          <w:tcPr>
            <w:tcW w:w="2811" w:type="dxa"/>
            <w:tcBorders>
              <w:top w:val="single" w:sz="12" w:space="0" w:color="1F6B16"/>
              <w:bottom w:val="single" w:sz="6" w:space="0" w:color="69BD28"/>
            </w:tcBorders>
            <w:shd w:val="clear" w:color="auto" w:fill="006A4D"/>
          </w:tcPr>
          <w:p>
            <w:pPr>
              <w:pStyle w:val="TableParagraph"/>
              <w:spacing w:before="58"/>
              <w:ind w:left="325" w:right="133"/>
              <w:rPr>
                <w:b/>
                <w:sz w:val="18"/>
              </w:rPr>
            </w:pPr>
            <w:r>
              <w:rPr>
                <w:b/>
                <w:color w:val="FFFFFF"/>
                <w:w w:val="105"/>
                <w:sz w:val="18"/>
              </w:rPr>
              <w:t>Committed Occupancy (%)</w:t>
            </w:r>
          </w:p>
        </w:tc>
      </w:tr>
      <w:tr>
        <w:trPr>
          <w:trHeight w:val="222" w:hRule="atLeast"/>
        </w:trPr>
        <w:tc>
          <w:tcPr>
            <w:tcW w:w="2748" w:type="dxa"/>
            <w:tcBorders>
              <w:top w:val="single" w:sz="6" w:space="0" w:color="69BD28"/>
              <w:bottom w:val="single" w:sz="6" w:space="0" w:color="69BD28"/>
            </w:tcBorders>
          </w:tcPr>
          <w:p>
            <w:pPr>
              <w:pStyle w:val="TableParagraph"/>
              <w:spacing w:line="194" w:lineRule="exact" w:before="8"/>
              <w:ind w:left="233" w:right="354"/>
              <w:rPr>
                <w:sz w:val="18"/>
              </w:rPr>
            </w:pPr>
            <w:r>
              <w:rPr>
                <w:sz w:val="18"/>
              </w:rPr>
              <w:t>Completed Blocks</w:t>
            </w:r>
          </w:p>
        </w:tc>
        <w:tc>
          <w:tcPr>
            <w:tcW w:w="2372" w:type="dxa"/>
            <w:tcBorders>
              <w:top w:val="single" w:sz="6" w:space="0" w:color="69BD28"/>
              <w:bottom w:val="single" w:sz="6" w:space="0" w:color="69BD28"/>
            </w:tcBorders>
          </w:tcPr>
          <w:p>
            <w:pPr>
              <w:pStyle w:val="TableParagraph"/>
              <w:spacing w:line="194" w:lineRule="exact" w:before="8"/>
              <w:ind w:left="367" w:right="301"/>
              <w:rPr>
                <w:sz w:val="18"/>
              </w:rPr>
            </w:pPr>
            <w:r>
              <w:rPr>
                <w:w w:val="105"/>
                <w:sz w:val="18"/>
              </w:rPr>
              <w:t>2,517,307</w:t>
            </w:r>
          </w:p>
        </w:tc>
        <w:tc>
          <w:tcPr>
            <w:tcW w:w="2811" w:type="dxa"/>
            <w:tcBorders>
              <w:top w:val="single" w:sz="6" w:space="0" w:color="69BD28"/>
              <w:bottom w:val="single" w:sz="6" w:space="0" w:color="69BD28"/>
            </w:tcBorders>
          </w:tcPr>
          <w:p>
            <w:pPr>
              <w:pStyle w:val="TableParagraph"/>
              <w:spacing w:line="194" w:lineRule="exact" w:before="8"/>
              <w:ind w:left="322" w:right="133"/>
              <w:rPr>
                <w:sz w:val="18"/>
              </w:rPr>
            </w:pPr>
            <w:r>
              <w:rPr>
                <w:w w:val="110"/>
                <w:sz w:val="18"/>
              </w:rPr>
              <w:t>84.0%</w:t>
            </w:r>
          </w:p>
        </w:tc>
      </w:tr>
      <w:tr>
        <w:trPr>
          <w:trHeight w:val="222" w:hRule="atLeast"/>
        </w:trPr>
        <w:tc>
          <w:tcPr>
            <w:tcW w:w="2748" w:type="dxa"/>
            <w:tcBorders>
              <w:top w:val="single" w:sz="6" w:space="0" w:color="69BD28"/>
              <w:bottom w:val="single" w:sz="6" w:space="0" w:color="69BD28"/>
            </w:tcBorders>
          </w:tcPr>
          <w:p>
            <w:pPr>
              <w:pStyle w:val="TableParagraph"/>
              <w:spacing w:line="197" w:lineRule="exact" w:before="6"/>
              <w:ind w:left="235" w:right="354"/>
              <w:rPr>
                <w:sz w:val="18"/>
              </w:rPr>
            </w:pPr>
            <w:r>
              <w:rPr>
                <w:sz w:val="18"/>
              </w:rPr>
              <w:t>Under Construction Blocks</w:t>
            </w:r>
          </w:p>
        </w:tc>
        <w:tc>
          <w:tcPr>
            <w:tcW w:w="2372" w:type="dxa"/>
            <w:tcBorders>
              <w:top w:val="single" w:sz="6" w:space="0" w:color="69BD28"/>
              <w:bottom w:val="single" w:sz="6" w:space="0" w:color="69BD28"/>
            </w:tcBorders>
          </w:tcPr>
          <w:p>
            <w:pPr>
              <w:pStyle w:val="TableParagraph"/>
              <w:spacing w:line="197" w:lineRule="exact" w:before="6"/>
              <w:ind w:left="371" w:right="301"/>
              <w:rPr>
                <w:sz w:val="18"/>
              </w:rPr>
            </w:pPr>
            <w:r>
              <w:rPr>
                <w:w w:val="115"/>
                <w:sz w:val="18"/>
              </w:rPr>
              <w:t>NA</w:t>
            </w:r>
          </w:p>
        </w:tc>
        <w:tc>
          <w:tcPr>
            <w:tcW w:w="2811" w:type="dxa"/>
            <w:tcBorders>
              <w:top w:val="single" w:sz="6" w:space="0" w:color="69BD28"/>
              <w:bottom w:val="single" w:sz="6" w:space="0" w:color="69BD28"/>
            </w:tcBorders>
          </w:tcPr>
          <w:p>
            <w:pPr>
              <w:pStyle w:val="TableParagraph"/>
              <w:spacing w:line="197" w:lineRule="exact" w:before="6"/>
              <w:ind w:left="325" w:right="133"/>
              <w:rPr>
                <w:sz w:val="18"/>
              </w:rPr>
            </w:pPr>
            <w:r>
              <w:rPr>
                <w:w w:val="115"/>
                <w:sz w:val="18"/>
              </w:rPr>
              <w:t>NA</w:t>
            </w:r>
          </w:p>
        </w:tc>
      </w:tr>
      <w:tr>
        <w:trPr>
          <w:trHeight w:val="220" w:hRule="atLeast"/>
        </w:trPr>
        <w:tc>
          <w:tcPr>
            <w:tcW w:w="2748" w:type="dxa"/>
            <w:tcBorders>
              <w:top w:val="single" w:sz="6" w:space="0" w:color="69BD28"/>
              <w:bottom w:val="single" w:sz="6" w:space="0" w:color="69BD28"/>
            </w:tcBorders>
          </w:tcPr>
          <w:p>
            <w:pPr>
              <w:pStyle w:val="TableParagraph"/>
              <w:spacing w:line="194" w:lineRule="exact" w:before="6"/>
              <w:ind w:left="234" w:right="354"/>
              <w:rPr>
                <w:sz w:val="18"/>
              </w:rPr>
            </w:pPr>
            <w:r>
              <w:rPr>
                <w:sz w:val="18"/>
              </w:rPr>
              <w:t>Proposed Blocks</w:t>
            </w:r>
          </w:p>
        </w:tc>
        <w:tc>
          <w:tcPr>
            <w:tcW w:w="2372" w:type="dxa"/>
            <w:tcBorders>
              <w:top w:val="single" w:sz="6" w:space="0" w:color="69BD28"/>
              <w:bottom w:val="single" w:sz="6" w:space="0" w:color="69BD28"/>
            </w:tcBorders>
          </w:tcPr>
          <w:p>
            <w:pPr>
              <w:pStyle w:val="TableParagraph"/>
              <w:spacing w:line="194" w:lineRule="exact" w:before="6"/>
              <w:ind w:left="367" w:right="301"/>
              <w:rPr>
                <w:sz w:val="18"/>
              </w:rPr>
            </w:pPr>
            <w:r>
              <w:rPr>
                <w:w w:val="110"/>
                <w:sz w:val="18"/>
              </w:rPr>
              <w:t>737,000</w:t>
            </w:r>
          </w:p>
        </w:tc>
        <w:tc>
          <w:tcPr>
            <w:tcW w:w="2811" w:type="dxa"/>
            <w:tcBorders>
              <w:top w:val="single" w:sz="6" w:space="0" w:color="69BD28"/>
              <w:bottom w:val="single" w:sz="6" w:space="0" w:color="69BD28"/>
            </w:tcBorders>
          </w:tcPr>
          <w:p>
            <w:pPr>
              <w:pStyle w:val="TableParagraph"/>
              <w:spacing w:line="194" w:lineRule="exact" w:before="6"/>
              <w:ind w:left="325" w:right="133"/>
              <w:rPr>
                <w:sz w:val="18"/>
              </w:rPr>
            </w:pPr>
            <w:r>
              <w:rPr>
                <w:w w:val="115"/>
                <w:sz w:val="18"/>
              </w:rPr>
              <w:t>NA</w:t>
            </w:r>
          </w:p>
        </w:tc>
      </w:tr>
      <w:tr>
        <w:trPr>
          <w:trHeight w:val="222" w:hRule="atLeast"/>
        </w:trPr>
        <w:tc>
          <w:tcPr>
            <w:tcW w:w="2748" w:type="dxa"/>
            <w:tcBorders>
              <w:top w:val="single" w:sz="6" w:space="0" w:color="69BD28"/>
              <w:bottom w:val="single" w:sz="6" w:space="0" w:color="69BD28"/>
            </w:tcBorders>
          </w:tcPr>
          <w:p>
            <w:pPr>
              <w:pStyle w:val="TableParagraph"/>
              <w:spacing w:line="194" w:lineRule="exact" w:before="8"/>
              <w:ind w:left="233" w:right="354"/>
              <w:rPr>
                <w:sz w:val="18"/>
              </w:rPr>
            </w:pPr>
            <w:r>
              <w:rPr>
                <w:sz w:val="18"/>
              </w:rPr>
              <w:t>Total</w:t>
            </w:r>
          </w:p>
        </w:tc>
        <w:tc>
          <w:tcPr>
            <w:tcW w:w="2372" w:type="dxa"/>
            <w:tcBorders>
              <w:top w:val="single" w:sz="6" w:space="0" w:color="69BD28"/>
              <w:bottom w:val="single" w:sz="6" w:space="0" w:color="69BD28"/>
            </w:tcBorders>
          </w:tcPr>
          <w:p>
            <w:pPr>
              <w:pStyle w:val="TableParagraph"/>
              <w:spacing w:line="194" w:lineRule="exact" w:before="8"/>
              <w:ind w:left="370" w:right="301"/>
              <w:rPr>
                <w:sz w:val="18"/>
              </w:rPr>
            </w:pPr>
            <w:r>
              <w:rPr>
                <w:w w:val="105"/>
                <w:sz w:val="18"/>
              </w:rPr>
              <w:t>3,254,307</w:t>
            </w:r>
          </w:p>
        </w:tc>
        <w:tc>
          <w:tcPr>
            <w:tcW w:w="2811" w:type="dxa"/>
            <w:tcBorders>
              <w:top w:val="single" w:sz="6" w:space="0" w:color="69BD28"/>
              <w:bottom w:val="single" w:sz="6" w:space="0" w:color="69BD28"/>
            </w:tcBorders>
          </w:tcPr>
          <w:p>
            <w:pPr>
              <w:pStyle w:val="TableParagraph"/>
              <w:jc w:val="left"/>
              <w:rPr>
                <w:rFonts w:ascii="Times New Roman"/>
                <w:sz w:val="14"/>
              </w:rPr>
            </w:pPr>
          </w:p>
        </w:tc>
      </w:tr>
    </w:tbl>
    <w:p>
      <w:pPr>
        <w:spacing w:before="0"/>
        <w:ind w:left="2685" w:right="0" w:firstLine="0"/>
        <w:jc w:val="both"/>
        <w:rPr>
          <w:sz w:val="18"/>
        </w:rPr>
      </w:pPr>
      <w:r>
        <w:rPr>
          <w:sz w:val="18"/>
        </w:rPr>
        <w:t>Source: Architect Certificate, Rent roll, lease deeds provided by the Client</w:t>
      </w:r>
    </w:p>
    <w:p>
      <w:pPr>
        <w:pStyle w:val="BodyText"/>
      </w:pPr>
    </w:p>
    <w:p>
      <w:pPr>
        <w:pStyle w:val="BodyText"/>
        <w:spacing w:before="6"/>
        <w:rPr>
          <w:sz w:val="19"/>
        </w:rPr>
      </w:pPr>
    </w:p>
    <w:p>
      <w:pPr>
        <w:spacing w:before="0"/>
        <w:ind w:left="505" w:right="0" w:firstLine="0"/>
        <w:jc w:val="left"/>
        <w:rPr>
          <w:sz w:val="18"/>
        </w:rPr>
      </w:pPr>
      <w:r>
        <w:rPr/>
        <w:pict>
          <v:shape style="position:absolute;margin-left:156.259995pt;margin-top:-6.189295pt;width:407.75pt;height:77.55pt;mso-position-horizontal-relative:page;mso-position-vertical-relative:paragraph;z-index:1585459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62"/>
                    <w:gridCol w:w="2894"/>
                    <w:gridCol w:w="2999"/>
                  </w:tblGrid>
                  <w:tr>
                    <w:trPr>
                      <w:trHeight w:val="674" w:hRule="atLeast"/>
                    </w:trPr>
                    <w:tc>
                      <w:tcPr>
                        <w:tcW w:w="2262" w:type="dxa"/>
                        <w:tcBorders>
                          <w:top w:val="single" w:sz="6" w:space="0" w:color="69BD28"/>
                        </w:tcBorders>
                        <w:shd w:val="clear" w:color="auto" w:fill="006A4D"/>
                      </w:tcPr>
                      <w:p>
                        <w:pPr>
                          <w:pStyle w:val="TableParagraph"/>
                          <w:spacing w:before="2"/>
                          <w:jc w:val="left"/>
                          <w:rPr>
                            <w:sz w:val="20"/>
                          </w:rPr>
                        </w:pPr>
                      </w:p>
                      <w:p>
                        <w:pPr>
                          <w:pStyle w:val="TableParagraph"/>
                          <w:ind w:left="204" w:right="205"/>
                          <w:rPr>
                            <w:b/>
                            <w:sz w:val="18"/>
                          </w:rPr>
                        </w:pPr>
                        <w:r>
                          <w:rPr>
                            <w:b/>
                            <w:color w:val="FFFFFF"/>
                            <w:w w:val="110"/>
                            <w:sz w:val="18"/>
                          </w:rPr>
                          <w:t>Valuation Approach</w:t>
                        </w:r>
                      </w:p>
                    </w:tc>
                    <w:tc>
                      <w:tcPr>
                        <w:tcW w:w="2894" w:type="dxa"/>
                        <w:tcBorders>
                          <w:top w:val="single" w:sz="6" w:space="0" w:color="69BD28"/>
                          <w:bottom w:val="single" w:sz="6" w:space="0" w:color="69BD28"/>
                        </w:tcBorders>
                        <w:shd w:val="clear" w:color="auto" w:fill="006A4D"/>
                      </w:tcPr>
                      <w:p>
                        <w:pPr>
                          <w:pStyle w:val="TableParagraph"/>
                          <w:spacing w:before="2"/>
                          <w:jc w:val="left"/>
                          <w:rPr>
                            <w:sz w:val="20"/>
                          </w:rPr>
                        </w:pPr>
                      </w:p>
                      <w:p>
                        <w:pPr>
                          <w:pStyle w:val="TableParagraph"/>
                          <w:ind w:left="652"/>
                          <w:jc w:val="left"/>
                          <w:rPr>
                            <w:b/>
                            <w:sz w:val="18"/>
                          </w:rPr>
                        </w:pPr>
                        <w:r>
                          <w:rPr>
                            <w:b/>
                            <w:color w:val="FFFFFF"/>
                            <w:w w:val="110"/>
                            <w:sz w:val="18"/>
                          </w:rPr>
                          <w:t>Completed Blocks</w:t>
                        </w:r>
                      </w:p>
                    </w:tc>
                    <w:tc>
                      <w:tcPr>
                        <w:tcW w:w="2999" w:type="dxa"/>
                        <w:tcBorders>
                          <w:top w:val="single" w:sz="6" w:space="0" w:color="69BD28"/>
                          <w:bottom w:val="single" w:sz="6" w:space="0" w:color="69BD28"/>
                        </w:tcBorders>
                        <w:shd w:val="clear" w:color="auto" w:fill="006A4D"/>
                      </w:tcPr>
                      <w:p>
                        <w:pPr>
                          <w:pStyle w:val="TableParagraph"/>
                          <w:spacing w:line="249" w:lineRule="auto" w:before="126"/>
                          <w:ind w:left="1220" w:right="40" w:hanging="1080"/>
                          <w:jc w:val="left"/>
                          <w:rPr>
                            <w:b/>
                            <w:sz w:val="18"/>
                          </w:rPr>
                        </w:pPr>
                        <w:r>
                          <w:rPr>
                            <w:b/>
                            <w:color w:val="FFFFFF"/>
                            <w:w w:val="110"/>
                            <w:sz w:val="18"/>
                          </w:rPr>
                          <w:t>Under Construction/ Proposed Blocks</w:t>
                        </w:r>
                      </w:p>
                    </w:tc>
                  </w:tr>
                  <w:tr>
                    <w:trPr>
                      <w:trHeight w:val="832" w:hRule="atLeast"/>
                    </w:trPr>
                    <w:tc>
                      <w:tcPr>
                        <w:tcW w:w="2262" w:type="dxa"/>
                        <w:shd w:val="clear" w:color="auto" w:fill="69BD28"/>
                      </w:tcPr>
                      <w:p>
                        <w:pPr>
                          <w:pStyle w:val="TableParagraph"/>
                          <w:spacing w:before="8"/>
                          <w:jc w:val="left"/>
                          <w:rPr>
                            <w:sz w:val="26"/>
                          </w:rPr>
                        </w:pPr>
                      </w:p>
                      <w:p>
                        <w:pPr>
                          <w:pStyle w:val="TableParagraph"/>
                          <w:ind w:left="204" w:right="204"/>
                          <w:rPr>
                            <w:b/>
                            <w:sz w:val="18"/>
                          </w:rPr>
                        </w:pPr>
                        <w:r>
                          <w:rPr>
                            <w:b/>
                            <w:color w:val="FFFFFF"/>
                            <w:w w:val="105"/>
                            <w:sz w:val="18"/>
                          </w:rPr>
                          <w:t>Office Component</w:t>
                        </w:r>
                      </w:p>
                    </w:tc>
                    <w:tc>
                      <w:tcPr>
                        <w:tcW w:w="2894" w:type="dxa"/>
                        <w:tcBorders>
                          <w:top w:val="single" w:sz="6" w:space="0" w:color="69BD28"/>
                          <w:bottom w:val="single" w:sz="6" w:space="0" w:color="69BD28"/>
                        </w:tcBorders>
                      </w:tcPr>
                      <w:p>
                        <w:pPr>
                          <w:pStyle w:val="TableParagraph"/>
                          <w:spacing w:before="5"/>
                          <w:jc w:val="left"/>
                          <w:rPr>
                            <w:sz w:val="17"/>
                          </w:rPr>
                        </w:pPr>
                      </w:p>
                      <w:p>
                        <w:pPr>
                          <w:pStyle w:val="TableParagraph"/>
                          <w:spacing w:line="247" w:lineRule="auto"/>
                          <w:ind w:left="155" w:right="40" w:firstLine="100"/>
                          <w:jc w:val="left"/>
                          <w:rPr>
                            <w:sz w:val="18"/>
                          </w:rPr>
                        </w:pPr>
                        <w:r>
                          <w:rPr>
                            <w:sz w:val="18"/>
                          </w:rPr>
                          <w:t>Discounted Cash Flow Method (using rental reversion approach)</w:t>
                        </w:r>
                      </w:p>
                    </w:tc>
                    <w:tc>
                      <w:tcPr>
                        <w:tcW w:w="2999" w:type="dxa"/>
                        <w:tcBorders>
                          <w:top w:val="single" w:sz="6" w:space="0" w:color="69BD28"/>
                          <w:bottom w:val="single" w:sz="6" w:space="0" w:color="69BD28"/>
                        </w:tcBorders>
                      </w:tcPr>
                      <w:p>
                        <w:pPr>
                          <w:pStyle w:val="TableParagraph"/>
                          <w:spacing w:before="5"/>
                          <w:jc w:val="left"/>
                          <w:rPr>
                            <w:sz w:val="17"/>
                          </w:rPr>
                        </w:pPr>
                      </w:p>
                      <w:p>
                        <w:pPr>
                          <w:pStyle w:val="TableParagraph"/>
                          <w:spacing w:line="247" w:lineRule="auto"/>
                          <w:ind w:left="209" w:right="91" w:firstLine="100"/>
                          <w:jc w:val="left"/>
                          <w:rPr>
                            <w:sz w:val="18"/>
                          </w:rPr>
                        </w:pPr>
                        <w:r>
                          <w:rPr>
                            <w:sz w:val="18"/>
                          </w:rPr>
                          <w:t>Discounted Cash Flow Method (using rental reversion approach)</w:t>
                        </w:r>
                      </w:p>
                    </w:tc>
                  </w:tr>
                </w:tbl>
                <w:p>
                  <w:pPr>
                    <w:pStyle w:val="BodyText"/>
                  </w:pPr>
                </w:p>
              </w:txbxContent>
            </v:textbox>
            <w10:wrap type="none"/>
          </v:shape>
        </w:pict>
      </w:r>
      <w:r>
        <w:rPr>
          <w:color w:val="006A4D"/>
          <w:sz w:val="18"/>
        </w:rPr>
        <w:t>Valuation Approaches:</w:t>
      </w:r>
    </w:p>
    <w:p>
      <w:pPr>
        <w:pStyle w:val="BodyText"/>
      </w:pPr>
    </w:p>
    <w:p>
      <w:pPr>
        <w:pStyle w:val="BodyText"/>
      </w:pPr>
    </w:p>
    <w:p>
      <w:pPr>
        <w:pStyle w:val="BodyText"/>
      </w:pPr>
    </w:p>
    <w:p>
      <w:pPr>
        <w:pStyle w:val="BodyText"/>
      </w:pPr>
    </w:p>
    <w:p>
      <w:pPr>
        <w:pStyle w:val="BodyText"/>
        <w:spacing w:before="4"/>
        <w:rPr>
          <w:sz w:val="28"/>
        </w:rPr>
      </w:pPr>
    </w:p>
    <w:p>
      <w:pPr>
        <w:tabs>
          <w:tab w:pos="2685" w:val="left" w:leader="none"/>
        </w:tabs>
        <w:spacing w:before="1"/>
        <w:ind w:left="505" w:right="0" w:firstLine="0"/>
        <w:jc w:val="left"/>
        <w:rPr>
          <w:sz w:val="18"/>
        </w:rPr>
      </w:pPr>
      <w:r>
        <w:rPr>
          <w:color w:val="006A4D"/>
          <w:sz w:val="18"/>
        </w:rPr>
        <w:t>Date</w:t>
      </w:r>
      <w:r>
        <w:rPr>
          <w:color w:val="006A4D"/>
          <w:spacing w:val="-14"/>
          <w:sz w:val="18"/>
        </w:rPr>
        <w:t> </w:t>
      </w:r>
      <w:r>
        <w:rPr>
          <w:color w:val="006A4D"/>
          <w:sz w:val="18"/>
        </w:rPr>
        <w:t>of</w:t>
      </w:r>
      <w:r>
        <w:rPr>
          <w:color w:val="006A4D"/>
          <w:spacing w:val="-13"/>
          <w:sz w:val="18"/>
        </w:rPr>
        <w:t> </w:t>
      </w:r>
      <w:r>
        <w:rPr>
          <w:color w:val="006A4D"/>
          <w:sz w:val="18"/>
        </w:rPr>
        <w:t>Valuation:</w:t>
        <w:tab/>
      </w:r>
      <w:r>
        <w:rPr>
          <w:sz w:val="18"/>
        </w:rPr>
        <w:t>Match 31,</w:t>
      </w:r>
      <w:r>
        <w:rPr>
          <w:spacing w:val="-1"/>
          <w:sz w:val="18"/>
        </w:rPr>
        <w:t> </w:t>
      </w:r>
      <w:r>
        <w:rPr>
          <w:sz w:val="18"/>
        </w:rPr>
        <w:t>2020</w:t>
      </w:r>
    </w:p>
    <w:p>
      <w:pPr>
        <w:pStyle w:val="BodyText"/>
        <w:spacing w:before="7"/>
        <w:rPr>
          <w:sz w:val="27"/>
        </w:rPr>
      </w:pPr>
    </w:p>
    <w:p>
      <w:pPr>
        <w:tabs>
          <w:tab w:pos="2685" w:val="left" w:leader="none"/>
        </w:tabs>
        <w:spacing w:line="321" w:lineRule="auto" w:before="0"/>
        <w:ind w:left="2685" w:right="547" w:hanging="2180"/>
        <w:jc w:val="both"/>
        <w:rPr>
          <w:sz w:val="18"/>
        </w:rPr>
      </w:pPr>
      <w:r>
        <w:rPr>
          <w:color w:val="006A4D"/>
          <w:sz w:val="18"/>
        </w:rPr>
        <w:t>Date</w:t>
      </w:r>
      <w:r>
        <w:rPr>
          <w:color w:val="006A4D"/>
          <w:spacing w:val="-18"/>
          <w:sz w:val="18"/>
        </w:rPr>
        <w:t> </w:t>
      </w:r>
      <w:r>
        <w:rPr>
          <w:color w:val="006A4D"/>
          <w:sz w:val="18"/>
        </w:rPr>
        <w:t>of</w:t>
      </w:r>
      <w:r>
        <w:rPr>
          <w:color w:val="006A4D"/>
          <w:spacing w:val="-18"/>
          <w:sz w:val="18"/>
        </w:rPr>
        <w:t> </w:t>
      </w:r>
      <w:r>
        <w:rPr>
          <w:color w:val="006A4D"/>
          <w:sz w:val="18"/>
        </w:rPr>
        <w:t>Inspection:</w:t>
        <w:tab/>
      </w:r>
      <w:r>
        <w:rPr>
          <w:sz w:val="18"/>
        </w:rPr>
        <w:t>Not Applicable. Due to the outbreak of Novel Coronavirus (COVID-19), declared by the World health Organisation</w:t>
      </w:r>
      <w:r>
        <w:rPr>
          <w:spacing w:val="-11"/>
          <w:sz w:val="18"/>
        </w:rPr>
        <w:t> </w:t>
      </w:r>
      <w:r>
        <w:rPr>
          <w:sz w:val="18"/>
        </w:rPr>
        <w:t>as</w:t>
      </w:r>
      <w:r>
        <w:rPr>
          <w:spacing w:val="-10"/>
          <w:sz w:val="18"/>
        </w:rPr>
        <w:t> </w:t>
      </w:r>
      <w:r>
        <w:rPr>
          <w:sz w:val="18"/>
        </w:rPr>
        <w:t>a</w:t>
      </w:r>
      <w:r>
        <w:rPr>
          <w:spacing w:val="-12"/>
          <w:sz w:val="18"/>
        </w:rPr>
        <w:t> </w:t>
      </w:r>
      <w:r>
        <w:rPr>
          <w:sz w:val="18"/>
        </w:rPr>
        <w:t>“Global</w:t>
      </w:r>
      <w:r>
        <w:rPr>
          <w:spacing w:val="-9"/>
          <w:sz w:val="18"/>
        </w:rPr>
        <w:t> </w:t>
      </w:r>
      <w:r>
        <w:rPr>
          <w:sz w:val="18"/>
        </w:rPr>
        <w:t>Pandemic”</w:t>
      </w:r>
      <w:r>
        <w:rPr>
          <w:spacing w:val="-13"/>
          <w:sz w:val="18"/>
        </w:rPr>
        <w:t> </w:t>
      </w:r>
      <w:r>
        <w:rPr>
          <w:sz w:val="18"/>
        </w:rPr>
        <w:t>on</w:t>
      </w:r>
      <w:r>
        <w:rPr>
          <w:spacing w:val="-12"/>
          <w:sz w:val="18"/>
        </w:rPr>
        <w:t> </w:t>
      </w:r>
      <w:r>
        <w:rPr>
          <w:sz w:val="18"/>
        </w:rPr>
        <w:t>11</w:t>
      </w:r>
      <w:r>
        <w:rPr>
          <w:position w:val="6"/>
          <w:sz w:val="11"/>
        </w:rPr>
        <w:t>th</w:t>
      </w:r>
      <w:r>
        <w:rPr>
          <w:spacing w:val="11"/>
          <w:position w:val="6"/>
          <w:sz w:val="11"/>
        </w:rPr>
        <w:t> </w:t>
      </w:r>
      <w:r>
        <w:rPr>
          <w:sz w:val="18"/>
        </w:rPr>
        <w:t>March</w:t>
      </w:r>
      <w:r>
        <w:rPr>
          <w:spacing w:val="-10"/>
          <w:sz w:val="18"/>
        </w:rPr>
        <w:t> </w:t>
      </w:r>
      <w:r>
        <w:rPr>
          <w:sz w:val="18"/>
        </w:rPr>
        <w:t>2020,</w:t>
      </w:r>
      <w:r>
        <w:rPr>
          <w:spacing w:val="-11"/>
          <w:sz w:val="18"/>
        </w:rPr>
        <w:t> </w:t>
      </w:r>
      <w:r>
        <w:rPr>
          <w:sz w:val="18"/>
        </w:rPr>
        <w:t>it</w:t>
      </w:r>
      <w:r>
        <w:rPr>
          <w:spacing w:val="-12"/>
          <w:sz w:val="18"/>
        </w:rPr>
        <w:t> </w:t>
      </w:r>
      <w:r>
        <w:rPr>
          <w:sz w:val="18"/>
        </w:rPr>
        <w:t>has</w:t>
      </w:r>
      <w:r>
        <w:rPr>
          <w:spacing w:val="-11"/>
          <w:sz w:val="18"/>
        </w:rPr>
        <w:t> </w:t>
      </w:r>
      <w:r>
        <w:rPr>
          <w:sz w:val="18"/>
        </w:rPr>
        <w:t>not</w:t>
      </w:r>
      <w:r>
        <w:rPr>
          <w:spacing w:val="-12"/>
          <w:sz w:val="18"/>
        </w:rPr>
        <w:t> </w:t>
      </w:r>
      <w:r>
        <w:rPr>
          <w:sz w:val="18"/>
        </w:rPr>
        <w:t>been</w:t>
      </w:r>
      <w:r>
        <w:rPr>
          <w:spacing w:val="-10"/>
          <w:sz w:val="18"/>
        </w:rPr>
        <w:t> </w:t>
      </w:r>
      <w:r>
        <w:rPr>
          <w:sz w:val="18"/>
        </w:rPr>
        <w:t>possible</w:t>
      </w:r>
      <w:r>
        <w:rPr>
          <w:spacing w:val="-10"/>
          <w:sz w:val="18"/>
        </w:rPr>
        <w:t> </w:t>
      </w:r>
      <w:r>
        <w:rPr>
          <w:sz w:val="18"/>
        </w:rPr>
        <w:t>to</w:t>
      </w:r>
      <w:r>
        <w:rPr>
          <w:spacing w:val="-13"/>
          <w:sz w:val="18"/>
        </w:rPr>
        <w:t> </w:t>
      </w:r>
      <w:r>
        <w:rPr>
          <w:sz w:val="18"/>
        </w:rPr>
        <w:t>carry</w:t>
      </w:r>
      <w:r>
        <w:rPr>
          <w:spacing w:val="-13"/>
          <w:sz w:val="18"/>
        </w:rPr>
        <w:t> </w:t>
      </w:r>
      <w:r>
        <w:rPr>
          <w:sz w:val="18"/>
        </w:rPr>
        <w:t>out</w:t>
      </w:r>
      <w:r>
        <w:rPr>
          <w:spacing w:val="-12"/>
          <w:sz w:val="18"/>
        </w:rPr>
        <w:t> </w:t>
      </w:r>
      <w:r>
        <w:rPr>
          <w:sz w:val="18"/>
        </w:rPr>
        <w:t>a</w:t>
      </w:r>
      <w:r>
        <w:rPr>
          <w:spacing w:val="-11"/>
          <w:sz w:val="18"/>
        </w:rPr>
        <w:t> </w:t>
      </w:r>
      <w:r>
        <w:rPr>
          <w:sz w:val="18"/>
        </w:rPr>
        <w:t>formal inspection</w:t>
      </w:r>
      <w:r>
        <w:rPr>
          <w:spacing w:val="-31"/>
          <w:sz w:val="18"/>
        </w:rPr>
        <w:t> </w:t>
      </w:r>
      <w:r>
        <w:rPr>
          <w:sz w:val="18"/>
        </w:rPr>
        <w:t>of</w:t>
      </w:r>
      <w:r>
        <w:rPr>
          <w:spacing w:val="-31"/>
          <w:sz w:val="18"/>
        </w:rPr>
        <w:t> </w:t>
      </w:r>
      <w:r>
        <w:rPr>
          <w:sz w:val="18"/>
        </w:rPr>
        <w:t>the</w:t>
      </w:r>
      <w:r>
        <w:rPr>
          <w:spacing w:val="-30"/>
          <w:sz w:val="18"/>
        </w:rPr>
        <w:t> </w:t>
      </w:r>
      <w:r>
        <w:rPr>
          <w:sz w:val="18"/>
        </w:rPr>
        <w:t>property</w:t>
      </w:r>
      <w:r>
        <w:rPr>
          <w:spacing w:val="-30"/>
          <w:sz w:val="18"/>
        </w:rPr>
        <w:t> </w:t>
      </w:r>
      <w:r>
        <w:rPr>
          <w:sz w:val="18"/>
        </w:rPr>
        <w:t>for</w:t>
      </w:r>
      <w:r>
        <w:rPr>
          <w:spacing w:val="-31"/>
          <w:sz w:val="18"/>
        </w:rPr>
        <w:t> </w:t>
      </w:r>
      <w:r>
        <w:rPr>
          <w:sz w:val="18"/>
        </w:rPr>
        <w:t>the</w:t>
      </w:r>
      <w:r>
        <w:rPr>
          <w:spacing w:val="-30"/>
          <w:sz w:val="18"/>
        </w:rPr>
        <w:t> </w:t>
      </w:r>
      <w:r>
        <w:rPr>
          <w:sz w:val="18"/>
        </w:rPr>
        <w:t>current</w:t>
      </w:r>
      <w:r>
        <w:rPr>
          <w:spacing w:val="-31"/>
          <w:sz w:val="18"/>
        </w:rPr>
        <w:t> </w:t>
      </w:r>
      <w:r>
        <w:rPr>
          <w:sz w:val="18"/>
        </w:rPr>
        <w:t>update.</w:t>
      </w:r>
      <w:r>
        <w:rPr>
          <w:spacing w:val="-30"/>
          <w:sz w:val="18"/>
        </w:rPr>
        <w:t> </w:t>
      </w:r>
      <w:r>
        <w:rPr>
          <w:sz w:val="18"/>
        </w:rPr>
        <w:t>The</w:t>
      </w:r>
      <w:r>
        <w:rPr>
          <w:spacing w:val="-30"/>
          <w:sz w:val="18"/>
        </w:rPr>
        <w:t> </w:t>
      </w:r>
      <w:r>
        <w:rPr>
          <w:sz w:val="18"/>
        </w:rPr>
        <w:t>site</w:t>
      </w:r>
      <w:r>
        <w:rPr>
          <w:spacing w:val="-30"/>
          <w:sz w:val="18"/>
        </w:rPr>
        <w:t> </w:t>
      </w:r>
      <w:r>
        <w:rPr>
          <w:sz w:val="18"/>
        </w:rPr>
        <w:t>observation,</w:t>
      </w:r>
      <w:r>
        <w:rPr>
          <w:spacing w:val="-31"/>
          <w:sz w:val="18"/>
        </w:rPr>
        <w:t> </w:t>
      </w:r>
      <w:r>
        <w:rPr>
          <w:sz w:val="18"/>
        </w:rPr>
        <w:t>details</w:t>
      </w:r>
      <w:r>
        <w:rPr>
          <w:spacing w:val="-30"/>
          <w:sz w:val="18"/>
        </w:rPr>
        <w:t> </w:t>
      </w:r>
      <w:r>
        <w:rPr>
          <w:sz w:val="18"/>
        </w:rPr>
        <w:t>and</w:t>
      </w:r>
      <w:r>
        <w:rPr>
          <w:spacing w:val="-31"/>
          <w:sz w:val="18"/>
        </w:rPr>
        <w:t> </w:t>
      </w:r>
      <w:r>
        <w:rPr>
          <w:sz w:val="18"/>
        </w:rPr>
        <w:t>pictures</w:t>
      </w:r>
      <w:r>
        <w:rPr>
          <w:spacing w:val="-30"/>
          <w:sz w:val="18"/>
        </w:rPr>
        <w:t> </w:t>
      </w:r>
      <w:r>
        <w:rPr>
          <w:sz w:val="18"/>
        </w:rPr>
        <w:t>are</w:t>
      </w:r>
      <w:r>
        <w:rPr>
          <w:spacing w:val="-30"/>
          <w:sz w:val="18"/>
        </w:rPr>
        <w:t> </w:t>
      </w:r>
      <w:r>
        <w:rPr>
          <w:sz w:val="18"/>
        </w:rPr>
        <w:t>as</w:t>
      </w:r>
      <w:r>
        <w:rPr>
          <w:spacing w:val="-30"/>
          <w:sz w:val="18"/>
        </w:rPr>
        <w:t> </w:t>
      </w:r>
      <w:r>
        <w:rPr>
          <w:sz w:val="18"/>
        </w:rPr>
        <w:t>per</w:t>
      </w:r>
      <w:r>
        <w:rPr>
          <w:spacing w:val="-31"/>
          <w:sz w:val="18"/>
        </w:rPr>
        <w:t> </w:t>
      </w:r>
      <w:r>
        <w:rPr>
          <w:sz w:val="18"/>
        </w:rPr>
        <w:t>the previous site visit undertaken/</w:t>
      </w:r>
      <w:r>
        <w:rPr>
          <w:spacing w:val="-41"/>
          <w:sz w:val="18"/>
        </w:rPr>
        <w:t> </w:t>
      </w:r>
      <w:r>
        <w:rPr>
          <w:sz w:val="18"/>
        </w:rPr>
        <w:t>as provided by the Client</w:t>
      </w:r>
    </w:p>
    <w:p>
      <w:pPr>
        <w:spacing w:after="0" w:line="321" w:lineRule="auto"/>
        <w:jc w:val="both"/>
        <w:rPr>
          <w:sz w:val="18"/>
        </w:rPr>
        <w:sectPr>
          <w:pgSz w:w="11910" w:h="16840"/>
          <w:pgMar w:header="720" w:footer="842" w:top="1520" w:bottom="1040" w:left="440" w:right="80"/>
        </w:sectPr>
      </w:pPr>
    </w:p>
    <w:p>
      <w:pPr>
        <w:pStyle w:val="BodyText"/>
        <w:rPr>
          <w:sz w:val="20"/>
        </w:rPr>
      </w:pPr>
    </w:p>
    <w:p>
      <w:pPr>
        <w:spacing w:after="0"/>
        <w:rPr>
          <w:sz w:val="20"/>
        </w:rPr>
        <w:sectPr>
          <w:pgSz w:w="11910" w:h="16840"/>
          <w:pgMar w:header="720" w:footer="842" w:top="1520" w:bottom="1040" w:left="440" w:right="80"/>
        </w:sectPr>
      </w:pPr>
    </w:p>
    <w:p>
      <w:pPr>
        <w:pStyle w:val="BodyText"/>
        <w:spacing w:before="5"/>
        <w:rPr>
          <w:sz w:val="23"/>
        </w:rPr>
      </w:pPr>
    </w:p>
    <w:p>
      <w:pPr>
        <w:spacing w:line="321" w:lineRule="auto" w:before="1"/>
        <w:ind w:left="505" w:right="-17" w:firstLine="0"/>
        <w:jc w:val="left"/>
        <w:rPr>
          <w:sz w:val="18"/>
        </w:rPr>
      </w:pPr>
      <w:r>
        <w:rPr>
          <w:color w:val="006A4D"/>
          <w:sz w:val="18"/>
        </w:rPr>
        <w:t>Purchase</w:t>
      </w:r>
      <w:r>
        <w:rPr>
          <w:color w:val="006A4D"/>
          <w:spacing w:val="-36"/>
          <w:sz w:val="18"/>
        </w:rPr>
        <w:t> </w:t>
      </w:r>
      <w:r>
        <w:rPr>
          <w:color w:val="006A4D"/>
          <w:sz w:val="18"/>
        </w:rPr>
        <w:t>Price</w:t>
      </w:r>
      <w:r>
        <w:rPr>
          <w:color w:val="006A4D"/>
          <w:spacing w:val="-36"/>
          <w:sz w:val="18"/>
        </w:rPr>
        <w:t> </w:t>
      </w:r>
      <w:r>
        <w:rPr>
          <w:color w:val="006A4D"/>
          <w:sz w:val="18"/>
        </w:rPr>
        <w:t>for</w:t>
      </w:r>
      <w:r>
        <w:rPr>
          <w:color w:val="006A4D"/>
          <w:spacing w:val="-36"/>
          <w:sz w:val="18"/>
        </w:rPr>
        <w:t> </w:t>
      </w:r>
      <w:r>
        <w:rPr>
          <w:color w:val="006A4D"/>
          <w:sz w:val="18"/>
        </w:rPr>
        <w:t>the property:</w:t>
      </w:r>
    </w:p>
    <w:p>
      <w:pPr>
        <w:pStyle w:val="BodyText"/>
        <w:spacing w:before="5"/>
        <w:rPr>
          <w:sz w:val="23"/>
        </w:rPr>
      </w:pPr>
      <w:r>
        <w:rPr/>
        <w:br w:type="column"/>
      </w:r>
      <w:r>
        <w:rPr>
          <w:sz w:val="23"/>
        </w:rPr>
      </w:r>
    </w:p>
    <w:p>
      <w:pPr>
        <w:spacing w:before="1"/>
        <w:ind w:left="450" w:right="0" w:firstLine="0"/>
        <w:jc w:val="left"/>
        <w:rPr>
          <w:sz w:val="18"/>
        </w:rPr>
      </w:pPr>
      <w:r>
        <w:rPr>
          <w:sz w:val="18"/>
        </w:rPr>
        <w:t>The said acquisition was undertaken as part of the ‘Formation Transaction’ as described in the Final</w:t>
      </w:r>
    </w:p>
    <w:p>
      <w:pPr>
        <w:spacing w:before="71"/>
        <w:ind w:left="450" w:right="0" w:firstLine="0"/>
        <w:jc w:val="left"/>
        <w:rPr>
          <w:sz w:val="18"/>
        </w:rPr>
      </w:pPr>
      <w:r>
        <w:rPr>
          <w:sz w:val="18"/>
        </w:rPr>
        <w:t>Offer 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2195" w:space="40"/>
            <w:col w:w="9155"/>
          </w:cols>
        </w:sectPr>
      </w:pPr>
    </w:p>
    <w:p>
      <w:pPr>
        <w:pStyle w:val="BodyText"/>
        <w:spacing w:before="7"/>
        <w:rPr>
          <w:sz w:val="12"/>
        </w:rPr>
      </w:pPr>
    </w:p>
    <w:p>
      <w:pPr>
        <w:spacing w:after="0"/>
        <w:rPr>
          <w:sz w:val="12"/>
        </w:rPr>
        <w:sectPr>
          <w:type w:val="continuous"/>
          <w:pgSz w:w="11910" w:h="16840"/>
          <w:pgMar w:top="800" w:bottom="280" w:left="440" w:right="80"/>
        </w:sectPr>
      </w:pPr>
    </w:p>
    <w:p>
      <w:pPr>
        <w:spacing w:line="321" w:lineRule="auto" w:before="104"/>
        <w:ind w:left="505" w:right="-14" w:firstLine="0"/>
        <w:jc w:val="left"/>
        <w:rPr>
          <w:sz w:val="18"/>
        </w:rPr>
      </w:pPr>
      <w:r>
        <w:rPr>
          <w:color w:val="006A4D"/>
          <w:sz w:val="18"/>
        </w:rPr>
        <w:t>Ready</w:t>
      </w:r>
      <w:r>
        <w:rPr>
          <w:color w:val="006A4D"/>
          <w:spacing w:val="-30"/>
          <w:sz w:val="18"/>
        </w:rPr>
        <w:t> </w:t>
      </w:r>
      <w:r>
        <w:rPr>
          <w:color w:val="006A4D"/>
          <w:sz w:val="18"/>
        </w:rPr>
        <w:t>Reckoner</w:t>
      </w:r>
      <w:r>
        <w:rPr>
          <w:color w:val="006A4D"/>
          <w:spacing w:val="-29"/>
          <w:sz w:val="18"/>
        </w:rPr>
        <w:t> </w:t>
      </w:r>
      <w:r>
        <w:rPr>
          <w:color w:val="006A4D"/>
          <w:sz w:val="18"/>
        </w:rPr>
        <w:t>Rate</w:t>
      </w:r>
      <w:r>
        <w:rPr>
          <w:color w:val="006A4D"/>
          <w:spacing w:val="-29"/>
          <w:sz w:val="18"/>
        </w:rPr>
        <w:t> </w:t>
      </w:r>
      <w:r>
        <w:rPr>
          <w:color w:val="006A4D"/>
          <w:sz w:val="18"/>
        </w:rPr>
        <w:t>(as per documents published by State Government):</w:t>
      </w:r>
    </w:p>
    <w:p>
      <w:pPr>
        <w:spacing w:line="321" w:lineRule="auto" w:before="133"/>
        <w:ind w:left="505" w:right="90" w:firstLine="0"/>
        <w:jc w:val="left"/>
        <w:rPr>
          <w:sz w:val="18"/>
        </w:rPr>
      </w:pPr>
      <w:r>
        <w:rPr>
          <w:color w:val="006A4D"/>
          <w:sz w:val="18"/>
        </w:rPr>
        <w:t>Value Conclusion as of March 31, 2020:</w:t>
      </w:r>
    </w:p>
    <w:p>
      <w:pPr>
        <w:pStyle w:val="BodyText"/>
      </w:pPr>
    </w:p>
    <w:p>
      <w:pPr>
        <w:pStyle w:val="BodyText"/>
      </w:pPr>
    </w:p>
    <w:p>
      <w:pPr>
        <w:pStyle w:val="BodyText"/>
      </w:pPr>
    </w:p>
    <w:p>
      <w:pPr>
        <w:pStyle w:val="BodyText"/>
      </w:pPr>
    </w:p>
    <w:p>
      <w:pPr>
        <w:pStyle w:val="BodyText"/>
        <w:spacing w:before="10"/>
        <w:rPr>
          <w:sz w:val="27"/>
        </w:rPr>
      </w:pPr>
    </w:p>
    <w:p>
      <w:pPr>
        <w:spacing w:line="321" w:lineRule="auto" w:before="1"/>
        <w:ind w:left="505" w:right="59" w:firstLine="0"/>
        <w:jc w:val="left"/>
        <w:rPr>
          <w:sz w:val="18"/>
        </w:rPr>
      </w:pPr>
      <w:r>
        <w:rPr>
          <w:color w:val="006A4D"/>
          <w:sz w:val="18"/>
        </w:rPr>
        <w:t>Assumptions, </w:t>
      </w:r>
      <w:r>
        <w:rPr>
          <w:color w:val="006A4D"/>
          <w:w w:val="95"/>
          <w:sz w:val="18"/>
        </w:rPr>
        <w:t>Disclaimers, Limitations </w:t>
      </w:r>
      <w:r>
        <w:rPr>
          <w:color w:val="006A4D"/>
          <w:sz w:val="18"/>
        </w:rPr>
        <w:t>&amp; Qualifications</w:t>
      </w:r>
    </w:p>
    <w:p>
      <w:pPr>
        <w:spacing w:before="104"/>
        <w:ind w:left="225" w:right="0" w:firstLine="0"/>
        <w:jc w:val="left"/>
        <w:rPr>
          <w:sz w:val="18"/>
        </w:rPr>
      </w:pPr>
      <w:r>
        <w:rPr/>
        <w:br w:type="column"/>
      </w:r>
      <w:r>
        <w:rPr>
          <w:sz w:val="18"/>
        </w:rPr>
        <w:t>Land Rate: INR 28,000 per sqm of land area</w:t>
      </w:r>
    </w:p>
    <w:p>
      <w:pPr>
        <w:spacing w:before="192"/>
        <w:ind w:left="225" w:right="0" w:firstLine="0"/>
        <w:jc w:val="left"/>
        <w:rPr>
          <w:sz w:val="18"/>
        </w:rPr>
      </w:pPr>
      <w:r>
        <w:rPr>
          <w:sz w:val="18"/>
        </w:rPr>
        <w:t>Built-up Rate: INR 15,000 per sqm of covered area</w:t>
      </w:r>
    </w:p>
    <w:p>
      <w:pPr>
        <w:pStyle w:val="BodyText"/>
        <w:rPr>
          <w:sz w:val="20"/>
        </w:rPr>
      </w:pPr>
    </w:p>
    <w:p>
      <w:pPr>
        <w:pStyle w:val="BodyText"/>
        <w:rPr>
          <w:sz w:val="20"/>
        </w:rPr>
      </w:pPr>
    </w:p>
    <w:p>
      <w:pPr>
        <w:pStyle w:val="BodyText"/>
        <w:spacing w:before="3" w:after="1"/>
        <w:rPr>
          <w:sz w:val="16"/>
        </w:rPr>
      </w:pPr>
    </w:p>
    <w:tbl>
      <w:tblPr>
        <w:tblW w:w="0" w:type="auto"/>
        <w:jc w:val="left"/>
        <w:tblInd w:w="2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49"/>
        <w:gridCol w:w="3818"/>
      </w:tblGrid>
      <w:tr>
        <w:trPr>
          <w:trHeight w:val="344" w:hRule="atLeast"/>
        </w:trPr>
        <w:tc>
          <w:tcPr>
            <w:tcW w:w="4349" w:type="dxa"/>
            <w:tcBorders>
              <w:top w:val="single" w:sz="12" w:space="0" w:color="1F6B16"/>
              <w:bottom w:val="single" w:sz="6" w:space="0" w:color="69BD28"/>
            </w:tcBorders>
            <w:shd w:val="clear" w:color="auto" w:fill="006A4D"/>
          </w:tcPr>
          <w:p>
            <w:pPr>
              <w:pStyle w:val="TableParagraph"/>
              <w:spacing w:before="68"/>
              <w:ind w:left="582" w:right="721"/>
              <w:rPr>
                <w:b/>
                <w:sz w:val="18"/>
              </w:rPr>
            </w:pPr>
            <w:r>
              <w:rPr>
                <w:b/>
                <w:color w:val="FFFFFF"/>
                <w:w w:val="105"/>
                <w:sz w:val="18"/>
              </w:rPr>
              <w:t>Component</w:t>
            </w:r>
          </w:p>
        </w:tc>
        <w:tc>
          <w:tcPr>
            <w:tcW w:w="3818" w:type="dxa"/>
            <w:tcBorders>
              <w:top w:val="single" w:sz="12" w:space="0" w:color="1F6B16"/>
              <w:bottom w:val="single" w:sz="6" w:space="0" w:color="69BD28"/>
            </w:tcBorders>
            <w:shd w:val="clear" w:color="auto" w:fill="006A4D"/>
          </w:tcPr>
          <w:p>
            <w:pPr>
              <w:pStyle w:val="TableParagraph"/>
              <w:spacing w:before="68"/>
              <w:ind w:left="776" w:right="925"/>
              <w:rPr>
                <w:b/>
                <w:sz w:val="18"/>
              </w:rPr>
            </w:pPr>
            <w:r>
              <w:rPr>
                <w:b/>
                <w:color w:val="FFFFFF"/>
                <w:w w:val="110"/>
                <w:sz w:val="18"/>
              </w:rPr>
              <w:t>Market Value (INR mn)</w:t>
            </w:r>
          </w:p>
        </w:tc>
      </w:tr>
      <w:tr>
        <w:trPr>
          <w:trHeight w:val="364" w:hRule="atLeast"/>
        </w:trPr>
        <w:tc>
          <w:tcPr>
            <w:tcW w:w="4349" w:type="dxa"/>
            <w:tcBorders>
              <w:top w:val="single" w:sz="6" w:space="0" w:color="69BD28"/>
              <w:bottom w:val="single" w:sz="6" w:space="0" w:color="69BD28"/>
            </w:tcBorders>
          </w:tcPr>
          <w:p>
            <w:pPr>
              <w:pStyle w:val="TableParagraph"/>
              <w:spacing w:before="80"/>
              <w:ind w:left="582" w:right="722"/>
              <w:rPr>
                <w:sz w:val="18"/>
              </w:rPr>
            </w:pPr>
            <w:r>
              <w:rPr>
                <w:sz w:val="18"/>
              </w:rPr>
              <w:t>Completed Blocks</w:t>
            </w:r>
          </w:p>
        </w:tc>
        <w:tc>
          <w:tcPr>
            <w:tcW w:w="3818" w:type="dxa"/>
            <w:tcBorders>
              <w:top w:val="single" w:sz="6" w:space="0" w:color="69BD28"/>
              <w:bottom w:val="single" w:sz="6" w:space="0" w:color="69BD28"/>
            </w:tcBorders>
          </w:tcPr>
          <w:p>
            <w:pPr>
              <w:pStyle w:val="TableParagraph"/>
              <w:spacing w:before="80"/>
              <w:ind w:left="768" w:right="925"/>
              <w:rPr>
                <w:sz w:val="18"/>
              </w:rPr>
            </w:pPr>
            <w:r>
              <w:rPr>
                <w:w w:val="110"/>
                <w:sz w:val="18"/>
              </w:rPr>
              <w:t>19,492</w:t>
            </w:r>
          </w:p>
        </w:tc>
      </w:tr>
      <w:tr>
        <w:trPr>
          <w:trHeight w:val="393" w:hRule="atLeast"/>
        </w:trPr>
        <w:tc>
          <w:tcPr>
            <w:tcW w:w="4349" w:type="dxa"/>
            <w:tcBorders>
              <w:top w:val="single" w:sz="6" w:space="0" w:color="69BD28"/>
            </w:tcBorders>
          </w:tcPr>
          <w:p>
            <w:pPr>
              <w:pStyle w:val="TableParagraph"/>
              <w:spacing w:before="95"/>
              <w:ind w:left="582" w:right="724"/>
              <w:rPr>
                <w:sz w:val="18"/>
              </w:rPr>
            </w:pPr>
            <w:r>
              <w:rPr>
                <w:sz w:val="18"/>
              </w:rPr>
              <w:t>Under Construction/ Proposed Blocks</w:t>
            </w:r>
          </w:p>
        </w:tc>
        <w:tc>
          <w:tcPr>
            <w:tcW w:w="3818" w:type="dxa"/>
            <w:tcBorders>
              <w:top w:val="single" w:sz="6" w:space="0" w:color="69BD28"/>
            </w:tcBorders>
          </w:tcPr>
          <w:p>
            <w:pPr>
              <w:pStyle w:val="TableParagraph"/>
              <w:spacing w:before="95"/>
              <w:ind w:left="768" w:right="925"/>
              <w:rPr>
                <w:sz w:val="18"/>
              </w:rPr>
            </w:pPr>
            <w:r>
              <w:rPr>
                <w:w w:val="105"/>
                <w:sz w:val="18"/>
              </w:rPr>
              <w:t>1,924</w:t>
            </w:r>
          </w:p>
        </w:tc>
      </w:tr>
      <w:tr>
        <w:trPr>
          <w:trHeight w:val="393" w:hRule="atLeast"/>
        </w:trPr>
        <w:tc>
          <w:tcPr>
            <w:tcW w:w="4349" w:type="dxa"/>
            <w:shd w:val="clear" w:color="auto" w:fill="69BD28"/>
          </w:tcPr>
          <w:p>
            <w:pPr>
              <w:pStyle w:val="TableParagraph"/>
              <w:spacing w:before="92"/>
              <w:ind w:left="582" w:right="724"/>
              <w:rPr>
                <w:sz w:val="18"/>
              </w:rPr>
            </w:pPr>
            <w:r>
              <w:rPr>
                <w:color w:val="FFFFFF"/>
                <w:sz w:val="18"/>
              </w:rPr>
              <w:t>Total Value of the property</w:t>
            </w:r>
          </w:p>
        </w:tc>
        <w:tc>
          <w:tcPr>
            <w:tcW w:w="3818" w:type="dxa"/>
            <w:shd w:val="clear" w:color="auto" w:fill="69BD28"/>
          </w:tcPr>
          <w:p>
            <w:pPr>
              <w:pStyle w:val="TableParagraph"/>
              <w:spacing w:before="92"/>
              <w:ind w:left="772" w:right="925"/>
              <w:rPr>
                <w:b/>
                <w:sz w:val="18"/>
              </w:rPr>
            </w:pPr>
            <w:r>
              <w:rPr>
                <w:b/>
                <w:color w:val="FFFFFF"/>
                <w:w w:val="105"/>
                <w:sz w:val="18"/>
              </w:rPr>
              <w:t>21,416</w:t>
            </w:r>
          </w:p>
        </w:tc>
      </w:tr>
    </w:tbl>
    <w:p>
      <w:pPr>
        <w:pStyle w:val="BodyText"/>
        <w:spacing w:before="5"/>
        <w:rPr>
          <w:sz w:val="30"/>
        </w:rPr>
      </w:pPr>
    </w:p>
    <w:p>
      <w:pPr>
        <w:spacing w:line="321" w:lineRule="auto" w:before="1"/>
        <w:ind w:left="225" w:right="546" w:firstLine="0"/>
        <w:jc w:val="both"/>
        <w:rPr>
          <w:sz w:val="18"/>
        </w:rPr>
      </w:pPr>
      <w:r>
        <w:rPr>
          <w:sz w:val="18"/>
        </w:rPr>
        <w:t>This valuation report is provided subject to assumptions, disclaimers, limitations and qualifications </w:t>
      </w:r>
      <w:r>
        <w:rPr>
          <w:w w:val="95"/>
          <w:sz w:val="18"/>
        </w:rPr>
        <w:t>detailed</w:t>
      </w:r>
      <w:r>
        <w:rPr>
          <w:spacing w:val="-12"/>
          <w:w w:val="95"/>
          <w:sz w:val="18"/>
        </w:rPr>
        <w:t> </w:t>
      </w:r>
      <w:r>
        <w:rPr>
          <w:w w:val="95"/>
          <w:sz w:val="18"/>
        </w:rPr>
        <w:t>throughout</w:t>
      </w:r>
      <w:r>
        <w:rPr>
          <w:spacing w:val="-14"/>
          <w:w w:val="95"/>
          <w:sz w:val="18"/>
        </w:rPr>
        <w:t> </w:t>
      </w:r>
      <w:r>
        <w:rPr>
          <w:w w:val="95"/>
          <w:sz w:val="18"/>
        </w:rPr>
        <w:t>this</w:t>
      </w:r>
      <w:r>
        <w:rPr>
          <w:spacing w:val="-11"/>
          <w:w w:val="95"/>
          <w:sz w:val="18"/>
        </w:rPr>
        <w:t> </w:t>
      </w:r>
      <w:r>
        <w:rPr>
          <w:w w:val="95"/>
          <w:sz w:val="18"/>
        </w:rPr>
        <w:t>report</w:t>
      </w:r>
      <w:r>
        <w:rPr>
          <w:spacing w:val="-14"/>
          <w:w w:val="95"/>
          <w:sz w:val="18"/>
        </w:rPr>
        <w:t> </w:t>
      </w:r>
      <w:r>
        <w:rPr>
          <w:w w:val="95"/>
          <w:sz w:val="18"/>
        </w:rPr>
        <w:t>which</w:t>
      </w:r>
      <w:r>
        <w:rPr>
          <w:spacing w:val="-12"/>
          <w:w w:val="95"/>
          <w:sz w:val="18"/>
        </w:rPr>
        <w:t> </w:t>
      </w:r>
      <w:r>
        <w:rPr>
          <w:w w:val="95"/>
          <w:sz w:val="18"/>
        </w:rPr>
        <w:t>are</w:t>
      </w:r>
      <w:r>
        <w:rPr>
          <w:spacing w:val="-13"/>
          <w:w w:val="95"/>
          <w:sz w:val="18"/>
        </w:rPr>
        <w:t> </w:t>
      </w:r>
      <w:r>
        <w:rPr>
          <w:w w:val="95"/>
          <w:sz w:val="18"/>
        </w:rPr>
        <w:t>made</w:t>
      </w:r>
      <w:r>
        <w:rPr>
          <w:spacing w:val="-11"/>
          <w:w w:val="95"/>
          <w:sz w:val="18"/>
        </w:rPr>
        <w:t> </w:t>
      </w:r>
      <w:r>
        <w:rPr>
          <w:w w:val="95"/>
          <w:sz w:val="18"/>
        </w:rPr>
        <w:t>in</w:t>
      </w:r>
      <w:r>
        <w:rPr>
          <w:spacing w:val="-7"/>
          <w:w w:val="95"/>
          <w:sz w:val="18"/>
        </w:rPr>
        <w:t> </w:t>
      </w:r>
      <w:r>
        <w:rPr>
          <w:w w:val="95"/>
          <w:sz w:val="18"/>
        </w:rPr>
        <w:t>conjunction</w:t>
      </w:r>
      <w:r>
        <w:rPr>
          <w:spacing w:val="-14"/>
          <w:w w:val="95"/>
          <w:sz w:val="18"/>
        </w:rPr>
        <w:t> </w:t>
      </w:r>
      <w:r>
        <w:rPr>
          <w:w w:val="95"/>
          <w:sz w:val="18"/>
        </w:rPr>
        <w:t>with</w:t>
      </w:r>
      <w:r>
        <w:rPr>
          <w:spacing w:val="-11"/>
          <w:w w:val="95"/>
          <w:sz w:val="18"/>
        </w:rPr>
        <w:t> </w:t>
      </w:r>
      <w:r>
        <w:rPr>
          <w:w w:val="95"/>
          <w:sz w:val="18"/>
        </w:rPr>
        <w:t>those</w:t>
      </w:r>
      <w:r>
        <w:rPr>
          <w:spacing w:val="-12"/>
          <w:w w:val="95"/>
          <w:sz w:val="18"/>
        </w:rPr>
        <w:t> </w:t>
      </w:r>
      <w:r>
        <w:rPr>
          <w:w w:val="95"/>
          <w:sz w:val="18"/>
        </w:rPr>
        <w:t>included</w:t>
      </w:r>
      <w:r>
        <w:rPr>
          <w:spacing w:val="-12"/>
          <w:w w:val="95"/>
          <w:sz w:val="18"/>
        </w:rPr>
        <w:t> </w:t>
      </w:r>
      <w:r>
        <w:rPr>
          <w:w w:val="95"/>
          <w:sz w:val="18"/>
        </w:rPr>
        <w:t>within</w:t>
      </w:r>
      <w:r>
        <w:rPr>
          <w:spacing w:val="-11"/>
          <w:w w:val="95"/>
          <w:sz w:val="18"/>
        </w:rPr>
        <w:t> </w:t>
      </w:r>
      <w:r>
        <w:rPr>
          <w:w w:val="95"/>
          <w:sz w:val="18"/>
        </w:rPr>
        <w:t>the</w:t>
      </w:r>
      <w:r>
        <w:rPr>
          <w:spacing w:val="-12"/>
          <w:w w:val="95"/>
          <w:sz w:val="18"/>
        </w:rPr>
        <w:t> </w:t>
      </w:r>
      <w:r>
        <w:rPr>
          <w:w w:val="95"/>
          <w:sz w:val="18"/>
        </w:rPr>
        <w:t>Assumptions, </w:t>
      </w:r>
      <w:r>
        <w:rPr>
          <w:sz w:val="18"/>
        </w:rPr>
        <w:t>Disclaimers,</w:t>
      </w:r>
      <w:r>
        <w:rPr>
          <w:spacing w:val="-18"/>
          <w:sz w:val="18"/>
        </w:rPr>
        <w:t> </w:t>
      </w:r>
      <w:r>
        <w:rPr>
          <w:sz w:val="18"/>
        </w:rPr>
        <w:t>Limitations</w:t>
      </w:r>
      <w:r>
        <w:rPr>
          <w:spacing w:val="-17"/>
          <w:sz w:val="18"/>
        </w:rPr>
        <w:t> </w:t>
      </w:r>
      <w:r>
        <w:rPr>
          <w:sz w:val="18"/>
        </w:rPr>
        <w:t>&amp;</w:t>
      </w:r>
      <w:r>
        <w:rPr>
          <w:spacing w:val="-18"/>
          <w:sz w:val="18"/>
        </w:rPr>
        <w:t> </w:t>
      </w:r>
      <w:r>
        <w:rPr>
          <w:sz w:val="18"/>
        </w:rPr>
        <w:t>Qualifications</w:t>
      </w:r>
      <w:r>
        <w:rPr>
          <w:spacing w:val="-19"/>
          <w:sz w:val="18"/>
        </w:rPr>
        <w:t> </w:t>
      </w:r>
      <w:r>
        <w:rPr>
          <w:sz w:val="18"/>
        </w:rPr>
        <w:t>section</w:t>
      </w:r>
      <w:r>
        <w:rPr>
          <w:spacing w:val="-17"/>
          <w:sz w:val="18"/>
        </w:rPr>
        <w:t> </w:t>
      </w:r>
      <w:r>
        <w:rPr>
          <w:sz w:val="18"/>
        </w:rPr>
        <w:t>located</w:t>
      </w:r>
      <w:r>
        <w:rPr>
          <w:spacing w:val="-18"/>
          <w:sz w:val="18"/>
        </w:rPr>
        <w:t> </w:t>
      </w:r>
      <w:r>
        <w:rPr>
          <w:sz w:val="18"/>
        </w:rPr>
        <w:t>within</w:t>
      </w:r>
      <w:r>
        <w:rPr>
          <w:spacing w:val="-17"/>
          <w:sz w:val="18"/>
        </w:rPr>
        <w:t> </w:t>
      </w:r>
      <w:r>
        <w:rPr>
          <w:sz w:val="18"/>
        </w:rPr>
        <w:t>this</w:t>
      </w:r>
      <w:r>
        <w:rPr>
          <w:spacing w:val="-18"/>
          <w:sz w:val="18"/>
        </w:rPr>
        <w:t> </w:t>
      </w:r>
      <w:r>
        <w:rPr>
          <w:sz w:val="18"/>
        </w:rPr>
        <w:t>report.</w:t>
      </w:r>
      <w:r>
        <w:rPr>
          <w:spacing w:val="-18"/>
          <w:sz w:val="18"/>
        </w:rPr>
        <w:t> </w:t>
      </w:r>
      <w:r>
        <w:rPr>
          <w:sz w:val="18"/>
        </w:rPr>
        <w:t>Reliance</w:t>
      </w:r>
      <w:r>
        <w:rPr>
          <w:spacing w:val="-17"/>
          <w:sz w:val="18"/>
        </w:rPr>
        <w:t> </w:t>
      </w:r>
      <w:r>
        <w:rPr>
          <w:sz w:val="18"/>
        </w:rPr>
        <w:t>on</w:t>
      </w:r>
      <w:r>
        <w:rPr>
          <w:spacing w:val="-17"/>
          <w:sz w:val="18"/>
        </w:rPr>
        <w:t> </w:t>
      </w:r>
      <w:r>
        <w:rPr>
          <w:sz w:val="18"/>
        </w:rPr>
        <w:t>this</w:t>
      </w:r>
      <w:r>
        <w:rPr>
          <w:spacing w:val="-17"/>
          <w:sz w:val="18"/>
        </w:rPr>
        <w:t> </w:t>
      </w:r>
      <w:r>
        <w:rPr>
          <w:sz w:val="18"/>
        </w:rPr>
        <w:t>report</w:t>
      </w:r>
      <w:r>
        <w:rPr>
          <w:spacing w:val="-18"/>
          <w:sz w:val="18"/>
        </w:rPr>
        <w:t> </w:t>
      </w:r>
      <w:r>
        <w:rPr>
          <w:sz w:val="18"/>
        </w:rPr>
        <w:t>and extension</w:t>
      </w:r>
      <w:r>
        <w:rPr>
          <w:spacing w:val="-20"/>
          <w:sz w:val="18"/>
        </w:rPr>
        <w:t> </w:t>
      </w:r>
      <w:r>
        <w:rPr>
          <w:sz w:val="18"/>
        </w:rPr>
        <w:t>of</w:t>
      </w:r>
      <w:r>
        <w:rPr>
          <w:spacing w:val="-20"/>
          <w:sz w:val="18"/>
        </w:rPr>
        <w:t> </w:t>
      </w:r>
      <w:r>
        <w:rPr>
          <w:sz w:val="18"/>
        </w:rPr>
        <w:t>our</w:t>
      </w:r>
      <w:r>
        <w:rPr>
          <w:spacing w:val="-20"/>
          <w:sz w:val="18"/>
        </w:rPr>
        <w:t> </w:t>
      </w:r>
      <w:r>
        <w:rPr>
          <w:sz w:val="18"/>
        </w:rPr>
        <w:t>liability</w:t>
      </w:r>
      <w:r>
        <w:rPr>
          <w:spacing w:val="-19"/>
          <w:sz w:val="18"/>
        </w:rPr>
        <w:t> </w:t>
      </w:r>
      <w:r>
        <w:rPr>
          <w:sz w:val="18"/>
        </w:rPr>
        <w:t>is</w:t>
      </w:r>
      <w:r>
        <w:rPr>
          <w:spacing w:val="-18"/>
          <w:sz w:val="18"/>
        </w:rPr>
        <w:t> </w:t>
      </w:r>
      <w:r>
        <w:rPr>
          <w:sz w:val="18"/>
        </w:rPr>
        <w:t>conditional</w:t>
      </w:r>
      <w:r>
        <w:rPr>
          <w:spacing w:val="-20"/>
          <w:sz w:val="18"/>
        </w:rPr>
        <w:t> </w:t>
      </w:r>
      <w:r>
        <w:rPr>
          <w:sz w:val="18"/>
        </w:rPr>
        <w:t>upon</w:t>
      </w:r>
      <w:r>
        <w:rPr>
          <w:spacing w:val="-19"/>
          <w:sz w:val="18"/>
        </w:rPr>
        <w:t> </w:t>
      </w:r>
      <w:r>
        <w:rPr>
          <w:sz w:val="18"/>
        </w:rPr>
        <w:t>the</w:t>
      </w:r>
      <w:r>
        <w:rPr>
          <w:spacing w:val="-19"/>
          <w:sz w:val="18"/>
        </w:rPr>
        <w:t> </w:t>
      </w:r>
      <w:r>
        <w:rPr>
          <w:sz w:val="18"/>
        </w:rPr>
        <w:t>reader’s</w:t>
      </w:r>
      <w:r>
        <w:rPr>
          <w:spacing w:val="-20"/>
          <w:sz w:val="18"/>
        </w:rPr>
        <w:t> </w:t>
      </w:r>
      <w:r>
        <w:rPr>
          <w:sz w:val="18"/>
        </w:rPr>
        <w:t>acknowledgement</w:t>
      </w:r>
      <w:r>
        <w:rPr>
          <w:spacing w:val="-20"/>
          <w:sz w:val="18"/>
        </w:rPr>
        <w:t> </w:t>
      </w:r>
      <w:r>
        <w:rPr>
          <w:sz w:val="18"/>
        </w:rPr>
        <w:t>and</w:t>
      </w:r>
      <w:r>
        <w:rPr>
          <w:spacing w:val="-20"/>
          <w:sz w:val="18"/>
        </w:rPr>
        <w:t> </w:t>
      </w:r>
      <w:r>
        <w:rPr>
          <w:sz w:val="18"/>
        </w:rPr>
        <w:t>understanding</w:t>
      </w:r>
      <w:r>
        <w:rPr>
          <w:spacing w:val="-15"/>
          <w:sz w:val="18"/>
        </w:rPr>
        <w:t> </w:t>
      </w:r>
      <w:r>
        <w:rPr>
          <w:sz w:val="18"/>
        </w:rPr>
        <w:t>of</w:t>
      </w:r>
      <w:r>
        <w:rPr>
          <w:spacing w:val="-19"/>
          <w:sz w:val="18"/>
        </w:rPr>
        <w:t> </w:t>
      </w:r>
      <w:r>
        <w:rPr>
          <w:sz w:val="18"/>
        </w:rPr>
        <w:t>these statements.</w:t>
      </w:r>
      <w:r>
        <w:rPr>
          <w:spacing w:val="-15"/>
          <w:sz w:val="18"/>
        </w:rPr>
        <w:t> </w:t>
      </w:r>
      <w:r>
        <w:rPr>
          <w:sz w:val="18"/>
        </w:rPr>
        <w:t>This</w:t>
      </w:r>
      <w:r>
        <w:rPr>
          <w:spacing w:val="-13"/>
          <w:sz w:val="18"/>
        </w:rPr>
        <w:t> </w:t>
      </w:r>
      <w:r>
        <w:rPr>
          <w:sz w:val="18"/>
        </w:rPr>
        <w:t>valuation</w:t>
      </w:r>
      <w:r>
        <w:rPr>
          <w:spacing w:val="-13"/>
          <w:sz w:val="18"/>
        </w:rPr>
        <w:t> </w:t>
      </w:r>
      <w:r>
        <w:rPr>
          <w:sz w:val="18"/>
        </w:rPr>
        <w:t>is</w:t>
      </w:r>
      <w:r>
        <w:rPr>
          <w:spacing w:val="-14"/>
          <w:sz w:val="18"/>
        </w:rPr>
        <w:t> </w:t>
      </w:r>
      <w:r>
        <w:rPr>
          <w:sz w:val="18"/>
        </w:rPr>
        <w:t>for</w:t>
      </w:r>
      <w:r>
        <w:rPr>
          <w:spacing w:val="-15"/>
          <w:sz w:val="18"/>
        </w:rPr>
        <w:t> </w:t>
      </w:r>
      <w:r>
        <w:rPr>
          <w:sz w:val="18"/>
        </w:rPr>
        <w:t>the</w:t>
      </w:r>
      <w:r>
        <w:rPr>
          <w:spacing w:val="-13"/>
          <w:sz w:val="18"/>
        </w:rPr>
        <w:t> </w:t>
      </w:r>
      <w:r>
        <w:rPr>
          <w:sz w:val="18"/>
        </w:rPr>
        <w:t>use</w:t>
      </w:r>
      <w:r>
        <w:rPr>
          <w:spacing w:val="-13"/>
          <w:sz w:val="18"/>
        </w:rPr>
        <w:t> </w:t>
      </w:r>
      <w:r>
        <w:rPr>
          <w:sz w:val="18"/>
        </w:rPr>
        <w:t>of</w:t>
      </w:r>
      <w:r>
        <w:rPr>
          <w:spacing w:val="-14"/>
          <w:sz w:val="18"/>
        </w:rPr>
        <w:t> </w:t>
      </w:r>
      <w:r>
        <w:rPr>
          <w:sz w:val="18"/>
        </w:rPr>
        <w:t>the</w:t>
      </w:r>
      <w:r>
        <w:rPr>
          <w:spacing w:val="-13"/>
          <w:sz w:val="18"/>
        </w:rPr>
        <w:t> </w:t>
      </w:r>
      <w:r>
        <w:rPr>
          <w:sz w:val="18"/>
        </w:rPr>
        <w:t>party</w:t>
      </w:r>
      <w:r>
        <w:rPr>
          <w:spacing w:val="-14"/>
          <w:sz w:val="18"/>
        </w:rPr>
        <w:t> </w:t>
      </w:r>
      <w:r>
        <w:rPr>
          <w:sz w:val="18"/>
        </w:rPr>
        <w:t>to</w:t>
      </w:r>
      <w:r>
        <w:rPr>
          <w:spacing w:val="-14"/>
          <w:sz w:val="18"/>
        </w:rPr>
        <w:t> </w:t>
      </w:r>
      <w:r>
        <w:rPr>
          <w:sz w:val="18"/>
        </w:rPr>
        <w:t>whom</w:t>
      </w:r>
      <w:r>
        <w:rPr>
          <w:spacing w:val="-13"/>
          <w:sz w:val="18"/>
        </w:rPr>
        <w:t> </w:t>
      </w:r>
      <w:r>
        <w:rPr>
          <w:sz w:val="18"/>
        </w:rPr>
        <w:t>it</w:t>
      </w:r>
      <w:r>
        <w:rPr>
          <w:spacing w:val="-14"/>
          <w:sz w:val="18"/>
        </w:rPr>
        <w:t> </w:t>
      </w:r>
      <w:r>
        <w:rPr>
          <w:sz w:val="18"/>
        </w:rPr>
        <w:t>is</w:t>
      </w:r>
      <w:r>
        <w:rPr>
          <w:spacing w:val="-13"/>
          <w:sz w:val="18"/>
        </w:rPr>
        <w:t> </w:t>
      </w:r>
      <w:r>
        <w:rPr>
          <w:sz w:val="18"/>
        </w:rPr>
        <w:t>addressed</w:t>
      </w:r>
      <w:r>
        <w:rPr>
          <w:spacing w:val="-14"/>
          <w:sz w:val="18"/>
        </w:rPr>
        <w:t> </w:t>
      </w:r>
      <w:r>
        <w:rPr>
          <w:sz w:val="18"/>
        </w:rPr>
        <w:t>and</w:t>
      </w:r>
      <w:r>
        <w:rPr>
          <w:spacing w:val="-14"/>
          <w:sz w:val="18"/>
        </w:rPr>
        <w:t> </w:t>
      </w:r>
      <w:r>
        <w:rPr>
          <w:sz w:val="18"/>
        </w:rPr>
        <w:t>for</w:t>
      </w:r>
      <w:r>
        <w:rPr>
          <w:spacing w:val="-15"/>
          <w:sz w:val="18"/>
        </w:rPr>
        <w:t> </w:t>
      </w:r>
      <w:r>
        <w:rPr>
          <w:sz w:val="18"/>
        </w:rPr>
        <w:t>no</w:t>
      </w:r>
      <w:r>
        <w:rPr>
          <w:spacing w:val="-13"/>
          <w:sz w:val="18"/>
        </w:rPr>
        <w:t> </w:t>
      </w:r>
      <w:r>
        <w:rPr>
          <w:sz w:val="18"/>
        </w:rPr>
        <w:t>other</w:t>
      </w:r>
      <w:r>
        <w:rPr>
          <w:spacing w:val="-15"/>
          <w:sz w:val="18"/>
        </w:rPr>
        <w:t> </w:t>
      </w:r>
      <w:r>
        <w:rPr>
          <w:sz w:val="18"/>
        </w:rPr>
        <w:t>purpose. No responsibility is accepted to any third party who may use or rely on the whole or any part of the </w:t>
      </w:r>
      <w:r>
        <w:rPr>
          <w:w w:val="95"/>
          <w:sz w:val="18"/>
        </w:rPr>
        <w:t>content</w:t>
      </w:r>
      <w:r>
        <w:rPr>
          <w:spacing w:val="-16"/>
          <w:w w:val="95"/>
          <w:sz w:val="18"/>
        </w:rPr>
        <w:t> </w:t>
      </w:r>
      <w:r>
        <w:rPr>
          <w:w w:val="95"/>
          <w:sz w:val="18"/>
        </w:rPr>
        <w:t>of</w:t>
      </w:r>
      <w:r>
        <w:rPr>
          <w:spacing w:val="-15"/>
          <w:w w:val="95"/>
          <w:sz w:val="18"/>
        </w:rPr>
        <w:t> </w:t>
      </w:r>
      <w:r>
        <w:rPr>
          <w:w w:val="95"/>
          <w:sz w:val="18"/>
        </w:rPr>
        <w:t>this</w:t>
      </w:r>
      <w:r>
        <w:rPr>
          <w:spacing w:val="-14"/>
          <w:w w:val="95"/>
          <w:sz w:val="18"/>
        </w:rPr>
        <w:t> </w:t>
      </w:r>
      <w:r>
        <w:rPr>
          <w:w w:val="95"/>
          <w:sz w:val="18"/>
        </w:rPr>
        <w:t>valuation.</w:t>
      </w:r>
      <w:r>
        <w:rPr>
          <w:spacing w:val="-15"/>
          <w:w w:val="95"/>
          <w:sz w:val="18"/>
        </w:rPr>
        <w:t> </w:t>
      </w:r>
      <w:r>
        <w:rPr>
          <w:w w:val="95"/>
          <w:sz w:val="18"/>
        </w:rPr>
        <w:t>The</w:t>
      </w:r>
      <w:r>
        <w:rPr>
          <w:spacing w:val="-13"/>
          <w:w w:val="95"/>
          <w:sz w:val="18"/>
        </w:rPr>
        <w:t> </w:t>
      </w:r>
      <w:r>
        <w:rPr>
          <w:w w:val="95"/>
          <w:sz w:val="18"/>
        </w:rPr>
        <w:t>valuer</w:t>
      </w:r>
      <w:r>
        <w:rPr>
          <w:spacing w:val="-15"/>
          <w:w w:val="95"/>
          <w:sz w:val="18"/>
        </w:rPr>
        <w:t> </w:t>
      </w:r>
      <w:r>
        <w:rPr>
          <w:w w:val="95"/>
          <w:sz w:val="18"/>
        </w:rPr>
        <w:t>has</w:t>
      </w:r>
      <w:r>
        <w:rPr>
          <w:spacing w:val="-15"/>
          <w:w w:val="95"/>
          <w:sz w:val="18"/>
        </w:rPr>
        <w:t> </w:t>
      </w:r>
      <w:r>
        <w:rPr>
          <w:w w:val="95"/>
          <w:sz w:val="18"/>
        </w:rPr>
        <w:t>no</w:t>
      </w:r>
      <w:r>
        <w:rPr>
          <w:spacing w:val="-14"/>
          <w:w w:val="95"/>
          <w:sz w:val="18"/>
        </w:rPr>
        <w:t> </w:t>
      </w:r>
      <w:r>
        <w:rPr>
          <w:w w:val="95"/>
          <w:sz w:val="18"/>
        </w:rPr>
        <w:t>pecuniary</w:t>
      </w:r>
      <w:r>
        <w:rPr>
          <w:spacing w:val="-14"/>
          <w:w w:val="95"/>
          <w:sz w:val="18"/>
        </w:rPr>
        <w:t> </w:t>
      </w:r>
      <w:r>
        <w:rPr>
          <w:w w:val="95"/>
          <w:sz w:val="18"/>
        </w:rPr>
        <w:t>interest</w:t>
      </w:r>
      <w:r>
        <w:rPr>
          <w:spacing w:val="-16"/>
          <w:w w:val="95"/>
          <w:sz w:val="18"/>
        </w:rPr>
        <w:t> </w:t>
      </w:r>
      <w:r>
        <w:rPr>
          <w:w w:val="95"/>
          <w:sz w:val="18"/>
        </w:rPr>
        <w:t>that</w:t>
      </w:r>
      <w:r>
        <w:rPr>
          <w:spacing w:val="-16"/>
          <w:w w:val="95"/>
          <w:sz w:val="18"/>
        </w:rPr>
        <w:t> </w:t>
      </w:r>
      <w:r>
        <w:rPr>
          <w:w w:val="95"/>
          <w:sz w:val="18"/>
        </w:rPr>
        <w:t>would</w:t>
      </w:r>
      <w:r>
        <w:rPr>
          <w:spacing w:val="-15"/>
          <w:w w:val="95"/>
          <w:sz w:val="18"/>
        </w:rPr>
        <w:t> </w:t>
      </w:r>
      <w:r>
        <w:rPr>
          <w:w w:val="95"/>
          <w:sz w:val="18"/>
        </w:rPr>
        <w:t>conflict</w:t>
      </w:r>
      <w:r>
        <w:rPr>
          <w:spacing w:val="-16"/>
          <w:w w:val="95"/>
          <w:sz w:val="18"/>
        </w:rPr>
        <w:t> </w:t>
      </w:r>
      <w:r>
        <w:rPr>
          <w:w w:val="95"/>
          <w:sz w:val="18"/>
        </w:rPr>
        <w:t>with</w:t>
      </w:r>
      <w:r>
        <w:rPr>
          <w:spacing w:val="-14"/>
          <w:w w:val="95"/>
          <w:sz w:val="18"/>
        </w:rPr>
        <w:t> </w:t>
      </w:r>
      <w:r>
        <w:rPr>
          <w:w w:val="95"/>
          <w:sz w:val="18"/>
        </w:rPr>
        <w:t>the</w:t>
      </w:r>
      <w:r>
        <w:rPr>
          <w:spacing w:val="-14"/>
          <w:w w:val="95"/>
          <w:sz w:val="18"/>
        </w:rPr>
        <w:t> </w:t>
      </w:r>
      <w:r>
        <w:rPr>
          <w:w w:val="95"/>
          <w:sz w:val="18"/>
        </w:rPr>
        <w:t>proper</w:t>
      </w:r>
      <w:r>
        <w:rPr>
          <w:spacing w:val="-15"/>
          <w:w w:val="95"/>
          <w:sz w:val="18"/>
        </w:rPr>
        <w:t> </w:t>
      </w:r>
      <w:r>
        <w:rPr>
          <w:w w:val="95"/>
          <w:sz w:val="18"/>
        </w:rPr>
        <w:t>valuation </w:t>
      </w:r>
      <w:r>
        <w:rPr>
          <w:sz w:val="18"/>
        </w:rPr>
        <w:t>of the</w:t>
      </w:r>
      <w:r>
        <w:rPr>
          <w:spacing w:val="-4"/>
          <w:sz w:val="18"/>
        </w:rPr>
        <w:t> </w:t>
      </w:r>
      <w:r>
        <w:rPr>
          <w:sz w:val="18"/>
        </w:rPr>
        <w:t>property</w:t>
      </w:r>
    </w:p>
    <w:p>
      <w:pPr>
        <w:spacing w:after="0" w:line="321" w:lineRule="auto"/>
        <w:jc w:val="both"/>
        <w:rPr>
          <w:sz w:val="18"/>
        </w:rPr>
        <w:sectPr>
          <w:type w:val="continuous"/>
          <w:pgSz w:w="11910" w:h="16840"/>
          <w:pgMar w:top="800" w:bottom="280" w:left="440" w:right="80"/>
          <w:cols w:num="2" w:equalWidth="0">
            <w:col w:w="2421" w:space="40"/>
            <w:col w:w="8929"/>
          </w:cols>
        </w:sectPr>
      </w:pPr>
    </w:p>
    <w:p>
      <w:pPr>
        <w:pStyle w:val="BodyText"/>
        <w:spacing w:before="5"/>
      </w:pPr>
    </w:p>
    <w:p>
      <w:pPr>
        <w:pStyle w:val="ListParagraph"/>
        <w:numPr>
          <w:ilvl w:val="1"/>
          <w:numId w:val="26"/>
        </w:numPr>
        <w:tabs>
          <w:tab w:pos="856" w:val="left" w:leader="none"/>
          <w:tab w:pos="857" w:val="left" w:leader="none"/>
        </w:tabs>
        <w:spacing w:line="240" w:lineRule="auto" w:before="106" w:after="0"/>
        <w:ind w:left="856" w:right="0" w:hanging="577"/>
        <w:jc w:val="left"/>
        <w:rPr>
          <w:sz w:val="22"/>
        </w:rPr>
      </w:pPr>
      <w:bookmarkStart w:name="_bookmark37" w:id="74"/>
      <w:bookmarkEnd w:id="74"/>
      <w:r>
        <w:rPr/>
      </w:r>
      <w:bookmarkStart w:name="_bookmark37" w:id="75"/>
      <w:bookmarkEnd w:id="75"/>
      <w:r>
        <w:rPr>
          <w:color w:val="1F6647"/>
          <w:w w:val="105"/>
          <w:sz w:val="22"/>
        </w:rPr>
        <w:t>E</w:t>
      </w:r>
      <w:r>
        <w:rPr>
          <w:color w:val="1F6647"/>
          <w:w w:val="105"/>
          <w:sz w:val="22"/>
        </w:rPr>
        <w:t>mbassy</w:t>
      </w:r>
      <w:r>
        <w:rPr>
          <w:color w:val="1F6647"/>
          <w:spacing w:val="-7"/>
          <w:w w:val="105"/>
          <w:sz w:val="22"/>
        </w:rPr>
        <w:t> </w:t>
      </w:r>
      <w:r>
        <w:rPr>
          <w:color w:val="1F6647"/>
          <w:w w:val="105"/>
          <w:sz w:val="22"/>
        </w:rPr>
        <w:t>Galaxy</w:t>
      </w:r>
    </w:p>
    <w:p>
      <w:pPr>
        <w:pStyle w:val="BodyText"/>
        <w:rPr>
          <w:sz w:val="29"/>
        </w:rPr>
      </w:pPr>
    </w:p>
    <w:p>
      <w:pPr>
        <w:tabs>
          <w:tab w:pos="2572" w:val="left" w:leader="none"/>
        </w:tabs>
        <w:spacing w:line="609" w:lineRule="auto" w:before="0"/>
        <w:ind w:left="392" w:right="1763" w:firstLine="0"/>
        <w:jc w:val="left"/>
        <w:rPr>
          <w:sz w:val="18"/>
        </w:rPr>
      </w:pPr>
      <w:r>
        <w:rPr>
          <w:color w:val="006A4D"/>
          <w:sz w:val="18"/>
        </w:rPr>
        <w:t>Property</w:t>
      </w:r>
      <w:r>
        <w:rPr>
          <w:color w:val="006A4D"/>
          <w:spacing w:val="-15"/>
          <w:sz w:val="18"/>
        </w:rPr>
        <w:t> </w:t>
      </w:r>
      <w:r>
        <w:rPr>
          <w:color w:val="006A4D"/>
          <w:sz w:val="18"/>
        </w:rPr>
        <w:t>Name:</w:t>
        <w:tab/>
      </w:r>
      <w:r>
        <w:rPr>
          <w:sz w:val="18"/>
        </w:rPr>
        <w:t>‘Embassy</w:t>
      </w:r>
      <w:r>
        <w:rPr>
          <w:spacing w:val="-16"/>
          <w:sz w:val="18"/>
        </w:rPr>
        <w:t> </w:t>
      </w:r>
      <w:r>
        <w:rPr>
          <w:sz w:val="18"/>
        </w:rPr>
        <w:t>Galaxy’</w:t>
      </w:r>
      <w:r>
        <w:rPr>
          <w:spacing w:val="-17"/>
          <w:sz w:val="18"/>
        </w:rPr>
        <w:t> </w:t>
      </w:r>
      <w:r>
        <w:rPr>
          <w:sz w:val="18"/>
        </w:rPr>
        <w:t>is</w:t>
      </w:r>
      <w:r>
        <w:rPr>
          <w:spacing w:val="-19"/>
          <w:sz w:val="18"/>
        </w:rPr>
        <w:t> </w:t>
      </w:r>
      <w:r>
        <w:rPr>
          <w:sz w:val="18"/>
        </w:rPr>
        <w:t>an</w:t>
      </w:r>
      <w:r>
        <w:rPr>
          <w:spacing w:val="-16"/>
          <w:sz w:val="18"/>
        </w:rPr>
        <w:t> </w:t>
      </w:r>
      <w:r>
        <w:rPr>
          <w:sz w:val="18"/>
        </w:rPr>
        <w:t>operational</w:t>
      </w:r>
      <w:r>
        <w:rPr>
          <w:spacing w:val="-17"/>
          <w:sz w:val="18"/>
        </w:rPr>
        <w:t> </w:t>
      </w:r>
      <w:r>
        <w:rPr>
          <w:sz w:val="18"/>
        </w:rPr>
        <w:t>office</w:t>
      </w:r>
      <w:r>
        <w:rPr>
          <w:spacing w:val="-14"/>
          <w:sz w:val="18"/>
        </w:rPr>
        <w:t> </w:t>
      </w:r>
      <w:r>
        <w:rPr>
          <w:sz w:val="18"/>
        </w:rPr>
        <w:t>park</w:t>
      </w:r>
      <w:r>
        <w:rPr>
          <w:spacing w:val="-17"/>
          <w:sz w:val="18"/>
        </w:rPr>
        <w:t> </w:t>
      </w:r>
      <w:r>
        <w:rPr>
          <w:sz w:val="18"/>
        </w:rPr>
        <w:t>located</w:t>
      </w:r>
      <w:r>
        <w:rPr>
          <w:spacing w:val="-17"/>
          <w:sz w:val="18"/>
        </w:rPr>
        <w:t> </w:t>
      </w:r>
      <w:r>
        <w:rPr>
          <w:sz w:val="18"/>
        </w:rPr>
        <w:t>at</w:t>
      </w:r>
      <w:r>
        <w:rPr>
          <w:spacing w:val="-17"/>
          <w:sz w:val="18"/>
        </w:rPr>
        <w:t> </w:t>
      </w:r>
      <w:r>
        <w:rPr>
          <w:sz w:val="18"/>
        </w:rPr>
        <w:t>Sector</w:t>
      </w:r>
      <w:r>
        <w:rPr>
          <w:spacing w:val="-17"/>
          <w:sz w:val="18"/>
        </w:rPr>
        <w:t> </w:t>
      </w:r>
      <w:r>
        <w:rPr>
          <w:sz w:val="18"/>
        </w:rPr>
        <w:t>62,</w:t>
      </w:r>
      <w:r>
        <w:rPr>
          <w:spacing w:val="-17"/>
          <w:sz w:val="18"/>
        </w:rPr>
        <w:t> </w:t>
      </w:r>
      <w:r>
        <w:rPr>
          <w:sz w:val="18"/>
        </w:rPr>
        <w:t>Noida,</w:t>
      </w:r>
      <w:r>
        <w:rPr>
          <w:spacing w:val="-17"/>
          <w:sz w:val="18"/>
        </w:rPr>
        <w:t> </w:t>
      </w:r>
      <w:r>
        <w:rPr>
          <w:sz w:val="18"/>
        </w:rPr>
        <w:t>Uttar</w:t>
      </w:r>
      <w:r>
        <w:rPr>
          <w:spacing w:val="-16"/>
          <w:sz w:val="18"/>
        </w:rPr>
        <w:t> </w:t>
      </w:r>
      <w:r>
        <w:rPr>
          <w:sz w:val="18"/>
        </w:rPr>
        <w:t>Pradesh </w:t>
      </w:r>
      <w:r>
        <w:rPr>
          <w:color w:val="006A4D"/>
          <w:sz w:val="18"/>
        </w:rPr>
        <w:t>Property</w:t>
      </w:r>
      <w:r>
        <w:rPr>
          <w:color w:val="006A4D"/>
          <w:spacing w:val="-25"/>
          <w:sz w:val="18"/>
        </w:rPr>
        <w:t> </w:t>
      </w:r>
      <w:r>
        <w:rPr>
          <w:color w:val="006A4D"/>
          <w:sz w:val="18"/>
        </w:rPr>
        <w:t>Address:</w:t>
        <w:tab/>
      </w:r>
      <w:r>
        <w:rPr>
          <w:sz w:val="18"/>
        </w:rPr>
        <w:t>A-44 &amp; 45, Sector 62, Noida, Uttar Pradesh, India </w:t>
      </w:r>
      <w:r>
        <w:rPr>
          <w:w w:val="105"/>
          <w:sz w:val="18"/>
        </w:rPr>
        <w:t>–</w:t>
      </w:r>
      <w:r>
        <w:rPr>
          <w:spacing w:val="-7"/>
          <w:w w:val="105"/>
          <w:sz w:val="18"/>
        </w:rPr>
        <w:t> </w:t>
      </w:r>
      <w:r>
        <w:rPr>
          <w:sz w:val="18"/>
        </w:rPr>
        <w:t>201309</w:t>
      </w:r>
    </w:p>
    <w:p>
      <w:pPr>
        <w:tabs>
          <w:tab w:pos="2572" w:val="left" w:leader="none"/>
        </w:tabs>
        <w:spacing w:line="321" w:lineRule="auto" w:before="0"/>
        <w:ind w:left="2572" w:right="667" w:hanging="2180"/>
        <w:jc w:val="both"/>
        <w:rPr>
          <w:sz w:val="18"/>
        </w:rPr>
      </w:pPr>
      <w:r>
        <w:rPr>
          <w:color w:val="006A4D"/>
          <w:sz w:val="18"/>
        </w:rPr>
        <w:t>Land</w:t>
      </w:r>
      <w:r>
        <w:rPr>
          <w:color w:val="006A4D"/>
          <w:spacing w:val="-4"/>
          <w:sz w:val="18"/>
        </w:rPr>
        <w:t> </w:t>
      </w:r>
      <w:r>
        <w:rPr>
          <w:color w:val="006A4D"/>
          <w:sz w:val="18"/>
        </w:rPr>
        <w:t>Area:</w:t>
        <w:tab/>
      </w:r>
      <w:r>
        <w:rPr>
          <w:sz w:val="18"/>
        </w:rPr>
        <w:t>Based</w:t>
      </w:r>
      <w:r>
        <w:rPr>
          <w:spacing w:val="-23"/>
          <w:sz w:val="18"/>
        </w:rPr>
        <w:t> </w:t>
      </w:r>
      <w:r>
        <w:rPr>
          <w:sz w:val="18"/>
        </w:rPr>
        <w:t>on</w:t>
      </w:r>
      <w:r>
        <w:rPr>
          <w:spacing w:val="-24"/>
          <w:sz w:val="18"/>
        </w:rPr>
        <w:t> </w:t>
      </w:r>
      <w:r>
        <w:rPr>
          <w:sz w:val="18"/>
        </w:rPr>
        <w:t>review</w:t>
      </w:r>
      <w:r>
        <w:rPr>
          <w:spacing w:val="-23"/>
          <w:sz w:val="18"/>
        </w:rPr>
        <w:t> </w:t>
      </w:r>
      <w:r>
        <w:rPr>
          <w:sz w:val="18"/>
        </w:rPr>
        <w:t>of</w:t>
      </w:r>
      <w:r>
        <w:rPr>
          <w:spacing w:val="-24"/>
          <w:sz w:val="18"/>
        </w:rPr>
        <w:t> </w:t>
      </w:r>
      <w:r>
        <w:rPr>
          <w:sz w:val="18"/>
        </w:rPr>
        <w:t>the</w:t>
      </w:r>
      <w:r>
        <w:rPr>
          <w:spacing w:val="-23"/>
          <w:sz w:val="18"/>
        </w:rPr>
        <w:t> </w:t>
      </w:r>
      <w:r>
        <w:rPr>
          <w:sz w:val="18"/>
        </w:rPr>
        <w:t>title</w:t>
      </w:r>
      <w:r>
        <w:rPr>
          <w:spacing w:val="-23"/>
          <w:sz w:val="18"/>
        </w:rPr>
        <w:t> </w:t>
      </w:r>
      <w:r>
        <w:rPr>
          <w:sz w:val="18"/>
        </w:rPr>
        <w:t>report,</w:t>
      </w:r>
      <w:r>
        <w:rPr>
          <w:spacing w:val="-21"/>
          <w:sz w:val="18"/>
        </w:rPr>
        <w:t> </w:t>
      </w:r>
      <w:r>
        <w:rPr>
          <w:sz w:val="18"/>
        </w:rPr>
        <w:t>we</w:t>
      </w:r>
      <w:r>
        <w:rPr>
          <w:spacing w:val="-23"/>
          <w:sz w:val="18"/>
        </w:rPr>
        <w:t> </w:t>
      </w:r>
      <w:r>
        <w:rPr>
          <w:sz w:val="18"/>
        </w:rPr>
        <w:t>understand</w:t>
      </w:r>
      <w:r>
        <w:rPr>
          <w:spacing w:val="-23"/>
          <w:sz w:val="18"/>
        </w:rPr>
        <w:t> </w:t>
      </w:r>
      <w:r>
        <w:rPr>
          <w:sz w:val="18"/>
        </w:rPr>
        <w:t>that</w:t>
      </w:r>
      <w:r>
        <w:rPr>
          <w:spacing w:val="-23"/>
          <w:sz w:val="18"/>
        </w:rPr>
        <w:t> </w:t>
      </w:r>
      <w:r>
        <w:rPr>
          <w:sz w:val="18"/>
        </w:rPr>
        <w:t>the</w:t>
      </w:r>
      <w:r>
        <w:rPr>
          <w:spacing w:val="-23"/>
          <w:sz w:val="18"/>
        </w:rPr>
        <w:t> </w:t>
      </w:r>
      <w:r>
        <w:rPr>
          <w:sz w:val="18"/>
        </w:rPr>
        <w:t>total</w:t>
      </w:r>
      <w:r>
        <w:rPr>
          <w:spacing w:val="-24"/>
          <w:sz w:val="18"/>
        </w:rPr>
        <w:t> </w:t>
      </w:r>
      <w:r>
        <w:rPr>
          <w:sz w:val="18"/>
        </w:rPr>
        <w:t>land</w:t>
      </w:r>
      <w:r>
        <w:rPr>
          <w:spacing w:val="-24"/>
          <w:sz w:val="18"/>
        </w:rPr>
        <w:t> </w:t>
      </w:r>
      <w:r>
        <w:rPr>
          <w:sz w:val="18"/>
        </w:rPr>
        <w:t>area</w:t>
      </w:r>
      <w:r>
        <w:rPr>
          <w:spacing w:val="-23"/>
          <w:sz w:val="18"/>
        </w:rPr>
        <w:t> </w:t>
      </w:r>
      <w:r>
        <w:rPr>
          <w:sz w:val="18"/>
        </w:rPr>
        <w:t>of</w:t>
      </w:r>
      <w:r>
        <w:rPr>
          <w:spacing w:val="-24"/>
          <w:sz w:val="18"/>
        </w:rPr>
        <w:t> </w:t>
      </w:r>
      <w:r>
        <w:rPr>
          <w:sz w:val="18"/>
        </w:rPr>
        <w:t>the</w:t>
      </w:r>
      <w:r>
        <w:rPr>
          <w:spacing w:val="-23"/>
          <w:sz w:val="18"/>
        </w:rPr>
        <w:t> </w:t>
      </w:r>
      <w:r>
        <w:rPr>
          <w:sz w:val="18"/>
        </w:rPr>
        <w:t>subject</w:t>
      </w:r>
      <w:r>
        <w:rPr>
          <w:spacing w:val="-24"/>
          <w:sz w:val="18"/>
        </w:rPr>
        <w:t> </w:t>
      </w:r>
      <w:r>
        <w:rPr>
          <w:sz w:val="18"/>
        </w:rPr>
        <w:t>property</w:t>
      </w:r>
      <w:r>
        <w:rPr>
          <w:spacing w:val="-23"/>
          <w:sz w:val="18"/>
        </w:rPr>
        <w:t> </w:t>
      </w:r>
      <w:r>
        <w:rPr>
          <w:sz w:val="18"/>
        </w:rPr>
        <w:t>under the ownership of the Client is approximately 9.88</w:t>
      </w:r>
      <w:r>
        <w:rPr>
          <w:spacing w:val="-26"/>
          <w:sz w:val="18"/>
        </w:rPr>
        <w:t> </w:t>
      </w:r>
      <w:r>
        <w:rPr>
          <w:sz w:val="18"/>
        </w:rPr>
        <w:t>acres</w:t>
      </w:r>
    </w:p>
    <w:p>
      <w:pPr>
        <w:pStyle w:val="BodyText"/>
        <w:spacing w:before="6"/>
        <w:rPr>
          <w:sz w:val="21"/>
        </w:rPr>
      </w:pPr>
    </w:p>
    <w:p>
      <w:pPr>
        <w:tabs>
          <w:tab w:pos="2572" w:val="left" w:leader="none"/>
        </w:tabs>
        <w:spacing w:line="321" w:lineRule="auto" w:before="0"/>
        <w:ind w:left="2572" w:right="658" w:hanging="2180"/>
        <w:jc w:val="both"/>
        <w:rPr>
          <w:sz w:val="18"/>
        </w:rPr>
      </w:pPr>
      <w:r>
        <w:rPr>
          <w:color w:val="006A4D"/>
          <w:sz w:val="18"/>
        </w:rPr>
        <w:t>Brief</w:t>
      </w:r>
      <w:r>
        <w:rPr>
          <w:color w:val="006A4D"/>
          <w:spacing w:val="-31"/>
          <w:sz w:val="18"/>
        </w:rPr>
        <w:t> </w:t>
      </w:r>
      <w:r>
        <w:rPr>
          <w:color w:val="006A4D"/>
          <w:sz w:val="18"/>
        </w:rPr>
        <w:t>Description:</w:t>
        <w:tab/>
      </w:r>
      <w:r>
        <w:rPr>
          <w:sz w:val="18"/>
        </w:rPr>
        <w:t>The</w:t>
      </w:r>
      <w:r>
        <w:rPr>
          <w:spacing w:val="-9"/>
          <w:sz w:val="18"/>
        </w:rPr>
        <w:t> </w:t>
      </w:r>
      <w:r>
        <w:rPr>
          <w:sz w:val="18"/>
        </w:rPr>
        <w:t>subject</w:t>
      </w:r>
      <w:r>
        <w:rPr>
          <w:spacing w:val="-12"/>
          <w:sz w:val="18"/>
        </w:rPr>
        <w:t> </w:t>
      </w:r>
      <w:r>
        <w:rPr>
          <w:sz w:val="18"/>
        </w:rPr>
        <w:t>property</w:t>
      </w:r>
      <w:r>
        <w:rPr>
          <w:spacing w:val="-11"/>
          <w:sz w:val="18"/>
        </w:rPr>
        <w:t> </w:t>
      </w:r>
      <w:r>
        <w:rPr>
          <w:sz w:val="18"/>
        </w:rPr>
        <w:t>“Embassy</w:t>
      </w:r>
      <w:r>
        <w:rPr>
          <w:spacing w:val="-11"/>
          <w:sz w:val="18"/>
        </w:rPr>
        <w:t> </w:t>
      </w:r>
      <w:r>
        <w:rPr>
          <w:sz w:val="18"/>
        </w:rPr>
        <w:t>Galaxy”</w:t>
      </w:r>
      <w:r>
        <w:rPr>
          <w:spacing w:val="-11"/>
          <w:sz w:val="18"/>
        </w:rPr>
        <w:t> </w:t>
      </w:r>
      <w:r>
        <w:rPr>
          <w:sz w:val="18"/>
        </w:rPr>
        <w:t>is</w:t>
      </w:r>
      <w:r>
        <w:rPr>
          <w:spacing w:val="-11"/>
          <w:sz w:val="18"/>
        </w:rPr>
        <w:t> </w:t>
      </w:r>
      <w:r>
        <w:rPr>
          <w:sz w:val="18"/>
        </w:rPr>
        <w:t>an</w:t>
      </w:r>
      <w:r>
        <w:rPr>
          <w:spacing w:val="-10"/>
          <w:sz w:val="18"/>
        </w:rPr>
        <w:t> </w:t>
      </w:r>
      <w:r>
        <w:rPr>
          <w:sz w:val="18"/>
        </w:rPr>
        <w:t>operational</w:t>
      </w:r>
      <w:r>
        <w:rPr>
          <w:spacing w:val="-9"/>
          <w:sz w:val="18"/>
        </w:rPr>
        <w:t> </w:t>
      </w:r>
      <w:r>
        <w:rPr>
          <w:sz w:val="18"/>
        </w:rPr>
        <w:t>office</w:t>
      </w:r>
      <w:r>
        <w:rPr>
          <w:spacing w:val="-10"/>
          <w:sz w:val="18"/>
        </w:rPr>
        <w:t> </w:t>
      </w:r>
      <w:r>
        <w:rPr>
          <w:sz w:val="18"/>
        </w:rPr>
        <w:t>park,</w:t>
      </w:r>
      <w:r>
        <w:rPr>
          <w:spacing w:val="-11"/>
          <w:sz w:val="18"/>
        </w:rPr>
        <w:t> </w:t>
      </w:r>
      <w:r>
        <w:rPr>
          <w:sz w:val="18"/>
        </w:rPr>
        <w:t>leased</w:t>
      </w:r>
      <w:r>
        <w:rPr>
          <w:spacing w:val="-11"/>
          <w:sz w:val="18"/>
        </w:rPr>
        <w:t> </w:t>
      </w:r>
      <w:r>
        <w:rPr>
          <w:sz w:val="18"/>
        </w:rPr>
        <w:t>to</w:t>
      </w:r>
      <w:r>
        <w:rPr>
          <w:spacing w:val="-11"/>
          <w:sz w:val="18"/>
        </w:rPr>
        <w:t> </w:t>
      </w:r>
      <w:r>
        <w:rPr>
          <w:sz w:val="18"/>
        </w:rPr>
        <w:t>various</w:t>
      </w:r>
      <w:r>
        <w:rPr>
          <w:spacing w:val="-9"/>
          <w:sz w:val="18"/>
        </w:rPr>
        <w:t> </w:t>
      </w:r>
      <w:r>
        <w:rPr>
          <w:sz w:val="18"/>
        </w:rPr>
        <w:t>occupiers.</w:t>
      </w:r>
      <w:r>
        <w:rPr>
          <w:spacing w:val="-11"/>
          <w:sz w:val="18"/>
        </w:rPr>
        <w:t> </w:t>
      </w:r>
      <w:r>
        <w:rPr>
          <w:sz w:val="18"/>
        </w:rPr>
        <w:t>The subject</w:t>
      </w:r>
      <w:r>
        <w:rPr>
          <w:spacing w:val="-23"/>
          <w:sz w:val="18"/>
        </w:rPr>
        <w:t> </w:t>
      </w:r>
      <w:r>
        <w:rPr>
          <w:sz w:val="18"/>
        </w:rPr>
        <w:t>property</w:t>
      </w:r>
      <w:r>
        <w:rPr>
          <w:spacing w:val="-22"/>
          <w:sz w:val="18"/>
        </w:rPr>
        <w:t> </w:t>
      </w:r>
      <w:r>
        <w:rPr>
          <w:sz w:val="18"/>
        </w:rPr>
        <w:t>is</w:t>
      </w:r>
      <w:r>
        <w:rPr>
          <w:spacing w:val="-21"/>
          <w:sz w:val="18"/>
        </w:rPr>
        <w:t> </w:t>
      </w:r>
      <w:r>
        <w:rPr>
          <w:sz w:val="18"/>
        </w:rPr>
        <w:t>located</w:t>
      </w:r>
      <w:r>
        <w:rPr>
          <w:spacing w:val="-23"/>
          <w:sz w:val="18"/>
        </w:rPr>
        <w:t> </w:t>
      </w:r>
      <w:r>
        <w:rPr>
          <w:sz w:val="18"/>
        </w:rPr>
        <w:t>at</w:t>
      </w:r>
      <w:r>
        <w:rPr>
          <w:spacing w:val="-22"/>
          <w:sz w:val="18"/>
        </w:rPr>
        <w:t> </w:t>
      </w:r>
      <w:r>
        <w:rPr>
          <w:sz w:val="18"/>
        </w:rPr>
        <w:t>Sector</w:t>
      </w:r>
      <w:r>
        <w:rPr>
          <w:spacing w:val="-22"/>
          <w:sz w:val="18"/>
        </w:rPr>
        <w:t> </w:t>
      </w:r>
      <w:r>
        <w:rPr>
          <w:sz w:val="18"/>
        </w:rPr>
        <w:t>62,</w:t>
      </w:r>
      <w:r>
        <w:rPr>
          <w:spacing w:val="-22"/>
          <w:sz w:val="18"/>
        </w:rPr>
        <w:t> </w:t>
      </w:r>
      <w:r>
        <w:rPr>
          <w:sz w:val="18"/>
        </w:rPr>
        <w:t>Noida,</w:t>
      </w:r>
      <w:r>
        <w:rPr>
          <w:spacing w:val="-21"/>
          <w:sz w:val="18"/>
        </w:rPr>
        <w:t> </w:t>
      </w:r>
      <w:r>
        <w:rPr>
          <w:sz w:val="18"/>
        </w:rPr>
        <w:t>which</w:t>
      </w:r>
      <w:r>
        <w:rPr>
          <w:spacing w:val="-22"/>
          <w:sz w:val="18"/>
        </w:rPr>
        <w:t> </w:t>
      </w:r>
      <w:r>
        <w:rPr>
          <w:sz w:val="18"/>
        </w:rPr>
        <w:t>is</w:t>
      </w:r>
      <w:r>
        <w:rPr>
          <w:spacing w:val="-22"/>
          <w:sz w:val="18"/>
        </w:rPr>
        <w:t> </w:t>
      </w:r>
      <w:r>
        <w:rPr>
          <w:sz w:val="18"/>
        </w:rPr>
        <w:t>an</w:t>
      </w:r>
      <w:r>
        <w:rPr>
          <w:spacing w:val="-22"/>
          <w:sz w:val="18"/>
        </w:rPr>
        <w:t> </w:t>
      </w:r>
      <w:r>
        <w:rPr>
          <w:sz w:val="18"/>
        </w:rPr>
        <w:t>established</w:t>
      </w:r>
      <w:r>
        <w:rPr>
          <w:spacing w:val="-23"/>
          <w:sz w:val="18"/>
        </w:rPr>
        <w:t> </w:t>
      </w:r>
      <w:r>
        <w:rPr>
          <w:sz w:val="18"/>
        </w:rPr>
        <w:t>commercial</w:t>
      </w:r>
      <w:r>
        <w:rPr>
          <w:spacing w:val="-23"/>
          <w:sz w:val="18"/>
        </w:rPr>
        <w:t> </w:t>
      </w:r>
      <w:r>
        <w:rPr>
          <w:sz w:val="18"/>
        </w:rPr>
        <w:t>vector</w:t>
      </w:r>
      <w:r>
        <w:rPr>
          <w:spacing w:val="-24"/>
          <w:sz w:val="18"/>
        </w:rPr>
        <w:t> </w:t>
      </w:r>
      <w:r>
        <w:rPr>
          <w:sz w:val="18"/>
        </w:rPr>
        <w:t>of</w:t>
      </w:r>
      <w:r>
        <w:rPr>
          <w:spacing w:val="-23"/>
          <w:sz w:val="18"/>
        </w:rPr>
        <w:t> </w:t>
      </w:r>
      <w:r>
        <w:rPr>
          <w:sz w:val="18"/>
        </w:rPr>
        <w:t>Noida.</w:t>
      </w:r>
      <w:r>
        <w:rPr>
          <w:spacing w:val="-22"/>
          <w:sz w:val="18"/>
        </w:rPr>
        <w:t> </w:t>
      </w:r>
      <w:r>
        <w:rPr>
          <w:sz w:val="18"/>
        </w:rPr>
        <w:t>The property</w:t>
      </w:r>
      <w:r>
        <w:rPr>
          <w:spacing w:val="-19"/>
          <w:sz w:val="18"/>
        </w:rPr>
        <w:t> </w:t>
      </w:r>
      <w:r>
        <w:rPr>
          <w:sz w:val="18"/>
        </w:rPr>
        <w:t>is</w:t>
      </w:r>
      <w:r>
        <w:rPr>
          <w:spacing w:val="-18"/>
          <w:sz w:val="18"/>
        </w:rPr>
        <w:t> </w:t>
      </w:r>
      <w:r>
        <w:rPr>
          <w:sz w:val="18"/>
        </w:rPr>
        <w:t>accessible</w:t>
      </w:r>
      <w:r>
        <w:rPr>
          <w:spacing w:val="-19"/>
          <w:sz w:val="18"/>
        </w:rPr>
        <w:t> </w:t>
      </w:r>
      <w:r>
        <w:rPr>
          <w:sz w:val="18"/>
        </w:rPr>
        <w:t>by</w:t>
      </w:r>
      <w:r>
        <w:rPr>
          <w:spacing w:val="-18"/>
          <w:sz w:val="18"/>
        </w:rPr>
        <w:t> </w:t>
      </w:r>
      <w:r>
        <w:rPr>
          <w:sz w:val="18"/>
        </w:rPr>
        <w:t>an</w:t>
      </w:r>
      <w:r>
        <w:rPr>
          <w:spacing w:val="-18"/>
          <w:sz w:val="18"/>
        </w:rPr>
        <w:t> </w:t>
      </w:r>
      <w:r>
        <w:rPr>
          <w:sz w:val="18"/>
        </w:rPr>
        <w:t>internal</w:t>
      </w:r>
      <w:r>
        <w:rPr>
          <w:spacing w:val="-19"/>
          <w:sz w:val="18"/>
        </w:rPr>
        <w:t> </w:t>
      </w:r>
      <w:r>
        <w:rPr>
          <w:sz w:val="18"/>
        </w:rPr>
        <w:t>road</w:t>
      </w:r>
      <w:r>
        <w:rPr>
          <w:spacing w:val="-19"/>
          <w:sz w:val="18"/>
        </w:rPr>
        <w:t> </w:t>
      </w:r>
      <w:r>
        <w:rPr>
          <w:sz w:val="18"/>
        </w:rPr>
        <w:t>of</w:t>
      </w:r>
      <w:r>
        <w:rPr>
          <w:spacing w:val="-18"/>
          <w:sz w:val="18"/>
        </w:rPr>
        <w:t> </w:t>
      </w:r>
      <w:r>
        <w:rPr>
          <w:sz w:val="18"/>
        </w:rPr>
        <w:t>Sector</w:t>
      </w:r>
      <w:r>
        <w:rPr>
          <w:spacing w:val="-15"/>
          <w:sz w:val="18"/>
        </w:rPr>
        <w:t> </w:t>
      </w:r>
      <w:r>
        <w:rPr>
          <w:sz w:val="18"/>
        </w:rPr>
        <w:t>62</w:t>
      </w:r>
      <w:r>
        <w:rPr>
          <w:spacing w:val="-19"/>
          <w:sz w:val="18"/>
        </w:rPr>
        <w:t> </w:t>
      </w:r>
      <w:r>
        <w:rPr>
          <w:sz w:val="18"/>
        </w:rPr>
        <w:t>(approximately</w:t>
      </w:r>
      <w:r>
        <w:rPr>
          <w:spacing w:val="-19"/>
          <w:sz w:val="18"/>
        </w:rPr>
        <w:t> </w:t>
      </w:r>
      <w:r>
        <w:rPr>
          <w:sz w:val="18"/>
        </w:rPr>
        <w:t>45</w:t>
      </w:r>
      <w:r>
        <w:rPr>
          <w:spacing w:val="-19"/>
          <w:sz w:val="18"/>
        </w:rPr>
        <w:t> </w:t>
      </w:r>
      <w:r>
        <w:rPr>
          <w:sz w:val="18"/>
        </w:rPr>
        <w:t>m</w:t>
      </w:r>
      <w:r>
        <w:rPr>
          <w:spacing w:val="-18"/>
          <w:sz w:val="18"/>
        </w:rPr>
        <w:t> </w:t>
      </w:r>
      <w:r>
        <w:rPr>
          <w:sz w:val="18"/>
        </w:rPr>
        <w:t>wide).</w:t>
      </w:r>
      <w:r>
        <w:rPr>
          <w:spacing w:val="-19"/>
          <w:sz w:val="18"/>
        </w:rPr>
        <w:t> </w:t>
      </w:r>
      <w:r>
        <w:rPr>
          <w:sz w:val="18"/>
        </w:rPr>
        <w:t>The</w:t>
      </w:r>
      <w:r>
        <w:rPr>
          <w:spacing w:val="-18"/>
          <w:sz w:val="18"/>
        </w:rPr>
        <w:t> </w:t>
      </w:r>
      <w:r>
        <w:rPr>
          <w:sz w:val="18"/>
        </w:rPr>
        <w:t>subject</w:t>
      </w:r>
      <w:r>
        <w:rPr>
          <w:spacing w:val="-19"/>
          <w:sz w:val="18"/>
        </w:rPr>
        <w:t> </w:t>
      </w:r>
      <w:r>
        <w:rPr>
          <w:sz w:val="18"/>
        </w:rPr>
        <w:t>property lies</w:t>
      </w:r>
      <w:r>
        <w:rPr>
          <w:spacing w:val="-21"/>
          <w:sz w:val="18"/>
        </w:rPr>
        <w:t> </w:t>
      </w:r>
      <w:r>
        <w:rPr>
          <w:sz w:val="18"/>
        </w:rPr>
        <w:t>in</w:t>
      </w:r>
      <w:r>
        <w:rPr>
          <w:spacing w:val="-22"/>
          <w:sz w:val="18"/>
        </w:rPr>
        <w:t> </w:t>
      </w:r>
      <w:r>
        <w:rPr>
          <w:sz w:val="18"/>
        </w:rPr>
        <w:t>proximity</w:t>
      </w:r>
      <w:r>
        <w:rPr>
          <w:spacing w:val="-21"/>
          <w:sz w:val="18"/>
        </w:rPr>
        <w:t> </w:t>
      </w:r>
      <w:r>
        <w:rPr>
          <w:sz w:val="18"/>
        </w:rPr>
        <w:t>to</w:t>
      </w:r>
      <w:r>
        <w:rPr>
          <w:spacing w:val="-22"/>
          <w:sz w:val="18"/>
        </w:rPr>
        <w:t> </w:t>
      </w:r>
      <w:r>
        <w:rPr>
          <w:sz w:val="18"/>
        </w:rPr>
        <w:t>various</w:t>
      </w:r>
      <w:r>
        <w:rPr>
          <w:spacing w:val="-19"/>
          <w:sz w:val="18"/>
        </w:rPr>
        <w:t> </w:t>
      </w:r>
      <w:r>
        <w:rPr>
          <w:sz w:val="18"/>
        </w:rPr>
        <w:t>office</w:t>
      </w:r>
      <w:r>
        <w:rPr>
          <w:spacing w:val="-20"/>
          <w:sz w:val="18"/>
        </w:rPr>
        <w:t> </w:t>
      </w:r>
      <w:r>
        <w:rPr>
          <w:sz w:val="18"/>
        </w:rPr>
        <w:t>developments</w:t>
      </w:r>
      <w:r>
        <w:rPr>
          <w:spacing w:val="-21"/>
          <w:sz w:val="18"/>
        </w:rPr>
        <w:t> </w:t>
      </w:r>
      <w:r>
        <w:rPr>
          <w:sz w:val="18"/>
        </w:rPr>
        <w:t>such</w:t>
      </w:r>
      <w:r>
        <w:rPr>
          <w:spacing w:val="-21"/>
          <w:sz w:val="18"/>
        </w:rPr>
        <w:t> </w:t>
      </w:r>
      <w:r>
        <w:rPr>
          <w:sz w:val="18"/>
        </w:rPr>
        <w:t>as</w:t>
      </w:r>
      <w:r>
        <w:rPr>
          <w:spacing w:val="-21"/>
          <w:sz w:val="18"/>
        </w:rPr>
        <w:t> </w:t>
      </w:r>
      <w:r>
        <w:rPr>
          <w:sz w:val="18"/>
        </w:rPr>
        <w:t>3C</w:t>
      </w:r>
      <w:r>
        <w:rPr>
          <w:spacing w:val="-20"/>
          <w:sz w:val="18"/>
        </w:rPr>
        <w:t> </w:t>
      </w:r>
      <w:r>
        <w:rPr>
          <w:sz w:val="18"/>
        </w:rPr>
        <w:t>Green</w:t>
      </w:r>
      <w:r>
        <w:rPr>
          <w:spacing w:val="-22"/>
          <w:sz w:val="18"/>
        </w:rPr>
        <w:t> </w:t>
      </w:r>
      <w:r>
        <w:rPr>
          <w:sz w:val="18"/>
        </w:rPr>
        <w:t>Boulevard,</w:t>
      </w:r>
      <w:r>
        <w:rPr>
          <w:spacing w:val="-21"/>
          <w:sz w:val="18"/>
        </w:rPr>
        <w:t> </w:t>
      </w:r>
      <w:r>
        <w:rPr>
          <w:sz w:val="18"/>
        </w:rPr>
        <w:t>Stellar</w:t>
      </w:r>
      <w:r>
        <w:rPr>
          <w:spacing w:val="-22"/>
          <w:sz w:val="18"/>
        </w:rPr>
        <w:t> </w:t>
      </w:r>
      <w:r>
        <w:rPr>
          <w:sz w:val="18"/>
        </w:rPr>
        <w:t>IT</w:t>
      </w:r>
      <w:r>
        <w:rPr>
          <w:spacing w:val="-20"/>
          <w:sz w:val="18"/>
        </w:rPr>
        <w:t> </w:t>
      </w:r>
      <w:r>
        <w:rPr>
          <w:sz w:val="18"/>
        </w:rPr>
        <w:t>Park,</w:t>
      </w:r>
      <w:r>
        <w:rPr>
          <w:spacing w:val="-21"/>
          <w:sz w:val="18"/>
        </w:rPr>
        <w:t> </w:t>
      </w:r>
      <w:r>
        <w:rPr>
          <w:sz w:val="18"/>
        </w:rPr>
        <w:t>Logix</w:t>
      </w:r>
      <w:r>
        <w:rPr>
          <w:spacing w:val="-21"/>
          <w:sz w:val="18"/>
        </w:rPr>
        <w:t> </w:t>
      </w:r>
      <w:r>
        <w:rPr>
          <w:sz w:val="18"/>
        </w:rPr>
        <w:t>Cyber Park, Candor Techspace,</w:t>
      </w:r>
      <w:r>
        <w:rPr>
          <w:spacing w:val="-12"/>
          <w:sz w:val="18"/>
        </w:rPr>
        <w:t> </w:t>
      </w:r>
      <w:r>
        <w:rPr>
          <w:sz w:val="18"/>
        </w:rPr>
        <w:t>etc.</w:t>
      </w:r>
    </w:p>
    <w:p>
      <w:pPr>
        <w:spacing w:line="321" w:lineRule="auto" w:before="122"/>
        <w:ind w:left="2572" w:right="659" w:firstLine="0"/>
        <w:jc w:val="both"/>
        <w:rPr>
          <w:sz w:val="18"/>
        </w:rPr>
      </w:pPr>
      <w:r>
        <w:rPr>
          <w:sz w:val="18"/>
        </w:rPr>
        <w:t>The</w:t>
      </w:r>
      <w:r>
        <w:rPr>
          <w:spacing w:val="-12"/>
          <w:sz w:val="18"/>
        </w:rPr>
        <w:t> </w:t>
      </w:r>
      <w:r>
        <w:rPr>
          <w:sz w:val="18"/>
        </w:rPr>
        <w:t>subject</w:t>
      </w:r>
      <w:r>
        <w:rPr>
          <w:spacing w:val="-13"/>
          <w:sz w:val="18"/>
        </w:rPr>
        <w:t> </w:t>
      </w:r>
      <w:r>
        <w:rPr>
          <w:sz w:val="18"/>
        </w:rPr>
        <w:t>property</w:t>
      </w:r>
      <w:r>
        <w:rPr>
          <w:spacing w:val="-12"/>
          <w:sz w:val="18"/>
        </w:rPr>
        <w:t> </w:t>
      </w:r>
      <w:r>
        <w:rPr>
          <w:sz w:val="18"/>
        </w:rPr>
        <w:t>is</w:t>
      </w:r>
      <w:r>
        <w:rPr>
          <w:spacing w:val="-12"/>
          <w:sz w:val="18"/>
        </w:rPr>
        <w:t> </w:t>
      </w:r>
      <w:r>
        <w:rPr>
          <w:sz w:val="18"/>
        </w:rPr>
        <w:t>located</w:t>
      </w:r>
      <w:r>
        <w:rPr>
          <w:spacing w:val="-14"/>
          <w:sz w:val="18"/>
        </w:rPr>
        <w:t> </w:t>
      </w:r>
      <w:r>
        <w:rPr>
          <w:sz w:val="18"/>
        </w:rPr>
        <w:t>in</w:t>
      </w:r>
      <w:r>
        <w:rPr>
          <w:spacing w:val="-12"/>
          <w:sz w:val="18"/>
        </w:rPr>
        <w:t> </w:t>
      </w:r>
      <w:r>
        <w:rPr>
          <w:sz w:val="18"/>
        </w:rPr>
        <w:t>close</w:t>
      </w:r>
      <w:r>
        <w:rPr>
          <w:spacing w:val="-12"/>
          <w:sz w:val="18"/>
        </w:rPr>
        <w:t> </w:t>
      </w:r>
      <w:r>
        <w:rPr>
          <w:sz w:val="18"/>
        </w:rPr>
        <w:t>proximity</w:t>
      </w:r>
      <w:r>
        <w:rPr>
          <w:spacing w:val="-12"/>
          <w:sz w:val="18"/>
        </w:rPr>
        <w:t> </w:t>
      </w:r>
      <w:r>
        <w:rPr>
          <w:sz w:val="18"/>
        </w:rPr>
        <w:t>to</w:t>
      </w:r>
      <w:r>
        <w:rPr>
          <w:spacing w:val="-12"/>
          <w:sz w:val="18"/>
        </w:rPr>
        <w:t> </w:t>
      </w:r>
      <w:r>
        <w:rPr>
          <w:sz w:val="18"/>
        </w:rPr>
        <w:t>National</w:t>
      </w:r>
      <w:r>
        <w:rPr>
          <w:spacing w:val="-15"/>
          <w:sz w:val="18"/>
        </w:rPr>
        <w:t> </w:t>
      </w:r>
      <w:r>
        <w:rPr>
          <w:sz w:val="18"/>
        </w:rPr>
        <w:t>Highway</w:t>
      </w:r>
      <w:r>
        <w:rPr>
          <w:spacing w:val="-12"/>
          <w:sz w:val="18"/>
        </w:rPr>
        <w:t> </w:t>
      </w:r>
      <w:r>
        <w:rPr>
          <w:sz w:val="18"/>
        </w:rPr>
        <w:t>(NH)</w:t>
      </w:r>
      <w:r>
        <w:rPr>
          <w:spacing w:val="-13"/>
          <w:sz w:val="18"/>
        </w:rPr>
        <w:t> </w:t>
      </w:r>
      <w:r>
        <w:rPr>
          <w:w w:val="105"/>
          <w:sz w:val="18"/>
        </w:rPr>
        <w:t>–</w:t>
      </w:r>
      <w:r>
        <w:rPr>
          <w:spacing w:val="-15"/>
          <w:w w:val="105"/>
          <w:sz w:val="18"/>
        </w:rPr>
        <w:t> </w:t>
      </w:r>
      <w:r>
        <w:rPr>
          <w:sz w:val="18"/>
        </w:rPr>
        <w:t>24,</w:t>
      </w:r>
      <w:r>
        <w:rPr>
          <w:spacing w:val="-12"/>
          <w:sz w:val="18"/>
        </w:rPr>
        <w:t> </w:t>
      </w:r>
      <w:r>
        <w:rPr>
          <w:sz w:val="18"/>
        </w:rPr>
        <w:t>which</w:t>
      </w:r>
      <w:r>
        <w:rPr>
          <w:spacing w:val="-12"/>
          <w:sz w:val="18"/>
        </w:rPr>
        <w:t> </w:t>
      </w:r>
      <w:r>
        <w:rPr>
          <w:sz w:val="18"/>
        </w:rPr>
        <w:t>makes</w:t>
      </w:r>
      <w:r>
        <w:rPr>
          <w:spacing w:val="-11"/>
          <w:sz w:val="18"/>
        </w:rPr>
        <w:t> </w:t>
      </w:r>
      <w:r>
        <w:rPr>
          <w:sz w:val="18"/>
        </w:rPr>
        <w:t>it</w:t>
      </w:r>
      <w:r>
        <w:rPr>
          <w:spacing w:val="-14"/>
          <w:sz w:val="18"/>
        </w:rPr>
        <w:t> </w:t>
      </w:r>
      <w:r>
        <w:rPr>
          <w:sz w:val="18"/>
        </w:rPr>
        <w:t>easily accessible</w:t>
      </w:r>
      <w:r>
        <w:rPr>
          <w:spacing w:val="-12"/>
          <w:sz w:val="18"/>
        </w:rPr>
        <w:t> </w:t>
      </w:r>
      <w:r>
        <w:rPr>
          <w:sz w:val="18"/>
        </w:rPr>
        <w:t>from</w:t>
      </w:r>
      <w:r>
        <w:rPr>
          <w:spacing w:val="-11"/>
          <w:sz w:val="18"/>
        </w:rPr>
        <w:t> </w:t>
      </w:r>
      <w:r>
        <w:rPr>
          <w:sz w:val="18"/>
        </w:rPr>
        <w:t>other</w:t>
      </w:r>
      <w:r>
        <w:rPr>
          <w:spacing w:val="-12"/>
          <w:sz w:val="18"/>
        </w:rPr>
        <w:t> </w:t>
      </w:r>
      <w:r>
        <w:rPr>
          <w:sz w:val="18"/>
        </w:rPr>
        <w:t>regions</w:t>
      </w:r>
      <w:r>
        <w:rPr>
          <w:spacing w:val="-12"/>
          <w:sz w:val="18"/>
        </w:rPr>
        <w:t> </w:t>
      </w:r>
      <w:r>
        <w:rPr>
          <w:sz w:val="18"/>
        </w:rPr>
        <w:t>of</w:t>
      </w:r>
      <w:r>
        <w:rPr>
          <w:spacing w:val="-11"/>
          <w:sz w:val="18"/>
        </w:rPr>
        <w:t> </w:t>
      </w:r>
      <w:r>
        <w:rPr>
          <w:sz w:val="18"/>
        </w:rPr>
        <w:t>NCR</w:t>
      </w:r>
      <w:r>
        <w:rPr>
          <w:spacing w:val="-12"/>
          <w:sz w:val="18"/>
        </w:rPr>
        <w:t> </w:t>
      </w:r>
      <w:r>
        <w:rPr>
          <w:sz w:val="18"/>
        </w:rPr>
        <w:t>(National</w:t>
      </w:r>
      <w:r>
        <w:rPr>
          <w:spacing w:val="-13"/>
          <w:sz w:val="18"/>
        </w:rPr>
        <w:t> </w:t>
      </w:r>
      <w:r>
        <w:rPr>
          <w:sz w:val="18"/>
        </w:rPr>
        <w:t>Capital</w:t>
      </w:r>
      <w:r>
        <w:rPr>
          <w:spacing w:val="-10"/>
          <w:sz w:val="18"/>
        </w:rPr>
        <w:t> </w:t>
      </w:r>
      <w:r>
        <w:rPr>
          <w:sz w:val="18"/>
        </w:rPr>
        <w:t>Region)</w:t>
      </w:r>
      <w:r>
        <w:rPr>
          <w:spacing w:val="-11"/>
          <w:sz w:val="18"/>
        </w:rPr>
        <w:t> </w:t>
      </w:r>
      <w:r>
        <w:rPr>
          <w:sz w:val="18"/>
        </w:rPr>
        <w:t>such</w:t>
      </w:r>
      <w:r>
        <w:rPr>
          <w:spacing w:val="-12"/>
          <w:sz w:val="18"/>
        </w:rPr>
        <w:t> </w:t>
      </w:r>
      <w:r>
        <w:rPr>
          <w:sz w:val="18"/>
        </w:rPr>
        <w:t>as</w:t>
      </w:r>
      <w:r>
        <w:rPr>
          <w:spacing w:val="-11"/>
          <w:sz w:val="18"/>
        </w:rPr>
        <w:t> </w:t>
      </w:r>
      <w:r>
        <w:rPr>
          <w:sz w:val="18"/>
        </w:rPr>
        <w:t>Delhi,</w:t>
      </w:r>
      <w:r>
        <w:rPr>
          <w:spacing w:val="-12"/>
          <w:sz w:val="18"/>
        </w:rPr>
        <w:t> </w:t>
      </w:r>
      <w:r>
        <w:rPr>
          <w:sz w:val="18"/>
        </w:rPr>
        <w:t>Ghaziabad,</w:t>
      </w:r>
      <w:r>
        <w:rPr>
          <w:spacing w:val="-13"/>
          <w:sz w:val="18"/>
        </w:rPr>
        <w:t> </w:t>
      </w:r>
      <w:r>
        <w:rPr>
          <w:sz w:val="18"/>
        </w:rPr>
        <w:t>etc.</w:t>
      </w:r>
      <w:r>
        <w:rPr>
          <w:spacing w:val="-12"/>
          <w:sz w:val="18"/>
        </w:rPr>
        <w:t> </w:t>
      </w:r>
      <w:r>
        <w:rPr>
          <w:sz w:val="18"/>
        </w:rPr>
        <w:t>Further, it</w:t>
      </w:r>
      <w:r>
        <w:rPr>
          <w:spacing w:val="-19"/>
          <w:sz w:val="18"/>
        </w:rPr>
        <w:t> </w:t>
      </w:r>
      <w:r>
        <w:rPr>
          <w:sz w:val="18"/>
        </w:rPr>
        <w:t>is</w:t>
      </w:r>
      <w:r>
        <w:rPr>
          <w:spacing w:val="-17"/>
          <w:sz w:val="18"/>
        </w:rPr>
        <w:t> </w:t>
      </w:r>
      <w:r>
        <w:rPr>
          <w:sz w:val="18"/>
        </w:rPr>
        <w:t>located</w:t>
      </w:r>
      <w:r>
        <w:rPr>
          <w:spacing w:val="-17"/>
          <w:sz w:val="18"/>
        </w:rPr>
        <w:t> </w:t>
      </w:r>
      <w:r>
        <w:rPr>
          <w:sz w:val="18"/>
        </w:rPr>
        <w:t>at</w:t>
      </w:r>
      <w:r>
        <w:rPr>
          <w:spacing w:val="-17"/>
          <w:sz w:val="18"/>
        </w:rPr>
        <w:t> </w:t>
      </w:r>
      <w:r>
        <w:rPr>
          <w:sz w:val="18"/>
        </w:rPr>
        <w:t>a</w:t>
      </w:r>
      <w:r>
        <w:rPr>
          <w:spacing w:val="-17"/>
          <w:sz w:val="18"/>
        </w:rPr>
        <w:t> </w:t>
      </w:r>
      <w:r>
        <w:rPr>
          <w:sz w:val="18"/>
        </w:rPr>
        <w:t>distance</w:t>
      </w:r>
      <w:r>
        <w:rPr>
          <w:spacing w:val="-19"/>
          <w:sz w:val="18"/>
        </w:rPr>
        <w:t> </w:t>
      </w:r>
      <w:r>
        <w:rPr>
          <w:sz w:val="18"/>
        </w:rPr>
        <w:t>of</w:t>
      </w:r>
      <w:r>
        <w:rPr>
          <w:spacing w:val="-17"/>
          <w:sz w:val="18"/>
        </w:rPr>
        <w:t> </w:t>
      </w:r>
      <w:r>
        <w:rPr>
          <w:sz w:val="18"/>
        </w:rPr>
        <w:t>approximately</w:t>
      </w:r>
      <w:r>
        <w:rPr>
          <w:spacing w:val="-17"/>
          <w:sz w:val="18"/>
        </w:rPr>
        <w:t> </w:t>
      </w:r>
      <w:r>
        <w:rPr>
          <w:sz w:val="18"/>
        </w:rPr>
        <w:t>9</w:t>
      </w:r>
      <w:r>
        <w:rPr>
          <w:spacing w:val="-14"/>
          <w:sz w:val="18"/>
        </w:rPr>
        <w:t> </w:t>
      </w:r>
      <w:r>
        <w:rPr>
          <w:w w:val="105"/>
          <w:sz w:val="18"/>
        </w:rPr>
        <w:t>–</w:t>
      </w:r>
      <w:r>
        <w:rPr>
          <w:spacing w:val="-19"/>
          <w:w w:val="105"/>
          <w:sz w:val="18"/>
        </w:rPr>
        <w:t> </w:t>
      </w:r>
      <w:r>
        <w:rPr>
          <w:sz w:val="18"/>
        </w:rPr>
        <w:t>10</w:t>
      </w:r>
      <w:r>
        <w:rPr>
          <w:spacing w:val="-18"/>
          <w:sz w:val="18"/>
        </w:rPr>
        <w:t> </w:t>
      </w:r>
      <w:r>
        <w:rPr>
          <w:sz w:val="18"/>
        </w:rPr>
        <w:t>km</w:t>
      </w:r>
      <w:r>
        <w:rPr>
          <w:spacing w:val="-16"/>
          <w:sz w:val="18"/>
        </w:rPr>
        <w:t> </w:t>
      </w:r>
      <w:r>
        <w:rPr>
          <w:sz w:val="18"/>
        </w:rPr>
        <w:t>from</w:t>
      </w:r>
      <w:r>
        <w:rPr>
          <w:spacing w:val="-17"/>
          <w:sz w:val="18"/>
        </w:rPr>
        <w:t> </w:t>
      </w:r>
      <w:r>
        <w:rPr>
          <w:sz w:val="18"/>
        </w:rPr>
        <w:t>the</w:t>
      </w:r>
      <w:r>
        <w:rPr>
          <w:spacing w:val="-16"/>
          <w:sz w:val="18"/>
        </w:rPr>
        <w:t> </w:t>
      </w:r>
      <w:r>
        <w:rPr>
          <w:sz w:val="18"/>
        </w:rPr>
        <w:t>established</w:t>
      </w:r>
      <w:r>
        <w:rPr>
          <w:spacing w:val="-17"/>
          <w:sz w:val="18"/>
        </w:rPr>
        <w:t> </w:t>
      </w:r>
      <w:r>
        <w:rPr>
          <w:sz w:val="18"/>
        </w:rPr>
        <w:t>commercial</w:t>
      </w:r>
      <w:r>
        <w:rPr>
          <w:spacing w:val="-17"/>
          <w:sz w:val="18"/>
        </w:rPr>
        <w:t> </w:t>
      </w:r>
      <w:r>
        <w:rPr>
          <w:sz w:val="18"/>
        </w:rPr>
        <w:t>hub</w:t>
      </w:r>
      <w:r>
        <w:rPr>
          <w:spacing w:val="-18"/>
          <w:sz w:val="18"/>
        </w:rPr>
        <w:t> </w:t>
      </w:r>
      <w:r>
        <w:rPr>
          <w:sz w:val="18"/>
        </w:rPr>
        <w:t>of</w:t>
      </w:r>
      <w:r>
        <w:rPr>
          <w:spacing w:val="-17"/>
          <w:sz w:val="18"/>
        </w:rPr>
        <w:t> </w:t>
      </w:r>
      <w:r>
        <w:rPr>
          <w:sz w:val="18"/>
        </w:rPr>
        <w:t>Noida</w:t>
      </w:r>
      <w:r>
        <w:rPr>
          <w:spacing w:val="-16"/>
          <w:sz w:val="18"/>
        </w:rPr>
        <w:t> </w:t>
      </w:r>
      <w:r>
        <w:rPr>
          <w:sz w:val="18"/>
        </w:rPr>
        <w:t>viz. Sector-18, approximately 10 </w:t>
      </w:r>
      <w:r>
        <w:rPr>
          <w:w w:val="105"/>
          <w:sz w:val="18"/>
        </w:rPr>
        <w:t>– </w:t>
      </w:r>
      <w:r>
        <w:rPr>
          <w:sz w:val="18"/>
        </w:rPr>
        <w:t>11 km from </w:t>
      </w:r>
      <w:r>
        <w:rPr>
          <w:w w:val="105"/>
          <w:sz w:val="18"/>
        </w:rPr>
        <w:t>DND </w:t>
      </w:r>
      <w:r>
        <w:rPr>
          <w:sz w:val="18"/>
        </w:rPr>
        <w:t>Flyway and approximately 31 </w:t>
      </w:r>
      <w:r>
        <w:rPr>
          <w:w w:val="105"/>
          <w:sz w:val="18"/>
        </w:rPr>
        <w:t>– </w:t>
      </w:r>
      <w:r>
        <w:rPr>
          <w:sz w:val="18"/>
        </w:rPr>
        <w:t>32 km from Indira Gandhi International Airport,</w:t>
      </w:r>
      <w:r>
        <w:rPr>
          <w:spacing w:val="-6"/>
          <w:sz w:val="18"/>
        </w:rPr>
        <w:t> </w:t>
      </w:r>
      <w:r>
        <w:rPr>
          <w:sz w:val="18"/>
        </w:rPr>
        <w:t>Delhi</w:t>
      </w:r>
    </w:p>
    <w:p>
      <w:pPr>
        <w:pStyle w:val="BodyText"/>
        <w:spacing w:before="9"/>
        <w:rPr>
          <w:sz w:val="21"/>
        </w:rPr>
      </w:pPr>
    </w:p>
    <w:p>
      <w:pPr>
        <w:spacing w:line="321" w:lineRule="auto" w:before="1"/>
        <w:ind w:left="2572" w:right="658" w:hanging="2180"/>
        <w:jc w:val="both"/>
        <w:rPr>
          <w:sz w:val="18"/>
        </w:rPr>
      </w:pPr>
      <w:r>
        <w:rPr>
          <w:color w:val="006A4D"/>
          <w:sz w:val="18"/>
        </w:rPr>
        <w:t>Statement</w:t>
      </w:r>
      <w:r>
        <w:rPr>
          <w:color w:val="006A4D"/>
          <w:spacing w:val="-34"/>
          <w:sz w:val="18"/>
        </w:rPr>
        <w:t> </w:t>
      </w:r>
      <w:r>
        <w:rPr>
          <w:color w:val="006A4D"/>
          <w:sz w:val="18"/>
        </w:rPr>
        <w:t>of</w:t>
      </w:r>
      <w:r>
        <w:rPr>
          <w:color w:val="006A4D"/>
          <w:spacing w:val="-33"/>
          <w:sz w:val="18"/>
        </w:rPr>
        <w:t> </w:t>
      </w:r>
      <w:r>
        <w:rPr>
          <w:color w:val="006A4D"/>
          <w:sz w:val="18"/>
        </w:rPr>
        <w:t>Assets</w:t>
      </w:r>
      <w:r>
        <w:rPr>
          <w:color w:val="006A4D"/>
          <w:spacing w:val="-33"/>
          <w:sz w:val="18"/>
        </w:rPr>
        <w:t> </w:t>
      </w:r>
      <w:r>
        <w:rPr>
          <w:color w:val="006A4D"/>
          <w:sz w:val="18"/>
        </w:rPr>
        <w:t>(sf):</w:t>
      </w:r>
      <w:r>
        <w:rPr>
          <w:color w:val="006A4D"/>
          <w:spacing w:val="25"/>
          <w:sz w:val="18"/>
        </w:rPr>
        <w:t> </w:t>
      </w:r>
      <w:r>
        <w:rPr>
          <w:sz w:val="18"/>
        </w:rPr>
        <w:t>Based</w:t>
      </w:r>
      <w:r>
        <w:rPr>
          <w:spacing w:val="-37"/>
          <w:sz w:val="18"/>
        </w:rPr>
        <w:t> </w:t>
      </w:r>
      <w:r>
        <w:rPr>
          <w:sz w:val="18"/>
        </w:rPr>
        <w:t>on</w:t>
      </w:r>
      <w:r>
        <w:rPr>
          <w:spacing w:val="-37"/>
          <w:sz w:val="18"/>
        </w:rPr>
        <w:t> </w:t>
      </w:r>
      <w:r>
        <w:rPr>
          <w:sz w:val="18"/>
        </w:rPr>
        <w:t>review</w:t>
      </w:r>
      <w:r>
        <w:rPr>
          <w:spacing w:val="-38"/>
          <w:sz w:val="18"/>
        </w:rPr>
        <w:t> </w:t>
      </w:r>
      <w:r>
        <w:rPr>
          <w:sz w:val="18"/>
        </w:rPr>
        <w:t>of</w:t>
      </w:r>
      <w:r>
        <w:rPr>
          <w:spacing w:val="-37"/>
          <w:sz w:val="18"/>
        </w:rPr>
        <w:t> </w:t>
      </w:r>
      <w:r>
        <w:rPr>
          <w:sz w:val="18"/>
        </w:rPr>
        <w:t>various</w:t>
      </w:r>
      <w:r>
        <w:rPr>
          <w:spacing w:val="-36"/>
          <w:sz w:val="18"/>
        </w:rPr>
        <w:t> </w:t>
      </w:r>
      <w:r>
        <w:rPr>
          <w:sz w:val="18"/>
        </w:rPr>
        <w:t>documents</w:t>
      </w:r>
      <w:r>
        <w:rPr>
          <w:spacing w:val="-37"/>
          <w:sz w:val="18"/>
        </w:rPr>
        <w:t> </w:t>
      </w:r>
      <w:r>
        <w:rPr>
          <w:sz w:val="18"/>
        </w:rPr>
        <w:t>(such</w:t>
      </w:r>
      <w:r>
        <w:rPr>
          <w:spacing w:val="-38"/>
          <w:sz w:val="18"/>
        </w:rPr>
        <w:t> </w:t>
      </w:r>
      <w:r>
        <w:rPr>
          <w:sz w:val="18"/>
        </w:rPr>
        <w:t>as</w:t>
      </w:r>
      <w:r>
        <w:rPr>
          <w:spacing w:val="-37"/>
          <w:sz w:val="18"/>
        </w:rPr>
        <w:t> </w:t>
      </w:r>
      <w:r>
        <w:rPr>
          <w:sz w:val="18"/>
        </w:rPr>
        <w:t>architect</w:t>
      </w:r>
      <w:r>
        <w:rPr>
          <w:spacing w:val="-38"/>
          <w:sz w:val="18"/>
        </w:rPr>
        <w:t> </w:t>
      </w:r>
      <w:r>
        <w:rPr>
          <w:sz w:val="18"/>
        </w:rPr>
        <w:t>certificate,</w:t>
      </w:r>
      <w:r>
        <w:rPr>
          <w:spacing w:val="-37"/>
          <w:sz w:val="18"/>
        </w:rPr>
        <w:t> </w:t>
      </w:r>
      <w:r>
        <w:rPr>
          <w:sz w:val="18"/>
        </w:rPr>
        <w:t>rent</w:t>
      </w:r>
      <w:r>
        <w:rPr>
          <w:spacing w:val="-38"/>
          <w:sz w:val="18"/>
        </w:rPr>
        <w:t> </w:t>
      </w:r>
      <w:r>
        <w:rPr>
          <w:sz w:val="18"/>
        </w:rPr>
        <w:t>roll,</w:t>
      </w:r>
      <w:r>
        <w:rPr>
          <w:spacing w:val="-37"/>
          <w:sz w:val="18"/>
        </w:rPr>
        <w:t> </w:t>
      </w:r>
      <w:r>
        <w:rPr>
          <w:sz w:val="18"/>
        </w:rPr>
        <w:t>lease</w:t>
      </w:r>
      <w:r>
        <w:rPr>
          <w:spacing w:val="-38"/>
          <w:sz w:val="18"/>
        </w:rPr>
        <w:t> </w:t>
      </w:r>
      <w:r>
        <w:rPr>
          <w:sz w:val="18"/>
        </w:rPr>
        <w:t>deeds,</w:t>
      </w:r>
      <w:r>
        <w:rPr>
          <w:spacing w:val="-37"/>
          <w:sz w:val="18"/>
        </w:rPr>
        <w:t> </w:t>
      </w:r>
      <w:r>
        <w:rPr>
          <w:sz w:val="18"/>
        </w:rPr>
        <w:t>etc.),</w:t>
      </w:r>
      <w:r>
        <w:rPr>
          <w:spacing w:val="-38"/>
          <w:sz w:val="18"/>
        </w:rPr>
        <w:t> </w:t>
      </w:r>
      <w:r>
        <w:rPr>
          <w:sz w:val="18"/>
        </w:rPr>
        <w:t>the</w:t>
      </w:r>
      <w:r>
        <w:rPr>
          <w:spacing w:val="-37"/>
          <w:sz w:val="18"/>
        </w:rPr>
        <w:t> </w:t>
      </w:r>
      <w:r>
        <w:rPr>
          <w:sz w:val="18"/>
        </w:rPr>
        <w:t>subject property</w:t>
      </w:r>
      <w:r>
        <w:rPr>
          <w:spacing w:val="-22"/>
          <w:sz w:val="18"/>
        </w:rPr>
        <w:t> </w:t>
      </w:r>
      <w:r>
        <w:rPr>
          <w:sz w:val="18"/>
        </w:rPr>
        <w:t>is</w:t>
      </w:r>
      <w:r>
        <w:rPr>
          <w:spacing w:val="-20"/>
          <w:sz w:val="18"/>
        </w:rPr>
        <w:t> </w:t>
      </w:r>
      <w:r>
        <w:rPr>
          <w:sz w:val="18"/>
        </w:rPr>
        <w:t>an</w:t>
      </w:r>
      <w:r>
        <w:rPr>
          <w:spacing w:val="-20"/>
          <w:sz w:val="18"/>
        </w:rPr>
        <w:t> </w:t>
      </w:r>
      <w:r>
        <w:rPr>
          <w:sz w:val="18"/>
        </w:rPr>
        <w:t>operational</w:t>
      </w:r>
      <w:r>
        <w:rPr>
          <w:spacing w:val="-21"/>
          <w:sz w:val="18"/>
        </w:rPr>
        <w:t> </w:t>
      </w:r>
      <w:r>
        <w:rPr>
          <w:sz w:val="18"/>
        </w:rPr>
        <w:t>office</w:t>
      </w:r>
      <w:r>
        <w:rPr>
          <w:spacing w:val="-18"/>
          <w:sz w:val="18"/>
        </w:rPr>
        <w:t> </w:t>
      </w:r>
      <w:r>
        <w:rPr>
          <w:sz w:val="18"/>
        </w:rPr>
        <w:t>park</w:t>
      </w:r>
      <w:r>
        <w:rPr>
          <w:spacing w:val="-21"/>
          <w:sz w:val="18"/>
        </w:rPr>
        <w:t> </w:t>
      </w:r>
      <w:r>
        <w:rPr>
          <w:sz w:val="18"/>
        </w:rPr>
        <w:t>with</w:t>
      </w:r>
      <w:r>
        <w:rPr>
          <w:spacing w:val="-21"/>
          <w:sz w:val="18"/>
        </w:rPr>
        <w:t> </w:t>
      </w:r>
      <w:r>
        <w:rPr>
          <w:sz w:val="18"/>
        </w:rPr>
        <w:t>approximately</w:t>
      </w:r>
      <w:r>
        <w:rPr>
          <w:spacing w:val="-21"/>
          <w:sz w:val="18"/>
        </w:rPr>
        <w:t> </w:t>
      </w:r>
      <w:r>
        <w:rPr>
          <w:sz w:val="18"/>
        </w:rPr>
        <w:t>1.36</w:t>
      </w:r>
      <w:r>
        <w:rPr>
          <w:spacing w:val="-21"/>
          <w:sz w:val="18"/>
        </w:rPr>
        <w:t> </w:t>
      </w:r>
      <w:r>
        <w:rPr>
          <w:sz w:val="18"/>
        </w:rPr>
        <w:t>msf</w:t>
      </w:r>
      <w:r>
        <w:rPr>
          <w:spacing w:val="-20"/>
          <w:sz w:val="18"/>
        </w:rPr>
        <w:t> </w:t>
      </w:r>
      <w:r>
        <w:rPr>
          <w:sz w:val="18"/>
        </w:rPr>
        <w:t>of</w:t>
      </w:r>
      <w:r>
        <w:rPr>
          <w:spacing w:val="-21"/>
          <w:sz w:val="18"/>
        </w:rPr>
        <w:t> </w:t>
      </w:r>
      <w:r>
        <w:rPr>
          <w:sz w:val="18"/>
        </w:rPr>
        <w:t>completed</w:t>
      </w:r>
      <w:r>
        <w:rPr>
          <w:spacing w:val="-21"/>
          <w:sz w:val="18"/>
        </w:rPr>
        <w:t> </w:t>
      </w:r>
      <w:r>
        <w:rPr>
          <w:sz w:val="18"/>
        </w:rPr>
        <w:t>leasable</w:t>
      </w:r>
      <w:r>
        <w:rPr>
          <w:spacing w:val="-20"/>
          <w:sz w:val="18"/>
        </w:rPr>
        <w:t> </w:t>
      </w:r>
      <w:r>
        <w:rPr>
          <w:sz w:val="18"/>
        </w:rPr>
        <w:t>area,</w:t>
      </w:r>
      <w:r>
        <w:rPr>
          <w:spacing w:val="-14"/>
          <w:sz w:val="18"/>
        </w:rPr>
        <w:t> </w:t>
      </w:r>
      <w:r>
        <w:rPr>
          <w:sz w:val="18"/>
        </w:rPr>
        <w:t>which</w:t>
      </w:r>
      <w:r>
        <w:rPr>
          <w:spacing w:val="-20"/>
          <w:sz w:val="18"/>
        </w:rPr>
        <w:t> </w:t>
      </w:r>
      <w:r>
        <w:rPr>
          <w:sz w:val="18"/>
        </w:rPr>
        <w:t>is approximately</w:t>
      </w:r>
      <w:r>
        <w:rPr>
          <w:spacing w:val="-23"/>
          <w:sz w:val="18"/>
        </w:rPr>
        <w:t> </w:t>
      </w:r>
      <w:r>
        <w:rPr>
          <w:sz w:val="18"/>
        </w:rPr>
        <w:t>98.9%</w:t>
      </w:r>
      <w:r>
        <w:rPr>
          <w:spacing w:val="-22"/>
          <w:sz w:val="18"/>
        </w:rPr>
        <w:t> </w:t>
      </w:r>
      <w:r>
        <w:rPr>
          <w:sz w:val="18"/>
        </w:rPr>
        <w:t>leased</w:t>
      </w:r>
      <w:r>
        <w:rPr>
          <w:spacing w:val="-24"/>
          <w:sz w:val="18"/>
        </w:rPr>
        <w:t> </w:t>
      </w:r>
      <w:r>
        <w:rPr>
          <w:sz w:val="18"/>
        </w:rPr>
        <w:t>as</w:t>
      </w:r>
      <w:r>
        <w:rPr>
          <w:spacing w:val="-23"/>
          <w:sz w:val="18"/>
        </w:rPr>
        <w:t> </w:t>
      </w:r>
      <w:r>
        <w:rPr>
          <w:sz w:val="18"/>
        </w:rPr>
        <w:t>on</w:t>
      </w:r>
      <w:r>
        <w:rPr>
          <w:spacing w:val="-22"/>
          <w:sz w:val="18"/>
        </w:rPr>
        <w:t> </w:t>
      </w:r>
      <w:r>
        <w:rPr>
          <w:sz w:val="18"/>
        </w:rPr>
        <w:t>the</w:t>
      </w:r>
      <w:r>
        <w:rPr>
          <w:spacing w:val="-22"/>
          <w:sz w:val="18"/>
        </w:rPr>
        <w:t> </w:t>
      </w:r>
      <w:r>
        <w:rPr>
          <w:sz w:val="18"/>
        </w:rPr>
        <w:t>date</w:t>
      </w:r>
      <w:r>
        <w:rPr>
          <w:spacing w:val="-22"/>
          <w:sz w:val="18"/>
        </w:rPr>
        <w:t> </w:t>
      </w:r>
      <w:r>
        <w:rPr>
          <w:sz w:val="18"/>
        </w:rPr>
        <w:t>of</w:t>
      </w:r>
      <w:r>
        <w:rPr>
          <w:spacing w:val="-22"/>
          <w:sz w:val="18"/>
        </w:rPr>
        <w:t> </w:t>
      </w:r>
      <w:r>
        <w:rPr>
          <w:sz w:val="18"/>
        </w:rPr>
        <w:t>valuation.</w:t>
      </w:r>
      <w:r>
        <w:rPr>
          <w:spacing w:val="-23"/>
          <w:sz w:val="18"/>
        </w:rPr>
        <w:t> </w:t>
      </w:r>
      <w:r>
        <w:rPr>
          <w:sz w:val="18"/>
        </w:rPr>
        <w:t>Table</w:t>
      </w:r>
      <w:r>
        <w:rPr>
          <w:spacing w:val="-23"/>
          <w:sz w:val="18"/>
        </w:rPr>
        <w:t> </w:t>
      </w:r>
      <w:r>
        <w:rPr>
          <w:sz w:val="18"/>
        </w:rPr>
        <w:t>below</w:t>
      </w:r>
      <w:r>
        <w:rPr>
          <w:spacing w:val="-22"/>
          <w:sz w:val="18"/>
        </w:rPr>
        <w:t> </w:t>
      </w:r>
      <w:r>
        <w:rPr>
          <w:sz w:val="18"/>
        </w:rPr>
        <w:t>highlights</w:t>
      </w:r>
      <w:r>
        <w:rPr>
          <w:spacing w:val="-22"/>
          <w:sz w:val="18"/>
        </w:rPr>
        <w:t> </w:t>
      </w:r>
      <w:r>
        <w:rPr>
          <w:sz w:val="18"/>
        </w:rPr>
        <w:t>the</w:t>
      </w:r>
      <w:r>
        <w:rPr>
          <w:spacing w:val="-22"/>
          <w:sz w:val="18"/>
        </w:rPr>
        <w:t> </w:t>
      </w:r>
      <w:r>
        <w:rPr>
          <w:sz w:val="18"/>
        </w:rPr>
        <w:t>leasable</w:t>
      </w:r>
      <w:r>
        <w:rPr>
          <w:spacing w:val="-24"/>
          <w:sz w:val="18"/>
        </w:rPr>
        <w:t> </w:t>
      </w:r>
      <w:r>
        <w:rPr>
          <w:sz w:val="18"/>
        </w:rPr>
        <w:t>area</w:t>
      </w:r>
      <w:r>
        <w:rPr>
          <w:spacing w:val="-22"/>
          <w:sz w:val="18"/>
        </w:rPr>
        <w:t> </w:t>
      </w:r>
      <w:r>
        <w:rPr>
          <w:sz w:val="18"/>
        </w:rPr>
        <w:t>details for the subject</w:t>
      </w:r>
      <w:r>
        <w:rPr>
          <w:spacing w:val="-11"/>
          <w:sz w:val="18"/>
        </w:rPr>
        <w:t> </w:t>
      </w:r>
      <w:r>
        <w:rPr>
          <w:sz w:val="18"/>
        </w:rPr>
        <w:t>development:</w:t>
      </w:r>
    </w:p>
    <w:p>
      <w:pPr>
        <w:pStyle w:val="BodyText"/>
        <w:spacing w:before="3"/>
        <w:rPr>
          <w:sz w:val="10"/>
        </w:rPr>
      </w:pPr>
    </w:p>
    <w:tbl>
      <w:tblPr>
        <w:tblW w:w="0" w:type="auto"/>
        <w:jc w:val="left"/>
        <w:tblInd w:w="2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22"/>
        <w:gridCol w:w="2350"/>
        <w:gridCol w:w="2856"/>
      </w:tblGrid>
      <w:tr>
        <w:trPr>
          <w:trHeight w:val="325" w:hRule="atLeast"/>
        </w:trPr>
        <w:tc>
          <w:tcPr>
            <w:tcW w:w="2722" w:type="dxa"/>
            <w:tcBorders>
              <w:top w:val="single" w:sz="12" w:space="0" w:color="1F6B16"/>
              <w:bottom w:val="single" w:sz="6" w:space="0" w:color="69BD28"/>
            </w:tcBorders>
            <w:shd w:val="clear" w:color="auto" w:fill="006A4D"/>
          </w:tcPr>
          <w:p>
            <w:pPr>
              <w:pStyle w:val="TableParagraph"/>
              <w:spacing w:before="58"/>
              <w:ind w:left="232" w:right="326"/>
              <w:rPr>
                <w:b/>
                <w:sz w:val="18"/>
              </w:rPr>
            </w:pPr>
            <w:r>
              <w:rPr>
                <w:b/>
                <w:color w:val="FFFFFF"/>
                <w:w w:val="105"/>
                <w:sz w:val="18"/>
              </w:rPr>
              <w:t>Particular</w:t>
            </w:r>
          </w:p>
        </w:tc>
        <w:tc>
          <w:tcPr>
            <w:tcW w:w="2350" w:type="dxa"/>
            <w:tcBorders>
              <w:top w:val="single" w:sz="12" w:space="0" w:color="1F6B16"/>
              <w:bottom w:val="single" w:sz="6" w:space="0" w:color="69BD28"/>
            </w:tcBorders>
            <w:shd w:val="clear" w:color="auto" w:fill="006A4D"/>
          </w:tcPr>
          <w:p>
            <w:pPr>
              <w:pStyle w:val="TableParagraph"/>
              <w:spacing w:before="58"/>
              <w:ind w:left="349" w:right="301"/>
              <w:rPr>
                <w:b/>
                <w:sz w:val="18"/>
              </w:rPr>
            </w:pPr>
            <w:r>
              <w:rPr>
                <w:b/>
                <w:color w:val="FFFFFF"/>
                <w:w w:val="110"/>
                <w:sz w:val="18"/>
              </w:rPr>
              <w:t>Leasable Area (sf)</w:t>
            </w:r>
          </w:p>
        </w:tc>
        <w:tc>
          <w:tcPr>
            <w:tcW w:w="2856" w:type="dxa"/>
            <w:tcBorders>
              <w:top w:val="single" w:sz="12" w:space="0" w:color="1F6B16"/>
              <w:bottom w:val="single" w:sz="6" w:space="0" w:color="69BD28"/>
            </w:tcBorders>
            <w:shd w:val="clear" w:color="auto" w:fill="006A4D"/>
          </w:tcPr>
          <w:p>
            <w:pPr>
              <w:pStyle w:val="TableParagraph"/>
              <w:spacing w:before="58"/>
              <w:ind w:left="328" w:right="176"/>
              <w:rPr>
                <w:b/>
                <w:sz w:val="18"/>
              </w:rPr>
            </w:pPr>
            <w:r>
              <w:rPr>
                <w:b/>
                <w:color w:val="FFFFFF"/>
                <w:w w:val="105"/>
                <w:sz w:val="18"/>
              </w:rPr>
              <w:t>Committed Occupancy (%)</w:t>
            </w:r>
          </w:p>
        </w:tc>
      </w:tr>
      <w:tr>
        <w:trPr>
          <w:trHeight w:val="222" w:hRule="atLeast"/>
        </w:trPr>
        <w:tc>
          <w:tcPr>
            <w:tcW w:w="2722" w:type="dxa"/>
            <w:tcBorders>
              <w:top w:val="single" w:sz="6" w:space="0" w:color="69BD28"/>
              <w:bottom w:val="single" w:sz="6" w:space="0" w:color="69BD28"/>
            </w:tcBorders>
          </w:tcPr>
          <w:p>
            <w:pPr>
              <w:pStyle w:val="TableParagraph"/>
              <w:spacing w:line="194" w:lineRule="exact" w:before="8"/>
              <w:ind w:left="232" w:right="327"/>
              <w:rPr>
                <w:sz w:val="18"/>
              </w:rPr>
            </w:pPr>
            <w:r>
              <w:rPr>
                <w:sz w:val="18"/>
              </w:rPr>
              <w:t>Completed Blocks</w:t>
            </w:r>
          </w:p>
        </w:tc>
        <w:tc>
          <w:tcPr>
            <w:tcW w:w="2350" w:type="dxa"/>
            <w:tcBorders>
              <w:top w:val="single" w:sz="6" w:space="0" w:color="69BD28"/>
              <w:bottom w:val="single" w:sz="6" w:space="0" w:color="69BD28"/>
            </w:tcBorders>
          </w:tcPr>
          <w:p>
            <w:pPr>
              <w:pStyle w:val="TableParagraph"/>
              <w:spacing w:line="194" w:lineRule="exact" w:before="8"/>
              <w:ind w:left="345" w:right="301"/>
              <w:rPr>
                <w:sz w:val="18"/>
              </w:rPr>
            </w:pPr>
            <w:r>
              <w:rPr>
                <w:w w:val="105"/>
                <w:sz w:val="18"/>
              </w:rPr>
              <w:t>1,357,029</w:t>
            </w:r>
          </w:p>
        </w:tc>
        <w:tc>
          <w:tcPr>
            <w:tcW w:w="2856" w:type="dxa"/>
            <w:tcBorders>
              <w:top w:val="single" w:sz="6" w:space="0" w:color="69BD28"/>
              <w:bottom w:val="single" w:sz="6" w:space="0" w:color="69BD28"/>
            </w:tcBorders>
          </w:tcPr>
          <w:p>
            <w:pPr>
              <w:pStyle w:val="TableParagraph"/>
              <w:spacing w:line="194" w:lineRule="exact" w:before="8"/>
              <w:ind w:left="325" w:right="176"/>
              <w:rPr>
                <w:sz w:val="18"/>
              </w:rPr>
            </w:pPr>
            <w:r>
              <w:rPr>
                <w:w w:val="110"/>
                <w:sz w:val="18"/>
              </w:rPr>
              <w:t>98.9%</w:t>
            </w:r>
          </w:p>
        </w:tc>
      </w:tr>
      <w:tr>
        <w:trPr>
          <w:trHeight w:val="222" w:hRule="atLeast"/>
        </w:trPr>
        <w:tc>
          <w:tcPr>
            <w:tcW w:w="2722" w:type="dxa"/>
            <w:tcBorders>
              <w:top w:val="single" w:sz="6" w:space="0" w:color="69BD28"/>
              <w:bottom w:val="single" w:sz="6" w:space="0" w:color="69BD28"/>
            </w:tcBorders>
          </w:tcPr>
          <w:p>
            <w:pPr>
              <w:pStyle w:val="TableParagraph"/>
              <w:spacing w:line="197" w:lineRule="exact" w:before="6"/>
              <w:ind w:left="232" w:right="330"/>
              <w:rPr>
                <w:sz w:val="18"/>
              </w:rPr>
            </w:pPr>
            <w:r>
              <w:rPr>
                <w:sz w:val="18"/>
              </w:rPr>
              <w:t>Under Construction Blocks</w:t>
            </w:r>
          </w:p>
        </w:tc>
        <w:tc>
          <w:tcPr>
            <w:tcW w:w="2350" w:type="dxa"/>
            <w:tcBorders>
              <w:top w:val="single" w:sz="6" w:space="0" w:color="69BD28"/>
              <w:bottom w:val="single" w:sz="6" w:space="0" w:color="69BD28"/>
            </w:tcBorders>
          </w:tcPr>
          <w:p>
            <w:pPr>
              <w:pStyle w:val="TableParagraph"/>
              <w:spacing w:line="197" w:lineRule="exact" w:before="6"/>
              <w:ind w:left="49"/>
              <w:rPr>
                <w:sz w:val="18"/>
              </w:rPr>
            </w:pPr>
            <w:r>
              <w:rPr>
                <w:w w:val="99"/>
                <w:sz w:val="18"/>
              </w:rPr>
              <w:t>-</w:t>
            </w:r>
          </w:p>
        </w:tc>
        <w:tc>
          <w:tcPr>
            <w:tcW w:w="2856" w:type="dxa"/>
            <w:tcBorders>
              <w:top w:val="single" w:sz="6" w:space="0" w:color="69BD28"/>
              <w:bottom w:val="single" w:sz="6" w:space="0" w:color="69BD28"/>
            </w:tcBorders>
          </w:tcPr>
          <w:p>
            <w:pPr>
              <w:pStyle w:val="TableParagraph"/>
              <w:spacing w:line="197" w:lineRule="exact" w:before="6"/>
              <w:ind w:left="328" w:right="176"/>
              <w:rPr>
                <w:sz w:val="18"/>
              </w:rPr>
            </w:pPr>
            <w:r>
              <w:rPr>
                <w:w w:val="115"/>
                <w:sz w:val="18"/>
              </w:rPr>
              <w:t>NA</w:t>
            </w:r>
          </w:p>
        </w:tc>
      </w:tr>
      <w:tr>
        <w:trPr>
          <w:trHeight w:val="220" w:hRule="atLeast"/>
        </w:trPr>
        <w:tc>
          <w:tcPr>
            <w:tcW w:w="2722" w:type="dxa"/>
            <w:tcBorders>
              <w:top w:val="single" w:sz="6" w:space="0" w:color="69BD28"/>
              <w:bottom w:val="single" w:sz="6" w:space="0" w:color="69BD28"/>
            </w:tcBorders>
          </w:tcPr>
          <w:p>
            <w:pPr>
              <w:pStyle w:val="TableParagraph"/>
              <w:spacing w:line="194" w:lineRule="exact" w:before="6"/>
              <w:ind w:left="232" w:right="326"/>
              <w:rPr>
                <w:sz w:val="18"/>
              </w:rPr>
            </w:pPr>
            <w:r>
              <w:rPr>
                <w:sz w:val="18"/>
              </w:rPr>
              <w:t>Proposed Blocks</w:t>
            </w:r>
          </w:p>
        </w:tc>
        <w:tc>
          <w:tcPr>
            <w:tcW w:w="2350" w:type="dxa"/>
            <w:tcBorders>
              <w:top w:val="single" w:sz="6" w:space="0" w:color="69BD28"/>
              <w:bottom w:val="single" w:sz="6" w:space="0" w:color="69BD28"/>
            </w:tcBorders>
          </w:tcPr>
          <w:p>
            <w:pPr>
              <w:pStyle w:val="TableParagraph"/>
              <w:spacing w:line="194" w:lineRule="exact" w:before="6"/>
              <w:ind w:left="49"/>
              <w:rPr>
                <w:sz w:val="18"/>
              </w:rPr>
            </w:pPr>
            <w:r>
              <w:rPr>
                <w:w w:val="99"/>
                <w:sz w:val="18"/>
              </w:rPr>
              <w:t>-</w:t>
            </w:r>
          </w:p>
        </w:tc>
        <w:tc>
          <w:tcPr>
            <w:tcW w:w="2856" w:type="dxa"/>
            <w:tcBorders>
              <w:top w:val="single" w:sz="6" w:space="0" w:color="69BD28"/>
              <w:bottom w:val="single" w:sz="6" w:space="0" w:color="69BD28"/>
            </w:tcBorders>
          </w:tcPr>
          <w:p>
            <w:pPr>
              <w:pStyle w:val="TableParagraph"/>
              <w:spacing w:line="194" w:lineRule="exact" w:before="6"/>
              <w:ind w:left="328" w:right="176"/>
              <w:rPr>
                <w:sz w:val="18"/>
              </w:rPr>
            </w:pPr>
            <w:r>
              <w:rPr>
                <w:w w:val="115"/>
                <w:sz w:val="18"/>
              </w:rPr>
              <w:t>NA</w:t>
            </w:r>
          </w:p>
        </w:tc>
      </w:tr>
      <w:tr>
        <w:trPr>
          <w:trHeight w:val="222" w:hRule="atLeast"/>
        </w:trPr>
        <w:tc>
          <w:tcPr>
            <w:tcW w:w="2722" w:type="dxa"/>
            <w:tcBorders>
              <w:top w:val="single" w:sz="6" w:space="0" w:color="69BD28"/>
              <w:bottom w:val="single" w:sz="6" w:space="0" w:color="69BD28"/>
            </w:tcBorders>
          </w:tcPr>
          <w:p>
            <w:pPr>
              <w:pStyle w:val="TableParagraph"/>
              <w:spacing w:line="194" w:lineRule="exact" w:before="8"/>
              <w:ind w:left="232" w:right="327"/>
              <w:rPr>
                <w:sz w:val="18"/>
              </w:rPr>
            </w:pPr>
            <w:r>
              <w:rPr>
                <w:sz w:val="18"/>
              </w:rPr>
              <w:t>Total</w:t>
            </w:r>
          </w:p>
        </w:tc>
        <w:tc>
          <w:tcPr>
            <w:tcW w:w="2350" w:type="dxa"/>
            <w:tcBorders>
              <w:top w:val="single" w:sz="6" w:space="0" w:color="69BD28"/>
              <w:bottom w:val="single" w:sz="6" w:space="0" w:color="69BD28"/>
            </w:tcBorders>
          </w:tcPr>
          <w:p>
            <w:pPr>
              <w:pStyle w:val="TableParagraph"/>
              <w:spacing w:line="194" w:lineRule="exact" w:before="8"/>
              <w:ind w:left="348" w:right="301"/>
              <w:rPr>
                <w:sz w:val="18"/>
              </w:rPr>
            </w:pPr>
            <w:r>
              <w:rPr>
                <w:w w:val="105"/>
                <w:sz w:val="18"/>
              </w:rPr>
              <w:t>1,357,029</w:t>
            </w:r>
          </w:p>
        </w:tc>
        <w:tc>
          <w:tcPr>
            <w:tcW w:w="2856" w:type="dxa"/>
            <w:tcBorders>
              <w:top w:val="single" w:sz="6" w:space="0" w:color="69BD28"/>
              <w:bottom w:val="single" w:sz="6" w:space="0" w:color="69BD28"/>
            </w:tcBorders>
          </w:tcPr>
          <w:p>
            <w:pPr>
              <w:pStyle w:val="TableParagraph"/>
              <w:jc w:val="left"/>
              <w:rPr>
                <w:rFonts w:ascii="Times New Roman"/>
                <w:sz w:val="14"/>
              </w:rPr>
            </w:pPr>
          </w:p>
        </w:tc>
      </w:tr>
    </w:tbl>
    <w:p>
      <w:pPr>
        <w:spacing w:before="116"/>
        <w:ind w:left="2572" w:right="0" w:firstLine="0"/>
        <w:jc w:val="both"/>
        <w:rPr>
          <w:sz w:val="18"/>
        </w:rPr>
      </w:pPr>
      <w:r>
        <w:rPr>
          <w:sz w:val="18"/>
        </w:rPr>
        <w:t>Source: Architect certificate, Rent roll, lease deeds provided by the Client;</w:t>
      </w:r>
    </w:p>
    <w:p>
      <w:pPr>
        <w:pStyle w:val="BodyText"/>
        <w:spacing w:before="10"/>
        <w:rPr>
          <w:sz w:val="27"/>
        </w:rPr>
      </w:pPr>
    </w:p>
    <w:p>
      <w:pPr>
        <w:spacing w:before="1"/>
        <w:ind w:left="392" w:right="0" w:firstLine="0"/>
        <w:jc w:val="left"/>
        <w:rPr>
          <w:sz w:val="18"/>
        </w:rPr>
      </w:pPr>
      <w:r>
        <w:rPr/>
        <w:pict>
          <v:shape style="position:absolute;margin-left:149.899994pt;margin-top:-6.139344pt;width:408.5pt;height:66.650pt;mso-position-horizontal-relative:page;mso-position-vertical-relative:paragraph;z-index:1585510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0"/>
                    <w:gridCol w:w="5140"/>
                  </w:tblGrid>
                  <w:tr>
                    <w:trPr>
                      <w:trHeight w:val="455" w:hRule="atLeast"/>
                    </w:trPr>
                    <w:tc>
                      <w:tcPr>
                        <w:tcW w:w="8170" w:type="dxa"/>
                        <w:gridSpan w:val="2"/>
                        <w:tcBorders>
                          <w:top w:val="single" w:sz="6" w:space="0" w:color="69BD28"/>
                          <w:bottom w:val="single" w:sz="6" w:space="0" w:color="69BD28"/>
                        </w:tcBorders>
                        <w:shd w:val="clear" w:color="auto" w:fill="006A4D"/>
                      </w:tcPr>
                      <w:p>
                        <w:pPr>
                          <w:pStyle w:val="TableParagraph"/>
                          <w:tabs>
                            <w:tab w:pos="4796" w:val="left" w:leader="none"/>
                          </w:tabs>
                          <w:spacing w:before="123"/>
                          <w:ind w:left="610"/>
                          <w:jc w:val="left"/>
                          <w:rPr>
                            <w:b/>
                            <w:sz w:val="18"/>
                          </w:rPr>
                        </w:pPr>
                        <w:r>
                          <w:rPr>
                            <w:b/>
                            <w:color w:val="FFFFFF"/>
                            <w:w w:val="110"/>
                            <w:sz w:val="18"/>
                          </w:rPr>
                          <w:t>Valuation Approach</w:t>
                          <w:tab/>
                          <w:t>Completed</w:t>
                        </w:r>
                        <w:r>
                          <w:rPr>
                            <w:b/>
                            <w:color w:val="FFFFFF"/>
                            <w:spacing w:val="-5"/>
                            <w:w w:val="110"/>
                            <w:sz w:val="18"/>
                          </w:rPr>
                          <w:t> </w:t>
                        </w:r>
                        <w:r>
                          <w:rPr>
                            <w:b/>
                            <w:color w:val="FFFFFF"/>
                            <w:w w:val="110"/>
                            <w:sz w:val="18"/>
                          </w:rPr>
                          <w:t>Blocks</w:t>
                        </w:r>
                      </w:p>
                    </w:tc>
                  </w:tr>
                  <w:tr>
                    <w:trPr>
                      <w:trHeight w:val="832" w:hRule="atLeast"/>
                    </w:trPr>
                    <w:tc>
                      <w:tcPr>
                        <w:tcW w:w="3030" w:type="dxa"/>
                        <w:shd w:val="clear" w:color="auto" w:fill="69BD28"/>
                      </w:tcPr>
                      <w:p>
                        <w:pPr>
                          <w:pStyle w:val="TableParagraph"/>
                          <w:spacing w:before="11"/>
                          <w:jc w:val="left"/>
                          <w:rPr>
                            <w:sz w:val="26"/>
                          </w:rPr>
                        </w:pPr>
                      </w:p>
                      <w:p>
                        <w:pPr>
                          <w:pStyle w:val="TableParagraph"/>
                          <w:ind w:left="710"/>
                          <w:jc w:val="left"/>
                          <w:rPr>
                            <w:b/>
                            <w:sz w:val="18"/>
                          </w:rPr>
                        </w:pPr>
                        <w:r>
                          <w:rPr>
                            <w:b/>
                            <w:color w:val="FFFFFF"/>
                            <w:w w:val="105"/>
                            <w:sz w:val="18"/>
                          </w:rPr>
                          <w:t>Office Component</w:t>
                        </w:r>
                      </w:p>
                    </w:tc>
                    <w:tc>
                      <w:tcPr>
                        <w:tcW w:w="5140" w:type="dxa"/>
                        <w:tcBorders>
                          <w:top w:val="single" w:sz="6" w:space="0" w:color="69BD28"/>
                          <w:bottom w:val="single" w:sz="6" w:space="0" w:color="69BD28"/>
                        </w:tcBorders>
                      </w:tcPr>
                      <w:p>
                        <w:pPr>
                          <w:pStyle w:val="TableParagraph"/>
                          <w:spacing w:before="7"/>
                          <w:jc w:val="left"/>
                          <w:rPr>
                            <w:sz w:val="17"/>
                          </w:rPr>
                        </w:pPr>
                      </w:p>
                      <w:p>
                        <w:pPr>
                          <w:pStyle w:val="TableParagraph"/>
                          <w:spacing w:line="249" w:lineRule="auto"/>
                          <w:ind w:left="2165" w:right="383" w:hanging="1691"/>
                          <w:jc w:val="left"/>
                          <w:rPr>
                            <w:sz w:val="18"/>
                          </w:rPr>
                        </w:pPr>
                        <w:r>
                          <w:rPr>
                            <w:sz w:val="18"/>
                          </w:rPr>
                          <w:t>Discounted Cash Flow Method (using rental reversion approach)</w:t>
                        </w:r>
                      </w:p>
                    </w:tc>
                  </w:tr>
                </w:tbl>
                <w:p>
                  <w:pPr>
                    <w:pStyle w:val="BodyText"/>
                  </w:pPr>
                </w:p>
              </w:txbxContent>
            </v:textbox>
            <w10:wrap type="none"/>
          </v:shape>
        </w:pict>
      </w:r>
      <w:r>
        <w:rPr>
          <w:color w:val="006A4D"/>
          <w:sz w:val="18"/>
        </w:rPr>
        <w:t>Valuation Approaches:</w:t>
      </w:r>
    </w:p>
    <w:p>
      <w:pPr>
        <w:pStyle w:val="BodyText"/>
      </w:pPr>
    </w:p>
    <w:p>
      <w:pPr>
        <w:pStyle w:val="BodyText"/>
      </w:pPr>
    </w:p>
    <w:p>
      <w:pPr>
        <w:pStyle w:val="BodyText"/>
      </w:pPr>
    </w:p>
    <w:p>
      <w:pPr>
        <w:pStyle w:val="BodyText"/>
        <w:spacing w:before="6"/>
        <w:rPr>
          <w:sz w:val="31"/>
        </w:rPr>
      </w:pPr>
    </w:p>
    <w:p>
      <w:pPr>
        <w:tabs>
          <w:tab w:pos="2572" w:val="left" w:leader="none"/>
        </w:tabs>
        <w:spacing w:before="0"/>
        <w:ind w:left="392" w:right="0" w:firstLine="0"/>
        <w:jc w:val="left"/>
        <w:rPr>
          <w:sz w:val="18"/>
        </w:rPr>
      </w:pPr>
      <w:r>
        <w:rPr>
          <w:color w:val="006A4D"/>
          <w:sz w:val="18"/>
        </w:rPr>
        <w:t>Date</w:t>
      </w:r>
      <w:r>
        <w:rPr>
          <w:color w:val="006A4D"/>
          <w:spacing w:val="-14"/>
          <w:sz w:val="18"/>
        </w:rPr>
        <w:t> </w:t>
      </w:r>
      <w:r>
        <w:rPr>
          <w:color w:val="006A4D"/>
          <w:sz w:val="18"/>
        </w:rPr>
        <w:t>of</w:t>
      </w:r>
      <w:r>
        <w:rPr>
          <w:color w:val="006A4D"/>
          <w:spacing w:val="-13"/>
          <w:sz w:val="18"/>
        </w:rPr>
        <w:t> </w:t>
      </w:r>
      <w:r>
        <w:rPr>
          <w:color w:val="006A4D"/>
          <w:sz w:val="18"/>
        </w:rPr>
        <w:t>Valuation:</w:t>
        <w:tab/>
      </w:r>
      <w:r>
        <w:rPr>
          <w:sz w:val="18"/>
        </w:rPr>
        <w:t>March 31,</w:t>
      </w:r>
      <w:r>
        <w:rPr>
          <w:spacing w:val="-1"/>
          <w:sz w:val="18"/>
        </w:rPr>
        <w:t> </w:t>
      </w:r>
      <w:r>
        <w:rPr>
          <w:sz w:val="18"/>
        </w:rPr>
        <w:t>2020</w:t>
      </w:r>
    </w:p>
    <w:p>
      <w:pPr>
        <w:pStyle w:val="BodyText"/>
        <w:spacing w:before="11"/>
        <w:rPr>
          <w:sz w:val="27"/>
        </w:rPr>
      </w:pPr>
    </w:p>
    <w:p>
      <w:pPr>
        <w:tabs>
          <w:tab w:pos="2572" w:val="left" w:leader="none"/>
        </w:tabs>
        <w:spacing w:line="321" w:lineRule="auto" w:before="0"/>
        <w:ind w:left="2572" w:right="657" w:hanging="2180"/>
        <w:jc w:val="both"/>
        <w:rPr>
          <w:sz w:val="18"/>
        </w:rPr>
      </w:pPr>
      <w:r>
        <w:rPr>
          <w:color w:val="006A4D"/>
          <w:sz w:val="18"/>
        </w:rPr>
        <w:t>Date</w:t>
      </w:r>
      <w:r>
        <w:rPr>
          <w:color w:val="006A4D"/>
          <w:spacing w:val="-18"/>
          <w:sz w:val="18"/>
        </w:rPr>
        <w:t> </w:t>
      </w:r>
      <w:r>
        <w:rPr>
          <w:color w:val="006A4D"/>
          <w:sz w:val="18"/>
        </w:rPr>
        <w:t>of</w:t>
      </w:r>
      <w:r>
        <w:rPr>
          <w:color w:val="006A4D"/>
          <w:spacing w:val="-18"/>
          <w:sz w:val="18"/>
        </w:rPr>
        <w:t> </w:t>
      </w:r>
      <w:r>
        <w:rPr>
          <w:color w:val="006A4D"/>
          <w:sz w:val="18"/>
        </w:rPr>
        <w:t>Inspection:</w:t>
        <w:tab/>
      </w:r>
      <w:r>
        <w:rPr>
          <w:sz w:val="18"/>
        </w:rPr>
        <w:t>Not Applicable. Due to the outbreak of Novel Coronavirus (COVID-19), declared by the World health Organisation</w:t>
      </w:r>
      <w:r>
        <w:rPr>
          <w:spacing w:val="-11"/>
          <w:sz w:val="18"/>
        </w:rPr>
        <w:t> </w:t>
      </w:r>
      <w:r>
        <w:rPr>
          <w:sz w:val="18"/>
        </w:rPr>
        <w:t>as</w:t>
      </w:r>
      <w:r>
        <w:rPr>
          <w:spacing w:val="-10"/>
          <w:sz w:val="18"/>
        </w:rPr>
        <w:t> </w:t>
      </w:r>
      <w:r>
        <w:rPr>
          <w:sz w:val="18"/>
        </w:rPr>
        <w:t>a</w:t>
      </w:r>
      <w:r>
        <w:rPr>
          <w:spacing w:val="-12"/>
          <w:sz w:val="18"/>
        </w:rPr>
        <w:t> </w:t>
      </w:r>
      <w:r>
        <w:rPr>
          <w:sz w:val="18"/>
        </w:rPr>
        <w:t>“Global</w:t>
      </w:r>
      <w:r>
        <w:rPr>
          <w:spacing w:val="-11"/>
          <w:sz w:val="18"/>
        </w:rPr>
        <w:t> </w:t>
      </w:r>
      <w:r>
        <w:rPr>
          <w:sz w:val="18"/>
        </w:rPr>
        <w:t>Pandemic”</w:t>
      </w:r>
      <w:r>
        <w:rPr>
          <w:spacing w:val="-12"/>
          <w:sz w:val="18"/>
        </w:rPr>
        <w:t> </w:t>
      </w:r>
      <w:r>
        <w:rPr>
          <w:sz w:val="18"/>
        </w:rPr>
        <w:t>on</w:t>
      </w:r>
      <w:r>
        <w:rPr>
          <w:spacing w:val="-12"/>
          <w:sz w:val="18"/>
        </w:rPr>
        <w:t> </w:t>
      </w:r>
      <w:r>
        <w:rPr>
          <w:sz w:val="18"/>
        </w:rPr>
        <w:t>11</w:t>
      </w:r>
      <w:r>
        <w:rPr>
          <w:position w:val="6"/>
          <w:sz w:val="11"/>
        </w:rPr>
        <w:t>th</w:t>
      </w:r>
      <w:r>
        <w:rPr>
          <w:spacing w:val="11"/>
          <w:position w:val="6"/>
          <w:sz w:val="11"/>
        </w:rPr>
        <w:t> </w:t>
      </w:r>
      <w:r>
        <w:rPr>
          <w:sz w:val="18"/>
        </w:rPr>
        <w:t>March</w:t>
      </w:r>
      <w:r>
        <w:rPr>
          <w:spacing w:val="-10"/>
          <w:sz w:val="18"/>
        </w:rPr>
        <w:t> </w:t>
      </w:r>
      <w:r>
        <w:rPr>
          <w:sz w:val="18"/>
        </w:rPr>
        <w:t>2020,</w:t>
      </w:r>
      <w:r>
        <w:rPr>
          <w:spacing w:val="-11"/>
          <w:sz w:val="18"/>
        </w:rPr>
        <w:t> </w:t>
      </w:r>
      <w:r>
        <w:rPr>
          <w:sz w:val="18"/>
        </w:rPr>
        <w:t>it</w:t>
      </w:r>
      <w:r>
        <w:rPr>
          <w:spacing w:val="-12"/>
          <w:sz w:val="18"/>
        </w:rPr>
        <w:t> </w:t>
      </w:r>
      <w:r>
        <w:rPr>
          <w:sz w:val="18"/>
        </w:rPr>
        <w:t>has</w:t>
      </w:r>
      <w:r>
        <w:rPr>
          <w:spacing w:val="-10"/>
          <w:sz w:val="18"/>
        </w:rPr>
        <w:t> </w:t>
      </w:r>
      <w:r>
        <w:rPr>
          <w:sz w:val="18"/>
        </w:rPr>
        <w:t>not</w:t>
      </w:r>
      <w:r>
        <w:rPr>
          <w:spacing w:val="-12"/>
          <w:sz w:val="18"/>
        </w:rPr>
        <w:t> </w:t>
      </w:r>
      <w:r>
        <w:rPr>
          <w:sz w:val="18"/>
        </w:rPr>
        <w:t>been</w:t>
      </w:r>
      <w:r>
        <w:rPr>
          <w:spacing w:val="-10"/>
          <w:sz w:val="18"/>
        </w:rPr>
        <w:t> </w:t>
      </w:r>
      <w:r>
        <w:rPr>
          <w:sz w:val="18"/>
        </w:rPr>
        <w:t>possible</w:t>
      </w:r>
      <w:r>
        <w:rPr>
          <w:spacing w:val="-11"/>
          <w:sz w:val="18"/>
        </w:rPr>
        <w:t> </w:t>
      </w:r>
      <w:r>
        <w:rPr>
          <w:sz w:val="18"/>
        </w:rPr>
        <w:t>to</w:t>
      </w:r>
      <w:r>
        <w:rPr>
          <w:spacing w:val="-9"/>
          <w:sz w:val="18"/>
        </w:rPr>
        <w:t> </w:t>
      </w:r>
      <w:r>
        <w:rPr>
          <w:sz w:val="18"/>
        </w:rPr>
        <w:t>carry</w:t>
      </w:r>
      <w:r>
        <w:rPr>
          <w:spacing w:val="-13"/>
          <w:sz w:val="18"/>
        </w:rPr>
        <w:t> </w:t>
      </w:r>
      <w:r>
        <w:rPr>
          <w:sz w:val="18"/>
        </w:rPr>
        <w:t>out</w:t>
      </w:r>
      <w:r>
        <w:rPr>
          <w:spacing w:val="-12"/>
          <w:sz w:val="18"/>
        </w:rPr>
        <w:t> </w:t>
      </w:r>
      <w:r>
        <w:rPr>
          <w:sz w:val="18"/>
        </w:rPr>
        <w:t>a</w:t>
      </w:r>
      <w:r>
        <w:rPr>
          <w:spacing w:val="-10"/>
          <w:sz w:val="18"/>
        </w:rPr>
        <w:t> </w:t>
      </w:r>
      <w:r>
        <w:rPr>
          <w:sz w:val="18"/>
        </w:rPr>
        <w:t>formal inspection</w:t>
      </w:r>
      <w:r>
        <w:rPr>
          <w:spacing w:val="-31"/>
          <w:sz w:val="18"/>
        </w:rPr>
        <w:t> </w:t>
      </w:r>
      <w:r>
        <w:rPr>
          <w:sz w:val="18"/>
        </w:rPr>
        <w:t>of</w:t>
      </w:r>
      <w:r>
        <w:rPr>
          <w:spacing w:val="-31"/>
          <w:sz w:val="18"/>
        </w:rPr>
        <w:t> </w:t>
      </w:r>
      <w:r>
        <w:rPr>
          <w:sz w:val="18"/>
        </w:rPr>
        <w:t>the</w:t>
      </w:r>
      <w:r>
        <w:rPr>
          <w:spacing w:val="-30"/>
          <w:sz w:val="18"/>
        </w:rPr>
        <w:t> </w:t>
      </w:r>
      <w:r>
        <w:rPr>
          <w:sz w:val="18"/>
        </w:rPr>
        <w:t>property</w:t>
      </w:r>
      <w:r>
        <w:rPr>
          <w:spacing w:val="-29"/>
          <w:sz w:val="18"/>
        </w:rPr>
        <w:t> </w:t>
      </w:r>
      <w:r>
        <w:rPr>
          <w:sz w:val="18"/>
        </w:rPr>
        <w:t>for</w:t>
      </w:r>
      <w:r>
        <w:rPr>
          <w:spacing w:val="-31"/>
          <w:sz w:val="18"/>
        </w:rPr>
        <w:t> </w:t>
      </w:r>
      <w:r>
        <w:rPr>
          <w:sz w:val="18"/>
        </w:rPr>
        <w:t>the</w:t>
      </w:r>
      <w:r>
        <w:rPr>
          <w:spacing w:val="-30"/>
          <w:sz w:val="18"/>
        </w:rPr>
        <w:t> </w:t>
      </w:r>
      <w:r>
        <w:rPr>
          <w:sz w:val="18"/>
        </w:rPr>
        <w:t>current</w:t>
      </w:r>
      <w:r>
        <w:rPr>
          <w:spacing w:val="-31"/>
          <w:sz w:val="18"/>
        </w:rPr>
        <w:t> </w:t>
      </w:r>
      <w:r>
        <w:rPr>
          <w:sz w:val="18"/>
        </w:rPr>
        <w:t>update.</w:t>
      </w:r>
      <w:r>
        <w:rPr>
          <w:spacing w:val="-30"/>
          <w:sz w:val="18"/>
        </w:rPr>
        <w:t> </w:t>
      </w:r>
      <w:r>
        <w:rPr>
          <w:sz w:val="18"/>
        </w:rPr>
        <w:t>The</w:t>
      </w:r>
      <w:r>
        <w:rPr>
          <w:spacing w:val="-30"/>
          <w:sz w:val="18"/>
        </w:rPr>
        <w:t> </w:t>
      </w:r>
      <w:r>
        <w:rPr>
          <w:sz w:val="18"/>
        </w:rPr>
        <w:t>site</w:t>
      </w:r>
      <w:r>
        <w:rPr>
          <w:spacing w:val="-30"/>
          <w:sz w:val="18"/>
        </w:rPr>
        <w:t> </w:t>
      </w:r>
      <w:r>
        <w:rPr>
          <w:sz w:val="18"/>
        </w:rPr>
        <w:t>observation,</w:t>
      </w:r>
      <w:r>
        <w:rPr>
          <w:spacing w:val="-31"/>
          <w:sz w:val="18"/>
        </w:rPr>
        <w:t> </w:t>
      </w:r>
      <w:r>
        <w:rPr>
          <w:sz w:val="18"/>
        </w:rPr>
        <w:t>details</w:t>
      </w:r>
      <w:r>
        <w:rPr>
          <w:spacing w:val="-30"/>
          <w:sz w:val="18"/>
        </w:rPr>
        <w:t> </w:t>
      </w:r>
      <w:r>
        <w:rPr>
          <w:sz w:val="18"/>
        </w:rPr>
        <w:t>and</w:t>
      </w:r>
      <w:r>
        <w:rPr>
          <w:spacing w:val="-30"/>
          <w:sz w:val="18"/>
        </w:rPr>
        <w:t> </w:t>
      </w:r>
      <w:r>
        <w:rPr>
          <w:sz w:val="18"/>
        </w:rPr>
        <w:t>pictures</w:t>
      </w:r>
      <w:r>
        <w:rPr>
          <w:spacing w:val="-31"/>
          <w:sz w:val="18"/>
        </w:rPr>
        <w:t> </w:t>
      </w:r>
      <w:r>
        <w:rPr>
          <w:sz w:val="18"/>
        </w:rPr>
        <w:t>are</w:t>
      </w:r>
      <w:r>
        <w:rPr>
          <w:spacing w:val="-30"/>
          <w:sz w:val="18"/>
        </w:rPr>
        <w:t> </w:t>
      </w:r>
      <w:r>
        <w:rPr>
          <w:sz w:val="18"/>
        </w:rPr>
        <w:t>as</w:t>
      </w:r>
      <w:r>
        <w:rPr>
          <w:spacing w:val="-30"/>
          <w:sz w:val="18"/>
        </w:rPr>
        <w:t> </w:t>
      </w:r>
      <w:r>
        <w:rPr>
          <w:sz w:val="18"/>
        </w:rPr>
        <w:t>per</w:t>
      </w:r>
      <w:r>
        <w:rPr>
          <w:spacing w:val="-31"/>
          <w:sz w:val="18"/>
        </w:rPr>
        <w:t> </w:t>
      </w:r>
      <w:r>
        <w:rPr>
          <w:sz w:val="18"/>
        </w:rPr>
        <w:t>the previous site visit undertaken/</w:t>
      </w:r>
      <w:r>
        <w:rPr>
          <w:spacing w:val="-40"/>
          <w:sz w:val="18"/>
        </w:rPr>
        <w:t> </w:t>
      </w:r>
      <w:r>
        <w:rPr>
          <w:sz w:val="18"/>
        </w:rPr>
        <w:t>as provided by the Client</w:t>
      </w:r>
    </w:p>
    <w:p>
      <w:pPr>
        <w:pStyle w:val="BodyText"/>
        <w:spacing w:before="6"/>
        <w:rPr>
          <w:sz w:val="12"/>
        </w:rPr>
      </w:pPr>
    </w:p>
    <w:p>
      <w:pPr>
        <w:spacing w:after="0"/>
        <w:rPr>
          <w:sz w:val="12"/>
        </w:rPr>
        <w:sectPr>
          <w:pgSz w:w="11910" w:h="16840"/>
          <w:pgMar w:header="720" w:footer="842" w:top="1520" w:bottom="1040" w:left="440" w:right="80"/>
        </w:sectPr>
      </w:pPr>
    </w:p>
    <w:p>
      <w:pPr>
        <w:spacing w:line="321" w:lineRule="auto" w:before="105"/>
        <w:ind w:left="392" w:right="23" w:firstLine="0"/>
        <w:jc w:val="left"/>
        <w:rPr>
          <w:sz w:val="18"/>
        </w:rPr>
      </w:pPr>
      <w:r>
        <w:rPr>
          <w:color w:val="006A4D"/>
          <w:sz w:val="18"/>
        </w:rPr>
        <w:t>Purchase</w:t>
      </w:r>
      <w:r>
        <w:rPr>
          <w:color w:val="006A4D"/>
          <w:spacing w:val="-36"/>
          <w:sz w:val="18"/>
        </w:rPr>
        <w:t> </w:t>
      </w:r>
      <w:r>
        <w:rPr>
          <w:color w:val="006A4D"/>
          <w:sz w:val="18"/>
        </w:rPr>
        <w:t>Price</w:t>
      </w:r>
      <w:r>
        <w:rPr>
          <w:color w:val="006A4D"/>
          <w:spacing w:val="-35"/>
          <w:sz w:val="18"/>
        </w:rPr>
        <w:t> </w:t>
      </w:r>
      <w:r>
        <w:rPr>
          <w:color w:val="006A4D"/>
          <w:sz w:val="18"/>
        </w:rPr>
        <w:t>for</w:t>
      </w:r>
      <w:r>
        <w:rPr>
          <w:color w:val="006A4D"/>
          <w:spacing w:val="-36"/>
          <w:sz w:val="18"/>
        </w:rPr>
        <w:t> </w:t>
      </w:r>
      <w:r>
        <w:rPr>
          <w:color w:val="006A4D"/>
          <w:sz w:val="18"/>
        </w:rPr>
        <w:t>the property:</w:t>
      </w:r>
    </w:p>
    <w:p>
      <w:pPr>
        <w:spacing w:before="105"/>
        <w:ind w:left="392" w:right="0" w:firstLine="0"/>
        <w:jc w:val="left"/>
        <w:rPr>
          <w:sz w:val="18"/>
        </w:rPr>
      </w:pPr>
      <w:r>
        <w:rPr/>
        <w:br w:type="column"/>
      </w:r>
      <w:r>
        <w:rPr>
          <w:sz w:val="18"/>
        </w:rPr>
        <w:t>The said acquisition was undertaken as part of the ‘Formation Transaction’ as described in the Final</w:t>
      </w:r>
    </w:p>
    <w:p>
      <w:pPr>
        <w:spacing w:before="71"/>
        <w:ind w:left="392" w:right="0" w:firstLine="0"/>
        <w:jc w:val="left"/>
        <w:rPr>
          <w:sz w:val="18"/>
        </w:rPr>
      </w:pPr>
      <w:r>
        <w:rPr>
          <w:sz w:val="18"/>
        </w:rPr>
        <w:t>Offer 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2123" w:space="57"/>
            <w:col w:w="9210"/>
          </w:cols>
        </w:sectPr>
      </w:pPr>
    </w:p>
    <w:p>
      <w:pPr>
        <w:pStyle w:val="BodyText"/>
        <w:spacing w:before="7"/>
        <w:rPr>
          <w:sz w:val="12"/>
        </w:rPr>
      </w:pPr>
    </w:p>
    <w:p>
      <w:pPr>
        <w:spacing w:after="0"/>
        <w:rPr>
          <w:sz w:val="12"/>
        </w:rPr>
        <w:sectPr>
          <w:type w:val="continuous"/>
          <w:pgSz w:w="11910" w:h="16840"/>
          <w:pgMar w:top="800" w:bottom="280" w:left="440" w:right="80"/>
        </w:sectPr>
      </w:pPr>
    </w:p>
    <w:p>
      <w:pPr>
        <w:spacing w:line="321" w:lineRule="auto" w:before="105"/>
        <w:ind w:left="392" w:right="-14" w:firstLine="0"/>
        <w:jc w:val="left"/>
        <w:rPr>
          <w:sz w:val="18"/>
        </w:rPr>
      </w:pPr>
      <w:r>
        <w:rPr>
          <w:color w:val="006A4D"/>
          <w:sz w:val="18"/>
        </w:rPr>
        <w:t>Ready</w:t>
      </w:r>
      <w:r>
        <w:rPr>
          <w:color w:val="006A4D"/>
          <w:spacing w:val="-30"/>
          <w:sz w:val="18"/>
        </w:rPr>
        <w:t> </w:t>
      </w:r>
      <w:r>
        <w:rPr>
          <w:color w:val="006A4D"/>
          <w:sz w:val="18"/>
        </w:rPr>
        <w:t>Reckoner</w:t>
      </w:r>
      <w:r>
        <w:rPr>
          <w:color w:val="006A4D"/>
          <w:spacing w:val="-29"/>
          <w:sz w:val="18"/>
        </w:rPr>
        <w:t> </w:t>
      </w:r>
      <w:r>
        <w:rPr>
          <w:color w:val="006A4D"/>
          <w:sz w:val="18"/>
        </w:rPr>
        <w:t>Rate</w:t>
      </w:r>
      <w:r>
        <w:rPr>
          <w:color w:val="006A4D"/>
          <w:spacing w:val="-29"/>
          <w:sz w:val="18"/>
        </w:rPr>
        <w:t> </w:t>
      </w:r>
      <w:r>
        <w:rPr>
          <w:color w:val="006A4D"/>
          <w:sz w:val="18"/>
        </w:rPr>
        <w:t>(as per</w:t>
      </w:r>
      <w:r>
        <w:rPr>
          <w:color w:val="006A4D"/>
          <w:spacing w:val="-5"/>
          <w:sz w:val="18"/>
        </w:rPr>
        <w:t> </w:t>
      </w:r>
      <w:r>
        <w:rPr>
          <w:color w:val="006A4D"/>
          <w:sz w:val="18"/>
        </w:rPr>
        <w:t>documents</w:t>
      </w:r>
    </w:p>
    <w:p>
      <w:pPr>
        <w:spacing w:before="105"/>
        <w:ind w:left="225" w:right="0" w:firstLine="0"/>
        <w:jc w:val="left"/>
        <w:rPr>
          <w:sz w:val="18"/>
        </w:rPr>
      </w:pPr>
      <w:r>
        <w:rPr/>
        <w:br w:type="column"/>
      </w:r>
      <w:r>
        <w:rPr>
          <w:sz w:val="18"/>
        </w:rPr>
        <w:t>Land Rate: INR 65,000 per sqm of land area</w:t>
      </w:r>
    </w:p>
    <w:p>
      <w:pPr>
        <w:spacing w:after="0"/>
        <w:jc w:val="left"/>
        <w:rPr>
          <w:sz w:val="18"/>
        </w:rPr>
        <w:sectPr>
          <w:type w:val="continuous"/>
          <w:pgSz w:w="11910" w:h="16840"/>
          <w:pgMar w:top="800" w:bottom="280" w:left="440" w:right="80"/>
          <w:cols w:num="2" w:equalWidth="0">
            <w:col w:w="2308" w:space="40"/>
            <w:col w:w="9042"/>
          </w:cols>
        </w:sectPr>
      </w:pPr>
    </w:p>
    <w:p>
      <w:pPr>
        <w:pStyle w:val="BodyText"/>
        <w:spacing w:before="4"/>
        <w:rPr>
          <w:sz w:val="23"/>
        </w:rPr>
      </w:pPr>
    </w:p>
    <w:p>
      <w:pPr>
        <w:spacing w:after="0"/>
        <w:rPr>
          <w:sz w:val="23"/>
        </w:rPr>
        <w:sectPr>
          <w:pgSz w:w="11910" w:h="16840"/>
          <w:pgMar w:header="720" w:footer="842" w:top="1520" w:bottom="1040" w:left="440" w:right="80"/>
        </w:sectPr>
      </w:pPr>
    </w:p>
    <w:p>
      <w:pPr>
        <w:spacing w:line="321" w:lineRule="auto" w:before="104"/>
        <w:ind w:left="392" w:right="294" w:firstLine="0"/>
        <w:jc w:val="left"/>
        <w:rPr>
          <w:sz w:val="18"/>
        </w:rPr>
      </w:pPr>
      <w:r>
        <w:rPr>
          <w:color w:val="006A4D"/>
          <w:sz w:val="18"/>
        </w:rPr>
        <w:t>published by State Government):</w:t>
      </w:r>
    </w:p>
    <w:p>
      <w:pPr>
        <w:spacing w:line="321" w:lineRule="auto" w:before="131"/>
        <w:ind w:left="392" w:right="-19" w:firstLine="0"/>
        <w:jc w:val="left"/>
        <w:rPr>
          <w:sz w:val="18"/>
        </w:rPr>
      </w:pPr>
      <w:r>
        <w:rPr>
          <w:color w:val="006A4D"/>
          <w:sz w:val="18"/>
        </w:rPr>
        <w:t>Value Conclusion as of March 31, 2020:</w:t>
      </w:r>
    </w:p>
    <w:p>
      <w:pPr>
        <w:spacing w:before="104"/>
        <w:ind w:left="333" w:right="0" w:firstLine="0"/>
        <w:jc w:val="left"/>
        <w:rPr>
          <w:sz w:val="18"/>
        </w:rPr>
      </w:pPr>
      <w:r>
        <w:rPr/>
        <w:br w:type="column"/>
      </w:r>
      <w:r>
        <w:rPr>
          <w:sz w:val="18"/>
        </w:rPr>
        <w:t>Built-up Rate: INR 15,000 per sqm of covered area</w:t>
      </w:r>
    </w:p>
    <w:p>
      <w:pPr>
        <w:pStyle w:val="BodyText"/>
        <w:rPr>
          <w:sz w:val="20"/>
        </w:rPr>
      </w:pPr>
    </w:p>
    <w:p>
      <w:pPr>
        <w:pStyle w:val="BodyText"/>
        <w:spacing w:before="10"/>
        <w:rPr>
          <w:sz w:val="17"/>
        </w:rPr>
      </w:pPr>
      <w:r>
        <w:rPr/>
        <w:pict>
          <v:group style="position:absolute;margin-left:153.5pt;margin-top:12.337481pt;width:402pt;height:17.650pt;mso-position-horizontal-relative:page;mso-position-vertical-relative:paragraph;z-index:-15601152;mso-wrap-distance-left:0;mso-wrap-distance-right:0" coordorigin="3070,247" coordsize="8040,353">
            <v:shape style="position:absolute;left:3070;top:275;width:8040;height:310" coordorigin="3070,276" coordsize="8040,310" path="m11110,276l7197,276,3070,276,3070,585,7197,585,11110,585,11110,276xe" filled="true" fillcolor="#006a4d" stroked="false">
              <v:path arrowok="t"/>
              <v:fill type="solid"/>
            </v:shape>
            <v:rect style="position:absolute;left:3070;top:246;width:4127;height:29" filled="true" fillcolor="#1f6b16" stroked="false">
              <v:fill type="solid"/>
            </v:rect>
            <v:shape style="position:absolute;left:3070;top:275;width:4156;height:3" coordorigin="3070,276" coordsize="4156,3" path="m7225,276l7197,276,3070,276,3070,278,7197,278,7225,278,7225,276xe" filled="true" fillcolor="#006a4d" stroked="false">
              <v:path arrowok="t"/>
              <v:fill type="solid"/>
            </v:shape>
            <v:shape style="position:absolute;left:7196;top:246;width:3913;height:29" coordorigin="7197,247" coordsize="3913,29" path="m11110,247l7225,247,7197,247,7197,276,7225,276,11110,276,11110,247xe" filled="true" fillcolor="#1f6b16" stroked="false">
              <v:path arrowok="t"/>
              <v:fill type="solid"/>
            </v:shape>
            <v:rect style="position:absolute;left:7225;top:275;width:3885;height:3" filled="true" fillcolor="#006a4d" stroked="false">
              <v:fill type="solid"/>
            </v:rect>
            <v:shape style="position:absolute;left:3070;top:585;width:8040;height:15" coordorigin="3070,585" coordsize="8040,15" path="m11110,585l7211,585,7197,585,3070,585,3070,600,7197,600,7211,600,11110,600,11110,585xe" filled="true" fillcolor="#69bd28" stroked="false">
              <v:path arrowok="t"/>
              <v:fill type="solid"/>
            </v:shape>
            <v:shape style="position:absolute;left:3070;top:275;width:8040;height:310" type="#_x0000_t202" filled="false" stroked="false">
              <v:textbox inset="0,0,0,0">
                <w:txbxContent>
                  <w:p>
                    <w:pPr>
                      <w:tabs>
                        <w:tab w:pos="5034" w:val="left" w:leader="none"/>
                      </w:tabs>
                      <w:spacing w:before="51"/>
                      <w:ind w:left="1546" w:right="0" w:firstLine="0"/>
                      <w:jc w:val="left"/>
                      <w:rPr>
                        <w:b/>
                        <w:sz w:val="18"/>
                      </w:rPr>
                    </w:pPr>
                    <w:r>
                      <w:rPr>
                        <w:b/>
                        <w:color w:val="FFFFFF"/>
                        <w:w w:val="110"/>
                        <w:sz w:val="18"/>
                      </w:rPr>
                      <w:t>Component</w:t>
                      <w:tab/>
                      <w:t>Market Value (INR</w:t>
                    </w:r>
                    <w:r>
                      <w:rPr>
                        <w:b/>
                        <w:color w:val="FFFFFF"/>
                        <w:spacing w:val="-2"/>
                        <w:w w:val="110"/>
                        <w:sz w:val="18"/>
                      </w:rPr>
                      <w:t> </w:t>
                    </w:r>
                    <w:r>
                      <w:rPr>
                        <w:b/>
                        <w:color w:val="FFFFFF"/>
                        <w:w w:val="110"/>
                        <w:sz w:val="18"/>
                      </w:rPr>
                      <w:t>Mn)</w:t>
                    </w:r>
                  </w:p>
                </w:txbxContent>
              </v:textbox>
              <w10:wrap type="none"/>
            </v:shape>
            <w10:wrap type="topAndBottom"/>
          </v:group>
        </w:pict>
      </w:r>
    </w:p>
    <w:p>
      <w:pPr>
        <w:tabs>
          <w:tab w:pos="6234" w:val="left" w:leader="none"/>
        </w:tabs>
        <w:spacing w:before="30"/>
        <w:ind w:left="1814" w:right="0" w:firstLine="0"/>
        <w:jc w:val="left"/>
        <w:rPr>
          <w:sz w:val="18"/>
        </w:rPr>
      </w:pPr>
      <w:r>
        <w:rPr>
          <w:sz w:val="18"/>
        </w:rPr>
        <w:t>Embassy Galaxy</w:t>
        <w:tab/>
        <w:t>8,696</w:t>
      </w:r>
    </w:p>
    <w:p>
      <w:pPr>
        <w:spacing w:after="0"/>
        <w:jc w:val="left"/>
        <w:rPr>
          <w:sz w:val="18"/>
        </w:rPr>
        <w:sectPr>
          <w:type w:val="continuous"/>
          <w:pgSz w:w="11910" w:h="16840"/>
          <w:pgMar w:top="800" w:bottom="280" w:left="440" w:right="80"/>
          <w:cols w:num="2" w:equalWidth="0">
            <w:col w:w="2199" w:space="40"/>
            <w:col w:w="9151"/>
          </w:cols>
        </w:sectPr>
      </w:pPr>
    </w:p>
    <w:p>
      <w:pPr>
        <w:pStyle w:val="BodyText"/>
        <w:spacing w:before="9"/>
        <w:rPr>
          <w:sz w:val="4"/>
        </w:rPr>
      </w:pPr>
    </w:p>
    <w:p>
      <w:pPr>
        <w:pStyle w:val="BodyText"/>
        <w:ind w:left="2615"/>
        <w:rPr>
          <w:sz w:val="20"/>
        </w:rPr>
      </w:pPr>
      <w:r>
        <w:rPr>
          <w:sz w:val="20"/>
        </w:rPr>
        <w:pict>
          <v:shape style="width:402.7pt;height:17.8pt;mso-position-horizontal-relative:char;mso-position-vertical-relative:line" type="#_x0000_t202" filled="true" fillcolor="#69bd28" stroked="false">
            <w10:anchorlock/>
            <v:textbox inset="0,0,0,0">
              <w:txbxContent>
                <w:p>
                  <w:pPr>
                    <w:tabs>
                      <w:tab w:pos="5857" w:val="left" w:leader="none"/>
                    </w:tabs>
                    <w:spacing w:before="73"/>
                    <w:ind w:left="1032" w:right="0" w:firstLine="0"/>
                    <w:jc w:val="left"/>
                    <w:rPr>
                      <w:sz w:val="18"/>
                    </w:rPr>
                  </w:pPr>
                  <w:r>
                    <w:rPr>
                      <w:color w:val="FFFFFF"/>
                      <w:sz w:val="18"/>
                    </w:rPr>
                    <w:t>Total</w:t>
                  </w:r>
                  <w:r>
                    <w:rPr>
                      <w:color w:val="FFFFFF"/>
                      <w:spacing w:val="-24"/>
                      <w:sz w:val="18"/>
                    </w:rPr>
                    <w:t> </w:t>
                  </w:r>
                  <w:r>
                    <w:rPr>
                      <w:color w:val="FFFFFF"/>
                      <w:sz w:val="18"/>
                    </w:rPr>
                    <w:t>Value</w:t>
                  </w:r>
                  <w:r>
                    <w:rPr>
                      <w:color w:val="FFFFFF"/>
                      <w:spacing w:val="-23"/>
                      <w:sz w:val="18"/>
                    </w:rPr>
                    <w:t> </w:t>
                  </w:r>
                  <w:r>
                    <w:rPr>
                      <w:color w:val="FFFFFF"/>
                      <w:sz w:val="18"/>
                    </w:rPr>
                    <w:t>of</w:t>
                  </w:r>
                  <w:r>
                    <w:rPr>
                      <w:color w:val="FFFFFF"/>
                      <w:spacing w:val="-23"/>
                      <w:sz w:val="18"/>
                    </w:rPr>
                    <w:t> </w:t>
                  </w:r>
                  <w:r>
                    <w:rPr>
                      <w:color w:val="FFFFFF"/>
                      <w:sz w:val="18"/>
                    </w:rPr>
                    <w:t>the</w:t>
                  </w:r>
                  <w:r>
                    <w:rPr>
                      <w:color w:val="FFFFFF"/>
                      <w:spacing w:val="-23"/>
                      <w:sz w:val="18"/>
                    </w:rPr>
                    <w:t> </w:t>
                  </w:r>
                  <w:r>
                    <w:rPr>
                      <w:color w:val="FFFFFF"/>
                      <w:sz w:val="18"/>
                    </w:rPr>
                    <w:t>property</w:t>
                    <w:tab/>
                    <w:t>8,696</w:t>
                  </w:r>
                </w:p>
              </w:txbxContent>
            </v:textbox>
            <v:fill type="solid"/>
          </v:shape>
        </w:pict>
      </w:r>
      <w:r>
        <w:rPr>
          <w:sz w:val="20"/>
        </w:rPr>
      </w:r>
    </w:p>
    <w:p>
      <w:pPr>
        <w:pStyle w:val="BodyText"/>
        <w:rPr>
          <w:sz w:val="20"/>
        </w:rPr>
      </w:pPr>
    </w:p>
    <w:p>
      <w:pPr>
        <w:spacing w:after="0"/>
        <w:rPr>
          <w:sz w:val="20"/>
        </w:rPr>
        <w:sectPr>
          <w:type w:val="continuous"/>
          <w:pgSz w:w="11910" w:h="16840"/>
          <w:pgMar w:top="800" w:bottom="280" w:left="440" w:right="80"/>
        </w:sectPr>
      </w:pPr>
    </w:p>
    <w:p>
      <w:pPr>
        <w:pStyle w:val="BodyText"/>
        <w:spacing w:before="4"/>
        <w:rPr>
          <w:sz w:val="24"/>
        </w:rPr>
      </w:pPr>
    </w:p>
    <w:p>
      <w:pPr>
        <w:spacing w:line="321" w:lineRule="auto" w:before="0"/>
        <w:ind w:left="392" w:right="-12" w:firstLine="0"/>
        <w:jc w:val="left"/>
        <w:rPr>
          <w:sz w:val="18"/>
        </w:rPr>
      </w:pPr>
      <w:r>
        <w:rPr>
          <w:color w:val="006A4D"/>
          <w:sz w:val="18"/>
        </w:rPr>
        <w:t>Assumptions, </w:t>
      </w:r>
      <w:r>
        <w:rPr>
          <w:color w:val="006A4D"/>
          <w:w w:val="95"/>
          <w:sz w:val="18"/>
        </w:rPr>
        <w:t>Disclaimers, Limitations </w:t>
      </w:r>
      <w:r>
        <w:rPr>
          <w:color w:val="006A4D"/>
          <w:sz w:val="18"/>
        </w:rPr>
        <w:t>&amp; Qualifications</w:t>
      </w:r>
    </w:p>
    <w:p>
      <w:pPr>
        <w:pStyle w:val="BodyText"/>
        <w:spacing w:before="4"/>
        <w:rPr>
          <w:sz w:val="24"/>
        </w:rPr>
      </w:pPr>
      <w:r>
        <w:rPr/>
        <w:br w:type="column"/>
      </w:r>
      <w:r>
        <w:rPr>
          <w:sz w:val="24"/>
        </w:rPr>
      </w:r>
    </w:p>
    <w:p>
      <w:pPr>
        <w:spacing w:line="321" w:lineRule="auto" w:before="0"/>
        <w:ind w:left="295" w:right="658" w:firstLine="0"/>
        <w:jc w:val="both"/>
        <w:rPr>
          <w:sz w:val="18"/>
        </w:rPr>
      </w:pPr>
      <w:r>
        <w:rPr>
          <w:sz w:val="18"/>
        </w:rPr>
        <w:t>This valuation report is provided subject to assumptions, disclaimers, limitations and qualifications </w:t>
      </w:r>
      <w:r>
        <w:rPr>
          <w:w w:val="95"/>
          <w:sz w:val="18"/>
        </w:rPr>
        <w:t>detailed</w:t>
      </w:r>
      <w:r>
        <w:rPr>
          <w:spacing w:val="-12"/>
          <w:w w:val="95"/>
          <w:sz w:val="18"/>
        </w:rPr>
        <w:t> </w:t>
      </w:r>
      <w:r>
        <w:rPr>
          <w:w w:val="95"/>
          <w:sz w:val="18"/>
        </w:rPr>
        <w:t>throughout</w:t>
      </w:r>
      <w:r>
        <w:rPr>
          <w:spacing w:val="-14"/>
          <w:w w:val="95"/>
          <w:sz w:val="18"/>
        </w:rPr>
        <w:t> </w:t>
      </w:r>
      <w:r>
        <w:rPr>
          <w:w w:val="95"/>
          <w:sz w:val="18"/>
        </w:rPr>
        <w:t>this</w:t>
      </w:r>
      <w:r>
        <w:rPr>
          <w:spacing w:val="-11"/>
          <w:w w:val="95"/>
          <w:sz w:val="18"/>
        </w:rPr>
        <w:t> </w:t>
      </w:r>
      <w:r>
        <w:rPr>
          <w:w w:val="95"/>
          <w:sz w:val="18"/>
        </w:rPr>
        <w:t>report</w:t>
      </w:r>
      <w:r>
        <w:rPr>
          <w:spacing w:val="-14"/>
          <w:w w:val="95"/>
          <w:sz w:val="18"/>
        </w:rPr>
        <w:t> </w:t>
      </w:r>
      <w:r>
        <w:rPr>
          <w:w w:val="95"/>
          <w:sz w:val="18"/>
        </w:rPr>
        <w:t>which</w:t>
      </w:r>
      <w:r>
        <w:rPr>
          <w:spacing w:val="-12"/>
          <w:w w:val="95"/>
          <w:sz w:val="18"/>
        </w:rPr>
        <w:t> </w:t>
      </w:r>
      <w:r>
        <w:rPr>
          <w:w w:val="95"/>
          <w:sz w:val="18"/>
        </w:rPr>
        <w:t>are</w:t>
      </w:r>
      <w:r>
        <w:rPr>
          <w:spacing w:val="-13"/>
          <w:w w:val="95"/>
          <w:sz w:val="18"/>
        </w:rPr>
        <w:t> </w:t>
      </w:r>
      <w:r>
        <w:rPr>
          <w:w w:val="95"/>
          <w:sz w:val="18"/>
        </w:rPr>
        <w:t>made</w:t>
      </w:r>
      <w:r>
        <w:rPr>
          <w:spacing w:val="-11"/>
          <w:w w:val="95"/>
          <w:sz w:val="18"/>
        </w:rPr>
        <w:t> </w:t>
      </w:r>
      <w:r>
        <w:rPr>
          <w:w w:val="95"/>
          <w:sz w:val="18"/>
        </w:rPr>
        <w:t>in</w:t>
      </w:r>
      <w:r>
        <w:rPr>
          <w:spacing w:val="-12"/>
          <w:w w:val="95"/>
          <w:sz w:val="18"/>
        </w:rPr>
        <w:t> </w:t>
      </w:r>
      <w:r>
        <w:rPr>
          <w:w w:val="95"/>
          <w:sz w:val="18"/>
        </w:rPr>
        <w:t>conjunction</w:t>
      </w:r>
      <w:r>
        <w:rPr>
          <w:spacing w:val="-13"/>
          <w:w w:val="95"/>
          <w:sz w:val="18"/>
        </w:rPr>
        <w:t> </w:t>
      </w:r>
      <w:r>
        <w:rPr>
          <w:w w:val="95"/>
          <w:sz w:val="18"/>
        </w:rPr>
        <w:t>with</w:t>
      </w:r>
      <w:r>
        <w:rPr>
          <w:spacing w:val="-12"/>
          <w:w w:val="95"/>
          <w:sz w:val="18"/>
        </w:rPr>
        <w:t> </w:t>
      </w:r>
      <w:r>
        <w:rPr>
          <w:w w:val="95"/>
          <w:sz w:val="18"/>
        </w:rPr>
        <w:t>those</w:t>
      </w:r>
      <w:r>
        <w:rPr>
          <w:spacing w:val="-11"/>
          <w:w w:val="95"/>
          <w:sz w:val="18"/>
        </w:rPr>
        <w:t> </w:t>
      </w:r>
      <w:r>
        <w:rPr>
          <w:w w:val="95"/>
          <w:sz w:val="18"/>
        </w:rPr>
        <w:t>included</w:t>
      </w:r>
      <w:r>
        <w:rPr>
          <w:spacing w:val="-12"/>
          <w:w w:val="95"/>
          <w:sz w:val="18"/>
        </w:rPr>
        <w:t> </w:t>
      </w:r>
      <w:r>
        <w:rPr>
          <w:w w:val="95"/>
          <w:sz w:val="18"/>
        </w:rPr>
        <w:t>within</w:t>
      </w:r>
      <w:r>
        <w:rPr>
          <w:spacing w:val="-12"/>
          <w:w w:val="95"/>
          <w:sz w:val="18"/>
        </w:rPr>
        <w:t> </w:t>
      </w:r>
      <w:r>
        <w:rPr>
          <w:w w:val="95"/>
          <w:sz w:val="18"/>
        </w:rPr>
        <w:t>the</w:t>
      </w:r>
      <w:r>
        <w:rPr>
          <w:spacing w:val="-12"/>
          <w:w w:val="95"/>
          <w:sz w:val="18"/>
        </w:rPr>
        <w:t> </w:t>
      </w:r>
      <w:r>
        <w:rPr>
          <w:w w:val="95"/>
          <w:sz w:val="18"/>
        </w:rPr>
        <w:t>Assumptions, </w:t>
      </w:r>
      <w:r>
        <w:rPr>
          <w:sz w:val="18"/>
        </w:rPr>
        <w:t>Disclaimers,</w:t>
      </w:r>
      <w:r>
        <w:rPr>
          <w:spacing w:val="-18"/>
          <w:sz w:val="18"/>
        </w:rPr>
        <w:t> </w:t>
      </w:r>
      <w:r>
        <w:rPr>
          <w:sz w:val="18"/>
        </w:rPr>
        <w:t>Limitations</w:t>
      </w:r>
      <w:r>
        <w:rPr>
          <w:spacing w:val="-16"/>
          <w:sz w:val="18"/>
        </w:rPr>
        <w:t> </w:t>
      </w:r>
      <w:r>
        <w:rPr>
          <w:sz w:val="18"/>
        </w:rPr>
        <w:t>&amp;</w:t>
      </w:r>
      <w:r>
        <w:rPr>
          <w:spacing w:val="-18"/>
          <w:sz w:val="18"/>
        </w:rPr>
        <w:t> </w:t>
      </w:r>
      <w:r>
        <w:rPr>
          <w:sz w:val="18"/>
        </w:rPr>
        <w:t>Qualifications</w:t>
      </w:r>
      <w:r>
        <w:rPr>
          <w:spacing w:val="-18"/>
          <w:sz w:val="18"/>
        </w:rPr>
        <w:t> </w:t>
      </w:r>
      <w:r>
        <w:rPr>
          <w:sz w:val="18"/>
        </w:rPr>
        <w:t>section</w:t>
      </w:r>
      <w:r>
        <w:rPr>
          <w:spacing w:val="-17"/>
          <w:sz w:val="18"/>
        </w:rPr>
        <w:t> </w:t>
      </w:r>
      <w:r>
        <w:rPr>
          <w:sz w:val="18"/>
        </w:rPr>
        <w:t>located</w:t>
      </w:r>
      <w:r>
        <w:rPr>
          <w:spacing w:val="-17"/>
          <w:sz w:val="18"/>
        </w:rPr>
        <w:t> </w:t>
      </w:r>
      <w:r>
        <w:rPr>
          <w:sz w:val="18"/>
        </w:rPr>
        <w:t>within</w:t>
      </w:r>
      <w:r>
        <w:rPr>
          <w:spacing w:val="-17"/>
          <w:sz w:val="18"/>
        </w:rPr>
        <w:t> </w:t>
      </w:r>
      <w:r>
        <w:rPr>
          <w:sz w:val="18"/>
        </w:rPr>
        <w:t>this</w:t>
      </w:r>
      <w:r>
        <w:rPr>
          <w:spacing w:val="-17"/>
          <w:sz w:val="18"/>
        </w:rPr>
        <w:t> </w:t>
      </w:r>
      <w:r>
        <w:rPr>
          <w:sz w:val="18"/>
        </w:rPr>
        <w:t>report.</w:t>
      </w:r>
      <w:r>
        <w:rPr>
          <w:spacing w:val="-18"/>
          <w:sz w:val="18"/>
        </w:rPr>
        <w:t> </w:t>
      </w:r>
      <w:r>
        <w:rPr>
          <w:sz w:val="18"/>
        </w:rPr>
        <w:t>Reliance</w:t>
      </w:r>
      <w:r>
        <w:rPr>
          <w:spacing w:val="-16"/>
          <w:sz w:val="18"/>
        </w:rPr>
        <w:t> </w:t>
      </w:r>
      <w:r>
        <w:rPr>
          <w:sz w:val="18"/>
        </w:rPr>
        <w:t>on</w:t>
      </w:r>
      <w:r>
        <w:rPr>
          <w:spacing w:val="-17"/>
          <w:sz w:val="18"/>
        </w:rPr>
        <w:t> </w:t>
      </w:r>
      <w:r>
        <w:rPr>
          <w:sz w:val="18"/>
        </w:rPr>
        <w:t>this</w:t>
      </w:r>
      <w:r>
        <w:rPr>
          <w:spacing w:val="-17"/>
          <w:sz w:val="18"/>
        </w:rPr>
        <w:t> </w:t>
      </w:r>
      <w:r>
        <w:rPr>
          <w:sz w:val="18"/>
        </w:rPr>
        <w:t>report</w:t>
      </w:r>
      <w:r>
        <w:rPr>
          <w:spacing w:val="-17"/>
          <w:sz w:val="18"/>
        </w:rPr>
        <w:t> </w:t>
      </w:r>
      <w:r>
        <w:rPr>
          <w:sz w:val="18"/>
        </w:rPr>
        <w:t>and extension</w:t>
      </w:r>
      <w:r>
        <w:rPr>
          <w:spacing w:val="-20"/>
          <w:sz w:val="18"/>
        </w:rPr>
        <w:t> </w:t>
      </w:r>
      <w:r>
        <w:rPr>
          <w:sz w:val="18"/>
        </w:rPr>
        <w:t>of</w:t>
      </w:r>
      <w:r>
        <w:rPr>
          <w:spacing w:val="-20"/>
          <w:sz w:val="18"/>
        </w:rPr>
        <w:t> </w:t>
      </w:r>
      <w:r>
        <w:rPr>
          <w:sz w:val="18"/>
        </w:rPr>
        <w:t>our</w:t>
      </w:r>
      <w:r>
        <w:rPr>
          <w:spacing w:val="-20"/>
          <w:sz w:val="18"/>
        </w:rPr>
        <w:t> </w:t>
      </w:r>
      <w:r>
        <w:rPr>
          <w:sz w:val="18"/>
        </w:rPr>
        <w:t>liability</w:t>
      </w:r>
      <w:r>
        <w:rPr>
          <w:spacing w:val="-19"/>
          <w:sz w:val="18"/>
        </w:rPr>
        <w:t> </w:t>
      </w:r>
      <w:r>
        <w:rPr>
          <w:sz w:val="18"/>
        </w:rPr>
        <w:t>is</w:t>
      </w:r>
      <w:r>
        <w:rPr>
          <w:spacing w:val="-20"/>
          <w:sz w:val="18"/>
        </w:rPr>
        <w:t> </w:t>
      </w:r>
      <w:r>
        <w:rPr>
          <w:sz w:val="18"/>
        </w:rPr>
        <w:t>conditional</w:t>
      </w:r>
      <w:r>
        <w:rPr>
          <w:spacing w:val="-20"/>
          <w:sz w:val="18"/>
        </w:rPr>
        <w:t> </w:t>
      </w:r>
      <w:r>
        <w:rPr>
          <w:sz w:val="18"/>
        </w:rPr>
        <w:t>upon</w:t>
      </w:r>
      <w:r>
        <w:rPr>
          <w:spacing w:val="-20"/>
          <w:sz w:val="18"/>
        </w:rPr>
        <w:t> </w:t>
      </w:r>
      <w:r>
        <w:rPr>
          <w:sz w:val="18"/>
        </w:rPr>
        <w:t>the</w:t>
      </w:r>
      <w:r>
        <w:rPr>
          <w:spacing w:val="-18"/>
          <w:sz w:val="18"/>
        </w:rPr>
        <w:t> </w:t>
      </w:r>
      <w:r>
        <w:rPr>
          <w:sz w:val="18"/>
        </w:rPr>
        <w:t>reader’s</w:t>
      </w:r>
      <w:r>
        <w:rPr>
          <w:spacing w:val="-20"/>
          <w:sz w:val="18"/>
        </w:rPr>
        <w:t> </w:t>
      </w:r>
      <w:r>
        <w:rPr>
          <w:sz w:val="18"/>
        </w:rPr>
        <w:t>acknowledgement</w:t>
      </w:r>
      <w:r>
        <w:rPr>
          <w:spacing w:val="-20"/>
          <w:sz w:val="18"/>
        </w:rPr>
        <w:t> </w:t>
      </w:r>
      <w:r>
        <w:rPr>
          <w:sz w:val="18"/>
        </w:rPr>
        <w:t>and</w:t>
      </w:r>
      <w:r>
        <w:rPr>
          <w:spacing w:val="-20"/>
          <w:sz w:val="18"/>
        </w:rPr>
        <w:t> </w:t>
      </w:r>
      <w:r>
        <w:rPr>
          <w:sz w:val="18"/>
        </w:rPr>
        <w:t>understanding</w:t>
      </w:r>
      <w:r>
        <w:rPr>
          <w:spacing w:val="-19"/>
          <w:sz w:val="18"/>
        </w:rPr>
        <w:t> </w:t>
      </w:r>
      <w:r>
        <w:rPr>
          <w:sz w:val="18"/>
        </w:rPr>
        <w:t>of</w:t>
      </w:r>
      <w:r>
        <w:rPr>
          <w:spacing w:val="-20"/>
          <w:sz w:val="18"/>
        </w:rPr>
        <w:t> </w:t>
      </w:r>
      <w:r>
        <w:rPr>
          <w:sz w:val="18"/>
        </w:rPr>
        <w:t>these statements.</w:t>
      </w:r>
      <w:r>
        <w:rPr>
          <w:spacing w:val="-15"/>
          <w:sz w:val="18"/>
        </w:rPr>
        <w:t> </w:t>
      </w:r>
      <w:r>
        <w:rPr>
          <w:sz w:val="18"/>
        </w:rPr>
        <w:t>This</w:t>
      </w:r>
      <w:r>
        <w:rPr>
          <w:spacing w:val="-13"/>
          <w:sz w:val="18"/>
        </w:rPr>
        <w:t> </w:t>
      </w:r>
      <w:r>
        <w:rPr>
          <w:sz w:val="18"/>
        </w:rPr>
        <w:t>valuation</w:t>
      </w:r>
      <w:r>
        <w:rPr>
          <w:spacing w:val="-13"/>
          <w:sz w:val="18"/>
        </w:rPr>
        <w:t> </w:t>
      </w:r>
      <w:r>
        <w:rPr>
          <w:sz w:val="18"/>
        </w:rPr>
        <w:t>is</w:t>
      </w:r>
      <w:r>
        <w:rPr>
          <w:spacing w:val="-14"/>
          <w:sz w:val="18"/>
        </w:rPr>
        <w:t> </w:t>
      </w:r>
      <w:r>
        <w:rPr>
          <w:sz w:val="18"/>
        </w:rPr>
        <w:t>for</w:t>
      </w:r>
      <w:r>
        <w:rPr>
          <w:spacing w:val="-15"/>
          <w:sz w:val="18"/>
        </w:rPr>
        <w:t> </w:t>
      </w:r>
      <w:r>
        <w:rPr>
          <w:sz w:val="18"/>
        </w:rPr>
        <w:t>the</w:t>
      </w:r>
      <w:r>
        <w:rPr>
          <w:spacing w:val="-13"/>
          <w:sz w:val="18"/>
        </w:rPr>
        <w:t> </w:t>
      </w:r>
      <w:r>
        <w:rPr>
          <w:sz w:val="18"/>
        </w:rPr>
        <w:t>use</w:t>
      </w:r>
      <w:r>
        <w:rPr>
          <w:spacing w:val="-14"/>
          <w:sz w:val="18"/>
        </w:rPr>
        <w:t> </w:t>
      </w:r>
      <w:r>
        <w:rPr>
          <w:sz w:val="18"/>
        </w:rPr>
        <w:t>of</w:t>
      </w:r>
      <w:r>
        <w:rPr>
          <w:spacing w:val="-13"/>
          <w:sz w:val="18"/>
        </w:rPr>
        <w:t> </w:t>
      </w:r>
      <w:r>
        <w:rPr>
          <w:sz w:val="18"/>
        </w:rPr>
        <w:t>the</w:t>
      </w:r>
      <w:r>
        <w:rPr>
          <w:spacing w:val="-14"/>
          <w:sz w:val="18"/>
        </w:rPr>
        <w:t> </w:t>
      </w:r>
      <w:r>
        <w:rPr>
          <w:sz w:val="18"/>
        </w:rPr>
        <w:t>party</w:t>
      </w:r>
      <w:r>
        <w:rPr>
          <w:spacing w:val="-14"/>
          <w:sz w:val="18"/>
        </w:rPr>
        <w:t> </w:t>
      </w:r>
      <w:r>
        <w:rPr>
          <w:sz w:val="18"/>
        </w:rPr>
        <w:t>to</w:t>
      </w:r>
      <w:r>
        <w:rPr>
          <w:spacing w:val="-13"/>
          <w:sz w:val="18"/>
        </w:rPr>
        <w:t> </w:t>
      </w:r>
      <w:r>
        <w:rPr>
          <w:sz w:val="18"/>
        </w:rPr>
        <w:t>whom</w:t>
      </w:r>
      <w:r>
        <w:rPr>
          <w:spacing w:val="-14"/>
          <w:sz w:val="18"/>
        </w:rPr>
        <w:t> </w:t>
      </w:r>
      <w:r>
        <w:rPr>
          <w:spacing w:val="4"/>
          <w:sz w:val="18"/>
        </w:rPr>
        <w:t>it</w:t>
      </w:r>
      <w:r>
        <w:rPr>
          <w:spacing w:val="-12"/>
          <w:sz w:val="18"/>
        </w:rPr>
        <w:t> </w:t>
      </w:r>
      <w:r>
        <w:rPr>
          <w:sz w:val="18"/>
        </w:rPr>
        <w:t>is</w:t>
      </w:r>
      <w:r>
        <w:rPr>
          <w:spacing w:val="-14"/>
          <w:sz w:val="18"/>
        </w:rPr>
        <w:t> </w:t>
      </w:r>
      <w:r>
        <w:rPr>
          <w:sz w:val="18"/>
        </w:rPr>
        <w:t>addressed</w:t>
      </w:r>
      <w:r>
        <w:rPr>
          <w:spacing w:val="-14"/>
          <w:sz w:val="18"/>
        </w:rPr>
        <w:t> </w:t>
      </w:r>
      <w:r>
        <w:rPr>
          <w:sz w:val="18"/>
        </w:rPr>
        <w:t>and</w:t>
      </w:r>
      <w:r>
        <w:rPr>
          <w:spacing w:val="-14"/>
          <w:sz w:val="18"/>
        </w:rPr>
        <w:t> </w:t>
      </w:r>
      <w:r>
        <w:rPr>
          <w:sz w:val="18"/>
        </w:rPr>
        <w:t>for</w:t>
      </w:r>
      <w:r>
        <w:rPr>
          <w:spacing w:val="-15"/>
          <w:sz w:val="18"/>
        </w:rPr>
        <w:t> </w:t>
      </w:r>
      <w:r>
        <w:rPr>
          <w:sz w:val="18"/>
        </w:rPr>
        <w:t>no</w:t>
      </w:r>
      <w:r>
        <w:rPr>
          <w:spacing w:val="-13"/>
          <w:sz w:val="18"/>
        </w:rPr>
        <w:t> </w:t>
      </w:r>
      <w:r>
        <w:rPr>
          <w:sz w:val="18"/>
        </w:rPr>
        <w:t>other</w:t>
      </w:r>
      <w:r>
        <w:rPr>
          <w:spacing w:val="-15"/>
          <w:sz w:val="18"/>
        </w:rPr>
        <w:t> </w:t>
      </w:r>
      <w:r>
        <w:rPr>
          <w:sz w:val="18"/>
        </w:rPr>
        <w:t>purpose. No responsibility is accepted to any third party who may use or rely on the whole or any part of the </w:t>
      </w:r>
      <w:r>
        <w:rPr>
          <w:w w:val="95"/>
          <w:sz w:val="18"/>
        </w:rPr>
        <w:t>content</w:t>
      </w:r>
      <w:r>
        <w:rPr>
          <w:spacing w:val="-17"/>
          <w:w w:val="95"/>
          <w:sz w:val="18"/>
        </w:rPr>
        <w:t> </w:t>
      </w:r>
      <w:r>
        <w:rPr>
          <w:w w:val="95"/>
          <w:sz w:val="18"/>
        </w:rPr>
        <w:t>of</w:t>
      </w:r>
      <w:r>
        <w:rPr>
          <w:spacing w:val="-14"/>
          <w:w w:val="95"/>
          <w:sz w:val="18"/>
        </w:rPr>
        <w:t> </w:t>
      </w:r>
      <w:r>
        <w:rPr>
          <w:w w:val="95"/>
          <w:sz w:val="18"/>
        </w:rPr>
        <w:t>this</w:t>
      </w:r>
      <w:r>
        <w:rPr>
          <w:spacing w:val="-15"/>
          <w:w w:val="95"/>
          <w:sz w:val="18"/>
        </w:rPr>
        <w:t> </w:t>
      </w:r>
      <w:r>
        <w:rPr>
          <w:w w:val="95"/>
          <w:sz w:val="18"/>
        </w:rPr>
        <w:t>valuation.</w:t>
      </w:r>
      <w:r>
        <w:rPr>
          <w:spacing w:val="-15"/>
          <w:w w:val="95"/>
          <w:sz w:val="18"/>
        </w:rPr>
        <w:t> </w:t>
      </w:r>
      <w:r>
        <w:rPr>
          <w:w w:val="95"/>
          <w:sz w:val="18"/>
        </w:rPr>
        <w:t>The</w:t>
      </w:r>
      <w:r>
        <w:rPr>
          <w:spacing w:val="-13"/>
          <w:w w:val="95"/>
          <w:sz w:val="18"/>
        </w:rPr>
        <w:t> </w:t>
      </w:r>
      <w:r>
        <w:rPr>
          <w:w w:val="95"/>
          <w:sz w:val="18"/>
        </w:rPr>
        <w:t>valuer</w:t>
      </w:r>
      <w:r>
        <w:rPr>
          <w:spacing w:val="-16"/>
          <w:w w:val="95"/>
          <w:sz w:val="18"/>
        </w:rPr>
        <w:t> </w:t>
      </w:r>
      <w:r>
        <w:rPr>
          <w:w w:val="95"/>
          <w:sz w:val="18"/>
        </w:rPr>
        <w:t>has</w:t>
      </w:r>
      <w:r>
        <w:rPr>
          <w:spacing w:val="-14"/>
          <w:w w:val="95"/>
          <w:sz w:val="18"/>
        </w:rPr>
        <w:t> </w:t>
      </w:r>
      <w:r>
        <w:rPr>
          <w:w w:val="95"/>
          <w:sz w:val="18"/>
        </w:rPr>
        <w:t>no</w:t>
      </w:r>
      <w:r>
        <w:rPr>
          <w:spacing w:val="-15"/>
          <w:w w:val="95"/>
          <w:sz w:val="18"/>
        </w:rPr>
        <w:t> </w:t>
      </w:r>
      <w:r>
        <w:rPr>
          <w:w w:val="95"/>
          <w:sz w:val="18"/>
        </w:rPr>
        <w:t>pecuniary</w:t>
      </w:r>
      <w:r>
        <w:rPr>
          <w:spacing w:val="-14"/>
          <w:w w:val="95"/>
          <w:sz w:val="18"/>
        </w:rPr>
        <w:t> </w:t>
      </w:r>
      <w:r>
        <w:rPr>
          <w:w w:val="95"/>
          <w:sz w:val="18"/>
        </w:rPr>
        <w:t>interest</w:t>
      </w:r>
      <w:r>
        <w:rPr>
          <w:spacing w:val="-16"/>
          <w:w w:val="95"/>
          <w:sz w:val="18"/>
        </w:rPr>
        <w:t> </w:t>
      </w:r>
      <w:r>
        <w:rPr>
          <w:w w:val="95"/>
          <w:sz w:val="18"/>
        </w:rPr>
        <w:t>that</w:t>
      </w:r>
      <w:r>
        <w:rPr>
          <w:spacing w:val="-16"/>
          <w:w w:val="95"/>
          <w:sz w:val="18"/>
        </w:rPr>
        <w:t> </w:t>
      </w:r>
      <w:r>
        <w:rPr>
          <w:w w:val="95"/>
          <w:sz w:val="18"/>
        </w:rPr>
        <w:t>would</w:t>
      </w:r>
      <w:r>
        <w:rPr>
          <w:spacing w:val="-16"/>
          <w:w w:val="95"/>
          <w:sz w:val="18"/>
        </w:rPr>
        <w:t> </w:t>
      </w:r>
      <w:r>
        <w:rPr>
          <w:w w:val="95"/>
          <w:sz w:val="18"/>
        </w:rPr>
        <w:t>conflict</w:t>
      </w:r>
      <w:r>
        <w:rPr>
          <w:spacing w:val="-16"/>
          <w:w w:val="95"/>
          <w:sz w:val="18"/>
        </w:rPr>
        <w:t> </w:t>
      </w:r>
      <w:r>
        <w:rPr>
          <w:w w:val="95"/>
          <w:sz w:val="18"/>
        </w:rPr>
        <w:t>with</w:t>
      </w:r>
      <w:r>
        <w:rPr>
          <w:spacing w:val="-14"/>
          <w:w w:val="95"/>
          <w:sz w:val="18"/>
        </w:rPr>
        <w:t> </w:t>
      </w:r>
      <w:r>
        <w:rPr>
          <w:w w:val="95"/>
          <w:sz w:val="18"/>
        </w:rPr>
        <w:t>the</w:t>
      </w:r>
      <w:r>
        <w:rPr>
          <w:spacing w:val="-15"/>
          <w:w w:val="95"/>
          <w:sz w:val="18"/>
        </w:rPr>
        <w:t> </w:t>
      </w:r>
      <w:r>
        <w:rPr>
          <w:w w:val="95"/>
          <w:sz w:val="18"/>
        </w:rPr>
        <w:t>proper</w:t>
      </w:r>
      <w:r>
        <w:rPr>
          <w:spacing w:val="-15"/>
          <w:w w:val="95"/>
          <w:sz w:val="18"/>
        </w:rPr>
        <w:t> </w:t>
      </w:r>
      <w:r>
        <w:rPr>
          <w:w w:val="95"/>
          <w:sz w:val="18"/>
        </w:rPr>
        <w:t>valuation </w:t>
      </w:r>
      <w:r>
        <w:rPr>
          <w:sz w:val="18"/>
        </w:rPr>
        <w:t>of the</w:t>
      </w:r>
      <w:r>
        <w:rPr>
          <w:spacing w:val="-4"/>
          <w:sz w:val="18"/>
        </w:rPr>
        <w:t> </w:t>
      </w:r>
      <w:r>
        <w:rPr>
          <w:sz w:val="18"/>
        </w:rPr>
        <w:t>property</w:t>
      </w:r>
    </w:p>
    <w:p>
      <w:pPr>
        <w:spacing w:after="0" w:line="321" w:lineRule="auto"/>
        <w:jc w:val="both"/>
        <w:rPr>
          <w:sz w:val="18"/>
        </w:rPr>
        <w:sectPr>
          <w:type w:val="continuous"/>
          <w:pgSz w:w="11910" w:h="16840"/>
          <w:pgMar w:top="800" w:bottom="280" w:left="440" w:right="80"/>
          <w:cols w:num="2" w:equalWidth="0">
            <w:col w:w="2237" w:space="40"/>
            <w:col w:w="9113"/>
          </w:cols>
        </w:sectPr>
      </w:pPr>
    </w:p>
    <w:p>
      <w:pPr>
        <w:pStyle w:val="BodyText"/>
        <w:spacing w:before="5"/>
      </w:pPr>
    </w:p>
    <w:p>
      <w:pPr>
        <w:pStyle w:val="ListParagraph"/>
        <w:numPr>
          <w:ilvl w:val="1"/>
          <w:numId w:val="26"/>
        </w:numPr>
        <w:tabs>
          <w:tab w:pos="857" w:val="left" w:leader="none"/>
        </w:tabs>
        <w:spacing w:line="240" w:lineRule="auto" w:before="106" w:after="0"/>
        <w:ind w:left="856" w:right="0" w:hanging="577"/>
        <w:jc w:val="left"/>
        <w:rPr>
          <w:sz w:val="22"/>
        </w:rPr>
      </w:pPr>
      <w:bookmarkStart w:name="_bookmark38" w:id="76"/>
      <w:bookmarkEnd w:id="76"/>
      <w:r>
        <w:rPr/>
      </w:r>
      <w:bookmarkStart w:name="_bookmark38" w:id="77"/>
      <w:bookmarkEnd w:id="77"/>
      <w:r>
        <w:rPr>
          <w:color w:val="1F6647"/>
          <w:w w:val="105"/>
          <w:sz w:val="22"/>
        </w:rPr>
        <w:t>E</w:t>
      </w:r>
      <w:r>
        <w:rPr>
          <w:color w:val="1F6647"/>
          <w:w w:val="105"/>
          <w:sz w:val="22"/>
        </w:rPr>
        <w:t>mbassy</w:t>
      </w:r>
      <w:r>
        <w:rPr>
          <w:color w:val="1F6647"/>
          <w:spacing w:val="-7"/>
          <w:w w:val="105"/>
          <w:sz w:val="22"/>
        </w:rPr>
        <w:t> </w:t>
      </w:r>
      <w:r>
        <w:rPr>
          <w:color w:val="1F6647"/>
          <w:w w:val="105"/>
          <w:sz w:val="22"/>
        </w:rPr>
        <w:t>GolfLinks</w:t>
      </w:r>
    </w:p>
    <w:p>
      <w:pPr>
        <w:pStyle w:val="BodyText"/>
        <w:rPr>
          <w:sz w:val="29"/>
        </w:rPr>
      </w:pPr>
    </w:p>
    <w:p>
      <w:pPr>
        <w:tabs>
          <w:tab w:pos="2548" w:val="left" w:leader="none"/>
        </w:tabs>
        <w:spacing w:line="609" w:lineRule="auto" w:before="0"/>
        <w:ind w:left="392" w:right="1174" w:firstLine="0"/>
        <w:jc w:val="left"/>
        <w:rPr>
          <w:sz w:val="18"/>
        </w:rPr>
      </w:pPr>
      <w:r>
        <w:rPr>
          <w:color w:val="006A4D"/>
          <w:sz w:val="18"/>
        </w:rPr>
        <w:t>Property</w:t>
      </w:r>
      <w:r>
        <w:rPr>
          <w:color w:val="006A4D"/>
          <w:spacing w:val="-15"/>
          <w:sz w:val="18"/>
        </w:rPr>
        <w:t> </w:t>
      </w:r>
      <w:r>
        <w:rPr>
          <w:color w:val="006A4D"/>
          <w:sz w:val="18"/>
        </w:rPr>
        <w:t>Name:</w:t>
        <w:tab/>
      </w:r>
      <w:r>
        <w:rPr>
          <w:sz w:val="18"/>
        </w:rPr>
        <w:t>Embassy</w:t>
      </w:r>
      <w:r>
        <w:rPr>
          <w:spacing w:val="-15"/>
          <w:sz w:val="18"/>
        </w:rPr>
        <w:t> </w:t>
      </w:r>
      <w:r>
        <w:rPr>
          <w:sz w:val="18"/>
        </w:rPr>
        <w:t>GolfLinks</w:t>
      </w:r>
      <w:r>
        <w:rPr>
          <w:spacing w:val="-14"/>
          <w:sz w:val="18"/>
        </w:rPr>
        <w:t> </w:t>
      </w:r>
      <w:r>
        <w:rPr>
          <w:sz w:val="18"/>
        </w:rPr>
        <w:t>is</w:t>
      </w:r>
      <w:r>
        <w:rPr>
          <w:spacing w:val="-16"/>
          <w:sz w:val="18"/>
        </w:rPr>
        <w:t> </w:t>
      </w:r>
      <w:r>
        <w:rPr>
          <w:sz w:val="18"/>
        </w:rPr>
        <w:t>an</w:t>
      </w:r>
      <w:r>
        <w:rPr>
          <w:spacing w:val="-14"/>
          <w:sz w:val="18"/>
        </w:rPr>
        <w:t> </w:t>
      </w:r>
      <w:r>
        <w:rPr>
          <w:sz w:val="18"/>
        </w:rPr>
        <w:t>Office</w:t>
      </w:r>
      <w:r>
        <w:rPr>
          <w:spacing w:val="-16"/>
          <w:sz w:val="18"/>
        </w:rPr>
        <w:t> </w:t>
      </w:r>
      <w:r>
        <w:rPr>
          <w:sz w:val="18"/>
        </w:rPr>
        <w:t>Park</w:t>
      </w:r>
      <w:r>
        <w:rPr>
          <w:spacing w:val="-15"/>
          <w:sz w:val="18"/>
        </w:rPr>
        <w:t> </w:t>
      </w:r>
      <w:r>
        <w:rPr>
          <w:sz w:val="18"/>
        </w:rPr>
        <w:t>located</w:t>
      </w:r>
      <w:r>
        <w:rPr>
          <w:spacing w:val="-15"/>
          <w:sz w:val="18"/>
        </w:rPr>
        <w:t> </w:t>
      </w:r>
      <w:r>
        <w:rPr>
          <w:sz w:val="18"/>
        </w:rPr>
        <w:t>along</w:t>
      </w:r>
      <w:r>
        <w:rPr>
          <w:spacing w:val="-15"/>
          <w:sz w:val="18"/>
        </w:rPr>
        <w:t> </w:t>
      </w:r>
      <w:r>
        <w:rPr>
          <w:sz w:val="18"/>
        </w:rPr>
        <w:t>Intermediate</w:t>
      </w:r>
      <w:r>
        <w:rPr>
          <w:spacing w:val="-14"/>
          <w:sz w:val="18"/>
        </w:rPr>
        <w:t> </w:t>
      </w:r>
      <w:r>
        <w:rPr>
          <w:sz w:val="18"/>
        </w:rPr>
        <w:t>Ring</w:t>
      </w:r>
      <w:r>
        <w:rPr>
          <w:spacing w:val="-15"/>
          <w:sz w:val="18"/>
        </w:rPr>
        <w:t> </w:t>
      </w:r>
      <w:r>
        <w:rPr>
          <w:sz w:val="18"/>
        </w:rPr>
        <w:t>Road,</w:t>
      </w:r>
      <w:r>
        <w:rPr>
          <w:spacing w:val="-15"/>
          <w:sz w:val="18"/>
        </w:rPr>
        <w:t> </w:t>
      </w:r>
      <w:r>
        <w:rPr>
          <w:sz w:val="18"/>
        </w:rPr>
        <w:t>Bengaluru,</w:t>
      </w:r>
      <w:r>
        <w:rPr>
          <w:spacing w:val="-15"/>
          <w:sz w:val="18"/>
        </w:rPr>
        <w:t> </w:t>
      </w:r>
      <w:r>
        <w:rPr>
          <w:sz w:val="18"/>
        </w:rPr>
        <w:t>Karnataka </w:t>
      </w:r>
      <w:r>
        <w:rPr>
          <w:color w:val="006A4D"/>
          <w:sz w:val="18"/>
        </w:rPr>
        <w:t>Property</w:t>
      </w:r>
      <w:r>
        <w:rPr>
          <w:color w:val="006A4D"/>
          <w:spacing w:val="-25"/>
          <w:sz w:val="18"/>
        </w:rPr>
        <w:t> </w:t>
      </w:r>
      <w:r>
        <w:rPr>
          <w:color w:val="006A4D"/>
          <w:sz w:val="18"/>
        </w:rPr>
        <w:t>Address:</w:t>
        <w:tab/>
      </w:r>
      <w:r>
        <w:rPr>
          <w:sz w:val="18"/>
        </w:rPr>
        <w:t>Challaghatta</w:t>
      </w:r>
      <w:r>
        <w:rPr>
          <w:spacing w:val="-14"/>
          <w:sz w:val="18"/>
        </w:rPr>
        <w:t> </w:t>
      </w:r>
      <w:r>
        <w:rPr>
          <w:sz w:val="18"/>
        </w:rPr>
        <w:t>Village,</w:t>
      </w:r>
      <w:r>
        <w:rPr>
          <w:spacing w:val="-14"/>
          <w:sz w:val="18"/>
        </w:rPr>
        <w:t> </w:t>
      </w:r>
      <w:r>
        <w:rPr>
          <w:sz w:val="18"/>
        </w:rPr>
        <w:t>Varthur</w:t>
      </w:r>
      <w:r>
        <w:rPr>
          <w:spacing w:val="-15"/>
          <w:sz w:val="18"/>
        </w:rPr>
        <w:t> </w:t>
      </w:r>
      <w:r>
        <w:rPr>
          <w:sz w:val="18"/>
        </w:rPr>
        <w:t>Hobli,</w:t>
      </w:r>
      <w:r>
        <w:rPr>
          <w:spacing w:val="-15"/>
          <w:sz w:val="18"/>
        </w:rPr>
        <w:t> </w:t>
      </w:r>
      <w:r>
        <w:rPr>
          <w:sz w:val="18"/>
        </w:rPr>
        <w:t>Mahadevapura,</w:t>
      </w:r>
      <w:r>
        <w:rPr>
          <w:spacing w:val="-15"/>
          <w:sz w:val="18"/>
        </w:rPr>
        <w:t> </w:t>
      </w:r>
      <w:r>
        <w:rPr>
          <w:sz w:val="18"/>
        </w:rPr>
        <w:t>Bengaluru</w:t>
      </w:r>
      <w:r>
        <w:rPr>
          <w:spacing w:val="-14"/>
          <w:sz w:val="18"/>
        </w:rPr>
        <w:t> </w:t>
      </w:r>
      <w:r>
        <w:rPr>
          <w:sz w:val="18"/>
        </w:rPr>
        <w:t>East</w:t>
      </w:r>
      <w:r>
        <w:rPr>
          <w:spacing w:val="-16"/>
          <w:sz w:val="18"/>
        </w:rPr>
        <w:t> </w:t>
      </w:r>
      <w:r>
        <w:rPr>
          <w:sz w:val="18"/>
        </w:rPr>
        <w:t>Taluk,</w:t>
      </w:r>
      <w:r>
        <w:rPr>
          <w:spacing w:val="-15"/>
          <w:sz w:val="18"/>
        </w:rPr>
        <w:t> </w:t>
      </w:r>
      <w:r>
        <w:rPr>
          <w:sz w:val="18"/>
        </w:rPr>
        <w:t>Bengaluru,</w:t>
      </w:r>
      <w:r>
        <w:rPr>
          <w:spacing w:val="-15"/>
          <w:sz w:val="18"/>
        </w:rPr>
        <w:t> </w:t>
      </w:r>
      <w:r>
        <w:rPr>
          <w:sz w:val="18"/>
        </w:rPr>
        <w:t>Karnataka</w:t>
      </w:r>
    </w:p>
    <w:p>
      <w:pPr>
        <w:tabs>
          <w:tab w:pos="2548" w:val="left" w:leader="none"/>
        </w:tabs>
        <w:spacing w:line="321" w:lineRule="auto" w:before="0"/>
        <w:ind w:left="2548" w:right="486" w:hanging="2156"/>
        <w:jc w:val="both"/>
        <w:rPr>
          <w:sz w:val="18"/>
        </w:rPr>
      </w:pPr>
      <w:r>
        <w:rPr>
          <w:color w:val="006A4D"/>
          <w:sz w:val="18"/>
        </w:rPr>
        <w:t>Land</w:t>
      </w:r>
      <w:r>
        <w:rPr>
          <w:color w:val="006A4D"/>
          <w:spacing w:val="-4"/>
          <w:sz w:val="18"/>
        </w:rPr>
        <w:t> </w:t>
      </w:r>
      <w:r>
        <w:rPr>
          <w:color w:val="006A4D"/>
          <w:sz w:val="18"/>
        </w:rPr>
        <w:t>Area:</w:t>
        <w:tab/>
      </w:r>
      <w:r>
        <w:rPr>
          <w:sz w:val="18"/>
        </w:rPr>
        <w:t>Based</w:t>
      </w:r>
      <w:r>
        <w:rPr>
          <w:spacing w:val="-28"/>
          <w:sz w:val="18"/>
        </w:rPr>
        <w:t> </w:t>
      </w:r>
      <w:r>
        <w:rPr>
          <w:sz w:val="18"/>
        </w:rPr>
        <w:t>on</w:t>
      </w:r>
      <w:r>
        <w:rPr>
          <w:spacing w:val="-28"/>
          <w:sz w:val="18"/>
        </w:rPr>
        <w:t> </w:t>
      </w:r>
      <w:r>
        <w:rPr>
          <w:sz w:val="18"/>
        </w:rPr>
        <w:t>review</w:t>
      </w:r>
      <w:r>
        <w:rPr>
          <w:spacing w:val="-28"/>
          <w:sz w:val="18"/>
        </w:rPr>
        <w:t> </w:t>
      </w:r>
      <w:r>
        <w:rPr>
          <w:sz w:val="18"/>
        </w:rPr>
        <w:t>of</w:t>
      </w:r>
      <w:r>
        <w:rPr>
          <w:spacing w:val="-28"/>
          <w:sz w:val="18"/>
        </w:rPr>
        <w:t> </w:t>
      </w:r>
      <w:r>
        <w:rPr>
          <w:sz w:val="18"/>
        </w:rPr>
        <w:t>the</w:t>
      </w:r>
      <w:r>
        <w:rPr>
          <w:spacing w:val="-28"/>
          <w:sz w:val="18"/>
        </w:rPr>
        <w:t> </w:t>
      </w:r>
      <w:r>
        <w:rPr>
          <w:sz w:val="18"/>
        </w:rPr>
        <w:t>title</w:t>
      </w:r>
      <w:r>
        <w:rPr>
          <w:spacing w:val="-28"/>
          <w:sz w:val="18"/>
        </w:rPr>
        <w:t> </w:t>
      </w:r>
      <w:r>
        <w:rPr>
          <w:sz w:val="18"/>
        </w:rPr>
        <w:t>report,</w:t>
      </w:r>
      <w:r>
        <w:rPr>
          <w:spacing w:val="-28"/>
          <w:sz w:val="18"/>
        </w:rPr>
        <w:t> </w:t>
      </w:r>
      <w:r>
        <w:rPr>
          <w:sz w:val="18"/>
        </w:rPr>
        <w:t>we</w:t>
      </w:r>
      <w:r>
        <w:rPr>
          <w:spacing w:val="-28"/>
          <w:sz w:val="18"/>
        </w:rPr>
        <w:t> </w:t>
      </w:r>
      <w:r>
        <w:rPr>
          <w:sz w:val="18"/>
        </w:rPr>
        <w:t>understand</w:t>
      </w:r>
      <w:r>
        <w:rPr>
          <w:spacing w:val="-29"/>
          <w:sz w:val="18"/>
        </w:rPr>
        <w:t> </w:t>
      </w:r>
      <w:r>
        <w:rPr>
          <w:sz w:val="18"/>
        </w:rPr>
        <w:t>that</w:t>
      </w:r>
      <w:r>
        <w:rPr>
          <w:spacing w:val="-29"/>
          <w:sz w:val="18"/>
        </w:rPr>
        <w:t> </w:t>
      </w:r>
      <w:r>
        <w:rPr>
          <w:sz w:val="18"/>
        </w:rPr>
        <w:t>the</w:t>
      </w:r>
      <w:r>
        <w:rPr>
          <w:spacing w:val="-26"/>
          <w:sz w:val="18"/>
        </w:rPr>
        <w:t> </w:t>
      </w:r>
      <w:r>
        <w:rPr>
          <w:sz w:val="18"/>
        </w:rPr>
        <w:t>total</w:t>
      </w:r>
      <w:r>
        <w:rPr>
          <w:spacing w:val="-29"/>
          <w:sz w:val="18"/>
        </w:rPr>
        <w:t> </w:t>
      </w:r>
      <w:r>
        <w:rPr>
          <w:sz w:val="18"/>
        </w:rPr>
        <w:t>land</w:t>
      </w:r>
      <w:r>
        <w:rPr>
          <w:spacing w:val="-28"/>
          <w:sz w:val="18"/>
        </w:rPr>
        <w:t> </w:t>
      </w:r>
      <w:r>
        <w:rPr>
          <w:sz w:val="18"/>
        </w:rPr>
        <w:t>area</w:t>
      </w:r>
      <w:r>
        <w:rPr>
          <w:spacing w:val="-28"/>
          <w:sz w:val="18"/>
        </w:rPr>
        <w:t> </w:t>
      </w:r>
      <w:r>
        <w:rPr>
          <w:sz w:val="18"/>
        </w:rPr>
        <w:t>of</w:t>
      </w:r>
      <w:r>
        <w:rPr>
          <w:spacing w:val="-28"/>
          <w:sz w:val="18"/>
        </w:rPr>
        <w:t> </w:t>
      </w:r>
      <w:r>
        <w:rPr>
          <w:sz w:val="18"/>
        </w:rPr>
        <w:t>the</w:t>
      </w:r>
      <w:r>
        <w:rPr>
          <w:spacing w:val="-28"/>
          <w:sz w:val="18"/>
        </w:rPr>
        <w:t> </w:t>
      </w:r>
      <w:r>
        <w:rPr>
          <w:sz w:val="18"/>
        </w:rPr>
        <w:t>subject</w:t>
      </w:r>
      <w:r>
        <w:rPr>
          <w:spacing w:val="-29"/>
          <w:sz w:val="18"/>
        </w:rPr>
        <w:t> </w:t>
      </w:r>
      <w:r>
        <w:rPr>
          <w:sz w:val="18"/>
        </w:rPr>
        <w:t>property</w:t>
      </w:r>
      <w:r>
        <w:rPr>
          <w:spacing w:val="-28"/>
          <w:sz w:val="18"/>
        </w:rPr>
        <w:t> </w:t>
      </w:r>
      <w:r>
        <w:rPr>
          <w:sz w:val="18"/>
        </w:rPr>
        <w:t>under</w:t>
      </w:r>
      <w:r>
        <w:rPr>
          <w:spacing w:val="-29"/>
          <w:sz w:val="18"/>
        </w:rPr>
        <w:t> </w:t>
      </w:r>
      <w:r>
        <w:rPr>
          <w:sz w:val="18"/>
        </w:rPr>
        <w:t>the ownership of the Client is approximately 37.11</w:t>
      </w:r>
      <w:r>
        <w:rPr>
          <w:spacing w:val="-25"/>
          <w:sz w:val="18"/>
        </w:rPr>
        <w:t> </w:t>
      </w:r>
      <w:r>
        <w:rPr>
          <w:sz w:val="18"/>
        </w:rPr>
        <w:t>Acres</w:t>
      </w:r>
    </w:p>
    <w:p>
      <w:pPr>
        <w:pStyle w:val="BodyText"/>
        <w:spacing w:before="6"/>
        <w:rPr>
          <w:sz w:val="21"/>
        </w:rPr>
      </w:pPr>
    </w:p>
    <w:p>
      <w:pPr>
        <w:tabs>
          <w:tab w:pos="2548" w:val="left" w:leader="none"/>
        </w:tabs>
        <w:spacing w:line="321" w:lineRule="auto" w:before="0"/>
        <w:ind w:left="2548" w:right="391" w:hanging="2156"/>
        <w:jc w:val="both"/>
        <w:rPr>
          <w:sz w:val="18"/>
        </w:rPr>
      </w:pPr>
      <w:r>
        <w:rPr>
          <w:color w:val="006A4D"/>
          <w:sz w:val="18"/>
        </w:rPr>
        <w:t>Brief</w:t>
      </w:r>
      <w:r>
        <w:rPr>
          <w:color w:val="006A4D"/>
          <w:spacing w:val="-31"/>
          <w:sz w:val="18"/>
        </w:rPr>
        <w:t> </w:t>
      </w:r>
      <w:r>
        <w:rPr>
          <w:color w:val="006A4D"/>
          <w:sz w:val="18"/>
        </w:rPr>
        <w:t>Description:</w:t>
        <w:tab/>
      </w:r>
      <w:r>
        <w:rPr>
          <w:sz w:val="18"/>
        </w:rPr>
        <w:t>The</w:t>
      </w:r>
      <w:r>
        <w:rPr>
          <w:spacing w:val="-10"/>
          <w:sz w:val="18"/>
        </w:rPr>
        <w:t> </w:t>
      </w:r>
      <w:r>
        <w:rPr>
          <w:sz w:val="18"/>
        </w:rPr>
        <w:t>subject</w:t>
      </w:r>
      <w:r>
        <w:rPr>
          <w:spacing w:val="-11"/>
          <w:sz w:val="18"/>
        </w:rPr>
        <w:t> </w:t>
      </w:r>
      <w:r>
        <w:rPr>
          <w:sz w:val="18"/>
        </w:rPr>
        <w:t>property,</w:t>
      </w:r>
      <w:r>
        <w:rPr>
          <w:spacing w:val="-12"/>
          <w:sz w:val="18"/>
        </w:rPr>
        <w:t> </w:t>
      </w:r>
      <w:r>
        <w:rPr>
          <w:sz w:val="18"/>
        </w:rPr>
        <w:t>“Embassy</w:t>
      </w:r>
      <w:r>
        <w:rPr>
          <w:spacing w:val="-10"/>
          <w:sz w:val="18"/>
        </w:rPr>
        <w:t> </w:t>
      </w:r>
      <w:r>
        <w:rPr>
          <w:sz w:val="18"/>
        </w:rPr>
        <w:t>GolfLinks”,</w:t>
      </w:r>
      <w:r>
        <w:rPr>
          <w:spacing w:val="-12"/>
          <w:sz w:val="18"/>
        </w:rPr>
        <w:t> </w:t>
      </w:r>
      <w:r>
        <w:rPr>
          <w:sz w:val="18"/>
        </w:rPr>
        <w:t>is</w:t>
      </w:r>
      <w:r>
        <w:rPr>
          <w:spacing w:val="-12"/>
          <w:sz w:val="18"/>
        </w:rPr>
        <w:t> </w:t>
      </w:r>
      <w:r>
        <w:rPr>
          <w:sz w:val="18"/>
        </w:rPr>
        <w:t>an</w:t>
      </w:r>
      <w:r>
        <w:rPr>
          <w:spacing w:val="-11"/>
          <w:sz w:val="18"/>
        </w:rPr>
        <w:t> </w:t>
      </w:r>
      <w:r>
        <w:rPr>
          <w:sz w:val="18"/>
        </w:rPr>
        <w:t>operational</w:t>
      </w:r>
      <w:r>
        <w:rPr>
          <w:spacing w:val="-10"/>
          <w:sz w:val="18"/>
        </w:rPr>
        <w:t> </w:t>
      </w:r>
      <w:r>
        <w:rPr>
          <w:sz w:val="18"/>
        </w:rPr>
        <w:t>Office</w:t>
      </w:r>
      <w:r>
        <w:rPr>
          <w:spacing w:val="-11"/>
          <w:sz w:val="18"/>
        </w:rPr>
        <w:t> </w:t>
      </w:r>
      <w:r>
        <w:rPr>
          <w:sz w:val="18"/>
        </w:rPr>
        <w:t>Park</w:t>
      </w:r>
      <w:r>
        <w:rPr>
          <w:spacing w:val="-10"/>
          <w:sz w:val="18"/>
        </w:rPr>
        <w:t> </w:t>
      </w:r>
      <w:r>
        <w:rPr>
          <w:sz w:val="18"/>
        </w:rPr>
        <w:t>located</w:t>
      </w:r>
      <w:r>
        <w:rPr>
          <w:spacing w:val="-11"/>
          <w:sz w:val="18"/>
        </w:rPr>
        <w:t> </w:t>
      </w:r>
      <w:r>
        <w:rPr>
          <w:sz w:val="18"/>
        </w:rPr>
        <w:t>along</w:t>
      </w:r>
      <w:r>
        <w:rPr>
          <w:spacing w:val="-11"/>
          <w:sz w:val="18"/>
        </w:rPr>
        <w:t> </w:t>
      </w:r>
      <w:r>
        <w:rPr>
          <w:sz w:val="18"/>
        </w:rPr>
        <w:t>Intermediate</w:t>
      </w:r>
      <w:r>
        <w:rPr>
          <w:spacing w:val="-10"/>
          <w:sz w:val="18"/>
        </w:rPr>
        <w:t> </w:t>
      </w:r>
      <w:r>
        <w:rPr>
          <w:sz w:val="18"/>
        </w:rPr>
        <w:t>Ring Road,</w:t>
      </w:r>
      <w:r>
        <w:rPr>
          <w:spacing w:val="-15"/>
          <w:sz w:val="18"/>
        </w:rPr>
        <w:t> </w:t>
      </w:r>
      <w:r>
        <w:rPr>
          <w:sz w:val="18"/>
        </w:rPr>
        <w:t>Bengaluru.</w:t>
      </w:r>
      <w:r>
        <w:rPr>
          <w:spacing w:val="-15"/>
          <w:sz w:val="18"/>
        </w:rPr>
        <w:t> </w:t>
      </w:r>
      <w:r>
        <w:rPr>
          <w:sz w:val="18"/>
        </w:rPr>
        <w:t>This</w:t>
      </w:r>
      <w:r>
        <w:rPr>
          <w:spacing w:val="-13"/>
          <w:sz w:val="18"/>
        </w:rPr>
        <w:t> </w:t>
      </w:r>
      <w:r>
        <w:rPr>
          <w:sz w:val="18"/>
        </w:rPr>
        <w:t>Office</w:t>
      </w:r>
      <w:r>
        <w:rPr>
          <w:spacing w:val="-14"/>
          <w:sz w:val="18"/>
        </w:rPr>
        <w:t> </w:t>
      </w:r>
      <w:r>
        <w:rPr>
          <w:sz w:val="18"/>
        </w:rPr>
        <w:t>Park</w:t>
      </w:r>
      <w:r>
        <w:rPr>
          <w:spacing w:val="-14"/>
          <w:sz w:val="18"/>
        </w:rPr>
        <w:t> </w:t>
      </w:r>
      <w:r>
        <w:rPr>
          <w:sz w:val="18"/>
        </w:rPr>
        <w:t>has</w:t>
      </w:r>
      <w:r>
        <w:rPr>
          <w:spacing w:val="-13"/>
          <w:sz w:val="18"/>
        </w:rPr>
        <w:t> </w:t>
      </w:r>
      <w:r>
        <w:rPr>
          <w:sz w:val="18"/>
        </w:rPr>
        <w:t>a</w:t>
      </w:r>
      <w:r>
        <w:rPr>
          <w:spacing w:val="-15"/>
          <w:sz w:val="18"/>
        </w:rPr>
        <w:t> </w:t>
      </w:r>
      <w:r>
        <w:rPr>
          <w:sz w:val="18"/>
        </w:rPr>
        <w:t>total</w:t>
      </w:r>
      <w:r>
        <w:rPr>
          <w:spacing w:val="-15"/>
          <w:sz w:val="18"/>
        </w:rPr>
        <w:t> </w:t>
      </w:r>
      <w:r>
        <w:rPr>
          <w:sz w:val="18"/>
        </w:rPr>
        <w:t>leasable</w:t>
      </w:r>
      <w:r>
        <w:rPr>
          <w:spacing w:val="-14"/>
          <w:sz w:val="18"/>
        </w:rPr>
        <w:t> </w:t>
      </w:r>
      <w:r>
        <w:rPr>
          <w:sz w:val="18"/>
        </w:rPr>
        <w:t>area</w:t>
      </w:r>
      <w:r>
        <w:rPr>
          <w:spacing w:val="-16"/>
          <w:sz w:val="18"/>
        </w:rPr>
        <w:t> </w:t>
      </w:r>
      <w:r>
        <w:rPr>
          <w:sz w:val="18"/>
        </w:rPr>
        <w:t>of</w:t>
      </w:r>
      <w:r>
        <w:rPr>
          <w:spacing w:val="-16"/>
          <w:sz w:val="18"/>
        </w:rPr>
        <w:t> </w:t>
      </w:r>
      <w:r>
        <w:rPr>
          <w:sz w:val="18"/>
        </w:rPr>
        <w:t>over</w:t>
      </w:r>
      <w:r>
        <w:rPr>
          <w:spacing w:val="-15"/>
          <w:sz w:val="18"/>
        </w:rPr>
        <w:t> </w:t>
      </w:r>
      <w:r>
        <w:rPr>
          <w:sz w:val="18"/>
        </w:rPr>
        <w:t>4.00</w:t>
      </w:r>
      <w:r>
        <w:rPr>
          <w:spacing w:val="-15"/>
          <w:sz w:val="18"/>
        </w:rPr>
        <w:t> </w:t>
      </w:r>
      <w:r>
        <w:rPr>
          <w:sz w:val="18"/>
        </w:rPr>
        <w:t>msf</w:t>
      </w:r>
      <w:r>
        <w:rPr>
          <w:spacing w:val="-15"/>
          <w:sz w:val="18"/>
        </w:rPr>
        <w:t> </w:t>
      </w:r>
      <w:r>
        <w:rPr>
          <w:sz w:val="18"/>
        </w:rPr>
        <w:t>and</w:t>
      </w:r>
      <w:r>
        <w:rPr>
          <w:spacing w:val="-14"/>
          <w:sz w:val="18"/>
        </w:rPr>
        <w:t> </w:t>
      </w:r>
      <w:r>
        <w:rPr>
          <w:sz w:val="18"/>
        </w:rPr>
        <w:t>is</w:t>
      </w:r>
      <w:r>
        <w:rPr>
          <w:spacing w:val="-15"/>
          <w:sz w:val="18"/>
        </w:rPr>
        <w:t> </w:t>
      </w:r>
      <w:r>
        <w:rPr>
          <w:sz w:val="18"/>
        </w:rPr>
        <w:t>one</w:t>
      </w:r>
      <w:r>
        <w:rPr>
          <w:spacing w:val="-13"/>
          <w:sz w:val="18"/>
        </w:rPr>
        <w:t> </w:t>
      </w:r>
      <w:r>
        <w:rPr>
          <w:sz w:val="18"/>
        </w:rPr>
        <w:t>of</w:t>
      </w:r>
      <w:r>
        <w:rPr>
          <w:spacing w:val="-15"/>
          <w:sz w:val="18"/>
        </w:rPr>
        <w:t> </w:t>
      </w:r>
      <w:r>
        <w:rPr>
          <w:sz w:val="18"/>
        </w:rPr>
        <w:t>the</w:t>
      </w:r>
      <w:r>
        <w:rPr>
          <w:spacing w:val="-14"/>
          <w:sz w:val="18"/>
        </w:rPr>
        <w:t> </w:t>
      </w:r>
      <w:r>
        <w:rPr>
          <w:sz w:val="18"/>
        </w:rPr>
        <w:t>largest</w:t>
      </w:r>
      <w:r>
        <w:rPr>
          <w:spacing w:val="-15"/>
          <w:sz w:val="18"/>
        </w:rPr>
        <w:t> </w:t>
      </w:r>
      <w:r>
        <w:rPr>
          <w:sz w:val="18"/>
        </w:rPr>
        <w:t>Office Park</w:t>
      </w:r>
      <w:r>
        <w:rPr>
          <w:spacing w:val="-18"/>
          <w:sz w:val="18"/>
        </w:rPr>
        <w:t> </w:t>
      </w:r>
      <w:r>
        <w:rPr>
          <w:sz w:val="18"/>
        </w:rPr>
        <w:t>in</w:t>
      </w:r>
      <w:r>
        <w:rPr>
          <w:spacing w:val="-18"/>
          <w:sz w:val="18"/>
        </w:rPr>
        <w:t> </w:t>
      </w:r>
      <w:r>
        <w:rPr>
          <w:sz w:val="18"/>
        </w:rPr>
        <w:t>the</w:t>
      </w:r>
      <w:r>
        <w:rPr>
          <w:spacing w:val="-17"/>
          <w:sz w:val="18"/>
        </w:rPr>
        <w:t> </w:t>
      </w:r>
      <w:r>
        <w:rPr>
          <w:sz w:val="18"/>
        </w:rPr>
        <w:t>sub</w:t>
      </w:r>
      <w:r>
        <w:rPr>
          <w:spacing w:val="-18"/>
          <w:sz w:val="18"/>
        </w:rPr>
        <w:t> </w:t>
      </w:r>
      <w:r>
        <w:rPr>
          <w:sz w:val="18"/>
        </w:rPr>
        <w:t>market</w:t>
      </w:r>
      <w:r>
        <w:rPr>
          <w:spacing w:val="-19"/>
          <w:sz w:val="18"/>
        </w:rPr>
        <w:t> </w:t>
      </w:r>
      <w:r>
        <w:rPr>
          <w:sz w:val="18"/>
        </w:rPr>
        <w:t>in</w:t>
      </w:r>
      <w:r>
        <w:rPr>
          <w:spacing w:val="-18"/>
          <w:sz w:val="18"/>
        </w:rPr>
        <w:t> </w:t>
      </w:r>
      <w:r>
        <w:rPr>
          <w:sz w:val="18"/>
        </w:rPr>
        <w:t>terms</w:t>
      </w:r>
      <w:r>
        <w:rPr>
          <w:spacing w:val="-17"/>
          <w:sz w:val="18"/>
        </w:rPr>
        <w:t> </w:t>
      </w:r>
      <w:r>
        <w:rPr>
          <w:sz w:val="18"/>
        </w:rPr>
        <w:t>of</w:t>
      </w:r>
      <w:r>
        <w:rPr>
          <w:spacing w:val="-19"/>
          <w:sz w:val="18"/>
        </w:rPr>
        <w:t> </w:t>
      </w:r>
      <w:r>
        <w:rPr>
          <w:sz w:val="18"/>
        </w:rPr>
        <w:t>scale</w:t>
      </w:r>
      <w:r>
        <w:rPr>
          <w:spacing w:val="-17"/>
          <w:sz w:val="18"/>
        </w:rPr>
        <w:t> </w:t>
      </w:r>
      <w:r>
        <w:rPr>
          <w:sz w:val="18"/>
        </w:rPr>
        <w:t>of</w:t>
      </w:r>
      <w:r>
        <w:rPr>
          <w:spacing w:val="-17"/>
          <w:sz w:val="18"/>
        </w:rPr>
        <w:t> </w:t>
      </w:r>
      <w:r>
        <w:rPr>
          <w:sz w:val="18"/>
        </w:rPr>
        <w:t>development.</w:t>
      </w:r>
      <w:r>
        <w:rPr>
          <w:spacing w:val="-18"/>
          <w:sz w:val="18"/>
        </w:rPr>
        <w:t> </w:t>
      </w:r>
      <w:r>
        <w:rPr>
          <w:sz w:val="18"/>
        </w:rPr>
        <w:t>Projects</w:t>
      </w:r>
      <w:r>
        <w:rPr>
          <w:spacing w:val="-18"/>
          <w:sz w:val="18"/>
        </w:rPr>
        <w:t> </w:t>
      </w:r>
      <w:r>
        <w:rPr>
          <w:sz w:val="18"/>
        </w:rPr>
        <w:t>with</w:t>
      </w:r>
      <w:r>
        <w:rPr>
          <w:spacing w:val="-17"/>
          <w:sz w:val="18"/>
        </w:rPr>
        <w:t> </w:t>
      </w:r>
      <w:r>
        <w:rPr>
          <w:sz w:val="18"/>
        </w:rPr>
        <w:t>such</w:t>
      </w:r>
      <w:r>
        <w:rPr>
          <w:spacing w:val="-18"/>
          <w:sz w:val="18"/>
        </w:rPr>
        <w:t> </w:t>
      </w:r>
      <w:r>
        <w:rPr>
          <w:sz w:val="18"/>
        </w:rPr>
        <w:t>large</w:t>
      </w:r>
      <w:r>
        <w:rPr>
          <w:spacing w:val="-12"/>
          <w:sz w:val="18"/>
        </w:rPr>
        <w:t> </w:t>
      </w:r>
      <w:r>
        <w:rPr>
          <w:sz w:val="18"/>
        </w:rPr>
        <w:t>scale</w:t>
      </w:r>
      <w:r>
        <w:rPr>
          <w:spacing w:val="-17"/>
          <w:sz w:val="18"/>
        </w:rPr>
        <w:t> </w:t>
      </w:r>
      <w:r>
        <w:rPr>
          <w:sz w:val="18"/>
        </w:rPr>
        <w:t>of</w:t>
      </w:r>
      <w:r>
        <w:rPr>
          <w:spacing w:val="-17"/>
          <w:sz w:val="18"/>
        </w:rPr>
        <w:t> </w:t>
      </w:r>
      <w:r>
        <w:rPr>
          <w:sz w:val="18"/>
        </w:rPr>
        <w:t>development</w:t>
      </w:r>
      <w:r>
        <w:rPr>
          <w:spacing w:val="-19"/>
          <w:sz w:val="18"/>
        </w:rPr>
        <w:t> </w:t>
      </w:r>
      <w:r>
        <w:rPr>
          <w:sz w:val="18"/>
        </w:rPr>
        <w:t>are typically observed to have longer development lifecycle. The interest being valued corresponds to approximately</w:t>
      </w:r>
      <w:r>
        <w:rPr>
          <w:spacing w:val="-9"/>
          <w:sz w:val="18"/>
        </w:rPr>
        <w:t> </w:t>
      </w:r>
      <w:r>
        <w:rPr>
          <w:sz w:val="18"/>
        </w:rPr>
        <w:t>2.74</w:t>
      </w:r>
      <w:r>
        <w:rPr>
          <w:spacing w:val="-8"/>
          <w:sz w:val="18"/>
        </w:rPr>
        <w:t> </w:t>
      </w:r>
      <w:r>
        <w:rPr>
          <w:sz w:val="18"/>
        </w:rPr>
        <w:t>msf</w:t>
      </w:r>
      <w:r>
        <w:rPr>
          <w:spacing w:val="-10"/>
          <w:sz w:val="18"/>
        </w:rPr>
        <w:t> </w:t>
      </w:r>
      <w:r>
        <w:rPr>
          <w:sz w:val="18"/>
        </w:rPr>
        <w:t>of</w:t>
      </w:r>
      <w:r>
        <w:rPr>
          <w:spacing w:val="-9"/>
          <w:sz w:val="18"/>
        </w:rPr>
        <w:t> </w:t>
      </w:r>
      <w:r>
        <w:rPr>
          <w:sz w:val="18"/>
        </w:rPr>
        <w:t>office</w:t>
      </w:r>
      <w:r>
        <w:rPr>
          <w:spacing w:val="-8"/>
          <w:sz w:val="18"/>
        </w:rPr>
        <w:t> </w:t>
      </w:r>
      <w:r>
        <w:rPr>
          <w:sz w:val="18"/>
        </w:rPr>
        <w:t>area</w:t>
      </w:r>
      <w:r>
        <w:rPr>
          <w:spacing w:val="-8"/>
          <w:sz w:val="18"/>
        </w:rPr>
        <w:t> </w:t>
      </w:r>
      <w:r>
        <w:rPr>
          <w:sz w:val="18"/>
        </w:rPr>
        <w:t>which</w:t>
      </w:r>
      <w:r>
        <w:rPr>
          <w:spacing w:val="-9"/>
          <w:sz w:val="18"/>
        </w:rPr>
        <w:t> </w:t>
      </w:r>
      <w:r>
        <w:rPr>
          <w:sz w:val="18"/>
        </w:rPr>
        <w:t>forms</w:t>
      </w:r>
      <w:r>
        <w:rPr>
          <w:spacing w:val="-7"/>
          <w:sz w:val="18"/>
        </w:rPr>
        <w:t> </w:t>
      </w:r>
      <w:r>
        <w:rPr>
          <w:sz w:val="18"/>
        </w:rPr>
        <w:t>part</w:t>
      </w:r>
      <w:r>
        <w:rPr>
          <w:spacing w:val="-9"/>
          <w:sz w:val="18"/>
        </w:rPr>
        <w:t> </w:t>
      </w:r>
      <w:r>
        <w:rPr>
          <w:sz w:val="18"/>
        </w:rPr>
        <w:t>of</w:t>
      </w:r>
      <w:r>
        <w:rPr>
          <w:spacing w:val="-9"/>
          <w:sz w:val="18"/>
        </w:rPr>
        <w:t> </w:t>
      </w:r>
      <w:r>
        <w:rPr>
          <w:sz w:val="18"/>
        </w:rPr>
        <w:t>the</w:t>
      </w:r>
      <w:r>
        <w:rPr>
          <w:spacing w:val="-7"/>
          <w:sz w:val="18"/>
        </w:rPr>
        <w:t> </w:t>
      </w:r>
      <w:r>
        <w:rPr>
          <w:sz w:val="18"/>
        </w:rPr>
        <w:t>economic</w:t>
      </w:r>
      <w:r>
        <w:rPr>
          <w:spacing w:val="-9"/>
          <w:sz w:val="18"/>
        </w:rPr>
        <w:t> </w:t>
      </w:r>
      <w:r>
        <w:rPr>
          <w:sz w:val="18"/>
        </w:rPr>
        <w:t>interest</w:t>
      </w:r>
      <w:r>
        <w:rPr>
          <w:spacing w:val="-9"/>
          <w:sz w:val="18"/>
        </w:rPr>
        <w:t> </w:t>
      </w:r>
      <w:r>
        <w:rPr>
          <w:sz w:val="18"/>
        </w:rPr>
        <w:t>of</w:t>
      </w:r>
      <w:r>
        <w:rPr>
          <w:spacing w:val="-9"/>
          <w:sz w:val="18"/>
        </w:rPr>
        <w:t> </w:t>
      </w:r>
      <w:r>
        <w:rPr>
          <w:sz w:val="18"/>
        </w:rPr>
        <w:t>the</w:t>
      </w:r>
      <w:r>
        <w:rPr>
          <w:spacing w:val="-8"/>
          <w:sz w:val="18"/>
        </w:rPr>
        <w:t> </w:t>
      </w:r>
      <w:r>
        <w:rPr>
          <w:sz w:val="18"/>
        </w:rPr>
        <w:t>Client.</w:t>
      </w:r>
      <w:r>
        <w:rPr>
          <w:spacing w:val="-9"/>
          <w:sz w:val="18"/>
        </w:rPr>
        <w:t> </w:t>
      </w:r>
      <w:r>
        <w:rPr>
          <w:sz w:val="18"/>
        </w:rPr>
        <w:t>The</w:t>
      </w:r>
      <w:r>
        <w:rPr>
          <w:spacing w:val="-7"/>
          <w:sz w:val="18"/>
        </w:rPr>
        <w:t> </w:t>
      </w:r>
      <w:r>
        <w:rPr>
          <w:sz w:val="18"/>
        </w:rPr>
        <w:t>larger development</w:t>
      </w:r>
      <w:r>
        <w:rPr>
          <w:spacing w:val="-7"/>
          <w:sz w:val="18"/>
        </w:rPr>
        <w:t> </w:t>
      </w:r>
      <w:r>
        <w:rPr>
          <w:sz w:val="18"/>
        </w:rPr>
        <w:t>also</w:t>
      </w:r>
      <w:r>
        <w:rPr>
          <w:spacing w:val="-5"/>
          <w:sz w:val="18"/>
        </w:rPr>
        <w:t> </w:t>
      </w:r>
      <w:r>
        <w:rPr>
          <w:sz w:val="18"/>
        </w:rPr>
        <w:t>includes</w:t>
      </w:r>
      <w:r>
        <w:rPr>
          <w:spacing w:val="-5"/>
          <w:sz w:val="18"/>
        </w:rPr>
        <w:t> </w:t>
      </w:r>
      <w:r>
        <w:rPr>
          <w:sz w:val="18"/>
        </w:rPr>
        <w:t>an</w:t>
      </w:r>
      <w:r>
        <w:rPr>
          <w:spacing w:val="-7"/>
          <w:sz w:val="18"/>
        </w:rPr>
        <w:t> </w:t>
      </w:r>
      <w:r>
        <w:rPr>
          <w:sz w:val="18"/>
        </w:rPr>
        <w:t>operational</w:t>
      </w:r>
      <w:r>
        <w:rPr>
          <w:spacing w:val="-5"/>
          <w:sz w:val="18"/>
        </w:rPr>
        <w:t> </w:t>
      </w:r>
      <w:r>
        <w:rPr>
          <w:sz w:val="18"/>
        </w:rPr>
        <w:t>hotel</w:t>
      </w:r>
      <w:r>
        <w:rPr>
          <w:spacing w:val="-6"/>
          <w:sz w:val="18"/>
        </w:rPr>
        <w:t> </w:t>
      </w:r>
      <w:r>
        <w:rPr>
          <w:sz w:val="18"/>
        </w:rPr>
        <w:t>(Hilton</w:t>
      </w:r>
      <w:r>
        <w:rPr>
          <w:spacing w:val="-6"/>
          <w:sz w:val="18"/>
        </w:rPr>
        <w:t> </w:t>
      </w:r>
      <w:r>
        <w:rPr>
          <w:sz w:val="18"/>
        </w:rPr>
        <w:t>at</w:t>
      </w:r>
      <w:r>
        <w:rPr>
          <w:spacing w:val="-1"/>
          <w:sz w:val="18"/>
        </w:rPr>
        <w:t> </w:t>
      </w:r>
      <w:r>
        <w:rPr>
          <w:sz w:val="18"/>
        </w:rPr>
        <w:t>GolfLinks).</w:t>
      </w:r>
      <w:r>
        <w:rPr>
          <w:spacing w:val="-6"/>
          <w:sz w:val="18"/>
        </w:rPr>
        <w:t> </w:t>
      </w:r>
      <w:r>
        <w:rPr>
          <w:sz w:val="18"/>
        </w:rPr>
        <w:t>The</w:t>
      </w:r>
      <w:r>
        <w:rPr>
          <w:spacing w:val="-4"/>
          <w:sz w:val="18"/>
        </w:rPr>
        <w:t> </w:t>
      </w:r>
      <w:r>
        <w:rPr>
          <w:sz w:val="18"/>
        </w:rPr>
        <w:t>immediate</w:t>
      </w:r>
      <w:r>
        <w:rPr>
          <w:spacing w:val="-5"/>
          <w:sz w:val="18"/>
        </w:rPr>
        <w:t> </w:t>
      </w:r>
      <w:r>
        <w:rPr>
          <w:sz w:val="18"/>
        </w:rPr>
        <w:t>surroundings</w:t>
      </w:r>
      <w:r>
        <w:rPr>
          <w:spacing w:val="-5"/>
          <w:sz w:val="18"/>
        </w:rPr>
        <w:t> </w:t>
      </w:r>
      <w:r>
        <w:rPr>
          <w:sz w:val="18"/>
        </w:rPr>
        <w:t>of</w:t>
      </w:r>
      <w:r>
        <w:rPr>
          <w:spacing w:val="-5"/>
          <w:sz w:val="18"/>
        </w:rPr>
        <w:t> </w:t>
      </w:r>
      <w:r>
        <w:rPr>
          <w:sz w:val="18"/>
        </w:rPr>
        <w:t>the subject property comprises of large aggregates of land owned by the Defence Services of the Country Karnataka</w:t>
      </w:r>
      <w:r>
        <w:rPr>
          <w:spacing w:val="-23"/>
          <w:sz w:val="18"/>
        </w:rPr>
        <w:t> </w:t>
      </w:r>
      <w:r>
        <w:rPr>
          <w:sz w:val="18"/>
        </w:rPr>
        <w:t>Golf</w:t>
      </w:r>
      <w:r>
        <w:rPr>
          <w:spacing w:val="-22"/>
          <w:sz w:val="18"/>
        </w:rPr>
        <w:t> </w:t>
      </w:r>
      <w:r>
        <w:rPr>
          <w:sz w:val="18"/>
        </w:rPr>
        <w:t>Association’s</w:t>
      </w:r>
      <w:r>
        <w:rPr>
          <w:spacing w:val="-22"/>
          <w:sz w:val="18"/>
        </w:rPr>
        <w:t> </w:t>
      </w:r>
      <w:r>
        <w:rPr>
          <w:sz w:val="18"/>
        </w:rPr>
        <w:t>operational</w:t>
      </w:r>
      <w:r>
        <w:rPr>
          <w:spacing w:val="-22"/>
          <w:sz w:val="18"/>
        </w:rPr>
        <w:t> </w:t>
      </w:r>
      <w:r>
        <w:rPr>
          <w:sz w:val="18"/>
        </w:rPr>
        <w:t>golf</w:t>
      </w:r>
      <w:r>
        <w:rPr>
          <w:spacing w:val="-22"/>
          <w:sz w:val="18"/>
        </w:rPr>
        <w:t> </w:t>
      </w:r>
      <w:r>
        <w:rPr>
          <w:sz w:val="18"/>
        </w:rPr>
        <w:t>course,</w:t>
      </w:r>
      <w:r>
        <w:rPr>
          <w:spacing w:val="-23"/>
          <w:sz w:val="18"/>
        </w:rPr>
        <w:t> </w:t>
      </w:r>
      <w:r>
        <w:rPr>
          <w:sz w:val="18"/>
        </w:rPr>
        <w:t>Diamond</w:t>
      </w:r>
      <w:r>
        <w:rPr>
          <w:spacing w:val="-22"/>
          <w:sz w:val="18"/>
        </w:rPr>
        <w:t> </w:t>
      </w:r>
      <w:r>
        <w:rPr>
          <w:sz w:val="18"/>
        </w:rPr>
        <w:t>District,</w:t>
      </w:r>
      <w:r>
        <w:rPr>
          <w:spacing w:val="-21"/>
          <w:sz w:val="18"/>
        </w:rPr>
        <w:t> </w:t>
      </w:r>
      <w:r>
        <w:rPr>
          <w:sz w:val="18"/>
        </w:rPr>
        <w:t>DivyaSree</w:t>
      </w:r>
      <w:r>
        <w:rPr>
          <w:spacing w:val="-21"/>
          <w:sz w:val="18"/>
        </w:rPr>
        <w:t> </w:t>
      </w:r>
      <w:r>
        <w:rPr>
          <w:sz w:val="18"/>
        </w:rPr>
        <w:t>Greens,</w:t>
      </w:r>
      <w:r>
        <w:rPr>
          <w:spacing w:val="-23"/>
          <w:sz w:val="18"/>
        </w:rPr>
        <w:t> </w:t>
      </w:r>
      <w:r>
        <w:rPr>
          <w:sz w:val="18"/>
        </w:rPr>
        <w:t>Maruthi</w:t>
      </w:r>
      <w:r>
        <w:rPr>
          <w:spacing w:val="-23"/>
          <w:sz w:val="18"/>
        </w:rPr>
        <w:t> </w:t>
      </w:r>
      <w:r>
        <w:rPr>
          <w:sz w:val="18"/>
        </w:rPr>
        <w:t>Infotech Park, etc. In addition, the subject property is located in proximity to locations such as Indiranagar, Koramangala</w:t>
      </w:r>
      <w:r>
        <w:rPr>
          <w:spacing w:val="-28"/>
          <w:sz w:val="18"/>
        </w:rPr>
        <w:t> </w:t>
      </w:r>
      <w:r>
        <w:rPr>
          <w:sz w:val="18"/>
        </w:rPr>
        <w:t>etc.,</w:t>
      </w:r>
      <w:r>
        <w:rPr>
          <w:spacing w:val="-29"/>
          <w:sz w:val="18"/>
        </w:rPr>
        <w:t> </w:t>
      </w:r>
      <w:r>
        <w:rPr>
          <w:sz w:val="18"/>
        </w:rPr>
        <w:t>which</w:t>
      </w:r>
      <w:r>
        <w:rPr>
          <w:spacing w:val="-27"/>
          <w:sz w:val="18"/>
        </w:rPr>
        <w:t> </w:t>
      </w:r>
      <w:r>
        <w:rPr>
          <w:sz w:val="18"/>
        </w:rPr>
        <w:t>are</w:t>
      </w:r>
      <w:r>
        <w:rPr>
          <w:spacing w:val="-30"/>
          <w:sz w:val="18"/>
        </w:rPr>
        <w:t> </w:t>
      </w:r>
      <w:r>
        <w:rPr>
          <w:sz w:val="18"/>
        </w:rPr>
        <w:t>considered</w:t>
      </w:r>
      <w:r>
        <w:rPr>
          <w:spacing w:val="-28"/>
          <w:sz w:val="18"/>
        </w:rPr>
        <w:t> </w:t>
      </w:r>
      <w:r>
        <w:rPr>
          <w:sz w:val="18"/>
        </w:rPr>
        <w:t>as</w:t>
      </w:r>
      <w:r>
        <w:rPr>
          <w:spacing w:val="-29"/>
          <w:sz w:val="18"/>
        </w:rPr>
        <w:t> </w:t>
      </w:r>
      <w:r>
        <w:rPr>
          <w:sz w:val="18"/>
        </w:rPr>
        <w:t>established</w:t>
      </w:r>
      <w:r>
        <w:rPr>
          <w:spacing w:val="-28"/>
          <w:sz w:val="18"/>
        </w:rPr>
        <w:t> </w:t>
      </w:r>
      <w:r>
        <w:rPr>
          <w:sz w:val="18"/>
        </w:rPr>
        <w:t>residential</w:t>
      </w:r>
      <w:r>
        <w:rPr>
          <w:spacing w:val="-28"/>
          <w:sz w:val="18"/>
        </w:rPr>
        <w:t> </w:t>
      </w:r>
      <w:r>
        <w:rPr>
          <w:sz w:val="18"/>
        </w:rPr>
        <w:t>and</w:t>
      </w:r>
      <w:r>
        <w:rPr>
          <w:spacing w:val="-29"/>
          <w:sz w:val="18"/>
        </w:rPr>
        <w:t> </w:t>
      </w:r>
      <w:r>
        <w:rPr>
          <w:sz w:val="18"/>
        </w:rPr>
        <w:t>commercial</w:t>
      </w:r>
      <w:r>
        <w:rPr>
          <w:spacing w:val="-28"/>
          <w:sz w:val="18"/>
        </w:rPr>
        <w:t> </w:t>
      </w:r>
      <w:r>
        <w:rPr>
          <w:sz w:val="18"/>
        </w:rPr>
        <w:t>locations</w:t>
      </w:r>
      <w:r>
        <w:rPr>
          <w:spacing w:val="-29"/>
          <w:sz w:val="18"/>
        </w:rPr>
        <w:t> </w:t>
      </w:r>
      <w:r>
        <w:rPr>
          <w:sz w:val="18"/>
        </w:rPr>
        <w:t>within</w:t>
      </w:r>
      <w:r>
        <w:rPr>
          <w:spacing w:val="-28"/>
          <w:sz w:val="18"/>
        </w:rPr>
        <w:t> </w:t>
      </w:r>
      <w:r>
        <w:rPr>
          <w:sz w:val="18"/>
        </w:rPr>
        <w:t>the</w:t>
      </w:r>
      <w:r>
        <w:rPr>
          <w:spacing w:val="-28"/>
          <w:sz w:val="18"/>
        </w:rPr>
        <w:t> </w:t>
      </w:r>
      <w:r>
        <w:rPr>
          <w:sz w:val="18"/>
        </w:rPr>
        <w:t>city.</w:t>
      </w:r>
    </w:p>
    <w:p>
      <w:pPr>
        <w:spacing w:line="321" w:lineRule="auto" w:before="126"/>
        <w:ind w:left="2548" w:right="480" w:firstLine="0"/>
        <w:jc w:val="both"/>
        <w:rPr>
          <w:sz w:val="18"/>
        </w:rPr>
      </w:pPr>
      <w:r>
        <w:rPr>
          <w:w w:val="105"/>
          <w:sz w:val="18"/>
        </w:rPr>
        <w:t>The</w:t>
      </w:r>
      <w:r>
        <w:rPr>
          <w:spacing w:val="-25"/>
          <w:w w:val="105"/>
          <w:sz w:val="18"/>
        </w:rPr>
        <w:t> </w:t>
      </w:r>
      <w:r>
        <w:rPr>
          <w:w w:val="105"/>
          <w:sz w:val="18"/>
        </w:rPr>
        <w:t>subject</w:t>
      </w:r>
      <w:r>
        <w:rPr>
          <w:spacing w:val="-25"/>
          <w:w w:val="105"/>
          <w:sz w:val="18"/>
        </w:rPr>
        <w:t> </w:t>
      </w:r>
      <w:r>
        <w:rPr>
          <w:w w:val="105"/>
          <w:sz w:val="18"/>
        </w:rPr>
        <w:t>property</w:t>
      </w:r>
      <w:r>
        <w:rPr>
          <w:spacing w:val="-25"/>
          <w:w w:val="105"/>
          <w:sz w:val="18"/>
        </w:rPr>
        <w:t> </w:t>
      </w:r>
      <w:r>
        <w:rPr>
          <w:w w:val="105"/>
          <w:sz w:val="18"/>
        </w:rPr>
        <w:t>is</w:t>
      </w:r>
      <w:r>
        <w:rPr>
          <w:spacing w:val="-24"/>
          <w:w w:val="105"/>
          <w:sz w:val="18"/>
        </w:rPr>
        <w:t> </w:t>
      </w:r>
      <w:r>
        <w:rPr>
          <w:w w:val="105"/>
          <w:sz w:val="18"/>
        </w:rPr>
        <w:t>located</w:t>
      </w:r>
      <w:r>
        <w:rPr>
          <w:spacing w:val="-26"/>
          <w:w w:val="105"/>
          <w:sz w:val="18"/>
        </w:rPr>
        <w:t> </w:t>
      </w:r>
      <w:r>
        <w:rPr>
          <w:w w:val="105"/>
          <w:sz w:val="18"/>
        </w:rPr>
        <w:t>at</w:t>
      </w:r>
      <w:r>
        <w:rPr>
          <w:spacing w:val="-25"/>
          <w:w w:val="105"/>
          <w:sz w:val="18"/>
        </w:rPr>
        <w:t> </w:t>
      </w:r>
      <w:r>
        <w:rPr>
          <w:w w:val="105"/>
          <w:sz w:val="18"/>
        </w:rPr>
        <w:t>a</w:t>
      </w:r>
      <w:r>
        <w:rPr>
          <w:spacing w:val="-25"/>
          <w:w w:val="105"/>
          <w:sz w:val="18"/>
        </w:rPr>
        <w:t> </w:t>
      </w:r>
      <w:r>
        <w:rPr>
          <w:w w:val="105"/>
          <w:sz w:val="18"/>
        </w:rPr>
        <w:t>distance</w:t>
      </w:r>
      <w:r>
        <w:rPr>
          <w:spacing w:val="-26"/>
          <w:w w:val="105"/>
          <w:sz w:val="18"/>
        </w:rPr>
        <w:t> </w:t>
      </w:r>
      <w:r>
        <w:rPr>
          <w:w w:val="105"/>
          <w:sz w:val="18"/>
        </w:rPr>
        <w:t>of</w:t>
      </w:r>
      <w:r>
        <w:rPr>
          <w:spacing w:val="-22"/>
          <w:w w:val="105"/>
          <w:sz w:val="18"/>
        </w:rPr>
        <w:t> </w:t>
      </w:r>
      <w:r>
        <w:rPr>
          <w:w w:val="105"/>
          <w:sz w:val="18"/>
        </w:rPr>
        <w:t>approximately</w:t>
      </w:r>
      <w:r>
        <w:rPr>
          <w:spacing w:val="-24"/>
          <w:w w:val="105"/>
          <w:sz w:val="18"/>
        </w:rPr>
        <w:t> </w:t>
      </w:r>
      <w:r>
        <w:rPr>
          <w:w w:val="105"/>
          <w:sz w:val="18"/>
        </w:rPr>
        <w:t>&lt;1</w:t>
      </w:r>
      <w:r>
        <w:rPr>
          <w:spacing w:val="-26"/>
          <w:w w:val="105"/>
          <w:sz w:val="18"/>
        </w:rPr>
        <w:t> </w:t>
      </w:r>
      <w:r>
        <w:rPr>
          <w:w w:val="105"/>
          <w:sz w:val="18"/>
        </w:rPr>
        <w:t>km</w:t>
      </w:r>
      <w:r>
        <w:rPr>
          <w:spacing w:val="-25"/>
          <w:w w:val="105"/>
          <w:sz w:val="18"/>
        </w:rPr>
        <w:t> </w:t>
      </w:r>
      <w:r>
        <w:rPr>
          <w:w w:val="105"/>
          <w:sz w:val="18"/>
        </w:rPr>
        <w:t>from</w:t>
      </w:r>
      <w:r>
        <w:rPr>
          <w:spacing w:val="-24"/>
          <w:w w:val="105"/>
          <w:sz w:val="18"/>
        </w:rPr>
        <w:t> </w:t>
      </w:r>
      <w:r>
        <w:rPr>
          <w:w w:val="105"/>
          <w:sz w:val="18"/>
        </w:rPr>
        <w:t>the</w:t>
      </w:r>
      <w:r>
        <w:rPr>
          <w:spacing w:val="-26"/>
          <w:w w:val="105"/>
          <w:sz w:val="18"/>
        </w:rPr>
        <w:t> </w:t>
      </w:r>
      <w:r>
        <w:rPr>
          <w:w w:val="105"/>
          <w:sz w:val="18"/>
        </w:rPr>
        <w:t>Domlur</w:t>
      </w:r>
      <w:r>
        <w:rPr>
          <w:spacing w:val="-25"/>
          <w:w w:val="105"/>
          <w:sz w:val="18"/>
        </w:rPr>
        <w:t> </w:t>
      </w:r>
      <w:r>
        <w:rPr>
          <w:w w:val="105"/>
          <w:sz w:val="18"/>
        </w:rPr>
        <w:t>flyover,</w:t>
      </w:r>
      <w:r>
        <w:rPr>
          <w:spacing w:val="-25"/>
          <w:w w:val="105"/>
          <w:sz w:val="18"/>
        </w:rPr>
        <w:t> </w:t>
      </w:r>
      <w:r>
        <w:rPr>
          <w:w w:val="105"/>
          <w:sz w:val="18"/>
        </w:rPr>
        <w:t>1</w:t>
      </w:r>
      <w:r>
        <w:rPr>
          <w:spacing w:val="-22"/>
          <w:w w:val="105"/>
          <w:sz w:val="18"/>
        </w:rPr>
        <w:t> </w:t>
      </w:r>
      <w:r>
        <w:rPr>
          <w:w w:val="105"/>
          <w:sz w:val="18"/>
        </w:rPr>
        <w:t>–</w:t>
      </w:r>
      <w:r>
        <w:rPr>
          <w:spacing w:val="-24"/>
          <w:w w:val="105"/>
          <w:sz w:val="18"/>
        </w:rPr>
        <w:t> </w:t>
      </w:r>
      <w:r>
        <w:rPr>
          <w:w w:val="105"/>
          <w:sz w:val="18"/>
        </w:rPr>
        <w:t>2</w:t>
      </w:r>
      <w:r>
        <w:rPr>
          <w:spacing w:val="-25"/>
          <w:w w:val="105"/>
          <w:sz w:val="18"/>
        </w:rPr>
        <w:t> </w:t>
      </w:r>
      <w:r>
        <w:rPr>
          <w:w w:val="105"/>
          <w:sz w:val="18"/>
        </w:rPr>
        <w:t>km from</w:t>
      </w:r>
      <w:r>
        <w:rPr>
          <w:spacing w:val="-23"/>
          <w:w w:val="105"/>
          <w:sz w:val="18"/>
        </w:rPr>
        <w:t> </w:t>
      </w:r>
      <w:r>
        <w:rPr>
          <w:w w:val="105"/>
          <w:sz w:val="18"/>
        </w:rPr>
        <w:t>Indiranagar,</w:t>
      </w:r>
      <w:r>
        <w:rPr>
          <w:spacing w:val="-24"/>
          <w:w w:val="105"/>
          <w:sz w:val="18"/>
        </w:rPr>
        <w:t> </w:t>
      </w:r>
      <w:r>
        <w:rPr>
          <w:w w:val="105"/>
          <w:sz w:val="18"/>
        </w:rPr>
        <w:t>2-3</w:t>
      </w:r>
      <w:r>
        <w:rPr>
          <w:spacing w:val="-23"/>
          <w:w w:val="105"/>
          <w:sz w:val="18"/>
        </w:rPr>
        <w:t> </w:t>
      </w:r>
      <w:r>
        <w:rPr>
          <w:w w:val="105"/>
          <w:sz w:val="18"/>
        </w:rPr>
        <w:t>km</w:t>
      </w:r>
      <w:r>
        <w:rPr>
          <w:spacing w:val="-23"/>
          <w:w w:val="105"/>
          <w:sz w:val="18"/>
        </w:rPr>
        <w:t> </w:t>
      </w:r>
      <w:r>
        <w:rPr>
          <w:w w:val="105"/>
          <w:sz w:val="18"/>
        </w:rPr>
        <w:t>from</w:t>
      </w:r>
      <w:r>
        <w:rPr>
          <w:spacing w:val="-24"/>
          <w:w w:val="105"/>
          <w:sz w:val="18"/>
        </w:rPr>
        <w:t> </w:t>
      </w:r>
      <w:r>
        <w:rPr>
          <w:w w:val="105"/>
          <w:sz w:val="18"/>
        </w:rPr>
        <w:t>Koramangala,</w:t>
      </w:r>
      <w:r>
        <w:rPr>
          <w:spacing w:val="-23"/>
          <w:w w:val="105"/>
          <w:sz w:val="18"/>
        </w:rPr>
        <w:t> </w:t>
      </w:r>
      <w:r>
        <w:rPr>
          <w:w w:val="105"/>
          <w:sz w:val="18"/>
        </w:rPr>
        <w:t>7-8</w:t>
      </w:r>
      <w:r>
        <w:rPr>
          <w:spacing w:val="-23"/>
          <w:w w:val="105"/>
          <w:sz w:val="18"/>
        </w:rPr>
        <w:t> </w:t>
      </w:r>
      <w:r>
        <w:rPr>
          <w:w w:val="105"/>
          <w:sz w:val="18"/>
        </w:rPr>
        <w:t>km</w:t>
      </w:r>
      <w:r>
        <w:rPr>
          <w:spacing w:val="-22"/>
          <w:w w:val="105"/>
          <w:sz w:val="18"/>
        </w:rPr>
        <w:t> </w:t>
      </w:r>
      <w:r>
        <w:rPr>
          <w:w w:val="105"/>
          <w:sz w:val="18"/>
        </w:rPr>
        <w:t>from</w:t>
      </w:r>
      <w:r>
        <w:rPr>
          <w:spacing w:val="-23"/>
          <w:w w:val="105"/>
          <w:sz w:val="18"/>
        </w:rPr>
        <w:t> </w:t>
      </w:r>
      <w:r>
        <w:rPr>
          <w:w w:val="105"/>
          <w:sz w:val="18"/>
        </w:rPr>
        <w:t>MG</w:t>
      </w:r>
      <w:r>
        <w:rPr>
          <w:spacing w:val="-23"/>
          <w:w w:val="105"/>
          <w:sz w:val="18"/>
        </w:rPr>
        <w:t> </w:t>
      </w:r>
      <w:r>
        <w:rPr>
          <w:w w:val="105"/>
          <w:sz w:val="18"/>
        </w:rPr>
        <w:t>Road</w:t>
      </w:r>
      <w:r>
        <w:rPr>
          <w:spacing w:val="-23"/>
          <w:w w:val="105"/>
          <w:sz w:val="18"/>
        </w:rPr>
        <w:t> </w:t>
      </w:r>
      <w:r>
        <w:rPr>
          <w:w w:val="105"/>
          <w:sz w:val="18"/>
        </w:rPr>
        <w:t>and</w:t>
      </w:r>
      <w:r>
        <w:rPr>
          <w:spacing w:val="-23"/>
          <w:w w:val="105"/>
          <w:sz w:val="18"/>
        </w:rPr>
        <w:t> </w:t>
      </w:r>
      <w:r>
        <w:rPr>
          <w:w w:val="105"/>
          <w:sz w:val="18"/>
        </w:rPr>
        <w:t>approximately</w:t>
      </w:r>
      <w:r>
        <w:rPr>
          <w:spacing w:val="-23"/>
          <w:w w:val="105"/>
          <w:sz w:val="18"/>
        </w:rPr>
        <w:t> </w:t>
      </w:r>
      <w:r>
        <w:rPr>
          <w:w w:val="105"/>
          <w:sz w:val="18"/>
        </w:rPr>
        <w:t>43</w:t>
      </w:r>
      <w:r>
        <w:rPr>
          <w:spacing w:val="-21"/>
          <w:w w:val="105"/>
          <w:sz w:val="18"/>
        </w:rPr>
        <w:t> </w:t>
      </w:r>
      <w:r>
        <w:rPr>
          <w:w w:val="105"/>
          <w:sz w:val="18"/>
        </w:rPr>
        <w:t>-</w:t>
      </w:r>
      <w:r>
        <w:rPr>
          <w:spacing w:val="-22"/>
          <w:w w:val="105"/>
          <w:sz w:val="18"/>
        </w:rPr>
        <w:t> </w:t>
      </w:r>
      <w:r>
        <w:rPr>
          <w:w w:val="105"/>
          <w:sz w:val="18"/>
        </w:rPr>
        <w:t>45</w:t>
      </w:r>
      <w:r>
        <w:rPr>
          <w:spacing w:val="-24"/>
          <w:w w:val="105"/>
          <w:sz w:val="18"/>
        </w:rPr>
        <w:t> </w:t>
      </w:r>
      <w:r>
        <w:rPr>
          <w:w w:val="105"/>
          <w:sz w:val="18"/>
        </w:rPr>
        <w:t>km</w:t>
      </w:r>
      <w:r>
        <w:rPr>
          <w:spacing w:val="-22"/>
          <w:w w:val="105"/>
          <w:sz w:val="18"/>
        </w:rPr>
        <w:t> </w:t>
      </w:r>
      <w:r>
        <w:rPr>
          <w:w w:val="105"/>
          <w:sz w:val="18"/>
        </w:rPr>
        <w:t>from Bengaluru International</w:t>
      </w:r>
      <w:r>
        <w:rPr>
          <w:spacing w:val="-14"/>
          <w:w w:val="105"/>
          <w:sz w:val="18"/>
        </w:rPr>
        <w:t> </w:t>
      </w:r>
      <w:r>
        <w:rPr>
          <w:w w:val="105"/>
          <w:sz w:val="18"/>
        </w:rPr>
        <w:t>Airport.</w:t>
      </w:r>
    </w:p>
    <w:p>
      <w:pPr>
        <w:pStyle w:val="BodyText"/>
        <w:spacing w:before="6"/>
        <w:rPr>
          <w:sz w:val="21"/>
        </w:rPr>
      </w:pPr>
    </w:p>
    <w:p>
      <w:pPr>
        <w:spacing w:line="321" w:lineRule="auto" w:before="0"/>
        <w:ind w:left="2548" w:right="392" w:hanging="2156"/>
        <w:jc w:val="both"/>
        <w:rPr>
          <w:sz w:val="18"/>
        </w:rPr>
      </w:pPr>
      <w:r>
        <w:rPr/>
        <w:pict>
          <v:group style="position:absolute;margin-left:149.419998pt;margin-top:61.970676pt;width:436.7pt;height:13pt;mso-position-horizontal-relative:page;mso-position-vertical-relative:paragraph;z-index:-15599616;mso-wrap-distance-left:0;mso-wrap-distance-right:0" coordorigin="2988,1239" coordsize="8734,260">
            <v:shape style="position:absolute;left:2988;top:1268;width:8731;height:216" coordorigin="2988,1268" coordsize="8731,216" path="m11719,1268l6597,1268,2988,1268,2988,1484,6597,1484,11719,1484,11719,1268xe" filled="true" fillcolor="#006a4d" stroked="false">
              <v:path arrowok="t"/>
              <v:fill type="solid"/>
            </v:shape>
            <v:rect style="position:absolute;left:2988;top:1239;width:3609;height:29" filled="true" fillcolor="#1f6b16" stroked="false">
              <v:fill type="solid"/>
            </v:rect>
            <v:shape style="position:absolute;left:2988;top:1268;width:3637;height:3" coordorigin="2988,1268" coordsize="3637,3" path="m6625,1268l6597,1268,2988,1268,2988,1271,6597,1271,6625,1271,6625,1268xe" filled="true" fillcolor="#006a4d" stroked="false">
              <v:path arrowok="t"/>
              <v:fill type="solid"/>
            </v:shape>
            <v:shape style="position:absolute;left:6596;top:1239;width:5125;height:29" coordorigin="6597,1239" coordsize="5125,29" path="m11722,1239l6625,1239,6597,1239,6597,1268,6625,1268,11722,1268,11722,1239xe" filled="true" fillcolor="#1f6b16" stroked="false">
              <v:path arrowok="t"/>
              <v:fill type="solid"/>
            </v:shape>
            <v:rect style="position:absolute;left:6625;top:1268;width:5097;height:3" filled="true" fillcolor="#006a4d" stroked="false">
              <v:fill type="solid"/>
            </v:rect>
            <v:shape style="position:absolute;left:2988;top:1484;width:8734;height:15" coordorigin="2988,1484" coordsize="8734,15" path="m11722,1484l6611,1484,6597,1484,2988,1484,2988,1499,6597,1499,6611,1499,11722,1499,11722,1484xe" filled="true" fillcolor="#69bd28" stroked="false">
              <v:path arrowok="t"/>
              <v:fill type="solid"/>
            </v:shape>
            <v:shape style="position:absolute;left:2988;top:1268;width:8734;height:216" type="#_x0000_t202" filled="false" stroked="false">
              <v:textbox inset="0,0,0,0">
                <w:txbxContent>
                  <w:p>
                    <w:pPr>
                      <w:tabs>
                        <w:tab w:pos="5202" w:val="left" w:leader="none"/>
                      </w:tabs>
                      <w:spacing w:before="3"/>
                      <w:ind w:left="1416" w:right="0" w:firstLine="0"/>
                      <w:jc w:val="left"/>
                      <w:rPr>
                        <w:b/>
                        <w:sz w:val="18"/>
                      </w:rPr>
                    </w:pPr>
                    <w:r>
                      <w:rPr>
                        <w:b/>
                        <w:color w:val="FFFFFF"/>
                        <w:w w:val="110"/>
                        <w:sz w:val="18"/>
                      </w:rPr>
                      <w:t>Block</w:t>
                      <w:tab/>
                      <w:t>Leasable Area</w:t>
                    </w:r>
                    <w:r>
                      <w:rPr>
                        <w:b/>
                        <w:color w:val="FFFFFF"/>
                        <w:spacing w:val="-7"/>
                        <w:w w:val="110"/>
                        <w:sz w:val="18"/>
                      </w:rPr>
                      <w:t> </w:t>
                    </w:r>
                    <w:r>
                      <w:rPr>
                        <w:b/>
                        <w:color w:val="FFFFFF"/>
                        <w:w w:val="110"/>
                        <w:sz w:val="18"/>
                      </w:rPr>
                      <w:t>(sf)</w:t>
                    </w:r>
                  </w:p>
                </w:txbxContent>
              </v:textbox>
              <w10:wrap type="none"/>
            </v:shape>
            <w10:wrap type="topAndBottom"/>
          </v:group>
        </w:pict>
      </w:r>
      <w:r>
        <w:rPr>
          <w:color w:val="006A4D"/>
          <w:sz w:val="18"/>
        </w:rPr>
        <w:t>Statement</w:t>
      </w:r>
      <w:r>
        <w:rPr>
          <w:color w:val="006A4D"/>
          <w:spacing w:val="-29"/>
          <w:sz w:val="18"/>
        </w:rPr>
        <w:t> </w:t>
      </w:r>
      <w:r>
        <w:rPr>
          <w:color w:val="006A4D"/>
          <w:sz w:val="18"/>
        </w:rPr>
        <w:t>of</w:t>
      </w:r>
      <w:r>
        <w:rPr>
          <w:color w:val="006A4D"/>
          <w:spacing w:val="-28"/>
          <w:sz w:val="18"/>
        </w:rPr>
        <w:t> </w:t>
      </w:r>
      <w:r>
        <w:rPr>
          <w:color w:val="006A4D"/>
          <w:sz w:val="18"/>
        </w:rPr>
        <w:t>Assets</w:t>
      </w:r>
      <w:r>
        <w:rPr>
          <w:color w:val="006A4D"/>
          <w:spacing w:val="-28"/>
          <w:sz w:val="18"/>
        </w:rPr>
        <w:t> </w:t>
      </w:r>
      <w:r>
        <w:rPr>
          <w:color w:val="006A4D"/>
          <w:sz w:val="18"/>
        </w:rPr>
        <w:t>(sf):</w:t>
      </w:r>
      <w:r>
        <w:rPr>
          <w:color w:val="006A4D"/>
          <w:spacing w:val="44"/>
          <w:sz w:val="18"/>
        </w:rPr>
        <w:t> </w:t>
      </w:r>
      <w:r>
        <w:rPr>
          <w:sz w:val="18"/>
        </w:rPr>
        <w:t>Based</w:t>
      </w:r>
      <w:r>
        <w:rPr>
          <w:spacing w:val="-25"/>
          <w:sz w:val="18"/>
        </w:rPr>
        <w:t> </w:t>
      </w:r>
      <w:r>
        <w:rPr>
          <w:sz w:val="18"/>
        </w:rPr>
        <w:t>on</w:t>
      </w:r>
      <w:r>
        <w:rPr>
          <w:spacing w:val="-25"/>
          <w:sz w:val="18"/>
        </w:rPr>
        <w:t> </w:t>
      </w:r>
      <w:r>
        <w:rPr>
          <w:sz w:val="18"/>
        </w:rPr>
        <w:t>review</w:t>
      </w:r>
      <w:r>
        <w:rPr>
          <w:spacing w:val="-26"/>
          <w:sz w:val="18"/>
        </w:rPr>
        <w:t> </w:t>
      </w:r>
      <w:r>
        <w:rPr>
          <w:sz w:val="18"/>
        </w:rPr>
        <w:t>of</w:t>
      </w:r>
      <w:r>
        <w:rPr>
          <w:spacing w:val="-26"/>
          <w:sz w:val="18"/>
        </w:rPr>
        <w:t> </w:t>
      </w:r>
      <w:r>
        <w:rPr>
          <w:sz w:val="18"/>
        </w:rPr>
        <w:t>various</w:t>
      </w:r>
      <w:r>
        <w:rPr>
          <w:spacing w:val="-26"/>
          <w:sz w:val="18"/>
        </w:rPr>
        <w:t> </w:t>
      </w:r>
      <w:r>
        <w:rPr>
          <w:sz w:val="18"/>
        </w:rPr>
        <w:t>documents</w:t>
      </w:r>
      <w:r>
        <w:rPr>
          <w:spacing w:val="-25"/>
          <w:sz w:val="18"/>
        </w:rPr>
        <w:t> </w:t>
      </w:r>
      <w:r>
        <w:rPr>
          <w:sz w:val="18"/>
        </w:rPr>
        <w:t>(such</w:t>
      </w:r>
      <w:r>
        <w:rPr>
          <w:spacing w:val="-26"/>
          <w:sz w:val="18"/>
        </w:rPr>
        <w:t> </w:t>
      </w:r>
      <w:r>
        <w:rPr>
          <w:sz w:val="18"/>
        </w:rPr>
        <w:t>as</w:t>
      </w:r>
      <w:r>
        <w:rPr>
          <w:spacing w:val="-25"/>
          <w:sz w:val="18"/>
        </w:rPr>
        <w:t> </w:t>
      </w:r>
      <w:r>
        <w:rPr>
          <w:sz w:val="18"/>
        </w:rPr>
        <w:t>rent</w:t>
      </w:r>
      <w:r>
        <w:rPr>
          <w:spacing w:val="-25"/>
          <w:sz w:val="18"/>
        </w:rPr>
        <w:t> </w:t>
      </w:r>
      <w:r>
        <w:rPr>
          <w:sz w:val="18"/>
        </w:rPr>
        <w:t>roll,</w:t>
      </w:r>
      <w:r>
        <w:rPr>
          <w:spacing w:val="-25"/>
          <w:sz w:val="18"/>
        </w:rPr>
        <w:t> </w:t>
      </w:r>
      <w:r>
        <w:rPr>
          <w:sz w:val="18"/>
        </w:rPr>
        <w:t>Architect’s</w:t>
      </w:r>
      <w:r>
        <w:rPr>
          <w:spacing w:val="-25"/>
          <w:sz w:val="18"/>
        </w:rPr>
        <w:t> </w:t>
      </w:r>
      <w:r>
        <w:rPr>
          <w:sz w:val="18"/>
        </w:rPr>
        <w:t>Certificate,</w:t>
      </w:r>
      <w:r>
        <w:rPr>
          <w:spacing w:val="-25"/>
          <w:sz w:val="18"/>
        </w:rPr>
        <w:t> </w:t>
      </w:r>
      <w:r>
        <w:rPr>
          <w:sz w:val="18"/>
        </w:rPr>
        <w:t>etc.),</w:t>
      </w:r>
      <w:r>
        <w:rPr>
          <w:spacing w:val="-26"/>
          <w:sz w:val="18"/>
        </w:rPr>
        <w:t> </w:t>
      </w:r>
      <w:r>
        <w:rPr>
          <w:sz w:val="18"/>
        </w:rPr>
        <w:t>the</w:t>
      </w:r>
      <w:r>
        <w:rPr>
          <w:spacing w:val="-26"/>
          <w:sz w:val="18"/>
        </w:rPr>
        <w:t> </w:t>
      </w:r>
      <w:r>
        <w:rPr>
          <w:sz w:val="18"/>
        </w:rPr>
        <w:t>subject</w:t>
      </w:r>
      <w:r>
        <w:rPr>
          <w:spacing w:val="-25"/>
          <w:sz w:val="18"/>
        </w:rPr>
        <w:t> </w:t>
      </w:r>
      <w:r>
        <w:rPr>
          <w:sz w:val="18"/>
        </w:rPr>
        <w:t>property</w:t>
      </w:r>
      <w:r>
        <w:rPr>
          <w:spacing w:val="-25"/>
          <w:sz w:val="18"/>
        </w:rPr>
        <w:t> </w:t>
      </w:r>
      <w:r>
        <w:rPr>
          <w:sz w:val="18"/>
        </w:rPr>
        <w:t>is an</w:t>
      </w:r>
      <w:r>
        <w:rPr>
          <w:spacing w:val="-22"/>
          <w:sz w:val="18"/>
        </w:rPr>
        <w:t> </w:t>
      </w:r>
      <w:r>
        <w:rPr>
          <w:sz w:val="18"/>
        </w:rPr>
        <w:t>operational</w:t>
      </w:r>
      <w:r>
        <w:rPr>
          <w:spacing w:val="-20"/>
          <w:sz w:val="18"/>
        </w:rPr>
        <w:t> </w:t>
      </w:r>
      <w:r>
        <w:rPr>
          <w:sz w:val="18"/>
        </w:rPr>
        <w:t>Office</w:t>
      </w:r>
      <w:r>
        <w:rPr>
          <w:spacing w:val="-20"/>
          <w:sz w:val="18"/>
        </w:rPr>
        <w:t> </w:t>
      </w:r>
      <w:r>
        <w:rPr>
          <w:sz w:val="18"/>
        </w:rPr>
        <w:t>Park</w:t>
      </w:r>
      <w:r>
        <w:rPr>
          <w:spacing w:val="-22"/>
          <w:sz w:val="18"/>
        </w:rPr>
        <w:t> </w:t>
      </w:r>
      <w:r>
        <w:rPr>
          <w:sz w:val="18"/>
        </w:rPr>
        <w:t>with</w:t>
      </w:r>
      <w:r>
        <w:rPr>
          <w:spacing w:val="-21"/>
          <w:sz w:val="18"/>
        </w:rPr>
        <w:t> </w:t>
      </w:r>
      <w:r>
        <w:rPr>
          <w:sz w:val="18"/>
        </w:rPr>
        <w:t>approximately</w:t>
      </w:r>
      <w:r>
        <w:rPr>
          <w:spacing w:val="-22"/>
          <w:sz w:val="18"/>
        </w:rPr>
        <w:t> </w:t>
      </w:r>
      <w:r>
        <w:rPr>
          <w:sz w:val="18"/>
        </w:rPr>
        <w:t>2.74</w:t>
      </w:r>
      <w:r>
        <w:rPr>
          <w:spacing w:val="-21"/>
          <w:sz w:val="18"/>
        </w:rPr>
        <w:t> </w:t>
      </w:r>
      <w:r>
        <w:rPr>
          <w:sz w:val="18"/>
        </w:rPr>
        <w:t>msf</w:t>
      </w:r>
      <w:r>
        <w:rPr>
          <w:spacing w:val="-20"/>
          <w:sz w:val="18"/>
        </w:rPr>
        <w:t> </w:t>
      </w:r>
      <w:r>
        <w:rPr>
          <w:sz w:val="18"/>
        </w:rPr>
        <w:t>of</w:t>
      </w:r>
      <w:r>
        <w:rPr>
          <w:spacing w:val="-22"/>
          <w:sz w:val="18"/>
        </w:rPr>
        <w:t> </w:t>
      </w:r>
      <w:r>
        <w:rPr>
          <w:sz w:val="18"/>
        </w:rPr>
        <w:t>completed</w:t>
      </w:r>
      <w:r>
        <w:rPr>
          <w:spacing w:val="-21"/>
          <w:sz w:val="18"/>
        </w:rPr>
        <w:t> </w:t>
      </w:r>
      <w:r>
        <w:rPr>
          <w:sz w:val="18"/>
        </w:rPr>
        <w:t>leasable</w:t>
      </w:r>
      <w:r>
        <w:rPr>
          <w:spacing w:val="-20"/>
          <w:sz w:val="18"/>
        </w:rPr>
        <w:t> </w:t>
      </w:r>
      <w:r>
        <w:rPr>
          <w:sz w:val="18"/>
        </w:rPr>
        <w:t>area</w:t>
      </w:r>
      <w:r>
        <w:rPr>
          <w:spacing w:val="-22"/>
          <w:sz w:val="18"/>
        </w:rPr>
        <w:t> </w:t>
      </w:r>
      <w:r>
        <w:rPr>
          <w:sz w:val="18"/>
        </w:rPr>
        <w:t>and</w:t>
      </w:r>
      <w:r>
        <w:rPr>
          <w:spacing w:val="-21"/>
          <w:sz w:val="18"/>
        </w:rPr>
        <w:t> </w:t>
      </w:r>
      <w:r>
        <w:rPr>
          <w:sz w:val="18"/>
        </w:rPr>
        <w:t>is</w:t>
      </w:r>
      <w:r>
        <w:rPr>
          <w:spacing w:val="-18"/>
          <w:sz w:val="18"/>
        </w:rPr>
        <w:t> </w:t>
      </w:r>
      <w:r>
        <w:rPr>
          <w:sz w:val="18"/>
        </w:rPr>
        <w:t>98.3%</w:t>
      </w:r>
      <w:r>
        <w:rPr>
          <w:spacing w:val="-20"/>
          <w:sz w:val="18"/>
        </w:rPr>
        <w:t> </w:t>
      </w:r>
      <w:r>
        <w:rPr>
          <w:sz w:val="18"/>
        </w:rPr>
        <w:t>committed as</w:t>
      </w:r>
      <w:r>
        <w:rPr>
          <w:spacing w:val="-16"/>
          <w:sz w:val="18"/>
        </w:rPr>
        <w:t> </w:t>
      </w:r>
      <w:r>
        <w:rPr>
          <w:sz w:val="18"/>
        </w:rPr>
        <w:t>on</w:t>
      </w:r>
      <w:r>
        <w:rPr>
          <w:spacing w:val="-15"/>
          <w:sz w:val="18"/>
        </w:rPr>
        <w:t> </w:t>
      </w:r>
      <w:r>
        <w:rPr>
          <w:sz w:val="18"/>
        </w:rPr>
        <w:t>the</w:t>
      </w:r>
      <w:r>
        <w:rPr>
          <w:spacing w:val="-15"/>
          <w:sz w:val="18"/>
        </w:rPr>
        <w:t> </w:t>
      </w:r>
      <w:r>
        <w:rPr>
          <w:sz w:val="18"/>
        </w:rPr>
        <w:t>date</w:t>
      </w:r>
      <w:r>
        <w:rPr>
          <w:spacing w:val="-15"/>
          <w:sz w:val="18"/>
        </w:rPr>
        <w:t> </w:t>
      </w:r>
      <w:r>
        <w:rPr>
          <w:sz w:val="18"/>
        </w:rPr>
        <w:t>of</w:t>
      </w:r>
      <w:r>
        <w:rPr>
          <w:spacing w:val="-15"/>
          <w:sz w:val="18"/>
        </w:rPr>
        <w:t> </w:t>
      </w:r>
      <w:r>
        <w:rPr>
          <w:sz w:val="18"/>
        </w:rPr>
        <w:t>valuation.</w:t>
      </w:r>
      <w:r>
        <w:rPr>
          <w:spacing w:val="-16"/>
          <w:sz w:val="18"/>
        </w:rPr>
        <w:t> </w:t>
      </w:r>
      <w:r>
        <w:rPr>
          <w:sz w:val="18"/>
        </w:rPr>
        <w:t>Table</w:t>
      </w:r>
      <w:r>
        <w:rPr>
          <w:spacing w:val="-15"/>
          <w:sz w:val="18"/>
        </w:rPr>
        <w:t> </w:t>
      </w:r>
      <w:r>
        <w:rPr>
          <w:sz w:val="18"/>
        </w:rPr>
        <w:t>below</w:t>
      </w:r>
      <w:r>
        <w:rPr>
          <w:spacing w:val="-15"/>
          <w:sz w:val="18"/>
        </w:rPr>
        <w:t> </w:t>
      </w:r>
      <w:r>
        <w:rPr>
          <w:sz w:val="18"/>
        </w:rPr>
        <w:t>highlights</w:t>
      </w:r>
      <w:r>
        <w:rPr>
          <w:spacing w:val="-10"/>
          <w:sz w:val="18"/>
        </w:rPr>
        <w:t> </w:t>
      </w:r>
      <w:r>
        <w:rPr>
          <w:sz w:val="18"/>
        </w:rPr>
        <w:t>the</w:t>
      </w:r>
      <w:r>
        <w:rPr>
          <w:spacing w:val="-15"/>
          <w:sz w:val="18"/>
        </w:rPr>
        <w:t> </w:t>
      </w:r>
      <w:r>
        <w:rPr>
          <w:sz w:val="18"/>
        </w:rPr>
        <w:t>leasable</w:t>
      </w:r>
      <w:r>
        <w:rPr>
          <w:spacing w:val="-15"/>
          <w:sz w:val="18"/>
        </w:rPr>
        <w:t> </w:t>
      </w:r>
      <w:r>
        <w:rPr>
          <w:sz w:val="18"/>
        </w:rPr>
        <w:t>area</w:t>
      </w:r>
      <w:r>
        <w:rPr>
          <w:spacing w:val="-15"/>
          <w:sz w:val="18"/>
        </w:rPr>
        <w:t> </w:t>
      </w:r>
      <w:r>
        <w:rPr>
          <w:sz w:val="18"/>
        </w:rPr>
        <w:t>for</w:t>
      </w:r>
      <w:r>
        <w:rPr>
          <w:spacing w:val="-16"/>
          <w:sz w:val="18"/>
        </w:rPr>
        <w:t> </w:t>
      </w:r>
      <w:r>
        <w:rPr>
          <w:sz w:val="18"/>
        </w:rPr>
        <w:t>subject</w:t>
      </w:r>
      <w:r>
        <w:rPr>
          <w:spacing w:val="-13"/>
          <w:sz w:val="18"/>
        </w:rPr>
        <w:t> </w:t>
      </w:r>
      <w:r>
        <w:rPr>
          <w:sz w:val="18"/>
        </w:rPr>
        <w:t>property</w:t>
      </w:r>
      <w:r>
        <w:rPr>
          <w:spacing w:val="-16"/>
          <w:sz w:val="18"/>
        </w:rPr>
        <w:t> </w:t>
      </w:r>
      <w:r>
        <w:rPr>
          <w:sz w:val="18"/>
        </w:rPr>
        <w:t>that</w:t>
      </w:r>
      <w:r>
        <w:rPr>
          <w:spacing w:val="-16"/>
          <w:sz w:val="18"/>
        </w:rPr>
        <w:t> </w:t>
      </w:r>
      <w:r>
        <w:rPr>
          <w:sz w:val="18"/>
        </w:rPr>
        <w:t>form</w:t>
      </w:r>
      <w:r>
        <w:rPr>
          <w:spacing w:val="-15"/>
          <w:sz w:val="18"/>
        </w:rPr>
        <w:t> </w:t>
      </w:r>
      <w:r>
        <w:rPr>
          <w:sz w:val="18"/>
        </w:rPr>
        <w:t>part</w:t>
      </w:r>
      <w:r>
        <w:rPr>
          <w:spacing w:val="-16"/>
          <w:sz w:val="18"/>
        </w:rPr>
        <w:t> </w:t>
      </w:r>
      <w:r>
        <w:rPr>
          <w:sz w:val="18"/>
        </w:rPr>
        <w:t>of the subject</w:t>
      </w:r>
      <w:r>
        <w:rPr>
          <w:spacing w:val="-7"/>
          <w:sz w:val="18"/>
        </w:rPr>
        <w:t> </w:t>
      </w:r>
      <w:r>
        <w:rPr>
          <w:sz w:val="18"/>
        </w:rPr>
        <w:t>development:</w:t>
      </w:r>
    </w:p>
    <w:p>
      <w:pPr>
        <w:tabs>
          <w:tab w:pos="8149" w:val="left" w:leader="none"/>
        </w:tabs>
        <w:spacing w:line="208" w:lineRule="exact" w:before="0" w:after="25"/>
        <w:ind w:left="3518" w:right="0" w:firstLine="0"/>
        <w:jc w:val="left"/>
        <w:rPr>
          <w:sz w:val="18"/>
        </w:rPr>
      </w:pPr>
      <w:r>
        <w:rPr>
          <w:sz w:val="18"/>
        </w:rPr>
        <w:t>Operational</w:t>
      </w:r>
      <w:r>
        <w:rPr>
          <w:spacing w:val="-1"/>
          <w:sz w:val="18"/>
        </w:rPr>
        <w:t> </w:t>
      </w:r>
      <w:r>
        <w:rPr>
          <w:sz w:val="18"/>
        </w:rPr>
        <w:t>Area</w:t>
        <w:tab/>
        <w:t>2,737,442</w:t>
      </w:r>
    </w:p>
    <w:p>
      <w:pPr>
        <w:pStyle w:val="BodyText"/>
        <w:spacing w:line="20" w:lineRule="exact"/>
        <w:ind w:left="2534"/>
        <w:rPr>
          <w:sz w:val="2"/>
        </w:rPr>
      </w:pPr>
      <w:r>
        <w:rPr>
          <w:sz w:val="2"/>
        </w:rPr>
        <w:pict>
          <v:group style="width:437.4pt;height:.75pt;mso-position-horizontal-relative:char;mso-position-vertical-relative:line" coordorigin="0,0" coordsize="8748,15">
            <v:shape style="position:absolute;left:0;top:0;width:8748;height:15" coordorigin="0,0" coordsize="8748,15" path="m8748,0l3623,0,3608,0,0,0,0,14,3608,14,3623,14,8748,14,8748,0xe" filled="true" fillcolor="#69bd28" stroked="false">
              <v:path arrowok="t"/>
              <v:fill type="solid"/>
            </v:shape>
          </v:group>
        </w:pict>
      </w:r>
      <w:r>
        <w:rPr>
          <w:sz w:val="2"/>
        </w:rPr>
      </w:r>
    </w:p>
    <w:p>
      <w:pPr>
        <w:spacing w:before="118"/>
        <w:ind w:left="0" w:right="0" w:firstLine="0"/>
        <w:jc w:val="center"/>
        <w:rPr>
          <w:sz w:val="18"/>
        </w:rPr>
      </w:pPr>
      <w:r>
        <w:rPr>
          <w:sz w:val="18"/>
        </w:rPr>
        <w:t>Source: Source: Rent roll, lease deeds, architect certificate provided by the Client</w:t>
      </w:r>
    </w:p>
    <w:p>
      <w:pPr>
        <w:pStyle w:val="BodyText"/>
        <w:spacing w:before="8"/>
        <w:rPr>
          <w:sz w:val="27"/>
        </w:rPr>
      </w:pPr>
    </w:p>
    <w:p>
      <w:pPr>
        <w:spacing w:before="0"/>
        <w:ind w:left="392" w:right="0" w:firstLine="0"/>
        <w:jc w:val="left"/>
        <w:rPr>
          <w:sz w:val="18"/>
        </w:rPr>
      </w:pPr>
      <w:r>
        <w:rPr/>
        <w:pict>
          <v:shape style="position:absolute;margin-left:149.419998pt;margin-top:-6.189295pt;width:412.55pt;height:64.8500pt;mso-position-horizontal-relative:page;mso-position-vertical-relative:paragraph;z-index:158586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37"/>
                    <w:gridCol w:w="4314"/>
                  </w:tblGrid>
                  <w:tr>
                    <w:trPr>
                      <w:trHeight w:val="455" w:hRule="atLeast"/>
                    </w:trPr>
                    <w:tc>
                      <w:tcPr>
                        <w:tcW w:w="8251" w:type="dxa"/>
                        <w:gridSpan w:val="2"/>
                        <w:tcBorders>
                          <w:top w:val="single" w:sz="6" w:space="0" w:color="69BD28"/>
                          <w:bottom w:val="single" w:sz="6" w:space="0" w:color="69BD28"/>
                        </w:tcBorders>
                        <w:shd w:val="clear" w:color="auto" w:fill="006A4D"/>
                      </w:tcPr>
                      <w:p>
                        <w:pPr>
                          <w:pStyle w:val="TableParagraph"/>
                          <w:tabs>
                            <w:tab w:pos="4234" w:val="left" w:leader="none"/>
                          </w:tabs>
                          <w:spacing w:before="123"/>
                          <w:ind w:right="292"/>
                          <w:rPr>
                            <w:b/>
                            <w:sz w:val="18"/>
                          </w:rPr>
                        </w:pPr>
                        <w:r>
                          <w:rPr>
                            <w:b/>
                            <w:color w:val="FFFFFF"/>
                            <w:w w:val="110"/>
                            <w:sz w:val="18"/>
                          </w:rPr>
                          <w:t>Valuation Approach</w:t>
                          <w:tab/>
                          <w:t>Completed</w:t>
                        </w:r>
                        <w:r>
                          <w:rPr>
                            <w:b/>
                            <w:color w:val="FFFFFF"/>
                            <w:spacing w:val="-5"/>
                            <w:w w:val="110"/>
                            <w:sz w:val="18"/>
                          </w:rPr>
                          <w:t> </w:t>
                        </w:r>
                        <w:r>
                          <w:rPr>
                            <w:b/>
                            <w:color w:val="FFFFFF"/>
                            <w:w w:val="110"/>
                            <w:sz w:val="18"/>
                          </w:rPr>
                          <w:t>Blocks</w:t>
                        </w:r>
                      </w:p>
                    </w:tc>
                  </w:tr>
                  <w:tr>
                    <w:trPr>
                      <w:trHeight w:val="796" w:hRule="atLeast"/>
                    </w:trPr>
                    <w:tc>
                      <w:tcPr>
                        <w:tcW w:w="3937" w:type="dxa"/>
                        <w:shd w:val="clear" w:color="auto" w:fill="69BD28"/>
                      </w:tcPr>
                      <w:p>
                        <w:pPr>
                          <w:pStyle w:val="TableParagraph"/>
                          <w:spacing w:before="4"/>
                          <w:jc w:val="left"/>
                          <w:rPr>
                            <w:sz w:val="25"/>
                          </w:rPr>
                        </w:pPr>
                      </w:p>
                      <w:p>
                        <w:pPr>
                          <w:pStyle w:val="TableParagraph"/>
                          <w:ind w:left="768"/>
                          <w:jc w:val="left"/>
                          <w:rPr>
                            <w:b/>
                            <w:sz w:val="18"/>
                          </w:rPr>
                        </w:pPr>
                        <w:r>
                          <w:rPr>
                            <w:b/>
                            <w:color w:val="FFFFFF"/>
                            <w:w w:val="105"/>
                            <w:sz w:val="18"/>
                          </w:rPr>
                          <w:t>Office &amp; Retail Component</w:t>
                        </w:r>
                      </w:p>
                    </w:tc>
                    <w:tc>
                      <w:tcPr>
                        <w:tcW w:w="4314" w:type="dxa"/>
                        <w:tcBorders>
                          <w:top w:val="single" w:sz="6" w:space="0" w:color="69BD28"/>
                          <w:bottom w:val="single" w:sz="6" w:space="0" w:color="69BD28"/>
                        </w:tcBorders>
                      </w:tcPr>
                      <w:p>
                        <w:pPr>
                          <w:pStyle w:val="TableParagraph"/>
                          <w:spacing w:line="249" w:lineRule="auto" w:before="186"/>
                          <w:ind w:left="1752" w:right="46" w:hanging="1619"/>
                          <w:jc w:val="left"/>
                          <w:rPr>
                            <w:sz w:val="18"/>
                          </w:rPr>
                        </w:pPr>
                        <w:r>
                          <w:rPr>
                            <w:sz w:val="18"/>
                          </w:rPr>
                          <w:t>Discounted Cash Flow Method (using rent reversion approach)</w:t>
                        </w:r>
                      </w:p>
                    </w:tc>
                  </w:tr>
                </w:tbl>
                <w:p>
                  <w:pPr>
                    <w:pStyle w:val="BodyText"/>
                  </w:pPr>
                </w:p>
              </w:txbxContent>
            </v:textbox>
            <w10:wrap type="none"/>
          </v:shape>
        </w:pict>
      </w:r>
      <w:r>
        <w:rPr>
          <w:color w:val="006A4D"/>
          <w:sz w:val="18"/>
        </w:rPr>
        <w:t>Valuation Approaches:</w:t>
      </w:r>
    </w:p>
    <w:p>
      <w:pPr>
        <w:pStyle w:val="BodyText"/>
        <w:rPr>
          <w:sz w:val="20"/>
        </w:rPr>
      </w:pPr>
    </w:p>
    <w:p>
      <w:pPr>
        <w:pStyle w:val="BodyText"/>
        <w:rPr>
          <w:sz w:val="20"/>
        </w:rPr>
      </w:pPr>
    </w:p>
    <w:p>
      <w:pPr>
        <w:pStyle w:val="BodyText"/>
        <w:rPr>
          <w:sz w:val="20"/>
        </w:rPr>
      </w:pPr>
    </w:p>
    <w:p>
      <w:pPr>
        <w:pStyle w:val="BodyText"/>
        <w:spacing w:before="6"/>
        <w:rPr>
          <w:sz w:val="25"/>
        </w:rPr>
      </w:pPr>
    </w:p>
    <w:p>
      <w:pPr>
        <w:tabs>
          <w:tab w:pos="2548" w:val="left" w:leader="none"/>
        </w:tabs>
        <w:spacing w:before="104"/>
        <w:ind w:left="392" w:right="0" w:firstLine="0"/>
        <w:jc w:val="left"/>
        <w:rPr>
          <w:sz w:val="18"/>
        </w:rPr>
      </w:pPr>
      <w:r>
        <w:rPr>
          <w:color w:val="006A4D"/>
          <w:sz w:val="18"/>
        </w:rPr>
        <w:t>Date</w:t>
      </w:r>
      <w:r>
        <w:rPr>
          <w:color w:val="006A4D"/>
          <w:spacing w:val="-14"/>
          <w:sz w:val="18"/>
        </w:rPr>
        <w:t> </w:t>
      </w:r>
      <w:r>
        <w:rPr>
          <w:color w:val="006A4D"/>
          <w:sz w:val="18"/>
        </w:rPr>
        <w:t>of</w:t>
      </w:r>
      <w:r>
        <w:rPr>
          <w:color w:val="006A4D"/>
          <w:spacing w:val="-13"/>
          <w:sz w:val="18"/>
        </w:rPr>
        <w:t> </w:t>
      </w:r>
      <w:r>
        <w:rPr>
          <w:color w:val="006A4D"/>
          <w:sz w:val="18"/>
        </w:rPr>
        <w:t>Valuation:</w:t>
        <w:tab/>
      </w:r>
      <w:r>
        <w:rPr>
          <w:sz w:val="18"/>
        </w:rPr>
        <w:t>March 31,</w:t>
      </w:r>
      <w:r>
        <w:rPr>
          <w:spacing w:val="-1"/>
          <w:sz w:val="18"/>
        </w:rPr>
        <w:t> </w:t>
      </w:r>
      <w:r>
        <w:rPr>
          <w:sz w:val="18"/>
        </w:rPr>
        <w:t>2020</w:t>
      </w:r>
    </w:p>
    <w:p>
      <w:pPr>
        <w:pStyle w:val="BodyText"/>
        <w:spacing w:before="8"/>
        <w:rPr>
          <w:sz w:val="27"/>
        </w:rPr>
      </w:pPr>
    </w:p>
    <w:p>
      <w:pPr>
        <w:tabs>
          <w:tab w:pos="2548" w:val="left" w:leader="none"/>
        </w:tabs>
        <w:spacing w:line="321" w:lineRule="auto" w:before="0"/>
        <w:ind w:left="2548" w:right="474" w:hanging="2156"/>
        <w:jc w:val="both"/>
        <w:rPr>
          <w:sz w:val="18"/>
        </w:rPr>
      </w:pPr>
      <w:r>
        <w:rPr>
          <w:color w:val="006A4D"/>
          <w:sz w:val="18"/>
        </w:rPr>
        <w:t>Date</w:t>
      </w:r>
      <w:r>
        <w:rPr>
          <w:color w:val="006A4D"/>
          <w:spacing w:val="-18"/>
          <w:sz w:val="18"/>
        </w:rPr>
        <w:t> </w:t>
      </w:r>
      <w:r>
        <w:rPr>
          <w:color w:val="006A4D"/>
          <w:sz w:val="18"/>
        </w:rPr>
        <w:t>of</w:t>
      </w:r>
      <w:r>
        <w:rPr>
          <w:color w:val="006A4D"/>
          <w:spacing w:val="-18"/>
          <w:sz w:val="18"/>
        </w:rPr>
        <w:t> </w:t>
      </w:r>
      <w:r>
        <w:rPr>
          <w:color w:val="006A4D"/>
          <w:sz w:val="18"/>
        </w:rPr>
        <w:t>Inspection:</w:t>
        <w:tab/>
      </w:r>
      <w:r>
        <w:rPr>
          <w:sz w:val="18"/>
        </w:rPr>
        <w:t>Not Applicable. Due to the outbreak of Novel Coronavirus (COVID-19), declared by the World health Organisation as a “Global Pandemic” on 11</w:t>
      </w:r>
      <w:r>
        <w:rPr>
          <w:position w:val="6"/>
          <w:sz w:val="11"/>
        </w:rPr>
        <w:t>th </w:t>
      </w:r>
      <w:r>
        <w:rPr>
          <w:sz w:val="18"/>
        </w:rPr>
        <w:t>March 2020, it has not been possible to carry out a formal inspection</w:t>
      </w:r>
      <w:r>
        <w:rPr>
          <w:spacing w:val="-19"/>
          <w:sz w:val="18"/>
        </w:rPr>
        <w:t> </w:t>
      </w:r>
      <w:r>
        <w:rPr>
          <w:sz w:val="18"/>
        </w:rPr>
        <w:t>of</w:t>
      </w:r>
      <w:r>
        <w:rPr>
          <w:spacing w:val="-19"/>
          <w:sz w:val="18"/>
        </w:rPr>
        <w:t> </w:t>
      </w:r>
      <w:r>
        <w:rPr>
          <w:sz w:val="18"/>
        </w:rPr>
        <w:t>the</w:t>
      </w:r>
      <w:r>
        <w:rPr>
          <w:spacing w:val="-18"/>
          <w:sz w:val="18"/>
        </w:rPr>
        <w:t> </w:t>
      </w:r>
      <w:r>
        <w:rPr>
          <w:sz w:val="18"/>
        </w:rPr>
        <w:t>property</w:t>
      </w:r>
      <w:r>
        <w:rPr>
          <w:spacing w:val="-17"/>
          <w:sz w:val="18"/>
        </w:rPr>
        <w:t> </w:t>
      </w:r>
      <w:r>
        <w:rPr>
          <w:sz w:val="18"/>
        </w:rPr>
        <w:t>for</w:t>
      </w:r>
      <w:r>
        <w:rPr>
          <w:spacing w:val="-19"/>
          <w:sz w:val="18"/>
        </w:rPr>
        <w:t> </w:t>
      </w:r>
      <w:r>
        <w:rPr>
          <w:sz w:val="18"/>
        </w:rPr>
        <w:t>the</w:t>
      </w:r>
      <w:r>
        <w:rPr>
          <w:spacing w:val="-19"/>
          <w:sz w:val="18"/>
        </w:rPr>
        <w:t> </w:t>
      </w:r>
      <w:r>
        <w:rPr>
          <w:sz w:val="18"/>
        </w:rPr>
        <w:t>current</w:t>
      </w:r>
      <w:r>
        <w:rPr>
          <w:spacing w:val="-19"/>
          <w:sz w:val="18"/>
        </w:rPr>
        <w:t> </w:t>
      </w:r>
      <w:r>
        <w:rPr>
          <w:sz w:val="18"/>
        </w:rPr>
        <w:t>update.</w:t>
      </w:r>
      <w:r>
        <w:rPr>
          <w:spacing w:val="-17"/>
          <w:sz w:val="18"/>
        </w:rPr>
        <w:t> </w:t>
      </w:r>
      <w:r>
        <w:rPr>
          <w:sz w:val="18"/>
        </w:rPr>
        <w:t>The</w:t>
      </w:r>
      <w:r>
        <w:rPr>
          <w:spacing w:val="-18"/>
          <w:sz w:val="18"/>
        </w:rPr>
        <w:t> </w:t>
      </w:r>
      <w:r>
        <w:rPr>
          <w:sz w:val="18"/>
        </w:rPr>
        <w:t>site</w:t>
      </w:r>
      <w:r>
        <w:rPr>
          <w:spacing w:val="-19"/>
          <w:sz w:val="18"/>
        </w:rPr>
        <w:t> </w:t>
      </w:r>
      <w:r>
        <w:rPr>
          <w:sz w:val="18"/>
        </w:rPr>
        <w:t>observation,</w:t>
      </w:r>
      <w:r>
        <w:rPr>
          <w:spacing w:val="-19"/>
          <w:sz w:val="18"/>
        </w:rPr>
        <w:t> </w:t>
      </w:r>
      <w:r>
        <w:rPr>
          <w:sz w:val="18"/>
        </w:rPr>
        <w:t>details</w:t>
      </w:r>
      <w:r>
        <w:rPr>
          <w:spacing w:val="-18"/>
          <w:sz w:val="18"/>
        </w:rPr>
        <w:t> </w:t>
      </w:r>
      <w:r>
        <w:rPr>
          <w:sz w:val="18"/>
        </w:rPr>
        <w:t>and</w:t>
      </w:r>
      <w:r>
        <w:rPr>
          <w:spacing w:val="-19"/>
          <w:sz w:val="18"/>
        </w:rPr>
        <w:t> </w:t>
      </w:r>
      <w:r>
        <w:rPr>
          <w:sz w:val="18"/>
        </w:rPr>
        <w:t>pictures</w:t>
      </w:r>
      <w:r>
        <w:rPr>
          <w:spacing w:val="-19"/>
          <w:sz w:val="18"/>
        </w:rPr>
        <w:t> </w:t>
      </w:r>
      <w:r>
        <w:rPr>
          <w:sz w:val="18"/>
        </w:rPr>
        <w:t>are</w:t>
      </w:r>
      <w:r>
        <w:rPr>
          <w:spacing w:val="-19"/>
          <w:sz w:val="18"/>
        </w:rPr>
        <w:t> </w:t>
      </w:r>
      <w:r>
        <w:rPr>
          <w:sz w:val="18"/>
        </w:rPr>
        <w:t>as</w:t>
      </w:r>
      <w:r>
        <w:rPr>
          <w:spacing w:val="-19"/>
          <w:sz w:val="18"/>
        </w:rPr>
        <w:t> </w:t>
      </w:r>
      <w:r>
        <w:rPr>
          <w:sz w:val="18"/>
        </w:rPr>
        <w:t>per</w:t>
      </w:r>
      <w:r>
        <w:rPr>
          <w:spacing w:val="-19"/>
          <w:sz w:val="18"/>
        </w:rPr>
        <w:t> </w:t>
      </w:r>
      <w:r>
        <w:rPr>
          <w:sz w:val="18"/>
        </w:rPr>
        <w:t>the previous site visit undertaken/ as provided by the</w:t>
      </w:r>
      <w:r>
        <w:rPr>
          <w:spacing w:val="-40"/>
          <w:sz w:val="18"/>
        </w:rPr>
        <w:t> </w:t>
      </w:r>
      <w:r>
        <w:rPr>
          <w:sz w:val="18"/>
        </w:rPr>
        <w:t>Client</w:t>
      </w:r>
    </w:p>
    <w:p>
      <w:pPr>
        <w:pStyle w:val="BodyText"/>
        <w:spacing w:before="9"/>
        <w:rPr>
          <w:sz w:val="12"/>
        </w:rPr>
      </w:pPr>
    </w:p>
    <w:p>
      <w:pPr>
        <w:spacing w:after="0"/>
        <w:rPr>
          <w:sz w:val="12"/>
        </w:rPr>
        <w:sectPr>
          <w:pgSz w:w="11910" w:h="16840"/>
          <w:pgMar w:header="720" w:footer="842" w:top="1520" w:bottom="1040" w:left="440" w:right="80"/>
        </w:sectPr>
      </w:pPr>
    </w:p>
    <w:p>
      <w:pPr>
        <w:spacing w:line="321" w:lineRule="auto" w:before="104"/>
        <w:ind w:left="392" w:right="-16" w:firstLine="0"/>
        <w:jc w:val="left"/>
        <w:rPr>
          <w:sz w:val="18"/>
        </w:rPr>
      </w:pPr>
      <w:r>
        <w:rPr>
          <w:color w:val="006A4D"/>
          <w:sz w:val="18"/>
        </w:rPr>
        <w:t>Purchase</w:t>
      </w:r>
      <w:r>
        <w:rPr>
          <w:color w:val="006A4D"/>
          <w:spacing w:val="-36"/>
          <w:sz w:val="18"/>
        </w:rPr>
        <w:t> </w:t>
      </w:r>
      <w:r>
        <w:rPr>
          <w:color w:val="006A4D"/>
          <w:sz w:val="18"/>
        </w:rPr>
        <w:t>Price</w:t>
      </w:r>
      <w:r>
        <w:rPr>
          <w:color w:val="006A4D"/>
          <w:spacing w:val="-36"/>
          <w:sz w:val="18"/>
        </w:rPr>
        <w:t> </w:t>
      </w:r>
      <w:r>
        <w:rPr>
          <w:color w:val="006A4D"/>
          <w:sz w:val="18"/>
        </w:rPr>
        <w:t>for</w:t>
      </w:r>
      <w:r>
        <w:rPr>
          <w:color w:val="006A4D"/>
          <w:spacing w:val="-36"/>
          <w:sz w:val="18"/>
        </w:rPr>
        <w:t> </w:t>
      </w:r>
      <w:r>
        <w:rPr>
          <w:color w:val="006A4D"/>
          <w:sz w:val="18"/>
        </w:rPr>
        <w:t>the property:</w:t>
      </w:r>
    </w:p>
    <w:p>
      <w:pPr>
        <w:spacing w:before="104"/>
        <w:ind w:left="392" w:right="0" w:firstLine="0"/>
        <w:jc w:val="left"/>
        <w:rPr>
          <w:sz w:val="18"/>
        </w:rPr>
      </w:pPr>
      <w:r>
        <w:rPr/>
        <w:br w:type="column"/>
      </w:r>
      <w:r>
        <w:rPr>
          <w:sz w:val="18"/>
        </w:rPr>
        <w:t>The said acquisition was undertaken as part of the ‘Formation Transaction’ as described in the Final Offer</w:t>
      </w:r>
    </w:p>
    <w:p>
      <w:pPr>
        <w:spacing w:before="72"/>
        <w:ind w:left="392" w:right="0" w:firstLine="0"/>
        <w:jc w:val="left"/>
        <w:rPr>
          <w:sz w:val="18"/>
        </w:rPr>
      </w:pPr>
      <w:r>
        <w:rPr>
          <w:sz w:val="18"/>
        </w:rPr>
        <w:t>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2083" w:space="73"/>
            <w:col w:w="9234"/>
          </w:cols>
        </w:sectPr>
      </w:pPr>
    </w:p>
    <w:p>
      <w:pPr>
        <w:pStyle w:val="BodyText"/>
        <w:rPr>
          <w:sz w:val="20"/>
        </w:rPr>
      </w:pPr>
    </w:p>
    <w:p>
      <w:pPr>
        <w:spacing w:after="0"/>
        <w:rPr>
          <w:sz w:val="20"/>
        </w:rPr>
        <w:sectPr>
          <w:pgSz w:w="11910" w:h="16840"/>
          <w:pgMar w:header="720" w:footer="842" w:top="1520" w:bottom="1040" w:left="440" w:right="80"/>
        </w:sectPr>
      </w:pPr>
    </w:p>
    <w:p>
      <w:pPr>
        <w:pStyle w:val="BodyText"/>
        <w:spacing w:before="7"/>
      </w:pPr>
    </w:p>
    <w:p>
      <w:pPr>
        <w:spacing w:line="321" w:lineRule="auto" w:before="1"/>
        <w:ind w:left="392" w:right="-14" w:firstLine="0"/>
        <w:jc w:val="left"/>
        <w:rPr>
          <w:sz w:val="18"/>
        </w:rPr>
      </w:pPr>
      <w:r>
        <w:rPr>
          <w:color w:val="006A4D"/>
          <w:sz w:val="18"/>
        </w:rPr>
        <w:t>Ready</w:t>
      </w:r>
      <w:r>
        <w:rPr>
          <w:color w:val="006A4D"/>
          <w:spacing w:val="-30"/>
          <w:sz w:val="18"/>
        </w:rPr>
        <w:t> </w:t>
      </w:r>
      <w:r>
        <w:rPr>
          <w:color w:val="006A4D"/>
          <w:sz w:val="18"/>
        </w:rPr>
        <w:t>Reckoner</w:t>
      </w:r>
      <w:r>
        <w:rPr>
          <w:color w:val="006A4D"/>
          <w:spacing w:val="-29"/>
          <w:sz w:val="18"/>
        </w:rPr>
        <w:t> </w:t>
      </w:r>
      <w:r>
        <w:rPr>
          <w:color w:val="006A4D"/>
          <w:sz w:val="18"/>
        </w:rPr>
        <w:t>Rate</w:t>
      </w:r>
      <w:r>
        <w:rPr>
          <w:color w:val="006A4D"/>
          <w:spacing w:val="-29"/>
          <w:sz w:val="18"/>
        </w:rPr>
        <w:t> </w:t>
      </w:r>
      <w:r>
        <w:rPr>
          <w:color w:val="006A4D"/>
          <w:sz w:val="18"/>
        </w:rPr>
        <w:t>(as per documents published by State Government):</w:t>
      </w:r>
    </w:p>
    <w:p>
      <w:pPr>
        <w:pStyle w:val="BodyText"/>
        <w:spacing w:before="7"/>
      </w:pPr>
      <w:r>
        <w:rPr/>
        <w:br w:type="column"/>
      </w:r>
      <w:r>
        <w:rPr/>
      </w:r>
    </w:p>
    <w:p>
      <w:pPr>
        <w:spacing w:before="1"/>
        <w:ind w:left="201" w:right="0" w:firstLine="0"/>
        <w:jc w:val="left"/>
        <w:rPr>
          <w:sz w:val="11"/>
        </w:rPr>
      </w:pPr>
      <w:r>
        <w:rPr>
          <w:sz w:val="18"/>
        </w:rPr>
        <w:t>Land Rate: NA</w:t>
      </w:r>
      <w:r>
        <w:rPr>
          <w:position w:val="6"/>
          <w:sz w:val="11"/>
        </w:rPr>
        <w:t>1</w:t>
      </w:r>
    </w:p>
    <w:p>
      <w:pPr>
        <w:spacing w:before="191"/>
        <w:ind w:left="201" w:right="0" w:firstLine="0"/>
        <w:jc w:val="left"/>
        <w:rPr>
          <w:sz w:val="18"/>
        </w:rPr>
      </w:pPr>
      <w:r>
        <w:rPr>
          <w:sz w:val="18"/>
        </w:rPr>
        <w:t>Built-up Rate: INR 63,000 per sqm</w:t>
      </w:r>
    </w:p>
    <w:p>
      <w:pPr>
        <w:spacing w:after="0"/>
        <w:jc w:val="left"/>
        <w:rPr>
          <w:sz w:val="18"/>
        </w:rPr>
        <w:sectPr>
          <w:type w:val="continuous"/>
          <w:pgSz w:w="11910" w:h="16840"/>
          <w:pgMar w:top="800" w:bottom="280" w:left="440" w:right="80"/>
          <w:cols w:num="2" w:equalWidth="0">
            <w:col w:w="2308" w:space="40"/>
            <w:col w:w="9042"/>
          </w:cols>
        </w:sectPr>
      </w:pPr>
    </w:p>
    <w:p>
      <w:pPr>
        <w:pStyle w:val="BodyText"/>
        <w:spacing w:before="8"/>
        <w:rPr>
          <w:sz w:val="12"/>
        </w:rPr>
      </w:pPr>
    </w:p>
    <w:p>
      <w:pPr>
        <w:spacing w:after="0"/>
        <w:rPr>
          <w:sz w:val="12"/>
        </w:rPr>
        <w:sectPr>
          <w:type w:val="continuous"/>
          <w:pgSz w:w="11910" w:h="16840"/>
          <w:pgMar w:top="800" w:bottom="280" w:left="440" w:right="80"/>
        </w:sectPr>
      </w:pPr>
    </w:p>
    <w:p>
      <w:pPr>
        <w:spacing w:line="321" w:lineRule="auto" w:before="105"/>
        <w:ind w:left="392" w:right="21" w:firstLine="0"/>
        <w:jc w:val="left"/>
        <w:rPr>
          <w:sz w:val="18"/>
        </w:rPr>
      </w:pPr>
      <w:r>
        <w:rPr>
          <w:color w:val="006A4D"/>
          <w:sz w:val="18"/>
        </w:rPr>
        <w:t>Value Conclusion as of March 31, 2020:</w:t>
      </w:r>
    </w:p>
    <w:p>
      <w:pPr>
        <w:pStyle w:val="BodyText"/>
      </w:pPr>
      <w:r>
        <w:rPr/>
        <w:br w:type="column"/>
      </w:r>
      <w:r>
        <w:rPr/>
      </w:r>
    </w:p>
    <w:p>
      <w:pPr>
        <w:tabs>
          <w:tab w:pos="4855" w:val="left" w:leader="none"/>
        </w:tabs>
        <w:spacing w:before="137"/>
        <w:ind w:left="392" w:right="0" w:firstLine="0"/>
        <w:jc w:val="left"/>
        <w:rPr>
          <w:sz w:val="18"/>
        </w:rPr>
      </w:pPr>
      <w:r>
        <w:rPr/>
        <w:pict>
          <v:group style="position:absolute;margin-left:164.690002pt;margin-top:-13.739324pt;width:406.15pt;height:17.650pt;mso-position-horizontal-relative:page;mso-position-vertical-relative:paragraph;z-index:15860736" coordorigin="3294,-275" coordsize="8123,353">
            <v:shape style="position:absolute;left:3293;top:-246;width:8123;height:310" coordorigin="3294,-246" coordsize="8123,310" path="m11417,-246l7463,-246,3294,-246,3294,64,7463,64,11417,64,11417,-246xe" filled="true" fillcolor="#006a4d" stroked="false">
              <v:path arrowok="t"/>
              <v:fill type="solid"/>
            </v:shape>
            <v:rect style="position:absolute;left:3293;top:-275;width:4170;height:29" filled="true" fillcolor="#1f6b16" stroked="false">
              <v:fill type="solid"/>
            </v:rect>
            <v:shape style="position:absolute;left:3293;top:-246;width:4199;height:3" coordorigin="3294,-246" coordsize="4199,3" path="m7492,-246l7463,-246,3294,-246,3294,-244,7463,-244,7492,-244,7492,-246xe" filled="true" fillcolor="#006a4d" stroked="false">
              <v:path arrowok="t"/>
              <v:fill type="solid"/>
            </v:shape>
            <v:shape style="position:absolute;left:7463;top:-275;width:3954;height:29" coordorigin="7463,-275" coordsize="3954,29" path="m7492,-275l7463,-275,7463,-246,7492,-246,7492,-275xm11417,-275l7492,-275,7492,-246,11417,-246,11417,-275xe" filled="true" fillcolor="#1f6b16" stroked="false">
              <v:path arrowok="t"/>
              <v:fill type="solid"/>
            </v:shape>
            <v:rect style="position:absolute;left:7492;top:-246;width:3925;height:3" filled="true" fillcolor="#006a4d" stroked="false">
              <v:fill type="solid"/>
            </v:rect>
            <v:shape style="position:absolute;left:3293;top:63;width:8123;height:15" coordorigin="3294,64" coordsize="8123,15" path="m11417,64l7477,64,7463,64,3294,64,3294,78,7463,78,7477,78,11417,78,11417,64xe" filled="true" fillcolor="#69bd28" stroked="false">
              <v:path arrowok="t"/>
              <v:fill type="solid"/>
            </v:shape>
            <v:shape style="position:absolute;left:3293;top:-246;width:8123;height:310" type="#_x0000_t202" filled="false" stroked="false">
              <v:textbox inset="0,0,0,0">
                <w:txbxContent>
                  <w:p>
                    <w:pPr>
                      <w:tabs>
                        <w:tab w:pos="5096" w:val="left" w:leader="none"/>
                      </w:tabs>
                      <w:spacing w:before="49"/>
                      <w:ind w:left="1567" w:right="0" w:firstLine="0"/>
                      <w:jc w:val="left"/>
                      <w:rPr>
                        <w:b/>
                        <w:sz w:val="18"/>
                      </w:rPr>
                    </w:pPr>
                    <w:r>
                      <w:rPr>
                        <w:b/>
                        <w:color w:val="FFFFFF"/>
                        <w:w w:val="110"/>
                        <w:sz w:val="18"/>
                      </w:rPr>
                      <w:t>Component</w:t>
                      <w:tab/>
                      <w:t>Market Value (INR</w:t>
                    </w:r>
                    <w:r>
                      <w:rPr>
                        <w:b/>
                        <w:color w:val="FFFFFF"/>
                        <w:spacing w:val="-2"/>
                        <w:w w:val="110"/>
                        <w:sz w:val="18"/>
                      </w:rPr>
                      <w:t> </w:t>
                    </w:r>
                    <w:r>
                      <w:rPr>
                        <w:b/>
                        <w:color w:val="FFFFFF"/>
                        <w:w w:val="110"/>
                        <w:sz w:val="18"/>
                      </w:rPr>
                      <w:t>Mn)</w:t>
                    </w:r>
                  </w:p>
                </w:txbxContent>
              </v:textbox>
              <w10:wrap type="none"/>
            </v:shape>
            <w10:wrap type="none"/>
          </v:group>
        </w:pict>
      </w:r>
      <w:r>
        <w:rPr>
          <w:sz w:val="18"/>
        </w:rPr>
        <w:t>Embassy</w:t>
      </w:r>
      <w:r>
        <w:rPr>
          <w:spacing w:val="-6"/>
          <w:sz w:val="18"/>
        </w:rPr>
        <w:t> </w:t>
      </w:r>
      <w:r>
        <w:rPr>
          <w:sz w:val="18"/>
        </w:rPr>
        <w:t>GolfLinks</w:t>
        <w:tab/>
        <w:t>54,027*</w:t>
      </w:r>
    </w:p>
    <w:p>
      <w:pPr>
        <w:spacing w:after="0"/>
        <w:jc w:val="left"/>
        <w:rPr>
          <w:sz w:val="18"/>
        </w:rPr>
        <w:sectPr>
          <w:type w:val="continuous"/>
          <w:pgSz w:w="11910" w:h="16840"/>
          <w:pgMar w:top="800" w:bottom="280" w:left="440" w:right="80"/>
          <w:cols w:num="2" w:equalWidth="0">
            <w:col w:w="2239" w:space="1575"/>
            <w:col w:w="7576"/>
          </w:cols>
        </w:sectPr>
      </w:pPr>
    </w:p>
    <w:p>
      <w:pPr>
        <w:pStyle w:val="BodyText"/>
        <w:ind w:left="2839"/>
        <w:rPr>
          <w:sz w:val="20"/>
        </w:rPr>
      </w:pPr>
      <w:r>
        <w:rPr>
          <w:sz w:val="20"/>
        </w:rPr>
        <w:pict>
          <v:shape style="width:406.9pt;height:17.650pt;mso-position-horizontal-relative:char;mso-position-vertical-relative:line" type="#_x0000_t202" filled="true" fillcolor="#69bd28" stroked="false">
            <w10:anchorlock/>
            <v:textbox inset="0,0,0,0">
              <w:txbxContent>
                <w:p>
                  <w:pPr>
                    <w:tabs>
                      <w:tab w:pos="5866" w:val="left" w:leader="none"/>
                    </w:tabs>
                    <w:spacing w:before="73"/>
                    <w:ind w:left="1053" w:right="0" w:firstLine="0"/>
                    <w:jc w:val="left"/>
                    <w:rPr>
                      <w:sz w:val="18"/>
                    </w:rPr>
                  </w:pPr>
                  <w:r>
                    <w:rPr>
                      <w:color w:val="FFFFFF"/>
                      <w:sz w:val="18"/>
                    </w:rPr>
                    <w:t>Total</w:t>
                  </w:r>
                  <w:r>
                    <w:rPr>
                      <w:color w:val="FFFFFF"/>
                      <w:spacing w:val="-24"/>
                      <w:sz w:val="18"/>
                    </w:rPr>
                    <w:t> </w:t>
                  </w:r>
                  <w:r>
                    <w:rPr>
                      <w:color w:val="FFFFFF"/>
                      <w:sz w:val="18"/>
                    </w:rPr>
                    <w:t>Value</w:t>
                  </w:r>
                  <w:r>
                    <w:rPr>
                      <w:color w:val="FFFFFF"/>
                      <w:spacing w:val="-23"/>
                      <w:sz w:val="18"/>
                    </w:rPr>
                    <w:t> </w:t>
                  </w:r>
                  <w:r>
                    <w:rPr>
                      <w:color w:val="FFFFFF"/>
                      <w:sz w:val="18"/>
                    </w:rPr>
                    <w:t>of</w:t>
                  </w:r>
                  <w:r>
                    <w:rPr>
                      <w:color w:val="FFFFFF"/>
                      <w:spacing w:val="-22"/>
                      <w:sz w:val="18"/>
                    </w:rPr>
                    <w:t> </w:t>
                  </w:r>
                  <w:r>
                    <w:rPr>
                      <w:color w:val="FFFFFF"/>
                      <w:sz w:val="18"/>
                    </w:rPr>
                    <w:t>the</w:t>
                  </w:r>
                  <w:r>
                    <w:rPr>
                      <w:color w:val="FFFFFF"/>
                      <w:spacing w:val="-22"/>
                      <w:sz w:val="18"/>
                    </w:rPr>
                    <w:t> </w:t>
                  </w:r>
                  <w:r>
                    <w:rPr>
                      <w:color w:val="FFFFFF"/>
                      <w:sz w:val="18"/>
                    </w:rPr>
                    <w:t>property</w:t>
                    <w:tab/>
                    <w:t>54,027</w:t>
                  </w:r>
                </w:p>
              </w:txbxContent>
            </v:textbox>
            <v:fill type="solid"/>
          </v:shape>
        </w:pict>
      </w:r>
      <w:r>
        <w:rPr>
          <w:sz w:val="20"/>
        </w:rPr>
      </w:r>
    </w:p>
    <w:p>
      <w:pPr>
        <w:spacing w:line="321" w:lineRule="auto" w:before="94"/>
        <w:ind w:left="2548" w:right="0" w:firstLine="0"/>
        <w:jc w:val="left"/>
        <w:rPr>
          <w:sz w:val="18"/>
        </w:rPr>
      </w:pPr>
      <w:r>
        <w:rPr>
          <w:sz w:val="18"/>
        </w:rPr>
        <w:t>Note:</w:t>
      </w:r>
      <w:r>
        <w:rPr>
          <w:spacing w:val="-15"/>
          <w:sz w:val="18"/>
        </w:rPr>
        <w:t> </w:t>
      </w:r>
      <w:r>
        <w:rPr>
          <w:sz w:val="18"/>
        </w:rPr>
        <w:t>The</w:t>
      </w:r>
      <w:r>
        <w:rPr>
          <w:spacing w:val="-14"/>
          <w:sz w:val="18"/>
        </w:rPr>
        <w:t> </w:t>
      </w:r>
      <w:r>
        <w:rPr>
          <w:sz w:val="18"/>
        </w:rPr>
        <w:t>valuation</w:t>
      </w:r>
      <w:r>
        <w:rPr>
          <w:spacing w:val="-16"/>
          <w:sz w:val="18"/>
        </w:rPr>
        <w:t> </w:t>
      </w:r>
      <w:r>
        <w:rPr>
          <w:sz w:val="18"/>
        </w:rPr>
        <w:t>presented</w:t>
      </w:r>
      <w:r>
        <w:rPr>
          <w:spacing w:val="-15"/>
          <w:sz w:val="18"/>
        </w:rPr>
        <w:t> </w:t>
      </w:r>
      <w:r>
        <w:rPr>
          <w:sz w:val="18"/>
        </w:rPr>
        <w:t>is</w:t>
      </w:r>
      <w:r>
        <w:rPr>
          <w:spacing w:val="-15"/>
          <w:sz w:val="18"/>
        </w:rPr>
        <w:t> </w:t>
      </w:r>
      <w:r>
        <w:rPr>
          <w:sz w:val="18"/>
        </w:rPr>
        <w:t>for</w:t>
      </w:r>
      <w:r>
        <w:rPr>
          <w:spacing w:val="-16"/>
          <w:sz w:val="18"/>
        </w:rPr>
        <w:t> </w:t>
      </w:r>
      <w:r>
        <w:rPr>
          <w:sz w:val="18"/>
        </w:rPr>
        <w:t>100%</w:t>
      </w:r>
      <w:r>
        <w:rPr>
          <w:spacing w:val="-14"/>
          <w:sz w:val="18"/>
        </w:rPr>
        <w:t> </w:t>
      </w:r>
      <w:r>
        <w:rPr>
          <w:sz w:val="18"/>
        </w:rPr>
        <w:t>interest</w:t>
      </w:r>
      <w:r>
        <w:rPr>
          <w:spacing w:val="-16"/>
          <w:sz w:val="18"/>
        </w:rPr>
        <w:t> </w:t>
      </w:r>
      <w:r>
        <w:rPr>
          <w:sz w:val="18"/>
        </w:rPr>
        <w:t>in</w:t>
      </w:r>
      <w:r>
        <w:rPr>
          <w:spacing w:val="-15"/>
          <w:sz w:val="18"/>
        </w:rPr>
        <w:t> </w:t>
      </w:r>
      <w:r>
        <w:rPr>
          <w:sz w:val="18"/>
        </w:rPr>
        <w:t>the</w:t>
      </w:r>
      <w:r>
        <w:rPr>
          <w:spacing w:val="-14"/>
          <w:sz w:val="18"/>
        </w:rPr>
        <w:t> </w:t>
      </w:r>
      <w:r>
        <w:rPr>
          <w:sz w:val="18"/>
        </w:rPr>
        <w:t>asset.</w:t>
      </w:r>
      <w:r>
        <w:rPr>
          <w:spacing w:val="-16"/>
          <w:sz w:val="18"/>
        </w:rPr>
        <w:t> </w:t>
      </w:r>
      <w:r>
        <w:rPr>
          <w:sz w:val="18"/>
        </w:rPr>
        <w:t>However,</w:t>
      </w:r>
      <w:r>
        <w:rPr>
          <w:spacing w:val="-16"/>
          <w:sz w:val="18"/>
        </w:rPr>
        <w:t> </w:t>
      </w:r>
      <w:r>
        <w:rPr>
          <w:sz w:val="18"/>
        </w:rPr>
        <w:t>based</w:t>
      </w:r>
      <w:r>
        <w:rPr>
          <w:spacing w:val="-17"/>
          <w:sz w:val="18"/>
        </w:rPr>
        <w:t> </w:t>
      </w:r>
      <w:r>
        <w:rPr>
          <w:sz w:val="18"/>
        </w:rPr>
        <w:t>on</w:t>
      </w:r>
      <w:r>
        <w:rPr>
          <w:spacing w:val="-15"/>
          <w:sz w:val="18"/>
        </w:rPr>
        <w:t> </w:t>
      </w:r>
      <w:r>
        <w:rPr>
          <w:sz w:val="18"/>
        </w:rPr>
        <w:t>inputs</w:t>
      </w:r>
      <w:r>
        <w:rPr>
          <w:spacing w:val="-14"/>
          <w:sz w:val="18"/>
        </w:rPr>
        <w:t> </w:t>
      </w:r>
      <w:r>
        <w:rPr>
          <w:sz w:val="18"/>
        </w:rPr>
        <w:t>provided</w:t>
      </w:r>
      <w:r>
        <w:rPr>
          <w:spacing w:val="-15"/>
          <w:sz w:val="18"/>
        </w:rPr>
        <w:t> </w:t>
      </w:r>
      <w:r>
        <w:rPr>
          <w:sz w:val="18"/>
        </w:rPr>
        <w:t>by</w:t>
      </w:r>
      <w:r>
        <w:rPr>
          <w:spacing w:val="-15"/>
          <w:sz w:val="18"/>
        </w:rPr>
        <w:t> </w:t>
      </w:r>
      <w:r>
        <w:rPr>
          <w:sz w:val="18"/>
        </w:rPr>
        <w:t>the Client,</w:t>
      </w:r>
      <w:r>
        <w:rPr>
          <w:spacing w:val="-6"/>
          <w:sz w:val="18"/>
        </w:rPr>
        <w:t> </w:t>
      </w:r>
      <w:r>
        <w:rPr>
          <w:sz w:val="18"/>
        </w:rPr>
        <w:t>the</w:t>
      </w:r>
      <w:r>
        <w:rPr>
          <w:spacing w:val="-4"/>
          <w:sz w:val="18"/>
        </w:rPr>
        <w:t> </w:t>
      </w:r>
      <w:r>
        <w:rPr>
          <w:sz w:val="18"/>
        </w:rPr>
        <w:t>REIT</w:t>
      </w:r>
      <w:r>
        <w:rPr>
          <w:spacing w:val="-5"/>
          <w:sz w:val="18"/>
        </w:rPr>
        <w:t> </w:t>
      </w:r>
      <w:r>
        <w:rPr>
          <w:sz w:val="18"/>
        </w:rPr>
        <w:t>hold</w:t>
      </w:r>
      <w:r>
        <w:rPr>
          <w:spacing w:val="-6"/>
          <w:sz w:val="18"/>
        </w:rPr>
        <w:t> </w:t>
      </w:r>
      <w:r>
        <w:rPr>
          <w:sz w:val="18"/>
        </w:rPr>
        <w:t>50%</w:t>
      </w:r>
      <w:r>
        <w:rPr>
          <w:spacing w:val="-4"/>
          <w:sz w:val="18"/>
        </w:rPr>
        <w:t> </w:t>
      </w:r>
      <w:r>
        <w:rPr>
          <w:sz w:val="18"/>
        </w:rPr>
        <w:t>of</w:t>
      </w:r>
      <w:r>
        <w:rPr>
          <w:spacing w:val="-4"/>
          <w:sz w:val="18"/>
        </w:rPr>
        <w:t> </w:t>
      </w:r>
      <w:r>
        <w:rPr>
          <w:sz w:val="18"/>
        </w:rPr>
        <w:t>the</w:t>
      </w:r>
      <w:r>
        <w:rPr>
          <w:spacing w:val="-5"/>
          <w:sz w:val="18"/>
        </w:rPr>
        <w:t> </w:t>
      </w:r>
      <w:r>
        <w:rPr>
          <w:sz w:val="18"/>
        </w:rPr>
        <w:t>interests</w:t>
      </w:r>
      <w:r>
        <w:rPr>
          <w:spacing w:val="-4"/>
          <w:sz w:val="18"/>
        </w:rPr>
        <w:t> </w:t>
      </w:r>
      <w:r>
        <w:rPr>
          <w:sz w:val="18"/>
        </w:rPr>
        <w:t>in</w:t>
      </w:r>
      <w:r>
        <w:rPr>
          <w:spacing w:val="-5"/>
          <w:sz w:val="18"/>
        </w:rPr>
        <w:t> </w:t>
      </w:r>
      <w:r>
        <w:rPr>
          <w:sz w:val="18"/>
        </w:rPr>
        <w:t>the</w:t>
      </w:r>
      <w:r>
        <w:rPr>
          <w:spacing w:val="-4"/>
          <w:sz w:val="18"/>
        </w:rPr>
        <w:t> </w:t>
      </w:r>
      <w:r>
        <w:rPr>
          <w:sz w:val="18"/>
        </w:rPr>
        <w:t>asset</w:t>
      </w:r>
      <w:r>
        <w:rPr>
          <w:spacing w:val="-6"/>
          <w:sz w:val="18"/>
        </w:rPr>
        <w:t> </w:t>
      </w:r>
      <w:r>
        <w:rPr>
          <w:sz w:val="18"/>
        </w:rPr>
        <w:t>(viz.</w:t>
      </w:r>
      <w:r>
        <w:rPr>
          <w:spacing w:val="-5"/>
          <w:sz w:val="18"/>
        </w:rPr>
        <w:t> </w:t>
      </w:r>
      <w:r>
        <w:rPr>
          <w:sz w:val="18"/>
        </w:rPr>
        <w:t>27,014</w:t>
      </w:r>
      <w:r>
        <w:rPr>
          <w:spacing w:val="-6"/>
          <w:sz w:val="18"/>
        </w:rPr>
        <w:t> </w:t>
      </w:r>
      <w:r>
        <w:rPr>
          <w:sz w:val="18"/>
        </w:rPr>
        <w:t>Mn)</w:t>
      </w:r>
    </w:p>
    <w:p>
      <w:pPr>
        <w:pStyle w:val="BodyText"/>
        <w:spacing w:before="8"/>
        <w:rPr>
          <w:sz w:val="12"/>
        </w:rPr>
      </w:pPr>
    </w:p>
    <w:p>
      <w:pPr>
        <w:spacing w:after="0"/>
        <w:rPr>
          <w:sz w:val="12"/>
        </w:rPr>
        <w:sectPr>
          <w:type w:val="continuous"/>
          <w:pgSz w:w="11910" w:h="16840"/>
          <w:pgMar w:top="800" w:bottom="280" w:left="440" w:right="80"/>
        </w:sectPr>
      </w:pPr>
    </w:p>
    <w:p>
      <w:pPr>
        <w:spacing w:line="321" w:lineRule="auto" w:before="105"/>
        <w:ind w:left="392" w:right="-13" w:firstLine="0"/>
        <w:jc w:val="left"/>
        <w:rPr>
          <w:sz w:val="18"/>
        </w:rPr>
      </w:pPr>
      <w:r>
        <w:rPr>
          <w:color w:val="006A4D"/>
          <w:sz w:val="18"/>
        </w:rPr>
        <w:t>Assumptions, </w:t>
      </w:r>
      <w:r>
        <w:rPr>
          <w:color w:val="006A4D"/>
          <w:w w:val="95"/>
          <w:sz w:val="18"/>
        </w:rPr>
        <w:t>Disclaimers, Limitations </w:t>
      </w:r>
      <w:r>
        <w:rPr>
          <w:color w:val="006A4D"/>
          <w:sz w:val="18"/>
        </w:rPr>
        <w:t>&amp; Qualifications</w:t>
      </w:r>
    </w:p>
    <w:p>
      <w:pPr>
        <w:spacing w:line="321" w:lineRule="auto" w:before="105"/>
        <w:ind w:left="273" w:right="476" w:firstLine="0"/>
        <w:jc w:val="both"/>
        <w:rPr>
          <w:sz w:val="18"/>
        </w:rPr>
      </w:pPr>
      <w:r>
        <w:rPr/>
        <w:br w:type="column"/>
      </w:r>
      <w:r>
        <w:rPr>
          <w:sz w:val="18"/>
        </w:rPr>
        <w:t>This</w:t>
      </w:r>
      <w:r>
        <w:rPr>
          <w:spacing w:val="-34"/>
          <w:sz w:val="18"/>
        </w:rPr>
        <w:t> </w:t>
      </w:r>
      <w:r>
        <w:rPr>
          <w:sz w:val="18"/>
        </w:rPr>
        <w:t>valuation</w:t>
      </w:r>
      <w:r>
        <w:rPr>
          <w:spacing w:val="-34"/>
          <w:sz w:val="18"/>
        </w:rPr>
        <w:t> </w:t>
      </w:r>
      <w:r>
        <w:rPr>
          <w:sz w:val="18"/>
        </w:rPr>
        <w:t>report</w:t>
      </w:r>
      <w:r>
        <w:rPr>
          <w:spacing w:val="-35"/>
          <w:sz w:val="18"/>
        </w:rPr>
        <w:t> </w:t>
      </w:r>
      <w:r>
        <w:rPr>
          <w:sz w:val="18"/>
        </w:rPr>
        <w:t>is</w:t>
      </w:r>
      <w:r>
        <w:rPr>
          <w:spacing w:val="-33"/>
          <w:sz w:val="18"/>
        </w:rPr>
        <w:t> </w:t>
      </w:r>
      <w:r>
        <w:rPr>
          <w:sz w:val="18"/>
        </w:rPr>
        <w:t>provided</w:t>
      </w:r>
      <w:r>
        <w:rPr>
          <w:spacing w:val="-35"/>
          <w:sz w:val="18"/>
        </w:rPr>
        <w:t> </w:t>
      </w:r>
      <w:r>
        <w:rPr>
          <w:sz w:val="18"/>
        </w:rPr>
        <w:t>subject</w:t>
      </w:r>
      <w:r>
        <w:rPr>
          <w:spacing w:val="-34"/>
          <w:sz w:val="18"/>
        </w:rPr>
        <w:t> </w:t>
      </w:r>
      <w:r>
        <w:rPr>
          <w:sz w:val="18"/>
        </w:rPr>
        <w:t>to</w:t>
      </w:r>
      <w:r>
        <w:rPr>
          <w:spacing w:val="-34"/>
          <w:sz w:val="18"/>
        </w:rPr>
        <w:t> </w:t>
      </w:r>
      <w:r>
        <w:rPr>
          <w:sz w:val="18"/>
        </w:rPr>
        <w:t>assumptions,</w:t>
      </w:r>
      <w:r>
        <w:rPr>
          <w:spacing w:val="-34"/>
          <w:sz w:val="18"/>
        </w:rPr>
        <w:t> </w:t>
      </w:r>
      <w:r>
        <w:rPr>
          <w:sz w:val="18"/>
        </w:rPr>
        <w:t>disclaimers,</w:t>
      </w:r>
      <w:r>
        <w:rPr>
          <w:spacing w:val="-34"/>
          <w:sz w:val="18"/>
        </w:rPr>
        <w:t> </w:t>
      </w:r>
      <w:r>
        <w:rPr>
          <w:sz w:val="18"/>
        </w:rPr>
        <w:t>limitations</w:t>
      </w:r>
      <w:r>
        <w:rPr>
          <w:spacing w:val="-34"/>
          <w:sz w:val="18"/>
        </w:rPr>
        <w:t> </w:t>
      </w:r>
      <w:r>
        <w:rPr>
          <w:sz w:val="18"/>
        </w:rPr>
        <w:t>and</w:t>
      </w:r>
      <w:r>
        <w:rPr>
          <w:spacing w:val="-34"/>
          <w:sz w:val="18"/>
        </w:rPr>
        <w:t> </w:t>
      </w:r>
      <w:r>
        <w:rPr>
          <w:sz w:val="18"/>
        </w:rPr>
        <w:t>qualifications</w:t>
      </w:r>
      <w:r>
        <w:rPr>
          <w:spacing w:val="-34"/>
          <w:sz w:val="18"/>
        </w:rPr>
        <w:t> </w:t>
      </w:r>
      <w:r>
        <w:rPr>
          <w:sz w:val="18"/>
        </w:rPr>
        <w:t>detailed throughout this report which are made in conjunction with those included within the Assumptions, Disclaimers, Limitations &amp; Qualifications section located within this report. Reliance on this report and extension</w:t>
      </w:r>
      <w:r>
        <w:rPr>
          <w:spacing w:val="-4"/>
          <w:sz w:val="18"/>
        </w:rPr>
        <w:t> </w:t>
      </w:r>
      <w:r>
        <w:rPr>
          <w:sz w:val="18"/>
        </w:rPr>
        <w:t>of</w:t>
      </w:r>
      <w:r>
        <w:rPr>
          <w:spacing w:val="-4"/>
          <w:sz w:val="18"/>
        </w:rPr>
        <w:t> </w:t>
      </w:r>
      <w:r>
        <w:rPr>
          <w:sz w:val="18"/>
        </w:rPr>
        <w:t>our</w:t>
      </w:r>
      <w:r>
        <w:rPr>
          <w:spacing w:val="-4"/>
          <w:sz w:val="18"/>
        </w:rPr>
        <w:t> </w:t>
      </w:r>
      <w:r>
        <w:rPr>
          <w:sz w:val="18"/>
        </w:rPr>
        <w:t>liability</w:t>
      </w:r>
      <w:r>
        <w:rPr>
          <w:spacing w:val="-5"/>
          <w:sz w:val="18"/>
        </w:rPr>
        <w:t> </w:t>
      </w:r>
      <w:r>
        <w:rPr>
          <w:sz w:val="18"/>
        </w:rPr>
        <w:t>is</w:t>
      </w:r>
      <w:r>
        <w:rPr>
          <w:spacing w:val="-3"/>
          <w:sz w:val="18"/>
        </w:rPr>
        <w:t> </w:t>
      </w:r>
      <w:r>
        <w:rPr>
          <w:sz w:val="18"/>
        </w:rPr>
        <w:t>conditional</w:t>
      </w:r>
      <w:r>
        <w:rPr>
          <w:spacing w:val="-5"/>
          <w:sz w:val="18"/>
        </w:rPr>
        <w:t> </w:t>
      </w:r>
      <w:r>
        <w:rPr>
          <w:sz w:val="18"/>
        </w:rPr>
        <w:t>upon</w:t>
      </w:r>
      <w:r>
        <w:rPr>
          <w:spacing w:val="-3"/>
          <w:sz w:val="18"/>
        </w:rPr>
        <w:t> </w:t>
      </w:r>
      <w:r>
        <w:rPr>
          <w:sz w:val="18"/>
        </w:rPr>
        <w:t>the</w:t>
      </w:r>
      <w:r>
        <w:rPr>
          <w:spacing w:val="-4"/>
          <w:sz w:val="18"/>
        </w:rPr>
        <w:t> </w:t>
      </w:r>
      <w:r>
        <w:rPr>
          <w:sz w:val="18"/>
        </w:rPr>
        <w:t>reader’s</w:t>
      </w:r>
      <w:r>
        <w:rPr>
          <w:spacing w:val="-4"/>
          <w:sz w:val="18"/>
        </w:rPr>
        <w:t> </w:t>
      </w:r>
      <w:r>
        <w:rPr>
          <w:sz w:val="18"/>
        </w:rPr>
        <w:t>acknowledgement</w:t>
      </w:r>
      <w:r>
        <w:rPr>
          <w:spacing w:val="-5"/>
          <w:sz w:val="18"/>
        </w:rPr>
        <w:t> </w:t>
      </w:r>
      <w:r>
        <w:rPr>
          <w:sz w:val="18"/>
        </w:rPr>
        <w:t>and</w:t>
      </w:r>
      <w:r>
        <w:rPr>
          <w:spacing w:val="-3"/>
          <w:sz w:val="18"/>
        </w:rPr>
        <w:t> </w:t>
      </w:r>
      <w:r>
        <w:rPr>
          <w:sz w:val="18"/>
        </w:rPr>
        <w:t>understanding</w:t>
      </w:r>
      <w:r>
        <w:rPr>
          <w:spacing w:val="-4"/>
          <w:sz w:val="18"/>
        </w:rPr>
        <w:t> </w:t>
      </w:r>
      <w:r>
        <w:rPr>
          <w:sz w:val="18"/>
        </w:rPr>
        <w:t>of</w:t>
      </w:r>
      <w:r>
        <w:rPr>
          <w:spacing w:val="-4"/>
          <w:sz w:val="18"/>
        </w:rPr>
        <w:t> </w:t>
      </w:r>
      <w:r>
        <w:rPr>
          <w:sz w:val="18"/>
        </w:rPr>
        <w:t>these statements.</w:t>
      </w:r>
      <w:r>
        <w:rPr>
          <w:spacing w:val="-17"/>
          <w:sz w:val="18"/>
        </w:rPr>
        <w:t> </w:t>
      </w:r>
      <w:r>
        <w:rPr>
          <w:sz w:val="18"/>
        </w:rPr>
        <w:t>This</w:t>
      </w:r>
      <w:r>
        <w:rPr>
          <w:spacing w:val="-15"/>
          <w:sz w:val="18"/>
        </w:rPr>
        <w:t> </w:t>
      </w:r>
      <w:r>
        <w:rPr>
          <w:sz w:val="18"/>
        </w:rPr>
        <w:t>valuation</w:t>
      </w:r>
      <w:r>
        <w:rPr>
          <w:spacing w:val="-16"/>
          <w:sz w:val="18"/>
        </w:rPr>
        <w:t> </w:t>
      </w:r>
      <w:r>
        <w:rPr>
          <w:sz w:val="18"/>
        </w:rPr>
        <w:t>is</w:t>
      </w:r>
      <w:r>
        <w:rPr>
          <w:spacing w:val="-16"/>
          <w:sz w:val="18"/>
        </w:rPr>
        <w:t> </w:t>
      </w:r>
      <w:r>
        <w:rPr>
          <w:sz w:val="18"/>
        </w:rPr>
        <w:t>for</w:t>
      </w:r>
      <w:r>
        <w:rPr>
          <w:spacing w:val="-16"/>
          <w:sz w:val="18"/>
        </w:rPr>
        <w:t> </w:t>
      </w:r>
      <w:r>
        <w:rPr>
          <w:sz w:val="18"/>
        </w:rPr>
        <w:t>the</w:t>
      </w:r>
      <w:r>
        <w:rPr>
          <w:spacing w:val="-16"/>
          <w:sz w:val="18"/>
        </w:rPr>
        <w:t> </w:t>
      </w:r>
      <w:r>
        <w:rPr>
          <w:sz w:val="18"/>
        </w:rPr>
        <w:t>use</w:t>
      </w:r>
      <w:r>
        <w:rPr>
          <w:spacing w:val="-15"/>
          <w:sz w:val="18"/>
        </w:rPr>
        <w:t> </w:t>
      </w:r>
      <w:r>
        <w:rPr>
          <w:sz w:val="18"/>
        </w:rPr>
        <w:t>of</w:t>
      </w:r>
      <w:r>
        <w:rPr>
          <w:spacing w:val="-16"/>
          <w:sz w:val="18"/>
        </w:rPr>
        <w:t> </w:t>
      </w:r>
      <w:r>
        <w:rPr>
          <w:sz w:val="18"/>
        </w:rPr>
        <w:t>the</w:t>
      </w:r>
      <w:r>
        <w:rPr>
          <w:spacing w:val="-16"/>
          <w:sz w:val="18"/>
        </w:rPr>
        <w:t> </w:t>
      </w:r>
      <w:r>
        <w:rPr>
          <w:sz w:val="18"/>
        </w:rPr>
        <w:t>party</w:t>
      </w:r>
      <w:r>
        <w:rPr>
          <w:spacing w:val="-16"/>
          <w:sz w:val="18"/>
        </w:rPr>
        <w:t> </w:t>
      </w:r>
      <w:r>
        <w:rPr>
          <w:sz w:val="18"/>
        </w:rPr>
        <w:t>to</w:t>
      </w:r>
      <w:r>
        <w:rPr>
          <w:spacing w:val="-15"/>
          <w:sz w:val="18"/>
        </w:rPr>
        <w:t> </w:t>
      </w:r>
      <w:r>
        <w:rPr>
          <w:sz w:val="18"/>
        </w:rPr>
        <w:t>whom</w:t>
      </w:r>
      <w:r>
        <w:rPr>
          <w:spacing w:val="-15"/>
          <w:sz w:val="18"/>
        </w:rPr>
        <w:t> </w:t>
      </w:r>
      <w:r>
        <w:rPr>
          <w:sz w:val="18"/>
        </w:rPr>
        <w:t>it</w:t>
      </w:r>
      <w:r>
        <w:rPr>
          <w:spacing w:val="-17"/>
          <w:sz w:val="18"/>
        </w:rPr>
        <w:t> </w:t>
      </w:r>
      <w:r>
        <w:rPr>
          <w:sz w:val="18"/>
        </w:rPr>
        <w:t>is</w:t>
      </w:r>
      <w:r>
        <w:rPr>
          <w:spacing w:val="-15"/>
          <w:sz w:val="18"/>
        </w:rPr>
        <w:t> </w:t>
      </w:r>
      <w:r>
        <w:rPr>
          <w:sz w:val="18"/>
        </w:rPr>
        <w:t>addressed</w:t>
      </w:r>
      <w:r>
        <w:rPr>
          <w:spacing w:val="-16"/>
          <w:sz w:val="18"/>
        </w:rPr>
        <w:t> </w:t>
      </w:r>
      <w:r>
        <w:rPr>
          <w:sz w:val="18"/>
        </w:rPr>
        <w:t>and</w:t>
      </w:r>
      <w:r>
        <w:rPr>
          <w:spacing w:val="-16"/>
          <w:sz w:val="18"/>
        </w:rPr>
        <w:t> </w:t>
      </w:r>
      <w:r>
        <w:rPr>
          <w:sz w:val="18"/>
        </w:rPr>
        <w:t>for</w:t>
      </w:r>
      <w:r>
        <w:rPr>
          <w:spacing w:val="-16"/>
          <w:sz w:val="18"/>
        </w:rPr>
        <w:t> </w:t>
      </w:r>
      <w:r>
        <w:rPr>
          <w:sz w:val="18"/>
        </w:rPr>
        <w:t>no</w:t>
      </w:r>
      <w:r>
        <w:rPr>
          <w:spacing w:val="-16"/>
          <w:sz w:val="18"/>
        </w:rPr>
        <w:t> </w:t>
      </w:r>
      <w:r>
        <w:rPr>
          <w:sz w:val="18"/>
        </w:rPr>
        <w:t>other</w:t>
      </w:r>
      <w:r>
        <w:rPr>
          <w:spacing w:val="-16"/>
          <w:sz w:val="18"/>
        </w:rPr>
        <w:t> </w:t>
      </w:r>
      <w:r>
        <w:rPr>
          <w:sz w:val="18"/>
        </w:rPr>
        <w:t>purpose.</w:t>
      </w:r>
      <w:r>
        <w:rPr>
          <w:spacing w:val="-16"/>
          <w:sz w:val="18"/>
        </w:rPr>
        <w:t> </w:t>
      </w:r>
      <w:r>
        <w:rPr>
          <w:sz w:val="18"/>
        </w:rPr>
        <w:t>No responsibility</w:t>
      </w:r>
      <w:r>
        <w:rPr>
          <w:spacing w:val="-18"/>
          <w:sz w:val="18"/>
        </w:rPr>
        <w:t> </w:t>
      </w:r>
      <w:r>
        <w:rPr>
          <w:sz w:val="18"/>
        </w:rPr>
        <w:t>is</w:t>
      </w:r>
      <w:r>
        <w:rPr>
          <w:spacing w:val="-17"/>
          <w:sz w:val="18"/>
        </w:rPr>
        <w:t> </w:t>
      </w:r>
      <w:r>
        <w:rPr>
          <w:sz w:val="18"/>
        </w:rPr>
        <w:t>accepted</w:t>
      </w:r>
      <w:r>
        <w:rPr>
          <w:spacing w:val="-18"/>
          <w:sz w:val="18"/>
        </w:rPr>
        <w:t> </w:t>
      </w:r>
      <w:r>
        <w:rPr>
          <w:sz w:val="18"/>
        </w:rPr>
        <w:t>to</w:t>
      </w:r>
      <w:r>
        <w:rPr>
          <w:spacing w:val="-17"/>
          <w:sz w:val="18"/>
        </w:rPr>
        <w:t> </w:t>
      </w:r>
      <w:r>
        <w:rPr>
          <w:sz w:val="18"/>
        </w:rPr>
        <w:t>any</w:t>
      </w:r>
      <w:r>
        <w:rPr>
          <w:spacing w:val="-18"/>
          <w:sz w:val="18"/>
        </w:rPr>
        <w:t> </w:t>
      </w:r>
      <w:r>
        <w:rPr>
          <w:sz w:val="18"/>
        </w:rPr>
        <w:t>third</w:t>
      </w:r>
      <w:r>
        <w:rPr>
          <w:spacing w:val="-17"/>
          <w:sz w:val="18"/>
        </w:rPr>
        <w:t> </w:t>
      </w:r>
      <w:r>
        <w:rPr>
          <w:sz w:val="18"/>
        </w:rPr>
        <w:t>party</w:t>
      </w:r>
      <w:r>
        <w:rPr>
          <w:spacing w:val="-17"/>
          <w:sz w:val="18"/>
        </w:rPr>
        <w:t> </w:t>
      </w:r>
      <w:r>
        <w:rPr>
          <w:sz w:val="18"/>
        </w:rPr>
        <w:t>who</w:t>
      </w:r>
      <w:r>
        <w:rPr>
          <w:spacing w:val="-17"/>
          <w:sz w:val="18"/>
        </w:rPr>
        <w:t> </w:t>
      </w:r>
      <w:r>
        <w:rPr>
          <w:sz w:val="18"/>
        </w:rPr>
        <w:t>may</w:t>
      </w:r>
      <w:r>
        <w:rPr>
          <w:spacing w:val="-17"/>
          <w:sz w:val="18"/>
        </w:rPr>
        <w:t> </w:t>
      </w:r>
      <w:r>
        <w:rPr>
          <w:sz w:val="18"/>
        </w:rPr>
        <w:t>use</w:t>
      </w:r>
      <w:r>
        <w:rPr>
          <w:spacing w:val="-19"/>
          <w:sz w:val="18"/>
        </w:rPr>
        <w:t> </w:t>
      </w:r>
      <w:r>
        <w:rPr>
          <w:sz w:val="18"/>
        </w:rPr>
        <w:t>or</w:t>
      </w:r>
      <w:r>
        <w:rPr>
          <w:spacing w:val="-17"/>
          <w:sz w:val="18"/>
        </w:rPr>
        <w:t> </w:t>
      </w:r>
      <w:r>
        <w:rPr>
          <w:sz w:val="18"/>
        </w:rPr>
        <w:t>rely</w:t>
      </w:r>
      <w:r>
        <w:rPr>
          <w:spacing w:val="-18"/>
          <w:sz w:val="18"/>
        </w:rPr>
        <w:t> </w:t>
      </w:r>
      <w:r>
        <w:rPr>
          <w:sz w:val="18"/>
        </w:rPr>
        <w:t>on</w:t>
      </w:r>
      <w:r>
        <w:rPr>
          <w:spacing w:val="-17"/>
          <w:sz w:val="18"/>
        </w:rPr>
        <w:t> </w:t>
      </w:r>
      <w:r>
        <w:rPr>
          <w:sz w:val="18"/>
        </w:rPr>
        <w:t>the</w:t>
      </w:r>
      <w:r>
        <w:rPr>
          <w:spacing w:val="-16"/>
          <w:sz w:val="18"/>
        </w:rPr>
        <w:t> </w:t>
      </w:r>
      <w:r>
        <w:rPr>
          <w:sz w:val="18"/>
        </w:rPr>
        <w:t>whole</w:t>
      </w:r>
      <w:r>
        <w:rPr>
          <w:spacing w:val="-19"/>
          <w:sz w:val="18"/>
        </w:rPr>
        <w:t> </w:t>
      </w:r>
      <w:r>
        <w:rPr>
          <w:sz w:val="18"/>
        </w:rPr>
        <w:t>or</w:t>
      </w:r>
      <w:r>
        <w:rPr>
          <w:spacing w:val="-17"/>
          <w:sz w:val="18"/>
        </w:rPr>
        <w:t> </w:t>
      </w:r>
      <w:r>
        <w:rPr>
          <w:sz w:val="18"/>
        </w:rPr>
        <w:t>any</w:t>
      </w:r>
      <w:r>
        <w:rPr>
          <w:spacing w:val="-18"/>
          <w:sz w:val="18"/>
        </w:rPr>
        <w:t> </w:t>
      </w:r>
      <w:r>
        <w:rPr>
          <w:sz w:val="18"/>
        </w:rPr>
        <w:t>part</w:t>
      </w:r>
      <w:r>
        <w:rPr>
          <w:spacing w:val="-17"/>
          <w:sz w:val="18"/>
        </w:rPr>
        <w:t> </w:t>
      </w:r>
      <w:r>
        <w:rPr>
          <w:sz w:val="18"/>
        </w:rPr>
        <w:t>of</w:t>
      </w:r>
      <w:r>
        <w:rPr>
          <w:spacing w:val="-19"/>
          <w:sz w:val="18"/>
        </w:rPr>
        <w:t> </w:t>
      </w:r>
      <w:r>
        <w:rPr>
          <w:sz w:val="18"/>
        </w:rPr>
        <w:t>the</w:t>
      </w:r>
      <w:r>
        <w:rPr>
          <w:spacing w:val="-16"/>
          <w:sz w:val="18"/>
        </w:rPr>
        <w:t> </w:t>
      </w:r>
      <w:r>
        <w:rPr>
          <w:sz w:val="18"/>
        </w:rPr>
        <w:t>content</w:t>
      </w:r>
      <w:r>
        <w:rPr>
          <w:spacing w:val="-18"/>
          <w:sz w:val="18"/>
        </w:rPr>
        <w:t> </w:t>
      </w:r>
      <w:r>
        <w:rPr>
          <w:sz w:val="18"/>
        </w:rPr>
        <w:t>of this</w:t>
      </w:r>
      <w:r>
        <w:rPr>
          <w:spacing w:val="-7"/>
          <w:sz w:val="18"/>
        </w:rPr>
        <w:t> </w:t>
      </w:r>
      <w:r>
        <w:rPr>
          <w:sz w:val="18"/>
        </w:rPr>
        <w:t>valuation.</w:t>
      </w:r>
      <w:r>
        <w:rPr>
          <w:spacing w:val="-6"/>
          <w:sz w:val="18"/>
        </w:rPr>
        <w:t> </w:t>
      </w:r>
      <w:r>
        <w:rPr>
          <w:sz w:val="18"/>
        </w:rPr>
        <w:t>The</w:t>
      </w:r>
      <w:r>
        <w:rPr>
          <w:spacing w:val="-6"/>
          <w:sz w:val="18"/>
        </w:rPr>
        <w:t> </w:t>
      </w:r>
      <w:r>
        <w:rPr>
          <w:sz w:val="18"/>
        </w:rPr>
        <w:t>valuer</w:t>
      </w:r>
      <w:r>
        <w:rPr>
          <w:spacing w:val="-6"/>
          <w:sz w:val="18"/>
        </w:rPr>
        <w:t> </w:t>
      </w:r>
      <w:r>
        <w:rPr>
          <w:sz w:val="18"/>
        </w:rPr>
        <w:t>has</w:t>
      </w:r>
      <w:r>
        <w:rPr>
          <w:spacing w:val="-7"/>
          <w:sz w:val="18"/>
        </w:rPr>
        <w:t> </w:t>
      </w:r>
      <w:r>
        <w:rPr>
          <w:sz w:val="18"/>
        </w:rPr>
        <w:t>no</w:t>
      </w:r>
      <w:r>
        <w:rPr>
          <w:spacing w:val="-6"/>
          <w:sz w:val="18"/>
        </w:rPr>
        <w:t> </w:t>
      </w:r>
      <w:r>
        <w:rPr>
          <w:sz w:val="18"/>
        </w:rPr>
        <w:t>pecuniary</w:t>
      </w:r>
      <w:r>
        <w:rPr>
          <w:spacing w:val="-6"/>
          <w:sz w:val="18"/>
        </w:rPr>
        <w:t> </w:t>
      </w:r>
      <w:r>
        <w:rPr>
          <w:sz w:val="18"/>
        </w:rPr>
        <w:t>interest</w:t>
      </w:r>
      <w:r>
        <w:rPr>
          <w:spacing w:val="-7"/>
          <w:sz w:val="18"/>
        </w:rPr>
        <w:t> </w:t>
      </w:r>
      <w:r>
        <w:rPr>
          <w:sz w:val="18"/>
        </w:rPr>
        <w:t>that</w:t>
      </w:r>
      <w:r>
        <w:rPr>
          <w:spacing w:val="-7"/>
          <w:sz w:val="18"/>
        </w:rPr>
        <w:t> </w:t>
      </w:r>
      <w:r>
        <w:rPr>
          <w:sz w:val="18"/>
        </w:rPr>
        <w:t>would</w:t>
      </w:r>
      <w:r>
        <w:rPr>
          <w:spacing w:val="-6"/>
          <w:sz w:val="18"/>
        </w:rPr>
        <w:t> </w:t>
      </w:r>
      <w:r>
        <w:rPr>
          <w:sz w:val="18"/>
        </w:rPr>
        <w:t>conflict</w:t>
      </w:r>
      <w:r>
        <w:rPr>
          <w:spacing w:val="-7"/>
          <w:sz w:val="18"/>
        </w:rPr>
        <w:t> </w:t>
      </w:r>
      <w:r>
        <w:rPr>
          <w:sz w:val="18"/>
        </w:rPr>
        <w:t>with</w:t>
      </w:r>
      <w:r>
        <w:rPr>
          <w:spacing w:val="-6"/>
          <w:sz w:val="18"/>
        </w:rPr>
        <w:t> </w:t>
      </w:r>
      <w:r>
        <w:rPr>
          <w:sz w:val="18"/>
        </w:rPr>
        <w:t>the</w:t>
      </w:r>
      <w:r>
        <w:rPr>
          <w:spacing w:val="-6"/>
          <w:sz w:val="18"/>
        </w:rPr>
        <w:t> </w:t>
      </w:r>
      <w:r>
        <w:rPr>
          <w:sz w:val="18"/>
        </w:rPr>
        <w:t>proper</w:t>
      </w:r>
      <w:r>
        <w:rPr>
          <w:spacing w:val="-7"/>
          <w:sz w:val="18"/>
        </w:rPr>
        <w:t> </w:t>
      </w:r>
      <w:r>
        <w:rPr>
          <w:sz w:val="18"/>
        </w:rPr>
        <w:t>valuation</w:t>
      </w:r>
      <w:r>
        <w:rPr>
          <w:spacing w:val="2"/>
          <w:sz w:val="18"/>
        </w:rPr>
        <w:t> </w:t>
      </w:r>
      <w:r>
        <w:rPr>
          <w:sz w:val="18"/>
        </w:rPr>
        <w:t>of</w:t>
      </w:r>
      <w:r>
        <w:rPr>
          <w:spacing w:val="-7"/>
          <w:sz w:val="18"/>
        </w:rPr>
        <w:t> </w:t>
      </w:r>
      <w:r>
        <w:rPr>
          <w:sz w:val="18"/>
        </w:rPr>
        <w:t>the property</w:t>
      </w:r>
    </w:p>
    <w:p>
      <w:pPr>
        <w:spacing w:after="0" w:line="321" w:lineRule="auto"/>
        <w:jc w:val="both"/>
        <w:rPr>
          <w:sz w:val="18"/>
        </w:rPr>
        <w:sectPr>
          <w:type w:val="continuous"/>
          <w:pgSz w:w="11910" w:h="16840"/>
          <w:pgMar w:top="800" w:bottom="280" w:left="440" w:right="80"/>
          <w:cols w:num="2" w:equalWidth="0">
            <w:col w:w="2236" w:space="40"/>
            <w:col w:w="9114"/>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after="1"/>
        <w:rPr>
          <w:sz w:val="16"/>
        </w:rPr>
      </w:pPr>
    </w:p>
    <w:p>
      <w:pPr>
        <w:pStyle w:val="BodyText"/>
        <w:spacing w:line="20" w:lineRule="exact"/>
        <w:ind w:left="280"/>
        <w:rPr>
          <w:sz w:val="2"/>
        </w:rPr>
      </w:pPr>
      <w:r>
        <w:rPr>
          <w:sz w:val="2"/>
        </w:rPr>
        <w:pict>
          <v:group style="width:144.050pt;height:.6pt;mso-position-horizontal-relative:char;mso-position-vertical-relative:line" coordorigin="0,0" coordsize="2881,12">
            <v:rect style="position:absolute;left:0;top:0;width:2881;height:12" filled="true" fillcolor="#000000" stroked="false">
              <v:fill type="solid"/>
            </v:rect>
          </v:group>
        </w:pict>
      </w:r>
      <w:r>
        <w:rPr>
          <w:sz w:val="2"/>
        </w:rPr>
      </w:r>
    </w:p>
    <w:p>
      <w:pPr>
        <w:spacing w:before="91"/>
        <w:ind w:left="280" w:right="0" w:firstLine="0"/>
        <w:jc w:val="left"/>
        <w:rPr>
          <w:i/>
          <w:sz w:val="18"/>
        </w:rPr>
      </w:pPr>
      <w:r>
        <w:rPr>
          <w:position w:val="6"/>
          <w:sz w:val="11"/>
        </w:rPr>
        <w:t>1 </w:t>
      </w:r>
      <w:r>
        <w:rPr>
          <w:i/>
          <w:sz w:val="18"/>
        </w:rPr>
        <w:t>Not Applicable. For completed properties, guidance (ready reckoner) value is calculated on the basis of built-up area</w:t>
      </w:r>
    </w:p>
    <w:p>
      <w:pPr>
        <w:spacing w:after="0"/>
        <w:jc w:val="left"/>
        <w:rPr>
          <w:sz w:val="18"/>
        </w:rPr>
        <w:sectPr>
          <w:type w:val="continuous"/>
          <w:pgSz w:w="11910" w:h="16840"/>
          <w:pgMar w:top="800" w:bottom="280" w:left="440" w:right="80"/>
        </w:sectPr>
      </w:pPr>
    </w:p>
    <w:p>
      <w:pPr>
        <w:pStyle w:val="BodyText"/>
        <w:spacing w:before="5"/>
        <w:rPr>
          <w:i/>
        </w:rPr>
      </w:pPr>
    </w:p>
    <w:p>
      <w:pPr>
        <w:pStyle w:val="ListParagraph"/>
        <w:numPr>
          <w:ilvl w:val="1"/>
          <w:numId w:val="26"/>
        </w:numPr>
        <w:tabs>
          <w:tab w:pos="857" w:val="left" w:leader="none"/>
        </w:tabs>
        <w:spacing w:line="240" w:lineRule="auto" w:before="106" w:after="0"/>
        <w:ind w:left="856" w:right="0" w:hanging="577"/>
        <w:jc w:val="left"/>
        <w:rPr>
          <w:sz w:val="22"/>
        </w:rPr>
      </w:pPr>
      <w:bookmarkStart w:name="_bookmark39" w:id="78"/>
      <w:bookmarkEnd w:id="78"/>
      <w:r>
        <w:rPr/>
      </w:r>
      <w:bookmarkStart w:name="_bookmark39" w:id="79"/>
      <w:bookmarkEnd w:id="79"/>
      <w:r>
        <w:rPr>
          <w:color w:val="1F6647"/>
          <w:w w:val="110"/>
          <w:sz w:val="22"/>
        </w:rPr>
        <w:t>E</w:t>
      </w:r>
      <w:r>
        <w:rPr>
          <w:color w:val="1F6647"/>
          <w:w w:val="110"/>
          <w:sz w:val="22"/>
        </w:rPr>
        <w:t>mbassy</w:t>
      </w:r>
      <w:r>
        <w:rPr>
          <w:color w:val="1F6647"/>
          <w:spacing w:val="-10"/>
          <w:w w:val="110"/>
          <w:sz w:val="22"/>
        </w:rPr>
        <w:t> </w:t>
      </w:r>
      <w:r>
        <w:rPr>
          <w:color w:val="1F6647"/>
          <w:w w:val="110"/>
          <w:sz w:val="22"/>
        </w:rPr>
        <w:t>One</w:t>
      </w:r>
    </w:p>
    <w:p>
      <w:pPr>
        <w:pStyle w:val="BodyText"/>
        <w:rPr>
          <w:sz w:val="29"/>
        </w:rPr>
      </w:pPr>
    </w:p>
    <w:p>
      <w:pPr>
        <w:tabs>
          <w:tab w:pos="2385" w:val="left" w:leader="none"/>
        </w:tabs>
        <w:spacing w:line="321" w:lineRule="auto" w:before="0"/>
        <w:ind w:left="2385" w:right="658" w:hanging="1993"/>
        <w:jc w:val="both"/>
        <w:rPr>
          <w:sz w:val="18"/>
        </w:rPr>
      </w:pPr>
      <w:r>
        <w:rPr>
          <w:color w:val="006A4D"/>
          <w:sz w:val="18"/>
        </w:rPr>
        <w:t>Property</w:t>
      </w:r>
      <w:r>
        <w:rPr>
          <w:color w:val="006A4D"/>
          <w:spacing w:val="-15"/>
          <w:sz w:val="18"/>
        </w:rPr>
        <w:t> </w:t>
      </w:r>
      <w:r>
        <w:rPr>
          <w:color w:val="006A4D"/>
          <w:sz w:val="18"/>
        </w:rPr>
        <w:t>Name:</w:t>
        <w:tab/>
      </w:r>
      <w:r>
        <w:rPr>
          <w:sz w:val="18"/>
        </w:rPr>
        <w:t>‘Embassy</w:t>
      </w:r>
      <w:r>
        <w:rPr>
          <w:spacing w:val="-4"/>
          <w:sz w:val="18"/>
        </w:rPr>
        <w:t> </w:t>
      </w:r>
      <w:r>
        <w:rPr>
          <w:sz w:val="18"/>
        </w:rPr>
        <w:t>One’</w:t>
      </w:r>
      <w:r>
        <w:rPr>
          <w:spacing w:val="-4"/>
          <w:sz w:val="18"/>
        </w:rPr>
        <w:t> </w:t>
      </w:r>
      <w:r>
        <w:rPr>
          <w:sz w:val="18"/>
        </w:rPr>
        <w:t>is</w:t>
      </w:r>
      <w:r>
        <w:rPr>
          <w:spacing w:val="-3"/>
          <w:sz w:val="18"/>
        </w:rPr>
        <w:t> </w:t>
      </w:r>
      <w:r>
        <w:rPr>
          <w:sz w:val="18"/>
        </w:rPr>
        <w:t>a</w:t>
      </w:r>
      <w:r>
        <w:rPr>
          <w:spacing w:val="-2"/>
          <w:sz w:val="18"/>
        </w:rPr>
        <w:t> </w:t>
      </w:r>
      <w:r>
        <w:rPr>
          <w:sz w:val="18"/>
        </w:rPr>
        <w:t>premium</w:t>
      </w:r>
      <w:r>
        <w:rPr>
          <w:spacing w:val="-2"/>
          <w:sz w:val="18"/>
        </w:rPr>
        <w:t> </w:t>
      </w:r>
      <w:r>
        <w:rPr>
          <w:sz w:val="18"/>
        </w:rPr>
        <w:t>mixed-used</w:t>
      </w:r>
      <w:r>
        <w:rPr>
          <w:spacing w:val="-3"/>
          <w:sz w:val="18"/>
        </w:rPr>
        <w:t> </w:t>
      </w:r>
      <w:r>
        <w:rPr>
          <w:sz w:val="18"/>
        </w:rPr>
        <w:t>asset</w:t>
      </w:r>
      <w:r>
        <w:rPr>
          <w:spacing w:val="-4"/>
          <w:sz w:val="18"/>
        </w:rPr>
        <w:t> </w:t>
      </w:r>
      <w:r>
        <w:rPr>
          <w:sz w:val="18"/>
        </w:rPr>
        <w:t>(office,</w:t>
      </w:r>
      <w:r>
        <w:rPr>
          <w:spacing w:val="-4"/>
          <w:sz w:val="18"/>
        </w:rPr>
        <w:t> </w:t>
      </w:r>
      <w:r>
        <w:rPr>
          <w:sz w:val="18"/>
        </w:rPr>
        <w:t>retail</w:t>
      </w:r>
      <w:r>
        <w:rPr>
          <w:spacing w:val="-4"/>
          <w:sz w:val="18"/>
        </w:rPr>
        <w:t> </w:t>
      </w:r>
      <w:r>
        <w:rPr>
          <w:sz w:val="18"/>
        </w:rPr>
        <w:t>and</w:t>
      </w:r>
      <w:r>
        <w:rPr>
          <w:spacing w:val="-4"/>
          <w:sz w:val="18"/>
        </w:rPr>
        <w:t> </w:t>
      </w:r>
      <w:r>
        <w:rPr>
          <w:sz w:val="18"/>
        </w:rPr>
        <w:t>hospitality</w:t>
      </w:r>
      <w:r>
        <w:rPr>
          <w:spacing w:val="-1"/>
          <w:sz w:val="18"/>
        </w:rPr>
        <w:t> </w:t>
      </w:r>
      <w:r>
        <w:rPr>
          <w:sz w:val="18"/>
        </w:rPr>
        <w:t>component)</w:t>
      </w:r>
      <w:r>
        <w:rPr>
          <w:spacing w:val="-3"/>
          <w:sz w:val="18"/>
        </w:rPr>
        <w:t> </w:t>
      </w:r>
      <w:r>
        <w:rPr>
          <w:sz w:val="18"/>
        </w:rPr>
        <w:t>located</w:t>
      </w:r>
      <w:r>
        <w:rPr>
          <w:spacing w:val="-3"/>
          <w:sz w:val="18"/>
        </w:rPr>
        <w:t> </w:t>
      </w:r>
      <w:r>
        <w:rPr>
          <w:sz w:val="18"/>
        </w:rPr>
        <w:t>along, Bellary Road, Ganga Nagar, Bengaluru,</w:t>
      </w:r>
      <w:r>
        <w:rPr>
          <w:spacing w:val="-8"/>
          <w:sz w:val="18"/>
        </w:rPr>
        <w:t> </w:t>
      </w:r>
      <w:r>
        <w:rPr>
          <w:sz w:val="18"/>
        </w:rPr>
        <w:t>Karnataka</w:t>
      </w:r>
    </w:p>
    <w:p>
      <w:pPr>
        <w:pStyle w:val="BodyText"/>
        <w:spacing w:before="7"/>
        <w:rPr>
          <w:sz w:val="21"/>
        </w:rPr>
      </w:pPr>
    </w:p>
    <w:p>
      <w:pPr>
        <w:tabs>
          <w:tab w:pos="2385" w:val="left" w:leader="none"/>
        </w:tabs>
        <w:spacing w:before="0"/>
        <w:ind w:left="392" w:right="0" w:firstLine="0"/>
        <w:jc w:val="left"/>
        <w:rPr>
          <w:sz w:val="18"/>
        </w:rPr>
      </w:pPr>
      <w:r>
        <w:rPr>
          <w:color w:val="006A4D"/>
          <w:sz w:val="18"/>
        </w:rPr>
        <w:t>Property</w:t>
      </w:r>
      <w:r>
        <w:rPr>
          <w:color w:val="006A4D"/>
          <w:spacing w:val="-24"/>
          <w:sz w:val="18"/>
        </w:rPr>
        <w:t> </w:t>
      </w:r>
      <w:r>
        <w:rPr>
          <w:color w:val="006A4D"/>
          <w:sz w:val="18"/>
        </w:rPr>
        <w:t>Address:</w:t>
        <w:tab/>
      </w:r>
      <w:r>
        <w:rPr>
          <w:sz w:val="18"/>
        </w:rPr>
        <w:t>Bellary Road, Ganga Nagar, Bengaluru,</w:t>
      </w:r>
      <w:r>
        <w:rPr>
          <w:spacing w:val="13"/>
          <w:sz w:val="18"/>
        </w:rPr>
        <w:t> </w:t>
      </w:r>
      <w:r>
        <w:rPr>
          <w:sz w:val="18"/>
        </w:rPr>
        <w:t>Karnataka</w:t>
      </w:r>
    </w:p>
    <w:p>
      <w:pPr>
        <w:pStyle w:val="BodyText"/>
        <w:spacing w:before="8"/>
        <w:rPr>
          <w:sz w:val="27"/>
        </w:rPr>
      </w:pPr>
    </w:p>
    <w:p>
      <w:pPr>
        <w:tabs>
          <w:tab w:pos="2385" w:val="left" w:leader="none"/>
        </w:tabs>
        <w:spacing w:line="321" w:lineRule="auto" w:before="0"/>
        <w:ind w:left="2385" w:right="657" w:hanging="1993"/>
        <w:jc w:val="both"/>
        <w:rPr>
          <w:sz w:val="18"/>
        </w:rPr>
      </w:pPr>
      <w:r>
        <w:rPr>
          <w:color w:val="006A4D"/>
          <w:sz w:val="18"/>
        </w:rPr>
        <w:t>Land</w:t>
      </w:r>
      <w:r>
        <w:rPr>
          <w:color w:val="006A4D"/>
          <w:spacing w:val="-4"/>
          <w:sz w:val="18"/>
        </w:rPr>
        <w:t> </w:t>
      </w:r>
      <w:r>
        <w:rPr>
          <w:color w:val="006A4D"/>
          <w:sz w:val="18"/>
        </w:rPr>
        <w:t>Area:</w:t>
        <w:tab/>
      </w:r>
      <w:r>
        <w:rPr>
          <w:sz w:val="18"/>
        </w:rPr>
        <w:t>Based</w:t>
      </w:r>
      <w:r>
        <w:rPr>
          <w:spacing w:val="-29"/>
          <w:sz w:val="18"/>
        </w:rPr>
        <w:t> </w:t>
      </w:r>
      <w:r>
        <w:rPr>
          <w:sz w:val="18"/>
        </w:rPr>
        <w:t>on</w:t>
      </w:r>
      <w:r>
        <w:rPr>
          <w:spacing w:val="-28"/>
          <w:sz w:val="18"/>
        </w:rPr>
        <w:t> </w:t>
      </w:r>
      <w:r>
        <w:rPr>
          <w:sz w:val="18"/>
        </w:rPr>
        <w:t>review</w:t>
      </w:r>
      <w:r>
        <w:rPr>
          <w:spacing w:val="-29"/>
          <w:sz w:val="18"/>
        </w:rPr>
        <w:t> </w:t>
      </w:r>
      <w:r>
        <w:rPr>
          <w:sz w:val="18"/>
        </w:rPr>
        <w:t>of</w:t>
      </w:r>
      <w:r>
        <w:rPr>
          <w:spacing w:val="-28"/>
          <w:sz w:val="18"/>
        </w:rPr>
        <w:t> </w:t>
      </w:r>
      <w:r>
        <w:rPr>
          <w:sz w:val="18"/>
        </w:rPr>
        <w:t>the</w:t>
      </w:r>
      <w:r>
        <w:rPr>
          <w:spacing w:val="-29"/>
          <w:sz w:val="18"/>
        </w:rPr>
        <w:t> </w:t>
      </w:r>
      <w:r>
        <w:rPr>
          <w:sz w:val="18"/>
        </w:rPr>
        <w:t>title</w:t>
      </w:r>
      <w:r>
        <w:rPr>
          <w:spacing w:val="-28"/>
          <w:sz w:val="18"/>
        </w:rPr>
        <w:t> </w:t>
      </w:r>
      <w:r>
        <w:rPr>
          <w:sz w:val="18"/>
        </w:rPr>
        <w:t>report,</w:t>
      </w:r>
      <w:r>
        <w:rPr>
          <w:spacing w:val="-29"/>
          <w:sz w:val="18"/>
        </w:rPr>
        <w:t> </w:t>
      </w:r>
      <w:r>
        <w:rPr>
          <w:sz w:val="18"/>
        </w:rPr>
        <w:t>we</w:t>
      </w:r>
      <w:r>
        <w:rPr>
          <w:spacing w:val="-28"/>
          <w:sz w:val="18"/>
        </w:rPr>
        <w:t> </w:t>
      </w:r>
      <w:r>
        <w:rPr>
          <w:sz w:val="18"/>
        </w:rPr>
        <w:t>understand</w:t>
      </w:r>
      <w:r>
        <w:rPr>
          <w:spacing w:val="-29"/>
          <w:sz w:val="18"/>
        </w:rPr>
        <w:t> </w:t>
      </w:r>
      <w:r>
        <w:rPr>
          <w:sz w:val="18"/>
        </w:rPr>
        <w:t>that</w:t>
      </w:r>
      <w:r>
        <w:rPr>
          <w:spacing w:val="-30"/>
          <w:sz w:val="18"/>
        </w:rPr>
        <w:t> </w:t>
      </w:r>
      <w:r>
        <w:rPr>
          <w:sz w:val="18"/>
        </w:rPr>
        <w:t>the</w:t>
      </w:r>
      <w:r>
        <w:rPr>
          <w:spacing w:val="-28"/>
          <w:sz w:val="18"/>
        </w:rPr>
        <w:t> </w:t>
      </w:r>
      <w:r>
        <w:rPr>
          <w:sz w:val="18"/>
        </w:rPr>
        <w:t>total</w:t>
      </w:r>
      <w:r>
        <w:rPr>
          <w:spacing w:val="-29"/>
          <w:sz w:val="18"/>
        </w:rPr>
        <w:t> </w:t>
      </w:r>
      <w:r>
        <w:rPr>
          <w:sz w:val="18"/>
        </w:rPr>
        <w:t>land</w:t>
      </w:r>
      <w:r>
        <w:rPr>
          <w:spacing w:val="-29"/>
          <w:sz w:val="18"/>
        </w:rPr>
        <w:t> </w:t>
      </w:r>
      <w:r>
        <w:rPr>
          <w:sz w:val="18"/>
        </w:rPr>
        <w:t>area</w:t>
      </w:r>
      <w:r>
        <w:rPr>
          <w:spacing w:val="-28"/>
          <w:sz w:val="18"/>
        </w:rPr>
        <w:t> </w:t>
      </w:r>
      <w:r>
        <w:rPr>
          <w:sz w:val="18"/>
        </w:rPr>
        <w:t>of</w:t>
      </w:r>
      <w:r>
        <w:rPr>
          <w:spacing w:val="-28"/>
          <w:sz w:val="18"/>
        </w:rPr>
        <w:t> </w:t>
      </w:r>
      <w:r>
        <w:rPr>
          <w:sz w:val="18"/>
        </w:rPr>
        <w:t>the</w:t>
      </w:r>
      <w:r>
        <w:rPr>
          <w:spacing w:val="-29"/>
          <w:sz w:val="18"/>
        </w:rPr>
        <w:t> </w:t>
      </w:r>
      <w:r>
        <w:rPr>
          <w:sz w:val="18"/>
        </w:rPr>
        <w:t>subject</w:t>
      </w:r>
      <w:r>
        <w:rPr>
          <w:spacing w:val="-29"/>
          <w:sz w:val="18"/>
        </w:rPr>
        <w:t> </w:t>
      </w:r>
      <w:r>
        <w:rPr>
          <w:sz w:val="18"/>
        </w:rPr>
        <w:t>property</w:t>
      </w:r>
      <w:r>
        <w:rPr>
          <w:spacing w:val="-29"/>
          <w:sz w:val="18"/>
        </w:rPr>
        <w:t> </w:t>
      </w:r>
      <w:r>
        <w:rPr>
          <w:sz w:val="18"/>
        </w:rPr>
        <w:t>under</w:t>
      </w:r>
      <w:r>
        <w:rPr>
          <w:spacing w:val="-29"/>
          <w:sz w:val="18"/>
        </w:rPr>
        <w:t> </w:t>
      </w:r>
      <w:r>
        <w:rPr>
          <w:sz w:val="18"/>
        </w:rPr>
        <w:t>the ownership</w:t>
      </w:r>
      <w:r>
        <w:rPr>
          <w:spacing w:val="-30"/>
          <w:sz w:val="18"/>
        </w:rPr>
        <w:t> </w:t>
      </w:r>
      <w:r>
        <w:rPr>
          <w:sz w:val="18"/>
        </w:rPr>
        <w:t>of</w:t>
      </w:r>
      <w:r>
        <w:rPr>
          <w:spacing w:val="-27"/>
          <w:sz w:val="18"/>
        </w:rPr>
        <w:t> </w:t>
      </w:r>
      <w:r>
        <w:rPr>
          <w:sz w:val="18"/>
        </w:rPr>
        <w:t>the</w:t>
      </w:r>
      <w:r>
        <w:rPr>
          <w:spacing w:val="-27"/>
          <w:sz w:val="18"/>
        </w:rPr>
        <w:t> </w:t>
      </w:r>
      <w:r>
        <w:rPr>
          <w:sz w:val="18"/>
        </w:rPr>
        <w:t>Client</w:t>
      </w:r>
      <w:r>
        <w:rPr>
          <w:spacing w:val="-29"/>
          <w:sz w:val="18"/>
        </w:rPr>
        <w:t> </w:t>
      </w:r>
      <w:r>
        <w:rPr>
          <w:sz w:val="18"/>
        </w:rPr>
        <w:t>is</w:t>
      </w:r>
      <w:r>
        <w:rPr>
          <w:spacing w:val="-27"/>
          <w:sz w:val="18"/>
        </w:rPr>
        <w:t> </w:t>
      </w:r>
      <w:r>
        <w:rPr>
          <w:sz w:val="18"/>
        </w:rPr>
        <w:t>approximately</w:t>
      </w:r>
      <w:r>
        <w:rPr>
          <w:spacing w:val="-26"/>
          <w:sz w:val="18"/>
        </w:rPr>
        <w:t> </w:t>
      </w:r>
      <w:r>
        <w:rPr>
          <w:sz w:val="18"/>
        </w:rPr>
        <w:t>5.62</w:t>
      </w:r>
      <w:r>
        <w:rPr>
          <w:spacing w:val="-28"/>
          <w:sz w:val="18"/>
        </w:rPr>
        <w:t> </w:t>
      </w:r>
      <w:r>
        <w:rPr>
          <w:sz w:val="18"/>
        </w:rPr>
        <w:t>Acres</w:t>
      </w:r>
      <w:r>
        <w:rPr>
          <w:spacing w:val="-27"/>
          <w:sz w:val="18"/>
        </w:rPr>
        <w:t> </w:t>
      </w:r>
      <w:r>
        <w:rPr>
          <w:sz w:val="18"/>
        </w:rPr>
        <w:t>(which</w:t>
      </w:r>
      <w:r>
        <w:rPr>
          <w:spacing w:val="-28"/>
          <w:sz w:val="18"/>
        </w:rPr>
        <w:t> </w:t>
      </w:r>
      <w:r>
        <w:rPr>
          <w:sz w:val="18"/>
        </w:rPr>
        <w:t>incrementally</w:t>
      </w:r>
      <w:r>
        <w:rPr>
          <w:spacing w:val="-27"/>
          <w:sz w:val="18"/>
        </w:rPr>
        <w:t> </w:t>
      </w:r>
      <w:r>
        <w:rPr>
          <w:sz w:val="18"/>
        </w:rPr>
        <w:t>includes</w:t>
      </w:r>
      <w:r>
        <w:rPr>
          <w:spacing w:val="-28"/>
          <w:sz w:val="18"/>
        </w:rPr>
        <w:t> </w:t>
      </w:r>
      <w:r>
        <w:rPr>
          <w:sz w:val="18"/>
        </w:rPr>
        <w:t>residential</w:t>
      </w:r>
      <w:r>
        <w:rPr>
          <w:spacing w:val="-29"/>
          <w:sz w:val="18"/>
        </w:rPr>
        <w:t> </w:t>
      </w:r>
      <w:r>
        <w:rPr>
          <w:sz w:val="18"/>
        </w:rPr>
        <w:t>component). The</w:t>
      </w:r>
      <w:r>
        <w:rPr>
          <w:spacing w:val="-26"/>
          <w:sz w:val="18"/>
        </w:rPr>
        <w:t> </w:t>
      </w:r>
      <w:r>
        <w:rPr>
          <w:sz w:val="18"/>
        </w:rPr>
        <w:t>interest</w:t>
      </w:r>
      <w:r>
        <w:rPr>
          <w:spacing w:val="-27"/>
          <w:sz w:val="18"/>
        </w:rPr>
        <w:t> </w:t>
      </w:r>
      <w:r>
        <w:rPr>
          <w:sz w:val="18"/>
        </w:rPr>
        <w:t>being</w:t>
      </w:r>
      <w:r>
        <w:rPr>
          <w:spacing w:val="-28"/>
          <w:sz w:val="18"/>
        </w:rPr>
        <w:t> </w:t>
      </w:r>
      <w:r>
        <w:rPr>
          <w:sz w:val="18"/>
        </w:rPr>
        <w:t>valued</w:t>
      </w:r>
      <w:r>
        <w:rPr>
          <w:spacing w:val="-28"/>
          <w:sz w:val="18"/>
        </w:rPr>
        <w:t> </w:t>
      </w:r>
      <w:r>
        <w:rPr>
          <w:sz w:val="18"/>
        </w:rPr>
        <w:t>as</w:t>
      </w:r>
      <w:r>
        <w:rPr>
          <w:spacing w:val="-27"/>
          <w:sz w:val="18"/>
        </w:rPr>
        <w:t> </w:t>
      </w:r>
      <w:r>
        <w:rPr>
          <w:sz w:val="18"/>
        </w:rPr>
        <w:t>part</w:t>
      </w:r>
      <w:r>
        <w:rPr>
          <w:spacing w:val="-27"/>
          <w:sz w:val="18"/>
        </w:rPr>
        <w:t> </w:t>
      </w:r>
      <w:r>
        <w:rPr>
          <w:sz w:val="18"/>
        </w:rPr>
        <w:t>of</w:t>
      </w:r>
      <w:r>
        <w:rPr>
          <w:spacing w:val="-27"/>
          <w:sz w:val="18"/>
        </w:rPr>
        <w:t> </w:t>
      </w:r>
      <w:r>
        <w:rPr>
          <w:sz w:val="18"/>
        </w:rPr>
        <w:t>this</w:t>
      </w:r>
      <w:r>
        <w:rPr>
          <w:spacing w:val="-26"/>
          <w:sz w:val="18"/>
        </w:rPr>
        <w:t> </w:t>
      </w:r>
      <w:r>
        <w:rPr>
          <w:sz w:val="18"/>
        </w:rPr>
        <w:t>assessment</w:t>
      </w:r>
      <w:r>
        <w:rPr>
          <w:spacing w:val="-27"/>
          <w:sz w:val="18"/>
        </w:rPr>
        <w:t> </w:t>
      </w:r>
      <w:r>
        <w:rPr>
          <w:sz w:val="18"/>
        </w:rPr>
        <w:t>is</w:t>
      </w:r>
      <w:r>
        <w:rPr>
          <w:spacing w:val="-26"/>
          <w:sz w:val="18"/>
        </w:rPr>
        <w:t> </w:t>
      </w:r>
      <w:r>
        <w:rPr>
          <w:sz w:val="18"/>
        </w:rPr>
        <w:t>an</w:t>
      </w:r>
      <w:r>
        <w:rPr>
          <w:spacing w:val="-27"/>
          <w:sz w:val="18"/>
        </w:rPr>
        <w:t> </w:t>
      </w:r>
      <w:r>
        <w:rPr>
          <w:sz w:val="18"/>
        </w:rPr>
        <w:t>undivided</w:t>
      </w:r>
      <w:r>
        <w:rPr>
          <w:spacing w:val="-26"/>
          <w:sz w:val="18"/>
        </w:rPr>
        <w:t> </w:t>
      </w:r>
      <w:r>
        <w:rPr>
          <w:sz w:val="18"/>
        </w:rPr>
        <w:t>share</w:t>
      </w:r>
      <w:r>
        <w:rPr>
          <w:spacing w:val="-27"/>
          <w:sz w:val="18"/>
        </w:rPr>
        <w:t> </w:t>
      </w:r>
      <w:r>
        <w:rPr>
          <w:sz w:val="18"/>
        </w:rPr>
        <w:t>of</w:t>
      </w:r>
      <w:r>
        <w:rPr>
          <w:spacing w:val="-26"/>
          <w:sz w:val="18"/>
        </w:rPr>
        <w:t> </w:t>
      </w:r>
      <w:r>
        <w:rPr>
          <w:sz w:val="18"/>
        </w:rPr>
        <w:t>3.19</w:t>
      </w:r>
      <w:r>
        <w:rPr>
          <w:spacing w:val="-26"/>
          <w:sz w:val="18"/>
        </w:rPr>
        <w:t> </w:t>
      </w:r>
      <w:r>
        <w:rPr>
          <w:sz w:val="18"/>
        </w:rPr>
        <w:t>Acres</w:t>
      </w:r>
      <w:r>
        <w:rPr>
          <w:spacing w:val="-28"/>
          <w:sz w:val="18"/>
        </w:rPr>
        <w:t> </w:t>
      </w:r>
      <w:r>
        <w:rPr>
          <w:sz w:val="18"/>
        </w:rPr>
        <w:t>(for</w:t>
      </w:r>
      <w:r>
        <w:rPr>
          <w:spacing w:val="-26"/>
          <w:sz w:val="18"/>
        </w:rPr>
        <w:t> </w:t>
      </w:r>
      <w:r>
        <w:rPr>
          <w:sz w:val="18"/>
        </w:rPr>
        <w:t>the</w:t>
      </w:r>
      <w:r>
        <w:rPr>
          <w:spacing w:val="-25"/>
          <w:sz w:val="18"/>
        </w:rPr>
        <w:t> </w:t>
      </w:r>
      <w:r>
        <w:rPr>
          <w:sz w:val="18"/>
        </w:rPr>
        <w:t>office,</w:t>
      </w:r>
      <w:r>
        <w:rPr>
          <w:spacing w:val="-27"/>
          <w:sz w:val="18"/>
        </w:rPr>
        <w:t> </w:t>
      </w:r>
      <w:r>
        <w:rPr>
          <w:sz w:val="18"/>
        </w:rPr>
        <w:t>retail and hospitality</w:t>
      </w:r>
      <w:r>
        <w:rPr>
          <w:spacing w:val="-6"/>
          <w:sz w:val="18"/>
        </w:rPr>
        <w:t> </w:t>
      </w:r>
      <w:r>
        <w:rPr>
          <w:sz w:val="18"/>
        </w:rPr>
        <w:t>components).</w:t>
      </w:r>
    </w:p>
    <w:p>
      <w:pPr>
        <w:pStyle w:val="BodyText"/>
        <w:spacing w:before="7"/>
        <w:rPr>
          <w:sz w:val="21"/>
        </w:rPr>
      </w:pPr>
    </w:p>
    <w:p>
      <w:pPr>
        <w:tabs>
          <w:tab w:pos="2385" w:val="left" w:leader="none"/>
        </w:tabs>
        <w:spacing w:line="321" w:lineRule="auto" w:before="0"/>
        <w:ind w:left="2385" w:right="656" w:hanging="1993"/>
        <w:jc w:val="both"/>
        <w:rPr>
          <w:sz w:val="18"/>
        </w:rPr>
      </w:pPr>
      <w:r>
        <w:rPr>
          <w:color w:val="006A4D"/>
          <w:sz w:val="18"/>
        </w:rPr>
        <w:t>Brief</w:t>
      </w:r>
      <w:r>
        <w:rPr>
          <w:color w:val="006A4D"/>
          <w:spacing w:val="-31"/>
          <w:sz w:val="18"/>
        </w:rPr>
        <w:t> </w:t>
      </w:r>
      <w:r>
        <w:rPr>
          <w:color w:val="006A4D"/>
          <w:sz w:val="18"/>
        </w:rPr>
        <w:t>Description:</w:t>
        <w:tab/>
      </w:r>
      <w:r>
        <w:rPr>
          <w:sz w:val="18"/>
        </w:rPr>
        <w:t>The</w:t>
      </w:r>
      <w:r>
        <w:rPr>
          <w:spacing w:val="-13"/>
          <w:sz w:val="18"/>
        </w:rPr>
        <w:t> </w:t>
      </w:r>
      <w:r>
        <w:rPr>
          <w:sz w:val="18"/>
        </w:rPr>
        <w:t>subject</w:t>
      </w:r>
      <w:r>
        <w:rPr>
          <w:spacing w:val="-16"/>
          <w:sz w:val="18"/>
        </w:rPr>
        <w:t> </w:t>
      </w:r>
      <w:r>
        <w:rPr>
          <w:sz w:val="18"/>
        </w:rPr>
        <w:t>property</w:t>
      </w:r>
      <w:r>
        <w:rPr>
          <w:spacing w:val="-15"/>
          <w:sz w:val="18"/>
        </w:rPr>
        <w:t> </w:t>
      </w:r>
      <w:r>
        <w:rPr>
          <w:sz w:val="18"/>
        </w:rPr>
        <w:t>is</w:t>
      </w:r>
      <w:r>
        <w:rPr>
          <w:spacing w:val="-14"/>
          <w:sz w:val="18"/>
        </w:rPr>
        <w:t> </w:t>
      </w:r>
      <w:r>
        <w:rPr>
          <w:sz w:val="18"/>
        </w:rPr>
        <w:t>a</w:t>
      </w:r>
      <w:r>
        <w:rPr>
          <w:spacing w:val="-14"/>
          <w:sz w:val="18"/>
        </w:rPr>
        <w:t> </w:t>
      </w:r>
      <w:r>
        <w:rPr>
          <w:sz w:val="18"/>
        </w:rPr>
        <w:t>mixed-used</w:t>
      </w:r>
      <w:r>
        <w:rPr>
          <w:spacing w:val="-15"/>
          <w:sz w:val="18"/>
        </w:rPr>
        <w:t> </w:t>
      </w:r>
      <w:r>
        <w:rPr>
          <w:sz w:val="18"/>
        </w:rPr>
        <w:t>asset</w:t>
      </w:r>
      <w:r>
        <w:rPr>
          <w:spacing w:val="-15"/>
          <w:sz w:val="18"/>
        </w:rPr>
        <w:t> </w:t>
      </w:r>
      <w:r>
        <w:rPr>
          <w:sz w:val="18"/>
        </w:rPr>
        <w:t>comprising</w:t>
      </w:r>
      <w:r>
        <w:rPr>
          <w:spacing w:val="-14"/>
          <w:sz w:val="18"/>
        </w:rPr>
        <w:t> </w:t>
      </w:r>
      <w:r>
        <w:rPr>
          <w:sz w:val="18"/>
        </w:rPr>
        <w:t>of</w:t>
      </w:r>
      <w:r>
        <w:rPr>
          <w:spacing w:val="-16"/>
          <w:sz w:val="18"/>
        </w:rPr>
        <w:t> </w:t>
      </w:r>
      <w:r>
        <w:rPr>
          <w:sz w:val="18"/>
        </w:rPr>
        <w:t>commercial,</w:t>
      </w:r>
      <w:r>
        <w:rPr>
          <w:spacing w:val="-15"/>
          <w:sz w:val="18"/>
        </w:rPr>
        <w:t> </w:t>
      </w:r>
      <w:r>
        <w:rPr>
          <w:sz w:val="18"/>
        </w:rPr>
        <w:t>retail</w:t>
      </w:r>
      <w:r>
        <w:rPr>
          <w:spacing w:val="-16"/>
          <w:sz w:val="18"/>
        </w:rPr>
        <w:t> </w:t>
      </w:r>
      <w:r>
        <w:rPr>
          <w:sz w:val="18"/>
        </w:rPr>
        <w:t>and</w:t>
      </w:r>
      <w:r>
        <w:rPr>
          <w:spacing w:val="-14"/>
          <w:sz w:val="18"/>
        </w:rPr>
        <w:t> </w:t>
      </w:r>
      <w:r>
        <w:rPr>
          <w:sz w:val="18"/>
        </w:rPr>
        <w:t>hospitality</w:t>
      </w:r>
      <w:r>
        <w:rPr>
          <w:spacing w:val="-15"/>
          <w:sz w:val="18"/>
        </w:rPr>
        <w:t> </w:t>
      </w:r>
      <w:r>
        <w:rPr>
          <w:sz w:val="18"/>
        </w:rPr>
        <w:t>components. Subject</w:t>
      </w:r>
      <w:r>
        <w:rPr>
          <w:spacing w:val="-27"/>
          <w:sz w:val="18"/>
        </w:rPr>
        <w:t> </w:t>
      </w:r>
      <w:r>
        <w:rPr>
          <w:sz w:val="18"/>
        </w:rPr>
        <w:t>property</w:t>
      </w:r>
      <w:r>
        <w:rPr>
          <w:spacing w:val="-26"/>
          <w:sz w:val="18"/>
        </w:rPr>
        <w:t> </w:t>
      </w:r>
      <w:r>
        <w:rPr>
          <w:sz w:val="18"/>
        </w:rPr>
        <w:t>is</w:t>
      </w:r>
      <w:r>
        <w:rPr>
          <w:spacing w:val="-25"/>
          <w:sz w:val="18"/>
        </w:rPr>
        <w:t> </w:t>
      </w:r>
      <w:r>
        <w:rPr>
          <w:sz w:val="18"/>
        </w:rPr>
        <w:t>located</w:t>
      </w:r>
      <w:r>
        <w:rPr>
          <w:spacing w:val="-25"/>
          <w:sz w:val="18"/>
        </w:rPr>
        <w:t> </w:t>
      </w:r>
      <w:r>
        <w:rPr>
          <w:sz w:val="18"/>
        </w:rPr>
        <w:t>in</w:t>
      </w:r>
      <w:r>
        <w:rPr>
          <w:spacing w:val="-27"/>
          <w:sz w:val="18"/>
        </w:rPr>
        <w:t> </w:t>
      </w:r>
      <w:r>
        <w:rPr>
          <w:sz w:val="18"/>
        </w:rPr>
        <w:t>a</w:t>
      </w:r>
      <w:r>
        <w:rPr>
          <w:spacing w:val="-27"/>
          <w:sz w:val="18"/>
        </w:rPr>
        <w:t> </w:t>
      </w:r>
      <w:r>
        <w:rPr>
          <w:sz w:val="18"/>
        </w:rPr>
        <w:t>premium</w:t>
      </w:r>
      <w:r>
        <w:rPr>
          <w:spacing w:val="-25"/>
          <w:sz w:val="18"/>
        </w:rPr>
        <w:t> </w:t>
      </w:r>
      <w:r>
        <w:rPr>
          <w:sz w:val="18"/>
        </w:rPr>
        <w:t>location</w:t>
      </w:r>
      <w:r>
        <w:rPr>
          <w:spacing w:val="-26"/>
          <w:sz w:val="18"/>
        </w:rPr>
        <w:t> </w:t>
      </w:r>
      <w:r>
        <w:rPr>
          <w:sz w:val="18"/>
        </w:rPr>
        <w:t>in</w:t>
      </w:r>
      <w:r>
        <w:rPr>
          <w:spacing w:val="-26"/>
          <w:sz w:val="18"/>
        </w:rPr>
        <w:t> </w:t>
      </w:r>
      <w:r>
        <w:rPr>
          <w:sz w:val="18"/>
        </w:rPr>
        <w:t>close</w:t>
      </w:r>
      <w:r>
        <w:rPr>
          <w:spacing w:val="-25"/>
          <w:sz w:val="18"/>
        </w:rPr>
        <w:t> </w:t>
      </w:r>
      <w:r>
        <w:rPr>
          <w:sz w:val="18"/>
        </w:rPr>
        <w:t>proximity</w:t>
      </w:r>
      <w:r>
        <w:rPr>
          <w:spacing w:val="-26"/>
          <w:sz w:val="18"/>
        </w:rPr>
        <w:t> </w:t>
      </w:r>
      <w:r>
        <w:rPr>
          <w:sz w:val="18"/>
        </w:rPr>
        <w:t>to</w:t>
      </w:r>
      <w:r>
        <w:rPr>
          <w:spacing w:val="-25"/>
          <w:sz w:val="18"/>
        </w:rPr>
        <w:t> </w:t>
      </w:r>
      <w:r>
        <w:rPr>
          <w:sz w:val="18"/>
        </w:rPr>
        <w:t>the</w:t>
      </w:r>
      <w:r>
        <w:rPr>
          <w:spacing w:val="-25"/>
          <w:sz w:val="18"/>
        </w:rPr>
        <w:t> </w:t>
      </w:r>
      <w:r>
        <w:rPr>
          <w:sz w:val="18"/>
        </w:rPr>
        <w:t>CBD,</w:t>
      </w:r>
      <w:r>
        <w:rPr>
          <w:spacing w:val="-26"/>
          <w:sz w:val="18"/>
        </w:rPr>
        <w:t> </w:t>
      </w:r>
      <w:r>
        <w:rPr>
          <w:sz w:val="18"/>
        </w:rPr>
        <w:t>approximately</w:t>
      </w:r>
      <w:r>
        <w:rPr>
          <w:spacing w:val="-27"/>
          <w:sz w:val="18"/>
        </w:rPr>
        <w:t> </w:t>
      </w:r>
      <w:r>
        <w:rPr>
          <w:sz w:val="18"/>
        </w:rPr>
        <w:t>6-7</w:t>
      </w:r>
      <w:r>
        <w:rPr>
          <w:spacing w:val="-26"/>
          <w:sz w:val="18"/>
        </w:rPr>
        <w:t> </w:t>
      </w:r>
      <w:r>
        <w:rPr>
          <w:sz w:val="18"/>
        </w:rPr>
        <w:t>km</w:t>
      </w:r>
      <w:r>
        <w:rPr>
          <w:spacing w:val="-25"/>
          <w:sz w:val="18"/>
        </w:rPr>
        <w:t> </w:t>
      </w:r>
      <w:r>
        <w:rPr>
          <w:sz w:val="18"/>
        </w:rPr>
        <w:t>from MG Road. The stretch between the CBD and Mekhri Circle is recognized as a premium residential and hospitality</w:t>
      </w:r>
      <w:r>
        <w:rPr>
          <w:spacing w:val="-5"/>
          <w:sz w:val="18"/>
        </w:rPr>
        <w:t> </w:t>
      </w:r>
      <w:r>
        <w:rPr>
          <w:sz w:val="18"/>
        </w:rPr>
        <w:t>hub</w:t>
      </w:r>
      <w:r>
        <w:rPr>
          <w:spacing w:val="-4"/>
          <w:sz w:val="18"/>
        </w:rPr>
        <w:t> </w:t>
      </w:r>
      <w:r>
        <w:rPr>
          <w:sz w:val="18"/>
        </w:rPr>
        <w:t>of</w:t>
      </w:r>
      <w:r>
        <w:rPr>
          <w:spacing w:val="-4"/>
          <w:sz w:val="18"/>
        </w:rPr>
        <w:t> </w:t>
      </w:r>
      <w:r>
        <w:rPr>
          <w:sz w:val="18"/>
        </w:rPr>
        <w:t>Bengaluru.</w:t>
      </w:r>
      <w:r>
        <w:rPr>
          <w:spacing w:val="-5"/>
          <w:sz w:val="18"/>
        </w:rPr>
        <w:t> </w:t>
      </w:r>
      <w:r>
        <w:rPr>
          <w:sz w:val="18"/>
        </w:rPr>
        <w:t>Subject</w:t>
      </w:r>
      <w:r>
        <w:rPr>
          <w:spacing w:val="-6"/>
          <w:sz w:val="18"/>
        </w:rPr>
        <w:t> </w:t>
      </w:r>
      <w:r>
        <w:rPr>
          <w:sz w:val="18"/>
        </w:rPr>
        <w:t>location</w:t>
      </w:r>
      <w:r>
        <w:rPr>
          <w:spacing w:val="-4"/>
          <w:sz w:val="18"/>
        </w:rPr>
        <w:t> </w:t>
      </w:r>
      <w:r>
        <w:rPr>
          <w:sz w:val="18"/>
        </w:rPr>
        <w:t>lies</w:t>
      </w:r>
      <w:r>
        <w:rPr>
          <w:spacing w:val="-4"/>
          <w:sz w:val="18"/>
        </w:rPr>
        <w:t> </w:t>
      </w:r>
      <w:r>
        <w:rPr>
          <w:sz w:val="18"/>
        </w:rPr>
        <w:t>in</w:t>
      </w:r>
      <w:r>
        <w:rPr>
          <w:spacing w:val="-4"/>
          <w:sz w:val="18"/>
        </w:rPr>
        <w:t> </w:t>
      </w:r>
      <w:r>
        <w:rPr>
          <w:sz w:val="18"/>
        </w:rPr>
        <w:t>close</w:t>
      </w:r>
      <w:r>
        <w:rPr>
          <w:spacing w:val="-6"/>
          <w:sz w:val="18"/>
        </w:rPr>
        <w:t> </w:t>
      </w:r>
      <w:r>
        <w:rPr>
          <w:sz w:val="18"/>
        </w:rPr>
        <w:t>proximity</w:t>
      </w:r>
      <w:r>
        <w:rPr>
          <w:spacing w:val="-5"/>
          <w:sz w:val="18"/>
        </w:rPr>
        <w:t> </w:t>
      </w:r>
      <w:r>
        <w:rPr>
          <w:sz w:val="18"/>
        </w:rPr>
        <w:t>to</w:t>
      </w:r>
      <w:r>
        <w:rPr>
          <w:spacing w:val="-4"/>
          <w:sz w:val="18"/>
        </w:rPr>
        <w:t> </w:t>
      </w:r>
      <w:r>
        <w:rPr>
          <w:sz w:val="18"/>
        </w:rPr>
        <w:t>premium</w:t>
      </w:r>
      <w:r>
        <w:rPr>
          <w:spacing w:val="-4"/>
          <w:sz w:val="18"/>
        </w:rPr>
        <w:t> </w:t>
      </w:r>
      <w:r>
        <w:rPr>
          <w:sz w:val="18"/>
        </w:rPr>
        <w:t>residential</w:t>
      </w:r>
      <w:r>
        <w:rPr>
          <w:spacing w:val="-4"/>
          <w:sz w:val="18"/>
        </w:rPr>
        <w:t> </w:t>
      </w:r>
      <w:r>
        <w:rPr>
          <w:sz w:val="18"/>
        </w:rPr>
        <w:t>colonies</w:t>
      </w:r>
      <w:r>
        <w:rPr>
          <w:spacing w:val="-5"/>
          <w:sz w:val="18"/>
        </w:rPr>
        <w:t> </w:t>
      </w:r>
      <w:r>
        <w:rPr>
          <w:sz w:val="18"/>
        </w:rPr>
        <w:t>of Sheshadripuram, Sadashiva Nagar, Dollars colony, Fraser Town, Jayamahal, etc., which house affluent population</w:t>
      </w:r>
      <w:r>
        <w:rPr>
          <w:spacing w:val="-37"/>
          <w:sz w:val="18"/>
        </w:rPr>
        <w:t> </w:t>
      </w:r>
      <w:r>
        <w:rPr>
          <w:sz w:val="18"/>
        </w:rPr>
        <w:t>of</w:t>
      </w:r>
      <w:r>
        <w:rPr>
          <w:spacing w:val="-38"/>
          <w:sz w:val="18"/>
        </w:rPr>
        <w:t> </w:t>
      </w:r>
      <w:r>
        <w:rPr>
          <w:sz w:val="18"/>
        </w:rPr>
        <w:t>businessmen</w:t>
      </w:r>
      <w:r>
        <w:rPr>
          <w:spacing w:val="-38"/>
          <w:sz w:val="18"/>
        </w:rPr>
        <w:t> </w:t>
      </w:r>
      <w:r>
        <w:rPr>
          <w:sz w:val="18"/>
        </w:rPr>
        <w:t>community,</w:t>
      </w:r>
      <w:r>
        <w:rPr>
          <w:spacing w:val="-37"/>
          <w:sz w:val="18"/>
        </w:rPr>
        <w:t> </w:t>
      </w:r>
      <w:r>
        <w:rPr>
          <w:sz w:val="18"/>
        </w:rPr>
        <w:t>ministers,</w:t>
      </w:r>
      <w:r>
        <w:rPr>
          <w:spacing w:val="-37"/>
          <w:sz w:val="18"/>
        </w:rPr>
        <w:t> </w:t>
      </w:r>
      <w:r>
        <w:rPr>
          <w:sz w:val="18"/>
        </w:rPr>
        <w:t>etc.</w:t>
      </w:r>
      <w:r>
        <w:rPr>
          <w:spacing w:val="-38"/>
          <w:sz w:val="18"/>
        </w:rPr>
        <w:t> </w:t>
      </w:r>
      <w:r>
        <w:rPr>
          <w:sz w:val="18"/>
        </w:rPr>
        <w:t>Further,</w:t>
      </w:r>
      <w:r>
        <w:rPr>
          <w:spacing w:val="-37"/>
          <w:sz w:val="18"/>
        </w:rPr>
        <w:t> </w:t>
      </w:r>
      <w:r>
        <w:rPr>
          <w:sz w:val="18"/>
        </w:rPr>
        <w:t>the</w:t>
      </w:r>
      <w:r>
        <w:rPr>
          <w:spacing w:val="-37"/>
          <w:sz w:val="18"/>
        </w:rPr>
        <w:t> </w:t>
      </w:r>
      <w:r>
        <w:rPr>
          <w:sz w:val="18"/>
        </w:rPr>
        <w:t>location</w:t>
      </w:r>
      <w:r>
        <w:rPr>
          <w:spacing w:val="-37"/>
          <w:sz w:val="18"/>
        </w:rPr>
        <w:t> </w:t>
      </w:r>
      <w:r>
        <w:rPr>
          <w:sz w:val="18"/>
        </w:rPr>
        <w:t>is</w:t>
      </w:r>
      <w:r>
        <w:rPr>
          <w:spacing w:val="-38"/>
          <w:sz w:val="18"/>
        </w:rPr>
        <w:t> </w:t>
      </w:r>
      <w:r>
        <w:rPr>
          <w:sz w:val="18"/>
        </w:rPr>
        <w:t>considered</w:t>
      </w:r>
      <w:r>
        <w:rPr>
          <w:spacing w:val="-38"/>
          <w:sz w:val="18"/>
        </w:rPr>
        <w:t> </w:t>
      </w:r>
      <w:r>
        <w:rPr>
          <w:sz w:val="18"/>
        </w:rPr>
        <w:t>an</w:t>
      </w:r>
      <w:r>
        <w:rPr>
          <w:spacing w:val="-38"/>
          <w:sz w:val="18"/>
        </w:rPr>
        <w:t> </w:t>
      </w:r>
      <w:r>
        <w:rPr>
          <w:sz w:val="18"/>
        </w:rPr>
        <w:t>established</w:t>
      </w:r>
      <w:r>
        <w:rPr>
          <w:spacing w:val="-38"/>
          <w:sz w:val="18"/>
        </w:rPr>
        <w:t> </w:t>
      </w:r>
      <w:r>
        <w:rPr>
          <w:sz w:val="18"/>
        </w:rPr>
        <w:t>hub for</w:t>
      </w:r>
      <w:r>
        <w:rPr>
          <w:spacing w:val="-11"/>
          <w:sz w:val="18"/>
        </w:rPr>
        <w:t> </w:t>
      </w:r>
      <w:r>
        <w:rPr>
          <w:sz w:val="18"/>
        </w:rPr>
        <w:t>premium</w:t>
      </w:r>
      <w:r>
        <w:rPr>
          <w:spacing w:val="-12"/>
          <w:sz w:val="18"/>
        </w:rPr>
        <w:t> </w:t>
      </w:r>
      <w:r>
        <w:rPr>
          <w:sz w:val="18"/>
        </w:rPr>
        <w:t>hotels,</w:t>
      </w:r>
      <w:r>
        <w:rPr>
          <w:spacing w:val="-9"/>
          <w:sz w:val="18"/>
        </w:rPr>
        <w:t> </w:t>
      </w:r>
      <w:r>
        <w:rPr>
          <w:sz w:val="18"/>
        </w:rPr>
        <w:t>housing</w:t>
      </w:r>
      <w:r>
        <w:rPr>
          <w:spacing w:val="-12"/>
          <w:sz w:val="18"/>
        </w:rPr>
        <w:t> </w:t>
      </w:r>
      <w:r>
        <w:rPr>
          <w:sz w:val="18"/>
        </w:rPr>
        <w:t>prominent</w:t>
      </w:r>
      <w:r>
        <w:rPr>
          <w:spacing w:val="-10"/>
          <w:sz w:val="18"/>
        </w:rPr>
        <w:t> </w:t>
      </w:r>
      <w:r>
        <w:rPr>
          <w:sz w:val="18"/>
        </w:rPr>
        <w:t>5</w:t>
      </w:r>
      <w:r>
        <w:rPr>
          <w:spacing w:val="-13"/>
          <w:sz w:val="18"/>
        </w:rPr>
        <w:t> </w:t>
      </w:r>
      <w:r>
        <w:rPr>
          <w:sz w:val="18"/>
        </w:rPr>
        <w:t>star</w:t>
      </w:r>
      <w:r>
        <w:rPr>
          <w:spacing w:val="-10"/>
          <w:sz w:val="18"/>
        </w:rPr>
        <w:t> </w:t>
      </w:r>
      <w:r>
        <w:rPr>
          <w:sz w:val="18"/>
        </w:rPr>
        <w:t>hotels</w:t>
      </w:r>
      <w:r>
        <w:rPr>
          <w:spacing w:val="-12"/>
          <w:sz w:val="18"/>
        </w:rPr>
        <w:t> </w:t>
      </w:r>
      <w:r>
        <w:rPr>
          <w:sz w:val="18"/>
        </w:rPr>
        <w:t>such</w:t>
      </w:r>
      <w:r>
        <w:rPr>
          <w:spacing w:val="-9"/>
          <w:sz w:val="18"/>
        </w:rPr>
        <w:t> </w:t>
      </w:r>
      <w:r>
        <w:rPr>
          <w:sz w:val="18"/>
        </w:rPr>
        <w:t>as</w:t>
      </w:r>
      <w:r>
        <w:rPr>
          <w:spacing w:val="-11"/>
          <w:sz w:val="18"/>
        </w:rPr>
        <w:t> </w:t>
      </w:r>
      <w:r>
        <w:rPr>
          <w:sz w:val="18"/>
        </w:rPr>
        <w:t>Windsor</w:t>
      </w:r>
      <w:r>
        <w:rPr>
          <w:spacing w:val="-12"/>
          <w:sz w:val="18"/>
        </w:rPr>
        <w:t> </w:t>
      </w:r>
      <w:r>
        <w:rPr>
          <w:sz w:val="18"/>
        </w:rPr>
        <w:t>Manor,</w:t>
      </w:r>
      <w:r>
        <w:rPr>
          <w:spacing w:val="-10"/>
          <w:sz w:val="18"/>
        </w:rPr>
        <w:t> </w:t>
      </w:r>
      <w:r>
        <w:rPr>
          <w:sz w:val="18"/>
        </w:rPr>
        <w:t>Lalit</w:t>
      </w:r>
      <w:r>
        <w:rPr>
          <w:spacing w:val="-3"/>
          <w:sz w:val="18"/>
        </w:rPr>
        <w:t> </w:t>
      </w:r>
      <w:r>
        <w:rPr>
          <w:sz w:val="18"/>
        </w:rPr>
        <w:t>Ashok,</w:t>
      </w:r>
      <w:r>
        <w:rPr>
          <w:spacing w:val="-12"/>
          <w:sz w:val="18"/>
        </w:rPr>
        <w:t> </w:t>
      </w:r>
      <w:r>
        <w:rPr>
          <w:sz w:val="18"/>
        </w:rPr>
        <w:t>&amp;</w:t>
      </w:r>
      <w:r>
        <w:rPr>
          <w:spacing w:val="-10"/>
          <w:sz w:val="18"/>
        </w:rPr>
        <w:t> </w:t>
      </w:r>
      <w:r>
        <w:rPr>
          <w:sz w:val="18"/>
        </w:rPr>
        <w:t>Taj</w:t>
      </w:r>
      <w:r>
        <w:rPr>
          <w:spacing w:val="-10"/>
          <w:sz w:val="18"/>
        </w:rPr>
        <w:t> </w:t>
      </w:r>
      <w:r>
        <w:rPr>
          <w:sz w:val="18"/>
        </w:rPr>
        <w:t>Westend. As</w:t>
      </w:r>
      <w:r>
        <w:rPr>
          <w:spacing w:val="-2"/>
          <w:sz w:val="18"/>
        </w:rPr>
        <w:t> </w:t>
      </w:r>
      <w:r>
        <w:rPr>
          <w:sz w:val="18"/>
        </w:rPr>
        <w:t>per</w:t>
      </w:r>
      <w:r>
        <w:rPr>
          <w:spacing w:val="-3"/>
          <w:sz w:val="18"/>
        </w:rPr>
        <w:t> </w:t>
      </w:r>
      <w:r>
        <w:rPr>
          <w:sz w:val="18"/>
        </w:rPr>
        <w:t>information</w:t>
      </w:r>
      <w:r>
        <w:rPr>
          <w:spacing w:val="-4"/>
          <w:sz w:val="18"/>
        </w:rPr>
        <w:t> </w:t>
      </w:r>
      <w:r>
        <w:rPr>
          <w:sz w:val="18"/>
        </w:rPr>
        <w:t>provided</w:t>
      </w:r>
      <w:r>
        <w:rPr>
          <w:spacing w:val="-3"/>
          <w:sz w:val="18"/>
        </w:rPr>
        <w:t> </w:t>
      </w:r>
      <w:r>
        <w:rPr>
          <w:sz w:val="18"/>
        </w:rPr>
        <w:t>by</w:t>
      </w:r>
      <w:r>
        <w:rPr>
          <w:spacing w:val="-2"/>
          <w:sz w:val="18"/>
        </w:rPr>
        <w:t> </w:t>
      </w:r>
      <w:r>
        <w:rPr>
          <w:sz w:val="18"/>
        </w:rPr>
        <w:t>the</w:t>
      </w:r>
      <w:r>
        <w:rPr>
          <w:spacing w:val="-2"/>
          <w:sz w:val="18"/>
        </w:rPr>
        <w:t> </w:t>
      </w:r>
      <w:r>
        <w:rPr>
          <w:sz w:val="18"/>
        </w:rPr>
        <w:t>client,</w:t>
      </w:r>
      <w:r>
        <w:rPr>
          <w:spacing w:val="1"/>
          <w:sz w:val="18"/>
        </w:rPr>
        <w:t> </w:t>
      </w:r>
      <w:r>
        <w:rPr>
          <w:sz w:val="18"/>
        </w:rPr>
        <w:t>we</w:t>
      </w:r>
      <w:r>
        <w:rPr>
          <w:spacing w:val="-2"/>
          <w:sz w:val="18"/>
        </w:rPr>
        <w:t> </w:t>
      </w:r>
      <w:r>
        <w:rPr>
          <w:sz w:val="18"/>
        </w:rPr>
        <w:t>understand</w:t>
      </w:r>
      <w:r>
        <w:rPr>
          <w:spacing w:val="-2"/>
          <w:sz w:val="18"/>
        </w:rPr>
        <w:t> </w:t>
      </w:r>
      <w:r>
        <w:rPr>
          <w:sz w:val="18"/>
        </w:rPr>
        <w:t>that</w:t>
      </w:r>
      <w:r>
        <w:rPr>
          <w:spacing w:val="-4"/>
          <w:sz w:val="18"/>
        </w:rPr>
        <w:t> </w:t>
      </w:r>
      <w:r>
        <w:rPr>
          <w:sz w:val="18"/>
        </w:rPr>
        <w:t>5.5%</w:t>
      </w:r>
      <w:r>
        <w:rPr>
          <w:spacing w:val="-1"/>
          <w:sz w:val="18"/>
        </w:rPr>
        <w:t> </w:t>
      </w:r>
      <w:r>
        <w:rPr>
          <w:sz w:val="18"/>
        </w:rPr>
        <w:t>of</w:t>
      </w:r>
      <w:r>
        <w:rPr>
          <w:spacing w:val="-3"/>
          <w:sz w:val="18"/>
        </w:rPr>
        <w:t> </w:t>
      </w:r>
      <w:r>
        <w:rPr>
          <w:sz w:val="18"/>
        </w:rPr>
        <w:t>total</w:t>
      </w:r>
      <w:r>
        <w:rPr>
          <w:spacing w:val="-4"/>
          <w:sz w:val="18"/>
        </w:rPr>
        <w:t> </w:t>
      </w:r>
      <w:r>
        <w:rPr>
          <w:sz w:val="18"/>
        </w:rPr>
        <w:t>area</w:t>
      </w:r>
      <w:r>
        <w:rPr>
          <w:spacing w:val="-3"/>
          <w:sz w:val="18"/>
        </w:rPr>
        <w:t> </w:t>
      </w:r>
      <w:r>
        <w:rPr>
          <w:sz w:val="18"/>
        </w:rPr>
        <w:t>is</w:t>
      </w:r>
      <w:r>
        <w:rPr>
          <w:spacing w:val="-2"/>
          <w:sz w:val="18"/>
        </w:rPr>
        <w:t> </w:t>
      </w:r>
      <w:r>
        <w:rPr>
          <w:sz w:val="18"/>
        </w:rPr>
        <w:t>leased</w:t>
      </w:r>
      <w:r>
        <w:rPr>
          <w:spacing w:val="-3"/>
          <w:sz w:val="18"/>
        </w:rPr>
        <w:t> </w:t>
      </w:r>
      <w:r>
        <w:rPr>
          <w:sz w:val="18"/>
        </w:rPr>
        <w:t>as</w:t>
      </w:r>
      <w:r>
        <w:rPr>
          <w:spacing w:val="-4"/>
          <w:sz w:val="18"/>
        </w:rPr>
        <w:t> </w:t>
      </w:r>
      <w:r>
        <w:rPr>
          <w:sz w:val="18"/>
        </w:rPr>
        <w:t>of</w:t>
      </w:r>
      <w:r>
        <w:rPr>
          <w:spacing w:val="-3"/>
          <w:sz w:val="18"/>
        </w:rPr>
        <w:t> </w:t>
      </w:r>
      <w:r>
        <w:rPr>
          <w:sz w:val="18"/>
        </w:rPr>
        <w:t>date</w:t>
      </w:r>
      <w:r>
        <w:rPr>
          <w:spacing w:val="-2"/>
          <w:sz w:val="18"/>
        </w:rPr>
        <w:t> </w:t>
      </w:r>
      <w:r>
        <w:rPr>
          <w:sz w:val="18"/>
        </w:rPr>
        <w:t>of valuation.</w:t>
      </w:r>
    </w:p>
    <w:p>
      <w:pPr>
        <w:spacing w:line="321" w:lineRule="auto" w:before="124"/>
        <w:ind w:left="2385" w:right="656" w:firstLine="0"/>
        <w:jc w:val="both"/>
        <w:rPr>
          <w:sz w:val="18"/>
        </w:rPr>
      </w:pPr>
      <w:r>
        <w:rPr>
          <w:sz w:val="18"/>
        </w:rPr>
        <w:t>The</w:t>
      </w:r>
      <w:r>
        <w:rPr>
          <w:spacing w:val="-30"/>
          <w:sz w:val="18"/>
        </w:rPr>
        <w:t> </w:t>
      </w:r>
      <w:r>
        <w:rPr>
          <w:sz w:val="18"/>
        </w:rPr>
        <w:t>subject</w:t>
      </w:r>
      <w:r>
        <w:rPr>
          <w:spacing w:val="-30"/>
          <w:sz w:val="18"/>
        </w:rPr>
        <w:t> </w:t>
      </w:r>
      <w:r>
        <w:rPr>
          <w:sz w:val="18"/>
        </w:rPr>
        <w:t>property’s</w:t>
      </w:r>
      <w:r>
        <w:rPr>
          <w:spacing w:val="-30"/>
          <w:sz w:val="18"/>
        </w:rPr>
        <w:t> </w:t>
      </w:r>
      <w:r>
        <w:rPr>
          <w:sz w:val="18"/>
        </w:rPr>
        <w:t>location</w:t>
      </w:r>
      <w:r>
        <w:rPr>
          <w:spacing w:val="-30"/>
          <w:sz w:val="18"/>
        </w:rPr>
        <w:t> </w:t>
      </w:r>
      <w:r>
        <w:rPr>
          <w:sz w:val="18"/>
        </w:rPr>
        <w:t>along</w:t>
      </w:r>
      <w:r>
        <w:rPr>
          <w:spacing w:val="-30"/>
          <w:sz w:val="18"/>
        </w:rPr>
        <w:t> </w:t>
      </w:r>
      <w:r>
        <w:rPr>
          <w:sz w:val="18"/>
        </w:rPr>
        <w:t>the</w:t>
      </w:r>
      <w:r>
        <w:rPr>
          <w:spacing w:val="-29"/>
          <w:sz w:val="18"/>
        </w:rPr>
        <w:t> </w:t>
      </w:r>
      <w:r>
        <w:rPr>
          <w:sz w:val="18"/>
        </w:rPr>
        <w:t>initial</w:t>
      </w:r>
      <w:r>
        <w:rPr>
          <w:spacing w:val="-30"/>
          <w:sz w:val="18"/>
        </w:rPr>
        <w:t> </w:t>
      </w:r>
      <w:r>
        <w:rPr>
          <w:sz w:val="18"/>
        </w:rPr>
        <w:t>stretch</w:t>
      </w:r>
      <w:r>
        <w:rPr>
          <w:spacing w:val="-29"/>
          <w:sz w:val="18"/>
        </w:rPr>
        <w:t> </w:t>
      </w:r>
      <w:r>
        <w:rPr>
          <w:sz w:val="18"/>
        </w:rPr>
        <w:t>of</w:t>
      </w:r>
      <w:r>
        <w:rPr>
          <w:spacing w:val="-30"/>
          <w:sz w:val="18"/>
        </w:rPr>
        <w:t> </w:t>
      </w:r>
      <w:r>
        <w:rPr>
          <w:sz w:val="18"/>
        </w:rPr>
        <w:t>Bellary</w:t>
      </w:r>
      <w:r>
        <w:rPr>
          <w:spacing w:val="-30"/>
          <w:sz w:val="18"/>
        </w:rPr>
        <w:t> </w:t>
      </w:r>
      <w:r>
        <w:rPr>
          <w:sz w:val="18"/>
        </w:rPr>
        <w:t>Road</w:t>
      </w:r>
      <w:r>
        <w:rPr>
          <w:spacing w:val="-29"/>
          <w:sz w:val="18"/>
        </w:rPr>
        <w:t> </w:t>
      </w:r>
      <w:r>
        <w:rPr>
          <w:sz w:val="18"/>
        </w:rPr>
        <w:t>further</w:t>
      </w:r>
      <w:r>
        <w:rPr>
          <w:spacing w:val="-31"/>
          <w:sz w:val="18"/>
        </w:rPr>
        <w:t> </w:t>
      </w:r>
      <w:r>
        <w:rPr>
          <w:sz w:val="18"/>
        </w:rPr>
        <w:t>adds</w:t>
      </w:r>
      <w:r>
        <w:rPr>
          <w:spacing w:val="-29"/>
          <w:sz w:val="18"/>
        </w:rPr>
        <w:t> </w:t>
      </w:r>
      <w:r>
        <w:rPr>
          <w:sz w:val="18"/>
        </w:rPr>
        <w:t>to</w:t>
      </w:r>
      <w:r>
        <w:rPr>
          <w:spacing w:val="-30"/>
          <w:sz w:val="18"/>
        </w:rPr>
        <w:t> </w:t>
      </w:r>
      <w:r>
        <w:rPr>
          <w:sz w:val="18"/>
        </w:rPr>
        <w:t>the</w:t>
      </w:r>
      <w:r>
        <w:rPr>
          <w:spacing w:val="-29"/>
          <w:sz w:val="18"/>
        </w:rPr>
        <w:t> </w:t>
      </w:r>
      <w:r>
        <w:rPr>
          <w:sz w:val="18"/>
        </w:rPr>
        <w:t>attractiveness</w:t>
      </w:r>
      <w:r>
        <w:rPr>
          <w:spacing w:val="-30"/>
          <w:sz w:val="18"/>
        </w:rPr>
        <w:t> </w:t>
      </w:r>
      <w:r>
        <w:rPr>
          <w:sz w:val="18"/>
        </w:rPr>
        <w:t>of the</w:t>
      </w:r>
      <w:r>
        <w:rPr>
          <w:spacing w:val="-21"/>
          <w:sz w:val="18"/>
        </w:rPr>
        <w:t> </w:t>
      </w:r>
      <w:r>
        <w:rPr>
          <w:sz w:val="18"/>
        </w:rPr>
        <w:t>development.</w:t>
      </w:r>
      <w:r>
        <w:rPr>
          <w:spacing w:val="-22"/>
          <w:sz w:val="18"/>
        </w:rPr>
        <w:t> </w:t>
      </w:r>
      <w:r>
        <w:rPr>
          <w:sz w:val="18"/>
        </w:rPr>
        <w:t>Bellary</w:t>
      </w:r>
      <w:r>
        <w:rPr>
          <w:spacing w:val="-21"/>
          <w:sz w:val="18"/>
        </w:rPr>
        <w:t> </w:t>
      </w:r>
      <w:r>
        <w:rPr>
          <w:sz w:val="18"/>
        </w:rPr>
        <w:t>Road</w:t>
      </w:r>
      <w:r>
        <w:rPr>
          <w:spacing w:val="-22"/>
          <w:sz w:val="18"/>
        </w:rPr>
        <w:t> </w:t>
      </w:r>
      <w:r>
        <w:rPr>
          <w:sz w:val="18"/>
        </w:rPr>
        <w:t>connects</w:t>
      </w:r>
      <w:r>
        <w:rPr>
          <w:spacing w:val="-21"/>
          <w:sz w:val="18"/>
        </w:rPr>
        <w:t> </w:t>
      </w:r>
      <w:r>
        <w:rPr>
          <w:sz w:val="18"/>
        </w:rPr>
        <w:t>the</w:t>
      </w:r>
      <w:r>
        <w:rPr>
          <w:spacing w:val="-21"/>
          <w:sz w:val="18"/>
        </w:rPr>
        <w:t> </w:t>
      </w:r>
      <w:r>
        <w:rPr>
          <w:sz w:val="18"/>
        </w:rPr>
        <w:t>city</w:t>
      </w:r>
      <w:r>
        <w:rPr>
          <w:spacing w:val="-21"/>
          <w:sz w:val="18"/>
        </w:rPr>
        <w:t> </w:t>
      </w:r>
      <w:r>
        <w:rPr>
          <w:sz w:val="18"/>
        </w:rPr>
        <w:t>centre</w:t>
      </w:r>
      <w:r>
        <w:rPr>
          <w:spacing w:val="-21"/>
          <w:sz w:val="18"/>
        </w:rPr>
        <w:t> </w:t>
      </w:r>
      <w:r>
        <w:rPr>
          <w:sz w:val="18"/>
        </w:rPr>
        <w:t>to</w:t>
      </w:r>
      <w:r>
        <w:rPr>
          <w:spacing w:val="-21"/>
          <w:sz w:val="18"/>
        </w:rPr>
        <w:t> </w:t>
      </w:r>
      <w:r>
        <w:rPr>
          <w:sz w:val="18"/>
        </w:rPr>
        <w:t>the</w:t>
      </w:r>
      <w:r>
        <w:rPr>
          <w:spacing w:val="-19"/>
          <w:sz w:val="18"/>
        </w:rPr>
        <w:t> </w:t>
      </w:r>
      <w:r>
        <w:rPr>
          <w:sz w:val="18"/>
        </w:rPr>
        <w:t>airport</w:t>
      </w:r>
      <w:r>
        <w:rPr>
          <w:spacing w:val="-21"/>
          <w:sz w:val="18"/>
        </w:rPr>
        <w:t> </w:t>
      </w:r>
      <w:r>
        <w:rPr>
          <w:sz w:val="18"/>
        </w:rPr>
        <w:t>and</w:t>
      </w:r>
      <w:r>
        <w:rPr>
          <w:spacing w:val="-22"/>
          <w:sz w:val="18"/>
        </w:rPr>
        <w:t> </w:t>
      </w:r>
      <w:r>
        <w:rPr>
          <w:sz w:val="18"/>
        </w:rPr>
        <w:t>also</w:t>
      </w:r>
      <w:r>
        <w:rPr>
          <w:spacing w:val="-21"/>
          <w:sz w:val="18"/>
        </w:rPr>
        <w:t> </w:t>
      </w:r>
      <w:r>
        <w:rPr>
          <w:sz w:val="18"/>
        </w:rPr>
        <w:t>provides</w:t>
      </w:r>
      <w:r>
        <w:rPr>
          <w:spacing w:val="-22"/>
          <w:sz w:val="18"/>
        </w:rPr>
        <w:t> </w:t>
      </w:r>
      <w:r>
        <w:rPr>
          <w:sz w:val="18"/>
        </w:rPr>
        <w:t>connectivity</w:t>
      </w:r>
      <w:r>
        <w:rPr>
          <w:spacing w:val="-21"/>
          <w:sz w:val="18"/>
        </w:rPr>
        <w:t> </w:t>
      </w:r>
      <w:r>
        <w:rPr>
          <w:sz w:val="18"/>
        </w:rPr>
        <w:t>to</w:t>
      </w:r>
      <w:r>
        <w:rPr>
          <w:spacing w:val="-22"/>
          <w:sz w:val="18"/>
        </w:rPr>
        <w:t> </w:t>
      </w:r>
      <w:r>
        <w:rPr>
          <w:sz w:val="18"/>
        </w:rPr>
        <w:t>all major</w:t>
      </w:r>
      <w:r>
        <w:rPr>
          <w:spacing w:val="-29"/>
          <w:sz w:val="18"/>
        </w:rPr>
        <w:t> </w:t>
      </w:r>
      <w:r>
        <w:rPr>
          <w:sz w:val="18"/>
        </w:rPr>
        <w:t>hubs</w:t>
      </w:r>
      <w:r>
        <w:rPr>
          <w:spacing w:val="-29"/>
          <w:sz w:val="18"/>
        </w:rPr>
        <w:t> </w:t>
      </w:r>
      <w:r>
        <w:rPr>
          <w:sz w:val="18"/>
        </w:rPr>
        <w:t>within</w:t>
      </w:r>
      <w:r>
        <w:rPr>
          <w:spacing w:val="-29"/>
          <w:sz w:val="18"/>
        </w:rPr>
        <w:t> </w:t>
      </w:r>
      <w:r>
        <w:rPr>
          <w:sz w:val="18"/>
        </w:rPr>
        <w:t>Bengaluru</w:t>
      </w:r>
      <w:r>
        <w:rPr>
          <w:spacing w:val="-29"/>
          <w:sz w:val="18"/>
        </w:rPr>
        <w:t> </w:t>
      </w:r>
      <w:r>
        <w:rPr>
          <w:sz w:val="18"/>
        </w:rPr>
        <w:t>City.</w:t>
      </w:r>
      <w:r>
        <w:rPr>
          <w:spacing w:val="-29"/>
          <w:sz w:val="18"/>
        </w:rPr>
        <w:t> </w:t>
      </w:r>
      <w:r>
        <w:rPr>
          <w:sz w:val="18"/>
        </w:rPr>
        <w:t>Further,</w:t>
      </w:r>
      <w:r>
        <w:rPr>
          <w:spacing w:val="-28"/>
          <w:sz w:val="18"/>
        </w:rPr>
        <w:t> </w:t>
      </w:r>
      <w:r>
        <w:rPr>
          <w:sz w:val="18"/>
        </w:rPr>
        <w:t>the</w:t>
      </w:r>
      <w:r>
        <w:rPr>
          <w:spacing w:val="-29"/>
          <w:sz w:val="18"/>
        </w:rPr>
        <w:t> </w:t>
      </w:r>
      <w:r>
        <w:rPr>
          <w:sz w:val="18"/>
        </w:rPr>
        <w:t>subject</w:t>
      </w:r>
      <w:r>
        <w:rPr>
          <w:spacing w:val="-29"/>
          <w:sz w:val="18"/>
        </w:rPr>
        <w:t> </w:t>
      </w:r>
      <w:r>
        <w:rPr>
          <w:sz w:val="18"/>
        </w:rPr>
        <w:t>property’s</w:t>
      </w:r>
      <w:r>
        <w:rPr>
          <w:spacing w:val="-28"/>
          <w:sz w:val="18"/>
        </w:rPr>
        <w:t> </w:t>
      </w:r>
      <w:r>
        <w:rPr>
          <w:sz w:val="18"/>
        </w:rPr>
        <w:t>proximity</w:t>
      </w:r>
      <w:r>
        <w:rPr>
          <w:spacing w:val="-29"/>
          <w:sz w:val="18"/>
        </w:rPr>
        <w:t> </w:t>
      </w:r>
      <w:r>
        <w:rPr>
          <w:sz w:val="18"/>
        </w:rPr>
        <w:t>to</w:t>
      </w:r>
      <w:r>
        <w:rPr>
          <w:spacing w:val="-28"/>
          <w:sz w:val="18"/>
        </w:rPr>
        <w:t> </w:t>
      </w:r>
      <w:r>
        <w:rPr>
          <w:sz w:val="18"/>
        </w:rPr>
        <w:t>the</w:t>
      </w:r>
      <w:r>
        <w:rPr>
          <w:spacing w:val="-28"/>
          <w:sz w:val="18"/>
        </w:rPr>
        <w:t> </w:t>
      </w:r>
      <w:r>
        <w:rPr>
          <w:sz w:val="18"/>
        </w:rPr>
        <w:t>Hebbal</w:t>
      </w:r>
      <w:r>
        <w:rPr>
          <w:spacing w:val="-29"/>
          <w:sz w:val="18"/>
        </w:rPr>
        <w:t> </w:t>
      </w:r>
      <w:r>
        <w:rPr>
          <w:sz w:val="18"/>
        </w:rPr>
        <w:t>Outer</w:t>
      </w:r>
      <w:r>
        <w:rPr>
          <w:spacing w:val="-29"/>
          <w:sz w:val="18"/>
        </w:rPr>
        <w:t> </w:t>
      </w:r>
      <w:r>
        <w:rPr>
          <w:sz w:val="18"/>
        </w:rPr>
        <w:t>Ring</w:t>
      </w:r>
      <w:r>
        <w:rPr>
          <w:spacing w:val="-28"/>
          <w:sz w:val="18"/>
        </w:rPr>
        <w:t> </w:t>
      </w:r>
      <w:r>
        <w:rPr>
          <w:sz w:val="18"/>
        </w:rPr>
        <w:t>Road, connects</w:t>
      </w:r>
      <w:r>
        <w:rPr>
          <w:spacing w:val="-34"/>
          <w:sz w:val="18"/>
        </w:rPr>
        <w:t> </w:t>
      </w:r>
      <w:r>
        <w:rPr>
          <w:sz w:val="18"/>
        </w:rPr>
        <w:t>the</w:t>
      </w:r>
      <w:r>
        <w:rPr>
          <w:spacing w:val="-33"/>
          <w:sz w:val="18"/>
        </w:rPr>
        <w:t> </w:t>
      </w:r>
      <w:r>
        <w:rPr>
          <w:sz w:val="18"/>
        </w:rPr>
        <w:t>subject</w:t>
      </w:r>
      <w:r>
        <w:rPr>
          <w:spacing w:val="-34"/>
          <w:sz w:val="18"/>
        </w:rPr>
        <w:t> </w:t>
      </w:r>
      <w:r>
        <w:rPr>
          <w:sz w:val="18"/>
        </w:rPr>
        <w:t>location</w:t>
      </w:r>
      <w:r>
        <w:rPr>
          <w:spacing w:val="-33"/>
          <w:sz w:val="18"/>
        </w:rPr>
        <w:t> </w:t>
      </w:r>
      <w:r>
        <w:rPr>
          <w:sz w:val="18"/>
        </w:rPr>
        <w:t>to</w:t>
      </w:r>
      <w:r>
        <w:rPr>
          <w:spacing w:val="-35"/>
          <w:sz w:val="18"/>
        </w:rPr>
        <w:t> </w:t>
      </w:r>
      <w:r>
        <w:rPr>
          <w:sz w:val="18"/>
        </w:rPr>
        <w:t>prominent</w:t>
      </w:r>
      <w:r>
        <w:rPr>
          <w:spacing w:val="-34"/>
          <w:sz w:val="18"/>
        </w:rPr>
        <w:t> </w:t>
      </w:r>
      <w:r>
        <w:rPr>
          <w:sz w:val="18"/>
        </w:rPr>
        <w:t>locations</w:t>
      </w:r>
      <w:r>
        <w:rPr>
          <w:spacing w:val="-33"/>
          <w:sz w:val="18"/>
        </w:rPr>
        <w:t> </w:t>
      </w:r>
      <w:r>
        <w:rPr>
          <w:sz w:val="18"/>
        </w:rPr>
        <w:t>such</w:t>
      </w:r>
      <w:r>
        <w:rPr>
          <w:spacing w:val="-33"/>
          <w:sz w:val="18"/>
        </w:rPr>
        <w:t> </w:t>
      </w:r>
      <w:r>
        <w:rPr>
          <w:sz w:val="18"/>
        </w:rPr>
        <w:t>as</w:t>
      </w:r>
      <w:r>
        <w:rPr>
          <w:spacing w:val="-35"/>
          <w:sz w:val="18"/>
        </w:rPr>
        <w:t> </w:t>
      </w:r>
      <w:r>
        <w:rPr>
          <w:sz w:val="18"/>
        </w:rPr>
        <w:t>Yeshwanthpur,</w:t>
      </w:r>
      <w:r>
        <w:rPr>
          <w:spacing w:val="-34"/>
          <w:sz w:val="18"/>
        </w:rPr>
        <w:t> </w:t>
      </w:r>
      <w:r>
        <w:rPr>
          <w:sz w:val="18"/>
        </w:rPr>
        <w:t>KR</w:t>
      </w:r>
      <w:r>
        <w:rPr>
          <w:spacing w:val="-34"/>
          <w:sz w:val="18"/>
        </w:rPr>
        <w:t> </w:t>
      </w:r>
      <w:r>
        <w:rPr>
          <w:sz w:val="18"/>
        </w:rPr>
        <w:t>Puram,</w:t>
      </w:r>
      <w:r>
        <w:rPr>
          <w:spacing w:val="-34"/>
          <w:sz w:val="18"/>
        </w:rPr>
        <w:t> </w:t>
      </w:r>
      <w:r>
        <w:rPr>
          <w:sz w:val="18"/>
        </w:rPr>
        <w:t>Whitefield,</w:t>
      </w:r>
      <w:r>
        <w:rPr>
          <w:spacing w:val="-34"/>
          <w:sz w:val="18"/>
        </w:rPr>
        <w:t> </w:t>
      </w:r>
      <w:r>
        <w:rPr>
          <w:sz w:val="18"/>
        </w:rPr>
        <w:t>Sarjapur Outer</w:t>
      </w:r>
      <w:r>
        <w:rPr>
          <w:spacing w:val="-16"/>
          <w:sz w:val="18"/>
        </w:rPr>
        <w:t> </w:t>
      </w:r>
      <w:r>
        <w:rPr>
          <w:sz w:val="18"/>
        </w:rPr>
        <w:t>ring</w:t>
      </w:r>
      <w:r>
        <w:rPr>
          <w:spacing w:val="-14"/>
          <w:sz w:val="18"/>
        </w:rPr>
        <w:t> </w:t>
      </w:r>
      <w:r>
        <w:rPr>
          <w:sz w:val="18"/>
        </w:rPr>
        <w:t>road,</w:t>
      </w:r>
      <w:r>
        <w:rPr>
          <w:spacing w:val="-15"/>
          <w:sz w:val="18"/>
        </w:rPr>
        <w:t> </w:t>
      </w:r>
      <w:r>
        <w:rPr>
          <w:sz w:val="18"/>
        </w:rPr>
        <w:t>Old</w:t>
      </w:r>
      <w:r>
        <w:rPr>
          <w:spacing w:val="-15"/>
          <w:sz w:val="18"/>
        </w:rPr>
        <w:t> </w:t>
      </w:r>
      <w:r>
        <w:rPr>
          <w:sz w:val="18"/>
        </w:rPr>
        <w:t>Madras</w:t>
      </w:r>
      <w:r>
        <w:rPr>
          <w:spacing w:val="-13"/>
          <w:sz w:val="18"/>
        </w:rPr>
        <w:t> </w:t>
      </w:r>
      <w:r>
        <w:rPr>
          <w:sz w:val="18"/>
        </w:rPr>
        <w:t>road,</w:t>
      </w:r>
      <w:r>
        <w:rPr>
          <w:spacing w:val="-15"/>
          <w:sz w:val="18"/>
        </w:rPr>
        <w:t> </w:t>
      </w:r>
      <w:r>
        <w:rPr>
          <w:sz w:val="18"/>
        </w:rPr>
        <w:t>etc.</w:t>
      </w:r>
      <w:r>
        <w:rPr>
          <w:spacing w:val="-15"/>
          <w:sz w:val="18"/>
        </w:rPr>
        <w:t> </w:t>
      </w:r>
      <w:r>
        <w:rPr>
          <w:sz w:val="18"/>
        </w:rPr>
        <w:t>Further,</w:t>
      </w:r>
      <w:r>
        <w:rPr>
          <w:spacing w:val="-15"/>
          <w:sz w:val="18"/>
        </w:rPr>
        <w:t> </w:t>
      </w:r>
      <w:r>
        <w:rPr>
          <w:sz w:val="18"/>
        </w:rPr>
        <w:t>it</w:t>
      </w:r>
      <w:r>
        <w:rPr>
          <w:spacing w:val="-16"/>
          <w:sz w:val="18"/>
        </w:rPr>
        <w:t> </w:t>
      </w:r>
      <w:r>
        <w:rPr>
          <w:sz w:val="18"/>
        </w:rPr>
        <w:t>is</w:t>
      </w:r>
      <w:r>
        <w:rPr>
          <w:spacing w:val="-15"/>
          <w:sz w:val="18"/>
        </w:rPr>
        <w:t> </w:t>
      </w:r>
      <w:r>
        <w:rPr>
          <w:sz w:val="18"/>
        </w:rPr>
        <w:t>located</w:t>
      </w:r>
      <w:r>
        <w:rPr>
          <w:spacing w:val="-14"/>
          <w:sz w:val="18"/>
        </w:rPr>
        <w:t> </w:t>
      </w:r>
      <w:r>
        <w:rPr>
          <w:sz w:val="18"/>
        </w:rPr>
        <w:t>at</w:t>
      </w:r>
      <w:r>
        <w:rPr>
          <w:spacing w:val="-15"/>
          <w:sz w:val="18"/>
        </w:rPr>
        <w:t> </w:t>
      </w:r>
      <w:r>
        <w:rPr>
          <w:sz w:val="18"/>
        </w:rPr>
        <w:t>a</w:t>
      </w:r>
      <w:r>
        <w:rPr>
          <w:spacing w:val="-15"/>
          <w:sz w:val="18"/>
        </w:rPr>
        <w:t> </w:t>
      </w:r>
      <w:r>
        <w:rPr>
          <w:sz w:val="18"/>
        </w:rPr>
        <w:t>distance</w:t>
      </w:r>
      <w:r>
        <w:rPr>
          <w:spacing w:val="-14"/>
          <w:sz w:val="18"/>
        </w:rPr>
        <w:t> </w:t>
      </w:r>
      <w:r>
        <w:rPr>
          <w:sz w:val="18"/>
        </w:rPr>
        <w:t>of</w:t>
      </w:r>
      <w:r>
        <w:rPr>
          <w:spacing w:val="-14"/>
          <w:sz w:val="18"/>
        </w:rPr>
        <w:t> </w:t>
      </w:r>
      <w:r>
        <w:rPr>
          <w:spacing w:val="2"/>
          <w:sz w:val="18"/>
        </w:rPr>
        <w:t>1-2</w:t>
      </w:r>
      <w:r>
        <w:rPr>
          <w:spacing w:val="-15"/>
          <w:sz w:val="18"/>
        </w:rPr>
        <w:t> </w:t>
      </w:r>
      <w:r>
        <w:rPr>
          <w:sz w:val="18"/>
        </w:rPr>
        <w:t>km</w:t>
      </w:r>
      <w:r>
        <w:rPr>
          <w:spacing w:val="-14"/>
          <w:sz w:val="18"/>
        </w:rPr>
        <w:t> </w:t>
      </w:r>
      <w:r>
        <w:rPr>
          <w:sz w:val="18"/>
        </w:rPr>
        <w:t>from</w:t>
      </w:r>
      <w:r>
        <w:rPr>
          <w:spacing w:val="-14"/>
          <w:sz w:val="18"/>
        </w:rPr>
        <w:t> </w:t>
      </w:r>
      <w:r>
        <w:rPr>
          <w:sz w:val="18"/>
        </w:rPr>
        <w:t>Mekhri</w:t>
      </w:r>
      <w:r>
        <w:rPr>
          <w:spacing w:val="-16"/>
          <w:sz w:val="18"/>
        </w:rPr>
        <w:t> </w:t>
      </w:r>
      <w:r>
        <w:rPr>
          <w:sz w:val="18"/>
        </w:rPr>
        <w:t>Circle,</w:t>
      </w:r>
      <w:r>
        <w:rPr>
          <w:spacing w:val="-15"/>
          <w:sz w:val="18"/>
        </w:rPr>
        <w:t> </w:t>
      </w:r>
      <w:r>
        <w:rPr>
          <w:sz w:val="18"/>
        </w:rPr>
        <w:t>3- 4</w:t>
      </w:r>
      <w:r>
        <w:rPr>
          <w:spacing w:val="-6"/>
          <w:sz w:val="18"/>
        </w:rPr>
        <w:t> </w:t>
      </w:r>
      <w:r>
        <w:rPr>
          <w:sz w:val="18"/>
        </w:rPr>
        <w:t>km</w:t>
      </w:r>
      <w:r>
        <w:rPr>
          <w:spacing w:val="-5"/>
          <w:sz w:val="18"/>
        </w:rPr>
        <w:t> </w:t>
      </w:r>
      <w:r>
        <w:rPr>
          <w:sz w:val="18"/>
        </w:rPr>
        <w:t>from</w:t>
      </w:r>
      <w:r>
        <w:rPr>
          <w:spacing w:val="-5"/>
          <w:sz w:val="18"/>
        </w:rPr>
        <w:t> </w:t>
      </w:r>
      <w:r>
        <w:rPr>
          <w:sz w:val="18"/>
        </w:rPr>
        <w:t>Hebbal</w:t>
      </w:r>
      <w:r>
        <w:rPr>
          <w:spacing w:val="-5"/>
          <w:sz w:val="18"/>
        </w:rPr>
        <w:t> </w:t>
      </w:r>
      <w:r>
        <w:rPr>
          <w:sz w:val="18"/>
        </w:rPr>
        <w:t>ORR</w:t>
      </w:r>
      <w:r>
        <w:rPr>
          <w:spacing w:val="-6"/>
          <w:sz w:val="18"/>
        </w:rPr>
        <w:t> </w:t>
      </w:r>
      <w:r>
        <w:rPr>
          <w:sz w:val="18"/>
        </w:rPr>
        <w:t>Junction,</w:t>
      </w:r>
      <w:r>
        <w:rPr>
          <w:spacing w:val="-6"/>
          <w:sz w:val="18"/>
        </w:rPr>
        <w:t> </w:t>
      </w:r>
      <w:r>
        <w:rPr>
          <w:sz w:val="18"/>
        </w:rPr>
        <w:t>6-7</w:t>
      </w:r>
      <w:r>
        <w:rPr>
          <w:spacing w:val="-6"/>
          <w:sz w:val="18"/>
        </w:rPr>
        <w:t> </w:t>
      </w:r>
      <w:r>
        <w:rPr>
          <w:sz w:val="18"/>
        </w:rPr>
        <w:t>km</w:t>
      </w:r>
      <w:r>
        <w:rPr>
          <w:spacing w:val="-5"/>
          <w:sz w:val="18"/>
        </w:rPr>
        <w:t> </w:t>
      </w:r>
      <w:r>
        <w:rPr>
          <w:sz w:val="18"/>
        </w:rPr>
        <w:t>from</w:t>
      </w:r>
      <w:r>
        <w:rPr>
          <w:spacing w:val="-4"/>
          <w:sz w:val="18"/>
        </w:rPr>
        <w:t> </w:t>
      </w:r>
      <w:r>
        <w:rPr>
          <w:sz w:val="18"/>
        </w:rPr>
        <w:t>MG</w:t>
      </w:r>
      <w:r>
        <w:rPr>
          <w:spacing w:val="-6"/>
          <w:sz w:val="18"/>
        </w:rPr>
        <w:t> </w:t>
      </w:r>
      <w:r>
        <w:rPr>
          <w:sz w:val="18"/>
        </w:rPr>
        <w:t>Road,</w:t>
      </w:r>
      <w:r>
        <w:rPr>
          <w:spacing w:val="-6"/>
          <w:sz w:val="18"/>
        </w:rPr>
        <w:t> </w:t>
      </w:r>
      <w:r>
        <w:rPr>
          <w:sz w:val="18"/>
        </w:rPr>
        <w:t>27-28</w:t>
      </w:r>
      <w:r>
        <w:rPr>
          <w:spacing w:val="-6"/>
          <w:sz w:val="18"/>
        </w:rPr>
        <w:t> </w:t>
      </w:r>
      <w:r>
        <w:rPr>
          <w:sz w:val="18"/>
        </w:rPr>
        <w:t>K</w:t>
      </w:r>
      <w:r>
        <w:rPr>
          <w:spacing w:val="-7"/>
          <w:sz w:val="18"/>
        </w:rPr>
        <w:t> </w:t>
      </w:r>
      <w:r>
        <w:rPr>
          <w:sz w:val="18"/>
        </w:rPr>
        <w:t>from</w:t>
      </w:r>
      <w:r>
        <w:rPr>
          <w:spacing w:val="-4"/>
          <w:sz w:val="18"/>
        </w:rPr>
        <w:t> </w:t>
      </w:r>
      <w:r>
        <w:rPr>
          <w:sz w:val="18"/>
        </w:rPr>
        <w:t>Bengaluru</w:t>
      </w:r>
      <w:r>
        <w:rPr>
          <w:spacing w:val="-6"/>
          <w:sz w:val="18"/>
        </w:rPr>
        <w:t> </w:t>
      </w:r>
      <w:r>
        <w:rPr>
          <w:sz w:val="18"/>
        </w:rPr>
        <w:t>International</w:t>
      </w:r>
      <w:r>
        <w:rPr>
          <w:spacing w:val="-4"/>
          <w:sz w:val="18"/>
        </w:rPr>
        <w:t> </w:t>
      </w:r>
      <w:r>
        <w:rPr>
          <w:sz w:val="18"/>
        </w:rPr>
        <w:t>Airport.</w:t>
      </w:r>
    </w:p>
    <w:p>
      <w:pPr>
        <w:pStyle w:val="BodyText"/>
        <w:spacing w:before="11"/>
        <w:rPr>
          <w:sz w:val="12"/>
        </w:rPr>
      </w:pPr>
    </w:p>
    <w:p>
      <w:pPr>
        <w:spacing w:after="0"/>
        <w:rPr>
          <w:sz w:val="12"/>
        </w:rPr>
        <w:sectPr>
          <w:pgSz w:w="11910" w:h="16840"/>
          <w:pgMar w:header="720" w:footer="842" w:top="1520" w:bottom="1040" w:left="440" w:right="80"/>
        </w:sectPr>
      </w:pPr>
    </w:p>
    <w:p>
      <w:pPr>
        <w:spacing w:line="321" w:lineRule="auto" w:before="104"/>
        <w:ind w:left="392" w:right="0" w:firstLine="0"/>
        <w:jc w:val="left"/>
        <w:rPr>
          <w:sz w:val="18"/>
        </w:rPr>
      </w:pPr>
      <w:r>
        <w:rPr>
          <w:color w:val="006A4D"/>
          <w:w w:val="95"/>
          <w:sz w:val="18"/>
        </w:rPr>
        <w:t>Statement of Assets </w:t>
      </w:r>
      <w:r>
        <w:rPr>
          <w:color w:val="006A4D"/>
          <w:sz w:val="18"/>
        </w:rPr>
        <w:t>(sf):</w:t>
      </w:r>
    </w:p>
    <w:p>
      <w:pPr>
        <w:pStyle w:val="BodyText"/>
      </w:pPr>
    </w:p>
    <w:p>
      <w:pPr>
        <w:pStyle w:val="BodyText"/>
      </w:pPr>
    </w:p>
    <w:p>
      <w:pPr>
        <w:pStyle w:val="BodyText"/>
      </w:pPr>
    </w:p>
    <w:p>
      <w:pPr>
        <w:pStyle w:val="BodyText"/>
      </w:pPr>
    </w:p>
    <w:p>
      <w:pPr>
        <w:pStyle w:val="BodyText"/>
      </w:pPr>
    </w:p>
    <w:p>
      <w:pPr>
        <w:pStyle w:val="BodyText"/>
      </w:pPr>
    </w:p>
    <w:p>
      <w:pPr>
        <w:pStyle w:val="BodyText"/>
        <w:spacing w:before="2"/>
        <w:rPr>
          <w:sz w:val="17"/>
        </w:rPr>
      </w:pPr>
    </w:p>
    <w:p>
      <w:pPr>
        <w:spacing w:line="321" w:lineRule="auto" w:before="1"/>
        <w:ind w:left="392" w:right="532" w:firstLine="0"/>
        <w:jc w:val="left"/>
        <w:rPr>
          <w:sz w:val="18"/>
        </w:rPr>
      </w:pPr>
      <w:r>
        <w:rPr>
          <w:color w:val="006A4D"/>
          <w:sz w:val="18"/>
        </w:rPr>
        <w:t>Valuation Approaches:</w:t>
      </w:r>
    </w:p>
    <w:p>
      <w:pPr>
        <w:spacing w:before="104"/>
        <w:ind w:left="0" w:right="601" w:firstLine="0"/>
        <w:jc w:val="center"/>
        <w:rPr>
          <w:sz w:val="18"/>
        </w:rPr>
      </w:pPr>
      <w:r>
        <w:rPr/>
        <w:br w:type="column"/>
      </w:r>
      <w:r>
        <w:rPr>
          <w:sz w:val="18"/>
        </w:rPr>
        <w:t>Table below highlights the area details for individual blocks that form part of the subject development:</w:t>
      </w:r>
    </w:p>
    <w:p>
      <w:pPr>
        <w:pStyle w:val="BodyText"/>
        <w:spacing w:before="10"/>
        <w:rPr>
          <w:sz w:val="12"/>
        </w:rPr>
      </w:pPr>
      <w:r>
        <w:rPr/>
        <w:pict>
          <v:group style="position:absolute;margin-left:140.539993pt;margin-top:9.425918pt;width:417.85pt;height:13pt;mso-position-horizontal-relative:page;mso-position-vertical-relative:paragraph;z-index:-15595520;mso-wrap-distance-left:0;mso-wrap-distance-right:0" coordorigin="2811,189" coordsize="8357,260">
            <v:shape style="position:absolute;left:2825;top:217;width:8342;height:216" coordorigin="2825,217" coordsize="8342,216" path="m11167,217l6040,217,2825,217,2825,433,6040,433,11167,433,11167,217xe" filled="true" fillcolor="#006a4d" stroked="false">
              <v:path arrowok="t"/>
              <v:fill type="solid"/>
            </v:shape>
            <v:rect style="position:absolute;left:2825;top:188;width:3215;height:29" filled="true" fillcolor="#1f6b16" stroked="false">
              <v:fill type="solid"/>
            </v:rect>
            <v:shape style="position:absolute;left:2825;top:217;width:3244;height:3" coordorigin="2825,217" coordsize="3244,3" path="m6069,217l6040,217,2825,217,2825,220,6040,220,6069,220,6069,217xe" filled="true" fillcolor="#006a4d" stroked="false">
              <v:path arrowok="t"/>
              <v:fill type="solid"/>
            </v:shape>
            <v:shape style="position:absolute;left:6039;top:188;width:5128;height:29" coordorigin="6040,189" coordsize="5128,29" path="m11167,189l6069,189,6040,189,6040,217,6069,217,11167,217,11167,189xe" filled="true" fillcolor="#1f6b16" stroked="false">
              <v:path arrowok="t"/>
              <v:fill type="solid"/>
            </v:shape>
            <v:rect style="position:absolute;left:6068;top:217;width:5099;height:3" filled="true" fillcolor="#006a4d" stroked="false">
              <v:fill type="solid"/>
            </v:rect>
            <v:shape style="position:absolute;left:2825;top:433;width:8342;height:15" coordorigin="2825,433" coordsize="8342,15" path="m11167,433l6054,433,6040,433,2825,433,2825,448,6040,448,6054,448,11167,448,11167,433xe" filled="true" fillcolor="#69bd28" stroked="false">
              <v:path arrowok="t"/>
              <v:fill type="solid"/>
            </v:shape>
            <v:shape style="position:absolute;left:2810;top:217;width:8357;height:216" type="#_x0000_t202" filled="false" stroked="false">
              <v:textbox inset="0,0,0,0">
                <w:txbxContent>
                  <w:p>
                    <w:pPr>
                      <w:tabs>
                        <w:tab w:pos="3226" w:val="left" w:leader="none"/>
                      </w:tabs>
                      <w:spacing w:before="3"/>
                      <w:ind w:left="192" w:right="0" w:firstLine="0"/>
                      <w:jc w:val="center"/>
                      <w:rPr>
                        <w:b/>
                        <w:sz w:val="18"/>
                      </w:rPr>
                    </w:pPr>
                    <w:r>
                      <w:rPr>
                        <w:b/>
                        <w:color w:val="FFFFFF"/>
                        <w:w w:val="110"/>
                        <w:sz w:val="18"/>
                      </w:rPr>
                      <w:t>Block</w:t>
                      <w:tab/>
                      <w:t>No of Keys/ Leasable Area</w:t>
                    </w:r>
                    <w:r>
                      <w:rPr>
                        <w:b/>
                        <w:color w:val="FFFFFF"/>
                        <w:spacing w:val="-15"/>
                        <w:w w:val="110"/>
                        <w:sz w:val="18"/>
                      </w:rPr>
                      <w:t> </w:t>
                    </w:r>
                    <w:r>
                      <w:rPr>
                        <w:b/>
                        <w:color w:val="FFFFFF"/>
                        <w:w w:val="110"/>
                        <w:sz w:val="18"/>
                      </w:rPr>
                      <w:t>(sf)</w:t>
                    </w:r>
                  </w:p>
                </w:txbxContent>
              </v:textbox>
              <w10:wrap type="none"/>
            </v:shape>
            <w10:wrap type="topAndBottom"/>
          </v:group>
        </w:pict>
      </w:r>
    </w:p>
    <w:p>
      <w:pPr>
        <w:tabs>
          <w:tab w:pos="4040" w:val="left" w:leader="none"/>
        </w:tabs>
        <w:spacing w:before="0"/>
        <w:ind w:left="0" w:right="2877" w:firstLine="0"/>
        <w:jc w:val="right"/>
        <w:rPr>
          <w:sz w:val="18"/>
        </w:rPr>
      </w:pPr>
      <w:r>
        <w:rPr>
          <w:w w:val="105"/>
          <w:sz w:val="18"/>
        </w:rPr>
        <w:t>Office</w:t>
        <w:tab/>
      </w:r>
      <w:r>
        <w:rPr>
          <w:spacing w:val="-1"/>
          <w:w w:val="105"/>
          <w:sz w:val="18"/>
        </w:rPr>
        <w:t>194,948</w:t>
      </w:r>
    </w:p>
    <w:p>
      <w:pPr>
        <w:pStyle w:val="BodyText"/>
        <w:spacing w:line="20" w:lineRule="exact"/>
        <w:ind w:left="392"/>
        <w:rPr>
          <w:sz w:val="2"/>
        </w:rPr>
      </w:pPr>
      <w:r>
        <w:rPr>
          <w:sz w:val="2"/>
        </w:rPr>
        <w:pict>
          <v:group style="width:417.1pt;height:.75pt;mso-position-horizontal-relative:char;mso-position-vertical-relative:line" coordorigin="0,0" coordsize="8342,15">
            <v:shape style="position:absolute;left:0;top:0;width:8342;height:15" coordorigin="0,0" coordsize="8342,15" path="m8342,0l3229,0,3215,0,0,0,0,14,3215,14,3229,14,8342,14,8342,0xe" filled="true" fillcolor="#69bd28" stroked="false">
              <v:path arrowok="t"/>
              <v:fill type="solid"/>
            </v:shape>
          </v:group>
        </w:pict>
      </w:r>
      <w:r>
        <w:rPr>
          <w:sz w:val="2"/>
        </w:rPr>
      </w:r>
    </w:p>
    <w:p>
      <w:pPr>
        <w:tabs>
          <w:tab w:pos="4090" w:val="left" w:leader="none"/>
        </w:tabs>
        <w:spacing w:before="15"/>
        <w:ind w:left="0" w:right="2934" w:firstLine="0"/>
        <w:jc w:val="right"/>
        <w:rPr>
          <w:sz w:val="18"/>
        </w:rPr>
      </w:pPr>
      <w:r>
        <w:rPr>
          <w:sz w:val="18"/>
        </w:rPr>
        <w:t>Retail</w:t>
        <w:tab/>
      </w:r>
      <w:r>
        <w:rPr>
          <w:spacing w:val="-1"/>
          <w:sz w:val="18"/>
        </w:rPr>
        <w:t>55,148</w:t>
      </w:r>
    </w:p>
    <w:p>
      <w:pPr>
        <w:pStyle w:val="BodyText"/>
        <w:spacing w:line="20" w:lineRule="exact"/>
        <w:ind w:left="392"/>
        <w:rPr>
          <w:sz w:val="2"/>
        </w:rPr>
      </w:pPr>
      <w:r>
        <w:rPr>
          <w:sz w:val="2"/>
        </w:rPr>
        <w:pict>
          <v:group style="width:417.1pt;height:.75pt;mso-position-horizontal-relative:char;mso-position-vertical-relative:line" coordorigin="0,0" coordsize="8342,15">
            <v:shape style="position:absolute;left:0;top:0;width:8342;height:15" coordorigin="0,0" coordsize="8342,15" path="m8342,0l3229,0,3215,0,0,0,0,14,3215,14,3229,14,8342,14,8342,0xe" filled="true" fillcolor="#69bd28" stroked="false">
              <v:path arrowok="t"/>
              <v:fill type="solid"/>
            </v:shape>
          </v:group>
        </w:pict>
      </w:r>
      <w:r>
        <w:rPr>
          <w:sz w:val="2"/>
        </w:rPr>
      </w:r>
    </w:p>
    <w:p>
      <w:pPr>
        <w:tabs>
          <w:tab w:pos="5295" w:val="left" w:leader="none"/>
        </w:tabs>
        <w:spacing w:before="16"/>
        <w:ind w:left="0" w:right="2871" w:firstLine="0"/>
        <w:jc w:val="right"/>
        <w:rPr>
          <w:sz w:val="18"/>
        </w:rPr>
      </w:pPr>
      <w:r>
        <w:rPr>
          <w:sz w:val="18"/>
        </w:rPr>
        <w:t>Hotel (Four Seasons at</w:t>
      </w:r>
      <w:r>
        <w:rPr>
          <w:spacing w:val="-24"/>
          <w:sz w:val="18"/>
        </w:rPr>
        <w:t> </w:t>
      </w:r>
      <w:r>
        <w:rPr>
          <w:sz w:val="18"/>
        </w:rPr>
        <w:t>Embassy</w:t>
      </w:r>
      <w:r>
        <w:rPr>
          <w:spacing w:val="-6"/>
          <w:sz w:val="18"/>
        </w:rPr>
        <w:t> </w:t>
      </w:r>
      <w:r>
        <w:rPr>
          <w:sz w:val="18"/>
        </w:rPr>
        <w:t>One)</w:t>
        <w:tab/>
        <w:t>230</w:t>
      </w:r>
      <w:r>
        <w:rPr>
          <w:spacing w:val="12"/>
          <w:sz w:val="18"/>
        </w:rPr>
        <w:t> </w:t>
      </w:r>
      <w:r>
        <w:rPr>
          <w:sz w:val="18"/>
        </w:rPr>
        <w:t>keys</w:t>
      </w:r>
    </w:p>
    <w:p>
      <w:pPr>
        <w:pStyle w:val="BodyText"/>
        <w:spacing w:line="20" w:lineRule="exact"/>
        <w:ind w:left="392"/>
        <w:rPr>
          <w:sz w:val="2"/>
        </w:rPr>
      </w:pPr>
      <w:r>
        <w:rPr>
          <w:sz w:val="2"/>
        </w:rPr>
        <w:pict>
          <v:group style="width:417.1pt;height:.75pt;mso-position-horizontal-relative:char;mso-position-vertical-relative:line" coordorigin="0,0" coordsize="8342,15">
            <v:shape style="position:absolute;left:0;top:0;width:8342;height:15" coordorigin="0,0" coordsize="8342,15" path="m8342,0l3229,0,3215,0,0,0,0,14,3215,14,3229,14,8342,14,8342,0xe" filled="true" fillcolor="#69bd28" stroked="false">
              <v:path arrowok="t"/>
              <v:fill type="solid"/>
            </v:shape>
          </v:group>
        </w:pict>
      </w:r>
      <w:r>
        <w:rPr>
          <w:sz w:val="2"/>
        </w:rPr>
      </w:r>
    </w:p>
    <w:p>
      <w:pPr>
        <w:tabs>
          <w:tab w:pos="3564" w:val="left" w:leader="none"/>
        </w:tabs>
        <w:spacing w:before="18"/>
        <w:ind w:left="0" w:right="619" w:firstLine="0"/>
        <w:jc w:val="center"/>
        <w:rPr>
          <w:sz w:val="18"/>
        </w:rPr>
      </w:pPr>
      <w:r>
        <w:rPr>
          <w:sz w:val="18"/>
        </w:rPr>
        <w:t>Total</w:t>
        <w:tab/>
        <w:t>230 Keys /</w:t>
      </w:r>
      <w:r>
        <w:rPr>
          <w:spacing w:val="-2"/>
          <w:sz w:val="18"/>
        </w:rPr>
        <w:t> </w:t>
      </w:r>
      <w:r>
        <w:rPr>
          <w:sz w:val="18"/>
        </w:rPr>
        <w:t>250,096</w:t>
      </w:r>
    </w:p>
    <w:p>
      <w:pPr>
        <w:pStyle w:val="BodyText"/>
        <w:spacing w:line="20" w:lineRule="exact"/>
        <w:ind w:left="378"/>
        <w:rPr>
          <w:sz w:val="2"/>
        </w:rPr>
      </w:pPr>
      <w:r>
        <w:rPr>
          <w:sz w:val="2"/>
        </w:rPr>
        <w:pict>
          <v:group style="width:417.85pt;height:.75pt;mso-position-horizontal-relative:char;mso-position-vertical-relative:line" coordorigin="0,0" coordsize="8357,15">
            <v:shape style="position:absolute;left:0;top:0;width:8357;height:15" coordorigin="0,0" coordsize="8357,15" path="m8356,0l3229,0,3215,0,0,0,0,14,3215,14,3229,14,8356,14,8356,0xe" filled="true" fillcolor="#69bd28" stroked="false">
              <v:path arrowok="t"/>
              <v:fill type="solid"/>
            </v:shape>
          </v:group>
        </w:pict>
      </w:r>
      <w:r>
        <w:rPr>
          <w:sz w:val="2"/>
        </w:rPr>
      </w:r>
    </w:p>
    <w:p>
      <w:pPr>
        <w:spacing w:before="130"/>
        <w:ind w:left="392" w:right="0" w:firstLine="0"/>
        <w:jc w:val="left"/>
        <w:rPr>
          <w:sz w:val="18"/>
        </w:rPr>
      </w:pPr>
      <w:r>
        <w:rPr/>
        <w:pict>
          <v:shape style="position:absolute;margin-left:142.100006pt;margin-top:26.83065pt;width:416.3pt;height:82.2pt;mso-position-horizontal-relative:page;mso-position-vertical-relative:paragraph;z-index:158643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53"/>
                    <w:gridCol w:w="4772"/>
                  </w:tblGrid>
                  <w:tr>
                    <w:trPr>
                      <w:trHeight w:val="455" w:hRule="atLeast"/>
                    </w:trPr>
                    <w:tc>
                      <w:tcPr>
                        <w:tcW w:w="8325" w:type="dxa"/>
                        <w:gridSpan w:val="2"/>
                        <w:tcBorders>
                          <w:top w:val="single" w:sz="6" w:space="0" w:color="69BD28"/>
                        </w:tcBorders>
                        <w:shd w:val="clear" w:color="auto" w:fill="006A4D"/>
                      </w:tcPr>
                      <w:p>
                        <w:pPr>
                          <w:pStyle w:val="TableParagraph"/>
                          <w:tabs>
                            <w:tab w:pos="5125" w:val="left" w:leader="none"/>
                          </w:tabs>
                          <w:spacing w:before="123"/>
                          <w:ind w:left="864"/>
                          <w:jc w:val="left"/>
                          <w:rPr>
                            <w:b/>
                            <w:sz w:val="18"/>
                          </w:rPr>
                        </w:pPr>
                        <w:r>
                          <w:rPr>
                            <w:b/>
                            <w:color w:val="FFFFFF"/>
                            <w:w w:val="110"/>
                            <w:sz w:val="18"/>
                          </w:rPr>
                          <w:t>Valuation Approach</w:t>
                          <w:tab/>
                          <w:t>Completed</w:t>
                        </w:r>
                        <w:r>
                          <w:rPr>
                            <w:b/>
                            <w:color w:val="FFFFFF"/>
                            <w:spacing w:val="-5"/>
                            <w:w w:val="110"/>
                            <w:sz w:val="18"/>
                          </w:rPr>
                          <w:t> </w:t>
                        </w:r>
                        <w:r>
                          <w:rPr>
                            <w:b/>
                            <w:color w:val="FFFFFF"/>
                            <w:w w:val="110"/>
                            <w:sz w:val="18"/>
                          </w:rPr>
                          <w:t>Blocks</w:t>
                        </w:r>
                      </w:p>
                    </w:tc>
                  </w:tr>
                  <w:tr>
                    <w:trPr>
                      <w:trHeight w:val="671" w:hRule="atLeast"/>
                    </w:trPr>
                    <w:tc>
                      <w:tcPr>
                        <w:tcW w:w="3553" w:type="dxa"/>
                        <w:vMerge w:val="restart"/>
                        <w:shd w:val="clear" w:color="auto" w:fill="69BD28"/>
                      </w:tcPr>
                      <w:p>
                        <w:pPr>
                          <w:pStyle w:val="TableParagraph"/>
                          <w:spacing w:before="10"/>
                          <w:jc w:val="left"/>
                          <w:rPr>
                            <w:sz w:val="19"/>
                          </w:rPr>
                        </w:pPr>
                      </w:p>
                      <w:p>
                        <w:pPr>
                          <w:pStyle w:val="TableParagraph"/>
                          <w:spacing w:before="1"/>
                          <w:ind w:left="379" w:right="379"/>
                          <w:rPr>
                            <w:b/>
                            <w:sz w:val="18"/>
                          </w:rPr>
                        </w:pPr>
                        <w:r>
                          <w:rPr>
                            <w:b/>
                            <w:color w:val="FFFFFF"/>
                            <w:w w:val="110"/>
                            <w:sz w:val="18"/>
                          </w:rPr>
                          <w:t>Office and Retail Components</w:t>
                        </w:r>
                      </w:p>
                      <w:p>
                        <w:pPr>
                          <w:pStyle w:val="TableParagraph"/>
                          <w:spacing w:before="9"/>
                          <w:jc w:val="left"/>
                          <w:rPr>
                            <w:sz w:val="31"/>
                          </w:rPr>
                        </w:pPr>
                      </w:p>
                      <w:p>
                        <w:pPr>
                          <w:pStyle w:val="TableParagraph"/>
                          <w:ind w:left="379" w:right="379"/>
                          <w:rPr>
                            <w:b/>
                            <w:sz w:val="18"/>
                          </w:rPr>
                        </w:pPr>
                        <w:r>
                          <w:rPr>
                            <w:b/>
                            <w:color w:val="FFFFFF"/>
                            <w:w w:val="105"/>
                            <w:sz w:val="18"/>
                          </w:rPr>
                          <w:t>Hotel Components</w:t>
                        </w:r>
                      </w:p>
                    </w:tc>
                    <w:tc>
                      <w:tcPr>
                        <w:tcW w:w="4772" w:type="dxa"/>
                        <w:tcBorders>
                          <w:top w:val="single" w:sz="6" w:space="0" w:color="69BD28"/>
                          <w:bottom w:val="single" w:sz="6" w:space="0" w:color="69BD28"/>
                        </w:tcBorders>
                      </w:tcPr>
                      <w:p>
                        <w:pPr>
                          <w:pStyle w:val="TableParagraph"/>
                          <w:spacing w:line="247" w:lineRule="auto" w:before="123"/>
                          <w:ind w:left="1971" w:right="282" w:hanging="1616"/>
                          <w:jc w:val="left"/>
                          <w:rPr>
                            <w:sz w:val="18"/>
                          </w:rPr>
                        </w:pPr>
                        <w:r>
                          <w:rPr>
                            <w:sz w:val="18"/>
                          </w:rPr>
                          <w:t>Discounted Cash Flow Method (using rent reversion approach)</w:t>
                        </w:r>
                      </w:p>
                    </w:tc>
                  </w:tr>
                  <w:tr>
                    <w:trPr>
                      <w:trHeight w:val="457" w:hRule="atLeast"/>
                    </w:trPr>
                    <w:tc>
                      <w:tcPr>
                        <w:tcW w:w="3553" w:type="dxa"/>
                        <w:vMerge/>
                        <w:tcBorders>
                          <w:top w:val="nil"/>
                        </w:tcBorders>
                        <w:shd w:val="clear" w:color="auto" w:fill="69BD28"/>
                      </w:tcPr>
                      <w:p>
                        <w:pPr>
                          <w:rPr>
                            <w:sz w:val="2"/>
                            <w:szCs w:val="2"/>
                          </w:rPr>
                        </w:pPr>
                      </w:p>
                    </w:tc>
                    <w:tc>
                      <w:tcPr>
                        <w:tcW w:w="4772" w:type="dxa"/>
                        <w:tcBorders>
                          <w:top w:val="single" w:sz="6" w:space="0" w:color="69BD28"/>
                          <w:bottom w:val="single" w:sz="6" w:space="0" w:color="69BD28"/>
                        </w:tcBorders>
                      </w:tcPr>
                      <w:p>
                        <w:pPr>
                          <w:pStyle w:val="TableParagraph"/>
                          <w:spacing w:before="123"/>
                          <w:ind w:left="1178"/>
                          <w:jc w:val="left"/>
                          <w:rPr>
                            <w:sz w:val="18"/>
                          </w:rPr>
                        </w:pPr>
                        <w:r>
                          <w:rPr>
                            <w:sz w:val="18"/>
                          </w:rPr>
                          <w:t>Discounted Cash Flow Method</w:t>
                        </w:r>
                      </w:p>
                    </w:tc>
                  </w:tr>
                </w:tbl>
                <w:p>
                  <w:pPr>
                    <w:pStyle w:val="BodyText"/>
                  </w:pPr>
                </w:p>
              </w:txbxContent>
            </v:textbox>
            <w10:wrap type="none"/>
          </v:shape>
        </w:pict>
      </w:r>
      <w:r>
        <w:rPr>
          <w:sz w:val="18"/>
        </w:rPr>
        <w:t>Source: Architect certificate provided by the Client</w:t>
      </w:r>
    </w:p>
    <w:p>
      <w:pPr>
        <w:spacing w:after="0"/>
        <w:jc w:val="left"/>
        <w:rPr>
          <w:sz w:val="18"/>
        </w:rPr>
        <w:sectPr>
          <w:type w:val="continuous"/>
          <w:pgSz w:w="11910" w:h="16840"/>
          <w:pgMar w:top="800" w:bottom="280" w:left="440" w:right="80"/>
          <w:cols w:num="2" w:equalWidth="0">
            <w:col w:w="1937" w:space="55"/>
            <w:col w:w="9398"/>
          </w:cols>
        </w:sectPr>
      </w:pPr>
    </w:p>
    <w:p>
      <w:pPr>
        <w:pStyle w:val="BodyText"/>
        <w:rPr>
          <w:sz w:val="20"/>
        </w:rPr>
      </w:pPr>
    </w:p>
    <w:p>
      <w:pPr>
        <w:pStyle w:val="BodyText"/>
        <w:rPr>
          <w:sz w:val="20"/>
        </w:rPr>
      </w:pPr>
    </w:p>
    <w:p>
      <w:pPr>
        <w:pStyle w:val="BodyText"/>
        <w:rPr>
          <w:sz w:val="20"/>
        </w:rPr>
      </w:pPr>
    </w:p>
    <w:p>
      <w:pPr>
        <w:pStyle w:val="BodyText"/>
        <w:spacing w:before="2"/>
        <w:rPr>
          <w:sz w:val="25"/>
        </w:rPr>
      </w:pPr>
    </w:p>
    <w:p>
      <w:pPr>
        <w:tabs>
          <w:tab w:pos="2385" w:val="left" w:leader="none"/>
        </w:tabs>
        <w:spacing w:before="104"/>
        <w:ind w:left="392" w:right="0" w:firstLine="0"/>
        <w:jc w:val="left"/>
        <w:rPr>
          <w:sz w:val="18"/>
        </w:rPr>
      </w:pPr>
      <w:r>
        <w:rPr>
          <w:color w:val="006A4D"/>
          <w:sz w:val="18"/>
        </w:rPr>
        <w:t>Date</w:t>
      </w:r>
      <w:r>
        <w:rPr>
          <w:color w:val="006A4D"/>
          <w:spacing w:val="-13"/>
          <w:sz w:val="18"/>
        </w:rPr>
        <w:t> </w:t>
      </w:r>
      <w:r>
        <w:rPr>
          <w:color w:val="006A4D"/>
          <w:sz w:val="18"/>
        </w:rPr>
        <w:t>of</w:t>
      </w:r>
      <w:r>
        <w:rPr>
          <w:color w:val="006A4D"/>
          <w:spacing w:val="-13"/>
          <w:sz w:val="18"/>
        </w:rPr>
        <w:t> </w:t>
      </w:r>
      <w:r>
        <w:rPr>
          <w:color w:val="006A4D"/>
          <w:sz w:val="18"/>
        </w:rPr>
        <w:t>Valuation:</w:t>
        <w:tab/>
      </w:r>
      <w:r>
        <w:rPr>
          <w:sz w:val="18"/>
        </w:rPr>
        <w:t>March 31,</w:t>
      </w:r>
      <w:r>
        <w:rPr>
          <w:spacing w:val="-1"/>
          <w:sz w:val="18"/>
        </w:rPr>
        <w:t> </w:t>
      </w:r>
      <w:r>
        <w:rPr>
          <w:sz w:val="18"/>
        </w:rPr>
        <w:t>2020</w:t>
      </w:r>
    </w:p>
    <w:p>
      <w:pPr>
        <w:pStyle w:val="BodyText"/>
        <w:spacing w:before="8"/>
        <w:rPr>
          <w:sz w:val="27"/>
        </w:rPr>
      </w:pPr>
    </w:p>
    <w:p>
      <w:pPr>
        <w:tabs>
          <w:tab w:pos="1992" w:val="left" w:leader="none"/>
        </w:tabs>
        <w:spacing w:before="0"/>
        <w:ind w:left="0" w:right="661" w:firstLine="0"/>
        <w:jc w:val="right"/>
        <w:rPr>
          <w:sz w:val="18"/>
        </w:rPr>
      </w:pPr>
      <w:r>
        <w:rPr>
          <w:color w:val="006A4D"/>
          <w:sz w:val="18"/>
        </w:rPr>
        <w:t>Date</w:t>
      </w:r>
      <w:r>
        <w:rPr>
          <w:color w:val="006A4D"/>
          <w:spacing w:val="-18"/>
          <w:sz w:val="18"/>
        </w:rPr>
        <w:t> </w:t>
      </w:r>
      <w:r>
        <w:rPr>
          <w:color w:val="006A4D"/>
          <w:sz w:val="18"/>
        </w:rPr>
        <w:t>of</w:t>
      </w:r>
      <w:r>
        <w:rPr>
          <w:color w:val="006A4D"/>
          <w:spacing w:val="-18"/>
          <w:sz w:val="18"/>
        </w:rPr>
        <w:t> </w:t>
      </w:r>
      <w:r>
        <w:rPr>
          <w:color w:val="006A4D"/>
          <w:sz w:val="18"/>
        </w:rPr>
        <w:t>Inspection:</w:t>
        <w:tab/>
      </w:r>
      <w:r>
        <w:rPr>
          <w:sz w:val="18"/>
        </w:rPr>
        <w:t>Not</w:t>
      </w:r>
      <w:r>
        <w:rPr>
          <w:spacing w:val="16"/>
          <w:sz w:val="18"/>
        </w:rPr>
        <w:t> </w:t>
      </w:r>
      <w:r>
        <w:rPr>
          <w:sz w:val="18"/>
        </w:rPr>
        <w:t>Applicable.</w:t>
      </w:r>
      <w:r>
        <w:rPr>
          <w:spacing w:val="17"/>
          <w:sz w:val="18"/>
        </w:rPr>
        <w:t> </w:t>
      </w:r>
      <w:r>
        <w:rPr>
          <w:sz w:val="18"/>
        </w:rPr>
        <w:t>Due</w:t>
      </w:r>
      <w:r>
        <w:rPr>
          <w:spacing w:val="17"/>
          <w:sz w:val="18"/>
        </w:rPr>
        <w:t> </w:t>
      </w:r>
      <w:r>
        <w:rPr>
          <w:sz w:val="18"/>
        </w:rPr>
        <w:t>to</w:t>
      </w:r>
      <w:r>
        <w:rPr>
          <w:spacing w:val="17"/>
          <w:sz w:val="18"/>
        </w:rPr>
        <w:t> </w:t>
      </w:r>
      <w:r>
        <w:rPr>
          <w:sz w:val="18"/>
        </w:rPr>
        <w:t>the</w:t>
      </w:r>
      <w:r>
        <w:rPr>
          <w:spacing w:val="17"/>
          <w:sz w:val="18"/>
        </w:rPr>
        <w:t> </w:t>
      </w:r>
      <w:r>
        <w:rPr>
          <w:sz w:val="18"/>
        </w:rPr>
        <w:t>outbreak</w:t>
      </w:r>
      <w:r>
        <w:rPr>
          <w:spacing w:val="16"/>
          <w:sz w:val="18"/>
        </w:rPr>
        <w:t> </w:t>
      </w:r>
      <w:r>
        <w:rPr>
          <w:sz w:val="18"/>
        </w:rPr>
        <w:t>of</w:t>
      </w:r>
      <w:r>
        <w:rPr>
          <w:spacing w:val="17"/>
          <w:sz w:val="18"/>
        </w:rPr>
        <w:t> </w:t>
      </w:r>
      <w:r>
        <w:rPr>
          <w:sz w:val="18"/>
        </w:rPr>
        <w:t>Novel</w:t>
      </w:r>
      <w:r>
        <w:rPr>
          <w:spacing w:val="16"/>
          <w:sz w:val="18"/>
        </w:rPr>
        <w:t> </w:t>
      </w:r>
      <w:r>
        <w:rPr>
          <w:sz w:val="18"/>
        </w:rPr>
        <w:t>Coronavirus</w:t>
      </w:r>
      <w:r>
        <w:rPr>
          <w:spacing w:val="15"/>
          <w:sz w:val="18"/>
        </w:rPr>
        <w:t> </w:t>
      </w:r>
      <w:r>
        <w:rPr>
          <w:sz w:val="18"/>
        </w:rPr>
        <w:t>(COVID-19),</w:t>
      </w:r>
      <w:r>
        <w:rPr>
          <w:spacing w:val="17"/>
          <w:sz w:val="18"/>
        </w:rPr>
        <w:t> </w:t>
      </w:r>
      <w:r>
        <w:rPr>
          <w:sz w:val="18"/>
        </w:rPr>
        <w:t>declared</w:t>
      </w:r>
      <w:r>
        <w:rPr>
          <w:spacing w:val="17"/>
          <w:sz w:val="18"/>
        </w:rPr>
        <w:t> </w:t>
      </w:r>
      <w:r>
        <w:rPr>
          <w:sz w:val="18"/>
        </w:rPr>
        <w:t>by</w:t>
      </w:r>
      <w:r>
        <w:rPr>
          <w:spacing w:val="17"/>
          <w:sz w:val="18"/>
        </w:rPr>
        <w:t> </w:t>
      </w:r>
      <w:r>
        <w:rPr>
          <w:sz w:val="18"/>
        </w:rPr>
        <w:t>the</w:t>
      </w:r>
      <w:r>
        <w:rPr>
          <w:spacing w:val="17"/>
          <w:sz w:val="18"/>
        </w:rPr>
        <w:t> </w:t>
      </w:r>
      <w:r>
        <w:rPr>
          <w:sz w:val="18"/>
        </w:rPr>
        <w:t>World</w:t>
      </w:r>
      <w:r>
        <w:rPr>
          <w:spacing w:val="16"/>
          <w:sz w:val="18"/>
        </w:rPr>
        <w:t> </w:t>
      </w:r>
      <w:r>
        <w:rPr>
          <w:sz w:val="18"/>
        </w:rPr>
        <w:t>health</w:t>
      </w:r>
    </w:p>
    <w:p>
      <w:pPr>
        <w:spacing w:before="72"/>
        <w:ind w:left="0" w:right="660" w:firstLine="0"/>
        <w:jc w:val="right"/>
        <w:rPr>
          <w:sz w:val="18"/>
        </w:rPr>
      </w:pPr>
      <w:r>
        <w:rPr>
          <w:sz w:val="18"/>
        </w:rPr>
        <w:t>Organisation as a “Global Pandemic” on 11</w:t>
      </w:r>
      <w:r>
        <w:rPr>
          <w:position w:val="6"/>
          <w:sz w:val="11"/>
        </w:rPr>
        <w:t>th  </w:t>
      </w:r>
      <w:r>
        <w:rPr>
          <w:sz w:val="18"/>
        </w:rPr>
        <w:t>March 2020, it has not been possible to carry out a</w:t>
      </w:r>
      <w:r>
        <w:rPr>
          <w:spacing w:val="-28"/>
          <w:sz w:val="18"/>
        </w:rPr>
        <w:t> </w:t>
      </w:r>
      <w:r>
        <w:rPr>
          <w:sz w:val="18"/>
        </w:rPr>
        <w:t>formal</w:t>
      </w:r>
    </w:p>
    <w:p>
      <w:pPr>
        <w:spacing w:after="0"/>
        <w:jc w:val="right"/>
        <w:rPr>
          <w:sz w:val="18"/>
        </w:rPr>
        <w:sectPr>
          <w:type w:val="continuous"/>
          <w:pgSz w:w="11910" w:h="16840"/>
          <w:pgMar w:top="800" w:bottom="280" w:left="440" w:right="80"/>
        </w:sectPr>
      </w:pPr>
    </w:p>
    <w:p>
      <w:pPr>
        <w:pStyle w:val="BodyText"/>
        <w:spacing w:before="4"/>
        <w:rPr>
          <w:sz w:val="23"/>
        </w:rPr>
      </w:pPr>
    </w:p>
    <w:p>
      <w:pPr>
        <w:spacing w:line="321" w:lineRule="auto" w:before="104"/>
        <w:ind w:left="2385" w:right="422" w:firstLine="0"/>
        <w:jc w:val="left"/>
        <w:rPr>
          <w:sz w:val="18"/>
        </w:rPr>
      </w:pPr>
      <w:r>
        <w:rPr>
          <w:sz w:val="18"/>
        </w:rPr>
        <w:t>inspection</w:t>
      </w:r>
      <w:r>
        <w:rPr>
          <w:spacing w:val="-21"/>
          <w:sz w:val="18"/>
        </w:rPr>
        <w:t> </w:t>
      </w:r>
      <w:r>
        <w:rPr>
          <w:sz w:val="18"/>
        </w:rPr>
        <w:t>of</w:t>
      </w:r>
      <w:r>
        <w:rPr>
          <w:spacing w:val="-20"/>
          <w:sz w:val="18"/>
        </w:rPr>
        <w:t> </w:t>
      </w:r>
      <w:r>
        <w:rPr>
          <w:sz w:val="18"/>
        </w:rPr>
        <w:t>the</w:t>
      </w:r>
      <w:r>
        <w:rPr>
          <w:spacing w:val="-21"/>
          <w:sz w:val="18"/>
        </w:rPr>
        <w:t> </w:t>
      </w:r>
      <w:r>
        <w:rPr>
          <w:sz w:val="18"/>
        </w:rPr>
        <w:t>property</w:t>
      </w:r>
      <w:r>
        <w:rPr>
          <w:spacing w:val="-18"/>
          <w:sz w:val="18"/>
        </w:rPr>
        <w:t> </w:t>
      </w:r>
      <w:r>
        <w:rPr>
          <w:sz w:val="18"/>
        </w:rPr>
        <w:t>for</w:t>
      </w:r>
      <w:r>
        <w:rPr>
          <w:spacing w:val="-20"/>
          <w:sz w:val="18"/>
        </w:rPr>
        <w:t> </w:t>
      </w:r>
      <w:r>
        <w:rPr>
          <w:sz w:val="18"/>
        </w:rPr>
        <w:t>the</w:t>
      </w:r>
      <w:r>
        <w:rPr>
          <w:spacing w:val="-19"/>
          <w:sz w:val="18"/>
        </w:rPr>
        <w:t> </w:t>
      </w:r>
      <w:r>
        <w:rPr>
          <w:sz w:val="18"/>
        </w:rPr>
        <w:t>current</w:t>
      </w:r>
      <w:r>
        <w:rPr>
          <w:spacing w:val="-21"/>
          <w:sz w:val="18"/>
        </w:rPr>
        <w:t> </w:t>
      </w:r>
      <w:r>
        <w:rPr>
          <w:sz w:val="18"/>
        </w:rPr>
        <w:t>update.</w:t>
      </w:r>
      <w:r>
        <w:rPr>
          <w:spacing w:val="-18"/>
          <w:sz w:val="18"/>
        </w:rPr>
        <w:t> </w:t>
      </w:r>
      <w:r>
        <w:rPr>
          <w:sz w:val="18"/>
        </w:rPr>
        <w:t>The</w:t>
      </w:r>
      <w:r>
        <w:rPr>
          <w:spacing w:val="-20"/>
          <w:sz w:val="18"/>
        </w:rPr>
        <w:t> </w:t>
      </w:r>
      <w:r>
        <w:rPr>
          <w:sz w:val="18"/>
        </w:rPr>
        <w:t>site</w:t>
      </w:r>
      <w:r>
        <w:rPr>
          <w:spacing w:val="-21"/>
          <w:sz w:val="18"/>
        </w:rPr>
        <w:t> </w:t>
      </w:r>
      <w:r>
        <w:rPr>
          <w:sz w:val="18"/>
        </w:rPr>
        <w:t>observation,</w:t>
      </w:r>
      <w:r>
        <w:rPr>
          <w:spacing w:val="-20"/>
          <w:sz w:val="18"/>
        </w:rPr>
        <w:t> </w:t>
      </w:r>
      <w:r>
        <w:rPr>
          <w:sz w:val="18"/>
        </w:rPr>
        <w:t>details</w:t>
      </w:r>
      <w:r>
        <w:rPr>
          <w:spacing w:val="-19"/>
          <w:sz w:val="18"/>
        </w:rPr>
        <w:t> </w:t>
      </w:r>
      <w:r>
        <w:rPr>
          <w:sz w:val="18"/>
        </w:rPr>
        <w:t>and</w:t>
      </w:r>
      <w:r>
        <w:rPr>
          <w:spacing w:val="-21"/>
          <w:sz w:val="18"/>
        </w:rPr>
        <w:t> </w:t>
      </w:r>
      <w:r>
        <w:rPr>
          <w:sz w:val="18"/>
        </w:rPr>
        <w:t>pictures</w:t>
      </w:r>
      <w:r>
        <w:rPr>
          <w:spacing w:val="-21"/>
          <w:sz w:val="18"/>
        </w:rPr>
        <w:t> </w:t>
      </w:r>
      <w:r>
        <w:rPr>
          <w:sz w:val="18"/>
        </w:rPr>
        <w:t>are</w:t>
      </w:r>
      <w:r>
        <w:rPr>
          <w:spacing w:val="-20"/>
          <w:sz w:val="18"/>
        </w:rPr>
        <w:t> </w:t>
      </w:r>
      <w:r>
        <w:rPr>
          <w:sz w:val="18"/>
        </w:rPr>
        <w:t>as</w:t>
      </w:r>
      <w:r>
        <w:rPr>
          <w:spacing w:val="-19"/>
          <w:sz w:val="18"/>
        </w:rPr>
        <w:t> </w:t>
      </w:r>
      <w:r>
        <w:rPr>
          <w:sz w:val="18"/>
        </w:rPr>
        <w:t>per</w:t>
      </w:r>
      <w:r>
        <w:rPr>
          <w:spacing w:val="-20"/>
          <w:sz w:val="18"/>
        </w:rPr>
        <w:t> </w:t>
      </w:r>
      <w:r>
        <w:rPr>
          <w:sz w:val="18"/>
        </w:rPr>
        <w:t>the previous site visit undertaken/ as provided by</w:t>
      </w:r>
      <w:r>
        <w:rPr>
          <w:spacing w:val="-40"/>
          <w:sz w:val="18"/>
        </w:rPr>
        <w:t> </w:t>
      </w:r>
      <w:r>
        <w:rPr>
          <w:sz w:val="18"/>
        </w:rPr>
        <w:t>the Client</w:t>
      </w:r>
    </w:p>
    <w:p>
      <w:pPr>
        <w:pStyle w:val="BodyText"/>
        <w:spacing w:before="8"/>
        <w:rPr>
          <w:sz w:val="12"/>
        </w:rPr>
      </w:pPr>
    </w:p>
    <w:p>
      <w:pPr>
        <w:spacing w:after="0"/>
        <w:rPr>
          <w:sz w:val="12"/>
        </w:rPr>
        <w:sectPr>
          <w:pgSz w:w="11910" w:h="16840"/>
          <w:pgMar w:header="720" w:footer="842" w:top="1520" w:bottom="1040" w:left="440" w:right="80"/>
        </w:sectPr>
      </w:pPr>
    </w:p>
    <w:p>
      <w:pPr>
        <w:spacing w:line="321" w:lineRule="auto" w:before="104"/>
        <w:ind w:left="392" w:right="-16" w:firstLine="0"/>
        <w:jc w:val="left"/>
        <w:rPr>
          <w:sz w:val="18"/>
        </w:rPr>
      </w:pPr>
      <w:r>
        <w:rPr>
          <w:color w:val="006A4D"/>
          <w:sz w:val="18"/>
        </w:rPr>
        <w:t>Purchase</w:t>
      </w:r>
      <w:r>
        <w:rPr>
          <w:color w:val="006A4D"/>
          <w:spacing w:val="-36"/>
          <w:sz w:val="18"/>
        </w:rPr>
        <w:t> </w:t>
      </w:r>
      <w:r>
        <w:rPr>
          <w:color w:val="006A4D"/>
          <w:sz w:val="18"/>
        </w:rPr>
        <w:t>Price</w:t>
      </w:r>
      <w:r>
        <w:rPr>
          <w:color w:val="006A4D"/>
          <w:spacing w:val="-36"/>
          <w:sz w:val="18"/>
        </w:rPr>
        <w:t> </w:t>
      </w:r>
      <w:r>
        <w:rPr>
          <w:color w:val="006A4D"/>
          <w:sz w:val="18"/>
        </w:rPr>
        <w:t>for</w:t>
      </w:r>
      <w:r>
        <w:rPr>
          <w:color w:val="006A4D"/>
          <w:spacing w:val="-36"/>
          <w:sz w:val="18"/>
        </w:rPr>
        <w:t> </w:t>
      </w:r>
      <w:r>
        <w:rPr>
          <w:color w:val="006A4D"/>
          <w:sz w:val="18"/>
        </w:rPr>
        <w:t>the property:</w:t>
      </w:r>
    </w:p>
    <w:p>
      <w:pPr>
        <w:spacing w:before="104"/>
        <w:ind w:left="263" w:right="0" w:firstLine="0"/>
        <w:jc w:val="left"/>
        <w:rPr>
          <w:sz w:val="18"/>
        </w:rPr>
      </w:pPr>
      <w:r>
        <w:rPr/>
        <w:br w:type="column"/>
      </w:r>
      <w:r>
        <w:rPr>
          <w:sz w:val="18"/>
        </w:rPr>
        <w:t>The said acquisition was undertaken as part of the ‘Formation Transaction’ as described in the Final Offer</w:t>
      </w:r>
    </w:p>
    <w:p>
      <w:pPr>
        <w:spacing w:before="72"/>
        <w:ind w:left="263" w:right="0" w:firstLine="0"/>
        <w:jc w:val="left"/>
        <w:rPr>
          <w:sz w:val="18"/>
        </w:rPr>
      </w:pPr>
      <w:r>
        <w:rPr>
          <w:sz w:val="18"/>
        </w:rPr>
        <w:t>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2083" w:space="40"/>
            <w:col w:w="9267"/>
          </w:cols>
        </w:sectPr>
      </w:pPr>
    </w:p>
    <w:p>
      <w:pPr>
        <w:pStyle w:val="BodyText"/>
        <w:spacing w:before="7"/>
        <w:rPr>
          <w:sz w:val="12"/>
        </w:rPr>
      </w:pPr>
    </w:p>
    <w:p>
      <w:pPr>
        <w:spacing w:after="0"/>
        <w:rPr>
          <w:sz w:val="12"/>
        </w:rPr>
        <w:sectPr>
          <w:type w:val="continuous"/>
          <w:pgSz w:w="11910" w:h="16840"/>
          <w:pgMar w:top="800" w:bottom="280" w:left="440" w:right="80"/>
        </w:sectPr>
      </w:pPr>
    </w:p>
    <w:p>
      <w:pPr>
        <w:spacing w:line="321" w:lineRule="auto" w:before="105"/>
        <w:ind w:left="392" w:right="-10" w:firstLine="0"/>
        <w:jc w:val="left"/>
        <w:rPr>
          <w:sz w:val="18"/>
        </w:rPr>
      </w:pPr>
      <w:r>
        <w:rPr>
          <w:color w:val="006A4D"/>
          <w:w w:val="95"/>
          <w:sz w:val="18"/>
        </w:rPr>
        <w:t>Ready Reckoner Rate </w:t>
      </w:r>
      <w:r>
        <w:rPr>
          <w:color w:val="006A4D"/>
          <w:sz w:val="18"/>
        </w:rPr>
        <w:t>(as per documents published by State Government):</w:t>
      </w:r>
    </w:p>
    <w:p>
      <w:pPr>
        <w:spacing w:before="105"/>
        <w:ind w:left="318" w:right="0" w:firstLine="0"/>
        <w:jc w:val="left"/>
        <w:rPr>
          <w:sz w:val="11"/>
        </w:rPr>
      </w:pPr>
      <w:r>
        <w:rPr/>
        <w:br w:type="column"/>
      </w:r>
      <w:r>
        <w:rPr>
          <w:sz w:val="18"/>
        </w:rPr>
        <w:t>Land Rate: NA</w:t>
      </w:r>
      <w:r>
        <w:rPr>
          <w:position w:val="6"/>
          <w:sz w:val="11"/>
        </w:rPr>
        <w:t>2</w:t>
      </w:r>
    </w:p>
    <w:p>
      <w:pPr>
        <w:spacing w:before="192"/>
        <w:ind w:left="318" w:right="0" w:firstLine="0"/>
        <w:jc w:val="left"/>
        <w:rPr>
          <w:sz w:val="18"/>
        </w:rPr>
      </w:pPr>
      <w:r>
        <w:rPr>
          <w:sz w:val="18"/>
        </w:rPr>
        <w:t>Built-up Rate: INR 143,000 per sqm</w:t>
      </w:r>
    </w:p>
    <w:p>
      <w:pPr>
        <w:spacing w:after="0"/>
        <w:jc w:val="left"/>
        <w:rPr>
          <w:sz w:val="18"/>
        </w:rPr>
        <w:sectPr>
          <w:type w:val="continuous"/>
          <w:pgSz w:w="11910" w:h="16840"/>
          <w:pgMar w:top="800" w:bottom="280" w:left="440" w:right="80"/>
          <w:cols w:num="2" w:equalWidth="0">
            <w:col w:w="2027" w:space="40"/>
            <w:col w:w="9323"/>
          </w:cols>
        </w:sectPr>
      </w:pPr>
    </w:p>
    <w:p>
      <w:pPr>
        <w:pStyle w:val="BodyText"/>
        <w:spacing w:before="9"/>
        <w:rPr>
          <w:sz w:val="12"/>
        </w:rPr>
      </w:pPr>
    </w:p>
    <w:p>
      <w:pPr>
        <w:spacing w:after="0"/>
        <w:rPr>
          <w:sz w:val="12"/>
        </w:rPr>
        <w:sectPr>
          <w:type w:val="continuous"/>
          <w:pgSz w:w="11910" w:h="16840"/>
          <w:pgMar w:top="800" w:bottom="280" w:left="440" w:right="80"/>
        </w:sectPr>
      </w:pPr>
    </w:p>
    <w:p>
      <w:pPr>
        <w:spacing w:line="319" w:lineRule="auto" w:before="105"/>
        <w:ind w:left="392" w:right="30" w:firstLine="0"/>
        <w:jc w:val="left"/>
        <w:rPr>
          <w:sz w:val="18"/>
        </w:rPr>
      </w:pPr>
      <w:r>
        <w:rPr>
          <w:color w:val="006A4D"/>
          <w:sz w:val="18"/>
        </w:rPr>
        <w:t>Value Conclusion as of March 31, 2020:</w:t>
      </w:r>
    </w:p>
    <w:p>
      <w:pPr>
        <w:pStyle w:val="BodyText"/>
      </w:pPr>
      <w:r>
        <w:rPr/>
        <w:br w:type="column"/>
      </w:r>
      <w:r>
        <w:rPr/>
      </w:r>
    </w:p>
    <w:p>
      <w:pPr>
        <w:tabs>
          <w:tab w:pos="4658" w:val="left" w:leader="none"/>
        </w:tabs>
        <w:spacing w:before="135"/>
        <w:ind w:left="392" w:right="0" w:firstLine="0"/>
        <w:jc w:val="left"/>
        <w:rPr>
          <w:sz w:val="18"/>
        </w:rPr>
      </w:pPr>
      <w:r>
        <w:rPr/>
        <w:pict>
          <v:group style="position:absolute;margin-left:148.820007pt;margin-top:-13.749292pt;width:402pt;height:17.55pt;mso-position-horizontal-relative:page;mso-position-vertical-relative:paragraph;z-index:15866368" coordorigin="2976,-275" coordsize="8040,351">
            <v:shape style="position:absolute;left:2976;top:-247;width:8040;height:308" coordorigin="2976,-246" coordsize="8040,308" path="m11016,-246l7105,-246,2976,-246,2976,62,7105,62,11016,62,11016,-246xe" filled="true" fillcolor="#006a4d" stroked="false">
              <v:path arrowok="t"/>
              <v:fill type="solid"/>
            </v:shape>
            <v:rect style="position:absolute;left:2976;top:-275;width:4127;height:29" filled="true" fillcolor="#1f6b16" stroked="false">
              <v:fill type="solid"/>
            </v:rect>
            <v:shape style="position:absolute;left:2976;top:-247;width:4156;height:3" coordorigin="2976,-246" coordsize="4156,3" path="m7132,-246l7103,-246,2976,-246,2976,-244,7103,-244,7132,-244,7132,-246xe" filled="true" fillcolor="#006a4d" stroked="false">
              <v:path arrowok="t"/>
              <v:fill type="solid"/>
            </v:shape>
            <v:shape style="position:absolute;left:7103;top:-275;width:3911;height:29" coordorigin="7103,-275" coordsize="3911,29" path="m11014,-275l7132,-275,7103,-275,7103,-246,7132,-246,11014,-246,11014,-275xe" filled="true" fillcolor="#1f6b16" stroked="false">
              <v:path arrowok="t"/>
              <v:fill type="solid"/>
            </v:shape>
            <v:rect style="position:absolute;left:7131;top:-247;width:3882;height:3" filled="true" fillcolor="#006a4d" stroked="false">
              <v:fill type="solid"/>
            </v:rect>
            <v:shape style="position:absolute;left:2976;top:61;width:8038;height:15" coordorigin="2976,62" coordsize="8038,15" path="m11014,62l7117,62,7103,62,2976,62,2976,76,7103,76,7117,76,11014,76,11014,62xe" filled="true" fillcolor="#69bd28" stroked="false">
              <v:path arrowok="t"/>
              <v:fill type="solid"/>
            </v:shape>
            <v:shape style="position:absolute;left:2976;top:-247;width:8040;height:308" type="#_x0000_t202" filled="false" stroked="false">
              <v:textbox inset="0,0,0,0">
                <w:txbxContent>
                  <w:p>
                    <w:pPr>
                      <w:tabs>
                        <w:tab w:pos="5034" w:val="left" w:leader="none"/>
                      </w:tabs>
                      <w:spacing w:before="50"/>
                      <w:ind w:left="1546" w:right="0" w:firstLine="0"/>
                      <w:jc w:val="left"/>
                      <w:rPr>
                        <w:b/>
                        <w:sz w:val="18"/>
                      </w:rPr>
                    </w:pPr>
                    <w:r>
                      <w:rPr>
                        <w:b/>
                        <w:color w:val="FFFFFF"/>
                        <w:w w:val="110"/>
                        <w:sz w:val="18"/>
                      </w:rPr>
                      <w:t>Component</w:t>
                      <w:tab/>
                      <w:t>Market Value (INR</w:t>
                    </w:r>
                    <w:r>
                      <w:rPr>
                        <w:b/>
                        <w:color w:val="FFFFFF"/>
                        <w:spacing w:val="-2"/>
                        <w:w w:val="110"/>
                        <w:sz w:val="18"/>
                      </w:rPr>
                      <w:t> </w:t>
                    </w:r>
                    <w:r>
                      <w:rPr>
                        <w:b/>
                        <w:color w:val="FFFFFF"/>
                        <w:w w:val="110"/>
                        <w:sz w:val="18"/>
                      </w:rPr>
                      <w:t>Mn)</w:t>
                    </w:r>
                  </w:p>
                </w:txbxContent>
              </v:textbox>
              <w10:wrap type="none"/>
            </v:shape>
            <w10:wrap type="none"/>
          </v:group>
        </w:pict>
      </w:r>
      <w:r>
        <w:rPr>
          <w:w w:val="105"/>
          <w:sz w:val="18"/>
        </w:rPr>
        <w:t>Embassy</w:t>
      </w:r>
      <w:r>
        <w:rPr>
          <w:spacing w:val="-11"/>
          <w:w w:val="105"/>
          <w:sz w:val="18"/>
        </w:rPr>
        <w:t> </w:t>
      </w:r>
      <w:r>
        <w:rPr>
          <w:w w:val="105"/>
          <w:sz w:val="18"/>
        </w:rPr>
        <w:t>One</w:t>
        <w:tab/>
        <w:t>12,570</w:t>
      </w:r>
    </w:p>
    <w:p>
      <w:pPr>
        <w:spacing w:after="0"/>
        <w:jc w:val="left"/>
        <w:rPr>
          <w:sz w:val="18"/>
        </w:rPr>
        <w:sectPr>
          <w:type w:val="continuous"/>
          <w:pgSz w:w="11910" w:h="16840"/>
          <w:pgMar w:top="800" w:bottom="280" w:left="440" w:right="80"/>
          <w:cols w:num="2" w:equalWidth="0">
            <w:col w:w="2031" w:space="1637"/>
            <w:col w:w="7722"/>
          </w:cols>
        </w:sectPr>
      </w:pPr>
    </w:p>
    <w:p>
      <w:pPr>
        <w:pStyle w:val="BodyText"/>
        <w:ind w:left="2522"/>
        <w:rPr>
          <w:sz w:val="20"/>
        </w:rPr>
      </w:pPr>
      <w:r>
        <w:rPr>
          <w:sz w:val="20"/>
        </w:rPr>
        <w:pict>
          <v:shape style="width:402.7pt;height:17.650pt;mso-position-horizontal-relative:char;mso-position-vertical-relative:line" type="#_x0000_t202" filled="true" fillcolor="#69bd28" stroked="false">
            <w10:anchorlock/>
            <v:textbox inset="0,0,0,0">
              <w:txbxContent>
                <w:p>
                  <w:pPr>
                    <w:tabs>
                      <w:tab w:pos="5804" w:val="left" w:leader="none"/>
                    </w:tabs>
                    <w:spacing w:before="73"/>
                    <w:ind w:left="1032" w:right="0" w:firstLine="0"/>
                    <w:jc w:val="left"/>
                    <w:rPr>
                      <w:sz w:val="18"/>
                    </w:rPr>
                  </w:pPr>
                  <w:r>
                    <w:rPr>
                      <w:color w:val="FFFFFF"/>
                      <w:sz w:val="18"/>
                    </w:rPr>
                    <w:t>Total</w:t>
                  </w:r>
                  <w:r>
                    <w:rPr>
                      <w:color w:val="FFFFFF"/>
                      <w:spacing w:val="-24"/>
                      <w:sz w:val="18"/>
                    </w:rPr>
                    <w:t> </w:t>
                  </w:r>
                  <w:r>
                    <w:rPr>
                      <w:color w:val="FFFFFF"/>
                      <w:sz w:val="18"/>
                    </w:rPr>
                    <w:t>Value</w:t>
                  </w:r>
                  <w:r>
                    <w:rPr>
                      <w:color w:val="FFFFFF"/>
                      <w:spacing w:val="-23"/>
                      <w:sz w:val="18"/>
                    </w:rPr>
                    <w:t> </w:t>
                  </w:r>
                  <w:r>
                    <w:rPr>
                      <w:color w:val="FFFFFF"/>
                      <w:sz w:val="18"/>
                    </w:rPr>
                    <w:t>of</w:t>
                  </w:r>
                  <w:r>
                    <w:rPr>
                      <w:color w:val="FFFFFF"/>
                      <w:spacing w:val="-23"/>
                      <w:sz w:val="18"/>
                    </w:rPr>
                    <w:t> </w:t>
                  </w:r>
                  <w:r>
                    <w:rPr>
                      <w:color w:val="FFFFFF"/>
                      <w:sz w:val="18"/>
                    </w:rPr>
                    <w:t>the</w:t>
                  </w:r>
                  <w:r>
                    <w:rPr>
                      <w:color w:val="FFFFFF"/>
                      <w:spacing w:val="-23"/>
                      <w:sz w:val="18"/>
                    </w:rPr>
                    <w:t> </w:t>
                  </w:r>
                  <w:r>
                    <w:rPr>
                      <w:color w:val="FFFFFF"/>
                      <w:sz w:val="18"/>
                    </w:rPr>
                    <w:t>property</w:t>
                    <w:tab/>
                    <w:t>12,570</w:t>
                  </w:r>
                </w:p>
              </w:txbxContent>
            </v:textbox>
            <v:fill type="solid"/>
          </v:shape>
        </w:pict>
      </w:r>
      <w:r>
        <w:rPr>
          <w:sz w:val="20"/>
        </w:rPr>
      </w:r>
    </w:p>
    <w:p>
      <w:pPr>
        <w:pStyle w:val="BodyText"/>
        <w:rPr>
          <w:sz w:val="20"/>
        </w:rPr>
      </w:pPr>
    </w:p>
    <w:p>
      <w:pPr>
        <w:spacing w:after="0"/>
        <w:rPr>
          <w:sz w:val="20"/>
        </w:rPr>
        <w:sectPr>
          <w:type w:val="continuous"/>
          <w:pgSz w:w="11910" w:h="16840"/>
          <w:pgMar w:top="800" w:bottom="280" w:left="440" w:right="80"/>
        </w:sectPr>
      </w:pPr>
    </w:p>
    <w:p>
      <w:pPr>
        <w:pStyle w:val="BodyText"/>
        <w:spacing w:before="9"/>
        <w:rPr>
          <w:sz w:val="23"/>
        </w:rPr>
      </w:pPr>
    </w:p>
    <w:p>
      <w:pPr>
        <w:spacing w:line="321" w:lineRule="auto" w:before="0"/>
        <w:ind w:left="392" w:right="30" w:firstLine="0"/>
        <w:jc w:val="left"/>
        <w:rPr>
          <w:sz w:val="18"/>
        </w:rPr>
      </w:pPr>
      <w:r>
        <w:rPr>
          <w:color w:val="006A4D"/>
          <w:sz w:val="18"/>
        </w:rPr>
        <w:t>Assumptions, Disclaimers, Limitations &amp; </w:t>
      </w:r>
      <w:r>
        <w:rPr>
          <w:color w:val="006A4D"/>
          <w:w w:val="95"/>
          <w:sz w:val="18"/>
        </w:rPr>
        <w:t>Qualifications</w:t>
      </w:r>
    </w:p>
    <w:p>
      <w:pPr>
        <w:pStyle w:val="BodyText"/>
        <w:spacing w:before="9"/>
        <w:rPr>
          <w:sz w:val="23"/>
        </w:rPr>
      </w:pPr>
      <w:r>
        <w:rPr/>
        <w:br w:type="column"/>
      </w:r>
      <w:r>
        <w:rPr>
          <w:sz w:val="23"/>
        </w:rPr>
      </w:r>
    </w:p>
    <w:p>
      <w:pPr>
        <w:spacing w:line="321" w:lineRule="auto" w:before="0"/>
        <w:ind w:left="392" w:right="658" w:firstLine="0"/>
        <w:jc w:val="both"/>
        <w:rPr>
          <w:sz w:val="18"/>
        </w:rPr>
      </w:pPr>
      <w:r>
        <w:rPr>
          <w:sz w:val="18"/>
        </w:rPr>
        <w:t>This</w:t>
      </w:r>
      <w:r>
        <w:rPr>
          <w:spacing w:val="-36"/>
          <w:sz w:val="18"/>
        </w:rPr>
        <w:t> </w:t>
      </w:r>
      <w:r>
        <w:rPr>
          <w:sz w:val="18"/>
        </w:rPr>
        <w:t>valuation</w:t>
      </w:r>
      <w:r>
        <w:rPr>
          <w:spacing w:val="-35"/>
          <w:sz w:val="18"/>
        </w:rPr>
        <w:t> </w:t>
      </w:r>
      <w:r>
        <w:rPr>
          <w:sz w:val="18"/>
        </w:rPr>
        <w:t>report</w:t>
      </w:r>
      <w:r>
        <w:rPr>
          <w:spacing w:val="-36"/>
          <w:sz w:val="18"/>
        </w:rPr>
        <w:t> </w:t>
      </w:r>
      <w:r>
        <w:rPr>
          <w:sz w:val="18"/>
        </w:rPr>
        <w:t>is</w:t>
      </w:r>
      <w:r>
        <w:rPr>
          <w:spacing w:val="-35"/>
          <w:sz w:val="18"/>
        </w:rPr>
        <w:t> </w:t>
      </w:r>
      <w:r>
        <w:rPr>
          <w:sz w:val="18"/>
        </w:rPr>
        <w:t>provided</w:t>
      </w:r>
      <w:r>
        <w:rPr>
          <w:spacing w:val="-35"/>
          <w:sz w:val="18"/>
        </w:rPr>
        <w:t> </w:t>
      </w:r>
      <w:r>
        <w:rPr>
          <w:sz w:val="18"/>
        </w:rPr>
        <w:t>subject</w:t>
      </w:r>
      <w:r>
        <w:rPr>
          <w:spacing w:val="-36"/>
          <w:sz w:val="18"/>
        </w:rPr>
        <w:t> </w:t>
      </w:r>
      <w:r>
        <w:rPr>
          <w:sz w:val="18"/>
        </w:rPr>
        <w:t>to</w:t>
      </w:r>
      <w:r>
        <w:rPr>
          <w:spacing w:val="-34"/>
          <w:sz w:val="18"/>
        </w:rPr>
        <w:t> </w:t>
      </w:r>
      <w:r>
        <w:rPr>
          <w:sz w:val="18"/>
        </w:rPr>
        <w:t>assumptions,</w:t>
      </w:r>
      <w:r>
        <w:rPr>
          <w:spacing w:val="-36"/>
          <w:sz w:val="18"/>
        </w:rPr>
        <w:t> </w:t>
      </w:r>
      <w:r>
        <w:rPr>
          <w:sz w:val="18"/>
        </w:rPr>
        <w:t>disclaimers,</w:t>
      </w:r>
      <w:r>
        <w:rPr>
          <w:spacing w:val="-36"/>
          <w:sz w:val="18"/>
        </w:rPr>
        <w:t> </w:t>
      </w:r>
      <w:r>
        <w:rPr>
          <w:sz w:val="18"/>
        </w:rPr>
        <w:t>limitations</w:t>
      </w:r>
      <w:r>
        <w:rPr>
          <w:spacing w:val="-35"/>
          <w:sz w:val="18"/>
        </w:rPr>
        <w:t> </w:t>
      </w:r>
      <w:r>
        <w:rPr>
          <w:sz w:val="18"/>
        </w:rPr>
        <w:t>and</w:t>
      </w:r>
      <w:r>
        <w:rPr>
          <w:spacing w:val="-36"/>
          <w:sz w:val="18"/>
        </w:rPr>
        <w:t> </w:t>
      </w:r>
      <w:r>
        <w:rPr>
          <w:sz w:val="18"/>
        </w:rPr>
        <w:t>qualifications</w:t>
      </w:r>
      <w:r>
        <w:rPr>
          <w:spacing w:val="-35"/>
          <w:sz w:val="18"/>
        </w:rPr>
        <w:t> </w:t>
      </w:r>
      <w:r>
        <w:rPr>
          <w:sz w:val="18"/>
        </w:rPr>
        <w:t>detailed throughout this report which are made in conjunction with those included within the Assumptions, Disclaimers, Limitations &amp; Qualifications section located within this report. Reliance on this report</w:t>
      </w:r>
      <w:r>
        <w:rPr>
          <w:spacing w:val="-39"/>
          <w:sz w:val="18"/>
        </w:rPr>
        <w:t> </w:t>
      </w:r>
      <w:r>
        <w:rPr>
          <w:sz w:val="18"/>
        </w:rPr>
        <w:t>and extension</w:t>
      </w:r>
      <w:r>
        <w:rPr>
          <w:spacing w:val="-5"/>
          <w:sz w:val="18"/>
        </w:rPr>
        <w:t> </w:t>
      </w:r>
      <w:r>
        <w:rPr>
          <w:sz w:val="18"/>
        </w:rPr>
        <w:t>of</w:t>
      </w:r>
      <w:r>
        <w:rPr>
          <w:spacing w:val="-5"/>
          <w:sz w:val="18"/>
        </w:rPr>
        <w:t> </w:t>
      </w:r>
      <w:r>
        <w:rPr>
          <w:sz w:val="18"/>
        </w:rPr>
        <w:t>our</w:t>
      </w:r>
      <w:r>
        <w:rPr>
          <w:spacing w:val="-6"/>
          <w:sz w:val="18"/>
        </w:rPr>
        <w:t> </w:t>
      </w:r>
      <w:r>
        <w:rPr>
          <w:sz w:val="18"/>
        </w:rPr>
        <w:t>liability</w:t>
      </w:r>
      <w:r>
        <w:rPr>
          <w:spacing w:val="-6"/>
          <w:sz w:val="18"/>
        </w:rPr>
        <w:t> </w:t>
      </w:r>
      <w:r>
        <w:rPr>
          <w:sz w:val="18"/>
        </w:rPr>
        <w:t>is</w:t>
      </w:r>
      <w:r>
        <w:rPr>
          <w:spacing w:val="-5"/>
          <w:sz w:val="18"/>
        </w:rPr>
        <w:t> </w:t>
      </w:r>
      <w:r>
        <w:rPr>
          <w:sz w:val="18"/>
        </w:rPr>
        <w:t>conditional</w:t>
      </w:r>
      <w:r>
        <w:rPr>
          <w:spacing w:val="-5"/>
          <w:sz w:val="18"/>
        </w:rPr>
        <w:t> </w:t>
      </w:r>
      <w:r>
        <w:rPr>
          <w:sz w:val="18"/>
        </w:rPr>
        <w:t>upon</w:t>
      </w:r>
      <w:r>
        <w:rPr>
          <w:spacing w:val="-6"/>
          <w:sz w:val="18"/>
        </w:rPr>
        <w:t> </w:t>
      </w:r>
      <w:r>
        <w:rPr>
          <w:sz w:val="18"/>
        </w:rPr>
        <w:t>the</w:t>
      </w:r>
      <w:r>
        <w:rPr>
          <w:spacing w:val="-4"/>
          <w:sz w:val="18"/>
        </w:rPr>
        <w:t> </w:t>
      </w:r>
      <w:r>
        <w:rPr>
          <w:sz w:val="18"/>
        </w:rPr>
        <w:t>reader’s</w:t>
      </w:r>
      <w:r>
        <w:rPr>
          <w:spacing w:val="-5"/>
          <w:sz w:val="18"/>
        </w:rPr>
        <w:t> </w:t>
      </w:r>
      <w:r>
        <w:rPr>
          <w:sz w:val="18"/>
        </w:rPr>
        <w:t>acknowledgement</w:t>
      </w:r>
      <w:r>
        <w:rPr>
          <w:spacing w:val="-6"/>
          <w:sz w:val="18"/>
        </w:rPr>
        <w:t> </w:t>
      </w:r>
      <w:r>
        <w:rPr>
          <w:sz w:val="18"/>
        </w:rPr>
        <w:t>and</w:t>
      </w:r>
      <w:r>
        <w:rPr>
          <w:spacing w:val="-6"/>
          <w:sz w:val="18"/>
        </w:rPr>
        <w:t> </w:t>
      </w:r>
      <w:r>
        <w:rPr>
          <w:sz w:val="18"/>
        </w:rPr>
        <w:t>understanding</w:t>
      </w:r>
      <w:r>
        <w:rPr>
          <w:spacing w:val="-5"/>
          <w:sz w:val="18"/>
        </w:rPr>
        <w:t> </w:t>
      </w:r>
      <w:r>
        <w:rPr>
          <w:sz w:val="18"/>
        </w:rPr>
        <w:t>of</w:t>
      </w:r>
      <w:r>
        <w:rPr>
          <w:spacing w:val="-4"/>
          <w:sz w:val="18"/>
        </w:rPr>
        <w:t> </w:t>
      </w:r>
      <w:r>
        <w:rPr>
          <w:sz w:val="18"/>
        </w:rPr>
        <w:t>these statements.</w:t>
      </w:r>
      <w:r>
        <w:rPr>
          <w:spacing w:val="-18"/>
          <w:sz w:val="18"/>
        </w:rPr>
        <w:t> </w:t>
      </w:r>
      <w:r>
        <w:rPr>
          <w:sz w:val="18"/>
        </w:rPr>
        <w:t>This</w:t>
      </w:r>
      <w:r>
        <w:rPr>
          <w:spacing w:val="-16"/>
          <w:sz w:val="18"/>
        </w:rPr>
        <w:t> </w:t>
      </w:r>
      <w:r>
        <w:rPr>
          <w:sz w:val="18"/>
        </w:rPr>
        <w:t>valuation</w:t>
      </w:r>
      <w:r>
        <w:rPr>
          <w:spacing w:val="-17"/>
          <w:sz w:val="18"/>
        </w:rPr>
        <w:t> </w:t>
      </w:r>
      <w:r>
        <w:rPr>
          <w:sz w:val="18"/>
        </w:rPr>
        <w:t>is</w:t>
      </w:r>
      <w:r>
        <w:rPr>
          <w:spacing w:val="-17"/>
          <w:sz w:val="18"/>
        </w:rPr>
        <w:t> </w:t>
      </w:r>
      <w:r>
        <w:rPr>
          <w:sz w:val="18"/>
        </w:rPr>
        <w:t>for</w:t>
      </w:r>
      <w:r>
        <w:rPr>
          <w:spacing w:val="-17"/>
          <w:sz w:val="18"/>
        </w:rPr>
        <w:t> </w:t>
      </w:r>
      <w:r>
        <w:rPr>
          <w:sz w:val="18"/>
        </w:rPr>
        <w:t>the</w:t>
      </w:r>
      <w:r>
        <w:rPr>
          <w:spacing w:val="-16"/>
          <w:sz w:val="18"/>
        </w:rPr>
        <w:t> </w:t>
      </w:r>
      <w:r>
        <w:rPr>
          <w:sz w:val="18"/>
        </w:rPr>
        <w:t>use</w:t>
      </w:r>
      <w:r>
        <w:rPr>
          <w:spacing w:val="-17"/>
          <w:sz w:val="18"/>
        </w:rPr>
        <w:t> </w:t>
      </w:r>
      <w:r>
        <w:rPr>
          <w:sz w:val="18"/>
        </w:rPr>
        <w:t>of</w:t>
      </w:r>
      <w:r>
        <w:rPr>
          <w:spacing w:val="-17"/>
          <w:sz w:val="18"/>
        </w:rPr>
        <w:t> </w:t>
      </w:r>
      <w:r>
        <w:rPr>
          <w:sz w:val="18"/>
        </w:rPr>
        <w:t>the</w:t>
      </w:r>
      <w:r>
        <w:rPr>
          <w:spacing w:val="-16"/>
          <w:sz w:val="18"/>
        </w:rPr>
        <w:t> </w:t>
      </w:r>
      <w:r>
        <w:rPr>
          <w:sz w:val="18"/>
        </w:rPr>
        <w:t>party</w:t>
      </w:r>
      <w:r>
        <w:rPr>
          <w:spacing w:val="-18"/>
          <w:sz w:val="18"/>
        </w:rPr>
        <w:t> </w:t>
      </w:r>
      <w:r>
        <w:rPr>
          <w:sz w:val="18"/>
        </w:rPr>
        <w:t>to</w:t>
      </w:r>
      <w:r>
        <w:rPr>
          <w:spacing w:val="-16"/>
          <w:sz w:val="18"/>
        </w:rPr>
        <w:t> </w:t>
      </w:r>
      <w:r>
        <w:rPr>
          <w:sz w:val="18"/>
        </w:rPr>
        <w:t>whom</w:t>
      </w:r>
      <w:r>
        <w:rPr>
          <w:spacing w:val="-18"/>
          <w:sz w:val="18"/>
        </w:rPr>
        <w:t> </w:t>
      </w:r>
      <w:r>
        <w:rPr>
          <w:sz w:val="18"/>
        </w:rPr>
        <w:t>it</w:t>
      </w:r>
      <w:r>
        <w:rPr>
          <w:spacing w:val="-18"/>
          <w:sz w:val="18"/>
        </w:rPr>
        <w:t> </w:t>
      </w:r>
      <w:r>
        <w:rPr>
          <w:sz w:val="18"/>
        </w:rPr>
        <w:t>is</w:t>
      </w:r>
      <w:r>
        <w:rPr>
          <w:spacing w:val="-17"/>
          <w:sz w:val="18"/>
        </w:rPr>
        <w:t> </w:t>
      </w:r>
      <w:r>
        <w:rPr>
          <w:sz w:val="18"/>
        </w:rPr>
        <w:t>addressed</w:t>
      </w:r>
      <w:r>
        <w:rPr>
          <w:spacing w:val="-16"/>
          <w:sz w:val="18"/>
        </w:rPr>
        <w:t> </w:t>
      </w:r>
      <w:r>
        <w:rPr>
          <w:sz w:val="18"/>
        </w:rPr>
        <w:t>and</w:t>
      </w:r>
      <w:r>
        <w:rPr>
          <w:spacing w:val="-17"/>
          <w:sz w:val="18"/>
        </w:rPr>
        <w:t> </w:t>
      </w:r>
      <w:r>
        <w:rPr>
          <w:sz w:val="18"/>
        </w:rPr>
        <w:t>for</w:t>
      </w:r>
      <w:r>
        <w:rPr>
          <w:spacing w:val="-17"/>
          <w:sz w:val="18"/>
        </w:rPr>
        <w:t> </w:t>
      </w:r>
      <w:r>
        <w:rPr>
          <w:sz w:val="18"/>
        </w:rPr>
        <w:t>no</w:t>
      </w:r>
      <w:r>
        <w:rPr>
          <w:spacing w:val="-17"/>
          <w:sz w:val="18"/>
        </w:rPr>
        <w:t> </w:t>
      </w:r>
      <w:r>
        <w:rPr>
          <w:sz w:val="18"/>
        </w:rPr>
        <w:t>other</w:t>
      </w:r>
      <w:r>
        <w:rPr>
          <w:spacing w:val="-17"/>
          <w:sz w:val="18"/>
        </w:rPr>
        <w:t> </w:t>
      </w:r>
      <w:r>
        <w:rPr>
          <w:sz w:val="18"/>
        </w:rPr>
        <w:t>purpose.</w:t>
      </w:r>
      <w:r>
        <w:rPr>
          <w:spacing w:val="-17"/>
          <w:sz w:val="18"/>
        </w:rPr>
        <w:t> </w:t>
      </w:r>
      <w:r>
        <w:rPr>
          <w:sz w:val="18"/>
        </w:rPr>
        <w:t>No responsibility</w:t>
      </w:r>
      <w:r>
        <w:rPr>
          <w:spacing w:val="-19"/>
          <w:sz w:val="18"/>
        </w:rPr>
        <w:t> </w:t>
      </w:r>
      <w:r>
        <w:rPr>
          <w:sz w:val="18"/>
        </w:rPr>
        <w:t>is</w:t>
      </w:r>
      <w:r>
        <w:rPr>
          <w:spacing w:val="-19"/>
          <w:sz w:val="18"/>
        </w:rPr>
        <w:t> </w:t>
      </w:r>
      <w:r>
        <w:rPr>
          <w:sz w:val="18"/>
        </w:rPr>
        <w:t>accepted</w:t>
      </w:r>
      <w:r>
        <w:rPr>
          <w:spacing w:val="-18"/>
          <w:sz w:val="18"/>
        </w:rPr>
        <w:t> </w:t>
      </w:r>
      <w:r>
        <w:rPr>
          <w:sz w:val="18"/>
        </w:rPr>
        <w:t>to</w:t>
      </w:r>
      <w:r>
        <w:rPr>
          <w:spacing w:val="-18"/>
          <w:sz w:val="18"/>
        </w:rPr>
        <w:t> </w:t>
      </w:r>
      <w:r>
        <w:rPr>
          <w:sz w:val="18"/>
        </w:rPr>
        <w:t>any</w:t>
      </w:r>
      <w:r>
        <w:rPr>
          <w:spacing w:val="-19"/>
          <w:sz w:val="18"/>
        </w:rPr>
        <w:t> </w:t>
      </w:r>
      <w:r>
        <w:rPr>
          <w:sz w:val="18"/>
        </w:rPr>
        <w:t>third</w:t>
      </w:r>
      <w:r>
        <w:rPr>
          <w:spacing w:val="-19"/>
          <w:sz w:val="18"/>
        </w:rPr>
        <w:t> </w:t>
      </w:r>
      <w:r>
        <w:rPr>
          <w:sz w:val="18"/>
        </w:rPr>
        <w:t>party</w:t>
      </w:r>
      <w:r>
        <w:rPr>
          <w:spacing w:val="-17"/>
          <w:sz w:val="18"/>
        </w:rPr>
        <w:t> </w:t>
      </w:r>
      <w:r>
        <w:rPr>
          <w:sz w:val="18"/>
        </w:rPr>
        <w:t>who</w:t>
      </w:r>
      <w:r>
        <w:rPr>
          <w:spacing w:val="-18"/>
          <w:sz w:val="18"/>
        </w:rPr>
        <w:t> </w:t>
      </w:r>
      <w:r>
        <w:rPr>
          <w:sz w:val="18"/>
        </w:rPr>
        <w:t>may</w:t>
      </w:r>
      <w:r>
        <w:rPr>
          <w:spacing w:val="-19"/>
          <w:sz w:val="18"/>
        </w:rPr>
        <w:t> </w:t>
      </w:r>
      <w:r>
        <w:rPr>
          <w:sz w:val="18"/>
        </w:rPr>
        <w:t>use</w:t>
      </w:r>
      <w:r>
        <w:rPr>
          <w:spacing w:val="-18"/>
          <w:sz w:val="18"/>
        </w:rPr>
        <w:t> </w:t>
      </w:r>
      <w:r>
        <w:rPr>
          <w:sz w:val="18"/>
        </w:rPr>
        <w:t>or</w:t>
      </w:r>
      <w:r>
        <w:rPr>
          <w:spacing w:val="-19"/>
          <w:sz w:val="18"/>
        </w:rPr>
        <w:t> </w:t>
      </w:r>
      <w:r>
        <w:rPr>
          <w:sz w:val="18"/>
        </w:rPr>
        <w:t>rely</w:t>
      </w:r>
      <w:r>
        <w:rPr>
          <w:spacing w:val="-19"/>
          <w:sz w:val="18"/>
        </w:rPr>
        <w:t> </w:t>
      </w:r>
      <w:r>
        <w:rPr>
          <w:sz w:val="18"/>
        </w:rPr>
        <w:t>on</w:t>
      </w:r>
      <w:r>
        <w:rPr>
          <w:spacing w:val="-19"/>
          <w:sz w:val="18"/>
        </w:rPr>
        <w:t> </w:t>
      </w:r>
      <w:r>
        <w:rPr>
          <w:sz w:val="18"/>
        </w:rPr>
        <w:t>the</w:t>
      </w:r>
      <w:r>
        <w:rPr>
          <w:spacing w:val="-18"/>
          <w:sz w:val="18"/>
        </w:rPr>
        <w:t> </w:t>
      </w:r>
      <w:r>
        <w:rPr>
          <w:sz w:val="18"/>
        </w:rPr>
        <w:t>whole</w:t>
      </w:r>
      <w:r>
        <w:rPr>
          <w:spacing w:val="-18"/>
          <w:sz w:val="18"/>
        </w:rPr>
        <w:t> </w:t>
      </w:r>
      <w:r>
        <w:rPr>
          <w:sz w:val="18"/>
        </w:rPr>
        <w:t>or</w:t>
      </w:r>
      <w:r>
        <w:rPr>
          <w:spacing w:val="-16"/>
          <w:sz w:val="18"/>
        </w:rPr>
        <w:t> </w:t>
      </w:r>
      <w:r>
        <w:rPr>
          <w:sz w:val="18"/>
        </w:rPr>
        <w:t>any</w:t>
      </w:r>
      <w:r>
        <w:rPr>
          <w:spacing w:val="-19"/>
          <w:sz w:val="18"/>
        </w:rPr>
        <w:t> </w:t>
      </w:r>
      <w:r>
        <w:rPr>
          <w:sz w:val="18"/>
        </w:rPr>
        <w:t>part</w:t>
      </w:r>
      <w:r>
        <w:rPr>
          <w:spacing w:val="-19"/>
          <w:sz w:val="18"/>
        </w:rPr>
        <w:t> </w:t>
      </w:r>
      <w:r>
        <w:rPr>
          <w:sz w:val="18"/>
        </w:rPr>
        <w:t>of</w:t>
      </w:r>
      <w:r>
        <w:rPr>
          <w:spacing w:val="-20"/>
          <w:sz w:val="18"/>
        </w:rPr>
        <w:t> </w:t>
      </w:r>
      <w:r>
        <w:rPr>
          <w:sz w:val="18"/>
        </w:rPr>
        <w:t>the</w:t>
      </w:r>
      <w:r>
        <w:rPr>
          <w:spacing w:val="-18"/>
          <w:sz w:val="18"/>
        </w:rPr>
        <w:t> </w:t>
      </w:r>
      <w:r>
        <w:rPr>
          <w:sz w:val="18"/>
        </w:rPr>
        <w:t>content</w:t>
      </w:r>
      <w:r>
        <w:rPr>
          <w:spacing w:val="-20"/>
          <w:sz w:val="18"/>
        </w:rPr>
        <w:t> </w:t>
      </w:r>
      <w:r>
        <w:rPr>
          <w:sz w:val="18"/>
        </w:rPr>
        <w:t>of this</w:t>
      </w:r>
      <w:r>
        <w:rPr>
          <w:spacing w:val="-8"/>
          <w:sz w:val="18"/>
        </w:rPr>
        <w:t> </w:t>
      </w:r>
      <w:r>
        <w:rPr>
          <w:sz w:val="18"/>
        </w:rPr>
        <w:t>valuation.</w:t>
      </w:r>
      <w:r>
        <w:rPr>
          <w:spacing w:val="-7"/>
          <w:sz w:val="18"/>
        </w:rPr>
        <w:t> </w:t>
      </w:r>
      <w:r>
        <w:rPr>
          <w:sz w:val="18"/>
        </w:rPr>
        <w:t>The</w:t>
      </w:r>
      <w:r>
        <w:rPr>
          <w:spacing w:val="-7"/>
          <w:sz w:val="18"/>
        </w:rPr>
        <w:t> </w:t>
      </w:r>
      <w:r>
        <w:rPr>
          <w:sz w:val="18"/>
        </w:rPr>
        <w:t>valuer</w:t>
      </w:r>
      <w:r>
        <w:rPr>
          <w:spacing w:val="-8"/>
          <w:sz w:val="18"/>
        </w:rPr>
        <w:t> </w:t>
      </w:r>
      <w:r>
        <w:rPr>
          <w:sz w:val="18"/>
        </w:rPr>
        <w:t>has</w:t>
      </w:r>
      <w:r>
        <w:rPr>
          <w:spacing w:val="-8"/>
          <w:sz w:val="18"/>
        </w:rPr>
        <w:t> </w:t>
      </w:r>
      <w:r>
        <w:rPr>
          <w:sz w:val="18"/>
        </w:rPr>
        <w:t>no</w:t>
      </w:r>
      <w:r>
        <w:rPr>
          <w:spacing w:val="-6"/>
          <w:sz w:val="18"/>
        </w:rPr>
        <w:t> </w:t>
      </w:r>
      <w:r>
        <w:rPr>
          <w:sz w:val="18"/>
        </w:rPr>
        <w:t>pecuniary</w:t>
      </w:r>
      <w:r>
        <w:rPr>
          <w:spacing w:val="-8"/>
          <w:sz w:val="18"/>
        </w:rPr>
        <w:t> </w:t>
      </w:r>
      <w:r>
        <w:rPr>
          <w:sz w:val="18"/>
        </w:rPr>
        <w:t>interest</w:t>
      </w:r>
      <w:r>
        <w:rPr>
          <w:spacing w:val="-8"/>
          <w:sz w:val="18"/>
        </w:rPr>
        <w:t> </w:t>
      </w:r>
      <w:r>
        <w:rPr>
          <w:sz w:val="18"/>
        </w:rPr>
        <w:t>that</w:t>
      </w:r>
      <w:r>
        <w:rPr>
          <w:spacing w:val="-8"/>
          <w:sz w:val="18"/>
        </w:rPr>
        <w:t> </w:t>
      </w:r>
      <w:r>
        <w:rPr>
          <w:sz w:val="18"/>
        </w:rPr>
        <w:t>would</w:t>
      </w:r>
      <w:r>
        <w:rPr>
          <w:spacing w:val="-7"/>
          <w:sz w:val="18"/>
        </w:rPr>
        <w:t> </w:t>
      </w:r>
      <w:r>
        <w:rPr>
          <w:sz w:val="18"/>
        </w:rPr>
        <w:t>conflict</w:t>
      </w:r>
      <w:r>
        <w:rPr>
          <w:spacing w:val="-8"/>
          <w:sz w:val="18"/>
        </w:rPr>
        <w:t> </w:t>
      </w:r>
      <w:r>
        <w:rPr>
          <w:sz w:val="18"/>
        </w:rPr>
        <w:t>with</w:t>
      </w:r>
      <w:r>
        <w:rPr>
          <w:spacing w:val="-7"/>
          <w:sz w:val="18"/>
        </w:rPr>
        <w:t> </w:t>
      </w:r>
      <w:r>
        <w:rPr>
          <w:sz w:val="18"/>
        </w:rPr>
        <w:t>the</w:t>
      </w:r>
      <w:r>
        <w:rPr>
          <w:spacing w:val="-7"/>
          <w:sz w:val="18"/>
        </w:rPr>
        <w:t> </w:t>
      </w:r>
      <w:r>
        <w:rPr>
          <w:sz w:val="18"/>
        </w:rPr>
        <w:t>proper</w:t>
      </w:r>
      <w:r>
        <w:rPr>
          <w:spacing w:val="-8"/>
          <w:sz w:val="18"/>
        </w:rPr>
        <w:t> </w:t>
      </w:r>
      <w:r>
        <w:rPr>
          <w:sz w:val="18"/>
        </w:rPr>
        <w:t>valuation</w:t>
      </w:r>
      <w:r>
        <w:rPr>
          <w:spacing w:val="-7"/>
          <w:sz w:val="18"/>
        </w:rPr>
        <w:t> </w:t>
      </w:r>
      <w:r>
        <w:rPr>
          <w:sz w:val="18"/>
        </w:rPr>
        <w:t>of</w:t>
      </w:r>
      <w:r>
        <w:rPr>
          <w:spacing w:val="-7"/>
          <w:sz w:val="18"/>
        </w:rPr>
        <w:t> </w:t>
      </w:r>
      <w:r>
        <w:rPr>
          <w:sz w:val="18"/>
        </w:rPr>
        <w:t>the property</w:t>
      </w:r>
    </w:p>
    <w:p>
      <w:pPr>
        <w:spacing w:after="0" w:line="321" w:lineRule="auto"/>
        <w:jc w:val="both"/>
        <w:rPr>
          <w:sz w:val="18"/>
        </w:rPr>
        <w:sectPr>
          <w:type w:val="continuous"/>
          <w:pgSz w:w="11910" w:h="16840"/>
          <w:pgMar w:top="800" w:bottom="280" w:left="440" w:right="80"/>
          <w:cols w:num="2" w:equalWidth="0">
            <w:col w:w="1523" w:space="469"/>
            <w:col w:w="9398"/>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after="1"/>
        <w:rPr>
          <w:sz w:val="21"/>
        </w:rPr>
      </w:pPr>
    </w:p>
    <w:p>
      <w:pPr>
        <w:pStyle w:val="BodyText"/>
        <w:spacing w:line="20" w:lineRule="exact"/>
        <w:ind w:left="280"/>
        <w:rPr>
          <w:sz w:val="2"/>
        </w:rPr>
      </w:pPr>
      <w:r>
        <w:rPr>
          <w:sz w:val="2"/>
        </w:rPr>
        <w:pict>
          <v:group style="width:144.050pt;height:.6pt;mso-position-horizontal-relative:char;mso-position-vertical-relative:line" coordorigin="0,0" coordsize="2881,12">
            <v:rect style="position:absolute;left:0;top:0;width:2881;height:12" filled="true" fillcolor="#000000" stroked="false">
              <v:fill type="solid"/>
            </v:rect>
          </v:group>
        </w:pict>
      </w:r>
      <w:r>
        <w:rPr>
          <w:sz w:val="2"/>
        </w:rPr>
      </w:r>
    </w:p>
    <w:p>
      <w:pPr>
        <w:spacing w:before="91"/>
        <w:ind w:left="280" w:right="0" w:firstLine="0"/>
        <w:jc w:val="left"/>
        <w:rPr>
          <w:i/>
          <w:sz w:val="18"/>
        </w:rPr>
      </w:pPr>
      <w:r>
        <w:rPr>
          <w:position w:val="6"/>
          <w:sz w:val="11"/>
        </w:rPr>
        <w:t>2 </w:t>
      </w:r>
      <w:r>
        <w:rPr>
          <w:i/>
          <w:sz w:val="18"/>
        </w:rPr>
        <w:t>Not Applicable. For completed properties, guidance (ready reckoner) value is calculated on the basis of built-up area</w:t>
      </w:r>
    </w:p>
    <w:p>
      <w:pPr>
        <w:spacing w:after="0"/>
        <w:jc w:val="left"/>
        <w:rPr>
          <w:sz w:val="18"/>
        </w:rPr>
        <w:sectPr>
          <w:type w:val="continuous"/>
          <w:pgSz w:w="11910" w:h="16840"/>
          <w:pgMar w:top="800" w:bottom="280" w:left="440" w:right="80"/>
        </w:sectPr>
      </w:pPr>
    </w:p>
    <w:p>
      <w:pPr>
        <w:pStyle w:val="BodyText"/>
        <w:spacing w:before="5"/>
        <w:rPr>
          <w:i/>
        </w:rPr>
      </w:pPr>
    </w:p>
    <w:p>
      <w:pPr>
        <w:pStyle w:val="ListParagraph"/>
        <w:numPr>
          <w:ilvl w:val="1"/>
          <w:numId w:val="26"/>
        </w:numPr>
        <w:tabs>
          <w:tab w:pos="857" w:val="left" w:leader="none"/>
        </w:tabs>
        <w:spacing w:line="240" w:lineRule="auto" w:before="106" w:after="0"/>
        <w:ind w:left="856" w:right="0" w:hanging="577"/>
        <w:jc w:val="left"/>
        <w:rPr>
          <w:sz w:val="22"/>
        </w:rPr>
      </w:pPr>
      <w:bookmarkStart w:name="_bookmark40" w:id="80"/>
      <w:bookmarkEnd w:id="80"/>
      <w:r>
        <w:rPr/>
      </w:r>
      <w:bookmarkStart w:name="_bookmark40" w:id="81"/>
      <w:bookmarkEnd w:id="81"/>
      <w:r>
        <w:rPr>
          <w:color w:val="1F6647"/>
          <w:sz w:val="22"/>
        </w:rPr>
        <w:t>Hilto</w:t>
      </w:r>
      <w:r>
        <w:rPr>
          <w:color w:val="1F6647"/>
          <w:sz w:val="22"/>
        </w:rPr>
        <w:t>n at</w:t>
      </w:r>
      <w:r>
        <w:rPr>
          <w:color w:val="1F6647"/>
          <w:spacing w:val="-4"/>
          <w:sz w:val="22"/>
        </w:rPr>
        <w:t> </w:t>
      </w:r>
      <w:r>
        <w:rPr>
          <w:color w:val="1F6647"/>
          <w:sz w:val="22"/>
        </w:rPr>
        <w:t>Golflinks</w:t>
      </w:r>
    </w:p>
    <w:p>
      <w:pPr>
        <w:pStyle w:val="BodyText"/>
        <w:rPr>
          <w:sz w:val="26"/>
        </w:rPr>
      </w:pPr>
    </w:p>
    <w:p>
      <w:pPr>
        <w:pStyle w:val="BodyText"/>
        <w:spacing w:before="7"/>
        <w:rPr>
          <w:sz w:val="23"/>
        </w:rPr>
      </w:pPr>
    </w:p>
    <w:p>
      <w:pPr>
        <w:tabs>
          <w:tab w:pos="2637" w:val="left" w:leader="none"/>
        </w:tabs>
        <w:spacing w:before="1"/>
        <w:ind w:left="392" w:right="0" w:firstLine="0"/>
        <w:jc w:val="left"/>
        <w:rPr>
          <w:sz w:val="18"/>
        </w:rPr>
      </w:pPr>
      <w:r>
        <w:rPr>
          <w:color w:val="006A4D"/>
          <w:sz w:val="18"/>
        </w:rPr>
        <w:t>Property</w:t>
      </w:r>
      <w:r>
        <w:rPr>
          <w:color w:val="006A4D"/>
          <w:spacing w:val="-15"/>
          <w:sz w:val="18"/>
        </w:rPr>
        <w:t> </w:t>
      </w:r>
      <w:r>
        <w:rPr>
          <w:color w:val="006A4D"/>
          <w:sz w:val="18"/>
        </w:rPr>
        <w:t>Name:</w:t>
        <w:tab/>
      </w:r>
      <w:r>
        <w:rPr>
          <w:sz w:val="18"/>
        </w:rPr>
        <w:t>Hilton at GolfLinks is an operational hospitality development as part of a larger integrated Office</w:t>
      </w:r>
      <w:r>
        <w:rPr>
          <w:spacing w:val="41"/>
          <w:sz w:val="18"/>
        </w:rPr>
        <w:t> </w:t>
      </w:r>
      <w:r>
        <w:rPr>
          <w:sz w:val="18"/>
        </w:rPr>
        <w:t>Park</w:t>
      </w:r>
    </w:p>
    <w:p>
      <w:pPr>
        <w:spacing w:before="71"/>
        <w:ind w:left="2637" w:right="0" w:firstLine="0"/>
        <w:jc w:val="both"/>
        <w:rPr>
          <w:sz w:val="18"/>
        </w:rPr>
      </w:pPr>
      <w:r>
        <w:rPr>
          <w:sz w:val="18"/>
        </w:rPr>
        <w:t>‘Embassy GolfLinks’ located along Intermediate Ring Road, Bengaluru, Karnataka</w:t>
      </w:r>
    </w:p>
    <w:p>
      <w:pPr>
        <w:pStyle w:val="BodyText"/>
        <w:spacing w:before="8"/>
        <w:rPr>
          <w:sz w:val="27"/>
        </w:rPr>
      </w:pPr>
    </w:p>
    <w:p>
      <w:pPr>
        <w:tabs>
          <w:tab w:pos="2637" w:val="left" w:leader="none"/>
        </w:tabs>
        <w:spacing w:before="0"/>
        <w:ind w:left="392" w:right="0" w:firstLine="0"/>
        <w:jc w:val="left"/>
        <w:rPr>
          <w:sz w:val="18"/>
        </w:rPr>
      </w:pPr>
      <w:r>
        <w:rPr>
          <w:color w:val="006A4D"/>
          <w:sz w:val="18"/>
        </w:rPr>
        <w:t>Property</w:t>
      </w:r>
      <w:r>
        <w:rPr>
          <w:color w:val="006A4D"/>
          <w:spacing w:val="-25"/>
          <w:sz w:val="18"/>
        </w:rPr>
        <w:t> </w:t>
      </w:r>
      <w:r>
        <w:rPr>
          <w:color w:val="006A4D"/>
          <w:sz w:val="18"/>
        </w:rPr>
        <w:t>Address:</w:t>
        <w:tab/>
      </w:r>
      <w:r>
        <w:rPr>
          <w:sz w:val="18"/>
        </w:rPr>
        <w:t>Challaghatta Village, Varthur Hobli, Bengaluru East Taluk, Bengaluru,</w:t>
      </w:r>
      <w:r>
        <w:rPr>
          <w:spacing w:val="-38"/>
          <w:sz w:val="18"/>
        </w:rPr>
        <w:t> </w:t>
      </w:r>
      <w:r>
        <w:rPr>
          <w:sz w:val="18"/>
        </w:rPr>
        <w:t>Karnataka</w:t>
      </w:r>
    </w:p>
    <w:p>
      <w:pPr>
        <w:pStyle w:val="BodyText"/>
        <w:spacing w:before="8"/>
        <w:rPr>
          <w:sz w:val="27"/>
        </w:rPr>
      </w:pPr>
    </w:p>
    <w:p>
      <w:pPr>
        <w:tabs>
          <w:tab w:pos="2637" w:val="left" w:leader="none"/>
        </w:tabs>
        <w:spacing w:line="321" w:lineRule="auto" w:before="0"/>
        <w:ind w:left="2637" w:right="490" w:hanging="2245"/>
        <w:jc w:val="both"/>
        <w:rPr>
          <w:sz w:val="18"/>
        </w:rPr>
      </w:pPr>
      <w:r>
        <w:rPr>
          <w:color w:val="006A4D"/>
          <w:sz w:val="18"/>
        </w:rPr>
        <w:t>Land</w:t>
      </w:r>
      <w:r>
        <w:rPr>
          <w:color w:val="006A4D"/>
          <w:spacing w:val="-4"/>
          <w:sz w:val="18"/>
        </w:rPr>
        <w:t> </w:t>
      </w:r>
      <w:r>
        <w:rPr>
          <w:color w:val="006A4D"/>
          <w:sz w:val="18"/>
        </w:rPr>
        <w:t>Area:</w:t>
        <w:tab/>
      </w:r>
      <w:r>
        <w:rPr>
          <w:sz w:val="18"/>
        </w:rPr>
        <w:t>Based</w:t>
      </w:r>
      <w:r>
        <w:rPr>
          <w:spacing w:val="-33"/>
          <w:sz w:val="18"/>
        </w:rPr>
        <w:t> </w:t>
      </w:r>
      <w:r>
        <w:rPr>
          <w:sz w:val="18"/>
        </w:rPr>
        <w:t>on</w:t>
      </w:r>
      <w:r>
        <w:rPr>
          <w:spacing w:val="-32"/>
          <w:sz w:val="18"/>
        </w:rPr>
        <w:t> </w:t>
      </w:r>
      <w:r>
        <w:rPr>
          <w:sz w:val="18"/>
        </w:rPr>
        <w:t>review</w:t>
      </w:r>
      <w:r>
        <w:rPr>
          <w:spacing w:val="-33"/>
          <w:sz w:val="18"/>
        </w:rPr>
        <w:t> </w:t>
      </w:r>
      <w:r>
        <w:rPr>
          <w:sz w:val="18"/>
        </w:rPr>
        <w:t>of</w:t>
      </w:r>
      <w:r>
        <w:rPr>
          <w:spacing w:val="-33"/>
          <w:sz w:val="18"/>
        </w:rPr>
        <w:t> </w:t>
      </w:r>
      <w:r>
        <w:rPr>
          <w:sz w:val="18"/>
        </w:rPr>
        <w:t>the</w:t>
      </w:r>
      <w:r>
        <w:rPr>
          <w:spacing w:val="-33"/>
          <w:sz w:val="18"/>
        </w:rPr>
        <w:t> </w:t>
      </w:r>
      <w:r>
        <w:rPr>
          <w:sz w:val="18"/>
        </w:rPr>
        <w:t>title</w:t>
      </w:r>
      <w:r>
        <w:rPr>
          <w:spacing w:val="-32"/>
          <w:sz w:val="18"/>
        </w:rPr>
        <w:t> </w:t>
      </w:r>
      <w:r>
        <w:rPr>
          <w:sz w:val="18"/>
        </w:rPr>
        <w:t>report,</w:t>
      </w:r>
      <w:r>
        <w:rPr>
          <w:spacing w:val="-33"/>
          <w:sz w:val="18"/>
        </w:rPr>
        <w:t> </w:t>
      </w:r>
      <w:r>
        <w:rPr>
          <w:sz w:val="18"/>
        </w:rPr>
        <w:t>we</w:t>
      </w:r>
      <w:r>
        <w:rPr>
          <w:spacing w:val="-33"/>
          <w:sz w:val="18"/>
        </w:rPr>
        <w:t> </w:t>
      </w:r>
      <w:r>
        <w:rPr>
          <w:sz w:val="18"/>
        </w:rPr>
        <w:t>understand</w:t>
      </w:r>
      <w:r>
        <w:rPr>
          <w:spacing w:val="-33"/>
          <w:sz w:val="18"/>
        </w:rPr>
        <w:t> </w:t>
      </w:r>
      <w:r>
        <w:rPr>
          <w:sz w:val="18"/>
        </w:rPr>
        <w:t>that</w:t>
      </w:r>
      <w:r>
        <w:rPr>
          <w:spacing w:val="-34"/>
          <w:sz w:val="18"/>
        </w:rPr>
        <w:t> </w:t>
      </w:r>
      <w:r>
        <w:rPr>
          <w:sz w:val="18"/>
        </w:rPr>
        <w:t>the</w:t>
      </w:r>
      <w:r>
        <w:rPr>
          <w:spacing w:val="-32"/>
          <w:sz w:val="18"/>
        </w:rPr>
        <w:t> </w:t>
      </w:r>
      <w:r>
        <w:rPr>
          <w:sz w:val="18"/>
        </w:rPr>
        <w:t>total</w:t>
      </w:r>
      <w:r>
        <w:rPr>
          <w:spacing w:val="-33"/>
          <w:sz w:val="18"/>
        </w:rPr>
        <w:t> </w:t>
      </w:r>
      <w:r>
        <w:rPr>
          <w:sz w:val="18"/>
        </w:rPr>
        <w:t>land</w:t>
      </w:r>
      <w:r>
        <w:rPr>
          <w:spacing w:val="-33"/>
          <w:sz w:val="18"/>
        </w:rPr>
        <w:t> </w:t>
      </w:r>
      <w:r>
        <w:rPr>
          <w:sz w:val="18"/>
        </w:rPr>
        <w:t>area</w:t>
      </w:r>
      <w:r>
        <w:rPr>
          <w:spacing w:val="-33"/>
          <w:sz w:val="18"/>
        </w:rPr>
        <w:t> </w:t>
      </w:r>
      <w:r>
        <w:rPr>
          <w:sz w:val="18"/>
        </w:rPr>
        <w:t>of</w:t>
      </w:r>
      <w:r>
        <w:rPr>
          <w:spacing w:val="-32"/>
          <w:sz w:val="18"/>
        </w:rPr>
        <w:t> </w:t>
      </w:r>
      <w:r>
        <w:rPr>
          <w:sz w:val="18"/>
        </w:rPr>
        <w:t>the</w:t>
      </w:r>
      <w:r>
        <w:rPr>
          <w:spacing w:val="-33"/>
          <w:sz w:val="18"/>
        </w:rPr>
        <w:t> </w:t>
      </w:r>
      <w:r>
        <w:rPr>
          <w:sz w:val="18"/>
        </w:rPr>
        <w:t>subject</w:t>
      </w:r>
      <w:r>
        <w:rPr>
          <w:spacing w:val="-34"/>
          <w:sz w:val="18"/>
        </w:rPr>
        <w:t> </w:t>
      </w:r>
      <w:r>
        <w:rPr>
          <w:sz w:val="18"/>
        </w:rPr>
        <w:t>property</w:t>
      </w:r>
      <w:r>
        <w:rPr>
          <w:spacing w:val="-33"/>
          <w:sz w:val="18"/>
        </w:rPr>
        <w:t> </w:t>
      </w:r>
      <w:r>
        <w:rPr>
          <w:sz w:val="18"/>
        </w:rPr>
        <w:t>under</w:t>
      </w:r>
      <w:r>
        <w:rPr>
          <w:spacing w:val="-33"/>
          <w:sz w:val="18"/>
        </w:rPr>
        <w:t> </w:t>
      </w:r>
      <w:r>
        <w:rPr>
          <w:sz w:val="18"/>
        </w:rPr>
        <w:t>the ownership of the Client is approximately 3.58</w:t>
      </w:r>
      <w:r>
        <w:rPr>
          <w:spacing w:val="-24"/>
          <w:sz w:val="18"/>
        </w:rPr>
        <w:t> </w:t>
      </w:r>
      <w:r>
        <w:rPr>
          <w:sz w:val="18"/>
        </w:rPr>
        <w:t>Acres</w:t>
      </w:r>
    </w:p>
    <w:p>
      <w:pPr>
        <w:pStyle w:val="BodyText"/>
        <w:spacing w:before="8"/>
        <w:rPr>
          <w:sz w:val="21"/>
        </w:rPr>
      </w:pPr>
    </w:p>
    <w:p>
      <w:pPr>
        <w:tabs>
          <w:tab w:pos="2637" w:val="left" w:leader="none"/>
        </w:tabs>
        <w:spacing w:line="321" w:lineRule="auto" w:before="0"/>
        <w:ind w:left="2637" w:right="480" w:hanging="2245"/>
        <w:jc w:val="both"/>
        <w:rPr>
          <w:sz w:val="18"/>
        </w:rPr>
      </w:pPr>
      <w:r>
        <w:rPr>
          <w:color w:val="006A4D"/>
          <w:sz w:val="18"/>
        </w:rPr>
        <w:t>Brief</w:t>
      </w:r>
      <w:r>
        <w:rPr>
          <w:color w:val="006A4D"/>
          <w:spacing w:val="-31"/>
          <w:sz w:val="18"/>
        </w:rPr>
        <w:t> </w:t>
      </w:r>
      <w:r>
        <w:rPr>
          <w:color w:val="006A4D"/>
          <w:sz w:val="18"/>
        </w:rPr>
        <w:t>Description:</w:t>
        <w:tab/>
      </w:r>
      <w:r>
        <w:rPr>
          <w:sz w:val="18"/>
        </w:rPr>
        <w:t>The subject property, Hilton at GolfLinks, is an operational hospitality development located along Intermediate</w:t>
      </w:r>
      <w:r>
        <w:rPr>
          <w:spacing w:val="-7"/>
          <w:sz w:val="18"/>
        </w:rPr>
        <w:t> </w:t>
      </w:r>
      <w:r>
        <w:rPr>
          <w:sz w:val="18"/>
        </w:rPr>
        <w:t>Ring</w:t>
      </w:r>
      <w:r>
        <w:rPr>
          <w:spacing w:val="-6"/>
          <w:sz w:val="18"/>
        </w:rPr>
        <w:t> </w:t>
      </w:r>
      <w:r>
        <w:rPr>
          <w:sz w:val="18"/>
        </w:rPr>
        <w:t>Road,</w:t>
      </w:r>
      <w:r>
        <w:rPr>
          <w:spacing w:val="-7"/>
          <w:sz w:val="18"/>
        </w:rPr>
        <w:t> </w:t>
      </w:r>
      <w:r>
        <w:rPr>
          <w:sz w:val="18"/>
        </w:rPr>
        <w:t>Bengaluru.</w:t>
      </w:r>
      <w:r>
        <w:rPr>
          <w:spacing w:val="-7"/>
          <w:sz w:val="18"/>
        </w:rPr>
        <w:t> </w:t>
      </w:r>
      <w:r>
        <w:rPr>
          <w:sz w:val="18"/>
        </w:rPr>
        <w:t>The</w:t>
      </w:r>
      <w:r>
        <w:rPr>
          <w:spacing w:val="-6"/>
          <w:sz w:val="18"/>
        </w:rPr>
        <w:t> </w:t>
      </w:r>
      <w:r>
        <w:rPr>
          <w:sz w:val="18"/>
        </w:rPr>
        <w:t>interest</w:t>
      </w:r>
      <w:r>
        <w:rPr>
          <w:spacing w:val="-7"/>
          <w:sz w:val="18"/>
        </w:rPr>
        <w:t> </w:t>
      </w:r>
      <w:r>
        <w:rPr>
          <w:sz w:val="18"/>
        </w:rPr>
        <w:t>being</w:t>
      </w:r>
      <w:r>
        <w:rPr>
          <w:spacing w:val="-7"/>
          <w:sz w:val="18"/>
        </w:rPr>
        <w:t> </w:t>
      </w:r>
      <w:r>
        <w:rPr>
          <w:sz w:val="18"/>
        </w:rPr>
        <w:t>valued</w:t>
      </w:r>
      <w:r>
        <w:rPr>
          <w:spacing w:val="-7"/>
          <w:sz w:val="18"/>
        </w:rPr>
        <w:t> </w:t>
      </w:r>
      <w:r>
        <w:rPr>
          <w:sz w:val="18"/>
        </w:rPr>
        <w:t>corresponds</w:t>
      </w:r>
      <w:r>
        <w:rPr>
          <w:spacing w:val="-6"/>
          <w:sz w:val="18"/>
        </w:rPr>
        <w:t> </w:t>
      </w:r>
      <w:r>
        <w:rPr>
          <w:sz w:val="18"/>
        </w:rPr>
        <w:t>to</w:t>
      </w:r>
      <w:r>
        <w:rPr>
          <w:spacing w:val="-7"/>
          <w:sz w:val="18"/>
        </w:rPr>
        <w:t> </w:t>
      </w:r>
      <w:r>
        <w:rPr>
          <w:sz w:val="18"/>
        </w:rPr>
        <w:t>a</w:t>
      </w:r>
      <w:r>
        <w:rPr>
          <w:spacing w:val="-6"/>
          <w:sz w:val="18"/>
        </w:rPr>
        <w:t> </w:t>
      </w:r>
      <w:r>
        <w:rPr>
          <w:sz w:val="18"/>
        </w:rPr>
        <w:t>developed</w:t>
      </w:r>
      <w:r>
        <w:rPr>
          <w:spacing w:val="-9"/>
          <w:sz w:val="18"/>
        </w:rPr>
        <w:t> </w:t>
      </w:r>
      <w:r>
        <w:rPr>
          <w:sz w:val="18"/>
        </w:rPr>
        <w:t>area</w:t>
      </w:r>
      <w:r>
        <w:rPr>
          <w:spacing w:val="-6"/>
          <w:sz w:val="18"/>
        </w:rPr>
        <w:t> </w:t>
      </w:r>
      <w:r>
        <w:rPr>
          <w:sz w:val="18"/>
        </w:rPr>
        <w:t>of</w:t>
      </w:r>
      <w:r>
        <w:rPr>
          <w:spacing w:val="-7"/>
          <w:sz w:val="18"/>
        </w:rPr>
        <w:t> </w:t>
      </w:r>
      <w:r>
        <w:rPr>
          <w:spacing w:val="2"/>
          <w:sz w:val="18"/>
        </w:rPr>
        <w:t>0.45 </w:t>
      </w:r>
      <w:r>
        <w:rPr>
          <w:sz w:val="18"/>
        </w:rPr>
        <w:t>msf</w:t>
      </w:r>
      <w:r>
        <w:rPr>
          <w:spacing w:val="-3"/>
          <w:sz w:val="18"/>
        </w:rPr>
        <w:t> </w:t>
      </w:r>
      <w:r>
        <w:rPr>
          <w:sz w:val="18"/>
        </w:rPr>
        <w:t>of</w:t>
      </w:r>
      <w:r>
        <w:rPr>
          <w:spacing w:val="-3"/>
          <w:sz w:val="18"/>
        </w:rPr>
        <w:t> </w:t>
      </w:r>
      <w:r>
        <w:rPr>
          <w:sz w:val="18"/>
        </w:rPr>
        <w:t>hotel</w:t>
      </w:r>
      <w:r>
        <w:rPr>
          <w:spacing w:val="-3"/>
          <w:sz w:val="18"/>
        </w:rPr>
        <w:t> </w:t>
      </w:r>
      <w:r>
        <w:rPr>
          <w:sz w:val="18"/>
        </w:rPr>
        <w:t>with</w:t>
      </w:r>
      <w:r>
        <w:rPr>
          <w:spacing w:val="-2"/>
          <w:sz w:val="18"/>
        </w:rPr>
        <w:t> </w:t>
      </w:r>
      <w:r>
        <w:rPr>
          <w:sz w:val="18"/>
        </w:rPr>
        <w:t>247</w:t>
      </w:r>
      <w:r>
        <w:rPr>
          <w:spacing w:val="-3"/>
          <w:sz w:val="18"/>
        </w:rPr>
        <w:t> </w:t>
      </w:r>
      <w:r>
        <w:rPr>
          <w:sz w:val="18"/>
        </w:rPr>
        <w:t>keys</w:t>
      </w:r>
      <w:r>
        <w:rPr>
          <w:spacing w:val="-1"/>
          <w:sz w:val="18"/>
        </w:rPr>
        <w:t> </w:t>
      </w:r>
      <w:r>
        <w:rPr>
          <w:sz w:val="18"/>
        </w:rPr>
        <w:t>(operational</w:t>
      </w:r>
      <w:r>
        <w:rPr>
          <w:spacing w:val="-3"/>
          <w:sz w:val="18"/>
        </w:rPr>
        <w:t> </w:t>
      </w:r>
      <w:r>
        <w:rPr>
          <w:sz w:val="18"/>
        </w:rPr>
        <w:t>since</w:t>
      </w:r>
      <w:r>
        <w:rPr>
          <w:spacing w:val="-2"/>
          <w:sz w:val="18"/>
        </w:rPr>
        <w:t> </w:t>
      </w:r>
      <w:r>
        <w:rPr>
          <w:sz w:val="18"/>
        </w:rPr>
        <w:t>March</w:t>
      </w:r>
      <w:r>
        <w:rPr>
          <w:spacing w:val="-2"/>
          <w:sz w:val="18"/>
        </w:rPr>
        <w:t> </w:t>
      </w:r>
      <w:r>
        <w:rPr>
          <w:sz w:val="18"/>
        </w:rPr>
        <w:t>2014).</w:t>
      </w:r>
      <w:r>
        <w:rPr>
          <w:spacing w:val="-3"/>
          <w:sz w:val="18"/>
        </w:rPr>
        <w:t> </w:t>
      </w:r>
      <w:r>
        <w:rPr>
          <w:sz w:val="18"/>
        </w:rPr>
        <w:t>The</w:t>
      </w:r>
      <w:r>
        <w:rPr>
          <w:spacing w:val="-1"/>
          <w:sz w:val="18"/>
        </w:rPr>
        <w:t> </w:t>
      </w:r>
      <w:r>
        <w:rPr>
          <w:sz w:val="18"/>
        </w:rPr>
        <w:t>immediate</w:t>
      </w:r>
      <w:r>
        <w:rPr>
          <w:spacing w:val="-4"/>
          <w:sz w:val="18"/>
        </w:rPr>
        <w:t> </w:t>
      </w:r>
      <w:r>
        <w:rPr>
          <w:sz w:val="18"/>
        </w:rPr>
        <w:t>surroundings</w:t>
      </w:r>
      <w:r>
        <w:rPr>
          <w:spacing w:val="-4"/>
          <w:sz w:val="18"/>
        </w:rPr>
        <w:t> </w:t>
      </w:r>
      <w:r>
        <w:rPr>
          <w:sz w:val="18"/>
        </w:rPr>
        <w:t>of</w:t>
      </w:r>
      <w:r>
        <w:rPr>
          <w:spacing w:val="-2"/>
          <w:sz w:val="18"/>
        </w:rPr>
        <w:t> </w:t>
      </w:r>
      <w:r>
        <w:rPr>
          <w:sz w:val="18"/>
        </w:rPr>
        <w:t>the</w:t>
      </w:r>
      <w:r>
        <w:rPr>
          <w:spacing w:val="-4"/>
          <w:sz w:val="18"/>
        </w:rPr>
        <w:t> </w:t>
      </w:r>
      <w:r>
        <w:rPr>
          <w:sz w:val="18"/>
        </w:rPr>
        <w:t>subject property</w:t>
      </w:r>
      <w:r>
        <w:rPr>
          <w:spacing w:val="-8"/>
          <w:sz w:val="18"/>
        </w:rPr>
        <w:t> </w:t>
      </w:r>
      <w:r>
        <w:rPr>
          <w:sz w:val="18"/>
        </w:rPr>
        <w:t>comprise</w:t>
      </w:r>
      <w:r>
        <w:rPr>
          <w:spacing w:val="-9"/>
          <w:sz w:val="18"/>
        </w:rPr>
        <w:t> </w:t>
      </w:r>
      <w:r>
        <w:rPr>
          <w:sz w:val="18"/>
        </w:rPr>
        <w:t>of</w:t>
      </w:r>
      <w:r>
        <w:rPr>
          <w:spacing w:val="-8"/>
          <w:sz w:val="18"/>
        </w:rPr>
        <w:t> </w:t>
      </w:r>
      <w:r>
        <w:rPr>
          <w:sz w:val="18"/>
        </w:rPr>
        <w:t>large</w:t>
      </w:r>
      <w:r>
        <w:rPr>
          <w:spacing w:val="-7"/>
          <w:sz w:val="18"/>
        </w:rPr>
        <w:t> </w:t>
      </w:r>
      <w:r>
        <w:rPr>
          <w:sz w:val="18"/>
        </w:rPr>
        <w:t>aggregates</w:t>
      </w:r>
      <w:r>
        <w:rPr>
          <w:spacing w:val="-9"/>
          <w:sz w:val="18"/>
        </w:rPr>
        <w:t> </w:t>
      </w:r>
      <w:r>
        <w:rPr>
          <w:sz w:val="18"/>
        </w:rPr>
        <w:t>of</w:t>
      </w:r>
      <w:r>
        <w:rPr>
          <w:spacing w:val="-9"/>
          <w:sz w:val="18"/>
        </w:rPr>
        <w:t> </w:t>
      </w:r>
      <w:r>
        <w:rPr>
          <w:sz w:val="18"/>
        </w:rPr>
        <w:t>land</w:t>
      </w:r>
      <w:r>
        <w:rPr>
          <w:spacing w:val="-10"/>
          <w:sz w:val="18"/>
        </w:rPr>
        <w:t> </w:t>
      </w:r>
      <w:r>
        <w:rPr>
          <w:sz w:val="18"/>
        </w:rPr>
        <w:t>owned</w:t>
      </w:r>
      <w:r>
        <w:rPr>
          <w:spacing w:val="-7"/>
          <w:sz w:val="18"/>
        </w:rPr>
        <w:t> </w:t>
      </w:r>
      <w:r>
        <w:rPr>
          <w:sz w:val="18"/>
        </w:rPr>
        <w:t>by</w:t>
      </w:r>
      <w:r>
        <w:rPr>
          <w:spacing w:val="-10"/>
          <w:sz w:val="18"/>
        </w:rPr>
        <w:t> </w:t>
      </w:r>
      <w:r>
        <w:rPr>
          <w:sz w:val="18"/>
        </w:rPr>
        <w:t>the</w:t>
      </w:r>
      <w:r>
        <w:rPr>
          <w:spacing w:val="-9"/>
          <w:sz w:val="18"/>
        </w:rPr>
        <w:t> </w:t>
      </w:r>
      <w:r>
        <w:rPr>
          <w:sz w:val="18"/>
        </w:rPr>
        <w:t>Defence</w:t>
      </w:r>
      <w:r>
        <w:rPr>
          <w:spacing w:val="-9"/>
          <w:sz w:val="18"/>
        </w:rPr>
        <w:t> </w:t>
      </w:r>
      <w:r>
        <w:rPr>
          <w:sz w:val="18"/>
        </w:rPr>
        <w:t>Services</w:t>
      </w:r>
      <w:r>
        <w:rPr>
          <w:spacing w:val="-9"/>
          <w:sz w:val="18"/>
        </w:rPr>
        <w:t> </w:t>
      </w:r>
      <w:r>
        <w:rPr>
          <w:sz w:val="18"/>
        </w:rPr>
        <w:t>of</w:t>
      </w:r>
      <w:r>
        <w:rPr>
          <w:spacing w:val="-9"/>
          <w:sz w:val="18"/>
        </w:rPr>
        <w:t> </w:t>
      </w:r>
      <w:r>
        <w:rPr>
          <w:sz w:val="18"/>
        </w:rPr>
        <w:t>the</w:t>
      </w:r>
      <w:r>
        <w:rPr>
          <w:spacing w:val="-8"/>
          <w:sz w:val="18"/>
        </w:rPr>
        <w:t> </w:t>
      </w:r>
      <w:r>
        <w:rPr>
          <w:sz w:val="18"/>
        </w:rPr>
        <w:t>Country</w:t>
      </w:r>
      <w:r>
        <w:rPr>
          <w:spacing w:val="-7"/>
          <w:sz w:val="18"/>
        </w:rPr>
        <w:t> </w:t>
      </w:r>
      <w:r>
        <w:rPr>
          <w:sz w:val="18"/>
        </w:rPr>
        <w:t>Karnataka Golf</w:t>
      </w:r>
      <w:r>
        <w:rPr>
          <w:spacing w:val="-34"/>
          <w:sz w:val="18"/>
        </w:rPr>
        <w:t> </w:t>
      </w:r>
      <w:r>
        <w:rPr>
          <w:sz w:val="18"/>
        </w:rPr>
        <w:t>Association’s</w:t>
      </w:r>
      <w:r>
        <w:rPr>
          <w:spacing w:val="-33"/>
          <w:sz w:val="18"/>
        </w:rPr>
        <w:t> </w:t>
      </w:r>
      <w:r>
        <w:rPr>
          <w:sz w:val="18"/>
        </w:rPr>
        <w:t>operational</w:t>
      </w:r>
      <w:r>
        <w:rPr>
          <w:spacing w:val="-33"/>
          <w:sz w:val="18"/>
        </w:rPr>
        <w:t> </w:t>
      </w:r>
      <w:r>
        <w:rPr>
          <w:sz w:val="18"/>
        </w:rPr>
        <w:t>golf</w:t>
      </w:r>
      <w:r>
        <w:rPr>
          <w:spacing w:val="-34"/>
          <w:sz w:val="18"/>
        </w:rPr>
        <w:t> </w:t>
      </w:r>
      <w:r>
        <w:rPr>
          <w:sz w:val="18"/>
        </w:rPr>
        <w:t>course,</w:t>
      </w:r>
      <w:r>
        <w:rPr>
          <w:spacing w:val="-33"/>
          <w:sz w:val="18"/>
        </w:rPr>
        <w:t> </w:t>
      </w:r>
      <w:r>
        <w:rPr>
          <w:sz w:val="18"/>
        </w:rPr>
        <w:t>Diamond</w:t>
      </w:r>
      <w:r>
        <w:rPr>
          <w:spacing w:val="-33"/>
          <w:sz w:val="18"/>
        </w:rPr>
        <w:t> </w:t>
      </w:r>
      <w:r>
        <w:rPr>
          <w:sz w:val="18"/>
        </w:rPr>
        <w:t>District,</w:t>
      </w:r>
      <w:r>
        <w:rPr>
          <w:spacing w:val="-32"/>
          <w:sz w:val="18"/>
        </w:rPr>
        <w:t> </w:t>
      </w:r>
      <w:r>
        <w:rPr>
          <w:sz w:val="18"/>
        </w:rPr>
        <w:t>DivyaSree</w:t>
      </w:r>
      <w:r>
        <w:rPr>
          <w:spacing w:val="-33"/>
          <w:sz w:val="18"/>
        </w:rPr>
        <w:t> </w:t>
      </w:r>
      <w:r>
        <w:rPr>
          <w:sz w:val="18"/>
        </w:rPr>
        <w:t>Greens,</w:t>
      </w:r>
      <w:r>
        <w:rPr>
          <w:spacing w:val="-33"/>
          <w:sz w:val="18"/>
        </w:rPr>
        <w:t> </w:t>
      </w:r>
      <w:r>
        <w:rPr>
          <w:sz w:val="18"/>
        </w:rPr>
        <w:t>Maruthi</w:t>
      </w:r>
      <w:r>
        <w:rPr>
          <w:spacing w:val="-34"/>
          <w:sz w:val="18"/>
        </w:rPr>
        <w:t> </w:t>
      </w:r>
      <w:r>
        <w:rPr>
          <w:sz w:val="18"/>
        </w:rPr>
        <w:t>Infotech</w:t>
      </w:r>
      <w:r>
        <w:rPr>
          <w:spacing w:val="-33"/>
          <w:sz w:val="18"/>
        </w:rPr>
        <w:t> </w:t>
      </w:r>
      <w:r>
        <w:rPr>
          <w:sz w:val="18"/>
        </w:rPr>
        <w:t>Park,</w:t>
      </w:r>
      <w:r>
        <w:rPr>
          <w:spacing w:val="-34"/>
          <w:sz w:val="18"/>
        </w:rPr>
        <w:t> </w:t>
      </w:r>
      <w:r>
        <w:rPr>
          <w:sz w:val="18"/>
        </w:rPr>
        <w:t>etc. In</w:t>
      </w:r>
      <w:r>
        <w:rPr>
          <w:spacing w:val="-32"/>
          <w:sz w:val="18"/>
        </w:rPr>
        <w:t> </w:t>
      </w:r>
      <w:r>
        <w:rPr>
          <w:sz w:val="18"/>
        </w:rPr>
        <w:t>addition,</w:t>
      </w:r>
      <w:r>
        <w:rPr>
          <w:spacing w:val="-32"/>
          <w:sz w:val="18"/>
        </w:rPr>
        <w:t> </w:t>
      </w:r>
      <w:r>
        <w:rPr>
          <w:sz w:val="18"/>
        </w:rPr>
        <w:t>the</w:t>
      </w:r>
      <w:r>
        <w:rPr>
          <w:spacing w:val="-31"/>
          <w:sz w:val="18"/>
        </w:rPr>
        <w:t> </w:t>
      </w:r>
      <w:r>
        <w:rPr>
          <w:sz w:val="18"/>
        </w:rPr>
        <w:t>subject</w:t>
      </w:r>
      <w:r>
        <w:rPr>
          <w:spacing w:val="-32"/>
          <w:sz w:val="18"/>
        </w:rPr>
        <w:t> </w:t>
      </w:r>
      <w:r>
        <w:rPr>
          <w:sz w:val="18"/>
        </w:rPr>
        <w:t>property</w:t>
      </w:r>
      <w:r>
        <w:rPr>
          <w:spacing w:val="-32"/>
          <w:sz w:val="18"/>
        </w:rPr>
        <w:t> </w:t>
      </w:r>
      <w:r>
        <w:rPr>
          <w:sz w:val="18"/>
        </w:rPr>
        <w:t>is</w:t>
      </w:r>
      <w:r>
        <w:rPr>
          <w:spacing w:val="-32"/>
          <w:sz w:val="18"/>
        </w:rPr>
        <w:t> </w:t>
      </w:r>
      <w:r>
        <w:rPr>
          <w:sz w:val="18"/>
        </w:rPr>
        <w:t>located</w:t>
      </w:r>
      <w:r>
        <w:rPr>
          <w:spacing w:val="-32"/>
          <w:sz w:val="18"/>
        </w:rPr>
        <w:t> </w:t>
      </w:r>
      <w:r>
        <w:rPr>
          <w:sz w:val="18"/>
        </w:rPr>
        <w:t>in</w:t>
      </w:r>
      <w:r>
        <w:rPr>
          <w:spacing w:val="-32"/>
          <w:sz w:val="18"/>
        </w:rPr>
        <w:t> </w:t>
      </w:r>
      <w:r>
        <w:rPr>
          <w:sz w:val="18"/>
        </w:rPr>
        <w:t>proximity</w:t>
      </w:r>
      <w:r>
        <w:rPr>
          <w:spacing w:val="-32"/>
          <w:sz w:val="18"/>
        </w:rPr>
        <w:t> </w:t>
      </w:r>
      <w:r>
        <w:rPr>
          <w:sz w:val="18"/>
        </w:rPr>
        <w:t>to</w:t>
      </w:r>
      <w:r>
        <w:rPr>
          <w:spacing w:val="-32"/>
          <w:sz w:val="18"/>
        </w:rPr>
        <w:t> </w:t>
      </w:r>
      <w:r>
        <w:rPr>
          <w:sz w:val="18"/>
        </w:rPr>
        <w:t>locations</w:t>
      </w:r>
      <w:r>
        <w:rPr>
          <w:spacing w:val="-31"/>
          <w:sz w:val="18"/>
        </w:rPr>
        <w:t> </w:t>
      </w:r>
      <w:r>
        <w:rPr>
          <w:sz w:val="18"/>
        </w:rPr>
        <w:t>such</w:t>
      </w:r>
      <w:r>
        <w:rPr>
          <w:spacing w:val="-32"/>
          <w:sz w:val="18"/>
        </w:rPr>
        <w:t> </w:t>
      </w:r>
      <w:r>
        <w:rPr>
          <w:sz w:val="18"/>
        </w:rPr>
        <w:t>as</w:t>
      </w:r>
      <w:r>
        <w:rPr>
          <w:spacing w:val="-31"/>
          <w:sz w:val="18"/>
        </w:rPr>
        <w:t> </w:t>
      </w:r>
      <w:r>
        <w:rPr>
          <w:sz w:val="18"/>
        </w:rPr>
        <w:t>Indiranagar,</w:t>
      </w:r>
      <w:r>
        <w:rPr>
          <w:spacing w:val="-32"/>
          <w:sz w:val="18"/>
        </w:rPr>
        <w:t> </w:t>
      </w:r>
      <w:r>
        <w:rPr>
          <w:sz w:val="18"/>
        </w:rPr>
        <w:t>Koramangala</w:t>
      </w:r>
      <w:r>
        <w:rPr>
          <w:spacing w:val="-32"/>
          <w:sz w:val="18"/>
        </w:rPr>
        <w:t> </w:t>
      </w:r>
      <w:r>
        <w:rPr>
          <w:sz w:val="18"/>
        </w:rPr>
        <w:t>etc., which</w:t>
      </w:r>
      <w:r>
        <w:rPr>
          <w:spacing w:val="-31"/>
          <w:sz w:val="18"/>
        </w:rPr>
        <w:t> </w:t>
      </w:r>
      <w:r>
        <w:rPr>
          <w:sz w:val="18"/>
        </w:rPr>
        <w:t>are</w:t>
      </w:r>
      <w:r>
        <w:rPr>
          <w:spacing w:val="-32"/>
          <w:sz w:val="18"/>
        </w:rPr>
        <w:t> </w:t>
      </w:r>
      <w:r>
        <w:rPr>
          <w:sz w:val="18"/>
        </w:rPr>
        <w:t>considered</w:t>
      </w:r>
      <w:r>
        <w:rPr>
          <w:spacing w:val="-32"/>
          <w:sz w:val="18"/>
        </w:rPr>
        <w:t> </w:t>
      </w:r>
      <w:r>
        <w:rPr>
          <w:sz w:val="18"/>
        </w:rPr>
        <w:t>as</w:t>
      </w:r>
      <w:r>
        <w:rPr>
          <w:spacing w:val="-32"/>
          <w:sz w:val="18"/>
        </w:rPr>
        <w:t> </w:t>
      </w:r>
      <w:r>
        <w:rPr>
          <w:sz w:val="18"/>
        </w:rPr>
        <w:t>established</w:t>
      </w:r>
      <w:r>
        <w:rPr>
          <w:spacing w:val="-31"/>
          <w:sz w:val="18"/>
        </w:rPr>
        <w:t> </w:t>
      </w:r>
      <w:r>
        <w:rPr>
          <w:sz w:val="18"/>
        </w:rPr>
        <w:t>residential</w:t>
      </w:r>
      <w:r>
        <w:rPr>
          <w:spacing w:val="-30"/>
          <w:sz w:val="18"/>
        </w:rPr>
        <w:t> </w:t>
      </w:r>
      <w:r>
        <w:rPr>
          <w:sz w:val="18"/>
        </w:rPr>
        <w:t>and</w:t>
      </w:r>
      <w:r>
        <w:rPr>
          <w:spacing w:val="-31"/>
          <w:sz w:val="18"/>
        </w:rPr>
        <w:t> </w:t>
      </w:r>
      <w:r>
        <w:rPr>
          <w:sz w:val="18"/>
        </w:rPr>
        <w:t>commercial</w:t>
      </w:r>
      <w:r>
        <w:rPr>
          <w:spacing w:val="-32"/>
          <w:sz w:val="18"/>
        </w:rPr>
        <w:t> </w:t>
      </w:r>
      <w:r>
        <w:rPr>
          <w:sz w:val="18"/>
        </w:rPr>
        <w:t>locations</w:t>
      </w:r>
      <w:r>
        <w:rPr>
          <w:spacing w:val="-30"/>
          <w:sz w:val="18"/>
        </w:rPr>
        <w:t> </w:t>
      </w:r>
      <w:r>
        <w:rPr>
          <w:sz w:val="18"/>
        </w:rPr>
        <w:t>within</w:t>
      </w:r>
      <w:r>
        <w:rPr>
          <w:spacing w:val="-31"/>
          <w:sz w:val="18"/>
        </w:rPr>
        <w:t> </w:t>
      </w:r>
      <w:r>
        <w:rPr>
          <w:sz w:val="18"/>
        </w:rPr>
        <w:t>the</w:t>
      </w:r>
      <w:r>
        <w:rPr>
          <w:spacing w:val="-30"/>
          <w:sz w:val="18"/>
        </w:rPr>
        <w:t> </w:t>
      </w:r>
      <w:r>
        <w:rPr>
          <w:sz w:val="18"/>
        </w:rPr>
        <w:t>city.</w:t>
      </w:r>
      <w:r>
        <w:rPr>
          <w:spacing w:val="-32"/>
          <w:sz w:val="18"/>
        </w:rPr>
        <w:t> </w:t>
      </w:r>
      <w:r>
        <w:rPr>
          <w:sz w:val="18"/>
        </w:rPr>
        <w:t>In</w:t>
      </w:r>
      <w:r>
        <w:rPr>
          <w:spacing w:val="-30"/>
          <w:sz w:val="18"/>
        </w:rPr>
        <w:t> </w:t>
      </w:r>
      <w:r>
        <w:rPr>
          <w:sz w:val="18"/>
        </w:rPr>
        <w:t>addition</w:t>
      </w:r>
      <w:r>
        <w:rPr>
          <w:spacing w:val="-31"/>
          <w:sz w:val="18"/>
        </w:rPr>
        <w:t> </w:t>
      </w:r>
      <w:r>
        <w:rPr>
          <w:sz w:val="18"/>
        </w:rPr>
        <w:t>to</w:t>
      </w:r>
      <w:r>
        <w:rPr>
          <w:spacing w:val="-31"/>
          <w:sz w:val="18"/>
        </w:rPr>
        <w:t> </w:t>
      </w:r>
      <w:r>
        <w:rPr>
          <w:sz w:val="18"/>
        </w:rPr>
        <w:t>the subject property, the sub market also comprises of other hotels such as The Leela, The Paul, Ramada Encore,</w:t>
      </w:r>
      <w:r>
        <w:rPr>
          <w:spacing w:val="-3"/>
          <w:sz w:val="18"/>
        </w:rPr>
        <w:t> </w:t>
      </w:r>
      <w:r>
        <w:rPr>
          <w:sz w:val="18"/>
        </w:rPr>
        <w:t>etc.</w:t>
      </w:r>
    </w:p>
    <w:p>
      <w:pPr>
        <w:spacing w:line="321" w:lineRule="auto" w:before="124"/>
        <w:ind w:left="2637" w:right="480" w:firstLine="0"/>
        <w:jc w:val="both"/>
        <w:rPr>
          <w:sz w:val="18"/>
        </w:rPr>
      </w:pPr>
      <w:r>
        <w:rPr>
          <w:w w:val="105"/>
          <w:sz w:val="18"/>
        </w:rPr>
        <w:t>The</w:t>
      </w:r>
      <w:r>
        <w:rPr>
          <w:spacing w:val="-29"/>
          <w:w w:val="105"/>
          <w:sz w:val="18"/>
        </w:rPr>
        <w:t> </w:t>
      </w:r>
      <w:r>
        <w:rPr>
          <w:w w:val="105"/>
          <w:sz w:val="18"/>
        </w:rPr>
        <w:t>subject</w:t>
      </w:r>
      <w:r>
        <w:rPr>
          <w:spacing w:val="-30"/>
          <w:w w:val="105"/>
          <w:sz w:val="18"/>
        </w:rPr>
        <w:t> </w:t>
      </w:r>
      <w:r>
        <w:rPr>
          <w:w w:val="105"/>
          <w:sz w:val="18"/>
        </w:rPr>
        <w:t>property</w:t>
      </w:r>
      <w:r>
        <w:rPr>
          <w:spacing w:val="-29"/>
          <w:w w:val="105"/>
          <w:sz w:val="18"/>
        </w:rPr>
        <w:t> </w:t>
      </w:r>
      <w:r>
        <w:rPr>
          <w:w w:val="105"/>
          <w:sz w:val="18"/>
        </w:rPr>
        <w:t>is</w:t>
      </w:r>
      <w:r>
        <w:rPr>
          <w:spacing w:val="-29"/>
          <w:w w:val="105"/>
          <w:sz w:val="18"/>
        </w:rPr>
        <w:t> </w:t>
      </w:r>
      <w:r>
        <w:rPr>
          <w:w w:val="105"/>
          <w:sz w:val="18"/>
        </w:rPr>
        <w:t>located</w:t>
      </w:r>
      <w:r>
        <w:rPr>
          <w:spacing w:val="-31"/>
          <w:w w:val="105"/>
          <w:sz w:val="18"/>
        </w:rPr>
        <w:t> </w:t>
      </w:r>
      <w:r>
        <w:rPr>
          <w:w w:val="105"/>
          <w:sz w:val="18"/>
        </w:rPr>
        <w:t>at</w:t>
      </w:r>
      <w:r>
        <w:rPr>
          <w:spacing w:val="-30"/>
          <w:w w:val="105"/>
          <w:sz w:val="18"/>
        </w:rPr>
        <w:t> </w:t>
      </w:r>
      <w:r>
        <w:rPr>
          <w:w w:val="105"/>
          <w:sz w:val="18"/>
        </w:rPr>
        <w:t>a</w:t>
      </w:r>
      <w:r>
        <w:rPr>
          <w:spacing w:val="-29"/>
          <w:w w:val="105"/>
          <w:sz w:val="18"/>
        </w:rPr>
        <w:t> </w:t>
      </w:r>
      <w:r>
        <w:rPr>
          <w:w w:val="105"/>
          <w:sz w:val="18"/>
        </w:rPr>
        <w:t>distance</w:t>
      </w:r>
      <w:r>
        <w:rPr>
          <w:spacing w:val="-30"/>
          <w:w w:val="105"/>
          <w:sz w:val="18"/>
        </w:rPr>
        <w:t> </w:t>
      </w:r>
      <w:r>
        <w:rPr>
          <w:w w:val="105"/>
          <w:sz w:val="18"/>
        </w:rPr>
        <w:t>of</w:t>
      </w:r>
      <w:r>
        <w:rPr>
          <w:spacing w:val="-29"/>
          <w:w w:val="105"/>
          <w:sz w:val="18"/>
        </w:rPr>
        <w:t> </w:t>
      </w:r>
      <w:r>
        <w:rPr>
          <w:w w:val="105"/>
          <w:sz w:val="18"/>
        </w:rPr>
        <w:t>approximately</w:t>
      </w:r>
      <w:r>
        <w:rPr>
          <w:spacing w:val="-30"/>
          <w:w w:val="105"/>
          <w:sz w:val="18"/>
        </w:rPr>
        <w:t> </w:t>
      </w:r>
      <w:r>
        <w:rPr>
          <w:w w:val="105"/>
          <w:sz w:val="18"/>
        </w:rPr>
        <w:t>&lt;1</w:t>
      </w:r>
      <w:r>
        <w:rPr>
          <w:spacing w:val="-29"/>
          <w:w w:val="105"/>
          <w:sz w:val="18"/>
        </w:rPr>
        <w:t> </w:t>
      </w:r>
      <w:r>
        <w:rPr>
          <w:w w:val="105"/>
          <w:sz w:val="18"/>
        </w:rPr>
        <w:t>km</w:t>
      </w:r>
      <w:r>
        <w:rPr>
          <w:spacing w:val="-29"/>
          <w:w w:val="105"/>
          <w:sz w:val="18"/>
        </w:rPr>
        <w:t> </w:t>
      </w:r>
      <w:r>
        <w:rPr>
          <w:w w:val="105"/>
          <w:sz w:val="18"/>
        </w:rPr>
        <w:t>from</w:t>
      </w:r>
      <w:r>
        <w:rPr>
          <w:spacing w:val="-30"/>
          <w:w w:val="105"/>
          <w:sz w:val="18"/>
        </w:rPr>
        <w:t> </w:t>
      </w:r>
      <w:r>
        <w:rPr>
          <w:w w:val="105"/>
          <w:sz w:val="18"/>
        </w:rPr>
        <w:t>the</w:t>
      </w:r>
      <w:r>
        <w:rPr>
          <w:spacing w:val="-29"/>
          <w:w w:val="105"/>
          <w:sz w:val="18"/>
        </w:rPr>
        <w:t> </w:t>
      </w:r>
      <w:r>
        <w:rPr>
          <w:w w:val="105"/>
          <w:sz w:val="18"/>
        </w:rPr>
        <w:t>Domlur</w:t>
      </w:r>
      <w:r>
        <w:rPr>
          <w:spacing w:val="-30"/>
          <w:w w:val="105"/>
          <w:sz w:val="18"/>
        </w:rPr>
        <w:t> </w:t>
      </w:r>
      <w:r>
        <w:rPr>
          <w:w w:val="105"/>
          <w:sz w:val="18"/>
        </w:rPr>
        <w:t>flyover,</w:t>
      </w:r>
      <w:r>
        <w:rPr>
          <w:spacing w:val="-29"/>
          <w:w w:val="105"/>
          <w:sz w:val="18"/>
        </w:rPr>
        <w:t> </w:t>
      </w:r>
      <w:r>
        <w:rPr>
          <w:w w:val="105"/>
          <w:sz w:val="18"/>
        </w:rPr>
        <w:t>1</w:t>
      </w:r>
      <w:r>
        <w:rPr>
          <w:spacing w:val="-25"/>
          <w:w w:val="105"/>
          <w:sz w:val="18"/>
        </w:rPr>
        <w:t> </w:t>
      </w:r>
      <w:r>
        <w:rPr>
          <w:w w:val="105"/>
          <w:sz w:val="18"/>
        </w:rPr>
        <w:t>–</w:t>
      </w:r>
      <w:r>
        <w:rPr>
          <w:spacing w:val="-30"/>
          <w:w w:val="105"/>
          <w:sz w:val="18"/>
        </w:rPr>
        <w:t> </w:t>
      </w:r>
      <w:r>
        <w:rPr>
          <w:w w:val="105"/>
          <w:sz w:val="18"/>
        </w:rPr>
        <w:t>2</w:t>
      </w:r>
      <w:r>
        <w:rPr>
          <w:spacing w:val="-29"/>
          <w:w w:val="105"/>
          <w:sz w:val="18"/>
        </w:rPr>
        <w:t> </w:t>
      </w:r>
      <w:r>
        <w:rPr>
          <w:w w:val="105"/>
          <w:sz w:val="18"/>
        </w:rPr>
        <w:t>km from</w:t>
      </w:r>
      <w:r>
        <w:rPr>
          <w:spacing w:val="-28"/>
          <w:w w:val="105"/>
          <w:sz w:val="18"/>
        </w:rPr>
        <w:t> </w:t>
      </w:r>
      <w:r>
        <w:rPr>
          <w:w w:val="105"/>
          <w:sz w:val="18"/>
        </w:rPr>
        <w:t>Indiranagar,</w:t>
      </w:r>
      <w:r>
        <w:rPr>
          <w:spacing w:val="-28"/>
          <w:w w:val="105"/>
          <w:sz w:val="18"/>
        </w:rPr>
        <w:t> </w:t>
      </w:r>
      <w:r>
        <w:rPr>
          <w:w w:val="105"/>
          <w:sz w:val="18"/>
        </w:rPr>
        <w:t>2-3</w:t>
      </w:r>
      <w:r>
        <w:rPr>
          <w:spacing w:val="-28"/>
          <w:w w:val="105"/>
          <w:sz w:val="18"/>
        </w:rPr>
        <w:t> </w:t>
      </w:r>
      <w:r>
        <w:rPr>
          <w:w w:val="105"/>
          <w:sz w:val="18"/>
        </w:rPr>
        <w:t>km</w:t>
      </w:r>
      <w:r>
        <w:rPr>
          <w:spacing w:val="-29"/>
          <w:w w:val="105"/>
          <w:sz w:val="18"/>
        </w:rPr>
        <w:t> </w:t>
      </w:r>
      <w:r>
        <w:rPr>
          <w:w w:val="105"/>
          <w:sz w:val="18"/>
        </w:rPr>
        <w:t>from</w:t>
      </w:r>
      <w:r>
        <w:rPr>
          <w:spacing w:val="-29"/>
          <w:w w:val="105"/>
          <w:sz w:val="18"/>
        </w:rPr>
        <w:t> </w:t>
      </w:r>
      <w:r>
        <w:rPr>
          <w:w w:val="105"/>
          <w:sz w:val="18"/>
        </w:rPr>
        <w:t>Koramangala,</w:t>
      </w:r>
      <w:r>
        <w:rPr>
          <w:spacing w:val="-28"/>
          <w:w w:val="105"/>
          <w:sz w:val="18"/>
        </w:rPr>
        <w:t> </w:t>
      </w:r>
      <w:r>
        <w:rPr>
          <w:w w:val="105"/>
          <w:sz w:val="18"/>
        </w:rPr>
        <w:t>7-8</w:t>
      </w:r>
      <w:r>
        <w:rPr>
          <w:spacing w:val="-29"/>
          <w:w w:val="105"/>
          <w:sz w:val="18"/>
        </w:rPr>
        <w:t> </w:t>
      </w:r>
      <w:r>
        <w:rPr>
          <w:w w:val="105"/>
          <w:sz w:val="18"/>
        </w:rPr>
        <w:t>km</w:t>
      </w:r>
      <w:r>
        <w:rPr>
          <w:spacing w:val="-27"/>
          <w:w w:val="105"/>
          <w:sz w:val="18"/>
        </w:rPr>
        <w:t> </w:t>
      </w:r>
      <w:r>
        <w:rPr>
          <w:w w:val="105"/>
          <w:sz w:val="18"/>
        </w:rPr>
        <w:t>from</w:t>
      </w:r>
      <w:r>
        <w:rPr>
          <w:spacing w:val="-27"/>
          <w:w w:val="105"/>
          <w:sz w:val="18"/>
        </w:rPr>
        <w:t> </w:t>
      </w:r>
      <w:r>
        <w:rPr>
          <w:w w:val="105"/>
          <w:sz w:val="18"/>
        </w:rPr>
        <w:t>MG</w:t>
      </w:r>
      <w:r>
        <w:rPr>
          <w:spacing w:val="-28"/>
          <w:w w:val="105"/>
          <w:sz w:val="18"/>
        </w:rPr>
        <w:t> </w:t>
      </w:r>
      <w:r>
        <w:rPr>
          <w:w w:val="105"/>
          <w:sz w:val="18"/>
        </w:rPr>
        <w:t>Road</w:t>
      </w:r>
      <w:r>
        <w:rPr>
          <w:spacing w:val="-28"/>
          <w:w w:val="105"/>
          <w:sz w:val="18"/>
        </w:rPr>
        <w:t> </w:t>
      </w:r>
      <w:r>
        <w:rPr>
          <w:w w:val="105"/>
          <w:sz w:val="18"/>
        </w:rPr>
        <w:t>and</w:t>
      </w:r>
      <w:r>
        <w:rPr>
          <w:spacing w:val="-29"/>
          <w:w w:val="105"/>
          <w:sz w:val="18"/>
        </w:rPr>
        <w:t> </w:t>
      </w:r>
      <w:r>
        <w:rPr>
          <w:w w:val="105"/>
          <w:sz w:val="18"/>
        </w:rPr>
        <w:t>approximately</w:t>
      </w:r>
      <w:r>
        <w:rPr>
          <w:spacing w:val="-28"/>
          <w:w w:val="105"/>
          <w:sz w:val="18"/>
        </w:rPr>
        <w:t> </w:t>
      </w:r>
      <w:r>
        <w:rPr>
          <w:w w:val="105"/>
          <w:sz w:val="18"/>
        </w:rPr>
        <w:t>43</w:t>
      </w:r>
      <w:r>
        <w:rPr>
          <w:spacing w:val="-28"/>
          <w:w w:val="105"/>
          <w:sz w:val="18"/>
        </w:rPr>
        <w:t> </w:t>
      </w:r>
      <w:r>
        <w:rPr>
          <w:w w:val="105"/>
          <w:sz w:val="18"/>
        </w:rPr>
        <w:t>-</w:t>
      </w:r>
      <w:r>
        <w:rPr>
          <w:spacing w:val="-27"/>
          <w:w w:val="105"/>
          <w:sz w:val="18"/>
        </w:rPr>
        <w:t> </w:t>
      </w:r>
      <w:r>
        <w:rPr>
          <w:w w:val="105"/>
          <w:sz w:val="18"/>
        </w:rPr>
        <w:t>45</w:t>
      </w:r>
      <w:r>
        <w:rPr>
          <w:spacing w:val="-28"/>
          <w:w w:val="105"/>
          <w:sz w:val="18"/>
        </w:rPr>
        <w:t> </w:t>
      </w:r>
      <w:r>
        <w:rPr>
          <w:w w:val="105"/>
          <w:sz w:val="18"/>
        </w:rPr>
        <w:t>km</w:t>
      </w:r>
      <w:r>
        <w:rPr>
          <w:spacing w:val="-27"/>
          <w:w w:val="105"/>
          <w:sz w:val="18"/>
        </w:rPr>
        <w:t> </w:t>
      </w:r>
      <w:r>
        <w:rPr>
          <w:w w:val="105"/>
          <w:sz w:val="18"/>
        </w:rPr>
        <w:t>from Bengaluru International</w:t>
      </w:r>
      <w:r>
        <w:rPr>
          <w:spacing w:val="-14"/>
          <w:w w:val="105"/>
          <w:sz w:val="18"/>
        </w:rPr>
        <w:t> </w:t>
      </w:r>
      <w:r>
        <w:rPr>
          <w:w w:val="105"/>
          <w:sz w:val="18"/>
        </w:rPr>
        <w:t>Airport.</w:t>
      </w:r>
    </w:p>
    <w:p>
      <w:pPr>
        <w:pStyle w:val="BodyText"/>
        <w:spacing w:before="6"/>
        <w:rPr>
          <w:sz w:val="21"/>
        </w:rPr>
      </w:pPr>
    </w:p>
    <w:p>
      <w:pPr>
        <w:spacing w:line="321" w:lineRule="auto" w:before="0"/>
        <w:ind w:left="2637" w:right="485" w:hanging="2245"/>
        <w:jc w:val="both"/>
        <w:rPr>
          <w:sz w:val="18"/>
        </w:rPr>
      </w:pPr>
      <w:r>
        <w:rPr/>
        <w:pict>
          <v:group style="position:absolute;margin-left:153.139999pt;margin-top:47.930679pt;width:432.85pt;height:13pt;mso-position-horizontal-relative:page;mso-position-vertical-relative:paragraph;z-index:-15589888;mso-wrap-distance-left:0;mso-wrap-distance-right:0" coordorigin="3063,959" coordsize="8657,260">
            <v:shape style="position:absolute;left:3077;top:987;width:8642;height:216" coordorigin="3077,987" coordsize="8642,216" path="m11719,987l6301,987,3077,987,3077,1203,6301,1203,11719,1203,11719,987xe" filled="true" fillcolor="#006a4d" stroked="false">
              <v:path arrowok="t"/>
              <v:fill type="solid"/>
            </v:shape>
            <v:rect style="position:absolute;left:3077;top:958;width:3225;height:29" filled="true" fillcolor="#1f6b16" stroked="false">
              <v:fill type="solid"/>
            </v:rect>
            <v:shape style="position:absolute;left:3077;top:987;width:3253;height:3" coordorigin="3077,987" coordsize="3253,3" path="m6330,987l6301,987,3077,987,3077,990,6301,990,6330,990,6330,987xe" filled="true" fillcolor="#006a4d" stroked="false">
              <v:path arrowok="t"/>
              <v:fill type="solid"/>
            </v:shape>
            <v:shape style="position:absolute;left:6301;top:958;width:5418;height:29" coordorigin="6301,959" coordsize="5418,29" path="m11719,959l6330,959,6301,959,6301,987,6330,987,11719,987,11719,959xe" filled="true" fillcolor="#1f6b16" stroked="false">
              <v:path arrowok="t"/>
              <v:fill type="solid"/>
            </v:shape>
            <v:rect style="position:absolute;left:6330;top:987;width:5389;height:3" filled="true" fillcolor="#006a4d" stroked="false">
              <v:fill type="solid"/>
            </v:rect>
            <v:shape style="position:absolute;left:3077;top:1203;width:8642;height:15" coordorigin="3077,1203" coordsize="8642,15" path="m11719,1203l6316,1203,6301,1203,3077,1203,3077,1218,6301,1218,6316,1218,11719,1218,11719,1203xe" filled="true" fillcolor="#69bd28" stroked="false">
              <v:path arrowok="t"/>
              <v:fill type="solid"/>
            </v:shape>
            <v:shape style="position:absolute;left:3062;top:987;width:8657;height:216" type="#_x0000_t202" filled="false" stroked="false">
              <v:textbox inset="0,0,0,0">
                <w:txbxContent>
                  <w:p>
                    <w:pPr>
                      <w:tabs>
                        <w:tab w:pos="5276" w:val="left" w:leader="none"/>
                      </w:tabs>
                      <w:spacing w:before="3"/>
                      <w:ind w:left="1193" w:right="0" w:firstLine="0"/>
                      <w:jc w:val="left"/>
                      <w:rPr>
                        <w:b/>
                        <w:sz w:val="18"/>
                      </w:rPr>
                    </w:pPr>
                    <w:r>
                      <w:rPr>
                        <w:b/>
                        <w:color w:val="FFFFFF"/>
                        <w:w w:val="110"/>
                        <w:sz w:val="18"/>
                      </w:rPr>
                      <w:t>Block</w:t>
                      <w:tab/>
                      <w:t>No of</w:t>
                    </w:r>
                    <w:r>
                      <w:rPr>
                        <w:b/>
                        <w:color w:val="FFFFFF"/>
                        <w:spacing w:val="-5"/>
                        <w:w w:val="110"/>
                        <w:sz w:val="18"/>
                      </w:rPr>
                      <w:t> </w:t>
                    </w:r>
                    <w:r>
                      <w:rPr>
                        <w:b/>
                        <w:color w:val="FFFFFF"/>
                        <w:w w:val="110"/>
                        <w:sz w:val="18"/>
                      </w:rPr>
                      <w:t>keys</w:t>
                    </w:r>
                  </w:p>
                </w:txbxContent>
              </v:textbox>
              <w10:wrap type="none"/>
            </v:shape>
            <w10:wrap type="topAndBottom"/>
          </v:group>
        </w:pict>
      </w:r>
      <w:r>
        <w:rPr>
          <w:color w:val="006A4D"/>
          <w:sz w:val="18"/>
        </w:rPr>
        <w:t>Statement of Assets (sf): </w:t>
      </w:r>
      <w:r>
        <w:rPr>
          <w:sz w:val="18"/>
        </w:rPr>
        <w:t>Based on physical verification of various documents, we understand that the subject property is an operational hospitality development. Table below highlights the total operational area of the subject development:</w:t>
      </w:r>
    </w:p>
    <w:p>
      <w:pPr>
        <w:spacing w:line="186" w:lineRule="exact" w:before="0"/>
        <w:ind w:left="8029" w:right="0" w:firstLine="0"/>
        <w:jc w:val="left"/>
        <w:rPr>
          <w:sz w:val="18"/>
        </w:rPr>
      </w:pPr>
      <w:r>
        <w:rPr>
          <w:w w:val="105"/>
          <w:sz w:val="18"/>
        </w:rPr>
        <w:t>247 keys</w:t>
      </w:r>
    </w:p>
    <w:p>
      <w:pPr>
        <w:tabs>
          <w:tab w:pos="7196" w:val="left" w:leader="none"/>
          <w:tab w:pos="11279" w:val="left" w:leader="none"/>
        </w:tabs>
        <w:spacing w:line="405" w:lineRule="auto" w:before="4"/>
        <w:ind w:left="2637" w:right="107" w:hanging="15"/>
        <w:jc w:val="left"/>
        <w:rPr>
          <w:sz w:val="18"/>
        </w:rPr>
      </w:pPr>
      <w:r>
        <w:rPr/>
        <w:pict>
          <v:shape style="position:absolute;margin-left:188.690002pt;margin-top:-5.295343pt;width:72.650pt;height:10.8pt;mso-position-horizontal-relative:page;mso-position-vertical-relative:paragraph;z-index:-34757120" type="#_x0000_t202" filled="false" stroked="false">
            <v:textbox inset="0,0,0,0">
              <w:txbxContent>
                <w:p>
                  <w:pPr>
                    <w:spacing w:before="4"/>
                    <w:ind w:left="0" w:right="0" w:firstLine="0"/>
                    <w:jc w:val="left"/>
                    <w:rPr>
                      <w:sz w:val="18"/>
                    </w:rPr>
                  </w:pPr>
                  <w:r>
                    <w:rPr>
                      <w:sz w:val="18"/>
                    </w:rPr>
                    <w:t>Hilton</w:t>
                  </w:r>
                  <w:r>
                    <w:rPr>
                      <w:spacing w:val="-29"/>
                      <w:sz w:val="18"/>
                    </w:rPr>
                    <w:t> </w:t>
                  </w:r>
                  <w:r>
                    <w:rPr>
                      <w:sz w:val="18"/>
                    </w:rPr>
                    <w:t>at</w:t>
                  </w:r>
                  <w:r>
                    <w:rPr>
                      <w:spacing w:val="-29"/>
                      <w:sz w:val="18"/>
                    </w:rPr>
                    <w:t> </w:t>
                  </w:r>
                  <w:r>
                    <w:rPr>
                      <w:sz w:val="18"/>
                    </w:rPr>
                    <w:t>GolfLinks</w:t>
                  </w:r>
                </w:p>
              </w:txbxContent>
            </v:textbox>
            <w10:wrap type="none"/>
          </v:shape>
        </w:pict>
      </w:r>
      <w:r>
        <w:rPr>
          <w:w w:val="97"/>
          <w:sz w:val="18"/>
          <w:u w:val="single" w:color="69BD28"/>
        </w:rPr>
        <w:t> </w:t>
      </w:r>
      <w:r>
        <w:rPr>
          <w:sz w:val="18"/>
          <w:u w:val="single" w:color="69BD28"/>
        </w:rPr>
        <w:tab/>
        <w:t>(developed area -</w:t>
      </w:r>
      <w:r>
        <w:rPr>
          <w:spacing w:val="-15"/>
          <w:sz w:val="18"/>
          <w:u w:val="single" w:color="69BD28"/>
        </w:rPr>
        <w:t> </w:t>
      </w:r>
      <w:r>
        <w:rPr>
          <w:sz w:val="18"/>
          <w:u w:val="single" w:color="69BD28"/>
        </w:rPr>
        <w:t>448,156</w:t>
      </w:r>
      <w:r>
        <w:rPr>
          <w:spacing w:val="-5"/>
          <w:sz w:val="18"/>
          <w:u w:val="single" w:color="69BD28"/>
        </w:rPr>
        <w:t> </w:t>
      </w:r>
      <w:r>
        <w:rPr>
          <w:sz w:val="18"/>
          <w:u w:val="single" w:color="69BD28"/>
        </w:rPr>
        <w:t>sf)</w:t>
        <w:tab/>
      </w:r>
      <w:r>
        <w:rPr>
          <w:sz w:val="18"/>
        </w:rPr>
        <w:t> Source: Architect certificate provided by the</w:t>
      </w:r>
      <w:r>
        <w:rPr>
          <w:spacing w:val="-31"/>
          <w:sz w:val="18"/>
        </w:rPr>
        <w:t> </w:t>
      </w:r>
      <w:r>
        <w:rPr>
          <w:sz w:val="18"/>
        </w:rPr>
        <w:t>Client;</w:t>
      </w:r>
    </w:p>
    <w:p>
      <w:pPr>
        <w:spacing w:before="177"/>
        <w:ind w:left="392" w:right="0" w:firstLine="0"/>
        <w:jc w:val="left"/>
        <w:rPr>
          <w:sz w:val="18"/>
        </w:rPr>
      </w:pPr>
      <w:r>
        <w:rPr/>
        <w:pict>
          <v:group style="position:absolute;margin-left:153.860001pt;margin-top:2.660699pt;width:432.1pt;height:47.1pt;mso-position-horizontal-relative:page;mso-position-vertical-relative:paragraph;z-index:15870464" coordorigin="3077,53" coordsize="8642,942">
            <v:shape style="position:absolute;left:3077;top:67;width:8642;height:456" coordorigin="3077,68" coordsize="8642,456" path="m11719,68l6654,68,3077,68,3077,524,6654,524,11719,524,11719,68xe" filled="true" fillcolor="#006a4d" stroked="false">
              <v:path arrowok="t"/>
              <v:fill type="solid"/>
            </v:shape>
            <v:shape style="position:absolute;left:3077;top:53;width:8642;height:485" coordorigin="3077,53" coordsize="8642,485" path="m11719,524l6669,524,6654,524,3077,524,3077,538,6654,538,6669,538,11719,538,11719,524xm11719,53l6669,53,6654,53,3077,53,3077,68,6654,68,6669,68,11719,68,11719,53xe" filled="true" fillcolor="#69bd28" stroked="false">
              <v:path arrowok="t"/>
              <v:fill type="solid"/>
            </v:shape>
            <v:shape style="position:absolute;left:6654;top:538;width:5065;height:457" type="#_x0000_t202" filled="false" stroked="false">
              <v:textbox inset="0,0,0,0">
                <w:txbxContent>
                  <w:p>
                    <w:pPr>
                      <w:spacing w:before="124"/>
                      <w:ind w:left="1334" w:right="0" w:firstLine="0"/>
                      <w:jc w:val="left"/>
                      <w:rPr>
                        <w:sz w:val="18"/>
                      </w:rPr>
                    </w:pPr>
                    <w:r>
                      <w:rPr>
                        <w:sz w:val="18"/>
                      </w:rPr>
                      <w:t>Discounted Cash Flow Method</w:t>
                    </w:r>
                  </w:p>
                </w:txbxContent>
              </v:textbox>
              <w10:wrap type="none"/>
            </v:shape>
            <v:shape style="position:absolute;left:3077;top:538;width:3577;height:457" type="#_x0000_t202" filled="true" fillcolor="#69bd28" stroked="false">
              <v:textbox inset="0,0,0,0">
                <w:txbxContent>
                  <w:p>
                    <w:pPr>
                      <w:spacing w:before="124"/>
                      <w:ind w:left="955" w:right="0" w:firstLine="0"/>
                      <w:jc w:val="left"/>
                      <w:rPr>
                        <w:b/>
                        <w:sz w:val="18"/>
                      </w:rPr>
                    </w:pPr>
                    <w:r>
                      <w:rPr>
                        <w:b/>
                        <w:color w:val="FFFFFF"/>
                        <w:w w:val="105"/>
                        <w:sz w:val="18"/>
                      </w:rPr>
                      <w:t>Hotel Components</w:t>
                    </w:r>
                  </w:p>
                </w:txbxContent>
              </v:textbox>
              <v:fill type="solid"/>
              <w10:wrap type="none"/>
            </v:shape>
            <v:shape style="position:absolute;left:8382;top:187;width:1629;height:216" type="#_x0000_t202" filled="false" stroked="false">
              <v:textbox inset="0,0,0,0">
                <w:txbxContent>
                  <w:p>
                    <w:pPr>
                      <w:spacing w:before="4"/>
                      <w:ind w:left="0" w:right="0" w:firstLine="0"/>
                      <w:jc w:val="left"/>
                      <w:rPr>
                        <w:b/>
                        <w:sz w:val="18"/>
                      </w:rPr>
                    </w:pPr>
                    <w:r>
                      <w:rPr>
                        <w:b/>
                        <w:color w:val="FFFFFF"/>
                        <w:w w:val="110"/>
                        <w:sz w:val="18"/>
                      </w:rPr>
                      <w:t>Completed</w:t>
                    </w:r>
                    <w:r>
                      <w:rPr>
                        <w:b/>
                        <w:color w:val="FFFFFF"/>
                        <w:spacing w:val="-28"/>
                        <w:w w:val="110"/>
                        <w:sz w:val="18"/>
                      </w:rPr>
                      <w:t> </w:t>
                    </w:r>
                    <w:r>
                      <w:rPr>
                        <w:b/>
                        <w:color w:val="FFFFFF"/>
                        <w:w w:val="110"/>
                        <w:sz w:val="18"/>
                      </w:rPr>
                      <w:t>Blocks</w:t>
                    </w:r>
                  </w:p>
                </w:txbxContent>
              </v:textbox>
              <w10:wrap type="none"/>
            </v:shape>
            <v:shape style="position:absolute;left:3953;top:187;width:1843;height:216" type="#_x0000_t202" filled="false" stroked="false">
              <v:textbox inset="0,0,0,0">
                <w:txbxContent>
                  <w:p>
                    <w:pPr>
                      <w:spacing w:before="4"/>
                      <w:ind w:left="0" w:right="0" w:firstLine="0"/>
                      <w:jc w:val="left"/>
                      <w:rPr>
                        <w:b/>
                        <w:sz w:val="18"/>
                      </w:rPr>
                    </w:pPr>
                    <w:r>
                      <w:rPr>
                        <w:b/>
                        <w:color w:val="FFFFFF"/>
                        <w:w w:val="110"/>
                        <w:sz w:val="18"/>
                      </w:rPr>
                      <w:t>Valuation Approach</w:t>
                    </w:r>
                  </w:p>
                </w:txbxContent>
              </v:textbox>
              <w10:wrap type="none"/>
            </v:shape>
            <w10:wrap type="none"/>
          </v:group>
        </w:pict>
      </w:r>
      <w:r>
        <w:rPr>
          <w:color w:val="006A4D"/>
          <w:sz w:val="18"/>
        </w:rPr>
        <w:t>Valuation Approaches:</w:t>
      </w:r>
    </w:p>
    <w:p>
      <w:pPr>
        <w:pStyle w:val="BodyText"/>
        <w:rPr>
          <w:sz w:val="20"/>
        </w:rPr>
      </w:pPr>
    </w:p>
    <w:p>
      <w:pPr>
        <w:pStyle w:val="BodyText"/>
        <w:spacing w:before="1"/>
        <w:rPr>
          <w:sz w:val="29"/>
        </w:rPr>
      </w:pPr>
      <w:r>
        <w:rPr/>
        <w:pict>
          <v:shape style="position:absolute;margin-left:153.140015pt;margin-top:18.838305pt;width:432.85pt;height:.75pt;mso-position-horizontal-relative:page;mso-position-vertical-relative:paragraph;z-index:-15589376;mso-wrap-distance-left:0;mso-wrap-distance-right:0" coordorigin="3063,377" coordsize="8657,15" path="m11719,377l6654,377,6640,377,3063,377,3063,391,6640,391,6654,391,11719,391,11719,377xe" filled="true" fillcolor="#69bd28" stroked="false">
            <v:path arrowok="t"/>
            <v:fill type="solid"/>
            <w10:wrap type="topAndBottom"/>
          </v:shape>
        </w:pict>
      </w:r>
    </w:p>
    <w:p>
      <w:pPr>
        <w:tabs>
          <w:tab w:pos="2637" w:val="left" w:leader="none"/>
        </w:tabs>
        <w:spacing w:before="106"/>
        <w:ind w:left="392" w:right="0" w:firstLine="0"/>
        <w:jc w:val="left"/>
        <w:rPr>
          <w:sz w:val="18"/>
        </w:rPr>
      </w:pPr>
      <w:r>
        <w:rPr>
          <w:color w:val="006A4D"/>
          <w:sz w:val="18"/>
        </w:rPr>
        <w:t>Date</w:t>
      </w:r>
      <w:r>
        <w:rPr>
          <w:color w:val="006A4D"/>
          <w:spacing w:val="-14"/>
          <w:sz w:val="18"/>
        </w:rPr>
        <w:t> </w:t>
      </w:r>
      <w:r>
        <w:rPr>
          <w:color w:val="006A4D"/>
          <w:sz w:val="18"/>
        </w:rPr>
        <w:t>of</w:t>
      </w:r>
      <w:r>
        <w:rPr>
          <w:color w:val="006A4D"/>
          <w:spacing w:val="-13"/>
          <w:sz w:val="18"/>
        </w:rPr>
        <w:t> </w:t>
      </w:r>
      <w:r>
        <w:rPr>
          <w:color w:val="006A4D"/>
          <w:sz w:val="18"/>
        </w:rPr>
        <w:t>Valuation:</w:t>
        <w:tab/>
      </w:r>
      <w:r>
        <w:rPr>
          <w:sz w:val="18"/>
        </w:rPr>
        <w:t>March 31,</w:t>
      </w:r>
      <w:r>
        <w:rPr>
          <w:spacing w:val="-1"/>
          <w:sz w:val="18"/>
        </w:rPr>
        <w:t> </w:t>
      </w:r>
      <w:r>
        <w:rPr>
          <w:sz w:val="18"/>
        </w:rPr>
        <w:t>2020</w:t>
      </w:r>
    </w:p>
    <w:p>
      <w:pPr>
        <w:pStyle w:val="BodyText"/>
        <w:spacing w:before="8"/>
        <w:rPr>
          <w:sz w:val="27"/>
        </w:rPr>
      </w:pPr>
    </w:p>
    <w:p>
      <w:pPr>
        <w:tabs>
          <w:tab w:pos="2637" w:val="left" w:leader="none"/>
        </w:tabs>
        <w:spacing w:line="321" w:lineRule="auto" w:before="0"/>
        <w:ind w:left="2637" w:right="485" w:hanging="2245"/>
        <w:jc w:val="both"/>
        <w:rPr>
          <w:sz w:val="18"/>
        </w:rPr>
      </w:pPr>
      <w:r>
        <w:rPr>
          <w:color w:val="006A4D"/>
          <w:sz w:val="18"/>
        </w:rPr>
        <w:t>Date</w:t>
      </w:r>
      <w:r>
        <w:rPr>
          <w:color w:val="006A4D"/>
          <w:spacing w:val="-18"/>
          <w:sz w:val="18"/>
        </w:rPr>
        <w:t> </w:t>
      </w:r>
      <w:r>
        <w:rPr>
          <w:color w:val="006A4D"/>
          <w:sz w:val="18"/>
        </w:rPr>
        <w:t>of</w:t>
      </w:r>
      <w:r>
        <w:rPr>
          <w:color w:val="006A4D"/>
          <w:spacing w:val="-18"/>
          <w:sz w:val="18"/>
        </w:rPr>
        <w:t> </w:t>
      </w:r>
      <w:r>
        <w:rPr>
          <w:color w:val="006A4D"/>
          <w:sz w:val="18"/>
        </w:rPr>
        <w:t>Inspection:</w:t>
        <w:tab/>
      </w:r>
      <w:r>
        <w:rPr>
          <w:sz w:val="18"/>
        </w:rPr>
        <w:t>Not Applicable. Due to the outbreak of Novel Coronavirus (COVID-19), declared by the World health Organisation</w:t>
      </w:r>
      <w:r>
        <w:rPr>
          <w:spacing w:val="-5"/>
          <w:sz w:val="18"/>
        </w:rPr>
        <w:t> </w:t>
      </w:r>
      <w:r>
        <w:rPr>
          <w:sz w:val="18"/>
        </w:rPr>
        <w:t>as</w:t>
      </w:r>
      <w:r>
        <w:rPr>
          <w:spacing w:val="-4"/>
          <w:sz w:val="18"/>
        </w:rPr>
        <w:t> </w:t>
      </w:r>
      <w:r>
        <w:rPr>
          <w:sz w:val="18"/>
        </w:rPr>
        <w:t>a</w:t>
      </w:r>
      <w:r>
        <w:rPr>
          <w:spacing w:val="-6"/>
          <w:sz w:val="18"/>
        </w:rPr>
        <w:t> </w:t>
      </w:r>
      <w:r>
        <w:rPr>
          <w:sz w:val="18"/>
        </w:rPr>
        <w:t>“Global</w:t>
      </w:r>
      <w:r>
        <w:rPr>
          <w:spacing w:val="-3"/>
          <w:sz w:val="18"/>
        </w:rPr>
        <w:t> </w:t>
      </w:r>
      <w:r>
        <w:rPr>
          <w:sz w:val="18"/>
        </w:rPr>
        <w:t>Pandemic”</w:t>
      </w:r>
      <w:r>
        <w:rPr>
          <w:spacing w:val="-7"/>
          <w:sz w:val="18"/>
        </w:rPr>
        <w:t> </w:t>
      </w:r>
      <w:r>
        <w:rPr>
          <w:sz w:val="18"/>
        </w:rPr>
        <w:t>on</w:t>
      </w:r>
      <w:r>
        <w:rPr>
          <w:spacing w:val="-5"/>
          <w:sz w:val="18"/>
        </w:rPr>
        <w:t> </w:t>
      </w:r>
      <w:r>
        <w:rPr>
          <w:sz w:val="18"/>
        </w:rPr>
        <w:t>11</w:t>
      </w:r>
      <w:r>
        <w:rPr>
          <w:position w:val="6"/>
          <w:sz w:val="11"/>
        </w:rPr>
        <w:t>th</w:t>
      </w:r>
      <w:r>
        <w:rPr>
          <w:spacing w:val="17"/>
          <w:position w:val="6"/>
          <w:sz w:val="11"/>
        </w:rPr>
        <w:t> </w:t>
      </w:r>
      <w:r>
        <w:rPr>
          <w:sz w:val="18"/>
        </w:rPr>
        <w:t>March</w:t>
      </w:r>
      <w:r>
        <w:rPr>
          <w:spacing w:val="-5"/>
          <w:sz w:val="18"/>
        </w:rPr>
        <w:t> </w:t>
      </w:r>
      <w:r>
        <w:rPr>
          <w:sz w:val="18"/>
        </w:rPr>
        <w:t>2020,</w:t>
      </w:r>
      <w:r>
        <w:rPr>
          <w:spacing w:val="-6"/>
          <w:sz w:val="18"/>
        </w:rPr>
        <w:t> </w:t>
      </w:r>
      <w:r>
        <w:rPr>
          <w:sz w:val="18"/>
        </w:rPr>
        <w:t>it</w:t>
      </w:r>
      <w:r>
        <w:rPr>
          <w:spacing w:val="-4"/>
          <w:sz w:val="18"/>
        </w:rPr>
        <w:t> </w:t>
      </w:r>
      <w:r>
        <w:rPr>
          <w:sz w:val="18"/>
        </w:rPr>
        <w:t>has</w:t>
      </w:r>
      <w:r>
        <w:rPr>
          <w:spacing w:val="-5"/>
          <w:sz w:val="18"/>
        </w:rPr>
        <w:t> </w:t>
      </w:r>
      <w:r>
        <w:rPr>
          <w:sz w:val="18"/>
        </w:rPr>
        <w:t>not</w:t>
      </w:r>
      <w:r>
        <w:rPr>
          <w:spacing w:val="-7"/>
          <w:sz w:val="18"/>
        </w:rPr>
        <w:t> </w:t>
      </w:r>
      <w:r>
        <w:rPr>
          <w:sz w:val="18"/>
        </w:rPr>
        <w:t>been</w:t>
      </w:r>
      <w:r>
        <w:rPr>
          <w:spacing w:val="-4"/>
          <w:sz w:val="18"/>
        </w:rPr>
        <w:t> </w:t>
      </w:r>
      <w:r>
        <w:rPr>
          <w:sz w:val="18"/>
        </w:rPr>
        <w:t>possible</w:t>
      </w:r>
      <w:r>
        <w:rPr>
          <w:spacing w:val="-5"/>
          <w:sz w:val="18"/>
        </w:rPr>
        <w:t> </w:t>
      </w:r>
      <w:r>
        <w:rPr>
          <w:sz w:val="18"/>
        </w:rPr>
        <w:t>to</w:t>
      </w:r>
      <w:r>
        <w:rPr>
          <w:spacing w:val="-5"/>
          <w:sz w:val="18"/>
        </w:rPr>
        <w:t> </w:t>
      </w:r>
      <w:r>
        <w:rPr>
          <w:sz w:val="18"/>
        </w:rPr>
        <w:t>carry</w:t>
      </w:r>
      <w:r>
        <w:rPr>
          <w:spacing w:val="-5"/>
          <w:sz w:val="18"/>
        </w:rPr>
        <w:t> </w:t>
      </w:r>
      <w:r>
        <w:rPr>
          <w:sz w:val="18"/>
        </w:rPr>
        <w:t>out</w:t>
      </w:r>
      <w:r>
        <w:rPr>
          <w:spacing w:val="-6"/>
          <w:sz w:val="18"/>
        </w:rPr>
        <w:t> </w:t>
      </w:r>
      <w:r>
        <w:rPr>
          <w:sz w:val="18"/>
        </w:rPr>
        <w:t>a</w:t>
      </w:r>
      <w:r>
        <w:rPr>
          <w:spacing w:val="-6"/>
          <w:sz w:val="18"/>
        </w:rPr>
        <w:t> </w:t>
      </w:r>
      <w:r>
        <w:rPr>
          <w:sz w:val="18"/>
        </w:rPr>
        <w:t>formal inspection</w:t>
      </w:r>
      <w:r>
        <w:rPr>
          <w:spacing w:val="-26"/>
          <w:sz w:val="18"/>
        </w:rPr>
        <w:t> </w:t>
      </w:r>
      <w:r>
        <w:rPr>
          <w:sz w:val="18"/>
        </w:rPr>
        <w:t>of</w:t>
      </w:r>
      <w:r>
        <w:rPr>
          <w:spacing w:val="-24"/>
          <w:sz w:val="18"/>
        </w:rPr>
        <w:t> </w:t>
      </w:r>
      <w:r>
        <w:rPr>
          <w:sz w:val="18"/>
        </w:rPr>
        <w:t>the</w:t>
      </w:r>
      <w:r>
        <w:rPr>
          <w:spacing w:val="-24"/>
          <w:sz w:val="18"/>
        </w:rPr>
        <w:t> </w:t>
      </w:r>
      <w:r>
        <w:rPr>
          <w:sz w:val="18"/>
        </w:rPr>
        <w:t>property</w:t>
      </w:r>
      <w:r>
        <w:rPr>
          <w:spacing w:val="-23"/>
          <w:sz w:val="18"/>
        </w:rPr>
        <w:t> </w:t>
      </w:r>
      <w:r>
        <w:rPr>
          <w:sz w:val="18"/>
        </w:rPr>
        <w:t>for</w:t>
      </w:r>
      <w:r>
        <w:rPr>
          <w:spacing w:val="-25"/>
          <w:sz w:val="18"/>
        </w:rPr>
        <w:t> </w:t>
      </w:r>
      <w:r>
        <w:rPr>
          <w:sz w:val="18"/>
        </w:rPr>
        <w:t>the</w:t>
      </w:r>
      <w:r>
        <w:rPr>
          <w:spacing w:val="-23"/>
          <w:sz w:val="18"/>
        </w:rPr>
        <w:t> </w:t>
      </w:r>
      <w:r>
        <w:rPr>
          <w:sz w:val="18"/>
        </w:rPr>
        <w:t>current</w:t>
      </w:r>
      <w:r>
        <w:rPr>
          <w:spacing w:val="-25"/>
          <w:sz w:val="18"/>
        </w:rPr>
        <w:t> </w:t>
      </w:r>
      <w:r>
        <w:rPr>
          <w:sz w:val="18"/>
        </w:rPr>
        <w:t>update.</w:t>
      </w:r>
      <w:r>
        <w:rPr>
          <w:spacing w:val="-23"/>
          <w:sz w:val="18"/>
        </w:rPr>
        <w:t> </w:t>
      </w:r>
      <w:r>
        <w:rPr>
          <w:sz w:val="18"/>
        </w:rPr>
        <w:t>The</w:t>
      </w:r>
      <w:r>
        <w:rPr>
          <w:spacing w:val="-25"/>
          <w:sz w:val="18"/>
        </w:rPr>
        <w:t> </w:t>
      </w:r>
      <w:r>
        <w:rPr>
          <w:sz w:val="18"/>
        </w:rPr>
        <w:t>site</w:t>
      </w:r>
      <w:r>
        <w:rPr>
          <w:spacing w:val="-24"/>
          <w:sz w:val="18"/>
        </w:rPr>
        <w:t> </w:t>
      </w:r>
      <w:r>
        <w:rPr>
          <w:sz w:val="18"/>
        </w:rPr>
        <w:t>observation,</w:t>
      </w:r>
      <w:r>
        <w:rPr>
          <w:spacing w:val="-25"/>
          <w:sz w:val="18"/>
        </w:rPr>
        <w:t> </w:t>
      </w:r>
      <w:r>
        <w:rPr>
          <w:sz w:val="18"/>
        </w:rPr>
        <w:t>details</w:t>
      </w:r>
      <w:r>
        <w:rPr>
          <w:spacing w:val="-24"/>
          <w:sz w:val="18"/>
        </w:rPr>
        <w:t> </w:t>
      </w:r>
      <w:r>
        <w:rPr>
          <w:sz w:val="18"/>
        </w:rPr>
        <w:t>and</w:t>
      </w:r>
      <w:r>
        <w:rPr>
          <w:spacing w:val="-24"/>
          <w:sz w:val="18"/>
        </w:rPr>
        <w:t> </w:t>
      </w:r>
      <w:r>
        <w:rPr>
          <w:sz w:val="18"/>
        </w:rPr>
        <w:t>pictures</w:t>
      </w:r>
      <w:r>
        <w:rPr>
          <w:spacing w:val="-24"/>
          <w:sz w:val="18"/>
        </w:rPr>
        <w:t> </w:t>
      </w:r>
      <w:r>
        <w:rPr>
          <w:sz w:val="18"/>
        </w:rPr>
        <w:t>are</w:t>
      </w:r>
      <w:r>
        <w:rPr>
          <w:spacing w:val="-23"/>
          <w:sz w:val="18"/>
        </w:rPr>
        <w:t> </w:t>
      </w:r>
      <w:r>
        <w:rPr>
          <w:sz w:val="18"/>
        </w:rPr>
        <w:t>as</w:t>
      </w:r>
      <w:r>
        <w:rPr>
          <w:spacing w:val="-24"/>
          <w:sz w:val="18"/>
        </w:rPr>
        <w:t> </w:t>
      </w:r>
      <w:r>
        <w:rPr>
          <w:sz w:val="18"/>
        </w:rPr>
        <w:t>per</w:t>
      </w:r>
      <w:r>
        <w:rPr>
          <w:spacing w:val="-25"/>
          <w:sz w:val="18"/>
        </w:rPr>
        <w:t> </w:t>
      </w:r>
      <w:r>
        <w:rPr>
          <w:sz w:val="18"/>
        </w:rPr>
        <w:t>the previous site visit undertaken/</w:t>
      </w:r>
      <w:r>
        <w:rPr>
          <w:spacing w:val="-40"/>
          <w:sz w:val="18"/>
        </w:rPr>
        <w:t> </w:t>
      </w:r>
      <w:r>
        <w:rPr>
          <w:sz w:val="18"/>
        </w:rPr>
        <w:t>as provided by the Client</w:t>
      </w:r>
    </w:p>
    <w:p>
      <w:pPr>
        <w:pStyle w:val="BodyText"/>
        <w:spacing w:before="7"/>
        <w:rPr>
          <w:sz w:val="12"/>
        </w:rPr>
      </w:pPr>
    </w:p>
    <w:p>
      <w:pPr>
        <w:spacing w:after="0"/>
        <w:rPr>
          <w:sz w:val="12"/>
        </w:rPr>
        <w:sectPr>
          <w:pgSz w:w="11910" w:h="16840"/>
          <w:pgMar w:header="720" w:footer="842" w:top="1520" w:bottom="1040" w:left="440" w:right="80"/>
        </w:sectPr>
      </w:pPr>
    </w:p>
    <w:p>
      <w:pPr>
        <w:spacing w:line="321" w:lineRule="auto" w:before="104"/>
        <w:ind w:left="392" w:right="23" w:firstLine="0"/>
        <w:jc w:val="left"/>
        <w:rPr>
          <w:sz w:val="18"/>
        </w:rPr>
      </w:pPr>
      <w:r>
        <w:rPr>
          <w:color w:val="006A4D"/>
          <w:sz w:val="18"/>
        </w:rPr>
        <w:t>Purchase</w:t>
      </w:r>
      <w:r>
        <w:rPr>
          <w:color w:val="006A4D"/>
          <w:spacing w:val="-36"/>
          <w:sz w:val="18"/>
        </w:rPr>
        <w:t> </w:t>
      </w:r>
      <w:r>
        <w:rPr>
          <w:color w:val="006A4D"/>
          <w:sz w:val="18"/>
        </w:rPr>
        <w:t>Price</w:t>
      </w:r>
      <w:r>
        <w:rPr>
          <w:color w:val="006A4D"/>
          <w:spacing w:val="-35"/>
          <w:sz w:val="18"/>
        </w:rPr>
        <w:t> </w:t>
      </w:r>
      <w:r>
        <w:rPr>
          <w:color w:val="006A4D"/>
          <w:sz w:val="18"/>
        </w:rPr>
        <w:t>for</w:t>
      </w:r>
      <w:r>
        <w:rPr>
          <w:color w:val="006A4D"/>
          <w:spacing w:val="-36"/>
          <w:sz w:val="18"/>
        </w:rPr>
        <w:t> </w:t>
      </w:r>
      <w:r>
        <w:rPr>
          <w:color w:val="006A4D"/>
          <w:sz w:val="18"/>
        </w:rPr>
        <w:t>the property:</w:t>
      </w:r>
    </w:p>
    <w:p>
      <w:pPr>
        <w:spacing w:before="104"/>
        <w:ind w:left="392" w:right="0" w:firstLine="0"/>
        <w:jc w:val="left"/>
        <w:rPr>
          <w:sz w:val="18"/>
        </w:rPr>
      </w:pPr>
      <w:r>
        <w:rPr/>
        <w:br w:type="column"/>
      </w:r>
      <w:r>
        <w:rPr>
          <w:sz w:val="18"/>
        </w:rPr>
        <w:t>The said acquisition was undertaken as part of the ‘Formation Transaction’ as described in the Final Offer</w:t>
      </w:r>
    </w:p>
    <w:p>
      <w:pPr>
        <w:spacing w:before="72"/>
        <w:ind w:left="392" w:right="0" w:firstLine="0"/>
        <w:jc w:val="left"/>
        <w:rPr>
          <w:sz w:val="18"/>
        </w:rPr>
      </w:pPr>
      <w:r>
        <w:rPr>
          <w:sz w:val="18"/>
        </w:rPr>
        <w:t>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2123" w:space="122"/>
            <w:col w:w="9145"/>
          </w:cols>
        </w:sectPr>
      </w:pPr>
    </w:p>
    <w:p>
      <w:pPr>
        <w:pStyle w:val="BodyText"/>
        <w:rPr>
          <w:sz w:val="20"/>
        </w:rPr>
      </w:pPr>
    </w:p>
    <w:p>
      <w:pPr>
        <w:spacing w:after="0"/>
        <w:rPr>
          <w:sz w:val="20"/>
        </w:rPr>
        <w:sectPr>
          <w:pgSz w:w="11910" w:h="16840"/>
          <w:pgMar w:header="720" w:footer="842" w:top="1520" w:bottom="1040" w:left="440" w:right="80"/>
        </w:sectPr>
      </w:pPr>
    </w:p>
    <w:p>
      <w:pPr>
        <w:pStyle w:val="BodyText"/>
        <w:spacing w:before="7"/>
      </w:pPr>
    </w:p>
    <w:p>
      <w:pPr>
        <w:spacing w:line="321" w:lineRule="auto" w:before="1"/>
        <w:ind w:left="392" w:right="-6" w:firstLine="0"/>
        <w:jc w:val="left"/>
        <w:rPr>
          <w:sz w:val="18"/>
        </w:rPr>
      </w:pPr>
      <w:r>
        <w:rPr>
          <w:color w:val="006A4D"/>
          <w:sz w:val="18"/>
        </w:rPr>
        <w:t>Ready</w:t>
      </w:r>
      <w:r>
        <w:rPr>
          <w:color w:val="006A4D"/>
          <w:spacing w:val="-23"/>
          <w:sz w:val="18"/>
        </w:rPr>
        <w:t> </w:t>
      </w:r>
      <w:r>
        <w:rPr>
          <w:color w:val="006A4D"/>
          <w:sz w:val="18"/>
        </w:rPr>
        <w:t>Reckoner</w:t>
      </w:r>
      <w:r>
        <w:rPr>
          <w:color w:val="006A4D"/>
          <w:spacing w:val="-22"/>
          <w:sz w:val="18"/>
        </w:rPr>
        <w:t> </w:t>
      </w:r>
      <w:r>
        <w:rPr>
          <w:color w:val="006A4D"/>
          <w:sz w:val="18"/>
        </w:rPr>
        <w:t>Rate</w:t>
      </w:r>
      <w:r>
        <w:rPr>
          <w:color w:val="006A4D"/>
          <w:spacing w:val="-21"/>
          <w:sz w:val="18"/>
        </w:rPr>
        <w:t> </w:t>
      </w:r>
      <w:r>
        <w:rPr>
          <w:color w:val="006A4D"/>
          <w:sz w:val="18"/>
        </w:rPr>
        <w:t>(as per documents</w:t>
      </w:r>
      <w:r>
        <w:rPr>
          <w:color w:val="006A4D"/>
          <w:spacing w:val="-35"/>
          <w:sz w:val="18"/>
        </w:rPr>
        <w:t> </w:t>
      </w:r>
      <w:r>
        <w:rPr>
          <w:color w:val="006A4D"/>
          <w:spacing w:val="-3"/>
          <w:sz w:val="18"/>
        </w:rPr>
        <w:t>published </w:t>
      </w:r>
      <w:r>
        <w:rPr>
          <w:color w:val="006A4D"/>
          <w:sz w:val="18"/>
        </w:rPr>
        <w:t>by State</w:t>
      </w:r>
      <w:r>
        <w:rPr>
          <w:color w:val="006A4D"/>
          <w:spacing w:val="-33"/>
          <w:sz w:val="18"/>
        </w:rPr>
        <w:t> </w:t>
      </w:r>
      <w:r>
        <w:rPr>
          <w:color w:val="006A4D"/>
          <w:sz w:val="18"/>
        </w:rPr>
        <w:t>Government):</w:t>
      </w:r>
    </w:p>
    <w:p>
      <w:pPr>
        <w:pStyle w:val="BodyText"/>
        <w:spacing w:before="7"/>
      </w:pPr>
      <w:r>
        <w:rPr/>
        <w:br w:type="column"/>
      </w:r>
      <w:r>
        <w:rPr/>
      </w:r>
    </w:p>
    <w:p>
      <w:pPr>
        <w:spacing w:before="1"/>
        <w:ind w:left="228" w:right="0" w:firstLine="0"/>
        <w:jc w:val="left"/>
        <w:rPr>
          <w:sz w:val="11"/>
        </w:rPr>
      </w:pPr>
      <w:r>
        <w:rPr>
          <w:sz w:val="18"/>
        </w:rPr>
        <w:t>Land Rate: NA</w:t>
      </w:r>
      <w:r>
        <w:rPr>
          <w:position w:val="6"/>
          <w:sz w:val="11"/>
        </w:rPr>
        <w:t>3</w:t>
      </w:r>
    </w:p>
    <w:p>
      <w:pPr>
        <w:spacing w:before="191"/>
        <w:ind w:left="228" w:right="0" w:firstLine="0"/>
        <w:jc w:val="left"/>
        <w:rPr>
          <w:sz w:val="18"/>
        </w:rPr>
      </w:pPr>
      <w:r>
        <w:rPr>
          <w:sz w:val="18"/>
        </w:rPr>
        <w:t>Built-up Rate: INR 63,000 per sqm</w:t>
      </w:r>
    </w:p>
    <w:p>
      <w:pPr>
        <w:spacing w:after="0"/>
        <w:jc w:val="left"/>
        <w:rPr>
          <w:sz w:val="18"/>
        </w:rPr>
        <w:sectPr>
          <w:type w:val="continuous"/>
          <w:pgSz w:w="11910" w:h="16840"/>
          <w:pgMar w:top="800" w:bottom="280" w:left="440" w:right="80"/>
          <w:cols w:num="2" w:equalWidth="0">
            <w:col w:w="2369" w:space="40"/>
            <w:col w:w="8981"/>
          </w:cols>
        </w:sectPr>
      </w:pPr>
    </w:p>
    <w:p>
      <w:pPr>
        <w:pStyle w:val="BodyText"/>
        <w:spacing w:before="8"/>
        <w:rPr>
          <w:sz w:val="12"/>
        </w:rPr>
      </w:pPr>
    </w:p>
    <w:p>
      <w:pPr>
        <w:spacing w:after="0"/>
        <w:rPr>
          <w:sz w:val="12"/>
        </w:rPr>
        <w:sectPr>
          <w:type w:val="continuous"/>
          <w:pgSz w:w="11910" w:h="16840"/>
          <w:pgMar w:top="800" w:bottom="280" w:left="440" w:right="80"/>
        </w:sectPr>
      </w:pPr>
    </w:p>
    <w:p>
      <w:pPr>
        <w:spacing w:line="321" w:lineRule="auto" w:before="104"/>
        <w:ind w:left="392" w:right="21" w:firstLine="0"/>
        <w:jc w:val="left"/>
        <w:rPr>
          <w:sz w:val="18"/>
        </w:rPr>
      </w:pPr>
      <w:r>
        <w:rPr>
          <w:color w:val="006A4D"/>
          <w:sz w:val="18"/>
        </w:rPr>
        <w:t>Value Conclusion as of March 31, 2020:</w:t>
      </w:r>
    </w:p>
    <w:p>
      <w:pPr>
        <w:pStyle w:val="BodyText"/>
      </w:pPr>
      <w:r>
        <w:rPr/>
        <w:br w:type="column"/>
      </w:r>
      <w:r>
        <w:rPr/>
      </w:r>
    </w:p>
    <w:p>
      <w:pPr>
        <w:tabs>
          <w:tab w:pos="5707" w:val="left" w:leader="none"/>
        </w:tabs>
        <w:spacing w:before="137"/>
        <w:ind w:left="392" w:right="0" w:firstLine="0"/>
        <w:jc w:val="left"/>
        <w:rPr>
          <w:sz w:val="18"/>
        </w:rPr>
      </w:pPr>
      <w:r>
        <w:rPr/>
        <w:pict>
          <v:group style="position:absolute;margin-left:156.380005pt;margin-top:-13.739346pt;width:427.2pt;height:17.650pt;mso-position-horizontal-relative:page;mso-position-vertical-relative:paragraph;z-index:15874048" coordorigin="3128,-275" coordsize="8544,353">
            <v:shape style="position:absolute;left:3127;top:-246;width:8544;height:310" coordorigin="3128,-246" coordsize="8544,310" path="m7759,-246l3128,-246,3128,64,7759,64,7759,-246xm11671,-246l7759,-246,7759,64,11671,64,11671,-246xe" filled="true" fillcolor="#006a4d" stroked="false">
              <v:path arrowok="t"/>
              <v:fill type="solid"/>
            </v:shape>
            <v:rect style="position:absolute;left:3127;top:-275;width:4631;height:29" filled="true" fillcolor="#1f6b16" stroked="false">
              <v:fill type="solid"/>
            </v:rect>
            <v:shape style="position:absolute;left:3127;top:-246;width:4660;height:3" coordorigin="3128,-246" coordsize="4660,3" path="m7759,-246l3128,-246,3128,-244,7759,-244,7759,-246xm7788,-246l7759,-246,7759,-244,7788,-244,7788,-246xe" filled="true" fillcolor="#006a4d" stroked="false">
              <v:path arrowok="t"/>
              <v:fill type="solid"/>
            </v:shape>
            <v:shape style="position:absolute;left:7758;top:-275;width:3910;height:29" coordorigin="7759,-275" coordsize="3910,29" path="m11669,-275l7788,-275,7759,-275,7759,-246,7788,-246,11669,-246,11669,-275xe" filled="true" fillcolor="#1f6b16" stroked="false">
              <v:path arrowok="t"/>
              <v:fill type="solid"/>
            </v:shape>
            <v:rect style="position:absolute;left:7787;top:-246;width:3882;height:3" filled="true" fillcolor="#006a4d" stroked="false">
              <v:fill type="solid"/>
            </v:rect>
            <v:shape style="position:absolute;left:3127;top:63;width:8542;height:15" coordorigin="3128,64" coordsize="8542,15" path="m7759,64l3128,64,3128,78,7759,78,7759,64xm11669,64l7773,64,7759,64,7759,78,7773,78,11669,78,11669,64xe" filled="true" fillcolor="#69bd28" stroked="false">
              <v:path arrowok="t"/>
              <v:fill type="solid"/>
            </v:shape>
            <v:shape style="position:absolute;left:3127;top:-246;width:8544;height:310" type="#_x0000_t202" filled="false" stroked="false">
              <v:textbox inset="0,0,0,0">
                <w:txbxContent>
                  <w:p>
                    <w:pPr>
                      <w:tabs>
                        <w:tab w:pos="5538" w:val="left" w:leader="none"/>
                      </w:tabs>
                      <w:spacing w:before="49"/>
                      <w:ind w:left="1798" w:right="0" w:firstLine="0"/>
                      <w:jc w:val="left"/>
                      <w:rPr>
                        <w:b/>
                        <w:sz w:val="18"/>
                      </w:rPr>
                    </w:pPr>
                    <w:r>
                      <w:rPr>
                        <w:b/>
                        <w:color w:val="FFFFFF"/>
                        <w:w w:val="110"/>
                        <w:sz w:val="18"/>
                      </w:rPr>
                      <w:t>Component</w:t>
                      <w:tab/>
                      <w:t>Market Value (INR</w:t>
                    </w:r>
                    <w:r>
                      <w:rPr>
                        <w:b/>
                        <w:color w:val="FFFFFF"/>
                        <w:spacing w:val="-2"/>
                        <w:w w:val="110"/>
                        <w:sz w:val="18"/>
                      </w:rPr>
                      <w:t> </w:t>
                    </w:r>
                    <w:r>
                      <w:rPr>
                        <w:b/>
                        <w:color w:val="FFFFFF"/>
                        <w:w w:val="110"/>
                        <w:sz w:val="18"/>
                      </w:rPr>
                      <w:t>Mn)</w:t>
                    </w:r>
                  </w:p>
                </w:txbxContent>
              </v:textbox>
              <w10:wrap type="none"/>
            </v:shape>
            <w10:wrap type="none"/>
          </v:group>
        </w:pict>
      </w:r>
      <w:r>
        <w:rPr>
          <w:sz w:val="18"/>
        </w:rPr>
        <w:t>Hilton at</w:t>
      </w:r>
      <w:r>
        <w:rPr>
          <w:spacing w:val="-39"/>
          <w:sz w:val="18"/>
        </w:rPr>
        <w:t> </w:t>
      </w:r>
      <w:r>
        <w:rPr>
          <w:sz w:val="18"/>
        </w:rPr>
        <w:t>GolfLinks</w:t>
      </w:r>
      <w:r>
        <w:rPr>
          <w:spacing w:val="-19"/>
          <w:sz w:val="18"/>
        </w:rPr>
        <w:t> </w:t>
      </w:r>
      <w:r>
        <w:rPr>
          <w:sz w:val="18"/>
        </w:rPr>
        <w:t>(Operational)</w:t>
        <w:tab/>
        <w:t>4,436</w:t>
      </w:r>
    </w:p>
    <w:p>
      <w:pPr>
        <w:spacing w:after="0"/>
        <w:jc w:val="left"/>
        <w:rPr>
          <w:sz w:val="18"/>
        </w:rPr>
        <w:sectPr>
          <w:type w:val="continuous"/>
          <w:pgSz w:w="11910" w:h="16840"/>
          <w:pgMar w:top="800" w:bottom="280" w:left="440" w:right="80"/>
          <w:cols w:num="2" w:equalWidth="0">
            <w:col w:w="2239" w:space="1088"/>
            <w:col w:w="8063"/>
          </w:cols>
        </w:sectPr>
      </w:pPr>
    </w:p>
    <w:p>
      <w:pPr>
        <w:pStyle w:val="BodyText"/>
        <w:ind w:left="2673"/>
        <w:rPr>
          <w:sz w:val="20"/>
        </w:rPr>
      </w:pPr>
      <w:r>
        <w:rPr>
          <w:sz w:val="20"/>
        </w:rPr>
        <w:pict>
          <v:group style="width:427.9pt;height:17.650pt;mso-position-horizontal-relative:char;mso-position-vertical-relative:line" coordorigin="0,0" coordsize="8558,353">
            <v:shape style="position:absolute;left:0;top:0;width:8558;height:353" coordorigin="0,0" coordsize="8558,353" path="m8558,14l8556,14,8556,0,4660,0,4646,0,4646,14,4646,338,4645,338,4645,14,4645,0,14,0,14,14,14,338,0,338,0,353,4631,353,4645,353,4646,353,8556,353,8556,338,8558,338,8558,14xe" filled="true" fillcolor="#69bd28" stroked="false">
              <v:path arrowok="t"/>
              <v:fill type="solid"/>
            </v:shape>
            <v:shape style="position:absolute;left:1284;top:69;width:2110;height:216" type="#_x0000_t202" filled="false" stroked="false">
              <v:textbox inset="0,0,0,0">
                <w:txbxContent>
                  <w:p>
                    <w:pPr>
                      <w:spacing w:before="4"/>
                      <w:ind w:left="0" w:right="0" w:firstLine="0"/>
                      <w:jc w:val="left"/>
                      <w:rPr>
                        <w:sz w:val="18"/>
                      </w:rPr>
                    </w:pPr>
                    <w:r>
                      <w:rPr>
                        <w:color w:val="FFFFFF"/>
                        <w:sz w:val="18"/>
                      </w:rPr>
                      <w:t>Total</w:t>
                    </w:r>
                    <w:r>
                      <w:rPr>
                        <w:color w:val="FFFFFF"/>
                        <w:spacing w:val="-30"/>
                        <w:sz w:val="18"/>
                      </w:rPr>
                      <w:t> </w:t>
                    </w:r>
                    <w:r>
                      <w:rPr>
                        <w:color w:val="FFFFFF"/>
                        <w:sz w:val="18"/>
                      </w:rPr>
                      <w:t>Value</w:t>
                    </w:r>
                    <w:r>
                      <w:rPr>
                        <w:color w:val="FFFFFF"/>
                        <w:spacing w:val="-29"/>
                        <w:sz w:val="18"/>
                      </w:rPr>
                      <w:t> </w:t>
                    </w:r>
                    <w:r>
                      <w:rPr>
                        <w:color w:val="FFFFFF"/>
                        <w:sz w:val="18"/>
                      </w:rPr>
                      <w:t>of</w:t>
                    </w:r>
                    <w:r>
                      <w:rPr>
                        <w:color w:val="FFFFFF"/>
                        <w:spacing w:val="-30"/>
                        <w:sz w:val="18"/>
                      </w:rPr>
                      <w:t> </w:t>
                    </w:r>
                    <w:r>
                      <w:rPr>
                        <w:color w:val="FFFFFF"/>
                        <w:sz w:val="18"/>
                      </w:rPr>
                      <w:t>the</w:t>
                    </w:r>
                    <w:r>
                      <w:rPr>
                        <w:color w:val="FFFFFF"/>
                        <w:spacing w:val="-29"/>
                        <w:sz w:val="18"/>
                      </w:rPr>
                      <w:t> </w:t>
                    </w:r>
                    <w:r>
                      <w:rPr>
                        <w:color w:val="FFFFFF"/>
                        <w:sz w:val="18"/>
                      </w:rPr>
                      <w:t>property</w:t>
                    </w:r>
                  </w:p>
                </w:txbxContent>
              </v:textbox>
              <w10:wrap type="none"/>
            </v:shape>
            <v:shape style="position:absolute;left:6361;top:69;width:498;height:216" type="#_x0000_t202" filled="false" stroked="false">
              <v:textbox inset="0,0,0,0">
                <w:txbxContent>
                  <w:p>
                    <w:pPr>
                      <w:spacing w:before="4"/>
                      <w:ind w:left="0" w:right="0" w:firstLine="0"/>
                      <w:jc w:val="left"/>
                      <w:rPr>
                        <w:sz w:val="18"/>
                      </w:rPr>
                    </w:pPr>
                    <w:r>
                      <w:rPr>
                        <w:color w:val="FFFFFF"/>
                        <w:w w:val="105"/>
                        <w:sz w:val="18"/>
                      </w:rPr>
                      <w:t>4,436</w:t>
                    </w:r>
                  </w:p>
                </w:txbxContent>
              </v:textbox>
              <w10:wrap type="none"/>
            </v:shape>
          </v:group>
        </w:pict>
      </w:r>
      <w:r>
        <w:rPr>
          <w:sz w:val="20"/>
        </w:rPr>
      </w:r>
    </w:p>
    <w:p>
      <w:pPr>
        <w:pStyle w:val="BodyText"/>
        <w:rPr>
          <w:sz w:val="20"/>
        </w:rPr>
      </w:pPr>
    </w:p>
    <w:p>
      <w:pPr>
        <w:spacing w:after="0"/>
        <w:rPr>
          <w:sz w:val="20"/>
        </w:rPr>
        <w:sectPr>
          <w:type w:val="continuous"/>
          <w:pgSz w:w="11910" w:h="16840"/>
          <w:pgMar w:top="800" w:bottom="280" w:left="440" w:right="80"/>
        </w:sectPr>
      </w:pPr>
    </w:p>
    <w:p>
      <w:pPr>
        <w:pStyle w:val="BodyText"/>
        <w:spacing w:before="7"/>
      </w:pPr>
    </w:p>
    <w:p>
      <w:pPr>
        <w:spacing w:line="321" w:lineRule="auto" w:before="0"/>
        <w:ind w:left="392" w:right="0" w:firstLine="0"/>
        <w:jc w:val="left"/>
        <w:rPr>
          <w:sz w:val="18"/>
        </w:rPr>
      </w:pPr>
      <w:r>
        <w:rPr>
          <w:color w:val="006A4D"/>
          <w:sz w:val="18"/>
        </w:rPr>
        <w:t>Assumptions, </w:t>
      </w:r>
      <w:r>
        <w:rPr>
          <w:color w:val="006A4D"/>
          <w:w w:val="95"/>
          <w:sz w:val="18"/>
        </w:rPr>
        <w:t>Disclaimers, Limitations &amp; </w:t>
      </w:r>
      <w:r>
        <w:rPr>
          <w:color w:val="006A4D"/>
          <w:sz w:val="18"/>
        </w:rPr>
        <w:t>Qualifications</w:t>
      </w:r>
    </w:p>
    <w:p>
      <w:pPr>
        <w:pStyle w:val="BodyText"/>
        <w:spacing w:before="7"/>
      </w:pPr>
      <w:r>
        <w:rPr/>
        <w:br w:type="column"/>
      </w:r>
      <w:r>
        <w:rPr/>
      </w:r>
    </w:p>
    <w:p>
      <w:pPr>
        <w:spacing w:line="321" w:lineRule="auto" w:before="0"/>
        <w:ind w:left="187" w:right="484" w:firstLine="0"/>
        <w:jc w:val="both"/>
        <w:rPr>
          <w:sz w:val="18"/>
        </w:rPr>
      </w:pPr>
      <w:r>
        <w:rPr>
          <w:w w:val="95"/>
          <w:sz w:val="18"/>
        </w:rPr>
        <w:t>This</w:t>
      </w:r>
      <w:r>
        <w:rPr>
          <w:spacing w:val="-9"/>
          <w:w w:val="95"/>
          <w:sz w:val="18"/>
        </w:rPr>
        <w:t> </w:t>
      </w:r>
      <w:r>
        <w:rPr>
          <w:w w:val="95"/>
          <w:sz w:val="18"/>
        </w:rPr>
        <w:t>valuation</w:t>
      </w:r>
      <w:r>
        <w:rPr>
          <w:spacing w:val="-8"/>
          <w:w w:val="95"/>
          <w:sz w:val="18"/>
        </w:rPr>
        <w:t> </w:t>
      </w:r>
      <w:r>
        <w:rPr>
          <w:w w:val="95"/>
          <w:sz w:val="18"/>
        </w:rPr>
        <w:t>report</w:t>
      </w:r>
      <w:r>
        <w:rPr>
          <w:spacing w:val="-10"/>
          <w:w w:val="95"/>
          <w:sz w:val="18"/>
        </w:rPr>
        <w:t> </w:t>
      </w:r>
      <w:r>
        <w:rPr>
          <w:w w:val="95"/>
          <w:sz w:val="18"/>
        </w:rPr>
        <w:t>is</w:t>
      </w:r>
      <w:r>
        <w:rPr>
          <w:spacing w:val="-9"/>
          <w:w w:val="95"/>
          <w:sz w:val="18"/>
        </w:rPr>
        <w:t> </w:t>
      </w:r>
      <w:r>
        <w:rPr>
          <w:w w:val="95"/>
          <w:sz w:val="18"/>
        </w:rPr>
        <w:t>provided</w:t>
      </w:r>
      <w:r>
        <w:rPr>
          <w:spacing w:val="-9"/>
          <w:w w:val="95"/>
          <w:sz w:val="18"/>
        </w:rPr>
        <w:t> </w:t>
      </w:r>
      <w:r>
        <w:rPr>
          <w:w w:val="95"/>
          <w:sz w:val="18"/>
        </w:rPr>
        <w:t>subject</w:t>
      </w:r>
      <w:r>
        <w:rPr>
          <w:spacing w:val="-10"/>
          <w:w w:val="95"/>
          <w:sz w:val="18"/>
        </w:rPr>
        <w:t> </w:t>
      </w:r>
      <w:r>
        <w:rPr>
          <w:w w:val="95"/>
          <w:sz w:val="18"/>
        </w:rPr>
        <w:t>to</w:t>
      </w:r>
      <w:r>
        <w:rPr>
          <w:spacing w:val="-9"/>
          <w:w w:val="95"/>
          <w:sz w:val="18"/>
        </w:rPr>
        <w:t> </w:t>
      </w:r>
      <w:r>
        <w:rPr>
          <w:w w:val="95"/>
          <w:sz w:val="18"/>
        </w:rPr>
        <w:t>assumptions,</w:t>
      </w:r>
      <w:r>
        <w:rPr>
          <w:spacing w:val="-9"/>
          <w:w w:val="95"/>
          <w:sz w:val="18"/>
        </w:rPr>
        <w:t> </w:t>
      </w:r>
      <w:r>
        <w:rPr>
          <w:w w:val="95"/>
          <w:sz w:val="18"/>
        </w:rPr>
        <w:t>disclaimers,</w:t>
      </w:r>
      <w:r>
        <w:rPr>
          <w:spacing w:val="-9"/>
          <w:w w:val="95"/>
          <w:sz w:val="18"/>
        </w:rPr>
        <w:t> </w:t>
      </w:r>
      <w:r>
        <w:rPr>
          <w:w w:val="95"/>
          <w:sz w:val="18"/>
        </w:rPr>
        <w:t>limitations</w:t>
      </w:r>
      <w:r>
        <w:rPr>
          <w:spacing w:val="-9"/>
          <w:w w:val="95"/>
          <w:sz w:val="18"/>
        </w:rPr>
        <w:t> </w:t>
      </w:r>
      <w:r>
        <w:rPr>
          <w:w w:val="95"/>
          <w:sz w:val="18"/>
        </w:rPr>
        <w:t>and</w:t>
      </w:r>
      <w:r>
        <w:rPr>
          <w:spacing w:val="-9"/>
          <w:w w:val="95"/>
          <w:sz w:val="18"/>
        </w:rPr>
        <w:t> </w:t>
      </w:r>
      <w:r>
        <w:rPr>
          <w:w w:val="95"/>
          <w:sz w:val="18"/>
        </w:rPr>
        <w:t>qualifications</w:t>
      </w:r>
      <w:r>
        <w:rPr>
          <w:spacing w:val="-8"/>
          <w:w w:val="95"/>
          <w:sz w:val="18"/>
        </w:rPr>
        <w:t> </w:t>
      </w:r>
      <w:r>
        <w:rPr>
          <w:w w:val="95"/>
          <w:sz w:val="18"/>
        </w:rPr>
        <w:t>detailed </w:t>
      </w:r>
      <w:r>
        <w:rPr>
          <w:sz w:val="18"/>
        </w:rPr>
        <w:t>throughout this report which are made in conjunction with those included within the Assumptions, Disclaimers,</w:t>
      </w:r>
      <w:r>
        <w:rPr>
          <w:spacing w:val="-10"/>
          <w:sz w:val="18"/>
        </w:rPr>
        <w:t> </w:t>
      </w:r>
      <w:r>
        <w:rPr>
          <w:sz w:val="18"/>
        </w:rPr>
        <w:t>Limitations</w:t>
      </w:r>
      <w:r>
        <w:rPr>
          <w:spacing w:val="-9"/>
          <w:sz w:val="18"/>
        </w:rPr>
        <w:t> </w:t>
      </w:r>
      <w:r>
        <w:rPr>
          <w:sz w:val="18"/>
        </w:rPr>
        <w:t>&amp;</w:t>
      </w:r>
      <w:r>
        <w:rPr>
          <w:spacing w:val="-10"/>
          <w:sz w:val="18"/>
        </w:rPr>
        <w:t> </w:t>
      </w:r>
      <w:r>
        <w:rPr>
          <w:sz w:val="18"/>
        </w:rPr>
        <w:t>Qualifications</w:t>
      </w:r>
      <w:r>
        <w:rPr>
          <w:spacing w:val="-8"/>
          <w:sz w:val="18"/>
        </w:rPr>
        <w:t> </w:t>
      </w:r>
      <w:r>
        <w:rPr>
          <w:sz w:val="18"/>
        </w:rPr>
        <w:t>section</w:t>
      </w:r>
      <w:r>
        <w:rPr>
          <w:spacing w:val="-9"/>
          <w:sz w:val="18"/>
        </w:rPr>
        <w:t> </w:t>
      </w:r>
      <w:r>
        <w:rPr>
          <w:sz w:val="18"/>
        </w:rPr>
        <w:t>located</w:t>
      </w:r>
      <w:r>
        <w:rPr>
          <w:spacing w:val="-9"/>
          <w:sz w:val="18"/>
        </w:rPr>
        <w:t> </w:t>
      </w:r>
      <w:r>
        <w:rPr>
          <w:sz w:val="18"/>
        </w:rPr>
        <w:t>within</w:t>
      </w:r>
      <w:r>
        <w:rPr>
          <w:spacing w:val="-10"/>
          <w:sz w:val="18"/>
        </w:rPr>
        <w:t> </w:t>
      </w:r>
      <w:r>
        <w:rPr>
          <w:sz w:val="18"/>
        </w:rPr>
        <w:t>this</w:t>
      </w:r>
      <w:r>
        <w:rPr>
          <w:spacing w:val="-9"/>
          <w:sz w:val="18"/>
        </w:rPr>
        <w:t> </w:t>
      </w:r>
      <w:r>
        <w:rPr>
          <w:sz w:val="18"/>
        </w:rPr>
        <w:t>report.</w:t>
      </w:r>
      <w:r>
        <w:rPr>
          <w:spacing w:val="-9"/>
          <w:sz w:val="18"/>
        </w:rPr>
        <w:t> </w:t>
      </w:r>
      <w:r>
        <w:rPr>
          <w:sz w:val="18"/>
        </w:rPr>
        <w:t>Reliance</w:t>
      </w:r>
      <w:r>
        <w:rPr>
          <w:spacing w:val="-9"/>
          <w:sz w:val="18"/>
        </w:rPr>
        <w:t> </w:t>
      </w:r>
      <w:r>
        <w:rPr>
          <w:sz w:val="18"/>
        </w:rPr>
        <w:t>on</w:t>
      </w:r>
      <w:r>
        <w:rPr>
          <w:spacing w:val="-9"/>
          <w:sz w:val="18"/>
        </w:rPr>
        <w:t> </w:t>
      </w:r>
      <w:r>
        <w:rPr>
          <w:sz w:val="18"/>
        </w:rPr>
        <w:t>this</w:t>
      </w:r>
      <w:r>
        <w:rPr>
          <w:spacing w:val="-10"/>
          <w:sz w:val="18"/>
        </w:rPr>
        <w:t> </w:t>
      </w:r>
      <w:r>
        <w:rPr>
          <w:sz w:val="18"/>
        </w:rPr>
        <w:t>report</w:t>
      </w:r>
      <w:r>
        <w:rPr>
          <w:spacing w:val="-10"/>
          <w:sz w:val="18"/>
        </w:rPr>
        <w:t> </w:t>
      </w:r>
      <w:r>
        <w:rPr>
          <w:sz w:val="18"/>
        </w:rPr>
        <w:t>and extension</w:t>
      </w:r>
      <w:r>
        <w:rPr>
          <w:spacing w:val="-11"/>
          <w:sz w:val="18"/>
        </w:rPr>
        <w:t> </w:t>
      </w:r>
      <w:r>
        <w:rPr>
          <w:sz w:val="18"/>
        </w:rPr>
        <w:t>of</w:t>
      </w:r>
      <w:r>
        <w:rPr>
          <w:spacing w:val="-11"/>
          <w:sz w:val="18"/>
        </w:rPr>
        <w:t> </w:t>
      </w:r>
      <w:r>
        <w:rPr>
          <w:sz w:val="18"/>
        </w:rPr>
        <w:t>our</w:t>
      </w:r>
      <w:r>
        <w:rPr>
          <w:spacing w:val="-13"/>
          <w:sz w:val="18"/>
        </w:rPr>
        <w:t> </w:t>
      </w:r>
      <w:r>
        <w:rPr>
          <w:sz w:val="18"/>
        </w:rPr>
        <w:t>liability</w:t>
      </w:r>
      <w:r>
        <w:rPr>
          <w:spacing w:val="-11"/>
          <w:sz w:val="18"/>
        </w:rPr>
        <w:t> </w:t>
      </w:r>
      <w:r>
        <w:rPr>
          <w:sz w:val="18"/>
        </w:rPr>
        <w:t>is</w:t>
      </w:r>
      <w:r>
        <w:rPr>
          <w:spacing w:val="-11"/>
          <w:sz w:val="18"/>
        </w:rPr>
        <w:t> </w:t>
      </w:r>
      <w:r>
        <w:rPr>
          <w:sz w:val="18"/>
        </w:rPr>
        <w:t>conditional</w:t>
      </w:r>
      <w:r>
        <w:rPr>
          <w:spacing w:val="-12"/>
          <w:sz w:val="18"/>
        </w:rPr>
        <w:t> </w:t>
      </w:r>
      <w:r>
        <w:rPr>
          <w:sz w:val="18"/>
        </w:rPr>
        <w:t>upon</w:t>
      </w:r>
      <w:r>
        <w:rPr>
          <w:spacing w:val="-11"/>
          <w:sz w:val="18"/>
        </w:rPr>
        <w:t> </w:t>
      </w:r>
      <w:r>
        <w:rPr>
          <w:sz w:val="18"/>
        </w:rPr>
        <w:t>the</w:t>
      </w:r>
      <w:r>
        <w:rPr>
          <w:spacing w:val="-11"/>
          <w:sz w:val="18"/>
        </w:rPr>
        <w:t> </w:t>
      </w:r>
      <w:r>
        <w:rPr>
          <w:sz w:val="18"/>
        </w:rPr>
        <w:t>reader’s</w:t>
      </w:r>
      <w:r>
        <w:rPr>
          <w:spacing w:val="-11"/>
          <w:sz w:val="18"/>
        </w:rPr>
        <w:t> </w:t>
      </w:r>
      <w:r>
        <w:rPr>
          <w:sz w:val="18"/>
        </w:rPr>
        <w:t>acknowledgement</w:t>
      </w:r>
      <w:r>
        <w:rPr>
          <w:spacing w:val="-12"/>
          <w:sz w:val="18"/>
        </w:rPr>
        <w:t> </w:t>
      </w:r>
      <w:r>
        <w:rPr>
          <w:sz w:val="18"/>
        </w:rPr>
        <w:t>and</w:t>
      </w:r>
      <w:r>
        <w:rPr>
          <w:spacing w:val="-11"/>
          <w:sz w:val="18"/>
        </w:rPr>
        <w:t> </w:t>
      </w:r>
      <w:r>
        <w:rPr>
          <w:sz w:val="18"/>
        </w:rPr>
        <w:t>understanding</w:t>
      </w:r>
      <w:r>
        <w:rPr>
          <w:spacing w:val="-11"/>
          <w:sz w:val="18"/>
        </w:rPr>
        <w:t> </w:t>
      </w:r>
      <w:r>
        <w:rPr>
          <w:sz w:val="18"/>
        </w:rPr>
        <w:t>of</w:t>
      </w:r>
      <w:r>
        <w:rPr>
          <w:spacing w:val="-11"/>
          <w:sz w:val="18"/>
        </w:rPr>
        <w:t> </w:t>
      </w:r>
      <w:r>
        <w:rPr>
          <w:sz w:val="18"/>
        </w:rPr>
        <w:t>these statements.</w:t>
      </w:r>
      <w:r>
        <w:rPr>
          <w:spacing w:val="-20"/>
          <w:sz w:val="18"/>
        </w:rPr>
        <w:t> </w:t>
      </w:r>
      <w:r>
        <w:rPr>
          <w:sz w:val="18"/>
        </w:rPr>
        <w:t>This</w:t>
      </w:r>
      <w:r>
        <w:rPr>
          <w:spacing w:val="-20"/>
          <w:sz w:val="18"/>
        </w:rPr>
        <w:t> </w:t>
      </w:r>
      <w:r>
        <w:rPr>
          <w:sz w:val="18"/>
        </w:rPr>
        <w:t>valuation</w:t>
      </w:r>
      <w:r>
        <w:rPr>
          <w:spacing w:val="-20"/>
          <w:sz w:val="18"/>
        </w:rPr>
        <w:t> </w:t>
      </w:r>
      <w:r>
        <w:rPr>
          <w:sz w:val="18"/>
        </w:rPr>
        <w:t>is</w:t>
      </w:r>
      <w:r>
        <w:rPr>
          <w:spacing w:val="-21"/>
          <w:sz w:val="18"/>
        </w:rPr>
        <w:t> </w:t>
      </w:r>
      <w:r>
        <w:rPr>
          <w:sz w:val="18"/>
        </w:rPr>
        <w:t>for</w:t>
      </w:r>
      <w:r>
        <w:rPr>
          <w:spacing w:val="-23"/>
          <w:sz w:val="18"/>
        </w:rPr>
        <w:t> </w:t>
      </w:r>
      <w:r>
        <w:rPr>
          <w:sz w:val="18"/>
        </w:rPr>
        <w:t>the</w:t>
      </w:r>
      <w:r>
        <w:rPr>
          <w:spacing w:val="-20"/>
          <w:sz w:val="18"/>
        </w:rPr>
        <w:t> </w:t>
      </w:r>
      <w:r>
        <w:rPr>
          <w:sz w:val="18"/>
        </w:rPr>
        <w:t>use</w:t>
      </w:r>
      <w:r>
        <w:rPr>
          <w:spacing w:val="-20"/>
          <w:sz w:val="18"/>
        </w:rPr>
        <w:t> </w:t>
      </w:r>
      <w:r>
        <w:rPr>
          <w:sz w:val="18"/>
        </w:rPr>
        <w:t>of</w:t>
      </w:r>
      <w:r>
        <w:rPr>
          <w:spacing w:val="-21"/>
          <w:sz w:val="18"/>
        </w:rPr>
        <w:t> </w:t>
      </w:r>
      <w:r>
        <w:rPr>
          <w:sz w:val="18"/>
        </w:rPr>
        <w:t>the</w:t>
      </w:r>
      <w:r>
        <w:rPr>
          <w:spacing w:val="-20"/>
          <w:sz w:val="18"/>
        </w:rPr>
        <w:t> </w:t>
      </w:r>
      <w:r>
        <w:rPr>
          <w:sz w:val="18"/>
        </w:rPr>
        <w:t>party</w:t>
      </w:r>
      <w:r>
        <w:rPr>
          <w:spacing w:val="-20"/>
          <w:sz w:val="18"/>
        </w:rPr>
        <w:t> </w:t>
      </w:r>
      <w:r>
        <w:rPr>
          <w:sz w:val="18"/>
        </w:rPr>
        <w:t>to</w:t>
      </w:r>
      <w:r>
        <w:rPr>
          <w:spacing w:val="-21"/>
          <w:sz w:val="18"/>
        </w:rPr>
        <w:t> </w:t>
      </w:r>
      <w:r>
        <w:rPr>
          <w:sz w:val="18"/>
        </w:rPr>
        <w:t>whom</w:t>
      </w:r>
      <w:r>
        <w:rPr>
          <w:spacing w:val="-21"/>
          <w:sz w:val="18"/>
        </w:rPr>
        <w:t> </w:t>
      </w:r>
      <w:r>
        <w:rPr>
          <w:sz w:val="18"/>
        </w:rPr>
        <w:t>it</w:t>
      </w:r>
      <w:r>
        <w:rPr>
          <w:spacing w:val="-20"/>
          <w:sz w:val="18"/>
        </w:rPr>
        <w:t> </w:t>
      </w:r>
      <w:r>
        <w:rPr>
          <w:sz w:val="18"/>
        </w:rPr>
        <w:t>is</w:t>
      </w:r>
      <w:r>
        <w:rPr>
          <w:spacing w:val="-20"/>
          <w:sz w:val="18"/>
        </w:rPr>
        <w:t> </w:t>
      </w:r>
      <w:r>
        <w:rPr>
          <w:sz w:val="18"/>
        </w:rPr>
        <w:t>addressed</w:t>
      </w:r>
      <w:r>
        <w:rPr>
          <w:spacing w:val="-17"/>
          <w:sz w:val="18"/>
        </w:rPr>
        <w:t> </w:t>
      </w:r>
      <w:r>
        <w:rPr>
          <w:sz w:val="18"/>
        </w:rPr>
        <w:t>and</w:t>
      </w:r>
      <w:r>
        <w:rPr>
          <w:spacing w:val="-20"/>
          <w:sz w:val="18"/>
        </w:rPr>
        <w:t> </w:t>
      </w:r>
      <w:r>
        <w:rPr>
          <w:sz w:val="18"/>
        </w:rPr>
        <w:t>for</w:t>
      </w:r>
      <w:r>
        <w:rPr>
          <w:spacing w:val="-22"/>
          <w:sz w:val="18"/>
        </w:rPr>
        <w:t> </w:t>
      </w:r>
      <w:r>
        <w:rPr>
          <w:sz w:val="18"/>
        </w:rPr>
        <w:t>no</w:t>
      </w:r>
      <w:r>
        <w:rPr>
          <w:spacing w:val="-20"/>
          <w:sz w:val="18"/>
        </w:rPr>
        <w:t> </w:t>
      </w:r>
      <w:r>
        <w:rPr>
          <w:sz w:val="18"/>
        </w:rPr>
        <w:t>other</w:t>
      </w:r>
      <w:r>
        <w:rPr>
          <w:spacing w:val="-23"/>
          <w:sz w:val="18"/>
        </w:rPr>
        <w:t> </w:t>
      </w:r>
      <w:r>
        <w:rPr>
          <w:sz w:val="18"/>
        </w:rPr>
        <w:t>purpose.</w:t>
      </w:r>
      <w:r>
        <w:rPr>
          <w:spacing w:val="-21"/>
          <w:sz w:val="18"/>
        </w:rPr>
        <w:t> </w:t>
      </w:r>
      <w:r>
        <w:rPr>
          <w:sz w:val="18"/>
        </w:rPr>
        <w:t>No responsibility</w:t>
      </w:r>
      <w:r>
        <w:rPr>
          <w:spacing w:val="-23"/>
          <w:sz w:val="18"/>
        </w:rPr>
        <w:t> </w:t>
      </w:r>
      <w:r>
        <w:rPr>
          <w:sz w:val="18"/>
        </w:rPr>
        <w:t>is</w:t>
      </w:r>
      <w:r>
        <w:rPr>
          <w:spacing w:val="-21"/>
          <w:sz w:val="18"/>
        </w:rPr>
        <w:t> </w:t>
      </w:r>
      <w:r>
        <w:rPr>
          <w:sz w:val="18"/>
        </w:rPr>
        <w:t>accepted</w:t>
      </w:r>
      <w:r>
        <w:rPr>
          <w:spacing w:val="-22"/>
          <w:sz w:val="18"/>
        </w:rPr>
        <w:t> </w:t>
      </w:r>
      <w:r>
        <w:rPr>
          <w:sz w:val="18"/>
        </w:rPr>
        <w:t>to</w:t>
      </w:r>
      <w:r>
        <w:rPr>
          <w:spacing w:val="-23"/>
          <w:sz w:val="18"/>
        </w:rPr>
        <w:t> </w:t>
      </w:r>
      <w:r>
        <w:rPr>
          <w:sz w:val="18"/>
        </w:rPr>
        <w:t>any</w:t>
      </w:r>
      <w:r>
        <w:rPr>
          <w:spacing w:val="-22"/>
          <w:sz w:val="18"/>
        </w:rPr>
        <w:t> </w:t>
      </w:r>
      <w:r>
        <w:rPr>
          <w:sz w:val="18"/>
        </w:rPr>
        <w:t>third</w:t>
      </w:r>
      <w:r>
        <w:rPr>
          <w:spacing w:val="-23"/>
          <w:sz w:val="18"/>
        </w:rPr>
        <w:t> </w:t>
      </w:r>
      <w:r>
        <w:rPr>
          <w:sz w:val="18"/>
        </w:rPr>
        <w:t>party</w:t>
      </w:r>
      <w:r>
        <w:rPr>
          <w:spacing w:val="-22"/>
          <w:sz w:val="18"/>
        </w:rPr>
        <w:t> </w:t>
      </w:r>
      <w:r>
        <w:rPr>
          <w:sz w:val="18"/>
        </w:rPr>
        <w:t>who</w:t>
      </w:r>
      <w:r>
        <w:rPr>
          <w:spacing w:val="-21"/>
          <w:sz w:val="18"/>
        </w:rPr>
        <w:t> </w:t>
      </w:r>
      <w:r>
        <w:rPr>
          <w:sz w:val="18"/>
        </w:rPr>
        <w:t>may</w:t>
      </w:r>
      <w:r>
        <w:rPr>
          <w:spacing w:val="-23"/>
          <w:sz w:val="18"/>
        </w:rPr>
        <w:t> </w:t>
      </w:r>
      <w:r>
        <w:rPr>
          <w:sz w:val="18"/>
        </w:rPr>
        <w:t>use</w:t>
      </w:r>
      <w:r>
        <w:rPr>
          <w:spacing w:val="-22"/>
          <w:sz w:val="18"/>
        </w:rPr>
        <w:t> </w:t>
      </w:r>
      <w:r>
        <w:rPr>
          <w:sz w:val="18"/>
        </w:rPr>
        <w:t>or</w:t>
      </w:r>
      <w:r>
        <w:rPr>
          <w:spacing w:val="-22"/>
          <w:sz w:val="18"/>
        </w:rPr>
        <w:t> </w:t>
      </w:r>
      <w:r>
        <w:rPr>
          <w:sz w:val="18"/>
        </w:rPr>
        <w:t>rely</w:t>
      </w:r>
      <w:r>
        <w:rPr>
          <w:spacing w:val="-22"/>
          <w:sz w:val="18"/>
        </w:rPr>
        <w:t> </w:t>
      </w:r>
      <w:r>
        <w:rPr>
          <w:sz w:val="18"/>
        </w:rPr>
        <w:t>on</w:t>
      </w:r>
      <w:r>
        <w:rPr>
          <w:spacing w:val="-21"/>
          <w:sz w:val="18"/>
        </w:rPr>
        <w:t> </w:t>
      </w:r>
      <w:r>
        <w:rPr>
          <w:sz w:val="18"/>
        </w:rPr>
        <w:t>the</w:t>
      </w:r>
      <w:r>
        <w:rPr>
          <w:spacing w:val="-22"/>
          <w:sz w:val="18"/>
        </w:rPr>
        <w:t> </w:t>
      </w:r>
      <w:r>
        <w:rPr>
          <w:sz w:val="18"/>
        </w:rPr>
        <w:t>whole</w:t>
      </w:r>
      <w:r>
        <w:rPr>
          <w:spacing w:val="-23"/>
          <w:sz w:val="18"/>
        </w:rPr>
        <w:t> </w:t>
      </w:r>
      <w:r>
        <w:rPr>
          <w:sz w:val="18"/>
        </w:rPr>
        <w:t>or</w:t>
      </w:r>
      <w:r>
        <w:rPr>
          <w:spacing w:val="-22"/>
          <w:sz w:val="18"/>
        </w:rPr>
        <w:t> </w:t>
      </w:r>
      <w:r>
        <w:rPr>
          <w:sz w:val="18"/>
        </w:rPr>
        <w:t>any</w:t>
      </w:r>
      <w:r>
        <w:rPr>
          <w:spacing w:val="-23"/>
          <w:sz w:val="18"/>
        </w:rPr>
        <w:t> </w:t>
      </w:r>
      <w:r>
        <w:rPr>
          <w:sz w:val="18"/>
        </w:rPr>
        <w:t>part</w:t>
      </w:r>
      <w:r>
        <w:rPr>
          <w:spacing w:val="-23"/>
          <w:sz w:val="18"/>
        </w:rPr>
        <w:t> </w:t>
      </w:r>
      <w:r>
        <w:rPr>
          <w:sz w:val="18"/>
        </w:rPr>
        <w:t>of</w:t>
      </w:r>
      <w:r>
        <w:rPr>
          <w:spacing w:val="-22"/>
          <w:sz w:val="18"/>
        </w:rPr>
        <w:t> </w:t>
      </w:r>
      <w:r>
        <w:rPr>
          <w:sz w:val="18"/>
        </w:rPr>
        <w:t>the</w:t>
      </w:r>
      <w:r>
        <w:rPr>
          <w:spacing w:val="-21"/>
          <w:sz w:val="18"/>
        </w:rPr>
        <w:t> </w:t>
      </w:r>
      <w:r>
        <w:rPr>
          <w:sz w:val="18"/>
        </w:rPr>
        <w:t>content</w:t>
      </w:r>
      <w:r>
        <w:rPr>
          <w:spacing w:val="-23"/>
          <w:sz w:val="18"/>
        </w:rPr>
        <w:t> </w:t>
      </w:r>
      <w:r>
        <w:rPr>
          <w:sz w:val="18"/>
        </w:rPr>
        <w:t>of this</w:t>
      </w:r>
      <w:r>
        <w:rPr>
          <w:spacing w:val="-12"/>
          <w:sz w:val="18"/>
        </w:rPr>
        <w:t> </w:t>
      </w:r>
      <w:r>
        <w:rPr>
          <w:sz w:val="18"/>
        </w:rPr>
        <w:t>valuation.</w:t>
      </w:r>
      <w:r>
        <w:rPr>
          <w:spacing w:val="-12"/>
          <w:sz w:val="18"/>
        </w:rPr>
        <w:t> </w:t>
      </w:r>
      <w:r>
        <w:rPr>
          <w:sz w:val="18"/>
        </w:rPr>
        <w:t>The</w:t>
      </w:r>
      <w:r>
        <w:rPr>
          <w:spacing w:val="-11"/>
          <w:sz w:val="18"/>
        </w:rPr>
        <w:t> </w:t>
      </w:r>
      <w:r>
        <w:rPr>
          <w:sz w:val="18"/>
        </w:rPr>
        <w:t>valuer</w:t>
      </w:r>
      <w:r>
        <w:rPr>
          <w:spacing w:val="-13"/>
          <w:sz w:val="18"/>
        </w:rPr>
        <w:t> </w:t>
      </w:r>
      <w:r>
        <w:rPr>
          <w:sz w:val="18"/>
        </w:rPr>
        <w:t>has</w:t>
      </w:r>
      <w:r>
        <w:rPr>
          <w:spacing w:val="-14"/>
          <w:sz w:val="18"/>
        </w:rPr>
        <w:t> </w:t>
      </w:r>
      <w:r>
        <w:rPr>
          <w:sz w:val="18"/>
        </w:rPr>
        <w:t>no</w:t>
      </w:r>
      <w:r>
        <w:rPr>
          <w:spacing w:val="-11"/>
          <w:sz w:val="18"/>
        </w:rPr>
        <w:t> </w:t>
      </w:r>
      <w:r>
        <w:rPr>
          <w:sz w:val="18"/>
        </w:rPr>
        <w:t>pecuniary</w:t>
      </w:r>
      <w:r>
        <w:rPr>
          <w:spacing w:val="-12"/>
          <w:sz w:val="18"/>
        </w:rPr>
        <w:t> </w:t>
      </w:r>
      <w:r>
        <w:rPr>
          <w:sz w:val="18"/>
        </w:rPr>
        <w:t>interest</w:t>
      </w:r>
      <w:r>
        <w:rPr>
          <w:spacing w:val="-13"/>
          <w:sz w:val="18"/>
        </w:rPr>
        <w:t> </w:t>
      </w:r>
      <w:r>
        <w:rPr>
          <w:sz w:val="18"/>
        </w:rPr>
        <w:t>that</w:t>
      </w:r>
      <w:r>
        <w:rPr>
          <w:spacing w:val="-12"/>
          <w:sz w:val="18"/>
        </w:rPr>
        <w:t> </w:t>
      </w:r>
      <w:r>
        <w:rPr>
          <w:sz w:val="18"/>
        </w:rPr>
        <w:t>would</w:t>
      </w:r>
      <w:r>
        <w:rPr>
          <w:spacing w:val="-12"/>
          <w:sz w:val="18"/>
        </w:rPr>
        <w:t> </w:t>
      </w:r>
      <w:r>
        <w:rPr>
          <w:sz w:val="18"/>
        </w:rPr>
        <w:t>conflict</w:t>
      </w:r>
      <w:r>
        <w:rPr>
          <w:spacing w:val="-13"/>
          <w:sz w:val="18"/>
        </w:rPr>
        <w:t> </w:t>
      </w:r>
      <w:r>
        <w:rPr>
          <w:sz w:val="18"/>
        </w:rPr>
        <w:t>with</w:t>
      </w:r>
      <w:r>
        <w:rPr>
          <w:spacing w:val="-12"/>
          <w:sz w:val="18"/>
        </w:rPr>
        <w:t> </w:t>
      </w:r>
      <w:r>
        <w:rPr>
          <w:sz w:val="18"/>
        </w:rPr>
        <w:t>the</w:t>
      </w:r>
      <w:r>
        <w:rPr>
          <w:spacing w:val="-11"/>
          <w:sz w:val="18"/>
        </w:rPr>
        <w:t> </w:t>
      </w:r>
      <w:r>
        <w:rPr>
          <w:sz w:val="18"/>
        </w:rPr>
        <w:t>proper</w:t>
      </w:r>
      <w:r>
        <w:rPr>
          <w:spacing w:val="-12"/>
          <w:sz w:val="18"/>
        </w:rPr>
        <w:t> </w:t>
      </w:r>
      <w:r>
        <w:rPr>
          <w:sz w:val="18"/>
        </w:rPr>
        <w:t>valuation</w:t>
      </w:r>
      <w:r>
        <w:rPr>
          <w:spacing w:val="-12"/>
          <w:sz w:val="18"/>
        </w:rPr>
        <w:t> </w:t>
      </w:r>
      <w:r>
        <w:rPr>
          <w:sz w:val="18"/>
        </w:rPr>
        <w:t>of</w:t>
      </w:r>
      <w:r>
        <w:rPr>
          <w:spacing w:val="-11"/>
          <w:sz w:val="18"/>
        </w:rPr>
        <w:t> </w:t>
      </w:r>
      <w:r>
        <w:rPr>
          <w:sz w:val="18"/>
        </w:rPr>
        <w:t>the property</w:t>
      </w:r>
    </w:p>
    <w:p>
      <w:pPr>
        <w:spacing w:after="0" w:line="321" w:lineRule="auto"/>
        <w:jc w:val="both"/>
        <w:rPr>
          <w:sz w:val="18"/>
        </w:rPr>
        <w:sectPr>
          <w:type w:val="continuous"/>
          <w:pgSz w:w="11910" w:h="16840"/>
          <w:pgMar w:top="800" w:bottom="280" w:left="440" w:right="80"/>
          <w:cols w:num="2" w:equalWidth="0">
            <w:col w:w="2410" w:space="40"/>
            <w:col w:w="8940"/>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p>
    <w:p>
      <w:pPr>
        <w:pStyle w:val="BodyText"/>
        <w:spacing w:line="20" w:lineRule="exact"/>
        <w:ind w:left="280"/>
        <w:rPr>
          <w:sz w:val="2"/>
        </w:rPr>
      </w:pPr>
      <w:r>
        <w:rPr>
          <w:sz w:val="2"/>
        </w:rPr>
        <w:pict>
          <v:group style="width:144.050pt;height:.6pt;mso-position-horizontal-relative:char;mso-position-vertical-relative:line" coordorigin="0,0" coordsize="2881,12">
            <v:rect style="position:absolute;left:0;top:0;width:2881;height:12" filled="true" fillcolor="#000000" stroked="false">
              <v:fill type="solid"/>
            </v:rect>
          </v:group>
        </w:pict>
      </w:r>
      <w:r>
        <w:rPr>
          <w:sz w:val="2"/>
        </w:rPr>
      </w:r>
    </w:p>
    <w:p>
      <w:pPr>
        <w:spacing w:before="91"/>
        <w:ind w:left="280" w:right="0" w:firstLine="0"/>
        <w:jc w:val="left"/>
        <w:rPr>
          <w:i/>
          <w:sz w:val="18"/>
        </w:rPr>
      </w:pPr>
      <w:r>
        <w:rPr>
          <w:position w:val="6"/>
          <w:sz w:val="11"/>
        </w:rPr>
        <w:t>3 </w:t>
      </w:r>
      <w:r>
        <w:rPr>
          <w:i/>
          <w:sz w:val="18"/>
        </w:rPr>
        <w:t>Not Applicable. For completed properties, guidance (ready reckoner) value is calculated on the basis of built-up area</w:t>
      </w:r>
    </w:p>
    <w:p>
      <w:pPr>
        <w:spacing w:after="0"/>
        <w:jc w:val="left"/>
        <w:rPr>
          <w:sz w:val="18"/>
        </w:rPr>
        <w:sectPr>
          <w:type w:val="continuous"/>
          <w:pgSz w:w="11910" w:h="16840"/>
          <w:pgMar w:top="800" w:bottom="280" w:left="440" w:right="80"/>
        </w:sectPr>
      </w:pPr>
    </w:p>
    <w:p>
      <w:pPr>
        <w:pStyle w:val="BodyText"/>
        <w:spacing w:before="5"/>
        <w:rPr>
          <w:i/>
        </w:rPr>
      </w:pPr>
    </w:p>
    <w:p>
      <w:pPr>
        <w:pStyle w:val="ListParagraph"/>
        <w:numPr>
          <w:ilvl w:val="1"/>
          <w:numId w:val="26"/>
        </w:numPr>
        <w:tabs>
          <w:tab w:pos="857" w:val="left" w:leader="none"/>
        </w:tabs>
        <w:spacing w:line="240" w:lineRule="auto" w:before="106" w:after="0"/>
        <w:ind w:left="856" w:right="0" w:hanging="577"/>
        <w:jc w:val="left"/>
        <w:rPr>
          <w:sz w:val="22"/>
        </w:rPr>
      </w:pPr>
      <w:bookmarkStart w:name="_bookmark41" w:id="82"/>
      <w:bookmarkEnd w:id="82"/>
      <w:r>
        <w:rPr/>
      </w:r>
      <w:bookmarkStart w:name="_bookmark41" w:id="83"/>
      <w:bookmarkEnd w:id="83"/>
      <w:r>
        <w:rPr>
          <w:color w:val="1F6647"/>
          <w:w w:val="105"/>
          <w:sz w:val="22"/>
        </w:rPr>
        <w:t>E</w:t>
      </w:r>
      <w:r>
        <w:rPr>
          <w:color w:val="1F6647"/>
          <w:w w:val="105"/>
          <w:sz w:val="22"/>
        </w:rPr>
        <w:t>mbassy</w:t>
      </w:r>
      <w:r>
        <w:rPr>
          <w:color w:val="1F6647"/>
          <w:spacing w:val="-7"/>
          <w:w w:val="105"/>
          <w:sz w:val="22"/>
        </w:rPr>
        <w:t> </w:t>
      </w:r>
      <w:r>
        <w:rPr>
          <w:color w:val="1F6647"/>
          <w:w w:val="105"/>
          <w:sz w:val="22"/>
        </w:rPr>
        <w:t>Energy</w:t>
      </w:r>
    </w:p>
    <w:p>
      <w:pPr>
        <w:pStyle w:val="BodyText"/>
        <w:rPr>
          <w:sz w:val="29"/>
        </w:rPr>
      </w:pPr>
    </w:p>
    <w:p>
      <w:pPr>
        <w:tabs>
          <w:tab w:pos="2572" w:val="left" w:leader="none"/>
        </w:tabs>
        <w:spacing w:line="321" w:lineRule="auto" w:before="0"/>
        <w:ind w:left="2572" w:right="665" w:hanging="2180"/>
        <w:jc w:val="both"/>
        <w:rPr>
          <w:sz w:val="18"/>
        </w:rPr>
      </w:pPr>
      <w:r>
        <w:rPr>
          <w:color w:val="006A4D"/>
          <w:sz w:val="18"/>
        </w:rPr>
        <w:t>Property</w:t>
      </w:r>
      <w:r>
        <w:rPr>
          <w:color w:val="006A4D"/>
          <w:spacing w:val="-15"/>
          <w:sz w:val="18"/>
        </w:rPr>
        <w:t> </w:t>
      </w:r>
      <w:r>
        <w:rPr>
          <w:color w:val="006A4D"/>
          <w:sz w:val="18"/>
        </w:rPr>
        <w:t>Name:</w:t>
        <w:tab/>
      </w:r>
      <w:r>
        <w:rPr>
          <w:sz w:val="18"/>
        </w:rPr>
        <w:t>‘Embassy</w:t>
      </w:r>
      <w:r>
        <w:rPr>
          <w:spacing w:val="-20"/>
          <w:sz w:val="18"/>
        </w:rPr>
        <w:t> </w:t>
      </w:r>
      <w:r>
        <w:rPr>
          <w:sz w:val="18"/>
        </w:rPr>
        <w:t>Energy’</w:t>
      </w:r>
      <w:r>
        <w:rPr>
          <w:spacing w:val="-21"/>
          <w:sz w:val="18"/>
        </w:rPr>
        <w:t> </w:t>
      </w:r>
      <w:r>
        <w:rPr>
          <w:sz w:val="18"/>
        </w:rPr>
        <w:t>is</w:t>
      </w:r>
      <w:r>
        <w:rPr>
          <w:spacing w:val="-19"/>
          <w:sz w:val="18"/>
        </w:rPr>
        <w:t> </w:t>
      </w:r>
      <w:r>
        <w:rPr>
          <w:sz w:val="18"/>
        </w:rPr>
        <w:t>a</w:t>
      </w:r>
      <w:r>
        <w:rPr>
          <w:spacing w:val="-22"/>
          <w:sz w:val="18"/>
        </w:rPr>
        <w:t> </w:t>
      </w:r>
      <w:r>
        <w:rPr>
          <w:sz w:val="18"/>
        </w:rPr>
        <w:t>Solar</w:t>
      </w:r>
      <w:r>
        <w:rPr>
          <w:spacing w:val="-19"/>
          <w:sz w:val="18"/>
        </w:rPr>
        <w:t> </w:t>
      </w:r>
      <w:r>
        <w:rPr>
          <w:sz w:val="18"/>
        </w:rPr>
        <w:t>Photovoltaic</w:t>
      </w:r>
      <w:r>
        <w:rPr>
          <w:spacing w:val="-20"/>
          <w:sz w:val="18"/>
        </w:rPr>
        <w:t> </w:t>
      </w:r>
      <w:r>
        <w:rPr>
          <w:sz w:val="18"/>
        </w:rPr>
        <w:t>(PV)</w:t>
      </w:r>
      <w:r>
        <w:rPr>
          <w:spacing w:val="-21"/>
          <w:sz w:val="18"/>
        </w:rPr>
        <w:t> </w:t>
      </w:r>
      <w:r>
        <w:rPr>
          <w:sz w:val="18"/>
        </w:rPr>
        <w:t>electricity</w:t>
      </w:r>
      <w:r>
        <w:rPr>
          <w:spacing w:val="-21"/>
          <w:sz w:val="18"/>
        </w:rPr>
        <w:t> </w:t>
      </w:r>
      <w:r>
        <w:rPr>
          <w:sz w:val="18"/>
        </w:rPr>
        <w:t>generation</w:t>
      </w:r>
      <w:r>
        <w:rPr>
          <w:spacing w:val="-20"/>
          <w:sz w:val="18"/>
        </w:rPr>
        <w:t> </w:t>
      </w:r>
      <w:r>
        <w:rPr>
          <w:sz w:val="18"/>
        </w:rPr>
        <w:t>facility</w:t>
      </w:r>
      <w:r>
        <w:rPr>
          <w:spacing w:val="-20"/>
          <w:sz w:val="18"/>
        </w:rPr>
        <w:t> </w:t>
      </w:r>
      <w:r>
        <w:rPr>
          <w:sz w:val="18"/>
        </w:rPr>
        <w:t>spread</w:t>
      </w:r>
      <w:r>
        <w:rPr>
          <w:spacing w:val="-20"/>
          <w:sz w:val="18"/>
        </w:rPr>
        <w:t> </w:t>
      </w:r>
      <w:r>
        <w:rPr>
          <w:sz w:val="18"/>
        </w:rPr>
        <w:t>across</w:t>
      </w:r>
      <w:r>
        <w:rPr>
          <w:spacing w:val="-21"/>
          <w:sz w:val="18"/>
        </w:rPr>
        <w:t> </w:t>
      </w:r>
      <w:r>
        <w:rPr>
          <w:sz w:val="18"/>
        </w:rPr>
        <w:t>Villages</w:t>
      </w:r>
      <w:r>
        <w:rPr>
          <w:spacing w:val="-21"/>
          <w:sz w:val="18"/>
        </w:rPr>
        <w:t> </w:t>
      </w:r>
      <w:r>
        <w:rPr>
          <w:sz w:val="18"/>
        </w:rPr>
        <w:t>Ittigi, Mooregeri and Nellukudure, Bellary District,</w:t>
      </w:r>
      <w:r>
        <w:rPr>
          <w:spacing w:val="-16"/>
          <w:sz w:val="18"/>
        </w:rPr>
        <w:t> </w:t>
      </w:r>
      <w:r>
        <w:rPr>
          <w:sz w:val="18"/>
        </w:rPr>
        <w:t>Karnataka</w:t>
      </w:r>
    </w:p>
    <w:p>
      <w:pPr>
        <w:pStyle w:val="BodyText"/>
        <w:spacing w:before="7"/>
        <w:rPr>
          <w:sz w:val="21"/>
        </w:rPr>
      </w:pPr>
    </w:p>
    <w:p>
      <w:pPr>
        <w:tabs>
          <w:tab w:pos="2572" w:val="left" w:leader="none"/>
        </w:tabs>
        <w:spacing w:line="321" w:lineRule="auto" w:before="0"/>
        <w:ind w:left="2572" w:right="668" w:hanging="2180"/>
        <w:jc w:val="both"/>
        <w:rPr>
          <w:sz w:val="18"/>
        </w:rPr>
      </w:pPr>
      <w:r>
        <w:rPr>
          <w:color w:val="006A4D"/>
          <w:sz w:val="18"/>
        </w:rPr>
        <w:t>Property</w:t>
      </w:r>
      <w:r>
        <w:rPr>
          <w:color w:val="006A4D"/>
          <w:spacing w:val="-25"/>
          <w:sz w:val="18"/>
        </w:rPr>
        <w:t> </w:t>
      </w:r>
      <w:r>
        <w:rPr>
          <w:color w:val="006A4D"/>
          <w:sz w:val="18"/>
        </w:rPr>
        <w:t>Address:</w:t>
        <w:tab/>
      </w:r>
      <w:r>
        <w:rPr>
          <w:sz w:val="18"/>
        </w:rPr>
        <w:t>Villages Ittigi and Mooregeri in Huvin Hadagali Taluka and Nellukudure in Hagri Bommanhalli Taluka, Bellary District,</w:t>
      </w:r>
      <w:r>
        <w:rPr>
          <w:spacing w:val="-4"/>
          <w:sz w:val="18"/>
        </w:rPr>
        <w:t> </w:t>
      </w:r>
      <w:r>
        <w:rPr>
          <w:sz w:val="18"/>
        </w:rPr>
        <w:t>Karnataka</w:t>
      </w:r>
    </w:p>
    <w:p>
      <w:pPr>
        <w:pStyle w:val="BodyText"/>
        <w:spacing w:before="7"/>
        <w:rPr>
          <w:sz w:val="21"/>
        </w:rPr>
      </w:pPr>
    </w:p>
    <w:p>
      <w:pPr>
        <w:tabs>
          <w:tab w:pos="2572" w:val="left" w:leader="none"/>
        </w:tabs>
        <w:spacing w:line="321" w:lineRule="auto" w:before="0"/>
        <w:ind w:left="2572" w:right="661" w:hanging="2180"/>
        <w:jc w:val="both"/>
        <w:rPr>
          <w:sz w:val="18"/>
        </w:rPr>
      </w:pPr>
      <w:r>
        <w:rPr>
          <w:color w:val="006A4D"/>
          <w:sz w:val="18"/>
        </w:rPr>
        <w:t>Land</w:t>
      </w:r>
      <w:r>
        <w:rPr>
          <w:color w:val="006A4D"/>
          <w:spacing w:val="-4"/>
          <w:sz w:val="18"/>
        </w:rPr>
        <w:t> </w:t>
      </w:r>
      <w:r>
        <w:rPr>
          <w:color w:val="006A4D"/>
          <w:sz w:val="18"/>
        </w:rPr>
        <w:t>Area:</w:t>
        <w:tab/>
      </w:r>
      <w:r>
        <w:rPr>
          <w:sz w:val="18"/>
        </w:rPr>
        <w:t>We</w:t>
      </w:r>
      <w:r>
        <w:rPr>
          <w:spacing w:val="-23"/>
          <w:sz w:val="18"/>
        </w:rPr>
        <w:t> </w:t>
      </w:r>
      <w:r>
        <w:rPr>
          <w:sz w:val="18"/>
        </w:rPr>
        <w:t>understand</w:t>
      </w:r>
      <w:r>
        <w:rPr>
          <w:spacing w:val="-24"/>
          <w:sz w:val="18"/>
        </w:rPr>
        <w:t> </w:t>
      </w:r>
      <w:r>
        <w:rPr>
          <w:sz w:val="18"/>
        </w:rPr>
        <w:t>from</w:t>
      </w:r>
      <w:r>
        <w:rPr>
          <w:spacing w:val="-24"/>
          <w:sz w:val="18"/>
        </w:rPr>
        <w:t> </w:t>
      </w:r>
      <w:r>
        <w:rPr>
          <w:sz w:val="18"/>
        </w:rPr>
        <w:t>the</w:t>
      </w:r>
      <w:r>
        <w:rPr>
          <w:spacing w:val="-24"/>
          <w:sz w:val="18"/>
        </w:rPr>
        <w:t> </w:t>
      </w:r>
      <w:r>
        <w:rPr>
          <w:sz w:val="18"/>
        </w:rPr>
        <w:t>Client,</w:t>
      </w:r>
      <w:r>
        <w:rPr>
          <w:spacing w:val="-25"/>
          <w:sz w:val="18"/>
        </w:rPr>
        <w:t> </w:t>
      </w:r>
      <w:r>
        <w:rPr>
          <w:sz w:val="18"/>
        </w:rPr>
        <w:t>title</w:t>
      </w:r>
      <w:r>
        <w:rPr>
          <w:spacing w:val="-24"/>
          <w:sz w:val="18"/>
        </w:rPr>
        <w:t> </w:t>
      </w:r>
      <w:r>
        <w:rPr>
          <w:sz w:val="18"/>
        </w:rPr>
        <w:t>reports,</w:t>
      </w:r>
      <w:r>
        <w:rPr>
          <w:spacing w:val="-24"/>
          <w:sz w:val="18"/>
        </w:rPr>
        <w:t> </w:t>
      </w:r>
      <w:r>
        <w:rPr>
          <w:sz w:val="18"/>
        </w:rPr>
        <w:t>site</w:t>
      </w:r>
      <w:r>
        <w:rPr>
          <w:spacing w:val="-24"/>
          <w:sz w:val="18"/>
        </w:rPr>
        <w:t> </w:t>
      </w:r>
      <w:r>
        <w:rPr>
          <w:sz w:val="18"/>
        </w:rPr>
        <w:t>plans,</w:t>
      </w:r>
      <w:r>
        <w:rPr>
          <w:spacing w:val="-25"/>
          <w:sz w:val="18"/>
        </w:rPr>
        <w:t> </w:t>
      </w:r>
      <w:r>
        <w:rPr>
          <w:sz w:val="18"/>
        </w:rPr>
        <w:t>letter</w:t>
      </w:r>
      <w:r>
        <w:rPr>
          <w:spacing w:val="-23"/>
          <w:sz w:val="18"/>
        </w:rPr>
        <w:t> </w:t>
      </w:r>
      <w:r>
        <w:rPr>
          <w:sz w:val="18"/>
        </w:rPr>
        <w:t>highlighting</w:t>
      </w:r>
      <w:r>
        <w:rPr>
          <w:spacing w:val="-24"/>
          <w:sz w:val="18"/>
        </w:rPr>
        <w:t> </w:t>
      </w:r>
      <w:r>
        <w:rPr>
          <w:sz w:val="18"/>
        </w:rPr>
        <w:t>Commercial</w:t>
      </w:r>
      <w:r>
        <w:rPr>
          <w:spacing w:val="-24"/>
          <w:sz w:val="18"/>
        </w:rPr>
        <w:t> </w:t>
      </w:r>
      <w:r>
        <w:rPr>
          <w:sz w:val="18"/>
        </w:rPr>
        <w:t>Operations</w:t>
      </w:r>
      <w:r>
        <w:rPr>
          <w:spacing w:val="-24"/>
          <w:sz w:val="18"/>
        </w:rPr>
        <w:t> </w:t>
      </w:r>
      <w:r>
        <w:rPr>
          <w:sz w:val="18"/>
        </w:rPr>
        <w:t>Date and</w:t>
      </w:r>
      <w:r>
        <w:rPr>
          <w:spacing w:val="-16"/>
          <w:sz w:val="18"/>
        </w:rPr>
        <w:t> </w:t>
      </w:r>
      <w:r>
        <w:rPr>
          <w:sz w:val="18"/>
        </w:rPr>
        <w:t>site</w:t>
      </w:r>
      <w:r>
        <w:rPr>
          <w:spacing w:val="-15"/>
          <w:sz w:val="18"/>
        </w:rPr>
        <w:t> </w:t>
      </w:r>
      <w:r>
        <w:rPr>
          <w:sz w:val="18"/>
        </w:rPr>
        <w:t>visit,</w:t>
      </w:r>
      <w:r>
        <w:rPr>
          <w:spacing w:val="-15"/>
          <w:sz w:val="18"/>
        </w:rPr>
        <w:t> </w:t>
      </w:r>
      <w:r>
        <w:rPr>
          <w:sz w:val="18"/>
        </w:rPr>
        <w:t>that</w:t>
      </w:r>
      <w:r>
        <w:rPr>
          <w:spacing w:val="-16"/>
          <w:sz w:val="18"/>
        </w:rPr>
        <w:t> </w:t>
      </w:r>
      <w:r>
        <w:rPr>
          <w:sz w:val="18"/>
        </w:rPr>
        <w:t>the</w:t>
      </w:r>
      <w:r>
        <w:rPr>
          <w:spacing w:val="-15"/>
          <w:sz w:val="18"/>
        </w:rPr>
        <w:t> </w:t>
      </w:r>
      <w:r>
        <w:rPr>
          <w:sz w:val="18"/>
        </w:rPr>
        <w:t>park</w:t>
      </w:r>
      <w:r>
        <w:rPr>
          <w:spacing w:val="-15"/>
          <w:sz w:val="18"/>
        </w:rPr>
        <w:t> </w:t>
      </w:r>
      <w:r>
        <w:rPr>
          <w:sz w:val="18"/>
        </w:rPr>
        <w:t>is</w:t>
      </w:r>
      <w:r>
        <w:rPr>
          <w:spacing w:val="-14"/>
          <w:sz w:val="18"/>
        </w:rPr>
        <w:t> </w:t>
      </w:r>
      <w:r>
        <w:rPr>
          <w:sz w:val="18"/>
        </w:rPr>
        <w:t>spread</w:t>
      </w:r>
      <w:r>
        <w:rPr>
          <w:spacing w:val="-15"/>
          <w:sz w:val="18"/>
        </w:rPr>
        <w:t> </w:t>
      </w:r>
      <w:r>
        <w:rPr>
          <w:sz w:val="18"/>
        </w:rPr>
        <w:t>over</w:t>
      </w:r>
      <w:r>
        <w:rPr>
          <w:spacing w:val="-15"/>
          <w:sz w:val="18"/>
        </w:rPr>
        <w:t> </w:t>
      </w:r>
      <w:r>
        <w:rPr>
          <w:sz w:val="18"/>
        </w:rPr>
        <w:t>465.77</w:t>
      </w:r>
      <w:r>
        <w:rPr>
          <w:spacing w:val="-12"/>
          <w:sz w:val="18"/>
        </w:rPr>
        <w:t> </w:t>
      </w:r>
      <w:r>
        <w:rPr>
          <w:sz w:val="18"/>
        </w:rPr>
        <w:t>acres</w:t>
      </w:r>
      <w:r>
        <w:rPr>
          <w:spacing w:val="-14"/>
          <w:sz w:val="18"/>
        </w:rPr>
        <w:t> </w:t>
      </w:r>
      <w:r>
        <w:rPr>
          <w:sz w:val="18"/>
        </w:rPr>
        <w:t>of</w:t>
      </w:r>
      <w:r>
        <w:rPr>
          <w:spacing w:val="-15"/>
          <w:sz w:val="18"/>
        </w:rPr>
        <w:t> </w:t>
      </w:r>
      <w:r>
        <w:rPr>
          <w:sz w:val="18"/>
        </w:rPr>
        <w:t>which</w:t>
      </w:r>
      <w:r>
        <w:rPr>
          <w:spacing w:val="-14"/>
          <w:sz w:val="18"/>
        </w:rPr>
        <w:t> </w:t>
      </w:r>
      <w:r>
        <w:rPr>
          <w:sz w:val="18"/>
        </w:rPr>
        <w:t>the</w:t>
      </w:r>
      <w:r>
        <w:rPr>
          <w:spacing w:val="-14"/>
          <w:sz w:val="18"/>
        </w:rPr>
        <w:t> </w:t>
      </w:r>
      <w:r>
        <w:rPr>
          <w:sz w:val="18"/>
        </w:rPr>
        <w:t>land</w:t>
      </w:r>
      <w:r>
        <w:rPr>
          <w:spacing w:val="-15"/>
          <w:sz w:val="18"/>
        </w:rPr>
        <w:t> </w:t>
      </w:r>
      <w:r>
        <w:rPr>
          <w:sz w:val="18"/>
        </w:rPr>
        <w:t>aggregation</w:t>
      </w:r>
      <w:r>
        <w:rPr>
          <w:spacing w:val="-16"/>
          <w:sz w:val="18"/>
        </w:rPr>
        <w:t> </w:t>
      </w:r>
      <w:r>
        <w:rPr>
          <w:sz w:val="18"/>
        </w:rPr>
        <w:t>is</w:t>
      </w:r>
      <w:r>
        <w:rPr>
          <w:spacing w:val="-15"/>
          <w:sz w:val="18"/>
        </w:rPr>
        <w:t> </w:t>
      </w:r>
      <w:r>
        <w:rPr>
          <w:sz w:val="18"/>
        </w:rPr>
        <w:t>in</w:t>
      </w:r>
      <w:r>
        <w:rPr>
          <w:spacing w:val="-14"/>
          <w:sz w:val="18"/>
        </w:rPr>
        <w:t> </w:t>
      </w:r>
      <w:r>
        <w:rPr>
          <w:sz w:val="18"/>
        </w:rPr>
        <w:t>place</w:t>
      </w:r>
      <w:r>
        <w:rPr>
          <w:spacing w:val="-14"/>
          <w:sz w:val="18"/>
        </w:rPr>
        <w:t> </w:t>
      </w:r>
      <w:r>
        <w:rPr>
          <w:sz w:val="18"/>
        </w:rPr>
        <w:t>by</w:t>
      </w:r>
      <w:r>
        <w:rPr>
          <w:spacing w:val="-17"/>
          <w:sz w:val="18"/>
        </w:rPr>
        <w:t> </w:t>
      </w:r>
      <w:r>
        <w:rPr>
          <w:sz w:val="18"/>
        </w:rPr>
        <w:t>way of sale deed, Agreement to Sell (ATS) or General Power of Attorney (GPA), etc. We understand that currently only about 254.47 acres is owned by the company by way of Sale Deed whereas the rest is under</w:t>
      </w:r>
      <w:r>
        <w:rPr>
          <w:spacing w:val="-14"/>
          <w:sz w:val="18"/>
        </w:rPr>
        <w:t> </w:t>
      </w:r>
      <w:r>
        <w:rPr>
          <w:sz w:val="18"/>
        </w:rPr>
        <w:t>various</w:t>
      </w:r>
      <w:r>
        <w:rPr>
          <w:spacing w:val="-14"/>
          <w:sz w:val="18"/>
        </w:rPr>
        <w:t> </w:t>
      </w:r>
      <w:r>
        <w:rPr>
          <w:sz w:val="18"/>
        </w:rPr>
        <w:t>stages</w:t>
      </w:r>
      <w:r>
        <w:rPr>
          <w:spacing w:val="-13"/>
          <w:sz w:val="18"/>
        </w:rPr>
        <w:t> </w:t>
      </w:r>
      <w:r>
        <w:rPr>
          <w:sz w:val="18"/>
        </w:rPr>
        <w:t>of</w:t>
      </w:r>
      <w:r>
        <w:rPr>
          <w:spacing w:val="-14"/>
          <w:sz w:val="18"/>
        </w:rPr>
        <w:t> </w:t>
      </w:r>
      <w:r>
        <w:rPr>
          <w:sz w:val="18"/>
        </w:rPr>
        <w:t>sale</w:t>
      </w:r>
      <w:r>
        <w:rPr>
          <w:spacing w:val="-13"/>
          <w:sz w:val="18"/>
        </w:rPr>
        <w:t> </w:t>
      </w:r>
      <w:r>
        <w:rPr>
          <w:sz w:val="18"/>
        </w:rPr>
        <w:t>and</w:t>
      </w:r>
      <w:r>
        <w:rPr>
          <w:spacing w:val="-14"/>
          <w:sz w:val="18"/>
        </w:rPr>
        <w:t> </w:t>
      </w:r>
      <w:r>
        <w:rPr>
          <w:sz w:val="18"/>
        </w:rPr>
        <w:t>conversion</w:t>
      </w:r>
      <w:r>
        <w:rPr>
          <w:spacing w:val="-11"/>
          <w:sz w:val="18"/>
        </w:rPr>
        <w:t> </w:t>
      </w:r>
      <w:r>
        <w:rPr>
          <w:w w:val="105"/>
          <w:sz w:val="18"/>
        </w:rPr>
        <w:t>–</w:t>
      </w:r>
      <w:r>
        <w:rPr>
          <w:spacing w:val="-16"/>
          <w:w w:val="105"/>
          <w:sz w:val="18"/>
        </w:rPr>
        <w:t> </w:t>
      </w:r>
      <w:r>
        <w:rPr>
          <w:sz w:val="18"/>
        </w:rPr>
        <w:t>below</w:t>
      </w:r>
      <w:r>
        <w:rPr>
          <w:spacing w:val="-13"/>
          <w:sz w:val="18"/>
        </w:rPr>
        <w:t> </w:t>
      </w:r>
      <w:r>
        <w:rPr>
          <w:sz w:val="18"/>
        </w:rPr>
        <w:t>is</w:t>
      </w:r>
      <w:r>
        <w:rPr>
          <w:spacing w:val="-13"/>
          <w:sz w:val="18"/>
        </w:rPr>
        <w:t> </w:t>
      </w:r>
      <w:r>
        <w:rPr>
          <w:sz w:val="18"/>
        </w:rPr>
        <w:t>a</w:t>
      </w:r>
      <w:r>
        <w:rPr>
          <w:spacing w:val="-14"/>
          <w:sz w:val="18"/>
        </w:rPr>
        <w:t> </w:t>
      </w:r>
      <w:r>
        <w:rPr>
          <w:sz w:val="18"/>
        </w:rPr>
        <w:t>table</w:t>
      </w:r>
      <w:r>
        <w:rPr>
          <w:spacing w:val="-13"/>
          <w:sz w:val="18"/>
        </w:rPr>
        <w:t> </w:t>
      </w:r>
      <w:r>
        <w:rPr>
          <w:sz w:val="18"/>
        </w:rPr>
        <w:t>which</w:t>
      </w:r>
      <w:r>
        <w:rPr>
          <w:spacing w:val="-14"/>
          <w:sz w:val="18"/>
        </w:rPr>
        <w:t> </w:t>
      </w:r>
      <w:r>
        <w:rPr>
          <w:sz w:val="18"/>
        </w:rPr>
        <w:t>highlights</w:t>
      </w:r>
      <w:r>
        <w:rPr>
          <w:spacing w:val="-13"/>
          <w:sz w:val="18"/>
        </w:rPr>
        <w:t> </w:t>
      </w:r>
      <w:r>
        <w:rPr>
          <w:sz w:val="18"/>
        </w:rPr>
        <w:t>the</w:t>
      </w:r>
      <w:r>
        <w:rPr>
          <w:spacing w:val="-15"/>
          <w:sz w:val="18"/>
        </w:rPr>
        <w:t> </w:t>
      </w:r>
      <w:r>
        <w:rPr>
          <w:sz w:val="18"/>
        </w:rPr>
        <w:t>current</w:t>
      </w:r>
      <w:r>
        <w:rPr>
          <w:spacing w:val="-14"/>
          <w:sz w:val="18"/>
        </w:rPr>
        <w:t> </w:t>
      </w:r>
      <w:r>
        <w:rPr>
          <w:sz w:val="18"/>
        </w:rPr>
        <w:t>status</w:t>
      </w:r>
      <w:r>
        <w:rPr>
          <w:spacing w:val="-13"/>
          <w:sz w:val="18"/>
        </w:rPr>
        <w:t> </w:t>
      </w:r>
      <w:r>
        <w:rPr>
          <w:sz w:val="18"/>
        </w:rPr>
        <w:t>of</w:t>
      </w:r>
      <w:r>
        <w:rPr>
          <w:spacing w:val="-14"/>
          <w:sz w:val="18"/>
        </w:rPr>
        <w:t> </w:t>
      </w:r>
      <w:r>
        <w:rPr>
          <w:sz w:val="18"/>
        </w:rPr>
        <w:t>the Land</w:t>
      </w:r>
      <w:r>
        <w:rPr>
          <w:spacing w:val="-8"/>
          <w:sz w:val="18"/>
        </w:rPr>
        <w:t> </w:t>
      </w:r>
      <w:r>
        <w:rPr>
          <w:sz w:val="18"/>
        </w:rPr>
        <w:t>Aggregation.</w:t>
      </w:r>
      <w:r>
        <w:rPr>
          <w:spacing w:val="-8"/>
          <w:sz w:val="18"/>
        </w:rPr>
        <w:t> </w:t>
      </w:r>
      <w:r>
        <w:rPr>
          <w:sz w:val="18"/>
        </w:rPr>
        <w:t>Further,</w:t>
      </w:r>
      <w:r>
        <w:rPr>
          <w:spacing w:val="-7"/>
          <w:sz w:val="18"/>
        </w:rPr>
        <w:t> </w:t>
      </w:r>
      <w:r>
        <w:rPr>
          <w:sz w:val="18"/>
        </w:rPr>
        <w:t>we</w:t>
      </w:r>
      <w:r>
        <w:rPr>
          <w:spacing w:val="-8"/>
          <w:sz w:val="18"/>
        </w:rPr>
        <w:t> </w:t>
      </w:r>
      <w:r>
        <w:rPr>
          <w:sz w:val="18"/>
        </w:rPr>
        <w:t>understand</w:t>
      </w:r>
      <w:r>
        <w:rPr>
          <w:spacing w:val="-7"/>
          <w:sz w:val="18"/>
        </w:rPr>
        <w:t> </w:t>
      </w:r>
      <w:r>
        <w:rPr>
          <w:sz w:val="18"/>
        </w:rPr>
        <w:t>that</w:t>
      </w:r>
      <w:r>
        <w:rPr>
          <w:spacing w:val="-8"/>
          <w:sz w:val="18"/>
        </w:rPr>
        <w:t> </w:t>
      </w:r>
      <w:r>
        <w:rPr>
          <w:sz w:val="18"/>
        </w:rPr>
        <w:t>physical</w:t>
      </w:r>
      <w:r>
        <w:rPr>
          <w:spacing w:val="-8"/>
          <w:sz w:val="18"/>
        </w:rPr>
        <w:t> </w:t>
      </w:r>
      <w:r>
        <w:rPr>
          <w:sz w:val="18"/>
        </w:rPr>
        <w:t>possession</w:t>
      </w:r>
      <w:r>
        <w:rPr>
          <w:spacing w:val="-7"/>
          <w:sz w:val="18"/>
        </w:rPr>
        <w:t> </w:t>
      </w:r>
      <w:r>
        <w:rPr>
          <w:sz w:val="18"/>
        </w:rPr>
        <w:t>of</w:t>
      </w:r>
      <w:r>
        <w:rPr>
          <w:spacing w:val="-8"/>
          <w:sz w:val="18"/>
        </w:rPr>
        <w:t> </w:t>
      </w:r>
      <w:r>
        <w:rPr>
          <w:spacing w:val="2"/>
          <w:sz w:val="18"/>
        </w:rPr>
        <w:t>the</w:t>
      </w:r>
      <w:r>
        <w:rPr>
          <w:spacing w:val="-7"/>
          <w:sz w:val="18"/>
        </w:rPr>
        <w:t> </w:t>
      </w:r>
      <w:r>
        <w:rPr>
          <w:sz w:val="18"/>
        </w:rPr>
        <w:t>land</w:t>
      </w:r>
      <w:r>
        <w:rPr>
          <w:spacing w:val="-7"/>
          <w:sz w:val="18"/>
        </w:rPr>
        <w:t> </w:t>
      </w:r>
      <w:r>
        <w:rPr>
          <w:sz w:val="18"/>
        </w:rPr>
        <w:t>is</w:t>
      </w:r>
      <w:r>
        <w:rPr>
          <w:spacing w:val="-7"/>
          <w:sz w:val="18"/>
        </w:rPr>
        <w:t> </w:t>
      </w:r>
      <w:r>
        <w:rPr>
          <w:sz w:val="18"/>
        </w:rPr>
        <w:t>with</w:t>
      </w:r>
      <w:r>
        <w:rPr>
          <w:spacing w:val="-7"/>
          <w:sz w:val="18"/>
        </w:rPr>
        <w:t> </w:t>
      </w:r>
      <w:r>
        <w:rPr>
          <w:sz w:val="18"/>
        </w:rPr>
        <w:t>EEPL</w:t>
      </w:r>
      <w:r>
        <w:rPr>
          <w:spacing w:val="-7"/>
          <w:sz w:val="18"/>
        </w:rPr>
        <w:t> </w:t>
      </w:r>
      <w:r>
        <w:rPr>
          <w:sz w:val="18"/>
        </w:rPr>
        <w:t>and/or</w:t>
      </w:r>
      <w:r>
        <w:rPr>
          <w:spacing w:val="-8"/>
          <w:sz w:val="18"/>
        </w:rPr>
        <w:t> </w:t>
      </w:r>
      <w:r>
        <w:rPr>
          <w:sz w:val="18"/>
        </w:rPr>
        <w:t>its contractors</w:t>
      </w:r>
      <w:r>
        <w:rPr>
          <w:spacing w:val="-12"/>
          <w:sz w:val="18"/>
        </w:rPr>
        <w:t> </w:t>
      </w:r>
      <w:r>
        <w:rPr>
          <w:sz w:val="18"/>
        </w:rPr>
        <w:t>and</w:t>
      </w:r>
      <w:r>
        <w:rPr>
          <w:spacing w:val="-14"/>
          <w:sz w:val="18"/>
        </w:rPr>
        <w:t> </w:t>
      </w:r>
      <w:r>
        <w:rPr>
          <w:sz w:val="18"/>
        </w:rPr>
        <w:t>sub-contractors</w:t>
      </w:r>
      <w:r>
        <w:rPr>
          <w:spacing w:val="-11"/>
          <w:sz w:val="18"/>
        </w:rPr>
        <w:t> </w:t>
      </w:r>
      <w:r>
        <w:rPr>
          <w:sz w:val="18"/>
        </w:rPr>
        <w:t>and</w:t>
      </w:r>
      <w:r>
        <w:rPr>
          <w:spacing w:val="-12"/>
          <w:sz w:val="18"/>
        </w:rPr>
        <w:t> </w:t>
      </w:r>
      <w:r>
        <w:rPr>
          <w:sz w:val="18"/>
        </w:rPr>
        <w:t>that</w:t>
      </w:r>
      <w:r>
        <w:rPr>
          <w:spacing w:val="-12"/>
          <w:sz w:val="18"/>
        </w:rPr>
        <w:t> </w:t>
      </w:r>
      <w:r>
        <w:rPr>
          <w:sz w:val="18"/>
        </w:rPr>
        <w:t>the</w:t>
      </w:r>
      <w:r>
        <w:rPr>
          <w:spacing w:val="-11"/>
          <w:sz w:val="18"/>
        </w:rPr>
        <w:t> </w:t>
      </w:r>
      <w:r>
        <w:rPr>
          <w:sz w:val="18"/>
        </w:rPr>
        <w:t>solar</w:t>
      </w:r>
      <w:r>
        <w:rPr>
          <w:spacing w:val="-13"/>
          <w:sz w:val="18"/>
        </w:rPr>
        <w:t> </w:t>
      </w:r>
      <w:r>
        <w:rPr>
          <w:sz w:val="18"/>
        </w:rPr>
        <w:t>park</w:t>
      </w:r>
      <w:r>
        <w:rPr>
          <w:spacing w:val="-11"/>
          <w:sz w:val="18"/>
        </w:rPr>
        <w:t> </w:t>
      </w:r>
      <w:r>
        <w:rPr>
          <w:sz w:val="18"/>
        </w:rPr>
        <w:t>has</w:t>
      </w:r>
      <w:r>
        <w:rPr>
          <w:spacing w:val="-13"/>
          <w:sz w:val="18"/>
        </w:rPr>
        <w:t> </w:t>
      </w:r>
      <w:r>
        <w:rPr>
          <w:sz w:val="18"/>
        </w:rPr>
        <w:t>been</w:t>
      </w:r>
      <w:r>
        <w:rPr>
          <w:spacing w:val="-12"/>
          <w:sz w:val="18"/>
        </w:rPr>
        <w:t> </w:t>
      </w:r>
      <w:r>
        <w:rPr>
          <w:sz w:val="18"/>
        </w:rPr>
        <w:t>constructed</w:t>
      </w:r>
      <w:r>
        <w:rPr>
          <w:spacing w:val="-11"/>
          <w:sz w:val="18"/>
        </w:rPr>
        <w:t> </w:t>
      </w:r>
      <w:r>
        <w:rPr>
          <w:sz w:val="18"/>
        </w:rPr>
        <w:t>on</w:t>
      </w:r>
      <w:r>
        <w:rPr>
          <w:spacing w:val="-12"/>
          <w:sz w:val="18"/>
        </w:rPr>
        <w:t> </w:t>
      </w:r>
      <w:r>
        <w:rPr>
          <w:sz w:val="18"/>
        </w:rPr>
        <w:t>most</w:t>
      </w:r>
      <w:r>
        <w:rPr>
          <w:spacing w:val="-12"/>
          <w:sz w:val="18"/>
        </w:rPr>
        <w:t> </w:t>
      </w:r>
      <w:r>
        <w:rPr>
          <w:sz w:val="18"/>
        </w:rPr>
        <w:t>of</w:t>
      </w:r>
      <w:r>
        <w:rPr>
          <w:spacing w:val="-12"/>
          <w:sz w:val="18"/>
        </w:rPr>
        <w:t> </w:t>
      </w:r>
      <w:r>
        <w:rPr>
          <w:sz w:val="18"/>
        </w:rPr>
        <w:t>the</w:t>
      </w:r>
      <w:r>
        <w:rPr>
          <w:spacing w:val="-11"/>
          <w:sz w:val="18"/>
        </w:rPr>
        <w:t> </w:t>
      </w:r>
      <w:r>
        <w:rPr>
          <w:sz w:val="18"/>
        </w:rPr>
        <w:t>land.</w:t>
      </w:r>
      <w:r>
        <w:rPr>
          <w:spacing w:val="-12"/>
          <w:sz w:val="18"/>
        </w:rPr>
        <w:t> </w:t>
      </w:r>
      <w:r>
        <w:rPr>
          <w:sz w:val="18"/>
        </w:rPr>
        <w:t>It</w:t>
      </w:r>
      <w:r>
        <w:rPr>
          <w:spacing w:val="-12"/>
          <w:sz w:val="18"/>
        </w:rPr>
        <w:t> </w:t>
      </w:r>
      <w:r>
        <w:rPr>
          <w:sz w:val="18"/>
        </w:rPr>
        <w:t>is assumed</w:t>
      </w:r>
      <w:r>
        <w:rPr>
          <w:spacing w:val="-24"/>
          <w:sz w:val="18"/>
        </w:rPr>
        <w:t> </w:t>
      </w:r>
      <w:r>
        <w:rPr>
          <w:sz w:val="18"/>
        </w:rPr>
        <w:t>that</w:t>
      </w:r>
      <w:r>
        <w:rPr>
          <w:spacing w:val="-24"/>
          <w:sz w:val="18"/>
        </w:rPr>
        <w:t> </w:t>
      </w:r>
      <w:r>
        <w:rPr>
          <w:sz w:val="18"/>
        </w:rPr>
        <w:t>the</w:t>
      </w:r>
      <w:r>
        <w:rPr>
          <w:spacing w:val="-22"/>
          <w:sz w:val="18"/>
        </w:rPr>
        <w:t> </w:t>
      </w:r>
      <w:r>
        <w:rPr>
          <w:sz w:val="18"/>
        </w:rPr>
        <w:t>sale</w:t>
      </w:r>
      <w:r>
        <w:rPr>
          <w:spacing w:val="-23"/>
          <w:sz w:val="18"/>
        </w:rPr>
        <w:t> </w:t>
      </w:r>
      <w:r>
        <w:rPr>
          <w:sz w:val="18"/>
        </w:rPr>
        <w:t>and</w:t>
      </w:r>
      <w:r>
        <w:rPr>
          <w:spacing w:val="-23"/>
          <w:sz w:val="18"/>
        </w:rPr>
        <w:t> </w:t>
      </w:r>
      <w:r>
        <w:rPr>
          <w:sz w:val="18"/>
        </w:rPr>
        <w:t>conversion</w:t>
      </w:r>
      <w:r>
        <w:rPr>
          <w:spacing w:val="-23"/>
          <w:sz w:val="18"/>
        </w:rPr>
        <w:t> </w:t>
      </w:r>
      <w:r>
        <w:rPr>
          <w:sz w:val="18"/>
        </w:rPr>
        <w:t>would</w:t>
      </w:r>
      <w:r>
        <w:rPr>
          <w:spacing w:val="-23"/>
          <w:sz w:val="18"/>
        </w:rPr>
        <w:t> </w:t>
      </w:r>
      <w:r>
        <w:rPr>
          <w:sz w:val="18"/>
        </w:rPr>
        <w:t>be</w:t>
      </w:r>
      <w:r>
        <w:rPr>
          <w:spacing w:val="-23"/>
          <w:sz w:val="18"/>
        </w:rPr>
        <w:t> </w:t>
      </w:r>
      <w:r>
        <w:rPr>
          <w:sz w:val="18"/>
        </w:rPr>
        <w:t>successful</w:t>
      </w:r>
      <w:r>
        <w:rPr>
          <w:spacing w:val="-23"/>
          <w:sz w:val="18"/>
        </w:rPr>
        <w:t> </w:t>
      </w:r>
      <w:r>
        <w:rPr>
          <w:sz w:val="18"/>
        </w:rPr>
        <w:t>and</w:t>
      </w:r>
      <w:r>
        <w:rPr>
          <w:spacing w:val="-23"/>
          <w:sz w:val="18"/>
        </w:rPr>
        <w:t> </w:t>
      </w:r>
      <w:r>
        <w:rPr>
          <w:sz w:val="18"/>
        </w:rPr>
        <w:t>any</w:t>
      </w:r>
      <w:r>
        <w:rPr>
          <w:spacing w:val="-23"/>
          <w:sz w:val="18"/>
        </w:rPr>
        <w:t> </w:t>
      </w:r>
      <w:r>
        <w:rPr>
          <w:sz w:val="18"/>
        </w:rPr>
        <w:t>adverse</w:t>
      </w:r>
      <w:r>
        <w:rPr>
          <w:spacing w:val="-23"/>
          <w:sz w:val="18"/>
        </w:rPr>
        <w:t> </w:t>
      </w:r>
      <w:r>
        <w:rPr>
          <w:sz w:val="18"/>
        </w:rPr>
        <w:t>impact</w:t>
      </w:r>
      <w:r>
        <w:rPr>
          <w:spacing w:val="-24"/>
          <w:sz w:val="18"/>
        </w:rPr>
        <w:t> </w:t>
      </w:r>
      <w:r>
        <w:rPr>
          <w:sz w:val="18"/>
        </w:rPr>
        <w:t>has</w:t>
      </w:r>
      <w:r>
        <w:rPr>
          <w:spacing w:val="-22"/>
          <w:sz w:val="18"/>
        </w:rPr>
        <w:t> </w:t>
      </w:r>
      <w:r>
        <w:rPr>
          <w:sz w:val="18"/>
        </w:rPr>
        <w:t>not</w:t>
      </w:r>
      <w:r>
        <w:rPr>
          <w:spacing w:val="-24"/>
          <w:sz w:val="18"/>
        </w:rPr>
        <w:t> </w:t>
      </w:r>
      <w:r>
        <w:rPr>
          <w:sz w:val="18"/>
        </w:rPr>
        <w:t>been</w:t>
      </w:r>
      <w:r>
        <w:rPr>
          <w:spacing w:val="-23"/>
          <w:sz w:val="18"/>
        </w:rPr>
        <w:t> </w:t>
      </w:r>
      <w:r>
        <w:rPr>
          <w:sz w:val="18"/>
        </w:rPr>
        <w:t>factored in the</w:t>
      </w:r>
      <w:r>
        <w:rPr>
          <w:spacing w:val="-5"/>
          <w:sz w:val="18"/>
        </w:rPr>
        <w:t> </w:t>
      </w:r>
      <w:r>
        <w:rPr>
          <w:sz w:val="18"/>
        </w:rPr>
        <w:t>valuation</w:t>
      </w:r>
    </w:p>
    <w:p>
      <w:pPr>
        <w:pStyle w:val="BodyText"/>
        <w:spacing w:before="8"/>
        <w:rPr>
          <w:sz w:val="11"/>
        </w:rPr>
      </w:pPr>
    </w:p>
    <w:tbl>
      <w:tblPr>
        <w:tblW w:w="0" w:type="auto"/>
        <w:jc w:val="left"/>
        <w:tblInd w:w="2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03"/>
        <w:gridCol w:w="2962"/>
      </w:tblGrid>
      <w:tr>
        <w:trPr>
          <w:trHeight w:val="275" w:hRule="atLeast"/>
        </w:trPr>
        <w:tc>
          <w:tcPr>
            <w:tcW w:w="5203" w:type="dxa"/>
            <w:tcBorders>
              <w:top w:val="single" w:sz="12" w:space="0" w:color="1B6B22"/>
              <w:bottom w:val="single" w:sz="8" w:space="0" w:color="69BD28"/>
            </w:tcBorders>
            <w:shd w:val="clear" w:color="auto" w:fill="006A4D"/>
          </w:tcPr>
          <w:p>
            <w:pPr>
              <w:pStyle w:val="TableParagraph"/>
              <w:spacing w:before="34"/>
              <w:ind w:left="166" w:right="629"/>
              <w:rPr>
                <w:b/>
                <w:sz w:val="18"/>
              </w:rPr>
            </w:pPr>
            <w:r>
              <w:rPr>
                <w:b/>
                <w:color w:val="FFFFFF"/>
                <w:w w:val="105"/>
                <w:sz w:val="18"/>
              </w:rPr>
              <w:t>Particular</w:t>
            </w:r>
          </w:p>
        </w:tc>
        <w:tc>
          <w:tcPr>
            <w:tcW w:w="2962" w:type="dxa"/>
            <w:tcBorders>
              <w:top w:val="single" w:sz="12" w:space="0" w:color="1B6B22"/>
              <w:bottom w:val="single" w:sz="8" w:space="0" w:color="69BD28"/>
            </w:tcBorders>
            <w:shd w:val="clear" w:color="auto" w:fill="006A4D"/>
          </w:tcPr>
          <w:p>
            <w:pPr>
              <w:pStyle w:val="TableParagraph"/>
              <w:spacing w:before="34"/>
              <w:ind w:left="660" w:right="1137"/>
              <w:rPr>
                <w:b/>
                <w:sz w:val="18"/>
              </w:rPr>
            </w:pPr>
            <w:r>
              <w:rPr>
                <w:b/>
                <w:color w:val="FFFFFF"/>
                <w:w w:val="110"/>
                <w:sz w:val="18"/>
              </w:rPr>
              <w:t>Area (acres)</w:t>
            </w:r>
          </w:p>
        </w:tc>
      </w:tr>
      <w:tr>
        <w:trPr>
          <w:trHeight w:val="217" w:hRule="atLeast"/>
        </w:trPr>
        <w:tc>
          <w:tcPr>
            <w:tcW w:w="5203" w:type="dxa"/>
            <w:tcBorders>
              <w:top w:val="single" w:sz="8" w:space="0" w:color="69BD28"/>
              <w:bottom w:val="single" w:sz="8" w:space="0" w:color="69BD28"/>
            </w:tcBorders>
          </w:tcPr>
          <w:p>
            <w:pPr>
              <w:pStyle w:val="TableParagraph"/>
              <w:spacing w:line="192" w:lineRule="exact" w:before="5"/>
              <w:ind w:left="166" w:right="633"/>
              <w:rPr>
                <w:sz w:val="18"/>
              </w:rPr>
            </w:pPr>
            <w:r>
              <w:rPr>
                <w:sz w:val="18"/>
              </w:rPr>
              <w:t>Total extent of identified Land</w:t>
            </w:r>
          </w:p>
        </w:tc>
        <w:tc>
          <w:tcPr>
            <w:tcW w:w="2962" w:type="dxa"/>
            <w:tcBorders>
              <w:top w:val="single" w:sz="8" w:space="0" w:color="69BD28"/>
              <w:bottom w:val="single" w:sz="8" w:space="0" w:color="69BD28"/>
            </w:tcBorders>
          </w:tcPr>
          <w:p>
            <w:pPr>
              <w:pStyle w:val="TableParagraph"/>
              <w:spacing w:line="192" w:lineRule="exact" w:before="5"/>
              <w:ind w:left="659" w:right="1137"/>
              <w:rPr>
                <w:sz w:val="18"/>
              </w:rPr>
            </w:pPr>
            <w:r>
              <w:rPr>
                <w:w w:val="110"/>
                <w:sz w:val="18"/>
              </w:rPr>
              <w:t>465.77</w:t>
            </w:r>
          </w:p>
        </w:tc>
      </w:tr>
      <w:tr>
        <w:trPr>
          <w:trHeight w:val="215" w:hRule="atLeast"/>
        </w:trPr>
        <w:tc>
          <w:tcPr>
            <w:tcW w:w="5203" w:type="dxa"/>
            <w:tcBorders>
              <w:top w:val="single" w:sz="8" w:space="0" w:color="69BD28"/>
              <w:bottom w:val="single" w:sz="8" w:space="0" w:color="69BD28"/>
            </w:tcBorders>
          </w:tcPr>
          <w:p>
            <w:pPr>
              <w:pStyle w:val="TableParagraph"/>
              <w:spacing w:line="192" w:lineRule="exact" w:before="3"/>
              <w:ind w:left="166" w:right="633"/>
              <w:rPr>
                <w:sz w:val="18"/>
              </w:rPr>
            </w:pPr>
            <w:r>
              <w:rPr>
                <w:sz w:val="18"/>
              </w:rPr>
              <w:t>Registered ATS and POA completed</w:t>
            </w:r>
          </w:p>
        </w:tc>
        <w:tc>
          <w:tcPr>
            <w:tcW w:w="2962" w:type="dxa"/>
            <w:tcBorders>
              <w:top w:val="single" w:sz="8" w:space="0" w:color="69BD28"/>
              <w:bottom w:val="single" w:sz="8" w:space="0" w:color="69BD28"/>
            </w:tcBorders>
          </w:tcPr>
          <w:p>
            <w:pPr>
              <w:pStyle w:val="TableParagraph"/>
              <w:spacing w:line="192" w:lineRule="exact" w:before="3"/>
              <w:ind w:left="659" w:right="1137"/>
              <w:rPr>
                <w:sz w:val="18"/>
              </w:rPr>
            </w:pPr>
            <w:r>
              <w:rPr>
                <w:w w:val="110"/>
                <w:sz w:val="18"/>
              </w:rPr>
              <w:t>465.77</w:t>
            </w:r>
          </w:p>
        </w:tc>
      </w:tr>
      <w:tr>
        <w:trPr>
          <w:trHeight w:val="215" w:hRule="atLeast"/>
        </w:trPr>
        <w:tc>
          <w:tcPr>
            <w:tcW w:w="5203" w:type="dxa"/>
            <w:tcBorders>
              <w:top w:val="single" w:sz="8" w:space="0" w:color="69BD28"/>
              <w:bottom w:val="single" w:sz="8" w:space="0" w:color="69BD28"/>
            </w:tcBorders>
          </w:tcPr>
          <w:p>
            <w:pPr>
              <w:pStyle w:val="TableParagraph"/>
              <w:spacing w:line="192" w:lineRule="exact" w:before="3"/>
              <w:ind w:left="166" w:right="631"/>
              <w:rPr>
                <w:sz w:val="18"/>
              </w:rPr>
            </w:pPr>
            <w:r>
              <w:rPr>
                <w:sz w:val="18"/>
              </w:rPr>
              <w:t>Applied for approval u/s 109</w:t>
            </w:r>
          </w:p>
        </w:tc>
        <w:tc>
          <w:tcPr>
            <w:tcW w:w="2962" w:type="dxa"/>
            <w:tcBorders>
              <w:top w:val="single" w:sz="8" w:space="0" w:color="69BD28"/>
              <w:bottom w:val="single" w:sz="8" w:space="0" w:color="69BD28"/>
            </w:tcBorders>
          </w:tcPr>
          <w:p>
            <w:pPr>
              <w:pStyle w:val="TableParagraph"/>
              <w:spacing w:line="192" w:lineRule="exact" w:before="3"/>
              <w:ind w:left="659" w:right="1137"/>
              <w:rPr>
                <w:sz w:val="18"/>
              </w:rPr>
            </w:pPr>
            <w:r>
              <w:rPr>
                <w:w w:val="110"/>
                <w:sz w:val="18"/>
              </w:rPr>
              <w:t>464.51</w:t>
            </w:r>
          </w:p>
        </w:tc>
      </w:tr>
      <w:tr>
        <w:trPr>
          <w:trHeight w:val="217" w:hRule="atLeast"/>
        </w:trPr>
        <w:tc>
          <w:tcPr>
            <w:tcW w:w="5203" w:type="dxa"/>
            <w:tcBorders>
              <w:top w:val="single" w:sz="8" w:space="0" w:color="69BD28"/>
              <w:bottom w:val="single" w:sz="8" w:space="0" w:color="69BD28"/>
            </w:tcBorders>
          </w:tcPr>
          <w:p>
            <w:pPr>
              <w:pStyle w:val="TableParagraph"/>
              <w:spacing w:line="192" w:lineRule="exact" w:before="5"/>
              <w:ind w:left="166" w:right="635"/>
              <w:rPr>
                <w:sz w:val="18"/>
              </w:rPr>
            </w:pPr>
            <w:r>
              <w:rPr>
                <w:sz w:val="18"/>
              </w:rPr>
              <w:t>Extent of land approved/recommended by DC u/s 109</w:t>
            </w:r>
          </w:p>
        </w:tc>
        <w:tc>
          <w:tcPr>
            <w:tcW w:w="2962" w:type="dxa"/>
            <w:tcBorders>
              <w:top w:val="single" w:sz="8" w:space="0" w:color="69BD28"/>
              <w:bottom w:val="single" w:sz="8" w:space="0" w:color="69BD28"/>
            </w:tcBorders>
          </w:tcPr>
          <w:p>
            <w:pPr>
              <w:pStyle w:val="TableParagraph"/>
              <w:spacing w:line="192" w:lineRule="exact" w:before="5"/>
              <w:ind w:left="659" w:right="1137"/>
              <w:rPr>
                <w:sz w:val="18"/>
              </w:rPr>
            </w:pPr>
            <w:r>
              <w:rPr>
                <w:w w:val="110"/>
                <w:sz w:val="18"/>
              </w:rPr>
              <w:t>442.54</w:t>
            </w:r>
          </w:p>
        </w:tc>
      </w:tr>
      <w:tr>
        <w:trPr>
          <w:trHeight w:val="217" w:hRule="atLeast"/>
        </w:trPr>
        <w:tc>
          <w:tcPr>
            <w:tcW w:w="5203" w:type="dxa"/>
            <w:tcBorders>
              <w:top w:val="single" w:sz="8" w:space="0" w:color="69BD28"/>
              <w:bottom w:val="single" w:sz="8" w:space="0" w:color="69BD28"/>
            </w:tcBorders>
          </w:tcPr>
          <w:p>
            <w:pPr>
              <w:pStyle w:val="TableParagraph"/>
              <w:spacing w:line="192" w:lineRule="exact" w:before="5"/>
              <w:ind w:left="166" w:right="631"/>
              <w:rPr>
                <w:sz w:val="18"/>
              </w:rPr>
            </w:pPr>
            <w:r>
              <w:rPr>
                <w:sz w:val="18"/>
              </w:rPr>
              <w:t>Final approval received u/s 109</w:t>
            </w:r>
          </w:p>
        </w:tc>
        <w:tc>
          <w:tcPr>
            <w:tcW w:w="2962" w:type="dxa"/>
            <w:tcBorders>
              <w:top w:val="single" w:sz="8" w:space="0" w:color="69BD28"/>
              <w:bottom w:val="single" w:sz="8" w:space="0" w:color="69BD28"/>
            </w:tcBorders>
          </w:tcPr>
          <w:p>
            <w:pPr>
              <w:pStyle w:val="TableParagraph"/>
              <w:spacing w:line="192" w:lineRule="exact" w:before="5"/>
              <w:ind w:left="659" w:right="1137"/>
              <w:rPr>
                <w:sz w:val="18"/>
              </w:rPr>
            </w:pPr>
            <w:r>
              <w:rPr>
                <w:w w:val="110"/>
                <w:sz w:val="18"/>
              </w:rPr>
              <w:t>442.54</w:t>
            </w:r>
          </w:p>
        </w:tc>
      </w:tr>
      <w:tr>
        <w:trPr>
          <w:trHeight w:val="215" w:hRule="atLeast"/>
        </w:trPr>
        <w:tc>
          <w:tcPr>
            <w:tcW w:w="5203" w:type="dxa"/>
            <w:tcBorders>
              <w:top w:val="single" w:sz="8" w:space="0" w:color="69BD28"/>
              <w:bottom w:val="single" w:sz="8" w:space="0" w:color="69BD28"/>
            </w:tcBorders>
          </w:tcPr>
          <w:p>
            <w:pPr>
              <w:pStyle w:val="TableParagraph"/>
              <w:spacing w:line="192" w:lineRule="exact" w:before="3"/>
              <w:ind w:left="166" w:right="631"/>
              <w:rPr>
                <w:sz w:val="18"/>
              </w:rPr>
            </w:pPr>
            <w:r>
              <w:rPr>
                <w:sz w:val="18"/>
              </w:rPr>
              <w:t>Sale Deed executed favouring EEPL</w:t>
            </w:r>
          </w:p>
        </w:tc>
        <w:tc>
          <w:tcPr>
            <w:tcW w:w="2962" w:type="dxa"/>
            <w:tcBorders>
              <w:top w:val="single" w:sz="8" w:space="0" w:color="69BD28"/>
              <w:bottom w:val="single" w:sz="8" w:space="0" w:color="69BD28"/>
            </w:tcBorders>
          </w:tcPr>
          <w:p>
            <w:pPr>
              <w:pStyle w:val="TableParagraph"/>
              <w:spacing w:line="192" w:lineRule="exact" w:before="3"/>
              <w:ind w:left="659" w:right="1137"/>
              <w:rPr>
                <w:sz w:val="18"/>
              </w:rPr>
            </w:pPr>
            <w:r>
              <w:rPr>
                <w:w w:val="110"/>
                <w:sz w:val="18"/>
              </w:rPr>
              <w:t>254.47</w:t>
            </w:r>
          </w:p>
        </w:tc>
      </w:tr>
    </w:tbl>
    <w:p>
      <w:pPr>
        <w:spacing w:before="0"/>
        <w:ind w:left="2572" w:right="0" w:firstLine="0"/>
        <w:jc w:val="both"/>
        <w:rPr>
          <w:i/>
          <w:sz w:val="18"/>
        </w:rPr>
      </w:pPr>
      <w:r>
        <w:rPr>
          <w:i/>
          <w:sz w:val="18"/>
        </w:rPr>
        <w:t>Source: Client inputs</w:t>
      </w:r>
    </w:p>
    <w:p>
      <w:pPr>
        <w:pStyle w:val="BodyText"/>
        <w:spacing w:before="7"/>
        <w:rPr>
          <w:i/>
          <w:sz w:val="27"/>
        </w:rPr>
      </w:pPr>
    </w:p>
    <w:p>
      <w:pPr>
        <w:tabs>
          <w:tab w:pos="2572" w:val="left" w:leader="none"/>
        </w:tabs>
        <w:spacing w:line="321" w:lineRule="auto" w:before="1"/>
        <w:ind w:left="2572" w:right="657" w:hanging="2180"/>
        <w:jc w:val="both"/>
        <w:rPr>
          <w:sz w:val="18"/>
        </w:rPr>
      </w:pPr>
      <w:r>
        <w:rPr>
          <w:color w:val="006A4D"/>
          <w:sz w:val="18"/>
        </w:rPr>
        <w:t>Brief</w:t>
      </w:r>
      <w:r>
        <w:rPr>
          <w:color w:val="006A4D"/>
          <w:spacing w:val="-31"/>
          <w:sz w:val="18"/>
        </w:rPr>
        <w:t> </w:t>
      </w:r>
      <w:r>
        <w:rPr>
          <w:color w:val="006A4D"/>
          <w:sz w:val="18"/>
        </w:rPr>
        <w:t>Description:</w:t>
        <w:tab/>
      </w:r>
      <w:r>
        <w:rPr>
          <w:sz w:val="18"/>
        </w:rPr>
        <w:t>The</w:t>
      </w:r>
      <w:r>
        <w:rPr>
          <w:spacing w:val="-31"/>
          <w:sz w:val="18"/>
        </w:rPr>
        <w:t> </w:t>
      </w:r>
      <w:r>
        <w:rPr>
          <w:sz w:val="18"/>
        </w:rPr>
        <w:t>subject</w:t>
      </w:r>
      <w:r>
        <w:rPr>
          <w:spacing w:val="-33"/>
          <w:sz w:val="18"/>
        </w:rPr>
        <w:t> </w:t>
      </w:r>
      <w:r>
        <w:rPr>
          <w:sz w:val="18"/>
        </w:rPr>
        <w:t>property</w:t>
      </w:r>
      <w:r>
        <w:rPr>
          <w:spacing w:val="-33"/>
          <w:sz w:val="18"/>
        </w:rPr>
        <w:t> </w:t>
      </w:r>
      <w:r>
        <w:rPr>
          <w:sz w:val="18"/>
        </w:rPr>
        <w:t>is</w:t>
      </w:r>
      <w:r>
        <w:rPr>
          <w:spacing w:val="-32"/>
          <w:sz w:val="18"/>
        </w:rPr>
        <w:t> </w:t>
      </w:r>
      <w:r>
        <w:rPr>
          <w:sz w:val="18"/>
        </w:rPr>
        <w:t>an</w:t>
      </w:r>
      <w:r>
        <w:rPr>
          <w:spacing w:val="-33"/>
          <w:sz w:val="18"/>
        </w:rPr>
        <w:t> </w:t>
      </w:r>
      <w:r>
        <w:rPr>
          <w:sz w:val="18"/>
        </w:rPr>
        <w:t>operational</w:t>
      </w:r>
      <w:r>
        <w:rPr>
          <w:spacing w:val="-33"/>
          <w:sz w:val="18"/>
        </w:rPr>
        <w:t> </w:t>
      </w:r>
      <w:r>
        <w:rPr>
          <w:sz w:val="18"/>
        </w:rPr>
        <w:t>solar</w:t>
      </w:r>
      <w:r>
        <w:rPr>
          <w:spacing w:val="-32"/>
          <w:sz w:val="18"/>
        </w:rPr>
        <w:t> </w:t>
      </w:r>
      <w:r>
        <w:rPr>
          <w:sz w:val="18"/>
        </w:rPr>
        <w:t>park</w:t>
      </w:r>
      <w:r>
        <w:rPr>
          <w:spacing w:val="-33"/>
          <w:sz w:val="18"/>
        </w:rPr>
        <w:t> </w:t>
      </w:r>
      <w:r>
        <w:rPr>
          <w:sz w:val="18"/>
        </w:rPr>
        <w:t>under</w:t>
      </w:r>
      <w:r>
        <w:rPr>
          <w:spacing w:val="-33"/>
          <w:sz w:val="18"/>
        </w:rPr>
        <w:t> </w:t>
      </w:r>
      <w:r>
        <w:rPr>
          <w:sz w:val="18"/>
        </w:rPr>
        <w:t>the</w:t>
      </w:r>
      <w:r>
        <w:rPr>
          <w:spacing w:val="-32"/>
          <w:sz w:val="18"/>
        </w:rPr>
        <w:t> </w:t>
      </w:r>
      <w:r>
        <w:rPr>
          <w:sz w:val="18"/>
        </w:rPr>
        <w:t>ownership</w:t>
      </w:r>
      <w:r>
        <w:rPr>
          <w:spacing w:val="-32"/>
          <w:sz w:val="18"/>
        </w:rPr>
        <w:t> </w:t>
      </w:r>
      <w:r>
        <w:rPr>
          <w:sz w:val="18"/>
        </w:rPr>
        <w:t>of</w:t>
      </w:r>
      <w:r>
        <w:rPr>
          <w:spacing w:val="-30"/>
          <w:sz w:val="18"/>
        </w:rPr>
        <w:t> </w:t>
      </w:r>
      <w:r>
        <w:rPr>
          <w:sz w:val="18"/>
        </w:rPr>
        <w:t>‘Embassy-Energy</w:t>
      </w:r>
      <w:r>
        <w:rPr>
          <w:spacing w:val="-32"/>
          <w:sz w:val="18"/>
        </w:rPr>
        <w:t> </w:t>
      </w:r>
      <w:r>
        <w:rPr>
          <w:sz w:val="18"/>
        </w:rPr>
        <w:t>Private</w:t>
      </w:r>
      <w:r>
        <w:rPr>
          <w:spacing w:val="-32"/>
          <w:sz w:val="18"/>
        </w:rPr>
        <w:t> </w:t>
      </w:r>
      <w:r>
        <w:rPr>
          <w:sz w:val="18"/>
        </w:rPr>
        <w:t>Limited (EEPL)’.</w:t>
      </w:r>
      <w:r>
        <w:rPr>
          <w:spacing w:val="-32"/>
          <w:sz w:val="18"/>
        </w:rPr>
        <w:t> </w:t>
      </w:r>
      <w:r>
        <w:rPr>
          <w:sz w:val="18"/>
        </w:rPr>
        <w:t>The</w:t>
      </w:r>
      <w:r>
        <w:rPr>
          <w:spacing w:val="-34"/>
          <w:sz w:val="18"/>
        </w:rPr>
        <w:t> </w:t>
      </w:r>
      <w:r>
        <w:rPr>
          <w:sz w:val="18"/>
        </w:rPr>
        <w:t>subject</w:t>
      </w:r>
      <w:r>
        <w:rPr>
          <w:spacing w:val="-36"/>
          <w:sz w:val="18"/>
        </w:rPr>
        <w:t> </w:t>
      </w:r>
      <w:r>
        <w:rPr>
          <w:sz w:val="18"/>
        </w:rPr>
        <w:t>site</w:t>
      </w:r>
      <w:r>
        <w:rPr>
          <w:spacing w:val="-35"/>
          <w:sz w:val="18"/>
        </w:rPr>
        <w:t> </w:t>
      </w:r>
      <w:r>
        <w:rPr>
          <w:sz w:val="18"/>
        </w:rPr>
        <w:t>is</w:t>
      </w:r>
      <w:r>
        <w:rPr>
          <w:spacing w:val="-35"/>
          <w:sz w:val="18"/>
        </w:rPr>
        <w:t> </w:t>
      </w:r>
      <w:r>
        <w:rPr>
          <w:sz w:val="18"/>
        </w:rPr>
        <w:t>spread</w:t>
      </w:r>
      <w:r>
        <w:rPr>
          <w:spacing w:val="-35"/>
          <w:sz w:val="18"/>
        </w:rPr>
        <w:t> </w:t>
      </w:r>
      <w:r>
        <w:rPr>
          <w:sz w:val="18"/>
        </w:rPr>
        <w:t>across</w:t>
      </w:r>
      <w:r>
        <w:rPr>
          <w:spacing w:val="-35"/>
          <w:sz w:val="18"/>
        </w:rPr>
        <w:t> </w:t>
      </w:r>
      <w:r>
        <w:rPr>
          <w:sz w:val="18"/>
        </w:rPr>
        <w:t>three</w:t>
      </w:r>
      <w:r>
        <w:rPr>
          <w:spacing w:val="-35"/>
          <w:sz w:val="18"/>
        </w:rPr>
        <w:t> </w:t>
      </w:r>
      <w:r>
        <w:rPr>
          <w:sz w:val="18"/>
        </w:rPr>
        <w:t>villages</w:t>
      </w:r>
      <w:r>
        <w:rPr>
          <w:spacing w:val="-35"/>
          <w:sz w:val="18"/>
        </w:rPr>
        <w:t> </w:t>
      </w:r>
      <w:r>
        <w:rPr>
          <w:sz w:val="18"/>
        </w:rPr>
        <w:t>namely</w:t>
      </w:r>
      <w:r>
        <w:rPr>
          <w:spacing w:val="-36"/>
          <w:sz w:val="18"/>
        </w:rPr>
        <w:t> </w:t>
      </w:r>
      <w:r>
        <w:rPr>
          <w:sz w:val="18"/>
        </w:rPr>
        <w:t>Ittigi,</w:t>
      </w:r>
      <w:r>
        <w:rPr>
          <w:spacing w:val="-34"/>
          <w:sz w:val="18"/>
        </w:rPr>
        <w:t> </w:t>
      </w:r>
      <w:r>
        <w:rPr>
          <w:sz w:val="18"/>
        </w:rPr>
        <w:t>Mooregeri</w:t>
      </w:r>
      <w:r>
        <w:rPr>
          <w:spacing w:val="-33"/>
          <w:sz w:val="18"/>
        </w:rPr>
        <w:t> </w:t>
      </w:r>
      <w:r>
        <w:rPr>
          <w:sz w:val="18"/>
        </w:rPr>
        <w:t>and</w:t>
      </w:r>
      <w:r>
        <w:rPr>
          <w:spacing w:val="-35"/>
          <w:sz w:val="18"/>
        </w:rPr>
        <w:t> </w:t>
      </w:r>
      <w:r>
        <w:rPr>
          <w:sz w:val="18"/>
        </w:rPr>
        <w:t>Nellukudure</w:t>
      </w:r>
      <w:r>
        <w:rPr>
          <w:spacing w:val="-35"/>
          <w:sz w:val="18"/>
        </w:rPr>
        <w:t> </w:t>
      </w:r>
      <w:r>
        <w:rPr>
          <w:sz w:val="18"/>
        </w:rPr>
        <w:t>in</w:t>
      </w:r>
      <w:r>
        <w:rPr>
          <w:spacing w:val="-35"/>
          <w:sz w:val="18"/>
        </w:rPr>
        <w:t> </w:t>
      </w:r>
      <w:r>
        <w:rPr>
          <w:sz w:val="18"/>
        </w:rPr>
        <w:t>Bellary District.</w:t>
      </w:r>
      <w:r>
        <w:rPr>
          <w:spacing w:val="-8"/>
          <w:sz w:val="18"/>
        </w:rPr>
        <w:t> </w:t>
      </w:r>
      <w:r>
        <w:rPr>
          <w:sz w:val="18"/>
        </w:rPr>
        <w:t>The</w:t>
      </w:r>
      <w:r>
        <w:rPr>
          <w:spacing w:val="-9"/>
          <w:sz w:val="18"/>
        </w:rPr>
        <w:t> </w:t>
      </w:r>
      <w:r>
        <w:rPr>
          <w:sz w:val="18"/>
        </w:rPr>
        <w:t>subject</w:t>
      </w:r>
      <w:r>
        <w:rPr>
          <w:spacing w:val="-10"/>
          <w:sz w:val="18"/>
        </w:rPr>
        <w:t> </w:t>
      </w:r>
      <w:r>
        <w:rPr>
          <w:sz w:val="18"/>
        </w:rPr>
        <w:t>location</w:t>
      </w:r>
      <w:r>
        <w:rPr>
          <w:spacing w:val="-9"/>
          <w:sz w:val="18"/>
        </w:rPr>
        <w:t> </w:t>
      </w:r>
      <w:r>
        <w:rPr>
          <w:sz w:val="18"/>
        </w:rPr>
        <w:t>is</w:t>
      </w:r>
      <w:r>
        <w:rPr>
          <w:spacing w:val="-10"/>
          <w:sz w:val="18"/>
        </w:rPr>
        <w:t> </w:t>
      </w:r>
      <w:r>
        <w:rPr>
          <w:sz w:val="18"/>
        </w:rPr>
        <w:t>situated</w:t>
      </w:r>
      <w:r>
        <w:rPr>
          <w:spacing w:val="-9"/>
          <w:sz w:val="18"/>
        </w:rPr>
        <w:t> </w:t>
      </w:r>
      <w:r>
        <w:rPr>
          <w:sz w:val="18"/>
        </w:rPr>
        <w:t>at</w:t>
      </w:r>
      <w:r>
        <w:rPr>
          <w:spacing w:val="-10"/>
          <w:sz w:val="18"/>
        </w:rPr>
        <w:t> </w:t>
      </w:r>
      <w:r>
        <w:rPr>
          <w:sz w:val="18"/>
        </w:rPr>
        <w:t>a</w:t>
      </w:r>
      <w:r>
        <w:rPr>
          <w:spacing w:val="-10"/>
          <w:sz w:val="18"/>
        </w:rPr>
        <w:t> </w:t>
      </w:r>
      <w:r>
        <w:rPr>
          <w:sz w:val="18"/>
        </w:rPr>
        <w:t>distance</w:t>
      </w:r>
      <w:r>
        <w:rPr>
          <w:spacing w:val="-9"/>
          <w:sz w:val="18"/>
        </w:rPr>
        <w:t> </w:t>
      </w:r>
      <w:r>
        <w:rPr>
          <w:sz w:val="18"/>
        </w:rPr>
        <w:t>of</w:t>
      </w:r>
      <w:r>
        <w:rPr>
          <w:spacing w:val="-9"/>
          <w:sz w:val="18"/>
        </w:rPr>
        <w:t> </w:t>
      </w:r>
      <w:r>
        <w:rPr>
          <w:sz w:val="18"/>
        </w:rPr>
        <w:t>more</w:t>
      </w:r>
      <w:r>
        <w:rPr>
          <w:spacing w:val="-10"/>
          <w:sz w:val="18"/>
        </w:rPr>
        <w:t> </w:t>
      </w:r>
      <w:r>
        <w:rPr>
          <w:sz w:val="18"/>
        </w:rPr>
        <w:t>than</w:t>
      </w:r>
      <w:r>
        <w:rPr>
          <w:spacing w:val="-10"/>
          <w:sz w:val="18"/>
        </w:rPr>
        <w:t> </w:t>
      </w:r>
      <w:r>
        <w:rPr>
          <w:sz w:val="18"/>
        </w:rPr>
        <w:t>300</w:t>
      </w:r>
      <w:r>
        <w:rPr>
          <w:spacing w:val="-8"/>
          <w:sz w:val="18"/>
        </w:rPr>
        <w:t> </w:t>
      </w:r>
      <w:r>
        <w:rPr>
          <w:sz w:val="18"/>
        </w:rPr>
        <w:t>km</w:t>
      </w:r>
      <w:r>
        <w:rPr>
          <w:spacing w:val="-9"/>
          <w:sz w:val="18"/>
        </w:rPr>
        <w:t> </w:t>
      </w:r>
      <w:r>
        <w:rPr>
          <w:sz w:val="18"/>
        </w:rPr>
        <w:t>from</w:t>
      </w:r>
      <w:r>
        <w:rPr>
          <w:spacing w:val="-9"/>
          <w:sz w:val="18"/>
        </w:rPr>
        <w:t> </w:t>
      </w:r>
      <w:r>
        <w:rPr>
          <w:sz w:val="18"/>
        </w:rPr>
        <w:t>Bengaluru</w:t>
      </w:r>
      <w:r>
        <w:rPr>
          <w:spacing w:val="-10"/>
          <w:sz w:val="18"/>
        </w:rPr>
        <w:t> </w:t>
      </w:r>
      <w:r>
        <w:rPr>
          <w:sz w:val="18"/>
        </w:rPr>
        <w:t>City</w:t>
      </w:r>
      <w:r>
        <w:rPr>
          <w:spacing w:val="-4"/>
          <w:sz w:val="18"/>
        </w:rPr>
        <w:t> </w:t>
      </w:r>
      <w:r>
        <w:rPr>
          <w:sz w:val="18"/>
        </w:rPr>
        <w:t>and</w:t>
      </w:r>
      <w:r>
        <w:rPr>
          <w:spacing w:val="-9"/>
          <w:sz w:val="18"/>
        </w:rPr>
        <w:t> </w:t>
      </w:r>
      <w:r>
        <w:rPr>
          <w:sz w:val="18"/>
        </w:rPr>
        <w:t>is currently a nascent vector in terms of real estate activity. Being a peripheral location, the region is </w:t>
      </w:r>
      <w:r>
        <w:rPr>
          <w:w w:val="95"/>
          <w:sz w:val="18"/>
        </w:rPr>
        <w:t>predominantly</w:t>
      </w:r>
      <w:r>
        <w:rPr>
          <w:spacing w:val="-15"/>
          <w:w w:val="95"/>
          <w:sz w:val="18"/>
        </w:rPr>
        <w:t> </w:t>
      </w:r>
      <w:r>
        <w:rPr>
          <w:w w:val="95"/>
          <w:sz w:val="18"/>
        </w:rPr>
        <w:t>characterized</w:t>
      </w:r>
      <w:r>
        <w:rPr>
          <w:spacing w:val="-14"/>
          <w:w w:val="95"/>
          <w:sz w:val="18"/>
        </w:rPr>
        <w:t> </w:t>
      </w:r>
      <w:r>
        <w:rPr>
          <w:w w:val="95"/>
          <w:sz w:val="18"/>
        </w:rPr>
        <w:t>by</w:t>
      </w:r>
      <w:r>
        <w:rPr>
          <w:spacing w:val="-17"/>
          <w:w w:val="95"/>
          <w:sz w:val="18"/>
        </w:rPr>
        <w:t> </w:t>
      </w:r>
      <w:r>
        <w:rPr>
          <w:w w:val="95"/>
          <w:sz w:val="18"/>
        </w:rPr>
        <w:t>the</w:t>
      </w:r>
      <w:r>
        <w:rPr>
          <w:spacing w:val="-13"/>
          <w:w w:val="95"/>
          <w:sz w:val="18"/>
        </w:rPr>
        <w:t> </w:t>
      </w:r>
      <w:r>
        <w:rPr>
          <w:w w:val="95"/>
          <w:sz w:val="18"/>
        </w:rPr>
        <w:t>presence</w:t>
      </w:r>
      <w:r>
        <w:rPr>
          <w:spacing w:val="-16"/>
          <w:w w:val="95"/>
          <w:sz w:val="18"/>
        </w:rPr>
        <w:t> </w:t>
      </w:r>
      <w:r>
        <w:rPr>
          <w:w w:val="95"/>
          <w:sz w:val="18"/>
        </w:rPr>
        <w:t>of</w:t>
      </w:r>
      <w:r>
        <w:rPr>
          <w:spacing w:val="-14"/>
          <w:w w:val="95"/>
          <w:sz w:val="18"/>
        </w:rPr>
        <w:t> </w:t>
      </w:r>
      <w:r>
        <w:rPr>
          <w:w w:val="95"/>
          <w:sz w:val="18"/>
        </w:rPr>
        <w:t>agricultural</w:t>
      </w:r>
      <w:r>
        <w:rPr>
          <w:spacing w:val="-14"/>
          <w:w w:val="95"/>
          <w:sz w:val="18"/>
        </w:rPr>
        <w:t> </w:t>
      </w:r>
      <w:r>
        <w:rPr>
          <w:w w:val="95"/>
          <w:sz w:val="18"/>
        </w:rPr>
        <w:t>land</w:t>
      </w:r>
      <w:r>
        <w:rPr>
          <w:spacing w:val="-15"/>
          <w:w w:val="95"/>
          <w:sz w:val="18"/>
        </w:rPr>
        <w:t> </w:t>
      </w:r>
      <w:r>
        <w:rPr>
          <w:w w:val="95"/>
          <w:sz w:val="18"/>
        </w:rPr>
        <w:t>parcels</w:t>
      </w:r>
      <w:r>
        <w:rPr>
          <w:spacing w:val="-16"/>
          <w:w w:val="95"/>
          <w:sz w:val="18"/>
        </w:rPr>
        <w:t> </w:t>
      </w:r>
      <w:r>
        <w:rPr>
          <w:w w:val="95"/>
          <w:sz w:val="18"/>
        </w:rPr>
        <w:t>(with</w:t>
      </w:r>
      <w:r>
        <w:rPr>
          <w:spacing w:val="-15"/>
          <w:w w:val="95"/>
          <w:sz w:val="18"/>
        </w:rPr>
        <w:t> </w:t>
      </w:r>
      <w:r>
        <w:rPr>
          <w:w w:val="95"/>
          <w:sz w:val="18"/>
        </w:rPr>
        <w:t>black</w:t>
      </w:r>
      <w:r>
        <w:rPr>
          <w:spacing w:val="-14"/>
          <w:w w:val="95"/>
          <w:sz w:val="18"/>
        </w:rPr>
        <w:t> </w:t>
      </w:r>
      <w:r>
        <w:rPr>
          <w:w w:val="95"/>
          <w:sz w:val="18"/>
        </w:rPr>
        <w:t>cotton</w:t>
      </w:r>
      <w:r>
        <w:rPr>
          <w:spacing w:val="-14"/>
          <w:w w:val="95"/>
          <w:sz w:val="18"/>
        </w:rPr>
        <w:t> </w:t>
      </w:r>
      <w:r>
        <w:rPr>
          <w:w w:val="95"/>
          <w:sz w:val="18"/>
        </w:rPr>
        <w:t>soil).</w:t>
      </w:r>
      <w:r>
        <w:rPr>
          <w:spacing w:val="-14"/>
          <w:w w:val="95"/>
          <w:sz w:val="18"/>
        </w:rPr>
        <w:t> </w:t>
      </w:r>
      <w:r>
        <w:rPr>
          <w:w w:val="95"/>
          <w:sz w:val="18"/>
        </w:rPr>
        <w:t>However, </w:t>
      </w:r>
      <w:r>
        <w:rPr>
          <w:sz w:val="18"/>
        </w:rPr>
        <w:t>a</w:t>
      </w:r>
      <w:r>
        <w:rPr>
          <w:spacing w:val="-20"/>
          <w:sz w:val="18"/>
        </w:rPr>
        <w:t> </w:t>
      </w:r>
      <w:r>
        <w:rPr>
          <w:sz w:val="18"/>
        </w:rPr>
        <w:t>few</w:t>
      </w:r>
      <w:r>
        <w:rPr>
          <w:spacing w:val="-19"/>
          <w:sz w:val="18"/>
        </w:rPr>
        <w:t> </w:t>
      </w:r>
      <w:r>
        <w:rPr>
          <w:sz w:val="18"/>
        </w:rPr>
        <w:t>solar</w:t>
      </w:r>
      <w:r>
        <w:rPr>
          <w:spacing w:val="-21"/>
          <w:sz w:val="18"/>
        </w:rPr>
        <w:t> </w:t>
      </w:r>
      <w:r>
        <w:rPr>
          <w:sz w:val="18"/>
        </w:rPr>
        <w:t>parks</w:t>
      </w:r>
      <w:r>
        <w:rPr>
          <w:spacing w:val="-18"/>
          <w:sz w:val="18"/>
        </w:rPr>
        <w:t> </w:t>
      </w:r>
      <w:r>
        <w:rPr>
          <w:sz w:val="18"/>
        </w:rPr>
        <w:t>are</w:t>
      </w:r>
      <w:r>
        <w:rPr>
          <w:spacing w:val="-19"/>
          <w:sz w:val="18"/>
        </w:rPr>
        <w:t> </w:t>
      </w:r>
      <w:r>
        <w:rPr>
          <w:sz w:val="18"/>
        </w:rPr>
        <w:t>currently</w:t>
      </w:r>
      <w:r>
        <w:rPr>
          <w:spacing w:val="-20"/>
          <w:sz w:val="18"/>
        </w:rPr>
        <w:t> </w:t>
      </w:r>
      <w:r>
        <w:rPr>
          <w:sz w:val="18"/>
        </w:rPr>
        <w:t>operational/</w:t>
      </w:r>
      <w:r>
        <w:rPr>
          <w:spacing w:val="-20"/>
          <w:sz w:val="18"/>
        </w:rPr>
        <w:t> </w:t>
      </w:r>
      <w:r>
        <w:rPr>
          <w:sz w:val="18"/>
        </w:rPr>
        <w:t>proposed</w:t>
      </w:r>
      <w:r>
        <w:rPr>
          <w:spacing w:val="-20"/>
          <w:sz w:val="18"/>
        </w:rPr>
        <w:t> </w:t>
      </w:r>
      <w:r>
        <w:rPr>
          <w:sz w:val="18"/>
        </w:rPr>
        <w:t>at</w:t>
      </w:r>
      <w:r>
        <w:rPr>
          <w:spacing w:val="-20"/>
          <w:sz w:val="18"/>
        </w:rPr>
        <w:t> </w:t>
      </w:r>
      <w:r>
        <w:rPr>
          <w:sz w:val="18"/>
        </w:rPr>
        <w:t>the</w:t>
      </w:r>
      <w:r>
        <w:rPr>
          <w:spacing w:val="-19"/>
          <w:sz w:val="18"/>
        </w:rPr>
        <w:t> </w:t>
      </w:r>
      <w:r>
        <w:rPr>
          <w:sz w:val="18"/>
        </w:rPr>
        <w:t>subject</w:t>
      </w:r>
      <w:r>
        <w:rPr>
          <w:spacing w:val="-20"/>
          <w:sz w:val="18"/>
        </w:rPr>
        <w:t> </w:t>
      </w:r>
      <w:r>
        <w:rPr>
          <w:sz w:val="18"/>
        </w:rPr>
        <w:t>location</w:t>
      </w:r>
      <w:r>
        <w:rPr>
          <w:spacing w:val="-19"/>
          <w:sz w:val="18"/>
        </w:rPr>
        <w:t> </w:t>
      </w:r>
      <w:r>
        <w:rPr>
          <w:sz w:val="18"/>
        </w:rPr>
        <w:t>by</w:t>
      </w:r>
      <w:r>
        <w:rPr>
          <w:spacing w:val="-20"/>
          <w:sz w:val="18"/>
        </w:rPr>
        <w:t> </w:t>
      </w:r>
      <w:r>
        <w:rPr>
          <w:sz w:val="18"/>
        </w:rPr>
        <w:t>prominent</w:t>
      </w:r>
      <w:r>
        <w:rPr>
          <w:spacing w:val="-20"/>
          <w:sz w:val="18"/>
        </w:rPr>
        <w:t> </w:t>
      </w:r>
      <w:r>
        <w:rPr>
          <w:sz w:val="18"/>
        </w:rPr>
        <w:t>players</w:t>
      </w:r>
      <w:r>
        <w:rPr>
          <w:spacing w:val="-19"/>
          <w:sz w:val="18"/>
        </w:rPr>
        <w:t> </w:t>
      </w:r>
      <w:r>
        <w:rPr>
          <w:sz w:val="18"/>
        </w:rPr>
        <w:t>such as</w:t>
      </w:r>
      <w:r>
        <w:rPr>
          <w:spacing w:val="-11"/>
          <w:sz w:val="18"/>
        </w:rPr>
        <w:t> </w:t>
      </w:r>
      <w:r>
        <w:rPr>
          <w:sz w:val="18"/>
        </w:rPr>
        <w:t>Adani,</w:t>
      </w:r>
      <w:r>
        <w:rPr>
          <w:spacing w:val="-10"/>
          <w:sz w:val="18"/>
        </w:rPr>
        <w:t> </w:t>
      </w:r>
      <w:r>
        <w:rPr>
          <w:sz w:val="18"/>
        </w:rPr>
        <w:t>ReNew,</w:t>
      </w:r>
      <w:r>
        <w:rPr>
          <w:spacing w:val="-11"/>
          <w:sz w:val="18"/>
        </w:rPr>
        <w:t> </w:t>
      </w:r>
      <w:r>
        <w:rPr>
          <w:sz w:val="18"/>
        </w:rPr>
        <w:t>etc.</w:t>
      </w:r>
      <w:r>
        <w:rPr>
          <w:spacing w:val="-11"/>
          <w:sz w:val="18"/>
        </w:rPr>
        <w:t> </w:t>
      </w:r>
      <w:r>
        <w:rPr>
          <w:sz w:val="18"/>
        </w:rPr>
        <w:t>The</w:t>
      </w:r>
      <w:r>
        <w:rPr>
          <w:spacing w:val="-9"/>
          <w:sz w:val="18"/>
        </w:rPr>
        <w:t> </w:t>
      </w:r>
      <w:r>
        <w:rPr>
          <w:sz w:val="18"/>
        </w:rPr>
        <w:t>accessibility</w:t>
      </w:r>
      <w:r>
        <w:rPr>
          <w:spacing w:val="-11"/>
          <w:sz w:val="18"/>
        </w:rPr>
        <w:t> </w:t>
      </w:r>
      <w:r>
        <w:rPr>
          <w:sz w:val="18"/>
        </w:rPr>
        <w:t>of</w:t>
      </w:r>
      <w:r>
        <w:rPr>
          <w:spacing w:val="-10"/>
          <w:sz w:val="18"/>
        </w:rPr>
        <w:t> </w:t>
      </w:r>
      <w:r>
        <w:rPr>
          <w:sz w:val="18"/>
        </w:rPr>
        <w:t>the</w:t>
      </w:r>
      <w:r>
        <w:rPr>
          <w:spacing w:val="-10"/>
          <w:sz w:val="18"/>
        </w:rPr>
        <w:t> </w:t>
      </w:r>
      <w:r>
        <w:rPr>
          <w:sz w:val="18"/>
        </w:rPr>
        <w:t>subject</w:t>
      </w:r>
      <w:r>
        <w:rPr>
          <w:spacing w:val="-12"/>
          <w:sz w:val="18"/>
        </w:rPr>
        <w:t> </w:t>
      </w:r>
      <w:r>
        <w:rPr>
          <w:sz w:val="18"/>
        </w:rPr>
        <w:t>region</w:t>
      </w:r>
      <w:r>
        <w:rPr>
          <w:spacing w:val="-10"/>
          <w:sz w:val="18"/>
        </w:rPr>
        <w:t> </w:t>
      </w:r>
      <w:r>
        <w:rPr>
          <w:sz w:val="18"/>
        </w:rPr>
        <w:t>is</w:t>
      </w:r>
      <w:r>
        <w:rPr>
          <w:spacing w:val="-5"/>
          <w:sz w:val="18"/>
        </w:rPr>
        <w:t> </w:t>
      </w:r>
      <w:r>
        <w:rPr>
          <w:sz w:val="18"/>
        </w:rPr>
        <w:t>via</w:t>
      </w:r>
      <w:r>
        <w:rPr>
          <w:spacing w:val="-11"/>
          <w:sz w:val="18"/>
        </w:rPr>
        <w:t> </w:t>
      </w:r>
      <w:r>
        <w:rPr>
          <w:sz w:val="18"/>
        </w:rPr>
        <w:t>State</w:t>
      </w:r>
      <w:r>
        <w:rPr>
          <w:spacing w:val="-10"/>
          <w:sz w:val="18"/>
        </w:rPr>
        <w:t> </w:t>
      </w:r>
      <w:r>
        <w:rPr>
          <w:sz w:val="18"/>
        </w:rPr>
        <w:t>Highway</w:t>
      </w:r>
      <w:r>
        <w:rPr>
          <w:spacing w:val="-12"/>
          <w:sz w:val="18"/>
        </w:rPr>
        <w:t> </w:t>
      </w:r>
      <w:r>
        <w:rPr>
          <w:w w:val="105"/>
          <w:sz w:val="18"/>
        </w:rPr>
        <w:t>–</w:t>
      </w:r>
      <w:r>
        <w:rPr>
          <w:spacing w:val="-12"/>
          <w:w w:val="105"/>
          <w:sz w:val="18"/>
        </w:rPr>
        <w:t> </w:t>
      </w:r>
      <w:r>
        <w:rPr>
          <w:sz w:val="18"/>
        </w:rPr>
        <w:t>45</w:t>
      </w:r>
      <w:r>
        <w:rPr>
          <w:spacing w:val="-11"/>
          <w:sz w:val="18"/>
        </w:rPr>
        <w:t> </w:t>
      </w:r>
      <w:r>
        <w:rPr>
          <w:sz w:val="18"/>
        </w:rPr>
        <w:t>(SH</w:t>
      </w:r>
      <w:r>
        <w:rPr>
          <w:spacing w:val="-11"/>
          <w:sz w:val="18"/>
        </w:rPr>
        <w:t> </w:t>
      </w:r>
      <w:r>
        <w:rPr>
          <w:w w:val="105"/>
          <w:sz w:val="18"/>
        </w:rPr>
        <w:t>–</w:t>
      </w:r>
      <w:r>
        <w:rPr>
          <w:spacing w:val="-15"/>
          <w:w w:val="105"/>
          <w:sz w:val="18"/>
        </w:rPr>
        <w:t> </w:t>
      </w:r>
      <w:r>
        <w:rPr>
          <w:sz w:val="18"/>
        </w:rPr>
        <w:t>45).</w:t>
      </w:r>
    </w:p>
    <w:p>
      <w:pPr>
        <w:spacing w:line="321" w:lineRule="auto" w:before="122"/>
        <w:ind w:left="2572" w:right="661" w:firstLine="0"/>
        <w:jc w:val="both"/>
        <w:rPr>
          <w:sz w:val="18"/>
        </w:rPr>
      </w:pPr>
      <w:r>
        <w:rPr>
          <w:sz w:val="18"/>
        </w:rPr>
        <w:t>On</w:t>
      </w:r>
      <w:r>
        <w:rPr>
          <w:spacing w:val="-5"/>
          <w:sz w:val="18"/>
        </w:rPr>
        <w:t> </w:t>
      </w:r>
      <w:r>
        <w:rPr>
          <w:sz w:val="18"/>
        </w:rPr>
        <w:t>account</w:t>
      </w:r>
      <w:r>
        <w:rPr>
          <w:spacing w:val="-5"/>
          <w:sz w:val="18"/>
        </w:rPr>
        <w:t> </w:t>
      </w:r>
      <w:r>
        <w:rPr>
          <w:sz w:val="18"/>
        </w:rPr>
        <w:t>of</w:t>
      </w:r>
      <w:r>
        <w:rPr>
          <w:spacing w:val="-4"/>
          <w:sz w:val="18"/>
        </w:rPr>
        <w:t> </w:t>
      </w:r>
      <w:r>
        <w:rPr>
          <w:sz w:val="18"/>
        </w:rPr>
        <w:t>being</w:t>
      </w:r>
      <w:r>
        <w:rPr>
          <w:spacing w:val="-2"/>
          <w:sz w:val="18"/>
        </w:rPr>
        <w:t> </w:t>
      </w:r>
      <w:r>
        <w:rPr>
          <w:sz w:val="18"/>
        </w:rPr>
        <w:t>accessible</w:t>
      </w:r>
      <w:r>
        <w:rPr>
          <w:spacing w:val="-5"/>
          <w:sz w:val="18"/>
        </w:rPr>
        <w:t> </w:t>
      </w:r>
      <w:r>
        <w:rPr>
          <w:sz w:val="18"/>
        </w:rPr>
        <w:t>through</w:t>
      </w:r>
      <w:r>
        <w:rPr>
          <w:spacing w:val="-4"/>
          <w:sz w:val="18"/>
        </w:rPr>
        <w:t> </w:t>
      </w:r>
      <w:r>
        <w:rPr>
          <w:sz w:val="18"/>
        </w:rPr>
        <w:t>the</w:t>
      </w:r>
      <w:r>
        <w:rPr>
          <w:spacing w:val="-4"/>
          <w:sz w:val="18"/>
        </w:rPr>
        <w:t> </w:t>
      </w:r>
      <w:r>
        <w:rPr>
          <w:sz w:val="18"/>
        </w:rPr>
        <w:t>State</w:t>
      </w:r>
      <w:r>
        <w:rPr>
          <w:spacing w:val="-5"/>
          <w:sz w:val="18"/>
        </w:rPr>
        <w:t> </w:t>
      </w:r>
      <w:r>
        <w:rPr>
          <w:sz w:val="18"/>
        </w:rPr>
        <w:t>Highway</w:t>
      </w:r>
      <w:r>
        <w:rPr>
          <w:spacing w:val="-1"/>
          <w:sz w:val="18"/>
        </w:rPr>
        <w:t> </w:t>
      </w:r>
      <w:r>
        <w:rPr>
          <w:w w:val="105"/>
          <w:sz w:val="18"/>
        </w:rPr>
        <w:t>–</w:t>
      </w:r>
      <w:r>
        <w:rPr>
          <w:spacing w:val="-6"/>
          <w:w w:val="105"/>
          <w:sz w:val="18"/>
        </w:rPr>
        <w:t> </w:t>
      </w:r>
      <w:r>
        <w:rPr>
          <w:sz w:val="18"/>
        </w:rPr>
        <w:t>45</w:t>
      </w:r>
      <w:r>
        <w:rPr>
          <w:spacing w:val="-5"/>
          <w:sz w:val="18"/>
        </w:rPr>
        <w:t> </w:t>
      </w:r>
      <w:r>
        <w:rPr>
          <w:sz w:val="18"/>
        </w:rPr>
        <w:t>(SH</w:t>
      </w:r>
      <w:r>
        <w:rPr>
          <w:spacing w:val="-5"/>
          <w:sz w:val="18"/>
        </w:rPr>
        <w:t> </w:t>
      </w:r>
      <w:r>
        <w:rPr>
          <w:w w:val="105"/>
          <w:sz w:val="18"/>
        </w:rPr>
        <w:t>–</w:t>
      </w:r>
      <w:r>
        <w:rPr>
          <w:spacing w:val="-6"/>
          <w:w w:val="105"/>
          <w:sz w:val="18"/>
        </w:rPr>
        <w:t> </w:t>
      </w:r>
      <w:r>
        <w:rPr>
          <w:sz w:val="18"/>
        </w:rPr>
        <w:t>45),</w:t>
      </w:r>
      <w:r>
        <w:rPr>
          <w:spacing w:val="-5"/>
          <w:sz w:val="18"/>
        </w:rPr>
        <w:t> </w:t>
      </w:r>
      <w:r>
        <w:rPr>
          <w:sz w:val="18"/>
        </w:rPr>
        <w:t>the</w:t>
      </w:r>
      <w:r>
        <w:rPr>
          <w:spacing w:val="-5"/>
          <w:sz w:val="18"/>
        </w:rPr>
        <w:t> </w:t>
      </w:r>
      <w:r>
        <w:rPr>
          <w:sz w:val="18"/>
        </w:rPr>
        <w:t>subject</w:t>
      </w:r>
      <w:r>
        <w:rPr>
          <w:spacing w:val="-5"/>
          <w:sz w:val="18"/>
        </w:rPr>
        <w:t> </w:t>
      </w:r>
      <w:r>
        <w:rPr>
          <w:sz w:val="18"/>
        </w:rPr>
        <w:t>property</w:t>
      </w:r>
      <w:r>
        <w:rPr>
          <w:spacing w:val="-4"/>
          <w:sz w:val="18"/>
        </w:rPr>
        <w:t> </w:t>
      </w:r>
      <w:r>
        <w:rPr>
          <w:sz w:val="18"/>
        </w:rPr>
        <w:t>enjoys good</w:t>
      </w:r>
      <w:r>
        <w:rPr>
          <w:spacing w:val="-33"/>
          <w:sz w:val="18"/>
        </w:rPr>
        <w:t> </w:t>
      </w:r>
      <w:r>
        <w:rPr>
          <w:sz w:val="18"/>
        </w:rPr>
        <w:t>connectivity</w:t>
      </w:r>
      <w:r>
        <w:rPr>
          <w:spacing w:val="-32"/>
          <w:sz w:val="18"/>
        </w:rPr>
        <w:t> </w:t>
      </w:r>
      <w:r>
        <w:rPr>
          <w:sz w:val="18"/>
        </w:rPr>
        <w:t>to</w:t>
      </w:r>
      <w:r>
        <w:rPr>
          <w:spacing w:val="-31"/>
          <w:sz w:val="18"/>
        </w:rPr>
        <w:t> </w:t>
      </w:r>
      <w:r>
        <w:rPr>
          <w:sz w:val="18"/>
        </w:rPr>
        <w:t>neighbouring</w:t>
      </w:r>
      <w:r>
        <w:rPr>
          <w:spacing w:val="-31"/>
          <w:sz w:val="18"/>
        </w:rPr>
        <w:t> </w:t>
      </w:r>
      <w:r>
        <w:rPr>
          <w:sz w:val="18"/>
        </w:rPr>
        <w:t>towns</w:t>
      </w:r>
      <w:r>
        <w:rPr>
          <w:spacing w:val="-32"/>
          <w:sz w:val="18"/>
        </w:rPr>
        <w:t> </w:t>
      </w:r>
      <w:r>
        <w:rPr>
          <w:sz w:val="18"/>
        </w:rPr>
        <w:t>and</w:t>
      </w:r>
      <w:r>
        <w:rPr>
          <w:spacing w:val="-32"/>
          <w:sz w:val="18"/>
        </w:rPr>
        <w:t> </w:t>
      </w:r>
      <w:r>
        <w:rPr>
          <w:sz w:val="18"/>
        </w:rPr>
        <w:t>villages.</w:t>
      </w:r>
      <w:r>
        <w:rPr>
          <w:spacing w:val="-30"/>
          <w:sz w:val="18"/>
        </w:rPr>
        <w:t> </w:t>
      </w:r>
      <w:r>
        <w:rPr>
          <w:sz w:val="18"/>
        </w:rPr>
        <w:t>Further,</w:t>
      </w:r>
      <w:r>
        <w:rPr>
          <w:spacing w:val="-32"/>
          <w:sz w:val="18"/>
        </w:rPr>
        <w:t> </w:t>
      </w:r>
      <w:r>
        <w:rPr>
          <w:sz w:val="18"/>
        </w:rPr>
        <w:t>it</w:t>
      </w:r>
      <w:r>
        <w:rPr>
          <w:spacing w:val="-32"/>
          <w:sz w:val="18"/>
        </w:rPr>
        <w:t> </w:t>
      </w:r>
      <w:r>
        <w:rPr>
          <w:sz w:val="18"/>
        </w:rPr>
        <w:t>is</w:t>
      </w:r>
      <w:r>
        <w:rPr>
          <w:spacing w:val="-31"/>
          <w:sz w:val="18"/>
        </w:rPr>
        <w:t> </w:t>
      </w:r>
      <w:r>
        <w:rPr>
          <w:sz w:val="18"/>
        </w:rPr>
        <w:t>located</w:t>
      </w:r>
      <w:r>
        <w:rPr>
          <w:spacing w:val="-33"/>
          <w:sz w:val="18"/>
        </w:rPr>
        <w:t> </w:t>
      </w:r>
      <w:r>
        <w:rPr>
          <w:sz w:val="18"/>
        </w:rPr>
        <w:t>at</w:t>
      </w:r>
      <w:r>
        <w:rPr>
          <w:spacing w:val="-32"/>
          <w:sz w:val="18"/>
        </w:rPr>
        <w:t> </w:t>
      </w:r>
      <w:r>
        <w:rPr>
          <w:sz w:val="18"/>
        </w:rPr>
        <w:t>a</w:t>
      </w:r>
      <w:r>
        <w:rPr>
          <w:spacing w:val="-32"/>
          <w:sz w:val="18"/>
        </w:rPr>
        <w:t> </w:t>
      </w:r>
      <w:r>
        <w:rPr>
          <w:sz w:val="18"/>
        </w:rPr>
        <w:t>distance</w:t>
      </w:r>
      <w:r>
        <w:rPr>
          <w:spacing w:val="-32"/>
          <w:sz w:val="18"/>
        </w:rPr>
        <w:t> </w:t>
      </w:r>
      <w:r>
        <w:rPr>
          <w:sz w:val="18"/>
        </w:rPr>
        <w:t>of</w:t>
      </w:r>
      <w:r>
        <w:rPr>
          <w:spacing w:val="-33"/>
          <w:sz w:val="18"/>
        </w:rPr>
        <w:t> </w:t>
      </w:r>
      <w:r>
        <w:rPr>
          <w:sz w:val="18"/>
        </w:rPr>
        <w:t>approximately</w:t>
      </w:r>
    </w:p>
    <w:p>
      <w:pPr>
        <w:spacing w:line="321" w:lineRule="auto" w:before="2"/>
        <w:ind w:left="2572" w:right="659" w:firstLine="0"/>
        <w:jc w:val="both"/>
        <w:rPr>
          <w:sz w:val="18"/>
        </w:rPr>
      </w:pPr>
      <w:r>
        <w:rPr>
          <w:w w:val="105"/>
          <w:sz w:val="18"/>
        </w:rPr>
        <w:t>3 – 4 km from the 220 KV Sub-station (Ittigi), approximately 3 – 4 km from Ittigi Village Centre, approximately 65 – 70 km from Davangere and approximately 300 – 310 km from MG Road (Bengaluru).</w:t>
      </w:r>
    </w:p>
    <w:p>
      <w:pPr>
        <w:spacing w:line="321" w:lineRule="auto" w:before="123"/>
        <w:ind w:left="2572" w:right="657" w:firstLine="0"/>
        <w:jc w:val="both"/>
        <w:rPr>
          <w:sz w:val="18"/>
        </w:rPr>
      </w:pPr>
      <w:r>
        <w:rPr>
          <w:sz w:val="18"/>
        </w:rPr>
        <w:t>Based on review of power purchase agreements between EEPL and the power purchasers, the Valuer understands</w:t>
      </w:r>
      <w:r>
        <w:rPr>
          <w:spacing w:val="-31"/>
          <w:sz w:val="18"/>
        </w:rPr>
        <w:t> </w:t>
      </w:r>
      <w:r>
        <w:rPr>
          <w:sz w:val="18"/>
        </w:rPr>
        <w:t>that</w:t>
      </w:r>
      <w:r>
        <w:rPr>
          <w:spacing w:val="-32"/>
          <w:sz w:val="18"/>
        </w:rPr>
        <w:t> </w:t>
      </w:r>
      <w:r>
        <w:rPr>
          <w:sz w:val="18"/>
        </w:rPr>
        <w:t>the</w:t>
      </w:r>
      <w:r>
        <w:rPr>
          <w:spacing w:val="-31"/>
          <w:sz w:val="18"/>
        </w:rPr>
        <w:t> </w:t>
      </w:r>
      <w:r>
        <w:rPr>
          <w:sz w:val="18"/>
        </w:rPr>
        <w:t>solar</w:t>
      </w:r>
      <w:r>
        <w:rPr>
          <w:spacing w:val="-31"/>
          <w:sz w:val="18"/>
        </w:rPr>
        <w:t> </w:t>
      </w:r>
      <w:r>
        <w:rPr>
          <w:sz w:val="18"/>
        </w:rPr>
        <w:t>plant</w:t>
      </w:r>
      <w:r>
        <w:rPr>
          <w:spacing w:val="-31"/>
          <w:sz w:val="18"/>
        </w:rPr>
        <w:t> </w:t>
      </w:r>
      <w:r>
        <w:rPr>
          <w:sz w:val="18"/>
        </w:rPr>
        <w:t>would</w:t>
      </w:r>
      <w:r>
        <w:rPr>
          <w:spacing w:val="-31"/>
          <w:sz w:val="18"/>
        </w:rPr>
        <w:t> </w:t>
      </w:r>
      <w:r>
        <w:rPr>
          <w:sz w:val="18"/>
        </w:rPr>
        <w:t>supply</w:t>
      </w:r>
      <w:r>
        <w:rPr>
          <w:spacing w:val="-32"/>
          <w:sz w:val="18"/>
        </w:rPr>
        <w:t> </w:t>
      </w:r>
      <w:r>
        <w:rPr>
          <w:sz w:val="18"/>
        </w:rPr>
        <w:t>electricity</w:t>
      </w:r>
      <w:r>
        <w:rPr>
          <w:spacing w:val="-31"/>
          <w:sz w:val="18"/>
        </w:rPr>
        <w:t> </w:t>
      </w:r>
      <w:r>
        <w:rPr>
          <w:sz w:val="18"/>
        </w:rPr>
        <w:t>to</w:t>
      </w:r>
      <w:r>
        <w:rPr>
          <w:spacing w:val="-31"/>
          <w:sz w:val="18"/>
        </w:rPr>
        <w:t> </w:t>
      </w:r>
      <w:r>
        <w:rPr>
          <w:sz w:val="18"/>
        </w:rPr>
        <w:t>the</w:t>
      </w:r>
      <w:r>
        <w:rPr>
          <w:spacing w:val="-30"/>
          <w:sz w:val="18"/>
        </w:rPr>
        <w:t> </w:t>
      </w:r>
      <w:r>
        <w:rPr>
          <w:sz w:val="18"/>
        </w:rPr>
        <w:t>existing</w:t>
      </w:r>
      <w:r>
        <w:rPr>
          <w:spacing w:val="-31"/>
          <w:sz w:val="18"/>
        </w:rPr>
        <w:t> </w:t>
      </w:r>
      <w:r>
        <w:rPr>
          <w:sz w:val="18"/>
        </w:rPr>
        <w:t>office</w:t>
      </w:r>
      <w:r>
        <w:rPr>
          <w:spacing w:val="-31"/>
          <w:sz w:val="18"/>
        </w:rPr>
        <w:t> </w:t>
      </w:r>
      <w:r>
        <w:rPr>
          <w:sz w:val="18"/>
        </w:rPr>
        <w:t>parks</w:t>
      </w:r>
      <w:r>
        <w:rPr>
          <w:spacing w:val="-31"/>
          <w:sz w:val="18"/>
        </w:rPr>
        <w:t> </w:t>
      </w:r>
      <w:r>
        <w:rPr>
          <w:sz w:val="18"/>
        </w:rPr>
        <w:t>/</w:t>
      </w:r>
      <w:r>
        <w:rPr>
          <w:spacing w:val="-31"/>
          <w:sz w:val="18"/>
        </w:rPr>
        <w:t> </w:t>
      </w:r>
      <w:r>
        <w:rPr>
          <w:sz w:val="18"/>
        </w:rPr>
        <w:t>hotels</w:t>
      </w:r>
      <w:r>
        <w:rPr>
          <w:spacing w:val="-32"/>
          <w:sz w:val="18"/>
        </w:rPr>
        <w:t> </w:t>
      </w:r>
      <w:r>
        <w:rPr>
          <w:sz w:val="18"/>
        </w:rPr>
        <w:t>of</w:t>
      </w:r>
      <w:r>
        <w:rPr>
          <w:spacing w:val="-31"/>
          <w:sz w:val="18"/>
        </w:rPr>
        <w:t> </w:t>
      </w:r>
      <w:r>
        <w:rPr>
          <w:sz w:val="18"/>
        </w:rPr>
        <w:t>Embassy</w:t>
      </w:r>
      <w:r>
        <w:rPr>
          <w:spacing w:val="-31"/>
          <w:sz w:val="18"/>
        </w:rPr>
        <w:t> </w:t>
      </w:r>
      <w:r>
        <w:rPr>
          <w:sz w:val="18"/>
        </w:rPr>
        <w:t>in Bengaluru.</w:t>
      </w:r>
      <w:r>
        <w:rPr>
          <w:spacing w:val="-24"/>
          <w:sz w:val="18"/>
        </w:rPr>
        <w:t> </w:t>
      </w:r>
      <w:r>
        <w:rPr>
          <w:sz w:val="18"/>
        </w:rPr>
        <w:t>In</w:t>
      </w:r>
      <w:r>
        <w:rPr>
          <w:spacing w:val="-23"/>
          <w:sz w:val="18"/>
        </w:rPr>
        <w:t> </w:t>
      </w:r>
      <w:r>
        <w:rPr>
          <w:sz w:val="18"/>
        </w:rPr>
        <w:t>lieu</w:t>
      </w:r>
      <w:r>
        <w:rPr>
          <w:spacing w:val="-24"/>
          <w:sz w:val="18"/>
        </w:rPr>
        <w:t> </w:t>
      </w:r>
      <w:r>
        <w:rPr>
          <w:sz w:val="18"/>
        </w:rPr>
        <w:t>of</w:t>
      </w:r>
      <w:r>
        <w:rPr>
          <w:spacing w:val="-24"/>
          <w:sz w:val="18"/>
        </w:rPr>
        <w:t> </w:t>
      </w:r>
      <w:r>
        <w:rPr>
          <w:sz w:val="18"/>
        </w:rPr>
        <w:t>the</w:t>
      </w:r>
      <w:r>
        <w:rPr>
          <w:spacing w:val="-25"/>
          <w:sz w:val="18"/>
        </w:rPr>
        <w:t> </w:t>
      </w:r>
      <w:r>
        <w:rPr>
          <w:sz w:val="18"/>
        </w:rPr>
        <w:t>same,</w:t>
      </w:r>
      <w:r>
        <w:rPr>
          <w:spacing w:val="-25"/>
          <w:sz w:val="18"/>
        </w:rPr>
        <w:t> </w:t>
      </w:r>
      <w:r>
        <w:rPr>
          <w:sz w:val="18"/>
        </w:rPr>
        <w:t>it</w:t>
      </w:r>
      <w:r>
        <w:rPr>
          <w:spacing w:val="-24"/>
          <w:sz w:val="18"/>
        </w:rPr>
        <w:t> </w:t>
      </w:r>
      <w:r>
        <w:rPr>
          <w:sz w:val="18"/>
        </w:rPr>
        <w:t>is</w:t>
      </w:r>
      <w:r>
        <w:rPr>
          <w:spacing w:val="-23"/>
          <w:sz w:val="18"/>
        </w:rPr>
        <w:t> </w:t>
      </w:r>
      <w:r>
        <w:rPr>
          <w:sz w:val="18"/>
        </w:rPr>
        <w:t>understood</w:t>
      </w:r>
      <w:r>
        <w:rPr>
          <w:spacing w:val="-25"/>
          <w:sz w:val="18"/>
        </w:rPr>
        <w:t> </w:t>
      </w:r>
      <w:r>
        <w:rPr>
          <w:sz w:val="18"/>
        </w:rPr>
        <w:t>that</w:t>
      </w:r>
      <w:r>
        <w:rPr>
          <w:spacing w:val="-24"/>
          <w:sz w:val="18"/>
        </w:rPr>
        <w:t> </w:t>
      </w:r>
      <w:r>
        <w:rPr>
          <w:sz w:val="18"/>
        </w:rPr>
        <w:t>EEPL</w:t>
      </w:r>
      <w:r>
        <w:rPr>
          <w:spacing w:val="-24"/>
          <w:sz w:val="18"/>
        </w:rPr>
        <w:t> </w:t>
      </w:r>
      <w:r>
        <w:rPr>
          <w:sz w:val="18"/>
        </w:rPr>
        <w:t>has</w:t>
      </w:r>
      <w:r>
        <w:rPr>
          <w:spacing w:val="-24"/>
          <w:sz w:val="18"/>
        </w:rPr>
        <w:t> </w:t>
      </w:r>
      <w:r>
        <w:rPr>
          <w:sz w:val="18"/>
        </w:rPr>
        <w:t>already</w:t>
      </w:r>
      <w:r>
        <w:rPr>
          <w:spacing w:val="-23"/>
          <w:sz w:val="18"/>
        </w:rPr>
        <w:t> </w:t>
      </w:r>
      <w:r>
        <w:rPr>
          <w:sz w:val="18"/>
        </w:rPr>
        <w:t>signed</w:t>
      </w:r>
      <w:r>
        <w:rPr>
          <w:spacing w:val="-23"/>
          <w:sz w:val="18"/>
        </w:rPr>
        <w:t> </w:t>
      </w:r>
      <w:r>
        <w:rPr>
          <w:sz w:val="18"/>
        </w:rPr>
        <w:t>power</w:t>
      </w:r>
      <w:r>
        <w:rPr>
          <w:spacing w:val="-24"/>
          <w:sz w:val="18"/>
        </w:rPr>
        <w:t> </w:t>
      </w:r>
      <w:r>
        <w:rPr>
          <w:sz w:val="18"/>
        </w:rPr>
        <w:t>purchase</w:t>
      </w:r>
      <w:r>
        <w:rPr>
          <w:spacing w:val="-23"/>
          <w:sz w:val="18"/>
        </w:rPr>
        <w:t> </w:t>
      </w:r>
      <w:r>
        <w:rPr>
          <w:sz w:val="18"/>
        </w:rPr>
        <w:t>agreements (PPAs)</w:t>
      </w:r>
      <w:r>
        <w:rPr>
          <w:spacing w:val="-8"/>
          <w:sz w:val="18"/>
        </w:rPr>
        <w:t> </w:t>
      </w:r>
      <w:r>
        <w:rPr>
          <w:sz w:val="18"/>
        </w:rPr>
        <w:t>for</w:t>
      </w:r>
      <w:r>
        <w:rPr>
          <w:spacing w:val="-8"/>
          <w:sz w:val="18"/>
        </w:rPr>
        <w:t> </w:t>
      </w:r>
      <w:r>
        <w:rPr>
          <w:sz w:val="18"/>
        </w:rPr>
        <w:t>25</w:t>
      </w:r>
      <w:r>
        <w:rPr>
          <w:spacing w:val="-9"/>
          <w:sz w:val="18"/>
        </w:rPr>
        <w:t> </w:t>
      </w:r>
      <w:r>
        <w:rPr>
          <w:sz w:val="18"/>
        </w:rPr>
        <w:t>years</w:t>
      </w:r>
      <w:r>
        <w:rPr>
          <w:spacing w:val="-5"/>
          <w:sz w:val="18"/>
        </w:rPr>
        <w:t> </w:t>
      </w:r>
      <w:r>
        <w:rPr>
          <w:sz w:val="18"/>
        </w:rPr>
        <w:t>with</w:t>
      </w:r>
      <w:r>
        <w:rPr>
          <w:spacing w:val="-8"/>
          <w:sz w:val="18"/>
        </w:rPr>
        <w:t> </w:t>
      </w:r>
      <w:r>
        <w:rPr>
          <w:sz w:val="18"/>
        </w:rPr>
        <w:t>various</w:t>
      </w:r>
      <w:r>
        <w:rPr>
          <w:spacing w:val="-7"/>
          <w:sz w:val="18"/>
        </w:rPr>
        <w:t> </w:t>
      </w:r>
      <w:r>
        <w:rPr>
          <w:sz w:val="18"/>
        </w:rPr>
        <w:t>entities</w:t>
      </w:r>
      <w:r>
        <w:rPr>
          <w:spacing w:val="-7"/>
          <w:sz w:val="18"/>
        </w:rPr>
        <w:t> </w:t>
      </w:r>
      <w:r>
        <w:rPr>
          <w:sz w:val="18"/>
        </w:rPr>
        <w:t>for</w:t>
      </w:r>
      <w:r>
        <w:rPr>
          <w:spacing w:val="-9"/>
          <w:sz w:val="18"/>
        </w:rPr>
        <w:t> </w:t>
      </w:r>
      <w:r>
        <w:rPr>
          <w:sz w:val="18"/>
        </w:rPr>
        <w:t>commercial</w:t>
      </w:r>
      <w:r>
        <w:rPr>
          <w:spacing w:val="-8"/>
          <w:sz w:val="18"/>
        </w:rPr>
        <w:t> </w:t>
      </w:r>
      <w:r>
        <w:rPr>
          <w:sz w:val="18"/>
        </w:rPr>
        <w:t>and</w:t>
      </w:r>
      <w:r>
        <w:rPr>
          <w:spacing w:val="-8"/>
          <w:sz w:val="18"/>
        </w:rPr>
        <w:t> </w:t>
      </w:r>
      <w:r>
        <w:rPr>
          <w:sz w:val="18"/>
        </w:rPr>
        <w:t>industrial</w:t>
      </w:r>
      <w:r>
        <w:rPr>
          <w:spacing w:val="-9"/>
          <w:sz w:val="18"/>
        </w:rPr>
        <w:t> </w:t>
      </w:r>
      <w:r>
        <w:rPr>
          <w:sz w:val="18"/>
        </w:rPr>
        <w:t>category.</w:t>
      </w:r>
    </w:p>
    <w:p>
      <w:pPr>
        <w:spacing w:line="321" w:lineRule="auto" w:before="120"/>
        <w:ind w:left="2572" w:right="657" w:firstLine="0"/>
        <w:jc w:val="both"/>
        <w:rPr>
          <w:sz w:val="18"/>
        </w:rPr>
      </w:pPr>
      <w:r>
        <w:rPr>
          <w:sz w:val="18"/>
        </w:rPr>
        <w:t>Further,</w:t>
      </w:r>
      <w:r>
        <w:rPr>
          <w:spacing w:val="-24"/>
          <w:sz w:val="18"/>
        </w:rPr>
        <w:t> </w:t>
      </w:r>
      <w:r>
        <w:rPr>
          <w:sz w:val="18"/>
        </w:rPr>
        <w:t>based</w:t>
      </w:r>
      <w:r>
        <w:rPr>
          <w:spacing w:val="-23"/>
          <w:sz w:val="18"/>
        </w:rPr>
        <w:t> </w:t>
      </w:r>
      <w:r>
        <w:rPr>
          <w:sz w:val="18"/>
        </w:rPr>
        <w:t>on</w:t>
      </w:r>
      <w:r>
        <w:rPr>
          <w:spacing w:val="-22"/>
          <w:sz w:val="18"/>
        </w:rPr>
        <w:t> </w:t>
      </w:r>
      <w:r>
        <w:rPr>
          <w:sz w:val="18"/>
        </w:rPr>
        <w:t>the</w:t>
      </w:r>
      <w:r>
        <w:rPr>
          <w:spacing w:val="-23"/>
          <w:sz w:val="18"/>
        </w:rPr>
        <w:t> </w:t>
      </w:r>
      <w:r>
        <w:rPr>
          <w:sz w:val="18"/>
        </w:rPr>
        <w:t>review</w:t>
      </w:r>
      <w:r>
        <w:rPr>
          <w:spacing w:val="-23"/>
          <w:sz w:val="18"/>
        </w:rPr>
        <w:t> </w:t>
      </w:r>
      <w:r>
        <w:rPr>
          <w:sz w:val="18"/>
        </w:rPr>
        <w:t>of</w:t>
      </w:r>
      <w:r>
        <w:rPr>
          <w:spacing w:val="-24"/>
          <w:sz w:val="18"/>
        </w:rPr>
        <w:t> </w:t>
      </w:r>
      <w:r>
        <w:rPr>
          <w:sz w:val="18"/>
        </w:rPr>
        <w:t>various</w:t>
      </w:r>
      <w:r>
        <w:rPr>
          <w:spacing w:val="-22"/>
          <w:sz w:val="18"/>
        </w:rPr>
        <w:t> </w:t>
      </w:r>
      <w:r>
        <w:rPr>
          <w:sz w:val="18"/>
        </w:rPr>
        <w:t>documents</w:t>
      </w:r>
      <w:r>
        <w:rPr>
          <w:spacing w:val="-22"/>
          <w:sz w:val="18"/>
        </w:rPr>
        <w:t> </w:t>
      </w:r>
      <w:r>
        <w:rPr>
          <w:sz w:val="18"/>
        </w:rPr>
        <w:t>provided</w:t>
      </w:r>
      <w:r>
        <w:rPr>
          <w:spacing w:val="-23"/>
          <w:sz w:val="18"/>
        </w:rPr>
        <w:t> </w:t>
      </w:r>
      <w:r>
        <w:rPr>
          <w:sz w:val="18"/>
        </w:rPr>
        <w:t>by</w:t>
      </w:r>
      <w:r>
        <w:rPr>
          <w:spacing w:val="-23"/>
          <w:sz w:val="18"/>
        </w:rPr>
        <w:t> </w:t>
      </w:r>
      <w:r>
        <w:rPr>
          <w:sz w:val="18"/>
        </w:rPr>
        <w:t>the</w:t>
      </w:r>
      <w:r>
        <w:rPr>
          <w:spacing w:val="-23"/>
          <w:sz w:val="18"/>
        </w:rPr>
        <w:t> </w:t>
      </w:r>
      <w:r>
        <w:rPr>
          <w:sz w:val="18"/>
        </w:rPr>
        <w:t>Client,</w:t>
      </w:r>
      <w:r>
        <w:rPr>
          <w:spacing w:val="-22"/>
          <w:sz w:val="18"/>
        </w:rPr>
        <w:t> </w:t>
      </w:r>
      <w:r>
        <w:rPr>
          <w:sz w:val="18"/>
        </w:rPr>
        <w:t>it</w:t>
      </w:r>
      <w:r>
        <w:rPr>
          <w:spacing w:val="-22"/>
          <w:sz w:val="18"/>
        </w:rPr>
        <w:t> </w:t>
      </w:r>
      <w:r>
        <w:rPr>
          <w:sz w:val="18"/>
        </w:rPr>
        <w:t>is</w:t>
      </w:r>
      <w:r>
        <w:rPr>
          <w:spacing w:val="-22"/>
          <w:sz w:val="18"/>
        </w:rPr>
        <w:t> </w:t>
      </w:r>
      <w:r>
        <w:rPr>
          <w:sz w:val="18"/>
        </w:rPr>
        <w:t>understood</w:t>
      </w:r>
      <w:r>
        <w:rPr>
          <w:spacing w:val="-23"/>
          <w:sz w:val="18"/>
        </w:rPr>
        <w:t> </w:t>
      </w:r>
      <w:r>
        <w:rPr>
          <w:sz w:val="18"/>
        </w:rPr>
        <w:t>that</w:t>
      </w:r>
      <w:r>
        <w:rPr>
          <w:spacing w:val="-24"/>
          <w:sz w:val="18"/>
        </w:rPr>
        <w:t> </w:t>
      </w:r>
      <w:r>
        <w:rPr>
          <w:sz w:val="18"/>
        </w:rPr>
        <w:t>EEPL</w:t>
      </w:r>
      <w:r>
        <w:rPr>
          <w:spacing w:val="-23"/>
          <w:sz w:val="18"/>
        </w:rPr>
        <w:t> </w:t>
      </w:r>
      <w:r>
        <w:rPr>
          <w:sz w:val="18"/>
        </w:rPr>
        <w:t>has entered</w:t>
      </w:r>
      <w:r>
        <w:rPr>
          <w:spacing w:val="-25"/>
          <w:sz w:val="18"/>
        </w:rPr>
        <w:t> </w:t>
      </w:r>
      <w:r>
        <w:rPr>
          <w:sz w:val="18"/>
        </w:rPr>
        <w:t>into</w:t>
      </w:r>
      <w:r>
        <w:rPr>
          <w:spacing w:val="-26"/>
          <w:sz w:val="18"/>
        </w:rPr>
        <w:t> </w:t>
      </w:r>
      <w:r>
        <w:rPr>
          <w:sz w:val="18"/>
        </w:rPr>
        <w:t>a</w:t>
      </w:r>
      <w:r>
        <w:rPr>
          <w:spacing w:val="-25"/>
          <w:sz w:val="18"/>
        </w:rPr>
        <w:t> </w:t>
      </w:r>
      <w:r>
        <w:rPr>
          <w:sz w:val="18"/>
        </w:rPr>
        <w:t>project</w:t>
      </w:r>
      <w:r>
        <w:rPr>
          <w:spacing w:val="-26"/>
          <w:sz w:val="18"/>
        </w:rPr>
        <w:t> </w:t>
      </w:r>
      <w:r>
        <w:rPr>
          <w:sz w:val="18"/>
        </w:rPr>
        <w:t>development</w:t>
      </w:r>
      <w:r>
        <w:rPr>
          <w:spacing w:val="-26"/>
          <w:sz w:val="18"/>
        </w:rPr>
        <w:t> </w:t>
      </w:r>
      <w:r>
        <w:rPr>
          <w:sz w:val="18"/>
        </w:rPr>
        <w:t>agreement</w:t>
      </w:r>
      <w:r>
        <w:rPr>
          <w:spacing w:val="-26"/>
          <w:sz w:val="18"/>
        </w:rPr>
        <w:t> </w:t>
      </w:r>
      <w:r>
        <w:rPr>
          <w:sz w:val="18"/>
        </w:rPr>
        <w:t>with</w:t>
      </w:r>
      <w:r>
        <w:rPr>
          <w:spacing w:val="-22"/>
          <w:sz w:val="18"/>
        </w:rPr>
        <w:t> </w:t>
      </w:r>
      <w:r>
        <w:rPr>
          <w:sz w:val="18"/>
        </w:rPr>
        <w:t>IL&amp;FS</w:t>
      </w:r>
      <w:r>
        <w:rPr>
          <w:spacing w:val="-25"/>
          <w:sz w:val="18"/>
        </w:rPr>
        <w:t> </w:t>
      </w:r>
      <w:r>
        <w:rPr>
          <w:sz w:val="18"/>
        </w:rPr>
        <w:t>Solar</w:t>
      </w:r>
      <w:r>
        <w:rPr>
          <w:spacing w:val="-25"/>
          <w:sz w:val="18"/>
        </w:rPr>
        <w:t> </w:t>
      </w:r>
      <w:r>
        <w:rPr>
          <w:sz w:val="18"/>
        </w:rPr>
        <w:t>Power</w:t>
      </w:r>
      <w:r>
        <w:rPr>
          <w:spacing w:val="-25"/>
          <w:sz w:val="18"/>
        </w:rPr>
        <w:t> </w:t>
      </w:r>
      <w:r>
        <w:rPr>
          <w:sz w:val="18"/>
        </w:rPr>
        <w:t>Limited,</w:t>
      </w:r>
      <w:r>
        <w:rPr>
          <w:spacing w:val="-27"/>
          <w:sz w:val="18"/>
        </w:rPr>
        <w:t> </w:t>
      </w:r>
      <w:r>
        <w:rPr>
          <w:sz w:val="18"/>
        </w:rPr>
        <w:t>as</w:t>
      </w:r>
      <w:r>
        <w:rPr>
          <w:spacing w:val="-25"/>
          <w:sz w:val="18"/>
        </w:rPr>
        <w:t> </w:t>
      </w:r>
      <w:r>
        <w:rPr>
          <w:sz w:val="18"/>
        </w:rPr>
        <w:t>per</w:t>
      </w:r>
      <w:r>
        <w:rPr>
          <w:spacing w:val="-25"/>
          <w:sz w:val="18"/>
        </w:rPr>
        <w:t> </w:t>
      </w:r>
      <w:r>
        <w:rPr>
          <w:sz w:val="18"/>
        </w:rPr>
        <w:t>which</w:t>
      </w:r>
      <w:r>
        <w:rPr>
          <w:spacing w:val="-26"/>
          <w:sz w:val="18"/>
        </w:rPr>
        <w:t> </w:t>
      </w:r>
      <w:r>
        <w:rPr>
          <w:sz w:val="18"/>
        </w:rPr>
        <w:t>IL&amp;FS</w:t>
      </w:r>
      <w:r>
        <w:rPr>
          <w:spacing w:val="-25"/>
          <w:sz w:val="18"/>
        </w:rPr>
        <w:t> </w:t>
      </w:r>
      <w:r>
        <w:rPr>
          <w:sz w:val="18"/>
        </w:rPr>
        <w:t>Solar Power</w:t>
      </w:r>
      <w:r>
        <w:rPr>
          <w:spacing w:val="-36"/>
          <w:sz w:val="18"/>
        </w:rPr>
        <w:t> </w:t>
      </w:r>
      <w:r>
        <w:rPr>
          <w:sz w:val="18"/>
        </w:rPr>
        <w:t>Limited</w:t>
      </w:r>
      <w:r>
        <w:rPr>
          <w:spacing w:val="-35"/>
          <w:sz w:val="18"/>
        </w:rPr>
        <w:t> </w:t>
      </w:r>
      <w:r>
        <w:rPr>
          <w:sz w:val="18"/>
        </w:rPr>
        <w:t>would</w:t>
      </w:r>
      <w:r>
        <w:rPr>
          <w:spacing w:val="-36"/>
          <w:sz w:val="18"/>
        </w:rPr>
        <w:t> </w:t>
      </w:r>
      <w:r>
        <w:rPr>
          <w:sz w:val="18"/>
        </w:rPr>
        <w:t>set</w:t>
      </w:r>
      <w:r>
        <w:rPr>
          <w:spacing w:val="-36"/>
          <w:sz w:val="18"/>
        </w:rPr>
        <w:t> </w:t>
      </w:r>
      <w:r>
        <w:rPr>
          <w:sz w:val="18"/>
        </w:rPr>
        <w:t>up</w:t>
      </w:r>
      <w:r>
        <w:rPr>
          <w:spacing w:val="-35"/>
          <w:sz w:val="18"/>
        </w:rPr>
        <w:t> </w:t>
      </w:r>
      <w:r>
        <w:rPr>
          <w:sz w:val="18"/>
        </w:rPr>
        <w:t>the</w:t>
      </w:r>
      <w:r>
        <w:rPr>
          <w:spacing w:val="-36"/>
          <w:sz w:val="18"/>
        </w:rPr>
        <w:t> </w:t>
      </w:r>
      <w:r>
        <w:rPr>
          <w:sz w:val="18"/>
        </w:rPr>
        <w:t>entire</w:t>
      </w:r>
      <w:r>
        <w:rPr>
          <w:spacing w:val="-35"/>
          <w:sz w:val="18"/>
        </w:rPr>
        <w:t> </w:t>
      </w:r>
      <w:r>
        <w:rPr>
          <w:sz w:val="18"/>
        </w:rPr>
        <w:t>solar</w:t>
      </w:r>
      <w:r>
        <w:rPr>
          <w:spacing w:val="-36"/>
          <w:sz w:val="18"/>
        </w:rPr>
        <w:t> </w:t>
      </w:r>
      <w:r>
        <w:rPr>
          <w:sz w:val="18"/>
        </w:rPr>
        <w:t>plant</w:t>
      </w:r>
      <w:r>
        <w:rPr>
          <w:spacing w:val="-36"/>
          <w:sz w:val="18"/>
        </w:rPr>
        <w:t> </w:t>
      </w:r>
      <w:r>
        <w:rPr>
          <w:sz w:val="18"/>
        </w:rPr>
        <w:t>facility</w:t>
      </w:r>
      <w:r>
        <w:rPr>
          <w:spacing w:val="-35"/>
          <w:sz w:val="18"/>
        </w:rPr>
        <w:t> </w:t>
      </w:r>
      <w:r>
        <w:rPr>
          <w:sz w:val="18"/>
        </w:rPr>
        <w:t>including</w:t>
      </w:r>
      <w:r>
        <w:rPr>
          <w:spacing w:val="-35"/>
          <w:sz w:val="18"/>
        </w:rPr>
        <w:t> </w:t>
      </w:r>
      <w:r>
        <w:rPr>
          <w:sz w:val="18"/>
        </w:rPr>
        <w:t>land</w:t>
      </w:r>
      <w:r>
        <w:rPr>
          <w:spacing w:val="-36"/>
          <w:sz w:val="18"/>
        </w:rPr>
        <w:t> </w:t>
      </w:r>
      <w:r>
        <w:rPr>
          <w:sz w:val="18"/>
        </w:rPr>
        <w:t>acquisition,</w:t>
      </w:r>
      <w:r>
        <w:rPr>
          <w:spacing w:val="-36"/>
          <w:sz w:val="18"/>
        </w:rPr>
        <w:t> </w:t>
      </w:r>
      <w:r>
        <w:rPr>
          <w:sz w:val="18"/>
        </w:rPr>
        <w:t>development,</w:t>
      </w:r>
      <w:r>
        <w:rPr>
          <w:spacing w:val="-35"/>
          <w:sz w:val="18"/>
        </w:rPr>
        <w:t> </w:t>
      </w:r>
      <w:r>
        <w:rPr>
          <w:sz w:val="18"/>
        </w:rPr>
        <w:t>design, engineering,</w:t>
      </w:r>
      <w:r>
        <w:rPr>
          <w:spacing w:val="-20"/>
          <w:sz w:val="18"/>
        </w:rPr>
        <w:t> </w:t>
      </w:r>
      <w:r>
        <w:rPr>
          <w:sz w:val="18"/>
        </w:rPr>
        <w:t>procurement,</w:t>
      </w:r>
      <w:r>
        <w:rPr>
          <w:spacing w:val="-20"/>
          <w:sz w:val="18"/>
        </w:rPr>
        <w:t> </w:t>
      </w:r>
      <w:r>
        <w:rPr>
          <w:sz w:val="18"/>
        </w:rPr>
        <w:t>construction,</w:t>
      </w:r>
      <w:r>
        <w:rPr>
          <w:spacing w:val="-19"/>
          <w:sz w:val="18"/>
        </w:rPr>
        <w:t> </w:t>
      </w:r>
      <w:r>
        <w:rPr>
          <w:sz w:val="18"/>
        </w:rPr>
        <w:t>erection,</w:t>
      </w:r>
      <w:r>
        <w:rPr>
          <w:spacing w:val="-20"/>
          <w:sz w:val="18"/>
        </w:rPr>
        <w:t> </w:t>
      </w:r>
      <w:r>
        <w:rPr>
          <w:sz w:val="18"/>
        </w:rPr>
        <w:t>testing</w:t>
      </w:r>
      <w:r>
        <w:rPr>
          <w:spacing w:val="-19"/>
          <w:sz w:val="18"/>
        </w:rPr>
        <w:t> </w:t>
      </w:r>
      <w:r>
        <w:rPr>
          <w:sz w:val="18"/>
        </w:rPr>
        <w:t>and</w:t>
      </w:r>
      <w:r>
        <w:rPr>
          <w:spacing w:val="-21"/>
          <w:sz w:val="18"/>
        </w:rPr>
        <w:t> </w:t>
      </w:r>
      <w:r>
        <w:rPr>
          <w:sz w:val="18"/>
        </w:rPr>
        <w:t>commissioning</w:t>
      </w:r>
      <w:r>
        <w:rPr>
          <w:spacing w:val="-19"/>
          <w:sz w:val="18"/>
        </w:rPr>
        <w:t> </w:t>
      </w:r>
      <w:r>
        <w:rPr>
          <w:sz w:val="18"/>
        </w:rPr>
        <w:t>of</w:t>
      </w:r>
      <w:r>
        <w:rPr>
          <w:spacing w:val="-20"/>
          <w:sz w:val="18"/>
        </w:rPr>
        <w:t> </w:t>
      </w:r>
      <w:r>
        <w:rPr>
          <w:sz w:val="18"/>
        </w:rPr>
        <w:t>the</w:t>
      </w:r>
      <w:r>
        <w:rPr>
          <w:spacing w:val="-20"/>
          <w:sz w:val="18"/>
        </w:rPr>
        <w:t> </w:t>
      </w:r>
      <w:r>
        <w:rPr>
          <w:sz w:val="18"/>
        </w:rPr>
        <w:t>solar</w:t>
      </w:r>
      <w:r>
        <w:rPr>
          <w:spacing w:val="-20"/>
          <w:sz w:val="18"/>
        </w:rPr>
        <w:t> </w:t>
      </w:r>
      <w:r>
        <w:rPr>
          <w:sz w:val="18"/>
        </w:rPr>
        <w:t>park.</w:t>
      </w:r>
      <w:r>
        <w:rPr>
          <w:spacing w:val="-20"/>
          <w:sz w:val="18"/>
        </w:rPr>
        <w:t> </w:t>
      </w:r>
      <w:r>
        <w:rPr>
          <w:sz w:val="18"/>
        </w:rPr>
        <w:t>For</w:t>
      </w:r>
      <w:r>
        <w:rPr>
          <w:spacing w:val="-20"/>
          <w:sz w:val="18"/>
        </w:rPr>
        <w:t> </w:t>
      </w:r>
      <w:r>
        <w:rPr>
          <w:sz w:val="18"/>
        </w:rPr>
        <w:t>the </w:t>
      </w:r>
      <w:r>
        <w:rPr>
          <w:w w:val="95"/>
          <w:sz w:val="18"/>
        </w:rPr>
        <w:t>same,</w:t>
      </w:r>
      <w:r>
        <w:rPr>
          <w:spacing w:val="-13"/>
          <w:w w:val="95"/>
          <w:sz w:val="18"/>
        </w:rPr>
        <w:t> </w:t>
      </w:r>
      <w:r>
        <w:rPr>
          <w:w w:val="95"/>
          <w:sz w:val="18"/>
        </w:rPr>
        <w:t>IL&amp;FS</w:t>
      </w:r>
      <w:r>
        <w:rPr>
          <w:spacing w:val="-12"/>
          <w:w w:val="95"/>
          <w:sz w:val="18"/>
        </w:rPr>
        <w:t> </w:t>
      </w:r>
      <w:r>
        <w:rPr>
          <w:w w:val="95"/>
          <w:sz w:val="18"/>
        </w:rPr>
        <w:t>Solar</w:t>
      </w:r>
      <w:r>
        <w:rPr>
          <w:spacing w:val="-14"/>
          <w:w w:val="95"/>
          <w:sz w:val="18"/>
        </w:rPr>
        <w:t> </w:t>
      </w:r>
      <w:r>
        <w:rPr>
          <w:w w:val="95"/>
          <w:sz w:val="18"/>
        </w:rPr>
        <w:t>Power</w:t>
      </w:r>
      <w:r>
        <w:rPr>
          <w:spacing w:val="-14"/>
          <w:w w:val="95"/>
          <w:sz w:val="18"/>
        </w:rPr>
        <w:t> </w:t>
      </w:r>
      <w:r>
        <w:rPr>
          <w:w w:val="95"/>
          <w:sz w:val="18"/>
        </w:rPr>
        <w:t>Limited</w:t>
      </w:r>
      <w:r>
        <w:rPr>
          <w:spacing w:val="-11"/>
          <w:w w:val="95"/>
          <w:sz w:val="18"/>
        </w:rPr>
        <w:t> </w:t>
      </w:r>
      <w:r>
        <w:rPr>
          <w:w w:val="95"/>
          <w:sz w:val="18"/>
        </w:rPr>
        <w:t>will</w:t>
      </w:r>
      <w:r>
        <w:rPr>
          <w:spacing w:val="-14"/>
          <w:w w:val="95"/>
          <w:sz w:val="18"/>
        </w:rPr>
        <w:t> </w:t>
      </w:r>
      <w:r>
        <w:rPr>
          <w:w w:val="95"/>
          <w:sz w:val="18"/>
        </w:rPr>
        <w:t>receive</w:t>
      </w:r>
      <w:r>
        <w:rPr>
          <w:spacing w:val="-13"/>
          <w:w w:val="95"/>
          <w:sz w:val="18"/>
        </w:rPr>
        <w:t> </w:t>
      </w:r>
      <w:r>
        <w:rPr>
          <w:w w:val="95"/>
          <w:sz w:val="18"/>
        </w:rPr>
        <w:t>deferred</w:t>
      </w:r>
      <w:r>
        <w:rPr>
          <w:spacing w:val="-13"/>
          <w:w w:val="95"/>
          <w:sz w:val="18"/>
        </w:rPr>
        <w:t> </w:t>
      </w:r>
      <w:r>
        <w:rPr>
          <w:w w:val="95"/>
          <w:sz w:val="18"/>
        </w:rPr>
        <w:t>payments</w:t>
      </w:r>
      <w:r>
        <w:rPr>
          <w:spacing w:val="-12"/>
          <w:w w:val="95"/>
          <w:sz w:val="18"/>
        </w:rPr>
        <w:t> </w:t>
      </w:r>
      <w:r>
        <w:rPr>
          <w:w w:val="95"/>
          <w:sz w:val="18"/>
        </w:rPr>
        <w:t>from</w:t>
      </w:r>
      <w:r>
        <w:rPr>
          <w:spacing w:val="-13"/>
          <w:w w:val="95"/>
          <w:sz w:val="18"/>
        </w:rPr>
        <w:t> </w:t>
      </w:r>
      <w:r>
        <w:rPr>
          <w:w w:val="95"/>
          <w:sz w:val="18"/>
        </w:rPr>
        <w:t>EEPL</w:t>
      </w:r>
      <w:r>
        <w:rPr>
          <w:spacing w:val="-13"/>
          <w:w w:val="95"/>
          <w:sz w:val="18"/>
        </w:rPr>
        <w:t> </w:t>
      </w:r>
      <w:r>
        <w:rPr>
          <w:w w:val="95"/>
          <w:sz w:val="18"/>
        </w:rPr>
        <w:t>in</w:t>
      </w:r>
      <w:r>
        <w:rPr>
          <w:spacing w:val="-13"/>
          <w:w w:val="95"/>
          <w:sz w:val="18"/>
        </w:rPr>
        <w:t> </w:t>
      </w:r>
      <w:r>
        <w:rPr>
          <w:w w:val="95"/>
          <w:sz w:val="18"/>
        </w:rPr>
        <w:t>equated</w:t>
      </w:r>
      <w:r>
        <w:rPr>
          <w:spacing w:val="-14"/>
          <w:w w:val="95"/>
          <w:sz w:val="18"/>
        </w:rPr>
        <w:t> </w:t>
      </w:r>
      <w:r>
        <w:rPr>
          <w:w w:val="95"/>
          <w:sz w:val="18"/>
        </w:rPr>
        <w:t>monthly</w:t>
      </w:r>
      <w:r>
        <w:rPr>
          <w:spacing w:val="-13"/>
          <w:w w:val="95"/>
          <w:sz w:val="18"/>
        </w:rPr>
        <w:t> </w:t>
      </w:r>
      <w:r>
        <w:rPr>
          <w:w w:val="95"/>
          <w:sz w:val="18"/>
        </w:rPr>
        <w:t>instalments</w:t>
      </w:r>
    </w:p>
    <w:p>
      <w:pPr>
        <w:spacing w:after="0" w:line="321" w:lineRule="auto"/>
        <w:jc w:val="both"/>
        <w:rPr>
          <w:sz w:val="18"/>
        </w:rPr>
        <w:sectPr>
          <w:pgSz w:w="11910" w:h="16840"/>
          <w:pgMar w:header="720" w:footer="842" w:top="1520" w:bottom="1040" w:left="440" w:right="80"/>
        </w:sectPr>
      </w:pPr>
    </w:p>
    <w:p>
      <w:pPr>
        <w:pStyle w:val="BodyText"/>
        <w:spacing w:before="11"/>
      </w:pPr>
    </w:p>
    <w:p>
      <w:pPr>
        <w:spacing w:line="331" w:lineRule="auto" w:before="147"/>
        <w:ind w:left="2572" w:right="659" w:firstLine="0"/>
        <w:jc w:val="both"/>
        <w:rPr>
          <w:sz w:val="18"/>
        </w:rPr>
      </w:pPr>
      <w:r>
        <w:rPr>
          <w:sz w:val="18"/>
        </w:rPr>
        <w:t>for</w:t>
      </w:r>
      <w:r>
        <w:rPr>
          <w:spacing w:val="-10"/>
          <w:sz w:val="18"/>
        </w:rPr>
        <w:t> </w:t>
      </w:r>
      <w:r>
        <w:rPr>
          <w:sz w:val="18"/>
        </w:rPr>
        <w:t>15</w:t>
      </w:r>
      <w:r>
        <w:rPr>
          <w:spacing w:val="-9"/>
          <w:sz w:val="18"/>
        </w:rPr>
        <w:t> </w:t>
      </w:r>
      <w:r>
        <w:rPr>
          <w:sz w:val="18"/>
        </w:rPr>
        <w:t>years</w:t>
      </w:r>
      <w:r>
        <w:rPr>
          <w:spacing w:val="-8"/>
          <w:sz w:val="18"/>
        </w:rPr>
        <w:t> </w:t>
      </w:r>
      <w:r>
        <w:rPr>
          <w:sz w:val="18"/>
        </w:rPr>
        <w:t>(180</w:t>
      </w:r>
      <w:r>
        <w:rPr>
          <w:spacing w:val="-8"/>
          <w:sz w:val="18"/>
        </w:rPr>
        <w:t> </w:t>
      </w:r>
      <w:r>
        <w:rPr>
          <w:sz w:val="18"/>
        </w:rPr>
        <w:t>months)</w:t>
      </w:r>
      <w:r>
        <w:rPr>
          <w:spacing w:val="-8"/>
          <w:sz w:val="18"/>
        </w:rPr>
        <w:t> </w:t>
      </w:r>
      <w:r>
        <w:rPr>
          <w:sz w:val="18"/>
        </w:rPr>
        <w:t>from</w:t>
      </w:r>
      <w:r>
        <w:rPr>
          <w:spacing w:val="-8"/>
          <w:sz w:val="18"/>
        </w:rPr>
        <w:t> </w:t>
      </w:r>
      <w:r>
        <w:rPr>
          <w:sz w:val="18"/>
        </w:rPr>
        <w:t>Commercial</w:t>
      </w:r>
      <w:r>
        <w:rPr>
          <w:spacing w:val="-9"/>
          <w:sz w:val="18"/>
        </w:rPr>
        <w:t> </w:t>
      </w:r>
      <w:r>
        <w:rPr>
          <w:sz w:val="18"/>
        </w:rPr>
        <w:t>Operation</w:t>
      </w:r>
      <w:r>
        <w:rPr>
          <w:spacing w:val="-9"/>
          <w:sz w:val="18"/>
        </w:rPr>
        <w:t> </w:t>
      </w:r>
      <w:r>
        <w:rPr>
          <w:sz w:val="18"/>
        </w:rPr>
        <w:t>Date</w:t>
      </w:r>
      <w:r>
        <w:rPr>
          <w:spacing w:val="-8"/>
          <w:sz w:val="18"/>
        </w:rPr>
        <w:t> </w:t>
      </w:r>
      <w:r>
        <w:rPr>
          <w:sz w:val="18"/>
        </w:rPr>
        <w:t>(COD)</w:t>
      </w:r>
      <w:r>
        <w:rPr>
          <w:sz w:val="18"/>
          <w:vertAlign w:val="superscript"/>
        </w:rPr>
        <w:t>4</w:t>
      </w:r>
      <w:r>
        <w:rPr>
          <w:sz w:val="18"/>
          <w:vertAlign w:val="baseline"/>
        </w:rPr>
        <w:t>.</w:t>
      </w:r>
      <w:r>
        <w:rPr>
          <w:spacing w:val="-9"/>
          <w:sz w:val="18"/>
          <w:vertAlign w:val="baseline"/>
        </w:rPr>
        <w:t> </w:t>
      </w:r>
      <w:r>
        <w:rPr>
          <w:sz w:val="18"/>
          <w:vertAlign w:val="baseline"/>
        </w:rPr>
        <w:t>Additionally,</w:t>
      </w:r>
      <w:r>
        <w:rPr>
          <w:spacing w:val="-7"/>
          <w:sz w:val="18"/>
          <w:vertAlign w:val="baseline"/>
        </w:rPr>
        <w:t> </w:t>
      </w:r>
      <w:r>
        <w:rPr>
          <w:sz w:val="18"/>
          <w:vertAlign w:val="baseline"/>
        </w:rPr>
        <w:t>it</w:t>
      </w:r>
      <w:r>
        <w:rPr>
          <w:spacing w:val="-9"/>
          <w:sz w:val="18"/>
          <w:vertAlign w:val="baseline"/>
        </w:rPr>
        <w:t> </w:t>
      </w:r>
      <w:r>
        <w:rPr>
          <w:sz w:val="18"/>
          <w:vertAlign w:val="baseline"/>
        </w:rPr>
        <w:t>is</w:t>
      </w:r>
      <w:r>
        <w:rPr>
          <w:spacing w:val="-8"/>
          <w:sz w:val="18"/>
          <w:vertAlign w:val="baseline"/>
        </w:rPr>
        <w:t> </w:t>
      </w:r>
      <w:r>
        <w:rPr>
          <w:sz w:val="18"/>
          <w:vertAlign w:val="baseline"/>
        </w:rPr>
        <w:t>also</w:t>
      </w:r>
      <w:r>
        <w:rPr>
          <w:spacing w:val="-8"/>
          <w:sz w:val="18"/>
          <w:vertAlign w:val="baseline"/>
        </w:rPr>
        <w:t> </w:t>
      </w:r>
      <w:r>
        <w:rPr>
          <w:sz w:val="18"/>
          <w:vertAlign w:val="baseline"/>
        </w:rPr>
        <w:t>understood that</w:t>
      </w:r>
      <w:r>
        <w:rPr>
          <w:spacing w:val="-20"/>
          <w:sz w:val="18"/>
          <w:vertAlign w:val="baseline"/>
        </w:rPr>
        <w:t> </w:t>
      </w:r>
      <w:r>
        <w:rPr>
          <w:sz w:val="18"/>
          <w:vertAlign w:val="baseline"/>
        </w:rPr>
        <w:t>IL&amp;FS</w:t>
      </w:r>
      <w:r>
        <w:rPr>
          <w:spacing w:val="-19"/>
          <w:sz w:val="18"/>
          <w:vertAlign w:val="baseline"/>
        </w:rPr>
        <w:t> </w:t>
      </w:r>
      <w:r>
        <w:rPr>
          <w:sz w:val="18"/>
          <w:vertAlign w:val="baseline"/>
        </w:rPr>
        <w:t>Solar</w:t>
      </w:r>
      <w:r>
        <w:rPr>
          <w:spacing w:val="-20"/>
          <w:sz w:val="18"/>
          <w:vertAlign w:val="baseline"/>
        </w:rPr>
        <w:t> </w:t>
      </w:r>
      <w:r>
        <w:rPr>
          <w:sz w:val="18"/>
          <w:vertAlign w:val="baseline"/>
        </w:rPr>
        <w:t>Power</w:t>
      </w:r>
      <w:r>
        <w:rPr>
          <w:spacing w:val="-20"/>
          <w:sz w:val="18"/>
          <w:vertAlign w:val="baseline"/>
        </w:rPr>
        <w:t> </w:t>
      </w:r>
      <w:r>
        <w:rPr>
          <w:sz w:val="18"/>
          <w:vertAlign w:val="baseline"/>
        </w:rPr>
        <w:t>Limited</w:t>
      </w:r>
      <w:r>
        <w:rPr>
          <w:spacing w:val="-18"/>
          <w:sz w:val="18"/>
          <w:vertAlign w:val="baseline"/>
        </w:rPr>
        <w:t> </w:t>
      </w:r>
      <w:r>
        <w:rPr>
          <w:sz w:val="18"/>
          <w:vertAlign w:val="baseline"/>
        </w:rPr>
        <w:t>would</w:t>
      </w:r>
      <w:r>
        <w:rPr>
          <w:spacing w:val="-21"/>
          <w:sz w:val="18"/>
          <w:vertAlign w:val="baseline"/>
        </w:rPr>
        <w:t> </w:t>
      </w:r>
      <w:r>
        <w:rPr>
          <w:sz w:val="18"/>
          <w:vertAlign w:val="baseline"/>
        </w:rPr>
        <w:t>undertake</w:t>
      </w:r>
      <w:r>
        <w:rPr>
          <w:spacing w:val="-19"/>
          <w:sz w:val="18"/>
          <w:vertAlign w:val="baseline"/>
        </w:rPr>
        <w:t> </w:t>
      </w:r>
      <w:r>
        <w:rPr>
          <w:sz w:val="18"/>
          <w:vertAlign w:val="baseline"/>
        </w:rPr>
        <w:t>the</w:t>
      </w:r>
      <w:r>
        <w:rPr>
          <w:spacing w:val="-19"/>
          <w:sz w:val="18"/>
          <w:vertAlign w:val="baseline"/>
        </w:rPr>
        <w:t> </w:t>
      </w:r>
      <w:r>
        <w:rPr>
          <w:sz w:val="18"/>
          <w:vertAlign w:val="baseline"/>
        </w:rPr>
        <w:t>O&amp;M</w:t>
      </w:r>
      <w:r>
        <w:rPr>
          <w:spacing w:val="-22"/>
          <w:sz w:val="18"/>
          <w:vertAlign w:val="baseline"/>
        </w:rPr>
        <w:t> </w:t>
      </w:r>
      <w:r>
        <w:rPr>
          <w:sz w:val="18"/>
          <w:vertAlign w:val="baseline"/>
        </w:rPr>
        <w:t>services</w:t>
      </w:r>
      <w:r>
        <w:rPr>
          <w:spacing w:val="-20"/>
          <w:sz w:val="18"/>
          <w:vertAlign w:val="baseline"/>
        </w:rPr>
        <w:t> </w:t>
      </w:r>
      <w:r>
        <w:rPr>
          <w:sz w:val="18"/>
          <w:vertAlign w:val="baseline"/>
        </w:rPr>
        <w:t>for</w:t>
      </w:r>
      <w:r>
        <w:rPr>
          <w:spacing w:val="-20"/>
          <w:sz w:val="18"/>
          <w:vertAlign w:val="baseline"/>
        </w:rPr>
        <w:t> </w:t>
      </w:r>
      <w:r>
        <w:rPr>
          <w:sz w:val="18"/>
          <w:vertAlign w:val="baseline"/>
        </w:rPr>
        <w:t>the</w:t>
      </w:r>
      <w:r>
        <w:rPr>
          <w:spacing w:val="-20"/>
          <w:sz w:val="18"/>
          <w:vertAlign w:val="baseline"/>
        </w:rPr>
        <w:t> </w:t>
      </w:r>
      <w:r>
        <w:rPr>
          <w:sz w:val="18"/>
          <w:vertAlign w:val="baseline"/>
        </w:rPr>
        <w:t>solar</w:t>
      </w:r>
      <w:r>
        <w:rPr>
          <w:spacing w:val="-20"/>
          <w:sz w:val="18"/>
          <w:vertAlign w:val="baseline"/>
        </w:rPr>
        <w:t> </w:t>
      </w:r>
      <w:r>
        <w:rPr>
          <w:sz w:val="18"/>
          <w:vertAlign w:val="baseline"/>
        </w:rPr>
        <w:t>park</w:t>
      </w:r>
      <w:r>
        <w:rPr>
          <w:spacing w:val="-16"/>
          <w:sz w:val="18"/>
          <w:vertAlign w:val="baseline"/>
        </w:rPr>
        <w:t> </w:t>
      </w:r>
      <w:r>
        <w:rPr>
          <w:sz w:val="18"/>
          <w:vertAlign w:val="baseline"/>
        </w:rPr>
        <w:t>facility</w:t>
      </w:r>
      <w:r>
        <w:rPr>
          <w:spacing w:val="-20"/>
          <w:sz w:val="18"/>
          <w:vertAlign w:val="baseline"/>
        </w:rPr>
        <w:t> </w:t>
      </w:r>
      <w:r>
        <w:rPr>
          <w:sz w:val="18"/>
          <w:vertAlign w:val="baseline"/>
        </w:rPr>
        <w:t>for</w:t>
      </w:r>
      <w:r>
        <w:rPr>
          <w:spacing w:val="-20"/>
          <w:sz w:val="18"/>
          <w:vertAlign w:val="baseline"/>
        </w:rPr>
        <w:t> </w:t>
      </w:r>
      <w:r>
        <w:rPr>
          <w:sz w:val="18"/>
          <w:vertAlign w:val="baseline"/>
        </w:rPr>
        <w:t>a</w:t>
      </w:r>
      <w:r>
        <w:rPr>
          <w:spacing w:val="-19"/>
          <w:sz w:val="18"/>
          <w:vertAlign w:val="baseline"/>
        </w:rPr>
        <w:t> </w:t>
      </w:r>
      <w:r>
        <w:rPr>
          <w:sz w:val="18"/>
          <w:vertAlign w:val="baseline"/>
        </w:rPr>
        <w:t>period of</w:t>
      </w:r>
      <w:r>
        <w:rPr>
          <w:spacing w:val="-6"/>
          <w:sz w:val="18"/>
          <w:vertAlign w:val="baseline"/>
        </w:rPr>
        <w:t> </w:t>
      </w:r>
      <w:r>
        <w:rPr>
          <w:sz w:val="18"/>
          <w:vertAlign w:val="baseline"/>
        </w:rPr>
        <w:t>15</w:t>
      </w:r>
      <w:r>
        <w:rPr>
          <w:spacing w:val="-6"/>
          <w:sz w:val="18"/>
          <w:vertAlign w:val="baseline"/>
        </w:rPr>
        <w:t> </w:t>
      </w:r>
      <w:r>
        <w:rPr>
          <w:sz w:val="18"/>
          <w:vertAlign w:val="baseline"/>
        </w:rPr>
        <w:t>years</w:t>
      </w:r>
      <w:r>
        <w:rPr>
          <w:spacing w:val="-5"/>
          <w:sz w:val="18"/>
          <w:vertAlign w:val="baseline"/>
        </w:rPr>
        <w:t> </w:t>
      </w:r>
      <w:r>
        <w:rPr>
          <w:sz w:val="18"/>
          <w:vertAlign w:val="baseline"/>
        </w:rPr>
        <w:t>from</w:t>
      </w:r>
      <w:r>
        <w:rPr>
          <w:spacing w:val="-6"/>
          <w:sz w:val="18"/>
          <w:vertAlign w:val="baseline"/>
        </w:rPr>
        <w:t> </w:t>
      </w:r>
      <w:r>
        <w:rPr>
          <w:sz w:val="18"/>
          <w:vertAlign w:val="baseline"/>
        </w:rPr>
        <w:t>COD.</w:t>
      </w:r>
      <w:r>
        <w:rPr>
          <w:spacing w:val="-6"/>
          <w:sz w:val="18"/>
          <w:vertAlign w:val="baseline"/>
        </w:rPr>
        <w:t> </w:t>
      </w:r>
      <w:r>
        <w:rPr>
          <w:sz w:val="18"/>
          <w:vertAlign w:val="baseline"/>
        </w:rPr>
        <w:t>For</w:t>
      </w:r>
      <w:r>
        <w:rPr>
          <w:spacing w:val="-6"/>
          <w:sz w:val="18"/>
          <w:vertAlign w:val="baseline"/>
        </w:rPr>
        <w:t> </w:t>
      </w:r>
      <w:r>
        <w:rPr>
          <w:sz w:val="18"/>
          <w:vertAlign w:val="baseline"/>
        </w:rPr>
        <w:t>the</w:t>
      </w:r>
      <w:r>
        <w:rPr>
          <w:spacing w:val="-6"/>
          <w:sz w:val="18"/>
          <w:vertAlign w:val="baseline"/>
        </w:rPr>
        <w:t> </w:t>
      </w:r>
      <w:r>
        <w:rPr>
          <w:sz w:val="18"/>
          <w:vertAlign w:val="baseline"/>
        </w:rPr>
        <w:t>same,</w:t>
      </w:r>
      <w:r>
        <w:rPr>
          <w:spacing w:val="-6"/>
          <w:sz w:val="18"/>
          <w:vertAlign w:val="baseline"/>
        </w:rPr>
        <w:t> </w:t>
      </w:r>
      <w:r>
        <w:rPr>
          <w:sz w:val="18"/>
          <w:vertAlign w:val="baseline"/>
        </w:rPr>
        <w:t>EEPL</w:t>
      </w:r>
      <w:r>
        <w:rPr>
          <w:spacing w:val="-6"/>
          <w:sz w:val="18"/>
          <w:vertAlign w:val="baseline"/>
        </w:rPr>
        <w:t> </w:t>
      </w:r>
      <w:r>
        <w:rPr>
          <w:sz w:val="18"/>
          <w:vertAlign w:val="baseline"/>
        </w:rPr>
        <w:t>would</w:t>
      </w:r>
      <w:r>
        <w:rPr>
          <w:spacing w:val="-6"/>
          <w:sz w:val="18"/>
          <w:vertAlign w:val="baseline"/>
        </w:rPr>
        <w:t> </w:t>
      </w:r>
      <w:r>
        <w:rPr>
          <w:sz w:val="18"/>
          <w:vertAlign w:val="baseline"/>
        </w:rPr>
        <w:t>pay</w:t>
      </w:r>
      <w:r>
        <w:rPr>
          <w:spacing w:val="-7"/>
          <w:sz w:val="18"/>
          <w:vertAlign w:val="baseline"/>
        </w:rPr>
        <w:t> </w:t>
      </w:r>
      <w:r>
        <w:rPr>
          <w:sz w:val="18"/>
          <w:vertAlign w:val="baseline"/>
        </w:rPr>
        <w:t>a</w:t>
      </w:r>
      <w:r>
        <w:rPr>
          <w:spacing w:val="-5"/>
          <w:sz w:val="18"/>
          <w:vertAlign w:val="baseline"/>
        </w:rPr>
        <w:t> </w:t>
      </w:r>
      <w:r>
        <w:rPr>
          <w:sz w:val="18"/>
          <w:vertAlign w:val="baseline"/>
        </w:rPr>
        <w:t>lump</w:t>
      </w:r>
      <w:r>
        <w:rPr>
          <w:spacing w:val="-8"/>
          <w:sz w:val="18"/>
          <w:vertAlign w:val="baseline"/>
        </w:rPr>
        <w:t> </w:t>
      </w:r>
      <w:r>
        <w:rPr>
          <w:sz w:val="18"/>
          <w:vertAlign w:val="baseline"/>
        </w:rPr>
        <w:t>sum</w:t>
      </w:r>
      <w:r>
        <w:rPr>
          <w:spacing w:val="-5"/>
          <w:sz w:val="18"/>
          <w:vertAlign w:val="baseline"/>
        </w:rPr>
        <w:t> </w:t>
      </w:r>
      <w:r>
        <w:rPr>
          <w:sz w:val="18"/>
          <w:vertAlign w:val="baseline"/>
        </w:rPr>
        <w:t>operations</w:t>
      </w:r>
      <w:r>
        <w:rPr>
          <w:spacing w:val="-6"/>
          <w:sz w:val="18"/>
          <w:vertAlign w:val="baseline"/>
        </w:rPr>
        <w:t> </w:t>
      </w:r>
      <w:r>
        <w:rPr>
          <w:sz w:val="18"/>
          <w:vertAlign w:val="baseline"/>
        </w:rPr>
        <w:t>and</w:t>
      </w:r>
      <w:r>
        <w:rPr>
          <w:spacing w:val="-5"/>
          <w:sz w:val="18"/>
          <w:vertAlign w:val="baseline"/>
        </w:rPr>
        <w:t> </w:t>
      </w:r>
      <w:r>
        <w:rPr>
          <w:sz w:val="18"/>
          <w:vertAlign w:val="baseline"/>
        </w:rPr>
        <w:t>maintenance</w:t>
      </w:r>
      <w:r>
        <w:rPr>
          <w:spacing w:val="-5"/>
          <w:sz w:val="18"/>
          <w:vertAlign w:val="baseline"/>
        </w:rPr>
        <w:t> </w:t>
      </w:r>
      <w:r>
        <w:rPr>
          <w:sz w:val="18"/>
          <w:vertAlign w:val="baseline"/>
        </w:rPr>
        <w:t>service fee</w:t>
      </w:r>
      <w:r>
        <w:rPr>
          <w:spacing w:val="-7"/>
          <w:sz w:val="18"/>
          <w:vertAlign w:val="baseline"/>
        </w:rPr>
        <w:t> </w:t>
      </w:r>
      <w:r>
        <w:rPr>
          <w:sz w:val="18"/>
          <w:vertAlign w:val="baseline"/>
        </w:rPr>
        <w:t>(during</w:t>
      </w:r>
      <w:r>
        <w:rPr>
          <w:spacing w:val="-6"/>
          <w:sz w:val="18"/>
          <w:vertAlign w:val="baseline"/>
        </w:rPr>
        <w:t> </w:t>
      </w:r>
      <w:r>
        <w:rPr>
          <w:sz w:val="18"/>
          <w:vertAlign w:val="baseline"/>
        </w:rPr>
        <w:t>the</w:t>
      </w:r>
      <w:r>
        <w:rPr>
          <w:spacing w:val="-6"/>
          <w:sz w:val="18"/>
          <w:vertAlign w:val="baseline"/>
        </w:rPr>
        <w:t> </w:t>
      </w:r>
      <w:r>
        <w:rPr>
          <w:sz w:val="18"/>
          <w:vertAlign w:val="baseline"/>
        </w:rPr>
        <w:t>term</w:t>
      </w:r>
      <w:r>
        <w:rPr>
          <w:spacing w:val="-6"/>
          <w:sz w:val="18"/>
          <w:vertAlign w:val="baseline"/>
        </w:rPr>
        <w:t> </w:t>
      </w:r>
      <w:r>
        <w:rPr>
          <w:sz w:val="18"/>
          <w:vertAlign w:val="baseline"/>
        </w:rPr>
        <w:t>of</w:t>
      </w:r>
      <w:r>
        <w:rPr>
          <w:spacing w:val="-6"/>
          <w:sz w:val="18"/>
          <w:vertAlign w:val="baseline"/>
        </w:rPr>
        <w:t> </w:t>
      </w:r>
      <w:r>
        <w:rPr>
          <w:sz w:val="18"/>
          <w:vertAlign w:val="baseline"/>
        </w:rPr>
        <w:t>this</w:t>
      </w:r>
      <w:r>
        <w:rPr>
          <w:spacing w:val="-6"/>
          <w:sz w:val="18"/>
          <w:vertAlign w:val="baseline"/>
        </w:rPr>
        <w:t> </w:t>
      </w:r>
      <w:r>
        <w:rPr>
          <w:sz w:val="18"/>
          <w:vertAlign w:val="baseline"/>
        </w:rPr>
        <w:t>agreement)</w:t>
      </w:r>
      <w:r>
        <w:rPr>
          <w:spacing w:val="-6"/>
          <w:sz w:val="18"/>
          <w:vertAlign w:val="baseline"/>
        </w:rPr>
        <w:t> </w:t>
      </w:r>
      <w:r>
        <w:rPr>
          <w:sz w:val="18"/>
          <w:vertAlign w:val="baseline"/>
        </w:rPr>
        <w:t>to</w:t>
      </w:r>
      <w:r>
        <w:rPr>
          <w:spacing w:val="-3"/>
          <w:sz w:val="18"/>
          <w:vertAlign w:val="baseline"/>
        </w:rPr>
        <w:t> </w:t>
      </w:r>
      <w:r>
        <w:rPr>
          <w:sz w:val="18"/>
          <w:vertAlign w:val="baseline"/>
        </w:rPr>
        <w:t>IL&amp;FS</w:t>
      </w:r>
      <w:r>
        <w:rPr>
          <w:spacing w:val="-6"/>
          <w:sz w:val="18"/>
          <w:vertAlign w:val="baseline"/>
        </w:rPr>
        <w:t> </w:t>
      </w:r>
      <w:r>
        <w:rPr>
          <w:sz w:val="18"/>
          <w:vertAlign w:val="baseline"/>
        </w:rPr>
        <w:t>Solar</w:t>
      </w:r>
      <w:r>
        <w:rPr>
          <w:spacing w:val="-7"/>
          <w:sz w:val="18"/>
          <w:vertAlign w:val="baseline"/>
        </w:rPr>
        <w:t> </w:t>
      </w:r>
      <w:r>
        <w:rPr>
          <w:sz w:val="18"/>
          <w:vertAlign w:val="baseline"/>
        </w:rPr>
        <w:t>Power</w:t>
      </w:r>
      <w:r>
        <w:rPr>
          <w:spacing w:val="-7"/>
          <w:sz w:val="18"/>
          <w:vertAlign w:val="baseline"/>
        </w:rPr>
        <w:t> </w:t>
      </w:r>
      <w:r>
        <w:rPr>
          <w:sz w:val="18"/>
          <w:vertAlign w:val="baseline"/>
        </w:rPr>
        <w:t>Limited.</w:t>
      </w:r>
    </w:p>
    <w:p>
      <w:pPr>
        <w:pStyle w:val="BodyText"/>
        <w:spacing w:before="11"/>
        <w:rPr>
          <w:sz w:val="20"/>
        </w:rPr>
      </w:pPr>
    </w:p>
    <w:p>
      <w:pPr>
        <w:tabs>
          <w:tab w:pos="2572" w:val="left" w:leader="none"/>
        </w:tabs>
        <w:spacing w:line="321" w:lineRule="auto" w:before="0"/>
        <w:ind w:left="2572" w:right="662" w:hanging="2180"/>
        <w:jc w:val="both"/>
        <w:rPr>
          <w:sz w:val="18"/>
        </w:rPr>
      </w:pPr>
      <w:r>
        <w:rPr>
          <w:color w:val="006A4D"/>
          <w:sz w:val="18"/>
        </w:rPr>
        <w:t>Statement</w:t>
      </w:r>
      <w:r>
        <w:rPr>
          <w:color w:val="006A4D"/>
          <w:spacing w:val="-32"/>
          <w:sz w:val="18"/>
        </w:rPr>
        <w:t> </w:t>
      </w:r>
      <w:r>
        <w:rPr>
          <w:color w:val="006A4D"/>
          <w:sz w:val="18"/>
        </w:rPr>
        <w:t>of</w:t>
      </w:r>
      <w:r>
        <w:rPr>
          <w:color w:val="006A4D"/>
          <w:spacing w:val="-31"/>
          <w:sz w:val="18"/>
        </w:rPr>
        <w:t> </w:t>
      </w:r>
      <w:r>
        <w:rPr>
          <w:color w:val="006A4D"/>
          <w:sz w:val="18"/>
        </w:rPr>
        <w:t>Assets:</w:t>
        <w:tab/>
      </w:r>
      <w:r>
        <w:rPr>
          <w:sz w:val="18"/>
        </w:rPr>
        <w:t>Based on review of various documents (such as deferred payment agreement, project development agreement,</w:t>
      </w:r>
      <w:r>
        <w:rPr>
          <w:spacing w:val="-36"/>
          <w:sz w:val="18"/>
        </w:rPr>
        <w:t> </w:t>
      </w:r>
      <w:r>
        <w:rPr>
          <w:sz w:val="18"/>
        </w:rPr>
        <w:t>commissioning</w:t>
      </w:r>
      <w:r>
        <w:rPr>
          <w:spacing w:val="-36"/>
          <w:sz w:val="18"/>
        </w:rPr>
        <w:t> </w:t>
      </w:r>
      <w:r>
        <w:rPr>
          <w:sz w:val="18"/>
        </w:rPr>
        <w:t>certificates,</w:t>
      </w:r>
      <w:r>
        <w:rPr>
          <w:spacing w:val="-36"/>
          <w:sz w:val="18"/>
        </w:rPr>
        <w:t> </w:t>
      </w:r>
      <w:r>
        <w:rPr>
          <w:sz w:val="18"/>
        </w:rPr>
        <w:t>Government</w:t>
      </w:r>
      <w:r>
        <w:rPr>
          <w:spacing w:val="-36"/>
          <w:sz w:val="18"/>
        </w:rPr>
        <w:t> </w:t>
      </w:r>
      <w:r>
        <w:rPr>
          <w:sz w:val="18"/>
        </w:rPr>
        <w:t>Order,</w:t>
      </w:r>
      <w:r>
        <w:rPr>
          <w:spacing w:val="-35"/>
          <w:sz w:val="18"/>
        </w:rPr>
        <w:t> </w:t>
      </w:r>
      <w:r>
        <w:rPr>
          <w:sz w:val="18"/>
        </w:rPr>
        <w:t>etc.),</w:t>
      </w:r>
      <w:r>
        <w:rPr>
          <w:spacing w:val="-36"/>
          <w:sz w:val="18"/>
        </w:rPr>
        <w:t> </w:t>
      </w:r>
      <w:r>
        <w:rPr>
          <w:sz w:val="18"/>
        </w:rPr>
        <w:t>the</w:t>
      </w:r>
      <w:r>
        <w:rPr>
          <w:spacing w:val="-35"/>
          <w:sz w:val="18"/>
        </w:rPr>
        <w:t> </w:t>
      </w:r>
      <w:r>
        <w:rPr>
          <w:sz w:val="18"/>
        </w:rPr>
        <w:t>solar</w:t>
      </w:r>
      <w:r>
        <w:rPr>
          <w:spacing w:val="-35"/>
          <w:sz w:val="18"/>
        </w:rPr>
        <w:t> </w:t>
      </w:r>
      <w:r>
        <w:rPr>
          <w:sz w:val="18"/>
        </w:rPr>
        <w:t>park</w:t>
      </w:r>
      <w:r>
        <w:rPr>
          <w:spacing w:val="-36"/>
          <w:sz w:val="18"/>
        </w:rPr>
        <w:t> </w:t>
      </w:r>
      <w:r>
        <w:rPr>
          <w:sz w:val="18"/>
        </w:rPr>
        <w:t>has</w:t>
      </w:r>
      <w:r>
        <w:rPr>
          <w:spacing w:val="-36"/>
          <w:sz w:val="18"/>
        </w:rPr>
        <w:t> </w:t>
      </w:r>
      <w:r>
        <w:rPr>
          <w:sz w:val="18"/>
        </w:rPr>
        <w:t>an</w:t>
      </w:r>
      <w:r>
        <w:rPr>
          <w:spacing w:val="-35"/>
          <w:sz w:val="18"/>
        </w:rPr>
        <w:t> </w:t>
      </w:r>
      <w:r>
        <w:rPr>
          <w:sz w:val="18"/>
        </w:rPr>
        <w:t>installed</w:t>
      </w:r>
      <w:r>
        <w:rPr>
          <w:spacing w:val="-35"/>
          <w:sz w:val="18"/>
        </w:rPr>
        <w:t> </w:t>
      </w:r>
      <w:r>
        <w:rPr>
          <w:sz w:val="18"/>
        </w:rPr>
        <w:t>capacity of</w:t>
      </w:r>
      <w:r>
        <w:rPr>
          <w:spacing w:val="-7"/>
          <w:sz w:val="18"/>
        </w:rPr>
        <w:t> </w:t>
      </w:r>
      <w:r>
        <w:rPr>
          <w:sz w:val="18"/>
        </w:rPr>
        <w:t>approximately</w:t>
      </w:r>
      <w:r>
        <w:rPr>
          <w:spacing w:val="-8"/>
          <w:sz w:val="18"/>
        </w:rPr>
        <w:t> </w:t>
      </w:r>
      <w:r>
        <w:rPr>
          <w:sz w:val="18"/>
        </w:rPr>
        <w:t>130</w:t>
      </w:r>
      <w:r>
        <w:rPr>
          <w:spacing w:val="-8"/>
          <w:sz w:val="18"/>
        </w:rPr>
        <w:t> </w:t>
      </w:r>
      <w:r>
        <w:rPr>
          <w:sz w:val="18"/>
        </w:rPr>
        <w:t>Mega</w:t>
      </w:r>
      <w:r>
        <w:rPr>
          <w:spacing w:val="-8"/>
          <w:sz w:val="18"/>
        </w:rPr>
        <w:t> </w:t>
      </w:r>
      <w:r>
        <w:rPr>
          <w:sz w:val="18"/>
        </w:rPr>
        <w:t>Watts</w:t>
      </w:r>
      <w:r>
        <w:rPr>
          <w:spacing w:val="-7"/>
          <w:sz w:val="18"/>
        </w:rPr>
        <w:t> </w:t>
      </w:r>
      <w:r>
        <w:rPr>
          <w:sz w:val="18"/>
        </w:rPr>
        <w:t>(MW)</w:t>
      </w:r>
      <w:r>
        <w:rPr>
          <w:spacing w:val="-7"/>
          <w:sz w:val="18"/>
        </w:rPr>
        <w:t> </w:t>
      </w:r>
      <w:r>
        <w:rPr>
          <w:sz w:val="18"/>
        </w:rPr>
        <w:t>DC</w:t>
      </w:r>
      <w:r>
        <w:rPr>
          <w:spacing w:val="-9"/>
          <w:sz w:val="18"/>
        </w:rPr>
        <w:t> </w:t>
      </w:r>
      <w:r>
        <w:rPr>
          <w:sz w:val="18"/>
        </w:rPr>
        <w:t>(output</w:t>
      </w:r>
      <w:r>
        <w:rPr>
          <w:spacing w:val="-7"/>
          <w:sz w:val="18"/>
        </w:rPr>
        <w:t> </w:t>
      </w:r>
      <w:r>
        <w:rPr>
          <w:sz w:val="18"/>
        </w:rPr>
        <w:t>will</w:t>
      </w:r>
      <w:r>
        <w:rPr>
          <w:spacing w:val="-8"/>
          <w:sz w:val="18"/>
        </w:rPr>
        <w:t> </w:t>
      </w:r>
      <w:r>
        <w:rPr>
          <w:sz w:val="18"/>
        </w:rPr>
        <w:t>be</w:t>
      </w:r>
      <w:r>
        <w:rPr>
          <w:spacing w:val="-6"/>
          <w:sz w:val="18"/>
        </w:rPr>
        <w:t> </w:t>
      </w:r>
      <w:r>
        <w:rPr>
          <w:sz w:val="18"/>
        </w:rPr>
        <w:t>100</w:t>
      </w:r>
      <w:r>
        <w:rPr>
          <w:spacing w:val="-8"/>
          <w:sz w:val="18"/>
        </w:rPr>
        <w:t> </w:t>
      </w:r>
      <w:r>
        <w:rPr>
          <w:sz w:val="18"/>
        </w:rPr>
        <w:t>MW</w:t>
      </w:r>
      <w:r>
        <w:rPr>
          <w:spacing w:val="-7"/>
          <w:sz w:val="18"/>
        </w:rPr>
        <w:t> </w:t>
      </w:r>
      <w:r>
        <w:rPr>
          <w:sz w:val="18"/>
        </w:rPr>
        <w:t>AC),</w:t>
      </w:r>
      <w:r>
        <w:rPr>
          <w:spacing w:val="-7"/>
          <w:sz w:val="18"/>
        </w:rPr>
        <w:t> </w:t>
      </w:r>
      <w:r>
        <w:rPr>
          <w:sz w:val="18"/>
        </w:rPr>
        <w:t>capable</w:t>
      </w:r>
      <w:r>
        <w:rPr>
          <w:spacing w:val="-10"/>
          <w:sz w:val="18"/>
        </w:rPr>
        <w:t> </w:t>
      </w:r>
      <w:r>
        <w:rPr>
          <w:sz w:val="18"/>
        </w:rPr>
        <w:t>of</w:t>
      </w:r>
      <w:r>
        <w:rPr>
          <w:spacing w:val="-7"/>
          <w:sz w:val="18"/>
        </w:rPr>
        <w:t> </w:t>
      </w:r>
      <w:r>
        <w:rPr>
          <w:sz w:val="18"/>
        </w:rPr>
        <w:t>generating</w:t>
      </w:r>
      <w:r>
        <w:rPr>
          <w:spacing w:val="-6"/>
          <w:sz w:val="18"/>
        </w:rPr>
        <w:t> </w:t>
      </w:r>
      <w:r>
        <w:rPr>
          <w:sz w:val="18"/>
        </w:rPr>
        <w:t>at</w:t>
      </w:r>
      <w:r>
        <w:rPr>
          <w:spacing w:val="-8"/>
          <w:sz w:val="18"/>
        </w:rPr>
        <w:t> </w:t>
      </w:r>
      <w:r>
        <w:rPr>
          <w:sz w:val="18"/>
        </w:rPr>
        <w:t>least 215</w:t>
      </w:r>
      <w:r>
        <w:rPr>
          <w:spacing w:val="-19"/>
          <w:sz w:val="18"/>
        </w:rPr>
        <w:t> </w:t>
      </w:r>
      <w:r>
        <w:rPr>
          <w:sz w:val="18"/>
        </w:rPr>
        <w:t>Million</w:t>
      </w:r>
      <w:r>
        <w:rPr>
          <w:spacing w:val="-17"/>
          <w:sz w:val="18"/>
        </w:rPr>
        <w:t> </w:t>
      </w:r>
      <w:r>
        <w:rPr>
          <w:sz w:val="18"/>
        </w:rPr>
        <w:t>Units</w:t>
      </w:r>
      <w:r>
        <w:rPr>
          <w:spacing w:val="-18"/>
          <w:sz w:val="18"/>
        </w:rPr>
        <w:t> </w:t>
      </w:r>
      <w:r>
        <w:rPr>
          <w:sz w:val="18"/>
        </w:rPr>
        <w:t>(MU)</w:t>
      </w:r>
      <w:r>
        <w:rPr>
          <w:spacing w:val="-17"/>
          <w:sz w:val="18"/>
        </w:rPr>
        <w:t> </w:t>
      </w:r>
      <w:r>
        <w:rPr>
          <w:sz w:val="18"/>
        </w:rPr>
        <w:t>of</w:t>
      </w:r>
      <w:r>
        <w:rPr>
          <w:spacing w:val="-18"/>
          <w:sz w:val="18"/>
        </w:rPr>
        <w:t> </w:t>
      </w:r>
      <w:r>
        <w:rPr>
          <w:sz w:val="18"/>
        </w:rPr>
        <w:t>electricity</w:t>
      </w:r>
      <w:r>
        <w:rPr>
          <w:spacing w:val="-18"/>
          <w:sz w:val="18"/>
        </w:rPr>
        <w:t> </w:t>
      </w:r>
      <w:r>
        <w:rPr>
          <w:sz w:val="18"/>
        </w:rPr>
        <w:t>by</w:t>
      </w:r>
      <w:r>
        <w:rPr>
          <w:spacing w:val="-16"/>
          <w:sz w:val="18"/>
        </w:rPr>
        <w:t> </w:t>
      </w:r>
      <w:r>
        <w:rPr>
          <w:sz w:val="18"/>
        </w:rPr>
        <w:t>the</w:t>
      </w:r>
      <w:r>
        <w:rPr>
          <w:spacing w:val="-18"/>
          <w:sz w:val="18"/>
        </w:rPr>
        <w:t> </w:t>
      </w:r>
      <w:r>
        <w:rPr>
          <w:sz w:val="18"/>
        </w:rPr>
        <w:t>end</w:t>
      </w:r>
      <w:r>
        <w:rPr>
          <w:spacing w:val="-17"/>
          <w:sz w:val="18"/>
        </w:rPr>
        <w:t> </w:t>
      </w:r>
      <w:r>
        <w:rPr>
          <w:sz w:val="18"/>
        </w:rPr>
        <w:t>of</w:t>
      </w:r>
      <w:r>
        <w:rPr>
          <w:spacing w:val="-18"/>
          <w:sz w:val="18"/>
        </w:rPr>
        <w:t> </w:t>
      </w:r>
      <w:r>
        <w:rPr>
          <w:sz w:val="18"/>
        </w:rPr>
        <w:t>the</w:t>
      </w:r>
      <w:r>
        <w:rPr>
          <w:spacing w:val="-13"/>
          <w:sz w:val="18"/>
        </w:rPr>
        <w:t> </w:t>
      </w:r>
      <w:r>
        <w:rPr>
          <w:sz w:val="18"/>
        </w:rPr>
        <w:t>first</w:t>
      </w:r>
      <w:r>
        <w:rPr>
          <w:spacing w:val="-19"/>
          <w:sz w:val="18"/>
        </w:rPr>
        <w:t> </w:t>
      </w:r>
      <w:r>
        <w:rPr>
          <w:sz w:val="18"/>
        </w:rPr>
        <w:t>12</w:t>
      </w:r>
      <w:r>
        <w:rPr>
          <w:spacing w:val="-17"/>
          <w:sz w:val="18"/>
        </w:rPr>
        <w:t> </w:t>
      </w:r>
      <w:r>
        <w:rPr>
          <w:sz w:val="18"/>
        </w:rPr>
        <w:t>months</w:t>
      </w:r>
      <w:r>
        <w:rPr>
          <w:spacing w:val="-18"/>
          <w:sz w:val="18"/>
        </w:rPr>
        <w:t> </w:t>
      </w:r>
      <w:r>
        <w:rPr>
          <w:sz w:val="18"/>
        </w:rPr>
        <w:t>from</w:t>
      </w:r>
      <w:r>
        <w:rPr>
          <w:spacing w:val="-17"/>
          <w:sz w:val="18"/>
        </w:rPr>
        <w:t> </w:t>
      </w:r>
      <w:r>
        <w:rPr>
          <w:sz w:val="18"/>
        </w:rPr>
        <w:t>the</w:t>
      </w:r>
      <w:r>
        <w:rPr>
          <w:spacing w:val="-18"/>
          <w:sz w:val="18"/>
        </w:rPr>
        <w:t> </w:t>
      </w:r>
      <w:r>
        <w:rPr>
          <w:sz w:val="18"/>
        </w:rPr>
        <w:t>date</w:t>
      </w:r>
      <w:r>
        <w:rPr>
          <w:spacing w:val="-17"/>
          <w:sz w:val="18"/>
        </w:rPr>
        <w:t> </w:t>
      </w:r>
      <w:r>
        <w:rPr>
          <w:sz w:val="18"/>
        </w:rPr>
        <w:t>on</w:t>
      </w:r>
      <w:r>
        <w:rPr>
          <w:spacing w:val="-18"/>
          <w:sz w:val="18"/>
        </w:rPr>
        <w:t> </w:t>
      </w:r>
      <w:r>
        <w:rPr>
          <w:sz w:val="18"/>
        </w:rPr>
        <w:t>which</w:t>
      </w:r>
      <w:r>
        <w:rPr>
          <w:spacing w:val="-18"/>
          <w:sz w:val="18"/>
        </w:rPr>
        <w:t> </w:t>
      </w:r>
      <w:r>
        <w:rPr>
          <w:sz w:val="18"/>
        </w:rPr>
        <w:t>it</w:t>
      </w:r>
      <w:r>
        <w:rPr>
          <w:spacing w:val="-18"/>
          <w:sz w:val="18"/>
        </w:rPr>
        <w:t> </w:t>
      </w:r>
      <w:r>
        <w:rPr>
          <w:sz w:val="18"/>
        </w:rPr>
        <w:t>achieves COD</w:t>
      </w:r>
      <w:r>
        <w:rPr>
          <w:spacing w:val="-15"/>
          <w:sz w:val="18"/>
        </w:rPr>
        <w:t> </w:t>
      </w:r>
      <w:r>
        <w:rPr>
          <w:sz w:val="18"/>
        </w:rPr>
        <w:t>and</w:t>
      </w:r>
      <w:r>
        <w:rPr>
          <w:spacing w:val="-14"/>
          <w:sz w:val="18"/>
        </w:rPr>
        <w:t> </w:t>
      </w:r>
      <w:r>
        <w:rPr>
          <w:sz w:val="18"/>
        </w:rPr>
        <w:t>subject</w:t>
      </w:r>
      <w:r>
        <w:rPr>
          <w:spacing w:val="-15"/>
          <w:sz w:val="18"/>
        </w:rPr>
        <w:t> </w:t>
      </w:r>
      <w:r>
        <w:rPr>
          <w:sz w:val="18"/>
        </w:rPr>
        <w:t>to</w:t>
      </w:r>
      <w:r>
        <w:rPr>
          <w:spacing w:val="-14"/>
          <w:sz w:val="18"/>
        </w:rPr>
        <w:t> </w:t>
      </w:r>
      <w:r>
        <w:rPr>
          <w:sz w:val="18"/>
        </w:rPr>
        <w:t>plant</w:t>
      </w:r>
      <w:r>
        <w:rPr>
          <w:spacing w:val="-15"/>
          <w:sz w:val="18"/>
        </w:rPr>
        <w:t> </w:t>
      </w:r>
      <w:r>
        <w:rPr>
          <w:sz w:val="18"/>
        </w:rPr>
        <w:t>stabilization.</w:t>
      </w:r>
      <w:r>
        <w:rPr>
          <w:spacing w:val="-14"/>
          <w:sz w:val="18"/>
        </w:rPr>
        <w:t> </w:t>
      </w:r>
      <w:r>
        <w:rPr>
          <w:sz w:val="18"/>
        </w:rPr>
        <w:t>Table</w:t>
      </w:r>
      <w:r>
        <w:rPr>
          <w:spacing w:val="-14"/>
          <w:sz w:val="18"/>
        </w:rPr>
        <w:t> </w:t>
      </w:r>
      <w:r>
        <w:rPr>
          <w:sz w:val="18"/>
        </w:rPr>
        <w:t>below</w:t>
      </w:r>
      <w:r>
        <w:rPr>
          <w:spacing w:val="-13"/>
          <w:sz w:val="18"/>
        </w:rPr>
        <w:t> </w:t>
      </w:r>
      <w:r>
        <w:rPr>
          <w:sz w:val="18"/>
        </w:rPr>
        <w:t>highlights</w:t>
      </w:r>
      <w:r>
        <w:rPr>
          <w:spacing w:val="-15"/>
          <w:sz w:val="18"/>
        </w:rPr>
        <w:t> </w:t>
      </w:r>
      <w:r>
        <w:rPr>
          <w:sz w:val="18"/>
        </w:rPr>
        <w:t>the</w:t>
      </w:r>
      <w:r>
        <w:rPr>
          <w:spacing w:val="-14"/>
          <w:sz w:val="18"/>
        </w:rPr>
        <w:t> </w:t>
      </w:r>
      <w:r>
        <w:rPr>
          <w:sz w:val="18"/>
        </w:rPr>
        <w:t>details</w:t>
      </w:r>
      <w:r>
        <w:rPr>
          <w:spacing w:val="-14"/>
          <w:sz w:val="18"/>
        </w:rPr>
        <w:t> </w:t>
      </w:r>
      <w:r>
        <w:rPr>
          <w:sz w:val="18"/>
        </w:rPr>
        <w:t>for</w:t>
      </w:r>
      <w:r>
        <w:rPr>
          <w:spacing w:val="-14"/>
          <w:sz w:val="18"/>
        </w:rPr>
        <w:t> </w:t>
      </w:r>
      <w:r>
        <w:rPr>
          <w:sz w:val="18"/>
        </w:rPr>
        <w:t>the</w:t>
      </w:r>
      <w:r>
        <w:rPr>
          <w:spacing w:val="-14"/>
          <w:sz w:val="18"/>
        </w:rPr>
        <w:t> </w:t>
      </w:r>
      <w:r>
        <w:rPr>
          <w:sz w:val="18"/>
        </w:rPr>
        <w:t>subject</w:t>
      </w:r>
      <w:r>
        <w:rPr>
          <w:spacing w:val="-15"/>
          <w:sz w:val="18"/>
        </w:rPr>
        <w:t> </w:t>
      </w:r>
      <w:r>
        <w:rPr>
          <w:sz w:val="18"/>
        </w:rPr>
        <w:t>plant:</w:t>
      </w:r>
    </w:p>
    <w:p>
      <w:pPr>
        <w:pStyle w:val="BodyText"/>
        <w:ind w:left="2572"/>
        <w:rPr>
          <w:sz w:val="20"/>
        </w:rPr>
      </w:pPr>
      <w:r>
        <w:rPr>
          <w:sz w:val="20"/>
        </w:rPr>
        <w:pict>
          <v:group style="width:407.9pt;height:16.1500pt;mso-position-horizontal-relative:char;mso-position-vertical-relative:line" coordorigin="0,0" coordsize="8158,323">
            <v:shape style="position:absolute;left:0;top:31;width:8155;height:277" coordorigin="0,31" coordsize="8155,277" path="m8155,31l4280,31,0,31,0,308,4280,308,8155,308,8155,31xe" filled="true" fillcolor="#006a4d" stroked="false">
              <v:path arrowok="t"/>
              <v:fill type="solid"/>
            </v:shape>
            <v:rect style="position:absolute;left:0;top:0;width:4283;height:29" filled="true" fillcolor="#1b6b22" stroked="false">
              <v:fill type="solid"/>
            </v:rect>
            <v:shape style="position:absolute;left:0;top:28;width:4312;height:3" coordorigin="0,29" coordsize="4312,3" path="m4311,29l4283,29,0,29,0,31,4283,31,4311,31,4311,29xe" filled="true" fillcolor="#006a4d" stroked="false">
              <v:path arrowok="t"/>
              <v:fill type="solid"/>
            </v:shape>
            <v:shape style="position:absolute;left:4282;top:0;width:3875;height:29" coordorigin="4283,0" coordsize="3875,29" path="m8157,0l4311,0,4283,0,4283,29,4311,29,8157,29,8157,0xe" filled="true" fillcolor="#1b6b22" stroked="false">
              <v:path arrowok="t"/>
              <v:fill type="solid"/>
            </v:shape>
            <v:rect style="position:absolute;left:4311;top:28;width:3846;height:3" filled="true" fillcolor="#006a4d" stroked="false">
              <v:fill type="solid"/>
            </v:rect>
            <v:shape style="position:absolute;left:0;top:307;width:8158;height:15" coordorigin="0,308" coordsize="8158,15" path="m8157,308l4297,308,4283,308,0,308,0,322,4283,322,4297,322,8157,322,8157,308xe" filled="true" fillcolor="#69bd28" stroked="false">
              <v:path arrowok="t"/>
              <v:fill type="solid"/>
            </v:shape>
            <v:shape style="position:absolute;left:0;top:28;width:8158;height:279" type="#_x0000_t202" filled="false" stroked="false">
              <v:textbox inset="0,0,0,0">
                <w:txbxContent>
                  <w:p>
                    <w:pPr>
                      <w:tabs>
                        <w:tab w:pos="4278" w:val="left" w:leader="none"/>
                      </w:tabs>
                      <w:spacing w:before="35"/>
                      <w:ind w:left="29" w:right="0" w:firstLine="0"/>
                      <w:jc w:val="center"/>
                      <w:rPr>
                        <w:b/>
                        <w:sz w:val="18"/>
                      </w:rPr>
                    </w:pPr>
                    <w:r>
                      <w:rPr>
                        <w:b/>
                        <w:color w:val="FFFFFF"/>
                        <w:w w:val="105"/>
                        <w:sz w:val="18"/>
                      </w:rPr>
                      <w:t>Particular</w:t>
                      <w:tab/>
                      <w:t>Detail</w:t>
                    </w:r>
                  </w:p>
                </w:txbxContent>
              </v:textbox>
              <w10:wrap type="none"/>
            </v:shape>
          </v:group>
        </w:pict>
      </w:r>
      <w:r>
        <w:rPr>
          <w:sz w:val="20"/>
        </w:rPr>
      </w:r>
    </w:p>
    <w:p>
      <w:pPr>
        <w:spacing w:after="0"/>
        <w:rPr>
          <w:sz w:val="20"/>
        </w:rPr>
        <w:sectPr>
          <w:pgSz w:w="11910" w:h="16840"/>
          <w:pgMar w:header="720" w:footer="842" w:top="1520" w:bottom="1040" w:left="440" w:right="8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before="162"/>
        <w:ind w:left="392" w:right="0" w:firstLine="0"/>
        <w:jc w:val="left"/>
        <w:rPr>
          <w:sz w:val="18"/>
        </w:rPr>
      </w:pPr>
      <w:r>
        <w:rPr>
          <w:color w:val="006A4D"/>
          <w:sz w:val="18"/>
        </w:rPr>
        <w:t>Valuation Approach:</w:t>
      </w:r>
    </w:p>
    <w:p>
      <w:pPr>
        <w:tabs>
          <w:tab w:pos="5554" w:val="left" w:leader="none"/>
        </w:tabs>
        <w:spacing w:before="0"/>
        <w:ind w:left="1833" w:right="0" w:firstLine="0"/>
        <w:jc w:val="left"/>
        <w:rPr>
          <w:sz w:val="18"/>
        </w:rPr>
      </w:pPr>
      <w:r>
        <w:rPr/>
        <w:br w:type="column"/>
      </w:r>
      <w:r>
        <w:rPr>
          <w:sz w:val="18"/>
        </w:rPr>
        <w:t>Capacity</w:t>
      </w:r>
      <w:r>
        <w:rPr>
          <w:spacing w:val="-10"/>
          <w:sz w:val="18"/>
        </w:rPr>
        <w:t> </w:t>
      </w:r>
      <w:r>
        <w:rPr>
          <w:sz w:val="18"/>
        </w:rPr>
        <w:t>(MW)</w:t>
      </w:r>
      <w:r>
        <w:rPr>
          <w:spacing w:val="-11"/>
          <w:sz w:val="18"/>
        </w:rPr>
        <w:t> </w:t>
      </w:r>
      <w:r>
        <w:rPr>
          <w:sz w:val="18"/>
        </w:rPr>
        <w:t>(A)</w:t>
        <w:tab/>
        <w:t>130 MW DC (100 MW</w:t>
      </w:r>
      <w:r>
        <w:rPr>
          <w:spacing w:val="17"/>
          <w:sz w:val="18"/>
        </w:rPr>
        <w:t> </w:t>
      </w:r>
      <w:r>
        <w:rPr>
          <w:sz w:val="18"/>
        </w:rPr>
        <w:t>AC)</w:t>
      </w:r>
    </w:p>
    <w:p>
      <w:pPr>
        <w:pStyle w:val="BodyText"/>
        <w:spacing w:before="11"/>
        <w:rPr>
          <w:sz w:val="2"/>
        </w:rPr>
      </w:pPr>
    </w:p>
    <w:p>
      <w:pPr>
        <w:pStyle w:val="BodyText"/>
        <w:spacing w:line="20" w:lineRule="exact"/>
        <w:ind w:left="407"/>
        <w:rPr>
          <w:sz w:val="2"/>
        </w:rPr>
      </w:pPr>
      <w:r>
        <w:rPr>
          <w:sz w:val="2"/>
        </w:rPr>
        <w:pict>
          <v:group style="width:407.9pt;height:.75pt;mso-position-horizontal-relative:char;mso-position-vertical-relative:line" coordorigin="0,0" coordsize="8158,15">
            <v:shape style="position:absolute;left:0;top:0;width:8158;height:15" coordorigin="0,0" coordsize="8158,15" path="m8157,0l4297,0,4283,0,0,0,0,14,4283,14,4297,14,8157,14,8157,0xe" filled="true" fillcolor="#69bd28" stroked="false">
              <v:path arrowok="t"/>
              <v:fill type="solid"/>
            </v:shape>
          </v:group>
        </w:pict>
      </w:r>
      <w:r>
        <w:rPr>
          <w:sz w:val="2"/>
        </w:rPr>
      </w:r>
    </w:p>
    <w:p>
      <w:pPr>
        <w:tabs>
          <w:tab w:pos="6372" w:val="left" w:leader="none"/>
        </w:tabs>
        <w:spacing w:before="29"/>
        <w:ind w:left="1588" w:right="0" w:firstLine="0"/>
        <w:jc w:val="left"/>
        <w:rPr>
          <w:sz w:val="18"/>
        </w:rPr>
      </w:pPr>
      <w:r>
        <w:rPr/>
        <w:pict>
          <v:shape style="position:absolute;margin-left:150.62001pt;margin-top:13.500665pt;width:407.9pt;height:.75pt;mso-position-horizontal-relative:page;mso-position-vertical-relative:paragraph;z-index:15876608" coordorigin="3012,270" coordsize="8158,15" path="m11170,270l7309,270,7295,270,3012,270,3012,284,7295,284,7309,284,11170,284,11170,270xe" filled="true" fillcolor="#69bd28" stroked="false">
            <v:path arrowok="t"/>
            <v:fill type="solid"/>
            <w10:wrap type="none"/>
          </v:shape>
        </w:pict>
      </w:r>
      <w:r>
        <w:rPr>
          <w:sz w:val="18"/>
        </w:rPr>
        <w:t>Plant</w:t>
      </w:r>
      <w:r>
        <w:rPr>
          <w:spacing w:val="-19"/>
          <w:sz w:val="18"/>
        </w:rPr>
        <w:t> </w:t>
      </w:r>
      <w:r>
        <w:rPr>
          <w:sz w:val="18"/>
        </w:rPr>
        <w:t>Load</w:t>
      </w:r>
      <w:r>
        <w:rPr>
          <w:spacing w:val="-18"/>
          <w:sz w:val="18"/>
        </w:rPr>
        <w:t> </w:t>
      </w:r>
      <w:r>
        <w:rPr>
          <w:sz w:val="18"/>
        </w:rPr>
        <w:t>Factor</w:t>
      </w:r>
      <w:r>
        <w:rPr>
          <w:spacing w:val="-17"/>
          <w:sz w:val="18"/>
        </w:rPr>
        <w:t> </w:t>
      </w:r>
      <w:r>
        <w:rPr>
          <w:sz w:val="18"/>
        </w:rPr>
        <w:t>(%)</w:t>
      </w:r>
      <w:r>
        <w:rPr>
          <w:spacing w:val="-17"/>
          <w:sz w:val="18"/>
        </w:rPr>
        <w:t> </w:t>
      </w:r>
      <w:r>
        <w:rPr>
          <w:sz w:val="18"/>
        </w:rPr>
        <w:t>(B)</w:t>
        <w:tab/>
        <w:t>18.9%</w:t>
      </w:r>
    </w:p>
    <w:p>
      <w:pPr>
        <w:tabs>
          <w:tab w:pos="6730" w:val="right" w:leader="none"/>
        </w:tabs>
        <w:spacing w:before="82"/>
        <w:ind w:left="1384" w:right="0" w:firstLine="0"/>
        <w:jc w:val="left"/>
        <w:rPr>
          <w:sz w:val="18"/>
        </w:rPr>
      </w:pPr>
      <w:r>
        <w:rPr/>
        <w:pict>
          <v:shape style="position:absolute;margin-left:150.62001pt;margin-top:16.270645pt;width:407.9pt;height:.75pt;mso-position-horizontal-relative:page;mso-position-vertical-relative:paragraph;z-index:15877120" coordorigin="3012,325" coordsize="8158,15" path="m11170,325l7309,325,7295,325,3012,325,3012,340,7295,340,7309,340,11170,340,11170,325xe" filled="true" fillcolor="#69bd28" stroked="false">
            <v:path arrowok="t"/>
            <v:fill type="solid"/>
            <w10:wrap type="none"/>
          </v:shape>
        </w:pict>
      </w:r>
      <w:r>
        <w:rPr>
          <w:sz w:val="18"/>
        </w:rPr>
        <w:t>Number of hours in a</w:t>
      </w:r>
      <w:r>
        <w:rPr>
          <w:spacing w:val="-5"/>
          <w:sz w:val="18"/>
        </w:rPr>
        <w:t> </w:t>
      </w:r>
      <w:r>
        <w:rPr>
          <w:sz w:val="18"/>
        </w:rPr>
        <w:t>day</w:t>
      </w:r>
      <w:r>
        <w:rPr>
          <w:spacing w:val="-2"/>
          <w:sz w:val="18"/>
        </w:rPr>
        <w:t> </w:t>
      </w:r>
      <w:r>
        <w:rPr>
          <w:sz w:val="18"/>
        </w:rPr>
        <w:t>(C)</w:t>
        <w:tab/>
        <w:t>24</w:t>
      </w:r>
    </w:p>
    <w:p>
      <w:pPr>
        <w:tabs>
          <w:tab w:pos="6780" w:val="right" w:leader="none"/>
        </w:tabs>
        <w:spacing w:before="84"/>
        <w:ind w:left="1840" w:right="0" w:firstLine="0"/>
        <w:jc w:val="left"/>
        <w:rPr>
          <w:sz w:val="18"/>
        </w:rPr>
      </w:pPr>
      <w:r>
        <w:rPr/>
        <w:pict>
          <v:shape style="position:absolute;margin-left:150.62001pt;margin-top:16.370632pt;width:407.9pt;height:.75pt;mso-position-horizontal-relative:page;mso-position-vertical-relative:paragraph;z-index:15877632" coordorigin="3012,327" coordsize="8158,15" path="m11170,327l7309,327,7295,327,3012,327,3012,342,7295,342,7309,342,11170,342,11170,327xe" filled="true" fillcolor="#69bd28" stroked="false">
            <v:path arrowok="t"/>
            <v:fill type="solid"/>
            <w10:wrap type="none"/>
          </v:shape>
        </w:pict>
      </w:r>
      <w:r>
        <w:rPr>
          <w:sz w:val="18"/>
        </w:rPr>
        <w:t>Days in a</w:t>
      </w:r>
      <w:r>
        <w:rPr>
          <w:spacing w:val="-3"/>
          <w:sz w:val="18"/>
        </w:rPr>
        <w:t> </w:t>
      </w:r>
      <w:r>
        <w:rPr>
          <w:sz w:val="18"/>
        </w:rPr>
        <w:t>year</w:t>
      </w:r>
      <w:r>
        <w:rPr>
          <w:spacing w:val="-2"/>
          <w:sz w:val="18"/>
        </w:rPr>
        <w:t> </w:t>
      </w:r>
      <w:r>
        <w:rPr>
          <w:sz w:val="18"/>
        </w:rPr>
        <w:t>(D)</w:t>
        <w:tab/>
        <w:t>365</w:t>
      </w:r>
    </w:p>
    <w:p>
      <w:pPr>
        <w:tabs>
          <w:tab w:pos="4992" w:val="left" w:leader="none"/>
        </w:tabs>
        <w:spacing w:line="314" w:lineRule="auto" w:before="83"/>
        <w:ind w:left="407" w:right="966" w:firstLine="156"/>
        <w:jc w:val="left"/>
        <w:rPr>
          <w:i/>
          <w:sz w:val="18"/>
        </w:rPr>
      </w:pPr>
      <w:r>
        <w:rPr/>
        <w:pict>
          <v:shape style="position:absolute;margin-left:149.900009pt;margin-top:16.320679pt;width:408.6pt;height:.75pt;mso-position-horizontal-relative:page;mso-position-vertical-relative:paragraph;z-index:-34749952" coordorigin="2998,326" coordsize="8172,15" path="m11170,326l7295,326,7281,326,2998,326,2998,341,7281,341,7295,341,11170,341,11170,326xe" filled="true" fillcolor="#69bd28" stroked="false">
            <v:path arrowok="t"/>
            <v:fill type="solid"/>
            <w10:wrap type="none"/>
          </v:shape>
        </w:pict>
      </w:r>
      <w:r>
        <w:rPr>
          <w:sz w:val="18"/>
        </w:rPr>
        <w:t>Total units generated (kWH) (A * B * C * D)</w:t>
      </w:r>
      <w:r>
        <w:rPr>
          <w:spacing w:val="-27"/>
          <w:sz w:val="18"/>
        </w:rPr>
        <w:t> </w:t>
      </w:r>
      <w:r>
        <w:rPr>
          <w:sz w:val="18"/>
        </w:rPr>
        <w:t>*</w:t>
      </w:r>
      <w:r>
        <w:rPr>
          <w:spacing w:val="-2"/>
          <w:sz w:val="18"/>
        </w:rPr>
        <w:t> </w:t>
      </w:r>
      <w:r>
        <w:rPr>
          <w:sz w:val="18"/>
        </w:rPr>
        <w:t>1000</w:t>
        <w:tab/>
        <w:t>215 Million Units (MU)* in kWH in Year 1 </w:t>
      </w:r>
      <w:r>
        <w:rPr>
          <w:i/>
          <w:sz w:val="18"/>
        </w:rPr>
        <w:t>Source:</w:t>
      </w:r>
      <w:r>
        <w:rPr>
          <w:i/>
          <w:spacing w:val="-32"/>
          <w:sz w:val="18"/>
        </w:rPr>
        <w:t> </w:t>
      </w:r>
      <w:r>
        <w:rPr>
          <w:i/>
          <w:sz w:val="18"/>
        </w:rPr>
        <w:t>Various</w:t>
      </w:r>
      <w:r>
        <w:rPr>
          <w:i/>
          <w:spacing w:val="-31"/>
          <w:sz w:val="18"/>
        </w:rPr>
        <w:t> </w:t>
      </w:r>
      <w:r>
        <w:rPr>
          <w:i/>
          <w:sz w:val="18"/>
        </w:rPr>
        <w:t>documents/</w:t>
      </w:r>
      <w:r>
        <w:rPr>
          <w:i/>
          <w:spacing w:val="-31"/>
          <w:sz w:val="18"/>
        </w:rPr>
        <w:t> </w:t>
      </w:r>
      <w:r>
        <w:rPr>
          <w:i/>
          <w:sz w:val="18"/>
        </w:rPr>
        <w:t>inputs</w:t>
      </w:r>
      <w:r>
        <w:rPr>
          <w:i/>
          <w:spacing w:val="-32"/>
          <w:sz w:val="18"/>
        </w:rPr>
        <w:t> </w:t>
      </w:r>
      <w:r>
        <w:rPr>
          <w:i/>
          <w:sz w:val="18"/>
        </w:rPr>
        <w:t>provided</w:t>
      </w:r>
      <w:r>
        <w:rPr>
          <w:i/>
          <w:spacing w:val="-32"/>
          <w:sz w:val="18"/>
        </w:rPr>
        <w:t> </w:t>
      </w:r>
      <w:r>
        <w:rPr>
          <w:i/>
          <w:sz w:val="18"/>
        </w:rPr>
        <w:t>by</w:t>
      </w:r>
      <w:r>
        <w:rPr>
          <w:i/>
          <w:spacing w:val="-32"/>
          <w:sz w:val="18"/>
        </w:rPr>
        <w:t> </w:t>
      </w:r>
      <w:r>
        <w:rPr>
          <w:i/>
          <w:sz w:val="18"/>
        </w:rPr>
        <w:t>the</w:t>
      </w:r>
      <w:r>
        <w:rPr>
          <w:i/>
          <w:spacing w:val="-32"/>
          <w:sz w:val="18"/>
        </w:rPr>
        <w:t> </w:t>
      </w:r>
      <w:r>
        <w:rPr>
          <w:i/>
          <w:sz w:val="18"/>
        </w:rPr>
        <w:t>Client;</w:t>
      </w:r>
      <w:r>
        <w:rPr>
          <w:i/>
          <w:spacing w:val="-29"/>
          <w:sz w:val="18"/>
        </w:rPr>
        <w:t> </w:t>
      </w:r>
      <w:r>
        <w:rPr>
          <w:i/>
          <w:sz w:val="18"/>
        </w:rPr>
        <w:t>*</w:t>
      </w:r>
      <w:r>
        <w:rPr>
          <w:i/>
          <w:spacing w:val="-32"/>
          <w:sz w:val="18"/>
        </w:rPr>
        <w:t> </w:t>
      </w:r>
      <w:r>
        <w:rPr>
          <w:i/>
          <w:sz w:val="18"/>
        </w:rPr>
        <w:t>Subject</w:t>
      </w:r>
      <w:r>
        <w:rPr>
          <w:i/>
          <w:spacing w:val="-32"/>
          <w:sz w:val="18"/>
        </w:rPr>
        <w:t> </w:t>
      </w:r>
      <w:r>
        <w:rPr>
          <w:i/>
          <w:sz w:val="18"/>
        </w:rPr>
        <w:t>to</w:t>
      </w:r>
      <w:r>
        <w:rPr>
          <w:i/>
          <w:spacing w:val="-32"/>
          <w:sz w:val="18"/>
        </w:rPr>
        <w:t> </w:t>
      </w:r>
      <w:r>
        <w:rPr>
          <w:i/>
          <w:sz w:val="18"/>
        </w:rPr>
        <w:t>plant</w:t>
      </w:r>
      <w:r>
        <w:rPr>
          <w:i/>
          <w:spacing w:val="-32"/>
          <w:sz w:val="18"/>
        </w:rPr>
        <w:t> </w:t>
      </w:r>
      <w:r>
        <w:rPr>
          <w:i/>
          <w:sz w:val="18"/>
        </w:rPr>
        <w:t>stabilization,</w:t>
      </w:r>
      <w:r>
        <w:rPr>
          <w:i/>
          <w:spacing w:val="-32"/>
          <w:sz w:val="18"/>
        </w:rPr>
        <w:t> </w:t>
      </w:r>
      <w:r>
        <w:rPr>
          <w:i/>
          <w:sz w:val="18"/>
        </w:rPr>
        <w:t>however, </w:t>
      </w:r>
      <w:r>
        <w:rPr>
          <w:i/>
          <w:sz w:val="18"/>
        </w:rPr>
        <w:t>considering</w:t>
      </w:r>
      <w:r>
        <w:rPr>
          <w:i/>
          <w:spacing w:val="-30"/>
          <w:sz w:val="18"/>
        </w:rPr>
        <w:t> </w:t>
      </w:r>
      <w:r>
        <w:rPr>
          <w:i/>
          <w:sz w:val="18"/>
        </w:rPr>
        <w:t>the</w:t>
      </w:r>
      <w:r>
        <w:rPr>
          <w:i/>
          <w:spacing w:val="-30"/>
          <w:sz w:val="18"/>
        </w:rPr>
        <w:t> </w:t>
      </w:r>
      <w:r>
        <w:rPr>
          <w:i/>
          <w:sz w:val="18"/>
        </w:rPr>
        <w:t>past</w:t>
      </w:r>
      <w:r>
        <w:rPr>
          <w:i/>
          <w:spacing w:val="-29"/>
          <w:sz w:val="18"/>
        </w:rPr>
        <w:t> </w:t>
      </w:r>
      <w:r>
        <w:rPr>
          <w:i/>
          <w:sz w:val="18"/>
        </w:rPr>
        <w:t>performance</w:t>
      </w:r>
      <w:r>
        <w:rPr>
          <w:i/>
          <w:spacing w:val="-29"/>
          <w:sz w:val="18"/>
        </w:rPr>
        <w:t> </w:t>
      </w:r>
      <w:r>
        <w:rPr>
          <w:i/>
          <w:sz w:val="18"/>
        </w:rPr>
        <w:t>of</w:t>
      </w:r>
      <w:r>
        <w:rPr>
          <w:i/>
          <w:spacing w:val="-30"/>
          <w:sz w:val="18"/>
        </w:rPr>
        <w:t> </w:t>
      </w:r>
      <w:r>
        <w:rPr>
          <w:i/>
          <w:sz w:val="18"/>
        </w:rPr>
        <w:t>the</w:t>
      </w:r>
      <w:r>
        <w:rPr>
          <w:i/>
          <w:spacing w:val="-30"/>
          <w:sz w:val="18"/>
        </w:rPr>
        <w:t> </w:t>
      </w:r>
      <w:r>
        <w:rPr>
          <w:i/>
          <w:sz w:val="18"/>
        </w:rPr>
        <w:t>subject</w:t>
      </w:r>
      <w:r>
        <w:rPr>
          <w:i/>
          <w:spacing w:val="-29"/>
          <w:sz w:val="18"/>
        </w:rPr>
        <w:t> </w:t>
      </w:r>
      <w:r>
        <w:rPr>
          <w:i/>
          <w:sz w:val="18"/>
        </w:rPr>
        <w:t>plant,</w:t>
      </w:r>
      <w:r>
        <w:rPr>
          <w:i/>
          <w:spacing w:val="-31"/>
          <w:sz w:val="18"/>
        </w:rPr>
        <w:t> </w:t>
      </w:r>
      <w:r>
        <w:rPr>
          <w:i/>
          <w:sz w:val="18"/>
        </w:rPr>
        <w:t>the</w:t>
      </w:r>
      <w:r>
        <w:rPr>
          <w:i/>
          <w:spacing w:val="-29"/>
          <w:sz w:val="18"/>
        </w:rPr>
        <w:t> </w:t>
      </w:r>
      <w:r>
        <w:rPr>
          <w:i/>
          <w:sz w:val="18"/>
        </w:rPr>
        <w:t>maximum</w:t>
      </w:r>
      <w:r>
        <w:rPr>
          <w:i/>
          <w:spacing w:val="-30"/>
          <w:sz w:val="18"/>
        </w:rPr>
        <w:t> </w:t>
      </w:r>
      <w:r>
        <w:rPr>
          <w:i/>
          <w:sz w:val="18"/>
        </w:rPr>
        <w:t>generation</w:t>
      </w:r>
      <w:r>
        <w:rPr>
          <w:i/>
          <w:spacing w:val="-24"/>
          <w:sz w:val="18"/>
        </w:rPr>
        <w:t> </w:t>
      </w:r>
      <w:r>
        <w:rPr>
          <w:i/>
          <w:sz w:val="18"/>
        </w:rPr>
        <w:t>has</w:t>
      </w:r>
      <w:r>
        <w:rPr>
          <w:i/>
          <w:spacing w:val="-30"/>
          <w:sz w:val="18"/>
        </w:rPr>
        <w:t> </w:t>
      </w:r>
      <w:r>
        <w:rPr>
          <w:i/>
          <w:sz w:val="18"/>
        </w:rPr>
        <w:t>been</w:t>
      </w:r>
      <w:r>
        <w:rPr>
          <w:i/>
          <w:spacing w:val="-29"/>
          <w:sz w:val="18"/>
        </w:rPr>
        <w:t> </w:t>
      </w:r>
      <w:r>
        <w:rPr>
          <w:i/>
          <w:sz w:val="18"/>
        </w:rPr>
        <w:t>capped</w:t>
      </w:r>
      <w:r>
        <w:rPr>
          <w:i/>
          <w:spacing w:val="-28"/>
          <w:sz w:val="18"/>
        </w:rPr>
        <w:t> </w:t>
      </w:r>
      <w:r>
        <w:rPr>
          <w:i/>
          <w:sz w:val="18"/>
        </w:rPr>
        <w:t>at approx. 200 Million Units (MU) for any given</w:t>
      </w:r>
      <w:r>
        <w:rPr>
          <w:i/>
          <w:spacing w:val="-36"/>
          <w:sz w:val="18"/>
        </w:rPr>
        <w:t> </w:t>
      </w:r>
      <w:r>
        <w:rPr>
          <w:i/>
          <w:sz w:val="18"/>
        </w:rPr>
        <w:t>year</w:t>
      </w:r>
    </w:p>
    <w:p>
      <w:pPr>
        <w:spacing w:line="321" w:lineRule="auto" w:before="127"/>
        <w:ind w:left="407" w:right="1027" w:firstLine="0"/>
        <w:jc w:val="both"/>
        <w:rPr>
          <w:sz w:val="18"/>
        </w:rPr>
      </w:pPr>
      <w:r>
        <w:rPr/>
        <w:pict>
          <v:shape style="position:absolute;margin-left:149.899994pt;margin-top:54.780685pt;width:408.5pt;height:43pt;mso-position-horizontal-relative:page;mso-position-vertical-relative:paragraph;z-index:1587865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42"/>
                    <w:gridCol w:w="5428"/>
                  </w:tblGrid>
                  <w:tr>
                    <w:trPr>
                      <w:trHeight w:val="357" w:hRule="atLeast"/>
                    </w:trPr>
                    <w:tc>
                      <w:tcPr>
                        <w:tcW w:w="8170" w:type="dxa"/>
                        <w:gridSpan w:val="2"/>
                        <w:tcBorders>
                          <w:top w:val="single" w:sz="6" w:space="0" w:color="69BD28"/>
                          <w:bottom w:val="single" w:sz="6" w:space="0" w:color="69BD28"/>
                        </w:tcBorders>
                        <w:shd w:val="clear" w:color="auto" w:fill="006A4D"/>
                      </w:tcPr>
                      <w:p>
                        <w:pPr>
                          <w:pStyle w:val="TableParagraph"/>
                          <w:tabs>
                            <w:tab w:pos="4976" w:val="left" w:leader="none"/>
                          </w:tabs>
                          <w:spacing w:before="75"/>
                          <w:ind w:left="934"/>
                          <w:jc w:val="left"/>
                          <w:rPr>
                            <w:b/>
                            <w:sz w:val="18"/>
                          </w:rPr>
                        </w:pPr>
                        <w:r>
                          <w:rPr>
                            <w:b/>
                            <w:color w:val="FFFFFF"/>
                            <w:w w:val="110"/>
                            <w:sz w:val="18"/>
                          </w:rPr>
                          <w:t>Particular</w:t>
                          <w:tab/>
                          <w:t>Solar</w:t>
                        </w:r>
                        <w:r>
                          <w:rPr>
                            <w:b/>
                            <w:color w:val="FFFFFF"/>
                            <w:spacing w:val="-3"/>
                            <w:w w:val="110"/>
                            <w:sz w:val="18"/>
                          </w:rPr>
                          <w:t> </w:t>
                        </w:r>
                        <w:r>
                          <w:rPr>
                            <w:b/>
                            <w:color w:val="FFFFFF"/>
                            <w:w w:val="110"/>
                            <w:sz w:val="18"/>
                          </w:rPr>
                          <w:t>Park</w:t>
                        </w:r>
                      </w:p>
                    </w:tc>
                  </w:tr>
                  <w:tr>
                    <w:trPr>
                      <w:trHeight w:val="457" w:hRule="atLeast"/>
                    </w:trPr>
                    <w:tc>
                      <w:tcPr>
                        <w:tcW w:w="2742" w:type="dxa"/>
                        <w:shd w:val="clear" w:color="auto" w:fill="69BD28"/>
                      </w:tcPr>
                      <w:p>
                        <w:pPr>
                          <w:pStyle w:val="TableParagraph"/>
                          <w:spacing w:before="126"/>
                          <w:ind w:left="315"/>
                          <w:jc w:val="left"/>
                          <w:rPr>
                            <w:b/>
                            <w:sz w:val="18"/>
                          </w:rPr>
                        </w:pPr>
                        <w:r>
                          <w:rPr>
                            <w:b/>
                            <w:color w:val="FFFFFF"/>
                            <w:w w:val="110"/>
                            <w:sz w:val="18"/>
                          </w:rPr>
                          <w:t>Valuation Methodology</w:t>
                        </w:r>
                      </w:p>
                    </w:tc>
                    <w:tc>
                      <w:tcPr>
                        <w:tcW w:w="5428" w:type="dxa"/>
                        <w:tcBorders>
                          <w:top w:val="single" w:sz="6" w:space="0" w:color="69BD28"/>
                          <w:bottom w:val="single" w:sz="6" w:space="0" w:color="69BD28"/>
                        </w:tcBorders>
                      </w:tcPr>
                      <w:p>
                        <w:pPr>
                          <w:pStyle w:val="TableParagraph"/>
                          <w:spacing w:before="126"/>
                          <w:ind w:left="1511"/>
                          <w:jc w:val="left"/>
                          <w:rPr>
                            <w:sz w:val="18"/>
                          </w:rPr>
                        </w:pPr>
                        <w:r>
                          <w:rPr>
                            <w:sz w:val="18"/>
                          </w:rPr>
                          <w:t>Discounted Cash Flow Method</w:t>
                        </w:r>
                      </w:p>
                    </w:tc>
                  </w:tr>
                </w:tbl>
                <w:p>
                  <w:pPr>
                    <w:pStyle w:val="BodyText"/>
                  </w:pPr>
                </w:p>
              </w:txbxContent>
            </v:textbox>
            <w10:wrap type="none"/>
          </v:shape>
        </w:pict>
      </w:r>
      <w:r>
        <w:rPr>
          <w:sz w:val="18"/>
        </w:rPr>
        <w:t>As</w:t>
      </w:r>
      <w:r>
        <w:rPr>
          <w:spacing w:val="-21"/>
          <w:sz w:val="18"/>
        </w:rPr>
        <w:t> </w:t>
      </w:r>
      <w:r>
        <w:rPr>
          <w:sz w:val="18"/>
        </w:rPr>
        <w:t>per</w:t>
      </w:r>
      <w:r>
        <w:rPr>
          <w:spacing w:val="-23"/>
          <w:sz w:val="18"/>
        </w:rPr>
        <w:t> </w:t>
      </w:r>
      <w:r>
        <w:rPr>
          <w:sz w:val="18"/>
        </w:rPr>
        <w:t>the</w:t>
      </w:r>
      <w:r>
        <w:rPr>
          <w:spacing w:val="-22"/>
          <w:sz w:val="18"/>
        </w:rPr>
        <w:t> </w:t>
      </w:r>
      <w:r>
        <w:rPr>
          <w:sz w:val="18"/>
        </w:rPr>
        <w:t>PPAs</w:t>
      </w:r>
      <w:r>
        <w:rPr>
          <w:spacing w:val="-22"/>
          <w:sz w:val="18"/>
        </w:rPr>
        <w:t> </w:t>
      </w:r>
      <w:r>
        <w:rPr>
          <w:sz w:val="18"/>
        </w:rPr>
        <w:t>executed</w:t>
      </w:r>
      <w:r>
        <w:rPr>
          <w:spacing w:val="-22"/>
          <w:sz w:val="18"/>
        </w:rPr>
        <w:t> </w:t>
      </w:r>
      <w:r>
        <w:rPr>
          <w:sz w:val="18"/>
        </w:rPr>
        <w:t>with</w:t>
      </w:r>
      <w:r>
        <w:rPr>
          <w:spacing w:val="-21"/>
          <w:sz w:val="18"/>
        </w:rPr>
        <w:t> </w:t>
      </w:r>
      <w:r>
        <w:rPr>
          <w:sz w:val="18"/>
        </w:rPr>
        <w:t>various</w:t>
      </w:r>
      <w:r>
        <w:rPr>
          <w:spacing w:val="-21"/>
          <w:sz w:val="18"/>
        </w:rPr>
        <w:t> </w:t>
      </w:r>
      <w:r>
        <w:rPr>
          <w:sz w:val="18"/>
        </w:rPr>
        <w:t>entities,</w:t>
      </w:r>
      <w:r>
        <w:rPr>
          <w:spacing w:val="-22"/>
          <w:sz w:val="18"/>
        </w:rPr>
        <w:t> </w:t>
      </w:r>
      <w:r>
        <w:rPr>
          <w:sz w:val="18"/>
        </w:rPr>
        <w:t>the</w:t>
      </w:r>
      <w:r>
        <w:rPr>
          <w:spacing w:val="-23"/>
          <w:sz w:val="18"/>
        </w:rPr>
        <w:t> </w:t>
      </w:r>
      <w:r>
        <w:rPr>
          <w:sz w:val="18"/>
        </w:rPr>
        <w:t>purchasers</w:t>
      </w:r>
      <w:r>
        <w:rPr>
          <w:spacing w:val="-23"/>
          <w:sz w:val="18"/>
        </w:rPr>
        <w:t> </w:t>
      </w:r>
      <w:r>
        <w:rPr>
          <w:sz w:val="18"/>
        </w:rPr>
        <w:t>have</w:t>
      </w:r>
      <w:r>
        <w:rPr>
          <w:spacing w:val="-23"/>
          <w:sz w:val="18"/>
        </w:rPr>
        <w:t> </w:t>
      </w:r>
      <w:r>
        <w:rPr>
          <w:sz w:val="18"/>
        </w:rPr>
        <w:t>agreed</w:t>
      </w:r>
      <w:r>
        <w:rPr>
          <w:spacing w:val="-22"/>
          <w:sz w:val="18"/>
        </w:rPr>
        <w:t> </w:t>
      </w:r>
      <w:r>
        <w:rPr>
          <w:sz w:val="18"/>
        </w:rPr>
        <w:t>to</w:t>
      </w:r>
      <w:r>
        <w:rPr>
          <w:spacing w:val="-21"/>
          <w:sz w:val="18"/>
        </w:rPr>
        <w:t> </w:t>
      </w:r>
      <w:r>
        <w:rPr>
          <w:sz w:val="18"/>
        </w:rPr>
        <w:t>purchase</w:t>
      </w:r>
      <w:r>
        <w:rPr>
          <w:spacing w:val="-23"/>
          <w:sz w:val="18"/>
        </w:rPr>
        <w:t> </w:t>
      </w:r>
      <w:r>
        <w:rPr>
          <w:sz w:val="18"/>
        </w:rPr>
        <w:t>at</w:t>
      </w:r>
      <w:r>
        <w:rPr>
          <w:spacing w:val="-22"/>
          <w:sz w:val="18"/>
        </w:rPr>
        <w:t> </w:t>
      </w:r>
      <w:r>
        <w:rPr>
          <w:sz w:val="18"/>
        </w:rPr>
        <w:t>least</w:t>
      </w:r>
      <w:r>
        <w:rPr>
          <w:spacing w:val="-23"/>
          <w:sz w:val="18"/>
        </w:rPr>
        <w:t> </w:t>
      </w:r>
      <w:r>
        <w:rPr>
          <w:sz w:val="18"/>
        </w:rPr>
        <w:t>85% of</w:t>
      </w:r>
      <w:r>
        <w:rPr>
          <w:spacing w:val="-22"/>
          <w:sz w:val="18"/>
        </w:rPr>
        <w:t> </w:t>
      </w:r>
      <w:r>
        <w:rPr>
          <w:sz w:val="18"/>
        </w:rPr>
        <w:t>the</w:t>
      </w:r>
      <w:r>
        <w:rPr>
          <w:spacing w:val="-22"/>
          <w:sz w:val="18"/>
        </w:rPr>
        <w:t> </w:t>
      </w:r>
      <w:r>
        <w:rPr>
          <w:sz w:val="18"/>
        </w:rPr>
        <w:t>contracted</w:t>
      </w:r>
      <w:r>
        <w:rPr>
          <w:spacing w:val="-22"/>
          <w:sz w:val="18"/>
        </w:rPr>
        <w:t> </w:t>
      </w:r>
      <w:r>
        <w:rPr>
          <w:sz w:val="18"/>
        </w:rPr>
        <w:t>quantity</w:t>
      </w:r>
      <w:r>
        <w:rPr>
          <w:spacing w:val="-20"/>
          <w:sz w:val="18"/>
        </w:rPr>
        <w:t> </w:t>
      </w:r>
      <w:r>
        <w:rPr>
          <w:sz w:val="18"/>
        </w:rPr>
        <w:t>(‘minimum</w:t>
      </w:r>
      <w:r>
        <w:rPr>
          <w:spacing w:val="-21"/>
          <w:sz w:val="18"/>
        </w:rPr>
        <w:t> </w:t>
      </w:r>
      <w:r>
        <w:rPr>
          <w:sz w:val="18"/>
        </w:rPr>
        <w:t>guaranteed</w:t>
      </w:r>
      <w:r>
        <w:rPr>
          <w:spacing w:val="-22"/>
          <w:sz w:val="18"/>
        </w:rPr>
        <w:t> </w:t>
      </w:r>
      <w:r>
        <w:rPr>
          <w:sz w:val="18"/>
        </w:rPr>
        <w:t>offtake’)</w:t>
      </w:r>
      <w:r>
        <w:rPr>
          <w:spacing w:val="-21"/>
          <w:sz w:val="18"/>
        </w:rPr>
        <w:t> </w:t>
      </w:r>
      <w:r>
        <w:rPr>
          <w:sz w:val="18"/>
        </w:rPr>
        <w:t>each</w:t>
      </w:r>
      <w:r>
        <w:rPr>
          <w:spacing w:val="-22"/>
          <w:sz w:val="18"/>
        </w:rPr>
        <w:t> </w:t>
      </w:r>
      <w:r>
        <w:rPr>
          <w:sz w:val="18"/>
        </w:rPr>
        <w:t>tariff</w:t>
      </w:r>
      <w:r>
        <w:rPr>
          <w:spacing w:val="-21"/>
          <w:sz w:val="18"/>
        </w:rPr>
        <w:t> </w:t>
      </w:r>
      <w:r>
        <w:rPr>
          <w:sz w:val="18"/>
        </w:rPr>
        <w:t>year,</w:t>
      </w:r>
      <w:r>
        <w:rPr>
          <w:spacing w:val="-22"/>
          <w:sz w:val="18"/>
        </w:rPr>
        <w:t> </w:t>
      </w:r>
      <w:r>
        <w:rPr>
          <w:sz w:val="18"/>
        </w:rPr>
        <w:t>commencing</w:t>
      </w:r>
      <w:r>
        <w:rPr>
          <w:spacing w:val="-24"/>
          <w:sz w:val="18"/>
        </w:rPr>
        <w:t> </w:t>
      </w:r>
      <w:r>
        <w:rPr>
          <w:sz w:val="18"/>
        </w:rPr>
        <w:t>from</w:t>
      </w:r>
      <w:r>
        <w:rPr>
          <w:spacing w:val="-21"/>
          <w:sz w:val="18"/>
        </w:rPr>
        <w:t> </w:t>
      </w:r>
      <w:r>
        <w:rPr>
          <w:sz w:val="18"/>
        </w:rPr>
        <w:t>the commercial operation date until the end of the</w:t>
      </w:r>
      <w:r>
        <w:rPr>
          <w:spacing w:val="-37"/>
          <w:sz w:val="18"/>
        </w:rPr>
        <w:t> </w:t>
      </w:r>
      <w:r>
        <w:rPr>
          <w:sz w:val="18"/>
        </w:rPr>
        <w:t>term.</w:t>
      </w:r>
    </w:p>
    <w:p>
      <w:pPr>
        <w:spacing w:after="0" w:line="321" w:lineRule="auto"/>
        <w:jc w:val="both"/>
        <w:rPr>
          <w:sz w:val="18"/>
        </w:rPr>
        <w:sectPr>
          <w:type w:val="continuous"/>
          <w:pgSz w:w="11910" w:h="16840"/>
          <w:pgMar w:top="800" w:bottom="280" w:left="440" w:right="80"/>
          <w:cols w:num="2" w:equalWidth="0">
            <w:col w:w="2056" w:space="109"/>
            <w:col w:w="9225"/>
          </w:cols>
        </w:sectPr>
      </w:pPr>
    </w:p>
    <w:p>
      <w:pPr>
        <w:tabs>
          <w:tab w:pos="2572" w:val="left" w:leader="none"/>
        </w:tabs>
        <w:spacing w:before="660"/>
        <w:ind w:left="392" w:right="0" w:firstLine="0"/>
        <w:jc w:val="left"/>
        <w:rPr>
          <w:sz w:val="18"/>
        </w:rPr>
      </w:pPr>
      <w:r>
        <w:rPr>
          <w:color w:val="006A4D"/>
          <w:sz w:val="18"/>
        </w:rPr>
        <w:t>Date</w:t>
      </w:r>
      <w:r>
        <w:rPr>
          <w:color w:val="006A4D"/>
          <w:spacing w:val="-14"/>
          <w:sz w:val="18"/>
        </w:rPr>
        <w:t> </w:t>
      </w:r>
      <w:r>
        <w:rPr>
          <w:color w:val="006A4D"/>
          <w:sz w:val="18"/>
        </w:rPr>
        <w:t>of</w:t>
      </w:r>
      <w:r>
        <w:rPr>
          <w:color w:val="006A4D"/>
          <w:spacing w:val="-13"/>
          <w:sz w:val="18"/>
        </w:rPr>
        <w:t> </w:t>
      </w:r>
      <w:r>
        <w:rPr>
          <w:color w:val="006A4D"/>
          <w:sz w:val="18"/>
        </w:rPr>
        <w:t>Valuation:</w:t>
        <w:tab/>
      </w:r>
      <w:r>
        <w:rPr>
          <w:sz w:val="18"/>
        </w:rPr>
        <w:t>March 31,</w:t>
      </w:r>
      <w:r>
        <w:rPr>
          <w:spacing w:val="-1"/>
          <w:sz w:val="18"/>
        </w:rPr>
        <w:t> </w:t>
      </w:r>
      <w:r>
        <w:rPr>
          <w:sz w:val="18"/>
        </w:rPr>
        <w:t>2020</w:t>
      </w:r>
    </w:p>
    <w:p>
      <w:pPr>
        <w:tabs>
          <w:tab w:pos="2572" w:val="left" w:leader="none"/>
        </w:tabs>
        <w:spacing w:line="321" w:lineRule="auto" w:before="321"/>
        <w:ind w:left="2572" w:right="658" w:hanging="2180"/>
        <w:jc w:val="both"/>
        <w:rPr>
          <w:sz w:val="18"/>
        </w:rPr>
      </w:pPr>
      <w:r>
        <w:rPr>
          <w:color w:val="006A4D"/>
          <w:sz w:val="18"/>
        </w:rPr>
        <w:t>Date</w:t>
      </w:r>
      <w:r>
        <w:rPr>
          <w:color w:val="006A4D"/>
          <w:spacing w:val="-18"/>
          <w:sz w:val="18"/>
        </w:rPr>
        <w:t> </w:t>
      </w:r>
      <w:r>
        <w:rPr>
          <w:color w:val="006A4D"/>
          <w:sz w:val="18"/>
        </w:rPr>
        <w:t>of</w:t>
      </w:r>
      <w:r>
        <w:rPr>
          <w:color w:val="006A4D"/>
          <w:spacing w:val="-18"/>
          <w:sz w:val="18"/>
        </w:rPr>
        <w:t> </w:t>
      </w:r>
      <w:r>
        <w:rPr>
          <w:color w:val="006A4D"/>
          <w:sz w:val="18"/>
        </w:rPr>
        <w:t>Inspection:</w:t>
        <w:tab/>
      </w:r>
      <w:r>
        <w:rPr>
          <w:sz w:val="18"/>
        </w:rPr>
        <w:t>Not Applicable. Due to the outbreak of Novel Coronavirus (COVID-19), declared by the World health Organisation</w:t>
      </w:r>
      <w:r>
        <w:rPr>
          <w:spacing w:val="-11"/>
          <w:sz w:val="18"/>
        </w:rPr>
        <w:t> </w:t>
      </w:r>
      <w:r>
        <w:rPr>
          <w:sz w:val="18"/>
        </w:rPr>
        <w:t>as</w:t>
      </w:r>
      <w:r>
        <w:rPr>
          <w:spacing w:val="-10"/>
          <w:sz w:val="18"/>
        </w:rPr>
        <w:t> </w:t>
      </w:r>
      <w:r>
        <w:rPr>
          <w:sz w:val="18"/>
        </w:rPr>
        <w:t>a</w:t>
      </w:r>
      <w:r>
        <w:rPr>
          <w:spacing w:val="-11"/>
          <w:sz w:val="18"/>
        </w:rPr>
        <w:t> </w:t>
      </w:r>
      <w:r>
        <w:rPr>
          <w:sz w:val="18"/>
        </w:rPr>
        <w:t>“Global</w:t>
      </w:r>
      <w:r>
        <w:rPr>
          <w:spacing w:val="-11"/>
          <w:sz w:val="18"/>
        </w:rPr>
        <w:t> </w:t>
      </w:r>
      <w:r>
        <w:rPr>
          <w:sz w:val="18"/>
        </w:rPr>
        <w:t>Pandemic”</w:t>
      </w:r>
      <w:r>
        <w:rPr>
          <w:spacing w:val="-12"/>
          <w:sz w:val="18"/>
        </w:rPr>
        <w:t> </w:t>
      </w:r>
      <w:r>
        <w:rPr>
          <w:sz w:val="18"/>
        </w:rPr>
        <w:t>on</w:t>
      </w:r>
      <w:r>
        <w:rPr>
          <w:spacing w:val="-12"/>
          <w:sz w:val="18"/>
        </w:rPr>
        <w:t> </w:t>
      </w:r>
      <w:r>
        <w:rPr>
          <w:sz w:val="18"/>
        </w:rPr>
        <w:t>11</w:t>
      </w:r>
      <w:r>
        <w:rPr>
          <w:position w:val="6"/>
          <w:sz w:val="11"/>
        </w:rPr>
        <w:t>th</w:t>
      </w:r>
      <w:r>
        <w:rPr>
          <w:spacing w:val="11"/>
          <w:position w:val="6"/>
          <w:sz w:val="11"/>
        </w:rPr>
        <w:t> </w:t>
      </w:r>
      <w:r>
        <w:rPr>
          <w:sz w:val="18"/>
        </w:rPr>
        <w:t>March</w:t>
      </w:r>
      <w:r>
        <w:rPr>
          <w:spacing w:val="-10"/>
          <w:sz w:val="18"/>
        </w:rPr>
        <w:t> </w:t>
      </w:r>
      <w:r>
        <w:rPr>
          <w:sz w:val="18"/>
        </w:rPr>
        <w:t>2020,</w:t>
      </w:r>
      <w:r>
        <w:rPr>
          <w:spacing w:val="-11"/>
          <w:sz w:val="18"/>
        </w:rPr>
        <w:t> </w:t>
      </w:r>
      <w:r>
        <w:rPr>
          <w:sz w:val="18"/>
        </w:rPr>
        <w:t>it</w:t>
      </w:r>
      <w:r>
        <w:rPr>
          <w:spacing w:val="-12"/>
          <w:sz w:val="18"/>
        </w:rPr>
        <w:t> </w:t>
      </w:r>
      <w:r>
        <w:rPr>
          <w:sz w:val="18"/>
        </w:rPr>
        <w:t>has</w:t>
      </w:r>
      <w:r>
        <w:rPr>
          <w:spacing w:val="-10"/>
          <w:sz w:val="18"/>
        </w:rPr>
        <w:t> </w:t>
      </w:r>
      <w:r>
        <w:rPr>
          <w:sz w:val="18"/>
        </w:rPr>
        <w:t>not</w:t>
      </w:r>
      <w:r>
        <w:rPr>
          <w:spacing w:val="-12"/>
          <w:sz w:val="18"/>
        </w:rPr>
        <w:t> </w:t>
      </w:r>
      <w:r>
        <w:rPr>
          <w:sz w:val="18"/>
        </w:rPr>
        <w:t>been</w:t>
      </w:r>
      <w:r>
        <w:rPr>
          <w:spacing w:val="-10"/>
          <w:sz w:val="18"/>
        </w:rPr>
        <w:t> </w:t>
      </w:r>
      <w:r>
        <w:rPr>
          <w:sz w:val="18"/>
        </w:rPr>
        <w:t>possible</w:t>
      </w:r>
      <w:r>
        <w:rPr>
          <w:spacing w:val="-10"/>
          <w:sz w:val="18"/>
        </w:rPr>
        <w:t> </w:t>
      </w:r>
      <w:r>
        <w:rPr>
          <w:sz w:val="18"/>
        </w:rPr>
        <w:t>to</w:t>
      </w:r>
      <w:r>
        <w:rPr>
          <w:spacing w:val="-12"/>
          <w:sz w:val="18"/>
        </w:rPr>
        <w:t> </w:t>
      </w:r>
      <w:r>
        <w:rPr>
          <w:sz w:val="18"/>
        </w:rPr>
        <w:t>carry</w:t>
      </w:r>
      <w:r>
        <w:rPr>
          <w:spacing w:val="-13"/>
          <w:sz w:val="18"/>
        </w:rPr>
        <w:t> </w:t>
      </w:r>
      <w:r>
        <w:rPr>
          <w:sz w:val="18"/>
        </w:rPr>
        <w:t>out</w:t>
      </w:r>
      <w:r>
        <w:rPr>
          <w:spacing w:val="-12"/>
          <w:sz w:val="18"/>
        </w:rPr>
        <w:t> </w:t>
      </w:r>
      <w:r>
        <w:rPr>
          <w:sz w:val="18"/>
        </w:rPr>
        <w:t>a</w:t>
      </w:r>
      <w:r>
        <w:rPr>
          <w:spacing w:val="-10"/>
          <w:sz w:val="18"/>
        </w:rPr>
        <w:t> </w:t>
      </w:r>
      <w:r>
        <w:rPr>
          <w:sz w:val="18"/>
        </w:rPr>
        <w:t>formal inspection</w:t>
      </w:r>
      <w:r>
        <w:rPr>
          <w:spacing w:val="-31"/>
          <w:sz w:val="18"/>
        </w:rPr>
        <w:t> </w:t>
      </w:r>
      <w:r>
        <w:rPr>
          <w:sz w:val="18"/>
        </w:rPr>
        <w:t>of</w:t>
      </w:r>
      <w:r>
        <w:rPr>
          <w:spacing w:val="-31"/>
          <w:sz w:val="18"/>
        </w:rPr>
        <w:t> </w:t>
      </w:r>
      <w:r>
        <w:rPr>
          <w:sz w:val="18"/>
        </w:rPr>
        <w:t>the</w:t>
      </w:r>
      <w:r>
        <w:rPr>
          <w:spacing w:val="-30"/>
          <w:sz w:val="18"/>
        </w:rPr>
        <w:t> </w:t>
      </w:r>
      <w:r>
        <w:rPr>
          <w:sz w:val="18"/>
        </w:rPr>
        <w:t>property</w:t>
      </w:r>
      <w:r>
        <w:rPr>
          <w:spacing w:val="-29"/>
          <w:sz w:val="18"/>
        </w:rPr>
        <w:t> </w:t>
      </w:r>
      <w:r>
        <w:rPr>
          <w:sz w:val="18"/>
        </w:rPr>
        <w:t>for</w:t>
      </w:r>
      <w:r>
        <w:rPr>
          <w:spacing w:val="-31"/>
          <w:sz w:val="18"/>
        </w:rPr>
        <w:t> </w:t>
      </w:r>
      <w:r>
        <w:rPr>
          <w:sz w:val="18"/>
        </w:rPr>
        <w:t>the</w:t>
      </w:r>
      <w:r>
        <w:rPr>
          <w:spacing w:val="-30"/>
          <w:sz w:val="18"/>
        </w:rPr>
        <w:t> </w:t>
      </w:r>
      <w:r>
        <w:rPr>
          <w:sz w:val="18"/>
        </w:rPr>
        <w:t>current</w:t>
      </w:r>
      <w:r>
        <w:rPr>
          <w:spacing w:val="-31"/>
          <w:sz w:val="18"/>
        </w:rPr>
        <w:t> </w:t>
      </w:r>
      <w:r>
        <w:rPr>
          <w:sz w:val="18"/>
        </w:rPr>
        <w:t>update.</w:t>
      </w:r>
      <w:r>
        <w:rPr>
          <w:spacing w:val="-30"/>
          <w:sz w:val="18"/>
        </w:rPr>
        <w:t> </w:t>
      </w:r>
      <w:r>
        <w:rPr>
          <w:sz w:val="18"/>
        </w:rPr>
        <w:t>The</w:t>
      </w:r>
      <w:r>
        <w:rPr>
          <w:spacing w:val="-30"/>
          <w:sz w:val="18"/>
        </w:rPr>
        <w:t> </w:t>
      </w:r>
      <w:r>
        <w:rPr>
          <w:sz w:val="18"/>
        </w:rPr>
        <w:t>site</w:t>
      </w:r>
      <w:r>
        <w:rPr>
          <w:spacing w:val="-30"/>
          <w:sz w:val="18"/>
        </w:rPr>
        <w:t> </w:t>
      </w:r>
      <w:r>
        <w:rPr>
          <w:sz w:val="18"/>
        </w:rPr>
        <w:t>observation,</w:t>
      </w:r>
      <w:r>
        <w:rPr>
          <w:spacing w:val="-31"/>
          <w:sz w:val="18"/>
        </w:rPr>
        <w:t> </w:t>
      </w:r>
      <w:r>
        <w:rPr>
          <w:sz w:val="18"/>
        </w:rPr>
        <w:t>details</w:t>
      </w:r>
      <w:r>
        <w:rPr>
          <w:spacing w:val="-30"/>
          <w:sz w:val="18"/>
        </w:rPr>
        <w:t> </w:t>
      </w:r>
      <w:r>
        <w:rPr>
          <w:sz w:val="18"/>
        </w:rPr>
        <w:t>and</w:t>
      </w:r>
      <w:r>
        <w:rPr>
          <w:spacing w:val="-31"/>
          <w:sz w:val="18"/>
        </w:rPr>
        <w:t> </w:t>
      </w:r>
      <w:r>
        <w:rPr>
          <w:sz w:val="18"/>
        </w:rPr>
        <w:t>pictures</w:t>
      </w:r>
      <w:r>
        <w:rPr>
          <w:spacing w:val="-30"/>
          <w:sz w:val="18"/>
        </w:rPr>
        <w:t> </w:t>
      </w:r>
      <w:r>
        <w:rPr>
          <w:sz w:val="18"/>
        </w:rPr>
        <w:t>are</w:t>
      </w:r>
      <w:r>
        <w:rPr>
          <w:spacing w:val="-30"/>
          <w:sz w:val="18"/>
        </w:rPr>
        <w:t> </w:t>
      </w:r>
      <w:r>
        <w:rPr>
          <w:sz w:val="18"/>
        </w:rPr>
        <w:t>as</w:t>
      </w:r>
      <w:r>
        <w:rPr>
          <w:spacing w:val="-30"/>
          <w:sz w:val="18"/>
        </w:rPr>
        <w:t> </w:t>
      </w:r>
      <w:r>
        <w:rPr>
          <w:sz w:val="18"/>
        </w:rPr>
        <w:t>per</w:t>
      </w:r>
      <w:r>
        <w:rPr>
          <w:spacing w:val="-31"/>
          <w:sz w:val="18"/>
        </w:rPr>
        <w:t> </w:t>
      </w:r>
      <w:r>
        <w:rPr>
          <w:sz w:val="18"/>
        </w:rPr>
        <w:t>the previous site visit undertaken/ as provided by the</w:t>
      </w:r>
      <w:r>
        <w:rPr>
          <w:spacing w:val="-39"/>
          <w:sz w:val="18"/>
        </w:rPr>
        <w:t> </w:t>
      </w:r>
      <w:r>
        <w:rPr>
          <w:sz w:val="18"/>
        </w:rPr>
        <w:t>Client</w:t>
      </w:r>
    </w:p>
    <w:p>
      <w:pPr>
        <w:spacing w:after="0" w:line="321" w:lineRule="auto"/>
        <w:jc w:val="both"/>
        <w:rPr>
          <w:sz w:val="18"/>
        </w:rPr>
        <w:sectPr>
          <w:type w:val="continuous"/>
          <w:pgSz w:w="11910" w:h="16840"/>
          <w:pgMar w:top="800" w:bottom="280" w:left="440" w:right="80"/>
        </w:sectPr>
      </w:pPr>
    </w:p>
    <w:p>
      <w:pPr>
        <w:spacing w:line="324" w:lineRule="auto" w:before="253"/>
        <w:ind w:left="392" w:right="23" w:firstLine="0"/>
        <w:jc w:val="left"/>
        <w:rPr>
          <w:sz w:val="18"/>
        </w:rPr>
      </w:pPr>
      <w:r>
        <w:rPr>
          <w:color w:val="006A4D"/>
          <w:sz w:val="18"/>
        </w:rPr>
        <w:t>Purchase</w:t>
      </w:r>
      <w:r>
        <w:rPr>
          <w:color w:val="006A4D"/>
          <w:spacing w:val="-36"/>
          <w:sz w:val="18"/>
        </w:rPr>
        <w:t> </w:t>
      </w:r>
      <w:r>
        <w:rPr>
          <w:color w:val="006A4D"/>
          <w:sz w:val="18"/>
        </w:rPr>
        <w:t>Price</w:t>
      </w:r>
      <w:r>
        <w:rPr>
          <w:color w:val="006A4D"/>
          <w:spacing w:val="-35"/>
          <w:sz w:val="18"/>
        </w:rPr>
        <w:t> </w:t>
      </w:r>
      <w:r>
        <w:rPr>
          <w:color w:val="006A4D"/>
          <w:sz w:val="18"/>
        </w:rPr>
        <w:t>for</w:t>
      </w:r>
      <w:r>
        <w:rPr>
          <w:color w:val="006A4D"/>
          <w:spacing w:val="-36"/>
          <w:sz w:val="18"/>
        </w:rPr>
        <w:t> </w:t>
      </w:r>
      <w:r>
        <w:rPr>
          <w:color w:val="006A4D"/>
          <w:sz w:val="18"/>
        </w:rPr>
        <w:t>the property:</w:t>
      </w:r>
    </w:p>
    <w:p>
      <w:pPr>
        <w:spacing w:before="253"/>
        <w:ind w:left="392" w:right="0" w:firstLine="0"/>
        <w:jc w:val="left"/>
        <w:rPr>
          <w:sz w:val="18"/>
        </w:rPr>
      </w:pPr>
      <w:r>
        <w:rPr/>
        <w:br w:type="column"/>
      </w:r>
      <w:r>
        <w:rPr>
          <w:sz w:val="18"/>
        </w:rPr>
        <w:t>The said acquisition was undertaken as part of the ‘Formation Transaction’ as described in the Final</w:t>
      </w:r>
    </w:p>
    <w:p>
      <w:pPr>
        <w:spacing w:before="72"/>
        <w:ind w:left="392" w:right="0" w:firstLine="0"/>
        <w:jc w:val="left"/>
        <w:rPr>
          <w:sz w:val="18"/>
        </w:rPr>
      </w:pPr>
      <w:r>
        <w:rPr>
          <w:sz w:val="18"/>
        </w:rPr>
        <w:t>Offer Document dated 27</w:t>
      </w:r>
      <w:r>
        <w:rPr>
          <w:position w:val="6"/>
          <w:sz w:val="11"/>
        </w:rPr>
        <w:t>th </w:t>
      </w:r>
      <w:r>
        <w:rPr>
          <w:sz w:val="18"/>
        </w:rPr>
        <w:t>March 2019</w:t>
      </w:r>
    </w:p>
    <w:p>
      <w:pPr>
        <w:spacing w:after="0"/>
        <w:jc w:val="left"/>
        <w:rPr>
          <w:sz w:val="18"/>
        </w:rPr>
        <w:sectPr>
          <w:type w:val="continuous"/>
          <w:pgSz w:w="11910" w:h="16840"/>
          <w:pgMar w:top="800" w:bottom="280" w:left="440" w:right="80"/>
          <w:cols w:num="2" w:equalWidth="0">
            <w:col w:w="2123" w:space="57"/>
            <w:col w:w="9210"/>
          </w:cols>
        </w:sectPr>
      </w:pPr>
    </w:p>
    <w:p>
      <w:pPr>
        <w:spacing w:line="321" w:lineRule="auto" w:before="247"/>
        <w:ind w:left="392" w:right="-14" w:firstLine="0"/>
        <w:jc w:val="left"/>
        <w:rPr>
          <w:sz w:val="18"/>
        </w:rPr>
      </w:pPr>
      <w:r>
        <w:rPr>
          <w:color w:val="006A4D"/>
          <w:sz w:val="18"/>
        </w:rPr>
        <w:t>Ready</w:t>
      </w:r>
      <w:r>
        <w:rPr>
          <w:color w:val="006A4D"/>
          <w:spacing w:val="-30"/>
          <w:sz w:val="18"/>
        </w:rPr>
        <w:t> </w:t>
      </w:r>
      <w:r>
        <w:rPr>
          <w:color w:val="006A4D"/>
          <w:sz w:val="18"/>
        </w:rPr>
        <w:t>Reckoner</w:t>
      </w:r>
      <w:r>
        <w:rPr>
          <w:color w:val="006A4D"/>
          <w:spacing w:val="-29"/>
          <w:sz w:val="18"/>
        </w:rPr>
        <w:t> </w:t>
      </w:r>
      <w:r>
        <w:rPr>
          <w:color w:val="006A4D"/>
          <w:sz w:val="18"/>
        </w:rPr>
        <w:t>Rate</w:t>
      </w:r>
      <w:r>
        <w:rPr>
          <w:color w:val="006A4D"/>
          <w:spacing w:val="-29"/>
          <w:sz w:val="18"/>
        </w:rPr>
        <w:t> </w:t>
      </w:r>
      <w:r>
        <w:rPr>
          <w:color w:val="006A4D"/>
          <w:sz w:val="18"/>
        </w:rPr>
        <w:t>(as per documents published by State Government):</w:t>
      </w:r>
    </w:p>
    <w:p>
      <w:pPr>
        <w:spacing w:before="247"/>
        <w:ind w:left="225" w:right="0" w:firstLine="0"/>
        <w:jc w:val="left"/>
        <w:rPr>
          <w:sz w:val="18"/>
        </w:rPr>
      </w:pPr>
      <w:r>
        <w:rPr/>
        <w:br w:type="column"/>
      </w:r>
      <w:r>
        <w:rPr>
          <w:sz w:val="18"/>
        </w:rPr>
        <w:t>Land Rate: INR 75,000 </w:t>
      </w:r>
      <w:r>
        <w:rPr>
          <w:w w:val="105"/>
          <w:sz w:val="18"/>
        </w:rPr>
        <w:t>– </w:t>
      </w:r>
      <w:r>
        <w:rPr>
          <w:sz w:val="18"/>
        </w:rPr>
        <w:t>80,000 per acre of land area across the villages housing the park</w:t>
      </w:r>
    </w:p>
    <w:p>
      <w:pPr>
        <w:spacing w:after="0"/>
        <w:jc w:val="left"/>
        <w:rPr>
          <w:sz w:val="18"/>
        </w:rPr>
        <w:sectPr>
          <w:type w:val="continuous"/>
          <w:pgSz w:w="11910" w:h="16840"/>
          <w:pgMar w:top="800" w:bottom="280" w:left="440" w:right="80"/>
          <w:cols w:num="2" w:equalWidth="0">
            <w:col w:w="2308" w:space="40"/>
            <w:col w:w="904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17"/>
        </w:rPr>
      </w:pPr>
    </w:p>
    <w:p>
      <w:pPr>
        <w:pStyle w:val="BodyText"/>
        <w:spacing w:line="20" w:lineRule="exact"/>
        <w:ind w:left="280"/>
        <w:rPr>
          <w:sz w:val="2"/>
        </w:rPr>
      </w:pPr>
      <w:r>
        <w:rPr>
          <w:sz w:val="2"/>
        </w:rPr>
        <w:pict>
          <v:group style="width:144.050pt;height:.6pt;mso-position-horizontal-relative:char;mso-position-vertical-relative:line" coordorigin="0,0" coordsize="2881,12">
            <v:rect style="position:absolute;left:0;top:0;width:2881;height:12" filled="true" fillcolor="#000000" stroked="false">
              <v:fill type="solid"/>
            </v:rect>
          </v:group>
        </w:pict>
      </w:r>
      <w:r>
        <w:rPr>
          <w:sz w:val="2"/>
        </w:rPr>
      </w:r>
    </w:p>
    <w:p>
      <w:pPr>
        <w:spacing w:before="91"/>
        <w:ind w:left="280" w:right="0" w:firstLine="0"/>
        <w:jc w:val="left"/>
        <w:rPr>
          <w:i/>
          <w:sz w:val="18"/>
        </w:rPr>
      </w:pPr>
      <w:r>
        <w:rPr>
          <w:i/>
          <w:position w:val="6"/>
          <w:sz w:val="11"/>
        </w:rPr>
        <w:t>4 </w:t>
      </w:r>
      <w:r>
        <w:rPr>
          <w:i/>
          <w:sz w:val="18"/>
        </w:rPr>
        <w:t>Commercial Operation Date (COD) is February 28, 2018</w:t>
      </w:r>
    </w:p>
    <w:p>
      <w:pPr>
        <w:spacing w:after="0"/>
        <w:jc w:val="left"/>
        <w:rPr>
          <w:sz w:val="18"/>
        </w:rPr>
        <w:sectPr>
          <w:type w:val="continuous"/>
          <w:pgSz w:w="11910" w:h="16840"/>
          <w:pgMar w:top="800" w:bottom="280" w:left="440" w:right="80"/>
        </w:sectPr>
      </w:pPr>
    </w:p>
    <w:p>
      <w:pPr>
        <w:pStyle w:val="BodyText"/>
        <w:spacing w:before="4"/>
        <w:rPr>
          <w:i/>
          <w:sz w:val="23"/>
        </w:rPr>
      </w:pPr>
    </w:p>
    <w:p>
      <w:pPr>
        <w:spacing w:line="321" w:lineRule="auto" w:before="104"/>
        <w:ind w:left="392" w:right="9172" w:firstLine="0"/>
        <w:jc w:val="left"/>
        <w:rPr>
          <w:sz w:val="18"/>
        </w:rPr>
      </w:pPr>
      <w:r>
        <w:rPr/>
        <w:pict>
          <v:shape style="position:absolute;margin-left:150.080002pt;margin-top:5.730654pt;width:408.4pt;height:77.05pt;mso-position-horizontal-relative:page;mso-position-vertical-relative:paragraph;z-index:158791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63"/>
                    <w:gridCol w:w="3006"/>
                  </w:tblGrid>
                  <w:tr>
                    <w:trPr>
                      <w:trHeight w:val="347" w:hRule="atLeast"/>
                    </w:trPr>
                    <w:tc>
                      <w:tcPr>
                        <w:tcW w:w="5163" w:type="dxa"/>
                        <w:tcBorders>
                          <w:top w:val="single" w:sz="12" w:space="0" w:color="1F6B16"/>
                          <w:bottom w:val="single" w:sz="6" w:space="0" w:color="69BD28"/>
                        </w:tcBorders>
                        <w:shd w:val="clear" w:color="auto" w:fill="006A4D"/>
                      </w:tcPr>
                      <w:p>
                        <w:pPr>
                          <w:pStyle w:val="TableParagraph"/>
                          <w:spacing w:before="70"/>
                          <w:ind w:left="742" w:right="798"/>
                          <w:rPr>
                            <w:b/>
                            <w:sz w:val="18"/>
                          </w:rPr>
                        </w:pPr>
                        <w:r>
                          <w:rPr>
                            <w:b/>
                            <w:color w:val="FFFFFF"/>
                            <w:w w:val="105"/>
                            <w:sz w:val="18"/>
                          </w:rPr>
                          <w:t>Component</w:t>
                        </w:r>
                      </w:p>
                    </w:tc>
                    <w:tc>
                      <w:tcPr>
                        <w:tcW w:w="3006" w:type="dxa"/>
                        <w:tcBorders>
                          <w:top w:val="single" w:sz="12" w:space="0" w:color="1F6B16"/>
                          <w:bottom w:val="single" w:sz="6" w:space="0" w:color="69BD28"/>
                        </w:tcBorders>
                        <w:shd w:val="clear" w:color="auto" w:fill="006A4D"/>
                      </w:tcPr>
                      <w:p>
                        <w:pPr>
                          <w:pStyle w:val="TableParagraph"/>
                          <w:spacing w:before="70"/>
                          <w:ind w:left="739" w:right="810"/>
                          <w:rPr>
                            <w:b/>
                            <w:sz w:val="18"/>
                          </w:rPr>
                        </w:pPr>
                        <w:r>
                          <w:rPr>
                            <w:b/>
                            <w:color w:val="FFFFFF"/>
                            <w:w w:val="115"/>
                            <w:sz w:val="18"/>
                          </w:rPr>
                          <w:t>Value (INR Mn)</w:t>
                        </w:r>
                      </w:p>
                    </w:tc>
                  </w:tr>
                  <w:tr>
                    <w:trPr>
                      <w:trHeight w:val="364" w:hRule="atLeast"/>
                    </w:trPr>
                    <w:tc>
                      <w:tcPr>
                        <w:tcW w:w="5163" w:type="dxa"/>
                        <w:tcBorders>
                          <w:top w:val="single" w:sz="6" w:space="0" w:color="69BD28"/>
                          <w:bottom w:val="single" w:sz="6" w:space="0" w:color="69BD28"/>
                        </w:tcBorders>
                      </w:tcPr>
                      <w:p>
                        <w:pPr>
                          <w:pStyle w:val="TableParagraph"/>
                          <w:spacing w:before="78"/>
                          <w:ind w:left="742" w:right="801"/>
                          <w:rPr>
                            <w:sz w:val="18"/>
                          </w:rPr>
                        </w:pPr>
                        <w:r>
                          <w:rPr>
                            <w:w w:val="105"/>
                            <w:sz w:val="18"/>
                          </w:rPr>
                          <w:t>Equity Value – EEPL</w:t>
                        </w:r>
                      </w:p>
                    </w:tc>
                    <w:tc>
                      <w:tcPr>
                        <w:tcW w:w="3006" w:type="dxa"/>
                        <w:tcBorders>
                          <w:top w:val="single" w:sz="6" w:space="0" w:color="69BD28"/>
                          <w:bottom w:val="single" w:sz="6" w:space="0" w:color="69BD28"/>
                        </w:tcBorders>
                      </w:tcPr>
                      <w:p>
                        <w:pPr>
                          <w:pStyle w:val="TableParagraph"/>
                          <w:spacing w:before="78"/>
                          <w:ind w:left="739" w:right="809"/>
                          <w:rPr>
                            <w:sz w:val="18"/>
                          </w:rPr>
                        </w:pPr>
                        <w:r>
                          <w:rPr>
                            <w:w w:val="105"/>
                            <w:sz w:val="18"/>
                          </w:rPr>
                          <w:t>3,799</w:t>
                        </w:r>
                      </w:p>
                    </w:tc>
                  </w:tr>
                  <w:tr>
                    <w:trPr>
                      <w:trHeight w:val="390" w:hRule="atLeast"/>
                    </w:trPr>
                    <w:tc>
                      <w:tcPr>
                        <w:tcW w:w="5163" w:type="dxa"/>
                        <w:tcBorders>
                          <w:top w:val="single" w:sz="6" w:space="0" w:color="69BD28"/>
                        </w:tcBorders>
                      </w:tcPr>
                      <w:p>
                        <w:pPr>
                          <w:pStyle w:val="TableParagraph"/>
                          <w:spacing w:before="92"/>
                          <w:ind w:left="742" w:right="803"/>
                          <w:rPr>
                            <w:sz w:val="18"/>
                          </w:rPr>
                        </w:pPr>
                        <w:r>
                          <w:rPr>
                            <w:sz w:val="18"/>
                          </w:rPr>
                          <w:t>Add: Outstanding Debt as on 31</w:t>
                        </w:r>
                        <w:r>
                          <w:rPr>
                            <w:position w:val="6"/>
                            <w:sz w:val="11"/>
                          </w:rPr>
                          <w:t>st </w:t>
                        </w:r>
                        <w:r>
                          <w:rPr>
                            <w:sz w:val="18"/>
                          </w:rPr>
                          <w:t>March 2020</w:t>
                        </w:r>
                      </w:p>
                    </w:tc>
                    <w:tc>
                      <w:tcPr>
                        <w:tcW w:w="3006" w:type="dxa"/>
                        <w:tcBorders>
                          <w:top w:val="single" w:sz="6" w:space="0" w:color="69BD28"/>
                        </w:tcBorders>
                      </w:tcPr>
                      <w:p>
                        <w:pPr>
                          <w:pStyle w:val="TableParagraph"/>
                          <w:spacing w:before="92"/>
                          <w:ind w:left="739" w:right="809"/>
                          <w:rPr>
                            <w:sz w:val="18"/>
                          </w:rPr>
                        </w:pPr>
                        <w:r>
                          <w:rPr>
                            <w:w w:val="105"/>
                            <w:sz w:val="18"/>
                          </w:rPr>
                          <w:t>6,489</w:t>
                        </w:r>
                      </w:p>
                    </w:tc>
                  </w:tr>
                  <w:tr>
                    <w:trPr>
                      <w:trHeight w:val="393" w:hRule="atLeast"/>
                    </w:trPr>
                    <w:tc>
                      <w:tcPr>
                        <w:tcW w:w="5163" w:type="dxa"/>
                        <w:shd w:val="clear" w:color="auto" w:fill="69BD28"/>
                      </w:tcPr>
                      <w:p>
                        <w:pPr>
                          <w:pStyle w:val="TableParagraph"/>
                          <w:spacing w:before="95"/>
                          <w:ind w:left="1638"/>
                          <w:jc w:val="left"/>
                          <w:rPr>
                            <w:sz w:val="18"/>
                          </w:rPr>
                        </w:pPr>
                        <w:r>
                          <w:rPr>
                            <w:color w:val="FFFFFF"/>
                            <w:w w:val="105"/>
                            <w:sz w:val="18"/>
                          </w:rPr>
                          <w:t>Enterprise Value – EEPL</w:t>
                        </w:r>
                      </w:p>
                    </w:tc>
                    <w:tc>
                      <w:tcPr>
                        <w:tcW w:w="3006" w:type="dxa"/>
                        <w:shd w:val="clear" w:color="auto" w:fill="69BD28"/>
                      </w:tcPr>
                      <w:p>
                        <w:pPr>
                          <w:pStyle w:val="TableParagraph"/>
                          <w:spacing w:before="95"/>
                          <w:ind w:left="739" w:right="810"/>
                          <w:rPr>
                            <w:sz w:val="18"/>
                          </w:rPr>
                        </w:pPr>
                        <w:r>
                          <w:rPr>
                            <w:color w:val="FFFFFF"/>
                            <w:w w:val="110"/>
                            <w:sz w:val="18"/>
                          </w:rPr>
                          <w:t>10,289</w:t>
                        </w:r>
                      </w:p>
                    </w:tc>
                  </w:tr>
                </w:tbl>
                <w:p>
                  <w:pPr>
                    <w:pStyle w:val="BodyText"/>
                  </w:pPr>
                </w:p>
              </w:txbxContent>
            </v:textbox>
            <w10:wrap type="none"/>
          </v:shape>
        </w:pict>
      </w:r>
      <w:r>
        <w:rPr>
          <w:color w:val="006A4D"/>
          <w:sz w:val="18"/>
        </w:rPr>
        <w:t>Value Conclusion as of March 31, 2020:</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1910" w:h="16840"/>
          <w:pgMar w:header="720" w:footer="842" w:top="1520" w:bottom="1040" w:left="440" w:right="80"/>
        </w:sectPr>
      </w:pPr>
    </w:p>
    <w:p>
      <w:pPr>
        <w:pStyle w:val="BodyText"/>
        <w:spacing w:before="3"/>
        <w:rPr>
          <w:sz w:val="21"/>
        </w:rPr>
      </w:pPr>
    </w:p>
    <w:p>
      <w:pPr>
        <w:spacing w:line="321" w:lineRule="auto" w:before="0"/>
        <w:ind w:left="392" w:right="-13" w:firstLine="0"/>
        <w:jc w:val="left"/>
        <w:rPr>
          <w:sz w:val="18"/>
        </w:rPr>
      </w:pPr>
      <w:r>
        <w:rPr>
          <w:color w:val="006A4D"/>
          <w:sz w:val="18"/>
        </w:rPr>
        <w:t>Assumptions, </w:t>
      </w:r>
      <w:r>
        <w:rPr>
          <w:color w:val="006A4D"/>
          <w:w w:val="95"/>
          <w:sz w:val="18"/>
        </w:rPr>
        <w:t>Disclaimers, Limitations </w:t>
      </w:r>
      <w:r>
        <w:rPr>
          <w:color w:val="006A4D"/>
          <w:sz w:val="18"/>
        </w:rPr>
        <w:t>&amp; Qualifications</w:t>
      </w:r>
    </w:p>
    <w:p>
      <w:pPr>
        <w:pStyle w:val="BodyText"/>
        <w:spacing w:before="3"/>
        <w:rPr>
          <w:sz w:val="21"/>
        </w:rPr>
      </w:pPr>
      <w:r>
        <w:rPr/>
        <w:br w:type="column"/>
      </w:r>
      <w:r>
        <w:rPr>
          <w:sz w:val="21"/>
        </w:rPr>
      </w:r>
    </w:p>
    <w:p>
      <w:pPr>
        <w:spacing w:line="321" w:lineRule="auto" w:before="0"/>
        <w:ind w:left="297" w:right="659" w:firstLine="0"/>
        <w:jc w:val="both"/>
        <w:rPr>
          <w:sz w:val="18"/>
        </w:rPr>
      </w:pPr>
      <w:r>
        <w:rPr>
          <w:sz w:val="18"/>
        </w:rPr>
        <w:t>This valuation report is provided subject to assumptions, disclaimers, limitations and qualifications </w:t>
      </w:r>
      <w:r>
        <w:rPr>
          <w:w w:val="95"/>
          <w:sz w:val="18"/>
        </w:rPr>
        <w:t>detailed</w:t>
      </w:r>
      <w:r>
        <w:rPr>
          <w:spacing w:val="-12"/>
          <w:w w:val="95"/>
          <w:sz w:val="18"/>
        </w:rPr>
        <w:t> </w:t>
      </w:r>
      <w:r>
        <w:rPr>
          <w:w w:val="95"/>
          <w:sz w:val="18"/>
        </w:rPr>
        <w:t>throughout</w:t>
      </w:r>
      <w:r>
        <w:rPr>
          <w:spacing w:val="-14"/>
          <w:w w:val="95"/>
          <w:sz w:val="18"/>
        </w:rPr>
        <w:t> </w:t>
      </w:r>
      <w:r>
        <w:rPr>
          <w:w w:val="95"/>
          <w:sz w:val="18"/>
        </w:rPr>
        <w:t>this</w:t>
      </w:r>
      <w:r>
        <w:rPr>
          <w:spacing w:val="-11"/>
          <w:w w:val="95"/>
          <w:sz w:val="18"/>
        </w:rPr>
        <w:t> </w:t>
      </w:r>
      <w:r>
        <w:rPr>
          <w:w w:val="95"/>
          <w:sz w:val="18"/>
        </w:rPr>
        <w:t>report</w:t>
      </w:r>
      <w:r>
        <w:rPr>
          <w:spacing w:val="-14"/>
          <w:w w:val="95"/>
          <w:sz w:val="18"/>
        </w:rPr>
        <w:t> </w:t>
      </w:r>
      <w:r>
        <w:rPr>
          <w:w w:val="95"/>
          <w:sz w:val="18"/>
        </w:rPr>
        <w:t>which</w:t>
      </w:r>
      <w:r>
        <w:rPr>
          <w:spacing w:val="-12"/>
          <w:w w:val="95"/>
          <w:sz w:val="18"/>
        </w:rPr>
        <w:t> </w:t>
      </w:r>
      <w:r>
        <w:rPr>
          <w:w w:val="95"/>
          <w:sz w:val="18"/>
        </w:rPr>
        <w:t>are</w:t>
      </w:r>
      <w:r>
        <w:rPr>
          <w:spacing w:val="-13"/>
          <w:w w:val="95"/>
          <w:sz w:val="18"/>
        </w:rPr>
        <w:t> </w:t>
      </w:r>
      <w:r>
        <w:rPr>
          <w:w w:val="95"/>
          <w:sz w:val="18"/>
        </w:rPr>
        <w:t>made</w:t>
      </w:r>
      <w:r>
        <w:rPr>
          <w:spacing w:val="-11"/>
          <w:w w:val="95"/>
          <w:sz w:val="18"/>
        </w:rPr>
        <w:t> </w:t>
      </w:r>
      <w:r>
        <w:rPr>
          <w:w w:val="95"/>
          <w:sz w:val="18"/>
        </w:rPr>
        <w:t>in</w:t>
      </w:r>
      <w:r>
        <w:rPr>
          <w:spacing w:val="-7"/>
          <w:w w:val="95"/>
          <w:sz w:val="18"/>
        </w:rPr>
        <w:t> </w:t>
      </w:r>
      <w:r>
        <w:rPr>
          <w:w w:val="95"/>
          <w:sz w:val="18"/>
        </w:rPr>
        <w:t>conjunction</w:t>
      </w:r>
      <w:r>
        <w:rPr>
          <w:spacing w:val="-14"/>
          <w:w w:val="95"/>
          <w:sz w:val="18"/>
        </w:rPr>
        <w:t> </w:t>
      </w:r>
      <w:r>
        <w:rPr>
          <w:w w:val="95"/>
          <w:sz w:val="18"/>
        </w:rPr>
        <w:t>with</w:t>
      </w:r>
      <w:r>
        <w:rPr>
          <w:spacing w:val="-11"/>
          <w:w w:val="95"/>
          <w:sz w:val="18"/>
        </w:rPr>
        <w:t> </w:t>
      </w:r>
      <w:r>
        <w:rPr>
          <w:w w:val="95"/>
          <w:sz w:val="18"/>
        </w:rPr>
        <w:t>those</w:t>
      </w:r>
      <w:r>
        <w:rPr>
          <w:spacing w:val="-12"/>
          <w:w w:val="95"/>
          <w:sz w:val="18"/>
        </w:rPr>
        <w:t> </w:t>
      </w:r>
      <w:r>
        <w:rPr>
          <w:w w:val="95"/>
          <w:sz w:val="18"/>
        </w:rPr>
        <w:t>included</w:t>
      </w:r>
      <w:r>
        <w:rPr>
          <w:spacing w:val="-12"/>
          <w:w w:val="95"/>
          <w:sz w:val="18"/>
        </w:rPr>
        <w:t> </w:t>
      </w:r>
      <w:r>
        <w:rPr>
          <w:w w:val="95"/>
          <w:sz w:val="18"/>
        </w:rPr>
        <w:t>within</w:t>
      </w:r>
      <w:r>
        <w:rPr>
          <w:spacing w:val="-11"/>
          <w:w w:val="95"/>
          <w:sz w:val="18"/>
        </w:rPr>
        <w:t> </w:t>
      </w:r>
      <w:r>
        <w:rPr>
          <w:w w:val="95"/>
          <w:sz w:val="18"/>
        </w:rPr>
        <w:t>the</w:t>
      </w:r>
      <w:r>
        <w:rPr>
          <w:spacing w:val="-12"/>
          <w:w w:val="95"/>
          <w:sz w:val="18"/>
        </w:rPr>
        <w:t> </w:t>
      </w:r>
      <w:r>
        <w:rPr>
          <w:w w:val="95"/>
          <w:sz w:val="18"/>
        </w:rPr>
        <w:t>Assumptions, </w:t>
      </w:r>
      <w:r>
        <w:rPr>
          <w:sz w:val="18"/>
        </w:rPr>
        <w:t>Disclaimers,</w:t>
      </w:r>
      <w:r>
        <w:rPr>
          <w:spacing w:val="-18"/>
          <w:sz w:val="18"/>
        </w:rPr>
        <w:t> </w:t>
      </w:r>
      <w:r>
        <w:rPr>
          <w:sz w:val="18"/>
        </w:rPr>
        <w:t>Limitations</w:t>
      </w:r>
      <w:r>
        <w:rPr>
          <w:spacing w:val="-17"/>
          <w:sz w:val="18"/>
        </w:rPr>
        <w:t> </w:t>
      </w:r>
      <w:r>
        <w:rPr>
          <w:sz w:val="18"/>
        </w:rPr>
        <w:t>&amp;</w:t>
      </w:r>
      <w:r>
        <w:rPr>
          <w:spacing w:val="-18"/>
          <w:sz w:val="18"/>
        </w:rPr>
        <w:t> </w:t>
      </w:r>
      <w:r>
        <w:rPr>
          <w:sz w:val="18"/>
        </w:rPr>
        <w:t>Qualifications</w:t>
      </w:r>
      <w:r>
        <w:rPr>
          <w:spacing w:val="-18"/>
          <w:sz w:val="18"/>
        </w:rPr>
        <w:t> </w:t>
      </w:r>
      <w:r>
        <w:rPr>
          <w:sz w:val="18"/>
        </w:rPr>
        <w:t>section</w:t>
      </w:r>
      <w:r>
        <w:rPr>
          <w:spacing w:val="-17"/>
          <w:sz w:val="18"/>
        </w:rPr>
        <w:t> </w:t>
      </w:r>
      <w:r>
        <w:rPr>
          <w:sz w:val="18"/>
        </w:rPr>
        <w:t>located</w:t>
      </w:r>
      <w:r>
        <w:rPr>
          <w:spacing w:val="-17"/>
          <w:sz w:val="18"/>
        </w:rPr>
        <w:t> </w:t>
      </w:r>
      <w:r>
        <w:rPr>
          <w:sz w:val="18"/>
        </w:rPr>
        <w:t>within</w:t>
      </w:r>
      <w:r>
        <w:rPr>
          <w:spacing w:val="-17"/>
          <w:sz w:val="18"/>
        </w:rPr>
        <w:t> </w:t>
      </w:r>
      <w:r>
        <w:rPr>
          <w:sz w:val="18"/>
        </w:rPr>
        <w:t>this</w:t>
      </w:r>
      <w:r>
        <w:rPr>
          <w:spacing w:val="-18"/>
          <w:sz w:val="18"/>
        </w:rPr>
        <w:t> </w:t>
      </w:r>
      <w:r>
        <w:rPr>
          <w:sz w:val="18"/>
        </w:rPr>
        <w:t>report.</w:t>
      </w:r>
      <w:r>
        <w:rPr>
          <w:spacing w:val="-17"/>
          <w:sz w:val="18"/>
        </w:rPr>
        <w:t> </w:t>
      </w:r>
      <w:r>
        <w:rPr>
          <w:sz w:val="18"/>
        </w:rPr>
        <w:t>Reliance</w:t>
      </w:r>
      <w:r>
        <w:rPr>
          <w:spacing w:val="-17"/>
          <w:sz w:val="18"/>
        </w:rPr>
        <w:t> </w:t>
      </w:r>
      <w:r>
        <w:rPr>
          <w:sz w:val="18"/>
        </w:rPr>
        <w:t>on</w:t>
      </w:r>
      <w:r>
        <w:rPr>
          <w:spacing w:val="-17"/>
          <w:sz w:val="18"/>
        </w:rPr>
        <w:t> </w:t>
      </w:r>
      <w:r>
        <w:rPr>
          <w:sz w:val="18"/>
        </w:rPr>
        <w:t>this</w:t>
      </w:r>
      <w:r>
        <w:rPr>
          <w:spacing w:val="-17"/>
          <w:sz w:val="18"/>
        </w:rPr>
        <w:t> </w:t>
      </w:r>
      <w:r>
        <w:rPr>
          <w:sz w:val="18"/>
        </w:rPr>
        <w:t>report</w:t>
      </w:r>
      <w:r>
        <w:rPr>
          <w:spacing w:val="-17"/>
          <w:sz w:val="18"/>
        </w:rPr>
        <w:t> </w:t>
      </w:r>
      <w:r>
        <w:rPr>
          <w:sz w:val="18"/>
        </w:rPr>
        <w:t>and extension</w:t>
      </w:r>
      <w:r>
        <w:rPr>
          <w:spacing w:val="-20"/>
          <w:sz w:val="18"/>
        </w:rPr>
        <w:t> </w:t>
      </w:r>
      <w:r>
        <w:rPr>
          <w:sz w:val="18"/>
        </w:rPr>
        <w:t>of</w:t>
      </w:r>
      <w:r>
        <w:rPr>
          <w:spacing w:val="-20"/>
          <w:sz w:val="18"/>
        </w:rPr>
        <w:t> </w:t>
      </w:r>
      <w:r>
        <w:rPr>
          <w:sz w:val="18"/>
        </w:rPr>
        <w:t>our</w:t>
      </w:r>
      <w:r>
        <w:rPr>
          <w:spacing w:val="-20"/>
          <w:sz w:val="18"/>
        </w:rPr>
        <w:t> </w:t>
      </w:r>
      <w:r>
        <w:rPr>
          <w:sz w:val="18"/>
        </w:rPr>
        <w:t>liability</w:t>
      </w:r>
      <w:r>
        <w:rPr>
          <w:spacing w:val="-19"/>
          <w:sz w:val="18"/>
        </w:rPr>
        <w:t> </w:t>
      </w:r>
      <w:r>
        <w:rPr>
          <w:sz w:val="18"/>
        </w:rPr>
        <w:t>is</w:t>
      </w:r>
      <w:r>
        <w:rPr>
          <w:spacing w:val="-20"/>
          <w:sz w:val="18"/>
        </w:rPr>
        <w:t> </w:t>
      </w:r>
      <w:r>
        <w:rPr>
          <w:sz w:val="18"/>
        </w:rPr>
        <w:t>conditional</w:t>
      </w:r>
      <w:r>
        <w:rPr>
          <w:spacing w:val="-20"/>
          <w:sz w:val="18"/>
        </w:rPr>
        <w:t> </w:t>
      </w:r>
      <w:r>
        <w:rPr>
          <w:sz w:val="18"/>
        </w:rPr>
        <w:t>upon</w:t>
      </w:r>
      <w:r>
        <w:rPr>
          <w:spacing w:val="-20"/>
          <w:sz w:val="18"/>
        </w:rPr>
        <w:t> </w:t>
      </w:r>
      <w:r>
        <w:rPr>
          <w:sz w:val="18"/>
        </w:rPr>
        <w:t>the</w:t>
      </w:r>
      <w:r>
        <w:rPr>
          <w:spacing w:val="-19"/>
          <w:sz w:val="18"/>
        </w:rPr>
        <w:t> </w:t>
      </w:r>
      <w:r>
        <w:rPr>
          <w:sz w:val="18"/>
        </w:rPr>
        <w:t>reader’s</w:t>
      </w:r>
      <w:r>
        <w:rPr>
          <w:spacing w:val="-19"/>
          <w:sz w:val="18"/>
        </w:rPr>
        <w:t> </w:t>
      </w:r>
      <w:r>
        <w:rPr>
          <w:sz w:val="18"/>
        </w:rPr>
        <w:t>acknowledgement</w:t>
      </w:r>
      <w:r>
        <w:rPr>
          <w:spacing w:val="-21"/>
          <w:sz w:val="18"/>
        </w:rPr>
        <w:t> </w:t>
      </w:r>
      <w:r>
        <w:rPr>
          <w:sz w:val="18"/>
        </w:rPr>
        <w:t>and</w:t>
      </w:r>
      <w:r>
        <w:rPr>
          <w:spacing w:val="-19"/>
          <w:sz w:val="18"/>
        </w:rPr>
        <w:t> </w:t>
      </w:r>
      <w:r>
        <w:rPr>
          <w:sz w:val="18"/>
        </w:rPr>
        <w:t>understanding</w:t>
      </w:r>
      <w:r>
        <w:rPr>
          <w:spacing w:val="-13"/>
          <w:sz w:val="18"/>
        </w:rPr>
        <w:t> </w:t>
      </w:r>
      <w:r>
        <w:rPr>
          <w:sz w:val="18"/>
        </w:rPr>
        <w:t>of</w:t>
      </w:r>
      <w:r>
        <w:rPr>
          <w:spacing w:val="-19"/>
          <w:sz w:val="18"/>
        </w:rPr>
        <w:t> </w:t>
      </w:r>
      <w:r>
        <w:rPr>
          <w:sz w:val="18"/>
        </w:rPr>
        <w:t>these statements.</w:t>
      </w:r>
      <w:r>
        <w:rPr>
          <w:spacing w:val="-15"/>
          <w:sz w:val="18"/>
        </w:rPr>
        <w:t> </w:t>
      </w:r>
      <w:r>
        <w:rPr>
          <w:sz w:val="18"/>
        </w:rPr>
        <w:t>This</w:t>
      </w:r>
      <w:r>
        <w:rPr>
          <w:spacing w:val="-13"/>
          <w:sz w:val="18"/>
        </w:rPr>
        <w:t> </w:t>
      </w:r>
      <w:r>
        <w:rPr>
          <w:sz w:val="18"/>
        </w:rPr>
        <w:t>valuation</w:t>
      </w:r>
      <w:r>
        <w:rPr>
          <w:spacing w:val="-13"/>
          <w:sz w:val="18"/>
        </w:rPr>
        <w:t> </w:t>
      </w:r>
      <w:r>
        <w:rPr>
          <w:sz w:val="18"/>
        </w:rPr>
        <w:t>is</w:t>
      </w:r>
      <w:r>
        <w:rPr>
          <w:spacing w:val="-14"/>
          <w:sz w:val="18"/>
        </w:rPr>
        <w:t> </w:t>
      </w:r>
      <w:r>
        <w:rPr>
          <w:sz w:val="18"/>
        </w:rPr>
        <w:t>for</w:t>
      </w:r>
      <w:r>
        <w:rPr>
          <w:spacing w:val="-15"/>
          <w:sz w:val="18"/>
        </w:rPr>
        <w:t> </w:t>
      </w:r>
      <w:r>
        <w:rPr>
          <w:sz w:val="18"/>
        </w:rPr>
        <w:t>the</w:t>
      </w:r>
      <w:r>
        <w:rPr>
          <w:spacing w:val="-13"/>
          <w:sz w:val="18"/>
        </w:rPr>
        <w:t> </w:t>
      </w:r>
      <w:r>
        <w:rPr>
          <w:sz w:val="18"/>
        </w:rPr>
        <w:t>use</w:t>
      </w:r>
      <w:r>
        <w:rPr>
          <w:spacing w:val="-13"/>
          <w:sz w:val="18"/>
        </w:rPr>
        <w:t> </w:t>
      </w:r>
      <w:r>
        <w:rPr>
          <w:sz w:val="18"/>
        </w:rPr>
        <w:t>of</w:t>
      </w:r>
      <w:r>
        <w:rPr>
          <w:spacing w:val="-14"/>
          <w:sz w:val="18"/>
        </w:rPr>
        <w:t> </w:t>
      </w:r>
      <w:r>
        <w:rPr>
          <w:sz w:val="18"/>
        </w:rPr>
        <w:t>the</w:t>
      </w:r>
      <w:r>
        <w:rPr>
          <w:spacing w:val="-13"/>
          <w:sz w:val="18"/>
        </w:rPr>
        <w:t> </w:t>
      </w:r>
      <w:r>
        <w:rPr>
          <w:sz w:val="18"/>
        </w:rPr>
        <w:t>party</w:t>
      </w:r>
      <w:r>
        <w:rPr>
          <w:spacing w:val="-14"/>
          <w:sz w:val="18"/>
        </w:rPr>
        <w:t> </w:t>
      </w:r>
      <w:r>
        <w:rPr>
          <w:sz w:val="18"/>
        </w:rPr>
        <w:t>to</w:t>
      </w:r>
      <w:r>
        <w:rPr>
          <w:spacing w:val="-14"/>
          <w:sz w:val="18"/>
        </w:rPr>
        <w:t> </w:t>
      </w:r>
      <w:r>
        <w:rPr>
          <w:sz w:val="18"/>
        </w:rPr>
        <w:t>whom</w:t>
      </w:r>
      <w:r>
        <w:rPr>
          <w:spacing w:val="-13"/>
          <w:sz w:val="18"/>
        </w:rPr>
        <w:t> </w:t>
      </w:r>
      <w:r>
        <w:rPr>
          <w:sz w:val="18"/>
        </w:rPr>
        <w:t>it</w:t>
      </w:r>
      <w:r>
        <w:rPr>
          <w:spacing w:val="-14"/>
          <w:sz w:val="18"/>
        </w:rPr>
        <w:t> </w:t>
      </w:r>
      <w:r>
        <w:rPr>
          <w:sz w:val="18"/>
        </w:rPr>
        <w:t>is</w:t>
      </w:r>
      <w:r>
        <w:rPr>
          <w:spacing w:val="-13"/>
          <w:sz w:val="18"/>
        </w:rPr>
        <w:t> </w:t>
      </w:r>
      <w:r>
        <w:rPr>
          <w:sz w:val="18"/>
        </w:rPr>
        <w:t>addressed</w:t>
      </w:r>
      <w:r>
        <w:rPr>
          <w:spacing w:val="-14"/>
          <w:sz w:val="18"/>
        </w:rPr>
        <w:t> </w:t>
      </w:r>
      <w:r>
        <w:rPr>
          <w:sz w:val="18"/>
        </w:rPr>
        <w:t>and</w:t>
      </w:r>
      <w:r>
        <w:rPr>
          <w:spacing w:val="-14"/>
          <w:sz w:val="18"/>
        </w:rPr>
        <w:t> </w:t>
      </w:r>
      <w:r>
        <w:rPr>
          <w:sz w:val="18"/>
        </w:rPr>
        <w:t>for</w:t>
      </w:r>
      <w:r>
        <w:rPr>
          <w:spacing w:val="-15"/>
          <w:sz w:val="18"/>
        </w:rPr>
        <w:t> </w:t>
      </w:r>
      <w:r>
        <w:rPr>
          <w:sz w:val="18"/>
        </w:rPr>
        <w:t>no</w:t>
      </w:r>
      <w:r>
        <w:rPr>
          <w:spacing w:val="-13"/>
          <w:sz w:val="18"/>
        </w:rPr>
        <w:t> </w:t>
      </w:r>
      <w:r>
        <w:rPr>
          <w:sz w:val="18"/>
        </w:rPr>
        <w:t>other</w:t>
      </w:r>
      <w:r>
        <w:rPr>
          <w:spacing w:val="-15"/>
          <w:sz w:val="18"/>
        </w:rPr>
        <w:t> </w:t>
      </w:r>
      <w:r>
        <w:rPr>
          <w:sz w:val="18"/>
        </w:rPr>
        <w:t>purpose. No responsibility is accepted to any third party who may use or rely on the whole or any part of the </w:t>
      </w:r>
      <w:r>
        <w:rPr>
          <w:w w:val="95"/>
          <w:sz w:val="18"/>
        </w:rPr>
        <w:t>content</w:t>
      </w:r>
      <w:r>
        <w:rPr>
          <w:spacing w:val="-17"/>
          <w:w w:val="95"/>
          <w:sz w:val="18"/>
        </w:rPr>
        <w:t> </w:t>
      </w:r>
      <w:r>
        <w:rPr>
          <w:w w:val="95"/>
          <w:sz w:val="18"/>
        </w:rPr>
        <w:t>of</w:t>
      </w:r>
      <w:r>
        <w:rPr>
          <w:spacing w:val="-14"/>
          <w:w w:val="95"/>
          <w:sz w:val="18"/>
        </w:rPr>
        <w:t> </w:t>
      </w:r>
      <w:r>
        <w:rPr>
          <w:w w:val="95"/>
          <w:sz w:val="18"/>
        </w:rPr>
        <w:t>this</w:t>
      </w:r>
      <w:r>
        <w:rPr>
          <w:spacing w:val="-15"/>
          <w:w w:val="95"/>
          <w:sz w:val="18"/>
        </w:rPr>
        <w:t> </w:t>
      </w:r>
      <w:r>
        <w:rPr>
          <w:w w:val="95"/>
          <w:sz w:val="18"/>
        </w:rPr>
        <w:t>valuation.</w:t>
      </w:r>
      <w:r>
        <w:rPr>
          <w:spacing w:val="-15"/>
          <w:w w:val="95"/>
          <w:sz w:val="18"/>
        </w:rPr>
        <w:t> </w:t>
      </w:r>
      <w:r>
        <w:rPr>
          <w:w w:val="95"/>
          <w:sz w:val="18"/>
        </w:rPr>
        <w:t>The</w:t>
      </w:r>
      <w:r>
        <w:rPr>
          <w:spacing w:val="-14"/>
          <w:w w:val="95"/>
          <w:sz w:val="18"/>
        </w:rPr>
        <w:t> </w:t>
      </w:r>
      <w:r>
        <w:rPr>
          <w:w w:val="95"/>
          <w:sz w:val="18"/>
        </w:rPr>
        <w:t>valuer</w:t>
      </w:r>
      <w:r>
        <w:rPr>
          <w:spacing w:val="-15"/>
          <w:w w:val="95"/>
          <w:sz w:val="18"/>
        </w:rPr>
        <w:t> </w:t>
      </w:r>
      <w:r>
        <w:rPr>
          <w:w w:val="95"/>
          <w:sz w:val="18"/>
        </w:rPr>
        <w:t>has</w:t>
      </w:r>
      <w:r>
        <w:rPr>
          <w:spacing w:val="-9"/>
          <w:w w:val="95"/>
          <w:sz w:val="18"/>
        </w:rPr>
        <w:t> </w:t>
      </w:r>
      <w:r>
        <w:rPr>
          <w:w w:val="95"/>
          <w:sz w:val="18"/>
        </w:rPr>
        <w:t>no</w:t>
      </w:r>
      <w:r>
        <w:rPr>
          <w:spacing w:val="-15"/>
          <w:w w:val="95"/>
          <w:sz w:val="18"/>
        </w:rPr>
        <w:t> </w:t>
      </w:r>
      <w:r>
        <w:rPr>
          <w:w w:val="95"/>
          <w:sz w:val="18"/>
        </w:rPr>
        <w:t>pecuniary</w:t>
      </w:r>
      <w:r>
        <w:rPr>
          <w:spacing w:val="-14"/>
          <w:w w:val="95"/>
          <w:sz w:val="18"/>
        </w:rPr>
        <w:t> </w:t>
      </w:r>
      <w:r>
        <w:rPr>
          <w:w w:val="95"/>
          <w:sz w:val="18"/>
        </w:rPr>
        <w:t>interest</w:t>
      </w:r>
      <w:r>
        <w:rPr>
          <w:spacing w:val="-16"/>
          <w:w w:val="95"/>
          <w:sz w:val="18"/>
        </w:rPr>
        <w:t> </w:t>
      </w:r>
      <w:r>
        <w:rPr>
          <w:w w:val="95"/>
          <w:sz w:val="18"/>
        </w:rPr>
        <w:t>that</w:t>
      </w:r>
      <w:r>
        <w:rPr>
          <w:spacing w:val="-16"/>
          <w:w w:val="95"/>
          <w:sz w:val="18"/>
        </w:rPr>
        <w:t> </w:t>
      </w:r>
      <w:r>
        <w:rPr>
          <w:w w:val="95"/>
          <w:sz w:val="18"/>
        </w:rPr>
        <w:t>would</w:t>
      </w:r>
      <w:r>
        <w:rPr>
          <w:spacing w:val="-16"/>
          <w:w w:val="95"/>
          <w:sz w:val="18"/>
        </w:rPr>
        <w:t> </w:t>
      </w:r>
      <w:r>
        <w:rPr>
          <w:w w:val="95"/>
          <w:sz w:val="18"/>
        </w:rPr>
        <w:t>conflict</w:t>
      </w:r>
      <w:r>
        <w:rPr>
          <w:spacing w:val="-16"/>
          <w:w w:val="95"/>
          <w:sz w:val="18"/>
        </w:rPr>
        <w:t> </w:t>
      </w:r>
      <w:r>
        <w:rPr>
          <w:w w:val="95"/>
          <w:sz w:val="18"/>
        </w:rPr>
        <w:t>with</w:t>
      </w:r>
      <w:r>
        <w:rPr>
          <w:spacing w:val="-14"/>
          <w:w w:val="95"/>
          <w:sz w:val="18"/>
        </w:rPr>
        <w:t> </w:t>
      </w:r>
      <w:r>
        <w:rPr>
          <w:w w:val="95"/>
          <w:sz w:val="18"/>
        </w:rPr>
        <w:t>the</w:t>
      </w:r>
      <w:r>
        <w:rPr>
          <w:spacing w:val="-15"/>
          <w:w w:val="95"/>
          <w:sz w:val="18"/>
        </w:rPr>
        <w:t> </w:t>
      </w:r>
      <w:r>
        <w:rPr>
          <w:w w:val="95"/>
          <w:sz w:val="18"/>
        </w:rPr>
        <w:t>proper</w:t>
      </w:r>
      <w:r>
        <w:rPr>
          <w:spacing w:val="-15"/>
          <w:w w:val="95"/>
          <w:sz w:val="18"/>
        </w:rPr>
        <w:t> </w:t>
      </w:r>
      <w:r>
        <w:rPr>
          <w:w w:val="95"/>
          <w:sz w:val="18"/>
        </w:rPr>
        <w:t>valuation </w:t>
      </w:r>
      <w:r>
        <w:rPr>
          <w:sz w:val="18"/>
        </w:rPr>
        <w:t>of the</w:t>
      </w:r>
      <w:r>
        <w:rPr>
          <w:spacing w:val="-4"/>
          <w:sz w:val="18"/>
        </w:rPr>
        <w:t> </w:t>
      </w:r>
      <w:r>
        <w:rPr>
          <w:sz w:val="18"/>
        </w:rPr>
        <w:t>property.</w:t>
      </w:r>
    </w:p>
    <w:p>
      <w:pPr>
        <w:spacing w:after="0" w:line="321" w:lineRule="auto"/>
        <w:jc w:val="both"/>
        <w:rPr>
          <w:sz w:val="18"/>
        </w:rPr>
        <w:sectPr>
          <w:type w:val="continuous"/>
          <w:pgSz w:w="11910" w:h="16840"/>
          <w:pgMar w:top="800" w:bottom="280" w:left="440" w:right="80"/>
          <w:cols w:num="2" w:equalWidth="0">
            <w:col w:w="2236" w:space="40"/>
            <w:col w:w="9114"/>
          </w:cols>
        </w:sectPr>
      </w:pPr>
    </w:p>
    <w:p>
      <w:pPr>
        <w:pStyle w:val="BodyText"/>
        <w:spacing w:before="5"/>
      </w:pPr>
    </w:p>
    <w:p>
      <w:pPr>
        <w:pStyle w:val="ListParagraph"/>
        <w:numPr>
          <w:ilvl w:val="1"/>
          <w:numId w:val="26"/>
        </w:numPr>
        <w:tabs>
          <w:tab w:pos="857" w:val="left" w:leader="none"/>
        </w:tabs>
        <w:spacing w:line="240" w:lineRule="auto" w:before="106" w:after="0"/>
        <w:ind w:left="856" w:right="0" w:hanging="577"/>
        <w:jc w:val="left"/>
        <w:rPr>
          <w:sz w:val="22"/>
        </w:rPr>
      </w:pPr>
      <w:bookmarkStart w:name="_bookmark42" w:id="84"/>
      <w:bookmarkEnd w:id="84"/>
      <w:r>
        <w:rPr/>
      </w:r>
      <w:bookmarkStart w:name="_bookmark42" w:id="85"/>
      <w:bookmarkEnd w:id="85"/>
      <w:r>
        <w:rPr>
          <w:color w:val="1F6647"/>
          <w:w w:val="105"/>
          <w:sz w:val="22"/>
        </w:rPr>
        <w:t>V</w:t>
      </w:r>
      <w:r>
        <w:rPr>
          <w:color w:val="1F6647"/>
          <w:w w:val="105"/>
          <w:sz w:val="22"/>
        </w:rPr>
        <w:t>alue</w:t>
      </w:r>
      <w:r>
        <w:rPr>
          <w:color w:val="1F6647"/>
          <w:spacing w:val="-7"/>
          <w:w w:val="105"/>
          <w:sz w:val="22"/>
        </w:rPr>
        <w:t> </w:t>
      </w:r>
      <w:r>
        <w:rPr>
          <w:color w:val="1F6647"/>
          <w:w w:val="105"/>
          <w:sz w:val="22"/>
        </w:rPr>
        <w:t>Summary</w:t>
      </w:r>
    </w:p>
    <w:p>
      <w:pPr>
        <w:pStyle w:val="BodyText"/>
        <w:spacing w:line="321" w:lineRule="auto" w:before="208"/>
        <w:ind w:left="914" w:right="422"/>
      </w:pPr>
      <w:r>
        <w:rPr/>
        <w:t>The</w:t>
      </w:r>
      <w:r>
        <w:rPr>
          <w:spacing w:val="-41"/>
        </w:rPr>
        <w:t> </w:t>
      </w:r>
      <w:r>
        <w:rPr/>
        <w:t>following</w:t>
      </w:r>
      <w:r>
        <w:rPr>
          <w:spacing w:val="-40"/>
        </w:rPr>
        <w:t> </w:t>
      </w:r>
      <w:r>
        <w:rPr/>
        <w:t>table</w:t>
      </w:r>
      <w:r>
        <w:rPr>
          <w:spacing w:val="-39"/>
        </w:rPr>
        <w:t> </w:t>
      </w:r>
      <w:r>
        <w:rPr/>
        <w:t>highlights</w:t>
      </w:r>
      <w:r>
        <w:rPr>
          <w:spacing w:val="-39"/>
        </w:rPr>
        <w:t> </w:t>
      </w:r>
      <w:r>
        <w:rPr/>
        <w:t>the</w:t>
      </w:r>
      <w:r>
        <w:rPr>
          <w:spacing w:val="-41"/>
        </w:rPr>
        <w:t> </w:t>
      </w:r>
      <w:r>
        <w:rPr/>
        <w:t>summary</w:t>
      </w:r>
      <w:r>
        <w:rPr>
          <w:spacing w:val="-39"/>
        </w:rPr>
        <w:t> </w:t>
      </w:r>
      <w:r>
        <w:rPr/>
        <w:t>of</w:t>
      </w:r>
      <w:r>
        <w:rPr>
          <w:spacing w:val="-40"/>
        </w:rPr>
        <w:t> </w:t>
      </w:r>
      <w:r>
        <w:rPr/>
        <w:t>the</w:t>
      </w:r>
      <w:r>
        <w:rPr>
          <w:spacing w:val="-41"/>
        </w:rPr>
        <w:t> </w:t>
      </w:r>
      <w:r>
        <w:rPr/>
        <w:t>market</w:t>
      </w:r>
      <w:r>
        <w:rPr>
          <w:spacing w:val="-39"/>
        </w:rPr>
        <w:t> </w:t>
      </w:r>
      <w:r>
        <w:rPr/>
        <w:t>value</w:t>
      </w:r>
      <w:r>
        <w:rPr>
          <w:spacing w:val="-40"/>
        </w:rPr>
        <w:t> </w:t>
      </w:r>
      <w:r>
        <w:rPr/>
        <w:t>of</w:t>
      </w:r>
      <w:r>
        <w:rPr>
          <w:spacing w:val="-39"/>
        </w:rPr>
        <w:t> </w:t>
      </w:r>
      <w:r>
        <w:rPr/>
        <w:t>each</w:t>
      </w:r>
      <w:r>
        <w:rPr>
          <w:spacing w:val="-40"/>
        </w:rPr>
        <w:t> </w:t>
      </w:r>
      <w:r>
        <w:rPr/>
        <w:t>property</w:t>
      </w:r>
      <w:r>
        <w:rPr>
          <w:spacing w:val="-39"/>
        </w:rPr>
        <w:t> </w:t>
      </w:r>
      <w:r>
        <w:rPr/>
        <w:t>part</w:t>
      </w:r>
      <w:r>
        <w:rPr>
          <w:spacing w:val="-39"/>
        </w:rPr>
        <w:t> </w:t>
      </w:r>
      <w:r>
        <w:rPr/>
        <w:t>of</w:t>
      </w:r>
      <w:r>
        <w:rPr>
          <w:spacing w:val="-40"/>
        </w:rPr>
        <w:t> </w:t>
      </w:r>
      <w:r>
        <w:rPr/>
        <w:t>the</w:t>
      </w:r>
      <w:r>
        <w:rPr>
          <w:spacing w:val="-41"/>
        </w:rPr>
        <w:t> </w:t>
      </w:r>
      <w:r>
        <w:rPr/>
        <w:t>said</w:t>
      </w:r>
      <w:r>
        <w:rPr>
          <w:spacing w:val="-37"/>
        </w:rPr>
        <w:t> </w:t>
      </w:r>
      <w:r>
        <w:rPr/>
        <w:t>Embassy REIT portfolio as on March 31,</w:t>
      </w:r>
      <w:r>
        <w:rPr>
          <w:spacing w:val="-13"/>
        </w:rPr>
        <w:t> </w:t>
      </w:r>
      <w:r>
        <w:rPr/>
        <w:t>2020:</w:t>
      </w:r>
    </w:p>
    <w:p>
      <w:pPr>
        <w:pStyle w:val="BodyText"/>
        <w:spacing w:before="2"/>
        <w:rPr>
          <w:sz w:val="20"/>
        </w:rPr>
      </w:pPr>
    </w:p>
    <w:tbl>
      <w:tblPr>
        <w:tblW w:w="0" w:type="auto"/>
        <w:jc w:val="left"/>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07"/>
        <w:gridCol w:w="1890"/>
        <w:gridCol w:w="2277"/>
        <w:gridCol w:w="1195"/>
        <w:gridCol w:w="1688"/>
        <w:gridCol w:w="886"/>
        <w:gridCol w:w="1268"/>
      </w:tblGrid>
      <w:tr>
        <w:trPr>
          <w:trHeight w:val="400" w:hRule="atLeast"/>
        </w:trPr>
        <w:tc>
          <w:tcPr>
            <w:tcW w:w="1607" w:type="dxa"/>
            <w:vMerge w:val="restart"/>
            <w:tcBorders>
              <w:bottom w:val="single" w:sz="8" w:space="0" w:color="5FFF00"/>
            </w:tcBorders>
            <w:shd w:val="clear" w:color="auto" w:fill="16772B"/>
          </w:tcPr>
          <w:p>
            <w:pPr>
              <w:pStyle w:val="TableParagraph"/>
              <w:jc w:val="left"/>
              <w:rPr>
                <w:sz w:val="18"/>
              </w:rPr>
            </w:pPr>
          </w:p>
          <w:p>
            <w:pPr>
              <w:pStyle w:val="TableParagraph"/>
              <w:spacing w:before="2"/>
              <w:jc w:val="left"/>
              <w:rPr>
                <w:sz w:val="16"/>
              </w:rPr>
            </w:pPr>
          </w:p>
          <w:p>
            <w:pPr>
              <w:pStyle w:val="TableParagraph"/>
              <w:ind w:left="492"/>
              <w:jc w:val="left"/>
              <w:rPr>
                <w:sz w:val="16"/>
              </w:rPr>
            </w:pPr>
            <w:r>
              <w:rPr>
                <w:color w:val="FFFFFF"/>
                <w:sz w:val="16"/>
              </w:rPr>
              <w:t>Property</w:t>
            </w:r>
          </w:p>
        </w:tc>
        <w:tc>
          <w:tcPr>
            <w:tcW w:w="1890" w:type="dxa"/>
            <w:vMerge w:val="restart"/>
            <w:tcBorders>
              <w:bottom w:val="single" w:sz="8" w:space="0" w:color="5FFF00"/>
            </w:tcBorders>
            <w:shd w:val="clear" w:color="auto" w:fill="16772B"/>
          </w:tcPr>
          <w:p>
            <w:pPr>
              <w:pStyle w:val="TableParagraph"/>
              <w:jc w:val="left"/>
              <w:rPr>
                <w:sz w:val="18"/>
              </w:rPr>
            </w:pPr>
          </w:p>
          <w:p>
            <w:pPr>
              <w:pStyle w:val="TableParagraph"/>
              <w:jc w:val="left"/>
              <w:rPr>
                <w:sz w:val="17"/>
              </w:rPr>
            </w:pPr>
          </w:p>
          <w:p>
            <w:pPr>
              <w:pStyle w:val="TableParagraph"/>
              <w:ind w:left="543"/>
              <w:jc w:val="left"/>
              <w:rPr>
                <w:sz w:val="16"/>
              </w:rPr>
            </w:pPr>
            <w:r>
              <w:rPr>
                <w:color w:val="FFFFFF"/>
                <w:sz w:val="16"/>
              </w:rPr>
              <w:t>Asset Type</w:t>
            </w:r>
          </w:p>
        </w:tc>
        <w:tc>
          <w:tcPr>
            <w:tcW w:w="2277" w:type="dxa"/>
            <w:vMerge w:val="restart"/>
            <w:tcBorders>
              <w:bottom w:val="single" w:sz="8" w:space="0" w:color="5FFF00"/>
            </w:tcBorders>
            <w:shd w:val="clear" w:color="auto" w:fill="16772B"/>
          </w:tcPr>
          <w:p>
            <w:pPr>
              <w:pStyle w:val="TableParagraph"/>
              <w:jc w:val="left"/>
              <w:rPr>
                <w:sz w:val="18"/>
              </w:rPr>
            </w:pPr>
          </w:p>
          <w:p>
            <w:pPr>
              <w:pStyle w:val="TableParagraph"/>
              <w:jc w:val="left"/>
              <w:rPr>
                <w:sz w:val="17"/>
              </w:rPr>
            </w:pPr>
          </w:p>
          <w:p>
            <w:pPr>
              <w:pStyle w:val="TableParagraph"/>
              <w:ind w:left="617"/>
              <w:jc w:val="left"/>
              <w:rPr>
                <w:sz w:val="16"/>
              </w:rPr>
            </w:pPr>
            <w:r>
              <w:rPr>
                <w:color w:val="FFFFFF"/>
                <w:sz w:val="16"/>
              </w:rPr>
              <w:t>Leasable Area</w:t>
            </w:r>
          </w:p>
        </w:tc>
        <w:tc>
          <w:tcPr>
            <w:tcW w:w="5037" w:type="dxa"/>
            <w:gridSpan w:val="4"/>
            <w:tcBorders>
              <w:bottom w:val="single" w:sz="8" w:space="0" w:color="5FFF00"/>
            </w:tcBorders>
            <w:shd w:val="clear" w:color="auto" w:fill="16772B"/>
          </w:tcPr>
          <w:p>
            <w:pPr>
              <w:pStyle w:val="TableParagraph"/>
              <w:spacing w:before="109"/>
              <w:ind w:left="1800"/>
              <w:jc w:val="left"/>
              <w:rPr>
                <w:sz w:val="16"/>
              </w:rPr>
            </w:pPr>
            <w:r>
              <w:rPr>
                <w:color w:val="FFFFFF"/>
                <w:sz w:val="16"/>
              </w:rPr>
              <w:t>Market Value (INR mn)</w:t>
            </w:r>
          </w:p>
        </w:tc>
      </w:tr>
      <w:tr>
        <w:trPr>
          <w:trHeight w:val="575" w:hRule="atLeast"/>
        </w:trPr>
        <w:tc>
          <w:tcPr>
            <w:tcW w:w="1607" w:type="dxa"/>
            <w:vMerge/>
            <w:tcBorders>
              <w:top w:val="nil"/>
              <w:bottom w:val="single" w:sz="8" w:space="0" w:color="5FFF00"/>
            </w:tcBorders>
            <w:shd w:val="clear" w:color="auto" w:fill="16772B"/>
          </w:tcPr>
          <w:p>
            <w:pPr>
              <w:rPr>
                <w:sz w:val="2"/>
                <w:szCs w:val="2"/>
              </w:rPr>
            </w:pPr>
          </w:p>
        </w:tc>
        <w:tc>
          <w:tcPr>
            <w:tcW w:w="1890" w:type="dxa"/>
            <w:vMerge/>
            <w:tcBorders>
              <w:top w:val="nil"/>
              <w:bottom w:val="single" w:sz="8" w:space="0" w:color="5FFF00"/>
            </w:tcBorders>
            <w:shd w:val="clear" w:color="auto" w:fill="16772B"/>
          </w:tcPr>
          <w:p>
            <w:pPr>
              <w:rPr>
                <w:sz w:val="2"/>
                <w:szCs w:val="2"/>
              </w:rPr>
            </w:pPr>
          </w:p>
        </w:tc>
        <w:tc>
          <w:tcPr>
            <w:tcW w:w="2277" w:type="dxa"/>
            <w:vMerge/>
            <w:tcBorders>
              <w:top w:val="nil"/>
              <w:bottom w:val="single" w:sz="8" w:space="0" w:color="5FFF00"/>
            </w:tcBorders>
            <w:shd w:val="clear" w:color="auto" w:fill="16772B"/>
          </w:tcPr>
          <w:p>
            <w:pPr>
              <w:rPr>
                <w:sz w:val="2"/>
                <w:szCs w:val="2"/>
              </w:rPr>
            </w:pPr>
          </w:p>
        </w:tc>
        <w:tc>
          <w:tcPr>
            <w:tcW w:w="1195" w:type="dxa"/>
            <w:tcBorders>
              <w:top w:val="single" w:sz="8" w:space="0" w:color="5FFF00"/>
              <w:bottom w:val="single" w:sz="8" w:space="0" w:color="5FFF00"/>
            </w:tcBorders>
            <w:shd w:val="clear" w:color="auto" w:fill="16772B"/>
          </w:tcPr>
          <w:p>
            <w:pPr>
              <w:pStyle w:val="TableParagraph"/>
              <w:spacing w:before="9"/>
              <w:jc w:val="left"/>
              <w:rPr>
                <w:sz w:val="16"/>
              </w:rPr>
            </w:pPr>
          </w:p>
          <w:p>
            <w:pPr>
              <w:pStyle w:val="TableParagraph"/>
              <w:ind w:left="273"/>
              <w:jc w:val="left"/>
              <w:rPr>
                <w:sz w:val="16"/>
              </w:rPr>
            </w:pPr>
            <w:r>
              <w:rPr>
                <w:color w:val="FFFFFF"/>
                <w:sz w:val="16"/>
              </w:rPr>
              <w:t>Completed</w:t>
            </w:r>
          </w:p>
        </w:tc>
        <w:tc>
          <w:tcPr>
            <w:tcW w:w="1688" w:type="dxa"/>
            <w:tcBorders>
              <w:top w:val="single" w:sz="8" w:space="0" w:color="5FFF00"/>
              <w:bottom w:val="single" w:sz="8" w:space="0" w:color="5FFF00"/>
            </w:tcBorders>
            <w:shd w:val="clear" w:color="auto" w:fill="16772B"/>
          </w:tcPr>
          <w:p>
            <w:pPr>
              <w:pStyle w:val="TableParagraph"/>
              <w:spacing w:line="247" w:lineRule="auto" w:before="3"/>
              <w:ind w:left="355" w:right="492" w:hanging="5"/>
              <w:rPr>
                <w:sz w:val="16"/>
              </w:rPr>
            </w:pPr>
            <w:r>
              <w:rPr>
                <w:color w:val="FFFFFF"/>
                <w:sz w:val="16"/>
              </w:rPr>
              <w:t>Under </w:t>
            </w:r>
            <w:r>
              <w:rPr>
                <w:color w:val="FFFFFF"/>
                <w:w w:val="90"/>
                <w:sz w:val="16"/>
              </w:rPr>
              <w:t>construction</w:t>
            </w:r>
          </w:p>
          <w:p>
            <w:pPr>
              <w:pStyle w:val="TableParagraph"/>
              <w:spacing w:line="168" w:lineRule="exact" w:before="1"/>
              <w:ind w:left="178" w:right="319"/>
              <w:rPr>
                <w:sz w:val="16"/>
              </w:rPr>
            </w:pPr>
            <w:r>
              <w:rPr>
                <w:color w:val="FFFFFF"/>
                <w:sz w:val="16"/>
              </w:rPr>
              <w:t>(UC) / Proposed</w:t>
            </w:r>
          </w:p>
        </w:tc>
        <w:tc>
          <w:tcPr>
            <w:tcW w:w="886" w:type="dxa"/>
            <w:tcBorders>
              <w:top w:val="single" w:sz="8" w:space="0" w:color="5FFF00"/>
              <w:bottom w:val="single" w:sz="8" w:space="0" w:color="5FFF00"/>
            </w:tcBorders>
            <w:shd w:val="clear" w:color="auto" w:fill="16772B"/>
          </w:tcPr>
          <w:p>
            <w:pPr>
              <w:pStyle w:val="TableParagraph"/>
              <w:spacing w:before="9"/>
              <w:jc w:val="left"/>
              <w:rPr>
                <w:sz w:val="16"/>
              </w:rPr>
            </w:pPr>
          </w:p>
          <w:p>
            <w:pPr>
              <w:pStyle w:val="TableParagraph"/>
              <w:ind w:left="306"/>
              <w:jc w:val="left"/>
              <w:rPr>
                <w:sz w:val="16"/>
              </w:rPr>
            </w:pPr>
            <w:r>
              <w:rPr>
                <w:color w:val="FFFFFF"/>
                <w:sz w:val="16"/>
              </w:rPr>
              <w:t>Total</w:t>
            </w:r>
          </w:p>
        </w:tc>
        <w:tc>
          <w:tcPr>
            <w:tcW w:w="1268" w:type="dxa"/>
            <w:tcBorders>
              <w:top w:val="single" w:sz="8" w:space="0" w:color="5FFF00"/>
              <w:bottom w:val="single" w:sz="8" w:space="0" w:color="5FFF00"/>
            </w:tcBorders>
            <w:shd w:val="clear" w:color="auto" w:fill="16772B"/>
          </w:tcPr>
          <w:p>
            <w:pPr>
              <w:pStyle w:val="TableParagraph"/>
              <w:spacing w:line="247" w:lineRule="auto" w:before="99"/>
              <w:ind w:left="536" w:right="-8" w:hanging="293"/>
              <w:jc w:val="left"/>
              <w:rPr>
                <w:sz w:val="16"/>
              </w:rPr>
            </w:pPr>
            <w:r>
              <w:rPr>
                <w:color w:val="FFFFFF"/>
                <w:sz w:val="16"/>
              </w:rPr>
              <w:t>Share of Total Value</w:t>
            </w:r>
          </w:p>
        </w:tc>
      </w:tr>
    </w:tbl>
    <w:p>
      <w:pPr>
        <w:spacing w:after="0" w:line="247" w:lineRule="auto"/>
        <w:jc w:val="left"/>
        <w:rPr>
          <w:sz w:val="16"/>
        </w:rPr>
        <w:sectPr>
          <w:pgSz w:w="11910" w:h="16840"/>
          <w:pgMar w:header="720" w:footer="842" w:top="1520" w:bottom="1040" w:left="440" w:right="80"/>
        </w:sectPr>
      </w:pPr>
    </w:p>
    <w:p>
      <w:pPr>
        <w:pStyle w:val="BodyText"/>
        <w:rPr>
          <w:sz w:val="18"/>
        </w:rPr>
      </w:pPr>
    </w:p>
    <w:p>
      <w:pPr>
        <w:pStyle w:val="BodyText"/>
        <w:spacing w:before="4"/>
        <w:rPr>
          <w:sz w:val="15"/>
        </w:rPr>
      </w:pPr>
    </w:p>
    <w:p>
      <w:pPr>
        <w:spacing w:before="0"/>
        <w:ind w:left="520" w:right="0" w:firstLine="0"/>
        <w:jc w:val="left"/>
        <w:rPr>
          <w:sz w:val="16"/>
        </w:rPr>
      </w:pPr>
      <w:r>
        <w:rPr>
          <w:sz w:val="16"/>
        </w:rPr>
        <w:t>Bengaluru</w:t>
      </w:r>
    </w:p>
    <w:p>
      <w:pPr>
        <w:spacing w:before="3"/>
        <w:ind w:left="395" w:right="0" w:firstLine="0"/>
        <w:jc w:val="center"/>
        <w:rPr>
          <w:sz w:val="16"/>
        </w:rPr>
      </w:pPr>
      <w:r>
        <w:rPr/>
        <w:br w:type="column"/>
      </w:r>
      <w:r>
        <w:rPr>
          <w:sz w:val="16"/>
        </w:rPr>
        <w:t>Mixed-use</w:t>
      </w:r>
    </w:p>
    <w:p>
      <w:pPr>
        <w:pStyle w:val="BodyText"/>
        <w:spacing w:before="1"/>
        <w:rPr>
          <w:sz w:val="17"/>
        </w:rPr>
      </w:pPr>
    </w:p>
    <w:p>
      <w:pPr>
        <w:spacing w:before="0"/>
        <w:ind w:left="391" w:right="0" w:firstLine="0"/>
        <w:jc w:val="center"/>
        <w:rPr>
          <w:sz w:val="16"/>
        </w:rPr>
      </w:pPr>
      <w:r>
        <w:rPr/>
        <w:pict>
          <v:shape style="position:absolute;margin-left:27pt;margin-top:-5.029895pt;width:540.85pt;height:338.8pt;mso-position-horizontal-relative:page;mso-position-vertical-relative:paragraph;z-index:1588019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12"/>
                    <w:gridCol w:w="1303"/>
                    <w:gridCol w:w="1308"/>
                    <w:gridCol w:w="1093"/>
                  </w:tblGrid>
                  <w:tr>
                    <w:trPr>
                      <w:trHeight w:val="481" w:hRule="atLeast"/>
                    </w:trPr>
                    <w:tc>
                      <w:tcPr>
                        <w:tcW w:w="7112" w:type="dxa"/>
                        <w:tcBorders>
                          <w:bottom w:val="single" w:sz="8" w:space="0" w:color="5FFF00"/>
                        </w:tcBorders>
                      </w:tcPr>
                      <w:p>
                        <w:pPr>
                          <w:pStyle w:val="TableParagraph"/>
                          <w:tabs>
                            <w:tab w:pos="1689" w:val="left" w:leader="none"/>
                            <w:tab w:pos="6126" w:val="left" w:leader="none"/>
                          </w:tabs>
                          <w:spacing w:line="93" w:lineRule="auto"/>
                          <w:ind w:left="124"/>
                          <w:jc w:val="left"/>
                          <w:rPr>
                            <w:sz w:val="16"/>
                          </w:rPr>
                        </w:pPr>
                        <w:r>
                          <w:rPr>
                            <w:sz w:val="16"/>
                          </w:rPr>
                          <w:t>Embassy Manyata,</w:t>
                          <w:tab/>
                          <w:t>(Office  (IT/ ITeS SEZ/   Proposed/ UC*  office  -</w:t>
                        </w:r>
                        <w:r>
                          <w:rPr>
                            <w:spacing w:val="-20"/>
                            <w:sz w:val="16"/>
                          </w:rPr>
                          <w:t> </w:t>
                        </w:r>
                        <w:r>
                          <w:rPr>
                            <w:sz w:val="16"/>
                          </w:rPr>
                          <w:t>3.1</w:t>
                        </w:r>
                        <w:r>
                          <w:rPr>
                            <w:spacing w:val="33"/>
                            <w:sz w:val="16"/>
                          </w:rPr>
                          <w:t> </w:t>
                        </w:r>
                        <w:r>
                          <w:rPr>
                            <w:sz w:val="16"/>
                          </w:rPr>
                          <w:t>msf</w:t>
                          <w:tab/>
                        </w:r>
                        <w:r>
                          <w:rPr>
                            <w:position w:val="-9"/>
                            <w:sz w:val="16"/>
                          </w:rPr>
                          <w:t>129,952</w:t>
                        </w:r>
                      </w:p>
                      <w:p>
                        <w:pPr>
                          <w:pStyle w:val="TableParagraph"/>
                          <w:tabs>
                            <w:tab w:pos="3579" w:val="left" w:leader="none"/>
                          </w:tabs>
                          <w:spacing w:line="168" w:lineRule="exact" w:before="120"/>
                          <w:ind w:left="1738"/>
                          <w:jc w:val="left"/>
                          <w:rPr>
                            <w:sz w:val="16"/>
                          </w:rPr>
                        </w:pPr>
                        <w:r>
                          <w:rPr>
                            <w:sz w:val="16"/>
                          </w:rPr>
                          <w:t>Convention</w:t>
                        </w:r>
                        <w:r>
                          <w:rPr>
                            <w:spacing w:val="25"/>
                            <w:sz w:val="16"/>
                          </w:rPr>
                          <w:t> </w:t>
                        </w:r>
                        <w:r>
                          <w:rPr>
                            <w:sz w:val="16"/>
                          </w:rPr>
                          <w:t>Centre)</w:t>
                          <w:tab/>
                          <w:t>UC Hotel (3 star) - 353</w:t>
                        </w:r>
                        <w:r>
                          <w:rPr>
                            <w:spacing w:val="-6"/>
                            <w:sz w:val="16"/>
                          </w:rPr>
                          <w:t> </w:t>
                        </w:r>
                        <w:r>
                          <w:rPr>
                            <w:sz w:val="16"/>
                          </w:rPr>
                          <w:t>keys</w:t>
                        </w:r>
                      </w:p>
                    </w:tc>
                    <w:tc>
                      <w:tcPr>
                        <w:tcW w:w="1303" w:type="dxa"/>
                        <w:tcBorders>
                          <w:bottom w:val="single" w:sz="8" w:space="0" w:color="5FFF00"/>
                        </w:tcBorders>
                      </w:tcPr>
                      <w:p>
                        <w:pPr>
                          <w:pStyle w:val="TableParagraph"/>
                          <w:spacing w:before="4"/>
                          <w:ind w:left="348" w:right="388"/>
                          <w:rPr>
                            <w:sz w:val="16"/>
                          </w:rPr>
                        </w:pPr>
                        <w:r>
                          <w:rPr>
                            <w:w w:val="110"/>
                            <w:sz w:val="16"/>
                          </w:rPr>
                          <w:t>23,954</w:t>
                        </w:r>
                      </w:p>
                    </w:tc>
                    <w:tc>
                      <w:tcPr>
                        <w:tcW w:w="1308" w:type="dxa"/>
                        <w:tcBorders>
                          <w:bottom w:val="single" w:sz="8" w:space="0" w:color="5FFF00"/>
                        </w:tcBorders>
                      </w:tcPr>
                      <w:p>
                        <w:pPr>
                          <w:pStyle w:val="TableParagraph"/>
                          <w:spacing w:before="4"/>
                          <w:ind w:right="276"/>
                          <w:jc w:val="right"/>
                          <w:rPr>
                            <w:sz w:val="16"/>
                          </w:rPr>
                        </w:pPr>
                        <w:r>
                          <w:rPr>
                            <w:w w:val="105"/>
                            <w:sz w:val="16"/>
                          </w:rPr>
                          <w:t>153,906</w:t>
                        </w:r>
                      </w:p>
                    </w:tc>
                    <w:tc>
                      <w:tcPr>
                        <w:tcW w:w="1093" w:type="dxa"/>
                        <w:tcBorders>
                          <w:bottom w:val="single" w:sz="8" w:space="0" w:color="5FFF00"/>
                        </w:tcBorders>
                      </w:tcPr>
                      <w:p>
                        <w:pPr>
                          <w:pStyle w:val="TableParagraph"/>
                          <w:spacing w:before="4"/>
                          <w:ind w:left="263" w:right="250"/>
                          <w:rPr>
                            <w:sz w:val="16"/>
                          </w:rPr>
                        </w:pPr>
                        <w:r>
                          <w:rPr>
                            <w:w w:val="110"/>
                            <w:sz w:val="16"/>
                          </w:rPr>
                          <w:t>46.4%</w:t>
                        </w:r>
                      </w:p>
                    </w:tc>
                  </w:tr>
                  <w:tr>
                    <w:trPr>
                      <w:trHeight w:val="383" w:hRule="atLeast"/>
                    </w:trPr>
                    <w:tc>
                      <w:tcPr>
                        <w:tcW w:w="7112" w:type="dxa"/>
                        <w:tcBorders>
                          <w:top w:val="single" w:sz="8" w:space="0" w:color="5FFF00"/>
                          <w:bottom w:val="single" w:sz="8" w:space="0" w:color="5FFF00"/>
                        </w:tcBorders>
                      </w:tcPr>
                      <w:p>
                        <w:pPr>
                          <w:pStyle w:val="TableParagraph"/>
                          <w:tabs>
                            <w:tab w:pos="1850" w:val="left" w:leader="none"/>
                            <w:tab w:pos="3622" w:val="left" w:leader="none"/>
                            <w:tab w:pos="6174" w:val="left" w:leader="none"/>
                          </w:tabs>
                          <w:spacing w:line="285" w:lineRule="exact"/>
                          <w:ind w:left="230"/>
                          <w:jc w:val="left"/>
                          <w:rPr>
                            <w:sz w:val="16"/>
                          </w:rPr>
                        </w:pPr>
                        <w:r>
                          <w:rPr>
                            <w:position w:val="10"/>
                            <w:sz w:val="16"/>
                          </w:rPr>
                          <w:t>Express</w:t>
                        </w:r>
                        <w:r>
                          <w:rPr>
                            <w:spacing w:val="-17"/>
                            <w:position w:val="10"/>
                            <w:sz w:val="16"/>
                          </w:rPr>
                          <w:t> </w:t>
                        </w:r>
                        <w:r>
                          <w:rPr>
                            <w:position w:val="10"/>
                            <w:sz w:val="16"/>
                          </w:rPr>
                          <w:t>Towers,</w:t>
                          <w:tab/>
                        </w:r>
                        <w:r>
                          <w:rPr>
                            <w:sz w:val="16"/>
                          </w:rPr>
                          <w:t>Office</w:t>
                        </w:r>
                        <w:r>
                          <w:rPr>
                            <w:spacing w:val="-4"/>
                            <w:sz w:val="16"/>
                          </w:rPr>
                          <w:t> </w:t>
                        </w:r>
                        <w:r>
                          <w:rPr>
                            <w:sz w:val="16"/>
                          </w:rPr>
                          <w:t>(Non-SEZ)</w:t>
                          <w:tab/>
                          <w:t>Completed office -</w:t>
                        </w:r>
                        <w:r>
                          <w:rPr>
                            <w:spacing w:val="-26"/>
                            <w:sz w:val="16"/>
                          </w:rPr>
                          <w:t> </w:t>
                        </w:r>
                        <w:r>
                          <w:rPr>
                            <w:sz w:val="16"/>
                          </w:rPr>
                          <w:t>0.5</w:t>
                        </w:r>
                        <w:r>
                          <w:rPr>
                            <w:spacing w:val="-10"/>
                            <w:sz w:val="16"/>
                          </w:rPr>
                          <w:t> </w:t>
                        </w:r>
                        <w:r>
                          <w:rPr>
                            <w:sz w:val="16"/>
                          </w:rPr>
                          <w:t>msf</w:t>
                          <w:tab/>
                          <w:t>17,866</w:t>
                        </w:r>
                      </w:p>
                    </w:tc>
                    <w:tc>
                      <w:tcPr>
                        <w:tcW w:w="1303" w:type="dxa"/>
                        <w:tcBorders>
                          <w:top w:val="single" w:sz="8" w:space="0" w:color="5FFF00"/>
                          <w:bottom w:val="single" w:sz="8" w:space="0" w:color="5FFF00"/>
                        </w:tcBorders>
                      </w:tcPr>
                      <w:p>
                        <w:pPr>
                          <w:pStyle w:val="TableParagraph"/>
                          <w:spacing w:before="99"/>
                          <w:ind w:right="39"/>
                          <w:rPr>
                            <w:sz w:val="16"/>
                          </w:rPr>
                        </w:pPr>
                        <w:r>
                          <w:rPr>
                            <w:w w:val="100"/>
                            <w:sz w:val="16"/>
                          </w:rPr>
                          <w:t>-</w:t>
                        </w:r>
                      </w:p>
                    </w:tc>
                    <w:tc>
                      <w:tcPr>
                        <w:tcW w:w="1308" w:type="dxa"/>
                        <w:tcBorders>
                          <w:top w:val="single" w:sz="8" w:space="0" w:color="5FFF00"/>
                          <w:bottom w:val="single" w:sz="8" w:space="0" w:color="5FFF00"/>
                        </w:tcBorders>
                      </w:tcPr>
                      <w:p>
                        <w:pPr>
                          <w:pStyle w:val="TableParagraph"/>
                          <w:spacing w:before="99"/>
                          <w:ind w:right="324"/>
                          <w:jc w:val="right"/>
                          <w:rPr>
                            <w:sz w:val="16"/>
                          </w:rPr>
                        </w:pPr>
                        <w:r>
                          <w:rPr>
                            <w:w w:val="105"/>
                            <w:sz w:val="16"/>
                          </w:rPr>
                          <w:t>17,866</w:t>
                        </w:r>
                      </w:p>
                    </w:tc>
                    <w:tc>
                      <w:tcPr>
                        <w:tcW w:w="1093" w:type="dxa"/>
                        <w:tcBorders>
                          <w:top w:val="single" w:sz="8" w:space="0" w:color="5FFF00"/>
                          <w:bottom w:val="single" w:sz="8" w:space="0" w:color="5FFF00"/>
                        </w:tcBorders>
                      </w:tcPr>
                      <w:p>
                        <w:pPr>
                          <w:pStyle w:val="TableParagraph"/>
                          <w:spacing w:before="99"/>
                          <w:ind w:left="263" w:right="247"/>
                          <w:rPr>
                            <w:sz w:val="16"/>
                          </w:rPr>
                        </w:pPr>
                        <w:r>
                          <w:rPr>
                            <w:w w:val="110"/>
                            <w:sz w:val="16"/>
                          </w:rPr>
                          <w:t>5.4%</w:t>
                        </w:r>
                      </w:p>
                    </w:tc>
                  </w:tr>
                  <w:tr>
                    <w:trPr>
                      <w:trHeight w:val="383" w:hRule="atLeast"/>
                    </w:trPr>
                    <w:tc>
                      <w:tcPr>
                        <w:tcW w:w="7112" w:type="dxa"/>
                        <w:tcBorders>
                          <w:top w:val="single" w:sz="8" w:space="0" w:color="5FFF00"/>
                          <w:bottom w:val="single" w:sz="8" w:space="0" w:color="5FFF00"/>
                        </w:tcBorders>
                      </w:tcPr>
                      <w:p>
                        <w:pPr>
                          <w:pStyle w:val="TableParagraph"/>
                          <w:tabs>
                            <w:tab w:pos="1850" w:val="left" w:leader="none"/>
                            <w:tab w:pos="3622" w:val="left" w:leader="none"/>
                            <w:tab w:pos="6174" w:val="left" w:leader="none"/>
                          </w:tabs>
                          <w:spacing w:before="9"/>
                          <w:ind w:left="287"/>
                          <w:jc w:val="left"/>
                          <w:rPr>
                            <w:sz w:val="16"/>
                          </w:rPr>
                        </w:pPr>
                        <w:r>
                          <w:rPr>
                            <w:position w:val="9"/>
                            <w:sz w:val="16"/>
                          </w:rPr>
                          <w:t>Embassy</w:t>
                        </w:r>
                        <w:r>
                          <w:rPr>
                            <w:spacing w:val="3"/>
                            <w:position w:val="9"/>
                            <w:sz w:val="16"/>
                          </w:rPr>
                          <w:t> </w:t>
                        </w:r>
                        <w:r>
                          <w:rPr>
                            <w:position w:val="9"/>
                            <w:sz w:val="16"/>
                          </w:rPr>
                          <w:t>247,</w:t>
                          <w:tab/>
                        </w:r>
                        <w:r>
                          <w:rPr>
                            <w:sz w:val="16"/>
                          </w:rPr>
                          <w:t>Office</w:t>
                        </w:r>
                        <w:r>
                          <w:rPr>
                            <w:spacing w:val="-4"/>
                            <w:sz w:val="16"/>
                          </w:rPr>
                          <w:t> </w:t>
                        </w:r>
                        <w:r>
                          <w:rPr>
                            <w:sz w:val="16"/>
                          </w:rPr>
                          <w:t>(Non-SEZ)</w:t>
                          <w:tab/>
                          <w:t>Completed office -</w:t>
                        </w:r>
                        <w:r>
                          <w:rPr>
                            <w:spacing w:val="-27"/>
                            <w:sz w:val="16"/>
                          </w:rPr>
                          <w:t> </w:t>
                        </w:r>
                        <w:r>
                          <w:rPr>
                            <w:sz w:val="16"/>
                          </w:rPr>
                          <w:t>1.2</w:t>
                        </w:r>
                        <w:r>
                          <w:rPr>
                            <w:spacing w:val="-10"/>
                            <w:sz w:val="16"/>
                          </w:rPr>
                          <w:t> </w:t>
                        </w:r>
                        <w:r>
                          <w:rPr>
                            <w:sz w:val="16"/>
                          </w:rPr>
                          <w:t>msf</w:t>
                          <w:tab/>
                          <w:t>16,624</w:t>
                        </w:r>
                      </w:p>
                    </w:tc>
                    <w:tc>
                      <w:tcPr>
                        <w:tcW w:w="1303" w:type="dxa"/>
                        <w:tcBorders>
                          <w:top w:val="single" w:sz="8" w:space="0" w:color="5FFF00"/>
                          <w:bottom w:val="single" w:sz="8" w:space="0" w:color="5FFF00"/>
                        </w:tcBorders>
                      </w:tcPr>
                      <w:p>
                        <w:pPr>
                          <w:pStyle w:val="TableParagraph"/>
                          <w:spacing w:before="99"/>
                          <w:ind w:right="39"/>
                          <w:rPr>
                            <w:sz w:val="16"/>
                          </w:rPr>
                        </w:pPr>
                        <w:r>
                          <w:rPr>
                            <w:w w:val="100"/>
                            <w:sz w:val="16"/>
                          </w:rPr>
                          <w:t>-</w:t>
                        </w:r>
                      </w:p>
                    </w:tc>
                    <w:tc>
                      <w:tcPr>
                        <w:tcW w:w="1308" w:type="dxa"/>
                        <w:tcBorders>
                          <w:top w:val="single" w:sz="8" w:space="0" w:color="5FFF00"/>
                          <w:bottom w:val="single" w:sz="8" w:space="0" w:color="5FFF00"/>
                        </w:tcBorders>
                      </w:tcPr>
                      <w:p>
                        <w:pPr>
                          <w:pStyle w:val="TableParagraph"/>
                          <w:spacing w:before="99"/>
                          <w:ind w:right="324"/>
                          <w:jc w:val="right"/>
                          <w:rPr>
                            <w:sz w:val="16"/>
                          </w:rPr>
                        </w:pPr>
                        <w:r>
                          <w:rPr>
                            <w:w w:val="105"/>
                            <w:sz w:val="16"/>
                          </w:rPr>
                          <w:t>16,624</w:t>
                        </w:r>
                      </w:p>
                    </w:tc>
                    <w:tc>
                      <w:tcPr>
                        <w:tcW w:w="1093" w:type="dxa"/>
                        <w:tcBorders>
                          <w:top w:val="single" w:sz="8" w:space="0" w:color="5FFF00"/>
                          <w:bottom w:val="single" w:sz="8" w:space="0" w:color="5FFF00"/>
                        </w:tcBorders>
                      </w:tcPr>
                      <w:p>
                        <w:pPr>
                          <w:pStyle w:val="TableParagraph"/>
                          <w:spacing w:before="99"/>
                          <w:ind w:left="263" w:right="247"/>
                          <w:rPr>
                            <w:sz w:val="16"/>
                          </w:rPr>
                        </w:pPr>
                        <w:r>
                          <w:rPr>
                            <w:w w:val="110"/>
                            <w:sz w:val="16"/>
                          </w:rPr>
                          <w:t>5.0%</w:t>
                        </w:r>
                      </w:p>
                    </w:tc>
                  </w:tr>
                  <w:tr>
                    <w:trPr>
                      <w:trHeight w:val="577" w:hRule="atLeast"/>
                    </w:trPr>
                    <w:tc>
                      <w:tcPr>
                        <w:tcW w:w="7112" w:type="dxa"/>
                        <w:tcBorders>
                          <w:top w:val="single" w:sz="8" w:space="0" w:color="5FFF00"/>
                          <w:bottom w:val="single" w:sz="8" w:space="0" w:color="5FFF00"/>
                        </w:tcBorders>
                      </w:tcPr>
                      <w:p>
                        <w:pPr>
                          <w:pStyle w:val="TableParagraph"/>
                          <w:spacing w:before="5"/>
                          <w:ind w:left="172"/>
                          <w:jc w:val="left"/>
                          <w:rPr>
                            <w:sz w:val="16"/>
                          </w:rPr>
                        </w:pPr>
                        <w:r>
                          <w:rPr>
                            <w:sz w:val="16"/>
                          </w:rPr>
                          <w:t>First International</w:t>
                        </w:r>
                      </w:p>
                      <w:p>
                        <w:pPr>
                          <w:pStyle w:val="TableParagraph"/>
                          <w:tabs>
                            <w:tab w:pos="1850" w:val="left" w:leader="none"/>
                            <w:tab w:pos="3622" w:val="left" w:leader="none"/>
                            <w:tab w:pos="6174" w:val="left" w:leader="none"/>
                          </w:tabs>
                          <w:spacing w:line="190" w:lineRule="atLeast" w:before="2"/>
                          <w:ind w:left="489" w:right="416" w:hanging="308"/>
                          <w:jc w:val="left"/>
                          <w:rPr>
                            <w:sz w:val="16"/>
                          </w:rPr>
                        </w:pPr>
                        <w:r>
                          <w:rPr>
                            <w:sz w:val="16"/>
                          </w:rPr>
                          <w:t>Financial</w:t>
                        </w:r>
                        <w:r>
                          <w:rPr>
                            <w:spacing w:val="-18"/>
                            <w:sz w:val="16"/>
                          </w:rPr>
                          <w:t> </w:t>
                        </w:r>
                        <w:r>
                          <w:rPr>
                            <w:sz w:val="16"/>
                          </w:rPr>
                          <w:t>Centre,</w:t>
                          <w:tab/>
                          <w:t>Office</w:t>
                        </w:r>
                        <w:r>
                          <w:rPr>
                            <w:spacing w:val="-4"/>
                            <w:sz w:val="16"/>
                          </w:rPr>
                          <w:t> </w:t>
                        </w:r>
                        <w:r>
                          <w:rPr>
                            <w:sz w:val="16"/>
                          </w:rPr>
                          <w:t>(Non-SEZ)</w:t>
                          <w:tab/>
                          <w:t>Completed office -</w:t>
                        </w:r>
                        <w:r>
                          <w:rPr>
                            <w:spacing w:val="-32"/>
                            <w:sz w:val="16"/>
                          </w:rPr>
                          <w:t> </w:t>
                        </w:r>
                        <w:r>
                          <w:rPr>
                            <w:sz w:val="16"/>
                          </w:rPr>
                          <w:t>0.4</w:t>
                        </w:r>
                        <w:r>
                          <w:rPr>
                            <w:spacing w:val="-11"/>
                            <w:sz w:val="16"/>
                          </w:rPr>
                          <w:t> </w:t>
                        </w:r>
                        <w:r>
                          <w:rPr>
                            <w:sz w:val="16"/>
                          </w:rPr>
                          <w:t>msf</w:t>
                          <w:tab/>
                        </w:r>
                        <w:r>
                          <w:rPr>
                            <w:spacing w:val="-4"/>
                            <w:sz w:val="16"/>
                          </w:rPr>
                          <w:t>13,911 </w:t>
                        </w:r>
                        <w:r>
                          <w:rPr>
                            <w:sz w:val="16"/>
                          </w:rPr>
                          <w:t>Mumbai</w:t>
                        </w:r>
                      </w:p>
                    </w:tc>
                    <w:tc>
                      <w:tcPr>
                        <w:tcW w:w="1303" w:type="dxa"/>
                        <w:tcBorders>
                          <w:top w:val="single" w:sz="8" w:space="0" w:color="5FFF00"/>
                          <w:bottom w:val="single" w:sz="8" w:space="0" w:color="5FFF00"/>
                        </w:tcBorders>
                      </w:tcPr>
                      <w:p>
                        <w:pPr>
                          <w:pStyle w:val="TableParagraph"/>
                          <w:spacing w:before="11"/>
                          <w:jc w:val="left"/>
                          <w:rPr>
                            <w:sz w:val="16"/>
                          </w:rPr>
                        </w:pPr>
                      </w:p>
                      <w:p>
                        <w:pPr>
                          <w:pStyle w:val="TableParagraph"/>
                          <w:ind w:right="39"/>
                          <w:rPr>
                            <w:sz w:val="16"/>
                          </w:rPr>
                        </w:pPr>
                        <w:r>
                          <w:rPr>
                            <w:w w:val="100"/>
                            <w:sz w:val="16"/>
                          </w:rPr>
                          <w:t>-</w:t>
                        </w:r>
                      </w:p>
                    </w:tc>
                    <w:tc>
                      <w:tcPr>
                        <w:tcW w:w="1308" w:type="dxa"/>
                        <w:tcBorders>
                          <w:top w:val="single" w:sz="8" w:space="0" w:color="5FFF00"/>
                          <w:bottom w:val="single" w:sz="8" w:space="0" w:color="5FFF00"/>
                        </w:tcBorders>
                      </w:tcPr>
                      <w:p>
                        <w:pPr>
                          <w:pStyle w:val="TableParagraph"/>
                          <w:spacing w:before="11"/>
                          <w:jc w:val="left"/>
                          <w:rPr>
                            <w:sz w:val="16"/>
                          </w:rPr>
                        </w:pPr>
                      </w:p>
                      <w:p>
                        <w:pPr>
                          <w:pStyle w:val="TableParagraph"/>
                          <w:ind w:right="324"/>
                          <w:jc w:val="right"/>
                          <w:rPr>
                            <w:sz w:val="16"/>
                          </w:rPr>
                        </w:pPr>
                        <w:r>
                          <w:rPr>
                            <w:w w:val="105"/>
                            <w:sz w:val="16"/>
                          </w:rPr>
                          <w:t>13,911</w:t>
                        </w:r>
                      </w:p>
                    </w:tc>
                    <w:tc>
                      <w:tcPr>
                        <w:tcW w:w="1093" w:type="dxa"/>
                        <w:tcBorders>
                          <w:top w:val="single" w:sz="8" w:space="0" w:color="5FFF00"/>
                          <w:bottom w:val="single" w:sz="8" w:space="0" w:color="5FFF00"/>
                        </w:tcBorders>
                      </w:tcPr>
                      <w:p>
                        <w:pPr>
                          <w:pStyle w:val="TableParagraph"/>
                          <w:spacing w:before="11"/>
                          <w:jc w:val="left"/>
                          <w:rPr>
                            <w:sz w:val="16"/>
                          </w:rPr>
                        </w:pPr>
                      </w:p>
                      <w:p>
                        <w:pPr>
                          <w:pStyle w:val="TableParagraph"/>
                          <w:ind w:left="263" w:right="247"/>
                          <w:rPr>
                            <w:sz w:val="16"/>
                          </w:rPr>
                        </w:pPr>
                        <w:r>
                          <w:rPr>
                            <w:w w:val="110"/>
                            <w:sz w:val="16"/>
                          </w:rPr>
                          <w:t>4.2%</w:t>
                        </w:r>
                      </w:p>
                    </w:tc>
                  </w:tr>
                  <w:tr>
                    <w:trPr>
                      <w:trHeight w:val="383" w:hRule="atLeast"/>
                    </w:trPr>
                    <w:tc>
                      <w:tcPr>
                        <w:tcW w:w="7112" w:type="dxa"/>
                        <w:tcBorders>
                          <w:top w:val="single" w:sz="8" w:space="0" w:color="5FFF00"/>
                          <w:bottom w:val="single" w:sz="8" w:space="0" w:color="5FFF00"/>
                        </w:tcBorders>
                      </w:tcPr>
                      <w:p>
                        <w:pPr>
                          <w:pStyle w:val="TableParagraph"/>
                          <w:tabs>
                            <w:tab w:pos="2229" w:val="left" w:leader="none"/>
                            <w:tab w:pos="3622" w:val="left" w:leader="none"/>
                            <w:tab w:pos="6174" w:val="left" w:leader="none"/>
                          </w:tabs>
                          <w:spacing w:before="3"/>
                          <w:ind w:left="91"/>
                          <w:jc w:val="left"/>
                          <w:rPr>
                            <w:sz w:val="16"/>
                          </w:rPr>
                        </w:pPr>
                        <w:r>
                          <w:rPr>
                            <w:sz w:val="16"/>
                          </w:rPr>
                          <w:t>Embassy</w:t>
                        </w:r>
                        <w:r>
                          <w:rPr>
                            <w:spacing w:val="-8"/>
                            <w:sz w:val="16"/>
                          </w:rPr>
                          <w:t> </w:t>
                        </w:r>
                        <w:r>
                          <w:rPr>
                            <w:sz w:val="16"/>
                          </w:rPr>
                          <w:t>TechZone,</w:t>
                          <w:tab/>
                          <w:t>Office</w:t>
                          <w:tab/>
                          <w:t>Completed office -</w:t>
                        </w:r>
                        <w:r>
                          <w:rPr>
                            <w:spacing w:val="-27"/>
                            <w:sz w:val="16"/>
                          </w:rPr>
                          <w:t> </w:t>
                        </w:r>
                        <w:r>
                          <w:rPr>
                            <w:sz w:val="16"/>
                          </w:rPr>
                          <w:t>2.2</w:t>
                        </w:r>
                        <w:r>
                          <w:rPr>
                            <w:spacing w:val="-10"/>
                            <w:sz w:val="16"/>
                          </w:rPr>
                          <w:t> </w:t>
                        </w:r>
                        <w:r>
                          <w:rPr>
                            <w:sz w:val="16"/>
                          </w:rPr>
                          <w:t>msf</w:t>
                          <w:tab/>
                        </w:r>
                        <w:r>
                          <w:rPr>
                            <w:position w:val="-9"/>
                            <w:sz w:val="16"/>
                          </w:rPr>
                          <w:t>14,929</w:t>
                        </w:r>
                      </w:p>
                    </w:tc>
                    <w:tc>
                      <w:tcPr>
                        <w:tcW w:w="1303" w:type="dxa"/>
                        <w:tcBorders>
                          <w:top w:val="single" w:sz="8" w:space="0" w:color="5FFF00"/>
                          <w:bottom w:val="single" w:sz="8" w:space="0" w:color="5FFF00"/>
                        </w:tcBorders>
                      </w:tcPr>
                      <w:p>
                        <w:pPr>
                          <w:pStyle w:val="TableParagraph"/>
                          <w:spacing w:before="99"/>
                          <w:ind w:left="346" w:right="388"/>
                          <w:rPr>
                            <w:sz w:val="16"/>
                          </w:rPr>
                        </w:pPr>
                        <w:r>
                          <w:rPr>
                            <w:w w:val="105"/>
                            <w:sz w:val="16"/>
                          </w:rPr>
                          <w:t>6,103</w:t>
                        </w:r>
                      </w:p>
                    </w:tc>
                    <w:tc>
                      <w:tcPr>
                        <w:tcW w:w="1308" w:type="dxa"/>
                        <w:tcBorders>
                          <w:top w:val="single" w:sz="8" w:space="0" w:color="5FFF00"/>
                          <w:bottom w:val="single" w:sz="8" w:space="0" w:color="5FFF00"/>
                        </w:tcBorders>
                      </w:tcPr>
                      <w:p>
                        <w:pPr>
                          <w:pStyle w:val="TableParagraph"/>
                          <w:spacing w:before="99"/>
                          <w:ind w:right="324"/>
                          <w:jc w:val="right"/>
                          <w:rPr>
                            <w:sz w:val="16"/>
                          </w:rPr>
                        </w:pPr>
                        <w:r>
                          <w:rPr>
                            <w:w w:val="105"/>
                            <w:sz w:val="16"/>
                          </w:rPr>
                          <w:t>21,032</w:t>
                        </w:r>
                      </w:p>
                    </w:tc>
                    <w:tc>
                      <w:tcPr>
                        <w:tcW w:w="1093" w:type="dxa"/>
                        <w:tcBorders>
                          <w:top w:val="single" w:sz="8" w:space="0" w:color="5FFF00"/>
                          <w:bottom w:val="single" w:sz="8" w:space="0" w:color="5FFF00"/>
                        </w:tcBorders>
                      </w:tcPr>
                      <w:p>
                        <w:pPr>
                          <w:pStyle w:val="TableParagraph"/>
                          <w:spacing w:before="99"/>
                          <w:ind w:left="263" w:right="247"/>
                          <w:rPr>
                            <w:sz w:val="16"/>
                          </w:rPr>
                        </w:pPr>
                        <w:r>
                          <w:rPr>
                            <w:w w:val="110"/>
                            <w:sz w:val="16"/>
                          </w:rPr>
                          <w:t>6.3%</w:t>
                        </w:r>
                      </w:p>
                    </w:tc>
                  </w:tr>
                  <w:tr>
                    <w:trPr>
                      <w:trHeight w:val="402" w:hRule="atLeast"/>
                    </w:trPr>
                    <w:tc>
                      <w:tcPr>
                        <w:tcW w:w="7112" w:type="dxa"/>
                        <w:tcBorders>
                          <w:top w:val="single" w:sz="8" w:space="0" w:color="5FFF00"/>
                          <w:bottom w:val="single" w:sz="8" w:space="0" w:color="5FFF00"/>
                        </w:tcBorders>
                      </w:tcPr>
                      <w:p>
                        <w:pPr>
                          <w:pStyle w:val="TableParagraph"/>
                          <w:tabs>
                            <w:tab w:pos="2229" w:val="left" w:leader="none"/>
                            <w:tab w:pos="3622" w:val="left" w:leader="none"/>
                            <w:tab w:pos="6174" w:val="left" w:leader="none"/>
                          </w:tabs>
                          <w:spacing w:line="294" w:lineRule="exact"/>
                          <w:ind w:left="105"/>
                          <w:jc w:val="left"/>
                          <w:rPr>
                            <w:sz w:val="16"/>
                          </w:rPr>
                        </w:pPr>
                        <w:r>
                          <w:rPr>
                            <w:position w:val="10"/>
                            <w:sz w:val="16"/>
                          </w:rPr>
                          <w:t>Embassy</w:t>
                        </w:r>
                        <w:r>
                          <w:rPr>
                            <w:spacing w:val="6"/>
                            <w:position w:val="10"/>
                            <w:sz w:val="16"/>
                          </w:rPr>
                          <w:t> </w:t>
                        </w:r>
                        <w:r>
                          <w:rPr>
                            <w:position w:val="10"/>
                            <w:sz w:val="16"/>
                          </w:rPr>
                          <w:t>Quadron,</w:t>
                          <w:tab/>
                        </w:r>
                        <w:r>
                          <w:rPr>
                            <w:position w:val="11"/>
                            <w:sz w:val="16"/>
                          </w:rPr>
                          <w:t>Office</w:t>
                          <w:tab/>
                        </w:r>
                        <w:r>
                          <w:rPr>
                            <w:sz w:val="16"/>
                          </w:rPr>
                          <w:t>Completed office -</w:t>
                        </w:r>
                        <w:r>
                          <w:rPr>
                            <w:spacing w:val="-26"/>
                            <w:sz w:val="16"/>
                          </w:rPr>
                          <w:t> </w:t>
                        </w:r>
                        <w:r>
                          <w:rPr>
                            <w:sz w:val="16"/>
                          </w:rPr>
                          <w:t>1.9</w:t>
                        </w:r>
                        <w:r>
                          <w:rPr>
                            <w:spacing w:val="-10"/>
                            <w:sz w:val="16"/>
                          </w:rPr>
                          <w:t> </w:t>
                        </w:r>
                        <w:r>
                          <w:rPr>
                            <w:sz w:val="16"/>
                          </w:rPr>
                          <w:t>msf</w:t>
                          <w:tab/>
                          <w:t>13,838</w:t>
                        </w:r>
                      </w:p>
                    </w:tc>
                    <w:tc>
                      <w:tcPr>
                        <w:tcW w:w="1303" w:type="dxa"/>
                        <w:tcBorders>
                          <w:top w:val="single" w:sz="8" w:space="0" w:color="5FFF00"/>
                          <w:bottom w:val="single" w:sz="8" w:space="0" w:color="5FFF00"/>
                        </w:tcBorders>
                      </w:tcPr>
                      <w:p>
                        <w:pPr>
                          <w:pStyle w:val="TableParagraph"/>
                          <w:spacing w:before="108"/>
                          <w:ind w:right="39"/>
                          <w:rPr>
                            <w:sz w:val="16"/>
                          </w:rPr>
                        </w:pPr>
                        <w:r>
                          <w:rPr>
                            <w:w w:val="100"/>
                            <w:sz w:val="16"/>
                          </w:rPr>
                          <w:t>-</w:t>
                        </w:r>
                      </w:p>
                    </w:tc>
                    <w:tc>
                      <w:tcPr>
                        <w:tcW w:w="1308" w:type="dxa"/>
                        <w:tcBorders>
                          <w:top w:val="single" w:sz="8" w:space="0" w:color="5FFF00"/>
                          <w:bottom w:val="single" w:sz="8" w:space="0" w:color="5FFF00"/>
                        </w:tcBorders>
                      </w:tcPr>
                      <w:p>
                        <w:pPr>
                          <w:pStyle w:val="TableParagraph"/>
                          <w:spacing w:before="108"/>
                          <w:ind w:right="324"/>
                          <w:jc w:val="right"/>
                          <w:rPr>
                            <w:sz w:val="16"/>
                          </w:rPr>
                        </w:pPr>
                        <w:r>
                          <w:rPr>
                            <w:w w:val="105"/>
                            <w:sz w:val="16"/>
                          </w:rPr>
                          <w:t>13,838</w:t>
                        </w:r>
                      </w:p>
                    </w:tc>
                    <w:tc>
                      <w:tcPr>
                        <w:tcW w:w="1093" w:type="dxa"/>
                        <w:tcBorders>
                          <w:top w:val="single" w:sz="8" w:space="0" w:color="5FFF00"/>
                          <w:bottom w:val="single" w:sz="8" w:space="0" w:color="5FFF00"/>
                        </w:tcBorders>
                      </w:tcPr>
                      <w:p>
                        <w:pPr>
                          <w:pStyle w:val="TableParagraph"/>
                          <w:spacing w:before="108"/>
                          <w:ind w:left="263" w:right="247"/>
                          <w:rPr>
                            <w:sz w:val="16"/>
                          </w:rPr>
                        </w:pPr>
                        <w:r>
                          <w:rPr>
                            <w:w w:val="110"/>
                            <w:sz w:val="16"/>
                          </w:rPr>
                          <w:t>4.2%</w:t>
                        </w:r>
                      </w:p>
                    </w:tc>
                  </w:tr>
                  <w:tr>
                    <w:trPr>
                      <w:trHeight w:val="404" w:hRule="atLeast"/>
                    </w:trPr>
                    <w:tc>
                      <w:tcPr>
                        <w:tcW w:w="7112" w:type="dxa"/>
                        <w:tcBorders>
                          <w:top w:val="single" w:sz="8" w:space="0" w:color="5FFF00"/>
                          <w:bottom w:val="single" w:sz="8" w:space="0" w:color="5FFF00"/>
                        </w:tcBorders>
                      </w:tcPr>
                      <w:p>
                        <w:pPr>
                          <w:pStyle w:val="TableParagraph"/>
                          <w:tabs>
                            <w:tab w:pos="2229" w:val="left" w:leader="none"/>
                            <w:tab w:pos="3622" w:val="left" w:leader="none"/>
                            <w:tab w:pos="6174" w:val="left" w:leader="none"/>
                          </w:tabs>
                          <w:spacing w:before="1"/>
                          <w:ind w:left="21"/>
                          <w:jc w:val="left"/>
                          <w:rPr>
                            <w:sz w:val="16"/>
                          </w:rPr>
                        </w:pPr>
                        <w:r>
                          <w:rPr>
                            <w:sz w:val="16"/>
                          </w:rPr>
                          <w:t>Embassy</w:t>
                        </w:r>
                        <w:r>
                          <w:rPr>
                            <w:spacing w:val="-3"/>
                            <w:sz w:val="16"/>
                          </w:rPr>
                          <w:t> </w:t>
                        </w:r>
                        <w:r>
                          <w:rPr>
                            <w:sz w:val="16"/>
                          </w:rPr>
                          <w:t>Qubix,</w:t>
                        </w:r>
                        <w:r>
                          <w:rPr>
                            <w:spacing w:val="-2"/>
                            <w:sz w:val="16"/>
                          </w:rPr>
                          <w:t> </w:t>
                        </w:r>
                        <w:r>
                          <w:rPr>
                            <w:sz w:val="16"/>
                          </w:rPr>
                          <w:t>Pune</w:t>
                          <w:tab/>
                        </w:r>
                        <w:r>
                          <w:rPr>
                            <w:position w:val="11"/>
                            <w:sz w:val="16"/>
                          </w:rPr>
                          <w:t>Office</w:t>
                          <w:tab/>
                        </w:r>
                        <w:r>
                          <w:rPr>
                            <w:sz w:val="16"/>
                          </w:rPr>
                          <w:t>Completed office -</w:t>
                        </w:r>
                        <w:r>
                          <w:rPr>
                            <w:spacing w:val="-26"/>
                            <w:sz w:val="16"/>
                          </w:rPr>
                          <w:t> </w:t>
                        </w:r>
                        <w:r>
                          <w:rPr>
                            <w:sz w:val="16"/>
                          </w:rPr>
                          <w:t>1.5</w:t>
                        </w:r>
                        <w:r>
                          <w:rPr>
                            <w:spacing w:val="-10"/>
                            <w:sz w:val="16"/>
                          </w:rPr>
                          <w:t> </w:t>
                        </w:r>
                        <w:r>
                          <w:rPr>
                            <w:sz w:val="16"/>
                          </w:rPr>
                          <w:t>msf</w:t>
                          <w:tab/>
                          <w:t>10,085</w:t>
                        </w:r>
                      </w:p>
                    </w:tc>
                    <w:tc>
                      <w:tcPr>
                        <w:tcW w:w="1303" w:type="dxa"/>
                        <w:tcBorders>
                          <w:top w:val="single" w:sz="8" w:space="0" w:color="5FFF00"/>
                          <w:bottom w:val="single" w:sz="8" w:space="0" w:color="5FFF00"/>
                        </w:tcBorders>
                      </w:tcPr>
                      <w:p>
                        <w:pPr>
                          <w:pStyle w:val="TableParagraph"/>
                          <w:spacing w:before="111"/>
                          <w:ind w:right="39"/>
                          <w:rPr>
                            <w:sz w:val="16"/>
                          </w:rPr>
                        </w:pPr>
                        <w:r>
                          <w:rPr>
                            <w:w w:val="100"/>
                            <w:sz w:val="16"/>
                          </w:rPr>
                          <w:t>-</w:t>
                        </w:r>
                      </w:p>
                    </w:tc>
                    <w:tc>
                      <w:tcPr>
                        <w:tcW w:w="1308" w:type="dxa"/>
                        <w:tcBorders>
                          <w:top w:val="single" w:sz="8" w:space="0" w:color="5FFF00"/>
                          <w:bottom w:val="single" w:sz="8" w:space="0" w:color="5FFF00"/>
                        </w:tcBorders>
                      </w:tcPr>
                      <w:p>
                        <w:pPr>
                          <w:pStyle w:val="TableParagraph"/>
                          <w:spacing w:before="111"/>
                          <w:ind w:right="324"/>
                          <w:jc w:val="right"/>
                          <w:rPr>
                            <w:sz w:val="16"/>
                          </w:rPr>
                        </w:pPr>
                        <w:r>
                          <w:rPr>
                            <w:w w:val="105"/>
                            <w:sz w:val="16"/>
                          </w:rPr>
                          <w:t>10,085</w:t>
                        </w:r>
                      </w:p>
                    </w:tc>
                    <w:tc>
                      <w:tcPr>
                        <w:tcW w:w="1093" w:type="dxa"/>
                        <w:tcBorders>
                          <w:top w:val="single" w:sz="8" w:space="0" w:color="5FFF00"/>
                          <w:bottom w:val="single" w:sz="8" w:space="0" w:color="5FFF00"/>
                        </w:tcBorders>
                      </w:tcPr>
                      <w:p>
                        <w:pPr>
                          <w:pStyle w:val="TableParagraph"/>
                          <w:spacing w:before="111"/>
                          <w:ind w:left="263" w:right="247"/>
                          <w:rPr>
                            <w:sz w:val="16"/>
                          </w:rPr>
                        </w:pPr>
                        <w:r>
                          <w:rPr>
                            <w:w w:val="110"/>
                            <w:sz w:val="16"/>
                          </w:rPr>
                          <w:t>3.0%</w:t>
                        </w:r>
                      </w:p>
                    </w:tc>
                  </w:tr>
                  <w:tr>
                    <w:trPr>
                      <w:trHeight w:val="402" w:hRule="atLeast"/>
                    </w:trPr>
                    <w:tc>
                      <w:tcPr>
                        <w:tcW w:w="7112" w:type="dxa"/>
                        <w:tcBorders>
                          <w:top w:val="single" w:sz="8" w:space="0" w:color="5FFF00"/>
                          <w:bottom w:val="single" w:sz="8" w:space="0" w:color="5FFF00"/>
                        </w:tcBorders>
                      </w:tcPr>
                      <w:p>
                        <w:pPr>
                          <w:pStyle w:val="TableParagraph"/>
                          <w:tabs>
                            <w:tab w:pos="2229" w:val="left" w:leader="none"/>
                            <w:tab w:pos="3622" w:val="left" w:leader="none"/>
                            <w:tab w:pos="6174" w:val="left" w:leader="none"/>
                          </w:tabs>
                          <w:spacing w:before="2"/>
                          <w:ind w:left="158"/>
                          <w:jc w:val="left"/>
                          <w:rPr>
                            <w:sz w:val="16"/>
                          </w:rPr>
                        </w:pPr>
                        <w:r>
                          <w:rPr>
                            <w:sz w:val="16"/>
                          </w:rPr>
                          <w:t>Embassy</w:t>
                        </w:r>
                        <w:r>
                          <w:rPr>
                            <w:spacing w:val="1"/>
                            <w:sz w:val="16"/>
                          </w:rPr>
                          <w:t> </w:t>
                        </w:r>
                        <w:r>
                          <w:rPr>
                            <w:sz w:val="16"/>
                          </w:rPr>
                          <w:t>Oxygen,</w:t>
                          <w:tab/>
                        </w:r>
                        <w:r>
                          <w:rPr>
                            <w:position w:val="1"/>
                            <w:sz w:val="16"/>
                          </w:rPr>
                          <w:t>Office</w:t>
                          <w:tab/>
                        </w:r>
                        <w:r>
                          <w:rPr>
                            <w:sz w:val="16"/>
                          </w:rPr>
                          <w:t>Completed office -</w:t>
                        </w:r>
                        <w:r>
                          <w:rPr>
                            <w:spacing w:val="-26"/>
                            <w:sz w:val="16"/>
                          </w:rPr>
                          <w:t> </w:t>
                        </w:r>
                        <w:r>
                          <w:rPr>
                            <w:sz w:val="16"/>
                          </w:rPr>
                          <w:t>2.5</w:t>
                        </w:r>
                        <w:r>
                          <w:rPr>
                            <w:spacing w:val="-10"/>
                            <w:sz w:val="16"/>
                          </w:rPr>
                          <w:t> </w:t>
                        </w:r>
                        <w:r>
                          <w:rPr>
                            <w:sz w:val="16"/>
                          </w:rPr>
                          <w:t>msf</w:t>
                          <w:tab/>
                        </w:r>
                        <w:r>
                          <w:rPr>
                            <w:position w:val="-9"/>
                            <w:sz w:val="16"/>
                          </w:rPr>
                          <w:t>19,492</w:t>
                        </w:r>
                      </w:p>
                    </w:tc>
                    <w:tc>
                      <w:tcPr>
                        <w:tcW w:w="1303" w:type="dxa"/>
                        <w:tcBorders>
                          <w:top w:val="single" w:sz="8" w:space="0" w:color="5FFF00"/>
                          <w:bottom w:val="single" w:sz="8" w:space="0" w:color="5FFF00"/>
                        </w:tcBorders>
                      </w:tcPr>
                      <w:p>
                        <w:pPr>
                          <w:pStyle w:val="TableParagraph"/>
                          <w:spacing w:before="108"/>
                          <w:ind w:left="346" w:right="388"/>
                          <w:rPr>
                            <w:sz w:val="16"/>
                          </w:rPr>
                        </w:pPr>
                        <w:r>
                          <w:rPr>
                            <w:w w:val="105"/>
                            <w:sz w:val="16"/>
                          </w:rPr>
                          <w:t>1,924</w:t>
                        </w:r>
                      </w:p>
                    </w:tc>
                    <w:tc>
                      <w:tcPr>
                        <w:tcW w:w="1308" w:type="dxa"/>
                        <w:tcBorders>
                          <w:top w:val="single" w:sz="8" w:space="0" w:color="5FFF00"/>
                          <w:bottom w:val="single" w:sz="8" w:space="0" w:color="5FFF00"/>
                        </w:tcBorders>
                      </w:tcPr>
                      <w:p>
                        <w:pPr>
                          <w:pStyle w:val="TableParagraph"/>
                          <w:spacing w:before="108"/>
                          <w:ind w:right="324"/>
                          <w:jc w:val="right"/>
                          <w:rPr>
                            <w:sz w:val="16"/>
                          </w:rPr>
                        </w:pPr>
                        <w:r>
                          <w:rPr>
                            <w:w w:val="105"/>
                            <w:sz w:val="16"/>
                          </w:rPr>
                          <w:t>21,416</w:t>
                        </w:r>
                      </w:p>
                    </w:tc>
                    <w:tc>
                      <w:tcPr>
                        <w:tcW w:w="1093" w:type="dxa"/>
                        <w:tcBorders>
                          <w:top w:val="single" w:sz="8" w:space="0" w:color="5FFF00"/>
                          <w:bottom w:val="single" w:sz="8" w:space="0" w:color="5FFF00"/>
                        </w:tcBorders>
                      </w:tcPr>
                      <w:p>
                        <w:pPr>
                          <w:pStyle w:val="TableParagraph"/>
                          <w:spacing w:before="108"/>
                          <w:ind w:left="263" w:right="247"/>
                          <w:rPr>
                            <w:sz w:val="16"/>
                          </w:rPr>
                        </w:pPr>
                        <w:r>
                          <w:rPr>
                            <w:w w:val="110"/>
                            <w:sz w:val="16"/>
                          </w:rPr>
                          <w:t>6.5%</w:t>
                        </w:r>
                      </w:p>
                    </w:tc>
                  </w:tr>
                  <w:tr>
                    <w:trPr>
                      <w:trHeight w:val="383" w:hRule="atLeast"/>
                    </w:trPr>
                    <w:tc>
                      <w:tcPr>
                        <w:tcW w:w="7112" w:type="dxa"/>
                        <w:tcBorders>
                          <w:top w:val="single" w:sz="8" w:space="0" w:color="5FFF00"/>
                          <w:bottom w:val="single" w:sz="8" w:space="0" w:color="5FFF00"/>
                        </w:tcBorders>
                      </w:tcPr>
                      <w:p>
                        <w:pPr>
                          <w:pStyle w:val="TableParagraph"/>
                          <w:tabs>
                            <w:tab w:pos="1850" w:val="left" w:leader="none"/>
                            <w:tab w:pos="3622" w:val="left" w:leader="none"/>
                            <w:tab w:pos="6219" w:val="left" w:leader="none"/>
                          </w:tabs>
                          <w:spacing w:line="285" w:lineRule="exact"/>
                          <w:ind w:left="184"/>
                          <w:jc w:val="left"/>
                          <w:rPr>
                            <w:sz w:val="16"/>
                          </w:rPr>
                        </w:pPr>
                        <w:r>
                          <w:rPr>
                            <w:position w:val="10"/>
                            <w:sz w:val="16"/>
                          </w:rPr>
                          <w:t>Embassy</w:t>
                        </w:r>
                        <w:r>
                          <w:rPr>
                            <w:spacing w:val="-3"/>
                            <w:position w:val="10"/>
                            <w:sz w:val="16"/>
                          </w:rPr>
                          <w:t> </w:t>
                        </w:r>
                        <w:r>
                          <w:rPr>
                            <w:position w:val="10"/>
                            <w:sz w:val="16"/>
                          </w:rPr>
                          <w:t>Galaxy,</w:t>
                          <w:tab/>
                        </w:r>
                        <w:r>
                          <w:rPr>
                            <w:sz w:val="16"/>
                          </w:rPr>
                          <w:t>Office</w:t>
                        </w:r>
                        <w:r>
                          <w:rPr>
                            <w:spacing w:val="-4"/>
                            <w:sz w:val="16"/>
                          </w:rPr>
                          <w:t> </w:t>
                        </w:r>
                        <w:r>
                          <w:rPr>
                            <w:sz w:val="16"/>
                          </w:rPr>
                          <w:t>(Non-SEZ)</w:t>
                          <w:tab/>
                          <w:t>Completed office -</w:t>
                        </w:r>
                        <w:r>
                          <w:rPr>
                            <w:spacing w:val="-26"/>
                            <w:sz w:val="16"/>
                          </w:rPr>
                          <w:t> </w:t>
                        </w:r>
                        <w:r>
                          <w:rPr>
                            <w:sz w:val="16"/>
                          </w:rPr>
                          <w:t>1.4</w:t>
                        </w:r>
                        <w:r>
                          <w:rPr>
                            <w:spacing w:val="-10"/>
                            <w:sz w:val="16"/>
                          </w:rPr>
                          <w:t> </w:t>
                        </w:r>
                        <w:r>
                          <w:rPr>
                            <w:sz w:val="16"/>
                          </w:rPr>
                          <w:t>msf</w:t>
                          <w:tab/>
                          <w:t>8,696</w:t>
                        </w:r>
                      </w:p>
                    </w:tc>
                    <w:tc>
                      <w:tcPr>
                        <w:tcW w:w="1303" w:type="dxa"/>
                        <w:tcBorders>
                          <w:top w:val="single" w:sz="8" w:space="0" w:color="5FFF00"/>
                          <w:bottom w:val="single" w:sz="8" w:space="0" w:color="5FFF00"/>
                        </w:tcBorders>
                      </w:tcPr>
                      <w:p>
                        <w:pPr>
                          <w:pStyle w:val="TableParagraph"/>
                          <w:spacing w:before="99"/>
                          <w:ind w:right="39"/>
                          <w:rPr>
                            <w:sz w:val="16"/>
                          </w:rPr>
                        </w:pPr>
                        <w:r>
                          <w:rPr>
                            <w:w w:val="100"/>
                            <w:sz w:val="16"/>
                          </w:rPr>
                          <w:t>-</w:t>
                        </w:r>
                      </w:p>
                    </w:tc>
                    <w:tc>
                      <w:tcPr>
                        <w:tcW w:w="1308" w:type="dxa"/>
                        <w:tcBorders>
                          <w:top w:val="single" w:sz="8" w:space="0" w:color="5FFF00"/>
                          <w:bottom w:val="single" w:sz="8" w:space="0" w:color="5FFF00"/>
                        </w:tcBorders>
                      </w:tcPr>
                      <w:p>
                        <w:pPr>
                          <w:pStyle w:val="TableParagraph"/>
                          <w:spacing w:before="99"/>
                          <w:ind w:right="372"/>
                          <w:jc w:val="right"/>
                          <w:rPr>
                            <w:sz w:val="16"/>
                          </w:rPr>
                        </w:pPr>
                        <w:r>
                          <w:rPr>
                            <w:w w:val="105"/>
                            <w:sz w:val="16"/>
                          </w:rPr>
                          <w:t>8,696</w:t>
                        </w:r>
                      </w:p>
                    </w:tc>
                    <w:tc>
                      <w:tcPr>
                        <w:tcW w:w="1093" w:type="dxa"/>
                        <w:tcBorders>
                          <w:top w:val="single" w:sz="8" w:space="0" w:color="5FFF00"/>
                          <w:bottom w:val="single" w:sz="8" w:space="0" w:color="5FFF00"/>
                        </w:tcBorders>
                      </w:tcPr>
                      <w:p>
                        <w:pPr>
                          <w:pStyle w:val="TableParagraph"/>
                          <w:spacing w:before="99"/>
                          <w:ind w:left="263" w:right="247"/>
                          <w:rPr>
                            <w:sz w:val="16"/>
                          </w:rPr>
                        </w:pPr>
                        <w:r>
                          <w:rPr>
                            <w:w w:val="110"/>
                            <w:sz w:val="16"/>
                          </w:rPr>
                          <w:t>2.6%</w:t>
                        </w:r>
                      </w:p>
                    </w:tc>
                  </w:tr>
                  <w:tr>
                    <w:trPr>
                      <w:trHeight w:val="575" w:hRule="atLeast"/>
                    </w:trPr>
                    <w:tc>
                      <w:tcPr>
                        <w:tcW w:w="7112" w:type="dxa"/>
                        <w:tcBorders>
                          <w:top w:val="single" w:sz="8" w:space="0" w:color="5FFF00"/>
                          <w:bottom w:val="single" w:sz="8" w:space="0" w:color="5FFF00"/>
                        </w:tcBorders>
                      </w:tcPr>
                      <w:p>
                        <w:pPr>
                          <w:pStyle w:val="TableParagraph"/>
                          <w:tabs>
                            <w:tab w:pos="2088" w:val="left" w:leader="none"/>
                            <w:tab w:pos="3694" w:val="left" w:leader="none"/>
                          </w:tabs>
                          <w:spacing w:line="241" w:lineRule="exact" w:before="1"/>
                          <w:ind w:left="273"/>
                          <w:jc w:val="left"/>
                          <w:rPr>
                            <w:sz w:val="16"/>
                          </w:rPr>
                        </w:pPr>
                        <w:r>
                          <w:rPr>
                            <w:sz w:val="16"/>
                          </w:rPr>
                          <w:t>Embassy</w:t>
                        </w:r>
                        <w:r>
                          <w:rPr>
                            <w:spacing w:val="4"/>
                            <w:sz w:val="16"/>
                          </w:rPr>
                          <w:t> </w:t>
                        </w:r>
                        <w:r>
                          <w:rPr>
                            <w:sz w:val="16"/>
                          </w:rPr>
                          <w:t>One,</w:t>
                          <w:tab/>
                        </w:r>
                        <w:r>
                          <w:rPr>
                            <w:position w:val="10"/>
                            <w:sz w:val="16"/>
                          </w:rPr>
                          <w:t>Mixed-use</w:t>
                          <w:tab/>
                        </w:r>
                        <w:r>
                          <w:rPr>
                            <w:sz w:val="16"/>
                          </w:rPr>
                          <w:t>Office &amp; Retail - 0.3</w:t>
                        </w:r>
                        <w:r>
                          <w:rPr>
                            <w:spacing w:val="-17"/>
                            <w:sz w:val="16"/>
                          </w:rPr>
                          <w:t> </w:t>
                        </w:r>
                        <w:r>
                          <w:rPr>
                            <w:sz w:val="16"/>
                          </w:rPr>
                          <w:t>msf</w:t>
                        </w:r>
                      </w:p>
                      <w:p>
                        <w:pPr>
                          <w:pStyle w:val="TableParagraph"/>
                          <w:tabs>
                            <w:tab w:pos="1548" w:val="left" w:leader="none"/>
                            <w:tab w:pos="3711" w:val="left" w:leader="none"/>
                            <w:tab w:pos="6174" w:val="left" w:leader="none"/>
                          </w:tabs>
                          <w:spacing w:line="168" w:lineRule="auto"/>
                          <w:ind w:left="420"/>
                          <w:jc w:val="left"/>
                          <w:rPr>
                            <w:sz w:val="16"/>
                          </w:rPr>
                        </w:pPr>
                        <w:r>
                          <w:rPr>
                            <w:position w:val="-8"/>
                            <w:sz w:val="16"/>
                          </w:rPr>
                          <w:t>Bengaluru</w:t>
                          <w:tab/>
                        </w:r>
                        <w:r>
                          <w:rPr>
                            <w:sz w:val="16"/>
                          </w:rPr>
                          <w:t>(Office</w:t>
                        </w:r>
                        <w:r>
                          <w:rPr>
                            <w:spacing w:val="23"/>
                            <w:sz w:val="16"/>
                          </w:rPr>
                          <w:t> </w:t>
                        </w:r>
                        <w:r>
                          <w:rPr>
                            <w:sz w:val="16"/>
                          </w:rPr>
                          <w:t>(Non-SEZ),</w:t>
                        </w:r>
                        <w:r>
                          <w:rPr>
                            <w:spacing w:val="-12"/>
                            <w:sz w:val="16"/>
                          </w:rPr>
                          <w:t> </w:t>
                        </w:r>
                        <w:r>
                          <w:rPr>
                            <w:sz w:val="16"/>
                          </w:rPr>
                          <w:t>Hotel,</w:t>
                          <w:tab/>
                        </w:r>
                        <w:r>
                          <w:rPr>
                            <w:position w:val="-8"/>
                            <w:sz w:val="16"/>
                          </w:rPr>
                          <w:t>Hotel (5 star) -</w:t>
                        </w:r>
                        <w:r>
                          <w:rPr>
                            <w:spacing w:val="-24"/>
                            <w:position w:val="-8"/>
                            <w:sz w:val="16"/>
                          </w:rPr>
                          <w:t> </w:t>
                        </w:r>
                        <w:r>
                          <w:rPr>
                            <w:position w:val="-8"/>
                            <w:sz w:val="16"/>
                          </w:rPr>
                          <w:t>230</w:t>
                        </w:r>
                        <w:r>
                          <w:rPr>
                            <w:spacing w:val="-7"/>
                            <w:position w:val="-8"/>
                            <w:sz w:val="16"/>
                          </w:rPr>
                          <w:t> </w:t>
                        </w:r>
                        <w:r>
                          <w:rPr>
                            <w:position w:val="-8"/>
                            <w:sz w:val="16"/>
                          </w:rPr>
                          <w:t>Keys</w:t>
                          <w:tab/>
                        </w:r>
                        <w:r>
                          <w:rPr>
                            <w:sz w:val="16"/>
                          </w:rPr>
                          <w:t>12,570</w:t>
                        </w:r>
                      </w:p>
                    </w:tc>
                    <w:tc>
                      <w:tcPr>
                        <w:tcW w:w="1303" w:type="dxa"/>
                        <w:tcBorders>
                          <w:top w:val="single" w:sz="8" w:space="0" w:color="5FFF00"/>
                          <w:bottom w:val="single" w:sz="8" w:space="0" w:color="5FFF00"/>
                        </w:tcBorders>
                      </w:tcPr>
                      <w:p>
                        <w:pPr>
                          <w:pStyle w:val="TableParagraph"/>
                          <w:spacing w:before="11"/>
                          <w:jc w:val="left"/>
                          <w:rPr>
                            <w:sz w:val="16"/>
                          </w:rPr>
                        </w:pPr>
                      </w:p>
                      <w:p>
                        <w:pPr>
                          <w:pStyle w:val="TableParagraph"/>
                          <w:ind w:right="39"/>
                          <w:rPr>
                            <w:sz w:val="16"/>
                          </w:rPr>
                        </w:pPr>
                        <w:r>
                          <w:rPr>
                            <w:w w:val="100"/>
                            <w:sz w:val="16"/>
                          </w:rPr>
                          <w:t>-</w:t>
                        </w:r>
                      </w:p>
                    </w:tc>
                    <w:tc>
                      <w:tcPr>
                        <w:tcW w:w="1308" w:type="dxa"/>
                        <w:tcBorders>
                          <w:top w:val="single" w:sz="8" w:space="0" w:color="5FFF00"/>
                          <w:bottom w:val="single" w:sz="8" w:space="0" w:color="5FFF00"/>
                        </w:tcBorders>
                      </w:tcPr>
                      <w:p>
                        <w:pPr>
                          <w:pStyle w:val="TableParagraph"/>
                          <w:spacing w:before="11"/>
                          <w:jc w:val="left"/>
                          <w:rPr>
                            <w:sz w:val="16"/>
                          </w:rPr>
                        </w:pPr>
                      </w:p>
                      <w:p>
                        <w:pPr>
                          <w:pStyle w:val="TableParagraph"/>
                          <w:ind w:right="324"/>
                          <w:jc w:val="right"/>
                          <w:rPr>
                            <w:sz w:val="16"/>
                          </w:rPr>
                        </w:pPr>
                        <w:r>
                          <w:rPr>
                            <w:w w:val="105"/>
                            <w:sz w:val="16"/>
                          </w:rPr>
                          <w:t>12,570</w:t>
                        </w:r>
                      </w:p>
                    </w:tc>
                    <w:tc>
                      <w:tcPr>
                        <w:tcW w:w="1093" w:type="dxa"/>
                        <w:tcBorders>
                          <w:top w:val="single" w:sz="8" w:space="0" w:color="5FFF00"/>
                          <w:bottom w:val="single" w:sz="8" w:space="0" w:color="5FFF00"/>
                        </w:tcBorders>
                      </w:tcPr>
                      <w:p>
                        <w:pPr>
                          <w:pStyle w:val="TableParagraph"/>
                          <w:spacing w:before="11"/>
                          <w:jc w:val="left"/>
                          <w:rPr>
                            <w:sz w:val="16"/>
                          </w:rPr>
                        </w:pPr>
                      </w:p>
                      <w:p>
                        <w:pPr>
                          <w:pStyle w:val="TableParagraph"/>
                          <w:ind w:left="263" w:right="247"/>
                          <w:rPr>
                            <w:sz w:val="16"/>
                          </w:rPr>
                        </w:pPr>
                        <w:r>
                          <w:rPr>
                            <w:w w:val="110"/>
                            <w:sz w:val="16"/>
                          </w:rPr>
                          <w:t>3.8%</w:t>
                        </w:r>
                      </w:p>
                    </w:tc>
                  </w:tr>
                  <w:tr>
                    <w:trPr>
                      <w:trHeight w:val="385" w:hRule="atLeast"/>
                    </w:trPr>
                    <w:tc>
                      <w:tcPr>
                        <w:tcW w:w="7112" w:type="dxa"/>
                        <w:tcBorders>
                          <w:top w:val="single" w:sz="8" w:space="0" w:color="5FFF00"/>
                          <w:bottom w:val="single" w:sz="8" w:space="0" w:color="5FFF00"/>
                        </w:tcBorders>
                      </w:tcPr>
                      <w:p>
                        <w:pPr>
                          <w:pStyle w:val="TableParagraph"/>
                          <w:tabs>
                            <w:tab w:pos="2258" w:val="left" w:leader="none"/>
                            <w:tab w:pos="3711" w:val="left" w:leader="none"/>
                            <w:tab w:pos="6219" w:val="left" w:leader="none"/>
                          </w:tabs>
                          <w:spacing w:before="1"/>
                          <w:ind w:left="155"/>
                          <w:jc w:val="left"/>
                          <w:rPr>
                            <w:sz w:val="16"/>
                          </w:rPr>
                        </w:pPr>
                        <w:r>
                          <w:rPr>
                            <w:position w:val="10"/>
                            <w:sz w:val="16"/>
                          </w:rPr>
                          <w:t>Hilton</w:t>
                        </w:r>
                        <w:r>
                          <w:rPr>
                            <w:spacing w:val="-9"/>
                            <w:position w:val="10"/>
                            <w:sz w:val="16"/>
                          </w:rPr>
                          <w:t> </w:t>
                        </w:r>
                        <w:r>
                          <w:rPr>
                            <w:position w:val="10"/>
                            <w:sz w:val="16"/>
                          </w:rPr>
                          <w:t>at</w:t>
                        </w:r>
                        <w:r>
                          <w:rPr>
                            <w:spacing w:val="-8"/>
                            <w:position w:val="10"/>
                            <w:sz w:val="16"/>
                          </w:rPr>
                          <w:t> </w:t>
                        </w:r>
                        <w:r>
                          <w:rPr>
                            <w:position w:val="10"/>
                            <w:sz w:val="16"/>
                          </w:rPr>
                          <w:t>Embassy</w:t>
                          <w:tab/>
                        </w:r>
                        <w:r>
                          <w:rPr>
                            <w:sz w:val="16"/>
                          </w:rPr>
                          <w:t>Hotel</w:t>
                          <w:tab/>
                          <w:t>Hotel (5 star) -</w:t>
                        </w:r>
                        <w:r>
                          <w:rPr>
                            <w:spacing w:val="-24"/>
                            <w:sz w:val="16"/>
                          </w:rPr>
                          <w:t> </w:t>
                        </w:r>
                        <w:r>
                          <w:rPr>
                            <w:sz w:val="16"/>
                          </w:rPr>
                          <w:t>247</w:t>
                        </w:r>
                        <w:r>
                          <w:rPr>
                            <w:spacing w:val="-7"/>
                            <w:sz w:val="16"/>
                          </w:rPr>
                          <w:t> </w:t>
                        </w:r>
                        <w:r>
                          <w:rPr>
                            <w:sz w:val="16"/>
                          </w:rPr>
                          <w:t>Keys</w:t>
                          <w:tab/>
                          <w:t>4,436</w:t>
                        </w:r>
                      </w:p>
                    </w:tc>
                    <w:tc>
                      <w:tcPr>
                        <w:tcW w:w="1303" w:type="dxa"/>
                        <w:tcBorders>
                          <w:top w:val="single" w:sz="8" w:space="0" w:color="5FFF00"/>
                          <w:bottom w:val="single" w:sz="8" w:space="0" w:color="5FFF00"/>
                        </w:tcBorders>
                      </w:tcPr>
                      <w:p>
                        <w:pPr>
                          <w:pStyle w:val="TableParagraph"/>
                          <w:spacing w:before="101"/>
                          <w:ind w:right="39"/>
                          <w:rPr>
                            <w:sz w:val="16"/>
                          </w:rPr>
                        </w:pPr>
                        <w:r>
                          <w:rPr>
                            <w:w w:val="100"/>
                            <w:sz w:val="16"/>
                          </w:rPr>
                          <w:t>-</w:t>
                        </w:r>
                      </w:p>
                    </w:tc>
                    <w:tc>
                      <w:tcPr>
                        <w:tcW w:w="1308" w:type="dxa"/>
                        <w:tcBorders>
                          <w:top w:val="single" w:sz="8" w:space="0" w:color="5FFF00"/>
                          <w:bottom w:val="single" w:sz="8" w:space="0" w:color="5FFF00"/>
                        </w:tcBorders>
                      </w:tcPr>
                      <w:p>
                        <w:pPr>
                          <w:pStyle w:val="TableParagraph"/>
                          <w:spacing w:before="101"/>
                          <w:ind w:right="372"/>
                          <w:jc w:val="right"/>
                          <w:rPr>
                            <w:sz w:val="16"/>
                          </w:rPr>
                        </w:pPr>
                        <w:r>
                          <w:rPr>
                            <w:w w:val="105"/>
                            <w:sz w:val="16"/>
                          </w:rPr>
                          <w:t>4,436</w:t>
                        </w:r>
                      </w:p>
                    </w:tc>
                    <w:tc>
                      <w:tcPr>
                        <w:tcW w:w="1093" w:type="dxa"/>
                        <w:tcBorders>
                          <w:top w:val="single" w:sz="8" w:space="0" w:color="5FFF00"/>
                          <w:bottom w:val="single" w:sz="8" w:space="0" w:color="5FFF00"/>
                        </w:tcBorders>
                      </w:tcPr>
                      <w:p>
                        <w:pPr>
                          <w:pStyle w:val="TableParagraph"/>
                          <w:spacing w:before="101"/>
                          <w:ind w:left="263" w:right="247"/>
                          <w:rPr>
                            <w:sz w:val="16"/>
                          </w:rPr>
                        </w:pPr>
                        <w:r>
                          <w:rPr>
                            <w:w w:val="110"/>
                            <w:sz w:val="16"/>
                          </w:rPr>
                          <w:t>1.3%</w:t>
                        </w:r>
                      </w:p>
                    </w:tc>
                  </w:tr>
                  <w:tr>
                    <w:trPr>
                      <w:trHeight w:val="575" w:hRule="atLeast"/>
                    </w:trPr>
                    <w:tc>
                      <w:tcPr>
                        <w:tcW w:w="7112" w:type="dxa"/>
                        <w:tcBorders>
                          <w:top w:val="single" w:sz="8" w:space="0" w:color="5FFF00"/>
                          <w:bottom w:val="single" w:sz="8" w:space="0" w:color="5FFF00"/>
                        </w:tcBorders>
                      </w:tcPr>
                      <w:p>
                        <w:pPr>
                          <w:pStyle w:val="TableParagraph"/>
                          <w:tabs>
                            <w:tab w:pos="3401" w:val="left" w:leader="none"/>
                          </w:tabs>
                          <w:spacing w:line="288" w:lineRule="exact" w:before="19"/>
                          <w:ind w:left="415" w:right="1480" w:hanging="224"/>
                          <w:jc w:val="left"/>
                          <w:rPr>
                            <w:sz w:val="16"/>
                          </w:rPr>
                        </w:pPr>
                        <w:r>
                          <w:rPr>
                            <w:position w:val="10"/>
                            <w:sz w:val="16"/>
                          </w:rPr>
                          <w:t>Embassy</w:t>
                        </w:r>
                        <w:r>
                          <w:rPr>
                            <w:spacing w:val="-6"/>
                            <w:position w:val="10"/>
                            <w:sz w:val="16"/>
                          </w:rPr>
                          <w:t> </w:t>
                        </w:r>
                        <w:r>
                          <w:rPr>
                            <w:position w:val="10"/>
                            <w:sz w:val="16"/>
                          </w:rPr>
                          <w:t>Energy,</w:t>
                          <w:tab/>
                        </w:r>
                        <w:r>
                          <w:rPr>
                            <w:sz w:val="16"/>
                          </w:rPr>
                          <w:t>Installed capacity of 130 MW Karnataka</w:t>
                        </w:r>
                      </w:p>
                    </w:tc>
                    <w:tc>
                      <w:tcPr>
                        <w:tcW w:w="1303" w:type="dxa"/>
                        <w:tcBorders>
                          <w:top w:val="single" w:sz="8" w:space="0" w:color="5FFF00"/>
                          <w:bottom w:val="single" w:sz="8" w:space="0" w:color="5FFF00"/>
                        </w:tcBorders>
                      </w:tcPr>
                      <w:p>
                        <w:pPr>
                          <w:pStyle w:val="TableParagraph"/>
                          <w:spacing w:before="9"/>
                          <w:jc w:val="left"/>
                          <w:rPr>
                            <w:sz w:val="16"/>
                          </w:rPr>
                        </w:pPr>
                      </w:p>
                      <w:p>
                        <w:pPr>
                          <w:pStyle w:val="TableParagraph"/>
                          <w:ind w:right="39"/>
                          <w:rPr>
                            <w:sz w:val="16"/>
                          </w:rPr>
                        </w:pPr>
                        <w:r>
                          <w:rPr>
                            <w:w w:val="100"/>
                            <w:sz w:val="16"/>
                          </w:rPr>
                          <w:t>-</w:t>
                        </w:r>
                      </w:p>
                    </w:tc>
                    <w:tc>
                      <w:tcPr>
                        <w:tcW w:w="1308" w:type="dxa"/>
                        <w:tcBorders>
                          <w:top w:val="single" w:sz="8" w:space="0" w:color="5FFF00"/>
                          <w:bottom w:val="single" w:sz="8" w:space="0" w:color="5FFF00"/>
                        </w:tcBorders>
                      </w:tcPr>
                      <w:p>
                        <w:pPr>
                          <w:pStyle w:val="TableParagraph"/>
                          <w:spacing w:before="9"/>
                          <w:jc w:val="left"/>
                          <w:rPr>
                            <w:sz w:val="16"/>
                          </w:rPr>
                        </w:pPr>
                      </w:p>
                      <w:p>
                        <w:pPr>
                          <w:pStyle w:val="TableParagraph"/>
                          <w:ind w:right="324"/>
                          <w:jc w:val="right"/>
                          <w:rPr>
                            <w:sz w:val="16"/>
                          </w:rPr>
                        </w:pPr>
                        <w:r>
                          <w:rPr>
                            <w:w w:val="105"/>
                            <w:sz w:val="16"/>
                          </w:rPr>
                          <w:t>10,289</w:t>
                        </w:r>
                      </w:p>
                    </w:tc>
                    <w:tc>
                      <w:tcPr>
                        <w:tcW w:w="1093" w:type="dxa"/>
                        <w:tcBorders>
                          <w:top w:val="single" w:sz="8" w:space="0" w:color="5FFF00"/>
                          <w:bottom w:val="single" w:sz="8" w:space="0" w:color="5FFF00"/>
                        </w:tcBorders>
                      </w:tcPr>
                      <w:p>
                        <w:pPr>
                          <w:pStyle w:val="TableParagraph"/>
                          <w:spacing w:before="9"/>
                          <w:jc w:val="left"/>
                          <w:rPr>
                            <w:sz w:val="16"/>
                          </w:rPr>
                        </w:pPr>
                      </w:p>
                      <w:p>
                        <w:pPr>
                          <w:pStyle w:val="TableParagraph"/>
                          <w:ind w:left="263" w:right="247"/>
                          <w:rPr>
                            <w:sz w:val="16"/>
                          </w:rPr>
                        </w:pPr>
                        <w:r>
                          <w:rPr>
                            <w:w w:val="110"/>
                            <w:sz w:val="16"/>
                          </w:rPr>
                          <w:t>3.1%</w:t>
                        </w:r>
                      </w:p>
                    </w:tc>
                  </w:tr>
                  <w:tr>
                    <w:trPr>
                      <w:trHeight w:val="363" w:hRule="atLeast"/>
                    </w:trPr>
                    <w:tc>
                      <w:tcPr>
                        <w:tcW w:w="7112" w:type="dxa"/>
                        <w:tcBorders>
                          <w:top w:val="single" w:sz="8" w:space="0" w:color="5FFF00"/>
                          <w:bottom w:val="single" w:sz="8" w:space="0" w:color="5FFF00"/>
                        </w:tcBorders>
                        <w:shd w:val="clear" w:color="auto" w:fill="D5F7AE"/>
                      </w:tcPr>
                      <w:p>
                        <w:pPr>
                          <w:pStyle w:val="TableParagraph"/>
                          <w:tabs>
                            <w:tab w:pos="6126" w:val="left" w:leader="none"/>
                          </w:tabs>
                          <w:spacing w:line="211" w:lineRule="auto"/>
                          <w:ind w:left="62"/>
                          <w:jc w:val="left"/>
                          <w:rPr>
                            <w:sz w:val="16"/>
                          </w:rPr>
                        </w:pPr>
                        <w:r>
                          <w:rPr>
                            <w:w w:val="110"/>
                            <w:sz w:val="16"/>
                          </w:rPr>
                          <w:t>Total –</w:t>
                        </w:r>
                        <w:r>
                          <w:rPr>
                            <w:spacing w:val="-41"/>
                            <w:w w:val="110"/>
                            <w:sz w:val="16"/>
                          </w:rPr>
                          <w:t> </w:t>
                        </w:r>
                        <w:r>
                          <w:rPr>
                            <w:w w:val="110"/>
                            <w:sz w:val="16"/>
                          </w:rPr>
                          <w:t>100%</w:t>
                        </w:r>
                        <w:r>
                          <w:rPr>
                            <w:spacing w:val="-20"/>
                            <w:w w:val="110"/>
                            <w:sz w:val="16"/>
                          </w:rPr>
                          <w:t> </w:t>
                        </w:r>
                        <w:r>
                          <w:rPr>
                            <w:w w:val="110"/>
                            <w:sz w:val="16"/>
                          </w:rPr>
                          <w:t>owned</w:t>
                          <w:tab/>
                        </w:r>
                        <w:r>
                          <w:rPr>
                            <w:w w:val="110"/>
                            <w:position w:val="-9"/>
                            <w:sz w:val="16"/>
                          </w:rPr>
                          <w:t>272,688</w:t>
                        </w:r>
                      </w:p>
                    </w:tc>
                    <w:tc>
                      <w:tcPr>
                        <w:tcW w:w="1303" w:type="dxa"/>
                        <w:tcBorders>
                          <w:top w:val="single" w:sz="8" w:space="0" w:color="5FFF00"/>
                          <w:bottom w:val="single" w:sz="8" w:space="0" w:color="5FFF00"/>
                        </w:tcBorders>
                        <w:shd w:val="clear" w:color="auto" w:fill="D5F7AE"/>
                      </w:tcPr>
                      <w:p>
                        <w:pPr>
                          <w:pStyle w:val="TableParagraph"/>
                          <w:spacing w:before="79"/>
                          <w:ind w:left="348" w:right="388"/>
                          <w:rPr>
                            <w:sz w:val="16"/>
                          </w:rPr>
                        </w:pPr>
                        <w:r>
                          <w:rPr>
                            <w:w w:val="110"/>
                            <w:sz w:val="16"/>
                          </w:rPr>
                          <w:t>31,981</w:t>
                        </w:r>
                      </w:p>
                    </w:tc>
                    <w:tc>
                      <w:tcPr>
                        <w:tcW w:w="1308" w:type="dxa"/>
                        <w:tcBorders>
                          <w:top w:val="single" w:sz="8" w:space="0" w:color="5FFF00"/>
                          <w:bottom w:val="single" w:sz="8" w:space="0" w:color="5FFF00"/>
                        </w:tcBorders>
                        <w:shd w:val="clear" w:color="auto" w:fill="D5F7AE"/>
                      </w:tcPr>
                      <w:p>
                        <w:pPr>
                          <w:pStyle w:val="TableParagraph"/>
                          <w:spacing w:before="79"/>
                          <w:ind w:right="276"/>
                          <w:jc w:val="right"/>
                          <w:rPr>
                            <w:sz w:val="16"/>
                          </w:rPr>
                        </w:pPr>
                        <w:r>
                          <w:rPr>
                            <w:w w:val="105"/>
                            <w:sz w:val="16"/>
                          </w:rPr>
                          <w:t>304,669</w:t>
                        </w:r>
                      </w:p>
                    </w:tc>
                    <w:tc>
                      <w:tcPr>
                        <w:tcW w:w="1093" w:type="dxa"/>
                        <w:tcBorders>
                          <w:top w:val="single" w:sz="8" w:space="0" w:color="5FFF00"/>
                          <w:bottom w:val="single" w:sz="8" w:space="0" w:color="5FFF00"/>
                        </w:tcBorders>
                        <w:shd w:val="clear" w:color="auto" w:fill="D5F7AE"/>
                      </w:tcPr>
                      <w:p>
                        <w:pPr>
                          <w:pStyle w:val="TableParagraph"/>
                          <w:spacing w:before="79"/>
                          <w:ind w:left="263" w:right="250"/>
                          <w:rPr>
                            <w:sz w:val="16"/>
                          </w:rPr>
                        </w:pPr>
                        <w:r>
                          <w:rPr>
                            <w:w w:val="110"/>
                            <w:sz w:val="16"/>
                          </w:rPr>
                          <w:t>91.9%</w:t>
                        </w:r>
                      </w:p>
                    </w:tc>
                  </w:tr>
                  <w:tr>
                    <w:trPr>
                      <w:trHeight w:val="383" w:hRule="atLeast"/>
                    </w:trPr>
                    <w:tc>
                      <w:tcPr>
                        <w:tcW w:w="7112" w:type="dxa"/>
                        <w:tcBorders>
                          <w:top w:val="single" w:sz="8" w:space="0" w:color="5FFF00"/>
                        </w:tcBorders>
                      </w:tcPr>
                      <w:p>
                        <w:pPr>
                          <w:pStyle w:val="TableParagraph"/>
                          <w:tabs>
                            <w:tab w:pos="1850" w:val="left" w:leader="none"/>
                            <w:tab w:pos="3622" w:val="left" w:leader="none"/>
                            <w:tab w:pos="6174" w:val="left" w:leader="none"/>
                          </w:tabs>
                          <w:spacing w:line="285" w:lineRule="exact"/>
                          <w:ind w:left="103"/>
                          <w:jc w:val="left"/>
                          <w:rPr>
                            <w:sz w:val="16"/>
                          </w:rPr>
                        </w:pPr>
                        <w:r>
                          <w:rPr>
                            <w:position w:val="10"/>
                            <w:sz w:val="16"/>
                          </w:rPr>
                          <w:t>Embassy</w:t>
                        </w:r>
                        <w:r>
                          <w:rPr>
                            <w:spacing w:val="-7"/>
                            <w:position w:val="10"/>
                            <w:sz w:val="16"/>
                          </w:rPr>
                          <w:t> </w:t>
                        </w:r>
                        <w:r>
                          <w:rPr>
                            <w:position w:val="10"/>
                            <w:sz w:val="16"/>
                          </w:rPr>
                          <w:t>GolfLinks,</w:t>
                          <w:tab/>
                        </w:r>
                        <w:r>
                          <w:rPr>
                            <w:sz w:val="16"/>
                          </w:rPr>
                          <w:t>Office</w:t>
                        </w:r>
                        <w:r>
                          <w:rPr>
                            <w:spacing w:val="-4"/>
                            <w:sz w:val="16"/>
                          </w:rPr>
                          <w:t> </w:t>
                        </w:r>
                        <w:r>
                          <w:rPr>
                            <w:sz w:val="16"/>
                          </w:rPr>
                          <w:t>(Non-SEZ)</w:t>
                          <w:tab/>
                          <w:t>Completed office -</w:t>
                        </w:r>
                        <w:r>
                          <w:rPr>
                            <w:spacing w:val="-28"/>
                            <w:sz w:val="16"/>
                          </w:rPr>
                          <w:t> </w:t>
                        </w:r>
                        <w:r>
                          <w:rPr>
                            <w:sz w:val="16"/>
                          </w:rPr>
                          <w:t>2.7</w:t>
                        </w:r>
                        <w:r>
                          <w:rPr>
                            <w:spacing w:val="-9"/>
                            <w:sz w:val="16"/>
                          </w:rPr>
                          <w:t> </w:t>
                        </w:r>
                        <w:r>
                          <w:rPr>
                            <w:sz w:val="16"/>
                          </w:rPr>
                          <w:t>msf</w:t>
                          <w:tab/>
                          <w:t>27,014</w:t>
                        </w:r>
                      </w:p>
                    </w:tc>
                    <w:tc>
                      <w:tcPr>
                        <w:tcW w:w="1303" w:type="dxa"/>
                        <w:tcBorders>
                          <w:top w:val="single" w:sz="8" w:space="0" w:color="5FFF00"/>
                        </w:tcBorders>
                      </w:tcPr>
                      <w:p>
                        <w:pPr>
                          <w:pStyle w:val="TableParagraph"/>
                          <w:spacing w:before="99"/>
                          <w:ind w:right="39"/>
                          <w:rPr>
                            <w:sz w:val="16"/>
                          </w:rPr>
                        </w:pPr>
                        <w:r>
                          <w:rPr>
                            <w:w w:val="100"/>
                            <w:sz w:val="16"/>
                          </w:rPr>
                          <w:t>-</w:t>
                        </w:r>
                      </w:p>
                    </w:tc>
                    <w:tc>
                      <w:tcPr>
                        <w:tcW w:w="1308" w:type="dxa"/>
                        <w:tcBorders>
                          <w:top w:val="single" w:sz="8" w:space="0" w:color="5FFF00"/>
                        </w:tcBorders>
                      </w:tcPr>
                      <w:p>
                        <w:pPr>
                          <w:pStyle w:val="TableParagraph"/>
                          <w:spacing w:before="99"/>
                          <w:ind w:right="296"/>
                          <w:jc w:val="right"/>
                          <w:rPr>
                            <w:sz w:val="16"/>
                          </w:rPr>
                        </w:pPr>
                        <w:r>
                          <w:rPr>
                            <w:w w:val="105"/>
                            <w:sz w:val="16"/>
                          </w:rPr>
                          <w:t>27,014</w:t>
                        </w:r>
                        <w:r>
                          <w:rPr>
                            <w:w w:val="105"/>
                            <w:sz w:val="16"/>
                            <w:vertAlign w:val="superscript"/>
                          </w:rPr>
                          <w:t>5</w:t>
                        </w:r>
                      </w:p>
                    </w:tc>
                    <w:tc>
                      <w:tcPr>
                        <w:tcW w:w="1093" w:type="dxa"/>
                        <w:tcBorders>
                          <w:top w:val="single" w:sz="8" w:space="0" w:color="5FFF00"/>
                        </w:tcBorders>
                      </w:tcPr>
                      <w:p>
                        <w:pPr>
                          <w:pStyle w:val="TableParagraph"/>
                          <w:spacing w:before="99"/>
                          <w:ind w:left="263" w:right="247"/>
                          <w:rPr>
                            <w:sz w:val="16"/>
                          </w:rPr>
                        </w:pPr>
                        <w:r>
                          <w:rPr>
                            <w:w w:val="110"/>
                            <w:sz w:val="16"/>
                          </w:rPr>
                          <w:t>8.1%</w:t>
                        </w:r>
                      </w:p>
                    </w:tc>
                  </w:tr>
                  <w:tr>
                    <w:trPr>
                      <w:trHeight w:val="410" w:hRule="atLeast"/>
                    </w:trPr>
                    <w:tc>
                      <w:tcPr>
                        <w:tcW w:w="7112" w:type="dxa"/>
                        <w:shd w:val="clear" w:color="auto" w:fill="5FFF00"/>
                      </w:tcPr>
                      <w:p>
                        <w:pPr>
                          <w:pStyle w:val="TableParagraph"/>
                          <w:tabs>
                            <w:tab w:pos="6126" w:val="left" w:leader="none"/>
                          </w:tabs>
                          <w:spacing w:before="113"/>
                          <w:ind w:left="607"/>
                          <w:jc w:val="left"/>
                          <w:rPr>
                            <w:sz w:val="16"/>
                          </w:rPr>
                        </w:pPr>
                        <w:r>
                          <w:rPr>
                            <w:color w:val="FFFFFF"/>
                            <w:w w:val="105"/>
                            <w:sz w:val="16"/>
                          </w:rPr>
                          <w:t>Total</w:t>
                          <w:tab/>
                          <w:t>299,702</w:t>
                        </w:r>
                      </w:p>
                    </w:tc>
                    <w:tc>
                      <w:tcPr>
                        <w:tcW w:w="1303" w:type="dxa"/>
                        <w:shd w:val="clear" w:color="auto" w:fill="5FFF00"/>
                      </w:tcPr>
                      <w:p>
                        <w:pPr>
                          <w:pStyle w:val="TableParagraph"/>
                          <w:spacing w:before="113"/>
                          <w:ind w:left="348" w:right="388"/>
                          <w:rPr>
                            <w:sz w:val="16"/>
                          </w:rPr>
                        </w:pPr>
                        <w:r>
                          <w:rPr>
                            <w:color w:val="FFFFFF"/>
                            <w:w w:val="110"/>
                            <w:sz w:val="16"/>
                          </w:rPr>
                          <w:t>31,981</w:t>
                        </w:r>
                      </w:p>
                    </w:tc>
                    <w:tc>
                      <w:tcPr>
                        <w:tcW w:w="1308" w:type="dxa"/>
                        <w:shd w:val="clear" w:color="auto" w:fill="5FFF00"/>
                      </w:tcPr>
                      <w:p>
                        <w:pPr>
                          <w:pStyle w:val="TableParagraph"/>
                          <w:spacing w:before="113"/>
                          <w:ind w:right="276"/>
                          <w:jc w:val="right"/>
                          <w:rPr>
                            <w:sz w:val="16"/>
                          </w:rPr>
                        </w:pPr>
                        <w:r>
                          <w:rPr>
                            <w:color w:val="FFFFFF"/>
                            <w:w w:val="105"/>
                            <w:sz w:val="16"/>
                          </w:rPr>
                          <w:t>331,683</w:t>
                        </w:r>
                      </w:p>
                    </w:tc>
                    <w:tc>
                      <w:tcPr>
                        <w:tcW w:w="1093" w:type="dxa"/>
                        <w:shd w:val="clear" w:color="auto" w:fill="5FFF00"/>
                      </w:tcPr>
                      <w:p>
                        <w:pPr>
                          <w:pStyle w:val="TableParagraph"/>
                          <w:spacing w:before="113"/>
                          <w:ind w:left="263" w:right="250"/>
                          <w:rPr>
                            <w:sz w:val="16"/>
                          </w:rPr>
                        </w:pPr>
                        <w:r>
                          <w:rPr>
                            <w:color w:val="FFFFFF"/>
                            <w:w w:val="110"/>
                            <w:sz w:val="16"/>
                          </w:rPr>
                          <w:t>100.0%</w:t>
                        </w:r>
                      </w:p>
                    </w:tc>
                  </w:tr>
                </w:tbl>
                <w:p>
                  <w:pPr>
                    <w:pStyle w:val="BodyText"/>
                  </w:pPr>
                </w:p>
              </w:txbxContent>
            </v:textbox>
            <w10:wrap type="none"/>
          </v:shape>
        </w:pict>
      </w:r>
      <w:r>
        <w:rPr>
          <w:w w:val="110"/>
          <w:sz w:val="16"/>
        </w:rPr>
        <w:t>No</w:t>
      </w:r>
      <w:r>
        <w:rPr>
          <w:spacing w:val="-1"/>
          <w:w w:val="110"/>
          <w:sz w:val="16"/>
        </w:rPr>
        <w:t>n</w:t>
      </w:r>
      <w:r>
        <w:rPr>
          <w:spacing w:val="1"/>
          <w:w w:val="100"/>
          <w:sz w:val="16"/>
        </w:rPr>
        <w:t>-</w:t>
      </w:r>
      <w:r>
        <w:rPr>
          <w:spacing w:val="-2"/>
          <w:w w:val="107"/>
          <w:sz w:val="16"/>
        </w:rPr>
        <w:t>S</w:t>
      </w:r>
      <w:r>
        <w:rPr>
          <w:w w:val="100"/>
          <w:sz w:val="16"/>
        </w:rPr>
        <w:t>EZ</w:t>
      </w:r>
      <w:r>
        <w:rPr>
          <w:w w:val="198"/>
          <w:sz w:val="16"/>
          <w:vertAlign w:val="superscript"/>
        </w:rPr>
        <w:t>^</w:t>
      </w:r>
      <w:r>
        <w:rPr>
          <w:spacing w:val="-4"/>
          <w:w w:val="78"/>
          <w:sz w:val="16"/>
          <w:vertAlign w:val="baseline"/>
        </w:rPr>
        <w:t>)</w:t>
      </w:r>
      <w:r>
        <w:rPr>
          <w:w w:val="80"/>
          <w:sz w:val="16"/>
          <w:vertAlign w:val="baseline"/>
        </w:rPr>
        <w:t>,</w:t>
      </w:r>
      <w:r>
        <w:rPr>
          <w:sz w:val="16"/>
          <w:vertAlign w:val="baseline"/>
        </w:rPr>
        <w:t> </w:t>
      </w:r>
      <w:r>
        <w:rPr>
          <w:spacing w:val="-1"/>
          <w:w w:val="110"/>
          <w:sz w:val="16"/>
          <w:vertAlign w:val="baseline"/>
        </w:rPr>
        <w:t>H</w:t>
      </w:r>
      <w:r>
        <w:rPr>
          <w:w w:val="89"/>
          <w:sz w:val="16"/>
          <w:vertAlign w:val="baseline"/>
        </w:rPr>
        <w:t>o</w:t>
      </w:r>
      <w:r>
        <w:rPr>
          <w:spacing w:val="-2"/>
          <w:w w:val="89"/>
          <w:sz w:val="16"/>
          <w:vertAlign w:val="baseline"/>
        </w:rPr>
        <w:t>t</w:t>
      </w:r>
      <w:r>
        <w:rPr>
          <w:spacing w:val="-2"/>
          <w:w w:val="94"/>
          <w:sz w:val="16"/>
          <w:vertAlign w:val="baseline"/>
        </w:rPr>
        <w:t>e</w:t>
      </w:r>
      <w:r>
        <w:rPr>
          <w:spacing w:val="-1"/>
          <w:w w:val="82"/>
          <w:sz w:val="16"/>
          <w:vertAlign w:val="baseline"/>
        </w:rPr>
        <w:t>l</w:t>
      </w:r>
      <w:r>
        <w:rPr>
          <w:w w:val="80"/>
          <w:sz w:val="16"/>
          <w:vertAlign w:val="baseline"/>
        </w:rPr>
        <w:t>,</w:t>
      </w:r>
      <w:r>
        <w:rPr>
          <w:sz w:val="16"/>
          <w:vertAlign w:val="baseline"/>
        </w:rPr>
        <w:t> </w:t>
      </w:r>
      <w:r>
        <w:rPr>
          <w:spacing w:val="-4"/>
          <w:w w:val="93"/>
          <w:sz w:val="16"/>
          <w:vertAlign w:val="baseline"/>
        </w:rPr>
        <w:t>Re</w:t>
      </w:r>
      <w:r>
        <w:rPr>
          <w:spacing w:val="-4"/>
          <w:w w:val="65"/>
          <w:sz w:val="16"/>
          <w:vertAlign w:val="baseline"/>
        </w:rPr>
        <w:t>t</w:t>
      </w:r>
      <w:r>
        <w:rPr>
          <w:spacing w:val="-3"/>
          <w:w w:val="100"/>
          <w:sz w:val="16"/>
          <w:vertAlign w:val="baseline"/>
        </w:rPr>
        <w:t>a</w:t>
      </w:r>
      <w:r>
        <w:rPr>
          <w:spacing w:val="-4"/>
          <w:w w:val="100"/>
          <w:sz w:val="16"/>
          <w:vertAlign w:val="baseline"/>
        </w:rPr>
        <w:t>i</w:t>
      </w:r>
      <w:r>
        <w:rPr>
          <w:spacing w:val="-4"/>
          <w:w w:val="82"/>
          <w:sz w:val="16"/>
          <w:vertAlign w:val="baseline"/>
        </w:rPr>
        <w:t>l</w:t>
      </w:r>
      <w:r>
        <w:rPr>
          <w:spacing w:val="-3"/>
          <w:w w:val="80"/>
          <w:sz w:val="16"/>
          <w:vertAlign w:val="baseline"/>
        </w:rPr>
        <w:t>,</w:t>
      </w:r>
    </w:p>
    <w:p>
      <w:pPr>
        <w:spacing w:line="496" w:lineRule="auto" w:before="3"/>
        <w:ind w:left="222" w:right="5616" w:hanging="108"/>
        <w:jc w:val="left"/>
        <w:rPr>
          <w:sz w:val="16"/>
        </w:rPr>
      </w:pPr>
      <w:r>
        <w:rPr/>
        <w:br w:type="column"/>
      </w:r>
      <w:r>
        <w:rPr>
          <w:sz w:val="16"/>
        </w:rPr>
        <w:t>Completed office </w:t>
      </w:r>
      <w:r>
        <w:rPr>
          <w:w w:val="110"/>
          <w:sz w:val="16"/>
        </w:rPr>
        <w:t>– </w:t>
      </w:r>
      <w:r>
        <w:rPr>
          <w:sz w:val="16"/>
        </w:rPr>
        <w:t>11.8 msf UC Hotel (5 star) - 266 keys</w:t>
      </w:r>
    </w:p>
    <w:p>
      <w:pPr>
        <w:spacing w:after="0" w:line="496" w:lineRule="auto"/>
        <w:jc w:val="left"/>
        <w:rPr>
          <w:sz w:val="16"/>
        </w:rPr>
        <w:sectPr>
          <w:type w:val="continuous"/>
          <w:pgSz w:w="11910" w:h="16840"/>
          <w:pgMar w:top="800" w:bottom="280" w:left="440" w:right="80"/>
          <w:cols w:num="3" w:equalWidth="0">
            <w:col w:w="1237" w:space="40"/>
            <w:col w:w="2141" w:space="39"/>
            <w:col w:w="7933"/>
          </w:cols>
        </w:sectPr>
      </w:pPr>
    </w:p>
    <w:p>
      <w:pPr>
        <w:pStyle w:val="BodyText"/>
        <w:spacing w:before="1"/>
        <w:rPr>
          <w:sz w:val="9"/>
        </w:rPr>
      </w:pPr>
    </w:p>
    <w:p>
      <w:pPr>
        <w:spacing w:line="520" w:lineRule="auto" w:before="105"/>
        <w:ind w:left="589" w:right="10200" w:firstLine="0"/>
        <w:jc w:val="left"/>
        <w:rPr>
          <w:sz w:val="16"/>
        </w:rPr>
      </w:pPr>
      <w:r>
        <w:rPr>
          <w:w w:val="105"/>
          <w:sz w:val="16"/>
        </w:rPr>
        <w:t>Mumbai Mumbai</w:t>
      </w:r>
    </w:p>
    <w:p>
      <w:pPr>
        <w:pStyle w:val="BodyText"/>
        <w:rPr>
          <w:sz w:val="20"/>
        </w:rPr>
      </w:pPr>
    </w:p>
    <w:p>
      <w:pPr>
        <w:pStyle w:val="BodyText"/>
        <w:spacing w:before="5"/>
      </w:pPr>
    </w:p>
    <w:p>
      <w:pPr>
        <w:spacing w:after="0"/>
        <w:sectPr>
          <w:type w:val="continuous"/>
          <w:pgSz w:w="11910" w:h="16840"/>
          <w:pgMar w:top="800" w:bottom="280" w:left="440" w:right="80"/>
        </w:sectPr>
      </w:pPr>
    </w:p>
    <w:p>
      <w:pPr>
        <w:spacing w:before="105"/>
        <w:ind w:left="707" w:right="0" w:firstLine="0"/>
        <w:jc w:val="left"/>
        <w:rPr>
          <w:sz w:val="16"/>
        </w:rPr>
      </w:pPr>
      <w:r>
        <w:rPr>
          <w:sz w:val="16"/>
        </w:rPr>
        <w:t>Pune</w:t>
      </w:r>
    </w:p>
    <w:p>
      <w:pPr>
        <w:spacing w:before="105"/>
        <w:ind w:left="707" w:right="0" w:firstLine="0"/>
        <w:jc w:val="left"/>
        <w:rPr>
          <w:sz w:val="16"/>
        </w:rPr>
      </w:pPr>
      <w:r>
        <w:rPr/>
        <w:br w:type="column"/>
      </w:r>
      <w:r>
        <w:rPr>
          <w:sz w:val="16"/>
        </w:rPr>
        <w:t>(IT/</w:t>
      </w:r>
      <w:r>
        <w:rPr>
          <w:spacing w:val="-28"/>
          <w:sz w:val="16"/>
        </w:rPr>
        <w:t> </w:t>
      </w:r>
      <w:r>
        <w:rPr>
          <w:sz w:val="16"/>
        </w:rPr>
        <w:t>ITeS</w:t>
      </w:r>
      <w:r>
        <w:rPr>
          <w:spacing w:val="-28"/>
          <w:sz w:val="16"/>
        </w:rPr>
        <w:t> </w:t>
      </w:r>
      <w:r>
        <w:rPr>
          <w:spacing w:val="-5"/>
          <w:sz w:val="16"/>
        </w:rPr>
        <w:t>SEZ)</w:t>
      </w:r>
    </w:p>
    <w:p>
      <w:pPr>
        <w:spacing w:before="105"/>
        <w:ind w:left="567" w:right="0" w:firstLine="0"/>
        <w:jc w:val="left"/>
        <w:rPr>
          <w:sz w:val="16"/>
        </w:rPr>
      </w:pPr>
      <w:r>
        <w:rPr/>
        <w:br w:type="column"/>
      </w:r>
      <w:r>
        <w:rPr>
          <w:sz w:val="16"/>
        </w:rPr>
        <w:t>Proposed/ UC office - 3.3 msf</w:t>
      </w:r>
    </w:p>
    <w:p>
      <w:pPr>
        <w:spacing w:after="0"/>
        <w:jc w:val="left"/>
        <w:rPr>
          <w:sz w:val="16"/>
        </w:rPr>
        <w:sectPr>
          <w:type w:val="continuous"/>
          <w:pgSz w:w="11910" w:h="16840"/>
          <w:pgMar w:top="800" w:bottom="280" w:left="440" w:right="80"/>
          <w:cols w:num="3" w:equalWidth="0">
            <w:col w:w="1090" w:space="285"/>
            <w:col w:w="1628" w:space="40"/>
            <w:col w:w="8347"/>
          </w:cols>
        </w:sectPr>
      </w:pPr>
    </w:p>
    <w:p>
      <w:pPr>
        <w:pStyle w:val="BodyText"/>
        <w:spacing w:before="8"/>
        <w:rPr>
          <w:sz w:val="9"/>
        </w:rPr>
      </w:pPr>
    </w:p>
    <w:p>
      <w:pPr>
        <w:tabs>
          <w:tab w:pos="2082" w:val="left" w:leader="none"/>
        </w:tabs>
        <w:spacing w:before="105"/>
        <w:ind w:left="707" w:right="0" w:firstLine="0"/>
        <w:jc w:val="left"/>
        <w:rPr>
          <w:sz w:val="16"/>
        </w:rPr>
      </w:pPr>
      <w:r>
        <w:rPr>
          <w:sz w:val="16"/>
        </w:rPr>
        <w:t>Pune</w:t>
        <w:tab/>
      </w:r>
      <w:r>
        <w:rPr>
          <w:w w:val="95"/>
          <w:position w:val="1"/>
          <w:sz w:val="16"/>
        </w:rPr>
        <w:t>(IT/ ITeS</w:t>
      </w:r>
      <w:r>
        <w:rPr>
          <w:spacing w:val="-23"/>
          <w:w w:val="95"/>
          <w:position w:val="1"/>
          <w:sz w:val="16"/>
        </w:rPr>
        <w:t> </w:t>
      </w:r>
      <w:r>
        <w:rPr>
          <w:w w:val="95"/>
          <w:position w:val="1"/>
          <w:sz w:val="16"/>
        </w:rPr>
        <w:t>SEZ)</w:t>
      </w:r>
    </w:p>
    <w:p>
      <w:pPr>
        <w:pStyle w:val="BodyText"/>
        <w:spacing w:before="6"/>
        <w:rPr>
          <w:sz w:val="10"/>
        </w:rPr>
      </w:pPr>
    </w:p>
    <w:p>
      <w:pPr>
        <w:spacing w:before="105"/>
        <w:ind w:left="2082" w:right="0" w:firstLine="0"/>
        <w:jc w:val="left"/>
        <w:rPr>
          <w:sz w:val="16"/>
        </w:rPr>
      </w:pPr>
      <w:r>
        <w:rPr>
          <w:w w:val="95"/>
          <w:sz w:val="16"/>
        </w:rPr>
        <w:t>(IT/ ITeS</w:t>
      </w:r>
      <w:r>
        <w:rPr>
          <w:spacing w:val="-23"/>
          <w:w w:val="95"/>
          <w:sz w:val="16"/>
        </w:rPr>
        <w:t> </w:t>
      </w:r>
      <w:r>
        <w:rPr>
          <w:w w:val="95"/>
          <w:sz w:val="16"/>
        </w:rPr>
        <w:t>SEZ)</w:t>
      </w:r>
    </w:p>
    <w:p>
      <w:pPr>
        <w:pStyle w:val="BodyText"/>
        <w:spacing w:before="6"/>
        <w:rPr>
          <w:sz w:val="11"/>
        </w:rPr>
      </w:pPr>
    </w:p>
    <w:p>
      <w:pPr>
        <w:spacing w:after="0"/>
        <w:rPr>
          <w:sz w:val="11"/>
        </w:rPr>
        <w:sectPr>
          <w:type w:val="continuous"/>
          <w:pgSz w:w="11910" w:h="16840"/>
          <w:pgMar w:top="800" w:bottom="280" w:left="440" w:right="80"/>
        </w:sectPr>
      </w:pPr>
    </w:p>
    <w:p>
      <w:pPr>
        <w:spacing w:before="115"/>
        <w:ind w:left="659" w:right="0" w:firstLine="0"/>
        <w:jc w:val="left"/>
        <w:rPr>
          <w:sz w:val="16"/>
        </w:rPr>
      </w:pPr>
      <w:r>
        <w:rPr>
          <w:w w:val="110"/>
          <w:sz w:val="16"/>
        </w:rPr>
        <w:t>Noida</w:t>
      </w:r>
    </w:p>
    <w:p>
      <w:pPr>
        <w:spacing w:before="105"/>
        <w:ind w:left="659" w:right="0" w:firstLine="0"/>
        <w:jc w:val="left"/>
        <w:rPr>
          <w:sz w:val="16"/>
        </w:rPr>
      </w:pPr>
      <w:r>
        <w:rPr/>
        <w:br w:type="column"/>
      </w:r>
      <w:r>
        <w:rPr>
          <w:sz w:val="16"/>
        </w:rPr>
        <w:t>(IT/</w:t>
      </w:r>
      <w:r>
        <w:rPr>
          <w:spacing w:val="-28"/>
          <w:sz w:val="16"/>
        </w:rPr>
        <w:t> </w:t>
      </w:r>
      <w:r>
        <w:rPr>
          <w:sz w:val="16"/>
        </w:rPr>
        <w:t>ITeS</w:t>
      </w:r>
      <w:r>
        <w:rPr>
          <w:spacing w:val="-28"/>
          <w:sz w:val="16"/>
        </w:rPr>
        <w:t> </w:t>
      </w:r>
      <w:r>
        <w:rPr>
          <w:spacing w:val="-5"/>
          <w:sz w:val="16"/>
        </w:rPr>
        <w:t>SEZ)</w:t>
      </w:r>
    </w:p>
    <w:p>
      <w:pPr>
        <w:spacing w:before="115"/>
        <w:ind w:left="567" w:right="0" w:firstLine="0"/>
        <w:jc w:val="left"/>
        <w:rPr>
          <w:sz w:val="16"/>
        </w:rPr>
      </w:pPr>
      <w:r>
        <w:rPr/>
        <w:br w:type="column"/>
      </w:r>
      <w:r>
        <w:rPr>
          <w:sz w:val="16"/>
        </w:rPr>
        <w:t>Proposed/ UC office - 0.7 msf</w:t>
      </w:r>
    </w:p>
    <w:p>
      <w:pPr>
        <w:spacing w:after="0"/>
        <w:jc w:val="left"/>
        <w:rPr>
          <w:sz w:val="16"/>
        </w:rPr>
        <w:sectPr>
          <w:type w:val="continuous"/>
          <w:pgSz w:w="11910" w:h="16840"/>
          <w:pgMar w:top="800" w:bottom="280" w:left="440" w:right="80"/>
          <w:cols w:num="3" w:equalWidth="0">
            <w:col w:w="1137" w:space="286"/>
            <w:col w:w="1580" w:space="40"/>
            <w:col w:w="8347"/>
          </w:cols>
        </w:sectPr>
      </w:pPr>
    </w:p>
    <w:p>
      <w:pPr>
        <w:pStyle w:val="BodyText"/>
        <w:spacing w:before="6"/>
        <w:rPr>
          <w:sz w:val="10"/>
        </w:rPr>
      </w:pPr>
    </w:p>
    <w:p>
      <w:pPr>
        <w:spacing w:before="105"/>
        <w:ind w:left="659" w:right="0" w:firstLine="0"/>
        <w:jc w:val="left"/>
        <w:rPr>
          <w:sz w:val="16"/>
        </w:rPr>
      </w:pPr>
      <w:r>
        <w:rPr>
          <w:w w:val="110"/>
          <w:sz w:val="16"/>
        </w:rPr>
        <w:t>Noida</w:t>
      </w:r>
    </w:p>
    <w:p>
      <w:pPr>
        <w:pStyle w:val="BodyText"/>
        <w:rPr>
          <w:sz w:val="18"/>
        </w:rPr>
      </w:pPr>
    </w:p>
    <w:p>
      <w:pPr>
        <w:pStyle w:val="BodyText"/>
        <w:spacing w:before="3"/>
        <w:rPr>
          <w:sz w:val="17"/>
        </w:rPr>
      </w:pPr>
    </w:p>
    <w:p>
      <w:pPr>
        <w:spacing w:before="0"/>
        <w:ind w:left="2330" w:right="0" w:firstLine="0"/>
        <w:jc w:val="left"/>
        <w:rPr>
          <w:sz w:val="16"/>
        </w:rPr>
      </w:pPr>
      <w:r>
        <w:rPr>
          <w:sz w:val="16"/>
        </w:rPr>
        <w:t>Retail)</w:t>
      </w:r>
    </w:p>
    <w:p>
      <w:pPr>
        <w:pStyle w:val="BodyText"/>
        <w:spacing w:before="10"/>
        <w:rPr>
          <w:sz w:val="9"/>
        </w:rPr>
      </w:pPr>
    </w:p>
    <w:p>
      <w:pPr>
        <w:spacing w:after="0"/>
        <w:rPr>
          <w:sz w:val="9"/>
        </w:rPr>
        <w:sectPr>
          <w:type w:val="continuous"/>
          <w:pgSz w:w="11910" w:h="16840"/>
          <w:pgMar w:top="800" w:bottom="280" w:left="440" w:right="80"/>
        </w:sectPr>
      </w:pPr>
    </w:p>
    <w:p>
      <w:pPr>
        <w:spacing w:line="520" w:lineRule="auto" w:before="105"/>
        <w:ind w:left="361" w:right="0" w:hanging="238"/>
        <w:jc w:val="left"/>
        <w:rPr>
          <w:sz w:val="16"/>
        </w:rPr>
      </w:pPr>
      <w:r>
        <w:rPr>
          <w:sz w:val="16"/>
        </w:rPr>
        <w:t>GolfLinks, Bengaluru Bellary District,</w:t>
      </w:r>
    </w:p>
    <w:p>
      <w:pPr>
        <w:pStyle w:val="BodyText"/>
        <w:rPr>
          <w:sz w:val="18"/>
        </w:rPr>
      </w:pPr>
      <w:r>
        <w:rPr/>
        <w:br w:type="column"/>
      </w:r>
      <w:r>
        <w:rPr>
          <w:sz w:val="18"/>
        </w:rPr>
      </w:r>
    </w:p>
    <w:p>
      <w:pPr>
        <w:pStyle w:val="BodyText"/>
        <w:spacing w:before="9"/>
        <w:rPr>
          <w:sz w:val="25"/>
        </w:rPr>
      </w:pPr>
    </w:p>
    <w:p>
      <w:pPr>
        <w:spacing w:before="0"/>
        <w:ind w:left="124" w:right="0" w:firstLine="0"/>
        <w:jc w:val="left"/>
        <w:rPr>
          <w:sz w:val="16"/>
        </w:rPr>
      </w:pPr>
      <w:r>
        <w:rPr>
          <w:sz w:val="16"/>
        </w:rPr>
        <w:t>Solar park</w:t>
      </w:r>
    </w:p>
    <w:p>
      <w:pPr>
        <w:pStyle w:val="BodyText"/>
        <w:rPr>
          <w:sz w:val="28"/>
        </w:rPr>
      </w:pPr>
      <w:r>
        <w:rPr/>
        <w:br w:type="column"/>
      </w:r>
      <w:r>
        <w:rPr>
          <w:sz w:val="28"/>
        </w:rPr>
      </w:r>
    </w:p>
    <w:p>
      <w:pPr>
        <w:tabs>
          <w:tab w:pos="2358" w:val="left" w:leader="none"/>
        </w:tabs>
        <w:spacing w:before="179"/>
        <w:ind w:left="123" w:right="0" w:firstLine="0"/>
        <w:jc w:val="left"/>
        <w:rPr>
          <w:sz w:val="16"/>
        </w:rPr>
      </w:pPr>
      <w:r>
        <w:rPr>
          <w:w w:val="110"/>
          <w:sz w:val="16"/>
        </w:rPr>
        <w:t>DC (100</w:t>
      </w:r>
      <w:r>
        <w:rPr>
          <w:spacing w:val="-13"/>
          <w:w w:val="110"/>
          <w:sz w:val="16"/>
        </w:rPr>
        <w:t> </w:t>
      </w:r>
      <w:r>
        <w:rPr>
          <w:w w:val="110"/>
          <w:sz w:val="16"/>
        </w:rPr>
        <w:t>MW</w:t>
      </w:r>
      <w:r>
        <w:rPr>
          <w:spacing w:val="-8"/>
          <w:w w:val="110"/>
          <w:sz w:val="16"/>
        </w:rPr>
        <w:t> </w:t>
      </w:r>
      <w:r>
        <w:rPr>
          <w:w w:val="110"/>
          <w:sz w:val="16"/>
        </w:rPr>
        <w:t>AC)</w:t>
        <w:tab/>
      </w:r>
      <w:r>
        <w:rPr>
          <w:w w:val="110"/>
          <w:position w:val="10"/>
          <w:sz w:val="16"/>
        </w:rPr>
        <w:t>10,289</w:t>
      </w:r>
    </w:p>
    <w:p>
      <w:pPr>
        <w:spacing w:after="0"/>
        <w:jc w:val="left"/>
        <w:rPr>
          <w:sz w:val="16"/>
        </w:rPr>
        <w:sectPr>
          <w:type w:val="continuous"/>
          <w:pgSz w:w="11910" w:h="16840"/>
          <w:pgMar w:top="800" w:bottom="280" w:left="440" w:right="80"/>
          <w:cols w:num="3" w:equalWidth="0">
            <w:col w:w="1673" w:space="384"/>
            <w:col w:w="891" w:space="967"/>
            <w:col w:w="7475"/>
          </w:cols>
        </w:sectPr>
      </w:pPr>
    </w:p>
    <w:p>
      <w:pPr>
        <w:pStyle w:val="BodyText"/>
        <w:spacing w:before="6"/>
        <w:rPr>
          <w:sz w:val="16"/>
        </w:rPr>
      </w:pPr>
    </w:p>
    <w:p>
      <w:pPr>
        <w:spacing w:line="520" w:lineRule="auto" w:before="1"/>
        <w:ind w:left="520" w:right="10136" w:firstLine="154"/>
        <w:jc w:val="left"/>
        <w:rPr>
          <w:sz w:val="16"/>
        </w:rPr>
      </w:pPr>
      <w:r>
        <w:rPr>
          <w:sz w:val="16"/>
        </w:rPr>
        <w:t>assets Bengaluru</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1"/>
        </w:rPr>
      </w:pPr>
      <w:r>
        <w:rPr/>
        <w:pict>
          <v:rect style="position:absolute;margin-left:36pt;margin-top:14.709884pt;width:144.050pt;height:.599980pt;mso-position-horizontal-relative:page;mso-position-vertical-relative:paragraph;z-index:-15577600;mso-wrap-distance-left:0;mso-wrap-distance-right:0" filled="true" fillcolor="#000000" stroked="false">
            <v:fill type="solid"/>
            <w10:wrap type="topAndBottom"/>
          </v:rect>
        </w:pict>
      </w:r>
    </w:p>
    <w:p>
      <w:pPr>
        <w:spacing w:before="70"/>
        <w:ind w:left="280" w:right="0" w:firstLine="0"/>
        <w:jc w:val="left"/>
        <w:rPr>
          <w:sz w:val="16"/>
        </w:rPr>
      </w:pPr>
      <w:r>
        <w:rPr>
          <w:sz w:val="16"/>
          <w:vertAlign w:val="superscript"/>
        </w:rPr>
        <w:t>5</w:t>
      </w:r>
      <w:r>
        <w:rPr>
          <w:sz w:val="16"/>
          <w:vertAlign w:val="baseline"/>
        </w:rPr>
        <w:t> Note: Indicative of Embassy REIT’s economic interest in the asset, viz. 50%</w:t>
      </w:r>
    </w:p>
    <w:p>
      <w:pPr>
        <w:spacing w:before="6"/>
        <w:ind w:left="280" w:right="0" w:firstLine="0"/>
        <w:jc w:val="left"/>
        <w:rPr>
          <w:sz w:val="16"/>
        </w:rPr>
      </w:pPr>
      <w:r>
        <w:rPr>
          <w:w w:val="105"/>
          <w:sz w:val="16"/>
        </w:rPr>
        <w:t>*UC – Under Construction, ^SEZ – Special Economic Zone</w:t>
      </w:r>
    </w:p>
    <w:p>
      <w:pPr>
        <w:spacing w:after="0"/>
        <w:jc w:val="left"/>
        <w:rPr>
          <w:sz w:val="16"/>
        </w:rPr>
        <w:sectPr>
          <w:type w:val="continuous"/>
          <w:pgSz w:w="11910" w:h="16840"/>
          <w:pgMar w:top="800" w:bottom="280" w:left="440" w:right="80"/>
        </w:sectPr>
      </w:pPr>
    </w:p>
    <w:p>
      <w:pPr>
        <w:pStyle w:val="BodyText"/>
        <w:rPr>
          <w:sz w:val="20"/>
        </w:rPr>
      </w:pPr>
    </w:p>
    <w:p>
      <w:pPr>
        <w:pStyle w:val="BodyText"/>
        <w:spacing w:before="2"/>
        <w:rPr>
          <w:sz w:val="11"/>
        </w:rPr>
      </w:pPr>
    </w:p>
    <w:p>
      <w:pPr>
        <w:pStyle w:val="BodyText"/>
        <w:ind w:left="280"/>
        <w:rPr>
          <w:sz w:val="20"/>
        </w:rPr>
      </w:pPr>
      <w:r>
        <w:rPr>
          <w:sz w:val="20"/>
        </w:rPr>
        <w:pict>
          <v:group style="width:346.9pt;height:24.25pt;mso-position-horizontal-relative:char;mso-position-vertical-relative:line" coordorigin="0,0" coordsize="6938,485">
            <v:rect style="position:absolute;left:0;top:16;width:6938;height:454" filled="true" fillcolor="#006a4d" stroked="false">
              <v:fill type="solid"/>
            </v:rect>
            <v:shape style="position:absolute;left:0;top:0;width:6938;height:485" coordorigin="0,0" coordsize="6938,485" path="m6938,470l0,470,0,485,6938,485,6938,470xm6938,0l0,0,0,14,6938,14,6938,0xe" filled="true" fillcolor="#69bd28" stroked="false">
              <v:path arrowok="t"/>
              <v:fill type="solid"/>
            </v:shape>
            <v:shape style="position:absolute;left:0;top:14;width:6938;height:456" type="#_x0000_t202" filled="false" stroked="false">
              <v:textbox inset="0,0,0,0">
                <w:txbxContent>
                  <w:p>
                    <w:pPr>
                      <w:spacing w:before="126"/>
                      <w:ind w:left="679" w:right="0" w:firstLine="0"/>
                      <w:jc w:val="left"/>
                      <w:rPr>
                        <w:b/>
                        <w:sz w:val="18"/>
                      </w:rPr>
                    </w:pPr>
                    <w:r>
                      <w:rPr>
                        <w:b/>
                        <w:color w:val="FFFFFF"/>
                        <w:w w:val="110"/>
                        <w:sz w:val="18"/>
                      </w:rPr>
                      <w:t>Market value break-up of assets valued for the Embassy REIT</w:t>
                    </w:r>
                  </w:p>
                </w:txbxContent>
              </v:textbox>
              <w10:wrap type="none"/>
            </v:shape>
          </v:group>
        </w:pict>
      </w:r>
      <w:r>
        <w:rPr>
          <w:sz w:val="20"/>
        </w:rPr>
      </w:r>
    </w:p>
    <w:p>
      <w:pPr>
        <w:pStyle w:val="BodyText"/>
        <w:rPr>
          <w:sz w:val="20"/>
        </w:rPr>
      </w:pPr>
    </w:p>
    <w:p>
      <w:pPr>
        <w:pStyle w:val="BodyText"/>
        <w:spacing w:before="8"/>
        <w:rPr>
          <w:sz w:val="27"/>
        </w:rPr>
      </w:pPr>
      <w:r>
        <w:rPr/>
        <w:pict>
          <v:group style="position:absolute;margin-left:118.809998pt;margin-top:18.088673pt;width:181.2pt;height:181.3pt;mso-position-horizontal-relative:page;mso-position-vertical-relative:paragraph;z-index:-15574528;mso-wrap-distance-left:0;mso-wrap-distance-right:0" coordorigin="2376,362" coordsize="3624,3626">
            <v:shape style="position:absolute;left:2376;top:364;width:3624;height:3624" coordorigin="2376,364" coordsize="3624,3624" path="m4188,364l4188,1270,4269,1274,4348,1284,4425,1302,4500,1326,4573,1356,4643,1392,4709,1435,4772,1483,4830,1537,4884,1596,4933,1660,4972,1723,5007,1788,5035,1854,5058,1922,5075,1991,5087,2060,5093,2130,5094,2199,5089,2269,5079,2338,5064,2406,5044,2472,5019,2537,4989,2600,4953,2661,4913,2720,4868,2775,4818,2827,4763,2876,4704,2921,4641,2960,4576,2995,4510,3023,4442,3046,4373,3063,4304,3075,4234,3081,4165,3082,4095,3077,4026,3067,3958,3052,3892,3032,3827,3007,3764,2976,3703,2941,3644,2901,3589,2856,3537,2806,3488,2751,3443,2692,3404,2629,3369,2564,3341,2498,3318,2430,3301,2361,3289,2292,3283,2222,3282,2152,3287,2083,3297,2014,3312,1946,3332,1880,3357,1815,3387,1751,3423,1691,3463,1632,3508,1577,3558,1525,3613,1476,3672,1431,3156,687,3094,732,3033,780,2975,830,2920,882,2867,936,2816,993,2768,1051,2722,1111,2679,1173,2639,1237,2601,1302,2566,1369,2534,1437,2504,1506,2478,1577,2455,1649,2434,1722,2417,1796,2402,1870,2391,1946,2383,2022,2378,2099,2376,2176,2378,2253,2383,2328,2390,2403,2401,2477,2415,2550,2432,2622,2451,2693,2473,2762,2498,2831,2526,2898,2556,2963,2588,3028,2624,3090,2661,3152,2701,3211,2743,3269,2787,3325,2833,3379,2882,3432,2932,3482,2985,3531,3039,3577,3095,3621,3153,3663,3212,3703,3274,3740,3336,3775,3400,3808,3466,3838,3533,3866,3602,3891,3671,3913,3742,3932,3814,3949,3887,3963,3961,3974,4036,3981,4111,3986,4188,3988,4265,3986,4340,3981,4415,3974,4489,3963,4562,3949,4634,3932,4705,3913,4774,3891,4843,3866,4910,3838,4976,3808,5040,3775,5102,3740,5164,3703,5223,3663,5281,3621,5337,3577,5391,3531,5444,3482,5494,3432,5543,3379,5589,3325,5633,3269,5675,3211,5715,3152,5752,3090,5788,3028,5820,2963,5850,2898,5878,2831,5903,2762,5925,2693,5944,2622,5961,2550,5975,2477,5986,2403,5993,2328,5998,2253,6000,2176,5998,2099,5993,2024,5986,1949,5975,1875,5961,1802,5944,1730,5925,1659,5903,1589,5878,1521,5850,1454,5820,1388,5788,1324,5752,1262,5715,1200,5675,1141,5633,1083,5589,1027,5543,973,5494,920,5444,870,5391,821,5337,775,5281,731,5223,689,5164,649,5102,612,5040,576,4976,544,4910,514,4843,486,4774,461,4705,439,4634,420,4562,403,4489,389,4415,378,4340,370,4265,366,4188,364xe" filled="true" fillcolor="#006a4d" stroked="false">
              <v:path arrowok="t"/>
              <v:fill type="solid"/>
            </v:shape>
            <v:shape style="position:absolute;left:3156;top:364;width:1032;height:1067" coordorigin="3156,364" coordsize="1032,1067" path="m4188,364l4109,366,4031,371,3953,380,3875,391,3799,407,3723,425,3648,447,3574,472,3501,500,3429,531,3359,565,3290,603,3222,643,3156,687,3672,1431,3739,1389,3808,1353,3881,1324,3955,1300,4032,1284,4109,1273,4188,1270,4188,364xe" filled="true" fillcolor="#69bd28" stroked="false">
              <v:path arrowok="t"/>
              <v:fill type="solid"/>
            </v:shape>
            <v:shape style="position:absolute;left:3156;top:364;width:1032;height:1067" coordorigin="3156,364" coordsize="1032,1067" path="m3156,687l3222,643,3290,603,3359,565,3429,531,3501,500,3574,472,3648,447,3723,425,3799,407,3875,391,3953,380,4031,371,4109,366,4188,364,4188,1270,4109,1273,4032,1284,3955,1300,3881,1324,3808,1353,3739,1389,3672,1431,3156,687xe" filled="false" stroked="true" strokeweight=".24pt" strokecolor="#ffffff">
              <v:path arrowok="t"/>
              <v:stroke dashstyle="solid"/>
            </v:shape>
            <v:shape style="position:absolute;left:3223;top:617;width:1450;height:577" type="#_x0000_t202" filled="false" stroked="false">
              <v:textbox inset="0,0,0,0">
                <w:txbxContent>
                  <w:p>
                    <w:pPr>
                      <w:spacing w:line="247" w:lineRule="auto" w:before="4"/>
                      <w:ind w:left="0" w:right="18" w:firstLine="0"/>
                      <w:jc w:val="center"/>
                      <w:rPr>
                        <w:sz w:val="16"/>
                      </w:rPr>
                    </w:pPr>
                    <w:r>
                      <w:rPr>
                        <w:color w:val="FFFFFF"/>
                        <w:w w:val="95"/>
                        <w:sz w:val="16"/>
                      </w:rPr>
                      <w:t>Under Construction/ </w:t>
                    </w:r>
                    <w:r>
                      <w:rPr>
                        <w:color w:val="FFFFFF"/>
                        <w:sz w:val="16"/>
                      </w:rPr>
                      <w:t>Proposed</w:t>
                    </w:r>
                  </w:p>
                  <w:p>
                    <w:pPr>
                      <w:spacing w:before="2"/>
                      <w:ind w:left="0" w:right="16" w:firstLine="0"/>
                      <w:jc w:val="center"/>
                      <w:rPr>
                        <w:sz w:val="16"/>
                      </w:rPr>
                    </w:pPr>
                    <w:r>
                      <w:rPr>
                        <w:color w:val="FFFFFF"/>
                        <w:w w:val="110"/>
                        <w:sz w:val="16"/>
                      </w:rPr>
                      <w:t>9.6%</w:t>
                    </w:r>
                  </w:p>
                </w:txbxContent>
              </v:textbox>
              <w10:wrap type="none"/>
            </v:shape>
            <v:shape style="position:absolute;left:3762;top:3404;width:838;height:385" type="#_x0000_t202" filled="false" stroked="false">
              <v:textbox inset="0,0,0,0">
                <w:txbxContent>
                  <w:p>
                    <w:pPr>
                      <w:spacing w:line="247" w:lineRule="auto" w:before="4"/>
                      <w:ind w:left="182" w:right="12" w:hanging="183"/>
                      <w:jc w:val="left"/>
                      <w:rPr>
                        <w:sz w:val="16"/>
                      </w:rPr>
                    </w:pPr>
                    <w:r>
                      <w:rPr>
                        <w:color w:val="FFFFFF"/>
                        <w:w w:val="95"/>
                        <w:sz w:val="16"/>
                      </w:rPr>
                      <w:t>Completed, </w:t>
                    </w:r>
                    <w:r>
                      <w:rPr>
                        <w:color w:val="FFFFFF"/>
                        <w:sz w:val="16"/>
                      </w:rPr>
                      <w:t>90.4%</w:t>
                    </w:r>
                  </w:p>
                </w:txbxContent>
              </v:textbox>
              <w10:wrap type="none"/>
            </v:shape>
            <w10:wrap type="topAndBottom"/>
          </v:group>
        </w:pict>
      </w:r>
    </w:p>
    <w:p>
      <w:pPr>
        <w:pStyle w:val="BodyText"/>
        <w:rPr>
          <w:sz w:val="20"/>
        </w:rPr>
      </w:pPr>
    </w:p>
    <w:p>
      <w:pPr>
        <w:pStyle w:val="BodyText"/>
        <w:spacing w:before="6"/>
        <w:rPr>
          <w:sz w:val="28"/>
        </w:rPr>
      </w:pPr>
      <w:r>
        <w:rPr/>
        <w:pict>
          <v:rect style="position:absolute;margin-left:35.279999pt;margin-top:18.528671pt;width:347.62pt;height:.72pt;mso-position-horizontal-relative:page;mso-position-vertical-relative:paragraph;z-index:-15574016;mso-wrap-distance-left:0;mso-wrap-distance-right:0" filled="true" fillcolor="#69bd28" stroked="false">
            <v:fill type="solid"/>
            <w10:wrap type="topAndBottom"/>
          </v:rect>
        </w:pict>
      </w:r>
    </w:p>
    <w:p>
      <w:pPr>
        <w:pStyle w:val="BodyText"/>
        <w:rPr>
          <w:sz w:val="20"/>
        </w:rPr>
      </w:pPr>
    </w:p>
    <w:p>
      <w:pPr>
        <w:pStyle w:val="BodyText"/>
        <w:spacing w:before="4"/>
        <w:rPr>
          <w:sz w:val="21"/>
        </w:rPr>
      </w:pPr>
    </w:p>
    <w:p>
      <w:pPr>
        <w:tabs>
          <w:tab w:pos="2368" w:val="left" w:leader="none"/>
        </w:tabs>
        <w:spacing w:line="597" w:lineRule="auto" w:before="104"/>
        <w:ind w:left="392" w:right="5766" w:firstLine="0"/>
        <w:jc w:val="left"/>
        <w:rPr>
          <w:sz w:val="18"/>
        </w:rPr>
      </w:pPr>
      <w:r>
        <w:rPr/>
        <w:pict>
          <v:group style="position:absolute;margin-left:140.399994pt;margin-top:31.400688pt;width:106.5pt;height:41.6pt;mso-position-horizontal-relative:page;mso-position-vertical-relative:paragraph;z-index:-34744320" coordorigin="2808,628" coordsize="2130,832">
            <v:line style="position:absolute" from="2808,1452" to="4938,1452" stroked="true" strokeweight=".75pt" strokecolor="#000000">
              <v:stroke dashstyle="solid"/>
            </v:line>
            <v:shape style="position:absolute;left:2892;top:628;width:1920;height:805" type="#_x0000_t75" stroked="false">
              <v:imagedata r:id="rId17" o:title=""/>
            </v:shape>
            <w10:wrap type="none"/>
          </v:group>
        </w:pict>
      </w:r>
      <w:r>
        <w:rPr>
          <w:color w:val="006A4D"/>
          <w:sz w:val="18"/>
        </w:rPr>
        <w:t>Prepared</w:t>
      </w:r>
      <w:r>
        <w:rPr>
          <w:color w:val="006A4D"/>
          <w:spacing w:val="-16"/>
          <w:sz w:val="18"/>
        </w:rPr>
        <w:t> </w:t>
      </w:r>
      <w:r>
        <w:rPr>
          <w:color w:val="006A4D"/>
          <w:sz w:val="18"/>
        </w:rPr>
        <w:t>by:</w:t>
        <w:tab/>
        <w:t>Mr.</w:t>
      </w:r>
      <w:r>
        <w:rPr>
          <w:color w:val="006A4D"/>
          <w:spacing w:val="-16"/>
          <w:sz w:val="18"/>
        </w:rPr>
        <w:t> </w:t>
      </w:r>
      <w:r>
        <w:rPr>
          <w:color w:val="006A4D"/>
          <w:sz w:val="18"/>
        </w:rPr>
        <w:t>Manish</w:t>
      </w:r>
      <w:r>
        <w:rPr>
          <w:color w:val="006A4D"/>
          <w:spacing w:val="-16"/>
          <w:sz w:val="18"/>
        </w:rPr>
        <w:t> </w:t>
      </w:r>
      <w:r>
        <w:rPr>
          <w:color w:val="006A4D"/>
          <w:sz w:val="18"/>
        </w:rPr>
        <w:t>Gupta,</w:t>
      </w:r>
      <w:r>
        <w:rPr>
          <w:color w:val="006A4D"/>
          <w:spacing w:val="-17"/>
          <w:sz w:val="18"/>
        </w:rPr>
        <w:t> </w:t>
      </w:r>
      <w:r>
        <w:rPr>
          <w:color w:val="006A4D"/>
          <w:sz w:val="18"/>
        </w:rPr>
        <w:t>Partner,</w:t>
      </w:r>
      <w:r>
        <w:rPr>
          <w:color w:val="006A4D"/>
          <w:spacing w:val="-17"/>
          <w:sz w:val="18"/>
        </w:rPr>
        <w:t> </w:t>
      </w:r>
      <w:r>
        <w:rPr>
          <w:color w:val="006A4D"/>
          <w:sz w:val="18"/>
        </w:rPr>
        <w:t>iVAS</w:t>
      </w:r>
      <w:r>
        <w:rPr>
          <w:color w:val="006A4D"/>
          <w:spacing w:val="-15"/>
          <w:sz w:val="18"/>
        </w:rPr>
        <w:t> </w:t>
      </w:r>
      <w:r>
        <w:rPr>
          <w:color w:val="006A4D"/>
          <w:sz w:val="18"/>
        </w:rPr>
        <w:t>Partners Official</w:t>
      </w:r>
      <w:r>
        <w:rPr>
          <w:color w:val="006A4D"/>
          <w:spacing w:val="-3"/>
          <w:sz w:val="18"/>
        </w:rPr>
        <w:t> </w:t>
      </w:r>
      <w:r>
        <w:rPr>
          <w:color w:val="006A4D"/>
          <w:sz w:val="18"/>
        </w:rPr>
        <w:t>Signatory:</w:t>
      </w:r>
    </w:p>
    <w:p>
      <w:pPr>
        <w:pStyle w:val="BodyText"/>
      </w:pPr>
    </w:p>
    <w:p>
      <w:pPr>
        <w:spacing w:line="247" w:lineRule="auto" w:before="183"/>
        <w:ind w:left="2368" w:right="5787" w:firstLine="0"/>
        <w:jc w:val="left"/>
        <w:rPr>
          <w:sz w:val="20"/>
        </w:rPr>
      </w:pPr>
      <w:r>
        <w:rPr>
          <w:sz w:val="20"/>
        </w:rPr>
        <w:t>Name: Mr. Manish Gupta </w:t>
      </w:r>
      <w:r>
        <w:rPr>
          <w:w w:val="95"/>
          <w:sz w:val="20"/>
        </w:rPr>
        <w:t>Designation: Partner, iVAS Partners</w:t>
      </w:r>
    </w:p>
    <w:p>
      <w:pPr>
        <w:spacing w:before="2"/>
        <w:ind w:left="2368" w:right="0" w:firstLine="0"/>
        <w:jc w:val="left"/>
        <w:rPr>
          <w:sz w:val="20"/>
        </w:rPr>
      </w:pPr>
      <w:r>
        <w:rPr>
          <w:sz w:val="20"/>
        </w:rPr>
        <w:t>Valuer Registration Number: IBBI/RV-E/02/2020/112</w:t>
      </w:r>
    </w:p>
    <w:p>
      <w:pPr>
        <w:spacing w:after="0"/>
        <w:jc w:val="left"/>
        <w:rPr>
          <w:sz w:val="20"/>
        </w:rPr>
        <w:sectPr>
          <w:pgSz w:w="11910" w:h="16840"/>
          <w:pgMar w:header="720" w:footer="842" w:top="1520" w:bottom="1040" w:left="440" w:right="80"/>
        </w:sectPr>
      </w:pPr>
    </w:p>
    <w:p>
      <w:pPr>
        <w:pStyle w:val="BodyText"/>
        <w:spacing w:before="5"/>
      </w:pPr>
    </w:p>
    <w:p>
      <w:pPr>
        <w:pStyle w:val="Heading5"/>
        <w:numPr>
          <w:ilvl w:val="0"/>
          <w:numId w:val="14"/>
        </w:numPr>
        <w:tabs>
          <w:tab w:pos="712" w:val="left" w:leader="none"/>
          <w:tab w:pos="713" w:val="left" w:leader="none"/>
        </w:tabs>
        <w:spacing w:line="240" w:lineRule="auto" w:before="106" w:after="0"/>
        <w:ind w:left="712" w:right="0" w:hanging="433"/>
        <w:jc w:val="left"/>
        <w:rPr>
          <w:rFonts w:ascii="Arial"/>
        </w:rPr>
      </w:pPr>
      <w:bookmarkStart w:name="_bookmark43" w:id="86"/>
      <w:bookmarkEnd w:id="86"/>
      <w:r>
        <w:rPr>
          <w:b w:val="0"/>
        </w:rPr>
      </w:r>
      <w:bookmarkStart w:name="_bookmark43" w:id="87"/>
      <w:bookmarkEnd w:id="87"/>
      <w:r>
        <w:rPr>
          <w:rFonts w:ascii="Arial"/>
          <w:color w:val="1F664D"/>
        </w:rPr>
        <w:t>E</w:t>
      </w:r>
      <w:r>
        <w:rPr>
          <w:rFonts w:ascii="Arial"/>
          <w:color w:val="1F664D"/>
        </w:rPr>
        <w:t>mbassy</w:t>
      </w:r>
      <w:r>
        <w:rPr>
          <w:rFonts w:ascii="Arial"/>
          <w:color w:val="1F664D"/>
          <w:spacing w:val="1"/>
        </w:rPr>
        <w:t> </w:t>
      </w:r>
      <w:r>
        <w:rPr>
          <w:rFonts w:ascii="Arial"/>
          <w:color w:val="1F664D"/>
        </w:rPr>
        <w:t>Manyata</w:t>
      </w:r>
    </w:p>
    <w:p>
      <w:pPr>
        <w:pStyle w:val="BodyText"/>
        <w:spacing w:before="8"/>
        <w:rPr>
          <w:rFonts w:ascii="Arial"/>
          <w:b/>
          <w:sz w:val="28"/>
        </w:rPr>
      </w:pPr>
    </w:p>
    <w:p>
      <w:pPr>
        <w:pStyle w:val="ListParagraph"/>
        <w:numPr>
          <w:ilvl w:val="1"/>
          <w:numId w:val="14"/>
        </w:numPr>
        <w:tabs>
          <w:tab w:pos="856" w:val="left" w:leader="none"/>
          <w:tab w:pos="857" w:val="left" w:leader="none"/>
        </w:tabs>
        <w:spacing w:line="240" w:lineRule="auto" w:before="0" w:after="0"/>
        <w:ind w:left="856" w:right="0" w:hanging="577"/>
        <w:jc w:val="left"/>
        <w:rPr>
          <w:color w:val="1F6647"/>
          <w:sz w:val="22"/>
        </w:rPr>
      </w:pPr>
      <w:bookmarkStart w:name="_bookmark44" w:id="88"/>
      <w:bookmarkEnd w:id="88"/>
      <w:r>
        <w:rPr/>
      </w:r>
      <w:bookmarkStart w:name="_bookmark44" w:id="89"/>
      <w:bookmarkEnd w:id="89"/>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6"/>
        <w:rPr>
          <w:sz w:val="17"/>
        </w:rPr>
      </w:pPr>
    </w:p>
    <w:tbl>
      <w:tblPr>
        <w:tblW w:w="0" w:type="auto"/>
        <w:jc w:val="left"/>
        <w:tblInd w:w="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07"/>
        <w:gridCol w:w="7665"/>
      </w:tblGrid>
      <w:tr>
        <w:trPr>
          <w:trHeight w:val="251" w:hRule="atLeast"/>
        </w:trPr>
        <w:tc>
          <w:tcPr>
            <w:tcW w:w="10472" w:type="dxa"/>
            <w:gridSpan w:val="2"/>
            <w:tcBorders>
              <w:top w:val="single" w:sz="12" w:space="0" w:color="1F6B16"/>
              <w:bottom w:val="single" w:sz="6" w:space="0" w:color="69BD28"/>
            </w:tcBorders>
            <w:shd w:val="clear" w:color="auto" w:fill="006A4D"/>
          </w:tcPr>
          <w:p>
            <w:pPr>
              <w:pStyle w:val="TableParagraph"/>
              <w:spacing w:line="209" w:lineRule="exact" w:before="22"/>
              <w:rPr>
                <w:b/>
                <w:sz w:val="18"/>
              </w:rPr>
            </w:pPr>
            <w:r>
              <w:rPr>
                <w:b/>
                <w:color w:val="FFFFFF"/>
                <w:w w:val="105"/>
                <w:sz w:val="18"/>
              </w:rPr>
              <w:t>Brief Description</w:t>
            </w:r>
          </w:p>
        </w:tc>
      </w:tr>
      <w:tr>
        <w:trPr>
          <w:trHeight w:val="253" w:hRule="atLeast"/>
        </w:trPr>
        <w:tc>
          <w:tcPr>
            <w:tcW w:w="2807" w:type="dxa"/>
            <w:tcBorders>
              <w:top w:val="single" w:sz="6" w:space="0" w:color="69BD28"/>
              <w:bottom w:val="single" w:sz="6" w:space="0" w:color="69BD28"/>
            </w:tcBorders>
            <w:shd w:val="clear" w:color="auto" w:fill="006A4D"/>
          </w:tcPr>
          <w:p>
            <w:pPr>
              <w:pStyle w:val="TableParagraph"/>
              <w:spacing w:line="223" w:lineRule="exact" w:before="11"/>
              <w:ind w:left="451" w:right="464"/>
              <w:rPr>
                <w:sz w:val="20"/>
              </w:rPr>
            </w:pPr>
            <w:r>
              <w:rPr>
                <w:color w:val="FFFFFF"/>
                <w:sz w:val="20"/>
              </w:rPr>
              <w:t>Particulars</w:t>
            </w:r>
          </w:p>
        </w:tc>
        <w:tc>
          <w:tcPr>
            <w:tcW w:w="7665" w:type="dxa"/>
            <w:tcBorders>
              <w:top w:val="single" w:sz="6" w:space="0" w:color="69BD28"/>
              <w:bottom w:val="single" w:sz="6" w:space="0" w:color="69BD28"/>
            </w:tcBorders>
            <w:shd w:val="clear" w:color="auto" w:fill="006A4D"/>
          </w:tcPr>
          <w:p>
            <w:pPr>
              <w:pStyle w:val="TableParagraph"/>
              <w:spacing w:before="22"/>
              <w:ind w:left="140" w:right="156"/>
              <w:rPr>
                <w:b/>
                <w:sz w:val="18"/>
              </w:rPr>
            </w:pPr>
            <w:r>
              <w:rPr>
                <w:b/>
                <w:color w:val="FFFFFF"/>
                <w:w w:val="110"/>
                <w:sz w:val="18"/>
              </w:rPr>
              <w:t>Details</w:t>
            </w:r>
          </w:p>
        </w:tc>
      </w:tr>
      <w:tr>
        <w:trPr>
          <w:trHeight w:val="637" w:hRule="atLeast"/>
        </w:trPr>
        <w:tc>
          <w:tcPr>
            <w:tcW w:w="2807" w:type="dxa"/>
            <w:shd w:val="clear" w:color="auto" w:fill="69BD28"/>
          </w:tcPr>
          <w:p>
            <w:pPr>
              <w:pStyle w:val="TableParagraph"/>
              <w:spacing w:before="5"/>
              <w:jc w:val="left"/>
              <w:rPr>
                <w:sz w:val="18"/>
              </w:rPr>
            </w:pPr>
          </w:p>
          <w:p>
            <w:pPr>
              <w:pStyle w:val="TableParagraph"/>
              <w:ind w:left="451" w:right="462"/>
              <w:rPr>
                <w:b/>
                <w:sz w:val="18"/>
              </w:rPr>
            </w:pPr>
            <w:r>
              <w:rPr>
                <w:b/>
                <w:color w:val="FFFFFF"/>
                <w:w w:val="110"/>
                <w:sz w:val="18"/>
              </w:rPr>
              <w:t>Property Name</w:t>
            </w:r>
          </w:p>
        </w:tc>
        <w:tc>
          <w:tcPr>
            <w:tcW w:w="7665" w:type="dxa"/>
            <w:tcBorders>
              <w:top w:val="single" w:sz="6" w:space="0" w:color="69BD28"/>
              <w:bottom w:val="single" w:sz="6" w:space="0" w:color="69BD28"/>
            </w:tcBorders>
          </w:tcPr>
          <w:p>
            <w:pPr>
              <w:pStyle w:val="TableParagraph"/>
              <w:spacing w:before="5"/>
              <w:jc w:val="left"/>
              <w:rPr>
                <w:sz w:val="18"/>
              </w:rPr>
            </w:pPr>
          </w:p>
          <w:p>
            <w:pPr>
              <w:pStyle w:val="TableParagraph"/>
              <w:ind w:left="141" w:right="154"/>
              <w:rPr>
                <w:sz w:val="18"/>
              </w:rPr>
            </w:pPr>
            <w:r>
              <w:rPr>
                <w:sz w:val="18"/>
              </w:rPr>
              <w:t>Embassy Manyata</w:t>
            </w:r>
          </w:p>
        </w:tc>
      </w:tr>
      <w:tr>
        <w:trPr>
          <w:trHeight w:val="647" w:hRule="atLeast"/>
        </w:trPr>
        <w:tc>
          <w:tcPr>
            <w:tcW w:w="2807" w:type="dxa"/>
            <w:shd w:val="clear" w:color="auto" w:fill="69BD28"/>
          </w:tcPr>
          <w:p>
            <w:pPr>
              <w:pStyle w:val="TableParagraph"/>
              <w:spacing w:before="10"/>
              <w:jc w:val="left"/>
              <w:rPr>
                <w:sz w:val="18"/>
              </w:rPr>
            </w:pPr>
          </w:p>
          <w:p>
            <w:pPr>
              <w:pStyle w:val="TableParagraph"/>
              <w:ind w:left="451" w:right="460"/>
              <w:rPr>
                <w:b/>
                <w:sz w:val="18"/>
              </w:rPr>
            </w:pPr>
            <w:r>
              <w:rPr>
                <w:b/>
                <w:color w:val="FFFFFF"/>
                <w:w w:val="110"/>
                <w:sz w:val="18"/>
              </w:rPr>
              <w:t>Address</w:t>
            </w:r>
          </w:p>
        </w:tc>
        <w:tc>
          <w:tcPr>
            <w:tcW w:w="7665" w:type="dxa"/>
            <w:tcBorders>
              <w:top w:val="single" w:sz="6" w:space="0" w:color="69BD28"/>
              <w:bottom w:val="single" w:sz="6" w:space="0" w:color="69BD28"/>
            </w:tcBorders>
          </w:tcPr>
          <w:p>
            <w:pPr>
              <w:pStyle w:val="TableParagraph"/>
              <w:spacing w:line="247" w:lineRule="auto" w:before="3"/>
              <w:ind w:left="141" w:right="156"/>
              <w:rPr>
                <w:sz w:val="18"/>
              </w:rPr>
            </w:pPr>
            <w:r>
              <w:rPr>
                <w:sz w:val="18"/>
              </w:rPr>
              <w:t>Nagavara</w:t>
            </w:r>
            <w:r>
              <w:rPr>
                <w:spacing w:val="-11"/>
                <w:sz w:val="18"/>
              </w:rPr>
              <w:t> </w:t>
            </w:r>
            <w:r>
              <w:rPr>
                <w:sz w:val="18"/>
              </w:rPr>
              <w:t>Village,</w:t>
            </w:r>
            <w:r>
              <w:rPr>
                <w:spacing w:val="-9"/>
                <w:sz w:val="18"/>
              </w:rPr>
              <w:t> </w:t>
            </w:r>
            <w:r>
              <w:rPr>
                <w:sz w:val="18"/>
              </w:rPr>
              <w:t>Kasaba</w:t>
            </w:r>
            <w:r>
              <w:rPr>
                <w:spacing w:val="-7"/>
                <w:sz w:val="18"/>
              </w:rPr>
              <w:t> </w:t>
            </w:r>
            <w:r>
              <w:rPr>
                <w:sz w:val="18"/>
              </w:rPr>
              <w:t>Hobli,</w:t>
            </w:r>
            <w:r>
              <w:rPr>
                <w:spacing w:val="-9"/>
                <w:sz w:val="18"/>
              </w:rPr>
              <w:t> </w:t>
            </w:r>
            <w:r>
              <w:rPr>
                <w:sz w:val="18"/>
              </w:rPr>
              <w:t>Bangalore</w:t>
            </w:r>
            <w:r>
              <w:rPr>
                <w:spacing w:val="-8"/>
                <w:sz w:val="18"/>
              </w:rPr>
              <w:t> </w:t>
            </w:r>
            <w:r>
              <w:rPr>
                <w:sz w:val="18"/>
              </w:rPr>
              <w:t>North</w:t>
            </w:r>
            <w:r>
              <w:rPr>
                <w:spacing w:val="-4"/>
                <w:sz w:val="18"/>
              </w:rPr>
              <w:t> </w:t>
            </w:r>
            <w:r>
              <w:rPr>
                <w:sz w:val="18"/>
              </w:rPr>
              <w:t>Taluk,</w:t>
            </w:r>
            <w:r>
              <w:rPr>
                <w:spacing w:val="-9"/>
                <w:sz w:val="18"/>
              </w:rPr>
              <w:t> </w:t>
            </w:r>
            <w:r>
              <w:rPr>
                <w:sz w:val="18"/>
              </w:rPr>
              <w:t>Bengaluru</w:t>
            </w:r>
            <w:r>
              <w:rPr>
                <w:spacing w:val="-8"/>
                <w:sz w:val="18"/>
              </w:rPr>
              <w:t> </w:t>
            </w:r>
            <w:r>
              <w:rPr>
                <w:sz w:val="18"/>
              </w:rPr>
              <w:t>District</w:t>
            </w:r>
            <w:r>
              <w:rPr>
                <w:spacing w:val="-9"/>
                <w:sz w:val="18"/>
              </w:rPr>
              <w:t> </w:t>
            </w:r>
            <w:r>
              <w:rPr>
                <w:sz w:val="18"/>
              </w:rPr>
              <w:t>and</w:t>
            </w:r>
            <w:r>
              <w:rPr>
                <w:spacing w:val="-8"/>
                <w:sz w:val="18"/>
              </w:rPr>
              <w:t> </w:t>
            </w:r>
            <w:r>
              <w:rPr>
                <w:sz w:val="18"/>
              </w:rPr>
              <w:t>Rachenahalli and</w:t>
            </w:r>
            <w:r>
              <w:rPr>
                <w:spacing w:val="-20"/>
                <w:sz w:val="18"/>
              </w:rPr>
              <w:t> </w:t>
            </w:r>
            <w:r>
              <w:rPr>
                <w:sz w:val="18"/>
              </w:rPr>
              <w:t>Thanisandra</w:t>
            </w:r>
            <w:r>
              <w:rPr>
                <w:spacing w:val="-21"/>
                <w:sz w:val="18"/>
              </w:rPr>
              <w:t> </w:t>
            </w:r>
            <w:r>
              <w:rPr>
                <w:sz w:val="18"/>
              </w:rPr>
              <w:t>Villages,</w:t>
            </w:r>
            <w:r>
              <w:rPr>
                <w:spacing w:val="-19"/>
                <w:sz w:val="18"/>
              </w:rPr>
              <w:t> </w:t>
            </w:r>
            <w:r>
              <w:rPr>
                <w:sz w:val="18"/>
              </w:rPr>
              <w:t>Krishnarajapuram</w:t>
            </w:r>
            <w:r>
              <w:rPr>
                <w:spacing w:val="-19"/>
                <w:sz w:val="18"/>
              </w:rPr>
              <w:t> </w:t>
            </w:r>
            <w:r>
              <w:rPr>
                <w:sz w:val="18"/>
              </w:rPr>
              <w:t>Hobli,</w:t>
            </w:r>
            <w:r>
              <w:rPr>
                <w:spacing w:val="-17"/>
                <w:sz w:val="18"/>
              </w:rPr>
              <w:t> </w:t>
            </w:r>
            <w:r>
              <w:rPr>
                <w:sz w:val="18"/>
              </w:rPr>
              <w:t>Bengaluru</w:t>
            </w:r>
            <w:r>
              <w:rPr>
                <w:spacing w:val="-19"/>
                <w:sz w:val="18"/>
              </w:rPr>
              <w:t> </w:t>
            </w:r>
            <w:r>
              <w:rPr>
                <w:sz w:val="18"/>
              </w:rPr>
              <w:t>East</w:t>
            </w:r>
            <w:r>
              <w:rPr>
                <w:spacing w:val="-20"/>
                <w:sz w:val="18"/>
              </w:rPr>
              <w:t> </w:t>
            </w:r>
            <w:r>
              <w:rPr>
                <w:sz w:val="18"/>
              </w:rPr>
              <w:t>Taluk,</w:t>
            </w:r>
            <w:r>
              <w:rPr>
                <w:spacing w:val="-20"/>
                <w:sz w:val="18"/>
              </w:rPr>
              <w:t> </w:t>
            </w:r>
            <w:r>
              <w:rPr>
                <w:sz w:val="18"/>
              </w:rPr>
              <w:t>Bengaluru</w:t>
            </w:r>
            <w:r>
              <w:rPr>
                <w:spacing w:val="-19"/>
                <w:sz w:val="18"/>
              </w:rPr>
              <w:t> </w:t>
            </w:r>
            <w:r>
              <w:rPr>
                <w:sz w:val="18"/>
              </w:rPr>
              <w:t>District,</w:t>
            </w:r>
          </w:p>
          <w:p>
            <w:pPr>
              <w:pStyle w:val="TableParagraph"/>
              <w:spacing w:line="192" w:lineRule="exact" w:before="2"/>
              <w:ind w:left="138" w:right="156"/>
              <w:rPr>
                <w:sz w:val="18"/>
              </w:rPr>
            </w:pPr>
            <w:r>
              <w:rPr>
                <w:sz w:val="18"/>
              </w:rPr>
              <w:t>Karnataka</w:t>
            </w:r>
          </w:p>
        </w:tc>
      </w:tr>
      <w:tr>
        <w:trPr>
          <w:trHeight w:val="647" w:hRule="atLeast"/>
        </w:trPr>
        <w:tc>
          <w:tcPr>
            <w:tcW w:w="2807" w:type="dxa"/>
            <w:shd w:val="clear" w:color="auto" w:fill="69BD28"/>
          </w:tcPr>
          <w:p>
            <w:pPr>
              <w:pStyle w:val="TableParagraph"/>
              <w:spacing w:before="11"/>
              <w:jc w:val="left"/>
              <w:rPr>
                <w:sz w:val="18"/>
              </w:rPr>
            </w:pPr>
          </w:p>
          <w:p>
            <w:pPr>
              <w:pStyle w:val="TableParagraph"/>
              <w:ind w:left="451" w:right="465"/>
              <w:rPr>
                <w:b/>
                <w:sz w:val="18"/>
              </w:rPr>
            </w:pPr>
            <w:r>
              <w:rPr>
                <w:b/>
                <w:color w:val="FFFFFF"/>
                <w:w w:val="110"/>
                <w:sz w:val="18"/>
              </w:rPr>
              <w:t>Land Area</w:t>
            </w:r>
          </w:p>
        </w:tc>
        <w:tc>
          <w:tcPr>
            <w:tcW w:w="7665" w:type="dxa"/>
            <w:tcBorders>
              <w:top w:val="single" w:sz="6" w:space="0" w:color="69BD28"/>
              <w:bottom w:val="single" w:sz="6" w:space="0" w:color="69BD28"/>
            </w:tcBorders>
          </w:tcPr>
          <w:p>
            <w:pPr>
              <w:pStyle w:val="TableParagraph"/>
              <w:spacing w:line="216" w:lineRule="exact"/>
              <w:ind w:left="137" w:right="156"/>
              <w:rPr>
                <w:sz w:val="18"/>
              </w:rPr>
            </w:pPr>
            <w:r>
              <w:rPr>
                <w:sz w:val="18"/>
              </w:rPr>
              <w:t>Based</w:t>
            </w:r>
            <w:r>
              <w:rPr>
                <w:spacing w:val="-30"/>
                <w:sz w:val="18"/>
              </w:rPr>
              <w:t> </w:t>
            </w:r>
            <w:r>
              <w:rPr>
                <w:sz w:val="18"/>
              </w:rPr>
              <w:t>on</w:t>
            </w:r>
            <w:r>
              <w:rPr>
                <w:spacing w:val="-28"/>
                <w:sz w:val="18"/>
              </w:rPr>
              <w:t> </w:t>
            </w:r>
            <w:r>
              <w:rPr>
                <w:sz w:val="18"/>
              </w:rPr>
              <w:t>review</w:t>
            </w:r>
            <w:r>
              <w:rPr>
                <w:spacing w:val="-30"/>
                <w:sz w:val="18"/>
              </w:rPr>
              <w:t> </w:t>
            </w:r>
            <w:r>
              <w:rPr>
                <w:sz w:val="18"/>
              </w:rPr>
              <w:t>of</w:t>
            </w:r>
            <w:r>
              <w:rPr>
                <w:spacing w:val="-28"/>
                <w:sz w:val="18"/>
              </w:rPr>
              <w:t> </w:t>
            </w:r>
            <w:r>
              <w:rPr>
                <w:sz w:val="18"/>
              </w:rPr>
              <w:t>the</w:t>
            </w:r>
            <w:r>
              <w:rPr>
                <w:spacing w:val="-29"/>
                <w:sz w:val="18"/>
              </w:rPr>
              <w:t> </w:t>
            </w:r>
            <w:r>
              <w:rPr>
                <w:sz w:val="18"/>
              </w:rPr>
              <w:t>title</w:t>
            </w:r>
            <w:r>
              <w:rPr>
                <w:spacing w:val="-29"/>
                <w:sz w:val="18"/>
              </w:rPr>
              <w:t> </w:t>
            </w:r>
            <w:r>
              <w:rPr>
                <w:sz w:val="18"/>
              </w:rPr>
              <w:t>report</w:t>
            </w:r>
            <w:r>
              <w:rPr>
                <w:spacing w:val="-29"/>
                <w:sz w:val="18"/>
              </w:rPr>
              <w:t> </w:t>
            </w:r>
            <w:r>
              <w:rPr>
                <w:sz w:val="18"/>
              </w:rPr>
              <w:t>(for</w:t>
            </w:r>
            <w:r>
              <w:rPr>
                <w:spacing w:val="-29"/>
                <w:sz w:val="18"/>
              </w:rPr>
              <w:t> </w:t>
            </w:r>
            <w:r>
              <w:rPr>
                <w:sz w:val="18"/>
              </w:rPr>
              <w:t>Manyata</w:t>
            </w:r>
            <w:r>
              <w:rPr>
                <w:spacing w:val="-29"/>
                <w:sz w:val="18"/>
              </w:rPr>
              <w:t> </w:t>
            </w:r>
            <w:r>
              <w:rPr>
                <w:sz w:val="18"/>
              </w:rPr>
              <w:t>Promoters</w:t>
            </w:r>
            <w:r>
              <w:rPr>
                <w:spacing w:val="-29"/>
                <w:sz w:val="18"/>
              </w:rPr>
              <w:t> </w:t>
            </w:r>
            <w:r>
              <w:rPr>
                <w:sz w:val="18"/>
              </w:rPr>
              <w:t>Pvt</w:t>
            </w:r>
            <w:r>
              <w:rPr>
                <w:spacing w:val="-29"/>
                <w:sz w:val="18"/>
              </w:rPr>
              <w:t> </w:t>
            </w:r>
            <w:r>
              <w:rPr>
                <w:sz w:val="18"/>
              </w:rPr>
              <w:t>Ltd</w:t>
            </w:r>
            <w:r>
              <w:rPr>
                <w:spacing w:val="-30"/>
                <w:sz w:val="18"/>
              </w:rPr>
              <w:t> </w:t>
            </w:r>
            <w:r>
              <w:rPr>
                <w:sz w:val="18"/>
              </w:rPr>
              <w:t>and</w:t>
            </w:r>
            <w:r>
              <w:rPr>
                <w:spacing w:val="-29"/>
                <w:sz w:val="18"/>
              </w:rPr>
              <w:t> </w:t>
            </w:r>
            <w:r>
              <w:rPr>
                <w:sz w:val="18"/>
              </w:rPr>
              <w:t>M3</w:t>
            </w:r>
            <w:r>
              <w:rPr>
                <w:spacing w:val="-29"/>
                <w:sz w:val="18"/>
              </w:rPr>
              <w:t> </w:t>
            </w:r>
            <w:r>
              <w:rPr>
                <w:sz w:val="18"/>
              </w:rPr>
              <w:t>Block</w:t>
            </w:r>
            <w:r>
              <w:rPr>
                <w:spacing w:val="-29"/>
                <w:sz w:val="18"/>
              </w:rPr>
              <w:t> </w:t>
            </w:r>
            <w:r>
              <w:rPr>
                <w:sz w:val="18"/>
              </w:rPr>
              <w:t>respectively), we</w:t>
            </w:r>
            <w:r>
              <w:rPr>
                <w:spacing w:val="-24"/>
                <w:sz w:val="18"/>
              </w:rPr>
              <w:t> </w:t>
            </w:r>
            <w:r>
              <w:rPr>
                <w:sz w:val="18"/>
              </w:rPr>
              <w:t>understand</w:t>
            </w:r>
            <w:r>
              <w:rPr>
                <w:spacing w:val="-23"/>
                <w:sz w:val="18"/>
              </w:rPr>
              <w:t> </w:t>
            </w:r>
            <w:r>
              <w:rPr>
                <w:sz w:val="18"/>
              </w:rPr>
              <w:t>that</w:t>
            </w:r>
            <w:r>
              <w:rPr>
                <w:spacing w:val="-25"/>
                <w:sz w:val="18"/>
              </w:rPr>
              <w:t> </w:t>
            </w:r>
            <w:r>
              <w:rPr>
                <w:sz w:val="18"/>
              </w:rPr>
              <w:t>the</w:t>
            </w:r>
            <w:r>
              <w:rPr>
                <w:spacing w:val="-23"/>
                <w:sz w:val="18"/>
              </w:rPr>
              <w:t> </w:t>
            </w:r>
            <w:r>
              <w:rPr>
                <w:sz w:val="18"/>
              </w:rPr>
              <w:t>total</w:t>
            </w:r>
            <w:r>
              <w:rPr>
                <w:spacing w:val="-24"/>
                <w:sz w:val="18"/>
              </w:rPr>
              <w:t> </w:t>
            </w:r>
            <w:r>
              <w:rPr>
                <w:sz w:val="18"/>
              </w:rPr>
              <w:t>land</w:t>
            </w:r>
            <w:r>
              <w:rPr>
                <w:spacing w:val="-24"/>
                <w:sz w:val="18"/>
              </w:rPr>
              <w:t> </w:t>
            </w:r>
            <w:r>
              <w:rPr>
                <w:sz w:val="18"/>
              </w:rPr>
              <w:t>area</w:t>
            </w:r>
            <w:r>
              <w:rPr>
                <w:spacing w:val="-23"/>
                <w:sz w:val="18"/>
              </w:rPr>
              <w:t> </w:t>
            </w:r>
            <w:r>
              <w:rPr>
                <w:sz w:val="18"/>
              </w:rPr>
              <w:t>of</w:t>
            </w:r>
            <w:r>
              <w:rPr>
                <w:spacing w:val="-23"/>
                <w:sz w:val="18"/>
              </w:rPr>
              <w:t> </w:t>
            </w:r>
            <w:r>
              <w:rPr>
                <w:sz w:val="18"/>
              </w:rPr>
              <w:t>the</w:t>
            </w:r>
            <w:r>
              <w:rPr>
                <w:spacing w:val="-23"/>
                <w:sz w:val="18"/>
              </w:rPr>
              <w:t> </w:t>
            </w:r>
            <w:r>
              <w:rPr>
                <w:sz w:val="18"/>
              </w:rPr>
              <w:t>subject</w:t>
            </w:r>
            <w:r>
              <w:rPr>
                <w:spacing w:val="-24"/>
                <w:sz w:val="18"/>
              </w:rPr>
              <w:t> </w:t>
            </w:r>
            <w:r>
              <w:rPr>
                <w:sz w:val="18"/>
              </w:rPr>
              <w:t>property</w:t>
            </w:r>
            <w:r>
              <w:rPr>
                <w:spacing w:val="-24"/>
                <w:sz w:val="18"/>
              </w:rPr>
              <w:t> </w:t>
            </w:r>
            <w:r>
              <w:rPr>
                <w:sz w:val="18"/>
              </w:rPr>
              <w:t>under</w:t>
            </w:r>
            <w:r>
              <w:rPr>
                <w:spacing w:val="-24"/>
                <w:sz w:val="18"/>
              </w:rPr>
              <w:t> </w:t>
            </w:r>
            <w:r>
              <w:rPr>
                <w:sz w:val="18"/>
              </w:rPr>
              <w:t>the</w:t>
            </w:r>
            <w:r>
              <w:rPr>
                <w:spacing w:val="-23"/>
                <w:sz w:val="18"/>
              </w:rPr>
              <w:t> </w:t>
            </w:r>
            <w:r>
              <w:rPr>
                <w:sz w:val="18"/>
              </w:rPr>
              <w:t>ownership</w:t>
            </w:r>
            <w:r>
              <w:rPr>
                <w:spacing w:val="-24"/>
                <w:sz w:val="18"/>
              </w:rPr>
              <w:t> </w:t>
            </w:r>
            <w:r>
              <w:rPr>
                <w:sz w:val="18"/>
              </w:rPr>
              <w:t>of</w:t>
            </w:r>
            <w:r>
              <w:rPr>
                <w:spacing w:val="-23"/>
                <w:sz w:val="18"/>
              </w:rPr>
              <w:t> </w:t>
            </w:r>
            <w:r>
              <w:rPr>
                <w:sz w:val="18"/>
              </w:rPr>
              <w:t>the Client is approximately 121.76</w:t>
            </w:r>
            <w:r>
              <w:rPr>
                <w:spacing w:val="-13"/>
                <w:sz w:val="18"/>
              </w:rPr>
              <w:t> </w:t>
            </w:r>
            <w:r>
              <w:rPr>
                <w:sz w:val="18"/>
              </w:rPr>
              <w:t>Acres</w:t>
            </w:r>
          </w:p>
        </w:tc>
      </w:tr>
      <w:tr>
        <w:trPr>
          <w:trHeight w:val="863" w:hRule="atLeast"/>
        </w:trPr>
        <w:tc>
          <w:tcPr>
            <w:tcW w:w="2807" w:type="dxa"/>
            <w:shd w:val="clear" w:color="auto" w:fill="69BD28"/>
          </w:tcPr>
          <w:p>
            <w:pPr>
              <w:pStyle w:val="TableParagraph"/>
              <w:spacing w:before="2"/>
              <w:jc w:val="left"/>
              <w:rPr>
                <w:sz w:val="28"/>
              </w:rPr>
            </w:pPr>
          </w:p>
          <w:p>
            <w:pPr>
              <w:pStyle w:val="TableParagraph"/>
              <w:ind w:left="451" w:right="467"/>
              <w:rPr>
                <w:b/>
                <w:sz w:val="18"/>
              </w:rPr>
            </w:pPr>
            <w:r>
              <w:rPr>
                <w:b/>
                <w:color w:val="FFFFFF"/>
                <w:w w:val="110"/>
                <w:sz w:val="18"/>
              </w:rPr>
              <w:t>Leasable Area</w:t>
            </w:r>
          </w:p>
        </w:tc>
        <w:tc>
          <w:tcPr>
            <w:tcW w:w="7665" w:type="dxa"/>
            <w:tcBorders>
              <w:top w:val="single" w:sz="6" w:space="0" w:color="69BD28"/>
              <w:bottom w:val="single" w:sz="6" w:space="0" w:color="69BD28"/>
            </w:tcBorders>
          </w:tcPr>
          <w:p>
            <w:pPr>
              <w:pStyle w:val="TableParagraph"/>
              <w:spacing w:before="3"/>
              <w:ind w:left="141" w:right="152"/>
              <w:rPr>
                <w:sz w:val="18"/>
              </w:rPr>
            </w:pPr>
            <w:r>
              <w:rPr>
                <w:w w:val="105"/>
                <w:sz w:val="18"/>
              </w:rPr>
              <w:t>Total Operational Area – 11.75 msf</w:t>
            </w:r>
          </w:p>
          <w:p>
            <w:pPr>
              <w:pStyle w:val="TableParagraph"/>
              <w:spacing w:line="210" w:lineRule="atLeast" w:before="6"/>
              <w:ind w:left="1273" w:right="1286" w:hanging="5"/>
              <w:rPr>
                <w:sz w:val="18"/>
              </w:rPr>
            </w:pPr>
            <w:r>
              <w:rPr>
                <w:w w:val="105"/>
                <w:sz w:val="18"/>
              </w:rPr>
              <w:t>Total</w:t>
            </w:r>
            <w:r>
              <w:rPr>
                <w:spacing w:val="-29"/>
                <w:w w:val="105"/>
                <w:sz w:val="18"/>
              </w:rPr>
              <w:t> </w:t>
            </w:r>
            <w:r>
              <w:rPr>
                <w:w w:val="105"/>
                <w:sz w:val="18"/>
              </w:rPr>
              <w:t>under-construction</w:t>
            </w:r>
            <w:r>
              <w:rPr>
                <w:spacing w:val="-28"/>
                <w:w w:val="105"/>
                <w:sz w:val="18"/>
              </w:rPr>
              <w:t> </w:t>
            </w:r>
            <w:r>
              <w:rPr>
                <w:w w:val="105"/>
                <w:sz w:val="18"/>
              </w:rPr>
              <w:t>Area</w:t>
            </w:r>
            <w:r>
              <w:rPr>
                <w:spacing w:val="-28"/>
                <w:w w:val="105"/>
                <w:sz w:val="18"/>
              </w:rPr>
              <w:t> </w:t>
            </w:r>
            <w:r>
              <w:rPr>
                <w:w w:val="105"/>
                <w:sz w:val="18"/>
              </w:rPr>
              <w:t>-</w:t>
            </w:r>
            <w:r>
              <w:rPr>
                <w:spacing w:val="-29"/>
                <w:w w:val="105"/>
                <w:sz w:val="18"/>
              </w:rPr>
              <w:t> </w:t>
            </w:r>
            <w:r>
              <w:rPr>
                <w:w w:val="105"/>
                <w:sz w:val="18"/>
              </w:rPr>
              <w:t>1.65</w:t>
            </w:r>
            <w:r>
              <w:rPr>
                <w:spacing w:val="-29"/>
                <w:w w:val="105"/>
                <w:sz w:val="18"/>
              </w:rPr>
              <w:t> </w:t>
            </w:r>
            <w:r>
              <w:rPr>
                <w:w w:val="105"/>
                <w:sz w:val="18"/>
              </w:rPr>
              <w:t>msf;</w:t>
            </w:r>
            <w:r>
              <w:rPr>
                <w:spacing w:val="-28"/>
                <w:w w:val="105"/>
                <w:sz w:val="18"/>
              </w:rPr>
              <w:t> </w:t>
            </w:r>
            <w:r>
              <w:rPr>
                <w:w w:val="105"/>
                <w:sz w:val="18"/>
              </w:rPr>
              <w:t>Hotel</w:t>
            </w:r>
            <w:r>
              <w:rPr>
                <w:spacing w:val="-29"/>
                <w:w w:val="105"/>
                <w:sz w:val="18"/>
              </w:rPr>
              <w:t> </w:t>
            </w:r>
            <w:r>
              <w:rPr>
                <w:w w:val="105"/>
                <w:sz w:val="18"/>
              </w:rPr>
              <w:t>-</w:t>
            </w:r>
            <w:r>
              <w:rPr>
                <w:spacing w:val="-28"/>
                <w:w w:val="105"/>
                <w:sz w:val="18"/>
              </w:rPr>
              <w:t> </w:t>
            </w:r>
            <w:r>
              <w:rPr>
                <w:w w:val="105"/>
                <w:sz w:val="18"/>
              </w:rPr>
              <w:t>619</w:t>
            </w:r>
            <w:r>
              <w:rPr>
                <w:spacing w:val="-28"/>
                <w:w w:val="105"/>
                <w:sz w:val="18"/>
              </w:rPr>
              <w:t> </w:t>
            </w:r>
            <w:r>
              <w:rPr>
                <w:w w:val="105"/>
                <w:sz w:val="18"/>
              </w:rPr>
              <w:t>keys (developable</w:t>
            </w:r>
            <w:r>
              <w:rPr>
                <w:spacing w:val="-33"/>
                <w:w w:val="105"/>
                <w:sz w:val="18"/>
              </w:rPr>
              <w:t> </w:t>
            </w:r>
            <w:r>
              <w:rPr>
                <w:w w:val="105"/>
                <w:sz w:val="18"/>
              </w:rPr>
              <w:t>area</w:t>
            </w:r>
            <w:r>
              <w:rPr>
                <w:spacing w:val="-34"/>
                <w:w w:val="105"/>
                <w:sz w:val="18"/>
              </w:rPr>
              <w:t> </w:t>
            </w:r>
            <w:r>
              <w:rPr>
                <w:w w:val="105"/>
                <w:sz w:val="18"/>
              </w:rPr>
              <w:t>of</w:t>
            </w:r>
            <w:r>
              <w:rPr>
                <w:spacing w:val="-33"/>
                <w:w w:val="105"/>
                <w:sz w:val="18"/>
              </w:rPr>
              <w:t> </w:t>
            </w:r>
            <w:r>
              <w:rPr>
                <w:w w:val="105"/>
                <w:sz w:val="18"/>
              </w:rPr>
              <w:t>hotel</w:t>
            </w:r>
            <w:r>
              <w:rPr>
                <w:spacing w:val="-34"/>
                <w:w w:val="105"/>
                <w:sz w:val="18"/>
              </w:rPr>
              <w:t> </w:t>
            </w:r>
            <w:r>
              <w:rPr>
                <w:w w:val="105"/>
                <w:sz w:val="18"/>
              </w:rPr>
              <w:t>-</w:t>
            </w:r>
            <w:r>
              <w:rPr>
                <w:spacing w:val="-33"/>
                <w:w w:val="105"/>
                <w:sz w:val="18"/>
              </w:rPr>
              <w:t> </w:t>
            </w:r>
            <w:r>
              <w:rPr>
                <w:w w:val="105"/>
                <w:sz w:val="18"/>
              </w:rPr>
              <w:t>722,678</w:t>
            </w:r>
            <w:r>
              <w:rPr>
                <w:spacing w:val="-33"/>
                <w:w w:val="105"/>
                <w:sz w:val="18"/>
              </w:rPr>
              <w:t> </w:t>
            </w:r>
            <w:r>
              <w:rPr>
                <w:w w:val="105"/>
                <w:sz w:val="18"/>
              </w:rPr>
              <w:t>sf/</w:t>
            </w:r>
            <w:r>
              <w:rPr>
                <w:spacing w:val="-33"/>
                <w:w w:val="105"/>
                <w:sz w:val="18"/>
              </w:rPr>
              <w:t> </w:t>
            </w:r>
            <w:r>
              <w:rPr>
                <w:w w:val="105"/>
                <w:sz w:val="18"/>
              </w:rPr>
              <w:t>convention</w:t>
            </w:r>
            <w:r>
              <w:rPr>
                <w:spacing w:val="-32"/>
                <w:w w:val="105"/>
                <w:sz w:val="18"/>
              </w:rPr>
              <w:t> </w:t>
            </w:r>
            <w:r>
              <w:rPr>
                <w:w w:val="105"/>
                <w:sz w:val="18"/>
              </w:rPr>
              <w:t>–</w:t>
            </w:r>
            <w:r>
              <w:rPr>
                <w:spacing w:val="-33"/>
                <w:w w:val="105"/>
                <w:sz w:val="18"/>
              </w:rPr>
              <w:t> </w:t>
            </w:r>
            <w:r>
              <w:rPr>
                <w:w w:val="105"/>
                <w:sz w:val="18"/>
              </w:rPr>
              <w:t>58,000</w:t>
            </w:r>
            <w:r>
              <w:rPr>
                <w:spacing w:val="-33"/>
                <w:w w:val="105"/>
                <w:sz w:val="18"/>
              </w:rPr>
              <w:t> </w:t>
            </w:r>
            <w:r>
              <w:rPr>
                <w:w w:val="105"/>
                <w:sz w:val="18"/>
              </w:rPr>
              <w:t>sf) Total</w:t>
            </w:r>
            <w:r>
              <w:rPr>
                <w:spacing w:val="-13"/>
                <w:w w:val="105"/>
                <w:sz w:val="18"/>
              </w:rPr>
              <w:t> </w:t>
            </w:r>
            <w:r>
              <w:rPr>
                <w:w w:val="105"/>
                <w:sz w:val="18"/>
              </w:rPr>
              <w:t>proposed/land</w:t>
            </w:r>
            <w:r>
              <w:rPr>
                <w:spacing w:val="-13"/>
                <w:w w:val="105"/>
                <w:sz w:val="18"/>
              </w:rPr>
              <w:t> </w:t>
            </w:r>
            <w:r>
              <w:rPr>
                <w:w w:val="105"/>
                <w:sz w:val="18"/>
              </w:rPr>
              <w:t>stage</w:t>
            </w:r>
            <w:r>
              <w:rPr>
                <w:spacing w:val="-13"/>
                <w:w w:val="105"/>
                <w:sz w:val="18"/>
              </w:rPr>
              <w:t> </w:t>
            </w:r>
            <w:r>
              <w:rPr>
                <w:w w:val="105"/>
                <w:sz w:val="18"/>
              </w:rPr>
              <w:t>Area</w:t>
            </w:r>
            <w:r>
              <w:rPr>
                <w:spacing w:val="-11"/>
                <w:w w:val="105"/>
                <w:sz w:val="18"/>
              </w:rPr>
              <w:t> </w:t>
            </w:r>
            <w:r>
              <w:rPr>
                <w:w w:val="105"/>
                <w:sz w:val="18"/>
              </w:rPr>
              <w:t>–</w:t>
            </w:r>
            <w:r>
              <w:rPr>
                <w:spacing w:val="-12"/>
                <w:w w:val="105"/>
                <w:sz w:val="18"/>
              </w:rPr>
              <w:t> </w:t>
            </w:r>
            <w:r>
              <w:rPr>
                <w:w w:val="105"/>
                <w:sz w:val="18"/>
              </w:rPr>
              <w:t>1.42</w:t>
            </w:r>
            <w:r>
              <w:rPr>
                <w:spacing w:val="-14"/>
                <w:w w:val="105"/>
                <w:sz w:val="18"/>
              </w:rPr>
              <w:t> </w:t>
            </w:r>
            <w:r>
              <w:rPr>
                <w:w w:val="105"/>
                <w:sz w:val="18"/>
              </w:rPr>
              <w:t>msf</w:t>
            </w:r>
          </w:p>
        </w:tc>
      </w:tr>
    </w:tbl>
    <w:p>
      <w:pPr>
        <w:spacing w:before="47"/>
        <w:ind w:left="280" w:right="0" w:firstLine="0"/>
        <w:jc w:val="left"/>
        <w:rPr>
          <w:i/>
          <w:sz w:val="18"/>
        </w:rPr>
      </w:pPr>
      <w:r>
        <w:rPr>
          <w:i/>
          <w:sz w:val="18"/>
        </w:rPr>
        <w:t>Source: Title Report, Architect Certificate</w:t>
      </w:r>
    </w:p>
    <w:p>
      <w:pPr>
        <w:pStyle w:val="BodyText"/>
        <w:spacing w:before="10"/>
        <w:rPr>
          <w:i/>
          <w:sz w:val="20"/>
        </w:rPr>
      </w:pPr>
    </w:p>
    <w:p>
      <w:pPr>
        <w:pStyle w:val="ListParagraph"/>
        <w:numPr>
          <w:ilvl w:val="2"/>
          <w:numId w:val="14"/>
        </w:numPr>
        <w:tabs>
          <w:tab w:pos="1001" w:val="left" w:leader="none"/>
        </w:tabs>
        <w:spacing w:line="240" w:lineRule="auto" w:before="0" w:after="0"/>
        <w:ind w:left="1000" w:right="0" w:hanging="721"/>
        <w:jc w:val="left"/>
        <w:rPr>
          <w:sz w:val="22"/>
        </w:rPr>
      </w:pPr>
      <w:bookmarkStart w:name="_bookmark45" w:id="90"/>
      <w:bookmarkEnd w:id="90"/>
      <w:r>
        <w:rPr/>
      </w:r>
      <w:bookmarkStart w:name="_bookmark45" w:id="91"/>
      <w:bookmarkEnd w:id="91"/>
      <w:r>
        <w:rPr>
          <w:color w:val="1F664D"/>
          <w:sz w:val="22"/>
        </w:rPr>
        <w:t>S</w:t>
      </w:r>
      <w:r>
        <w:rPr>
          <w:color w:val="1F664D"/>
          <w:sz w:val="22"/>
        </w:rPr>
        <w:t>ite Details</w:t>
      </w:r>
    </w:p>
    <w:p>
      <w:pPr>
        <w:pStyle w:val="BodyText"/>
        <w:spacing w:before="3"/>
        <w:rPr>
          <w:sz w:val="28"/>
        </w:rPr>
      </w:pPr>
    </w:p>
    <w:p>
      <w:pPr>
        <w:pStyle w:val="BodyText"/>
        <w:tabs>
          <w:tab w:pos="2822" w:val="left" w:leader="none"/>
        </w:tabs>
        <w:spacing w:line="321" w:lineRule="auto"/>
        <w:ind w:left="2822" w:right="740" w:hanging="1878"/>
        <w:jc w:val="both"/>
      </w:pPr>
      <w:r>
        <w:rPr/>
        <w:t>Situation:</w:t>
        <w:tab/>
        <w:t>Subject property </w:t>
      </w:r>
      <w:r>
        <w:rPr>
          <w:w w:val="105"/>
        </w:rPr>
        <w:t>– </w:t>
      </w:r>
      <w:r>
        <w:rPr/>
        <w:t>‘Embassy Manyata’ is an operational Office Park located in Rachenahalli Village, Bengaluru East Taluk, Nagavara Village, Bengaluru North Taluk, Bengaluru,</w:t>
      </w:r>
      <w:r>
        <w:rPr>
          <w:spacing w:val="-6"/>
        </w:rPr>
        <w:t> </w:t>
      </w:r>
      <w:r>
        <w:rPr/>
        <w:t>Karnataka.</w:t>
      </w:r>
    </w:p>
    <w:p>
      <w:pPr>
        <w:pStyle w:val="BodyText"/>
        <w:tabs>
          <w:tab w:pos="2822" w:val="left" w:leader="none"/>
        </w:tabs>
        <w:spacing w:line="344" w:lineRule="exact" w:before="52"/>
        <w:ind w:left="2822" w:right="741" w:hanging="1878"/>
        <w:jc w:val="both"/>
      </w:pPr>
      <w:r>
        <w:rPr>
          <w:position w:val="-11"/>
        </w:rPr>
        <w:t>Location:</w:t>
        <w:tab/>
      </w:r>
      <w:r>
        <w:rPr/>
        <w:t>On</w:t>
      </w:r>
      <w:r>
        <w:rPr>
          <w:spacing w:val="-27"/>
        </w:rPr>
        <w:t> </w:t>
      </w:r>
      <w:r>
        <w:rPr/>
        <w:t>account</w:t>
      </w:r>
      <w:r>
        <w:rPr>
          <w:spacing w:val="-26"/>
        </w:rPr>
        <w:t> </w:t>
      </w:r>
      <w:r>
        <w:rPr/>
        <w:t>of</w:t>
      </w:r>
      <w:r>
        <w:rPr>
          <w:spacing w:val="-26"/>
        </w:rPr>
        <w:t> </w:t>
      </w:r>
      <w:r>
        <w:rPr/>
        <w:t>being</w:t>
      </w:r>
      <w:r>
        <w:rPr>
          <w:spacing w:val="-25"/>
        </w:rPr>
        <w:t> </w:t>
      </w:r>
      <w:r>
        <w:rPr/>
        <w:t>accessible</w:t>
      </w:r>
      <w:r>
        <w:rPr>
          <w:spacing w:val="-27"/>
        </w:rPr>
        <w:t> </w:t>
      </w:r>
      <w:r>
        <w:rPr/>
        <w:t>through</w:t>
      </w:r>
      <w:r>
        <w:rPr>
          <w:spacing w:val="-27"/>
        </w:rPr>
        <w:t> </w:t>
      </w:r>
      <w:r>
        <w:rPr/>
        <w:t>the</w:t>
      </w:r>
      <w:r>
        <w:rPr>
          <w:spacing w:val="-28"/>
        </w:rPr>
        <w:t> </w:t>
      </w:r>
      <w:r>
        <w:rPr/>
        <w:t>Outer</w:t>
      </w:r>
      <w:r>
        <w:rPr>
          <w:spacing w:val="-29"/>
        </w:rPr>
        <w:t> </w:t>
      </w:r>
      <w:r>
        <w:rPr/>
        <w:t>Ring</w:t>
      </w:r>
      <w:r>
        <w:rPr>
          <w:spacing w:val="-25"/>
        </w:rPr>
        <w:t> </w:t>
      </w:r>
      <w:r>
        <w:rPr/>
        <w:t>Road,</w:t>
      </w:r>
      <w:r>
        <w:rPr>
          <w:spacing w:val="-28"/>
        </w:rPr>
        <w:t> </w:t>
      </w:r>
      <w:r>
        <w:rPr/>
        <w:t>the</w:t>
      </w:r>
      <w:r>
        <w:rPr>
          <w:spacing w:val="-27"/>
        </w:rPr>
        <w:t> </w:t>
      </w:r>
      <w:r>
        <w:rPr/>
        <w:t>subject</w:t>
      </w:r>
      <w:r>
        <w:rPr>
          <w:spacing w:val="-27"/>
        </w:rPr>
        <w:t> </w:t>
      </w:r>
      <w:r>
        <w:rPr/>
        <w:t>property enjoys</w:t>
      </w:r>
      <w:r>
        <w:rPr>
          <w:spacing w:val="-27"/>
        </w:rPr>
        <w:t> </w:t>
      </w:r>
      <w:r>
        <w:rPr/>
        <w:t>good</w:t>
      </w:r>
      <w:r>
        <w:rPr>
          <w:spacing w:val="-25"/>
        </w:rPr>
        <w:t> </w:t>
      </w:r>
      <w:r>
        <w:rPr/>
        <w:t>connectivity</w:t>
      </w:r>
      <w:r>
        <w:rPr>
          <w:spacing w:val="-27"/>
        </w:rPr>
        <w:t> </w:t>
      </w:r>
      <w:r>
        <w:rPr/>
        <w:t>to</w:t>
      </w:r>
      <w:r>
        <w:rPr>
          <w:spacing w:val="-26"/>
        </w:rPr>
        <w:t> </w:t>
      </w:r>
      <w:r>
        <w:rPr/>
        <w:t>other</w:t>
      </w:r>
      <w:r>
        <w:rPr>
          <w:spacing w:val="-26"/>
        </w:rPr>
        <w:t> </w:t>
      </w:r>
      <w:r>
        <w:rPr/>
        <w:t>established</w:t>
      </w:r>
      <w:r>
        <w:rPr>
          <w:spacing w:val="-25"/>
        </w:rPr>
        <w:t> </w:t>
      </w:r>
      <w:r>
        <w:rPr/>
        <w:t>sub</w:t>
      </w:r>
      <w:r>
        <w:rPr>
          <w:spacing w:val="-26"/>
        </w:rPr>
        <w:t> </w:t>
      </w:r>
      <w:r>
        <w:rPr/>
        <w:t>markets</w:t>
      </w:r>
      <w:r>
        <w:rPr>
          <w:spacing w:val="-25"/>
        </w:rPr>
        <w:t> </w:t>
      </w:r>
      <w:r>
        <w:rPr/>
        <w:t>such</w:t>
      </w:r>
      <w:r>
        <w:rPr>
          <w:spacing w:val="-26"/>
        </w:rPr>
        <w:t> </w:t>
      </w:r>
      <w:r>
        <w:rPr/>
        <w:t>as</w:t>
      </w:r>
      <w:r>
        <w:rPr>
          <w:spacing w:val="-27"/>
        </w:rPr>
        <w:t> </w:t>
      </w:r>
      <w:r>
        <w:rPr/>
        <w:t>Yeshwanthpur, KR</w:t>
      </w:r>
      <w:r>
        <w:rPr>
          <w:spacing w:val="-27"/>
        </w:rPr>
        <w:t> </w:t>
      </w:r>
      <w:r>
        <w:rPr/>
        <w:t>Puram,</w:t>
      </w:r>
      <w:r>
        <w:rPr>
          <w:spacing w:val="-26"/>
        </w:rPr>
        <w:t> </w:t>
      </w:r>
      <w:r>
        <w:rPr/>
        <w:t>Whitefield,</w:t>
      </w:r>
      <w:r>
        <w:rPr>
          <w:spacing w:val="-26"/>
        </w:rPr>
        <w:t> </w:t>
      </w:r>
      <w:r>
        <w:rPr/>
        <w:t>Sarjapur</w:t>
      </w:r>
      <w:r>
        <w:rPr>
          <w:spacing w:val="-27"/>
        </w:rPr>
        <w:t> </w:t>
      </w:r>
      <w:r>
        <w:rPr/>
        <w:t>Outer</w:t>
      </w:r>
      <w:r>
        <w:rPr>
          <w:spacing w:val="-26"/>
        </w:rPr>
        <w:t> </w:t>
      </w:r>
      <w:r>
        <w:rPr/>
        <w:t>ring</w:t>
      </w:r>
      <w:r>
        <w:rPr>
          <w:spacing w:val="-25"/>
        </w:rPr>
        <w:t> </w:t>
      </w:r>
      <w:r>
        <w:rPr/>
        <w:t>road,</w:t>
      </w:r>
      <w:r>
        <w:rPr>
          <w:spacing w:val="-26"/>
        </w:rPr>
        <w:t> </w:t>
      </w:r>
      <w:r>
        <w:rPr/>
        <w:t>etc.</w:t>
      </w:r>
      <w:r>
        <w:rPr>
          <w:spacing w:val="-27"/>
        </w:rPr>
        <w:t> </w:t>
      </w:r>
      <w:r>
        <w:rPr/>
        <w:t>The</w:t>
      </w:r>
      <w:r>
        <w:rPr>
          <w:spacing w:val="-27"/>
        </w:rPr>
        <w:t> </w:t>
      </w:r>
      <w:r>
        <w:rPr/>
        <w:t>location</w:t>
      </w:r>
      <w:r>
        <w:rPr>
          <w:spacing w:val="-26"/>
        </w:rPr>
        <w:t> </w:t>
      </w:r>
      <w:r>
        <w:rPr/>
        <w:t>has</w:t>
      </w:r>
      <w:r>
        <w:rPr>
          <w:spacing w:val="-25"/>
        </w:rPr>
        <w:t> </w:t>
      </w:r>
      <w:r>
        <w:rPr/>
        <w:t>emerged</w:t>
      </w:r>
      <w:r>
        <w:rPr>
          <w:spacing w:val="-26"/>
        </w:rPr>
        <w:t> </w:t>
      </w:r>
      <w:r>
        <w:rPr/>
        <w:t>as a</w:t>
      </w:r>
      <w:r>
        <w:rPr>
          <w:spacing w:val="-30"/>
        </w:rPr>
        <w:t> </w:t>
      </w:r>
      <w:r>
        <w:rPr/>
        <w:t>prominent</w:t>
      </w:r>
      <w:r>
        <w:rPr>
          <w:spacing w:val="-29"/>
        </w:rPr>
        <w:t> </w:t>
      </w:r>
      <w:r>
        <w:rPr/>
        <w:t>real</w:t>
      </w:r>
      <w:r>
        <w:rPr>
          <w:spacing w:val="-29"/>
        </w:rPr>
        <w:t> </w:t>
      </w:r>
      <w:r>
        <w:rPr/>
        <w:t>estate</w:t>
      </w:r>
      <w:r>
        <w:rPr>
          <w:spacing w:val="-29"/>
        </w:rPr>
        <w:t> </w:t>
      </w:r>
      <w:r>
        <w:rPr/>
        <w:t>hub</w:t>
      </w:r>
      <w:r>
        <w:rPr>
          <w:spacing w:val="-29"/>
        </w:rPr>
        <w:t> </w:t>
      </w:r>
      <w:r>
        <w:rPr/>
        <w:t>in</w:t>
      </w:r>
      <w:r>
        <w:rPr>
          <w:spacing w:val="-29"/>
        </w:rPr>
        <w:t> </w:t>
      </w:r>
      <w:r>
        <w:rPr/>
        <w:t>the</w:t>
      </w:r>
      <w:r>
        <w:rPr>
          <w:spacing w:val="-31"/>
        </w:rPr>
        <w:t> </w:t>
      </w:r>
      <w:r>
        <w:rPr/>
        <w:t>past</w:t>
      </w:r>
      <w:r>
        <w:rPr>
          <w:spacing w:val="-29"/>
        </w:rPr>
        <w:t> </w:t>
      </w:r>
      <w:r>
        <w:rPr/>
        <w:t>5-6</w:t>
      </w:r>
      <w:r>
        <w:rPr>
          <w:spacing w:val="-31"/>
        </w:rPr>
        <w:t> </w:t>
      </w:r>
      <w:r>
        <w:rPr/>
        <w:t>years,</w:t>
      </w:r>
      <w:r>
        <w:rPr>
          <w:spacing w:val="-32"/>
        </w:rPr>
        <w:t> </w:t>
      </w:r>
      <w:r>
        <w:rPr/>
        <w:t>post</w:t>
      </w:r>
      <w:r>
        <w:rPr>
          <w:spacing w:val="-30"/>
        </w:rPr>
        <w:t> </w:t>
      </w:r>
      <w:r>
        <w:rPr/>
        <w:t>operations</w:t>
      </w:r>
      <w:r>
        <w:rPr>
          <w:spacing w:val="-28"/>
        </w:rPr>
        <w:t> </w:t>
      </w:r>
      <w:r>
        <w:rPr/>
        <w:t>commencement</w:t>
      </w:r>
    </w:p>
    <w:p>
      <w:pPr>
        <w:pStyle w:val="BodyText"/>
        <w:spacing w:line="321" w:lineRule="auto" w:before="66"/>
        <w:ind w:left="2822" w:right="742"/>
        <w:jc w:val="both"/>
      </w:pPr>
      <w:r>
        <w:rPr/>
        <w:t>of the International Airport in Devanahalli. Embassy Manyata (“the subject property”) is a prominent large-scale Office Park in the sub-market, which has driven</w:t>
      </w:r>
      <w:r>
        <w:rPr>
          <w:spacing w:val="-33"/>
        </w:rPr>
        <w:t> </w:t>
      </w:r>
      <w:r>
        <w:rPr/>
        <w:t>the</w:t>
      </w:r>
      <w:r>
        <w:rPr>
          <w:spacing w:val="-33"/>
        </w:rPr>
        <w:t> </w:t>
      </w:r>
      <w:r>
        <w:rPr/>
        <w:t>demand</w:t>
      </w:r>
      <w:r>
        <w:rPr>
          <w:spacing w:val="-33"/>
        </w:rPr>
        <w:t> </w:t>
      </w:r>
      <w:r>
        <w:rPr/>
        <w:t>for</w:t>
      </w:r>
      <w:r>
        <w:rPr>
          <w:spacing w:val="-32"/>
        </w:rPr>
        <w:t> </w:t>
      </w:r>
      <w:r>
        <w:rPr/>
        <w:t>residential</w:t>
      </w:r>
      <w:r>
        <w:rPr>
          <w:spacing w:val="-33"/>
        </w:rPr>
        <w:t> </w:t>
      </w:r>
      <w:r>
        <w:rPr/>
        <w:t>and</w:t>
      </w:r>
      <w:r>
        <w:rPr>
          <w:spacing w:val="-32"/>
        </w:rPr>
        <w:t> </w:t>
      </w:r>
      <w:r>
        <w:rPr/>
        <w:t>other</w:t>
      </w:r>
      <w:r>
        <w:rPr>
          <w:spacing w:val="-33"/>
        </w:rPr>
        <w:t> </w:t>
      </w:r>
      <w:r>
        <w:rPr/>
        <w:t>support</w:t>
      </w:r>
      <w:r>
        <w:rPr>
          <w:spacing w:val="-32"/>
        </w:rPr>
        <w:t> </w:t>
      </w:r>
      <w:r>
        <w:rPr/>
        <w:t>real</w:t>
      </w:r>
      <w:r>
        <w:rPr>
          <w:spacing w:val="-32"/>
        </w:rPr>
        <w:t> </w:t>
      </w:r>
      <w:r>
        <w:rPr/>
        <w:t>estate</w:t>
      </w:r>
      <w:r>
        <w:rPr>
          <w:spacing w:val="-33"/>
        </w:rPr>
        <w:t> </w:t>
      </w:r>
      <w:r>
        <w:rPr/>
        <w:t>components</w:t>
      </w:r>
      <w:r>
        <w:rPr>
          <w:spacing w:val="-33"/>
        </w:rPr>
        <w:t> </w:t>
      </w:r>
      <w:r>
        <w:rPr/>
        <w:t>in</w:t>
      </w:r>
      <w:r>
        <w:rPr>
          <w:spacing w:val="-33"/>
        </w:rPr>
        <w:t> </w:t>
      </w:r>
      <w:r>
        <w:rPr/>
        <w:t>the region (including further office). The park is surrounded by a dense residential catchment</w:t>
      </w:r>
      <w:r>
        <w:rPr>
          <w:spacing w:val="-10"/>
        </w:rPr>
        <w:t> </w:t>
      </w:r>
      <w:r>
        <w:rPr/>
        <w:t>which</w:t>
      </w:r>
      <w:r>
        <w:rPr>
          <w:spacing w:val="-11"/>
        </w:rPr>
        <w:t> </w:t>
      </w:r>
      <w:r>
        <w:rPr/>
        <w:t>supports</w:t>
      </w:r>
      <w:r>
        <w:rPr>
          <w:spacing w:val="-9"/>
        </w:rPr>
        <w:t> </w:t>
      </w:r>
      <w:r>
        <w:rPr/>
        <w:t>the</w:t>
      </w:r>
      <w:r>
        <w:rPr>
          <w:spacing w:val="-11"/>
        </w:rPr>
        <w:t> </w:t>
      </w:r>
      <w:r>
        <w:rPr/>
        <w:t>over</w:t>
      </w:r>
      <w:r>
        <w:rPr>
          <w:spacing w:val="-9"/>
        </w:rPr>
        <w:t> </w:t>
      </w:r>
      <w:r>
        <w:rPr/>
        <w:t>100,000</w:t>
      </w:r>
      <w:r>
        <w:rPr>
          <w:spacing w:val="-10"/>
        </w:rPr>
        <w:t> </w:t>
      </w:r>
      <w:r>
        <w:rPr/>
        <w:t>people</w:t>
      </w:r>
      <w:r>
        <w:rPr>
          <w:spacing w:val="-11"/>
        </w:rPr>
        <w:t> </w:t>
      </w:r>
      <w:r>
        <w:rPr/>
        <w:t>working</w:t>
      </w:r>
      <w:r>
        <w:rPr>
          <w:spacing w:val="-9"/>
        </w:rPr>
        <w:t> </w:t>
      </w:r>
      <w:r>
        <w:rPr/>
        <w:t>in</w:t>
      </w:r>
      <w:r>
        <w:rPr>
          <w:spacing w:val="-10"/>
        </w:rPr>
        <w:t> </w:t>
      </w:r>
      <w:r>
        <w:rPr/>
        <w:t>the</w:t>
      </w:r>
      <w:r>
        <w:rPr>
          <w:spacing w:val="-10"/>
        </w:rPr>
        <w:t> </w:t>
      </w:r>
      <w:r>
        <w:rPr/>
        <w:t>park.</w:t>
      </w:r>
    </w:p>
    <w:p>
      <w:pPr>
        <w:pStyle w:val="BodyText"/>
        <w:spacing w:before="10"/>
        <w:rPr>
          <w:sz w:val="20"/>
        </w:rPr>
      </w:pPr>
    </w:p>
    <w:p>
      <w:pPr>
        <w:pStyle w:val="BodyText"/>
        <w:spacing w:line="321" w:lineRule="auto"/>
        <w:ind w:left="2822" w:right="742"/>
        <w:jc w:val="both"/>
      </w:pPr>
      <w:r>
        <w:rPr/>
        <w:t>Organized</w:t>
      </w:r>
      <w:r>
        <w:rPr>
          <w:spacing w:val="-41"/>
        </w:rPr>
        <w:t> </w:t>
      </w:r>
      <w:r>
        <w:rPr/>
        <w:t>real</w:t>
      </w:r>
      <w:r>
        <w:rPr>
          <w:spacing w:val="-40"/>
        </w:rPr>
        <w:t> </w:t>
      </w:r>
      <w:r>
        <w:rPr/>
        <w:t>estate</w:t>
      </w:r>
      <w:r>
        <w:rPr>
          <w:spacing w:val="-41"/>
        </w:rPr>
        <w:t> </w:t>
      </w:r>
      <w:r>
        <w:rPr/>
        <w:t>developments</w:t>
      </w:r>
      <w:r>
        <w:rPr>
          <w:spacing w:val="-40"/>
        </w:rPr>
        <w:t> </w:t>
      </w:r>
      <w:r>
        <w:rPr/>
        <w:t>in</w:t>
      </w:r>
      <w:r>
        <w:rPr>
          <w:spacing w:val="-41"/>
        </w:rPr>
        <w:t> </w:t>
      </w:r>
      <w:r>
        <w:rPr/>
        <w:t>the</w:t>
      </w:r>
      <w:r>
        <w:rPr>
          <w:spacing w:val="-40"/>
        </w:rPr>
        <w:t> </w:t>
      </w:r>
      <w:r>
        <w:rPr/>
        <w:t>subject</w:t>
      </w:r>
      <w:r>
        <w:rPr>
          <w:spacing w:val="-41"/>
        </w:rPr>
        <w:t> </w:t>
      </w:r>
      <w:r>
        <w:rPr/>
        <w:t>location</w:t>
      </w:r>
      <w:r>
        <w:rPr>
          <w:spacing w:val="-40"/>
        </w:rPr>
        <w:t> </w:t>
      </w:r>
      <w:r>
        <w:rPr/>
        <w:t>are</w:t>
      </w:r>
      <w:r>
        <w:rPr>
          <w:spacing w:val="-41"/>
        </w:rPr>
        <w:t> </w:t>
      </w:r>
      <w:r>
        <w:rPr/>
        <w:t>primarily</w:t>
      </w:r>
      <w:r>
        <w:rPr>
          <w:spacing w:val="-40"/>
        </w:rPr>
        <w:t> </w:t>
      </w:r>
      <w:r>
        <w:rPr/>
        <w:t>limited</w:t>
      </w:r>
      <w:r>
        <w:rPr>
          <w:spacing w:val="-40"/>
        </w:rPr>
        <w:t> </w:t>
      </w:r>
      <w:r>
        <w:rPr/>
        <w:t>to residential activity (with hospitality components recently concluded) and have limited</w:t>
      </w:r>
      <w:r>
        <w:rPr>
          <w:spacing w:val="-9"/>
        </w:rPr>
        <w:t> </w:t>
      </w:r>
      <w:r>
        <w:rPr/>
        <w:t>presence</w:t>
      </w:r>
      <w:r>
        <w:rPr>
          <w:spacing w:val="-9"/>
        </w:rPr>
        <w:t> </w:t>
      </w:r>
      <w:r>
        <w:rPr/>
        <w:t>of</w:t>
      </w:r>
      <w:r>
        <w:rPr>
          <w:spacing w:val="-8"/>
        </w:rPr>
        <w:t> </w:t>
      </w:r>
      <w:r>
        <w:rPr/>
        <w:t>other</w:t>
      </w:r>
      <w:r>
        <w:rPr>
          <w:spacing w:val="-9"/>
        </w:rPr>
        <w:t> </w:t>
      </w:r>
      <w:r>
        <w:rPr/>
        <w:t>real</w:t>
      </w:r>
      <w:r>
        <w:rPr>
          <w:spacing w:val="-8"/>
        </w:rPr>
        <w:t> </w:t>
      </w:r>
      <w:r>
        <w:rPr/>
        <w:t>estate</w:t>
      </w:r>
      <w:r>
        <w:rPr>
          <w:spacing w:val="-9"/>
        </w:rPr>
        <w:t> </w:t>
      </w:r>
      <w:r>
        <w:rPr/>
        <w:t>components</w:t>
      </w:r>
      <w:r>
        <w:rPr>
          <w:spacing w:val="-8"/>
        </w:rPr>
        <w:t> </w:t>
      </w:r>
      <w:r>
        <w:rPr/>
        <w:t>such</w:t>
      </w:r>
      <w:r>
        <w:rPr>
          <w:spacing w:val="-10"/>
        </w:rPr>
        <w:t> </w:t>
      </w:r>
      <w:r>
        <w:rPr/>
        <w:t>as</w:t>
      </w:r>
      <w:r>
        <w:rPr>
          <w:spacing w:val="-8"/>
        </w:rPr>
        <w:t> </w:t>
      </w:r>
      <w:r>
        <w:rPr/>
        <w:t>retail,</w:t>
      </w:r>
      <w:r>
        <w:rPr>
          <w:spacing w:val="-8"/>
        </w:rPr>
        <w:t> </w:t>
      </w:r>
      <w:r>
        <w:rPr/>
        <w:t>etc.</w:t>
      </w:r>
      <w:r>
        <w:rPr>
          <w:spacing w:val="-10"/>
        </w:rPr>
        <w:t> </w:t>
      </w:r>
      <w:r>
        <w:rPr/>
        <w:t>The</w:t>
      </w:r>
      <w:r>
        <w:rPr>
          <w:spacing w:val="-8"/>
        </w:rPr>
        <w:t> </w:t>
      </w:r>
      <w:r>
        <w:rPr/>
        <w:t>initial stretches</w:t>
      </w:r>
      <w:r>
        <w:rPr>
          <w:spacing w:val="-23"/>
        </w:rPr>
        <w:t> </w:t>
      </w:r>
      <w:r>
        <w:rPr/>
        <w:t>on</w:t>
      </w:r>
      <w:r>
        <w:rPr>
          <w:spacing w:val="-23"/>
        </w:rPr>
        <w:t> </w:t>
      </w:r>
      <w:r>
        <w:rPr/>
        <w:t>North</w:t>
      </w:r>
      <w:r>
        <w:rPr>
          <w:spacing w:val="-24"/>
        </w:rPr>
        <w:t> </w:t>
      </w:r>
      <w:r>
        <w:rPr/>
        <w:t>Bengaluru</w:t>
      </w:r>
      <w:r>
        <w:rPr>
          <w:spacing w:val="-23"/>
        </w:rPr>
        <w:t> </w:t>
      </w:r>
      <w:r>
        <w:rPr/>
        <w:t>sub</w:t>
      </w:r>
      <w:r>
        <w:rPr>
          <w:spacing w:val="-22"/>
        </w:rPr>
        <w:t> </w:t>
      </w:r>
      <w:r>
        <w:rPr/>
        <w:t>market</w:t>
      </w:r>
      <w:r>
        <w:rPr>
          <w:spacing w:val="-22"/>
        </w:rPr>
        <w:t> </w:t>
      </w:r>
      <w:r>
        <w:rPr/>
        <w:t>has</w:t>
      </w:r>
      <w:r>
        <w:rPr>
          <w:spacing w:val="-23"/>
        </w:rPr>
        <w:t> </w:t>
      </w:r>
      <w:r>
        <w:rPr/>
        <w:t>emerged</w:t>
      </w:r>
      <w:r>
        <w:rPr>
          <w:spacing w:val="-22"/>
        </w:rPr>
        <w:t> </w:t>
      </w:r>
      <w:r>
        <w:rPr/>
        <w:t>as</w:t>
      </w:r>
      <w:r>
        <w:rPr>
          <w:spacing w:val="-23"/>
        </w:rPr>
        <w:t> </w:t>
      </w:r>
      <w:r>
        <w:rPr/>
        <w:t>a</w:t>
      </w:r>
      <w:r>
        <w:rPr>
          <w:spacing w:val="-24"/>
        </w:rPr>
        <w:t> </w:t>
      </w:r>
      <w:r>
        <w:rPr/>
        <w:t>key</w:t>
      </w:r>
      <w:r>
        <w:rPr>
          <w:spacing w:val="-23"/>
        </w:rPr>
        <w:t> </w:t>
      </w:r>
      <w:r>
        <w:rPr/>
        <w:t>commercial</w:t>
      </w:r>
      <w:r>
        <w:rPr>
          <w:spacing w:val="-21"/>
        </w:rPr>
        <w:t> </w:t>
      </w:r>
      <w:r>
        <w:rPr/>
        <w:t>office market</w:t>
      </w:r>
      <w:r>
        <w:rPr>
          <w:spacing w:val="-18"/>
        </w:rPr>
        <w:t> </w:t>
      </w:r>
      <w:r>
        <w:rPr/>
        <w:t>with</w:t>
      </w:r>
      <w:r>
        <w:rPr>
          <w:spacing w:val="-19"/>
        </w:rPr>
        <w:t> </w:t>
      </w:r>
      <w:r>
        <w:rPr/>
        <w:t>residential</w:t>
      </w:r>
      <w:r>
        <w:rPr>
          <w:spacing w:val="-19"/>
        </w:rPr>
        <w:t> </w:t>
      </w:r>
      <w:r>
        <w:rPr/>
        <w:t>projects</w:t>
      </w:r>
      <w:r>
        <w:rPr>
          <w:spacing w:val="-17"/>
        </w:rPr>
        <w:t> </w:t>
      </w:r>
      <w:r>
        <w:rPr/>
        <w:t>at</w:t>
      </w:r>
      <w:r>
        <w:rPr>
          <w:spacing w:val="-18"/>
        </w:rPr>
        <w:t> </w:t>
      </w:r>
      <w:r>
        <w:rPr/>
        <w:t>various</w:t>
      </w:r>
      <w:r>
        <w:rPr>
          <w:spacing w:val="-18"/>
        </w:rPr>
        <w:t> </w:t>
      </w:r>
      <w:r>
        <w:rPr/>
        <w:t>stages</w:t>
      </w:r>
      <w:r>
        <w:rPr>
          <w:spacing w:val="-19"/>
        </w:rPr>
        <w:t> </w:t>
      </w:r>
      <w:r>
        <w:rPr/>
        <w:t>of</w:t>
      </w:r>
      <w:r>
        <w:rPr>
          <w:spacing w:val="-18"/>
        </w:rPr>
        <w:t> </w:t>
      </w:r>
      <w:r>
        <w:rPr/>
        <w:t>development</w:t>
      </w:r>
      <w:r>
        <w:rPr>
          <w:spacing w:val="-19"/>
        </w:rPr>
        <w:t> </w:t>
      </w:r>
      <w:r>
        <w:rPr/>
        <w:t>to</w:t>
      </w:r>
      <w:r>
        <w:rPr>
          <w:spacing w:val="-18"/>
        </w:rPr>
        <w:t> </w:t>
      </w:r>
      <w:r>
        <w:rPr/>
        <w:t>support</w:t>
      </w:r>
      <w:r>
        <w:rPr>
          <w:spacing w:val="-18"/>
        </w:rPr>
        <w:t> </w:t>
      </w:r>
      <w:r>
        <w:rPr/>
        <w:t>the working</w:t>
      </w:r>
      <w:r>
        <w:rPr>
          <w:spacing w:val="-29"/>
        </w:rPr>
        <w:t> </w:t>
      </w:r>
      <w:r>
        <w:rPr/>
        <w:t>population.</w:t>
      </w:r>
      <w:r>
        <w:rPr>
          <w:spacing w:val="-29"/>
        </w:rPr>
        <w:t> </w:t>
      </w:r>
      <w:r>
        <w:rPr/>
        <w:t>Further</w:t>
      </w:r>
      <w:r>
        <w:rPr>
          <w:spacing w:val="-29"/>
        </w:rPr>
        <w:t> </w:t>
      </w:r>
      <w:r>
        <w:rPr/>
        <w:t>to</w:t>
      </w:r>
      <w:r>
        <w:rPr>
          <w:spacing w:val="-30"/>
        </w:rPr>
        <w:t> </w:t>
      </w:r>
      <w:r>
        <w:rPr/>
        <w:t>the</w:t>
      </w:r>
      <w:r>
        <w:rPr>
          <w:spacing w:val="-29"/>
        </w:rPr>
        <w:t> </w:t>
      </w:r>
      <w:r>
        <w:rPr/>
        <w:t>North,</w:t>
      </w:r>
      <w:r>
        <w:rPr>
          <w:spacing w:val="-29"/>
        </w:rPr>
        <w:t> </w:t>
      </w:r>
      <w:r>
        <w:rPr/>
        <w:t>the</w:t>
      </w:r>
      <w:r>
        <w:rPr>
          <w:spacing w:val="-30"/>
        </w:rPr>
        <w:t> </w:t>
      </w:r>
      <w:r>
        <w:rPr/>
        <w:t>location</w:t>
      </w:r>
      <w:r>
        <w:rPr>
          <w:spacing w:val="-29"/>
        </w:rPr>
        <w:t> </w:t>
      </w:r>
      <w:r>
        <w:rPr/>
        <w:t>is</w:t>
      </w:r>
      <w:r>
        <w:rPr>
          <w:spacing w:val="-29"/>
        </w:rPr>
        <w:t> </w:t>
      </w:r>
      <w:r>
        <w:rPr/>
        <w:t>emerging</w:t>
      </w:r>
      <w:r>
        <w:rPr>
          <w:spacing w:val="-28"/>
        </w:rPr>
        <w:t> </w:t>
      </w:r>
      <w:r>
        <w:rPr/>
        <w:t>in</w:t>
      </w:r>
      <w:r>
        <w:rPr>
          <w:spacing w:val="-30"/>
        </w:rPr>
        <w:t> </w:t>
      </w:r>
      <w:r>
        <w:rPr/>
        <w:t>terms</w:t>
      </w:r>
      <w:r>
        <w:rPr>
          <w:spacing w:val="-30"/>
        </w:rPr>
        <w:t> </w:t>
      </w:r>
      <w:r>
        <w:rPr/>
        <w:t>of</w:t>
      </w:r>
      <w:r>
        <w:rPr>
          <w:spacing w:val="-29"/>
        </w:rPr>
        <w:t> </w:t>
      </w:r>
      <w:r>
        <w:rPr/>
        <w:t>real estate activity and majority of the developments are at various stages of construction.</w:t>
      </w:r>
      <w:r>
        <w:rPr>
          <w:spacing w:val="-30"/>
        </w:rPr>
        <w:t> </w:t>
      </w:r>
      <w:r>
        <w:rPr/>
        <w:t>Howard</w:t>
      </w:r>
      <w:r>
        <w:rPr>
          <w:spacing w:val="-29"/>
        </w:rPr>
        <w:t> </w:t>
      </w:r>
      <w:r>
        <w:rPr/>
        <w:t>Johnson</w:t>
      </w:r>
      <w:r>
        <w:rPr>
          <w:spacing w:val="-29"/>
        </w:rPr>
        <w:t> </w:t>
      </w:r>
      <w:r>
        <w:rPr/>
        <w:t>and</w:t>
      </w:r>
      <w:r>
        <w:rPr>
          <w:spacing w:val="-29"/>
        </w:rPr>
        <w:t> </w:t>
      </w:r>
      <w:r>
        <w:rPr/>
        <w:t>Country</w:t>
      </w:r>
      <w:r>
        <w:rPr>
          <w:spacing w:val="-29"/>
        </w:rPr>
        <w:t> </w:t>
      </w:r>
      <w:r>
        <w:rPr/>
        <w:t>Inn</w:t>
      </w:r>
      <w:r>
        <w:rPr>
          <w:spacing w:val="-29"/>
        </w:rPr>
        <w:t> </w:t>
      </w:r>
      <w:r>
        <w:rPr/>
        <w:t>Suites</w:t>
      </w:r>
      <w:r>
        <w:rPr>
          <w:spacing w:val="-29"/>
        </w:rPr>
        <w:t> </w:t>
      </w:r>
      <w:r>
        <w:rPr/>
        <w:t>are</w:t>
      </w:r>
      <w:r>
        <w:rPr>
          <w:spacing w:val="-29"/>
        </w:rPr>
        <w:t> </w:t>
      </w:r>
      <w:r>
        <w:rPr/>
        <w:t>the</w:t>
      </w:r>
      <w:r>
        <w:rPr>
          <w:spacing w:val="-30"/>
        </w:rPr>
        <w:t> </w:t>
      </w:r>
      <w:r>
        <w:rPr/>
        <w:t>only</w:t>
      </w:r>
      <w:r>
        <w:rPr>
          <w:spacing w:val="-29"/>
        </w:rPr>
        <w:t> </w:t>
      </w:r>
      <w:r>
        <w:rPr/>
        <w:t>organized</w:t>
      </w:r>
      <w:r>
        <w:rPr>
          <w:spacing w:val="-28"/>
        </w:rPr>
        <w:t> </w:t>
      </w:r>
      <w:r>
        <w:rPr/>
        <w:t>hotel developments</w:t>
      </w:r>
      <w:r>
        <w:rPr>
          <w:spacing w:val="-42"/>
        </w:rPr>
        <w:t> </w:t>
      </w:r>
      <w:r>
        <w:rPr/>
        <w:t>in</w:t>
      </w:r>
      <w:r>
        <w:rPr>
          <w:spacing w:val="-42"/>
        </w:rPr>
        <w:t> </w:t>
      </w:r>
      <w:r>
        <w:rPr/>
        <w:t>the</w:t>
      </w:r>
      <w:r>
        <w:rPr>
          <w:spacing w:val="-42"/>
        </w:rPr>
        <w:t> </w:t>
      </w:r>
      <w:r>
        <w:rPr/>
        <w:t>immediate</w:t>
      </w:r>
      <w:r>
        <w:rPr>
          <w:spacing w:val="-41"/>
        </w:rPr>
        <w:t> </w:t>
      </w:r>
      <w:r>
        <w:rPr/>
        <w:t>vicinity</w:t>
      </w:r>
      <w:r>
        <w:rPr>
          <w:spacing w:val="-41"/>
        </w:rPr>
        <w:t> </w:t>
      </w:r>
      <w:r>
        <w:rPr/>
        <w:t>of</w:t>
      </w:r>
      <w:r>
        <w:rPr>
          <w:spacing w:val="-42"/>
        </w:rPr>
        <w:t> </w:t>
      </w:r>
      <w:r>
        <w:rPr/>
        <w:t>the</w:t>
      </w:r>
      <w:r>
        <w:rPr>
          <w:spacing w:val="-43"/>
        </w:rPr>
        <w:t> </w:t>
      </w:r>
      <w:r>
        <w:rPr/>
        <w:t>subject</w:t>
      </w:r>
      <w:r>
        <w:rPr>
          <w:spacing w:val="-41"/>
        </w:rPr>
        <w:t> </w:t>
      </w:r>
      <w:r>
        <w:rPr/>
        <w:t>property,</w:t>
      </w:r>
      <w:r>
        <w:rPr>
          <w:spacing w:val="-42"/>
        </w:rPr>
        <w:t> </w:t>
      </w:r>
      <w:r>
        <w:rPr/>
        <w:t>whereas</w:t>
      </w:r>
      <w:r>
        <w:rPr>
          <w:spacing w:val="-41"/>
        </w:rPr>
        <w:t> </w:t>
      </w:r>
      <w:r>
        <w:rPr/>
        <w:t>Elements Mall</w:t>
      </w:r>
      <w:r>
        <w:rPr>
          <w:spacing w:val="-16"/>
        </w:rPr>
        <w:t> </w:t>
      </w:r>
      <w:r>
        <w:rPr/>
        <w:t>(Thannisandra)</w:t>
      </w:r>
      <w:r>
        <w:rPr>
          <w:spacing w:val="-16"/>
        </w:rPr>
        <w:t> </w:t>
      </w:r>
      <w:r>
        <w:rPr/>
        <w:t>&amp;</w:t>
      </w:r>
      <w:r>
        <w:rPr>
          <w:spacing w:val="-14"/>
        </w:rPr>
        <w:t> </w:t>
      </w:r>
      <w:r>
        <w:rPr/>
        <w:t>Esteem</w:t>
      </w:r>
      <w:r>
        <w:rPr>
          <w:spacing w:val="-15"/>
        </w:rPr>
        <w:t> </w:t>
      </w:r>
      <w:r>
        <w:rPr/>
        <w:t>Mall</w:t>
      </w:r>
      <w:r>
        <w:rPr>
          <w:spacing w:val="-16"/>
        </w:rPr>
        <w:t> </w:t>
      </w:r>
      <w:r>
        <w:rPr/>
        <w:t>(Bellary</w:t>
      </w:r>
      <w:r>
        <w:rPr>
          <w:spacing w:val="-14"/>
        </w:rPr>
        <w:t> </w:t>
      </w:r>
      <w:r>
        <w:rPr/>
        <w:t>road</w:t>
      </w:r>
      <w:r>
        <w:rPr>
          <w:spacing w:val="-12"/>
        </w:rPr>
        <w:t> </w:t>
      </w:r>
      <w:r>
        <w:rPr/>
        <w:t>NH-44)</w:t>
      </w:r>
      <w:r>
        <w:rPr>
          <w:spacing w:val="-14"/>
        </w:rPr>
        <w:t> </w:t>
      </w:r>
      <w:r>
        <w:rPr/>
        <w:t>are</w:t>
      </w:r>
      <w:r>
        <w:rPr>
          <w:spacing w:val="-15"/>
        </w:rPr>
        <w:t> </w:t>
      </w:r>
      <w:r>
        <w:rPr/>
        <w:t>the</w:t>
      </w:r>
      <w:r>
        <w:rPr>
          <w:spacing w:val="-16"/>
        </w:rPr>
        <w:t> </w:t>
      </w:r>
      <w:r>
        <w:rPr/>
        <w:t>only</w:t>
      </w:r>
      <w:r>
        <w:rPr>
          <w:spacing w:val="-14"/>
        </w:rPr>
        <w:t> </w:t>
      </w:r>
      <w:r>
        <w:rPr/>
        <w:t>operational</w:t>
      </w:r>
    </w:p>
    <w:p>
      <w:pPr>
        <w:spacing w:after="0" w:line="321" w:lineRule="auto"/>
        <w:jc w:val="both"/>
        <w:sectPr>
          <w:pgSz w:w="11910" w:h="16840"/>
          <w:pgMar w:header="720" w:footer="842" w:top="1520" w:bottom="1040" w:left="440" w:right="80"/>
        </w:sectPr>
      </w:pPr>
    </w:p>
    <w:p>
      <w:pPr>
        <w:pStyle w:val="BodyText"/>
        <w:spacing w:before="5"/>
      </w:pPr>
    </w:p>
    <w:p>
      <w:pPr>
        <w:pStyle w:val="BodyText"/>
        <w:spacing w:line="321" w:lineRule="auto" w:before="106"/>
        <w:ind w:left="2822" w:right="742"/>
        <w:jc w:val="both"/>
      </w:pPr>
      <w:r>
        <w:rPr/>
        <w:t>retail</w:t>
      </w:r>
      <w:r>
        <w:rPr>
          <w:spacing w:val="-12"/>
        </w:rPr>
        <w:t> </w:t>
      </w:r>
      <w:r>
        <w:rPr/>
        <w:t>developments.</w:t>
      </w:r>
      <w:r>
        <w:rPr>
          <w:spacing w:val="-11"/>
        </w:rPr>
        <w:t> </w:t>
      </w:r>
      <w:r>
        <w:rPr/>
        <w:t>Infrastructure</w:t>
      </w:r>
      <w:r>
        <w:rPr>
          <w:spacing w:val="-11"/>
        </w:rPr>
        <w:t> </w:t>
      </w:r>
      <w:r>
        <w:rPr/>
        <w:t>initiatives</w:t>
      </w:r>
      <w:r>
        <w:rPr>
          <w:spacing w:val="-11"/>
        </w:rPr>
        <w:t> </w:t>
      </w:r>
      <w:r>
        <w:rPr/>
        <w:t>such</w:t>
      </w:r>
      <w:r>
        <w:rPr>
          <w:spacing w:val="-11"/>
        </w:rPr>
        <w:t> </w:t>
      </w:r>
      <w:r>
        <w:rPr/>
        <w:t>as</w:t>
      </w:r>
      <w:r>
        <w:rPr>
          <w:spacing w:val="-11"/>
        </w:rPr>
        <w:t> </w:t>
      </w:r>
      <w:r>
        <w:rPr/>
        <w:t>the</w:t>
      </w:r>
      <w:r>
        <w:rPr>
          <w:spacing w:val="-11"/>
        </w:rPr>
        <w:t> </w:t>
      </w:r>
      <w:r>
        <w:rPr/>
        <w:t>Elevated</w:t>
      </w:r>
      <w:r>
        <w:rPr>
          <w:spacing w:val="-10"/>
        </w:rPr>
        <w:t> </w:t>
      </w:r>
      <w:r>
        <w:rPr/>
        <w:t>Expressway, Aerospace SEZ, and the proposed Devanahalli Business Park are expected to further boost infrastructure development and attract investments into North Bengaluru. In addition, planned development of Bengaluru metro connecting Nagavara</w:t>
      </w:r>
      <w:r>
        <w:rPr>
          <w:spacing w:val="-11"/>
        </w:rPr>
        <w:t> </w:t>
      </w:r>
      <w:r>
        <w:rPr/>
        <w:t>in</w:t>
      </w:r>
      <w:r>
        <w:rPr>
          <w:spacing w:val="-11"/>
        </w:rPr>
        <w:t> </w:t>
      </w:r>
      <w:r>
        <w:rPr/>
        <w:t>North</w:t>
      </w:r>
      <w:r>
        <w:rPr>
          <w:spacing w:val="-11"/>
        </w:rPr>
        <w:t> </w:t>
      </w:r>
      <w:r>
        <w:rPr/>
        <w:t>Bengaluru</w:t>
      </w:r>
      <w:r>
        <w:rPr>
          <w:spacing w:val="-10"/>
        </w:rPr>
        <w:t> </w:t>
      </w:r>
      <w:r>
        <w:rPr/>
        <w:t>will</w:t>
      </w:r>
      <w:r>
        <w:rPr>
          <w:spacing w:val="-11"/>
        </w:rPr>
        <w:t> </w:t>
      </w:r>
      <w:r>
        <w:rPr/>
        <w:t>act</w:t>
      </w:r>
      <w:r>
        <w:rPr>
          <w:spacing w:val="-11"/>
        </w:rPr>
        <w:t> </w:t>
      </w:r>
      <w:r>
        <w:rPr/>
        <w:t>as</w:t>
      </w:r>
      <w:r>
        <w:rPr>
          <w:spacing w:val="-9"/>
        </w:rPr>
        <w:t> </w:t>
      </w:r>
      <w:r>
        <w:rPr/>
        <w:t>a</w:t>
      </w:r>
      <w:r>
        <w:rPr>
          <w:spacing w:val="-12"/>
        </w:rPr>
        <w:t> </w:t>
      </w:r>
      <w:r>
        <w:rPr/>
        <w:t>major</w:t>
      </w:r>
      <w:r>
        <w:rPr>
          <w:spacing w:val="-10"/>
        </w:rPr>
        <w:t> </w:t>
      </w:r>
      <w:r>
        <w:rPr/>
        <w:t>demand</w:t>
      </w:r>
      <w:r>
        <w:rPr>
          <w:spacing w:val="-10"/>
        </w:rPr>
        <w:t> </w:t>
      </w:r>
      <w:r>
        <w:rPr/>
        <w:t>catalyst</w:t>
      </w:r>
      <w:r>
        <w:rPr>
          <w:spacing w:val="-13"/>
        </w:rPr>
        <w:t> </w:t>
      </w:r>
      <w:r>
        <w:rPr/>
        <w:t>going</w:t>
      </w:r>
      <w:r>
        <w:rPr>
          <w:spacing w:val="-9"/>
        </w:rPr>
        <w:t> </w:t>
      </w:r>
      <w:r>
        <w:rPr/>
        <w:t>forward. Additionally,</w:t>
      </w:r>
      <w:r>
        <w:rPr>
          <w:spacing w:val="-23"/>
        </w:rPr>
        <w:t> </w:t>
      </w:r>
      <w:r>
        <w:rPr/>
        <w:t>the</w:t>
      </w:r>
      <w:r>
        <w:rPr>
          <w:spacing w:val="-24"/>
        </w:rPr>
        <w:t> </w:t>
      </w:r>
      <w:r>
        <w:rPr/>
        <w:t>state</w:t>
      </w:r>
      <w:r>
        <w:rPr>
          <w:spacing w:val="-22"/>
        </w:rPr>
        <w:t> </w:t>
      </w:r>
      <w:r>
        <w:rPr/>
        <w:t>government</w:t>
      </w:r>
      <w:r>
        <w:rPr>
          <w:spacing w:val="-23"/>
        </w:rPr>
        <w:t> </w:t>
      </w:r>
      <w:r>
        <w:rPr/>
        <w:t>has</w:t>
      </w:r>
      <w:r>
        <w:rPr>
          <w:spacing w:val="-22"/>
        </w:rPr>
        <w:t> </w:t>
      </w:r>
      <w:r>
        <w:rPr/>
        <w:t>proposed</w:t>
      </w:r>
      <w:r>
        <w:rPr>
          <w:spacing w:val="-19"/>
        </w:rPr>
        <w:t> </w:t>
      </w:r>
      <w:r>
        <w:rPr/>
        <w:t>to</w:t>
      </w:r>
      <w:r>
        <w:rPr>
          <w:spacing w:val="-22"/>
        </w:rPr>
        <w:t> </w:t>
      </w:r>
      <w:r>
        <w:rPr/>
        <w:t>connect</w:t>
      </w:r>
      <w:r>
        <w:rPr>
          <w:spacing w:val="-22"/>
        </w:rPr>
        <w:t> </w:t>
      </w:r>
      <w:r>
        <w:rPr/>
        <w:t>North</w:t>
      </w:r>
      <w:r>
        <w:rPr>
          <w:spacing w:val="-23"/>
        </w:rPr>
        <w:t> </w:t>
      </w:r>
      <w:r>
        <w:rPr/>
        <w:t>Bengaluru</w:t>
      </w:r>
      <w:r>
        <w:rPr>
          <w:spacing w:val="-24"/>
        </w:rPr>
        <w:t> </w:t>
      </w:r>
      <w:r>
        <w:rPr/>
        <w:t>and Airport</w:t>
      </w:r>
      <w:r>
        <w:rPr>
          <w:spacing w:val="-22"/>
        </w:rPr>
        <w:t> </w:t>
      </w:r>
      <w:r>
        <w:rPr/>
        <w:t>via</w:t>
      </w:r>
      <w:r>
        <w:rPr>
          <w:spacing w:val="-22"/>
        </w:rPr>
        <w:t> </w:t>
      </w:r>
      <w:r>
        <w:rPr/>
        <w:t>the</w:t>
      </w:r>
      <w:r>
        <w:rPr>
          <w:spacing w:val="-22"/>
        </w:rPr>
        <w:t> </w:t>
      </w:r>
      <w:r>
        <w:rPr/>
        <w:t>Nagavara</w:t>
      </w:r>
      <w:r>
        <w:rPr>
          <w:spacing w:val="-21"/>
        </w:rPr>
        <w:t> </w:t>
      </w:r>
      <w:r>
        <w:rPr>
          <w:w w:val="105"/>
        </w:rPr>
        <w:t>–</w:t>
      </w:r>
      <w:r>
        <w:rPr>
          <w:spacing w:val="-24"/>
          <w:w w:val="105"/>
        </w:rPr>
        <w:t> </w:t>
      </w:r>
      <w:r>
        <w:rPr/>
        <w:t>Bagalur</w:t>
      </w:r>
      <w:r>
        <w:rPr>
          <w:spacing w:val="-22"/>
        </w:rPr>
        <w:t> </w:t>
      </w:r>
      <w:r>
        <w:rPr/>
        <w:t>route.</w:t>
      </w:r>
      <w:r>
        <w:rPr>
          <w:spacing w:val="-22"/>
        </w:rPr>
        <w:t> </w:t>
      </w:r>
      <w:r>
        <w:rPr/>
        <w:t>It</w:t>
      </w:r>
      <w:r>
        <w:rPr>
          <w:spacing w:val="-22"/>
        </w:rPr>
        <w:t> </w:t>
      </w:r>
      <w:r>
        <w:rPr/>
        <w:t>is</w:t>
      </w:r>
      <w:r>
        <w:rPr>
          <w:spacing w:val="-21"/>
        </w:rPr>
        <w:t> </w:t>
      </w:r>
      <w:r>
        <w:rPr/>
        <w:t>understood</w:t>
      </w:r>
      <w:r>
        <w:rPr>
          <w:spacing w:val="-21"/>
        </w:rPr>
        <w:t> </w:t>
      </w:r>
      <w:r>
        <w:rPr/>
        <w:t>that</w:t>
      </w:r>
      <w:r>
        <w:rPr>
          <w:spacing w:val="-22"/>
        </w:rPr>
        <w:t> </w:t>
      </w:r>
      <w:r>
        <w:rPr/>
        <w:t>metro</w:t>
      </w:r>
      <w:r>
        <w:rPr>
          <w:spacing w:val="-22"/>
        </w:rPr>
        <w:t> </w:t>
      </w:r>
      <w:r>
        <w:rPr/>
        <w:t>connectivity will be in close proximity of Embassy</w:t>
      </w:r>
      <w:r>
        <w:rPr>
          <w:spacing w:val="-34"/>
        </w:rPr>
        <w:t> </w:t>
      </w:r>
      <w:r>
        <w:rPr/>
        <w:t>Manyata.</w:t>
      </w:r>
    </w:p>
    <w:p>
      <w:pPr>
        <w:pStyle w:val="BodyText"/>
        <w:spacing w:before="1"/>
        <w:rPr>
          <w:sz w:val="21"/>
        </w:rPr>
      </w:pPr>
    </w:p>
    <w:p>
      <w:pPr>
        <w:pStyle w:val="BodyText"/>
        <w:spacing w:line="319" w:lineRule="auto" w:before="1"/>
        <w:ind w:left="2822" w:right="746"/>
        <w:jc w:val="both"/>
      </w:pPr>
      <w:r>
        <w:rPr/>
        <w:t>The distances from key hubs to the subject property are presented in the</w:t>
      </w:r>
      <w:r>
        <w:rPr>
          <w:spacing w:val="-43"/>
        </w:rPr>
        <w:t> </w:t>
      </w:r>
      <w:r>
        <w:rPr/>
        <w:t>table below:</w:t>
      </w:r>
    </w:p>
    <w:p>
      <w:pPr>
        <w:pStyle w:val="BodyText"/>
        <w:spacing w:before="3"/>
        <w:rPr>
          <w:sz w:val="21"/>
        </w:rPr>
      </w:pPr>
    </w:p>
    <w:tbl>
      <w:tblPr>
        <w:tblW w:w="0" w:type="auto"/>
        <w:jc w:val="left"/>
        <w:tblInd w:w="28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52"/>
        <w:gridCol w:w="2745"/>
      </w:tblGrid>
      <w:tr>
        <w:trPr>
          <w:trHeight w:val="253" w:hRule="atLeast"/>
        </w:trPr>
        <w:tc>
          <w:tcPr>
            <w:tcW w:w="5052" w:type="dxa"/>
            <w:tcBorders>
              <w:top w:val="single" w:sz="6" w:space="0" w:color="69BD28"/>
              <w:bottom w:val="single" w:sz="6" w:space="0" w:color="69BD28"/>
            </w:tcBorders>
            <w:shd w:val="clear" w:color="auto" w:fill="006A4D"/>
          </w:tcPr>
          <w:p>
            <w:pPr>
              <w:pStyle w:val="TableParagraph"/>
              <w:spacing w:before="22"/>
              <w:ind w:left="1525" w:right="959"/>
              <w:rPr>
                <w:b/>
                <w:sz w:val="18"/>
              </w:rPr>
            </w:pPr>
            <w:r>
              <w:rPr>
                <w:b/>
                <w:color w:val="FFFFFF"/>
                <w:w w:val="110"/>
                <w:sz w:val="18"/>
              </w:rPr>
              <w:t>Landmark</w:t>
            </w:r>
          </w:p>
        </w:tc>
        <w:tc>
          <w:tcPr>
            <w:tcW w:w="2745" w:type="dxa"/>
            <w:tcBorders>
              <w:top w:val="single" w:sz="6" w:space="0" w:color="69BD28"/>
              <w:bottom w:val="single" w:sz="6" w:space="0" w:color="69BD28"/>
            </w:tcBorders>
            <w:shd w:val="clear" w:color="auto" w:fill="006A4D"/>
          </w:tcPr>
          <w:p>
            <w:pPr>
              <w:pStyle w:val="TableParagraph"/>
              <w:spacing w:before="22"/>
              <w:ind w:left="996" w:right="436"/>
              <w:rPr>
                <w:b/>
                <w:sz w:val="18"/>
              </w:rPr>
            </w:pPr>
            <w:r>
              <w:rPr>
                <w:b/>
                <w:color w:val="FFFFFF"/>
                <w:w w:val="110"/>
                <w:sz w:val="18"/>
              </w:rPr>
              <w:t>Distance (km)</w:t>
            </w:r>
          </w:p>
        </w:tc>
      </w:tr>
      <w:tr>
        <w:trPr>
          <w:trHeight w:val="250" w:hRule="atLeast"/>
        </w:trPr>
        <w:tc>
          <w:tcPr>
            <w:tcW w:w="5052" w:type="dxa"/>
            <w:tcBorders>
              <w:top w:val="single" w:sz="6" w:space="0" w:color="69BD28"/>
              <w:bottom w:val="single" w:sz="6" w:space="0" w:color="69BD28"/>
            </w:tcBorders>
          </w:tcPr>
          <w:p>
            <w:pPr>
              <w:pStyle w:val="TableParagraph"/>
              <w:spacing w:before="20"/>
              <w:ind w:left="1524" w:right="963"/>
              <w:rPr>
                <w:sz w:val="18"/>
              </w:rPr>
            </w:pPr>
            <w:r>
              <w:rPr>
                <w:sz w:val="18"/>
              </w:rPr>
              <w:t>Nagavara Junction</w:t>
            </w:r>
          </w:p>
        </w:tc>
        <w:tc>
          <w:tcPr>
            <w:tcW w:w="2745" w:type="dxa"/>
            <w:tcBorders>
              <w:top w:val="single" w:sz="6" w:space="0" w:color="69BD28"/>
              <w:bottom w:val="single" w:sz="6" w:space="0" w:color="69BD28"/>
            </w:tcBorders>
          </w:tcPr>
          <w:p>
            <w:pPr>
              <w:pStyle w:val="TableParagraph"/>
              <w:spacing w:before="15"/>
              <w:ind w:left="996" w:right="436"/>
              <w:rPr>
                <w:sz w:val="18"/>
              </w:rPr>
            </w:pPr>
            <w:r>
              <w:rPr>
                <w:w w:val="120"/>
                <w:sz w:val="18"/>
              </w:rPr>
              <w:t>1 – 2</w:t>
            </w:r>
          </w:p>
        </w:tc>
      </w:tr>
      <w:tr>
        <w:trPr>
          <w:trHeight w:val="215" w:hRule="atLeast"/>
        </w:trPr>
        <w:tc>
          <w:tcPr>
            <w:tcW w:w="5052" w:type="dxa"/>
            <w:tcBorders>
              <w:top w:val="single" w:sz="6" w:space="0" w:color="69BD28"/>
              <w:bottom w:val="single" w:sz="6" w:space="0" w:color="69BD28"/>
            </w:tcBorders>
          </w:tcPr>
          <w:p>
            <w:pPr>
              <w:pStyle w:val="TableParagraph"/>
              <w:spacing w:line="192" w:lineRule="exact" w:before="3"/>
              <w:ind w:left="1525" w:right="962"/>
              <w:rPr>
                <w:sz w:val="18"/>
              </w:rPr>
            </w:pPr>
            <w:r>
              <w:rPr>
                <w:sz w:val="18"/>
              </w:rPr>
              <w:t>Hebbal Junction</w:t>
            </w:r>
          </w:p>
        </w:tc>
        <w:tc>
          <w:tcPr>
            <w:tcW w:w="2745" w:type="dxa"/>
            <w:tcBorders>
              <w:top w:val="single" w:sz="6" w:space="0" w:color="69BD28"/>
              <w:bottom w:val="single" w:sz="6" w:space="0" w:color="69BD28"/>
            </w:tcBorders>
          </w:tcPr>
          <w:p>
            <w:pPr>
              <w:pStyle w:val="TableParagraph"/>
              <w:spacing w:line="195" w:lineRule="exact"/>
              <w:ind w:left="996" w:right="436"/>
              <w:rPr>
                <w:sz w:val="18"/>
              </w:rPr>
            </w:pPr>
            <w:r>
              <w:rPr>
                <w:w w:val="120"/>
                <w:sz w:val="18"/>
              </w:rPr>
              <w:t>3 – 4</w:t>
            </w:r>
          </w:p>
        </w:tc>
      </w:tr>
      <w:tr>
        <w:trPr>
          <w:trHeight w:val="325" w:hRule="atLeast"/>
        </w:trPr>
        <w:tc>
          <w:tcPr>
            <w:tcW w:w="5052" w:type="dxa"/>
            <w:tcBorders>
              <w:top w:val="single" w:sz="6" w:space="0" w:color="69BD28"/>
              <w:bottom w:val="single" w:sz="6" w:space="0" w:color="69BD28"/>
            </w:tcBorders>
          </w:tcPr>
          <w:p>
            <w:pPr>
              <w:pStyle w:val="TableParagraph"/>
              <w:spacing w:before="58"/>
              <w:ind w:left="1525" w:right="962"/>
              <w:rPr>
                <w:sz w:val="18"/>
              </w:rPr>
            </w:pPr>
            <w:r>
              <w:rPr>
                <w:sz w:val="18"/>
              </w:rPr>
              <w:t>Yelahanka Junction</w:t>
            </w:r>
          </w:p>
        </w:tc>
        <w:tc>
          <w:tcPr>
            <w:tcW w:w="2745" w:type="dxa"/>
            <w:tcBorders>
              <w:top w:val="single" w:sz="6" w:space="0" w:color="69BD28"/>
              <w:bottom w:val="single" w:sz="6" w:space="0" w:color="69BD28"/>
            </w:tcBorders>
          </w:tcPr>
          <w:p>
            <w:pPr>
              <w:pStyle w:val="TableParagraph"/>
              <w:spacing w:before="51"/>
              <w:ind w:left="996" w:right="436"/>
              <w:rPr>
                <w:sz w:val="18"/>
              </w:rPr>
            </w:pPr>
            <w:r>
              <w:rPr>
                <w:w w:val="120"/>
                <w:sz w:val="18"/>
              </w:rPr>
              <w:t>7 – 8</w:t>
            </w:r>
          </w:p>
        </w:tc>
      </w:tr>
      <w:tr>
        <w:trPr>
          <w:trHeight w:val="251" w:hRule="atLeast"/>
        </w:trPr>
        <w:tc>
          <w:tcPr>
            <w:tcW w:w="5052" w:type="dxa"/>
            <w:tcBorders>
              <w:top w:val="single" w:sz="6" w:space="0" w:color="69BD28"/>
              <w:bottom w:val="single" w:sz="6" w:space="0" w:color="69BD28"/>
            </w:tcBorders>
          </w:tcPr>
          <w:p>
            <w:pPr>
              <w:pStyle w:val="TableParagraph"/>
              <w:spacing w:before="20"/>
              <w:ind w:left="1524" w:right="963"/>
              <w:rPr>
                <w:sz w:val="18"/>
              </w:rPr>
            </w:pPr>
            <w:r>
              <w:rPr>
                <w:w w:val="105"/>
                <w:sz w:val="18"/>
              </w:rPr>
              <w:t>MG Road (CBD)</w:t>
            </w:r>
          </w:p>
        </w:tc>
        <w:tc>
          <w:tcPr>
            <w:tcW w:w="2745" w:type="dxa"/>
            <w:tcBorders>
              <w:top w:val="single" w:sz="6" w:space="0" w:color="69BD28"/>
              <w:bottom w:val="single" w:sz="6" w:space="0" w:color="69BD28"/>
            </w:tcBorders>
          </w:tcPr>
          <w:p>
            <w:pPr>
              <w:pStyle w:val="TableParagraph"/>
              <w:spacing w:before="15"/>
              <w:ind w:left="996" w:right="436"/>
              <w:rPr>
                <w:sz w:val="18"/>
              </w:rPr>
            </w:pPr>
            <w:r>
              <w:rPr>
                <w:w w:val="110"/>
                <w:sz w:val="18"/>
              </w:rPr>
              <w:t>11 - 14</w:t>
            </w:r>
          </w:p>
        </w:tc>
      </w:tr>
      <w:tr>
        <w:trPr>
          <w:trHeight w:val="251" w:hRule="atLeast"/>
        </w:trPr>
        <w:tc>
          <w:tcPr>
            <w:tcW w:w="5052" w:type="dxa"/>
            <w:tcBorders>
              <w:top w:val="single" w:sz="6" w:space="0" w:color="69BD28"/>
              <w:bottom w:val="single" w:sz="6" w:space="0" w:color="69BD28"/>
            </w:tcBorders>
          </w:tcPr>
          <w:p>
            <w:pPr>
              <w:pStyle w:val="TableParagraph"/>
              <w:spacing w:line="209" w:lineRule="exact" w:before="22"/>
              <w:ind w:left="1525" w:right="963"/>
              <w:rPr>
                <w:sz w:val="18"/>
              </w:rPr>
            </w:pPr>
            <w:r>
              <w:rPr>
                <w:sz w:val="18"/>
              </w:rPr>
              <w:t>Bengaluru International Airport</w:t>
            </w:r>
          </w:p>
        </w:tc>
        <w:tc>
          <w:tcPr>
            <w:tcW w:w="2745" w:type="dxa"/>
            <w:tcBorders>
              <w:top w:val="single" w:sz="6" w:space="0" w:color="69BD28"/>
              <w:bottom w:val="single" w:sz="6" w:space="0" w:color="69BD28"/>
            </w:tcBorders>
          </w:tcPr>
          <w:p>
            <w:pPr>
              <w:pStyle w:val="TableParagraph"/>
              <w:spacing w:before="15"/>
              <w:ind w:left="996" w:right="436"/>
              <w:rPr>
                <w:sz w:val="18"/>
              </w:rPr>
            </w:pPr>
            <w:r>
              <w:rPr>
                <w:w w:val="120"/>
                <w:sz w:val="18"/>
              </w:rPr>
              <w:t>29 – 31</w:t>
            </w:r>
          </w:p>
        </w:tc>
      </w:tr>
    </w:tbl>
    <w:p>
      <w:pPr>
        <w:spacing w:before="39"/>
        <w:ind w:left="73" w:right="3240" w:firstLine="0"/>
        <w:jc w:val="center"/>
        <w:rPr>
          <w:i/>
          <w:sz w:val="18"/>
        </w:rPr>
      </w:pPr>
      <w:r>
        <w:rPr>
          <w:i/>
          <w:sz w:val="18"/>
        </w:rPr>
        <w:t>Source: Consultants’ Research</w:t>
      </w:r>
    </w:p>
    <w:p>
      <w:pPr>
        <w:pStyle w:val="BodyText"/>
        <w:spacing w:before="10"/>
        <w:rPr>
          <w:i/>
          <w:sz w:val="18"/>
        </w:rPr>
      </w:pPr>
    </w:p>
    <w:p>
      <w:pPr>
        <w:pStyle w:val="BodyText"/>
        <w:tabs>
          <w:tab w:pos="1877" w:val="left" w:leader="none"/>
        </w:tabs>
        <w:spacing w:before="1"/>
        <w:ind w:right="3240"/>
        <w:jc w:val="center"/>
      </w:pPr>
      <w:r>
        <w:rPr/>
        <w:t>Surrounds:</w:t>
        <w:tab/>
        <w:t>The</w:t>
      </w:r>
      <w:r>
        <w:rPr>
          <w:spacing w:val="-14"/>
        </w:rPr>
        <w:t> </w:t>
      </w:r>
      <w:r>
        <w:rPr/>
        <w:t>subject</w:t>
      </w:r>
      <w:r>
        <w:rPr>
          <w:spacing w:val="-13"/>
        </w:rPr>
        <w:t> </w:t>
      </w:r>
      <w:r>
        <w:rPr/>
        <w:t>property</w:t>
      </w:r>
      <w:r>
        <w:rPr>
          <w:spacing w:val="-12"/>
        </w:rPr>
        <w:t> </w:t>
      </w:r>
      <w:r>
        <w:rPr/>
        <w:t>is</w:t>
      </w:r>
      <w:r>
        <w:rPr>
          <w:spacing w:val="-13"/>
        </w:rPr>
        <w:t> </w:t>
      </w:r>
      <w:r>
        <w:rPr/>
        <w:t>surrounded</w:t>
      </w:r>
      <w:r>
        <w:rPr>
          <w:spacing w:val="-12"/>
        </w:rPr>
        <w:t> </w:t>
      </w:r>
      <w:r>
        <w:rPr/>
        <w:t>as</w:t>
      </w:r>
      <w:r>
        <w:rPr>
          <w:spacing w:val="-11"/>
        </w:rPr>
        <w:t> </w:t>
      </w:r>
      <w:r>
        <w:rPr/>
        <w:t>follows:</w:t>
      </w:r>
    </w:p>
    <w:p>
      <w:pPr>
        <w:pStyle w:val="BodyText"/>
        <w:spacing w:before="9"/>
        <w:rPr>
          <w:sz w:val="27"/>
        </w:rPr>
      </w:pPr>
    </w:p>
    <w:p>
      <w:pPr>
        <w:pStyle w:val="ListParagraph"/>
        <w:numPr>
          <w:ilvl w:val="0"/>
          <w:numId w:val="27"/>
        </w:numPr>
        <w:tabs>
          <w:tab w:pos="3542" w:val="left" w:leader="none"/>
          <w:tab w:pos="3543" w:val="left" w:leader="none"/>
        </w:tabs>
        <w:spacing w:line="240" w:lineRule="auto" w:before="0" w:after="0"/>
        <w:ind w:left="3542" w:right="0" w:hanging="361"/>
        <w:jc w:val="left"/>
        <w:rPr>
          <w:sz w:val="22"/>
        </w:rPr>
      </w:pPr>
      <w:r>
        <w:rPr>
          <w:sz w:val="22"/>
        </w:rPr>
        <w:t>North: Private Property (Residential</w:t>
      </w:r>
      <w:r>
        <w:rPr>
          <w:spacing w:val="-33"/>
          <w:sz w:val="22"/>
        </w:rPr>
        <w:t> </w:t>
      </w:r>
      <w:r>
        <w:rPr>
          <w:sz w:val="22"/>
        </w:rPr>
        <w:t>Development)</w:t>
      </w:r>
    </w:p>
    <w:p>
      <w:pPr>
        <w:pStyle w:val="ListParagraph"/>
        <w:numPr>
          <w:ilvl w:val="0"/>
          <w:numId w:val="27"/>
        </w:numPr>
        <w:tabs>
          <w:tab w:pos="3542" w:val="left" w:leader="none"/>
          <w:tab w:pos="3543" w:val="left" w:leader="none"/>
        </w:tabs>
        <w:spacing w:line="240" w:lineRule="auto" w:before="203" w:after="0"/>
        <w:ind w:left="3542" w:right="0" w:hanging="361"/>
        <w:jc w:val="left"/>
        <w:rPr>
          <w:sz w:val="22"/>
        </w:rPr>
      </w:pPr>
      <w:r>
        <w:rPr>
          <w:sz w:val="22"/>
        </w:rPr>
        <w:t>South: Primary access road (Outer Ring</w:t>
      </w:r>
      <w:r>
        <w:rPr>
          <w:spacing w:val="-20"/>
          <w:sz w:val="22"/>
        </w:rPr>
        <w:t> </w:t>
      </w:r>
      <w:r>
        <w:rPr>
          <w:sz w:val="22"/>
        </w:rPr>
        <w:t>Road)</w:t>
      </w:r>
    </w:p>
    <w:p>
      <w:pPr>
        <w:pStyle w:val="ListParagraph"/>
        <w:numPr>
          <w:ilvl w:val="0"/>
          <w:numId w:val="27"/>
        </w:numPr>
        <w:tabs>
          <w:tab w:pos="3542" w:val="left" w:leader="none"/>
          <w:tab w:pos="3543" w:val="left" w:leader="none"/>
        </w:tabs>
        <w:spacing w:line="240" w:lineRule="auto" w:before="203" w:after="0"/>
        <w:ind w:left="3542" w:right="0" w:hanging="361"/>
        <w:jc w:val="left"/>
        <w:rPr>
          <w:sz w:val="22"/>
        </w:rPr>
      </w:pPr>
      <w:r>
        <w:rPr>
          <w:w w:val="95"/>
          <w:sz w:val="22"/>
        </w:rPr>
        <w:t>East: Private Property (Residential</w:t>
      </w:r>
      <w:r>
        <w:rPr>
          <w:spacing w:val="-17"/>
          <w:w w:val="95"/>
          <w:sz w:val="22"/>
        </w:rPr>
        <w:t> </w:t>
      </w:r>
      <w:r>
        <w:rPr>
          <w:w w:val="95"/>
          <w:sz w:val="22"/>
        </w:rPr>
        <w:t>Development)</w:t>
      </w:r>
    </w:p>
    <w:p>
      <w:pPr>
        <w:pStyle w:val="ListParagraph"/>
        <w:numPr>
          <w:ilvl w:val="0"/>
          <w:numId w:val="27"/>
        </w:numPr>
        <w:tabs>
          <w:tab w:pos="3542" w:val="left" w:leader="none"/>
          <w:tab w:pos="3543" w:val="left" w:leader="none"/>
        </w:tabs>
        <w:spacing w:line="240" w:lineRule="auto" w:before="200" w:after="0"/>
        <w:ind w:left="3542" w:right="0" w:hanging="361"/>
        <w:jc w:val="left"/>
        <w:rPr>
          <w:sz w:val="22"/>
        </w:rPr>
      </w:pPr>
      <w:r>
        <w:rPr>
          <w:sz w:val="22"/>
        </w:rPr>
        <w:t>West: Karle</w:t>
      </w:r>
      <w:r>
        <w:rPr>
          <w:spacing w:val="-33"/>
          <w:sz w:val="22"/>
        </w:rPr>
        <w:t> </w:t>
      </w:r>
      <w:r>
        <w:rPr>
          <w:sz w:val="22"/>
        </w:rPr>
        <w:t>Town</w:t>
      </w:r>
      <w:r>
        <w:rPr>
          <w:spacing w:val="-33"/>
          <w:sz w:val="22"/>
        </w:rPr>
        <w:t> </w:t>
      </w:r>
      <w:r>
        <w:rPr>
          <w:sz w:val="22"/>
        </w:rPr>
        <w:t>Centre</w:t>
      </w:r>
      <w:r>
        <w:rPr>
          <w:spacing w:val="-35"/>
          <w:sz w:val="22"/>
        </w:rPr>
        <w:t> </w:t>
      </w:r>
      <w:r>
        <w:rPr>
          <w:sz w:val="22"/>
        </w:rPr>
        <w:t>(Office</w:t>
      </w:r>
      <w:r>
        <w:rPr>
          <w:spacing w:val="-33"/>
          <w:sz w:val="22"/>
        </w:rPr>
        <w:t> </w:t>
      </w:r>
      <w:r>
        <w:rPr>
          <w:sz w:val="22"/>
        </w:rPr>
        <w:t>Development)</w:t>
      </w:r>
    </w:p>
    <w:p>
      <w:pPr>
        <w:pStyle w:val="BodyText"/>
        <w:spacing w:before="1"/>
        <w:rPr>
          <w:sz w:val="19"/>
        </w:rPr>
      </w:pPr>
    </w:p>
    <w:p>
      <w:pPr>
        <w:spacing w:after="0"/>
        <w:rPr>
          <w:sz w:val="19"/>
        </w:rPr>
        <w:sectPr>
          <w:pgSz w:w="11910" w:h="16840"/>
          <w:pgMar w:header="720" w:footer="842" w:top="1520" w:bottom="1040" w:left="440" w:right="80"/>
        </w:sectPr>
      </w:pPr>
    </w:p>
    <w:p>
      <w:pPr>
        <w:pStyle w:val="BodyText"/>
        <w:spacing w:line="321" w:lineRule="auto" w:before="106"/>
        <w:ind w:left="945"/>
      </w:pPr>
      <w:r>
        <w:rPr/>
        <w:t>Potential changes in </w:t>
      </w:r>
      <w:r>
        <w:rPr>
          <w:w w:val="95"/>
        </w:rPr>
        <w:t>surroundings:</w:t>
      </w:r>
    </w:p>
    <w:p>
      <w:pPr>
        <w:pStyle w:val="BodyText"/>
        <w:spacing w:line="321" w:lineRule="auto" w:before="106"/>
        <w:ind w:left="515" w:right="741"/>
        <w:jc w:val="both"/>
      </w:pPr>
      <w:r>
        <w:rPr/>
        <w:br w:type="column"/>
      </w:r>
      <w:r>
        <w:rPr/>
        <w:t>As</w:t>
      </w:r>
      <w:r>
        <w:rPr>
          <w:spacing w:val="-17"/>
        </w:rPr>
        <w:t> </w:t>
      </w:r>
      <w:r>
        <w:rPr/>
        <w:t>highlighted</w:t>
      </w:r>
      <w:r>
        <w:rPr>
          <w:spacing w:val="-16"/>
        </w:rPr>
        <w:t> </w:t>
      </w:r>
      <w:r>
        <w:rPr/>
        <w:t>earlier,</w:t>
      </w:r>
      <w:r>
        <w:rPr>
          <w:spacing w:val="-17"/>
        </w:rPr>
        <w:t> </w:t>
      </w:r>
      <w:r>
        <w:rPr/>
        <w:t>the</w:t>
      </w:r>
      <w:r>
        <w:rPr>
          <w:spacing w:val="-17"/>
        </w:rPr>
        <w:t> </w:t>
      </w:r>
      <w:r>
        <w:rPr/>
        <w:t>subject</w:t>
      </w:r>
      <w:r>
        <w:rPr>
          <w:spacing w:val="-17"/>
        </w:rPr>
        <w:t> </w:t>
      </w:r>
      <w:r>
        <w:rPr/>
        <w:t>location</w:t>
      </w:r>
      <w:r>
        <w:rPr>
          <w:spacing w:val="-17"/>
        </w:rPr>
        <w:t> </w:t>
      </w:r>
      <w:r>
        <w:rPr/>
        <w:t>has</w:t>
      </w:r>
      <w:r>
        <w:rPr>
          <w:spacing w:val="-16"/>
        </w:rPr>
        <w:t> </w:t>
      </w:r>
      <w:r>
        <w:rPr/>
        <w:t>emerged</w:t>
      </w:r>
      <w:r>
        <w:rPr>
          <w:spacing w:val="-17"/>
        </w:rPr>
        <w:t> </w:t>
      </w:r>
      <w:r>
        <w:rPr/>
        <w:t>as</w:t>
      </w:r>
      <w:r>
        <w:rPr>
          <w:spacing w:val="-16"/>
        </w:rPr>
        <w:t> </w:t>
      </w:r>
      <w:r>
        <w:rPr/>
        <w:t>one</w:t>
      </w:r>
      <w:r>
        <w:rPr>
          <w:spacing w:val="-18"/>
        </w:rPr>
        <w:t> </w:t>
      </w:r>
      <w:r>
        <w:rPr/>
        <w:t>of</w:t>
      </w:r>
      <w:r>
        <w:rPr>
          <w:spacing w:val="-16"/>
        </w:rPr>
        <w:t> </w:t>
      </w:r>
      <w:r>
        <w:rPr/>
        <w:t>the</w:t>
      </w:r>
      <w:r>
        <w:rPr>
          <w:spacing w:val="-17"/>
        </w:rPr>
        <w:t> </w:t>
      </w:r>
      <w:r>
        <w:rPr/>
        <w:t>prominent real</w:t>
      </w:r>
      <w:r>
        <w:rPr>
          <w:spacing w:val="-38"/>
        </w:rPr>
        <w:t> </w:t>
      </w:r>
      <w:r>
        <w:rPr/>
        <w:t>estate</w:t>
      </w:r>
      <w:r>
        <w:rPr>
          <w:spacing w:val="-38"/>
        </w:rPr>
        <w:t> </w:t>
      </w:r>
      <w:r>
        <w:rPr/>
        <w:t>activity</w:t>
      </w:r>
      <w:r>
        <w:rPr>
          <w:spacing w:val="-38"/>
        </w:rPr>
        <w:t> </w:t>
      </w:r>
      <w:r>
        <w:rPr/>
        <w:t>hubs</w:t>
      </w:r>
      <w:r>
        <w:rPr>
          <w:spacing w:val="-37"/>
        </w:rPr>
        <w:t> </w:t>
      </w:r>
      <w:r>
        <w:rPr/>
        <w:t>in</w:t>
      </w:r>
      <w:r>
        <w:rPr>
          <w:spacing w:val="-39"/>
        </w:rPr>
        <w:t> </w:t>
      </w:r>
      <w:r>
        <w:rPr/>
        <w:t>the</w:t>
      </w:r>
      <w:r>
        <w:rPr>
          <w:spacing w:val="-37"/>
        </w:rPr>
        <w:t> </w:t>
      </w:r>
      <w:r>
        <w:rPr/>
        <w:t>city.</w:t>
      </w:r>
      <w:r>
        <w:rPr>
          <w:spacing w:val="-38"/>
        </w:rPr>
        <w:t> </w:t>
      </w:r>
      <w:r>
        <w:rPr/>
        <w:t>Activity</w:t>
      </w:r>
      <w:r>
        <w:rPr>
          <w:spacing w:val="-38"/>
        </w:rPr>
        <w:t> </w:t>
      </w:r>
      <w:r>
        <w:rPr/>
        <w:t>in</w:t>
      </w:r>
      <w:r>
        <w:rPr>
          <w:spacing w:val="-38"/>
        </w:rPr>
        <w:t> </w:t>
      </w:r>
      <w:r>
        <w:rPr/>
        <w:t>the</w:t>
      </w:r>
      <w:r>
        <w:rPr>
          <w:spacing w:val="-38"/>
        </w:rPr>
        <w:t> </w:t>
      </w:r>
      <w:r>
        <w:rPr/>
        <w:t>subject</w:t>
      </w:r>
      <w:r>
        <w:rPr>
          <w:spacing w:val="-38"/>
        </w:rPr>
        <w:t> </w:t>
      </w:r>
      <w:r>
        <w:rPr/>
        <w:t>region</w:t>
      </w:r>
      <w:r>
        <w:rPr>
          <w:spacing w:val="-38"/>
        </w:rPr>
        <w:t> </w:t>
      </w:r>
      <w:r>
        <w:rPr/>
        <w:t>was</w:t>
      </w:r>
      <w:r>
        <w:rPr>
          <w:spacing w:val="-37"/>
        </w:rPr>
        <w:t> </w:t>
      </w:r>
      <w:r>
        <w:rPr/>
        <w:t>initiated</w:t>
      </w:r>
      <w:r>
        <w:rPr>
          <w:spacing w:val="-38"/>
        </w:rPr>
        <w:t> </w:t>
      </w:r>
      <w:r>
        <w:rPr/>
        <w:t>with establishment of Embassy Manyata (subject property) in year 2006 and Kempegowda</w:t>
      </w:r>
      <w:r>
        <w:rPr>
          <w:spacing w:val="-19"/>
        </w:rPr>
        <w:t> </w:t>
      </w:r>
      <w:r>
        <w:rPr/>
        <w:t>International</w:t>
      </w:r>
      <w:r>
        <w:rPr>
          <w:spacing w:val="-18"/>
        </w:rPr>
        <w:t> </w:t>
      </w:r>
      <w:r>
        <w:rPr/>
        <w:t>Airport</w:t>
      </w:r>
      <w:r>
        <w:rPr>
          <w:spacing w:val="-17"/>
        </w:rPr>
        <w:t> </w:t>
      </w:r>
      <w:r>
        <w:rPr/>
        <w:t>in</w:t>
      </w:r>
      <w:r>
        <w:rPr>
          <w:spacing w:val="-19"/>
        </w:rPr>
        <w:t> </w:t>
      </w:r>
      <w:r>
        <w:rPr/>
        <w:t>2008.</w:t>
      </w:r>
      <w:r>
        <w:rPr>
          <w:spacing w:val="-17"/>
        </w:rPr>
        <w:t> </w:t>
      </w:r>
      <w:r>
        <w:rPr/>
        <w:t>In</w:t>
      </w:r>
      <w:r>
        <w:rPr>
          <w:spacing w:val="-18"/>
        </w:rPr>
        <w:t> </w:t>
      </w:r>
      <w:r>
        <w:rPr/>
        <w:t>addition,</w:t>
      </w:r>
      <w:r>
        <w:rPr>
          <w:spacing w:val="-18"/>
        </w:rPr>
        <w:t> </w:t>
      </w:r>
      <w:r>
        <w:rPr/>
        <w:t>infrastructure</w:t>
      </w:r>
      <w:r>
        <w:rPr>
          <w:spacing w:val="-18"/>
        </w:rPr>
        <w:t> </w:t>
      </w:r>
      <w:r>
        <w:rPr/>
        <w:t>initiatives such</w:t>
      </w:r>
      <w:r>
        <w:rPr>
          <w:spacing w:val="-9"/>
        </w:rPr>
        <w:t> </w:t>
      </w:r>
      <w:r>
        <w:rPr/>
        <w:t>as</w:t>
      </w:r>
      <w:r>
        <w:rPr>
          <w:spacing w:val="-8"/>
        </w:rPr>
        <w:t> </w:t>
      </w:r>
      <w:r>
        <w:rPr/>
        <w:t>the</w:t>
      </w:r>
      <w:r>
        <w:rPr>
          <w:spacing w:val="-9"/>
        </w:rPr>
        <w:t> </w:t>
      </w:r>
      <w:r>
        <w:rPr/>
        <w:t>completion</w:t>
      </w:r>
      <w:r>
        <w:rPr>
          <w:spacing w:val="-9"/>
        </w:rPr>
        <w:t> </w:t>
      </w:r>
      <w:r>
        <w:rPr/>
        <w:t>of</w:t>
      </w:r>
      <w:r>
        <w:rPr>
          <w:spacing w:val="-8"/>
        </w:rPr>
        <w:t> </w:t>
      </w:r>
      <w:r>
        <w:rPr/>
        <w:t>Outer</w:t>
      </w:r>
      <w:r>
        <w:rPr>
          <w:spacing w:val="-9"/>
        </w:rPr>
        <w:t> </w:t>
      </w:r>
      <w:r>
        <w:rPr/>
        <w:t>Ring</w:t>
      </w:r>
      <w:r>
        <w:rPr>
          <w:spacing w:val="-8"/>
        </w:rPr>
        <w:t> </w:t>
      </w:r>
      <w:r>
        <w:rPr/>
        <w:t>Road</w:t>
      </w:r>
      <w:r>
        <w:rPr>
          <w:spacing w:val="-5"/>
        </w:rPr>
        <w:t> </w:t>
      </w:r>
      <w:r>
        <w:rPr/>
        <w:t>and</w:t>
      </w:r>
      <w:r>
        <w:rPr>
          <w:spacing w:val="-7"/>
        </w:rPr>
        <w:t> </w:t>
      </w:r>
      <w:r>
        <w:rPr/>
        <w:t>elevated</w:t>
      </w:r>
      <w:r>
        <w:rPr>
          <w:spacing w:val="-8"/>
        </w:rPr>
        <w:t> </w:t>
      </w:r>
      <w:r>
        <w:rPr/>
        <w:t>expressway</w:t>
      </w:r>
      <w:r>
        <w:rPr>
          <w:spacing w:val="-8"/>
        </w:rPr>
        <w:t> </w:t>
      </w:r>
      <w:r>
        <w:rPr/>
        <w:t>connecting Hebbal</w:t>
      </w:r>
      <w:r>
        <w:rPr>
          <w:spacing w:val="-35"/>
        </w:rPr>
        <w:t> </w:t>
      </w:r>
      <w:r>
        <w:rPr/>
        <w:t>to</w:t>
      </w:r>
      <w:r>
        <w:rPr>
          <w:spacing w:val="-34"/>
        </w:rPr>
        <w:t> </w:t>
      </w:r>
      <w:r>
        <w:rPr/>
        <w:t>airport</w:t>
      </w:r>
      <w:r>
        <w:rPr>
          <w:spacing w:val="-34"/>
        </w:rPr>
        <w:t> </w:t>
      </w:r>
      <w:r>
        <w:rPr/>
        <w:t>improved</w:t>
      </w:r>
      <w:r>
        <w:rPr>
          <w:spacing w:val="-34"/>
        </w:rPr>
        <w:t> </w:t>
      </w:r>
      <w:r>
        <w:rPr/>
        <w:t>the</w:t>
      </w:r>
      <w:r>
        <w:rPr>
          <w:spacing w:val="-34"/>
        </w:rPr>
        <w:t> </w:t>
      </w:r>
      <w:r>
        <w:rPr/>
        <w:t>connectivity</w:t>
      </w:r>
      <w:r>
        <w:rPr>
          <w:spacing w:val="-34"/>
        </w:rPr>
        <w:t> </w:t>
      </w:r>
      <w:r>
        <w:rPr/>
        <w:t>of</w:t>
      </w:r>
      <w:r>
        <w:rPr>
          <w:spacing w:val="-33"/>
        </w:rPr>
        <w:t> </w:t>
      </w:r>
      <w:r>
        <w:rPr/>
        <w:t>the</w:t>
      </w:r>
      <w:r>
        <w:rPr>
          <w:spacing w:val="-35"/>
        </w:rPr>
        <w:t> </w:t>
      </w:r>
      <w:r>
        <w:rPr/>
        <w:t>subject</w:t>
      </w:r>
      <w:r>
        <w:rPr>
          <w:spacing w:val="-33"/>
        </w:rPr>
        <w:t> </w:t>
      </w:r>
      <w:r>
        <w:rPr/>
        <w:t>sub-market.</w:t>
      </w:r>
      <w:r>
        <w:rPr>
          <w:spacing w:val="-34"/>
        </w:rPr>
        <w:t> </w:t>
      </w:r>
      <w:r>
        <w:rPr/>
        <w:t>Continued planned</w:t>
      </w:r>
      <w:r>
        <w:rPr>
          <w:spacing w:val="-32"/>
        </w:rPr>
        <w:t> </w:t>
      </w:r>
      <w:r>
        <w:rPr/>
        <w:t>development</w:t>
      </w:r>
      <w:r>
        <w:rPr>
          <w:spacing w:val="-34"/>
        </w:rPr>
        <w:t> </w:t>
      </w:r>
      <w:r>
        <w:rPr/>
        <w:t>within</w:t>
      </w:r>
      <w:r>
        <w:rPr>
          <w:spacing w:val="-33"/>
        </w:rPr>
        <w:t> </w:t>
      </w:r>
      <w:r>
        <w:rPr/>
        <w:t>Embassy</w:t>
      </w:r>
      <w:r>
        <w:rPr>
          <w:spacing w:val="-31"/>
        </w:rPr>
        <w:t> </w:t>
      </w:r>
      <w:r>
        <w:rPr/>
        <w:t>Manyata</w:t>
      </w:r>
      <w:r>
        <w:rPr>
          <w:spacing w:val="-34"/>
        </w:rPr>
        <w:t> </w:t>
      </w:r>
      <w:r>
        <w:rPr/>
        <w:t>(commercial</w:t>
      </w:r>
      <w:r>
        <w:rPr>
          <w:spacing w:val="-33"/>
        </w:rPr>
        <w:t> </w:t>
      </w:r>
      <w:r>
        <w:rPr/>
        <w:t>office,</w:t>
      </w:r>
      <w:r>
        <w:rPr>
          <w:spacing w:val="-32"/>
        </w:rPr>
        <w:t> </w:t>
      </w:r>
      <w:r>
        <w:rPr/>
        <w:t>retail,</w:t>
      </w:r>
      <w:r>
        <w:rPr>
          <w:spacing w:val="-31"/>
        </w:rPr>
        <w:t> </w:t>
      </w:r>
      <w:r>
        <w:rPr/>
        <w:t>hotel</w:t>
      </w:r>
      <w:r>
        <w:rPr>
          <w:spacing w:val="-33"/>
        </w:rPr>
        <w:t> </w:t>
      </w:r>
      <w:r>
        <w:rPr/>
        <w:t>&amp; convention</w:t>
      </w:r>
      <w:r>
        <w:rPr>
          <w:spacing w:val="-12"/>
        </w:rPr>
        <w:t> </w:t>
      </w:r>
      <w:r>
        <w:rPr/>
        <w:t>components,</w:t>
      </w:r>
      <w:r>
        <w:rPr>
          <w:spacing w:val="-11"/>
        </w:rPr>
        <w:t> </w:t>
      </w:r>
      <w:r>
        <w:rPr/>
        <w:t>etc.)</w:t>
      </w:r>
      <w:r>
        <w:rPr>
          <w:spacing w:val="-11"/>
        </w:rPr>
        <w:t> </w:t>
      </w:r>
      <w:r>
        <w:rPr/>
        <w:t>is</w:t>
      </w:r>
      <w:r>
        <w:rPr>
          <w:spacing w:val="-11"/>
        </w:rPr>
        <w:t> </w:t>
      </w:r>
      <w:r>
        <w:rPr/>
        <w:t>expected</w:t>
      </w:r>
      <w:r>
        <w:rPr>
          <w:spacing w:val="-12"/>
        </w:rPr>
        <w:t> </w:t>
      </w:r>
      <w:r>
        <w:rPr/>
        <w:t>to</w:t>
      </w:r>
      <w:r>
        <w:rPr>
          <w:spacing w:val="-12"/>
        </w:rPr>
        <w:t> </w:t>
      </w:r>
      <w:r>
        <w:rPr/>
        <w:t>further</w:t>
      </w:r>
      <w:r>
        <w:rPr>
          <w:spacing w:val="-11"/>
        </w:rPr>
        <w:t> </w:t>
      </w:r>
      <w:r>
        <w:rPr/>
        <w:t>augment</w:t>
      </w:r>
      <w:r>
        <w:rPr>
          <w:spacing w:val="-12"/>
        </w:rPr>
        <w:t> </w:t>
      </w:r>
      <w:r>
        <w:rPr/>
        <w:t>growth</w:t>
      </w:r>
      <w:r>
        <w:rPr>
          <w:spacing w:val="-11"/>
        </w:rPr>
        <w:t> </w:t>
      </w:r>
      <w:r>
        <w:rPr/>
        <w:t>of</w:t>
      </w:r>
      <w:r>
        <w:rPr>
          <w:spacing w:val="-11"/>
        </w:rPr>
        <w:t> </w:t>
      </w:r>
      <w:r>
        <w:rPr/>
        <w:t>the</w:t>
      </w:r>
      <w:r>
        <w:rPr>
          <w:spacing w:val="-8"/>
        </w:rPr>
        <w:t> </w:t>
      </w:r>
      <w:r>
        <w:rPr/>
        <w:t>sub market.</w:t>
      </w:r>
    </w:p>
    <w:p>
      <w:pPr>
        <w:pStyle w:val="BodyText"/>
        <w:spacing w:line="321" w:lineRule="auto" w:before="126"/>
        <w:ind w:left="515" w:right="742"/>
        <w:jc w:val="both"/>
      </w:pPr>
      <w:r>
        <w:rPr>
          <w:w w:val="95"/>
        </w:rPr>
        <w:t>Going</w:t>
      </w:r>
      <w:r>
        <w:rPr>
          <w:spacing w:val="-5"/>
          <w:w w:val="95"/>
        </w:rPr>
        <w:t> </w:t>
      </w:r>
      <w:r>
        <w:rPr>
          <w:w w:val="95"/>
        </w:rPr>
        <w:t>forward,</w:t>
      </w:r>
      <w:r>
        <w:rPr>
          <w:spacing w:val="-5"/>
          <w:w w:val="95"/>
        </w:rPr>
        <w:t> </w:t>
      </w:r>
      <w:r>
        <w:rPr>
          <w:w w:val="95"/>
        </w:rPr>
        <w:t>infrastructure</w:t>
      </w:r>
      <w:r>
        <w:rPr>
          <w:spacing w:val="-5"/>
          <w:w w:val="95"/>
        </w:rPr>
        <w:t> </w:t>
      </w:r>
      <w:r>
        <w:rPr>
          <w:w w:val="95"/>
        </w:rPr>
        <w:t>initiatives</w:t>
      </w:r>
      <w:r>
        <w:rPr>
          <w:spacing w:val="-4"/>
          <w:w w:val="95"/>
        </w:rPr>
        <w:t> </w:t>
      </w:r>
      <w:r>
        <w:rPr>
          <w:w w:val="95"/>
        </w:rPr>
        <w:t>such</w:t>
      </w:r>
      <w:r>
        <w:rPr>
          <w:spacing w:val="-6"/>
          <w:w w:val="95"/>
        </w:rPr>
        <w:t> </w:t>
      </w:r>
      <w:r>
        <w:rPr>
          <w:w w:val="95"/>
        </w:rPr>
        <w:t>as</w:t>
      </w:r>
      <w:r>
        <w:rPr>
          <w:spacing w:val="-5"/>
          <w:w w:val="95"/>
        </w:rPr>
        <w:t> </w:t>
      </w:r>
      <w:r>
        <w:rPr>
          <w:w w:val="95"/>
        </w:rPr>
        <w:t>the</w:t>
      </w:r>
      <w:r>
        <w:rPr>
          <w:spacing w:val="-2"/>
          <w:w w:val="95"/>
        </w:rPr>
        <w:t> </w:t>
      </w:r>
      <w:r>
        <w:rPr>
          <w:w w:val="95"/>
        </w:rPr>
        <w:t>metro</w:t>
      </w:r>
      <w:r>
        <w:rPr>
          <w:spacing w:val="-6"/>
          <w:w w:val="95"/>
        </w:rPr>
        <w:t> </w:t>
      </w:r>
      <w:r>
        <w:rPr>
          <w:w w:val="95"/>
        </w:rPr>
        <w:t>connectivity</w:t>
      </w:r>
      <w:r>
        <w:rPr>
          <w:spacing w:val="-4"/>
          <w:w w:val="95"/>
        </w:rPr>
        <w:t> </w:t>
      </w:r>
      <w:r>
        <w:rPr>
          <w:w w:val="95"/>
        </w:rPr>
        <w:t>will</w:t>
      </w:r>
      <w:r>
        <w:rPr>
          <w:spacing w:val="-5"/>
          <w:w w:val="95"/>
        </w:rPr>
        <w:t> </w:t>
      </w:r>
      <w:r>
        <w:rPr>
          <w:w w:val="95"/>
        </w:rPr>
        <w:t>further enhance</w:t>
      </w:r>
      <w:r>
        <w:rPr>
          <w:spacing w:val="-15"/>
          <w:w w:val="95"/>
        </w:rPr>
        <w:t> </w:t>
      </w:r>
      <w:r>
        <w:rPr>
          <w:w w:val="95"/>
        </w:rPr>
        <w:t>the</w:t>
      </w:r>
      <w:r>
        <w:rPr>
          <w:spacing w:val="-15"/>
          <w:w w:val="95"/>
        </w:rPr>
        <w:t> </w:t>
      </w:r>
      <w:r>
        <w:rPr>
          <w:w w:val="95"/>
        </w:rPr>
        <w:t>attractiveness</w:t>
      </w:r>
      <w:r>
        <w:rPr>
          <w:spacing w:val="-13"/>
          <w:w w:val="95"/>
        </w:rPr>
        <w:t> </w:t>
      </w:r>
      <w:r>
        <w:rPr>
          <w:w w:val="95"/>
        </w:rPr>
        <w:t>of</w:t>
      </w:r>
      <w:r>
        <w:rPr>
          <w:spacing w:val="-15"/>
          <w:w w:val="95"/>
        </w:rPr>
        <w:t> </w:t>
      </w:r>
      <w:r>
        <w:rPr>
          <w:w w:val="95"/>
        </w:rPr>
        <w:t>the</w:t>
      </w:r>
      <w:r>
        <w:rPr>
          <w:spacing w:val="-14"/>
          <w:w w:val="95"/>
        </w:rPr>
        <w:t> </w:t>
      </w:r>
      <w:r>
        <w:rPr>
          <w:w w:val="95"/>
        </w:rPr>
        <w:t>subject</w:t>
      </w:r>
      <w:r>
        <w:rPr>
          <w:spacing w:val="-14"/>
          <w:w w:val="95"/>
        </w:rPr>
        <w:t> </w:t>
      </w:r>
      <w:r>
        <w:rPr>
          <w:w w:val="95"/>
        </w:rPr>
        <w:t>location.</w:t>
      </w:r>
      <w:r>
        <w:rPr>
          <w:spacing w:val="-14"/>
          <w:w w:val="95"/>
        </w:rPr>
        <w:t> </w:t>
      </w:r>
      <w:r>
        <w:rPr>
          <w:w w:val="95"/>
        </w:rPr>
        <w:t>Additionally,</w:t>
      </w:r>
      <w:r>
        <w:rPr>
          <w:spacing w:val="-13"/>
          <w:w w:val="95"/>
        </w:rPr>
        <w:t> </w:t>
      </w:r>
      <w:r>
        <w:rPr>
          <w:w w:val="95"/>
        </w:rPr>
        <w:t>the</w:t>
      </w:r>
      <w:r>
        <w:rPr>
          <w:spacing w:val="-14"/>
          <w:w w:val="95"/>
        </w:rPr>
        <w:t> </w:t>
      </w:r>
      <w:r>
        <w:rPr>
          <w:w w:val="95"/>
        </w:rPr>
        <w:t>construction</w:t>
      </w:r>
      <w:r>
        <w:rPr>
          <w:spacing w:val="-15"/>
          <w:w w:val="95"/>
        </w:rPr>
        <w:t> </w:t>
      </w:r>
      <w:r>
        <w:rPr>
          <w:w w:val="95"/>
        </w:rPr>
        <w:t>of </w:t>
      </w:r>
      <w:r>
        <w:rPr/>
        <w:t>a</w:t>
      </w:r>
      <w:r>
        <w:rPr>
          <w:spacing w:val="-25"/>
        </w:rPr>
        <w:t> </w:t>
      </w:r>
      <w:r>
        <w:rPr/>
        <w:t>new</w:t>
      </w:r>
      <w:r>
        <w:rPr>
          <w:spacing w:val="-24"/>
        </w:rPr>
        <w:t> </w:t>
      </w:r>
      <w:r>
        <w:rPr/>
        <w:t>flyover</w:t>
      </w:r>
      <w:r>
        <w:rPr>
          <w:spacing w:val="-24"/>
        </w:rPr>
        <w:t> </w:t>
      </w:r>
      <w:r>
        <w:rPr/>
        <w:t>by</w:t>
      </w:r>
      <w:r>
        <w:rPr>
          <w:spacing w:val="-24"/>
        </w:rPr>
        <w:t> </w:t>
      </w:r>
      <w:r>
        <w:rPr/>
        <w:t>the</w:t>
      </w:r>
      <w:r>
        <w:rPr>
          <w:spacing w:val="-25"/>
        </w:rPr>
        <w:t> </w:t>
      </w:r>
      <w:r>
        <w:rPr/>
        <w:t>Client</w:t>
      </w:r>
      <w:r>
        <w:rPr>
          <w:spacing w:val="-25"/>
        </w:rPr>
        <w:t> </w:t>
      </w:r>
      <w:r>
        <w:rPr/>
        <w:t>(expected</w:t>
      </w:r>
      <w:r>
        <w:rPr>
          <w:spacing w:val="-24"/>
        </w:rPr>
        <w:t> </w:t>
      </w:r>
      <w:r>
        <w:rPr/>
        <w:t>completion</w:t>
      </w:r>
      <w:r>
        <w:rPr>
          <w:spacing w:val="-27"/>
        </w:rPr>
        <w:t> </w:t>
      </w:r>
      <w:r>
        <w:rPr/>
        <w:t>by</w:t>
      </w:r>
      <w:r>
        <w:rPr>
          <w:spacing w:val="-24"/>
        </w:rPr>
        <w:t> </w:t>
      </w:r>
      <w:r>
        <w:rPr/>
        <w:t>Q4,</w:t>
      </w:r>
      <w:r>
        <w:rPr>
          <w:spacing w:val="-25"/>
        </w:rPr>
        <w:t> </w:t>
      </w:r>
      <w:r>
        <w:rPr/>
        <w:t>FY</w:t>
      </w:r>
      <w:r>
        <w:rPr>
          <w:spacing w:val="-24"/>
        </w:rPr>
        <w:t> </w:t>
      </w:r>
      <w:r>
        <w:rPr/>
        <w:t>2021)</w:t>
      </w:r>
      <w:r>
        <w:rPr>
          <w:spacing w:val="-23"/>
        </w:rPr>
        <w:t> </w:t>
      </w:r>
      <w:r>
        <w:rPr/>
        <w:t>at</w:t>
      </w:r>
      <w:r>
        <w:rPr>
          <w:spacing w:val="-24"/>
        </w:rPr>
        <w:t> </w:t>
      </w:r>
      <w:r>
        <w:rPr/>
        <w:t>the</w:t>
      </w:r>
      <w:r>
        <w:rPr>
          <w:spacing w:val="-25"/>
        </w:rPr>
        <w:t> </w:t>
      </w:r>
      <w:r>
        <w:rPr/>
        <w:t>entrance of</w:t>
      </w:r>
      <w:r>
        <w:rPr>
          <w:spacing w:val="-10"/>
        </w:rPr>
        <w:t> </w:t>
      </w:r>
      <w:r>
        <w:rPr/>
        <w:t>the</w:t>
      </w:r>
      <w:r>
        <w:rPr>
          <w:spacing w:val="-11"/>
        </w:rPr>
        <w:t> </w:t>
      </w:r>
      <w:r>
        <w:rPr/>
        <w:t>asset</w:t>
      </w:r>
      <w:r>
        <w:rPr>
          <w:spacing w:val="-11"/>
        </w:rPr>
        <w:t> </w:t>
      </w:r>
      <w:r>
        <w:rPr/>
        <w:t>will</w:t>
      </w:r>
      <w:r>
        <w:rPr>
          <w:spacing w:val="-11"/>
        </w:rPr>
        <w:t> </w:t>
      </w:r>
      <w:r>
        <w:rPr/>
        <w:t>further</w:t>
      </w:r>
      <w:r>
        <w:rPr>
          <w:spacing w:val="-10"/>
        </w:rPr>
        <w:t> </w:t>
      </w:r>
      <w:r>
        <w:rPr/>
        <w:t>improve</w:t>
      </w:r>
      <w:r>
        <w:rPr>
          <w:spacing w:val="-11"/>
        </w:rPr>
        <w:t> </w:t>
      </w:r>
      <w:r>
        <w:rPr/>
        <w:t>connectivity</w:t>
      </w:r>
      <w:r>
        <w:rPr>
          <w:spacing w:val="-9"/>
        </w:rPr>
        <w:t> </w:t>
      </w:r>
      <w:r>
        <w:rPr/>
        <w:t>to</w:t>
      </w:r>
      <w:r>
        <w:rPr>
          <w:spacing w:val="-11"/>
        </w:rPr>
        <w:t> </w:t>
      </w:r>
      <w:r>
        <w:rPr/>
        <w:t>the</w:t>
      </w:r>
      <w:r>
        <w:rPr>
          <w:spacing w:val="-11"/>
        </w:rPr>
        <w:t> </w:t>
      </w:r>
      <w:r>
        <w:rPr/>
        <w:t>park.</w:t>
      </w:r>
    </w:p>
    <w:p>
      <w:pPr>
        <w:spacing w:after="0" w:line="321" w:lineRule="auto"/>
        <w:jc w:val="both"/>
        <w:sectPr>
          <w:type w:val="continuous"/>
          <w:pgSz w:w="11910" w:h="16840"/>
          <w:pgMar w:top="800" w:bottom="280" w:left="440" w:right="80"/>
          <w:cols w:num="2" w:equalWidth="0">
            <w:col w:w="2268" w:space="40"/>
            <w:col w:w="9082"/>
          </w:cols>
        </w:sectPr>
      </w:pPr>
    </w:p>
    <w:p>
      <w:pPr>
        <w:pStyle w:val="BodyText"/>
        <w:rPr>
          <w:sz w:val="20"/>
        </w:rPr>
      </w:pPr>
    </w:p>
    <w:p>
      <w:pPr>
        <w:spacing w:after="0"/>
        <w:rPr>
          <w:sz w:val="20"/>
        </w:rPr>
        <w:sectPr>
          <w:pgSz w:w="11910" w:h="16840"/>
          <w:pgMar w:header="720" w:footer="842" w:top="1520" w:bottom="1040" w:left="440" w:right="80"/>
        </w:sectPr>
      </w:pPr>
    </w:p>
    <w:p>
      <w:pPr>
        <w:pStyle w:val="BodyText"/>
        <w:spacing w:before="10"/>
        <w:rPr>
          <w:sz w:val="21"/>
        </w:rPr>
      </w:pPr>
    </w:p>
    <w:p>
      <w:pPr>
        <w:pStyle w:val="BodyText"/>
        <w:spacing w:line="321" w:lineRule="auto" w:before="1"/>
        <w:ind w:left="945" w:right="-14"/>
      </w:pPr>
      <w:r>
        <w:rPr>
          <w:w w:val="95"/>
        </w:rPr>
        <w:t>Suitability</w:t>
      </w:r>
      <w:r>
        <w:rPr>
          <w:spacing w:val="-39"/>
          <w:w w:val="95"/>
        </w:rPr>
        <w:t> </w:t>
      </w:r>
      <w:r>
        <w:rPr>
          <w:w w:val="95"/>
        </w:rPr>
        <w:t>of existing</w:t>
      </w:r>
      <w:r>
        <w:rPr>
          <w:spacing w:val="-5"/>
          <w:w w:val="95"/>
        </w:rPr>
        <w:t> use:</w:t>
      </w:r>
    </w:p>
    <w:p>
      <w:pPr>
        <w:pStyle w:val="BodyText"/>
        <w:spacing w:before="10"/>
        <w:rPr>
          <w:sz w:val="21"/>
        </w:rPr>
      </w:pPr>
      <w:r>
        <w:rPr/>
        <w:br w:type="column"/>
      </w:r>
      <w:r>
        <w:rPr>
          <w:sz w:val="21"/>
        </w:rPr>
      </w:r>
    </w:p>
    <w:p>
      <w:pPr>
        <w:pStyle w:val="BodyText"/>
        <w:spacing w:line="321" w:lineRule="auto" w:before="1"/>
        <w:ind w:left="667" w:right="332"/>
      </w:pPr>
      <w:r>
        <w:rPr/>
        <w:t>Considering the profile of surrounding developments, the subject property is opined to be suited for its current use viz. Office Park development.</w:t>
      </w:r>
    </w:p>
    <w:p>
      <w:pPr>
        <w:spacing w:after="0" w:line="321" w:lineRule="auto"/>
        <w:sectPr>
          <w:type w:val="continuous"/>
          <w:pgSz w:w="11910" w:h="16840"/>
          <w:pgMar w:top="800" w:bottom="280" w:left="440" w:right="80"/>
          <w:cols w:num="2" w:equalWidth="0">
            <w:col w:w="2115" w:space="40"/>
            <w:col w:w="9235"/>
          </w:cols>
        </w:sectPr>
      </w:pPr>
    </w:p>
    <w:p>
      <w:pPr>
        <w:spacing w:before="75"/>
        <w:ind w:left="171" w:right="0" w:firstLine="0"/>
        <w:jc w:val="left"/>
        <w:rPr>
          <w:sz w:val="20"/>
        </w:rPr>
      </w:pPr>
      <w:r>
        <w:rPr/>
        <w:drawing>
          <wp:anchor distT="0" distB="0" distL="0" distR="0" allowOverlap="1" layoutInCell="1" locked="0" behindDoc="0" simplePos="0" relativeHeight="15885824">
            <wp:simplePos x="0" y="0"/>
            <wp:positionH relativeFrom="page">
              <wp:posOffset>5544184</wp:posOffset>
            </wp:positionH>
            <wp:positionV relativeFrom="page">
              <wp:posOffset>7032625</wp:posOffset>
            </wp:positionV>
            <wp:extent cx="1079499" cy="300457"/>
            <wp:effectExtent l="0" t="0" r="0" b="0"/>
            <wp:wrapNone/>
            <wp:docPr id="55" name="image3.jpeg"/>
            <wp:cNvGraphicFramePr>
              <a:graphicFrameLocks noChangeAspect="1"/>
            </wp:cNvGraphicFramePr>
            <a:graphic>
              <a:graphicData uri="http://schemas.openxmlformats.org/drawingml/2006/picture">
                <pic:pic>
                  <pic:nvPicPr>
                    <pic:cNvPr id="56" name="image3.jpeg"/>
                    <pic:cNvPicPr/>
                  </pic:nvPicPr>
                  <pic:blipFill>
                    <a:blip r:embed="rId7" cstate="print"/>
                    <a:stretch>
                      <a:fillRect/>
                    </a:stretch>
                  </pic:blipFill>
                  <pic:spPr>
                    <a:xfrm>
                      <a:off x="0" y="0"/>
                      <a:ext cx="1079499" cy="300457"/>
                    </a:xfrm>
                    <a:prstGeom prst="rect">
                      <a:avLst/>
                    </a:prstGeom>
                  </pic:spPr>
                </pic:pic>
              </a:graphicData>
            </a:graphic>
          </wp:anchor>
        </w:drawing>
      </w:r>
      <w:r>
        <w:rPr/>
        <w:drawing>
          <wp:anchor distT="0" distB="0" distL="0" distR="0" allowOverlap="1" layoutInCell="1" locked="0" behindDoc="0" simplePos="0" relativeHeight="15886336">
            <wp:simplePos x="0" y="0"/>
            <wp:positionH relativeFrom="page">
              <wp:posOffset>857885</wp:posOffset>
            </wp:positionH>
            <wp:positionV relativeFrom="paragraph">
              <wp:posOffset>292603</wp:posOffset>
            </wp:positionV>
            <wp:extent cx="9831450" cy="81915"/>
            <wp:effectExtent l="0" t="0" r="0" b="0"/>
            <wp:wrapNone/>
            <wp:docPr id="57" name="image51.png"/>
            <wp:cNvGraphicFramePr>
              <a:graphicFrameLocks noChangeAspect="1"/>
            </wp:cNvGraphicFramePr>
            <a:graphic>
              <a:graphicData uri="http://schemas.openxmlformats.org/drawingml/2006/picture">
                <pic:pic>
                  <pic:nvPicPr>
                    <pic:cNvPr id="58" name="image51.png"/>
                    <pic:cNvPicPr/>
                  </pic:nvPicPr>
                  <pic:blipFill>
                    <a:blip r:embed="rId67" cstate="print"/>
                    <a:stretch>
                      <a:fillRect/>
                    </a:stretch>
                  </pic:blipFill>
                  <pic:spPr>
                    <a:xfrm>
                      <a:off x="0" y="0"/>
                      <a:ext cx="9831450" cy="81915"/>
                    </a:xfrm>
                    <a:prstGeom prst="rect">
                      <a:avLst/>
                    </a:prstGeom>
                  </pic:spPr>
                </pic:pic>
              </a:graphicData>
            </a:graphic>
          </wp:anchor>
        </w:drawing>
      </w:r>
      <w:r>
        <w:rPr/>
        <w:drawing>
          <wp:anchor distT="0" distB="0" distL="0" distR="0" allowOverlap="1" layoutInCell="1" locked="0" behindDoc="0" simplePos="0" relativeHeight="15886848">
            <wp:simplePos x="0" y="0"/>
            <wp:positionH relativeFrom="page">
              <wp:posOffset>6705782</wp:posOffset>
            </wp:positionH>
            <wp:positionV relativeFrom="page">
              <wp:posOffset>6900350</wp:posOffset>
            </wp:positionV>
            <wp:extent cx="909288" cy="433873"/>
            <wp:effectExtent l="0" t="0" r="0" b="0"/>
            <wp:wrapNone/>
            <wp:docPr id="59" name="image4.png"/>
            <wp:cNvGraphicFramePr>
              <a:graphicFrameLocks noChangeAspect="1"/>
            </wp:cNvGraphicFramePr>
            <a:graphic>
              <a:graphicData uri="http://schemas.openxmlformats.org/drawingml/2006/picture">
                <pic:pic>
                  <pic:nvPicPr>
                    <pic:cNvPr id="60"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BodyText"/>
        <w:rPr>
          <w:sz w:val="24"/>
        </w:rPr>
      </w:pPr>
    </w:p>
    <w:p>
      <w:pPr>
        <w:pStyle w:val="BodyText"/>
        <w:rPr>
          <w:sz w:val="24"/>
        </w:rPr>
      </w:pPr>
    </w:p>
    <w:p>
      <w:pPr>
        <w:pStyle w:val="BodyText"/>
        <w:spacing w:before="169" w:after="4"/>
        <w:ind w:left="235"/>
      </w:pPr>
      <w:r>
        <w:rPr/>
        <w:t>The following map indicates the location of the subject property and surrounding developments:</w:t>
      </w:r>
    </w:p>
    <w:p>
      <w:pPr>
        <w:pStyle w:val="BodyText"/>
        <w:ind w:left="171"/>
        <w:rPr>
          <w:sz w:val="20"/>
        </w:rPr>
      </w:pPr>
      <w:r>
        <w:rPr>
          <w:sz w:val="20"/>
        </w:rPr>
        <w:pict>
          <v:group style="width:676.95pt;height:14.2pt;mso-position-horizontal-relative:char;mso-position-vertical-relative:line" coordorigin="0,0" coordsize="13539,284">
            <v:rect style="position:absolute;left:0;top:31;width:13539;height:252" filled="true" fillcolor="#006a4d" stroked="false">
              <v:fill type="solid"/>
            </v:rect>
            <v:rect style="position:absolute;left:0;top:0;width:13539;height:29" filled="true" fillcolor="#1f6b16" stroked="false">
              <v:fill type="solid"/>
            </v:rect>
            <v:rect style="position:absolute;left:0;top:28;width:13539;height:3" filled="true" fillcolor="#006a4d" stroked="false">
              <v:fill type="solid"/>
            </v:rect>
            <v:shape style="position:absolute;left:0;top:31;width:13539;height:252" type="#_x0000_t202" filled="false" stroked="false">
              <v:textbox inset="0,0,0,0">
                <w:txbxContent>
                  <w:p>
                    <w:pPr>
                      <w:spacing w:before="23"/>
                      <w:ind w:left="5053" w:right="5054" w:firstLine="0"/>
                      <w:jc w:val="center"/>
                      <w:rPr>
                        <w:b/>
                        <w:sz w:val="18"/>
                      </w:rPr>
                    </w:pPr>
                    <w:r>
                      <w:rPr>
                        <w:b/>
                        <w:color w:val="FFFFFF"/>
                        <w:w w:val="105"/>
                        <w:sz w:val="18"/>
                      </w:rPr>
                      <w:t>Location Map for the Subject Property</w:t>
                    </w:r>
                  </w:p>
                </w:txbxContent>
              </v:textbox>
              <w10:wrap type="none"/>
            </v:shape>
          </v:group>
        </w:pict>
      </w:r>
      <w:r>
        <w:rPr>
          <w:sz w:val="20"/>
        </w:rPr>
      </w:r>
    </w:p>
    <w:p>
      <w:pPr>
        <w:pStyle w:val="BodyText"/>
        <w:spacing w:before="3"/>
        <w:rPr>
          <w:sz w:val="6"/>
        </w:rPr>
      </w:pPr>
      <w:r>
        <w:rPr/>
        <w:drawing>
          <wp:anchor distT="0" distB="0" distL="0" distR="0" allowOverlap="1" layoutInCell="1" locked="0" behindDoc="0" simplePos="0" relativeHeight="306">
            <wp:simplePos x="0" y="0"/>
            <wp:positionH relativeFrom="page">
              <wp:posOffset>1499886</wp:posOffset>
            </wp:positionH>
            <wp:positionV relativeFrom="paragraph">
              <wp:posOffset>71128</wp:posOffset>
            </wp:positionV>
            <wp:extent cx="7383737" cy="4874895"/>
            <wp:effectExtent l="0" t="0" r="0" b="0"/>
            <wp:wrapTopAndBottom/>
            <wp:docPr id="61" name="image52.png"/>
            <wp:cNvGraphicFramePr>
              <a:graphicFrameLocks noChangeAspect="1"/>
            </wp:cNvGraphicFramePr>
            <a:graphic>
              <a:graphicData uri="http://schemas.openxmlformats.org/drawingml/2006/picture">
                <pic:pic>
                  <pic:nvPicPr>
                    <pic:cNvPr id="62" name="image52.png"/>
                    <pic:cNvPicPr/>
                  </pic:nvPicPr>
                  <pic:blipFill>
                    <a:blip r:embed="rId68" cstate="print"/>
                    <a:stretch>
                      <a:fillRect/>
                    </a:stretch>
                  </pic:blipFill>
                  <pic:spPr>
                    <a:xfrm>
                      <a:off x="0" y="0"/>
                      <a:ext cx="7383737" cy="4874895"/>
                    </a:xfrm>
                    <a:prstGeom prst="rect">
                      <a:avLst/>
                    </a:prstGeom>
                  </pic:spPr>
                </pic:pic>
              </a:graphicData>
            </a:graphic>
          </wp:anchor>
        </w:drawing>
      </w:r>
    </w:p>
    <w:p>
      <w:pPr>
        <w:spacing w:before="145"/>
        <w:ind w:left="271" w:right="0" w:firstLine="0"/>
        <w:jc w:val="left"/>
        <w:rPr>
          <w:i/>
          <w:sz w:val="18"/>
        </w:rPr>
      </w:pPr>
      <w:r>
        <w:rPr>
          <w:i/>
          <w:sz w:val="18"/>
        </w:rPr>
        <w:t>Source: Consultants’ Research</w:t>
      </w:r>
    </w:p>
    <w:p>
      <w:pPr>
        <w:spacing w:after="0"/>
        <w:jc w:val="left"/>
        <w:rPr>
          <w:sz w:val="18"/>
        </w:rPr>
        <w:sectPr>
          <w:headerReference w:type="default" r:id="rId65"/>
          <w:footerReference w:type="default" r:id="rId66"/>
          <w:pgSz w:w="16840" w:h="11910" w:orient="landscape"/>
          <w:pgMar w:header="0" w:footer="523" w:top="640" w:bottom="720" w:left="1240" w:right="0"/>
        </w:sectPr>
      </w:pPr>
    </w:p>
    <w:p>
      <w:pPr>
        <w:pStyle w:val="BodyText"/>
        <w:rPr>
          <w:i/>
          <w:sz w:val="20"/>
        </w:rPr>
      </w:pPr>
    </w:p>
    <w:p>
      <w:pPr>
        <w:pStyle w:val="BodyText"/>
        <w:spacing w:before="6"/>
        <w:rPr>
          <w:i/>
          <w:sz w:val="21"/>
        </w:rPr>
      </w:pPr>
    </w:p>
    <w:p>
      <w:pPr>
        <w:pStyle w:val="BodyText"/>
        <w:tabs>
          <w:tab w:pos="2695" w:val="left" w:leader="none"/>
        </w:tabs>
        <w:spacing w:line="321" w:lineRule="auto"/>
        <w:ind w:left="2695" w:right="227" w:hanging="1931"/>
        <w:jc w:val="both"/>
      </w:pPr>
      <w:r>
        <w:rPr/>
        <w:t>Shape:</w:t>
        <w:tab/>
        <w:t>Based</w:t>
      </w:r>
      <w:r>
        <w:rPr>
          <w:spacing w:val="-37"/>
        </w:rPr>
        <w:t> </w:t>
      </w:r>
      <w:r>
        <w:rPr/>
        <w:t>on</w:t>
      </w:r>
      <w:r>
        <w:rPr>
          <w:spacing w:val="-38"/>
        </w:rPr>
        <w:t> </w:t>
      </w:r>
      <w:r>
        <w:rPr/>
        <w:t>site</w:t>
      </w:r>
      <w:r>
        <w:rPr>
          <w:spacing w:val="-36"/>
        </w:rPr>
        <w:t> </w:t>
      </w:r>
      <w:r>
        <w:rPr/>
        <w:t>plan</w:t>
      </w:r>
      <w:r>
        <w:rPr>
          <w:spacing w:val="-37"/>
        </w:rPr>
        <w:t> </w:t>
      </w:r>
      <w:r>
        <w:rPr/>
        <w:t>provided</w:t>
      </w:r>
      <w:r>
        <w:rPr>
          <w:spacing w:val="-36"/>
        </w:rPr>
        <w:t> </w:t>
      </w:r>
      <w:r>
        <w:rPr/>
        <w:t>by</w:t>
      </w:r>
      <w:r>
        <w:rPr>
          <w:spacing w:val="-36"/>
        </w:rPr>
        <w:t> </w:t>
      </w:r>
      <w:r>
        <w:rPr/>
        <w:t>the</w:t>
      </w:r>
      <w:r>
        <w:rPr>
          <w:spacing w:val="-36"/>
        </w:rPr>
        <w:t> </w:t>
      </w:r>
      <w:r>
        <w:rPr/>
        <w:t>Client</w:t>
      </w:r>
      <w:r>
        <w:rPr>
          <w:spacing w:val="-36"/>
        </w:rPr>
        <w:t> </w:t>
      </w:r>
      <w:r>
        <w:rPr/>
        <w:t>and</w:t>
      </w:r>
      <w:r>
        <w:rPr>
          <w:spacing w:val="-36"/>
        </w:rPr>
        <w:t> </w:t>
      </w:r>
      <w:r>
        <w:rPr/>
        <w:t>visual</w:t>
      </w:r>
      <w:r>
        <w:rPr>
          <w:spacing w:val="-36"/>
        </w:rPr>
        <w:t> </w:t>
      </w:r>
      <w:r>
        <w:rPr/>
        <w:t>inspection</w:t>
      </w:r>
      <w:r>
        <w:rPr>
          <w:spacing w:val="-37"/>
        </w:rPr>
        <w:t> </w:t>
      </w:r>
      <w:r>
        <w:rPr/>
        <w:t>during</w:t>
      </w:r>
      <w:r>
        <w:rPr>
          <w:spacing w:val="-36"/>
        </w:rPr>
        <w:t> </w:t>
      </w:r>
      <w:r>
        <w:rPr/>
        <w:t>the</w:t>
      </w:r>
      <w:r>
        <w:rPr>
          <w:spacing w:val="-37"/>
        </w:rPr>
        <w:t> </w:t>
      </w:r>
      <w:r>
        <w:rPr/>
        <w:t>site</w:t>
      </w:r>
      <w:r>
        <w:rPr>
          <w:spacing w:val="-36"/>
        </w:rPr>
        <w:t> </w:t>
      </w:r>
      <w:r>
        <w:rPr/>
        <w:t>visit, it</w:t>
      </w:r>
      <w:r>
        <w:rPr>
          <w:spacing w:val="-19"/>
        </w:rPr>
        <w:t> </w:t>
      </w:r>
      <w:r>
        <w:rPr/>
        <w:t>is</w:t>
      </w:r>
      <w:r>
        <w:rPr>
          <w:spacing w:val="-19"/>
        </w:rPr>
        <w:t> </w:t>
      </w:r>
      <w:r>
        <w:rPr/>
        <w:t>understood</w:t>
      </w:r>
      <w:r>
        <w:rPr>
          <w:spacing w:val="-18"/>
        </w:rPr>
        <w:t> </w:t>
      </w:r>
      <w:r>
        <w:rPr/>
        <w:t>that</w:t>
      </w:r>
      <w:r>
        <w:rPr>
          <w:spacing w:val="-19"/>
        </w:rPr>
        <w:t> </w:t>
      </w:r>
      <w:r>
        <w:rPr/>
        <w:t>the</w:t>
      </w:r>
      <w:r>
        <w:rPr>
          <w:spacing w:val="-21"/>
        </w:rPr>
        <w:t> </w:t>
      </w:r>
      <w:r>
        <w:rPr/>
        <w:t>subject</w:t>
      </w:r>
      <w:r>
        <w:rPr>
          <w:spacing w:val="-19"/>
        </w:rPr>
        <w:t> </w:t>
      </w:r>
      <w:r>
        <w:rPr/>
        <w:t>property</w:t>
      </w:r>
      <w:r>
        <w:rPr>
          <w:spacing w:val="-18"/>
        </w:rPr>
        <w:t> </w:t>
      </w:r>
      <w:r>
        <w:rPr/>
        <w:t>is</w:t>
      </w:r>
      <w:r>
        <w:rPr>
          <w:spacing w:val="-18"/>
        </w:rPr>
        <w:t> </w:t>
      </w:r>
      <w:r>
        <w:rPr/>
        <w:t>an</w:t>
      </w:r>
      <w:r>
        <w:rPr>
          <w:spacing w:val="-20"/>
        </w:rPr>
        <w:t> </w:t>
      </w:r>
      <w:r>
        <w:rPr/>
        <w:t>irregular</w:t>
      </w:r>
      <w:r>
        <w:rPr>
          <w:spacing w:val="-19"/>
        </w:rPr>
        <w:t> </w:t>
      </w:r>
      <w:r>
        <w:rPr/>
        <w:t>shaped</w:t>
      </w:r>
      <w:r>
        <w:rPr>
          <w:spacing w:val="-18"/>
        </w:rPr>
        <w:t> </w:t>
      </w:r>
      <w:r>
        <w:rPr/>
        <w:t>land</w:t>
      </w:r>
      <w:r>
        <w:rPr>
          <w:spacing w:val="-18"/>
        </w:rPr>
        <w:t> </w:t>
      </w:r>
      <w:r>
        <w:rPr/>
        <w:t>parcel.</w:t>
      </w:r>
    </w:p>
    <w:p>
      <w:pPr>
        <w:pStyle w:val="BodyText"/>
        <w:tabs>
          <w:tab w:pos="2695" w:val="left" w:leader="none"/>
        </w:tabs>
        <w:spacing w:line="321" w:lineRule="auto" w:before="119"/>
        <w:ind w:left="2695" w:right="221" w:hanging="1931"/>
        <w:jc w:val="both"/>
      </w:pPr>
      <w:r>
        <w:rPr/>
        <w:t>Topography:</w:t>
        <w:tab/>
        <w:t>Based</w:t>
      </w:r>
      <w:r>
        <w:rPr>
          <w:spacing w:val="-19"/>
        </w:rPr>
        <w:t> </w:t>
      </w:r>
      <w:r>
        <w:rPr/>
        <w:t>on</w:t>
      </w:r>
      <w:r>
        <w:rPr>
          <w:spacing w:val="-20"/>
        </w:rPr>
        <w:t> </w:t>
      </w:r>
      <w:r>
        <w:rPr/>
        <w:t>the</w:t>
      </w:r>
      <w:r>
        <w:rPr>
          <w:spacing w:val="-20"/>
        </w:rPr>
        <w:t> </w:t>
      </w:r>
      <w:r>
        <w:rPr/>
        <w:t>site</w:t>
      </w:r>
      <w:r>
        <w:rPr>
          <w:spacing w:val="-19"/>
        </w:rPr>
        <w:t> </w:t>
      </w:r>
      <w:r>
        <w:rPr/>
        <w:t>plan</w:t>
      </w:r>
      <w:r>
        <w:rPr>
          <w:spacing w:val="-20"/>
        </w:rPr>
        <w:t> </w:t>
      </w:r>
      <w:r>
        <w:rPr/>
        <w:t>and</w:t>
      </w:r>
      <w:r>
        <w:rPr>
          <w:spacing w:val="-17"/>
        </w:rPr>
        <w:t> </w:t>
      </w:r>
      <w:r>
        <w:rPr/>
        <w:t>as</w:t>
      </w:r>
      <w:r>
        <w:rPr>
          <w:spacing w:val="-18"/>
        </w:rPr>
        <w:t> </w:t>
      </w:r>
      <w:r>
        <w:rPr/>
        <w:t>corroborated</w:t>
      </w:r>
      <w:r>
        <w:rPr>
          <w:spacing w:val="-19"/>
        </w:rPr>
        <w:t> </w:t>
      </w:r>
      <w:r>
        <w:rPr/>
        <w:t>with</w:t>
      </w:r>
      <w:r>
        <w:rPr>
          <w:spacing w:val="-19"/>
        </w:rPr>
        <w:t> </w:t>
      </w:r>
      <w:r>
        <w:rPr/>
        <w:t>our</w:t>
      </w:r>
      <w:r>
        <w:rPr>
          <w:spacing w:val="-20"/>
        </w:rPr>
        <w:t> </w:t>
      </w:r>
      <w:r>
        <w:rPr/>
        <w:t>site</w:t>
      </w:r>
      <w:r>
        <w:rPr>
          <w:spacing w:val="-20"/>
        </w:rPr>
        <w:t> </w:t>
      </w:r>
      <w:r>
        <w:rPr/>
        <w:t>visit,</w:t>
      </w:r>
      <w:r>
        <w:rPr>
          <w:spacing w:val="-19"/>
        </w:rPr>
        <w:t> </w:t>
      </w:r>
      <w:r>
        <w:rPr/>
        <w:t>the</w:t>
      </w:r>
      <w:r>
        <w:rPr>
          <w:spacing w:val="-20"/>
        </w:rPr>
        <w:t> </w:t>
      </w:r>
      <w:r>
        <w:rPr/>
        <w:t>site</w:t>
      </w:r>
      <w:r>
        <w:rPr>
          <w:spacing w:val="-18"/>
        </w:rPr>
        <w:t> </w:t>
      </w:r>
      <w:r>
        <w:rPr/>
        <w:t>appears</w:t>
      </w:r>
      <w:r>
        <w:rPr>
          <w:spacing w:val="-18"/>
        </w:rPr>
        <w:t> </w:t>
      </w:r>
      <w:r>
        <w:rPr/>
        <w:t>to be</w:t>
      </w:r>
      <w:r>
        <w:rPr>
          <w:spacing w:val="-24"/>
        </w:rPr>
        <w:t> </w:t>
      </w:r>
      <w:r>
        <w:rPr/>
        <w:t>even</w:t>
      </w:r>
      <w:r>
        <w:rPr>
          <w:spacing w:val="-24"/>
        </w:rPr>
        <w:t> </w:t>
      </w:r>
      <w:r>
        <w:rPr/>
        <w:t>and</w:t>
      </w:r>
      <w:r>
        <w:rPr>
          <w:spacing w:val="-22"/>
        </w:rPr>
        <w:t> </w:t>
      </w:r>
      <w:r>
        <w:rPr/>
        <w:t>on</w:t>
      </w:r>
      <w:r>
        <w:rPr>
          <w:spacing w:val="-24"/>
        </w:rPr>
        <w:t> </w:t>
      </w:r>
      <w:r>
        <w:rPr/>
        <w:t>the</w:t>
      </w:r>
      <w:r>
        <w:rPr>
          <w:spacing w:val="-22"/>
        </w:rPr>
        <w:t> </w:t>
      </w:r>
      <w:r>
        <w:rPr/>
        <w:t>same</w:t>
      </w:r>
      <w:r>
        <w:rPr>
          <w:spacing w:val="-24"/>
        </w:rPr>
        <w:t> </w:t>
      </w:r>
      <w:r>
        <w:rPr/>
        <w:t>level</w:t>
      </w:r>
      <w:r>
        <w:rPr>
          <w:spacing w:val="-22"/>
        </w:rPr>
        <w:t> </w:t>
      </w:r>
      <w:r>
        <w:rPr/>
        <w:t>as</w:t>
      </w:r>
      <w:r>
        <w:rPr>
          <w:spacing w:val="-22"/>
        </w:rPr>
        <w:t> </w:t>
      </w:r>
      <w:r>
        <w:rPr/>
        <w:t>abutting</w:t>
      </w:r>
      <w:r>
        <w:rPr>
          <w:spacing w:val="-22"/>
        </w:rPr>
        <w:t> </w:t>
      </w:r>
      <w:r>
        <w:rPr/>
        <w:t>access</w:t>
      </w:r>
      <w:r>
        <w:rPr>
          <w:spacing w:val="-22"/>
        </w:rPr>
        <w:t> </w:t>
      </w:r>
      <w:r>
        <w:rPr/>
        <w:t>roads</w:t>
      </w:r>
      <w:r>
        <w:rPr>
          <w:spacing w:val="-22"/>
        </w:rPr>
        <w:t> </w:t>
      </w:r>
      <w:r>
        <w:rPr/>
        <w:t>and</w:t>
      </w:r>
      <w:r>
        <w:rPr>
          <w:spacing w:val="-23"/>
        </w:rPr>
        <w:t> </w:t>
      </w:r>
      <w:r>
        <w:rPr/>
        <w:t>adjoining</w:t>
      </w:r>
      <w:r>
        <w:rPr>
          <w:spacing w:val="-18"/>
        </w:rPr>
        <w:t> </w:t>
      </w:r>
      <w:r>
        <w:rPr/>
        <w:t>properties.</w:t>
      </w:r>
    </w:p>
    <w:p>
      <w:pPr>
        <w:pStyle w:val="BodyText"/>
        <w:tabs>
          <w:tab w:pos="2695" w:val="left" w:leader="none"/>
        </w:tabs>
        <w:spacing w:line="321" w:lineRule="auto" w:before="122"/>
        <w:ind w:left="2695" w:right="224" w:hanging="1931"/>
        <w:jc w:val="both"/>
      </w:pPr>
      <w:r>
        <w:rPr/>
        <w:t>Frontage:</w:t>
        <w:tab/>
        <w:t>Based on review of site plan, visual inspection and measurements made on Google</w:t>
      </w:r>
      <w:r>
        <w:rPr>
          <w:spacing w:val="-33"/>
        </w:rPr>
        <w:t> </w:t>
      </w:r>
      <w:r>
        <w:rPr/>
        <w:t>maps,</w:t>
      </w:r>
      <w:r>
        <w:rPr>
          <w:spacing w:val="-32"/>
        </w:rPr>
        <w:t> </w:t>
      </w:r>
      <w:r>
        <w:rPr/>
        <w:t>we</w:t>
      </w:r>
      <w:r>
        <w:rPr>
          <w:spacing w:val="-32"/>
        </w:rPr>
        <w:t> </w:t>
      </w:r>
      <w:r>
        <w:rPr/>
        <w:t>understand</w:t>
      </w:r>
      <w:r>
        <w:rPr>
          <w:spacing w:val="-31"/>
        </w:rPr>
        <w:t> </w:t>
      </w:r>
      <w:r>
        <w:rPr/>
        <w:t>that</w:t>
      </w:r>
      <w:r>
        <w:rPr>
          <w:spacing w:val="-31"/>
        </w:rPr>
        <w:t> </w:t>
      </w:r>
      <w:r>
        <w:rPr/>
        <w:t>the</w:t>
      </w:r>
      <w:r>
        <w:rPr>
          <w:spacing w:val="-31"/>
        </w:rPr>
        <w:t> </w:t>
      </w:r>
      <w:r>
        <w:rPr/>
        <w:t>frontage</w:t>
      </w:r>
      <w:r>
        <w:rPr>
          <w:spacing w:val="-32"/>
        </w:rPr>
        <w:t> </w:t>
      </w:r>
      <w:r>
        <w:rPr/>
        <w:t>is</w:t>
      </w:r>
      <w:r>
        <w:rPr>
          <w:spacing w:val="-31"/>
        </w:rPr>
        <w:t> </w:t>
      </w:r>
      <w:r>
        <w:rPr/>
        <w:t>approximately</w:t>
      </w:r>
      <w:r>
        <w:rPr>
          <w:spacing w:val="-31"/>
        </w:rPr>
        <w:t> </w:t>
      </w:r>
      <w:r>
        <w:rPr/>
        <w:t>250</w:t>
      </w:r>
      <w:r>
        <w:rPr>
          <w:spacing w:val="-32"/>
        </w:rPr>
        <w:t> </w:t>
      </w:r>
      <w:r>
        <w:rPr/>
        <w:t>meters</w:t>
      </w:r>
      <w:r>
        <w:rPr>
          <w:spacing w:val="-30"/>
        </w:rPr>
        <w:t> </w:t>
      </w:r>
      <w:r>
        <w:rPr/>
        <w:t>along the</w:t>
      </w:r>
      <w:r>
        <w:rPr>
          <w:spacing w:val="-3"/>
        </w:rPr>
        <w:t> </w:t>
      </w:r>
      <w:r>
        <w:rPr/>
        <w:t>ORR.</w:t>
      </w:r>
    </w:p>
    <w:p>
      <w:pPr>
        <w:pStyle w:val="BodyText"/>
        <w:tabs>
          <w:tab w:pos="2695" w:val="left" w:leader="none"/>
        </w:tabs>
        <w:spacing w:line="321" w:lineRule="auto" w:before="123"/>
        <w:ind w:left="2695" w:right="222" w:hanging="1931"/>
        <w:jc w:val="both"/>
      </w:pPr>
      <w:r>
        <w:rPr>
          <w:w w:val="95"/>
        </w:rPr>
        <w:t>Accessibility:</w:t>
        <w:tab/>
      </w:r>
      <w:r>
        <w:rPr/>
        <w:t>Based</w:t>
      </w:r>
      <w:r>
        <w:rPr>
          <w:spacing w:val="-20"/>
        </w:rPr>
        <w:t> </w:t>
      </w:r>
      <w:r>
        <w:rPr/>
        <w:t>on</w:t>
      </w:r>
      <w:r>
        <w:rPr>
          <w:spacing w:val="-20"/>
        </w:rPr>
        <w:t> </w:t>
      </w:r>
      <w:r>
        <w:rPr/>
        <w:t>the</w:t>
      </w:r>
      <w:r>
        <w:rPr>
          <w:spacing w:val="-20"/>
        </w:rPr>
        <w:t> </w:t>
      </w:r>
      <w:r>
        <w:rPr/>
        <w:t>site</w:t>
      </w:r>
      <w:r>
        <w:rPr>
          <w:spacing w:val="-21"/>
        </w:rPr>
        <w:t> </w:t>
      </w:r>
      <w:r>
        <w:rPr/>
        <w:t>map</w:t>
      </w:r>
      <w:r>
        <w:rPr>
          <w:spacing w:val="-21"/>
        </w:rPr>
        <w:t> </w:t>
      </w:r>
      <w:r>
        <w:rPr/>
        <w:t>provided</w:t>
      </w:r>
      <w:r>
        <w:rPr>
          <w:spacing w:val="-19"/>
        </w:rPr>
        <w:t> </w:t>
      </w:r>
      <w:r>
        <w:rPr/>
        <w:t>by</w:t>
      </w:r>
      <w:r>
        <w:rPr>
          <w:spacing w:val="-19"/>
        </w:rPr>
        <w:t> </w:t>
      </w:r>
      <w:r>
        <w:rPr/>
        <w:t>the</w:t>
      </w:r>
      <w:r>
        <w:rPr>
          <w:spacing w:val="-21"/>
        </w:rPr>
        <w:t> </w:t>
      </w:r>
      <w:r>
        <w:rPr/>
        <w:t>Client</w:t>
      </w:r>
      <w:r>
        <w:rPr>
          <w:spacing w:val="-20"/>
        </w:rPr>
        <w:t> </w:t>
      </w:r>
      <w:r>
        <w:rPr/>
        <w:t>and</w:t>
      </w:r>
      <w:r>
        <w:rPr>
          <w:spacing w:val="-21"/>
        </w:rPr>
        <w:t> </w:t>
      </w:r>
      <w:r>
        <w:rPr/>
        <w:t>visual</w:t>
      </w:r>
      <w:r>
        <w:rPr>
          <w:spacing w:val="-16"/>
        </w:rPr>
        <w:t> </w:t>
      </w:r>
      <w:r>
        <w:rPr/>
        <w:t>inspection,</w:t>
      </w:r>
      <w:r>
        <w:rPr>
          <w:spacing w:val="-21"/>
        </w:rPr>
        <w:t> </w:t>
      </w:r>
      <w:r>
        <w:rPr/>
        <w:t>the</w:t>
      </w:r>
      <w:r>
        <w:rPr>
          <w:spacing w:val="-21"/>
        </w:rPr>
        <w:t> </w:t>
      </w:r>
      <w:r>
        <w:rPr/>
        <w:t>access</w:t>
      </w:r>
      <w:r>
        <w:rPr>
          <w:spacing w:val="-19"/>
        </w:rPr>
        <w:t> </w:t>
      </w:r>
      <w:r>
        <w:rPr/>
        <w:t>to the</w:t>
      </w:r>
      <w:r>
        <w:rPr>
          <w:spacing w:val="-41"/>
        </w:rPr>
        <w:t> </w:t>
      </w:r>
      <w:r>
        <w:rPr/>
        <w:t>subject</w:t>
      </w:r>
      <w:r>
        <w:rPr>
          <w:spacing w:val="-41"/>
        </w:rPr>
        <w:t> </w:t>
      </w:r>
      <w:r>
        <w:rPr/>
        <w:t>property</w:t>
      </w:r>
      <w:r>
        <w:rPr>
          <w:spacing w:val="-40"/>
        </w:rPr>
        <w:t> </w:t>
      </w:r>
      <w:r>
        <w:rPr/>
        <w:t>is</w:t>
      </w:r>
      <w:r>
        <w:rPr>
          <w:spacing w:val="-41"/>
        </w:rPr>
        <w:t> </w:t>
      </w:r>
      <w:r>
        <w:rPr/>
        <w:t>by</w:t>
      </w:r>
      <w:r>
        <w:rPr>
          <w:spacing w:val="-41"/>
        </w:rPr>
        <w:t> </w:t>
      </w:r>
      <w:r>
        <w:rPr/>
        <w:t>the</w:t>
      </w:r>
      <w:r>
        <w:rPr>
          <w:spacing w:val="-41"/>
        </w:rPr>
        <w:t> </w:t>
      </w:r>
      <w:r>
        <w:rPr/>
        <w:t>service</w:t>
      </w:r>
      <w:r>
        <w:rPr>
          <w:spacing w:val="-41"/>
        </w:rPr>
        <w:t> </w:t>
      </w:r>
      <w:r>
        <w:rPr/>
        <w:t>road,</w:t>
      </w:r>
      <w:r>
        <w:rPr>
          <w:spacing w:val="-41"/>
        </w:rPr>
        <w:t> </w:t>
      </w:r>
      <w:r>
        <w:rPr/>
        <w:t>emanating</w:t>
      </w:r>
      <w:r>
        <w:rPr>
          <w:spacing w:val="-40"/>
        </w:rPr>
        <w:t> </w:t>
      </w:r>
      <w:r>
        <w:rPr/>
        <w:t>from</w:t>
      </w:r>
      <w:r>
        <w:rPr>
          <w:spacing w:val="-39"/>
        </w:rPr>
        <w:t> </w:t>
      </w:r>
      <w:r>
        <w:rPr/>
        <w:t>the</w:t>
      </w:r>
      <w:r>
        <w:rPr>
          <w:spacing w:val="-41"/>
        </w:rPr>
        <w:t> </w:t>
      </w:r>
      <w:r>
        <w:rPr/>
        <w:t>northern</w:t>
      </w:r>
      <w:r>
        <w:rPr>
          <w:spacing w:val="-41"/>
        </w:rPr>
        <w:t> </w:t>
      </w:r>
      <w:r>
        <w:rPr/>
        <w:t>section</w:t>
      </w:r>
      <w:r>
        <w:rPr>
          <w:spacing w:val="-41"/>
        </w:rPr>
        <w:t> </w:t>
      </w:r>
      <w:r>
        <w:rPr/>
        <w:t>of the</w:t>
      </w:r>
      <w:r>
        <w:rPr>
          <w:spacing w:val="-27"/>
        </w:rPr>
        <w:t> </w:t>
      </w:r>
      <w:r>
        <w:rPr/>
        <w:t>Outer</w:t>
      </w:r>
      <w:r>
        <w:rPr>
          <w:spacing w:val="-26"/>
        </w:rPr>
        <w:t> </w:t>
      </w:r>
      <w:r>
        <w:rPr/>
        <w:t>Ring</w:t>
      </w:r>
      <w:r>
        <w:rPr>
          <w:spacing w:val="-24"/>
        </w:rPr>
        <w:t> </w:t>
      </w:r>
      <w:r>
        <w:rPr/>
        <w:t>Road</w:t>
      </w:r>
      <w:r>
        <w:rPr>
          <w:spacing w:val="-25"/>
        </w:rPr>
        <w:t> </w:t>
      </w:r>
      <w:r>
        <w:rPr/>
        <w:t>(viz.</w:t>
      </w:r>
      <w:r>
        <w:rPr>
          <w:spacing w:val="-25"/>
        </w:rPr>
        <w:t> </w:t>
      </w:r>
      <w:r>
        <w:rPr/>
        <w:t>main</w:t>
      </w:r>
      <w:r>
        <w:rPr>
          <w:spacing w:val="-26"/>
        </w:rPr>
        <w:t> </w:t>
      </w:r>
      <w:r>
        <w:rPr/>
        <w:t>arterial</w:t>
      </w:r>
      <w:r>
        <w:rPr>
          <w:spacing w:val="-24"/>
        </w:rPr>
        <w:t> </w:t>
      </w:r>
      <w:r>
        <w:rPr/>
        <w:t>road</w:t>
      </w:r>
      <w:r>
        <w:rPr>
          <w:spacing w:val="-25"/>
        </w:rPr>
        <w:t> </w:t>
      </w:r>
      <w:r>
        <w:rPr/>
        <w:t>circling</w:t>
      </w:r>
      <w:r>
        <w:rPr>
          <w:spacing w:val="-24"/>
        </w:rPr>
        <w:t> </w:t>
      </w:r>
      <w:r>
        <w:rPr/>
        <w:t>Bengaluru)</w:t>
      </w:r>
      <w:r>
        <w:rPr>
          <w:spacing w:val="-25"/>
        </w:rPr>
        <w:t> </w:t>
      </w:r>
      <w:r>
        <w:rPr/>
        <w:t>and</w:t>
      </w:r>
      <w:r>
        <w:rPr>
          <w:spacing w:val="-27"/>
        </w:rPr>
        <w:t> </w:t>
      </w:r>
      <w:r>
        <w:rPr/>
        <w:t>this</w:t>
      </w:r>
      <w:r>
        <w:rPr>
          <w:spacing w:val="-24"/>
        </w:rPr>
        <w:t> </w:t>
      </w:r>
      <w:r>
        <w:rPr/>
        <w:t>serves</w:t>
      </w:r>
      <w:r>
        <w:rPr>
          <w:spacing w:val="-25"/>
        </w:rPr>
        <w:t> </w:t>
      </w:r>
      <w:r>
        <w:rPr/>
        <w:t>as </w:t>
      </w:r>
      <w:r>
        <w:rPr>
          <w:w w:val="95"/>
        </w:rPr>
        <w:t>the</w:t>
      </w:r>
      <w:r>
        <w:rPr>
          <w:spacing w:val="-24"/>
          <w:w w:val="95"/>
        </w:rPr>
        <w:t> </w:t>
      </w:r>
      <w:r>
        <w:rPr>
          <w:w w:val="95"/>
        </w:rPr>
        <w:t>primary</w:t>
      </w:r>
      <w:r>
        <w:rPr>
          <w:spacing w:val="-21"/>
          <w:w w:val="95"/>
        </w:rPr>
        <w:t> </w:t>
      </w:r>
      <w:r>
        <w:rPr>
          <w:w w:val="95"/>
        </w:rPr>
        <w:t>access</w:t>
      </w:r>
      <w:r>
        <w:rPr>
          <w:spacing w:val="-24"/>
          <w:w w:val="95"/>
        </w:rPr>
        <w:t> </w:t>
      </w:r>
      <w:r>
        <w:rPr>
          <w:w w:val="95"/>
        </w:rPr>
        <w:t>to</w:t>
      </w:r>
      <w:r>
        <w:rPr>
          <w:spacing w:val="-24"/>
          <w:w w:val="95"/>
        </w:rPr>
        <w:t> </w:t>
      </w:r>
      <w:r>
        <w:rPr>
          <w:w w:val="95"/>
        </w:rPr>
        <w:t>the</w:t>
      </w:r>
      <w:r>
        <w:rPr>
          <w:spacing w:val="-25"/>
          <w:w w:val="95"/>
        </w:rPr>
        <w:t> </w:t>
      </w:r>
      <w:r>
        <w:rPr>
          <w:w w:val="95"/>
        </w:rPr>
        <w:t>subject</w:t>
      </w:r>
      <w:r>
        <w:rPr>
          <w:spacing w:val="-24"/>
          <w:w w:val="95"/>
        </w:rPr>
        <w:t> </w:t>
      </w:r>
      <w:r>
        <w:rPr>
          <w:w w:val="95"/>
        </w:rPr>
        <w:t>property.</w:t>
      </w:r>
      <w:r>
        <w:rPr>
          <w:spacing w:val="-23"/>
          <w:w w:val="95"/>
        </w:rPr>
        <w:t> </w:t>
      </w:r>
      <w:r>
        <w:rPr>
          <w:w w:val="95"/>
        </w:rPr>
        <w:t>By</w:t>
      </w:r>
      <w:r>
        <w:rPr>
          <w:spacing w:val="-22"/>
          <w:w w:val="95"/>
        </w:rPr>
        <w:t> </w:t>
      </w:r>
      <w:r>
        <w:rPr>
          <w:w w:val="95"/>
        </w:rPr>
        <w:t>virtue</w:t>
      </w:r>
      <w:r>
        <w:rPr>
          <w:spacing w:val="-26"/>
          <w:w w:val="95"/>
        </w:rPr>
        <w:t> </w:t>
      </w:r>
      <w:r>
        <w:rPr>
          <w:w w:val="95"/>
        </w:rPr>
        <w:t>of</w:t>
      </w:r>
      <w:r>
        <w:rPr>
          <w:spacing w:val="-22"/>
          <w:w w:val="95"/>
        </w:rPr>
        <w:t> </w:t>
      </w:r>
      <w:r>
        <w:rPr>
          <w:w w:val="95"/>
        </w:rPr>
        <w:t>the</w:t>
      </w:r>
      <w:r>
        <w:rPr>
          <w:spacing w:val="-26"/>
          <w:w w:val="95"/>
        </w:rPr>
        <w:t> </w:t>
      </w:r>
      <w:r>
        <w:rPr>
          <w:w w:val="95"/>
        </w:rPr>
        <w:t>same</w:t>
      </w:r>
      <w:r>
        <w:rPr>
          <w:spacing w:val="-25"/>
          <w:w w:val="95"/>
        </w:rPr>
        <w:t> </w:t>
      </w:r>
      <w:r>
        <w:rPr>
          <w:w w:val="95"/>
        </w:rPr>
        <w:t>the</w:t>
      </w:r>
      <w:r>
        <w:rPr>
          <w:spacing w:val="-23"/>
          <w:w w:val="95"/>
        </w:rPr>
        <w:t> </w:t>
      </w:r>
      <w:r>
        <w:rPr>
          <w:w w:val="95"/>
        </w:rPr>
        <w:t>property</w:t>
      </w:r>
      <w:r>
        <w:rPr>
          <w:spacing w:val="-25"/>
          <w:w w:val="95"/>
        </w:rPr>
        <w:t> </w:t>
      </w:r>
      <w:r>
        <w:rPr>
          <w:w w:val="95"/>
        </w:rPr>
        <w:t>enjoys </w:t>
      </w:r>
      <w:r>
        <w:rPr/>
        <w:t>excellent accessibility and</w:t>
      </w:r>
      <w:r>
        <w:rPr>
          <w:spacing w:val="-18"/>
        </w:rPr>
        <w:t> </w:t>
      </w:r>
      <w:r>
        <w:rPr/>
        <w:t>frontage.</w:t>
      </w:r>
    </w:p>
    <w:p>
      <w:pPr>
        <w:pStyle w:val="BodyText"/>
        <w:spacing w:before="122"/>
        <w:ind w:left="2695"/>
        <w:jc w:val="both"/>
      </w:pPr>
      <w:r>
        <w:rPr/>
        <w:t>Please refer Exhibit &amp; Addenda for the site plan of the subject property.</w:t>
      </w:r>
    </w:p>
    <w:p>
      <w:pPr>
        <w:pStyle w:val="BodyText"/>
        <w:spacing w:before="3"/>
        <w:rPr>
          <w:sz w:val="28"/>
        </w:rPr>
      </w:pPr>
    </w:p>
    <w:p>
      <w:pPr>
        <w:pStyle w:val="ListParagraph"/>
        <w:numPr>
          <w:ilvl w:val="2"/>
          <w:numId w:val="14"/>
        </w:numPr>
        <w:tabs>
          <w:tab w:pos="821" w:val="left" w:leader="none"/>
        </w:tabs>
        <w:spacing w:line="240" w:lineRule="auto" w:before="0" w:after="0"/>
        <w:ind w:left="820" w:right="0" w:hanging="721"/>
        <w:jc w:val="left"/>
        <w:rPr>
          <w:sz w:val="22"/>
        </w:rPr>
      </w:pPr>
      <w:bookmarkStart w:name="_bookmark46" w:id="92"/>
      <w:bookmarkEnd w:id="92"/>
      <w:r>
        <w:rPr/>
      </w:r>
      <w:bookmarkStart w:name="_bookmark46" w:id="93"/>
      <w:bookmarkEnd w:id="93"/>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8"/>
        <w:ind w:left="666" w:right="112"/>
        <w:jc w:val="both"/>
      </w:pPr>
      <w:r>
        <w:rPr/>
        <w:t>As per the title due diligence undertaken by King &amp; Partridge and as provided by the Client, we understand</w:t>
      </w:r>
      <w:r>
        <w:rPr>
          <w:spacing w:val="-32"/>
        </w:rPr>
        <w:t> </w:t>
      </w:r>
      <w:r>
        <w:rPr/>
        <w:t>that</w:t>
      </w:r>
      <w:r>
        <w:rPr>
          <w:spacing w:val="-32"/>
        </w:rPr>
        <w:t> </w:t>
      </w:r>
      <w:r>
        <w:rPr/>
        <w:t>the</w:t>
      </w:r>
      <w:r>
        <w:rPr>
          <w:spacing w:val="-33"/>
        </w:rPr>
        <w:t> </w:t>
      </w:r>
      <w:r>
        <w:rPr/>
        <w:t>exact</w:t>
      </w:r>
      <w:r>
        <w:rPr>
          <w:spacing w:val="-33"/>
        </w:rPr>
        <w:t> </w:t>
      </w:r>
      <w:r>
        <w:rPr/>
        <w:t>address</w:t>
      </w:r>
      <w:r>
        <w:rPr>
          <w:spacing w:val="-32"/>
        </w:rPr>
        <w:t> </w:t>
      </w:r>
      <w:r>
        <w:rPr/>
        <w:t>of</w:t>
      </w:r>
      <w:r>
        <w:rPr>
          <w:spacing w:val="-31"/>
        </w:rPr>
        <w:t> </w:t>
      </w:r>
      <w:r>
        <w:rPr/>
        <w:t>the</w:t>
      </w:r>
      <w:r>
        <w:rPr>
          <w:spacing w:val="-33"/>
        </w:rPr>
        <w:t> </w:t>
      </w:r>
      <w:r>
        <w:rPr/>
        <w:t>subject</w:t>
      </w:r>
      <w:r>
        <w:rPr>
          <w:spacing w:val="-32"/>
        </w:rPr>
        <w:t> </w:t>
      </w:r>
      <w:r>
        <w:rPr/>
        <w:t>property</w:t>
      </w:r>
      <w:r>
        <w:rPr>
          <w:spacing w:val="-31"/>
        </w:rPr>
        <w:t> </w:t>
      </w:r>
      <w:r>
        <w:rPr/>
        <w:t>is</w:t>
      </w:r>
      <w:r>
        <w:rPr>
          <w:spacing w:val="-32"/>
        </w:rPr>
        <w:t> </w:t>
      </w:r>
      <w:r>
        <w:rPr/>
        <w:t>Rachenahalli</w:t>
      </w:r>
      <w:r>
        <w:rPr>
          <w:spacing w:val="-32"/>
        </w:rPr>
        <w:t> </w:t>
      </w:r>
      <w:r>
        <w:rPr/>
        <w:t>Village,</w:t>
      </w:r>
      <w:r>
        <w:rPr>
          <w:spacing w:val="-33"/>
        </w:rPr>
        <w:t> </w:t>
      </w:r>
      <w:r>
        <w:rPr/>
        <w:t>Bengaluru</w:t>
      </w:r>
      <w:r>
        <w:rPr>
          <w:spacing w:val="-32"/>
        </w:rPr>
        <w:t> </w:t>
      </w:r>
      <w:r>
        <w:rPr/>
        <w:t>East</w:t>
      </w:r>
      <w:r>
        <w:rPr>
          <w:spacing w:val="-32"/>
        </w:rPr>
        <w:t> </w:t>
      </w:r>
      <w:r>
        <w:rPr/>
        <w:t>Taluk, Nagavara</w:t>
      </w:r>
      <w:r>
        <w:rPr>
          <w:spacing w:val="-23"/>
        </w:rPr>
        <w:t> </w:t>
      </w:r>
      <w:r>
        <w:rPr/>
        <w:t>Village,</w:t>
      </w:r>
      <w:r>
        <w:rPr>
          <w:spacing w:val="-22"/>
        </w:rPr>
        <w:t> </w:t>
      </w:r>
      <w:r>
        <w:rPr/>
        <w:t>Bengaluru</w:t>
      </w:r>
      <w:r>
        <w:rPr>
          <w:spacing w:val="-23"/>
        </w:rPr>
        <w:t> </w:t>
      </w:r>
      <w:r>
        <w:rPr/>
        <w:t>North</w:t>
      </w:r>
      <w:r>
        <w:rPr>
          <w:spacing w:val="-23"/>
        </w:rPr>
        <w:t> </w:t>
      </w:r>
      <w:r>
        <w:rPr/>
        <w:t>Taluk,</w:t>
      </w:r>
      <w:r>
        <w:rPr>
          <w:spacing w:val="-22"/>
        </w:rPr>
        <w:t> </w:t>
      </w:r>
      <w:r>
        <w:rPr/>
        <w:t>Bengaluru,</w:t>
      </w:r>
      <w:r>
        <w:rPr>
          <w:spacing w:val="-22"/>
        </w:rPr>
        <w:t> </w:t>
      </w:r>
      <w:r>
        <w:rPr/>
        <w:t>Karnataka.</w:t>
      </w:r>
      <w:r>
        <w:rPr>
          <w:spacing w:val="-22"/>
        </w:rPr>
        <w:t> </w:t>
      </w:r>
      <w:r>
        <w:rPr/>
        <w:t>Additionally,</w:t>
      </w:r>
      <w:r>
        <w:rPr>
          <w:spacing w:val="-22"/>
        </w:rPr>
        <w:t> </w:t>
      </w:r>
      <w:r>
        <w:rPr/>
        <w:t>it</w:t>
      </w:r>
      <w:r>
        <w:rPr>
          <w:spacing w:val="-22"/>
        </w:rPr>
        <w:t> </w:t>
      </w:r>
      <w:r>
        <w:rPr/>
        <w:t>is</w:t>
      </w:r>
      <w:r>
        <w:rPr>
          <w:spacing w:val="-22"/>
        </w:rPr>
        <w:t> </w:t>
      </w:r>
      <w:r>
        <w:rPr/>
        <w:t>understood</w:t>
      </w:r>
      <w:r>
        <w:rPr>
          <w:spacing w:val="-21"/>
        </w:rPr>
        <w:t> </w:t>
      </w:r>
      <w:r>
        <w:rPr/>
        <w:t>that</w:t>
      </w:r>
      <w:r>
        <w:rPr>
          <w:spacing w:val="-24"/>
        </w:rPr>
        <w:t> </w:t>
      </w:r>
      <w:r>
        <w:rPr/>
        <w:t>the subject</w:t>
      </w:r>
      <w:r>
        <w:rPr>
          <w:spacing w:val="-20"/>
        </w:rPr>
        <w:t> </w:t>
      </w:r>
      <w:r>
        <w:rPr/>
        <w:t>property</w:t>
      </w:r>
      <w:r>
        <w:rPr>
          <w:spacing w:val="-19"/>
        </w:rPr>
        <w:t> </w:t>
      </w:r>
      <w:r>
        <w:rPr/>
        <w:t>is</w:t>
      </w:r>
      <w:r>
        <w:rPr>
          <w:spacing w:val="-19"/>
        </w:rPr>
        <w:t> </w:t>
      </w:r>
      <w:r>
        <w:rPr/>
        <w:t>freehold</w:t>
      </w:r>
      <w:r>
        <w:rPr>
          <w:spacing w:val="-18"/>
        </w:rPr>
        <w:t> </w:t>
      </w:r>
      <w:r>
        <w:rPr/>
        <w:t>in</w:t>
      </w:r>
      <w:r>
        <w:rPr>
          <w:spacing w:val="-19"/>
        </w:rPr>
        <w:t> </w:t>
      </w:r>
      <w:r>
        <w:rPr/>
        <w:t>nature</w:t>
      </w:r>
      <w:r>
        <w:rPr>
          <w:spacing w:val="-19"/>
        </w:rPr>
        <w:t> </w:t>
      </w:r>
      <w:r>
        <w:rPr/>
        <w:t>(excluding</w:t>
      </w:r>
      <w:r>
        <w:rPr>
          <w:spacing w:val="-20"/>
        </w:rPr>
        <w:t> </w:t>
      </w:r>
      <w:r>
        <w:rPr/>
        <w:t>the</w:t>
      </w:r>
      <w:r>
        <w:rPr>
          <w:spacing w:val="-18"/>
        </w:rPr>
        <w:t> </w:t>
      </w:r>
      <w:r>
        <w:rPr/>
        <w:t>M3</w:t>
      </w:r>
      <w:r>
        <w:rPr>
          <w:spacing w:val="-19"/>
        </w:rPr>
        <w:t> </w:t>
      </w:r>
      <w:r>
        <w:rPr/>
        <w:t>block</w:t>
      </w:r>
      <w:r>
        <w:rPr>
          <w:spacing w:val="-19"/>
        </w:rPr>
        <w:t> </w:t>
      </w:r>
      <w:r>
        <w:rPr/>
        <w:t>which</w:t>
      </w:r>
      <w:r>
        <w:rPr>
          <w:spacing w:val="-18"/>
        </w:rPr>
        <w:t> </w:t>
      </w:r>
      <w:r>
        <w:rPr/>
        <w:t>is</w:t>
      </w:r>
      <w:r>
        <w:rPr>
          <w:spacing w:val="-20"/>
        </w:rPr>
        <w:t> </w:t>
      </w:r>
      <w:r>
        <w:rPr/>
        <w:t>being</w:t>
      </w:r>
      <w:r>
        <w:rPr>
          <w:spacing w:val="-18"/>
        </w:rPr>
        <w:t> </w:t>
      </w:r>
      <w:r>
        <w:rPr/>
        <w:t>developed</w:t>
      </w:r>
      <w:r>
        <w:rPr>
          <w:spacing w:val="-18"/>
        </w:rPr>
        <w:t> </w:t>
      </w:r>
      <w:r>
        <w:rPr/>
        <w:t>on</w:t>
      </w:r>
      <w:r>
        <w:rPr>
          <w:spacing w:val="-18"/>
        </w:rPr>
        <w:t> </w:t>
      </w:r>
      <w:r>
        <w:rPr/>
        <w:t>a</w:t>
      </w:r>
      <w:r>
        <w:rPr>
          <w:spacing w:val="-19"/>
        </w:rPr>
        <w:t> </w:t>
      </w:r>
      <w:r>
        <w:rPr/>
        <w:t>leasehold land</w:t>
      </w:r>
      <w:r>
        <w:rPr>
          <w:spacing w:val="-8"/>
        </w:rPr>
        <w:t> </w:t>
      </w:r>
      <w:r>
        <w:rPr/>
        <w:t>parcel</w:t>
      </w:r>
      <w:r>
        <w:rPr>
          <w:spacing w:val="-7"/>
        </w:rPr>
        <w:t> </w:t>
      </w:r>
      <w:r>
        <w:rPr/>
        <w:t>of</w:t>
      </w:r>
      <w:r>
        <w:rPr>
          <w:spacing w:val="-6"/>
        </w:rPr>
        <w:t> </w:t>
      </w:r>
      <w:r>
        <w:rPr/>
        <w:t>approx.</w:t>
      </w:r>
      <w:r>
        <w:rPr>
          <w:spacing w:val="-5"/>
        </w:rPr>
        <w:t> </w:t>
      </w:r>
      <w:r>
        <w:rPr/>
        <w:t>6.64</w:t>
      </w:r>
      <w:r>
        <w:rPr>
          <w:spacing w:val="-7"/>
        </w:rPr>
        <w:t> </w:t>
      </w:r>
      <w:r>
        <w:rPr/>
        <w:t>Acres,</w:t>
      </w:r>
      <w:r>
        <w:rPr>
          <w:spacing w:val="-8"/>
        </w:rPr>
        <w:t> </w:t>
      </w:r>
      <w:r>
        <w:rPr/>
        <w:t>with</w:t>
      </w:r>
      <w:r>
        <w:rPr>
          <w:spacing w:val="-8"/>
        </w:rPr>
        <w:t> </w:t>
      </w:r>
      <w:r>
        <w:rPr/>
        <w:t>remaining</w:t>
      </w:r>
      <w:r>
        <w:rPr>
          <w:spacing w:val="-7"/>
        </w:rPr>
        <w:t> </w:t>
      </w:r>
      <w:r>
        <w:rPr/>
        <w:t>lease</w:t>
      </w:r>
      <w:r>
        <w:rPr>
          <w:spacing w:val="-7"/>
        </w:rPr>
        <w:t> </w:t>
      </w:r>
      <w:r>
        <w:rPr/>
        <w:t>term</w:t>
      </w:r>
      <w:r>
        <w:rPr>
          <w:spacing w:val="-7"/>
        </w:rPr>
        <w:t> </w:t>
      </w:r>
      <w:r>
        <w:rPr/>
        <w:t>of</w:t>
      </w:r>
      <w:r>
        <w:rPr>
          <w:spacing w:val="-6"/>
        </w:rPr>
        <w:t> </w:t>
      </w:r>
      <w:r>
        <w:rPr/>
        <w:t>approx.</w:t>
      </w:r>
      <w:r>
        <w:rPr>
          <w:spacing w:val="-7"/>
        </w:rPr>
        <w:t> </w:t>
      </w:r>
      <w:r>
        <w:rPr/>
        <w:t>58</w:t>
      </w:r>
      <w:r>
        <w:rPr>
          <w:spacing w:val="-10"/>
        </w:rPr>
        <w:t> </w:t>
      </w:r>
      <w:r>
        <w:rPr/>
        <w:t>years).</w:t>
      </w:r>
    </w:p>
    <w:p>
      <w:pPr>
        <w:pStyle w:val="BodyText"/>
        <w:spacing w:before="10"/>
        <w:rPr>
          <w:sz w:val="20"/>
        </w:rPr>
      </w:pPr>
    </w:p>
    <w:p>
      <w:pPr>
        <w:pStyle w:val="BodyText"/>
        <w:spacing w:line="321" w:lineRule="auto"/>
        <w:ind w:left="666" w:right="116"/>
        <w:jc w:val="both"/>
      </w:pPr>
      <w:r>
        <w:rPr/>
        <w:t>Further,</w:t>
      </w:r>
      <w:r>
        <w:rPr>
          <w:spacing w:val="-26"/>
        </w:rPr>
        <w:t> </w:t>
      </w:r>
      <w:r>
        <w:rPr/>
        <w:t>this</w:t>
      </w:r>
      <w:r>
        <w:rPr>
          <w:spacing w:val="-24"/>
        </w:rPr>
        <w:t> </w:t>
      </w:r>
      <w:r>
        <w:rPr/>
        <w:t>appraisal</w:t>
      </w:r>
      <w:r>
        <w:rPr>
          <w:spacing w:val="-26"/>
        </w:rPr>
        <w:t> </w:t>
      </w:r>
      <w:r>
        <w:rPr/>
        <w:t>exercise</w:t>
      </w:r>
      <w:r>
        <w:rPr>
          <w:spacing w:val="-25"/>
        </w:rPr>
        <w:t> </w:t>
      </w:r>
      <w:r>
        <w:rPr/>
        <w:t>is</w:t>
      </w:r>
      <w:r>
        <w:rPr>
          <w:spacing w:val="-25"/>
        </w:rPr>
        <w:t> </w:t>
      </w:r>
      <w:r>
        <w:rPr/>
        <w:t>based</w:t>
      </w:r>
      <w:r>
        <w:rPr>
          <w:spacing w:val="-25"/>
        </w:rPr>
        <w:t> </w:t>
      </w:r>
      <w:r>
        <w:rPr/>
        <w:t>on</w:t>
      </w:r>
      <w:r>
        <w:rPr>
          <w:spacing w:val="-25"/>
        </w:rPr>
        <w:t> </w:t>
      </w:r>
      <w:r>
        <w:rPr/>
        <w:t>the</w:t>
      </w:r>
      <w:r>
        <w:rPr>
          <w:spacing w:val="-26"/>
        </w:rPr>
        <w:t> </w:t>
      </w:r>
      <w:r>
        <w:rPr/>
        <w:t>premise</w:t>
      </w:r>
      <w:r>
        <w:rPr>
          <w:spacing w:val="-25"/>
        </w:rPr>
        <w:t> </w:t>
      </w:r>
      <w:r>
        <w:rPr/>
        <w:t>that</w:t>
      </w:r>
      <w:r>
        <w:rPr>
          <w:spacing w:val="-25"/>
        </w:rPr>
        <w:t> </w:t>
      </w:r>
      <w:r>
        <w:rPr/>
        <w:t>the</w:t>
      </w:r>
      <w:r>
        <w:rPr>
          <w:spacing w:val="-26"/>
        </w:rPr>
        <w:t> </w:t>
      </w:r>
      <w:r>
        <w:rPr/>
        <w:t>subject</w:t>
      </w:r>
      <w:r>
        <w:rPr>
          <w:spacing w:val="-24"/>
        </w:rPr>
        <w:t> </w:t>
      </w:r>
      <w:r>
        <w:rPr/>
        <w:t>property</w:t>
      </w:r>
      <w:r>
        <w:rPr>
          <w:spacing w:val="-21"/>
        </w:rPr>
        <w:t> </w:t>
      </w:r>
      <w:r>
        <w:rPr/>
        <w:t>has</w:t>
      </w:r>
      <w:r>
        <w:rPr>
          <w:spacing w:val="-24"/>
        </w:rPr>
        <w:t> </w:t>
      </w:r>
      <w:r>
        <w:rPr/>
        <w:t>a</w:t>
      </w:r>
      <w:r>
        <w:rPr>
          <w:spacing w:val="-26"/>
        </w:rPr>
        <w:t> </w:t>
      </w:r>
      <w:r>
        <w:rPr/>
        <w:t>clear</w:t>
      </w:r>
      <w:r>
        <w:rPr>
          <w:spacing w:val="-25"/>
        </w:rPr>
        <w:t> </w:t>
      </w:r>
      <w:r>
        <w:rPr/>
        <w:t>title</w:t>
      </w:r>
      <w:r>
        <w:rPr>
          <w:spacing w:val="-25"/>
        </w:rPr>
        <w:t> </w:t>
      </w:r>
      <w:r>
        <w:rPr/>
        <w:t>and</w:t>
      </w:r>
      <w:r>
        <w:rPr>
          <w:spacing w:val="-25"/>
        </w:rPr>
        <w:t> </w:t>
      </w:r>
      <w:r>
        <w:rPr/>
        <w:t>is free from any encumbrances, disputes, claims, etc. Consultants have not made any inquiries in this regard with the relevant legal/ statutory</w:t>
      </w:r>
      <w:r>
        <w:rPr>
          <w:spacing w:val="-38"/>
        </w:rPr>
        <w:t> </w:t>
      </w:r>
      <w:r>
        <w:rPr/>
        <w:t>authorities.</w:t>
      </w:r>
    </w:p>
    <w:p>
      <w:pPr>
        <w:pStyle w:val="BodyText"/>
        <w:spacing w:before="8"/>
        <w:rPr>
          <w:sz w:val="20"/>
        </w:rPr>
      </w:pPr>
    </w:p>
    <w:p>
      <w:pPr>
        <w:pStyle w:val="ListParagraph"/>
        <w:numPr>
          <w:ilvl w:val="2"/>
          <w:numId w:val="14"/>
        </w:numPr>
        <w:tabs>
          <w:tab w:pos="821" w:val="left" w:leader="none"/>
        </w:tabs>
        <w:spacing w:line="240" w:lineRule="auto" w:before="0" w:after="0"/>
        <w:ind w:left="820" w:right="0" w:hanging="721"/>
        <w:jc w:val="left"/>
        <w:rPr>
          <w:sz w:val="22"/>
        </w:rPr>
      </w:pPr>
      <w:bookmarkStart w:name="_bookmark47" w:id="94"/>
      <w:bookmarkEnd w:id="94"/>
      <w:r>
        <w:rPr/>
      </w:r>
      <w:bookmarkStart w:name="_bookmark47" w:id="95"/>
      <w:bookmarkEnd w:id="95"/>
      <w:r>
        <w:rPr>
          <w:color w:val="1F664D"/>
          <w:w w:val="105"/>
          <w:sz w:val="22"/>
        </w:rPr>
        <w:t>Town</w:t>
      </w:r>
      <w:r>
        <w:rPr>
          <w:color w:val="1F664D"/>
          <w:spacing w:val="-4"/>
          <w:w w:val="105"/>
          <w:sz w:val="22"/>
        </w:rPr>
        <w:t> </w:t>
      </w:r>
      <w:r>
        <w:rPr>
          <w:color w:val="1F664D"/>
          <w:w w:val="105"/>
          <w:sz w:val="22"/>
        </w:rPr>
        <w:t>Planning</w:t>
      </w:r>
    </w:p>
    <w:p>
      <w:pPr>
        <w:pStyle w:val="BodyText"/>
        <w:tabs>
          <w:tab w:pos="2637" w:val="left" w:leader="none"/>
        </w:tabs>
        <w:spacing w:line="321" w:lineRule="auto" w:before="208"/>
        <w:ind w:left="2637" w:right="139" w:hanging="1873"/>
        <w:jc w:val="both"/>
      </w:pPr>
      <w:r>
        <w:rPr>
          <w:position w:val="12"/>
        </w:rPr>
        <w:t>Zoning</w:t>
        <w:tab/>
      </w:r>
      <w:r>
        <w:rPr/>
        <w:t>As</w:t>
      </w:r>
      <w:r>
        <w:rPr>
          <w:spacing w:val="-40"/>
        </w:rPr>
        <w:t> </w:t>
      </w:r>
      <w:r>
        <w:rPr/>
        <w:t>per</w:t>
      </w:r>
      <w:r>
        <w:rPr>
          <w:spacing w:val="-39"/>
        </w:rPr>
        <w:t> </w:t>
      </w:r>
      <w:r>
        <w:rPr/>
        <w:t>the</w:t>
      </w:r>
      <w:r>
        <w:rPr>
          <w:spacing w:val="-39"/>
        </w:rPr>
        <w:t> </w:t>
      </w:r>
      <w:r>
        <w:rPr/>
        <w:t>RMP</w:t>
      </w:r>
      <w:r>
        <w:rPr>
          <w:spacing w:val="-38"/>
        </w:rPr>
        <w:t> </w:t>
      </w:r>
      <w:r>
        <w:rPr/>
        <w:t>2015,</w:t>
      </w:r>
      <w:r>
        <w:rPr>
          <w:spacing w:val="-39"/>
        </w:rPr>
        <w:t> </w:t>
      </w:r>
      <w:r>
        <w:rPr/>
        <w:t>we</w:t>
      </w:r>
      <w:r>
        <w:rPr>
          <w:spacing w:val="-41"/>
        </w:rPr>
        <w:t> </w:t>
      </w:r>
      <w:r>
        <w:rPr/>
        <w:t>understand</w:t>
      </w:r>
      <w:r>
        <w:rPr>
          <w:spacing w:val="-39"/>
        </w:rPr>
        <w:t> </w:t>
      </w:r>
      <w:r>
        <w:rPr/>
        <w:t>that</w:t>
      </w:r>
      <w:r>
        <w:rPr>
          <w:spacing w:val="-39"/>
        </w:rPr>
        <w:t> </w:t>
      </w:r>
      <w:r>
        <w:rPr/>
        <w:t>the</w:t>
      </w:r>
      <w:r>
        <w:rPr>
          <w:spacing w:val="-40"/>
        </w:rPr>
        <w:t> </w:t>
      </w:r>
      <w:r>
        <w:rPr/>
        <w:t>subject</w:t>
      </w:r>
      <w:r>
        <w:rPr>
          <w:spacing w:val="-39"/>
        </w:rPr>
        <w:t> </w:t>
      </w:r>
      <w:r>
        <w:rPr/>
        <w:t>property</w:t>
      </w:r>
      <w:r>
        <w:rPr>
          <w:spacing w:val="-38"/>
        </w:rPr>
        <w:t> </w:t>
      </w:r>
      <w:r>
        <w:rPr/>
        <w:t>is</w:t>
      </w:r>
      <w:r>
        <w:rPr>
          <w:spacing w:val="-39"/>
        </w:rPr>
        <w:t> </w:t>
      </w:r>
      <w:r>
        <w:rPr/>
        <w:t>zoned</w:t>
      </w:r>
      <w:r>
        <w:rPr>
          <w:spacing w:val="-39"/>
        </w:rPr>
        <w:t> </w:t>
      </w:r>
      <w:r>
        <w:rPr/>
        <w:t>as</w:t>
      </w:r>
      <w:r>
        <w:rPr>
          <w:spacing w:val="-37"/>
        </w:rPr>
        <w:t> </w:t>
      </w:r>
      <w:r>
        <w:rPr/>
        <w:t>“Industrial Hi-Tech” for IT/ITeS (SEZ) and IT/ITeS (Non-SEZ) use. As per the Occupancy Certificates it is located within the jurisdiction of Karnataka Industrial Areas Development</w:t>
      </w:r>
      <w:r>
        <w:rPr>
          <w:spacing w:val="-25"/>
        </w:rPr>
        <w:t> </w:t>
      </w:r>
      <w:r>
        <w:rPr/>
        <w:t>Board</w:t>
      </w:r>
      <w:r>
        <w:rPr>
          <w:spacing w:val="-23"/>
        </w:rPr>
        <w:t> </w:t>
      </w:r>
      <w:r>
        <w:rPr/>
        <w:t>(KIADB).</w:t>
      </w:r>
      <w:r>
        <w:rPr>
          <w:spacing w:val="-25"/>
        </w:rPr>
        <w:t> </w:t>
      </w:r>
      <w:r>
        <w:rPr/>
        <w:t>The</w:t>
      </w:r>
      <w:r>
        <w:rPr>
          <w:spacing w:val="-25"/>
        </w:rPr>
        <w:t> </w:t>
      </w:r>
      <w:r>
        <w:rPr/>
        <w:t>same</w:t>
      </w:r>
      <w:r>
        <w:rPr>
          <w:spacing w:val="-25"/>
        </w:rPr>
        <w:t> </w:t>
      </w:r>
      <w:r>
        <w:rPr/>
        <w:t>has</w:t>
      </w:r>
      <w:r>
        <w:rPr>
          <w:spacing w:val="-25"/>
        </w:rPr>
        <w:t> </w:t>
      </w:r>
      <w:r>
        <w:rPr/>
        <w:t>been</w:t>
      </w:r>
      <w:r>
        <w:rPr>
          <w:spacing w:val="-25"/>
        </w:rPr>
        <w:t> </w:t>
      </w:r>
      <w:r>
        <w:rPr/>
        <w:t>considered</w:t>
      </w:r>
      <w:r>
        <w:rPr>
          <w:spacing w:val="-24"/>
        </w:rPr>
        <w:t> </w:t>
      </w:r>
      <w:r>
        <w:rPr/>
        <w:t>for</w:t>
      </w:r>
      <w:r>
        <w:rPr>
          <w:spacing w:val="-24"/>
        </w:rPr>
        <w:t> </w:t>
      </w:r>
      <w:r>
        <w:rPr/>
        <w:t>the</w:t>
      </w:r>
      <w:r>
        <w:rPr>
          <w:spacing w:val="-25"/>
        </w:rPr>
        <w:t> </w:t>
      </w:r>
      <w:r>
        <w:rPr/>
        <w:t>purpose</w:t>
      </w:r>
      <w:r>
        <w:rPr>
          <w:spacing w:val="-25"/>
        </w:rPr>
        <w:t> </w:t>
      </w:r>
      <w:r>
        <w:rPr/>
        <w:t>of</w:t>
      </w:r>
      <w:r>
        <w:rPr>
          <w:spacing w:val="-24"/>
        </w:rPr>
        <w:t> </w:t>
      </w:r>
      <w:r>
        <w:rPr/>
        <w:t>this appraisal.</w:t>
      </w:r>
      <w:r>
        <w:rPr>
          <w:spacing w:val="-21"/>
        </w:rPr>
        <w:t> </w:t>
      </w:r>
      <w:r>
        <w:rPr/>
        <w:t>Consultants</w:t>
      </w:r>
      <w:r>
        <w:rPr>
          <w:spacing w:val="-20"/>
        </w:rPr>
        <w:t> </w:t>
      </w:r>
      <w:r>
        <w:rPr/>
        <w:t>have</w:t>
      </w:r>
      <w:r>
        <w:rPr>
          <w:spacing w:val="-21"/>
        </w:rPr>
        <w:t> </w:t>
      </w:r>
      <w:r>
        <w:rPr/>
        <w:t>made</w:t>
      </w:r>
      <w:r>
        <w:rPr>
          <w:spacing w:val="-22"/>
        </w:rPr>
        <w:t> </w:t>
      </w:r>
      <w:r>
        <w:rPr/>
        <w:t>no</w:t>
      </w:r>
      <w:r>
        <w:rPr>
          <w:spacing w:val="-22"/>
        </w:rPr>
        <w:t> </w:t>
      </w:r>
      <w:r>
        <w:rPr/>
        <w:t>further</w:t>
      </w:r>
      <w:r>
        <w:rPr>
          <w:spacing w:val="-21"/>
        </w:rPr>
        <w:t> </w:t>
      </w:r>
      <w:r>
        <w:rPr/>
        <w:t>inquiries</w:t>
      </w:r>
      <w:r>
        <w:rPr>
          <w:spacing w:val="-21"/>
        </w:rPr>
        <w:t> </w:t>
      </w:r>
      <w:r>
        <w:rPr/>
        <w:t>with</w:t>
      </w:r>
      <w:r>
        <w:rPr>
          <w:spacing w:val="-22"/>
        </w:rPr>
        <w:t> </w:t>
      </w:r>
      <w:r>
        <w:rPr/>
        <w:t>the</w:t>
      </w:r>
      <w:r>
        <w:rPr>
          <w:spacing w:val="-22"/>
        </w:rPr>
        <w:t> </w:t>
      </w:r>
      <w:r>
        <w:rPr/>
        <w:t>local</w:t>
      </w:r>
      <w:r>
        <w:rPr>
          <w:spacing w:val="-21"/>
        </w:rPr>
        <w:t> </w:t>
      </w:r>
      <w:r>
        <w:rPr/>
        <w:t>authorities</w:t>
      </w:r>
      <w:r>
        <w:rPr>
          <w:spacing w:val="-21"/>
        </w:rPr>
        <w:t> </w:t>
      </w:r>
      <w:r>
        <w:rPr/>
        <w:t>in this</w:t>
      </w:r>
      <w:r>
        <w:rPr>
          <w:spacing w:val="-2"/>
        </w:rPr>
        <w:t> </w:t>
      </w:r>
      <w:r>
        <w:rPr/>
        <w:t>regard.</w:t>
      </w:r>
    </w:p>
    <w:p>
      <w:pPr>
        <w:pStyle w:val="BodyText"/>
        <w:spacing w:line="321" w:lineRule="auto" w:before="123"/>
        <w:ind w:left="2637" w:right="140"/>
        <w:jc w:val="both"/>
      </w:pPr>
      <w:r>
        <w:rPr/>
        <w:t>The</w:t>
      </w:r>
      <w:r>
        <w:rPr>
          <w:spacing w:val="-29"/>
        </w:rPr>
        <w:t> </w:t>
      </w:r>
      <w:r>
        <w:rPr/>
        <w:t>permissible</w:t>
      </w:r>
      <w:r>
        <w:rPr>
          <w:spacing w:val="-28"/>
        </w:rPr>
        <w:t> </w:t>
      </w:r>
      <w:r>
        <w:rPr/>
        <w:t>land</w:t>
      </w:r>
      <w:r>
        <w:rPr>
          <w:spacing w:val="-28"/>
        </w:rPr>
        <w:t> </w:t>
      </w:r>
      <w:r>
        <w:rPr/>
        <w:t>use</w:t>
      </w:r>
      <w:r>
        <w:rPr>
          <w:spacing w:val="-28"/>
        </w:rPr>
        <w:t> </w:t>
      </w:r>
      <w:r>
        <w:rPr/>
        <w:t>adopted</w:t>
      </w:r>
      <w:r>
        <w:rPr>
          <w:spacing w:val="-27"/>
        </w:rPr>
        <w:t> </w:t>
      </w:r>
      <w:r>
        <w:rPr/>
        <w:t>by</w:t>
      </w:r>
      <w:r>
        <w:rPr>
          <w:spacing w:val="-27"/>
        </w:rPr>
        <w:t> </w:t>
      </w:r>
      <w:r>
        <w:rPr/>
        <w:t>Consultants</w:t>
      </w:r>
      <w:r>
        <w:rPr>
          <w:spacing w:val="-26"/>
        </w:rPr>
        <w:t> </w:t>
      </w:r>
      <w:r>
        <w:rPr/>
        <w:t>for</w:t>
      </w:r>
      <w:r>
        <w:rPr>
          <w:spacing w:val="-28"/>
        </w:rPr>
        <w:t> </w:t>
      </w:r>
      <w:r>
        <w:rPr/>
        <w:t>the</w:t>
      </w:r>
      <w:r>
        <w:rPr>
          <w:spacing w:val="-28"/>
        </w:rPr>
        <w:t> </w:t>
      </w:r>
      <w:r>
        <w:rPr/>
        <w:t>subject</w:t>
      </w:r>
      <w:r>
        <w:rPr>
          <w:spacing w:val="-28"/>
        </w:rPr>
        <w:t> </w:t>
      </w:r>
      <w:r>
        <w:rPr/>
        <w:t>property</w:t>
      </w:r>
      <w:r>
        <w:rPr>
          <w:spacing w:val="-27"/>
        </w:rPr>
        <w:t> </w:t>
      </w:r>
      <w:r>
        <w:rPr/>
        <w:t>has</w:t>
      </w:r>
      <w:r>
        <w:rPr>
          <w:spacing w:val="-26"/>
        </w:rPr>
        <w:t> </w:t>
      </w:r>
      <w:r>
        <w:rPr/>
        <w:t>been based</w:t>
      </w:r>
      <w:r>
        <w:rPr>
          <w:spacing w:val="-23"/>
        </w:rPr>
        <w:t> </w:t>
      </w:r>
      <w:r>
        <w:rPr/>
        <w:t>on</w:t>
      </w:r>
      <w:r>
        <w:rPr>
          <w:spacing w:val="-25"/>
        </w:rPr>
        <w:t> </w:t>
      </w:r>
      <w:r>
        <w:rPr/>
        <w:t>information/review</w:t>
      </w:r>
      <w:r>
        <w:rPr>
          <w:spacing w:val="-24"/>
        </w:rPr>
        <w:t> </w:t>
      </w:r>
      <w:r>
        <w:rPr/>
        <w:t>of</w:t>
      </w:r>
      <w:r>
        <w:rPr>
          <w:spacing w:val="-23"/>
        </w:rPr>
        <w:t> </w:t>
      </w:r>
      <w:r>
        <w:rPr/>
        <w:t>various</w:t>
      </w:r>
      <w:r>
        <w:rPr>
          <w:spacing w:val="-24"/>
        </w:rPr>
        <w:t> </w:t>
      </w:r>
      <w:r>
        <w:rPr/>
        <w:t>documents</w:t>
      </w:r>
      <w:r>
        <w:rPr>
          <w:spacing w:val="-23"/>
        </w:rPr>
        <w:t> </w:t>
      </w:r>
      <w:r>
        <w:rPr/>
        <w:t>provided</w:t>
      </w:r>
      <w:r>
        <w:rPr>
          <w:spacing w:val="-23"/>
        </w:rPr>
        <w:t> </w:t>
      </w:r>
      <w:r>
        <w:rPr/>
        <w:t>by</w:t>
      </w:r>
      <w:r>
        <w:rPr>
          <w:spacing w:val="-24"/>
        </w:rPr>
        <w:t> </w:t>
      </w:r>
      <w:r>
        <w:rPr/>
        <w:t>the</w:t>
      </w:r>
      <w:r>
        <w:rPr>
          <w:spacing w:val="-24"/>
        </w:rPr>
        <w:t> </w:t>
      </w:r>
      <w:r>
        <w:rPr/>
        <w:t>Client.</w:t>
      </w:r>
      <w:r>
        <w:rPr>
          <w:spacing w:val="-25"/>
        </w:rPr>
        <w:t> </w:t>
      </w:r>
      <w:r>
        <w:rPr/>
        <w:t>It</w:t>
      </w:r>
      <w:r>
        <w:rPr>
          <w:spacing w:val="-23"/>
        </w:rPr>
        <w:t> </w:t>
      </w:r>
      <w:r>
        <w:rPr/>
        <w:t>must be</w:t>
      </w:r>
      <w:r>
        <w:rPr>
          <w:spacing w:val="-46"/>
        </w:rPr>
        <w:t> </w:t>
      </w:r>
      <w:r>
        <w:rPr/>
        <w:t>noted</w:t>
      </w:r>
      <w:r>
        <w:rPr>
          <w:spacing w:val="-45"/>
        </w:rPr>
        <w:t> </w:t>
      </w:r>
      <w:r>
        <w:rPr/>
        <w:t>that</w:t>
      </w:r>
      <w:r>
        <w:rPr>
          <w:spacing w:val="-45"/>
        </w:rPr>
        <w:t> </w:t>
      </w:r>
      <w:r>
        <w:rPr/>
        <w:t>all</w:t>
      </w:r>
      <w:r>
        <w:rPr>
          <w:spacing w:val="-45"/>
        </w:rPr>
        <w:t> </w:t>
      </w:r>
      <w:r>
        <w:rPr/>
        <w:t>factual</w:t>
      </w:r>
      <w:r>
        <w:rPr>
          <w:spacing w:val="-46"/>
        </w:rPr>
        <w:t> </w:t>
      </w:r>
      <w:r>
        <w:rPr/>
        <w:t>data</w:t>
      </w:r>
      <w:r>
        <w:rPr>
          <w:spacing w:val="-45"/>
        </w:rPr>
        <w:t> </w:t>
      </w:r>
      <w:r>
        <w:rPr/>
        <w:t>viz.</w:t>
      </w:r>
      <w:r>
        <w:rPr>
          <w:spacing w:val="-45"/>
        </w:rPr>
        <w:t> </w:t>
      </w:r>
      <w:r>
        <w:rPr/>
        <w:t>permissible</w:t>
      </w:r>
      <w:r>
        <w:rPr>
          <w:spacing w:val="-46"/>
        </w:rPr>
        <w:t> </w:t>
      </w:r>
      <w:r>
        <w:rPr/>
        <w:t>development</w:t>
      </w:r>
      <w:r>
        <w:rPr>
          <w:spacing w:val="-45"/>
        </w:rPr>
        <w:t> </w:t>
      </w:r>
      <w:r>
        <w:rPr/>
        <w:t>control</w:t>
      </w:r>
      <w:r>
        <w:rPr>
          <w:spacing w:val="-46"/>
        </w:rPr>
        <w:t> </w:t>
      </w:r>
      <w:r>
        <w:rPr/>
        <w:t>regulations,</w:t>
      </w:r>
      <w:r>
        <w:rPr>
          <w:spacing w:val="-45"/>
        </w:rPr>
        <w:t> </w:t>
      </w:r>
      <w:r>
        <w:rPr/>
        <w:t>land area and achievable FSI have also been based on information/review of</w:t>
      </w:r>
      <w:r>
        <w:rPr>
          <w:spacing w:val="46"/>
        </w:rPr>
        <w:t> </w:t>
      </w:r>
      <w:r>
        <w:rPr/>
        <w:t>various</w:t>
      </w:r>
    </w:p>
    <w:p>
      <w:pPr>
        <w:spacing w:after="0" w:line="321" w:lineRule="auto"/>
        <w:jc w:val="both"/>
        <w:sectPr>
          <w:headerReference w:type="default" r:id="rId69"/>
          <w:footerReference w:type="default" r:id="rId70"/>
          <w:pgSz w:w="11910" w:h="16840"/>
          <w:pgMar w:header="720" w:footer="842" w:top="1660" w:bottom="1040" w:left="620" w:right="600"/>
          <w:pgNumType w:start="77"/>
        </w:sectPr>
      </w:pPr>
    </w:p>
    <w:p>
      <w:pPr>
        <w:pStyle w:val="BodyText"/>
        <w:spacing w:before="7"/>
        <w:rPr>
          <w:sz w:val="9"/>
        </w:rPr>
      </w:pPr>
    </w:p>
    <w:p>
      <w:pPr>
        <w:spacing w:after="0"/>
        <w:rPr>
          <w:sz w:val="9"/>
        </w:rPr>
        <w:sectPr>
          <w:pgSz w:w="11910" w:h="16840"/>
          <w:pgMar w:header="720" w:footer="842" w:top="1660" w:bottom="1040" w:left="620" w:right="60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6"/>
        <w:rPr>
          <w:sz w:val="28"/>
        </w:rPr>
      </w:pPr>
    </w:p>
    <w:p>
      <w:pPr>
        <w:pStyle w:val="BodyText"/>
        <w:spacing w:line="324" w:lineRule="auto"/>
        <w:ind w:left="765" w:right="22"/>
      </w:pPr>
      <w:r>
        <w:rPr/>
        <w:t>Approved Usage:</w:t>
      </w:r>
    </w:p>
    <w:p>
      <w:pPr>
        <w:pStyle w:val="BodyText"/>
        <w:spacing w:line="321" w:lineRule="auto" w:before="106"/>
        <w:ind w:left="765" w:right="144"/>
        <w:jc w:val="both"/>
      </w:pPr>
      <w:r>
        <w:rPr/>
        <w:br w:type="column"/>
      </w:r>
      <w:r>
        <w:rPr/>
        <w:t>documents</w:t>
      </w:r>
      <w:r>
        <w:rPr>
          <w:spacing w:val="-32"/>
        </w:rPr>
        <w:t> </w:t>
      </w:r>
      <w:r>
        <w:rPr/>
        <w:t>(such</w:t>
      </w:r>
      <w:r>
        <w:rPr>
          <w:spacing w:val="-30"/>
        </w:rPr>
        <w:t> </w:t>
      </w:r>
      <w:r>
        <w:rPr/>
        <w:t>as</w:t>
      </w:r>
      <w:r>
        <w:rPr>
          <w:spacing w:val="-31"/>
        </w:rPr>
        <w:t> </w:t>
      </w:r>
      <w:r>
        <w:rPr/>
        <w:t>title</w:t>
      </w:r>
      <w:r>
        <w:rPr>
          <w:spacing w:val="-32"/>
        </w:rPr>
        <w:t> </w:t>
      </w:r>
      <w:r>
        <w:rPr/>
        <w:t>deed,</w:t>
      </w:r>
      <w:r>
        <w:rPr>
          <w:spacing w:val="-32"/>
        </w:rPr>
        <w:t> </w:t>
      </w:r>
      <w:r>
        <w:rPr/>
        <w:t>plan</w:t>
      </w:r>
      <w:r>
        <w:rPr>
          <w:spacing w:val="-31"/>
        </w:rPr>
        <w:t> </w:t>
      </w:r>
      <w:r>
        <w:rPr/>
        <w:t>sanction</w:t>
      </w:r>
      <w:r>
        <w:rPr>
          <w:spacing w:val="-31"/>
        </w:rPr>
        <w:t> </w:t>
      </w:r>
      <w:r>
        <w:rPr/>
        <w:t>letter,</w:t>
      </w:r>
      <w:r>
        <w:rPr>
          <w:spacing w:val="-31"/>
        </w:rPr>
        <w:t> </w:t>
      </w:r>
      <w:r>
        <w:rPr/>
        <w:t>site</w:t>
      </w:r>
      <w:r>
        <w:rPr>
          <w:spacing w:val="-32"/>
        </w:rPr>
        <w:t> </w:t>
      </w:r>
      <w:r>
        <w:rPr/>
        <w:t>plan,</w:t>
      </w:r>
      <w:r>
        <w:rPr>
          <w:spacing w:val="-31"/>
        </w:rPr>
        <w:t> </w:t>
      </w:r>
      <w:r>
        <w:rPr/>
        <w:t>etc.)</w:t>
      </w:r>
      <w:r>
        <w:rPr>
          <w:spacing w:val="-31"/>
        </w:rPr>
        <w:t> </w:t>
      </w:r>
      <w:r>
        <w:rPr/>
        <w:t>provided</w:t>
      </w:r>
      <w:r>
        <w:rPr>
          <w:spacing w:val="-31"/>
        </w:rPr>
        <w:t> </w:t>
      </w:r>
      <w:r>
        <w:rPr/>
        <w:t>by</w:t>
      </w:r>
      <w:r>
        <w:rPr>
          <w:spacing w:val="-30"/>
        </w:rPr>
        <w:t> </w:t>
      </w:r>
      <w:r>
        <w:rPr/>
        <w:t>the Client or assumed based on building regulations, and no physical verification/ measurement</w:t>
      </w:r>
      <w:r>
        <w:rPr>
          <w:spacing w:val="-19"/>
        </w:rPr>
        <w:t> </w:t>
      </w:r>
      <w:r>
        <w:rPr/>
        <w:t>has</w:t>
      </w:r>
      <w:r>
        <w:rPr>
          <w:spacing w:val="-18"/>
        </w:rPr>
        <w:t> </w:t>
      </w:r>
      <w:r>
        <w:rPr/>
        <w:t>been</w:t>
      </w:r>
      <w:r>
        <w:rPr>
          <w:spacing w:val="-20"/>
        </w:rPr>
        <w:t> </w:t>
      </w:r>
      <w:r>
        <w:rPr/>
        <w:t>undertaken</w:t>
      </w:r>
      <w:r>
        <w:rPr>
          <w:spacing w:val="-19"/>
        </w:rPr>
        <w:t> </w:t>
      </w:r>
      <w:r>
        <w:rPr/>
        <w:t>for</w:t>
      </w:r>
      <w:r>
        <w:rPr>
          <w:spacing w:val="-19"/>
        </w:rPr>
        <w:t> </w:t>
      </w:r>
      <w:r>
        <w:rPr/>
        <w:t>the</w:t>
      </w:r>
      <w:r>
        <w:rPr>
          <w:spacing w:val="-19"/>
        </w:rPr>
        <w:t> </w:t>
      </w:r>
      <w:r>
        <w:rPr/>
        <w:t>purpose</w:t>
      </w:r>
      <w:r>
        <w:rPr>
          <w:spacing w:val="-19"/>
        </w:rPr>
        <w:t> </w:t>
      </w:r>
      <w:r>
        <w:rPr/>
        <w:t>of</w:t>
      </w:r>
      <w:r>
        <w:rPr>
          <w:spacing w:val="-18"/>
        </w:rPr>
        <w:t> </w:t>
      </w:r>
      <w:r>
        <w:rPr/>
        <w:t>this</w:t>
      </w:r>
      <w:r>
        <w:rPr>
          <w:spacing w:val="-18"/>
        </w:rPr>
        <w:t> </w:t>
      </w:r>
      <w:r>
        <w:rPr/>
        <w:t>valuation</w:t>
      </w:r>
      <w:r>
        <w:rPr>
          <w:spacing w:val="-19"/>
        </w:rPr>
        <w:t> </w:t>
      </w:r>
      <w:r>
        <w:rPr/>
        <w:t>exercise.</w:t>
      </w:r>
    </w:p>
    <w:p>
      <w:pPr>
        <w:pStyle w:val="BodyText"/>
        <w:spacing w:before="121"/>
        <w:ind w:left="846"/>
        <w:jc w:val="both"/>
      </w:pPr>
      <w:r>
        <w:rPr/>
        <w:t>For</w:t>
      </w:r>
      <w:r>
        <w:rPr>
          <w:spacing w:val="-42"/>
        </w:rPr>
        <w:t> </w:t>
      </w:r>
      <w:r>
        <w:rPr/>
        <w:t>the</w:t>
      </w:r>
      <w:r>
        <w:rPr>
          <w:spacing w:val="-41"/>
        </w:rPr>
        <w:t> </w:t>
      </w:r>
      <w:r>
        <w:rPr/>
        <w:t>purpose</w:t>
      </w:r>
      <w:r>
        <w:rPr>
          <w:spacing w:val="-41"/>
        </w:rPr>
        <w:t> </w:t>
      </w:r>
      <w:r>
        <w:rPr/>
        <w:t>of</w:t>
      </w:r>
      <w:r>
        <w:rPr>
          <w:spacing w:val="-42"/>
        </w:rPr>
        <w:t> </w:t>
      </w:r>
      <w:r>
        <w:rPr/>
        <w:t>this</w:t>
      </w:r>
      <w:r>
        <w:rPr>
          <w:spacing w:val="-40"/>
        </w:rPr>
        <w:t> </w:t>
      </w:r>
      <w:r>
        <w:rPr/>
        <w:t>exercise,</w:t>
      </w:r>
      <w:r>
        <w:rPr>
          <w:spacing w:val="-41"/>
        </w:rPr>
        <w:t> </w:t>
      </w:r>
      <w:r>
        <w:rPr/>
        <w:t>it</w:t>
      </w:r>
      <w:r>
        <w:rPr>
          <w:spacing w:val="-41"/>
        </w:rPr>
        <w:t> </w:t>
      </w:r>
      <w:r>
        <w:rPr/>
        <w:t>has</w:t>
      </w:r>
      <w:r>
        <w:rPr>
          <w:spacing w:val="-40"/>
        </w:rPr>
        <w:t> </w:t>
      </w:r>
      <w:r>
        <w:rPr/>
        <w:t>been</w:t>
      </w:r>
      <w:r>
        <w:rPr>
          <w:spacing w:val="-42"/>
        </w:rPr>
        <w:t> </w:t>
      </w:r>
      <w:r>
        <w:rPr/>
        <w:t>assumed</w:t>
      </w:r>
      <w:r>
        <w:rPr>
          <w:spacing w:val="-40"/>
        </w:rPr>
        <w:t> </w:t>
      </w:r>
      <w:r>
        <w:rPr/>
        <w:t>that</w:t>
      </w:r>
      <w:r>
        <w:rPr>
          <w:spacing w:val="-41"/>
        </w:rPr>
        <w:t> </w:t>
      </w:r>
      <w:r>
        <w:rPr/>
        <w:t>all</w:t>
      </w:r>
      <w:r>
        <w:rPr>
          <w:spacing w:val="-42"/>
        </w:rPr>
        <w:t> </w:t>
      </w:r>
      <w:r>
        <w:rPr/>
        <w:t>developments</w:t>
      </w:r>
      <w:r>
        <w:rPr>
          <w:spacing w:val="-41"/>
        </w:rPr>
        <w:t> </w:t>
      </w:r>
      <w:r>
        <w:rPr/>
        <w:t>(existing</w:t>
      </w:r>
    </w:p>
    <w:p>
      <w:pPr>
        <w:pStyle w:val="BodyText"/>
        <w:spacing w:line="321" w:lineRule="auto" w:before="87"/>
        <w:ind w:left="846" w:right="140"/>
        <w:jc w:val="both"/>
      </w:pPr>
      <w:r>
        <w:rPr/>
        <w:t>/</w:t>
      </w:r>
      <w:r>
        <w:rPr>
          <w:spacing w:val="-17"/>
        </w:rPr>
        <w:t> </w:t>
      </w:r>
      <w:r>
        <w:rPr/>
        <w:t>under</w:t>
      </w:r>
      <w:r>
        <w:rPr>
          <w:spacing w:val="-17"/>
        </w:rPr>
        <w:t> </w:t>
      </w:r>
      <w:r>
        <w:rPr/>
        <w:t>construction</w:t>
      </w:r>
      <w:r>
        <w:rPr>
          <w:spacing w:val="-17"/>
        </w:rPr>
        <w:t> </w:t>
      </w:r>
      <w:r>
        <w:rPr/>
        <w:t>/</w:t>
      </w:r>
      <w:r>
        <w:rPr>
          <w:spacing w:val="-15"/>
        </w:rPr>
        <w:t> </w:t>
      </w:r>
      <w:r>
        <w:rPr/>
        <w:t>proposed)</w:t>
      </w:r>
      <w:r>
        <w:rPr>
          <w:spacing w:val="-16"/>
        </w:rPr>
        <w:t> </w:t>
      </w:r>
      <w:r>
        <w:rPr/>
        <w:t>adhere</w:t>
      </w:r>
      <w:r>
        <w:rPr>
          <w:spacing w:val="-17"/>
        </w:rPr>
        <w:t> </w:t>
      </w:r>
      <w:r>
        <w:rPr/>
        <w:t>to</w:t>
      </w:r>
      <w:r>
        <w:rPr>
          <w:spacing w:val="-16"/>
        </w:rPr>
        <w:t> </w:t>
      </w:r>
      <w:r>
        <w:rPr/>
        <w:t>building</w:t>
      </w:r>
      <w:r>
        <w:rPr>
          <w:spacing w:val="-16"/>
        </w:rPr>
        <w:t> </w:t>
      </w:r>
      <w:r>
        <w:rPr/>
        <w:t>regulations</w:t>
      </w:r>
      <w:r>
        <w:rPr>
          <w:spacing w:val="-16"/>
        </w:rPr>
        <w:t> </w:t>
      </w:r>
      <w:r>
        <w:rPr/>
        <w:t>as</w:t>
      </w:r>
      <w:r>
        <w:rPr>
          <w:spacing w:val="-16"/>
        </w:rPr>
        <w:t> </w:t>
      </w:r>
      <w:r>
        <w:rPr/>
        <w:t>prescribed</w:t>
      </w:r>
      <w:r>
        <w:rPr>
          <w:spacing w:val="-16"/>
        </w:rPr>
        <w:t> </w:t>
      </w:r>
      <w:r>
        <w:rPr/>
        <w:t>by the</w:t>
      </w:r>
      <w:r>
        <w:rPr>
          <w:spacing w:val="-32"/>
        </w:rPr>
        <w:t> </w:t>
      </w:r>
      <w:r>
        <w:rPr/>
        <w:t>relevant</w:t>
      </w:r>
      <w:r>
        <w:rPr>
          <w:spacing w:val="-30"/>
        </w:rPr>
        <w:t> </w:t>
      </w:r>
      <w:r>
        <w:rPr/>
        <w:t>authorities.</w:t>
      </w:r>
      <w:r>
        <w:rPr>
          <w:spacing w:val="-29"/>
        </w:rPr>
        <w:t> </w:t>
      </w:r>
      <w:r>
        <w:rPr/>
        <w:t>Consultants</w:t>
      </w:r>
      <w:r>
        <w:rPr>
          <w:spacing w:val="-30"/>
        </w:rPr>
        <w:t> </w:t>
      </w:r>
      <w:r>
        <w:rPr/>
        <w:t>have</w:t>
      </w:r>
      <w:r>
        <w:rPr>
          <w:spacing w:val="-31"/>
        </w:rPr>
        <w:t> </w:t>
      </w:r>
      <w:r>
        <w:rPr/>
        <w:t>not</w:t>
      </w:r>
      <w:r>
        <w:rPr>
          <w:spacing w:val="-31"/>
        </w:rPr>
        <w:t> </w:t>
      </w:r>
      <w:r>
        <w:rPr/>
        <w:t>validated</w:t>
      </w:r>
      <w:r>
        <w:rPr>
          <w:spacing w:val="-30"/>
        </w:rPr>
        <w:t> </w:t>
      </w:r>
      <w:r>
        <w:rPr/>
        <w:t>the</w:t>
      </w:r>
      <w:r>
        <w:rPr>
          <w:spacing w:val="-31"/>
        </w:rPr>
        <w:t> </w:t>
      </w:r>
      <w:r>
        <w:rPr/>
        <w:t>information</w:t>
      </w:r>
      <w:r>
        <w:rPr>
          <w:spacing w:val="-32"/>
        </w:rPr>
        <w:t> </w:t>
      </w:r>
      <w:r>
        <w:rPr/>
        <w:t>provided by</w:t>
      </w:r>
      <w:r>
        <w:rPr>
          <w:spacing w:val="-9"/>
        </w:rPr>
        <w:t> </w:t>
      </w:r>
      <w:r>
        <w:rPr/>
        <w:t>the</w:t>
      </w:r>
      <w:r>
        <w:rPr>
          <w:spacing w:val="-13"/>
        </w:rPr>
        <w:t> </w:t>
      </w:r>
      <w:r>
        <w:rPr/>
        <w:t>Client</w:t>
      </w:r>
      <w:r>
        <w:rPr>
          <w:spacing w:val="-10"/>
        </w:rPr>
        <w:t> </w:t>
      </w:r>
      <w:r>
        <w:rPr/>
        <w:t>with</w:t>
      </w:r>
      <w:r>
        <w:rPr>
          <w:spacing w:val="-10"/>
        </w:rPr>
        <w:t> </w:t>
      </w:r>
      <w:r>
        <w:rPr/>
        <w:t>the</w:t>
      </w:r>
      <w:r>
        <w:rPr>
          <w:spacing w:val="-10"/>
        </w:rPr>
        <w:t> </w:t>
      </w:r>
      <w:r>
        <w:rPr/>
        <w:t>relevant</w:t>
      </w:r>
      <w:r>
        <w:rPr>
          <w:spacing w:val="-9"/>
        </w:rPr>
        <w:t> </w:t>
      </w:r>
      <w:r>
        <w:rPr/>
        <w:t>development</w:t>
      </w:r>
      <w:r>
        <w:rPr>
          <w:spacing w:val="-10"/>
        </w:rPr>
        <w:t> </w:t>
      </w:r>
      <w:r>
        <w:rPr/>
        <w:t>authorities.</w:t>
      </w:r>
    </w:p>
    <w:p>
      <w:pPr>
        <w:pStyle w:val="BodyText"/>
        <w:spacing w:line="321" w:lineRule="auto" w:before="123"/>
        <w:ind w:left="846" w:right="139"/>
        <w:jc w:val="both"/>
      </w:pPr>
      <w:r>
        <w:rPr/>
        <w:t>Based on Occupancy Certificates provided by the Client and visual inspection during</w:t>
      </w:r>
      <w:r>
        <w:rPr>
          <w:spacing w:val="-33"/>
        </w:rPr>
        <w:t> </w:t>
      </w:r>
      <w:r>
        <w:rPr/>
        <w:t>our</w:t>
      </w:r>
      <w:r>
        <w:rPr>
          <w:spacing w:val="-33"/>
        </w:rPr>
        <w:t> </w:t>
      </w:r>
      <w:r>
        <w:rPr/>
        <w:t>site</w:t>
      </w:r>
      <w:r>
        <w:rPr>
          <w:spacing w:val="-34"/>
        </w:rPr>
        <w:t> </w:t>
      </w:r>
      <w:r>
        <w:rPr/>
        <w:t>visit,</w:t>
      </w:r>
      <w:r>
        <w:rPr>
          <w:spacing w:val="-33"/>
        </w:rPr>
        <w:t> </w:t>
      </w:r>
      <w:r>
        <w:rPr/>
        <w:t>we</w:t>
      </w:r>
      <w:r>
        <w:rPr>
          <w:spacing w:val="-34"/>
        </w:rPr>
        <w:t> </w:t>
      </w:r>
      <w:r>
        <w:rPr/>
        <w:t>understand</w:t>
      </w:r>
      <w:r>
        <w:rPr>
          <w:spacing w:val="-33"/>
        </w:rPr>
        <w:t> </w:t>
      </w:r>
      <w:r>
        <w:rPr/>
        <w:t>that</w:t>
      </w:r>
      <w:r>
        <w:rPr>
          <w:spacing w:val="-33"/>
        </w:rPr>
        <w:t> </w:t>
      </w:r>
      <w:r>
        <w:rPr/>
        <w:t>the</w:t>
      </w:r>
      <w:r>
        <w:rPr>
          <w:spacing w:val="-34"/>
        </w:rPr>
        <w:t> </w:t>
      </w:r>
      <w:r>
        <w:rPr/>
        <w:t>subject</w:t>
      </w:r>
      <w:r>
        <w:rPr>
          <w:spacing w:val="-33"/>
        </w:rPr>
        <w:t> </w:t>
      </w:r>
      <w:r>
        <w:rPr/>
        <w:t>property</w:t>
      </w:r>
      <w:r>
        <w:rPr>
          <w:spacing w:val="-32"/>
        </w:rPr>
        <w:t> </w:t>
      </w:r>
      <w:r>
        <w:rPr/>
        <w:t>is</w:t>
      </w:r>
      <w:r>
        <w:rPr>
          <w:spacing w:val="-33"/>
        </w:rPr>
        <w:t> </w:t>
      </w:r>
      <w:r>
        <w:rPr/>
        <w:t>an</w:t>
      </w:r>
      <w:r>
        <w:rPr>
          <w:spacing w:val="-33"/>
        </w:rPr>
        <w:t> </w:t>
      </w:r>
      <w:r>
        <w:rPr/>
        <w:t>Office</w:t>
      </w:r>
      <w:r>
        <w:rPr>
          <w:spacing w:val="-33"/>
        </w:rPr>
        <w:t> </w:t>
      </w:r>
      <w:r>
        <w:rPr/>
        <w:t>Park</w:t>
      </w:r>
      <w:r>
        <w:rPr>
          <w:spacing w:val="-34"/>
        </w:rPr>
        <w:t> </w:t>
      </w:r>
      <w:r>
        <w:rPr/>
        <w:t>(SEZ &amp;</w:t>
      </w:r>
      <w:r>
        <w:rPr>
          <w:spacing w:val="-8"/>
        </w:rPr>
        <w:t> </w:t>
      </w:r>
      <w:r>
        <w:rPr/>
        <w:t>Non-SEZ),</w:t>
      </w:r>
      <w:r>
        <w:rPr>
          <w:spacing w:val="-9"/>
        </w:rPr>
        <w:t> </w:t>
      </w:r>
      <w:r>
        <w:rPr/>
        <w:t>comprising</w:t>
      </w:r>
      <w:r>
        <w:rPr>
          <w:spacing w:val="-10"/>
        </w:rPr>
        <w:t> </w:t>
      </w:r>
      <w:r>
        <w:rPr/>
        <w:t>of</w:t>
      </w:r>
      <w:r>
        <w:rPr>
          <w:spacing w:val="-8"/>
        </w:rPr>
        <w:t> </w:t>
      </w:r>
      <w:r>
        <w:rPr/>
        <w:t>27</w:t>
      </w:r>
      <w:r>
        <w:rPr>
          <w:spacing w:val="-9"/>
        </w:rPr>
        <w:t> </w:t>
      </w:r>
      <w:r>
        <w:rPr/>
        <w:t>operational</w:t>
      </w:r>
      <w:r>
        <w:rPr>
          <w:spacing w:val="-9"/>
        </w:rPr>
        <w:t> </w:t>
      </w:r>
      <w:r>
        <w:rPr/>
        <w:t>blocks.</w:t>
      </w:r>
      <w:r>
        <w:rPr>
          <w:spacing w:val="-9"/>
        </w:rPr>
        <w:t> </w:t>
      </w:r>
      <w:r>
        <w:rPr/>
        <w:t>The</w:t>
      </w:r>
      <w:r>
        <w:rPr>
          <w:spacing w:val="-10"/>
        </w:rPr>
        <w:t> </w:t>
      </w:r>
      <w:r>
        <w:rPr/>
        <w:t>current</w:t>
      </w:r>
      <w:r>
        <w:rPr>
          <w:spacing w:val="-9"/>
        </w:rPr>
        <w:t> </w:t>
      </w:r>
      <w:r>
        <w:rPr/>
        <w:t>use</w:t>
      </w:r>
      <w:r>
        <w:rPr>
          <w:spacing w:val="-9"/>
        </w:rPr>
        <w:t> </w:t>
      </w:r>
      <w:r>
        <w:rPr/>
        <w:t>of</w:t>
      </w:r>
      <w:r>
        <w:rPr>
          <w:spacing w:val="-8"/>
        </w:rPr>
        <w:t> </w:t>
      </w:r>
      <w:r>
        <w:rPr/>
        <w:t>the</w:t>
      </w:r>
      <w:r>
        <w:rPr>
          <w:spacing w:val="-11"/>
        </w:rPr>
        <w:t> </w:t>
      </w:r>
      <w:r>
        <w:rPr/>
        <w:t>subject property has been provided by the Client and is broadly in agreement with the rules</w:t>
      </w:r>
      <w:r>
        <w:rPr>
          <w:spacing w:val="-27"/>
        </w:rPr>
        <w:t> </w:t>
      </w:r>
      <w:r>
        <w:rPr/>
        <w:t>and</w:t>
      </w:r>
      <w:r>
        <w:rPr>
          <w:spacing w:val="-27"/>
        </w:rPr>
        <w:t> </w:t>
      </w:r>
      <w:r>
        <w:rPr/>
        <w:t>regulations</w:t>
      </w:r>
      <w:r>
        <w:rPr>
          <w:spacing w:val="-28"/>
        </w:rPr>
        <w:t> </w:t>
      </w:r>
      <w:r>
        <w:rPr/>
        <w:t>as</w:t>
      </w:r>
      <w:r>
        <w:rPr>
          <w:spacing w:val="-28"/>
        </w:rPr>
        <w:t> </w:t>
      </w:r>
      <w:r>
        <w:rPr/>
        <w:t>prescribed</w:t>
      </w:r>
      <w:r>
        <w:rPr>
          <w:spacing w:val="-28"/>
        </w:rPr>
        <w:t> </w:t>
      </w:r>
      <w:r>
        <w:rPr/>
        <w:t>by</w:t>
      </w:r>
      <w:r>
        <w:rPr>
          <w:spacing w:val="-26"/>
        </w:rPr>
        <w:t> </w:t>
      </w:r>
      <w:r>
        <w:rPr/>
        <w:t>the</w:t>
      </w:r>
      <w:r>
        <w:rPr>
          <w:spacing w:val="-29"/>
        </w:rPr>
        <w:t> </w:t>
      </w:r>
      <w:r>
        <w:rPr/>
        <w:t>local</w:t>
      </w:r>
      <w:r>
        <w:rPr>
          <w:spacing w:val="-27"/>
        </w:rPr>
        <w:t> </w:t>
      </w:r>
      <w:r>
        <w:rPr/>
        <w:t>development</w:t>
      </w:r>
      <w:r>
        <w:rPr>
          <w:spacing w:val="-27"/>
        </w:rPr>
        <w:t> </w:t>
      </w:r>
      <w:r>
        <w:rPr/>
        <w:t>authority.</w:t>
      </w:r>
      <w:r>
        <w:rPr>
          <w:spacing w:val="-27"/>
        </w:rPr>
        <w:t> </w:t>
      </w:r>
      <w:r>
        <w:rPr/>
        <w:t>However, Consultants has not made any enquiries with the relevant local authorities to validate</w:t>
      </w:r>
      <w:r>
        <w:rPr>
          <w:spacing w:val="-18"/>
        </w:rPr>
        <w:t> </w:t>
      </w:r>
      <w:r>
        <w:rPr/>
        <w:t>the</w:t>
      </w:r>
      <w:r>
        <w:rPr>
          <w:spacing w:val="-18"/>
        </w:rPr>
        <w:t> </w:t>
      </w:r>
      <w:r>
        <w:rPr/>
        <w:t>same</w:t>
      </w:r>
      <w:r>
        <w:rPr>
          <w:spacing w:val="-17"/>
        </w:rPr>
        <w:t> </w:t>
      </w:r>
      <w:r>
        <w:rPr/>
        <w:t>for</w:t>
      </w:r>
      <w:r>
        <w:rPr>
          <w:spacing w:val="-19"/>
        </w:rPr>
        <w:t> </w:t>
      </w:r>
      <w:r>
        <w:rPr/>
        <w:t>its</w:t>
      </w:r>
      <w:r>
        <w:rPr>
          <w:spacing w:val="-18"/>
        </w:rPr>
        <w:t> </w:t>
      </w:r>
      <w:r>
        <w:rPr/>
        <w:t>specific</w:t>
      </w:r>
      <w:r>
        <w:rPr>
          <w:spacing w:val="-18"/>
        </w:rPr>
        <w:t> </w:t>
      </w:r>
      <w:r>
        <w:rPr/>
        <w:t>applicability</w:t>
      </w:r>
      <w:r>
        <w:rPr>
          <w:spacing w:val="-19"/>
        </w:rPr>
        <w:t> </w:t>
      </w:r>
      <w:r>
        <w:rPr/>
        <w:t>to</w:t>
      </w:r>
      <w:r>
        <w:rPr>
          <w:spacing w:val="-17"/>
        </w:rPr>
        <w:t> </w:t>
      </w:r>
      <w:r>
        <w:rPr/>
        <w:t>the</w:t>
      </w:r>
      <w:r>
        <w:rPr>
          <w:spacing w:val="-18"/>
        </w:rPr>
        <w:t> </w:t>
      </w:r>
      <w:r>
        <w:rPr/>
        <w:t>subject</w:t>
      </w:r>
      <w:r>
        <w:rPr>
          <w:spacing w:val="-17"/>
        </w:rPr>
        <w:t> </w:t>
      </w:r>
      <w:r>
        <w:rPr/>
        <w:t>property.</w:t>
      </w:r>
    </w:p>
    <w:p>
      <w:pPr>
        <w:spacing w:after="0" w:line="321" w:lineRule="auto"/>
        <w:jc w:val="both"/>
        <w:sectPr>
          <w:type w:val="continuous"/>
          <w:pgSz w:w="11910" w:h="16840"/>
          <w:pgMar w:top="800" w:bottom="280" w:left="620" w:right="600"/>
          <w:cols w:num="2" w:equalWidth="0">
            <w:col w:w="1736" w:space="137"/>
            <w:col w:w="8817"/>
          </w:cols>
        </w:sectPr>
      </w:pPr>
    </w:p>
    <w:p>
      <w:pPr>
        <w:pStyle w:val="BodyText"/>
        <w:tabs>
          <w:tab w:pos="2719" w:val="left" w:leader="none"/>
        </w:tabs>
        <w:spacing w:line="321" w:lineRule="auto" w:before="124"/>
        <w:ind w:left="2719" w:right="148" w:hanging="1955"/>
      </w:pPr>
      <w:r>
        <w:rPr>
          <w:w w:val="95"/>
        </w:rPr>
        <w:t>Restrictions:</w:t>
        <w:tab/>
      </w:r>
      <w:r>
        <w:rPr/>
        <w:t>As</w:t>
      </w:r>
      <w:r>
        <w:rPr>
          <w:spacing w:val="-26"/>
        </w:rPr>
        <w:t> </w:t>
      </w:r>
      <w:r>
        <w:rPr/>
        <w:t>per</w:t>
      </w:r>
      <w:r>
        <w:rPr>
          <w:spacing w:val="-24"/>
        </w:rPr>
        <w:t> </w:t>
      </w:r>
      <w:r>
        <w:rPr/>
        <w:t>feedback</w:t>
      </w:r>
      <w:r>
        <w:rPr>
          <w:spacing w:val="-25"/>
        </w:rPr>
        <w:t> </w:t>
      </w:r>
      <w:r>
        <w:rPr/>
        <w:t>received</w:t>
      </w:r>
      <w:r>
        <w:rPr>
          <w:spacing w:val="-24"/>
        </w:rPr>
        <w:t> </w:t>
      </w:r>
      <w:r>
        <w:rPr/>
        <w:t>from</w:t>
      </w:r>
      <w:r>
        <w:rPr>
          <w:spacing w:val="-24"/>
        </w:rPr>
        <w:t> </w:t>
      </w:r>
      <w:r>
        <w:rPr/>
        <w:t>the</w:t>
      </w:r>
      <w:r>
        <w:rPr>
          <w:spacing w:val="-25"/>
        </w:rPr>
        <w:t> </w:t>
      </w:r>
      <w:r>
        <w:rPr/>
        <w:t>Client,</w:t>
      </w:r>
      <w:r>
        <w:rPr>
          <w:spacing w:val="-24"/>
        </w:rPr>
        <w:t> </w:t>
      </w:r>
      <w:r>
        <w:rPr/>
        <w:t>there</w:t>
      </w:r>
      <w:r>
        <w:rPr>
          <w:spacing w:val="-24"/>
        </w:rPr>
        <w:t> </w:t>
      </w:r>
      <w:r>
        <w:rPr/>
        <w:t>are</w:t>
      </w:r>
      <w:r>
        <w:rPr>
          <w:spacing w:val="-24"/>
        </w:rPr>
        <w:t> </w:t>
      </w:r>
      <w:r>
        <w:rPr/>
        <w:t>no</w:t>
      </w:r>
      <w:r>
        <w:rPr>
          <w:spacing w:val="-26"/>
        </w:rPr>
        <w:t> </w:t>
      </w:r>
      <w:r>
        <w:rPr/>
        <w:t>restrictions</w:t>
      </w:r>
      <w:r>
        <w:rPr>
          <w:spacing w:val="-24"/>
        </w:rPr>
        <w:t> </w:t>
      </w:r>
      <w:r>
        <w:rPr/>
        <w:t>on</w:t>
      </w:r>
      <w:r>
        <w:rPr>
          <w:spacing w:val="-23"/>
        </w:rPr>
        <w:t> </w:t>
      </w:r>
      <w:r>
        <w:rPr/>
        <w:t>the</w:t>
      </w:r>
      <w:r>
        <w:rPr>
          <w:spacing w:val="-25"/>
        </w:rPr>
        <w:t> </w:t>
      </w:r>
      <w:r>
        <w:rPr/>
        <w:t>current use of the</w:t>
      </w:r>
      <w:r>
        <w:rPr>
          <w:spacing w:val="-10"/>
        </w:rPr>
        <w:t> </w:t>
      </w:r>
      <w:r>
        <w:rPr/>
        <w:t>property.</w:t>
      </w:r>
    </w:p>
    <w:p>
      <w:pPr>
        <w:spacing w:after="0" w:line="321" w:lineRule="auto"/>
        <w:sectPr>
          <w:type w:val="continuous"/>
          <w:pgSz w:w="11910" w:h="16840"/>
          <w:pgMar w:top="800" w:bottom="280" w:left="620" w:right="600"/>
        </w:sectPr>
      </w:pPr>
    </w:p>
    <w:p>
      <w:pPr>
        <w:pStyle w:val="BodyText"/>
        <w:tabs>
          <w:tab w:pos="2216" w:val="left" w:leader="none"/>
        </w:tabs>
        <w:spacing w:line="324" w:lineRule="auto" w:before="120"/>
        <w:ind w:left="765"/>
      </w:pPr>
      <w:r>
        <w:rPr/>
        <w:t>Natural</w:t>
        <w:tab/>
      </w:r>
      <w:r>
        <w:rPr>
          <w:spacing w:val="-10"/>
        </w:rPr>
        <w:t>or </w:t>
      </w:r>
      <w:r>
        <w:rPr/>
        <w:t>induced</w:t>
      </w:r>
      <w:r>
        <w:rPr>
          <w:spacing w:val="-14"/>
        </w:rPr>
        <w:t> </w:t>
      </w:r>
      <w:r>
        <w:rPr>
          <w:spacing w:val="-3"/>
        </w:rPr>
        <w:t>hazards:</w:t>
      </w:r>
    </w:p>
    <w:p>
      <w:pPr>
        <w:pStyle w:val="BodyText"/>
        <w:spacing w:line="324" w:lineRule="auto" w:before="120"/>
        <w:ind w:left="258" w:right="137"/>
      </w:pPr>
      <w:r>
        <w:rPr/>
        <w:br w:type="column"/>
      </w:r>
      <w:r>
        <w:rPr/>
        <w:t>We</w:t>
      </w:r>
      <w:r>
        <w:rPr>
          <w:spacing w:val="-46"/>
        </w:rPr>
        <w:t> </w:t>
      </w:r>
      <w:r>
        <w:rPr/>
        <w:t>are</w:t>
      </w:r>
      <w:r>
        <w:rPr>
          <w:spacing w:val="-46"/>
        </w:rPr>
        <w:t> </w:t>
      </w:r>
      <w:r>
        <w:rPr/>
        <w:t>of</w:t>
      </w:r>
      <w:r>
        <w:rPr>
          <w:spacing w:val="-45"/>
        </w:rPr>
        <w:t> </w:t>
      </w:r>
      <w:r>
        <w:rPr/>
        <w:t>the</w:t>
      </w:r>
      <w:r>
        <w:rPr>
          <w:spacing w:val="-46"/>
        </w:rPr>
        <w:t> </w:t>
      </w:r>
      <w:r>
        <w:rPr/>
        <w:t>opinion</w:t>
      </w:r>
      <w:r>
        <w:rPr>
          <w:spacing w:val="-45"/>
        </w:rPr>
        <w:t> </w:t>
      </w:r>
      <w:r>
        <w:rPr/>
        <w:t>that</w:t>
      </w:r>
      <w:r>
        <w:rPr>
          <w:spacing w:val="-46"/>
        </w:rPr>
        <w:t> </w:t>
      </w:r>
      <w:r>
        <w:rPr/>
        <w:t>the</w:t>
      </w:r>
      <w:r>
        <w:rPr>
          <w:spacing w:val="-45"/>
        </w:rPr>
        <w:t> </w:t>
      </w:r>
      <w:r>
        <w:rPr/>
        <w:t>project/</w:t>
      </w:r>
      <w:r>
        <w:rPr>
          <w:spacing w:val="-46"/>
        </w:rPr>
        <w:t> </w:t>
      </w:r>
      <w:r>
        <w:rPr/>
        <w:t>site</w:t>
      </w:r>
      <w:r>
        <w:rPr>
          <w:spacing w:val="-46"/>
        </w:rPr>
        <w:t> </w:t>
      </w:r>
      <w:r>
        <w:rPr/>
        <w:t>has</w:t>
      </w:r>
      <w:r>
        <w:rPr>
          <w:spacing w:val="-46"/>
        </w:rPr>
        <w:t> </w:t>
      </w:r>
      <w:r>
        <w:rPr/>
        <w:t>been</w:t>
      </w:r>
      <w:r>
        <w:rPr>
          <w:spacing w:val="-45"/>
        </w:rPr>
        <w:t> </w:t>
      </w:r>
      <w:r>
        <w:rPr/>
        <w:t>developed</w:t>
      </w:r>
      <w:r>
        <w:rPr>
          <w:spacing w:val="-45"/>
        </w:rPr>
        <w:t> </w:t>
      </w:r>
      <w:r>
        <w:rPr/>
        <w:t>to</w:t>
      </w:r>
      <w:r>
        <w:rPr>
          <w:spacing w:val="-47"/>
        </w:rPr>
        <w:t> </w:t>
      </w:r>
      <w:r>
        <w:rPr/>
        <w:t>withstand</w:t>
      </w:r>
      <w:r>
        <w:rPr>
          <w:spacing w:val="-45"/>
        </w:rPr>
        <w:t> </w:t>
      </w:r>
      <w:r>
        <w:rPr/>
        <w:t>natural or</w:t>
      </w:r>
      <w:r>
        <w:rPr>
          <w:spacing w:val="-30"/>
        </w:rPr>
        <w:t> </w:t>
      </w:r>
      <w:r>
        <w:rPr/>
        <w:t>induced</w:t>
      </w:r>
      <w:r>
        <w:rPr>
          <w:spacing w:val="-29"/>
        </w:rPr>
        <w:t> </w:t>
      </w:r>
      <w:r>
        <w:rPr/>
        <w:t>hazards</w:t>
      </w:r>
      <w:r>
        <w:rPr>
          <w:spacing w:val="-30"/>
        </w:rPr>
        <w:t> </w:t>
      </w:r>
      <w:r>
        <w:rPr/>
        <w:t>(with</w:t>
      </w:r>
      <w:r>
        <w:rPr>
          <w:spacing w:val="-32"/>
        </w:rPr>
        <w:t> </w:t>
      </w:r>
      <w:r>
        <w:rPr/>
        <w:t>the</w:t>
      </w:r>
      <w:r>
        <w:rPr>
          <w:spacing w:val="-29"/>
        </w:rPr>
        <w:t> </w:t>
      </w:r>
      <w:r>
        <w:rPr/>
        <w:t>exception</w:t>
      </w:r>
      <w:r>
        <w:rPr>
          <w:spacing w:val="-30"/>
        </w:rPr>
        <w:t> </w:t>
      </w:r>
      <w:r>
        <w:rPr/>
        <w:t>of</w:t>
      </w:r>
      <w:r>
        <w:rPr>
          <w:spacing w:val="-29"/>
        </w:rPr>
        <w:t> </w:t>
      </w:r>
      <w:r>
        <w:rPr/>
        <w:t>extreme/</w:t>
      </w:r>
      <w:r>
        <w:rPr>
          <w:spacing w:val="-32"/>
        </w:rPr>
        <w:t> </w:t>
      </w:r>
      <w:r>
        <w:rPr/>
        <w:t>out</w:t>
      </w:r>
      <w:r>
        <w:rPr>
          <w:spacing w:val="-29"/>
        </w:rPr>
        <w:t> </w:t>
      </w:r>
      <w:r>
        <w:rPr/>
        <w:t>of</w:t>
      </w:r>
      <w:r>
        <w:rPr>
          <w:spacing w:val="-29"/>
        </w:rPr>
        <w:t> </w:t>
      </w:r>
      <w:r>
        <w:rPr/>
        <w:t>the</w:t>
      </w:r>
      <w:r>
        <w:rPr>
          <w:spacing w:val="-30"/>
        </w:rPr>
        <w:t> </w:t>
      </w:r>
      <w:r>
        <w:rPr/>
        <w:t>ordinary</w:t>
      </w:r>
      <w:r>
        <w:rPr>
          <w:spacing w:val="-29"/>
        </w:rPr>
        <w:t> </w:t>
      </w:r>
      <w:r>
        <w:rPr/>
        <w:t>hazards).</w:t>
      </w:r>
    </w:p>
    <w:p>
      <w:pPr>
        <w:spacing w:after="0" w:line="324" w:lineRule="auto"/>
        <w:sectPr>
          <w:type w:val="continuous"/>
          <w:pgSz w:w="11910" w:h="16840"/>
          <w:pgMar w:top="800" w:bottom="280" w:left="620" w:right="600"/>
          <w:cols w:num="2" w:equalWidth="0">
            <w:col w:w="2422" w:space="40"/>
            <w:col w:w="8228"/>
          </w:cols>
        </w:sectPr>
      </w:pPr>
    </w:p>
    <w:p>
      <w:pPr>
        <w:pStyle w:val="BodyText"/>
        <w:spacing w:before="7"/>
        <w:rPr>
          <w:sz w:val="21"/>
        </w:rPr>
      </w:pPr>
    </w:p>
    <w:p>
      <w:pPr>
        <w:pStyle w:val="ListParagraph"/>
        <w:numPr>
          <w:ilvl w:val="2"/>
          <w:numId w:val="14"/>
        </w:numPr>
        <w:tabs>
          <w:tab w:pos="821" w:val="left" w:leader="none"/>
        </w:tabs>
        <w:spacing w:line="240" w:lineRule="auto" w:before="106" w:after="0"/>
        <w:ind w:left="820" w:right="0" w:hanging="721"/>
        <w:jc w:val="left"/>
        <w:rPr>
          <w:sz w:val="22"/>
        </w:rPr>
      </w:pPr>
      <w:bookmarkStart w:name="_bookmark48" w:id="96"/>
      <w:bookmarkEnd w:id="96"/>
      <w:r>
        <w:rPr/>
      </w:r>
      <w:bookmarkStart w:name="_bookmark48" w:id="97"/>
      <w:bookmarkEnd w:id="97"/>
      <w:r>
        <w:rPr>
          <w:color w:val="1F664D"/>
          <w:sz w:val="22"/>
        </w:rPr>
        <w:t>S</w:t>
      </w:r>
      <w:r>
        <w:rPr>
          <w:color w:val="1F664D"/>
          <w:sz w:val="22"/>
        </w:rPr>
        <w:t>tatutory Approvals, One time Sanctions &amp; Periodic</w:t>
      </w:r>
      <w:r>
        <w:rPr>
          <w:color w:val="1F664D"/>
          <w:spacing w:val="-1"/>
          <w:sz w:val="22"/>
        </w:rPr>
        <w:t> </w:t>
      </w:r>
      <w:r>
        <w:rPr>
          <w:color w:val="1F664D"/>
          <w:sz w:val="22"/>
        </w:rPr>
        <w:t>Clearances</w:t>
      </w:r>
    </w:p>
    <w:p>
      <w:pPr>
        <w:pStyle w:val="BodyText"/>
        <w:spacing w:before="208"/>
        <w:ind w:left="666"/>
      </w:pPr>
      <w:r>
        <w:rPr/>
        <w:t>Please refer section 18.3 on Statutory Approvals, One time Sanctions &amp; Periodic Clearances</w:t>
      </w:r>
    </w:p>
    <w:p>
      <w:pPr>
        <w:spacing w:after="0"/>
        <w:sectPr>
          <w:type w:val="continuous"/>
          <w:pgSz w:w="11910" w:h="16840"/>
          <w:pgMar w:top="800" w:bottom="280" w:left="620" w:right="600"/>
        </w:sectPr>
      </w:pPr>
    </w:p>
    <w:p>
      <w:pPr>
        <w:pStyle w:val="BodyText"/>
        <w:rPr>
          <w:sz w:val="20"/>
        </w:rPr>
      </w:pPr>
    </w:p>
    <w:p>
      <w:pPr>
        <w:pStyle w:val="BodyText"/>
        <w:spacing w:before="11"/>
        <w:rPr>
          <w:sz w:val="29"/>
        </w:rPr>
      </w:pPr>
    </w:p>
    <w:p>
      <w:pPr>
        <w:pStyle w:val="ListParagraph"/>
        <w:numPr>
          <w:ilvl w:val="2"/>
          <w:numId w:val="14"/>
        </w:numPr>
        <w:tabs>
          <w:tab w:pos="912" w:val="left" w:leader="none"/>
        </w:tabs>
        <w:spacing w:line="240" w:lineRule="auto" w:before="106" w:after="0"/>
        <w:ind w:left="911" w:right="0" w:hanging="721"/>
        <w:jc w:val="left"/>
        <w:rPr>
          <w:sz w:val="22"/>
        </w:rPr>
      </w:pPr>
      <w:bookmarkStart w:name="_bookmark49" w:id="98"/>
      <w:bookmarkEnd w:id="98"/>
      <w:r>
        <w:rPr/>
      </w:r>
      <w:bookmarkStart w:name="_bookmark49" w:id="99"/>
      <w:bookmarkEnd w:id="99"/>
      <w:r>
        <w:rPr>
          <w:color w:val="1F664D"/>
          <w:sz w:val="22"/>
        </w:rPr>
        <w:t>Are</w:t>
      </w:r>
      <w:r>
        <w:rPr>
          <w:color w:val="1F664D"/>
          <w:sz w:val="22"/>
        </w:rPr>
        <w:t>a Details, Type and Age of Existing</w:t>
      </w:r>
      <w:r>
        <w:rPr>
          <w:color w:val="1F664D"/>
          <w:spacing w:val="-7"/>
          <w:sz w:val="22"/>
        </w:rPr>
        <w:t> </w:t>
      </w:r>
      <w:r>
        <w:rPr>
          <w:color w:val="1F664D"/>
          <w:sz w:val="22"/>
        </w:rPr>
        <w:t>Structures</w:t>
      </w:r>
    </w:p>
    <w:p>
      <w:pPr>
        <w:pStyle w:val="BodyText"/>
        <w:spacing w:before="205"/>
        <w:ind w:left="191"/>
      </w:pPr>
      <w:r>
        <w:rPr/>
        <w:t>The table below highlights the area details of the subject property:</w:t>
      </w:r>
    </w:p>
    <w:p>
      <w:pPr>
        <w:pStyle w:val="BodyText"/>
        <w:spacing w:before="3"/>
      </w:pPr>
    </w:p>
    <w:tbl>
      <w:tblPr>
        <w:tblW w:w="0" w:type="auto"/>
        <w:jc w:val="left"/>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59"/>
        <w:gridCol w:w="3132"/>
        <w:gridCol w:w="2659"/>
        <w:gridCol w:w="2564"/>
        <w:gridCol w:w="2491"/>
      </w:tblGrid>
      <w:tr>
        <w:trPr>
          <w:trHeight w:val="323" w:hRule="atLeast"/>
        </w:trPr>
        <w:tc>
          <w:tcPr>
            <w:tcW w:w="2859" w:type="dxa"/>
            <w:tcBorders>
              <w:top w:val="single" w:sz="12" w:space="0" w:color="1F6B16"/>
              <w:bottom w:val="single" w:sz="6" w:space="0" w:color="69BD28"/>
            </w:tcBorders>
            <w:shd w:val="clear" w:color="auto" w:fill="006A4D"/>
          </w:tcPr>
          <w:p>
            <w:pPr>
              <w:pStyle w:val="TableParagraph"/>
              <w:spacing w:before="58"/>
              <w:ind w:left="684" w:right="635"/>
              <w:rPr>
                <w:b/>
                <w:sz w:val="18"/>
              </w:rPr>
            </w:pPr>
            <w:r>
              <w:rPr>
                <w:b/>
                <w:color w:val="FFFFFF"/>
                <w:w w:val="105"/>
                <w:sz w:val="18"/>
              </w:rPr>
              <w:t>Subject Property</w:t>
            </w:r>
          </w:p>
        </w:tc>
        <w:tc>
          <w:tcPr>
            <w:tcW w:w="3132" w:type="dxa"/>
            <w:tcBorders>
              <w:top w:val="single" w:sz="12" w:space="0" w:color="1F6B16"/>
              <w:bottom w:val="single" w:sz="6" w:space="0" w:color="69BD28"/>
            </w:tcBorders>
            <w:shd w:val="clear" w:color="auto" w:fill="006A4D"/>
          </w:tcPr>
          <w:p>
            <w:pPr>
              <w:pStyle w:val="TableParagraph"/>
              <w:spacing w:before="58"/>
              <w:ind w:left="645" w:right="476"/>
              <w:rPr>
                <w:b/>
                <w:sz w:val="18"/>
              </w:rPr>
            </w:pPr>
            <w:r>
              <w:rPr>
                <w:b/>
                <w:color w:val="FFFFFF"/>
                <w:w w:val="110"/>
                <w:sz w:val="18"/>
              </w:rPr>
              <w:t>Developable area (sf)</w:t>
            </w:r>
          </w:p>
        </w:tc>
        <w:tc>
          <w:tcPr>
            <w:tcW w:w="2659" w:type="dxa"/>
            <w:tcBorders>
              <w:top w:val="single" w:sz="12" w:space="0" w:color="1F6B16"/>
              <w:bottom w:val="single" w:sz="6" w:space="0" w:color="69BD28"/>
            </w:tcBorders>
            <w:shd w:val="clear" w:color="auto" w:fill="006A4D"/>
          </w:tcPr>
          <w:p>
            <w:pPr>
              <w:pStyle w:val="TableParagraph"/>
              <w:spacing w:before="58"/>
              <w:ind w:left="496" w:right="356"/>
              <w:rPr>
                <w:b/>
                <w:sz w:val="18"/>
              </w:rPr>
            </w:pPr>
            <w:r>
              <w:rPr>
                <w:b/>
                <w:color w:val="FFFFFF"/>
                <w:w w:val="105"/>
                <w:sz w:val="18"/>
              </w:rPr>
              <w:t>Completed Area (sf)</w:t>
            </w:r>
          </w:p>
        </w:tc>
        <w:tc>
          <w:tcPr>
            <w:tcW w:w="2564" w:type="dxa"/>
            <w:tcBorders>
              <w:top w:val="single" w:sz="12" w:space="0" w:color="1F6B16"/>
              <w:bottom w:val="single" w:sz="6" w:space="0" w:color="69BD28"/>
            </w:tcBorders>
            <w:shd w:val="clear" w:color="auto" w:fill="006A4D"/>
          </w:tcPr>
          <w:p>
            <w:pPr>
              <w:pStyle w:val="TableParagraph"/>
              <w:spacing w:before="58"/>
              <w:ind w:left="355" w:right="383"/>
              <w:rPr>
                <w:b/>
                <w:sz w:val="18"/>
              </w:rPr>
            </w:pPr>
            <w:r>
              <w:rPr>
                <w:b/>
                <w:color w:val="FFFFFF"/>
                <w:w w:val="105"/>
                <w:sz w:val="18"/>
              </w:rPr>
              <w:t>Committed Area (sf)</w:t>
            </w:r>
          </w:p>
        </w:tc>
        <w:tc>
          <w:tcPr>
            <w:tcW w:w="2491" w:type="dxa"/>
            <w:tcBorders>
              <w:top w:val="single" w:sz="12" w:space="0" w:color="1F6B16"/>
              <w:bottom w:val="single" w:sz="6" w:space="0" w:color="69BD28"/>
            </w:tcBorders>
            <w:shd w:val="clear" w:color="auto" w:fill="006A4D"/>
          </w:tcPr>
          <w:p>
            <w:pPr>
              <w:pStyle w:val="TableParagraph"/>
              <w:spacing w:before="58"/>
              <w:ind w:left="395" w:right="419"/>
              <w:rPr>
                <w:b/>
                <w:sz w:val="18"/>
              </w:rPr>
            </w:pPr>
            <w:r>
              <w:rPr>
                <w:b/>
                <w:color w:val="FFFFFF"/>
                <w:w w:val="105"/>
                <w:sz w:val="18"/>
              </w:rPr>
              <w:t>Occupied Area (sf)</w:t>
            </w:r>
          </w:p>
        </w:tc>
      </w:tr>
      <w:tr>
        <w:trPr>
          <w:trHeight w:val="256" w:hRule="atLeast"/>
        </w:trPr>
        <w:tc>
          <w:tcPr>
            <w:tcW w:w="2859" w:type="dxa"/>
            <w:tcBorders>
              <w:top w:val="single" w:sz="6" w:space="0" w:color="69BD28"/>
              <w:bottom w:val="single" w:sz="6" w:space="0" w:color="69BD28"/>
            </w:tcBorders>
          </w:tcPr>
          <w:p>
            <w:pPr>
              <w:pStyle w:val="TableParagraph"/>
              <w:spacing w:before="22"/>
              <w:ind w:left="683" w:right="635"/>
              <w:rPr>
                <w:sz w:val="18"/>
              </w:rPr>
            </w:pPr>
            <w:r>
              <w:rPr>
                <w:sz w:val="18"/>
              </w:rPr>
              <w:t>Embassy Manyata</w:t>
            </w:r>
          </w:p>
        </w:tc>
        <w:tc>
          <w:tcPr>
            <w:tcW w:w="3132" w:type="dxa"/>
            <w:tcBorders>
              <w:top w:val="single" w:sz="6" w:space="0" w:color="69BD28"/>
              <w:bottom w:val="single" w:sz="6" w:space="0" w:color="69BD28"/>
            </w:tcBorders>
          </w:tcPr>
          <w:p>
            <w:pPr>
              <w:pStyle w:val="TableParagraph"/>
              <w:spacing w:before="22"/>
              <w:ind w:left="645" w:right="476"/>
              <w:rPr>
                <w:sz w:val="18"/>
              </w:rPr>
            </w:pPr>
            <w:r>
              <w:rPr>
                <w:w w:val="105"/>
                <w:sz w:val="18"/>
              </w:rPr>
              <w:t>22,079,613</w:t>
            </w:r>
          </w:p>
        </w:tc>
        <w:tc>
          <w:tcPr>
            <w:tcW w:w="2659" w:type="dxa"/>
            <w:tcBorders>
              <w:top w:val="single" w:sz="6" w:space="0" w:color="69BD28"/>
              <w:bottom w:val="single" w:sz="6" w:space="0" w:color="69BD28"/>
            </w:tcBorders>
          </w:tcPr>
          <w:p>
            <w:pPr>
              <w:pStyle w:val="TableParagraph"/>
              <w:spacing w:before="22"/>
              <w:ind w:left="494" w:right="356"/>
              <w:rPr>
                <w:sz w:val="18"/>
              </w:rPr>
            </w:pPr>
            <w:r>
              <w:rPr>
                <w:w w:val="105"/>
                <w:sz w:val="18"/>
              </w:rPr>
              <w:t>11,751,174</w:t>
            </w:r>
          </w:p>
        </w:tc>
        <w:tc>
          <w:tcPr>
            <w:tcW w:w="2564" w:type="dxa"/>
            <w:tcBorders>
              <w:top w:val="single" w:sz="6" w:space="0" w:color="69BD28"/>
              <w:bottom w:val="single" w:sz="6" w:space="0" w:color="69BD28"/>
            </w:tcBorders>
          </w:tcPr>
          <w:p>
            <w:pPr>
              <w:pStyle w:val="TableParagraph"/>
              <w:spacing w:before="22"/>
              <w:ind w:left="355" w:right="382"/>
              <w:rPr>
                <w:sz w:val="18"/>
              </w:rPr>
            </w:pPr>
            <w:r>
              <w:rPr>
                <w:w w:val="105"/>
                <w:sz w:val="18"/>
              </w:rPr>
              <w:t>11,479,349</w:t>
            </w:r>
          </w:p>
        </w:tc>
        <w:tc>
          <w:tcPr>
            <w:tcW w:w="2491" w:type="dxa"/>
            <w:tcBorders>
              <w:top w:val="single" w:sz="6" w:space="0" w:color="69BD28"/>
              <w:bottom w:val="single" w:sz="6" w:space="0" w:color="69BD28"/>
            </w:tcBorders>
          </w:tcPr>
          <w:p>
            <w:pPr>
              <w:pStyle w:val="TableParagraph"/>
              <w:spacing w:before="22"/>
              <w:ind w:left="393" w:right="419"/>
              <w:rPr>
                <w:sz w:val="18"/>
              </w:rPr>
            </w:pPr>
            <w:r>
              <w:rPr>
                <w:w w:val="105"/>
                <w:sz w:val="18"/>
              </w:rPr>
              <w:t>11,479,349</w:t>
            </w:r>
          </w:p>
        </w:tc>
      </w:tr>
    </w:tbl>
    <w:p>
      <w:pPr>
        <w:spacing w:before="0"/>
        <w:ind w:left="191" w:right="0" w:firstLine="0"/>
        <w:jc w:val="left"/>
        <w:rPr>
          <w:i/>
          <w:sz w:val="18"/>
        </w:rPr>
      </w:pPr>
      <w:r>
        <w:rPr>
          <w:i/>
          <w:sz w:val="18"/>
        </w:rPr>
        <w:t>Source: Rent roll, lease deeds, Architect Certificate provided by Client</w:t>
      </w:r>
    </w:p>
    <w:p>
      <w:pPr>
        <w:pStyle w:val="BodyText"/>
        <w:spacing w:before="10"/>
        <w:rPr>
          <w:i/>
          <w:sz w:val="26"/>
        </w:rPr>
      </w:pPr>
    </w:p>
    <w:p>
      <w:pPr>
        <w:pStyle w:val="BodyText"/>
        <w:ind w:left="191"/>
      </w:pPr>
      <w:r>
        <w:rPr/>
        <w:pict>
          <v:group style="position:absolute;margin-left:70.559998pt;margin-top:22.928617pt;width:676.95pt;height:37.1pt;mso-position-horizontal-relative:page;mso-position-vertical-relative:paragraph;z-index:-34740736" coordorigin="1411,459" coordsize="13539,742">
            <v:shape style="position:absolute;left:1411;top:487;width:13539;height:432" coordorigin="1411,487" coordsize="13539,432" path="m12170,487l9841,487,7520,487,5207,487,5207,487,1411,487,1411,919,5207,919,5207,919,7520,919,9841,919,12170,919,12170,487xm14950,487l12170,487,12170,919,14950,919,14950,487xe" filled="true" fillcolor="#006a4d" stroked="false">
              <v:path arrowok="t"/>
              <v:fill type="solid"/>
            </v:shape>
            <v:rect style="position:absolute;left:1411;top:458;width:3796;height:29" filled="true" fillcolor="#1f6b16" stroked="false">
              <v:fill type="solid"/>
            </v:rect>
            <v:shape style="position:absolute;left:1411;top:487;width:3825;height:3" coordorigin="1411,487" coordsize="3825,3" path="m5235,487l5207,487,1411,487,1411,490,5207,490,5235,490,5235,487xe" filled="true" fillcolor="#006a4d" stroked="false">
              <v:path arrowok="t"/>
              <v:fill type="solid"/>
            </v:shape>
            <v:shape style="position:absolute;left:5206;top:458;width:2314;height:29" coordorigin="5207,459" coordsize="2314,29" path="m7520,459l5235,459,5207,459,5207,487,5235,487,7520,487,7520,459xe" filled="true" fillcolor="#1f6b16" stroked="false">
              <v:path arrowok="t"/>
              <v:fill type="solid"/>
            </v:shape>
            <v:shape style="position:absolute;left:5235;top:487;width:2314;height:3" coordorigin="5235,487" coordsize="2314,3" path="m7549,487l7520,487,5235,487,5235,490,7520,490,7549,490,7549,487xe" filled="true" fillcolor="#006a4d" stroked="false">
              <v:path arrowok="t"/>
              <v:fill type="solid"/>
            </v:shape>
            <v:shape style="position:absolute;left:7520;top:458;width:2322;height:29" coordorigin="7520,459" coordsize="2322,29" path="m9841,459l7549,459,7520,459,7520,487,7549,487,9841,487,9841,459xe" filled="true" fillcolor="#1f6b16" stroked="false">
              <v:path arrowok="t"/>
              <v:fill type="solid"/>
            </v:shape>
            <v:shape style="position:absolute;left:7549;top:487;width:2322;height:3" coordorigin="7549,487" coordsize="2322,3" path="m9870,487l9841,487,7549,487,7549,490,9841,490,9870,490,9870,487xe" filled="true" fillcolor="#006a4d" stroked="false">
              <v:path arrowok="t"/>
              <v:fill type="solid"/>
            </v:shape>
            <v:shape style="position:absolute;left:9841;top:458;width:2329;height:29" coordorigin="9841,459" coordsize="2329,29" path="m12170,459l9870,459,9841,459,9841,487,9870,487,12170,487,12170,459xe" filled="true" fillcolor="#1f6b16" stroked="false">
              <v:path arrowok="t"/>
              <v:fill type="solid"/>
            </v:shape>
            <v:shape style="position:absolute;left:9870;top:487;width:2329;height:3" coordorigin="9870,487" coordsize="2329,3" path="m12170,487l9870,487,9870,490,12170,490,12170,487xm12199,487l12170,487,12170,490,12199,490,12199,487xe" filled="true" fillcolor="#006a4d" stroked="false">
              <v:path arrowok="t"/>
              <v:fill type="solid"/>
            </v:shape>
            <v:shape style="position:absolute;left:12170;top:458;width:2780;height:29" coordorigin="12170,459" coordsize="2780,29" path="m14950,459l12199,459,12170,459,12170,487,12199,487,14950,487,14950,459xe" filled="true" fillcolor="#1f6b16" stroked="false">
              <v:path arrowok="t"/>
              <v:fill type="solid"/>
            </v:shape>
            <v:rect style="position:absolute;left:12198;top:487;width:2751;height:3" filled="true" fillcolor="#006a4d" stroked="false">
              <v:fill type="solid"/>
            </v:rect>
            <v:shape style="position:absolute;left:1411;top:919;width:13539;height:281" coordorigin="1411,919" coordsize="13539,281" path="m14950,919l12184,919,12184,934,12184,919,12170,919,12170,934,12170,934,12170,919,9856,919,9841,919,1411,919,1411,934,1411,1186,1411,1200,5207,1200,12170,1200,12170,1186,12170,1186,12170,1200,12184,1200,12184,1186,12184,1200,14950,1200,14950,1186,14950,934,14950,919xe" filled="true" fillcolor="#69bd28" stroked="false">
              <v:path arrowok="t"/>
              <v:fill type="solid"/>
            </v:shape>
            <w10:wrap type="none"/>
          </v:group>
        </w:pict>
      </w:r>
      <w:r>
        <w:rPr/>
        <w:t>The table below highlights the detailed area break-up of the subject development:</w:t>
      </w:r>
    </w:p>
    <w:p>
      <w:pPr>
        <w:pStyle w:val="BodyText"/>
        <w:spacing w:before="9"/>
        <w:rPr>
          <w:sz w:val="18"/>
        </w:rPr>
      </w:pPr>
    </w:p>
    <w:tbl>
      <w:tblPr>
        <w:tblW w:w="0" w:type="auto"/>
        <w:jc w:val="left"/>
        <w:tblInd w:w="1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48"/>
        <w:gridCol w:w="2498"/>
        <w:gridCol w:w="2401"/>
        <w:gridCol w:w="2198"/>
        <w:gridCol w:w="2867"/>
      </w:tblGrid>
      <w:tr>
        <w:trPr>
          <w:trHeight w:val="727" w:hRule="atLeast"/>
        </w:trPr>
        <w:tc>
          <w:tcPr>
            <w:tcW w:w="13712" w:type="dxa"/>
            <w:gridSpan w:val="5"/>
          </w:tcPr>
          <w:p>
            <w:pPr>
              <w:pStyle w:val="TableParagraph"/>
              <w:tabs>
                <w:tab w:pos="4217" w:val="left" w:leader="none"/>
                <w:tab w:pos="6756" w:val="left" w:leader="none"/>
                <w:tab w:pos="9368" w:val="left" w:leader="none"/>
                <w:tab w:pos="9505" w:val="left" w:leader="none"/>
                <w:tab w:pos="11413" w:val="left" w:leader="none"/>
              </w:tabs>
              <w:spacing w:line="124" w:lineRule="auto" w:before="97"/>
              <w:ind w:left="1711" w:right="647" w:firstLine="31"/>
              <w:jc w:val="left"/>
              <w:rPr>
                <w:b/>
                <w:sz w:val="18"/>
              </w:rPr>
            </w:pPr>
            <w:r>
              <w:rPr>
                <w:b/>
                <w:color w:val="FFFFFF"/>
                <w:w w:val="115"/>
                <w:position w:val="11"/>
                <w:sz w:val="18"/>
              </w:rPr>
              <w:t>Block</w:t>
              <w:tab/>
            </w:r>
            <w:r>
              <w:rPr>
                <w:b/>
                <w:color w:val="FFFFFF"/>
                <w:w w:val="115"/>
                <w:sz w:val="18"/>
              </w:rPr>
              <w:t>Building</w:t>
            </w:r>
            <w:r>
              <w:rPr>
                <w:b/>
                <w:color w:val="FFFFFF"/>
                <w:spacing w:val="-28"/>
                <w:w w:val="115"/>
                <w:sz w:val="18"/>
              </w:rPr>
              <w:t> </w:t>
            </w:r>
            <w:r>
              <w:rPr>
                <w:b/>
                <w:color w:val="FFFFFF"/>
                <w:w w:val="115"/>
                <w:sz w:val="18"/>
              </w:rPr>
              <w:t>Elevation</w:t>
              <w:tab/>
              <w:t>SEZ/Non-SEZ</w:t>
              <w:tab/>
              <w:tab/>
            </w:r>
            <w:r>
              <w:rPr>
                <w:b/>
                <w:color w:val="FFFFFF"/>
                <w:w w:val="115"/>
                <w:position w:val="11"/>
                <w:sz w:val="18"/>
              </w:rPr>
              <w:t>Age</w:t>
              <w:tab/>
            </w:r>
            <w:r>
              <w:rPr>
                <w:b/>
                <w:color w:val="FFFFFF"/>
                <w:w w:val="115"/>
                <w:sz w:val="18"/>
              </w:rPr>
              <w:t>Leasable</w:t>
            </w:r>
            <w:r>
              <w:rPr>
                <w:b/>
                <w:color w:val="FFFFFF"/>
                <w:spacing w:val="-38"/>
                <w:w w:val="115"/>
                <w:sz w:val="18"/>
              </w:rPr>
              <w:t> </w:t>
            </w:r>
            <w:r>
              <w:rPr>
                <w:b/>
                <w:color w:val="FFFFFF"/>
                <w:w w:val="115"/>
                <w:sz w:val="18"/>
              </w:rPr>
              <w:t>Area</w:t>
            </w:r>
            <w:r>
              <w:rPr>
                <w:b/>
                <w:color w:val="FFFFFF"/>
                <w:spacing w:val="-37"/>
                <w:w w:val="115"/>
                <w:sz w:val="18"/>
              </w:rPr>
              <w:t> </w:t>
            </w:r>
            <w:r>
              <w:rPr>
                <w:b/>
                <w:color w:val="FFFFFF"/>
                <w:spacing w:val="-4"/>
                <w:w w:val="115"/>
                <w:sz w:val="18"/>
              </w:rPr>
              <w:t>(sf) </w:t>
            </w:r>
            <w:r>
              <w:rPr>
                <w:b/>
                <w:color w:val="FFFFFF"/>
                <w:w w:val="115"/>
                <w:sz w:val="18"/>
              </w:rPr>
              <w:t>Name</w:t>
              <w:tab/>
              <w:tab/>
              <w:tab/>
              <w:t>(Years)</w:t>
            </w:r>
          </w:p>
          <w:p>
            <w:pPr>
              <w:pStyle w:val="TableParagraph"/>
              <w:spacing w:before="59"/>
              <w:ind w:left="6159" w:right="6152"/>
              <w:rPr>
                <w:sz w:val="18"/>
              </w:rPr>
            </w:pPr>
            <w:r>
              <w:rPr>
                <w:color w:val="FFFFFF"/>
                <w:sz w:val="18"/>
              </w:rPr>
              <w:t>Completed Block</w:t>
            </w:r>
          </w:p>
        </w:tc>
      </w:tr>
      <w:tr>
        <w:trPr>
          <w:trHeight w:val="254" w:hRule="atLeast"/>
        </w:trPr>
        <w:tc>
          <w:tcPr>
            <w:tcW w:w="3748" w:type="dxa"/>
            <w:tcBorders>
              <w:bottom w:val="single" w:sz="6" w:space="0" w:color="69BD28"/>
            </w:tcBorders>
          </w:tcPr>
          <w:p>
            <w:pPr>
              <w:pStyle w:val="TableParagraph"/>
              <w:spacing w:before="23"/>
              <w:ind w:left="1083" w:right="856"/>
              <w:rPr>
                <w:sz w:val="18"/>
              </w:rPr>
            </w:pPr>
            <w:r>
              <w:rPr>
                <w:sz w:val="18"/>
              </w:rPr>
              <w:t>Jacaranda (C1)</w:t>
            </w:r>
          </w:p>
        </w:tc>
        <w:tc>
          <w:tcPr>
            <w:tcW w:w="2498" w:type="dxa"/>
            <w:tcBorders>
              <w:bottom w:val="single" w:sz="6" w:space="0" w:color="69BD28"/>
            </w:tcBorders>
          </w:tcPr>
          <w:p>
            <w:pPr>
              <w:pStyle w:val="TableParagraph"/>
              <w:spacing w:before="23"/>
              <w:ind w:left="841" w:right="746"/>
              <w:rPr>
                <w:sz w:val="18"/>
              </w:rPr>
            </w:pPr>
            <w:r>
              <w:rPr>
                <w:w w:val="125"/>
                <w:sz w:val="18"/>
              </w:rPr>
              <w:t>2B+G+4</w:t>
            </w:r>
          </w:p>
        </w:tc>
        <w:tc>
          <w:tcPr>
            <w:tcW w:w="2401" w:type="dxa"/>
            <w:tcBorders>
              <w:bottom w:val="single" w:sz="6" w:space="0" w:color="69BD28"/>
            </w:tcBorders>
          </w:tcPr>
          <w:p>
            <w:pPr>
              <w:pStyle w:val="TableParagraph"/>
              <w:spacing w:before="23"/>
              <w:ind w:left="751" w:right="918"/>
              <w:rPr>
                <w:sz w:val="18"/>
              </w:rPr>
            </w:pPr>
            <w:r>
              <w:rPr>
                <w:w w:val="105"/>
                <w:sz w:val="18"/>
              </w:rPr>
              <w:t>Non-SEZ</w:t>
            </w:r>
          </w:p>
        </w:tc>
        <w:tc>
          <w:tcPr>
            <w:tcW w:w="2198" w:type="dxa"/>
            <w:tcBorders>
              <w:bottom w:val="single" w:sz="6" w:space="0" w:color="69BD28"/>
            </w:tcBorders>
          </w:tcPr>
          <w:p>
            <w:pPr>
              <w:pStyle w:val="TableParagraph"/>
              <w:spacing w:before="23"/>
              <w:ind w:left="932"/>
              <w:jc w:val="left"/>
              <w:rPr>
                <w:sz w:val="18"/>
              </w:rPr>
            </w:pPr>
            <w:r>
              <w:rPr>
                <w:w w:val="110"/>
                <w:sz w:val="18"/>
              </w:rPr>
              <w:t>11</w:t>
            </w:r>
          </w:p>
        </w:tc>
        <w:tc>
          <w:tcPr>
            <w:tcW w:w="2867" w:type="dxa"/>
            <w:tcBorders>
              <w:bottom w:val="single" w:sz="6" w:space="0" w:color="69BD28"/>
            </w:tcBorders>
          </w:tcPr>
          <w:p>
            <w:pPr>
              <w:pStyle w:val="TableParagraph"/>
              <w:spacing w:before="23"/>
              <w:ind w:left="1049"/>
              <w:jc w:val="left"/>
              <w:rPr>
                <w:sz w:val="18"/>
              </w:rPr>
            </w:pPr>
            <w:r>
              <w:rPr>
                <w:w w:val="110"/>
                <w:sz w:val="18"/>
              </w:rPr>
              <w:t>310,729</w:t>
            </w:r>
          </w:p>
        </w:tc>
      </w:tr>
      <w:tr>
        <w:trPr>
          <w:trHeight w:val="251" w:hRule="atLeast"/>
        </w:trPr>
        <w:tc>
          <w:tcPr>
            <w:tcW w:w="3748" w:type="dxa"/>
            <w:tcBorders>
              <w:top w:val="single" w:sz="6" w:space="0" w:color="69BD28"/>
              <w:bottom w:val="single" w:sz="6" w:space="0" w:color="69BD28"/>
            </w:tcBorders>
          </w:tcPr>
          <w:p>
            <w:pPr>
              <w:pStyle w:val="TableParagraph"/>
              <w:spacing w:before="20"/>
              <w:ind w:left="1084" w:right="856"/>
              <w:rPr>
                <w:sz w:val="18"/>
              </w:rPr>
            </w:pPr>
            <w:r>
              <w:rPr>
                <w:sz w:val="18"/>
              </w:rPr>
              <w:t>Cedar (C2)</w:t>
            </w:r>
          </w:p>
        </w:tc>
        <w:tc>
          <w:tcPr>
            <w:tcW w:w="2498" w:type="dxa"/>
            <w:tcBorders>
              <w:top w:val="single" w:sz="6" w:space="0" w:color="69BD28"/>
              <w:bottom w:val="single" w:sz="6" w:space="0" w:color="69BD28"/>
            </w:tcBorders>
          </w:tcPr>
          <w:p>
            <w:pPr>
              <w:pStyle w:val="TableParagraph"/>
              <w:spacing w:before="20"/>
              <w:ind w:left="841" w:right="746"/>
              <w:rPr>
                <w:sz w:val="18"/>
              </w:rPr>
            </w:pPr>
            <w:r>
              <w:rPr>
                <w:w w:val="130"/>
                <w:sz w:val="18"/>
              </w:rPr>
              <w:t>B+G+8</w:t>
            </w:r>
          </w:p>
        </w:tc>
        <w:tc>
          <w:tcPr>
            <w:tcW w:w="2401" w:type="dxa"/>
            <w:tcBorders>
              <w:top w:val="single" w:sz="6" w:space="0" w:color="69BD28"/>
              <w:bottom w:val="single" w:sz="6" w:space="0" w:color="69BD28"/>
            </w:tcBorders>
          </w:tcPr>
          <w:p>
            <w:pPr>
              <w:pStyle w:val="TableParagraph"/>
              <w:spacing w:before="20"/>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before="20"/>
              <w:ind w:left="932"/>
              <w:jc w:val="left"/>
              <w:rPr>
                <w:sz w:val="18"/>
              </w:rPr>
            </w:pPr>
            <w:r>
              <w:rPr>
                <w:w w:val="110"/>
                <w:sz w:val="18"/>
              </w:rPr>
              <w:t>11</w:t>
            </w:r>
          </w:p>
        </w:tc>
        <w:tc>
          <w:tcPr>
            <w:tcW w:w="2867" w:type="dxa"/>
            <w:tcBorders>
              <w:top w:val="single" w:sz="6" w:space="0" w:color="69BD28"/>
              <w:bottom w:val="single" w:sz="6" w:space="0" w:color="69BD28"/>
            </w:tcBorders>
          </w:tcPr>
          <w:p>
            <w:pPr>
              <w:pStyle w:val="TableParagraph"/>
              <w:spacing w:before="20"/>
              <w:ind w:left="1049"/>
              <w:jc w:val="left"/>
              <w:rPr>
                <w:sz w:val="18"/>
              </w:rPr>
            </w:pPr>
            <w:r>
              <w:rPr>
                <w:w w:val="110"/>
                <w:sz w:val="18"/>
              </w:rPr>
              <w:t>498,527</w:t>
            </w:r>
          </w:p>
        </w:tc>
      </w:tr>
      <w:tr>
        <w:trPr>
          <w:trHeight w:val="251" w:hRule="atLeast"/>
        </w:trPr>
        <w:tc>
          <w:tcPr>
            <w:tcW w:w="3748" w:type="dxa"/>
            <w:tcBorders>
              <w:top w:val="single" w:sz="6" w:space="0" w:color="69BD28"/>
              <w:bottom w:val="single" w:sz="6" w:space="0" w:color="69BD28"/>
            </w:tcBorders>
          </w:tcPr>
          <w:p>
            <w:pPr>
              <w:pStyle w:val="TableParagraph"/>
              <w:spacing w:line="209" w:lineRule="exact" w:before="22"/>
              <w:ind w:left="1082" w:right="856"/>
              <w:rPr>
                <w:sz w:val="18"/>
              </w:rPr>
            </w:pPr>
            <w:r>
              <w:rPr>
                <w:sz w:val="18"/>
              </w:rPr>
              <w:t>ELM (C4)</w:t>
            </w:r>
          </w:p>
        </w:tc>
        <w:tc>
          <w:tcPr>
            <w:tcW w:w="2498" w:type="dxa"/>
            <w:tcBorders>
              <w:top w:val="single" w:sz="6" w:space="0" w:color="69BD28"/>
              <w:bottom w:val="single" w:sz="6" w:space="0" w:color="69BD28"/>
            </w:tcBorders>
          </w:tcPr>
          <w:p>
            <w:pPr>
              <w:pStyle w:val="TableParagraph"/>
              <w:spacing w:line="209" w:lineRule="exact" w:before="22"/>
              <w:ind w:left="841" w:right="746"/>
              <w:rPr>
                <w:sz w:val="18"/>
              </w:rPr>
            </w:pPr>
            <w:r>
              <w:rPr>
                <w:w w:val="130"/>
                <w:sz w:val="18"/>
              </w:rPr>
              <w:t>B+G+6</w:t>
            </w:r>
          </w:p>
        </w:tc>
        <w:tc>
          <w:tcPr>
            <w:tcW w:w="2401" w:type="dxa"/>
            <w:tcBorders>
              <w:top w:val="single" w:sz="6" w:space="0" w:color="69BD28"/>
              <w:bottom w:val="single" w:sz="6" w:space="0" w:color="69BD28"/>
            </w:tcBorders>
          </w:tcPr>
          <w:p>
            <w:pPr>
              <w:pStyle w:val="TableParagraph"/>
              <w:spacing w:line="209" w:lineRule="exact" w:before="22"/>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line="209" w:lineRule="exact" w:before="22"/>
              <w:ind w:left="932"/>
              <w:jc w:val="left"/>
              <w:rPr>
                <w:sz w:val="18"/>
              </w:rPr>
            </w:pPr>
            <w:r>
              <w:rPr>
                <w:w w:val="110"/>
                <w:sz w:val="18"/>
              </w:rPr>
              <w:t>11</w:t>
            </w:r>
          </w:p>
        </w:tc>
        <w:tc>
          <w:tcPr>
            <w:tcW w:w="2867" w:type="dxa"/>
            <w:tcBorders>
              <w:top w:val="single" w:sz="6" w:space="0" w:color="69BD28"/>
              <w:bottom w:val="single" w:sz="6" w:space="0" w:color="69BD28"/>
            </w:tcBorders>
          </w:tcPr>
          <w:p>
            <w:pPr>
              <w:pStyle w:val="TableParagraph"/>
              <w:spacing w:line="209" w:lineRule="exact" w:before="22"/>
              <w:ind w:left="1049"/>
              <w:jc w:val="left"/>
              <w:rPr>
                <w:sz w:val="18"/>
              </w:rPr>
            </w:pPr>
            <w:r>
              <w:rPr>
                <w:w w:val="110"/>
                <w:sz w:val="18"/>
              </w:rPr>
              <w:t>419,435</w:t>
            </w:r>
          </w:p>
        </w:tc>
      </w:tr>
      <w:tr>
        <w:trPr>
          <w:trHeight w:val="251" w:hRule="atLeast"/>
        </w:trPr>
        <w:tc>
          <w:tcPr>
            <w:tcW w:w="3748" w:type="dxa"/>
            <w:tcBorders>
              <w:top w:val="single" w:sz="6" w:space="0" w:color="69BD28"/>
              <w:bottom w:val="single" w:sz="6" w:space="0" w:color="69BD28"/>
            </w:tcBorders>
          </w:tcPr>
          <w:p>
            <w:pPr>
              <w:pStyle w:val="TableParagraph"/>
              <w:spacing w:line="209" w:lineRule="exact" w:before="22"/>
              <w:ind w:left="1084" w:right="856"/>
              <w:rPr>
                <w:sz w:val="18"/>
              </w:rPr>
            </w:pPr>
            <w:r>
              <w:rPr>
                <w:sz w:val="18"/>
              </w:rPr>
              <w:t>Alder (D1)</w:t>
            </w:r>
          </w:p>
        </w:tc>
        <w:tc>
          <w:tcPr>
            <w:tcW w:w="2498" w:type="dxa"/>
            <w:tcBorders>
              <w:top w:val="single" w:sz="6" w:space="0" w:color="69BD28"/>
              <w:bottom w:val="single" w:sz="6" w:space="0" w:color="69BD28"/>
            </w:tcBorders>
          </w:tcPr>
          <w:p>
            <w:pPr>
              <w:pStyle w:val="TableParagraph"/>
              <w:spacing w:line="209" w:lineRule="exact" w:before="22"/>
              <w:ind w:left="841" w:right="746"/>
              <w:rPr>
                <w:sz w:val="18"/>
              </w:rPr>
            </w:pPr>
            <w:r>
              <w:rPr>
                <w:w w:val="130"/>
                <w:sz w:val="18"/>
              </w:rPr>
              <w:t>B+G+4</w:t>
            </w:r>
          </w:p>
        </w:tc>
        <w:tc>
          <w:tcPr>
            <w:tcW w:w="2401" w:type="dxa"/>
            <w:tcBorders>
              <w:top w:val="single" w:sz="6" w:space="0" w:color="69BD28"/>
              <w:bottom w:val="single" w:sz="6" w:space="0" w:color="69BD28"/>
            </w:tcBorders>
          </w:tcPr>
          <w:p>
            <w:pPr>
              <w:pStyle w:val="TableParagraph"/>
              <w:spacing w:line="209" w:lineRule="exact" w:before="22"/>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line="209" w:lineRule="exact" w:before="22"/>
              <w:ind w:left="932"/>
              <w:jc w:val="left"/>
              <w:rPr>
                <w:sz w:val="18"/>
              </w:rPr>
            </w:pPr>
            <w:r>
              <w:rPr>
                <w:w w:val="110"/>
                <w:sz w:val="18"/>
              </w:rPr>
              <w:t>14</w:t>
            </w:r>
          </w:p>
        </w:tc>
        <w:tc>
          <w:tcPr>
            <w:tcW w:w="2867" w:type="dxa"/>
            <w:tcBorders>
              <w:top w:val="single" w:sz="6" w:space="0" w:color="69BD28"/>
              <w:bottom w:val="single" w:sz="6" w:space="0" w:color="69BD28"/>
            </w:tcBorders>
          </w:tcPr>
          <w:p>
            <w:pPr>
              <w:pStyle w:val="TableParagraph"/>
              <w:spacing w:line="209" w:lineRule="exact" w:before="22"/>
              <w:ind w:left="1049"/>
              <w:jc w:val="left"/>
              <w:rPr>
                <w:sz w:val="18"/>
              </w:rPr>
            </w:pPr>
            <w:r>
              <w:rPr>
                <w:w w:val="110"/>
                <w:sz w:val="18"/>
              </w:rPr>
              <w:t>223,981</w:t>
            </w:r>
          </w:p>
        </w:tc>
      </w:tr>
      <w:tr>
        <w:trPr>
          <w:trHeight w:val="253" w:hRule="atLeast"/>
        </w:trPr>
        <w:tc>
          <w:tcPr>
            <w:tcW w:w="3748" w:type="dxa"/>
            <w:tcBorders>
              <w:top w:val="single" w:sz="6" w:space="0" w:color="69BD28"/>
              <w:bottom w:val="single" w:sz="6" w:space="0" w:color="69BD28"/>
            </w:tcBorders>
          </w:tcPr>
          <w:p>
            <w:pPr>
              <w:pStyle w:val="TableParagraph"/>
              <w:spacing w:before="22"/>
              <w:ind w:left="1084" w:right="854"/>
              <w:rPr>
                <w:sz w:val="18"/>
              </w:rPr>
            </w:pPr>
            <w:r>
              <w:rPr>
                <w:sz w:val="18"/>
              </w:rPr>
              <w:t>Maple (D2)</w:t>
            </w:r>
          </w:p>
        </w:tc>
        <w:tc>
          <w:tcPr>
            <w:tcW w:w="2498" w:type="dxa"/>
            <w:tcBorders>
              <w:top w:val="single" w:sz="6" w:space="0" w:color="69BD28"/>
              <w:bottom w:val="single" w:sz="6" w:space="0" w:color="69BD28"/>
            </w:tcBorders>
          </w:tcPr>
          <w:p>
            <w:pPr>
              <w:pStyle w:val="TableParagraph"/>
              <w:spacing w:before="22"/>
              <w:ind w:left="841" w:right="746"/>
              <w:rPr>
                <w:sz w:val="18"/>
              </w:rPr>
            </w:pPr>
            <w:r>
              <w:rPr>
                <w:w w:val="130"/>
                <w:sz w:val="18"/>
              </w:rPr>
              <w:t>B+G+3</w:t>
            </w:r>
          </w:p>
        </w:tc>
        <w:tc>
          <w:tcPr>
            <w:tcW w:w="2401" w:type="dxa"/>
            <w:tcBorders>
              <w:top w:val="single" w:sz="6" w:space="0" w:color="69BD28"/>
              <w:bottom w:val="single" w:sz="6" w:space="0" w:color="69BD28"/>
            </w:tcBorders>
          </w:tcPr>
          <w:p>
            <w:pPr>
              <w:pStyle w:val="TableParagraph"/>
              <w:spacing w:before="22"/>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before="22"/>
              <w:ind w:left="932"/>
              <w:jc w:val="left"/>
              <w:rPr>
                <w:sz w:val="18"/>
              </w:rPr>
            </w:pPr>
            <w:r>
              <w:rPr>
                <w:w w:val="110"/>
                <w:sz w:val="18"/>
              </w:rPr>
              <w:t>14</w:t>
            </w:r>
          </w:p>
        </w:tc>
        <w:tc>
          <w:tcPr>
            <w:tcW w:w="2867" w:type="dxa"/>
            <w:tcBorders>
              <w:top w:val="single" w:sz="6" w:space="0" w:color="69BD28"/>
              <w:bottom w:val="single" w:sz="6" w:space="0" w:color="69BD28"/>
            </w:tcBorders>
          </w:tcPr>
          <w:p>
            <w:pPr>
              <w:pStyle w:val="TableParagraph"/>
              <w:spacing w:before="22"/>
              <w:ind w:left="1049"/>
              <w:jc w:val="left"/>
              <w:rPr>
                <w:sz w:val="18"/>
              </w:rPr>
            </w:pPr>
            <w:r>
              <w:rPr>
                <w:w w:val="110"/>
                <w:sz w:val="18"/>
              </w:rPr>
              <w:t>215,458</w:t>
            </w:r>
          </w:p>
        </w:tc>
      </w:tr>
      <w:tr>
        <w:trPr>
          <w:trHeight w:val="251" w:hRule="atLeast"/>
        </w:trPr>
        <w:tc>
          <w:tcPr>
            <w:tcW w:w="3748" w:type="dxa"/>
            <w:tcBorders>
              <w:top w:val="single" w:sz="6" w:space="0" w:color="69BD28"/>
              <w:bottom w:val="single" w:sz="6" w:space="0" w:color="69BD28"/>
            </w:tcBorders>
          </w:tcPr>
          <w:p>
            <w:pPr>
              <w:pStyle w:val="TableParagraph"/>
              <w:spacing w:before="20"/>
              <w:ind w:left="1081" w:right="856"/>
              <w:rPr>
                <w:sz w:val="18"/>
              </w:rPr>
            </w:pPr>
            <w:r>
              <w:rPr>
                <w:sz w:val="18"/>
              </w:rPr>
              <w:t>Redwood (D3)</w:t>
            </w:r>
          </w:p>
        </w:tc>
        <w:tc>
          <w:tcPr>
            <w:tcW w:w="2498" w:type="dxa"/>
            <w:tcBorders>
              <w:top w:val="single" w:sz="6" w:space="0" w:color="69BD28"/>
              <w:bottom w:val="single" w:sz="6" w:space="0" w:color="69BD28"/>
            </w:tcBorders>
          </w:tcPr>
          <w:p>
            <w:pPr>
              <w:pStyle w:val="TableParagraph"/>
              <w:spacing w:before="20"/>
              <w:ind w:left="841" w:right="746"/>
              <w:rPr>
                <w:sz w:val="18"/>
              </w:rPr>
            </w:pPr>
            <w:r>
              <w:rPr>
                <w:w w:val="125"/>
                <w:sz w:val="18"/>
              </w:rPr>
              <w:t>B+G+10</w:t>
            </w:r>
          </w:p>
        </w:tc>
        <w:tc>
          <w:tcPr>
            <w:tcW w:w="2401" w:type="dxa"/>
            <w:tcBorders>
              <w:top w:val="single" w:sz="6" w:space="0" w:color="69BD28"/>
              <w:bottom w:val="single" w:sz="6" w:space="0" w:color="69BD28"/>
            </w:tcBorders>
          </w:tcPr>
          <w:p>
            <w:pPr>
              <w:pStyle w:val="TableParagraph"/>
              <w:spacing w:before="20"/>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before="20"/>
              <w:ind w:left="932"/>
              <w:jc w:val="left"/>
              <w:rPr>
                <w:sz w:val="18"/>
              </w:rPr>
            </w:pPr>
            <w:r>
              <w:rPr>
                <w:w w:val="110"/>
                <w:sz w:val="18"/>
              </w:rPr>
              <w:t>13</w:t>
            </w:r>
          </w:p>
        </w:tc>
        <w:tc>
          <w:tcPr>
            <w:tcW w:w="2867" w:type="dxa"/>
            <w:tcBorders>
              <w:top w:val="single" w:sz="6" w:space="0" w:color="69BD28"/>
              <w:bottom w:val="single" w:sz="6" w:space="0" w:color="69BD28"/>
            </w:tcBorders>
          </w:tcPr>
          <w:p>
            <w:pPr>
              <w:pStyle w:val="TableParagraph"/>
              <w:spacing w:before="20"/>
              <w:ind w:left="1049"/>
              <w:jc w:val="left"/>
              <w:rPr>
                <w:sz w:val="18"/>
              </w:rPr>
            </w:pPr>
            <w:r>
              <w:rPr>
                <w:w w:val="110"/>
                <w:sz w:val="18"/>
              </w:rPr>
              <w:t>401,312</w:t>
            </w:r>
          </w:p>
        </w:tc>
      </w:tr>
      <w:tr>
        <w:trPr>
          <w:trHeight w:val="251" w:hRule="atLeast"/>
        </w:trPr>
        <w:tc>
          <w:tcPr>
            <w:tcW w:w="3748" w:type="dxa"/>
            <w:tcBorders>
              <w:top w:val="single" w:sz="6" w:space="0" w:color="69BD28"/>
              <w:bottom w:val="single" w:sz="6" w:space="0" w:color="69BD28"/>
            </w:tcBorders>
          </w:tcPr>
          <w:p>
            <w:pPr>
              <w:pStyle w:val="TableParagraph"/>
              <w:spacing w:line="209" w:lineRule="exact" w:before="22"/>
              <w:ind w:left="1083" w:right="856"/>
              <w:rPr>
                <w:sz w:val="18"/>
              </w:rPr>
            </w:pPr>
            <w:r>
              <w:rPr>
                <w:sz w:val="18"/>
              </w:rPr>
              <w:t>Cypress (D4)</w:t>
            </w:r>
          </w:p>
        </w:tc>
        <w:tc>
          <w:tcPr>
            <w:tcW w:w="2498" w:type="dxa"/>
            <w:tcBorders>
              <w:top w:val="single" w:sz="6" w:space="0" w:color="69BD28"/>
              <w:bottom w:val="single" w:sz="6" w:space="0" w:color="69BD28"/>
            </w:tcBorders>
          </w:tcPr>
          <w:p>
            <w:pPr>
              <w:pStyle w:val="TableParagraph"/>
              <w:spacing w:line="209" w:lineRule="exact" w:before="22"/>
              <w:ind w:left="841" w:right="746"/>
              <w:rPr>
                <w:sz w:val="18"/>
              </w:rPr>
            </w:pPr>
            <w:r>
              <w:rPr>
                <w:w w:val="125"/>
                <w:sz w:val="18"/>
              </w:rPr>
              <w:t>B+G+10</w:t>
            </w:r>
          </w:p>
        </w:tc>
        <w:tc>
          <w:tcPr>
            <w:tcW w:w="2401" w:type="dxa"/>
            <w:tcBorders>
              <w:top w:val="single" w:sz="6" w:space="0" w:color="69BD28"/>
              <w:bottom w:val="single" w:sz="6" w:space="0" w:color="69BD28"/>
            </w:tcBorders>
          </w:tcPr>
          <w:p>
            <w:pPr>
              <w:pStyle w:val="TableParagraph"/>
              <w:spacing w:line="209" w:lineRule="exact" w:before="22"/>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line="209" w:lineRule="exact" w:before="22"/>
              <w:ind w:left="932"/>
              <w:jc w:val="left"/>
              <w:rPr>
                <w:sz w:val="18"/>
              </w:rPr>
            </w:pPr>
            <w:r>
              <w:rPr>
                <w:w w:val="110"/>
                <w:sz w:val="18"/>
              </w:rPr>
              <w:t>13</w:t>
            </w:r>
          </w:p>
        </w:tc>
        <w:tc>
          <w:tcPr>
            <w:tcW w:w="2867" w:type="dxa"/>
            <w:tcBorders>
              <w:top w:val="single" w:sz="6" w:space="0" w:color="69BD28"/>
              <w:bottom w:val="single" w:sz="6" w:space="0" w:color="69BD28"/>
            </w:tcBorders>
          </w:tcPr>
          <w:p>
            <w:pPr>
              <w:pStyle w:val="TableParagraph"/>
              <w:spacing w:line="209" w:lineRule="exact" w:before="22"/>
              <w:ind w:left="1049"/>
              <w:jc w:val="left"/>
              <w:rPr>
                <w:sz w:val="18"/>
              </w:rPr>
            </w:pPr>
            <w:r>
              <w:rPr>
                <w:w w:val="110"/>
                <w:sz w:val="18"/>
              </w:rPr>
              <w:t>526,462</w:t>
            </w:r>
          </w:p>
        </w:tc>
      </w:tr>
      <w:tr>
        <w:trPr>
          <w:trHeight w:val="251" w:hRule="atLeast"/>
        </w:trPr>
        <w:tc>
          <w:tcPr>
            <w:tcW w:w="3748" w:type="dxa"/>
            <w:tcBorders>
              <w:top w:val="single" w:sz="6" w:space="0" w:color="69BD28"/>
              <w:bottom w:val="single" w:sz="6" w:space="0" w:color="69BD28"/>
            </w:tcBorders>
          </w:tcPr>
          <w:p>
            <w:pPr>
              <w:pStyle w:val="TableParagraph"/>
              <w:spacing w:line="209" w:lineRule="exact" w:before="22"/>
              <w:ind w:left="1081" w:right="856"/>
              <w:rPr>
                <w:sz w:val="18"/>
              </w:rPr>
            </w:pPr>
            <w:r>
              <w:rPr>
                <w:sz w:val="18"/>
              </w:rPr>
              <w:t>Beech (E1&amp;FC)</w:t>
            </w:r>
          </w:p>
        </w:tc>
        <w:tc>
          <w:tcPr>
            <w:tcW w:w="2498" w:type="dxa"/>
            <w:tcBorders>
              <w:top w:val="single" w:sz="6" w:space="0" w:color="69BD28"/>
              <w:bottom w:val="single" w:sz="6" w:space="0" w:color="69BD28"/>
            </w:tcBorders>
          </w:tcPr>
          <w:p>
            <w:pPr>
              <w:pStyle w:val="TableParagraph"/>
              <w:spacing w:line="209" w:lineRule="exact" w:before="22"/>
              <w:ind w:left="841" w:right="746"/>
              <w:rPr>
                <w:sz w:val="18"/>
              </w:rPr>
            </w:pPr>
            <w:r>
              <w:rPr>
                <w:w w:val="130"/>
                <w:sz w:val="18"/>
              </w:rPr>
              <w:t>B+G+3</w:t>
            </w:r>
          </w:p>
        </w:tc>
        <w:tc>
          <w:tcPr>
            <w:tcW w:w="2401" w:type="dxa"/>
            <w:tcBorders>
              <w:top w:val="single" w:sz="6" w:space="0" w:color="69BD28"/>
              <w:bottom w:val="single" w:sz="6" w:space="0" w:color="69BD28"/>
            </w:tcBorders>
          </w:tcPr>
          <w:p>
            <w:pPr>
              <w:pStyle w:val="TableParagraph"/>
              <w:spacing w:line="209" w:lineRule="exact" w:before="22"/>
              <w:ind w:left="751" w:right="918"/>
              <w:rPr>
                <w:sz w:val="18"/>
              </w:rPr>
            </w:pPr>
            <w:r>
              <w:rPr>
                <w:w w:val="105"/>
                <w:sz w:val="18"/>
              </w:rPr>
              <w:t>Non-SEZ</w:t>
            </w:r>
          </w:p>
        </w:tc>
        <w:tc>
          <w:tcPr>
            <w:tcW w:w="2198" w:type="dxa"/>
            <w:tcBorders>
              <w:top w:val="single" w:sz="6" w:space="0" w:color="69BD28"/>
              <w:bottom w:val="single" w:sz="6" w:space="0" w:color="69BD28"/>
            </w:tcBorders>
          </w:tcPr>
          <w:p>
            <w:pPr>
              <w:pStyle w:val="TableParagraph"/>
              <w:spacing w:line="209" w:lineRule="exact" w:before="22"/>
              <w:ind w:left="932"/>
              <w:jc w:val="left"/>
              <w:rPr>
                <w:sz w:val="18"/>
              </w:rPr>
            </w:pPr>
            <w:r>
              <w:rPr>
                <w:w w:val="110"/>
                <w:sz w:val="18"/>
              </w:rPr>
              <w:t>12</w:t>
            </w:r>
          </w:p>
        </w:tc>
        <w:tc>
          <w:tcPr>
            <w:tcW w:w="2867" w:type="dxa"/>
            <w:tcBorders>
              <w:top w:val="single" w:sz="6" w:space="0" w:color="69BD28"/>
              <w:bottom w:val="single" w:sz="6" w:space="0" w:color="69BD28"/>
            </w:tcBorders>
          </w:tcPr>
          <w:p>
            <w:pPr>
              <w:pStyle w:val="TableParagraph"/>
              <w:spacing w:line="209" w:lineRule="exact" w:before="22"/>
              <w:ind w:left="1049"/>
              <w:jc w:val="left"/>
              <w:rPr>
                <w:sz w:val="18"/>
              </w:rPr>
            </w:pPr>
            <w:r>
              <w:rPr>
                <w:w w:val="110"/>
                <w:sz w:val="18"/>
              </w:rPr>
              <w:t>164,945</w:t>
            </w:r>
          </w:p>
        </w:tc>
      </w:tr>
      <w:tr>
        <w:trPr>
          <w:trHeight w:val="254" w:hRule="atLeast"/>
        </w:trPr>
        <w:tc>
          <w:tcPr>
            <w:tcW w:w="3748" w:type="dxa"/>
            <w:tcBorders>
              <w:top w:val="single" w:sz="6" w:space="0" w:color="69BD28"/>
              <w:bottom w:val="single" w:sz="6" w:space="0" w:color="69BD28"/>
            </w:tcBorders>
          </w:tcPr>
          <w:p>
            <w:pPr>
              <w:pStyle w:val="TableParagraph"/>
              <w:spacing w:before="23"/>
              <w:ind w:left="1084" w:right="856"/>
              <w:rPr>
                <w:sz w:val="18"/>
              </w:rPr>
            </w:pPr>
            <w:r>
              <w:rPr>
                <w:sz w:val="18"/>
              </w:rPr>
              <w:t>Ebony (G2)</w:t>
            </w:r>
          </w:p>
        </w:tc>
        <w:tc>
          <w:tcPr>
            <w:tcW w:w="2498" w:type="dxa"/>
            <w:tcBorders>
              <w:top w:val="single" w:sz="6" w:space="0" w:color="69BD28"/>
              <w:bottom w:val="single" w:sz="6" w:space="0" w:color="69BD28"/>
            </w:tcBorders>
          </w:tcPr>
          <w:p>
            <w:pPr>
              <w:pStyle w:val="TableParagraph"/>
              <w:spacing w:before="23"/>
              <w:ind w:left="841" w:right="746"/>
              <w:rPr>
                <w:sz w:val="18"/>
              </w:rPr>
            </w:pPr>
            <w:r>
              <w:rPr>
                <w:w w:val="125"/>
                <w:sz w:val="18"/>
              </w:rPr>
              <w:t>2B+G+8</w:t>
            </w:r>
          </w:p>
        </w:tc>
        <w:tc>
          <w:tcPr>
            <w:tcW w:w="2401" w:type="dxa"/>
            <w:tcBorders>
              <w:top w:val="single" w:sz="6" w:space="0" w:color="69BD28"/>
              <w:bottom w:val="single" w:sz="6" w:space="0" w:color="69BD28"/>
            </w:tcBorders>
          </w:tcPr>
          <w:p>
            <w:pPr>
              <w:pStyle w:val="TableParagraph"/>
              <w:spacing w:before="23"/>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before="23"/>
              <w:ind w:left="985"/>
              <w:jc w:val="left"/>
              <w:rPr>
                <w:sz w:val="18"/>
              </w:rPr>
            </w:pPr>
            <w:r>
              <w:rPr>
                <w:w w:val="112"/>
                <w:sz w:val="18"/>
              </w:rPr>
              <w:t>8</w:t>
            </w:r>
          </w:p>
        </w:tc>
        <w:tc>
          <w:tcPr>
            <w:tcW w:w="2867" w:type="dxa"/>
            <w:tcBorders>
              <w:top w:val="single" w:sz="6" w:space="0" w:color="69BD28"/>
              <w:bottom w:val="single" w:sz="6" w:space="0" w:color="69BD28"/>
            </w:tcBorders>
          </w:tcPr>
          <w:p>
            <w:pPr>
              <w:pStyle w:val="TableParagraph"/>
              <w:spacing w:before="23"/>
              <w:ind w:left="1049"/>
              <w:jc w:val="left"/>
              <w:rPr>
                <w:sz w:val="18"/>
              </w:rPr>
            </w:pPr>
            <w:r>
              <w:rPr>
                <w:w w:val="110"/>
                <w:sz w:val="18"/>
              </w:rPr>
              <w:t>403,526</w:t>
            </w:r>
          </w:p>
        </w:tc>
      </w:tr>
      <w:tr>
        <w:trPr>
          <w:trHeight w:val="251" w:hRule="atLeast"/>
        </w:trPr>
        <w:tc>
          <w:tcPr>
            <w:tcW w:w="3748" w:type="dxa"/>
            <w:tcBorders>
              <w:top w:val="single" w:sz="6" w:space="0" w:color="69BD28"/>
              <w:bottom w:val="single" w:sz="6" w:space="0" w:color="69BD28"/>
            </w:tcBorders>
          </w:tcPr>
          <w:p>
            <w:pPr>
              <w:pStyle w:val="TableParagraph"/>
              <w:spacing w:before="20"/>
              <w:ind w:left="1084" w:right="854"/>
              <w:rPr>
                <w:sz w:val="18"/>
              </w:rPr>
            </w:pPr>
            <w:r>
              <w:rPr>
                <w:sz w:val="18"/>
              </w:rPr>
              <w:t>Aspen (G4)</w:t>
            </w:r>
          </w:p>
        </w:tc>
        <w:tc>
          <w:tcPr>
            <w:tcW w:w="2498" w:type="dxa"/>
            <w:tcBorders>
              <w:top w:val="single" w:sz="6" w:space="0" w:color="69BD28"/>
              <w:bottom w:val="single" w:sz="6" w:space="0" w:color="69BD28"/>
            </w:tcBorders>
          </w:tcPr>
          <w:p>
            <w:pPr>
              <w:pStyle w:val="TableParagraph"/>
              <w:spacing w:before="20"/>
              <w:ind w:left="841" w:right="746"/>
              <w:rPr>
                <w:sz w:val="18"/>
              </w:rPr>
            </w:pPr>
            <w:r>
              <w:rPr>
                <w:w w:val="125"/>
                <w:sz w:val="18"/>
              </w:rPr>
              <w:t>2B+G+10</w:t>
            </w:r>
          </w:p>
        </w:tc>
        <w:tc>
          <w:tcPr>
            <w:tcW w:w="2401" w:type="dxa"/>
            <w:tcBorders>
              <w:top w:val="single" w:sz="6" w:space="0" w:color="69BD28"/>
              <w:bottom w:val="single" w:sz="6" w:space="0" w:color="69BD28"/>
            </w:tcBorders>
          </w:tcPr>
          <w:p>
            <w:pPr>
              <w:pStyle w:val="TableParagraph"/>
              <w:spacing w:before="20"/>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before="20"/>
              <w:ind w:left="985"/>
              <w:jc w:val="left"/>
              <w:rPr>
                <w:sz w:val="18"/>
              </w:rPr>
            </w:pPr>
            <w:r>
              <w:rPr>
                <w:w w:val="112"/>
                <w:sz w:val="18"/>
              </w:rPr>
              <w:t>8</w:t>
            </w:r>
          </w:p>
        </w:tc>
        <w:tc>
          <w:tcPr>
            <w:tcW w:w="2867" w:type="dxa"/>
            <w:tcBorders>
              <w:top w:val="single" w:sz="6" w:space="0" w:color="69BD28"/>
              <w:bottom w:val="single" w:sz="6" w:space="0" w:color="69BD28"/>
            </w:tcBorders>
          </w:tcPr>
          <w:p>
            <w:pPr>
              <w:pStyle w:val="TableParagraph"/>
              <w:spacing w:before="20"/>
              <w:ind w:left="1049"/>
              <w:jc w:val="left"/>
              <w:rPr>
                <w:sz w:val="18"/>
              </w:rPr>
            </w:pPr>
            <w:r>
              <w:rPr>
                <w:w w:val="110"/>
                <w:sz w:val="18"/>
              </w:rPr>
              <w:t>448,743</w:t>
            </w:r>
          </w:p>
        </w:tc>
      </w:tr>
      <w:tr>
        <w:trPr>
          <w:trHeight w:val="251" w:hRule="atLeast"/>
        </w:trPr>
        <w:tc>
          <w:tcPr>
            <w:tcW w:w="3748" w:type="dxa"/>
            <w:tcBorders>
              <w:top w:val="single" w:sz="6" w:space="0" w:color="69BD28"/>
              <w:bottom w:val="single" w:sz="6" w:space="0" w:color="69BD28"/>
            </w:tcBorders>
          </w:tcPr>
          <w:p>
            <w:pPr>
              <w:pStyle w:val="TableParagraph"/>
              <w:spacing w:line="209" w:lineRule="exact" w:before="22"/>
              <w:ind w:left="1083" w:right="856"/>
              <w:rPr>
                <w:sz w:val="18"/>
              </w:rPr>
            </w:pPr>
            <w:r>
              <w:rPr>
                <w:sz w:val="18"/>
              </w:rPr>
              <w:t>Rosewood (K)</w:t>
            </w:r>
          </w:p>
        </w:tc>
        <w:tc>
          <w:tcPr>
            <w:tcW w:w="2498" w:type="dxa"/>
            <w:tcBorders>
              <w:top w:val="single" w:sz="6" w:space="0" w:color="69BD28"/>
              <w:bottom w:val="single" w:sz="6" w:space="0" w:color="69BD28"/>
            </w:tcBorders>
          </w:tcPr>
          <w:p>
            <w:pPr>
              <w:pStyle w:val="TableParagraph"/>
              <w:spacing w:line="209" w:lineRule="exact" w:before="22"/>
              <w:ind w:left="841" w:right="746"/>
              <w:rPr>
                <w:sz w:val="18"/>
              </w:rPr>
            </w:pPr>
            <w:r>
              <w:rPr>
                <w:w w:val="130"/>
                <w:sz w:val="18"/>
              </w:rPr>
              <w:t>B+G+4</w:t>
            </w:r>
          </w:p>
        </w:tc>
        <w:tc>
          <w:tcPr>
            <w:tcW w:w="2401" w:type="dxa"/>
            <w:tcBorders>
              <w:top w:val="single" w:sz="6" w:space="0" w:color="69BD28"/>
              <w:bottom w:val="single" w:sz="6" w:space="0" w:color="69BD28"/>
            </w:tcBorders>
          </w:tcPr>
          <w:p>
            <w:pPr>
              <w:pStyle w:val="TableParagraph"/>
              <w:spacing w:line="209" w:lineRule="exact" w:before="22"/>
              <w:ind w:left="751" w:right="918"/>
              <w:rPr>
                <w:sz w:val="18"/>
              </w:rPr>
            </w:pPr>
            <w:r>
              <w:rPr>
                <w:w w:val="105"/>
                <w:sz w:val="18"/>
              </w:rPr>
              <w:t>Non-SEZ</w:t>
            </w:r>
          </w:p>
        </w:tc>
        <w:tc>
          <w:tcPr>
            <w:tcW w:w="2198" w:type="dxa"/>
            <w:tcBorders>
              <w:top w:val="single" w:sz="6" w:space="0" w:color="69BD28"/>
              <w:bottom w:val="single" w:sz="6" w:space="0" w:color="69BD28"/>
            </w:tcBorders>
          </w:tcPr>
          <w:p>
            <w:pPr>
              <w:pStyle w:val="TableParagraph"/>
              <w:spacing w:line="209" w:lineRule="exact" w:before="22"/>
              <w:ind w:left="932"/>
              <w:jc w:val="left"/>
              <w:rPr>
                <w:sz w:val="18"/>
              </w:rPr>
            </w:pPr>
            <w:r>
              <w:rPr>
                <w:w w:val="110"/>
                <w:sz w:val="18"/>
              </w:rPr>
              <w:t>14</w:t>
            </w:r>
          </w:p>
        </w:tc>
        <w:tc>
          <w:tcPr>
            <w:tcW w:w="2867" w:type="dxa"/>
            <w:tcBorders>
              <w:top w:val="single" w:sz="6" w:space="0" w:color="69BD28"/>
              <w:bottom w:val="single" w:sz="6" w:space="0" w:color="69BD28"/>
            </w:tcBorders>
          </w:tcPr>
          <w:p>
            <w:pPr>
              <w:pStyle w:val="TableParagraph"/>
              <w:spacing w:line="209" w:lineRule="exact" w:before="22"/>
              <w:ind w:left="1049"/>
              <w:jc w:val="left"/>
              <w:rPr>
                <w:sz w:val="18"/>
              </w:rPr>
            </w:pPr>
            <w:r>
              <w:rPr>
                <w:w w:val="110"/>
                <w:sz w:val="18"/>
              </w:rPr>
              <w:t>218,215</w:t>
            </w:r>
          </w:p>
        </w:tc>
      </w:tr>
      <w:tr>
        <w:trPr>
          <w:trHeight w:val="251" w:hRule="atLeast"/>
        </w:trPr>
        <w:tc>
          <w:tcPr>
            <w:tcW w:w="3748" w:type="dxa"/>
            <w:tcBorders>
              <w:top w:val="single" w:sz="6" w:space="0" w:color="69BD28"/>
              <w:bottom w:val="single" w:sz="6" w:space="0" w:color="69BD28"/>
            </w:tcBorders>
          </w:tcPr>
          <w:p>
            <w:pPr>
              <w:pStyle w:val="TableParagraph"/>
              <w:spacing w:line="209" w:lineRule="exact" w:before="22"/>
              <w:ind w:left="1084" w:right="854"/>
              <w:rPr>
                <w:sz w:val="18"/>
              </w:rPr>
            </w:pPr>
            <w:r>
              <w:rPr>
                <w:sz w:val="18"/>
              </w:rPr>
              <w:t>Magnolia (B)</w:t>
            </w:r>
          </w:p>
        </w:tc>
        <w:tc>
          <w:tcPr>
            <w:tcW w:w="2498" w:type="dxa"/>
            <w:tcBorders>
              <w:top w:val="single" w:sz="6" w:space="0" w:color="69BD28"/>
              <w:bottom w:val="single" w:sz="6" w:space="0" w:color="69BD28"/>
            </w:tcBorders>
          </w:tcPr>
          <w:p>
            <w:pPr>
              <w:pStyle w:val="TableParagraph"/>
              <w:spacing w:line="209" w:lineRule="exact" w:before="22"/>
              <w:ind w:left="841" w:right="746"/>
              <w:rPr>
                <w:sz w:val="18"/>
              </w:rPr>
            </w:pPr>
            <w:r>
              <w:rPr>
                <w:w w:val="130"/>
                <w:sz w:val="18"/>
              </w:rPr>
              <w:t>B+G+3</w:t>
            </w:r>
          </w:p>
        </w:tc>
        <w:tc>
          <w:tcPr>
            <w:tcW w:w="2401" w:type="dxa"/>
            <w:tcBorders>
              <w:top w:val="single" w:sz="6" w:space="0" w:color="69BD28"/>
              <w:bottom w:val="single" w:sz="6" w:space="0" w:color="69BD28"/>
            </w:tcBorders>
          </w:tcPr>
          <w:p>
            <w:pPr>
              <w:pStyle w:val="TableParagraph"/>
              <w:spacing w:line="209" w:lineRule="exact" w:before="22"/>
              <w:ind w:left="751" w:right="918"/>
              <w:rPr>
                <w:sz w:val="18"/>
              </w:rPr>
            </w:pPr>
            <w:r>
              <w:rPr>
                <w:w w:val="105"/>
                <w:sz w:val="18"/>
              </w:rPr>
              <w:t>Non-SEZ</w:t>
            </w:r>
          </w:p>
        </w:tc>
        <w:tc>
          <w:tcPr>
            <w:tcW w:w="2198" w:type="dxa"/>
            <w:tcBorders>
              <w:top w:val="single" w:sz="6" w:space="0" w:color="69BD28"/>
              <w:bottom w:val="single" w:sz="6" w:space="0" w:color="69BD28"/>
            </w:tcBorders>
          </w:tcPr>
          <w:p>
            <w:pPr>
              <w:pStyle w:val="TableParagraph"/>
              <w:spacing w:line="209" w:lineRule="exact" w:before="22"/>
              <w:ind w:left="932"/>
              <w:jc w:val="left"/>
              <w:rPr>
                <w:sz w:val="18"/>
              </w:rPr>
            </w:pPr>
            <w:r>
              <w:rPr>
                <w:w w:val="110"/>
                <w:sz w:val="18"/>
              </w:rPr>
              <w:t>14</w:t>
            </w:r>
          </w:p>
        </w:tc>
        <w:tc>
          <w:tcPr>
            <w:tcW w:w="2867" w:type="dxa"/>
            <w:tcBorders>
              <w:top w:val="single" w:sz="6" w:space="0" w:color="69BD28"/>
              <w:bottom w:val="single" w:sz="6" w:space="0" w:color="69BD28"/>
            </w:tcBorders>
          </w:tcPr>
          <w:p>
            <w:pPr>
              <w:pStyle w:val="TableParagraph"/>
              <w:spacing w:line="209" w:lineRule="exact" w:before="22"/>
              <w:ind w:left="1049"/>
              <w:jc w:val="left"/>
              <w:rPr>
                <w:sz w:val="18"/>
              </w:rPr>
            </w:pPr>
            <w:r>
              <w:rPr>
                <w:w w:val="110"/>
                <w:sz w:val="18"/>
              </w:rPr>
              <w:t>280,538</w:t>
            </w:r>
          </w:p>
        </w:tc>
      </w:tr>
      <w:tr>
        <w:trPr>
          <w:trHeight w:val="253" w:hRule="atLeast"/>
        </w:trPr>
        <w:tc>
          <w:tcPr>
            <w:tcW w:w="3748" w:type="dxa"/>
            <w:tcBorders>
              <w:top w:val="single" w:sz="6" w:space="0" w:color="69BD28"/>
              <w:bottom w:val="single" w:sz="6" w:space="0" w:color="69BD28"/>
            </w:tcBorders>
          </w:tcPr>
          <w:p>
            <w:pPr>
              <w:pStyle w:val="TableParagraph"/>
              <w:spacing w:before="22"/>
              <w:ind w:left="1082" w:right="856"/>
              <w:rPr>
                <w:sz w:val="18"/>
              </w:rPr>
            </w:pPr>
            <w:r>
              <w:rPr>
                <w:sz w:val="18"/>
              </w:rPr>
              <w:t>Silver Fir (L6)</w:t>
            </w:r>
          </w:p>
        </w:tc>
        <w:tc>
          <w:tcPr>
            <w:tcW w:w="2498" w:type="dxa"/>
            <w:tcBorders>
              <w:top w:val="single" w:sz="6" w:space="0" w:color="69BD28"/>
              <w:bottom w:val="single" w:sz="6" w:space="0" w:color="69BD28"/>
            </w:tcBorders>
          </w:tcPr>
          <w:p>
            <w:pPr>
              <w:pStyle w:val="TableParagraph"/>
              <w:spacing w:before="22"/>
              <w:ind w:left="841" w:right="746"/>
              <w:rPr>
                <w:sz w:val="18"/>
              </w:rPr>
            </w:pPr>
            <w:r>
              <w:rPr>
                <w:w w:val="125"/>
                <w:sz w:val="18"/>
              </w:rPr>
              <w:t>B+G+10</w:t>
            </w:r>
          </w:p>
        </w:tc>
        <w:tc>
          <w:tcPr>
            <w:tcW w:w="2401" w:type="dxa"/>
            <w:tcBorders>
              <w:top w:val="single" w:sz="6" w:space="0" w:color="69BD28"/>
              <w:bottom w:val="single" w:sz="6" w:space="0" w:color="69BD28"/>
            </w:tcBorders>
          </w:tcPr>
          <w:p>
            <w:pPr>
              <w:pStyle w:val="TableParagraph"/>
              <w:spacing w:before="22"/>
              <w:ind w:left="751" w:right="918"/>
              <w:rPr>
                <w:sz w:val="18"/>
              </w:rPr>
            </w:pPr>
            <w:r>
              <w:rPr>
                <w:w w:val="105"/>
                <w:sz w:val="18"/>
              </w:rPr>
              <w:t>Non-SEZ</w:t>
            </w:r>
          </w:p>
        </w:tc>
        <w:tc>
          <w:tcPr>
            <w:tcW w:w="2198" w:type="dxa"/>
            <w:tcBorders>
              <w:top w:val="single" w:sz="6" w:space="0" w:color="69BD28"/>
              <w:bottom w:val="single" w:sz="6" w:space="0" w:color="69BD28"/>
            </w:tcBorders>
          </w:tcPr>
          <w:p>
            <w:pPr>
              <w:pStyle w:val="TableParagraph"/>
              <w:spacing w:before="22"/>
              <w:ind w:left="985"/>
              <w:jc w:val="left"/>
              <w:rPr>
                <w:sz w:val="18"/>
              </w:rPr>
            </w:pPr>
            <w:r>
              <w:rPr>
                <w:w w:val="112"/>
                <w:sz w:val="18"/>
              </w:rPr>
              <w:t>9</w:t>
            </w:r>
          </w:p>
        </w:tc>
        <w:tc>
          <w:tcPr>
            <w:tcW w:w="2867" w:type="dxa"/>
            <w:tcBorders>
              <w:top w:val="single" w:sz="6" w:space="0" w:color="69BD28"/>
              <w:bottom w:val="single" w:sz="6" w:space="0" w:color="69BD28"/>
            </w:tcBorders>
          </w:tcPr>
          <w:p>
            <w:pPr>
              <w:pStyle w:val="TableParagraph"/>
              <w:spacing w:before="22"/>
              <w:ind w:left="1049"/>
              <w:jc w:val="left"/>
              <w:rPr>
                <w:sz w:val="18"/>
              </w:rPr>
            </w:pPr>
            <w:r>
              <w:rPr>
                <w:w w:val="110"/>
                <w:sz w:val="18"/>
              </w:rPr>
              <w:t>365,601</w:t>
            </w:r>
          </w:p>
        </w:tc>
      </w:tr>
      <w:tr>
        <w:trPr>
          <w:trHeight w:val="251" w:hRule="atLeast"/>
        </w:trPr>
        <w:tc>
          <w:tcPr>
            <w:tcW w:w="3748" w:type="dxa"/>
            <w:tcBorders>
              <w:top w:val="single" w:sz="6" w:space="0" w:color="69BD28"/>
              <w:bottom w:val="single" w:sz="6" w:space="0" w:color="69BD28"/>
            </w:tcBorders>
          </w:tcPr>
          <w:p>
            <w:pPr>
              <w:pStyle w:val="TableParagraph"/>
              <w:spacing w:before="20"/>
              <w:ind w:left="1083" w:right="856"/>
              <w:rPr>
                <w:sz w:val="18"/>
              </w:rPr>
            </w:pPr>
            <w:r>
              <w:rPr>
                <w:w w:val="105"/>
                <w:sz w:val="18"/>
              </w:rPr>
              <w:t>Mahogany (F2)</w:t>
            </w:r>
          </w:p>
        </w:tc>
        <w:tc>
          <w:tcPr>
            <w:tcW w:w="2498" w:type="dxa"/>
            <w:tcBorders>
              <w:top w:val="single" w:sz="6" w:space="0" w:color="69BD28"/>
              <w:bottom w:val="single" w:sz="6" w:space="0" w:color="69BD28"/>
            </w:tcBorders>
          </w:tcPr>
          <w:p>
            <w:pPr>
              <w:pStyle w:val="TableParagraph"/>
              <w:spacing w:before="20"/>
              <w:ind w:left="841" w:right="746"/>
              <w:rPr>
                <w:sz w:val="18"/>
              </w:rPr>
            </w:pPr>
            <w:r>
              <w:rPr>
                <w:w w:val="125"/>
                <w:sz w:val="18"/>
              </w:rPr>
              <w:t>B+G+10</w:t>
            </w:r>
          </w:p>
        </w:tc>
        <w:tc>
          <w:tcPr>
            <w:tcW w:w="2401" w:type="dxa"/>
            <w:tcBorders>
              <w:top w:val="single" w:sz="6" w:space="0" w:color="69BD28"/>
              <w:bottom w:val="single" w:sz="6" w:space="0" w:color="69BD28"/>
            </w:tcBorders>
          </w:tcPr>
          <w:p>
            <w:pPr>
              <w:pStyle w:val="TableParagraph"/>
              <w:spacing w:before="20"/>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before="20"/>
              <w:ind w:left="932"/>
              <w:jc w:val="left"/>
              <w:rPr>
                <w:sz w:val="18"/>
              </w:rPr>
            </w:pPr>
            <w:r>
              <w:rPr>
                <w:w w:val="110"/>
                <w:sz w:val="18"/>
              </w:rPr>
              <w:t>11</w:t>
            </w:r>
          </w:p>
        </w:tc>
        <w:tc>
          <w:tcPr>
            <w:tcW w:w="2867" w:type="dxa"/>
            <w:tcBorders>
              <w:top w:val="single" w:sz="6" w:space="0" w:color="69BD28"/>
              <w:bottom w:val="single" w:sz="6" w:space="0" w:color="69BD28"/>
            </w:tcBorders>
          </w:tcPr>
          <w:p>
            <w:pPr>
              <w:pStyle w:val="TableParagraph"/>
              <w:spacing w:before="20"/>
              <w:ind w:left="1049"/>
              <w:jc w:val="left"/>
              <w:rPr>
                <w:sz w:val="18"/>
              </w:rPr>
            </w:pPr>
            <w:r>
              <w:rPr>
                <w:w w:val="110"/>
                <w:sz w:val="18"/>
              </w:rPr>
              <w:t>753,358</w:t>
            </w:r>
          </w:p>
        </w:tc>
      </w:tr>
      <w:tr>
        <w:trPr>
          <w:trHeight w:val="251" w:hRule="atLeast"/>
        </w:trPr>
        <w:tc>
          <w:tcPr>
            <w:tcW w:w="3748" w:type="dxa"/>
            <w:tcBorders>
              <w:top w:val="single" w:sz="6" w:space="0" w:color="69BD28"/>
              <w:bottom w:val="single" w:sz="6" w:space="0" w:color="69BD28"/>
            </w:tcBorders>
          </w:tcPr>
          <w:p>
            <w:pPr>
              <w:pStyle w:val="TableParagraph"/>
              <w:spacing w:line="209" w:lineRule="exact" w:before="22"/>
              <w:ind w:left="1084" w:right="854"/>
              <w:rPr>
                <w:sz w:val="18"/>
              </w:rPr>
            </w:pPr>
            <w:r>
              <w:rPr>
                <w:sz w:val="18"/>
              </w:rPr>
              <w:t>Silver Oak (E2)</w:t>
            </w:r>
          </w:p>
        </w:tc>
        <w:tc>
          <w:tcPr>
            <w:tcW w:w="2498" w:type="dxa"/>
            <w:tcBorders>
              <w:top w:val="single" w:sz="6" w:space="0" w:color="69BD28"/>
              <w:bottom w:val="single" w:sz="6" w:space="0" w:color="69BD28"/>
            </w:tcBorders>
          </w:tcPr>
          <w:p>
            <w:pPr>
              <w:pStyle w:val="TableParagraph"/>
              <w:spacing w:line="209" w:lineRule="exact" w:before="22"/>
              <w:ind w:left="839" w:right="746"/>
              <w:rPr>
                <w:sz w:val="18"/>
              </w:rPr>
            </w:pPr>
            <w:r>
              <w:rPr>
                <w:w w:val="130"/>
                <w:sz w:val="18"/>
              </w:rPr>
              <w:t>G+7</w:t>
            </w:r>
          </w:p>
        </w:tc>
        <w:tc>
          <w:tcPr>
            <w:tcW w:w="2401" w:type="dxa"/>
            <w:tcBorders>
              <w:top w:val="single" w:sz="6" w:space="0" w:color="69BD28"/>
              <w:bottom w:val="single" w:sz="6" w:space="0" w:color="69BD28"/>
            </w:tcBorders>
          </w:tcPr>
          <w:p>
            <w:pPr>
              <w:pStyle w:val="TableParagraph"/>
              <w:spacing w:line="209" w:lineRule="exact" w:before="22"/>
              <w:ind w:left="751" w:right="918"/>
              <w:rPr>
                <w:sz w:val="18"/>
              </w:rPr>
            </w:pPr>
            <w:r>
              <w:rPr>
                <w:w w:val="105"/>
                <w:sz w:val="18"/>
              </w:rPr>
              <w:t>Non-SEZ</w:t>
            </w:r>
          </w:p>
        </w:tc>
        <w:tc>
          <w:tcPr>
            <w:tcW w:w="2198" w:type="dxa"/>
            <w:tcBorders>
              <w:top w:val="single" w:sz="6" w:space="0" w:color="69BD28"/>
              <w:bottom w:val="single" w:sz="6" w:space="0" w:color="69BD28"/>
            </w:tcBorders>
          </w:tcPr>
          <w:p>
            <w:pPr>
              <w:pStyle w:val="TableParagraph"/>
              <w:spacing w:line="209" w:lineRule="exact" w:before="22"/>
              <w:ind w:left="932"/>
              <w:jc w:val="left"/>
              <w:rPr>
                <w:sz w:val="18"/>
              </w:rPr>
            </w:pPr>
            <w:r>
              <w:rPr>
                <w:w w:val="110"/>
                <w:sz w:val="18"/>
              </w:rPr>
              <w:t>12</w:t>
            </w:r>
          </w:p>
        </w:tc>
        <w:tc>
          <w:tcPr>
            <w:tcW w:w="2867" w:type="dxa"/>
            <w:tcBorders>
              <w:top w:val="single" w:sz="6" w:space="0" w:color="69BD28"/>
              <w:bottom w:val="single" w:sz="6" w:space="0" w:color="69BD28"/>
            </w:tcBorders>
          </w:tcPr>
          <w:p>
            <w:pPr>
              <w:pStyle w:val="TableParagraph"/>
              <w:spacing w:line="209" w:lineRule="exact" w:before="22"/>
              <w:ind w:left="1049"/>
              <w:jc w:val="left"/>
              <w:rPr>
                <w:sz w:val="18"/>
              </w:rPr>
            </w:pPr>
            <w:r>
              <w:rPr>
                <w:w w:val="110"/>
                <w:sz w:val="18"/>
              </w:rPr>
              <w:t>512,418</w:t>
            </w:r>
          </w:p>
        </w:tc>
      </w:tr>
      <w:tr>
        <w:trPr>
          <w:trHeight w:val="251" w:hRule="atLeast"/>
        </w:trPr>
        <w:tc>
          <w:tcPr>
            <w:tcW w:w="3748" w:type="dxa"/>
            <w:tcBorders>
              <w:top w:val="single" w:sz="6" w:space="0" w:color="69BD28"/>
              <w:bottom w:val="single" w:sz="6" w:space="0" w:color="69BD28"/>
            </w:tcBorders>
          </w:tcPr>
          <w:p>
            <w:pPr>
              <w:pStyle w:val="TableParagraph"/>
              <w:spacing w:line="209" w:lineRule="exact" w:before="22"/>
              <w:ind w:left="1084" w:right="856"/>
              <w:rPr>
                <w:sz w:val="18"/>
              </w:rPr>
            </w:pPr>
            <w:r>
              <w:rPr>
                <w:sz w:val="18"/>
              </w:rPr>
              <w:t>Pine (L5)</w:t>
            </w:r>
          </w:p>
        </w:tc>
        <w:tc>
          <w:tcPr>
            <w:tcW w:w="2498" w:type="dxa"/>
            <w:tcBorders>
              <w:top w:val="single" w:sz="6" w:space="0" w:color="69BD28"/>
              <w:bottom w:val="single" w:sz="6" w:space="0" w:color="69BD28"/>
            </w:tcBorders>
          </w:tcPr>
          <w:p>
            <w:pPr>
              <w:pStyle w:val="TableParagraph"/>
              <w:spacing w:line="209" w:lineRule="exact" w:before="22"/>
              <w:ind w:left="841" w:right="746"/>
              <w:rPr>
                <w:sz w:val="18"/>
              </w:rPr>
            </w:pPr>
            <w:r>
              <w:rPr>
                <w:w w:val="125"/>
                <w:sz w:val="18"/>
              </w:rPr>
              <w:t>B+G+10</w:t>
            </w:r>
          </w:p>
        </w:tc>
        <w:tc>
          <w:tcPr>
            <w:tcW w:w="2401" w:type="dxa"/>
            <w:tcBorders>
              <w:top w:val="single" w:sz="6" w:space="0" w:color="69BD28"/>
              <w:bottom w:val="single" w:sz="6" w:space="0" w:color="69BD28"/>
            </w:tcBorders>
          </w:tcPr>
          <w:p>
            <w:pPr>
              <w:pStyle w:val="TableParagraph"/>
              <w:spacing w:line="209" w:lineRule="exact" w:before="22"/>
              <w:ind w:left="751" w:right="918"/>
              <w:rPr>
                <w:sz w:val="18"/>
              </w:rPr>
            </w:pPr>
            <w:r>
              <w:rPr>
                <w:w w:val="105"/>
                <w:sz w:val="18"/>
              </w:rPr>
              <w:t>Non-SEZ</w:t>
            </w:r>
          </w:p>
        </w:tc>
        <w:tc>
          <w:tcPr>
            <w:tcW w:w="2198" w:type="dxa"/>
            <w:tcBorders>
              <w:top w:val="single" w:sz="6" w:space="0" w:color="69BD28"/>
              <w:bottom w:val="single" w:sz="6" w:space="0" w:color="69BD28"/>
            </w:tcBorders>
          </w:tcPr>
          <w:p>
            <w:pPr>
              <w:pStyle w:val="TableParagraph"/>
              <w:spacing w:line="209" w:lineRule="exact" w:before="22"/>
              <w:ind w:left="932"/>
              <w:jc w:val="left"/>
              <w:rPr>
                <w:sz w:val="18"/>
              </w:rPr>
            </w:pPr>
            <w:r>
              <w:rPr>
                <w:w w:val="110"/>
                <w:sz w:val="18"/>
              </w:rPr>
              <w:t>11</w:t>
            </w:r>
          </w:p>
        </w:tc>
        <w:tc>
          <w:tcPr>
            <w:tcW w:w="2867" w:type="dxa"/>
            <w:tcBorders>
              <w:top w:val="single" w:sz="6" w:space="0" w:color="69BD28"/>
              <w:bottom w:val="single" w:sz="6" w:space="0" w:color="69BD28"/>
            </w:tcBorders>
          </w:tcPr>
          <w:p>
            <w:pPr>
              <w:pStyle w:val="TableParagraph"/>
              <w:spacing w:line="209" w:lineRule="exact" w:before="22"/>
              <w:ind w:left="1049"/>
              <w:jc w:val="left"/>
              <w:rPr>
                <w:sz w:val="18"/>
              </w:rPr>
            </w:pPr>
            <w:r>
              <w:rPr>
                <w:w w:val="110"/>
                <w:sz w:val="18"/>
              </w:rPr>
              <w:t>381,983</w:t>
            </w:r>
          </w:p>
        </w:tc>
      </w:tr>
      <w:tr>
        <w:trPr>
          <w:trHeight w:val="254" w:hRule="atLeast"/>
        </w:trPr>
        <w:tc>
          <w:tcPr>
            <w:tcW w:w="3748" w:type="dxa"/>
            <w:tcBorders>
              <w:top w:val="single" w:sz="6" w:space="0" w:color="69BD28"/>
              <w:bottom w:val="single" w:sz="6" w:space="0" w:color="69BD28"/>
            </w:tcBorders>
          </w:tcPr>
          <w:p>
            <w:pPr>
              <w:pStyle w:val="TableParagraph"/>
              <w:spacing w:before="23"/>
              <w:ind w:left="1084" w:right="854"/>
              <w:rPr>
                <w:sz w:val="18"/>
              </w:rPr>
            </w:pPr>
            <w:r>
              <w:rPr>
                <w:sz w:val="18"/>
              </w:rPr>
              <w:t>Eucalyptus (H1)</w:t>
            </w:r>
          </w:p>
        </w:tc>
        <w:tc>
          <w:tcPr>
            <w:tcW w:w="2498" w:type="dxa"/>
            <w:tcBorders>
              <w:top w:val="single" w:sz="6" w:space="0" w:color="69BD28"/>
              <w:bottom w:val="single" w:sz="6" w:space="0" w:color="69BD28"/>
            </w:tcBorders>
          </w:tcPr>
          <w:p>
            <w:pPr>
              <w:pStyle w:val="TableParagraph"/>
              <w:spacing w:before="23"/>
              <w:ind w:left="841" w:right="746"/>
              <w:rPr>
                <w:sz w:val="18"/>
              </w:rPr>
            </w:pPr>
            <w:r>
              <w:rPr>
                <w:w w:val="130"/>
                <w:sz w:val="18"/>
              </w:rPr>
              <w:t>B+G+6</w:t>
            </w:r>
          </w:p>
        </w:tc>
        <w:tc>
          <w:tcPr>
            <w:tcW w:w="2401" w:type="dxa"/>
            <w:tcBorders>
              <w:top w:val="single" w:sz="6" w:space="0" w:color="69BD28"/>
              <w:bottom w:val="single" w:sz="6" w:space="0" w:color="69BD28"/>
            </w:tcBorders>
          </w:tcPr>
          <w:p>
            <w:pPr>
              <w:pStyle w:val="TableParagraph"/>
              <w:spacing w:before="23"/>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before="23"/>
              <w:ind w:left="932"/>
              <w:jc w:val="left"/>
              <w:rPr>
                <w:sz w:val="18"/>
              </w:rPr>
            </w:pPr>
            <w:r>
              <w:rPr>
                <w:w w:val="110"/>
                <w:sz w:val="18"/>
              </w:rPr>
              <w:t>12</w:t>
            </w:r>
          </w:p>
        </w:tc>
        <w:tc>
          <w:tcPr>
            <w:tcW w:w="2867" w:type="dxa"/>
            <w:tcBorders>
              <w:top w:val="single" w:sz="6" w:space="0" w:color="69BD28"/>
              <w:bottom w:val="single" w:sz="6" w:space="0" w:color="69BD28"/>
            </w:tcBorders>
          </w:tcPr>
          <w:p>
            <w:pPr>
              <w:pStyle w:val="TableParagraph"/>
              <w:spacing w:before="23"/>
              <w:ind w:left="1049"/>
              <w:jc w:val="left"/>
              <w:rPr>
                <w:sz w:val="18"/>
              </w:rPr>
            </w:pPr>
            <w:r>
              <w:rPr>
                <w:w w:val="110"/>
                <w:sz w:val="18"/>
              </w:rPr>
              <w:t>376,758</w:t>
            </w:r>
          </w:p>
        </w:tc>
      </w:tr>
      <w:tr>
        <w:trPr>
          <w:trHeight w:val="251" w:hRule="atLeast"/>
        </w:trPr>
        <w:tc>
          <w:tcPr>
            <w:tcW w:w="3748" w:type="dxa"/>
            <w:tcBorders>
              <w:top w:val="single" w:sz="6" w:space="0" w:color="69BD28"/>
              <w:bottom w:val="single" w:sz="6" w:space="0" w:color="69BD28"/>
            </w:tcBorders>
          </w:tcPr>
          <w:p>
            <w:pPr>
              <w:pStyle w:val="TableParagraph"/>
              <w:spacing w:before="20"/>
              <w:ind w:left="1082" w:right="856"/>
              <w:rPr>
                <w:sz w:val="18"/>
              </w:rPr>
            </w:pPr>
            <w:r>
              <w:rPr>
                <w:sz w:val="18"/>
              </w:rPr>
              <w:t>Mulberry (G1)</w:t>
            </w:r>
          </w:p>
        </w:tc>
        <w:tc>
          <w:tcPr>
            <w:tcW w:w="2498" w:type="dxa"/>
            <w:tcBorders>
              <w:top w:val="single" w:sz="6" w:space="0" w:color="69BD28"/>
              <w:bottom w:val="single" w:sz="6" w:space="0" w:color="69BD28"/>
            </w:tcBorders>
          </w:tcPr>
          <w:p>
            <w:pPr>
              <w:pStyle w:val="TableParagraph"/>
              <w:spacing w:before="20"/>
              <w:ind w:left="841" w:right="746"/>
              <w:rPr>
                <w:sz w:val="18"/>
              </w:rPr>
            </w:pPr>
            <w:r>
              <w:rPr>
                <w:w w:val="125"/>
                <w:sz w:val="18"/>
              </w:rPr>
              <w:t>2B+G+8</w:t>
            </w:r>
          </w:p>
        </w:tc>
        <w:tc>
          <w:tcPr>
            <w:tcW w:w="2401" w:type="dxa"/>
            <w:tcBorders>
              <w:top w:val="single" w:sz="6" w:space="0" w:color="69BD28"/>
              <w:bottom w:val="single" w:sz="6" w:space="0" w:color="69BD28"/>
            </w:tcBorders>
          </w:tcPr>
          <w:p>
            <w:pPr>
              <w:pStyle w:val="TableParagraph"/>
              <w:spacing w:before="20"/>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before="20"/>
              <w:ind w:left="932"/>
              <w:jc w:val="left"/>
              <w:rPr>
                <w:sz w:val="18"/>
              </w:rPr>
            </w:pPr>
            <w:r>
              <w:rPr>
                <w:w w:val="110"/>
                <w:sz w:val="18"/>
              </w:rPr>
              <w:t>10</w:t>
            </w:r>
          </w:p>
        </w:tc>
        <w:tc>
          <w:tcPr>
            <w:tcW w:w="2867" w:type="dxa"/>
            <w:tcBorders>
              <w:top w:val="single" w:sz="6" w:space="0" w:color="69BD28"/>
              <w:bottom w:val="single" w:sz="6" w:space="0" w:color="69BD28"/>
            </w:tcBorders>
          </w:tcPr>
          <w:p>
            <w:pPr>
              <w:pStyle w:val="TableParagraph"/>
              <w:spacing w:before="20"/>
              <w:ind w:left="1049"/>
              <w:jc w:val="left"/>
              <w:rPr>
                <w:sz w:val="18"/>
              </w:rPr>
            </w:pPr>
            <w:r>
              <w:rPr>
                <w:w w:val="110"/>
                <w:sz w:val="18"/>
              </w:rPr>
              <w:t>403,526</w:t>
            </w:r>
          </w:p>
        </w:tc>
      </w:tr>
      <w:tr>
        <w:trPr>
          <w:trHeight w:val="251" w:hRule="atLeast"/>
        </w:trPr>
        <w:tc>
          <w:tcPr>
            <w:tcW w:w="3748" w:type="dxa"/>
            <w:tcBorders>
              <w:top w:val="single" w:sz="6" w:space="0" w:color="69BD28"/>
              <w:bottom w:val="single" w:sz="6" w:space="0" w:color="69BD28"/>
            </w:tcBorders>
          </w:tcPr>
          <w:p>
            <w:pPr>
              <w:pStyle w:val="TableParagraph"/>
              <w:spacing w:line="209" w:lineRule="exact" w:before="22"/>
              <w:ind w:left="1084" w:right="856"/>
              <w:rPr>
                <w:sz w:val="18"/>
              </w:rPr>
            </w:pPr>
            <w:r>
              <w:rPr>
                <w:sz w:val="18"/>
              </w:rPr>
              <w:t>Palm (F3)</w:t>
            </w:r>
          </w:p>
        </w:tc>
        <w:tc>
          <w:tcPr>
            <w:tcW w:w="2498" w:type="dxa"/>
            <w:tcBorders>
              <w:top w:val="single" w:sz="6" w:space="0" w:color="69BD28"/>
              <w:bottom w:val="single" w:sz="6" w:space="0" w:color="69BD28"/>
            </w:tcBorders>
          </w:tcPr>
          <w:p>
            <w:pPr>
              <w:pStyle w:val="TableParagraph"/>
              <w:spacing w:line="209" w:lineRule="exact" w:before="22"/>
              <w:ind w:left="841" w:right="746"/>
              <w:rPr>
                <w:sz w:val="18"/>
              </w:rPr>
            </w:pPr>
            <w:r>
              <w:rPr>
                <w:w w:val="125"/>
                <w:sz w:val="18"/>
              </w:rPr>
              <w:t>2B+G+10</w:t>
            </w:r>
          </w:p>
        </w:tc>
        <w:tc>
          <w:tcPr>
            <w:tcW w:w="2401" w:type="dxa"/>
            <w:tcBorders>
              <w:top w:val="single" w:sz="6" w:space="0" w:color="69BD28"/>
              <w:bottom w:val="single" w:sz="6" w:space="0" w:color="69BD28"/>
            </w:tcBorders>
          </w:tcPr>
          <w:p>
            <w:pPr>
              <w:pStyle w:val="TableParagraph"/>
              <w:spacing w:line="209" w:lineRule="exact" w:before="22"/>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line="209" w:lineRule="exact" w:before="22"/>
              <w:ind w:left="985"/>
              <w:jc w:val="left"/>
              <w:rPr>
                <w:sz w:val="18"/>
              </w:rPr>
            </w:pPr>
            <w:r>
              <w:rPr>
                <w:w w:val="112"/>
                <w:sz w:val="18"/>
              </w:rPr>
              <w:t>7</w:t>
            </w:r>
          </w:p>
        </w:tc>
        <w:tc>
          <w:tcPr>
            <w:tcW w:w="2867" w:type="dxa"/>
            <w:tcBorders>
              <w:top w:val="single" w:sz="6" w:space="0" w:color="69BD28"/>
              <w:bottom w:val="single" w:sz="6" w:space="0" w:color="69BD28"/>
            </w:tcBorders>
          </w:tcPr>
          <w:p>
            <w:pPr>
              <w:pStyle w:val="TableParagraph"/>
              <w:spacing w:line="209" w:lineRule="exact" w:before="22"/>
              <w:ind w:left="1049"/>
              <w:jc w:val="left"/>
              <w:rPr>
                <w:sz w:val="18"/>
              </w:rPr>
            </w:pPr>
            <w:r>
              <w:rPr>
                <w:w w:val="110"/>
                <w:sz w:val="18"/>
              </w:rPr>
              <w:t>701,204</w:t>
            </w:r>
          </w:p>
        </w:tc>
      </w:tr>
      <w:tr>
        <w:trPr>
          <w:trHeight w:val="253" w:hRule="atLeast"/>
        </w:trPr>
        <w:tc>
          <w:tcPr>
            <w:tcW w:w="3748" w:type="dxa"/>
            <w:tcBorders>
              <w:top w:val="single" w:sz="6" w:space="0" w:color="69BD28"/>
              <w:bottom w:val="single" w:sz="6" w:space="0" w:color="69BD28"/>
            </w:tcBorders>
          </w:tcPr>
          <w:p>
            <w:pPr>
              <w:pStyle w:val="TableParagraph"/>
              <w:spacing w:before="22"/>
              <w:ind w:left="1084" w:right="856"/>
              <w:rPr>
                <w:sz w:val="18"/>
              </w:rPr>
            </w:pPr>
            <w:r>
              <w:rPr>
                <w:w w:val="105"/>
                <w:sz w:val="18"/>
              </w:rPr>
              <w:t>G1-G2 Bridge (G1G2)</w:t>
            </w:r>
          </w:p>
        </w:tc>
        <w:tc>
          <w:tcPr>
            <w:tcW w:w="2498" w:type="dxa"/>
            <w:tcBorders>
              <w:top w:val="single" w:sz="6" w:space="0" w:color="69BD28"/>
              <w:bottom w:val="single" w:sz="6" w:space="0" w:color="69BD28"/>
            </w:tcBorders>
          </w:tcPr>
          <w:p>
            <w:pPr>
              <w:pStyle w:val="TableParagraph"/>
              <w:spacing w:before="22"/>
              <w:ind w:left="93"/>
              <w:rPr>
                <w:sz w:val="18"/>
              </w:rPr>
            </w:pPr>
            <w:r>
              <w:rPr>
                <w:w w:val="112"/>
                <w:sz w:val="18"/>
              </w:rPr>
              <w:t>5</w:t>
            </w:r>
          </w:p>
        </w:tc>
        <w:tc>
          <w:tcPr>
            <w:tcW w:w="2401" w:type="dxa"/>
            <w:tcBorders>
              <w:top w:val="single" w:sz="6" w:space="0" w:color="69BD28"/>
              <w:bottom w:val="single" w:sz="6" w:space="0" w:color="69BD28"/>
            </w:tcBorders>
          </w:tcPr>
          <w:p>
            <w:pPr>
              <w:pStyle w:val="TableParagraph"/>
              <w:spacing w:before="22"/>
              <w:ind w:left="748" w:right="918"/>
              <w:rPr>
                <w:sz w:val="18"/>
              </w:rPr>
            </w:pPr>
            <w:r>
              <w:rPr>
                <w:sz w:val="18"/>
              </w:rPr>
              <w:t>SEZ</w:t>
            </w:r>
          </w:p>
        </w:tc>
        <w:tc>
          <w:tcPr>
            <w:tcW w:w="2198" w:type="dxa"/>
            <w:tcBorders>
              <w:top w:val="single" w:sz="6" w:space="0" w:color="69BD28"/>
              <w:bottom w:val="single" w:sz="6" w:space="0" w:color="69BD28"/>
            </w:tcBorders>
          </w:tcPr>
          <w:p>
            <w:pPr>
              <w:pStyle w:val="TableParagraph"/>
              <w:spacing w:before="22"/>
              <w:ind w:left="985"/>
              <w:jc w:val="left"/>
              <w:rPr>
                <w:sz w:val="18"/>
              </w:rPr>
            </w:pPr>
            <w:r>
              <w:rPr>
                <w:w w:val="112"/>
                <w:sz w:val="18"/>
              </w:rPr>
              <w:t>8</w:t>
            </w:r>
          </w:p>
        </w:tc>
        <w:tc>
          <w:tcPr>
            <w:tcW w:w="2867" w:type="dxa"/>
            <w:tcBorders>
              <w:top w:val="single" w:sz="6" w:space="0" w:color="69BD28"/>
              <w:bottom w:val="single" w:sz="6" w:space="0" w:color="69BD28"/>
            </w:tcBorders>
          </w:tcPr>
          <w:p>
            <w:pPr>
              <w:pStyle w:val="TableParagraph"/>
              <w:spacing w:before="22"/>
              <w:ind w:left="1101"/>
              <w:jc w:val="left"/>
              <w:rPr>
                <w:sz w:val="18"/>
              </w:rPr>
            </w:pPr>
            <w:r>
              <w:rPr>
                <w:w w:val="110"/>
                <w:sz w:val="18"/>
              </w:rPr>
              <w:t>48,649</w:t>
            </w:r>
          </w:p>
        </w:tc>
      </w:tr>
    </w:tbl>
    <w:p>
      <w:pPr>
        <w:spacing w:after="0"/>
        <w:jc w:val="left"/>
        <w:rPr>
          <w:sz w:val="18"/>
        </w:rPr>
        <w:sectPr>
          <w:headerReference w:type="default" r:id="rId71"/>
          <w:footerReference w:type="default" r:id="rId72"/>
          <w:pgSz w:w="16840" w:h="11910" w:orient="landscape"/>
          <w:pgMar w:header="720" w:footer="842" w:top="1220" w:bottom="1040" w:left="1220" w:right="1700"/>
          <w:pgNumType w:start="79"/>
        </w:sectPr>
      </w:pPr>
    </w:p>
    <w:p>
      <w:pPr>
        <w:pStyle w:val="BodyText"/>
        <w:rPr>
          <w:sz w:val="20"/>
        </w:rPr>
      </w:pPr>
    </w:p>
    <w:p>
      <w:pPr>
        <w:pStyle w:val="BodyText"/>
        <w:spacing w:before="6" w:after="1"/>
        <w:rPr>
          <w:sz w:val="18"/>
        </w:rPr>
      </w:pPr>
    </w:p>
    <w:tbl>
      <w:tblPr>
        <w:tblW w:w="0" w:type="auto"/>
        <w:jc w:val="left"/>
        <w:tblInd w:w="1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56"/>
        <w:gridCol w:w="1644"/>
        <w:gridCol w:w="3132"/>
        <w:gridCol w:w="2174"/>
        <w:gridCol w:w="2747"/>
      </w:tblGrid>
      <w:tr>
        <w:trPr>
          <w:trHeight w:val="431" w:hRule="atLeast"/>
        </w:trPr>
        <w:tc>
          <w:tcPr>
            <w:tcW w:w="3856" w:type="dxa"/>
            <w:tcBorders>
              <w:top w:val="single" w:sz="12" w:space="0" w:color="1F6B16"/>
              <w:bottom w:val="single" w:sz="6" w:space="0" w:color="69BD28"/>
            </w:tcBorders>
            <w:shd w:val="clear" w:color="auto" w:fill="006A4D"/>
          </w:tcPr>
          <w:p>
            <w:pPr>
              <w:pStyle w:val="TableParagraph"/>
              <w:spacing w:line="210" w:lineRule="atLeast" w:before="10"/>
              <w:ind w:left="1634" w:right="1665" w:hanging="2"/>
              <w:rPr>
                <w:b/>
                <w:sz w:val="18"/>
              </w:rPr>
            </w:pPr>
            <w:r>
              <w:rPr>
                <w:b/>
                <w:color w:val="FFFFFF"/>
                <w:w w:val="110"/>
                <w:sz w:val="18"/>
              </w:rPr>
              <w:t>Block </w:t>
            </w:r>
            <w:r>
              <w:rPr>
                <w:b/>
                <w:color w:val="FFFFFF"/>
                <w:w w:val="115"/>
                <w:sz w:val="18"/>
              </w:rPr>
              <w:t>Name</w:t>
            </w:r>
          </w:p>
        </w:tc>
        <w:tc>
          <w:tcPr>
            <w:tcW w:w="1644" w:type="dxa"/>
            <w:tcBorders>
              <w:top w:val="single" w:sz="12" w:space="0" w:color="1F6B16"/>
              <w:bottom w:val="single" w:sz="6" w:space="0" w:color="69BD28"/>
            </w:tcBorders>
            <w:shd w:val="clear" w:color="auto" w:fill="006A4D"/>
          </w:tcPr>
          <w:p>
            <w:pPr>
              <w:pStyle w:val="TableParagraph"/>
              <w:spacing w:before="119"/>
              <w:ind w:left="285" w:right="-15"/>
              <w:jc w:val="left"/>
              <w:rPr>
                <w:b/>
                <w:sz w:val="18"/>
              </w:rPr>
            </w:pPr>
            <w:r>
              <w:rPr>
                <w:b/>
                <w:color w:val="FFFFFF"/>
                <w:w w:val="110"/>
                <w:sz w:val="18"/>
              </w:rPr>
              <w:t>Building</w:t>
            </w:r>
            <w:r>
              <w:rPr>
                <w:b/>
                <w:color w:val="FFFFFF"/>
                <w:spacing w:val="-11"/>
                <w:w w:val="110"/>
                <w:sz w:val="18"/>
              </w:rPr>
              <w:t> </w:t>
            </w:r>
            <w:r>
              <w:rPr>
                <w:b/>
                <w:color w:val="FFFFFF"/>
                <w:w w:val="110"/>
                <w:sz w:val="18"/>
              </w:rPr>
              <w:t>Elevat</w:t>
            </w:r>
          </w:p>
        </w:tc>
        <w:tc>
          <w:tcPr>
            <w:tcW w:w="3132" w:type="dxa"/>
            <w:tcBorders>
              <w:top w:val="single" w:sz="12" w:space="0" w:color="1F6B16"/>
              <w:bottom w:val="single" w:sz="6" w:space="0" w:color="69BD28"/>
            </w:tcBorders>
            <w:shd w:val="clear" w:color="auto" w:fill="006A4D"/>
          </w:tcPr>
          <w:p>
            <w:pPr>
              <w:pStyle w:val="TableParagraph"/>
              <w:tabs>
                <w:tab w:pos="1180" w:val="left" w:leader="none"/>
              </w:tabs>
              <w:spacing w:before="119"/>
              <w:ind w:left="10"/>
              <w:jc w:val="left"/>
              <w:rPr>
                <w:b/>
                <w:sz w:val="18"/>
              </w:rPr>
            </w:pPr>
            <w:r>
              <w:rPr>
                <w:b/>
                <w:color w:val="FFFFFF"/>
                <w:w w:val="110"/>
                <w:sz w:val="18"/>
              </w:rPr>
              <w:t>ion</w:t>
              <w:tab/>
              <w:t>SEZ/Non-SEZ</w:t>
            </w:r>
          </w:p>
        </w:tc>
        <w:tc>
          <w:tcPr>
            <w:tcW w:w="2174" w:type="dxa"/>
            <w:tcBorders>
              <w:top w:val="single" w:sz="12" w:space="0" w:color="1F6B16"/>
              <w:bottom w:val="single" w:sz="6" w:space="0" w:color="69BD28"/>
            </w:tcBorders>
            <w:shd w:val="clear" w:color="auto" w:fill="006A4D"/>
          </w:tcPr>
          <w:p>
            <w:pPr>
              <w:pStyle w:val="TableParagraph"/>
              <w:spacing w:line="210" w:lineRule="atLeast" w:before="10"/>
              <w:ind w:left="659" w:right="868" w:firstLine="136"/>
              <w:jc w:val="left"/>
              <w:rPr>
                <w:b/>
                <w:sz w:val="18"/>
              </w:rPr>
            </w:pPr>
            <w:r>
              <w:rPr>
                <w:b/>
                <w:color w:val="FFFFFF"/>
                <w:w w:val="110"/>
                <w:sz w:val="18"/>
              </w:rPr>
              <w:t>Age </w:t>
            </w:r>
            <w:r>
              <w:rPr>
                <w:b/>
                <w:color w:val="FFFFFF"/>
                <w:w w:val="105"/>
                <w:sz w:val="18"/>
              </w:rPr>
              <w:t>(Years)</w:t>
            </w:r>
          </w:p>
        </w:tc>
        <w:tc>
          <w:tcPr>
            <w:tcW w:w="2747" w:type="dxa"/>
            <w:tcBorders>
              <w:top w:val="single" w:sz="12" w:space="0" w:color="1F6B16"/>
              <w:bottom w:val="single" w:sz="6" w:space="0" w:color="69BD28"/>
            </w:tcBorders>
            <w:shd w:val="clear" w:color="auto" w:fill="006A4D"/>
          </w:tcPr>
          <w:p>
            <w:pPr>
              <w:pStyle w:val="TableParagraph"/>
              <w:spacing w:before="119"/>
              <w:ind w:left="506" w:right="540"/>
              <w:rPr>
                <w:b/>
                <w:sz w:val="18"/>
              </w:rPr>
            </w:pPr>
            <w:r>
              <w:rPr>
                <w:b/>
                <w:color w:val="FFFFFF"/>
                <w:w w:val="110"/>
                <w:sz w:val="18"/>
              </w:rPr>
              <w:t>Leasable Area (sf)</w:t>
            </w:r>
          </w:p>
        </w:tc>
      </w:tr>
      <w:tr>
        <w:trPr>
          <w:trHeight w:val="251" w:hRule="atLeast"/>
        </w:trPr>
        <w:tc>
          <w:tcPr>
            <w:tcW w:w="3856" w:type="dxa"/>
            <w:tcBorders>
              <w:top w:val="single" w:sz="6" w:space="0" w:color="69BD28"/>
              <w:bottom w:val="single" w:sz="6" w:space="0" w:color="69BD28"/>
            </w:tcBorders>
          </w:tcPr>
          <w:p>
            <w:pPr>
              <w:pStyle w:val="TableParagraph"/>
              <w:spacing w:line="201" w:lineRule="exact" w:before="30"/>
              <w:ind w:left="335" w:right="364"/>
              <w:rPr>
                <w:sz w:val="18"/>
              </w:rPr>
            </w:pPr>
            <w:r>
              <w:rPr>
                <w:sz w:val="18"/>
              </w:rPr>
              <w:t>Mountain Ash (H2)</w:t>
            </w:r>
          </w:p>
        </w:tc>
        <w:tc>
          <w:tcPr>
            <w:tcW w:w="1644" w:type="dxa"/>
            <w:tcBorders>
              <w:top w:val="single" w:sz="6" w:space="0" w:color="69BD28"/>
              <w:bottom w:val="single" w:sz="6" w:space="0" w:color="69BD28"/>
            </w:tcBorders>
          </w:tcPr>
          <w:p>
            <w:pPr>
              <w:pStyle w:val="TableParagraph"/>
              <w:spacing w:line="201" w:lineRule="exact" w:before="30"/>
              <w:ind w:left="678"/>
              <w:jc w:val="left"/>
              <w:rPr>
                <w:sz w:val="18"/>
              </w:rPr>
            </w:pPr>
            <w:r>
              <w:rPr>
                <w:w w:val="125"/>
                <w:sz w:val="18"/>
              </w:rPr>
              <w:t>2B+G+10</w:t>
            </w:r>
          </w:p>
        </w:tc>
        <w:tc>
          <w:tcPr>
            <w:tcW w:w="3132" w:type="dxa"/>
            <w:tcBorders>
              <w:top w:val="single" w:sz="6" w:space="0" w:color="69BD28"/>
              <w:bottom w:val="single" w:sz="6" w:space="0" w:color="69BD28"/>
            </w:tcBorders>
          </w:tcPr>
          <w:p>
            <w:pPr>
              <w:pStyle w:val="TableParagraph"/>
              <w:spacing w:line="201" w:lineRule="exact" w:before="30"/>
              <w:ind w:left="645" w:right="210"/>
              <w:rPr>
                <w:sz w:val="18"/>
              </w:rPr>
            </w:pPr>
            <w:r>
              <w:rPr>
                <w:sz w:val="18"/>
              </w:rPr>
              <w:t>SEZ</w:t>
            </w:r>
          </w:p>
        </w:tc>
        <w:tc>
          <w:tcPr>
            <w:tcW w:w="2174" w:type="dxa"/>
            <w:tcBorders>
              <w:top w:val="single" w:sz="6" w:space="0" w:color="69BD28"/>
              <w:bottom w:val="single" w:sz="6" w:space="0" w:color="69BD28"/>
            </w:tcBorders>
          </w:tcPr>
          <w:p>
            <w:pPr>
              <w:pStyle w:val="TableParagraph"/>
              <w:spacing w:line="201" w:lineRule="exact" w:before="30"/>
              <w:ind w:left="923"/>
              <w:jc w:val="left"/>
              <w:rPr>
                <w:sz w:val="18"/>
              </w:rPr>
            </w:pPr>
            <w:r>
              <w:rPr>
                <w:w w:val="112"/>
                <w:sz w:val="18"/>
              </w:rPr>
              <w:t>7</w:t>
            </w:r>
          </w:p>
        </w:tc>
        <w:tc>
          <w:tcPr>
            <w:tcW w:w="2747" w:type="dxa"/>
            <w:tcBorders>
              <w:top w:val="single" w:sz="6" w:space="0" w:color="69BD28"/>
              <w:bottom w:val="single" w:sz="6" w:space="0" w:color="69BD28"/>
            </w:tcBorders>
          </w:tcPr>
          <w:p>
            <w:pPr>
              <w:pStyle w:val="TableParagraph"/>
              <w:spacing w:line="201" w:lineRule="exact" w:before="30"/>
              <w:ind w:left="506" w:right="539"/>
              <w:rPr>
                <w:sz w:val="18"/>
              </w:rPr>
            </w:pPr>
            <w:r>
              <w:rPr>
                <w:w w:val="110"/>
                <w:sz w:val="18"/>
              </w:rPr>
              <w:t>703,376</w:t>
            </w:r>
          </w:p>
        </w:tc>
      </w:tr>
      <w:tr>
        <w:trPr>
          <w:trHeight w:val="253" w:hRule="atLeast"/>
        </w:trPr>
        <w:tc>
          <w:tcPr>
            <w:tcW w:w="3856" w:type="dxa"/>
            <w:tcBorders>
              <w:top w:val="single" w:sz="6" w:space="0" w:color="69BD28"/>
              <w:bottom w:val="single" w:sz="6" w:space="0" w:color="69BD28"/>
            </w:tcBorders>
          </w:tcPr>
          <w:p>
            <w:pPr>
              <w:pStyle w:val="TableParagraph"/>
              <w:spacing w:line="203" w:lineRule="exact" w:before="30"/>
              <w:ind w:left="331" w:right="364"/>
              <w:rPr>
                <w:sz w:val="18"/>
              </w:rPr>
            </w:pPr>
            <w:r>
              <w:rPr>
                <w:sz w:val="18"/>
              </w:rPr>
              <w:t>Hazel (L3)</w:t>
            </w:r>
          </w:p>
        </w:tc>
        <w:tc>
          <w:tcPr>
            <w:tcW w:w="1644" w:type="dxa"/>
            <w:tcBorders>
              <w:top w:val="single" w:sz="6" w:space="0" w:color="69BD28"/>
              <w:bottom w:val="single" w:sz="6" w:space="0" w:color="69BD28"/>
            </w:tcBorders>
          </w:tcPr>
          <w:p>
            <w:pPr>
              <w:pStyle w:val="TableParagraph"/>
              <w:spacing w:line="203" w:lineRule="exact" w:before="30"/>
              <w:ind w:left="678"/>
              <w:jc w:val="left"/>
              <w:rPr>
                <w:sz w:val="18"/>
              </w:rPr>
            </w:pPr>
            <w:r>
              <w:rPr>
                <w:w w:val="125"/>
                <w:sz w:val="18"/>
              </w:rPr>
              <w:t>2B+G+10</w:t>
            </w:r>
          </w:p>
        </w:tc>
        <w:tc>
          <w:tcPr>
            <w:tcW w:w="3132" w:type="dxa"/>
            <w:tcBorders>
              <w:top w:val="single" w:sz="6" w:space="0" w:color="69BD28"/>
              <w:bottom w:val="single" w:sz="6" w:space="0" w:color="69BD28"/>
            </w:tcBorders>
          </w:tcPr>
          <w:p>
            <w:pPr>
              <w:pStyle w:val="TableParagraph"/>
              <w:spacing w:line="203" w:lineRule="exact" w:before="30"/>
              <w:ind w:left="645" w:right="210"/>
              <w:rPr>
                <w:sz w:val="18"/>
              </w:rPr>
            </w:pPr>
            <w:r>
              <w:rPr>
                <w:sz w:val="18"/>
              </w:rPr>
              <w:t>SEZ</w:t>
            </w:r>
          </w:p>
        </w:tc>
        <w:tc>
          <w:tcPr>
            <w:tcW w:w="2174" w:type="dxa"/>
            <w:tcBorders>
              <w:top w:val="single" w:sz="6" w:space="0" w:color="69BD28"/>
              <w:bottom w:val="single" w:sz="6" w:space="0" w:color="69BD28"/>
            </w:tcBorders>
          </w:tcPr>
          <w:p>
            <w:pPr>
              <w:pStyle w:val="TableParagraph"/>
              <w:spacing w:line="203" w:lineRule="exact" w:before="30"/>
              <w:ind w:left="923"/>
              <w:jc w:val="left"/>
              <w:rPr>
                <w:sz w:val="18"/>
              </w:rPr>
            </w:pPr>
            <w:r>
              <w:rPr>
                <w:w w:val="112"/>
                <w:sz w:val="18"/>
              </w:rPr>
              <w:t>5</w:t>
            </w:r>
          </w:p>
        </w:tc>
        <w:tc>
          <w:tcPr>
            <w:tcW w:w="2747" w:type="dxa"/>
            <w:tcBorders>
              <w:top w:val="single" w:sz="6" w:space="0" w:color="69BD28"/>
              <w:bottom w:val="single" w:sz="6" w:space="0" w:color="69BD28"/>
            </w:tcBorders>
          </w:tcPr>
          <w:p>
            <w:pPr>
              <w:pStyle w:val="TableParagraph"/>
              <w:spacing w:line="203" w:lineRule="exact" w:before="30"/>
              <w:ind w:left="506" w:right="539"/>
              <w:rPr>
                <w:sz w:val="18"/>
              </w:rPr>
            </w:pPr>
            <w:r>
              <w:rPr>
                <w:w w:val="110"/>
                <w:sz w:val="18"/>
              </w:rPr>
              <w:t>498,610</w:t>
            </w:r>
          </w:p>
        </w:tc>
      </w:tr>
      <w:tr>
        <w:trPr>
          <w:trHeight w:val="251" w:hRule="atLeast"/>
        </w:trPr>
        <w:tc>
          <w:tcPr>
            <w:tcW w:w="3856" w:type="dxa"/>
            <w:tcBorders>
              <w:top w:val="single" w:sz="6" w:space="0" w:color="69BD28"/>
              <w:bottom w:val="single" w:sz="6" w:space="0" w:color="69BD28"/>
            </w:tcBorders>
          </w:tcPr>
          <w:p>
            <w:pPr>
              <w:pStyle w:val="TableParagraph"/>
              <w:spacing w:line="203" w:lineRule="exact" w:before="28"/>
              <w:ind w:left="332" w:right="364"/>
              <w:rPr>
                <w:sz w:val="18"/>
              </w:rPr>
            </w:pPr>
            <w:r>
              <w:rPr>
                <w:sz w:val="18"/>
              </w:rPr>
              <w:t>MFAR (MFAR Green)</w:t>
            </w:r>
          </w:p>
        </w:tc>
        <w:tc>
          <w:tcPr>
            <w:tcW w:w="1644" w:type="dxa"/>
            <w:tcBorders>
              <w:top w:val="single" w:sz="6" w:space="0" w:color="69BD28"/>
              <w:bottom w:val="single" w:sz="6" w:space="0" w:color="69BD28"/>
            </w:tcBorders>
          </w:tcPr>
          <w:p>
            <w:pPr>
              <w:pStyle w:val="TableParagraph"/>
              <w:spacing w:line="203" w:lineRule="exact" w:before="28"/>
              <w:ind w:left="678"/>
              <w:jc w:val="left"/>
              <w:rPr>
                <w:sz w:val="18"/>
              </w:rPr>
            </w:pPr>
            <w:r>
              <w:rPr>
                <w:w w:val="125"/>
                <w:sz w:val="18"/>
              </w:rPr>
              <w:t>3B+G+11</w:t>
            </w:r>
          </w:p>
        </w:tc>
        <w:tc>
          <w:tcPr>
            <w:tcW w:w="3132" w:type="dxa"/>
            <w:tcBorders>
              <w:top w:val="single" w:sz="6" w:space="0" w:color="69BD28"/>
              <w:bottom w:val="single" w:sz="6" w:space="0" w:color="69BD28"/>
            </w:tcBorders>
          </w:tcPr>
          <w:p>
            <w:pPr>
              <w:pStyle w:val="TableParagraph"/>
              <w:spacing w:line="203" w:lineRule="exact" w:before="28"/>
              <w:ind w:left="1435"/>
              <w:jc w:val="left"/>
              <w:rPr>
                <w:sz w:val="18"/>
              </w:rPr>
            </w:pPr>
            <w:r>
              <w:rPr>
                <w:w w:val="105"/>
                <w:sz w:val="18"/>
              </w:rPr>
              <w:t>Non-SEZ</w:t>
            </w:r>
          </w:p>
        </w:tc>
        <w:tc>
          <w:tcPr>
            <w:tcW w:w="2174" w:type="dxa"/>
            <w:tcBorders>
              <w:top w:val="single" w:sz="6" w:space="0" w:color="69BD28"/>
              <w:bottom w:val="single" w:sz="6" w:space="0" w:color="69BD28"/>
            </w:tcBorders>
          </w:tcPr>
          <w:p>
            <w:pPr>
              <w:pStyle w:val="TableParagraph"/>
              <w:spacing w:line="203" w:lineRule="exact" w:before="28"/>
              <w:ind w:left="923"/>
              <w:jc w:val="left"/>
              <w:rPr>
                <w:sz w:val="18"/>
              </w:rPr>
            </w:pPr>
            <w:r>
              <w:rPr>
                <w:w w:val="112"/>
                <w:sz w:val="18"/>
              </w:rPr>
              <w:t>5</w:t>
            </w:r>
          </w:p>
        </w:tc>
        <w:tc>
          <w:tcPr>
            <w:tcW w:w="2747" w:type="dxa"/>
            <w:tcBorders>
              <w:top w:val="single" w:sz="6" w:space="0" w:color="69BD28"/>
              <w:bottom w:val="single" w:sz="6" w:space="0" w:color="69BD28"/>
            </w:tcBorders>
          </w:tcPr>
          <w:p>
            <w:pPr>
              <w:pStyle w:val="TableParagraph"/>
              <w:spacing w:line="203" w:lineRule="exact" w:before="28"/>
              <w:ind w:left="506" w:right="539"/>
              <w:rPr>
                <w:sz w:val="18"/>
              </w:rPr>
            </w:pPr>
            <w:r>
              <w:rPr>
                <w:w w:val="110"/>
                <w:sz w:val="18"/>
              </w:rPr>
              <w:t>231,000</w:t>
            </w:r>
          </w:p>
        </w:tc>
      </w:tr>
      <w:tr>
        <w:trPr>
          <w:trHeight w:val="251" w:hRule="atLeast"/>
        </w:trPr>
        <w:tc>
          <w:tcPr>
            <w:tcW w:w="3856" w:type="dxa"/>
            <w:tcBorders>
              <w:top w:val="single" w:sz="6" w:space="0" w:color="69BD28"/>
              <w:bottom w:val="single" w:sz="6" w:space="0" w:color="69BD28"/>
            </w:tcBorders>
          </w:tcPr>
          <w:p>
            <w:pPr>
              <w:pStyle w:val="TableParagraph"/>
              <w:spacing w:line="204" w:lineRule="exact" w:before="28"/>
              <w:ind w:left="335" w:right="364"/>
              <w:rPr>
                <w:sz w:val="18"/>
              </w:rPr>
            </w:pPr>
            <w:r>
              <w:rPr>
                <w:sz w:val="18"/>
              </w:rPr>
              <w:t>Teak (G3)</w:t>
            </w:r>
          </w:p>
        </w:tc>
        <w:tc>
          <w:tcPr>
            <w:tcW w:w="1644" w:type="dxa"/>
            <w:tcBorders>
              <w:top w:val="single" w:sz="6" w:space="0" w:color="69BD28"/>
              <w:bottom w:val="single" w:sz="6" w:space="0" w:color="69BD28"/>
            </w:tcBorders>
          </w:tcPr>
          <w:p>
            <w:pPr>
              <w:pStyle w:val="TableParagraph"/>
              <w:spacing w:line="204" w:lineRule="exact" w:before="28"/>
              <w:ind w:left="678"/>
              <w:jc w:val="left"/>
              <w:rPr>
                <w:sz w:val="18"/>
              </w:rPr>
            </w:pPr>
            <w:r>
              <w:rPr>
                <w:w w:val="125"/>
                <w:sz w:val="18"/>
              </w:rPr>
              <w:t>2B+G+10</w:t>
            </w:r>
          </w:p>
        </w:tc>
        <w:tc>
          <w:tcPr>
            <w:tcW w:w="3132" w:type="dxa"/>
            <w:tcBorders>
              <w:top w:val="single" w:sz="6" w:space="0" w:color="69BD28"/>
              <w:bottom w:val="single" w:sz="6" w:space="0" w:color="69BD28"/>
            </w:tcBorders>
          </w:tcPr>
          <w:p>
            <w:pPr>
              <w:pStyle w:val="TableParagraph"/>
              <w:spacing w:line="204" w:lineRule="exact" w:before="28"/>
              <w:ind w:left="645" w:right="210"/>
              <w:rPr>
                <w:sz w:val="18"/>
              </w:rPr>
            </w:pPr>
            <w:r>
              <w:rPr>
                <w:sz w:val="18"/>
              </w:rPr>
              <w:t>SEZ</w:t>
            </w:r>
          </w:p>
        </w:tc>
        <w:tc>
          <w:tcPr>
            <w:tcW w:w="2174" w:type="dxa"/>
            <w:tcBorders>
              <w:top w:val="single" w:sz="6" w:space="0" w:color="69BD28"/>
              <w:bottom w:val="single" w:sz="6" w:space="0" w:color="69BD28"/>
            </w:tcBorders>
          </w:tcPr>
          <w:p>
            <w:pPr>
              <w:pStyle w:val="TableParagraph"/>
              <w:spacing w:line="204" w:lineRule="exact" w:before="28"/>
              <w:ind w:left="923"/>
              <w:jc w:val="left"/>
              <w:rPr>
                <w:sz w:val="18"/>
              </w:rPr>
            </w:pPr>
            <w:r>
              <w:rPr>
                <w:w w:val="112"/>
                <w:sz w:val="18"/>
              </w:rPr>
              <w:t>5</w:t>
            </w:r>
          </w:p>
        </w:tc>
        <w:tc>
          <w:tcPr>
            <w:tcW w:w="2747" w:type="dxa"/>
            <w:tcBorders>
              <w:top w:val="single" w:sz="6" w:space="0" w:color="69BD28"/>
              <w:bottom w:val="single" w:sz="6" w:space="0" w:color="69BD28"/>
            </w:tcBorders>
          </w:tcPr>
          <w:p>
            <w:pPr>
              <w:pStyle w:val="TableParagraph"/>
              <w:spacing w:line="204" w:lineRule="exact" w:before="28"/>
              <w:ind w:left="506" w:right="539"/>
              <w:rPr>
                <w:sz w:val="18"/>
              </w:rPr>
            </w:pPr>
            <w:r>
              <w:rPr>
                <w:w w:val="110"/>
                <w:sz w:val="18"/>
              </w:rPr>
              <w:t>784,186</w:t>
            </w:r>
          </w:p>
        </w:tc>
      </w:tr>
      <w:tr>
        <w:trPr>
          <w:trHeight w:val="251" w:hRule="atLeast"/>
        </w:trPr>
        <w:tc>
          <w:tcPr>
            <w:tcW w:w="3856" w:type="dxa"/>
            <w:tcBorders>
              <w:top w:val="single" w:sz="6" w:space="0" w:color="69BD28"/>
              <w:bottom w:val="single" w:sz="6" w:space="0" w:color="69BD28"/>
            </w:tcBorders>
          </w:tcPr>
          <w:p>
            <w:pPr>
              <w:pStyle w:val="TableParagraph"/>
              <w:spacing w:line="201" w:lineRule="exact" w:before="30"/>
              <w:ind w:left="336" w:right="364"/>
              <w:rPr>
                <w:sz w:val="18"/>
              </w:rPr>
            </w:pPr>
            <w:r>
              <w:rPr>
                <w:sz w:val="18"/>
              </w:rPr>
              <w:t>Philips (Philips)</w:t>
            </w:r>
          </w:p>
        </w:tc>
        <w:tc>
          <w:tcPr>
            <w:tcW w:w="1644" w:type="dxa"/>
            <w:tcBorders>
              <w:top w:val="single" w:sz="6" w:space="0" w:color="69BD28"/>
              <w:bottom w:val="single" w:sz="6" w:space="0" w:color="69BD28"/>
            </w:tcBorders>
          </w:tcPr>
          <w:p>
            <w:pPr>
              <w:pStyle w:val="TableParagraph"/>
              <w:spacing w:line="201" w:lineRule="exact" w:before="30"/>
              <w:ind w:left="784"/>
              <w:jc w:val="left"/>
              <w:rPr>
                <w:sz w:val="18"/>
              </w:rPr>
            </w:pPr>
            <w:r>
              <w:rPr>
                <w:w w:val="130"/>
                <w:sz w:val="18"/>
              </w:rPr>
              <w:t>B+G+4</w:t>
            </w:r>
          </w:p>
        </w:tc>
        <w:tc>
          <w:tcPr>
            <w:tcW w:w="3132" w:type="dxa"/>
            <w:tcBorders>
              <w:top w:val="single" w:sz="6" w:space="0" w:color="69BD28"/>
              <w:bottom w:val="single" w:sz="6" w:space="0" w:color="69BD28"/>
            </w:tcBorders>
          </w:tcPr>
          <w:p>
            <w:pPr>
              <w:pStyle w:val="TableParagraph"/>
              <w:spacing w:line="201" w:lineRule="exact" w:before="30"/>
              <w:ind w:left="1435"/>
              <w:jc w:val="left"/>
              <w:rPr>
                <w:sz w:val="18"/>
              </w:rPr>
            </w:pPr>
            <w:r>
              <w:rPr>
                <w:w w:val="105"/>
                <w:sz w:val="18"/>
              </w:rPr>
              <w:t>Non-SEZ</w:t>
            </w:r>
          </w:p>
        </w:tc>
        <w:tc>
          <w:tcPr>
            <w:tcW w:w="2174" w:type="dxa"/>
            <w:tcBorders>
              <w:top w:val="single" w:sz="6" w:space="0" w:color="69BD28"/>
              <w:bottom w:val="single" w:sz="6" w:space="0" w:color="69BD28"/>
            </w:tcBorders>
          </w:tcPr>
          <w:p>
            <w:pPr>
              <w:pStyle w:val="TableParagraph"/>
              <w:spacing w:line="201" w:lineRule="exact" w:before="30"/>
              <w:ind w:left="871"/>
              <w:jc w:val="left"/>
              <w:rPr>
                <w:sz w:val="18"/>
              </w:rPr>
            </w:pPr>
            <w:r>
              <w:rPr>
                <w:w w:val="110"/>
                <w:sz w:val="18"/>
              </w:rPr>
              <w:t>14</w:t>
            </w:r>
          </w:p>
        </w:tc>
        <w:tc>
          <w:tcPr>
            <w:tcW w:w="2747" w:type="dxa"/>
            <w:tcBorders>
              <w:top w:val="single" w:sz="6" w:space="0" w:color="69BD28"/>
              <w:bottom w:val="single" w:sz="6" w:space="0" w:color="69BD28"/>
            </w:tcBorders>
          </w:tcPr>
          <w:p>
            <w:pPr>
              <w:pStyle w:val="TableParagraph"/>
              <w:spacing w:line="201" w:lineRule="exact" w:before="30"/>
              <w:ind w:left="506" w:right="539"/>
              <w:rPr>
                <w:sz w:val="18"/>
              </w:rPr>
            </w:pPr>
            <w:r>
              <w:rPr>
                <w:w w:val="110"/>
                <w:sz w:val="18"/>
              </w:rPr>
              <w:t>144,736</w:t>
            </w:r>
          </w:p>
        </w:tc>
      </w:tr>
      <w:tr>
        <w:trPr>
          <w:trHeight w:val="253" w:hRule="atLeast"/>
        </w:trPr>
        <w:tc>
          <w:tcPr>
            <w:tcW w:w="3856" w:type="dxa"/>
            <w:tcBorders>
              <w:top w:val="single" w:sz="6" w:space="0" w:color="69BD28"/>
              <w:bottom w:val="single" w:sz="6" w:space="0" w:color="69BD28"/>
            </w:tcBorders>
          </w:tcPr>
          <w:p>
            <w:pPr>
              <w:pStyle w:val="TableParagraph"/>
              <w:spacing w:line="203" w:lineRule="exact" w:before="30"/>
              <w:ind w:left="331" w:right="364"/>
              <w:rPr>
                <w:sz w:val="18"/>
              </w:rPr>
            </w:pPr>
            <w:r>
              <w:rPr>
                <w:w w:val="105"/>
                <w:sz w:val="18"/>
              </w:rPr>
              <w:t>Banyan &amp; Willow (Block L1 – L2)</w:t>
            </w:r>
          </w:p>
        </w:tc>
        <w:tc>
          <w:tcPr>
            <w:tcW w:w="1644" w:type="dxa"/>
            <w:tcBorders>
              <w:top w:val="single" w:sz="6" w:space="0" w:color="69BD28"/>
              <w:bottom w:val="single" w:sz="6" w:space="0" w:color="69BD28"/>
            </w:tcBorders>
          </w:tcPr>
          <w:p>
            <w:pPr>
              <w:pStyle w:val="TableParagraph"/>
              <w:spacing w:line="203" w:lineRule="exact" w:before="30"/>
              <w:ind w:left="678"/>
              <w:jc w:val="left"/>
              <w:rPr>
                <w:sz w:val="18"/>
              </w:rPr>
            </w:pPr>
            <w:r>
              <w:rPr>
                <w:w w:val="125"/>
                <w:sz w:val="18"/>
              </w:rPr>
              <w:t>2B+G+10</w:t>
            </w:r>
          </w:p>
        </w:tc>
        <w:tc>
          <w:tcPr>
            <w:tcW w:w="3132" w:type="dxa"/>
            <w:tcBorders>
              <w:top w:val="single" w:sz="6" w:space="0" w:color="69BD28"/>
              <w:bottom w:val="single" w:sz="6" w:space="0" w:color="69BD28"/>
            </w:tcBorders>
          </w:tcPr>
          <w:p>
            <w:pPr>
              <w:pStyle w:val="TableParagraph"/>
              <w:spacing w:line="203" w:lineRule="exact" w:before="30"/>
              <w:ind w:left="645" w:right="210"/>
              <w:rPr>
                <w:sz w:val="18"/>
              </w:rPr>
            </w:pPr>
            <w:r>
              <w:rPr>
                <w:sz w:val="18"/>
              </w:rPr>
              <w:t>SEZ</w:t>
            </w:r>
          </w:p>
        </w:tc>
        <w:tc>
          <w:tcPr>
            <w:tcW w:w="2174" w:type="dxa"/>
            <w:tcBorders>
              <w:top w:val="single" w:sz="6" w:space="0" w:color="69BD28"/>
              <w:bottom w:val="single" w:sz="6" w:space="0" w:color="69BD28"/>
            </w:tcBorders>
          </w:tcPr>
          <w:p>
            <w:pPr>
              <w:pStyle w:val="TableParagraph"/>
              <w:spacing w:line="203" w:lineRule="exact" w:before="30"/>
              <w:ind w:left="923"/>
              <w:jc w:val="left"/>
              <w:rPr>
                <w:sz w:val="18"/>
              </w:rPr>
            </w:pPr>
            <w:r>
              <w:rPr>
                <w:w w:val="112"/>
                <w:sz w:val="18"/>
              </w:rPr>
              <w:t>3</w:t>
            </w:r>
          </w:p>
        </w:tc>
        <w:tc>
          <w:tcPr>
            <w:tcW w:w="2747" w:type="dxa"/>
            <w:tcBorders>
              <w:top w:val="single" w:sz="6" w:space="0" w:color="69BD28"/>
              <w:bottom w:val="single" w:sz="6" w:space="0" w:color="69BD28"/>
            </w:tcBorders>
          </w:tcPr>
          <w:p>
            <w:pPr>
              <w:pStyle w:val="TableParagraph"/>
              <w:spacing w:line="203" w:lineRule="exact" w:before="30"/>
              <w:ind w:left="506" w:right="539"/>
              <w:rPr>
                <w:sz w:val="18"/>
              </w:rPr>
            </w:pPr>
            <w:r>
              <w:rPr>
                <w:w w:val="110"/>
                <w:sz w:val="18"/>
              </w:rPr>
              <w:t>940,400</w:t>
            </w:r>
          </w:p>
        </w:tc>
      </w:tr>
      <w:tr>
        <w:trPr>
          <w:trHeight w:val="251" w:hRule="atLeast"/>
        </w:trPr>
        <w:tc>
          <w:tcPr>
            <w:tcW w:w="3856" w:type="dxa"/>
            <w:tcBorders>
              <w:top w:val="single" w:sz="6" w:space="0" w:color="69BD28"/>
              <w:bottom w:val="single" w:sz="6" w:space="0" w:color="69BD28"/>
            </w:tcBorders>
          </w:tcPr>
          <w:p>
            <w:pPr>
              <w:pStyle w:val="TableParagraph"/>
              <w:spacing w:line="203" w:lineRule="exact" w:before="28"/>
              <w:ind w:left="334" w:right="364"/>
              <w:rPr>
                <w:sz w:val="18"/>
              </w:rPr>
            </w:pPr>
            <w:r>
              <w:rPr>
                <w:sz w:val="18"/>
              </w:rPr>
              <w:t>NXT (Block A)</w:t>
            </w:r>
          </w:p>
        </w:tc>
        <w:tc>
          <w:tcPr>
            <w:tcW w:w="1644" w:type="dxa"/>
            <w:tcBorders>
              <w:top w:val="single" w:sz="6" w:space="0" w:color="69BD28"/>
              <w:bottom w:val="single" w:sz="6" w:space="0" w:color="69BD28"/>
            </w:tcBorders>
          </w:tcPr>
          <w:p>
            <w:pPr>
              <w:pStyle w:val="TableParagraph"/>
              <w:spacing w:line="203" w:lineRule="exact" w:before="28"/>
              <w:ind w:left="731"/>
              <w:jc w:val="left"/>
              <w:rPr>
                <w:sz w:val="18"/>
              </w:rPr>
            </w:pPr>
            <w:r>
              <w:rPr>
                <w:w w:val="125"/>
                <w:sz w:val="18"/>
              </w:rPr>
              <w:t>B+G+10</w:t>
            </w:r>
          </w:p>
        </w:tc>
        <w:tc>
          <w:tcPr>
            <w:tcW w:w="3132" w:type="dxa"/>
            <w:tcBorders>
              <w:top w:val="single" w:sz="6" w:space="0" w:color="69BD28"/>
              <w:bottom w:val="single" w:sz="6" w:space="0" w:color="69BD28"/>
            </w:tcBorders>
          </w:tcPr>
          <w:p>
            <w:pPr>
              <w:pStyle w:val="TableParagraph"/>
              <w:spacing w:line="203" w:lineRule="exact" w:before="28"/>
              <w:ind w:left="1435"/>
              <w:jc w:val="left"/>
              <w:rPr>
                <w:sz w:val="18"/>
              </w:rPr>
            </w:pPr>
            <w:r>
              <w:rPr>
                <w:w w:val="105"/>
                <w:sz w:val="18"/>
              </w:rPr>
              <w:t>Non-SEZ</w:t>
            </w:r>
          </w:p>
        </w:tc>
        <w:tc>
          <w:tcPr>
            <w:tcW w:w="2174" w:type="dxa"/>
            <w:tcBorders>
              <w:top w:val="single" w:sz="6" w:space="0" w:color="69BD28"/>
              <w:bottom w:val="single" w:sz="6" w:space="0" w:color="69BD28"/>
            </w:tcBorders>
          </w:tcPr>
          <w:p>
            <w:pPr>
              <w:pStyle w:val="TableParagraph"/>
              <w:spacing w:line="203" w:lineRule="exact" w:before="28"/>
              <w:ind w:left="847"/>
              <w:jc w:val="left"/>
              <w:rPr>
                <w:sz w:val="18"/>
              </w:rPr>
            </w:pPr>
            <w:r>
              <w:rPr>
                <w:w w:val="135"/>
                <w:sz w:val="18"/>
              </w:rPr>
              <w:t>&lt;1</w:t>
            </w:r>
          </w:p>
        </w:tc>
        <w:tc>
          <w:tcPr>
            <w:tcW w:w="2747" w:type="dxa"/>
            <w:tcBorders>
              <w:top w:val="single" w:sz="6" w:space="0" w:color="69BD28"/>
              <w:bottom w:val="single" w:sz="6" w:space="0" w:color="69BD28"/>
            </w:tcBorders>
          </w:tcPr>
          <w:p>
            <w:pPr>
              <w:pStyle w:val="TableParagraph"/>
              <w:spacing w:line="203" w:lineRule="exact" w:before="28"/>
              <w:ind w:left="506" w:right="539"/>
              <w:rPr>
                <w:sz w:val="18"/>
              </w:rPr>
            </w:pPr>
            <w:r>
              <w:rPr>
                <w:w w:val="110"/>
                <w:sz w:val="18"/>
              </w:rPr>
              <w:t>793,498</w:t>
            </w:r>
          </w:p>
        </w:tc>
      </w:tr>
      <w:tr>
        <w:trPr>
          <w:trHeight w:val="251" w:hRule="atLeast"/>
        </w:trPr>
        <w:tc>
          <w:tcPr>
            <w:tcW w:w="3856" w:type="dxa"/>
            <w:tcBorders>
              <w:top w:val="single" w:sz="6" w:space="0" w:color="69BD28"/>
            </w:tcBorders>
          </w:tcPr>
          <w:p>
            <w:pPr>
              <w:pStyle w:val="TableParagraph"/>
              <w:spacing w:line="204" w:lineRule="exact" w:before="28"/>
              <w:ind w:left="334" w:right="364"/>
              <w:rPr>
                <w:sz w:val="18"/>
              </w:rPr>
            </w:pPr>
            <w:r>
              <w:rPr>
                <w:sz w:val="18"/>
              </w:rPr>
              <w:t>Total</w:t>
            </w:r>
          </w:p>
        </w:tc>
        <w:tc>
          <w:tcPr>
            <w:tcW w:w="1644" w:type="dxa"/>
            <w:tcBorders>
              <w:top w:val="single" w:sz="6" w:space="0" w:color="69BD28"/>
            </w:tcBorders>
          </w:tcPr>
          <w:p>
            <w:pPr>
              <w:pStyle w:val="TableParagraph"/>
              <w:jc w:val="left"/>
              <w:rPr>
                <w:rFonts w:ascii="Times New Roman"/>
                <w:sz w:val="18"/>
              </w:rPr>
            </w:pPr>
          </w:p>
        </w:tc>
        <w:tc>
          <w:tcPr>
            <w:tcW w:w="3132" w:type="dxa"/>
            <w:tcBorders>
              <w:top w:val="single" w:sz="6" w:space="0" w:color="69BD28"/>
            </w:tcBorders>
          </w:tcPr>
          <w:p>
            <w:pPr>
              <w:pStyle w:val="TableParagraph"/>
              <w:jc w:val="left"/>
              <w:rPr>
                <w:rFonts w:ascii="Times New Roman"/>
                <w:sz w:val="18"/>
              </w:rPr>
            </w:pPr>
          </w:p>
        </w:tc>
        <w:tc>
          <w:tcPr>
            <w:tcW w:w="2174" w:type="dxa"/>
            <w:tcBorders>
              <w:top w:val="single" w:sz="6" w:space="0" w:color="69BD28"/>
            </w:tcBorders>
          </w:tcPr>
          <w:p>
            <w:pPr>
              <w:pStyle w:val="TableParagraph"/>
              <w:jc w:val="left"/>
              <w:rPr>
                <w:rFonts w:ascii="Times New Roman"/>
                <w:sz w:val="18"/>
              </w:rPr>
            </w:pPr>
          </w:p>
        </w:tc>
        <w:tc>
          <w:tcPr>
            <w:tcW w:w="2747" w:type="dxa"/>
            <w:tcBorders>
              <w:top w:val="single" w:sz="6" w:space="0" w:color="69BD28"/>
            </w:tcBorders>
          </w:tcPr>
          <w:p>
            <w:pPr>
              <w:pStyle w:val="TableParagraph"/>
              <w:spacing w:line="204" w:lineRule="exact" w:before="28"/>
              <w:ind w:left="506" w:right="539"/>
              <w:rPr>
                <w:sz w:val="18"/>
              </w:rPr>
            </w:pPr>
            <w:r>
              <w:rPr>
                <w:w w:val="105"/>
                <w:sz w:val="18"/>
              </w:rPr>
              <w:t>11,751,174</w:t>
            </w:r>
          </w:p>
        </w:tc>
      </w:tr>
      <w:tr>
        <w:trPr>
          <w:trHeight w:val="280" w:hRule="atLeast"/>
        </w:trPr>
        <w:tc>
          <w:tcPr>
            <w:tcW w:w="3856" w:type="dxa"/>
            <w:shd w:val="clear" w:color="auto" w:fill="69BD28"/>
          </w:tcPr>
          <w:p>
            <w:pPr>
              <w:pStyle w:val="TableParagraph"/>
              <w:jc w:val="left"/>
              <w:rPr>
                <w:rFonts w:ascii="Times New Roman"/>
                <w:sz w:val="18"/>
              </w:rPr>
            </w:pPr>
          </w:p>
        </w:tc>
        <w:tc>
          <w:tcPr>
            <w:tcW w:w="1644" w:type="dxa"/>
            <w:shd w:val="clear" w:color="auto" w:fill="69BD28"/>
          </w:tcPr>
          <w:p>
            <w:pPr>
              <w:pStyle w:val="TableParagraph"/>
              <w:jc w:val="left"/>
              <w:rPr>
                <w:rFonts w:ascii="Times New Roman"/>
                <w:sz w:val="18"/>
              </w:rPr>
            </w:pPr>
          </w:p>
        </w:tc>
        <w:tc>
          <w:tcPr>
            <w:tcW w:w="3132" w:type="dxa"/>
            <w:shd w:val="clear" w:color="auto" w:fill="69BD28"/>
          </w:tcPr>
          <w:p>
            <w:pPr>
              <w:pStyle w:val="TableParagraph"/>
              <w:spacing w:before="45"/>
              <w:ind w:left="97"/>
              <w:jc w:val="left"/>
              <w:rPr>
                <w:b/>
                <w:sz w:val="18"/>
              </w:rPr>
            </w:pPr>
            <w:r>
              <w:rPr>
                <w:b/>
                <w:color w:val="FFFFFF"/>
                <w:w w:val="105"/>
                <w:sz w:val="18"/>
              </w:rPr>
              <w:t>Under-construction Blocks</w:t>
            </w:r>
          </w:p>
        </w:tc>
        <w:tc>
          <w:tcPr>
            <w:tcW w:w="2174" w:type="dxa"/>
            <w:shd w:val="clear" w:color="auto" w:fill="69BD28"/>
          </w:tcPr>
          <w:p>
            <w:pPr>
              <w:pStyle w:val="TableParagraph"/>
              <w:jc w:val="left"/>
              <w:rPr>
                <w:rFonts w:ascii="Times New Roman"/>
                <w:sz w:val="18"/>
              </w:rPr>
            </w:pPr>
          </w:p>
        </w:tc>
        <w:tc>
          <w:tcPr>
            <w:tcW w:w="2747" w:type="dxa"/>
            <w:shd w:val="clear" w:color="auto" w:fill="69BD28"/>
          </w:tcPr>
          <w:p>
            <w:pPr>
              <w:pStyle w:val="TableParagraph"/>
              <w:jc w:val="left"/>
              <w:rPr>
                <w:rFonts w:ascii="Times New Roman"/>
                <w:sz w:val="18"/>
              </w:rPr>
            </w:pPr>
          </w:p>
        </w:tc>
      </w:tr>
      <w:tr>
        <w:trPr>
          <w:trHeight w:val="254" w:hRule="atLeast"/>
        </w:trPr>
        <w:tc>
          <w:tcPr>
            <w:tcW w:w="3856" w:type="dxa"/>
            <w:tcBorders>
              <w:bottom w:val="single" w:sz="6" w:space="0" w:color="69BD28"/>
            </w:tcBorders>
          </w:tcPr>
          <w:p>
            <w:pPr>
              <w:pStyle w:val="TableParagraph"/>
              <w:spacing w:line="203" w:lineRule="exact" w:before="30"/>
              <w:ind w:left="335" w:right="364"/>
              <w:rPr>
                <w:sz w:val="18"/>
              </w:rPr>
            </w:pPr>
            <w:r>
              <w:rPr>
                <w:w w:val="110"/>
                <w:sz w:val="18"/>
              </w:rPr>
              <w:t>Block M3 – Phase 1</w:t>
            </w:r>
          </w:p>
        </w:tc>
        <w:tc>
          <w:tcPr>
            <w:tcW w:w="1644" w:type="dxa"/>
            <w:tcBorders>
              <w:bottom w:val="single" w:sz="6" w:space="0" w:color="69BD28"/>
            </w:tcBorders>
          </w:tcPr>
          <w:p>
            <w:pPr>
              <w:pStyle w:val="TableParagraph"/>
              <w:spacing w:line="203" w:lineRule="exact" w:before="30"/>
              <w:ind w:left="985"/>
              <w:jc w:val="left"/>
              <w:rPr>
                <w:sz w:val="18"/>
              </w:rPr>
            </w:pPr>
            <w:r>
              <w:rPr>
                <w:w w:val="115"/>
                <w:sz w:val="18"/>
              </w:rPr>
              <w:t>NA</w:t>
            </w:r>
          </w:p>
        </w:tc>
        <w:tc>
          <w:tcPr>
            <w:tcW w:w="3132" w:type="dxa"/>
            <w:tcBorders>
              <w:bottom w:val="single" w:sz="6" w:space="0" w:color="69BD28"/>
            </w:tcBorders>
          </w:tcPr>
          <w:p>
            <w:pPr>
              <w:pStyle w:val="TableParagraph"/>
              <w:spacing w:line="203" w:lineRule="exact" w:before="30"/>
              <w:ind w:left="645" w:right="210"/>
              <w:rPr>
                <w:sz w:val="18"/>
              </w:rPr>
            </w:pPr>
            <w:r>
              <w:rPr>
                <w:sz w:val="18"/>
              </w:rPr>
              <w:t>SEZ</w:t>
            </w:r>
          </w:p>
        </w:tc>
        <w:tc>
          <w:tcPr>
            <w:tcW w:w="2174" w:type="dxa"/>
            <w:tcBorders>
              <w:bottom w:val="single" w:sz="6" w:space="0" w:color="69BD28"/>
            </w:tcBorders>
          </w:tcPr>
          <w:p>
            <w:pPr>
              <w:pStyle w:val="TableParagraph"/>
              <w:spacing w:line="203" w:lineRule="exact" w:before="30"/>
              <w:ind w:left="849"/>
              <w:jc w:val="left"/>
              <w:rPr>
                <w:sz w:val="18"/>
              </w:rPr>
            </w:pPr>
            <w:r>
              <w:rPr>
                <w:w w:val="115"/>
                <w:sz w:val="18"/>
              </w:rPr>
              <w:t>NA</w:t>
            </w:r>
          </w:p>
        </w:tc>
        <w:tc>
          <w:tcPr>
            <w:tcW w:w="2747" w:type="dxa"/>
            <w:tcBorders>
              <w:bottom w:val="single" w:sz="6" w:space="0" w:color="69BD28"/>
            </w:tcBorders>
          </w:tcPr>
          <w:p>
            <w:pPr>
              <w:pStyle w:val="TableParagraph"/>
              <w:spacing w:line="203" w:lineRule="exact" w:before="30"/>
              <w:ind w:left="506" w:right="539"/>
              <w:rPr>
                <w:sz w:val="18"/>
              </w:rPr>
            </w:pPr>
            <w:r>
              <w:rPr>
                <w:w w:val="110"/>
                <w:sz w:val="18"/>
              </w:rPr>
              <w:t>997,057</w:t>
            </w:r>
          </w:p>
        </w:tc>
      </w:tr>
      <w:tr>
        <w:trPr>
          <w:trHeight w:val="251" w:hRule="atLeast"/>
        </w:trPr>
        <w:tc>
          <w:tcPr>
            <w:tcW w:w="3856" w:type="dxa"/>
            <w:tcBorders>
              <w:top w:val="single" w:sz="6" w:space="0" w:color="69BD28"/>
              <w:bottom w:val="single" w:sz="6" w:space="0" w:color="69BD28"/>
            </w:tcBorders>
          </w:tcPr>
          <w:p>
            <w:pPr>
              <w:pStyle w:val="TableParagraph"/>
              <w:spacing w:line="203" w:lineRule="exact" w:before="28"/>
              <w:ind w:left="335" w:right="364"/>
              <w:rPr>
                <w:sz w:val="18"/>
              </w:rPr>
            </w:pPr>
            <w:r>
              <w:rPr>
                <w:w w:val="110"/>
                <w:sz w:val="18"/>
              </w:rPr>
              <w:t>Block M3 – Phase 2</w:t>
            </w:r>
          </w:p>
        </w:tc>
        <w:tc>
          <w:tcPr>
            <w:tcW w:w="1644" w:type="dxa"/>
            <w:tcBorders>
              <w:top w:val="single" w:sz="6" w:space="0" w:color="69BD28"/>
              <w:bottom w:val="single" w:sz="6" w:space="0" w:color="69BD28"/>
            </w:tcBorders>
          </w:tcPr>
          <w:p>
            <w:pPr>
              <w:pStyle w:val="TableParagraph"/>
              <w:spacing w:line="203" w:lineRule="exact" w:before="28"/>
              <w:ind w:left="985"/>
              <w:jc w:val="left"/>
              <w:rPr>
                <w:sz w:val="18"/>
              </w:rPr>
            </w:pPr>
            <w:r>
              <w:rPr>
                <w:w w:val="115"/>
                <w:sz w:val="18"/>
              </w:rPr>
              <w:t>NA</w:t>
            </w:r>
          </w:p>
        </w:tc>
        <w:tc>
          <w:tcPr>
            <w:tcW w:w="3132" w:type="dxa"/>
            <w:tcBorders>
              <w:top w:val="single" w:sz="6" w:space="0" w:color="69BD28"/>
              <w:bottom w:val="single" w:sz="6" w:space="0" w:color="69BD28"/>
            </w:tcBorders>
          </w:tcPr>
          <w:p>
            <w:pPr>
              <w:pStyle w:val="TableParagraph"/>
              <w:spacing w:line="203" w:lineRule="exact" w:before="28"/>
              <w:ind w:left="645" w:right="210"/>
              <w:rPr>
                <w:sz w:val="18"/>
              </w:rPr>
            </w:pPr>
            <w:r>
              <w:rPr>
                <w:sz w:val="18"/>
              </w:rPr>
              <w:t>SEZ</w:t>
            </w:r>
          </w:p>
        </w:tc>
        <w:tc>
          <w:tcPr>
            <w:tcW w:w="2174" w:type="dxa"/>
            <w:tcBorders>
              <w:top w:val="single" w:sz="6" w:space="0" w:color="69BD28"/>
              <w:bottom w:val="single" w:sz="6" w:space="0" w:color="69BD28"/>
            </w:tcBorders>
          </w:tcPr>
          <w:p>
            <w:pPr>
              <w:pStyle w:val="TableParagraph"/>
              <w:spacing w:before="11"/>
              <w:ind w:left="849"/>
              <w:jc w:val="left"/>
              <w:rPr>
                <w:sz w:val="18"/>
              </w:rPr>
            </w:pPr>
            <w:r>
              <w:rPr>
                <w:w w:val="115"/>
                <w:sz w:val="18"/>
              </w:rPr>
              <w:t>NA</w:t>
            </w:r>
          </w:p>
        </w:tc>
        <w:tc>
          <w:tcPr>
            <w:tcW w:w="2747" w:type="dxa"/>
            <w:tcBorders>
              <w:top w:val="single" w:sz="6" w:space="0" w:color="69BD28"/>
              <w:bottom w:val="single" w:sz="6" w:space="0" w:color="69BD28"/>
            </w:tcBorders>
          </w:tcPr>
          <w:p>
            <w:pPr>
              <w:pStyle w:val="TableParagraph"/>
              <w:spacing w:line="203" w:lineRule="exact" w:before="28"/>
              <w:ind w:left="506" w:right="539"/>
              <w:rPr>
                <w:sz w:val="18"/>
              </w:rPr>
            </w:pPr>
            <w:r>
              <w:rPr>
                <w:w w:val="110"/>
                <w:sz w:val="18"/>
              </w:rPr>
              <w:t>597,789</w:t>
            </w:r>
          </w:p>
        </w:tc>
      </w:tr>
      <w:tr>
        <w:trPr>
          <w:trHeight w:val="251" w:hRule="atLeast"/>
        </w:trPr>
        <w:tc>
          <w:tcPr>
            <w:tcW w:w="3856" w:type="dxa"/>
            <w:tcBorders>
              <w:top w:val="single" w:sz="6" w:space="0" w:color="69BD28"/>
              <w:bottom w:val="single" w:sz="6" w:space="0" w:color="69BD28"/>
            </w:tcBorders>
          </w:tcPr>
          <w:p>
            <w:pPr>
              <w:pStyle w:val="TableParagraph"/>
              <w:spacing w:line="204" w:lineRule="exact" w:before="28"/>
              <w:ind w:left="335" w:right="364"/>
              <w:rPr>
                <w:sz w:val="18"/>
              </w:rPr>
            </w:pPr>
            <w:r>
              <w:rPr>
                <w:sz w:val="18"/>
              </w:rPr>
              <w:t>Front Parcel - Retail</w:t>
            </w:r>
          </w:p>
        </w:tc>
        <w:tc>
          <w:tcPr>
            <w:tcW w:w="1644" w:type="dxa"/>
            <w:tcBorders>
              <w:top w:val="single" w:sz="6" w:space="0" w:color="69BD28"/>
              <w:bottom w:val="single" w:sz="6" w:space="0" w:color="69BD28"/>
            </w:tcBorders>
          </w:tcPr>
          <w:p>
            <w:pPr>
              <w:pStyle w:val="TableParagraph"/>
              <w:spacing w:line="204" w:lineRule="exact" w:before="28"/>
              <w:ind w:left="985"/>
              <w:jc w:val="left"/>
              <w:rPr>
                <w:sz w:val="18"/>
              </w:rPr>
            </w:pPr>
            <w:r>
              <w:rPr>
                <w:w w:val="115"/>
                <w:sz w:val="18"/>
              </w:rPr>
              <w:t>NA</w:t>
            </w:r>
          </w:p>
        </w:tc>
        <w:tc>
          <w:tcPr>
            <w:tcW w:w="3132" w:type="dxa"/>
            <w:tcBorders>
              <w:top w:val="single" w:sz="6" w:space="0" w:color="69BD28"/>
              <w:bottom w:val="single" w:sz="6" w:space="0" w:color="69BD28"/>
            </w:tcBorders>
          </w:tcPr>
          <w:p>
            <w:pPr>
              <w:pStyle w:val="TableParagraph"/>
              <w:spacing w:line="204" w:lineRule="exact" w:before="28"/>
              <w:ind w:left="1435"/>
              <w:jc w:val="left"/>
              <w:rPr>
                <w:sz w:val="18"/>
              </w:rPr>
            </w:pPr>
            <w:r>
              <w:rPr>
                <w:w w:val="105"/>
                <w:sz w:val="18"/>
              </w:rPr>
              <w:t>Non-SEZ</w:t>
            </w:r>
          </w:p>
        </w:tc>
        <w:tc>
          <w:tcPr>
            <w:tcW w:w="2174" w:type="dxa"/>
            <w:tcBorders>
              <w:top w:val="single" w:sz="6" w:space="0" w:color="69BD28"/>
              <w:bottom w:val="single" w:sz="6" w:space="0" w:color="69BD28"/>
            </w:tcBorders>
          </w:tcPr>
          <w:p>
            <w:pPr>
              <w:pStyle w:val="TableParagraph"/>
              <w:spacing w:before="11"/>
              <w:ind w:left="849"/>
              <w:jc w:val="left"/>
              <w:rPr>
                <w:sz w:val="18"/>
              </w:rPr>
            </w:pPr>
            <w:r>
              <w:rPr>
                <w:w w:val="115"/>
                <w:sz w:val="18"/>
              </w:rPr>
              <w:t>NA</w:t>
            </w:r>
          </w:p>
        </w:tc>
        <w:tc>
          <w:tcPr>
            <w:tcW w:w="2747" w:type="dxa"/>
            <w:tcBorders>
              <w:top w:val="single" w:sz="6" w:space="0" w:color="69BD28"/>
              <w:bottom w:val="single" w:sz="6" w:space="0" w:color="69BD28"/>
            </w:tcBorders>
          </w:tcPr>
          <w:p>
            <w:pPr>
              <w:pStyle w:val="TableParagraph"/>
              <w:spacing w:line="204" w:lineRule="exact" w:before="28"/>
              <w:ind w:left="505" w:right="540"/>
              <w:rPr>
                <w:sz w:val="18"/>
              </w:rPr>
            </w:pPr>
            <w:r>
              <w:rPr>
                <w:w w:val="110"/>
                <w:sz w:val="18"/>
              </w:rPr>
              <w:t>58,083</w:t>
            </w:r>
          </w:p>
        </w:tc>
      </w:tr>
      <w:tr>
        <w:trPr>
          <w:trHeight w:val="261" w:hRule="atLeast"/>
        </w:trPr>
        <w:tc>
          <w:tcPr>
            <w:tcW w:w="3856" w:type="dxa"/>
            <w:tcBorders>
              <w:top w:val="single" w:sz="6" w:space="0" w:color="69BD28"/>
              <w:bottom w:val="single" w:sz="6" w:space="0" w:color="69BD28"/>
            </w:tcBorders>
          </w:tcPr>
          <w:p>
            <w:pPr>
              <w:pStyle w:val="TableParagraph"/>
              <w:spacing w:before="30"/>
              <w:ind w:left="334" w:right="364"/>
              <w:rPr>
                <w:sz w:val="18"/>
              </w:rPr>
            </w:pPr>
            <w:r>
              <w:rPr>
                <w:sz w:val="18"/>
              </w:rPr>
              <w:t>Total</w:t>
            </w:r>
          </w:p>
        </w:tc>
        <w:tc>
          <w:tcPr>
            <w:tcW w:w="1644" w:type="dxa"/>
            <w:tcBorders>
              <w:top w:val="single" w:sz="6" w:space="0" w:color="69BD28"/>
              <w:bottom w:val="single" w:sz="6" w:space="0" w:color="69BD28"/>
            </w:tcBorders>
          </w:tcPr>
          <w:p>
            <w:pPr>
              <w:pStyle w:val="TableParagraph"/>
              <w:jc w:val="left"/>
              <w:rPr>
                <w:rFonts w:ascii="Times New Roman"/>
                <w:sz w:val="18"/>
              </w:rPr>
            </w:pPr>
          </w:p>
        </w:tc>
        <w:tc>
          <w:tcPr>
            <w:tcW w:w="3132" w:type="dxa"/>
            <w:tcBorders>
              <w:top w:val="single" w:sz="6" w:space="0" w:color="69BD28"/>
              <w:bottom w:val="single" w:sz="6" w:space="0" w:color="69BD28"/>
            </w:tcBorders>
          </w:tcPr>
          <w:p>
            <w:pPr>
              <w:pStyle w:val="TableParagraph"/>
              <w:jc w:val="left"/>
              <w:rPr>
                <w:rFonts w:ascii="Times New Roman"/>
                <w:sz w:val="18"/>
              </w:rPr>
            </w:pPr>
          </w:p>
        </w:tc>
        <w:tc>
          <w:tcPr>
            <w:tcW w:w="2174" w:type="dxa"/>
            <w:tcBorders>
              <w:top w:val="single" w:sz="6" w:space="0" w:color="69BD28"/>
              <w:bottom w:val="single" w:sz="6" w:space="0" w:color="69BD28"/>
            </w:tcBorders>
          </w:tcPr>
          <w:p>
            <w:pPr>
              <w:pStyle w:val="TableParagraph"/>
              <w:jc w:val="left"/>
              <w:rPr>
                <w:rFonts w:ascii="Times New Roman"/>
                <w:sz w:val="18"/>
              </w:rPr>
            </w:pPr>
          </w:p>
        </w:tc>
        <w:tc>
          <w:tcPr>
            <w:tcW w:w="2747" w:type="dxa"/>
            <w:tcBorders>
              <w:top w:val="single" w:sz="6" w:space="0" w:color="69BD28"/>
              <w:bottom w:val="single" w:sz="6" w:space="0" w:color="69BD28"/>
            </w:tcBorders>
          </w:tcPr>
          <w:p>
            <w:pPr>
              <w:pStyle w:val="TableParagraph"/>
              <w:spacing w:before="30"/>
              <w:ind w:left="506" w:right="536"/>
              <w:rPr>
                <w:sz w:val="18"/>
              </w:rPr>
            </w:pPr>
            <w:r>
              <w:rPr>
                <w:w w:val="105"/>
                <w:sz w:val="18"/>
              </w:rPr>
              <w:t>1,652,929</w:t>
            </w:r>
          </w:p>
        </w:tc>
      </w:tr>
      <w:tr>
        <w:trPr>
          <w:trHeight w:val="258" w:hRule="atLeast"/>
        </w:trPr>
        <w:tc>
          <w:tcPr>
            <w:tcW w:w="3856" w:type="dxa"/>
            <w:shd w:val="clear" w:color="auto" w:fill="69BD28"/>
          </w:tcPr>
          <w:p>
            <w:pPr>
              <w:pStyle w:val="TableParagraph"/>
              <w:jc w:val="left"/>
              <w:rPr>
                <w:rFonts w:ascii="Times New Roman"/>
                <w:sz w:val="18"/>
              </w:rPr>
            </w:pPr>
          </w:p>
        </w:tc>
        <w:tc>
          <w:tcPr>
            <w:tcW w:w="1644" w:type="dxa"/>
            <w:shd w:val="clear" w:color="auto" w:fill="69BD28"/>
          </w:tcPr>
          <w:p>
            <w:pPr>
              <w:pStyle w:val="TableParagraph"/>
              <w:jc w:val="left"/>
              <w:rPr>
                <w:rFonts w:ascii="Times New Roman"/>
                <w:sz w:val="18"/>
              </w:rPr>
            </w:pPr>
          </w:p>
        </w:tc>
        <w:tc>
          <w:tcPr>
            <w:tcW w:w="3132" w:type="dxa"/>
            <w:shd w:val="clear" w:color="auto" w:fill="69BD28"/>
          </w:tcPr>
          <w:p>
            <w:pPr>
              <w:pStyle w:val="TableParagraph"/>
              <w:spacing w:before="21"/>
              <w:ind w:left="1271"/>
              <w:jc w:val="left"/>
              <w:rPr>
                <w:b/>
                <w:sz w:val="18"/>
              </w:rPr>
            </w:pPr>
            <w:r>
              <w:rPr>
                <w:b/>
                <w:color w:val="FFFFFF"/>
                <w:w w:val="110"/>
                <w:sz w:val="18"/>
              </w:rPr>
              <w:t>Land Stage</w:t>
            </w:r>
          </w:p>
        </w:tc>
        <w:tc>
          <w:tcPr>
            <w:tcW w:w="2174" w:type="dxa"/>
            <w:shd w:val="clear" w:color="auto" w:fill="69BD28"/>
          </w:tcPr>
          <w:p>
            <w:pPr>
              <w:pStyle w:val="TableParagraph"/>
              <w:jc w:val="left"/>
              <w:rPr>
                <w:rFonts w:ascii="Times New Roman"/>
                <w:sz w:val="18"/>
              </w:rPr>
            </w:pPr>
          </w:p>
        </w:tc>
        <w:tc>
          <w:tcPr>
            <w:tcW w:w="2747" w:type="dxa"/>
            <w:shd w:val="clear" w:color="auto" w:fill="69BD28"/>
          </w:tcPr>
          <w:p>
            <w:pPr>
              <w:pStyle w:val="TableParagraph"/>
              <w:jc w:val="left"/>
              <w:rPr>
                <w:rFonts w:ascii="Times New Roman"/>
                <w:sz w:val="18"/>
              </w:rPr>
            </w:pPr>
          </w:p>
        </w:tc>
      </w:tr>
      <w:tr>
        <w:trPr>
          <w:trHeight w:val="252" w:hRule="atLeast"/>
        </w:trPr>
        <w:tc>
          <w:tcPr>
            <w:tcW w:w="3856" w:type="dxa"/>
            <w:tcBorders>
              <w:bottom w:val="single" w:sz="6" w:space="0" w:color="69BD28"/>
            </w:tcBorders>
          </w:tcPr>
          <w:p>
            <w:pPr>
              <w:pStyle w:val="TableParagraph"/>
              <w:spacing w:line="203" w:lineRule="exact" w:before="28"/>
              <w:ind w:left="333" w:right="364"/>
              <w:rPr>
                <w:sz w:val="18"/>
              </w:rPr>
            </w:pPr>
            <w:r>
              <w:rPr>
                <w:sz w:val="18"/>
              </w:rPr>
              <w:t>Block F-1</w:t>
            </w:r>
          </w:p>
        </w:tc>
        <w:tc>
          <w:tcPr>
            <w:tcW w:w="1644" w:type="dxa"/>
            <w:tcBorders>
              <w:bottom w:val="single" w:sz="6" w:space="0" w:color="69BD28"/>
            </w:tcBorders>
          </w:tcPr>
          <w:p>
            <w:pPr>
              <w:pStyle w:val="TableParagraph"/>
              <w:spacing w:line="203" w:lineRule="exact" w:before="28"/>
              <w:ind w:left="985"/>
              <w:jc w:val="left"/>
              <w:rPr>
                <w:sz w:val="18"/>
              </w:rPr>
            </w:pPr>
            <w:r>
              <w:rPr>
                <w:w w:val="115"/>
                <w:sz w:val="18"/>
              </w:rPr>
              <w:t>NA</w:t>
            </w:r>
          </w:p>
        </w:tc>
        <w:tc>
          <w:tcPr>
            <w:tcW w:w="3132" w:type="dxa"/>
            <w:tcBorders>
              <w:bottom w:val="single" w:sz="6" w:space="0" w:color="69BD28"/>
            </w:tcBorders>
          </w:tcPr>
          <w:p>
            <w:pPr>
              <w:pStyle w:val="TableParagraph"/>
              <w:spacing w:line="203" w:lineRule="exact" w:before="28"/>
              <w:ind w:left="645" w:right="210"/>
              <w:rPr>
                <w:sz w:val="18"/>
              </w:rPr>
            </w:pPr>
            <w:r>
              <w:rPr>
                <w:sz w:val="18"/>
              </w:rPr>
              <w:t>SEZ</w:t>
            </w:r>
          </w:p>
        </w:tc>
        <w:tc>
          <w:tcPr>
            <w:tcW w:w="2174" w:type="dxa"/>
            <w:tcBorders>
              <w:bottom w:val="single" w:sz="6" w:space="0" w:color="69BD28"/>
            </w:tcBorders>
          </w:tcPr>
          <w:p>
            <w:pPr>
              <w:pStyle w:val="TableParagraph"/>
              <w:spacing w:before="11"/>
              <w:ind w:left="849"/>
              <w:jc w:val="left"/>
              <w:rPr>
                <w:sz w:val="18"/>
              </w:rPr>
            </w:pPr>
            <w:r>
              <w:rPr>
                <w:w w:val="115"/>
                <w:sz w:val="18"/>
              </w:rPr>
              <w:t>NA</w:t>
            </w:r>
          </w:p>
        </w:tc>
        <w:tc>
          <w:tcPr>
            <w:tcW w:w="2747" w:type="dxa"/>
            <w:tcBorders>
              <w:bottom w:val="single" w:sz="6" w:space="0" w:color="69BD28"/>
            </w:tcBorders>
          </w:tcPr>
          <w:p>
            <w:pPr>
              <w:pStyle w:val="TableParagraph"/>
              <w:spacing w:line="203" w:lineRule="exact" w:before="28"/>
              <w:ind w:left="506" w:right="539"/>
              <w:rPr>
                <w:sz w:val="18"/>
              </w:rPr>
            </w:pPr>
            <w:r>
              <w:rPr>
                <w:w w:val="110"/>
                <w:sz w:val="18"/>
              </w:rPr>
              <w:t>708,000</w:t>
            </w:r>
          </w:p>
        </w:tc>
      </w:tr>
      <w:tr>
        <w:trPr>
          <w:trHeight w:val="251" w:hRule="atLeast"/>
        </w:trPr>
        <w:tc>
          <w:tcPr>
            <w:tcW w:w="3856" w:type="dxa"/>
            <w:tcBorders>
              <w:top w:val="single" w:sz="6" w:space="0" w:color="69BD28"/>
              <w:bottom w:val="single" w:sz="6" w:space="0" w:color="69BD28"/>
            </w:tcBorders>
          </w:tcPr>
          <w:p>
            <w:pPr>
              <w:pStyle w:val="TableParagraph"/>
              <w:spacing w:line="203" w:lineRule="exact" w:before="28"/>
              <w:ind w:left="333" w:right="364"/>
              <w:rPr>
                <w:sz w:val="18"/>
              </w:rPr>
            </w:pPr>
            <w:r>
              <w:rPr>
                <w:sz w:val="18"/>
              </w:rPr>
              <w:t>Block L-4</w:t>
            </w:r>
          </w:p>
        </w:tc>
        <w:tc>
          <w:tcPr>
            <w:tcW w:w="1644" w:type="dxa"/>
            <w:tcBorders>
              <w:top w:val="single" w:sz="6" w:space="0" w:color="69BD28"/>
              <w:bottom w:val="single" w:sz="6" w:space="0" w:color="69BD28"/>
            </w:tcBorders>
          </w:tcPr>
          <w:p>
            <w:pPr>
              <w:pStyle w:val="TableParagraph"/>
              <w:spacing w:line="203" w:lineRule="exact" w:before="28"/>
              <w:ind w:left="985"/>
              <w:jc w:val="left"/>
              <w:rPr>
                <w:sz w:val="18"/>
              </w:rPr>
            </w:pPr>
            <w:r>
              <w:rPr>
                <w:w w:val="115"/>
                <w:sz w:val="18"/>
              </w:rPr>
              <w:t>NA</w:t>
            </w:r>
          </w:p>
        </w:tc>
        <w:tc>
          <w:tcPr>
            <w:tcW w:w="3132" w:type="dxa"/>
            <w:tcBorders>
              <w:top w:val="single" w:sz="6" w:space="0" w:color="69BD28"/>
              <w:bottom w:val="single" w:sz="6" w:space="0" w:color="69BD28"/>
            </w:tcBorders>
          </w:tcPr>
          <w:p>
            <w:pPr>
              <w:pStyle w:val="TableParagraph"/>
              <w:spacing w:line="203" w:lineRule="exact" w:before="28"/>
              <w:ind w:left="1435"/>
              <w:jc w:val="left"/>
              <w:rPr>
                <w:sz w:val="18"/>
              </w:rPr>
            </w:pPr>
            <w:r>
              <w:rPr>
                <w:w w:val="105"/>
                <w:sz w:val="18"/>
              </w:rPr>
              <w:t>Non-SEZ</w:t>
            </w:r>
          </w:p>
        </w:tc>
        <w:tc>
          <w:tcPr>
            <w:tcW w:w="2174" w:type="dxa"/>
            <w:tcBorders>
              <w:top w:val="single" w:sz="6" w:space="0" w:color="69BD28"/>
              <w:bottom w:val="single" w:sz="6" w:space="0" w:color="69BD28"/>
            </w:tcBorders>
          </w:tcPr>
          <w:p>
            <w:pPr>
              <w:pStyle w:val="TableParagraph"/>
              <w:spacing w:before="11"/>
              <w:ind w:left="849"/>
              <w:jc w:val="left"/>
              <w:rPr>
                <w:sz w:val="18"/>
              </w:rPr>
            </w:pPr>
            <w:r>
              <w:rPr>
                <w:w w:val="115"/>
                <w:sz w:val="18"/>
              </w:rPr>
              <w:t>NA</w:t>
            </w:r>
          </w:p>
        </w:tc>
        <w:tc>
          <w:tcPr>
            <w:tcW w:w="2747" w:type="dxa"/>
            <w:tcBorders>
              <w:top w:val="single" w:sz="6" w:space="0" w:color="69BD28"/>
              <w:bottom w:val="single" w:sz="6" w:space="0" w:color="69BD28"/>
            </w:tcBorders>
          </w:tcPr>
          <w:p>
            <w:pPr>
              <w:pStyle w:val="TableParagraph"/>
              <w:spacing w:line="203" w:lineRule="exact" w:before="28"/>
              <w:ind w:left="506" w:right="539"/>
              <w:rPr>
                <w:sz w:val="18"/>
              </w:rPr>
            </w:pPr>
            <w:r>
              <w:rPr>
                <w:w w:val="110"/>
                <w:sz w:val="18"/>
              </w:rPr>
              <w:t>707,550</w:t>
            </w:r>
          </w:p>
        </w:tc>
      </w:tr>
      <w:tr>
        <w:trPr>
          <w:trHeight w:val="253" w:hRule="atLeast"/>
        </w:trPr>
        <w:tc>
          <w:tcPr>
            <w:tcW w:w="3856" w:type="dxa"/>
            <w:tcBorders>
              <w:top w:val="single" w:sz="6" w:space="0" w:color="69BD28"/>
              <w:bottom w:val="single" w:sz="6" w:space="0" w:color="69BD28"/>
            </w:tcBorders>
          </w:tcPr>
          <w:p>
            <w:pPr>
              <w:pStyle w:val="TableParagraph"/>
              <w:spacing w:line="203" w:lineRule="exact" w:before="30"/>
              <w:ind w:left="334" w:right="364"/>
              <w:rPr>
                <w:sz w:val="18"/>
              </w:rPr>
            </w:pPr>
            <w:r>
              <w:rPr>
                <w:sz w:val="18"/>
              </w:rPr>
              <w:t>Total</w:t>
            </w:r>
          </w:p>
        </w:tc>
        <w:tc>
          <w:tcPr>
            <w:tcW w:w="1644" w:type="dxa"/>
            <w:tcBorders>
              <w:top w:val="single" w:sz="6" w:space="0" w:color="69BD28"/>
              <w:bottom w:val="single" w:sz="6" w:space="0" w:color="69BD28"/>
            </w:tcBorders>
          </w:tcPr>
          <w:p>
            <w:pPr>
              <w:pStyle w:val="TableParagraph"/>
              <w:jc w:val="left"/>
              <w:rPr>
                <w:rFonts w:ascii="Times New Roman"/>
                <w:sz w:val="18"/>
              </w:rPr>
            </w:pPr>
          </w:p>
        </w:tc>
        <w:tc>
          <w:tcPr>
            <w:tcW w:w="3132" w:type="dxa"/>
            <w:tcBorders>
              <w:top w:val="single" w:sz="6" w:space="0" w:color="69BD28"/>
              <w:bottom w:val="single" w:sz="6" w:space="0" w:color="69BD28"/>
            </w:tcBorders>
          </w:tcPr>
          <w:p>
            <w:pPr>
              <w:pStyle w:val="TableParagraph"/>
              <w:jc w:val="left"/>
              <w:rPr>
                <w:rFonts w:ascii="Times New Roman"/>
                <w:sz w:val="18"/>
              </w:rPr>
            </w:pPr>
          </w:p>
        </w:tc>
        <w:tc>
          <w:tcPr>
            <w:tcW w:w="2174" w:type="dxa"/>
            <w:tcBorders>
              <w:top w:val="single" w:sz="6" w:space="0" w:color="69BD28"/>
              <w:bottom w:val="single" w:sz="6" w:space="0" w:color="69BD28"/>
            </w:tcBorders>
          </w:tcPr>
          <w:p>
            <w:pPr>
              <w:pStyle w:val="TableParagraph"/>
              <w:jc w:val="left"/>
              <w:rPr>
                <w:rFonts w:ascii="Times New Roman"/>
                <w:sz w:val="18"/>
              </w:rPr>
            </w:pPr>
          </w:p>
        </w:tc>
        <w:tc>
          <w:tcPr>
            <w:tcW w:w="2747" w:type="dxa"/>
            <w:tcBorders>
              <w:top w:val="single" w:sz="6" w:space="0" w:color="69BD28"/>
              <w:bottom w:val="single" w:sz="6" w:space="0" w:color="69BD28"/>
            </w:tcBorders>
          </w:tcPr>
          <w:p>
            <w:pPr>
              <w:pStyle w:val="TableParagraph"/>
              <w:spacing w:line="203" w:lineRule="exact" w:before="30"/>
              <w:ind w:left="506" w:right="536"/>
              <w:rPr>
                <w:sz w:val="18"/>
              </w:rPr>
            </w:pPr>
            <w:r>
              <w:rPr>
                <w:w w:val="105"/>
                <w:sz w:val="18"/>
              </w:rPr>
              <w:t>1,415,550</w:t>
            </w:r>
          </w:p>
        </w:tc>
      </w:tr>
    </w:tbl>
    <w:p>
      <w:pPr>
        <w:spacing w:before="4"/>
        <w:ind w:left="191" w:right="0" w:firstLine="0"/>
        <w:jc w:val="left"/>
        <w:rPr>
          <w:i/>
          <w:sz w:val="18"/>
        </w:rPr>
      </w:pPr>
      <w:r>
        <w:rPr>
          <w:i/>
          <w:w w:val="95"/>
          <w:sz w:val="18"/>
        </w:rPr>
        <w:t>Source:</w:t>
      </w:r>
      <w:r>
        <w:rPr>
          <w:i/>
          <w:spacing w:val="-7"/>
          <w:w w:val="95"/>
          <w:sz w:val="18"/>
        </w:rPr>
        <w:t> </w:t>
      </w:r>
      <w:r>
        <w:rPr>
          <w:i/>
          <w:w w:val="95"/>
          <w:sz w:val="18"/>
        </w:rPr>
        <w:t>Rent</w:t>
      </w:r>
      <w:r>
        <w:rPr>
          <w:i/>
          <w:spacing w:val="-5"/>
          <w:w w:val="95"/>
          <w:sz w:val="18"/>
        </w:rPr>
        <w:t> </w:t>
      </w:r>
      <w:r>
        <w:rPr>
          <w:i/>
          <w:w w:val="95"/>
          <w:sz w:val="18"/>
        </w:rPr>
        <w:t>roll,</w:t>
      </w:r>
      <w:r>
        <w:rPr>
          <w:i/>
          <w:spacing w:val="-4"/>
          <w:w w:val="95"/>
          <w:sz w:val="18"/>
        </w:rPr>
        <w:t> </w:t>
      </w:r>
      <w:r>
        <w:rPr>
          <w:i/>
          <w:w w:val="95"/>
          <w:sz w:val="18"/>
        </w:rPr>
        <w:t>lease</w:t>
      </w:r>
      <w:r>
        <w:rPr>
          <w:i/>
          <w:spacing w:val="-7"/>
          <w:w w:val="95"/>
          <w:sz w:val="18"/>
        </w:rPr>
        <w:t> </w:t>
      </w:r>
      <w:r>
        <w:rPr>
          <w:i/>
          <w:w w:val="95"/>
          <w:sz w:val="18"/>
        </w:rPr>
        <w:t>deeds,</w:t>
      </w:r>
      <w:r>
        <w:rPr>
          <w:i/>
          <w:spacing w:val="-7"/>
          <w:w w:val="95"/>
          <w:sz w:val="18"/>
        </w:rPr>
        <w:t> </w:t>
      </w:r>
      <w:r>
        <w:rPr>
          <w:i/>
          <w:w w:val="95"/>
          <w:sz w:val="18"/>
        </w:rPr>
        <w:t>Occupancy</w:t>
      </w:r>
      <w:r>
        <w:rPr>
          <w:i/>
          <w:spacing w:val="-5"/>
          <w:w w:val="95"/>
          <w:sz w:val="18"/>
        </w:rPr>
        <w:t> </w:t>
      </w:r>
      <w:r>
        <w:rPr>
          <w:i/>
          <w:w w:val="95"/>
          <w:sz w:val="18"/>
        </w:rPr>
        <w:t>Certificate</w:t>
      </w:r>
      <w:r>
        <w:rPr>
          <w:i/>
          <w:spacing w:val="-6"/>
          <w:w w:val="95"/>
          <w:sz w:val="18"/>
        </w:rPr>
        <w:t> </w:t>
      </w:r>
      <w:r>
        <w:rPr>
          <w:i/>
          <w:w w:val="95"/>
          <w:sz w:val="18"/>
        </w:rPr>
        <w:t>provided</w:t>
      </w:r>
      <w:r>
        <w:rPr>
          <w:i/>
          <w:spacing w:val="-5"/>
          <w:w w:val="95"/>
          <w:sz w:val="18"/>
        </w:rPr>
        <w:t> </w:t>
      </w:r>
      <w:r>
        <w:rPr>
          <w:i/>
          <w:w w:val="95"/>
          <w:sz w:val="18"/>
        </w:rPr>
        <w:t>by</w:t>
      </w:r>
      <w:r>
        <w:rPr>
          <w:i/>
          <w:spacing w:val="-7"/>
          <w:w w:val="95"/>
          <w:sz w:val="18"/>
        </w:rPr>
        <w:t> </w:t>
      </w:r>
      <w:r>
        <w:rPr>
          <w:i/>
          <w:w w:val="95"/>
          <w:sz w:val="18"/>
        </w:rPr>
        <w:t>Client</w:t>
      </w:r>
    </w:p>
    <w:p>
      <w:pPr>
        <w:pStyle w:val="BodyText"/>
        <w:spacing w:before="8"/>
        <w:rPr>
          <w:i/>
          <w:sz w:val="26"/>
        </w:rPr>
      </w:pPr>
    </w:p>
    <w:p>
      <w:pPr>
        <w:pStyle w:val="BodyText"/>
        <w:spacing w:line="324" w:lineRule="auto"/>
        <w:ind w:left="191" w:right="131"/>
      </w:pPr>
      <w:r>
        <w:rPr/>
        <w:t>In</w:t>
      </w:r>
      <w:r>
        <w:rPr>
          <w:spacing w:val="-29"/>
        </w:rPr>
        <w:t> </w:t>
      </w:r>
      <w:r>
        <w:rPr/>
        <w:t>addition</w:t>
      </w:r>
      <w:r>
        <w:rPr>
          <w:spacing w:val="-29"/>
        </w:rPr>
        <w:t> </w:t>
      </w:r>
      <w:r>
        <w:rPr/>
        <w:t>to</w:t>
      </w:r>
      <w:r>
        <w:rPr>
          <w:spacing w:val="-28"/>
        </w:rPr>
        <w:t> </w:t>
      </w:r>
      <w:r>
        <w:rPr/>
        <w:t>the</w:t>
      </w:r>
      <w:r>
        <w:rPr>
          <w:spacing w:val="-29"/>
        </w:rPr>
        <w:t> </w:t>
      </w:r>
      <w:r>
        <w:rPr/>
        <w:t>table</w:t>
      </w:r>
      <w:r>
        <w:rPr>
          <w:spacing w:val="-29"/>
        </w:rPr>
        <w:t> </w:t>
      </w:r>
      <w:r>
        <w:rPr/>
        <w:t>blocks,</w:t>
      </w:r>
      <w:r>
        <w:rPr>
          <w:spacing w:val="-29"/>
        </w:rPr>
        <w:t> </w:t>
      </w:r>
      <w:r>
        <w:rPr/>
        <w:t>the</w:t>
      </w:r>
      <w:r>
        <w:rPr>
          <w:spacing w:val="-29"/>
        </w:rPr>
        <w:t> </w:t>
      </w:r>
      <w:r>
        <w:rPr/>
        <w:t>subject</w:t>
      </w:r>
      <w:r>
        <w:rPr>
          <w:spacing w:val="-29"/>
        </w:rPr>
        <w:t> </w:t>
      </w:r>
      <w:r>
        <w:rPr/>
        <w:t>property</w:t>
      </w:r>
      <w:r>
        <w:rPr>
          <w:spacing w:val="-29"/>
        </w:rPr>
        <w:t> </w:t>
      </w:r>
      <w:r>
        <w:rPr/>
        <w:t>also</w:t>
      </w:r>
      <w:r>
        <w:rPr>
          <w:spacing w:val="-29"/>
        </w:rPr>
        <w:t> </w:t>
      </w:r>
      <w:r>
        <w:rPr/>
        <w:t>includes</w:t>
      </w:r>
      <w:r>
        <w:rPr>
          <w:spacing w:val="-27"/>
        </w:rPr>
        <w:t> </w:t>
      </w:r>
      <w:r>
        <w:rPr/>
        <w:t>a</w:t>
      </w:r>
      <w:r>
        <w:rPr>
          <w:spacing w:val="-30"/>
        </w:rPr>
        <w:t> </w:t>
      </w:r>
      <w:r>
        <w:rPr/>
        <w:t>proposed</w:t>
      </w:r>
      <w:r>
        <w:rPr>
          <w:spacing w:val="-29"/>
        </w:rPr>
        <w:t> </w:t>
      </w:r>
      <w:r>
        <w:rPr/>
        <w:t>hospitality</w:t>
      </w:r>
      <w:r>
        <w:rPr>
          <w:spacing w:val="-28"/>
        </w:rPr>
        <w:t> </w:t>
      </w:r>
      <w:r>
        <w:rPr/>
        <w:t>component</w:t>
      </w:r>
      <w:r>
        <w:rPr>
          <w:spacing w:val="-25"/>
        </w:rPr>
        <w:t> </w:t>
      </w:r>
      <w:r>
        <w:rPr/>
        <w:t>with</w:t>
      </w:r>
      <w:r>
        <w:rPr>
          <w:spacing w:val="-28"/>
        </w:rPr>
        <w:t> </w:t>
      </w:r>
      <w:r>
        <w:rPr/>
        <w:t>a</w:t>
      </w:r>
      <w:r>
        <w:rPr>
          <w:spacing w:val="-29"/>
        </w:rPr>
        <w:t> </w:t>
      </w:r>
      <w:r>
        <w:rPr/>
        <w:t>developable</w:t>
      </w:r>
      <w:r>
        <w:rPr>
          <w:spacing w:val="-30"/>
        </w:rPr>
        <w:t> </w:t>
      </w:r>
      <w:r>
        <w:rPr/>
        <w:t>area</w:t>
      </w:r>
      <w:r>
        <w:rPr>
          <w:spacing w:val="-28"/>
        </w:rPr>
        <w:t> </w:t>
      </w:r>
      <w:r>
        <w:rPr/>
        <w:t>of</w:t>
      </w:r>
      <w:r>
        <w:rPr>
          <w:spacing w:val="-26"/>
        </w:rPr>
        <w:t> </w:t>
      </w:r>
      <w:r>
        <w:rPr/>
        <w:t>722,678</w:t>
      </w:r>
      <w:r>
        <w:rPr>
          <w:spacing w:val="-29"/>
        </w:rPr>
        <w:t> </w:t>
      </w:r>
      <w:r>
        <w:rPr/>
        <w:t>sf</w:t>
      </w:r>
      <w:r>
        <w:rPr>
          <w:spacing w:val="-28"/>
        </w:rPr>
        <w:t> </w:t>
      </w:r>
      <w:r>
        <w:rPr/>
        <w:t>and a convention center with a developable area of 58,000</w:t>
      </w:r>
      <w:r>
        <w:rPr>
          <w:spacing w:val="-31"/>
        </w:rPr>
        <w:t> </w:t>
      </w:r>
      <w:r>
        <w:rPr/>
        <w:t>sf.</w:t>
      </w:r>
    </w:p>
    <w:p>
      <w:pPr>
        <w:spacing w:after="0" w:line="324" w:lineRule="auto"/>
        <w:sectPr>
          <w:pgSz w:w="16840" w:h="11910" w:orient="landscape"/>
          <w:pgMar w:header="720" w:footer="842" w:top="1220" w:bottom="1040" w:left="1220" w:right="1700"/>
        </w:sectPr>
      </w:pPr>
    </w:p>
    <w:p>
      <w:pPr>
        <w:pStyle w:val="BodyText"/>
        <w:spacing w:before="2"/>
        <w:rPr>
          <w:sz w:val="7"/>
        </w:rPr>
      </w:pPr>
    </w:p>
    <w:p>
      <w:pPr>
        <w:pStyle w:val="BodyText"/>
        <w:ind w:left="220"/>
        <w:rPr>
          <w:sz w:val="20"/>
        </w:rPr>
      </w:pPr>
      <w:r>
        <w:rPr>
          <w:sz w:val="20"/>
        </w:rPr>
        <w:pict>
          <v:group style="width:523.6pt;height:23.2pt;mso-position-horizontal-relative:char;mso-position-vertical-relative:line" coordorigin="0,0" coordsize="10472,464">
            <v:shape style="position:absolute;left:0;top:16;width:10472;height:432" coordorigin="0,17" coordsize="10472,432" path="m7994,17l5514,17,3035,17,0,17,0,449,3035,449,5514,449,7994,449,7994,17xm10471,17l7994,17,7994,449,10471,449,10471,17xe" filled="true" fillcolor="#006a4d" stroked="false">
              <v:path arrowok="t"/>
              <v:fill type="solid"/>
            </v:shape>
            <v:shape style="position:absolute;left:0;top:0;width:10472;height:464" coordorigin="0,0" coordsize="10472,464" path="m7994,449l5529,449,5514,449,3049,449,3035,449,0,449,0,463,3035,463,3049,463,5514,463,5529,463,7994,463,7994,449xm7994,0l5529,0,5514,0,3049,0,3035,0,0,0,0,14,3035,14,3049,14,5514,14,5529,14,7994,14,7994,0xm10471,449l8008,449,7994,449,7994,463,8008,463,10471,463,10471,449xm10471,0l8008,0,7994,0,7994,14,8008,14,10471,14,10471,0xe" filled="true" fillcolor="#69bd28" stroked="false">
              <v:path arrowok="t"/>
              <v:fill type="solid"/>
            </v:shape>
            <v:shape style="position:absolute;left:1202;top:124;width:650;height:216" type="#_x0000_t202" filled="false" stroked="false">
              <v:textbox inset="0,0,0,0">
                <w:txbxContent>
                  <w:p>
                    <w:pPr>
                      <w:spacing w:before="4"/>
                      <w:ind w:left="0" w:right="0" w:firstLine="0"/>
                      <w:jc w:val="left"/>
                      <w:rPr>
                        <w:b/>
                        <w:sz w:val="18"/>
                      </w:rPr>
                    </w:pPr>
                    <w:r>
                      <w:rPr>
                        <w:b/>
                        <w:color w:val="FFFFFF"/>
                        <w:w w:val="110"/>
                        <w:sz w:val="18"/>
                      </w:rPr>
                      <w:t>Details</w:t>
                    </w:r>
                  </w:p>
                </w:txbxContent>
              </v:textbox>
              <w10:wrap type="none"/>
            </v:shape>
            <v:shape style="position:absolute;left:3471;top:124;width:1629;height:216" type="#_x0000_t202" filled="false" stroked="false">
              <v:textbox inset="0,0,0,0">
                <w:txbxContent>
                  <w:p>
                    <w:pPr>
                      <w:spacing w:before="4"/>
                      <w:ind w:left="0" w:right="0" w:firstLine="0"/>
                      <w:jc w:val="left"/>
                      <w:rPr>
                        <w:b/>
                        <w:sz w:val="18"/>
                      </w:rPr>
                    </w:pPr>
                    <w:r>
                      <w:rPr>
                        <w:b/>
                        <w:color w:val="FFFFFF"/>
                        <w:w w:val="110"/>
                        <w:sz w:val="18"/>
                      </w:rPr>
                      <w:t>Completed</w:t>
                    </w:r>
                    <w:r>
                      <w:rPr>
                        <w:b/>
                        <w:color w:val="FFFFFF"/>
                        <w:spacing w:val="-28"/>
                        <w:w w:val="110"/>
                        <w:sz w:val="18"/>
                      </w:rPr>
                      <w:t> </w:t>
                    </w:r>
                    <w:r>
                      <w:rPr>
                        <w:b/>
                        <w:color w:val="FFFFFF"/>
                        <w:w w:val="110"/>
                        <w:sz w:val="18"/>
                      </w:rPr>
                      <w:t>Blocks</w:t>
                    </w:r>
                  </w:p>
                </w:txbxContent>
              </v:textbox>
              <w10:wrap type="none"/>
            </v:shape>
            <v:shape style="position:absolute;left:5881;top:16;width:1764;height:432" type="#_x0000_t202" filled="false" stroked="false">
              <v:textbox inset="0,0,0,0">
                <w:txbxContent>
                  <w:p>
                    <w:pPr>
                      <w:spacing w:line="247" w:lineRule="auto" w:before="4"/>
                      <w:ind w:left="583" w:right="-17" w:hanging="584"/>
                      <w:jc w:val="left"/>
                      <w:rPr>
                        <w:b/>
                        <w:sz w:val="18"/>
                      </w:rPr>
                    </w:pPr>
                    <w:r>
                      <w:rPr>
                        <w:b/>
                        <w:color w:val="FFFFFF"/>
                        <w:w w:val="105"/>
                        <w:sz w:val="18"/>
                      </w:rPr>
                      <w:t>Under Construction Blocks</w:t>
                    </w:r>
                  </w:p>
                </w:txbxContent>
              </v:textbox>
              <w10:wrap type="none"/>
            </v:shape>
            <v:shape style="position:absolute;left:8404;top:124;width:1676;height:216" type="#_x0000_t202" filled="false" stroked="false">
              <v:textbox inset="0,0,0,0">
                <w:txbxContent>
                  <w:p>
                    <w:pPr>
                      <w:spacing w:before="4"/>
                      <w:ind w:left="0" w:right="0" w:firstLine="0"/>
                      <w:jc w:val="left"/>
                      <w:rPr>
                        <w:b/>
                        <w:sz w:val="18"/>
                      </w:rPr>
                    </w:pPr>
                    <w:r>
                      <w:rPr>
                        <w:b/>
                        <w:color w:val="FFFFFF"/>
                        <w:w w:val="110"/>
                        <w:sz w:val="18"/>
                      </w:rPr>
                      <w:t>Land Stage Blocks</w:t>
                    </w:r>
                  </w:p>
                </w:txbxContent>
              </v:textbox>
              <w10:wrap type="none"/>
            </v:shape>
          </v:group>
        </w:pict>
      </w:r>
      <w:r>
        <w:rPr>
          <w:sz w:val="20"/>
        </w:rPr>
      </w:r>
    </w:p>
    <w:p>
      <w:pPr>
        <w:tabs>
          <w:tab w:pos="4156" w:val="left" w:leader="none"/>
          <w:tab w:pos="6847" w:val="left" w:leader="none"/>
          <w:tab w:pos="9325" w:val="left" w:leader="none"/>
        </w:tabs>
        <w:spacing w:before="13"/>
        <w:ind w:left="887" w:right="0" w:firstLine="0"/>
        <w:jc w:val="left"/>
        <w:rPr>
          <w:sz w:val="18"/>
        </w:rPr>
      </w:pPr>
      <w:r>
        <w:rPr/>
        <w:pict>
          <v:shape style="position:absolute;margin-left:36pt;margin-top:13.06062pt;width:523.6pt;height:.75pt;mso-position-horizontal-relative:page;mso-position-vertical-relative:paragraph;z-index:-15566848;mso-wrap-distance-left:0;mso-wrap-distance-right:0" coordorigin="720,261" coordsize="10472,15" path="m8714,261l6249,261,6234,261,3769,261,3755,261,720,261,720,276,3755,276,3769,276,6234,276,6249,276,8714,276,8714,261xm11191,261l8728,261,8714,261,8714,276,8728,276,11191,276,11191,261xe" filled="true" fillcolor="#69bd28" stroked="false">
            <v:path arrowok="t"/>
            <v:fill type="solid"/>
            <w10:wrap type="topAndBottom"/>
          </v:shape>
        </w:pict>
      </w:r>
      <w:r>
        <w:rPr>
          <w:w w:val="105"/>
          <w:sz w:val="18"/>
        </w:rPr>
        <w:t>Grade</w:t>
      </w:r>
      <w:r>
        <w:rPr>
          <w:spacing w:val="-25"/>
          <w:w w:val="105"/>
          <w:sz w:val="18"/>
        </w:rPr>
        <w:t> </w:t>
      </w:r>
      <w:r>
        <w:rPr>
          <w:w w:val="105"/>
          <w:sz w:val="18"/>
        </w:rPr>
        <w:t>of</w:t>
      </w:r>
      <w:r>
        <w:rPr>
          <w:spacing w:val="-25"/>
          <w:w w:val="105"/>
          <w:sz w:val="18"/>
        </w:rPr>
        <w:t> </w:t>
      </w:r>
      <w:r>
        <w:rPr>
          <w:w w:val="105"/>
          <w:sz w:val="18"/>
        </w:rPr>
        <w:t>the</w:t>
      </w:r>
      <w:r>
        <w:rPr>
          <w:spacing w:val="-25"/>
          <w:w w:val="105"/>
          <w:sz w:val="18"/>
        </w:rPr>
        <w:t> </w:t>
      </w:r>
      <w:r>
        <w:rPr>
          <w:w w:val="105"/>
          <w:sz w:val="18"/>
        </w:rPr>
        <w:t>Building</w:t>
        <w:tab/>
        <w:t>Grade</w:t>
      </w:r>
      <w:r>
        <w:rPr>
          <w:spacing w:val="-3"/>
          <w:w w:val="105"/>
          <w:sz w:val="18"/>
        </w:rPr>
        <w:t> </w:t>
      </w:r>
      <w:r>
        <w:rPr>
          <w:w w:val="105"/>
          <w:sz w:val="18"/>
        </w:rPr>
        <w:t>A</w:t>
        <w:tab/>
        <w:t>NA</w:t>
        <w:tab/>
        <w:t>NA</w:t>
      </w:r>
    </w:p>
    <w:p>
      <w:pPr>
        <w:tabs>
          <w:tab w:pos="4154" w:val="left" w:leader="none"/>
          <w:tab w:pos="6847" w:val="left" w:leader="none"/>
          <w:tab w:pos="9325" w:val="left" w:leader="none"/>
        </w:tabs>
        <w:spacing w:before="10" w:after="39"/>
        <w:ind w:left="1036" w:right="0" w:firstLine="0"/>
        <w:jc w:val="left"/>
        <w:rPr>
          <w:sz w:val="18"/>
        </w:rPr>
      </w:pPr>
      <w:r>
        <w:rPr>
          <w:sz w:val="18"/>
        </w:rPr>
        <w:t>LEED</w:t>
      </w:r>
      <w:r>
        <w:rPr>
          <w:spacing w:val="-28"/>
          <w:sz w:val="18"/>
        </w:rPr>
        <w:t> </w:t>
      </w:r>
      <w:r>
        <w:rPr>
          <w:sz w:val="18"/>
        </w:rPr>
        <w:t>Certification</w:t>
        <w:tab/>
        <w:t>Platinum</w:t>
        <w:tab/>
        <w:t>NA</w:t>
        <w:tab/>
        <w:t>NA</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7994,0l5529,0,5514,0,3049,0,3035,0,0,0,0,14,3035,14,3049,14,5514,14,5529,14,7994,14,7994,0xm10471,0l8008,0,7994,0,7994,14,8008,14,10471,14,10471,0xe" filled="true" fillcolor="#69bd28" stroked="false">
              <v:path arrowok="t"/>
              <v:fill type="solid"/>
            </v:shape>
          </v:group>
        </w:pict>
      </w:r>
      <w:r>
        <w:rPr>
          <w:sz w:val="2"/>
        </w:rPr>
      </w:r>
    </w:p>
    <w:p>
      <w:pPr>
        <w:tabs>
          <w:tab w:pos="3604" w:val="left" w:leader="none"/>
          <w:tab w:pos="6847" w:val="left" w:leader="none"/>
          <w:tab w:pos="9325" w:val="left" w:leader="none"/>
        </w:tabs>
        <w:spacing w:before="34"/>
        <w:ind w:left="1070" w:right="0" w:firstLine="0"/>
        <w:jc w:val="left"/>
        <w:rPr>
          <w:sz w:val="18"/>
        </w:rPr>
      </w:pPr>
      <w:r>
        <w:rPr/>
        <w:pict>
          <v:shape style="position:absolute;margin-left:36pt;margin-top:14.110632pt;width:523.6pt;height:.75pt;mso-position-horizontal-relative:page;mso-position-vertical-relative:paragraph;z-index:-15565824;mso-wrap-distance-left:0;mso-wrap-distance-right:0" coordorigin="720,282" coordsize="10472,15" path="m8714,282l6249,282,6234,282,3769,282,3755,282,720,282,720,297,3755,297,3769,297,6234,297,6249,297,8714,297,8714,282xm11191,282l8728,282,8714,282,8714,297,8728,297,11191,297,11191,282xe" filled="true" fillcolor="#69bd28" stroked="false">
            <v:path arrowok="t"/>
            <v:fill type="solid"/>
            <w10:wrap type="topAndBottom"/>
          </v:shape>
        </w:pict>
      </w:r>
      <w:r>
        <w:rPr>
          <w:sz w:val="18"/>
        </w:rPr>
        <w:t>Structural</w:t>
      </w:r>
      <w:r>
        <w:rPr>
          <w:spacing w:val="-20"/>
          <w:sz w:val="18"/>
        </w:rPr>
        <w:t> </w:t>
      </w:r>
      <w:r>
        <w:rPr>
          <w:sz w:val="18"/>
        </w:rPr>
        <w:t>Design</w:t>
        <w:tab/>
      </w:r>
      <w:r>
        <w:rPr>
          <w:w w:val="110"/>
          <w:sz w:val="18"/>
        </w:rPr>
        <w:t>B+G+3</w:t>
      </w:r>
      <w:r>
        <w:rPr>
          <w:spacing w:val="31"/>
          <w:w w:val="110"/>
          <w:sz w:val="18"/>
        </w:rPr>
        <w:t> </w:t>
      </w:r>
      <w:r>
        <w:rPr>
          <w:w w:val="110"/>
          <w:sz w:val="18"/>
        </w:rPr>
        <w:t>to</w:t>
      </w:r>
      <w:r>
        <w:rPr>
          <w:spacing w:val="34"/>
          <w:w w:val="110"/>
          <w:sz w:val="18"/>
        </w:rPr>
        <w:t> </w:t>
      </w:r>
      <w:r>
        <w:rPr>
          <w:w w:val="110"/>
          <w:sz w:val="18"/>
        </w:rPr>
        <w:t>3B+G+11</w:t>
        <w:tab/>
        <w:t>NA</w:t>
        <w:tab/>
        <w:t>NA</w:t>
      </w:r>
    </w:p>
    <w:p>
      <w:pPr>
        <w:tabs>
          <w:tab w:pos="4039" w:val="left" w:leader="none"/>
          <w:tab w:pos="6847" w:val="left" w:leader="none"/>
          <w:tab w:pos="9325" w:val="left" w:leader="none"/>
        </w:tabs>
        <w:spacing w:before="13"/>
        <w:ind w:left="1026" w:right="0" w:firstLine="0"/>
        <w:jc w:val="left"/>
        <w:rPr>
          <w:sz w:val="18"/>
        </w:rPr>
      </w:pPr>
      <w:r>
        <w:rPr>
          <w:sz w:val="18"/>
        </w:rPr>
        <w:t>Status</w:t>
      </w:r>
      <w:r>
        <w:rPr>
          <w:spacing w:val="-16"/>
          <w:sz w:val="18"/>
        </w:rPr>
        <w:t> </w:t>
      </w:r>
      <w:r>
        <w:rPr>
          <w:sz w:val="18"/>
        </w:rPr>
        <w:t>of</w:t>
      </w:r>
      <w:r>
        <w:rPr>
          <w:spacing w:val="-16"/>
          <w:sz w:val="18"/>
        </w:rPr>
        <w:t> </w:t>
      </w:r>
      <w:r>
        <w:rPr>
          <w:sz w:val="18"/>
        </w:rPr>
        <w:t>Finishing</w:t>
        <w:tab/>
        <w:t>Warm</w:t>
      </w:r>
      <w:r>
        <w:rPr>
          <w:spacing w:val="-2"/>
          <w:sz w:val="18"/>
        </w:rPr>
        <w:t> </w:t>
      </w:r>
      <w:r>
        <w:rPr>
          <w:sz w:val="18"/>
        </w:rPr>
        <w:t>Shell</w:t>
        <w:tab/>
        <w:t>NA</w:t>
        <w:tab/>
        <w:t>NA</w:t>
      </w:r>
    </w:p>
    <w:p>
      <w:pPr>
        <w:spacing w:after="0"/>
        <w:jc w:val="left"/>
        <w:rPr>
          <w:sz w:val="18"/>
        </w:rPr>
        <w:sectPr>
          <w:headerReference w:type="default" r:id="rId73"/>
          <w:footerReference w:type="default" r:id="rId74"/>
          <w:pgSz w:w="11910" w:h="16840"/>
          <w:pgMar w:header="720" w:footer="842" w:top="1660" w:bottom="1040" w:left="500" w:right="520"/>
          <w:pgNumType w:start="81"/>
        </w:sectPr>
      </w:pPr>
    </w:p>
    <w:p>
      <w:pPr>
        <w:tabs>
          <w:tab w:pos="3381" w:val="left" w:leader="none"/>
        </w:tabs>
        <w:spacing w:line="156" w:lineRule="auto" w:before="77"/>
        <w:ind w:left="611" w:right="0" w:firstLine="0"/>
        <w:jc w:val="left"/>
        <w:rPr>
          <w:sz w:val="18"/>
        </w:rPr>
      </w:pPr>
      <w:r>
        <w:rPr/>
        <w:pict>
          <v:shape style="position:absolute;margin-left:36pt;margin-top:1.937402pt;width:523.6pt;height:.75pt;mso-position-horizontal-relative:page;mso-position-vertical-relative:paragraph;z-index:15898112" coordorigin="720,39" coordsize="10472,15" path="m8714,39l6249,39,6234,39,3769,39,3755,39,720,39,720,53,3755,53,3769,53,6234,53,6249,53,8714,53,8714,39xm11191,39l8728,39,8714,39,8714,53,8728,53,11191,53,11191,39xe" filled="true" fillcolor="#69bd28" stroked="false">
            <v:path arrowok="t"/>
            <v:fill type="solid"/>
            <w10:wrap type="none"/>
          </v:shape>
        </w:pict>
      </w:r>
      <w:r>
        <w:rPr>
          <w:position w:val="-10"/>
          <w:sz w:val="18"/>
        </w:rPr>
        <w:t>Comments</w:t>
      </w:r>
      <w:r>
        <w:rPr>
          <w:spacing w:val="-1"/>
          <w:position w:val="-10"/>
          <w:sz w:val="18"/>
        </w:rPr>
        <w:t> </w:t>
      </w:r>
      <w:r>
        <w:rPr>
          <w:position w:val="-10"/>
          <w:sz w:val="18"/>
        </w:rPr>
        <w:t>on</w:t>
      </w:r>
      <w:r>
        <w:rPr>
          <w:spacing w:val="1"/>
          <w:position w:val="-10"/>
          <w:sz w:val="18"/>
        </w:rPr>
        <w:t> </w:t>
      </w:r>
      <w:r>
        <w:rPr>
          <w:position w:val="-10"/>
          <w:sz w:val="18"/>
        </w:rPr>
        <w:t>Obsolescence</w:t>
        <w:tab/>
      </w:r>
      <w:r>
        <w:rPr>
          <w:sz w:val="18"/>
        </w:rPr>
        <w:t>The</w:t>
      </w:r>
      <w:r>
        <w:rPr>
          <w:spacing w:val="-29"/>
          <w:sz w:val="18"/>
        </w:rPr>
        <w:t> </w:t>
      </w:r>
      <w:r>
        <w:rPr>
          <w:sz w:val="18"/>
        </w:rPr>
        <w:t>building</w:t>
      </w:r>
      <w:r>
        <w:rPr>
          <w:spacing w:val="-30"/>
          <w:sz w:val="18"/>
        </w:rPr>
        <w:t> </w:t>
      </w:r>
      <w:r>
        <w:rPr>
          <w:sz w:val="18"/>
        </w:rPr>
        <w:t>is</w:t>
      </w:r>
      <w:r>
        <w:rPr>
          <w:spacing w:val="-30"/>
          <w:sz w:val="18"/>
        </w:rPr>
        <w:t> </w:t>
      </w:r>
      <w:r>
        <w:rPr>
          <w:sz w:val="18"/>
        </w:rPr>
        <w:t>currently</w:t>
      </w:r>
      <w:r>
        <w:rPr>
          <w:spacing w:val="-30"/>
          <w:sz w:val="18"/>
        </w:rPr>
        <w:t> </w:t>
      </w:r>
      <w:r>
        <w:rPr>
          <w:sz w:val="18"/>
        </w:rPr>
        <w:t>well</w:t>
      </w:r>
    </w:p>
    <w:p>
      <w:pPr>
        <w:spacing w:line="157" w:lineRule="exact" w:before="0"/>
        <w:ind w:left="0" w:right="706" w:firstLine="0"/>
        <w:jc w:val="right"/>
        <w:rPr>
          <w:sz w:val="18"/>
        </w:rPr>
      </w:pPr>
      <w:r>
        <w:rPr>
          <w:w w:val="95"/>
          <w:sz w:val="18"/>
        </w:rPr>
        <w:t>maintained</w:t>
      </w:r>
    </w:p>
    <w:p>
      <w:pPr>
        <w:tabs>
          <w:tab w:pos="3089" w:val="left" w:leader="none"/>
        </w:tabs>
        <w:spacing w:before="165"/>
        <w:ind w:left="611" w:right="0" w:firstLine="0"/>
        <w:jc w:val="left"/>
        <w:rPr>
          <w:sz w:val="18"/>
        </w:rPr>
      </w:pPr>
      <w:r>
        <w:rPr/>
        <w:br w:type="column"/>
      </w:r>
      <w:r>
        <w:rPr>
          <w:w w:val="115"/>
          <w:sz w:val="18"/>
        </w:rPr>
        <w:t>NA</w:t>
        <w:tab/>
        <w:t>NA</w:t>
      </w:r>
    </w:p>
    <w:p>
      <w:pPr>
        <w:spacing w:after="0"/>
        <w:jc w:val="left"/>
        <w:rPr>
          <w:sz w:val="18"/>
        </w:rPr>
        <w:sectPr>
          <w:type w:val="continuous"/>
          <w:pgSz w:w="11910" w:h="16840"/>
          <w:pgMar w:top="800" w:bottom="280" w:left="500" w:right="520"/>
          <w:cols w:num="2" w:equalWidth="0">
            <w:col w:w="5647" w:space="589"/>
            <w:col w:w="4654"/>
          </w:cols>
        </w:sectPr>
      </w:pPr>
    </w:p>
    <w:p>
      <w:pPr>
        <w:pStyle w:val="BodyText"/>
        <w:spacing w:line="20" w:lineRule="exact"/>
        <w:ind w:left="20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2"/>
        <w:ind w:left="220" w:right="0" w:firstLine="0"/>
        <w:jc w:val="left"/>
        <w:rPr>
          <w:i/>
          <w:sz w:val="18"/>
        </w:rPr>
      </w:pPr>
      <w:r>
        <w:rPr>
          <w:i/>
          <w:sz w:val="18"/>
        </w:rPr>
        <w:t>Source: Site visit, occupancy certificate, lease deeds, Indian Green Building Council certificate</w:t>
      </w:r>
    </w:p>
    <w:p>
      <w:pPr>
        <w:pStyle w:val="BodyText"/>
        <w:spacing w:before="4"/>
        <w:rPr>
          <w:i/>
          <w:sz w:val="21"/>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50" w:id="100"/>
      <w:bookmarkEnd w:id="100"/>
      <w:r>
        <w:rPr/>
      </w:r>
      <w:bookmarkStart w:name="_bookmark50" w:id="101"/>
      <w:bookmarkEnd w:id="101"/>
      <w:r>
        <w:rPr>
          <w:color w:val="1F664D"/>
          <w:sz w:val="22"/>
        </w:rPr>
        <w:t>S</w:t>
      </w:r>
      <w:r>
        <w:rPr>
          <w:color w:val="1F664D"/>
          <w:sz w:val="22"/>
        </w:rPr>
        <w:t>ite Services and</w:t>
      </w:r>
      <w:r>
        <w:rPr>
          <w:color w:val="1F664D"/>
          <w:spacing w:val="-2"/>
          <w:sz w:val="22"/>
        </w:rPr>
        <w:t> </w:t>
      </w:r>
      <w:r>
        <w:rPr>
          <w:color w:val="1F664D"/>
          <w:sz w:val="22"/>
        </w:rPr>
        <w:t>Finishes</w:t>
      </w:r>
    </w:p>
    <w:p>
      <w:pPr>
        <w:pStyle w:val="BodyText"/>
        <w:spacing w:before="1"/>
        <w:rPr>
          <w:sz w:val="14"/>
        </w:rPr>
      </w:pPr>
      <w:r>
        <w:rPr/>
        <w:pict>
          <v:group style="position:absolute;margin-left:36pt;margin-top:10.158303pt;width:523.6pt;height:15.9pt;mso-position-horizontal-relative:page;mso-position-vertical-relative:paragraph;z-index:-15564288;mso-wrap-distance-left:0;mso-wrap-distance-right:0" coordorigin="720,203" coordsize="10472,318">
            <v:shape style="position:absolute;left:720;top:217;width:10472;height:289" coordorigin="720,218" coordsize="10472,289" path="m11191,218l6198,218,720,218,720,506,6198,506,11191,506,11191,218xe" filled="true" fillcolor="#006a4d" stroked="false">
              <v:path arrowok="t"/>
              <v:fill type="solid"/>
            </v:shape>
            <v:shape style="position:absolute;left:720;top:203;width:10472;height:318" coordorigin="720,203" coordsize="10472,318" path="m6213,506l6198,506,720,506,720,521,6198,521,6213,521,6213,506xm6213,203l6198,203,720,203,720,218,6198,218,6213,218,6213,203xm11191,506l6213,506,6213,521,11191,521,11191,506xm11191,203l6213,203,6213,218,11191,218,11191,203xe" filled="true" fillcolor="#69bd28" stroked="false">
              <v:path arrowok="t"/>
              <v:fill type="solid"/>
            </v:shape>
            <v:shape style="position:absolute;left:720;top:217;width:10472;height:289" type="#_x0000_t202" filled="false" stroked="false">
              <v:textbox inset="0,0,0,0">
                <w:txbxContent>
                  <w:p>
                    <w:pPr>
                      <w:tabs>
                        <w:tab w:pos="5478" w:val="left" w:leader="none"/>
                      </w:tabs>
                      <w:spacing w:before="40"/>
                      <w:ind w:left="70" w:right="0" w:firstLine="0"/>
                      <w:jc w:val="center"/>
                      <w:rPr>
                        <w:b/>
                        <w:sz w:val="18"/>
                      </w:rPr>
                    </w:pPr>
                    <w:r>
                      <w:rPr>
                        <w:b/>
                        <w:color w:val="FFFFFF"/>
                        <w:w w:val="110"/>
                        <w:sz w:val="18"/>
                      </w:rPr>
                      <w:t>Particulars</w:t>
                      <w:tab/>
                      <w:t>Details</w:t>
                    </w:r>
                  </w:p>
                </w:txbxContent>
              </v:textbox>
              <w10:wrap type="none"/>
            </v:shape>
            <w10:wrap type="topAndBottom"/>
          </v:group>
        </w:pict>
      </w:r>
    </w:p>
    <w:p>
      <w:pPr>
        <w:tabs>
          <w:tab w:pos="7741" w:val="left" w:leader="none"/>
        </w:tabs>
        <w:spacing w:before="10" w:after="39"/>
        <w:ind w:left="2183" w:right="0" w:firstLine="0"/>
        <w:jc w:val="left"/>
        <w:rPr>
          <w:sz w:val="18"/>
        </w:rPr>
      </w:pPr>
      <w:r>
        <w:rPr>
          <w:sz w:val="18"/>
        </w:rPr>
        <w:t>Handover</w:t>
      </w:r>
      <w:r>
        <w:rPr>
          <w:spacing w:val="-12"/>
          <w:sz w:val="18"/>
        </w:rPr>
        <w:t> </w:t>
      </w:r>
      <w:r>
        <w:rPr>
          <w:sz w:val="18"/>
        </w:rPr>
        <w:t>condition</w:t>
        <w:tab/>
        <w:t>Warm</w:t>
      </w:r>
      <w:r>
        <w:rPr>
          <w:spacing w:val="-1"/>
          <w:sz w:val="18"/>
        </w:rPr>
        <w:t> </w:t>
      </w:r>
      <w:r>
        <w:rPr>
          <w:sz w:val="18"/>
        </w:rPr>
        <w:t>Shell</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5493,0l5478,0,0,0,0,14,5478,14,5493,14,5493,0xm10471,0l5493,0,5493,14,10471,14,10471,0xe" filled="true" fillcolor="#69bd28" stroked="false">
              <v:path arrowok="t"/>
              <v:fill type="solid"/>
            </v:shape>
          </v:group>
        </w:pict>
      </w:r>
      <w:r>
        <w:rPr>
          <w:sz w:val="2"/>
        </w:rPr>
      </w:r>
    </w:p>
    <w:p>
      <w:pPr>
        <w:tabs>
          <w:tab w:pos="7853" w:val="left" w:leader="none"/>
        </w:tabs>
        <w:spacing w:before="34"/>
        <w:ind w:left="2186" w:right="0" w:firstLine="0"/>
        <w:jc w:val="left"/>
        <w:rPr>
          <w:sz w:val="18"/>
        </w:rPr>
      </w:pPr>
      <w:r>
        <w:rPr/>
        <w:pict>
          <v:shape style="position:absolute;margin-left:36pt;margin-top:14.230633pt;width:523.6pt;height:.75pt;mso-position-horizontal-relative:page;mso-position-vertical-relative:paragraph;z-index:-15563264;mso-wrap-distance-left:0;mso-wrap-distance-right:0" coordorigin="720,285" coordsize="10472,15" path="m6213,285l6198,285,720,285,720,299,6198,299,6213,299,6213,285xm11191,285l6213,285,6213,299,11191,299,11191,285xe" filled="true" fillcolor="#69bd28" stroked="false">
            <v:path arrowok="t"/>
            <v:fill type="solid"/>
            <w10:wrap type="topAndBottom"/>
          </v:shape>
        </w:pict>
      </w:r>
      <w:r>
        <w:rPr>
          <w:sz w:val="18"/>
        </w:rPr>
        <w:t>Passenger</w:t>
      </w:r>
      <w:r>
        <w:rPr>
          <w:spacing w:val="-21"/>
          <w:sz w:val="18"/>
        </w:rPr>
        <w:t> </w:t>
      </w:r>
      <w:r>
        <w:rPr>
          <w:sz w:val="18"/>
        </w:rPr>
        <w:t>elevators</w:t>
        <w:tab/>
        <w:t>Provided</w:t>
      </w:r>
    </w:p>
    <w:p>
      <w:pPr>
        <w:tabs>
          <w:tab w:pos="5543" w:val="left" w:leader="none"/>
        </w:tabs>
        <w:spacing w:before="10" w:after="39"/>
        <w:ind w:left="0" w:right="2352" w:firstLine="0"/>
        <w:jc w:val="right"/>
        <w:rPr>
          <w:sz w:val="18"/>
        </w:rPr>
      </w:pPr>
      <w:r>
        <w:rPr>
          <w:sz w:val="18"/>
        </w:rPr>
        <w:t>Service</w:t>
      </w:r>
      <w:r>
        <w:rPr>
          <w:spacing w:val="-33"/>
          <w:sz w:val="18"/>
        </w:rPr>
        <w:t> </w:t>
      </w:r>
      <w:r>
        <w:rPr>
          <w:sz w:val="18"/>
        </w:rPr>
        <w:t>elevators</w:t>
        <w:tab/>
      </w:r>
      <w:r>
        <w:rPr>
          <w:spacing w:val="-1"/>
          <w:w w:val="95"/>
          <w:sz w:val="18"/>
        </w:rPr>
        <w:t>Provided</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5493,0l5478,0,0,0,0,14,5478,14,5493,14,5493,0xm10471,0l5493,0,5493,14,10471,14,10471,0xe" filled="true" fillcolor="#69bd28" stroked="false">
              <v:path arrowok="t"/>
              <v:fill type="solid"/>
            </v:shape>
          </v:group>
        </w:pict>
      </w:r>
      <w:r>
        <w:rPr>
          <w:sz w:val="2"/>
        </w:rPr>
      </w:r>
    </w:p>
    <w:p>
      <w:pPr>
        <w:tabs>
          <w:tab w:pos="5480" w:val="left" w:leader="none"/>
        </w:tabs>
        <w:spacing w:before="34"/>
        <w:ind w:left="0" w:right="2352" w:firstLine="0"/>
        <w:jc w:val="right"/>
        <w:rPr>
          <w:sz w:val="18"/>
        </w:rPr>
      </w:pPr>
      <w:r>
        <w:rPr/>
        <w:pict>
          <v:shape style="position:absolute;margin-left:36pt;margin-top:14.110649pt;width:523.6pt;height:.75pt;mso-position-horizontal-relative:page;mso-position-vertical-relative:paragraph;z-index:-15562240;mso-wrap-distance-left:0;mso-wrap-distance-right:0" coordorigin="720,282" coordsize="10472,15" path="m6213,282l6198,282,720,282,720,297,6198,297,6213,297,6213,282xm11191,282l6213,282,6213,297,11191,297,11191,282xe" filled="true" fillcolor="#69bd28" stroked="false">
            <v:path arrowok="t"/>
            <v:fill type="solid"/>
            <w10:wrap type="topAndBottom"/>
          </v:shape>
        </w:pict>
      </w:r>
      <w:r>
        <w:rPr>
          <w:sz w:val="18"/>
        </w:rPr>
        <w:t>Power</w:t>
      </w:r>
      <w:r>
        <w:rPr>
          <w:spacing w:val="-11"/>
          <w:sz w:val="18"/>
        </w:rPr>
        <w:t> </w:t>
      </w:r>
      <w:r>
        <w:rPr>
          <w:sz w:val="18"/>
        </w:rPr>
        <w:t>back-up</w:t>
        <w:tab/>
      </w:r>
      <w:r>
        <w:rPr>
          <w:spacing w:val="-1"/>
          <w:w w:val="95"/>
          <w:sz w:val="18"/>
        </w:rPr>
        <w:t>Provided</w:t>
      </w:r>
    </w:p>
    <w:p>
      <w:pPr>
        <w:tabs>
          <w:tab w:pos="6049" w:val="left" w:leader="none"/>
        </w:tabs>
        <w:spacing w:before="10" w:after="39"/>
        <w:ind w:left="0" w:right="2352" w:firstLine="0"/>
        <w:jc w:val="right"/>
        <w:rPr>
          <w:sz w:val="18"/>
        </w:rPr>
      </w:pPr>
      <w:r>
        <w:rPr>
          <w:sz w:val="18"/>
        </w:rPr>
        <w:t>Building</w:t>
      </w:r>
      <w:r>
        <w:rPr>
          <w:spacing w:val="-16"/>
          <w:sz w:val="18"/>
        </w:rPr>
        <w:t> </w:t>
      </w:r>
      <w:r>
        <w:rPr>
          <w:sz w:val="18"/>
        </w:rPr>
        <w:t>management</w:t>
      </w:r>
      <w:r>
        <w:rPr>
          <w:spacing w:val="-16"/>
          <w:sz w:val="18"/>
        </w:rPr>
        <w:t> </w:t>
      </w:r>
      <w:r>
        <w:rPr>
          <w:sz w:val="18"/>
        </w:rPr>
        <w:t>system</w:t>
        <w:tab/>
      </w:r>
      <w:r>
        <w:rPr>
          <w:spacing w:val="-1"/>
          <w:w w:val="95"/>
          <w:sz w:val="18"/>
        </w:rPr>
        <w:t>Provided</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5493,0l5478,0,0,0,0,14,5478,14,5493,14,5493,0xm10471,0l5493,0,5493,14,10471,14,10471,0xe" filled="true" fillcolor="#69bd28" stroked="false">
              <v:path arrowok="t"/>
              <v:fill type="solid"/>
            </v:shape>
          </v:group>
        </w:pict>
      </w:r>
      <w:r>
        <w:rPr>
          <w:sz w:val="2"/>
        </w:rPr>
      </w:r>
    </w:p>
    <w:p>
      <w:pPr>
        <w:tabs>
          <w:tab w:pos="5516" w:val="left" w:leader="none"/>
        </w:tabs>
        <w:spacing w:before="34"/>
        <w:ind w:left="0" w:right="2352" w:firstLine="0"/>
        <w:jc w:val="right"/>
        <w:rPr>
          <w:sz w:val="18"/>
        </w:rPr>
      </w:pPr>
      <w:r>
        <w:rPr/>
        <w:pict>
          <v:shape style="position:absolute;margin-left:36pt;margin-top:14.23066pt;width:523.6pt;height:.75pt;mso-position-horizontal-relative:page;mso-position-vertical-relative:paragraph;z-index:-15561216;mso-wrap-distance-left:0;mso-wrap-distance-right:0" coordorigin="720,285" coordsize="10472,15" path="m6213,285l6198,285,720,285,720,299,6198,299,6213,299,6213,285xm11191,285l6213,285,6213,299,11191,299,11191,285xe" filled="true" fillcolor="#69bd28" stroked="false">
            <v:path arrowok="t"/>
            <v:fill type="solid"/>
            <w10:wrap type="topAndBottom"/>
          </v:shape>
        </w:pict>
      </w:r>
      <w:r>
        <w:rPr>
          <w:sz w:val="18"/>
        </w:rPr>
        <w:t>Security</w:t>
      </w:r>
      <w:r>
        <w:rPr>
          <w:spacing w:val="-36"/>
          <w:sz w:val="18"/>
        </w:rPr>
        <w:t> </w:t>
      </w:r>
      <w:r>
        <w:rPr>
          <w:sz w:val="18"/>
        </w:rPr>
        <w:t>systems</w:t>
        <w:tab/>
      </w:r>
      <w:r>
        <w:rPr>
          <w:spacing w:val="-1"/>
          <w:w w:val="95"/>
          <w:sz w:val="18"/>
        </w:rPr>
        <w:t>Provided</w:t>
      </w:r>
    </w:p>
    <w:p>
      <w:pPr>
        <w:tabs>
          <w:tab w:pos="5833" w:val="left" w:leader="none"/>
        </w:tabs>
        <w:spacing w:before="10" w:after="39"/>
        <w:ind w:left="0" w:right="2352" w:firstLine="0"/>
        <w:jc w:val="right"/>
        <w:rPr>
          <w:sz w:val="18"/>
        </w:rPr>
      </w:pPr>
      <w:r>
        <w:rPr>
          <w:sz w:val="18"/>
        </w:rPr>
        <w:t>Air</w:t>
      </w:r>
      <w:r>
        <w:rPr>
          <w:spacing w:val="-10"/>
          <w:sz w:val="18"/>
        </w:rPr>
        <w:t> </w:t>
      </w:r>
      <w:r>
        <w:rPr>
          <w:sz w:val="18"/>
        </w:rPr>
        <w:t>conditioning</w:t>
      </w:r>
      <w:r>
        <w:rPr>
          <w:spacing w:val="-8"/>
          <w:sz w:val="18"/>
        </w:rPr>
        <w:t> </w:t>
      </w:r>
      <w:r>
        <w:rPr>
          <w:sz w:val="18"/>
        </w:rPr>
        <w:t>(HVAC)</w:t>
        <w:tab/>
      </w:r>
      <w:r>
        <w:rPr>
          <w:spacing w:val="-1"/>
          <w:w w:val="95"/>
          <w:sz w:val="18"/>
        </w:rPr>
        <w:t>Provided</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5493,0l5478,0,0,0,0,14,5478,14,5493,14,5493,0xm10471,0l5493,0,5493,14,10471,14,10471,0xe" filled="true" fillcolor="#69bd28" stroked="false">
              <v:path arrowok="t"/>
              <v:fill type="solid"/>
            </v:shape>
          </v:group>
        </w:pict>
      </w:r>
      <w:r>
        <w:rPr>
          <w:sz w:val="2"/>
        </w:rPr>
      </w:r>
    </w:p>
    <w:p>
      <w:pPr>
        <w:tabs>
          <w:tab w:pos="5663" w:val="left" w:leader="none"/>
        </w:tabs>
        <w:spacing w:before="34"/>
        <w:ind w:left="0" w:right="2352" w:firstLine="0"/>
        <w:jc w:val="right"/>
        <w:rPr>
          <w:sz w:val="18"/>
        </w:rPr>
      </w:pPr>
      <w:r>
        <w:rPr/>
        <w:pict>
          <v:shape style="position:absolute;margin-left:36pt;margin-top:14.110676pt;width:523.6pt;height:.75pt;mso-position-horizontal-relative:page;mso-position-vertical-relative:paragraph;z-index:-15560192;mso-wrap-distance-left:0;mso-wrap-distance-right:0" coordorigin="720,282" coordsize="10472,15" path="m6213,282l6198,282,720,282,720,297,6198,297,6213,297,6213,282xm11191,282l6213,282,6213,297,11191,297,11191,282xe" filled="true" fillcolor="#69bd28" stroked="false">
            <v:path arrowok="t"/>
            <v:fill type="solid"/>
            <w10:wrap type="topAndBottom"/>
          </v:shape>
        </w:pict>
      </w:r>
      <w:r>
        <w:rPr>
          <w:sz w:val="18"/>
        </w:rPr>
        <w:t>Firefighting</w:t>
      </w:r>
      <w:r>
        <w:rPr>
          <w:spacing w:val="-36"/>
          <w:sz w:val="18"/>
        </w:rPr>
        <w:t> </w:t>
      </w:r>
      <w:r>
        <w:rPr>
          <w:sz w:val="18"/>
        </w:rPr>
        <w:t>services</w:t>
        <w:tab/>
      </w:r>
      <w:r>
        <w:rPr>
          <w:spacing w:val="-1"/>
          <w:w w:val="95"/>
          <w:sz w:val="18"/>
        </w:rPr>
        <w:t>Provided</w:t>
      </w:r>
    </w:p>
    <w:p>
      <w:pPr>
        <w:tabs>
          <w:tab w:pos="6350" w:val="left" w:leader="none"/>
        </w:tabs>
        <w:spacing w:before="10" w:after="39"/>
        <w:ind w:left="2195" w:right="0" w:firstLine="0"/>
        <w:jc w:val="left"/>
        <w:rPr>
          <w:sz w:val="18"/>
        </w:rPr>
      </w:pPr>
      <w:r>
        <w:rPr>
          <w:sz w:val="18"/>
        </w:rPr>
        <w:t>Car</w:t>
      </w:r>
      <w:r>
        <w:rPr>
          <w:spacing w:val="-1"/>
          <w:sz w:val="18"/>
        </w:rPr>
        <w:t> </w:t>
      </w:r>
      <w:r>
        <w:rPr>
          <w:sz w:val="18"/>
        </w:rPr>
        <w:t>parks</w:t>
      </w:r>
      <w:r>
        <w:rPr>
          <w:spacing w:val="1"/>
          <w:sz w:val="18"/>
        </w:rPr>
        <w:t> </w:t>
      </w:r>
      <w:r>
        <w:rPr>
          <w:sz w:val="18"/>
        </w:rPr>
        <w:t>provided</w:t>
        <w:tab/>
        <w:t>MLCP, Basement, Covered and open car</w:t>
      </w:r>
      <w:r>
        <w:rPr>
          <w:spacing w:val="-18"/>
          <w:sz w:val="18"/>
        </w:rPr>
        <w:t> </w:t>
      </w:r>
      <w:r>
        <w:rPr>
          <w:sz w:val="18"/>
        </w:rPr>
        <w:t>parks</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5493,0l5478,0,0,0,0,14,5478,14,5493,14,5493,0xm10289,0l10274,0,5493,0,5493,14,10274,14,10289,14,10289,0xm10471,0l10303,0,10289,0,10289,14,10303,14,10471,14,10471,0xe" filled="true" fillcolor="#69bd28" stroked="false">
              <v:path arrowok="t"/>
              <v:fill type="solid"/>
            </v:shape>
          </v:group>
        </w:pict>
      </w:r>
      <w:r>
        <w:rPr>
          <w:sz w:val="2"/>
        </w:rPr>
      </w:r>
    </w:p>
    <w:p>
      <w:pPr>
        <w:spacing w:before="0"/>
        <w:ind w:left="328" w:right="0" w:firstLine="0"/>
        <w:jc w:val="left"/>
        <w:rPr>
          <w:i/>
          <w:sz w:val="18"/>
        </w:rPr>
      </w:pPr>
      <w:r>
        <w:rPr>
          <w:i/>
          <w:sz w:val="18"/>
        </w:rPr>
        <w:t>Source: Information provided by Client, site visit, lease deeds</w:t>
      </w:r>
    </w:p>
    <w:p>
      <w:pPr>
        <w:pStyle w:val="BodyText"/>
        <w:spacing w:before="3"/>
        <w:rPr>
          <w:i/>
          <w:sz w:val="19"/>
        </w:rPr>
      </w:pPr>
    </w:p>
    <w:p>
      <w:pPr>
        <w:pStyle w:val="BodyText"/>
        <w:spacing w:line="321" w:lineRule="auto"/>
        <w:ind w:left="875" w:right="499"/>
        <w:jc w:val="both"/>
      </w:pPr>
      <w:r>
        <w:rPr/>
        <w:t>In addition to the above on-site facilities, amenities offered by the asset include intra-city transportation,</w:t>
      </w:r>
      <w:r>
        <w:rPr>
          <w:spacing w:val="-47"/>
        </w:rPr>
        <w:t> </w:t>
      </w:r>
      <w:r>
        <w:rPr/>
        <w:t>outdoor</w:t>
      </w:r>
      <w:r>
        <w:rPr>
          <w:spacing w:val="-47"/>
        </w:rPr>
        <w:t> </w:t>
      </w:r>
      <w:r>
        <w:rPr/>
        <w:t>sports</w:t>
      </w:r>
      <w:r>
        <w:rPr>
          <w:spacing w:val="-46"/>
        </w:rPr>
        <w:t> </w:t>
      </w:r>
      <w:r>
        <w:rPr/>
        <w:t>zone,</w:t>
      </w:r>
      <w:r>
        <w:rPr>
          <w:spacing w:val="-46"/>
        </w:rPr>
        <w:t> </w:t>
      </w:r>
      <w:r>
        <w:rPr/>
        <w:t>rooftop</w:t>
      </w:r>
      <w:r>
        <w:rPr>
          <w:spacing w:val="-46"/>
        </w:rPr>
        <w:t> </w:t>
      </w:r>
      <w:r>
        <w:rPr/>
        <w:t>football</w:t>
      </w:r>
      <w:r>
        <w:rPr>
          <w:spacing w:val="-47"/>
        </w:rPr>
        <w:t> </w:t>
      </w:r>
      <w:r>
        <w:rPr/>
        <w:t>arena,</w:t>
      </w:r>
      <w:r>
        <w:rPr>
          <w:spacing w:val="-47"/>
        </w:rPr>
        <w:t> </w:t>
      </w:r>
      <w:r>
        <w:rPr/>
        <w:t>refurbished</w:t>
      </w:r>
      <w:r>
        <w:rPr>
          <w:spacing w:val="-46"/>
        </w:rPr>
        <w:t> </w:t>
      </w:r>
      <w:r>
        <w:rPr/>
        <w:t>food</w:t>
      </w:r>
      <w:r>
        <w:rPr>
          <w:spacing w:val="-46"/>
        </w:rPr>
        <w:t> </w:t>
      </w:r>
      <w:r>
        <w:rPr/>
        <w:t>court,</w:t>
      </w:r>
      <w:r>
        <w:rPr>
          <w:spacing w:val="-46"/>
        </w:rPr>
        <w:t> </w:t>
      </w:r>
      <w:r>
        <w:rPr/>
        <w:t>etc.</w:t>
      </w:r>
      <w:r>
        <w:rPr>
          <w:spacing w:val="-47"/>
        </w:rPr>
        <w:t> </w:t>
      </w:r>
      <w:r>
        <w:rPr/>
        <w:t>This</w:t>
      </w:r>
      <w:r>
        <w:rPr>
          <w:spacing w:val="-45"/>
        </w:rPr>
        <w:t> </w:t>
      </w:r>
      <w:r>
        <w:rPr/>
        <w:t>enables the</w:t>
      </w:r>
      <w:r>
        <w:rPr>
          <w:spacing w:val="-9"/>
        </w:rPr>
        <w:t> </w:t>
      </w:r>
      <w:r>
        <w:rPr/>
        <w:t>asset</w:t>
      </w:r>
      <w:r>
        <w:rPr>
          <w:spacing w:val="-10"/>
        </w:rPr>
        <w:t> </w:t>
      </w:r>
      <w:r>
        <w:rPr/>
        <w:t>to</w:t>
      </w:r>
      <w:r>
        <w:rPr>
          <w:spacing w:val="-8"/>
        </w:rPr>
        <w:t> </w:t>
      </w:r>
      <w:r>
        <w:rPr/>
        <w:t>offer</w:t>
      </w:r>
      <w:r>
        <w:rPr>
          <w:spacing w:val="-8"/>
        </w:rPr>
        <w:t> </w:t>
      </w:r>
      <w:r>
        <w:rPr/>
        <w:t>an</w:t>
      </w:r>
      <w:r>
        <w:rPr>
          <w:spacing w:val="-9"/>
        </w:rPr>
        <w:t> </w:t>
      </w:r>
      <w:r>
        <w:rPr/>
        <w:t>integrated</w:t>
      </w:r>
      <w:r>
        <w:rPr>
          <w:spacing w:val="-8"/>
        </w:rPr>
        <w:t> </w:t>
      </w:r>
      <w:r>
        <w:rPr/>
        <w:t>business</w:t>
      </w:r>
      <w:r>
        <w:rPr>
          <w:spacing w:val="-8"/>
        </w:rPr>
        <w:t> </w:t>
      </w:r>
      <w:r>
        <w:rPr/>
        <w:t>ecosystem</w:t>
      </w:r>
      <w:r>
        <w:rPr>
          <w:spacing w:val="-10"/>
        </w:rPr>
        <w:t> </w:t>
      </w:r>
      <w:r>
        <w:rPr/>
        <w:t>to</w:t>
      </w:r>
      <w:r>
        <w:rPr>
          <w:spacing w:val="-8"/>
        </w:rPr>
        <w:t> </w:t>
      </w:r>
      <w:r>
        <w:rPr/>
        <w:t>its</w:t>
      </w:r>
      <w:r>
        <w:rPr>
          <w:spacing w:val="-6"/>
        </w:rPr>
        <w:t> </w:t>
      </w:r>
      <w:r>
        <w:rPr/>
        <w:t>occupiers.</w:t>
      </w:r>
    </w:p>
    <w:p>
      <w:pPr>
        <w:pStyle w:val="BodyText"/>
        <w:rPr>
          <w:sz w:val="20"/>
        </w:rPr>
      </w:pPr>
    </w:p>
    <w:p>
      <w:pPr>
        <w:pStyle w:val="BodyText"/>
        <w:spacing w:before="7"/>
        <w:rPr>
          <w:sz w:val="21"/>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51" w:id="102"/>
      <w:bookmarkEnd w:id="102"/>
      <w:r>
        <w:rPr/>
      </w:r>
      <w:bookmarkStart w:name="_bookmark51" w:id="103"/>
      <w:bookmarkEnd w:id="103"/>
      <w:r>
        <w:rPr>
          <w:color w:val="1F664D"/>
          <w:sz w:val="22"/>
        </w:rPr>
        <w:t>Condition</w:t>
      </w:r>
      <w:r>
        <w:rPr>
          <w:color w:val="1F664D"/>
          <w:sz w:val="22"/>
        </w:rPr>
        <w:t> &amp;</w:t>
      </w:r>
      <w:r>
        <w:rPr>
          <w:color w:val="1F664D"/>
          <w:spacing w:val="-4"/>
          <w:sz w:val="22"/>
        </w:rPr>
        <w:t> </w:t>
      </w:r>
      <w:r>
        <w:rPr>
          <w:color w:val="1F664D"/>
          <w:sz w:val="22"/>
        </w:rPr>
        <w:t>Repair</w:t>
      </w:r>
    </w:p>
    <w:p>
      <w:pPr>
        <w:pStyle w:val="BodyText"/>
        <w:spacing w:line="321" w:lineRule="auto" w:before="208"/>
        <w:ind w:left="767" w:right="191"/>
        <w:jc w:val="both"/>
      </w:pPr>
      <w:r>
        <w:rPr/>
        <w:pict>
          <v:shape style="position:absolute;margin-left:30.719999pt;margin-top:147.718613pt;width:533.550pt;height:114.15pt;mso-position-horizontal-relative:page;mso-position-vertical-relative:paragraph;z-index:1589862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43"/>
                    <w:gridCol w:w="1707"/>
                    <w:gridCol w:w="2138"/>
                    <w:gridCol w:w="1636"/>
                    <w:gridCol w:w="1948"/>
                  </w:tblGrid>
                  <w:tr>
                    <w:trPr>
                      <w:trHeight w:val="443" w:hRule="atLeast"/>
                    </w:trPr>
                    <w:tc>
                      <w:tcPr>
                        <w:tcW w:w="3243" w:type="dxa"/>
                        <w:tcBorders>
                          <w:top w:val="single" w:sz="6" w:space="0" w:color="69BD28"/>
                          <w:bottom w:val="single" w:sz="6" w:space="0" w:color="69BD28"/>
                        </w:tcBorders>
                        <w:shd w:val="clear" w:color="auto" w:fill="006A4D"/>
                      </w:tcPr>
                      <w:p>
                        <w:pPr>
                          <w:pStyle w:val="TableParagraph"/>
                          <w:spacing w:before="116"/>
                          <w:ind w:left="545" w:right="520"/>
                          <w:rPr>
                            <w:b/>
                            <w:sz w:val="18"/>
                          </w:rPr>
                        </w:pPr>
                        <w:r>
                          <w:rPr>
                            <w:b/>
                            <w:color w:val="FFFFFF"/>
                            <w:w w:val="110"/>
                            <w:sz w:val="18"/>
                          </w:rPr>
                          <w:t>Expense Head</w:t>
                        </w:r>
                      </w:p>
                    </w:tc>
                    <w:tc>
                      <w:tcPr>
                        <w:tcW w:w="3845" w:type="dxa"/>
                        <w:gridSpan w:val="2"/>
                        <w:tcBorders>
                          <w:top w:val="single" w:sz="6" w:space="0" w:color="69BD28"/>
                          <w:bottom w:val="single" w:sz="6" w:space="0" w:color="69BD28"/>
                        </w:tcBorders>
                        <w:shd w:val="clear" w:color="auto" w:fill="006A4D"/>
                      </w:tcPr>
                      <w:p>
                        <w:pPr>
                          <w:pStyle w:val="TableParagraph"/>
                          <w:tabs>
                            <w:tab w:pos="2350" w:val="left" w:leader="none"/>
                            <w:tab w:pos="3764" w:val="left" w:leader="none"/>
                          </w:tabs>
                          <w:spacing w:line="269" w:lineRule="exact" w:before="6"/>
                          <w:ind w:left="65" w:right="-29"/>
                          <w:jc w:val="left"/>
                          <w:rPr>
                            <w:b/>
                            <w:sz w:val="18"/>
                          </w:rPr>
                        </w:pPr>
                        <w:r>
                          <w:rPr>
                            <w:b/>
                            <w:color w:val="FFFFFF"/>
                            <w:w w:val="105"/>
                            <w:sz w:val="18"/>
                          </w:rPr>
                          <w:t>Total Cost</w:t>
                        </w:r>
                        <w:r>
                          <w:rPr>
                            <w:b/>
                            <w:color w:val="FFFFFF"/>
                            <w:spacing w:val="16"/>
                            <w:w w:val="105"/>
                            <w:sz w:val="18"/>
                          </w:rPr>
                          <w:t> </w:t>
                        </w:r>
                        <w:r>
                          <w:rPr>
                            <w:b/>
                            <w:color w:val="FFFFFF"/>
                            <w:w w:val="105"/>
                            <w:sz w:val="18"/>
                          </w:rPr>
                          <w:t>(INR</w:t>
                        </w:r>
                        <w:r>
                          <w:rPr>
                            <w:b/>
                            <w:color w:val="FFFFFF"/>
                            <w:spacing w:val="8"/>
                            <w:w w:val="105"/>
                            <w:sz w:val="18"/>
                          </w:rPr>
                          <w:t> </w:t>
                        </w:r>
                        <w:r>
                          <w:rPr>
                            <w:b/>
                            <w:color w:val="FFFFFF"/>
                            <w:w w:val="105"/>
                            <w:sz w:val="18"/>
                          </w:rPr>
                          <w:t>Mn)</w:t>
                          <w:tab/>
                        </w:r>
                        <w:r>
                          <w:rPr>
                            <w:b/>
                            <w:color w:val="FFFFFF"/>
                            <w:w w:val="105"/>
                            <w:position w:val="11"/>
                            <w:sz w:val="18"/>
                          </w:rPr>
                          <w:t>Total</w:t>
                        </w:r>
                        <w:r>
                          <w:rPr>
                            <w:b/>
                            <w:color w:val="FFFFFF"/>
                            <w:spacing w:val="-2"/>
                            <w:w w:val="105"/>
                            <w:position w:val="11"/>
                            <w:sz w:val="18"/>
                          </w:rPr>
                          <w:t> </w:t>
                        </w:r>
                        <w:r>
                          <w:rPr>
                            <w:b/>
                            <w:color w:val="FFFFFF"/>
                            <w:w w:val="105"/>
                            <w:position w:val="11"/>
                            <w:sz w:val="18"/>
                          </w:rPr>
                          <w:t>Cost</w:t>
                          <w:tab/>
                        </w:r>
                        <w:r>
                          <w:rPr>
                            <w:b/>
                            <w:color w:val="FFFFFF"/>
                            <w:w w:val="95"/>
                            <w:position w:val="11"/>
                            <w:sz w:val="18"/>
                          </w:rPr>
                          <w:t>T</w:t>
                        </w:r>
                      </w:p>
                      <w:p>
                        <w:pPr>
                          <w:pStyle w:val="TableParagraph"/>
                          <w:spacing w:line="149" w:lineRule="exact"/>
                          <w:ind w:left="2105"/>
                          <w:jc w:val="left"/>
                          <w:rPr>
                            <w:b/>
                            <w:sz w:val="18"/>
                          </w:rPr>
                        </w:pPr>
                        <w:r>
                          <w:rPr>
                            <w:b/>
                            <w:color w:val="FFFFFF"/>
                            <w:w w:val="110"/>
                            <w:sz w:val="18"/>
                          </w:rPr>
                          <w:t>Spent (INR Mn)</w:t>
                        </w:r>
                      </w:p>
                    </w:tc>
                    <w:tc>
                      <w:tcPr>
                        <w:tcW w:w="1636" w:type="dxa"/>
                        <w:tcBorders>
                          <w:top w:val="single" w:sz="6" w:space="0" w:color="69BD28"/>
                          <w:bottom w:val="single" w:sz="6" w:space="0" w:color="69BD28"/>
                        </w:tcBorders>
                        <w:shd w:val="clear" w:color="auto" w:fill="006A4D"/>
                      </w:tcPr>
                      <w:p>
                        <w:pPr>
                          <w:pStyle w:val="TableParagraph"/>
                          <w:spacing w:line="210" w:lineRule="atLeast" w:before="7"/>
                          <w:ind w:left="363" w:right="-11" w:hanging="344"/>
                          <w:jc w:val="left"/>
                          <w:rPr>
                            <w:b/>
                            <w:sz w:val="18"/>
                          </w:rPr>
                        </w:pPr>
                        <w:r>
                          <w:rPr>
                            <w:b/>
                            <w:color w:val="FFFFFF"/>
                            <w:w w:val="110"/>
                            <w:sz w:val="18"/>
                          </w:rPr>
                          <w:t>otal Pending Cost (INR Mn)</w:t>
                        </w:r>
                      </w:p>
                    </w:tc>
                    <w:tc>
                      <w:tcPr>
                        <w:tcW w:w="1948" w:type="dxa"/>
                        <w:tcBorders>
                          <w:top w:val="single" w:sz="6" w:space="0" w:color="69BD28"/>
                          <w:bottom w:val="single" w:sz="6" w:space="0" w:color="69BD28"/>
                        </w:tcBorders>
                        <w:shd w:val="clear" w:color="auto" w:fill="006A4D"/>
                      </w:tcPr>
                      <w:p>
                        <w:pPr>
                          <w:pStyle w:val="TableParagraph"/>
                          <w:spacing w:line="210" w:lineRule="atLeast" w:before="7"/>
                          <w:ind w:left="465" w:firstLine="38"/>
                          <w:jc w:val="left"/>
                          <w:rPr>
                            <w:b/>
                            <w:sz w:val="18"/>
                          </w:rPr>
                        </w:pPr>
                        <w:r>
                          <w:rPr>
                            <w:b/>
                            <w:color w:val="FFFFFF"/>
                            <w:w w:val="105"/>
                            <w:sz w:val="18"/>
                          </w:rPr>
                          <w:t>Quarter of Completion</w:t>
                        </w:r>
                      </w:p>
                    </w:tc>
                  </w:tr>
                  <w:tr>
                    <w:trPr>
                      <w:trHeight w:val="297" w:hRule="atLeast"/>
                    </w:trPr>
                    <w:tc>
                      <w:tcPr>
                        <w:tcW w:w="3243" w:type="dxa"/>
                        <w:tcBorders>
                          <w:top w:val="single" w:sz="6" w:space="0" w:color="69BD28"/>
                          <w:bottom w:val="single" w:sz="6" w:space="0" w:color="69BD28"/>
                        </w:tcBorders>
                      </w:tcPr>
                      <w:p>
                        <w:pPr>
                          <w:pStyle w:val="TableParagraph"/>
                          <w:spacing w:before="44"/>
                          <w:ind w:left="545" w:right="520"/>
                          <w:rPr>
                            <w:sz w:val="18"/>
                          </w:rPr>
                        </w:pPr>
                        <w:r>
                          <w:rPr>
                            <w:sz w:val="18"/>
                          </w:rPr>
                          <w:t>220 KV Sub-station</w:t>
                        </w:r>
                      </w:p>
                    </w:tc>
                    <w:tc>
                      <w:tcPr>
                        <w:tcW w:w="1707" w:type="dxa"/>
                        <w:tcBorders>
                          <w:top w:val="single" w:sz="6" w:space="0" w:color="69BD28"/>
                          <w:bottom w:val="single" w:sz="6" w:space="0" w:color="69BD28"/>
                        </w:tcBorders>
                      </w:tcPr>
                      <w:p>
                        <w:pPr>
                          <w:pStyle w:val="TableParagraph"/>
                          <w:spacing w:before="44"/>
                          <w:ind w:left="549" w:right="384"/>
                          <w:rPr>
                            <w:sz w:val="18"/>
                          </w:rPr>
                        </w:pPr>
                        <w:r>
                          <w:rPr>
                            <w:w w:val="105"/>
                            <w:sz w:val="18"/>
                          </w:rPr>
                          <w:t>1,531.17</w:t>
                        </w:r>
                      </w:p>
                    </w:tc>
                    <w:tc>
                      <w:tcPr>
                        <w:tcW w:w="2138" w:type="dxa"/>
                        <w:tcBorders>
                          <w:top w:val="single" w:sz="6" w:space="0" w:color="69BD28"/>
                          <w:bottom w:val="single" w:sz="6" w:space="0" w:color="69BD28"/>
                        </w:tcBorders>
                      </w:tcPr>
                      <w:p>
                        <w:pPr>
                          <w:pStyle w:val="TableParagraph"/>
                          <w:spacing w:before="44"/>
                          <w:ind w:left="148" w:right="116"/>
                          <w:rPr>
                            <w:sz w:val="18"/>
                          </w:rPr>
                        </w:pPr>
                        <w:r>
                          <w:rPr>
                            <w:w w:val="105"/>
                            <w:sz w:val="18"/>
                          </w:rPr>
                          <w:t>1,394.23</w:t>
                        </w:r>
                      </w:p>
                    </w:tc>
                    <w:tc>
                      <w:tcPr>
                        <w:tcW w:w="1636" w:type="dxa"/>
                        <w:tcBorders>
                          <w:top w:val="single" w:sz="6" w:space="0" w:color="69BD28"/>
                          <w:bottom w:val="single" w:sz="6" w:space="0" w:color="69BD28"/>
                        </w:tcBorders>
                      </w:tcPr>
                      <w:p>
                        <w:pPr>
                          <w:pStyle w:val="TableParagraph"/>
                          <w:spacing w:before="44"/>
                          <w:ind w:left="377" w:right="482"/>
                          <w:rPr>
                            <w:sz w:val="18"/>
                          </w:rPr>
                        </w:pPr>
                        <w:r>
                          <w:rPr>
                            <w:w w:val="105"/>
                            <w:sz w:val="18"/>
                          </w:rPr>
                          <w:t>136.94</w:t>
                        </w:r>
                      </w:p>
                    </w:tc>
                    <w:tc>
                      <w:tcPr>
                        <w:tcW w:w="1948" w:type="dxa"/>
                        <w:tcBorders>
                          <w:top w:val="single" w:sz="6" w:space="0" w:color="69BD28"/>
                          <w:bottom w:val="single" w:sz="6" w:space="0" w:color="69BD28"/>
                        </w:tcBorders>
                      </w:tcPr>
                      <w:p>
                        <w:pPr>
                          <w:pStyle w:val="TableParagraph"/>
                          <w:spacing w:before="44"/>
                          <w:ind w:right="419"/>
                          <w:jc w:val="right"/>
                          <w:rPr>
                            <w:sz w:val="18"/>
                          </w:rPr>
                        </w:pPr>
                        <w:r>
                          <w:rPr>
                            <w:w w:val="105"/>
                            <w:sz w:val="18"/>
                          </w:rPr>
                          <w:t>Q2, FY 2021</w:t>
                        </w:r>
                      </w:p>
                    </w:tc>
                  </w:tr>
                  <w:tr>
                    <w:trPr>
                      <w:trHeight w:val="294" w:hRule="atLeast"/>
                    </w:trPr>
                    <w:tc>
                      <w:tcPr>
                        <w:tcW w:w="3243" w:type="dxa"/>
                        <w:tcBorders>
                          <w:top w:val="single" w:sz="6" w:space="0" w:color="69BD28"/>
                          <w:bottom w:val="single" w:sz="6" w:space="0" w:color="69BD28"/>
                        </w:tcBorders>
                      </w:tcPr>
                      <w:p>
                        <w:pPr>
                          <w:pStyle w:val="TableParagraph"/>
                          <w:spacing w:before="44"/>
                          <w:ind w:left="545" w:right="524"/>
                          <w:rPr>
                            <w:sz w:val="18"/>
                          </w:rPr>
                        </w:pPr>
                        <w:r>
                          <w:rPr>
                            <w:sz w:val="18"/>
                          </w:rPr>
                          <w:t>Capex Works (Operations)</w:t>
                        </w:r>
                      </w:p>
                    </w:tc>
                    <w:tc>
                      <w:tcPr>
                        <w:tcW w:w="1707" w:type="dxa"/>
                        <w:tcBorders>
                          <w:top w:val="single" w:sz="6" w:space="0" w:color="69BD28"/>
                          <w:bottom w:val="single" w:sz="6" w:space="0" w:color="69BD28"/>
                        </w:tcBorders>
                      </w:tcPr>
                      <w:p>
                        <w:pPr>
                          <w:pStyle w:val="TableParagraph"/>
                          <w:spacing w:before="44"/>
                          <w:ind w:left="549" w:right="384"/>
                          <w:rPr>
                            <w:sz w:val="18"/>
                          </w:rPr>
                        </w:pPr>
                        <w:r>
                          <w:rPr>
                            <w:w w:val="105"/>
                            <w:sz w:val="18"/>
                          </w:rPr>
                          <w:t>1,041.53</w:t>
                        </w:r>
                      </w:p>
                    </w:tc>
                    <w:tc>
                      <w:tcPr>
                        <w:tcW w:w="2138" w:type="dxa"/>
                        <w:tcBorders>
                          <w:top w:val="single" w:sz="6" w:space="0" w:color="69BD28"/>
                          <w:bottom w:val="single" w:sz="6" w:space="0" w:color="69BD28"/>
                        </w:tcBorders>
                      </w:tcPr>
                      <w:p>
                        <w:pPr>
                          <w:pStyle w:val="TableParagraph"/>
                          <w:spacing w:before="44"/>
                          <w:ind w:left="148" w:right="116"/>
                          <w:rPr>
                            <w:sz w:val="18"/>
                          </w:rPr>
                        </w:pPr>
                        <w:r>
                          <w:rPr>
                            <w:w w:val="105"/>
                            <w:sz w:val="18"/>
                          </w:rPr>
                          <w:t>41.49</w:t>
                        </w:r>
                      </w:p>
                    </w:tc>
                    <w:tc>
                      <w:tcPr>
                        <w:tcW w:w="1636" w:type="dxa"/>
                        <w:tcBorders>
                          <w:top w:val="single" w:sz="6" w:space="0" w:color="69BD28"/>
                          <w:bottom w:val="single" w:sz="6" w:space="0" w:color="69BD28"/>
                        </w:tcBorders>
                      </w:tcPr>
                      <w:p>
                        <w:pPr>
                          <w:pStyle w:val="TableParagraph"/>
                          <w:spacing w:before="44"/>
                          <w:ind w:left="377" w:right="482"/>
                          <w:rPr>
                            <w:sz w:val="18"/>
                          </w:rPr>
                        </w:pPr>
                        <w:r>
                          <w:rPr>
                            <w:w w:val="105"/>
                            <w:sz w:val="18"/>
                          </w:rPr>
                          <w:t>1,000.04</w:t>
                        </w:r>
                      </w:p>
                    </w:tc>
                    <w:tc>
                      <w:tcPr>
                        <w:tcW w:w="1948" w:type="dxa"/>
                        <w:tcBorders>
                          <w:top w:val="single" w:sz="6" w:space="0" w:color="69BD28"/>
                          <w:bottom w:val="single" w:sz="6" w:space="0" w:color="69BD28"/>
                        </w:tcBorders>
                      </w:tcPr>
                      <w:p>
                        <w:pPr>
                          <w:pStyle w:val="TableParagraph"/>
                          <w:spacing w:before="44"/>
                          <w:ind w:right="409"/>
                          <w:jc w:val="right"/>
                          <w:rPr>
                            <w:sz w:val="18"/>
                          </w:rPr>
                        </w:pPr>
                        <w:r>
                          <w:rPr>
                            <w:w w:val="105"/>
                            <w:sz w:val="18"/>
                          </w:rPr>
                          <w:t>Q3, FY 2022</w:t>
                        </w:r>
                      </w:p>
                    </w:tc>
                  </w:tr>
                  <w:tr>
                    <w:trPr>
                      <w:trHeight w:val="296" w:hRule="atLeast"/>
                    </w:trPr>
                    <w:tc>
                      <w:tcPr>
                        <w:tcW w:w="3243" w:type="dxa"/>
                        <w:tcBorders>
                          <w:top w:val="single" w:sz="6" w:space="0" w:color="69BD28"/>
                          <w:bottom w:val="single" w:sz="6" w:space="0" w:color="69BD28"/>
                        </w:tcBorders>
                      </w:tcPr>
                      <w:p>
                        <w:pPr>
                          <w:pStyle w:val="TableParagraph"/>
                          <w:spacing w:before="44"/>
                          <w:ind w:left="545" w:right="521"/>
                          <w:rPr>
                            <w:sz w:val="18"/>
                          </w:rPr>
                        </w:pPr>
                        <w:r>
                          <w:rPr>
                            <w:sz w:val="18"/>
                          </w:rPr>
                          <w:t>Flyover</w:t>
                        </w:r>
                      </w:p>
                    </w:tc>
                    <w:tc>
                      <w:tcPr>
                        <w:tcW w:w="1707" w:type="dxa"/>
                        <w:tcBorders>
                          <w:top w:val="single" w:sz="6" w:space="0" w:color="69BD28"/>
                          <w:bottom w:val="single" w:sz="6" w:space="0" w:color="69BD28"/>
                        </w:tcBorders>
                      </w:tcPr>
                      <w:p>
                        <w:pPr>
                          <w:pStyle w:val="TableParagraph"/>
                          <w:spacing w:before="44"/>
                          <w:ind w:left="549" w:right="384"/>
                          <w:rPr>
                            <w:sz w:val="18"/>
                          </w:rPr>
                        </w:pPr>
                        <w:r>
                          <w:rPr>
                            <w:w w:val="105"/>
                            <w:sz w:val="18"/>
                          </w:rPr>
                          <w:t>2,086.17</w:t>
                        </w:r>
                      </w:p>
                    </w:tc>
                    <w:tc>
                      <w:tcPr>
                        <w:tcW w:w="2138" w:type="dxa"/>
                        <w:tcBorders>
                          <w:top w:val="single" w:sz="6" w:space="0" w:color="69BD28"/>
                          <w:bottom w:val="single" w:sz="6" w:space="0" w:color="69BD28"/>
                        </w:tcBorders>
                      </w:tcPr>
                      <w:p>
                        <w:pPr>
                          <w:pStyle w:val="TableParagraph"/>
                          <w:spacing w:before="44"/>
                          <w:ind w:left="148" w:right="116"/>
                          <w:rPr>
                            <w:sz w:val="18"/>
                          </w:rPr>
                        </w:pPr>
                        <w:r>
                          <w:rPr>
                            <w:w w:val="105"/>
                            <w:sz w:val="18"/>
                          </w:rPr>
                          <w:t>648.12</w:t>
                        </w:r>
                      </w:p>
                    </w:tc>
                    <w:tc>
                      <w:tcPr>
                        <w:tcW w:w="1636" w:type="dxa"/>
                        <w:tcBorders>
                          <w:top w:val="single" w:sz="6" w:space="0" w:color="69BD28"/>
                          <w:bottom w:val="single" w:sz="6" w:space="0" w:color="69BD28"/>
                        </w:tcBorders>
                      </w:tcPr>
                      <w:p>
                        <w:pPr>
                          <w:pStyle w:val="TableParagraph"/>
                          <w:spacing w:before="44"/>
                          <w:ind w:left="376" w:right="483"/>
                          <w:rPr>
                            <w:sz w:val="18"/>
                          </w:rPr>
                        </w:pPr>
                        <w:r>
                          <w:rPr>
                            <w:w w:val="105"/>
                            <w:sz w:val="18"/>
                          </w:rPr>
                          <w:t>1,438.05</w:t>
                        </w:r>
                      </w:p>
                    </w:tc>
                    <w:tc>
                      <w:tcPr>
                        <w:tcW w:w="1948" w:type="dxa"/>
                        <w:tcBorders>
                          <w:top w:val="single" w:sz="6" w:space="0" w:color="69BD28"/>
                          <w:bottom w:val="single" w:sz="6" w:space="0" w:color="69BD28"/>
                        </w:tcBorders>
                      </w:tcPr>
                      <w:p>
                        <w:pPr>
                          <w:pStyle w:val="TableParagraph"/>
                          <w:spacing w:before="44"/>
                          <w:ind w:right="409"/>
                          <w:jc w:val="right"/>
                          <w:rPr>
                            <w:sz w:val="18"/>
                          </w:rPr>
                        </w:pPr>
                        <w:r>
                          <w:rPr>
                            <w:w w:val="105"/>
                            <w:sz w:val="18"/>
                          </w:rPr>
                          <w:t>Q4, FY 2021</w:t>
                        </w:r>
                      </w:p>
                    </w:tc>
                  </w:tr>
                  <w:tr>
                    <w:trPr>
                      <w:trHeight w:val="294" w:hRule="atLeast"/>
                    </w:trPr>
                    <w:tc>
                      <w:tcPr>
                        <w:tcW w:w="3243" w:type="dxa"/>
                        <w:tcBorders>
                          <w:top w:val="single" w:sz="6" w:space="0" w:color="69BD28"/>
                          <w:bottom w:val="single" w:sz="6" w:space="0" w:color="69BD28"/>
                        </w:tcBorders>
                      </w:tcPr>
                      <w:p>
                        <w:pPr>
                          <w:pStyle w:val="TableParagraph"/>
                          <w:spacing w:before="44"/>
                          <w:ind w:left="545" w:right="524"/>
                          <w:rPr>
                            <w:sz w:val="18"/>
                          </w:rPr>
                        </w:pPr>
                        <w:r>
                          <w:rPr>
                            <w:sz w:val="18"/>
                          </w:rPr>
                          <w:t>Metro (Direct Park Access)</w:t>
                        </w:r>
                      </w:p>
                    </w:tc>
                    <w:tc>
                      <w:tcPr>
                        <w:tcW w:w="1707" w:type="dxa"/>
                        <w:tcBorders>
                          <w:top w:val="single" w:sz="6" w:space="0" w:color="69BD28"/>
                          <w:bottom w:val="single" w:sz="6" w:space="0" w:color="69BD28"/>
                        </w:tcBorders>
                      </w:tcPr>
                      <w:p>
                        <w:pPr>
                          <w:pStyle w:val="TableParagraph"/>
                          <w:spacing w:before="44"/>
                          <w:ind w:left="549" w:right="383"/>
                          <w:rPr>
                            <w:sz w:val="18"/>
                          </w:rPr>
                        </w:pPr>
                        <w:r>
                          <w:rPr>
                            <w:w w:val="110"/>
                            <w:sz w:val="18"/>
                          </w:rPr>
                          <w:t>320.00</w:t>
                        </w:r>
                      </w:p>
                    </w:tc>
                    <w:tc>
                      <w:tcPr>
                        <w:tcW w:w="2138" w:type="dxa"/>
                        <w:tcBorders>
                          <w:top w:val="single" w:sz="6" w:space="0" w:color="69BD28"/>
                          <w:bottom w:val="single" w:sz="6" w:space="0" w:color="69BD28"/>
                        </w:tcBorders>
                      </w:tcPr>
                      <w:p>
                        <w:pPr>
                          <w:pStyle w:val="TableParagraph"/>
                          <w:spacing w:before="44"/>
                          <w:ind w:left="35"/>
                          <w:rPr>
                            <w:sz w:val="18"/>
                          </w:rPr>
                        </w:pPr>
                        <w:r>
                          <w:rPr>
                            <w:w w:val="99"/>
                            <w:sz w:val="18"/>
                          </w:rPr>
                          <w:t>-</w:t>
                        </w:r>
                      </w:p>
                    </w:tc>
                    <w:tc>
                      <w:tcPr>
                        <w:tcW w:w="1636" w:type="dxa"/>
                        <w:tcBorders>
                          <w:top w:val="single" w:sz="6" w:space="0" w:color="69BD28"/>
                          <w:bottom w:val="single" w:sz="6" w:space="0" w:color="69BD28"/>
                        </w:tcBorders>
                      </w:tcPr>
                      <w:p>
                        <w:pPr>
                          <w:pStyle w:val="TableParagraph"/>
                          <w:spacing w:before="44"/>
                          <w:ind w:left="377" w:right="481"/>
                          <w:rPr>
                            <w:sz w:val="18"/>
                          </w:rPr>
                        </w:pPr>
                        <w:r>
                          <w:rPr>
                            <w:w w:val="110"/>
                            <w:sz w:val="18"/>
                          </w:rPr>
                          <w:t>320.00</w:t>
                        </w:r>
                      </w:p>
                    </w:tc>
                    <w:tc>
                      <w:tcPr>
                        <w:tcW w:w="1948" w:type="dxa"/>
                        <w:tcBorders>
                          <w:top w:val="single" w:sz="6" w:space="0" w:color="69BD28"/>
                          <w:bottom w:val="single" w:sz="6" w:space="0" w:color="69BD28"/>
                        </w:tcBorders>
                      </w:tcPr>
                      <w:p>
                        <w:pPr>
                          <w:pStyle w:val="TableParagraph"/>
                          <w:spacing w:before="44"/>
                          <w:ind w:right="409"/>
                          <w:jc w:val="right"/>
                          <w:rPr>
                            <w:sz w:val="18"/>
                          </w:rPr>
                        </w:pPr>
                        <w:r>
                          <w:rPr>
                            <w:w w:val="105"/>
                            <w:sz w:val="18"/>
                          </w:rPr>
                          <w:t>Q4, FY 2022</w:t>
                        </w:r>
                      </w:p>
                    </w:tc>
                  </w:tr>
                  <w:tr>
                    <w:trPr>
                      <w:trHeight w:val="551" w:hRule="atLeast"/>
                    </w:trPr>
                    <w:tc>
                      <w:tcPr>
                        <w:tcW w:w="4950" w:type="dxa"/>
                        <w:gridSpan w:val="2"/>
                        <w:tcBorders>
                          <w:bottom w:val="single" w:sz="6" w:space="0" w:color="69BD28"/>
                        </w:tcBorders>
                      </w:tcPr>
                      <w:p>
                        <w:pPr>
                          <w:pStyle w:val="TableParagraph"/>
                          <w:tabs>
                            <w:tab w:pos="3807" w:val="left" w:leader="none"/>
                          </w:tabs>
                          <w:spacing w:before="37"/>
                          <w:ind w:left="456"/>
                          <w:jc w:val="left"/>
                          <w:rPr>
                            <w:sz w:val="18"/>
                          </w:rPr>
                        </w:pPr>
                        <w:r>
                          <w:rPr>
                            <w:sz w:val="18"/>
                          </w:rPr>
                          <w:t>Master plan</w:t>
                        </w:r>
                        <w:r>
                          <w:rPr>
                            <w:spacing w:val="-17"/>
                            <w:sz w:val="18"/>
                          </w:rPr>
                          <w:t> </w:t>
                        </w:r>
                        <w:r>
                          <w:rPr>
                            <w:sz w:val="18"/>
                          </w:rPr>
                          <w:t>Upgradation</w:t>
                        </w:r>
                        <w:r>
                          <w:rPr>
                            <w:spacing w:val="-7"/>
                            <w:sz w:val="18"/>
                          </w:rPr>
                          <w:t> </w:t>
                        </w:r>
                        <w:r>
                          <w:rPr>
                            <w:sz w:val="18"/>
                          </w:rPr>
                          <w:t>with</w:t>
                          <w:tab/>
                        </w:r>
                        <w:r>
                          <w:rPr>
                            <w:position w:val="-12"/>
                            <w:sz w:val="18"/>
                          </w:rPr>
                          <w:t>2,093.33</w:t>
                        </w:r>
                      </w:p>
                    </w:tc>
                    <w:tc>
                      <w:tcPr>
                        <w:tcW w:w="2138" w:type="dxa"/>
                        <w:tcBorders>
                          <w:bottom w:val="single" w:sz="6" w:space="0" w:color="69BD28"/>
                        </w:tcBorders>
                      </w:tcPr>
                      <w:p>
                        <w:pPr>
                          <w:pStyle w:val="TableParagraph"/>
                          <w:spacing w:before="167"/>
                          <w:ind w:left="148" w:right="116"/>
                          <w:rPr>
                            <w:sz w:val="18"/>
                          </w:rPr>
                        </w:pPr>
                        <w:r>
                          <w:rPr>
                            <w:w w:val="105"/>
                            <w:sz w:val="18"/>
                          </w:rPr>
                          <w:t>554.66</w:t>
                        </w:r>
                      </w:p>
                    </w:tc>
                    <w:tc>
                      <w:tcPr>
                        <w:tcW w:w="1636" w:type="dxa"/>
                        <w:tcBorders>
                          <w:bottom w:val="single" w:sz="6" w:space="0" w:color="69BD28"/>
                        </w:tcBorders>
                      </w:tcPr>
                      <w:p>
                        <w:pPr>
                          <w:pStyle w:val="TableParagraph"/>
                          <w:spacing w:before="167"/>
                          <w:ind w:left="376" w:right="483"/>
                          <w:rPr>
                            <w:sz w:val="18"/>
                          </w:rPr>
                        </w:pPr>
                        <w:r>
                          <w:rPr>
                            <w:w w:val="105"/>
                            <w:sz w:val="18"/>
                          </w:rPr>
                          <w:t>1,538.67</w:t>
                        </w:r>
                      </w:p>
                    </w:tc>
                    <w:tc>
                      <w:tcPr>
                        <w:tcW w:w="1948" w:type="dxa"/>
                        <w:tcBorders>
                          <w:bottom w:val="single" w:sz="6" w:space="0" w:color="69BD28"/>
                        </w:tcBorders>
                      </w:tcPr>
                      <w:p>
                        <w:pPr>
                          <w:pStyle w:val="TableParagraph"/>
                          <w:spacing w:before="167"/>
                          <w:ind w:right="409"/>
                          <w:jc w:val="right"/>
                          <w:rPr>
                            <w:sz w:val="18"/>
                          </w:rPr>
                        </w:pPr>
                        <w:r>
                          <w:rPr>
                            <w:w w:val="105"/>
                            <w:sz w:val="18"/>
                          </w:rPr>
                          <w:t>Q4, FY 2022</w:t>
                        </w:r>
                      </w:p>
                    </w:tc>
                  </w:tr>
                </w:tbl>
                <w:p>
                  <w:pPr>
                    <w:pStyle w:val="BodyText"/>
                  </w:pPr>
                </w:p>
              </w:txbxContent>
            </v:textbox>
            <w10:wrap type="none"/>
          </v:shape>
        </w:pict>
      </w:r>
      <w:r>
        <w:rPr/>
        <w:t>Based</w:t>
      </w:r>
      <w:r>
        <w:rPr>
          <w:spacing w:val="-24"/>
        </w:rPr>
        <w:t> </w:t>
      </w:r>
      <w:r>
        <w:rPr/>
        <w:t>on</w:t>
      </w:r>
      <w:r>
        <w:rPr>
          <w:spacing w:val="-23"/>
        </w:rPr>
        <w:t> </w:t>
      </w:r>
      <w:r>
        <w:rPr/>
        <w:t>information</w:t>
      </w:r>
      <w:r>
        <w:rPr>
          <w:spacing w:val="-23"/>
        </w:rPr>
        <w:t> </w:t>
      </w:r>
      <w:r>
        <w:rPr/>
        <w:t>provided</w:t>
      </w:r>
      <w:r>
        <w:rPr>
          <w:spacing w:val="-22"/>
        </w:rPr>
        <w:t> </w:t>
      </w:r>
      <w:r>
        <w:rPr/>
        <w:t>by</w:t>
      </w:r>
      <w:r>
        <w:rPr>
          <w:spacing w:val="-23"/>
        </w:rPr>
        <w:t> </w:t>
      </w:r>
      <w:r>
        <w:rPr/>
        <w:t>the</w:t>
      </w:r>
      <w:r>
        <w:rPr>
          <w:spacing w:val="-24"/>
        </w:rPr>
        <w:t> </w:t>
      </w:r>
      <w:r>
        <w:rPr/>
        <w:t>Client</w:t>
      </w:r>
      <w:r>
        <w:rPr>
          <w:spacing w:val="-21"/>
        </w:rPr>
        <w:t> </w:t>
      </w:r>
      <w:r>
        <w:rPr/>
        <w:t>and</w:t>
      </w:r>
      <w:r>
        <w:rPr>
          <w:spacing w:val="-24"/>
        </w:rPr>
        <w:t> </w:t>
      </w:r>
      <w:r>
        <w:rPr/>
        <w:t>corroborated</w:t>
      </w:r>
      <w:r>
        <w:rPr>
          <w:spacing w:val="-22"/>
        </w:rPr>
        <w:t> </w:t>
      </w:r>
      <w:r>
        <w:rPr/>
        <w:t>with</w:t>
      </w:r>
      <w:r>
        <w:rPr>
          <w:spacing w:val="-24"/>
        </w:rPr>
        <w:t> </w:t>
      </w:r>
      <w:r>
        <w:rPr/>
        <w:t>our</w:t>
      </w:r>
      <w:r>
        <w:rPr>
          <w:spacing w:val="-23"/>
        </w:rPr>
        <w:t> </w:t>
      </w:r>
      <w:r>
        <w:rPr/>
        <w:t>visual</w:t>
      </w:r>
      <w:r>
        <w:rPr>
          <w:spacing w:val="-24"/>
        </w:rPr>
        <w:t> </w:t>
      </w:r>
      <w:r>
        <w:rPr/>
        <w:t>inspection</w:t>
      </w:r>
      <w:r>
        <w:rPr>
          <w:spacing w:val="-23"/>
        </w:rPr>
        <w:t> </w:t>
      </w:r>
      <w:r>
        <w:rPr/>
        <w:t>during</w:t>
      </w:r>
      <w:r>
        <w:rPr>
          <w:spacing w:val="-24"/>
        </w:rPr>
        <w:t> </w:t>
      </w:r>
      <w:r>
        <w:rPr/>
        <w:t>the</w:t>
      </w:r>
      <w:r>
        <w:rPr>
          <w:spacing w:val="-25"/>
        </w:rPr>
        <w:t> </w:t>
      </w:r>
      <w:r>
        <w:rPr/>
        <w:t>site visit,</w:t>
      </w:r>
      <w:r>
        <w:rPr>
          <w:spacing w:val="-12"/>
        </w:rPr>
        <w:t> </w:t>
      </w:r>
      <w:r>
        <w:rPr/>
        <w:t>it</w:t>
      </w:r>
      <w:r>
        <w:rPr>
          <w:spacing w:val="-11"/>
        </w:rPr>
        <w:t> </w:t>
      </w:r>
      <w:r>
        <w:rPr/>
        <w:t>is</w:t>
      </w:r>
      <w:r>
        <w:rPr>
          <w:spacing w:val="-11"/>
        </w:rPr>
        <w:t> </w:t>
      </w:r>
      <w:r>
        <w:rPr/>
        <w:t>understood</w:t>
      </w:r>
      <w:r>
        <w:rPr>
          <w:spacing w:val="-11"/>
        </w:rPr>
        <w:t> </w:t>
      </w:r>
      <w:r>
        <w:rPr/>
        <w:t>that</w:t>
      </w:r>
      <w:r>
        <w:rPr>
          <w:spacing w:val="-12"/>
        </w:rPr>
        <w:t> </w:t>
      </w:r>
      <w:r>
        <w:rPr/>
        <w:t>the</w:t>
      </w:r>
      <w:r>
        <w:rPr>
          <w:spacing w:val="-12"/>
        </w:rPr>
        <w:t> </w:t>
      </w:r>
      <w:r>
        <w:rPr/>
        <w:t>subject</w:t>
      </w:r>
      <w:r>
        <w:rPr>
          <w:spacing w:val="-11"/>
        </w:rPr>
        <w:t> </w:t>
      </w:r>
      <w:r>
        <w:rPr/>
        <w:t>property</w:t>
      </w:r>
      <w:r>
        <w:rPr>
          <w:spacing w:val="-10"/>
        </w:rPr>
        <w:t> </w:t>
      </w:r>
      <w:r>
        <w:rPr/>
        <w:t>is</w:t>
      </w:r>
      <w:r>
        <w:rPr>
          <w:spacing w:val="-11"/>
        </w:rPr>
        <w:t> </w:t>
      </w:r>
      <w:r>
        <w:rPr/>
        <w:t>in</w:t>
      </w:r>
      <w:r>
        <w:rPr>
          <w:spacing w:val="-12"/>
        </w:rPr>
        <w:t> </w:t>
      </w:r>
      <w:r>
        <w:rPr/>
        <w:t>good</w:t>
      </w:r>
      <w:r>
        <w:rPr>
          <w:spacing w:val="-10"/>
        </w:rPr>
        <w:t> </w:t>
      </w:r>
      <w:r>
        <w:rPr/>
        <w:t>condition</w:t>
      </w:r>
      <w:r>
        <w:rPr>
          <w:spacing w:val="-12"/>
        </w:rPr>
        <w:t> </w:t>
      </w:r>
      <w:r>
        <w:rPr/>
        <w:t>and</w:t>
      </w:r>
      <w:r>
        <w:rPr>
          <w:spacing w:val="-11"/>
        </w:rPr>
        <w:t> </w:t>
      </w:r>
      <w:r>
        <w:rPr/>
        <w:t>is</w:t>
      </w:r>
      <w:r>
        <w:rPr>
          <w:spacing w:val="-13"/>
        </w:rPr>
        <w:t> </w:t>
      </w:r>
      <w:r>
        <w:rPr/>
        <w:t>being</w:t>
      </w:r>
      <w:r>
        <w:rPr>
          <w:spacing w:val="-11"/>
        </w:rPr>
        <w:t> </w:t>
      </w:r>
      <w:r>
        <w:rPr/>
        <w:t>maintained</w:t>
      </w:r>
      <w:r>
        <w:rPr>
          <w:spacing w:val="-10"/>
        </w:rPr>
        <w:t> </w:t>
      </w:r>
      <w:r>
        <w:rPr/>
        <w:t>well.</w:t>
      </w:r>
      <w:r>
        <w:rPr>
          <w:spacing w:val="-4"/>
        </w:rPr>
        <w:t> </w:t>
      </w:r>
      <w:r>
        <w:rPr/>
        <w:t>The subject</w:t>
      </w:r>
      <w:r>
        <w:rPr>
          <w:spacing w:val="-13"/>
        </w:rPr>
        <w:t> </w:t>
      </w:r>
      <w:r>
        <w:rPr/>
        <w:t>property</w:t>
      </w:r>
      <w:r>
        <w:rPr>
          <w:spacing w:val="-11"/>
        </w:rPr>
        <w:t> </w:t>
      </w:r>
      <w:r>
        <w:rPr/>
        <w:t>is</w:t>
      </w:r>
      <w:r>
        <w:rPr>
          <w:spacing w:val="-13"/>
        </w:rPr>
        <w:t> </w:t>
      </w:r>
      <w:r>
        <w:rPr/>
        <w:t>developed</w:t>
      </w:r>
      <w:r>
        <w:rPr>
          <w:spacing w:val="-11"/>
        </w:rPr>
        <w:t> </w:t>
      </w:r>
      <w:r>
        <w:rPr/>
        <w:t>and</w:t>
      </w:r>
      <w:r>
        <w:rPr>
          <w:spacing w:val="-12"/>
        </w:rPr>
        <w:t> </w:t>
      </w:r>
      <w:r>
        <w:rPr/>
        <w:t>managed</w:t>
      </w:r>
      <w:r>
        <w:rPr>
          <w:spacing w:val="-12"/>
        </w:rPr>
        <w:t> </w:t>
      </w:r>
      <w:r>
        <w:rPr/>
        <w:t>to</w:t>
      </w:r>
      <w:r>
        <w:rPr>
          <w:spacing w:val="-12"/>
        </w:rPr>
        <w:t> </w:t>
      </w:r>
      <w:r>
        <w:rPr/>
        <w:t>international</w:t>
      </w:r>
      <w:r>
        <w:rPr>
          <w:spacing w:val="-13"/>
        </w:rPr>
        <w:t> </w:t>
      </w:r>
      <w:r>
        <w:rPr/>
        <w:t>standards.</w:t>
      </w:r>
      <w:r>
        <w:rPr>
          <w:spacing w:val="-9"/>
        </w:rPr>
        <w:t> </w:t>
      </w:r>
      <w:r>
        <w:rPr/>
        <w:t>Further</w:t>
      </w:r>
      <w:r>
        <w:rPr>
          <w:spacing w:val="-12"/>
        </w:rPr>
        <w:t> </w:t>
      </w:r>
      <w:r>
        <w:rPr/>
        <w:t>it</w:t>
      </w:r>
      <w:r>
        <w:rPr>
          <w:spacing w:val="-12"/>
        </w:rPr>
        <w:t> </w:t>
      </w:r>
      <w:r>
        <w:rPr/>
        <w:t>offers</w:t>
      </w:r>
      <w:r>
        <w:rPr>
          <w:spacing w:val="-10"/>
        </w:rPr>
        <w:t> </w:t>
      </w:r>
      <w:r>
        <w:rPr/>
        <w:t>international </w:t>
      </w:r>
      <w:r>
        <w:rPr>
          <w:w w:val="95"/>
        </w:rPr>
        <w:t>standard infrastructure, best-in-class asset management and environment friendly green initiatives. Over </w:t>
      </w:r>
      <w:r>
        <w:rPr/>
        <w:t>the last few years Client has incurred repairs and maintenance expenses towards upgradation of information</w:t>
      </w:r>
      <w:r>
        <w:rPr>
          <w:spacing w:val="-28"/>
        </w:rPr>
        <w:t> </w:t>
      </w:r>
      <w:r>
        <w:rPr/>
        <w:t>center</w:t>
      </w:r>
      <w:r>
        <w:rPr>
          <w:spacing w:val="-26"/>
        </w:rPr>
        <w:t> </w:t>
      </w:r>
      <w:r>
        <w:rPr/>
        <w:t>and</w:t>
      </w:r>
      <w:r>
        <w:rPr>
          <w:spacing w:val="-27"/>
        </w:rPr>
        <w:t> </w:t>
      </w:r>
      <w:r>
        <w:rPr/>
        <w:t>food</w:t>
      </w:r>
      <w:r>
        <w:rPr>
          <w:spacing w:val="-27"/>
        </w:rPr>
        <w:t> </w:t>
      </w:r>
      <w:r>
        <w:rPr/>
        <w:t>court,</w:t>
      </w:r>
      <w:r>
        <w:rPr>
          <w:spacing w:val="-27"/>
        </w:rPr>
        <w:t> </w:t>
      </w:r>
      <w:r>
        <w:rPr/>
        <w:t>cost</w:t>
      </w:r>
      <w:r>
        <w:rPr>
          <w:spacing w:val="-27"/>
        </w:rPr>
        <w:t> </w:t>
      </w:r>
      <w:r>
        <w:rPr/>
        <w:t>spent</w:t>
      </w:r>
      <w:r>
        <w:rPr>
          <w:spacing w:val="-27"/>
        </w:rPr>
        <w:t> </w:t>
      </w:r>
      <w:r>
        <w:rPr/>
        <w:t>towards</w:t>
      </w:r>
      <w:r>
        <w:rPr>
          <w:spacing w:val="-27"/>
        </w:rPr>
        <w:t> </w:t>
      </w:r>
      <w:r>
        <w:rPr/>
        <w:t>construction</w:t>
      </w:r>
      <w:r>
        <w:rPr>
          <w:spacing w:val="-27"/>
        </w:rPr>
        <w:t> </w:t>
      </w:r>
      <w:r>
        <w:rPr/>
        <w:t>of</w:t>
      </w:r>
      <w:r>
        <w:rPr>
          <w:spacing w:val="-27"/>
        </w:rPr>
        <w:t> </w:t>
      </w:r>
      <w:r>
        <w:rPr/>
        <w:t>a</w:t>
      </w:r>
      <w:r>
        <w:rPr>
          <w:spacing w:val="-28"/>
        </w:rPr>
        <w:t> </w:t>
      </w:r>
      <w:r>
        <w:rPr/>
        <w:t>Skywalk</w:t>
      </w:r>
      <w:r>
        <w:rPr>
          <w:spacing w:val="-26"/>
        </w:rPr>
        <w:t> </w:t>
      </w:r>
      <w:r>
        <w:rPr/>
        <w:t>providing</w:t>
      </w:r>
      <w:r>
        <w:rPr>
          <w:spacing w:val="-27"/>
        </w:rPr>
        <w:t> </w:t>
      </w:r>
      <w:r>
        <w:rPr/>
        <w:t>access</w:t>
      </w:r>
      <w:r>
        <w:rPr>
          <w:spacing w:val="-27"/>
        </w:rPr>
        <w:t> </w:t>
      </w:r>
      <w:r>
        <w:rPr/>
        <w:t>to</w:t>
      </w:r>
      <w:r>
        <w:rPr>
          <w:spacing w:val="-29"/>
        </w:rPr>
        <w:t> </w:t>
      </w:r>
      <w:r>
        <w:rPr/>
        <w:t>the subject property from Outer Ring Road, etc. The table below highlights the major repairs and maintenance</w:t>
      </w:r>
      <w:r>
        <w:rPr>
          <w:spacing w:val="-16"/>
        </w:rPr>
        <w:t> </w:t>
      </w:r>
      <w:r>
        <w:rPr/>
        <w:t>work/</w:t>
      </w:r>
      <w:r>
        <w:rPr>
          <w:spacing w:val="-17"/>
        </w:rPr>
        <w:t> </w:t>
      </w:r>
      <w:r>
        <w:rPr/>
        <w:t>infrastructure</w:t>
      </w:r>
      <w:r>
        <w:rPr>
          <w:spacing w:val="-16"/>
        </w:rPr>
        <w:t> </w:t>
      </w:r>
      <w:r>
        <w:rPr/>
        <w:t>upgrade</w:t>
      </w:r>
      <w:r>
        <w:rPr>
          <w:spacing w:val="-15"/>
        </w:rPr>
        <w:t> </w:t>
      </w:r>
      <w:r>
        <w:rPr/>
        <w:t>works</w:t>
      </w:r>
      <w:r>
        <w:rPr>
          <w:spacing w:val="-16"/>
        </w:rPr>
        <w:t> </w:t>
      </w:r>
      <w:r>
        <w:rPr/>
        <w:t>to</w:t>
      </w:r>
      <w:r>
        <w:rPr>
          <w:spacing w:val="-16"/>
        </w:rPr>
        <w:t> </w:t>
      </w:r>
      <w:r>
        <w:rPr/>
        <w:t>be</w:t>
      </w:r>
      <w:r>
        <w:rPr>
          <w:spacing w:val="-16"/>
        </w:rPr>
        <w:t> </w:t>
      </w:r>
      <w:r>
        <w:rPr/>
        <w:t>undertaken</w:t>
      </w:r>
      <w:r>
        <w:rPr>
          <w:spacing w:val="-17"/>
        </w:rPr>
        <w:t> </w:t>
      </w:r>
      <w:r>
        <w:rPr/>
        <w:t>over</w:t>
      </w:r>
      <w:r>
        <w:rPr>
          <w:spacing w:val="-15"/>
        </w:rPr>
        <w:t> </w:t>
      </w:r>
      <w:r>
        <w:rPr/>
        <w:t>the</w:t>
      </w:r>
      <w:r>
        <w:rPr>
          <w:spacing w:val="-15"/>
        </w:rPr>
        <w:t> </w:t>
      </w:r>
      <w:r>
        <w:rPr/>
        <w:t>next</w:t>
      </w:r>
      <w:r>
        <w:rPr>
          <w:spacing w:val="-15"/>
        </w:rPr>
        <w:t> </w:t>
      </w:r>
      <w:r>
        <w:rPr/>
        <w:t>few</w:t>
      </w:r>
      <w:r>
        <w:rPr>
          <w:spacing w:val="-17"/>
        </w:rPr>
        <w:t> </w:t>
      </w:r>
      <w:r>
        <w:rPr/>
        <w:t>years:</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spacing w:before="207"/>
        <w:ind w:left="791" w:right="0" w:firstLine="0"/>
        <w:jc w:val="both"/>
        <w:rPr>
          <w:sz w:val="18"/>
        </w:rPr>
      </w:pPr>
      <w:r>
        <w:rPr>
          <w:sz w:val="18"/>
        </w:rPr>
        <w:t>Road &amp; Drainage Works</w:t>
      </w:r>
    </w:p>
    <w:p>
      <w:pPr>
        <w:spacing w:after="0"/>
        <w:jc w:val="both"/>
        <w:rPr>
          <w:sz w:val="18"/>
        </w:rPr>
        <w:sectPr>
          <w:type w:val="continuous"/>
          <w:pgSz w:w="11910" w:h="16840"/>
          <w:pgMar w:top="800" w:bottom="280" w:left="500" w:right="520"/>
        </w:sectPr>
      </w:pPr>
    </w:p>
    <w:p>
      <w:pPr>
        <w:pStyle w:val="BodyText"/>
        <w:spacing w:before="4"/>
        <w:rPr>
          <w:sz w:val="18"/>
        </w:rPr>
      </w:pPr>
    </w:p>
    <w:p>
      <w:pPr>
        <w:pStyle w:val="BodyText"/>
        <w:ind w:left="128"/>
        <w:rPr>
          <w:sz w:val="20"/>
        </w:rPr>
      </w:pPr>
      <w:r>
        <w:rPr>
          <w:sz w:val="20"/>
        </w:rPr>
        <w:pict>
          <v:group style="width:532.85pt;height:23.8pt;mso-position-horizontal-relative:char;mso-position-vertical-relative:line" coordorigin="0,0" coordsize="10657,476">
            <v:shape style="position:absolute;left:0;top:14;width:10654;height:447" coordorigin="0,14" coordsize="10654,447" path="m6950,14l5094,14,5094,14,3241,14,0,14,0,461,3241,461,5094,461,5094,461,6950,461,6950,14xm10654,14l8731,14,6950,14,6950,461,8731,461,10654,461,10654,14xe" filled="true" fillcolor="#006a4d" stroked="false">
              <v:path arrowok="t"/>
              <v:fill type="solid"/>
            </v:shape>
            <v:shape style="position:absolute;left:0;top:0;width:10657;height:476" coordorigin="0,0" coordsize="10657,476" path="m6950,461l5111,461,5097,461,5097,461,3255,461,3241,461,0,461,0,475,3241,475,3255,475,5097,475,5097,475,5111,475,6950,475,6950,461xm6950,0l5111,0,5097,0,5097,0,3255,0,3241,0,0,0,0,14,3241,14,3255,14,5097,14,5097,14,5111,14,6950,14,6950,0xm10656,461l8745,461,8731,461,6964,461,6950,461,6950,475,6964,475,8731,475,8745,475,10656,475,10656,461xm10656,0l8745,0,8731,0,6964,0,6950,0,6950,14,6964,14,8731,14,8745,14,10656,14,10656,0xe" filled="true" fillcolor="#69bd28" stroked="false">
              <v:path arrowok="t"/>
              <v:fill type="solid"/>
            </v:shape>
            <v:shape style="position:absolute;left:974;top:129;width:1310;height:216" type="#_x0000_t202" filled="false" stroked="false">
              <v:textbox inset="0,0,0,0">
                <w:txbxContent>
                  <w:p>
                    <w:pPr>
                      <w:spacing w:before="4"/>
                      <w:ind w:left="0" w:right="0" w:firstLine="0"/>
                      <w:jc w:val="left"/>
                      <w:rPr>
                        <w:b/>
                        <w:sz w:val="18"/>
                      </w:rPr>
                    </w:pPr>
                    <w:r>
                      <w:rPr>
                        <w:b/>
                        <w:color w:val="FFFFFF"/>
                        <w:w w:val="110"/>
                        <w:sz w:val="18"/>
                      </w:rPr>
                      <w:t>Expense Head</w:t>
                    </w:r>
                  </w:p>
                </w:txbxContent>
              </v:textbox>
              <w10:wrap type="none"/>
            </v:shape>
            <v:shape style="position:absolute;left:3293;top:21;width:3436;height:432" type="#_x0000_t202" filled="false" stroked="false">
              <v:textbox inset="0,0,0,0">
                <w:txbxContent>
                  <w:p>
                    <w:pPr>
                      <w:tabs>
                        <w:tab w:pos="2285" w:val="left" w:leader="none"/>
                      </w:tabs>
                      <w:spacing w:line="269" w:lineRule="exact" w:before="2"/>
                      <w:ind w:left="0" w:right="0" w:firstLine="0"/>
                      <w:jc w:val="left"/>
                      <w:rPr>
                        <w:b/>
                        <w:sz w:val="18"/>
                      </w:rPr>
                    </w:pPr>
                    <w:r>
                      <w:rPr>
                        <w:b/>
                        <w:color w:val="FFFFFF"/>
                        <w:w w:val="105"/>
                        <w:sz w:val="18"/>
                      </w:rPr>
                      <w:t>Total Cost</w:t>
                    </w:r>
                    <w:r>
                      <w:rPr>
                        <w:b/>
                        <w:color w:val="FFFFFF"/>
                        <w:spacing w:val="16"/>
                        <w:w w:val="105"/>
                        <w:sz w:val="18"/>
                      </w:rPr>
                      <w:t> </w:t>
                    </w:r>
                    <w:r>
                      <w:rPr>
                        <w:b/>
                        <w:color w:val="FFFFFF"/>
                        <w:w w:val="105"/>
                        <w:sz w:val="18"/>
                      </w:rPr>
                      <w:t>(INR</w:t>
                    </w:r>
                    <w:r>
                      <w:rPr>
                        <w:b/>
                        <w:color w:val="FFFFFF"/>
                        <w:spacing w:val="8"/>
                        <w:w w:val="105"/>
                        <w:sz w:val="18"/>
                      </w:rPr>
                      <w:t> </w:t>
                    </w:r>
                    <w:r>
                      <w:rPr>
                        <w:b/>
                        <w:color w:val="FFFFFF"/>
                        <w:w w:val="105"/>
                        <w:sz w:val="18"/>
                      </w:rPr>
                      <w:t>Mn)</w:t>
                      <w:tab/>
                    </w:r>
                    <w:r>
                      <w:rPr>
                        <w:b/>
                        <w:color w:val="FFFFFF"/>
                        <w:w w:val="105"/>
                        <w:position w:val="11"/>
                        <w:sz w:val="18"/>
                      </w:rPr>
                      <w:t>Total</w:t>
                    </w:r>
                    <w:r>
                      <w:rPr>
                        <w:b/>
                        <w:color w:val="FFFFFF"/>
                        <w:spacing w:val="-1"/>
                        <w:w w:val="105"/>
                        <w:position w:val="11"/>
                        <w:sz w:val="18"/>
                      </w:rPr>
                      <w:t> </w:t>
                    </w:r>
                    <w:r>
                      <w:rPr>
                        <w:b/>
                        <w:color w:val="FFFFFF"/>
                        <w:w w:val="105"/>
                        <w:position w:val="11"/>
                        <w:sz w:val="18"/>
                      </w:rPr>
                      <w:t>Cost</w:t>
                    </w:r>
                  </w:p>
                  <w:p>
                    <w:pPr>
                      <w:spacing w:line="159" w:lineRule="exact" w:before="0"/>
                      <w:ind w:left="2040" w:right="0" w:firstLine="0"/>
                      <w:jc w:val="left"/>
                      <w:rPr>
                        <w:b/>
                        <w:sz w:val="18"/>
                      </w:rPr>
                    </w:pPr>
                    <w:r>
                      <w:rPr>
                        <w:b/>
                        <w:color w:val="FFFFFF"/>
                        <w:w w:val="110"/>
                        <w:sz w:val="18"/>
                      </w:rPr>
                      <w:t>Spent (INR Mn)</w:t>
                    </w:r>
                  </w:p>
                </w:txbxContent>
              </v:textbox>
              <w10:wrap type="none"/>
            </v:shape>
            <v:shape style="position:absolute;left:6993;top:21;width:1713;height:432" type="#_x0000_t202" filled="false" stroked="false">
              <v:textbox inset="0,0,0,0">
                <w:txbxContent>
                  <w:p>
                    <w:pPr>
                      <w:spacing w:line="247" w:lineRule="auto" w:before="4"/>
                      <w:ind w:left="443" w:right="-20" w:hanging="444"/>
                      <w:jc w:val="left"/>
                      <w:rPr>
                        <w:b/>
                        <w:sz w:val="18"/>
                      </w:rPr>
                    </w:pPr>
                    <w:r>
                      <w:rPr>
                        <w:b/>
                        <w:color w:val="FFFFFF"/>
                        <w:w w:val="110"/>
                        <w:sz w:val="18"/>
                      </w:rPr>
                      <w:t>Total Pending </w:t>
                    </w:r>
                    <w:r>
                      <w:rPr>
                        <w:b/>
                        <w:color w:val="FFFFFF"/>
                        <w:spacing w:val="-4"/>
                        <w:w w:val="110"/>
                        <w:sz w:val="18"/>
                      </w:rPr>
                      <w:t>Cost </w:t>
                    </w:r>
                    <w:r>
                      <w:rPr>
                        <w:b/>
                        <w:color w:val="FFFFFF"/>
                        <w:w w:val="110"/>
                        <w:sz w:val="18"/>
                      </w:rPr>
                      <w:t>(INR Mn)</w:t>
                    </w:r>
                  </w:p>
                </w:txbxContent>
              </v:textbox>
              <w10:wrap type="none"/>
            </v:shape>
            <v:shape style="position:absolute;left:9175;top:21;width:1052;height:432" type="#_x0000_t202" filled="false" stroked="false">
              <v:textbox inset="0,0,0,0">
                <w:txbxContent>
                  <w:p>
                    <w:pPr>
                      <w:spacing w:line="247" w:lineRule="auto" w:before="4"/>
                      <w:ind w:left="0" w:right="0" w:firstLine="38"/>
                      <w:jc w:val="left"/>
                      <w:rPr>
                        <w:b/>
                        <w:sz w:val="18"/>
                      </w:rPr>
                    </w:pPr>
                    <w:r>
                      <w:rPr>
                        <w:b/>
                        <w:color w:val="FFFFFF"/>
                        <w:w w:val="105"/>
                        <w:sz w:val="18"/>
                      </w:rPr>
                      <w:t>Quarter of Completion</w:t>
                    </w:r>
                  </w:p>
                </w:txbxContent>
              </v:textbox>
              <w10:wrap type="none"/>
            </v:shape>
          </v:group>
        </w:pict>
      </w:r>
      <w:r>
        <w:rPr>
          <w:sz w:val="20"/>
        </w:rPr>
      </w:r>
    </w:p>
    <w:p>
      <w:pPr>
        <w:tabs>
          <w:tab w:pos="4056" w:val="left" w:leader="none"/>
          <w:tab w:pos="5911" w:val="left" w:leader="none"/>
          <w:tab w:pos="7729" w:val="left" w:leader="none"/>
          <w:tab w:pos="9335" w:val="left" w:leader="none"/>
        </w:tabs>
        <w:spacing w:before="14"/>
        <w:ind w:left="938" w:right="0" w:firstLine="0"/>
        <w:jc w:val="left"/>
        <w:rPr>
          <w:sz w:val="18"/>
        </w:rPr>
      </w:pPr>
      <w:r>
        <w:rPr/>
        <w:pict>
          <v:rect style="position:absolute;margin-left:30.720001pt;margin-top:13.230675pt;width:533.524025pt;height:.72pt;mso-position-horizontal-relative:page;mso-position-vertical-relative:paragraph;z-index:-15555584;mso-wrap-distance-left:0;mso-wrap-distance-right:0" filled="true" fillcolor="#69bd28" stroked="false">
            <v:fill type="solid"/>
            <w10:wrap type="topAndBottom"/>
          </v:rect>
        </w:pict>
      </w:r>
      <w:r>
        <w:rPr>
          <w:w w:val="105"/>
          <w:sz w:val="18"/>
        </w:rPr>
        <w:t>Park</w:t>
      </w:r>
      <w:r>
        <w:rPr>
          <w:spacing w:val="-23"/>
          <w:w w:val="105"/>
          <w:sz w:val="18"/>
        </w:rPr>
        <w:t> </w:t>
      </w:r>
      <w:r>
        <w:rPr>
          <w:w w:val="105"/>
          <w:sz w:val="18"/>
        </w:rPr>
        <w:t>Lobby</w:t>
      </w:r>
      <w:r>
        <w:rPr>
          <w:spacing w:val="-22"/>
          <w:w w:val="105"/>
          <w:sz w:val="18"/>
        </w:rPr>
        <w:t> </w:t>
      </w:r>
      <w:r>
        <w:rPr>
          <w:w w:val="105"/>
          <w:sz w:val="18"/>
        </w:rPr>
        <w:t>Upgrade</w:t>
        <w:tab/>
        <w:t>94.26</w:t>
        <w:tab/>
        <w:t>48.78</w:t>
        <w:tab/>
        <w:t>45.48</w:t>
        <w:tab/>
        <w:t>Q2, FY</w:t>
      </w:r>
      <w:r>
        <w:rPr>
          <w:spacing w:val="-4"/>
          <w:w w:val="105"/>
          <w:sz w:val="18"/>
        </w:rPr>
        <w:t> </w:t>
      </w:r>
      <w:r>
        <w:rPr>
          <w:w w:val="105"/>
          <w:sz w:val="18"/>
        </w:rPr>
        <w:t>2021</w:t>
      </w:r>
    </w:p>
    <w:p>
      <w:pPr>
        <w:spacing w:before="0"/>
        <w:ind w:left="220" w:right="0" w:firstLine="0"/>
        <w:jc w:val="left"/>
        <w:rPr>
          <w:i/>
          <w:sz w:val="16"/>
        </w:rPr>
      </w:pPr>
      <w:r>
        <w:rPr>
          <w:i/>
          <w:sz w:val="16"/>
        </w:rPr>
        <w:t>Source </w:t>
      </w:r>
      <w:r>
        <w:rPr>
          <w:i/>
          <w:w w:val="105"/>
          <w:sz w:val="16"/>
        </w:rPr>
        <w:t>– </w:t>
      </w:r>
      <w:r>
        <w:rPr>
          <w:i/>
          <w:sz w:val="16"/>
        </w:rPr>
        <w:t>Information provided by the Client</w:t>
      </w:r>
    </w:p>
    <w:p>
      <w:pPr>
        <w:pStyle w:val="BodyText"/>
        <w:spacing w:before="3"/>
        <w:rPr>
          <w:i/>
          <w:sz w:val="26"/>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52" w:id="104"/>
      <w:bookmarkEnd w:id="104"/>
      <w:r>
        <w:rPr/>
      </w:r>
      <w:bookmarkStart w:name="_bookmark52" w:id="105"/>
      <w:bookmarkEnd w:id="105"/>
      <w:r>
        <w:rPr>
          <w:color w:val="1F664D"/>
          <w:sz w:val="22"/>
        </w:rPr>
        <w:t>Pro</w:t>
      </w:r>
      <w:r>
        <w:rPr>
          <w:color w:val="1F664D"/>
          <w:sz w:val="22"/>
        </w:rPr>
        <w:t>perty Photographs</w:t>
      </w:r>
    </w:p>
    <w:p>
      <w:pPr>
        <w:pStyle w:val="BodyText"/>
        <w:spacing w:before="208"/>
        <w:ind w:left="767"/>
      </w:pPr>
      <w:r>
        <w:rPr/>
        <w:t>Please refer to the property photographs highlighted below:</w:t>
      </w:r>
    </w:p>
    <w:p>
      <w:pPr>
        <w:pStyle w:val="BodyText"/>
        <w:spacing w:before="5"/>
        <w:rPr>
          <w:sz w:val="24"/>
        </w:rPr>
      </w:pPr>
      <w:r>
        <w:rPr/>
        <w:pict>
          <v:group style="position:absolute;margin-left:108.860001pt;margin-top:16.15299pt;width:389.65pt;height:15pt;mso-position-horizontal-relative:page;mso-position-vertical-relative:paragraph;z-index:-15554560;mso-wrap-distance-left:0;mso-wrap-distance-right:0" coordorigin="2177,323" coordsize="7793,300">
            <v:rect style="position:absolute;left:2177;top:332;width:7793;height:291" filled="true" fillcolor="#006a4d" stroked="false">
              <v:fill type="solid"/>
            </v:rect>
            <v:rect style="position:absolute;left:2179;top:323;width:7790;height:10" filled="true" fillcolor="#000000" stroked="false">
              <v:fill type="solid"/>
            </v:rect>
            <v:shape style="position:absolute;left:2177;top:332;width:7793;height:291" type="#_x0000_t202" filled="false" stroked="false">
              <v:textbox inset="0,0,0,0">
                <w:txbxContent>
                  <w:p>
                    <w:pPr>
                      <w:spacing w:before="30"/>
                      <w:ind w:left="1917" w:right="1918" w:firstLine="0"/>
                      <w:jc w:val="center"/>
                      <w:rPr>
                        <w:sz w:val="20"/>
                      </w:rPr>
                    </w:pPr>
                    <w:r>
                      <w:rPr>
                        <w:color w:val="FFFFFF"/>
                        <w:sz w:val="20"/>
                      </w:rPr>
                      <w:t>Embassy Manyata</w:t>
                    </w:r>
                  </w:p>
                </w:txbxContent>
              </v:textbox>
              <w10:wrap type="none"/>
            </v:shape>
            <w10:wrap type="topAndBottom"/>
          </v:group>
        </w:pict>
      </w:r>
      <w:r>
        <w:rPr/>
        <w:pict>
          <v:group style="position:absolute;margin-left:111.699997pt;margin-top:39.812992pt;width:186.1pt;height:130.65pt;mso-position-horizontal-relative:page;mso-position-vertical-relative:paragraph;z-index:-15554048;mso-wrap-distance-left:0;mso-wrap-distance-right:0" coordorigin="2234,796" coordsize="3722,2613">
            <v:rect style="position:absolute;left:2239;top:801;width:3712;height:2603" filled="false" stroked="true" strokeweight=".5pt" strokecolor="#000000">
              <v:stroke dashstyle="solid"/>
            </v:rect>
            <v:shape style="position:absolute;left:2388;top:879;width:3413;height:2359" type="#_x0000_t75" stroked="false">
              <v:imagedata r:id="rId75" o:title=""/>
            </v:shape>
            <w10:wrap type="topAndBottom"/>
          </v:group>
        </w:pict>
      </w:r>
      <w:r>
        <w:rPr/>
        <w:pict>
          <v:group style="position:absolute;margin-left:306.700012pt;margin-top:38.252991pt;width:186.1pt;height:130.65pt;mso-position-horizontal-relative:page;mso-position-vertical-relative:paragraph;z-index:-15553536;mso-wrap-distance-left:0;mso-wrap-distance-right:0" coordorigin="6134,765" coordsize="3722,2613">
            <v:rect style="position:absolute;left:6139;top:770;width:3712;height:2603" filled="false" stroked="true" strokeweight=".5pt" strokecolor="#000000">
              <v:stroke dashstyle="solid"/>
            </v:rect>
            <v:shape style="position:absolute;left:6288;top:848;width:3413;height:2448" type="#_x0000_t75" stroked="false">
              <v:imagedata r:id="rId76" o:title=""/>
            </v:shape>
            <w10:wrap type="topAndBottom"/>
          </v:group>
        </w:pict>
      </w:r>
    </w:p>
    <w:p>
      <w:pPr>
        <w:pStyle w:val="BodyText"/>
        <w:spacing w:before="4"/>
        <w:rPr>
          <w:sz w:val="6"/>
        </w:rPr>
      </w:pPr>
    </w:p>
    <w:p>
      <w:pPr>
        <w:pStyle w:val="BodyText"/>
        <w:spacing w:before="4"/>
        <w:rPr>
          <w:sz w:val="9"/>
        </w:rPr>
      </w:pPr>
    </w:p>
    <w:p>
      <w:pPr>
        <w:tabs>
          <w:tab w:pos="6598" w:val="left" w:leader="none"/>
        </w:tabs>
        <w:spacing w:before="104"/>
        <w:ind w:left="2001" w:right="0" w:firstLine="0"/>
        <w:jc w:val="left"/>
        <w:rPr>
          <w:sz w:val="18"/>
        </w:rPr>
      </w:pPr>
      <w:r>
        <w:rPr>
          <w:sz w:val="18"/>
        </w:rPr>
        <w:t>External</w:t>
      </w:r>
      <w:r>
        <w:rPr>
          <w:spacing w:val="-35"/>
          <w:sz w:val="18"/>
        </w:rPr>
        <w:t> </w:t>
      </w:r>
      <w:r>
        <w:rPr>
          <w:sz w:val="18"/>
        </w:rPr>
        <w:t>view</w:t>
      </w:r>
      <w:r>
        <w:rPr>
          <w:spacing w:val="-35"/>
          <w:sz w:val="18"/>
        </w:rPr>
        <w:t> </w:t>
      </w:r>
      <w:r>
        <w:rPr>
          <w:sz w:val="18"/>
        </w:rPr>
        <w:t>of</w:t>
      </w:r>
      <w:r>
        <w:rPr>
          <w:spacing w:val="-35"/>
          <w:sz w:val="18"/>
        </w:rPr>
        <w:t> </w:t>
      </w:r>
      <w:r>
        <w:rPr>
          <w:sz w:val="18"/>
        </w:rPr>
        <w:t>the</w:t>
      </w:r>
      <w:r>
        <w:rPr>
          <w:spacing w:val="-34"/>
          <w:sz w:val="18"/>
        </w:rPr>
        <w:t> </w:t>
      </w:r>
      <w:r>
        <w:rPr>
          <w:sz w:val="18"/>
        </w:rPr>
        <w:t>subject</w:t>
      </w:r>
      <w:r>
        <w:rPr>
          <w:spacing w:val="-36"/>
          <w:sz w:val="18"/>
        </w:rPr>
        <w:t> </w:t>
      </w:r>
      <w:r>
        <w:rPr>
          <w:sz w:val="18"/>
        </w:rPr>
        <w:t>property</w:t>
      </w:r>
      <w:r>
        <w:rPr>
          <w:spacing w:val="-35"/>
          <w:sz w:val="18"/>
        </w:rPr>
        <w:t> </w:t>
      </w:r>
      <w:r>
        <w:rPr>
          <w:sz w:val="18"/>
        </w:rPr>
        <w:t>(SP)</w:t>
        <w:tab/>
        <w:t>External view of the</w:t>
      </w:r>
      <w:r>
        <w:rPr>
          <w:spacing w:val="-15"/>
          <w:sz w:val="18"/>
        </w:rPr>
        <w:t> </w:t>
      </w:r>
      <w:r>
        <w:rPr>
          <w:sz w:val="18"/>
        </w:rPr>
        <w:t>SP</w:t>
      </w:r>
    </w:p>
    <w:p>
      <w:pPr>
        <w:pStyle w:val="BodyText"/>
        <w:spacing w:before="9"/>
        <w:rPr>
          <w:sz w:val="15"/>
        </w:rPr>
      </w:pPr>
      <w:r>
        <w:rPr/>
        <w:pict>
          <v:group style="position:absolute;margin-left:113.25pt;margin-top:11.114707pt;width:186.1pt;height:130.65pt;mso-position-horizontal-relative:page;mso-position-vertical-relative:paragraph;z-index:-15553024;mso-wrap-distance-left:0;mso-wrap-distance-right:0" coordorigin="2265,222" coordsize="3722,2613">
            <v:rect style="position:absolute;left:2270;top:227;width:3712;height:2603" filled="false" stroked="true" strokeweight=".5pt" strokecolor="#000000">
              <v:stroke dashstyle="solid"/>
            </v:rect>
            <v:shape style="position:absolute;left:2419;top:305;width:3413;height:2444" type="#_x0000_t75" stroked="false">
              <v:imagedata r:id="rId77" o:title=""/>
            </v:shape>
            <w10:wrap type="topAndBottom"/>
          </v:group>
        </w:pict>
      </w:r>
      <w:r>
        <w:rPr/>
        <w:pict>
          <v:group style="position:absolute;margin-left:308.75pt;margin-top:11.914707pt;width:186.1pt;height:130.65pt;mso-position-horizontal-relative:page;mso-position-vertical-relative:paragraph;z-index:-15552512;mso-wrap-distance-left:0;mso-wrap-distance-right:0" coordorigin="6175,238" coordsize="3722,2613">
            <v:rect style="position:absolute;left:6180;top:243;width:3712;height:2603" filled="false" stroked="true" strokeweight=".5pt" strokecolor="#000000">
              <v:stroke dashstyle="solid"/>
            </v:rect>
            <v:shape style="position:absolute;left:6329;top:320;width:3415;height:2443" type="#_x0000_t75" stroked="false">
              <v:imagedata r:id="rId78" o:title=""/>
            </v:shape>
            <w10:wrap type="topAndBottom"/>
          </v:group>
        </w:pict>
      </w:r>
    </w:p>
    <w:p>
      <w:pPr>
        <w:tabs>
          <w:tab w:pos="4059" w:val="left" w:leader="none"/>
        </w:tabs>
        <w:spacing w:before="79"/>
        <w:ind w:left="761" w:right="0" w:firstLine="0"/>
        <w:jc w:val="center"/>
        <w:rPr>
          <w:sz w:val="18"/>
        </w:rPr>
      </w:pPr>
      <w:r>
        <w:rPr>
          <w:sz w:val="18"/>
        </w:rPr>
        <w:t>External</w:t>
      </w:r>
      <w:r>
        <w:rPr>
          <w:spacing w:val="-24"/>
          <w:sz w:val="18"/>
        </w:rPr>
        <w:t> </w:t>
      </w:r>
      <w:r>
        <w:rPr>
          <w:sz w:val="18"/>
        </w:rPr>
        <w:t>view</w:t>
      </w:r>
      <w:r>
        <w:rPr>
          <w:spacing w:val="-24"/>
          <w:sz w:val="18"/>
        </w:rPr>
        <w:t> </w:t>
      </w:r>
      <w:r>
        <w:rPr>
          <w:sz w:val="18"/>
        </w:rPr>
        <w:t>of</w:t>
      </w:r>
      <w:r>
        <w:rPr>
          <w:spacing w:val="-22"/>
          <w:sz w:val="18"/>
        </w:rPr>
        <w:t> </w:t>
      </w:r>
      <w:r>
        <w:rPr>
          <w:sz w:val="18"/>
        </w:rPr>
        <w:t>the</w:t>
      </w:r>
      <w:r>
        <w:rPr>
          <w:spacing w:val="-23"/>
          <w:sz w:val="18"/>
        </w:rPr>
        <w:t> </w:t>
      </w:r>
      <w:r>
        <w:rPr>
          <w:sz w:val="18"/>
        </w:rPr>
        <w:t>SP</w:t>
        <w:tab/>
        <w:t>View of recently completed NXT</w:t>
      </w:r>
      <w:r>
        <w:rPr>
          <w:spacing w:val="-26"/>
          <w:sz w:val="18"/>
        </w:rPr>
        <w:t> </w:t>
      </w:r>
      <w:r>
        <w:rPr>
          <w:sz w:val="18"/>
        </w:rPr>
        <w:t>block</w:t>
      </w:r>
    </w:p>
    <w:p>
      <w:pPr>
        <w:pStyle w:val="BodyText"/>
        <w:spacing w:before="3"/>
        <w:rPr>
          <w:sz w:val="13"/>
        </w:rPr>
      </w:pPr>
      <w:r>
        <w:rPr/>
        <w:pict>
          <v:group style="position:absolute;margin-left:112.449997pt;margin-top:9.689805pt;width:186.1pt;height:130.65pt;mso-position-horizontal-relative:page;mso-position-vertical-relative:paragraph;z-index:-15552000;mso-wrap-distance-left:0;mso-wrap-distance-right:0" coordorigin="2249,194" coordsize="3722,2613">
            <v:rect style="position:absolute;left:2254;top:198;width:3712;height:2603" filled="false" stroked="true" strokeweight=".5pt" strokecolor="#000000">
              <v:stroke dashstyle="solid"/>
            </v:rect>
            <v:shape style="position:absolute;left:2403;top:276;width:3415;height:2448" type="#_x0000_t75" stroked="false">
              <v:imagedata r:id="rId79" o:title=""/>
            </v:shape>
            <w10:wrap type="topAndBottom"/>
          </v:group>
        </w:pict>
      </w:r>
      <w:r>
        <w:rPr/>
        <w:pict>
          <v:group style="position:absolute;margin-left:312.850006pt;margin-top:11.669805pt;width:186.1pt;height:130.65pt;mso-position-horizontal-relative:page;mso-position-vertical-relative:paragraph;z-index:-15551488;mso-wrap-distance-left:0;mso-wrap-distance-right:0" coordorigin="6257,233" coordsize="3722,2613">
            <v:rect style="position:absolute;left:6262;top:238;width:3712;height:2603" filled="false" stroked="true" strokeweight=".5pt" strokecolor="#000000">
              <v:stroke dashstyle="solid"/>
            </v:rect>
            <v:shape style="position:absolute;left:6411;top:315;width:3415;height:2427" type="#_x0000_t75" stroked="false">
              <v:imagedata r:id="rId80" o:title=""/>
            </v:shape>
            <w10:wrap type="topAndBottom"/>
          </v:group>
        </w:pict>
      </w:r>
    </w:p>
    <w:p>
      <w:pPr>
        <w:tabs>
          <w:tab w:pos="4058" w:val="left" w:leader="none"/>
        </w:tabs>
        <w:spacing w:before="0"/>
        <w:ind w:left="692" w:right="0" w:firstLine="0"/>
        <w:jc w:val="center"/>
        <w:rPr>
          <w:sz w:val="18"/>
        </w:rPr>
      </w:pPr>
      <w:r>
        <w:rPr>
          <w:sz w:val="18"/>
        </w:rPr>
        <w:t>View</w:t>
      </w:r>
      <w:r>
        <w:rPr>
          <w:spacing w:val="-18"/>
          <w:sz w:val="18"/>
        </w:rPr>
        <w:t> </w:t>
      </w:r>
      <w:r>
        <w:rPr>
          <w:sz w:val="18"/>
        </w:rPr>
        <w:t>of</w:t>
      </w:r>
      <w:r>
        <w:rPr>
          <w:spacing w:val="-16"/>
          <w:sz w:val="18"/>
        </w:rPr>
        <w:t> </w:t>
      </w:r>
      <w:r>
        <w:rPr>
          <w:sz w:val="18"/>
        </w:rPr>
        <w:t>internal</w:t>
      </w:r>
      <w:r>
        <w:rPr>
          <w:spacing w:val="-17"/>
          <w:sz w:val="18"/>
        </w:rPr>
        <w:t> </w:t>
      </w:r>
      <w:r>
        <w:rPr>
          <w:sz w:val="18"/>
        </w:rPr>
        <w:t>access</w:t>
      </w:r>
      <w:r>
        <w:rPr>
          <w:spacing w:val="-17"/>
          <w:sz w:val="18"/>
        </w:rPr>
        <w:t> </w:t>
      </w:r>
      <w:r>
        <w:rPr>
          <w:sz w:val="18"/>
        </w:rPr>
        <w:t>road</w:t>
        <w:tab/>
        <w:t>View of the primary access</w:t>
      </w:r>
      <w:r>
        <w:rPr>
          <w:spacing w:val="-27"/>
          <w:sz w:val="18"/>
        </w:rPr>
        <w:t> </w:t>
      </w:r>
      <w:r>
        <w:rPr>
          <w:sz w:val="18"/>
        </w:rPr>
        <w:t>road/entrance</w:t>
      </w:r>
    </w:p>
    <w:p>
      <w:pPr>
        <w:pStyle w:val="BodyText"/>
        <w:spacing w:before="8"/>
        <w:rPr>
          <w:sz w:val="9"/>
        </w:rPr>
      </w:pPr>
      <w:r>
        <w:rPr/>
        <w:pict>
          <v:shape style="position:absolute;margin-left:108.260002pt;margin-top:7.600479pt;width:390.25pt;height:.5pt;mso-position-horizontal-relative:page;mso-position-vertical-relative:paragraph;z-index:-15550976;mso-wrap-distance-left:0;mso-wrap-distance-right:0" coordorigin="2165,152" coordsize="7805,10" path="m9970,152l5985,152,5980,152,5970,152,2165,152,2165,162,5970,162,5980,162,5985,162,9970,162,9970,152xe" filled="true" fillcolor="#92d050" stroked="false">
            <v:path arrowok="t"/>
            <v:fill type="solid"/>
            <w10:wrap type="topAndBottom"/>
          </v:shape>
        </w:pict>
      </w:r>
    </w:p>
    <w:p>
      <w:pPr>
        <w:spacing w:after="0"/>
        <w:rPr>
          <w:sz w:val="9"/>
        </w:rPr>
        <w:sectPr>
          <w:pgSz w:w="11910" w:h="16840"/>
          <w:pgMar w:header="720" w:footer="842" w:top="1660" w:bottom="1040" w:left="500" w:right="520"/>
        </w:sectPr>
      </w:pPr>
    </w:p>
    <w:p>
      <w:pPr>
        <w:pStyle w:val="BodyText"/>
        <w:spacing w:before="7"/>
        <w:rPr>
          <w:sz w:val="9"/>
        </w:rPr>
      </w:pPr>
    </w:p>
    <w:p>
      <w:pPr>
        <w:pStyle w:val="ListParagraph"/>
        <w:numPr>
          <w:ilvl w:val="1"/>
          <w:numId w:val="14"/>
        </w:numPr>
        <w:tabs>
          <w:tab w:pos="796" w:val="left" w:leader="none"/>
          <w:tab w:pos="797" w:val="left" w:leader="none"/>
        </w:tabs>
        <w:spacing w:line="240" w:lineRule="auto" w:before="106" w:after="0"/>
        <w:ind w:left="796" w:right="0" w:hanging="577"/>
        <w:jc w:val="left"/>
        <w:rPr>
          <w:color w:val="1F664D"/>
          <w:sz w:val="22"/>
        </w:rPr>
      </w:pPr>
      <w:bookmarkStart w:name="_bookmark53" w:id="106"/>
      <w:bookmarkEnd w:id="106"/>
      <w:r>
        <w:rPr/>
      </w:r>
      <w:bookmarkStart w:name="_bookmark53" w:id="107"/>
      <w:bookmarkEnd w:id="107"/>
      <w:r>
        <w:rPr>
          <w:color w:val="1F6647"/>
          <w:sz w:val="22"/>
        </w:rPr>
        <w:t>Tena</w:t>
      </w:r>
      <w:r>
        <w:rPr>
          <w:color w:val="1F6647"/>
          <w:sz w:val="22"/>
        </w:rPr>
        <w:t>ncy Analysis</w:t>
      </w:r>
    </w:p>
    <w:p>
      <w:pPr>
        <w:pStyle w:val="BodyText"/>
        <w:spacing w:before="3"/>
        <w:rPr>
          <w:sz w:val="28"/>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54" w:id="108"/>
      <w:bookmarkEnd w:id="108"/>
      <w:r>
        <w:rPr/>
      </w:r>
      <w:bookmarkStart w:name="_bookmark54" w:id="109"/>
      <w:bookmarkEnd w:id="109"/>
      <w:r>
        <w:rPr>
          <w:color w:val="1F664D"/>
          <w:sz w:val="22"/>
        </w:rPr>
        <w:t>Histori</w:t>
      </w:r>
      <w:r>
        <w:rPr>
          <w:color w:val="1F664D"/>
          <w:sz w:val="22"/>
        </w:rPr>
        <w:t>cal Committed Occupancy Rates</w:t>
      </w:r>
    </w:p>
    <w:p>
      <w:pPr>
        <w:pStyle w:val="BodyText"/>
        <w:spacing w:before="208"/>
        <w:ind w:left="760"/>
        <w:jc w:val="both"/>
      </w:pPr>
      <w:r>
        <w:rPr/>
        <w:t>The table below highlights the historical occupancy rates at the subject development:</w:t>
      </w:r>
    </w:p>
    <w:p>
      <w:pPr>
        <w:pStyle w:val="BodyText"/>
        <w:spacing w:before="2"/>
        <w:rPr>
          <w:sz w:val="28"/>
        </w:rPr>
      </w:pPr>
    </w:p>
    <w:tbl>
      <w:tblPr>
        <w:tblW w:w="0" w:type="auto"/>
        <w:jc w:val="left"/>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29"/>
        <w:gridCol w:w="2620"/>
        <w:gridCol w:w="2616"/>
        <w:gridCol w:w="2613"/>
      </w:tblGrid>
      <w:tr>
        <w:trPr>
          <w:trHeight w:val="299" w:hRule="atLeast"/>
        </w:trPr>
        <w:tc>
          <w:tcPr>
            <w:tcW w:w="2629" w:type="dxa"/>
            <w:tcBorders>
              <w:top w:val="single" w:sz="6" w:space="0" w:color="69BD28"/>
              <w:bottom w:val="single" w:sz="6" w:space="0" w:color="69BD28"/>
            </w:tcBorders>
            <w:shd w:val="clear" w:color="auto" w:fill="006A4D"/>
          </w:tcPr>
          <w:p>
            <w:pPr>
              <w:pStyle w:val="TableParagraph"/>
              <w:spacing w:before="46"/>
              <w:ind w:left="575" w:right="568"/>
              <w:rPr>
                <w:b/>
                <w:sz w:val="18"/>
              </w:rPr>
            </w:pPr>
            <w:r>
              <w:rPr>
                <w:b/>
                <w:color w:val="FFFFFF"/>
                <w:w w:val="110"/>
                <w:sz w:val="18"/>
              </w:rPr>
              <w:t>March 31, 2017</w:t>
            </w:r>
          </w:p>
        </w:tc>
        <w:tc>
          <w:tcPr>
            <w:tcW w:w="2620" w:type="dxa"/>
            <w:tcBorders>
              <w:top w:val="single" w:sz="6" w:space="0" w:color="69BD28"/>
              <w:bottom w:val="single" w:sz="6" w:space="0" w:color="69BD28"/>
            </w:tcBorders>
            <w:shd w:val="clear" w:color="auto" w:fill="006A4D"/>
          </w:tcPr>
          <w:p>
            <w:pPr>
              <w:pStyle w:val="TableParagraph"/>
              <w:spacing w:before="46"/>
              <w:ind w:left="568" w:right="567"/>
              <w:rPr>
                <w:b/>
                <w:sz w:val="18"/>
              </w:rPr>
            </w:pPr>
            <w:r>
              <w:rPr>
                <w:b/>
                <w:color w:val="FFFFFF"/>
                <w:w w:val="110"/>
                <w:sz w:val="18"/>
              </w:rPr>
              <w:t>March 31, 2018</w:t>
            </w:r>
          </w:p>
        </w:tc>
        <w:tc>
          <w:tcPr>
            <w:tcW w:w="2616" w:type="dxa"/>
            <w:tcBorders>
              <w:top w:val="single" w:sz="6" w:space="0" w:color="69BD28"/>
              <w:bottom w:val="single" w:sz="6" w:space="0" w:color="69BD28"/>
            </w:tcBorders>
            <w:shd w:val="clear" w:color="auto" w:fill="006A4D"/>
          </w:tcPr>
          <w:p>
            <w:pPr>
              <w:pStyle w:val="TableParagraph"/>
              <w:spacing w:before="46"/>
              <w:ind w:left="565" w:right="560"/>
              <w:rPr>
                <w:b/>
                <w:sz w:val="18"/>
              </w:rPr>
            </w:pPr>
            <w:r>
              <w:rPr>
                <w:b/>
                <w:color w:val="FFFFFF"/>
                <w:w w:val="110"/>
                <w:sz w:val="18"/>
              </w:rPr>
              <w:t>March 31, 2019</w:t>
            </w:r>
          </w:p>
        </w:tc>
        <w:tc>
          <w:tcPr>
            <w:tcW w:w="2613" w:type="dxa"/>
            <w:tcBorders>
              <w:top w:val="single" w:sz="6" w:space="0" w:color="69BD28"/>
              <w:bottom w:val="single" w:sz="6" w:space="0" w:color="69BD28"/>
            </w:tcBorders>
            <w:shd w:val="clear" w:color="auto" w:fill="006A4D"/>
          </w:tcPr>
          <w:p>
            <w:pPr>
              <w:pStyle w:val="TableParagraph"/>
              <w:spacing w:before="46"/>
              <w:ind w:left="564" w:right="564"/>
              <w:rPr>
                <w:b/>
                <w:sz w:val="18"/>
              </w:rPr>
            </w:pPr>
            <w:r>
              <w:rPr>
                <w:b/>
                <w:color w:val="FFFFFF"/>
                <w:w w:val="110"/>
                <w:sz w:val="18"/>
              </w:rPr>
              <w:t>March 31, 2020</w:t>
            </w:r>
          </w:p>
        </w:tc>
      </w:tr>
      <w:tr>
        <w:trPr>
          <w:trHeight w:val="296" w:hRule="atLeast"/>
        </w:trPr>
        <w:tc>
          <w:tcPr>
            <w:tcW w:w="2629" w:type="dxa"/>
            <w:tcBorders>
              <w:top w:val="single" w:sz="6" w:space="0" w:color="69BD28"/>
              <w:bottom w:val="single" w:sz="6" w:space="0" w:color="69BD28"/>
            </w:tcBorders>
          </w:tcPr>
          <w:p>
            <w:pPr>
              <w:pStyle w:val="TableParagraph"/>
              <w:spacing w:before="32"/>
              <w:ind w:left="573" w:right="568"/>
              <w:rPr>
                <w:sz w:val="20"/>
              </w:rPr>
            </w:pPr>
            <w:r>
              <w:rPr>
                <w:w w:val="110"/>
                <w:sz w:val="20"/>
              </w:rPr>
              <w:t>99.0%</w:t>
            </w:r>
          </w:p>
        </w:tc>
        <w:tc>
          <w:tcPr>
            <w:tcW w:w="2620" w:type="dxa"/>
            <w:tcBorders>
              <w:top w:val="single" w:sz="6" w:space="0" w:color="69BD28"/>
              <w:bottom w:val="single" w:sz="6" w:space="0" w:color="69BD28"/>
            </w:tcBorders>
          </w:tcPr>
          <w:p>
            <w:pPr>
              <w:pStyle w:val="TableParagraph"/>
              <w:spacing w:before="32"/>
              <w:ind w:left="567" w:right="567"/>
              <w:rPr>
                <w:sz w:val="20"/>
              </w:rPr>
            </w:pPr>
            <w:r>
              <w:rPr>
                <w:w w:val="110"/>
                <w:sz w:val="20"/>
              </w:rPr>
              <w:t>98.3%</w:t>
            </w:r>
          </w:p>
        </w:tc>
        <w:tc>
          <w:tcPr>
            <w:tcW w:w="2616" w:type="dxa"/>
            <w:tcBorders>
              <w:top w:val="single" w:sz="6" w:space="0" w:color="69BD28"/>
              <w:bottom w:val="single" w:sz="6" w:space="0" w:color="69BD28"/>
            </w:tcBorders>
          </w:tcPr>
          <w:p>
            <w:pPr>
              <w:pStyle w:val="TableParagraph"/>
              <w:spacing w:before="32"/>
              <w:ind w:left="564" w:right="563"/>
              <w:rPr>
                <w:sz w:val="20"/>
              </w:rPr>
            </w:pPr>
            <w:r>
              <w:rPr>
                <w:w w:val="110"/>
                <w:sz w:val="20"/>
              </w:rPr>
              <w:t>99.7%</w:t>
            </w:r>
          </w:p>
        </w:tc>
        <w:tc>
          <w:tcPr>
            <w:tcW w:w="2613" w:type="dxa"/>
            <w:tcBorders>
              <w:top w:val="single" w:sz="6" w:space="0" w:color="69BD28"/>
              <w:bottom w:val="single" w:sz="6" w:space="0" w:color="69BD28"/>
            </w:tcBorders>
          </w:tcPr>
          <w:p>
            <w:pPr>
              <w:pStyle w:val="TableParagraph"/>
              <w:spacing w:before="32"/>
              <w:ind w:left="562" w:right="564"/>
              <w:rPr>
                <w:sz w:val="20"/>
              </w:rPr>
            </w:pPr>
            <w:r>
              <w:rPr>
                <w:w w:val="110"/>
                <w:sz w:val="20"/>
              </w:rPr>
              <w:t>97.7%*</w:t>
            </w:r>
          </w:p>
        </w:tc>
      </w:tr>
    </w:tbl>
    <w:p>
      <w:pPr>
        <w:spacing w:line="321" w:lineRule="auto" w:before="0"/>
        <w:ind w:left="220" w:right="0" w:firstLine="0"/>
        <w:jc w:val="left"/>
        <w:rPr>
          <w:i/>
          <w:sz w:val="18"/>
        </w:rPr>
      </w:pPr>
      <w:r>
        <w:rPr>
          <w:i/>
          <w:sz w:val="18"/>
        </w:rPr>
        <w:t>Source:</w:t>
      </w:r>
      <w:r>
        <w:rPr>
          <w:i/>
          <w:spacing w:val="-21"/>
          <w:sz w:val="18"/>
        </w:rPr>
        <w:t> </w:t>
      </w:r>
      <w:r>
        <w:rPr>
          <w:i/>
          <w:sz w:val="18"/>
        </w:rPr>
        <w:t>Rent</w:t>
      </w:r>
      <w:r>
        <w:rPr>
          <w:i/>
          <w:spacing w:val="-20"/>
          <w:sz w:val="18"/>
        </w:rPr>
        <w:t> </w:t>
      </w:r>
      <w:r>
        <w:rPr>
          <w:i/>
          <w:sz w:val="18"/>
        </w:rPr>
        <w:t>rolls</w:t>
      </w:r>
      <w:r>
        <w:rPr>
          <w:i/>
          <w:spacing w:val="-21"/>
          <w:sz w:val="18"/>
        </w:rPr>
        <w:t> </w:t>
      </w:r>
      <w:r>
        <w:rPr>
          <w:i/>
          <w:sz w:val="18"/>
        </w:rPr>
        <w:t>provided</w:t>
      </w:r>
      <w:r>
        <w:rPr>
          <w:i/>
          <w:spacing w:val="-21"/>
          <w:sz w:val="18"/>
        </w:rPr>
        <w:t> </w:t>
      </w:r>
      <w:r>
        <w:rPr>
          <w:i/>
          <w:sz w:val="18"/>
        </w:rPr>
        <w:t>by</w:t>
      </w:r>
      <w:r>
        <w:rPr>
          <w:i/>
          <w:spacing w:val="-22"/>
          <w:sz w:val="18"/>
        </w:rPr>
        <w:t> </w:t>
      </w:r>
      <w:r>
        <w:rPr>
          <w:i/>
          <w:sz w:val="18"/>
        </w:rPr>
        <w:t>the</w:t>
      </w:r>
      <w:r>
        <w:rPr>
          <w:i/>
          <w:spacing w:val="-21"/>
          <w:sz w:val="18"/>
        </w:rPr>
        <w:t> </w:t>
      </w:r>
      <w:r>
        <w:rPr>
          <w:i/>
          <w:sz w:val="18"/>
        </w:rPr>
        <w:t>Client,</w:t>
      </w:r>
      <w:r>
        <w:rPr>
          <w:i/>
          <w:spacing w:val="-22"/>
          <w:sz w:val="18"/>
        </w:rPr>
        <w:t> </w:t>
      </w:r>
      <w:r>
        <w:rPr>
          <w:i/>
          <w:sz w:val="18"/>
        </w:rPr>
        <w:t>Indicative</w:t>
      </w:r>
      <w:r>
        <w:rPr>
          <w:i/>
          <w:spacing w:val="-21"/>
          <w:sz w:val="18"/>
        </w:rPr>
        <w:t> </w:t>
      </w:r>
      <w:r>
        <w:rPr>
          <w:i/>
          <w:sz w:val="18"/>
        </w:rPr>
        <w:t>of</w:t>
      </w:r>
      <w:r>
        <w:rPr>
          <w:i/>
          <w:spacing w:val="-22"/>
          <w:sz w:val="18"/>
        </w:rPr>
        <w:t> </w:t>
      </w:r>
      <w:r>
        <w:rPr>
          <w:i/>
          <w:sz w:val="18"/>
        </w:rPr>
        <w:t>committed</w:t>
      </w:r>
      <w:r>
        <w:rPr>
          <w:i/>
          <w:spacing w:val="-21"/>
          <w:sz w:val="18"/>
        </w:rPr>
        <w:t> </w:t>
      </w:r>
      <w:r>
        <w:rPr>
          <w:i/>
          <w:sz w:val="18"/>
        </w:rPr>
        <w:t>occupancy;*Relatively</w:t>
      </w:r>
      <w:r>
        <w:rPr>
          <w:i/>
          <w:spacing w:val="-22"/>
          <w:sz w:val="18"/>
        </w:rPr>
        <w:t> </w:t>
      </w:r>
      <w:r>
        <w:rPr>
          <w:i/>
          <w:sz w:val="18"/>
        </w:rPr>
        <w:t>lower</w:t>
      </w:r>
      <w:r>
        <w:rPr>
          <w:i/>
          <w:spacing w:val="-21"/>
          <w:sz w:val="18"/>
        </w:rPr>
        <w:t> </w:t>
      </w:r>
      <w:r>
        <w:rPr>
          <w:i/>
          <w:sz w:val="18"/>
        </w:rPr>
        <w:t>occupancy</w:t>
      </w:r>
      <w:r>
        <w:rPr>
          <w:i/>
          <w:spacing w:val="-21"/>
          <w:sz w:val="18"/>
        </w:rPr>
        <w:t> </w:t>
      </w:r>
      <w:r>
        <w:rPr>
          <w:i/>
          <w:sz w:val="18"/>
        </w:rPr>
        <w:t>levels</w:t>
      </w:r>
      <w:r>
        <w:rPr>
          <w:i/>
          <w:spacing w:val="-21"/>
          <w:sz w:val="18"/>
        </w:rPr>
        <w:t> </w:t>
      </w:r>
      <w:r>
        <w:rPr>
          <w:i/>
          <w:sz w:val="18"/>
        </w:rPr>
        <w:t>on</w:t>
      </w:r>
      <w:r>
        <w:rPr>
          <w:i/>
          <w:spacing w:val="-21"/>
          <w:sz w:val="18"/>
        </w:rPr>
        <w:t> </w:t>
      </w:r>
      <w:r>
        <w:rPr>
          <w:i/>
          <w:sz w:val="18"/>
        </w:rPr>
        <w:t>account</w:t>
      </w:r>
      <w:r>
        <w:rPr>
          <w:i/>
          <w:spacing w:val="-21"/>
          <w:sz w:val="18"/>
        </w:rPr>
        <w:t> </w:t>
      </w:r>
      <w:r>
        <w:rPr>
          <w:i/>
          <w:sz w:val="18"/>
        </w:rPr>
        <w:t>of</w:t>
      </w:r>
      <w:r>
        <w:rPr>
          <w:i/>
          <w:spacing w:val="-21"/>
          <w:sz w:val="18"/>
        </w:rPr>
        <w:t> </w:t>
      </w:r>
      <w:r>
        <w:rPr>
          <w:i/>
          <w:sz w:val="18"/>
        </w:rPr>
        <w:t>Front </w:t>
      </w:r>
      <w:r>
        <w:rPr>
          <w:i/>
          <w:sz w:val="18"/>
        </w:rPr>
        <w:t>Parcel </w:t>
      </w:r>
      <w:r>
        <w:rPr>
          <w:i/>
          <w:w w:val="105"/>
          <w:sz w:val="18"/>
        </w:rPr>
        <w:t>– </w:t>
      </w:r>
      <w:r>
        <w:rPr>
          <w:i/>
          <w:sz w:val="18"/>
        </w:rPr>
        <w:t>Block NXT recently getting</w:t>
      </w:r>
      <w:r>
        <w:rPr>
          <w:i/>
          <w:spacing w:val="-26"/>
          <w:sz w:val="18"/>
        </w:rPr>
        <w:t> </w:t>
      </w:r>
      <w:r>
        <w:rPr>
          <w:i/>
          <w:sz w:val="18"/>
        </w:rPr>
        <w:t>operational</w:t>
      </w:r>
    </w:p>
    <w:p>
      <w:pPr>
        <w:pStyle w:val="BodyText"/>
        <w:spacing w:before="10"/>
        <w:rPr>
          <w:i/>
          <w:sz w:val="20"/>
        </w:rPr>
      </w:pPr>
    </w:p>
    <w:p>
      <w:pPr>
        <w:pStyle w:val="BodyText"/>
        <w:spacing w:line="321" w:lineRule="auto"/>
        <w:ind w:left="760" w:right="195"/>
        <w:jc w:val="both"/>
      </w:pPr>
      <w:r>
        <w:rPr/>
        <w:t>Embassy</w:t>
      </w:r>
      <w:r>
        <w:rPr>
          <w:spacing w:val="-27"/>
        </w:rPr>
        <w:t> </w:t>
      </w:r>
      <w:r>
        <w:rPr/>
        <w:t>Manyata’s</w:t>
      </w:r>
      <w:r>
        <w:rPr>
          <w:spacing w:val="-27"/>
        </w:rPr>
        <w:t> </w:t>
      </w:r>
      <w:r>
        <w:rPr/>
        <w:t>scale,</w:t>
      </w:r>
      <w:r>
        <w:rPr>
          <w:spacing w:val="-28"/>
        </w:rPr>
        <w:t> </w:t>
      </w:r>
      <w:r>
        <w:rPr/>
        <w:t>quality</w:t>
      </w:r>
      <w:r>
        <w:rPr>
          <w:spacing w:val="-26"/>
        </w:rPr>
        <w:t> </w:t>
      </w:r>
      <w:r>
        <w:rPr/>
        <w:t>and</w:t>
      </w:r>
      <w:r>
        <w:rPr>
          <w:spacing w:val="-28"/>
        </w:rPr>
        <w:t> </w:t>
      </w:r>
      <w:r>
        <w:rPr/>
        <w:t>wide-ranging</w:t>
      </w:r>
      <w:r>
        <w:rPr>
          <w:spacing w:val="-26"/>
        </w:rPr>
        <w:t> </w:t>
      </w:r>
      <w:r>
        <w:rPr/>
        <w:t>amenities</w:t>
      </w:r>
      <w:r>
        <w:rPr>
          <w:spacing w:val="-27"/>
        </w:rPr>
        <w:t> </w:t>
      </w:r>
      <w:r>
        <w:rPr/>
        <w:t>have</w:t>
      </w:r>
      <w:r>
        <w:rPr>
          <w:spacing w:val="-28"/>
        </w:rPr>
        <w:t> </w:t>
      </w:r>
      <w:r>
        <w:rPr/>
        <w:t>enabled</w:t>
      </w:r>
      <w:r>
        <w:rPr>
          <w:spacing w:val="-27"/>
        </w:rPr>
        <w:t> </w:t>
      </w:r>
      <w:r>
        <w:rPr/>
        <w:t>it</w:t>
      </w:r>
      <w:r>
        <w:rPr>
          <w:spacing w:val="-28"/>
        </w:rPr>
        <w:t> </w:t>
      </w:r>
      <w:r>
        <w:rPr/>
        <w:t>to</w:t>
      </w:r>
      <w:r>
        <w:rPr>
          <w:spacing w:val="-28"/>
        </w:rPr>
        <w:t> </w:t>
      </w:r>
      <w:r>
        <w:rPr/>
        <w:t>attract</w:t>
      </w:r>
      <w:r>
        <w:rPr>
          <w:spacing w:val="-27"/>
        </w:rPr>
        <w:t> </w:t>
      </w:r>
      <w:r>
        <w:rPr/>
        <w:t>and</w:t>
      </w:r>
      <w:r>
        <w:rPr>
          <w:spacing w:val="-27"/>
        </w:rPr>
        <w:t> </w:t>
      </w:r>
      <w:r>
        <w:rPr/>
        <w:t>retain</w:t>
      </w:r>
      <w:r>
        <w:rPr>
          <w:spacing w:val="-28"/>
        </w:rPr>
        <w:t> </w:t>
      </w:r>
      <w:r>
        <w:rPr/>
        <w:t>both domestic</w:t>
      </w:r>
      <w:r>
        <w:rPr>
          <w:spacing w:val="-29"/>
        </w:rPr>
        <w:t> </w:t>
      </w:r>
      <w:r>
        <w:rPr/>
        <w:t>and</w:t>
      </w:r>
      <w:r>
        <w:rPr>
          <w:spacing w:val="-26"/>
        </w:rPr>
        <w:t> </w:t>
      </w:r>
      <w:r>
        <w:rPr/>
        <w:t>multi-national</w:t>
      </w:r>
      <w:r>
        <w:rPr>
          <w:spacing w:val="-28"/>
        </w:rPr>
        <w:t> </w:t>
      </w:r>
      <w:r>
        <w:rPr/>
        <w:t>marquee</w:t>
      </w:r>
      <w:r>
        <w:rPr>
          <w:spacing w:val="-28"/>
        </w:rPr>
        <w:t> </w:t>
      </w:r>
      <w:r>
        <w:rPr/>
        <w:t>tenants.</w:t>
      </w:r>
      <w:r>
        <w:rPr>
          <w:spacing w:val="-27"/>
        </w:rPr>
        <w:t> </w:t>
      </w:r>
      <w:r>
        <w:rPr/>
        <w:t>The</w:t>
      </w:r>
      <w:r>
        <w:rPr>
          <w:spacing w:val="-28"/>
        </w:rPr>
        <w:t> </w:t>
      </w:r>
      <w:r>
        <w:rPr/>
        <w:t>scalability</w:t>
      </w:r>
      <w:r>
        <w:rPr>
          <w:spacing w:val="-27"/>
        </w:rPr>
        <w:t> </w:t>
      </w:r>
      <w:r>
        <w:rPr/>
        <w:t>on</w:t>
      </w:r>
      <w:r>
        <w:rPr>
          <w:spacing w:val="-28"/>
        </w:rPr>
        <w:t> </w:t>
      </w:r>
      <w:r>
        <w:rPr/>
        <w:t>offer</w:t>
      </w:r>
      <w:r>
        <w:rPr>
          <w:spacing w:val="-28"/>
        </w:rPr>
        <w:t> </w:t>
      </w:r>
      <w:r>
        <w:rPr/>
        <w:t>has</w:t>
      </w:r>
      <w:r>
        <w:rPr>
          <w:spacing w:val="-27"/>
        </w:rPr>
        <w:t> </w:t>
      </w:r>
      <w:r>
        <w:rPr/>
        <w:t>enabled</w:t>
      </w:r>
      <w:r>
        <w:rPr>
          <w:spacing w:val="-27"/>
        </w:rPr>
        <w:t> </w:t>
      </w:r>
      <w:r>
        <w:rPr/>
        <w:t>occupiers</w:t>
      </w:r>
      <w:r>
        <w:rPr>
          <w:spacing w:val="-27"/>
        </w:rPr>
        <w:t> </w:t>
      </w:r>
      <w:r>
        <w:rPr/>
        <w:t>to</w:t>
      </w:r>
      <w:r>
        <w:rPr>
          <w:spacing w:val="-27"/>
        </w:rPr>
        <w:t> </w:t>
      </w:r>
      <w:r>
        <w:rPr/>
        <w:t>expand within the asset over the</w:t>
      </w:r>
      <w:r>
        <w:rPr>
          <w:spacing w:val="-21"/>
        </w:rPr>
        <w:t> </w:t>
      </w:r>
      <w:r>
        <w:rPr/>
        <w:t>years</w:t>
      </w:r>
    </w:p>
    <w:p>
      <w:pPr>
        <w:pStyle w:val="BodyText"/>
        <w:spacing w:before="11"/>
        <w:rPr>
          <w:sz w:val="2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55" w:id="110"/>
      <w:bookmarkEnd w:id="110"/>
      <w:r>
        <w:rPr/>
      </w:r>
      <w:bookmarkStart w:name="_bookmark55" w:id="111"/>
      <w:bookmarkEnd w:id="111"/>
      <w:r>
        <w:rPr>
          <w:color w:val="1F664D"/>
          <w:sz w:val="22"/>
        </w:rPr>
        <w:t>Le</w:t>
      </w:r>
      <w:r>
        <w:rPr>
          <w:color w:val="1F664D"/>
          <w:sz w:val="22"/>
        </w:rPr>
        <w:t>ase Expiry</w:t>
      </w:r>
      <w:r>
        <w:rPr>
          <w:color w:val="1F664D"/>
          <w:spacing w:val="-4"/>
          <w:sz w:val="22"/>
        </w:rPr>
        <w:t> </w:t>
      </w:r>
      <w:r>
        <w:rPr>
          <w:color w:val="1F664D"/>
          <w:sz w:val="22"/>
        </w:rPr>
        <w:t>Analysis</w:t>
      </w:r>
    </w:p>
    <w:p>
      <w:pPr>
        <w:pStyle w:val="BodyText"/>
        <w:spacing w:before="208"/>
        <w:ind w:left="760"/>
        <w:jc w:val="both"/>
      </w:pPr>
      <w:r>
        <w:rPr/>
        <w:t>The graph below highlights the area/leases due for expiry in the coming years:</w:t>
      </w:r>
    </w:p>
    <w:p>
      <w:pPr>
        <w:pStyle w:val="BodyText"/>
        <w:spacing w:before="2"/>
        <w:rPr>
          <w:sz w:val="24"/>
        </w:rPr>
      </w:pPr>
      <w:r>
        <w:rPr/>
        <w:pict>
          <v:group style="position:absolute;margin-left:51.959999pt;margin-top:16.031277pt;width:491.8pt;height:12.4pt;mso-position-horizontal-relative:page;mso-position-vertical-relative:paragraph;z-index:-15549952;mso-wrap-distance-left:0;mso-wrap-distance-right:0" coordorigin="1039,321" coordsize="9836,248">
            <v:rect style="position:absolute;left:1039;top:351;width:9833;height:216" filled="true" fillcolor="#006a4d" stroked="false">
              <v:fill type="solid"/>
            </v:rect>
            <v:rect style="position:absolute;left:1039;top:320;width:9836;height:29" filled="true" fillcolor="#1f6b16" stroked="false">
              <v:fill type="solid"/>
            </v:rect>
            <v:rect style="position:absolute;left:1039;top:349;width:9836;height:3" filled="true" fillcolor="#006a4d" stroked="false">
              <v:fill type="solid"/>
            </v:rect>
            <v:shape style="position:absolute;left:1039;top:349;width:9836;height:219" type="#_x0000_t202" filled="false" stroked="false">
              <v:textbox inset="0,0,0,0">
                <w:txbxContent>
                  <w:p>
                    <w:pPr>
                      <w:spacing w:before="6"/>
                      <w:ind w:left="4338" w:right="4337" w:firstLine="0"/>
                      <w:jc w:val="center"/>
                      <w:rPr>
                        <w:b/>
                        <w:sz w:val="18"/>
                      </w:rPr>
                    </w:pPr>
                    <w:r>
                      <w:rPr>
                        <w:b/>
                        <w:color w:val="FFFFFF"/>
                        <w:w w:val="105"/>
                        <w:sz w:val="18"/>
                      </w:rPr>
                      <w:t>Lease Expiry</w:t>
                    </w:r>
                  </w:p>
                </w:txbxContent>
              </v:textbox>
              <w10:wrap type="none"/>
            </v:shape>
            <w10:wrap type="topAndBottom"/>
          </v:group>
        </w:pict>
      </w:r>
    </w:p>
    <w:p>
      <w:pPr>
        <w:pStyle w:val="BodyText"/>
        <w:rPr>
          <w:sz w:val="20"/>
        </w:rPr>
      </w:pPr>
    </w:p>
    <w:p>
      <w:pPr>
        <w:pStyle w:val="BodyText"/>
        <w:spacing w:before="7"/>
        <w:rPr>
          <w:sz w:val="14"/>
        </w:rPr>
      </w:pPr>
      <w:r>
        <w:rPr/>
        <w:drawing>
          <wp:anchor distT="0" distB="0" distL="0" distR="0" allowOverlap="1" layoutInCell="1" locked="0" behindDoc="0" simplePos="0" relativeHeight="350">
            <wp:simplePos x="0" y="0"/>
            <wp:positionH relativeFrom="page">
              <wp:posOffset>790892</wp:posOffset>
            </wp:positionH>
            <wp:positionV relativeFrom="paragraph">
              <wp:posOffset>132867</wp:posOffset>
            </wp:positionV>
            <wp:extent cx="4993750" cy="1997106"/>
            <wp:effectExtent l="0" t="0" r="0" b="0"/>
            <wp:wrapTopAndBottom/>
            <wp:docPr id="81" name="image59.jpeg"/>
            <wp:cNvGraphicFramePr>
              <a:graphicFrameLocks noChangeAspect="1"/>
            </wp:cNvGraphicFramePr>
            <a:graphic>
              <a:graphicData uri="http://schemas.openxmlformats.org/drawingml/2006/picture">
                <pic:pic>
                  <pic:nvPicPr>
                    <pic:cNvPr id="82" name="image59.jpeg"/>
                    <pic:cNvPicPr/>
                  </pic:nvPicPr>
                  <pic:blipFill>
                    <a:blip r:embed="rId81" cstate="print"/>
                    <a:stretch>
                      <a:fillRect/>
                    </a:stretch>
                  </pic:blipFill>
                  <pic:spPr>
                    <a:xfrm>
                      <a:off x="0" y="0"/>
                      <a:ext cx="4993750" cy="1997106"/>
                    </a:xfrm>
                    <a:prstGeom prst="rect">
                      <a:avLst/>
                    </a:prstGeom>
                  </pic:spPr>
                </pic:pic>
              </a:graphicData>
            </a:graphic>
          </wp:anchor>
        </w:drawing>
      </w:r>
    </w:p>
    <w:p>
      <w:pPr>
        <w:pStyle w:val="BodyText"/>
        <w:spacing w:before="10"/>
        <w:rPr>
          <w:sz w:val="14"/>
        </w:rPr>
      </w:pPr>
    </w:p>
    <w:p>
      <w:pPr>
        <w:spacing w:before="104"/>
        <w:ind w:left="760" w:right="0" w:firstLine="0"/>
        <w:jc w:val="both"/>
        <w:rPr>
          <w:i/>
          <w:sz w:val="18"/>
        </w:rPr>
      </w:pPr>
      <w:r>
        <w:rPr>
          <w:i/>
          <w:sz w:val="18"/>
        </w:rPr>
        <w:t>Source: Rent Rolls and lease deeds (representative of financial year ending)</w:t>
      </w:r>
    </w:p>
    <w:p>
      <w:pPr>
        <w:pStyle w:val="BodyText"/>
        <w:spacing w:before="11"/>
        <w:rPr>
          <w:i/>
          <w:sz w:val="26"/>
        </w:rPr>
      </w:pPr>
    </w:p>
    <w:p>
      <w:pPr>
        <w:pStyle w:val="BodyText"/>
        <w:spacing w:line="321" w:lineRule="auto"/>
        <w:ind w:left="760" w:right="195"/>
        <w:jc w:val="both"/>
      </w:pPr>
      <w:r>
        <w:rPr/>
        <w:t>Consultants</w:t>
      </w:r>
      <w:r>
        <w:rPr>
          <w:spacing w:val="-17"/>
        </w:rPr>
        <w:t> </w:t>
      </w:r>
      <w:r>
        <w:rPr/>
        <w:t>have</w:t>
      </w:r>
      <w:r>
        <w:rPr>
          <w:spacing w:val="-18"/>
        </w:rPr>
        <w:t> </w:t>
      </w:r>
      <w:r>
        <w:rPr/>
        <w:t>undertaken</w:t>
      </w:r>
      <w:r>
        <w:rPr>
          <w:spacing w:val="-19"/>
        </w:rPr>
        <w:t> </w:t>
      </w:r>
      <w:r>
        <w:rPr/>
        <w:t>an</w:t>
      </w:r>
      <w:r>
        <w:rPr>
          <w:spacing w:val="-16"/>
        </w:rPr>
        <w:t> </w:t>
      </w:r>
      <w:r>
        <w:rPr/>
        <w:t>in-depth</w:t>
      </w:r>
      <w:r>
        <w:rPr>
          <w:spacing w:val="-18"/>
        </w:rPr>
        <w:t> </w:t>
      </w:r>
      <w:r>
        <w:rPr/>
        <w:t>analysis</w:t>
      </w:r>
      <w:r>
        <w:rPr>
          <w:spacing w:val="-18"/>
        </w:rPr>
        <w:t> </w:t>
      </w:r>
      <w:r>
        <w:rPr/>
        <w:t>of</w:t>
      </w:r>
      <w:r>
        <w:rPr>
          <w:spacing w:val="-17"/>
        </w:rPr>
        <w:t> </w:t>
      </w:r>
      <w:r>
        <w:rPr/>
        <w:t>the</w:t>
      </w:r>
      <w:r>
        <w:rPr>
          <w:spacing w:val="-19"/>
        </w:rPr>
        <w:t> </w:t>
      </w:r>
      <w:r>
        <w:rPr/>
        <w:t>rent</w:t>
      </w:r>
      <w:r>
        <w:rPr>
          <w:spacing w:val="-18"/>
        </w:rPr>
        <w:t> </w:t>
      </w:r>
      <w:r>
        <w:rPr/>
        <w:t>roll/</w:t>
      </w:r>
      <w:r>
        <w:rPr>
          <w:spacing w:val="-17"/>
        </w:rPr>
        <w:t> </w:t>
      </w:r>
      <w:r>
        <w:rPr/>
        <w:t>lease</w:t>
      </w:r>
      <w:r>
        <w:rPr>
          <w:spacing w:val="-19"/>
        </w:rPr>
        <w:t> </w:t>
      </w:r>
      <w:r>
        <w:rPr/>
        <w:t>deeds</w:t>
      </w:r>
      <w:r>
        <w:rPr>
          <w:spacing w:val="-17"/>
        </w:rPr>
        <w:t> </w:t>
      </w:r>
      <w:r>
        <w:rPr/>
        <w:t>shared</w:t>
      </w:r>
      <w:r>
        <w:rPr>
          <w:spacing w:val="-18"/>
        </w:rPr>
        <w:t> </w:t>
      </w:r>
      <w:r>
        <w:rPr/>
        <w:t>by</w:t>
      </w:r>
      <w:r>
        <w:rPr>
          <w:spacing w:val="-17"/>
        </w:rPr>
        <w:t> </w:t>
      </w:r>
      <w:r>
        <w:rPr/>
        <w:t>the</w:t>
      </w:r>
      <w:r>
        <w:rPr>
          <w:spacing w:val="-19"/>
        </w:rPr>
        <w:t> </w:t>
      </w:r>
      <w:r>
        <w:rPr/>
        <w:t>Client,</w:t>
      </w:r>
      <w:r>
        <w:rPr>
          <w:spacing w:val="-19"/>
        </w:rPr>
        <w:t> </w:t>
      </w:r>
      <w:r>
        <w:rPr/>
        <w:t>to understand</w:t>
      </w:r>
      <w:r>
        <w:rPr>
          <w:spacing w:val="-28"/>
        </w:rPr>
        <w:t> </w:t>
      </w:r>
      <w:r>
        <w:rPr/>
        <w:t>the</w:t>
      </w:r>
      <w:r>
        <w:rPr>
          <w:spacing w:val="-26"/>
        </w:rPr>
        <w:t> </w:t>
      </w:r>
      <w:r>
        <w:rPr/>
        <w:t>lease</w:t>
      </w:r>
      <w:r>
        <w:rPr>
          <w:spacing w:val="-26"/>
        </w:rPr>
        <w:t> </w:t>
      </w:r>
      <w:r>
        <w:rPr/>
        <w:t>expiry</w:t>
      </w:r>
      <w:r>
        <w:rPr>
          <w:spacing w:val="-26"/>
        </w:rPr>
        <w:t> </w:t>
      </w:r>
      <w:r>
        <w:rPr/>
        <w:t>schedule</w:t>
      </w:r>
      <w:r>
        <w:rPr>
          <w:spacing w:val="-27"/>
        </w:rPr>
        <w:t> </w:t>
      </w:r>
      <w:r>
        <w:rPr/>
        <w:t>of</w:t>
      </w:r>
      <w:r>
        <w:rPr>
          <w:spacing w:val="-27"/>
        </w:rPr>
        <w:t> </w:t>
      </w:r>
      <w:r>
        <w:rPr/>
        <w:t>top</w:t>
      </w:r>
      <w:r>
        <w:rPr>
          <w:spacing w:val="-27"/>
        </w:rPr>
        <w:t> </w:t>
      </w:r>
      <w:r>
        <w:rPr/>
        <w:t>tenants</w:t>
      </w:r>
      <w:r>
        <w:rPr>
          <w:spacing w:val="-26"/>
        </w:rPr>
        <w:t> </w:t>
      </w:r>
      <w:r>
        <w:rPr/>
        <w:t>at</w:t>
      </w:r>
      <w:r>
        <w:rPr>
          <w:spacing w:val="-26"/>
        </w:rPr>
        <w:t> </w:t>
      </w:r>
      <w:r>
        <w:rPr/>
        <w:t>the</w:t>
      </w:r>
      <w:r>
        <w:rPr>
          <w:spacing w:val="-28"/>
        </w:rPr>
        <w:t> </w:t>
      </w:r>
      <w:r>
        <w:rPr/>
        <w:t>subject</w:t>
      </w:r>
      <w:r>
        <w:rPr>
          <w:spacing w:val="-23"/>
        </w:rPr>
        <w:t> </w:t>
      </w:r>
      <w:r>
        <w:rPr/>
        <w:t>property</w:t>
      </w:r>
      <w:r>
        <w:rPr>
          <w:spacing w:val="-27"/>
        </w:rPr>
        <w:t> </w:t>
      </w:r>
      <w:r>
        <w:rPr/>
        <w:t>and</w:t>
      </w:r>
      <w:r>
        <w:rPr>
          <w:spacing w:val="-26"/>
        </w:rPr>
        <w:t> </w:t>
      </w:r>
      <w:r>
        <w:rPr/>
        <w:t>rent</w:t>
      </w:r>
      <w:r>
        <w:rPr>
          <w:spacing w:val="-26"/>
        </w:rPr>
        <w:t> </w:t>
      </w:r>
      <w:r>
        <w:rPr/>
        <w:t>for</w:t>
      </w:r>
      <w:r>
        <w:rPr>
          <w:spacing w:val="-26"/>
        </w:rPr>
        <w:t> </w:t>
      </w:r>
      <w:r>
        <w:rPr/>
        <w:t>those</w:t>
      </w:r>
      <w:r>
        <w:rPr>
          <w:spacing w:val="-27"/>
        </w:rPr>
        <w:t> </w:t>
      </w:r>
      <w:r>
        <w:rPr/>
        <w:t>spaces</w:t>
      </w:r>
      <w:r>
        <w:rPr>
          <w:spacing w:val="-27"/>
        </w:rPr>
        <w:t> </w:t>
      </w:r>
      <w:r>
        <w:rPr/>
        <w:t>as of</w:t>
      </w:r>
      <w:r>
        <w:rPr>
          <w:spacing w:val="-25"/>
        </w:rPr>
        <w:t> </w:t>
      </w:r>
      <w:r>
        <w:rPr/>
        <w:t>date</w:t>
      </w:r>
      <w:r>
        <w:rPr>
          <w:spacing w:val="-26"/>
        </w:rPr>
        <w:t> </w:t>
      </w:r>
      <w:r>
        <w:rPr/>
        <w:t>of</w:t>
      </w:r>
      <w:r>
        <w:rPr>
          <w:spacing w:val="-25"/>
        </w:rPr>
        <w:t> </w:t>
      </w:r>
      <w:r>
        <w:rPr/>
        <w:t>valuation.</w:t>
      </w:r>
      <w:r>
        <w:rPr>
          <w:spacing w:val="-26"/>
        </w:rPr>
        <w:t> </w:t>
      </w:r>
      <w:r>
        <w:rPr/>
        <w:t>The</w:t>
      </w:r>
      <w:r>
        <w:rPr>
          <w:spacing w:val="-24"/>
        </w:rPr>
        <w:t> </w:t>
      </w:r>
      <w:r>
        <w:rPr/>
        <w:t>intent</w:t>
      </w:r>
      <w:r>
        <w:rPr>
          <w:spacing w:val="-26"/>
        </w:rPr>
        <w:t> </w:t>
      </w:r>
      <w:r>
        <w:rPr/>
        <w:t>of</w:t>
      </w:r>
      <w:r>
        <w:rPr>
          <w:spacing w:val="-25"/>
        </w:rPr>
        <w:t> </w:t>
      </w:r>
      <w:r>
        <w:rPr/>
        <w:t>the</w:t>
      </w:r>
      <w:r>
        <w:rPr>
          <w:spacing w:val="-25"/>
        </w:rPr>
        <w:t> </w:t>
      </w:r>
      <w:r>
        <w:rPr/>
        <w:t>same</w:t>
      </w:r>
      <w:r>
        <w:rPr>
          <w:spacing w:val="-26"/>
        </w:rPr>
        <w:t> </w:t>
      </w:r>
      <w:r>
        <w:rPr/>
        <w:t>is</w:t>
      </w:r>
      <w:r>
        <w:rPr>
          <w:spacing w:val="-25"/>
        </w:rPr>
        <w:t> </w:t>
      </w:r>
      <w:r>
        <w:rPr/>
        <w:t>to</w:t>
      </w:r>
      <w:r>
        <w:rPr>
          <w:spacing w:val="-26"/>
        </w:rPr>
        <w:t> </w:t>
      </w:r>
      <w:r>
        <w:rPr/>
        <w:t>analyse</w:t>
      </w:r>
      <w:r>
        <w:rPr>
          <w:spacing w:val="-25"/>
        </w:rPr>
        <w:t> </w:t>
      </w:r>
      <w:r>
        <w:rPr/>
        <w:t>the</w:t>
      </w:r>
      <w:r>
        <w:rPr>
          <w:spacing w:val="-25"/>
        </w:rPr>
        <w:t> </w:t>
      </w:r>
      <w:r>
        <w:rPr/>
        <w:t>risk</w:t>
      </w:r>
      <w:r>
        <w:rPr>
          <w:spacing w:val="-25"/>
        </w:rPr>
        <w:t> </w:t>
      </w:r>
      <w:r>
        <w:rPr/>
        <w:t>of</w:t>
      </w:r>
      <w:r>
        <w:rPr>
          <w:spacing w:val="-25"/>
        </w:rPr>
        <w:t> </w:t>
      </w:r>
      <w:r>
        <w:rPr/>
        <w:t>tenant</w:t>
      </w:r>
      <w:r>
        <w:rPr>
          <w:spacing w:val="-26"/>
        </w:rPr>
        <w:t> </w:t>
      </w:r>
      <w:r>
        <w:rPr/>
        <w:t>churn</w:t>
      </w:r>
      <w:r>
        <w:rPr>
          <w:spacing w:val="-26"/>
        </w:rPr>
        <w:t> </w:t>
      </w:r>
      <w:r>
        <w:rPr/>
        <w:t>as</w:t>
      </w:r>
      <w:r>
        <w:rPr>
          <w:spacing w:val="-24"/>
        </w:rPr>
        <w:t> </w:t>
      </w:r>
      <w:r>
        <w:rPr/>
        <w:t>well</w:t>
      </w:r>
      <w:r>
        <w:rPr>
          <w:spacing w:val="-26"/>
        </w:rPr>
        <w:t> </w:t>
      </w:r>
      <w:r>
        <w:rPr/>
        <w:t>as</w:t>
      </w:r>
      <w:r>
        <w:rPr>
          <w:spacing w:val="-25"/>
        </w:rPr>
        <w:t> </w:t>
      </w:r>
      <w:r>
        <w:rPr/>
        <w:t>assessing</w:t>
      </w:r>
      <w:r>
        <w:rPr>
          <w:spacing w:val="-26"/>
        </w:rPr>
        <w:t> </w:t>
      </w:r>
      <w:r>
        <w:rPr/>
        <w:t>the re-leasing risk for the property along with opining on the timeframe to lease-up the spaces in case a significant vacancy arises at the</w:t>
      </w:r>
      <w:r>
        <w:rPr>
          <w:spacing w:val="-23"/>
        </w:rPr>
        <w:t> </w:t>
      </w:r>
      <w:r>
        <w:rPr/>
        <w:t>property.</w:t>
      </w:r>
    </w:p>
    <w:p>
      <w:pPr>
        <w:pStyle w:val="BodyText"/>
        <w:spacing w:before="10"/>
        <w:rPr>
          <w:sz w:val="2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56" w:id="112"/>
      <w:bookmarkEnd w:id="112"/>
      <w:r>
        <w:rPr/>
      </w:r>
      <w:bookmarkStart w:name="_bookmark56" w:id="113"/>
      <w:bookmarkEnd w:id="113"/>
      <w:r>
        <w:rPr>
          <w:color w:val="1F664D"/>
          <w:sz w:val="22"/>
        </w:rPr>
        <w:t>Esc</w:t>
      </w:r>
      <w:r>
        <w:rPr>
          <w:color w:val="1F664D"/>
          <w:sz w:val="22"/>
        </w:rPr>
        <w:t>alation</w:t>
      </w:r>
      <w:r>
        <w:rPr>
          <w:color w:val="1F664D"/>
          <w:spacing w:val="-3"/>
          <w:sz w:val="22"/>
        </w:rPr>
        <w:t> </w:t>
      </w:r>
      <w:r>
        <w:rPr>
          <w:color w:val="1F664D"/>
          <w:sz w:val="22"/>
        </w:rPr>
        <w:t>Analysis</w:t>
      </w:r>
    </w:p>
    <w:p>
      <w:pPr>
        <w:pStyle w:val="BodyText"/>
        <w:spacing w:line="321" w:lineRule="auto" w:before="208"/>
        <w:ind w:left="760" w:right="197"/>
        <w:jc w:val="both"/>
      </w:pPr>
      <w:r>
        <w:rPr/>
        <w:t>As</w:t>
      </w:r>
      <w:r>
        <w:rPr>
          <w:spacing w:val="-25"/>
        </w:rPr>
        <w:t> </w:t>
      </w:r>
      <w:r>
        <w:rPr/>
        <w:t>per</w:t>
      </w:r>
      <w:r>
        <w:rPr>
          <w:spacing w:val="-26"/>
        </w:rPr>
        <w:t> </w:t>
      </w:r>
      <w:r>
        <w:rPr/>
        <w:t>the</w:t>
      </w:r>
      <w:r>
        <w:rPr>
          <w:spacing w:val="-25"/>
        </w:rPr>
        <w:t> </w:t>
      </w:r>
      <w:r>
        <w:rPr/>
        <w:t>review</w:t>
      </w:r>
      <w:r>
        <w:rPr>
          <w:spacing w:val="-25"/>
        </w:rPr>
        <w:t> </w:t>
      </w:r>
      <w:r>
        <w:rPr/>
        <w:t>of</w:t>
      </w:r>
      <w:r>
        <w:rPr>
          <w:spacing w:val="-24"/>
        </w:rPr>
        <w:t> </w:t>
      </w:r>
      <w:r>
        <w:rPr/>
        <w:t>recent</w:t>
      </w:r>
      <w:r>
        <w:rPr>
          <w:spacing w:val="-25"/>
        </w:rPr>
        <w:t> </w:t>
      </w:r>
      <w:r>
        <w:rPr/>
        <w:t>executed</w:t>
      </w:r>
      <w:r>
        <w:rPr>
          <w:spacing w:val="-25"/>
        </w:rPr>
        <w:t> </w:t>
      </w:r>
      <w:r>
        <w:rPr/>
        <w:t>leases</w:t>
      </w:r>
      <w:r>
        <w:rPr>
          <w:spacing w:val="-22"/>
        </w:rPr>
        <w:t> </w:t>
      </w:r>
      <w:r>
        <w:rPr/>
        <w:t>at</w:t>
      </w:r>
      <w:r>
        <w:rPr>
          <w:spacing w:val="-25"/>
        </w:rPr>
        <w:t> </w:t>
      </w:r>
      <w:r>
        <w:rPr/>
        <w:t>the</w:t>
      </w:r>
      <w:r>
        <w:rPr>
          <w:spacing w:val="-27"/>
        </w:rPr>
        <w:t> </w:t>
      </w:r>
      <w:r>
        <w:rPr/>
        <w:t>subject</w:t>
      </w:r>
      <w:r>
        <w:rPr>
          <w:spacing w:val="-25"/>
        </w:rPr>
        <w:t> </w:t>
      </w:r>
      <w:r>
        <w:rPr/>
        <w:t>property</w:t>
      </w:r>
      <w:r>
        <w:rPr>
          <w:spacing w:val="-24"/>
        </w:rPr>
        <w:t> </w:t>
      </w:r>
      <w:r>
        <w:rPr/>
        <w:t>it</w:t>
      </w:r>
      <w:r>
        <w:rPr>
          <w:spacing w:val="-26"/>
        </w:rPr>
        <w:t> </w:t>
      </w:r>
      <w:r>
        <w:rPr/>
        <w:t>is</w:t>
      </w:r>
      <w:r>
        <w:rPr>
          <w:spacing w:val="-25"/>
        </w:rPr>
        <w:t> </w:t>
      </w:r>
      <w:r>
        <w:rPr/>
        <w:t>understood</w:t>
      </w:r>
      <w:r>
        <w:rPr>
          <w:spacing w:val="-25"/>
        </w:rPr>
        <w:t> </w:t>
      </w:r>
      <w:r>
        <w:rPr/>
        <w:t>that</w:t>
      </w:r>
      <w:r>
        <w:rPr>
          <w:spacing w:val="-25"/>
        </w:rPr>
        <w:t> </w:t>
      </w:r>
      <w:r>
        <w:rPr/>
        <w:t>the</w:t>
      </w:r>
      <w:r>
        <w:rPr>
          <w:spacing w:val="-25"/>
        </w:rPr>
        <w:t> </w:t>
      </w:r>
      <w:r>
        <w:rPr/>
        <w:t>contracted escalation</w:t>
      </w:r>
      <w:r>
        <w:rPr>
          <w:spacing w:val="-7"/>
        </w:rPr>
        <w:t> </w:t>
      </w:r>
      <w:r>
        <w:rPr/>
        <w:t>terms</w:t>
      </w:r>
      <w:r>
        <w:rPr>
          <w:spacing w:val="-6"/>
        </w:rPr>
        <w:t> </w:t>
      </w:r>
      <w:r>
        <w:rPr/>
        <w:t>for</w:t>
      </w:r>
      <w:r>
        <w:rPr>
          <w:spacing w:val="-7"/>
        </w:rPr>
        <w:t> </w:t>
      </w:r>
      <w:r>
        <w:rPr/>
        <w:t>these</w:t>
      </w:r>
      <w:r>
        <w:rPr>
          <w:spacing w:val="-6"/>
        </w:rPr>
        <w:t> </w:t>
      </w:r>
      <w:r>
        <w:rPr/>
        <w:t>leases</w:t>
      </w:r>
      <w:r>
        <w:rPr>
          <w:spacing w:val="-6"/>
        </w:rPr>
        <w:t> </w:t>
      </w:r>
      <w:r>
        <w:rPr/>
        <w:t>are</w:t>
      </w:r>
      <w:r>
        <w:rPr>
          <w:spacing w:val="-7"/>
        </w:rPr>
        <w:t> </w:t>
      </w:r>
      <w:r>
        <w:rPr/>
        <w:t>in</w:t>
      </w:r>
      <w:r>
        <w:rPr>
          <w:spacing w:val="-7"/>
        </w:rPr>
        <w:t> </w:t>
      </w:r>
      <w:r>
        <w:rPr/>
        <w:t>the</w:t>
      </w:r>
      <w:r>
        <w:rPr>
          <w:spacing w:val="-5"/>
        </w:rPr>
        <w:t> </w:t>
      </w:r>
      <w:r>
        <w:rPr/>
        <w:t>range</w:t>
      </w:r>
      <w:r>
        <w:rPr>
          <w:spacing w:val="-5"/>
        </w:rPr>
        <w:t> </w:t>
      </w:r>
      <w:r>
        <w:rPr/>
        <w:t>of</w:t>
      </w:r>
      <w:r>
        <w:rPr>
          <w:spacing w:val="-6"/>
        </w:rPr>
        <w:t> </w:t>
      </w:r>
      <w:r>
        <w:rPr/>
        <w:t>10.0%</w:t>
      </w:r>
      <w:r>
        <w:rPr>
          <w:spacing w:val="-7"/>
        </w:rPr>
        <w:t> </w:t>
      </w:r>
      <w:r>
        <w:rPr/>
        <w:t>to</w:t>
      </w:r>
      <w:r>
        <w:rPr>
          <w:spacing w:val="-7"/>
        </w:rPr>
        <w:t> </w:t>
      </w:r>
      <w:r>
        <w:rPr/>
        <w:t>15.0%</w:t>
      </w:r>
      <w:r>
        <w:rPr>
          <w:spacing w:val="-6"/>
        </w:rPr>
        <w:t> </w:t>
      </w:r>
      <w:r>
        <w:rPr/>
        <w:t>every</w:t>
      </w:r>
      <w:r>
        <w:rPr>
          <w:spacing w:val="-5"/>
        </w:rPr>
        <w:t> </w:t>
      </w:r>
      <w:r>
        <w:rPr/>
        <w:t>3</w:t>
      </w:r>
      <w:r>
        <w:rPr>
          <w:spacing w:val="-7"/>
        </w:rPr>
        <w:t> </w:t>
      </w:r>
      <w:r>
        <w:rPr/>
        <w:t>years</w:t>
      </w:r>
      <w:r>
        <w:rPr>
          <w:spacing w:val="-6"/>
        </w:rPr>
        <w:t> </w:t>
      </w:r>
      <w:r>
        <w:rPr/>
        <w:t>are</w:t>
      </w:r>
      <w:r>
        <w:rPr>
          <w:spacing w:val="-6"/>
        </w:rPr>
        <w:t> </w:t>
      </w:r>
      <w:r>
        <w:rPr/>
        <w:t>in</w:t>
      </w:r>
      <w:r>
        <w:rPr>
          <w:spacing w:val="-8"/>
        </w:rPr>
        <w:t> </w:t>
      </w:r>
      <w:r>
        <w:rPr/>
        <w:t>line</w:t>
      </w:r>
      <w:r>
        <w:rPr>
          <w:spacing w:val="-6"/>
        </w:rPr>
        <w:t> </w:t>
      </w:r>
      <w:r>
        <w:rPr/>
        <w:t>with</w:t>
      </w:r>
      <w:r>
        <w:rPr>
          <w:spacing w:val="-7"/>
        </w:rPr>
        <w:t> </w:t>
      </w:r>
      <w:r>
        <w:rPr/>
        <w:t>the prevailing</w:t>
      </w:r>
      <w:r>
        <w:rPr>
          <w:spacing w:val="-7"/>
        </w:rPr>
        <w:t> </w:t>
      </w:r>
      <w:r>
        <w:rPr/>
        <w:t>market</w:t>
      </w:r>
      <w:r>
        <w:rPr>
          <w:spacing w:val="-7"/>
        </w:rPr>
        <w:t> </w:t>
      </w:r>
      <w:r>
        <w:rPr/>
        <w:t>practise</w:t>
      </w:r>
      <w:r>
        <w:rPr>
          <w:spacing w:val="-7"/>
        </w:rPr>
        <w:t> </w:t>
      </w:r>
      <w:r>
        <w:rPr/>
        <w:t>witnessed</w:t>
      </w:r>
      <w:r>
        <w:rPr>
          <w:spacing w:val="-6"/>
        </w:rPr>
        <w:t> </w:t>
      </w:r>
      <w:r>
        <w:rPr/>
        <w:t>across</w:t>
      </w:r>
      <w:r>
        <w:rPr>
          <w:spacing w:val="-6"/>
        </w:rPr>
        <w:t> </w:t>
      </w:r>
      <w:r>
        <w:rPr/>
        <w:t>the</w:t>
      </w:r>
      <w:r>
        <w:rPr>
          <w:spacing w:val="-7"/>
        </w:rPr>
        <w:t> </w:t>
      </w:r>
      <w:r>
        <w:rPr/>
        <w:t>sub</w:t>
      </w:r>
      <w:r>
        <w:rPr>
          <w:spacing w:val="-6"/>
        </w:rPr>
        <w:t> </w:t>
      </w:r>
      <w:r>
        <w:rPr/>
        <w:t>market</w:t>
      </w:r>
      <w:r>
        <w:rPr>
          <w:spacing w:val="-7"/>
        </w:rPr>
        <w:t> </w:t>
      </w:r>
      <w:r>
        <w:rPr/>
        <w:t>and</w:t>
      </w:r>
      <w:r>
        <w:rPr>
          <w:spacing w:val="-7"/>
        </w:rPr>
        <w:t> </w:t>
      </w:r>
      <w:r>
        <w:rPr/>
        <w:t>Bengaluru.</w:t>
      </w:r>
    </w:p>
    <w:p>
      <w:pPr>
        <w:spacing w:after="0" w:line="321" w:lineRule="auto"/>
        <w:jc w:val="both"/>
        <w:sectPr>
          <w:pgSz w:w="11910" w:h="16840"/>
          <w:pgMar w:header="720" w:footer="842" w:top="1660" w:bottom="1040" w:left="500" w:right="520"/>
        </w:sectPr>
      </w:pPr>
    </w:p>
    <w:p>
      <w:pPr>
        <w:pStyle w:val="BodyText"/>
        <w:spacing w:before="7"/>
        <w:rPr>
          <w:sz w:val="9"/>
        </w:rPr>
      </w:pPr>
    </w:p>
    <w:p>
      <w:pPr>
        <w:pStyle w:val="ListParagraph"/>
        <w:numPr>
          <w:ilvl w:val="1"/>
          <w:numId w:val="14"/>
        </w:numPr>
        <w:tabs>
          <w:tab w:pos="796" w:val="left" w:leader="none"/>
          <w:tab w:pos="797" w:val="left" w:leader="none"/>
        </w:tabs>
        <w:spacing w:line="240" w:lineRule="auto" w:before="106" w:after="0"/>
        <w:ind w:left="796" w:right="0" w:hanging="577"/>
        <w:jc w:val="left"/>
        <w:rPr>
          <w:color w:val="1F6647"/>
          <w:sz w:val="22"/>
        </w:rPr>
      </w:pPr>
      <w:bookmarkStart w:name="_bookmark57" w:id="114"/>
      <w:bookmarkEnd w:id="114"/>
      <w:r>
        <w:rPr/>
      </w:r>
      <w:bookmarkStart w:name="_bookmark57" w:id="115"/>
      <w:bookmarkEnd w:id="115"/>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line="321" w:lineRule="auto" w:before="208"/>
        <w:ind w:left="760" w:right="195"/>
        <w:jc w:val="both"/>
      </w:pPr>
      <w:r>
        <w:rPr/>
        <w:t>As highlighted earlier, the subject property is an operational Office Park located near Hebbal, on Nagavara Outer Ring Road, Bengaluru. Hebbal region, especially the stretch from Hebbal flyover to Yelahanka is considered as one of the most established locations of North Bengaluru; primarily on </w:t>
      </w:r>
      <w:r>
        <w:rPr>
          <w:w w:val="95"/>
        </w:rPr>
        <w:t>account</w:t>
      </w:r>
      <w:r>
        <w:rPr>
          <w:spacing w:val="-19"/>
          <w:w w:val="95"/>
        </w:rPr>
        <w:t> </w:t>
      </w:r>
      <w:r>
        <w:rPr>
          <w:w w:val="95"/>
        </w:rPr>
        <w:t>of</w:t>
      </w:r>
      <w:r>
        <w:rPr>
          <w:spacing w:val="-18"/>
          <w:w w:val="95"/>
        </w:rPr>
        <w:t> </w:t>
      </w:r>
      <w:r>
        <w:rPr>
          <w:w w:val="95"/>
        </w:rPr>
        <w:t>the</w:t>
      </w:r>
      <w:r>
        <w:rPr>
          <w:spacing w:val="-18"/>
          <w:w w:val="95"/>
        </w:rPr>
        <w:t> </w:t>
      </w:r>
      <w:r>
        <w:rPr>
          <w:w w:val="95"/>
        </w:rPr>
        <w:t>superior</w:t>
      </w:r>
      <w:r>
        <w:rPr>
          <w:spacing w:val="-20"/>
          <w:w w:val="95"/>
        </w:rPr>
        <w:t> </w:t>
      </w:r>
      <w:r>
        <w:rPr>
          <w:w w:val="95"/>
        </w:rPr>
        <w:t>infrastructure</w:t>
      </w:r>
      <w:r>
        <w:rPr>
          <w:spacing w:val="-20"/>
          <w:w w:val="95"/>
        </w:rPr>
        <w:t> </w:t>
      </w:r>
      <w:r>
        <w:rPr>
          <w:w w:val="95"/>
        </w:rPr>
        <w:t>initiatives,</w:t>
      </w:r>
      <w:r>
        <w:rPr>
          <w:spacing w:val="-19"/>
          <w:w w:val="95"/>
        </w:rPr>
        <w:t> </w:t>
      </w:r>
      <w:r>
        <w:rPr>
          <w:w w:val="95"/>
        </w:rPr>
        <w:t>easy</w:t>
      </w:r>
      <w:r>
        <w:rPr>
          <w:spacing w:val="-18"/>
          <w:w w:val="95"/>
        </w:rPr>
        <w:t> </w:t>
      </w:r>
      <w:r>
        <w:rPr>
          <w:w w:val="95"/>
        </w:rPr>
        <w:t>connectivity</w:t>
      </w:r>
      <w:r>
        <w:rPr>
          <w:spacing w:val="-18"/>
          <w:w w:val="95"/>
        </w:rPr>
        <w:t> </w:t>
      </w:r>
      <w:r>
        <w:rPr>
          <w:w w:val="95"/>
        </w:rPr>
        <w:t>to</w:t>
      </w:r>
      <w:r>
        <w:rPr>
          <w:spacing w:val="-19"/>
          <w:w w:val="95"/>
        </w:rPr>
        <w:t> </w:t>
      </w:r>
      <w:r>
        <w:rPr>
          <w:w w:val="95"/>
        </w:rPr>
        <w:t>the</w:t>
      </w:r>
      <w:r>
        <w:rPr>
          <w:spacing w:val="-19"/>
          <w:w w:val="95"/>
        </w:rPr>
        <w:t> </w:t>
      </w:r>
      <w:r>
        <w:rPr>
          <w:w w:val="95"/>
        </w:rPr>
        <w:t>CBD</w:t>
      </w:r>
      <w:r>
        <w:rPr>
          <w:spacing w:val="-19"/>
          <w:w w:val="95"/>
        </w:rPr>
        <w:t> </w:t>
      </w:r>
      <w:r>
        <w:rPr>
          <w:w w:val="95"/>
        </w:rPr>
        <w:t>and</w:t>
      </w:r>
      <w:r>
        <w:rPr>
          <w:spacing w:val="-19"/>
          <w:w w:val="95"/>
        </w:rPr>
        <w:t> </w:t>
      </w:r>
      <w:r>
        <w:rPr>
          <w:w w:val="95"/>
        </w:rPr>
        <w:t>the</w:t>
      </w:r>
      <w:r>
        <w:rPr>
          <w:spacing w:val="-20"/>
          <w:w w:val="95"/>
        </w:rPr>
        <w:t> </w:t>
      </w:r>
      <w:r>
        <w:rPr>
          <w:w w:val="95"/>
        </w:rPr>
        <w:t>International</w:t>
      </w:r>
      <w:r>
        <w:rPr>
          <w:spacing w:val="-17"/>
          <w:w w:val="95"/>
        </w:rPr>
        <w:t> </w:t>
      </w:r>
      <w:r>
        <w:rPr>
          <w:w w:val="95"/>
        </w:rPr>
        <w:t>Airport </w:t>
      </w:r>
      <w:r>
        <w:rPr/>
        <w:t>via</w:t>
      </w:r>
      <w:r>
        <w:rPr>
          <w:spacing w:val="-30"/>
        </w:rPr>
        <w:t> </w:t>
      </w:r>
      <w:r>
        <w:rPr/>
        <w:t>NH-44</w:t>
      </w:r>
      <w:r>
        <w:rPr>
          <w:spacing w:val="-29"/>
        </w:rPr>
        <w:t> </w:t>
      </w:r>
      <w:r>
        <w:rPr/>
        <w:t>and</w:t>
      </w:r>
      <w:r>
        <w:rPr>
          <w:spacing w:val="-29"/>
        </w:rPr>
        <w:t> </w:t>
      </w:r>
      <w:r>
        <w:rPr/>
        <w:t>ORR.</w:t>
      </w:r>
      <w:r>
        <w:rPr>
          <w:spacing w:val="-29"/>
        </w:rPr>
        <w:t> </w:t>
      </w:r>
      <w:r>
        <w:rPr/>
        <w:t>In</w:t>
      </w:r>
      <w:r>
        <w:rPr>
          <w:spacing w:val="-27"/>
        </w:rPr>
        <w:t> </w:t>
      </w:r>
      <w:r>
        <w:rPr/>
        <w:t>addition,</w:t>
      </w:r>
      <w:r>
        <w:rPr>
          <w:spacing w:val="-29"/>
        </w:rPr>
        <w:t> </w:t>
      </w:r>
      <w:r>
        <w:rPr/>
        <w:t>it</w:t>
      </w:r>
      <w:r>
        <w:rPr>
          <w:spacing w:val="-29"/>
        </w:rPr>
        <w:t> </w:t>
      </w:r>
      <w:r>
        <w:rPr/>
        <w:t>was</w:t>
      </w:r>
      <w:r>
        <w:rPr>
          <w:spacing w:val="-27"/>
        </w:rPr>
        <w:t> </w:t>
      </w:r>
      <w:r>
        <w:rPr/>
        <w:t>observed</w:t>
      </w:r>
      <w:r>
        <w:rPr>
          <w:spacing w:val="-28"/>
        </w:rPr>
        <w:t> </w:t>
      </w:r>
      <w:r>
        <w:rPr/>
        <w:t>that</w:t>
      </w:r>
      <w:r>
        <w:rPr>
          <w:spacing w:val="-29"/>
        </w:rPr>
        <w:t> </w:t>
      </w:r>
      <w:r>
        <w:rPr/>
        <w:t>majority</w:t>
      </w:r>
      <w:r>
        <w:rPr>
          <w:spacing w:val="-27"/>
        </w:rPr>
        <w:t> </w:t>
      </w:r>
      <w:r>
        <w:rPr/>
        <w:t>of</w:t>
      </w:r>
      <w:r>
        <w:rPr>
          <w:spacing w:val="-28"/>
        </w:rPr>
        <w:t> </w:t>
      </w:r>
      <w:r>
        <w:rPr/>
        <w:t>the</w:t>
      </w:r>
      <w:r>
        <w:rPr>
          <w:spacing w:val="-29"/>
        </w:rPr>
        <w:t> </w:t>
      </w:r>
      <w:r>
        <w:rPr/>
        <w:t>developments</w:t>
      </w:r>
      <w:r>
        <w:rPr>
          <w:spacing w:val="-28"/>
        </w:rPr>
        <w:t> </w:t>
      </w:r>
      <w:r>
        <w:rPr/>
        <w:t>along</w:t>
      </w:r>
      <w:r>
        <w:rPr>
          <w:spacing w:val="-28"/>
        </w:rPr>
        <w:t> </w:t>
      </w:r>
      <w:r>
        <w:rPr/>
        <w:t>this</w:t>
      </w:r>
      <w:r>
        <w:rPr>
          <w:spacing w:val="-28"/>
        </w:rPr>
        <w:t> </w:t>
      </w:r>
      <w:r>
        <w:rPr/>
        <w:t>stretch</w:t>
      </w:r>
      <w:r>
        <w:rPr>
          <w:spacing w:val="-31"/>
        </w:rPr>
        <w:t> </w:t>
      </w:r>
      <w:r>
        <w:rPr/>
        <w:t>are a mix of commercial and residential</w:t>
      </w:r>
      <w:r>
        <w:rPr>
          <w:spacing w:val="-24"/>
        </w:rPr>
        <w:t> </w:t>
      </w:r>
      <w:r>
        <w:rPr/>
        <w:t>properties.</w:t>
      </w:r>
    </w:p>
    <w:p>
      <w:pPr>
        <w:pStyle w:val="BodyText"/>
        <w:spacing w:before="11"/>
        <w:rPr>
          <w:sz w:val="20"/>
        </w:rPr>
      </w:pPr>
    </w:p>
    <w:p>
      <w:pPr>
        <w:pStyle w:val="BodyText"/>
        <w:spacing w:line="321" w:lineRule="auto"/>
        <w:ind w:left="760" w:right="192"/>
        <w:jc w:val="both"/>
      </w:pPr>
      <w:r>
        <w:rPr/>
        <w:t>Given the limited availability of land parcels in the initial stretches of Bellary Road, real estate development</w:t>
      </w:r>
      <w:r>
        <w:rPr>
          <w:spacing w:val="-21"/>
        </w:rPr>
        <w:t> </w:t>
      </w:r>
      <w:r>
        <w:rPr/>
        <w:t>activity</w:t>
      </w:r>
      <w:r>
        <w:rPr>
          <w:spacing w:val="-21"/>
        </w:rPr>
        <w:t> </w:t>
      </w:r>
      <w:r>
        <w:rPr/>
        <w:t>has</w:t>
      </w:r>
      <w:r>
        <w:rPr>
          <w:spacing w:val="-20"/>
        </w:rPr>
        <w:t> </w:t>
      </w:r>
      <w:r>
        <w:rPr/>
        <w:t>been</w:t>
      </w:r>
      <w:r>
        <w:rPr>
          <w:spacing w:val="-21"/>
        </w:rPr>
        <w:t> </w:t>
      </w:r>
      <w:r>
        <w:rPr/>
        <w:t>witnessed</w:t>
      </w:r>
      <w:r>
        <w:rPr>
          <w:spacing w:val="-19"/>
        </w:rPr>
        <w:t> </w:t>
      </w:r>
      <w:r>
        <w:rPr/>
        <w:t>off</w:t>
      </w:r>
      <w:r>
        <w:rPr>
          <w:spacing w:val="-20"/>
        </w:rPr>
        <w:t> </w:t>
      </w:r>
      <w:r>
        <w:rPr/>
        <w:t>NH-44</w:t>
      </w:r>
      <w:r>
        <w:rPr>
          <w:spacing w:val="-20"/>
        </w:rPr>
        <w:t> </w:t>
      </w:r>
      <w:r>
        <w:rPr/>
        <w:t>in</w:t>
      </w:r>
      <w:r>
        <w:rPr>
          <w:spacing w:val="-21"/>
        </w:rPr>
        <w:t> </w:t>
      </w:r>
      <w:r>
        <w:rPr/>
        <w:t>locations</w:t>
      </w:r>
      <w:r>
        <w:rPr>
          <w:spacing w:val="-20"/>
        </w:rPr>
        <w:t> </w:t>
      </w:r>
      <w:r>
        <w:rPr/>
        <w:t>such</w:t>
      </w:r>
      <w:r>
        <w:rPr>
          <w:spacing w:val="-20"/>
        </w:rPr>
        <w:t> </w:t>
      </w:r>
      <w:r>
        <w:rPr/>
        <w:t>as</w:t>
      </w:r>
      <w:r>
        <w:rPr>
          <w:spacing w:val="-21"/>
        </w:rPr>
        <w:t> </w:t>
      </w:r>
      <w:r>
        <w:rPr/>
        <w:t>Thanisandra</w:t>
      </w:r>
      <w:r>
        <w:rPr>
          <w:spacing w:val="-21"/>
        </w:rPr>
        <w:t> </w:t>
      </w:r>
      <w:r>
        <w:rPr/>
        <w:t>Road,</w:t>
      </w:r>
      <w:r>
        <w:rPr>
          <w:spacing w:val="-22"/>
        </w:rPr>
        <w:t> </w:t>
      </w:r>
      <w:r>
        <w:rPr/>
        <w:t>Jakkur</w:t>
      </w:r>
      <w:r>
        <w:rPr>
          <w:spacing w:val="-20"/>
        </w:rPr>
        <w:t> </w:t>
      </w:r>
      <w:r>
        <w:rPr/>
        <w:t>Main Road, Hennur Road, Yelahanka and Doddaballapur Road. Further, the region is also characterised by Government promoted hardware and aerospace parks as well as planned townships. Owing to the presence of large land banks towards the later stretch of Bellary road (being held by prominent developers</w:t>
      </w:r>
      <w:r>
        <w:rPr>
          <w:spacing w:val="-30"/>
        </w:rPr>
        <w:t> </w:t>
      </w:r>
      <w:r>
        <w:rPr/>
        <w:t>and</w:t>
      </w:r>
      <w:r>
        <w:rPr>
          <w:spacing w:val="-30"/>
        </w:rPr>
        <w:t> </w:t>
      </w:r>
      <w:r>
        <w:rPr/>
        <w:t>expected</w:t>
      </w:r>
      <w:r>
        <w:rPr>
          <w:spacing w:val="-32"/>
        </w:rPr>
        <w:t> </w:t>
      </w:r>
      <w:r>
        <w:rPr/>
        <w:t>to</w:t>
      </w:r>
      <w:r>
        <w:rPr>
          <w:spacing w:val="-30"/>
        </w:rPr>
        <w:t> </w:t>
      </w:r>
      <w:r>
        <w:rPr/>
        <w:t>be</w:t>
      </w:r>
      <w:r>
        <w:rPr>
          <w:spacing w:val="-31"/>
        </w:rPr>
        <w:t> </w:t>
      </w:r>
      <w:r>
        <w:rPr/>
        <w:t>developed</w:t>
      </w:r>
      <w:r>
        <w:rPr>
          <w:spacing w:val="-30"/>
        </w:rPr>
        <w:t> </w:t>
      </w:r>
      <w:r>
        <w:rPr/>
        <w:t>in</w:t>
      </w:r>
      <w:r>
        <w:rPr>
          <w:spacing w:val="-31"/>
        </w:rPr>
        <w:t> </w:t>
      </w:r>
      <w:r>
        <w:rPr/>
        <w:t>the</w:t>
      </w:r>
      <w:r>
        <w:rPr>
          <w:spacing w:val="-32"/>
        </w:rPr>
        <w:t> </w:t>
      </w:r>
      <w:r>
        <w:rPr/>
        <w:t>near</w:t>
      </w:r>
      <w:r>
        <w:rPr>
          <w:spacing w:val="-31"/>
        </w:rPr>
        <w:t> </w:t>
      </w:r>
      <w:r>
        <w:rPr/>
        <w:t>future)</w:t>
      </w:r>
      <w:r>
        <w:rPr>
          <w:spacing w:val="-30"/>
        </w:rPr>
        <w:t> </w:t>
      </w:r>
      <w:r>
        <w:rPr/>
        <w:t>coupled</w:t>
      </w:r>
      <w:r>
        <w:rPr>
          <w:spacing w:val="-30"/>
        </w:rPr>
        <w:t> </w:t>
      </w:r>
      <w:r>
        <w:rPr/>
        <w:t>with</w:t>
      </w:r>
      <w:r>
        <w:rPr>
          <w:spacing w:val="-31"/>
        </w:rPr>
        <w:t> </w:t>
      </w:r>
      <w:r>
        <w:rPr/>
        <w:t>the</w:t>
      </w:r>
      <w:r>
        <w:rPr>
          <w:spacing w:val="-31"/>
        </w:rPr>
        <w:t> </w:t>
      </w:r>
      <w:r>
        <w:rPr/>
        <w:t>infrastructure</w:t>
      </w:r>
      <w:r>
        <w:rPr>
          <w:spacing w:val="-31"/>
        </w:rPr>
        <w:t> </w:t>
      </w:r>
      <w:r>
        <w:rPr/>
        <w:t>initiatives, we</w:t>
      </w:r>
      <w:r>
        <w:rPr>
          <w:spacing w:val="-28"/>
        </w:rPr>
        <w:t> </w:t>
      </w:r>
      <w:r>
        <w:rPr/>
        <w:t>are</w:t>
      </w:r>
      <w:r>
        <w:rPr>
          <w:spacing w:val="-27"/>
        </w:rPr>
        <w:t> </w:t>
      </w:r>
      <w:r>
        <w:rPr/>
        <w:t>of</w:t>
      </w:r>
      <w:r>
        <w:rPr>
          <w:spacing w:val="-27"/>
        </w:rPr>
        <w:t> </w:t>
      </w:r>
      <w:r>
        <w:rPr/>
        <w:t>the</w:t>
      </w:r>
      <w:r>
        <w:rPr>
          <w:spacing w:val="-28"/>
        </w:rPr>
        <w:t> </w:t>
      </w:r>
      <w:r>
        <w:rPr/>
        <w:t>opinion</w:t>
      </w:r>
      <w:r>
        <w:rPr>
          <w:spacing w:val="-28"/>
        </w:rPr>
        <w:t> </w:t>
      </w:r>
      <w:r>
        <w:rPr/>
        <w:t>that</w:t>
      </w:r>
      <w:r>
        <w:rPr>
          <w:spacing w:val="-27"/>
        </w:rPr>
        <w:t> </w:t>
      </w:r>
      <w:r>
        <w:rPr/>
        <w:t>the</w:t>
      </w:r>
      <w:r>
        <w:rPr>
          <w:spacing w:val="-28"/>
        </w:rPr>
        <w:t> </w:t>
      </w:r>
      <w:r>
        <w:rPr/>
        <w:t>subject</w:t>
      </w:r>
      <w:r>
        <w:rPr>
          <w:spacing w:val="-26"/>
        </w:rPr>
        <w:t> </w:t>
      </w:r>
      <w:r>
        <w:rPr/>
        <w:t>sub</w:t>
      </w:r>
      <w:r>
        <w:rPr>
          <w:spacing w:val="-27"/>
        </w:rPr>
        <w:t> </w:t>
      </w:r>
      <w:r>
        <w:rPr/>
        <w:t>market</w:t>
      </w:r>
      <w:r>
        <w:rPr>
          <w:spacing w:val="-27"/>
        </w:rPr>
        <w:t> </w:t>
      </w:r>
      <w:r>
        <w:rPr/>
        <w:t>is</w:t>
      </w:r>
      <w:r>
        <w:rPr>
          <w:spacing w:val="-27"/>
        </w:rPr>
        <w:t> </w:t>
      </w:r>
      <w:r>
        <w:rPr/>
        <w:t>expected</w:t>
      </w:r>
      <w:r>
        <w:rPr>
          <w:spacing w:val="-26"/>
        </w:rPr>
        <w:t> </w:t>
      </w:r>
      <w:r>
        <w:rPr/>
        <w:t>to</w:t>
      </w:r>
      <w:r>
        <w:rPr>
          <w:spacing w:val="-28"/>
        </w:rPr>
        <w:t> </w:t>
      </w:r>
      <w:r>
        <w:rPr/>
        <w:t>transform</w:t>
      </w:r>
      <w:r>
        <w:rPr>
          <w:spacing w:val="-27"/>
        </w:rPr>
        <w:t> </w:t>
      </w:r>
      <w:r>
        <w:rPr/>
        <w:t>from</w:t>
      </w:r>
      <w:r>
        <w:rPr>
          <w:spacing w:val="-28"/>
        </w:rPr>
        <w:t> </w:t>
      </w:r>
      <w:r>
        <w:rPr/>
        <w:t>an</w:t>
      </w:r>
      <w:r>
        <w:rPr>
          <w:spacing w:val="-28"/>
        </w:rPr>
        <w:t> </w:t>
      </w:r>
      <w:r>
        <w:rPr/>
        <w:t>emerging</w:t>
      </w:r>
      <w:r>
        <w:rPr>
          <w:spacing w:val="-26"/>
        </w:rPr>
        <w:t> </w:t>
      </w:r>
      <w:r>
        <w:rPr/>
        <w:t>location</w:t>
      </w:r>
      <w:r>
        <w:rPr>
          <w:spacing w:val="-26"/>
        </w:rPr>
        <w:t> </w:t>
      </w:r>
      <w:r>
        <w:rPr/>
        <w:t>to an active real estate hub in the medium</w:t>
      </w:r>
      <w:r>
        <w:rPr>
          <w:spacing w:val="-41"/>
        </w:rPr>
        <w:t> </w:t>
      </w:r>
      <w:r>
        <w:rPr/>
        <w:t>term.</w:t>
      </w:r>
    </w:p>
    <w:p>
      <w:pPr>
        <w:pStyle w:val="BodyText"/>
        <w:spacing w:before="1"/>
        <w:rPr>
          <w:sz w:val="21"/>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58" w:id="116"/>
      <w:bookmarkEnd w:id="116"/>
      <w:r>
        <w:rPr/>
      </w:r>
      <w:bookmarkStart w:name="_bookmark58" w:id="117"/>
      <w:bookmarkEnd w:id="117"/>
      <w:r>
        <w:rPr>
          <w:color w:val="1F664D"/>
          <w:w w:val="105"/>
          <w:sz w:val="22"/>
        </w:rPr>
        <w:t>De</w:t>
      </w:r>
      <w:r>
        <w:rPr>
          <w:color w:val="1F664D"/>
          <w:w w:val="105"/>
          <w:sz w:val="22"/>
        </w:rPr>
        <w:t>mand and Supply</w:t>
      </w:r>
      <w:r>
        <w:rPr>
          <w:color w:val="1F664D"/>
          <w:spacing w:val="-17"/>
          <w:w w:val="105"/>
          <w:sz w:val="22"/>
        </w:rPr>
        <w:t> </w:t>
      </w:r>
      <w:r>
        <w:rPr>
          <w:color w:val="1F664D"/>
          <w:w w:val="105"/>
          <w:sz w:val="22"/>
        </w:rPr>
        <w:t>Dynamics</w:t>
      </w:r>
    </w:p>
    <w:p>
      <w:pPr>
        <w:pStyle w:val="BodyText"/>
        <w:spacing w:before="4"/>
        <w:rPr>
          <w:sz w:val="25"/>
        </w:rPr>
      </w:pPr>
    </w:p>
    <w:p>
      <w:pPr>
        <w:pStyle w:val="ListParagraph"/>
        <w:numPr>
          <w:ilvl w:val="3"/>
          <w:numId w:val="28"/>
        </w:numPr>
        <w:tabs>
          <w:tab w:pos="1085" w:val="left" w:leader="none"/>
        </w:tabs>
        <w:spacing w:line="240" w:lineRule="auto" w:before="1" w:after="0"/>
        <w:ind w:left="1084" w:right="0" w:hanging="865"/>
        <w:jc w:val="left"/>
        <w:rPr>
          <w:i/>
          <w:sz w:val="20"/>
        </w:rPr>
      </w:pPr>
      <w:r>
        <w:rPr>
          <w:i/>
          <w:color w:val="008000"/>
          <w:sz w:val="20"/>
        </w:rPr>
        <w:t>Demand,</w:t>
      </w:r>
      <w:r>
        <w:rPr>
          <w:i/>
          <w:color w:val="008000"/>
          <w:spacing w:val="-7"/>
          <w:sz w:val="20"/>
        </w:rPr>
        <w:t> </w:t>
      </w:r>
      <w:r>
        <w:rPr>
          <w:i/>
          <w:color w:val="008000"/>
          <w:sz w:val="20"/>
        </w:rPr>
        <w:t>Supply</w:t>
      </w:r>
      <w:r>
        <w:rPr>
          <w:i/>
          <w:color w:val="008000"/>
          <w:spacing w:val="-6"/>
          <w:sz w:val="20"/>
        </w:rPr>
        <w:t> </w:t>
      </w:r>
      <w:r>
        <w:rPr>
          <w:i/>
          <w:color w:val="008000"/>
          <w:sz w:val="20"/>
        </w:rPr>
        <w:t>and</w:t>
      </w:r>
      <w:r>
        <w:rPr>
          <w:i/>
          <w:color w:val="008000"/>
          <w:spacing w:val="-7"/>
          <w:sz w:val="20"/>
        </w:rPr>
        <w:t> </w:t>
      </w:r>
      <w:r>
        <w:rPr>
          <w:i/>
          <w:color w:val="008000"/>
          <w:sz w:val="20"/>
        </w:rPr>
        <w:t>Vacancy</w:t>
      </w:r>
      <w:r>
        <w:rPr>
          <w:i/>
          <w:color w:val="008000"/>
          <w:spacing w:val="-6"/>
          <w:sz w:val="20"/>
        </w:rPr>
        <w:t> </w:t>
      </w:r>
      <w:r>
        <w:rPr>
          <w:i/>
          <w:color w:val="008000"/>
          <w:sz w:val="20"/>
        </w:rPr>
        <w:t>Trends</w:t>
      </w:r>
      <w:r>
        <w:rPr>
          <w:i/>
          <w:color w:val="008000"/>
          <w:spacing w:val="-5"/>
          <w:sz w:val="20"/>
        </w:rPr>
        <w:t> </w:t>
      </w:r>
      <w:r>
        <w:rPr>
          <w:i/>
          <w:color w:val="008000"/>
          <w:w w:val="105"/>
          <w:sz w:val="20"/>
        </w:rPr>
        <w:t>–</w:t>
      </w:r>
      <w:r>
        <w:rPr>
          <w:i/>
          <w:color w:val="008000"/>
          <w:spacing w:val="-8"/>
          <w:w w:val="105"/>
          <w:sz w:val="20"/>
        </w:rPr>
        <w:t> </w:t>
      </w:r>
      <w:r>
        <w:rPr>
          <w:i/>
          <w:color w:val="008000"/>
          <w:sz w:val="20"/>
        </w:rPr>
        <w:t>Bengaluru</w:t>
      </w:r>
      <w:r>
        <w:rPr>
          <w:i/>
          <w:color w:val="008000"/>
          <w:spacing w:val="-7"/>
          <w:sz w:val="20"/>
        </w:rPr>
        <w:t> </w:t>
      </w:r>
      <w:r>
        <w:rPr>
          <w:i/>
          <w:color w:val="008000"/>
          <w:sz w:val="20"/>
        </w:rPr>
        <w:t>and</w:t>
      </w:r>
      <w:r>
        <w:rPr>
          <w:i/>
          <w:color w:val="008000"/>
          <w:spacing w:val="-4"/>
          <w:sz w:val="20"/>
        </w:rPr>
        <w:t> </w:t>
      </w:r>
      <w:r>
        <w:rPr>
          <w:i/>
          <w:color w:val="008000"/>
          <w:sz w:val="20"/>
        </w:rPr>
        <w:t>North</w:t>
      </w:r>
      <w:r>
        <w:rPr>
          <w:i/>
          <w:color w:val="008000"/>
          <w:spacing w:val="-7"/>
          <w:sz w:val="20"/>
        </w:rPr>
        <w:t> </w:t>
      </w:r>
      <w:r>
        <w:rPr>
          <w:i/>
          <w:color w:val="008000"/>
          <w:sz w:val="20"/>
        </w:rPr>
        <w:t>Bengaluru</w:t>
      </w:r>
      <w:r>
        <w:rPr>
          <w:i/>
          <w:color w:val="008000"/>
          <w:spacing w:val="-6"/>
          <w:sz w:val="20"/>
        </w:rPr>
        <w:t> </w:t>
      </w:r>
      <w:r>
        <w:rPr>
          <w:i/>
          <w:color w:val="008000"/>
          <w:sz w:val="20"/>
        </w:rPr>
        <w:t>sub</w:t>
      </w:r>
      <w:r>
        <w:rPr>
          <w:i/>
          <w:color w:val="008000"/>
          <w:spacing w:val="-7"/>
          <w:sz w:val="20"/>
        </w:rPr>
        <w:t> </w:t>
      </w:r>
      <w:r>
        <w:rPr>
          <w:i/>
          <w:color w:val="008000"/>
          <w:sz w:val="20"/>
        </w:rPr>
        <w:t>market</w:t>
      </w:r>
    </w:p>
    <w:p>
      <w:pPr>
        <w:pStyle w:val="BodyText"/>
        <w:spacing w:before="5"/>
        <w:rPr>
          <w:i/>
          <w:sz w:val="24"/>
        </w:rPr>
      </w:pPr>
    </w:p>
    <w:p>
      <w:pPr>
        <w:pStyle w:val="BodyText"/>
        <w:spacing w:line="280" w:lineRule="auto"/>
        <w:ind w:left="760" w:right="195"/>
        <w:jc w:val="both"/>
      </w:pPr>
      <w:r>
        <w:rPr/>
        <w:t>Total</w:t>
      </w:r>
      <w:r>
        <w:rPr>
          <w:spacing w:val="-21"/>
        </w:rPr>
        <w:t> </w:t>
      </w:r>
      <w:r>
        <w:rPr/>
        <w:t>completed</w:t>
      </w:r>
      <w:r>
        <w:rPr>
          <w:spacing w:val="-21"/>
        </w:rPr>
        <w:t> </w:t>
      </w:r>
      <w:r>
        <w:rPr/>
        <w:t>stock</w:t>
      </w:r>
      <w:r>
        <w:rPr>
          <w:spacing w:val="-19"/>
        </w:rPr>
        <w:t> </w:t>
      </w:r>
      <w:r>
        <w:rPr/>
        <w:t>in</w:t>
      </w:r>
      <w:r>
        <w:rPr>
          <w:spacing w:val="-21"/>
        </w:rPr>
        <w:t> </w:t>
      </w:r>
      <w:r>
        <w:rPr/>
        <w:t>Bengaluru</w:t>
      </w:r>
      <w:r>
        <w:rPr>
          <w:spacing w:val="-20"/>
        </w:rPr>
        <w:t> </w:t>
      </w:r>
      <w:r>
        <w:rPr/>
        <w:t>as</w:t>
      </w:r>
      <w:r>
        <w:rPr>
          <w:spacing w:val="-18"/>
        </w:rPr>
        <w:t> </w:t>
      </w:r>
      <w:r>
        <w:rPr/>
        <w:t>of</w:t>
      </w:r>
      <w:r>
        <w:rPr>
          <w:spacing w:val="-21"/>
        </w:rPr>
        <w:t> </w:t>
      </w:r>
      <w:r>
        <w:rPr/>
        <w:t>Q4,</w:t>
      </w:r>
      <w:r>
        <w:rPr>
          <w:spacing w:val="-20"/>
        </w:rPr>
        <w:t> </w:t>
      </w:r>
      <w:r>
        <w:rPr/>
        <w:t>2019</w:t>
      </w:r>
      <w:r>
        <w:rPr>
          <w:spacing w:val="-19"/>
        </w:rPr>
        <w:t> </w:t>
      </w:r>
      <w:r>
        <w:rPr/>
        <w:t>is</w:t>
      </w:r>
      <w:r>
        <w:rPr>
          <w:spacing w:val="-19"/>
        </w:rPr>
        <w:t> </w:t>
      </w:r>
      <w:r>
        <w:rPr/>
        <w:t>157.47</w:t>
      </w:r>
      <w:r>
        <w:rPr>
          <w:spacing w:val="-20"/>
        </w:rPr>
        <w:t> </w:t>
      </w:r>
      <w:r>
        <w:rPr/>
        <w:t>msf,</w:t>
      </w:r>
      <w:r>
        <w:rPr>
          <w:spacing w:val="-20"/>
        </w:rPr>
        <w:t> </w:t>
      </w:r>
      <w:r>
        <w:rPr/>
        <w:t>out</w:t>
      </w:r>
      <w:r>
        <w:rPr>
          <w:spacing w:val="-18"/>
        </w:rPr>
        <w:t> </w:t>
      </w:r>
      <w:r>
        <w:rPr/>
        <w:t>of</w:t>
      </w:r>
      <w:r>
        <w:rPr>
          <w:spacing w:val="-19"/>
        </w:rPr>
        <w:t> </w:t>
      </w:r>
      <w:r>
        <w:rPr/>
        <w:t>which</w:t>
      </w:r>
      <w:r>
        <w:rPr>
          <w:spacing w:val="-20"/>
        </w:rPr>
        <w:t> </w:t>
      </w:r>
      <w:r>
        <w:rPr/>
        <w:t>North</w:t>
      </w:r>
      <w:r>
        <w:rPr>
          <w:spacing w:val="-20"/>
        </w:rPr>
        <w:t> </w:t>
      </w:r>
      <w:r>
        <w:rPr/>
        <w:t>Bengaluru</w:t>
      </w:r>
      <w:r>
        <w:rPr>
          <w:spacing w:val="-19"/>
        </w:rPr>
        <w:t> </w:t>
      </w:r>
      <w:r>
        <w:rPr/>
        <w:t>account for Approx.</w:t>
      </w:r>
      <w:r>
        <w:rPr>
          <w:spacing w:val="-4"/>
        </w:rPr>
        <w:t> </w:t>
      </w:r>
      <w:r>
        <w:rPr/>
        <w:t>12.5%.</w:t>
      </w:r>
    </w:p>
    <w:p>
      <w:pPr>
        <w:pStyle w:val="BodyText"/>
        <w:spacing w:before="8"/>
        <w:rPr>
          <w:sz w:val="7"/>
        </w:rPr>
      </w:pPr>
    </w:p>
    <w:tbl>
      <w:tblPr>
        <w:tblW w:w="0" w:type="auto"/>
        <w:jc w:val="left"/>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59"/>
        <w:gridCol w:w="3059"/>
        <w:gridCol w:w="3086"/>
      </w:tblGrid>
      <w:tr>
        <w:trPr>
          <w:trHeight w:val="457" w:hRule="atLeast"/>
        </w:trPr>
        <w:tc>
          <w:tcPr>
            <w:tcW w:w="4259" w:type="dxa"/>
            <w:tcBorders>
              <w:top w:val="single" w:sz="12" w:space="0" w:color="1F6B16"/>
            </w:tcBorders>
            <w:shd w:val="clear" w:color="auto" w:fill="006A4D"/>
          </w:tcPr>
          <w:p>
            <w:pPr>
              <w:pStyle w:val="TableParagraph"/>
              <w:spacing w:before="125"/>
              <w:ind w:left="213" w:right="299"/>
              <w:rPr>
                <w:b/>
                <w:sz w:val="18"/>
              </w:rPr>
            </w:pPr>
            <w:r>
              <w:rPr>
                <w:b/>
                <w:color w:val="FFFFFF"/>
                <w:w w:val="105"/>
                <w:sz w:val="18"/>
              </w:rPr>
              <w:t>Particular</w:t>
            </w:r>
          </w:p>
        </w:tc>
        <w:tc>
          <w:tcPr>
            <w:tcW w:w="3059" w:type="dxa"/>
            <w:tcBorders>
              <w:top w:val="single" w:sz="12" w:space="0" w:color="1F6B16"/>
              <w:bottom w:val="single" w:sz="6" w:space="0" w:color="69BD28"/>
            </w:tcBorders>
            <w:shd w:val="clear" w:color="auto" w:fill="006A4D"/>
          </w:tcPr>
          <w:p>
            <w:pPr>
              <w:pStyle w:val="TableParagraph"/>
              <w:spacing w:before="125"/>
              <w:ind w:left="632" w:right="748"/>
              <w:rPr>
                <w:b/>
                <w:sz w:val="18"/>
              </w:rPr>
            </w:pPr>
            <w:r>
              <w:rPr>
                <w:b/>
                <w:color w:val="FFFFFF"/>
                <w:w w:val="110"/>
                <w:sz w:val="18"/>
              </w:rPr>
              <w:t>Bengaluru</w:t>
            </w:r>
          </w:p>
        </w:tc>
        <w:tc>
          <w:tcPr>
            <w:tcW w:w="3086" w:type="dxa"/>
            <w:tcBorders>
              <w:top w:val="single" w:sz="12" w:space="0" w:color="1F6B16"/>
              <w:bottom w:val="single" w:sz="6" w:space="0" w:color="69BD28"/>
            </w:tcBorders>
            <w:shd w:val="clear" w:color="auto" w:fill="006A4D"/>
          </w:tcPr>
          <w:p>
            <w:pPr>
              <w:pStyle w:val="TableParagraph"/>
              <w:spacing w:before="125"/>
              <w:ind w:left="751" w:right="779"/>
              <w:rPr>
                <w:b/>
                <w:sz w:val="18"/>
              </w:rPr>
            </w:pPr>
            <w:r>
              <w:rPr>
                <w:b/>
                <w:color w:val="FFFFFF"/>
                <w:w w:val="110"/>
                <w:sz w:val="18"/>
              </w:rPr>
              <w:t>North Bengaluru</w:t>
            </w:r>
          </w:p>
        </w:tc>
      </w:tr>
      <w:tr>
        <w:trPr>
          <w:trHeight w:val="520" w:hRule="atLeast"/>
        </w:trPr>
        <w:tc>
          <w:tcPr>
            <w:tcW w:w="4259" w:type="dxa"/>
            <w:vMerge w:val="restart"/>
            <w:shd w:val="clear" w:color="auto" w:fill="69BD28"/>
          </w:tcPr>
          <w:p>
            <w:pPr>
              <w:pStyle w:val="TableParagraph"/>
              <w:spacing w:line="621" w:lineRule="auto" w:before="123"/>
              <w:ind w:left="374" w:right="299"/>
              <w:rPr>
                <w:sz w:val="18"/>
              </w:rPr>
            </w:pPr>
            <w:r>
              <w:rPr>
                <w:color w:val="FFFFFF"/>
                <w:sz w:val="18"/>
              </w:rPr>
              <w:t>Cumulative</w:t>
            </w:r>
            <w:r>
              <w:rPr>
                <w:color w:val="FFFFFF"/>
                <w:spacing w:val="-17"/>
                <w:sz w:val="18"/>
              </w:rPr>
              <w:t> </w:t>
            </w:r>
            <w:r>
              <w:rPr>
                <w:color w:val="FFFFFF"/>
                <w:sz w:val="18"/>
              </w:rPr>
              <w:t>completed</w:t>
            </w:r>
            <w:r>
              <w:rPr>
                <w:color w:val="FFFFFF"/>
                <w:spacing w:val="-18"/>
                <w:sz w:val="18"/>
              </w:rPr>
              <w:t> </w:t>
            </w:r>
            <w:r>
              <w:rPr>
                <w:color w:val="FFFFFF"/>
                <w:sz w:val="18"/>
              </w:rPr>
              <w:t>office</w:t>
            </w:r>
            <w:r>
              <w:rPr>
                <w:color w:val="FFFFFF"/>
                <w:spacing w:val="-17"/>
                <w:sz w:val="18"/>
              </w:rPr>
              <w:t> </w:t>
            </w:r>
            <w:r>
              <w:rPr>
                <w:color w:val="FFFFFF"/>
                <w:sz w:val="18"/>
              </w:rPr>
              <w:t>stock</w:t>
            </w:r>
            <w:r>
              <w:rPr>
                <w:color w:val="FFFFFF"/>
                <w:spacing w:val="-17"/>
                <w:sz w:val="18"/>
              </w:rPr>
              <w:t> </w:t>
            </w:r>
            <w:r>
              <w:rPr>
                <w:color w:val="FFFFFF"/>
                <w:sz w:val="18"/>
              </w:rPr>
              <w:t>(Q4</w:t>
            </w:r>
            <w:r>
              <w:rPr>
                <w:color w:val="FFFFFF"/>
                <w:spacing w:val="-18"/>
                <w:sz w:val="18"/>
              </w:rPr>
              <w:t> </w:t>
            </w:r>
            <w:r>
              <w:rPr>
                <w:color w:val="FFFFFF"/>
                <w:sz w:val="18"/>
              </w:rPr>
              <w:t>2019) Cumulative occupied stock (Q4 2019) Current vacancy (Q4</w:t>
            </w:r>
            <w:r>
              <w:rPr>
                <w:color w:val="FFFFFF"/>
                <w:spacing w:val="-3"/>
                <w:sz w:val="18"/>
              </w:rPr>
              <w:t> </w:t>
            </w:r>
            <w:r>
              <w:rPr>
                <w:color w:val="FFFFFF"/>
                <w:sz w:val="18"/>
              </w:rPr>
              <w:t>2019)</w:t>
            </w:r>
          </w:p>
          <w:p>
            <w:pPr>
              <w:pStyle w:val="TableParagraph"/>
              <w:spacing w:line="208" w:lineRule="exact"/>
              <w:ind w:left="159" w:right="87"/>
              <w:rPr>
                <w:sz w:val="18"/>
              </w:rPr>
            </w:pPr>
            <w:r>
              <w:rPr>
                <w:color w:val="FFFFFF"/>
                <w:w w:val="105"/>
                <w:sz w:val="18"/>
              </w:rPr>
              <w:t>Average annual office absorption (2014 – 2019)</w:t>
            </w:r>
          </w:p>
        </w:tc>
        <w:tc>
          <w:tcPr>
            <w:tcW w:w="3059" w:type="dxa"/>
            <w:tcBorders>
              <w:top w:val="single" w:sz="6" w:space="0" w:color="69BD28"/>
              <w:bottom w:val="single" w:sz="6" w:space="0" w:color="69BD28"/>
            </w:tcBorders>
          </w:tcPr>
          <w:p>
            <w:pPr>
              <w:pStyle w:val="TableParagraph"/>
              <w:spacing w:before="123"/>
              <w:ind w:left="706" w:right="748"/>
              <w:rPr>
                <w:sz w:val="18"/>
              </w:rPr>
            </w:pPr>
            <w:r>
              <w:rPr>
                <w:sz w:val="18"/>
              </w:rPr>
              <w:t>Approx. 157.47 msf</w:t>
            </w:r>
          </w:p>
        </w:tc>
        <w:tc>
          <w:tcPr>
            <w:tcW w:w="3086" w:type="dxa"/>
            <w:tcBorders>
              <w:top w:val="single" w:sz="6" w:space="0" w:color="69BD28"/>
              <w:bottom w:val="single" w:sz="6" w:space="0" w:color="69BD28"/>
            </w:tcBorders>
          </w:tcPr>
          <w:p>
            <w:pPr>
              <w:pStyle w:val="TableParagraph"/>
              <w:spacing w:before="123"/>
              <w:ind w:left="751" w:right="778"/>
              <w:rPr>
                <w:sz w:val="18"/>
              </w:rPr>
            </w:pPr>
            <w:r>
              <w:rPr>
                <w:sz w:val="18"/>
              </w:rPr>
              <w:t>Approx. 19.6 msf</w:t>
            </w:r>
          </w:p>
        </w:tc>
      </w:tr>
      <w:tr>
        <w:trPr>
          <w:trHeight w:val="525" w:hRule="atLeast"/>
        </w:trPr>
        <w:tc>
          <w:tcPr>
            <w:tcW w:w="4259" w:type="dxa"/>
            <w:vMerge/>
            <w:tcBorders>
              <w:top w:val="nil"/>
            </w:tcBorders>
            <w:shd w:val="clear" w:color="auto" w:fill="69BD28"/>
          </w:tcPr>
          <w:p>
            <w:pPr>
              <w:rPr>
                <w:sz w:val="2"/>
                <w:szCs w:val="2"/>
              </w:rPr>
            </w:pPr>
          </w:p>
        </w:tc>
        <w:tc>
          <w:tcPr>
            <w:tcW w:w="3059" w:type="dxa"/>
            <w:tcBorders>
              <w:top w:val="single" w:sz="6" w:space="0" w:color="69BD28"/>
              <w:bottom w:val="single" w:sz="6" w:space="0" w:color="69BD28"/>
            </w:tcBorders>
          </w:tcPr>
          <w:p>
            <w:pPr>
              <w:pStyle w:val="TableParagraph"/>
              <w:spacing w:before="128"/>
              <w:ind w:left="706" w:right="748"/>
              <w:rPr>
                <w:sz w:val="18"/>
              </w:rPr>
            </w:pPr>
            <w:r>
              <w:rPr>
                <w:sz w:val="18"/>
              </w:rPr>
              <w:t>Approx. 151.00 msf</w:t>
            </w:r>
          </w:p>
        </w:tc>
        <w:tc>
          <w:tcPr>
            <w:tcW w:w="3086" w:type="dxa"/>
            <w:tcBorders>
              <w:top w:val="single" w:sz="6" w:space="0" w:color="69BD28"/>
              <w:bottom w:val="single" w:sz="6" w:space="0" w:color="69BD28"/>
            </w:tcBorders>
          </w:tcPr>
          <w:p>
            <w:pPr>
              <w:pStyle w:val="TableParagraph"/>
              <w:spacing w:before="128"/>
              <w:ind w:left="751" w:right="778"/>
              <w:rPr>
                <w:sz w:val="18"/>
              </w:rPr>
            </w:pPr>
            <w:r>
              <w:rPr>
                <w:sz w:val="18"/>
              </w:rPr>
              <w:t>Approx. 18.6 msf</w:t>
            </w:r>
          </w:p>
        </w:tc>
      </w:tr>
      <w:tr>
        <w:trPr>
          <w:trHeight w:val="525" w:hRule="atLeast"/>
        </w:trPr>
        <w:tc>
          <w:tcPr>
            <w:tcW w:w="4259" w:type="dxa"/>
            <w:vMerge/>
            <w:tcBorders>
              <w:top w:val="nil"/>
            </w:tcBorders>
            <w:shd w:val="clear" w:color="auto" w:fill="69BD28"/>
          </w:tcPr>
          <w:p>
            <w:pPr>
              <w:rPr>
                <w:sz w:val="2"/>
                <w:szCs w:val="2"/>
              </w:rPr>
            </w:pPr>
          </w:p>
        </w:tc>
        <w:tc>
          <w:tcPr>
            <w:tcW w:w="3059" w:type="dxa"/>
            <w:tcBorders>
              <w:top w:val="single" w:sz="6" w:space="0" w:color="69BD28"/>
              <w:bottom w:val="single" w:sz="6" w:space="0" w:color="69BD28"/>
            </w:tcBorders>
          </w:tcPr>
          <w:p>
            <w:pPr>
              <w:pStyle w:val="TableParagraph"/>
              <w:spacing w:before="130"/>
              <w:ind w:left="702" w:right="748"/>
              <w:rPr>
                <w:sz w:val="18"/>
              </w:rPr>
            </w:pPr>
            <w:r>
              <w:rPr>
                <w:w w:val="105"/>
                <w:sz w:val="18"/>
              </w:rPr>
              <w:t>Approx. 4.1%</w:t>
            </w:r>
          </w:p>
        </w:tc>
        <w:tc>
          <w:tcPr>
            <w:tcW w:w="3086" w:type="dxa"/>
            <w:tcBorders>
              <w:top w:val="single" w:sz="6" w:space="0" w:color="69BD28"/>
              <w:bottom w:val="single" w:sz="6" w:space="0" w:color="69BD28"/>
            </w:tcBorders>
          </w:tcPr>
          <w:p>
            <w:pPr>
              <w:pStyle w:val="TableParagraph"/>
              <w:spacing w:before="130"/>
              <w:ind w:left="748" w:right="779"/>
              <w:rPr>
                <w:sz w:val="18"/>
              </w:rPr>
            </w:pPr>
            <w:r>
              <w:rPr>
                <w:w w:val="105"/>
                <w:sz w:val="18"/>
              </w:rPr>
              <w:t>Approx. 5.4%</w:t>
            </w:r>
          </w:p>
        </w:tc>
      </w:tr>
      <w:tr>
        <w:trPr>
          <w:trHeight w:val="528" w:hRule="atLeast"/>
        </w:trPr>
        <w:tc>
          <w:tcPr>
            <w:tcW w:w="4259" w:type="dxa"/>
            <w:vMerge/>
            <w:tcBorders>
              <w:top w:val="nil"/>
            </w:tcBorders>
            <w:shd w:val="clear" w:color="auto" w:fill="69BD28"/>
          </w:tcPr>
          <w:p>
            <w:pPr>
              <w:rPr>
                <w:sz w:val="2"/>
                <w:szCs w:val="2"/>
              </w:rPr>
            </w:pPr>
          </w:p>
        </w:tc>
        <w:tc>
          <w:tcPr>
            <w:tcW w:w="3059" w:type="dxa"/>
            <w:tcBorders>
              <w:top w:val="single" w:sz="6" w:space="0" w:color="69BD28"/>
              <w:bottom w:val="single" w:sz="6" w:space="0" w:color="69BD28"/>
            </w:tcBorders>
          </w:tcPr>
          <w:p>
            <w:pPr>
              <w:pStyle w:val="TableParagraph"/>
              <w:spacing w:before="131"/>
              <w:ind w:left="1154"/>
              <w:jc w:val="left"/>
              <w:rPr>
                <w:sz w:val="18"/>
              </w:rPr>
            </w:pPr>
            <w:r>
              <w:rPr>
                <w:w w:val="105"/>
                <w:sz w:val="18"/>
              </w:rPr>
              <w:t>11.3 msf</w:t>
            </w:r>
          </w:p>
        </w:tc>
        <w:tc>
          <w:tcPr>
            <w:tcW w:w="3086" w:type="dxa"/>
            <w:tcBorders>
              <w:top w:val="single" w:sz="6" w:space="0" w:color="69BD28"/>
              <w:bottom w:val="single" w:sz="6" w:space="0" w:color="69BD28"/>
            </w:tcBorders>
          </w:tcPr>
          <w:p>
            <w:pPr>
              <w:pStyle w:val="TableParagraph"/>
              <w:spacing w:before="131"/>
              <w:ind w:left="1228"/>
              <w:jc w:val="left"/>
              <w:rPr>
                <w:sz w:val="18"/>
              </w:rPr>
            </w:pPr>
            <w:r>
              <w:rPr>
                <w:sz w:val="18"/>
              </w:rPr>
              <w:t>1.5 msf</w:t>
            </w:r>
          </w:p>
        </w:tc>
      </w:tr>
    </w:tbl>
    <w:p>
      <w:pPr>
        <w:spacing w:before="9"/>
        <w:ind w:left="786" w:right="0" w:firstLine="0"/>
        <w:jc w:val="both"/>
        <w:rPr>
          <w:i/>
          <w:sz w:val="18"/>
        </w:rPr>
      </w:pPr>
      <w:r>
        <w:rPr>
          <w:i/>
          <w:sz w:val="18"/>
        </w:rPr>
        <w:t>Source:</w:t>
      </w:r>
      <w:r>
        <w:rPr>
          <w:i/>
          <w:spacing w:val="-33"/>
          <w:sz w:val="18"/>
        </w:rPr>
        <w:t> </w:t>
      </w:r>
      <w:r>
        <w:rPr>
          <w:i/>
          <w:sz w:val="18"/>
        </w:rPr>
        <w:t>CBRE</w:t>
      </w:r>
      <w:r>
        <w:rPr>
          <w:i/>
          <w:spacing w:val="-31"/>
          <w:sz w:val="18"/>
        </w:rPr>
        <w:t> </w:t>
      </w:r>
      <w:r>
        <w:rPr>
          <w:i/>
          <w:sz w:val="18"/>
        </w:rPr>
        <w:t>Research</w:t>
      </w:r>
    </w:p>
    <w:p>
      <w:pPr>
        <w:spacing w:after="0"/>
        <w:jc w:val="both"/>
        <w:rPr>
          <w:sz w:val="18"/>
        </w:rPr>
        <w:sectPr>
          <w:pgSz w:w="11910" w:h="16840"/>
          <w:pgMar w:header="720" w:footer="842" w:top="1660" w:bottom="1040" w:left="500" w:right="520"/>
        </w:sectPr>
      </w:pPr>
    </w:p>
    <w:p>
      <w:pPr>
        <w:pStyle w:val="BodyText"/>
        <w:spacing w:before="4"/>
        <w:rPr>
          <w:i/>
          <w:sz w:val="18"/>
        </w:rPr>
      </w:pPr>
    </w:p>
    <w:p>
      <w:pPr>
        <w:pStyle w:val="BodyText"/>
        <w:ind w:left="268"/>
        <w:rPr>
          <w:sz w:val="20"/>
        </w:rPr>
      </w:pPr>
      <w:r>
        <w:rPr>
          <w:sz w:val="20"/>
        </w:rPr>
        <w:pict>
          <v:group style="width:518.8pt;height:15.5pt;mso-position-horizontal-relative:char;mso-position-vertical-relative:line" coordorigin="0,0" coordsize="10376,310">
            <v:rect style="position:absolute;left:0;top:28;width:10376;height:281" filled="true" fillcolor="#006a4d" stroked="false">
              <v:fill type="solid"/>
            </v:rect>
            <v:rect style="position:absolute;left:0;top:0;width:10373;height:29" filled="true" fillcolor="#1f6b16" stroked="false">
              <v:fill type="solid"/>
            </v:rect>
            <v:rect style="position:absolute;left:0;top:28;width:10373;height:3" filled="true" fillcolor="#006a4d" stroked="false">
              <v:fill type="solid"/>
            </v:rect>
            <v:shape style="position:absolute;left:0;top:28;width:10376;height:281" type="#_x0000_t202" filled="false" stroked="false">
              <v:textbox inset="0,0,0,0">
                <w:txbxContent>
                  <w:p>
                    <w:pPr>
                      <w:spacing w:before="37"/>
                      <w:ind w:left="3275" w:right="3276" w:firstLine="0"/>
                      <w:jc w:val="center"/>
                      <w:rPr>
                        <w:b/>
                        <w:sz w:val="18"/>
                      </w:rPr>
                    </w:pPr>
                    <w:r>
                      <w:rPr>
                        <w:b/>
                        <w:color w:val="FFFFFF"/>
                        <w:w w:val="115"/>
                        <w:sz w:val="18"/>
                      </w:rPr>
                      <w:t>Demand – Supply Dynamics (Bengaluru)</w:t>
                    </w:r>
                  </w:p>
                </w:txbxContent>
              </v:textbox>
              <w10:wrap type="none"/>
            </v:shape>
          </v:group>
        </w:pict>
      </w:r>
      <w:r>
        <w:rPr>
          <w:sz w:val="20"/>
        </w:rPr>
      </w:r>
    </w:p>
    <w:p>
      <w:pPr>
        <w:pStyle w:val="BodyText"/>
        <w:spacing w:before="4"/>
        <w:rPr>
          <w:i/>
          <w:sz w:val="20"/>
        </w:rPr>
      </w:pPr>
    </w:p>
    <w:p>
      <w:pPr>
        <w:spacing w:after="0"/>
        <w:rPr>
          <w:sz w:val="20"/>
        </w:rPr>
        <w:sectPr>
          <w:pgSz w:w="11910" w:h="16840"/>
          <w:pgMar w:header="720" w:footer="842" w:top="1660" w:bottom="1040" w:left="500" w:right="520"/>
        </w:sectPr>
      </w:pPr>
    </w:p>
    <w:p>
      <w:pPr>
        <w:spacing w:before="107"/>
        <w:ind w:left="0" w:right="0" w:firstLine="0"/>
        <w:jc w:val="right"/>
        <w:rPr>
          <w:sz w:val="20"/>
        </w:rPr>
      </w:pPr>
      <w:r>
        <w:rPr>
          <w:w w:val="105"/>
          <w:sz w:val="20"/>
        </w:rPr>
        <w:t>16.0</w:t>
      </w:r>
    </w:p>
    <w:p>
      <w:pPr>
        <w:spacing w:before="163"/>
        <w:ind w:left="0" w:right="0" w:firstLine="0"/>
        <w:jc w:val="right"/>
        <w:rPr>
          <w:sz w:val="20"/>
        </w:rPr>
      </w:pPr>
      <w:r>
        <w:rPr/>
        <w:pict>
          <v:shape style="position:absolute;margin-left:87.071518pt;margin-top:19.262928pt;width:14.15pt;height:101.75pt;mso-position-horizontal-relative:page;mso-position-vertical-relative:paragraph;z-index:15921664" type="#_x0000_t202" filled="false" stroked="false">
            <v:textbox inset="0,0,0,0" style="layout-flow:vertical;mso-layout-flow-alt:bottom-to-top">
              <w:txbxContent>
                <w:p>
                  <w:pPr>
                    <w:spacing w:before="26"/>
                    <w:ind w:left="20" w:right="0" w:firstLine="0"/>
                    <w:jc w:val="left"/>
                    <w:rPr>
                      <w:sz w:val="20"/>
                    </w:rPr>
                  </w:pPr>
                  <w:r>
                    <w:rPr>
                      <w:w w:val="95"/>
                      <w:sz w:val="20"/>
                    </w:rPr>
                    <w:t>Suply/Absorption (msf)</w:t>
                  </w:r>
                </w:p>
              </w:txbxContent>
            </v:textbox>
            <w10:wrap type="none"/>
          </v:shape>
        </w:pict>
      </w:r>
      <w:r>
        <w:rPr>
          <w:w w:val="105"/>
          <w:sz w:val="20"/>
        </w:rPr>
        <w:t>14.0</w:t>
      </w:r>
    </w:p>
    <w:p>
      <w:pPr>
        <w:spacing w:before="163"/>
        <w:ind w:left="0" w:right="0" w:firstLine="0"/>
        <w:jc w:val="right"/>
        <w:rPr>
          <w:sz w:val="20"/>
        </w:rPr>
      </w:pPr>
      <w:r>
        <w:rPr>
          <w:w w:val="105"/>
          <w:sz w:val="20"/>
        </w:rPr>
        <w:t>12.0</w:t>
      </w:r>
    </w:p>
    <w:p>
      <w:pPr>
        <w:spacing w:before="162"/>
        <w:ind w:left="0" w:right="0" w:firstLine="0"/>
        <w:jc w:val="right"/>
        <w:rPr>
          <w:sz w:val="20"/>
        </w:rPr>
      </w:pPr>
      <w:r>
        <w:rPr>
          <w:w w:val="105"/>
          <w:sz w:val="20"/>
        </w:rPr>
        <w:t>10.0</w:t>
      </w:r>
    </w:p>
    <w:p>
      <w:pPr>
        <w:spacing w:before="163"/>
        <w:ind w:left="0" w:right="1" w:firstLine="0"/>
        <w:jc w:val="right"/>
        <w:rPr>
          <w:sz w:val="20"/>
        </w:rPr>
      </w:pPr>
      <w:r>
        <w:rPr>
          <w:w w:val="105"/>
          <w:sz w:val="20"/>
        </w:rPr>
        <w:t>8.0</w:t>
      </w:r>
    </w:p>
    <w:p>
      <w:pPr>
        <w:spacing w:before="163"/>
        <w:ind w:left="0" w:right="1" w:firstLine="0"/>
        <w:jc w:val="right"/>
        <w:rPr>
          <w:sz w:val="20"/>
        </w:rPr>
      </w:pPr>
      <w:r>
        <w:rPr>
          <w:w w:val="105"/>
          <w:sz w:val="20"/>
        </w:rPr>
        <w:t>6.0</w:t>
      </w:r>
    </w:p>
    <w:p>
      <w:pPr>
        <w:spacing w:before="162"/>
        <w:ind w:left="0" w:right="1" w:firstLine="0"/>
        <w:jc w:val="right"/>
        <w:rPr>
          <w:sz w:val="20"/>
        </w:rPr>
      </w:pPr>
      <w:r>
        <w:rPr>
          <w:w w:val="105"/>
          <w:sz w:val="20"/>
        </w:rPr>
        <w:t>4.0</w:t>
      </w:r>
    </w:p>
    <w:p>
      <w:pPr>
        <w:spacing w:before="163"/>
        <w:ind w:left="0" w:right="1" w:firstLine="0"/>
        <w:jc w:val="right"/>
        <w:rPr>
          <w:sz w:val="20"/>
        </w:rPr>
      </w:pPr>
      <w:r>
        <w:rPr>
          <w:w w:val="105"/>
          <w:sz w:val="20"/>
        </w:rPr>
        <w:t>2.0</w:t>
      </w:r>
    </w:p>
    <w:p>
      <w:pPr>
        <w:spacing w:before="163"/>
        <w:ind w:left="0" w:right="2" w:firstLine="0"/>
        <w:jc w:val="right"/>
        <w:rPr>
          <w:sz w:val="20"/>
        </w:rPr>
      </w:pPr>
      <w:r>
        <w:rPr>
          <w:w w:val="113"/>
          <w:sz w:val="20"/>
        </w:rPr>
        <w:t>0</w:t>
      </w:r>
    </w:p>
    <w:p>
      <w:pPr>
        <w:pStyle w:val="BodyText"/>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tabs>
          <w:tab w:pos="1503" w:val="left" w:leader="none"/>
          <w:tab w:pos="2570" w:val="left" w:leader="none"/>
          <w:tab w:pos="3638" w:val="left" w:leader="none"/>
          <w:tab w:pos="4705" w:val="left" w:leader="none"/>
          <w:tab w:pos="5772" w:val="left" w:leader="none"/>
        </w:tabs>
        <w:spacing w:before="183"/>
        <w:ind w:left="437" w:right="0" w:firstLine="0"/>
        <w:jc w:val="left"/>
        <w:rPr>
          <w:sz w:val="20"/>
        </w:rPr>
      </w:pPr>
      <w:r>
        <w:rPr>
          <w:w w:val="115"/>
          <w:sz w:val="20"/>
        </w:rPr>
        <w:t>2014</w:t>
        <w:tab/>
        <w:t>2015</w:t>
        <w:tab/>
        <w:t>2016</w:t>
        <w:tab/>
        <w:t>2017</w:t>
        <w:tab/>
        <w:t>2018</w:t>
        <w:tab/>
      </w:r>
      <w:r>
        <w:rPr>
          <w:spacing w:val="-7"/>
          <w:w w:val="115"/>
          <w:sz w:val="20"/>
        </w:rPr>
        <w:t>2019</w:t>
      </w:r>
    </w:p>
    <w:p>
      <w:pPr>
        <w:spacing w:before="107"/>
        <w:ind w:left="445" w:right="0" w:firstLine="0"/>
        <w:jc w:val="left"/>
        <w:rPr>
          <w:sz w:val="20"/>
        </w:rPr>
      </w:pPr>
      <w:r>
        <w:rPr/>
        <w:br w:type="column"/>
      </w:r>
      <w:r>
        <w:rPr>
          <w:w w:val="110"/>
          <w:sz w:val="20"/>
        </w:rPr>
        <w:t>12.0%</w:t>
      </w:r>
    </w:p>
    <w:p>
      <w:pPr>
        <w:pStyle w:val="BodyText"/>
        <w:spacing w:before="4"/>
        <w:rPr>
          <w:sz w:val="25"/>
        </w:rPr>
      </w:pPr>
    </w:p>
    <w:p>
      <w:pPr>
        <w:spacing w:before="0"/>
        <w:ind w:left="445" w:right="0" w:firstLine="0"/>
        <w:jc w:val="left"/>
        <w:rPr>
          <w:sz w:val="20"/>
        </w:rPr>
      </w:pPr>
      <w:r>
        <w:rPr/>
        <w:pict>
          <v:group style="position:absolute;margin-left:147.415146pt;margin-top:-26.474947pt;width:326.150pt;height:164.7pt;mso-position-horizontal-relative:page;mso-position-vertical-relative:paragraph;z-index:15912960" coordorigin="2948,-529" coordsize="6523,3294">
            <v:rect style="position:absolute;left:3099;top:642;width:444;height:2107" filled="true" fillcolor="#006a4d" stroked="false">
              <v:fill type="solid"/>
            </v:rect>
            <v:rect style="position:absolute;left:3543;top:551;width:444;height:2197" filled="true" fillcolor="#69bd28" stroked="false">
              <v:fill type="solid"/>
            </v:rect>
            <v:rect style="position:absolute;left:3543;top:551;width:444;height:2197" filled="false" stroked="true" strokeweight=".504564pt" strokecolor="#ffffff">
              <v:stroke dashstyle="solid"/>
            </v:rect>
            <v:rect style="position:absolute;left:4168;top:259;width:444;height:2490" filled="true" fillcolor="#006a4d" stroked="false">
              <v:fill type="solid"/>
            </v:rect>
            <v:rect style="position:absolute;left:4611;top:380;width:444;height:2369" filled="true" fillcolor="#69bd28" stroked="false">
              <v:fill type="solid"/>
            </v:rect>
            <v:rect style="position:absolute;left:4611;top:380;width:444;height:2369" filled="false" stroked="true" strokeweight=".504565pt" strokecolor="#ffffff">
              <v:stroke dashstyle="solid"/>
            </v:rect>
            <v:rect style="position:absolute;left:5226;top:1186;width:444;height:1563" filled="true" fillcolor="#006a4d" stroked="false">
              <v:fill type="solid"/>
            </v:rect>
            <v:rect style="position:absolute;left:5670;top:400;width:444;height:2349" filled="true" fillcolor="#69bd28" stroked="false">
              <v:fill type="solid"/>
            </v:rect>
            <v:rect style="position:absolute;left:5670;top:400;width:444;height:2349" filled="false" stroked="true" strokeweight=".504565pt" strokecolor="#ffffff">
              <v:stroke dashstyle="solid"/>
            </v:rect>
            <v:rect style="position:absolute;left:6295;top:1227;width:444;height:1522" filled="true" fillcolor="#006a4d" stroked="false">
              <v:fill type="solid"/>
            </v:rect>
            <v:rect style="position:absolute;left:6738;top:924;width:444;height:1825" filled="true" fillcolor="#69bd28" stroked="false">
              <v:fill type="solid"/>
            </v:rect>
            <v:rect style="position:absolute;left:6738;top:924;width:444;height:1825" filled="false" stroked="true" strokeweight=".504562pt" strokecolor="#ffffff">
              <v:stroke dashstyle="solid"/>
            </v:rect>
            <v:rect style="position:absolute;left:7363;top:400;width:444;height:2349" filled="true" fillcolor="#006a4d" stroked="false">
              <v:fill type="solid"/>
            </v:rect>
            <v:rect style="position:absolute;left:7807;top:118;width:444;height:2631" filled="true" fillcolor="#69bd28" stroked="false">
              <v:fill type="solid"/>
            </v:rect>
            <v:rect style="position:absolute;left:7807;top:118;width:444;height:2631" filled="false" stroked="true" strokeweight=".504566pt" strokecolor="#ffffff">
              <v:stroke dashstyle="solid"/>
            </v:rect>
            <v:rect style="position:absolute;left:8432;top:622;width:444;height:2127" filled="true" fillcolor="#006a4d" stroked="false">
              <v:fill type="solid"/>
            </v:rect>
            <v:rect style="position:absolute;left:8876;top:824;width:444;height:1925" filled="true" fillcolor="#69bd28" stroked="false">
              <v:fill type="solid"/>
            </v:rect>
            <v:rect style="position:absolute;left:8876;top:824;width:444;height:1925" filled="false" stroked="true" strokeweight=".504563pt" strokecolor="#ffffff">
              <v:stroke dashstyle="solid"/>
            </v:rect>
            <v:shape style="position:absolute;left:2948;top:-406;width:6523;height:3155" coordorigin="2948,-405" coordsize="6523,3155" path="m9410,2749l9410,-405m9410,2749l9471,2749m9410,2225l9471,2225m9410,1701l9471,1701m9410,1177l9471,1177m9410,653l9471,653m9410,129l9471,129m9410,-405l9471,-405m3009,2749l3009,-405m2948,2749l3009,2749m2948,2356l3009,2356m2948,1963l3009,1963m2948,1570l3009,1570m2948,1177l3009,1177m2948,784l3009,784m2948,391l3009,391m2948,-2l3009,-2m2948,-405l3009,-405m3009,2749l9410,2749e" filled="false" stroked="true" strokeweight="1.511946pt" strokecolor="#000000">
              <v:path arrowok="t"/>
              <v:stroke dashstyle="solid"/>
            </v:shape>
            <v:shape style="position:absolute;left:3543;top:-154;width:5334;height:1935" coordorigin="3543,-154" coordsize="5334,1935" path="m3543,-154l4612,18,5670,1016,6739,1419,7807,1781,8876,1671e" filled="false" stroked="true" strokeweight=".504421pt" strokecolor="#c00000">
              <v:path arrowok="t"/>
              <v:stroke dashstyle="solid"/>
            </v:shape>
            <v:shape style="position:absolute;left:3475;top:-217;width:132;height:132" type="#_x0000_t75" stroked="false">
              <v:imagedata r:id="rId82" o:title=""/>
            </v:shape>
            <v:shape style="position:absolute;left:4543;top:-46;width:132;height:132" type="#_x0000_t75" stroked="false">
              <v:imagedata r:id="rId83" o:title=""/>
            </v:shape>
            <v:shape style="position:absolute;left:5602;top:952;width:132;height:132" type="#_x0000_t75" stroked="false">
              <v:imagedata r:id="rId83" o:title=""/>
            </v:shape>
            <v:shape style="position:absolute;left:6671;top:1355;width:132;height:132" type="#_x0000_t75" stroked="false">
              <v:imagedata r:id="rId84" o:title=""/>
            </v:shape>
            <v:shape style="position:absolute;left:7739;top:1718;width:132;height:132" type="#_x0000_t75" stroked="false">
              <v:imagedata r:id="rId85" o:title=""/>
            </v:shape>
            <v:shape style="position:absolute;left:8808;top:1607;width:132;height:132" type="#_x0000_t75" stroked="false">
              <v:imagedata r:id="rId86" o:title=""/>
            </v:shape>
            <v:shape style="position:absolute;left:3255;top:-530;width:592;height:242" type="#_x0000_t202" filled="false" stroked="false">
              <v:textbox inset="0,0,0,0">
                <w:txbxContent>
                  <w:p>
                    <w:pPr>
                      <w:spacing w:before="6"/>
                      <w:ind w:left="0" w:right="0" w:firstLine="0"/>
                      <w:jc w:val="left"/>
                      <w:rPr>
                        <w:sz w:val="20"/>
                      </w:rPr>
                    </w:pPr>
                    <w:r>
                      <w:rPr>
                        <w:w w:val="110"/>
                        <w:sz w:val="20"/>
                      </w:rPr>
                      <w:t>11.1%</w:t>
                    </w:r>
                  </w:p>
                </w:txbxContent>
              </v:textbox>
              <w10:wrap type="none"/>
            </v:shape>
            <v:shape style="position:absolute;left:4322;top:-360;width:593;height:243" type="#_x0000_t202" filled="false" stroked="false">
              <v:textbox inset="0,0,0,0">
                <w:txbxContent>
                  <w:p>
                    <w:pPr>
                      <w:spacing w:before="6"/>
                      <w:ind w:left="0" w:right="0" w:firstLine="0"/>
                      <w:jc w:val="left"/>
                      <w:rPr>
                        <w:sz w:val="20"/>
                      </w:rPr>
                    </w:pPr>
                    <w:r>
                      <w:rPr>
                        <w:w w:val="110"/>
                        <w:sz w:val="20"/>
                      </w:rPr>
                      <w:t>10.4%</w:t>
                    </w:r>
                  </w:p>
                </w:txbxContent>
              </v:textbox>
              <w10:wrap type="none"/>
            </v:shape>
            <v:shape style="position:absolute;left:5721;top:713;width:472;height:243" type="#_x0000_t202" filled="false" stroked="false">
              <v:textbox inset="0,0,0,0">
                <w:txbxContent>
                  <w:p>
                    <w:pPr>
                      <w:spacing w:before="6"/>
                      <w:ind w:left="0" w:right="0" w:firstLine="0"/>
                      <w:jc w:val="left"/>
                      <w:rPr>
                        <w:sz w:val="20"/>
                      </w:rPr>
                    </w:pPr>
                    <w:r>
                      <w:rPr>
                        <w:w w:val="110"/>
                        <w:sz w:val="20"/>
                      </w:rPr>
                      <w:t>6.6%</w:t>
                    </w:r>
                  </w:p>
                </w:txbxContent>
              </v:textbox>
              <w10:wrap type="none"/>
            </v:shape>
            <v:shape style="position:absolute;left:6517;top:1042;width:472;height:242" type="#_x0000_t202" filled="false" stroked="false">
              <v:textbox inset="0,0,0,0">
                <w:txbxContent>
                  <w:p>
                    <w:pPr>
                      <w:spacing w:before="6"/>
                      <w:ind w:left="0" w:right="0" w:firstLine="0"/>
                      <w:jc w:val="left"/>
                      <w:rPr>
                        <w:sz w:val="20"/>
                      </w:rPr>
                    </w:pPr>
                    <w:r>
                      <w:rPr>
                        <w:w w:val="110"/>
                        <w:sz w:val="20"/>
                      </w:rPr>
                      <w:t>5.1%</w:t>
                    </w:r>
                  </w:p>
                </w:txbxContent>
              </v:textbox>
              <w10:wrap type="none"/>
            </v:shape>
            <v:shape style="position:absolute;left:7822;top:1384;width:472;height:243" type="#_x0000_t202" filled="false" stroked="false">
              <v:textbox inset="0,0,0,0">
                <w:txbxContent>
                  <w:p>
                    <w:pPr>
                      <w:spacing w:before="6"/>
                      <w:ind w:left="0" w:right="0" w:firstLine="0"/>
                      <w:jc w:val="left"/>
                      <w:rPr>
                        <w:sz w:val="20"/>
                      </w:rPr>
                    </w:pPr>
                    <w:r>
                      <w:rPr>
                        <w:w w:val="110"/>
                        <w:sz w:val="20"/>
                      </w:rPr>
                      <w:t>3.7%</w:t>
                    </w:r>
                  </w:p>
                </w:txbxContent>
              </v:textbox>
              <w10:wrap type="none"/>
            </v:shape>
            <v:shape style="position:absolute;left:8988;top:1313;width:472;height:243" type="#_x0000_t202" filled="false" stroked="false">
              <v:textbox inset="0,0,0,0">
                <w:txbxContent>
                  <w:p>
                    <w:pPr>
                      <w:spacing w:before="6"/>
                      <w:ind w:left="0" w:right="0" w:firstLine="0"/>
                      <w:jc w:val="left"/>
                      <w:rPr>
                        <w:sz w:val="20"/>
                      </w:rPr>
                    </w:pPr>
                    <w:r>
                      <w:rPr>
                        <w:w w:val="110"/>
                        <w:sz w:val="20"/>
                      </w:rPr>
                      <w:t>4.1%</w:t>
                    </w:r>
                  </w:p>
                </w:txbxContent>
              </v:textbox>
              <w10:wrap type="none"/>
            </v:shape>
            <v:shape style="position:absolute;left:3144;top:2478;width:6104;height:206" type="#_x0000_t202" filled="false" stroked="false">
              <v:textbox inset="0,0,0,0">
                <w:txbxContent>
                  <w:p>
                    <w:pPr>
                      <w:tabs>
                        <w:tab w:pos="1066" w:val="left" w:leader="none"/>
                        <w:tab w:pos="2184" w:val="left" w:leader="none"/>
                        <w:tab w:pos="3251" w:val="left" w:leader="none"/>
                        <w:tab w:pos="4268" w:val="left" w:leader="none"/>
                        <w:tab w:pos="5335" w:val="left" w:leader="none"/>
                      </w:tabs>
                      <w:spacing w:before="5"/>
                      <w:ind w:left="0" w:right="0" w:firstLine="0"/>
                      <w:jc w:val="left"/>
                      <w:rPr>
                        <w:sz w:val="17"/>
                      </w:rPr>
                    </w:pPr>
                    <w:r>
                      <w:rPr>
                        <w:color w:val="FFFFFF"/>
                        <w:w w:val="105"/>
                        <w:sz w:val="17"/>
                      </w:rPr>
                      <w:t>10.7</w:t>
                    </w:r>
                    <w:r>
                      <w:rPr>
                        <w:color w:val="FFFFFF"/>
                        <w:spacing w:val="42"/>
                        <w:w w:val="105"/>
                        <w:sz w:val="17"/>
                      </w:rPr>
                      <w:t> </w:t>
                    </w:r>
                    <w:r>
                      <w:rPr>
                        <w:w w:val="105"/>
                        <w:sz w:val="17"/>
                      </w:rPr>
                      <w:t>11.2</w:t>
                      <w:tab/>
                    </w:r>
                    <w:r>
                      <w:rPr>
                        <w:color w:val="FFFFFF"/>
                        <w:w w:val="105"/>
                        <w:sz w:val="17"/>
                      </w:rPr>
                      <w:t>12.7</w:t>
                    </w:r>
                    <w:r>
                      <w:rPr>
                        <w:color w:val="FFFFFF"/>
                        <w:spacing w:val="43"/>
                        <w:w w:val="105"/>
                        <w:sz w:val="17"/>
                      </w:rPr>
                      <w:t> </w:t>
                    </w:r>
                    <w:r>
                      <w:rPr>
                        <w:w w:val="105"/>
                        <w:sz w:val="17"/>
                      </w:rPr>
                      <w:t>12.0</w:t>
                      <w:tab/>
                    </w:r>
                    <w:r>
                      <w:rPr>
                        <w:color w:val="FFFFFF"/>
                        <w:w w:val="105"/>
                        <w:sz w:val="17"/>
                      </w:rPr>
                      <w:t>7.9 </w:t>
                    </w:r>
                    <w:r>
                      <w:rPr>
                        <w:color w:val="FFFFFF"/>
                        <w:spacing w:val="36"/>
                        <w:w w:val="105"/>
                        <w:sz w:val="17"/>
                      </w:rPr>
                      <w:t> </w:t>
                    </w:r>
                    <w:r>
                      <w:rPr>
                        <w:w w:val="105"/>
                        <w:sz w:val="17"/>
                      </w:rPr>
                      <w:t>11.9</w:t>
                      <w:tab/>
                    </w:r>
                    <w:r>
                      <w:rPr>
                        <w:color w:val="FFFFFF"/>
                        <w:w w:val="105"/>
                        <w:sz w:val="17"/>
                      </w:rPr>
                      <w:t>7.7  </w:t>
                    </w:r>
                    <w:r>
                      <w:rPr>
                        <w:color w:val="FFFFFF"/>
                        <w:spacing w:val="30"/>
                        <w:w w:val="105"/>
                        <w:sz w:val="17"/>
                      </w:rPr>
                      <w:t> </w:t>
                    </w:r>
                    <w:r>
                      <w:rPr>
                        <w:w w:val="105"/>
                        <w:sz w:val="17"/>
                      </w:rPr>
                      <w:t>9.3</w:t>
                      <w:tab/>
                    </w:r>
                    <w:r>
                      <w:rPr>
                        <w:color w:val="FFFFFF"/>
                        <w:w w:val="105"/>
                        <w:sz w:val="17"/>
                      </w:rPr>
                      <w:t>11.9</w:t>
                    </w:r>
                    <w:r>
                      <w:rPr>
                        <w:color w:val="FFFFFF"/>
                        <w:spacing w:val="43"/>
                        <w:w w:val="105"/>
                        <w:sz w:val="17"/>
                      </w:rPr>
                      <w:t> </w:t>
                    </w:r>
                    <w:r>
                      <w:rPr>
                        <w:w w:val="105"/>
                        <w:sz w:val="17"/>
                      </w:rPr>
                      <w:t>13.3</w:t>
                      <w:tab/>
                    </w:r>
                    <w:r>
                      <w:rPr>
                        <w:color w:val="FFFFFF"/>
                        <w:w w:val="105"/>
                        <w:sz w:val="17"/>
                      </w:rPr>
                      <w:t>10.8</w:t>
                    </w:r>
                    <w:r>
                      <w:rPr>
                        <w:color w:val="FFFFFF"/>
                        <w:spacing w:val="38"/>
                        <w:w w:val="105"/>
                        <w:sz w:val="17"/>
                      </w:rPr>
                      <w:t> </w:t>
                    </w:r>
                    <w:r>
                      <w:rPr>
                        <w:w w:val="105"/>
                        <w:sz w:val="17"/>
                      </w:rPr>
                      <w:t>9.8</w:t>
                    </w:r>
                  </w:p>
                </w:txbxContent>
              </v:textbox>
              <w10:wrap type="none"/>
            </v:shape>
            <w10:wrap type="none"/>
          </v:group>
        </w:pict>
      </w:r>
      <w:r>
        <w:rPr>
          <w:w w:val="110"/>
          <w:sz w:val="20"/>
        </w:rPr>
        <w:t>10.0%</w:t>
      </w:r>
    </w:p>
    <w:p>
      <w:pPr>
        <w:pStyle w:val="BodyText"/>
        <w:spacing w:before="4"/>
        <w:rPr>
          <w:sz w:val="25"/>
        </w:rPr>
      </w:pPr>
    </w:p>
    <w:p>
      <w:pPr>
        <w:spacing w:before="0"/>
        <w:ind w:left="445" w:right="0" w:firstLine="0"/>
        <w:jc w:val="left"/>
        <w:rPr>
          <w:sz w:val="20"/>
        </w:rPr>
      </w:pPr>
      <w:r>
        <w:rPr>
          <w:w w:val="110"/>
          <w:sz w:val="20"/>
        </w:rPr>
        <w:t>8.0%</w:t>
      </w:r>
    </w:p>
    <w:p>
      <w:pPr>
        <w:pStyle w:val="BodyText"/>
        <w:spacing w:before="4"/>
        <w:rPr>
          <w:sz w:val="25"/>
        </w:rPr>
      </w:pPr>
    </w:p>
    <w:p>
      <w:pPr>
        <w:spacing w:before="0"/>
        <w:ind w:left="445" w:right="0" w:firstLine="0"/>
        <w:jc w:val="left"/>
        <w:rPr>
          <w:sz w:val="20"/>
        </w:rPr>
      </w:pPr>
      <w:r>
        <w:rPr>
          <w:w w:val="110"/>
          <w:sz w:val="20"/>
        </w:rPr>
        <w:t>6.0%</w:t>
      </w:r>
    </w:p>
    <w:p>
      <w:pPr>
        <w:pStyle w:val="BodyText"/>
        <w:spacing w:before="4"/>
        <w:rPr>
          <w:sz w:val="25"/>
        </w:rPr>
      </w:pPr>
    </w:p>
    <w:p>
      <w:pPr>
        <w:spacing w:before="0"/>
        <w:ind w:left="445" w:right="0" w:firstLine="0"/>
        <w:jc w:val="left"/>
        <w:rPr>
          <w:sz w:val="20"/>
        </w:rPr>
      </w:pPr>
      <w:r>
        <w:rPr>
          <w:w w:val="110"/>
          <w:sz w:val="20"/>
        </w:rPr>
        <w:t>4.0%</w:t>
      </w:r>
    </w:p>
    <w:p>
      <w:pPr>
        <w:pStyle w:val="BodyText"/>
        <w:spacing w:before="4"/>
        <w:rPr>
          <w:sz w:val="25"/>
        </w:rPr>
      </w:pPr>
    </w:p>
    <w:p>
      <w:pPr>
        <w:spacing w:before="1"/>
        <w:ind w:left="445" w:right="0" w:firstLine="0"/>
        <w:jc w:val="left"/>
        <w:rPr>
          <w:sz w:val="20"/>
        </w:rPr>
      </w:pPr>
      <w:r>
        <w:rPr>
          <w:w w:val="110"/>
          <w:sz w:val="20"/>
        </w:rPr>
        <w:t>2.0%</w:t>
      </w:r>
    </w:p>
    <w:p>
      <w:pPr>
        <w:pStyle w:val="BodyText"/>
        <w:spacing w:before="3"/>
        <w:rPr>
          <w:sz w:val="25"/>
        </w:rPr>
      </w:pPr>
    </w:p>
    <w:p>
      <w:pPr>
        <w:spacing w:before="1"/>
        <w:ind w:left="445" w:right="0" w:firstLine="0"/>
        <w:jc w:val="left"/>
        <w:rPr>
          <w:sz w:val="20"/>
        </w:rPr>
      </w:pPr>
      <w:r>
        <w:rPr>
          <w:w w:val="110"/>
          <w:sz w:val="20"/>
        </w:rPr>
        <w:t>0.0%</w:t>
      </w:r>
    </w:p>
    <w:p>
      <w:pPr>
        <w:spacing w:after="0"/>
        <w:jc w:val="left"/>
        <w:rPr>
          <w:sz w:val="20"/>
        </w:rPr>
        <w:sectPr>
          <w:type w:val="continuous"/>
          <w:pgSz w:w="11910" w:h="16840"/>
          <w:pgMar w:top="800" w:bottom="280" w:left="500" w:right="520"/>
          <w:cols w:num="3" w:equalWidth="0">
            <w:col w:w="2330" w:space="40"/>
            <w:col w:w="6245" w:space="39"/>
            <w:col w:w="2236"/>
          </w:cols>
        </w:sectPr>
      </w:pPr>
    </w:p>
    <w:p>
      <w:pPr>
        <w:pStyle w:val="BodyText"/>
        <w:rPr>
          <w:sz w:val="23"/>
        </w:rPr>
      </w:pPr>
    </w:p>
    <w:p>
      <w:pPr>
        <w:tabs>
          <w:tab w:pos="5079" w:val="left" w:leader="none"/>
          <w:tab w:pos="7553" w:val="left" w:leader="none"/>
        </w:tabs>
        <w:spacing w:before="107"/>
        <w:ind w:left="3348" w:right="0" w:firstLine="0"/>
        <w:jc w:val="left"/>
        <w:rPr>
          <w:sz w:val="20"/>
        </w:rPr>
      </w:pPr>
      <w:r>
        <w:rPr/>
        <w:pict>
          <v:rect style="position:absolute;margin-left:174.631393pt;margin-top:8.629902pt;width:16.130146pt;height:5.542868pt;mso-position-horizontal-relative:page;mso-position-vertical-relative:paragraph;z-index:15913472" filled="true" fillcolor="#006a4d" stroked="false">
            <v:fill type="solid"/>
            <w10:wrap type="none"/>
          </v:rect>
        </w:pict>
      </w:r>
      <w:r>
        <w:rPr/>
        <w:pict>
          <v:rect style="position:absolute;margin-left:260.826874pt;margin-top:8.629902pt;width:16.130146pt;height:5.542868pt;mso-position-horizontal-relative:page;mso-position-vertical-relative:paragraph;z-index:-34714112" filled="true" fillcolor="#69bd28" stroked="false">
            <v:fill type="solid"/>
            <w10:wrap type="none"/>
          </v:rect>
        </w:pict>
      </w:r>
      <w:r>
        <w:rPr/>
        <w:drawing>
          <wp:anchor distT="0" distB="0" distL="0" distR="0" allowOverlap="1" layoutInCell="1" locked="0" behindDoc="1" simplePos="0" relativeHeight="468602880">
            <wp:simplePos x="0" y="0"/>
            <wp:positionH relativeFrom="page">
              <wp:posOffset>4880905</wp:posOffset>
            </wp:positionH>
            <wp:positionV relativeFrom="paragraph">
              <wp:posOffset>99996</wp:posOffset>
            </wp:positionV>
            <wp:extent cx="204852" cy="83200"/>
            <wp:effectExtent l="0" t="0" r="0" b="0"/>
            <wp:wrapNone/>
            <wp:docPr id="83" name="image65.png"/>
            <wp:cNvGraphicFramePr>
              <a:graphicFrameLocks noChangeAspect="1"/>
            </wp:cNvGraphicFramePr>
            <a:graphic>
              <a:graphicData uri="http://schemas.openxmlformats.org/drawingml/2006/picture">
                <pic:pic>
                  <pic:nvPicPr>
                    <pic:cNvPr id="84" name="image65.png"/>
                    <pic:cNvPicPr/>
                  </pic:nvPicPr>
                  <pic:blipFill>
                    <a:blip r:embed="rId87" cstate="print"/>
                    <a:stretch>
                      <a:fillRect/>
                    </a:stretch>
                  </pic:blipFill>
                  <pic:spPr>
                    <a:xfrm>
                      <a:off x="0" y="0"/>
                      <a:ext cx="204852" cy="83200"/>
                    </a:xfrm>
                    <a:prstGeom prst="rect">
                      <a:avLst/>
                    </a:prstGeom>
                  </pic:spPr>
                </pic:pic>
              </a:graphicData>
            </a:graphic>
          </wp:anchor>
        </w:drawing>
      </w:r>
      <w:r>
        <w:rPr>
          <w:sz w:val="20"/>
        </w:rPr>
        <w:t>Supply</w:t>
      </w:r>
      <w:r>
        <w:rPr>
          <w:spacing w:val="-18"/>
          <w:sz w:val="20"/>
        </w:rPr>
        <w:t> </w:t>
      </w:r>
      <w:r>
        <w:rPr>
          <w:sz w:val="20"/>
        </w:rPr>
        <w:t>(msf)</w:t>
        <w:tab/>
        <w:t>Net</w:t>
      </w:r>
      <w:r>
        <w:rPr>
          <w:spacing w:val="-15"/>
          <w:sz w:val="20"/>
        </w:rPr>
        <w:t> </w:t>
      </w:r>
      <w:r>
        <w:rPr>
          <w:sz w:val="20"/>
        </w:rPr>
        <w:t>Absoprtion</w:t>
      </w:r>
      <w:r>
        <w:rPr>
          <w:spacing w:val="-15"/>
          <w:sz w:val="20"/>
        </w:rPr>
        <w:t> </w:t>
      </w:r>
      <w:r>
        <w:rPr>
          <w:sz w:val="20"/>
        </w:rPr>
        <w:t>(msf)</w:t>
        <w:tab/>
        <w:t>Vacancy</w:t>
      </w:r>
      <w:r>
        <w:rPr>
          <w:spacing w:val="1"/>
          <w:sz w:val="20"/>
        </w:rPr>
        <w:t> </w:t>
      </w:r>
      <w:r>
        <w:rPr>
          <w:sz w:val="20"/>
        </w:rPr>
        <w:t>(%)</w:t>
      </w:r>
    </w:p>
    <w:p>
      <w:pPr>
        <w:spacing w:line="247" w:lineRule="auto" w:before="186"/>
        <w:ind w:left="375" w:right="340" w:firstLine="0"/>
        <w:jc w:val="left"/>
        <w:rPr>
          <w:i/>
          <w:sz w:val="18"/>
        </w:rPr>
      </w:pPr>
      <w:r>
        <w:rPr>
          <w:i/>
          <w:sz w:val="18"/>
        </w:rPr>
        <w:t>Source:</w:t>
      </w:r>
      <w:r>
        <w:rPr>
          <w:i/>
          <w:spacing w:val="-28"/>
          <w:sz w:val="18"/>
        </w:rPr>
        <w:t> </w:t>
      </w:r>
      <w:r>
        <w:rPr>
          <w:i/>
          <w:sz w:val="18"/>
        </w:rPr>
        <w:t>CBRE</w:t>
      </w:r>
      <w:r>
        <w:rPr>
          <w:i/>
          <w:spacing w:val="-26"/>
          <w:sz w:val="18"/>
        </w:rPr>
        <w:t> </w:t>
      </w:r>
      <w:r>
        <w:rPr>
          <w:i/>
          <w:sz w:val="18"/>
        </w:rPr>
        <w:t>Research;</w:t>
      </w:r>
      <w:r>
        <w:rPr>
          <w:i/>
          <w:spacing w:val="-27"/>
          <w:sz w:val="18"/>
        </w:rPr>
        <w:t> </w:t>
      </w:r>
      <w:r>
        <w:rPr>
          <w:i/>
          <w:sz w:val="18"/>
        </w:rPr>
        <w:t>Note:</w:t>
      </w:r>
      <w:r>
        <w:rPr>
          <w:i/>
          <w:spacing w:val="-28"/>
          <w:sz w:val="18"/>
        </w:rPr>
        <w:t> </w:t>
      </w:r>
      <w:r>
        <w:rPr>
          <w:i/>
          <w:sz w:val="18"/>
        </w:rPr>
        <w:t>Supply</w:t>
      </w:r>
      <w:r>
        <w:rPr>
          <w:i/>
          <w:spacing w:val="-27"/>
          <w:sz w:val="18"/>
        </w:rPr>
        <w:t> </w:t>
      </w:r>
      <w:r>
        <w:rPr>
          <w:i/>
          <w:w w:val="105"/>
          <w:sz w:val="18"/>
        </w:rPr>
        <w:t>–</w:t>
      </w:r>
      <w:r>
        <w:rPr>
          <w:i/>
          <w:spacing w:val="-29"/>
          <w:w w:val="105"/>
          <w:sz w:val="18"/>
        </w:rPr>
        <w:t> </w:t>
      </w:r>
      <w:r>
        <w:rPr>
          <w:i/>
          <w:sz w:val="18"/>
        </w:rPr>
        <w:t>refers</w:t>
      </w:r>
      <w:r>
        <w:rPr>
          <w:i/>
          <w:spacing w:val="-27"/>
          <w:sz w:val="18"/>
        </w:rPr>
        <w:t> </w:t>
      </w:r>
      <w:r>
        <w:rPr>
          <w:i/>
          <w:sz w:val="18"/>
        </w:rPr>
        <w:t>to</w:t>
      </w:r>
      <w:r>
        <w:rPr>
          <w:i/>
          <w:spacing w:val="-27"/>
          <w:sz w:val="18"/>
        </w:rPr>
        <w:t> </w:t>
      </w:r>
      <w:r>
        <w:rPr>
          <w:i/>
          <w:sz w:val="18"/>
        </w:rPr>
        <w:t>fresh</w:t>
      </w:r>
      <w:r>
        <w:rPr>
          <w:i/>
          <w:spacing w:val="-28"/>
          <w:sz w:val="18"/>
        </w:rPr>
        <w:t> </w:t>
      </w:r>
      <w:r>
        <w:rPr>
          <w:i/>
          <w:sz w:val="18"/>
        </w:rPr>
        <w:t>completed</w:t>
      </w:r>
      <w:r>
        <w:rPr>
          <w:i/>
          <w:spacing w:val="-25"/>
          <w:sz w:val="18"/>
        </w:rPr>
        <w:t> </w:t>
      </w:r>
      <w:r>
        <w:rPr>
          <w:i/>
          <w:sz w:val="18"/>
        </w:rPr>
        <w:t>supply</w:t>
      </w:r>
      <w:r>
        <w:rPr>
          <w:i/>
          <w:spacing w:val="-26"/>
          <w:sz w:val="18"/>
        </w:rPr>
        <w:t> </w:t>
      </w:r>
      <w:r>
        <w:rPr>
          <w:i/>
          <w:sz w:val="18"/>
        </w:rPr>
        <w:t>added</w:t>
      </w:r>
      <w:r>
        <w:rPr>
          <w:i/>
          <w:spacing w:val="-26"/>
          <w:sz w:val="18"/>
        </w:rPr>
        <w:t> </w:t>
      </w:r>
      <w:r>
        <w:rPr>
          <w:i/>
          <w:sz w:val="18"/>
        </w:rPr>
        <w:t>each</w:t>
      </w:r>
      <w:r>
        <w:rPr>
          <w:i/>
          <w:spacing w:val="-28"/>
          <w:sz w:val="18"/>
        </w:rPr>
        <w:t> </w:t>
      </w:r>
      <w:r>
        <w:rPr>
          <w:i/>
          <w:sz w:val="18"/>
        </w:rPr>
        <w:t>year;</w:t>
      </w:r>
      <w:r>
        <w:rPr>
          <w:i/>
          <w:spacing w:val="-27"/>
          <w:sz w:val="18"/>
        </w:rPr>
        <w:t> </w:t>
      </w:r>
      <w:r>
        <w:rPr>
          <w:i/>
          <w:sz w:val="18"/>
        </w:rPr>
        <w:t>Absorption</w:t>
      </w:r>
      <w:r>
        <w:rPr>
          <w:i/>
          <w:spacing w:val="-25"/>
          <w:sz w:val="18"/>
        </w:rPr>
        <w:t> </w:t>
      </w:r>
      <w:r>
        <w:rPr>
          <w:i/>
          <w:w w:val="105"/>
          <w:sz w:val="18"/>
        </w:rPr>
        <w:t>–</w:t>
      </w:r>
      <w:r>
        <w:rPr>
          <w:i/>
          <w:spacing w:val="-30"/>
          <w:w w:val="105"/>
          <w:sz w:val="18"/>
        </w:rPr>
        <w:t> </w:t>
      </w:r>
      <w:r>
        <w:rPr>
          <w:i/>
          <w:sz w:val="18"/>
        </w:rPr>
        <w:t>refers</w:t>
      </w:r>
      <w:r>
        <w:rPr>
          <w:i/>
          <w:spacing w:val="-27"/>
          <w:sz w:val="18"/>
        </w:rPr>
        <w:t> </w:t>
      </w:r>
      <w:r>
        <w:rPr>
          <w:i/>
          <w:sz w:val="18"/>
        </w:rPr>
        <w:t>to</w:t>
      </w:r>
      <w:r>
        <w:rPr>
          <w:i/>
          <w:spacing w:val="-27"/>
          <w:sz w:val="18"/>
        </w:rPr>
        <w:t> </w:t>
      </w:r>
      <w:r>
        <w:rPr>
          <w:i/>
          <w:sz w:val="18"/>
        </w:rPr>
        <w:t>the</w:t>
      </w:r>
      <w:r>
        <w:rPr>
          <w:i/>
          <w:spacing w:val="-27"/>
          <w:sz w:val="18"/>
        </w:rPr>
        <w:t> </w:t>
      </w:r>
      <w:r>
        <w:rPr>
          <w:i/>
          <w:sz w:val="18"/>
        </w:rPr>
        <w:t>quantum</w:t>
      </w:r>
      <w:r>
        <w:rPr>
          <w:i/>
          <w:spacing w:val="-27"/>
          <w:sz w:val="18"/>
        </w:rPr>
        <w:t> </w:t>
      </w:r>
      <w:r>
        <w:rPr>
          <w:i/>
          <w:sz w:val="18"/>
        </w:rPr>
        <w:t>of </w:t>
      </w:r>
      <w:r>
        <w:rPr>
          <w:i/>
          <w:sz w:val="18"/>
        </w:rPr>
        <w:t>leasing</w:t>
      </w:r>
      <w:r>
        <w:rPr>
          <w:i/>
          <w:spacing w:val="-24"/>
          <w:sz w:val="18"/>
        </w:rPr>
        <w:t> </w:t>
      </w:r>
      <w:r>
        <w:rPr>
          <w:i/>
          <w:sz w:val="18"/>
        </w:rPr>
        <w:t>witnessed</w:t>
      </w:r>
      <w:r>
        <w:rPr>
          <w:i/>
          <w:spacing w:val="-23"/>
          <w:sz w:val="18"/>
        </w:rPr>
        <w:t> </w:t>
      </w:r>
      <w:r>
        <w:rPr>
          <w:i/>
          <w:sz w:val="18"/>
        </w:rPr>
        <w:t>in</w:t>
      </w:r>
      <w:r>
        <w:rPr>
          <w:i/>
          <w:spacing w:val="-24"/>
          <w:sz w:val="18"/>
        </w:rPr>
        <w:t> </w:t>
      </w:r>
      <w:r>
        <w:rPr>
          <w:i/>
          <w:sz w:val="18"/>
        </w:rPr>
        <w:t>each</w:t>
      </w:r>
      <w:r>
        <w:rPr>
          <w:i/>
          <w:spacing w:val="-22"/>
          <w:sz w:val="18"/>
        </w:rPr>
        <w:t> </w:t>
      </w:r>
      <w:r>
        <w:rPr>
          <w:i/>
          <w:sz w:val="18"/>
        </w:rPr>
        <w:t>year</w:t>
      </w:r>
      <w:r>
        <w:rPr>
          <w:i/>
          <w:spacing w:val="-25"/>
          <w:sz w:val="18"/>
        </w:rPr>
        <w:t> </w:t>
      </w:r>
      <w:r>
        <w:rPr>
          <w:i/>
          <w:sz w:val="18"/>
        </w:rPr>
        <w:t>as</w:t>
      </w:r>
      <w:r>
        <w:rPr>
          <w:i/>
          <w:spacing w:val="-24"/>
          <w:sz w:val="18"/>
        </w:rPr>
        <w:t> </w:t>
      </w:r>
      <w:r>
        <w:rPr>
          <w:i/>
          <w:sz w:val="18"/>
        </w:rPr>
        <w:t>part</w:t>
      </w:r>
      <w:r>
        <w:rPr>
          <w:i/>
          <w:spacing w:val="-24"/>
          <w:sz w:val="18"/>
        </w:rPr>
        <w:t> </w:t>
      </w:r>
      <w:r>
        <w:rPr>
          <w:i/>
          <w:sz w:val="18"/>
        </w:rPr>
        <w:t>of</w:t>
      </w:r>
      <w:r>
        <w:rPr>
          <w:i/>
          <w:spacing w:val="-24"/>
          <w:sz w:val="18"/>
        </w:rPr>
        <w:t> </w:t>
      </w:r>
      <w:r>
        <w:rPr>
          <w:i/>
          <w:sz w:val="18"/>
        </w:rPr>
        <w:t>completed</w:t>
      </w:r>
      <w:r>
        <w:rPr>
          <w:i/>
          <w:spacing w:val="-22"/>
          <w:sz w:val="18"/>
        </w:rPr>
        <w:t> </w:t>
      </w:r>
      <w:r>
        <w:rPr>
          <w:i/>
          <w:sz w:val="18"/>
        </w:rPr>
        <w:t>space;</w:t>
      </w:r>
      <w:r>
        <w:rPr>
          <w:i/>
          <w:spacing w:val="-25"/>
          <w:sz w:val="18"/>
        </w:rPr>
        <w:t> </w:t>
      </w:r>
      <w:r>
        <w:rPr>
          <w:i/>
          <w:sz w:val="18"/>
        </w:rPr>
        <w:t>the</w:t>
      </w:r>
      <w:r>
        <w:rPr>
          <w:i/>
          <w:spacing w:val="-23"/>
          <w:sz w:val="18"/>
        </w:rPr>
        <w:t> </w:t>
      </w:r>
      <w:r>
        <w:rPr>
          <w:i/>
          <w:sz w:val="18"/>
        </w:rPr>
        <w:t>vacancy</w:t>
      </w:r>
      <w:r>
        <w:rPr>
          <w:i/>
          <w:spacing w:val="-23"/>
          <w:sz w:val="18"/>
        </w:rPr>
        <w:t> </w:t>
      </w:r>
      <w:r>
        <w:rPr>
          <w:i/>
          <w:sz w:val="18"/>
        </w:rPr>
        <w:t>in</w:t>
      </w:r>
      <w:r>
        <w:rPr>
          <w:i/>
          <w:spacing w:val="-24"/>
          <w:sz w:val="18"/>
        </w:rPr>
        <w:t> </w:t>
      </w:r>
      <w:r>
        <w:rPr>
          <w:i/>
          <w:sz w:val="18"/>
        </w:rPr>
        <w:t>the</w:t>
      </w:r>
      <w:r>
        <w:rPr>
          <w:i/>
          <w:spacing w:val="-23"/>
          <w:sz w:val="18"/>
        </w:rPr>
        <w:t> </w:t>
      </w:r>
      <w:r>
        <w:rPr>
          <w:i/>
          <w:sz w:val="18"/>
        </w:rPr>
        <w:t>chart</w:t>
      </w:r>
      <w:r>
        <w:rPr>
          <w:i/>
          <w:spacing w:val="-24"/>
          <w:sz w:val="18"/>
        </w:rPr>
        <w:t> </w:t>
      </w:r>
      <w:r>
        <w:rPr>
          <w:i/>
          <w:sz w:val="18"/>
        </w:rPr>
        <w:t>accounts</w:t>
      </w:r>
      <w:r>
        <w:rPr>
          <w:i/>
          <w:spacing w:val="-24"/>
          <w:sz w:val="18"/>
        </w:rPr>
        <w:t> </w:t>
      </w:r>
      <w:r>
        <w:rPr>
          <w:i/>
          <w:sz w:val="18"/>
        </w:rPr>
        <w:t>for</w:t>
      </w:r>
      <w:r>
        <w:rPr>
          <w:i/>
          <w:spacing w:val="-24"/>
          <w:sz w:val="18"/>
        </w:rPr>
        <w:t> </w:t>
      </w:r>
      <w:r>
        <w:rPr>
          <w:i/>
          <w:sz w:val="18"/>
        </w:rPr>
        <w:t>the</w:t>
      </w:r>
      <w:r>
        <w:rPr>
          <w:i/>
          <w:spacing w:val="-23"/>
          <w:sz w:val="18"/>
        </w:rPr>
        <w:t> </w:t>
      </w:r>
      <w:r>
        <w:rPr>
          <w:i/>
          <w:sz w:val="18"/>
        </w:rPr>
        <w:t>gap</w:t>
      </w:r>
      <w:r>
        <w:rPr>
          <w:i/>
          <w:spacing w:val="-23"/>
          <w:sz w:val="18"/>
        </w:rPr>
        <w:t> </w:t>
      </w:r>
      <w:r>
        <w:rPr>
          <w:i/>
          <w:sz w:val="18"/>
        </w:rPr>
        <w:t>between</w:t>
      </w:r>
      <w:r>
        <w:rPr>
          <w:i/>
          <w:spacing w:val="-23"/>
          <w:sz w:val="18"/>
        </w:rPr>
        <w:t> </w:t>
      </w:r>
      <w:r>
        <w:rPr>
          <w:i/>
          <w:sz w:val="18"/>
        </w:rPr>
        <w:t>cumulative stock</w:t>
      </w:r>
      <w:r>
        <w:rPr>
          <w:i/>
          <w:spacing w:val="-5"/>
          <w:sz w:val="18"/>
        </w:rPr>
        <w:t> </w:t>
      </w:r>
      <w:r>
        <w:rPr>
          <w:i/>
          <w:sz w:val="18"/>
        </w:rPr>
        <w:t>and</w:t>
      </w:r>
      <w:r>
        <w:rPr>
          <w:i/>
          <w:spacing w:val="-3"/>
          <w:sz w:val="18"/>
        </w:rPr>
        <w:t> </w:t>
      </w:r>
      <w:r>
        <w:rPr>
          <w:i/>
          <w:sz w:val="18"/>
        </w:rPr>
        <w:t>occupied</w:t>
      </w:r>
      <w:r>
        <w:rPr>
          <w:i/>
          <w:spacing w:val="-6"/>
          <w:sz w:val="18"/>
        </w:rPr>
        <w:t> </w:t>
      </w:r>
      <w:r>
        <w:rPr>
          <w:i/>
          <w:sz w:val="18"/>
        </w:rPr>
        <w:t>stock</w:t>
      </w:r>
      <w:r>
        <w:rPr>
          <w:i/>
          <w:spacing w:val="-5"/>
          <w:sz w:val="18"/>
        </w:rPr>
        <w:t> </w:t>
      </w:r>
      <w:r>
        <w:rPr>
          <w:i/>
          <w:sz w:val="18"/>
        </w:rPr>
        <w:t>in</w:t>
      </w:r>
      <w:r>
        <w:rPr>
          <w:i/>
          <w:spacing w:val="-5"/>
          <w:sz w:val="18"/>
        </w:rPr>
        <w:t> </w:t>
      </w:r>
      <w:r>
        <w:rPr>
          <w:i/>
          <w:sz w:val="18"/>
        </w:rPr>
        <w:t>the</w:t>
      </w:r>
      <w:r>
        <w:rPr>
          <w:i/>
          <w:spacing w:val="-7"/>
          <w:sz w:val="18"/>
        </w:rPr>
        <w:t> </w:t>
      </w:r>
      <w:r>
        <w:rPr>
          <w:i/>
          <w:sz w:val="18"/>
        </w:rPr>
        <w:t>city</w:t>
      </w:r>
      <w:r>
        <w:rPr>
          <w:i/>
          <w:spacing w:val="-6"/>
          <w:sz w:val="18"/>
        </w:rPr>
        <w:t> </w:t>
      </w:r>
      <w:r>
        <w:rPr>
          <w:i/>
          <w:sz w:val="18"/>
        </w:rPr>
        <w:t>in</w:t>
      </w:r>
      <w:r>
        <w:rPr>
          <w:i/>
          <w:spacing w:val="-6"/>
          <w:sz w:val="18"/>
        </w:rPr>
        <w:t> </w:t>
      </w:r>
      <w:r>
        <w:rPr>
          <w:i/>
          <w:sz w:val="18"/>
        </w:rPr>
        <w:t>any</w:t>
      </w:r>
      <w:r>
        <w:rPr>
          <w:i/>
          <w:spacing w:val="-5"/>
          <w:sz w:val="18"/>
        </w:rPr>
        <w:t> </w:t>
      </w:r>
      <w:r>
        <w:rPr>
          <w:i/>
          <w:sz w:val="18"/>
        </w:rPr>
        <w:t>given</w:t>
      </w:r>
      <w:r>
        <w:rPr>
          <w:i/>
          <w:spacing w:val="-3"/>
          <w:sz w:val="18"/>
        </w:rPr>
        <w:t> </w:t>
      </w:r>
      <w:r>
        <w:rPr>
          <w:i/>
          <w:sz w:val="18"/>
        </w:rPr>
        <w:t>year;</w:t>
      </w:r>
    </w:p>
    <w:p>
      <w:pPr>
        <w:pStyle w:val="BodyText"/>
        <w:spacing w:before="6"/>
        <w:rPr>
          <w:i/>
          <w:sz w:val="12"/>
        </w:rPr>
      </w:pPr>
    </w:p>
    <w:p>
      <w:pPr>
        <w:tabs>
          <w:tab w:pos="3338" w:val="left" w:leader="none"/>
          <w:tab w:pos="10643" w:val="left" w:leader="none"/>
        </w:tabs>
        <w:spacing w:before="104"/>
        <w:ind w:left="267" w:right="0" w:firstLine="0"/>
        <w:jc w:val="left"/>
        <w:rPr>
          <w:b/>
          <w:sz w:val="18"/>
        </w:rPr>
      </w:pPr>
      <w:r>
        <w:rPr>
          <w:b/>
          <w:color w:val="FFFFFF"/>
          <w:w w:val="103"/>
          <w:sz w:val="18"/>
          <w:shd w:fill="006A4D" w:color="auto" w:val="clear"/>
        </w:rPr>
        <w:t> </w:t>
      </w:r>
      <w:r>
        <w:rPr>
          <w:b/>
          <w:color w:val="FFFFFF"/>
          <w:sz w:val="18"/>
          <w:shd w:fill="006A4D" w:color="auto" w:val="clear"/>
        </w:rPr>
        <w:tab/>
      </w:r>
      <w:r>
        <w:rPr>
          <w:b/>
          <w:color w:val="FFFFFF"/>
          <w:w w:val="115"/>
          <w:sz w:val="18"/>
          <w:shd w:fill="006A4D" w:color="auto" w:val="clear"/>
        </w:rPr>
        <w:t>Demand</w:t>
      </w:r>
      <w:r>
        <w:rPr>
          <w:b/>
          <w:color w:val="FFFFFF"/>
          <w:spacing w:val="-36"/>
          <w:w w:val="115"/>
          <w:sz w:val="18"/>
          <w:shd w:fill="006A4D" w:color="auto" w:val="clear"/>
        </w:rPr>
        <w:t> </w:t>
      </w:r>
      <w:r>
        <w:rPr>
          <w:b/>
          <w:color w:val="FFFFFF"/>
          <w:w w:val="115"/>
          <w:sz w:val="18"/>
          <w:shd w:fill="006A4D" w:color="auto" w:val="clear"/>
        </w:rPr>
        <w:t>–</w:t>
      </w:r>
      <w:r>
        <w:rPr>
          <w:b/>
          <w:color w:val="FFFFFF"/>
          <w:spacing w:val="-35"/>
          <w:w w:val="115"/>
          <w:sz w:val="18"/>
          <w:shd w:fill="006A4D" w:color="auto" w:val="clear"/>
        </w:rPr>
        <w:t> </w:t>
      </w:r>
      <w:r>
        <w:rPr>
          <w:b/>
          <w:color w:val="FFFFFF"/>
          <w:w w:val="115"/>
          <w:sz w:val="18"/>
          <w:shd w:fill="006A4D" w:color="auto" w:val="clear"/>
        </w:rPr>
        <w:t>Supply</w:t>
      </w:r>
      <w:r>
        <w:rPr>
          <w:b/>
          <w:color w:val="FFFFFF"/>
          <w:spacing w:val="-36"/>
          <w:w w:val="115"/>
          <w:sz w:val="18"/>
          <w:shd w:fill="006A4D" w:color="auto" w:val="clear"/>
        </w:rPr>
        <w:t> </w:t>
      </w:r>
      <w:r>
        <w:rPr>
          <w:b/>
          <w:color w:val="FFFFFF"/>
          <w:w w:val="115"/>
          <w:sz w:val="18"/>
          <w:shd w:fill="006A4D" w:color="auto" w:val="clear"/>
        </w:rPr>
        <w:t>Dynamics</w:t>
      </w:r>
      <w:r>
        <w:rPr>
          <w:b/>
          <w:color w:val="FFFFFF"/>
          <w:spacing w:val="-35"/>
          <w:w w:val="115"/>
          <w:sz w:val="18"/>
          <w:shd w:fill="006A4D" w:color="auto" w:val="clear"/>
        </w:rPr>
        <w:t> </w:t>
      </w:r>
      <w:r>
        <w:rPr>
          <w:b/>
          <w:color w:val="FFFFFF"/>
          <w:w w:val="115"/>
          <w:sz w:val="18"/>
          <w:shd w:fill="006A4D" w:color="auto" w:val="clear"/>
        </w:rPr>
        <w:t>(North</w:t>
      </w:r>
      <w:r>
        <w:rPr>
          <w:b/>
          <w:color w:val="FFFFFF"/>
          <w:spacing w:val="-36"/>
          <w:w w:val="115"/>
          <w:sz w:val="18"/>
          <w:shd w:fill="006A4D" w:color="auto" w:val="clear"/>
        </w:rPr>
        <w:t> </w:t>
      </w:r>
      <w:r>
        <w:rPr>
          <w:b/>
          <w:color w:val="FFFFFF"/>
          <w:w w:val="115"/>
          <w:sz w:val="18"/>
          <w:shd w:fill="006A4D" w:color="auto" w:val="clear"/>
        </w:rPr>
        <w:t>Bengaluru)</w:t>
      </w:r>
      <w:r>
        <w:rPr>
          <w:b/>
          <w:color w:val="FFFFFF"/>
          <w:sz w:val="18"/>
          <w:shd w:fill="006A4D" w:color="auto" w:val="clear"/>
        </w:rPr>
        <w:tab/>
      </w:r>
    </w:p>
    <w:p>
      <w:pPr>
        <w:pStyle w:val="BodyText"/>
        <w:rPr>
          <w:b/>
          <w:sz w:val="20"/>
        </w:rPr>
      </w:pPr>
    </w:p>
    <w:p>
      <w:pPr>
        <w:pStyle w:val="BodyText"/>
        <w:spacing w:before="3"/>
        <w:rPr>
          <w:b/>
          <w:sz w:val="25"/>
        </w:rPr>
      </w:pPr>
    </w:p>
    <w:p>
      <w:pPr>
        <w:spacing w:after="0"/>
        <w:rPr>
          <w:sz w:val="25"/>
        </w:rPr>
        <w:sectPr>
          <w:type w:val="continuous"/>
          <w:pgSz w:w="11910" w:h="16840"/>
          <w:pgMar w:top="800" w:bottom="280" w:left="500" w:right="520"/>
        </w:sectPr>
      </w:pPr>
    </w:p>
    <w:p>
      <w:pPr>
        <w:spacing w:before="107"/>
        <w:ind w:left="0" w:right="0" w:firstLine="0"/>
        <w:jc w:val="right"/>
        <w:rPr>
          <w:sz w:val="20"/>
        </w:rPr>
      </w:pPr>
      <w:r>
        <w:rPr>
          <w:w w:val="105"/>
          <w:sz w:val="20"/>
        </w:rPr>
        <w:t>4.5</w:t>
      </w:r>
    </w:p>
    <w:p>
      <w:pPr>
        <w:spacing w:before="123"/>
        <w:ind w:left="0" w:right="0" w:firstLine="0"/>
        <w:jc w:val="right"/>
        <w:rPr>
          <w:sz w:val="20"/>
        </w:rPr>
      </w:pPr>
      <w:r>
        <w:rPr/>
        <w:pict>
          <v:shape style="position:absolute;margin-left:67.952179pt;margin-top:12.75601pt;width:14.1pt;height:101.8pt;mso-position-horizontal-relative:page;mso-position-vertical-relative:paragraph;z-index:15921152" type="#_x0000_t202" filled="false" stroked="false">
            <v:textbox inset="0,0,0,0" style="layout-flow:vertical;mso-layout-flow-alt:bottom-to-top">
              <w:txbxContent>
                <w:p>
                  <w:pPr>
                    <w:spacing w:before="26"/>
                    <w:ind w:left="20" w:right="0" w:firstLine="0"/>
                    <w:jc w:val="left"/>
                    <w:rPr>
                      <w:sz w:val="20"/>
                    </w:rPr>
                  </w:pPr>
                  <w:r>
                    <w:rPr>
                      <w:w w:val="95"/>
                      <w:sz w:val="20"/>
                    </w:rPr>
                    <w:t>Suply/Absorption (msf)</w:t>
                  </w:r>
                </w:p>
              </w:txbxContent>
            </v:textbox>
            <w10:wrap type="none"/>
          </v:shape>
        </w:pict>
      </w:r>
      <w:r>
        <w:rPr>
          <w:w w:val="105"/>
          <w:sz w:val="20"/>
        </w:rPr>
        <w:t>4.0</w:t>
      </w:r>
    </w:p>
    <w:p>
      <w:pPr>
        <w:spacing w:before="123"/>
        <w:ind w:left="0" w:right="0" w:firstLine="0"/>
        <w:jc w:val="right"/>
        <w:rPr>
          <w:sz w:val="20"/>
        </w:rPr>
      </w:pPr>
      <w:r>
        <w:rPr>
          <w:w w:val="105"/>
          <w:sz w:val="20"/>
        </w:rPr>
        <w:t>3.5</w:t>
      </w:r>
    </w:p>
    <w:p>
      <w:pPr>
        <w:spacing w:before="123"/>
        <w:ind w:left="0" w:right="0" w:firstLine="0"/>
        <w:jc w:val="right"/>
        <w:rPr>
          <w:sz w:val="20"/>
        </w:rPr>
      </w:pPr>
      <w:r>
        <w:rPr>
          <w:w w:val="105"/>
          <w:sz w:val="20"/>
        </w:rPr>
        <w:t>3.0</w:t>
      </w:r>
    </w:p>
    <w:p>
      <w:pPr>
        <w:spacing w:before="124"/>
        <w:ind w:left="0" w:right="0" w:firstLine="0"/>
        <w:jc w:val="right"/>
        <w:rPr>
          <w:sz w:val="20"/>
        </w:rPr>
      </w:pPr>
      <w:r>
        <w:rPr>
          <w:w w:val="105"/>
          <w:sz w:val="20"/>
        </w:rPr>
        <w:t>2.5</w:t>
      </w:r>
    </w:p>
    <w:p>
      <w:pPr>
        <w:spacing w:before="123"/>
        <w:ind w:left="0" w:right="0" w:firstLine="0"/>
        <w:jc w:val="right"/>
        <w:rPr>
          <w:sz w:val="20"/>
        </w:rPr>
      </w:pPr>
      <w:r>
        <w:rPr>
          <w:w w:val="105"/>
          <w:sz w:val="20"/>
        </w:rPr>
        <w:t>2.0</w:t>
      </w:r>
    </w:p>
    <w:p>
      <w:pPr>
        <w:spacing w:before="123"/>
        <w:ind w:left="0" w:right="0" w:firstLine="0"/>
        <w:jc w:val="right"/>
        <w:rPr>
          <w:sz w:val="20"/>
        </w:rPr>
      </w:pPr>
      <w:r>
        <w:rPr>
          <w:w w:val="105"/>
          <w:sz w:val="20"/>
        </w:rPr>
        <w:t>1.5</w:t>
      </w:r>
    </w:p>
    <w:p>
      <w:pPr>
        <w:spacing w:before="123"/>
        <w:ind w:left="0" w:right="0" w:firstLine="0"/>
        <w:jc w:val="right"/>
        <w:rPr>
          <w:sz w:val="20"/>
        </w:rPr>
      </w:pPr>
      <w:r>
        <w:rPr>
          <w:w w:val="105"/>
          <w:sz w:val="20"/>
        </w:rPr>
        <w:t>1.0</w:t>
      </w:r>
    </w:p>
    <w:p>
      <w:pPr>
        <w:spacing w:before="123"/>
        <w:ind w:left="0" w:right="0" w:firstLine="0"/>
        <w:jc w:val="right"/>
        <w:rPr>
          <w:sz w:val="20"/>
        </w:rPr>
      </w:pPr>
      <w:r>
        <w:rPr>
          <w:w w:val="105"/>
          <w:sz w:val="20"/>
        </w:rPr>
        <w:t>0.5</w:t>
      </w:r>
    </w:p>
    <w:p>
      <w:pPr>
        <w:spacing w:before="123"/>
        <w:ind w:left="0" w:right="0" w:firstLine="0"/>
        <w:jc w:val="right"/>
        <w:rPr>
          <w:sz w:val="20"/>
        </w:rPr>
      </w:pPr>
      <w:r>
        <w:rPr>
          <w:w w:val="113"/>
          <w:sz w:val="20"/>
        </w:rPr>
        <w:t>0</w:t>
      </w:r>
    </w:p>
    <w:p>
      <w:pPr>
        <w:pStyle w:val="BodyText"/>
        <w:rPr>
          <w:sz w:val="24"/>
        </w:rPr>
      </w:pPr>
      <w:r>
        <w:rPr/>
        <w:br w:type="column"/>
      </w:r>
      <w:r>
        <w:rPr>
          <w:sz w:val="24"/>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
        <w:rPr>
          <w:sz w:val="19"/>
        </w:rPr>
      </w:pPr>
    </w:p>
    <w:p>
      <w:pPr>
        <w:tabs>
          <w:tab w:pos="1572" w:val="left" w:leader="none"/>
          <w:tab w:pos="2683" w:val="left" w:leader="none"/>
          <w:tab w:pos="3795" w:val="left" w:leader="none"/>
          <w:tab w:pos="4907" w:val="left" w:leader="none"/>
          <w:tab w:pos="6018" w:val="left" w:leader="none"/>
        </w:tabs>
        <w:spacing w:before="0"/>
        <w:ind w:left="460" w:right="0" w:firstLine="0"/>
        <w:jc w:val="left"/>
        <w:rPr>
          <w:sz w:val="20"/>
        </w:rPr>
      </w:pPr>
      <w:r>
        <w:rPr>
          <w:w w:val="115"/>
          <w:sz w:val="20"/>
        </w:rPr>
        <w:t>2014</w:t>
        <w:tab/>
        <w:t>2015</w:t>
        <w:tab/>
        <w:t>2016</w:t>
        <w:tab/>
        <w:t>2017</w:t>
        <w:tab/>
        <w:t>2018</w:t>
        <w:tab/>
      </w:r>
      <w:r>
        <w:rPr>
          <w:spacing w:val="-7"/>
          <w:w w:val="115"/>
          <w:sz w:val="20"/>
        </w:rPr>
        <w:t>2019</w:t>
      </w:r>
    </w:p>
    <w:p>
      <w:pPr>
        <w:spacing w:before="107"/>
        <w:ind w:left="468" w:right="0" w:firstLine="0"/>
        <w:jc w:val="left"/>
        <w:rPr>
          <w:sz w:val="20"/>
        </w:rPr>
      </w:pPr>
      <w:r>
        <w:rPr/>
        <w:br w:type="column"/>
      </w:r>
      <w:r>
        <w:rPr>
          <w:w w:val="110"/>
          <w:sz w:val="20"/>
        </w:rPr>
        <w:t>20.0%</w:t>
      </w:r>
    </w:p>
    <w:p>
      <w:pPr>
        <w:spacing w:before="87"/>
        <w:ind w:left="468" w:right="0" w:firstLine="0"/>
        <w:jc w:val="left"/>
        <w:rPr>
          <w:sz w:val="20"/>
        </w:rPr>
      </w:pPr>
      <w:r>
        <w:rPr/>
        <w:pict>
          <v:group style="position:absolute;margin-left:129.281235pt;margin-top:-6.148793pt;width:339.8pt;height:161.85pt;mso-position-horizontal-relative:page;mso-position-vertical-relative:paragraph;z-index:15918592" coordorigin="2586,-123" coordsize="6796,3237">
            <v:rect style="position:absolute;left:2746;top:2470;width:454;height:615" filled="true" fillcolor="#006a4d" stroked="false">
              <v:fill type="solid"/>
            </v:rect>
            <v:rect style="position:absolute;left:3200;top:2379;width:464;height:705" filled="true" fillcolor="#69bd28" stroked="false">
              <v:fill type="solid"/>
            </v:rect>
            <v:rect style="position:absolute;left:3200;top:2379;width:464;height:705" filled="false" stroked="true" strokeweight=".504416pt" strokecolor="#ffffff">
              <v:stroke dashstyle="solid"/>
            </v:rect>
            <v:rect style="position:absolute;left:3855;top:325;width:464;height:2760" filled="true" fillcolor="#006a4d" stroked="false">
              <v:fill type="solid"/>
            </v:rect>
            <v:rect style="position:absolute;left:4319;top:2037;width:464;height:1048" filled="true" fillcolor="#69bd28" stroked="false">
              <v:fill type="solid"/>
            </v:rect>
            <v:rect style="position:absolute;left:4319;top:2037;width:464;height:1048" filled="false" stroked="true" strokeweight=".504497pt" strokecolor="#ffffff">
              <v:stroke dashstyle="solid"/>
            </v:rect>
            <v:rect style="position:absolute;left:4964;top:2449;width:464;height:635" filled="true" fillcolor="#006a4d" stroked="false">
              <v:fill type="solid"/>
            </v:rect>
            <v:rect style="position:absolute;left:5428;top:1724;width:464;height:1360" filled="true" fillcolor="#69bd28" stroked="false">
              <v:fill type="solid"/>
            </v:rect>
            <v:rect style="position:absolute;left:5428;top:1724;width:464;height:1360" filled="false" stroked="true" strokeweight=".504532pt" strokecolor="#ffffff">
              <v:stroke dashstyle="solid"/>
            </v:rect>
            <v:rect style="position:absolute;left:6073;top:2298;width:464;height:786" filled="true" fillcolor="#006a4d" stroked="false">
              <v:fill type="solid"/>
            </v:rect>
            <v:rect style="position:absolute;left:6537;top:2238;width:464;height:846" filled="true" fillcolor="#69bd28" stroked="false">
              <v:fill type="solid"/>
            </v:rect>
            <v:rect style="position:absolute;left:6537;top:2238;width:464;height:846" filled="false" stroked="true" strokeweight=".504458pt" strokecolor="#ffffff">
              <v:stroke dashstyle="solid"/>
            </v:rect>
            <v:rect style="position:absolute;left:7182;top:1352;width:464;height:1733" filled="true" fillcolor="#006a4d" stroked="false">
              <v:fill type="solid"/>
            </v:rect>
            <v:rect style="position:absolute;left:7646;top:1453;width:464;height:1632" filled="true" fillcolor="#69bd28" stroked="false">
              <v:fill type="solid"/>
            </v:rect>
            <v:rect style="position:absolute;left:7646;top:1453;width:464;height:1632" filled="false" stroked="true" strokeweight=".504549pt" strokecolor="#ffffff">
              <v:stroke dashstyle="solid"/>
            </v:rect>
            <v:rect style="position:absolute;left:8291;top:2762;width:464;height:323" filled="true" fillcolor="#006a4d" stroked="false">
              <v:fill type="solid"/>
            </v:rect>
            <v:rect style="position:absolute;left:8755;top:2399;width:464;height:685" filled="true" fillcolor="#69bd28" stroked="false">
              <v:fill type="solid"/>
            </v:rect>
            <v:rect style="position:absolute;left:8755;top:2399;width:464;height:685" filled="false" stroked="true" strokeweight=".504409pt" strokecolor="#ffffff">
              <v:stroke dashstyle="solid"/>
            </v:rect>
            <v:shape style="position:absolute;left:2585;top:-108;width:6796;height:3193" coordorigin="2586,-108" coordsize="6796,3193" path="m9310,3084l9310,-108m9310,3084l9381,3084m9310,2762l9381,2762m9310,2450l9381,2450m9310,2128l9381,2128m9310,1805l9381,1805m9310,1493l9381,1493m9310,1171l9381,1171m9310,849l9381,849m9310,537l9381,537m9310,214l9381,214m9310,-108l9381,-108m2646,3084l2646,-108m2586,3084l2646,3084m2586,2732l2646,2732m2586,2379l2646,2379m2586,2017l2646,2017m2586,1664l2646,1664m2586,1312l2646,1312m2586,960l2646,960m2586,607l2646,607m2586,245l2646,245m2586,-108l2646,-108m2646,3084l9310,3084e" filled="false" stroked="true" strokeweight="1.51139pt" strokecolor="#000000">
              <v:path arrowok="t"/>
              <v:stroke dashstyle="solid"/>
            </v:shape>
            <v:shape style="position:absolute;left:3200;top:345;width:5556;height:2568" coordorigin="3201,345" coordsize="5556,2568" path="m3201,2913l4320,345,5429,1544,6538,1725,7647,1775,8756,2228e" filled="false" stroked="true" strokeweight="1.510823pt" strokecolor="#c00000">
              <v:path arrowok="t"/>
              <v:stroke dashstyle="solid"/>
            </v:shape>
            <v:shape style="position:absolute;left:3132;top:2843;width:132;height:131" type="#_x0000_t75" stroked="false">
              <v:imagedata r:id="rId88" o:title=""/>
            </v:shape>
            <v:shape style="position:absolute;left:4252;top:275;width:132;height:131" type="#_x0000_t75" stroked="false">
              <v:imagedata r:id="rId89" o:title=""/>
            </v:shape>
            <v:shape style="position:absolute;left:5361;top:1474;width:132;height:131" type="#_x0000_t75" stroked="false">
              <v:imagedata r:id="rId88" o:title=""/>
            </v:shape>
            <v:shape style="position:absolute;left:6470;top:1655;width:132;height:131" type="#_x0000_t75" stroked="false">
              <v:imagedata r:id="rId89" o:title=""/>
            </v:shape>
            <v:shape style="position:absolute;left:7578;top:1705;width:132;height:131" type="#_x0000_t75" stroked="false">
              <v:imagedata r:id="rId88" o:title=""/>
            </v:shape>
            <v:shape style="position:absolute;left:8687;top:2159;width:132;height:131" type="#_x0000_t75" stroked="false">
              <v:imagedata r:id="rId90" o:title=""/>
            </v:shape>
            <v:shape style="position:absolute;left:4473;top:221;width:593;height:242" type="#_x0000_t202" filled="false" stroked="false">
              <v:textbox inset="0,0,0,0">
                <w:txbxContent>
                  <w:p>
                    <w:pPr>
                      <w:spacing w:before="6"/>
                      <w:ind w:left="0" w:right="0" w:firstLine="0"/>
                      <w:jc w:val="left"/>
                      <w:rPr>
                        <w:sz w:val="20"/>
                      </w:rPr>
                    </w:pPr>
                    <w:r>
                      <w:rPr>
                        <w:w w:val="110"/>
                        <w:sz w:val="20"/>
                      </w:rPr>
                      <w:t>17.2%</w:t>
                    </w:r>
                  </w:p>
                </w:txbxContent>
              </v:textbox>
              <w10:wrap type="none"/>
            </v:shape>
            <v:shape style="position:absolute;left:5520;top:1200;width:472;height:242" type="#_x0000_t202" filled="false" stroked="false">
              <v:textbox inset="0,0,0,0">
                <w:txbxContent>
                  <w:p>
                    <w:pPr>
                      <w:spacing w:before="6"/>
                      <w:ind w:left="0" w:right="0" w:firstLine="0"/>
                      <w:jc w:val="left"/>
                      <w:rPr>
                        <w:sz w:val="20"/>
                      </w:rPr>
                    </w:pPr>
                    <w:r>
                      <w:rPr>
                        <w:w w:val="110"/>
                        <w:sz w:val="20"/>
                      </w:rPr>
                      <w:t>9.7%</w:t>
                    </w:r>
                  </w:p>
                </w:txbxContent>
              </v:textbox>
              <w10:wrap type="none"/>
            </v:shape>
            <v:shape style="position:absolute;left:6549;top:1402;width:472;height:242" type="#_x0000_t202" filled="false" stroked="false">
              <v:textbox inset="0,0,0,0">
                <w:txbxContent>
                  <w:p>
                    <w:pPr>
                      <w:spacing w:before="6"/>
                      <w:ind w:left="0" w:right="0" w:firstLine="0"/>
                      <w:jc w:val="left"/>
                      <w:rPr>
                        <w:sz w:val="20"/>
                      </w:rPr>
                    </w:pPr>
                    <w:r>
                      <w:rPr>
                        <w:w w:val="110"/>
                        <w:sz w:val="20"/>
                      </w:rPr>
                      <w:t>8.5%</w:t>
                    </w:r>
                  </w:p>
                </w:txbxContent>
              </v:textbox>
              <w10:wrap type="none"/>
            </v:shape>
            <v:shape style="position:absolute;left:7694;top:1452;width:472;height:242" type="#_x0000_t202" filled="false" stroked="false">
              <v:textbox inset="0,0,0,0">
                <w:txbxContent>
                  <w:p>
                    <w:pPr>
                      <w:spacing w:before="6"/>
                      <w:ind w:left="0" w:right="0" w:firstLine="0"/>
                      <w:jc w:val="left"/>
                      <w:rPr>
                        <w:sz w:val="20"/>
                      </w:rPr>
                    </w:pPr>
                    <w:r>
                      <w:rPr>
                        <w:w w:val="110"/>
                        <w:sz w:val="20"/>
                      </w:rPr>
                      <w:t>8.2%</w:t>
                    </w:r>
                  </w:p>
                </w:txbxContent>
              </v:textbox>
              <w10:wrap type="none"/>
            </v:shape>
            <v:shape style="position:absolute;left:8624;top:1820;width:472;height:242" type="#_x0000_t202" filled="false" stroked="false">
              <v:textbox inset="0,0,0,0">
                <w:txbxContent>
                  <w:p>
                    <w:pPr>
                      <w:spacing w:before="6"/>
                      <w:ind w:left="0" w:right="0" w:firstLine="0"/>
                      <w:jc w:val="left"/>
                      <w:rPr>
                        <w:sz w:val="20"/>
                      </w:rPr>
                    </w:pPr>
                    <w:r>
                      <w:rPr>
                        <w:w w:val="110"/>
                        <w:sz w:val="20"/>
                      </w:rPr>
                      <w:t>5.4%</w:t>
                    </w:r>
                  </w:p>
                </w:txbxContent>
              </v:textbox>
              <w10:wrap type="none"/>
            </v:shape>
            <v:shape style="position:absolute;left:2848;top:2680;width:5831;height:433" type="#_x0000_t202" filled="false" stroked="false">
              <v:textbox inset="0,0,0,0">
                <w:txbxContent>
                  <w:p>
                    <w:pPr>
                      <w:spacing w:line="214" w:lineRule="exact" w:before="6"/>
                      <w:ind w:left="480" w:right="0" w:firstLine="0"/>
                      <w:jc w:val="left"/>
                      <w:rPr>
                        <w:sz w:val="20"/>
                      </w:rPr>
                    </w:pPr>
                    <w:r>
                      <w:rPr>
                        <w:w w:val="110"/>
                        <w:sz w:val="20"/>
                      </w:rPr>
                      <w:t>1.1%</w:t>
                    </w:r>
                  </w:p>
                  <w:p>
                    <w:pPr>
                      <w:tabs>
                        <w:tab w:pos="462" w:val="left" w:leader="none"/>
                        <w:tab w:pos="1127" w:val="left" w:leader="none"/>
                        <w:tab w:pos="1591" w:val="left" w:leader="none"/>
                        <w:tab w:pos="2222" w:val="left" w:leader="none"/>
                        <w:tab w:pos="2686" w:val="left" w:leader="none"/>
                        <w:tab w:pos="3334" w:val="left" w:leader="none"/>
                        <w:tab w:pos="3797" w:val="left" w:leader="none"/>
                        <w:tab w:pos="4446" w:val="left" w:leader="none"/>
                        <w:tab w:pos="4909" w:val="left" w:leader="none"/>
                        <w:tab w:pos="5557" w:val="left" w:leader="none"/>
                      </w:tabs>
                      <w:spacing w:line="209" w:lineRule="exact" w:before="0"/>
                      <w:ind w:left="0" w:right="0" w:firstLine="0"/>
                      <w:jc w:val="left"/>
                      <w:rPr>
                        <w:sz w:val="17"/>
                      </w:rPr>
                    </w:pPr>
                    <w:r>
                      <w:rPr>
                        <w:color w:val="FFFFFF"/>
                        <w:w w:val="105"/>
                        <w:position w:val="3"/>
                        <w:sz w:val="17"/>
                      </w:rPr>
                      <w:t>0.9</w:t>
                      <w:tab/>
                    </w:r>
                    <w:r>
                      <w:rPr>
                        <w:w w:val="105"/>
                        <w:position w:val="2"/>
                        <w:sz w:val="17"/>
                      </w:rPr>
                      <w:t>1.0</w:t>
                      <w:tab/>
                    </w:r>
                    <w:r>
                      <w:rPr>
                        <w:color w:val="FFFFFF"/>
                        <w:w w:val="105"/>
                        <w:position w:val="3"/>
                        <w:sz w:val="17"/>
                      </w:rPr>
                      <w:t>3.9</w:t>
                      <w:tab/>
                    </w:r>
                    <w:r>
                      <w:rPr>
                        <w:w w:val="105"/>
                        <w:position w:val="3"/>
                        <w:sz w:val="17"/>
                      </w:rPr>
                      <w:t>1.5</w:t>
                      <w:tab/>
                    </w:r>
                    <w:r>
                      <w:rPr>
                        <w:color w:val="FFFFFF"/>
                        <w:w w:val="105"/>
                        <w:position w:val="2"/>
                        <w:sz w:val="17"/>
                      </w:rPr>
                      <w:t>0.9</w:t>
                      <w:tab/>
                    </w:r>
                    <w:r>
                      <w:rPr>
                        <w:w w:val="105"/>
                        <w:position w:val="2"/>
                        <w:sz w:val="17"/>
                      </w:rPr>
                      <w:t>1.9</w:t>
                      <w:tab/>
                    </w:r>
                    <w:r>
                      <w:rPr>
                        <w:color w:val="FFFFFF"/>
                        <w:w w:val="105"/>
                        <w:position w:val="3"/>
                        <w:sz w:val="17"/>
                      </w:rPr>
                      <w:t>1.1</w:t>
                      <w:tab/>
                    </w:r>
                    <w:r>
                      <w:rPr>
                        <w:w w:val="105"/>
                        <w:position w:val="3"/>
                        <w:sz w:val="17"/>
                      </w:rPr>
                      <w:t>1.2</w:t>
                      <w:tab/>
                    </w:r>
                    <w:r>
                      <w:rPr>
                        <w:color w:val="FFFFFF"/>
                        <w:w w:val="105"/>
                        <w:position w:val="2"/>
                        <w:sz w:val="17"/>
                      </w:rPr>
                      <w:t>2.4</w:t>
                      <w:tab/>
                    </w:r>
                    <w:r>
                      <w:rPr>
                        <w:w w:val="105"/>
                        <w:position w:val="2"/>
                        <w:sz w:val="17"/>
                      </w:rPr>
                      <w:t>2.3</w:t>
                      <w:tab/>
                    </w:r>
                    <w:r>
                      <w:rPr>
                        <w:color w:val="FFFFFF"/>
                        <w:w w:val="105"/>
                        <w:sz w:val="17"/>
                      </w:rPr>
                      <w:t>0.5</w:t>
                    </w:r>
                  </w:p>
                </w:txbxContent>
              </v:textbox>
              <w10:wrap type="none"/>
            </v:shape>
            <v:shape style="position:absolute;left:8755;top:2399;width:464;height:685" type="#_x0000_t202" filled="false" stroked="false">
              <v:textbox inset="0,0,0,0">
                <w:txbxContent>
                  <w:p>
                    <w:pPr>
                      <w:spacing w:line="240" w:lineRule="auto" w:before="0"/>
                      <w:rPr>
                        <w:sz w:val="20"/>
                      </w:rPr>
                    </w:pPr>
                  </w:p>
                  <w:p>
                    <w:pPr>
                      <w:spacing w:line="240" w:lineRule="auto" w:before="2"/>
                      <w:rPr>
                        <w:sz w:val="24"/>
                      </w:rPr>
                    </w:pPr>
                  </w:p>
                  <w:p>
                    <w:pPr>
                      <w:spacing w:line="171" w:lineRule="exact" w:before="1"/>
                      <w:ind w:left="114" w:right="0" w:firstLine="0"/>
                      <w:jc w:val="left"/>
                      <w:rPr>
                        <w:sz w:val="17"/>
                      </w:rPr>
                    </w:pPr>
                    <w:r>
                      <w:rPr>
                        <w:w w:val="105"/>
                        <w:sz w:val="17"/>
                      </w:rPr>
                      <w:t>1.0</w:t>
                    </w:r>
                  </w:p>
                </w:txbxContent>
              </v:textbox>
              <w10:wrap type="none"/>
            </v:shape>
            <w10:wrap type="none"/>
          </v:group>
        </w:pict>
      </w:r>
      <w:r>
        <w:rPr>
          <w:w w:val="110"/>
          <w:sz w:val="20"/>
        </w:rPr>
        <w:t>18.0%</w:t>
      </w:r>
    </w:p>
    <w:p>
      <w:pPr>
        <w:spacing w:before="88"/>
        <w:ind w:left="468" w:right="0" w:firstLine="0"/>
        <w:jc w:val="left"/>
        <w:rPr>
          <w:sz w:val="20"/>
        </w:rPr>
      </w:pPr>
      <w:r>
        <w:rPr>
          <w:w w:val="110"/>
          <w:sz w:val="20"/>
        </w:rPr>
        <w:t>16.0%</w:t>
      </w:r>
    </w:p>
    <w:p>
      <w:pPr>
        <w:spacing w:before="88"/>
        <w:ind w:left="468" w:right="0" w:firstLine="0"/>
        <w:jc w:val="left"/>
        <w:rPr>
          <w:sz w:val="20"/>
        </w:rPr>
      </w:pPr>
      <w:r>
        <w:rPr/>
        <w:pict>
          <v:shape style="position:absolute;margin-left:518.139954pt;margin-top:10.104275pt;width:14.15pt;height:54.2pt;mso-position-horizontal-relative:page;mso-position-vertical-relative:paragraph;z-index:15920640" type="#_x0000_t202" filled="false" stroked="false">
            <v:textbox inset="0,0,0,0" style="layout-flow:vertical">
              <w:txbxContent>
                <w:p>
                  <w:pPr>
                    <w:spacing w:before="26"/>
                    <w:ind w:left="20" w:right="0" w:firstLine="0"/>
                    <w:jc w:val="left"/>
                    <w:rPr>
                      <w:sz w:val="20"/>
                    </w:rPr>
                  </w:pPr>
                  <w:r>
                    <w:rPr>
                      <w:sz w:val="20"/>
                    </w:rPr>
                    <w:t>Vacancy (%)</w:t>
                  </w:r>
                </w:p>
              </w:txbxContent>
            </v:textbox>
            <w10:wrap type="none"/>
          </v:shape>
        </w:pict>
      </w:r>
      <w:r>
        <w:rPr>
          <w:w w:val="110"/>
          <w:sz w:val="20"/>
        </w:rPr>
        <w:t>14.0%</w:t>
      </w:r>
    </w:p>
    <w:p>
      <w:pPr>
        <w:spacing w:before="87"/>
        <w:ind w:left="468" w:right="0" w:firstLine="0"/>
        <w:jc w:val="left"/>
        <w:rPr>
          <w:sz w:val="20"/>
        </w:rPr>
      </w:pPr>
      <w:r>
        <w:rPr>
          <w:w w:val="110"/>
          <w:sz w:val="20"/>
        </w:rPr>
        <w:t>12.0%</w:t>
      </w:r>
    </w:p>
    <w:p>
      <w:pPr>
        <w:spacing w:before="88"/>
        <w:ind w:left="468" w:right="0" w:firstLine="0"/>
        <w:jc w:val="left"/>
        <w:rPr>
          <w:sz w:val="20"/>
        </w:rPr>
      </w:pPr>
      <w:r>
        <w:rPr>
          <w:w w:val="110"/>
          <w:sz w:val="20"/>
        </w:rPr>
        <w:t>10.0%</w:t>
      </w:r>
    </w:p>
    <w:p>
      <w:pPr>
        <w:spacing w:before="88"/>
        <w:ind w:left="468" w:right="0" w:firstLine="0"/>
        <w:jc w:val="left"/>
        <w:rPr>
          <w:sz w:val="20"/>
        </w:rPr>
      </w:pPr>
      <w:r>
        <w:rPr>
          <w:w w:val="110"/>
          <w:sz w:val="20"/>
        </w:rPr>
        <w:t>8.0%</w:t>
      </w:r>
    </w:p>
    <w:p>
      <w:pPr>
        <w:spacing w:before="87"/>
        <w:ind w:left="468" w:right="0" w:firstLine="0"/>
        <w:jc w:val="left"/>
        <w:rPr>
          <w:sz w:val="20"/>
        </w:rPr>
      </w:pPr>
      <w:r>
        <w:rPr>
          <w:w w:val="110"/>
          <w:sz w:val="20"/>
        </w:rPr>
        <w:t>6.0%</w:t>
      </w:r>
    </w:p>
    <w:p>
      <w:pPr>
        <w:spacing w:before="88"/>
        <w:ind w:left="468" w:right="0" w:firstLine="0"/>
        <w:jc w:val="left"/>
        <w:rPr>
          <w:sz w:val="20"/>
        </w:rPr>
      </w:pPr>
      <w:r>
        <w:rPr>
          <w:w w:val="110"/>
          <w:sz w:val="20"/>
        </w:rPr>
        <w:t>4.0%</w:t>
      </w:r>
    </w:p>
    <w:p>
      <w:pPr>
        <w:spacing w:before="87"/>
        <w:ind w:left="468" w:right="0" w:firstLine="0"/>
        <w:jc w:val="left"/>
        <w:rPr>
          <w:sz w:val="20"/>
        </w:rPr>
      </w:pPr>
      <w:r>
        <w:rPr>
          <w:w w:val="110"/>
          <w:sz w:val="20"/>
        </w:rPr>
        <w:t>2.0%</w:t>
      </w:r>
    </w:p>
    <w:p>
      <w:pPr>
        <w:spacing w:before="88"/>
        <w:ind w:left="468" w:right="0" w:firstLine="0"/>
        <w:jc w:val="left"/>
        <w:rPr>
          <w:sz w:val="20"/>
        </w:rPr>
      </w:pPr>
      <w:r>
        <w:rPr>
          <w:w w:val="120"/>
          <w:sz w:val="20"/>
        </w:rPr>
        <w:t>0%</w:t>
      </w:r>
    </w:p>
    <w:p>
      <w:pPr>
        <w:spacing w:after="0"/>
        <w:jc w:val="left"/>
        <w:rPr>
          <w:sz w:val="20"/>
        </w:rPr>
        <w:sectPr>
          <w:type w:val="continuous"/>
          <w:pgSz w:w="11910" w:h="16840"/>
          <w:pgMar w:top="800" w:bottom="280" w:left="500" w:right="520"/>
          <w:cols w:num="3" w:equalWidth="0">
            <w:col w:w="1970" w:space="40"/>
            <w:col w:w="6491" w:space="39"/>
            <w:col w:w="2350"/>
          </w:cols>
        </w:sectPr>
      </w:pPr>
    </w:p>
    <w:p>
      <w:pPr>
        <w:pStyle w:val="BodyText"/>
        <w:spacing w:before="3"/>
        <w:rPr>
          <w:sz w:val="13"/>
        </w:rPr>
      </w:pPr>
    </w:p>
    <w:p>
      <w:pPr>
        <w:tabs>
          <w:tab w:pos="2116" w:val="left" w:leader="none"/>
          <w:tab w:pos="4590" w:val="left" w:leader="none"/>
        </w:tabs>
        <w:spacing w:before="107"/>
        <w:ind w:left="385" w:right="0" w:firstLine="0"/>
        <w:jc w:val="center"/>
        <w:rPr>
          <w:sz w:val="20"/>
        </w:rPr>
      </w:pPr>
      <w:r>
        <w:rPr/>
        <w:pict>
          <v:rect style="position:absolute;margin-left:157.511871pt;margin-top:8.340933pt;width:16.130832pt;height:5.538556pt;mso-position-horizontal-relative:page;mso-position-vertical-relative:paragraph;z-index:15919104" filled="true" fillcolor="#006a4d" stroked="false">
            <v:fill type="solid"/>
            <w10:wrap type="none"/>
          </v:rect>
        </w:pict>
      </w:r>
      <w:r>
        <w:rPr/>
        <w:pict>
          <v:rect style="position:absolute;margin-left:243.710999pt;margin-top:8.340933pt;width:16.130832pt;height:5.538556pt;mso-position-horizontal-relative:page;mso-position-vertical-relative:paragraph;z-index:-34708480" filled="true" fillcolor="#69bd28" stroked="false">
            <v:fill type="solid"/>
            <w10:wrap type="none"/>
          </v:rect>
        </w:pict>
      </w:r>
      <w:r>
        <w:rPr/>
        <w:drawing>
          <wp:anchor distT="0" distB="0" distL="0" distR="0" allowOverlap="1" layoutInCell="1" locked="0" behindDoc="1" simplePos="0" relativeHeight="468608512">
            <wp:simplePos x="0" y="0"/>
            <wp:positionH relativeFrom="page">
              <wp:posOffset>4663600</wp:posOffset>
            </wp:positionH>
            <wp:positionV relativeFrom="paragraph">
              <wp:posOffset>102727</wp:posOffset>
            </wp:positionV>
            <wp:extent cx="204861" cy="83138"/>
            <wp:effectExtent l="0" t="0" r="0" b="0"/>
            <wp:wrapNone/>
            <wp:docPr id="85" name="image69.png"/>
            <wp:cNvGraphicFramePr>
              <a:graphicFrameLocks noChangeAspect="1"/>
            </wp:cNvGraphicFramePr>
            <a:graphic>
              <a:graphicData uri="http://schemas.openxmlformats.org/drawingml/2006/picture">
                <pic:pic>
                  <pic:nvPicPr>
                    <pic:cNvPr id="86" name="image69.png"/>
                    <pic:cNvPicPr/>
                  </pic:nvPicPr>
                  <pic:blipFill>
                    <a:blip r:embed="rId91" cstate="print"/>
                    <a:stretch>
                      <a:fillRect/>
                    </a:stretch>
                  </pic:blipFill>
                  <pic:spPr>
                    <a:xfrm>
                      <a:off x="0" y="0"/>
                      <a:ext cx="204861" cy="83138"/>
                    </a:xfrm>
                    <a:prstGeom prst="rect">
                      <a:avLst/>
                    </a:prstGeom>
                  </pic:spPr>
                </pic:pic>
              </a:graphicData>
            </a:graphic>
          </wp:anchor>
        </w:drawing>
      </w:r>
      <w:r>
        <w:rPr>
          <w:sz w:val="20"/>
        </w:rPr>
        <w:t>Supply</w:t>
      </w:r>
      <w:r>
        <w:rPr>
          <w:spacing w:val="-18"/>
          <w:sz w:val="20"/>
        </w:rPr>
        <w:t> </w:t>
      </w:r>
      <w:r>
        <w:rPr>
          <w:sz w:val="20"/>
        </w:rPr>
        <w:t>(msf)</w:t>
        <w:tab/>
        <w:t>Net</w:t>
      </w:r>
      <w:r>
        <w:rPr>
          <w:spacing w:val="-18"/>
          <w:sz w:val="20"/>
        </w:rPr>
        <w:t> </w:t>
      </w:r>
      <w:r>
        <w:rPr>
          <w:sz w:val="20"/>
        </w:rPr>
        <w:t>Absoprtion</w:t>
      </w:r>
      <w:r>
        <w:rPr>
          <w:spacing w:val="-17"/>
          <w:sz w:val="20"/>
        </w:rPr>
        <w:t> </w:t>
      </w:r>
      <w:r>
        <w:rPr>
          <w:sz w:val="20"/>
        </w:rPr>
        <w:t>(msf)</w:t>
        <w:tab/>
        <w:t>Vacancy</w:t>
      </w:r>
      <w:r>
        <w:rPr>
          <w:spacing w:val="1"/>
          <w:sz w:val="20"/>
        </w:rPr>
        <w:t> </w:t>
      </w:r>
      <w:r>
        <w:rPr>
          <w:sz w:val="20"/>
        </w:rPr>
        <w:t>(%)</w:t>
      </w:r>
    </w:p>
    <w:p>
      <w:pPr>
        <w:pStyle w:val="BodyText"/>
        <w:spacing w:before="5"/>
        <w:rPr>
          <w:sz w:val="25"/>
        </w:rPr>
      </w:pPr>
    </w:p>
    <w:p>
      <w:pPr>
        <w:spacing w:line="321" w:lineRule="auto" w:before="104"/>
        <w:ind w:left="767" w:right="192" w:firstLine="0"/>
        <w:jc w:val="both"/>
        <w:rPr>
          <w:i/>
          <w:sz w:val="18"/>
        </w:rPr>
      </w:pPr>
      <w:r>
        <w:rPr>
          <w:i/>
          <w:sz w:val="18"/>
        </w:rPr>
        <w:t>Source:</w:t>
      </w:r>
      <w:r>
        <w:rPr>
          <w:i/>
          <w:spacing w:val="-28"/>
          <w:sz w:val="18"/>
        </w:rPr>
        <w:t> </w:t>
      </w:r>
      <w:r>
        <w:rPr>
          <w:i/>
          <w:sz w:val="18"/>
        </w:rPr>
        <w:t>CBRE</w:t>
      </w:r>
      <w:r>
        <w:rPr>
          <w:i/>
          <w:spacing w:val="-27"/>
          <w:sz w:val="18"/>
        </w:rPr>
        <w:t> </w:t>
      </w:r>
      <w:r>
        <w:rPr>
          <w:i/>
          <w:sz w:val="18"/>
        </w:rPr>
        <w:t>Research;</w:t>
      </w:r>
      <w:r>
        <w:rPr>
          <w:i/>
          <w:spacing w:val="-29"/>
          <w:sz w:val="18"/>
        </w:rPr>
        <w:t> </w:t>
      </w:r>
      <w:r>
        <w:rPr>
          <w:i/>
          <w:sz w:val="18"/>
        </w:rPr>
        <w:t>Note:</w:t>
      </w:r>
      <w:r>
        <w:rPr>
          <w:i/>
          <w:spacing w:val="-28"/>
          <w:sz w:val="18"/>
        </w:rPr>
        <w:t> </w:t>
      </w:r>
      <w:r>
        <w:rPr>
          <w:i/>
          <w:sz w:val="18"/>
        </w:rPr>
        <w:t>Supply</w:t>
      </w:r>
      <w:r>
        <w:rPr>
          <w:i/>
          <w:spacing w:val="-27"/>
          <w:sz w:val="18"/>
        </w:rPr>
        <w:t> </w:t>
      </w:r>
      <w:r>
        <w:rPr>
          <w:i/>
          <w:w w:val="105"/>
          <w:sz w:val="18"/>
        </w:rPr>
        <w:t>–</w:t>
      </w:r>
      <w:r>
        <w:rPr>
          <w:i/>
          <w:spacing w:val="-31"/>
          <w:w w:val="105"/>
          <w:sz w:val="18"/>
        </w:rPr>
        <w:t> </w:t>
      </w:r>
      <w:r>
        <w:rPr>
          <w:i/>
          <w:sz w:val="18"/>
        </w:rPr>
        <w:t>refers</w:t>
      </w:r>
      <w:r>
        <w:rPr>
          <w:i/>
          <w:spacing w:val="-27"/>
          <w:sz w:val="18"/>
        </w:rPr>
        <w:t> </w:t>
      </w:r>
      <w:r>
        <w:rPr>
          <w:i/>
          <w:sz w:val="18"/>
        </w:rPr>
        <w:t>to</w:t>
      </w:r>
      <w:r>
        <w:rPr>
          <w:i/>
          <w:spacing w:val="-28"/>
          <w:sz w:val="18"/>
        </w:rPr>
        <w:t> </w:t>
      </w:r>
      <w:r>
        <w:rPr>
          <w:i/>
          <w:sz w:val="18"/>
        </w:rPr>
        <w:t>fresh</w:t>
      </w:r>
      <w:r>
        <w:rPr>
          <w:i/>
          <w:spacing w:val="-27"/>
          <w:sz w:val="18"/>
        </w:rPr>
        <w:t> </w:t>
      </w:r>
      <w:r>
        <w:rPr>
          <w:i/>
          <w:sz w:val="18"/>
        </w:rPr>
        <w:t>completed</w:t>
      </w:r>
      <w:r>
        <w:rPr>
          <w:i/>
          <w:spacing w:val="-27"/>
          <w:sz w:val="18"/>
        </w:rPr>
        <w:t> </w:t>
      </w:r>
      <w:r>
        <w:rPr>
          <w:i/>
          <w:sz w:val="18"/>
        </w:rPr>
        <w:t>supply</w:t>
      </w:r>
      <w:r>
        <w:rPr>
          <w:i/>
          <w:spacing w:val="-29"/>
          <w:sz w:val="18"/>
        </w:rPr>
        <w:t> </w:t>
      </w:r>
      <w:r>
        <w:rPr>
          <w:i/>
          <w:sz w:val="18"/>
        </w:rPr>
        <w:t>added</w:t>
      </w:r>
      <w:r>
        <w:rPr>
          <w:i/>
          <w:spacing w:val="-26"/>
          <w:sz w:val="18"/>
        </w:rPr>
        <w:t> </w:t>
      </w:r>
      <w:r>
        <w:rPr>
          <w:i/>
          <w:sz w:val="18"/>
        </w:rPr>
        <w:t>each</w:t>
      </w:r>
      <w:r>
        <w:rPr>
          <w:i/>
          <w:spacing w:val="-28"/>
          <w:sz w:val="18"/>
        </w:rPr>
        <w:t> </w:t>
      </w:r>
      <w:r>
        <w:rPr>
          <w:i/>
          <w:sz w:val="18"/>
        </w:rPr>
        <w:t>year;</w:t>
      </w:r>
      <w:r>
        <w:rPr>
          <w:i/>
          <w:spacing w:val="-28"/>
          <w:sz w:val="18"/>
        </w:rPr>
        <w:t> </w:t>
      </w:r>
      <w:r>
        <w:rPr>
          <w:i/>
          <w:sz w:val="18"/>
        </w:rPr>
        <w:t>Absorption</w:t>
      </w:r>
      <w:r>
        <w:rPr>
          <w:i/>
          <w:spacing w:val="-24"/>
          <w:sz w:val="18"/>
        </w:rPr>
        <w:t> </w:t>
      </w:r>
      <w:r>
        <w:rPr>
          <w:i/>
          <w:w w:val="105"/>
          <w:sz w:val="18"/>
        </w:rPr>
        <w:t>–</w:t>
      </w:r>
      <w:r>
        <w:rPr>
          <w:i/>
          <w:spacing w:val="-30"/>
          <w:w w:val="105"/>
          <w:sz w:val="18"/>
        </w:rPr>
        <w:t> </w:t>
      </w:r>
      <w:r>
        <w:rPr>
          <w:i/>
          <w:sz w:val="18"/>
        </w:rPr>
        <w:t>refers</w:t>
      </w:r>
      <w:r>
        <w:rPr>
          <w:i/>
          <w:spacing w:val="-28"/>
          <w:sz w:val="18"/>
        </w:rPr>
        <w:t> </w:t>
      </w:r>
      <w:r>
        <w:rPr>
          <w:i/>
          <w:sz w:val="18"/>
        </w:rPr>
        <w:t>to</w:t>
      </w:r>
      <w:r>
        <w:rPr>
          <w:i/>
          <w:spacing w:val="-28"/>
          <w:sz w:val="18"/>
        </w:rPr>
        <w:t> </w:t>
      </w:r>
      <w:r>
        <w:rPr>
          <w:i/>
          <w:sz w:val="18"/>
        </w:rPr>
        <w:t>the</w:t>
      </w:r>
      <w:r>
        <w:rPr>
          <w:i/>
          <w:spacing w:val="-29"/>
          <w:sz w:val="18"/>
        </w:rPr>
        <w:t> </w:t>
      </w:r>
      <w:r>
        <w:rPr>
          <w:i/>
          <w:sz w:val="18"/>
        </w:rPr>
        <w:t>quantum</w:t>
      </w:r>
      <w:r>
        <w:rPr>
          <w:i/>
          <w:spacing w:val="-27"/>
          <w:sz w:val="18"/>
        </w:rPr>
        <w:t> </w:t>
      </w:r>
      <w:r>
        <w:rPr>
          <w:i/>
          <w:sz w:val="18"/>
        </w:rPr>
        <w:t>of </w:t>
      </w:r>
      <w:r>
        <w:rPr>
          <w:i/>
          <w:sz w:val="18"/>
        </w:rPr>
        <w:t>leasing</w:t>
      </w:r>
      <w:r>
        <w:rPr>
          <w:i/>
          <w:spacing w:val="-19"/>
          <w:sz w:val="18"/>
        </w:rPr>
        <w:t> </w:t>
      </w:r>
      <w:r>
        <w:rPr>
          <w:i/>
          <w:sz w:val="18"/>
        </w:rPr>
        <w:t>witnessed</w:t>
      </w:r>
      <w:r>
        <w:rPr>
          <w:i/>
          <w:spacing w:val="-17"/>
          <w:sz w:val="18"/>
        </w:rPr>
        <w:t> </w:t>
      </w:r>
      <w:r>
        <w:rPr>
          <w:i/>
          <w:sz w:val="18"/>
        </w:rPr>
        <w:t>in</w:t>
      </w:r>
      <w:r>
        <w:rPr>
          <w:i/>
          <w:spacing w:val="-19"/>
          <w:sz w:val="18"/>
        </w:rPr>
        <w:t> </w:t>
      </w:r>
      <w:r>
        <w:rPr>
          <w:i/>
          <w:sz w:val="18"/>
        </w:rPr>
        <w:t>each</w:t>
      </w:r>
      <w:r>
        <w:rPr>
          <w:i/>
          <w:spacing w:val="-17"/>
          <w:sz w:val="18"/>
        </w:rPr>
        <w:t> </w:t>
      </w:r>
      <w:r>
        <w:rPr>
          <w:i/>
          <w:sz w:val="18"/>
        </w:rPr>
        <w:t>year</w:t>
      </w:r>
      <w:r>
        <w:rPr>
          <w:i/>
          <w:spacing w:val="-18"/>
          <w:sz w:val="18"/>
        </w:rPr>
        <w:t> </w:t>
      </w:r>
      <w:r>
        <w:rPr>
          <w:i/>
          <w:sz w:val="18"/>
        </w:rPr>
        <w:t>as</w:t>
      </w:r>
      <w:r>
        <w:rPr>
          <w:i/>
          <w:spacing w:val="-19"/>
          <w:sz w:val="18"/>
        </w:rPr>
        <w:t> </w:t>
      </w:r>
      <w:r>
        <w:rPr>
          <w:i/>
          <w:sz w:val="18"/>
        </w:rPr>
        <w:t>part</w:t>
      </w:r>
      <w:r>
        <w:rPr>
          <w:i/>
          <w:spacing w:val="-17"/>
          <w:sz w:val="18"/>
        </w:rPr>
        <w:t> </w:t>
      </w:r>
      <w:r>
        <w:rPr>
          <w:i/>
          <w:sz w:val="18"/>
        </w:rPr>
        <w:t>of</w:t>
      </w:r>
      <w:r>
        <w:rPr>
          <w:i/>
          <w:spacing w:val="-18"/>
          <w:sz w:val="18"/>
        </w:rPr>
        <w:t> </w:t>
      </w:r>
      <w:r>
        <w:rPr>
          <w:i/>
          <w:sz w:val="18"/>
        </w:rPr>
        <w:t>completed</w:t>
      </w:r>
      <w:r>
        <w:rPr>
          <w:i/>
          <w:spacing w:val="-19"/>
          <w:sz w:val="18"/>
        </w:rPr>
        <w:t> </w:t>
      </w:r>
      <w:r>
        <w:rPr>
          <w:i/>
          <w:sz w:val="18"/>
        </w:rPr>
        <w:t>space;</w:t>
      </w:r>
      <w:r>
        <w:rPr>
          <w:i/>
          <w:spacing w:val="-18"/>
          <w:sz w:val="18"/>
        </w:rPr>
        <w:t> </w:t>
      </w:r>
      <w:r>
        <w:rPr>
          <w:i/>
          <w:sz w:val="18"/>
        </w:rPr>
        <w:t>the</w:t>
      </w:r>
      <w:r>
        <w:rPr>
          <w:i/>
          <w:spacing w:val="-17"/>
          <w:sz w:val="18"/>
        </w:rPr>
        <w:t> </w:t>
      </w:r>
      <w:r>
        <w:rPr>
          <w:i/>
          <w:sz w:val="18"/>
        </w:rPr>
        <w:t>vacancy</w:t>
      </w:r>
      <w:r>
        <w:rPr>
          <w:i/>
          <w:spacing w:val="-19"/>
          <w:sz w:val="18"/>
        </w:rPr>
        <w:t> </w:t>
      </w:r>
      <w:r>
        <w:rPr>
          <w:i/>
          <w:sz w:val="18"/>
        </w:rPr>
        <w:t>in</w:t>
      </w:r>
      <w:r>
        <w:rPr>
          <w:i/>
          <w:spacing w:val="-19"/>
          <w:sz w:val="18"/>
        </w:rPr>
        <w:t> </w:t>
      </w:r>
      <w:r>
        <w:rPr>
          <w:i/>
          <w:sz w:val="18"/>
        </w:rPr>
        <w:t>the</w:t>
      </w:r>
      <w:r>
        <w:rPr>
          <w:i/>
          <w:spacing w:val="-19"/>
          <w:sz w:val="18"/>
        </w:rPr>
        <w:t> </w:t>
      </w:r>
      <w:r>
        <w:rPr>
          <w:i/>
          <w:sz w:val="18"/>
        </w:rPr>
        <w:t>chart</w:t>
      </w:r>
      <w:r>
        <w:rPr>
          <w:i/>
          <w:spacing w:val="-17"/>
          <w:sz w:val="18"/>
        </w:rPr>
        <w:t> </w:t>
      </w:r>
      <w:r>
        <w:rPr>
          <w:i/>
          <w:sz w:val="18"/>
        </w:rPr>
        <w:t>accounts</w:t>
      </w:r>
      <w:r>
        <w:rPr>
          <w:i/>
          <w:spacing w:val="-18"/>
          <w:sz w:val="18"/>
        </w:rPr>
        <w:t> </w:t>
      </w:r>
      <w:r>
        <w:rPr>
          <w:i/>
          <w:sz w:val="18"/>
        </w:rPr>
        <w:t>for</w:t>
      </w:r>
      <w:r>
        <w:rPr>
          <w:i/>
          <w:spacing w:val="-11"/>
          <w:sz w:val="18"/>
        </w:rPr>
        <w:t> </w:t>
      </w:r>
      <w:r>
        <w:rPr>
          <w:i/>
          <w:sz w:val="18"/>
        </w:rPr>
        <w:t>the</w:t>
      </w:r>
      <w:r>
        <w:rPr>
          <w:i/>
          <w:spacing w:val="-19"/>
          <w:sz w:val="18"/>
        </w:rPr>
        <w:t> </w:t>
      </w:r>
      <w:r>
        <w:rPr>
          <w:i/>
          <w:sz w:val="18"/>
        </w:rPr>
        <w:t>gap</w:t>
      </w:r>
      <w:r>
        <w:rPr>
          <w:i/>
          <w:spacing w:val="-19"/>
          <w:sz w:val="18"/>
        </w:rPr>
        <w:t> </w:t>
      </w:r>
      <w:r>
        <w:rPr>
          <w:i/>
          <w:sz w:val="18"/>
        </w:rPr>
        <w:t>between</w:t>
      </w:r>
      <w:r>
        <w:rPr>
          <w:i/>
          <w:spacing w:val="-17"/>
          <w:sz w:val="18"/>
        </w:rPr>
        <w:t> </w:t>
      </w:r>
      <w:r>
        <w:rPr>
          <w:i/>
          <w:sz w:val="18"/>
        </w:rPr>
        <w:t>cumulative stock and demand in the city in any</w:t>
      </w:r>
      <w:r>
        <w:rPr>
          <w:i/>
          <w:spacing w:val="-40"/>
          <w:sz w:val="18"/>
        </w:rPr>
        <w:t> </w:t>
      </w:r>
      <w:r>
        <w:rPr>
          <w:i/>
          <w:sz w:val="18"/>
        </w:rPr>
        <w:t>given year.</w:t>
      </w:r>
    </w:p>
    <w:p>
      <w:pPr>
        <w:pStyle w:val="BodyText"/>
        <w:spacing w:before="11"/>
        <w:rPr>
          <w:i/>
          <w:sz w:val="20"/>
        </w:rPr>
      </w:pPr>
    </w:p>
    <w:p>
      <w:pPr>
        <w:pStyle w:val="BodyText"/>
        <w:spacing w:line="321" w:lineRule="auto"/>
        <w:ind w:left="767" w:right="196"/>
        <w:jc w:val="both"/>
      </w:pPr>
      <w:r>
        <w:rPr/>
        <w:t>The</w:t>
      </w:r>
      <w:r>
        <w:rPr>
          <w:spacing w:val="-12"/>
        </w:rPr>
        <w:t> </w:t>
      </w:r>
      <w:r>
        <w:rPr/>
        <w:t>initial</w:t>
      </w:r>
      <w:r>
        <w:rPr>
          <w:spacing w:val="-11"/>
        </w:rPr>
        <w:t> </w:t>
      </w:r>
      <w:r>
        <w:rPr/>
        <w:t>stretch</w:t>
      </w:r>
      <w:r>
        <w:rPr>
          <w:spacing w:val="-12"/>
        </w:rPr>
        <w:t> </w:t>
      </w:r>
      <w:r>
        <w:rPr/>
        <w:t>of</w:t>
      </w:r>
      <w:r>
        <w:rPr>
          <w:spacing w:val="-10"/>
        </w:rPr>
        <w:t> </w:t>
      </w:r>
      <w:r>
        <w:rPr/>
        <w:t>North</w:t>
      </w:r>
      <w:r>
        <w:rPr>
          <w:spacing w:val="-11"/>
        </w:rPr>
        <w:t> </w:t>
      </w:r>
      <w:r>
        <w:rPr/>
        <w:t>Bengaluru,</w:t>
      </w:r>
      <w:r>
        <w:rPr>
          <w:spacing w:val="-10"/>
        </w:rPr>
        <w:t> </w:t>
      </w:r>
      <w:r>
        <w:rPr/>
        <w:t>where</w:t>
      </w:r>
      <w:r>
        <w:rPr>
          <w:spacing w:val="-12"/>
        </w:rPr>
        <w:t> </w:t>
      </w:r>
      <w:r>
        <w:rPr/>
        <w:t>subject</w:t>
      </w:r>
      <w:r>
        <w:rPr>
          <w:spacing w:val="-10"/>
        </w:rPr>
        <w:t> </w:t>
      </w:r>
      <w:r>
        <w:rPr/>
        <w:t>property</w:t>
      </w:r>
      <w:r>
        <w:rPr>
          <w:spacing w:val="-10"/>
        </w:rPr>
        <w:t> </w:t>
      </w:r>
      <w:r>
        <w:rPr/>
        <w:t>is</w:t>
      </w:r>
      <w:r>
        <w:rPr>
          <w:spacing w:val="-10"/>
        </w:rPr>
        <w:t> </w:t>
      </w:r>
      <w:r>
        <w:rPr/>
        <w:t>located</w:t>
      </w:r>
      <w:r>
        <w:rPr>
          <w:spacing w:val="-10"/>
        </w:rPr>
        <w:t> </w:t>
      </w:r>
      <w:r>
        <w:rPr/>
        <w:t>has</w:t>
      </w:r>
      <w:r>
        <w:rPr>
          <w:spacing w:val="-10"/>
        </w:rPr>
        <w:t> </w:t>
      </w:r>
      <w:r>
        <w:rPr/>
        <w:t>emerged</w:t>
      </w:r>
      <w:r>
        <w:rPr>
          <w:spacing w:val="-10"/>
        </w:rPr>
        <w:t> </w:t>
      </w:r>
      <w:r>
        <w:rPr/>
        <w:t>as</w:t>
      </w:r>
      <w:r>
        <w:rPr>
          <w:spacing w:val="-10"/>
        </w:rPr>
        <w:t> </w:t>
      </w:r>
      <w:r>
        <w:rPr/>
        <w:t>a</w:t>
      </w:r>
      <w:r>
        <w:rPr>
          <w:spacing w:val="-12"/>
        </w:rPr>
        <w:t> </w:t>
      </w:r>
      <w:r>
        <w:rPr/>
        <w:t>prominent growth</w:t>
      </w:r>
      <w:r>
        <w:rPr>
          <w:spacing w:val="-35"/>
        </w:rPr>
        <w:t> </w:t>
      </w:r>
      <w:r>
        <w:rPr/>
        <w:t>corridor</w:t>
      </w:r>
      <w:r>
        <w:rPr>
          <w:spacing w:val="-36"/>
        </w:rPr>
        <w:t> </w:t>
      </w:r>
      <w:r>
        <w:rPr/>
        <w:t>for</w:t>
      </w:r>
      <w:r>
        <w:rPr>
          <w:spacing w:val="-35"/>
        </w:rPr>
        <w:t> </w:t>
      </w:r>
      <w:r>
        <w:rPr/>
        <w:t>office</w:t>
      </w:r>
      <w:r>
        <w:rPr>
          <w:spacing w:val="-35"/>
        </w:rPr>
        <w:t> </w:t>
      </w:r>
      <w:r>
        <w:rPr/>
        <w:t>developments.</w:t>
      </w:r>
      <w:r>
        <w:rPr>
          <w:spacing w:val="-36"/>
        </w:rPr>
        <w:t> </w:t>
      </w:r>
      <w:r>
        <w:rPr/>
        <w:t>Locations</w:t>
      </w:r>
      <w:r>
        <w:rPr>
          <w:spacing w:val="-35"/>
        </w:rPr>
        <w:t> </w:t>
      </w:r>
      <w:r>
        <w:rPr/>
        <w:t>north</w:t>
      </w:r>
      <w:r>
        <w:rPr>
          <w:spacing w:val="-35"/>
        </w:rPr>
        <w:t> </w:t>
      </w:r>
      <w:r>
        <w:rPr/>
        <w:t>of</w:t>
      </w:r>
      <w:r>
        <w:rPr>
          <w:spacing w:val="-35"/>
        </w:rPr>
        <w:t> </w:t>
      </w:r>
      <w:r>
        <w:rPr/>
        <w:t>the</w:t>
      </w:r>
      <w:r>
        <w:rPr>
          <w:spacing w:val="-34"/>
        </w:rPr>
        <w:t> </w:t>
      </w:r>
      <w:r>
        <w:rPr/>
        <w:t>subject</w:t>
      </w:r>
      <w:r>
        <w:rPr>
          <w:spacing w:val="-35"/>
        </w:rPr>
        <w:t> </w:t>
      </w:r>
      <w:r>
        <w:rPr/>
        <w:t>property</w:t>
      </w:r>
      <w:r>
        <w:rPr>
          <w:spacing w:val="-34"/>
        </w:rPr>
        <w:t> </w:t>
      </w:r>
      <w:r>
        <w:rPr/>
        <w:t>are</w:t>
      </w:r>
      <w:r>
        <w:rPr>
          <w:spacing w:val="-35"/>
        </w:rPr>
        <w:t> </w:t>
      </w:r>
      <w:r>
        <w:rPr/>
        <w:t>gradually</w:t>
      </w:r>
      <w:r>
        <w:rPr>
          <w:spacing w:val="-35"/>
        </w:rPr>
        <w:t> </w:t>
      </w:r>
      <w:r>
        <w:rPr/>
        <w:t>emerging as</w:t>
      </w:r>
      <w:r>
        <w:rPr>
          <w:spacing w:val="-39"/>
        </w:rPr>
        <w:t> </w:t>
      </w:r>
      <w:r>
        <w:rPr/>
        <w:t>a</w:t>
      </w:r>
      <w:r>
        <w:rPr>
          <w:spacing w:val="-40"/>
        </w:rPr>
        <w:t> </w:t>
      </w:r>
      <w:r>
        <w:rPr/>
        <w:t>prominent</w:t>
      </w:r>
      <w:r>
        <w:rPr>
          <w:spacing w:val="-39"/>
        </w:rPr>
        <w:t> </w:t>
      </w:r>
      <w:r>
        <w:rPr/>
        <w:t>growth</w:t>
      </w:r>
      <w:r>
        <w:rPr>
          <w:spacing w:val="-39"/>
        </w:rPr>
        <w:t> </w:t>
      </w:r>
      <w:r>
        <w:rPr/>
        <w:t>corridor</w:t>
      </w:r>
      <w:r>
        <w:rPr>
          <w:spacing w:val="-40"/>
        </w:rPr>
        <w:t> </w:t>
      </w:r>
      <w:r>
        <w:rPr/>
        <w:t>owing</w:t>
      </w:r>
      <w:r>
        <w:rPr>
          <w:spacing w:val="-39"/>
        </w:rPr>
        <w:t> </w:t>
      </w:r>
      <w:r>
        <w:rPr/>
        <w:t>to</w:t>
      </w:r>
      <w:r>
        <w:rPr>
          <w:spacing w:val="-40"/>
        </w:rPr>
        <w:t> </w:t>
      </w:r>
      <w:r>
        <w:rPr/>
        <w:t>its</w:t>
      </w:r>
      <w:r>
        <w:rPr>
          <w:spacing w:val="-38"/>
        </w:rPr>
        <w:t> </w:t>
      </w:r>
      <w:r>
        <w:rPr/>
        <w:t>connectivity</w:t>
      </w:r>
      <w:r>
        <w:rPr>
          <w:spacing w:val="-39"/>
        </w:rPr>
        <w:t> </w:t>
      </w:r>
      <w:r>
        <w:rPr/>
        <w:t>to</w:t>
      </w:r>
      <w:r>
        <w:rPr>
          <w:spacing w:val="-40"/>
        </w:rPr>
        <w:t> </w:t>
      </w:r>
      <w:r>
        <w:rPr/>
        <w:t>the</w:t>
      </w:r>
      <w:r>
        <w:rPr>
          <w:spacing w:val="-39"/>
        </w:rPr>
        <w:t> </w:t>
      </w:r>
      <w:r>
        <w:rPr/>
        <w:t>international</w:t>
      </w:r>
      <w:r>
        <w:rPr>
          <w:spacing w:val="-40"/>
        </w:rPr>
        <w:t> </w:t>
      </w:r>
      <w:r>
        <w:rPr/>
        <w:t>airport,</w:t>
      </w:r>
      <w:r>
        <w:rPr>
          <w:spacing w:val="-39"/>
        </w:rPr>
        <w:t> </w:t>
      </w:r>
      <w:r>
        <w:rPr/>
        <w:t>good</w:t>
      </w:r>
      <w:r>
        <w:rPr>
          <w:spacing w:val="-39"/>
        </w:rPr>
        <w:t> </w:t>
      </w:r>
      <w:r>
        <w:rPr/>
        <w:t>connectivity</w:t>
      </w:r>
      <w:r>
        <w:rPr>
          <w:spacing w:val="-39"/>
        </w:rPr>
        <w:t> </w:t>
      </w:r>
      <w:r>
        <w:rPr/>
        <w:t>to</w:t>
      </w:r>
    </w:p>
    <w:p>
      <w:pPr>
        <w:spacing w:after="0" w:line="321" w:lineRule="auto"/>
        <w:jc w:val="both"/>
        <w:sectPr>
          <w:type w:val="continuous"/>
          <w:pgSz w:w="11910" w:h="16840"/>
          <w:pgMar w:top="800" w:bottom="280" w:left="500" w:right="520"/>
        </w:sectPr>
      </w:pPr>
    </w:p>
    <w:p>
      <w:pPr>
        <w:pStyle w:val="BodyText"/>
        <w:spacing w:before="7"/>
        <w:rPr>
          <w:sz w:val="9"/>
        </w:rPr>
      </w:pPr>
    </w:p>
    <w:p>
      <w:pPr>
        <w:pStyle w:val="BodyText"/>
        <w:spacing w:line="321" w:lineRule="auto" w:before="106"/>
        <w:ind w:left="767" w:right="197"/>
        <w:jc w:val="both"/>
      </w:pPr>
      <w:r>
        <w:rPr/>
        <w:t>the</w:t>
      </w:r>
      <w:r>
        <w:rPr>
          <w:spacing w:val="-33"/>
        </w:rPr>
        <w:t> </w:t>
      </w:r>
      <w:r>
        <w:rPr/>
        <w:t>city</w:t>
      </w:r>
      <w:r>
        <w:rPr>
          <w:spacing w:val="-32"/>
        </w:rPr>
        <w:t> </w:t>
      </w:r>
      <w:r>
        <w:rPr/>
        <w:t>centre,</w:t>
      </w:r>
      <w:r>
        <w:rPr>
          <w:spacing w:val="-32"/>
        </w:rPr>
        <w:t> </w:t>
      </w:r>
      <w:r>
        <w:rPr/>
        <w:t>availability</w:t>
      </w:r>
      <w:r>
        <w:rPr>
          <w:spacing w:val="-32"/>
        </w:rPr>
        <w:t> </w:t>
      </w:r>
      <w:r>
        <w:rPr/>
        <w:t>of</w:t>
      </w:r>
      <w:r>
        <w:rPr>
          <w:spacing w:val="-32"/>
        </w:rPr>
        <w:t> </w:t>
      </w:r>
      <w:r>
        <w:rPr/>
        <w:t>large</w:t>
      </w:r>
      <w:r>
        <w:rPr>
          <w:spacing w:val="-33"/>
        </w:rPr>
        <w:t> </w:t>
      </w:r>
      <w:r>
        <w:rPr/>
        <w:t>tracts</w:t>
      </w:r>
      <w:r>
        <w:rPr>
          <w:spacing w:val="-31"/>
        </w:rPr>
        <w:t> </w:t>
      </w:r>
      <w:r>
        <w:rPr/>
        <w:t>of</w:t>
      </w:r>
      <w:r>
        <w:rPr>
          <w:spacing w:val="-32"/>
        </w:rPr>
        <w:t> </w:t>
      </w:r>
      <w:r>
        <w:rPr/>
        <w:t>developable</w:t>
      </w:r>
      <w:r>
        <w:rPr>
          <w:spacing w:val="-33"/>
        </w:rPr>
        <w:t> </w:t>
      </w:r>
      <w:r>
        <w:rPr/>
        <w:t>land</w:t>
      </w:r>
      <w:r>
        <w:rPr>
          <w:spacing w:val="-32"/>
        </w:rPr>
        <w:t> </w:t>
      </w:r>
      <w:r>
        <w:rPr/>
        <w:t>and</w:t>
      </w:r>
      <w:r>
        <w:rPr>
          <w:spacing w:val="-33"/>
        </w:rPr>
        <w:t> </w:t>
      </w:r>
      <w:r>
        <w:rPr/>
        <w:t>residential</w:t>
      </w:r>
      <w:r>
        <w:rPr>
          <w:spacing w:val="-32"/>
        </w:rPr>
        <w:t> </w:t>
      </w:r>
      <w:r>
        <w:rPr/>
        <w:t>inventory</w:t>
      </w:r>
      <w:r>
        <w:rPr>
          <w:spacing w:val="-32"/>
        </w:rPr>
        <w:t> </w:t>
      </w:r>
      <w:r>
        <w:rPr/>
        <w:t>(completed</w:t>
      </w:r>
      <w:r>
        <w:rPr>
          <w:spacing w:val="-33"/>
        </w:rPr>
        <w:t> </w:t>
      </w:r>
      <w:r>
        <w:rPr/>
        <w:t>and upcoming) to support the working</w:t>
      </w:r>
      <w:r>
        <w:rPr>
          <w:spacing w:val="-21"/>
        </w:rPr>
        <w:t> </w:t>
      </w:r>
      <w:r>
        <w:rPr/>
        <w:t>population.</w:t>
      </w:r>
    </w:p>
    <w:p>
      <w:pPr>
        <w:pStyle w:val="BodyText"/>
        <w:spacing w:before="10"/>
        <w:rPr>
          <w:sz w:val="20"/>
        </w:rPr>
      </w:pPr>
    </w:p>
    <w:p>
      <w:pPr>
        <w:pStyle w:val="BodyText"/>
        <w:spacing w:line="321" w:lineRule="auto"/>
        <w:ind w:left="767" w:right="195"/>
        <w:jc w:val="both"/>
      </w:pPr>
      <w:r>
        <w:rPr/>
        <w:t>North</w:t>
      </w:r>
      <w:r>
        <w:rPr>
          <w:spacing w:val="-37"/>
        </w:rPr>
        <w:t> </w:t>
      </w:r>
      <w:r>
        <w:rPr/>
        <w:t>Bengaluru</w:t>
      </w:r>
      <w:r>
        <w:rPr>
          <w:spacing w:val="-36"/>
        </w:rPr>
        <w:t> </w:t>
      </w:r>
      <w:r>
        <w:rPr/>
        <w:t>sub</w:t>
      </w:r>
      <w:r>
        <w:rPr>
          <w:spacing w:val="-37"/>
        </w:rPr>
        <w:t> </w:t>
      </w:r>
      <w:r>
        <w:rPr/>
        <w:t>market</w:t>
      </w:r>
      <w:r>
        <w:rPr>
          <w:spacing w:val="-36"/>
        </w:rPr>
        <w:t> </w:t>
      </w:r>
      <w:r>
        <w:rPr/>
        <w:t>gained</w:t>
      </w:r>
      <w:r>
        <w:rPr>
          <w:spacing w:val="-37"/>
        </w:rPr>
        <w:t> </w:t>
      </w:r>
      <w:r>
        <w:rPr/>
        <w:t>prominence</w:t>
      </w:r>
      <w:r>
        <w:rPr>
          <w:spacing w:val="-36"/>
        </w:rPr>
        <w:t> </w:t>
      </w:r>
      <w:r>
        <w:rPr/>
        <w:t>in</w:t>
      </w:r>
      <w:r>
        <w:rPr>
          <w:spacing w:val="-37"/>
        </w:rPr>
        <w:t> </w:t>
      </w:r>
      <w:r>
        <w:rPr/>
        <w:t>the</w:t>
      </w:r>
      <w:r>
        <w:rPr>
          <w:spacing w:val="-37"/>
        </w:rPr>
        <w:t> </w:t>
      </w:r>
      <w:r>
        <w:rPr/>
        <w:t>city’s</w:t>
      </w:r>
      <w:r>
        <w:rPr>
          <w:spacing w:val="-35"/>
        </w:rPr>
        <w:t> </w:t>
      </w:r>
      <w:r>
        <w:rPr/>
        <w:t>office</w:t>
      </w:r>
      <w:r>
        <w:rPr>
          <w:spacing w:val="-37"/>
        </w:rPr>
        <w:t> </w:t>
      </w:r>
      <w:r>
        <w:rPr/>
        <w:t>space</w:t>
      </w:r>
      <w:r>
        <w:rPr>
          <w:spacing w:val="-37"/>
        </w:rPr>
        <w:t> </w:t>
      </w:r>
      <w:r>
        <w:rPr/>
        <w:t>landscape,</w:t>
      </w:r>
      <w:r>
        <w:rPr>
          <w:spacing w:val="-36"/>
        </w:rPr>
        <w:t> </w:t>
      </w:r>
      <w:r>
        <w:rPr/>
        <w:t>with</w:t>
      </w:r>
      <w:r>
        <w:rPr>
          <w:spacing w:val="-38"/>
        </w:rPr>
        <w:t> </w:t>
      </w:r>
      <w:r>
        <w:rPr/>
        <w:t>the</w:t>
      </w:r>
      <w:r>
        <w:rPr>
          <w:spacing w:val="-36"/>
        </w:rPr>
        <w:t> </w:t>
      </w:r>
      <w:r>
        <w:rPr/>
        <w:t>completion of Embassy REIT’s asset Embassy Manyata. The largest operational Office Park in Bengaluru gained prominence</w:t>
      </w:r>
      <w:r>
        <w:rPr>
          <w:spacing w:val="-8"/>
        </w:rPr>
        <w:t> </w:t>
      </w:r>
      <w:r>
        <w:rPr/>
        <w:t>as</w:t>
      </w:r>
      <w:r>
        <w:rPr>
          <w:spacing w:val="-6"/>
        </w:rPr>
        <w:t> </w:t>
      </w:r>
      <w:r>
        <w:rPr/>
        <w:t>it</w:t>
      </w:r>
      <w:r>
        <w:rPr>
          <w:spacing w:val="-7"/>
        </w:rPr>
        <w:t> </w:t>
      </w:r>
      <w:r>
        <w:rPr/>
        <w:t>offered</w:t>
      </w:r>
      <w:r>
        <w:rPr>
          <w:spacing w:val="-8"/>
        </w:rPr>
        <w:t> </w:t>
      </w:r>
      <w:r>
        <w:rPr/>
        <w:t>superior</w:t>
      </w:r>
      <w:r>
        <w:rPr>
          <w:spacing w:val="-7"/>
        </w:rPr>
        <w:t> </w:t>
      </w:r>
      <w:r>
        <w:rPr/>
        <w:t>amenities</w:t>
      </w:r>
      <w:r>
        <w:rPr>
          <w:spacing w:val="-7"/>
        </w:rPr>
        <w:t> </w:t>
      </w:r>
      <w:r>
        <w:rPr/>
        <w:t>for</w:t>
      </w:r>
      <w:r>
        <w:rPr>
          <w:spacing w:val="-7"/>
        </w:rPr>
        <w:t> </w:t>
      </w:r>
      <w:r>
        <w:rPr/>
        <w:t>both</w:t>
      </w:r>
      <w:r>
        <w:rPr>
          <w:spacing w:val="-7"/>
        </w:rPr>
        <w:t> </w:t>
      </w:r>
      <w:r>
        <w:rPr/>
        <w:t>occupiers</w:t>
      </w:r>
      <w:r>
        <w:rPr>
          <w:spacing w:val="-7"/>
        </w:rPr>
        <w:t> </w:t>
      </w:r>
      <w:r>
        <w:rPr/>
        <w:t>and</w:t>
      </w:r>
      <w:r>
        <w:rPr>
          <w:spacing w:val="-6"/>
        </w:rPr>
        <w:t> </w:t>
      </w:r>
      <w:r>
        <w:rPr/>
        <w:t>employees.</w:t>
      </w:r>
      <w:r>
        <w:rPr>
          <w:spacing w:val="-8"/>
        </w:rPr>
        <w:t> </w:t>
      </w:r>
      <w:r>
        <w:rPr/>
        <w:t>With</w:t>
      </w:r>
      <w:r>
        <w:rPr>
          <w:spacing w:val="-9"/>
        </w:rPr>
        <w:t> </w:t>
      </w:r>
      <w:r>
        <w:rPr/>
        <w:t>benefits</w:t>
      </w:r>
      <w:r>
        <w:rPr>
          <w:spacing w:val="-6"/>
        </w:rPr>
        <w:t> </w:t>
      </w:r>
      <w:r>
        <w:rPr/>
        <w:t>such</w:t>
      </w:r>
      <w:r>
        <w:rPr>
          <w:spacing w:val="-10"/>
        </w:rPr>
        <w:t> </w:t>
      </w:r>
      <w:r>
        <w:rPr/>
        <w:t>as infrastructure</w:t>
      </w:r>
      <w:r>
        <w:rPr>
          <w:spacing w:val="-37"/>
        </w:rPr>
        <w:t> </w:t>
      </w:r>
      <w:r>
        <w:rPr/>
        <w:t>within</w:t>
      </w:r>
      <w:r>
        <w:rPr>
          <w:spacing w:val="-37"/>
        </w:rPr>
        <w:t> </w:t>
      </w:r>
      <w:r>
        <w:rPr/>
        <w:t>the</w:t>
      </w:r>
      <w:r>
        <w:rPr>
          <w:spacing w:val="-38"/>
        </w:rPr>
        <w:t> </w:t>
      </w:r>
      <w:r>
        <w:rPr/>
        <w:t>park</w:t>
      </w:r>
      <w:r>
        <w:rPr>
          <w:spacing w:val="-36"/>
        </w:rPr>
        <w:t> </w:t>
      </w:r>
      <w:r>
        <w:rPr>
          <w:w w:val="130"/>
        </w:rPr>
        <w:t>~</w:t>
      </w:r>
      <w:r>
        <w:rPr>
          <w:spacing w:val="-56"/>
          <w:w w:val="130"/>
        </w:rPr>
        <w:t> </w:t>
      </w:r>
      <w:r>
        <w:rPr/>
        <w:t>ample</w:t>
      </w:r>
      <w:r>
        <w:rPr>
          <w:spacing w:val="-38"/>
        </w:rPr>
        <w:t> </w:t>
      </w:r>
      <w:r>
        <w:rPr/>
        <w:t>parking</w:t>
      </w:r>
      <w:r>
        <w:rPr>
          <w:spacing w:val="-36"/>
        </w:rPr>
        <w:t> </w:t>
      </w:r>
      <w:r>
        <w:rPr/>
        <w:t>and</w:t>
      </w:r>
      <w:r>
        <w:rPr>
          <w:spacing w:val="-36"/>
        </w:rPr>
        <w:t> </w:t>
      </w:r>
      <w:r>
        <w:rPr/>
        <w:t>provisions</w:t>
      </w:r>
      <w:r>
        <w:rPr>
          <w:spacing w:val="-36"/>
        </w:rPr>
        <w:t> </w:t>
      </w:r>
      <w:r>
        <w:rPr/>
        <w:t>to</w:t>
      </w:r>
      <w:r>
        <w:rPr>
          <w:spacing w:val="-36"/>
        </w:rPr>
        <w:t> </w:t>
      </w:r>
      <w:r>
        <w:rPr/>
        <w:t>host</w:t>
      </w:r>
      <w:r>
        <w:rPr>
          <w:spacing w:val="-36"/>
        </w:rPr>
        <w:t> </w:t>
      </w:r>
      <w:r>
        <w:rPr/>
        <w:t>events,</w:t>
      </w:r>
      <w:r>
        <w:rPr>
          <w:spacing w:val="-37"/>
        </w:rPr>
        <w:t> </w:t>
      </w:r>
      <w:r>
        <w:rPr/>
        <w:t>availability</w:t>
      </w:r>
      <w:r>
        <w:rPr>
          <w:spacing w:val="-35"/>
        </w:rPr>
        <w:t> </w:t>
      </w:r>
      <w:r>
        <w:rPr/>
        <w:t>of</w:t>
      </w:r>
      <w:r>
        <w:rPr>
          <w:spacing w:val="-37"/>
        </w:rPr>
        <w:t> </w:t>
      </w:r>
      <w:r>
        <w:rPr/>
        <w:t>quality</w:t>
      </w:r>
      <w:r>
        <w:rPr>
          <w:spacing w:val="-37"/>
        </w:rPr>
        <w:t> </w:t>
      </w:r>
      <w:r>
        <w:rPr/>
        <w:t>office </w:t>
      </w:r>
      <w:r>
        <w:rPr>
          <w:w w:val="95"/>
        </w:rPr>
        <w:t>spaces</w:t>
      </w:r>
      <w:r>
        <w:rPr>
          <w:spacing w:val="-14"/>
          <w:w w:val="95"/>
        </w:rPr>
        <w:t> </w:t>
      </w:r>
      <w:r>
        <w:rPr>
          <w:w w:val="95"/>
        </w:rPr>
        <w:t>and</w:t>
      </w:r>
      <w:r>
        <w:rPr>
          <w:spacing w:val="-13"/>
          <w:w w:val="95"/>
        </w:rPr>
        <w:t> </w:t>
      </w:r>
      <w:r>
        <w:rPr>
          <w:w w:val="95"/>
        </w:rPr>
        <w:t>option</w:t>
      </w:r>
      <w:r>
        <w:rPr>
          <w:spacing w:val="-15"/>
          <w:w w:val="95"/>
        </w:rPr>
        <w:t> </w:t>
      </w:r>
      <w:r>
        <w:rPr>
          <w:w w:val="95"/>
        </w:rPr>
        <w:t>of</w:t>
      </w:r>
      <w:r>
        <w:rPr>
          <w:spacing w:val="-13"/>
          <w:w w:val="95"/>
        </w:rPr>
        <w:t> </w:t>
      </w:r>
      <w:r>
        <w:rPr>
          <w:w w:val="95"/>
        </w:rPr>
        <w:t>scalability,</w:t>
      </w:r>
      <w:r>
        <w:rPr>
          <w:spacing w:val="-12"/>
          <w:w w:val="95"/>
        </w:rPr>
        <w:t> </w:t>
      </w:r>
      <w:r>
        <w:rPr>
          <w:w w:val="95"/>
        </w:rPr>
        <w:t>the</w:t>
      </w:r>
      <w:r>
        <w:rPr>
          <w:spacing w:val="-15"/>
          <w:w w:val="95"/>
        </w:rPr>
        <w:t> </w:t>
      </w:r>
      <w:r>
        <w:rPr>
          <w:w w:val="95"/>
        </w:rPr>
        <w:t>park</w:t>
      </w:r>
      <w:r>
        <w:rPr>
          <w:spacing w:val="-15"/>
          <w:w w:val="95"/>
        </w:rPr>
        <w:t> </w:t>
      </w:r>
      <w:r>
        <w:rPr>
          <w:w w:val="95"/>
        </w:rPr>
        <w:t>attracted</w:t>
      </w:r>
      <w:r>
        <w:rPr>
          <w:spacing w:val="-16"/>
          <w:w w:val="95"/>
        </w:rPr>
        <w:t> </w:t>
      </w:r>
      <w:r>
        <w:rPr>
          <w:w w:val="95"/>
        </w:rPr>
        <w:t>occupier</w:t>
      </w:r>
      <w:r>
        <w:rPr>
          <w:spacing w:val="-14"/>
          <w:w w:val="95"/>
        </w:rPr>
        <w:t> </w:t>
      </w:r>
      <w:r>
        <w:rPr>
          <w:w w:val="95"/>
        </w:rPr>
        <w:t>interest</w:t>
      </w:r>
      <w:r>
        <w:rPr>
          <w:spacing w:val="-14"/>
          <w:w w:val="95"/>
        </w:rPr>
        <w:t> </w:t>
      </w:r>
      <w:r>
        <w:rPr>
          <w:w w:val="95"/>
        </w:rPr>
        <w:t>from</w:t>
      </w:r>
      <w:r>
        <w:rPr>
          <w:spacing w:val="-14"/>
          <w:w w:val="95"/>
        </w:rPr>
        <w:t> </w:t>
      </w:r>
      <w:r>
        <w:rPr>
          <w:w w:val="95"/>
        </w:rPr>
        <w:t>various</w:t>
      </w:r>
      <w:r>
        <w:rPr>
          <w:spacing w:val="-14"/>
          <w:w w:val="95"/>
        </w:rPr>
        <w:t> </w:t>
      </w:r>
      <w:r>
        <w:rPr>
          <w:w w:val="95"/>
        </w:rPr>
        <w:t>sectors.</w:t>
      </w:r>
      <w:r>
        <w:rPr>
          <w:spacing w:val="-16"/>
          <w:w w:val="95"/>
        </w:rPr>
        <w:t> </w:t>
      </w:r>
      <w:r>
        <w:rPr>
          <w:w w:val="95"/>
        </w:rPr>
        <w:t>Proximity</w:t>
      </w:r>
      <w:r>
        <w:rPr>
          <w:spacing w:val="-15"/>
          <w:w w:val="95"/>
        </w:rPr>
        <w:t> </w:t>
      </w:r>
      <w:r>
        <w:rPr>
          <w:w w:val="95"/>
        </w:rPr>
        <w:t>to</w:t>
      </w:r>
      <w:r>
        <w:rPr>
          <w:spacing w:val="-14"/>
          <w:w w:val="95"/>
        </w:rPr>
        <w:t> </w:t>
      </w:r>
      <w:r>
        <w:rPr>
          <w:w w:val="95"/>
        </w:rPr>
        <w:t>the </w:t>
      </w:r>
      <w:r>
        <w:rPr/>
        <w:t>international</w:t>
      </w:r>
      <w:r>
        <w:rPr>
          <w:spacing w:val="-31"/>
        </w:rPr>
        <w:t> </w:t>
      </w:r>
      <w:r>
        <w:rPr/>
        <w:t>airport</w:t>
      </w:r>
      <w:r>
        <w:rPr>
          <w:spacing w:val="-32"/>
        </w:rPr>
        <w:t> </w:t>
      </w:r>
      <w:r>
        <w:rPr/>
        <w:t>acts</w:t>
      </w:r>
      <w:r>
        <w:rPr>
          <w:spacing w:val="-30"/>
        </w:rPr>
        <w:t> </w:t>
      </w:r>
      <w:r>
        <w:rPr/>
        <w:t>as</w:t>
      </w:r>
      <w:r>
        <w:rPr>
          <w:spacing w:val="-32"/>
        </w:rPr>
        <w:t> </w:t>
      </w:r>
      <w:r>
        <w:rPr/>
        <w:t>another</w:t>
      </w:r>
      <w:r>
        <w:rPr>
          <w:spacing w:val="-32"/>
        </w:rPr>
        <w:t> </w:t>
      </w:r>
      <w:r>
        <w:rPr/>
        <w:t>demand</w:t>
      </w:r>
      <w:r>
        <w:rPr>
          <w:spacing w:val="-32"/>
        </w:rPr>
        <w:t> </w:t>
      </w:r>
      <w:r>
        <w:rPr/>
        <w:t>driver</w:t>
      </w:r>
      <w:r>
        <w:rPr>
          <w:spacing w:val="-32"/>
        </w:rPr>
        <w:t> </w:t>
      </w:r>
      <w:r>
        <w:rPr/>
        <w:t>for</w:t>
      </w:r>
      <w:r>
        <w:rPr>
          <w:spacing w:val="-33"/>
        </w:rPr>
        <w:t> </w:t>
      </w:r>
      <w:r>
        <w:rPr/>
        <w:t>not</w:t>
      </w:r>
      <w:r>
        <w:rPr>
          <w:spacing w:val="-30"/>
        </w:rPr>
        <w:t> </w:t>
      </w:r>
      <w:r>
        <w:rPr/>
        <w:t>only</w:t>
      </w:r>
      <w:r>
        <w:rPr>
          <w:spacing w:val="-32"/>
        </w:rPr>
        <w:t> </w:t>
      </w:r>
      <w:r>
        <w:rPr/>
        <w:t>the</w:t>
      </w:r>
      <w:r>
        <w:rPr>
          <w:spacing w:val="-32"/>
        </w:rPr>
        <w:t> </w:t>
      </w:r>
      <w:r>
        <w:rPr/>
        <w:t>subject</w:t>
      </w:r>
      <w:r>
        <w:rPr>
          <w:spacing w:val="-31"/>
        </w:rPr>
        <w:t> </w:t>
      </w:r>
      <w:r>
        <w:rPr/>
        <w:t>property,</w:t>
      </w:r>
      <w:r>
        <w:rPr>
          <w:spacing w:val="-32"/>
        </w:rPr>
        <w:t> </w:t>
      </w:r>
      <w:r>
        <w:rPr/>
        <w:t>but</w:t>
      </w:r>
      <w:r>
        <w:rPr>
          <w:spacing w:val="-31"/>
        </w:rPr>
        <w:t> </w:t>
      </w:r>
      <w:r>
        <w:rPr/>
        <w:t>also</w:t>
      </w:r>
      <w:r>
        <w:rPr>
          <w:spacing w:val="-33"/>
        </w:rPr>
        <w:t> </w:t>
      </w:r>
      <w:r>
        <w:rPr/>
        <w:t>the</w:t>
      </w:r>
      <w:r>
        <w:rPr>
          <w:spacing w:val="-32"/>
        </w:rPr>
        <w:t> </w:t>
      </w:r>
      <w:r>
        <w:rPr/>
        <w:t>entire North Bengaluru sub</w:t>
      </w:r>
      <w:r>
        <w:rPr>
          <w:spacing w:val="-7"/>
        </w:rPr>
        <w:t> </w:t>
      </w:r>
      <w:r>
        <w:rPr/>
        <w:t>market.</w:t>
      </w:r>
    </w:p>
    <w:p>
      <w:pPr>
        <w:pStyle w:val="BodyText"/>
        <w:spacing w:before="10"/>
        <w:rPr>
          <w:sz w:val="20"/>
        </w:rPr>
      </w:pPr>
    </w:p>
    <w:p>
      <w:pPr>
        <w:pStyle w:val="BodyText"/>
        <w:spacing w:line="321" w:lineRule="auto"/>
        <w:ind w:left="767" w:right="196"/>
        <w:jc w:val="both"/>
      </w:pPr>
      <w:r>
        <w:rPr/>
        <w:t>Availability</w:t>
      </w:r>
      <w:r>
        <w:rPr>
          <w:spacing w:val="-10"/>
        </w:rPr>
        <w:t> </w:t>
      </w:r>
      <w:r>
        <w:rPr/>
        <w:t>of</w:t>
      </w:r>
      <w:r>
        <w:rPr>
          <w:spacing w:val="-9"/>
        </w:rPr>
        <w:t> </w:t>
      </w:r>
      <w:r>
        <w:rPr/>
        <w:t>quality</w:t>
      </w:r>
      <w:r>
        <w:rPr>
          <w:spacing w:val="-9"/>
        </w:rPr>
        <w:t> </w:t>
      </w:r>
      <w:r>
        <w:rPr/>
        <w:t>spaces</w:t>
      </w:r>
      <w:r>
        <w:rPr>
          <w:spacing w:val="-9"/>
        </w:rPr>
        <w:t> </w:t>
      </w:r>
      <w:r>
        <w:rPr/>
        <w:t>and</w:t>
      </w:r>
      <w:r>
        <w:rPr>
          <w:spacing w:val="-11"/>
        </w:rPr>
        <w:t> </w:t>
      </w:r>
      <w:r>
        <w:rPr/>
        <w:t>a</w:t>
      </w:r>
      <w:r>
        <w:rPr>
          <w:spacing w:val="-11"/>
        </w:rPr>
        <w:t> </w:t>
      </w:r>
      <w:r>
        <w:rPr/>
        <w:t>sizable</w:t>
      </w:r>
      <w:r>
        <w:rPr>
          <w:spacing w:val="-7"/>
        </w:rPr>
        <w:t> </w:t>
      </w:r>
      <w:r>
        <w:rPr/>
        <w:t>supply</w:t>
      </w:r>
      <w:r>
        <w:rPr>
          <w:spacing w:val="-9"/>
        </w:rPr>
        <w:t> </w:t>
      </w:r>
      <w:r>
        <w:rPr/>
        <w:t>pipeline</w:t>
      </w:r>
      <w:r>
        <w:rPr>
          <w:spacing w:val="-11"/>
        </w:rPr>
        <w:t> </w:t>
      </w:r>
      <w:r>
        <w:rPr/>
        <w:t>across</w:t>
      </w:r>
      <w:r>
        <w:rPr>
          <w:spacing w:val="-9"/>
        </w:rPr>
        <w:t> </w:t>
      </w:r>
      <w:r>
        <w:rPr/>
        <w:t>organized</w:t>
      </w:r>
      <w:r>
        <w:rPr>
          <w:spacing w:val="-10"/>
        </w:rPr>
        <w:t> </w:t>
      </w:r>
      <w:r>
        <w:rPr/>
        <w:t>business</w:t>
      </w:r>
      <w:r>
        <w:rPr>
          <w:spacing w:val="-9"/>
        </w:rPr>
        <w:t> </w:t>
      </w:r>
      <w:r>
        <w:rPr/>
        <w:t>parks</w:t>
      </w:r>
      <w:r>
        <w:rPr>
          <w:spacing w:val="-10"/>
        </w:rPr>
        <w:t> </w:t>
      </w:r>
      <w:r>
        <w:rPr/>
        <w:t>has</w:t>
      </w:r>
      <w:r>
        <w:rPr>
          <w:spacing w:val="-9"/>
        </w:rPr>
        <w:t> </w:t>
      </w:r>
      <w:r>
        <w:rPr/>
        <w:t>placed this</w:t>
      </w:r>
      <w:r>
        <w:rPr>
          <w:spacing w:val="-5"/>
        </w:rPr>
        <w:t> </w:t>
      </w:r>
      <w:r>
        <w:rPr/>
        <w:t>sub</w:t>
      </w:r>
      <w:r>
        <w:rPr>
          <w:spacing w:val="-5"/>
        </w:rPr>
        <w:t> </w:t>
      </w:r>
      <w:r>
        <w:rPr/>
        <w:t>market</w:t>
      </w:r>
      <w:r>
        <w:rPr>
          <w:spacing w:val="-3"/>
        </w:rPr>
        <w:t> </w:t>
      </w:r>
      <w:r>
        <w:rPr/>
        <w:t>on</w:t>
      </w:r>
      <w:r>
        <w:rPr>
          <w:spacing w:val="-5"/>
        </w:rPr>
        <w:t> </w:t>
      </w:r>
      <w:r>
        <w:rPr/>
        <w:t>track</w:t>
      </w:r>
      <w:r>
        <w:rPr>
          <w:spacing w:val="-6"/>
        </w:rPr>
        <w:t> </w:t>
      </w:r>
      <w:r>
        <w:rPr/>
        <w:t>to</w:t>
      </w:r>
      <w:r>
        <w:rPr>
          <w:spacing w:val="-4"/>
        </w:rPr>
        <w:t> </w:t>
      </w:r>
      <w:r>
        <w:rPr/>
        <w:t>emerge</w:t>
      </w:r>
      <w:r>
        <w:rPr>
          <w:spacing w:val="-4"/>
        </w:rPr>
        <w:t> </w:t>
      </w:r>
      <w:r>
        <w:rPr/>
        <w:t>as</w:t>
      </w:r>
      <w:r>
        <w:rPr>
          <w:spacing w:val="-3"/>
        </w:rPr>
        <w:t> </w:t>
      </w:r>
      <w:r>
        <w:rPr/>
        <w:t>one</w:t>
      </w:r>
      <w:r>
        <w:rPr>
          <w:spacing w:val="-5"/>
        </w:rPr>
        <w:t> </w:t>
      </w:r>
      <w:r>
        <w:rPr/>
        <w:t>of</w:t>
      </w:r>
      <w:r>
        <w:rPr>
          <w:spacing w:val="-3"/>
        </w:rPr>
        <w:t> </w:t>
      </w:r>
      <w:r>
        <w:rPr/>
        <w:t>the</w:t>
      </w:r>
      <w:r>
        <w:rPr>
          <w:spacing w:val="-6"/>
        </w:rPr>
        <w:t> </w:t>
      </w:r>
      <w:r>
        <w:rPr/>
        <w:t>long-term</w:t>
      </w:r>
      <w:r>
        <w:rPr>
          <w:spacing w:val="-6"/>
        </w:rPr>
        <w:t> </w:t>
      </w:r>
      <w:r>
        <w:rPr/>
        <w:t>growth</w:t>
      </w:r>
      <w:r>
        <w:rPr>
          <w:spacing w:val="-3"/>
        </w:rPr>
        <w:t> </w:t>
      </w:r>
      <w:r>
        <w:rPr/>
        <w:t>vectors</w:t>
      </w:r>
      <w:r>
        <w:rPr>
          <w:spacing w:val="-5"/>
        </w:rPr>
        <w:t> </w:t>
      </w:r>
      <w:r>
        <w:rPr/>
        <w:t>for</w:t>
      </w:r>
      <w:r>
        <w:rPr>
          <w:spacing w:val="-4"/>
        </w:rPr>
        <w:t> </w:t>
      </w:r>
      <w:r>
        <w:rPr/>
        <w:t>commercial</w:t>
      </w:r>
      <w:r>
        <w:rPr>
          <w:spacing w:val="-5"/>
        </w:rPr>
        <w:t> </w:t>
      </w:r>
      <w:r>
        <w:rPr/>
        <w:t>leasing</w:t>
      </w:r>
      <w:r>
        <w:rPr>
          <w:spacing w:val="-4"/>
        </w:rPr>
        <w:t> </w:t>
      </w:r>
      <w:r>
        <w:rPr/>
        <w:t>in Bengaluru.</w:t>
      </w:r>
    </w:p>
    <w:p>
      <w:pPr>
        <w:pStyle w:val="BodyText"/>
        <w:spacing w:before="4"/>
        <w:rPr>
          <w:sz w:val="23"/>
        </w:rPr>
      </w:pPr>
    </w:p>
    <w:p>
      <w:pPr>
        <w:pStyle w:val="ListParagraph"/>
        <w:numPr>
          <w:ilvl w:val="3"/>
          <w:numId w:val="28"/>
        </w:numPr>
        <w:tabs>
          <w:tab w:pos="1085" w:val="left" w:leader="none"/>
        </w:tabs>
        <w:spacing w:line="240" w:lineRule="auto" w:before="0" w:after="0"/>
        <w:ind w:left="1084" w:right="0" w:hanging="865"/>
        <w:jc w:val="left"/>
        <w:rPr>
          <w:i/>
          <w:sz w:val="20"/>
        </w:rPr>
      </w:pPr>
      <w:r>
        <w:rPr>
          <w:i/>
          <w:color w:val="008000"/>
          <w:sz w:val="20"/>
        </w:rPr>
        <w:t>Key Developments in Sub</w:t>
      </w:r>
      <w:r>
        <w:rPr>
          <w:i/>
          <w:color w:val="008000"/>
          <w:spacing w:val="-13"/>
          <w:sz w:val="20"/>
        </w:rPr>
        <w:t> </w:t>
      </w:r>
      <w:r>
        <w:rPr>
          <w:i/>
          <w:color w:val="008000"/>
          <w:sz w:val="20"/>
        </w:rPr>
        <w:t>Market</w:t>
      </w:r>
    </w:p>
    <w:p>
      <w:pPr>
        <w:pStyle w:val="BodyText"/>
        <w:spacing w:before="76"/>
        <w:ind w:left="786"/>
        <w:jc w:val="both"/>
      </w:pPr>
      <w:r>
        <w:rPr/>
        <w:pict>
          <v:group style="position:absolute;margin-left:36pt;margin-top:29.728621pt;width:523.6pt;height:23.8pt;mso-position-horizontal-relative:page;mso-position-vertical-relative:paragraph;z-index:-34703360" coordorigin="720,595" coordsize="10472,476">
            <v:shape style="position:absolute;left:720;top:1055;width:10472;height:15" coordorigin="720,1055" coordsize="10472,15" path="m3214,1055l3200,1055,720,1055,720,1070,3200,1070,3214,1070,3214,1055xm4787,1055l3215,1055,3215,1070,4787,1070,4787,1055xm8577,1055l6798,1055,6784,1055,6784,1055,4801,1055,4787,1055,4787,1070,4801,1070,6784,1070,6784,1070,6798,1070,8577,1070,8577,1055xm8592,1055l8577,1055,8577,1070,8592,1070,8592,1055xm11191,1055l8592,1055,8592,1070,11191,1070,11191,1055xe" filled="true" fillcolor="#69bd28" stroked="false">
              <v:path arrowok="t"/>
              <v:fill type="solid"/>
            </v:shape>
            <v:shape style="position:absolute;left:720;top:623;width:10472;height:432" coordorigin="720,623" coordsize="10472,432" path="m4786,623l3197,623,720,623,720,1055,3197,1055,4786,1055,4786,623xm11191,623l8577,623,8575,623,6784,623,6784,623,4787,623,4787,1055,6784,1055,6784,1055,8575,1055,8577,1055,11191,1055,11191,623xe" filled="true" fillcolor="#006a4d" stroked="false">
              <v:path arrowok="t"/>
              <v:fill type="solid"/>
            </v:shape>
            <v:rect style="position:absolute;left:720;top:594;width:2480;height:29" filled="true" fillcolor="#1f6b16" stroked="false">
              <v:fill type="solid"/>
            </v:rect>
            <v:shape style="position:absolute;left:720;top:623;width:2509;height:3" coordorigin="720,623" coordsize="2509,3" path="m3229,623l3200,623,720,623,720,626,3200,626,3229,626,3229,623xe" filled="true" fillcolor="#006a4d" stroked="false">
              <v:path arrowok="t"/>
              <v:fill type="solid"/>
            </v:shape>
            <v:shape style="position:absolute;left:3199;top:594;width:1587;height:29" coordorigin="3200,595" coordsize="1587,29" path="m3229,595l3200,595,3200,623,3229,623,3229,595xm4787,595l3229,595,3229,623,4787,623,4787,595xe" filled="true" fillcolor="#1f6b16" stroked="false">
              <v:path arrowok="t"/>
              <v:fill type="solid"/>
            </v:shape>
            <v:shape style="position:absolute;left:3229;top:623;width:1587;height:3" coordorigin="3229,623" coordsize="1587,3" path="m4787,623l3229,623,3229,626,4787,626,4787,623xm4815,623l4787,623,4787,626,4815,626,4815,623xe" filled="true" fillcolor="#006a4d" stroked="false">
              <v:path arrowok="t"/>
              <v:fill type="solid"/>
            </v:shape>
            <v:shape style="position:absolute;left:4786;top:594;width:1998;height:29" coordorigin="4787,595" coordsize="1998,29" path="m6784,595l4815,595,4787,595,4787,623,4815,623,6784,623,6784,595xe" filled="true" fillcolor="#1f6b16" stroked="false">
              <v:path arrowok="t"/>
              <v:fill type="solid"/>
            </v:shape>
            <v:shape style="position:absolute;left:4815;top:623;width:1998;height:3" coordorigin="4815,623" coordsize="1998,3" path="m6813,623l6784,623,4815,623,4815,626,6784,626,6813,626,6813,623xe" filled="true" fillcolor="#006a4d" stroked="false">
              <v:path arrowok="t"/>
              <v:fill type="solid"/>
            </v:shape>
            <v:shape style="position:absolute;left:6783;top:594;width:1794;height:29" coordorigin="6784,595" coordsize="1794,29" path="m8577,595l6813,595,6784,595,6784,623,6813,623,8577,623,8577,595xe" filled="true" fillcolor="#1f6b16" stroked="false">
              <v:path arrowok="t"/>
              <v:fill type="solid"/>
            </v:shape>
            <v:shape style="position:absolute;left:6812;top:623;width:1794;height:3" coordorigin="6813,623" coordsize="1794,3" path="m8577,623l6813,623,6813,626,8577,626,8577,623xm8606,623l8577,623,8577,626,8606,626,8606,623xe" filled="true" fillcolor="#006a4d" stroked="false">
              <v:path arrowok="t"/>
              <v:fill type="solid"/>
            </v:shape>
            <v:shape style="position:absolute;left:8577;top:594;width:2614;height:29" coordorigin="8577,595" coordsize="2614,29" path="m11191,595l8606,595,8577,595,8577,623,8606,623,11191,623,11191,595xe" filled="true" fillcolor="#1f6b16" stroked="false">
              <v:path arrowok="t"/>
              <v:fill type="solid"/>
            </v:shape>
            <v:rect style="position:absolute;left:8606;top:623;width:2586;height:3" filled="true" fillcolor="#006a4d" stroked="false">
              <v:fill type="solid"/>
            </v:rect>
            <v:shape style="position:absolute;left:1274;top:730;width:1390;height:216" type="#_x0000_t202" filled="false" stroked="false">
              <v:textbox inset="0,0,0,0">
                <w:txbxContent>
                  <w:p>
                    <w:pPr>
                      <w:spacing w:before="4"/>
                      <w:ind w:left="0" w:right="0" w:firstLine="0"/>
                      <w:jc w:val="left"/>
                      <w:rPr>
                        <w:b/>
                        <w:sz w:val="18"/>
                      </w:rPr>
                    </w:pPr>
                    <w:r>
                      <w:rPr>
                        <w:b/>
                        <w:color w:val="FFFFFF"/>
                        <w:w w:val="115"/>
                        <w:sz w:val="18"/>
                      </w:rPr>
                      <w:t>Building Name</w:t>
                    </w:r>
                  </w:p>
                </w:txbxContent>
              </v:textbox>
              <w10:wrap type="none"/>
            </v:shape>
            <v:shape style="position:absolute;left:3385;top:622;width:1228;height:216" type="#_x0000_t202" filled="false" stroked="false">
              <v:textbox inset="0,0,0,0">
                <w:txbxContent>
                  <w:p>
                    <w:pPr>
                      <w:spacing w:before="4"/>
                      <w:ind w:left="0" w:right="0" w:firstLine="0"/>
                      <w:jc w:val="left"/>
                      <w:rPr>
                        <w:b/>
                        <w:sz w:val="18"/>
                      </w:rPr>
                    </w:pPr>
                    <w:r>
                      <w:rPr>
                        <w:b/>
                        <w:color w:val="FFFFFF"/>
                        <w:w w:val="105"/>
                        <w:sz w:val="18"/>
                      </w:rPr>
                      <w:t>Development</w:t>
                    </w:r>
                  </w:p>
                </w:txbxContent>
              </v:textbox>
              <w10:wrap type="none"/>
            </v:shape>
            <v:shape style="position:absolute;left:5129;top:622;width:1331;height:216" type="#_x0000_t202" filled="false" stroked="false">
              <v:textbox inset="0,0,0,0">
                <w:txbxContent>
                  <w:p>
                    <w:pPr>
                      <w:spacing w:before="4"/>
                      <w:ind w:left="0" w:right="0" w:firstLine="0"/>
                      <w:jc w:val="left"/>
                      <w:rPr>
                        <w:b/>
                        <w:sz w:val="18"/>
                      </w:rPr>
                    </w:pPr>
                    <w:r>
                      <w:rPr>
                        <w:b/>
                        <w:color w:val="FFFFFF"/>
                        <w:w w:val="110"/>
                        <w:sz w:val="18"/>
                      </w:rPr>
                      <w:t>Leasable Area</w:t>
                    </w:r>
                  </w:p>
                </w:txbxContent>
              </v:textbox>
              <w10:wrap type="none"/>
            </v:shape>
            <v:shape style="position:absolute;left:6923;top:622;width:1534;height:216" type="#_x0000_t202" filled="false" stroked="false">
              <v:textbox inset="0,0,0,0">
                <w:txbxContent>
                  <w:p>
                    <w:pPr>
                      <w:spacing w:before="4"/>
                      <w:ind w:left="0" w:right="0" w:firstLine="0"/>
                      <w:jc w:val="left"/>
                      <w:rPr>
                        <w:b/>
                        <w:sz w:val="18"/>
                      </w:rPr>
                    </w:pPr>
                    <w:r>
                      <w:rPr>
                        <w:b/>
                        <w:color w:val="FFFFFF"/>
                        <w:w w:val="105"/>
                        <w:sz w:val="18"/>
                      </w:rPr>
                      <w:t>Approx. Vacancy</w:t>
                    </w:r>
                  </w:p>
                </w:txbxContent>
              </v:textbox>
              <w10:wrap type="none"/>
            </v:shape>
            <v:shape style="position:absolute;left:9314;top:622;width:1156;height:216" type="#_x0000_t202" filled="false" stroked="false">
              <v:textbox inset="0,0,0,0">
                <w:txbxContent>
                  <w:p>
                    <w:pPr>
                      <w:spacing w:before="4"/>
                      <w:ind w:left="0" w:right="0" w:firstLine="0"/>
                      <w:jc w:val="left"/>
                      <w:rPr>
                        <w:b/>
                        <w:sz w:val="18"/>
                      </w:rPr>
                    </w:pPr>
                    <w:r>
                      <w:rPr>
                        <w:b/>
                        <w:color w:val="FFFFFF"/>
                        <w:w w:val="105"/>
                        <w:sz w:val="18"/>
                      </w:rPr>
                      <w:t>Quoted Rent</w:t>
                    </w:r>
                  </w:p>
                </w:txbxContent>
              </v:textbox>
              <w10:wrap type="none"/>
            </v:shape>
            <w10:wrap type="none"/>
          </v:group>
        </w:pict>
      </w:r>
      <w:r>
        <w:rPr/>
        <w:t>The table below highlights the prominent developments in the subject sub market:</w:t>
      </w:r>
    </w:p>
    <w:p>
      <w:pPr>
        <w:pStyle w:val="BodyText"/>
        <w:rPr>
          <w:sz w:val="20"/>
        </w:rPr>
      </w:pPr>
    </w:p>
    <w:p>
      <w:pPr>
        <w:pStyle w:val="BodyText"/>
        <w:spacing w:before="11"/>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95"/>
        <w:gridCol w:w="1792"/>
        <w:gridCol w:w="1812"/>
        <w:gridCol w:w="1985"/>
        <w:gridCol w:w="2498"/>
      </w:tblGrid>
      <w:tr>
        <w:trPr>
          <w:trHeight w:val="593" w:hRule="atLeast"/>
        </w:trPr>
        <w:tc>
          <w:tcPr>
            <w:tcW w:w="2395" w:type="dxa"/>
            <w:tcBorders>
              <w:bottom w:val="single" w:sz="6" w:space="0" w:color="69BD28"/>
            </w:tcBorders>
          </w:tcPr>
          <w:p>
            <w:pPr>
              <w:pStyle w:val="TableParagraph"/>
              <w:spacing w:before="4"/>
              <w:jc w:val="left"/>
              <w:rPr>
                <w:sz w:val="27"/>
              </w:rPr>
            </w:pPr>
          </w:p>
          <w:p>
            <w:pPr>
              <w:pStyle w:val="TableParagraph"/>
              <w:ind w:right="540"/>
              <w:jc w:val="right"/>
              <w:rPr>
                <w:sz w:val="18"/>
              </w:rPr>
            </w:pPr>
            <w:r>
              <w:rPr>
                <w:sz w:val="18"/>
              </w:rPr>
              <w:t>Development 1</w:t>
            </w:r>
          </w:p>
        </w:tc>
        <w:tc>
          <w:tcPr>
            <w:tcW w:w="1792" w:type="dxa"/>
            <w:tcBorders>
              <w:bottom w:val="single" w:sz="6" w:space="0" w:color="69BD28"/>
            </w:tcBorders>
          </w:tcPr>
          <w:p>
            <w:pPr>
              <w:pStyle w:val="TableParagraph"/>
              <w:spacing w:before="12"/>
              <w:ind w:left="526" w:right="533"/>
              <w:rPr>
                <w:b/>
                <w:sz w:val="18"/>
              </w:rPr>
            </w:pPr>
            <w:r>
              <w:rPr>
                <w:b/>
                <w:color w:val="FFFFFF"/>
                <w:w w:val="105"/>
                <w:sz w:val="18"/>
              </w:rPr>
              <w:t>Type</w:t>
            </w:r>
          </w:p>
          <w:p>
            <w:pPr>
              <w:pStyle w:val="TableParagraph"/>
              <w:spacing w:before="97"/>
              <w:ind w:left="526" w:right="534"/>
              <w:rPr>
                <w:sz w:val="18"/>
              </w:rPr>
            </w:pPr>
            <w:r>
              <w:rPr>
                <w:w w:val="105"/>
                <w:sz w:val="18"/>
              </w:rPr>
              <w:t>Non-SEZ</w:t>
            </w:r>
          </w:p>
        </w:tc>
        <w:tc>
          <w:tcPr>
            <w:tcW w:w="1812" w:type="dxa"/>
            <w:tcBorders>
              <w:bottom w:val="single" w:sz="6" w:space="0" w:color="69BD28"/>
            </w:tcBorders>
          </w:tcPr>
          <w:p>
            <w:pPr>
              <w:pStyle w:val="TableParagraph"/>
              <w:spacing w:before="12"/>
              <w:ind w:left="534" w:right="560"/>
              <w:rPr>
                <w:b/>
                <w:sz w:val="18"/>
              </w:rPr>
            </w:pPr>
            <w:r>
              <w:rPr>
                <w:b/>
                <w:color w:val="FFFFFF"/>
                <w:w w:val="105"/>
                <w:sz w:val="18"/>
              </w:rPr>
              <w:t>(in msf)</w:t>
            </w:r>
          </w:p>
          <w:p>
            <w:pPr>
              <w:pStyle w:val="TableParagraph"/>
              <w:spacing w:before="97"/>
              <w:ind w:left="532" w:right="560"/>
              <w:rPr>
                <w:sz w:val="18"/>
              </w:rPr>
            </w:pPr>
            <w:r>
              <w:rPr>
                <w:w w:val="105"/>
                <w:sz w:val="18"/>
              </w:rPr>
              <w:t>1.7</w:t>
            </w:r>
          </w:p>
        </w:tc>
        <w:tc>
          <w:tcPr>
            <w:tcW w:w="1985" w:type="dxa"/>
            <w:tcBorders>
              <w:bottom w:val="single" w:sz="6" w:space="0" w:color="69BD28"/>
            </w:tcBorders>
          </w:tcPr>
          <w:p>
            <w:pPr>
              <w:pStyle w:val="TableParagraph"/>
              <w:spacing w:before="12"/>
              <w:ind w:left="642" w:right="674"/>
              <w:rPr>
                <w:b/>
                <w:sz w:val="18"/>
              </w:rPr>
            </w:pPr>
            <w:r>
              <w:rPr>
                <w:b/>
                <w:color w:val="FFFFFF"/>
                <w:w w:val="115"/>
                <w:sz w:val="18"/>
              </w:rPr>
              <w:t>(%)</w:t>
            </w:r>
          </w:p>
          <w:p>
            <w:pPr>
              <w:pStyle w:val="TableParagraph"/>
              <w:spacing w:before="97"/>
              <w:ind w:left="645" w:right="674"/>
              <w:rPr>
                <w:sz w:val="18"/>
              </w:rPr>
            </w:pPr>
            <w:r>
              <w:rPr>
                <w:sz w:val="18"/>
              </w:rPr>
              <w:t>Minimal</w:t>
            </w:r>
          </w:p>
        </w:tc>
        <w:tc>
          <w:tcPr>
            <w:tcW w:w="2498" w:type="dxa"/>
            <w:tcBorders>
              <w:bottom w:val="single" w:sz="6" w:space="0" w:color="69BD28"/>
            </w:tcBorders>
          </w:tcPr>
          <w:p>
            <w:pPr>
              <w:pStyle w:val="TableParagraph"/>
              <w:spacing w:before="12"/>
              <w:ind w:left="624"/>
              <w:jc w:val="left"/>
              <w:rPr>
                <w:b/>
                <w:sz w:val="18"/>
              </w:rPr>
            </w:pPr>
            <w:r>
              <w:rPr>
                <w:b/>
                <w:color w:val="FFFFFF"/>
                <w:w w:val="110"/>
                <w:sz w:val="18"/>
              </w:rPr>
              <w:t>(INR psf pm)</w:t>
            </w:r>
          </w:p>
          <w:p>
            <w:pPr>
              <w:pStyle w:val="TableParagraph"/>
              <w:spacing w:before="97"/>
              <w:ind w:left="722"/>
              <w:jc w:val="left"/>
              <w:rPr>
                <w:sz w:val="18"/>
              </w:rPr>
            </w:pPr>
            <w:r>
              <w:rPr>
                <w:w w:val="115"/>
                <w:sz w:val="18"/>
              </w:rPr>
              <w:t>90.0 – 95.0</w:t>
            </w:r>
          </w:p>
        </w:tc>
      </w:tr>
      <w:tr>
        <w:trPr>
          <w:trHeight w:val="361" w:hRule="atLeast"/>
        </w:trPr>
        <w:tc>
          <w:tcPr>
            <w:tcW w:w="2395" w:type="dxa"/>
            <w:tcBorders>
              <w:top w:val="single" w:sz="6" w:space="0" w:color="69BD28"/>
              <w:bottom w:val="single" w:sz="6" w:space="0" w:color="69BD28"/>
            </w:tcBorders>
          </w:tcPr>
          <w:p>
            <w:pPr>
              <w:pStyle w:val="TableParagraph"/>
              <w:spacing w:before="86"/>
              <w:ind w:right="539"/>
              <w:jc w:val="right"/>
              <w:rPr>
                <w:sz w:val="18"/>
              </w:rPr>
            </w:pPr>
            <w:r>
              <w:rPr>
                <w:sz w:val="18"/>
              </w:rPr>
              <w:t>Development 2</w:t>
            </w:r>
          </w:p>
        </w:tc>
        <w:tc>
          <w:tcPr>
            <w:tcW w:w="1792" w:type="dxa"/>
            <w:tcBorders>
              <w:top w:val="single" w:sz="6" w:space="0" w:color="69BD28"/>
              <w:bottom w:val="single" w:sz="6" w:space="0" w:color="69BD28"/>
            </w:tcBorders>
          </w:tcPr>
          <w:p>
            <w:pPr>
              <w:pStyle w:val="TableParagraph"/>
              <w:spacing w:before="86"/>
              <w:ind w:left="526" w:right="534"/>
              <w:rPr>
                <w:sz w:val="18"/>
              </w:rPr>
            </w:pPr>
            <w:r>
              <w:rPr>
                <w:w w:val="105"/>
                <w:sz w:val="18"/>
              </w:rPr>
              <w:t>Non-SEZ</w:t>
            </w:r>
          </w:p>
        </w:tc>
        <w:tc>
          <w:tcPr>
            <w:tcW w:w="1812" w:type="dxa"/>
            <w:tcBorders>
              <w:top w:val="single" w:sz="6" w:space="0" w:color="69BD28"/>
              <w:bottom w:val="single" w:sz="6" w:space="0" w:color="69BD28"/>
            </w:tcBorders>
          </w:tcPr>
          <w:p>
            <w:pPr>
              <w:pStyle w:val="TableParagraph"/>
              <w:spacing w:before="86"/>
              <w:ind w:left="532" w:right="560"/>
              <w:rPr>
                <w:sz w:val="18"/>
              </w:rPr>
            </w:pPr>
            <w:r>
              <w:rPr>
                <w:w w:val="105"/>
                <w:sz w:val="18"/>
              </w:rPr>
              <w:t>0.3</w:t>
            </w:r>
          </w:p>
        </w:tc>
        <w:tc>
          <w:tcPr>
            <w:tcW w:w="1985" w:type="dxa"/>
            <w:tcBorders>
              <w:top w:val="single" w:sz="6" w:space="0" w:color="69BD28"/>
              <w:bottom w:val="single" w:sz="6" w:space="0" w:color="69BD28"/>
            </w:tcBorders>
          </w:tcPr>
          <w:p>
            <w:pPr>
              <w:pStyle w:val="TableParagraph"/>
              <w:spacing w:before="86"/>
              <w:ind w:left="644" w:right="674"/>
              <w:rPr>
                <w:sz w:val="18"/>
              </w:rPr>
            </w:pPr>
            <w:r>
              <w:rPr>
                <w:w w:val="110"/>
                <w:sz w:val="18"/>
              </w:rPr>
              <w:t>3-5%</w:t>
            </w:r>
          </w:p>
        </w:tc>
        <w:tc>
          <w:tcPr>
            <w:tcW w:w="2498" w:type="dxa"/>
            <w:tcBorders>
              <w:top w:val="single" w:sz="6" w:space="0" w:color="69BD28"/>
              <w:bottom w:val="single" w:sz="6" w:space="0" w:color="69BD28"/>
            </w:tcBorders>
          </w:tcPr>
          <w:p>
            <w:pPr>
              <w:pStyle w:val="TableParagraph"/>
              <w:spacing w:before="86"/>
              <w:ind w:left="722"/>
              <w:jc w:val="left"/>
              <w:rPr>
                <w:sz w:val="18"/>
              </w:rPr>
            </w:pPr>
            <w:r>
              <w:rPr>
                <w:w w:val="115"/>
                <w:sz w:val="18"/>
              </w:rPr>
              <w:t>65.0 – 70.0</w:t>
            </w:r>
          </w:p>
        </w:tc>
      </w:tr>
      <w:tr>
        <w:trPr>
          <w:trHeight w:val="364" w:hRule="atLeast"/>
        </w:trPr>
        <w:tc>
          <w:tcPr>
            <w:tcW w:w="2395" w:type="dxa"/>
            <w:tcBorders>
              <w:top w:val="single" w:sz="6" w:space="0" w:color="69BD28"/>
              <w:bottom w:val="single" w:sz="6" w:space="0" w:color="69BD28"/>
            </w:tcBorders>
          </w:tcPr>
          <w:p>
            <w:pPr>
              <w:pStyle w:val="TableParagraph"/>
              <w:spacing w:before="86"/>
              <w:ind w:right="539"/>
              <w:jc w:val="right"/>
              <w:rPr>
                <w:sz w:val="18"/>
              </w:rPr>
            </w:pPr>
            <w:r>
              <w:rPr>
                <w:sz w:val="18"/>
              </w:rPr>
              <w:t>Development 3</w:t>
            </w:r>
          </w:p>
        </w:tc>
        <w:tc>
          <w:tcPr>
            <w:tcW w:w="1792" w:type="dxa"/>
            <w:tcBorders>
              <w:top w:val="single" w:sz="6" w:space="0" w:color="69BD28"/>
              <w:bottom w:val="single" w:sz="6" w:space="0" w:color="69BD28"/>
            </w:tcBorders>
          </w:tcPr>
          <w:p>
            <w:pPr>
              <w:pStyle w:val="TableParagraph"/>
              <w:spacing w:before="86"/>
              <w:ind w:left="524" w:right="534"/>
              <w:rPr>
                <w:sz w:val="18"/>
              </w:rPr>
            </w:pPr>
            <w:r>
              <w:rPr>
                <w:sz w:val="18"/>
              </w:rPr>
              <w:t>SEZ</w:t>
            </w:r>
          </w:p>
        </w:tc>
        <w:tc>
          <w:tcPr>
            <w:tcW w:w="1812" w:type="dxa"/>
            <w:tcBorders>
              <w:top w:val="single" w:sz="6" w:space="0" w:color="69BD28"/>
              <w:bottom w:val="single" w:sz="6" w:space="0" w:color="69BD28"/>
            </w:tcBorders>
          </w:tcPr>
          <w:p>
            <w:pPr>
              <w:pStyle w:val="TableParagraph"/>
              <w:spacing w:before="86"/>
              <w:ind w:left="532" w:right="560"/>
              <w:rPr>
                <w:sz w:val="18"/>
              </w:rPr>
            </w:pPr>
            <w:r>
              <w:rPr>
                <w:w w:val="105"/>
                <w:sz w:val="18"/>
              </w:rPr>
              <w:t>0.9</w:t>
            </w:r>
          </w:p>
        </w:tc>
        <w:tc>
          <w:tcPr>
            <w:tcW w:w="1985" w:type="dxa"/>
            <w:tcBorders>
              <w:top w:val="single" w:sz="6" w:space="0" w:color="69BD28"/>
              <w:bottom w:val="single" w:sz="6" w:space="0" w:color="69BD28"/>
            </w:tcBorders>
          </w:tcPr>
          <w:p>
            <w:pPr>
              <w:pStyle w:val="TableParagraph"/>
              <w:spacing w:before="86"/>
              <w:ind w:right="686"/>
              <w:jc w:val="right"/>
              <w:rPr>
                <w:sz w:val="18"/>
              </w:rPr>
            </w:pPr>
            <w:r>
              <w:rPr>
                <w:sz w:val="18"/>
              </w:rPr>
              <w:t>Minimal</w:t>
            </w:r>
          </w:p>
        </w:tc>
        <w:tc>
          <w:tcPr>
            <w:tcW w:w="2498" w:type="dxa"/>
            <w:tcBorders>
              <w:top w:val="single" w:sz="6" w:space="0" w:color="69BD28"/>
              <w:bottom w:val="single" w:sz="6" w:space="0" w:color="69BD28"/>
            </w:tcBorders>
          </w:tcPr>
          <w:p>
            <w:pPr>
              <w:pStyle w:val="TableParagraph"/>
              <w:spacing w:before="86"/>
              <w:ind w:left="722"/>
              <w:jc w:val="left"/>
              <w:rPr>
                <w:sz w:val="18"/>
              </w:rPr>
            </w:pPr>
            <w:r>
              <w:rPr>
                <w:w w:val="115"/>
                <w:sz w:val="18"/>
              </w:rPr>
              <w:t>75.0 – 80.0</w:t>
            </w:r>
          </w:p>
        </w:tc>
      </w:tr>
      <w:tr>
        <w:trPr>
          <w:trHeight w:val="361" w:hRule="atLeast"/>
        </w:trPr>
        <w:tc>
          <w:tcPr>
            <w:tcW w:w="2395" w:type="dxa"/>
            <w:tcBorders>
              <w:top w:val="single" w:sz="6" w:space="0" w:color="69BD28"/>
              <w:bottom w:val="single" w:sz="6" w:space="0" w:color="69BD28"/>
            </w:tcBorders>
          </w:tcPr>
          <w:p>
            <w:pPr>
              <w:pStyle w:val="TableParagraph"/>
              <w:spacing w:before="84"/>
              <w:ind w:right="539"/>
              <w:jc w:val="right"/>
              <w:rPr>
                <w:sz w:val="18"/>
              </w:rPr>
            </w:pPr>
            <w:r>
              <w:rPr>
                <w:sz w:val="18"/>
              </w:rPr>
              <w:t>Development 4</w:t>
            </w:r>
          </w:p>
        </w:tc>
        <w:tc>
          <w:tcPr>
            <w:tcW w:w="1792" w:type="dxa"/>
            <w:tcBorders>
              <w:top w:val="single" w:sz="6" w:space="0" w:color="69BD28"/>
              <w:bottom w:val="single" w:sz="6" w:space="0" w:color="69BD28"/>
            </w:tcBorders>
          </w:tcPr>
          <w:p>
            <w:pPr>
              <w:pStyle w:val="TableParagraph"/>
              <w:spacing w:before="84"/>
              <w:ind w:left="526" w:right="534"/>
              <w:rPr>
                <w:sz w:val="18"/>
              </w:rPr>
            </w:pPr>
            <w:r>
              <w:rPr>
                <w:w w:val="105"/>
                <w:sz w:val="18"/>
              </w:rPr>
              <w:t>Non-SEZ</w:t>
            </w:r>
          </w:p>
        </w:tc>
        <w:tc>
          <w:tcPr>
            <w:tcW w:w="1812" w:type="dxa"/>
            <w:tcBorders>
              <w:top w:val="single" w:sz="6" w:space="0" w:color="69BD28"/>
              <w:bottom w:val="single" w:sz="6" w:space="0" w:color="69BD28"/>
            </w:tcBorders>
          </w:tcPr>
          <w:p>
            <w:pPr>
              <w:pStyle w:val="TableParagraph"/>
              <w:spacing w:before="84"/>
              <w:ind w:left="532" w:right="560"/>
              <w:rPr>
                <w:sz w:val="18"/>
              </w:rPr>
            </w:pPr>
            <w:r>
              <w:rPr>
                <w:w w:val="105"/>
                <w:sz w:val="18"/>
              </w:rPr>
              <w:t>0.4</w:t>
            </w:r>
          </w:p>
        </w:tc>
        <w:tc>
          <w:tcPr>
            <w:tcW w:w="1985" w:type="dxa"/>
            <w:tcBorders>
              <w:top w:val="single" w:sz="6" w:space="0" w:color="69BD28"/>
              <w:bottom w:val="single" w:sz="6" w:space="0" w:color="69BD28"/>
            </w:tcBorders>
          </w:tcPr>
          <w:p>
            <w:pPr>
              <w:pStyle w:val="TableParagraph"/>
              <w:spacing w:before="84"/>
              <w:ind w:right="617"/>
              <w:jc w:val="right"/>
              <w:rPr>
                <w:sz w:val="18"/>
              </w:rPr>
            </w:pPr>
            <w:r>
              <w:rPr>
                <w:w w:val="110"/>
                <w:sz w:val="18"/>
              </w:rPr>
              <w:t>5 - 10.0%</w:t>
            </w:r>
          </w:p>
        </w:tc>
        <w:tc>
          <w:tcPr>
            <w:tcW w:w="2498" w:type="dxa"/>
            <w:tcBorders>
              <w:top w:val="single" w:sz="6" w:space="0" w:color="69BD28"/>
              <w:bottom w:val="single" w:sz="6" w:space="0" w:color="69BD28"/>
            </w:tcBorders>
          </w:tcPr>
          <w:p>
            <w:pPr>
              <w:pStyle w:val="TableParagraph"/>
              <w:spacing w:before="84"/>
              <w:ind w:left="722"/>
              <w:jc w:val="left"/>
              <w:rPr>
                <w:sz w:val="18"/>
              </w:rPr>
            </w:pPr>
            <w:r>
              <w:rPr>
                <w:w w:val="115"/>
                <w:sz w:val="18"/>
              </w:rPr>
              <w:t>80.0 – 85.0</w:t>
            </w:r>
          </w:p>
        </w:tc>
      </w:tr>
      <w:tr>
        <w:trPr>
          <w:trHeight w:val="361" w:hRule="atLeast"/>
        </w:trPr>
        <w:tc>
          <w:tcPr>
            <w:tcW w:w="2395" w:type="dxa"/>
            <w:tcBorders>
              <w:top w:val="single" w:sz="6" w:space="0" w:color="69BD28"/>
              <w:bottom w:val="single" w:sz="6" w:space="0" w:color="69BD28"/>
            </w:tcBorders>
          </w:tcPr>
          <w:p>
            <w:pPr>
              <w:pStyle w:val="TableParagraph"/>
              <w:spacing w:before="84"/>
              <w:ind w:right="539"/>
              <w:jc w:val="right"/>
              <w:rPr>
                <w:sz w:val="18"/>
              </w:rPr>
            </w:pPr>
            <w:r>
              <w:rPr>
                <w:sz w:val="18"/>
              </w:rPr>
              <w:t>Development 5</w:t>
            </w:r>
          </w:p>
        </w:tc>
        <w:tc>
          <w:tcPr>
            <w:tcW w:w="1792" w:type="dxa"/>
            <w:tcBorders>
              <w:top w:val="single" w:sz="6" w:space="0" w:color="69BD28"/>
              <w:bottom w:val="single" w:sz="6" w:space="0" w:color="69BD28"/>
            </w:tcBorders>
          </w:tcPr>
          <w:p>
            <w:pPr>
              <w:pStyle w:val="TableParagraph"/>
              <w:spacing w:before="84"/>
              <w:ind w:left="526" w:right="534"/>
              <w:rPr>
                <w:sz w:val="18"/>
              </w:rPr>
            </w:pPr>
            <w:r>
              <w:rPr>
                <w:w w:val="105"/>
                <w:sz w:val="18"/>
              </w:rPr>
              <w:t>Non-SEZ</w:t>
            </w:r>
          </w:p>
        </w:tc>
        <w:tc>
          <w:tcPr>
            <w:tcW w:w="1812" w:type="dxa"/>
            <w:tcBorders>
              <w:top w:val="single" w:sz="6" w:space="0" w:color="69BD28"/>
              <w:bottom w:val="single" w:sz="6" w:space="0" w:color="69BD28"/>
            </w:tcBorders>
          </w:tcPr>
          <w:p>
            <w:pPr>
              <w:pStyle w:val="TableParagraph"/>
              <w:spacing w:before="84"/>
              <w:ind w:left="532" w:right="560"/>
              <w:rPr>
                <w:sz w:val="18"/>
              </w:rPr>
            </w:pPr>
            <w:r>
              <w:rPr>
                <w:w w:val="105"/>
                <w:sz w:val="18"/>
              </w:rPr>
              <w:t>0.5</w:t>
            </w:r>
          </w:p>
        </w:tc>
        <w:tc>
          <w:tcPr>
            <w:tcW w:w="1985" w:type="dxa"/>
            <w:tcBorders>
              <w:top w:val="single" w:sz="6" w:space="0" w:color="69BD28"/>
              <w:bottom w:val="single" w:sz="6" w:space="0" w:color="69BD28"/>
            </w:tcBorders>
          </w:tcPr>
          <w:p>
            <w:pPr>
              <w:pStyle w:val="TableParagraph"/>
              <w:spacing w:before="84"/>
              <w:ind w:right="686"/>
              <w:jc w:val="right"/>
              <w:rPr>
                <w:sz w:val="18"/>
              </w:rPr>
            </w:pPr>
            <w:r>
              <w:rPr>
                <w:sz w:val="18"/>
              </w:rPr>
              <w:t>Minimal</w:t>
            </w:r>
          </w:p>
        </w:tc>
        <w:tc>
          <w:tcPr>
            <w:tcW w:w="2498" w:type="dxa"/>
            <w:tcBorders>
              <w:top w:val="single" w:sz="6" w:space="0" w:color="69BD28"/>
              <w:bottom w:val="single" w:sz="6" w:space="0" w:color="69BD28"/>
            </w:tcBorders>
          </w:tcPr>
          <w:p>
            <w:pPr>
              <w:pStyle w:val="TableParagraph"/>
              <w:spacing w:before="84"/>
              <w:ind w:left="722"/>
              <w:jc w:val="left"/>
              <w:rPr>
                <w:sz w:val="18"/>
              </w:rPr>
            </w:pPr>
            <w:r>
              <w:rPr>
                <w:w w:val="115"/>
                <w:sz w:val="18"/>
              </w:rPr>
              <w:t>75.0 – 80.0</w:t>
            </w:r>
          </w:p>
        </w:tc>
      </w:tr>
    </w:tbl>
    <w:p>
      <w:pPr>
        <w:spacing w:before="4"/>
        <w:ind w:left="220" w:right="0" w:firstLine="0"/>
        <w:jc w:val="left"/>
        <w:rPr>
          <w:i/>
          <w:sz w:val="16"/>
        </w:rPr>
      </w:pPr>
      <w:r>
        <w:rPr>
          <w:i/>
          <w:sz w:val="16"/>
        </w:rPr>
        <w:t>Source: CBRE Research</w:t>
      </w:r>
    </w:p>
    <w:p>
      <w:pPr>
        <w:pStyle w:val="BodyText"/>
        <w:spacing w:before="4"/>
        <w:rPr>
          <w:i/>
          <w:sz w:val="21"/>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59" w:id="118"/>
      <w:bookmarkEnd w:id="118"/>
      <w:r>
        <w:rPr/>
      </w:r>
      <w:bookmarkStart w:name="_bookmark59" w:id="119"/>
      <w:bookmarkEnd w:id="119"/>
      <w:r>
        <w:rPr>
          <w:color w:val="1F664D"/>
          <w:sz w:val="22"/>
        </w:rPr>
        <w:t>Le</w:t>
      </w:r>
      <w:r>
        <w:rPr>
          <w:color w:val="1F664D"/>
          <w:sz w:val="22"/>
        </w:rPr>
        <w:t>ase Rent</w:t>
      </w:r>
      <w:r>
        <w:rPr>
          <w:color w:val="1F664D"/>
          <w:spacing w:val="-3"/>
          <w:sz w:val="22"/>
        </w:rPr>
        <w:t> </w:t>
      </w:r>
      <w:r>
        <w:rPr>
          <w:color w:val="1F664D"/>
          <w:sz w:val="22"/>
        </w:rPr>
        <w:t>Analysis</w:t>
      </w:r>
    </w:p>
    <w:p>
      <w:pPr>
        <w:pStyle w:val="BodyText"/>
        <w:spacing w:line="321" w:lineRule="auto" w:before="208"/>
        <w:ind w:left="782" w:right="195"/>
        <w:jc w:val="both"/>
      </w:pPr>
      <w:r>
        <w:rPr/>
        <w:t>The</w:t>
      </w:r>
      <w:r>
        <w:rPr>
          <w:spacing w:val="-30"/>
        </w:rPr>
        <w:t> </w:t>
      </w:r>
      <w:r>
        <w:rPr/>
        <w:t>current</w:t>
      </w:r>
      <w:r>
        <w:rPr>
          <w:spacing w:val="-28"/>
        </w:rPr>
        <w:t> </w:t>
      </w:r>
      <w:r>
        <w:rPr/>
        <w:t>rent</w:t>
      </w:r>
      <w:r>
        <w:rPr>
          <w:spacing w:val="-29"/>
        </w:rPr>
        <w:t> </w:t>
      </w:r>
      <w:r>
        <w:rPr/>
        <w:t>in</w:t>
      </w:r>
      <w:r>
        <w:rPr>
          <w:spacing w:val="-29"/>
        </w:rPr>
        <w:t> </w:t>
      </w:r>
      <w:r>
        <w:rPr/>
        <w:t>subject</w:t>
      </w:r>
      <w:r>
        <w:rPr>
          <w:spacing w:val="-26"/>
        </w:rPr>
        <w:t> </w:t>
      </w:r>
      <w:r>
        <w:rPr/>
        <w:t>sub</w:t>
      </w:r>
      <w:r>
        <w:rPr>
          <w:spacing w:val="-27"/>
        </w:rPr>
        <w:t> </w:t>
      </w:r>
      <w:r>
        <w:rPr/>
        <w:t>market</w:t>
      </w:r>
      <w:r>
        <w:rPr>
          <w:spacing w:val="-28"/>
        </w:rPr>
        <w:t> </w:t>
      </w:r>
      <w:r>
        <w:rPr/>
        <w:t>typically</w:t>
      </w:r>
      <w:r>
        <w:rPr>
          <w:spacing w:val="-27"/>
        </w:rPr>
        <w:t> </w:t>
      </w:r>
      <w:r>
        <w:rPr/>
        <w:t>varies</w:t>
      </w:r>
      <w:r>
        <w:rPr>
          <w:spacing w:val="-28"/>
        </w:rPr>
        <w:t> </w:t>
      </w:r>
      <w:r>
        <w:rPr/>
        <w:t>between</w:t>
      </w:r>
      <w:r>
        <w:rPr>
          <w:spacing w:val="-29"/>
        </w:rPr>
        <w:t> </w:t>
      </w:r>
      <w:r>
        <w:rPr/>
        <w:t>INR</w:t>
      </w:r>
      <w:r>
        <w:rPr>
          <w:spacing w:val="-28"/>
        </w:rPr>
        <w:t> </w:t>
      </w:r>
      <w:r>
        <w:rPr/>
        <w:t>75.0</w:t>
      </w:r>
      <w:r>
        <w:rPr>
          <w:spacing w:val="-29"/>
        </w:rPr>
        <w:t> </w:t>
      </w:r>
      <w:r>
        <w:rPr>
          <w:w w:val="105"/>
        </w:rPr>
        <w:t>–</w:t>
      </w:r>
      <w:r>
        <w:rPr>
          <w:spacing w:val="-32"/>
          <w:w w:val="105"/>
        </w:rPr>
        <w:t> </w:t>
      </w:r>
      <w:r>
        <w:rPr/>
        <w:t>100.0</w:t>
      </w:r>
      <w:r>
        <w:rPr>
          <w:spacing w:val="-29"/>
        </w:rPr>
        <w:t> </w:t>
      </w:r>
      <w:r>
        <w:rPr/>
        <w:t>psf</w:t>
      </w:r>
      <w:r>
        <w:rPr>
          <w:spacing w:val="-30"/>
        </w:rPr>
        <w:t> </w:t>
      </w:r>
      <w:r>
        <w:rPr/>
        <w:t>pm</w:t>
      </w:r>
      <w:r>
        <w:rPr>
          <w:spacing w:val="-27"/>
        </w:rPr>
        <w:t> </w:t>
      </w:r>
      <w:r>
        <w:rPr/>
        <w:t>on</w:t>
      </w:r>
      <w:r>
        <w:rPr>
          <w:spacing w:val="-29"/>
        </w:rPr>
        <w:t> </w:t>
      </w:r>
      <w:r>
        <w:rPr/>
        <w:t>leasable</w:t>
      </w:r>
      <w:r>
        <w:rPr>
          <w:spacing w:val="-29"/>
        </w:rPr>
        <w:t> </w:t>
      </w:r>
      <w:r>
        <w:rPr/>
        <w:t>area basis</w:t>
      </w:r>
      <w:r>
        <w:rPr>
          <w:spacing w:val="-48"/>
        </w:rPr>
        <w:t> </w:t>
      </w:r>
      <w:r>
        <w:rPr/>
        <w:t>depending</w:t>
      </w:r>
      <w:r>
        <w:rPr>
          <w:spacing w:val="-47"/>
        </w:rPr>
        <w:t> </w:t>
      </w:r>
      <w:r>
        <w:rPr/>
        <w:t>upon</w:t>
      </w:r>
      <w:r>
        <w:rPr>
          <w:spacing w:val="-49"/>
        </w:rPr>
        <w:t> </w:t>
      </w:r>
      <w:r>
        <w:rPr/>
        <w:t>specifications</w:t>
      </w:r>
      <w:r>
        <w:rPr>
          <w:spacing w:val="-47"/>
        </w:rPr>
        <w:t> </w:t>
      </w:r>
      <w:r>
        <w:rPr/>
        <w:t>offered,</w:t>
      </w:r>
      <w:r>
        <w:rPr>
          <w:spacing w:val="-48"/>
        </w:rPr>
        <w:t> </w:t>
      </w:r>
      <w:r>
        <w:rPr/>
        <w:t>location</w:t>
      </w:r>
      <w:r>
        <w:rPr>
          <w:spacing w:val="-47"/>
        </w:rPr>
        <w:t> </w:t>
      </w:r>
      <w:r>
        <w:rPr/>
        <w:t>and</w:t>
      </w:r>
      <w:r>
        <w:rPr>
          <w:spacing w:val="-48"/>
        </w:rPr>
        <w:t> </w:t>
      </w:r>
      <w:r>
        <w:rPr/>
        <w:t>accessibility</w:t>
      </w:r>
      <w:r>
        <w:rPr>
          <w:spacing w:val="-47"/>
        </w:rPr>
        <w:t> </w:t>
      </w:r>
      <w:r>
        <w:rPr/>
        <w:t>of</w:t>
      </w:r>
      <w:r>
        <w:rPr>
          <w:spacing w:val="-48"/>
        </w:rPr>
        <w:t> </w:t>
      </w:r>
      <w:r>
        <w:rPr/>
        <w:t>the</w:t>
      </w:r>
      <w:r>
        <w:rPr>
          <w:spacing w:val="-47"/>
        </w:rPr>
        <w:t> </w:t>
      </w:r>
      <w:r>
        <w:rPr/>
        <w:t>development</w:t>
      </w:r>
      <w:r>
        <w:rPr>
          <w:spacing w:val="-49"/>
        </w:rPr>
        <w:t> </w:t>
      </w:r>
      <w:r>
        <w:rPr/>
        <w:t>(viz.</w:t>
      </w:r>
      <w:r>
        <w:rPr>
          <w:spacing w:val="-47"/>
        </w:rPr>
        <w:t> </w:t>
      </w:r>
      <w:r>
        <w:rPr/>
        <w:t>along/off </w:t>
      </w:r>
      <w:r>
        <w:rPr>
          <w:w w:val="95"/>
        </w:rPr>
        <w:t>the</w:t>
      </w:r>
      <w:r>
        <w:rPr>
          <w:spacing w:val="-12"/>
          <w:w w:val="95"/>
        </w:rPr>
        <w:t> </w:t>
      </w:r>
      <w:r>
        <w:rPr>
          <w:w w:val="95"/>
        </w:rPr>
        <w:t>main</w:t>
      </w:r>
      <w:r>
        <w:rPr>
          <w:spacing w:val="-12"/>
          <w:w w:val="95"/>
        </w:rPr>
        <w:t> </w:t>
      </w:r>
      <w:r>
        <w:rPr>
          <w:w w:val="95"/>
        </w:rPr>
        <w:t>arterial</w:t>
      </w:r>
      <w:r>
        <w:rPr>
          <w:spacing w:val="-10"/>
          <w:w w:val="95"/>
        </w:rPr>
        <w:t> </w:t>
      </w:r>
      <w:r>
        <w:rPr>
          <w:w w:val="95"/>
        </w:rPr>
        <w:t>roads),</w:t>
      </w:r>
      <w:r>
        <w:rPr>
          <w:spacing w:val="-13"/>
          <w:w w:val="95"/>
        </w:rPr>
        <w:t> </w:t>
      </w:r>
      <w:r>
        <w:rPr>
          <w:w w:val="95"/>
        </w:rPr>
        <w:t>quality</w:t>
      </w:r>
      <w:r>
        <w:rPr>
          <w:spacing w:val="-9"/>
          <w:w w:val="95"/>
        </w:rPr>
        <w:t> </w:t>
      </w:r>
      <w:r>
        <w:rPr>
          <w:w w:val="95"/>
        </w:rPr>
        <w:t>of</w:t>
      </w:r>
      <w:r>
        <w:rPr>
          <w:spacing w:val="-10"/>
          <w:w w:val="95"/>
        </w:rPr>
        <w:t> </w:t>
      </w:r>
      <w:r>
        <w:rPr>
          <w:w w:val="95"/>
        </w:rPr>
        <w:t>construction,</w:t>
      </w:r>
      <w:r>
        <w:rPr>
          <w:spacing w:val="-12"/>
          <w:w w:val="95"/>
        </w:rPr>
        <w:t> </w:t>
      </w:r>
      <w:r>
        <w:rPr>
          <w:w w:val="95"/>
        </w:rPr>
        <w:t>developer</w:t>
      </w:r>
      <w:r>
        <w:rPr>
          <w:spacing w:val="-10"/>
          <w:w w:val="95"/>
        </w:rPr>
        <w:t> </w:t>
      </w:r>
      <w:r>
        <w:rPr>
          <w:w w:val="95"/>
        </w:rPr>
        <w:t>brand,</w:t>
      </w:r>
      <w:r>
        <w:rPr>
          <w:spacing w:val="-11"/>
          <w:w w:val="95"/>
        </w:rPr>
        <w:t> </w:t>
      </w:r>
      <w:r>
        <w:rPr>
          <w:w w:val="95"/>
        </w:rPr>
        <w:t>amenities</w:t>
      </w:r>
      <w:r>
        <w:rPr>
          <w:spacing w:val="-11"/>
          <w:w w:val="95"/>
        </w:rPr>
        <w:t> </w:t>
      </w:r>
      <w:r>
        <w:rPr>
          <w:w w:val="95"/>
        </w:rPr>
        <w:t>offered,</w:t>
      </w:r>
      <w:r>
        <w:rPr>
          <w:spacing w:val="-11"/>
          <w:w w:val="95"/>
        </w:rPr>
        <w:t> </w:t>
      </w:r>
      <w:r>
        <w:rPr>
          <w:w w:val="95"/>
        </w:rPr>
        <w:t>etc.</w:t>
      </w:r>
      <w:r>
        <w:rPr>
          <w:spacing w:val="-11"/>
          <w:w w:val="95"/>
        </w:rPr>
        <w:t> </w:t>
      </w:r>
      <w:r>
        <w:rPr>
          <w:w w:val="95"/>
        </w:rPr>
        <w:t>In</w:t>
      </w:r>
      <w:r>
        <w:rPr>
          <w:spacing w:val="-10"/>
          <w:w w:val="95"/>
        </w:rPr>
        <w:t> </w:t>
      </w:r>
      <w:r>
        <w:rPr>
          <w:w w:val="95"/>
        </w:rPr>
        <w:t>addition,</w:t>
      </w:r>
      <w:r>
        <w:rPr>
          <w:spacing w:val="-12"/>
          <w:w w:val="95"/>
        </w:rPr>
        <w:t> </w:t>
      </w:r>
      <w:r>
        <w:rPr>
          <w:w w:val="95"/>
        </w:rPr>
        <w:t>the </w:t>
      </w:r>
      <w:r>
        <w:rPr/>
        <w:t>maintenance</w:t>
      </w:r>
      <w:r>
        <w:rPr>
          <w:spacing w:val="-9"/>
        </w:rPr>
        <w:t> </w:t>
      </w:r>
      <w:r>
        <w:rPr/>
        <w:t>charge</w:t>
      </w:r>
      <w:r>
        <w:rPr>
          <w:spacing w:val="-9"/>
        </w:rPr>
        <w:t> </w:t>
      </w:r>
      <w:r>
        <w:rPr/>
        <w:t>for</w:t>
      </w:r>
      <w:r>
        <w:rPr>
          <w:spacing w:val="-7"/>
        </w:rPr>
        <w:t> </w:t>
      </w:r>
      <w:r>
        <w:rPr/>
        <w:t>these</w:t>
      </w:r>
      <w:r>
        <w:rPr>
          <w:spacing w:val="-8"/>
        </w:rPr>
        <w:t> </w:t>
      </w:r>
      <w:r>
        <w:rPr/>
        <w:t>developments</w:t>
      </w:r>
      <w:r>
        <w:rPr>
          <w:spacing w:val="-7"/>
        </w:rPr>
        <w:t> </w:t>
      </w:r>
      <w:r>
        <w:rPr/>
        <w:t>varies</w:t>
      </w:r>
      <w:r>
        <w:rPr>
          <w:spacing w:val="-7"/>
        </w:rPr>
        <w:t> </w:t>
      </w:r>
      <w:r>
        <w:rPr/>
        <w:t>in</w:t>
      </w:r>
      <w:r>
        <w:rPr>
          <w:spacing w:val="-10"/>
        </w:rPr>
        <w:t> </w:t>
      </w:r>
      <w:r>
        <w:rPr/>
        <w:t>the</w:t>
      </w:r>
      <w:r>
        <w:rPr>
          <w:spacing w:val="-11"/>
        </w:rPr>
        <w:t> </w:t>
      </w:r>
      <w:r>
        <w:rPr/>
        <w:t>range</w:t>
      </w:r>
      <w:r>
        <w:rPr>
          <w:spacing w:val="-7"/>
        </w:rPr>
        <w:t> </w:t>
      </w:r>
      <w:r>
        <w:rPr/>
        <w:t>of</w:t>
      </w:r>
      <w:r>
        <w:rPr>
          <w:spacing w:val="-8"/>
        </w:rPr>
        <w:t> </w:t>
      </w:r>
      <w:r>
        <w:rPr/>
        <w:t>INR</w:t>
      </w:r>
      <w:r>
        <w:rPr>
          <w:spacing w:val="-11"/>
        </w:rPr>
        <w:t> </w:t>
      </w:r>
      <w:r>
        <w:rPr/>
        <w:t>8.0</w:t>
      </w:r>
      <w:r>
        <w:rPr>
          <w:spacing w:val="-5"/>
        </w:rPr>
        <w:t> </w:t>
      </w:r>
      <w:r>
        <w:rPr>
          <w:w w:val="105"/>
        </w:rPr>
        <w:t>–</w:t>
      </w:r>
      <w:r>
        <w:rPr>
          <w:spacing w:val="-11"/>
          <w:w w:val="105"/>
        </w:rPr>
        <w:t> </w:t>
      </w:r>
      <w:r>
        <w:rPr/>
        <w:t>12.0</w:t>
      </w:r>
      <w:r>
        <w:rPr>
          <w:spacing w:val="-11"/>
        </w:rPr>
        <w:t> </w:t>
      </w:r>
      <w:r>
        <w:rPr/>
        <w:t>psf</w:t>
      </w:r>
      <w:r>
        <w:rPr>
          <w:spacing w:val="-9"/>
        </w:rPr>
        <w:t> </w:t>
      </w:r>
      <w:r>
        <w:rPr/>
        <w:t>pm.</w:t>
      </w:r>
      <w:r>
        <w:rPr>
          <w:spacing w:val="-11"/>
        </w:rPr>
        <w:t> </w:t>
      </w:r>
      <w:r>
        <w:rPr/>
        <w:t>The</w:t>
      </w:r>
      <w:r>
        <w:rPr>
          <w:spacing w:val="-11"/>
        </w:rPr>
        <w:t> </w:t>
      </w:r>
      <w:r>
        <w:rPr/>
        <w:t>parking charges in such developments range between INR 3,000 </w:t>
      </w:r>
      <w:r>
        <w:rPr>
          <w:w w:val="105"/>
        </w:rPr>
        <w:t>– </w:t>
      </w:r>
      <w:r>
        <w:rPr/>
        <w:t>5,000 per bay per month for covered car parks.</w:t>
      </w:r>
    </w:p>
    <w:p>
      <w:pPr>
        <w:pStyle w:val="BodyText"/>
        <w:spacing w:before="11"/>
        <w:rPr>
          <w:sz w:val="20"/>
        </w:rPr>
      </w:pPr>
    </w:p>
    <w:p>
      <w:pPr>
        <w:pStyle w:val="BodyText"/>
        <w:spacing w:line="321" w:lineRule="auto"/>
        <w:ind w:left="782" w:right="195"/>
        <w:jc w:val="both"/>
      </w:pPr>
      <w:r>
        <w:rPr/>
        <w:t>Based on our market research we understand that the rent in the subject sub market has witnessed appreciation of approx. 7.6% between 2014 &amp; 2019. Subject property is a major contributor to the supply in the sub market.</w:t>
      </w:r>
    </w:p>
    <w:p>
      <w:pPr>
        <w:pStyle w:val="BodyText"/>
        <w:spacing w:before="8"/>
        <w:rPr>
          <w:sz w:val="20"/>
        </w:rPr>
      </w:pPr>
    </w:p>
    <w:p>
      <w:pPr>
        <w:pStyle w:val="BodyText"/>
        <w:spacing w:line="324" w:lineRule="auto"/>
        <w:ind w:left="782" w:right="198"/>
        <w:jc w:val="both"/>
      </w:pPr>
      <w:r>
        <w:rPr/>
        <w:t>Introduction of supply in years 2012-14 led to subdued rent escalations. However, the market is witnessing</w:t>
      </w:r>
      <w:r>
        <w:rPr>
          <w:spacing w:val="-18"/>
        </w:rPr>
        <w:t> </w:t>
      </w:r>
      <w:r>
        <w:rPr/>
        <w:t>an</w:t>
      </w:r>
      <w:r>
        <w:rPr>
          <w:spacing w:val="-16"/>
        </w:rPr>
        <w:t> </w:t>
      </w:r>
      <w:r>
        <w:rPr/>
        <w:t>increase</w:t>
      </w:r>
      <w:r>
        <w:rPr>
          <w:spacing w:val="-17"/>
        </w:rPr>
        <w:t> </w:t>
      </w:r>
      <w:r>
        <w:rPr/>
        <w:t>in</w:t>
      </w:r>
      <w:r>
        <w:rPr>
          <w:spacing w:val="-18"/>
        </w:rPr>
        <w:t> </w:t>
      </w:r>
      <w:r>
        <w:rPr/>
        <w:t>the</w:t>
      </w:r>
      <w:r>
        <w:rPr>
          <w:spacing w:val="-19"/>
        </w:rPr>
        <w:t> </w:t>
      </w:r>
      <w:r>
        <w:rPr/>
        <w:t>growth</w:t>
      </w:r>
      <w:r>
        <w:rPr>
          <w:spacing w:val="-17"/>
        </w:rPr>
        <w:t> </w:t>
      </w:r>
      <w:r>
        <w:rPr/>
        <w:t>rate</w:t>
      </w:r>
      <w:r>
        <w:rPr>
          <w:spacing w:val="-18"/>
        </w:rPr>
        <w:t> </w:t>
      </w:r>
      <w:r>
        <w:rPr/>
        <w:t>over</w:t>
      </w:r>
      <w:r>
        <w:rPr>
          <w:spacing w:val="-16"/>
        </w:rPr>
        <w:t> </w:t>
      </w:r>
      <w:r>
        <w:rPr/>
        <w:t>the</w:t>
      </w:r>
      <w:r>
        <w:rPr>
          <w:spacing w:val="-19"/>
        </w:rPr>
        <w:t> </w:t>
      </w:r>
      <w:r>
        <w:rPr/>
        <w:t>last</w:t>
      </w:r>
      <w:r>
        <w:rPr>
          <w:spacing w:val="-16"/>
        </w:rPr>
        <w:t> </w:t>
      </w:r>
      <w:r>
        <w:rPr/>
        <w:t>3-4</w:t>
      </w:r>
      <w:r>
        <w:rPr>
          <w:spacing w:val="-19"/>
        </w:rPr>
        <w:t> </w:t>
      </w:r>
      <w:r>
        <w:rPr/>
        <w:t>years</w:t>
      </w:r>
      <w:r>
        <w:rPr>
          <w:spacing w:val="-16"/>
        </w:rPr>
        <w:t> </w:t>
      </w:r>
      <w:r>
        <w:rPr/>
        <w:t>and</w:t>
      </w:r>
      <w:r>
        <w:rPr>
          <w:spacing w:val="-16"/>
        </w:rPr>
        <w:t> </w:t>
      </w:r>
      <w:r>
        <w:rPr/>
        <w:t>is</w:t>
      </w:r>
      <w:r>
        <w:rPr>
          <w:spacing w:val="-16"/>
        </w:rPr>
        <w:t> </w:t>
      </w:r>
      <w:r>
        <w:rPr/>
        <w:t>expected</w:t>
      </w:r>
      <w:r>
        <w:rPr>
          <w:spacing w:val="-17"/>
        </w:rPr>
        <w:t> </w:t>
      </w:r>
      <w:r>
        <w:rPr/>
        <w:t>to</w:t>
      </w:r>
      <w:r>
        <w:rPr>
          <w:spacing w:val="-17"/>
        </w:rPr>
        <w:t> </w:t>
      </w:r>
      <w:r>
        <w:rPr/>
        <w:t>continue</w:t>
      </w:r>
      <w:r>
        <w:rPr>
          <w:spacing w:val="-17"/>
        </w:rPr>
        <w:t> </w:t>
      </w:r>
      <w:r>
        <w:rPr/>
        <w:t>achieving</w:t>
      </w:r>
    </w:p>
    <w:p>
      <w:pPr>
        <w:spacing w:after="0" w:line="324" w:lineRule="auto"/>
        <w:jc w:val="both"/>
        <w:sectPr>
          <w:pgSz w:w="11910" w:h="16840"/>
          <w:pgMar w:header="720" w:footer="842" w:top="1660" w:bottom="1040" w:left="500" w:right="520"/>
        </w:sectPr>
      </w:pPr>
    </w:p>
    <w:p>
      <w:pPr>
        <w:pStyle w:val="BodyText"/>
        <w:spacing w:before="7"/>
        <w:rPr>
          <w:sz w:val="9"/>
        </w:rPr>
      </w:pPr>
    </w:p>
    <w:p>
      <w:pPr>
        <w:pStyle w:val="BodyText"/>
        <w:spacing w:line="321" w:lineRule="auto" w:before="106"/>
        <w:ind w:left="782" w:right="197"/>
        <w:jc w:val="both"/>
      </w:pPr>
      <w:r>
        <w:rPr/>
        <w:t>superior growth over the next 2 to 3 years, owing to lack of ready to move-in supply in large scale business parks.</w:t>
      </w:r>
    </w:p>
    <w:p>
      <w:pPr>
        <w:pStyle w:val="BodyText"/>
        <w:spacing w:before="10"/>
        <w:rPr>
          <w:sz w:val="20"/>
        </w:rPr>
      </w:pPr>
    </w:p>
    <w:p>
      <w:pPr>
        <w:pStyle w:val="BodyText"/>
        <w:spacing w:line="319" w:lineRule="auto"/>
        <w:ind w:left="782" w:right="198"/>
        <w:jc w:val="both"/>
      </w:pPr>
      <w:r>
        <w:rPr/>
        <w:t>The</w:t>
      </w:r>
      <w:r>
        <w:rPr>
          <w:spacing w:val="-17"/>
        </w:rPr>
        <w:t> </w:t>
      </w:r>
      <w:r>
        <w:rPr/>
        <w:t>table</w:t>
      </w:r>
      <w:r>
        <w:rPr>
          <w:spacing w:val="-16"/>
        </w:rPr>
        <w:t> </w:t>
      </w:r>
      <w:r>
        <w:rPr/>
        <w:t>below</w:t>
      </w:r>
      <w:r>
        <w:rPr>
          <w:spacing w:val="-15"/>
        </w:rPr>
        <w:t> </w:t>
      </w:r>
      <w:r>
        <w:rPr/>
        <w:t>highlights</w:t>
      </w:r>
      <w:r>
        <w:rPr>
          <w:spacing w:val="-14"/>
        </w:rPr>
        <w:t> </w:t>
      </w:r>
      <w:r>
        <w:rPr/>
        <w:t>some</w:t>
      </w:r>
      <w:r>
        <w:rPr>
          <w:spacing w:val="-17"/>
        </w:rPr>
        <w:t> </w:t>
      </w:r>
      <w:r>
        <w:rPr/>
        <w:t>of</w:t>
      </w:r>
      <w:r>
        <w:rPr>
          <w:spacing w:val="-14"/>
        </w:rPr>
        <w:t> </w:t>
      </w:r>
      <w:r>
        <w:rPr/>
        <w:t>the</w:t>
      </w:r>
      <w:r>
        <w:rPr>
          <w:spacing w:val="-17"/>
        </w:rPr>
        <w:t> </w:t>
      </w:r>
      <w:r>
        <w:rPr/>
        <w:t>recent</w:t>
      </w:r>
      <w:r>
        <w:rPr>
          <w:spacing w:val="-15"/>
        </w:rPr>
        <w:t> </w:t>
      </w:r>
      <w:r>
        <w:rPr/>
        <w:t>transacted</w:t>
      </w:r>
      <w:r>
        <w:rPr>
          <w:spacing w:val="-15"/>
        </w:rPr>
        <w:t> </w:t>
      </w:r>
      <w:r>
        <w:rPr/>
        <w:t>rent</w:t>
      </w:r>
      <w:r>
        <w:rPr>
          <w:spacing w:val="-16"/>
        </w:rPr>
        <w:t> </w:t>
      </w:r>
      <w:r>
        <w:rPr/>
        <w:t>for</w:t>
      </w:r>
      <w:r>
        <w:rPr>
          <w:spacing w:val="-15"/>
        </w:rPr>
        <w:t> </w:t>
      </w:r>
      <w:r>
        <w:rPr/>
        <w:t>office</w:t>
      </w:r>
      <w:r>
        <w:rPr>
          <w:spacing w:val="-16"/>
        </w:rPr>
        <w:t> </w:t>
      </w:r>
      <w:r>
        <w:rPr/>
        <w:t>parks/</w:t>
      </w:r>
      <w:r>
        <w:rPr>
          <w:spacing w:val="-16"/>
        </w:rPr>
        <w:t> </w:t>
      </w:r>
      <w:r>
        <w:rPr/>
        <w:t>assets</w:t>
      </w:r>
      <w:r>
        <w:rPr>
          <w:spacing w:val="-13"/>
        </w:rPr>
        <w:t> </w:t>
      </w:r>
      <w:r>
        <w:rPr/>
        <w:t>in</w:t>
      </w:r>
      <w:r>
        <w:rPr>
          <w:spacing w:val="-17"/>
        </w:rPr>
        <w:t> </w:t>
      </w:r>
      <w:r>
        <w:rPr/>
        <w:t>the</w:t>
      </w:r>
      <w:r>
        <w:rPr>
          <w:spacing w:val="-16"/>
        </w:rPr>
        <w:t> </w:t>
      </w:r>
      <w:r>
        <w:rPr/>
        <w:t>influence region of the subject</w:t>
      </w:r>
      <w:r>
        <w:rPr>
          <w:spacing w:val="-18"/>
        </w:rPr>
        <w:t> </w:t>
      </w:r>
      <w:r>
        <w:rPr/>
        <w:t>property:</w:t>
      </w:r>
    </w:p>
    <w:p>
      <w:pPr>
        <w:pStyle w:val="BodyText"/>
        <w:spacing w:before="3"/>
        <w:rPr>
          <w:sz w:val="21"/>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60"/>
        <w:gridCol w:w="1971"/>
        <w:gridCol w:w="1798"/>
        <w:gridCol w:w="4056"/>
      </w:tblGrid>
      <w:tr>
        <w:trPr>
          <w:trHeight w:val="309" w:hRule="atLeast"/>
        </w:trPr>
        <w:tc>
          <w:tcPr>
            <w:tcW w:w="2660" w:type="dxa"/>
            <w:tcBorders>
              <w:top w:val="single" w:sz="6" w:space="0" w:color="69BD28"/>
              <w:bottom w:val="single" w:sz="6" w:space="0" w:color="69BD28"/>
            </w:tcBorders>
            <w:shd w:val="clear" w:color="auto" w:fill="006A4D"/>
          </w:tcPr>
          <w:p>
            <w:pPr>
              <w:pStyle w:val="TableParagraph"/>
              <w:spacing w:before="51"/>
              <w:ind w:left="354" w:right="531"/>
              <w:rPr>
                <w:b/>
                <w:sz w:val="18"/>
              </w:rPr>
            </w:pPr>
            <w:r>
              <w:rPr>
                <w:b/>
                <w:color w:val="FFFFFF"/>
                <w:w w:val="105"/>
                <w:sz w:val="18"/>
              </w:rPr>
              <w:t>Date of Transaction</w:t>
            </w:r>
          </w:p>
        </w:tc>
        <w:tc>
          <w:tcPr>
            <w:tcW w:w="1971" w:type="dxa"/>
            <w:tcBorders>
              <w:top w:val="single" w:sz="6" w:space="0" w:color="69BD28"/>
              <w:bottom w:val="single" w:sz="6" w:space="0" w:color="69BD28"/>
            </w:tcBorders>
            <w:shd w:val="clear" w:color="auto" w:fill="006A4D"/>
          </w:tcPr>
          <w:p>
            <w:pPr>
              <w:pStyle w:val="TableParagraph"/>
              <w:spacing w:before="51"/>
              <w:ind w:left="533"/>
              <w:jc w:val="left"/>
              <w:rPr>
                <w:b/>
                <w:sz w:val="18"/>
              </w:rPr>
            </w:pPr>
            <w:r>
              <w:rPr>
                <w:b/>
                <w:color w:val="FFFFFF"/>
                <w:w w:val="110"/>
                <w:sz w:val="18"/>
              </w:rPr>
              <w:t>Area (sf)</w:t>
            </w:r>
          </w:p>
        </w:tc>
        <w:tc>
          <w:tcPr>
            <w:tcW w:w="1798" w:type="dxa"/>
            <w:tcBorders>
              <w:top w:val="single" w:sz="6" w:space="0" w:color="69BD28"/>
              <w:bottom w:val="single" w:sz="6" w:space="0" w:color="69BD28"/>
            </w:tcBorders>
            <w:shd w:val="clear" w:color="auto" w:fill="006A4D"/>
          </w:tcPr>
          <w:p>
            <w:pPr>
              <w:pStyle w:val="TableParagraph"/>
              <w:spacing w:before="51"/>
              <w:ind w:right="472"/>
              <w:jc w:val="right"/>
              <w:rPr>
                <w:b/>
                <w:sz w:val="18"/>
              </w:rPr>
            </w:pPr>
            <w:r>
              <w:rPr>
                <w:b/>
                <w:color w:val="FFFFFF"/>
                <w:w w:val="105"/>
                <w:sz w:val="18"/>
              </w:rPr>
              <w:t>Tenant</w:t>
            </w:r>
          </w:p>
        </w:tc>
        <w:tc>
          <w:tcPr>
            <w:tcW w:w="4056" w:type="dxa"/>
            <w:tcBorders>
              <w:top w:val="single" w:sz="6" w:space="0" w:color="69BD28"/>
              <w:bottom w:val="single" w:sz="6" w:space="0" w:color="69BD28"/>
            </w:tcBorders>
            <w:shd w:val="clear" w:color="auto" w:fill="006A4D"/>
          </w:tcPr>
          <w:p>
            <w:pPr>
              <w:pStyle w:val="TableParagraph"/>
              <w:spacing w:before="51"/>
              <w:ind w:left="401" w:right="243"/>
              <w:rPr>
                <w:b/>
                <w:sz w:val="18"/>
              </w:rPr>
            </w:pPr>
            <w:r>
              <w:rPr>
                <w:b/>
                <w:color w:val="FFFFFF"/>
                <w:w w:val="110"/>
                <w:sz w:val="18"/>
              </w:rPr>
              <w:t>Transacted Rent Value (INR psf pm)*</w:t>
            </w:r>
          </w:p>
        </w:tc>
      </w:tr>
      <w:tr>
        <w:trPr>
          <w:trHeight w:val="308" w:hRule="atLeast"/>
        </w:trPr>
        <w:tc>
          <w:tcPr>
            <w:tcW w:w="2660" w:type="dxa"/>
            <w:tcBorders>
              <w:top w:val="single" w:sz="6" w:space="0" w:color="69BD28"/>
              <w:bottom w:val="single" w:sz="6" w:space="0" w:color="69BD28"/>
            </w:tcBorders>
          </w:tcPr>
          <w:p>
            <w:pPr>
              <w:pStyle w:val="TableParagraph"/>
              <w:spacing w:before="51"/>
              <w:ind w:left="352" w:right="531"/>
              <w:rPr>
                <w:sz w:val="18"/>
              </w:rPr>
            </w:pPr>
            <w:r>
              <w:rPr>
                <w:w w:val="110"/>
                <w:sz w:val="18"/>
              </w:rPr>
              <w:t>Q4, 2019</w:t>
            </w:r>
          </w:p>
        </w:tc>
        <w:tc>
          <w:tcPr>
            <w:tcW w:w="1971" w:type="dxa"/>
            <w:tcBorders>
              <w:top w:val="single" w:sz="6" w:space="0" w:color="69BD28"/>
              <w:bottom w:val="single" w:sz="6" w:space="0" w:color="69BD28"/>
            </w:tcBorders>
          </w:tcPr>
          <w:p>
            <w:pPr>
              <w:pStyle w:val="TableParagraph"/>
              <w:spacing w:before="51"/>
              <w:ind w:left="576"/>
              <w:jc w:val="left"/>
              <w:rPr>
                <w:sz w:val="18"/>
              </w:rPr>
            </w:pPr>
            <w:r>
              <w:rPr>
                <w:w w:val="110"/>
                <w:sz w:val="18"/>
              </w:rPr>
              <w:t>140,000</w:t>
            </w:r>
          </w:p>
        </w:tc>
        <w:tc>
          <w:tcPr>
            <w:tcW w:w="1798" w:type="dxa"/>
            <w:tcBorders>
              <w:top w:val="single" w:sz="6" w:space="0" w:color="69BD28"/>
              <w:bottom w:val="single" w:sz="6" w:space="0" w:color="69BD28"/>
            </w:tcBorders>
          </w:tcPr>
          <w:p>
            <w:pPr>
              <w:pStyle w:val="TableParagraph"/>
              <w:spacing w:before="51"/>
              <w:ind w:right="439"/>
              <w:jc w:val="right"/>
              <w:rPr>
                <w:sz w:val="18"/>
              </w:rPr>
            </w:pPr>
            <w:r>
              <w:rPr>
                <w:sz w:val="18"/>
              </w:rPr>
              <w:t>Tenant 1</w:t>
            </w:r>
          </w:p>
        </w:tc>
        <w:tc>
          <w:tcPr>
            <w:tcW w:w="4056" w:type="dxa"/>
            <w:tcBorders>
              <w:top w:val="single" w:sz="6" w:space="0" w:color="69BD28"/>
              <w:bottom w:val="single" w:sz="6" w:space="0" w:color="69BD28"/>
            </w:tcBorders>
          </w:tcPr>
          <w:p>
            <w:pPr>
              <w:pStyle w:val="TableParagraph"/>
              <w:spacing w:before="51"/>
              <w:ind w:left="397" w:right="243"/>
              <w:rPr>
                <w:sz w:val="18"/>
              </w:rPr>
            </w:pPr>
            <w:r>
              <w:rPr>
                <w:w w:val="105"/>
                <w:sz w:val="18"/>
              </w:rPr>
              <w:t>70.0 - 75.0 (WS)</w:t>
            </w:r>
          </w:p>
        </w:tc>
      </w:tr>
      <w:tr>
        <w:trPr>
          <w:trHeight w:val="309" w:hRule="atLeast"/>
        </w:trPr>
        <w:tc>
          <w:tcPr>
            <w:tcW w:w="2660" w:type="dxa"/>
            <w:tcBorders>
              <w:top w:val="single" w:sz="6" w:space="0" w:color="69BD28"/>
              <w:bottom w:val="single" w:sz="6" w:space="0" w:color="69BD28"/>
            </w:tcBorders>
          </w:tcPr>
          <w:p>
            <w:pPr>
              <w:pStyle w:val="TableParagraph"/>
              <w:spacing w:before="51"/>
              <w:ind w:left="352" w:right="531"/>
              <w:rPr>
                <w:sz w:val="18"/>
              </w:rPr>
            </w:pPr>
            <w:r>
              <w:rPr>
                <w:w w:val="110"/>
                <w:sz w:val="18"/>
              </w:rPr>
              <w:t>Q4, 2019</w:t>
            </w:r>
          </w:p>
        </w:tc>
        <w:tc>
          <w:tcPr>
            <w:tcW w:w="1971" w:type="dxa"/>
            <w:tcBorders>
              <w:top w:val="single" w:sz="6" w:space="0" w:color="69BD28"/>
              <w:bottom w:val="single" w:sz="6" w:space="0" w:color="69BD28"/>
            </w:tcBorders>
          </w:tcPr>
          <w:p>
            <w:pPr>
              <w:pStyle w:val="TableParagraph"/>
              <w:spacing w:before="51"/>
              <w:ind w:left="668" w:right="797"/>
              <w:rPr>
                <w:sz w:val="18"/>
              </w:rPr>
            </w:pPr>
            <w:r>
              <w:rPr>
                <w:w w:val="105"/>
                <w:sz w:val="18"/>
              </w:rPr>
              <w:t>7,500</w:t>
            </w:r>
          </w:p>
        </w:tc>
        <w:tc>
          <w:tcPr>
            <w:tcW w:w="1798" w:type="dxa"/>
            <w:tcBorders>
              <w:top w:val="single" w:sz="6" w:space="0" w:color="69BD28"/>
              <w:bottom w:val="single" w:sz="6" w:space="0" w:color="69BD28"/>
            </w:tcBorders>
          </w:tcPr>
          <w:p>
            <w:pPr>
              <w:pStyle w:val="TableParagraph"/>
              <w:spacing w:before="51"/>
              <w:ind w:right="439"/>
              <w:jc w:val="right"/>
              <w:rPr>
                <w:sz w:val="18"/>
              </w:rPr>
            </w:pPr>
            <w:r>
              <w:rPr>
                <w:sz w:val="18"/>
              </w:rPr>
              <w:t>Tenant 2</w:t>
            </w:r>
          </w:p>
        </w:tc>
        <w:tc>
          <w:tcPr>
            <w:tcW w:w="4056" w:type="dxa"/>
            <w:tcBorders>
              <w:top w:val="single" w:sz="6" w:space="0" w:color="69BD28"/>
              <w:bottom w:val="single" w:sz="6" w:space="0" w:color="69BD28"/>
            </w:tcBorders>
          </w:tcPr>
          <w:p>
            <w:pPr>
              <w:pStyle w:val="TableParagraph"/>
              <w:spacing w:before="51"/>
              <w:ind w:left="397" w:right="243"/>
              <w:rPr>
                <w:sz w:val="18"/>
              </w:rPr>
            </w:pPr>
            <w:r>
              <w:rPr>
                <w:w w:val="105"/>
                <w:sz w:val="18"/>
              </w:rPr>
              <w:t>73.0 - 77.0 (WS)</w:t>
            </w:r>
          </w:p>
        </w:tc>
      </w:tr>
      <w:tr>
        <w:trPr>
          <w:trHeight w:val="309" w:hRule="atLeast"/>
        </w:trPr>
        <w:tc>
          <w:tcPr>
            <w:tcW w:w="2660" w:type="dxa"/>
            <w:tcBorders>
              <w:top w:val="single" w:sz="6" w:space="0" w:color="69BD28"/>
              <w:bottom w:val="single" w:sz="6" w:space="0" w:color="69BD28"/>
            </w:tcBorders>
          </w:tcPr>
          <w:p>
            <w:pPr>
              <w:pStyle w:val="TableParagraph"/>
              <w:spacing w:before="51"/>
              <w:ind w:left="352" w:right="531"/>
              <w:rPr>
                <w:sz w:val="18"/>
              </w:rPr>
            </w:pPr>
            <w:r>
              <w:rPr>
                <w:w w:val="110"/>
                <w:sz w:val="18"/>
              </w:rPr>
              <w:t>Q4, 2019</w:t>
            </w:r>
          </w:p>
        </w:tc>
        <w:tc>
          <w:tcPr>
            <w:tcW w:w="1971" w:type="dxa"/>
            <w:tcBorders>
              <w:top w:val="single" w:sz="6" w:space="0" w:color="69BD28"/>
              <w:bottom w:val="single" w:sz="6" w:space="0" w:color="69BD28"/>
            </w:tcBorders>
          </w:tcPr>
          <w:p>
            <w:pPr>
              <w:pStyle w:val="TableParagraph"/>
              <w:spacing w:before="51"/>
              <w:ind w:left="668" w:right="797"/>
              <w:rPr>
                <w:sz w:val="18"/>
              </w:rPr>
            </w:pPr>
            <w:r>
              <w:rPr>
                <w:w w:val="105"/>
                <w:sz w:val="18"/>
              </w:rPr>
              <w:t>6,000</w:t>
            </w:r>
          </w:p>
        </w:tc>
        <w:tc>
          <w:tcPr>
            <w:tcW w:w="1798" w:type="dxa"/>
            <w:tcBorders>
              <w:top w:val="single" w:sz="6" w:space="0" w:color="69BD28"/>
              <w:bottom w:val="single" w:sz="6" w:space="0" w:color="69BD28"/>
            </w:tcBorders>
          </w:tcPr>
          <w:p>
            <w:pPr>
              <w:pStyle w:val="TableParagraph"/>
              <w:spacing w:before="51"/>
              <w:ind w:right="439"/>
              <w:jc w:val="right"/>
              <w:rPr>
                <w:sz w:val="18"/>
              </w:rPr>
            </w:pPr>
            <w:r>
              <w:rPr>
                <w:sz w:val="18"/>
              </w:rPr>
              <w:t>Tenant 3</w:t>
            </w:r>
          </w:p>
        </w:tc>
        <w:tc>
          <w:tcPr>
            <w:tcW w:w="4056" w:type="dxa"/>
            <w:tcBorders>
              <w:top w:val="single" w:sz="6" w:space="0" w:color="69BD28"/>
              <w:bottom w:val="single" w:sz="6" w:space="0" w:color="69BD28"/>
            </w:tcBorders>
          </w:tcPr>
          <w:p>
            <w:pPr>
              <w:pStyle w:val="TableParagraph"/>
              <w:spacing w:before="51"/>
              <w:ind w:left="397" w:right="243"/>
              <w:rPr>
                <w:sz w:val="18"/>
              </w:rPr>
            </w:pPr>
            <w:r>
              <w:rPr>
                <w:w w:val="105"/>
                <w:sz w:val="18"/>
              </w:rPr>
              <w:t>70.0 - 75.0 (WS)</w:t>
            </w:r>
          </w:p>
        </w:tc>
      </w:tr>
      <w:tr>
        <w:trPr>
          <w:trHeight w:val="308" w:hRule="atLeast"/>
        </w:trPr>
        <w:tc>
          <w:tcPr>
            <w:tcW w:w="2660" w:type="dxa"/>
            <w:tcBorders>
              <w:top w:val="single" w:sz="6" w:space="0" w:color="69BD28"/>
              <w:bottom w:val="single" w:sz="6" w:space="0" w:color="69BD28"/>
            </w:tcBorders>
          </w:tcPr>
          <w:p>
            <w:pPr>
              <w:pStyle w:val="TableParagraph"/>
              <w:spacing w:before="51"/>
              <w:ind w:left="352" w:right="531"/>
              <w:rPr>
                <w:sz w:val="18"/>
              </w:rPr>
            </w:pPr>
            <w:r>
              <w:rPr>
                <w:w w:val="110"/>
                <w:sz w:val="18"/>
              </w:rPr>
              <w:t>Q3, 2019</w:t>
            </w:r>
          </w:p>
        </w:tc>
        <w:tc>
          <w:tcPr>
            <w:tcW w:w="1971" w:type="dxa"/>
            <w:tcBorders>
              <w:top w:val="single" w:sz="6" w:space="0" w:color="69BD28"/>
              <w:bottom w:val="single" w:sz="6" w:space="0" w:color="69BD28"/>
            </w:tcBorders>
          </w:tcPr>
          <w:p>
            <w:pPr>
              <w:pStyle w:val="TableParagraph"/>
              <w:spacing w:before="51"/>
              <w:ind w:left="628"/>
              <w:jc w:val="left"/>
              <w:rPr>
                <w:sz w:val="18"/>
              </w:rPr>
            </w:pPr>
            <w:r>
              <w:rPr>
                <w:w w:val="110"/>
                <w:sz w:val="18"/>
              </w:rPr>
              <w:t>15,000</w:t>
            </w:r>
          </w:p>
        </w:tc>
        <w:tc>
          <w:tcPr>
            <w:tcW w:w="1798" w:type="dxa"/>
            <w:tcBorders>
              <w:top w:val="single" w:sz="6" w:space="0" w:color="69BD28"/>
              <w:bottom w:val="single" w:sz="6" w:space="0" w:color="69BD28"/>
            </w:tcBorders>
          </w:tcPr>
          <w:p>
            <w:pPr>
              <w:pStyle w:val="TableParagraph"/>
              <w:spacing w:before="51"/>
              <w:ind w:right="439"/>
              <w:jc w:val="right"/>
              <w:rPr>
                <w:sz w:val="18"/>
              </w:rPr>
            </w:pPr>
            <w:r>
              <w:rPr>
                <w:sz w:val="18"/>
              </w:rPr>
              <w:t>Tenant 4</w:t>
            </w:r>
          </w:p>
        </w:tc>
        <w:tc>
          <w:tcPr>
            <w:tcW w:w="4056" w:type="dxa"/>
            <w:tcBorders>
              <w:top w:val="single" w:sz="6" w:space="0" w:color="69BD28"/>
              <w:bottom w:val="single" w:sz="6" w:space="0" w:color="69BD28"/>
            </w:tcBorders>
          </w:tcPr>
          <w:p>
            <w:pPr>
              <w:pStyle w:val="TableParagraph"/>
              <w:spacing w:before="51"/>
              <w:ind w:left="397" w:right="243"/>
              <w:rPr>
                <w:sz w:val="18"/>
              </w:rPr>
            </w:pPr>
            <w:r>
              <w:rPr>
                <w:w w:val="105"/>
                <w:sz w:val="18"/>
              </w:rPr>
              <w:t>73.0 - 77.0 (WS)</w:t>
            </w:r>
          </w:p>
        </w:tc>
      </w:tr>
      <w:tr>
        <w:trPr>
          <w:trHeight w:val="309" w:hRule="atLeast"/>
        </w:trPr>
        <w:tc>
          <w:tcPr>
            <w:tcW w:w="2660" w:type="dxa"/>
            <w:tcBorders>
              <w:top w:val="single" w:sz="6" w:space="0" w:color="69BD28"/>
              <w:bottom w:val="single" w:sz="6" w:space="0" w:color="69BD28"/>
            </w:tcBorders>
          </w:tcPr>
          <w:p>
            <w:pPr>
              <w:pStyle w:val="TableParagraph"/>
              <w:spacing w:before="51"/>
              <w:ind w:left="352" w:right="531"/>
              <w:rPr>
                <w:sz w:val="18"/>
              </w:rPr>
            </w:pPr>
            <w:r>
              <w:rPr>
                <w:w w:val="110"/>
                <w:sz w:val="18"/>
              </w:rPr>
              <w:t>Q3, 2019</w:t>
            </w:r>
          </w:p>
        </w:tc>
        <w:tc>
          <w:tcPr>
            <w:tcW w:w="1971" w:type="dxa"/>
            <w:tcBorders>
              <w:top w:val="single" w:sz="6" w:space="0" w:color="69BD28"/>
              <w:bottom w:val="single" w:sz="6" w:space="0" w:color="69BD28"/>
            </w:tcBorders>
          </w:tcPr>
          <w:p>
            <w:pPr>
              <w:pStyle w:val="TableParagraph"/>
              <w:spacing w:before="51"/>
              <w:ind w:left="628"/>
              <w:jc w:val="left"/>
              <w:rPr>
                <w:sz w:val="18"/>
              </w:rPr>
            </w:pPr>
            <w:r>
              <w:rPr>
                <w:w w:val="110"/>
                <w:sz w:val="18"/>
              </w:rPr>
              <w:t>25,000</w:t>
            </w:r>
          </w:p>
        </w:tc>
        <w:tc>
          <w:tcPr>
            <w:tcW w:w="1798" w:type="dxa"/>
            <w:tcBorders>
              <w:top w:val="single" w:sz="6" w:space="0" w:color="69BD28"/>
              <w:bottom w:val="single" w:sz="6" w:space="0" w:color="69BD28"/>
            </w:tcBorders>
          </w:tcPr>
          <w:p>
            <w:pPr>
              <w:pStyle w:val="TableParagraph"/>
              <w:spacing w:before="51"/>
              <w:ind w:right="439"/>
              <w:jc w:val="right"/>
              <w:rPr>
                <w:sz w:val="18"/>
              </w:rPr>
            </w:pPr>
            <w:r>
              <w:rPr>
                <w:sz w:val="18"/>
              </w:rPr>
              <w:t>Tenant 5</w:t>
            </w:r>
          </w:p>
        </w:tc>
        <w:tc>
          <w:tcPr>
            <w:tcW w:w="4056" w:type="dxa"/>
            <w:tcBorders>
              <w:top w:val="single" w:sz="6" w:space="0" w:color="69BD28"/>
              <w:bottom w:val="single" w:sz="6" w:space="0" w:color="69BD28"/>
            </w:tcBorders>
          </w:tcPr>
          <w:p>
            <w:pPr>
              <w:pStyle w:val="TableParagraph"/>
              <w:spacing w:before="51"/>
              <w:ind w:left="397" w:right="243"/>
              <w:rPr>
                <w:sz w:val="18"/>
              </w:rPr>
            </w:pPr>
            <w:r>
              <w:rPr>
                <w:w w:val="105"/>
                <w:sz w:val="18"/>
              </w:rPr>
              <w:t>68.0 - 72.0 (WS)</w:t>
            </w:r>
          </w:p>
        </w:tc>
      </w:tr>
      <w:tr>
        <w:trPr>
          <w:trHeight w:val="309" w:hRule="atLeast"/>
        </w:trPr>
        <w:tc>
          <w:tcPr>
            <w:tcW w:w="2660" w:type="dxa"/>
            <w:tcBorders>
              <w:top w:val="single" w:sz="6" w:space="0" w:color="69BD28"/>
              <w:bottom w:val="single" w:sz="6" w:space="0" w:color="69BD28"/>
            </w:tcBorders>
          </w:tcPr>
          <w:p>
            <w:pPr>
              <w:pStyle w:val="TableParagraph"/>
              <w:spacing w:before="51"/>
              <w:ind w:left="352" w:right="531"/>
              <w:rPr>
                <w:sz w:val="18"/>
              </w:rPr>
            </w:pPr>
            <w:r>
              <w:rPr>
                <w:w w:val="110"/>
                <w:sz w:val="18"/>
              </w:rPr>
              <w:t>Q2, 2019</w:t>
            </w:r>
          </w:p>
        </w:tc>
        <w:tc>
          <w:tcPr>
            <w:tcW w:w="1971" w:type="dxa"/>
            <w:tcBorders>
              <w:top w:val="single" w:sz="6" w:space="0" w:color="69BD28"/>
              <w:bottom w:val="single" w:sz="6" w:space="0" w:color="69BD28"/>
            </w:tcBorders>
          </w:tcPr>
          <w:p>
            <w:pPr>
              <w:pStyle w:val="TableParagraph"/>
              <w:spacing w:before="51"/>
              <w:ind w:left="628"/>
              <w:jc w:val="left"/>
              <w:rPr>
                <w:sz w:val="18"/>
              </w:rPr>
            </w:pPr>
            <w:r>
              <w:rPr>
                <w:w w:val="110"/>
                <w:sz w:val="18"/>
              </w:rPr>
              <w:t>20,000</w:t>
            </w:r>
          </w:p>
        </w:tc>
        <w:tc>
          <w:tcPr>
            <w:tcW w:w="1798" w:type="dxa"/>
            <w:tcBorders>
              <w:top w:val="single" w:sz="6" w:space="0" w:color="69BD28"/>
              <w:bottom w:val="single" w:sz="6" w:space="0" w:color="69BD28"/>
            </w:tcBorders>
          </w:tcPr>
          <w:p>
            <w:pPr>
              <w:pStyle w:val="TableParagraph"/>
              <w:spacing w:before="51"/>
              <w:ind w:right="439"/>
              <w:jc w:val="right"/>
              <w:rPr>
                <w:sz w:val="18"/>
              </w:rPr>
            </w:pPr>
            <w:r>
              <w:rPr>
                <w:sz w:val="18"/>
              </w:rPr>
              <w:t>Tenant 6</w:t>
            </w:r>
          </w:p>
        </w:tc>
        <w:tc>
          <w:tcPr>
            <w:tcW w:w="4056" w:type="dxa"/>
            <w:tcBorders>
              <w:top w:val="single" w:sz="6" w:space="0" w:color="69BD28"/>
              <w:bottom w:val="single" w:sz="6" w:space="0" w:color="69BD28"/>
            </w:tcBorders>
          </w:tcPr>
          <w:p>
            <w:pPr>
              <w:pStyle w:val="TableParagraph"/>
              <w:spacing w:before="51"/>
              <w:ind w:left="397" w:right="243"/>
              <w:rPr>
                <w:sz w:val="18"/>
              </w:rPr>
            </w:pPr>
            <w:r>
              <w:rPr>
                <w:w w:val="105"/>
                <w:sz w:val="18"/>
              </w:rPr>
              <w:t>73.0 - 77.0 (WS)</w:t>
            </w:r>
          </w:p>
        </w:tc>
      </w:tr>
      <w:tr>
        <w:trPr>
          <w:trHeight w:val="308" w:hRule="atLeast"/>
        </w:trPr>
        <w:tc>
          <w:tcPr>
            <w:tcW w:w="2660" w:type="dxa"/>
            <w:tcBorders>
              <w:top w:val="single" w:sz="6" w:space="0" w:color="69BD28"/>
              <w:bottom w:val="single" w:sz="6" w:space="0" w:color="69BD28"/>
            </w:tcBorders>
          </w:tcPr>
          <w:p>
            <w:pPr>
              <w:pStyle w:val="TableParagraph"/>
              <w:spacing w:before="51"/>
              <w:ind w:left="352" w:right="531"/>
              <w:rPr>
                <w:sz w:val="18"/>
              </w:rPr>
            </w:pPr>
            <w:r>
              <w:rPr>
                <w:w w:val="110"/>
                <w:sz w:val="18"/>
              </w:rPr>
              <w:t>Q2, 2019</w:t>
            </w:r>
          </w:p>
        </w:tc>
        <w:tc>
          <w:tcPr>
            <w:tcW w:w="1971" w:type="dxa"/>
            <w:tcBorders>
              <w:top w:val="single" w:sz="6" w:space="0" w:color="69BD28"/>
              <w:bottom w:val="single" w:sz="6" w:space="0" w:color="69BD28"/>
            </w:tcBorders>
          </w:tcPr>
          <w:p>
            <w:pPr>
              <w:pStyle w:val="TableParagraph"/>
              <w:spacing w:before="51"/>
              <w:ind w:left="628"/>
              <w:jc w:val="left"/>
              <w:rPr>
                <w:sz w:val="18"/>
              </w:rPr>
            </w:pPr>
            <w:r>
              <w:rPr>
                <w:w w:val="110"/>
                <w:sz w:val="18"/>
              </w:rPr>
              <w:t>25,000</w:t>
            </w:r>
          </w:p>
        </w:tc>
        <w:tc>
          <w:tcPr>
            <w:tcW w:w="1798" w:type="dxa"/>
            <w:tcBorders>
              <w:top w:val="single" w:sz="6" w:space="0" w:color="69BD28"/>
              <w:bottom w:val="single" w:sz="6" w:space="0" w:color="69BD28"/>
            </w:tcBorders>
          </w:tcPr>
          <w:p>
            <w:pPr>
              <w:pStyle w:val="TableParagraph"/>
              <w:spacing w:before="51"/>
              <w:ind w:right="439"/>
              <w:jc w:val="right"/>
              <w:rPr>
                <w:sz w:val="18"/>
              </w:rPr>
            </w:pPr>
            <w:r>
              <w:rPr>
                <w:sz w:val="18"/>
              </w:rPr>
              <w:t>Tenant 7</w:t>
            </w:r>
          </w:p>
        </w:tc>
        <w:tc>
          <w:tcPr>
            <w:tcW w:w="4056" w:type="dxa"/>
            <w:tcBorders>
              <w:top w:val="single" w:sz="6" w:space="0" w:color="69BD28"/>
              <w:bottom w:val="single" w:sz="6" w:space="0" w:color="69BD28"/>
            </w:tcBorders>
          </w:tcPr>
          <w:p>
            <w:pPr>
              <w:pStyle w:val="TableParagraph"/>
              <w:spacing w:before="51"/>
              <w:ind w:left="397" w:right="243"/>
              <w:rPr>
                <w:sz w:val="18"/>
              </w:rPr>
            </w:pPr>
            <w:r>
              <w:rPr>
                <w:w w:val="105"/>
                <w:sz w:val="18"/>
              </w:rPr>
              <w:t>80.0 - 85.0 (WS)</w:t>
            </w:r>
          </w:p>
        </w:tc>
      </w:tr>
      <w:tr>
        <w:trPr>
          <w:trHeight w:val="309" w:hRule="atLeast"/>
        </w:trPr>
        <w:tc>
          <w:tcPr>
            <w:tcW w:w="2660" w:type="dxa"/>
            <w:tcBorders>
              <w:top w:val="single" w:sz="6" w:space="0" w:color="69BD28"/>
              <w:bottom w:val="single" w:sz="6" w:space="0" w:color="69BD28"/>
            </w:tcBorders>
          </w:tcPr>
          <w:p>
            <w:pPr>
              <w:pStyle w:val="TableParagraph"/>
              <w:spacing w:before="51"/>
              <w:ind w:left="352" w:right="531"/>
              <w:rPr>
                <w:sz w:val="18"/>
              </w:rPr>
            </w:pPr>
            <w:r>
              <w:rPr>
                <w:w w:val="110"/>
                <w:sz w:val="18"/>
              </w:rPr>
              <w:t>Q2, 2019</w:t>
            </w:r>
          </w:p>
        </w:tc>
        <w:tc>
          <w:tcPr>
            <w:tcW w:w="1971" w:type="dxa"/>
            <w:tcBorders>
              <w:top w:val="single" w:sz="6" w:space="0" w:color="69BD28"/>
              <w:bottom w:val="single" w:sz="6" w:space="0" w:color="69BD28"/>
            </w:tcBorders>
          </w:tcPr>
          <w:p>
            <w:pPr>
              <w:pStyle w:val="TableParagraph"/>
              <w:spacing w:before="51"/>
              <w:ind w:left="576"/>
              <w:jc w:val="left"/>
              <w:rPr>
                <w:sz w:val="18"/>
              </w:rPr>
            </w:pPr>
            <w:r>
              <w:rPr>
                <w:w w:val="110"/>
                <w:sz w:val="18"/>
              </w:rPr>
              <w:t>120,000</w:t>
            </w:r>
          </w:p>
        </w:tc>
        <w:tc>
          <w:tcPr>
            <w:tcW w:w="1798" w:type="dxa"/>
            <w:tcBorders>
              <w:top w:val="single" w:sz="6" w:space="0" w:color="69BD28"/>
              <w:bottom w:val="single" w:sz="6" w:space="0" w:color="69BD28"/>
            </w:tcBorders>
          </w:tcPr>
          <w:p>
            <w:pPr>
              <w:pStyle w:val="TableParagraph"/>
              <w:spacing w:before="51"/>
              <w:ind w:right="439"/>
              <w:jc w:val="right"/>
              <w:rPr>
                <w:sz w:val="18"/>
              </w:rPr>
            </w:pPr>
            <w:r>
              <w:rPr>
                <w:sz w:val="18"/>
              </w:rPr>
              <w:t>Tenant 8</w:t>
            </w:r>
          </w:p>
        </w:tc>
        <w:tc>
          <w:tcPr>
            <w:tcW w:w="4056" w:type="dxa"/>
            <w:tcBorders>
              <w:top w:val="single" w:sz="6" w:space="0" w:color="69BD28"/>
              <w:bottom w:val="single" w:sz="6" w:space="0" w:color="69BD28"/>
            </w:tcBorders>
          </w:tcPr>
          <w:p>
            <w:pPr>
              <w:pStyle w:val="TableParagraph"/>
              <w:spacing w:before="51"/>
              <w:ind w:left="397" w:right="243"/>
              <w:rPr>
                <w:sz w:val="18"/>
              </w:rPr>
            </w:pPr>
            <w:r>
              <w:rPr>
                <w:w w:val="105"/>
                <w:sz w:val="18"/>
              </w:rPr>
              <w:t>68.0 - 72.0 (WS)</w:t>
            </w:r>
          </w:p>
        </w:tc>
      </w:tr>
    </w:tbl>
    <w:p>
      <w:pPr>
        <w:spacing w:before="116"/>
        <w:ind w:left="220" w:right="0" w:firstLine="0"/>
        <w:jc w:val="left"/>
        <w:rPr>
          <w:i/>
          <w:sz w:val="18"/>
        </w:rPr>
      </w:pPr>
      <w:r>
        <w:rPr>
          <w:i/>
          <w:sz w:val="18"/>
        </w:rPr>
        <w:t>Source:</w:t>
      </w:r>
      <w:r>
        <w:rPr>
          <w:i/>
          <w:spacing w:val="-20"/>
          <w:sz w:val="18"/>
        </w:rPr>
        <w:t> </w:t>
      </w:r>
      <w:r>
        <w:rPr>
          <w:i/>
          <w:sz w:val="18"/>
        </w:rPr>
        <w:t>CBRE</w:t>
      </w:r>
      <w:r>
        <w:rPr>
          <w:i/>
          <w:spacing w:val="-18"/>
          <w:sz w:val="18"/>
        </w:rPr>
        <w:t> </w:t>
      </w:r>
      <w:r>
        <w:rPr>
          <w:i/>
          <w:sz w:val="18"/>
        </w:rPr>
        <w:t>Research*</w:t>
      </w:r>
      <w:r>
        <w:rPr>
          <w:i/>
          <w:spacing w:val="-19"/>
          <w:sz w:val="18"/>
        </w:rPr>
        <w:t> </w:t>
      </w:r>
      <w:r>
        <w:rPr>
          <w:i/>
          <w:sz w:val="18"/>
        </w:rPr>
        <w:t>Rent</w:t>
      </w:r>
      <w:r>
        <w:rPr>
          <w:i/>
          <w:spacing w:val="-17"/>
          <w:sz w:val="18"/>
        </w:rPr>
        <w:t> </w:t>
      </w:r>
      <w:r>
        <w:rPr>
          <w:i/>
          <w:sz w:val="18"/>
        </w:rPr>
        <w:t>is</w:t>
      </w:r>
      <w:r>
        <w:rPr>
          <w:i/>
          <w:spacing w:val="-20"/>
          <w:sz w:val="18"/>
        </w:rPr>
        <w:t> </w:t>
      </w:r>
      <w:r>
        <w:rPr>
          <w:i/>
          <w:sz w:val="18"/>
        </w:rPr>
        <w:t>base</w:t>
      </w:r>
      <w:r>
        <w:rPr>
          <w:i/>
          <w:spacing w:val="-20"/>
          <w:sz w:val="18"/>
        </w:rPr>
        <w:t> </w:t>
      </w:r>
      <w:r>
        <w:rPr>
          <w:i/>
          <w:sz w:val="18"/>
        </w:rPr>
        <w:t>rent</w:t>
      </w:r>
      <w:r>
        <w:rPr>
          <w:i/>
          <w:spacing w:val="-18"/>
          <w:sz w:val="18"/>
        </w:rPr>
        <w:t> </w:t>
      </w:r>
      <w:r>
        <w:rPr>
          <w:i/>
          <w:sz w:val="18"/>
        </w:rPr>
        <w:t>(viz.</w:t>
      </w:r>
      <w:r>
        <w:rPr>
          <w:i/>
          <w:spacing w:val="-19"/>
          <w:sz w:val="18"/>
        </w:rPr>
        <w:t> </w:t>
      </w:r>
      <w:r>
        <w:rPr>
          <w:i/>
          <w:sz w:val="18"/>
        </w:rPr>
        <w:t>exclusive</w:t>
      </w:r>
      <w:r>
        <w:rPr>
          <w:i/>
          <w:spacing w:val="-20"/>
          <w:sz w:val="18"/>
        </w:rPr>
        <w:t> </w:t>
      </w:r>
      <w:r>
        <w:rPr>
          <w:i/>
          <w:sz w:val="18"/>
        </w:rPr>
        <w:t>of</w:t>
      </w:r>
      <w:r>
        <w:rPr>
          <w:i/>
          <w:spacing w:val="-19"/>
          <w:sz w:val="18"/>
        </w:rPr>
        <w:t> </w:t>
      </w:r>
      <w:r>
        <w:rPr>
          <w:i/>
          <w:sz w:val="18"/>
        </w:rPr>
        <w:t>property</w:t>
      </w:r>
      <w:r>
        <w:rPr>
          <w:i/>
          <w:spacing w:val="-18"/>
          <w:sz w:val="18"/>
        </w:rPr>
        <w:t> </w:t>
      </w:r>
      <w:r>
        <w:rPr>
          <w:i/>
          <w:sz w:val="18"/>
        </w:rPr>
        <w:t>tax</w:t>
      </w:r>
      <w:r>
        <w:rPr>
          <w:i/>
          <w:spacing w:val="-17"/>
          <w:sz w:val="18"/>
        </w:rPr>
        <w:t> </w:t>
      </w:r>
      <w:r>
        <w:rPr>
          <w:i/>
          <w:sz w:val="18"/>
        </w:rPr>
        <w:t>&amp;</w:t>
      </w:r>
      <w:r>
        <w:rPr>
          <w:i/>
          <w:spacing w:val="-20"/>
          <w:sz w:val="18"/>
        </w:rPr>
        <w:t> </w:t>
      </w:r>
      <w:r>
        <w:rPr>
          <w:i/>
          <w:sz w:val="18"/>
        </w:rPr>
        <w:t>insurance)</w:t>
      </w:r>
      <w:r>
        <w:rPr>
          <w:i/>
          <w:spacing w:val="-21"/>
          <w:sz w:val="18"/>
        </w:rPr>
        <w:t> </w:t>
      </w:r>
      <w:r>
        <w:rPr>
          <w:i/>
          <w:sz w:val="18"/>
        </w:rPr>
        <w:t>on</w:t>
      </w:r>
      <w:r>
        <w:rPr>
          <w:i/>
          <w:spacing w:val="-18"/>
          <w:sz w:val="18"/>
        </w:rPr>
        <w:t> </w:t>
      </w:r>
      <w:r>
        <w:rPr>
          <w:i/>
          <w:sz w:val="18"/>
        </w:rPr>
        <w:t>leasable</w:t>
      </w:r>
      <w:r>
        <w:rPr>
          <w:i/>
          <w:spacing w:val="-19"/>
          <w:sz w:val="18"/>
        </w:rPr>
        <w:t> </w:t>
      </w:r>
      <w:r>
        <w:rPr>
          <w:i/>
          <w:sz w:val="18"/>
        </w:rPr>
        <w:t>area</w:t>
      </w:r>
      <w:r>
        <w:rPr>
          <w:i/>
          <w:spacing w:val="-20"/>
          <w:sz w:val="18"/>
        </w:rPr>
        <w:t> </w:t>
      </w:r>
      <w:r>
        <w:rPr>
          <w:i/>
          <w:sz w:val="18"/>
        </w:rPr>
        <w:t>basis;</w:t>
      </w:r>
      <w:r>
        <w:rPr>
          <w:i/>
          <w:spacing w:val="-16"/>
          <w:sz w:val="18"/>
        </w:rPr>
        <w:t> </w:t>
      </w:r>
      <w:r>
        <w:rPr>
          <w:i/>
          <w:sz w:val="18"/>
        </w:rPr>
        <w:t>Note:</w:t>
      </w:r>
      <w:r>
        <w:rPr>
          <w:i/>
          <w:spacing w:val="-19"/>
          <w:sz w:val="18"/>
        </w:rPr>
        <w:t> </w:t>
      </w:r>
      <w:r>
        <w:rPr>
          <w:i/>
          <w:sz w:val="18"/>
        </w:rPr>
        <w:t>W</w:t>
      </w:r>
      <w:r>
        <w:rPr>
          <w:i/>
          <w:spacing w:val="-18"/>
          <w:sz w:val="18"/>
        </w:rPr>
        <w:t> </w:t>
      </w:r>
      <w:r>
        <w:rPr>
          <w:i/>
          <w:w w:val="105"/>
          <w:sz w:val="18"/>
        </w:rPr>
        <w:t>–</w:t>
      </w:r>
      <w:r>
        <w:rPr>
          <w:i/>
          <w:spacing w:val="-23"/>
          <w:w w:val="105"/>
          <w:sz w:val="18"/>
        </w:rPr>
        <w:t> </w:t>
      </w:r>
      <w:r>
        <w:rPr>
          <w:i/>
          <w:sz w:val="18"/>
        </w:rPr>
        <w:t>Warm</w:t>
      </w:r>
      <w:r>
        <w:rPr>
          <w:i/>
          <w:spacing w:val="-19"/>
          <w:sz w:val="18"/>
        </w:rPr>
        <w:t> </w:t>
      </w:r>
      <w:r>
        <w:rPr>
          <w:i/>
          <w:sz w:val="18"/>
        </w:rPr>
        <w:t>shell;</w:t>
      </w:r>
      <w:r>
        <w:rPr>
          <w:i/>
          <w:spacing w:val="-19"/>
          <w:sz w:val="18"/>
        </w:rPr>
        <w:t> </w:t>
      </w:r>
      <w:r>
        <w:rPr>
          <w:i/>
          <w:sz w:val="18"/>
        </w:rPr>
        <w:t>FF</w:t>
      </w:r>
    </w:p>
    <w:p>
      <w:pPr>
        <w:spacing w:before="72"/>
        <w:ind w:left="220" w:right="0" w:firstLine="0"/>
        <w:jc w:val="left"/>
        <w:rPr>
          <w:i/>
          <w:sz w:val="18"/>
        </w:rPr>
      </w:pPr>
      <w:r>
        <w:rPr>
          <w:i/>
          <w:w w:val="105"/>
          <w:sz w:val="18"/>
        </w:rPr>
        <w:t>– </w:t>
      </w:r>
      <w:r>
        <w:rPr>
          <w:i/>
          <w:sz w:val="18"/>
        </w:rPr>
        <w:t>Fully Fitted-out</w:t>
      </w:r>
    </w:p>
    <w:p>
      <w:pPr>
        <w:pStyle w:val="BodyText"/>
        <w:spacing w:before="11"/>
        <w:rPr>
          <w:i/>
          <w:sz w:val="26"/>
        </w:rPr>
      </w:pPr>
    </w:p>
    <w:p>
      <w:pPr>
        <w:pStyle w:val="BodyText"/>
        <w:spacing w:line="321" w:lineRule="auto"/>
        <w:ind w:left="782" w:right="196"/>
        <w:jc w:val="both"/>
      </w:pPr>
      <w:r>
        <w:rPr/>
        <w:t>While</w:t>
      </w:r>
      <w:r>
        <w:rPr>
          <w:spacing w:val="-35"/>
        </w:rPr>
        <w:t> </w:t>
      </w:r>
      <w:r>
        <w:rPr/>
        <w:t>ORR</w:t>
      </w:r>
      <w:r>
        <w:rPr>
          <w:spacing w:val="-35"/>
        </w:rPr>
        <w:t> </w:t>
      </w:r>
      <w:r>
        <w:rPr/>
        <w:t>has</w:t>
      </w:r>
      <w:r>
        <w:rPr>
          <w:spacing w:val="-35"/>
        </w:rPr>
        <w:t> </w:t>
      </w:r>
      <w:r>
        <w:rPr/>
        <w:t>been</w:t>
      </w:r>
      <w:r>
        <w:rPr>
          <w:spacing w:val="-37"/>
        </w:rPr>
        <w:t> </w:t>
      </w:r>
      <w:r>
        <w:rPr/>
        <w:t>preferred</w:t>
      </w:r>
      <w:r>
        <w:rPr>
          <w:spacing w:val="-33"/>
        </w:rPr>
        <w:t> </w:t>
      </w:r>
      <w:r>
        <w:rPr/>
        <w:t>sub</w:t>
      </w:r>
      <w:r>
        <w:rPr>
          <w:spacing w:val="-35"/>
        </w:rPr>
        <w:t> </w:t>
      </w:r>
      <w:r>
        <w:rPr/>
        <w:t>market</w:t>
      </w:r>
      <w:r>
        <w:rPr>
          <w:spacing w:val="-34"/>
        </w:rPr>
        <w:t> </w:t>
      </w:r>
      <w:r>
        <w:rPr/>
        <w:t>in</w:t>
      </w:r>
      <w:r>
        <w:rPr>
          <w:spacing w:val="-35"/>
        </w:rPr>
        <w:t> </w:t>
      </w:r>
      <w:r>
        <w:rPr/>
        <w:t>the</w:t>
      </w:r>
      <w:r>
        <w:rPr>
          <w:spacing w:val="-36"/>
        </w:rPr>
        <w:t> </w:t>
      </w:r>
      <w:r>
        <w:rPr/>
        <w:t>context</w:t>
      </w:r>
      <w:r>
        <w:rPr>
          <w:spacing w:val="-34"/>
        </w:rPr>
        <w:t> </w:t>
      </w:r>
      <w:r>
        <w:rPr/>
        <w:t>of</w:t>
      </w:r>
      <w:r>
        <w:rPr>
          <w:spacing w:val="-35"/>
        </w:rPr>
        <w:t> </w:t>
      </w:r>
      <w:r>
        <w:rPr/>
        <w:t>the</w:t>
      </w:r>
      <w:r>
        <w:rPr>
          <w:spacing w:val="-34"/>
        </w:rPr>
        <w:t> </w:t>
      </w:r>
      <w:r>
        <w:rPr/>
        <w:t>city,</w:t>
      </w:r>
      <w:r>
        <w:rPr>
          <w:spacing w:val="-35"/>
        </w:rPr>
        <w:t> </w:t>
      </w:r>
      <w:r>
        <w:rPr/>
        <w:t>North</w:t>
      </w:r>
      <w:r>
        <w:rPr>
          <w:spacing w:val="-35"/>
        </w:rPr>
        <w:t> </w:t>
      </w:r>
      <w:r>
        <w:rPr/>
        <w:t>Bengaluru</w:t>
      </w:r>
      <w:r>
        <w:rPr>
          <w:spacing w:val="-34"/>
        </w:rPr>
        <w:t> </w:t>
      </w:r>
      <w:r>
        <w:rPr/>
        <w:t>has</w:t>
      </w:r>
      <w:r>
        <w:rPr>
          <w:spacing w:val="-34"/>
        </w:rPr>
        <w:t> </w:t>
      </w:r>
      <w:r>
        <w:rPr/>
        <w:t>been</w:t>
      </w:r>
      <w:r>
        <w:rPr>
          <w:spacing w:val="-35"/>
        </w:rPr>
        <w:t> </w:t>
      </w:r>
      <w:r>
        <w:rPr/>
        <w:t>witnessing sustained</w:t>
      </w:r>
      <w:r>
        <w:rPr>
          <w:spacing w:val="-18"/>
        </w:rPr>
        <w:t> </w:t>
      </w:r>
      <w:r>
        <w:rPr/>
        <w:t>occupier</w:t>
      </w:r>
      <w:r>
        <w:rPr>
          <w:spacing w:val="-18"/>
        </w:rPr>
        <w:t> </w:t>
      </w:r>
      <w:r>
        <w:rPr/>
        <w:t>interest.</w:t>
      </w:r>
      <w:r>
        <w:rPr>
          <w:spacing w:val="-17"/>
        </w:rPr>
        <w:t> </w:t>
      </w:r>
      <w:r>
        <w:rPr/>
        <w:t>However,</w:t>
      </w:r>
      <w:r>
        <w:rPr>
          <w:spacing w:val="-19"/>
        </w:rPr>
        <w:t> </w:t>
      </w:r>
      <w:r>
        <w:rPr/>
        <w:t>supply</w:t>
      </w:r>
      <w:r>
        <w:rPr>
          <w:spacing w:val="-18"/>
        </w:rPr>
        <w:t> </w:t>
      </w:r>
      <w:r>
        <w:rPr/>
        <w:t>has</w:t>
      </w:r>
      <w:r>
        <w:rPr>
          <w:spacing w:val="-20"/>
        </w:rPr>
        <w:t> </w:t>
      </w:r>
      <w:r>
        <w:rPr/>
        <w:t>been</w:t>
      </w:r>
      <w:r>
        <w:rPr>
          <w:spacing w:val="-17"/>
        </w:rPr>
        <w:t> </w:t>
      </w:r>
      <w:r>
        <w:rPr/>
        <w:t>largely</w:t>
      </w:r>
      <w:r>
        <w:rPr>
          <w:spacing w:val="-18"/>
        </w:rPr>
        <w:t> </w:t>
      </w:r>
      <w:r>
        <w:rPr/>
        <w:t>concentrated</w:t>
      </w:r>
      <w:r>
        <w:rPr>
          <w:spacing w:val="-17"/>
        </w:rPr>
        <w:t> </w:t>
      </w:r>
      <w:r>
        <w:rPr/>
        <w:t>in</w:t>
      </w:r>
      <w:r>
        <w:rPr>
          <w:spacing w:val="-18"/>
        </w:rPr>
        <w:t> </w:t>
      </w:r>
      <w:r>
        <w:rPr/>
        <w:t>the</w:t>
      </w:r>
      <w:r>
        <w:rPr>
          <w:spacing w:val="-19"/>
        </w:rPr>
        <w:t> </w:t>
      </w:r>
      <w:r>
        <w:rPr/>
        <w:t>subject</w:t>
      </w:r>
      <w:r>
        <w:rPr>
          <w:spacing w:val="-18"/>
        </w:rPr>
        <w:t> </w:t>
      </w:r>
      <w:r>
        <w:rPr/>
        <w:t>property</w:t>
      </w:r>
      <w:r>
        <w:rPr>
          <w:spacing w:val="-17"/>
        </w:rPr>
        <w:t> </w:t>
      </w:r>
      <w:r>
        <w:rPr/>
        <w:t>in North</w:t>
      </w:r>
      <w:r>
        <w:rPr>
          <w:spacing w:val="-18"/>
        </w:rPr>
        <w:t> </w:t>
      </w:r>
      <w:r>
        <w:rPr/>
        <w:t>Bengaluru</w:t>
      </w:r>
      <w:r>
        <w:rPr>
          <w:spacing w:val="-17"/>
        </w:rPr>
        <w:t> </w:t>
      </w:r>
      <w:r>
        <w:rPr/>
        <w:t>historically</w:t>
      </w:r>
      <w:r>
        <w:rPr>
          <w:spacing w:val="-17"/>
        </w:rPr>
        <w:t> </w:t>
      </w:r>
      <w:r>
        <w:rPr/>
        <w:t>and</w:t>
      </w:r>
      <w:r>
        <w:rPr>
          <w:spacing w:val="-17"/>
        </w:rPr>
        <w:t> </w:t>
      </w:r>
      <w:r>
        <w:rPr/>
        <w:t>has</w:t>
      </w:r>
      <w:r>
        <w:rPr>
          <w:spacing w:val="-17"/>
        </w:rPr>
        <w:t> </w:t>
      </w:r>
      <w:r>
        <w:rPr/>
        <w:t>enabled</w:t>
      </w:r>
      <w:r>
        <w:rPr>
          <w:spacing w:val="-16"/>
        </w:rPr>
        <w:t> </w:t>
      </w:r>
      <w:r>
        <w:rPr/>
        <w:t>EOP</w:t>
      </w:r>
      <w:r>
        <w:rPr>
          <w:spacing w:val="-17"/>
        </w:rPr>
        <w:t> </w:t>
      </w:r>
      <w:r>
        <w:rPr/>
        <w:t>to</w:t>
      </w:r>
      <w:r>
        <w:rPr>
          <w:spacing w:val="-18"/>
        </w:rPr>
        <w:t> </w:t>
      </w:r>
      <w:r>
        <w:rPr/>
        <w:t>successfully</w:t>
      </w:r>
      <w:r>
        <w:rPr>
          <w:spacing w:val="-16"/>
        </w:rPr>
        <w:t> </w:t>
      </w:r>
      <w:r>
        <w:rPr/>
        <w:t>lease</w:t>
      </w:r>
      <w:r>
        <w:rPr>
          <w:spacing w:val="-18"/>
        </w:rPr>
        <w:t> </w:t>
      </w:r>
      <w:r>
        <w:rPr/>
        <w:t>approx.</w:t>
      </w:r>
      <w:r>
        <w:rPr>
          <w:spacing w:val="-17"/>
        </w:rPr>
        <w:t> </w:t>
      </w:r>
      <w:r>
        <w:rPr/>
        <w:t>11</w:t>
      </w:r>
      <w:r>
        <w:rPr>
          <w:spacing w:val="-17"/>
        </w:rPr>
        <w:t> </w:t>
      </w:r>
      <w:r>
        <w:rPr/>
        <w:t>msf</w:t>
      </w:r>
      <w:r>
        <w:rPr>
          <w:spacing w:val="-17"/>
        </w:rPr>
        <w:t> </w:t>
      </w:r>
      <w:r>
        <w:rPr/>
        <w:t>over</w:t>
      </w:r>
      <w:r>
        <w:rPr>
          <w:spacing w:val="-17"/>
        </w:rPr>
        <w:t> </w:t>
      </w:r>
      <w:r>
        <w:rPr/>
        <w:t>the</w:t>
      </w:r>
      <w:r>
        <w:rPr>
          <w:spacing w:val="-18"/>
        </w:rPr>
        <w:t> </w:t>
      </w:r>
      <w:r>
        <w:rPr/>
        <w:t>years.</w:t>
      </w:r>
    </w:p>
    <w:p>
      <w:pPr>
        <w:pStyle w:val="BodyText"/>
        <w:spacing w:before="11"/>
        <w:rPr>
          <w:sz w:val="20"/>
        </w:rPr>
      </w:pPr>
    </w:p>
    <w:p>
      <w:pPr>
        <w:pStyle w:val="BodyText"/>
        <w:spacing w:line="321" w:lineRule="auto"/>
        <w:ind w:left="782" w:right="193"/>
        <w:jc w:val="both"/>
      </w:pPr>
      <w:r>
        <w:rPr/>
        <w:t>While</w:t>
      </w:r>
      <w:r>
        <w:rPr>
          <w:spacing w:val="-32"/>
        </w:rPr>
        <w:t> </w:t>
      </w:r>
      <w:r>
        <w:rPr/>
        <w:t>ORR</w:t>
      </w:r>
      <w:r>
        <w:rPr>
          <w:spacing w:val="-31"/>
        </w:rPr>
        <w:t> </w:t>
      </w:r>
      <w:r>
        <w:rPr/>
        <w:t>is</w:t>
      </w:r>
      <w:r>
        <w:rPr>
          <w:spacing w:val="-29"/>
        </w:rPr>
        <w:t> </w:t>
      </w:r>
      <w:r>
        <w:rPr/>
        <w:t>expected</w:t>
      </w:r>
      <w:r>
        <w:rPr>
          <w:spacing w:val="-31"/>
        </w:rPr>
        <w:t> </w:t>
      </w:r>
      <w:r>
        <w:rPr/>
        <w:t>to</w:t>
      </w:r>
      <w:r>
        <w:rPr>
          <w:spacing w:val="-31"/>
        </w:rPr>
        <w:t> </w:t>
      </w:r>
      <w:r>
        <w:rPr/>
        <w:t>be</w:t>
      </w:r>
      <w:r>
        <w:rPr>
          <w:spacing w:val="-31"/>
        </w:rPr>
        <w:t> </w:t>
      </w:r>
      <w:r>
        <w:rPr/>
        <w:t>a</w:t>
      </w:r>
      <w:r>
        <w:rPr>
          <w:spacing w:val="-32"/>
        </w:rPr>
        <w:t> </w:t>
      </w:r>
      <w:r>
        <w:rPr/>
        <w:t>preferred</w:t>
      </w:r>
      <w:r>
        <w:rPr>
          <w:spacing w:val="-30"/>
        </w:rPr>
        <w:t> </w:t>
      </w:r>
      <w:r>
        <w:rPr/>
        <w:t>sub</w:t>
      </w:r>
      <w:r>
        <w:rPr>
          <w:spacing w:val="-31"/>
        </w:rPr>
        <w:t> </w:t>
      </w:r>
      <w:r>
        <w:rPr/>
        <w:t>market</w:t>
      </w:r>
      <w:r>
        <w:rPr>
          <w:spacing w:val="-30"/>
        </w:rPr>
        <w:t> </w:t>
      </w:r>
      <w:r>
        <w:rPr/>
        <w:t>over</w:t>
      </w:r>
      <w:r>
        <w:rPr>
          <w:spacing w:val="-31"/>
        </w:rPr>
        <w:t> </w:t>
      </w:r>
      <w:r>
        <w:rPr/>
        <w:t>the</w:t>
      </w:r>
      <w:r>
        <w:rPr>
          <w:spacing w:val="-30"/>
        </w:rPr>
        <w:t> </w:t>
      </w:r>
      <w:r>
        <w:rPr/>
        <w:t>next</w:t>
      </w:r>
      <w:r>
        <w:rPr>
          <w:spacing w:val="-30"/>
        </w:rPr>
        <w:t> </w:t>
      </w:r>
      <w:r>
        <w:rPr/>
        <w:t>3-4</w:t>
      </w:r>
      <w:r>
        <w:rPr>
          <w:spacing w:val="-32"/>
        </w:rPr>
        <w:t> </w:t>
      </w:r>
      <w:r>
        <w:rPr/>
        <w:t>years,</w:t>
      </w:r>
      <w:r>
        <w:rPr>
          <w:spacing w:val="-32"/>
        </w:rPr>
        <w:t> </w:t>
      </w:r>
      <w:r>
        <w:rPr/>
        <w:t>North</w:t>
      </w:r>
      <w:r>
        <w:rPr>
          <w:spacing w:val="-30"/>
        </w:rPr>
        <w:t> </w:t>
      </w:r>
      <w:r>
        <w:rPr/>
        <w:t>Bengaluru</w:t>
      </w:r>
      <w:r>
        <w:rPr>
          <w:spacing w:val="-30"/>
        </w:rPr>
        <w:t> </w:t>
      </w:r>
      <w:r>
        <w:rPr/>
        <w:t>leads</w:t>
      </w:r>
      <w:r>
        <w:rPr>
          <w:spacing w:val="-31"/>
        </w:rPr>
        <w:t> </w:t>
      </w:r>
      <w:r>
        <w:rPr/>
        <w:t>other sub</w:t>
      </w:r>
      <w:r>
        <w:rPr>
          <w:spacing w:val="-32"/>
        </w:rPr>
        <w:t> </w:t>
      </w:r>
      <w:r>
        <w:rPr/>
        <w:t>markets</w:t>
      </w:r>
      <w:r>
        <w:rPr>
          <w:spacing w:val="-30"/>
        </w:rPr>
        <w:t> </w:t>
      </w:r>
      <w:r>
        <w:rPr/>
        <w:t>on</w:t>
      </w:r>
      <w:r>
        <w:rPr>
          <w:spacing w:val="-31"/>
        </w:rPr>
        <w:t> </w:t>
      </w:r>
      <w:r>
        <w:rPr/>
        <w:t>its</w:t>
      </w:r>
      <w:r>
        <w:rPr>
          <w:spacing w:val="-31"/>
        </w:rPr>
        <w:t> </w:t>
      </w:r>
      <w:r>
        <w:rPr/>
        <w:t>potential</w:t>
      </w:r>
      <w:r>
        <w:rPr>
          <w:spacing w:val="-31"/>
        </w:rPr>
        <w:t> </w:t>
      </w:r>
      <w:r>
        <w:rPr/>
        <w:t>in</w:t>
      </w:r>
      <w:r>
        <w:rPr>
          <w:spacing w:val="-32"/>
        </w:rPr>
        <w:t> </w:t>
      </w:r>
      <w:r>
        <w:rPr/>
        <w:t>the</w:t>
      </w:r>
      <w:r>
        <w:rPr>
          <w:spacing w:val="-31"/>
        </w:rPr>
        <w:t> </w:t>
      </w:r>
      <w:r>
        <w:rPr/>
        <w:t>medium</w:t>
      </w:r>
      <w:r>
        <w:rPr>
          <w:spacing w:val="-33"/>
        </w:rPr>
        <w:t> </w:t>
      </w:r>
      <w:r>
        <w:rPr/>
        <w:t>to</w:t>
      </w:r>
      <w:r>
        <w:rPr>
          <w:spacing w:val="-31"/>
        </w:rPr>
        <w:t> </w:t>
      </w:r>
      <w:r>
        <w:rPr/>
        <w:t>long</w:t>
      </w:r>
      <w:r>
        <w:rPr>
          <w:spacing w:val="-32"/>
        </w:rPr>
        <w:t> </w:t>
      </w:r>
      <w:r>
        <w:rPr/>
        <w:t>term.</w:t>
      </w:r>
      <w:r>
        <w:rPr>
          <w:spacing w:val="-31"/>
        </w:rPr>
        <w:t> </w:t>
      </w:r>
      <w:r>
        <w:rPr/>
        <w:t>This</w:t>
      </w:r>
      <w:r>
        <w:rPr>
          <w:spacing w:val="-31"/>
        </w:rPr>
        <w:t> </w:t>
      </w:r>
      <w:r>
        <w:rPr/>
        <w:t>is</w:t>
      </w:r>
      <w:r>
        <w:rPr>
          <w:spacing w:val="-31"/>
        </w:rPr>
        <w:t> </w:t>
      </w:r>
      <w:r>
        <w:rPr/>
        <w:t>largely</w:t>
      </w:r>
      <w:r>
        <w:rPr>
          <w:spacing w:val="-31"/>
        </w:rPr>
        <w:t> </w:t>
      </w:r>
      <w:r>
        <w:rPr/>
        <w:t>attributable</w:t>
      </w:r>
      <w:r>
        <w:rPr>
          <w:spacing w:val="-31"/>
        </w:rPr>
        <w:t> </w:t>
      </w:r>
      <w:r>
        <w:rPr/>
        <w:t>to</w:t>
      </w:r>
      <w:r>
        <w:rPr>
          <w:spacing w:val="-31"/>
        </w:rPr>
        <w:t> </w:t>
      </w:r>
      <w:r>
        <w:rPr/>
        <w:t>North</w:t>
      </w:r>
      <w:r>
        <w:rPr>
          <w:spacing w:val="-32"/>
        </w:rPr>
        <w:t> </w:t>
      </w:r>
      <w:r>
        <w:rPr/>
        <w:t>Bengaluru’s proximity to the International Airport, existing and proposed infrastructure initiatives, and ample availability of developable land parcels at competitive prices, growing residential catchment and connectivity</w:t>
      </w:r>
      <w:r>
        <w:rPr>
          <w:spacing w:val="-6"/>
        </w:rPr>
        <w:t> </w:t>
      </w:r>
      <w:r>
        <w:rPr/>
        <w:t>to</w:t>
      </w:r>
      <w:r>
        <w:rPr>
          <w:spacing w:val="-6"/>
        </w:rPr>
        <w:t> </w:t>
      </w:r>
      <w:r>
        <w:rPr/>
        <w:t>other</w:t>
      </w:r>
      <w:r>
        <w:rPr>
          <w:spacing w:val="-6"/>
        </w:rPr>
        <w:t> </w:t>
      </w:r>
      <w:r>
        <w:rPr/>
        <w:t>parts</w:t>
      </w:r>
      <w:r>
        <w:rPr>
          <w:spacing w:val="-7"/>
        </w:rPr>
        <w:t> </w:t>
      </w:r>
      <w:r>
        <w:rPr/>
        <w:t>of</w:t>
      </w:r>
      <w:r>
        <w:rPr>
          <w:spacing w:val="-5"/>
        </w:rPr>
        <w:t> </w:t>
      </w:r>
      <w:r>
        <w:rPr/>
        <w:t>the</w:t>
      </w:r>
      <w:r>
        <w:rPr>
          <w:spacing w:val="-7"/>
        </w:rPr>
        <w:t> </w:t>
      </w:r>
      <w:r>
        <w:rPr/>
        <w:t>city</w:t>
      </w:r>
      <w:r>
        <w:rPr>
          <w:spacing w:val="-5"/>
        </w:rPr>
        <w:t> </w:t>
      </w:r>
      <w:r>
        <w:rPr/>
        <w:t>via</w:t>
      </w:r>
      <w:r>
        <w:rPr>
          <w:spacing w:val="-8"/>
        </w:rPr>
        <w:t> </w:t>
      </w:r>
      <w:r>
        <w:rPr/>
        <w:t>Outer</w:t>
      </w:r>
      <w:r>
        <w:rPr>
          <w:spacing w:val="-6"/>
        </w:rPr>
        <w:t> </w:t>
      </w:r>
      <w:r>
        <w:rPr/>
        <w:t>Ring</w:t>
      </w:r>
      <w:r>
        <w:rPr>
          <w:spacing w:val="-7"/>
        </w:rPr>
        <w:t> </w:t>
      </w:r>
      <w:r>
        <w:rPr/>
        <w:t>road.</w:t>
      </w:r>
    </w:p>
    <w:p>
      <w:pPr>
        <w:pStyle w:val="BodyText"/>
        <w:spacing w:before="9"/>
        <w:rPr>
          <w:sz w:val="20"/>
        </w:rPr>
      </w:pPr>
    </w:p>
    <w:p>
      <w:pPr>
        <w:pStyle w:val="BodyText"/>
        <w:spacing w:line="321" w:lineRule="auto" w:before="1"/>
        <w:ind w:left="782" w:right="193"/>
        <w:jc w:val="both"/>
      </w:pPr>
      <w:r>
        <w:rPr/>
        <w:t>Given the development potential of the sub market and the development of residential/ lifestyle infrastructure, it will emerge as a preferred destination for corporates looking for office options for expansion/consolidation </w:t>
      </w:r>
      <w:r>
        <w:rPr>
          <w:w w:val="105"/>
        </w:rPr>
        <w:t>– </w:t>
      </w:r>
      <w:r>
        <w:rPr/>
        <w:t>resulting in increased market share going forward.</w:t>
      </w:r>
    </w:p>
    <w:p>
      <w:pPr>
        <w:pStyle w:val="BodyText"/>
        <w:spacing w:before="10"/>
        <w:rPr>
          <w:sz w:val="20"/>
        </w:rPr>
      </w:pPr>
    </w:p>
    <w:p>
      <w:pPr>
        <w:pStyle w:val="BodyText"/>
        <w:spacing w:line="321" w:lineRule="auto" w:before="1"/>
        <w:ind w:left="782" w:right="193"/>
        <w:jc w:val="both"/>
      </w:pPr>
      <w:r>
        <w:rPr/>
        <w:t>Embassy</w:t>
      </w:r>
      <w:r>
        <w:rPr>
          <w:spacing w:val="-19"/>
        </w:rPr>
        <w:t> </w:t>
      </w:r>
      <w:r>
        <w:rPr/>
        <w:t>Manyata</w:t>
      </w:r>
      <w:r>
        <w:rPr>
          <w:spacing w:val="-19"/>
        </w:rPr>
        <w:t> </w:t>
      </w:r>
      <w:r>
        <w:rPr/>
        <w:t>in</w:t>
      </w:r>
      <w:r>
        <w:rPr>
          <w:spacing w:val="-20"/>
        </w:rPr>
        <w:t> </w:t>
      </w:r>
      <w:r>
        <w:rPr/>
        <w:t>North</w:t>
      </w:r>
      <w:r>
        <w:rPr>
          <w:spacing w:val="-20"/>
        </w:rPr>
        <w:t> </w:t>
      </w:r>
      <w:r>
        <w:rPr/>
        <w:t>Bengaluru</w:t>
      </w:r>
      <w:r>
        <w:rPr>
          <w:spacing w:val="-19"/>
        </w:rPr>
        <w:t> </w:t>
      </w:r>
      <w:r>
        <w:rPr/>
        <w:t>with</w:t>
      </w:r>
      <w:r>
        <w:rPr>
          <w:spacing w:val="-19"/>
        </w:rPr>
        <w:t> </w:t>
      </w:r>
      <w:r>
        <w:rPr/>
        <w:t>its</w:t>
      </w:r>
      <w:r>
        <w:rPr>
          <w:spacing w:val="-19"/>
        </w:rPr>
        <w:t> </w:t>
      </w:r>
      <w:r>
        <w:rPr/>
        <w:t>largest</w:t>
      </w:r>
      <w:r>
        <w:rPr>
          <w:spacing w:val="-19"/>
        </w:rPr>
        <w:t> </w:t>
      </w:r>
      <w:r>
        <w:rPr/>
        <w:t>share</w:t>
      </w:r>
      <w:r>
        <w:rPr>
          <w:spacing w:val="-19"/>
        </w:rPr>
        <w:t> </w:t>
      </w:r>
      <w:r>
        <w:rPr/>
        <w:t>in</w:t>
      </w:r>
      <w:r>
        <w:rPr>
          <w:spacing w:val="-18"/>
        </w:rPr>
        <w:t> </w:t>
      </w:r>
      <w:r>
        <w:rPr/>
        <w:t>operational</w:t>
      </w:r>
      <w:r>
        <w:rPr>
          <w:spacing w:val="-18"/>
        </w:rPr>
        <w:t> </w:t>
      </w:r>
      <w:r>
        <w:rPr/>
        <w:t>stock</w:t>
      </w:r>
      <w:r>
        <w:rPr>
          <w:spacing w:val="-20"/>
        </w:rPr>
        <w:t> </w:t>
      </w:r>
      <w:r>
        <w:rPr/>
        <w:t>as</w:t>
      </w:r>
      <w:r>
        <w:rPr>
          <w:spacing w:val="-18"/>
        </w:rPr>
        <w:t> </w:t>
      </w:r>
      <w:r>
        <w:rPr/>
        <w:t>well</w:t>
      </w:r>
      <w:r>
        <w:rPr>
          <w:spacing w:val="-21"/>
        </w:rPr>
        <w:t> </w:t>
      </w:r>
      <w:r>
        <w:rPr/>
        <w:t>as</w:t>
      </w:r>
      <w:r>
        <w:rPr>
          <w:spacing w:val="-18"/>
        </w:rPr>
        <w:t> </w:t>
      </w:r>
      <w:r>
        <w:rPr/>
        <w:t>development pipeline</w:t>
      </w:r>
      <w:r>
        <w:rPr>
          <w:spacing w:val="-13"/>
        </w:rPr>
        <w:t> </w:t>
      </w:r>
      <w:r>
        <w:rPr/>
        <w:t>in</w:t>
      </w:r>
      <w:r>
        <w:rPr>
          <w:spacing w:val="-13"/>
        </w:rPr>
        <w:t> </w:t>
      </w:r>
      <w:r>
        <w:rPr/>
        <w:t>the</w:t>
      </w:r>
      <w:r>
        <w:rPr>
          <w:spacing w:val="-13"/>
        </w:rPr>
        <w:t> </w:t>
      </w:r>
      <w:r>
        <w:rPr/>
        <w:t>next</w:t>
      </w:r>
      <w:r>
        <w:rPr>
          <w:spacing w:val="-12"/>
        </w:rPr>
        <w:t> </w:t>
      </w:r>
      <w:r>
        <w:rPr/>
        <w:t>3-4</w:t>
      </w:r>
      <w:r>
        <w:rPr>
          <w:spacing w:val="-13"/>
        </w:rPr>
        <w:t> </w:t>
      </w:r>
      <w:r>
        <w:rPr/>
        <w:t>years</w:t>
      </w:r>
      <w:r>
        <w:rPr>
          <w:spacing w:val="-11"/>
        </w:rPr>
        <w:t> </w:t>
      </w:r>
      <w:r>
        <w:rPr/>
        <w:t>is</w:t>
      </w:r>
      <w:r>
        <w:rPr>
          <w:spacing w:val="-12"/>
        </w:rPr>
        <w:t> </w:t>
      </w:r>
      <w:r>
        <w:rPr/>
        <w:t>expected</w:t>
      </w:r>
      <w:r>
        <w:rPr>
          <w:spacing w:val="-12"/>
        </w:rPr>
        <w:t> </w:t>
      </w:r>
      <w:r>
        <w:rPr/>
        <w:t>to</w:t>
      </w:r>
      <w:r>
        <w:rPr>
          <w:spacing w:val="-14"/>
        </w:rPr>
        <w:t> </w:t>
      </w:r>
      <w:r>
        <w:rPr/>
        <w:t>be</w:t>
      </w:r>
      <w:r>
        <w:rPr>
          <w:spacing w:val="-13"/>
        </w:rPr>
        <w:t> </w:t>
      </w:r>
      <w:r>
        <w:rPr/>
        <w:t>a</w:t>
      </w:r>
      <w:r>
        <w:rPr>
          <w:spacing w:val="-13"/>
        </w:rPr>
        <w:t> </w:t>
      </w:r>
      <w:r>
        <w:rPr/>
        <w:t>prominent</w:t>
      </w:r>
      <w:r>
        <w:rPr>
          <w:spacing w:val="-12"/>
        </w:rPr>
        <w:t> </w:t>
      </w:r>
      <w:r>
        <w:rPr/>
        <w:t>player</w:t>
      </w:r>
      <w:r>
        <w:rPr>
          <w:spacing w:val="-13"/>
        </w:rPr>
        <w:t> </w:t>
      </w:r>
      <w:r>
        <w:rPr/>
        <w:t>in</w:t>
      </w:r>
      <w:r>
        <w:rPr>
          <w:spacing w:val="-13"/>
        </w:rPr>
        <w:t> </w:t>
      </w:r>
      <w:r>
        <w:rPr/>
        <w:t>the</w:t>
      </w:r>
      <w:r>
        <w:rPr>
          <w:spacing w:val="-15"/>
        </w:rPr>
        <w:t> </w:t>
      </w:r>
      <w:r>
        <w:rPr/>
        <w:t>North</w:t>
      </w:r>
      <w:r>
        <w:rPr>
          <w:spacing w:val="-13"/>
        </w:rPr>
        <w:t> </w:t>
      </w:r>
      <w:r>
        <w:rPr/>
        <w:t>Bengaluru</w:t>
      </w:r>
      <w:r>
        <w:rPr>
          <w:spacing w:val="-9"/>
        </w:rPr>
        <w:t> </w:t>
      </w:r>
      <w:r>
        <w:rPr/>
        <w:t>sub</w:t>
      </w:r>
      <w:r>
        <w:rPr>
          <w:spacing w:val="-11"/>
        </w:rPr>
        <w:t> </w:t>
      </w:r>
      <w:r>
        <w:rPr/>
        <w:t>market </w:t>
      </w:r>
      <w:r>
        <w:rPr>
          <w:w w:val="95"/>
        </w:rPr>
        <w:t>(keeping</w:t>
      </w:r>
      <w:r>
        <w:rPr>
          <w:spacing w:val="-18"/>
          <w:w w:val="95"/>
        </w:rPr>
        <w:t> </w:t>
      </w:r>
      <w:r>
        <w:rPr>
          <w:w w:val="95"/>
        </w:rPr>
        <w:t>in</w:t>
      </w:r>
      <w:r>
        <w:rPr>
          <w:spacing w:val="-19"/>
          <w:w w:val="95"/>
        </w:rPr>
        <w:t> </w:t>
      </w:r>
      <w:r>
        <w:rPr>
          <w:w w:val="95"/>
        </w:rPr>
        <w:t>context</w:t>
      </w:r>
      <w:r>
        <w:rPr>
          <w:spacing w:val="-17"/>
          <w:w w:val="95"/>
        </w:rPr>
        <w:t> </w:t>
      </w:r>
      <w:r>
        <w:rPr>
          <w:w w:val="95"/>
        </w:rPr>
        <w:t>its</w:t>
      </w:r>
      <w:r>
        <w:rPr>
          <w:spacing w:val="-18"/>
          <w:w w:val="95"/>
        </w:rPr>
        <w:t> </w:t>
      </w:r>
      <w:r>
        <w:rPr>
          <w:w w:val="95"/>
        </w:rPr>
        <w:t>proximity</w:t>
      </w:r>
      <w:r>
        <w:rPr>
          <w:spacing w:val="-16"/>
          <w:w w:val="95"/>
        </w:rPr>
        <w:t> </w:t>
      </w:r>
      <w:r>
        <w:rPr>
          <w:w w:val="95"/>
        </w:rPr>
        <w:t>to</w:t>
      </w:r>
      <w:r>
        <w:rPr>
          <w:spacing w:val="-18"/>
          <w:w w:val="95"/>
        </w:rPr>
        <w:t> </w:t>
      </w:r>
      <w:r>
        <w:rPr>
          <w:w w:val="95"/>
        </w:rPr>
        <w:t>the</w:t>
      </w:r>
      <w:r>
        <w:rPr>
          <w:spacing w:val="-19"/>
          <w:w w:val="95"/>
        </w:rPr>
        <w:t> </w:t>
      </w:r>
      <w:r>
        <w:rPr>
          <w:w w:val="95"/>
        </w:rPr>
        <w:t>city</w:t>
      </w:r>
      <w:r>
        <w:rPr>
          <w:spacing w:val="-18"/>
          <w:w w:val="95"/>
        </w:rPr>
        <w:t> </w:t>
      </w:r>
      <w:r>
        <w:rPr>
          <w:w w:val="95"/>
        </w:rPr>
        <w:t>centre</w:t>
      </w:r>
      <w:r>
        <w:rPr>
          <w:spacing w:val="-18"/>
          <w:w w:val="95"/>
        </w:rPr>
        <w:t> </w:t>
      </w:r>
      <w:r>
        <w:rPr>
          <w:w w:val="95"/>
        </w:rPr>
        <w:t>vis-à-vis</w:t>
      </w:r>
      <w:r>
        <w:rPr>
          <w:spacing w:val="-19"/>
          <w:w w:val="95"/>
        </w:rPr>
        <w:t> </w:t>
      </w:r>
      <w:r>
        <w:rPr>
          <w:w w:val="95"/>
        </w:rPr>
        <w:t>properties</w:t>
      </w:r>
      <w:r>
        <w:rPr>
          <w:spacing w:val="-18"/>
          <w:w w:val="95"/>
        </w:rPr>
        <w:t> </w:t>
      </w:r>
      <w:r>
        <w:rPr>
          <w:w w:val="95"/>
        </w:rPr>
        <w:t>with</w:t>
      </w:r>
      <w:r>
        <w:rPr>
          <w:spacing w:val="-20"/>
          <w:w w:val="95"/>
        </w:rPr>
        <w:t> </w:t>
      </w:r>
      <w:r>
        <w:rPr>
          <w:w w:val="95"/>
        </w:rPr>
        <w:t>future</w:t>
      </w:r>
      <w:r>
        <w:rPr>
          <w:spacing w:val="-18"/>
          <w:w w:val="95"/>
        </w:rPr>
        <w:t> </w:t>
      </w:r>
      <w:r>
        <w:rPr>
          <w:w w:val="95"/>
        </w:rPr>
        <w:t>development</w:t>
      </w:r>
      <w:r>
        <w:rPr>
          <w:spacing w:val="-18"/>
          <w:w w:val="95"/>
        </w:rPr>
        <w:t> </w:t>
      </w:r>
      <w:r>
        <w:rPr>
          <w:w w:val="95"/>
        </w:rPr>
        <w:t>potential).</w:t>
      </w:r>
    </w:p>
    <w:p>
      <w:pPr>
        <w:spacing w:after="0" w:line="321" w:lineRule="auto"/>
        <w:jc w:val="both"/>
        <w:sectPr>
          <w:pgSz w:w="11910" w:h="16840"/>
          <w:pgMar w:header="720" w:footer="842" w:top="1660" w:bottom="1040" w:left="500" w:right="520"/>
        </w:sectPr>
      </w:pPr>
    </w:p>
    <w:p>
      <w:pPr>
        <w:pStyle w:val="BodyText"/>
        <w:spacing w:before="7"/>
        <w:rPr>
          <w:sz w:val="9"/>
        </w:rPr>
      </w:pPr>
    </w:p>
    <w:p>
      <w:pPr>
        <w:pStyle w:val="ListParagraph"/>
        <w:numPr>
          <w:ilvl w:val="1"/>
          <w:numId w:val="14"/>
        </w:numPr>
        <w:tabs>
          <w:tab w:pos="796" w:val="left" w:leader="none"/>
          <w:tab w:pos="797" w:val="left" w:leader="none"/>
        </w:tabs>
        <w:spacing w:line="240" w:lineRule="auto" w:before="106" w:after="0"/>
        <w:ind w:left="796" w:right="0" w:hanging="577"/>
        <w:jc w:val="left"/>
        <w:rPr>
          <w:color w:val="1F6647"/>
          <w:sz w:val="22"/>
        </w:rPr>
      </w:pPr>
      <w:bookmarkStart w:name="_bookmark60" w:id="120"/>
      <w:bookmarkEnd w:id="120"/>
      <w:r>
        <w:rPr/>
      </w:r>
      <w:bookmarkStart w:name="_bookmark60" w:id="121"/>
      <w:bookmarkEnd w:id="121"/>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BodyText"/>
        <w:spacing w:before="3"/>
        <w:rPr>
          <w:sz w:val="28"/>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61" w:id="122"/>
      <w:bookmarkEnd w:id="122"/>
      <w:r>
        <w:rPr/>
      </w:r>
      <w:bookmarkStart w:name="_bookmark61" w:id="123"/>
      <w:bookmarkEnd w:id="123"/>
      <w:r>
        <w:rPr>
          <w:color w:val="1F664D"/>
          <w:w w:val="105"/>
          <w:sz w:val="22"/>
        </w:rPr>
        <w:t>A</w:t>
      </w:r>
      <w:r>
        <w:rPr>
          <w:color w:val="1F664D"/>
          <w:w w:val="105"/>
          <w:sz w:val="22"/>
        </w:rPr>
        <w:t>dopted</w:t>
      </w:r>
      <w:r>
        <w:rPr>
          <w:color w:val="1F664D"/>
          <w:spacing w:val="-3"/>
          <w:w w:val="105"/>
          <w:sz w:val="22"/>
        </w:rPr>
        <w:t> </w:t>
      </w:r>
      <w:r>
        <w:rPr>
          <w:color w:val="1F664D"/>
          <w:w w:val="105"/>
          <w:sz w:val="22"/>
        </w:rPr>
        <w:t>Methodology</w:t>
      </w:r>
    </w:p>
    <w:p>
      <w:pPr>
        <w:pStyle w:val="BodyText"/>
        <w:spacing w:line="321" w:lineRule="auto" w:before="208"/>
        <w:ind w:left="760" w:right="195"/>
        <w:jc w:val="both"/>
      </w:pPr>
      <w:r>
        <w:rPr/>
        <w:t>We</w:t>
      </w:r>
      <w:r>
        <w:rPr>
          <w:spacing w:val="-27"/>
        </w:rPr>
        <w:t> </w:t>
      </w:r>
      <w:r>
        <w:rPr/>
        <w:t>acknowledge</w:t>
      </w:r>
      <w:r>
        <w:rPr>
          <w:spacing w:val="-27"/>
        </w:rPr>
        <w:t> </w:t>
      </w:r>
      <w:r>
        <w:rPr/>
        <w:t>that</w:t>
      </w:r>
      <w:r>
        <w:rPr>
          <w:spacing w:val="-26"/>
        </w:rPr>
        <w:t> </w:t>
      </w:r>
      <w:r>
        <w:rPr/>
        <w:t>the</w:t>
      </w:r>
      <w:r>
        <w:rPr>
          <w:spacing w:val="-27"/>
        </w:rPr>
        <w:t> </w:t>
      </w:r>
      <w:r>
        <w:rPr/>
        <w:t>approaches</w:t>
      </w:r>
      <w:r>
        <w:rPr>
          <w:spacing w:val="-26"/>
        </w:rPr>
        <w:t> </w:t>
      </w:r>
      <w:r>
        <w:rPr/>
        <w:t>to</w:t>
      </w:r>
      <w:r>
        <w:rPr>
          <w:spacing w:val="-26"/>
        </w:rPr>
        <w:t> </w:t>
      </w:r>
      <w:r>
        <w:rPr/>
        <w:t>valuation</w:t>
      </w:r>
      <w:r>
        <w:rPr>
          <w:spacing w:val="-23"/>
        </w:rPr>
        <w:t> </w:t>
      </w:r>
      <w:r>
        <w:rPr/>
        <w:t>differ</w:t>
      </w:r>
      <w:r>
        <w:rPr>
          <w:spacing w:val="-27"/>
        </w:rPr>
        <w:t> </w:t>
      </w:r>
      <w:r>
        <w:rPr/>
        <w:t>considerably</w:t>
      </w:r>
      <w:r>
        <w:rPr>
          <w:spacing w:val="-25"/>
        </w:rPr>
        <w:t> </w:t>
      </w:r>
      <w:r>
        <w:rPr/>
        <w:t>and</w:t>
      </w:r>
      <w:r>
        <w:rPr>
          <w:spacing w:val="-27"/>
        </w:rPr>
        <w:t> </w:t>
      </w:r>
      <w:r>
        <w:rPr/>
        <w:t>that</w:t>
      </w:r>
      <w:r>
        <w:rPr>
          <w:spacing w:val="-27"/>
        </w:rPr>
        <w:t> </w:t>
      </w:r>
      <w:r>
        <w:rPr/>
        <w:t>for</w:t>
      </w:r>
      <w:r>
        <w:rPr>
          <w:spacing w:val="-26"/>
        </w:rPr>
        <w:t> </w:t>
      </w:r>
      <w:r>
        <w:rPr/>
        <w:t>a</w:t>
      </w:r>
      <w:r>
        <w:rPr>
          <w:spacing w:val="-27"/>
        </w:rPr>
        <w:t> </w:t>
      </w:r>
      <w:r>
        <w:rPr/>
        <w:t>particular</w:t>
      </w:r>
      <w:r>
        <w:rPr>
          <w:spacing w:val="-27"/>
        </w:rPr>
        <w:t> </w:t>
      </w:r>
      <w:r>
        <w:rPr/>
        <w:t>purpose, alternative</w:t>
      </w:r>
      <w:r>
        <w:rPr>
          <w:spacing w:val="-19"/>
        </w:rPr>
        <w:t> </w:t>
      </w:r>
      <w:r>
        <w:rPr/>
        <w:t>approaches</w:t>
      </w:r>
      <w:r>
        <w:rPr>
          <w:spacing w:val="-18"/>
        </w:rPr>
        <w:t> </w:t>
      </w:r>
      <w:r>
        <w:rPr/>
        <w:t>to</w:t>
      </w:r>
      <w:r>
        <w:rPr>
          <w:spacing w:val="-19"/>
        </w:rPr>
        <w:t> </w:t>
      </w:r>
      <w:r>
        <w:rPr/>
        <w:t>the</w:t>
      </w:r>
      <w:r>
        <w:rPr>
          <w:spacing w:val="-18"/>
        </w:rPr>
        <w:t> </w:t>
      </w:r>
      <w:r>
        <w:rPr/>
        <w:t>valuation</w:t>
      </w:r>
      <w:r>
        <w:rPr>
          <w:spacing w:val="-19"/>
        </w:rPr>
        <w:t> </w:t>
      </w:r>
      <w:r>
        <w:rPr/>
        <w:t>can</w:t>
      </w:r>
      <w:r>
        <w:rPr>
          <w:spacing w:val="-19"/>
        </w:rPr>
        <w:t> </w:t>
      </w:r>
      <w:r>
        <w:rPr/>
        <w:t>be</w:t>
      </w:r>
      <w:r>
        <w:rPr>
          <w:spacing w:val="-19"/>
        </w:rPr>
        <w:t> </w:t>
      </w:r>
      <w:r>
        <w:rPr/>
        <w:t>utilized</w:t>
      </w:r>
      <w:r>
        <w:rPr>
          <w:spacing w:val="-18"/>
        </w:rPr>
        <w:t> </w:t>
      </w:r>
      <w:r>
        <w:rPr/>
        <w:t>subject</w:t>
      </w:r>
      <w:r>
        <w:rPr>
          <w:spacing w:val="-18"/>
        </w:rPr>
        <w:t> </w:t>
      </w:r>
      <w:r>
        <w:rPr/>
        <w:t>to</w:t>
      </w:r>
      <w:r>
        <w:rPr>
          <w:spacing w:val="-19"/>
        </w:rPr>
        <w:t> </w:t>
      </w:r>
      <w:r>
        <w:rPr/>
        <w:t>the</w:t>
      </w:r>
      <w:r>
        <w:rPr>
          <w:spacing w:val="-18"/>
        </w:rPr>
        <w:t> </w:t>
      </w:r>
      <w:r>
        <w:rPr/>
        <w:t>Client’s</w:t>
      </w:r>
      <w:r>
        <w:rPr>
          <w:spacing w:val="-19"/>
        </w:rPr>
        <w:t> </w:t>
      </w:r>
      <w:r>
        <w:rPr/>
        <w:t>consultations</w:t>
      </w:r>
      <w:r>
        <w:rPr>
          <w:spacing w:val="-18"/>
        </w:rPr>
        <w:t> </w:t>
      </w:r>
      <w:r>
        <w:rPr/>
        <w:t>and</w:t>
      </w:r>
      <w:r>
        <w:rPr>
          <w:spacing w:val="-18"/>
        </w:rPr>
        <w:t> </w:t>
      </w:r>
      <w:r>
        <w:rPr/>
        <w:t>giving due</w:t>
      </w:r>
      <w:r>
        <w:rPr>
          <w:spacing w:val="-36"/>
        </w:rPr>
        <w:t> </w:t>
      </w:r>
      <w:r>
        <w:rPr/>
        <w:t>consideration</w:t>
      </w:r>
      <w:r>
        <w:rPr>
          <w:spacing w:val="-36"/>
        </w:rPr>
        <w:t> </w:t>
      </w:r>
      <w:r>
        <w:rPr/>
        <w:t>to</w:t>
      </w:r>
      <w:r>
        <w:rPr>
          <w:spacing w:val="-36"/>
        </w:rPr>
        <w:t> </w:t>
      </w:r>
      <w:r>
        <w:rPr/>
        <w:t>the</w:t>
      </w:r>
      <w:r>
        <w:rPr>
          <w:spacing w:val="-37"/>
        </w:rPr>
        <w:t> </w:t>
      </w:r>
      <w:r>
        <w:rPr/>
        <w:t>Client’s</w:t>
      </w:r>
      <w:r>
        <w:rPr>
          <w:spacing w:val="-36"/>
        </w:rPr>
        <w:t> </w:t>
      </w:r>
      <w:r>
        <w:rPr/>
        <w:t>requirements.</w:t>
      </w:r>
      <w:r>
        <w:rPr>
          <w:spacing w:val="-36"/>
        </w:rPr>
        <w:t> </w:t>
      </w:r>
      <w:r>
        <w:rPr/>
        <w:t>Considering</w:t>
      </w:r>
      <w:r>
        <w:rPr>
          <w:spacing w:val="-36"/>
        </w:rPr>
        <w:t> </w:t>
      </w:r>
      <w:r>
        <w:rPr/>
        <w:t>the</w:t>
      </w:r>
      <w:r>
        <w:rPr>
          <w:spacing w:val="-37"/>
        </w:rPr>
        <w:t> </w:t>
      </w:r>
      <w:r>
        <w:rPr/>
        <w:t>objective</w:t>
      </w:r>
      <w:r>
        <w:rPr>
          <w:spacing w:val="-36"/>
        </w:rPr>
        <w:t> </w:t>
      </w:r>
      <w:r>
        <w:rPr/>
        <w:t>of</w:t>
      </w:r>
      <w:r>
        <w:rPr>
          <w:spacing w:val="-36"/>
        </w:rPr>
        <w:t> </w:t>
      </w:r>
      <w:r>
        <w:rPr/>
        <w:t>this</w:t>
      </w:r>
      <w:r>
        <w:rPr>
          <w:spacing w:val="-36"/>
        </w:rPr>
        <w:t> </w:t>
      </w:r>
      <w:r>
        <w:rPr/>
        <w:t>exercise</w:t>
      </w:r>
      <w:r>
        <w:rPr>
          <w:spacing w:val="-36"/>
        </w:rPr>
        <w:t> </w:t>
      </w:r>
      <w:r>
        <w:rPr/>
        <w:t>and</w:t>
      </w:r>
      <w:r>
        <w:rPr>
          <w:spacing w:val="-33"/>
        </w:rPr>
        <w:t> </w:t>
      </w:r>
      <w:r>
        <w:rPr/>
        <w:t>the</w:t>
      </w:r>
      <w:r>
        <w:rPr>
          <w:spacing w:val="-36"/>
        </w:rPr>
        <w:t> </w:t>
      </w:r>
      <w:r>
        <w:rPr/>
        <w:t>nature of</w:t>
      </w:r>
      <w:r>
        <w:rPr>
          <w:spacing w:val="-34"/>
        </w:rPr>
        <w:t> </w:t>
      </w:r>
      <w:r>
        <w:rPr/>
        <w:t>asset</w:t>
      </w:r>
      <w:r>
        <w:rPr>
          <w:spacing w:val="-33"/>
        </w:rPr>
        <w:t> </w:t>
      </w:r>
      <w:r>
        <w:rPr/>
        <w:t>involved,</w:t>
      </w:r>
      <w:r>
        <w:rPr>
          <w:spacing w:val="-34"/>
        </w:rPr>
        <w:t> </w:t>
      </w:r>
      <w:r>
        <w:rPr/>
        <w:t>the</w:t>
      </w:r>
      <w:r>
        <w:rPr>
          <w:spacing w:val="-34"/>
        </w:rPr>
        <w:t> </w:t>
      </w:r>
      <w:r>
        <w:rPr/>
        <w:t>value</w:t>
      </w:r>
      <w:r>
        <w:rPr>
          <w:spacing w:val="-34"/>
        </w:rPr>
        <w:t> </w:t>
      </w:r>
      <w:r>
        <w:rPr/>
        <w:t>of</w:t>
      </w:r>
      <w:r>
        <w:rPr>
          <w:spacing w:val="-34"/>
        </w:rPr>
        <w:t> </w:t>
      </w:r>
      <w:r>
        <w:rPr/>
        <w:t>the</w:t>
      </w:r>
      <w:r>
        <w:rPr>
          <w:spacing w:val="-34"/>
        </w:rPr>
        <w:t> </w:t>
      </w:r>
      <w:r>
        <w:rPr/>
        <w:t>subject</w:t>
      </w:r>
      <w:r>
        <w:rPr>
          <w:spacing w:val="-33"/>
        </w:rPr>
        <w:t> </w:t>
      </w:r>
      <w:r>
        <w:rPr/>
        <w:t>property</w:t>
      </w:r>
      <w:r>
        <w:rPr>
          <w:spacing w:val="-35"/>
        </w:rPr>
        <w:t> </w:t>
      </w:r>
      <w:r>
        <w:rPr/>
        <w:t>has</w:t>
      </w:r>
      <w:r>
        <w:rPr>
          <w:spacing w:val="-33"/>
        </w:rPr>
        <w:t> </w:t>
      </w:r>
      <w:r>
        <w:rPr/>
        <w:t>been</w:t>
      </w:r>
      <w:r>
        <w:rPr>
          <w:spacing w:val="-34"/>
        </w:rPr>
        <w:t> </w:t>
      </w:r>
      <w:r>
        <w:rPr/>
        <w:t>assessed</w:t>
      </w:r>
      <w:r>
        <w:rPr>
          <w:spacing w:val="-33"/>
        </w:rPr>
        <w:t> </w:t>
      </w:r>
      <w:r>
        <w:rPr/>
        <w:t>through</w:t>
      </w:r>
      <w:r>
        <w:rPr>
          <w:spacing w:val="-34"/>
        </w:rPr>
        <w:t> </w:t>
      </w:r>
      <w:r>
        <w:rPr/>
        <w:t>the</w:t>
      </w:r>
      <w:r>
        <w:rPr>
          <w:spacing w:val="-34"/>
        </w:rPr>
        <w:t> </w:t>
      </w:r>
      <w:r>
        <w:rPr/>
        <w:t>following</w:t>
      </w:r>
      <w:r>
        <w:rPr>
          <w:spacing w:val="-34"/>
        </w:rPr>
        <w:t> </w:t>
      </w:r>
      <w:r>
        <w:rPr/>
        <w:t>approaches:</w:t>
      </w:r>
    </w:p>
    <w:p>
      <w:pPr>
        <w:pStyle w:val="BodyText"/>
        <w:spacing w:before="4"/>
        <w:rPr>
          <w:sz w:val="20"/>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31"/>
        <w:gridCol w:w="6954"/>
      </w:tblGrid>
      <w:tr>
        <w:trPr>
          <w:trHeight w:val="432" w:hRule="atLeast"/>
        </w:trPr>
        <w:tc>
          <w:tcPr>
            <w:tcW w:w="10485" w:type="dxa"/>
            <w:gridSpan w:val="2"/>
            <w:tcBorders>
              <w:top w:val="single" w:sz="6" w:space="0" w:color="69BD28"/>
            </w:tcBorders>
            <w:shd w:val="clear" w:color="auto" w:fill="006A4D"/>
          </w:tcPr>
          <w:p>
            <w:pPr>
              <w:pStyle w:val="TableParagraph"/>
              <w:tabs>
                <w:tab w:pos="4455" w:val="left" w:leader="none"/>
                <w:tab w:pos="7288" w:val="left" w:leader="none"/>
              </w:tabs>
              <w:spacing w:line="156" w:lineRule="auto" w:before="23"/>
              <w:ind w:left="1279"/>
              <w:jc w:val="left"/>
              <w:rPr>
                <w:b/>
                <w:sz w:val="18"/>
              </w:rPr>
            </w:pPr>
            <w:r>
              <w:rPr>
                <w:b/>
                <w:color w:val="FFFFFF"/>
                <w:w w:val="110"/>
                <w:position w:val="-10"/>
                <w:sz w:val="18"/>
              </w:rPr>
              <w:t>Particulars</w:t>
              <w:tab/>
              <w:t>Completed</w:t>
            </w:r>
            <w:r>
              <w:rPr>
                <w:b/>
                <w:color w:val="FFFFFF"/>
                <w:spacing w:val="-13"/>
                <w:w w:val="110"/>
                <w:position w:val="-10"/>
                <w:sz w:val="18"/>
              </w:rPr>
              <w:t> </w:t>
            </w:r>
            <w:r>
              <w:rPr>
                <w:b/>
                <w:color w:val="FFFFFF"/>
                <w:w w:val="110"/>
                <w:position w:val="-10"/>
                <w:sz w:val="18"/>
              </w:rPr>
              <w:t>Blocks</w:t>
              <w:tab/>
            </w:r>
            <w:r>
              <w:rPr>
                <w:b/>
                <w:color w:val="FFFFFF"/>
                <w:w w:val="110"/>
                <w:sz w:val="18"/>
              </w:rPr>
              <w:t>Under Construction/ Land</w:t>
            </w:r>
            <w:r>
              <w:rPr>
                <w:b/>
                <w:color w:val="FFFFFF"/>
                <w:spacing w:val="-24"/>
                <w:w w:val="110"/>
                <w:sz w:val="18"/>
              </w:rPr>
              <w:t> </w:t>
            </w:r>
            <w:r>
              <w:rPr>
                <w:b/>
                <w:color w:val="FFFFFF"/>
                <w:w w:val="110"/>
                <w:sz w:val="18"/>
              </w:rPr>
              <w:t>Stage</w:t>
            </w:r>
          </w:p>
          <w:p>
            <w:pPr>
              <w:pStyle w:val="TableParagraph"/>
              <w:spacing w:line="141" w:lineRule="exact"/>
              <w:ind w:right="1451"/>
              <w:jc w:val="right"/>
              <w:rPr>
                <w:b/>
                <w:sz w:val="18"/>
              </w:rPr>
            </w:pPr>
            <w:r>
              <w:rPr>
                <w:b/>
                <w:color w:val="FFFFFF"/>
                <w:w w:val="105"/>
                <w:sz w:val="18"/>
              </w:rPr>
              <w:t>Blocks</w:t>
            </w:r>
          </w:p>
        </w:tc>
      </w:tr>
      <w:tr>
        <w:trPr>
          <w:trHeight w:val="791" w:hRule="atLeast"/>
        </w:trPr>
        <w:tc>
          <w:tcPr>
            <w:tcW w:w="3531" w:type="dxa"/>
            <w:shd w:val="clear" w:color="auto" w:fill="69BD28"/>
          </w:tcPr>
          <w:p>
            <w:pPr>
              <w:pStyle w:val="TableParagraph"/>
              <w:spacing w:before="1"/>
              <w:jc w:val="left"/>
              <w:rPr>
                <w:sz w:val="25"/>
              </w:rPr>
            </w:pPr>
          </w:p>
          <w:p>
            <w:pPr>
              <w:pStyle w:val="TableParagraph"/>
              <w:ind w:left="703"/>
              <w:jc w:val="left"/>
              <w:rPr>
                <w:b/>
                <w:sz w:val="18"/>
              </w:rPr>
            </w:pPr>
            <w:r>
              <w:rPr>
                <w:b/>
                <w:color w:val="FFFFFF"/>
                <w:w w:val="110"/>
                <w:sz w:val="18"/>
              </w:rPr>
              <w:t>Valuation Methodology</w:t>
            </w:r>
          </w:p>
        </w:tc>
        <w:tc>
          <w:tcPr>
            <w:tcW w:w="6954" w:type="dxa"/>
            <w:tcBorders>
              <w:top w:val="single" w:sz="6" w:space="0" w:color="69BD28"/>
              <w:bottom w:val="single" w:sz="6" w:space="0" w:color="69BD28"/>
            </w:tcBorders>
          </w:tcPr>
          <w:p>
            <w:pPr>
              <w:pStyle w:val="TableParagraph"/>
              <w:spacing w:line="336" w:lineRule="exact" w:before="23"/>
              <w:ind w:left="1584" w:hanging="1222"/>
              <w:jc w:val="left"/>
              <w:rPr>
                <w:sz w:val="18"/>
              </w:rPr>
            </w:pPr>
            <w:r>
              <w:rPr>
                <w:sz w:val="18"/>
              </w:rPr>
              <w:t>Office</w:t>
            </w:r>
            <w:r>
              <w:rPr>
                <w:spacing w:val="-15"/>
                <w:sz w:val="18"/>
              </w:rPr>
              <w:t> </w:t>
            </w:r>
            <w:r>
              <w:rPr>
                <w:sz w:val="18"/>
              </w:rPr>
              <w:t>&amp;</w:t>
            </w:r>
            <w:r>
              <w:rPr>
                <w:spacing w:val="-16"/>
                <w:sz w:val="18"/>
              </w:rPr>
              <w:t> </w:t>
            </w:r>
            <w:r>
              <w:rPr>
                <w:sz w:val="18"/>
              </w:rPr>
              <w:t>Retail</w:t>
            </w:r>
            <w:r>
              <w:rPr>
                <w:spacing w:val="-15"/>
                <w:sz w:val="18"/>
              </w:rPr>
              <w:t> </w:t>
            </w:r>
            <w:r>
              <w:rPr>
                <w:sz w:val="18"/>
              </w:rPr>
              <w:t>-</w:t>
            </w:r>
            <w:r>
              <w:rPr>
                <w:spacing w:val="-15"/>
                <w:sz w:val="18"/>
              </w:rPr>
              <w:t> </w:t>
            </w:r>
            <w:r>
              <w:rPr>
                <w:sz w:val="18"/>
              </w:rPr>
              <w:t>Discounted</w:t>
            </w:r>
            <w:r>
              <w:rPr>
                <w:spacing w:val="-16"/>
                <w:sz w:val="18"/>
              </w:rPr>
              <w:t> </w:t>
            </w:r>
            <w:r>
              <w:rPr>
                <w:sz w:val="18"/>
              </w:rPr>
              <w:t>Cash</w:t>
            </w:r>
            <w:r>
              <w:rPr>
                <w:spacing w:val="-15"/>
                <w:sz w:val="18"/>
              </w:rPr>
              <w:t> </w:t>
            </w:r>
            <w:r>
              <w:rPr>
                <w:sz w:val="18"/>
              </w:rPr>
              <w:t>Flow</w:t>
            </w:r>
            <w:r>
              <w:rPr>
                <w:spacing w:val="-16"/>
                <w:sz w:val="18"/>
              </w:rPr>
              <w:t> </w:t>
            </w:r>
            <w:r>
              <w:rPr>
                <w:sz w:val="18"/>
              </w:rPr>
              <w:t>Method</w:t>
            </w:r>
            <w:r>
              <w:rPr>
                <w:spacing w:val="-16"/>
                <w:sz w:val="18"/>
              </w:rPr>
              <w:t> </w:t>
            </w:r>
            <w:r>
              <w:rPr>
                <w:sz w:val="18"/>
              </w:rPr>
              <w:t>(using</w:t>
            </w:r>
            <w:r>
              <w:rPr>
                <w:spacing w:val="-16"/>
                <w:sz w:val="18"/>
              </w:rPr>
              <w:t> </w:t>
            </w:r>
            <w:r>
              <w:rPr>
                <w:sz w:val="18"/>
              </w:rPr>
              <w:t>rent</w:t>
            </w:r>
            <w:r>
              <w:rPr>
                <w:spacing w:val="-16"/>
                <w:sz w:val="18"/>
              </w:rPr>
              <w:t> </w:t>
            </w:r>
            <w:r>
              <w:rPr>
                <w:sz w:val="18"/>
              </w:rPr>
              <w:t>reversion</w:t>
            </w:r>
            <w:r>
              <w:rPr>
                <w:spacing w:val="-15"/>
                <w:sz w:val="18"/>
              </w:rPr>
              <w:t> </w:t>
            </w:r>
            <w:r>
              <w:rPr>
                <w:sz w:val="18"/>
              </w:rPr>
              <w:t>approach) Proposed Hotel - Discounted Cash Flow</w:t>
            </w:r>
            <w:r>
              <w:rPr>
                <w:spacing w:val="-17"/>
                <w:sz w:val="18"/>
              </w:rPr>
              <w:t> </w:t>
            </w:r>
            <w:r>
              <w:rPr>
                <w:sz w:val="18"/>
              </w:rPr>
              <w:t>Method</w:t>
            </w:r>
          </w:p>
        </w:tc>
      </w:tr>
    </w:tbl>
    <w:p>
      <w:pPr>
        <w:pStyle w:val="BodyText"/>
        <w:rPr>
          <w:sz w:val="21"/>
        </w:rPr>
      </w:pPr>
    </w:p>
    <w:p>
      <w:pPr>
        <w:pStyle w:val="BodyText"/>
        <w:spacing w:line="321" w:lineRule="auto"/>
        <w:ind w:left="760" w:right="195"/>
        <w:jc w:val="both"/>
      </w:pPr>
      <w:r>
        <w:rPr/>
        <w:t>The</w:t>
      </w:r>
      <w:r>
        <w:rPr>
          <w:spacing w:val="-23"/>
        </w:rPr>
        <w:t> </w:t>
      </w:r>
      <w:r>
        <w:rPr/>
        <w:t>sections</w:t>
      </w:r>
      <w:r>
        <w:rPr>
          <w:spacing w:val="-22"/>
        </w:rPr>
        <w:t> </w:t>
      </w:r>
      <w:r>
        <w:rPr/>
        <w:t>below</w:t>
      </w:r>
      <w:r>
        <w:rPr>
          <w:spacing w:val="-21"/>
        </w:rPr>
        <w:t> </w:t>
      </w:r>
      <w:r>
        <w:rPr/>
        <w:t>highlight</w:t>
      </w:r>
      <w:r>
        <w:rPr>
          <w:spacing w:val="-23"/>
        </w:rPr>
        <w:t> </w:t>
      </w:r>
      <w:r>
        <w:rPr/>
        <w:t>detailed</w:t>
      </w:r>
      <w:r>
        <w:rPr>
          <w:spacing w:val="-21"/>
        </w:rPr>
        <w:t> </w:t>
      </w:r>
      <w:r>
        <w:rPr/>
        <w:t>valuation</w:t>
      </w:r>
      <w:r>
        <w:rPr>
          <w:spacing w:val="-22"/>
        </w:rPr>
        <w:t> </w:t>
      </w:r>
      <w:r>
        <w:rPr/>
        <w:t>workings</w:t>
      </w:r>
      <w:r>
        <w:rPr>
          <w:spacing w:val="-21"/>
        </w:rPr>
        <w:t> </w:t>
      </w:r>
      <w:r>
        <w:rPr/>
        <w:t>for</w:t>
      </w:r>
      <w:r>
        <w:rPr>
          <w:spacing w:val="-22"/>
        </w:rPr>
        <w:t> </w:t>
      </w:r>
      <w:r>
        <w:rPr/>
        <w:t>the</w:t>
      </w:r>
      <w:r>
        <w:rPr>
          <w:spacing w:val="-23"/>
        </w:rPr>
        <w:t> </w:t>
      </w:r>
      <w:r>
        <w:rPr/>
        <w:t>subject</w:t>
      </w:r>
      <w:r>
        <w:rPr>
          <w:spacing w:val="-23"/>
        </w:rPr>
        <w:t> </w:t>
      </w:r>
      <w:r>
        <w:rPr/>
        <w:t>property.</w:t>
      </w:r>
      <w:r>
        <w:rPr>
          <w:spacing w:val="-18"/>
        </w:rPr>
        <w:t> </w:t>
      </w:r>
      <w:r>
        <w:rPr/>
        <w:t>Please</w:t>
      </w:r>
      <w:r>
        <w:rPr>
          <w:spacing w:val="-23"/>
        </w:rPr>
        <w:t> </w:t>
      </w:r>
      <w:r>
        <w:rPr/>
        <w:t>note</w:t>
      </w:r>
      <w:r>
        <w:rPr>
          <w:spacing w:val="-21"/>
        </w:rPr>
        <w:t> </w:t>
      </w:r>
      <w:r>
        <w:rPr/>
        <w:t>that</w:t>
      </w:r>
      <w:r>
        <w:rPr>
          <w:spacing w:val="-23"/>
        </w:rPr>
        <w:t> </w:t>
      </w:r>
      <w:r>
        <w:rPr/>
        <w:t>the assumptions/</w:t>
      </w:r>
      <w:r>
        <w:rPr>
          <w:spacing w:val="-30"/>
        </w:rPr>
        <w:t> </w:t>
      </w:r>
      <w:r>
        <w:rPr/>
        <w:t>opinions</w:t>
      </w:r>
      <w:r>
        <w:rPr>
          <w:spacing w:val="-28"/>
        </w:rPr>
        <w:t> </w:t>
      </w:r>
      <w:r>
        <w:rPr/>
        <w:t>highlighted</w:t>
      </w:r>
      <w:r>
        <w:rPr>
          <w:spacing w:val="-29"/>
        </w:rPr>
        <w:t> </w:t>
      </w:r>
      <w:r>
        <w:rPr/>
        <w:t>in</w:t>
      </w:r>
      <w:r>
        <w:rPr>
          <w:spacing w:val="-29"/>
        </w:rPr>
        <w:t> </w:t>
      </w:r>
      <w:r>
        <w:rPr/>
        <w:t>the</w:t>
      </w:r>
      <w:r>
        <w:rPr>
          <w:spacing w:val="-30"/>
        </w:rPr>
        <w:t> </w:t>
      </w:r>
      <w:r>
        <w:rPr/>
        <w:t>subsequent</w:t>
      </w:r>
      <w:r>
        <w:rPr>
          <w:spacing w:val="-28"/>
        </w:rPr>
        <w:t> </w:t>
      </w:r>
      <w:r>
        <w:rPr/>
        <w:t>sections</w:t>
      </w:r>
      <w:r>
        <w:rPr>
          <w:spacing w:val="-29"/>
        </w:rPr>
        <w:t> </w:t>
      </w:r>
      <w:r>
        <w:rPr/>
        <w:t>are</w:t>
      </w:r>
      <w:r>
        <w:rPr>
          <w:spacing w:val="-29"/>
        </w:rPr>
        <w:t> </w:t>
      </w:r>
      <w:r>
        <w:rPr/>
        <w:t>to</w:t>
      </w:r>
      <w:r>
        <w:rPr>
          <w:spacing w:val="-29"/>
        </w:rPr>
        <w:t> </w:t>
      </w:r>
      <w:r>
        <w:rPr/>
        <w:t>be</w:t>
      </w:r>
      <w:r>
        <w:rPr>
          <w:spacing w:val="-30"/>
        </w:rPr>
        <w:t> </w:t>
      </w:r>
      <w:r>
        <w:rPr/>
        <w:t>read</w:t>
      </w:r>
      <w:r>
        <w:rPr>
          <w:spacing w:val="-28"/>
        </w:rPr>
        <w:t> </w:t>
      </w:r>
      <w:r>
        <w:rPr/>
        <w:t>in</w:t>
      </w:r>
      <w:r>
        <w:rPr>
          <w:spacing w:val="-24"/>
        </w:rPr>
        <w:t> </w:t>
      </w:r>
      <w:r>
        <w:rPr/>
        <w:t>conjunction</w:t>
      </w:r>
      <w:r>
        <w:rPr>
          <w:spacing w:val="-30"/>
        </w:rPr>
        <w:t> </w:t>
      </w:r>
      <w:r>
        <w:rPr/>
        <w:t>with</w:t>
      </w:r>
      <w:r>
        <w:rPr>
          <w:spacing w:val="-29"/>
        </w:rPr>
        <w:t> </w:t>
      </w:r>
      <w:r>
        <w:rPr/>
        <w:t>Section</w:t>
      </w:r>
    </w:p>
    <w:p>
      <w:pPr>
        <w:pStyle w:val="BodyText"/>
        <w:spacing w:before="2"/>
        <w:ind w:left="760"/>
      </w:pPr>
      <w:r>
        <w:rPr/>
        <w:t>1.11 and the following:</w:t>
      </w:r>
    </w:p>
    <w:p>
      <w:pPr>
        <w:pStyle w:val="BodyText"/>
        <w:spacing w:before="3"/>
        <w:rPr>
          <w:sz w:val="28"/>
        </w:rPr>
      </w:pPr>
    </w:p>
    <w:p>
      <w:pPr>
        <w:spacing w:line="321" w:lineRule="auto" w:before="0"/>
        <w:ind w:left="760" w:right="19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spacing w:before="9"/>
        <w:rPr>
          <w:i/>
          <w:sz w:val="20"/>
        </w:rPr>
      </w:pPr>
    </w:p>
    <w:p>
      <w:pPr>
        <w:pStyle w:val="ListParagraph"/>
        <w:numPr>
          <w:ilvl w:val="0"/>
          <w:numId w:val="29"/>
        </w:numPr>
        <w:tabs>
          <w:tab w:pos="1665" w:val="left" w:leader="none"/>
          <w:tab w:pos="1666" w:val="left" w:leader="none"/>
        </w:tabs>
        <w:spacing w:line="240" w:lineRule="auto" w:before="0" w:after="0"/>
        <w:ind w:left="1665" w:right="0" w:hanging="361"/>
        <w:jc w:val="left"/>
        <w:rPr>
          <w:i/>
          <w:sz w:val="22"/>
        </w:rPr>
      </w:pPr>
      <w:r>
        <w:rPr>
          <w:i/>
          <w:sz w:val="22"/>
        </w:rPr>
        <w:t>Limited/</w:t>
      </w:r>
      <w:r>
        <w:rPr>
          <w:i/>
          <w:spacing w:val="-17"/>
          <w:sz w:val="22"/>
        </w:rPr>
        <w:t> </w:t>
      </w:r>
      <w:r>
        <w:rPr>
          <w:i/>
          <w:sz w:val="22"/>
        </w:rPr>
        <w:t>no</w:t>
      </w:r>
      <w:r>
        <w:rPr>
          <w:i/>
          <w:spacing w:val="-16"/>
          <w:sz w:val="22"/>
        </w:rPr>
        <w:t> </w:t>
      </w:r>
      <w:r>
        <w:rPr>
          <w:i/>
          <w:sz w:val="22"/>
        </w:rPr>
        <w:t>growth</w:t>
      </w:r>
      <w:r>
        <w:rPr>
          <w:i/>
          <w:spacing w:val="-17"/>
          <w:sz w:val="22"/>
        </w:rPr>
        <w:t> </w:t>
      </w:r>
      <w:r>
        <w:rPr>
          <w:i/>
          <w:sz w:val="22"/>
        </w:rPr>
        <w:t>in</w:t>
      </w:r>
      <w:r>
        <w:rPr>
          <w:i/>
          <w:spacing w:val="-19"/>
          <w:sz w:val="22"/>
        </w:rPr>
        <w:t> </w:t>
      </w:r>
      <w:r>
        <w:rPr>
          <w:i/>
          <w:sz w:val="22"/>
        </w:rPr>
        <w:t>rent</w:t>
      </w:r>
      <w:r>
        <w:rPr>
          <w:i/>
          <w:spacing w:val="-15"/>
          <w:sz w:val="22"/>
        </w:rPr>
        <w:t> </w:t>
      </w:r>
      <w:r>
        <w:rPr>
          <w:i/>
          <w:sz w:val="22"/>
        </w:rPr>
        <w:t>and</w:t>
      </w:r>
      <w:r>
        <w:rPr>
          <w:i/>
          <w:spacing w:val="-19"/>
          <w:sz w:val="22"/>
        </w:rPr>
        <w:t> </w:t>
      </w:r>
      <w:r>
        <w:rPr>
          <w:i/>
          <w:sz w:val="22"/>
        </w:rPr>
        <w:t>ARR</w:t>
      </w:r>
      <w:r>
        <w:rPr>
          <w:i/>
          <w:spacing w:val="-16"/>
          <w:sz w:val="22"/>
        </w:rPr>
        <w:t> </w:t>
      </w:r>
      <w:r>
        <w:rPr>
          <w:i/>
          <w:sz w:val="22"/>
        </w:rPr>
        <w:t>has</w:t>
      </w:r>
      <w:r>
        <w:rPr>
          <w:i/>
          <w:spacing w:val="-16"/>
          <w:sz w:val="22"/>
        </w:rPr>
        <w:t> </w:t>
      </w:r>
      <w:r>
        <w:rPr>
          <w:i/>
          <w:sz w:val="22"/>
        </w:rPr>
        <w:t>been</w:t>
      </w:r>
      <w:r>
        <w:rPr>
          <w:i/>
          <w:spacing w:val="-18"/>
          <w:sz w:val="22"/>
        </w:rPr>
        <w:t> </w:t>
      </w:r>
      <w:r>
        <w:rPr>
          <w:i/>
          <w:sz w:val="22"/>
        </w:rPr>
        <w:t>considered</w:t>
      </w:r>
      <w:r>
        <w:rPr>
          <w:i/>
          <w:spacing w:val="-16"/>
          <w:sz w:val="22"/>
        </w:rPr>
        <w:t> </w:t>
      </w:r>
      <w:r>
        <w:rPr>
          <w:i/>
          <w:sz w:val="22"/>
        </w:rPr>
        <w:t>over</w:t>
      </w:r>
      <w:r>
        <w:rPr>
          <w:i/>
          <w:spacing w:val="-16"/>
          <w:sz w:val="22"/>
        </w:rPr>
        <w:t> </w:t>
      </w:r>
      <w:r>
        <w:rPr>
          <w:i/>
          <w:sz w:val="22"/>
        </w:rPr>
        <w:t>the</w:t>
      </w:r>
      <w:r>
        <w:rPr>
          <w:i/>
          <w:spacing w:val="-17"/>
          <w:sz w:val="22"/>
        </w:rPr>
        <w:t> </w:t>
      </w:r>
      <w:r>
        <w:rPr>
          <w:i/>
          <w:sz w:val="22"/>
        </w:rPr>
        <w:t>next</w:t>
      </w:r>
      <w:r>
        <w:rPr>
          <w:i/>
          <w:spacing w:val="-19"/>
          <w:sz w:val="22"/>
        </w:rPr>
        <w:t> </w:t>
      </w:r>
      <w:r>
        <w:rPr>
          <w:i/>
          <w:sz w:val="22"/>
        </w:rPr>
        <w:t>few</w:t>
      </w:r>
      <w:r>
        <w:rPr>
          <w:i/>
          <w:spacing w:val="-17"/>
          <w:sz w:val="22"/>
        </w:rPr>
        <w:t> </w:t>
      </w:r>
      <w:r>
        <w:rPr>
          <w:i/>
          <w:sz w:val="22"/>
        </w:rPr>
        <w:t>quarters</w:t>
      </w:r>
    </w:p>
    <w:p>
      <w:pPr>
        <w:pStyle w:val="ListParagraph"/>
        <w:numPr>
          <w:ilvl w:val="0"/>
          <w:numId w:val="29"/>
        </w:numPr>
        <w:tabs>
          <w:tab w:pos="1665" w:val="left" w:leader="none"/>
          <w:tab w:pos="1666" w:val="left" w:leader="none"/>
        </w:tabs>
        <w:spacing w:line="240" w:lineRule="auto" w:before="30" w:after="0"/>
        <w:ind w:left="1665" w:right="0" w:hanging="361"/>
        <w:jc w:val="left"/>
        <w:rPr>
          <w:i/>
          <w:sz w:val="22"/>
        </w:rPr>
      </w:pPr>
      <w:r>
        <w:rPr>
          <w:i/>
          <w:sz w:val="22"/>
        </w:rPr>
        <w:t>Construction</w:t>
      </w:r>
      <w:r>
        <w:rPr>
          <w:i/>
          <w:spacing w:val="-12"/>
          <w:sz w:val="22"/>
        </w:rPr>
        <w:t> </w:t>
      </w:r>
      <w:r>
        <w:rPr>
          <w:i/>
          <w:sz w:val="22"/>
        </w:rPr>
        <w:t>timelines</w:t>
      </w:r>
      <w:r>
        <w:rPr>
          <w:i/>
          <w:spacing w:val="-13"/>
          <w:sz w:val="22"/>
        </w:rPr>
        <w:t> </w:t>
      </w:r>
      <w:r>
        <w:rPr>
          <w:i/>
          <w:sz w:val="22"/>
        </w:rPr>
        <w:t>have</w:t>
      </w:r>
      <w:r>
        <w:rPr>
          <w:i/>
          <w:spacing w:val="-10"/>
          <w:sz w:val="22"/>
        </w:rPr>
        <w:t> </w:t>
      </w:r>
      <w:r>
        <w:rPr>
          <w:i/>
          <w:sz w:val="22"/>
        </w:rPr>
        <w:t>been</w:t>
      </w:r>
      <w:r>
        <w:rPr>
          <w:i/>
          <w:spacing w:val="-13"/>
          <w:sz w:val="22"/>
        </w:rPr>
        <w:t> </w:t>
      </w:r>
      <w:r>
        <w:rPr>
          <w:i/>
          <w:sz w:val="22"/>
        </w:rPr>
        <w:t>delayed</w:t>
      </w:r>
      <w:r>
        <w:rPr>
          <w:i/>
          <w:spacing w:val="-13"/>
          <w:sz w:val="22"/>
        </w:rPr>
        <w:t> </w:t>
      </w:r>
      <w:r>
        <w:rPr>
          <w:i/>
          <w:sz w:val="22"/>
        </w:rPr>
        <w:t>from</w:t>
      </w:r>
      <w:r>
        <w:rPr>
          <w:i/>
          <w:spacing w:val="-11"/>
          <w:sz w:val="22"/>
        </w:rPr>
        <w:t> </w:t>
      </w:r>
      <w:r>
        <w:rPr>
          <w:i/>
          <w:sz w:val="22"/>
        </w:rPr>
        <w:t>the</w:t>
      </w:r>
      <w:r>
        <w:rPr>
          <w:i/>
          <w:spacing w:val="-13"/>
          <w:sz w:val="22"/>
        </w:rPr>
        <w:t> </w:t>
      </w:r>
      <w:r>
        <w:rPr>
          <w:i/>
          <w:sz w:val="22"/>
        </w:rPr>
        <w:t>earlier</w:t>
      </w:r>
      <w:r>
        <w:rPr>
          <w:i/>
          <w:spacing w:val="-12"/>
          <w:sz w:val="22"/>
        </w:rPr>
        <w:t> </w:t>
      </w:r>
      <w:r>
        <w:rPr>
          <w:i/>
          <w:sz w:val="22"/>
        </w:rPr>
        <w:t>estimates</w:t>
      </w:r>
    </w:p>
    <w:p>
      <w:pPr>
        <w:pStyle w:val="ListParagraph"/>
        <w:numPr>
          <w:ilvl w:val="0"/>
          <w:numId w:val="29"/>
        </w:numPr>
        <w:tabs>
          <w:tab w:pos="1665" w:val="left" w:leader="none"/>
          <w:tab w:pos="1666" w:val="left" w:leader="none"/>
        </w:tabs>
        <w:spacing w:line="266" w:lineRule="auto" w:before="31" w:after="0"/>
        <w:ind w:left="1665" w:right="192" w:hanging="360"/>
        <w:jc w:val="left"/>
        <w:rPr>
          <w:i/>
          <w:sz w:val="22"/>
        </w:rPr>
      </w:pPr>
      <w:r>
        <w:rPr>
          <w:i/>
          <w:sz w:val="22"/>
        </w:rPr>
        <w:t>Considering</w:t>
      </w:r>
      <w:r>
        <w:rPr>
          <w:i/>
          <w:spacing w:val="-44"/>
          <w:sz w:val="22"/>
        </w:rPr>
        <w:t> </w:t>
      </w:r>
      <w:r>
        <w:rPr>
          <w:i/>
          <w:sz w:val="22"/>
        </w:rPr>
        <w:t>challenges</w:t>
      </w:r>
      <w:r>
        <w:rPr>
          <w:i/>
          <w:spacing w:val="-42"/>
          <w:sz w:val="22"/>
        </w:rPr>
        <w:t> </w:t>
      </w:r>
      <w:r>
        <w:rPr>
          <w:i/>
          <w:sz w:val="22"/>
        </w:rPr>
        <w:t>in</w:t>
      </w:r>
      <w:r>
        <w:rPr>
          <w:i/>
          <w:spacing w:val="-43"/>
          <w:sz w:val="22"/>
        </w:rPr>
        <w:t> </w:t>
      </w:r>
      <w:r>
        <w:rPr>
          <w:i/>
          <w:sz w:val="22"/>
        </w:rPr>
        <w:t>the</w:t>
      </w:r>
      <w:r>
        <w:rPr>
          <w:i/>
          <w:spacing w:val="-42"/>
          <w:sz w:val="22"/>
        </w:rPr>
        <w:t> </w:t>
      </w:r>
      <w:r>
        <w:rPr>
          <w:i/>
          <w:sz w:val="22"/>
        </w:rPr>
        <w:t>short</w:t>
      </w:r>
      <w:r>
        <w:rPr>
          <w:i/>
          <w:spacing w:val="-43"/>
          <w:sz w:val="22"/>
        </w:rPr>
        <w:t> </w:t>
      </w:r>
      <w:r>
        <w:rPr>
          <w:i/>
          <w:sz w:val="22"/>
        </w:rPr>
        <w:t>term,</w:t>
      </w:r>
      <w:r>
        <w:rPr>
          <w:i/>
          <w:spacing w:val="-41"/>
          <w:sz w:val="22"/>
        </w:rPr>
        <w:t> </w:t>
      </w:r>
      <w:r>
        <w:rPr>
          <w:i/>
          <w:sz w:val="22"/>
        </w:rPr>
        <w:t>timelines</w:t>
      </w:r>
      <w:r>
        <w:rPr>
          <w:i/>
          <w:spacing w:val="-44"/>
          <w:sz w:val="22"/>
        </w:rPr>
        <w:t> </w:t>
      </w:r>
      <w:r>
        <w:rPr>
          <w:i/>
          <w:sz w:val="22"/>
        </w:rPr>
        <w:t>have</w:t>
      </w:r>
      <w:r>
        <w:rPr>
          <w:i/>
          <w:spacing w:val="-41"/>
          <w:sz w:val="22"/>
        </w:rPr>
        <w:t> </w:t>
      </w:r>
      <w:r>
        <w:rPr>
          <w:i/>
          <w:sz w:val="22"/>
        </w:rPr>
        <w:t>been</w:t>
      </w:r>
      <w:r>
        <w:rPr>
          <w:i/>
          <w:spacing w:val="-43"/>
          <w:sz w:val="22"/>
        </w:rPr>
        <w:t> </w:t>
      </w:r>
      <w:r>
        <w:rPr>
          <w:i/>
          <w:sz w:val="22"/>
        </w:rPr>
        <w:t>extended</w:t>
      </w:r>
      <w:r>
        <w:rPr>
          <w:i/>
          <w:spacing w:val="-42"/>
          <w:sz w:val="22"/>
        </w:rPr>
        <w:t> </w:t>
      </w:r>
      <w:r>
        <w:rPr>
          <w:i/>
          <w:sz w:val="22"/>
        </w:rPr>
        <w:t>for</w:t>
      </w:r>
      <w:r>
        <w:rPr>
          <w:i/>
          <w:spacing w:val="-43"/>
          <w:sz w:val="22"/>
        </w:rPr>
        <w:t> </w:t>
      </w:r>
      <w:r>
        <w:rPr>
          <w:i/>
          <w:sz w:val="22"/>
        </w:rPr>
        <w:t>new</w:t>
      </w:r>
      <w:r>
        <w:rPr>
          <w:i/>
          <w:spacing w:val="-42"/>
          <w:sz w:val="22"/>
        </w:rPr>
        <w:t> </w:t>
      </w:r>
      <w:r>
        <w:rPr>
          <w:i/>
          <w:sz w:val="22"/>
        </w:rPr>
        <w:t>space</w:t>
      </w:r>
      <w:r>
        <w:rPr>
          <w:i/>
          <w:spacing w:val="-43"/>
          <w:sz w:val="22"/>
        </w:rPr>
        <w:t> </w:t>
      </w:r>
      <w:r>
        <w:rPr>
          <w:i/>
          <w:sz w:val="22"/>
        </w:rPr>
        <w:t>take-up/ </w:t>
      </w:r>
      <w:r>
        <w:rPr>
          <w:i/>
          <w:sz w:val="22"/>
        </w:rPr>
        <w:t>future</w:t>
      </w:r>
      <w:r>
        <w:rPr>
          <w:i/>
          <w:spacing w:val="-3"/>
          <w:sz w:val="22"/>
        </w:rPr>
        <w:t> </w:t>
      </w:r>
      <w:r>
        <w:rPr>
          <w:i/>
          <w:sz w:val="22"/>
        </w:rPr>
        <w:t>leasing</w:t>
      </w:r>
    </w:p>
    <w:p>
      <w:pPr>
        <w:pStyle w:val="ListParagraph"/>
        <w:numPr>
          <w:ilvl w:val="0"/>
          <w:numId w:val="29"/>
        </w:numPr>
        <w:tabs>
          <w:tab w:pos="1665" w:val="left" w:leader="none"/>
          <w:tab w:pos="1666" w:val="left" w:leader="none"/>
        </w:tabs>
        <w:spacing w:line="266" w:lineRule="auto" w:before="1" w:after="0"/>
        <w:ind w:left="1665" w:right="191" w:hanging="360"/>
        <w:jc w:val="left"/>
        <w:rPr>
          <w:i/>
          <w:sz w:val="22"/>
        </w:rPr>
      </w:pPr>
      <w:r>
        <w:rPr>
          <w:i/>
          <w:sz w:val="22"/>
        </w:rPr>
        <w:t>Additional</w:t>
      </w:r>
      <w:r>
        <w:rPr>
          <w:i/>
          <w:spacing w:val="-28"/>
          <w:sz w:val="22"/>
        </w:rPr>
        <w:t> </w:t>
      </w:r>
      <w:r>
        <w:rPr>
          <w:i/>
          <w:sz w:val="22"/>
        </w:rPr>
        <w:t>fit-out</w:t>
      </w:r>
      <w:r>
        <w:rPr>
          <w:i/>
          <w:spacing w:val="-27"/>
          <w:sz w:val="22"/>
        </w:rPr>
        <w:t> </w:t>
      </w:r>
      <w:r>
        <w:rPr>
          <w:i/>
          <w:sz w:val="22"/>
        </w:rPr>
        <w:t>period/</w:t>
      </w:r>
      <w:r>
        <w:rPr>
          <w:i/>
          <w:spacing w:val="-27"/>
          <w:sz w:val="22"/>
        </w:rPr>
        <w:t> </w:t>
      </w:r>
      <w:r>
        <w:rPr>
          <w:i/>
          <w:sz w:val="22"/>
        </w:rPr>
        <w:t>rent</w:t>
      </w:r>
      <w:r>
        <w:rPr>
          <w:i/>
          <w:spacing w:val="-28"/>
          <w:sz w:val="22"/>
        </w:rPr>
        <w:t> </w:t>
      </w:r>
      <w:r>
        <w:rPr>
          <w:i/>
          <w:sz w:val="22"/>
        </w:rPr>
        <w:t>free</w:t>
      </w:r>
      <w:r>
        <w:rPr>
          <w:i/>
          <w:spacing w:val="-27"/>
          <w:sz w:val="22"/>
        </w:rPr>
        <w:t> </w:t>
      </w:r>
      <w:r>
        <w:rPr>
          <w:i/>
          <w:sz w:val="22"/>
        </w:rPr>
        <w:t>months</w:t>
      </w:r>
      <w:r>
        <w:rPr>
          <w:i/>
          <w:spacing w:val="-26"/>
          <w:sz w:val="22"/>
        </w:rPr>
        <w:t> </w:t>
      </w:r>
      <w:r>
        <w:rPr>
          <w:i/>
          <w:sz w:val="22"/>
        </w:rPr>
        <w:t>have</w:t>
      </w:r>
      <w:r>
        <w:rPr>
          <w:i/>
          <w:spacing w:val="-27"/>
          <w:sz w:val="22"/>
        </w:rPr>
        <w:t> </w:t>
      </w:r>
      <w:r>
        <w:rPr>
          <w:i/>
          <w:sz w:val="22"/>
        </w:rPr>
        <w:t>been</w:t>
      </w:r>
      <w:r>
        <w:rPr>
          <w:i/>
          <w:spacing w:val="-27"/>
          <w:sz w:val="22"/>
        </w:rPr>
        <w:t> </w:t>
      </w:r>
      <w:r>
        <w:rPr>
          <w:i/>
          <w:sz w:val="22"/>
        </w:rPr>
        <w:t>incorporated</w:t>
      </w:r>
      <w:r>
        <w:rPr>
          <w:i/>
          <w:spacing w:val="-28"/>
          <w:sz w:val="22"/>
        </w:rPr>
        <w:t> </w:t>
      </w:r>
      <w:r>
        <w:rPr>
          <w:i/>
          <w:sz w:val="22"/>
        </w:rPr>
        <w:t>where</w:t>
      </w:r>
      <w:r>
        <w:rPr>
          <w:i/>
          <w:spacing w:val="-27"/>
          <w:sz w:val="22"/>
        </w:rPr>
        <w:t> </w:t>
      </w:r>
      <w:r>
        <w:rPr>
          <w:i/>
          <w:sz w:val="22"/>
        </w:rPr>
        <w:t>fit-out</w:t>
      </w:r>
      <w:r>
        <w:rPr>
          <w:i/>
          <w:spacing w:val="-28"/>
          <w:sz w:val="22"/>
        </w:rPr>
        <w:t> </w:t>
      </w:r>
      <w:r>
        <w:rPr>
          <w:i/>
          <w:sz w:val="22"/>
        </w:rPr>
        <w:t>works</w:t>
      </w:r>
      <w:r>
        <w:rPr>
          <w:i/>
          <w:spacing w:val="-27"/>
          <w:sz w:val="22"/>
        </w:rPr>
        <w:t> </w:t>
      </w:r>
      <w:r>
        <w:rPr>
          <w:i/>
          <w:sz w:val="22"/>
        </w:rPr>
        <w:t>have </w:t>
      </w:r>
      <w:r>
        <w:rPr>
          <w:i/>
          <w:sz w:val="22"/>
        </w:rPr>
        <w:t>commenced”</w:t>
      </w:r>
    </w:p>
    <w:p>
      <w:pPr>
        <w:pStyle w:val="BodyText"/>
        <w:spacing w:before="10"/>
        <w:rPr>
          <w:i/>
          <w:sz w:val="2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62" w:id="124"/>
      <w:bookmarkEnd w:id="124"/>
      <w:r>
        <w:rPr/>
      </w:r>
      <w:bookmarkStart w:name="_bookmark62" w:id="125"/>
      <w:bookmarkEnd w:id="125"/>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8" w:after="10"/>
        <w:ind w:left="786" w:right="197"/>
        <w:jc w:val="both"/>
      </w:pPr>
      <w:r>
        <w:rPr/>
        <w:t>Based</w:t>
      </w:r>
      <w:r>
        <w:rPr>
          <w:spacing w:val="-35"/>
        </w:rPr>
        <w:t> </w:t>
      </w:r>
      <w:r>
        <w:rPr/>
        <w:t>on</w:t>
      </w:r>
      <w:r>
        <w:rPr>
          <w:spacing w:val="-36"/>
        </w:rPr>
        <w:t> </w:t>
      </w:r>
      <w:r>
        <w:rPr/>
        <w:t>information,</w:t>
      </w:r>
      <w:r>
        <w:rPr>
          <w:spacing w:val="-35"/>
        </w:rPr>
        <w:t> </w:t>
      </w:r>
      <w:r>
        <w:rPr/>
        <w:t>rent</w:t>
      </w:r>
      <w:r>
        <w:rPr>
          <w:spacing w:val="-35"/>
        </w:rPr>
        <w:t> </w:t>
      </w:r>
      <w:r>
        <w:rPr/>
        <w:t>roll,</w:t>
      </w:r>
      <w:r>
        <w:rPr>
          <w:spacing w:val="-34"/>
        </w:rPr>
        <w:t> </w:t>
      </w:r>
      <w:r>
        <w:rPr/>
        <w:t>lease</w:t>
      </w:r>
      <w:r>
        <w:rPr>
          <w:spacing w:val="-35"/>
        </w:rPr>
        <w:t> </w:t>
      </w:r>
      <w:r>
        <w:rPr/>
        <w:t>deeds,</w:t>
      </w:r>
      <w:r>
        <w:rPr>
          <w:spacing w:val="-36"/>
        </w:rPr>
        <w:t> </w:t>
      </w:r>
      <w:r>
        <w:rPr/>
        <w:t>architect</w:t>
      </w:r>
      <w:r>
        <w:rPr>
          <w:spacing w:val="-35"/>
        </w:rPr>
        <w:t> </w:t>
      </w:r>
      <w:r>
        <w:rPr/>
        <w:t>certificate</w:t>
      </w:r>
      <w:r>
        <w:rPr>
          <w:spacing w:val="-34"/>
        </w:rPr>
        <w:t> </w:t>
      </w:r>
      <w:r>
        <w:rPr/>
        <w:t>provided</w:t>
      </w:r>
      <w:r>
        <w:rPr>
          <w:spacing w:val="-35"/>
        </w:rPr>
        <w:t> </w:t>
      </w:r>
      <w:r>
        <w:rPr/>
        <w:t>by</w:t>
      </w:r>
      <w:r>
        <w:rPr>
          <w:spacing w:val="-34"/>
        </w:rPr>
        <w:t> </w:t>
      </w:r>
      <w:r>
        <w:rPr/>
        <w:t>the</w:t>
      </w:r>
      <w:r>
        <w:rPr>
          <w:spacing w:val="-35"/>
        </w:rPr>
        <w:t> </w:t>
      </w:r>
      <w:r>
        <w:rPr/>
        <w:t>Client,</w:t>
      </w:r>
      <w:r>
        <w:rPr>
          <w:spacing w:val="-36"/>
        </w:rPr>
        <w:t> </w:t>
      </w:r>
      <w:r>
        <w:rPr/>
        <w:t>we</w:t>
      </w:r>
      <w:r>
        <w:rPr>
          <w:spacing w:val="-35"/>
        </w:rPr>
        <w:t> </w:t>
      </w:r>
      <w:r>
        <w:rPr/>
        <w:t>understand that</w:t>
      </w:r>
      <w:r>
        <w:rPr>
          <w:spacing w:val="-30"/>
        </w:rPr>
        <w:t> </w:t>
      </w:r>
      <w:r>
        <w:rPr/>
        <w:t>subject</w:t>
      </w:r>
      <w:r>
        <w:rPr>
          <w:spacing w:val="-29"/>
        </w:rPr>
        <w:t> </w:t>
      </w:r>
      <w:r>
        <w:rPr/>
        <w:t>property</w:t>
      </w:r>
      <w:r>
        <w:rPr>
          <w:spacing w:val="-29"/>
        </w:rPr>
        <w:t> </w:t>
      </w:r>
      <w:r>
        <w:rPr/>
        <w:t>is</w:t>
      </w:r>
      <w:r>
        <w:rPr>
          <w:spacing w:val="-27"/>
        </w:rPr>
        <w:t> </w:t>
      </w:r>
      <w:r>
        <w:rPr/>
        <w:t>an</w:t>
      </w:r>
      <w:r>
        <w:rPr>
          <w:spacing w:val="-30"/>
        </w:rPr>
        <w:t> </w:t>
      </w:r>
      <w:r>
        <w:rPr/>
        <w:t>Office</w:t>
      </w:r>
      <w:r>
        <w:rPr>
          <w:spacing w:val="-30"/>
        </w:rPr>
        <w:t> </w:t>
      </w:r>
      <w:r>
        <w:rPr/>
        <w:t>Park.</w:t>
      </w:r>
      <w:r>
        <w:rPr>
          <w:spacing w:val="-29"/>
        </w:rPr>
        <w:t> </w:t>
      </w:r>
      <w:r>
        <w:rPr/>
        <w:t>Further,</w:t>
      </w:r>
      <w:r>
        <w:rPr>
          <w:spacing w:val="-30"/>
        </w:rPr>
        <w:t> </w:t>
      </w:r>
      <w:r>
        <w:rPr/>
        <w:t>the</w:t>
      </w:r>
      <w:r>
        <w:rPr>
          <w:spacing w:val="-29"/>
        </w:rPr>
        <w:t> </w:t>
      </w:r>
      <w:r>
        <w:rPr/>
        <w:t>table</w:t>
      </w:r>
      <w:r>
        <w:rPr>
          <w:spacing w:val="-30"/>
        </w:rPr>
        <w:t> </w:t>
      </w:r>
      <w:r>
        <w:rPr/>
        <w:t>below</w:t>
      </w:r>
      <w:r>
        <w:rPr>
          <w:spacing w:val="-29"/>
        </w:rPr>
        <w:t> </w:t>
      </w:r>
      <w:r>
        <w:rPr/>
        <w:t>highlights</w:t>
      </w:r>
      <w:r>
        <w:rPr>
          <w:spacing w:val="-29"/>
        </w:rPr>
        <w:t> </w:t>
      </w:r>
      <w:r>
        <w:rPr/>
        <w:t>the</w:t>
      </w:r>
      <w:r>
        <w:rPr>
          <w:spacing w:val="-30"/>
        </w:rPr>
        <w:t> </w:t>
      </w:r>
      <w:r>
        <w:rPr/>
        <w:t>area</w:t>
      </w:r>
      <w:r>
        <w:rPr>
          <w:spacing w:val="-29"/>
        </w:rPr>
        <w:t> </w:t>
      </w:r>
      <w:r>
        <w:rPr/>
        <w:t>configuration</w:t>
      </w:r>
      <w:r>
        <w:rPr>
          <w:spacing w:val="-28"/>
        </w:rPr>
        <w:t> </w:t>
      </w:r>
      <w:r>
        <w:rPr/>
        <w:t>of</w:t>
      </w:r>
      <w:r>
        <w:rPr>
          <w:spacing w:val="-28"/>
        </w:rPr>
        <w:t> </w:t>
      </w:r>
      <w:r>
        <w:rPr/>
        <w:t>the subject</w:t>
      </w:r>
      <w:r>
        <w:rPr>
          <w:spacing w:val="-3"/>
        </w:rPr>
        <w:t> </w:t>
      </w:r>
      <w:r>
        <w:rPr/>
        <w:t>property:</w:t>
      </w: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00"/>
        <w:gridCol w:w="2643"/>
        <w:gridCol w:w="1731"/>
        <w:gridCol w:w="2216"/>
        <w:gridCol w:w="1394"/>
      </w:tblGrid>
      <w:tr>
        <w:trPr>
          <w:trHeight w:val="433" w:hRule="atLeast"/>
        </w:trPr>
        <w:tc>
          <w:tcPr>
            <w:tcW w:w="2500" w:type="dxa"/>
            <w:tcBorders>
              <w:top w:val="single" w:sz="12" w:space="0" w:color="1F6B16"/>
              <w:bottom w:val="single" w:sz="6" w:space="0" w:color="69BD28"/>
            </w:tcBorders>
            <w:shd w:val="clear" w:color="auto" w:fill="006A4D"/>
          </w:tcPr>
          <w:p>
            <w:pPr>
              <w:pStyle w:val="TableParagraph"/>
              <w:spacing w:before="113"/>
              <w:ind w:left="295" w:right="372"/>
              <w:rPr>
                <w:b/>
                <w:sz w:val="18"/>
              </w:rPr>
            </w:pPr>
            <w:r>
              <w:rPr>
                <w:b/>
                <w:color w:val="FFFFFF"/>
                <w:w w:val="110"/>
                <w:sz w:val="18"/>
              </w:rPr>
              <w:t>Block</w:t>
            </w:r>
          </w:p>
        </w:tc>
        <w:tc>
          <w:tcPr>
            <w:tcW w:w="2643" w:type="dxa"/>
            <w:tcBorders>
              <w:top w:val="single" w:sz="12" w:space="0" w:color="1F6B16"/>
              <w:bottom w:val="single" w:sz="6" w:space="0" w:color="69BD28"/>
            </w:tcBorders>
            <w:shd w:val="clear" w:color="auto" w:fill="006A4D"/>
          </w:tcPr>
          <w:p>
            <w:pPr>
              <w:pStyle w:val="TableParagraph"/>
              <w:spacing w:line="216" w:lineRule="exact" w:before="2"/>
              <w:ind w:left="935" w:right="929" w:firstLine="2"/>
              <w:rPr>
                <w:b/>
                <w:sz w:val="18"/>
              </w:rPr>
            </w:pPr>
            <w:r>
              <w:rPr>
                <w:b/>
                <w:color w:val="FFFFFF"/>
                <w:w w:val="105"/>
                <w:sz w:val="18"/>
              </w:rPr>
              <w:t>Total Area (sf)</w:t>
            </w:r>
          </w:p>
        </w:tc>
        <w:tc>
          <w:tcPr>
            <w:tcW w:w="1731" w:type="dxa"/>
            <w:tcBorders>
              <w:top w:val="single" w:sz="12" w:space="0" w:color="1F6B16"/>
              <w:bottom w:val="single" w:sz="6" w:space="0" w:color="69BD28"/>
            </w:tcBorders>
            <w:shd w:val="clear" w:color="auto" w:fill="006A4D"/>
          </w:tcPr>
          <w:p>
            <w:pPr>
              <w:pStyle w:val="TableParagraph"/>
              <w:spacing w:line="216" w:lineRule="exact" w:before="2"/>
              <w:ind w:left="455" w:hanging="58"/>
              <w:jc w:val="left"/>
              <w:rPr>
                <w:b/>
                <w:sz w:val="18"/>
              </w:rPr>
            </w:pPr>
            <w:r>
              <w:rPr>
                <w:b/>
                <w:color w:val="FFFFFF"/>
                <w:w w:val="110"/>
                <w:sz w:val="18"/>
              </w:rPr>
              <w:t>Operational area (in sf)</w:t>
            </w:r>
          </w:p>
        </w:tc>
        <w:tc>
          <w:tcPr>
            <w:tcW w:w="2216" w:type="dxa"/>
            <w:tcBorders>
              <w:top w:val="single" w:sz="12" w:space="0" w:color="1F6B16"/>
              <w:bottom w:val="single" w:sz="6" w:space="0" w:color="69BD28"/>
            </w:tcBorders>
            <w:shd w:val="clear" w:color="auto" w:fill="006A4D"/>
          </w:tcPr>
          <w:p>
            <w:pPr>
              <w:pStyle w:val="TableParagraph"/>
              <w:spacing w:line="216" w:lineRule="exact" w:before="2"/>
              <w:ind w:left="651" w:hanging="375"/>
              <w:jc w:val="left"/>
              <w:rPr>
                <w:b/>
                <w:sz w:val="18"/>
              </w:rPr>
            </w:pPr>
            <w:r>
              <w:rPr>
                <w:b/>
                <w:color w:val="FFFFFF"/>
                <w:w w:val="105"/>
                <w:sz w:val="18"/>
              </w:rPr>
              <w:t>Under Construction area (in sf)</w:t>
            </w:r>
          </w:p>
        </w:tc>
        <w:tc>
          <w:tcPr>
            <w:tcW w:w="1394" w:type="dxa"/>
            <w:tcBorders>
              <w:top w:val="single" w:sz="12" w:space="0" w:color="1F6B16"/>
              <w:bottom w:val="single" w:sz="6" w:space="0" w:color="69BD28"/>
            </w:tcBorders>
            <w:shd w:val="clear" w:color="auto" w:fill="006A4D"/>
          </w:tcPr>
          <w:p>
            <w:pPr>
              <w:pStyle w:val="TableParagraph"/>
              <w:spacing w:line="216" w:lineRule="exact" w:before="2"/>
              <w:ind w:left="205" w:firstLine="72"/>
              <w:jc w:val="left"/>
              <w:rPr>
                <w:b/>
                <w:sz w:val="18"/>
              </w:rPr>
            </w:pPr>
            <w:r>
              <w:rPr>
                <w:b/>
                <w:color w:val="FFFFFF"/>
                <w:w w:val="110"/>
                <w:sz w:val="18"/>
              </w:rPr>
              <w:t>Proposed area (in sf)</w:t>
            </w:r>
          </w:p>
        </w:tc>
      </w:tr>
      <w:tr>
        <w:trPr>
          <w:trHeight w:val="258" w:hRule="atLeast"/>
        </w:trPr>
        <w:tc>
          <w:tcPr>
            <w:tcW w:w="2500" w:type="dxa"/>
            <w:tcBorders>
              <w:top w:val="single" w:sz="6" w:space="0" w:color="69BD28"/>
              <w:bottom w:val="single" w:sz="6" w:space="0" w:color="69BD28"/>
            </w:tcBorders>
          </w:tcPr>
          <w:p>
            <w:pPr>
              <w:pStyle w:val="TableParagraph"/>
              <w:spacing w:before="24"/>
              <w:ind w:left="291" w:right="372"/>
              <w:rPr>
                <w:sz w:val="18"/>
              </w:rPr>
            </w:pPr>
            <w:r>
              <w:rPr>
                <w:sz w:val="18"/>
              </w:rPr>
              <w:t>SEZ Area</w:t>
            </w:r>
          </w:p>
        </w:tc>
        <w:tc>
          <w:tcPr>
            <w:tcW w:w="2643" w:type="dxa"/>
            <w:tcBorders>
              <w:top w:val="single" w:sz="6" w:space="0" w:color="69BD28"/>
              <w:bottom w:val="single" w:sz="6" w:space="0" w:color="69BD28"/>
            </w:tcBorders>
          </w:tcPr>
          <w:p>
            <w:pPr>
              <w:pStyle w:val="TableParagraph"/>
              <w:spacing w:before="24"/>
              <w:ind w:left="846"/>
              <w:jc w:val="left"/>
              <w:rPr>
                <w:sz w:val="18"/>
              </w:rPr>
            </w:pPr>
            <w:r>
              <w:rPr>
                <w:w w:val="105"/>
                <w:sz w:val="18"/>
              </w:rPr>
              <w:t>10,650,357</w:t>
            </w:r>
          </w:p>
        </w:tc>
        <w:tc>
          <w:tcPr>
            <w:tcW w:w="1731" w:type="dxa"/>
            <w:tcBorders>
              <w:top w:val="single" w:sz="6" w:space="0" w:color="69BD28"/>
              <w:bottom w:val="single" w:sz="6" w:space="0" w:color="69BD28"/>
            </w:tcBorders>
          </w:tcPr>
          <w:p>
            <w:pPr>
              <w:pStyle w:val="TableParagraph"/>
              <w:spacing w:before="24"/>
              <w:ind w:left="527"/>
              <w:jc w:val="left"/>
              <w:rPr>
                <w:sz w:val="18"/>
              </w:rPr>
            </w:pPr>
            <w:r>
              <w:rPr>
                <w:w w:val="105"/>
                <w:sz w:val="18"/>
              </w:rPr>
              <w:t>8,347,511</w:t>
            </w:r>
          </w:p>
        </w:tc>
        <w:tc>
          <w:tcPr>
            <w:tcW w:w="2216" w:type="dxa"/>
            <w:tcBorders>
              <w:top w:val="single" w:sz="6" w:space="0" w:color="69BD28"/>
              <w:bottom w:val="single" w:sz="6" w:space="0" w:color="69BD28"/>
            </w:tcBorders>
          </w:tcPr>
          <w:p>
            <w:pPr>
              <w:pStyle w:val="TableParagraph"/>
              <w:spacing w:before="24"/>
              <w:ind w:left="201" w:right="122"/>
              <w:rPr>
                <w:sz w:val="18"/>
              </w:rPr>
            </w:pPr>
            <w:r>
              <w:rPr>
                <w:w w:val="105"/>
                <w:sz w:val="18"/>
              </w:rPr>
              <w:t>1,594,846</w:t>
            </w:r>
          </w:p>
        </w:tc>
        <w:tc>
          <w:tcPr>
            <w:tcW w:w="1394" w:type="dxa"/>
            <w:tcBorders>
              <w:top w:val="single" w:sz="6" w:space="0" w:color="69BD28"/>
              <w:bottom w:val="single" w:sz="6" w:space="0" w:color="69BD28"/>
            </w:tcBorders>
          </w:tcPr>
          <w:p>
            <w:pPr>
              <w:pStyle w:val="TableParagraph"/>
              <w:spacing w:before="24"/>
              <w:ind w:left="265" w:right="253"/>
              <w:rPr>
                <w:sz w:val="18"/>
              </w:rPr>
            </w:pPr>
            <w:r>
              <w:rPr>
                <w:w w:val="110"/>
                <w:sz w:val="18"/>
              </w:rPr>
              <w:t>708,000</w:t>
            </w:r>
          </w:p>
        </w:tc>
      </w:tr>
      <w:tr>
        <w:trPr>
          <w:trHeight w:val="258" w:hRule="atLeast"/>
        </w:trPr>
        <w:tc>
          <w:tcPr>
            <w:tcW w:w="2500" w:type="dxa"/>
            <w:tcBorders>
              <w:top w:val="single" w:sz="6" w:space="0" w:color="69BD28"/>
              <w:bottom w:val="single" w:sz="6" w:space="0" w:color="69BD28"/>
            </w:tcBorders>
          </w:tcPr>
          <w:p>
            <w:pPr>
              <w:pStyle w:val="TableParagraph"/>
              <w:spacing w:before="25"/>
              <w:ind w:left="294" w:right="372"/>
              <w:rPr>
                <w:sz w:val="18"/>
              </w:rPr>
            </w:pPr>
            <w:r>
              <w:rPr>
                <w:w w:val="110"/>
                <w:sz w:val="18"/>
              </w:rPr>
              <w:t>Non – SEZ Area</w:t>
            </w:r>
          </w:p>
        </w:tc>
        <w:tc>
          <w:tcPr>
            <w:tcW w:w="2643" w:type="dxa"/>
            <w:tcBorders>
              <w:top w:val="single" w:sz="6" w:space="0" w:color="69BD28"/>
              <w:bottom w:val="single" w:sz="6" w:space="0" w:color="69BD28"/>
            </w:tcBorders>
          </w:tcPr>
          <w:p>
            <w:pPr>
              <w:pStyle w:val="TableParagraph"/>
              <w:spacing w:before="25"/>
              <w:ind w:left="899"/>
              <w:jc w:val="left"/>
              <w:rPr>
                <w:sz w:val="18"/>
              </w:rPr>
            </w:pPr>
            <w:r>
              <w:rPr>
                <w:w w:val="105"/>
                <w:sz w:val="18"/>
              </w:rPr>
              <w:t>4,111,213</w:t>
            </w:r>
          </w:p>
        </w:tc>
        <w:tc>
          <w:tcPr>
            <w:tcW w:w="1731" w:type="dxa"/>
            <w:tcBorders>
              <w:top w:val="single" w:sz="6" w:space="0" w:color="69BD28"/>
              <w:bottom w:val="single" w:sz="6" w:space="0" w:color="69BD28"/>
            </w:tcBorders>
          </w:tcPr>
          <w:p>
            <w:pPr>
              <w:pStyle w:val="TableParagraph"/>
              <w:spacing w:before="25"/>
              <w:ind w:left="527"/>
              <w:jc w:val="left"/>
              <w:rPr>
                <w:sz w:val="18"/>
              </w:rPr>
            </w:pPr>
            <w:r>
              <w:rPr>
                <w:w w:val="105"/>
                <w:sz w:val="18"/>
              </w:rPr>
              <w:t>3,403,663</w:t>
            </w:r>
          </w:p>
        </w:tc>
        <w:tc>
          <w:tcPr>
            <w:tcW w:w="2216" w:type="dxa"/>
            <w:tcBorders>
              <w:top w:val="single" w:sz="6" w:space="0" w:color="69BD28"/>
              <w:bottom w:val="single" w:sz="6" w:space="0" w:color="69BD28"/>
            </w:tcBorders>
          </w:tcPr>
          <w:p>
            <w:pPr>
              <w:pStyle w:val="TableParagraph"/>
              <w:spacing w:before="25"/>
              <w:ind w:left="85"/>
              <w:rPr>
                <w:sz w:val="18"/>
              </w:rPr>
            </w:pPr>
            <w:r>
              <w:rPr>
                <w:w w:val="99"/>
                <w:sz w:val="18"/>
              </w:rPr>
              <w:t>-</w:t>
            </w:r>
          </w:p>
        </w:tc>
        <w:tc>
          <w:tcPr>
            <w:tcW w:w="1394" w:type="dxa"/>
            <w:tcBorders>
              <w:top w:val="single" w:sz="6" w:space="0" w:color="69BD28"/>
              <w:bottom w:val="single" w:sz="6" w:space="0" w:color="69BD28"/>
            </w:tcBorders>
          </w:tcPr>
          <w:p>
            <w:pPr>
              <w:pStyle w:val="TableParagraph"/>
              <w:spacing w:before="25"/>
              <w:ind w:left="265" w:right="253"/>
              <w:rPr>
                <w:sz w:val="18"/>
              </w:rPr>
            </w:pPr>
            <w:r>
              <w:rPr>
                <w:w w:val="110"/>
                <w:sz w:val="18"/>
              </w:rPr>
              <w:t>707,550</w:t>
            </w:r>
          </w:p>
        </w:tc>
      </w:tr>
      <w:tr>
        <w:trPr>
          <w:trHeight w:val="258" w:hRule="atLeast"/>
        </w:trPr>
        <w:tc>
          <w:tcPr>
            <w:tcW w:w="2500" w:type="dxa"/>
            <w:tcBorders>
              <w:top w:val="single" w:sz="6" w:space="0" w:color="69BD28"/>
              <w:bottom w:val="single" w:sz="6" w:space="0" w:color="69BD28"/>
            </w:tcBorders>
          </w:tcPr>
          <w:p>
            <w:pPr>
              <w:pStyle w:val="TableParagraph"/>
              <w:spacing w:before="25"/>
              <w:ind w:left="292" w:right="372"/>
              <w:rPr>
                <w:sz w:val="18"/>
              </w:rPr>
            </w:pPr>
            <w:r>
              <w:rPr>
                <w:sz w:val="18"/>
              </w:rPr>
              <w:t>Retail</w:t>
            </w:r>
          </w:p>
        </w:tc>
        <w:tc>
          <w:tcPr>
            <w:tcW w:w="2643" w:type="dxa"/>
            <w:tcBorders>
              <w:top w:val="single" w:sz="6" w:space="0" w:color="69BD28"/>
              <w:bottom w:val="single" w:sz="6" w:space="0" w:color="69BD28"/>
            </w:tcBorders>
          </w:tcPr>
          <w:p>
            <w:pPr>
              <w:pStyle w:val="TableParagraph"/>
              <w:spacing w:before="25"/>
              <w:ind w:left="377" w:right="371"/>
              <w:rPr>
                <w:sz w:val="18"/>
              </w:rPr>
            </w:pPr>
            <w:r>
              <w:rPr>
                <w:w w:val="110"/>
                <w:sz w:val="18"/>
              </w:rPr>
              <w:t>58,083</w:t>
            </w:r>
          </w:p>
        </w:tc>
        <w:tc>
          <w:tcPr>
            <w:tcW w:w="1731" w:type="dxa"/>
            <w:tcBorders>
              <w:top w:val="single" w:sz="6" w:space="0" w:color="69BD28"/>
              <w:bottom w:val="single" w:sz="6" w:space="0" w:color="69BD28"/>
            </w:tcBorders>
          </w:tcPr>
          <w:p>
            <w:pPr>
              <w:pStyle w:val="TableParagraph"/>
              <w:spacing w:before="25"/>
              <w:ind w:left="176"/>
              <w:rPr>
                <w:sz w:val="18"/>
              </w:rPr>
            </w:pPr>
            <w:r>
              <w:rPr>
                <w:w w:val="99"/>
                <w:sz w:val="18"/>
              </w:rPr>
              <w:t>-</w:t>
            </w:r>
          </w:p>
        </w:tc>
        <w:tc>
          <w:tcPr>
            <w:tcW w:w="2216" w:type="dxa"/>
            <w:tcBorders>
              <w:top w:val="single" w:sz="6" w:space="0" w:color="69BD28"/>
              <w:bottom w:val="single" w:sz="6" w:space="0" w:color="69BD28"/>
            </w:tcBorders>
          </w:tcPr>
          <w:p>
            <w:pPr>
              <w:pStyle w:val="TableParagraph"/>
              <w:spacing w:before="25"/>
              <w:ind w:left="202" w:right="120"/>
              <w:rPr>
                <w:sz w:val="18"/>
              </w:rPr>
            </w:pPr>
            <w:r>
              <w:rPr>
                <w:w w:val="110"/>
                <w:sz w:val="18"/>
              </w:rPr>
              <w:t>58,083</w:t>
            </w:r>
          </w:p>
        </w:tc>
        <w:tc>
          <w:tcPr>
            <w:tcW w:w="1394" w:type="dxa"/>
            <w:tcBorders>
              <w:top w:val="single" w:sz="6" w:space="0" w:color="69BD28"/>
              <w:bottom w:val="single" w:sz="6" w:space="0" w:color="69BD28"/>
            </w:tcBorders>
          </w:tcPr>
          <w:p>
            <w:pPr>
              <w:pStyle w:val="TableParagraph"/>
              <w:jc w:val="left"/>
              <w:rPr>
                <w:rFonts w:ascii="Times New Roman"/>
                <w:sz w:val="18"/>
              </w:rPr>
            </w:pPr>
          </w:p>
        </w:tc>
      </w:tr>
      <w:tr>
        <w:trPr>
          <w:trHeight w:val="258" w:hRule="atLeast"/>
        </w:trPr>
        <w:tc>
          <w:tcPr>
            <w:tcW w:w="2500" w:type="dxa"/>
            <w:tcBorders>
              <w:top w:val="single" w:sz="6" w:space="0" w:color="69BD28"/>
              <w:bottom w:val="single" w:sz="6" w:space="0" w:color="69BD28"/>
            </w:tcBorders>
          </w:tcPr>
          <w:p>
            <w:pPr>
              <w:pStyle w:val="TableParagraph"/>
              <w:spacing w:before="25"/>
              <w:ind w:left="292" w:right="372"/>
              <w:rPr>
                <w:sz w:val="18"/>
              </w:rPr>
            </w:pPr>
            <w:r>
              <w:rPr>
                <w:sz w:val="18"/>
              </w:rPr>
              <w:t>Total </w:t>
            </w:r>
            <w:r>
              <w:rPr>
                <w:w w:val="105"/>
                <w:sz w:val="18"/>
              </w:rPr>
              <w:t>– </w:t>
            </w:r>
            <w:r>
              <w:rPr>
                <w:sz w:val="18"/>
              </w:rPr>
              <w:t>Office/ Retail</w:t>
            </w:r>
          </w:p>
        </w:tc>
        <w:tc>
          <w:tcPr>
            <w:tcW w:w="2643" w:type="dxa"/>
            <w:tcBorders>
              <w:top w:val="single" w:sz="6" w:space="0" w:color="69BD28"/>
              <w:bottom w:val="single" w:sz="6" w:space="0" w:color="69BD28"/>
            </w:tcBorders>
          </w:tcPr>
          <w:p>
            <w:pPr>
              <w:pStyle w:val="TableParagraph"/>
              <w:spacing w:before="25"/>
              <w:ind w:left="846"/>
              <w:jc w:val="left"/>
              <w:rPr>
                <w:sz w:val="18"/>
              </w:rPr>
            </w:pPr>
            <w:r>
              <w:rPr>
                <w:w w:val="105"/>
                <w:sz w:val="18"/>
              </w:rPr>
              <w:t>14,819,653</w:t>
            </w:r>
          </w:p>
        </w:tc>
        <w:tc>
          <w:tcPr>
            <w:tcW w:w="1731" w:type="dxa"/>
            <w:tcBorders>
              <w:top w:val="single" w:sz="6" w:space="0" w:color="69BD28"/>
              <w:bottom w:val="single" w:sz="6" w:space="0" w:color="69BD28"/>
            </w:tcBorders>
          </w:tcPr>
          <w:p>
            <w:pPr>
              <w:pStyle w:val="TableParagraph"/>
              <w:spacing w:before="25"/>
              <w:ind w:left="474"/>
              <w:jc w:val="left"/>
              <w:rPr>
                <w:sz w:val="18"/>
              </w:rPr>
            </w:pPr>
            <w:r>
              <w:rPr>
                <w:w w:val="105"/>
                <w:sz w:val="18"/>
              </w:rPr>
              <w:t>11,751,174</w:t>
            </w:r>
          </w:p>
        </w:tc>
        <w:tc>
          <w:tcPr>
            <w:tcW w:w="2216" w:type="dxa"/>
            <w:tcBorders>
              <w:top w:val="single" w:sz="6" w:space="0" w:color="69BD28"/>
              <w:bottom w:val="single" w:sz="6" w:space="0" w:color="69BD28"/>
            </w:tcBorders>
          </w:tcPr>
          <w:p>
            <w:pPr>
              <w:pStyle w:val="TableParagraph"/>
              <w:spacing w:before="25"/>
              <w:ind w:left="202" w:right="120"/>
              <w:rPr>
                <w:sz w:val="18"/>
              </w:rPr>
            </w:pPr>
            <w:r>
              <w:rPr>
                <w:w w:val="105"/>
                <w:sz w:val="18"/>
              </w:rPr>
              <w:t>1,652,929</w:t>
            </w:r>
          </w:p>
        </w:tc>
        <w:tc>
          <w:tcPr>
            <w:tcW w:w="1394" w:type="dxa"/>
            <w:tcBorders>
              <w:top w:val="single" w:sz="6" w:space="0" w:color="69BD28"/>
              <w:bottom w:val="single" w:sz="6" w:space="0" w:color="69BD28"/>
            </w:tcBorders>
          </w:tcPr>
          <w:p>
            <w:pPr>
              <w:pStyle w:val="TableParagraph"/>
              <w:spacing w:before="25"/>
              <w:ind w:left="268" w:right="253"/>
              <w:rPr>
                <w:sz w:val="18"/>
              </w:rPr>
            </w:pPr>
            <w:r>
              <w:rPr>
                <w:w w:val="105"/>
                <w:sz w:val="18"/>
              </w:rPr>
              <w:t>1,415,550</w:t>
            </w:r>
          </w:p>
        </w:tc>
      </w:tr>
      <w:tr>
        <w:trPr>
          <w:trHeight w:val="649" w:hRule="atLeast"/>
        </w:trPr>
        <w:tc>
          <w:tcPr>
            <w:tcW w:w="2500" w:type="dxa"/>
            <w:tcBorders>
              <w:top w:val="single" w:sz="6" w:space="0" w:color="69BD28"/>
              <w:bottom w:val="single" w:sz="6" w:space="0" w:color="69BD28"/>
            </w:tcBorders>
          </w:tcPr>
          <w:p>
            <w:pPr>
              <w:pStyle w:val="TableParagraph"/>
              <w:spacing w:line="244" w:lineRule="auto" w:before="6"/>
              <w:ind w:left="372" w:right="326" w:firstLine="628"/>
              <w:jc w:val="left"/>
              <w:rPr>
                <w:sz w:val="18"/>
              </w:rPr>
            </w:pPr>
            <w:r>
              <w:rPr>
                <w:sz w:val="18"/>
              </w:rPr>
              <w:t>Hotel </w:t>
            </w:r>
            <w:r>
              <w:rPr>
                <w:w w:val="95"/>
                <w:sz w:val="18"/>
              </w:rPr>
              <w:t>(including convention</w:t>
            </w:r>
          </w:p>
          <w:p>
            <w:pPr>
              <w:pStyle w:val="TableParagraph"/>
              <w:spacing w:line="194" w:lineRule="exact" w:before="3"/>
              <w:ind w:left="946"/>
              <w:jc w:val="left"/>
              <w:rPr>
                <w:sz w:val="18"/>
              </w:rPr>
            </w:pPr>
            <w:r>
              <w:rPr>
                <w:sz w:val="18"/>
              </w:rPr>
              <w:t>centre)</w:t>
            </w:r>
          </w:p>
        </w:tc>
        <w:tc>
          <w:tcPr>
            <w:tcW w:w="2643" w:type="dxa"/>
            <w:tcBorders>
              <w:top w:val="single" w:sz="6" w:space="0" w:color="69BD28"/>
              <w:bottom w:val="single" w:sz="6" w:space="0" w:color="69BD28"/>
            </w:tcBorders>
          </w:tcPr>
          <w:p>
            <w:pPr>
              <w:pStyle w:val="TableParagraph"/>
              <w:spacing w:before="6"/>
              <w:ind w:left="377" w:right="373"/>
              <w:rPr>
                <w:sz w:val="18"/>
              </w:rPr>
            </w:pPr>
            <w:r>
              <w:rPr>
                <w:w w:val="105"/>
                <w:sz w:val="18"/>
              </w:rPr>
              <w:t>619 keys</w:t>
            </w:r>
          </w:p>
          <w:p>
            <w:pPr>
              <w:pStyle w:val="TableParagraph"/>
              <w:spacing w:before="4"/>
              <w:ind w:left="376" w:right="373"/>
              <w:rPr>
                <w:sz w:val="18"/>
              </w:rPr>
            </w:pPr>
            <w:r>
              <w:rPr>
                <w:sz w:val="18"/>
              </w:rPr>
              <w:t>(Hotel - 722,678</w:t>
            </w:r>
          </w:p>
          <w:p>
            <w:pPr>
              <w:pStyle w:val="TableParagraph"/>
              <w:spacing w:line="194" w:lineRule="exact" w:before="7"/>
              <w:ind w:left="377" w:right="373"/>
              <w:rPr>
                <w:sz w:val="18"/>
              </w:rPr>
            </w:pPr>
            <w:r>
              <w:rPr>
                <w:w w:val="110"/>
                <w:sz w:val="18"/>
              </w:rPr>
              <w:t>Convention – 58,000)</w:t>
            </w:r>
          </w:p>
        </w:tc>
        <w:tc>
          <w:tcPr>
            <w:tcW w:w="1731" w:type="dxa"/>
            <w:tcBorders>
              <w:top w:val="single" w:sz="6" w:space="0" w:color="69BD28"/>
              <w:bottom w:val="single" w:sz="6" w:space="0" w:color="69BD28"/>
            </w:tcBorders>
          </w:tcPr>
          <w:p>
            <w:pPr>
              <w:pStyle w:val="TableParagraph"/>
              <w:spacing w:before="10"/>
              <w:jc w:val="left"/>
              <w:rPr>
                <w:sz w:val="18"/>
              </w:rPr>
            </w:pPr>
          </w:p>
          <w:p>
            <w:pPr>
              <w:pStyle w:val="TableParagraph"/>
              <w:ind w:left="176"/>
              <w:rPr>
                <w:sz w:val="18"/>
              </w:rPr>
            </w:pPr>
            <w:r>
              <w:rPr>
                <w:w w:val="99"/>
                <w:sz w:val="18"/>
              </w:rPr>
              <w:t>-</w:t>
            </w:r>
          </w:p>
        </w:tc>
        <w:tc>
          <w:tcPr>
            <w:tcW w:w="2216" w:type="dxa"/>
            <w:tcBorders>
              <w:top w:val="single" w:sz="6" w:space="0" w:color="69BD28"/>
              <w:bottom w:val="single" w:sz="6" w:space="0" w:color="69BD28"/>
            </w:tcBorders>
          </w:tcPr>
          <w:p>
            <w:pPr>
              <w:pStyle w:val="TableParagraph"/>
              <w:spacing w:before="6"/>
              <w:ind w:left="202" w:right="122"/>
              <w:rPr>
                <w:sz w:val="18"/>
              </w:rPr>
            </w:pPr>
            <w:r>
              <w:rPr>
                <w:w w:val="105"/>
                <w:sz w:val="18"/>
              </w:rPr>
              <w:t>619 keys</w:t>
            </w:r>
          </w:p>
          <w:p>
            <w:pPr>
              <w:pStyle w:val="TableParagraph"/>
              <w:spacing w:before="4"/>
              <w:ind w:left="201" w:right="122"/>
              <w:rPr>
                <w:sz w:val="18"/>
              </w:rPr>
            </w:pPr>
            <w:r>
              <w:rPr>
                <w:sz w:val="18"/>
              </w:rPr>
              <w:t>(Hotel - 722,678</w:t>
            </w:r>
          </w:p>
          <w:p>
            <w:pPr>
              <w:pStyle w:val="TableParagraph"/>
              <w:spacing w:line="194" w:lineRule="exact" w:before="7"/>
              <w:ind w:left="202" w:right="122"/>
              <w:rPr>
                <w:sz w:val="18"/>
              </w:rPr>
            </w:pPr>
            <w:r>
              <w:rPr>
                <w:w w:val="110"/>
                <w:sz w:val="18"/>
              </w:rPr>
              <w:t>Convention – 58,000)</w:t>
            </w:r>
          </w:p>
        </w:tc>
        <w:tc>
          <w:tcPr>
            <w:tcW w:w="1394" w:type="dxa"/>
            <w:tcBorders>
              <w:top w:val="single" w:sz="6" w:space="0" w:color="69BD28"/>
              <w:bottom w:val="single" w:sz="6" w:space="0" w:color="69BD28"/>
            </w:tcBorders>
          </w:tcPr>
          <w:p>
            <w:pPr>
              <w:pStyle w:val="TableParagraph"/>
              <w:jc w:val="left"/>
              <w:rPr>
                <w:rFonts w:ascii="Times New Roman"/>
                <w:sz w:val="20"/>
              </w:rPr>
            </w:pPr>
          </w:p>
        </w:tc>
      </w:tr>
    </w:tbl>
    <w:p>
      <w:pPr>
        <w:spacing w:line="319" w:lineRule="auto" w:before="117"/>
        <w:ind w:left="220" w:right="0" w:firstLine="0"/>
        <w:jc w:val="left"/>
        <w:rPr>
          <w:sz w:val="18"/>
        </w:rPr>
      </w:pPr>
      <w:r>
        <w:rPr>
          <w:sz w:val="18"/>
        </w:rPr>
        <w:t>Source:</w:t>
      </w:r>
      <w:r>
        <w:rPr>
          <w:spacing w:val="-34"/>
          <w:sz w:val="18"/>
        </w:rPr>
        <w:t> </w:t>
      </w:r>
      <w:r>
        <w:rPr>
          <w:sz w:val="18"/>
        </w:rPr>
        <w:t>Architect</w:t>
      </w:r>
      <w:r>
        <w:rPr>
          <w:spacing w:val="-34"/>
          <w:sz w:val="18"/>
        </w:rPr>
        <w:t> </w:t>
      </w:r>
      <w:r>
        <w:rPr>
          <w:sz w:val="18"/>
        </w:rPr>
        <w:t>certificates,</w:t>
      </w:r>
      <w:r>
        <w:rPr>
          <w:spacing w:val="-34"/>
          <w:sz w:val="18"/>
        </w:rPr>
        <w:t> </w:t>
      </w:r>
      <w:r>
        <w:rPr>
          <w:sz w:val="18"/>
        </w:rPr>
        <w:t>rent</w:t>
      </w:r>
      <w:r>
        <w:rPr>
          <w:spacing w:val="-34"/>
          <w:sz w:val="18"/>
        </w:rPr>
        <w:t> </w:t>
      </w:r>
      <w:r>
        <w:rPr>
          <w:sz w:val="18"/>
        </w:rPr>
        <w:t>roll,</w:t>
      </w:r>
      <w:r>
        <w:rPr>
          <w:spacing w:val="-32"/>
          <w:sz w:val="18"/>
        </w:rPr>
        <w:t> </w:t>
      </w:r>
      <w:r>
        <w:rPr>
          <w:sz w:val="18"/>
        </w:rPr>
        <w:t>lease</w:t>
      </w:r>
      <w:r>
        <w:rPr>
          <w:spacing w:val="-33"/>
          <w:sz w:val="18"/>
        </w:rPr>
        <w:t> </w:t>
      </w:r>
      <w:r>
        <w:rPr>
          <w:sz w:val="18"/>
        </w:rPr>
        <w:t>deeds;</w:t>
      </w:r>
      <w:r>
        <w:rPr>
          <w:spacing w:val="-34"/>
          <w:sz w:val="18"/>
        </w:rPr>
        <w:t> </w:t>
      </w:r>
      <w:r>
        <w:rPr>
          <w:sz w:val="18"/>
        </w:rPr>
        <w:t>Note</w:t>
      </w:r>
      <w:r>
        <w:rPr>
          <w:spacing w:val="-31"/>
          <w:sz w:val="18"/>
        </w:rPr>
        <w:t> </w:t>
      </w:r>
      <w:r>
        <w:rPr>
          <w:w w:val="105"/>
          <w:sz w:val="18"/>
        </w:rPr>
        <w:t>–</w:t>
      </w:r>
      <w:r>
        <w:rPr>
          <w:spacing w:val="-36"/>
          <w:w w:val="105"/>
          <w:sz w:val="18"/>
        </w:rPr>
        <w:t> </w:t>
      </w:r>
      <w:r>
        <w:rPr>
          <w:sz w:val="18"/>
        </w:rPr>
        <w:t>office</w:t>
      </w:r>
      <w:r>
        <w:rPr>
          <w:spacing w:val="-33"/>
          <w:sz w:val="18"/>
        </w:rPr>
        <w:t> </w:t>
      </w:r>
      <w:r>
        <w:rPr>
          <w:sz w:val="18"/>
        </w:rPr>
        <w:t>&amp;</w:t>
      </w:r>
      <w:r>
        <w:rPr>
          <w:spacing w:val="-34"/>
          <w:sz w:val="18"/>
        </w:rPr>
        <w:t> </w:t>
      </w:r>
      <w:r>
        <w:rPr>
          <w:sz w:val="18"/>
        </w:rPr>
        <w:t>retail</w:t>
      </w:r>
      <w:r>
        <w:rPr>
          <w:spacing w:val="-33"/>
          <w:sz w:val="18"/>
        </w:rPr>
        <w:t> </w:t>
      </w:r>
      <w:r>
        <w:rPr>
          <w:sz w:val="18"/>
        </w:rPr>
        <w:t>refers</w:t>
      </w:r>
      <w:r>
        <w:rPr>
          <w:spacing w:val="-33"/>
          <w:sz w:val="18"/>
        </w:rPr>
        <w:t> </w:t>
      </w:r>
      <w:r>
        <w:rPr>
          <w:sz w:val="18"/>
        </w:rPr>
        <w:t>to</w:t>
      </w:r>
      <w:r>
        <w:rPr>
          <w:spacing w:val="-33"/>
          <w:sz w:val="18"/>
        </w:rPr>
        <w:t> </w:t>
      </w:r>
      <w:r>
        <w:rPr>
          <w:sz w:val="18"/>
        </w:rPr>
        <w:t>leasable</w:t>
      </w:r>
      <w:r>
        <w:rPr>
          <w:spacing w:val="-34"/>
          <w:sz w:val="18"/>
        </w:rPr>
        <w:t> </w:t>
      </w:r>
      <w:r>
        <w:rPr>
          <w:sz w:val="18"/>
        </w:rPr>
        <w:t>area</w:t>
      </w:r>
      <w:r>
        <w:rPr>
          <w:spacing w:val="-33"/>
          <w:sz w:val="18"/>
        </w:rPr>
        <w:t> </w:t>
      </w:r>
      <w:r>
        <w:rPr>
          <w:sz w:val="18"/>
        </w:rPr>
        <w:t>while</w:t>
      </w:r>
      <w:r>
        <w:rPr>
          <w:spacing w:val="-33"/>
          <w:sz w:val="18"/>
        </w:rPr>
        <w:t> </w:t>
      </w:r>
      <w:r>
        <w:rPr>
          <w:sz w:val="18"/>
        </w:rPr>
        <w:t>hotel</w:t>
      </w:r>
      <w:r>
        <w:rPr>
          <w:spacing w:val="-34"/>
          <w:sz w:val="18"/>
        </w:rPr>
        <w:t> </w:t>
      </w:r>
      <w:r>
        <w:rPr>
          <w:sz w:val="18"/>
        </w:rPr>
        <w:t>&amp;</w:t>
      </w:r>
      <w:r>
        <w:rPr>
          <w:spacing w:val="-34"/>
          <w:sz w:val="18"/>
        </w:rPr>
        <w:t> </w:t>
      </w:r>
      <w:r>
        <w:rPr>
          <w:sz w:val="18"/>
        </w:rPr>
        <w:t>convention</w:t>
      </w:r>
      <w:r>
        <w:rPr>
          <w:spacing w:val="-34"/>
          <w:sz w:val="18"/>
        </w:rPr>
        <w:t> </w:t>
      </w:r>
      <w:r>
        <w:rPr>
          <w:sz w:val="18"/>
        </w:rPr>
        <w:t>refers</w:t>
      </w:r>
      <w:r>
        <w:rPr>
          <w:spacing w:val="-33"/>
          <w:sz w:val="18"/>
        </w:rPr>
        <w:t> </w:t>
      </w:r>
      <w:r>
        <w:rPr>
          <w:sz w:val="18"/>
        </w:rPr>
        <w:t>to developable</w:t>
      </w:r>
      <w:r>
        <w:rPr>
          <w:spacing w:val="-2"/>
          <w:sz w:val="18"/>
        </w:rPr>
        <w:t> </w:t>
      </w:r>
      <w:r>
        <w:rPr>
          <w:sz w:val="18"/>
        </w:rPr>
        <w:t>area</w:t>
      </w:r>
    </w:p>
    <w:p>
      <w:pPr>
        <w:spacing w:after="0" w:line="319" w:lineRule="auto"/>
        <w:jc w:val="left"/>
        <w:rPr>
          <w:sz w:val="18"/>
        </w:rPr>
        <w:sectPr>
          <w:pgSz w:w="11910" w:h="16840"/>
          <w:pgMar w:header="720" w:footer="842" w:top="1660" w:bottom="1040" w:left="500" w:right="520"/>
        </w:sectPr>
      </w:pPr>
    </w:p>
    <w:p>
      <w:pPr>
        <w:pStyle w:val="BodyText"/>
        <w:spacing w:before="7"/>
        <w:rPr>
          <w:sz w:val="9"/>
        </w:rPr>
      </w:pPr>
    </w:p>
    <w:p>
      <w:pPr>
        <w:pStyle w:val="ListParagraph"/>
        <w:numPr>
          <w:ilvl w:val="2"/>
          <w:numId w:val="14"/>
        </w:numPr>
        <w:tabs>
          <w:tab w:pos="941" w:val="left" w:leader="none"/>
        </w:tabs>
        <w:spacing w:line="240" w:lineRule="auto" w:before="106" w:after="0"/>
        <w:ind w:left="940" w:right="0" w:hanging="721"/>
        <w:jc w:val="both"/>
        <w:rPr>
          <w:sz w:val="22"/>
        </w:rPr>
      </w:pPr>
      <w:bookmarkStart w:name="_bookmark63" w:id="126"/>
      <w:bookmarkEnd w:id="126"/>
      <w:r>
        <w:rPr/>
      </w:r>
      <w:bookmarkStart w:name="_bookmark63" w:id="127"/>
      <w:bookmarkEnd w:id="127"/>
      <w:r>
        <w:rPr>
          <w:color w:val="1F664D"/>
          <w:sz w:val="22"/>
        </w:rPr>
        <w:t>Con</w:t>
      </w:r>
      <w:r>
        <w:rPr>
          <w:color w:val="1F664D"/>
          <w:sz w:val="22"/>
        </w:rPr>
        <w:t>struction Timelines</w:t>
      </w:r>
    </w:p>
    <w:p>
      <w:pPr>
        <w:pStyle w:val="BodyText"/>
        <w:spacing w:before="6"/>
        <w:rPr>
          <w:sz w:val="25"/>
        </w:rPr>
      </w:pPr>
    </w:p>
    <w:p>
      <w:pPr>
        <w:pStyle w:val="ListParagraph"/>
        <w:numPr>
          <w:ilvl w:val="3"/>
          <w:numId w:val="30"/>
        </w:numPr>
        <w:tabs>
          <w:tab w:pos="1085" w:val="left" w:leader="none"/>
        </w:tabs>
        <w:spacing w:line="240" w:lineRule="auto" w:before="1" w:after="0"/>
        <w:ind w:left="1084" w:right="0" w:hanging="865"/>
        <w:jc w:val="both"/>
        <w:rPr>
          <w:i/>
          <w:sz w:val="20"/>
        </w:rPr>
      </w:pPr>
      <w:r>
        <w:rPr>
          <w:i/>
          <w:color w:val="008000"/>
          <w:sz w:val="20"/>
        </w:rPr>
        <w:t>Completed</w:t>
      </w:r>
      <w:r>
        <w:rPr>
          <w:i/>
          <w:color w:val="008000"/>
          <w:spacing w:val="-3"/>
          <w:sz w:val="20"/>
        </w:rPr>
        <w:t> </w:t>
      </w:r>
      <w:r>
        <w:rPr>
          <w:i/>
          <w:color w:val="008000"/>
          <w:sz w:val="20"/>
        </w:rPr>
        <w:t>Blocks</w:t>
      </w:r>
    </w:p>
    <w:p>
      <w:pPr>
        <w:pStyle w:val="BodyText"/>
        <w:spacing w:line="321" w:lineRule="auto" w:before="75"/>
        <w:ind w:left="786" w:right="195"/>
        <w:jc w:val="both"/>
      </w:pPr>
      <w:r>
        <w:rPr/>
        <w:t>As</w:t>
      </w:r>
      <w:r>
        <w:rPr>
          <w:spacing w:val="-41"/>
        </w:rPr>
        <w:t> </w:t>
      </w:r>
      <w:r>
        <w:rPr/>
        <w:t>highlighted</w:t>
      </w:r>
      <w:r>
        <w:rPr>
          <w:spacing w:val="-40"/>
        </w:rPr>
        <w:t> </w:t>
      </w:r>
      <w:r>
        <w:rPr/>
        <w:t>earlier,</w:t>
      </w:r>
      <w:r>
        <w:rPr>
          <w:spacing w:val="-41"/>
        </w:rPr>
        <w:t> </w:t>
      </w:r>
      <w:r>
        <w:rPr/>
        <w:t>the</w:t>
      </w:r>
      <w:r>
        <w:rPr>
          <w:spacing w:val="-40"/>
        </w:rPr>
        <w:t> </w:t>
      </w:r>
      <w:r>
        <w:rPr/>
        <w:t>subject</w:t>
      </w:r>
      <w:r>
        <w:rPr>
          <w:spacing w:val="-41"/>
        </w:rPr>
        <w:t> </w:t>
      </w:r>
      <w:r>
        <w:rPr/>
        <w:t>property</w:t>
      </w:r>
      <w:r>
        <w:rPr>
          <w:spacing w:val="-40"/>
        </w:rPr>
        <w:t> </w:t>
      </w:r>
      <w:r>
        <w:rPr/>
        <w:t>has</w:t>
      </w:r>
      <w:r>
        <w:rPr>
          <w:spacing w:val="-40"/>
        </w:rPr>
        <w:t> </w:t>
      </w:r>
      <w:r>
        <w:rPr/>
        <w:t>11.75</w:t>
      </w:r>
      <w:r>
        <w:rPr>
          <w:spacing w:val="-41"/>
        </w:rPr>
        <w:t> </w:t>
      </w:r>
      <w:r>
        <w:rPr/>
        <w:t>msf</w:t>
      </w:r>
      <w:r>
        <w:rPr>
          <w:spacing w:val="-40"/>
        </w:rPr>
        <w:t> </w:t>
      </w:r>
      <w:r>
        <w:rPr/>
        <w:t>of</w:t>
      </w:r>
      <w:r>
        <w:rPr>
          <w:spacing w:val="-41"/>
        </w:rPr>
        <w:t> </w:t>
      </w:r>
      <w:r>
        <w:rPr/>
        <w:t>completed</w:t>
      </w:r>
      <w:r>
        <w:rPr>
          <w:spacing w:val="-41"/>
        </w:rPr>
        <w:t> </w:t>
      </w:r>
      <w:r>
        <w:rPr/>
        <w:t>development.</w:t>
      </w:r>
      <w:r>
        <w:rPr>
          <w:spacing w:val="-41"/>
        </w:rPr>
        <w:t> </w:t>
      </w:r>
      <w:r>
        <w:rPr/>
        <w:t>Further,</w:t>
      </w:r>
      <w:r>
        <w:rPr>
          <w:spacing w:val="-41"/>
        </w:rPr>
        <w:t> </w:t>
      </w:r>
      <w:r>
        <w:rPr/>
        <w:t>Block</w:t>
      </w:r>
      <w:r>
        <w:rPr>
          <w:spacing w:val="-41"/>
        </w:rPr>
        <w:t> </w:t>
      </w:r>
      <w:r>
        <w:rPr/>
        <w:t>NXT received its occupancy certificate in Q4 FY 2020 and cost of INR 738.9 Mn is pending towards final finishes,</w:t>
      </w:r>
      <w:r>
        <w:rPr>
          <w:spacing w:val="-8"/>
        </w:rPr>
        <w:t> </w:t>
      </w:r>
      <w:r>
        <w:rPr/>
        <w:t>handover</w:t>
      </w:r>
      <w:r>
        <w:rPr>
          <w:spacing w:val="-7"/>
        </w:rPr>
        <w:t> </w:t>
      </w:r>
      <w:r>
        <w:rPr/>
        <w:t>cost,</w:t>
      </w:r>
      <w:r>
        <w:rPr>
          <w:spacing w:val="-7"/>
        </w:rPr>
        <w:t> </w:t>
      </w:r>
      <w:r>
        <w:rPr/>
        <w:t>etc.</w:t>
      </w:r>
      <w:r>
        <w:rPr>
          <w:spacing w:val="-7"/>
        </w:rPr>
        <w:t> </w:t>
      </w:r>
      <w:r>
        <w:rPr/>
        <w:t>the</w:t>
      </w:r>
      <w:r>
        <w:rPr>
          <w:spacing w:val="-8"/>
        </w:rPr>
        <w:t> </w:t>
      </w:r>
      <w:r>
        <w:rPr/>
        <w:t>same</w:t>
      </w:r>
      <w:r>
        <w:rPr>
          <w:spacing w:val="-7"/>
        </w:rPr>
        <w:t> </w:t>
      </w:r>
      <w:r>
        <w:rPr/>
        <w:t>is</w:t>
      </w:r>
      <w:r>
        <w:rPr>
          <w:spacing w:val="-6"/>
        </w:rPr>
        <w:t> </w:t>
      </w:r>
      <w:r>
        <w:rPr/>
        <w:t>expected</w:t>
      </w:r>
      <w:r>
        <w:rPr>
          <w:spacing w:val="-7"/>
        </w:rPr>
        <w:t> </w:t>
      </w:r>
      <w:r>
        <w:rPr/>
        <w:t>to</w:t>
      </w:r>
      <w:r>
        <w:rPr>
          <w:spacing w:val="-7"/>
        </w:rPr>
        <w:t> </w:t>
      </w:r>
      <w:r>
        <w:rPr/>
        <w:t>be</w:t>
      </w:r>
      <w:r>
        <w:rPr>
          <w:spacing w:val="-7"/>
        </w:rPr>
        <w:t> </w:t>
      </w:r>
      <w:r>
        <w:rPr/>
        <w:t>spent</w:t>
      </w:r>
      <w:r>
        <w:rPr>
          <w:spacing w:val="-7"/>
        </w:rPr>
        <w:t> </w:t>
      </w:r>
      <w:r>
        <w:rPr/>
        <w:t>by</w:t>
      </w:r>
      <w:r>
        <w:rPr>
          <w:spacing w:val="-6"/>
        </w:rPr>
        <w:t> </w:t>
      </w:r>
      <w:r>
        <w:rPr/>
        <w:t>Q2</w:t>
      </w:r>
      <w:r>
        <w:rPr>
          <w:spacing w:val="-8"/>
        </w:rPr>
        <w:t> </w:t>
      </w:r>
      <w:r>
        <w:rPr/>
        <w:t>FY</w:t>
      </w:r>
      <w:r>
        <w:rPr>
          <w:spacing w:val="-6"/>
        </w:rPr>
        <w:t> </w:t>
      </w:r>
      <w:r>
        <w:rPr/>
        <w:t>2021.</w:t>
      </w:r>
    </w:p>
    <w:p>
      <w:pPr>
        <w:pStyle w:val="BodyText"/>
        <w:spacing w:before="2"/>
        <w:rPr>
          <w:sz w:val="23"/>
        </w:rPr>
      </w:pPr>
    </w:p>
    <w:p>
      <w:pPr>
        <w:pStyle w:val="ListParagraph"/>
        <w:numPr>
          <w:ilvl w:val="3"/>
          <w:numId w:val="30"/>
        </w:numPr>
        <w:tabs>
          <w:tab w:pos="1085" w:val="left" w:leader="none"/>
        </w:tabs>
        <w:spacing w:line="240" w:lineRule="auto" w:before="0" w:after="0"/>
        <w:ind w:left="1084" w:right="0" w:hanging="865"/>
        <w:jc w:val="left"/>
        <w:rPr>
          <w:i/>
          <w:sz w:val="20"/>
        </w:rPr>
      </w:pPr>
      <w:r>
        <w:rPr>
          <w:i/>
          <w:color w:val="008000"/>
          <w:sz w:val="20"/>
        </w:rPr>
        <w:t>Under-Construction/ Proposed</w:t>
      </w:r>
      <w:r>
        <w:rPr>
          <w:i/>
          <w:color w:val="008000"/>
          <w:spacing w:val="-9"/>
          <w:sz w:val="20"/>
        </w:rPr>
        <w:t> </w:t>
      </w:r>
      <w:r>
        <w:rPr>
          <w:i/>
          <w:color w:val="008000"/>
          <w:sz w:val="20"/>
        </w:rPr>
        <w:t>Blocks</w:t>
      </w:r>
    </w:p>
    <w:p>
      <w:pPr>
        <w:pStyle w:val="BodyText"/>
        <w:spacing w:line="321" w:lineRule="auto" w:before="76"/>
        <w:ind w:left="786" w:right="201"/>
        <w:jc w:val="both"/>
      </w:pPr>
      <w:r>
        <w:rPr/>
        <w:pict>
          <v:group style="position:absolute;margin-left:36pt;margin-top:49.918625pt;width:523.6pt;height:34.6pt;mso-position-horizontal-relative:page;mso-position-vertical-relative:paragraph;z-index:-34699776" coordorigin="720,998" coordsize="10472,692">
            <v:shape style="position:absolute;left:720;top:1675;width:10472;height:15" coordorigin="720,1675" coordsize="10472,15" path="m4258,1675l2904,1675,2890,1675,720,1675,720,1690,2890,1690,2904,1690,4258,1690,4258,1675xm4273,1675l4259,1675,4259,1690,4273,1690,4273,1675xm7727,1675l6009,1675,5994,1675,5994,1675,4273,1675,4273,1690,5994,1690,5994,1690,6009,1690,7727,1690,7727,1675xm11191,1675l9472,1675,9458,1675,7742,1675,7728,1675,7728,1690,7742,1690,9458,1690,9472,1690,11191,1690,11191,1675xe" filled="true" fillcolor="#69bd28" stroked="false">
              <v:path arrowok="t"/>
              <v:fill type="solid"/>
            </v:shape>
            <v:shape style="position:absolute;left:720;top:1027;width:10472;height:648" coordorigin="720,1027" coordsize="10472,648" path="m4258,1027l2890,1027,720,1027,720,1675,2890,1675,4258,1675,4258,1027xm7727,1027l5994,1027,5994,1027,4259,1027,4259,1675,5994,1675,5994,1675,7727,1675,7727,1027xm11191,1027l9458,1027,7728,1027,7728,1675,9458,1675,11191,1675,11191,1027xe" filled="true" fillcolor="#006a4d" stroked="false">
              <v:path arrowok="t"/>
              <v:fill type="solid"/>
            </v:shape>
            <v:rect style="position:absolute;left:720;top:998;width:2170;height:29" filled="true" fillcolor="#1b6b22" stroked="false">
              <v:fill type="solid"/>
            </v:rect>
            <v:shape style="position:absolute;left:720;top:1027;width:2199;height:3" coordorigin="720,1027" coordsize="2199,3" path="m2919,1027l2890,1027,720,1027,720,1030,2890,1030,2919,1030,2919,1027xe" filled="true" fillcolor="#006a4d" stroked="false">
              <v:path arrowok="t"/>
              <v:fill type="solid"/>
            </v:shape>
            <v:shape style="position:absolute;left:2890;top:998;width:1369;height:29" coordorigin="2890,998" coordsize="1369,29" path="m4258,998l2919,998,2890,998,2890,1027,2919,1027,4258,1027,4258,998xe" filled="true" fillcolor="#1b6b22" stroked="false">
              <v:path arrowok="t"/>
              <v:fill type="solid"/>
            </v:shape>
            <v:shape style="position:absolute;left:2918;top:1027;width:1369;height:3" coordorigin="2919,1027" coordsize="1369,3" path="m4258,1027l2919,1027,2919,1030,4258,1030,4258,1027xm4287,1027l4259,1027,4259,1030,4287,1030,4287,1027xe" filled="true" fillcolor="#006a4d" stroked="false">
              <v:path arrowok="t"/>
              <v:fill type="solid"/>
            </v:shape>
            <v:shape style="position:absolute;left:4258;top:998;width:1736;height:29" coordorigin="4259,998" coordsize="1736,29" path="m5994,998l4287,998,4259,998,4259,1027,4287,1027,5994,1027,5994,998xe" filled="true" fillcolor="#1b6b22" stroked="false">
              <v:path arrowok="t"/>
              <v:fill type="solid"/>
            </v:shape>
            <v:shape style="position:absolute;left:4287;top:1027;width:1736;height:3" coordorigin="4287,1027" coordsize="1736,3" path="m6023,1027l5994,1027,4287,1027,4287,1030,5994,1030,6023,1030,6023,1027xe" filled="true" fillcolor="#006a4d" stroked="false">
              <v:path arrowok="t"/>
              <v:fill type="solid"/>
            </v:shape>
            <v:shape style="position:absolute;left:5994;top:998;width:1734;height:29" coordorigin="5994,998" coordsize="1734,29" path="m7727,998l6023,998,5994,998,5994,1027,6023,1027,7727,1027,7727,998xe" filled="true" fillcolor="#1b6b22" stroked="false">
              <v:path arrowok="t"/>
              <v:fill type="solid"/>
            </v:shape>
            <v:shape style="position:absolute;left:6023;top:1027;width:1734;height:3" coordorigin="6023,1027" coordsize="1734,3" path="m7727,1027l6023,1027,6023,1030,7727,1030,7727,1027xm7756,1027l7728,1027,7728,1030,7756,1030,7756,1027xe" filled="true" fillcolor="#006a4d" stroked="false">
              <v:path arrowok="t"/>
              <v:fill type="solid"/>
            </v:shape>
            <v:shape style="position:absolute;left:7727;top:998;width:1731;height:29" coordorigin="7728,998" coordsize="1731,29" path="m9458,998l7756,998,7728,998,7728,1027,7756,1027,9458,1027,9458,998xe" filled="true" fillcolor="#1b6b22" stroked="false">
              <v:path arrowok="t"/>
              <v:fill type="solid"/>
            </v:shape>
            <v:shape style="position:absolute;left:7756;top:1027;width:1731;height:3" coordorigin="7756,1027" coordsize="1731,3" path="m9487,1027l9458,1027,7756,1027,7756,1030,9458,1030,9487,1030,9487,1027xe" filled="true" fillcolor="#006a4d" stroked="false">
              <v:path arrowok="t"/>
              <v:fill type="solid"/>
            </v:shape>
            <v:shape style="position:absolute;left:9458;top:998;width:1734;height:29" coordorigin="9458,998" coordsize="1734,29" path="m11191,998l9487,998,9458,998,9458,1027,9487,1027,11191,1027,11191,998xe" filled="true" fillcolor="#1b6b22" stroked="false">
              <v:path arrowok="t"/>
              <v:fill type="solid"/>
            </v:shape>
            <v:rect style="position:absolute;left:9486;top:1027;width:1705;height:3" filled="true" fillcolor="#006a4d" stroked="false">
              <v:fill type="solid"/>
            </v:rect>
            <v:shape style="position:absolute;left:1560;top:1242;width:510;height:216" type="#_x0000_t202" filled="false" stroked="false">
              <v:textbox inset="0,0,0,0">
                <w:txbxContent>
                  <w:p>
                    <w:pPr>
                      <w:spacing w:before="4"/>
                      <w:ind w:left="0" w:right="0" w:firstLine="0"/>
                      <w:jc w:val="left"/>
                      <w:rPr>
                        <w:b/>
                        <w:sz w:val="18"/>
                      </w:rPr>
                    </w:pPr>
                    <w:r>
                      <w:rPr>
                        <w:b/>
                        <w:color w:val="FFFFFF"/>
                        <w:w w:val="110"/>
                        <w:sz w:val="18"/>
                      </w:rPr>
                      <w:t>Block</w:t>
                    </w:r>
                  </w:p>
                </w:txbxContent>
              </v:textbox>
              <w10:wrap type="none"/>
            </v:shape>
            <v:shape style="position:absolute;left:2998;top:1026;width:1172;height:432" type="#_x0000_t202" filled="false" stroked="false">
              <v:textbox inset="0,0,0,0">
                <w:txbxContent>
                  <w:p>
                    <w:pPr>
                      <w:spacing w:line="247" w:lineRule="auto" w:before="4"/>
                      <w:ind w:left="0" w:right="14" w:firstLine="124"/>
                      <w:jc w:val="left"/>
                      <w:rPr>
                        <w:b/>
                        <w:sz w:val="18"/>
                      </w:rPr>
                    </w:pPr>
                    <w:r>
                      <w:rPr>
                        <w:b/>
                        <w:color w:val="FFFFFF"/>
                        <w:w w:val="110"/>
                        <w:sz w:val="18"/>
                      </w:rPr>
                      <w:t>Leasable/ Developable</w:t>
                    </w:r>
                  </w:p>
                </w:txbxContent>
              </v:textbox>
              <w10:wrap type="none"/>
            </v:shape>
            <v:shape style="position:absolute;left:4565;top:1134;width:1141;height:216" type="#_x0000_t202" filled="false" stroked="false">
              <v:textbox inset="0,0,0,0">
                <w:txbxContent>
                  <w:p>
                    <w:pPr>
                      <w:spacing w:before="4"/>
                      <w:ind w:left="0" w:right="0" w:firstLine="0"/>
                      <w:jc w:val="left"/>
                      <w:rPr>
                        <w:b/>
                        <w:sz w:val="18"/>
                      </w:rPr>
                    </w:pPr>
                    <w:r>
                      <w:rPr>
                        <w:b/>
                        <w:color w:val="FFFFFF"/>
                        <w:w w:val="105"/>
                        <w:sz w:val="18"/>
                      </w:rPr>
                      <w:t>Construction</w:t>
                    </w:r>
                  </w:p>
                </w:txbxContent>
              </v:textbox>
              <w10:wrap type="none"/>
            </v:shape>
            <v:shape style="position:absolute;left:6299;top:1134;width:1141;height:216" type="#_x0000_t202" filled="false" stroked="false">
              <v:textbox inset="0,0,0,0">
                <w:txbxContent>
                  <w:p>
                    <w:pPr>
                      <w:spacing w:before="4"/>
                      <w:ind w:left="0" w:right="0" w:firstLine="0"/>
                      <w:jc w:val="left"/>
                      <w:rPr>
                        <w:b/>
                        <w:sz w:val="18"/>
                      </w:rPr>
                    </w:pPr>
                    <w:r>
                      <w:rPr>
                        <w:b/>
                        <w:color w:val="FFFFFF"/>
                        <w:w w:val="105"/>
                        <w:sz w:val="18"/>
                      </w:rPr>
                      <w:t>Construction</w:t>
                    </w:r>
                  </w:p>
                </w:txbxContent>
              </v:textbox>
              <w10:wrap type="none"/>
            </v:shape>
            <v:shape style="position:absolute;left:8032;top:1134;width:1141;height:216" type="#_x0000_t202" filled="false" stroked="false">
              <v:textbox inset="0,0,0,0">
                <w:txbxContent>
                  <w:p>
                    <w:pPr>
                      <w:spacing w:before="4"/>
                      <w:ind w:left="0" w:right="0" w:firstLine="0"/>
                      <w:jc w:val="left"/>
                      <w:rPr>
                        <w:b/>
                        <w:sz w:val="18"/>
                      </w:rPr>
                    </w:pPr>
                    <w:r>
                      <w:rPr>
                        <w:b/>
                        <w:color w:val="FFFFFF"/>
                        <w:w w:val="105"/>
                        <w:sz w:val="18"/>
                      </w:rPr>
                      <w:t>Construction</w:t>
                    </w:r>
                  </w:p>
                </w:txbxContent>
              </v:textbox>
              <w10:wrap type="none"/>
            </v:shape>
            <v:shape style="position:absolute;left:9763;top:1134;width:1141;height:216" type="#_x0000_t202" filled="false" stroked="false">
              <v:textbox inset="0,0,0,0">
                <w:txbxContent>
                  <w:p>
                    <w:pPr>
                      <w:spacing w:before="4"/>
                      <w:ind w:left="0" w:right="0" w:firstLine="0"/>
                      <w:jc w:val="left"/>
                      <w:rPr>
                        <w:b/>
                        <w:sz w:val="18"/>
                      </w:rPr>
                    </w:pPr>
                    <w:r>
                      <w:rPr>
                        <w:b/>
                        <w:color w:val="FFFFFF"/>
                        <w:w w:val="105"/>
                        <w:sz w:val="18"/>
                      </w:rPr>
                      <w:t>Construction</w:t>
                    </w:r>
                  </w:p>
                </w:txbxContent>
              </v:textbox>
              <w10:wrap type="none"/>
            </v:shape>
            <w10:wrap type="none"/>
          </v:group>
        </w:pict>
      </w:r>
      <w:r>
        <w:rPr/>
        <w:t>Based</w:t>
      </w:r>
      <w:r>
        <w:rPr>
          <w:spacing w:val="-5"/>
        </w:rPr>
        <w:t> </w:t>
      </w:r>
      <w:r>
        <w:rPr/>
        <w:t>on</w:t>
      </w:r>
      <w:r>
        <w:rPr>
          <w:spacing w:val="-4"/>
        </w:rPr>
        <w:t> </w:t>
      </w:r>
      <w:r>
        <w:rPr/>
        <w:t>visual</w:t>
      </w:r>
      <w:r>
        <w:rPr>
          <w:spacing w:val="-3"/>
        </w:rPr>
        <w:t> </w:t>
      </w:r>
      <w:r>
        <w:rPr/>
        <w:t>inspection</w:t>
      </w:r>
      <w:r>
        <w:rPr>
          <w:spacing w:val="-4"/>
        </w:rPr>
        <w:t> </w:t>
      </w:r>
      <w:r>
        <w:rPr/>
        <w:t>during</w:t>
      </w:r>
      <w:r>
        <w:rPr>
          <w:spacing w:val="-3"/>
        </w:rPr>
        <w:t> </w:t>
      </w:r>
      <w:r>
        <w:rPr/>
        <w:t>the</w:t>
      </w:r>
      <w:r>
        <w:rPr>
          <w:spacing w:val="-5"/>
        </w:rPr>
        <w:t> </w:t>
      </w:r>
      <w:r>
        <w:rPr/>
        <w:t>site</w:t>
      </w:r>
      <w:r>
        <w:rPr>
          <w:spacing w:val="-4"/>
        </w:rPr>
        <w:t> </w:t>
      </w:r>
      <w:r>
        <w:rPr/>
        <w:t>visit</w:t>
      </w:r>
      <w:r>
        <w:rPr>
          <w:spacing w:val="-4"/>
        </w:rPr>
        <w:t> </w:t>
      </w:r>
      <w:r>
        <w:rPr/>
        <w:t>and information</w:t>
      </w:r>
      <w:r>
        <w:rPr>
          <w:spacing w:val="-4"/>
        </w:rPr>
        <w:t> </w:t>
      </w:r>
      <w:r>
        <w:rPr/>
        <w:t>provided</w:t>
      </w:r>
      <w:r>
        <w:rPr>
          <w:spacing w:val="-4"/>
        </w:rPr>
        <w:t> </w:t>
      </w:r>
      <w:r>
        <w:rPr/>
        <w:t>by</w:t>
      </w:r>
      <w:r>
        <w:rPr>
          <w:spacing w:val="-3"/>
        </w:rPr>
        <w:t> </w:t>
      </w:r>
      <w:r>
        <w:rPr/>
        <w:t>the</w:t>
      </w:r>
      <w:r>
        <w:rPr>
          <w:spacing w:val="-5"/>
        </w:rPr>
        <w:t> </w:t>
      </w:r>
      <w:r>
        <w:rPr/>
        <w:t>Client,</w:t>
      </w:r>
      <w:r>
        <w:rPr>
          <w:spacing w:val="-4"/>
        </w:rPr>
        <w:t> </w:t>
      </w:r>
      <w:r>
        <w:rPr/>
        <w:t>the</w:t>
      </w:r>
      <w:r>
        <w:rPr>
          <w:spacing w:val="-4"/>
        </w:rPr>
        <w:t> </w:t>
      </w:r>
      <w:r>
        <w:rPr/>
        <w:t>following timelines</w:t>
      </w:r>
      <w:r>
        <w:rPr>
          <w:spacing w:val="-13"/>
        </w:rPr>
        <w:t> </w:t>
      </w:r>
      <w:r>
        <w:rPr/>
        <w:t>for</w:t>
      </w:r>
      <w:r>
        <w:rPr>
          <w:spacing w:val="-14"/>
        </w:rPr>
        <w:t> </w:t>
      </w:r>
      <w:r>
        <w:rPr/>
        <w:t>construction</w:t>
      </w:r>
      <w:r>
        <w:rPr>
          <w:spacing w:val="-14"/>
        </w:rPr>
        <w:t> </w:t>
      </w:r>
      <w:r>
        <w:rPr/>
        <w:t>have</w:t>
      </w:r>
      <w:r>
        <w:rPr>
          <w:spacing w:val="-13"/>
        </w:rPr>
        <w:t> </w:t>
      </w:r>
      <w:r>
        <w:rPr/>
        <w:t>been</w:t>
      </w:r>
      <w:r>
        <w:rPr>
          <w:spacing w:val="-14"/>
        </w:rPr>
        <w:t> </w:t>
      </w:r>
      <w:r>
        <w:rPr/>
        <w:t>adopted</w:t>
      </w:r>
      <w:r>
        <w:rPr>
          <w:spacing w:val="-15"/>
        </w:rPr>
        <w:t> </w:t>
      </w:r>
      <w:r>
        <w:rPr/>
        <w:t>for</w:t>
      </w:r>
      <w:r>
        <w:rPr>
          <w:spacing w:val="-14"/>
        </w:rPr>
        <w:t> </w:t>
      </w:r>
      <w:r>
        <w:rPr/>
        <w:t>the</w:t>
      </w:r>
      <w:r>
        <w:rPr>
          <w:spacing w:val="-13"/>
        </w:rPr>
        <w:t> </w:t>
      </w:r>
      <w:r>
        <w:rPr/>
        <w:t>purpose</w:t>
      </w:r>
      <w:r>
        <w:rPr>
          <w:spacing w:val="-13"/>
        </w:rPr>
        <w:t> </w:t>
      </w:r>
      <w:r>
        <w:rPr/>
        <w:t>of</w:t>
      </w:r>
      <w:r>
        <w:rPr>
          <w:spacing w:val="-15"/>
        </w:rPr>
        <w:t> </w:t>
      </w:r>
      <w:r>
        <w:rPr/>
        <w:t>this</w:t>
      </w:r>
      <w:r>
        <w:rPr>
          <w:spacing w:val="-12"/>
        </w:rPr>
        <w:t> </w:t>
      </w:r>
      <w:r>
        <w:rPr/>
        <w:t>valuation</w:t>
      </w:r>
      <w:r>
        <w:rPr>
          <w:spacing w:val="-15"/>
        </w:rPr>
        <w:t> </w:t>
      </w:r>
      <w:r>
        <w:rPr/>
        <w:t>exercise:</w:t>
      </w:r>
    </w:p>
    <w:p>
      <w:pPr>
        <w:pStyle w:val="BodyText"/>
        <w:rPr>
          <w:sz w:val="20"/>
        </w:rPr>
      </w:pPr>
    </w:p>
    <w:p>
      <w:pPr>
        <w:pStyle w:val="BodyText"/>
        <w:rPr>
          <w:sz w:val="20"/>
        </w:rPr>
      </w:pPr>
    </w:p>
    <w:p>
      <w:pPr>
        <w:pStyle w:val="BodyText"/>
        <w:spacing w:before="2"/>
        <w:rPr>
          <w:sz w:val="10"/>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75"/>
        <w:gridCol w:w="1402"/>
        <w:gridCol w:w="1711"/>
        <w:gridCol w:w="1868"/>
        <w:gridCol w:w="3331"/>
      </w:tblGrid>
      <w:tr>
        <w:trPr>
          <w:trHeight w:val="358" w:hRule="atLeast"/>
        </w:trPr>
        <w:tc>
          <w:tcPr>
            <w:tcW w:w="2175" w:type="dxa"/>
            <w:shd w:val="clear" w:color="auto" w:fill="006A4D"/>
          </w:tcPr>
          <w:p>
            <w:pPr>
              <w:pStyle w:val="TableParagraph"/>
              <w:jc w:val="left"/>
              <w:rPr>
                <w:rFonts w:ascii="Times New Roman"/>
                <w:sz w:val="20"/>
              </w:rPr>
            </w:pPr>
          </w:p>
        </w:tc>
        <w:tc>
          <w:tcPr>
            <w:tcW w:w="1402" w:type="dxa"/>
            <w:shd w:val="clear" w:color="auto" w:fill="006A4D"/>
          </w:tcPr>
          <w:p>
            <w:pPr>
              <w:pStyle w:val="TableParagraph"/>
              <w:spacing w:before="120"/>
              <w:ind w:left="276" w:right="291"/>
              <w:rPr>
                <w:b/>
                <w:sz w:val="18"/>
              </w:rPr>
            </w:pPr>
            <w:r>
              <w:rPr>
                <w:b/>
                <w:color w:val="FFFFFF"/>
                <w:w w:val="110"/>
                <w:sz w:val="18"/>
              </w:rPr>
              <w:t>Area (sf)</w:t>
            </w:r>
          </w:p>
        </w:tc>
        <w:tc>
          <w:tcPr>
            <w:tcW w:w="1711" w:type="dxa"/>
            <w:shd w:val="clear" w:color="auto" w:fill="006A4D"/>
          </w:tcPr>
          <w:p>
            <w:pPr>
              <w:pStyle w:val="TableParagraph"/>
              <w:spacing w:before="12"/>
              <w:ind w:left="108" w:right="131"/>
              <w:rPr>
                <w:b/>
                <w:sz w:val="18"/>
              </w:rPr>
            </w:pPr>
            <w:r>
              <w:rPr>
                <w:b/>
                <w:color w:val="FFFFFF"/>
                <w:w w:val="105"/>
                <w:sz w:val="18"/>
              </w:rPr>
              <w:t>Commencement</w:t>
            </w:r>
          </w:p>
        </w:tc>
        <w:tc>
          <w:tcPr>
            <w:tcW w:w="1868" w:type="dxa"/>
            <w:shd w:val="clear" w:color="auto" w:fill="006A4D"/>
          </w:tcPr>
          <w:p>
            <w:pPr>
              <w:pStyle w:val="TableParagraph"/>
              <w:spacing w:before="12"/>
              <w:ind w:left="305"/>
              <w:jc w:val="left"/>
              <w:rPr>
                <w:b/>
                <w:sz w:val="18"/>
              </w:rPr>
            </w:pPr>
            <w:r>
              <w:rPr>
                <w:b/>
                <w:color w:val="FFFFFF"/>
                <w:w w:val="110"/>
                <w:sz w:val="18"/>
              </w:rPr>
              <w:t>Completion*</w:t>
            </w:r>
          </w:p>
        </w:tc>
        <w:tc>
          <w:tcPr>
            <w:tcW w:w="3331" w:type="dxa"/>
            <w:shd w:val="clear" w:color="auto" w:fill="006A4D"/>
          </w:tcPr>
          <w:p>
            <w:pPr>
              <w:pStyle w:val="TableParagraph"/>
              <w:tabs>
                <w:tab w:pos="2187" w:val="left" w:leader="none"/>
              </w:tabs>
              <w:spacing w:before="12"/>
              <w:ind w:left="57"/>
              <w:jc w:val="left"/>
              <w:rPr>
                <w:b/>
                <w:sz w:val="18"/>
              </w:rPr>
            </w:pPr>
            <w:r>
              <w:rPr>
                <w:b/>
                <w:color w:val="FFFFFF"/>
                <w:w w:val="105"/>
                <w:sz w:val="18"/>
              </w:rPr>
              <w:t>(%</w:t>
            </w:r>
            <w:r>
              <w:rPr>
                <w:b/>
                <w:color w:val="FFFFFF"/>
                <w:spacing w:val="11"/>
                <w:w w:val="105"/>
                <w:sz w:val="18"/>
              </w:rPr>
              <w:t> </w:t>
            </w:r>
            <w:r>
              <w:rPr>
                <w:b/>
                <w:color w:val="FFFFFF"/>
                <w:w w:val="105"/>
                <w:sz w:val="18"/>
              </w:rPr>
              <w:t>completion)</w:t>
              <w:tab/>
              <w:t>Status</w:t>
            </w:r>
          </w:p>
        </w:tc>
      </w:tr>
      <w:tr>
        <w:trPr>
          <w:trHeight w:val="306" w:hRule="atLeast"/>
        </w:trPr>
        <w:tc>
          <w:tcPr>
            <w:tcW w:w="2175" w:type="dxa"/>
            <w:tcBorders>
              <w:bottom w:val="single" w:sz="6" w:space="0" w:color="69BD28"/>
            </w:tcBorders>
          </w:tcPr>
          <w:p>
            <w:pPr>
              <w:pStyle w:val="TableParagraph"/>
              <w:spacing w:before="47"/>
              <w:ind w:left="256" w:right="232"/>
              <w:rPr>
                <w:sz w:val="18"/>
              </w:rPr>
            </w:pPr>
            <w:r>
              <w:rPr>
                <w:sz w:val="18"/>
              </w:rPr>
              <w:t>Block L-4</w:t>
            </w:r>
          </w:p>
        </w:tc>
        <w:tc>
          <w:tcPr>
            <w:tcW w:w="1402" w:type="dxa"/>
            <w:tcBorders>
              <w:bottom w:val="single" w:sz="6" w:space="0" w:color="69BD28"/>
            </w:tcBorders>
          </w:tcPr>
          <w:p>
            <w:pPr>
              <w:pStyle w:val="TableParagraph"/>
              <w:spacing w:before="47"/>
              <w:ind w:left="276" w:right="289"/>
              <w:rPr>
                <w:sz w:val="18"/>
              </w:rPr>
            </w:pPr>
            <w:r>
              <w:rPr>
                <w:w w:val="110"/>
                <w:sz w:val="18"/>
              </w:rPr>
              <w:t>707,550</w:t>
            </w:r>
          </w:p>
        </w:tc>
        <w:tc>
          <w:tcPr>
            <w:tcW w:w="1711" w:type="dxa"/>
            <w:tcBorders>
              <w:bottom w:val="single" w:sz="6" w:space="0" w:color="69BD28"/>
            </w:tcBorders>
          </w:tcPr>
          <w:p>
            <w:pPr>
              <w:pStyle w:val="TableParagraph"/>
              <w:spacing w:before="47"/>
              <w:ind w:left="105" w:right="131"/>
              <w:rPr>
                <w:sz w:val="18"/>
              </w:rPr>
            </w:pPr>
            <w:r>
              <w:rPr>
                <w:w w:val="105"/>
                <w:sz w:val="18"/>
              </w:rPr>
              <w:t>Q4, FY 2020</w:t>
            </w:r>
          </w:p>
        </w:tc>
        <w:tc>
          <w:tcPr>
            <w:tcW w:w="1868" w:type="dxa"/>
            <w:tcBorders>
              <w:bottom w:val="single" w:sz="6" w:space="0" w:color="69BD28"/>
            </w:tcBorders>
          </w:tcPr>
          <w:p>
            <w:pPr>
              <w:pStyle w:val="TableParagraph"/>
              <w:spacing w:before="47"/>
              <w:ind w:left="346"/>
              <w:jc w:val="left"/>
              <w:rPr>
                <w:sz w:val="18"/>
              </w:rPr>
            </w:pPr>
            <w:r>
              <w:rPr>
                <w:w w:val="105"/>
                <w:sz w:val="18"/>
              </w:rPr>
              <w:t>Q4, FY 2023</w:t>
            </w:r>
          </w:p>
        </w:tc>
        <w:tc>
          <w:tcPr>
            <w:tcW w:w="3331" w:type="dxa"/>
            <w:tcBorders>
              <w:bottom w:val="single" w:sz="6" w:space="0" w:color="69BD28"/>
            </w:tcBorders>
          </w:tcPr>
          <w:p>
            <w:pPr>
              <w:pStyle w:val="TableParagraph"/>
              <w:tabs>
                <w:tab w:pos="2023" w:val="left" w:leader="none"/>
              </w:tabs>
              <w:spacing w:before="47"/>
              <w:ind w:left="533"/>
              <w:jc w:val="left"/>
              <w:rPr>
                <w:sz w:val="18"/>
              </w:rPr>
            </w:pPr>
            <w:r>
              <w:rPr>
                <w:sz w:val="18"/>
              </w:rPr>
              <w:t>0.0%</w:t>
              <w:tab/>
              <w:t>Land</w:t>
            </w:r>
            <w:r>
              <w:rPr>
                <w:spacing w:val="-3"/>
                <w:sz w:val="18"/>
              </w:rPr>
              <w:t> </w:t>
            </w:r>
            <w:r>
              <w:rPr>
                <w:sz w:val="18"/>
              </w:rPr>
              <w:t>Stage</w:t>
            </w:r>
          </w:p>
        </w:tc>
      </w:tr>
      <w:tr>
        <w:trPr>
          <w:trHeight w:val="433" w:hRule="atLeast"/>
        </w:trPr>
        <w:tc>
          <w:tcPr>
            <w:tcW w:w="2175" w:type="dxa"/>
            <w:tcBorders>
              <w:top w:val="single" w:sz="6" w:space="0" w:color="69BD28"/>
              <w:bottom w:val="single" w:sz="6" w:space="0" w:color="69BD28"/>
            </w:tcBorders>
          </w:tcPr>
          <w:p>
            <w:pPr>
              <w:pStyle w:val="TableParagraph"/>
              <w:spacing w:before="121"/>
              <w:ind w:left="256" w:right="234"/>
              <w:rPr>
                <w:sz w:val="18"/>
              </w:rPr>
            </w:pPr>
            <w:r>
              <w:rPr>
                <w:w w:val="110"/>
                <w:sz w:val="18"/>
              </w:rPr>
              <w:t>Block M3 – Phase 1</w:t>
            </w:r>
          </w:p>
        </w:tc>
        <w:tc>
          <w:tcPr>
            <w:tcW w:w="1402" w:type="dxa"/>
            <w:tcBorders>
              <w:top w:val="single" w:sz="6" w:space="0" w:color="69BD28"/>
              <w:bottom w:val="single" w:sz="6" w:space="0" w:color="69BD28"/>
            </w:tcBorders>
          </w:tcPr>
          <w:p>
            <w:pPr>
              <w:pStyle w:val="TableParagraph"/>
              <w:spacing w:before="121"/>
              <w:ind w:left="276" w:right="289"/>
              <w:rPr>
                <w:sz w:val="18"/>
              </w:rPr>
            </w:pPr>
            <w:r>
              <w:rPr>
                <w:w w:val="110"/>
                <w:sz w:val="18"/>
              </w:rPr>
              <w:t>997,057</w:t>
            </w:r>
          </w:p>
        </w:tc>
        <w:tc>
          <w:tcPr>
            <w:tcW w:w="1711" w:type="dxa"/>
            <w:tcBorders>
              <w:top w:val="single" w:sz="6" w:space="0" w:color="69BD28"/>
              <w:bottom w:val="single" w:sz="6" w:space="0" w:color="69BD28"/>
            </w:tcBorders>
          </w:tcPr>
          <w:p>
            <w:pPr>
              <w:pStyle w:val="TableParagraph"/>
              <w:spacing w:before="121"/>
              <w:ind w:left="106" w:right="131"/>
              <w:rPr>
                <w:sz w:val="18"/>
              </w:rPr>
            </w:pPr>
            <w:r>
              <w:rPr>
                <w:w w:val="105"/>
                <w:sz w:val="18"/>
              </w:rPr>
              <w:t>Q4, FY 2018</w:t>
            </w:r>
          </w:p>
        </w:tc>
        <w:tc>
          <w:tcPr>
            <w:tcW w:w="1868" w:type="dxa"/>
            <w:tcBorders>
              <w:top w:val="single" w:sz="6" w:space="0" w:color="69BD28"/>
              <w:bottom w:val="single" w:sz="6" w:space="0" w:color="69BD28"/>
            </w:tcBorders>
          </w:tcPr>
          <w:p>
            <w:pPr>
              <w:pStyle w:val="TableParagraph"/>
              <w:spacing w:before="121"/>
              <w:ind w:left="346"/>
              <w:jc w:val="left"/>
              <w:rPr>
                <w:sz w:val="18"/>
              </w:rPr>
            </w:pPr>
            <w:r>
              <w:rPr>
                <w:w w:val="105"/>
                <w:sz w:val="18"/>
              </w:rPr>
              <w:t>Q2, FY 2023</w:t>
            </w:r>
          </w:p>
        </w:tc>
        <w:tc>
          <w:tcPr>
            <w:tcW w:w="3331" w:type="dxa"/>
            <w:tcBorders>
              <w:top w:val="single" w:sz="6" w:space="0" w:color="69BD28"/>
              <w:bottom w:val="single" w:sz="6" w:space="0" w:color="69BD28"/>
            </w:tcBorders>
          </w:tcPr>
          <w:p>
            <w:pPr>
              <w:pStyle w:val="TableParagraph"/>
              <w:tabs>
                <w:tab w:pos="2184" w:val="left" w:leader="none"/>
              </w:tabs>
              <w:spacing w:line="156" w:lineRule="auto" w:before="33"/>
              <w:ind w:left="480"/>
              <w:jc w:val="left"/>
              <w:rPr>
                <w:sz w:val="18"/>
              </w:rPr>
            </w:pPr>
            <w:r>
              <w:rPr>
                <w:w w:val="105"/>
                <w:position w:val="-10"/>
                <w:sz w:val="18"/>
              </w:rPr>
              <w:t>23.8%</w:t>
              <w:tab/>
            </w:r>
            <w:r>
              <w:rPr>
                <w:w w:val="105"/>
                <w:sz w:val="18"/>
              </w:rPr>
              <w:t>Under-</w:t>
            </w:r>
          </w:p>
          <w:p>
            <w:pPr>
              <w:pStyle w:val="TableParagraph"/>
              <w:spacing w:line="132" w:lineRule="exact"/>
              <w:ind w:left="1968"/>
              <w:jc w:val="left"/>
              <w:rPr>
                <w:sz w:val="18"/>
              </w:rPr>
            </w:pPr>
            <w:r>
              <w:rPr>
                <w:sz w:val="18"/>
              </w:rPr>
              <w:t>Construction</w:t>
            </w:r>
          </w:p>
        </w:tc>
      </w:tr>
      <w:tr>
        <w:trPr>
          <w:trHeight w:val="325" w:hRule="atLeast"/>
        </w:trPr>
        <w:tc>
          <w:tcPr>
            <w:tcW w:w="2175" w:type="dxa"/>
            <w:tcBorders>
              <w:top w:val="single" w:sz="6" w:space="0" w:color="69BD28"/>
              <w:bottom w:val="single" w:sz="6" w:space="0" w:color="69BD28"/>
            </w:tcBorders>
          </w:tcPr>
          <w:p>
            <w:pPr>
              <w:pStyle w:val="TableParagraph"/>
              <w:spacing w:before="66"/>
              <w:ind w:left="256" w:right="234"/>
              <w:rPr>
                <w:sz w:val="18"/>
              </w:rPr>
            </w:pPr>
            <w:r>
              <w:rPr>
                <w:w w:val="110"/>
                <w:sz w:val="18"/>
              </w:rPr>
              <w:t>Block M3 – Phase 2</w:t>
            </w:r>
          </w:p>
        </w:tc>
        <w:tc>
          <w:tcPr>
            <w:tcW w:w="1402" w:type="dxa"/>
            <w:tcBorders>
              <w:top w:val="single" w:sz="6" w:space="0" w:color="69BD28"/>
              <w:bottom w:val="single" w:sz="6" w:space="0" w:color="69BD28"/>
            </w:tcBorders>
          </w:tcPr>
          <w:p>
            <w:pPr>
              <w:pStyle w:val="TableParagraph"/>
              <w:spacing w:before="66"/>
              <w:ind w:left="276" w:right="289"/>
              <w:rPr>
                <w:sz w:val="18"/>
              </w:rPr>
            </w:pPr>
            <w:r>
              <w:rPr>
                <w:w w:val="110"/>
                <w:sz w:val="18"/>
              </w:rPr>
              <w:t>597,789</w:t>
            </w:r>
          </w:p>
        </w:tc>
        <w:tc>
          <w:tcPr>
            <w:tcW w:w="1711" w:type="dxa"/>
            <w:tcBorders>
              <w:top w:val="single" w:sz="6" w:space="0" w:color="69BD28"/>
              <w:bottom w:val="single" w:sz="6" w:space="0" w:color="69BD28"/>
            </w:tcBorders>
          </w:tcPr>
          <w:p>
            <w:pPr>
              <w:pStyle w:val="TableParagraph"/>
              <w:spacing w:before="66"/>
              <w:ind w:left="106" w:right="131"/>
              <w:rPr>
                <w:sz w:val="18"/>
              </w:rPr>
            </w:pPr>
            <w:r>
              <w:rPr>
                <w:w w:val="105"/>
                <w:sz w:val="18"/>
              </w:rPr>
              <w:t>Q4, FY 2020</w:t>
            </w:r>
          </w:p>
        </w:tc>
        <w:tc>
          <w:tcPr>
            <w:tcW w:w="1868" w:type="dxa"/>
            <w:tcBorders>
              <w:top w:val="single" w:sz="6" w:space="0" w:color="69BD28"/>
              <w:bottom w:val="single" w:sz="6" w:space="0" w:color="69BD28"/>
            </w:tcBorders>
          </w:tcPr>
          <w:p>
            <w:pPr>
              <w:pStyle w:val="TableParagraph"/>
              <w:spacing w:before="66"/>
              <w:ind w:left="346"/>
              <w:jc w:val="left"/>
              <w:rPr>
                <w:sz w:val="18"/>
              </w:rPr>
            </w:pPr>
            <w:r>
              <w:rPr>
                <w:w w:val="105"/>
                <w:sz w:val="18"/>
              </w:rPr>
              <w:t>Q1, FY 2024</w:t>
            </w:r>
          </w:p>
        </w:tc>
        <w:tc>
          <w:tcPr>
            <w:tcW w:w="3331" w:type="dxa"/>
            <w:tcBorders>
              <w:top w:val="single" w:sz="6" w:space="0" w:color="69BD28"/>
              <w:bottom w:val="single" w:sz="6" w:space="0" w:color="69BD28"/>
            </w:tcBorders>
          </w:tcPr>
          <w:p>
            <w:pPr>
              <w:pStyle w:val="TableParagraph"/>
              <w:tabs>
                <w:tab w:pos="1761" w:val="left" w:leader="none"/>
              </w:tabs>
              <w:spacing w:before="66"/>
              <w:ind w:left="533"/>
              <w:jc w:val="left"/>
              <w:rPr>
                <w:sz w:val="18"/>
              </w:rPr>
            </w:pPr>
            <w:r>
              <w:rPr>
                <w:sz w:val="18"/>
              </w:rPr>
              <w:t>0.0%</w:t>
              <w:tab/>
              <w:t>Yet to</w:t>
            </w:r>
            <w:r>
              <w:rPr>
                <w:spacing w:val="-18"/>
                <w:sz w:val="18"/>
              </w:rPr>
              <w:t> </w:t>
            </w:r>
            <w:r>
              <w:rPr>
                <w:sz w:val="18"/>
              </w:rPr>
              <w:t>Commence</w:t>
            </w:r>
          </w:p>
        </w:tc>
      </w:tr>
      <w:tr>
        <w:trPr>
          <w:trHeight w:val="325" w:hRule="atLeast"/>
        </w:trPr>
        <w:tc>
          <w:tcPr>
            <w:tcW w:w="2175" w:type="dxa"/>
            <w:tcBorders>
              <w:top w:val="single" w:sz="6" w:space="0" w:color="69BD28"/>
              <w:bottom w:val="single" w:sz="6" w:space="0" w:color="69BD28"/>
            </w:tcBorders>
          </w:tcPr>
          <w:p>
            <w:pPr>
              <w:pStyle w:val="TableParagraph"/>
              <w:spacing w:before="66"/>
              <w:ind w:left="256" w:right="232"/>
              <w:rPr>
                <w:sz w:val="18"/>
              </w:rPr>
            </w:pPr>
            <w:r>
              <w:rPr>
                <w:sz w:val="18"/>
              </w:rPr>
              <w:t>Block F-1</w:t>
            </w:r>
          </w:p>
        </w:tc>
        <w:tc>
          <w:tcPr>
            <w:tcW w:w="1402" w:type="dxa"/>
            <w:tcBorders>
              <w:top w:val="single" w:sz="6" w:space="0" w:color="69BD28"/>
              <w:bottom w:val="single" w:sz="6" w:space="0" w:color="69BD28"/>
            </w:tcBorders>
          </w:tcPr>
          <w:p>
            <w:pPr>
              <w:pStyle w:val="TableParagraph"/>
              <w:spacing w:before="66"/>
              <w:ind w:left="276" w:right="289"/>
              <w:rPr>
                <w:sz w:val="18"/>
              </w:rPr>
            </w:pPr>
            <w:r>
              <w:rPr>
                <w:w w:val="110"/>
                <w:sz w:val="18"/>
              </w:rPr>
              <w:t>708,000</w:t>
            </w:r>
          </w:p>
        </w:tc>
        <w:tc>
          <w:tcPr>
            <w:tcW w:w="1711" w:type="dxa"/>
            <w:tcBorders>
              <w:top w:val="single" w:sz="6" w:space="0" w:color="69BD28"/>
              <w:bottom w:val="single" w:sz="6" w:space="0" w:color="69BD28"/>
            </w:tcBorders>
          </w:tcPr>
          <w:p>
            <w:pPr>
              <w:pStyle w:val="TableParagraph"/>
              <w:spacing w:before="66"/>
              <w:ind w:left="106" w:right="131"/>
              <w:rPr>
                <w:sz w:val="18"/>
              </w:rPr>
            </w:pPr>
            <w:r>
              <w:rPr>
                <w:w w:val="105"/>
                <w:sz w:val="18"/>
              </w:rPr>
              <w:t>Q2, FY 2023</w:t>
            </w:r>
          </w:p>
        </w:tc>
        <w:tc>
          <w:tcPr>
            <w:tcW w:w="1868" w:type="dxa"/>
            <w:tcBorders>
              <w:top w:val="single" w:sz="6" w:space="0" w:color="69BD28"/>
              <w:bottom w:val="single" w:sz="6" w:space="0" w:color="69BD28"/>
            </w:tcBorders>
          </w:tcPr>
          <w:p>
            <w:pPr>
              <w:pStyle w:val="TableParagraph"/>
              <w:spacing w:before="66"/>
              <w:ind w:left="346"/>
              <w:jc w:val="left"/>
              <w:rPr>
                <w:sz w:val="18"/>
              </w:rPr>
            </w:pPr>
            <w:r>
              <w:rPr>
                <w:w w:val="105"/>
                <w:sz w:val="18"/>
              </w:rPr>
              <w:t>Q3, FY 2025</w:t>
            </w:r>
          </w:p>
        </w:tc>
        <w:tc>
          <w:tcPr>
            <w:tcW w:w="3331" w:type="dxa"/>
            <w:tcBorders>
              <w:top w:val="single" w:sz="6" w:space="0" w:color="69BD28"/>
              <w:bottom w:val="single" w:sz="6" w:space="0" w:color="69BD28"/>
            </w:tcBorders>
          </w:tcPr>
          <w:p>
            <w:pPr>
              <w:pStyle w:val="TableParagraph"/>
              <w:tabs>
                <w:tab w:pos="2023" w:val="left" w:leader="none"/>
              </w:tabs>
              <w:spacing w:before="66"/>
              <w:ind w:left="533"/>
              <w:jc w:val="left"/>
              <w:rPr>
                <w:sz w:val="18"/>
              </w:rPr>
            </w:pPr>
            <w:r>
              <w:rPr>
                <w:sz w:val="18"/>
              </w:rPr>
              <w:t>0.0%</w:t>
              <w:tab/>
              <w:t>Land</w:t>
            </w:r>
            <w:r>
              <w:rPr>
                <w:spacing w:val="-3"/>
                <w:sz w:val="18"/>
              </w:rPr>
              <w:t> </w:t>
            </w:r>
            <w:r>
              <w:rPr>
                <w:sz w:val="18"/>
              </w:rPr>
              <w:t>Stage</w:t>
            </w:r>
          </w:p>
        </w:tc>
      </w:tr>
      <w:tr>
        <w:trPr>
          <w:trHeight w:val="431" w:hRule="atLeast"/>
        </w:trPr>
        <w:tc>
          <w:tcPr>
            <w:tcW w:w="2175" w:type="dxa"/>
            <w:tcBorders>
              <w:top w:val="single" w:sz="6" w:space="0" w:color="69BD28"/>
              <w:bottom w:val="single" w:sz="6" w:space="0" w:color="69BD28"/>
            </w:tcBorders>
          </w:tcPr>
          <w:p>
            <w:pPr>
              <w:pStyle w:val="TableParagraph"/>
              <w:spacing w:before="119"/>
              <w:ind w:left="255" w:right="234"/>
              <w:rPr>
                <w:sz w:val="18"/>
              </w:rPr>
            </w:pPr>
            <w:r>
              <w:rPr>
                <w:sz w:val="18"/>
              </w:rPr>
              <w:t>Front Parcel - Retail</w:t>
            </w:r>
          </w:p>
        </w:tc>
        <w:tc>
          <w:tcPr>
            <w:tcW w:w="1402" w:type="dxa"/>
            <w:tcBorders>
              <w:top w:val="single" w:sz="6" w:space="0" w:color="69BD28"/>
              <w:bottom w:val="single" w:sz="6" w:space="0" w:color="69BD28"/>
            </w:tcBorders>
          </w:tcPr>
          <w:p>
            <w:pPr>
              <w:pStyle w:val="TableParagraph"/>
              <w:spacing w:before="119"/>
              <w:ind w:left="276" w:right="292"/>
              <w:rPr>
                <w:sz w:val="18"/>
              </w:rPr>
            </w:pPr>
            <w:r>
              <w:rPr>
                <w:w w:val="110"/>
                <w:sz w:val="18"/>
              </w:rPr>
              <w:t>58,083</w:t>
            </w:r>
          </w:p>
        </w:tc>
        <w:tc>
          <w:tcPr>
            <w:tcW w:w="1711" w:type="dxa"/>
            <w:tcBorders>
              <w:top w:val="single" w:sz="6" w:space="0" w:color="69BD28"/>
              <w:bottom w:val="single" w:sz="6" w:space="0" w:color="69BD28"/>
            </w:tcBorders>
          </w:tcPr>
          <w:p>
            <w:pPr>
              <w:pStyle w:val="TableParagraph"/>
              <w:spacing w:before="119"/>
              <w:ind w:left="108" w:right="131"/>
              <w:rPr>
                <w:sz w:val="18"/>
              </w:rPr>
            </w:pPr>
            <w:r>
              <w:rPr>
                <w:w w:val="105"/>
                <w:sz w:val="18"/>
              </w:rPr>
              <w:t>Q1, FY 2020</w:t>
            </w:r>
          </w:p>
        </w:tc>
        <w:tc>
          <w:tcPr>
            <w:tcW w:w="1868" w:type="dxa"/>
            <w:tcBorders>
              <w:top w:val="single" w:sz="6" w:space="0" w:color="69BD28"/>
              <w:bottom w:val="single" w:sz="6" w:space="0" w:color="69BD28"/>
            </w:tcBorders>
          </w:tcPr>
          <w:p>
            <w:pPr>
              <w:pStyle w:val="TableParagraph"/>
              <w:spacing w:before="119"/>
              <w:ind w:left="346"/>
              <w:jc w:val="left"/>
              <w:rPr>
                <w:sz w:val="18"/>
              </w:rPr>
            </w:pPr>
            <w:r>
              <w:rPr>
                <w:w w:val="105"/>
                <w:sz w:val="18"/>
              </w:rPr>
              <w:t>Q4, FY 2022</w:t>
            </w:r>
          </w:p>
        </w:tc>
        <w:tc>
          <w:tcPr>
            <w:tcW w:w="3331" w:type="dxa"/>
            <w:tcBorders>
              <w:top w:val="single" w:sz="6" w:space="0" w:color="69BD28"/>
              <w:bottom w:val="single" w:sz="6" w:space="0" w:color="69BD28"/>
            </w:tcBorders>
          </w:tcPr>
          <w:p>
            <w:pPr>
              <w:pStyle w:val="TableParagraph"/>
              <w:tabs>
                <w:tab w:pos="2184" w:val="left" w:leader="none"/>
              </w:tabs>
              <w:spacing w:line="156" w:lineRule="auto" w:before="31"/>
              <w:ind w:left="480"/>
              <w:jc w:val="left"/>
              <w:rPr>
                <w:sz w:val="18"/>
              </w:rPr>
            </w:pPr>
            <w:r>
              <w:rPr>
                <w:w w:val="105"/>
                <w:position w:val="-10"/>
                <w:sz w:val="18"/>
              </w:rPr>
              <w:t>29.7%</w:t>
              <w:tab/>
            </w:r>
            <w:r>
              <w:rPr>
                <w:w w:val="105"/>
                <w:sz w:val="18"/>
              </w:rPr>
              <w:t>Under-</w:t>
            </w:r>
          </w:p>
          <w:p>
            <w:pPr>
              <w:pStyle w:val="TableParagraph"/>
              <w:spacing w:line="132" w:lineRule="exact"/>
              <w:ind w:left="1968"/>
              <w:jc w:val="left"/>
              <w:rPr>
                <w:sz w:val="18"/>
              </w:rPr>
            </w:pPr>
            <w:r>
              <w:rPr>
                <w:sz w:val="18"/>
              </w:rPr>
              <w:t>Construction</w:t>
            </w:r>
          </w:p>
        </w:tc>
      </w:tr>
      <w:tr>
        <w:trPr>
          <w:trHeight w:val="431" w:hRule="atLeast"/>
        </w:trPr>
        <w:tc>
          <w:tcPr>
            <w:tcW w:w="2175" w:type="dxa"/>
            <w:tcBorders>
              <w:bottom w:val="single" w:sz="6" w:space="0" w:color="69BD28"/>
            </w:tcBorders>
          </w:tcPr>
          <w:p>
            <w:pPr>
              <w:pStyle w:val="TableParagraph"/>
              <w:spacing w:line="210" w:lineRule="atLeast" w:before="10"/>
              <w:ind w:left="360" w:firstLine="214"/>
              <w:jc w:val="left"/>
              <w:rPr>
                <w:sz w:val="18"/>
              </w:rPr>
            </w:pPr>
            <w:r>
              <w:rPr>
                <w:sz w:val="18"/>
              </w:rPr>
              <w:t>Front Parcel - Convention Centre</w:t>
            </w:r>
          </w:p>
        </w:tc>
        <w:tc>
          <w:tcPr>
            <w:tcW w:w="1402" w:type="dxa"/>
            <w:tcBorders>
              <w:bottom w:val="single" w:sz="6" w:space="0" w:color="69BD28"/>
            </w:tcBorders>
          </w:tcPr>
          <w:p>
            <w:pPr>
              <w:pStyle w:val="TableParagraph"/>
              <w:spacing w:before="119"/>
              <w:ind w:left="276" w:right="291"/>
              <w:rPr>
                <w:sz w:val="11"/>
              </w:rPr>
            </w:pPr>
            <w:r>
              <w:rPr>
                <w:w w:val="115"/>
                <w:sz w:val="18"/>
              </w:rPr>
              <w:t>58,000</w:t>
            </w:r>
            <w:r>
              <w:rPr>
                <w:w w:val="115"/>
                <w:position w:val="6"/>
                <w:sz w:val="11"/>
              </w:rPr>
              <w:t>#</w:t>
            </w:r>
          </w:p>
        </w:tc>
        <w:tc>
          <w:tcPr>
            <w:tcW w:w="1711" w:type="dxa"/>
            <w:tcBorders>
              <w:bottom w:val="single" w:sz="6" w:space="0" w:color="69BD28"/>
            </w:tcBorders>
          </w:tcPr>
          <w:p>
            <w:pPr>
              <w:pStyle w:val="TableParagraph"/>
              <w:spacing w:before="119"/>
              <w:ind w:left="108" w:right="131"/>
              <w:rPr>
                <w:sz w:val="18"/>
              </w:rPr>
            </w:pPr>
            <w:r>
              <w:rPr>
                <w:w w:val="105"/>
                <w:sz w:val="18"/>
              </w:rPr>
              <w:t>Q1, FY 2020</w:t>
            </w:r>
          </w:p>
        </w:tc>
        <w:tc>
          <w:tcPr>
            <w:tcW w:w="1868" w:type="dxa"/>
            <w:tcBorders>
              <w:bottom w:val="single" w:sz="6" w:space="0" w:color="69BD28"/>
            </w:tcBorders>
          </w:tcPr>
          <w:p>
            <w:pPr>
              <w:pStyle w:val="TableParagraph"/>
              <w:spacing w:before="119"/>
              <w:ind w:left="346"/>
              <w:jc w:val="left"/>
              <w:rPr>
                <w:sz w:val="18"/>
              </w:rPr>
            </w:pPr>
            <w:r>
              <w:rPr>
                <w:w w:val="105"/>
                <w:sz w:val="18"/>
              </w:rPr>
              <w:t>Q4, FY 2022</w:t>
            </w:r>
          </w:p>
        </w:tc>
        <w:tc>
          <w:tcPr>
            <w:tcW w:w="3331" w:type="dxa"/>
            <w:tcBorders>
              <w:bottom w:val="single" w:sz="6" w:space="0" w:color="69BD28"/>
            </w:tcBorders>
          </w:tcPr>
          <w:p>
            <w:pPr>
              <w:pStyle w:val="TableParagraph"/>
              <w:tabs>
                <w:tab w:pos="2184" w:val="left" w:leader="none"/>
              </w:tabs>
              <w:spacing w:line="156" w:lineRule="auto" w:before="31"/>
              <w:ind w:left="480"/>
              <w:jc w:val="left"/>
              <w:rPr>
                <w:sz w:val="18"/>
              </w:rPr>
            </w:pPr>
            <w:r>
              <w:rPr>
                <w:w w:val="105"/>
                <w:position w:val="-10"/>
                <w:sz w:val="18"/>
              </w:rPr>
              <w:t>29.7%</w:t>
              <w:tab/>
            </w:r>
            <w:r>
              <w:rPr>
                <w:w w:val="105"/>
                <w:sz w:val="18"/>
              </w:rPr>
              <w:t>Under-</w:t>
            </w:r>
          </w:p>
          <w:p>
            <w:pPr>
              <w:pStyle w:val="TableParagraph"/>
              <w:spacing w:line="133" w:lineRule="exact"/>
              <w:ind w:left="1968"/>
              <w:jc w:val="left"/>
              <w:rPr>
                <w:sz w:val="18"/>
              </w:rPr>
            </w:pPr>
            <w:r>
              <w:rPr>
                <w:sz w:val="18"/>
              </w:rPr>
              <w:t>Construction</w:t>
            </w:r>
          </w:p>
        </w:tc>
      </w:tr>
      <w:tr>
        <w:trPr>
          <w:trHeight w:val="431" w:hRule="atLeast"/>
        </w:trPr>
        <w:tc>
          <w:tcPr>
            <w:tcW w:w="2175" w:type="dxa"/>
            <w:tcBorders>
              <w:top w:val="single" w:sz="6" w:space="0" w:color="69BD28"/>
              <w:bottom w:val="single" w:sz="6" w:space="0" w:color="69BD28"/>
            </w:tcBorders>
          </w:tcPr>
          <w:p>
            <w:pPr>
              <w:pStyle w:val="TableParagraph"/>
              <w:spacing w:before="119"/>
              <w:ind w:left="256" w:right="233"/>
              <w:rPr>
                <w:sz w:val="18"/>
              </w:rPr>
            </w:pPr>
            <w:r>
              <w:rPr>
                <w:sz w:val="18"/>
              </w:rPr>
              <w:t>5 Star Hotel</w:t>
            </w:r>
          </w:p>
        </w:tc>
        <w:tc>
          <w:tcPr>
            <w:tcW w:w="1402" w:type="dxa"/>
            <w:tcBorders>
              <w:top w:val="single" w:sz="6" w:space="0" w:color="69BD28"/>
              <w:bottom w:val="single" w:sz="6" w:space="0" w:color="69BD28"/>
            </w:tcBorders>
          </w:tcPr>
          <w:p>
            <w:pPr>
              <w:pStyle w:val="TableParagraph"/>
              <w:spacing w:before="119"/>
              <w:ind w:left="276" w:right="292"/>
              <w:rPr>
                <w:sz w:val="11"/>
              </w:rPr>
            </w:pPr>
            <w:r>
              <w:rPr>
                <w:w w:val="115"/>
                <w:sz w:val="18"/>
              </w:rPr>
              <w:t>412,375</w:t>
            </w:r>
            <w:r>
              <w:rPr>
                <w:w w:val="115"/>
                <w:position w:val="6"/>
                <w:sz w:val="11"/>
              </w:rPr>
              <w:t>#</w:t>
            </w:r>
          </w:p>
        </w:tc>
        <w:tc>
          <w:tcPr>
            <w:tcW w:w="1711" w:type="dxa"/>
            <w:tcBorders>
              <w:top w:val="single" w:sz="6" w:space="0" w:color="69BD28"/>
              <w:bottom w:val="single" w:sz="6" w:space="0" w:color="69BD28"/>
            </w:tcBorders>
          </w:tcPr>
          <w:p>
            <w:pPr>
              <w:pStyle w:val="TableParagraph"/>
              <w:spacing w:before="119"/>
              <w:ind w:left="106" w:right="131"/>
              <w:rPr>
                <w:sz w:val="18"/>
              </w:rPr>
            </w:pPr>
            <w:r>
              <w:rPr>
                <w:w w:val="105"/>
                <w:sz w:val="18"/>
              </w:rPr>
              <w:t>Q1, FY 2018</w:t>
            </w:r>
          </w:p>
        </w:tc>
        <w:tc>
          <w:tcPr>
            <w:tcW w:w="1868" w:type="dxa"/>
            <w:tcBorders>
              <w:top w:val="single" w:sz="6" w:space="0" w:color="69BD28"/>
              <w:bottom w:val="single" w:sz="6" w:space="0" w:color="69BD28"/>
            </w:tcBorders>
          </w:tcPr>
          <w:p>
            <w:pPr>
              <w:pStyle w:val="TableParagraph"/>
              <w:spacing w:before="119"/>
              <w:ind w:left="346"/>
              <w:jc w:val="left"/>
              <w:rPr>
                <w:sz w:val="18"/>
              </w:rPr>
            </w:pPr>
            <w:r>
              <w:rPr>
                <w:w w:val="105"/>
                <w:sz w:val="18"/>
              </w:rPr>
              <w:t>Q4, FY 2022</w:t>
            </w:r>
          </w:p>
        </w:tc>
        <w:tc>
          <w:tcPr>
            <w:tcW w:w="3331" w:type="dxa"/>
            <w:tcBorders>
              <w:top w:val="single" w:sz="6" w:space="0" w:color="69BD28"/>
              <w:bottom w:val="single" w:sz="6" w:space="0" w:color="69BD28"/>
            </w:tcBorders>
          </w:tcPr>
          <w:p>
            <w:pPr>
              <w:pStyle w:val="TableParagraph"/>
              <w:tabs>
                <w:tab w:pos="2184" w:val="left" w:leader="none"/>
              </w:tabs>
              <w:spacing w:line="156" w:lineRule="auto" w:before="31"/>
              <w:ind w:left="480"/>
              <w:jc w:val="left"/>
              <w:rPr>
                <w:sz w:val="18"/>
              </w:rPr>
            </w:pPr>
            <w:r>
              <w:rPr>
                <w:w w:val="105"/>
                <w:position w:val="-10"/>
                <w:sz w:val="18"/>
              </w:rPr>
              <w:t>31.9%</w:t>
              <w:tab/>
            </w:r>
            <w:r>
              <w:rPr>
                <w:w w:val="105"/>
                <w:sz w:val="18"/>
              </w:rPr>
              <w:t>Under-</w:t>
            </w:r>
          </w:p>
          <w:p>
            <w:pPr>
              <w:pStyle w:val="TableParagraph"/>
              <w:spacing w:line="132" w:lineRule="exact"/>
              <w:ind w:left="1968"/>
              <w:jc w:val="left"/>
              <w:rPr>
                <w:sz w:val="18"/>
              </w:rPr>
            </w:pPr>
            <w:r>
              <w:rPr>
                <w:sz w:val="18"/>
              </w:rPr>
              <w:t>Construction</w:t>
            </w:r>
          </w:p>
        </w:tc>
      </w:tr>
      <w:tr>
        <w:trPr>
          <w:trHeight w:val="431" w:hRule="atLeast"/>
        </w:trPr>
        <w:tc>
          <w:tcPr>
            <w:tcW w:w="2175" w:type="dxa"/>
            <w:tcBorders>
              <w:top w:val="single" w:sz="6" w:space="0" w:color="69BD28"/>
              <w:bottom w:val="single" w:sz="6" w:space="0" w:color="69BD28"/>
            </w:tcBorders>
          </w:tcPr>
          <w:p>
            <w:pPr>
              <w:pStyle w:val="TableParagraph"/>
              <w:spacing w:before="119"/>
              <w:ind w:left="256" w:right="233"/>
              <w:rPr>
                <w:sz w:val="18"/>
              </w:rPr>
            </w:pPr>
            <w:r>
              <w:rPr>
                <w:sz w:val="18"/>
              </w:rPr>
              <w:t>3 Star Hotel</w:t>
            </w:r>
          </w:p>
        </w:tc>
        <w:tc>
          <w:tcPr>
            <w:tcW w:w="1402" w:type="dxa"/>
            <w:tcBorders>
              <w:top w:val="single" w:sz="6" w:space="0" w:color="69BD28"/>
              <w:bottom w:val="single" w:sz="6" w:space="0" w:color="69BD28"/>
            </w:tcBorders>
          </w:tcPr>
          <w:p>
            <w:pPr>
              <w:pStyle w:val="TableParagraph"/>
              <w:spacing w:before="119"/>
              <w:ind w:left="276" w:right="292"/>
              <w:rPr>
                <w:sz w:val="11"/>
              </w:rPr>
            </w:pPr>
            <w:r>
              <w:rPr>
                <w:w w:val="115"/>
                <w:sz w:val="18"/>
              </w:rPr>
              <w:t>310,303</w:t>
            </w:r>
            <w:r>
              <w:rPr>
                <w:w w:val="115"/>
                <w:position w:val="6"/>
                <w:sz w:val="11"/>
              </w:rPr>
              <w:t>#</w:t>
            </w:r>
          </w:p>
        </w:tc>
        <w:tc>
          <w:tcPr>
            <w:tcW w:w="1711" w:type="dxa"/>
            <w:tcBorders>
              <w:top w:val="single" w:sz="6" w:space="0" w:color="69BD28"/>
              <w:bottom w:val="single" w:sz="6" w:space="0" w:color="69BD28"/>
            </w:tcBorders>
          </w:tcPr>
          <w:p>
            <w:pPr>
              <w:pStyle w:val="TableParagraph"/>
              <w:spacing w:before="119"/>
              <w:ind w:left="106" w:right="131"/>
              <w:rPr>
                <w:sz w:val="18"/>
              </w:rPr>
            </w:pPr>
            <w:r>
              <w:rPr>
                <w:w w:val="105"/>
                <w:sz w:val="18"/>
              </w:rPr>
              <w:t>Q1, FY 2018</w:t>
            </w:r>
          </w:p>
        </w:tc>
        <w:tc>
          <w:tcPr>
            <w:tcW w:w="1868" w:type="dxa"/>
            <w:tcBorders>
              <w:top w:val="single" w:sz="6" w:space="0" w:color="69BD28"/>
              <w:bottom w:val="single" w:sz="6" w:space="0" w:color="69BD28"/>
            </w:tcBorders>
          </w:tcPr>
          <w:p>
            <w:pPr>
              <w:pStyle w:val="TableParagraph"/>
              <w:spacing w:before="119"/>
              <w:ind w:left="346"/>
              <w:jc w:val="left"/>
              <w:rPr>
                <w:sz w:val="18"/>
              </w:rPr>
            </w:pPr>
            <w:r>
              <w:rPr>
                <w:w w:val="105"/>
                <w:sz w:val="18"/>
              </w:rPr>
              <w:t>Q4, FY 2022</w:t>
            </w:r>
          </w:p>
        </w:tc>
        <w:tc>
          <w:tcPr>
            <w:tcW w:w="3331" w:type="dxa"/>
            <w:tcBorders>
              <w:top w:val="single" w:sz="6" w:space="0" w:color="69BD28"/>
              <w:bottom w:val="single" w:sz="6" w:space="0" w:color="69BD28"/>
            </w:tcBorders>
          </w:tcPr>
          <w:p>
            <w:pPr>
              <w:pStyle w:val="TableParagraph"/>
              <w:tabs>
                <w:tab w:pos="2184" w:val="left" w:leader="none"/>
              </w:tabs>
              <w:spacing w:line="156" w:lineRule="auto" w:before="31"/>
              <w:ind w:left="480"/>
              <w:jc w:val="left"/>
              <w:rPr>
                <w:sz w:val="18"/>
              </w:rPr>
            </w:pPr>
            <w:r>
              <w:rPr>
                <w:w w:val="105"/>
                <w:position w:val="-10"/>
                <w:sz w:val="18"/>
              </w:rPr>
              <w:t>31.9%</w:t>
              <w:tab/>
            </w:r>
            <w:r>
              <w:rPr>
                <w:w w:val="105"/>
                <w:sz w:val="18"/>
              </w:rPr>
              <w:t>Under-</w:t>
            </w:r>
          </w:p>
          <w:p>
            <w:pPr>
              <w:pStyle w:val="TableParagraph"/>
              <w:spacing w:line="132" w:lineRule="exact"/>
              <w:ind w:left="1968"/>
              <w:jc w:val="left"/>
              <w:rPr>
                <w:sz w:val="18"/>
              </w:rPr>
            </w:pPr>
            <w:r>
              <w:rPr>
                <w:sz w:val="18"/>
              </w:rPr>
              <w:t>Construction</w:t>
            </w:r>
          </w:p>
        </w:tc>
      </w:tr>
    </w:tbl>
    <w:p>
      <w:pPr>
        <w:spacing w:before="4"/>
        <w:ind w:left="786" w:right="0" w:firstLine="0"/>
        <w:jc w:val="both"/>
        <w:rPr>
          <w:i/>
          <w:sz w:val="18"/>
        </w:rPr>
      </w:pPr>
      <w:r>
        <w:rPr>
          <w:i/>
          <w:sz w:val="18"/>
        </w:rPr>
        <w:t>Source: Client’s inputs; *the timelines are mentioned as per Financial year beginning April to March</w:t>
      </w:r>
    </w:p>
    <w:p>
      <w:pPr>
        <w:pStyle w:val="BodyText"/>
        <w:spacing w:before="11"/>
        <w:rPr>
          <w:i/>
          <w:sz w:val="26"/>
        </w:rPr>
      </w:pPr>
    </w:p>
    <w:p>
      <w:pPr>
        <w:pStyle w:val="ListParagraph"/>
        <w:numPr>
          <w:ilvl w:val="2"/>
          <w:numId w:val="14"/>
        </w:numPr>
        <w:tabs>
          <w:tab w:pos="941" w:val="left" w:leader="none"/>
        </w:tabs>
        <w:spacing w:line="240" w:lineRule="auto" w:before="0" w:after="0"/>
        <w:ind w:left="940" w:right="0" w:hanging="721"/>
        <w:jc w:val="both"/>
        <w:rPr>
          <w:sz w:val="22"/>
        </w:rPr>
      </w:pPr>
      <w:bookmarkStart w:name="_bookmark64" w:id="128"/>
      <w:bookmarkEnd w:id="128"/>
      <w:r>
        <w:rPr/>
      </w:r>
      <w:bookmarkStart w:name="_bookmark64" w:id="129"/>
      <w:bookmarkEnd w:id="129"/>
      <w:r>
        <w:rPr>
          <w:color w:val="1F664D"/>
          <w:sz w:val="22"/>
        </w:rPr>
        <w:t>A</w:t>
      </w:r>
      <w:r>
        <w:rPr>
          <w:color w:val="1F664D"/>
          <w:sz w:val="22"/>
        </w:rPr>
        <w:t>bsorption/ Leasing Velocity and Occupancy Profile</w:t>
      </w:r>
    </w:p>
    <w:p>
      <w:pPr>
        <w:pStyle w:val="BodyText"/>
        <w:spacing w:before="6"/>
        <w:rPr>
          <w:sz w:val="25"/>
        </w:rPr>
      </w:pPr>
    </w:p>
    <w:p>
      <w:pPr>
        <w:pStyle w:val="ListParagraph"/>
        <w:numPr>
          <w:ilvl w:val="3"/>
          <w:numId w:val="31"/>
        </w:numPr>
        <w:tabs>
          <w:tab w:pos="1085" w:val="left" w:leader="none"/>
        </w:tabs>
        <w:spacing w:line="240" w:lineRule="auto" w:before="0" w:after="0"/>
        <w:ind w:left="1084" w:right="0" w:hanging="865"/>
        <w:jc w:val="both"/>
        <w:rPr>
          <w:i/>
          <w:sz w:val="20"/>
        </w:rPr>
      </w:pPr>
      <w:r>
        <w:rPr>
          <w:i/>
          <w:color w:val="008000"/>
          <w:sz w:val="20"/>
        </w:rPr>
        <w:t>Completed</w:t>
      </w:r>
      <w:r>
        <w:rPr>
          <w:i/>
          <w:color w:val="008000"/>
          <w:spacing w:val="-3"/>
          <w:sz w:val="20"/>
        </w:rPr>
        <w:t> </w:t>
      </w:r>
      <w:r>
        <w:rPr>
          <w:i/>
          <w:color w:val="008000"/>
          <w:sz w:val="20"/>
        </w:rPr>
        <w:t>Blocks</w:t>
      </w:r>
    </w:p>
    <w:p>
      <w:pPr>
        <w:pStyle w:val="BodyText"/>
        <w:spacing w:line="321" w:lineRule="auto" w:before="76"/>
        <w:ind w:left="786" w:right="198"/>
        <w:jc w:val="both"/>
      </w:pPr>
      <w:r>
        <w:rPr/>
        <w:t>In</w:t>
      </w:r>
      <w:r>
        <w:rPr>
          <w:spacing w:val="-32"/>
        </w:rPr>
        <w:t> </w:t>
      </w:r>
      <w:r>
        <w:rPr/>
        <w:t>order</w:t>
      </w:r>
      <w:r>
        <w:rPr>
          <w:spacing w:val="-31"/>
        </w:rPr>
        <w:t> </w:t>
      </w:r>
      <w:r>
        <w:rPr/>
        <w:t>to</w:t>
      </w:r>
      <w:r>
        <w:rPr>
          <w:spacing w:val="-31"/>
        </w:rPr>
        <w:t> </w:t>
      </w:r>
      <w:r>
        <w:rPr/>
        <w:t>arrive</w:t>
      </w:r>
      <w:r>
        <w:rPr>
          <w:spacing w:val="-31"/>
        </w:rPr>
        <w:t> </w:t>
      </w:r>
      <w:r>
        <w:rPr/>
        <w:t>at</w:t>
      </w:r>
      <w:r>
        <w:rPr>
          <w:spacing w:val="-30"/>
        </w:rPr>
        <w:t> </w:t>
      </w:r>
      <w:r>
        <w:rPr/>
        <w:t>the</w:t>
      </w:r>
      <w:r>
        <w:rPr>
          <w:spacing w:val="-31"/>
        </w:rPr>
        <w:t> </w:t>
      </w:r>
      <w:r>
        <w:rPr/>
        <w:t>future</w:t>
      </w:r>
      <w:r>
        <w:rPr>
          <w:spacing w:val="-31"/>
        </w:rPr>
        <w:t> </w:t>
      </w:r>
      <w:r>
        <w:rPr/>
        <w:t>absorption</w:t>
      </w:r>
      <w:r>
        <w:rPr>
          <w:spacing w:val="-31"/>
        </w:rPr>
        <w:t> </w:t>
      </w:r>
      <w:r>
        <w:rPr/>
        <w:t>levels</w:t>
      </w:r>
      <w:r>
        <w:rPr>
          <w:spacing w:val="-31"/>
        </w:rPr>
        <w:t> </w:t>
      </w:r>
      <w:r>
        <w:rPr/>
        <w:t>at</w:t>
      </w:r>
      <w:r>
        <w:rPr>
          <w:spacing w:val="-32"/>
        </w:rPr>
        <w:t> </w:t>
      </w:r>
      <w:r>
        <w:rPr/>
        <w:t>the</w:t>
      </w:r>
      <w:r>
        <w:rPr>
          <w:spacing w:val="-31"/>
        </w:rPr>
        <w:t> </w:t>
      </w:r>
      <w:r>
        <w:rPr/>
        <w:t>subject</w:t>
      </w:r>
      <w:r>
        <w:rPr>
          <w:spacing w:val="-31"/>
        </w:rPr>
        <w:t> </w:t>
      </w:r>
      <w:r>
        <w:rPr/>
        <w:t>property,</w:t>
      </w:r>
      <w:r>
        <w:rPr>
          <w:spacing w:val="-32"/>
        </w:rPr>
        <w:t> </w:t>
      </w:r>
      <w:r>
        <w:rPr/>
        <w:t>we</w:t>
      </w:r>
      <w:r>
        <w:rPr>
          <w:spacing w:val="-33"/>
        </w:rPr>
        <w:t> </w:t>
      </w:r>
      <w:r>
        <w:rPr/>
        <w:t>have</w:t>
      </w:r>
      <w:r>
        <w:rPr>
          <w:spacing w:val="-31"/>
        </w:rPr>
        <w:t> </w:t>
      </w:r>
      <w:r>
        <w:rPr/>
        <w:t>analysed</w:t>
      </w:r>
      <w:r>
        <w:rPr>
          <w:spacing w:val="-31"/>
        </w:rPr>
        <w:t> </w:t>
      </w:r>
      <w:r>
        <w:rPr/>
        <w:t>the</w:t>
      </w:r>
      <w:r>
        <w:rPr>
          <w:spacing w:val="-31"/>
        </w:rPr>
        <w:t> </w:t>
      </w:r>
      <w:r>
        <w:rPr/>
        <w:t>historical demand</w:t>
      </w:r>
      <w:r>
        <w:rPr>
          <w:spacing w:val="-34"/>
        </w:rPr>
        <w:t> </w:t>
      </w:r>
      <w:r>
        <w:rPr/>
        <w:t>and</w:t>
      </w:r>
      <w:r>
        <w:rPr>
          <w:spacing w:val="-33"/>
        </w:rPr>
        <w:t> </w:t>
      </w:r>
      <w:r>
        <w:rPr/>
        <w:t>supply</w:t>
      </w:r>
      <w:r>
        <w:rPr>
          <w:spacing w:val="-33"/>
        </w:rPr>
        <w:t> </w:t>
      </w:r>
      <w:r>
        <w:rPr/>
        <w:t>trends</w:t>
      </w:r>
      <w:r>
        <w:rPr>
          <w:spacing w:val="-33"/>
        </w:rPr>
        <w:t> </w:t>
      </w:r>
      <w:r>
        <w:rPr/>
        <w:t>coupled</w:t>
      </w:r>
      <w:r>
        <w:rPr>
          <w:spacing w:val="-33"/>
        </w:rPr>
        <w:t> </w:t>
      </w:r>
      <w:r>
        <w:rPr/>
        <w:t>with</w:t>
      </w:r>
      <w:r>
        <w:rPr>
          <w:spacing w:val="-34"/>
        </w:rPr>
        <w:t> </w:t>
      </w:r>
      <w:r>
        <w:rPr/>
        <w:t>the</w:t>
      </w:r>
      <w:r>
        <w:rPr>
          <w:spacing w:val="-32"/>
        </w:rPr>
        <w:t> </w:t>
      </w:r>
      <w:r>
        <w:rPr/>
        <w:t>estimation</w:t>
      </w:r>
      <w:r>
        <w:rPr>
          <w:spacing w:val="-33"/>
        </w:rPr>
        <w:t> </w:t>
      </w:r>
      <w:r>
        <w:rPr/>
        <w:t>of</w:t>
      </w:r>
      <w:r>
        <w:rPr>
          <w:spacing w:val="-31"/>
        </w:rPr>
        <w:t> </w:t>
      </w:r>
      <w:r>
        <w:rPr/>
        <w:t>future</w:t>
      </w:r>
      <w:r>
        <w:rPr>
          <w:spacing w:val="-32"/>
        </w:rPr>
        <w:t> </w:t>
      </w:r>
      <w:r>
        <w:rPr/>
        <w:t>supply</w:t>
      </w:r>
      <w:r>
        <w:rPr>
          <w:spacing w:val="-33"/>
        </w:rPr>
        <w:t> </w:t>
      </w:r>
      <w:r>
        <w:rPr/>
        <w:t>proposed</w:t>
      </w:r>
      <w:r>
        <w:rPr>
          <w:spacing w:val="-32"/>
        </w:rPr>
        <w:t> </w:t>
      </w:r>
      <w:r>
        <w:rPr/>
        <w:t>to</w:t>
      </w:r>
      <w:r>
        <w:rPr>
          <w:spacing w:val="-34"/>
        </w:rPr>
        <w:t> </w:t>
      </w:r>
      <w:r>
        <w:rPr/>
        <w:t>be</w:t>
      </w:r>
      <w:r>
        <w:rPr>
          <w:spacing w:val="-32"/>
        </w:rPr>
        <w:t> </w:t>
      </w:r>
      <w:r>
        <w:rPr/>
        <w:t>introduced</w:t>
      </w:r>
      <w:r>
        <w:rPr>
          <w:spacing w:val="-31"/>
        </w:rPr>
        <w:t> </w:t>
      </w:r>
      <w:r>
        <w:rPr/>
        <w:t>in</w:t>
      </w:r>
      <w:r>
        <w:rPr>
          <w:spacing w:val="-34"/>
        </w:rPr>
        <w:t> </w:t>
      </w:r>
      <w:r>
        <w:rPr/>
        <w:t>the subject sub</w:t>
      </w:r>
      <w:r>
        <w:rPr>
          <w:spacing w:val="-7"/>
        </w:rPr>
        <w:t> </w:t>
      </w:r>
      <w:r>
        <w:rPr/>
        <w:t>market.</w:t>
      </w:r>
    </w:p>
    <w:p>
      <w:pPr>
        <w:pStyle w:val="BodyText"/>
        <w:spacing w:before="8"/>
        <w:rPr>
          <w:sz w:val="20"/>
        </w:rPr>
      </w:pPr>
    </w:p>
    <w:p>
      <w:pPr>
        <w:pStyle w:val="BodyText"/>
        <w:spacing w:line="321" w:lineRule="auto"/>
        <w:ind w:left="786" w:right="197"/>
        <w:jc w:val="both"/>
      </w:pPr>
      <w:r>
        <w:rPr/>
        <w:t>Keeping</w:t>
      </w:r>
      <w:r>
        <w:rPr>
          <w:spacing w:val="-35"/>
        </w:rPr>
        <w:t> </w:t>
      </w:r>
      <w:r>
        <w:rPr/>
        <w:t>the</w:t>
      </w:r>
      <w:r>
        <w:rPr>
          <w:spacing w:val="-36"/>
        </w:rPr>
        <w:t> </w:t>
      </w:r>
      <w:r>
        <w:rPr/>
        <w:t>same</w:t>
      </w:r>
      <w:r>
        <w:rPr>
          <w:spacing w:val="-34"/>
        </w:rPr>
        <w:t> </w:t>
      </w:r>
      <w:r>
        <w:rPr/>
        <w:t>in</w:t>
      </w:r>
      <w:r>
        <w:rPr>
          <w:spacing w:val="-37"/>
        </w:rPr>
        <w:t> </w:t>
      </w:r>
      <w:r>
        <w:rPr/>
        <w:t>perspective,</w:t>
      </w:r>
      <w:r>
        <w:rPr>
          <w:spacing w:val="-35"/>
        </w:rPr>
        <w:t> </w:t>
      </w:r>
      <w:r>
        <w:rPr/>
        <w:t>we</w:t>
      </w:r>
      <w:r>
        <w:rPr>
          <w:spacing w:val="-34"/>
        </w:rPr>
        <w:t> </w:t>
      </w:r>
      <w:r>
        <w:rPr/>
        <w:t>opine</w:t>
      </w:r>
      <w:r>
        <w:rPr>
          <w:spacing w:val="-35"/>
        </w:rPr>
        <w:t> </w:t>
      </w:r>
      <w:r>
        <w:rPr/>
        <w:t>that</w:t>
      </w:r>
      <w:r>
        <w:rPr>
          <w:spacing w:val="-34"/>
        </w:rPr>
        <w:t> </w:t>
      </w:r>
      <w:r>
        <w:rPr/>
        <w:t>the</w:t>
      </w:r>
      <w:r>
        <w:rPr>
          <w:spacing w:val="-36"/>
        </w:rPr>
        <w:t> </w:t>
      </w:r>
      <w:r>
        <w:rPr/>
        <w:t>vacant</w:t>
      </w:r>
      <w:r>
        <w:rPr>
          <w:spacing w:val="-35"/>
        </w:rPr>
        <w:t> </w:t>
      </w:r>
      <w:r>
        <w:rPr/>
        <w:t>space</w:t>
      </w:r>
      <w:r>
        <w:rPr>
          <w:spacing w:val="-34"/>
        </w:rPr>
        <w:t> </w:t>
      </w:r>
      <w:r>
        <w:rPr/>
        <w:t>in</w:t>
      </w:r>
      <w:r>
        <w:rPr>
          <w:spacing w:val="-37"/>
        </w:rPr>
        <w:t> </w:t>
      </w:r>
      <w:r>
        <w:rPr/>
        <w:t>the</w:t>
      </w:r>
      <w:r>
        <w:rPr>
          <w:spacing w:val="-36"/>
        </w:rPr>
        <w:t> </w:t>
      </w:r>
      <w:r>
        <w:rPr/>
        <w:t>subject</w:t>
      </w:r>
      <w:r>
        <w:rPr>
          <w:spacing w:val="-35"/>
        </w:rPr>
        <w:t> </w:t>
      </w:r>
      <w:r>
        <w:rPr/>
        <w:t>property</w:t>
      </w:r>
      <w:r>
        <w:rPr>
          <w:spacing w:val="-35"/>
        </w:rPr>
        <w:t> </w:t>
      </w:r>
      <w:r>
        <w:rPr/>
        <w:t>would</w:t>
      </w:r>
      <w:r>
        <w:rPr>
          <w:spacing w:val="-35"/>
        </w:rPr>
        <w:t> </w:t>
      </w:r>
      <w:r>
        <w:rPr/>
        <w:t>be</w:t>
      </w:r>
      <w:r>
        <w:rPr>
          <w:spacing w:val="-35"/>
        </w:rPr>
        <w:t> </w:t>
      </w:r>
      <w:r>
        <w:rPr/>
        <w:t>leased by </w:t>
      </w:r>
      <w:r>
        <w:rPr>
          <w:spacing w:val="-2"/>
        </w:rPr>
        <w:t>end </w:t>
      </w:r>
      <w:r>
        <w:rPr/>
        <w:t>of Q1, FY</w:t>
      </w:r>
      <w:r>
        <w:rPr>
          <w:spacing w:val="-2"/>
        </w:rPr>
        <w:t> </w:t>
      </w:r>
      <w:r>
        <w:rPr/>
        <w:t>2022.</w:t>
      </w:r>
    </w:p>
    <w:p>
      <w:pPr>
        <w:pStyle w:val="BodyText"/>
        <w:spacing w:before="4"/>
        <w:rPr>
          <w:sz w:val="23"/>
        </w:rPr>
      </w:pPr>
    </w:p>
    <w:p>
      <w:pPr>
        <w:pStyle w:val="ListParagraph"/>
        <w:numPr>
          <w:ilvl w:val="3"/>
          <w:numId w:val="31"/>
        </w:numPr>
        <w:tabs>
          <w:tab w:pos="1085" w:val="left" w:leader="none"/>
        </w:tabs>
        <w:spacing w:line="240" w:lineRule="auto" w:before="0" w:after="0"/>
        <w:ind w:left="1084" w:right="0" w:hanging="865"/>
        <w:jc w:val="both"/>
        <w:rPr>
          <w:i/>
          <w:sz w:val="20"/>
        </w:rPr>
      </w:pPr>
      <w:r>
        <w:rPr>
          <w:i/>
          <w:color w:val="008000"/>
          <w:sz w:val="20"/>
        </w:rPr>
        <w:t>Under-Construction/ Proposed</w:t>
      </w:r>
      <w:r>
        <w:rPr>
          <w:i/>
          <w:color w:val="008000"/>
          <w:spacing w:val="-9"/>
          <w:sz w:val="20"/>
        </w:rPr>
        <w:t> </w:t>
      </w:r>
      <w:r>
        <w:rPr>
          <w:i/>
          <w:color w:val="008000"/>
          <w:sz w:val="20"/>
        </w:rPr>
        <w:t>Blocks</w:t>
      </w:r>
    </w:p>
    <w:p>
      <w:pPr>
        <w:pStyle w:val="BodyText"/>
        <w:spacing w:line="321" w:lineRule="auto" w:before="76"/>
        <w:ind w:left="786" w:right="197"/>
        <w:jc w:val="both"/>
      </w:pPr>
      <w:r>
        <w:rPr/>
        <w:t>The</w:t>
      </w:r>
      <w:r>
        <w:rPr>
          <w:spacing w:val="-28"/>
        </w:rPr>
        <w:t> </w:t>
      </w:r>
      <w:r>
        <w:rPr/>
        <w:t>absorption</w:t>
      </w:r>
      <w:r>
        <w:rPr>
          <w:spacing w:val="-27"/>
        </w:rPr>
        <w:t> </w:t>
      </w:r>
      <w:r>
        <w:rPr/>
        <w:t>period</w:t>
      </w:r>
      <w:r>
        <w:rPr>
          <w:spacing w:val="-26"/>
        </w:rPr>
        <w:t> </w:t>
      </w:r>
      <w:r>
        <w:rPr/>
        <w:t>assumed</w:t>
      </w:r>
      <w:r>
        <w:rPr>
          <w:spacing w:val="-26"/>
        </w:rPr>
        <w:t> </w:t>
      </w:r>
      <w:r>
        <w:rPr/>
        <w:t>for</w:t>
      </w:r>
      <w:r>
        <w:rPr>
          <w:spacing w:val="-27"/>
        </w:rPr>
        <w:t> </w:t>
      </w:r>
      <w:r>
        <w:rPr/>
        <w:t>the</w:t>
      </w:r>
      <w:r>
        <w:rPr>
          <w:spacing w:val="-27"/>
        </w:rPr>
        <w:t> </w:t>
      </w:r>
      <w:r>
        <w:rPr/>
        <w:t>subject</w:t>
      </w:r>
      <w:r>
        <w:rPr>
          <w:spacing w:val="-26"/>
        </w:rPr>
        <w:t> </w:t>
      </w:r>
      <w:r>
        <w:rPr/>
        <w:t>development</w:t>
      </w:r>
      <w:r>
        <w:rPr>
          <w:spacing w:val="-27"/>
        </w:rPr>
        <w:t> </w:t>
      </w:r>
      <w:r>
        <w:rPr/>
        <w:t>is</w:t>
      </w:r>
      <w:r>
        <w:rPr>
          <w:spacing w:val="-26"/>
        </w:rPr>
        <w:t> </w:t>
      </w:r>
      <w:r>
        <w:rPr/>
        <w:t>based</w:t>
      </w:r>
      <w:r>
        <w:rPr>
          <w:spacing w:val="-26"/>
        </w:rPr>
        <w:t> </w:t>
      </w:r>
      <w:r>
        <w:rPr/>
        <w:t>on</w:t>
      </w:r>
      <w:r>
        <w:rPr>
          <w:spacing w:val="-27"/>
        </w:rPr>
        <w:t> </w:t>
      </w:r>
      <w:r>
        <w:rPr/>
        <w:t>market</w:t>
      </w:r>
      <w:r>
        <w:rPr>
          <w:spacing w:val="-26"/>
        </w:rPr>
        <w:t> </w:t>
      </w:r>
      <w:r>
        <w:rPr/>
        <w:t>dynamics</w:t>
      </w:r>
      <w:r>
        <w:rPr>
          <w:spacing w:val="-26"/>
        </w:rPr>
        <w:t> </w:t>
      </w:r>
      <w:r>
        <w:rPr/>
        <w:t>and</w:t>
      </w:r>
      <w:r>
        <w:rPr>
          <w:spacing w:val="-26"/>
        </w:rPr>
        <w:t> </w:t>
      </w:r>
      <w:r>
        <w:rPr/>
        <w:t>extent</w:t>
      </w:r>
      <w:r>
        <w:rPr>
          <w:spacing w:val="-28"/>
        </w:rPr>
        <w:t> </w:t>
      </w:r>
      <w:r>
        <w:rPr/>
        <w:t>of development in the relevant sub market, nature of subject development, competing supply of same nature, location within the respective sub market, etc. The table below highlights the absorption assumptions adopted for the subject</w:t>
      </w:r>
      <w:r>
        <w:rPr>
          <w:spacing w:val="-25"/>
        </w:rPr>
        <w:t> </w:t>
      </w:r>
      <w:r>
        <w:rPr/>
        <w:t>development:</w:t>
      </w:r>
    </w:p>
    <w:p>
      <w:pPr>
        <w:spacing w:after="0" w:line="321" w:lineRule="auto"/>
        <w:jc w:val="both"/>
        <w:sectPr>
          <w:pgSz w:w="11910" w:h="16840"/>
          <w:pgMar w:header="720" w:footer="842" w:top="1660" w:bottom="1040" w:left="500" w:right="520"/>
        </w:sectPr>
      </w:pPr>
    </w:p>
    <w:p>
      <w:pPr>
        <w:pStyle w:val="BodyText"/>
        <w:rPr>
          <w:sz w:val="20"/>
        </w:rPr>
      </w:pPr>
    </w:p>
    <w:p>
      <w:pPr>
        <w:pStyle w:val="BodyText"/>
        <w:spacing w:before="9"/>
        <w:rPr>
          <w:sz w:val="19"/>
        </w:rPr>
      </w:pPr>
    </w:p>
    <w:p>
      <w:pPr>
        <w:spacing w:before="0"/>
        <w:ind w:left="1775" w:right="0" w:firstLine="0"/>
        <w:jc w:val="left"/>
        <w:rPr>
          <w:b/>
          <w:sz w:val="18"/>
        </w:rPr>
      </w:pPr>
      <w:r>
        <w:rPr/>
        <w:pict>
          <v:shape style="position:absolute;margin-left:35.279999pt;margin-top:-11.709294pt;width:524.3pt;height:187.5pt;mso-position-horizontal-relative:page;mso-position-vertical-relative:paragraph;z-index:1592883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1"/>
                    <w:gridCol w:w="1308"/>
                    <w:gridCol w:w="1310"/>
                    <w:gridCol w:w="1310"/>
                    <w:gridCol w:w="1275"/>
                    <w:gridCol w:w="1344"/>
                  </w:tblGrid>
                  <w:tr>
                    <w:trPr>
                      <w:trHeight w:val="431" w:hRule="atLeast"/>
                    </w:trPr>
                    <w:tc>
                      <w:tcPr>
                        <w:tcW w:w="3941" w:type="dxa"/>
                        <w:tcBorders>
                          <w:top w:val="single" w:sz="12" w:space="0" w:color="1B6B22"/>
                          <w:bottom w:val="single" w:sz="6" w:space="0" w:color="69BD28"/>
                        </w:tcBorders>
                        <w:shd w:val="clear" w:color="auto" w:fill="006A4D"/>
                      </w:tcPr>
                      <w:p>
                        <w:pPr>
                          <w:pStyle w:val="TableParagraph"/>
                          <w:tabs>
                            <w:tab w:pos="1476" w:val="left" w:leader="none"/>
                            <w:tab w:pos="2928" w:val="left" w:leader="none"/>
                          </w:tabs>
                          <w:spacing w:before="1"/>
                          <w:ind w:left="422"/>
                          <w:jc w:val="left"/>
                          <w:rPr>
                            <w:b/>
                            <w:sz w:val="18"/>
                          </w:rPr>
                        </w:pPr>
                        <w:r>
                          <w:rPr>
                            <w:b/>
                            <w:color w:val="FFFFFF"/>
                            <w:w w:val="105"/>
                            <w:sz w:val="18"/>
                          </w:rPr>
                          <w:t>Block</w:t>
                          <w:tab/>
                        </w:r>
                        <w:r>
                          <w:rPr>
                            <w:b/>
                            <w:color w:val="FFFFFF"/>
                            <w:w w:val="105"/>
                            <w:position w:val="11"/>
                            <w:sz w:val="18"/>
                          </w:rPr>
                          <w:t>Absorption</w:t>
                          <w:tab/>
                        </w:r>
                        <w:r>
                          <w:rPr>
                            <w:b/>
                            <w:color w:val="FFFFFF"/>
                            <w:w w:val="105"/>
                            <w:sz w:val="18"/>
                          </w:rPr>
                          <w:t>FY</w:t>
                        </w:r>
                        <w:r>
                          <w:rPr>
                            <w:b/>
                            <w:color w:val="FFFFFF"/>
                            <w:spacing w:val="-2"/>
                            <w:w w:val="105"/>
                            <w:sz w:val="18"/>
                          </w:rPr>
                          <w:t> </w:t>
                        </w:r>
                        <w:r>
                          <w:rPr>
                            <w:b/>
                            <w:color w:val="FFFFFF"/>
                            <w:w w:val="105"/>
                            <w:sz w:val="18"/>
                          </w:rPr>
                          <w:t>2021</w:t>
                        </w:r>
                      </w:p>
                    </w:tc>
                    <w:tc>
                      <w:tcPr>
                        <w:tcW w:w="1308" w:type="dxa"/>
                        <w:tcBorders>
                          <w:top w:val="single" w:sz="12" w:space="0" w:color="1B6B22"/>
                          <w:bottom w:val="single" w:sz="6" w:space="0" w:color="69BD28"/>
                        </w:tcBorders>
                        <w:shd w:val="clear" w:color="auto" w:fill="006A4D"/>
                      </w:tcPr>
                      <w:p>
                        <w:pPr>
                          <w:pStyle w:val="TableParagraph"/>
                          <w:spacing w:before="111"/>
                          <w:ind w:left="270" w:right="271"/>
                          <w:rPr>
                            <w:b/>
                            <w:sz w:val="18"/>
                          </w:rPr>
                        </w:pPr>
                        <w:r>
                          <w:rPr>
                            <w:b/>
                            <w:color w:val="FFFFFF"/>
                            <w:w w:val="105"/>
                            <w:sz w:val="18"/>
                          </w:rPr>
                          <w:t>FY 2022</w:t>
                        </w:r>
                      </w:p>
                    </w:tc>
                    <w:tc>
                      <w:tcPr>
                        <w:tcW w:w="1310" w:type="dxa"/>
                        <w:tcBorders>
                          <w:top w:val="single" w:sz="12" w:space="0" w:color="1B6B22"/>
                          <w:bottom w:val="single" w:sz="6" w:space="0" w:color="69BD28"/>
                        </w:tcBorders>
                        <w:shd w:val="clear" w:color="auto" w:fill="006A4D"/>
                      </w:tcPr>
                      <w:p>
                        <w:pPr>
                          <w:pStyle w:val="TableParagraph"/>
                          <w:spacing w:before="111"/>
                          <w:ind w:left="270" w:right="271"/>
                          <w:rPr>
                            <w:b/>
                            <w:sz w:val="18"/>
                          </w:rPr>
                        </w:pPr>
                        <w:r>
                          <w:rPr>
                            <w:b/>
                            <w:color w:val="FFFFFF"/>
                            <w:w w:val="105"/>
                            <w:sz w:val="18"/>
                          </w:rPr>
                          <w:t>FY 2023</w:t>
                        </w:r>
                      </w:p>
                    </w:tc>
                    <w:tc>
                      <w:tcPr>
                        <w:tcW w:w="1310" w:type="dxa"/>
                        <w:tcBorders>
                          <w:top w:val="single" w:sz="12" w:space="0" w:color="1B6B22"/>
                          <w:bottom w:val="single" w:sz="6" w:space="0" w:color="69BD28"/>
                        </w:tcBorders>
                        <w:shd w:val="clear" w:color="auto" w:fill="006A4D"/>
                      </w:tcPr>
                      <w:p>
                        <w:pPr>
                          <w:pStyle w:val="TableParagraph"/>
                          <w:spacing w:before="111"/>
                          <w:ind w:left="271" w:right="271"/>
                          <w:rPr>
                            <w:b/>
                            <w:sz w:val="18"/>
                          </w:rPr>
                        </w:pPr>
                        <w:r>
                          <w:rPr>
                            <w:b/>
                            <w:color w:val="FFFFFF"/>
                            <w:w w:val="105"/>
                            <w:sz w:val="18"/>
                          </w:rPr>
                          <w:t>FY 2024</w:t>
                        </w:r>
                      </w:p>
                    </w:tc>
                    <w:tc>
                      <w:tcPr>
                        <w:tcW w:w="1275" w:type="dxa"/>
                        <w:tcBorders>
                          <w:top w:val="single" w:sz="12" w:space="0" w:color="1B6B22"/>
                          <w:bottom w:val="single" w:sz="6" w:space="0" w:color="69BD28"/>
                        </w:tcBorders>
                        <w:shd w:val="clear" w:color="auto" w:fill="006A4D"/>
                      </w:tcPr>
                      <w:p>
                        <w:pPr>
                          <w:pStyle w:val="TableParagraph"/>
                          <w:spacing w:before="111"/>
                          <w:ind w:left="269" w:right="239"/>
                          <w:rPr>
                            <w:b/>
                            <w:sz w:val="18"/>
                          </w:rPr>
                        </w:pPr>
                        <w:r>
                          <w:rPr>
                            <w:b/>
                            <w:color w:val="FFFFFF"/>
                            <w:w w:val="105"/>
                            <w:sz w:val="18"/>
                          </w:rPr>
                          <w:t>FY 2025</w:t>
                        </w:r>
                      </w:p>
                    </w:tc>
                    <w:tc>
                      <w:tcPr>
                        <w:tcW w:w="1344" w:type="dxa"/>
                        <w:tcBorders>
                          <w:top w:val="single" w:sz="12" w:space="0" w:color="1B6B22"/>
                          <w:bottom w:val="single" w:sz="6" w:space="0" w:color="69BD28"/>
                        </w:tcBorders>
                        <w:shd w:val="clear" w:color="auto" w:fill="006A4D"/>
                      </w:tcPr>
                      <w:p>
                        <w:pPr>
                          <w:pStyle w:val="TableParagraph"/>
                          <w:spacing w:before="111"/>
                          <w:ind w:left="249" w:right="220"/>
                          <w:rPr>
                            <w:b/>
                            <w:sz w:val="18"/>
                          </w:rPr>
                        </w:pPr>
                        <w:r>
                          <w:rPr>
                            <w:b/>
                            <w:color w:val="FFFFFF"/>
                            <w:w w:val="105"/>
                            <w:sz w:val="18"/>
                          </w:rPr>
                          <w:t>Total</w:t>
                        </w:r>
                      </w:p>
                    </w:tc>
                  </w:tr>
                  <w:tr>
                    <w:trPr>
                      <w:trHeight w:val="438" w:hRule="atLeast"/>
                    </w:trPr>
                    <w:tc>
                      <w:tcPr>
                        <w:tcW w:w="3941" w:type="dxa"/>
                        <w:tcBorders>
                          <w:top w:val="single" w:sz="6" w:space="0" w:color="69BD28"/>
                        </w:tcBorders>
                      </w:tcPr>
                      <w:p>
                        <w:pPr>
                          <w:pStyle w:val="TableParagraph"/>
                          <w:tabs>
                            <w:tab w:pos="3252" w:val="left" w:leader="none"/>
                          </w:tabs>
                          <w:spacing w:before="3"/>
                          <w:ind w:left="1543"/>
                          <w:jc w:val="left"/>
                          <w:rPr>
                            <w:sz w:val="18"/>
                          </w:rPr>
                        </w:pPr>
                        <w:r>
                          <w:rPr>
                            <w:sz w:val="18"/>
                          </w:rPr>
                          <w:t>Percentage</w:t>
                          <w:tab/>
                        </w:r>
                        <w:r>
                          <w:rPr>
                            <w:position w:val="-10"/>
                            <w:sz w:val="18"/>
                          </w:rPr>
                          <w:t>-</w:t>
                        </w:r>
                      </w:p>
                    </w:tc>
                    <w:tc>
                      <w:tcPr>
                        <w:tcW w:w="1308" w:type="dxa"/>
                        <w:tcBorders>
                          <w:top w:val="single" w:sz="6" w:space="0" w:color="69BD28"/>
                        </w:tcBorders>
                      </w:tcPr>
                      <w:p>
                        <w:pPr>
                          <w:pStyle w:val="TableParagraph"/>
                          <w:spacing w:before="111"/>
                          <w:rPr>
                            <w:sz w:val="18"/>
                          </w:rPr>
                        </w:pPr>
                        <w:r>
                          <w:rPr>
                            <w:w w:val="99"/>
                            <w:sz w:val="18"/>
                          </w:rPr>
                          <w:t>-</w:t>
                        </w:r>
                      </w:p>
                    </w:tc>
                    <w:tc>
                      <w:tcPr>
                        <w:tcW w:w="1310" w:type="dxa"/>
                        <w:tcBorders>
                          <w:top w:val="single" w:sz="6" w:space="0" w:color="69BD28"/>
                        </w:tcBorders>
                      </w:tcPr>
                      <w:p>
                        <w:pPr>
                          <w:pStyle w:val="TableParagraph"/>
                          <w:spacing w:before="111"/>
                          <w:ind w:left="266" w:right="271"/>
                          <w:rPr>
                            <w:sz w:val="18"/>
                          </w:rPr>
                        </w:pPr>
                        <w:r>
                          <w:rPr>
                            <w:w w:val="110"/>
                            <w:sz w:val="18"/>
                          </w:rPr>
                          <w:t>25.0%</w:t>
                        </w:r>
                      </w:p>
                    </w:tc>
                    <w:tc>
                      <w:tcPr>
                        <w:tcW w:w="1310" w:type="dxa"/>
                        <w:tcBorders>
                          <w:top w:val="single" w:sz="6" w:space="0" w:color="69BD28"/>
                        </w:tcBorders>
                      </w:tcPr>
                      <w:p>
                        <w:pPr>
                          <w:pStyle w:val="TableParagraph"/>
                          <w:spacing w:before="111"/>
                          <w:ind w:left="268" w:right="271"/>
                          <w:rPr>
                            <w:sz w:val="18"/>
                          </w:rPr>
                        </w:pPr>
                        <w:r>
                          <w:rPr>
                            <w:w w:val="110"/>
                            <w:sz w:val="18"/>
                          </w:rPr>
                          <w:t>25.0%</w:t>
                        </w:r>
                      </w:p>
                    </w:tc>
                    <w:tc>
                      <w:tcPr>
                        <w:tcW w:w="1275" w:type="dxa"/>
                        <w:tcBorders>
                          <w:top w:val="single" w:sz="6" w:space="0" w:color="69BD28"/>
                        </w:tcBorders>
                      </w:tcPr>
                      <w:p>
                        <w:pPr>
                          <w:pStyle w:val="TableParagraph"/>
                          <w:spacing w:before="111"/>
                          <w:ind w:left="264" w:right="239"/>
                          <w:rPr>
                            <w:sz w:val="18"/>
                          </w:rPr>
                        </w:pPr>
                        <w:r>
                          <w:rPr>
                            <w:w w:val="110"/>
                            <w:sz w:val="18"/>
                          </w:rPr>
                          <w:t>50.0%</w:t>
                        </w:r>
                      </w:p>
                    </w:tc>
                    <w:tc>
                      <w:tcPr>
                        <w:tcW w:w="1344" w:type="dxa"/>
                        <w:tcBorders>
                          <w:top w:val="single" w:sz="6" w:space="0" w:color="69BD28"/>
                        </w:tcBorders>
                      </w:tcPr>
                      <w:p>
                        <w:pPr>
                          <w:pStyle w:val="TableParagraph"/>
                          <w:spacing w:before="111"/>
                          <w:ind w:left="248" w:right="221"/>
                          <w:rPr>
                            <w:sz w:val="18"/>
                          </w:rPr>
                        </w:pPr>
                        <w:r>
                          <w:rPr>
                            <w:w w:val="110"/>
                            <w:sz w:val="18"/>
                          </w:rPr>
                          <w:t>100.0%</w:t>
                        </w:r>
                      </w:p>
                    </w:tc>
                  </w:tr>
                  <w:tr>
                    <w:trPr>
                      <w:trHeight w:val="439" w:hRule="atLeast"/>
                    </w:trPr>
                    <w:tc>
                      <w:tcPr>
                        <w:tcW w:w="3941" w:type="dxa"/>
                        <w:tcBorders>
                          <w:bottom w:val="single" w:sz="6" w:space="0" w:color="69BD28"/>
                        </w:tcBorders>
                      </w:tcPr>
                      <w:p>
                        <w:pPr>
                          <w:pStyle w:val="TableParagraph"/>
                          <w:tabs>
                            <w:tab w:pos="3252" w:val="left" w:leader="none"/>
                          </w:tabs>
                          <w:spacing w:before="14"/>
                          <w:ind w:left="1630"/>
                          <w:jc w:val="left"/>
                          <w:rPr>
                            <w:sz w:val="18"/>
                          </w:rPr>
                        </w:pPr>
                        <w:r>
                          <w:rPr>
                            <w:sz w:val="18"/>
                          </w:rPr>
                          <w:t>Leasable</w:t>
                          <w:tab/>
                        </w:r>
                        <w:r>
                          <w:rPr>
                            <w:position w:val="-10"/>
                            <w:sz w:val="18"/>
                          </w:rPr>
                          <w:t>-</w:t>
                        </w:r>
                      </w:p>
                    </w:tc>
                    <w:tc>
                      <w:tcPr>
                        <w:tcW w:w="1308" w:type="dxa"/>
                        <w:tcBorders>
                          <w:bottom w:val="single" w:sz="6" w:space="0" w:color="69BD28"/>
                        </w:tcBorders>
                      </w:tcPr>
                      <w:p>
                        <w:pPr>
                          <w:pStyle w:val="TableParagraph"/>
                          <w:spacing w:before="119"/>
                          <w:rPr>
                            <w:sz w:val="18"/>
                          </w:rPr>
                        </w:pPr>
                        <w:r>
                          <w:rPr>
                            <w:w w:val="99"/>
                            <w:sz w:val="18"/>
                          </w:rPr>
                          <w:t>-</w:t>
                        </w:r>
                      </w:p>
                    </w:tc>
                    <w:tc>
                      <w:tcPr>
                        <w:tcW w:w="1310" w:type="dxa"/>
                        <w:tcBorders>
                          <w:bottom w:val="single" w:sz="6" w:space="0" w:color="69BD28"/>
                        </w:tcBorders>
                      </w:tcPr>
                      <w:p>
                        <w:pPr>
                          <w:pStyle w:val="TableParagraph"/>
                          <w:spacing w:before="119"/>
                          <w:ind w:left="265" w:right="271"/>
                          <w:rPr>
                            <w:sz w:val="18"/>
                          </w:rPr>
                        </w:pPr>
                        <w:r>
                          <w:rPr>
                            <w:w w:val="110"/>
                            <w:sz w:val="18"/>
                          </w:rPr>
                          <w:t>177,000</w:t>
                        </w:r>
                      </w:p>
                    </w:tc>
                    <w:tc>
                      <w:tcPr>
                        <w:tcW w:w="1310" w:type="dxa"/>
                        <w:tcBorders>
                          <w:bottom w:val="single" w:sz="6" w:space="0" w:color="69BD28"/>
                        </w:tcBorders>
                      </w:tcPr>
                      <w:p>
                        <w:pPr>
                          <w:pStyle w:val="TableParagraph"/>
                          <w:spacing w:before="119"/>
                          <w:ind w:left="267" w:right="271"/>
                          <w:rPr>
                            <w:sz w:val="18"/>
                          </w:rPr>
                        </w:pPr>
                        <w:r>
                          <w:rPr>
                            <w:w w:val="110"/>
                            <w:sz w:val="18"/>
                          </w:rPr>
                          <w:t>177,000</w:t>
                        </w:r>
                      </w:p>
                    </w:tc>
                    <w:tc>
                      <w:tcPr>
                        <w:tcW w:w="1275" w:type="dxa"/>
                        <w:tcBorders>
                          <w:bottom w:val="single" w:sz="6" w:space="0" w:color="69BD28"/>
                        </w:tcBorders>
                      </w:tcPr>
                      <w:p>
                        <w:pPr>
                          <w:pStyle w:val="TableParagraph"/>
                          <w:spacing w:before="119"/>
                          <w:ind w:left="263" w:right="239"/>
                          <w:rPr>
                            <w:sz w:val="18"/>
                          </w:rPr>
                        </w:pPr>
                        <w:r>
                          <w:rPr>
                            <w:w w:val="110"/>
                            <w:sz w:val="18"/>
                          </w:rPr>
                          <w:t>354,000</w:t>
                        </w:r>
                      </w:p>
                    </w:tc>
                    <w:tc>
                      <w:tcPr>
                        <w:tcW w:w="1344" w:type="dxa"/>
                        <w:tcBorders>
                          <w:bottom w:val="single" w:sz="6" w:space="0" w:color="69BD28"/>
                        </w:tcBorders>
                      </w:tcPr>
                      <w:p>
                        <w:pPr>
                          <w:pStyle w:val="TableParagraph"/>
                          <w:spacing w:before="119"/>
                          <w:ind w:left="247" w:right="221"/>
                          <w:rPr>
                            <w:sz w:val="18"/>
                          </w:rPr>
                        </w:pPr>
                        <w:r>
                          <w:rPr>
                            <w:w w:val="110"/>
                            <w:sz w:val="18"/>
                          </w:rPr>
                          <w:t>708,000</w:t>
                        </w:r>
                      </w:p>
                    </w:tc>
                  </w:tr>
                  <w:tr>
                    <w:trPr>
                      <w:trHeight w:val="440" w:hRule="atLeast"/>
                    </w:trPr>
                    <w:tc>
                      <w:tcPr>
                        <w:tcW w:w="3941" w:type="dxa"/>
                        <w:tcBorders>
                          <w:top w:val="single" w:sz="6" w:space="0" w:color="69BD28"/>
                        </w:tcBorders>
                      </w:tcPr>
                      <w:p>
                        <w:pPr>
                          <w:pStyle w:val="TableParagraph"/>
                          <w:tabs>
                            <w:tab w:pos="3252" w:val="left" w:leader="none"/>
                          </w:tabs>
                          <w:spacing w:before="6"/>
                          <w:ind w:left="1543"/>
                          <w:jc w:val="left"/>
                          <w:rPr>
                            <w:sz w:val="18"/>
                          </w:rPr>
                        </w:pPr>
                        <w:r>
                          <w:rPr>
                            <w:sz w:val="18"/>
                          </w:rPr>
                          <w:t>Percentage</w:t>
                          <w:tab/>
                        </w:r>
                        <w:r>
                          <w:rPr>
                            <w:position w:val="-10"/>
                            <w:sz w:val="18"/>
                          </w:rPr>
                          <w:t>-</w:t>
                        </w:r>
                      </w:p>
                    </w:tc>
                    <w:tc>
                      <w:tcPr>
                        <w:tcW w:w="1308" w:type="dxa"/>
                        <w:tcBorders>
                          <w:top w:val="single" w:sz="6" w:space="0" w:color="69BD28"/>
                        </w:tcBorders>
                      </w:tcPr>
                      <w:p>
                        <w:pPr>
                          <w:pStyle w:val="TableParagraph"/>
                          <w:spacing w:before="114"/>
                          <w:ind w:left="267" w:right="271"/>
                          <w:rPr>
                            <w:sz w:val="18"/>
                          </w:rPr>
                        </w:pPr>
                        <w:r>
                          <w:rPr>
                            <w:w w:val="110"/>
                            <w:sz w:val="18"/>
                          </w:rPr>
                          <w:t>40.0%</w:t>
                        </w:r>
                      </w:p>
                    </w:tc>
                    <w:tc>
                      <w:tcPr>
                        <w:tcW w:w="1310" w:type="dxa"/>
                        <w:tcBorders>
                          <w:top w:val="single" w:sz="6" w:space="0" w:color="69BD28"/>
                        </w:tcBorders>
                      </w:tcPr>
                      <w:p>
                        <w:pPr>
                          <w:pStyle w:val="TableParagraph"/>
                          <w:spacing w:before="114"/>
                          <w:ind w:left="266" w:right="271"/>
                          <w:rPr>
                            <w:sz w:val="18"/>
                          </w:rPr>
                        </w:pPr>
                        <w:r>
                          <w:rPr>
                            <w:w w:val="110"/>
                            <w:sz w:val="18"/>
                          </w:rPr>
                          <w:t>60.0%</w:t>
                        </w:r>
                      </w:p>
                    </w:tc>
                    <w:tc>
                      <w:tcPr>
                        <w:tcW w:w="1310" w:type="dxa"/>
                        <w:tcBorders>
                          <w:top w:val="single" w:sz="6" w:space="0" w:color="69BD28"/>
                        </w:tcBorders>
                      </w:tcPr>
                      <w:p>
                        <w:pPr>
                          <w:pStyle w:val="TableParagraph"/>
                          <w:spacing w:before="114"/>
                          <w:ind w:right="1"/>
                          <w:rPr>
                            <w:sz w:val="18"/>
                          </w:rPr>
                        </w:pPr>
                        <w:r>
                          <w:rPr>
                            <w:w w:val="99"/>
                            <w:sz w:val="18"/>
                          </w:rPr>
                          <w:t>-</w:t>
                        </w:r>
                      </w:p>
                    </w:tc>
                    <w:tc>
                      <w:tcPr>
                        <w:tcW w:w="1275" w:type="dxa"/>
                        <w:tcBorders>
                          <w:top w:val="single" w:sz="6" w:space="0" w:color="69BD28"/>
                        </w:tcBorders>
                      </w:tcPr>
                      <w:p>
                        <w:pPr>
                          <w:pStyle w:val="TableParagraph"/>
                          <w:spacing w:before="114"/>
                          <w:ind w:left="29"/>
                          <w:rPr>
                            <w:sz w:val="18"/>
                          </w:rPr>
                        </w:pPr>
                        <w:r>
                          <w:rPr>
                            <w:w w:val="99"/>
                            <w:sz w:val="18"/>
                          </w:rPr>
                          <w:t>-</w:t>
                        </w:r>
                      </w:p>
                    </w:tc>
                    <w:tc>
                      <w:tcPr>
                        <w:tcW w:w="1344" w:type="dxa"/>
                        <w:tcBorders>
                          <w:top w:val="single" w:sz="6" w:space="0" w:color="69BD28"/>
                        </w:tcBorders>
                      </w:tcPr>
                      <w:p>
                        <w:pPr>
                          <w:pStyle w:val="TableParagraph"/>
                          <w:spacing w:before="114"/>
                          <w:ind w:left="248" w:right="221"/>
                          <w:rPr>
                            <w:sz w:val="18"/>
                          </w:rPr>
                        </w:pPr>
                        <w:r>
                          <w:rPr>
                            <w:w w:val="110"/>
                            <w:sz w:val="18"/>
                          </w:rPr>
                          <w:t>100.0%</w:t>
                        </w:r>
                      </w:p>
                    </w:tc>
                  </w:tr>
                  <w:tr>
                    <w:trPr>
                      <w:trHeight w:val="439" w:hRule="atLeast"/>
                    </w:trPr>
                    <w:tc>
                      <w:tcPr>
                        <w:tcW w:w="3941" w:type="dxa"/>
                        <w:tcBorders>
                          <w:bottom w:val="single" w:sz="6" w:space="0" w:color="69BD28"/>
                        </w:tcBorders>
                      </w:tcPr>
                      <w:p>
                        <w:pPr>
                          <w:pStyle w:val="TableParagraph"/>
                          <w:tabs>
                            <w:tab w:pos="3252" w:val="left" w:leader="none"/>
                          </w:tabs>
                          <w:spacing w:before="11"/>
                          <w:ind w:left="1630"/>
                          <w:jc w:val="left"/>
                          <w:rPr>
                            <w:sz w:val="18"/>
                          </w:rPr>
                        </w:pPr>
                        <w:r>
                          <w:rPr>
                            <w:sz w:val="18"/>
                          </w:rPr>
                          <w:t>Leasable</w:t>
                          <w:tab/>
                        </w:r>
                        <w:r>
                          <w:rPr>
                            <w:position w:val="-10"/>
                            <w:sz w:val="18"/>
                          </w:rPr>
                          <w:t>-</w:t>
                        </w:r>
                      </w:p>
                    </w:tc>
                    <w:tc>
                      <w:tcPr>
                        <w:tcW w:w="1308" w:type="dxa"/>
                        <w:tcBorders>
                          <w:bottom w:val="single" w:sz="6" w:space="0" w:color="69BD28"/>
                        </w:tcBorders>
                      </w:tcPr>
                      <w:p>
                        <w:pPr>
                          <w:pStyle w:val="TableParagraph"/>
                          <w:spacing w:before="119"/>
                          <w:ind w:left="266" w:right="271"/>
                          <w:rPr>
                            <w:sz w:val="18"/>
                          </w:rPr>
                        </w:pPr>
                        <w:r>
                          <w:rPr>
                            <w:w w:val="110"/>
                            <w:sz w:val="18"/>
                          </w:rPr>
                          <w:t>283,020</w:t>
                        </w:r>
                      </w:p>
                    </w:tc>
                    <w:tc>
                      <w:tcPr>
                        <w:tcW w:w="1310" w:type="dxa"/>
                        <w:tcBorders>
                          <w:bottom w:val="single" w:sz="6" w:space="0" w:color="69BD28"/>
                        </w:tcBorders>
                      </w:tcPr>
                      <w:p>
                        <w:pPr>
                          <w:pStyle w:val="TableParagraph"/>
                          <w:spacing w:before="119"/>
                          <w:ind w:left="265" w:right="271"/>
                          <w:rPr>
                            <w:sz w:val="18"/>
                          </w:rPr>
                        </w:pPr>
                        <w:r>
                          <w:rPr>
                            <w:w w:val="110"/>
                            <w:sz w:val="18"/>
                          </w:rPr>
                          <w:t>424,530</w:t>
                        </w:r>
                      </w:p>
                    </w:tc>
                    <w:tc>
                      <w:tcPr>
                        <w:tcW w:w="1310" w:type="dxa"/>
                        <w:tcBorders>
                          <w:bottom w:val="single" w:sz="6" w:space="0" w:color="69BD28"/>
                        </w:tcBorders>
                      </w:tcPr>
                      <w:p>
                        <w:pPr>
                          <w:pStyle w:val="TableParagraph"/>
                          <w:spacing w:before="119"/>
                          <w:ind w:right="1"/>
                          <w:rPr>
                            <w:sz w:val="18"/>
                          </w:rPr>
                        </w:pPr>
                        <w:r>
                          <w:rPr>
                            <w:w w:val="99"/>
                            <w:sz w:val="18"/>
                          </w:rPr>
                          <w:t>-</w:t>
                        </w:r>
                      </w:p>
                    </w:tc>
                    <w:tc>
                      <w:tcPr>
                        <w:tcW w:w="1275" w:type="dxa"/>
                        <w:tcBorders>
                          <w:bottom w:val="single" w:sz="6" w:space="0" w:color="69BD28"/>
                        </w:tcBorders>
                      </w:tcPr>
                      <w:p>
                        <w:pPr>
                          <w:pStyle w:val="TableParagraph"/>
                          <w:spacing w:before="119"/>
                          <w:ind w:left="29"/>
                          <w:rPr>
                            <w:sz w:val="18"/>
                          </w:rPr>
                        </w:pPr>
                        <w:r>
                          <w:rPr>
                            <w:w w:val="99"/>
                            <w:sz w:val="18"/>
                          </w:rPr>
                          <w:t>-</w:t>
                        </w:r>
                      </w:p>
                    </w:tc>
                    <w:tc>
                      <w:tcPr>
                        <w:tcW w:w="1344" w:type="dxa"/>
                        <w:tcBorders>
                          <w:bottom w:val="single" w:sz="6" w:space="0" w:color="69BD28"/>
                        </w:tcBorders>
                      </w:tcPr>
                      <w:p>
                        <w:pPr>
                          <w:pStyle w:val="TableParagraph"/>
                          <w:spacing w:before="119"/>
                          <w:ind w:left="247" w:right="221"/>
                          <w:rPr>
                            <w:sz w:val="18"/>
                          </w:rPr>
                        </w:pPr>
                        <w:r>
                          <w:rPr>
                            <w:w w:val="110"/>
                            <w:sz w:val="18"/>
                          </w:rPr>
                          <w:t>707,550</w:t>
                        </w:r>
                      </w:p>
                    </w:tc>
                  </w:tr>
                  <w:tr>
                    <w:trPr>
                      <w:trHeight w:val="438" w:hRule="atLeast"/>
                    </w:trPr>
                    <w:tc>
                      <w:tcPr>
                        <w:tcW w:w="3941" w:type="dxa"/>
                        <w:tcBorders>
                          <w:top w:val="single" w:sz="6" w:space="0" w:color="69BD28"/>
                        </w:tcBorders>
                      </w:tcPr>
                      <w:p>
                        <w:pPr>
                          <w:pStyle w:val="TableParagraph"/>
                          <w:tabs>
                            <w:tab w:pos="3252" w:val="left" w:leader="none"/>
                          </w:tabs>
                          <w:spacing w:before="3"/>
                          <w:ind w:left="1543"/>
                          <w:jc w:val="left"/>
                          <w:rPr>
                            <w:sz w:val="18"/>
                          </w:rPr>
                        </w:pPr>
                        <w:r>
                          <w:rPr>
                            <w:sz w:val="18"/>
                          </w:rPr>
                          <w:t>Percentage</w:t>
                          <w:tab/>
                        </w:r>
                        <w:r>
                          <w:rPr>
                            <w:position w:val="-10"/>
                            <w:sz w:val="18"/>
                          </w:rPr>
                          <w:t>-</w:t>
                        </w:r>
                      </w:p>
                    </w:tc>
                    <w:tc>
                      <w:tcPr>
                        <w:tcW w:w="1308" w:type="dxa"/>
                        <w:tcBorders>
                          <w:top w:val="single" w:sz="6" w:space="0" w:color="69BD28"/>
                        </w:tcBorders>
                      </w:tcPr>
                      <w:p>
                        <w:pPr>
                          <w:pStyle w:val="TableParagraph"/>
                          <w:spacing w:before="111"/>
                          <w:ind w:left="266" w:right="271"/>
                          <w:rPr>
                            <w:sz w:val="18"/>
                          </w:rPr>
                        </w:pPr>
                        <w:r>
                          <w:rPr>
                            <w:w w:val="115"/>
                            <w:sz w:val="18"/>
                          </w:rPr>
                          <w:t>100%</w:t>
                        </w:r>
                      </w:p>
                    </w:tc>
                    <w:tc>
                      <w:tcPr>
                        <w:tcW w:w="1310" w:type="dxa"/>
                        <w:tcBorders>
                          <w:top w:val="single" w:sz="6" w:space="0" w:color="69BD28"/>
                        </w:tcBorders>
                      </w:tcPr>
                      <w:p>
                        <w:pPr>
                          <w:pStyle w:val="TableParagraph"/>
                          <w:spacing w:before="111"/>
                          <w:ind w:right="1"/>
                          <w:rPr>
                            <w:sz w:val="18"/>
                          </w:rPr>
                        </w:pPr>
                        <w:r>
                          <w:rPr>
                            <w:w w:val="99"/>
                            <w:sz w:val="18"/>
                          </w:rPr>
                          <w:t>-</w:t>
                        </w:r>
                      </w:p>
                    </w:tc>
                    <w:tc>
                      <w:tcPr>
                        <w:tcW w:w="1310" w:type="dxa"/>
                        <w:tcBorders>
                          <w:top w:val="single" w:sz="6" w:space="0" w:color="69BD28"/>
                        </w:tcBorders>
                      </w:tcPr>
                      <w:p>
                        <w:pPr>
                          <w:pStyle w:val="TableParagraph"/>
                          <w:spacing w:before="111"/>
                          <w:ind w:right="1"/>
                          <w:rPr>
                            <w:sz w:val="18"/>
                          </w:rPr>
                        </w:pPr>
                        <w:r>
                          <w:rPr>
                            <w:w w:val="99"/>
                            <w:sz w:val="18"/>
                          </w:rPr>
                          <w:t>-</w:t>
                        </w:r>
                      </w:p>
                    </w:tc>
                    <w:tc>
                      <w:tcPr>
                        <w:tcW w:w="1275" w:type="dxa"/>
                        <w:tcBorders>
                          <w:top w:val="single" w:sz="6" w:space="0" w:color="69BD28"/>
                        </w:tcBorders>
                      </w:tcPr>
                      <w:p>
                        <w:pPr>
                          <w:pStyle w:val="TableParagraph"/>
                          <w:spacing w:before="111"/>
                          <w:ind w:left="29"/>
                          <w:rPr>
                            <w:sz w:val="18"/>
                          </w:rPr>
                        </w:pPr>
                        <w:r>
                          <w:rPr>
                            <w:w w:val="99"/>
                            <w:sz w:val="18"/>
                          </w:rPr>
                          <w:t>-</w:t>
                        </w:r>
                      </w:p>
                    </w:tc>
                    <w:tc>
                      <w:tcPr>
                        <w:tcW w:w="1344" w:type="dxa"/>
                        <w:tcBorders>
                          <w:top w:val="single" w:sz="6" w:space="0" w:color="69BD28"/>
                        </w:tcBorders>
                      </w:tcPr>
                      <w:p>
                        <w:pPr>
                          <w:pStyle w:val="TableParagraph"/>
                          <w:spacing w:before="111"/>
                          <w:ind w:left="248" w:right="221"/>
                          <w:rPr>
                            <w:sz w:val="18"/>
                          </w:rPr>
                        </w:pPr>
                        <w:r>
                          <w:rPr>
                            <w:w w:val="110"/>
                            <w:sz w:val="18"/>
                          </w:rPr>
                          <w:t>100.0%</w:t>
                        </w:r>
                      </w:p>
                    </w:tc>
                  </w:tr>
                  <w:tr>
                    <w:trPr>
                      <w:trHeight w:val="440" w:hRule="atLeast"/>
                    </w:trPr>
                    <w:tc>
                      <w:tcPr>
                        <w:tcW w:w="3941" w:type="dxa"/>
                        <w:tcBorders>
                          <w:bottom w:val="single" w:sz="6" w:space="0" w:color="69BD28"/>
                        </w:tcBorders>
                      </w:tcPr>
                      <w:p>
                        <w:pPr>
                          <w:pStyle w:val="TableParagraph"/>
                          <w:tabs>
                            <w:tab w:pos="1629" w:val="left" w:leader="none"/>
                            <w:tab w:pos="3252" w:val="left" w:leader="none"/>
                          </w:tabs>
                          <w:spacing w:before="1"/>
                          <w:ind w:left="456"/>
                          <w:jc w:val="left"/>
                          <w:rPr>
                            <w:sz w:val="18"/>
                          </w:rPr>
                        </w:pPr>
                        <w:r>
                          <w:rPr>
                            <w:position w:val="1"/>
                            <w:sz w:val="18"/>
                          </w:rPr>
                          <w:t>Retail</w:t>
                          <w:tab/>
                        </w:r>
                        <w:r>
                          <w:rPr>
                            <w:sz w:val="18"/>
                          </w:rPr>
                          <w:t>Leasable</w:t>
                          <w:tab/>
                        </w:r>
                        <w:r>
                          <w:rPr>
                            <w:position w:val="-10"/>
                            <w:sz w:val="18"/>
                          </w:rPr>
                          <w:t>-</w:t>
                        </w:r>
                      </w:p>
                    </w:tc>
                    <w:tc>
                      <w:tcPr>
                        <w:tcW w:w="1308" w:type="dxa"/>
                        <w:tcBorders>
                          <w:bottom w:val="single" w:sz="6" w:space="0" w:color="69BD28"/>
                        </w:tcBorders>
                      </w:tcPr>
                      <w:p>
                        <w:pPr>
                          <w:pStyle w:val="TableParagraph"/>
                          <w:spacing w:before="119"/>
                          <w:ind w:left="269" w:right="271"/>
                          <w:rPr>
                            <w:sz w:val="18"/>
                          </w:rPr>
                        </w:pPr>
                        <w:r>
                          <w:rPr>
                            <w:w w:val="110"/>
                            <w:sz w:val="18"/>
                          </w:rPr>
                          <w:t>58,083</w:t>
                        </w:r>
                      </w:p>
                    </w:tc>
                    <w:tc>
                      <w:tcPr>
                        <w:tcW w:w="1310" w:type="dxa"/>
                        <w:tcBorders>
                          <w:bottom w:val="single" w:sz="6" w:space="0" w:color="69BD28"/>
                        </w:tcBorders>
                      </w:tcPr>
                      <w:p>
                        <w:pPr>
                          <w:pStyle w:val="TableParagraph"/>
                          <w:spacing w:before="119"/>
                          <w:ind w:right="1"/>
                          <w:rPr>
                            <w:sz w:val="18"/>
                          </w:rPr>
                        </w:pPr>
                        <w:r>
                          <w:rPr>
                            <w:w w:val="99"/>
                            <w:sz w:val="18"/>
                          </w:rPr>
                          <w:t>-</w:t>
                        </w:r>
                      </w:p>
                    </w:tc>
                    <w:tc>
                      <w:tcPr>
                        <w:tcW w:w="1310" w:type="dxa"/>
                        <w:tcBorders>
                          <w:bottom w:val="single" w:sz="6" w:space="0" w:color="69BD28"/>
                        </w:tcBorders>
                      </w:tcPr>
                      <w:p>
                        <w:pPr>
                          <w:pStyle w:val="TableParagraph"/>
                          <w:spacing w:before="119"/>
                          <w:ind w:right="1"/>
                          <w:rPr>
                            <w:i/>
                            <w:sz w:val="18"/>
                          </w:rPr>
                        </w:pPr>
                        <w:r>
                          <w:rPr>
                            <w:i/>
                            <w:w w:val="89"/>
                            <w:sz w:val="18"/>
                          </w:rPr>
                          <w:t>-</w:t>
                        </w:r>
                      </w:p>
                    </w:tc>
                    <w:tc>
                      <w:tcPr>
                        <w:tcW w:w="1275" w:type="dxa"/>
                        <w:tcBorders>
                          <w:bottom w:val="single" w:sz="6" w:space="0" w:color="69BD28"/>
                        </w:tcBorders>
                      </w:tcPr>
                      <w:p>
                        <w:pPr>
                          <w:pStyle w:val="TableParagraph"/>
                          <w:spacing w:before="119"/>
                          <w:ind w:left="29"/>
                          <w:rPr>
                            <w:sz w:val="18"/>
                          </w:rPr>
                        </w:pPr>
                        <w:r>
                          <w:rPr>
                            <w:w w:val="99"/>
                            <w:sz w:val="18"/>
                          </w:rPr>
                          <w:t>-</w:t>
                        </w:r>
                      </w:p>
                    </w:tc>
                    <w:tc>
                      <w:tcPr>
                        <w:tcW w:w="1344" w:type="dxa"/>
                        <w:tcBorders>
                          <w:bottom w:val="single" w:sz="6" w:space="0" w:color="69BD28"/>
                        </w:tcBorders>
                      </w:tcPr>
                      <w:p>
                        <w:pPr>
                          <w:pStyle w:val="TableParagraph"/>
                          <w:spacing w:before="119"/>
                          <w:ind w:left="249" w:right="220"/>
                          <w:rPr>
                            <w:sz w:val="18"/>
                          </w:rPr>
                        </w:pPr>
                        <w:r>
                          <w:rPr>
                            <w:w w:val="110"/>
                            <w:sz w:val="18"/>
                          </w:rPr>
                          <w:t>58,083</w:t>
                        </w:r>
                      </w:p>
                    </w:tc>
                  </w:tr>
                  <w:tr>
                    <w:trPr>
                      <w:trHeight w:val="287" w:hRule="atLeast"/>
                    </w:trPr>
                    <w:tc>
                      <w:tcPr>
                        <w:tcW w:w="3941" w:type="dxa"/>
                        <w:tcBorders>
                          <w:top w:val="single" w:sz="6" w:space="0" w:color="69BD28"/>
                          <w:bottom w:val="single" w:sz="4" w:space="0" w:color="69BD28"/>
                        </w:tcBorders>
                      </w:tcPr>
                      <w:p>
                        <w:pPr>
                          <w:pStyle w:val="TableParagraph"/>
                          <w:tabs>
                            <w:tab w:pos="3252" w:val="left" w:leader="none"/>
                          </w:tabs>
                          <w:spacing w:before="39"/>
                          <w:ind w:left="533"/>
                          <w:jc w:val="left"/>
                          <w:rPr>
                            <w:sz w:val="18"/>
                          </w:rPr>
                        </w:pPr>
                        <w:r>
                          <w:rPr>
                            <w:sz w:val="18"/>
                          </w:rPr>
                          <w:t>Total</w:t>
                        </w:r>
                        <w:r>
                          <w:rPr>
                            <w:spacing w:val="-17"/>
                            <w:sz w:val="18"/>
                          </w:rPr>
                          <w:t> </w:t>
                        </w:r>
                        <w:r>
                          <w:rPr>
                            <w:sz w:val="18"/>
                          </w:rPr>
                          <w:t>Absorption</w:t>
                        </w:r>
                        <w:r>
                          <w:rPr>
                            <w:spacing w:val="-16"/>
                            <w:sz w:val="18"/>
                          </w:rPr>
                          <w:t> </w:t>
                        </w:r>
                        <w:r>
                          <w:rPr>
                            <w:sz w:val="18"/>
                          </w:rPr>
                          <w:t>(%)</w:t>
                          <w:tab/>
                          <w:t>-</w:t>
                        </w:r>
                      </w:p>
                    </w:tc>
                    <w:tc>
                      <w:tcPr>
                        <w:tcW w:w="1308" w:type="dxa"/>
                        <w:tcBorders>
                          <w:top w:val="single" w:sz="6" w:space="0" w:color="69BD28"/>
                          <w:bottom w:val="single" w:sz="4" w:space="0" w:color="69BD28"/>
                        </w:tcBorders>
                      </w:tcPr>
                      <w:p>
                        <w:pPr>
                          <w:pStyle w:val="TableParagraph"/>
                          <w:spacing w:before="39"/>
                          <w:ind w:left="270" w:right="271"/>
                          <w:rPr>
                            <w:sz w:val="18"/>
                          </w:rPr>
                        </w:pPr>
                        <w:r>
                          <w:rPr>
                            <w:w w:val="110"/>
                            <w:sz w:val="18"/>
                          </w:rPr>
                          <w:t>23.1%</w:t>
                        </w:r>
                      </w:p>
                    </w:tc>
                    <w:tc>
                      <w:tcPr>
                        <w:tcW w:w="1310" w:type="dxa"/>
                        <w:tcBorders>
                          <w:top w:val="single" w:sz="6" w:space="0" w:color="69BD28"/>
                          <w:bottom w:val="single" w:sz="4" w:space="0" w:color="69BD28"/>
                        </w:tcBorders>
                      </w:tcPr>
                      <w:p>
                        <w:pPr>
                          <w:pStyle w:val="TableParagraph"/>
                          <w:spacing w:before="39"/>
                          <w:ind w:left="268" w:right="271"/>
                          <w:rPr>
                            <w:sz w:val="18"/>
                          </w:rPr>
                        </w:pPr>
                        <w:r>
                          <w:rPr>
                            <w:w w:val="110"/>
                            <w:sz w:val="18"/>
                          </w:rPr>
                          <w:t>40.8%</w:t>
                        </w:r>
                      </w:p>
                    </w:tc>
                    <w:tc>
                      <w:tcPr>
                        <w:tcW w:w="1310" w:type="dxa"/>
                        <w:tcBorders>
                          <w:top w:val="single" w:sz="6" w:space="0" w:color="69BD28"/>
                          <w:bottom w:val="single" w:sz="4" w:space="0" w:color="69BD28"/>
                        </w:tcBorders>
                      </w:tcPr>
                      <w:p>
                        <w:pPr>
                          <w:pStyle w:val="TableParagraph"/>
                          <w:spacing w:before="39"/>
                          <w:ind w:left="270" w:right="271"/>
                          <w:rPr>
                            <w:sz w:val="18"/>
                          </w:rPr>
                        </w:pPr>
                        <w:r>
                          <w:rPr>
                            <w:w w:val="110"/>
                            <w:sz w:val="18"/>
                          </w:rPr>
                          <w:t>12.0%</w:t>
                        </w:r>
                      </w:p>
                    </w:tc>
                    <w:tc>
                      <w:tcPr>
                        <w:tcW w:w="1275" w:type="dxa"/>
                        <w:tcBorders>
                          <w:top w:val="single" w:sz="6" w:space="0" w:color="69BD28"/>
                          <w:bottom w:val="single" w:sz="4" w:space="0" w:color="69BD28"/>
                        </w:tcBorders>
                      </w:tcPr>
                      <w:p>
                        <w:pPr>
                          <w:pStyle w:val="TableParagraph"/>
                          <w:spacing w:before="39"/>
                          <w:ind w:left="266" w:right="239"/>
                          <w:rPr>
                            <w:sz w:val="18"/>
                          </w:rPr>
                        </w:pPr>
                        <w:r>
                          <w:rPr>
                            <w:w w:val="110"/>
                            <w:sz w:val="18"/>
                          </w:rPr>
                          <w:t>24.0%</w:t>
                        </w:r>
                      </w:p>
                    </w:tc>
                    <w:tc>
                      <w:tcPr>
                        <w:tcW w:w="1344" w:type="dxa"/>
                        <w:tcBorders>
                          <w:top w:val="single" w:sz="6" w:space="0" w:color="69BD28"/>
                          <w:bottom w:val="single" w:sz="4" w:space="0" w:color="69BD28"/>
                        </w:tcBorders>
                      </w:tcPr>
                      <w:p>
                        <w:pPr>
                          <w:pStyle w:val="TableParagraph"/>
                          <w:spacing w:before="39"/>
                          <w:ind w:left="249" w:right="219"/>
                          <w:rPr>
                            <w:sz w:val="18"/>
                          </w:rPr>
                        </w:pPr>
                        <w:r>
                          <w:rPr>
                            <w:w w:val="110"/>
                            <w:sz w:val="18"/>
                          </w:rPr>
                          <w:t>100.0%</w:t>
                        </w:r>
                      </w:p>
                    </w:tc>
                  </w:tr>
                  <w:tr>
                    <w:trPr>
                      <w:trHeight w:val="287" w:hRule="atLeast"/>
                    </w:trPr>
                    <w:tc>
                      <w:tcPr>
                        <w:tcW w:w="3941" w:type="dxa"/>
                        <w:tcBorders>
                          <w:top w:val="single" w:sz="4" w:space="0" w:color="69BD28"/>
                          <w:bottom w:val="single" w:sz="6" w:space="0" w:color="69BD28"/>
                        </w:tcBorders>
                      </w:tcPr>
                      <w:p>
                        <w:pPr>
                          <w:pStyle w:val="TableParagraph"/>
                          <w:tabs>
                            <w:tab w:pos="3252" w:val="left" w:leader="none"/>
                          </w:tabs>
                          <w:spacing w:before="39"/>
                          <w:ind w:left="535"/>
                          <w:jc w:val="left"/>
                          <w:rPr>
                            <w:sz w:val="18"/>
                          </w:rPr>
                        </w:pPr>
                        <w:r>
                          <w:rPr>
                            <w:sz w:val="18"/>
                          </w:rPr>
                          <w:t>Total</w:t>
                        </w:r>
                        <w:r>
                          <w:rPr>
                            <w:spacing w:val="-27"/>
                            <w:sz w:val="18"/>
                          </w:rPr>
                          <w:t> </w:t>
                        </w:r>
                        <w:r>
                          <w:rPr>
                            <w:sz w:val="18"/>
                          </w:rPr>
                          <w:t>Absorption</w:t>
                        </w:r>
                        <w:r>
                          <w:rPr>
                            <w:spacing w:val="-26"/>
                            <w:sz w:val="18"/>
                          </w:rPr>
                          <w:t> </w:t>
                        </w:r>
                        <w:r>
                          <w:rPr>
                            <w:sz w:val="18"/>
                          </w:rPr>
                          <w:t>(sf)</w:t>
                          <w:tab/>
                          <w:t>-</w:t>
                        </w:r>
                      </w:p>
                    </w:tc>
                    <w:tc>
                      <w:tcPr>
                        <w:tcW w:w="1308" w:type="dxa"/>
                        <w:tcBorders>
                          <w:top w:val="single" w:sz="4" w:space="0" w:color="69BD28"/>
                          <w:bottom w:val="single" w:sz="6" w:space="0" w:color="69BD28"/>
                        </w:tcBorders>
                      </w:tcPr>
                      <w:p>
                        <w:pPr>
                          <w:pStyle w:val="TableParagraph"/>
                          <w:spacing w:before="39"/>
                          <w:ind w:left="268" w:right="271"/>
                          <w:rPr>
                            <w:sz w:val="18"/>
                          </w:rPr>
                        </w:pPr>
                        <w:r>
                          <w:rPr>
                            <w:w w:val="110"/>
                            <w:sz w:val="18"/>
                          </w:rPr>
                          <w:t>341,103</w:t>
                        </w:r>
                      </w:p>
                    </w:tc>
                    <w:tc>
                      <w:tcPr>
                        <w:tcW w:w="1310" w:type="dxa"/>
                        <w:tcBorders>
                          <w:top w:val="single" w:sz="4" w:space="0" w:color="69BD28"/>
                          <w:bottom w:val="single" w:sz="6" w:space="0" w:color="69BD28"/>
                        </w:tcBorders>
                      </w:tcPr>
                      <w:p>
                        <w:pPr>
                          <w:pStyle w:val="TableParagraph"/>
                          <w:spacing w:before="39"/>
                          <w:ind w:left="267" w:right="271"/>
                          <w:rPr>
                            <w:sz w:val="18"/>
                          </w:rPr>
                        </w:pPr>
                        <w:r>
                          <w:rPr>
                            <w:w w:val="110"/>
                            <w:sz w:val="18"/>
                          </w:rPr>
                          <w:t>601,530</w:t>
                        </w:r>
                      </w:p>
                    </w:tc>
                    <w:tc>
                      <w:tcPr>
                        <w:tcW w:w="1310" w:type="dxa"/>
                        <w:tcBorders>
                          <w:top w:val="single" w:sz="4" w:space="0" w:color="69BD28"/>
                          <w:bottom w:val="single" w:sz="6" w:space="0" w:color="69BD28"/>
                        </w:tcBorders>
                      </w:tcPr>
                      <w:p>
                        <w:pPr>
                          <w:pStyle w:val="TableParagraph"/>
                          <w:spacing w:before="39"/>
                          <w:ind w:left="269" w:right="271"/>
                          <w:rPr>
                            <w:sz w:val="18"/>
                          </w:rPr>
                        </w:pPr>
                        <w:r>
                          <w:rPr>
                            <w:w w:val="110"/>
                            <w:sz w:val="18"/>
                          </w:rPr>
                          <w:t>177,000</w:t>
                        </w:r>
                      </w:p>
                    </w:tc>
                    <w:tc>
                      <w:tcPr>
                        <w:tcW w:w="1275" w:type="dxa"/>
                        <w:tcBorders>
                          <w:top w:val="single" w:sz="4" w:space="0" w:color="69BD28"/>
                          <w:bottom w:val="single" w:sz="6" w:space="0" w:color="69BD28"/>
                        </w:tcBorders>
                      </w:tcPr>
                      <w:p>
                        <w:pPr>
                          <w:pStyle w:val="TableParagraph"/>
                          <w:spacing w:before="39"/>
                          <w:ind w:left="265" w:right="239"/>
                          <w:rPr>
                            <w:sz w:val="18"/>
                          </w:rPr>
                        </w:pPr>
                        <w:r>
                          <w:rPr>
                            <w:w w:val="110"/>
                            <w:sz w:val="18"/>
                          </w:rPr>
                          <w:t>354,000</w:t>
                        </w:r>
                      </w:p>
                    </w:tc>
                    <w:tc>
                      <w:tcPr>
                        <w:tcW w:w="1344" w:type="dxa"/>
                        <w:tcBorders>
                          <w:top w:val="single" w:sz="4" w:space="0" w:color="69BD28"/>
                          <w:bottom w:val="single" w:sz="6" w:space="0" w:color="69BD28"/>
                        </w:tcBorders>
                      </w:tcPr>
                      <w:p>
                        <w:pPr>
                          <w:pStyle w:val="TableParagraph"/>
                          <w:spacing w:before="39"/>
                          <w:ind w:left="249" w:right="221"/>
                          <w:rPr>
                            <w:sz w:val="18"/>
                          </w:rPr>
                        </w:pPr>
                        <w:r>
                          <w:rPr>
                            <w:w w:val="105"/>
                            <w:sz w:val="18"/>
                          </w:rPr>
                          <w:t>1,473,633</w:t>
                        </w:r>
                      </w:p>
                    </w:tc>
                  </w:tr>
                </w:tbl>
                <w:p>
                  <w:pPr>
                    <w:pStyle w:val="BodyText"/>
                  </w:pPr>
                </w:p>
              </w:txbxContent>
            </v:textbox>
            <w10:wrap type="none"/>
          </v:shape>
        </w:pict>
      </w:r>
      <w:r>
        <w:rPr>
          <w:b/>
          <w:color w:val="FFFFFF"/>
          <w:w w:val="105"/>
          <w:sz w:val="18"/>
        </w:rPr>
        <w:t>Schedule</w:t>
      </w:r>
    </w:p>
    <w:p>
      <w:pPr>
        <w:pStyle w:val="BodyText"/>
        <w:spacing w:before="5"/>
        <w:rPr>
          <w:b/>
          <w:sz w:val="11"/>
        </w:rPr>
      </w:pPr>
    </w:p>
    <w:p>
      <w:pPr>
        <w:tabs>
          <w:tab w:pos="2063" w:val="left" w:leader="none"/>
        </w:tabs>
        <w:spacing w:before="102"/>
        <w:ind w:left="505" w:right="0" w:firstLine="0"/>
        <w:jc w:val="left"/>
        <w:rPr>
          <w:sz w:val="18"/>
        </w:rPr>
      </w:pPr>
      <w:r>
        <w:rPr>
          <w:sz w:val="18"/>
        </w:rPr>
        <w:t>Block</w:t>
      </w:r>
      <w:r>
        <w:rPr>
          <w:spacing w:val="-5"/>
          <w:sz w:val="18"/>
        </w:rPr>
        <w:t> </w:t>
      </w:r>
      <w:r>
        <w:rPr>
          <w:sz w:val="18"/>
        </w:rPr>
        <w:t>F-1</w:t>
        <w:tab/>
      </w:r>
      <w:r>
        <w:rPr>
          <w:position w:val="1"/>
          <w:sz w:val="18"/>
        </w:rPr>
        <w:t>(%)</w:t>
      </w:r>
    </w:p>
    <w:p>
      <w:pPr>
        <w:pStyle w:val="BodyText"/>
        <w:spacing w:before="9"/>
        <w:rPr>
          <w:sz w:val="10"/>
        </w:rPr>
      </w:pPr>
    </w:p>
    <w:p>
      <w:pPr>
        <w:spacing w:before="105"/>
        <w:ind w:left="1854" w:right="0" w:firstLine="0"/>
        <w:jc w:val="left"/>
        <w:rPr>
          <w:sz w:val="18"/>
        </w:rPr>
      </w:pPr>
      <w:r>
        <w:rPr>
          <w:sz w:val="18"/>
        </w:rPr>
        <w:t>Area (sf)</w:t>
      </w:r>
    </w:p>
    <w:p>
      <w:pPr>
        <w:pStyle w:val="BodyText"/>
        <w:spacing w:before="5"/>
        <w:rPr>
          <w:sz w:val="11"/>
        </w:rPr>
      </w:pPr>
    </w:p>
    <w:p>
      <w:pPr>
        <w:tabs>
          <w:tab w:pos="2063" w:val="left" w:leader="none"/>
        </w:tabs>
        <w:spacing w:before="104"/>
        <w:ind w:left="510" w:right="0" w:firstLine="0"/>
        <w:jc w:val="left"/>
        <w:rPr>
          <w:sz w:val="18"/>
        </w:rPr>
      </w:pPr>
      <w:r>
        <w:rPr>
          <w:sz w:val="18"/>
        </w:rPr>
        <w:t>Block</w:t>
      </w:r>
      <w:r>
        <w:rPr>
          <w:spacing w:val="-6"/>
          <w:sz w:val="18"/>
        </w:rPr>
        <w:t> </w:t>
      </w:r>
      <w:r>
        <w:rPr>
          <w:sz w:val="18"/>
        </w:rPr>
        <w:t>L-4</w:t>
        <w:tab/>
      </w:r>
      <w:r>
        <w:rPr>
          <w:position w:val="1"/>
          <w:sz w:val="18"/>
        </w:rPr>
        <w:t>(%)</w:t>
      </w:r>
    </w:p>
    <w:p>
      <w:pPr>
        <w:pStyle w:val="BodyText"/>
        <w:spacing w:before="10"/>
        <w:rPr>
          <w:sz w:val="10"/>
        </w:rPr>
      </w:pPr>
    </w:p>
    <w:p>
      <w:pPr>
        <w:spacing w:before="104"/>
        <w:ind w:left="1854" w:right="0" w:firstLine="0"/>
        <w:jc w:val="left"/>
        <w:rPr>
          <w:sz w:val="18"/>
        </w:rPr>
      </w:pPr>
      <w:r>
        <w:rPr>
          <w:sz w:val="18"/>
        </w:rPr>
        <w:t>Area (sf)</w:t>
      </w:r>
    </w:p>
    <w:p>
      <w:pPr>
        <w:pStyle w:val="BodyText"/>
        <w:spacing w:before="5"/>
        <w:rPr>
          <w:sz w:val="11"/>
        </w:rPr>
      </w:pPr>
    </w:p>
    <w:p>
      <w:pPr>
        <w:tabs>
          <w:tab w:pos="2063" w:val="left" w:leader="none"/>
        </w:tabs>
        <w:spacing w:before="102"/>
        <w:ind w:left="347" w:right="0" w:firstLine="0"/>
        <w:jc w:val="left"/>
        <w:rPr>
          <w:sz w:val="18"/>
        </w:rPr>
      </w:pPr>
      <w:r>
        <w:rPr>
          <w:sz w:val="18"/>
        </w:rPr>
        <w:t>Front</w:t>
      </w:r>
      <w:r>
        <w:rPr>
          <w:spacing w:val="-18"/>
          <w:sz w:val="18"/>
        </w:rPr>
        <w:t> </w:t>
      </w:r>
      <w:r>
        <w:rPr>
          <w:sz w:val="18"/>
        </w:rPr>
        <w:t>Parcel</w:t>
      </w:r>
      <w:r>
        <w:rPr>
          <w:spacing w:val="-17"/>
          <w:sz w:val="18"/>
        </w:rPr>
        <w:t> </w:t>
      </w:r>
      <w:r>
        <w:rPr>
          <w:sz w:val="18"/>
        </w:rPr>
        <w:t>-</w:t>
        <w:tab/>
      </w:r>
      <w:r>
        <w:rPr>
          <w:position w:val="1"/>
          <w:sz w:val="18"/>
        </w:rPr>
        <w:t>(%)</w:t>
      </w:r>
    </w:p>
    <w:p>
      <w:pPr>
        <w:pStyle w:val="BodyText"/>
        <w:spacing w:before="10"/>
        <w:rPr>
          <w:sz w:val="10"/>
        </w:rPr>
      </w:pPr>
    </w:p>
    <w:p>
      <w:pPr>
        <w:spacing w:before="105"/>
        <w:ind w:left="1854" w:right="0" w:firstLine="0"/>
        <w:jc w:val="left"/>
        <w:rPr>
          <w:sz w:val="18"/>
        </w:rPr>
      </w:pPr>
      <w:r>
        <w:rPr>
          <w:sz w:val="18"/>
        </w:rPr>
        <w:t>Area (sf)</w:t>
      </w:r>
    </w:p>
    <w:p>
      <w:pPr>
        <w:pStyle w:val="BodyText"/>
      </w:pPr>
    </w:p>
    <w:p>
      <w:pPr>
        <w:pStyle w:val="BodyText"/>
      </w:pPr>
    </w:p>
    <w:p>
      <w:pPr>
        <w:pStyle w:val="BodyText"/>
        <w:spacing w:before="3"/>
        <w:rPr>
          <w:sz w:val="3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65" w:id="130"/>
      <w:bookmarkEnd w:id="130"/>
      <w:r>
        <w:rPr/>
      </w:r>
      <w:bookmarkStart w:name="_bookmark65" w:id="131"/>
      <w:bookmarkEnd w:id="131"/>
      <w:r>
        <w:rPr>
          <w:color w:val="1F664D"/>
          <w:sz w:val="22"/>
        </w:rPr>
        <w:t>R</w:t>
      </w:r>
      <w:r>
        <w:rPr>
          <w:color w:val="1F664D"/>
          <w:sz w:val="22"/>
        </w:rPr>
        <w:t>evenue Assumptions (Office &amp;</w:t>
      </w:r>
      <w:r>
        <w:rPr>
          <w:color w:val="1F664D"/>
          <w:spacing w:val="-7"/>
          <w:sz w:val="22"/>
        </w:rPr>
        <w:t> </w:t>
      </w:r>
      <w:r>
        <w:rPr>
          <w:color w:val="1F664D"/>
          <w:sz w:val="22"/>
        </w:rPr>
        <w:t>Retail)</w:t>
      </w:r>
    </w:p>
    <w:p>
      <w:pPr>
        <w:pStyle w:val="BodyText"/>
        <w:spacing w:before="6"/>
        <w:rPr>
          <w:sz w:val="25"/>
        </w:rPr>
      </w:pPr>
    </w:p>
    <w:p>
      <w:pPr>
        <w:pStyle w:val="ListParagraph"/>
        <w:numPr>
          <w:ilvl w:val="3"/>
          <w:numId w:val="32"/>
        </w:numPr>
        <w:tabs>
          <w:tab w:pos="1085" w:val="left" w:leader="none"/>
        </w:tabs>
        <w:spacing w:line="240" w:lineRule="auto" w:before="0" w:after="0"/>
        <w:ind w:left="1084" w:right="0" w:hanging="865"/>
        <w:jc w:val="left"/>
        <w:rPr>
          <w:i/>
          <w:sz w:val="20"/>
        </w:rPr>
      </w:pPr>
      <w:r>
        <w:rPr>
          <w:i/>
          <w:color w:val="008000"/>
          <w:w w:val="95"/>
          <w:sz w:val="20"/>
        </w:rPr>
        <w:t>Lease rent</w:t>
      </w:r>
      <w:r>
        <w:rPr>
          <w:i/>
          <w:color w:val="008000"/>
          <w:spacing w:val="-19"/>
          <w:w w:val="95"/>
          <w:sz w:val="20"/>
        </w:rPr>
        <w:t> </w:t>
      </w:r>
      <w:r>
        <w:rPr>
          <w:i/>
          <w:color w:val="008000"/>
          <w:w w:val="95"/>
          <w:sz w:val="20"/>
        </w:rPr>
        <w:t>assumptions</w:t>
      </w:r>
    </w:p>
    <w:p>
      <w:pPr>
        <w:pStyle w:val="BodyText"/>
        <w:spacing w:before="1"/>
        <w:rPr>
          <w:i/>
          <w:sz w:val="26"/>
        </w:rPr>
      </w:pPr>
    </w:p>
    <w:p>
      <w:pPr>
        <w:pStyle w:val="ListParagraph"/>
        <w:numPr>
          <w:ilvl w:val="4"/>
          <w:numId w:val="32"/>
        </w:numPr>
        <w:tabs>
          <w:tab w:pos="1229" w:val="left" w:leader="none"/>
        </w:tabs>
        <w:spacing w:line="240" w:lineRule="auto" w:before="0" w:after="0"/>
        <w:ind w:left="1228" w:right="0" w:hanging="1009"/>
        <w:jc w:val="left"/>
        <w:rPr>
          <w:sz w:val="20"/>
        </w:rPr>
      </w:pPr>
      <w:r>
        <w:rPr>
          <w:color w:val="1F664D"/>
          <w:sz w:val="20"/>
        </w:rPr>
        <w:t>Office</w:t>
      </w:r>
      <w:r>
        <w:rPr>
          <w:color w:val="1F664D"/>
          <w:spacing w:val="48"/>
          <w:sz w:val="20"/>
        </w:rPr>
        <w:t> </w:t>
      </w:r>
      <w:r>
        <w:rPr>
          <w:color w:val="1F664D"/>
          <w:sz w:val="20"/>
        </w:rPr>
        <w:t>Component</w:t>
      </w:r>
    </w:p>
    <w:p>
      <w:pPr>
        <w:pStyle w:val="BodyText"/>
        <w:spacing w:before="11"/>
        <w:rPr>
          <w:sz w:val="25"/>
        </w:rPr>
      </w:pPr>
    </w:p>
    <w:p>
      <w:pPr>
        <w:pStyle w:val="BodyText"/>
        <w:spacing w:line="321" w:lineRule="auto"/>
        <w:ind w:left="782" w:right="195"/>
        <w:jc w:val="both"/>
      </w:pPr>
      <w:r>
        <w:rPr/>
        <w:t>For</w:t>
      </w:r>
      <w:r>
        <w:rPr>
          <w:spacing w:val="-13"/>
        </w:rPr>
        <w:t> </w:t>
      </w:r>
      <w:r>
        <w:rPr/>
        <w:t>the</w:t>
      </w:r>
      <w:r>
        <w:rPr>
          <w:spacing w:val="-13"/>
        </w:rPr>
        <w:t> </w:t>
      </w:r>
      <w:r>
        <w:rPr/>
        <w:t>purpose</w:t>
      </w:r>
      <w:r>
        <w:rPr>
          <w:spacing w:val="-13"/>
        </w:rPr>
        <w:t> </w:t>
      </w:r>
      <w:r>
        <w:rPr/>
        <w:t>of</w:t>
      </w:r>
      <w:r>
        <w:rPr>
          <w:spacing w:val="-13"/>
        </w:rPr>
        <w:t> </w:t>
      </w:r>
      <w:r>
        <w:rPr/>
        <w:t>this</w:t>
      </w:r>
      <w:r>
        <w:rPr>
          <w:spacing w:val="-12"/>
        </w:rPr>
        <w:t> </w:t>
      </w:r>
      <w:r>
        <w:rPr/>
        <w:t>appraisal</w:t>
      </w:r>
      <w:r>
        <w:rPr>
          <w:spacing w:val="-13"/>
        </w:rPr>
        <w:t> </w:t>
      </w:r>
      <w:r>
        <w:rPr/>
        <w:t>exercise,</w:t>
      </w:r>
      <w:r>
        <w:rPr>
          <w:spacing w:val="-13"/>
        </w:rPr>
        <w:t> </w:t>
      </w:r>
      <w:r>
        <w:rPr/>
        <w:t>the</w:t>
      </w:r>
      <w:r>
        <w:rPr>
          <w:spacing w:val="-13"/>
        </w:rPr>
        <w:t> </w:t>
      </w:r>
      <w:r>
        <w:rPr/>
        <w:t>lease</w:t>
      </w:r>
      <w:r>
        <w:rPr>
          <w:spacing w:val="-13"/>
        </w:rPr>
        <w:t> </w:t>
      </w:r>
      <w:r>
        <w:rPr/>
        <w:t>rent</w:t>
      </w:r>
      <w:r>
        <w:rPr>
          <w:spacing w:val="-13"/>
        </w:rPr>
        <w:t> </w:t>
      </w:r>
      <w:r>
        <w:rPr/>
        <w:t>adopted</w:t>
      </w:r>
      <w:r>
        <w:rPr>
          <w:spacing w:val="-12"/>
        </w:rPr>
        <w:t> </w:t>
      </w:r>
      <w:r>
        <w:rPr/>
        <w:t>for</w:t>
      </w:r>
      <w:r>
        <w:rPr>
          <w:spacing w:val="-13"/>
        </w:rPr>
        <w:t> </w:t>
      </w:r>
      <w:r>
        <w:rPr/>
        <w:t>the</w:t>
      </w:r>
      <w:r>
        <w:rPr>
          <w:spacing w:val="-13"/>
        </w:rPr>
        <w:t> </w:t>
      </w:r>
      <w:r>
        <w:rPr/>
        <w:t>area</w:t>
      </w:r>
      <w:r>
        <w:rPr>
          <w:spacing w:val="-13"/>
        </w:rPr>
        <w:t> </w:t>
      </w:r>
      <w:r>
        <w:rPr/>
        <w:t>already</w:t>
      </w:r>
      <w:r>
        <w:rPr>
          <w:spacing w:val="-12"/>
        </w:rPr>
        <w:t> </w:t>
      </w:r>
      <w:r>
        <w:rPr/>
        <w:t>leased</w:t>
      </w:r>
      <w:r>
        <w:rPr>
          <w:spacing w:val="-12"/>
        </w:rPr>
        <w:t> </w:t>
      </w:r>
      <w:r>
        <w:rPr/>
        <w:t>is</w:t>
      </w:r>
      <w:r>
        <w:rPr>
          <w:spacing w:val="-12"/>
        </w:rPr>
        <w:t> </w:t>
      </w:r>
      <w:r>
        <w:rPr/>
        <w:t>based on</w:t>
      </w:r>
      <w:r>
        <w:rPr>
          <w:spacing w:val="-39"/>
        </w:rPr>
        <w:t> </w:t>
      </w:r>
      <w:r>
        <w:rPr/>
        <w:t>the</w:t>
      </w:r>
      <w:r>
        <w:rPr>
          <w:spacing w:val="-40"/>
        </w:rPr>
        <w:t> </w:t>
      </w:r>
      <w:r>
        <w:rPr/>
        <w:t>rent</w:t>
      </w:r>
      <w:r>
        <w:rPr>
          <w:spacing w:val="-38"/>
        </w:rPr>
        <w:t> </w:t>
      </w:r>
      <w:r>
        <w:rPr/>
        <w:t>roll/lease</w:t>
      </w:r>
      <w:r>
        <w:rPr>
          <w:spacing w:val="-39"/>
        </w:rPr>
        <w:t> </w:t>
      </w:r>
      <w:r>
        <w:rPr/>
        <w:t>deeds</w:t>
      </w:r>
      <w:r>
        <w:rPr>
          <w:spacing w:val="-37"/>
        </w:rPr>
        <w:t> </w:t>
      </w:r>
      <w:r>
        <w:rPr/>
        <w:t>shared</w:t>
      </w:r>
      <w:r>
        <w:rPr>
          <w:spacing w:val="-39"/>
        </w:rPr>
        <w:t> </w:t>
      </w:r>
      <w:r>
        <w:rPr/>
        <w:t>by</w:t>
      </w:r>
      <w:r>
        <w:rPr>
          <w:spacing w:val="-38"/>
        </w:rPr>
        <w:t> </w:t>
      </w:r>
      <w:r>
        <w:rPr/>
        <w:t>the</w:t>
      </w:r>
      <w:r>
        <w:rPr>
          <w:spacing w:val="-39"/>
        </w:rPr>
        <w:t> </w:t>
      </w:r>
      <w:r>
        <w:rPr/>
        <w:t>Client.</w:t>
      </w:r>
      <w:r>
        <w:rPr>
          <w:spacing w:val="-39"/>
        </w:rPr>
        <w:t> </w:t>
      </w:r>
      <w:r>
        <w:rPr/>
        <w:t>Further,</w:t>
      </w:r>
      <w:r>
        <w:rPr>
          <w:spacing w:val="-39"/>
        </w:rPr>
        <w:t> </w:t>
      </w:r>
      <w:r>
        <w:rPr/>
        <w:t>an</w:t>
      </w:r>
      <w:r>
        <w:rPr>
          <w:spacing w:val="-37"/>
        </w:rPr>
        <w:t> </w:t>
      </w:r>
      <w:r>
        <w:rPr/>
        <w:t>in-depth</w:t>
      </w:r>
      <w:r>
        <w:rPr>
          <w:spacing w:val="-39"/>
        </w:rPr>
        <w:t> </w:t>
      </w:r>
      <w:r>
        <w:rPr/>
        <w:t>market</w:t>
      </w:r>
      <w:r>
        <w:rPr>
          <w:spacing w:val="-38"/>
        </w:rPr>
        <w:t> </w:t>
      </w:r>
      <w:r>
        <w:rPr/>
        <w:t>research</w:t>
      </w:r>
      <w:r>
        <w:rPr>
          <w:spacing w:val="-39"/>
        </w:rPr>
        <w:t> </w:t>
      </w:r>
      <w:r>
        <w:rPr/>
        <w:t>exercise</w:t>
      </w:r>
      <w:r>
        <w:rPr>
          <w:spacing w:val="-38"/>
        </w:rPr>
        <w:t> </w:t>
      </w:r>
      <w:r>
        <w:rPr/>
        <w:t>has</w:t>
      </w:r>
      <w:r>
        <w:rPr>
          <w:spacing w:val="-39"/>
        </w:rPr>
        <w:t> </w:t>
      </w:r>
      <w:r>
        <w:rPr/>
        <w:t>been undertaken</w:t>
      </w:r>
      <w:r>
        <w:rPr>
          <w:spacing w:val="-18"/>
        </w:rPr>
        <w:t> </w:t>
      </w:r>
      <w:r>
        <w:rPr/>
        <w:t>to</w:t>
      </w:r>
      <w:r>
        <w:rPr>
          <w:spacing w:val="-17"/>
        </w:rPr>
        <w:t> </w:t>
      </w:r>
      <w:r>
        <w:rPr/>
        <w:t>assess</w:t>
      </w:r>
      <w:r>
        <w:rPr>
          <w:spacing w:val="-17"/>
        </w:rPr>
        <w:t> </w:t>
      </w:r>
      <w:r>
        <w:rPr/>
        <w:t>the</w:t>
      </w:r>
      <w:r>
        <w:rPr>
          <w:spacing w:val="-18"/>
        </w:rPr>
        <w:t> </w:t>
      </w:r>
      <w:r>
        <w:rPr/>
        <w:t>prevailing</w:t>
      </w:r>
      <w:r>
        <w:rPr>
          <w:spacing w:val="-16"/>
        </w:rPr>
        <w:t> </w:t>
      </w:r>
      <w:r>
        <w:rPr/>
        <w:t>rent</w:t>
      </w:r>
      <w:r>
        <w:rPr>
          <w:spacing w:val="-18"/>
        </w:rPr>
        <w:t> </w:t>
      </w:r>
      <w:r>
        <w:rPr/>
        <w:t>values</w:t>
      </w:r>
      <w:r>
        <w:rPr>
          <w:spacing w:val="-16"/>
        </w:rPr>
        <w:t> </w:t>
      </w:r>
      <w:r>
        <w:rPr/>
        <w:t>in</w:t>
      </w:r>
      <w:r>
        <w:rPr>
          <w:spacing w:val="-18"/>
        </w:rPr>
        <w:t> </w:t>
      </w:r>
      <w:r>
        <w:rPr/>
        <w:t>the</w:t>
      </w:r>
      <w:r>
        <w:rPr>
          <w:spacing w:val="-18"/>
        </w:rPr>
        <w:t> </w:t>
      </w:r>
      <w:r>
        <w:rPr/>
        <w:t>subject</w:t>
      </w:r>
      <w:r>
        <w:rPr>
          <w:spacing w:val="-13"/>
        </w:rPr>
        <w:t> </w:t>
      </w:r>
      <w:r>
        <w:rPr/>
        <w:t>sub</w:t>
      </w:r>
      <w:r>
        <w:rPr>
          <w:spacing w:val="-16"/>
        </w:rPr>
        <w:t> </w:t>
      </w:r>
      <w:r>
        <w:rPr/>
        <w:t>market.</w:t>
      </w:r>
      <w:r>
        <w:rPr>
          <w:spacing w:val="-17"/>
        </w:rPr>
        <w:t> </w:t>
      </w:r>
      <w:r>
        <w:rPr/>
        <w:t>The</w:t>
      </w:r>
      <w:r>
        <w:rPr>
          <w:spacing w:val="-18"/>
        </w:rPr>
        <w:t> </w:t>
      </w:r>
      <w:r>
        <w:rPr/>
        <w:t>same</w:t>
      </w:r>
      <w:r>
        <w:rPr>
          <w:spacing w:val="-18"/>
        </w:rPr>
        <w:t> </w:t>
      </w:r>
      <w:r>
        <w:rPr/>
        <w:t>has</w:t>
      </w:r>
      <w:r>
        <w:rPr>
          <w:spacing w:val="-17"/>
        </w:rPr>
        <w:t> </w:t>
      </w:r>
      <w:r>
        <w:rPr/>
        <w:t>been</w:t>
      </w:r>
      <w:r>
        <w:rPr>
          <w:spacing w:val="-18"/>
        </w:rPr>
        <w:t> </w:t>
      </w:r>
      <w:r>
        <w:rPr/>
        <w:t>adopted for</w:t>
      </w:r>
      <w:r>
        <w:rPr>
          <w:spacing w:val="-7"/>
        </w:rPr>
        <w:t> </w:t>
      </w:r>
      <w:r>
        <w:rPr/>
        <w:t>the</w:t>
      </w:r>
      <w:r>
        <w:rPr>
          <w:spacing w:val="-7"/>
        </w:rPr>
        <w:t> </w:t>
      </w:r>
      <w:r>
        <w:rPr/>
        <w:t>vacant</w:t>
      </w:r>
      <w:r>
        <w:rPr>
          <w:spacing w:val="-6"/>
        </w:rPr>
        <w:t> </w:t>
      </w:r>
      <w:r>
        <w:rPr/>
        <w:t>space</w:t>
      </w:r>
      <w:r>
        <w:rPr>
          <w:spacing w:val="-7"/>
        </w:rPr>
        <w:t> </w:t>
      </w:r>
      <w:r>
        <w:rPr/>
        <w:t>for</w:t>
      </w:r>
      <w:r>
        <w:rPr>
          <w:spacing w:val="-7"/>
        </w:rPr>
        <w:t> </w:t>
      </w:r>
      <w:r>
        <w:rPr/>
        <w:t>the</w:t>
      </w:r>
      <w:r>
        <w:rPr>
          <w:spacing w:val="-7"/>
        </w:rPr>
        <w:t> </w:t>
      </w:r>
      <w:r>
        <w:rPr/>
        <w:t>purpose</w:t>
      </w:r>
      <w:r>
        <w:rPr>
          <w:spacing w:val="-7"/>
        </w:rPr>
        <w:t> </w:t>
      </w:r>
      <w:r>
        <w:rPr/>
        <w:t>of</w:t>
      </w:r>
      <w:r>
        <w:rPr>
          <w:spacing w:val="-8"/>
        </w:rPr>
        <w:t> </w:t>
      </w:r>
      <w:r>
        <w:rPr/>
        <w:t>this</w:t>
      </w:r>
      <w:r>
        <w:rPr>
          <w:spacing w:val="-5"/>
        </w:rPr>
        <w:t> </w:t>
      </w:r>
      <w:r>
        <w:rPr/>
        <w:t>valuation</w:t>
      </w:r>
      <w:r>
        <w:rPr>
          <w:spacing w:val="-8"/>
        </w:rPr>
        <w:t> </w:t>
      </w:r>
      <w:r>
        <w:rPr/>
        <w:t>exercise.</w:t>
      </w:r>
    </w:p>
    <w:p>
      <w:pPr>
        <w:pStyle w:val="BodyText"/>
        <w:spacing w:before="9"/>
        <w:rPr>
          <w:sz w:val="20"/>
        </w:rPr>
      </w:pPr>
    </w:p>
    <w:p>
      <w:pPr>
        <w:pStyle w:val="BodyText"/>
        <w:spacing w:line="321" w:lineRule="auto" w:before="1"/>
        <w:ind w:left="782" w:right="199"/>
        <w:jc w:val="both"/>
      </w:pPr>
      <w:r>
        <w:rPr/>
        <w:t>Based</w:t>
      </w:r>
      <w:r>
        <w:rPr>
          <w:spacing w:val="-12"/>
        </w:rPr>
        <w:t> </w:t>
      </w:r>
      <w:r>
        <w:rPr/>
        <w:t>on</w:t>
      </w:r>
      <w:r>
        <w:rPr>
          <w:spacing w:val="-12"/>
        </w:rPr>
        <w:t> </w:t>
      </w:r>
      <w:r>
        <w:rPr/>
        <w:t>our</w:t>
      </w:r>
      <w:r>
        <w:rPr>
          <w:spacing w:val="-11"/>
        </w:rPr>
        <w:t> </w:t>
      </w:r>
      <w:r>
        <w:rPr/>
        <w:t>market</w:t>
      </w:r>
      <w:r>
        <w:rPr>
          <w:spacing w:val="-10"/>
        </w:rPr>
        <w:t> </w:t>
      </w:r>
      <w:r>
        <w:rPr/>
        <w:t>study</w:t>
      </w:r>
      <w:r>
        <w:rPr>
          <w:spacing w:val="-10"/>
        </w:rPr>
        <w:t> </w:t>
      </w:r>
      <w:r>
        <w:rPr/>
        <w:t>and</w:t>
      </w:r>
      <w:r>
        <w:rPr>
          <w:spacing w:val="-11"/>
        </w:rPr>
        <w:t> </w:t>
      </w:r>
      <w:r>
        <w:rPr/>
        <w:t>based</w:t>
      </w:r>
      <w:r>
        <w:rPr>
          <w:spacing w:val="-10"/>
        </w:rPr>
        <w:t> </w:t>
      </w:r>
      <w:r>
        <w:rPr/>
        <w:t>on</w:t>
      </w:r>
      <w:r>
        <w:rPr>
          <w:spacing w:val="-14"/>
        </w:rPr>
        <w:t> </w:t>
      </w:r>
      <w:r>
        <w:rPr/>
        <w:t>the</w:t>
      </w:r>
      <w:r>
        <w:rPr>
          <w:spacing w:val="-11"/>
        </w:rPr>
        <w:t> </w:t>
      </w:r>
      <w:r>
        <w:rPr/>
        <w:t>analysis</w:t>
      </w:r>
      <w:r>
        <w:rPr>
          <w:spacing w:val="-12"/>
        </w:rPr>
        <w:t> </w:t>
      </w:r>
      <w:r>
        <w:rPr/>
        <w:t>of</w:t>
      </w:r>
      <w:r>
        <w:rPr>
          <w:spacing w:val="-10"/>
        </w:rPr>
        <w:t> </w:t>
      </w:r>
      <w:r>
        <w:rPr/>
        <w:t>the</w:t>
      </w:r>
      <w:r>
        <w:rPr>
          <w:spacing w:val="-11"/>
        </w:rPr>
        <w:t> </w:t>
      </w:r>
      <w:r>
        <w:rPr/>
        <w:t>rent</w:t>
      </w:r>
      <w:r>
        <w:rPr>
          <w:spacing w:val="-12"/>
        </w:rPr>
        <w:t> </w:t>
      </w:r>
      <w:r>
        <w:rPr/>
        <w:t>roll</w:t>
      </w:r>
      <w:r>
        <w:rPr>
          <w:spacing w:val="-12"/>
        </w:rPr>
        <w:t> </w:t>
      </w:r>
      <w:r>
        <w:rPr/>
        <w:t>provided</w:t>
      </w:r>
      <w:r>
        <w:rPr>
          <w:spacing w:val="-10"/>
        </w:rPr>
        <w:t> </w:t>
      </w:r>
      <w:r>
        <w:rPr/>
        <w:t>by</w:t>
      </w:r>
      <w:r>
        <w:rPr>
          <w:spacing w:val="-10"/>
        </w:rPr>
        <w:t> </w:t>
      </w:r>
      <w:r>
        <w:rPr/>
        <w:t>the</w:t>
      </w:r>
      <w:r>
        <w:rPr>
          <w:spacing w:val="-13"/>
        </w:rPr>
        <w:t> </w:t>
      </w:r>
      <w:r>
        <w:rPr/>
        <w:t>Client,</w:t>
      </w:r>
      <w:r>
        <w:rPr>
          <w:spacing w:val="-12"/>
        </w:rPr>
        <w:t> </w:t>
      </w:r>
      <w:r>
        <w:rPr/>
        <w:t>following rent has been adopted for the purpose of value assessment of the completed blocks at the subject property.</w:t>
      </w:r>
    </w:p>
    <w:p>
      <w:pPr>
        <w:pStyle w:val="BodyText"/>
        <w:spacing w:before="5"/>
        <w:rPr>
          <w:sz w:val="20"/>
        </w:rPr>
      </w:pPr>
    </w:p>
    <w:tbl>
      <w:tblPr>
        <w:tblW w:w="0" w:type="auto"/>
        <w:jc w:val="left"/>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3"/>
        <w:gridCol w:w="2159"/>
        <w:gridCol w:w="1754"/>
        <w:gridCol w:w="3087"/>
        <w:gridCol w:w="1848"/>
      </w:tblGrid>
      <w:tr>
        <w:trPr>
          <w:trHeight w:val="431" w:hRule="atLeast"/>
        </w:trPr>
        <w:tc>
          <w:tcPr>
            <w:tcW w:w="1623" w:type="dxa"/>
            <w:tcBorders>
              <w:top w:val="single" w:sz="4" w:space="0" w:color="69BD28"/>
              <w:bottom w:val="single" w:sz="4" w:space="0" w:color="69BD28"/>
            </w:tcBorders>
            <w:shd w:val="clear" w:color="auto" w:fill="006A4D"/>
          </w:tcPr>
          <w:p>
            <w:pPr>
              <w:pStyle w:val="TableParagraph"/>
              <w:spacing w:before="111"/>
              <w:ind w:left="288" w:right="286"/>
              <w:rPr>
                <w:b/>
                <w:sz w:val="18"/>
              </w:rPr>
            </w:pPr>
            <w:r>
              <w:rPr>
                <w:b/>
                <w:color w:val="FFFFFF"/>
                <w:w w:val="105"/>
                <w:sz w:val="18"/>
              </w:rPr>
              <w:t>Component</w:t>
            </w:r>
          </w:p>
        </w:tc>
        <w:tc>
          <w:tcPr>
            <w:tcW w:w="2159" w:type="dxa"/>
            <w:tcBorders>
              <w:top w:val="single" w:sz="4" w:space="0" w:color="69BD28"/>
              <w:bottom w:val="single" w:sz="4" w:space="0" w:color="69BD28"/>
            </w:tcBorders>
            <w:shd w:val="clear" w:color="auto" w:fill="006A4D"/>
          </w:tcPr>
          <w:p>
            <w:pPr>
              <w:pStyle w:val="TableParagraph"/>
              <w:spacing w:before="111"/>
              <w:ind w:left="297" w:right="161"/>
              <w:rPr>
                <w:b/>
                <w:sz w:val="18"/>
              </w:rPr>
            </w:pPr>
            <w:r>
              <w:rPr>
                <w:b/>
                <w:color w:val="FFFFFF"/>
                <w:w w:val="110"/>
                <w:sz w:val="18"/>
              </w:rPr>
              <w:t>Leasable Area (sf)</w:t>
            </w:r>
          </w:p>
        </w:tc>
        <w:tc>
          <w:tcPr>
            <w:tcW w:w="1754" w:type="dxa"/>
            <w:tcBorders>
              <w:top w:val="single" w:sz="4" w:space="0" w:color="69BD28"/>
              <w:bottom w:val="single" w:sz="4" w:space="0" w:color="69BD28"/>
            </w:tcBorders>
            <w:shd w:val="clear" w:color="auto" w:fill="006A4D"/>
          </w:tcPr>
          <w:p>
            <w:pPr>
              <w:pStyle w:val="TableParagraph"/>
              <w:spacing w:before="111"/>
              <w:ind w:left="153" w:right="62"/>
              <w:rPr>
                <w:b/>
                <w:sz w:val="18"/>
              </w:rPr>
            </w:pPr>
            <w:r>
              <w:rPr>
                <w:b/>
                <w:color w:val="FFFFFF"/>
                <w:w w:val="110"/>
                <w:sz w:val="18"/>
              </w:rPr>
              <w:t>Leased Area (sf)</w:t>
            </w:r>
          </w:p>
        </w:tc>
        <w:tc>
          <w:tcPr>
            <w:tcW w:w="3087" w:type="dxa"/>
            <w:tcBorders>
              <w:top w:val="single" w:sz="4" w:space="0" w:color="69BD28"/>
              <w:bottom w:val="single" w:sz="4" w:space="0" w:color="69BD28"/>
            </w:tcBorders>
            <w:shd w:val="clear" w:color="auto" w:fill="006A4D"/>
          </w:tcPr>
          <w:p>
            <w:pPr>
              <w:pStyle w:val="TableParagraph"/>
              <w:spacing w:before="111"/>
              <w:ind w:left="271" w:right="422"/>
              <w:rPr>
                <w:b/>
                <w:sz w:val="18"/>
              </w:rPr>
            </w:pPr>
            <w:r>
              <w:rPr>
                <w:b/>
                <w:color w:val="FFFFFF"/>
                <w:w w:val="115"/>
                <w:sz w:val="18"/>
              </w:rPr>
              <w:t>Basis</w:t>
            </w:r>
          </w:p>
        </w:tc>
        <w:tc>
          <w:tcPr>
            <w:tcW w:w="1848" w:type="dxa"/>
            <w:tcBorders>
              <w:top w:val="single" w:sz="4" w:space="0" w:color="69BD28"/>
              <w:bottom w:val="single" w:sz="4" w:space="0" w:color="69BD28"/>
            </w:tcBorders>
            <w:shd w:val="clear" w:color="auto" w:fill="006A4D"/>
          </w:tcPr>
          <w:p>
            <w:pPr>
              <w:pStyle w:val="TableParagraph"/>
              <w:spacing w:before="3"/>
              <w:ind w:left="251"/>
              <w:jc w:val="left"/>
              <w:rPr>
                <w:b/>
                <w:sz w:val="18"/>
              </w:rPr>
            </w:pPr>
            <w:r>
              <w:rPr>
                <w:b/>
                <w:color w:val="FFFFFF"/>
                <w:w w:val="105"/>
                <w:sz w:val="18"/>
              </w:rPr>
              <w:t>Rent</w:t>
            </w:r>
            <w:r>
              <w:rPr>
                <w:b/>
                <w:color w:val="FFFFFF"/>
                <w:spacing w:val="23"/>
                <w:w w:val="105"/>
                <w:sz w:val="18"/>
              </w:rPr>
              <w:t> </w:t>
            </w:r>
            <w:r>
              <w:rPr>
                <w:b/>
                <w:color w:val="FFFFFF"/>
                <w:w w:val="105"/>
                <w:sz w:val="18"/>
              </w:rPr>
              <w:t>Adopted</w:t>
            </w:r>
          </w:p>
          <w:p>
            <w:pPr>
              <w:pStyle w:val="TableParagraph"/>
              <w:spacing w:line="192" w:lineRule="exact" w:before="7"/>
              <w:ind w:left="256"/>
              <w:jc w:val="left"/>
              <w:rPr>
                <w:b/>
                <w:sz w:val="18"/>
              </w:rPr>
            </w:pPr>
            <w:r>
              <w:rPr>
                <w:b/>
                <w:color w:val="FFFFFF"/>
                <w:w w:val="110"/>
                <w:sz w:val="18"/>
              </w:rPr>
              <w:t>(INR psf</w:t>
            </w:r>
            <w:r>
              <w:rPr>
                <w:b/>
                <w:color w:val="FFFFFF"/>
                <w:spacing w:val="12"/>
                <w:w w:val="110"/>
                <w:sz w:val="18"/>
              </w:rPr>
              <w:t> </w:t>
            </w:r>
            <w:r>
              <w:rPr>
                <w:b/>
                <w:color w:val="FFFFFF"/>
                <w:w w:val="110"/>
                <w:sz w:val="18"/>
              </w:rPr>
              <w:t>pm)*</w:t>
            </w:r>
          </w:p>
        </w:tc>
      </w:tr>
      <w:tr>
        <w:trPr>
          <w:trHeight w:val="278" w:hRule="atLeast"/>
        </w:trPr>
        <w:tc>
          <w:tcPr>
            <w:tcW w:w="1623" w:type="dxa"/>
            <w:shd w:val="clear" w:color="auto" w:fill="69BD28"/>
          </w:tcPr>
          <w:p>
            <w:pPr>
              <w:pStyle w:val="TableParagraph"/>
              <w:jc w:val="left"/>
              <w:rPr>
                <w:rFonts w:ascii="Times New Roman"/>
                <w:sz w:val="20"/>
              </w:rPr>
            </w:pPr>
          </w:p>
        </w:tc>
        <w:tc>
          <w:tcPr>
            <w:tcW w:w="2159" w:type="dxa"/>
            <w:tcBorders>
              <w:top w:val="single" w:sz="4" w:space="0" w:color="69BD28"/>
            </w:tcBorders>
          </w:tcPr>
          <w:p>
            <w:pPr>
              <w:pStyle w:val="TableParagraph"/>
              <w:jc w:val="left"/>
              <w:rPr>
                <w:rFonts w:ascii="Times New Roman"/>
                <w:sz w:val="20"/>
              </w:rPr>
            </w:pPr>
          </w:p>
        </w:tc>
        <w:tc>
          <w:tcPr>
            <w:tcW w:w="1754" w:type="dxa"/>
            <w:tcBorders>
              <w:top w:val="single" w:sz="4" w:space="0" w:color="69BD28"/>
            </w:tcBorders>
          </w:tcPr>
          <w:p>
            <w:pPr>
              <w:pStyle w:val="TableParagraph"/>
              <w:jc w:val="left"/>
              <w:rPr>
                <w:rFonts w:ascii="Times New Roman"/>
                <w:sz w:val="20"/>
              </w:rPr>
            </w:pPr>
          </w:p>
        </w:tc>
        <w:tc>
          <w:tcPr>
            <w:tcW w:w="3087" w:type="dxa"/>
            <w:tcBorders>
              <w:top w:val="single" w:sz="4" w:space="0" w:color="69BD28"/>
            </w:tcBorders>
          </w:tcPr>
          <w:p>
            <w:pPr>
              <w:pStyle w:val="TableParagraph"/>
              <w:spacing w:before="44"/>
              <w:ind w:left="271" w:right="426"/>
              <w:rPr>
                <w:sz w:val="18"/>
              </w:rPr>
            </w:pPr>
            <w:r>
              <w:rPr>
                <w:sz w:val="18"/>
              </w:rPr>
              <w:t>Current Rent for Leased area</w:t>
            </w:r>
          </w:p>
        </w:tc>
        <w:tc>
          <w:tcPr>
            <w:tcW w:w="1848" w:type="dxa"/>
            <w:tcBorders>
              <w:top w:val="single" w:sz="4" w:space="0" w:color="69BD28"/>
            </w:tcBorders>
          </w:tcPr>
          <w:p>
            <w:pPr>
              <w:pStyle w:val="TableParagraph"/>
              <w:spacing w:before="44"/>
              <w:ind w:left="574" w:right="679"/>
              <w:rPr>
                <w:sz w:val="18"/>
              </w:rPr>
            </w:pPr>
            <w:r>
              <w:rPr>
                <w:w w:val="125"/>
                <w:sz w:val="18"/>
              </w:rPr>
              <w:t>59.7^</w:t>
            </w:r>
          </w:p>
        </w:tc>
      </w:tr>
      <w:tr>
        <w:trPr>
          <w:trHeight w:val="539" w:hRule="atLeast"/>
        </w:trPr>
        <w:tc>
          <w:tcPr>
            <w:tcW w:w="1623" w:type="dxa"/>
            <w:shd w:val="clear" w:color="auto" w:fill="69BD28"/>
          </w:tcPr>
          <w:p>
            <w:pPr>
              <w:pStyle w:val="TableParagraph"/>
              <w:spacing w:before="27"/>
              <w:ind w:left="286" w:right="286"/>
              <w:rPr>
                <w:b/>
                <w:sz w:val="18"/>
              </w:rPr>
            </w:pPr>
            <w:r>
              <w:rPr>
                <w:b/>
                <w:color w:val="FFFFFF"/>
                <w:w w:val="105"/>
                <w:sz w:val="18"/>
              </w:rPr>
              <w:t>Office</w:t>
            </w:r>
          </w:p>
        </w:tc>
        <w:tc>
          <w:tcPr>
            <w:tcW w:w="2159" w:type="dxa"/>
            <w:tcBorders>
              <w:bottom w:val="single" w:sz="4" w:space="0" w:color="69BD28"/>
            </w:tcBorders>
          </w:tcPr>
          <w:p>
            <w:pPr>
              <w:pStyle w:val="TableParagraph"/>
              <w:spacing w:before="27"/>
              <w:ind w:left="297" w:right="159"/>
              <w:rPr>
                <w:sz w:val="18"/>
              </w:rPr>
            </w:pPr>
            <w:r>
              <w:rPr>
                <w:w w:val="105"/>
                <w:sz w:val="18"/>
              </w:rPr>
              <w:t>11,751,174</w:t>
            </w:r>
          </w:p>
        </w:tc>
        <w:tc>
          <w:tcPr>
            <w:tcW w:w="1754" w:type="dxa"/>
            <w:tcBorders>
              <w:bottom w:val="single" w:sz="4" w:space="0" w:color="69BD28"/>
            </w:tcBorders>
          </w:tcPr>
          <w:p>
            <w:pPr>
              <w:pStyle w:val="TableParagraph"/>
              <w:spacing w:before="27"/>
              <w:ind w:left="149" w:right="62"/>
              <w:rPr>
                <w:sz w:val="18"/>
              </w:rPr>
            </w:pPr>
            <w:r>
              <w:rPr>
                <w:w w:val="105"/>
                <w:sz w:val="18"/>
              </w:rPr>
              <w:t>11,479,349*</w:t>
            </w:r>
          </w:p>
        </w:tc>
        <w:tc>
          <w:tcPr>
            <w:tcW w:w="3087" w:type="dxa"/>
            <w:tcBorders>
              <w:bottom w:val="single" w:sz="4" w:space="0" w:color="69BD28"/>
            </w:tcBorders>
          </w:tcPr>
          <w:p>
            <w:pPr>
              <w:pStyle w:val="TableParagraph"/>
              <w:spacing w:line="249" w:lineRule="auto" w:before="70"/>
              <w:ind w:left="1286" w:right="240" w:hanging="1194"/>
              <w:jc w:val="left"/>
              <w:rPr>
                <w:sz w:val="18"/>
              </w:rPr>
            </w:pPr>
            <w:r>
              <w:rPr>
                <w:sz w:val="18"/>
              </w:rPr>
              <w:t>Marginal</w:t>
            </w:r>
            <w:r>
              <w:rPr>
                <w:spacing w:val="-27"/>
                <w:sz w:val="18"/>
              </w:rPr>
              <w:t> </w:t>
            </w:r>
            <w:r>
              <w:rPr>
                <w:sz w:val="18"/>
              </w:rPr>
              <w:t>rent</w:t>
            </w:r>
            <w:r>
              <w:rPr>
                <w:spacing w:val="-27"/>
                <w:sz w:val="18"/>
              </w:rPr>
              <w:t> </w:t>
            </w:r>
            <w:r>
              <w:rPr>
                <w:sz w:val="18"/>
              </w:rPr>
              <w:t>for</w:t>
            </w:r>
            <w:r>
              <w:rPr>
                <w:spacing w:val="-27"/>
                <w:sz w:val="18"/>
              </w:rPr>
              <w:t> </w:t>
            </w:r>
            <w:r>
              <w:rPr>
                <w:sz w:val="18"/>
              </w:rPr>
              <w:t>reversion/</w:t>
            </w:r>
            <w:r>
              <w:rPr>
                <w:spacing w:val="-26"/>
                <w:sz w:val="18"/>
              </w:rPr>
              <w:t> </w:t>
            </w:r>
            <w:r>
              <w:rPr>
                <w:sz w:val="18"/>
              </w:rPr>
              <w:t>vacant area</w:t>
            </w:r>
          </w:p>
        </w:tc>
        <w:tc>
          <w:tcPr>
            <w:tcW w:w="1848" w:type="dxa"/>
            <w:tcBorders>
              <w:bottom w:val="single" w:sz="4" w:space="0" w:color="69BD28"/>
            </w:tcBorders>
          </w:tcPr>
          <w:p>
            <w:pPr>
              <w:pStyle w:val="TableParagraph"/>
              <w:spacing w:before="178"/>
              <w:ind w:left="572" w:right="679"/>
              <w:rPr>
                <w:sz w:val="18"/>
              </w:rPr>
            </w:pPr>
            <w:r>
              <w:rPr>
                <w:w w:val="105"/>
                <w:sz w:val="18"/>
              </w:rPr>
              <w:t>90.0</w:t>
            </w:r>
          </w:p>
        </w:tc>
      </w:tr>
    </w:tbl>
    <w:p>
      <w:pPr>
        <w:spacing w:before="4"/>
        <w:ind w:left="220" w:right="0" w:firstLine="0"/>
        <w:jc w:val="left"/>
        <w:rPr>
          <w:i/>
          <w:sz w:val="18"/>
        </w:rPr>
      </w:pPr>
      <w:r>
        <w:rPr>
          <w:i/>
          <w:w w:val="95"/>
          <w:sz w:val="18"/>
        </w:rPr>
        <w:t>Source:</w:t>
      </w:r>
      <w:r>
        <w:rPr>
          <w:i/>
          <w:spacing w:val="-10"/>
          <w:w w:val="95"/>
          <w:sz w:val="18"/>
        </w:rPr>
        <w:t> </w:t>
      </w:r>
      <w:r>
        <w:rPr>
          <w:i/>
          <w:w w:val="95"/>
          <w:sz w:val="18"/>
        </w:rPr>
        <w:t>Rent</w:t>
      </w:r>
      <w:r>
        <w:rPr>
          <w:i/>
          <w:spacing w:val="-8"/>
          <w:w w:val="95"/>
          <w:sz w:val="18"/>
        </w:rPr>
        <w:t> </w:t>
      </w:r>
      <w:r>
        <w:rPr>
          <w:i/>
          <w:w w:val="95"/>
          <w:sz w:val="18"/>
        </w:rPr>
        <w:t>roll</w:t>
      </w:r>
      <w:r>
        <w:rPr>
          <w:i/>
          <w:spacing w:val="-10"/>
          <w:w w:val="95"/>
          <w:sz w:val="18"/>
        </w:rPr>
        <w:t> </w:t>
      </w:r>
      <w:r>
        <w:rPr>
          <w:i/>
          <w:w w:val="95"/>
          <w:sz w:val="18"/>
        </w:rPr>
        <w:t>provided</w:t>
      </w:r>
      <w:r>
        <w:rPr>
          <w:i/>
          <w:spacing w:val="-10"/>
          <w:w w:val="95"/>
          <w:sz w:val="18"/>
        </w:rPr>
        <w:t> </w:t>
      </w:r>
      <w:r>
        <w:rPr>
          <w:i/>
          <w:w w:val="95"/>
          <w:sz w:val="18"/>
        </w:rPr>
        <w:t>by</w:t>
      </w:r>
      <w:r>
        <w:rPr>
          <w:i/>
          <w:spacing w:val="-10"/>
          <w:w w:val="95"/>
          <w:sz w:val="18"/>
        </w:rPr>
        <w:t> </w:t>
      </w:r>
      <w:r>
        <w:rPr>
          <w:i/>
          <w:w w:val="95"/>
          <w:sz w:val="18"/>
        </w:rPr>
        <w:t>the</w:t>
      </w:r>
      <w:r>
        <w:rPr>
          <w:i/>
          <w:spacing w:val="-9"/>
          <w:w w:val="95"/>
          <w:sz w:val="18"/>
        </w:rPr>
        <w:t> </w:t>
      </w:r>
      <w:r>
        <w:rPr>
          <w:i/>
          <w:w w:val="95"/>
          <w:sz w:val="18"/>
        </w:rPr>
        <w:t>Client;</w:t>
      </w:r>
      <w:r>
        <w:rPr>
          <w:i/>
          <w:spacing w:val="-6"/>
          <w:w w:val="95"/>
          <w:sz w:val="18"/>
        </w:rPr>
        <w:t> </w:t>
      </w:r>
      <w:r>
        <w:rPr>
          <w:i/>
          <w:w w:val="95"/>
          <w:sz w:val="18"/>
        </w:rPr>
        <w:t>Valuer’s</w:t>
      </w:r>
      <w:r>
        <w:rPr>
          <w:i/>
          <w:spacing w:val="-8"/>
          <w:w w:val="95"/>
          <w:sz w:val="18"/>
        </w:rPr>
        <w:t> </w:t>
      </w:r>
      <w:r>
        <w:rPr>
          <w:i/>
          <w:w w:val="95"/>
          <w:sz w:val="18"/>
        </w:rPr>
        <w:t>Assessment</w:t>
      </w:r>
      <w:r>
        <w:rPr>
          <w:w w:val="95"/>
          <w:sz w:val="22"/>
        </w:rPr>
        <w:t>,</w:t>
      </w:r>
      <w:r>
        <w:rPr>
          <w:spacing w:val="-10"/>
          <w:w w:val="95"/>
          <w:sz w:val="22"/>
        </w:rPr>
        <w:t> </w:t>
      </w:r>
      <w:r>
        <w:rPr>
          <w:i/>
          <w:w w:val="95"/>
          <w:sz w:val="18"/>
        </w:rPr>
        <w:t>*</w:t>
      </w:r>
      <w:r>
        <w:rPr>
          <w:i/>
          <w:spacing w:val="-11"/>
          <w:w w:val="95"/>
          <w:sz w:val="18"/>
        </w:rPr>
        <w:t> </w:t>
      </w:r>
      <w:r>
        <w:rPr>
          <w:i/>
          <w:w w:val="95"/>
          <w:sz w:val="18"/>
        </w:rPr>
        <w:t>Indicates</w:t>
      </w:r>
      <w:r>
        <w:rPr>
          <w:i/>
          <w:spacing w:val="-9"/>
          <w:w w:val="95"/>
          <w:sz w:val="18"/>
        </w:rPr>
        <w:t> </w:t>
      </w:r>
      <w:r>
        <w:rPr>
          <w:i/>
          <w:w w:val="95"/>
          <w:sz w:val="18"/>
        </w:rPr>
        <w:t>committed</w:t>
      </w:r>
      <w:r>
        <w:rPr>
          <w:i/>
          <w:spacing w:val="-10"/>
          <w:w w:val="95"/>
          <w:sz w:val="18"/>
        </w:rPr>
        <w:t> </w:t>
      </w:r>
      <w:r>
        <w:rPr>
          <w:i/>
          <w:w w:val="95"/>
          <w:sz w:val="18"/>
        </w:rPr>
        <w:t>occupancy</w:t>
      </w:r>
    </w:p>
    <w:p>
      <w:pPr>
        <w:spacing w:line="319" w:lineRule="auto" w:before="87"/>
        <w:ind w:left="220" w:right="0" w:firstLine="0"/>
        <w:jc w:val="left"/>
        <w:rPr>
          <w:i/>
          <w:sz w:val="18"/>
        </w:rPr>
      </w:pPr>
      <w:r>
        <w:rPr>
          <w:i/>
          <w:w w:val="116"/>
          <w:sz w:val="18"/>
        </w:rPr>
        <w:t>*</w:t>
      </w:r>
      <w:r>
        <w:rPr>
          <w:i/>
          <w:spacing w:val="7"/>
          <w:sz w:val="18"/>
        </w:rPr>
        <w:t> </w:t>
      </w:r>
      <w:r>
        <w:rPr>
          <w:i/>
          <w:spacing w:val="-1"/>
          <w:w w:val="90"/>
          <w:sz w:val="18"/>
        </w:rPr>
        <w:t>T</w:t>
      </w:r>
      <w:r>
        <w:rPr>
          <w:i/>
          <w:spacing w:val="1"/>
          <w:w w:val="90"/>
          <w:sz w:val="18"/>
        </w:rPr>
        <w:t>h</w:t>
      </w:r>
      <w:r>
        <w:rPr>
          <w:i/>
          <w:w w:val="94"/>
          <w:sz w:val="18"/>
        </w:rPr>
        <w:t>e</w:t>
      </w:r>
      <w:r>
        <w:rPr>
          <w:i/>
          <w:spacing w:val="7"/>
          <w:sz w:val="18"/>
        </w:rPr>
        <w:t> </w:t>
      </w:r>
      <w:r>
        <w:rPr>
          <w:i/>
          <w:spacing w:val="-1"/>
          <w:w w:val="81"/>
          <w:sz w:val="18"/>
        </w:rPr>
        <w:t>r</w:t>
      </w:r>
      <w:r>
        <w:rPr>
          <w:i/>
          <w:w w:val="96"/>
          <w:sz w:val="18"/>
        </w:rPr>
        <w:t>en</w:t>
      </w:r>
      <w:r>
        <w:rPr>
          <w:i/>
          <w:w w:val="68"/>
          <w:sz w:val="18"/>
        </w:rPr>
        <w:t>t</w:t>
      </w:r>
      <w:r>
        <w:rPr>
          <w:i/>
          <w:spacing w:val="10"/>
          <w:sz w:val="18"/>
        </w:rPr>
        <w:t> </w:t>
      </w:r>
      <w:r>
        <w:rPr>
          <w:i/>
          <w:spacing w:val="-1"/>
          <w:w w:val="94"/>
          <w:sz w:val="18"/>
        </w:rPr>
        <w:t>m</w:t>
      </w:r>
      <w:r>
        <w:rPr>
          <w:i/>
          <w:spacing w:val="-3"/>
          <w:w w:val="94"/>
          <w:sz w:val="18"/>
        </w:rPr>
        <w:t>e</w:t>
      </w:r>
      <w:r>
        <w:rPr>
          <w:i/>
          <w:w w:val="99"/>
          <w:sz w:val="18"/>
        </w:rPr>
        <w:t>n</w:t>
      </w:r>
      <w:r>
        <w:rPr>
          <w:i/>
          <w:w w:val="68"/>
          <w:sz w:val="18"/>
        </w:rPr>
        <w:t>t</w:t>
      </w:r>
      <w:r>
        <w:rPr>
          <w:i/>
          <w:spacing w:val="-1"/>
          <w:w w:val="93"/>
          <w:sz w:val="18"/>
        </w:rPr>
        <w:t>io</w:t>
      </w:r>
      <w:r>
        <w:rPr>
          <w:i/>
          <w:w w:val="99"/>
          <w:sz w:val="18"/>
        </w:rPr>
        <w:t>n</w:t>
      </w:r>
      <w:r>
        <w:rPr>
          <w:i/>
          <w:spacing w:val="-3"/>
          <w:w w:val="94"/>
          <w:sz w:val="18"/>
        </w:rPr>
        <w:t>e</w:t>
      </w:r>
      <w:r>
        <w:rPr>
          <w:i/>
          <w:w w:val="101"/>
          <w:sz w:val="18"/>
        </w:rPr>
        <w:t>d</w:t>
      </w:r>
      <w:r>
        <w:rPr>
          <w:i/>
          <w:spacing w:val="8"/>
          <w:sz w:val="18"/>
        </w:rPr>
        <w:t> </w:t>
      </w:r>
      <w:r>
        <w:rPr>
          <w:i/>
          <w:spacing w:val="-2"/>
          <w:w w:val="107"/>
          <w:sz w:val="18"/>
        </w:rPr>
        <w:t>a</w:t>
      </w:r>
      <w:r>
        <w:rPr>
          <w:i/>
          <w:w w:val="101"/>
          <w:sz w:val="18"/>
        </w:rPr>
        <w:t>b</w:t>
      </w:r>
      <w:r>
        <w:rPr>
          <w:i/>
          <w:spacing w:val="-1"/>
          <w:w w:val="102"/>
          <w:sz w:val="18"/>
        </w:rPr>
        <w:t>o</w:t>
      </w:r>
      <w:r>
        <w:rPr>
          <w:i/>
          <w:w w:val="91"/>
          <w:sz w:val="18"/>
        </w:rPr>
        <w:t>v</w:t>
      </w:r>
      <w:r>
        <w:rPr>
          <w:i/>
          <w:w w:val="94"/>
          <w:sz w:val="18"/>
        </w:rPr>
        <w:t>e</w:t>
      </w:r>
      <w:r>
        <w:rPr>
          <w:i/>
          <w:spacing w:val="7"/>
          <w:sz w:val="18"/>
        </w:rPr>
        <w:t> </w:t>
      </w:r>
      <w:r>
        <w:rPr>
          <w:i/>
          <w:w w:val="92"/>
          <w:sz w:val="18"/>
        </w:rPr>
        <w:t>e</w:t>
      </w:r>
      <w:r>
        <w:rPr>
          <w:i/>
          <w:spacing w:val="-3"/>
          <w:w w:val="92"/>
          <w:sz w:val="18"/>
        </w:rPr>
        <w:t>x</w:t>
      </w:r>
      <w:r>
        <w:rPr>
          <w:i/>
          <w:w w:val="100"/>
          <w:sz w:val="18"/>
        </w:rPr>
        <w:t>c</w:t>
      </w:r>
      <w:r>
        <w:rPr>
          <w:i/>
          <w:spacing w:val="-1"/>
          <w:w w:val="85"/>
          <w:sz w:val="18"/>
        </w:rPr>
        <w:t>l</w:t>
      </w:r>
      <w:r>
        <w:rPr>
          <w:i/>
          <w:spacing w:val="-2"/>
          <w:w w:val="85"/>
          <w:sz w:val="18"/>
        </w:rPr>
        <w:t>u</w:t>
      </w:r>
      <w:r>
        <w:rPr>
          <w:i/>
          <w:w w:val="101"/>
          <w:sz w:val="18"/>
        </w:rPr>
        <w:t>d</w:t>
      </w:r>
      <w:r>
        <w:rPr>
          <w:i/>
          <w:w w:val="94"/>
          <w:sz w:val="18"/>
        </w:rPr>
        <w:t>e</w:t>
      </w:r>
      <w:r>
        <w:rPr>
          <w:i/>
          <w:spacing w:val="7"/>
          <w:sz w:val="18"/>
        </w:rPr>
        <w:t> </w:t>
      </w:r>
      <w:r>
        <w:rPr>
          <w:i/>
          <w:spacing w:val="-1"/>
          <w:w w:val="102"/>
          <w:sz w:val="18"/>
        </w:rPr>
        <w:t>o</w:t>
      </w:r>
      <w:r>
        <w:rPr>
          <w:i/>
          <w:w w:val="68"/>
          <w:sz w:val="18"/>
        </w:rPr>
        <w:t>t</w:t>
      </w:r>
      <w:r>
        <w:rPr>
          <w:i/>
          <w:w w:val="97"/>
          <w:sz w:val="18"/>
        </w:rPr>
        <w:t>h</w:t>
      </w:r>
      <w:r>
        <w:rPr>
          <w:i/>
          <w:w w:val="88"/>
          <w:sz w:val="18"/>
        </w:rPr>
        <w:t>er</w:t>
      </w:r>
      <w:r>
        <w:rPr>
          <w:i/>
          <w:spacing w:val="7"/>
          <w:sz w:val="18"/>
        </w:rPr>
        <w:t> </w:t>
      </w:r>
      <w:r>
        <w:rPr>
          <w:i/>
          <w:spacing w:val="-1"/>
          <w:w w:val="91"/>
          <w:sz w:val="18"/>
        </w:rPr>
        <w:t>i</w:t>
      </w:r>
      <w:r>
        <w:rPr>
          <w:i/>
          <w:w w:val="91"/>
          <w:sz w:val="18"/>
        </w:rPr>
        <w:t>n</w:t>
      </w:r>
      <w:r>
        <w:rPr>
          <w:i/>
          <w:w w:val="100"/>
          <w:sz w:val="18"/>
        </w:rPr>
        <w:t>c</w:t>
      </w:r>
      <w:r>
        <w:rPr>
          <w:i/>
          <w:spacing w:val="-1"/>
          <w:w w:val="102"/>
          <w:sz w:val="18"/>
        </w:rPr>
        <w:t>o</w:t>
      </w:r>
      <w:r>
        <w:rPr>
          <w:i/>
          <w:spacing w:val="-1"/>
          <w:w w:val="94"/>
          <w:sz w:val="18"/>
        </w:rPr>
        <w:t>m</w:t>
      </w:r>
      <w:r>
        <w:rPr>
          <w:i/>
          <w:w w:val="94"/>
          <w:sz w:val="18"/>
        </w:rPr>
        <w:t>e</w:t>
      </w:r>
      <w:r>
        <w:rPr>
          <w:i/>
          <w:spacing w:val="7"/>
          <w:sz w:val="18"/>
        </w:rPr>
        <w:t> </w:t>
      </w:r>
      <w:r>
        <w:rPr>
          <w:i/>
          <w:w w:val="101"/>
          <w:sz w:val="18"/>
        </w:rPr>
        <w:t>s</w:t>
      </w:r>
      <w:r>
        <w:rPr>
          <w:i/>
          <w:spacing w:val="-1"/>
          <w:w w:val="92"/>
          <w:sz w:val="18"/>
        </w:rPr>
        <w:t>u</w:t>
      </w:r>
      <w:r>
        <w:rPr>
          <w:i/>
          <w:spacing w:val="-2"/>
          <w:w w:val="100"/>
          <w:sz w:val="18"/>
        </w:rPr>
        <w:t>c</w:t>
      </w:r>
      <w:r>
        <w:rPr>
          <w:i/>
          <w:w w:val="97"/>
          <w:sz w:val="18"/>
        </w:rPr>
        <w:t>h</w:t>
      </w:r>
      <w:r>
        <w:rPr>
          <w:i/>
          <w:spacing w:val="8"/>
          <w:sz w:val="18"/>
        </w:rPr>
        <w:t> </w:t>
      </w:r>
      <w:r>
        <w:rPr>
          <w:i/>
          <w:spacing w:val="-2"/>
          <w:w w:val="107"/>
          <w:sz w:val="18"/>
        </w:rPr>
        <w:t>a</w:t>
      </w:r>
      <w:r>
        <w:rPr>
          <w:i/>
          <w:w w:val="101"/>
          <w:sz w:val="18"/>
        </w:rPr>
        <w:t>s</w:t>
      </w:r>
      <w:r>
        <w:rPr>
          <w:i/>
          <w:spacing w:val="13"/>
          <w:sz w:val="18"/>
        </w:rPr>
        <w:t> </w:t>
      </w:r>
      <w:r>
        <w:rPr>
          <w:i/>
          <w:spacing w:val="-1"/>
          <w:w w:val="112"/>
          <w:sz w:val="18"/>
        </w:rPr>
        <w:t>C</w:t>
      </w:r>
      <w:r>
        <w:rPr>
          <w:i/>
          <w:w w:val="108"/>
          <w:sz w:val="18"/>
        </w:rPr>
        <w:t>AM</w:t>
      </w:r>
      <w:r>
        <w:rPr>
          <w:i/>
          <w:spacing w:val="8"/>
          <w:sz w:val="18"/>
        </w:rPr>
        <w:t> </w:t>
      </w:r>
      <w:r>
        <w:rPr>
          <w:i/>
          <w:w w:val="100"/>
          <w:sz w:val="18"/>
        </w:rPr>
        <w:t>c</w:t>
      </w:r>
      <w:r>
        <w:rPr>
          <w:i/>
          <w:w w:val="97"/>
          <w:sz w:val="18"/>
        </w:rPr>
        <w:t>h</w:t>
      </w:r>
      <w:r>
        <w:rPr>
          <w:i/>
          <w:w w:val="107"/>
          <w:sz w:val="18"/>
        </w:rPr>
        <w:t>a</w:t>
      </w:r>
      <w:r>
        <w:rPr>
          <w:i/>
          <w:spacing w:val="-4"/>
          <w:w w:val="81"/>
          <w:sz w:val="18"/>
        </w:rPr>
        <w:t>r</w:t>
      </w:r>
      <w:r>
        <w:rPr>
          <w:i/>
          <w:w w:val="112"/>
          <w:sz w:val="18"/>
        </w:rPr>
        <w:t>g</w:t>
      </w:r>
      <w:r>
        <w:rPr>
          <w:i/>
          <w:w w:val="92"/>
          <w:sz w:val="18"/>
        </w:rPr>
        <w:t>es,</w:t>
      </w:r>
      <w:r>
        <w:rPr>
          <w:i/>
          <w:spacing w:val="6"/>
          <w:sz w:val="18"/>
        </w:rPr>
        <w:t> </w:t>
      </w:r>
      <w:r>
        <w:rPr>
          <w:i/>
          <w:w w:val="101"/>
          <w:sz w:val="18"/>
        </w:rPr>
        <w:t>p</w:t>
      </w:r>
      <w:r>
        <w:rPr>
          <w:i/>
          <w:w w:val="107"/>
          <w:sz w:val="18"/>
        </w:rPr>
        <w:t>a</w:t>
      </w:r>
      <w:r>
        <w:rPr>
          <w:i/>
          <w:spacing w:val="-1"/>
          <w:w w:val="81"/>
          <w:sz w:val="18"/>
        </w:rPr>
        <w:t>r</w:t>
      </w:r>
      <w:r>
        <w:rPr>
          <w:i/>
          <w:spacing w:val="-1"/>
          <w:w w:val="93"/>
          <w:sz w:val="18"/>
        </w:rPr>
        <w:t>k</w:t>
      </w:r>
      <w:r>
        <w:rPr>
          <w:i/>
          <w:spacing w:val="-1"/>
          <w:w w:val="91"/>
          <w:sz w:val="18"/>
        </w:rPr>
        <w:t>i</w:t>
      </w:r>
      <w:r>
        <w:rPr>
          <w:i/>
          <w:w w:val="91"/>
          <w:sz w:val="18"/>
        </w:rPr>
        <w:t>n</w:t>
      </w:r>
      <w:r>
        <w:rPr>
          <w:i/>
          <w:w w:val="112"/>
          <w:sz w:val="18"/>
        </w:rPr>
        <w:t>g</w:t>
      </w:r>
      <w:r>
        <w:rPr>
          <w:i/>
          <w:spacing w:val="8"/>
          <w:sz w:val="18"/>
        </w:rPr>
        <w:t> </w:t>
      </w:r>
      <w:r>
        <w:rPr>
          <w:i/>
          <w:spacing w:val="-3"/>
          <w:w w:val="78"/>
          <w:sz w:val="18"/>
        </w:rPr>
        <w:t>i</w:t>
      </w:r>
      <w:r>
        <w:rPr>
          <w:i/>
          <w:w w:val="99"/>
          <w:sz w:val="18"/>
        </w:rPr>
        <w:t>n</w:t>
      </w:r>
      <w:r>
        <w:rPr>
          <w:i/>
          <w:w w:val="100"/>
          <w:sz w:val="18"/>
        </w:rPr>
        <w:t>c</w:t>
      </w:r>
      <w:r>
        <w:rPr>
          <w:i/>
          <w:spacing w:val="-1"/>
          <w:w w:val="102"/>
          <w:sz w:val="18"/>
        </w:rPr>
        <w:t>o</w:t>
      </w:r>
      <w:r>
        <w:rPr>
          <w:i/>
          <w:spacing w:val="-1"/>
          <w:w w:val="94"/>
          <w:sz w:val="18"/>
        </w:rPr>
        <w:t>m</w:t>
      </w:r>
      <w:r>
        <w:rPr>
          <w:i/>
          <w:w w:val="94"/>
          <w:sz w:val="18"/>
        </w:rPr>
        <w:t>e</w:t>
      </w:r>
      <w:r>
        <w:rPr>
          <w:i/>
          <w:spacing w:val="7"/>
          <w:sz w:val="18"/>
        </w:rPr>
        <w:t> </w:t>
      </w:r>
      <w:r>
        <w:rPr>
          <w:i/>
          <w:spacing w:val="-1"/>
          <w:w w:val="81"/>
          <w:sz w:val="18"/>
        </w:rPr>
        <w:t>r</w:t>
      </w:r>
      <w:r>
        <w:rPr>
          <w:i/>
          <w:w w:val="97"/>
          <w:sz w:val="18"/>
        </w:rPr>
        <w:t>e</w:t>
      </w:r>
      <w:r>
        <w:rPr>
          <w:i/>
          <w:spacing w:val="-2"/>
          <w:w w:val="97"/>
          <w:sz w:val="18"/>
        </w:rPr>
        <w:t>c</w:t>
      </w:r>
      <w:r>
        <w:rPr>
          <w:i/>
          <w:w w:val="89"/>
          <w:sz w:val="18"/>
        </w:rPr>
        <w:t>eiv</w:t>
      </w:r>
      <w:r>
        <w:rPr>
          <w:i/>
          <w:w w:val="98"/>
          <w:sz w:val="18"/>
        </w:rPr>
        <w:t>ed</w:t>
      </w:r>
      <w:r>
        <w:rPr>
          <w:i/>
          <w:spacing w:val="8"/>
          <w:sz w:val="18"/>
        </w:rPr>
        <w:t> </w:t>
      </w:r>
      <w:r>
        <w:rPr>
          <w:i/>
          <w:spacing w:val="-1"/>
          <w:w w:val="77"/>
          <w:sz w:val="18"/>
        </w:rPr>
        <w:t>f</w:t>
      </w:r>
      <w:r>
        <w:rPr>
          <w:i/>
          <w:spacing w:val="-1"/>
          <w:w w:val="81"/>
          <w:sz w:val="18"/>
        </w:rPr>
        <w:t>r</w:t>
      </w:r>
      <w:r>
        <w:rPr>
          <w:i/>
          <w:spacing w:val="-1"/>
          <w:w w:val="102"/>
          <w:sz w:val="18"/>
        </w:rPr>
        <w:t>o</w:t>
      </w:r>
      <w:r>
        <w:rPr>
          <w:i/>
          <w:w w:val="94"/>
          <w:sz w:val="18"/>
        </w:rPr>
        <w:t>m</w:t>
      </w:r>
      <w:r>
        <w:rPr>
          <w:i/>
          <w:spacing w:val="8"/>
          <w:sz w:val="18"/>
        </w:rPr>
        <w:t> </w:t>
      </w:r>
      <w:r>
        <w:rPr>
          <w:i/>
          <w:w w:val="68"/>
          <w:sz w:val="18"/>
        </w:rPr>
        <w:t>t</w:t>
      </w:r>
      <w:r>
        <w:rPr>
          <w:i/>
          <w:w w:val="97"/>
          <w:sz w:val="18"/>
        </w:rPr>
        <w:t>h</w:t>
      </w:r>
      <w:r>
        <w:rPr>
          <w:i/>
          <w:w w:val="94"/>
          <w:sz w:val="18"/>
        </w:rPr>
        <w:t>e</w:t>
      </w:r>
      <w:r>
        <w:rPr>
          <w:i/>
          <w:spacing w:val="5"/>
          <w:sz w:val="18"/>
        </w:rPr>
        <w:t> </w:t>
      </w:r>
      <w:r>
        <w:rPr>
          <w:i/>
          <w:w w:val="68"/>
          <w:sz w:val="18"/>
        </w:rPr>
        <w:t>t</w:t>
      </w:r>
      <w:r>
        <w:rPr>
          <w:i/>
          <w:w w:val="96"/>
          <w:sz w:val="18"/>
        </w:rPr>
        <w:t>en</w:t>
      </w:r>
      <w:r>
        <w:rPr>
          <w:i/>
          <w:spacing w:val="-2"/>
          <w:w w:val="107"/>
          <w:sz w:val="18"/>
        </w:rPr>
        <w:t>a</w:t>
      </w:r>
      <w:r>
        <w:rPr>
          <w:i/>
          <w:w w:val="99"/>
          <w:sz w:val="18"/>
        </w:rPr>
        <w:t>n</w:t>
      </w:r>
      <w:r>
        <w:rPr>
          <w:i/>
          <w:spacing w:val="-2"/>
          <w:w w:val="68"/>
          <w:sz w:val="18"/>
        </w:rPr>
        <w:t>t</w:t>
      </w:r>
      <w:r>
        <w:rPr>
          <w:i/>
          <w:w w:val="101"/>
          <w:sz w:val="18"/>
        </w:rPr>
        <w:t>s</w:t>
      </w:r>
      <w:r>
        <w:rPr>
          <w:i/>
          <w:w w:val="78"/>
          <w:sz w:val="18"/>
        </w:rPr>
        <w:t>,</w:t>
      </w:r>
      <w:r>
        <w:rPr>
          <w:i/>
          <w:spacing w:val="8"/>
          <w:sz w:val="18"/>
        </w:rPr>
        <w:t> </w:t>
      </w:r>
      <w:r>
        <w:rPr>
          <w:i/>
          <w:spacing w:val="-3"/>
          <w:w w:val="94"/>
          <w:sz w:val="18"/>
        </w:rPr>
        <w:t>e</w:t>
      </w:r>
      <w:r>
        <w:rPr>
          <w:i/>
          <w:w w:val="68"/>
          <w:sz w:val="18"/>
        </w:rPr>
        <w:t>t</w:t>
      </w:r>
      <w:r>
        <w:rPr>
          <w:i/>
          <w:w w:val="100"/>
          <w:sz w:val="18"/>
        </w:rPr>
        <w:t>c</w:t>
      </w:r>
      <w:r>
        <w:rPr>
          <w:i/>
          <w:w w:val="78"/>
          <w:sz w:val="18"/>
        </w:rPr>
        <w:t>.</w:t>
      </w:r>
      <w:r>
        <w:rPr>
          <w:i/>
          <w:w w:val="83"/>
          <w:sz w:val="18"/>
        </w:rPr>
        <w:t>;</w:t>
      </w:r>
      <w:r>
        <w:rPr>
          <w:i/>
          <w:spacing w:val="7"/>
          <w:sz w:val="18"/>
        </w:rPr>
        <w:t> </w:t>
      </w:r>
      <w:r>
        <w:rPr>
          <w:i/>
          <w:spacing w:val="-3"/>
          <w:w w:val="190"/>
          <w:sz w:val="18"/>
        </w:rPr>
        <w:t>^</w:t>
      </w:r>
      <w:r>
        <w:rPr>
          <w:i/>
          <w:spacing w:val="-1"/>
          <w:w w:val="95"/>
          <w:sz w:val="18"/>
        </w:rPr>
        <w:t>w</w:t>
      </w:r>
      <w:r>
        <w:rPr>
          <w:i/>
          <w:w w:val="97"/>
          <w:sz w:val="18"/>
        </w:rPr>
        <w:t>eig</w:t>
      </w:r>
      <w:r>
        <w:rPr>
          <w:i/>
          <w:w w:val="97"/>
          <w:sz w:val="18"/>
        </w:rPr>
        <w:t>h</w:t>
      </w:r>
      <w:r>
        <w:rPr>
          <w:i/>
          <w:w w:val="68"/>
          <w:sz w:val="18"/>
        </w:rPr>
        <w:t>t</w:t>
      </w:r>
      <w:r>
        <w:rPr>
          <w:i/>
          <w:spacing w:val="-3"/>
          <w:w w:val="94"/>
          <w:sz w:val="18"/>
        </w:rPr>
        <w:t>e</w:t>
      </w:r>
      <w:r>
        <w:rPr>
          <w:i/>
          <w:w w:val="101"/>
          <w:sz w:val="18"/>
        </w:rPr>
        <w:t>d</w:t>
      </w:r>
      <w:r>
        <w:rPr>
          <w:i/>
          <w:w w:val="101"/>
          <w:sz w:val="18"/>
        </w:rPr>
        <w:t> </w:t>
      </w:r>
      <w:r>
        <w:rPr>
          <w:i/>
          <w:sz w:val="18"/>
        </w:rPr>
        <w:t>average</w:t>
      </w:r>
      <w:r>
        <w:rPr>
          <w:i/>
          <w:spacing w:val="-10"/>
          <w:sz w:val="18"/>
        </w:rPr>
        <w:t> </w:t>
      </w:r>
      <w:r>
        <w:rPr>
          <w:i/>
          <w:sz w:val="18"/>
        </w:rPr>
        <w:t>warm</w:t>
      </w:r>
      <w:r>
        <w:rPr>
          <w:i/>
          <w:spacing w:val="-7"/>
          <w:sz w:val="18"/>
        </w:rPr>
        <w:t> </w:t>
      </w:r>
      <w:r>
        <w:rPr>
          <w:i/>
          <w:sz w:val="18"/>
        </w:rPr>
        <w:t>shell</w:t>
      </w:r>
      <w:r>
        <w:rPr>
          <w:i/>
          <w:spacing w:val="-8"/>
          <w:sz w:val="18"/>
        </w:rPr>
        <w:t> </w:t>
      </w:r>
      <w:r>
        <w:rPr>
          <w:i/>
          <w:sz w:val="18"/>
        </w:rPr>
        <w:t>rent</w:t>
      </w:r>
      <w:r>
        <w:rPr>
          <w:i/>
          <w:spacing w:val="-6"/>
          <w:sz w:val="18"/>
        </w:rPr>
        <w:t> </w:t>
      </w:r>
      <w:r>
        <w:rPr>
          <w:i/>
          <w:sz w:val="18"/>
        </w:rPr>
        <w:t>for</w:t>
      </w:r>
      <w:r>
        <w:rPr>
          <w:i/>
          <w:spacing w:val="-8"/>
          <w:sz w:val="18"/>
        </w:rPr>
        <w:t> </w:t>
      </w:r>
      <w:r>
        <w:rPr>
          <w:i/>
          <w:sz w:val="18"/>
        </w:rPr>
        <w:t>area</w:t>
      </w:r>
      <w:r>
        <w:rPr>
          <w:i/>
          <w:spacing w:val="-6"/>
          <w:sz w:val="18"/>
        </w:rPr>
        <w:t> </w:t>
      </w:r>
      <w:r>
        <w:rPr>
          <w:i/>
          <w:sz w:val="18"/>
        </w:rPr>
        <w:t>already</w:t>
      </w:r>
      <w:r>
        <w:rPr>
          <w:i/>
          <w:spacing w:val="-7"/>
          <w:sz w:val="18"/>
        </w:rPr>
        <w:t> </w:t>
      </w:r>
      <w:r>
        <w:rPr>
          <w:i/>
          <w:sz w:val="18"/>
        </w:rPr>
        <w:t>leased</w:t>
      </w:r>
      <w:r>
        <w:rPr>
          <w:i/>
          <w:spacing w:val="-3"/>
          <w:sz w:val="18"/>
        </w:rPr>
        <w:t> </w:t>
      </w:r>
      <w:r>
        <w:rPr>
          <w:i/>
          <w:w w:val="105"/>
          <w:sz w:val="18"/>
        </w:rPr>
        <w:t>–</w:t>
      </w:r>
      <w:r>
        <w:rPr>
          <w:i/>
          <w:spacing w:val="-10"/>
          <w:w w:val="105"/>
          <w:sz w:val="18"/>
        </w:rPr>
        <w:t> </w:t>
      </w:r>
      <w:r>
        <w:rPr>
          <w:i/>
          <w:sz w:val="18"/>
        </w:rPr>
        <w:t>as</w:t>
      </w:r>
      <w:r>
        <w:rPr>
          <w:i/>
          <w:spacing w:val="-9"/>
          <w:sz w:val="18"/>
        </w:rPr>
        <w:t> </w:t>
      </w:r>
      <w:r>
        <w:rPr>
          <w:i/>
          <w:sz w:val="18"/>
        </w:rPr>
        <w:t>per</w:t>
      </w:r>
      <w:r>
        <w:rPr>
          <w:i/>
          <w:spacing w:val="-8"/>
          <w:sz w:val="18"/>
        </w:rPr>
        <w:t> </w:t>
      </w:r>
      <w:r>
        <w:rPr>
          <w:i/>
          <w:sz w:val="18"/>
        </w:rPr>
        <w:t>rent</w:t>
      </w:r>
      <w:r>
        <w:rPr>
          <w:i/>
          <w:spacing w:val="-8"/>
          <w:sz w:val="18"/>
        </w:rPr>
        <w:t> </w:t>
      </w:r>
      <w:r>
        <w:rPr>
          <w:i/>
          <w:sz w:val="18"/>
        </w:rPr>
        <w:t>roll/lease</w:t>
      </w:r>
      <w:r>
        <w:rPr>
          <w:i/>
          <w:spacing w:val="-7"/>
          <w:sz w:val="18"/>
        </w:rPr>
        <w:t> </w:t>
      </w:r>
      <w:r>
        <w:rPr>
          <w:i/>
          <w:sz w:val="18"/>
        </w:rPr>
        <w:t>deeds</w:t>
      </w:r>
      <w:r>
        <w:rPr>
          <w:i/>
          <w:spacing w:val="-5"/>
          <w:sz w:val="18"/>
        </w:rPr>
        <w:t> </w:t>
      </w:r>
      <w:r>
        <w:rPr>
          <w:i/>
          <w:sz w:val="18"/>
        </w:rPr>
        <w:t>shared</w:t>
      </w:r>
      <w:r>
        <w:rPr>
          <w:i/>
          <w:spacing w:val="-9"/>
          <w:sz w:val="18"/>
        </w:rPr>
        <w:t> </w:t>
      </w:r>
      <w:r>
        <w:rPr>
          <w:i/>
          <w:sz w:val="18"/>
        </w:rPr>
        <w:t>by</w:t>
      </w:r>
      <w:r>
        <w:rPr>
          <w:i/>
          <w:spacing w:val="-9"/>
          <w:sz w:val="18"/>
        </w:rPr>
        <w:t> </w:t>
      </w:r>
      <w:r>
        <w:rPr>
          <w:i/>
          <w:sz w:val="18"/>
        </w:rPr>
        <w:t>Client</w:t>
      </w:r>
    </w:p>
    <w:p>
      <w:pPr>
        <w:pStyle w:val="BodyText"/>
        <w:rPr>
          <w:i/>
          <w:sz w:val="21"/>
        </w:rPr>
      </w:pPr>
    </w:p>
    <w:p>
      <w:pPr>
        <w:pStyle w:val="BodyText"/>
        <w:spacing w:line="321" w:lineRule="auto"/>
        <w:ind w:left="782" w:right="194"/>
        <w:jc w:val="both"/>
      </w:pPr>
      <w:r>
        <w:rPr/>
        <w:t>The above marginal rent assumption is adopted for the entire subject development. In addition to undertaking</w:t>
      </w:r>
      <w:r>
        <w:rPr>
          <w:spacing w:val="-4"/>
        </w:rPr>
        <w:t> </w:t>
      </w:r>
      <w:r>
        <w:rPr/>
        <w:t>an</w:t>
      </w:r>
      <w:r>
        <w:rPr>
          <w:spacing w:val="-4"/>
        </w:rPr>
        <w:t> </w:t>
      </w:r>
      <w:r>
        <w:rPr/>
        <w:t>in-depth</w:t>
      </w:r>
      <w:r>
        <w:rPr>
          <w:spacing w:val="-6"/>
        </w:rPr>
        <w:t> </w:t>
      </w:r>
      <w:r>
        <w:rPr/>
        <w:t>market</w:t>
      </w:r>
      <w:r>
        <w:rPr>
          <w:spacing w:val="-3"/>
        </w:rPr>
        <w:t> </w:t>
      </w:r>
      <w:r>
        <w:rPr/>
        <w:t>analysis,</w:t>
      </w:r>
      <w:r>
        <w:rPr>
          <w:spacing w:val="-5"/>
        </w:rPr>
        <w:t> </w:t>
      </w:r>
      <w:r>
        <w:rPr/>
        <w:t>a</w:t>
      </w:r>
      <w:r>
        <w:rPr>
          <w:spacing w:val="-6"/>
        </w:rPr>
        <w:t> </w:t>
      </w:r>
      <w:r>
        <w:rPr/>
        <w:t>detailed</w:t>
      </w:r>
      <w:r>
        <w:rPr>
          <w:spacing w:val="-3"/>
        </w:rPr>
        <w:t> </w:t>
      </w:r>
      <w:r>
        <w:rPr/>
        <w:t>analysis</w:t>
      </w:r>
      <w:r>
        <w:rPr>
          <w:spacing w:val="-4"/>
        </w:rPr>
        <w:t> </w:t>
      </w:r>
      <w:r>
        <w:rPr/>
        <w:t>of</w:t>
      </w:r>
      <w:r>
        <w:rPr>
          <w:spacing w:val="-3"/>
        </w:rPr>
        <w:t> </w:t>
      </w:r>
      <w:r>
        <w:rPr/>
        <w:t>the</w:t>
      </w:r>
      <w:r>
        <w:rPr>
          <w:spacing w:val="-5"/>
        </w:rPr>
        <w:t> </w:t>
      </w:r>
      <w:r>
        <w:rPr/>
        <w:t>rent</w:t>
      </w:r>
      <w:r>
        <w:rPr>
          <w:spacing w:val="-4"/>
        </w:rPr>
        <w:t> </w:t>
      </w:r>
      <w:r>
        <w:rPr/>
        <w:t>rolls</w:t>
      </w:r>
      <w:r>
        <w:rPr>
          <w:spacing w:val="-3"/>
        </w:rPr>
        <w:t> </w:t>
      </w:r>
      <w:r>
        <w:rPr/>
        <w:t>was</w:t>
      </w:r>
      <w:r>
        <w:rPr>
          <w:spacing w:val="-4"/>
        </w:rPr>
        <w:t> </w:t>
      </w:r>
      <w:r>
        <w:rPr/>
        <w:t>also</w:t>
      </w:r>
      <w:r>
        <w:rPr>
          <w:spacing w:val="-5"/>
        </w:rPr>
        <w:t> </w:t>
      </w:r>
      <w:r>
        <w:rPr/>
        <w:t>undertaken</w:t>
      </w:r>
      <w:r>
        <w:rPr>
          <w:spacing w:val="-4"/>
        </w:rPr>
        <w:t> </w:t>
      </w:r>
      <w:r>
        <w:rPr/>
        <w:t>to understand</w:t>
      </w:r>
      <w:r>
        <w:rPr>
          <w:spacing w:val="-37"/>
        </w:rPr>
        <w:t> </w:t>
      </w:r>
      <w:r>
        <w:rPr/>
        <w:t>aspects</w:t>
      </w:r>
      <w:r>
        <w:rPr>
          <w:spacing w:val="-37"/>
        </w:rPr>
        <w:t> </w:t>
      </w:r>
      <w:r>
        <w:rPr/>
        <w:t>such</w:t>
      </w:r>
      <w:r>
        <w:rPr>
          <w:spacing w:val="-38"/>
        </w:rPr>
        <w:t> </w:t>
      </w:r>
      <w:r>
        <w:rPr/>
        <w:t>as</w:t>
      </w:r>
      <w:r>
        <w:rPr>
          <w:spacing w:val="-36"/>
        </w:rPr>
        <w:t> </w:t>
      </w:r>
      <w:r>
        <w:rPr/>
        <w:t>area</w:t>
      </w:r>
      <w:r>
        <w:rPr>
          <w:spacing w:val="-37"/>
        </w:rPr>
        <w:t> </w:t>
      </w:r>
      <w:r>
        <w:rPr/>
        <w:t>occupied,</w:t>
      </w:r>
      <w:r>
        <w:rPr>
          <w:spacing w:val="-37"/>
        </w:rPr>
        <w:t> </w:t>
      </w:r>
      <w:r>
        <w:rPr/>
        <w:t>current</w:t>
      </w:r>
      <w:r>
        <w:rPr>
          <w:spacing w:val="-37"/>
        </w:rPr>
        <w:t> </w:t>
      </w:r>
      <w:r>
        <w:rPr/>
        <w:t>rent</w:t>
      </w:r>
      <w:r>
        <w:rPr>
          <w:spacing w:val="-37"/>
        </w:rPr>
        <w:t> </w:t>
      </w:r>
      <w:r>
        <w:rPr/>
        <w:t>and</w:t>
      </w:r>
      <w:r>
        <w:rPr>
          <w:spacing w:val="-36"/>
        </w:rPr>
        <w:t> </w:t>
      </w:r>
      <w:r>
        <w:rPr/>
        <w:t>expiry</w:t>
      </w:r>
      <w:r>
        <w:rPr>
          <w:spacing w:val="-36"/>
        </w:rPr>
        <w:t> </w:t>
      </w:r>
      <w:r>
        <w:rPr/>
        <w:t>analysis</w:t>
      </w:r>
      <w:r>
        <w:rPr>
          <w:spacing w:val="-37"/>
        </w:rPr>
        <w:t> </w:t>
      </w:r>
      <w:r>
        <w:rPr/>
        <w:t>of</w:t>
      </w:r>
      <w:r>
        <w:rPr>
          <w:spacing w:val="-37"/>
        </w:rPr>
        <w:t> </w:t>
      </w:r>
      <w:r>
        <w:rPr/>
        <w:t>the</w:t>
      </w:r>
      <w:r>
        <w:rPr>
          <w:spacing w:val="-36"/>
        </w:rPr>
        <w:t> </w:t>
      </w:r>
      <w:r>
        <w:rPr/>
        <w:t>key</w:t>
      </w:r>
      <w:r>
        <w:rPr>
          <w:spacing w:val="-36"/>
        </w:rPr>
        <w:t> </w:t>
      </w:r>
      <w:r>
        <w:rPr/>
        <w:t>tenants</w:t>
      </w:r>
      <w:r>
        <w:rPr>
          <w:spacing w:val="-36"/>
        </w:rPr>
        <w:t> </w:t>
      </w:r>
      <w:r>
        <w:rPr/>
        <w:t>in</w:t>
      </w:r>
      <w:r>
        <w:rPr>
          <w:spacing w:val="-38"/>
        </w:rPr>
        <w:t> </w:t>
      </w:r>
      <w:r>
        <w:rPr/>
        <w:t>the</w:t>
      </w:r>
      <w:r>
        <w:rPr>
          <w:spacing w:val="-34"/>
        </w:rPr>
        <w:t> </w:t>
      </w:r>
      <w:r>
        <w:rPr/>
        <w:t>park. Additionally,</w:t>
      </w:r>
      <w:r>
        <w:rPr>
          <w:spacing w:val="-39"/>
        </w:rPr>
        <w:t> </w:t>
      </w:r>
      <w:r>
        <w:rPr/>
        <w:t>we</w:t>
      </w:r>
      <w:r>
        <w:rPr>
          <w:spacing w:val="-39"/>
        </w:rPr>
        <w:t> </w:t>
      </w:r>
      <w:r>
        <w:rPr/>
        <w:t>also</w:t>
      </w:r>
      <w:r>
        <w:rPr>
          <w:spacing w:val="-39"/>
        </w:rPr>
        <w:t> </w:t>
      </w:r>
      <w:r>
        <w:rPr/>
        <w:t>analysed</w:t>
      </w:r>
      <w:r>
        <w:rPr>
          <w:spacing w:val="-39"/>
        </w:rPr>
        <w:t> </w:t>
      </w:r>
      <w:r>
        <w:rPr/>
        <w:t>the</w:t>
      </w:r>
      <w:r>
        <w:rPr>
          <w:spacing w:val="-39"/>
        </w:rPr>
        <w:t> </w:t>
      </w:r>
      <w:r>
        <w:rPr/>
        <w:t>historical</w:t>
      </w:r>
      <w:r>
        <w:rPr>
          <w:spacing w:val="-39"/>
        </w:rPr>
        <w:t> </w:t>
      </w:r>
      <w:r>
        <w:rPr/>
        <w:t>occupancy</w:t>
      </w:r>
      <w:r>
        <w:rPr>
          <w:spacing w:val="-38"/>
        </w:rPr>
        <w:t> </w:t>
      </w:r>
      <w:r>
        <w:rPr/>
        <w:t>pattern</w:t>
      </w:r>
      <w:r>
        <w:rPr>
          <w:spacing w:val="-39"/>
        </w:rPr>
        <w:t> </w:t>
      </w:r>
      <w:r>
        <w:rPr/>
        <w:t>at</w:t>
      </w:r>
      <w:r>
        <w:rPr>
          <w:spacing w:val="-40"/>
        </w:rPr>
        <w:t> </w:t>
      </w:r>
      <w:r>
        <w:rPr/>
        <w:t>the</w:t>
      </w:r>
      <w:r>
        <w:rPr>
          <w:spacing w:val="-40"/>
        </w:rPr>
        <w:t> </w:t>
      </w:r>
      <w:r>
        <w:rPr/>
        <w:t>subject</w:t>
      </w:r>
      <w:r>
        <w:rPr>
          <w:spacing w:val="-39"/>
        </w:rPr>
        <w:t> </w:t>
      </w:r>
      <w:r>
        <w:rPr/>
        <w:t>development</w:t>
      </w:r>
      <w:r>
        <w:rPr>
          <w:spacing w:val="-39"/>
        </w:rPr>
        <w:t> </w:t>
      </w:r>
      <w:r>
        <w:rPr/>
        <w:t>and</w:t>
      </w:r>
      <w:r>
        <w:rPr>
          <w:spacing w:val="-38"/>
        </w:rPr>
        <w:t> </w:t>
      </w:r>
      <w:r>
        <w:rPr/>
        <w:t>lease-up time</w:t>
      </w:r>
      <w:r>
        <w:rPr>
          <w:spacing w:val="-28"/>
        </w:rPr>
        <w:t> </w:t>
      </w:r>
      <w:r>
        <w:rPr/>
        <w:t>frame</w:t>
      </w:r>
      <w:r>
        <w:rPr>
          <w:spacing w:val="-27"/>
        </w:rPr>
        <w:t> </w:t>
      </w:r>
      <w:r>
        <w:rPr/>
        <w:t>for</w:t>
      </w:r>
      <w:r>
        <w:rPr>
          <w:spacing w:val="-27"/>
        </w:rPr>
        <w:t> </w:t>
      </w:r>
      <w:r>
        <w:rPr/>
        <w:t>spaces</w:t>
      </w:r>
      <w:r>
        <w:rPr>
          <w:spacing w:val="-26"/>
        </w:rPr>
        <w:t> </w:t>
      </w:r>
      <w:r>
        <w:rPr/>
        <w:t>being</w:t>
      </w:r>
      <w:r>
        <w:rPr>
          <w:spacing w:val="-27"/>
        </w:rPr>
        <w:t> </w:t>
      </w:r>
      <w:r>
        <w:rPr/>
        <w:t>vacated</w:t>
      </w:r>
      <w:r>
        <w:rPr>
          <w:spacing w:val="-26"/>
        </w:rPr>
        <w:t> </w:t>
      </w:r>
      <w:r>
        <w:rPr/>
        <w:t>by</w:t>
      </w:r>
      <w:r>
        <w:rPr>
          <w:spacing w:val="-25"/>
        </w:rPr>
        <w:t> </w:t>
      </w:r>
      <w:r>
        <w:rPr/>
        <w:t>tenants</w:t>
      </w:r>
      <w:r>
        <w:rPr>
          <w:spacing w:val="-26"/>
        </w:rPr>
        <w:t> </w:t>
      </w:r>
      <w:r>
        <w:rPr/>
        <w:t>during</w:t>
      </w:r>
      <w:r>
        <w:rPr>
          <w:spacing w:val="-26"/>
        </w:rPr>
        <w:t> </w:t>
      </w:r>
      <w:r>
        <w:rPr/>
        <w:t>the</w:t>
      </w:r>
      <w:r>
        <w:rPr>
          <w:spacing w:val="-27"/>
        </w:rPr>
        <w:t> </w:t>
      </w:r>
      <w:r>
        <w:rPr/>
        <w:t>last</w:t>
      </w:r>
      <w:r>
        <w:rPr>
          <w:spacing w:val="-27"/>
        </w:rPr>
        <w:t> </w:t>
      </w:r>
      <w:r>
        <w:rPr/>
        <w:t>3</w:t>
      </w:r>
      <w:r>
        <w:rPr>
          <w:spacing w:val="-27"/>
        </w:rPr>
        <w:t> </w:t>
      </w:r>
      <w:r>
        <w:rPr/>
        <w:t>years.</w:t>
      </w:r>
      <w:r>
        <w:rPr>
          <w:spacing w:val="-28"/>
        </w:rPr>
        <w:t> </w:t>
      </w:r>
      <w:r>
        <w:rPr/>
        <w:t>The</w:t>
      </w:r>
      <w:r>
        <w:rPr>
          <w:spacing w:val="-27"/>
        </w:rPr>
        <w:t> </w:t>
      </w:r>
      <w:r>
        <w:rPr/>
        <w:t>lease-up</w:t>
      </w:r>
      <w:r>
        <w:rPr>
          <w:spacing w:val="-26"/>
        </w:rPr>
        <w:t> </w:t>
      </w:r>
      <w:r>
        <w:rPr/>
        <w:t>time</w:t>
      </w:r>
      <w:r>
        <w:rPr>
          <w:spacing w:val="-27"/>
        </w:rPr>
        <w:t> </w:t>
      </w:r>
      <w:r>
        <w:rPr/>
        <w:t>on</w:t>
      </w:r>
      <w:r>
        <w:rPr>
          <w:spacing w:val="-27"/>
        </w:rPr>
        <w:t> </w:t>
      </w:r>
      <w:r>
        <w:rPr/>
        <w:t>an</w:t>
      </w:r>
      <w:r>
        <w:rPr>
          <w:spacing w:val="-27"/>
        </w:rPr>
        <w:t> </w:t>
      </w:r>
      <w:r>
        <w:rPr/>
        <w:t>average was</w:t>
      </w:r>
      <w:r>
        <w:rPr>
          <w:spacing w:val="-6"/>
        </w:rPr>
        <w:t> </w:t>
      </w:r>
      <w:r>
        <w:rPr/>
        <w:t>observed</w:t>
      </w:r>
      <w:r>
        <w:rPr>
          <w:spacing w:val="-5"/>
        </w:rPr>
        <w:t> </w:t>
      </w:r>
      <w:r>
        <w:rPr/>
        <w:t>to</w:t>
      </w:r>
      <w:r>
        <w:rPr>
          <w:spacing w:val="-9"/>
        </w:rPr>
        <w:t> </w:t>
      </w:r>
      <w:r>
        <w:rPr/>
        <w:t>be</w:t>
      </w:r>
      <w:r>
        <w:rPr>
          <w:spacing w:val="-6"/>
        </w:rPr>
        <w:t> </w:t>
      </w:r>
      <w:r>
        <w:rPr/>
        <w:t>1-3</w:t>
      </w:r>
      <w:r>
        <w:rPr>
          <w:spacing w:val="-9"/>
        </w:rPr>
        <w:t> </w:t>
      </w:r>
      <w:r>
        <w:rPr/>
        <w:t>months</w:t>
      </w:r>
      <w:r>
        <w:rPr>
          <w:spacing w:val="-5"/>
        </w:rPr>
        <w:t> </w:t>
      </w:r>
      <w:r>
        <w:rPr/>
        <w:t>based</w:t>
      </w:r>
      <w:r>
        <w:rPr>
          <w:spacing w:val="-5"/>
        </w:rPr>
        <w:t> </w:t>
      </w:r>
      <w:r>
        <w:rPr/>
        <w:t>on</w:t>
      </w:r>
      <w:r>
        <w:rPr>
          <w:spacing w:val="-9"/>
        </w:rPr>
        <w:t> </w:t>
      </w:r>
      <w:r>
        <w:rPr/>
        <w:t>quantum</w:t>
      </w:r>
      <w:r>
        <w:rPr>
          <w:spacing w:val="-6"/>
        </w:rPr>
        <w:t> </w:t>
      </w:r>
      <w:r>
        <w:rPr/>
        <w:t>of</w:t>
      </w:r>
      <w:r>
        <w:rPr>
          <w:spacing w:val="-5"/>
        </w:rPr>
        <w:t> </w:t>
      </w:r>
      <w:r>
        <w:rPr/>
        <w:t>space</w:t>
      </w:r>
      <w:r>
        <w:rPr>
          <w:spacing w:val="-6"/>
        </w:rPr>
        <w:t> </w:t>
      </w:r>
      <w:r>
        <w:rPr/>
        <w:t>being</w:t>
      </w:r>
      <w:r>
        <w:rPr>
          <w:spacing w:val="-7"/>
        </w:rPr>
        <w:t> </w:t>
      </w:r>
      <w:r>
        <w:rPr/>
        <w:t>renewed/</w:t>
      </w:r>
      <w:r>
        <w:rPr>
          <w:spacing w:val="-7"/>
        </w:rPr>
        <w:t> </w:t>
      </w:r>
      <w:r>
        <w:rPr/>
        <w:t>re-leased.</w:t>
      </w:r>
    </w:p>
    <w:p>
      <w:pPr>
        <w:spacing w:after="0" w:line="321" w:lineRule="auto"/>
        <w:jc w:val="both"/>
        <w:sectPr>
          <w:pgSz w:w="11910" w:h="16840"/>
          <w:pgMar w:header="720" w:footer="842" w:top="1660" w:bottom="1040" w:left="500" w:right="520"/>
        </w:sectPr>
      </w:pPr>
    </w:p>
    <w:p>
      <w:pPr>
        <w:pStyle w:val="BodyText"/>
        <w:spacing w:before="7"/>
        <w:rPr>
          <w:sz w:val="9"/>
        </w:rPr>
      </w:pPr>
    </w:p>
    <w:p>
      <w:pPr>
        <w:pStyle w:val="BodyText"/>
        <w:spacing w:line="321" w:lineRule="auto" w:before="106"/>
        <w:ind w:left="782" w:right="194"/>
        <w:jc w:val="both"/>
      </w:pPr>
      <w:r>
        <w:rPr/>
        <w:t>Based on the size and scale of operations of tenants, the Valuer adopted individual marginal rent assumptions</w:t>
      </w:r>
      <w:r>
        <w:rPr>
          <w:spacing w:val="-14"/>
        </w:rPr>
        <w:t> </w:t>
      </w:r>
      <w:r>
        <w:rPr/>
        <w:t>for</w:t>
      </w:r>
      <w:r>
        <w:rPr>
          <w:spacing w:val="-14"/>
        </w:rPr>
        <w:t> </w:t>
      </w:r>
      <w:r>
        <w:rPr/>
        <w:t>larger</w:t>
      </w:r>
      <w:r>
        <w:rPr>
          <w:spacing w:val="-13"/>
        </w:rPr>
        <w:t> </w:t>
      </w:r>
      <w:r>
        <w:rPr/>
        <w:t>tenants</w:t>
      </w:r>
      <w:r>
        <w:rPr>
          <w:spacing w:val="-12"/>
        </w:rPr>
        <w:t> </w:t>
      </w:r>
      <w:r>
        <w:rPr/>
        <w:t>in</w:t>
      </w:r>
      <w:r>
        <w:rPr>
          <w:spacing w:val="-14"/>
        </w:rPr>
        <w:t> </w:t>
      </w:r>
      <w:r>
        <w:rPr/>
        <w:t>the</w:t>
      </w:r>
      <w:r>
        <w:rPr>
          <w:spacing w:val="-13"/>
        </w:rPr>
        <w:t> </w:t>
      </w:r>
      <w:r>
        <w:rPr/>
        <w:t>subject</w:t>
      </w:r>
      <w:r>
        <w:rPr>
          <w:spacing w:val="-13"/>
        </w:rPr>
        <w:t> </w:t>
      </w:r>
      <w:r>
        <w:rPr/>
        <w:t>development.</w:t>
      </w:r>
      <w:r>
        <w:rPr>
          <w:spacing w:val="-13"/>
        </w:rPr>
        <w:t> </w:t>
      </w:r>
      <w:r>
        <w:rPr/>
        <w:t>For</w:t>
      </w:r>
      <w:r>
        <w:rPr>
          <w:spacing w:val="-13"/>
        </w:rPr>
        <w:t> </w:t>
      </w:r>
      <w:r>
        <w:rPr/>
        <w:t>the</w:t>
      </w:r>
      <w:r>
        <w:rPr>
          <w:spacing w:val="-13"/>
        </w:rPr>
        <w:t> </w:t>
      </w:r>
      <w:r>
        <w:rPr/>
        <w:t>larger</w:t>
      </w:r>
      <w:r>
        <w:rPr>
          <w:spacing w:val="-13"/>
        </w:rPr>
        <w:t> </w:t>
      </w:r>
      <w:r>
        <w:rPr/>
        <w:t>tenants</w:t>
      </w:r>
      <w:r>
        <w:rPr>
          <w:spacing w:val="-12"/>
        </w:rPr>
        <w:t> </w:t>
      </w:r>
      <w:r>
        <w:rPr/>
        <w:t>(except</w:t>
      </w:r>
      <w:r>
        <w:rPr>
          <w:spacing w:val="-8"/>
        </w:rPr>
        <w:t> </w:t>
      </w:r>
      <w:r>
        <w:rPr/>
        <w:t>key</w:t>
      </w:r>
      <w:r>
        <w:rPr>
          <w:spacing w:val="-12"/>
        </w:rPr>
        <w:t> </w:t>
      </w:r>
      <w:r>
        <w:rPr/>
        <w:t>anchor tenants),</w:t>
      </w:r>
      <w:r>
        <w:rPr>
          <w:spacing w:val="-32"/>
        </w:rPr>
        <w:t> </w:t>
      </w:r>
      <w:r>
        <w:rPr/>
        <w:t>we</w:t>
      </w:r>
      <w:r>
        <w:rPr>
          <w:spacing w:val="-30"/>
        </w:rPr>
        <w:t> </w:t>
      </w:r>
      <w:r>
        <w:rPr/>
        <w:t>have</w:t>
      </w:r>
      <w:r>
        <w:rPr>
          <w:spacing w:val="-30"/>
        </w:rPr>
        <w:t> </w:t>
      </w:r>
      <w:r>
        <w:rPr/>
        <w:t>assumed</w:t>
      </w:r>
      <w:r>
        <w:rPr>
          <w:spacing w:val="-29"/>
        </w:rPr>
        <w:t> </w:t>
      </w:r>
      <w:r>
        <w:rPr/>
        <w:t>that</w:t>
      </w:r>
      <w:r>
        <w:rPr>
          <w:spacing w:val="-31"/>
        </w:rPr>
        <w:t> </w:t>
      </w:r>
      <w:r>
        <w:rPr/>
        <w:t>post</w:t>
      </w:r>
      <w:r>
        <w:rPr>
          <w:spacing w:val="-29"/>
        </w:rPr>
        <w:t> </w:t>
      </w:r>
      <w:r>
        <w:rPr/>
        <w:t>lease</w:t>
      </w:r>
      <w:r>
        <w:rPr>
          <w:spacing w:val="-32"/>
        </w:rPr>
        <w:t> </w:t>
      </w:r>
      <w:r>
        <w:rPr/>
        <w:t>expiry,</w:t>
      </w:r>
      <w:r>
        <w:rPr>
          <w:spacing w:val="-31"/>
        </w:rPr>
        <w:t> </w:t>
      </w:r>
      <w:r>
        <w:rPr/>
        <w:t>these</w:t>
      </w:r>
      <w:r>
        <w:rPr>
          <w:spacing w:val="-31"/>
        </w:rPr>
        <w:t> </w:t>
      </w:r>
      <w:r>
        <w:rPr/>
        <w:t>spaces</w:t>
      </w:r>
      <w:r>
        <w:rPr>
          <w:spacing w:val="-28"/>
        </w:rPr>
        <w:t> </w:t>
      </w:r>
      <w:r>
        <w:rPr/>
        <w:t>will</w:t>
      </w:r>
      <w:r>
        <w:rPr>
          <w:spacing w:val="-30"/>
        </w:rPr>
        <w:t> </w:t>
      </w:r>
      <w:r>
        <w:rPr/>
        <w:t>revert</w:t>
      </w:r>
      <w:r>
        <w:rPr>
          <w:spacing w:val="-30"/>
        </w:rPr>
        <w:t> </w:t>
      </w:r>
      <w:r>
        <w:rPr/>
        <w:t>to</w:t>
      </w:r>
      <w:r>
        <w:rPr>
          <w:spacing w:val="-30"/>
        </w:rPr>
        <w:t> </w:t>
      </w:r>
      <w:r>
        <w:rPr/>
        <w:t>marginal</w:t>
      </w:r>
      <w:r>
        <w:rPr>
          <w:spacing w:val="-30"/>
        </w:rPr>
        <w:t> </w:t>
      </w:r>
      <w:r>
        <w:rPr/>
        <w:t>rent</w:t>
      </w:r>
      <w:r>
        <w:rPr>
          <w:spacing w:val="-30"/>
        </w:rPr>
        <w:t> </w:t>
      </w:r>
      <w:r>
        <w:rPr/>
        <w:t>prevailing</w:t>
      </w:r>
      <w:r>
        <w:rPr>
          <w:spacing w:val="-29"/>
        </w:rPr>
        <w:t> </w:t>
      </w:r>
      <w:r>
        <w:rPr/>
        <w:t>at that</w:t>
      </w:r>
      <w:r>
        <w:rPr>
          <w:spacing w:val="-26"/>
        </w:rPr>
        <w:t> </w:t>
      </w:r>
      <w:r>
        <w:rPr/>
        <w:t>point</w:t>
      </w:r>
      <w:r>
        <w:rPr>
          <w:spacing w:val="-25"/>
        </w:rPr>
        <w:t> </w:t>
      </w:r>
      <w:r>
        <w:rPr/>
        <w:t>in</w:t>
      </w:r>
      <w:r>
        <w:rPr>
          <w:spacing w:val="-26"/>
        </w:rPr>
        <w:t> </w:t>
      </w:r>
      <w:r>
        <w:rPr/>
        <w:t>time.</w:t>
      </w:r>
      <w:r>
        <w:rPr>
          <w:spacing w:val="-26"/>
        </w:rPr>
        <w:t> </w:t>
      </w:r>
      <w:r>
        <w:rPr/>
        <w:t>However,</w:t>
      </w:r>
      <w:r>
        <w:rPr>
          <w:spacing w:val="-26"/>
        </w:rPr>
        <w:t> </w:t>
      </w:r>
      <w:r>
        <w:rPr/>
        <w:t>given</w:t>
      </w:r>
      <w:r>
        <w:rPr>
          <w:spacing w:val="-25"/>
        </w:rPr>
        <w:t> </w:t>
      </w:r>
      <w:r>
        <w:rPr/>
        <w:t>the</w:t>
      </w:r>
      <w:r>
        <w:rPr>
          <w:spacing w:val="-26"/>
        </w:rPr>
        <w:t> </w:t>
      </w:r>
      <w:r>
        <w:rPr/>
        <w:t>large</w:t>
      </w:r>
      <w:r>
        <w:rPr>
          <w:spacing w:val="-26"/>
        </w:rPr>
        <w:t> </w:t>
      </w:r>
      <w:r>
        <w:rPr/>
        <w:t>size</w:t>
      </w:r>
      <w:r>
        <w:rPr>
          <w:spacing w:val="-26"/>
        </w:rPr>
        <w:t> </w:t>
      </w:r>
      <w:r>
        <w:rPr/>
        <w:t>of</w:t>
      </w:r>
      <w:r>
        <w:rPr>
          <w:spacing w:val="-26"/>
        </w:rPr>
        <w:t> </w:t>
      </w:r>
      <w:r>
        <w:rPr/>
        <w:t>these</w:t>
      </w:r>
      <w:r>
        <w:rPr>
          <w:spacing w:val="-26"/>
        </w:rPr>
        <w:t> </w:t>
      </w:r>
      <w:r>
        <w:rPr/>
        <w:t>spaces,</w:t>
      </w:r>
      <w:r>
        <w:rPr>
          <w:spacing w:val="-25"/>
        </w:rPr>
        <w:t> </w:t>
      </w:r>
      <w:r>
        <w:rPr/>
        <w:t>the</w:t>
      </w:r>
      <w:r>
        <w:rPr>
          <w:spacing w:val="-28"/>
        </w:rPr>
        <w:t> </w:t>
      </w:r>
      <w:r>
        <w:rPr/>
        <w:t>Client</w:t>
      </w:r>
      <w:r>
        <w:rPr>
          <w:spacing w:val="-26"/>
        </w:rPr>
        <w:t> </w:t>
      </w:r>
      <w:r>
        <w:rPr/>
        <w:t>will</w:t>
      </w:r>
      <w:r>
        <w:rPr>
          <w:spacing w:val="-25"/>
        </w:rPr>
        <w:t> </w:t>
      </w:r>
      <w:r>
        <w:rPr/>
        <w:t>require</w:t>
      </w:r>
      <w:r>
        <w:rPr>
          <w:spacing w:val="-26"/>
        </w:rPr>
        <w:t> </w:t>
      </w:r>
      <w:r>
        <w:rPr/>
        <w:t>longer</w:t>
      </w:r>
      <w:r>
        <w:rPr>
          <w:spacing w:val="-26"/>
        </w:rPr>
        <w:t> </w:t>
      </w:r>
      <w:r>
        <w:rPr/>
        <w:t>lease-up time. Therefore, we have adopted a higher lease-up time, ranging from 3 </w:t>
      </w:r>
      <w:r>
        <w:rPr>
          <w:w w:val="105"/>
        </w:rPr>
        <w:t>– </w:t>
      </w:r>
      <w:r>
        <w:rPr/>
        <w:t>6 months depending on area to be</w:t>
      </w:r>
      <w:r>
        <w:rPr>
          <w:spacing w:val="-8"/>
        </w:rPr>
        <w:t> </w:t>
      </w:r>
      <w:r>
        <w:rPr/>
        <w:t>leased.</w:t>
      </w:r>
    </w:p>
    <w:p>
      <w:pPr>
        <w:pStyle w:val="BodyText"/>
        <w:spacing w:before="2"/>
        <w:rPr>
          <w:sz w:val="17"/>
        </w:rPr>
      </w:pPr>
      <w:r>
        <w:rPr/>
        <w:pict>
          <v:group style="position:absolute;margin-left:36pt;margin-top:11.94631pt;width:523.6pt;height:23.8pt;mso-position-horizontal-relative:page;mso-position-vertical-relative:paragraph;z-index:-15526912;mso-wrap-distance-left:0;mso-wrap-distance-right:0" coordorigin="720,239" coordsize="10472,476">
            <v:shape style="position:absolute;left:720;top:267;width:10472;height:432" coordorigin="720,268" coordsize="10472,432" path="m11191,268l5221,268,720,268,720,700,5221,700,11191,700,11191,268xe" filled="true" fillcolor="#006a4d" stroked="false">
              <v:path arrowok="t"/>
              <v:fill type="solid"/>
            </v:shape>
            <v:rect style="position:absolute;left:720;top:238;width:4501;height:29" filled="true" fillcolor="#1b6b22" stroked="false">
              <v:fill type="solid"/>
            </v:rect>
            <v:shape style="position:absolute;left:720;top:267;width:4530;height:3" coordorigin="720,268" coordsize="4530,3" path="m5250,268l5221,268,720,268,720,270,5221,270,5250,270,5250,268xe" filled="true" fillcolor="#006a4d" stroked="false">
              <v:path arrowok="t"/>
              <v:fill type="solid"/>
            </v:shape>
            <v:shape style="position:absolute;left:5221;top:238;width:5971;height:29" coordorigin="5221,239" coordsize="5971,29" path="m11191,239l5250,239,5221,239,5221,268,5250,268,11191,268,11191,239xe" filled="true" fillcolor="#1b6b22" stroked="false">
              <v:path arrowok="t"/>
              <v:fill type="solid"/>
            </v:shape>
            <v:rect style="position:absolute;left:5249;top:267;width:5942;height:3" filled="true" fillcolor="#006a4d" stroked="false">
              <v:fill type="solid"/>
            </v:rect>
            <v:shape style="position:absolute;left:720;top:699;width:10472;height:15" coordorigin="720,700" coordsize="10472,15" path="m11191,700l5235,700,5221,700,720,700,720,714,5221,714,5235,714,11191,714,11191,700xe" filled="true" fillcolor="#69bd28" stroked="false">
              <v:path arrowok="t"/>
              <v:fill type="solid"/>
            </v:shape>
            <v:shape style="position:absolute;left:2750;top:375;width:460;height:216" type="#_x0000_t202" filled="false" stroked="false">
              <v:textbox inset="0,0,0,0">
                <w:txbxContent>
                  <w:p>
                    <w:pPr>
                      <w:spacing w:before="4"/>
                      <w:ind w:left="0" w:right="0" w:firstLine="0"/>
                      <w:jc w:val="left"/>
                      <w:rPr>
                        <w:b/>
                        <w:sz w:val="18"/>
                      </w:rPr>
                    </w:pPr>
                    <w:r>
                      <w:rPr>
                        <w:b/>
                        <w:color w:val="FFFFFF"/>
                        <w:w w:val="110"/>
                        <w:sz w:val="18"/>
                      </w:rPr>
                      <w:t>Area</w:t>
                    </w:r>
                  </w:p>
                </w:txbxContent>
              </v:textbox>
              <w10:wrap type="none"/>
            </v:shape>
            <v:shape style="position:absolute;left:5514;top:267;width:5401;height:432" type="#_x0000_t202" filled="false" stroked="false">
              <v:textbox inset="0,0,0,0">
                <w:txbxContent>
                  <w:p>
                    <w:pPr>
                      <w:spacing w:line="247" w:lineRule="auto" w:before="4"/>
                      <w:ind w:left="2441" w:right="0" w:hanging="2442"/>
                      <w:jc w:val="left"/>
                      <w:rPr>
                        <w:b/>
                        <w:sz w:val="18"/>
                      </w:rPr>
                    </w:pPr>
                    <w:r>
                      <w:rPr>
                        <w:b/>
                        <w:color w:val="FFFFFF"/>
                        <w:w w:val="105"/>
                        <w:sz w:val="18"/>
                      </w:rPr>
                      <w:t>Marginal Rent Strategy (Discount to Market Rent/ Lease-up Time)</w:t>
                    </w:r>
                  </w:p>
                </w:txbxContent>
              </v:textbox>
              <w10:wrap type="none"/>
            </v:shape>
            <w10:wrap type="topAndBottom"/>
          </v:group>
        </w:pict>
      </w:r>
    </w:p>
    <w:p>
      <w:pPr>
        <w:tabs>
          <w:tab w:pos="6648" w:val="left" w:leader="none"/>
        </w:tabs>
        <w:spacing w:before="13" w:after="39"/>
        <w:ind w:left="1511" w:right="0" w:firstLine="0"/>
        <w:jc w:val="left"/>
        <w:rPr>
          <w:sz w:val="18"/>
        </w:rPr>
      </w:pPr>
      <w:r>
        <w:rPr>
          <w:w w:val="105"/>
          <w:sz w:val="18"/>
        </w:rPr>
        <w:t>Leased area </w:t>
      </w:r>
      <w:r>
        <w:rPr>
          <w:w w:val="130"/>
          <w:sz w:val="18"/>
        </w:rPr>
        <w:t>&gt;</w:t>
      </w:r>
      <w:r>
        <w:rPr>
          <w:spacing w:val="-54"/>
          <w:w w:val="130"/>
          <w:sz w:val="18"/>
        </w:rPr>
        <w:t> </w:t>
      </w:r>
      <w:r>
        <w:rPr>
          <w:w w:val="105"/>
          <w:sz w:val="18"/>
        </w:rPr>
        <w:t>2.00</w:t>
      </w:r>
      <w:r>
        <w:rPr>
          <w:spacing w:val="-12"/>
          <w:w w:val="105"/>
          <w:sz w:val="18"/>
        </w:rPr>
        <w:t> </w:t>
      </w:r>
      <w:r>
        <w:rPr>
          <w:w w:val="105"/>
          <w:sz w:val="18"/>
        </w:rPr>
        <w:t>msf</w:t>
        <w:tab/>
        <w:t>Renewal at 20.0%</w:t>
      </w:r>
      <w:r>
        <w:rPr>
          <w:spacing w:val="-23"/>
          <w:w w:val="105"/>
          <w:sz w:val="18"/>
        </w:rPr>
        <w:t> </w:t>
      </w:r>
      <w:r>
        <w:rPr>
          <w:w w:val="105"/>
          <w:sz w:val="18"/>
        </w:rPr>
        <w:t>discount</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515,0,4501,0,0,0,0,15,4501,15,4515,15,10471,15,10471,0xe" filled="true" fillcolor="#69bd28" stroked="false">
              <v:path arrowok="t"/>
              <v:fill type="solid"/>
            </v:shape>
          </v:group>
        </w:pict>
      </w:r>
      <w:r>
        <w:rPr>
          <w:sz w:val="2"/>
        </w:rPr>
      </w:r>
    </w:p>
    <w:p>
      <w:pPr>
        <w:tabs>
          <w:tab w:pos="4779" w:val="left" w:leader="none"/>
        </w:tabs>
        <w:spacing w:before="34"/>
        <w:ind w:left="0" w:right="1449" w:firstLine="0"/>
        <w:jc w:val="right"/>
        <w:rPr>
          <w:sz w:val="18"/>
        </w:rPr>
      </w:pPr>
      <w:r>
        <w:rPr/>
        <w:pict>
          <v:shape style="position:absolute;margin-left:36pt;margin-top:14.110685pt;width:523.6pt;height:.75pt;mso-position-horizontal-relative:page;mso-position-vertical-relative:paragraph;z-index:-15525888;mso-wrap-distance-left:0;mso-wrap-distance-right:0" coordorigin="720,282" coordsize="10472,15" path="m11191,282l5235,282,5221,282,720,282,720,297,5221,297,5235,297,11191,297,11191,282xe" filled="true" fillcolor="#69bd28" stroked="false">
            <v:path arrowok="t"/>
            <v:fill type="solid"/>
            <w10:wrap type="topAndBottom"/>
          </v:shape>
        </w:pict>
      </w:r>
      <w:r>
        <w:rPr>
          <w:w w:val="105"/>
          <w:sz w:val="18"/>
        </w:rPr>
        <w:t>Leased</w:t>
      </w:r>
      <w:r>
        <w:rPr>
          <w:spacing w:val="-7"/>
          <w:w w:val="105"/>
          <w:sz w:val="18"/>
        </w:rPr>
        <w:t> </w:t>
      </w:r>
      <w:r>
        <w:rPr>
          <w:w w:val="105"/>
          <w:sz w:val="18"/>
        </w:rPr>
        <w:t>area</w:t>
      </w:r>
      <w:r>
        <w:rPr>
          <w:spacing w:val="-9"/>
          <w:w w:val="105"/>
          <w:sz w:val="18"/>
        </w:rPr>
        <w:t> </w:t>
      </w:r>
      <w:r>
        <w:rPr>
          <w:w w:val="130"/>
          <w:sz w:val="18"/>
        </w:rPr>
        <w:t>&gt;</w:t>
      </w:r>
      <w:r>
        <w:rPr>
          <w:spacing w:val="-19"/>
          <w:w w:val="130"/>
          <w:sz w:val="18"/>
        </w:rPr>
        <w:t> </w:t>
      </w:r>
      <w:r>
        <w:rPr>
          <w:w w:val="105"/>
          <w:sz w:val="18"/>
        </w:rPr>
        <w:t>0.30</w:t>
      </w:r>
      <w:r>
        <w:rPr>
          <w:spacing w:val="-7"/>
          <w:w w:val="105"/>
          <w:sz w:val="18"/>
        </w:rPr>
        <w:t> </w:t>
      </w:r>
      <w:r>
        <w:rPr>
          <w:w w:val="130"/>
          <w:sz w:val="18"/>
        </w:rPr>
        <w:t>&lt;</w:t>
      </w:r>
      <w:r>
        <w:rPr>
          <w:spacing w:val="-20"/>
          <w:w w:val="130"/>
          <w:sz w:val="18"/>
        </w:rPr>
        <w:t> </w:t>
      </w:r>
      <w:r>
        <w:rPr>
          <w:w w:val="105"/>
          <w:sz w:val="18"/>
        </w:rPr>
        <w:t>2.00</w:t>
      </w:r>
      <w:r>
        <w:rPr>
          <w:spacing w:val="-5"/>
          <w:w w:val="105"/>
          <w:sz w:val="18"/>
        </w:rPr>
        <w:t> </w:t>
      </w:r>
      <w:r>
        <w:rPr>
          <w:w w:val="105"/>
          <w:sz w:val="18"/>
        </w:rPr>
        <w:t>msf</w:t>
        <w:tab/>
      </w:r>
      <w:r>
        <w:rPr>
          <w:sz w:val="18"/>
        </w:rPr>
        <w:t>Renewal</w:t>
      </w:r>
      <w:r>
        <w:rPr>
          <w:spacing w:val="-28"/>
          <w:sz w:val="18"/>
        </w:rPr>
        <w:t> </w:t>
      </w:r>
      <w:r>
        <w:rPr>
          <w:sz w:val="18"/>
        </w:rPr>
        <w:t>at</w:t>
      </w:r>
      <w:r>
        <w:rPr>
          <w:spacing w:val="-30"/>
          <w:sz w:val="18"/>
        </w:rPr>
        <w:t> </w:t>
      </w:r>
      <w:r>
        <w:rPr>
          <w:sz w:val="18"/>
        </w:rPr>
        <w:t>market</w:t>
      </w:r>
      <w:r>
        <w:rPr>
          <w:spacing w:val="-29"/>
          <w:sz w:val="18"/>
        </w:rPr>
        <w:t> </w:t>
      </w:r>
      <w:r>
        <w:rPr>
          <w:sz w:val="18"/>
        </w:rPr>
        <w:t>(6</w:t>
      </w:r>
      <w:r>
        <w:rPr>
          <w:spacing w:val="-29"/>
          <w:sz w:val="18"/>
        </w:rPr>
        <w:t> </w:t>
      </w:r>
      <w:r>
        <w:rPr>
          <w:sz w:val="18"/>
        </w:rPr>
        <w:t>months</w:t>
      </w:r>
      <w:r>
        <w:rPr>
          <w:spacing w:val="-27"/>
          <w:sz w:val="18"/>
        </w:rPr>
        <w:t> </w:t>
      </w:r>
      <w:r>
        <w:rPr>
          <w:sz w:val="18"/>
        </w:rPr>
        <w:t>lease-up</w:t>
      </w:r>
      <w:r>
        <w:rPr>
          <w:spacing w:val="-28"/>
          <w:sz w:val="18"/>
        </w:rPr>
        <w:t> </w:t>
      </w:r>
      <w:r>
        <w:rPr>
          <w:sz w:val="18"/>
        </w:rPr>
        <w:t>time)</w:t>
      </w:r>
    </w:p>
    <w:p>
      <w:pPr>
        <w:tabs>
          <w:tab w:pos="4968" w:val="left" w:leader="none"/>
        </w:tabs>
        <w:spacing w:before="10" w:after="39"/>
        <w:ind w:left="0" w:right="1449" w:firstLine="0"/>
        <w:jc w:val="right"/>
        <w:rPr>
          <w:sz w:val="18"/>
        </w:rPr>
      </w:pPr>
      <w:r>
        <w:rPr>
          <w:sz w:val="18"/>
        </w:rPr>
        <w:t>Leased area </w:t>
      </w:r>
      <w:r>
        <w:rPr>
          <w:w w:val="130"/>
          <w:sz w:val="18"/>
        </w:rPr>
        <w:t>&gt; </w:t>
      </w:r>
      <w:r>
        <w:rPr>
          <w:sz w:val="18"/>
        </w:rPr>
        <w:t>0.10 sq ft </w:t>
      </w:r>
      <w:r>
        <w:rPr>
          <w:w w:val="130"/>
          <w:sz w:val="18"/>
        </w:rPr>
        <w:t>&lt;</w:t>
      </w:r>
      <w:r>
        <w:rPr>
          <w:spacing w:val="-21"/>
          <w:w w:val="130"/>
          <w:sz w:val="18"/>
        </w:rPr>
        <w:t> </w:t>
      </w:r>
      <w:r>
        <w:rPr>
          <w:sz w:val="18"/>
        </w:rPr>
        <w:t>0.30</w:t>
      </w:r>
      <w:r>
        <w:rPr>
          <w:spacing w:val="4"/>
          <w:sz w:val="18"/>
        </w:rPr>
        <w:t> </w:t>
      </w:r>
      <w:r>
        <w:rPr>
          <w:sz w:val="18"/>
        </w:rPr>
        <w:t>msf</w:t>
        <w:tab/>
        <w:t>Renewal</w:t>
      </w:r>
      <w:r>
        <w:rPr>
          <w:spacing w:val="-28"/>
          <w:sz w:val="18"/>
        </w:rPr>
        <w:t> </w:t>
      </w:r>
      <w:r>
        <w:rPr>
          <w:sz w:val="18"/>
        </w:rPr>
        <w:t>at</w:t>
      </w:r>
      <w:r>
        <w:rPr>
          <w:spacing w:val="-29"/>
          <w:sz w:val="18"/>
        </w:rPr>
        <w:t> </w:t>
      </w:r>
      <w:r>
        <w:rPr>
          <w:sz w:val="18"/>
        </w:rPr>
        <w:t>market</w:t>
      </w:r>
      <w:r>
        <w:rPr>
          <w:spacing w:val="-29"/>
          <w:sz w:val="18"/>
        </w:rPr>
        <w:t> </w:t>
      </w:r>
      <w:r>
        <w:rPr>
          <w:sz w:val="18"/>
        </w:rPr>
        <w:t>(3</w:t>
      </w:r>
      <w:r>
        <w:rPr>
          <w:spacing w:val="-29"/>
          <w:sz w:val="18"/>
        </w:rPr>
        <w:t> </w:t>
      </w:r>
      <w:r>
        <w:rPr>
          <w:sz w:val="18"/>
        </w:rPr>
        <w:t>months</w:t>
      </w:r>
      <w:r>
        <w:rPr>
          <w:spacing w:val="-27"/>
          <w:sz w:val="18"/>
        </w:rPr>
        <w:t> </w:t>
      </w:r>
      <w:r>
        <w:rPr>
          <w:sz w:val="18"/>
        </w:rPr>
        <w:t>lease-up</w:t>
      </w:r>
      <w:r>
        <w:rPr>
          <w:spacing w:val="-29"/>
          <w:sz w:val="18"/>
        </w:rPr>
        <w:t> </w:t>
      </w:r>
      <w:r>
        <w:rPr>
          <w:sz w:val="18"/>
        </w:rPr>
        <w:t>time)</w:t>
      </w:r>
    </w:p>
    <w:p>
      <w:pPr>
        <w:pStyle w:val="BodyText"/>
        <w:spacing w:line="20" w:lineRule="exact"/>
        <w:ind w:left="205"/>
        <w:rPr>
          <w:sz w:val="2"/>
        </w:rPr>
      </w:pPr>
      <w:r>
        <w:rPr>
          <w:sz w:val="2"/>
        </w:rPr>
        <w:pict>
          <v:group style="width:524.3pt;height:.75pt;mso-position-horizontal-relative:char;mso-position-vertical-relative:line" coordorigin="0,0" coordsize="10486,15">
            <v:shape style="position:absolute;left:0;top:0;width:10486;height:15" coordorigin="0,0" coordsize="10486,15" path="m10486,0l4515,0,4501,0,0,0,0,14,4501,14,4515,14,10486,14,10486,0xe" filled="true" fillcolor="#69bd28" stroked="false">
              <v:path arrowok="t"/>
              <v:fill type="solid"/>
            </v:shape>
          </v:group>
        </w:pict>
      </w:r>
      <w:r>
        <w:rPr>
          <w:sz w:val="2"/>
        </w:rPr>
      </w:r>
    </w:p>
    <w:p>
      <w:pPr>
        <w:spacing w:before="0"/>
        <w:ind w:left="220" w:right="0" w:firstLine="0"/>
        <w:jc w:val="left"/>
        <w:rPr>
          <w:i/>
          <w:sz w:val="18"/>
        </w:rPr>
      </w:pPr>
      <w:r>
        <w:rPr>
          <w:i/>
          <w:sz w:val="18"/>
        </w:rPr>
        <w:t>Source: Valuer Assessment</w:t>
      </w:r>
    </w:p>
    <w:p>
      <w:pPr>
        <w:pStyle w:val="BodyText"/>
        <w:spacing w:line="321" w:lineRule="auto" w:before="192"/>
        <w:ind w:left="782" w:right="194"/>
        <w:jc w:val="both"/>
      </w:pPr>
      <w:r>
        <w:rPr/>
        <w:t>As</w:t>
      </w:r>
      <w:r>
        <w:rPr>
          <w:spacing w:val="-21"/>
        </w:rPr>
        <w:t> </w:t>
      </w:r>
      <w:r>
        <w:rPr/>
        <w:t>presented</w:t>
      </w:r>
      <w:r>
        <w:rPr>
          <w:spacing w:val="-21"/>
        </w:rPr>
        <w:t> </w:t>
      </w:r>
      <w:r>
        <w:rPr/>
        <w:t>in</w:t>
      </w:r>
      <w:r>
        <w:rPr>
          <w:spacing w:val="-21"/>
        </w:rPr>
        <w:t> </w:t>
      </w:r>
      <w:r>
        <w:rPr/>
        <w:t>the</w:t>
      </w:r>
      <w:r>
        <w:rPr>
          <w:spacing w:val="-20"/>
        </w:rPr>
        <w:t> </w:t>
      </w:r>
      <w:r>
        <w:rPr/>
        <w:t>table</w:t>
      </w:r>
      <w:r>
        <w:rPr>
          <w:spacing w:val="-21"/>
        </w:rPr>
        <w:t> </w:t>
      </w:r>
      <w:r>
        <w:rPr/>
        <w:t>above,</w:t>
      </w:r>
      <w:r>
        <w:rPr>
          <w:spacing w:val="-20"/>
        </w:rPr>
        <w:t> </w:t>
      </w:r>
      <w:r>
        <w:rPr/>
        <w:t>all</w:t>
      </w:r>
      <w:r>
        <w:rPr>
          <w:spacing w:val="-21"/>
        </w:rPr>
        <w:t> </w:t>
      </w:r>
      <w:r>
        <w:rPr/>
        <w:t>leases</w:t>
      </w:r>
      <w:r>
        <w:rPr>
          <w:spacing w:val="-21"/>
        </w:rPr>
        <w:t> </w:t>
      </w:r>
      <w:r>
        <w:rPr/>
        <w:t>except</w:t>
      </w:r>
      <w:r>
        <w:rPr>
          <w:spacing w:val="-23"/>
        </w:rPr>
        <w:t> </w:t>
      </w:r>
      <w:r>
        <w:rPr/>
        <w:t>for</w:t>
      </w:r>
      <w:r>
        <w:rPr>
          <w:spacing w:val="-17"/>
        </w:rPr>
        <w:t> </w:t>
      </w:r>
      <w:r>
        <w:rPr/>
        <w:t>anchor</w:t>
      </w:r>
      <w:r>
        <w:rPr>
          <w:spacing w:val="-20"/>
        </w:rPr>
        <w:t> </w:t>
      </w:r>
      <w:r>
        <w:rPr/>
        <w:t>tenants</w:t>
      </w:r>
      <w:r>
        <w:rPr>
          <w:spacing w:val="-21"/>
        </w:rPr>
        <w:t> </w:t>
      </w:r>
      <w:r>
        <w:rPr/>
        <w:t>will</w:t>
      </w:r>
      <w:r>
        <w:rPr>
          <w:spacing w:val="-20"/>
        </w:rPr>
        <w:t> </w:t>
      </w:r>
      <w:r>
        <w:rPr/>
        <w:t>be</w:t>
      </w:r>
      <w:r>
        <w:rPr>
          <w:spacing w:val="-20"/>
        </w:rPr>
        <w:t> </w:t>
      </w:r>
      <w:r>
        <w:rPr/>
        <w:t>renewed</w:t>
      </w:r>
      <w:r>
        <w:rPr>
          <w:spacing w:val="-20"/>
        </w:rPr>
        <w:t> </w:t>
      </w:r>
      <w:r>
        <w:rPr/>
        <w:t>at</w:t>
      </w:r>
      <w:r>
        <w:rPr>
          <w:spacing w:val="-21"/>
        </w:rPr>
        <w:t> </w:t>
      </w:r>
      <w:r>
        <w:rPr/>
        <w:t>marginal</w:t>
      </w:r>
      <w:r>
        <w:rPr>
          <w:spacing w:val="-20"/>
        </w:rPr>
        <w:t> </w:t>
      </w:r>
      <w:r>
        <w:rPr/>
        <w:t>rent, but with a longer lease-up time frame. Anchor tenants in the subject development have a history of renewing</w:t>
      </w:r>
      <w:r>
        <w:rPr>
          <w:spacing w:val="-34"/>
        </w:rPr>
        <w:t> </w:t>
      </w:r>
      <w:r>
        <w:rPr/>
        <w:t>the</w:t>
      </w:r>
      <w:r>
        <w:rPr>
          <w:spacing w:val="-36"/>
        </w:rPr>
        <w:t> </w:t>
      </w:r>
      <w:r>
        <w:rPr/>
        <w:t>spaces</w:t>
      </w:r>
      <w:r>
        <w:rPr>
          <w:spacing w:val="-35"/>
        </w:rPr>
        <w:t> </w:t>
      </w:r>
      <w:r>
        <w:rPr/>
        <w:t>within</w:t>
      </w:r>
      <w:r>
        <w:rPr>
          <w:spacing w:val="-34"/>
        </w:rPr>
        <w:t> </w:t>
      </w:r>
      <w:r>
        <w:rPr/>
        <w:t>subject</w:t>
      </w:r>
      <w:r>
        <w:rPr>
          <w:spacing w:val="-36"/>
        </w:rPr>
        <w:t> </w:t>
      </w:r>
      <w:r>
        <w:rPr/>
        <w:t>property.</w:t>
      </w:r>
      <w:r>
        <w:rPr>
          <w:spacing w:val="-34"/>
        </w:rPr>
        <w:t> </w:t>
      </w:r>
      <w:r>
        <w:rPr/>
        <w:t>Going</w:t>
      </w:r>
      <w:r>
        <w:rPr>
          <w:spacing w:val="-35"/>
        </w:rPr>
        <w:t> </w:t>
      </w:r>
      <w:r>
        <w:rPr/>
        <w:t>forward,</w:t>
      </w:r>
      <w:r>
        <w:rPr>
          <w:spacing w:val="-34"/>
        </w:rPr>
        <w:t> </w:t>
      </w:r>
      <w:r>
        <w:rPr/>
        <w:t>it</w:t>
      </w:r>
      <w:r>
        <w:rPr>
          <w:spacing w:val="-36"/>
        </w:rPr>
        <w:t> </w:t>
      </w:r>
      <w:r>
        <w:rPr/>
        <w:t>is</w:t>
      </w:r>
      <w:r>
        <w:rPr>
          <w:spacing w:val="-34"/>
        </w:rPr>
        <w:t> </w:t>
      </w:r>
      <w:r>
        <w:rPr/>
        <w:t>assumed</w:t>
      </w:r>
      <w:r>
        <w:rPr>
          <w:spacing w:val="-35"/>
        </w:rPr>
        <w:t> </w:t>
      </w:r>
      <w:r>
        <w:rPr/>
        <w:t>that</w:t>
      </w:r>
      <w:r>
        <w:rPr>
          <w:spacing w:val="-33"/>
        </w:rPr>
        <w:t> </w:t>
      </w:r>
      <w:r>
        <w:rPr/>
        <w:t>these</w:t>
      </w:r>
      <w:r>
        <w:rPr>
          <w:spacing w:val="-35"/>
        </w:rPr>
        <w:t> </w:t>
      </w:r>
      <w:r>
        <w:rPr/>
        <w:t>anchor</w:t>
      </w:r>
      <w:r>
        <w:rPr>
          <w:spacing w:val="-34"/>
        </w:rPr>
        <w:t> </w:t>
      </w:r>
      <w:r>
        <w:rPr/>
        <w:t>tenants</w:t>
      </w:r>
      <w:r>
        <w:rPr>
          <w:spacing w:val="-35"/>
        </w:rPr>
        <w:t> </w:t>
      </w:r>
      <w:r>
        <w:rPr/>
        <w:t>will </w:t>
      </w:r>
      <w:r>
        <w:rPr>
          <w:w w:val="95"/>
        </w:rPr>
        <w:t>continue</w:t>
      </w:r>
      <w:r>
        <w:rPr>
          <w:spacing w:val="-27"/>
          <w:w w:val="95"/>
        </w:rPr>
        <w:t> </w:t>
      </w:r>
      <w:r>
        <w:rPr>
          <w:w w:val="95"/>
        </w:rPr>
        <w:t>to</w:t>
      </w:r>
      <w:r>
        <w:rPr>
          <w:spacing w:val="-27"/>
          <w:w w:val="95"/>
        </w:rPr>
        <w:t> </w:t>
      </w:r>
      <w:r>
        <w:rPr>
          <w:w w:val="95"/>
        </w:rPr>
        <w:t>renew</w:t>
      </w:r>
      <w:r>
        <w:rPr>
          <w:spacing w:val="-25"/>
          <w:w w:val="95"/>
        </w:rPr>
        <w:t> </w:t>
      </w:r>
      <w:r>
        <w:rPr>
          <w:w w:val="95"/>
        </w:rPr>
        <w:t>their</w:t>
      </w:r>
      <w:r>
        <w:rPr>
          <w:spacing w:val="-25"/>
          <w:w w:val="95"/>
        </w:rPr>
        <w:t> </w:t>
      </w:r>
      <w:r>
        <w:rPr>
          <w:w w:val="95"/>
        </w:rPr>
        <w:t>leases</w:t>
      </w:r>
      <w:r>
        <w:rPr>
          <w:spacing w:val="-26"/>
          <w:w w:val="95"/>
        </w:rPr>
        <w:t> </w:t>
      </w:r>
      <w:r>
        <w:rPr>
          <w:w w:val="95"/>
        </w:rPr>
        <w:t>at</w:t>
      </w:r>
      <w:r>
        <w:rPr>
          <w:spacing w:val="-25"/>
          <w:w w:val="95"/>
        </w:rPr>
        <w:t> </w:t>
      </w:r>
      <w:r>
        <w:rPr>
          <w:w w:val="95"/>
        </w:rPr>
        <w:t>the</w:t>
      </w:r>
      <w:r>
        <w:rPr>
          <w:spacing w:val="-27"/>
          <w:w w:val="95"/>
        </w:rPr>
        <w:t> </w:t>
      </w:r>
      <w:r>
        <w:rPr>
          <w:w w:val="95"/>
        </w:rPr>
        <w:t>subject</w:t>
      </w:r>
      <w:r>
        <w:rPr>
          <w:spacing w:val="-26"/>
          <w:w w:val="95"/>
        </w:rPr>
        <w:t> </w:t>
      </w:r>
      <w:r>
        <w:rPr>
          <w:w w:val="95"/>
        </w:rPr>
        <w:t>development;</w:t>
      </w:r>
      <w:r>
        <w:rPr>
          <w:spacing w:val="-27"/>
          <w:w w:val="95"/>
        </w:rPr>
        <w:t> </w:t>
      </w:r>
      <w:r>
        <w:rPr>
          <w:w w:val="95"/>
        </w:rPr>
        <w:t>however,</w:t>
      </w:r>
      <w:r>
        <w:rPr>
          <w:spacing w:val="-27"/>
          <w:w w:val="95"/>
        </w:rPr>
        <w:t> </w:t>
      </w:r>
      <w:r>
        <w:rPr>
          <w:w w:val="95"/>
        </w:rPr>
        <w:t>they</w:t>
      </w:r>
      <w:r>
        <w:rPr>
          <w:spacing w:val="-25"/>
          <w:w w:val="95"/>
        </w:rPr>
        <w:t> </w:t>
      </w:r>
      <w:r>
        <w:rPr>
          <w:w w:val="95"/>
        </w:rPr>
        <w:t>will</w:t>
      </w:r>
      <w:r>
        <w:rPr>
          <w:spacing w:val="-26"/>
          <w:w w:val="95"/>
        </w:rPr>
        <w:t> </w:t>
      </w:r>
      <w:r>
        <w:rPr>
          <w:w w:val="95"/>
        </w:rPr>
        <w:t>continue</w:t>
      </w:r>
      <w:r>
        <w:rPr>
          <w:spacing w:val="-24"/>
          <w:w w:val="95"/>
        </w:rPr>
        <w:t> </w:t>
      </w:r>
      <w:r>
        <w:rPr>
          <w:w w:val="95"/>
        </w:rPr>
        <w:t>to</w:t>
      </w:r>
      <w:r>
        <w:rPr>
          <w:spacing w:val="-27"/>
          <w:w w:val="95"/>
        </w:rPr>
        <w:t> </w:t>
      </w:r>
      <w:r>
        <w:rPr>
          <w:w w:val="95"/>
        </w:rPr>
        <w:t>attract</w:t>
      </w:r>
      <w:r>
        <w:rPr>
          <w:spacing w:val="-26"/>
          <w:w w:val="95"/>
        </w:rPr>
        <w:t> </w:t>
      </w:r>
      <w:r>
        <w:rPr>
          <w:w w:val="95"/>
        </w:rPr>
        <w:t>a</w:t>
      </w:r>
      <w:r>
        <w:rPr>
          <w:spacing w:val="-26"/>
          <w:w w:val="95"/>
        </w:rPr>
        <w:t> </w:t>
      </w:r>
      <w:r>
        <w:rPr>
          <w:w w:val="95"/>
        </w:rPr>
        <w:t>discount </w:t>
      </w:r>
      <w:r>
        <w:rPr/>
        <w:t>in rent compared to the marginal</w:t>
      </w:r>
      <w:r>
        <w:rPr>
          <w:spacing w:val="-24"/>
        </w:rPr>
        <w:t> </w:t>
      </w:r>
      <w:r>
        <w:rPr/>
        <w:t>rent.</w:t>
      </w:r>
    </w:p>
    <w:p>
      <w:pPr>
        <w:pStyle w:val="BodyText"/>
        <w:spacing w:line="321" w:lineRule="auto" w:before="122"/>
        <w:ind w:left="782" w:right="193"/>
        <w:jc w:val="both"/>
      </w:pPr>
      <w:r>
        <w:rPr/>
        <w:t>As</w:t>
      </w:r>
      <w:r>
        <w:rPr>
          <w:spacing w:val="-7"/>
        </w:rPr>
        <w:t> </w:t>
      </w:r>
      <w:r>
        <w:rPr/>
        <w:t>per</w:t>
      </w:r>
      <w:r>
        <w:rPr>
          <w:spacing w:val="-6"/>
        </w:rPr>
        <w:t> </w:t>
      </w:r>
      <w:r>
        <w:rPr/>
        <w:t>information</w:t>
      </w:r>
      <w:r>
        <w:rPr>
          <w:spacing w:val="-6"/>
        </w:rPr>
        <w:t> </w:t>
      </w:r>
      <w:r>
        <w:rPr/>
        <w:t>provided</w:t>
      </w:r>
      <w:r>
        <w:rPr>
          <w:spacing w:val="-7"/>
        </w:rPr>
        <w:t> </w:t>
      </w:r>
      <w:r>
        <w:rPr/>
        <w:t>by</w:t>
      </w:r>
      <w:r>
        <w:rPr>
          <w:spacing w:val="-6"/>
        </w:rPr>
        <w:t> </w:t>
      </w:r>
      <w:r>
        <w:rPr/>
        <w:t>the</w:t>
      </w:r>
      <w:r>
        <w:rPr>
          <w:spacing w:val="-8"/>
        </w:rPr>
        <w:t> </w:t>
      </w:r>
      <w:r>
        <w:rPr/>
        <w:t>Client,</w:t>
      </w:r>
      <w:r>
        <w:rPr>
          <w:spacing w:val="-6"/>
        </w:rPr>
        <w:t> </w:t>
      </w:r>
      <w:r>
        <w:rPr/>
        <w:t>the</w:t>
      </w:r>
      <w:r>
        <w:rPr>
          <w:spacing w:val="-6"/>
        </w:rPr>
        <w:t> </w:t>
      </w:r>
      <w:r>
        <w:rPr/>
        <w:t>office</w:t>
      </w:r>
      <w:r>
        <w:rPr>
          <w:spacing w:val="-2"/>
        </w:rPr>
        <w:t> </w:t>
      </w:r>
      <w:r>
        <w:rPr/>
        <w:t>component</w:t>
      </w:r>
      <w:r>
        <w:rPr>
          <w:spacing w:val="-6"/>
        </w:rPr>
        <w:t> </w:t>
      </w:r>
      <w:r>
        <w:rPr/>
        <w:t>on</w:t>
      </w:r>
      <w:r>
        <w:rPr>
          <w:spacing w:val="-6"/>
        </w:rPr>
        <w:t> </w:t>
      </w:r>
      <w:r>
        <w:rPr/>
        <w:t>the</w:t>
      </w:r>
      <w:r>
        <w:rPr>
          <w:spacing w:val="-6"/>
        </w:rPr>
        <w:t> </w:t>
      </w:r>
      <w:r>
        <w:rPr/>
        <w:t>front</w:t>
      </w:r>
      <w:r>
        <w:rPr>
          <w:spacing w:val="-6"/>
        </w:rPr>
        <w:t> </w:t>
      </w:r>
      <w:r>
        <w:rPr/>
        <w:t>parcel</w:t>
      </w:r>
      <w:r>
        <w:rPr>
          <w:spacing w:val="-6"/>
        </w:rPr>
        <w:t> </w:t>
      </w:r>
      <w:r>
        <w:rPr/>
        <w:t>will</w:t>
      </w:r>
      <w:r>
        <w:rPr>
          <w:spacing w:val="-6"/>
        </w:rPr>
        <w:t> </w:t>
      </w:r>
      <w:r>
        <w:rPr/>
        <w:t>be</w:t>
      </w:r>
      <w:r>
        <w:rPr>
          <w:spacing w:val="-6"/>
        </w:rPr>
        <w:t> </w:t>
      </w:r>
      <w:r>
        <w:rPr/>
        <w:t>high-end offering</w:t>
      </w:r>
      <w:r>
        <w:rPr>
          <w:spacing w:val="-9"/>
        </w:rPr>
        <w:t> </w:t>
      </w:r>
      <w:r>
        <w:rPr/>
        <w:t>(viz.</w:t>
      </w:r>
      <w:r>
        <w:rPr>
          <w:spacing w:val="-10"/>
        </w:rPr>
        <w:t> </w:t>
      </w:r>
      <w:r>
        <w:rPr/>
        <w:t>targeted</w:t>
      </w:r>
      <w:r>
        <w:rPr>
          <w:spacing w:val="-6"/>
        </w:rPr>
        <w:t> </w:t>
      </w:r>
      <w:r>
        <w:rPr/>
        <w:t>at</w:t>
      </w:r>
      <w:r>
        <w:rPr>
          <w:spacing w:val="-11"/>
        </w:rPr>
        <w:t> </w:t>
      </w:r>
      <w:r>
        <w:rPr/>
        <w:t>Non-IT</w:t>
      </w:r>
      <w:r>
        <w:rPr>
          <w:spacing w:val="-8"/>
        </w:rPr>
        <w:t> </w:t>
      </w:r>
      <w:r>
        <w:rPr/>
        <w:t>operations</w:t>
      </w:r>
      <w:r>
        <w:rPr>
          <w:spacing w:val="-8"/>
        </w:rPr>
        <w:t> </w:t>
      </w:r>
      <w:r>
        <w:rPr/>
        <w:t>offering</w:t>
      </w:r>
      <w:r>
        <w:rPr>
          <w:spacing w:val="-9"/>
        </w:rPr>
        <w:t> </w:t>
      </w:r>
      <w:r>
        <w:rPr/>
        <w:t>superior</w:t>
      </w:r>
      <w:r>
        <w:rPr>
          <w:spacing w:val="-9"/>
        </w:rPr>
        <w:t> </w:t>
      </w:r>
      <w:r>
        <w:rPr/>
        <w:t>specifications).</w:t>
      </w:r>
      <w:r>
        <w:rPr>
          <w:spacing w:val="-9"/>
        </w:rPr>
        <w:t> </w:t>
      </w:r>
      <w:r>
        <w:rPr/>
        <w:t>Based</w:t>
      </w:r>
      <w:r>
        <w:rPr>
          <w:spacing w:val="-9"/>
        </w:rPr>
        <w:t> </w:t>
      </w:r>
      <w:r>
        <w:rPr/>
        <w:t>on</w:t>
      </w:r>
      <w:r>
        <w:rPr>
          <w:spacing w:val="-10"/>
        </w:rPr>
        <w:t> </w:t>
      </w:r>
      <w:r>
        <w:rPr/>
        <w:t>the</w:t>
      </w:r>
      <w:r>
        <w:rPr>
          <w:spacing w:val="-9"/>
        </w:rPr>
        <w:t> </w:t>
      </w:r>
      <w:r>
        <w:rPr/>
        <w:t>above,</w:t>
      </w:r>
      <w:r>
        <w:rPr>
          <w:spacing w:val="-9"/>
        </w:rPr>
        <w:t> </w:t>
      </w:r>
      <w:r>
        <w:rPr/>
        <w:t>we have</w:t>
      </w:r>
      <w:r>
        <w:rPr>
          <w:spacing w:val="-26"/>
        </w:rPr>
        <w:t> </w:t>
      </w:r>
      <w:r>
        <w:rPr/>
        <w:t>adopted</w:t>
      </w:r>
      <w:r>
        <w:rPr>
          <w:spacing w:val="-25"/>
        </w:rPr>
        <w:t> </w:t>
      </w:r>
      <w:r>
        <w:rPr/>
        <w:t>a</w:t>
      </w:r>
      <w:r>
        <w:rPr>
          <w:spacing w:val="-26"/>
        </w:rPr>
        <w:t> </w:t>
      </w:r>
      <w:r>
        <w:rPr/>
        <w:t>15.0%</w:t>
      </w:r>
      <w:r>
        <w:rPr>
          <w:spacing w:val="-26"/>
        </w:rPr>
        <w:t> </w:t>
      </w:r>
      <w:r>
        <w:rPr/>
        <w:t>premium</w:t>
      </w:r>
      <w:r>
        <w:rPr>
          <w:spacing w:val="-25"/>
        </w:rPr>
        <w:t> </w:t>
      </w:r>
      <w:r>
        <w:rPr/>
        <w:t>in</w:t>
      </w:r>
      <w:r>
        <w:rPr>
          <w:spacing w:val="-27"/>
        </w:rPr>
        <w:t> </w:t>
      </w:r>
      <w:r>
        <w:rPr/>
        <w:t>rent</w:t>
      </w:r>
      <w:r>
        <w:rPr>
          <w:spacing w:val="-25"/>
        </w:rPr>
        <w:t> </w:t>
      </w:r>
      <w:r>
        <w:rPr/>
        <w:t>for</w:t>
      </w:r>
      <w:r>
        <w:rPr>
          <w:spacing w:val="-26"/>
        </w:rPr>
        <w:t> </w:t>
      </w:r>
      <w:r>
        <w:rPr/>
        <w:t>this</w:t>
      </w:r>
      <w:r>
        <w:rPr>
          <w:spacing w:val="-24"/>
        </w:rPr>
        <w:t> </w:t>
      </w:r>
      <w:r>
        <w:rPr/>
        <w:t>space.</w:t>
      </w:r>
      <w:r>
        <w:rPr>
          <w:spacing w:val="-25"/>
        </w:rPr>
        <w:t> </w:t>
      </w:r>
      <w:r>
        <w:rPr/>
        <w:t>Valuer</w:t>
      </w:r>
      <w:r>
        <w:rPr>
          <w:spacing w:val="-25"/>
        </w:rPr>
        <w:t> </w:t>
      </w:r>
      <w:r>
        <w:rPr/>
        <w:t>opines</w:t>
      </w:r>
      <w:r>
        <w:rPr>
          <w:spacing w:val="-25"/>
        </w:rPr>
        <w:t> </w:t>
      </w:r>
      <w:r>
        <w:rPr/>
        <w:t>that</w:t>
      </w:r>
      <w:r>
        <w:rPr>
          <w:spacing w:val="-25"/>
        </w:rPr>
        <w:t> </w:t>
      </w:r>
      <w:r>
        <w:rPr/>
        <w:t>this</w:t>
      </w:r>
      <w:r>
        <w:rPr>
          <w:spacing w:val="-24"/>
        </w:rPr>
        <w:t> </w:t>
      </w:r>
      <w:r>
        <w:rPr/>
        <w:t>Front</w:t>
      </w:r>
      <w:r>
        <w:rPr>
          <w:spacing w:val="-27"/>
        </w:rPr>
        <w:t> </w:t>
      </w:r>
      <w:r>
        <w:rPr/>
        <w:t>Parcel</w:t>
      </w:r>
      <w:r>
        <w:rPr>
          <w:spacing w:val="-26"/>
        </w:rPr>
        <w:t> </w:t>
      </w:r>
      <w:r>
        <w:rPr/>
        <w:t>is</w:t>
      </w:r>
      <w:r>
        <w:rPr>
          <w:spacing w:val="-25"/>
        </w:rPr>
        <w:t> </w:t>
      </w:r>
      <w:r>
        <w:rPr/>
        <w:t>expected</w:t>
      </w:r>
      <w:r>
        <w:rPr>
          <w:spacing w:val="-26"/>
        </w:rPr>
        <w:t> </w:t>
      </w:r>
      <w:r>
        <w:rPr/>
        <w:t>to achieve</w:t>
      </w:r>
      <w:r>
        <w:rPr>
          <w:spacing w:val="-4"/>
        </w:rPr>
        <w:t> </w:t>
      </w:r>
      <w:r>
        <w:rPr/>
        <w:t>marginal</w:t>
      </w:r>
      <w:r>
        <w:rPr>
          <w:spacing w:val="-3"/>
        </w:rPr>
        <w:t> </w:t>
      </w:r>
      <w:r>
        <w:rPr/>
        <w:t>rent</w:t>
      </w:r>
      <w:r>
        <w:rPr>
          <w:spacing w:val="-2"/>
        </w:rPr>
        <w:t> </w:t>
      </w:r>
      <w:r>
        <w:rPr/>
        <w:t>in</w:t>
      </w:r>
      <w:r>
        <w:rPr>
          <w:spacing w:val="-2"/>
        </w:rPr>
        <w:t> </w:t>
      </w:r>
      <w:r>
        <w:rPr/>
        <w:t>the</w:t>
      </w:r>
      <w:r>
        <w:rPr>
          <w:spacing w:val="-3"/>
        </w:rPr>
        <w:t> </w:t>
      </w:r>
      <w:r>
        <w:rPr/>
        <w:t>range</w:t>
      </w:r>
      <w:r>
        <w:rPr>
          <w:spacing w:val="-2"/>
        </w:rPr>
        <w:t> </w:t>
      </w:r>
      <w:r>
        <w:rPr/>
        <w:t>of</w:t>
      </w:r>
      <w:r>
        <w:rPr>
          <w:spacing w:val="-1"/>
        </w:rPr>
        <w:t> </w:t>
      </w:r>
      <w:r>
        <w:rPr/>
        <w:t>INR</w:t>
      </w:r>
      <w:r>
        <w:rPr>
          <w:spacing w:val="-2"/>
        </w:rPr>
        <w:t> </w:t>
      </w:r>
      <w:r>
        <w:rPr/>
        <w:t>100.0</w:t>
      </w:r>
      <w:r>
        <w:rPr>
          <w:spacing w:val="-4"/>
        </w:rPr>
        <w:t> </w:t>
      </w:r>
      <w:r>
        <w:rPr/>
        <w:t>to</w:t>
      </w:r>
      <w:r>
        <w:rPr>
          <w:spacing w:val="-2"/>
        </w:rPr>
        <w:t> </w:t>
      </w:r>
      <w:r>
        <w:rPr/>
        <w:t>105.0</w:t>
      </w:r>
      <w:r>
        <w:rPr>
          <w:spacing w:val="-2"/>
        </w:rPr>
        <w:t> </w:t>
      </w:r>
      <w:r>
        <w:rPr/>
        <w:t>psf</w:t>
      </w:r>
      <w:r>
        <w:rPr>
          <w:spacing w:val="-3"/>
        </w:rPr>
        <w:t> </w:t>
      </w:r>
      <w:r>
        <w:rPr/>
        <w:t>pm</w:t>
      </w:r>
      <w:r>
        <w:rPr>
          <w:spacing w:val="-3"/>
        </w:rPr>
        <w:t> </w:t>
      </w:r>
      <w:r>
        <w:rPr/>
        <w:t>(say</w:t>
      </w:r>
      <w:r>
        <w:rPr>
          <w:spacing w:val="-1"/>
        </w:rPr>
        <w:t> </w:t>
      </w:r>
      <w:r>
        <w:rPr/>
        <w:t>INR</w:t>
      </w:r>
      <w:r>
        <w:rPr>
          <w:spacing w:val="-4"/>
        </w:rPr>
        <w:t> </w:t>
      </w:r>
      <w:r>
        <w:rPr/>
        <w:t>103.5</w:t>
      </w:r>
      <w:r>
        <w:rPr>
          <w:spacing w:val="-3"/>
        </w:rPr>
        <w:t> </w:t>
      </w:r>
      <w:r>
        <w:rPr/>
        <w:t>psf</w:t>
      </w:r>
      <w:r>
        <w:rPr>
          <w:spacing w:val="-3"/>
        </w:rPr>
        <w:t> </w:t>
      </w:r>
      <w:r>
        <w:rPr/>
        <w:t>pm)</w:t>
      </w:r>
      <w:r>
        <w:rPr>
          <w:spacing w:val="-1"/>
        </w:rPr>
        <w:t> </w:t>
      </w:r>
      <w:r>
        <w:rPr/>
        <w:t>as</w:t>
      </w:r>
      <w:r>
        <w:rPr>
          <w:spacing w:val="-3"/>
        </w:rPr>
        <w:t> </w:t>
      </w:r>
      <w:r>
        <w:rPr/>
        <w:t>on</w:t>
      </w:r>
      <w:r>
        <w:rPr>
          <w:spacing w:val="-2"/>
        </w:rPr>
        <w:t> </w:t>
      </w:r>
      <w:r>
        <w:rPr/>
        <w:t>date</w:t>
      </w:r>
      <w:r>
        <w:rPr>
          <w:spacing w:val="-3"/>
        </w:rPr>
        <w:t> </w:t>
      </w:r>
      <w:r>
        <w:rPr/>
        <w:t>of valuation.</w:t>
      </w:r>
    </w:p>
    <w:p>
      <w:pPr>
        <w:pStyle w:val="BodyText"/>
        <w:spacing w:before="2"/>
        <w:rPr>
          <w:sz w:val="25"/>
        </w:rPr>
      </w:pPr>
    </w:p>
    <w:p>
      <w:pPr>
        <w:pStyle w:val="ListParagraph"/>
        <w:numPr>
          <w:ilvl w:val="4"/>
          <w:numId w:val="32"/>
        </w:numPr>
        <w:tabs>
          <w:tab w:pos="1229" w:val="left" w:leader="none"/>
        </w:tabs>
        <w:spacing w:line="240" w:lineRule="auto" w:before="1" w:after="0"/>
        <w:ind w:left="1228" w:right="0" w:hanging="1009"/>
        <w:jc w:val="left"/>
        <w:rPr>
          <w:sz w:val="20"/>
        </w:rPr>
      </w:pPr>
      <w:r>
        <w:rPr>
          <w:color w:val="1F664D"/>
          <w:sz w:val="20"/>
        </w:rPr>
        <w:t>Retail Component</w:t>
      </w:r>
    </w:p>
    <w:p>
      <w:pPr>
        <w:pStyle w:val="BodyText"/>
        <w:spacing w:before="8"/>
        <w:rPr>
          <w:sz w:val="25"/>
        </w:rPr>
      </w:pPr>
    </w:p>
    <w:p>
      <w:pPr>
        <w:pStyle w:val="BodyText"/>
        <w:spacing w:line="321" w:lineRule="auto"/>
        <w:ind w:left="820" w:right="194"/>
        <w:jc w:val="both"/>
      </w:pPr>
      <w:r>
        <w:rPr/>
        <w:t>As</w:t>
      </w:r>
      <w:r>
        <w:rPr>
          <w:spacing w:val="-15"/>
        </w:rPr>
        <w:t> </w:t>
      </w:r>
      <w:r>
        <w:rPr/>
        <w:t>per</w:t>
      </w:r>
      <w:r>
        <w:rPr>
          <w:spacing w:val="-16"/>
        </w:rPr>
        <w:t> </w:t>
      </w:r>
      <w:r>
        <w:rPr/>
        <w:t>the</w:t>
      </w:r>
      <w:r>
        <w:rPr>
          <w:spacing w:val="-15"/>
        </w:rPr>
        <w:t> </w:t>
      </w:r>
      <w:r>
        <w:rPr/>
        <w:t>information</w:t>
      </w:r>
      <w:r>
        <w:rPr>
          <w:spacing w:val="-16"/>
        </w:rPr>
        <w:t> </w:t>
      </w:r>
      <w:r>
        <w:rPr/>
        <w:t>provided</w:t>
      </w:r>
      <w:r>
        <w:rPr>
          <w:spacing w:val="-15"/>
        </w:rPr>
        <w:t> </w:t>
      </w:r>
      <w:r>
        <w:rPr/>
        <w:t>by</w:t>
      </w:r>
      <w:r>
        <w:rPr>
          <w:spacing w:val="-14"/>
        </w:rPr>
        <w:t> </w:t>
      </w:r>
      <w:r>
        <w:rPr/>
        <w:t>the</w:t>
      </w:r>
      <w:r>
        <w:rPr>
          <w:spacing w:val="-16"/>
        </w:rPr>
        <w:t> </w:t>
      </w:r>
      <w:r>
        <w:rPr/>
        <w:t>Client,</w:t>
      </w:r>
      <w:r>
        <w:rPr>
          <w:spacing w:val="-16"/>
        </w:rPr>
        <w:t> </w:t>
      </w:r>
      <w:r>
        <w:rPr/>
        <w:t>it</w:t>
      </w:r>
      <w:r>
        <w:rPr>
          <w:spacing w:val="-16"/>
        </w:rPr>
        <w:t> </w:t>
      </w:r>
      <w:r>
        <w:rPr/>
        <w:t>is</w:t>
      </w:r>
      <w:r>
        <w:rPr>
          <w:spacing w:val="-15"/>
        </w:rPr>
        <w:t> </w:t>
      </w:r>
      <w:r>
        <w:rPr/>
        <w:t>understood</w:t>
      </w:r>
      <w:r>
        <w:rPr>
          <w:spacing w:val="-15"/>
        </w:rPr>
        <w:t> </w:t>
      </w:r>
      <w:r>
        <w:rPr/>
        <w:t>that</w:t>
      </w:r>
      <w:r>
        <w:rPr>
          <w:spacing w:val="-15"/>
        </w:rPr>
        <w:t> </w:t>
      </w:r>
      <w:r>
        <w:rPr/>
        <w:t>a</w:t>
      </w:r>
      <w:r>
        <w:rPr>
          <w:spacing w:val="-16"/>
        </w:rPr>
        <w:t> </w:t>
      </w:r>
      <w:r>
        <w:rPr/>
        <w:t>retail</w:t>
      </w:r>
      <w:r>
        <w:rPr>
          <w:spacing w:val="-13"/>
        </w:rPr>
        <w:t> </w:t>
      </w:r>
      <w:r>
        <w:rPr/>
        <w:t>space</w:t>
      </w:r>
      <w:r>
        <w:rPr>
          <w:spacing w:val="-15"/>
        </w:rPr>
        <w:t> </w:t>
      </w:r>
      <w:r>
        <w:rPr/>
        <w:t>measuring</w:t>
      </w:r>
      <w:r>
        <w:rPr>
          <w:spacing w:val="-15"/>
        </w:rPr>
        <w:t> </w:t>
      </w:r>
      <w:r>
        <w:rPr/>
        <w:t>58,083</w:t>
      </w:r>
      <w:r>
        <w:rPr>
          <w:spacing w:val="-16"/>
        </w:rPr>
        <w:t> </w:t>
      </w:r>
      <w:r>
        <w:rPr/>
        <w:t>sf is</w:t>
      </w:r>
      <w:r>
        <w:rPr>
          <w:spacing w:val="-15"/>
        </w:rPr>
        <w:t> </w:t>
      </w:r>
      <w:r>
        <w:rPr/>
        <w:t>envisaged</w:t>
      </w:r>
      <w:r>
        <w:rPr>
          <w:spacing w:val="-14"/>
        </w:rPr>
        <w:t> </w:t>
      </w:r>
      <w:r>
        <w:rPr/>
        <w:t>as</w:t>
      </w:r>
      <w:r>
        <w:rPr>
          <w:spacing w:val="-16"/>
        </w:rPr>
        <w:t> </w:t>
      </w:r>
      <w:r>
        <w:rPr/>
        <w:t>part</w:t>
      </w:r>
      <w:r>
        <w:rPr>
          <w:spacing w:val="-15"/>
        </w:rPr>
        <w:t> </w:t>
      </w:r>
      <w:r>
        <w:rPr/>
        <w:t>of</w:t>
      </w:r>
      <w:r>
        <w:rPr>
          <w:spacing w:val="-14"/>
        </w:rPr>
        <w:t> </w:t>
      </w:r>
      <w:r>
        <w:rPr/>
        <w:t>the</w:t>
      </w:r>
      <w:r>
        <w:rPr>
          <w:spacing w:val="-16"/>
        </w:rPr>
        <w:t> </w:t>
      </w:r>
      <w:r>
        <w:rPr/>
        <w:t>Front</w:t>
      </w:r>
      <w:r>
        <w:rPr>
          <w:spacing w:val="-15"/>
        </w:rPr>
        <w:t> </w:t>
      </w:r>
      <w:r>
        <w:rPr/>
        <w:t>Parcel</w:t>
      </w:r>
      <w:r>
        <w:rPr>
          <w:spacing w:val="-15"/>
        </w:rPr>
        <w:t> </w:t>
      </w:r>
      <w:r>
        <w:rPr/>
        <w:t>in</w:t>
      </w:r>
      <w:r>
        <w:rPr>
          <w:spacing w:val="-17"/>
        </w:rPr>
        <w:t> </w:t>
      </w:r>
      <w:r>
        <w:rPr/>
        <w:t>the</w:t>
      </w:r>
      <w:r>
        <w:rPr>
          <w:spacing w:val="-16"/>
        </w:rPr>
        <w:t> </w:t>
      </w:r>
      <w:r>
        <w:rPr/>
        <w:t>proposed</w:t>
      </w:r>
      <w:r>
        <w:rPr>
          <w:spacing w:val="-15"/>
        </w:rPr>
        <w:t> </w:t>
      </w:r>
      <w:r>
        <w:rPr/>
        <w:t>development.</w:t>
      </w:r>
      <w:r>
        <w:rPr>
          <w:spacing w:val="-15"/>
        </w:rPr>
        <w:t> </w:t>
      </w:r>
      <w:r>
        <w:rPr/>
        <w:t>The</w:t>
      </w:r>
      <w:r>
        <w:rPr>
          <w:spacing w:val="-15"/>
        </w:rPr>
        <w:t> </w:t>
      </w:r>
      <w:r>
        <w:rPr/>
        <w:t>retail</w:t>
      </w:r>
      <w:r>
        <w:rPr>
          <w:spacing w:val="-16"/>
        </w:rPr>
        <w:t> </w:t>
      </w:r>
      <w:r>
        <w:rPr/>
        <w:t>space</w:t>
      </w:r>
      <w:r>
        <w:rPr>
          <w:spacing w:val="-16"/>
        </w:rPr>
        <w:t> </w:t>
      </w:r>
      <w:r>
        <w:rPr/>
        <w:t>will</w:t>
      </w:r>
      <w:r>
        <w:rPr>
          <w:spacing w:val="-16"/>
        </w:rPr>
        <w:t> </w:t>
      </w:r>
      <w:r>
        <w:rPr/>
        <w:t>operate</w:t>
      </w:r>
      <w:r>
        <w:rPr>
          <w:spacing w:val="-15"/>
        </w:rPr>
        <w:t> </w:t>
      </w:r>
      <w:r>
        <w:rPr/>
        <w:t>as ancillary</w:t>
      </w:r>
      <w:r>
        <w:rPr>
          <w:spacing w:val="-27"/>
        </w:rPr>
        <w:t> </w:t>
      </w:r>
      <w:r>
        <w:rPr/>
        <w:t>retail,</w:t>
      </w:r>
      <w:r>
        <w:rPr>
          <w:spacing w:val="-28"/>
        </w:rPr>
        <w:t> </w:t>
      </w:r>
      <w:r>
        <w:rPr/>
        <w:t>providing</w:t>
      </w:r>
      <w:r>
        <w:rPr>
          <w:spacing w:val="-27"/>
        </w:rPr>
        <w:t> </w:t>
      </w:r>
      <w:r>
        <w:rPr/>
        <w:t>convenience</w:t>
      </w:r>
      <w:r>
        <w:rPr>
          <w:spacing w:val="-28"/>
        </w:rPr>
        <w:t> </w:t>
      </w:r>
      <w:r>
        <w:rPr/>
        <w:t>to</w:t>
      </w:r>
      <w:r>
        <w:rPr>
          <w:spacing w:val="-28"/>
        </w:rPr>
        <w:t> </w:t>
      </w:r>
      <w:r>
        <w:rPr/>
        <w:t>the</w:t>
      </w:r>
      <w:r>
        <w:rPr>
          <w:spacing w:val="-28"/>
        </w:rPr>
        <w:t> </w:t>
      </w:r>
      <w:r>
        <w:rPr/>
        <w:t>working</w:t>
      </w:r>
      <w:r>
        <w:rPr>
          <w:spacing w:val="-27"/>
        </w:rPr>
        <w:t> </w:t>
      </w:r>
      <w:r>
        <w:rPr/>
        <w:t>population</w:t>
      </w:r>
      <w:r>
        <w:rPr>
          <w:spacing w:val="-28"/>
        </w:rPr>
        <w:t> </w:t>
      </w:r>
      <w:r>
        <w:rPr/>
        <w:t>in</w:t>
      </w:r>
      <w:r>
        <w:rPr>
          <w:spacing w:val="-28"/>
        </w:rPr>
        <w:t> </w:t>
      </w:r>
      <w:r>
        <w:rPr/>
        <w:t>the</w:t>
      </w:r>
      <w:r>
        <w:rPr>
          <w:spacing w:val="-29"/>
        </w:rPr>
        <w:t> </w:t>
      </w:r>
      <w:r>
        <w:rPr/>
        <w:t>subject</w:t>
      </w:r>
      <w:r>
        <w:rPr>
          <w:spacing w:val="-27"/>
        </w:rPr>
        <w:t> </w:t>
      </w:r>
      <w:r>
        <w:rPr/>
        <w:t>development</w:t>
      </w:r>
      <w:r>
        <w:rPr>
          <w:spacing w:val="-27"/>
        </w:rPr>
        <w:t> </w:t>
      </w:r>
      <w:r>
        <w:rPr/>
        <w:t>as</w:t>
      </w:r>
      <w:r>
        <w:rPr>
          <w:spacing w:val="-28"/>
        </w:rPr>
        <w:t> </w:t>
      </w:r>
      <w:r>
        <w:rPr/>
        <w:t>well</w:t>
      </w:r>
      <w:r>
        <w:rPr>
          <w:spacing w:val="-28"/>
        </w:rPr>
        <w:t> </w:t>
      </w:r>
      <w:r>
        <w:rPr/>
        <w:t>as surrounding</w:t>
      </w:r>
      <w:r>
        <w:rPr>
          <w:spacing w:val="-50"/>
        </w:rPr>
        <w:t> </w:t>
      </w:r>
      <w:r>
        <w:rPr/>
        <w:t>development.</w:t>
      </w:r>
      <w:r>
        <w:rPr>
          <w:spacing w:val="-50"/>
        </w:rPr>
        <w:t> </w:t>
      </w:r>
      <w:r>
        <w:rPr/>
        <w:t>It</w:t>
      </w:r>
      <w:r>
        <w:rPr>
          <w:spacing w:val="-50"/>
        </w:rPr>
        <w:t> </w:t>
      </w:r>
      <w:r>
        <w:rPr/>
        <w:t>has</w:t>
      </w:r>
      <w:r>
        <w:rPr>
          <w:spacing w:val="-50"/>
        </w:rPr>
        <w:t> </w:t>
      </w:r>
      <w:r>
        <w:rPr/>
        <w:t>been</w:t>
      </w:r>
      <w:r>
        <w:rPr>
          <w:spacing w:val="-50"/>
        </w:rPr>
        <w:t> </w:t>
      </w:r>
      <w:r>
        <w:rPr/>
        <w:t>observed</w:t>
      </w:r>
      <w:r>
        <w:rPr>
          <w:spacing w:val="-49"/>
        </w:rPr>
        <w:t> </w:t>
      </w:r>
      <w:r>
        <w:rPr/>
        <w:t>that</w:t>
      </w:r>
      <w:r>
        <w:rPr>
          <w:spacing w:val="-50"/>
        </w:rPr>
        <w:t> </w:t>
      </w:r>
      <w:r>
        <w:rPr/>
        <w:t>rent</w:t>
      </w:r>
      <w:r>
        <w:rPr>
          <w:spacing w:val="-50"/>
        </w:rPr>
        <w:t> </w:t>
      </w:r>
      <w:r>
        <w:rPr/>
        <w:t>for</w:t>
      </w:r>
      <w:r>
        <w:rPr>
          <w:spacing w:val="-51"/>
        </w:rPr>
        <w:t> </w:t>
      </w:r>
      <w:r>
        <w:rPr/>
        <w:t>retail</w:t>
      </w:r>
      <w:r>
        <w:rPr>
          <w:spacing w:val="-50"/>
        </w:rPr>
        <w:t> </w:t>
      </w:r>
      <w:r>
        <w:rPr/>
        <w:t>spaces</w:t>
      </w:r>
      <w:r>
        <w:rPr>
          <w:spacing w:val="-50"/>
        </w:rPr>
        <w:t> </w:t>
      </w:r>
      <w:r>
        <w:rPr/>
        <w:t>for</w:t>
      </w:r>
      <w:r>
        <w:rPr>
          <w:spacing w:val="-49"/>
        </w:rPr>
        <w:t> </w:t>
      </w:r>
      <w:r>
        <w:rPr/>
        <w:t>similar</w:t>
      </w:r>
      <w:r>
        <w:rPr>
          <w:spacing w:val="-51"/>
        </w:rPr>
        <w:t> </w:t>
      </w:r>
      <w:r>
        <w:rPr/>
        <w:t>developments</w:t>
      </w:r>
      <w:r>
        <w:rPr>
          <w:spacing w:val="-49"/>
        </w:rPr>
        <w:t> </w:t>
      </w:r>
      <w:r>
        <w:rPr/>
        <w:t>(office space</w:t>
      </w:r>
      <w:r>
        <w:rPr>
          <w:spacing w:val="-18"/>
        </w:rPr>
        <w:t> </w:t>
      </w:r>
      <w:r>
        <w:rPr/>
        <w:t>with</w:t>
      </w:r>
      <w:r>
        <w:rPr>
          <w:spacing w:val="-16"/>
        </w:rPr>
        <w:t> </w:t>
      </w:r>
      <w:r>
        <w:rPr/>
        <w:t>ancillary</w:t>
      </w:r>
      <w:r>
        <w:rPr>
          <w:spacing w:val="-14"/>
        </w:rPr>
        <w:t> </w:t>
      </w:r>
      <w:r>
        <w:rPr/>
        <w:t>retail)</w:t>
      </w:r>
      <w:r>
        <w:rPr>
          <w:spacing w:val="-16"/>
        </w:rPr>
        <w:t> </w:t>
      </w:r>
      <w:r>
        <w:rPr/>
        <w:t>across</w:t>
      </w:r>
      <w:r>
        <w:rPr>
          <w:spacing w:val="-16"/>
        </w:rPr>
        <w:t> </w:t>
      </w:r>
      <w:r>
        <w:rPr/>
        <w:t>Bengaluru</w:t>
      </w:r>
      <w:r>
        <w:rPr>
          <w:spacing w:val="-16"/>
        </w:rPr>
        <w:t> </w:t>
      </w:r>
      <w:r>
        <w:rPr/>
        <w:t>command</w:t>
      </w:r>
      <w:r>
        <w:rPr>
          <w:spacing w:val="-17"/>
        </w:rPr>
        <w:t> </w:t>
      </w:r>
      <w:r>
        <w:rPr/>
        <w:t>premium</w:t>
      </w:r>
      <w:r>
        <w:rPr>
          <w:spacing w:val="-15"/>
        </w:rPr>
        <w:t> </w:t>
      </w:r>
      <w:r>
        <w:rPr/>
        <w:t>over</w:t>
      </w:r>
      <w:r>
        <w:rPr>
          <w:spacing w:val="-16"/>
        </w:rPr>
        <w:t> </w:t>
      </w:r>
      <w:r>
        <w:rPr/>
        <w:t>office</w:t>
      </w:r>
      <w:r>
        <w:rPr>
          <w:spacing w:val="-16"/>
        </w:rPr>
        <w:t> </w:t>
      </w:r>
      <w:r>
        <w:rPr/>
        <w:t>space</w:t>
      </w:r>
      <w:r>
        <w:rPr>
          <w:spacing w:val="-12"/>
        </w:rPr>
        <w:t> </w:t>
      </w:r>
      <w:r>
        <w:rPr/>
        <w:t>rent,</w:t>
      </w:r>
      <w:r>
        <w:rPr>
          <w:spacing w:val="-17"/>
        </w:rPr>
        <w:t> </w:t>
      </w:r>
      <w:r>
        <w:rPr/>
        <w:t>on</w:t>
      </w:r>
      <w:r>
        <w:rPr>
          <w:spacing w:val="-16"/>
        </w:rPr>
        <w:t> </w:t>
      </w:r>
      <w:r>
        <w:rPr/>
        <w:t>account</w:t>
      </w:r>
      <w:r>
        <w:rPr>
          <w:spacing w:val="-15"/>
        </w:rPr>
        <w:t> </w:t>
      </w:r>
      <w:r>
        <w:rPr/>
        <w:t>of better</w:t>
      </w:r>
      <w:r>
        <w:rPr>
          <w:spacing w:val="-43"/>
        </w:rPr>
        <w:t> </w:t>
      </w:r>
      <w:r>
        <w:rPr/>
        <w:t>visibility</w:t>
      </w:r>
      <w:r>
        <w:rPr>
          <w:spacing w:val="-43"/>
        </w:rPr>
        <w:t> </w:t>
      </w:r>
      <w:r>
        <w:rPr/>
        <w:t>(presence</w:t>
      </w:r>
      <w:r>
        <w:rPr>
          <w:spacing w:val="-43"/>
        </w:rPr>
        <w:t> </w:t>
      </w:r>
      <w:r>
        <w:rPr/>
        <w:t>on</w:t>
      </w:r>
      <w:r>
        <w:rPr>
          <w:spacing w:val="-43"/>
        </w:rPr>
        <w:t> </w:t>
      </w:r>
      <w:r>
        <w:rPr/>
        <w:t>lower</w:t>
      </w:r>
      <w:r>
        <w:rPr>
          <w:spacing w:val="-43"/>
        </w:rPr>
        <w:t> </w:t>
      </w:r>
      <w:r>
        <w:rPr/>
        <w:t>floors)</w:t>
      </w:r>
      <w:r>
        <w:rPr>
          <w:spacing w:val="-41"/>
        </w:rPr>
        <w:t> </w:t>
      </w:r>
      <w:r>
        <w:rPr/>
        <w:t>and</w:t>
      </w:r>
      <w:r>
        <w:rPr>
          <w:spacing w:val="-43"/>
        </w:rPr>
        <w:t> </w:t>
      </w:r>
      <w:r>
        <w:rPr/>
        <w:t>better</w:t>
      </w:r>
      <w:r>
        <w:rPr>
          <w:spacing w:val="-42"/>
        </w:rPr>
        <w:t> </w:t>
      </w:r>
      <w:r>
        <w:rPr/>
        <w:t>finishes</w:t>
      </w:r>
      <w:r>
        <w:rPr>
          <w:spacing w:val="-42"/>
        </w:rPr>
        <w:t> </w:t>
      </w:r>
      <w:r>
        <w:rPr/>
        <w:t>as</w:t>
      </w:r>
      <w:r>
        <w:rPr>
          <w:spacing w:val="-42"/>
        </w:rPr>
        <w:t> </w:t>
      </w:r>
      <w:r>
        <w:rPr/>
        <w:t>compared</w:t>
      </w:r>
      <w:r>
        <w:rPr>
          <w:spacing w:val="-42"/>
        </w:rPr>
        <w:t> </w:t>
      </w:r>
      <w:r>
        <w:rPr/>
        <w:t>to</w:t>
      </w:r>
      <w:r>
        <w:rPr>
          <w:spacing w:val="-44"/>
        </w:rPr>
        <w:t> </w:t>
      </w:r>
      <w:r>
        <w:rPr/>
        <w:t>the</w:t>
      </w:r>
      <w:r>
        <w:rPr>
          <w:spacing w:val="-42"/>
        </w:rPr>
        <w:t> </w:t>
      </w:r>
      <w:r>
        <w:rPr/>
        <w:t>office</w:t>
      </w:r>
      <w:r>
        <w:rPr>
          <w:spacing w:val="-43"/>
        </w:rPr>
        <w:t> </w:t>
      </w:r>
      <w:r>
        <w:rPr/>
        <w:t>spaces.</w:t>
      </w:r>
      <w:r>
        <w:rPr>
          <w:spacing w:val="-43"/>
        </w:rPr>
        <w:t> </w:t>
      </w:r>
      <w:r>
        <w:rPr/>
        <w:t>Given</w:t>
      </w:r>
      <w:r>
        <w:rPr>
          <w:spacing w:val="-43"/>
        </w:rPr>
        <w:t> </w:t>
      </w:r>
      <w:r>
        <w:rPr/>
        <w:t>the above, Valuer has assumed marginal rent in the range of INR 115.0 to 120.0 psf pm (say INR 117.0 psf pm) as on date of</w:t>
      </w:r>
      <w:r>
        <w:rPr>
          <w:spacing w:val="-16"/>
        </w:rPr>
        <w:t> </w:t>
      </w:r>
      <w:r>
        <w:rPr/>
        <w:t>valuation.</w:t>
      </w:r>
    </w:p>
    <w:p>
      <w:pPr>
        <w:pStyle w:val="BodyText"/>
        <w:spacing w:before="7"/>
        <w:rPr>
          <w:sz w:val="23"/>
        </w:rPr>
      </w:pPr>
    </w:p>
    <w:p>
      <w:pPr>
        <w:pStyle w:val="ListParagraph"/>
        <w:numPr>
          <w:ilvl w:val="3"/>
          <w:numId w:val="32"/>
        </w:numPr>
        <w:tabs>
          <w:tab w:pos="1085" w:val="left" w:leader="none"/>
        </w:tabs>
        <w:spacing w:line="240" w:lineRule="auto" w:before="0" w:after="0"/>
        <w:ind w:left="1084" w:right="0" w:hanging="865"/>
        <w:jc w:val="left"/>
        <w:rPr>
          <w:i/>
          <w:sz w:val="20"/>
        </w:rPr>
      </w:pPr>
      <w:r>
        <w:rPr>
          <w:i/>
          <w:color w:val="008000"/>
          <w:sz w:val="20"/>
        </w:rPr>
        <w:t>Rent</w:t>
      </w:r>
      <w:r>
        <w:rPr>
          <w:i/>
          <w:color w:val="008000"/>
          <w:spacing w:val="-4"/>
          <w:sz w:val="20"/>
        </w:rPr>
        <w:t> </w:t>
      </w:r>
      <w:r>
        <w:rPr>
          <w:i/>
          <w:color w:val="008000"/>
          <w:sz w:val="20"/>
        </w:rPr>
        <w:t>Escalation</w:t>
      </w:r>
    </w:p>
    <w:p>
      <w:pPr>
        <w:pStyle w:val="BodyText"/>
        <w:rPr>
          <w:i/>
        </w:rPr>
      </w:pPr>
    </w:p>
    <w:p>
      <w:pPr>
        <w:pStyle w:val="BodyText"/>
        <w:spacing w:line="321" w:lineRule="auto"/>
        <w:ind w:left="782" w:right="196"/>
        <w:jc w:val="both"/>
      </w:pPr>
      <w:r>
        <w:rPr/>
        <w:t>Based</w:t>
      </w:r>
      <w:r>
        <w:rPr>
          <w:spacing w:val="-13"/>
        </w:rPr>
        <w:t> </w:t>
      </w:r>
      <w:r>
        <w:rPr/>
        <w:t>on</w:t>
      </w:r>
      <w:r>
        <w:rPr>
          <w:spacing w:val="-14"/>
        </w:rPr>
        <w:t> </w:t>
      </w:r>
      <w:r>
        <w:rPr/>
        <w:t>an</w:t>
      </w:r>
      <w:r>
        <w:rPr>
          <w:spacing w:val="-14"/>
        </w:rPr>
        <w:t> </w:t>
      </w:r>
      <w:r>
        <w:rPr/>
        <w:t>analysis</w:t>
      </w:r>
      <w:r>
        <w:rPr>
          <w:spacing w:val="-14"/>
        </w:rPr>
        <w:t> </w:t>
      </w:r>
      <w:r>
        <w:rPr/>
        <w:t>of</w:t>
      </w:r>
      <w:r>
        <w:rPr>
          <w:spacing w:val="-15"/>
        </w:rPr>
        <w:t> </w:t>
      </w:r>
      <w:r>
        <w:rPr/>
        <w:t>existing</w:t>
      </w:r>
      <w:r>
        <w:rPr>
          <w:spacing w:val="-12"/>
        </w:rPr>
        <w:t> </w:t>
      </w:r>
      <w:r>
        <w:rPr/>
        <w:t>lease</w:t>
      </w:r>
      <w:r>
        <w:rPr>
          <w:spacing w:val="-14"/>
        </w:rPr>
        <w:t> </w:t>
      </w:r>
      <w:r>
        <w:rPr/>
        <w:t>rolls</w:t>
      </w:r>
      <w:r>
        <w:rPr>
          <w:spacing w:val="-10"/>
        </w:rPr>
        <w:t> </w:t>
      </w:r>
      <w:r>
        <w:rPr/>
        <w:t>and</w:t>
      </w:r>
      <w:r>
        <w:rPr>
          <w:spacing w:val="-13"/>
        </w:rPr>
        <w:t> </w:t>
      </w:r>
      <w:r>
        <w:rPr/>
        <w:t>recent</w:t>
      </w:r>
      <w:r>
        <w:rPr>
          <w:spacing w:val="-14"/>
        </w:rPr>
        <w:t> </w:t>
      </w:r>
      <w:r>
        <w:rPr/>
        <w:t>leasing</w:t>
      </w:r>
      <w:r>
        <w:rPr>
          <w:spacing w:val="-12"/>
        </w:rPr>
        <w:t> </w:t>
      </w:r>
      <w:r>
        <w:rPr/>
        <w:t>at</w:t>
      </w:r>
      <w:r>
        <w:rPr>
          <w:spacing w:val="-14"/>
        </w:rPr>
        <w:t> </w:t>
      </w:r>
      <w:r>
        <w:rPr/>
        <w:t>the</w:t>
      </w:r>
      <w:r>
        <w:rPr>
          <w:spacing w:val="-12"/>
        </w:rPr>
        <w:t> </w:t>
      </w:r>
      <w:r>
        <w:rPr/>
        <w:t>subject</w:t>
      </w:r>
      <w:r>
        <w:rPr>
          <w:spacing w:val="-14"/>
        </w:rPr>
        <w:t> </w:t>
      </w:r>
      <w:r>
        <w:rPr/>
        <w:t>property,</w:t>
      </w:r>
      <w:r>
        <w:rPr>
          <w:spacing w:val="-14"/>
        </w:rPr>
        <w:t> </w:t>
      </w:r>
      <w:r>
        <w:rPr/>
        <w:t>it</w:t>
      </w:r>
      <w:r>
        <w:rPr>
          <w:spacing w:val="-15"/>
        </w:rPr>
        <w:t> </w:t>
      </w:r>
      <w:r>
        <w:rPr/>
        <w:t>was</w:t>
      </w:r>
      <w:r>
        <w:rPr>
          <w:spacing w:val="-13"/>
        </w:rPr>
        <w:t> </w:t>
      </w:r>
      <w:r>
        <w:rPr/>
        <w:t>observed that</w:t>
      </w:r>
      <w:r>
        <w:rPr>
          <w:spacing w:val="-31"/>
        </w:rPr>
        <w:t> </w:t>
      </w:r>
      <w:r>
        <w:rPr/>
        <w:t>the</w:t>
      </w:r>
      <w:r>
        <w:rPr>
          <w:spacing w:val="-31"/>
        </w:rPr>
        <w:t> </w:t>
      </w:r>
      <w:r>
        <w:rPr/>
        <w:t>typical</w:t>
      </w:r>
      <w:r>
        <w:rPr>
          <w:spacing w:val="-31"/>
        </w:rPr>
        <w:t> </w:t>
      </w:r>
      <w:r>
        <w:rPr/>
        <w:t>escalation</w:t>
      </w:r>
      <w:r>
        <w:rPr>
          <w:spacing w:val="-30"/>
        </w:rPr>
        <w:t> </w:t>
      </w:r>
      <w:r>
        <w:rPr/>
        <w:t>clause</w:t>
      </w:r>
      <w:r>
        <w:rPr>
          <w:spacing w:val="-31"/>
        </w:rPr>
        <w:t> </w:t>
      </w:r>
      <w:r>
        <w:rPr/>
        <w:t>in</w:t>
      </w:r>
      <w:r>
        <w:rPr>
          <w:spacing w:val="-32"/>
        </w:rPr>
        <w:t> </w:t>
      </w:r>
      <w:r>
        <w:rPr/>
        <w:t>the</w:t>
      </w:r>
      <w:r>
        <w:rPr>
          <w:spacing w:val="-31"/>
        </w:rPr>
        <w:t> </w:t>
      </w:r>
      <w:r>
        <w:rPr/>
        <w:t>subject</w:t>
      </w:r>
      <w:r>
        <w:rPr>
          <w:spacing w:val="-30"/>
        </w:rPr>
        <w:t> </w:t>
      </w:r>
      <w:r>
        <w:rPr/>
        <w:t>property</w:t>
      </w:r>
      <w:r>
        <w:rPr>
          <w:spacing w:val="-30"/>
        </w:rPr>
        <w:t> </w:t>
      </w:r>
      <w:r>
        <w:rPr/>
        <w:t>is</w:t>
      </w:r>
      <w:r>
        <w:rPr>
          <w:spacing w:val="-31"/>
        </w:rPr>
        <w:t> </w:t>
      </w:r>
      <w:r>
        <w:rPr/>
        <w:t>approx.</w:t>
      </w:r>
      <w:r>
        <w:rPr>
          <w:spacing w:val="-30"/>
        </w:rPr>
        <w:t> </w:t>
      </w:r>
      <w:r>
        <w:rPr/>
        <w:t>15.0%</w:t>
      </w:r>
      <w:r>
        <w:rPr>
          <w:spacing w:val="-31"/>
        </w:rPr>
        <w:t> </w:t>
      </w:r>
      <w:r>
        <w:rPr/>
        <w:t>after</w:t>
      </w:r>
      <w:r>
        <w:rPr>
          <w:spacing w:val="-31"/>
        </w:rPr>
        <w:t> </w:t>
      </w:r>
      <w:r>
        <w:rPr/>
        <w:t>every</w:t>
      </w:r>
      <w:r>
        <w:rPr>
          <w:spacing w:val="-30"/>
        </w:rPr>
        <w:t> </w:t>
      </w:r>
      <w:r>
        <w:rPr/>
        <w:t>three</w:t>
      </w:r>
      <w:r>
        <w:rPr>
          <w:spacing w:val="-32"/>
        </w:rPr>
        <w:t> </w:t>
      </w:r>
      <w:r>
        <w:rPr/>
        <w:t>years,</w:t>
      </w:r>
      <w:r>
        <w:rPr>
          <w:spacing w:val="-31"/>
        </w:rPr>
        <w:t> </w:t>
      </w:r>
      <w:r>
        <w:rPr/>
        <w:t>which is</w:t>
      </w:r>
      <w:r>
        <w:rPr>
          <w:spacing w:val="-21"/>
        </w:rPr>
        <w:t> </w:t>
      </w:r>
      <w:r>
        <w:rPr/>
        <w:t>in-line</w:t>
      </w:r>
      <w:r>
        <w:rPr>
          <w:spacing w:val="-21"/>
        </w:rPr>
        <w:t> </w:t>
      </w:r>
      <w:r>
        <w:rPr/>
        <w:t>with</w:t>
      </w:r>
      <w:r>
        <w:rPr>
          <w:spacing w:val="-21"/>
        </w:rPr>
        <w:t> </w:t>
      </w:r>
      <w:r>
        <w:rPr/>
        <w:t>the</w:t>
      </w:r>
      <w:r>
        <w:rPr>
          <w:spacing w:val="-21"/>
        </w:rPr>
        <w:t> </w:t>
      </w:r>
      <w:r>
        <w:rPr/>
        <w:t>trend</w:t>
      </w:r>
      <w:r>
        <w:rPr>
          <w:spacing w:val="-21"/>
        </w:rPr>
        <w:t> </w:t>
      </w:r>
      <w:r>
        <w:rPr/>
        <w:t>observed</w:t>
      </w:r>
      <w:r>
        <w:rPr>
          <w:spacing w:val="-20"/>
        </w:rPr>
        <w:t> </w:t>
      </w:r>
      <w:r>
        <w:rPr/>
        <w:t>in</w:t>
      </w:r>
      <w:r>
        <w:rPr>
          <w:spacing w:val="-22"/>
        </w:rPr>
        <w:t> </w:t>
      </w:r>
      <w:r>
        <w:rPr/>
        <w:t>the</w:t>
      </w:r>
      <w:r>
        <w:rPr>
          <w:spacing w:val="-21"/>
        </w:rPr>
        <w:t> </w:t>
      </w:r>
      <w:r>
        <w:rPr/>
        <w:t>market.</w:t>
      </w:r>
      <w:r>
        <w:rPr>
          <w:spacing w:val="-21"/>
        </w:rPr>
        <w:t> </w:t>
      </w:r>
      <w:r>
        <w:rPr/>
        <w:t>The</w:t>
      </w:r>
      <w:r>
        <w:rPr>
          <w:spacing w:val="-21"/>
        </w:rPr>
        <w:t> </w:t>
      </w:r>
      <w:r>
        <w:rPr/>
        <w:t>same</w:t>
      </w:r>
      <w:r>
        <w:rPr>
          <w:spacing w:val="-21"/>
        </w:rPr>
        <w:t> </w:t>
      </w:r>
      <w:r>
        <w:rPr/>
        <w:t>has</w:t>
      </w:r>
      <w:r>
        <w:rPr>
          <w:spacing w:val="-20"/>
        </w:rPr>
        <w:t> </w:t>
      </w:r>
      <w:r>
        <w:rPr/>
        <w:t>been</w:t>
      </w:r>
      <w:r>
        <w:rPr>
          <w:spacing w:val="-22"/>
        </w:rPr>
        <w:t> </w:t>
      </w:r>
      <w:r>
        <w:rPr/>
        <w:t>adopted</w:t>
      </w:r>
      <w:r>
        <w:rPr>
          <w:spacing w:val="-20"/>
        </w:rPr>
        <w:t> </w:t>
      </w:r>
      <w:r>
        <w:rPr/>
        <w:t>by</w:t>
      </w:r>
      <w:r>
        <w:rPr>
          <w:spacing w:val="-20"/>
        </w:rPr>
        <w:t> </w:t>
      </w:r>
      <w:r>
        <w:rPr/>
        <w:t>Valuer</w:t>
      </w:r>
      <w:r>
        <w:rPr>
          <w:spacing w:val="40"/>
        </w:rPr>
        <w:t> </w:t>
      </w:r>
      <w:r>
        <w:rPr/>
        <w:t>for</w:t>
      </w:r>
      <w:r>
        <w:rPr>
          <w:spacing w:val="40"/>
        </w:rPr>
        <w:t> </w:t>
      </w:r>
      <w:r>
        <w:rPr/>
        <w:t>the</w:t>
      </w:r>
      <w:r>
        <w:rPr>
          <w:spacing w:val="39"/>
        </w:rPr>
        <w:t> </w:t>
      </w:r>
      <w:r>
        <w:rPr/>
        <w:t>vacant area and renewals at the subject</w:t>
      </w:r>
      <w:r>
        <w:rPr>
          <w:spacing w:val="-25"/>
        </w:rPr>
        <w:t> </w:t>
      </w:r>
      <w:r>
        <w:rPr/>
        <w:t>property.</w:t>
      </w:r>
    </w:p>
    <w:p>
      <w:pPr>
        <w:spacing w:after="0" w:line="321" w:lineRule="auto"/>
        <w:jc w:val="both"/>
        <w:sectPr>
          <w:pgSz w:w="11910" w:h="16840"/>
          <w:pgMar w:header="720" w:footer="842" w:top="1660" w:bottom="1040" w:left="500" w:right="520"/>
        </w:sectPr>
      </w:pPr>
    </w:p>
    <w:p>
      <w:pPr>
        <w:pStyle w:val="BodyText"/>
        <w:spacing w:before="1"/>
        <w:rPr>
          <w:sz w:val="12"/>
        </w:rPr>
      </w:pPr>
    </w:p>
    <w:p>
      <w:pPr>
        <w:pStyle w:val="ListParagraph"/>
        <w:numPr>
          <w:ilvl w:val="3"/>
          <w:numId w:val="32"/>
        </w:numPr>
        <w:tabs>
          <w:tab w:pos="1085" w:val="left" w:leader="none"/>
        </w:tabs>
        <w:spacing w:line="240" w:lineRule="auto" w:before="106" w:after="0"/>
        <w:ind w:left="1084" w:right="0" w:hanging="865"/>
        <w:jc w:val="both"/>
        <w:rPr>
          <w:i/>
          <w:sz w:val="20"/>
        </w:rPr>
      </w:pPr>
      <w:r>
        <w:rPr>
          <w:i/>
          <w:color w:val="008000"/>
          <w:w w:val="95"/>
          <w:sz w:val="20"/>
        </w:rPr>
        <w:t>Fit-out</w:t>
      </w:r>
      <w:r>
        <w:rPr>
          <w:i/>
          <w:color w:val="008000"/>
          <w:spacing w:val="-1"/>
          <w:w w:val="95"/>
          <w:sz w:val="20"/>
        </w:rPr>
        <w:t> </w:t>
      </w:r>
      <w:r>
        <w:rPr>
          <w:i/>
          <w:color w:val="008000"/>
          <w:w w:val="95"/>
          <w:sz w:val="20"/>
        </w:rPr>
        <w:t>Rent</w:t>
      </w:r>
    </w:p>
    <w:p>
      <w:pPr>
        <w:pStyle w:val="BodyText"/>
        <w:rPr>
          <w:i/>
        </w:rPr>
      </w:pPr>
    </w:p>
    <w:p>
      <w:pPr>
        <w:pStyle w:val="BodyText"/>
        <w:spacing w:line="321" w:lineRule="auto" w:before="1"/>
        <w:ind w:left="782" w:right="194"/>
        <w:jc w:val="both"/>
      </w:pPr>
      <w:r>
        <w:rPr/>
        <w:t>As</w:t>
      </w:r>
      <w:r>
        <w:rPr>
          <w:spacing w:val="-38"/>
        </w:rPr>
        <w:t> </w:t>
      </w:r>
      <w:r>
        <w:rPr/>
        <w:t>per</w:t>
      </w:r>
      <w:r>
        <w:rPr>
          <w:spacing w:val="-36"/>
        </w:rPr>
        <w:t> </w:t>
      </w:r>
      <w:r>
        <w:rPr/>
        <w:t>the</w:t>
      </w:r>
      <w:r>
        <w:rPr>
          <w:spacing w:val="-37"/>
        </w:rPr>
        <w:t> </w:t>
      </w:r>
      <w:r>
        <w:rPr/>
        <w:t>information</w:t>
      </w:r>
      <w:r>
        <w:rPr>
          <w:spacing w:val="-37"/>
        </w:rPr>
        <w:t> </w:t>
      </w:r>
      <w:r>
        <w:rPr/>
        <w:t>(rent</w:t>
      </w:r>
      <w:r>
        <w:rPr>
          <w:spacing w:val="-37"/>
        </w:rPr>
        <w:t> </w:t>
      </w:r>
      <w:r>
        <w:rPr/>
        <w:t>roll)</w:t>
      </w:r>
      <w:r>
        <w:rPr>
          <w:spacing w:val="-36"/>
        </w:rPr>
        <w:t> </w:t>
      </w:r>
      <w:r>
        <w:rPr/>
        <w:t>provided</w:t>
      </w:r>
      <w:r>
        <w:rPr>
          <w:spacing w:val="-36"/>
        </w:rPr>
        <w:t> </w:t>
      </w:r>
      <w:r>
        <w:rPr/>
        <w:t>by</w:t>
      </w:r>
      <w:r>
        <w:rPr>
          <w:spacing w:val="-36"/>
        </w:rPr>
        <w:t> </w:t>
      </w:r>
      <w:r>
        <w:rPr/>
        <w:t>the</w:t>
      </w:r>
      <w:r>
        <w:rPr>
          <w:spacing w:val="-37"/>
        </w:rPr>
        <w:t> </w:t>
      </w:r>
      <w:r>
        <w:rPr/>
        <w:t>Client,</w:t>
      </w:r>
      <w:r>
        <w:rPr>
          <w:spacing w:val="-37"/>
        </w:rPr>
        <w:t> </w:t>
      </w:r>
      <w:r>
        <w:rPr/>
        <w:t>we</w:t>
      </w:r>
      <w:r>
        <w:rPr>
          <w:spacing w:val="-36"/>
        </w:rPr>
        <w:t> </w:t>
      </w:r>
      <w:r>
        <w:rPr/>
        <w:t>understand</w:t>
      </w:r>
      <w:r>
        <w:rPr>
          <w:spacing w:val="-36"/>
        </w:rPr>
        <w:t> </w:t>
      </w:r>
      <w:r>
        <w:rPr/>
        <w:t>that</w:t>
      </w:r>
      <w:r>
        <w:rPr>
          <w:spacing w:val="-36"/>
        </w:rPr>
        <w:t> </w:t>
      </w:r>
      <w:r>
        <w:rPr/>
        <w:t>in</w:t>
      </w:r>
      <w:r>
        <w:rPr>
          <w:spacing w:val="-38"/>
        </w:rPr>
        <w:t> </w:t>
      </w:r>
      <w:r>
        <w:rPr/>
        <w:t>addition</w:t>
      </w:r>
      <w:r>
        <w:rPr>
          <w:spacing w:val="-36"/>
        </w:rPr>
        <w:t> </w:t>
      </w:r>
      <w:r>
        <w:rPr/>
        <w:t>to</w:t>
      </w:r>
      <w:r>
        <w:rPr>
          <w:spacing w:val="-37"/>
        </w:rPr>
        <w:t> </w:t>
      </w:r>
      <w:r>
        <w:rPr/>
        <w:t>the</w:t>
      </w:r>
      <w:r>
        <w:rPr>
          <w:spacing w:val="-37"/>
        </w:rPr>
        <w:t> </w:t>
      </w:r>
      <w:r>
        <w:rPr/>
        <w:t>lease</w:t>
      </w:r>
      <w:r>
        <w:rPr>
          <w:spacing w:val="-37"/>
        </w:rPr>
        <w:t> </w:t>
      </w:r>
      <w:r>
        <w:rPr/>
        <w:t>rent, there</w:t>
      </w:r>
      <w:r>
        <w:rPr>
          <w:spacing w:val="-15"/>
        </w:rPr>
        <w:t> </w:t>
      </w:r>
      <w:r>
        <w:rPr/>
        <w:t>is</w:t>
      </w:r>
      <w:r>
        <w:rPr>
          <w:spacing w:val="-15"/>
        </w:rPr>
        <w:t> </w:t>
      </w:r>
      <w:r>
        <w:rPr/>
        <w:t>rent</w:t>
      </w:r>
      <w:r>
        <w:rPr>
          <w:spacing w:val="-14"/>
        </w:rPr>
        <w:t> </w:t>
      </w:r>
      <w:r>
        <w:rPr/>
        <w:t>towards</w:t>
      </w:r>
      <w:r>
        <w:rPr>
          <w:spacing w:val="-16"/>
        </w:rPr>
        <w:t> </w:t>
      </w:r>
      <w:r>
        <w:rPr/>
        <w:t>fit-outs</w:t>
      </w:r>
      <w:r>
        <w:rPr>
          <w:spacing w:val="-14"/>
        </w:rPr>
        <w:t> </w:t>
      </w:r>
      <w:r>
        <w:rPr/>
        <w:t>for</w:t>
      </w:r>
      <w:r>
        <w:rPr>
          <w:spacing w:val="-14"/>
        </w:rPr>
        <w:t> </w:t>
      </w:r>
      <w:r>
        <w:rPr/>
        <w:t>few</w:t>
      </w:r>
      <w:r>
        <w:rPr>
          <w:spacing w:val="-15"/>
        </w:rPr>
        <w:t> </w:t>
      </w:r>
      <w:r>
        <w:rPr/>
        <w:t>of</w:t>
      </w:r>
      <w:r>
        <w:rPr>
          <w:spacing w:val="-14"/>
        </w:rPr>
        <w:t> </w:t>
      </w:r>
      <w:r>
        <w:rPr/>
        <w:t>the</w:t>
      </w:r>
      <w:r>
        <w:rPr>
          <w:spacing w:val="-15"/>
        </w:rPr>
        <w:t> </w:t>
      </w:r>
      <w:r>
        <w:rPr/>
        <w:t>tenants.</w:t>
      </w:r>
      <w:r>
        <w:rPr>
          <w:spacing w:val="-15"/>
        </w:rPr>
        <w:t> </w:t>
      </w:r>
      <w:r>
        <w:rPr/>
        <w:t>The</w:t>
      </w:r>
      <w:r>
        <w:rPr>
          <w:spacing w:val="-15"/>
        </w:rPr>
        <w:t> </w:t>
      </w:r>
      <w:r>
        <w:rPr/>
        <w:t>rent</w:t>
      </w:r>
      <w:r>
        <w:rPr>
          <w:spacing w:val="-12"/>
        </w:rPr>
        <w:t> </w:t>
      </w:r>
      <w:r>
        <w:rPr/>
        <w:t>is</w:t>
      </w:r>
      <w:r>
        <w:rPr>
          <w:spacing w:val="-14"/>
        </w:rPr>
        <w:t> </w:t>
      </w:r>
      <w:r>
        <w:rPr/>
        <w:t>in</w:t>
      </w:r>
      <w:r>
        <w:rPr>
          <w:spacing w:val="-15"/>
        </w:rPr>
        <w:t> </w:t>
      </w:r>
      <w:r>
        <w:rPr/>
        <w:t>the</w:t>
      </w:r>
      <w:r>
        <w:rPr>
          <w:spacing w:val="-15"/>
        </w:rPr>
        <w:t> </w:t>
      </w:r>
      <w:r>
        <w:rPr/>
        <w:t>range</w:t>
      </w:r>
      <w:r>
        <w:rPr>
          <w:spacing w:val="-15"/>
        </w:rPr>
        <w:t> </w:t>
      </w:r>
      <w:r>
        <w:rPr/>
        <w:t>of</w:t>
      </w:r>
      <w:r>
        <w:rPr>
          <w:spacing w:val="-14"/>
        </w:rPr>
        <w:t> </w:t>
      </w:r>
      <w:r>
        <w:rPr/>
        <w:t>INR</w:t>
      </w:r>
      <w:r>
        <w:rPr>
          <w:spacing w:val="-14"/>
        </w:rPr>
        <w:t> </w:t>
      </w:r>
      <w:r>
        <w:rPr/>
        <w:t>7.0</w:t>
      </w:r>
      <w:r>
        <w:rPr>
          <w:spacing w:val="-16"/>
        </w:rPr>
        <w:t> </w:t>
      </w:r>
      <w:r>
        <w:rPr/>
        <w:t>to</w:t>
      </w:r>
      <w:r>
        <w:rPr>
          <w:spacing w:val="-14"/>
        </w:rPr>
        <w:t> </w:t>
      </w:r>
      <w:r>
        <w:rPr/>
        <w:t>55.0</w:t>
      </w:r>
      <w:r>
        <w:rPr>
          <w:spacing w:val="-15"/>
        </w:rPr>
        <w:t> </w:t>
      </w:r>
      <w:r>
        <w:rPr/>
        <w:t>psf</w:t>
      </w:r>
      <w:r>
        <w:rPr>
          <w:spacing w:val="-15"/>
        </w:rPr>
        <w:t> </w:t>
      </w:r>
      <w:r>
        <w:rPr/>
        <w:t>pm. For</w:t>
      </w:r>
      <w:r>
        <w:rPr>
          <w:spacing w:val="-30"/>
        </w:rPr>
        <w:t> </w:t>
      </w:r>
      <w:r>
        <w:rPr/>
        <w:t>the</w:t>
      </w:r>
      <w:r>
        <w:rPr>
          <w:spacing w:val="-31"/>
        </w:rPr>
        <w:t> </w:t>
      </w:r>
      <w:r>
        <w:rPr/>
        <w:t>purpose</w:t>
      </w:r>
      <w:r>
        <w:rPr>
          <w:spacing w:val="-30"/>
        </w:rPr>
        <w:t> </w:t>
      </w:r>
      <w:r>
        <w:rPr/>
        <w:t>of</w:t>
      </w:r>
      <w:r>
        <w:rPr>
          <w:spacing w:val="-29"/>
        </w:rPr>
        <w:t> </w:t>
      </w:r>
      <w:r>
        <w:rPr/>
        <w:t>this</w:t>
      </w:r>
      <w:r>
        <w:rPr>
          <w:spacing w:val="-30"/>
        </w:rPr>
        <w:t> </w:t>
      </w:r>
      <w:r>
        <w:rPr/>
        <w:t>valuation,</w:t>
      </w:r>
      <w:r>
        <w:rPr>
          <w:spacing w:val="-30"/>
        </w:rPr>
        <w:t> </w:t>
      </w:r>
      <w:r>
        <w:rPr/>
        <w:t>we</w:t>
      </w:r>
      <w:r>
        <w:rPr>
          <w:spacing w:val="-30"/>
        </w:rPr>
        <w:t> </w:t>
      </w:r>
      <w:r>
        <w:rPr/>
        <w:t>have</w:t>
      </w:r>
      <w:r>
        <w:rPr>
          <w:spacing w:val="-30"/>
        </w:rPr>
        <w:t> </w:t>
      </w:r>
      <w:r>
        <w:rPr/>
        <w:t>adopted</w:t>
      </w:r>
      <w:r>
        <w:rPr>
          <w:spacing w:val="-30"/>
        </w:rPr>
        <w:t> </w:t>
      </w:r>
      <w:r>
        <w:rPr/>
        <w:t>the</w:t>
      </w:r>
      <w:r>
        <w:rPr>
          <w:spacing w:val="-30"/>
        </w:rPr>
        <w:t> </w:t>
      </w:r>
      <w:r>
        <w:rPr/>
        <w:t>tenant</w:t>
      </w:r>
      <w:r>
        <w:rPr>
          <w:spacing w:val="-30"/>
        </w:rPr>
        <w:t> </w:t>
      </w:r>
      <w:r>
        <w:rPr/>
        <w:t>wise</w:t>
      </w:r>
      <w:r>
        <w:rPr>
          <w:spacing w:val="-30"/>
        </w:rPr>
        <w:t> </w:t>
      </w:r>
      <w:r>
        <w:rPr/>
        <w:t>fit-out</w:t>
      </w:r>
      <w:r>
        <w:rPr>
          <w:spacing w:val="-31"/>
        </w:rPr>
        <w:t> </w:t>
      </w:r>
      <w:r>
        <w:rPr/>
        <w:t>details</w:t>
      </w:r>
      <w:r>
        <w:rPr>
          <w:spacing w:val="-29"/>
        </w:rPr>
        <w:t> </w:t>
      </w:r>
      <w:r>
        <w:rPr/>
        <w:t>as</w:t>
      </w:r>
      <w:r>
        <w:rPr>
          <w:spacing w:val="-30"/>
        </w:rPr>
        <w:t> </w:t>
      </w:r>
      <w:r>
        <w:rPr/>
        <w:t>provided</w:t>
      </w:r>
      <w:r>
        <w:rPr>
          <w:spacing w:val="-30"/>
        </w:rPr>
        <w:t> </w:t>
      </w:r>
      <w:r>
        <w:rPr/>
        <w:t>in</w:t>
      </w:r>
      <w:r>
        <w:rPr>
          <w:spacing w:val="-30"/>
        </w:rPr>
        <w:t> </w:t>
      </w:r>
      <w:r>
        <w:rPr/>
        <w:t>the</w:t>
      </w:r>
      <w:r>
        <w:rPr>
          <w:spacing w:val="-31"/>
        </w:rPr>
        <w:t> </w:t>
      </w:r>
      <w:r>
        <w:rPr/>
        <w:t>rent roll.</w:t>
      </w:r>
    </w:p>
    <w:p>
      <w:pPr>
        <w:pStyle w:val="BodyText"/>
        <w:spacing w:before="8"/>
        <w:rPr>
          <w:sz w:val="20"/>
        </w:rPr>
      </w:pPr>
    </w:p>
    <w:p>
      <w:pPr>
        <w:pStyle w:val="BodyText"/>
        <w:spacing w:line="321" w:lineRule="auto"/>
        <w:ind w:left="782" w:right="201"/>
        <w:jc w:val="both"/>
      </w:pPr>
      <w:r>
        <w:rPr/>
        <w:t>Moreover,</w:t>
      </w:r>
      <w:r>
        <w:rPr>
          <w:spacing w:val="-22"/>
        </w:rPr>
        <w:t> </w:t>
      </w:r>
      <w:r>
        <w:rPr/>
        <w:t>for</w:t>
      </w:r>
      <w:r>
        <w:rPr>
          <w:spacing w:val="-21"/>
        </w:rPr>
        <w:t> </w:t>
      </w:r>
      <w:r>
        <w:rPr/>
        <w:t>the</w:t>
      </w:r>
      <w:r>
        <w:rPr>
          <w:spacing w:val="-21"/>
        </w:rPr>
        <w:t> </w:t>
      </w:r>
      <w:r>
        <w:rPr/>
        <w:t>under-construction/proposed</w:t>
      </w:r>
      <w:r>
        <w:rPr>
          <w:spacing w:val="-22"/>
        </w:rPr>
        <w:t> </w:t>
      </w:r>
      <w:r>
        <w:rPr/>
        <w:t>blocks,</w:t>
      </w:r>
      <w:r>
        <w:rPr>
          <w:spacing w:val="-21"/>
        </w:rPr>
        <w:t> </w:t>
      </w:r>
      <w:r>
        <w:rPr/>
        <w:t>we</w:t>
      </w:r>
      <w:r>
        <w:rPr>
          <w:spacing w:val="-22"/>
        </w:rPr>
        <w:t> </w:t>
      </w:r>
      <w:r>
        <w:rPr/>
        <w:t>have</w:t>
      </w:r>
      <w:r>
        <w:rPr>
          <w:spacing w:val="-21"/>
        </w:rPr>
        <w:t> </w:t>
      </w:r>
      <w:r>
        <w:rPr/>
        <w:t>assumed</w:t>
      </w:r>
      <w:r>
        <w:rPr>
          <w:spacing w:val="-21"/>
        </w:rPr>
        <w:t> </w:t>
      </w:r>
      <w:r>
        <w:rPr/>
        <w:t>that</w:t>
      </w:r>
      <w:r>
        <w:rPr>
          <w:spacing w:val="-20"/>
        </w:rPr>
        <w:t> </w:t>
      </w:r>
      <w:r>
        <w:rPr/>
        <w:t>the</w:t>
      </w:r>
      <w:r>
        <w:rPr>
          <w:spacing w:val="-22"/>
        </w:rPr>
        <w:t> </w:t>
      </w:r>
      <w:r>
        <w:rPr/>
        <w:t>development</w:t>
      </w:r>
      <w:r>
        <w:rPr>
          <w:spacing w:val="-21"/>
        </w:rPr>
        <w:t> </w:t>
      </w:r>
      <w:r>
        <w:rPr/>
        <w:t>would be</w:t>
      </w:r>
      <w:r>
        <w:rPr>
          <w:spacing w:val="-10"/>
        </w:rPr>
        <w:t> </w:t>
      </w:r>
      <w:r>
        <w:rPr/>
        <w:t>leased</w:t>
      </w:r>
      <w:r>
        <w:rPr>
          <w:spacing w:val="-9"/>
        </w:rPr>
        <w:t> </w:t>
      </w:r>
      <w:r>
        <w:rPr/>
        <w:t>on</w:t>
      </w:r>
      <w:r>
        <w:rPr>
          <w:spacing w:val="-11"/>
        </w:rPr>
        <w:t> </w:t>
      </w:r>
      <w:r>
        <w:rPr/>
        <w:t>warm</w:t>
      </w:r>
      <w:r>
        <w:rPr>
          <w:spacing w:val="-12"/>
        </w:rPr>
        <w:t> </w:t>
      </w:r>
      <w:r>
        <w:rPr/>
        <w:t>shell</w:t>
      </w:r>
      <w:r>
        <w:rPr>
          <w:spacing w:val="-11"/>
        </w:rPr>
        <w:t> </w:t>
      </w:r>
      <w:r>
        <w:rPr/>
        <w:t>specifications</w:t>
      </w:r>
      <w:r>
        <w:rPr>
          <w:spacing w:val="-12"/>
        </w:rPr>
        <w:t> </w:t>
      </w:r>
      <w:r>
        <w:rPr/>
        <w:t>with</w:t>
      </w:r>
      <w:r>
        <w:rPr>
          <w:spacing w:val="-8"/>
        </w:rPr>
        <w:t> </w:t>
      </w:r>
      <w:r>
        <w:rPr/>
        <w:t>no</w:t>
      </w:r>
      <w:r>
        <w:rPr>
          <w:spacing w:val="-10"/>
        </w:rPr>
        <w:t> </w:t>
      </w:r>
      <w:r>
        <w:rPr/>
        <w:t>applicable</w:t>
      </w:r>
      <w:r>
        <w:rPr>
          <w:spacing w:val="-11"/>
        </w:rPr>
        <w:t> </w:t>
      </w:r>
      <w:r>
        <w:rPr/>
        <w:t>fit-out</w:t>
      </w:r>
      <w:r>
        <w:rPr>
          <w:spacing w:val="-10"/>
        </w:rPr>
        <w:t> </w:t>
      </w:r>
      <w:r>
        <w:rPr/>
        <w:t>rent</w:t>
      </w:r>
      <w:r>
        <w:rPr>
          <w:spacing w:val="-10"/>
        </w:rPr>
        <w:t> </w:t>
      </w:r>
      <w:r>
        <w:rPr/>
        <w:t>on</w:t>
      </w:r>
      <w:r>
        <w:rPr>
          <w:spacing w:val="-10"/>
        </w:rPr>
        <w:t> </w:t>
      </w:r>
      <w:r>
        <w:rPr/>
        <w:t>any</w:t>
      </w:r>
      <w:r>
        <w:rPr>
          <w:spacing w:val="-9"/>
        </w:rPr>
        <w:t> </w:t>
      </w:r>
      <w:r>
        <w:rPr/>
        <w:t>lease.</w:t>
      </w:r>
    </w:p>
    <w:p>
      <w:pPr>
        <w:pStyle w:val="BodyText"/>
        <w:spacing w:before="4"/>
        <w:rPr>
          <w:sz w:val="23"/>
        </w:rPr>
      </w:pPr>
    </w:p>
    <w:p>
      <w:pPr>
        <w:pStyle w:val="ListParagraph"/>
        <w:numPr>
          <w:ilvl w:val="3"/>
          <w:numId w:val="32"/>
        </w:numPr>
        <w:tabs>
          <w:tab w:pos="1085" w:val="left" w:leader="none"/>
        </w:tabs>
        <w:spacing w:line="240" w:lineRule="auto" w:before="1" w:after="0"/>
        <w:ind w:left="1084" w:right="0" w:hanging="865"/>
        <w:jc w:val="both"/>
        <w:rPr>
          <w:i/>
          <w:sz w:val="20"/>
        </w:rPr>
      </w:pPr>
      <w:r>
        <w:rPr>
          <w:i/>
          <w:color w:val="008000"/>
          <w:sz w:val="20"/>
        </w:rPr>
        <w:t>Parking</w:t>
      </w:r>
      <w:r>
        <w:rPr>
          <w:i/>
          <w:color w:val="008000"/>
          <w:spacing w:val="-2"/>
          <w:sz w:val="20"/>
        </w:rPr>
        <w:t> </w:t>
      </w:r>
      <w:r>
        <w:rPr>
          <w:i/>
          <w:color w:val="008000"/>
          <w:sz w:val="20"/>
        </w:rPr>
        <w:t>Assumptions</w:t>
      </w:r>
    </w:p>
    <w:p>
      <w:pPr>
        <w:pStyle w:val="BodyText"/>
        <w:spacing w:line="321" w:lineRule="auto" w:before="75"/>
        <w:ind w:left="782" w:right="193"/>
        <w:jc w:val="both"/>
      </w:pPr>
      <w:r>
        <w:rPr/>
        <w:t>Based</w:t>
      </w:r>
      <w:r>
        <w:rPr>
          <w:spacing w:val="-13"/>
        </w:rPr>
        <w:t> </w:t>
      </w:r>
      <w:r>
        <w:rPr/>
        <w:t>on</w:t>
      </w:r>
      <w:r>
        <w:rPr>
          <w:spacing w:val="-15"/>
        </w:rPr>
        <w:t> </w:t>
      </w:r>
      <w:r>
        <w:rPr/>
        <w:t>the</w:t>
      </w:r>
      <w:r>
        <w:rPr>
          <w:spacing w:val="-14"/>
        </w:rPr>
        <w:t> </w:t>
      </w:r>
      <w:r>
        <w:rPr/>
        <w:t>prevailing</w:t>
      </w:r>
      <w:r>
        <w:rPr>
          <w:spacing w:val="-13"/>
        </w:rPr>
        <w:t> </w:t>
      </w:r>
      <w:r>
        <w:rPr/>
        <w:t>car</w:t>
      </w:r>
      <w:r>
        <w:rPr>
          <w:spacing w:val="-14"/>
        </w:rPr>
        <w:t> </w:t>
      </w:r>
      <w:r>
        <w:rPr/>
        <w:t>parking</w:t>
      </w:r>
      <w:r>
        <w:rPr>
          <w:spacing w:val="-13"/>
        </w:rPr>
        <w:t> </w:t>
      </w:r>
      <w:r>
        <w:rPr/>
        <w:t>rate</w:t>
      </w:r>
      <w:r>
        <w:rPr>
          <w:spacing w:val="-12"/>
        </w:rPr>
        <w:t> </w:t>
      </w:r>
      <w:r>
        <w:rPr/>
        <w:t>in</w:t>
      </w:r>
      <w:r>
        <w:rPr>
          <w:spacing w:val="-15"/>
        </w:rPr>
        <w:t> </w:t>
      </w:r>
      <w:r>
        <w:rPr/>
        <w:t>the</w:t>
      </w:r>
      <w:r>
        <w:rPr>
          <w:spacing w:val="-14"/>
        </w:rPr>
        <w:t> </w:t>
      </w:r>
      <w:r>
        <w:rPr/>
        <w:t>subject</w:t>
      </w:r>
      <w:r>
        <w:rPr>
          <w:spacing w:val="-13"/>
        </w:rPr>
        <w:t> </w:t>
      </w:r>
      <w:r>
        <w:rPr/>
        <w:t>development</w:t>
      </w:r>
      <w:r>
        <w:rPr>
          <w:spacing w:val="-13"/>
        </w:rPr>
        <w:t> </w:t>
      </w:r>
      <w:r>
        <w:rPr/>
        <w:t>and</w:t>
      </w:r>
      <w:r>
        <w:rPr>
          <w:spacing w:val="-8"/>
        </w:rPr>
        <w:t> </w:t>
      </w:r>
      <w:r>
        <w:rPr/>
        <w:t>North</w:t>
      </w:r>
      <w:r>
        <w:rPr>
          <w:spacing w:val="-14"/>
        </w:rPr>
        <w:t> </w:t>
      </w:r>
      <w:r>
        <w:rPr/>
        <w:t>Bengaluru</w:t>
      </w:r>
      <w:r>
        <w:rPr>
          <w:spacing w:val="-13"/>
        </w:rPr>
        <w:t> </w:t>
      </w:r>
      <w:r>
        <w:rPr/>
        <w:t>sub</w:t>
      </w:r>
      <w:r>
        <w:rPr>
          <w:spacing w:val="-12"/>
        </w:rPr>
        <w:t> </w:t>
      </w:r>
      <w:r>
        <w:rPr/>
        <w:t>market, we</w:t>
      </w:r>
      <w:r>
        <w:rPr>
          <w:spacing w:val="-7"/>
        </w:rPr>
        <w:t> </w:t>
      </w:r>
      <w:r>
        <w:rPr/>
        <w:t>have</w:t>
      </w:r>
      <w:r>
        <w:rPr>
          <w:spacing w:val="-6"/>
        </w:rPr>
        <w:t> </w:t>
      </w:r>
      <w:r>
        <w:rPr/>
        <w:t>assumed</w:t>
      </w:r>
      <w:r>
        <w:rPr>
          <w:spacing w:val="-5"/>
        </w:rPr>
        <w:t> </w:t>
      </w:r>
      <w:r>
        <w:rPr/>
        <w:t>a</w:t>
      </w:r>
      <w:r>
        <w:rPr>
          <w:spacing w:val="-7"/>
        </w:rPr>
        <w:t> </w:t>
      </w:r>
      <w:r>
        <w:rPr/>
        <w:t>car</w:t>
      </w:r>
      <w:r>
        <w:rPr>
          <w:spacing w:val="-6"/>
        </w:rPr>
        <w:t> </w:t>
      </w:r>
      <w:r>
        <w:rPr/>
        <w:t>park</w:t>
      </w:r>
      <w:r>
        <w:rPr>
          <w:spacing w:val="-8"/>
        </w:rPr>
        <w:t> </w:t>
      </w:r>
      <w:r>
        <w:rPr/>
        <w:t>charge</w:t>
      </w:r>
      <w:r>
        <w:rPr>
          <w:spacing w:val="-6"/>
        </w:rPr>
        <w:t> </w:t>
      </w:r>
      <w:r>
        <w:rPr/>
        <w:t>of</w:t>
      </w:r>
      <w:r>
        <w:rPr>
          <w:spacing w:val="-5"/>
        </w:rPr>
        <w:t> </w:t>
      </w:r>
      <w:r>
        <w:rPr/>
        <w:t>INR</w:t>
      </w:r>
      <w:r>
        <w:rPr>
          <w:spacing w:val="-7"/>
        </w:rPr>
        <w:t> </w:t>
      </w:r>
      <w:r>
        <w:rPr/>
        <w:t>5,000</w:t>
      </w:r>
      <w:r>
        <w:rPr>
          <w:spacing w:val="-6"/>
        </w:rPr>
        <w:t> </w:t>
      </w:r>
      <w:r>
        <w:rPr/>
        <w:t>per</w:t>
      </w:r>
      <w:r>
        <w:rPr>
          <w:spacing w:val="-7"/>
        </w:rPr>
        <w:t> </w:t>
      </w:r>
      <w:r>
        <w:rPr/>
        <w:t>month</w:t>
      </w:r>
      <w:r>
        <w:rPr>
          <w:spacing w:val="-6"/>
        </w:rPr>
        <w:t> </w:t>
      </w:r>
      <w:r>
        <w:rPr/>
        <w:t>per</w:t>
      </w:r>
      <w:r>
        <w:rPr>
          <w:spacing w:val="-9"/>
        </w:rPr>
        <w:t> </w:t>
      </w:r>
      <w:r>
        <w:rPr/>
        <w:t>bay,</w:t>
      </w:r>
      <w:r>
        <w:rPr>
          <w:spacing w:val="-9"/>
        </w:rPr>
        <w:t> </w:t>
      </w:r>
      <w:r>
        <w:rPr/>
        <w:t>with</w:t>
      </w:r>
      <w:r>
        <w:rPr>
          <w:spacing w:val="-9"/>
        </w:rPr>
        <w:t> </w:t>
      </w:r>
      <w:r>
        <w:rPr/>
        <w:t>25.0%</w:t>
      </w:r>
      <w:r>
        <w:rPr>
          <w:spacing w:val="-6"/>
        </w:rPr>
        <w:t> </w:t>
      </w:r>
      <w:r>
        <w:rPr/>
        <w:t>of</w:t>
      </w:r>
      <w:r>
        <w:rPr>
          <w:spacing w:val="-5"/>
        </w:rPr>
        <w:t> </w:t>
      </w:r>
      <w:r>
        <w:rPr/>
        <w:t>car</w:t>
      </w:r>
      <w:r>
        <w:rPr>
          <w:spacing w:val="-7"/>
        </w:rPr>
        <w:t> </w:t>
      </w:r>
      <w:r>
        <w:rPr/>
        <w:t>park</w:t>
      </w:r>
      <w:r>
        <w:rPr>
          <w:spacing w:val="-7"/>
        </w:rPr>
        <w:t> </w:t>
      </w:r>
      <w:r>
        <w:rPr/>
        <w:t>allocated to</w:t>
      </w:r>
      <w:r>
        <w:rPr>
          <w:spacing w:val="-20"/>
        </w:rPr>
        <w:t> </w:t>
      </w:r>
      <w:r>
        <w:rPr/>
        <w:t>a</w:t>
      </w:r>
      <w:r>
        <w:rPr>
          <w:spacing w:val="-20"/>
        </w:rPr>
        <w:t> </w:t>
      </w:r>
      <w:r>
        <w:rPr/>
        <w:t>tenant</w:t>
      </w:r>
      <w:r>
        <w:rPr>
          <w:spacing w:val="-20"/>
        </w:rPr>
        <w:t> </w:t>
      </w:r>
      <w:r>
        <w:rPr/>
        <w:t>to</w:t>
      </w:r>
      <w:r>
        <w:rPr>
          <w:spacing w:val="-22"/>
        </w:rPr>
        <w:t> </w:t>
      </w:r>
      <w:r>
        <w:rPr/>
        <w:t>be</w:t>
      </w:r>
      <w:r>
        <w:rPr>
          <w:spacing w:val="-21"/>
        </w:rPr>
        <w:t> </w:t>
      </w:r>
      <w:r>
        <w:rPr/>
        <w:t>free</w:t>
      </w:r>
      <w:r>
        <w:rPr>
          <w:spacing w:val="-21"/>
        </w:rPr>
        <w:t> </w:t>
      </w:r>
      <w:r>
        <w:rPr/>
        <w:t>of</w:t>
      </w:r>
      <w:r>
        <w:rPr>
          <w:spacing w:val="-21"/>
        </w:rPr>
        <w:t> </w:t>
      </w:r>
      <w:r>
        <w:rPr/>
        <w:t>cost.</w:t>
      </w:r>
      <w:r>
        <w:rPr>
          <w:spacing w:val="-19"/>
        </w:rPr>
        <w:t> </w:t>
      </w:r>
      <w:r>
        <w:rPr/>
        <w:t>Effective</w:t>
      </w:r>
      <w:r>
        <w:rPr>
          <w:spacing w:val="-21"/>
        </w:rPr>
        <w:t> </w:t>
      </w:r>
      <w:r>
        <w:rPr/>
        <w:t>car</w:t>
      </w:r>
      <w:r>
        <w:rPr>
          <w:spacing w:val="-20"/>
        </w:rPr>
        <w:t> </w:t>
      </w:r>
      <w:r>
        <w:rPr/>
        <w:t>parking</w:t>
      </w:r>
      <w:r>
        <w:rPr>
          <w:spacing w:val="-19"/>
        </w:rPr>
        <w:t> </w:t>
      </w:r>
      <w:r>
        <w:rPr/>
        <w:t>charges</w:t>
      </w:r>
      <w:r>
        <w:rPr>
          <w:spacing w:val="-19"/>
        </w:rPr>
        <w:t> </w:t>
      </w:r>
      <w:r>
        <w:rPr/>
        <w:t>adopted</w:t>
      </w:r>
      <w:r>
        <w:rPr>
          <w:spacing w:val="-21"/>
        </w:rPr>
        <w:t> </w:t>
      </w:r>
      <w:r>
        <w:rPr/>
        <w:t>for</w:t>
      </w:r>
      <w:r>
        <w:rPr>
          <w:spacing w:val="-20"/>
        </w:rPr>
        <w:t> </w:t>
      </w:r>
      <w:r>
        <w:rPr/>
        <w:t>the</w:t>
      </w:r>
      <w:r>
        <w:rPr>
          <w:spacing w:val="-20"/>
        </w:rPr>
        <w:t> </w:t>
      </w:r>
      <w:r>
        <w:rPr/>
        <w:t>purpose</w:t>
      </w:r>
      <w:r>
        <w:rPr>
          <w:spacing w:val="-21"/>
        </w:rPr>
        <w:t> </w:t>
      </w:r>
      <w:r>
        <w:rPr/>
        <w:t>of</w:t>
      </w:r>
      <w:r>
        <w:rPr>
          <w:spacing w:val="-21"/>
        </w:rPr>
        <w:t> </w:t>
      </w:r>
      <w:r>
        <w:rPr/>
        <w:t>this</w:t>
      </w:r>
      <w:r>
        <w:rPr>
          <w:spacing w:val="-19"/>
        </w:rPr>
        <w:t> </w:t>
      </w:r>
      <w:r>
        <w:rPr/>
        <w:t>valuation</w:t>
      </w:r>
      <w:r>
        <w:rPr>
          <w:spacing w:val="-20"/>
        </w:rPr>
        <w:t> </w:t>
      </w:r>
      <w:r>
        <w:rPr/>
        <w:t>is INR 3,750 per month per</w:t>
      </w:r>
      <w:r>
        <w:rPr>
          <w:spacing w:val="-10"/>
        </w:rPr>
        <w:t> </w:t>
      </w:r>
      <w:r>
        <w:rPr/>
        <w:t>bay.</w:t>
      </w:r>
    </w:p>
    <w:p>
      <w:pPr>
        <w:pStyle w:val="BodyText"/>
        <w:spacing w:before="3"/>
        <w:rPr>
          <w:sz w:val="23"/>
        </w:rPr>
      </w:pPr>
    </w:p>
    <w:p>
      <w:pPr>
        <w:pStyle w:val="ListParagraph"/>
        <w:numPr>
          <w:ilvl w:val="3"/>
          <w:numId w:val="32"/>
        </w:numPr>
        <w:tabs>
          <w:tab w:pos="1085" w:val="left" w:leader="none"/>
        </w:tabs>
        <w:spacing w:line="240" w:lineRule="auto" w:before="0" w:after="0"/>
        <w:ind w:left="1084" w:right="0" w:hanging="865"/>
        <w:jc w:val="both"/>
        <w:rPr>
          <w:i/>
          <w:sz w:val="20"/>
        </w:rPr>
      </w:pPr>
      <w:r>
        <w:rPr>
          <w:i/>
          <w:color w:val="008000"/>
          <w:sz w:val="20"/>
        </w:rPr>
        <w:t>Other</w:t>
      </w:r>
      <w:r>
        <w:rPr>
          <w:i/>
          <w:color w:val="008000"/>
          <w:spacing w:val="-4"/>
          <w:sz w:val="20"/>
        </w:rPr>
        <w:t> </w:t>
      </w:r>
      <w:r>
        <w:rPr>
          <w:i/>
          <w:color w:val="008000"/>
          <w:sz w:val="20"/>
        </w:rPr>
        <w:t>Revenues</w:t>
      </w:r>
    </w:p>
    <w:p>
      <w:pPr>
        <w:pStyle w:val="BodyText"/>
        <w:spacing w:line="321" w:lineRule="auto" w:before="76"/>
        <w:ind w:left="782" w:right="192"/>
        <w:jc w:val="both"/>
      </w:pPr>
      <w:r>
        <w:rPr/>
        <w:t>In</w:t>
      </w:r>
      <w:r>
        <w:rPr>
          <w:spacing w:val="-50"/>
        </w:rPr>
        <w:t> </w:t>
      </w:r>
      <w:r>
        <w:rPr/>
        <w:t>addition</w:t>
      </w:r>
      <w:r>
        <w:rPr>
          <w:spacing w:val="-50"/>
        </w:rPr>
        <w:t> </w:t>
      </w:r>
      <w:r>
        <w:rPr/>
        <w:t>to</w:t>
      </w:r>
      <w:r>
        <w:rPr>
          <w:spacing w:val="-50"/>
        </w:rPr>
        <w:t> </w:t>
      </w:r>
      <w:r>
        <w:rPr/>
        <w:t>lease</w:t>
      </w:r>
      <w:r>
        <w:rPr>
          <w:spacing w:val="-49"/>
        </w:rPr>
        <w:t> </w:t>
      </w:r>
      <w:r>
        <w:rPr/>
        <w:t>rent</w:t>
      </w:r>
      <w:r>
        <w:rPr>
          <w:spacing w:val="-50"/>
        </w:rPr>
        <w:t> </w:t>
      </w:r>
      <w:r>
        <w:rPr/>
        <w:t>revenues,</w:t>
      </w:r>
      <w:r>
        <w:rPr>
          <w:spacing w:val="-50"/>
        </w:rPr>
        <w:t> </w:t>
      </w:r>
      <w:r>
        <w:rPr/>
        <w:t>office</w:t>
      </w:r>
      <w:r>
        <w:rPr>
          <w:spacing w:val="-49"/>
        </w:rPr>
        <w:t> </w:t>
      </w:r>
      <w:r>
        <w:rPr/>
        <w:t>assets</w:t>
      </w:r>
      <w:r>
        <w:rPr>
          <w:spacing w:val="-48"/>
        </w:rPr>
        <w:t> </w:t>
      </w:r>
      <w:r>
        <w:rPr/>
        <w:t>typically</w:t>
      </w:r>
      <w:r>
        <w:rPr>
          <w:spacing w:val="-49"/>
        </w:rPr>
        <w:t> </w:t>
      </w:r>
      <w:r>
        <w:rPr/>
        <w:t>have</w:t>
      </w:r>
      <w:r>
        <w:rPr>
          <w:spacing w:val="-50"/>
        </w:rPr>
        <w:t> </w:t>
      </w:r>
      <w:r>
        <w:rPr/>
        <w:t>additional</w:t>
      </w:r>
      <w:r>
        <w:rPr>
          <w:spacing w:val="-50"/>
        </w:rPr>
        <w:t> </w:t>
      </w:r>
      <w:r>
        <w:rPr/>
        <w:t>sources</w:t>
      </w:r>
      <w:r>
        <w:rPr>
          <w:spacing w:val="-49"/>
        </w:rPr>
        <w:t> </w:t>
      </w:r>
      <w:r>
        <w:rPr/>
        <w:t>of</w:t>
      </w:r>
      <w:r>
        <w:rPr>
          <w:spacing w:val="-49"/>
        </w:rPr>
        <w:t> </w:t>
      </w:r>
      <w:r>
        <w:rPr/>
        <w:t>revenue.</w:t>
      </w:r>
      <w:r>
        <w:rPr>
          <w:spacing w:val="-50"/>
        </w:rPr>
        <w:t> </w:t>
      </w:r>
      <w:r>
        <w:rPr/>
        <w:t>These</w:t>
      </w:r>
      <w:r>
        <w:rPr>
          <w:spacing w:val="-50"/>
        </w:rPr>
        <w:t> </w:t>
      </w:r>
      <w:r>
        <w:rPr/>
        <w:t>include revenues</w:t>
      </w:r>
      <w:r>
        <w:rPr>
          <w:spacing w:val="-38"/>
        </w:rPr>
        <w:t> </w:t>
      </w:r>
      <w:r>
        <w:rPr/>
        <w:t>on</w:t>
      </w:r>
      <w:r>
        <w:rPr>
          <w:spacing w:val="-38"/>
        </w:rPr>
        <w:t> </w:t>
      </w:r>
      <w:r>
        <w:rPr/>
        <w:t>account</w:t>
      </w:r>
      <w:r>
        <w:rPr>
          <w:spacing w:val="-38"/>
        </w:rPr>
        <w:t> </w:t>
      </w:r>
      <w:r>
        <w:rPr/>
        <w:t>of</w:t>
      </w:r>
      <w:r>
        <w:rPr>
          <w:spacing w:val="-38"/>
        </w:rPr>
        <w:t> </w:t>
      </w:r>
      <w:r>
        <w:rPr/>
        <w:t>security</w:t>
      </w:r>
      <w:r>
        <w:rPr>
          <w:spacing w:val="-37"/>
        </w:rPr>
        <w:t> </w:t>
      </w:r>
      <w:r>
        <w:rPr/>
        <w:t>deposit</w:t>
      </w:r>
      <w:r>
        <w:rPr>
          <w:spacing w:val="-39"/>
        </w:rPr>
        <w:t> </w:t>
      </w:r>
      <w:r>
        <w:rPr/>
        <w:t>(refunded</w:t>
      </w:r>
      <w:r>
        <w:rPr>
          <w:spacing w:val="-38"/>
        </w:rPr>
        <w:t> </w:t>
      </w:r>
      <w:r>
        <w:rPr/>
        <w:t>at</w:t>
      </w:r>
      <w:r>
        <w:rPr>
          <w:spacing w:val="-37"/>
        </w:rPr>
        <w:t> </w:t>
      </w:r>
      <w:r>
        <w:rPr/>
        <w:t>the</w:t>
      </w:r>
      <w:r>
        <w:rPr>
          <w:spacing w:val="-39"/>
        </w:rPr>
        <w:t> </w:t>
      </w:r>
      <w:r>
        <w:rPr/>
        <w:t>time</w:t>
      </w:r>
      <w:r>
        <w:rPr>
          <w:spacing w:val="-38"/>
        </w:rPr>
        <w:t> </w:t>
      </w:r>
      <w:r>
        <w:rPr/>
        <w:t>of</w:t>
      </w:r>
      <w:r>
        <w:rPr>
          <w:spacing w:val="-37"/>
        </w:rPr>
        <w:t> </w:t>
      </w:r>
      <w:r>
        <w:rPr/>
        <w:t>lease</w:t>
      </w:r>
      <w:r>
        <w:rPr>
          <w:spacing w:val="-39"/>
        </w:rPr>
        <w:t> </w:t>
      </w:r>
      <w:r>
        <w:rPr/>
        <w:t>expiry</w:t>
      </w:r>
      <w:r>
        <w:rPr>
          <w:spacing w:val="-37"/>
        </w:rPr>
        <w:t> </w:t>
      </w:r>
      <w:r>
        <w:rPr/>
        <w:t>/</w:t>
      </w:r>
      <w:r>
        <w:rPr>
          <w:spacing w:val="-39"/>
        </w:rPr>
        <w:t> </w:t>
      </w:r>
      <w:r>
        <w:rPr/>
        <w:t>exit),</w:t>
      </w:r>
      <w:r>
        <w:rPr>
          <w:spacing w:val="-38"/>
        </w:rPr>
        <w:t> </w:t>
      </w:r>
      <w:r>
        <w:rPr/>
        <w:t>other</w:t>
      </w:r>
      <w:r>
        <w:rPr>
          <w:spacing w:val="-38"/>
        </w:rPr>
        <w:t> </w:t>
      </w:r>
      <w:r>
        <w:rPr/>
        <w:t>miscellaneous income</w:t>
      </w:r>
      <w:r>
        <w:rPr>
          <w:spacing w:val="-8"/>
        </w:rPr>
        <w:t> </w:t>
      </w:r>
      <w:r>
        <w:rPr/>
        <w:t>(such</w:t>
      </w:r>
      <w:r>
        <w:rPr>
          <w:spacing w:val="-9"/>
        </w:rPr>
        <w:t> </w:t>
      </w:r>
      <w:r>
        <w:rPr/>
        <w:t>as</w:t>
      </w:r>
      <w:r>
        <w:rPr>
          <w:spacing w:val="-6"/>
        </w:rPr>
        <w:t> </w:t>
      </w:r>
      <w:r>
        <w:rPr/>
        <w:t>cell</w:t>
      </w:r>
      <w:r>
        <w:rPr>
          <w:spacing w:val="-9"/>
        </w:rPr>
        <w:t> </w:t>
      </w:r>
      <w:r>
        <w:rPr/>
        <w:t>sites,</w:t>
      </w:r>
      <w:r>
        <w:rPr>
          <w:spacing w:val="-9"/>
        </w:rPr>
        <w:t> </w:t>
      </w:r>
      <w:r>
        <w:rPr/>
        <w:t>retail</w:t>
      </w:r>
      <w:r>
        <w:rPr>
          <w:spacing w:val="-9"/>
        </w:rPr>
        <w:t> </w:t>
      </w:r>
      <w:r>
        <w:rPr/>
        <w:t>areas,</w:t>
      </w:r>
      <w:r>
        <w:rPr>
          <w:spacing w:val="-8"/>
        </w:rPr>
        <w:t> </w:t>
      </w:r>
      <w:r>
        <w:rPr/>
        <w:t>food</w:t>
      </w:r>
      <w:r>
        <w:rPr>
          <w:spacing w:val="-6"/>
        </w:rPr>
        <w:t> </w:t>
      </w:r>
      <w:r>
        <w:rPr/>
        <w:t>court,</w:t>
      </w:r>
      <w:r>
        <w:rPr>
          <w:spacing w:val="-8"/>
        </w:rPr>
        <w:t> </w:t>
      </w:r>
      <w:r>
        <w:rPr/>
        <w:t>etc.),</w:t>
      </w:r>
      <w:r>
        <w:rPr>
          <w:spacing w:val="-7"/>
        </w:rPr>
        <w:t> </w:t>
      </w:r>
      <w:r>
        <w:rPr/>
        <w:t>etc.</w:t>
      </w:r>
    </w:p>
    <w:p>
      <w:pPr>
        <w:pStyle w:val="BodyText"/>
        <w:spacing w:before="11"/>
        <w:rPr>
          <w:sz w:val="20"/>
        </w:rPr>
      </w:pPr>
    </w:p>
    <w:p>
      <w:pPr>
        <w:pStyle w:val="BodyText"/>
        <w:spacing w:line="321" w:lineRule="auto"/>
        <w:ind w:left="782" w:right="196"/>
        <w:jc w:val="both"/>
      </w:pPr>
      <w:r>
        <w:rPr/>
        <w:t>Additionally,</w:t>
      </w:r>
      <w:r>
        <w:rPr>
          <w:spacing w:val="-36"/>
        </w:rPr>
        <w:t> </w:t>
      </w:r>
      <w:r>
        <w:rPr/>
        <w:t>we</w:t>
      </w:r>
      <w:r>
        <w:rPr>
          <w:spacing w:val="-37"/>
        </w:rPr>
        <w:t> </w:t>
      </w:r>
      <w:r>
        <w:rPr/>
        <w:t>understand</w:t>
      </w:r>
      <w:r>
        <w:rPr>
          <w:spacing w:val="-36"/>
        </w:rPr>
        <w:t> </w:t>
      </w:r>
      <w:r>
        <w:rPr/>
        <w:t>that</w:t>
      </w:r>
      <w:r>
        <w:rPr>
          <w:spacing w:val="-36"/>
        </w:rPr>
        <w:t> </w:t>
      </w:r>
      <w:r>
        <w:rPr/>
        <w:t>the</w:t>
      </w:r>
      <w:r>
        <w:rPr>
          <w:spacing w:val="-37"/>
        </w:rPr>
        <w:t> </w:t>
      </w:r>
      <w:r>
        <w:rPr/>
        <w:t>CAM</w:t>
      </w:r>
      <w:r>
        <w:rPr>
          <w:spacing w:val="-36"/>
        </w:rPr>
        <w:t> </w:t>
      </w:r>
      <w:r>
        <w:rPr/>
        <w:t>is</w:t>
      </w:r>
      <w:r>
        <w:rPr>
          <w:spacing w:val="-36"/>
        </w:rPr>
        <w:t> </w:t>
      </w:r>
      <w:r>
        <w:rPr/>
        <w:t>being</w:t>
      </w:r>
      <w:r>
        <w:rPr>
          <w:spacing w:val="-36"/>
        </w:rPr>
        <w:t> </w:t>
      </w:r>
      <w:r>
        <w:rPr/>
        <w:t>charged</w:t>
      </w:r>
      <w:r>
        <w:rPr>
          <w:spacing w:val="-36"/>
        </w:rPr>
        <w:t> </w:t>
      </w:r>
      <w:r>
        <w:rPr/>
        <w:t>by</w:t>
      </w:r>
      <w:r>
        <w:rPr>
          <w:spacing w:val="-36"/>
        </w:rPr>
        <w:t> </w:t>
      </w:r>
      <w:r>
        <w:rPr/>
        <w:t>an</w:t>
      </w:r>
      <w:r>
        <w:rPr>
          <w:spacing w:val="-34"/>
        </w:rPr>
        <w:t> </w:t>
      </w:r>
      <w:r>
        <w:rPr/>
        <w:t>agency</w:t>
      </w:r>
      <w:r>
        <w:rPr>
          <w:spacing w:val="-35"/>
        </w:rPr>
        <w:t> </w:t>
      </w:r>
      <w:r>
        <w:rPr/>
        <w:t>which</w:t>
      </w:r>
      <w:r>
        <w:rPr>
          <w:spacing w:val="-37"/>
        </w:rPr>
        <w:t> </w:t>
      </w:r>
      <w:r>
        <w:rPr/>
        <w:t>is</w:t>
      </w:r>
      <w:r>
        <w:rPr>
          <w:spacing w:val="-36"/>
        </w:rPr>
        <w:t> </w:t>
      </w:r>
      <w:r>
        <w:rPr/>
        <w:t>external</w:t>
      </w:r>
      <w:r>
        <w:rPr>
          <w:spacing w:val="-37"/>
        </w:rPr>
        <w:t> </w:t>
      </w:r>
      <w:r>
        <w:rPr/>
        <w:t>to</w:t>
      </w:r>
      <w:r>
        <w:rPr>
          <w:spacing w:val="-35"/>
        </w:rPr>
        <w:t> </w:t>
      </w:r>
      <w:r>
        <w:rPr/>
        <w:t>the</w:t>
      </w:r>
      <w:r>
        <w:rPr>
          <w:spacing w:val="-37"/>
        </w:rPr>
        <w:t> </w:t>
      </w:r>
      <w:r>
        <w:rPr/>
        <w:t>interests of Embassy Office Parks REIT, hence we have not considered any margin on CAM during the holding period.</w:t>
      </w:r>
      <w:r>
        <w:rPr>
          <w:spacing w:val="-23"/>
        </w:rPr>
        <w:t> </w:t>
      </w:r>
      <w:r>
        <w:rPr/>
        <w:t>However,</w:t>
      </w:r>
      <w:r>
        <w:rPr>
          <w:spacing w:val="-22"/>
        </w:rPr>
        <w:t> </w:t>
      </w:r>
      <w:r>
        <w:rPr/>
        <w:t>at</w:t>
      </w:r>
      <w:r>
        <w:rPr>
          <w:spacing w:val="-22"/>
        </w:rPr>
        <w:t> </w:t>
      </w:r>
      <w:r>
        <w:rPr/>
        <w:t>the</w:t>
      </w:r>
      <w:r>
        <w:rPr>
          <w:spacing w:val="-21"/>
        </w:rPr>
        <w:t> </w:t>
      </w:r>
      <w:r>
        <w:rPr/>
        <w:t>time</w:t>
      </w:r>
      <w:r>
        <w:rPr>
          <w:spacing w:val="-22"/>
        </w:rPr>
        <w:t> </w:t>
      </w:r>
      <w:r>
        <w:rPr/>
        <w:t>of</w:t>
      </w:r>
      <w:r>
        <w:rPr>
          <w:spacing w:val="-22"/>
        </w:rPr>
        <w:t> </w:t>
      </w:r>
      <w:r>
        <w:rPr/>
        <w:t>notional</w:t>
      </w:r>
      <w:r>
        <w:rPr>
          <w:spacing w:val="-20"/>
        </w:rPr>
        <w:t> </w:t>
      </w:r>
      <w:r>
        <w:rPr/>
        <w:t>exit,</w:t>
      </w:r>
      <w:r>
        <w:rPr>
          <w:spacing w:val="-23"/>
        </w:rPr>
        <w:t> </w:t>
      </w:r>
      <w:r>
        <w:rPr/>
        <w:t>margin</w:t>
      </w:r>
      <w:r>
        <w:rPr>
          <w:spacing w:val="-23"/>
        </w:rPr>
        <w:t> </w:t>
      </w:r>
      <w:r>
        <w:rPr/>
        <w:t>of</w:t>
      </w:r>
      <w:r>
        <w:rPr>
          <w:spacing w:val="-21"/>
        </w:rPr>
        <w:t> </w:t>
      </w:r>
      <w:r>
        <w:rPr/>
        <w:t>CAM</w:t>
      </w:r>
      <w:r>
        <w:rPr>
          <w:spacing w:val="-22"/>
        </w:rPr>
        <w:t> </w:t>
      </w:r>
      <w:r>
        <w:rPr/>
        <w:t>is</w:t>
      </w:r>
      <w:r>
        <w:rPr>
          <w:spacing w:val="-22"/>
        </w:rPr>
        <w:t> </w:t>
      </w:r>
      <w:r>
        <w:rPr/>
        <w:t>included</w:t>
      </w:r>
      <w:r>
        <w:rPr>
          <w:spacing w:val="-21"/>
        </w:rPr>
        <w:t> </w:t>
      </w:r>
      <w:r>
        <w:rPr/>
        <w:t>in</w:t>
      </w:r>
      <w:r>
        <w:rPr>
          <w:spacing w:val="-23"/>
        </w:rPr>
        <w:t> </w:t>
      </w:r>
      <w:r>
        <w:rPr/>
        <w:t>the</w:t>
      </w:r>
      <w:r>
        <w:rPr>
          <w:spacing w:val="-23"/>
        </w:rPr>
        <w:t> </w:t>
      </w:r>
      <w:r>
        <w:rPr/>
        <w:t>financials</w:t>
      </w:r>
      <w:r>
        <w:rPr>
          <w:spacing w:val="-22"/>
        </w:rPr>
        <w:t> </w:t>
      </w:r>
      <w:r>
        <w:rPr/>
        <w:t>as</w:t>
      </w:r>
      <w:r>
        <w:rPr>
          <w:spacing w:val="-21"/>
        </w:rPr>
        <w:t> </w:t>
      </w:r>
      <w:r>
        <w:rPr/>
        <w:t>per</w:t>
      </w:r>
      <w:r>
        <w:rPr>
          <w:spacing w:val="-22"/>
        </w:rPr>
        <w:t> </w:t>
      </w:r>
      <w:r>
        <w:rPr/>
        <w:t>market benchmarks (i.e. INR 11.0 psf pm CAM and 15.0% margin on</w:t>
      </w:r>
      <w:r>
        <w:rPr>
          <w:spacing w:val="-2"/>
        </w:rPr>
        <w:t> </w:t>
      </w:r>
      <w:r>
        <w:rPr/>
        <w:t>CAM).</w:t>
      </w:r>
    </w:p>
    <w:p>
      <w:pPr>
        <w:pStyle w:val="BodyText"/>
        <w:spacing w:before="9"/>
        <w:rPr>
          <w:sz w:val="20"/>
        </w:rPr>
      </w:pPr>
    </w:p>
    <w:p>
      <w:pPr>
        <w:pStyle w:val="BodyText"/>
        <w:spacing w:line="321" w:lineRule="auto"/>
        <w:ind w:left="782" w:right="193"/>
        <w:jc w:val="both"/>
      </w:pPr>
      <w:r>
        <w:rPr/>
        <w:t>The assumptions considered for the aforementioned revenue heads for the purpose of this valuation exercise are based on the rent roll &amp; lease deeds provided by the Client. The same has been cross- checked with the prevailing market norms for other revenues and were found to be broadly in line.</w:t>
      </w:r>
    </w:p>
    <w:p>
      <w:pPr>
        <w:pStyle w:val="BodyText"/>
        <w:spacing w:before="11"/>
        <w:rPr>
          <w:sz w:val="20"/>
        </w:rPr>
      </w:pPr>
    </w:p>
    <w:p>
      <w:pPr>
        <w:pStyle w:val="BodyText"/>
        <w:ind w:left="782"/>
        <w:jc w:val="both"/>
      </w:pPr>
      <w:r>
        <w:rPr/>
        <w:t>The assumptions adopted for other revenues are as tabulated below:</w:t>
      </w:r>
    </w:p>
    <w:p>
      <w:pPr>
        <w:pStyle w:val="BodyText"/>
        <w:spacing w:before="9" w:after="1"/>
        <w:rPr>
          <w:sz w:val="27"/>
        </w:rPr>
      </w:pPr>
    </w:p>
    <w:tbl>
      <w:tblPr>
        <w:tblCellSpacing w:w="27" w:type="dxa"/>
        <w:tblW w:w="0" w:type="auto"/>
        <w:jc w:val="left"/>
        <w:tblInd w:w="27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3"/>
        <w:gridCol w:w="3491"/>
        <w:gridCol w:w="3460"/>
      </w:tblGrid>
      <w:tr>
        <w:trPr>
          <w:trHeight w:val="160" w:hRule="atLeast"/>
        </w:trPr>
        <w:tc>
          <w:tcPr>
            <w:tcW w:w="3463" w:type="dxa"/>
            <w:tcBorders>
              <w:left w:val="nil"/>
              <w:right w:val="nil"/>
            </w:tcBorders>
            <w:shd w:val="clear" w:color="auto" w:fill="006A4D"/>
          </w:tcPr>
          <w:p>
            <w:pPr>
              <w:pStyle w:val="TableParagraph"/>
              <w:spacing w:line="192" w:lineRule="exact" w:before="3"/>
              <w:ind w:left="931"/>
              <w:jc w:val="left"/>
              <w:rPr>
                <w:b/>
                <w:sz w:val="18"/>
              </w:rPr>
            </w:pPr>
            <w:r>
              <w:rPr>
                <w:b/>
                <w:color w:val="FFFFFF"/>
                <w:w w:val="105"/>
                <w:sz w:val="18"/>
              </w:rPr>
              <w:t>Nature of Income</w:t>
            </w:r>
          </w:p>
        </w:tc>
        <w:tc>
          <w:tcPr>
            <w:tcW w:w="3491" w:type="dxa"/>
            <w:tcBorders>
              <w:left w:val="nil"/>
              <w:right w:val="nil"/>
            </w:tcBorders>
            <w:shd w:val="clear" w:color="auto" w:fill="006A4D"/>
          </w:tcPr>
          <w:p>
            <w:pPr>
              <w:pStyle w:val="TableParagraph"/>
              <w:spacing w:line="192" w:lineRule="exact" w:before="3"/>
              <w:ind w:left="1240" w:right="1229"/>
              <w:rPr>
                <w:b/>
                <w:sz w:val="18"/>
              </w:rPr>
            </w:pPr>
            <w:r>
              <w:rPr>
                <w:b/>
                <w:color w:val="FFFFFF"/>
                <w:w w:val="110"/>
                <w:sz w:val="18"/>
              </w:rPr>
              <w:t>Details</w:t>
            </w:r>
          </w:p>
        </w:tc>
        <w:tc>
          <w:tcPr>
            <w:tcW w:w="3460" w:type="dxa"/>
            <w:tcBorders>
              <w:left w:val="nil"/>
              <w:right w:val="nil"/>
            </w:tcBorders>
            <w:shd w:val="clear" w:color="auto" w:fill="006A4D"/>
          </w:tcPr>
          <w:p>
            <w:pPr>
              <w:pStyle w:val="TableParagraph"/>
              <w:spacing w:line="192" w:lineRule="exact" w:before="3"/>
              <w:ind w:left="1455" w:right="1444"/>
              <w:rPr>
                <w:b/>
                <w:sz w:val="18"/>
              </w:rPr>
            </w:pPr>
            <w:r>
              <w:rPr>
                <w:b/>
                <w:color w:val="FFFFFF"/>
                <w:w w:val="105"/>
                <w:sz w:val="18"/>
              </w:rPr>
              <w:t>Units</w:t>
            </w:r>
          </w:p>
        </w:tc>
      </w:tr>
    </w:tbl>
    <w:p>
      <w:pPr>
        <w:spacing w:after="0" w:line="192" w:lineRule="exact"/>
        <w:rPr>
          <w:sz w:val="18"/>
        </w:rPr>
        <w:sectPr>
          <w:pgSz w:w="11910" w:h="16840"/>
          <w:pgMar w:header="720" w:footer="842" w:top="1660" w:bottom="1040" w:left="500" w:right="520"/>
        </w:sectPr>
      </w:pPr>
    </w:p>
    <w:p>
      <w:pPr>
        <w:spacing w:line="247" w:lineRule="auto" w:before="63"/>
        <w:ind w:left="1775" w:right="32" w:hanging="1383"/>
        <w:jc w:val="left"/>
        <w:rPr>
          <w:sz w:val="18"/>
        </w:rPr>
      </w:pPr>
      <w:r>
        <w:rPr>
          <w:sz w:val="18"/>
        </w:rPr>
        <w:t>Miscellaneous</w:t>
      </w:r>
      <w:r>
        <w:rPr>
          <w:spacing w:val="-24"/>
          <w:sz w:val="18"/>
        </w:rPr>
        <w:t> </w:t>
      </w:r>
      <w:r>
        <w:rPr>
          <w:sz w:val="18"/>
        </w:rPr>
        <w:t>Income</w:t>
      </w:r>
      <w:r>
        <w:rPr>
          <w:spacing w:val="-23"/>
          <w:sz w:val="18"/>
        </w:rPr>
        <w:t> </w:t>
      </w:r>
      <w:r>
        <w:rPr>
          <w:sz w:val="18"/>
        </w:rPr>
        <w:t>(Income</w:t>
      </w:r>
      <w:r>
        <w:rPr>
          <w:spacing w:val="-24"/>
          <w:sz w:val="18"/>
        </w:rPr>
        <w:t> </w:t>
      </w:r>
      <w:r>
        <w:rPr>
          <w:sz w:val="18"/>
        </w:rPr>
        <w:t>from</w:t>
      </w:r>
      <w:r>
        <w:rPr>
          <w:spacing w:val="-23"/>
          <w:sz w:val="18"/>
        </w:rPr>
        <w:t> </w:t>
      </w:r>
      <w:r>
        <w:rPr>
          <w:sz w:val="18"/>
        </w:rPr>
        <w:t>cell sites)</w:t>
      </w:r>
    </w:p>
    <w:p>
      <w:pPr>
        <w:spacing w:before="44"/>
        <w:ind w:left="374" w:right="24" w:firstLine="0"/>
        <w:jc w:val="center"/>
        <w:rPr>
          <w:sz w:val="18"/>
        </w:rPr>
      </w:pPr>
      <w:r>
        <w:rPr/>
        <w:br w:type="column"/>
      </w:r>
      <w:r>
        <w:rPr>
          <w:w w:val="110"/>
          <w:sz w:val="18"/>
        </w:rPr>
        <w:t>1.10%</w:t>
      </w:r>
    </w:p>
    <w:p>
      <w:pPr>
        <w:spacing w:before="46"/>
        <w:ind w:left="376" w:right="24" w:firstLine="0"/>
        <w:jc w:val="center"/>
        <w:rPr>
          <w:sz w:val="18"/>
        </w:rPr>
      </w:pPr>
      <w:r>
        <w:rPr>
          <w:sz w:val="18"/>
        </w:rPr>
        <w:t>(INR 85.4 mn)</w:t>
      </w:r>
    </w:p>
    <w:p>
      <w:pPr>
        <w:spacing w:before="171"/>
        <w:ind w:left="392" w:right="0" w:firstLine="0"/>
        <w:jc w:val="left"/>
        <w:rPr>
          <w:sz w:val="18"/>
        </w:rPr>
      </w:pPr>
      <w:r>
        <w:rPr/>
        <w:br w:type="column"/>
      </w:r>
      <w:r>
        <w:rPr>
          <w:sz w:val="18"/>
        </w:rPr>
        <w:t>% of gross rental income</w:t>
      </w:r>
    </w:p>
    <w:p>
      <w:pPr>
        <w:spacing w:after="0"/>
        <w:jc w:val="left"/>
        <w:rPr>
          <w:sz w:val="18"/>
        </w:rPr>
        <w:sectPr>
          <w:type w:val="continuous"/>
          <w:pgSz w:w="11910" w:h="16840"/>
          <w:pgMar w:top="800" w:bottom="280" w:left="500" w:right="520"/>
          <w:cols w:num="3" w:equalWidth="0">
            <w:col w:w="3577" w:space="929"/>
            <w:col w:w="1548" w:space="1529"/>
            <w:col w:w="3307"/>
          </w:cols>
        </w:sectPr>
      </w:pPr>
    </w:p>
    <w:p>
      <w:pPr>
        <w:pStyle w:val="BodyText"/>
        <w:spacing w:before="9"/>
        <w:rPr>
          <w:sz w:val="3"/>
        </w:rPr>
      </w:pPr>
    </w:p>
    <w:p>
      <w:pPr>
        <w:pStyle w:val="BodyText"/>
        <w:spacing w:line="20" w:lineRule="exact"/>
        <w:ind w:left="220"/>
        <w:rPr>
          <w:sz w:val="2"/>
        </w:rPr>
      </w:pPr>
      <w:r>
        <w:rPr>
          <w:sz w:val="2"/>
        </w:rPr>
        <w:pict>
          <v:group style="width:523.6pt;height:.75pt;mso-position-horizontal-relative:char;mso-position-vertical-relative:line" coordorigin="0,0" coordsize="10472,15">
            <v:rect style="position:absolute;left:0;top:0;width:10472;height:15" filled="true" fillcolor="#69bd28" stroked="false">
              <v:fill type="solid"/>
            </v:rect>
          </v:group>
        </w:pict>
      </w:r>
      <w:r>
        <w:rPr>
          <w:sz w:val="2"/>
        </w:rPr>
      </w:r>
    </w:p>
    <w:p>
      <w:pPr>
        <w:tabs>
          <w:tab w:pos="5088" w:val="left" w:leader="none"/>
          <w:tab w:pos="7685" w:val="left" w:leader="none"/>
        </w:tabs>
        <w:spacing w:before="39"/>
        <w:ind w:left="837" w:right="0" w:firstLine="0"/>
        <w:jc w:val="left"/>
        <w:rPr>
          <w:sz w:val="18"/>
        </w:rPr>
      </w:pPr>
      <w:r>
        <w:rPr/>
        <w:pict>
          <v:rect style="position:absolute;margin-left:36pt;margin-top:14.481679pt;width:523.560025pt;height:.719pt;mso-position-horizontal-relative:page;mso-position-vertical-relative:paragraph;z-index:15933440" filled="true" fillcolor="#69bd28" stroked="false">
            <v:fill type="solid"/>
            <w10:wrap type="none"/>
          </v:rect>
        </w:pict>
      </w:r>
      <w:r>
        <w:rPr>
          <w:sz w:val="18"/>
        </w:rPr>
        <w:t>Warm shell</w:t>
      </w:r>
      <w:r>
        <w:rPr>
          <w:spacing w:val="-35"/>
          <w:sz w:val="18"/>
        </w:rPr>
        <w:t> </w:t>
      </w:r>
      <w:r>
        <w:rPr>
          <w:sz w:val="18"/>
        </w:rPr>
        <w:t>Security</w:t>
      </w:r>
      <w:r>
        <w:rPr>
          <w:spacing w:val="-18"/>
          <w:sz w:val="18"/>
        </w:rPr>
        <w:t> </w:t>
      </w:r>
      <w:r>
        <w:rPr>
          <w:sz w:val="18"/>
        </w:rPr>
        <w:t>Deposit*</w:t>
        <w:tab/>
        <w:t>6</w:t>
      </w:r>
      <w:r>
        <w:rPr>
          <w:spacing w:val="-2"/>
          <w:sz w:val="18"/>
        </w:rPr>
        <w:t> </w:t>
      </w:r>
      <w:r>
        <w:rPr>
          <w:sz w:val="18"/>
        </w:rPr>
        <w:t>months</w:t>
        <w:tab/>
        <w:t>No. of months’ warm shell</w:t>
      </w:r>
      <w:r>
        <w:rPr>
          <w:spacing w:val="-35"/>
          <w:sz w:val="18"/>
        </w:rPr>
        <w:t> </w:t>
      </w:r>
      <w:r>
        <w:rPr>
          <w:sz w:val="18"/>
        </w:rPr>
        <w:t>rental</w:t>
      </w:r>
    </w:p>
    <w:p>
      <w:pPr>
        <w:spacing w:after="0"/>
        <w:jc w:val="left"/>
        <w:rPr>
          <w:sz w:val="18"/>
        </w:rPr>
        <w:sectPr>
          <w:type w:val="continuous"/>
          <w:pgSz w:w="11910" w:h="16840"/>
          <w:pgMar w:top="800" w:bottom="280" w:left="500" w:right="520"/>
        </w:sectPr>
      </w:pPr>
    </w:p>
    <w:p>
      <w:pPr>
        <w:spacing w:line="247" w:lineRule="auto" w:before="100"/>
        <w:ind w:left="1346" w:right="10" w:hanging="791"/>
        <w:jc w:val="left"/>
        <w:rPr>
          <w:sz w:val="18"/>
        </w:rPr>
      </w:pPr>
      <w:r>
        <w:rPr>
          <w:sz w:val="18"/>
        </w:rPr>
        <w:t>Parking Income (For vacant and UC </w:t>
      </w:r>
      <w:r>
        <w:rPr>
          <w:w w:val="98"/>
          <w:sz w:val="18"/>
        </w:rPr>
        <w:t>de</w:t>
      </w:r>
      <w:r>
        <w:rPr>
          <w:w w:val="91"/>
          <w:sz w:val="18"/>
        </w:rPr>
        <w:t>v</w:t>
      </w:r>
      <w:r>
        <w:rPr>
          <w:w w:val="94"/>
          <w:sz w:val="18"/>
        </w:rPr>
        <w:t>e</w:t>
      </w:r>
      <w:r>
        <w:rPr>
          <w:w w:val="97"/>
          <w:sz w:val="18"/>
        </w:rPr>
        <w:t>lo</w:t>
      </w:r>
      <w:r>
        <w:rPr>
          <w:w w:val="102"/>
          <w:sz w:val="18"/>
        </w:rPr>
        <w:t>pm</w:t>
      </w:r>
      <w:r>
        <w:rPr>
          <w:w w:val="94"/>
          <w:sz w:val="18"/>
        </w:rPr>
        <w:t>e</w:t>
      </w:r>
      <w:r>
        <w:rPr>
          <w:w w:val="101"/>
          <w:sz w:val="18"/>
        </w:rPr>
        <w:t>n</w:t>
      </w:r>
      <w:r>
        <w:rPr>
          <w:w w:val="65"/>
          <w:sz w:val="18"/>
        </w:rPr>
        <w:t>t</w:t>
      </w:r>
      <w:r>
        <w:rPr>
          <w:w w:val="78"/>
          <w:sz w:val="18"/>
        </w:rPr>
        <w:t>)</w:t>
      </w:r>
      <w:r>
        <w:rPr>
          <w:w w:val="190"/>
          <w:sz w:val="18"/>
        </w:rPr>
        <w:t>^</w:t>
      </w:r>
    </w:p>
    <w:p>
      <w:pPr>
        <w:pStyle w:val="BodyText"/>
        <w:spacing w:before="2"/>
        <w:rPr>
          <w:sz w:val="18"/>
        </w:rPr>
      </w:pPr>
      <w:r>
        <w:rPr/>
        <w:br w:type="column"/>
      </w:r>
      <w:r>
        <w:rPr>
          <w:sz w:val="18"/>
        </w:rPr>
      </w:r>
    </w:p>
    <w:p>
      <w:pPr>
        <w:tabs>
          <w:tab w:pos="4002" w:val="left" w:leader="none"/>
        </w:tabs>
        <w:spacing w:before="0"/>
        <w:ind w:left="556" w:right="0" w:firstLine="0"/>
        <w:jc w:val="left"/>
        <w:rPr>
          <w:sz w:val="18"/>
        </w:rPr>
      </w:pPr>
      <w:r>
        <w:rPr>
          <w:sz w:val="18"/>
        </w:rPr>
        <w:t>INR</w:t>
      </w:r>
      <w:r>
        <w:rPr>
          <w:spacing w:val="12"/>
          <w:sz w:val="18"/>
        </w:rPr>
        <w:t> </w:t>
      </w:r>
      <w:r>
        <w:rPr>
          <w:sz w:val="18"/>
        </w:rPr>
        <w:t>3,750</w:t>
        <w:tab/>
        <w:t>per car</w:t>
      </w:r>
      <w:r>
        <w:rPr>
          <w:spacing w:val="-5"/>
          <w:sz w:val="18"/>
        </w:rPr>
        <w:t> </w:t>
      </w:r>
      <w:r>
        <w:rPr>
          <w:sz w:val="18"/>
        </w:rPr>
        <w:t>park</w:t>
      </w:r>
    </w:p>
    <w:p>
      <w:pPr>
        <w:spacing w:after="0"/>
        <w:jc w:val="left"/>
        <w:rPr>
          <w:sz w:val="18"/>
        </w:rPr>
        <w:sectPr>
          <w:type w:val="continuous"/>
          <w:pgSz w:w="11910" w:h="16840"/>
          <w:pgMar w:top="800" w:bottom="280" w:left="500" w:right="520"/>
          <w:cols w:num="2" w:equalWidth="0">
            <w:col w:w="3415" w:space="1079"/>
            <w:col w:w="6396"/>
          </w:cols>
        </w:sectPr>
      </w:pPr>
    </w:p>
    <w:p>
      <w:pPr>
        <w:pStyle w:val="BodyText"/>
        <w:spacing w:before="4"/>
        <w:rPr>
          <w:sz w:val="3"/>
        </w:rPr>
      </w:pPr>
    </w:p>
    <w:p>
      <w:pPr>
        <w:pStyle w:val="BodyText"/>
        <w:spacing w:line="20" w:lineRule="exact"/>
        <w:ind w:left="20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line="321" w:lineRule="auto" w:before="118"/>
        <w:ind w:left="220" w:right="0" w:firstLine="0"/>
        <w:jc w:val="left"/>
        <w:rPr>
          <w:i/>
          <w:sz w:val="18"/>
        </w:rPr>
      </w:pPr>
      <w:r>
        <w:rPr>
          <w:i/>
          <w:w w:val="103"/>
          <w:sz w:val="18"/>
        </w:rPr>
        <w:t>So</w:t>
      </w:r>
      <w:r>
        <w:rPr>
          <w:i/>
          <w:w w:val="92"/>
          <w:sz w:val="18"/>
        </w:rPr>
        <w:t>u</w:t>
      </w:r>
      <w:r>
        <w:rPr>
          <w:i/>
          <w:w w:val="81"/>
          <w:sz w:val="18"/>
        </w:rPr>
        <w:t>r</w:t>
      </w:r>
      <w:r>
        <w:rPr>
          <w:i/>
          <w:w w:val="100"/>
          <w:sz w:val="18"/>
        </w:rPr>
        <w:t>c</w:t>
      </w:r>
      <w:r>
        <w:rPr>
          <w:i/>
          <w:w w:val="90"/>
          <w:sz w:val="18"/>
        </w:rPr>
        <w:t>e:</w:t>
      </w:r>
      <w:r>
        <w:rPr>
          <w:i/>
          <w:sz w:val="18"/>
        </w:rPr>
        <w:t> </w:t>
      </w:r>
      <w:r>
        <w:rPr>
          <w:i/>
          <w:w w:val="112"/>
          <w:sz w:val="18"/>
        </w:rPr>
        <w:t>C</w:t>
      </w:r>
      <w:r>
        <w:rPr>
          <w:i/>
          <w:w w:val="85"/>
          <w:sz w:val="18"/>
        </w:rPr>
        <w:t>lie</w:t>
      </w:r>
      <w:r>
        <w:rPr>
          <w:i/>
          <w:w w:val="99"/>
          <w:sz w:val="18"/>
        </w:rPr>
        <w:t>n</w:t>
      </w:r>
      <w:r>
        <w:rPr>
          <w:i/>
          <w:w w:val="68"/>
          <w:sz w:val="18"/>
        </w:rPr>
        <w:t>t</w:t>
      </w:r>
      <w:r>
        <w:rPr>
          <w:i/>
          <w:w w:val="78"/>
          <w:sz w:val="18"/>
        </w:rPr>
        <w:t>’</w:t>
      </w:r>
      <w:r>
        <w:rPr>
          <w:i/>
          <w:w w:val="101"/>
          <w:sz w:val="18"/>
        </w:rPr>
        <w:t>s</w:t>
      </w:r>
      <w:r>
        <w:rPr>
          <w:i/>
          <w:sz w:val="18"/>
        </w:rPr>
        <w:t> </w:t>
      </w:r>
      <w:r>
        <w:rPr>
          <w:i/>
          <w:w w:val="97"/>
          <w:sz w:val="18"/>
        </w:rPr>
        <w:t>In</w:t>
      </w:r>
      <w:r>
        <w:rPr>
          <w:i/>
          <w:w w:val="101"/>
          <w:sz w:val="18"/>
        </w:rPr>
        <w:t>p</w:t>
      </w:r>
      <w:r>
        <w:rPr>
          <w:i/>
          <w:w w:val="92"/>
          <w:sz w:val="18"/>
        </w:rPr>
        <w:t>u</w:t>
      </w:r>
      <w:r>
        <w:rPr>
          <w:i/>
          <w:w w:val="68"/>
          <w:sz w:val="18"/>
        </w:rPr>
        <w:t>t</w:t>
      </w:r>
      <w:r>
        <w:rPr>
          <w:i/>
          <w:w w:val="101"/>
          <w:sz w:val="18"/>
        </w:rPr>
        <w:t>s</w:t>
      </w:r>
      <w:r>
        <w:rPr>
          <w:i/>
          <w:sz w:val="18"/>
        </w:rPr>
        <w:t> </w:t>
      </w:r>
      <w:r>
        <w:rPr>
          <w:i/>
          <w:w w:val="88"/>
          <w:sz w:val="18"/>
        </w:rPr>
        <w:t>&amp;</w:t>
      </w:r>
      <w:r>
        <w:rPr>
          <w:i/>
          <w:sz w:val="18"/>
        </w:rPr>
        <w:t> </w:t>
      </w:r>
      <w:r>
        <w:rPr>
          <w:i/>
          <w:w w:val="101"/>
          <w:sz w:val="18"/>
        </w:rPr>
        <w:t>Va</w:t>
      </w:r>
      <w:r>
        <w:rPr>
          <w:i/>
          <w:w w:val="85"/>
          <w:sz w:val="18"/>
        </w:rPr>
        <w:t>lu</w:t>
      </w:r>
      <w:r>
        <w:rPr>
          <w:i/>
          <w:w w:val="88"/>
          <w:sz w:val="18"/>
        </w:rPr>
        <w:t>er</w:t>
      </w:r>
      <w:r>
        <w:rPr>
          <w:i/>
          <w:w w:val="78"/>
          <w:sz w:val="18"/>
        </w:rPr>
        <w:t>’</w:t>
      </w:r>
      <w:r>
        <w:rPr>
          <w:i/>
          <w:w w:val="101"/>
          <w:sz w:val="18"/>
        </w:rPr>
        <w:t>s</w:t>
      </w:r>
      <w:r>
        <w:rPr>
          <w:i/>
          <w:sz w:val="18"/>
        </w:rPr>
        <w:t> </w:t>
      </w:r>
      <w:r>
        <w:rPr>
          <w:i/>
          <w:w w:val="107"/>
          <w:sz w:val="18"/>
        </w:rPr>
        <w:t>a</w:t>
      </w:r>
      <w:r>
        <w:rPr>
          <w:i/>
          <w:w w:val="101"/>
          <w:sz w:val="18"/>
        </w:rPr>
        <w:t>ss</w:t>
      </w:r>
      <w:r>
        <w:rPr>
          <w:i/>
          <w:w w:val="94"/>
          <w:sz w:val="18"/>
        </w:rPr>
        <w:t>e</w:t>
      </w:r>
      <w:r>
        <w:rPr>
          <w:i/>
          <w:w w:val="101"/>
          <w:sz w:val="18"/>
        </w:rPr>
        <w:t>ss</w:t>
      </w:r>
      <w:r>
        <w:rPr>
          <w:i/>
          <w:w w:val="95"/>
          <w:sz w:val="18"/>
        </w:rPr>
        <w:t>men</w:t>
      </w:r>
      <w:r>
        <w:rPr>
          <w:i/>
          <w:w w:val="68"/>
          <w:sz w:val="18"/>
        </w:rPr>
        <w:t>t</w:t>
      </w:r>
      <w:r>
        <w:rPr>
          <w:i/>
          <w:w w:val="83"/>
          <w:sz w:val="18"/>
        </w:rPr>
        <w:t>;</w:t>
      </w:r>
      <w:r>
        <w:rPr>
          <w:i/>
          <w:sz w:val="18"/>
        </w:rPr>
        <w:t> </w:t>
      </w:r>
      <w:r>
        <w:rPr>
          <w:i/>
          <w:w w:val="116"/>
          <w:sz w:val="18"/>
        </w:rPr>
        <w:t>*</w:t>
      </w:r>
      <w:r>
        <w:rPr>
          <w:i/>
          <w:sz w:val="18"/>
        </w:rPr>
        <w:t> </w:t>
      </w:r>
      <w:r>
        <w:rPr>
          <w:i/>
          <w:w w:val="89"/>
          <w:sz w:val="18"/>
        </w:rPr>
        <w:t>Ref</w:t>
      </w:r>
      <w:r>
        <w:rPr>
          <w:i/>
          <w:w w:val="92"/>
          <w:sz w:val="18"/>
        </w:rPr>
        <w:t>u</w:t>
      </w:r>
      <w:r>
        <w:rPr>
          <w:i/>
          <w:w w:val="99"/>
          <w:sz w:val="18"/>
        </w:rPr>
        <w:t>n</w:t>
      </w:r>
      <w:r>
        <w:rPr>
          <w:i/>
          <w:w w:val="101"/>
          <w:sz w:val="18"/>
        </w:rPr>
        <w:t>d</w:t>
      </w:r>
      <w:r>
        <w:rPr>
          <w:i/>
          <w:w w:val="98"/>
          <w:sz w:val="18"/>
        </w:rPr>
        <w:t>ed</w:t>
      </w:r>
      <w:r>
        <w:rPr>
          <w:i/>
          <w:sz w:val="18"/>
        </w:rPr>
        <w:t> </w:t>
      </w:r>
      <w:r>
        <w:rPr>
          <w:i/>
          <w:w w:val="107"/>
          <w:sz w:val="18"/>
        </w:rPr>
        <w:t>a</w:t>
      </w:r>
      <w:r>
        <w:rPr>
          <w:i/>
          <w:w w:val="68"/>
          <w:sz w:val="18"/>
        </w:rPr>
        <w:t>t</w:t>
      </w:r>
      <w:r>
        <w:rPr>
          <w:i/>
          <w:sz w:val="18"/>
        </w:rPr>
        <w:t> </w:t>
      </w:r>
      <w:r>
        <w:rPr>
          <w:i/>
          <w:w w:val="68"/>
          <w:sz w:val="18"/>
        </w:rPr>
        <w:t>t</w:t>
      </w:r>
      <w:r>
        <w:rPr>
          <w:i/>
          <w:w w:val="97"/>
          <w:sz w:val="18"/>
        </w:rPr>
        <w:t>h</w:t>
      </w:r>
      <w:r>
        <w:rPr>
          <w:i/>
          <w:w w:val="94"/>
          <w:sz w:val="18"/>
        </w:rPr>
        <w:t>e</w:t>
      </w:r>
      <w:r>
        <w:rPr>
          <w:i/>
          <w:sz w:val="18"/>
        </w:rPr>
        <w:t> </w:t>
      </w:r>
      <w:r>
        <w:rPr>
          <w:i/>
          <w:w w:val="68"/>
          <w:sz w:val="18"/>
        </w:rPr>
        <w:t>t</w:t>
      </w:r>
      <w:r>
        <w:rPr>
          <w:i/>
          <w:w w:val="91"/>
          <w:sz w:val="18"/>
        </w:rPr>
        <w:t>ime</w:t>
      </w:r>
      <w:r>
        <w:rPr>
          <w:i/>
          <w:sz w:val="18"/>
        </w:rPr>
        <w:t> </w:t>
      </w:r>
      <w:r>
        <w:rPr>
          <w:i/>
          <w:w w:val="102"/>
          <w:sz w:val="18"/>
        </w:rPr>
        <w:t>o</w:t>
      </w:r>
      <w:r>
        <w:rPr>
          <w:i/>
          <w:w w:val="77"/>
          <w:sz w:val="18"/>
        </w:rPr>
        <w:t>f</w:t>
      </w:r>
      <w:r>
        <w:rPr>
          <w:i/>
          <w:sz w:val="18"/>
        </w:rPr>
        <w:t> </w:t>
      </w:r>
      <w:r>
        <w:rPr>
          <w:i/>
          <w:w w:val="95"/>
          <w:sz w:val="18"/>
        </w:rPr>
        <w:t>lea</w:t>
      </w:r>
      <w:r>
        <w:rPr>
          <w:i/>
          <w:w w:val="101"/>
          <w:sz w:val="18"/>
        </w:rPr>
        <w:t>s</w:t>
      </w:r>
      <w:r>
        <w:rPr>
          <w:i/>
          <w:w w:val="94"/>
          <w:sz w:val="18"/>
        </w:rPr>
        <w:t>e</w:t>
      </w:r>
      <w:r>
        <w:rPr>
          <w:i/>
          <w:sz w:val="18"/>
        </w:rPr>
        <w:t> </w:t>
      </w:r>
      <w:r>
        <w:rPr>
          <w:i/>
          <w:w w:val="92"/>
          <w:sz w:val="18"/>
        </w:rPr>
        <w:t>ex</w:t>
      </w:r>
      <w:r>
        <w:rPr>
          <w:i/>
          <w:w w:val="101"/>
          <w:sz w:val="18"/>
        </w:rPr>
        <w:t>p</w:t>
      </w:r>
      <w:r>
        <w:rPr>
          <w:i/>
          <w:w w:val="80"/>
          <w:sz w:val="18"/>
        </w:rPr>
        <w:t>ir</w:t>
      </w:r>
      <w:r>
        <w:rPr>
          <w:i/>
          <w:w w:val="89"/>
          <w:sz w:val="18"/>
        </w:rPr>
        <w:t>y/</w:t>
      </w:r>
      <w:r>
        <w:rPr>
          <w:i/>
          <w:sz w:val="18"/>
        </w:rPr>
        <w:t> </w:t>
      </w:r>
      <w:r>
        <w:rPr>
          <w:i/>
          <w:w w:val="84"/>
          <w:sz w:val="18"/>
        </w:rPr>
        <w:t>exit</w:t>
      </w:r>
      <w:r>
        <w:rPr>
          <w:i/>
          <w:w w:val="83"/>
          <w:sz w:val="18"/>
        </w:rPr>
        <w:t>;</w:t>
      </w:r>
      <w:r>
        <w:rPr>
          <w:i/>
          <w:sz w:val="18"/>
        </w:rPr>
        <w:t> </w:t>
      </w:r>
      <w:r>
        <w:rPr>
          <w:i/>
          <w:w w:val="191"/>
          <w:position w:val="6"/>
          <w:sz w:val="11"/>
        </w:rPr>
        <w:t>^</w:t>
      </w:r>
      <w:r>
        <w:rPr>
          <w:i/>
          <w:w w:val="107"/>
          <w:sz w:val="18"/>
        </w:rPr>
        <w:t>a</w:t>
      </w:r>
      <w:r>
        <w:rPr>
          <w:i/>
          <w:w w:val="101"/>
          <w:sz w:val="18"/>
        </w:rPr>
        <w:t>ss</w:t>
      </w:r>
      <w:r>
        <w:rPr>
          <w:i/>
          <w:w w:val="92"/>
          <w:sz w:val="18"/>
        </w:rPr>
        <w:t>u</w:t>
      </w:r>
      <w:r>
        <w:rPr>
          <w:i/>
          <w:w w:val="96"/>
          <w:sz w:val="18"/>
        </w:rPr>
        <w:t>med</w:t>
      </w:r>
      <w:r>
        <w:rPr>
          <w:i/>
          <w:sz w:val="18"/>
        </w:rPr>
        <w:t> </w:t>
      </w:r>
      <w:r>
        <w:rPr>
          <w:i/>
          <w:w w:val="107"/>
          <w:sz w:val="18"/>
        </w:rPr>
        <w:t>a</w:t>
      </w:r>
      <w:r>
        <w:rPr>
          <w:i/>
          <w:w w:val="68"/>
          <w:sz w:val="18"/>
        </w:rPr>
        <w:t>t</w:t>
      </w:r>
      <w:r>
        <w:rPr>
          <w:i/>
          <w:sz w:val="18"/>
        </w:rPr>
        <w:t> </w:t>
      </w:r>
      <w:r>
        <w:rPr>
          <w:i/>
          <w:w w:val="104"/>
          <w:sz w:val="18"/>
        </w:rPr>
        <w:t>INR</w:t>
      </w:r>
      <w:r>
        <w:rPr>
          <w:i/>
          <w:sz w:val="18"/>
        </w:rPr>
        <w:t> </w:t>
      </w:r>
      <w:r>
        <w:rPr>
          <w:i/>
          <w:w w:val="105"/>
          <w:sz w:val="18"/>
        </w:rPr>
        <w:t>5,000</w:t>
      </w:r>
      <w:r>
        <w:rPr>
          <w:i/>
          <w:sz w:val="18"/>
        </w:rPr>
        <w:t> </w:t>
      </w:r>
      <w:r>
        <w:rPr>
          <w:i/>
          <w:w w:val="101"/>
          <w:sz w:val="18"/>
        </w:rPr>
        <w:t>p</w:t>
      </w:r>
      <w:r>
        <w:rPr>
          <w:i/>
          <w:w w:val="88"/>
          <w:sz w:val="18"/>
        </w:rPr>
        <w:t>er</w:t>
      </w:r>
      <w:r>
        <w:rPr>
          <w:i/>
          <w:sz w:val="18"/>
        </w:rPr>
        <w:t> </w:t>
      </w:r>
      <w:r>
        <w:rPr>
          <w:i/>
          <w:w w:val="101"/>
          <w:sz w:val="18"/>
        </w:rPr>
        <w:t>b</w:t>
      </w:r>
      <w:r>
        <w:rPr>
          <w:i/>
          <w:w w:val="107"/>
          <w:sz w:val="18"/>
        </w:rPr>
        <w:t>a</w:t>
      </w:r>
      <w:r>
        <w:rPr>
          <w:i/>
          <w:w w:val="94"/>
          <w:sz w:val="18"/>
        </w:rPr>
        <w:t>y</w:t>
      </w:r>
      <w:r>
        <w:rPr>
          <w:i/>
          <w:sz w:val="18"/>
        </w:rPr>
        <w:t> </w:t>
      </w:r>
      <w:r>
        <w:rPr>
          <w:i/>
          <w:w w:val="101"/>
          <w:sz w:val="18"/>
        </w:rPr>
        <w:t>p</w:t>
      </w:r>
      <w:r>
        <w:rPr>
          <w:i/>
          <w:w w:val="88"/>
          <w:sz w:val="18"/>
        </w:rPr>
        <w:t>er</w:t>
      </w:r>
      <w:r>
        <w:rPr>
          <w:i/>
          <w:sz w:val="18"/>
        </w:rPr>
        <w:t> </w:t>
      </w:r>
      <w:r>
        <w:rPr>
          <w:i/>
          <w:w w:val="97"/>
          <w:sz w:val="18"/>
        </w:rPr>
        <w:t>mo</w:t>
      </w:r>
      <w:r>
        <w:rPr>
          <w:i/>
          <w:w w:val="99"/>
          <w:sz w:val="18"/>
        </w:rPr>
        <w:t>n</w:t>
      </w:r>
      <w:r>
        <w:rPr>
          <w:i/>
          <w:w w:val="68"/>
          <w:sz w:val="18"/>
        </w:rPr>
        <w:t>t</w:t>
      </w:r>
      <w:r>
        <w:rPr>
          <w:i/>
          <w:w w:val="97"/>
          <w:sz w:val="18"/>
        </w:rPr>
        <w:t>h</w:t>
      </w:r>
      <w:r>
        <w:rPr>
          <w:i/>
          <w:w w:val="78"/>
          <w:sz w:val="18"/>
        </w:rPr>
        <w:t>,</w:t>
      </w:r>
      <w:r>
        <w:rPr>
          <w:i/>
          <w:w w:val="78"/>
          <w:sz w:val="18"/>
        </w:rPr>
        <w:t> </w:t>
      </w:r>
      <w:r>
        <w:rPr>
          <w:i/>
          <w:sz w:val="18"/>
        </w:rPr>
        <w:t>with 25.0% free car park</w:t>
      </w:r>
    </w:p>
    <w:p>
      <w:pPr>
        <w:spacing w:after="0" w:line="321" w:lineRule="auto"/>
        <w:jc w:val="left"/>
        <w:rPr>
          <w:sz w:val="18"/>
        </w:rPr>
        <w:sectPr>
          <w:type w:val="continuous"/>
          <w:pgSz w:w="11910" w:h="16840"/>
          <w:pgMar w:top="800" w:bottom="280" w:left="500" w:right="520"/>
        </w:sectPr>
      </w:pPr>
    </w:p>
    <w:p>
      <w:pPr>
        <w:pStyle w:val="BodyText"/>
        <w:spacing w:before="7"/>
        <w:rPr>
          <w:i/>
          <w:sz w:val="9"/>
        </w:rPr>
      </w:pPr>
    </w:p>
    <w:p>
      <w:pPr>
        <w:pStyle w:val="ListParagraph"/>
        <w:numPr>
          <w:ilvl w:val="2"/>
          <w:numId w:val="14"/>
        </w:numPr>
        <w:tabs>
          <w:tab w:pos="941" w:val="left" w:leader="none"/>
        </w:tabs>
        <w:spacing w:line="240" w:lineRule="auto" w:before="106" w:after="0"/>
        <w:ind w:left="940" w:right="0" w:hanging="721"/>
        <w:jc w:val="both"/>
        <w:rPr>
          <w:sz w:val="22"/>
        </w:rPr>
      </w:pPr>
      <w:bookmarkStart w:name="_bookmark66" w:id="132"/>
      <w:bookmarkEnd w:id="132"/>
      <w:r>
        <w:rPr/>
      </w:r>
      <w:bookmarkStart w:name="_bookmark66" w:id="133"/>
      <w:bookmarkEnd w:id="133"/>
      <w:r>
        <w:rPr>
          <w:color w:val="1F664D"/>
          <w:w w:val="105"/>
          <w:sz w:val="22"/>
        </w:rPr>
        <w:t>R</w:t>
      </w:r>
      <w:r>
        <w:rPr>
          <w:color w:val="1F664D"/>
          <w:w w:val="105"/>
          <w:sz w:val="22"/>
        </w:rPr>
        <w:t>evenue Assumptions -</w:t>
      </w:r>
      <w:r>
        <w:rPr>
          <w:color w:val="1F664D"/>
          <w:spacing w:val="-16"/>
          <w:w w:val="105"/>
          <w:sz w:val="22"/>
        </w:rPr>
        <w:t> </w:t>
      </w:r>
      <w:r>
        <w:rPr>
          <w:color w:val="1F664D"/>
          <w:w w:val="105"/>
          <w:sz w:val="22"/>
        </w:rPr>
        <w:t>Hotel</w:t>
      </w:r>
    </w:p>
    <w:p>
      <w:pPr>
        <w:pStyle w:val="BodyText"/>
        <w:spacing w:before="1"/>
        <w:rPr>
          <w:sz w:val="23"/>
        </w:rPr>
      </w:pPr>
    </w:p>
    <w:p>
      <w:pPr>
        <w:pStyle w:val="ListParagraph"/>
        <w:numPr>
          <w:ilvl w:val="3"/>
          <w:numId w:val="33"/>
        </w:numPr>
        <w:tabs>
          <w:tab w:pos="1085" w:val="left" w:leader="none"/>
        </w:tabs>
        <w:spacing w:line="240" w:lineRule="auto" w:before="0" w:after="0"/>
        <w:ind w:left="1084" w:right="0" w:hanging="865"/>
        <w:jc w:val="both"/>
        <w:rPr>
          <w:sz w:val="22"/>
        </w:rPr>
      </w:pPr>
      <w:r>
        <w:rPr>
          <w:color w:val="008000"/>
          <w:sz w:val="22"/>
        </w:rPr>
        <w:t>ARR and Occupancy</w:t>
      </w:r>
      <w:r>
        <w:rPr>
          <w:color w:val="008000"/>
          <w:spacing w:val="-8"/>
          <w:sz w:val="22"/>
        </w:rPr>
        <w:t> </w:t>
      </w:r>
      <w:r>
        <w:rPr>
          <w:color w:val="008000"/>
          <w:sz w:val="22"/>
        </w:rPr>
        <w:t>Assumptions</w:t>
      </w:r>
    </w:p>
    <w:p>
      <w:pPr>
        <w:pStyle w:val="BodyText"/>
        <w:spacing w:line="321" w:lineRule="auto" w:before="148"/>
        <w:ind w:left="782" w:right="193"/>
        <w:jc w:val="both"/>
      </w:pPr>
      <w:r>
        <w:rPr/>
        <w:t>As</w:t>
      </w:r>
      <w:r>
        <w:rPr>
          <w:spacing w:val="-29"/>
        </w:rPr>
        <w:t> </w:t>
      </w:r>
      <w:r>
        <w:rPr/>
        <w:t>per</w:t>
      </w:r>
      <w:r>
        <w:rPr>
          <w:spacing w:val="-28"/>
        </w:rPr>
        <w:t> </w:t>
      </w:r>
      <w:r>
        <w:rPr/>
        <w:t>the</w:t>
      </w:r>
      <w:r>
        <w:rPr>
          <w:spacing w:val="-28"/>
        </w:rPr>
        <w:t> </w:t>
      </w:r>
      <w:r>
        <w:rPr/>
        <w:t>information</w:t>
      </w:r>
      <w:r>
        <w:rPr>
          <w:spacing w:val="-28"/>
        </w:rPr>
        <w:t> </w:t>
      </w:r>
      <w:r>
        <w:rPr/>
        <w:t>provided</w:t>
      </w:r>
      <w:r>
        <w:rPr>
          <w:spacing w:val="-28"/>
        </w:rPr>
        <w:t> </w:t>
      </w:r>
      <w:r>
        <w:rPr/>
        <w:t>by</w:t>
      </w:r>
      <w:r>
        <w:rPr>
          <w:spacing w:val="-27"/>
        </w:rPr>
        <w:t> </w:t>
      </w:r>
      <w:r>
        <w:rPr/>
        <w:t>the</w:t>
      </w:r>
      <w:r>
        <w:rPr>
          <w:spacing w:val="-28"/>
        </w:rPr>
        <w:t> </w:t>
      </w:r>
      <w:r>
        <w:rPr/>
        <w:t>Client,</w:t>
      </w:r>
      <w:r>
        <w:rPr>
          <w:spacing w:val="-28"/>
        </w:rPr>
        <w:t> </w:t>
      </w:r>
      <w:r>
        <w:rPr/>
        <w:t>we</w:t>
      </w:r>
      <w:r>
        <w:rPr>
          <w:spacing w:val="-28"/>
        </w:rPr>
        <w:t> </w:t>
      </w:r>
      <w:r>
        <w:rPr/>
        <w:t>understand</w:t>
      </w:r>
      <w:r>
        <w:rPr>
          <w:spacing w:val="-27"/>
        </w:rPr>
        <w:t> </w:t>
      </w:r>
      <w:r>
        <w:rPr/>
        <w:t>that</w:t>
      </w:r>
      <w:r>
        <w:rPr>
          <w:spacing w:val="-29"/>
        </w:rPr>
        <w:t> </w:t>
      </w:r>
      <w:r>
        <w:rPr/>
        <w:t>there</w:t>
      </w:r>
      <w:r>
        <w:rPr>
          <w:spacing w:val="-28"/>
        </w:rPr>
        <w:t> </w:t>
      </w:r>
      <w:r>
        <w:rPr/>
        <w:t>are</w:t>
      </w:r>
      <w:r>
        <w:rPr>
          <w:spacing w:val="-27"/>
        </w:rPr>
        <w:t> </w:t>
      </w:r>
      <w:r>
        <w:rPr/>
        <w:t>two</w:t>
      </w:r>
      <w:r>
        <w:rPr>
          <w:spacing w:val="-28"/>
        </w:rPr>
        <w:t> </w:t>
      </w:r>
      <w:r>
        <w:rPr/>
        <w:t>hotels</w:t>
      </w:r>
      <w:r>
        <w:rPr>
          <w:spacing w:val="-27"/>
        </w:rPr>
        <w:t> </w:t>
      </w:r>
      <w:r>
        <w:rPr/>
        <w:t>(viz.</w:t>
      </w:r>
      <w:r>
        <w:rPr>
          <w:spacing w:val="-28"/>
        </w:rPr>
        <w:t> </w:t>
      </w:r>
      <w:r>
        <w:rPr/>
        <w:t>5</w:t>
      </w:r>
      <w:r>
        <w:rPr>
          <w:spacing w:val="-28"/>
        </w:rPr>
        <w:t> </w:t>
      </w:r>
      <w:r>
        <w:rPr/>
        <w:t>Star</w:t>
      </w:r>
      <w:r>
        <w:rPr>
          <w:spacing w:val="-28"/>
        </w:rPr>
        <w:t> </w:t>
      </w:r>
      <w:r>
        <w:rPr/>
        <w:t>and</w:t>
      </w:r>
      <w:r>
        <w:rPr>
          <w:spacing w:val="-27"/>
        </w:rPr>
        <w:t> </w:t>
      </w:r>
      <w:r>
        <w:rPr/>
        <w:t>3 Star</w:t>
      </w:r>
      <w:r>
        <w:rPr>
          <w:spacing w:val="-19"/>
        </w:rPr>
        <w:t> </w:t>
      </w:r>
      <w:r>
        <w:rPr/>
        <w:t>positioning</w:t>
      </w:r>
      <w:r>
        <w:rPr>
          <w:spacing w:val="-19"/>
        </w:rPr>
        <w:t> </w:t>
      </w:r>
      <w:r>
        <w:rPr>
          <w:w w:val="105"/>
        </w:rPr>
        <w:t>–</w:t>
      </w:r>
      <w:r>
        <w:rPr>
          <w:spacing w:val="-23"/>
          <w:w w:val="105"/>
        </w:rPr>
        <w:t> </w:t>
      </w:r>
      <w:r>
        <w:rPr/>
        <w:t>with</w:t>
      </w:r>
      <w:r>
        <w:rPr>
          <w:spacing w:val="-18"/>
        </w:rPr>
        <w:t> </w:t>
      </w:r>
      <w:r>
        <w:rPr/>
        <w:t>management</w:t>
      </w:r>
      <w:r>
        <w:rPr>
          <w:spacing w:val="-18"/>
        </w:rPr>
        <w:t> </w:t>
      </w:r>
      <w:r>
        <w:rPr/>
        <w:t>contracts</w:t>
      </w:r>
      <w:r>
        <w:rPr>
          <w:spacing w:val="-17"/>
        </w:rPr>
        <w:t> </w:t>
      </w:r>
      <w:r>
        <w:rPr/>
        <w:t>in</w:t>
      </w:r>
      <w:r>
        <w:rPr>
          <w:spacing w:val="-20"/>
        </w:rPr>
        <w:t> </w:t>
      </w:r>
      <w:r>
        <w:rPr/>
        <w:t>place</w:t>
      </w:r>
      <w:r>
        <w:rPr>
          <w:spacing w:val="-18"/>
        </w:rPr>
        <w:t> </w:t>
      </w:r>
      <w:r>
        <w:rPr/>
        <w:t>with</w:t>
      </w:r>
      <w:r>
        <w:rPr>
          <w:spacing w:val="-19"/>
        </w:rPr>
        <w:t> </w:t>
      </w:r>
      <w:r>
        <w:rPr/>
        <w:t>the</w:t>
      </w:r>
      <w:r>
        <w:rPr>
          <w:spacing w:val="-19"/>
        </w:rPr>
        <w:t> </w:t>
      </w:r>
      <w:r>
        <w:rPr/>
        <w:t>Hilton</w:t>
      </w:r>
      <w:r>
        <w:rPr>
          <w:spacing w:val="-18"/>
        </w:rPr>
        <w:t> </w:t>
      </w:r>
      <w:r>
        <w:rPr/>
        <w:t>Group</w:t>
      </w:r>
      <w:r>
        <w:rPr>
          <w:spacing w:val="-18"/>
        </w:rPr>
        <w:t> </w:t>
      </w:r>
      <w:r>
        <w:rPr/>
        <w:t>for</w:t>
      </w:r>
      <w:r>
        <w:rPr>
          <w:spacing w:val="-18"/>
        </w:rPr>
        <w:t> </w:t>
      </w:r>
      <w:r>
        <w:rPr/>
        <w:t>Hilton</w:t>
      </w:r>
      <w:r>
        <w:rPr>
          <w:spacing w:val="-15"/>
        </w:rPr>
        <w:t> </w:t>
      </w:r>
      <w:r>
        <w:rPr/>
        <w:t>at</w:t>
      </w:r>
      <w:r>
        <w:rPr>
          <w:spacing w:val="-19"/>
        </w:rPr>
        <w:t> </w:t>
      </w:r>
      <w:r>
        <w:rPr/>
        <w:t>Manyata</w:t>
      </w:r>
      <w:r>
        <w:rPr>
          <w:spacing w:val="-19"/>
        </w:rPr>
        <w:t> </w:t>
      </w:r>
      <w:r>
        <w:rPr/>
        <w:t>and a</w:t>
      </w:r>
      <w:r>
        <w:rPr>
          <w:spacing w:val="-24"/>
        </w:rPr>
        <w:t> </w:t>
      </w:r>
      <w:r>
        <w:rPr/>
        <w:t>Hilton</w:t>
      </w:r>
      <w:r>
        <w:rPr>
          <w:spacing w:val="-23"/>
        </w:rPr>
        <w:t> </w:t>
      </w:r>
      <w:r>
        <w:rPr/>
        <w:t>Garden</w:t>
      </w:r>
      <w:r>
        <w:rPr>
          <w:spacing w:val="-23"/>
        </w:rPr>
        <w:t> </w:t>
      </w:r>
      <w:r>
        <w:rPr/>
        <w:t>Inn</w:t>
      </w:r>
      <w:r>
        <w:rPr>
          <w:spacing w:val="-22"/>
        </w:rPr>
        <w:t> </w:t>
      </w:r>
      <w:r>
        <w:rPr/>
        <w:t>at</w:t>
      </w:r>
      <w:r>
        <w:rPr>
          <w:spacing w:val="-23"/>
        </w:rPr>
        <w:t> </w:t>
      </w:r>
      <w:r>
        <w:rPr/>
        <w:t>Manyata)</w:t>
      </w:r>
      <w:r>
        <w:rPr>
          <w:spacing w:val="-21"/>
        </w:rPr>
        <w:t> </w:t>
      </w:r>
      <w:r>
        <w:rPr/>
        <w:t>are</w:t>
      </w:r>
      <w:r>
        <w:rPr>
          <w:spacing w:val="-25"/>
        </w:rPr>
        <w:t> </w:t>
      </w:r>
      <w:r>
        <w:rPr/>
        <w:t>proposed</w:t>
      </w:r>
      <w:r>
        <w:rPr>
          <w:spacing w:val="-22"/>
        </w:rPr>
        <w:t> </w:t>
      </w:r>
      <w:r>
        <w:rPr/>
        <w:t>to</w:t>
      </w:r>
      <w:r>
        <w:rPr>
          <w:spacing w:val="-25"/>
        </w:rPr>
        <w:t> </w:t>
      </w:r>
      <w:r>
        <w:rPr/>
        <w:t>be</w:t>
      </w:r>
      <w:r>
        <w:rPr>
          <w:spacing w:val="-23"/>
        </w:rPr>
        <w:t> </w:t>
      </w:r>
      <w:r>
        <w:rPr/>
        <w:t>developed</w:t>
      </w:r>
      <w:r>
        <w:rPr>
          <w:spacing w:val="-24"/>
        </w:rPr>
        <w:t> </w:t>
      </w:r>
      <w:r>
        <w:rPr/>
        <w:t>in</w:t>
      </w:r>
      <w:r>
        <w:rPr>
          <w:spacing w:val="-24"/>
        </w:rPr>
        <w:t> </w:t>
      </w:r>
      <w:r>
        <w:rPr/>
        <w:t>the</w:t>
      </w:r>
      <w:r>
        <w:rPr>
          <w:spacing w:val="-23"/>
        </w:rPr>
        <w:t> </w:t>
      </w:r>
      <w:r>
        <w:rPr/>
        <w:t>subject</w:t>
      </w:r>
      <w:r>
        <w:rPr>
          <w:spacing w:val="-22"/>
        </w:rPr>
        <w:t> </w:t>
      </w:r>
      <w:r>
        <w:rPr/>
        <w:t>property.</w:t>
      </w:r>
      <w:r>
        <w:rPr>
          <w:spacing w:val="-21"/>
        </w:rPr>
        <w:t> </w:t>
      </w:r>
      <w:r>
        <w:rPr/>
        <w:t>The</w:t>
      </w:r>
      <w:r>
        <w:rPr>
          <w:spacing w:val="-24"/>
        </w:rPr>
        <w:t> </w:t>
      </w:r>
      <w:r>
        <w:rPr/>
        <w:t>area</w:t>
      </w:r>
      <w:r>
        <w:rPr>
          <w:spacing w:val="-25"/>
        </w:rPr>
        <w:t> </w:t>
      </w:r>
      <w:r>
        <w:rPr/>
        <w:t>details of the proposed hotels </w:t>
      </w:r>
      <w:r>
        <w:rPr>
          <w:spacing w:val="-2"/>
        </w:rPr>
        <w:t>are </w:t>
      </w:r>
      <w:r>
        <w:rPr/>
        <w:t>mentioned in the table</w:t>
      </w:r>
      <w:r>
        <w:rPr>
          <w:spacing w:val="-42"/>
        </w:rPr>
        <w:t> </w:t>
      </w:r>
      <w:r>
        <w:rPr/>
        <w:t>below:</w:t>
      </w:r>
    </w:p>
    <w:tbl>
      <w:tblPr>
        <w:tblCellSpacing w:w="27" w:type="dxa"/>
        <w:tblW w:w="0" w:type="auto"/>
        <w:jc w:val="left"/>
        <w:tblInd w:w="27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3"/>
        <w:gridCol w:w="3491"/>
        <w:gridCol w:w="3460"/>
      </w:tblGrid>
      <w:tr>
        <w:trPr>
          <w:trHeight w:val="160" w:hRule="atLeast"/>
        </w:trPr>
        <w:tc>
          <w:tcPr>
            <w:tcW w:w="3463" w:type="dxa"/>
            <w:tcBorders>
              <w:left w:val="nil"/>
              <w:right w:val="nil"/>
            </w:tcBorders>
            <w:shd w:val="clear" w:color="auto" w:fill="006A4D"/>
          </w:tcPr>
          <w:p>
            <w:pPr>
              <w:pStyle w:val="TableParagraph"/>
              <w:spacing w:line="195" w:lineRule="exact"/>
              <w:ind w:left="1147" w:right="1133"/>
              <w:rPr>
                <w:b/>
                <w:sz w:val="18"/>
              </w:rPr>
            </w:pPr>
            <w:r>
              <w:rPr>
                <w:b/>
                <w:color w:val="FFFFFF"/>
                <w:w w:val="110"/>
                <w:sz w:val="18"/>
              </w:rPr>
              <w:t>Components</w:t>
            </w:r>
          </w:p>
        </w:tc>
        <w:tc>
          <w:tcPr>
            <w:tcW w:w="3491" w:type="dxa"/>
            <w:tcBorders>
              <w:left w:val="nil"/>
              <w:right w:val="nil"/>
            </w:tcBorders>
            <w:shd w:val="clear" w:color="auto" w:fill="006A4D"/>
          </w:tcPr>
          <w:p>
            <w:pPr>
              <w:pStyle w:val="TableParagraph"/>
              <w:spacing w:line="195" w:lineRule="exact"/>
              <w:ind w:left="1245" w:right="1229"/>
              <w:rPr>
                <w:b/>
                <w:sz w:val="18"/>
              </w:rPr>
            </w:pPr>
            <w:r>
              <w:rPr>
                <w:b/>
                <w:color w:val="FFFFFF"/>
                <w:w w:val="110"/>
                <w:sz w:val="18"/>
              </w:rPr>
              <w:t>No of Keys</w:t>
            </w:r>
          </w:p>
        </w:tc>
        <w:tc>
          <w:tcPr>
            <w:tcW w:w="3460" w:type="dxa"/>
            <w:tcBorders>
              <w:left w:val="nil"/>
              <w:right w:val="nil"/>
            </w:tcBorders>
            <w:shd w:val="clear" w:color="auto" w:fill="006A4D"/>
          </w:tcPr>
          <w:p>
            <w:pPr>
              <w:pStyle w:val="TableParagraph"/>
              <w:spacing w:line="195" w:lineRule="exact"/>
              <w:ind w:left="767"/>
              <w:jc w:val="left"/>
              <w:rPr>
                <w:b/>
                <w:sz w:val="18"/>
              </w:rPr>
            </w:pPr>
            <w:r>
              <w:rPr>
                <w:b/>
                <w:color w:val="FFFFFF"/>
                <w:w w:val="110"/>
                <w:sz w:val="18"/>
              </w:rPr>
              <w:t>Proposed area (in sf)</w:t>
            </w:r>
          </w:p>
        </w:tc>
      </w:tr>
    </w:tbl>
    <w:p>
      <w:pPr>
        <w:pStyle w:val="BodyText"/>
        <w:spacing w:before="2"/>
        <w:rPr>
          <w:sz w:val="3"/>
        </w:rPr>
      </w:pPr>
    </w:p>
    <w:tbl>
      <w:tblPr>
        <w:tblW w:w="0" w:type="auto"/>
        <w:jc w:val="left"/>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51"/>
        <w:gridCol w:w="3245"/>
        <w:gridCol w:w="3583"/>
      </w:tblGrid>
      <w:tr>
        <w:trPr>
          <w:trHeight w:val="257" w:hRule="atLeast"/>
        </w:trPr>
        <w:tc>
          <w:tcPr>
            <w:tcW w:w="3651" w:type="dxa"/>
            <w:tcBorders>
              <w:bottom w:val="single" w:sz="6" w:space="0" w:color="69BD28"/>
            </w:tcBorders>
          </w:tcPr>
          <w:p>
            <w:pPr>
              <w:pStyle w:val="TableParagraph"/>
              <w:spacing w:before="4"/>
              <w:ind w:left="1252" w:right="1396"/>
              <w:rPr>
                <w:sz w:val="18"/>
              </w:rPr>
            </w:pPr>
            <w:r>
              <w:rPr>
                <w:sz w:val="18"/>
              </w:rPr>
              <w:t>5 Star Hotel</w:t>
            </w:r>
          </w:p>
        </w:tc>
        <w:tc>
          <w:tcPr>
            <w:tcW w:w="3245" w:type="dxa"/>
            <w:tcBorders>
              <w:bottom w:val="single" w:sz="6" w:space="0" w:color="69BD28"/>
            </w:tcBorders>
          </w:tcPr>
          <w:p>
            <w:pPr>
              <w:pStyle w:val="TableParagraph"/>
              <w:spacing w:before="4"/>
              <w:ind w:left="1433"/>
              <w:jc w:val="left"/>
              <w:rPr>
                <w:sz w:val="18"/>
              </w:rPr>
            </w:pPr>
            <w:r>
              <w:rPr>
                <w:w w:val="110"/>
                <w:sz w:val="18"/>
              </w:rPr>
              <w:t>266</w:t>
            </w:r>
          </w:p>
        </w:tc>
        <w:tc>
          <w:tcPr>
            <w:tcW w:w="3583" w:type="dxa"/>
            <w:tcBorders>
              <w:bottom w:val="single" w:sz="6" w:space="0" w:color="69BD28"/>
            </w:tcBorders>
          </w:tcPr>
          <w:p>
            <w:pPr>
              <w:pStyle w:val="TableParagraph"/>
              <w:spacing w:before="4"/>
              <w:ind w:right="1400"/>
              <w:jc w:val="right"/>
              <w:rPr>
                <w:sz w:val="18"/>
              </w:rPr>
            </w:pPr>
            <w:r>
              <w:rPr>
                <w:w w:val="105"/>
                <w:sz w:val="18"/>
              </w:rPr>
              <w:t>412,375</w:t>
            </w:r>
          </w:p>
        </w:tc>
      </w:tr>
      <w:tr>
        <w:trPr>
          <w:trHeight w:val="295" w:hRule="atLeast"/>
        </w:trPr>
        <w:tc>
          <w:tcPr>
            <w:tcW w:w="3651" w:type="dxa"/>
            <w:tcBorders>
              <w:top w:val="single" w:sz="6" w:space="0" w:color="69BD28"/>
              <w:bottom w:val="single" w:sz="6" w:space="0" w:color="69BD28"/>
            </w:tcBorders>
          </w:tcPr>
          <w:p>
            <w:pPr>
              <w:pStyle w:val="TableParagraph"/>
              <w:spacing w:before="44"/>
              <w:ind w:left="1252" w:right="1396"/>
              <w:rPr>
                <w:sz w:val="18"/>
              </w:rPr>
            </w:pPr>
            <w:r>
              <w:rPr>
                <w:sz w:val="18"/>
              </w:rPr>
              <w:t>3 Star Hotel</w:t>
            </w:r>
          </w:p>
        </w:tc>
        <w:tc>
          <w:tcPr>
            <w:tcW w:w="3245" w:type="dxa"/>
            <w:tcBorders>
              <w:top w:val="single" w:sz="6" w:space="0" w:color="69BD28"/>
              <w:bottom w:val="single" w:sz="6" w:space="0" w:color="69BD28"/>
            </w:tcBorders>
          </w:tcPr>
          <w:p>
            <w:pPr>
              <w:pStyle w:val="TableParagraph"/>
              <w:spacing w:before="44"/>
              <w:ind w:left="1433"/>
              <w:jc w:val="left"/>
              <w:rPr>
                <w:sz w:val="18"/>
              </w:rPr>
            </w:pPr>
            <w:r>
              <w:rPr>
                <w:w w:val="110"/>
                <w:sz w:val="18"/>
              </w:rPr>
              <w:t>353</w:t>
            </w:r>
          </w:p>
        </w:tc>
        <w:tc>
          <w:tcPr>
            <w:tcW w:w="3583" w:type="dxa"/>
            <w:tcBorders>
              <w:top w:val="single" w:sz="6" w:space="0" w:color="69BD28"/>
              <w:bottom w:val="single" w:sz="6" w:space="0" w:color="69BD28"/>
            </w:tcBorders>
          </w:tcPr>
          <w:p>
            <w:pPr>
              <w:pStyle w:val="TableParagraph"/>
              <w:spacing w:before="44"/>
              <w:ind w:right="1364"/>
              <w:jc w:val="right"/>
              <w:rPr>
                <w:sz w:val="18"/>
              </w:rPr>
            </w:pPr>
            <w:r>
              <w:rPr>
                <w:w w:val="105"/>
                <w:sz w:val="18"/>
              </w:rPr>
              <w:t>310,303</w:t>
            </w:r>
          </w:p>
        </w:tc>
      </w:tr>
      <w:tr>
        <w:trPr>
          <w:trHeight w:val="297" w:hRule="atLeast"/>
        </w:trPr>
        <w:tc>
          <w:tcPr>
            <w:tcW w:w="3651" w:type="dxa"/>
            <w:tcBorders>
              <w:top w:val="single" w:sz="6" w:space="0" w:color="69BD28"/>
              <w:bottom w:val="single" w:sz="6" w:space="0" w:color="69BD28"/>
            </w:tcBorders>
          </w:tcPr>
          <w:p>
            <w:pPr>
              <w:pStyle w:val="TableParagraph"/>
              <w:spacing w:before="44"/>
              <w:ind w:left="1252" w:right="1393"/>
              <w:rPr>
                <w:sz w:val="18"/>
              </w:rPr>
            </w:pPr>
            <w:r>
              <w:rPr>
                <w:sz w:val="18"/>
              </w:rPr>
              <w:t>Total</w:t>
            </w:r>
          </w:p>
        </w:tc>
        <w:tc>
          <w:tcPr>
            <w:tcW w:w="3245" w:type="dxa"/>
            <w:tcBorders>
              <w:top w:val="single" w:sz="6" w:space="0" w:color="69BD28"/>
              <w:bottom w:val="single" w:sz="6" w:space="0" w:color="69BD28"/>
            </w:tcBorders>
          </w:tcPr>
          <w:p>
            <w:pPr>
              <w:pStyle w:val="TableParagraph"/>
              <w:spacing w:before="44"/>
              <w:ind w:left="1433"/>
              <w:jc w:val="left"/>
              <w:rPr>
                <w:sz w:val="18"/>
              </w:rPr>
            </w:pPr>
            <w:r>
              <w:rPr>
                <w:w w:val="110"/>
                <w:sz w:val="18"/>
              </w:rPr>
              <w:t>619</w:t>
            </w:r>
          </w:p>
        </w:tc>
        <w:tc>
          <w:tcPr>
            <w:tcW w:w="3583" w:type="dxa"/>
            <w:tcBorders>
              <w:top w:val="single" w:sz="6" w:space="0" w:color="69BD28"/>
              <w:bottom w:val="single" w:sz="6" w:space="0" w:color="69BD28"/>
            </w:tcBorders>
          </w:tcPr>
          <w:p>
            <w:pPr>
              <w:pStyle w:val="TableParagraph"/>
              <w:spacing w:before="44"/>
              <w:ind w:right="1361"/>
              <w:jc w:val="right"/>
              <w:rPr>
                <w:sz w:val="18"/>
              </w:rPr>
            </w:pPr>
            <w:r>
              <w:rPr>
                <w:w w:val="105"/>
                <w:sz w:val="18"/>
              </w:rPr>
              <w:t>722,678</w:t>
            </w:r>
          </w:p>
        </w:tc>
      </w:tr>
    </w:tbl>
    <w:p>
      <w:pPr>
        <w:spacing w:before="0"/>
        <w:ind w:left="786" w:right="0" w:firstLine="0"/>
        <w:jc w:val="both"/>
        <w:rPr>
          <w:i/>
          <w:sz w:val="18"/>
        </w:rPr>
      </w:pPr>
      <w:r>
        <w:rPr>
          <w:i/>
          <w:sz w:val="18"/>
        </w:rPr>
        <w:t>Source: Client inputs</w:t>
      </w:r>
    </w:p>
    <w:p>
      <w:pPr>
        <w:pStyle w:val="BodyText"/>
        <w:spacing w:before="10"/>
        <w:rPr>
          <w:i/>
          <w:sz w:val="26"/>
        </w:rPr>
      </w:pPr>
    </w:p>
    <w:p>
      <w:pPr>
        <w:pStyle w:val="BodyText"/>
        <w:spacing w:line="321" w:lineRule="auto"/>
        <w:ind w:left="782" w:right="195"/>
        <w:jc w:val="both"/>
      </w:pPr>
      <w:r>
        <w:rPr/>
        <w:t>The</w:t>
      </w:r>
      <w:r>
        <w:rPr>
          <w:spacing w:val="-31"/>
        </w:rPr>
        <w:t> </w:t>
      </w:r>
      <w:r>
        <w:rPr/>
        <w:t>existing</w:t>
      </w:r>
      <w:r>
        <w:rPr>
          <w:spacing w:val="-28"/>
        </w:rPr>
        <w:t> </w:t>
      </w:r>
      <w:r>
        <w:rPr/>
        <w:t>upscale</w:t>
      </w:r>
      <w:r>
        <w:rPr>
          <w:spacing w:val="-30"/>
        </w:rPr>
        <w:t> </w:t>
      </w:r>
      <w:r>
        <w:rPr/>
        <w:t>hotels</w:t>
      </w:r>
      <w:r>
        <w:rPr>
          <w:spacing w:val="-28"/>
        </w:rPr>
        <w:t> </w:t>
      </w:r>
      <w:r>
        <w:rPr/>
        <w:t>that</w:t>
      </w:r>
      <w:r>
        <w:rPr>
          <w:spacing w:val="-29"/>
        </w:rPr>
        <w:t> </w:t>
      </w:r>
      <w:r>
        <w:rPr/>
        <w:t>are</w:t>
      </w:r>
      <w:r>
        <w:rPr>
          <w:spacing w:val="-29"/>
        </w:rPr>
        <w:t> </w:t>
      </w:r>
      <w:r>
        <w:rPr/>
        <w:t>operational</w:t>
      </w:r>
      <w:r>
        <w:rPr>
          <w:spacing w:val="-30"/>
        </w:rPr>
        <w:t> </w:t>
      </w:r>
      <w:r>
        <w:rPr/>
        <w:t>in</w:t>
      </w:r>
      <w:r>
        <w:rPr>
          <w:spacing w:val="-30"/>
        </w:rPr>
        <w:t> </w:t>
      </w:r>
      <w:r>
        <w:rPr/>
        <w:t>the</w:t>
      </w:r>
      <w:r>
        <w:rPr>
          <w:spacing w:val="-30"/>
        </w:rPr>
        <w:t> </w:t>
      </w:r>
      <w:r>
        <w:rPr/>
        <w:t>northern</w:t>
      </w:r>
      <w:r>
        <w:rPr>
          <w:spacing w:val="-29"/>
        </w:rPr>
        <w:t> </w:t>
      </w:r>
      <w:r>
        <w:rPr/>
        <w:t>part</w:t>
      </w:r>
      <w:r>
        <w:rPr>
          <w:spacing w:val="-29"/>
        </w:rPr>
        <w:t> </w:t>
      </w:r>
      <w:r>
        <w:rPr/>
        <w:t>of</w:t>
      </w:r>
      <w:r>
        <w:rPr>
          <w:spacing w:val="-29"/>
        </w:rPr>
        <w:t> </w:t>
      </w:r>
      <w:r>
        <w:rPr/>
        <w:t>Bengaluru</w:t>
      </w:r>
      <w:r>
        <w:rPr>
          <w:spacing w:val="-29"/>
        </w:rPr>
        <w:t> </w:t>
      </w:r>
      <w:r>
        <w:rPr/>
        <w:t>have</w:t>
      </w:r>
      <w:r>
        <w:rPr>
          <w:spacing w:val="-30"/>
        </w:rPr>
        <w:t> </w:t>
      </w:r>
      <w:r>
        <w:rPr/>
        <w:t>achieved</w:t>
      </w:r>
      <w:r>
        <w:rPr>
          <w:spacing w:val="-29"/>
        </w:rPr>
        <w:t> </w:t>
      </w:r>
      <w:r>
        <w:rPr/>
        <w:t>ARRs</w:t>
      </w:r>
      <w:r>
        <w:rPr>
          <w:spacing w:val="-29"/>
        </w:rPr>
        <w:t> </w:t>
      </w:r>
      <w:r>
        <w:rPr/>
        <w:t>in the range of INR 7,500– 8,750 per room per night and occupancies in the range of 68.0-90.0%. Similarly, mid-scale business hotels that are operational in the vicinity of the subject property have achieved ARRs in the range of INR 4,800 </w:t>
      </w:r>
      <w:r>
        <w:rPr>
          <w:w w:val="105"/>
        </w:rPr>
        <w:t>– </w:t>
      </w:r>
      <w:r>
        <w:rPr/>
        <w:t>5,200 per room per night and occupancies in the range of 65.0-80.0%.</w:t>
      </w:r>
    </w:p>
    <w:p>
      <w:pPr>
        <w:pStyle w:val="BodyText"/>
        <w:spacing w:before="10"/>
        <w:rPr>
          <w:sz w:val="20"/>
        </w:rPr>
      </w:pPr>
    </w:p>
    <w:p>
      <w:pPr>
        <w:pStyle w:val="BodyText"/>
        <w:spacing w:line="321" w:lineRule="auto"/>
        <w:ind w:left="782" w:right="194"/>
        <w:jc w:val="both"/>
      </w:pPr>
      <w:r>
        <w:rPr/>
        <w:t>Given</w:t>
      </w:r>
      <w:r>
        <w:rPr>
          <w:spacing w:val="-13"/>
        </w:rPr>
        <w:t> </w:t>
      </w:r>
      <w:r>
        <w:rPr/>
        <w:t>the</w:t>
      </w:r>
      <w:r>
        <w:rPr>
          <w:spacing w:val="-12"/>
        </w:rPr>
        <w:t> </w:t>
      </w:r>
      <w:r>
        <w:rPr/>
        <w:t>positioning</w:t>
      </w:r>
      <w:r>
        <w:rPr>
          <w:spacing w:val="-13"/>
        </w:rPr>
        <w:t> </w:t>
      </w:r>
      <w:r>
        <w:rPr/>
        <w:t>&amp;</w:t>
      </w:r>
      <w:r>
        <w:rPr>
          <w:spacing w:val="-12"/>
        </w:rPr>
        <w:t> </w:t>
      </w:r>
      <w:r>
        <w:rPr/>
        <w:t>location</w:t>
      </w:r>
      <w:r>
        <w:rPr>
          <w:spacing w:val="-12"/>
        </w:rPr>
        <w:t> </w:t>
      </w:r>
      <w:r>
        <w:rPr/>
        <w:t>of</w:t>
      </w:r>
      <w:r>
        <w:rPr>
          <w:spacing w:val="-12"/>
        </w:rPr>
        <w:t> </w:t>
      </w:r>
      <w:r>
        <w:rPr/>
        <w:t>the</w:t>
      </w:r>
      <w:r>
        <w:rPr>
          <w:spacing w:val="-14"/>
        </w:rPr>
        <w:t> </w:t>
      </w:r>
      <w:r>
        <w:rPr/>
        <w:t>subject</w:t>
      </w:r>
      <w:r>
        <w:rPr>
          <w:spacing w:val="-13"/>
        </w:rPr>
        <w:t> </w:t>
      </w:r>
      <w:r>
        <w:rPr/>
        <w:t>development,</w:t>
      </w:r>
      <w:r>
        <w:rPr>
          <w:spacing w:val="-13"/>
        </w:rPr>
        <w:t> </w:t>
      </w:r>
      <w:r>
        <w:rPr/>
        <w:t>performance</w:t>
      </w:r>
      <w:r>
        <w:rPr>
          <w:spacing w:val="-14"/>
        </w:rPr>
        <w:t> </w:t>
      </w:r>
      <w:r>
        <w:rPr/>
        <w:t>of</w:t>
      </w:r>
      <w:r>
        <w:rPr>
          <w:spacing w:val="-12"/>
        </w:rPr>
        <w:t> </w:t>
      </w:r>
      <w:r>
        <w:rPr/>
        <w:t>competing</w:t>
      </w:r>
      <w:r>
        <w:rPr>
          <w:spacing w:val="-12"/>
        </w:rPr>
        <w:t> </w:t>
      </w:r>
      <w:r>
        <w:rPr/>
        <w:t>hotels</w:t>
      </w:r>
      <w:r>
        <w:rPr>
          <w:spacing w:val="-13"/>
        </w:rPr>
        <w:t> </w:t>
      </w:r>
      <w:r>
        <w:rPr/>
        <w:t>in</w:t>
      </w:r>
      <w:r>
        <w:rPr>
          <w:spacing w:val="-13"/>
        </w:rPr>
        <w:t> </w:t>
      </w:r>
      <w:r>
        <w:rPr/>
        <w:t>the subject</w:t>
      </w:r>
      <w:r>
        <w:rPr>
          <w:spacing w:val="-15"/>
        </w:rPr>
        <w:t> </w:t>
      </w:r>
      <w:r>
        <w:rPr/>
        <w:t>sub</w:t>
      </w:r>
      <w:r>
        <w:rPr>
          <w:spacing w:val="-15"/>
        </w:rPr>
        <w:t> </w:t>
      </w:r>
      <w:r>
        <w:rPr/>
        <w:t>market</w:t>
      </w:r>
      <w:r>
        <w:rPr>
          <w:spacing w:val="-15"/>
        </w:rPr>
        <w:t> </w:t>
      </w:r>
      <w:r>
        <w:rPr/>
        <w:t>and</w:t>
      </w:r>
      <w:r>
        <w:rPr>
          <w:spacing w:val="-15"/>
        </w:rPr>
        <w:t> </w:t>
      </w:r>
      <w:r>
        <w:rPr/>
        <w:t>development</w:t>
      </w:r>
      <w:r>
        <w:rPr>
          <w:spacing w:val="-16"/>
        </w:rPr>
        <w:t> </w:t>
      </w:r>
      <w:r>
        <w:rPr/>
        <w:t>mix</w:t>
      </w:r>
      <w:r>
        <w:rPr>
          <w:spacing w:val="-15"/>
        </w:rPr>
        <w:t> </w:t>
      </w:r>
      <w:r>
        <w:rPr/>
        <w:t>(part</w:t>
      </w:r>
      <w:r>
        <w:rPr>
          <w:spacing w:val="-15"/>
        </w:rPr>
        <w:t> </w:t>
      </w:r>
      <w:r>
        <w:rPr/>
        <w:t>of</w:t>
      </w:r>
      <w:r>
        <w:rPr>
          <w:spacing w:val="-16"/>
        </w:rPr>
        <w:t> </w:t>
      </w:r>
      <w:r>
        <w:rPr/>
        <w:t>a</w:t>
      </w:r>
      <w:r>
        <w:rPr>
          <w:spacing w:val="-15"/>
        </w:rPr>
        <w:t> </w:t>
      </w:r>
      <w:r>
        <w:rPr/>
        <w:t>larger</w:t>
      </w:r>
      <w:r>
        <w:rPr>
          <w:spacing w:val="-15"/>
        </w:rPr>
        <w:t> </w:t>
      </w:r>
      <w:r>
        <w:rPr/>
        <w:t>commercial</w:t>
      </w:r>
      <w:r>
        <w:rPr>
          <w:spacing w:val="-15"/>
        </w:rPr>
        <w:t> </w:t>
      </w:r>
      <w:r>
        <w:rPr/>
        <w:t>development)</w:t>
      </w:r>
      <w:r>
        <w:rPr>
          <w:spacing w:val="-14"/>
        </w:rPr>
        <w:t> </w:t>
      </w:r>
      <w:r>
        <w:rPr/>
        <w:t>etc.,</w:t>
      </w:r>
      <w:r>
        <w:rPr>
          <w:spacing w:val="-16"/>
        </w:rPr>
        <w:t> </w:t>
      </w:r>
      <w:r>
        <w:rPr/>
        <w:t>it</w:t>
      </w:r>
      <w:r>
        <w:rPr>
          <w:spacing w:val="-16"/>
        </w:rPr>
        <w:t> </w:t>
      </w:r>
      <w:r>
        <w:rPr/>
        <w:t>is</w:t>
      </w:r>
      <w:r>
        <w:rPr>
          <w:spacing w:val="-15"/>
        </w:rPr>
        <w:t> </w:t>
      </w:r>
      <w:r>
        <w:rPr/>
        <w:t>opined that</w:t>
      </w:r>
      <w:r>
        <w:rPr>
          <w:spacing w:val="-18"/>
        </w:rPr>
        <w:t> </w:t>
      </w:r>
      <w:r>
        <w:rPr/>
        <w:t>ARRs</w:t>
      </w:r>
      <w:r>
        <w:rPr>
          <w:spacing w:val="-20"/>
        </w:rPr>
        <w:t> </w:t>
      </w:r>
      <w:r>
        <w:rPr/>
        <w:t>for</w:t>
      </w:r>
      <w:r>
        <w:rPr>
          <w:spacing w:val="-19"/>
        </w:rPr>
        <w:t> </w:t>
      </w:r>
      <w:r>
        <w:rPr/>
        <w:t>hotel</w:t>
      </w:r>
      <w:r>
        <w:rPr>
          <w:spacing w:val="-19"/>
        </w:rPr>
        <w:t> </w:t>
      </w:r>
      <w:r>
        <w:rPr/>
        <w:t>component</w:t>
      </w:r>
      <w:r>
        <w:rPr>
          <w:spacing w:val="-19"/>
        </w:rPr>
        <w:t> </w:t>
      </w:r>
      <w:r>
        <w:rPr/>
        <w:t>in</w:t>
      </w:r>
      <w:r>
        <w:rPr>
          <w:spacing w:val="-19"/>
        </w:rPr>
        <w:t> </w:t>
      </w:r>
      <w:r>
        <w:rPr/>
        <w:t>the</w:t>
      </w:r>
      <w:r>
        <w:rPr>
          <w:spacing w:val="-20"/>
        </w:rPr>
        <w:t> </w:t>
      </w:r>
      <w:r>
        <w:rPr/>
        <w:t>subject</w:t>
      </w:r>
      <w:r>
        <w:rPr>
          <w:spacing w:val="-18"/>
        </w:rPr>
        <w:t> </w:t>
      </w:r>
      <w:r>
        <w:rPr/>
        <w:t>development</w:t>
      </w:r>
      <w:r>
        <w:rPr>
          <w:spacing w:val="-18"/>
        </w:rPr>
        <w:t> </w:t>
      </w:r>
      <w:r>
        <w:rPr/>
        <w:t>would</w:t>
      </w:r>
      <w:r>
        <w:rPr>
          <w:spacing w:val="-19"/>
        </w:rPr>
        <w:t> </w:t>
      </w:r>
      <w:r>
        <w:rPr/>
        <w:t>range</w:t>
      </w:r>
      <w:r>
        <w:rPr>
          <w:spacing w:val="-19"/>
        </w:rPr>
        <w:t> </w:t>
      </w:r>
      <w:r>
        <w:rPr/>
        <w:t>from</w:t>
      </w:r>
      <w:r>
        <w:rPr>
          <w:spacing w:val="-16"/>
        </w:rPr>
        <w:t> </w:t>
      </w:r>
      <w:r>
        <w:rPr/>
        <w:t>INR</w:t>
      </w:r>
      <w:r>
        <w:rPr>
          <w:spacing w:val="-19"/>
        </w:rPr>
        <w:t> </w:t>
      </w:r>
      <w:r>
        <w:rPr/>
        <w:t>7,700</w:t>
      </w:r>
      <w:r>
        <w:rPr>
          <w:spacing w:val="-19"/>
        </w:rPr>
        <w:t> </w:t>
      </w:r>
      <w:r>
        <w:rPr>
          <w:w w:val="105"/>
        </w:rPr>
        <w:t>–</w:t>
      </w:r>
      <w:r>
        <w:rPr>
          <w:spacing w:val="-22"/>
          <w:w w:val="105"/>
        </w:rPr>
        <w:t> </w:t>
      </w:r>
      <w:r>
        <w:rPr/>
        <w:t>INR</w:t>
      </w:r>
      <w:r>
        <w:rPr>
          <w:spacing w:val="-20"/>
        </w:rPr>
        <w:t> </w:t>
      </w:r>
      <w:r>
        <w:rPr/>
        <w:t>8,300</w:t>
      </w:r>
      <w:r>
        <w:rPr>
          <w:spacing w:val="-18"/>
        </w:rPr>
        <w:t> </w:t>
      </w:r>
      <w:r>
        <w:rPr/>
        <w:t>per room</w:t>
      </w:r>
      <w:r>
        <w:rPr>
          <w:spacing w:val="-4"/>
        </w:rPr>
        <w:t> </w:t>
      </w:r>
      <w:r>
        <w:rPr/>
        <w:t>night</w:t>
      </w:r>
      <w:r>
        <w:rPr>
          <w:spacing w:val="-4"/>
        </w:rPr>
        <w:t> </w:t>
      </w:r>
      <w:r>
        <w:rPr/>
        <w:t>(viz.</w:t>
      </w:r>
      <w:r>
        <w:rPr>
          <w:spacing w:val="-4"/>
        </w:rPr>
        <w:t> </w:t>
      </w:r>
      <w:r>
        <w:rPr/>
        <w:t>approx.</w:t>
      </w:r>
      <w:r>
        <w:rPr>
          <w:spacing w:val="-4"/>
        </w:rPr>
        <w:t> </w:t>
      </w:r>
      <w:r>
        <w:rPr/>
        <w:t>INR</w:t>
      </w:r>
      <w:r>
        <w:rPr>
          <w:spacing w:val="-3"/>
        </w:rPr>
        <w:t> </w:t>
      </w:r>
      <w:r>
        <w:rPr/>
        <w:t>8,000</w:t>
      </w:r>
      <w:r>
        <w:rPr>
          <w:spacing w:val="-5"/>
        </w:rPr>
        <w:t> </w:t>
      </w:r>
      <w:r>
        <w:rPr/>
        <w:t>per</w:t>
      </w:r>
      <w:r>
        <w:rPr>
          <w:spacing w:val="-4"/>
        </w:rPr>
        <w:t> </w:t>
      </w:r>
      <w:r>
        <w:rPr/>
        <w:t>room</w:t>
      </w:r>
      <w:r>
        <w:rPr>
          <w:spacing w:val="-4"/>
        </w:rPr>
        <w:t> </w:t>
      </w:r>
      <w:r>
        <w:rPr/>
        <w:t>night)</w:t>
      </w:r>
      <w:r>
        <w:rPr>
          <w:spacing w:val="-2"/>
        </w:rPr>
        <w:t> </w:t>
      </w:r>
      <w:r>
        <w:rPr/>
        <w:t>for</w:t>
      </w:r>
      <w:r>
        <w:rPr>
          <w:spacing w:val="-4"/>
        </w:rPr>
        <w:t> </w:t>
      </w:r>
      <w:r>
        <w:rPr/>
        <w:t>the</w:t>
      </w:r>
      <w:r>
        <w:rPr>
          <w:spacing w:val="-5"/>
        </w:rPr>
        <w:t> </w:t>
      </w:r>
      <w:r>
        <w:rPr/>
        <w:t>5</w:t>
      </w:r>
      <w:r>
        <w:rPr>
          <w:spacing w:val="-5"/>
        </w:rPr>
        <w:t> </w:t>
      </w:r>
      <w:r>
        <w:rPr/>
        <w:t>Star</w:t>
      </w:r>
      <w:r>
        <w:rPr>
          <w:spacing w:val="-5"/>
        </w:rPr>
        <w:t> </w:t>
      </w:r>
      <w:r>
        <w:rPr/>
        <w:t>hotel</w:t>
      </w:r>
      <w:r>
        <w:rPr>
          <w:spacing w:val="-4"/>
        </w:rPr>
        <w:t> </w:t>
      </w:r>
      <w:r>
        <w:rPr/>
        <w:t>and</w:t>
      </w:r>
      <w:r>
        <w:rPr>
          <w:spacing w:val="-5"/>
        </w:rPr>
        <w:t> </w:t>
      </w:r>
      <w:r>
        <w:rPr/>
        <w:t>INR</w:t>
      </w:r>
      <w:r>
        <w:rPr>
          <w:spacing w:val="-4"/>
        </w:rPr>
        <w:t> </w:t>
      </w:r>
      <w:r>
        <w:rPr/>
        <w:t>5,300</w:t>
      </w:r>
      <w:r>
        <w:rPr>
          <w:spacing w:val="-4"/>
        </w:rPr>
        <w:t> </w:t>
      </w:r>
      <w:r>
        <w:rPr>
          <w:w w:val="105"/>
        </w:rPr>
        <w:t>–</w:t>
      </w:r>
      <w:r>
        <w:rPr>
          <w:spacing w:val="-8"/>
          <w:w w:val="105"/>
        </w:rPr>
        <w:t> </w:t>
      </w:r>
      <w:r>
        <w:rPr/>
        <w:t>INR</w:t>
      </w:r>
      <w:r>
        <w:rPr>
          <w:spacing w:val="-4"/>
        </w:rPr>
        <w:t> </w:t>
      </w:r>
      <w:r>
        <w:rPr/>
        <w:t>5,700</w:t>
      </w:r>
      <w:r>
        <w:rPr>
          <w:spacing w:val="-5"/>
        </w:rPr>
        <w:t> </w:t>
      </w:r>
      <w:r>
        <w:rPr/>
        <w:t>per room night (viz. approx. INR 5,500 per room night) for the 3 Star hotel. Additionally, the stabilized occupancy for the subject development is opined to be 70.0%, 2.5 years from the year of operation commencement.</w:t>
      </w:r>
    </w:p>
    <w:p>
      <w:pPr>
        <w:pStyle w:val="BodyText"/>
        <w:spacing w:before="1"/>
        <w:rPr>
          <w:sz w:val="21"/>
        </w:rPr>
      </w:pPr>
    </w:p>
    <w:p>
      <w:pPr>
        <w:pStyle w:val="ListParagraph"/>
        <w:numPr>
          <w:ilvl w:val="3"/>
          <w:numId w:val="33"/>
        </w:numPr>
        <w:tabs>
          <w:tab w:pos="1085" w:val="left" w:leader="none"/>
        </w:tabs>
        <w:spacing w:line="240" w:lineRule="auto" w:before="0" w:after="0"/>
        <w:ind w:left="1084" w:right="0" w:hanging="865"/>
        <w:jc w:val="both"/>
        <w:rPr>
          <w:sz w:val="22"/>
        </w:rPr>
      </w:pPr>
      <w:r>
        <w:rPr>
          <w:color w:val="008000"/>
          <w:sz w:val="22"/>
        </w:rPr>
        <w:t>Other</w:t>
      </w:r>
      <w:r>
        <w:rPr>
          <w:color w:val="008000"/>
          <w:spacing w:val="-3"/>
          <w:sz w:val="22"/>
        </w:rPr>
        <w:t> </w:t>
      </w:r>
      <w:r>
        <w:rPr>
          <w:color w:val="008000"/>
          <w:sz w:val="22"/>
        </w:rPr>
        <w:t>Revenues</w:t>
      </w:r>
    </w:p>
    <w:p>
      <w:pPr>
        <w:pStyle w:val="BodyText"/>
        <w:spacing w:line="321" w:lineRule="auto" w:before="148"/>
        <w:ind w:left="782" w:right="202"/>
        <w:jc w:val="both"/>
      </w:pPr>
      <w:r>
        <w:rPr/>
        <w:t>The revenue assumptions for the hotel component of the envisaged subject development have been enumerated in the table below:</w:t>
      </w:r>
    </w:p>
    <w:p>
      <w:pPr>
        <w:pStyle w:val="BodyText"/>
        <w:spacing w:before="10"/>
        <w:rPr>
          <w:sz w:val="20"/>
        </w:rPr>
      </w:pPr>
    </w:p>
    <w:tbl>
      <w:tblPr>
        <w:tblW w:w="0" w:type="auto"/>
        <w:jc w:val="left"/>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26"/>
        <w:gridCol w:w="2762"/>
        <w:gridCol w:w="2411"/>
        <w:gridCol w:w="2580"/>
      </w:tblGrid>
      <w:tr>
        <w:trPr>
          <w:trHeight w:val="217" w:hRule="atLeast"/>
        </w:trPr>
        <w:tc>
          <w:tcPr>
            <w:tcW w:w="2726" w:type="dxa"/>
            <w:tcBorders>
              <w:top w:val="single" w:sz="6" w:space="0" w:color="69BD28"/>
              <w:bottom w:val="single" w:sz="6" w:space="0" w:color="69BD28"/>
            </w:tcBorders>
            <w:shd w:val="clear" w:color="auto" w:fill="006A4D"/>
          </w:tcPr>
          <w:p>
            <w:pPr>
              <w:pStyle w:val="TableParagraph"/>
              <w:spacing w:line="192" w:lineRule="exact" w:before="6"/>
              <w:ind w:left="245" w:right="332"/>
              <w:rPr>
                <w:b/>
                <w:sz w:val="18"/>
              </w:rPr>
            </w:pPr>
            <w:r>
              <w:rPr>
                <w:b/>
                <w:color w:val="FFFFFF"/>
                <w:w w:val="105"/>
                <w:sz w:val="18"/>
              </w:rPr>
              <w:t>Particulars</w:t>
            </w:r>
          </w:p>
        </w:tc>
        <w:tc>
          <w:tcPr>
            <w:tcW w:w="2762" w:type="dxa"/>
            <w:tcBorders>
              <w:top w:val="single" w:sz="6" w:space="0" w:color="69BD28"/>
              <w:bottom w:val="single" w:sz="6" w:space="0" w:color="69BD28"/>
            </w:tcBorders>
            <w:shd w:val="clear" w:color="auto" w:fill="006A4D"/>
          </w:tcPr>
          <w:p>
            <w:pPr>
              <w:pStyle w:val="TableParagraph"/>
              <w:spacing w:line="192" w:lineRule="exact" w:before="6"/>
              <w:ind w:left="342" w:right="681"/>
              <w:rPr>
                <w:b/>
                <w:sz w:val="18"/>
              </w:rPr>
            </w:pPr>
            <w:r>
              <w:rPr>
                <w:b/>
                <w:color w:val="FFFFFF"/>
                <w:w w:val="105"/>
                <w:sz w:val="18"/>
              </w:rPr>
              <w:t>Unit</w:t>
            </w:r>
          </w:p>
        </w:tc>
        <w:tc>
          <w:tcPr>
            <w:tcW w:w="2411" w:type="dxa"/>
            <w:tcBorders>
              <w:top w:val="single" w:sz="6" w:space="0" w:color="69BD28"/>
              <w:bottom w:val="single" w:sz="6" w:space="0" w:color="69BD28"/>
            </w:tcBorders>
            <w:shd w:val="clear" w:color="auto" w:fill="006A4D"/>
          </w:tcPr>
          <w:p>
            <w:pPr>
              <w:pStyle w:val="TableParagraph"/>
              <w:spacing w:line="192" w:lineRule="exact" w:before="6"/>
              <w:ind w:left="799"/>
              <w:jc w:val="left"/>
              <w:rPr>
                <w:b/>
                <w:sz w:val="18"/>
              </w:rPr>
            </w:pPr>
            <w:r>
              <w:rPr>
                <w:b/>
                <w:color w:val="FFFFFF"/>
                <w:w w:val="105"/>
                <w:sz w:val="18"/>
              </w:rPr>
              <w:t>5 Star</w:t>
            </w:r>
          </w:p>
        </w:tc>
        <w:tc>
          <w:tcPr>
            <w:tcW w:w="2580" w:type="dxa"/>
            <w:tcBorders>
              <w:top w:val="single" w:sz="6" w:space="0" w:color="69BD28"/>
              <w:bottom w:val="single" w:sz="6" w:space="0" w:color="69BD28"/>
            </w:tcBorders>
            <w:shd w:val="clear" w:color="auto" w:fill="006A4D"/>
          </w:tcPr>
          <w:p>
            <w:pPr>
              <w:pStyle w:val="TableParagraph"/>
              <w:spacing w:line="192" w:lineRule="exact" w:before="6"/>
              <w:ind w:left="1002"/>
              <w:jc w:val="left"/>
              <w:rPr>
                <w:b/>
                <w:sz w:val="18"/>
              </w:rPr>
            </w:pPr>
            <w:r>
              <w:rPr>
                <w:b/>
                <w:color w:val="FFFFFF"/>
                <w:w w:val="105"/>
                <w:sz w:val="18"/>
              </w:rPr>
              <w:t>3 Star</w:t>
            </w:r>
          </w:p>
        </w:tc>
      </w:tr>
      <w:tr>
        <w:trPr>
          <w:trHeight w:val="294" w:hRule="atLeast"/>
        </w:trPr>
        <w:tc>
          <w:tcPr>
            <w:tcW w:w="2726" w:type="dxa"/>
            <w:tcBorders>
              <w:top w:val="single" w:sz="6" w:space="0" w:color="69BD28"/>
              <w:bottom w:val="single" w:sz="6" w:space="0" w:color="69BD28"/>
            </w:tcBorders>
          </w:tcPr>
          <w:p>
            <w:pPr>
              <w:pStyle w:val="TableParagraph"/>
              <w:spacing w:before="44"/>
              <w:ind w:left="245" w:right="338"/>
              <w:rPr>
                <w:sz w:val="18"/>
              </w:rPr>
            </w:pPr>
            <w:r>
              <w:rPr>
                <w:sz w:val="18"/>
              </w:rPr>
              <w:t>Food &amp; Beverage Revenue</w:t>
            </w:r>
          </w:p>
        </w:tc>
        <w:tc>
          <w:tcPr>
            <w:tcW w:w="2762" w:type="dxa"/>
            <w:tcBorders>
              <w:top w:val="single" w:sz="6" w:space="0" w:color="69BD28"/>
              <w:bottom w:val="single" w:sz="6" w:space="0" w:color="69BD28"/>
            </w:tcBorders>
          </w:tcPr>
          <w:p>
            <w:pPr>
              <w:pStyle w:val="TableParagraph"/>
              <w:spacing w:before="44"/>
              <w:ind w:left="342" w:right="682"/>
              <w:rPr>
                <w:sz w:val="18"/>
              </w:rPr>
            </w:pPr>
            <w:r>
              <w:rPr>
                <w:sz w:val="18"/>
              </w:rPr>
              <w:t>(% of Room Revenue)</w:t>
            </w:r>
          </w:p>
        </w:tc>
        <w:tc>
          <w:tcPr>
            <w:tcW w:w="2411" w:type="dxa"/>
            <w:tcBorders>
              <w:top w:val="single" w:sz="6" w:space="0" w:color="69BD28"/>
              <w:bottom w:val="single" w:sz="6" w:space="0" w:color="69BD28"/>
            </w:tcBorders>
          </w:tcPr>
          <w:p>
            <w:pPr>
              <w:pStyle w:val="TableParagraph"/>
              <w:spacing w:before="44"/>
              <w:ind w:left="722"/>
              <w:jc w:val="left"/>
              <w:rPr>
                <w:sz w:val="18"/>
              </w:rPr>
            </w:pPr>
            <w:r>
              <w:rPr>
                <w:w w:val="110"/>
                <w:sz w:val="18"/>
              </w:rPr>
              <w:t>100.0%*</w:t>
            </w:r>
          </w:p>
        </w:tc>
        <w:tc>
          <w:tcPr>
            <w:tcW w:w="2580" w:type="dxa"/>
            <w:tcBorders>
              <w:top w:val="single" w:sz="6" w:space="0" w:color="69BD28"/>
              <w:bottom w:val="single" w:sz="6" w:space="0" w:color="69BD28"/>
            </w:tcBorders>
          </w:tcPr>
          <w:p>
            <w:pPr>
              <w:pStyle w:val="TableParagraph"/>
              <w:spacing w:before="44"/>
              <w:ind w:left="1019"/>
              <w:jc w:val="left"/>
              <w:rPr>
                <w:sz w:val="18"/>
              </w:rPr>
            </w:pPr>
            <w:r>
              <w:rPr>
                <w:w w:val="110"/>
                <w:sz w:val="18"/>
              </w:rPr>
              <w:t>40.0%</w:t>
            </w:r>
          </w:p>
        </w:tc>
      </w:tr>
      <w:tr>
        <w:trPr>
          <w:trHeight w:val="297" w:hRule="atLeast"/>
        </w:trPr>
        <w:tc>
          <w:tcPr>
            <w:tcW w:w="2726" w:type="dxa"/>
            <w:tcBorders>
              <w:top w:val="single" w:sz="6" w:space="0" w:color="69BD28"/>
              <w:bottom w:val="single" w:sz="6" w:space="0" w:color="69BD28"/>
            </w:tcBorders>
          </w:tcPr>
          <w:p>
            <w:pPr>
              <w:pStyle w:val="TableParagraph"/>
              <w:spacing w:before="44"/>
              <w:ind w:left="245" w:right="334"/>
              <w:rPr>
                <w:sz w:val="18"/>
              </w:rPr>
            </w:pPr>
            <w:r>
              <w:rPr>
                <w:w w:val="110"/>
                <w:sz w:val="18"/>
              </w:rPr>
              <w:t>MOD Revenue</w:t>
            </w:r>
          </w:p>
        </w:tc>
        <w:tc>
          <w:tcPr>
            <w:tcW w:w="2762" w:type="dxa"/>
            <w:tcBorders>
              <w:top w:val="single" w:sz="6" w:space="0" w:color="69BD28"/>
              <w:bottom w:val="single" w:sz="6" w:space="0" w:color="69BD28"/>
            </w:tcBorders>
          </w:tcPr>
          <w:p>
            <w:pPr>
              <w:pStyle w:val="TableParagraph"/>
              <w:spacing w:before="44"/>
              <w:ind w:left="342" w:right="682"/>
              <w:rPr>
                <w:sz w:val="18"/>
              </w:rPr>
            </w:pPr>
            <w:r>
              <w:rPr>
                <w:sz w:val="18"/>
              </w:rPr>
              <w:t>(% of Room Revenue)</w:t>
            </w:r>
          </w:p>
        </w:tc>
        <w:tc>
          <w:tcPr>
            <w:tcW w:w="2411" w:type="dxa"/>
            <w:tcBorders>
              <w:top w:val="single" w:sz="6" w:space="0" w:color="69BD28"/>
              <w:bottom w:val="single" w:sz="6" w:space="0" w:color="69BD28"/>
            </w:tcBorders>
          </w:tcPr>
          <w:p>
            <w:pPr>
              <w:pStyle w:val="TableParagraph"/>
              <w:spacing w:before="44"/>
              <w:ind w:left="849"/>
              <w:jc w:val="left"/>
              <w:rPr>
                <w:sz w:val="18"/>
              </w:rPr>
            </w:pPr>
            <w:r>
              <w:rPr>
                <w:w w:val="110"/>
                <w:sz w:val="18"/>
              </w:rPr>
              <w:t>15.0%</w:t>
            </w:r>
          </w:p>
        </w:tc>
        <w:tc>
          <w:tcPr>
            <w:tcW w:w="2580" w:type="dxa"/>
            <w:tcBorders>
              <w:top w:val="single" w:sz="6" w:space="0" w:color="69BD28"/>
              <w:bottom w:val="single" w:sz="6" w:space="0" w:color="69BD28"/>
            </w:tcBorders>
          </w:tcPr>
          <w:p>
            <w:pPr>
              <w:pStyle w:val="TableParagraph"/>
              <w:spacing w:before="44"/>
              <w:ind w:left="1055"/>
              <w:jc w:val="left"/>
              <w:rPr>
                <w:sz w:val="18"/>
              </w:rPr>
            </w:pPr>
            <w:r>
              <w:rPr>
                <w:w w:val="110"/>
                <w:sz w:val="18"/>
              </w:rPr>
              <w:t>15.0%</w:t>
            </w:r>
          </w:p>
        </w:tc>
      </w:tr>
    </w:tbl>
    <w:p>
      <w:pPr>
        <w:spacing w:line="321" w:lineRule="auto" w:before="116"/>
        <w:ind w:left="220" w:right="0" w:firstLine="0"/>
        <w:jc w:val="left"/>
        <w:rPr>
          <w:i/>
          <w:sz w:val="18"/>
        </w:rPr>
      </w:pPr>
      <w:r>
        <w:rPr>
          <w:i/>
          <w:sz w:val="18"/>
        </w:rPr>
        <w:t>*Note:</w:t>
      </w:r>
      <w:r>
        <w:rPr>
          <w:i/>
          <w:spacing w:val="-25"/>
          <w:sz w:val="18"/>
        </w:rPr>
        <w:t> </w:t>
      </w:r>
      <w:r>
        <w:rPr>
          <w:i/>
          <w:sz w:val="18"/>
        </w:rPr>
        <w:t>higher</w:t>
      </w:r>
      <w:r>
        <w:rPr>
          <w:i/>
          <w:spacing w:val="-27"/>
          <w:sz w:val="18"/>
        </w:rPr>
        <w:t> </w:t>
      </w:r>
      <w:r>
        <w:rPr>
          <w:i/>
          <w:sz w:val="18"/>
        </w:rPr>
        <w:t>income</w:t>
      </w:r>
      <w:r>
        <w:rPr>
          <w:i/>
          <w:spacing w:val="-26"/>
          <w:sz w:val="18"/>
        </w:rPr>
        <w:t> </w:t>
      </w:r>
      <w:r>
        <w:rPr>
          <w:i/>
          <w:sz w:val="18"/>
        </w:rPr>
        <w:t>considered</w:t>
      </w:r>
      <w:r>
        <w:rPr>
          <w:i/>
          <w:spacing w:val="-25"/>
          <w:sz w:val="18"/>
        </w:rPr>
        <w:t> </w:t>
      </w:r>
      <w:r>
        <w:rPr>
          <w:i/>
          <w:sz w:val="18"/>
        </w:rPr>
        <w:t>to</w:t>
      </w:r>
      <w:r>
        <w:rPr>
          <w:i/>
          <w:spacing w:val="-25"/>
          <w:sz w:val="18"/>
        </w:rPr>
        <w:t> </w:t>
      </w:r>
      <w:r>
        <w:rPr>
          <w:i/>
          <w:sz w:val="18"/>
        </w:rPr>
        <w:t>factor</w:t>
      </w:r>
      <w:r>
        <w:rPr>
          <w:i/>
          <w:spacing w:val="-25"/>
          <w:sz w:val="18"/>
        </w:rPr>
        <w:t> </w:t>
      </w:r>
      <w:r>
        <w:rPr>
          <w:i/>
          <w:sz w:val="18"/>
        </w:rPr>
        <w:t>income</w:t>
      </w:r>
      <w:r>
        <w:rPr>
          <w:i/>
          <w:spacing w:val="-26"/>
          <w:sz w:val="18"/>
        </w:rPr>
        <w:t> </w:t>
      </w:r>
      <w:r>
        <w:rPr>
          <w:i/>
          <w:sz w:val="18"/>
        </w:rPr>
        <w:t>generated</w:t>
      </w:r>
      <w:r>
        <w:rPr>
          <w:i/>
          <w:spacing w:val="-25"/>
          <w:sz w:val="18"/>
        </w:rPr>
        <w:t> </w:t>
      </w:r>
      <w:r>
        <w:rPr>
          <w:i/>
          <w:sz w:val="18"/>
        </w:rPr>
        <w:t>by</w:t>
      </w:r>
      <w:r>
        <w:rPr>
          <w:i/>
          <w:spacing w:val="-24"/>
          <w:sz w:val="18"/>
        </w:rPr>
        <w:t> </w:t>
      </w:r>
      <w:r>
        <w:rPr>
          <w:i/>
          <w:sz w:val="18"/>
        </w:rPr>
        <w:t>convention</w:t>
      </w:r>
      <w:r>
        <w:rPr>
          <w:i/>
          <w:spacing w:val="-27"/>
          <w:sz w:val="18"/>
        </w:rPr>
        <w:t> </w:t>
      </w:r>
      <w:r>
        <w:rPr>
          <w:i/>
          <w:sz w:val="18"/>
        </w:rPr>
        <w:t>space</w:t>
      </w:r>
      <w:r>
        <w:rPr>
          <w:i/>
          <w:spacing w:val="-24"/>
          <w:sz w:val="18"/>
        </w:rPr>
        <w:t> </w:t>
      </w:r>
      <w:r>
        <w:rPr>
          <w:i/>
          <w:sz w:val="18"/>
        </w:rPr>
        <w:t>in</w:t>
      </w:r>
      <w:r>
        <w:rPr>
          <w:i/>
          <w:spacing w:val="-26"/>
          <w:sz w:val="18"/>
        </w:rPr>
        <w:t> </w:t>
      </w:r>
      <w:r>
        <w:rPr>
          <w:i/>
          <w:sz w:val="18"/>
        </w:rPr>
        <w:t>the</w:t>
      </w:r>
      <w:r>
        <w:rPr>
          <w:i/>
          <w:spacing w:val="-25"/>
          <w:sz w:val="18"/>
        </w:rPr>
        <w:t> </w:t>
      </w:r>
      <w:r>
        <w:rPr>
          <w:i/>
          <w:sz w:val="18"/>
        </w:rPr>
        <w:t>subject</w:t>
      </w:r>
      <w:r>
        <w:rPr>
          <w:i/>
          <w:spacing w:val="-25"/>
          <w:sz w:val="18"/>
        </w:rPr>
        <w:t> </w:t>
      </w:r>
      <w:r>
        <w:rPr>
          <w:i/>
          <w:sz w:val="18"/>
        </w:rPr>
        <w:t>as</w:t>
      </w:r>
      <w:r>
        <w:rPr>
          <w:i/>
          <w:spacing w:val="-27"/>
          <w:sz w:val="18"/>
        </w:rPr>
        <w:t> </w:t>
      </w:r>
      <w:r>
        <w:rPr>
          <w:i/>
          <w:sz w:val="18"/>
        </w:rPr>
        <w:t>the</w:t>
      </w:r>
      <w:r>
        <w:rPr>
          <w:i/>
          <w:spacing w:val="-26"/>
          <w:sz w:val="18"/>
        </w:rPr>
        <w:t> </w:t>
      </w:r>
      <w:r>
        <w:rPr>
          <w:i/>
          <w:sz w:val="18"/>
        </w:rPr>
        <w:t>same</w:t>
      </w:r>
      <w:r>
        <w:rPr>
          <w:i/>
          <w:spacing w:val="-26"/>
          <w:sz w:val="18"/>
        </w:rPr>
        <w:t> </w:t>
      </w:r>
      <w:r>
        <w:rPr>
          <w:i/>
          <w:sz w:val="18"/>
        </w:rPr>
        <w:t>would</w:t>
      </w:r>
      <w:r>
        <w:rPr>
          <w:i/>
          <w:spacing w:val="-18"/>
          <w:sz w:val="18"/>
        </w:rPr>
        <w:t> </w:t>
      </w:r>
      <w:r>
        <w:rPr>
          <w:i/>
          <w:sz w:val="18"/>
        </w:rPr>
        <w:t>be</w:t>
      </w:r>
      <w:r>
        <w:rPr>
          <w:i/>
          <w:spacing w:val="-26"/>
          <w:sz w:val="18"/>
        </w:rPr>
        <w:t> </w:t>
      </w:r>
      <w:r>
        <w:rPr>
          <w:i/>
          <w:sz w:val="18"/>
        </w:rPr>
        <w:t>managed</w:t>
      </w:r>
      <w:r>
        <w:rPr>
          <w:i/>
          <w:spacing w:val="-25"/>
          <w:sz w:val="18"/>
        </w:rPr>
        <w:t> </w:t>
      </w:r>
      <w:r>
        <w:rPr>
          <w:i/>
          <w:sz w:val="18"/>
        </w:rPr>
        <w:t>by</w:t>
      </w:r>
      <w:r>
        <w:rPr>
          <w:i/>
          <w:spacing w:val="-27"/>
          <w:sz w:val="18"/>
        </w:rPr>
        <w:t> </w:t>
      </w:r>
      <w:r>
        <w:rPr>
          <w:i/>
          <w:sz w:val="18"/>
        </w:rPr>
        <w:t>the </w:t>
      </w:r>
      <w:r>
        <w:rPr>
          <w:i/>
          <w:sz w:val="18"/>
        </w:rPr>
        <w:t>hotel.</w:t>
      </w:r>
    </w:p>
    <w:p>
      <w:pPr>
        <w:pStyle w:val="ListParagraph"/>
        <w:numPr>
          <w:ilvl w:val="3"/>
          <w:numId w:val="33"/>
        </w:numPr>
        <w:tabs>
          <w:tab w:pos="1085" w:val="left" w:leader="none"/>
        </w:tabs>
        <w:spacing w:line="240" w:lineRule="auto" w:before="183" w:after="0"/>
        <w:ind w:left="1084" w:right="0" w:hanging="865"/>
        <w:jc w:val="both"/>
        <w:rPr>
          <w:sz w:val="22"/>
        </w:rPr>
      </w:pPr>
      <w:r>
        <w:rPr>
          <w:color w:val="008000"/>
          <w:sz w:val="22"/>
        </w:rPr>
        <w:t>Operating</w:t>
      </w:r>
      <w:r>
        <w:rPr>
          <w:color w:val="008000"/>
          <w:spacing w:val="-3"/>
          <w:sz w:val="22"/>
        </w:rPr>
        <w:t> </w:t>
      </w:r>
      <w:r>
        <w:rPr>
          <w:color w:val="008000"/>
          <w:sz w:val="22"/>
        </w:rPr>
        <w:t>Cost</w:t>
      </w:r>
    </w:p>
    <w:p>
      <w:pPr>
        <w:pStyle w:val="BodyText"/>
        <w:spacing w:line="319" w:lineRule="auto" w:before="147"/>
        <w:ind w:left="782" w:right="201"/>
        <w:jc w:val="both"/>
      </w:pPr>
      <w:r>
        <w:rPr/>
        <w:t>The</w:t>
      </w:r>
      <w:r>
        <w:rPr>
          <w:spacing w:val="-15"/>
        </w:rPr>
        <w:t> </w:t>
      </w:r>
      <w:r>
        <w:rPr/>
        <w:t>following</w:t>
      </w:r>
      <w:r>
        <w:rPr>
          <w:spacing w:val="-14"/>
        </w:rPr>
        <w:t> </w:t>
      </w:r>
      <w:r>
        <w:rPr/>
        <w:t>operating</w:t>
      </w:r>
      <w:r>
        <w:rPr>
          <w:spacing w:val="-13"/>
        </w:rPr>
        <w:t> </w:t>
      </w:r>
      <w:r>
        <w:rPr/>
        <w:t>costs</w:t>
      </w:r>
      <w:r>
        <w:rPr>
          <w:spacing w:val="-13"/>
        </w:rPr>
        <w:t> </w:t>
      </w:r>
      <w:r>
        <w:rPr/>
        <w:t>have</w:t>
      </w:r>
      <w:r>
        <w:rPr>
          <w:spacing w:val="-14"/>
        </w:rPr>
        <w:t> </w:t>
      </w:r>
      <w:r>
        <w:rPr/>
        <w:t>been</w:t>
      </w:r>
      <w:r>
        <w:rPr>
          <w:spacing w:val="-11"/>
        </w:rPr>
        <w:t> </w:t>
      </w:r>
      <w:r>
        <w:rPr/>
        <w:t>considered</w:t>
      </w:r>
      <w:r>
        <w:rPr>
          <w:spacing w:val="-13"/>
        </w:rPr>
        <w:t> </w:t>
      </w:r>
      <w:r>
        <w:rPr/>
        <w:t>based</w:t>
      </w:r>
      <w:r>
        <w:rPr>
          <w:spacing w:val="-14"/>
        </w:rPr>
        <w:t> </w:t>
      </w:r>
      <w:r>
        <w:rPr/>
        <w:t>on</w:t>
      </w:r>
      <w:r>
        <w:rPr>
          <w:spacing w:val="-14"/>
        </w:rPr>
        <w:t> </w:t>
      </w:r>
      <w:r>
        <w:rPr/>
        <w:t>benchmarks</w:t>
      </w:r>
      <w:r>
        <w:rPr>
          <w:spacing w:val="-15"/>
        </w:rPr>
        <w:t> </w:t>
      </w:r>
      <w:r>
        <w:rPr/>
        <w:t>available</w:t>
      </w:r>
      <w:r>
        <w:rPr>
          <w:spacing w:val="-15"/>
        </w:rPr>
        <w:t> </w:t>
      </w:r>
      <w:r>
        <w:rPr/>
        <w:t>in</w:t>
      </w:r>
      <w:r>
        <w:rPr>
          <w:spacing w:val="-15"/>
        </w:rPr>
        <w:t> </w:t>
      </w:r>
      <w:r>
        <w:rPr/>
        <w:t>the</w:t>
      </w:r>
      <w:r>
        <w:rPr>
          <w:spacing w:val="-14"/>
        </w:rPr>
        <w:t> </w:t>
      </w:r>
      <w:r>
        <w:rPr/>
        <w:t>markets</w:t>
      </w:r>
      <w:r>
        <w:rPr>
          <w:spacing w:val="-12"/>
        </w:rPr>
        <w:t> </w:t>
      </w:r>
      <w:r>
        <w:rPr/>
        <w:t>on various</w:t>
      </w:r>
      <w:r>
        <w:rPr>
          <w:spacing w:val="-11"/>
        </w:rPr>
        <w:t> </w:t>
      </w:r>
      <w:r>
        <w:rPr/>
        <w:t>heads</w:t>
      </w:r>
      <w:r>
        <w:rPr>
          <w:spacing w:val="-11"/>
        </w:rPr>
        <w:t> </w:t>
      </w:r>
      <w:r>
        <w:rPr/>
        <w:t>to</w:t>
      </w:r>
      <w:r>
        <w:rPr>
          <w:spacing w:val="-12"/>
        </w:rPr>
        <w:t> </w:t>
      </w:r>
      <w:r>
        <w:rPr/>
        <w:t>arrive</w:t>
      </w:r>
      <w:r>
        <w:rPr>
          <w:spacing w:val="-12"/>
        </w:rPr>
        <w:t> </w:t>
      </w:r>
      <w:r>
        <w:rPr/>
        <w:t>at</w:t>
      </w:r>
      <w:r>
        <w:rPr>
          <w:spacing w:val="-12"/>
        </w:rPr>
        <w:t> </w:t>
      </w:r>
      <w:r>
        <w:rPr/>
        <w:t>the</w:t>
      </w:r>
      <w:r>
        <w:rPr>
          <w:spacing w:val="-11"/>
        </w:rPr>
        <w:t> </w:t>
      </w:r>
      <w:r>
        <w:rPr/>
        <w:t>net</w:t>
      </w:r>
      <w:r>
        <w:rPr>
          <w:spacing w:val="-12"/>
        </w:rPr>
        <w:t> </w:t>
      </w:r>
      <w:r>
        <w:rPr/>
        <w:t>cash</w:t>
      </w:r>
      <w:r>
        <w:rPr>
          <w:spacing w:val="-13"/>
        </w:rPr>
        <w:t> </w:t>
      </w:r>
      <w:r>
        <w:rPr/>
        <w:t>flows</w:t>
      </w:r>
      <w:r>
        <w:rPr>
          <w:spacing w:val="-11"/>
        </w:rPr>
        <w:t> </w:t>
      </w:r>
      <w:r>
        <w:rPr/>
        <w:t>for</w:t>
      </w:r>
      <w:r>
        <w:rPr>
          <w:spacing w:val="-12"/>
        </w:rPr>
        <w:t> </w:t>
      </w:r>
      <w:r>
        <w:rPr/>
        <w:t>the</w:t>
      </w:r>
      <w:r>
        <w:rPr>
          <w:spacing w:val="-15"/>
        </w:rPr>
        <w:t> </w:t>
      </w:r>
      <w:r>
        <w:rPr/>
        <w:t>purpose</w:t>
      </w:r>
      <w:r>
        <w:rPr>
          <w:spacing w:val="-12"/>
        </w:rPr>
        <w:t> </w:t>
      </w:r>
      <w:r>
        <w:rPr/>
        <w:t>of</w:t>
      </w:r>
      <w:r>
        <w:rPr>
          <w:spacing w:val="-10"/>
        </w:rPr>
        <w:t> </w:t>
      </w:r>
      <w:r>
        <w:rPr/>
        <w:t>this</w:t>
      </w:r>
      <w:r>
        <w:rPr>
          <w:spacing w:val="-11"/>
        </w:rPr>
        <w:t> </w:t>
      </w:r>
      <w:r>
        <w:rPr/>
        <w:t>valuation</w:t>
      </w:r>
      <w:r>
        <w:rPr>
          <w:spacing w:val="-13"/>
        </w:rPr>
        <w:t> </w:t>
      </w:r>
      <w:r>
        <w:rPr/>
        <w:t>exercise:</w:t>
      </w:r>
    </w:p>
    <w:p>
      <w:pPr>
        <w:pStyle w:val="BodyText"/>
        <w:spacing w:before="8"/>
        <w:rPr>
          <w:sz w:val="20"/>
        </w:rPr>
      </w:pPr>
    </w:p>
    <w:tbl>
      <w:tblPr>
        <w:tblCellSpacing w:w="13" w:type="dxa"/>
        <w:tblW w:w="0" w:type="auto"/>
        <w:jc w:val="left"/>
        <w:tblInd w:w="707"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4100"/>
        <w:gridCol w:w="2287"/>
        <w:gridCol w:w="3153"/>
      </w:tblGrid>
      <w:tr>
        <w:trPr>
          <w:trHeight w:val="188" w:hRule="atLeast"/>
        </w:trPr>
        <w:tc>
          <w:tcPr>
            <w:tcW w:w="4100" w:type="dxa"/>
            <w:tcBorders>
              <w:left w:val="nil"/>
              <w:right w:val="nil"/>
            </w:tcBorders>
            <w:shd w:val="clear" w:color="auto" w:fill="006A4D"/>
          </w:tcPr>
          <w:p>
            <w:pPr>
              <w:pStyle w:val="TableParagraph"/>
              <w:spacing w:line="192" w:lineRule="exact" w:before="4"/>
              <w:ind w:left="1381" w:right="1381"/>
              <w:rPr>
                <w:b/>
                <w:sz w:val="18"/>
              </w:rPr>
            </w:pPr>
            <w:r>
              <w:rPr>
                <w:b/>
                <w:color w:val="FFFFFF"/>
                <w:w w:val="110"/>
                <w:sz w:val="18"/>
              </w:rPr>
              <w:t>Expense Head</w:t>
            </w:r>
          </w:p>
        </w:tc>
        <w:tc>
          <w:tcPr>
            <w:tcW w:w="2287" w:type="dxa"/>
            <w:tcBorders>
              <w:left w:val="nil"/>
              <w:right w:val="nil"/>
            </w:tcBorders>
            <w:shd w:val="clear" w:color="auto" w:fill="006A4D"/>
          </w:tcPr>
          <w:p>
            <w:pPr>
              <w:pStyle w:val="TableParagraph"/>
              <w:spacing w:line="192" w:lineRule="exact" w:before="4"/>
              <w:ind w:left="862" w:right="863"/>
              <w:rPr>
                <w:b/>
                <w:sz w:val="18"/>
              </w:rPr>
            </w:pPr>
            <w:r>
              <w:rPr>
                <w:b/>
                <w:color w:val="FFFFFF"/>
                <w:w w:val="105"/>
                <w:sz w:val="18"/>
              </w:rPr>
              <w:t>5 Star</w:t>
            </w:r>
          </w:p>
        </w:tc>
        <w:tc>
          <w:tcPr>
            <w:tcW w:w="3153" w:type="dxa"/>
            <w:tcBorders>
              <w:left w:val="nil"/>
              <w:right w:val="nil"/>
            </w:tcBorders>
            <w:shd w:val="clear" w:color="auto" w:fill="006A4D"/>
          </w:tcPr>
          <w:p>
            <w:pPr>
              <w:pStyle w:val="TableParagraph"/>
              <w:spacing w:line="192" w:lineRule="exact" w:before="4"/>
              <w:ind w:left="1295" w:right="1297"/>
              <w:rPr>
                <w:b/>
                <w:sz w:val="18"/>
              </w:rPr>
            </w:pPr>
            <w:r>
              <w:rPr>
                <w:b/>
                <w:color w:val="FFFFFF"/>
                <w:w w:val="105"/>
                <w:sz w:val="18"/>
              </w:rPr>
              <w:t>3 Star</w:t>
            </w:r>
          </w:p>
        </w:tc>
      </w:tr>
    </w:tbl>
    <w:p>
      <w:pPr>
        <w:tabs>
          <w:tab w:pos="5662" w:val="left" w:leader="none"/>
          <w:tab w:pos="8403" w:val="left" w:leader="none"/>
        </w:tabs>
        <w:spacing w:before="47"/>
        <w:ind w:left="1233" w:right="0" w:firstLine="0"/>
        <w:jc w:val="left"/>
        <w:rPr>
          <w:sz w:val="18"/>
        </w:rPr>
      </w:pPr>
      <w:r>
        <w:rPr/>
        <w:pict>
          <v:rect style="position:absolute;margin-left:57.144001pt;margin-top:14.881683pt;width:480.576023pt;height:.719pt;mso-position-horizontal-relative:page;mso-position-vertical-relative:paragraph;z-index:-15523328;mso-wrap-distance-left:0;mso-wrap-distance-right:0" filled="true" fillcolor="#69bd28" stroked="false">
            <v:fill type="solid"/>
            <w10:wrap type="topAndBottom"/>
          </v:rect>
        </w:pict>
      </w:r>
      <w:r>
        <w:rPr>
          <w:sz w:val="18"/>
        </w:rPr>
        <w:t>Room Costs (as a % of</w:t>
      </w:r>
      <w:r>
        <w:rPr>
          <w:spacing w:val="-24"/>
          <w:sz w:val="18"/>
        </w:rPr>
        <w:t> </w:t>
      </w:r>
      <w:r>
        <w:rPr>
          <w:sz w:val="18"/>
        </w:rPr>
        <w:t>room</w:t>
      </w:r>
      <w:r>
        <w:rPr>
          <w:spacing w:val="-3"/>
          <w:sz w:val="18"/>
        </w:rPr>
        <w:t> </w:t>
      </w:r>
      <w:r>
        <w:rPr>
          <w:sz w:val="18"/>
        </w:rPr>
        <w:t>revenue)</w:t>
        <w:tab/>
        <w:t>15.0%</w:t>
        <w:tab/>
        <w:t>15.0%</w:t>
      </w:r>
    </w:p>
    <w:p>
      <w:pPr>
        <w:spacing w:after="0"/>
        <w:jc w:val="left"/>
        <w:rPr>
          <w:sz w:val="18"/>
        </w:rPr>
        <w:sectPr>
          <w:pgSz w:w="11910" w:h="16840"/>
          <w:pgMar w:header="720" w:footer="842" w:top="1660" w:bottom="1040" w:left="500" w:right="520"/>
        </w:sectPr>
      </w:pPr>
    </w:p>
    <w:p>
      <w:pPr>
        <w:pStyle w:val="BodyText"/>
        <w:spacing w:before="4"/>
        <w:rPr>
          <w:sz w:val="18"/>
        </w:rPr>
      </w:pPr>
    </w:p>
    <w:tbl>
      <w:tblPr>
        <w:tblCellSpacing w:w="13" w:type="dxa"/>
        <w:tblW w:w="0" w:type="auto"/>
        <w:jc w:val="left"/>
        <w:tblInd w:w="707"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4100"/>
        <w:gridCol w:w="2287"/>
        <w:gridCol w:w="3153"/>
      </w:tblGrid>
      <w:tr>
        <w:trPr>
          <w:trHeight w:val="188" w:hRule="atLeast"/>
        </w:trPr>
        <w:tc>
          <w:tcPr>
            <w:tcW w:w="4100" w:type="dxa"/>
            <w:tcBorders>
              <w:left w:val="nil"/>
              <w:right w:val="nil"/>
            </w:tcBorders>
            <w:shd w:val="clear" w:color="auto" w:fill="006A4D"/>
          </w:tcPr>
          <w:p>
            <w:pPr>
              <w:pStyle w:val="TableParagraph"/>
              <w:spacing w:line="192" w:lineRule="exact" w:before="3"/>
              <w:ind w:left="1381" w:right="1381"/>
              <w:rPr>
                <w:b/>
                <w:sz w:val="18"/>
              </w:rPr>
            </w:pPr>
            <w:r>
              <w:rPr>
                <w:b/>
                <w:color w:val="FFFFFF"/>
                <w:w w:val="110"/>
                <w:sz w:val="18"/>
              </w:rPr>
              <w:t>Expense Head</w:t>
            </w:r>
          </w:p>
        </w:tc>
        <w:tc>
          <w:tcPr>
            <w:tcW w:w="2287" w:type="dxa"/>
            <w:tcBorders>
              <w:left w:val="nil"/>
              <w:right w:val="nil"/>
            </w:tcBorders>
            <w:shd w:val="clear" w:color="auto" w:fill="006A4D"/>
          </w:tcPr>
          <w:p>
            <w:pPr>
              <w:pStyle w:val="TableParagraph"/>
              <w:spacing w:line="192" w:lineRule="exact" w:before="3"/>
              <w:ind w:left="862" w:right="863"/>
              <w:rPr>
                <w:b/>
                <w:sz w:val="18"/>
              </w:rPr>
            </w:pPr>
            <w:r>
              <w:rPr>
                <w:b/>
                <w:color w:val="FFFFFF"/>
                <w:w w:val="105"/>
                <w:sz w:val="18"/>
              </w:rPr>
              <w:t>5 Star</w:t>
            </w:r>
          </w:p>
        </w:tc>
        <w:tc>
          <w:tcPr>
            <w:tcW w:w="3153" w:type="dxa"/>
            <w:tcBorders>
              <w:left w:val="nil"/>
              <w:right w:val="nil"/>
            </w:tcBorders>
            <w:shd w:val="clear" w:color="auto" w:fill="006A4D"/>
          </w:tcPr>
          <w:p>
            <w:pPr>
              <w:pStyle w:val="TableParagraph"/>
              <w:spacing w:line="192" w:lineRule="exact" w:before="3"/>
              <w:ind w:left="1295" w:right="1297"/>
              <w:rPr>
                <w:b/>
                <w:sz w:val="18"/>
              </w:rPr>
            </w:pPr>
            <w:r>
              <w:rPr>
                <w:b/>
                <w:color w:val="FFFFFF"/>
                <w:w w:val="105"/>
                <w:sz w:val="18"/>
              </w:rPr>
              <w:t>3 Star</w:t>
            </w:r>
          </w:p>
        </w:tc>
      </w:tr>
    </w:tbl>
    <w:p>
      <w:pPr>
        <w:pStyle w:val="BodyText"/>
        <w:spacing w:before="5"/>
        <w:rPr>
          <w:sz w:val="3"/>
        </w:rPr>
      </w:pPr>
    </w:p>
    <w:tbl>
      <w:tblPr>
        <w:tblW w:w="0" w:type="auto"/>
        <w:jc w:val="left"/>
        <w:tblInd w:w="6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35"/>
        <w:gridCol w:w="2330"/>
        <w:gridCol w:w="2933"/>
      </w:tblGrid>
      <w:tr>
        <w:trPr>
          <w:trHeight w:val="257" w:hRule="atLeast"/>
        </w:trPr>
        <w:tc>
          <w:tcPr>
            <w:tcW w:w="4335" w:type="dxa"/>
            <w:tcBorders>
              <w:bottom w:val="single" w:sz="6" w:space="0" w:color="69BD28"/>
            </w:tcBorders>
          </w:tcPr>
          <w:p>
            <w:pPr>
              <w:pStyle w:val="TableParagraph"/>
              <w:spacing w:before="4"/>
              <w:ind w:left="45" w:right="262"/>
              <w:rPr>
                <w:sz w:val="18"/>
              </w:rPr>
            </w:pPr>
            <w:r>
              <w:rPr>
                <w:sz w:val="18"/>
              </w:rPr>
              <w:t>F&amp;B costs (as a % of F&amp;B revenue)</w:t>
            </w:r>
          </w:p>
        </w:tc>
        <w:tc>
          <w:tcPr>
            <w:tcW w:w="2330" w:type="dxa"/>
            <w:tcBorders>
              <w:bottom w:val="single" w:sz="6" w:space="0" w:color="69BD28"/>
            </w:tcBorders>
          </w:tcPr>
          <w:p>
            <w:pPr>
              <w:pStyle w:val="TableParagraph"/>
              <w:spacing w:before="4"/>
              <w:ind w:left="317" w:right="730"/>
              <w:rPr>
                <w:sz w:val="18"/>
              </w:rPr>
            </w:pPr>
            <w:r>
              <w:rPr>
                <w:w w:val="110"/>
                <w:sz w:val="18"/>
              </w:rPr>
              <w:t>45.0%</w:t>
            </w:r>
          </w:p>
        </w:tc>
        <w:tc>
          <w:tcPr>
            <w:tcW w:w="2933" w:type="dxa"/>
            <w:tcBorders>
              <w:bottom w:val="single" w:sz="6" w:space="0" w:color="69BD28"/>
            </w:tcBorders>
          </w:tcPr>
          <w:p>
            <w:pPr>
              <w:pStyle w:val="TableParagraph"/>
              <w:spacing w:before="4"/>
              <w:ind w:left="731" w:right="924"/>
              <w:rPr>
                <w:sz w:val="18"/>
              </w:rPr>
            </w:pPr>
            <w:r>
              <w:rPr>
                <w:w w:val="110"/>
                <w:sz w:val="18"/>
              </w:rPr>
              <w:t>45.0%</w:t>
            </w:r>
          </w:p>
        </w:tc>
      </w:tr>
      <w:tr>
        <w:trPr>
          <w:trHeight w:val="294" w:hRule="atLeast"/>
        </w:trPr>
        <w:tc>
          <w:tcPr>
            <w:tcW w:w="4335" w:type="dxa"/>
            <w:tcBorders>
              <w:top w:val="single" w:sz="6" w:space="0" w:color="69BD28"/>
              <w:bottom w:val="single" w:sz="6" w:space="0" w:color="69BD28"/>
            </w:tcBorders>
          </w:tcPr>
          <w:p>
            <w:pPr>
              <w:pStyle w:val="TableParagraph"/>
              <w:spacing w:before="44"/>
              <w:ind w:left="44" w:right="264"/>
              <w:rPr>
                <w:sz w:val="18"/>
              </w:rPr>
            </w:pPr>
            <w:r>
              <w:rPr>
                <w:w w:val="105"/>
                <w:sz w:val="18"/>
              </w:rPr>
              <w:t>MOD Costs (as a % of MOD revenues)</w:t>
            </w:r>
          </w:p>
        </w:tc>
        <w:tc>
          <w:tcPr>
            <w:tcW w:w="2330" w:type="dxa"/>
            <w:tcBorders>
              <w:top w:val="single" w:sz="6" w:space="0" w:color="69BD28"/>
              <w:bottom w:val="single" w:sz="6" w:space="0" w:color="69BD28"/>
            </w:tcBorders>
          </w:tcPr>
          <w:p>
            <w:pPr>
              <w:pStyle w:val="TableParagraph"/>
              <w:spacing w:before="44"/>
              <w:ind w:left="317" w:right="730"/>
              <w:rPr>
                <w:sz w:val="18"/>
              </w:rPr>
            </w:pPr>
            <w:r>
              <w:rPr>
                <w:w w:val="110"/>
                <w:sz w:val="18"/>
              </w:rPr>
              <w:t>50.0%</w:t>
            </w:r>
          </w:p>
        </w:tc>
        <w:tc>
          <w:tcPr>
            <w:tcW w:w="2933" w:type="dxa"/>
            <w:tcBorders>
              <w:top w:val="single" w:sz="6" w:space="0" w:color="69BD28"/>
              <w:bottom w:val="single" w:sz="6" w:space="0" w:color="69BD28"/>
            </w:tcBorders>
          </w:tcPr>
          <w:p>
            <w:pPr>
              <w:pStyle w:val="TableParagraph"/>
              <w:spacing w:before="44"/>
              <w:ind w:left="731" w:right="924"/>
              <w:rPr>
                <w:sz w:val="18"/>
              </w:rPr>
            </w:pPr>
            <w:r>
              <w:rPr>
                <w:w w:val="110"/>
                <w:sz w:val="18"/>
              </w:rPr>
              <w:t>50.0%</w:t>
            </w:r>
          </w:p>
        </w:tc>
      </w:tr>
      <w:tr>
        <w:trPr>
          <w:trHeight w:val="297" w:hRule="atLeast"/>
        </w:trPr>
        <w:tc>
          <w:tcPr>
            <w:tcW w:w="4335" w:type="dxa"/>
            <w:tcBorders>
              <w:top w:val="single" w:sz="6" w:space="0" w:color="69BD28"/>
              <w:bottom w:val="single" w:sz="6" w:space="0" w:color="69BD28"/>
            </w:tcBorders>
          </w:tcPr>
          <w:p>
            <w:pPr>
              <w:pStyle w:val="TableParagraph"/>
              <w:spacing w:before="44"/>
              <w:ind w:left="45" w:right="264"/>
              <w:rPr>
                <w:sz w:val="18"/>
              </w:rPr>
            </w:pPr>
            <w:r>
              <w:rPr>
                <w:sz w:val="18"/>
              </w:rPr>
              <w:t>Administrative expenses (as a % of total revenue)</w:t>
            </w:r>
          </w:p>
        </w:tc>
        <w:tc>
          <w:tcPr>
            <w:tcW w:w="2330" w:type="dxa"/>
            <w:tcBorders>
              <w:top w:val="single" w:sz="6" w:space="0" w:color="69BD28"/>
              <w:bottom w:val="single" w:sz="6" w:space="0" w:color="69BD28"/>
            </w:tcBorders>
          </w:tcPr>
          <w:p>
            <w:pPr>
              <w:pStyle w:val="TableParagraph"/>
              <w:spacing w:before="44"/>
              <w:ind w:left="317" w:right="730"/>
              <w:rPr>
                <w:sz w:val="18"/>
              </w:rPr>
            </w:pPr>
            <w:r>
              <w:rPr>
                <w:w w:val="110"/>
                <w:sz w:val="18"/>
              </w:rPr>
              <w:t>6.0%</w:t>
            </w:r>
          </w:p>
        </w:tc>
        <w:tc>
          <w:tcPr>
            <w:tcW w:w="2933" w:type="dxa"/>
            <w:tcBorders>
              <w:top w:val="single" w:sz="6" w:space="0" w:color="69BD28"/>
              <w:bottom w:val="single" w:sz="6" w:space="0" w:color="69BD28"/>
            </w:tcBorders>
          </w:tcPr>
          <w:p>
            <w:pPr>
              <w:pStyle w:val="TableParagraph"/>
              <w:spacing w:before="44"/>
              <w:ind w:left="731" w:right="924"/>
              <w:rPr>
                <w:sz w:val="18"/>
              </w:rPr>
            </w:pPr>
            <w:r>
              <w:rPr>
                <w:w w:val="110"/>
                <w:sz w:val="18"/>
              </w:rPr>
              <w:t>6.0%</w:t>
            </w:r>
          </w:p>
        </w:tc>
      </w:tr>
      <w:tr>
        <w:trPr>
          <w:trHeight w:val="294" w:hRule="atLeast"/>
        </w:trPr>
        <w:tc>
          <w:tcPr>
            <w:tcW w:w="4335" w:type="dxa"/>
            <w:tcBorders>
              <w:top w:val="single" w:sz="6" w:space="0" w:color="69BD28"/>
              <w:bottom w:val="single" w:sz="6" w:space="0" w:color="69BD28"/>
            </w:tcBorders>
          </w:tcPr>
          <w:p>
            <w:pPr>
              <w:pStyle w:val="TableParagraph"/>
              <w:spacing w:before="44"/>
              <w:ind w:left="45" w:right="264"/>
              <w:rPr>
                <w:sz w:val="18"/>
              </w:rPr>
            </w:pPr>
            <w:r>
              <w:rPr>
                <w:sz w:val="18"/>
              </w:rPr>
              <w:t>Maintenance expenses (as a % of total revenue)</w:t>
            </w:r>
          </w:p>
        </w:tc>
        <w:tc>
          <w:tcPr>
            <w:tcW w:w="2330" w:type="dxa"/>
            <w:tcBorders>
              <w:top w:val="single" w:sz="6" w:space="0" w:color="69BD28"/>
              <w:bottom w:val="single" w:sz="6" w:space="0" w:color="69BD28"/>
            </w:tcBorders>
          </w:tcPr>
          <w:p>
            <w:pPr>
              <w:pStyle w:val="TableParagraph"/>
              <w:spacing w:before="44"/>
              <w:ind w:left="317" w:right="730"/>
              <w:rPr>
                <w:sz w:val="18"/>
              </w:rPr>
            </w:pPr>
            <w:r>
              <w:rPr>
                <w:w w:val="110"/>
                <w:sz w:val="18"/>
              </w:rPr>
              <w:t>5.0%</w:t>
            </w:r>
          </w:p>
        </w:tc>
        <w:tc>
          <w:tcPr>
            <w:tcW w:w="2933" w:type="dxa"/>
            <w:tcBorders>
              <w:top w:val="single" w:sz="6" w:space="0" w:color="69BD28"/>
              <w:bottom w:val="single" w:sz="6" w:space="0" w:color="69BD28"/>
            </w:tcBorders>
          </w:tcPr>
          <w:p>
            <w:pPr>
              <w:pStyle w:val="TableParagraph"/>
              <w:spacing w:before="44"/>
              <w:ind w:left="731" w:right="924"/>
              <w:rPr>
                <w:sz w:val="18"/>
              </w:rPr>
            </w:pPr>
            <w:r>
              <w:rPr>
                <w:w w:val="110"/>
                <w:sz w:val="18"/>
              </w:rPr>
              <w:t>5.0%</w:t>
            </w:r>
          </w:p>
        </w:tc>
      </w:tr>
      <w:tr>
        <w:trPr>
          <w:trHeight w:val="297" w:hRule="atLeast"/>
        </w:trPr>
        <w:tc>
          <w:tcPr>
            <w:tcW w:w="4335" w:type="dxa"/>
            <w:tcBorders>
              <w:top w:val="single" w:sz="6" w:space="0" w:color="69BD28"/>
              <w:bottom w:val="single" w:sz="6" w:space="0" w:color="69BD28"/>
            </w:tcBorders>
          </w:tcPr>
          <w:p>
            <w:pPr>
              <w:pStyle w:val="TableParagraph"/>
              <w:spacing w:before="44"/>
              <w:ind w:left="45" w:right="264"/>
              <w:rPr>
                <w:sz w:val="18"/>
              </w:rPr>
            </w:pPr>
            <w:r>
              <w:rPr>
                <w:sz w:val="18"/>
              </w:rPr>
              <w:t>Operating Expenses (as a % of total revenue)</w:t>
            </w:r>
          </w:p>
        </w:tc>
        <w:tc>
          <w:tcPr>
            <w:tcW w:w="2330" w:type="dxa"/>
            <w:tcBorders>
              <w:top w:val="single" w:sz="6" w:space="0" w:color="69BD28"/>
              <w:bottom w:val="single" w:sz="6" w:space="0" w:color="69BD28"/>
            </w:tcBorders>
          </w:tcPr>
          <w:p>
            <w:pPr>
              <w:pStyle w:val="TableParagraph"/>
              <w:spacing w:before="44"/>
              <w:ind w:left="317" w:right="730"/>
              <w:rPr>
                <w:sz w:val="18"/>
              </w:rPr>
            </w:pPr>
            <w:r>
              <w:rPr>
                <w:w w:val="110"/>
                <w:sz w:val="18"/>
              </w:rPr>
              <w:t>11.0%</w:t>
            </w:r>
          </w:p>
        </w:tc>
        <w:tc>
          <w:tcPr>
            <w:tcW w:w="2933" w:type="dxa"/>
            <w:tcBorders>
              <w:top w:val="single" w:sz="6" w:space="0" w:color="69BD28"/>
              <w:bottom w:val="single" w:sz="6" w:space="0" w:color="69BD28"/>
            </w:tcBorders>
          </w:tcPr>
          <w:p>
            <w:pPr>
              <w:pStyle w:val="TableParagraph"/>
              <w:spacing w:before="44"/>
              <w:ind w:left="731" w:right="924"/>
              <w:rPr>
                <w:sz w:val="18"/>
              </w:rPr>
            </w:pPr>
            <w:r>
              <w:rPr>
                <w:w w:val="110"/>
                <w:sz w:val="18"/>
              </w:rPr>
              <w:t>11.0%</w:t>
            </w:r>
          </w:p>
        </w:tc>
      </w:tr>
      <w:tr>
        <w:trPr>
          <w:trHeight w:val="294" w:hRule="atLeast"/>
        </w:trPr>
        <w:tc>
          <w:tcPr>
            <w:tcW w:w="4335" w:type="dxa"/>
            <w:tcBorders>
              <w:top w:val="single" w:sz="6" w:space="0" w:color="69BD28"/>
              <w:bottom w:val="single" w:sz="6" w:space="0" w:color="69BD28"/>
            </w:tcBorders>
          </w:tcPr>
          <w:p>
            <w:pPr>
              <w:pStyle w:val="TableParagraph"/>
              <w:spacing w:before="44"/>
              <w:ind w:left="45" w:right="264"/>
              <w:rPr>
                <w:sz w:val="18"/>
              </w:rPr>
            </w:pPr>
            <w:r>
              <w:rPr>
                <w:sz w:val="18"/>
              </w:rPr>
              <w:t>Marketing costs (as a % of total revenue)</w:t>
            </w:r>
          </w:p>
        </w:tc>
        <w:tc>
          <w:tcPr>
            <w:tcW w:w="2330" w:type="dxa"/>
            <w:tcBorders>
              <w:top w:val="single" w:sz="6" w:space="0" w:color="69BD28"/>
              <w:bottom w:val="single" w:sz="6" w:space="0" w:color="69BD28"/>
            </w:tcBorders>
          </w:tcPr>
          <w:p>
            <w:pPr>
              <w:pStyle w:val="TableParagraph"/>
              <w:spacing w:before="44"/>
              <w:ind w:left="317" w:right="730"/>
              <w:rPr>
                <w:sz w:val="18"/>
              </w:rPr>
            </w:pPr>
            <w:r>
              <w:rPr>
                <w:w w:val="110"/>
                <w:sz w:val="18"/>
              </w:rPr>
              <w:t>5.0%</w:t>
            </w:r>
          </w:p>
        </w:tc>
        <w:tc>
          <w:tcPr>
            <w:tcW w:w="2933" w:type="dxa"/>
            <w:tcBorders>
              <w:top w:val="single" w:sz="6" w:space="0" w:color="69BD28"/>
              <w:bottom w:val="single" w:sz="6" w:space="0" w:color="69BD28"/>
            </w:tcBorders>
          </w:tcPr>
          <w:p>
            <w:pPr>
              <w:pStyle w:val="TableParagraph"/>
              <w:spacing w:before="44"/>
              <w:ind w:left="731" w:right="924"/>
              <w:rPr>
                <w:sz w:val="18"/>
              </w:rPr>
            </w:pPr>
            <w:r>
              <w:rPr>
                <w:w w:val="110"/>
                <w:sz w:val="18"/>
              </w:rPr>
              <w:t>5.0%</w:t>
            </w:r>
          </w:p>
        </w:tc>
      </w:tr>
      <w:tr>
        <w:trPr>
          <w:trHeight w:val="294" w:hRule="atLeast"/>
        </w:trPr>
        <w:tc>
          <w:tcPr>
            <w:tcW w:w="4335" w:type="dxa"/>
            <w:tcBorders>
              <w:top w:val="single" w:sz="6" w:space="0" w:color="69BD28"/>
              <w:bottom w:val="single" w:sz="6" w:space="0" w:color="69BD28"/>
            </w:tcBorders>
          </w:tcPr>
          <w:p>
            <w:pPr>
              <w:pStyle w:val="TableParagraph"/>
              <w:spacing w:before="44"/>
              <w:ind w:left="45" w:right="264"/>
              <w:rPr>
                <w:sz w:val="18"/>
              </w:rPr>
            </w:pPr>
            <w:r>
              <w:rPr>
                <w:sz w:val="18"/>
              </w:rPr>
              <w:t>Base management Fee (as a % of total revenue)</w:t>
            </w:r>
          </w:p>
        </w:tc>
        <w:tc>
          <w:tcPr>
            <w:tcW w:w="2330" w:type="dxa"/>
            <w:tcBorders>
              <w:top w:val="single" w:sz="6" w:space="0" w:color="69BD28"/>
              <w:bottom w:val="single" w:sz="6" w:space="0" w:color="69BD28"/>
            </w:tcBorders>
          </w:tcPr>
          <w:p>
            <w:pPr>
              <w:pStyle w:val="TableParagraph"/>
              <w:spacing w:before="44"/>
              <w:ind w:left="323" w:right="730"/>
              <w:rPr>
                <w:sz w:val="18"/>
              </w:rPr>
            </w:pPr>
            <w:r>
              <w:rPr>
                <w:sz w:val="18"/>
              </w:rPr>
              <w:t>As per contract</w:t>
            </w:r>
          </w:p>
        </w:tc>
        <w:tc>
          <w:tcPr>
            <w:tcW w:w="2933" w:type="dxa"/>
            <w:tcBorders>
              <w:top w:val="single" w:sz="6" w:space="0" w:color="69BD28"/>
              <w:bottom w:val="single" w:sz="6" w:space="0" w:color="69BD28"/>
            </w:tcBorders>
          </w:tcPr>
          <w:p>
            <w:pPr>
              <w:pStyle w:val="TableParagraph"/>
              <w:spacing w:before="44"/>
              <w:ind w:left="732" w:right="924"/>
              <w:rPr>
                <w:sz w:val="18"/>
              </w:rPr>
            </w:pPr>
            <w:r>
              <w:rPr>
                <w:sz w:val="18"/>
              </w:rPr>
              <w:t>As per contract</w:t>
            </w:r>
          </w:p>
        </w:tc>
      </w:tr>
      <w:tr>
        <w:trPr>
          <w:trHeight w:val="297" w:hRule="atLeast"/>
        </w:trPr>
        <w:tc>
          <w:tcPr>
            <w:tcW w:w="4335" w:type="dxa"/>
            <w:tcBorders>
              <w:top w:val="single" w:sz="6" w:space="0" w:color="69BD28"/>
              <w:bottom w:val="single" w:sz="6" w:space="0" w:color="69BD28"/>
            </w:tcBorders>
          </w:tcPr>
          <w:p>
            <w:pPr>
              <w:pStyle w:val="TableParagraph"/>
              <w:spacing w:before="46"/>
              <w:ind w:left="45" w:right="262"/>
              <w:rPr>
                <w:sz w:val="18"/>
              </w:rPr>
            </w:pPr>
            <w:r>
              <w:rPr>
                <w:sz w:val="18"/>
              </w:rPr>
              <w:t>Management Incentive Fee (% of GOP)</w:t>
            </w:r>
          </w:p>
        </w:tc>
        <w:tc>
          <w:tcPr>
            <w:tcW w:w="2330" w:type="dxa"/>
            <w:tcBorders>
              <w:top w:val="single" w:sz="6" w:space="0" w:color="69BD28"/>
              <w:bottom w:val="single" w:sz="6" w:space="0" w:color="69BD28"/>
            </w:tcBorders>
          </w:tcPr>
          <w:p>
            <w:pPr>
              <w:pStyle w:val="TableParagraph"/>
              <w:spacing w:before="46"/>
              <w:ind w:left="323" w:right="730"/>
              <w:rPr>
                <w:sz w:val="18"/>
              </w:rPr>
            </w:pPr>
            <w:r>
              <w:rPr>
                <w:sz w:val="18"/>
              </w:rPr>
              <w:t>As per contract</w:t>
            </w:r>
          </w:p>
        </w:tc>
        <w:tc>
          <w:tcPr>
            <w:tcW w:w="2933" w:type="dxa"/>
            <w:tcBorders>
              <w:top w:val="single" w:sz="6" w:space="0" w:color="69BD28"/>
              <w:bottom w:val="single" w:sz="6" w:space="0" w:color="69BD28"/>
            </w:tcBorders>
          </w:tcPr>
          <w:p>
            <w:pPr>
              <w:pStyle w:val="TableParagraph"/>
              <w:spacing w:before="46"/>
              <w:ind w:left="732" w:right="924"/>
              <w:rPr>
                <w:sz w:val="18"/>
              </w:rPr>
            </w:pPr>
            <w:r>
              <w:rPr>
                <w:sz w:val="18"/>
              </w:rPr>
              <w:t>As per contract</w:t>
            </w:r>
          </w:p>
        </w:tc>
      </w:tr>
    </w:tbl>
    <w:p>
      <w:pPr>
        <w:spacing w:after="0"/>
        <w:rPr>
          <w:sz w:val="18"/>
        </w:rPr>
        <w:sectPr>
          <w:pgSz w:w="11910" w:h="16840"/>
          <w:pgMar w:header="720" w:footer="842" w:top="1660" w:bottom="1040" w:left="500" w:right="520"/>
        </w:sectPr>
      </w:pPr>
    </w:p>
    <w:p>
      <w:pPr>
        <w:spacing w:line="249" w:lineRule="auto" w:before="38"/>
        <w:ind w:left="1881" w:right="0" w:hanging="1128"/>
        <w:jc w:val="left"/>
        <w:rPr>
          <w:sz w:val="18"/>
        </w:rPr>
      </w:pPr>
      <w:r>
        <w:rPr>
          <w:sz w:val="18"/>
        </w:rPr>
        <w:t>Annual</w:t>
      </w:r>
      <w:r>
        <w:rPr>
          <w:spacing w:val="-16"/>
          <w:sz w:val="18"/>
        </w:rPr>
        <w:t> </w:t>
      </w:r>
      <w:r>
        <w:rPr>
          <w:sz w:val="18"/>
        </w:rPr>
        <w:t>Escalation</w:t>
      </w:r>
      <w:r>
        <w:rPr>
          <w:spacing w:val="-14"/>
          <w:sz w:val="18"/>
        </w:rPr>
        <w:t> </w:t>
      </w:r>
      <w:r>
        <w:rPr>
          <w:sz w:val="18"/>
        </w:rPr>
        <w:t>of</w:t>
      </w:r>
      <w:r>
        <w:rPr>
          <w:spacing w:val="-14"/>
          <w:sz w:val="18"/>
        </w:rPr>
        <w:t> </w:t>
      </w:r>
      <w:r>
        <w:rPr>
          <w:sz w:val="18"/>
        </w:rPr>
        <w:t>Operating</w:t>
      </w:r>
      <w:r>
        <w:rPr>
          <w:spacing w:val="-16"/>
          <w:sz w:val="18"/>
        </w:rPr>
        <w:t> </w:t>
      </w:r>
      <w:r>
        <w:rPr>
          <w:sz w:val="18"/>
        </w:rPr>
        <w:t>Costs</w:t>
      </w:r>
      <w:r>
        <w:rPr>
          <w:spacing w:val="-14"/>
          <w:sz w:val="18"/>
        </w:rPr>
        <w:t> </w:t>
      </w:r>
      <w:r>
        <w:rPr>
          <w:sz w:val="18"/>
        </w:rPr>
        <w:t>(viz.</w:t>
      </w:r>
      <w:r>
        <w:rPr>
          <w:spacing w:val="-15"/>
          <w:sz w:val="18"/>
        </w:rPr>
        <w:t> </w:t>
      </w:r>
      <w:r>
        <w:rPr>
          <w:sz w:val="18"/>
        </w:rPr>
        <w:t>admin, maintenance,</w:t>
      </w:r>
      <w:r>
        <w:rPr>
          <w:spacing w:val="-4"/>
          <w:sz w:val="18"/>
        </w:rPr>
        <w:t> </w:t>
      </w:r>
      <w:r>
        <w:rPr>
          <w:sz w:val="18"/>
        </w:rPr>
        <w:t>Op-ex)</w:t>
      </w:r>
    </w:p>
    <w:p>
      <w:pPr>
        <w:tabs>
          <w:tab w:pos="3494" w:val="left" w:leader="none"/>
        </w:tabs>
        <w:spacing w:before="146"/>
        <w:ind w:left="753" w:right="0" w:firstLine="0"/>
        <w:jc w:val="left"/>
        <w:rPr>
          <w:sz w:val="18"/>
        </w:rPr>
      </w:pPr>
      <w:r>
        <w:rPr/>
        <w:br w:type="column"/>
      </w:r>
      <w:r>
        <w:rPr>
          <w:w w:val="110"/>
          <w:sz w:val="18"/>
        </w:rPr>
        <w:t>5.0%</w:t>
        <w:tab/>
        <w:t>5.0%</w:t>
      </w:r>
    </w:p>
    <w:p>
      <w:pPr>
        <w:spacing w:after="0"/>
        <w:jc w:val="left"/>
        <w:rPr>
          <w:sz w:val="18"/>
        </w:rPr>
        <w:sectPr>
          <w:type w:val="continuous"/>
          <w:pgSz w:w="11910" w:h="16840"/>
          <w:pgMar w:top="800" w:bottom="280" w:left="500" w:right="520"/>
          <w:cols w:num="2" w:equalWidth="0">
            <w:col w:w="4712" w:space="285"/>
            <w:col w:w="5893"/>
          </w:cols>
        </w:sectPr>
      </w:pPr>
    </w:p>
    <w:p>
      <w:pPr>
        <w:pStyle w:val="BodyText"/>
        <w:spacing w:before="9"/>
        <w:rPr>
          <w:sz w:val="2"/>
        </w:rPr>
      </w:pPr>
    </w:p>
    <w:p>
      <w:pPr>
        <w:pStyle w:val="BodyText"/>
        <w:spacing w:line="20" w:lineRule="exact"/>
        <w:ind w:left="657"/>
        <w:rPr>
          <w:sz w:val="2"/>
        </w:rPr>
      </w:pPr>
      <w:r>
        <w:rPr>
          <w:sz w:val="2"/>
        </w:rPr>
        <w:pict>
          <v:group style="width:479.9pt;height:.75pt;mso-position-horizontal-relative:char;mso-position-vertical-relative:line" coordorigin="0,0" coordsize="9598,15">
            <v:shape style="position:absolute;left:0;top:0;width:9598;height:15" coordorigin="0,0" coordsize="9598,15" path="m4114,0l0,0,0,14,4114,14,4114,0xm6414,0l6400,0,4129,0,4114,0,4114,14,4129,14,6400,14,6414,14,6414,0xm9597,0l6414,0,6414,14,9597,14,9597,0xe" filled="true" fillcolor="#69bd28" stroked="false">
              <v:path arrowok="t"/>
              <v:fill type="solid"/>
            </v:shape>
          </v:group>
        </w:pict>
      </w:r>
      <w:r>
        <w:rPr>
          <w:sz w:val="2"/>
        </w:rPr>
      </w:r>
    </w:p>
    <w:p>
      <w:pPr>
        <w:tabs>
          <w:tab w:pos="5508" w:val="left" w:leader="none"/>
          <w:tab w:pos="8249" w:val="left" w:leader="none"/>
        </w:tabs>
        <w:spacing w:before="41"/>
        <w:ind w:left="2231" w:right="0" w:firstLine="0"/>
        <w:jc w:val="left"/>
        <w:rPr>
          <w:sz w:val="18"/>
        </w:rPr>
      </w:pPr>
      <w:r>
        <w:rPr/>
        <w:pict>
          <v:rect style="position:absolute;margin-left:57.144001pt;margin-top:14.58064pt;width:480.576023pt;height:.72pt;mso-position-horizontal-relative:page;mso-position-vertical-relative:paragraph;z-index:-15522304;mso-wrap-distance-left:0;mso-wrap-distance-right:0" filled="true" fillcolor="#69bd28" stroked="false">
            <v:fill type="solid"/>
            <w10:wrap type="topAndBottom"/>
          </v:rect>
        </w:pict>
      </w:r>
      <w:r>
        <w:rPr>
          <w:sz w:val="18"/>
        </w:rPr>
        <w:t>Property</w:t>
      </w:r>
      <w:r>
        <w:rPr>
          <w:spacing w:val="-28"/>
          <w:sz w:val="18"/>
        </w:rPr>
        <w:t> </w:t>
      </w:r>
      <w:r>
        <w:rPr>
          <w:sz w:val="18"/>
        </w:rPr>
        <w:t>Tax</w:t>
        <w:tab/>
        <w:t>INR 3.5</w:t>
      </w:r>
      <w:r>
        <w:rPr>
          <w:spacing w:val="3"/>
          <w:sz w:val="18"/>
        </w:rPr>
        <w:t> </w:t>
      </w:r>
      <w:r>
        <w:rPr>
          <w:sz w:val="18"/>
        </w:rPr>
        <w:t>psf</w:t>
        <w:tab/>
        <w:t>INR 3.5</w:t>
      </w:r>
      <w:r>
        <w:rPr>
          <w:spacing w:val="-2"/>
          <w:sz w:val="18"/>
        </w:rPr>
        <w:t> </w:t>
      </w:r>
      <w:r>
        <w:rPr>
          <w:sz w:val="18"/>
        </w:rPr>
        <w:t>psf</w:t>
      </w:r>
    </w:p>
    <w:p>
      <w:pPr>
        <w:spacing w:before="94"/>
        <w:ind w:left="782" w:right="0" w:firstLine="0"/>
        <w:jc w:val="left"/>
        <w:rPr>
          <w:i/>
          <w:sz w:val="18"/>
        </w:rPr>
      </w:pPr>
      <w:r>
        <w:rPr>
          <w:i/>
          <w:sz w:val="18"/>
        </w:rPr>
        <w:t>Source: Valuer’s Assessment &amp; Client input</w:t>
      </w:r>
    </w:p>
    <w:p>
      <w:pPr>
        <w:pStyle w:val="BodyText"/>
        <w:spacing w:before="11"/>
        <w:rPr>
          <w:i/>
          <w:sz w:val="26"/>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67" w:id="134"/>
      <w:bookmarkEnd w:id="134"/>
      <w:r>
        <w:rPr/>
      </w:r>
      <w:bookmarkStart w:name="_bookmark67" w:id="135"/>
      <w:bookmarkEnd w:id="135"/>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34"/>
        </w:numPr>
        <w:tabs>
          <w:tab w:pos="1085" w:val="left" w:leader="none"/>
        </w:tabs>
        <w:spacing w:line="240" w:lineRule="auto" w:before="0" w:after="0"/>
        <w:ind w:left="1084" w:right="0" w:hanging="865"/>
        <w:jc w:val="left"/>
        <w:rPr>
          <w:i/>
          <w:sz w:val="20"/>
        </w:rPr>
      </w:pPr>
      <w:r>
        <w:rPr>
          <w:i/>
          <w:color w:val="008000"/>
          <w:sz w:val="20"/>
        </w:rPr>
        <w:t>Development</w:t>
      </w:r>
      <w:r>
        <w:rPr>
          <w:i/>
          <w:color w:val="008000"/>
          <w:spacing w:val="-4"/>
          <w:sz w:val="20"/>
        </w:rPr>
        <w:t> </w:t>
      </w:r>
      <w:r>
        <w:rPr>
          <w:i/>
          <w:color w:val="008000"/>
          <w:sz w:val="20"/>
        </w:rPr>
        <w:t>Cost</w:t>
      </w:r>
    </w:p>
    <w:p>
      <w:pPr>
        <w:pStyle w:val="BodyText"/>
        <w:spacing w:line="321" w:lineRule="auto" w:before="76"/>
        <w:ind w:left="782"/>
      </w:pPr>
      <w:r>
        <w:rPr/>
        <w:t>The following table highlights the assumptions towards the development cost for the under- construction/proposed blocks at the subject development:</w:t>
      </w:r>
    </w:p>
    <w:p>
      <w:pPr>
        <w:pStyle w:val="BodyText"/>
        <w:spacing w:before="1"/>
        <w:rPr>
          <w:sz w:val="21"/>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85"/>
        <w:gridCol w:w="2697"/>
        <w:gridCol w:w="2388"/>
        <w:gridCol w:w="2615"/>
      </w:tblGrid>
      <w:tr>
        <w:trPr>
          <w:trHeight w:val="431" w:hRule="atLeast"/>
        </w:trPr>
        <w:tc>
          <w:tcPr>
            <w:tcW w:w="2785" w:type="dxa"/>
            <w:tcBorders>
              <w:top w:val="single" w:sz="6" w:space="0" w:color="69BD28"/>
              <w:bottom w:val="single" w:sz="6" w:space="0" w:color="69BD28"/>
            </w:tcBorders>
            <w:shd w:val="clear" w:color="auto" w:fill="006A4D"/>
          </w:tcPr>
          <w:p>
            <w:pPr>
              <w:pStyle w:val="TableParagraph"/>
              <w:spacing w:before="111"/>
              <w:ind w:left="72" w:right="204"/>
              <w:rPr>
                <w:b/>
                <w:sz w:val="18"/>
              </w:rPr>
            </w:pPr>
            <w:r>
              <w:rPr>
                <w:b/>
                <w:color w:val="FFFFFF"/>
                <w:w w:val="110"/>
                <w:sz w:val="18"/>
              </w:rPr>
              <w:t>Block</w:t>
            </w:r>
          </w:p>
        </w:tc>
        <w:tc>
          <w:tcPr>
            <w:tcW w:w="2697" w:type="dxa"/>
            <w:tcBorders>
              <w:top w:val="single" w:sz="6" w:space="0" w:color="69BD28"/>
              <w:bottom w:val="single" w:sz="6" w:space="0" w:color="69BD28"/>
            </w:tcBorders>
            <w:shd w:val="clear" w:color="auto" w:fill="006A4D"/>
          </w:tcPr>
          <w:p>
            <w:pPr>
              <w:pStyle w:val="TableParagraph"/>
              <w:tabs>
                <w:tab w:pos="2628" w:val="left" w:leader="none"/>
              </w:tabs>
              <w:spacing w:before="3"/>
              <w:ind w:left="36" w:right="-44"/>
              <w:jc w:val="left"/>
              <w:rPr>
                <w:b/>
                <w:sz w:val="18"/>
              </w:rPr>
            </w:pPr>
            <w:r>
              <w:rPr>
                <w:b/>
                <w:color w:val="FFFFFF"/>
                <w:w w:val="105"/>
                <w:sz w:val="18"/>
              </w:rPr>
              <w:t>Cost of</w:t>
            </w:r>
            <w:r>
              <w:rPr>
                <w:b/>
                <w:color w:val="FFFFFF"/>
                <w:spacing w:val="5"/>
                <w:w w:val="105"/>
                <w:sz w:val="18"/>
              </w:rPr>
              <w:t> </w:t>
            </w:r>
            <w:r>
              <w:rPr>
                <w:b/>
                <w:color w:val="FFFFFF"/>
                <w:w w:val="105"/>
                <w:sz w:val="18"/>
              </w:rPr>
              <w:t>Construction</w:t>
            </w:r>
            <w:r>
              <w:rPr>
                <w:b/>
                <w:color w:val="FFFFFF"/>
                <w:spacing w:val="3"/>
                <w:w w:val="105"/>
                <w:sz w:val="18"/>
              </w:rPr>
              <w:t> </w:t>
            </w:r>
            <w:r>
              <w:rPr>
                <w:b/>
                <w:color w:val="FFFFFF"/>
                <w:w w:val="105"/>
                <w:sz w:val="18"/>
              </w:rPr>
              <w:t>(INR</w:t>
              <w:tab/>
            </w:r>
            <w:r>
              <w:rPr>
                <w:b/>
                <w:color w:val="FFFFFF"/>
                <w:w w:val="95"/>
                <w:sz w:val="18"/>
              </w:rPr>
              <w:t>T</w:t>
            </w:r>
          </w:p>
          <w:p>
            <w:pPr>
              <w:pStyle w:val="TableParagraph"/>
              <w:spacing w:line="192" w:lineRule="exact" w:before="8"/>
              <w:ind w:left="288"/>
              <w:jc w:val="left"/>
              <w:rPr>
                <w:b/>
                <w:sz w:val="18"/>
              </w:rPr>
            </w:pPr>
            <w:r>
              <w:rPr>
                <w:b/>
                <w:color w:val="FFFFFF"/>
                <w:w w:val="110"/>
                <w:sz w:val="18"/>
              </w:rPr>
              <w:t>psf or INR Mn/Key)</w:t>
            </w:r>
          </w:p>
        </w:tc>
        <w:tc>
          <w:tcPr>
            <w:tcW w:w="2388" w:type="dxa"/>
            <w:tcBorders>
              <w:top w:val="single" w:sz="6" w:space="0" w:color="69BD28"/>
              <w:bottom w:val="single" w:sz="6" w:space="0" w:color="69BD28"/>
            </w:tcBorders>
            <w:shd w:val="clear" w:color="auto" w:fill="006A4D"/>
          </w:tcPr>
          <w:p>
            <w:pPr>
              <w:pStyle w:val="TableParagraph"/>
              <w:spacing w:before="3"/>
              <w:ind w:left="10" w:right="142"/>
              <w:rPr>
                <w:b/>
                <w:sz w:val="18"/>
              </w:rPr>
            </w:pPr>
            <w:r>
              <w:rPr>
                <w:b/>
                <w:color w:val="FFFFFF"/>
                <w:w w:val="105"/>
                <w:sz w:val="18"/>
              </w:rPr>
              <w:t>otal Cost of Construction</w:t>
            </w:r>
          </w:p>
          <w:p>
            <w:pPr>
              <w:pStyle w:val="TableParagraph"/>
              <w:spacing w:line="192" w:lineRule="exact" w:before="8"/>
              <w:ind w:left="10" w:right="240"/>
              <w:rPr>
                <w:b/>
                <w:sz w:val="18"/>
              </w:rPr>
            </w:pPr>
            <w:r>
              <w:rPr>
                <w:b/>
                <w:color w:val="FFFFFF"/>
                <w:w w:val="115"/>
                <w:sz w:val="18"/>
              </w:rPr>
              <w:t>(INR Mn)</w:t>
            </w:r>
          </w:p>
        </w:tc>
        <w:tc>
          <w:tcPr>
            <w:tcW w:w="2615" w:type="dxa"/>
            <w:tcBorders>
              <w:top w:val="single" w:sz="6" w:space="0" w:color="69BD28"/>
              <w:bottom w:val="single" w:sz="6" w:space="0" w:color="69BD28"/>
            </w:tcBorders>
            <w:shd w:val="clear" w:color="auto" w:fill="006A4D"/>
          </w:tcPr>
          <w:p>
            <w:pPr>
              <w:pStyle w:val="TableParagraph"/>
              <w:spacing w:before="3"/>
              <w:ind w:left="178" w:right="183"/>
              <w:rPr>
                <w:b/>
                <w:sz w:val="18"/>
              </w:rPr>
            </w:pPr>
            <w:r>
              <w:rPr>
                <w:b/>
                <w:color w:val="FFFFFF"/>
                <w:w w:val="105"/>
                <w:sz w:val="18"/>
              </w:rPr>
              <w:t>Pending Cost to be Spent</w:t>
            </w:r>
          </w:p>
          <w:p>
            <w:pPr>
              <w:pStyle w:val="TableParagraph"/>
              <w:spacing w:line="192" w:lineRule="exact" w:before="8"/>
              <w:ind w:left="178" w:right="178"/>
              <w:rPr>
                <w:b/>
                <w:sz w:val="18"/>
              </w:rPr>
            </w:pPr>
            <w:r>
              <w:rPr>
                <w:b/>
                <w:color w:val="FFFFFF"/>
                <w:w w:val="115"/>
                <w:sz w:val="18"/>
              </w:rPr>
              <w:t>(INR Mn)</w:t>
            </w:r>
          </w:p>
        </w:tc>
      </w:tr>
      <w:tr>
        <w:trPr>
          <w:trHeight w:val="294" w:hRule="atLeast"/>
        </w:trPr>
        <w:tc>
          <w:tcPr>
            <w:tcW w:w="2785" w:type="dxa"/>
            <w:tcBorders>
              <w:top w:val="single" w:sz="6" w:space="0" w:color="69BD28"/>
              <w:bottom w:val="single" w:sz="6" w:space="0" w:color="69BD28"/>
            </w:tcBorders>
          </w:tcPr>
          <w:p>
            <w:pPr>
              <w:pStyle w:val="TableParagraph"/>
              <w:spacing w:before="44"/>
              <w:ind w:left="72" w:right="203"/>
              <w:rPr>
                <w:sz w:val="18"/>
              </w:rPr>
            </w:pPr>
            <w:r>
              <w:rPr>
                <w:sz w:val="18"/>
              </w:rPr>
              <w:t>Block F-1</w:t>
            </w:r>
          </w:p>
        </w:tc>
        <w:tc>
          <w:tcPr>
            <w:tcW w:w="2697" w:type="dxa"/>
            <w:tcBorders>
              <w:top w:val="single" w:sz="6" w:space="0" w:color="69BD28"/>
              <w:bottom w:val="single" w:sz="6" w:space="0" w:color="69BD28"/>
            </w:tcBorders>
          </w:tcPr>
          <w:p>
            <w:pPr>
              <w:pStyle w:val="TableParagraph"/>
              <w:spacing w:before="44"/>
              <w:ind w:left="782"/>
              <w:jc w:val="left"/>
              <w:rPr>
                <w:sz w:val="18"/>
              </w:rPr>
            </w:pPr>
            <w:r>
              <w:rPr>
                <w:w w:val="105"/>
                <w:sz w:val="18"/>
              </w:rPr>
              <w:t>4,038.47</w:t>
            </w:r>
          </w:p>
        </w:tc>
        <w:tc>
          <w:tcPr>
            <w:tcW w:w="2388" w:type="dxa"/>
            <w:tcBorders>
              <w:top w:val="single" w:sz="6" w:space="0" w:color="69BD28"/>
              <w:bottom w:val="single" w:sz="6" w:space="0" w:color="69BD28"/>
            </w:tcBorders>
          </w:tcPr>
          <w:p>
            <w:pPr>
              <w:pStyle w:val="TableParagraph"/>
              <w:spacing w:before="44"/>
              <w:ind w:left="10" w:right="171"/>
              <w:rPr>
                <w:sz w:val="18"/>
              </w:rPr>
            </w:pPr>
            <w:r>
              <w:rPr>
                <w:w w:val="105"/>
                <w:sz w:val="18"/>
              </w:rPr>
              <w:t>2,859.24</w:t>
            </w:r>
          </w:p>
        </w:tc>
        <w:tc>
          <w:tcPr>
            <w:tcW w:w="2615" w:type="dxa"/>
            <w:tcBorders>
              <w:top w:val="single" w:sz="6" w:space="0" w:color="69BD28"/>
              <w:bottom w:val="single" w:sz="6" w:space="0" w:color="69BD28"/>
            </w:tcBorders>
          </w:tcPr>
          <w:p>
            <w:pPr>
              <w:pStyle w:val="TableParagraph"/>
              <w:spacing w:before="44"/>
              <w:ind w:left="178" w:right="111"/>
              <w:rPr>
                <w:sz w:val="18"/>
              </w:rPr>
            </w:pPr>
            <w:r>
              <w:rPr>
                <w:w w:val="105"/>
                <w:sz w:val="18"/>
              </w:rPr>
              <w:t>2,859.09</w:t>
            </w:r>
          </w:p>
        </w:tc>
      </w:tr>
      <w:tr>
        <w:trPr>
          <w:trHeight w:val="297" w:hRule="atLeast"/>
        </w:trPr>
        <w:tc>
          <w:tcPr>
            <w:tcW w:w="2785" w:type="dxa"/>
            <w:tcBorders>
              <w:top w:val="single" w:sz="6" w:space="0" w:color="69BD28"/>
              <w:bottom w:val="single" w:sz="6" w:space="0" w:color="69BD28"/>
            </w:tcBorders>
          </w:tcPr>
          <w:p>
            <w:pPr>
              <w:pStyle w:val="TableParagraph"/>
              <w:spacing w:before="44"/>
              <w:ind w:left="72" w:right="203"/>
              <w:rPr>
                <w:sz w:val="18"/>
              </w:rPr>
            </w:pPr>
            <w:r>
              <w:rPr>
                <w:sz w:val="18"/>
              </w:rPr>
              <w:t>Block L-4</w:t>
            </w:r>
          </w:p>
        </w:tc>
        <w:tc>
          <w:tcPr>
            <w:tcW w:w="2697" w:type="dxa"/>
            <w:tcBorders>
              <w:top w:val="single" w:sz="6" w:space="0" w:color="69BD28"/>
              <w:bottom w:val="single" w:sz="6" w:space="0" w:color="69BD28"/>
            </w:tcBorders>
          </w:tcPr>
          <w:p>
            <w:pPr>
              <w:pStyle w:val="TableParagraph"/>
              <w:spacing w:before="44"/>
              <w:ind w:left="782"/>
              <w:jc w:val="left"/>
              <w:rPr>
                <w:sz w:val="18"/>
              </w:rPr>
            </w:pPr>
            <w:r>
              <w:rPr>
                <w:w w:val="105"/>
                <w:sz w:val="18"/>
              </w:rPr>
              <w:t>4,205.43</w:t>
            </w:r>
          </w:p>
        </w:tc>
        <w:tc>
          <w:tcPr>
            <w:tcW w:w="2388" w:type="dxa"/>
            <w:tcBorders>
              <w:top w:val="single" w:sz="6" w:space="0" w:color="69BD28"/>
              <w:bottom w:val="single" w:sz="6" w:space="0" w:color="69BD28"/>
            </w:tcBorders>
          </w:tcPr>
          <w:p>
            <w:pPr>
              <w:pStyle w:val="TableParagraph"/>
              <w:spacing w:before="44"/>
              <w:ind w:left="10" w:right="173"/>
              <w:rPr>
                <w:sz w:val="18"/>
              </w:rPr>
            </w:pPr>
            <w:r>
              <w:rPr>
                <w:w w:val="105"/>
                <w:sz w:val="18"/>
              </w:rPr>
              <w:t>2,975.55</w:t>
            </w:r>
          </w:p>
        </w:tc>
        <w:tc>
          <w:tcPr>
            <w:tcW w:w="2615" w:type="dxa"/>
            <w:tcBorders>
              <w:top w:val="single" w:sz="6" w:space="0" w:color="69BD28"/>
              <w:bottom w:val="single" w:sz="6" w:space="0" w:color="69BD28"/>
            </w:tcBorders>
          </w:tcPr>
          <w:p>
            <w:pPr>
              <w:pStyle w:val="TableParagraph"/>
              <w:spacing w:before="44"/>
              <w:ind w:left="178" w:right="113"/>
              <w:rPr>
                <w:sz w:val="18"/>
              </w:rPr>
            </w:pPr>
            <w:r>
              <w:rPr>
                <w:w w:val="105"/>
                <w:sz w:val="18"/>
              </w:rPr>
              <w:t>2,958.11</w:t>
            </w:r>
          </w:p>
        </w:tc>
      </w:tr>
      <w:tr>
        <w:trPr>
          <w:trHeight w:val="294" w:hRule="atLeast"/>
        </w:trPr>
        <w:tc>
          <w:tcPr>
            <w:tcW w:w="2785" w:type="dxa"/>
            <w:tcBorders>
              <w:top w:val="single" w:sz="6" w:space="0" w:color="69BD28"/>
              <w:bottom w:val="single" w:sz="6" w:space="0" w:color="69BD28"/>
            </w:tcBorders>
          </w:tcPr>
          <w:p>
            <w:pPr>
              <w:pStyle w:val="TableParagraph"/>
              <w:spacing w:before="44"/>
              <w:ind w:left="72" w:right="207"/>
              <w:rPr>
                <w:sz w:val="18"/>
              </w:rPr>
            </w:pPr>
            <w:r>
              <w:rPr>
                <w:w w:val="105"/>
                <w:sz w:val="18"/>
              </w:rPr>
              <w:t>NXT </w:t>
            </w:r>
            <w:r>
              <w:rPr>
                <w:w w:val="130"/>
                <w:sz w:val="18"/>
              </w:rPr>
              <w:t>~ </w:t>
            </w:r>
            <w:r>
              <w:rPr>
                <w:w w:val="105"/>
                <w:sz w:val="18"/>
              </w:rPr>
              <w:t>Block A (OC Received)</w:t>
            </w:r>
          </w:p>
        </w:tc>
        <w:tc>
          <w:tcPr>
            <w:tcW w:w="2697" w:type="dxa"/>
            <w:tcBorders>
              <w:top w:val="single" w:sz="6" w:space="0" w:color="69BD28"/>
              <w:bottom w:val="single" w:sz="6" w:space="0" w:color="69BD28"/>
            </w:tcBorders>
          </w:tcPr>
          <w:p>
            <w:pPr>
              <w:pStyle w:val="TableParagraph"/>
              <w:spacing w:before="44"/>
              <w:ind w:left="782"/>
              <w:jc w:val="left"/>
              <w:rPr>
                <w:sz w:val="18"/>
              </w:rPr>
            </w:pPr>
            <w:r>
              <w:rPr>
                <w:w w:val="105"/>
                <w:sz w:val="18"/>
              </w:rPr>
              <w:t>4,346.62</w:t>
            </w:r>
          </w:p>
        </w:tc>
        <w:tc>
          <w:tcPr>
            <w:tcW w:w="2388" w:type="dxa"/>
            <w:tcBorders>
              <w:top w:val="single" w:sz="6" w:space="0" w:color="69BD28"/>
              <w:bottom w:val="single" w:sz="6" w:space="0" w:color="69BD28"/>
            </w:tcBorders>
          </w:tcPr>
          <w:p>
            <w:pPr>
              <w:pStyle w:val="TableParagraph"/>
              <w:spacing w:before="44"/>
              <w:ind w:left="10" w:right="171"/>
              <w:rPr>
                <w:sz w:val="18"/>
              </w:rPr>
            </w:pPr>
            <w:r>
              <w:rPr>
                <w:w w:val="105"/>
                <w:sz w:val="18"/>
              </w:rPr>
              <w:t>3,449.04</w:t>
            </w:r>
          </w:p>
        </w:tc>
        <w:tc>
          <w:tcPr>
            <w:tcW w:w="2615" w:type="dxa"/>
            <w:tcBorders>
              <w:top w:val="single" w:sz="6" w:space="0" w:color="69BD28"/>
              <w:bottom w:val="single" w:sz="6" w:space="0" w:color="69BD28"/>
            </w:tcBorders>
          </w:tcPr>
          <w:p>
            <w:pPr>
              <w:pStyle w:val="TableParagraph"/>
              <w:spacing w:before="44"/>
              <w:ind w:left="178" w:right="111"/>
              <w:rPr>
                <w:sz w:val="18"/>
              </w:rPr>
            </w:pPr>
            <w:r>
              <w:rPr>
                <w:w w:val="105"/>
                <w:sz w:val="18"/>
              </w:rPr>
              <w:t>738.89</w:t>
            </w:r>
          </w:p>
        </w:tc>
      </w:tr>
      <w:tr>
        <w:trPr>
          <w:trHeight w:val="297" w:hRule="atLeast"/>
        </w:trPr>
        <w:tc>
          <w:tcPr>
            <w:tcW w:w="2785" w:type="dxa"/>
            <w:tcBorders>
              <w:top w:val="single" w:sz="6" w:space="0" w:color="69BD28"/>
              <w:bottom w:val="single" w:sz="6" w:space="0" w:color="69BD28"/>
            </w:tcBorders>
          </w:tcPr>
          <w:p>
            <w:pPr>
              <w:pStyle w:val="TableParagraph"/>
              <w:spacing w:before="44"/>
              <w:ind w:left="72" w:right="206"/>
              <w:rPr>
                <w:sz w:val="18"/>
              </w:rPr>
            </w:pPr>
            <w:r>
              <w:rPr>
                <w:sz w:val="18"/>
              </w:rPr>
              <w:t>Front Parcel </w:t>
            </w:r>
            <w:r>
              <w:rPr>
                <w:w w:val="105"/>
                <w:sz w:val="18"/>
              </w:rPr>
              <w:t>– </w:t>
            </w:r>
            <w:r>
              <w:rPr>
                <w:sz w:val="18"/>
              </w:rPr>
              <w:t>Retail</w:t>
            </w:r>
          </w:p>
        </w:tc>
        <w:tc>
          <w:tcPr>
            <w:tcW w:w="2697" w:type="dxa"/>
            <w:tcBorders>
              <w:top w:val="single" w:sz="6" w:space="0" w:color="69BD28"/>
              <w:bottom w:val="single" w:sz="6" w:space="0" w:color="69BD28"/>
            </w:tcBorders>
          </w:tcPr>
          <w:p>
            <w:pPr>
              <w:pStyle w:val="TableParagraph"/>
              <w:spacing w:before="44"/>
              <w:ind w:left="782"/>
              <w:jc w:val="left"/>
              <w:rPr>
                <w:sz w:val="18"/>
              </w:rPr>
            </w:pPr>
            <w:r>
              <w:rPr>
                <w:w w:val="105"/>
                <w:sz w:val="18"/>
              </w:rPr>
              <w:t>3,865.14</w:t>
            </w:r>
          </w:p>
        </w:tc>
        <w:tc>
          <w:tcPr>
            <w:tcW w:w="2388" w:type="dxa"/>
            <w:tcBorders>
              <w:top w:val="single" w:sz="6" w:space="0" w:color="69BD28"/>
              <w:bottom w:val="single" w:sz="6" w:space="0" w:color="69BD28"/>
            </w:tcBorders>
          </w:tcPr>
          <w:p>
            <w:pPr>
              <w:pStyle w:val="TableParagraph"/>
              <w:spacing w:before="44"/>
              <w:ind w:left="10" w:right="170"/>
              <w:rPr>
                <w:sz w:val="18"/>
              </w:rPr>
            </w:pPr>
            <w:r>
              <w:rPr>
                <w:w w:val="110"/>
                <w:sz w:val="18"/>
              </w:rPr>
              <w:t>224.50</w:t>
            </w:r>
          </w:p>
        </w:tc>
        <w:tc>
          <w:tcPr>
            <w:tcW w:w="2615" w:type="dxa"/>
            <w:tcBorders>
              <w:top w:val="single" w:sz="6" w:space="0" w:color="69BD28"/>
              <w:bottom w:val="single" w:sz="6" w:space="0" w:color="69BD28"/>
            </w:tcBorders>
          </w:tcPr>
          <w:p>
            <w:pPr>
              <w:pStyle w:val="TableParagraph"/>
              <w:spacing w:before="44"/>
              <w:ind w:left="178" w:right="111"/>
              <w:rPr>
                <w:sz w:val="18"/>
              </w:rPr>
            </w:pPr>
            <w:r>
              <w:rPr>
                <w:w w:val="105"/>
                <w:sz w:val="18"/>
              </w:rPr>
              <w:t>157.19</w:t>
            </w:r>
          </w:p>
        </w:tc>
      </w:tr>
      <w:tr>
        <w:trPr>
          <w:trHeight w:val="510" w:hRule="atLeast"/>
        </w:trPr>
        <w:tc>
          <w:tcPr>
            <w:tcW w:w="2785" w:type="dxa"/>
            <w:tcBorders>
              <w:bottom w:val="single" w:sz="6" w:space="0" w:color="69BD28"/>
            </w:tcBorders>
          </w:tcPr>
          <w:p>
            <w:pPr>
              <w:pStyle w:val="TableParagraph"/>
              <w:spacing w:line="247" w:lineRule="auto" w:before="44"/>
              <w:ind w:left="1061" w:right="374" w:hanging="740"/>
              <w:jc w:val="left"/>
              <w:rPr>
                <w:sz w:val="18"/>
              </w:rPr>
            </w:pPr>
            <w:r>
              <w:rPr>
                <w:sz w:val="18"/>
              </w:rPr>
              <w:t>Front Parcel - Convention Centre</w:t>
            </w:r>
          </w:p>
        </w:tc>
        <w:tc>
          <w:tcPr>
            <w:tcW w:w="2697" w:type="dxa"/>
            <w:tcBorders>
              <w:bottom w:val="single" w:sz="6" w:space="0" w:color="69BD28"/>
            </w:tcBorders>
          </w:tcPr>
          <w:p>
            <w:pPr>
              <w:pStyle w:val="TableParagraph"/>
              <w:spacing w:before="152"/>
              <w:ind w:left="729"/>
              <w:jc w:val="left"/>
              <w:rPr>
                <w:sz w:val="18"/>
              </w:rPr>
            </w:pPr>
            <w:r>
              <w:rPr>
                <w:w w:val="105"/>
                <w:sz w:val="18"/>
              </w:rPr>
              <w:t>14,495.96</w:t>
            </w:r>
          </w:p>
        </w:tc>
        <w:tc>
          <w:tcPr>
            <w:tcW w:w="2388" w:type="dxa"/>
            <w:tcBorders>
              <w:bottom w:val="single" w:sz="6" w:space="0" w:color="69BD28"/>
            </w:tcBorders>
          </w:tcPr>
          <w:p>
            <w:pPr>
              <w:pStyle w:val="TableParagraph"/>
              <w:spacing w:before="152"/>
              <w:ind w:left="10" w:right="170"/>
              <w:rPr>
                <w:sz w:val="18"/>
              </w:rPr>
            </w:pPr>
            <w:r>
              <w:rPr>
                <w:w w:val="110"/>
                <w:sz w:val="18"/>
              </w:rPr>
              <w:t>840.77</w:t>
            </w:r>
          </w:p>
        </w:tc>
        <w:tc>
          <w:tcPr>
            <w:tcW w:w="2615" w:type="dxa"/>
            <w:tcBorders>
              <w:bottom w:val="single" w:sz="6" w:space="0" w:color="69BD28"/>
            </w:tcBorders>
          </w:tcPr>
          <w:p>
            <w:pPr>
              <w:pStyle w:val="TableParagraph"/>
              <w:spacing w:before="152"/>
              <w:ind w:left="178" w:right="111"/>
              <w:rPr>
                <w:sz w:val="18"/>
              </w:rPr>
            </w:pPr>
            <w:r>
              <w:rPr>
                <w:w w:val="105"/>
                <w:sz w:val="18"/>
              </w:rPr>
              <w:t>591.39</w:t>
            </w:r>
          </w:p>
        </w:tc>
      </w:tr>
      <w:tr>
        <w:trPr>
          <w:trHeight w:val="296" w:hRule="atLeast"/>
        </w:trPr>
        <w:tc>
          <w:tcPr>
            <w:tcW w:w="2785" w:type="dxa"/>
            <w:tcBorders>
              <w:top w:val="single" w:sz="6" w:space="0" w:color="69BD28"/>
              <w:bottom w:val="single" w:sz="6" w:space="0" w:color="69BD28"/>
            </w:tcBorders>
          </w:tcPr>
          <w:p>
            <w:pPr>
              <w:pStyle w:val="TableParagraph"/>
              <w:spacing w:before="44"/>
              <w:ind w:left="72" w:right="205"/>
              <w:rPr>
                <w:sz w:val="18"/>
              </w:rPr>
            </w:pPr>
            <w:r>
              <w:rPr>
                <w:sz w:val="18"/>
              </w:rPr>
              <w:t>5 Star Hotel</w:t>
            </w:r>
          </w:p>
        </w:tc>
        <w:tc>
          <w:tcPr>
            <w:tcW w:w="2697" w:type="dxa"/>
            <w:tcBorders>
              <w:top w:val="single" w:sz="6" w:space="0" w:color="69BD28"/>
              <w:bottom w:val="single" w:sz="6" w:space="0" w:color="69BD28"/>
            </w:tcBorders>
          </w:tcPr>
          <w:p>
            <w:pPr>
              <w:pStyle w:val="TableParagraph"/>
              <w:spacing w:before="44"/>
              <w:ind w:left="739"/>
              <w:jc w:val="left"/>
              <w:rPr>
                <w:sz w:val="18"/>
              </w:rPr>
            </w:pPr>
            <w:r>
              <w:rPr>
                <w:sz w:val="18"/>
              </w:rPr>
              <w:t>13.13/Key</w:t>
            </w:r>
          </w:p>
        </w:tc>
        <w:tc>
          <w:tcPr>
            <w:tcW w:w="2388" w:type="dxa"/>
            <w:tcBorders>
              <w:top w:val="single" w:sz="6" w:space="0" w:color="69BD28"/>
              <w:bottom w:val="single" w:sz="6" w:space="0" w:color="69BD28"/>
            </w:tcBorders>
          </w:tcPr>
          <w:p>
            <w:pPr>
              <w:pStyle w:val="TableParagraph"/>
              <w:spacing w:before="44"/>
              <w:ind w:left="10" w:right="171"/>
              <w:rPr>
                <w:sz w:val="18"/>
              </w:rPr>
            </w:pPr>
            <w:r>
              <w:rPr>
                <w:w w:val="105"/>
                <w:sz w:val="18"/>
              </w:rPr>
              <w:t>3,492.38</w:t>
            </w:r>
          </w:p>
        </w:tc>
        <w:tc>
          <w:tcPr>
            <w:tcW w:w="2615" w:type="dxa"/>
            <w:tcBorders>
              <w:top w:val="single" w:sz="6" w:space="0" w:color="69BD28"/>
              <w:bottom w:val="single" w:sz="6" w:space="0" w:color="69BD28"/>
            </w:tcBorders>
          </w:tcPr>
          <w:p>
            <w:pPr>
              <w:pStyle w:val="TableParagraph"/>
              <w:spacing w:before="44"/>
              <w:ind w:left="178" w:right="111"/>
              <w:rPr>
                <w:sz w:val="18"/>
              </w:rPr>
            </w:pPr>
            <w:r>
              <w:rPr>
                <w:w w:val="105"/>
                <w:sz w:val="18"/>
              </w:rPr>
              <w:t>2,379.83</w:t>
            </w:r>
          </w:p>
        </w:tc>
      </w:tr>
      <w:tr>
        <w:trPr>
          <w:trHeight w:val="294" w:hRule="atLeast"/>
        </w:trPr>
        <w:tc>
          <w:tcPr>
            <w:tcW w:w="2785" w:type="dxa"/>
            <w:tcBorders>
              <w:top w:val="single" w:sz="6" w:space="0" w:color="69BD28"/>
              <w:bottom w:val="single" w:sz="6" w:space="0" w:color="69BD28"/>
            </w:tcBorders>
          </w:tcPr>
          <w:p>
            <w:pPr>
              <w:pStyle w:val="TableParagraph"/>
              <w:spacing w:before="44"/>
              <w:ind w:left="72" w:right="205"/>
              <w:rPr>
                <w:sz w:val="18"/>
              </w:rPr>
            </w:pPr>
            <w:r>
              <w:rPr>
                <w:sz w:val="18"/>
              </w:rPr>
              <w:t>3 Star Hotel</w:t>
            </w:r>
          </w:p>
        </w:tc>
        <w:tc>
          <w:tcPr>
            <w:tcW w:w="2697" w:type="dxa"/>
            <w:tcBorders>
              <w:top w:val="single" w:sz="6" w:space="0" w:color="69BD28"/>
              <w:bottom w:val="single" w:sz="6" w:space="0" w:color="69BD28"/>
            </w:tcBorders>
          </w:tcPr>
          <w:p>
            <w:pPr>
              <w:pStyle w:val="TableParagraph"/>
              <w:spacing w:before="44"/>
              <w:ind w:left="794"/>
              <w:jc w:val="left"/>
              <w:rPr>
                <w:sz w:val="18"/>
              </w:rPr>
            </w:pPr>
            <w:r>
              <w:rPr>
                <w:sz w:val="18"/>
              </w:rPr>
              <w:t>9.41/Key</w:t>
            </w:r>
          </w:p>
        </w:tc>
        <w:tc>
          <w:tcPr>
            <w:tcW w:w="2388" w:type="dxa"/>
            <w:tcBorders>
              <w:top w:val="single" w:sz="6" w:space="0" w:color="69BD28"/>
              <w:bottom w:val="single" w:sz="6" w:space="0" w:color="69BD28"/>
            </w:tcBorders>
          </w:tcPr>
          <w:p>
            <w:pPr>
              <w:pStyle w:val="TableParagraph"/>
              <w:spacing w:before="44"/>
              <w:ind w:left="10" w:right="171"/>
              <w:rPr>
                <w:sz w:val="18"/>
              </w:rPr>
            </w:pPr>
            <w:r>
              <w:rPr>
                <w:w w:val="105"/>
                <w:sz w:val="18"/>
              </w:rPr>
              <w:t>3,320.04</w:t>
            </w:r>
          </w:p>
        </w:tc>
        <w:tc>
          <w:tcPr>
            <w:tcW w:w="2615" w:type="dxa"/>
            <w:tcBorders>
              <w:top w:val="single" w:sz="6" w:space="0" w:color="69BD28"/>
              <w:bottom w:val="single" w:sz="6" w:space="0" w:color="69BD28"/>
            </w:tcBorders>
          </w:tcPr>
          <w:p>
            <w:pPr>
              <w:pStyle w:val="TableParagraph"/>
              <w:spacing w:before="44"/>
              <w:ind w:left="178" w:right="111"/>
              <w:rPr>
                <w:sz w:val="18"/>
              </w:rPr>
            </w:pPr>
            <w:r>
              <w:rPr>
                <w:w w:val="105"/>
                <w:sz w:val="18"/>
              </w:rPr>
              <w:t>2,262.39</w:t>
            </w:r>
          </w:p>
        </w:tc>
      </w:tr>
    </w:tbl>
    <w:p>
      <w:pPr>
        <w:spacing w:before="0"/>
        <w:ind w:left="220" w:right="0" w:firstLine="0"/>
        <w:jc w:val="left"/>
        <w:rPr>
          <w:i/>
          <w:sz w:val="18"/>
        </w:rPr>
      </w:pPr>
      <w:r>
        <w:rPr>
          <w:i/>
          <w:sz w:val="18"/>
        </w:rPr>
        <w:t>Source: Client’s input; Block M3 covered as part of subsequent section;</w:t>
      </w:r>
    </w:p>
    <w:p>
      <w:pPr>
        <w:pStyle w:val="BodyText"/>
        <w:spacing w:before="7"/>
        <w:rPr>
          <w:i/>
          <w:sz w:val="18"/>
        </w:rPr>
      </w:pPr>
    </w:p>
    <w:p>
      <w:pPr>
        <w:pStyle w:val="ListParagraph"/>
        <w:numPr>
          <w:ilvl w:val="3"/>
          <w:numId w:val="34"/>
        </w:numPr>
        <w:tabs>
          <w:tab w:pos="1085" w:val="left" w:leader="none"/>
        </w:tabs>
        <w:spacing w:line="240" w:lineRule="auto" w:before="0" w:after="0"/>
        <w:ind w:left="1084" w:right="0" w:hanging="865"/>
        <w:jc w:val="left"/>
        <w:rPr>
          <w:i/>
          <w:sz w:val="20"/>
        </w:rPr>
      </w:pPr>
      <w:r>
        <w:rPr>
          <w:i/>
          <w:color w:val="008000"/>
          <w:sz w:val="20"/>
        </w:rPr>
        <w:t>Major Repair and</w:t>
      </w:r>
      <w:r>
        <w:rPr>
          <w:i/>
          <w:color w:val="008000"/>
          <w:spacing w:val="-11"/>
          <w:sz w:val="20"/>
        </w:rPr>
        <w:t> </w:t>
      </w:r>
      <w:r>
        <w:rPr>
          <w:i/>
          <w:color w:val="008000"/>
          <w:sz w:val="20"/>
        </w:rPr>
        <w:t>improvements</w:t>
      </w:r>
    </w:p>
    <w:p>
      <w:pPr>
        <w:pStyle w:val="BodyText"/>
        <w:spacing w:line="321" w:lineRule="auto" w:before="77"/>
        <w:ind w:left="782"/>
      </w:pPr>
      <w:r>
        <w:rPr/>
        <w:t>The following table highlights the assumptions towards the refurbishment expenses/ infrastructure upgrade works in the subject development:</w:t>
      </w:r>
    </w:p>
    <w:p>
      <w:pPr>
        <w:pStyle w:val="BodyText"/>
        <w:rPr>
          <w:sz w:val="21"/>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98"/>
        <w:gridCol w:w="2965"/>
        <w:gridCol w:w="2623"/>
      </w:tblGrid>
      <w:tr>
        <w:trPr>
          <w:trHeight w:val="412" w:hRule="atLeast"/>
        </w:trPr>
        <w:tc>
          <w:tcPr>
            <w:tcW w:w="4898" w:type="dxa"/>
            <w:tcBorders>
              <w:top w:val="single" w:sz="6" w:space="0" w:color="69BD28"/>
              <w:bottom w:val="single" w:sz="6" w:space="0" w:color="69BD28"/>
            </w:tcBorders>
            <w:shd w:val="clear" w:color="auto" w:fill="006A4D"/>
          </w:tcPr>
          <w:p>
            <w:pPr>
              <w:pStyle w:val="TableParagraph"/>
              <w:spacing w:before="102"/>
              <w:ind w:left="356" w:right="182"/>
              <w:rPr>
                <w:b/>
                <w:sz w:val="18"/>
              </w:rPr>
            </w:pPr>
            <w:r>
              <w:rPr>
                <w:b/>
                <w:color w:val="FFFFFF"/>
                <w:w w:val="110"/>
                <w:sz w:val="18"/>
              </w:rPr>
              <w:t>Expense Head</w:t>
            </w:r>
          </w:p>
        </w:tc>
        <w:tc>
          <w:tcPr>
            <w:tcW w:w="2965" w:type="dxa"/>
            <w:tcBorders>
              <w:top w:val="single" w:sz="6" w:space="0" w:color="69BD28"/>
              <w:bottom w:val="single" w:sz="6" w:space="0" w:color="69BD28"/>
            </w:tcBorders>
            <w:shd w:val="clear" w:color="auto" w:fill="006A4D"/>
          </w:tcPr>
          <w:p>
            <w:pPr>
              <w:pStyle w:val="TableParagraph"/>
              <w:spacing w:before="102"/>
              <w:ind w:left="176" w:right="181"/>
              <w:rPr>
                <w:b/>
                <w:sz w:val="18"/>
              </w:rPr>
            </w:pPr>
            <w:r>
              <w:rPr>
                <w:b/>
                <w:color w:val="FFFFFF"/>
                <w:w w:val="110"/>
                <w:sz w:val="18"/>
              </w:rPr>
              <w:t>Total Pending Cost (INR Mn)</w:t>
            </w:r>
          </w:p>
        </w:tc>
        <w:tc>
          <w:tcPr>
            <w:tcW w:w="2623" w:type="dxa"/>
            <w:tcBorders>
              <w:top w:val="single" w:sz="6" w:space="0" w:color="69BD28"/>
              <w:bottom w:val="single" w:sz="6" w:space="0" w:color="69BD28"/>
            </w:tcBorders>
            <w:shd w:val="clear" w:color="auto" w:fill="006A4D"/>
          </w:tcPr>
          <w:p>
            <w:pPr>
              <w:pStyle w:val="TableParagraph"/>
              <w:spacing w:before="102"/>
              <w:ind w:left="216" w:right="375"/>
              <w:rPr>
                <w:b/>
                <w:sz w:val="18"/>
              </w:rPr>
            </w:pPr>
            <w:r>
              <w:rPr>
                <w:b/>
                <w:color w:val="FFFFFF"/>
                <w:w w:val="105"/>
                <w:sz w:val="18"/>
              </w:rPr>
              <w:t>Quarter of Completion</w:t>
            </w:r>
          </w:p>
        </w:tc>
      </w:tr>
      <w:tr>
        <w:trPr>
          <w:trHeight w:val="296" w:hRule="atLeast"/>
        </w:trPr>
        <w:tc>
          <w:tcPr>
            <w:tcW w:w="4898" w:type="dxa"/>
            <w:tcBorders>
              <w:top w:val="single" w:sz="6" w:space="0" w:color="69BD28"/>
              <w:bottom w:val="single" w:sz="6" w:space="0" w:color="69BD28"/>
            </w:tcBorders>
          </w:tcPr>
          <w:p>
            <w:pPr>
              <w:pStyle w:val="TableParagraph"/>
              <w:spacing w:before="44"/>
              <w:ind w:left="356" w:right="181"/>
              <w:rPr>
                <w:sz w:val="18"/>
              </w:rPr>
            </w:pPr>
            <w:r>
              <w:rPr>
                <w:sz w:val="18"/>
              </w:rPr>
              <w:t>220 KV Sub-station</w:t>
            </w:r>
          </w:p>
        </w:tc>
        <w:tc>
          <w:tcPr>
            <w:tcW w:w="2965" w:type="dxa"/>
            <w:tcBorders>
              <w:top w:val="single" w:sz="6" w:space="0" w:color="69BD28"/>
              <w:bottom w:val="single" w:sz="6" w:space="0" w:color="69BD28"/>
            </w:tcBorders>
          </w:tcPr>
          <w:p>
            <w:pPr>
              <w:pStyle w:val="TableParagraph"/>
              <w:spacing w:before="44"/>
              <w:ind w:left="175" w:right="181"/>
              <w:rPr>
                <w:sz w:val="18"/>
              </w:rPr>
            </w:pPr>
            <w:r>
              <w:rPr>
                <w:w w:val="110"/>
                <w:sz w:val="18"/>
              </w:rPr>
              <w:t>136.94</w:t>
            </w:r>
          </w:p>
        </w:tc>
        <w:tc>
          <w:tcPr>
            <w:tcW w:w="2623" w:type="dxa"/>
            <w:tcBorders>
              <w:top w:val="single" w:sz="6" w:space="0" w:color="69BD28"/>
              <w:bottom w:val="single" w:sz="6" w:space="0" w:color="69BD28"/>
            </w:tcBorders>
          </w:tcPr>
          <w:p>
            <w:pPr>
              <w:pStyle w:val="TableParagraph"/>
              <w:spacing w:before="44"/>
              <w:ind w:left="216" w:right="325"/>
              <w:rPr>
                <w:sz w:val="18"/>
              </w:rPr>
            </w:pPr>
            <w:r>
              <w:rPr>
                <w:w w:val="105"/>
                <w:sz w:val="18"/>
              </w:rPr>
              <w:t>Q2, FY 2021</w:t>
            </w:r>
          </w:p>
        </w:tc>
      </w:tr>
      <w:tr>
        <w:trPr>
          <w:trHeight w:val="294" w:hRule="atLeast"/>
        </w:trPr>
        <w:tc>
          <w:tcPr>
            <w:tcW w:w="4898" w:type="dxa"/>
            <w:tcBorders>
              <w:top w:val="single" w:sz="6" w:space="0" w:color="69BD28"/>
              <w:bottom w:val="single" w:sz="6" w:space="0" w:color="69BD28"/>
            </w:tcBorders>
          </w:tcPr>
          <w:p>
            <w:pPr>
              <w:pStyle w:val="TableParagraph"/>
              <w:spacing w:before="44"/>
              <w:ind w:left="356" w:right="185"/>
              <w:rPr>
                <w:sz w:val="18"/>
              </w:rPr>
            </w:pPr>
            <w:r>
              <w:rPr>
                <w:sz w:val="18"/>
              </w:rPr>
              <w:t>Capex Works (Operations)</w:t>
            </w:r>
          </w:p>
        </w:tc>
        <w:tc>
          <w:tcPr>
            <w:tcW w:w="2965" w:type="dxa"/>
            <w:tcBorders>
              <w:top w:val="single" w:sz="6" w:space="0" w:color="69BD28"/>
              <w:bottom w:val="single" w:sz="6" w:space="0" w:color="69BD28"/>
            </w:tcBorders>
          </w:tcPr>
          <w:p>
            <w:pPr>
              <w:pStyle w:val="TableParagraph"/>
              <w:spacing w:before="44"/>
              <w:ind w:left="176" w:right="180"/>
              <w:rPr>
                <w:sz w:val="18"/>
              </w:rPr>
            </w:pPr>
            <w:r>
              <w:rPr>
                <w:w w:val="105"/>
                <w:sz w:val="18"/>
              </w:rPr>
              <w:t>1,000.04</w:t>
            </w:r>
          </w:p>
        </w:tc>
        <w:tc>
          <w:tcPr>
            <w:tcW w:w="2623" w:type="dxa"/>
            <w:tcBorders>
              <w:top w:val="single" w:sz="6" w:space="0" w:color="69BD28"/>
              <w:bottom w:val="single" w:sz="6" w:space="0" w:color="69BD28"/>
            </w:tcBorders>
          </w:tcPr>
          <w:p>
            <w:pPr>
              <w:pStyle w:val="TableParagraph"/>
              <w:spacing w:before="44"/>
              <w:ind w:left="216" w:right="306"/>
              <w:rPr>
                <w:sz w:val="18"/>
              </w:rPr>
            </w:pPr>
            <w:r>
              <w:rPr>
                <w:w w:val="105"/>
                <w:sz w:val="18"/>
              </w:rPr>
              <w:t>Q3, FY 2022</w:t>
            </w:r>
          </w:p>
        </w:tc>
      </w:tr>
      <w:tr>
        <w:trPr>
          <w:trHeight w:val="296" w:hRule="atLeast"/>
        </w:trPr>
        <w:tc>
          <w:tcPr>
            <w:tcW w:w="4898" w:type="dxa"/>
            <w:tcBorders>
              <w:top w:val="single" w:sz="6" w:space="0" w:color="69BD28"/>
              <w:bottom w:val="single" w:sz="6" w:space="0" w:color="69BD28"/>
            </w:tcBorders>
          </w:tcPr>
          <w:p>
            <w:pPr>
              <w:pStyle w:val="TableParagraph"/>
              <w:spacing w:before="44"/>
              <w:ind w:left="356" w:right="182"/>
              <w:rPr>
                <w:sz w:val="18"/>
              </w:rPr>
            </w:pPr>
            <w:r>
              <w:rPr>
                <w:sz w:val="18"/>
              </w:rPr>
              <w:t>Flyover</w:t>
            </w:r>
          </w:p>
        </w:tc>
        <w:tc>
          <w:tcPr>
            <w:tcW w:w="2965" w:type="dxa"/>
            <w:tcBorders>
              <w:top w:val="single" w:sz="6" w:space="0" w:color="69BD28"/>
              <w:bottom w:val="single" w:sz="6" w:space="0" w:color="69BD28"/>
            </w:tcBorders>
          </w:tcPr>
          <w:p>
            <w:pPr>
              <w:pStyle w:val="TableParagraph"/>
              <w:spacing w:before="44"/>
              <w:ind w:left="176" w:right="180"/>
              <w:rPr>
                <w:sz w:val="18"/>
              </w:rPr>
            </w:pPr>
            <w:r>
              <w:rPr>
                <w:w w:val="105"/>
                <w:sz w:val="18"/>
              </w:rPr>
              <w:t>1,438.05</w:t>
            </w:r>
          </w:p>
        </w:tc>
        <w:tc>
          <w:tcPr>
            <w:tcW w:w="2623" w:type="dxa"/>
            <w:tcBorders>
              <w:top w:val="single" w:sz="6" w:space="0" w:color="69BD28"/>
              <w:bottom w:val="single" w:sz="6" w:space="0" w:color="69BD28"/>
            </w:tcBorders>
          </w:tcPr>
          <w:p>
            <w:pPr>
              <w:pStyle w:val="TableParagraph"/>
              <w:spacing w:before="44"/>
              <w:ind w:left="216" w:right="306"/>
              <w:rPr>
                <w:sz w:val="18"/>
              </w:rPr>
            </w:pPr>
            <w:r>
              <w:rPr>
                <w:w w:val="105"/>
                <w:sz w:val="18"/>
              </w:rPr>
              <w:t>Q4, FY 2021</w:t>
            </w:r>
          </w:p>
        </w:tc>
      </w:tr>
      <w:tr>
        <w:trPr>
          <w:trHeight w:val="294" w:hRule="atLeast"/>
        </w:trPr>
        <w:tc>
          <w:tcPr>
            <w:tcW w:w="4898" w:type="dxa"/>
            <w:tcBorders>
              <w:top w:val="single" w:sz="6" w:space="0" w:color="69BD28"/>
              <w:bottom w:val="single" w:sz="6" w:space="0" w:color="69BD28"/>
            </w:tcBorders>
          </w:tcPr>
          <w:p>
            <w:pPr>
              <w:pStyle w:val="TableParagraph"/>
              <w:spacing w:before="44"/>
              <w:ind w:left="356" w:right="185"/>
              <w:rPr>
                <w:sz w:val="18"/>
              </w:rPr>
            </w:pPr>
            <w:r>
              <w:rPr>
                <w:sz w:val="18"/>
              </w:rPr>
              <w:t>Metro (Direct Park Access)</w:t>
            </w:r>
          </w:p>
        </w:tc>
        <w:tc>
          <w:tcPr>
            <w:tcW w:w="2965" w:type="dxa"/>
            <w:tcBorders>
              <w:top w:val="single" w:sz="6" w:space="0" w:color="69BD28"/>
              <w:bottom w:val="single" w:sz="6" w:space="0" w:color="69BD28"/>
            </w:tcBorders>
          </w:tcPr>
          <w:p>
            <w:pPr>
              <w:pStyle w:val="TableParagraph"/>
              <w:spacing w:before="44"/>
              <w:ind w:left="174" w:right="181"/>
              <w:rPr>
                <w:sz w:val="18"/>
              </w:rPr>
            </w:pPr>
            <w:r>
              <w:rPr>
                <w:w w:val="110"/>
                <w:sz w:val="18"/>
              </w:rPr>
              <w:t>320</w:t>
            </w:r>
          </w:p>
        </w:tc>
        <w:tc>
          <w:tcPr>
            <w:tcW w:w="2623" w:type="dxa"/>
            <w:tcBorders>
              <w:top w:val="single" w:sz="6" w:space="0" w:color="69BD28"/>
              <w:bottom w:val="single" w:sz="6" w:space="0" w:color="69BD28"/>
            </w:tcBorders>
          </w:tcPr>
          <w:p>
            <w:pPr>
              <w:pStyle w:val="TableParagraph"/>
              <w:spacing w:before="44"/>
              <w:ind w:left="216" w:right="306"/>
              <w:rPr>
                <w:sz w:val="18"/>
              </w:rPr>
            </w:pPr>
            <w:r>
              <w:rPr>
                <w:w w:val="105"/>
                <w:sz w:val="18"/>
              </w:rPr>
              <w:t>Q4, FY 2022</w:t>
            </w:r>
          </w:p>
        </w:tc>
      </w:tr>
      <w:tr>
        <w:trPr>
          <w:trHeight w:val="297" w:hRule="atLeast"/>
        </w:trPr>
        <w:tc>
          <w:tcPr>
            <w:tcW w:w="4898" w:type="dxa"/>
            <w:tcBorders>
              <w:top w:val="single" w:sz="6" w:space="0" w:color="69BD28"/>
              <w:bottom w:val="single" w:sz="6" w:space="0" w:color="69BD28"/>
            </w:tcBorders>
          </w:tcPr>
          <w:p>
            <w:pPr>
              <w:pStyle w:val="TableParagraph"/>
              <w:spacing w:before="44"/>
              <w:ind w:left="356" w:right="186"/>
              <w:rPr>
                <w:sz w:val="18"/>
              </w:rPr>
            </w:pPr>
            <w:r>
              <w:rPr>
                <w:sz w:val="18"/>
              </w:rPr>
              <w:t>Master plan Upgradation with Road &amp; Drainage Works</w:t>
            </w:r>
          </w:p>
        </w:tc>
        <w:tc>
          <w:tcPr>
            <w:tcW w:w="2965" w:type="dxa"/>
            <w:tcBorders>
              <w:top w:val="single" w:sz="6" w:space="0" w:color="69BD28"/>
              <w:bottom w:val="single" w:sz="6" w:space="0" w:color="69BD28"/>
            </w:tcBorders>
          </w:tcPr>
          <w:p>
            <w:pPr>
              <w:pStyle w:val="TableParagraph"/>
              <w:spacing w:before="44"/>
              <w:ind w:left="176" w:right="180"/>
              <w:rPr>
                <w:sz w:val="18"/>
              </w:rPr>
            </w:pPr>
            <w:r>
              <w:rPr>
                <w:w w:val="105"/>
                <w:sz w:val="18"/>
              </w:rPr>
              <w:t>1,538.67</w:t>
            </w:r>
          </w:p>
        </w:tc>
        <w:tc>
          <w:tcPr>
            <w:tcW w:w="2623" w:type="dxa"/>
            <w:tcBorders>
              <w:top w:val="single" w:sz="6" w:space="0" w:color="69BD28"/>
              <w:bottom w:val="single" w:sz="6" w:space="0" w:color="69BD28"/>
            </w:tcBorders>
          </w:tcPr>
          <w:p>
            <w:pPr>
              <w:pStyle w:val="TableParagraph"/>
              <w:spacing w:before="44"/>
              <w:ind w:left="216" w:right="306"/>
              <w:rPr>
                <w:sz w:val="18"/>
              </w:rPr>
            </w:pPr>
            <w:r>
              <w:rPr>
                <w:w w:val="105"/>
                <w:sz w:val="18"/>
              </w:rPr>
              <w:t>Q4, FY 2022</w:t>
            </w:r>
          </w:p>
        </w:tc>
      </w:tr>
      <w:tr>
        <w:trPr>
          <w:trHeight w:val="294" w:hRule="atLeast"/>
        </w:trPr>
        <w:tc>
          <w:tcPr>
            <w:tcW w:w="4898" w:type="dxa"/>
            <w:tcBorders>
              <w:top w:val="single" w:sz="6" w:space="0" w:color="69BD28"/>
              <w:bottom w:val="single" w:sz="6" w:space="0" w:color="69BD28"/>
            </w:tcBorders>
          </w:tcPr>
          <w:p>
            <w:pPr>
              <w:pStyle w:val="TableParagraph"/>
              <w:spacing w:before="44"/>
              <w:ind w:left="356" w:right="184"/>
              <w:rPr>
                <w:sz w:val="18"/>
              </w:rPr>
            </w:pPr>
            <w:r>
              <w:rPr>
                <w:sz w:val="18"/>
              </w:rPr>
              <w:t>Park Lobby Upgrade</w:t>
            </w:r>
          </w:p>
        </w:tc>
        <w:tc>
          <w:tcPr>
            <w:tcW w:w="2965" w:type="dxa"/>
            <w:tcBorders>
              <w:top w:val="single" w:sz="6" w:space="0" w:color="69BD28"/>
              <w:bottom w:val="single" w:sz="6" w:space="0" w:color="69BD28"/>
            </w:tcBorders>
          </w:tcPr>
          <w:p>
            <w:pPr>
              <w:pStyle w:val="TableParagraph"/>
              <w:spacing w:before="44"/>
              <w:ind w:left="175" w:right="181"/>
              <w:rPr>
                <w:sz w:val="18"/>
              </w:rPr>
            </w:pPr>
            <w:r>
              <w:rPr>
                <w:w w:val="105"/>
                <w:sz w:val="18"/>
              </w:rPr>
              <w:t>45.48</w:t>
            </w:r>
          </w:p>
        </w:tc>
        <w:tc>
          <w:tcPr>
            <w:tcW w:w="2623" w:type="dxa"/>
            <w:tcBorders>
              <w:top w:val="single" w:sz="6" w:space="0" w:color="69BD28"/>
              <w:bottom w:val="single" w:sz="6" w:space="0" w:color="69BD28"/>
            </w:tcBorders>
          </w:tcPr>
          <w:p>
            <w:pPr>
              <w:pStyle w:val="TableParagraph"/>
              <w:spacing w:before="44"/>
              <w:ind w:left="216" w:right="306"/>
              <w:rPr>
                <w:sz w:val="18"/>
              </w:rPr>
            </w:pPr>
            <w:r>
              <w:rPr>
                <w:w w:val="105"/>
                <w:sz w:val="18"/>
              </w:rPr>
              <w:t>Q2, FY 2021</w:t>
            </w:r>
          </w:p>
        </w:tc>
      </w:tr>
    </w:tbl>
    <w:p>
      <w:pPr>
        <w:spacing w:line="321" w:lineRule="auto" w:before="117"/>
        <w:ind w:left="839" w:right="0" w:firstLine="0"/>
        <w:jc w:val="left"/>
        <w:rPr>
          <w:sz w:val="18"/>
        </w:rPr>
      </w:pPr>
      <w:r>
        <w:rPr>
          <w:sz w:val="18"/>
        </w:rPr>
        <w:t>Source</w:t>
      </w:r>
      <w:r>
        <w:rPr>
          <w:spacing w:val="-14"/>
          <w:sz w:val="18"/>
        </w:rPr>
        <w:t> </w:t>
      </w:r>
      <w:r>
        <w:rPr>
          <w:sz w:val="18"/>
        </w:rPr>
        <w:t>Client</w:t>
      </w:r>
      <w:r>
        <w:rPr>
          <w:spacing w:val="-15"/>
          <w:sz w:val="18"/>
        </w:rPr>
        <w:t> </w:t>
      </w:r>
      <w:r>
        <w:rPr>
          <w:sz w:val="18"/>
        </w:rPr>
        <w:t>Input;</w:t>
      </w:r>
      <w:r>
        <w:rPr>
          <w:spacing w:val="-12"/>
          <w:sz w:val="18"/>
        </w:rPr>
        <w:t> </w:t>
      </w:r>
      <w:r>
        <w:rPr>
          <w:sz w:val="18"/>
        </w:rPr>
        <w:t>Valuer’s</w:t>
      </w:r>
      <w:r>
        <w:rPr>
          <w:spacing w:val="-12"/>
          <w:sz w:val="18"/>
        </w:rPr>
        <w:t> </w:t>
      </w:r>
      <w:r>
        <w:rPr>
          <w:sz w:val="18"/>
        </w:rPr>
        <w:t>Assessment*</w:t>
      </w:r>
      <w:r>
        <w:rPr>
          <w:spacing w:val="-15"/>
          <w:sz w:val="18"/>
        </w:rPr>
        <w:t> </w:t>
      </w:r>
      <w:r>
        <w:rPr>
          <w:sz w:val="18"/>
        </w:rPr>
        <w:t>the</w:t>
      </w:r>
      <w:r>
        <w:rPr>
          <w:spacing w:val="-13"/>
          <w:sz w:val="18"/>
        </w:rPr>
        <w:t> </w:t>
      </w:r>
      <w:r>
        <w:rPr>
          <w:sz w:val="18"/>
        </w:rPr>
        <w:t>pending</w:t>
      </w:r>
      <w:r>
        <w:rPr>
          <w:spacing w:val="-14"/>
          <w:sz w:val="18"/>
        </w:rPr>
        <w:t> </w:t>
      </w:r>
      <w:r>
        <w:rPr>
          <w:sz w:val="18"/>
        </w:rPr>
        <w:t>cost</w:t>
      </w:r>
      <w:r>
        <w:rPr>
          <w:spacing w:val="-14"/>
          <w:sz w:val="18"/>
        </w:rPr>
        <w:t> </w:t>
      </w:r>
      <w:r>
        <w:rPr>
          <w:sz w:val="18"/>
        </w:rPr>
        <w:t>towards</w:t>
      </w:r>
      <w:r>
        <w:rPr>
          <w:spacing w:val="-13"/>
          <w:sz w:val="18"/>
        </w:rPr>
        <w:t> </w:t>
      </w:r>
      <w:r>
        <w:rPr>
          <w:sz w:val="18"/>
        </w:rPr>
        <w:t>refurbishment</w:t>
      </w:r>
      <w:r>
        <w:rPr>
          <w:spacing w:val="-15"/>
          <w:sz w:val="18"/>
        </w:rPr>
        <w:t> </w:t>
      </w:r>
      <w:r>
        <w:rPr>
          <w:sz w:val="18"/>
        </w:rPr>
        <w:t>is</w:t>
      </w:r>
      <w:r>
        <w:rPr>
          <w:spacing w:val="-13"/>
          <w:sz w:val="18"/>
        </w:rPr>
        <w:t> </w:t>
      </w:r>
      <w:r>
        <w:rPr>
          <w:sz w:val="18"/>
        </w:rPr>
        <w:t>apportioned</w:t>
      </w:r>
      <w:r>
        <w:rPr>
          <w:spacing w:val="-14"/>
          <w:sz w:val="18"/>
        </w:rPr>
        <w:t> </w:t>
      </w:r>
      <w:r>
        <w:rPr>
          <w:sz w:val="18"/>
        </w:rPr>
        <w:t>in</w:t>
      </w:r>
      <w:r>
        <w:rPr>
          <w:spacing w:val="-14"/>
          <w:sz w:val="18"/>
        </w:rPr>
        <w:t> </w:t>
      </w:r>
      <w:r>
        <w:rPr>
          <w:sz w:val="18"/>
        </w:rPr>
        <w:t>equal</w:t>
      </w:r>
      <w:r>
        <w:rPr>
          <w:spacing w:val="-14"/>
          <w:sz w:val="18"/>
        </w:rPr>
        <w:t> </w:t>
      </w:r>
      <w:r>
        <w:rPr>
          <w:sz w:val="18"/>
        </w:rPr>
        <w:t>proportion</w:t>
      </w:r>
      <w:r>
        <w:rPr>
          <w:spacing w:val="-14"/>
          <w:sz w:val="18"/>
        </w:rPr>
        <w:t> </w:t>
      </w:r>
      <w:r>
        <w:rPr>
          <w:sz w:val="18"/>
        </w:rPr>
        <w:t>across remaining quarters from the date of</w:t>
      </w:r>
      <w:r>
        <w:rPr>
          <w:spacing w:val="-15"/>
          <w:sz w:val="18"/>
        </w:rPr>
        <w:t> </w:t>
      </w:r>
      <w:r>
        <w:rPr>
          <w:sz w:val="18"/>
        </w:rPr>
        <w:t>valuation.</w:t>
      </w:r>
    </w:p>
    <w:p>
      <w:pPr>
        <w:spacing w:after="0" w:line="321" w:lineRule="auto"/>
        <w:jc w:val="left"/>
        <w:rPr>
          <w:sz w:val="18"/>
        </w:rPr>
        <w:sectPr>
          <w:type w:val="continuous"/>
          <w:pgSz w:w="11910" w:h="16840"/>
          <w:pgMar w:top="800" w:bottom="280" w:left="500" w:right="520"/>
        </w:sectPr>
      </w:pPr>
    </w:p>
    <w:p>
      <w:pPr>
        <w:pStyle w:val="BodyText"/>
        <w:spacing w:before="1"/>
        <w:rPr>
          <w:sz w:val="12"/>
        </w:rPr>
      </w:pPr>
    </w:p>
    <w:p>
      <w:pPr>
        <w:pStyle w:val="ListParagraph"/>
        <w:numPr>
          <w:ilvl w:val="3"/>
          <w:numId w:val="34"/>
        </w:numPr>
        <w:tabs>
          <w:tab w:pos="1085" w:val="left" w:leader="none"/>
        </w:tabs>
        <w:spacing w:line="240" w:lineRule="auto" w:before="106" w:after="0"/>
        <w:ind w:left="1084" w:right="0" w:hanging="865"/>
        <w:jc w:val="left"/>
        <w:rPr>
          <w:i/>
          <w:sz w:val="20"/>
        </w:rPr>
      </w:pPr>
      <w:r>
        <w:rPr>
          <w:i/>
          <w:color w:val="008000"/>
          <w:w w:val="105"/>
          <w:sz w:val="20"/>
        </w:rPr>
        <w:t>Inputs</w:t>
      </w:r>
      <w:r>
        <w:rPr>
          <w:i/>
          <w:color w:val="008000"/>
          <w:spacing w:val="-9"/>
          <w:w w:val="105"/>
          <w:sz w:val="20"/>
        </w:rPr>
        <w:t> </w:t>
      </w:r>
      <w:r>
        <w:rPr>
          <w:i/>
          <w:color w:val="008000"/>
          <w:w w:val="105"/>
          <w:sz w:val="20"/>
        </w:rPr>
        <w:t>pertaining</w:t>
      </w:r>
      <w:r>
        <w:rPr>
          <w:i/>
          <w:color w:val="008000"/>
          <w:spacing w:val="-8"/>
          <w:w w:val="105"/>
          <w:sz w:val="20"/>
        </w:rPr>
        <w:t> </w:t>
      </w:r>
      <w:r>
        <w:rPr>
          <w:i/>
          <w:color w:val="008000"/>
          <w:w w:val="105"/>
          <w:sz w:val="20"/>
        </w:rPr>
        <w:t>to</w:t>
      </w:r>
      <w:r>
        <w:rPr>
          <w:i/>
          <w:color w:val="008000"/>
          <w:spacing w:val="-8"/>
          <w:w w:val="105"/>
          <w:sz w:val="20"/>
        </w:rPr>
        <w:t> </w:t>
      </w:r>
      <w:r>
        <w:rPr>
          <w:i/>
          <w:color w:val="008000"/>
          <w:w w:val="105"/>
          <w:sz w:val="20"/>
        </w:rPr>
        <w:t>Block</w:t>
      </w:r>
      <w:r>
        <w:rPr>
          <w:i/>
          <w:color w:val="008000"/>
          <w:spacing w:val="-6"/>
          <w:w w:val="105"/>
          <w:sz w:val="20"/>
        </w:rPr>
        <w:t> </w:t>
      </w:r>
      <w:r>
        <w:rPr>
          <w:i/>
          <w:color w:val="008000"/>
          <w:w w:val="105"/>
          <w:sz w:val="20"/>
        </w:rPr>
        <w:t>M3</w:t>
      </w:r>
      <w:r>
        <w:rPr>
          <w:i/>
          <w:color w:val="008000"/>
          <w:spacing w:val="-6"/>
          <w:w w:val="105"/>
          <w:sz w:val="20"/>
        </w:rPr>
        <w:t> </w:t>
      </w:r>
      <w:r>
        <w:rPr>
          <w:i/>
          <w:color w:val="008000"/>
          <w:w w:val="105"/>
          <w:sz w:val="20"/>
        </w:rPr>
        <w:t>–</w:t>
      </w:r>
      <w:r>
        <w:rPr>
          <w:i/>
          <w:color w:val="008000"/>
          <w:spacing w:val="-7"/>
          <w:w w:val="105"/>
          <w:sz w:val="20"/>
        </w:rPr>
        <w:t> </w:t>
      </w:r>
      <w:r>
        <w:rPr>
          <w:i/>
          <w:color w:val="008000"/>
          <w:w w:val="105"/>
          <w:sz w:val="20"/>
        </w:rPr>
        <w:t>Phase</w:t>
      </w:r>
      <w:r>
        <w:rPr>
          <w:i/>
          <w:color w:val="008000"/>
          <w:spacing w:val="-8"/>
          <w:w w:val="105"/>
          <w:sz w:val="20"/>
        </w:rPr>
        <w:t> </w:t>
      </w:r>
      <w:r>
        <w:rPr>
          <w:i/>
          <w:color w:val="008000"/>
          <w:w w:val="105"/>
          <w:sz w:val="20"/>
        </w:rPr>
        <w:t>1</w:t>
      </w:r>
    </w:p>
    <w:p>
      <w:pPr>
        <w:pStyle w:val="BodyText"/>
        <w:spacing w:line="321" w:lineRule="auto" w:before="76" w:after="5"/>
        <w:ind w:left="782" w:right="202"/>
        <w:jc w:val="both"/>
      </w:pPr>
      <w:r>
        <w:rPr/>
        <w:t>As</w:t>
      </w:r>
      <w:r>
        <w:rPr>
          <w:spacing w:val="-16"/>
        </w:rPr>
        <w:t> </w:t>
      </w:r>
      <w:r>
        <w:rPr/>
        <w:t>per</w:t>
      </w:r>
      <w:r>
        <w:rPr>
          <w:spacing w:val="-15"/>
        </w:rPr>
        <w:t> </w:t>
      </w:r>
      <w:r>
        <w:rPr/>
        <w:t>information</w:t>
      </w:r>
      <w:r>
        <w:rPr>
          <w:spacing w:val="-15"/>
        </w:rPr>
        <w:t> </w:t>
      </w:r>
      <w:r>
        <w:rPr/>
        <w:t>provided</w:t>
      </w:r>
      <w:r>
        <w:rPr>
          <w:spacing w:val="-16"/>
        </w:rPr>
        <w:t> </w:t>
      </w:r>
      <w:r>
        <w:rPr/>
        <w:t>by</w:t>
      </w:r>
      <w:r>
        <w:rPr>
          <w:spacing w:val="-16"/>
        </w:rPr>
        <w:t> </w:t>
      </w:r>
      <w:r>
        <w:rPr/>
        <w:t>the</w:t>
      </w:r>
      <w:r>
        <w:rPr>
          <w:spacing w:val="-15"/>
        </w:rPr>
        <w:t> </w:t>
      </w:r>
      <w:r>
        <w:rPr/>
        <w:t>Client,</w:t>
      </w:r>
      <w:r>
        <w:rPr>
          <w:spacing w:val="-14"/>
        </w:rPr>
        <w:t> </w:t>
      </w:r>
      <w:r>
        <w:rPr/>
        <w:t>the</w:t>
      </w:r>
      <w:r>
        <w:rPr>
          <w:spacing w:val="-15"/>
        </w:rPr>
        <w:t> </w:t>
      </w:r>
      <w:r>
        <w:rPr/>
        <w:t>inputs</w:t>
      </w:r>
      <w:r>
        <w:rPr>
          <w:spacing w:val="-15"/>
        </w:rPr>
        <w:t> </w:t>
      </w:r>
      <w:r>
        <w:rPr/>
        <w:t>pertaining</w:t>
      </w:r>
      <w:r>
        <w:rPr>
          <w:spacing w:val="-14"/>
        </w:rPr>
        <w:t> </w:t>
      </w:r>
      <w:r>
        <w:rPr/>
        <w:t>to</w:t>
      </w:r>
      <w:r>
        <w:rPr>
          <w:spacing w:val="-15"/>
        </w:rPr>
        <w:t> </w:t>
      </w:r>
      <w:r>
        <w:rPr/>
        <w:t>M3</w:t>
      </w:r>
      <w:r>
        <w:rPr>
          <w:spacing w:val="-17"/>
        </w:rPr>
        <w:t> </w:t>
      </w:r>
      <w:r>
        <w:rPr/>
        <w:t>block</w:t>
      </w:r>
      <w:r>
        <w:rPr>
          <w:spacing w:val="-15"/>
        </w:rPr>
        <w:t> </w:t>
      </w:r>
      <w:r>
        <w:rPr/>
        <w:t>is</w:t>
      </w:r>
      <w:r>
        <w:rPr>
          <w:spacing w:val="-14"/>
        </w:rPr>
        <w:t> </w:t>
      </w:r>
      <w:r>
        <w:rPr/>
        <w:t>highlighted</w:t>
      </w:r>
      <w:r>
        <w:rPr>
          <w:spacing w:val="-15"/>
        </w:rPr>
        <w:t> </w:t>
      </w:r>
      <w:r>
        <w:rPr/>
        <w:t>in</w:t>
      </w:r>
      <w:r>
        <w:rPr>
          <w:spacing w:val="-15"/>
        </w:rPr>
        <w:t> </w:t>
      </w:r>
      <w:r>
        <w:rPr/>
        <w:t>the</w:t>
      </w:r>
      <w:r>
        <w:rPr>
          <w:spacing w:val="-15"/>
        </w:rPr>
        <w:t> </w:t>
      </w:r>
      <w:r>
        <w:rPr/>
        <w:t>table below:</w:t>
      </w: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70"/>
        <w:gridCol w:w="2775"/>
        <w:gridCol w:w="3940"/>
      </w:tblGrid>
      <w:tr>
        <w:trPr>
          <w:trHeight w:val="402" w:hRule="atLeast"/>
        </w:trPr>
        <w:tc>
          <w:tcPr>
            <w:tcW w:w="3770" w:type="dxa"/>
            <w:tcBorders>
              <w:top w:val="single" w:sz="6" w:space="0" w:color="69BD28"/>
              <w:bottom w:val="single" w:sz="6" w:space="0" w:color="69BD28"/>
            </w:tcBorders>
            <w:shd w:val="clear" w:color="auto" w:fill="006A4D"/>
          </w:tcPr>
          <w:p>
            <w:pPr>
              <w:pStyle w:val="TableParagraph"/>
              <w:spacing w:before="97"/>
              <w:ind w:left="609" w:right="859"/>
              <w:rPr>
                <w:b/>
                <w:sz w:val="18"/>
              </w:rPr>
            </w:pPr>
            <w:r>
              <w:rPr>
                <w:b/>
                <w:color w:val="FFFFFF"/>
                <w:w w:val="105"/>
                <w:sz w:val="18"/>
              </w:rPr>
              <w:t>Particular</w:t>
            </w:r>
          </w:p>
        </w:tc>
        <w:tc>
          <w:tcPr>
            <w:tcW w:w="2775" w:type="dxa"/>
            <w:tcBorders>
              <w:top w:val="single" w:sz="6" w:space="0" w:color="69BD28"/>
              <w:bottom w:val="single" w:sz="6" w:space="0" w:color="69BD28"/>
            </w:tcBorders>
            <w:shd w:val="clear" w:color="auto" w:fill="006A4D"/>
          </w:tcPr>
          <w:p>
            <w:pPr>
              <w:pStyle w:val="TableParagraph"/>
              <w:spacing w:before="97"/>
              <w:ind w:left="567" w:right="610"/>
              <w:rPr>
                <w:b/>
                <w:sz w:val="18"/>
              </w:rPr>
            </w:pPr>
            <w:r>
              <w:rPr>
                <w:b/>
                <w:color w:val="FFFFFF"/>
                <w:w w:val="110"/>
                <w:sz w:val="18"/>
              </w:rPr>
              <w:t>Amount (INR Mn)</w:t>
            </w:r>
          </w:p>
        </w:tc>
        <w:tc>
          <w:tcPr>
            <w:tcW w:w="3940" w:type="dxa"/>
            <w:tcBorders>
              <w:top w:val="single" w:sz="6" w:space="0" w:color="69BD28"/>
              <w:bottom w:val="single" w:sz="6" w:space="0" w:color="69BD28"/>
            </w:tcBorders>
            <w:shd w:val="clear" w:color="auto" w:fill="006A4D"/>
          </w:tcPr>
          <w:p>
            <w:pPr>
              <w:pStyle w:val="TableParagraph"/>
              <w:spacing w:before="97"/>
              <w:ind w:left="530" w:right="310"/>
              <w:rPr>
                <w:b/>
                <w:sz w:val="18"/>
              </w:rPr>
            </w:pPr>
            <w:r>
              <w:rPr>
                <w:b/>
                <w:color w:val="FFFFFF"/>
                <w:w w:val="110"/>
                <w:sz w:val="18"/>
              </w:rPr>
              <w:t>Comments</w:t>
            </w:r>
          </w:p>
        </w:tc>
      </w:tr>
      <w:tr>
        <w:trPr>
          <w:trHeight w:val="551" w:hRule="atLeast"/>
        </w:trPr>
        <w:tc>
          <w:tcPr>
            <w:tcW w:w="3770" w:type="dxa"/>
            <w:tcBorders>
              <w:top w:val="single" w:sz="6" w:space="0" w:color="69BD28"/>
              <w:bottom w:val="single" w:sz="6" w:space="0" w:color="69BD28"/>
            </w:tcBorders>
          </w:tcPr>
          <w:p>
            <w:pPr>
              <w:pStyle w:val="TableParagraph"/>
              <w:spacing w:before="171"/>
              <w:ind w:left="442"/>
              <w:jc w:val="left"/>
              <w:rPr>
                <w:sz w:val="18"/>
              </w:rPr>
            </w:pPr>
            <w:r>
              <w:rPr>
                <w:sz w:val="18"/>
              </w:rPr>
              <w:t>Total Development Consideration</w:t>
            </w:r>
          </w:p>
        </w:tc>
        <w:tc>
          <w:tcPr>
            <w:tcW w:w="2775" w:type="dxa"/>
            <w:tcBorders>
              <w:top w:val="single" w:sz="6" w:space="0" w:color="69BD28"/>
              <w:bottom w:val="single" w:sz="6" w:space="0" w:color="69BD28"/>
            </w:tcBorders>
          </w:tcPr>
          <w:p>
            <w:pPr>
              <w:pStyle w:val="TableParagraph"/>
              <w:spacing w:before="171"/>
              <w:ind w:left="567" w:right="609"/>
              <w:rPr>
                <w:sz w:val="18"/>
              </w:rPr>
            </w:pPr>
            <w:r>
              <w:rPr>
                <w:w w:val="105"/>
                <w:sz w:val="18"/>
              </w:rPr>
              <w:t>INR 8,303 mn</w:t>
            </w:r>
          </w:p>
        </w:tc>
        <w:tc>
          <w:tcPr>
            <w:tcW w:w="3940" w:type="dxa"/>
            <w:tcBorders>
              <w:top w:val="single" w:sz="6" w:space="0" w:color="69BD28"/>
              <w:bottom w:val="single" w:sz="6" w:space="0" w:color="69BD28"/>
            </w:tcBorders>
          </w:tcPr>
          <w:p>
            <w:pPr>
              <w:pStyle w:val="TableParagraph"/>
              <w:spacing w:before="171"/>
              <w:ind w:left="599" w:right="310"/>
              <w:rPr>
                <w:sz w:val="18"/>
              </w:rPr>
            </w:pPr>
            <w:r>
              <w:rPr>
                <w:w w:val="115"/>
                <w:sz w:val="18"/>
              </w:rPr>
              <w:t>NA</w:t>
            </w:r>
          </w:p>
        </w:tc>
      </w:tr>
      <w:tr>
        <w:trPr>
          <w:trHeight w:val="551" w:hRule="atLeast"/>
        </w:trPr>
        <w:tc>
          <w:tcPr>
            <w:tcW w:w="3770" w:type="dxa"/>
            <w:tcBorders>
              <w:top w:val="single" w:sz="6" w:space="0" w:color="69BD28"/>
              <w:bottom w:val="single" w:sz="6" w:space="0" w:color="69BD28"/>
            </w:tcBorders>
          </w:tcPr>
          <w:p>
            <w:pPr>
              <w:pStyle w:val="TableParagraph"/>
              <w:spacing w:before="174"/>
              <w:ind w:left="458"/>
              <w:jc w:val="left"/>
              <w:rPr>
                <w:sz w:val="18"/>
              </w:rPr>
            </w:pPr>
            <w:r>
              <w:rPr>
                <w:sz w:val="18"/>
              </w:rPr>
              <w:t>Development Consideration paid</w:t>
            </w:r>
          </w:p>
        </w:tc>
        <w:tc>
          <w:tcPr>
            <w:tcW w:w="2775" w:type="dxa"/>
            <w:tcBorders>
              <w:top w:val="single" w:sz="6" w:space="0" w:color="69BD28"/>
              <w:bottom w:val="single" w:sz="6" w:space="0" w:color="69BD28"/>
            </w:tcBorders>
          </w:tcPr>
          <w:p>
            <w:pPr>
              <w:pStyle w:val="TableParagraph"/>
              <w:spacing w:before="174"/>
              <w:ind w:left="567" w:right="609"/>
              <w:rPr>
                <w:sz w:val="18"/>
              </w:rPr>
            </w:pPr>
            <w:r>
              <w:rPr>
                <w:w w:val="105"/>
                <w:sz w:val="18"/>
              </w:rPr>
              <w:t>INR 6,273 mn</w:t>
            </w:r>
          </w:p>
        </w:tc>
        <w:tc>
          <w:tcPr>
            <w:tcW w:w="3940" w:type="dxa"/>
            <w:tcBorders>
              <w:top w:val="single" w:sz="6" w:space="0" w:color="69BD28"/>
              <w:bottom w:val="single" w:sz="6" w:space="0" w:color="69BD28"/>
            </w:tcBorders>
          </w:tcPr>
          <w:p>
            <w:pPr>
              <w:pStyle w:val="TableParagraph"/>
              <w:spacing w:before="174"/>
              <w:ind w:left="599" w:right="307"/>
              <w:rPr>
                <w:sz w:val="18"/>
              </w:rPr>
            </w:pPr>
            <w:r>
              <w:rPr>
                <w:sz w:val="18"/>
              </w:rPr>
              <w:t>Paid till date of valuation</w:t>
            </w:r>
          </w:p>
        </w:tc>
      </w:tr>
      <w:tr>
        <w:trPr>
          <w:trHeight w:val="552" w:hRule="atLeast"/>
        </w:trPr>
        <w:tc>
          <w:tcPr>
            <w:tcW w:w="3770" w:type="dxa"/>
            <w:tcBorders>
              <w:top w:val="single" w:sz="6" w:space="0" w:color="69BD28"/>
              <w:bottom w:val="single" w:sz="6" w:space="0" w:color="69BD28"/>
            </w:tcBorders>
          </w:tcPr>
          <w:p>
            <w:pPr>
              <w:pStyle w:val="TableParagraph"/>
              <w:spacing w:before="174"/>
              <w:ind w:left="323"/>
              <w:jc w:val="left"/>
              <w:rPr>
                <w:sz w:val="18"/>
              </w:rPr>
            </w:pPr>
            <w:r>
              <w:rPr>
                <w:sz w:val="18"/>
              </w:rPr>
              <w:t>Balance Development Consideration</w:t>
            </w:r>
          </w:p>
        </w:tc>
        <w:tc>
          <w:tcPr>
            <w:tcW w:w="2775" w:type="dxa"/>
            <w:tcBorders>
              <w:top w:val="single" w:sz="6" w:space="0" w:color="69BD28"/>
              <w:bottom w:val="single" w:sz="6" w:space="0" w:color="69BD28"/>
            </w:tcBorders>
          </w:tcPr>
          <w:p>
            <w:pPr>
              <w:pStyle w:val="TableParagraph"/>
              <w:spacing w:before="174"/>
              <w:ind w:left="567" w:right="609"/>
              <w:rPr>
                <w:sz w:val="18"/>
              </w:rPr>
            </w:pPr>
            <w:r>
              <w:rPr>
                <w:w w:val="105"/>
                <w:sz w:val="18"/>
              </w:rPr>
              <w:t>INR 2,020 mn</w:t>
            </w:r>
          </w:p>
        </w:tc>
        <w:tc>
          <w:tcPr>
            <w:tcW w:w="3940" w:type="dxa"/>
            <w:tcBorders>
              <w:top w:val="single" w:sz="6" w:space="0" w:color="69BD28"/>
              <w:bottom w:val="single" w:sz="6" w:space="0" w:color="69BD28"/>
            </w:tcBorders>
          </w:tcPr>
          <w:p>
            <w:pPr>
              <w:pStyle w:val="TableParagraph"/>
              <w:spacing w:before="174"/>
              <w:ind w:left="598" w:right="310"/>
              <w:rPr>
                <w:sz w:val="18"/>
              </w:rPr>
            </w:pPr>
            <w:r>
              <w:rPr>
                <w:sz w:val="18"/>
              </w:rPr>
              <w:t>Envisaged to be paid by Q2, FY 2023</w:t>
            </w:r>
          </w:p>
        </w:tc>
      </w:tr>
      <w:tr>
        <w:trPr>
          <w:trHeight w:val="553" w:hRule="atLeast"/>
        </w:trPr>
        <w:tc>
          <w:tcPr>
            <w:tcW w:w="3770" w:type="dxa"/>
            <w:tcBorders>
              <w:top w:val="single" w:sz="6" w:space="0" w:color="69BD28"/>
              <w:bottom w:val="single" w:sz="6" w:space="0" w:color="69BD28"/>
            </w:tcBorders>
          </w:tcPr>
          <w:p>
            <w:pPr>
              <w:pStyle w:val="TableParagraph"/>
              <w:spacing w:before="174"/>
              <w:ind w:left="670"/>
              <w:jc w:val="left"/>
              <w:rPr>
                <w:sz w:val="18"/>
              </w:rPr>
            </w:pPr>
            <w:r>
              <w:rPr>
                <w:sz w:val="18"/>
              </w:rPr>
              <w:t>Refundable Security Deposit</w:t>
            </w:r>
          </w:p>
        </w:tc>
        <w:tc>
          <w:tcPr>
            <w:tcW w:w="2775" w:type="dxa"/>
            <w:tcBorders>
              <w:top w:val="single" w:sz="6" w:space="0" w:color="69BD28"/>
              <w:bottom w:val="single" w:sz="6" w:space="0" w:color="69BD28"/>
            </w:tcBorders>
          </w:tcPr>
          <w:p>
            <w:pPr>
              <w:pStyle w:val="TableParagraph"/>
              <w:spacing w:before="174"/>
              <w:ind w:left="567" w:right="609"/>
              <w:rPr>
                <w:sz w:val="18"/>
              </w:rPr>
            </w:pPr>
            <w:r>
              <w:rPr>
                <w:w w:val="105"/>
                <w:sz w:val="18"/>
              </w:rPr>
              <w:t>INR 1,610 mn</w:t>
            </w:r>
          </w:p>
        </w:tc>
        <w:tc>
          <w:tcPr>
            <w:tcW w:w="3940" w:type="dxa"/>
            <w:tcBorders>
              <w:top w:val="single" w:sz="6" w:space="0" w:color="69BD28"/>
              <w:bottom w:val="single" w:sz="6" w:space="0" w:color="69BD28"/>
            </w:tcBorders>
          </w:tcPr>
          <w:p>
            <w:pPr>
              <w:pStyle w:val="TableParagraph"/>
              <w:spacing w:before="174"/>
              <w:ind w:left="599" w:right="308"/>
              <w:rPr>
                <w:sz w:val="18"/>
              </w:rPr>
            </w:pPr>
            <w:r>
              <w:rPr>
                <w:sz w:val="18"/>
              </w:rPr>
              <w:t>Already paid</w:t>
            </w:r>
          </w:p>
        </w:tc>
      </w:tr>
      <w:tr>
        <w:trPr>
          <w:trHeight w:val="551" w:hRule="atLeast"/>
        </w:trPr>
        <w:tc>
          <w:tcPr>
            <w:tcW w:w="3770" w:type="dxa"/>
            <w:tcBorders>
              <w:top w:val="single" w:sz="6" w:space="0" w:color="69BD28"/>
              <w:bottom w:val="single" w:sz="6" w:space="0" w:color="69BD28"/>
            </w:tcBorders>
          </w:tcPr>
          <w:p>
            <w:pPr>
              <w:pStyle w:val="TableParagraph"/>
              <w:spacing w:before="171"/>
              <w:ind w:left="742"/>
              <w:jc w:val="left"/>
              <w:rPr>
                <w:sz w:val="18"/>
              </w:rPr>
            </w:pPr>
            <w:r>
              <w:rPr>
                <w:sz w:val="18"/>
              </w:rPr>
              <w:t>Security Deposit Refunded</w:t>
            </w:r>
          </w:p>
        </w:tc>
        <w:tc>
          <w:tcPr>
            <w:tcW w:w="2775" w:type="dxa"/>
            <w:tcBorders>
              <w:top w:val="single" w:sz="6" w:space="0" w:color="69BD28"/>
              <w:bottom w:val="single" w:sz="6" w:space="0" w:color="69BD28"/>
            </w:tcBorders>
          </w:tcPr>
          <w:p>
            <w:pPr>
              <w:pStyle w:val="TableParagraph"/>
              <w:spacing w:before="171"/>
              <w:ind w:left="567" w:right="609"/>
              <w:rPr>
                <w:sz w:val="18"/>
              </w:rPr>
            </w:pPr>
            <w:r>
              <w:rPr>
                <w:w w:val="105"/>
                <w:sz w:val="18"/>
              </w:rPr>
              <w:t>INR 1,610 mn</w:t>
            </w:r>
          </w:p>
        </w:tc>
        <w:tc>
          <w:tcPr>
            <w:tcW w:w="3940" w:type="dxa"/>
            <w:tcBorders>
              <w:top w:val="single" w:sz="6" w:space="0" w:color="69BD28"/>
              <w:bottom w:val="single" w:sz="6" w:space="0" w:color="69BD28"/>
            </w:tcBorders>
          </w:tcPr>
          <w:p>
            <w:pPr>
              <w:pStyle w:val="TableParagraph"/>
              <w:spacing w:before="171"/>
              <w:ind w:left="599" w:right="306"/>
              <w:rPr>
                <w:sz w:val="18"/>
              </w:rPr>
            </w:pPr>
            <w:r>
              <w:rPr>
                <w:sz w:val="18"/>
              </w:rPr>
              <w:t>Received</w:t>
            </w:r>
          </w:p>
        </w:tc>
      </w:tr>
      <w:tr>
        <w:trPr>
          <w:trHeight w:val="551" w:hRule="atLeast"/>
        </w:trPr>
        <w:tc>
          <w:tcPr>
            <w:tcW w:w="3770" w:type="dxa"/>
            <w:tcBorders>
              <w:top w:val="single" w:sz="6" w:space="0" w:color="69BD28"/>
              <w:bottom w:val="single" w:sz="6" w:space="0" w:color="69BD28"/>
            </w:tcBorders>
          </w:tcPr>
          <w:p>
            <w:pPr>
              <w:pStyle w:val="TableParagraph"/>
              <w:spacing w:before="174"/>
              <w:ind w:left="874"/>
              <w:jc w:val="left"/>
              <w:rPr>
                <w:sz w:val="18"/>
              </w:rPr>
            </w:pPr>
            <w:r>
              <w:rPr>
                <w:sz w:val="18"/>
              </w:rPr>
              <w:t>Annual Lease Payment</w:t>
            </w:r>
          </w:p>
        </w:tc>
        <w:tc>
          <w:tcPr>
            <w:tcW w:w="2775" w:type="dxa"/>
            <w:tcBorders>
              <w:top w:val="single" w:sz="6" w:space="0" w:color="69BD28"/>
              <w:bottom w:val="single" w:sz="6" w:space="0" w:color="69BD28"/>
            </w:tcBorders>
          </w:tcPr>
          <w:p>
            <w:pPr>
              <w:pStyle w:val="TableParagraph"/>
              <w:spacing w:before="174"/>
              <w:ind w:left="567" w:right="610"/>
              <w:rPr>
                <w:sz w:val="18"/>
              </w:rPr>
            </w:pPr>
            <w:r>
              <w:rPr>
                <w:w w:val="105"/>
                <w:sz w:val="18"/>
              </w:rPr>
              <w:t>INR 0.10 mn</w:t>
            </w:r>
          </w:p>
        </w:tc>
        <w:tc>
          <w:tcPr>
            <w:tcW w:w="3940" w:type="dxa"/>
            <w:tcBorders>
              <w:top w:val="single" w:sz="6" w:space="0" w:color="69BD28"/>
              <w:bottom w:val="single" w:sz="6" w:space="0" w:color="69BD28"/>
            </w:tcBorders>
          </w:tcPr>
          <w:p>
            <w:pPr>
              <w:pStyle w:val="TableParagraph"/>
              <w:spacing w:before="174"/>
              <w:ind w:left="599" w:right="310"/>
              <w:rPr>
                <w:sz w:val="18"/>
              </w:rPr>
            </w:pPr>
            <w:r>
              <w:rPr>
                <w:sz w:val="18"/>
              </w:rPr>
              <w:t>Fixed pay-out without any escalation</w:t>
            </w:r>
          </w:p>
        </w:tc>
      </w:tr>
    </w:tbl>
    <w:p>
      <w:pPr>
        <w:spacing w:before="0"/>
        <w:ind w:left="782" w:right="0" w:firstLine="0"/>
        <w:jc w:val="both"/>
        <w:rPr>
          <w:i/>
          <w:sz w:val="18"/>
        </w:rPr>
      </w:pPr>
      <w:r>
        <w:rPr>
          <w:i/>
          <w:sz w:val="18"/>
        </w:rPr>
        <w:t>Source Client Input</w:t>
      </w:r>
    </w:p>
    <w:p>
      <w:pPr>
        <w:pStyle w:val="BodyText"/>
        <w:spacing w:before="10"/>
        <w:rPr>
          <w:i/>
          <w:sz w:val="26"/>
        </w:rPr>
      </w:pPr>
    </w:p>
    <w:p>
      <w:pPr>
        <w:pStyle w:val="BodyText"/>
        <w:spacing w:line="321" w:lineRule="auto"/>
        <w:ind w:left="782" w:right="192"/>
        <w:jc w:val="both"/>
      </w:pPr>
      <w:r>
        <w:rPr/>
        <w:t>Based</w:t>
      </w:r>
      <w:r>
        <w:rPr>
          <w:spacing w:val="-26"/>
        </w:rPr>
        <w:t> </w:t>
      </w:r>
      <w:r>
        <w:rPr/>
        <w:t>on</w:t>
      </w:r>
      <w:r>
        <w:rPr>
          <w:spacing w:val="-27"/>
        </w:rPr>
        <w:t> </w:t>
      </w:r>
      <w:r>
        <w:rPr/>
        <w:t>information</w:t>
      </w:r>
      <w:r>
        <w:rPr>
          <w:spacing w:val="-27"/>
        </w:rPr>
        <w:t> </w:t>
      </w:r>
      <w:r>
        <w:rPr/>
        <w:t>provided</w:t>
      </w:r>
      <w:r>
        <w:rPr>
          <w:spacing w:val="-27"/>
        </w:rPr>
        <w:t> </w:t>
      </w:r>
      <w:r>
        <w:rPr/>
        <w:t>by</w:t>
      </w:r>
      <w:r>
        <w:rPr>
          <w:spacing w:val="-25"/>
        </w:rPr>
        <w:t> </w:t>
      </w:r>
      <w:r>
        <w:rPr/>
        <w:t>the</w:t>
      </w:r>
      <w:r>
        <w:rPr>
          <w:spacing w:val="-27"/>
        </w:rPr>
        <w:t> </w:t>
      </w:r>
      <w:r>
        <w:rPr/>
        <w:t>Client</w:t>
      </w:r>
      <w:r>
        <w:rPr>
          <w:spacing w:val="-27"/>
        </w:rPr>
        <w:t> </w:t>
      </w:r>
      <w:r>
        <w:rPr/>
        <w:t>representative</w:t>
      </w:r>
      <w:r>
        <w:rPr>
          <w:spacing w:val="-26"/>
        </w:rPr>
        <w:t> </w:t>
      </w:r>
      <w:r>
        <w:rPr/>
        <w:t>and</w:t>
      </w:r>
      <w:r>
        <w:rPr>
          <w:spacing w:val="-26"/>
        </w:rPr>
        <w:t> </w:t>
      </w:r>
      <w:r>
        <w:rPr/>
        <w:t>under</w:t>
      </w:r>
      <w:r>
        <w:rPr>
          <w:spacing w:val="-27"/>
        </w:rPr>
        <w:t> </w:t>
      </w:r>
      <w:r>
        <w:rPr/>
        <w:t>Co-developer</w:t>
      </w:r>
      <w:r>
        <w:rPr>
          <w:spacing w:val="-27"/>
        </w:rPr>
        <w:t> </w:t>
      </w:r>
      <w:r>
        <w:rPr/>
        <w:t>agreement,</w:t>
      </w:r>
      <w:r>
        <w:rPr>
          <w:spacing w:val="-27"/>
        </w:rPr>
        <w:t> </w:t>
      </w:r>
      <w:r>
        <w:rPr/>
        <w:t>EPDPL has</w:t>
      </w:r>
      <w:r>
        <w:rPr>
          <w:spacing w:val="-18"/>
        </w:rPr>
        <w:t> </w:t>
      </w:r>
      <w:r>
        <w:rPr/>
        <w:t>assisted</w:t>
      </w:r>
      <w:r>
        <w:rPr>
          <w:spacing w:val="-19"/>
        </w:rPr>
        <w:t> </w:t>
      </w:r>
      <w:r>
        <w:rPr/>
        <w:t>MPPL</w:t>
      </w:r>
      <w:r>
        <w:rPr>
          <w:spacing w:val="-18"/>
        </w:rPr>
        <w:t> </w:t>
      </w:r>
      <w:r>
        <w:rPr/>
        <w:t>to</w:t>
      </w:r>
      <w:r>
        <w:rPr>
          <w:spacing w:val="-19"/>
        </w:rPr>
        <w:t> </w:t>
      </w:r>
      <w:r>
        <w:rPr/>
        <w:t>obtain</w:t>
      </w:r>
      <w:r>
        <w:rPr>
          <w:spacing w:val="-19"/>
        </w:rPr>
        <w:t> </w:t>
      </w:r>
      <w:r>
        <w:rPr/>
        <w:t>co-developer</w:t>
      </w:r>
      <w:r>
        <w:rPr>
          <w:spacing w:val="-19"/>
        </w:rPr>
        <w:t> </w:t>
      </w:r>
      <w:r>
        <w:rPr/>
        <w:t>status</w:t>
      </w:r>
      <w:r>
        <w:rPr>
          <w:spacing w:val="-17"/>
        </w:rPr>
        <w:t> </w:t>
      </w:r>
      <w:r>
        <w:rPr/>
        <w:t>as</w:t>
      </w:r>
      <w:r>
        <w:rPr>
          <w:spacing w:val="-20"/>
        </w:rPr>
        <w:t> </w:t>
      </w:r>
      <w:r>
        <w:rPr/>
        <w:t>per</w:t>
      </w:r>
      <w:r>
        <w:rPr>
          <w:spacing w:val="-18"/>
        </w:rPr>
        <w:t> </w:t>
      </w:r>
      <w:r>
        <w:rPr/>
        <w:t>provisions</w:t>
      </w:r>
      <w:r>
        <w:rPr>
          <w:spacing w:val="-20"/>
        </w:rPr>
        <w:t> </w:t>
      </w:r>
      <w:r>
        <w:rPr/>
        <w:t>of</w:t>
      </w:r>
      <w:r>
        <w:rPr>
          <w:spacing w:val="-18"/>
        </w:rPr>
        <w:t> </w:t>
      </w:r>
      <w:r>
        <w:rPr/>
        <w:t>SEZ</w:t>
      </w:r>
      <w:r>
        <w:rPr>
          <w:spacing w:val="-20"/>
        </w:rPr>
        <w:t> </w:t>
      </w:r>
      <w:r>
        <w:rPr/>
        <w:t>Act.</w:t>
      </w:r>
      <w:r>
        <w:rPr>
          <w:spacing w:val="-18"/>
        </w:rPr>
        <w:t> </w:t>
      </w:r>
      <w:r>
        <w:rPr/>
        <w:t>Client</w:t>
      </w:r>
      <w:r>
        <w:rPr>
          <w:spacing w:val="-15"/>
        </w:rPr>
        <w:t> </w:t>
      </w:r>
      <w:r>
        <w:rPr/>
        <w:t>representative</w:t>
      </w:r>
      <w:r>
        <w:rPr>
          <w:spacing w:val="-18"/>
        </w:rPr>
        <w:t> </w:t>
      </w:r>
      <w:r>
        <w:rPr/>
        <w:t>will be</w:t>
      </w:r>
      <w:r>
        <w:rPr>
          <w:spacing w:val="-22"/>
        </w:rPr>
        <w:t> </w:t>
      </w:r>
      <w:r>
        <w:rPr/>
        <w:t>getting</w:t>
      </w:r>
      <w:r>
        <w:rPr>
          <w:spacing w:val="-21"/>
        </w:rPr>
        <w:t> </w:t>
      </w:r>
      <w:r>
        <w:rPr/>
        <w:t>the</w:t>
      </w:r>
      <w:r>
        <w:rPr>
          <w:spacing w:val="-23"/>
        </w:rPr>
        <w:t> </w:t>
      </w:r>
      <w:r>
        <w:rPr/>
        <w:t>rights</w:t>
      </w:r>
      <w:r>
        <w:rPr>
          <w:spacing w:val="-21"/>
        </w:rPr>
        <w:t> </w:t>
      </w:r>
      <w:r>
        <w:rPr/>
        <w:t>to</w:t>
      </w:r>
      <w:r>
        <w:rPr>
          <w:spacing w:val="-22"/>
        </w:rPr>
        <w:t> </w:t>
      </w:r>
      <w:r>
        <w:rPr/>
        <w:t>a</w:t>
      </w:r>
      <w:r>
        <w:rPr>
          <w:spacing w:val="-22"/>
        </w:rPr>
        <w:t> </w:t>
      </w:r>
      <w:r>
        <w:rPr/>
        <w:t>contracted</w:t>
      </w:r>
      <w:r>
        <w:rPr>
          <w:spacing w:val="-21"/>
        </w:rPr>
        <w:t> </w:t>
      </w:r>
      <w:r>
        <w:rPr/>
        <w:t>NOI</w:t>
      </w:r>
      <w:r>
        <w:rPr>
          <w:spacing w:val="-22"/>
        </w:rPr>
        <w:t> </w:t>
      </w:r>
      <w:r>
        <w:rPr/>
        <w:t>of</w:t>
      </w:r>
      <w:r>
        <w:rPr>
          <w:spacing w:val="-21"/>
        </w:rPr>
        <w:t> </w:t>
      </w:r>
      <w:r>
        <w:rPr/>
        <w:t>INR</w:t>
      </w:r>
      <w:r>
        <w:rPr>
          <w:spacing w:val="-23"/>
        </w:rPr>
        <w:t> </w:t>
      </w:r>
      <w:r>
        <w:rPr/>
        <w:t>76.3</w:t>
      </w:r>
      <w:r>
        <w:rPr>
          <w:spacing w:val="-22"/>
        </w:rPr>
        <w:t> </w:t>
      </w:r>
      <w:r>
        <w:rPr/>
        <w:t>psf</w:t>
      </w:r>
      <w:r>
        <w:rPr>
          <w:spacing w:val="-22"/>
        </w:rPr>
        <w:t> </w:t>
      </w:r>
      <w:r>
        <w:rPr/>
        <w:t>pm</w:t>
      </w:r>
      <w:r>
        <w:rPr>
          <w:spacing w:val="-22"/>
        </w:rPr>
        <w:t> </w:t>
      </w:r>
      <w:r>
        <w:rPr/>
        <w:t>from</w:t>
      </w:r>
      <w:r>
        <w:rPr>
          <w:spacing w:val="-23"/>
        </w:rPr>
        <w:t> </w:t>
      </w:r>
      <w:r>
        <w:rPr/>
        <w:t>the</w:t>
      </w:r>
      <w:r>
        <w:rPr>
          <w:spacing w:val="-23"/>
        </w:rPr>
        <w:t> </w:t>
      </w:r>
      <w:r>
        <w:rPr/>
        <w:t>date</w:t>
      </w:r>
      <w:r>
        <w:rPr>
          <w:spacing w:val="-22"/>
        </w:rPr>
        <w:t> </w:t>
      </w:r>
      <w:r>
        <w:rPr/>
        <w:t>of</w:t>
      </w:r>
      <w:r>
        <w:rPr>
          <w:spacing w:val="-21"/>
        </w:rPr>
        <w:t> </w:t>
      </w:r>
      <w:r>
        <w:rPr/>
        <w:t>operation</w:t>
      </w:r>
      <w:r>
        <w:rPr>
          <w:spacing w:val="-22"/>
        </w:rPr>
        <w:t> </w:t>
      </w:r>
      <w:r>
        <w:rPr/>
        <w:t>commencement of</w:t>
      </w:r>
      <w:r>
        <w:rPr>
          <w:spacing w:val="-3"/>
        </w:rPr>
        <w:t> </w:t>
      </w:r>
      <w:r>
        <w:rPr/>
        <w:t>block</w:t>
      </w:r>
      <w:r>
        <w:rPr>
          <w:spacing w:val="-4"/>
        </w:rPr>
        <w:t> </w:t>
      </w:r>
      <w:r>
        <w:rPr/>
        <w:t>M3</w:t>
      </w:r>
      <w:r>
        <w:rPr>
          <w:spacing w:val="-3"/>
        </w:rPr>
        <w:t> </w:t>
      </w:r>
      <w:r>
        <w:rPr/>
        <w:t>Phase</w:t>
      </w:r>
      <w:r>
        <w:rPr>
          <w:spacing w:val="-4"/>
        </w:rPr>
        <w:t> </w:t>
      </w:r>
      <w:r>
        <w:rPr/>
        <w:t>1.</w:t>
      </w:r>
      <w:r>
        <w:rPr>
          <w:spacing w:val="-3"/>
        </w:rPr>
        <w:t> </w:t>
      </w:r>
      <w:r>
        <w:rPr/>
        <w:t>In</w:t>
      </w:r>
      <w:r>
        <w:rPr>
          <w:spacing w:val="-1"/>
        </w:rPr>
        <w:t> </w:t>
      </w:r>
      <w:r>
        <w:rPr/>
        <w:t>addition,</w:t>
      </w:r>
      <w:r>
        <w:rPr>
          <w:spacing w:val="-4"/>
        </w:rPr>
        <w:t> </w:t>
      </w:r>
      <w:r>
        <w:rPr/>
        <w:t>Client</w:t>
      </w:r>
      <w:r>
        <w:rPr>
          <w:spacing w:val="-3"/>
        </w:rPr>
        <w:t> </w:t>
      </w:r>
      <w:r>
        <w:rPr/>
        <w:t>representative</w:t>
      </w:r>
      <w:r>
        <w:rPr>
          <w:spacing w:val="-4"/>
        </w:rPr>
        <w:t> </w:t>
      </w:r>
      <w:r>
        <w:rPr/>
        <w:t>shall</w:t>
      </w:r>
      <w:r>
        <w:rPr>
          <w:spacing w:val="-4"/>
        </w:rPr>
        <w:t> </w:t>
      </w:r>
      <w:r>
        <w:rPr/>
        <w:t>pay</w:t>
      </w:r>
      <w:r>
        <w:rPr>
          <w:spacing w:val="-2"/>
        </w:rPr>
        <w:t> </w:t>
      </w:r>
      <w:r>
        <w:rPr/>
        <w:t>a</w:t>
      </w:r>
      <w:r>
        <w:rPr>
          <w:spacing w:val="-4"/>
        </w:rPr>
        <w:t> </w:t>
      </w:r>
      <w:r>
        <w:rPr/>
        <w:t>development</w:t>
      </w:r>
      <w:r>
        <w:rPr>
          <w:spacing w:val="-3"/>
        </w:rPr>
        <w:t> </w:t>
      </w:r>
      <w:r>
        <w:rPr/>
        <w:t>consideration</w:t>
      </w:r>
      <w:r>
        <w:rPr>
          <w:spacing w:val="-4"/>
        </w:rPr>
        <w:t> </w:t>
      </w:r>
      <w:r>
        <w:rPr/>
        <w:t>of</w:t>
      </w:r>
      <w:r>
        <w:rPr>
          <w:spacing w:val="-2"/>
        </w:rPr>
        <w:t> </w:t>
      </w:r>
      <w:r>
        <w:rPr/>
        <w:t>INR 8,303</w:t>
      </w:r>
      <w:r>
        <w:rPr>
          <w:spacing w:val="-5"/>
        </w:rPr>
        <w:t> </w:t>
      </w:r>
      <w:r>
        <w:rPr/>
        <w:t>mn</w:t>
      </w:r>
      <w:r>
        <w:rPr>
          <w:spacing w:val="-4"/>
        </w:rPr>
        <w:t> </w:t>
      </w:r>
      <w:r>
        <w:rPr/>
        <w:t>(out</w:t>
      </w:r>
      <w:r>
        <w:rPr>
          <w:spacing w:val="-3"/>
        </w:rPr>
        <w:t> </w:t>
      </w:r>
      <w:r>
        <w:rPr/>
        <w:t>of</w:t>
      </w:r>
      <w:r>
        <w:rPr>
          <w:spacing w:val="-2"/>
        </w:rPr>
        <w:t> </w:t>
      </w:r>
      <w:r>
        <w:rPr/>
        <w:t>which</w:t>
      </w:r>
      <w:r>
        <w:rPr>
          <w:spacing w:val="-4"/>
        </w:rPr>
        <w:t> </w:t>
      </w:r>
      <w:r>
        <w:rPr/>
        <w:t>INR</w:t>
      </w:r>
      <w:r>
        <w:rPr>
          <w:spacing w:val="-4"/>
        </w:rPr>
        <w:t> </w:t>
      </w:r>
      <w:r>
        <w:rPr/>
        <w:t>6,273</w:t>
      </w:r>
      <w:r>
        <w:rPr>
          <w:spacing w:val="-4"/>
        </w:rPr>
        <w:t> </w:t>
      </w:r>
      <w:r>
        <w:rPr/>
        <w:t>mn</w:t>
      </w:r>
      <w:r>
        <w:rPr>
          <w:spacing w:val="-4"/>
        </w:rPr>
        <w:t> </w:t>
      </w:r>
      <w:r>
        <w:rPr/>
        <w:t>has</w:t>
      </w:r>
      <w:r>
        <w:rPr>
          <w:spacing w:val="-2"/>
        </w:rPr>
        <w:t> </w:t>
      </w:r>
      <w:r>
        <w:rPr/>
        <w:t>been</w:t>
      </w:r>
      <w:r>
        <w:rPr>
          <w:spacing w:val="-4"/>
        </w:rPr>
        <w:t> </w:t>
      </w:r>
      <w:r>
        <w:rPr/>
        <w:t>paid</w:t>
      </w:r>
      <w:r>
        <w:rPr>
          <w:spacing w:val="-3"/>
        </w:rPr>
        <w:t> </w:t>
      </w:r>
      <w:r>
        <w:rPr/>
        <w:t>as</w:t>
      </w:r>
      <w:r>
        <w:rPr>
          <w:spacing w:val="-2"/>
        </w:rPr>
        <w:t> </w:t>
      </w:r>
      <w:r>
        <w:rPr/>
        <w:t>on</w:t>
      </w:r>
      <w:r>
        <w:rPr>
          <w:spacing w:val="-4"/>
        </w:rPr>
        <w:t> </w:t>
      </w:r>
      <w:r>
        <w:rPr/>
        <w:t>date</w:t>
      </w:r>
      <w:r>
        <w:rPr>
          <w:spacing w:val="-3"/>
        </w:rPr>
        <w:t> </w:t>
      </w:r>
      <w:r>
        <w:rPr/>
        <w:t>of</w:t>
      </w:r>
      <w:r>
        <w:rPr>
          <w:spacing w:val="-2"/>
        </w:rPr>
        <w:t> </w:t>
      </w:r>
      <w:r>
        <w:rPr/>
        <w:t>valuation).</w:t>
      </w:r>
    </w:p>
    <w:p>
      <w:pPr>
        <w:pStyle w:val="BodyText"/>
        <w:spacing w:line="319" w:lineRule="auto" w:before="125"/>
        <w:ind w:left="782" w:right="200"/>
        <w:jc w:val="both"/>
      </w:pPr>
      <w:r>
        <w:rPr/>
        <w:t>EPDPL</w:t>
      </w:r>
      <w:r>
        <w:rPr>
          <w:spacing w:val="-21"/>
        </w:rPr>
        <w:t> </w:t>
      </w:r>
      <w:r>
        <w:rPr/>
        <w:t>received</w:t>
      </w:r>
      <w:r>
        <w:rPr>
          <w:spacing w:val="-20"/>
        </w:rPr>
        <w:t> </w:t>
      </w:r>
      <w:r>
        <w:rPr/>
        <w:t>refundable</w:t>
      </w:r>
      <w:r>
        <w:rPr>
          <w:spacing w:val="-21"/>
        </w:rPr>
        <w:t> </w:t>
      </w:r>
      <w:r>
        <w:rPr/>
        <w:t>security</w:t>
      </w:r>
      <w:r>
        <w:rPr>
          <w:spacing w:val="-20"/>
        </w:rPr>
        <w:t> </w:t>
      </w:r>
      <w:r>
        <w:rPr/>
        <w:t>deposit</w:t>
      </w:r>
      <w:r>
        <w:rPr>
          <w:spacing w:val="-21"/>
        </w:rPr>
        <w:t> </w:t>
      </w:r>
      <w:r>
        <w:rPr/>
        <w:t>of</w:t>
      </w:r>
      <w:r>
        <w:rPr>
          <w:spacing w:val="-22"/>
        </w:rPr>
        <w:t> </w:t>
      </w:r>
      <w:r>
        <w:rPr/>
        <w:t>INR</w:t>
      </w:r>
      <w:r>
        <w:rPr>
          <w:spacing w:val="-21"/>
        </w:rPr>
        <w:t> </w:t>
      </w:r>
      <w:r>
        <w:rPr/>
        <w:t>1,610</w:t>
      </w:r>
      <w:r>
        <w:rPr>
          <w:spacing w:val="-21"/>
        </w:rPr>
        <w:t> </w:t>
      </w:r>
      <w:r>
        <w:rPr/>
        <w:t>mn</w:t>
      </w:r>
      <w:r>
        <w:rPr>
          <w:spacing w:val="-21"/>
        </w:rPr>
        <w:t> </w:t>
      </w:r>
      <w:r>
        <w:rPr/>
        <w:t>from</w:t>
      </w:r>
      <w:r>
        <w:rPr>
          <w:spacing w:val="-21"/>
        </w:rPr>
        <w:t> </w:t>
      </w:r>
      <w:r>
        <w:rPr/>
        <w:t>MPPL,</w:t>
      </w:r>
      <w:r>
        <w:rPr>
          <w:spacing w:val="-23"/>
        </w:rPr>
        <w:t> </w:t>
      </w:r>
      <w:r>
        <w:rPr/>
        <w:t>which</w:t>
      </w:r>
      <w:r>
        <w:rPr>
          <w:spacing w:val="-21"/>
        </w:rPr>
        <w:t> </w:t>
      </w:r>
      <w:r>
        <w:rPr/>
        <w:t>has</w:t>
      </w:r>
      <w:r>
        <w:rPr>
          <w:spacing w:val="-19"/>
        </w:rPr>
        <w:t> </w:t>
      </w:r>
      <w:r>
        <w:rPr/>
        <w:t>been</w:t>
      </w:r>
      <w:r>
        <w:rPr>
          <w:spacing w:val="-21"/>
        </w:rPr>
        <w:t> </w:t>
      </w:r>
      <w:r>
        <w:rPr/>
        <w:t>refunded</w:t>
      </w:r>
      <w:r>
        <w:rPr>
          <w:spacing w:val="-21"/>
        </w:rPr>
        <w:t> </w:t>
      </w:r>
      <w:r>
        <w:rPr/>
        <w:t>as</w:t>
      </w:r>
      <w:r>
        <w:rPr>
          <w:spacing w:val="-21"/>
        </w:rPr>
        <w:t> </w:t>
      </w:r>
      <w:r>
        <w:rPr/>
        <w:t>of date of</w:t>
      </w:r>
      <w:r>
        <w:rPr>
          <w:spacing w:val="-5"/>
        </w:rPr>
        <w:t> </w:t>
      </w:r>
      <w:r>
        <w:rPr/>
        <w:t>valuation.</w:t>
      </w:r>
    </w:p>
    <w:p>
      <w:pPr>
        <w:pStyle w:val="BodyText"/>
        <w:spacing w:line="321" w:lineRule="auto" w:before="125"/>
        <w:ind w:left="782" w:right="195"/>
        <w:jc w:val="both"/>
      </w:pPr>
      <w:r>
        <w:rPr/>
        <w:t>Further,</w:t>
      </w:r>
      <w:r>
        <w:rPr>
          <w:spacing w:val="-27"/>
        </w:rPr>
        <w:t> </w:t>
      </w:r>
      <w:r>
        <w:rPr/>
        <w:t>revenue</w:t>
      </w:r>
      <w:r>
        <w:rPr>
          <w:spacing w:val="-26"/>
        </w:rPr>
        <w:t> </w:t>
      </w:r>
      <w:r>
        <w:rPr/>
        <w:t>from</w:t>
      </w:r>
      <w:r>
        <w:rPr>
          <w:spacing w:val="-26"/>
        </w:rPr>
        <w:t> </w:t>
      </w:r>
      <w:r>
        <w:rPr/>
        <w:t>this</w:t>
      </w:r>
      <w:r>
        <w:rPr>
          <w:spacing w:val="-25"/>
        </w:rPr>
        <w:t> </w:t>
      </w:r>
      <w:r>
        <w:rPr/>
        <w:t>block</w:t>
      </w:r>
      <w:r>
        <w:rPr>
          <w:spacing w:val="-27"/>
        </w:rPr>
        <w:t> </w:t>
      </w:r>
      <w:r>
        <w:rPr/>
        <w:t>would</w:t>
      </w:r>
      <w:r>
        <w:rPr>
          <w:spacing w:val="-25"/>
        </w:rPr>
        <w:t> </w:t>
      </w:r>
      <w:r>
        <w:rPr/>
        <w:t>accrue</w:t>
      </w:r>
      <w:r>
        <w:rPr>
          <w:spacing w:val="-26"/>
        </w:rPr>
        <w:t> </w:t>
      </w:r>
      <w:r>
        <w:rPr/>
        <w:t>for</w:t>
      </w:r>
      <w:r>
        <w:rPr>
          <w:spacing w:val="-27"/>
        </w:rPr>
        <w:t> </w:t>
      </w:r>
      <w:r>
        <w:rPr/>
        <w:t>a</w:t>
      </w:r>
      <w:r>
        <w:rPr>
          <w:spacing w:val="-26"/>
        </w:rPr>
        <w:t> </w:t>
      </w:r>
      <w:r>
        <w:rPr/>
        <w:t>period</w:t>
      </w:r>
      <w:r>
        <w:rPr>
          <w:spacing w:val="-26"/>
        </w:rPr>
        <w:t> </w:t>
      </w:r>
      <w:r>
        <w:rPr/>
        <w:t>of</w:t>
      </w:r>
      <w:r>
        <w:rPr>
          <w:spacing w:val="-25"/>
        </w:rPr>
        <w:t> </w:t>
      </w:r>
      <w:r>
        <w:rPr/>
        <w:t>60</w:t>
      </w:r>
      <w:r>
        <w:rPr>
          <w:spacing w:val="-26"/>
        </w:rPr>
        <w:t> </w:t>
      </w:r>
      <w:r>
        <w:rPr/>
        <w:t>years</w:t>
      </w:r>
      <w:r>
        <w:rPr>
          <w:spacing w:val="-25"/>
        </w:rPr>
        <w:t> </w:t>
      </w:r>
      <w:r>
        <w:rPr/>
        <w:t>from</w:t>
      </w:r>
      <w:r>
        <w:rPr>
          <w:spacing w:val="-27"/>
        </w:rPr>
        <w:t> </w:t>
      </w:r>
      <w:r>
        <w:rPr/>
        <w:t>the</w:t>
      </w:r>
      <w:r>
        <w:rPr>
          <w:spacing w:val="-26"/>
        </w:rPr>
        <w:t> </w:t>
      </w:r>
      <w:r>
        <w:rPr/>
        <w:t>date</w:t>
      </w:r>
      <w:r>
        <w:rPr>
          <w:spacing w:val="-26"/>
        </w:rPr>
        <w:t> </w:t>
      </w:r>
      <w:r>
        <w:rPr/>
        <w:t>of</w:t>
      </w:r>
      <w:r>
        <w:rPr>
          <w:spacing w:val="-26"/>
        </w:rPr>
        <w:t> </w:t>
      </w:r>
      <w:r>
        <w:rPr/>
        <w:t>commencement of development</w:t>
      </w:r>
      <w:r>
        <w:rPr>
          <w:spacing w:val="-8"/>
        </w:rPr>
        <w:t> </w:t>
      </w:r>
      <w:r>
        <w:rPr/>
        <w:t>works.</w:t>
      </w:r>
    </w:p>
    <w:p>
      <w:pPr>
        <w:pStyle w:val="BodyText"/>
        <w:spacing w:line="321" w:lineRule="auto" w:before="122"/>
        <w:ind w:left="782" w:right="195"/>
        <w:jc w:val="both"/>
      </w:pPr>
      <w:r>
        <w:rPr/>
        <w:t>As</w:t>
      </w:r>
      <w:r>
        <w:rPr>
          <w:spacing w:val="-35"/>
        </w:rPr>
        <w:t> </w:t>
      </w:r>
      <w:r>
        <w:rPr/>
        <w:t>per</w:t>
      </w:r>
      <w:r>
        <w:rPr>
          <w:spacing w:val="-35"/>
        </w:rPr>
        <w:t> </w:t>
      </w:r>
      <w:r>
        <w:rPr/>
        <w:t>the</w:t>
      </w:r>
      <w:r>
        <w:rPr>
          <w:spacing w:val="-36"/>
        </w:rPr>
        <w:t> </w:t>
      </w:r>
      <w:r>
        <w:rPr/>
        <w:t>Development</w:t>
      </w:r>
      <w:r>
        <w:rPr>
          <w:spacing w:val="-36"/>
        </w:rPr>
        <w:t> </w:t>
      </w:r>
      <w:r>
        <w:rPr/>
        <w:t>Management</w:t>
      </w:r>
      <w:r>
        <w:rPr>
          <w:spacing w:val="-35"/>
        </w:rPr>
        <w:t> </w:t>
      </w:r>
      <w:r>
        <w:rPr/>
        <w:t>Agreement,</w:t>
      </w:r>
      <w:r>
        <w:rPr>
          <w:spacing w:val="-36"/>
        </w:rPr>
        <w:t> </w:t>
      </w:r>
      <w:r>
        <w:rPr/>
        <w:t>it</w:t>
      </w:r>
      <w:r>
        <w:rPr>
          <w:spacing w:val="-34"/>
        </w:rPr>
        <w:t> </w:t>
      </w:r>
      <w:r>
        <w:rPr/>
        <w:t>is</w:t>
      </w:r>
      <w:r>
        <w:rPr>
          <w:spacing w:val="-34"/>
        </w:rPr>
        <w:t> </w:t>
      </w:r>
      <w:r>
        <w:rPr/>
        <w:t>understood</w:t>
      </w:r>
      <w:r>
        <w:rPr>
          <w:spacing w:val="-34"/>
        </w:rPr>
        <w:t> </w:t>
      </w:r>
      <w:r>
        <w:rPr/>
        <w:t>that</w:t>
      </w:r>
      <w:r>
        <w:rPr>
          <w:spacing w:val="-33"/>
        </w:rPr>
        <w:t> </w:t>
      </w:r>
      <w:r>
        <w:rPr/>
        <w:t>in</w:t>
      </w:r>
      <w:r>
        <w:rPr>
          <w:spacing w:val="-35"/>
        </w:rPr>
        <w:t> </w:t>
      </w:r>
      <w:r>
        <w:rPr/>
        <w:t>case</w:t>
      </w:r>
      <w:r>
        <w:rPr>
          <w:spacing w:val="-35"/>
        </w:rPr>
        <w:t> </w:t>
      </w:r>
      <w:r>
        <w:rPr/>
        <w:t>of</w:t>
      </w:r>
      <w:r>
        <w:rPr>
          <w:spacing w:val="-33"/>
        </w:rPr>
        <w:t> </w:t>
      </w:r>
      <w:r>
        <w:rPr/>
        <w:t>any</w:t>
      </w:r>
      <w:r>
        <w:rPr>
          <w:spacing w:val="-35"/>
        </w:rPr>
        <w:t> </w:t>
      </w:r>
      <w:r>
        <w:rPr/>
        <w:t>delay</w:t>
      </w:r>
      <w:r>
        <w:rPr>
          <w:spacing w:val="-33"/>
        </w:rPr>
        <w:t> </w:t>
      </w:r>
      <w:r>
        <w:rPr/>
        <w:t>in</w:t>
      </w:r>
      <w:r>
        <w:rPr>
          <w:spacing w:val="-35"/>
        </w:rPr>
        <w:t> </w:t>
      </w:r>
      <w:r>
        <w:rPr/>
        <w:t>completion of</w:t>
      </w:r>
      <w:r>
        <w:rPr>
          <w:spacing w:val="-23"/>
        </w:rPr>
        <w:t> </w:t>
      </w:r>
      <w:r>
        <w:rPr/>
        <w:t>the</w:t>
      </w:r>
      <w:r>
        <w:rPr>
          <w:spacing w:val="-26"/>
        </w:rPr>
        <w:t> </w:t>
      </w:r>
      <w:r>
        <w:rPr/>
        <w:t>project</w:t>
      </w:r>
      <w:r>
        <w:rPr>
          <w:spacing w:val="-23"/>
        </w:rPr>
        <w:t> </w:t>
      </w:r>
      <w:r>
        <w:rPr/>
        <w:t>beyond</w:t>
      </w:r>
      <w:r>
        <w:rPr>
          <w:spacing w:val="-23"/>
        </w:rPr>
        <w:t> </w:t>
      </w:r>
      <w:r>
        <w:rPr/>
        <w:t>33</w:t>
      </w:r>
      <w:r>
        <w:rPr>
          <w:spacing w:val="-27"/>
        </w:rPr>
        <w:t> </w:t>
      </w:r>
      <w:r>
        <w:rPr/>
        <w:t>months</w:t>
      </w:r>
      <w:r>
        <w:rPr>
          <w:spacing w:val="-24"/>
        </w:rPr>
        <w:t> </w:t>
      </w:r>
      <w:r>
        <w:rPr/>
        <w:t>(from</w:t>
      </w:r>
      <w:r>
        <w:rPr>
          <w:spacing w:val="-25"/>
        </w:rPr>
        <w:t> </w:t>
      </w:r>
      <w:r>
        <w:rPr/>
        <w:t>the</w:t>
      </w:r>
      <w:r>
        <w:rPr>
          <w:spacing w:val="-25"/>
        </w:rPr>
        <w:t> </w:t>
      </w:r>
      <w:r>
        <w:rPr/>
        <w:t>date</w:t>
      </w:r>
      <w:r>
        <w:rPr>
          <w:spacing w:val="-24"/>
        </w:rPr>
        <w:t> </w:t>
      </w:r>
      <w:r>
        <w:rPr/>
        <w:t>of</w:t>
      </w:r>
      <w:r>
        <w:rPr>
          <w:spacing w:val="-25"/>
        </w:rPr>
        <w:t> </w:t>
      </w:r>
      <w:r>
        <w:rPr/>
        <w:t>execution</w:t>
      </w:r>
      <w:r>
        <w:rPr>
          <w:spacing w:val="-24"/>
        </w:rPr>
        <w:t> </w:t>
      </w:r>
      <w:r>
        <w:rPr/>
        <w:t>of</w:t>
      </w:r>
      <w:r>
        <w:rPr>
          <w:spacing w:val="-23"/>
        </w:rPr>
        <w:t> </w:t>
      </w:r>
      <w:r>
        <w:rPr/>
        <w:t>the</w:t>
      </w:r>
      <w:r>
        <w:rPr>
          <w:spacing w:val="-23"/>
        </w:rPr>
        <w:t> </w:t>
      </w:r>
      <w:r>
        <w:rPr/>
        <w:t>agreement</w:t>
      </w:r>
      <w:r>
        <w:rPr>
          <w:spacing w:val="-21"/>
        </w:rPr>
        <w:t> </w:t>
      </w:r>
      <w:r>
        <w:rPr/>
        <w:t>-</w:t>
      </w:r>
      <w:r>
        <w:rPr>
          <w:spacing w:val="-23"/>
        </w:rPr>
        <w:t> </w:t>
      </w:r>
      <w:r>
        <w:rPr/>
        <w:t>8</w:t>
      </w:r>
      <w:r>
        <w:rPr>
          <w:vertAlign w:val="superscript"/>
        </w:rPr>
        <w:t>th</w:t>
      </w:r>
      <w:r>
        <w:rPr>
          <w:spacing w:val="-25"/>
          <w:vertAlign w:val="baseline"/>
        </w:rPr>
        <w:t> </w:t>
      </w:r>
      <w:r>
        <w:rPr>
          <w:vertAlign w:val="baseline"/>
        </w:rPr>
        <w:t>March</w:t>
      </w:r>
      <w:r>
        <w:rPr>
          <w:spacing w:val="-23"/>
          <w:vertAlign w:val="baseline"/>
        </w:rPr>
        <w:t> </w:t>
      </w:r>
      <w:r>
        <w:rPr>
          <w:vertAlign w:val="baseline"/>
        </w:rPr>
        <w:t>2017),</w:t>
      </w:r>
      <w:r>
        <w:rPr>
          <w:spacing w:val="-24"/>
          <w:vertAlign w:val="baseline"/>
        </w:rPr>
        <w:t> </w:t>
      </w:r>
      <w:r>
        <w:rPr>
          <w:vertAlign w:val="baseline"/>
        </w:rPr>
        <w:t>i.e.</w:t>
      </w:r>
      <w:r>
        <w:rPr>
          <w:spacing w:val="-24"/>
          <w:vertAlign w:val="baseline"/>
        </w:rPr>
        <w:t> </w:t>
      </w:r>
      <w:r>
        <w:rPr>
          <w:spacing w:val="-9"/>
          <w:vertAlign w:val="baseline"/>
        </w:rPr>
        <w:t>7</w:t>
      </w:r>
      <w:r>
        <w:rPr>
          <w:spacing w:val="-9"/>
          <w:vertAlign w:val="superscript"/>
        </w:rPr>
        <w:t>th</w:t>
      </w:r>
      <w:r>
        <w:rPr>
          <w:spacing w:val="-9"/>
          <w:vertAlign w:val="baseline"/>
        </w:rPr>
        <w:t> </w:t>
      </w:r>
      <w:r>
        <w:rPr>
          <w:vertAlign w:val="baseline"/>
        </w:rPr>
        <w:t>December 2019, MPPL will be entitled to INR 57.2 Mn per month as penalty till completion of the development i.e. Q2, FY</w:t>
      </w:r>
      <w:r>
        <w:rPr>
          <w:spacing w:val="-12"/>
          <w:vertAlign w:val="baseline"/>
        </w:rPr>
        <w:t> </w:t>
      </w:r>
      <w:r>
        <w:rPr>
          <w:vertAlign w:val="baseline"/>
        </w:rPr>
        <w:t>2023.</w:t>
      </w:r>
    </w:p>
    <w:p>
      <w:pPr>
        <w:pStyle w:val="ListParagraph"/>
        <w:numPr>
          <w:ilvl w:val="3"/>
          <w:numId w:val="34"/>
        </w:numPr>
        <w:tabs>
          <w:tab w:pos="1085" w:val="left" w:leader="none"/>
        </w:tabs>
        <w:spacing w:line="240" w:lineRule="auto" w:before="210" w:after="0"/>
        <w:ind w:left="1084" w:right="0" w:hanging="865"/>
        <w:jc w:val="left"/>
        <w:rPr>
          <w:i/>
          <w:sz w:val="20"/>
        </w:rPr>
      </w:pPr>
      <w:r>
        <w:rPr>
          <w:i/>
          <w:color w:val="008000"/>
          <w:w w:val="105"/>
          <w:sz w:val="20"/>
        </w:rPr>
        <w:t>Inputs</w:t>
      </w:r>
      <w:r>
        <w:rPr>
          <w:i/>
          <w:color w:val="008000"/>
          <w:spacing w:val="-9"/>
          <w:w w:val="105"/>
          <w:sz w:val="20"/>
        </w:rPr>
        <w:t> </w:t>
      </w:r>
      <w:r>
        <w:rPr>
          <w:i/>
          <w:color w:val="008000"/>
          <w:w w:val="105"/>
          <w:sz w:val="20"/>
        </w:rPr>
        <w:t>pertaining</w:t>
      </w:r>
      <w:r>
        <w:rPr>
          <w:i/>
          <w:color w:val="008000"/>
          <w:spacing w:val="-8"/>
          <w:w w:val="105"/>
          <w:sz w:val="20"/>
        </w:rPr>
        <w:t> </w:t>
      </w:r>
      <w:r>
        <w:rPr>
          <w:i/>
          <w:color w:val="008000"/>
          <w:w w:val="105"/>
          <w:sz w:val="20"/>
        </w:rPr>
        <w:t>to</w:t>
      </w:r>
      <w:r>
        <w:rPr>
          <w:i/>
          <w:color w:val="008000"/>
          <w:spacing w:val="-7"/>
          <w:w w:val="105"/>
          <w:sz w:val="20"/>
        </w:rPr>
        <w:t> </w:t>
      </w:r>
      <w:r>
        <w:rPr>
          <w:i/>
          <w:color w:val="008000"/>
          <w:w w:val="105"/>
          <w:sz w:val="20"/>
        </w:rPr>
        <w:t>Block</w:t>
      </w:r>
      <w:r>
        <w:rPr>
          <w:i/>
          <w:color w:val="008000"/>
          <w:spacing w:val="-6"/>
          <w:w w:val="105"/>
          <w:sz w:val="20"/>
        </w:rPr>
        <w:t> </w:t>
      </w:r>
      <w:r>
        <w:rPr>
          <w:i/>
          <w:color w:val="008000"/>
          <w:w w:val="105"/>
          <w:sz w:val="20"/>
        </w:rPr>
        <w:t>M3</w:t>
      </w:r>
      <w:r>
        <w:rPr>
          <w:i/>
          <w:color w:val="008000"/>
          <w:spacing w:val="-5"/>
          <w:w w:val="105"/>
          <w:sz w:val="20"/>
        </w:rPr>
        <w:t> </w:t>
      </w:r>
      <w:r>
        <w:rPr>
          <w:i/>
          <w:color w:val="008000"/>
          <w:w w:val="105"/>
          <w:sz w:val="20"/>
        </w:rPr>
        <w:t>–</w:t>
      </w:r>
      <w:r>
        <w:rPr>
          <w:i/>
          <w:color w:val="008000"/>
          <w:spacing w:val="-7"/>
          <w:w w:val="105"/>
          <w:sz w:val="20"/>
        </w:rPr>
        <w:t> </w:t>
      </w:r>
      <w:r>
        <w:rPr>
          <w:i/>
          <w:color w:val="008000"/>
          <w:w w:val="105"/>
          <w:sz w:val="20"/>
        </w:rPr>
        <w:t>Phase</w:t>
      </w:r>
      <w:r>
        <w:rPr>
          <w:i/>
          <w:color w:val="008000"/>
          <w:spacing w:val="-8"/>
          <w:w w:val="105"/>
          <w:sz w:val="20"/>
        </w:rPr>
        <w:t> </w:t>
      </w:r>
      <w:r>
        <w:rPr>
          <w:i/>
          <w:color w:val="008000"/>
          <w:w w:val="105"/>
          <w:sz w:val="20"/>
        </w:rPr>
        <w:t>2</w:t>
      </w:r>
    </w:p>
    <w:p>
      <w:pPr>
        <w:pStyle w:val="BodyText"/>
        <w:spacing w:line="321" w:lineRule="auto" w:before="76" w:after="5"/>
        <w:ind w:left="782" w:right="194"/>
        <w:jc w:val="both"/>
      </w:pPr>
      <w:r>
        <w:rPr/>
        <w:t>As</w:t>
      </w:r>
      <w:r>
        <w:rPr>
          <w:spacing w:val="-12"/>
        </w:rPr>
        <w:t> </w:t>
      </w:r>
      <w:r>
        <w:rPr/>
        <w:t>per</w:t>
      </w:r>
      <w:r>
        <w:rPr>
          <w:spacing w:val="-11"/>
        </w:rPr>
        <w:t> </w:t>
      </w:r>
      <w:r>
        <w:rPr/>
        <w:t>information</w:t>
      </w:r>
      <w:r>
        <w:rPr>
          <w:spacing w:val="-11"/>
        </w:rPr>
        <w:t> </w:t>
      </w:r>
      <w:r>
        <w:rPr/>
        <w:t>provided</w:t>
      </w:r>
      <w:r>
        <w:rPr>
          <w:spacing w:val="-13"/>
        </w:rPr>
        <w:t> </w:t>
      </w:r>
      <w:r>
        <w:rPr/>
        <w:t>by</w:t>
      </w:r>
      <w:r>
        <w:rPr>
          <w:spacing w:val="-10"/>
        </w:rPr>
        <w:t> </w:t>
      </w:r>
      <w:r>
        <w:rPr/>
        <w:t>the</w:t>
      </w:r>
      <w:r>
        <w:rPr>
          <w:spacing w:val="-13"/>
        </w:rPr>
        <w:t> </w:t>
      </w:r>
      <w:r>
        <w:rPr/>
        <w:t>Client</w:t>
      </w:r>
      <w:r>
        <w:rPr>
          <w:spacing w:val="-11"/>
        </w:rPr>
        <w:t> </w:t>
      </w:r>
      <w:r>
        <w:rPr/>
        <w:t>representative,</w:t>
      </w:r>
      <w:r>
        <w:rPr>
          <w:spacing w:val="-12"/>
        </w:rPr>
        <w:t> </w:t>
      </w:r>
      <w:r>
        <w:rPr/>
        <w:t>the</w:t>
      </w:r>
      <w:r>
        <w:rPr>
          <w:spacing w:val="-11"/>
        </w:rPr>
        <w:t> </w:t>
      </w:r>
      <w:r>
        <w:rPr/>
        <w:t>inputs</w:t>
      </w:r>
      <w:r>
        <w:rPr>
          <w:spacing w:val="-11"/>
        </w:rPr>
        <w:t> </w:t>
      </w:r>
      <w:r>
        <w:rPr/>
        <w:t>pertaining</w:t>
      </w:r>
      <w:r>
        <w:rPr>
          <w:spacing w:val="-10"/>
        </w:rPr>
        <w:t> </w:t>
      </w:r>
      <w:r>
        <w:rPr/>
        <w:t>to</w:t>
      </w:r>
      <w:r>
        <w:rPr>
          <w:spacing w:val="-11"/>
        </w:rPr>
        <w:t> </w:t>
      </w:r>
      <w:r>
        <w:rPr/>
        <w:t>M3</w:t>
      </w:r>
      <w:r>
        <w:rPr>
          <w:spacing w:val="-13"/>
        </w:rPr>
        <w:t> </w:t>
      </w:r>
      <w:r>
        <w:rPr/>
        <w:t>block</w:t>
      </w:r>
      <w:r>
        <w:rPr>
          <w:spacing w:val="-12"/>
        </w:rPr>
        <w:t> </w:t>
      </w:r>
      <w:r>
        <w:rPr/>
        <w:t>Phase</w:t>
      </w:r>
      <w:r>
        <w:rPr>
          <w:spacing w:val="-13"/>
        </w:rPr>
        <w:t> </w:t>
      </w:r>
      <w:r>
        <w:rPr/>
        <w:t>2</w:t>
      </w:r>
      <w:r>
        <w:rPr>
          <w:spacing w:val="-11"/>
        </w:rPr>
        <w:t> </w:t>
      </w:r>
      <w:r>
        <w:rPr/>
        <w:t>is highlighted in the table</w:t>
      </w:r>
      <w:r>
        <w:rPr>
          <w:spacing w:val="-17"/>
        </w:rPr>
        <w:t> </w:t>
      </w:r>
      <w:r>
        <w:rPr/>
        <w:t>below:</w:t>
      </w: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5"/>
        <w:gridCol w:w="3002"/>
        <w:gridCol w:w="3970"/>
      </w:tblGrid>
      <w:tr>
        <w:trPr>
          <w:trHeight w:val="402" w:hRule="atLeast"/>
        </w:trPr>
        <w:tc>
          <w:tcPr>
            <w:tcW w:w="3515" w:type="dxa"/>
            <w:tcBorders>
              <w:top w:val="single" w:sz="6" w:space="0" w:color="69BD28"/>
              <w:bottom w:val="single" w:sz="6" w:space="0" w:color="69BD28"/>
            </w:tcBorders>
            <w:shd w:val="clear" w:color="auto" w:fill="006A4D"/>
          </w:tcPr>
          <w:p>
            <w:pPr>
              <w:pStyle w:val="TableParagraph"/>
              <w:spacing w:before="97"/>
              <w:ind w:left="922"/>
              <w:jc w:val="left"/>
              <w:rPr>
                <w:b/>
                <w:sz w:val="18"/>
              </w:rPr>
            </w:pPr>
            <w:r>
              <w:rPr>
                <w:b/>
                <w:color w:val="FFFFFF"/>
                <w:w w:val="105"/>
                <w:sz w:val="18"/>
              </w:rPr>
              <w:t>Particular</w:t>
            </w:r>
          </w:p>
        </w:tc>
        <w:tc>
          <w:tcPr>
            <w:tcW w:w="3002" w:type="dxa"/>
            <w:tcBorders>
              <w:top w:val="single" w:sz="6" w:space="0" w:color="69BD28"/>
              <w:bottom w:val="single" w:sz="6" w:space="0" w:color="69BD28"/>
            </w:tcBorders>
            <w:shd w:val="clear" w:color="auto" w:fill="006A4D"/>
          </w:tcPr>
          <w:p>
            <w:pPr>
              <w:pStyle w:val="TableParagraph"/>
              <w:spacing w:before="97"/>
              <w:ind w:right="989"/>
              <w:jc w:val="right"/>
              <w:rPr>
                <w:b/>
                <w:sz w:val="18"/>
              </w:rPr>
            </w:pPr>
            <w:r>
              <w:rPr>
                <w:b/>
                <w:color w:val="FFFFFF"/>
                <w:w w:val="110"/>
                <w:sz w:val="18"/>
              </w:rPr>
              <w:t>Amount (INR Mn)</w:t>
            </w:r>
          </w:p>
        </w:tc>
        <w:tc>
          <w:tcPr>
            <w:tcW w:w="3970" w:type="dxa"/>
            <w:tcBorders>
              <w:top w:val="single" w:sz="6" w:space="0" w:color="69BD28"/>
              <w:bottom w:val="single" w:sz="6" w:space="0" w:color="69BD28"/>
            </w:tcBorders>
            <w:shd w:val="clear" w:color="auto" w:fill="006A4D"/>
          </w:tcPr>
          <w:p>
            <w:pPr>
              <w:pStyle w:val="TableParagraph"/>
              <w:spacing w:before="97"/>
              <w:ind w:left="1604" w:right="1358"/>
              <w:rPr>
                <w:b/>
                <w:sz w:val="18"/>
              </w:rPr>
            </w:pPr>
            <w:r>
              <w:rPr>
                <w:b/>
                <w:color w:val="FFFFFF"/>
                <w:w w:val="110"/>
                <w:sz w:val="18"/>
              </w:rPr>
              <w:t>Comments</w:t>
            </w:r>
          </w:p>
        </w:tc>
      </w:tr>
      <w:tr>
        <w:trPr>
          <w:trHeight w:val="551" w:hRule="atLeast"/>
        </w:trPr>
        <w:tc>
          <w:tcPr>
            <w:tcW w:w="3515" w:type="dxa"/>
            <w:tcBorders>
              <w:top w:val="single" w:sz="6" w:space="0" w:color="69BD28"/>
              <w:bottom w:val="single" w:sz="6" w:space="0" w:color="69BD28"/>
            </w:tcBorders>
          </w:tcPr>
          <w:p>
            <w:pPr>
              <w:pStyle w:val="TableParagraph"/>
              <w:spacing w:before="174"/>
              <w:ind w:left="442"/>
              <w:jc w:val="left"/>
              <w:rPr>
                <w:sz w:val="18"/>
              </w:rPr>
            </w:pPr>
            <w:r>
              <w:rPr>
                <w:sz w:val="18"/>
              </w:rPr>
              <w:t>Total Development Consideration</w:t>
            </w:r>
          </w:p>
        </w:tc>
        <w:tc>
          <w:tcPr>
            <w:tcW w:w="3002" w:type="dxa"/>
            <w:tcBorders>
              <w:top w:val="single" w:sz="6" w:space="0" w:color="69BD28"/>
              <w:bottom w:val="single" w:sz="6" w:space="0" w:color="69BD28"/>
            </w:tcBorders>
          </w:tcPr>
          <w:p>
            <w:pPr>
              <w:pStyle w:val="TableParagraph"/>
              <w:spacing w:before="174"/>
              <w:ind w:right="1000"/>
              <w:jc w:val="right"/>
              <w:rPr>
                <w:sz w:val="18"/>
              </w:rPr>
            </w:pPr>
            <w:r>
              <w:rPr>
                <w:w w:val="105"/>
                <w:sz w:val="18"/>
              </w:rPr>
              <w:t>INR 7,367 mn</w:t>
            </w:r>
          </w:p>
        </w:tc>
        <w:tc>
          <w:tcPr>
            <w:tcW w:w="3970" w:type="dxa"/>
            <w:tcBorders>
              <w:top w:val="single" w:sz="6" w:space="0" w:color="69BD28"/>
              <w:bottom w:val="single" w:sz="6" w:space="0" w:color="69BD28"/>
            </w:tcBorders>
          </w:tcPr>
          <w:p>
            <w:pPr>
              <w:pStyle w:val="TableParagraph"/>
              <w:spacing w:before="174"/>
              <w:ind w:left="1316" w:right="1358"/>
              <w:rPr>
                <w:sz w:val="18"/>
              </w:rPr>
            </w:pPr>
            <w:r>
              <w:rPr>
                <w:w w:val="115"/>
                <w:sz w:val="18"/>
              </w:rPr>
              <w:t>NA</w:t>
            </w:r>
          </w:p>
        </w:tc>
      </w:tr>
      <w:tr>
        <w:trPr>
          <w:trHeight w:val="553" w:hRule="atLeast"/>
        </w:trPr>
        <w:tc>
          <w:tcPr>
            <w:tcW w:w="3515" w:type="dxa"/>
            <w:tcBorders>
              <w:top w:val="single" w:sz="6" w:space="0" w:color="69BD28"/>
              <w:bottom w:val="single" w:sz="6" w:space="0" w:color="69BD28"/>
            </w:tcBorders>
          </w:tcPr>
          <w:p>
            <w:pPr>
              <w:pStyle w:val="TableParagraph"/>
              <w:spacing w:before="174"/>
              <w:ind w:left="458"/>
              <w:jc w:val="left"/>
              <w:rPr>
                <w:sz w:val="18"/>
              </w:rPr>
            </w:pPr>
            <w:r>
              <w:rPr>
                <w:sz w:val="18"/>
              </w:rPr>
              <w:t>Development Consideration paid</w:t>
            </w:r>
          </w:p>
        </w:tc>
        <w:tc>
          <w:tcPr>
            <w:tcW w:w="3002" w:type="dxa"/>
            <w:tcBorders>
              <w:top w:val="single" w:sz="6" w:space="0" w:color="69BD28"/>
              <w:bottom w:val="single" w:sz="6" w:space="0" w:color="69BD28"/>
            </w:tcBorders>
          </w:tcPr>
          <w:p>
            <w:pPr>
              <w:pStyle w:val="TableParagraph"/>
              <w:spacing w:before="174"/>
              <w:ind w:right="1000"/>
              <w:jc w:val="right"/>
              <w:rPr>
                <w:sz w:val="18"/>
              </w:rPr>
            </w:pPr>
            <w:r>
              <w:rPr>
                <w:w w:val="105"/>
                <w:sz w:val="18"/>
              </w:rPr>
              <w:t>INR 4,256 mn</w:t>
            </w:r>
          </w:p>
        </w:tc>
        <w:tc>
          <w:tcPr>
            <w:tcW w:w="3970" w:type="dxa"/>
            <w:tcBorders>
              <w:top w:val="single" w:sz="6" w:space="0" w:color="69BD28"/>
              <w:bottom w:val="single" w:sz="6" w:space="0" w:color="69BD28"/>
            </w:tcBorders>
          </w:tcPr>
          <w:p>
            <w:pPr>
              <w:pStyle w:val="TableParagraph"/>
              <w:spacing w:before="174"/>
              <w:ind w:left="989"/>
              <w:jc w:val="left"/>
              <w:rPr>
                <w:sz w:val="18"/>
              </w:rPr>
            </w:pPr>
            <w:r>
              <w:rPr>
                <w:sz w:val="18"/>
              </w:rPr>
              <w:t>Paid till date of valuation</w:t>
            </w:r>
          </w:p>
        </w:tc>
      </w:tr>
    </w:tbl>
    <w:p>
      <w:pPr>
        <w:spacing w:after="0"/>
        <w:jc w:val="left"/>
        <w:rPr>
          <w:sz w:val="18"/>
        </w:rPr>
        <w:sectPr>
          <w:pgSz w:w="11910" w:h="16840"/>
          <w:pgMar w:header="720" w:footer="842" w:top="1660" w:bottom="1040" w:left="500" w:right="520"/>
        </w:sectPr>
      </w:pPr>
    </w:p>
    <w:p>
      <w:pPr>
        <w:pStyle w:val="BodyText"/>
        <w:spacing w:before="4"/>
        <w:rPr>
          <w:sz w:val="18"/>
        </w:rPr>
      </w:pPr>
    </w:p>
    <w:p>
      <w:pPr>
        <w:pStyle w:val="BodyText"/>
        <w:ind w:left="205"/>
        <w:rPr>
          <w:sz w:val="20"/>
        </w:rPr>
      </w:pPr>
      <w:r>
        <w:rPr>
          <w:sz w:val="20"/>
        </w:rPr>
        <w:pict>
          <v:group style="width:524.3pt;height:21.6pt;mso-position-horizontal-relative:char;mso-position-vertical-relative:line" coordorigin="0,0" coordsize="10486,432">
            <v:shape style="position:absolute;left:14;top:14;width:10472;height:404" coordorigin="14,14" coordsize="10472,404" path="m10486,14l6767,14,2715,14,14,14,14,418,2715,418,6767,418,10486,418,10486,14xe" filled="true" fillcolor="#006a4d" stroked="false">
              <v:path arrowok="t"/>
              <v:fill type="solid"/>
            </v:shape>
            <v:shape style="position:absolute;left:14;top:0;width:10472;height:432" coordorigin="14,0" coordsize="10472,432" path="m10486,418l6781,418,6767,418,6421,418,6407,418,3517,418,3503,418,2730,418,2715,418,14,418,14,432,2715,432,2730,432,3503,432,3517,432,6407,432,6421,432,6767,432,6781,432,10486,432,10486,418xm10486,0l6781,0,6767,0,2730,0,2715,0,14,0,14,14,2715,14,2730,14,6767,14,6781,14,10486,14,10486,0xe" filled="true" fillcolor="#69bd28" stroked="false">
              <v:path arrowok="t"/>
              <v:fill type="solid"/>
            </v:shape>
            <v:shape style="position:absolute;left:0;top:14;width:10486;height:404" type="#_x0000_t202" filled="false" stroked="false">
              <v:textbox inset="0,0,0,0">
                <w:txbxContent>
                  <w:p>
                    <w:pPr>
                      <w:tabs>
                        <w:tab w:pos="3956" w:val="left" w:leader="none"/>
                        <w:tab w:pos="8152" w:val="left" w:leader="none"/>
                      </w:tabs>
                      <w:spacing w:before="97"/>
                      <w:ind w:left="922" w:right="0" w:firstLine="0"/>
                      <w:jc w:val="left"/>
                      <w:rPr>
                        <w:b/>
                        <w:sz w:val="18"/>
                      </w:rPr>
                    </w:pPr>
                    <w:r>
                      <w:rPr>
                        <w:b/>
                        <w:color w:val="FFFFFF"/>
                        <w:w w:val="110"/>
                        <w:sz w:val="18"/>
                      </w:rPr>
                      <w:t>Particular</w:t>
                      <w:tab/>
                      <w:t>Amount</w:t>
                    </w:r>
                    <w:r>
                      <w:rPr>
                        <w:b/>
                        <w:color w:val="FFFFFF"/>
                        <w:spacing w:val="2"/>
                        <w:w w:val="110"/>
                        <w:sz w:val="18"/>
                      </w:rPr>
                      <w:t> </w:t>
                    </w:r>
                    <w:r>
                      <w:rPr>
                        <w:b/>
                        <w:color w:val="FFFFFF"/>
                        <w:w w:val="110"/>
                        <w:sz w:val="18"/>
                      </w:rPr>
                      <w:t>(INR Mn)</w:t>
                      <w:tab/>
                      <w:t>Comments</w:t>
                    </w:r>
                  </w:p>
                </w:txbxContent>
              </v:textbox>
              <w10:wrap type="none"/>
            </v:shape>
          </v:group>
        </w:pict>
      </w:r>
      <w:r>
        <w:rPr>
          <w:sz w:val="20"/>
        </w:rPr>
      </w:r>
    </w:p>
    <w:p>
      <w:pPr>
        <w:spacing w:after="0"/>
        <w:rPr>
          <w:sz w:val="20"/>
        </w:rPr>
        <w:sectPr>
          <w:pgSz w:w="11910" w:h="16840"/>
          <w:pgMar w:header="720" w:footer="842" w:top="1660" w:bottom="1040" w:left="500" w:right="520"/>
        </w:sectPr>
      </w:pPr>
    </w:p>
    <w:p>
      <w:pPr>
        <w:pStyle w:val="BodyText"/>
        <w:spacing w:before="5"/>
        <w:rPr>
          <w:sz w:val="25"/>
        </w:rPr>
      </w:pPr>
    </w:p>
    <w:p>
      <w:pPr>
        <w:tabs>
          <w:tab w:pos="4600" w:val="left" w:leader="none"/>
        </w:tabs>
        <w:spacing w:line="146" w:lineRule="auto" w:before="0"/>
        <w:ind w:left="4601" w:right="38" w:hanging="4072"/>
        <w:jc w:val="right"/>
        <w:rPr>
          <w:sz w:val="18"/>
        </w:rPr>
      </w:pPr>
      <w:r>
        <w:rPr>
          <w:sz w:val="18"/>
        </w:rPr>
        <w:t>Balance</w:t>
      </w:r>
      <w:r>
        <w:rPr>
          <w:spacing w:val="-12"/>
          <w:sz w:val="18"/>
        </w:rPr>
        <w:t> </w:t>
      </w:r>
      <w:r>
        <w:rPr>
          <w:sz w:val="18"/>
        </w:rPr>
        <w:t>Development</w:t>
      </w:r>
      <w:r>
        <w:rPr>
          <w:spacing w:val="-14"/>
          <w:sz w:val="18"/>
        </w:rPr>
        <w:t> </w:t>
      </w:r>
      <w:r>
        <w:rPr>
          <w:sz w:val="18"/>
        </w:rPr>
        <w:t>Consideration</w:t>
        <w:tab/>
        <w:tab/>
      </w:r>
      <w:r>
        <w:rPr>
          <w:position w:val="13"/>
          <w:sz w:val="18"/>
        </w:rPr>
        <w:t>INR</w:t>
      </w:r>
      <w:r>
        <w:rPr>
          <w:spacing w:val="24"/>
          <w:position w:val="13"/>
          <w:sz w:val="18"/>
        </w:rPr>
        <w:t> </w:t>
      </w:r>
      <w:r>
        <w:rPr>
          <w:position w:val="13"/>
          <w:sz w:val="18"/>
        </w:rPr>
        <w:t>1,109</w:t>
      </w:r>
      <w:r>
        <w:rPr>
          <w:spacing w:val="23"/>
          <w:position w:val="13"/>
          <w:sz w:val="18"/>
        </w:rPr>
        <w:t> </w:t>
      </w:r>
      <w:r>
        <w:rPr>
          <w:spacing w:val="-7"/>
          <w:position w:val="13"/>
          <w:sz w:val="18"/>
        </w:rPr>
        <w:t>mn</w:t>
      </w:r>
      <w:r>
        <w:rPr>
          <w:w w:val="102"/>
          <w:position w:val="13"/>
          <w:sz w:val="18"/>
        </w:rPr>
        <w:t> </w:t>
      </w:r>
      <w:r>
        <w:rPr>
          <w:sz w:val="18"/>
        </w:rPr>
        <w:t>INR 2,002</w:t>
      </w:r>
      <w:r>
        <w:rPr>
          <w:spacing w:val="-9"/>
          <w:sz w:val="18"/>
        </w:rPr>
        <w:t> </w:t>
      </w:r>
      <w:r>
        <w:rPr>
          <w:spacing w:val="-7"/>
          <w:sz w:val="18"/>
        </w:rPr>
        <w:t>mn</w:t>
      </w:r>
    </w:p>
    <w:p>
      <w:pPr>
        <w:spacing w:line="247" w:lineRule="auto" w:before="16"/>
        <w:ind w:left="2169" w:right="393" w:hanging="1590"/>
        <w:jc w:val="left"/>
        <w:rPr>
          <w:sz w:val="18"/>
        </w:rPr>
      </w:pPr>
      <w:r>
        <w:rPr/>
        <w:br w:type="column"/>
      </w:r>
      <w:r>
        <w:rPr>
          <w:sz w:val="18"/>
        </w:rPr>
        <w:t>To</w:t>
      </w:r>
      <w:r>
        <w:rPr>
          <w:spacing w:val="-11"/>
          <w:sz w:val="18"/>
        </w:rPr>
        <w:t> </w:t>
      </w:r>
      <w:r>
        <w:rPr>
          <w:sz w:val="18"/>
        </w:rPr>
        <w:t>be</w:t>
      </w:r>
      <w:r>
        <w:rPr>
          <w:spacing w:val="-11"/>
          <w:sz w:val="18"/>
        </w:rPr>
        <w:t> </w:t>
      </w:r>
      <w:r>
        <w:rPr>
          <w:sz w:val="18"/>
        </w:rPr>
        <w:t>paid</w:t>
      </w:r>
      <w:r>
        <w:rPr>
          <w:spacing w:val="-11"/>
          <w:sz w:val="18"/>
        </w:rPr>
        <w:t> </w:t>
      </w:r>
      <w:r>
        <w:rPr>
          <w:sz w:val="18"/>
        </w:rPr>
        <w:t>post</w:t>
      </w:r>
      <w:r>
        <w:rPr>
          <w:spacing w:val="-12"/>
          <w:sz w:val="18"/>
        </w:rPr>
        <w:t> </w:t>
      </w:r>
      <w:r>
        <w:rPr>
          <w:sz w:val="18"/>
        </w:rPr>
        <w:t>acquisition</w:t>
      </w:r>
      <w:r>
        <w:rPr>
          <w:spacing w:val="-11"/>
          <w:sz w:val="18"/>
        </w:rPr>
        <w:t> </w:t>
      </w:r>
      <w:r>
        <w:rPr>
          <w:sz w:val="18"/>
        </w:rPr>
        <w:t>of</w:t>
      </w:r>
      <w:r>
        <w:rPr>
          <w:spacing w:val="-13"/>
          <w:sz w:val="18"/>
        </w:rPr>
        <w:t> </w:t>
      </w:r>
      <w:r>
        <w:rPr>
          <w:sz w:val="18"/>
        </w:rPr>
        <w:t>TDR</w:t>
      </w:r>
      <w:r>
        <w:rPr>
          <w:spacing w:val="-11"/>
          <w:sz w:val="18"/>
        </w:rPr>
        <w:t> </w:t>
      </w:r>
      <w:r>
        <w:rPr>
          <w:sz w:val="18"/>
        </w:rPr>
        <w:t>i.e.</w:t>
      </w:r>
      <w:r>
        <w:rPr>
          <w:spacing w:val="-12"/>
          <w:sz w:val="18"/>
        </w:rPr>
        <w:t> </w:t>
      </w:r>
      <w:r>
        <w:rPr>
          <w:sz w:val="18"/>
        </w:rPr>
        <w:t>Q2,</w:t>
      </w:r>
      <w:r>
        <w:rPr>
          <w:spacing w:val="-9"/>
          <w:sz w:val="18"/>
        </w:rPr>
        <w:t> </w:t>
      </w:r>
      <w:r>
        <w:rPr>
          <w:sz w:val="18"/>
        </w:rPr>
        <w:t>FY 2021</w:t>
      </w:r>
    </w:p>
    <w:p>
      <w:pPr>
        <w:spacing w:line="247" w:lineRule="auto" w:before="40"/>
        <w:ind w:left="2169" w:right="48" w:hanging="1640"/>
        <w:jc w:val="left"/>
        <w:rPr>
          <w:sz w:val="18"/>
        </w:rPr>
      </w:pPr>
      <w:r>
        <w:rPr>
          <w:sz w:val="18"/>
        </w:rPr>
        <w:t>Envisaged to be paid over Q3, FY 2021 to Q1, 2024</w:t>
      </w:r>
    </w:p>
    <w:p>
      <w:pPr>
        <w:spacing w:after="0" w:line="247" w:lineRule="auto"/>
        <w:jc w:val="left"/>
        <w:rPr>
          <w:sz w:val="18"/>
        </w:rPr>
        <w:sectPr>
          <w:type w:val="continuous"/>
          <w:pgSz w:w="11910" w:h="16840"/>
          <w:pgMar w:top="800" w:bottom="280" w:left="500" w:right="520"/>
          <w:cols w:num="2" w:equalWidth="0">
            <w:col w:w="5761" w:space="543"/>
            <w:col w:w="4586"/>
          </w:cols>
        </w:sectPr>
      </w:pPr>
    </w:p>
    <w:p>
      <w:pPr>
        <w:pStyle w:val="BodyText"/>
        <w:spacing w:before="4"/>
        <w:rPr>
          <w:sz w:val="3"/>
        </w:rPr>
      </w:pPr>
    </w:p>
    <w:p>
      <w:pPr>
        <w:pStyle w:val="BodyText"/>
        <w:spacing w:line="20" w:lineRule="exact"/>
        <w:ind w:left="220"/>
        <w:rPr>
          <w:sz w:val="2"/>
        </w:rPr>
      </w:pPr>
      <w:r>
        <w:rPr>
          <w:sz w:val="2"/>
        </w:rPr>
        <w:pict>
          <v:group style="width:523.6pt;height:.75pt;mso-position-horizontal-relative:char;mso-position-vertical-relative:line" coordorigin="0,0" coordsize="10472,15">
            <v:rect style="position:absolute;left:0;top:0;width:10472;height:15" filled="true" fillcolor="#69bd28" stroked="false">
              <v:fill type="solid"/>
            </v:rect>
          </v:group>
        </w:pict>
      </w:r>
      <w:r>
        <w:rPr>
          <w:sz w:val="2"/>
        </w:rPr>
      </w:r>
    </w:p>
    <w:p>
      <w:pPr>
        <w:tabs>
          <w:tab w:pos="4653" w:val="left" w:leader="none"/>
          <w:tab w:pos="7261" w:val="left" w:leader="none"/>
        </w:tabs>
        <w:spacing w:before="168"/>
        <w:ind w:left="1079" w:right="0" w:firstLine="0"/>
        <w:jc w:val="left"/>
        <w:rPr>
          <w:sz w:val="18"/>
        </w:rPr>
      </w:pPr>
      <w:r>
        <w:rPr>
          <w:sz w:val="18"/>
        </w:rPr>
        <w:t>Annual</w:t>
      </w:r>
      <w:r>
        <w:rPr>
          <w:spacing w:val="-14"/>
          <w:sz w:val="18"/>
        </w:rPr>
        <w:t> </w:t>
      </w:r>
      <w:r>
        <w:rPr>
          <w:sz w:val="18"/>
        </w:rPr>
        <w:t>Lease</w:t>
      </w:r>
      <w:r>
        <w:rPr>
          <w:spacing w:val="-12"/>
          <w:sz w:val="18"/>
        </w:rPr>
        <w:t> </w:t>
      </w:r>
      <w:r>
        <w:rPr>
          <w:sz w:val="18"/>
        </w:rPr>
        <w:t>Payment</w:t>
        <w:tab/>
        <w:t>INR</w:t>
      </w:r>
      <w:r>
        <w:rPr>
          <w:spacing w:val="7"/>
          <w:sz w:val="18"/>
        </w:rPr>
        <w:t> </w:t>
      </w:r>
      <w:r>
        <w:rPr>
          <w:sz w:val="18"/>
        </w:rPr>
        <w:t>0.10</w:t>
      </w:r>
      <w:r>
        <w:rPr>
          <w:spacing w:val="8"/>
          <w:sz w:val="18"/>
        </w:rPr>
        <w:t> </w:t>
      </w:r>
      <w:r>
        <w:rPr>
          <w:sz w:val="18"/>
        </w:rPr>
        <w:t>mn</w:t>
        <w:tab/>
        <w:t>Fixed pay-out without any</w:t>
      </w:r>
      <w:r>
        <w:rPr>
          <w:spacing w:val="-41"/>
          <w:sz w:val="18"/>
        </w:rPr>
        <w:t> </w:t>
      </w:r>
      <w:r>
        <w:rPr>
          <w:sz w:val="18"/>
        </w:rPr>
        <w:t>escalation</w:t>
      </w:r>
    </w:p>
    <w:p>
      <w:pPr>
        <w:pStyle w:val="BodyText"/>
        <w:spacing w:before="2"/>
        <w:rPr>
          <w:sz w:val="11"/>
        </w:rPr>
      </w:pPr>
      <w:r>
        <w:rPr/>
        <w:pict>
          <v:rect style="position:absolute;margin-left:35.280003pt;margin-top:8.473270pt;width:524.280025pt;height:.72pt;mso-position-horizontal-relative:page;mso-position-vertical-relative:paragraph;z-index:-15520256;mso-wrap-distance-left:0;mso-wrap-distance-right:0" filled="true" fillcolor="#69bd28" stroked="false">
            <v:fill type="solid"/>
            <w10:wrap type="topAndBottom"/>
          </v:rect>
        </w:pict>
      </w:r>
    </w:p>
    <w:p>
      <w:pPr>
        <w:spacing w:before="0"/>
        <w:ind w:left="220" w:right="0" w:firstLine="0"/>
        <w:jc w:val="left"/>
        <w:rPr>
          <w:i/>
          <w:sz w:val="18"/>
        </w:rPr>
      </w:pPr>
      <w:r>
        <w:rPr>
          <w:i/>
          <w:sz w:val="18"/>
        </w:rPr>
        <w:t>Source Client Input</w:t>
      </w:r>
    </w:p>
    <w:p>
      <w:pPr>
        <w:pStyle w:val="BodyText"/>
        <w:spacing w:before="10"/>
        <w:rPr>
          <w:i/>
          <w:sz w:val="26"/>
        </w:rPr>
      </w:pPr>
    </w:p>
    <w:p>
      <w:pPr>
        <w:pStyle w:val="BodyText"/>
        <w:spacing w:line="321" w:lineRule="auto"/>
        <w:ind w:left="782" w:right="192"/>
        <w:jc w:val="both"/>
      </w:pPr>
      <w:r>
        <w:rPr/>
        <w:t>Based</w:t>
      </w:r>
      <w:r>
        <w:rPr>
          <w:spacing w:val="-13"/>
        </w:rPr>
        <w:t> </w:t>
      </w:r>
      <w:r>
        <w:rPr/>
        <w:t>on</w:t>
      </w:r>
      <w:r>
        <w:rPr>
          <w:spacing w:val="-12"/>
        </w:rPr>
        <w:t> </w:t>
      </w:r>
      <w:r>
        <w:rPr/>
        <w:t>information</w:t>
      </w:r>
      <w:r>
        <w:rPr>
          <w:spacing w:val="-13"/>
        </w:rPr>
        <w:t> </w:t>
      </w:r>
      <w:r>
        <w:rPr/>
        <w:t>provided</w:t>
      </w:r>
      <w:r>
        <w:rPr>
          <w:spacing w:val="-12"/>
        </w:rPr>
        <w:t> </w:t>
      </w:r>
      <w:r>
        <w:rPr/>
        <w:t>by</w:t>
      </w:r>
      <w:r>
        <w:rPr>
          <w:spacing w:val="-12"/>
        </w:rPr>
        <w:t> </w:t>
      </w:r>
      <w:r>
        <w:rPr/>
        <w:t>the</w:t>
      </w:r>
      <w:r>
        <w:rPr>
          <w:spacing w:val="-14"/>
        </w:rPr>
        <w:t> </w:t>
      </w:r>
      <w:r>
        <w:rPr/>
        <w:t>Client</w:t>
      </w:r>
      <w:r>
        <w:rPr>
          <w:spacing w:val="-9"/>
        </w:rPr>
        <w:t> </w:t>
      </w:r>
      <w:r>
        <w:rPr/>
        <w:t>and</w:t>
      </w:r>
      <w:r>
        <w:rPr>
          <w:spacing w:val="-14"/>
        </w:rPr>
        <w:t> </w:t>
      </w:r>
      <w:r>
        <w:rPr/>
        <w:t>under</w:t>
      </w:r>
      <w:r>
        <w:rPr>
          <w:spacing w:val="-14"/>
        </w:rPr>
        <w:t> </w:t>
      </w:r>
      <w:r>
        <w:rPr/>
        <w:t>Co-developer</w:t>
      </w:r>
      <w:r>
        <w:rPr>
          <w:spacing w:val="-13"/>
        </w:rPr>
        <w:t> </w:t>
      </w:r>
      <w:r>
        <w:rPr/>
        <w:t>agreement</w:t>
      </w:r>
      <w:r>
        <w:rPr>
          <w:spacing w:val="-11"/>
        </w:rPr>
        <w:t> </w:t>
      </w:r>
      <w:r>
        <w:rPr/>
        <w:t>dated</w:t>
      </w:r>
      <w:r>
        <w:rPr>
          <w:spacing w:val="-12"/>
        </w:rPr>
        <w:t> </w:t>
      </w:r>
      <w:r>
        <w:rPr/>
        <w:t>30</w:t>
      </w:r>
      <w:r>
        <w:rPr>
          <w:vertAlign w:val="superscript"/>
        </w:rPr>
        <w:t>th</w:t>
      </w:r>
      <w:r>
        <w:rPr>
          <w:spacing w:val="-13"/>
          <w:vertAlign w:val="baseline"/>
        </w:rPr>
        <w:t> </w:t>
      </w:r>
      <w:r>
        <w:rPr>
          <w:vertAlign w:val="baseline"/>
        </w:rPr>
        <w:t>December 2019,</w:t>
      </w:r>
      <w:r>
        <w:rPr>
          <w:spacing w:val="-28"/>
          <w:vertAlign w:val="baseline"/>
        </w:rPr>
        <w:t> </w:t>
      </w:r>
      <w:r>
        <w:rPr>
          <w:vertAlign w:val="baseline"/>
        </w:rPr>
        <w:t>EPDPL</w:t>
      </w:r>
      <w:r>
        <w:rPr>
          <w:spacing w:val="-26"/>
          <w:vertAlign w:val="baseline"/>
        </w:rPr>
        <w:t> </w:t>
      </w:r>
      <w:r>
        <w:rPr>
          <w:vertAlign w:val="baseline"/>
        </w:rPr>
        <w:t>is</w:t>
      </w:r>
      <w:r>
        <w:rPr>
          <w:spacing w:val="-26"/>
          <w:vertAlign w:val="baseline"/>
        </w:rPr>
        <w:t> </w:t>
      </w:r>
      <w:r>
        <w:rPr>
          <w:vertAlign w:val="baseline"/>
        </w:rPr>
        <w:t>in</w:t>
      </w:r>
      <w:r>
        <w:rPr>
          <w:spacing w:val="-28"/>
          <w:vertAlign w:val="baseline"/>
        </w:rPr>
        <w:t> </w:t>
      </w:r>
      <w:r>
        <w:rPr>
          <w:vertAlign w:val="baseline"/>
        </w:rPr>
        <w:t>process</w:t>
      </w:r>
      <w:r>
        <w:rPr>
          <w:spacing w:val="-27"/>
          <w:vertAlign w:val="baseline"/>
        </w:rPr>
        <w:t> </w:t>
      </w:r>
      <w:r>
        <w:rPr>
          <w:vertAlign w:val="baseline"/>
        </w:rPr>
        <w:t>of</w:t>
      </w:r>
      <w:r>
        <w:rPr>
          <w:spacing w:val="-26"/>
          <w:vertAlign w:val="baseline"/>
        </w:rPr>
        <w:t> </w:t>
      </w:r>
      <w:r>
        <w:rPr>
          <w:vertAlign w:val="baseline"/>
        </w:rPr>
        <w:t>acquisition</w:t>
      </w:r>
      <w:r>
        <w:rPr>
          <w:spacing w:val="-27"/>
          <w:vertAlign w:val="baseline"/>
        </w:rPr>
        <w:t> </w:t>
      </w:r>
      <w:r>
        <w:rPr>
          <w:vertAlign w:val="baseline"/>
        </w:rPr>
        <w:t>of</w:t>
      </w:r>
      <w:r>
        <w:rPr>
          <w:spacing w:val="-26"/>
          <w:vertAlign w:val="baseline"/>
        </w:rPr>
        <w:t> </w:t>
      </w:r>
      <w:r>
        <w:rPr>
          <w:vertAlign w:val="baseline"/>
        </w:rPr>
        <w:t>TDR</w:t>
      </w:r>
      <w:r>
        <w:rPr>
          <w:spacing w:val="-27"/>
          <w:vertAlign w:val="baseline"/>
        </w:rPr>
        <w:t> </w:t>
      </w:r>
      <w:r>
        <w:rPr>
          <w:vertAlign w:val="baseline"/>
        </w:rPr>
        <w:t>which</w:t>
      </w:r>
      <w:r>
        <w:rPr>
          <w:spacing w:val="-27"/>
          <w:vertAlign w:val="baseline"/>
        </w:rPr>
        <w:t> </w:t>
      </w:r>
      <w:r>
        <w:rPr>
          <w:vertAlign w:val="baseline"/>
        </w:rPr>
        <w:t>can</w:t>
      </w:r>
      <w:r>
        <w:rPr>
          <w:spacing w:val="-25"/>
          <w:vertAlign w:val="baseline"/>
        </w:rPr>
        <w:t> </w:t>
      </w:r>
      <w:r>
        <w:rPr>
          <w:vertAlign w:val="baseline"/>
        </w:rPr>
        <w:t>be</w:t>
      </w:r>
      <w:r>
        <w:rPr>
          <w:spacing w:val="-27"/>
          <w:vertAlign w:val="baseline"/>
        </w:rPr>
        <w:t> </w:t>
      </w:r>
      <w:r>
        <w:rPr>
          <w:vertAlign w:val="baseline"/>
        </w:rPr>
        <w:t>utilized</w:t>
      </w:r>
      <w:r>
        <w:rPr>
          <w:spacing w:val="-27"/>
          <w:vertAlign w:val="baseline"/>
        </w:rPr>
        <w:t> </w:t>
      </w:r>
      <w:r>
        <w:rPr>
          <w:vertAlign w:val="baseline"/>
        </w:rPr>
        <w:t>to</w:t>
      </w:r>
      <w:r>
        <w:rPr>
          <w:spacing w:val="-26"/>
          <w:vertAlign w:val="baseline"/>
        </w:rPr>
        <w:t> </w:t>
      </w:r>
      <w:r>
        <w:rPr>
          <w:vertAlign w:val="baseline"/>
        </w:rPr>
        <w:t>construct</w:t>
      </w:r>
      <w:r>
        <w:rPr>
          <w:spacing w:val="-27"/>
          <w:vertAlign w:val="baseline"/>
        </w:rPr>
        <w:t> </w:t>
      </w:r>
      <w:r>
        <w:rPr>
          <w:vertAlign w:val="baseline"/>
        </w:rPr>
        <w:t>additional</w:t>
      </w:r>
      <w:r>
        <w:rPr>
          <w:spacing w:val="-27"/>
          <w:vertAlign w:val="baseline"/>
        </w:rPr>
        <w:t> </w:t>
      </w:r>
      <w:r>
        <w:rPr>
          <w:vertAlign w:val="baseline"/>
        </w:rPr>
        <w:t>area</w:t>
      </w:r>
      <w:r>
        <w:rPr>
          <w:spacing w:val="-25"/>
          <w:vertAlign w:val="baseline"/>
        </w:rPr>
        <w:t> </w:t>
      </w:r>
      <w:r>
        <w:rPr>
          <w:vertAlign w:val="baseline"/>
        </w:rPr>
        <w:t>as</w:t>
      </w:r>
      <w:r>
        <w:rPr>
          <w:spacing w:val="-26"/>
          <w:vertAlign w:val="baseline"/>
        </w:rPr>
        <w:t> </w:t>
      </w:r>
      <w:r>
        <w:rPr>
          <w:vertAlign w:val="baseline"/>
        </w:rPr>
        <w:t>part of</w:t>
      </w:r>
      <w:r>
        <w:rPr>
          <w:spacing w:val="-8"/>
          <w:vertAlign w:val="baseline"/>
        </w:rPr>
        <w:t> </w:t>
      </w:r>
      <w:r>
        <w:rPr>
          <w:vertAlign w:val="baseline"/>
        </w:rPr>
        <w:t>Block</w:t>
      </w:r>
      <w:r>
        <w:rPr>
          <w:spacing w:val="-9"/>
          <w:vertAlign w:val="baseline"/>
        </w:rPr>
        <w:t> </w:t>
      </w:r>
      <w:r>
        <w:rPr>
          <w:vertAlign w:val="baseline"/>
        </w:rPr>
        <w:t>M3,</w:t>
      </w:r>
      <w:r>
        <w:rPr>
          <w:spacing w:val="-8"/>
          <w:vertAlign w:val="baseline"/>
        </w:rPr>
        <w:t> </w:t>
      </w:r>
      <w:r>
        <w:rPr>
          <w:vertAlign w:val="baseline"/>
        </w:rPr>
        <w:t>(called</w:t>
      </w:r>
      <w:r>
        <w:rPr>
          <w:spacing w:val="-9"/>
          <w:vertAlign w:val="baseline"/>
        </w:rPr>
        <w:t> </w:t>
      </w:r>
      <w:r>
        <w:rPr>
          <w:vertAlign w:val="baseline"/>
        </w:rPr>
        <w:t>Block</w:t>
      </w:r>
      <w:r>
        <w:rPr>
          <w:spacing w:val="-9"/>
          <w:vertAlign w:val="baseline"/>
        </w:rPr>
        <w:t> </w:t>
      </w:r>
      <w:r>
        <w:rPr>
          <w:vertAlign w:val="baseline"/>
        </w:rPr>
        <w:t>M3</w:t>
      </w:r>
      <w:r>
        <w:rPr>
          <w:spacing w:val="-7"/>
          <w:vertAlign w:val="baseline"/>
        </w:rPr>
        <w:t> </w:t>
      </w:r>
      <w:r>
        <w:rPr>
          <w:w w:val="105"/>
          <w:vertAlign w:val="baseline"/>
        </w:rPr>
        <w:t>–</w:t>
      </w:r>
      <w:r>
        <w:rPr>
          <w:spacing w:val="-11"/>
          <w:w w:val="105"/>
          <w:vertAlign w:val="baseline"/>
        </w:rPr>
        <w:t> </w:t>
      </w:r>
      <w:r>
        <w:rPr>
          <w:vertAlign w:val="baseline"/>
        </w:rPr>
        <w:t>Phase</w:t>
      </w:r>
      <w:r>
        <w:rPr>
          <w:spacing w:val="-9"/>
          <w:vertAlign w:val="baseline"/>
        </w:rPr>
        <w:t> </w:t>
      </w:r>
      <w:r>
        <w:rPr>
          <w:vertAlign w:val="baseline"/>
        </w:rPr>
        <w:t>2)</w:t>
      </w:r>
      <w:r>
        <w:rPr>
          <w:spacing w:val="-9"/>
          <w:vertAlign w:val="baseline"/>
        </w:rPr>
        <w:t> </w:t>
      </w:r>
      <w:r>
        <w:rPr>
          <w:vertAlign w:val="baseline"/>
        </w:rPr>
        <w:t>for</w:t>
      </w:r>
      <w:r>
        <w:rPr>
          <w:spacing w:val="-9"/>
          <w:vertAlign w:val="baseline"/>
        </w:rPr>
        <w:t> </w:t>
      </w:r>
      <w:r>
        <w:rPr>
          <w:vertAlign w:val="baseline"/>
        </w:rPr>
        <w:t>an</w:t>
      </w:r>
      <w:r>
        <w:rPr>
          <w:spacing w:val="-8"/>
          <w:vertAlign w:val="baseline"/>
        </w:rPr>
        <w:t> </w:t>
      </w:r>
      <w:r>
        <w:rPr>
          <w:vertAlign w:val="baseline"/>
        </w:rPr>
        <w:t>area</w:t>
      </w:r>
      <w:r>
        <w:rPr>
          <w:spacing w:val="-9"/>
          <w:vertAlign w:val="baseline"/>
        </w:rPr>
        <w:t> </w:t>
      </w:r>
      <w:r>
        <w:rPr>
          <w:vertAlign w:val="baseline"/>
        </w:rPr>
        <w:t>totalling</w:t>
      </w:r>
      <w:r>
        <w:rPr>
          <w:spacing w:val="-8"/>
          <w:vertAlign w:val="baseline"/>
        </w:rPr>
        <w:t> </w:t>
      </w:r>
      <w:r>
        <w:rPr>
          <w:vertAlign w:val="baseline"/>
        </w:rPr>
        <w:t>597,789</w:t>
      </w:r>
      <w:r>
        <w:rPr>
          <w:spacing w:val="-8"/>
          <w:vertAlign w:val="baseline"/>
        </w:rPr>
        <w:t> </w:t>
      </w:r>
      <w:r>
        <w:rPr>
          <w:vertAlign w:val="baseline"/>
        </w:rPr>
        <w:t>sft.</w:t>
      </w:r>
      <w:r>
        <w:rPr>
          <w:spacing w:val="-10"/>
          <w:vertAlign w:val="baseline"/>
        </w:rPr>
        <w:t> </w:t>
      </w:r>
      <w:r>
        <w:rPr>
          <w:vertAlign w:val="baseline"/>
        </w:rPr>
        <w:t>This</w:t>
      </w:r>
      <w:r>
        <w:rPr>
          <w:spacing w:val="-9"/>
          <w:vertAlign w:val="baseline"/>
        </w:rPr>
        <w:t> </w:t>
      </w:r>
      <w:r>
        <w:rPr>
          <w:vertAlign w:val="baseline"/>
        </w:rPr>
        <w:t>will</w:t>
      </w:r>
      <w:r>
        <w:rPr>
          <w:spacing w:val="-9"/>
          <w:vertAlign w:val="baseline"/>
        </w:rPr>
        <w:t> </w:t>
      </w:r>
      <w:r>
        <w:rPr>
          <w:vertAlign w:val="baseline"/>
        </w:rPr>
        <w:t>be</w:t>
      </w:r>
      <w:r>
        <w:rPr>
          <w:spacing w:val="-9"/>
          <w:vertAlign w:val="baseline"/>
        </w:rPr>
        <w:t> </w:t>
      </w:r>
      <w:r>
        <w:rPr>
          <w:vertAlign w:val="baseline"/>
        </w:rPr>
        <w:t>an</w:t>
      </w:r>
      <w:r>
        <w:rPr>
          <w:spacing w:val="-8"/>
          <w:vertAlign w:val="baseline"/>
        </w:rPr>
        <w:t> </w:t>
      </w:r>
      <w:r>
        <w:rPr>
          <w:vertAlign w:val="baseline"/>
        </w:rPr>
        <w:t>expansion</w:t>
      </w:r>
      <w:r>
        <w:rPr>
          <w:spacing w:val="-8"/>
          <w:vertAlign w:val="baseline"/>
        </w:rPr>
        <w:t> </w:t>
      </w:r>
      <w:r>
        <w:rPr>
          <w:vertAlign w:val="baseline"/>
        </w:rPr>
        <w:t>to Phase</w:t>
      </w:r>
      <w:r>
        <w:rPr>
          <w:spacing w:val="-11"/>
          <w:vertAlign w:val="baseline"/>
        </w:rPr>
        <w:t> </w:t>
      </w:r>
      <w:r>
        <w:rPr>
          <w:vertAlign w:val="baseline"/>
        </w:rPr>
        <w:t>1.</w:t>
      </w:r>
      <w:r>
        <w:rPr>
          <w:spacing w:val="-10"/>
          <w:vertAlign w:val="baseline"/>
        </w:rPr>
        <w:t> </w:t>
      </w:r>
      <w:r>
        <w:rPr>
          <w:vertAlign w:val="baseline"/>
        </w:rPr>
        <w:t>EPDPL</w:t>
      </w:r>
      <w:r>
        <w:rPr>
          <w:spacing w:val="-10"/>
          <w:vertAlign w:val="baseline"/>
        </w:rPr>
        <w:t> </w:t>
      </w:r>
      <w:r>
        <w:rPr>
          <w:vertAlign w:val="baseline"/>
        </w:rPr>
        <w:t>has</w:t>
      </w:r>
      <w:r>
        <w:rPr>
          <w:spacing w:val="-8"/>
          <w:vertAlign w:val="baseline"/>
        </w:rPr>
        <w:t> </w:t>
      </w:r>
      <w:r>
        <w:rPr>
          <w:vertAlign w:val="baseline"/>
        </w:rPr>
        <w:t>assisted</w:t>
      </w:r>
      <w:r>
        <w:rPr>
          <w:spacing w:val="-9"/>
          <w:vertAlign w:val="baseline"/>
        </w:rPr>
        <w:t> </w:t>
      </w:r>
      <w:r>
        <w:rPr>
          <w:vertAlign w:val="baseline"/>
        </w:rPr>
        <w:t>MPPL</w:t>
      </w:r>
      <w:r>
        <w:rPr>
          <w:spacing w:val="-10"/>
          <w:vertAlign w:val="baseline"/>
        </w:rPr>
        <w:t> </w:t>
      </w:r>
      <w:r>
        <w:rPr>
          <w:vertAlign w:val="baseline"/>
        </w:rPr>
        <w:t>to</w:t>
      </w:r>
      <w:r>
        <w:rPr>
          <w:spacing w:val="-11"/>
          <w:vertAlign w:val="baseline"/>
        </w:rPr>
        <w:t> </w:t>
      </w:r>
      <w:r>
        <w:rPr>
          <w:vertAlign w:val="baseline"/>
        </w:rPr>
        <w:t>obtain</w:t>
      </w:r>
      <w:r>
        <w:rPr>
          <w:spacing w:val="-11"/>
          <w:vertAlign w:val="baseline"/>
        </w:rPr>
        <w:t> </w:t>
      </w:r>
      <w:r>
        <w:rPr>
          <w:vertAlign w:val="baseline"/>
        </w:rPr>
        <w:t>co-developer</w:t>
      </w:r>
      <w:r>
        <w:rPr>
          <w:spacing w:val="-11"/>
          <w:vertAlign w:val="baseline"/>
        </w:rPr>
        <w:t> </w:t>
      </w:r>
      <w:r>
        <w:rPr>
          <w:vertAlign w:val="baseline"/>
        </w:rPr>
        <w:t>status</w:t>
      </w:r>
      <w:r>
        <w:rPr>
          <w:spacing w:val="-9"/>
          <w:vertAlign w:val="baseline"/>
        </w:rPr>
        <w:t> </w:t>
      </w:r>
      <w:r>
        <w:rPr>
          <w:vertAlign w:val="baseline"/>
        </w:rPr>
        <w:t>as</w:t>
      </w:r>
      <w:r>
        <w:rPr>
          <w:spacing w:val="-11"/>
          <w:vertAlign w:val="baseline"/>
        </w:rPr>
        <w:t> </w:t>
      </w:r>
      <w:r>
        <w:rPr>
          <w:vertAlign w:val="baseline"/>
        </w:rPr>
        <w:t>per</w:t>
      </w:r>
      <w:r>
        <w:rPr>
          <w:spacing w:val="-11"/>
          <w:vertAlign w:val="baseline"/>
        </w:rPr>
        <w:t> </w:t>
      </w:r>
      <w:r>
        <w:rPr>
          <w:vertAlign w:val="baseline"/>
        </w:rPr>
        <w:t>provisions</w:t>
      </w:r>
      <w:r>
        <w:rPr>
          <w:spacing w:val="-10"/>
          <w:vertAlign w:val="baseline"/>
        </w:rPr>
        <w:t> </w:t>
      </w:r>
      <w:r>
        <w:rPr>
          <w:vertAlign w:val="baseline"/>
        </w:rPr>
        <w:t>of</w:t>
      </w:r>
      <w:r>
        <w:rPr>
          <w:spacing w:val="-9"/>
          <w:vertAlign w:val="baseline"/>
        </w:rPr>
        <w:t> </w:t>
      </w:r>
      <w:r>
        <w:rPr>
          <w:vertAlign w:val="baseline"/>
        </w:rPr>
        <w:t>SEZ</w:t>
      </w:r>
      <w:r>
        <w:rPr>
          <w:spacing w:val="-10"/>
          <w:vertAlign w:val="baseline"/>
        </w:rPr>
        <w:t> </w:t>
      </w:r>
      <w:r>
        <w:rPr>
          <w:vertAlign w:val="baseline"/>
        </w:rPr>
        <w:t>Act</w:t>
      </w:r>
      <w:r>
        <w:rPr>
          <w:spacing w:val="-7"/>
          <w:vertAlign w:val="baseline"/>
        </w:rPr>
        <w:t> </w:t>
      </w:r>
      <w:r>
        <w:rPr>
          <w:vertAlign w:val="baseline"/>
        </w:rPr>
        <w:t>for</w:t>
      </w:r>
      <w:r>
        <w:rPr>
          <w:spacing w:val="-11"/>
          <w:vertAlign w:val="baseline"/>
        </w:rPr>
        <w:t> </w:t>
      </w:r>
      <w:r>
        <w:rPr>
          <w:vertAlign w:val="baseline"/>
        </w:rPr>
        <w:t>Phase 1,</w:t>
      </w:r>
      <w:r>
        <w:rPr>
          <w:spacing w:val="-17"/>
          <w:vertAlign w:val="baseline"/>
        </w:rPr>
        <w:t> </w:t>
      </w:r>
      <w:r>
        <w:rPr>
          <w:vertAlign w:val="baseline"/>
        </w:rPr>
        <w:t>which</w:t>
      </w:r>
      <w:r>
        <w:rPr>
          <w:spacing w:val="-16"/>
          <w:vertAlign w:val="baseline"/>
        </w:rPr>
        <w:t> </w:t>
      </w:r>
      <w:r>
        <w:rPr>
          <w:vertAlign w:val="baseline"/>
        </w:rPr>
        <w:t>will</w:t>
      </w:r>
      <w:r>
        <w:rPr>
          <w:spacing w:val="-17"/>
          <w:vertAlign w:val="baseline"/>
        </w:rPr>
        <w:t> </w:t>
      </w:r>
      <w:r>
        <w:rPr>
          <w:vertAlign w:val="baseline"/>
        </w:rPr>
        <w:t>now</w:t>
      </w:r>
      <w:r>
        <w:rPr>
          <w:spacing w:val="-16"/>
          <w:vertAlign w:val="baseline"/>
        </w:rPr>
        <w:t> </w:t>
      </w:r>
      <w:r>
        <w:rPr>
          <w:vertAlign w:val="baseline"/>
        </w:rPr>
        <w:t>be</w:t>
      </w:r>
      <w:r>
        <w:rPr>
          <w:spacing w:val="-17"/>
          <w:vertAlign w:val="baseline"/>
        </w:rPr>
        <w:t> </w:t>
      </w:r>
      <w:r>
        <w:rPr>
          <w:vertAlign w:val="baseline"/>
        </w:rPr>
        <w:t>extended</w:t>
      </w:r>
      <w:r>
        <w:rPr>
          <w:spacing w:val="-16"/>
          <w:vertAlign w:val="baseline"/>
        </w:rPr>
        <w:t> </w:t>
      </w:r>
      <w:r>
        <w:rPr>
          <w:vertAlign w:val="baseline"/>
        </w:rPr>
        <w:t>to</w:t>
      </w:r>
      <w:r>
        <w:rPr>
          <w:spacing w:val="-16"/>
          <w:vertAlign w:val="baseline"/>
        </w:rPr>
        <w:t> </w:t>
      </w:r>
      <w:r>
        <w:rPr>
          <w:vertAlign w:val="baseline"/>
        </w:rPr>
        <w:t>Phase</w:t>
      </w:r>
      <w:r>
        <w:rPr>
          <w:spacing w:val="-17"/>
          <w:vertAlign w:val="baseline"/>
        </w:rPr>
        <w:t> </w:t>
      </w:r>
      <w:r>
        <w:rPr>
          <w:vertAlign w:val="baseline"/>
        </w:rPr>
        <w:t>2</w:t>
      </w:r>
      <w:r>
        <w:rPr>
          <w:spacing w:val="-17"/>
          <w:vertAlign w:val="baseline"/>
        </w:rPr>
        <w:t> </w:t>
      </w:r>
      <w:r>
        <w:rPr>
          <w:vertAlign w:val="baseline"/>
        </w:rPr>
        <w:t>as</w:t>
      </w:r>
      <w:r>
        <w:rPr>
          <w:spacing w:val="-15"/>
          <w:vertAlign w:val="baseline"/>
        </w:rPr>
        <w:t> </w:t>
      </w:r>
      <w:r>
        <w:rPr>
          <w:vertAlign w:val="baseline"/>
        </w:rPr>
        <w:t>well.</w:t>
      </w:r>
      <w:r>
        <w:rPr>
          <w:spacing w:val="-16"/>
          <w:vertAlign w:val="baseline"/>
        </w:rPr>
        <w:t> </w:t>
      </w:r>
      <w:r>
        <w:rPr>
          <w:vertAlign w:val="baseline"/>
        </w:rPr>
        <w:t>Client</w:t>
      </w:r>
      <w:r>
        <w:rPr>
          <w:spacing w:val="-16"/>
          <w:vertAlign w:val="baseline"/>
        </w:rPr>
        <w:t> </w:t>
      </w:r>
      <w:r>
        <w:rPr>
          <w:vertAlign w:val="baseline"/>
        </w:rPr>
        <w:t>will</w:t>
      </w:r>
      <w:r>
        <w:rPr>
          <w:spacing w:val="-17"/>
          <w:vertAlign w:val="baseline"/>
        </w:rPr>
        <w:t> </w:t>
      </w:r>
      <w:r>
        <w:rPr>
          <w:vertAlign w:val="baseline"/>
        </w:rPr>
        <w:t>be</w:t>
      </w:r>
      <w:r>
        <w:rPr>
          <w:spacing w:val="-17"/>
          <w:vertAlign w:val="baseline"/>
        </w:rPr>
        <w:t> </w:t>
      </w:r>
      <w:r>
        <w:rPr>
          <w:vertAlign w:val="baseline"/>
        </w:rPr>
        <w:t>getting</w:t>
      </w:r>
      <w:r>
        <w:rPr>
          <w:spacing w:val="-15"/>
          <w:vertAlign w:val="baseline"/>
        </w:rPr>
        <w:t> </w:t>
      </w:r>
      <w:r>
        <w:rPr>
          <w:vertAlign w:val="baseline"/>
        </w:rPr>
        <w:t>the</w:t>
      </w:r>
      <w:r>
        <w:rPr>
          <w:spacing w:val="-17"/>
          <w:vertAlign w:val="baseline"/>
        </w:rPr>
        <w:t> </w:t>
      </w:r>
      <w:r>
        <w:rPr>
          <w:vertAlign w:val="baseline"/>
        </w:rPr>
        <w:t>rights</w:t>
      </w:r>
      <w:r>
        <w:rPr>
          <w:spacing w:val="-16"/>
          <w:vertAlign w:val="baseline"/>
        </w:rPr>
        <w:t> </w:t>
      </w:r>
      <w:r>
        <w:rPr>
          <w:vertAlign w:val="baseline"/>
        </w:rPr>
        <w:t>to</w:t>
      </w:r>
      <w:r>
        <w:rPr>
          <w:spacing w:val="-16"/>
          <w:vertAlign w:val="baseline"/>
        </w:rPr>
        <w:t> </w:t>
      </w:r>
      <w:r>
        <w:rPr>
          <w:vertAlign w:val="baseline"/>
        </w:rPr>
        <w:t>contracted</w:t>
      </w:r>
      <w:r>
        <w:rPr>
          <w:spacing w:val="-15"/>
          <w:vertAlign w:val="baseline"/>
        </w:rPr>
        <w:t> </w:t>
      </w:r>
      <w:r>
        <w:rPr>
          <w:vertAlign w:val="baseline"/>
        </w:rPr>
        <w:t>NOI</w:t>
      </w:r>
      <w:r>
        <w:rPr>
          <w:spacing w:val="-18"/>
          <w:vertAlign w:val="baseline"/>
        </w:rPr>
        <w:t> </w:t>
      </w:r>
      <w:r>
        <w:rPr>
          <w:vertAlign w:val="baseline"/>
        </w:rPr>
        <w:t>of INR</w:t>
      </w:r>
      <w:r>
        <w:rPr>
          <w:spacing w:val="-24"/>
          <w:vertAlign w:val="baseline"/>
        </w:rPr>
        <w:t> </w:t>
      </w:r>
      <w:r>
        <w:rPr>
          <w:vertAlign w:val="baseline"/>
        </w:rPr>
        <w:t>95.0</w:t>
      </w:r>
      <w:r>
        <w:rPr>
          <w:spacing w:val="-24"/>
          <w:vertAlign w:val="baseline"/>
        </w:rPr>
        <w:t> </w:t>
      </w:r>
      <w:r>
        <w:rPr>
          <w:vertAlign w:val="baseline"/>
        </w:rPr>
        <w:t>psf</w:t>
      </w:r>
      <w:r>
        <w:rPr>
          <w:spacing w:val="-23"/>
          <w:vertAlign w:val="baseline"/>
        </w:rPr>
        <w:t> </w:t>
      </w:r>
      <w:r>
        <w:rPr>
          <w:vertAlign w:val="baseline"/>
        </w:rPr>
        <w:t>pm</w:t>
      </w:r>
      <w:r>
        <w:rPr>
          <w:spacing w:val="-23"/>
          <w:vertAlign w:val="baseline"/>
        </w:rPr>
        <w:t> </w:t>
      </w:r>
      <w:r>
        <w:rPr>
          <w:vertAlign w:val="baseline"/>
        </w:rPr>
        <w:t>(subject</w:t>
      </w:r>
      <w:r>
        <w:rPr>
          <w:spacing w:val="-22"/>
          <w:vertAlign w:val="baseline"/>
        </w:rPr>
        <w:t> </w:t>
      </w:r>
      <w:r>
        <w:rPr>
          <w:vertAlign w:val="baseline"/>
        </w:rPr>
        <w:t>to</w:t>
      </w:r>
      <w:r>
        <w:rPr>
          <w:spacing w:val="-23"/>
          <w:vertAlign w:val="baseline"/>
        </w:rPr>
        <w:t> </w:t>
      </w:r>
      <w:r>
        <w:rPr>
          <w:vertAlign w:val="baseline"/>
        </w:rPr>
        <w:t>escalation</w:t>
      </w:r>
      <w:r>
        <w:rPr>
          <w:spacing w:val="-23"/>
          <w:vertAlign w:val="baseline"/>
        </w:rPr>
        <w:t> </w:t>
      </w:r>
      <w:r>
        <w:rPr>
          <w:vertAlign w:val="baseline"/>
        </w:rPr>
        <w:t>of</w:t>
      </w:r>
      <w:r>
        <w:rPr>
          <w:spacing w:val="-23"/>
          <w:vertAlign w:val="baseline"/>
        </w:rPr>
        <w:t> </w:t>
      </w:r>
      <w:r>
        <w:rPr>
          <w:vertAlign w:val="baseline"/>
        </w:rPr>
        <w:t>15%</w:t>
      </w:r>
      <w:r>
        <w:rPr>
          <w:spacing w:val="-23"/>
          <w:vertAlign w:val="baseline"/>
        </w:rPr>
        <w:t> </w:t>
      </w:r>
      <w:r>
        <w:rPr>
          <w:vertAlign w:val="baseline"/>
        </w:rPr>
        <w:t>every</w:t>
      </w:r>
      <w:r>
        <w:rPr>
          <w:spacing w:val="-22"/>
          <w:vertAlign w:val="baseline"/>
        </w:rPr>
        <w:t> </w:t>
      </w:r>
      <w:r>
        <w:rPr>
          <w:vertAlign w:val="baseline"/>
        </w:rPr>
        <w:t>3</w:t>
      </w:r>
      <w:r>
        <w:rPr>
          <w:spacing w:val="-23"/>
          <w:vertAlign w:val="baseline"/>
        </w:rPr>
        <w:t> </w:t>
      </w:r>
      <w:r>
        <w:rPr>
          <w:vertAlign w:val="baseline"/>
        </w:rPr>
        <w:t>years)</w:t>
      </w:r>
      <w:r>
        <w:rPr>
          <w:spacing w:val="-23"/>
          <w:vertAlign w:val="baseline"/>
        </w:rPr>
        <w:t> </w:t>
      </w:r>
      <w:r>
        <w:rPr>
          <w:vertAlign w:val="baseline"/>
        </w:rPr>
        <w:t>from</w:t>
      </w:r>
      <w:r>
        <w:rPr>
          <w:spacing w:val="-23"/>
          <w:vertAlign w:val="baseline"/>
        </w:rPr>
        <w:t> </w:t>
      </w:r>
      <w:r>
        <w:rPr>
          <w:vertAlign w:val="baseline"/>
        </w:rPr>
        <w:t>the</w:t>
      </w:r>
      <w:r>
        <w:rPr>
          <w:spacing w:val="-24"/>
          <w:vertAlign w:val="baseline"/>
        </w:rPr>
        <w:t> </w:t>
      </w:r>
      <w:r>
        <w:rPr>
          <w:vertAlign w:val="baseline"/>
        </w:rPr>
        <w:t>date</w:t>
      </w:r>
      <w:r>
        <w:rPr>
          <w:spacing w:val="-23"/>
          <w:vertAlign w:val="baseline"/>
        </w:rPr>
        <w:t> </w:t>
      </w:r>
      <w:r>
        <w:rPr>
          <w:vertAlign w:val="baseline"/>
        </w:rPr>
        <w:t>of</w:t>
      </w:r>
      <w:r>
        <w:rPr>
          <w:spacing w:val="-22"/>
          <w:vertAlign w:val="baseline"/>
        </w:rPr>
        <w:t> </w:t>
      </w:r>
      <w:r>
        <w:rPr>
          <w:vertAlign w:val="baseline"/>
        </w:rPr>
        <w:t>operation</w:t>
      </w:r>
      <w:r>
        <w:rPr>
          <w:spacing w:val="-23"/>
          <w:vertAlign w:val="baseline"/>
        </w:rPr>
        <w:t> </w:t>
      </w:r>
      <w:r>
        <w:rPr>
          <w:vertAlign w:val="baseline"/>
        </w:rPr>
        <w:t>commencement of block M3 Phase 2. In addition, Client representative shall pay a development consideration of</w:t>
      </w:r>
      <w:r>
        <w:rPr>
          <w:spacing w:val="-45"/>
          <w:vertAlign w:val="baseline"/>
        </w:rPr>
        <w:t> </w:t>
      </w:r>
      <w:r>
        <w:rPr>
          <w:vertAlign w:val="baseline"/>
        </w:rPr>
        <w:t>INR 7,367</w:t>
      </w:r>
      <w:r>
        <w:rPr>
          <w:spacing w:val="-12"/>
          <w:vertAlign w:val="baseline"/>
        </w:rPr>
        <w:t> </w:t>
      </w:r>
      <w:r>
        <w:rPr>
          <w:vertAlign w:val="baseline"/>
        </w:rPr>
        <w:t>mn</w:t>
      </w:r>
      <w:r>
        <w:rPr>
          <w:spacing w:val="-11"/>
          <w:vertAlign w:val="baseline"/>
        </w:rPr>
        <w:t> </w:t>
      </w:r>
      <w:r>
        <w:rPr>
          <w:vertAlign w:val="baseline"/>
        </w:rPr>
        <w:t>(out</w:t>
      </w:r>
      <w:r>
        <w:rPr>
          <w:spacing w:val="-11"/>
          <w:vertAlign w:val="baseline"/>
        </w:rPr>
        <w:t> </w:t>
      </w:r>
      <w:r>
        <w:rPr>
          <w:vertAlign w:val="baseline"/>
        </w:rPr>
        <w:t>of</w:t>
      </w:r>
      <w:r>
        <w:rPr>
          <w:spacing w:val="-11"/>
          <w:vertAlign w:val="baseline"/>
        </w:rPr>
        <w:t> </w:t>
      </w:r>
      <w:r>
        <w:rPr>
          <w:vertAlign w:val="baseline"/>
        </w:rPr>
        <w:t>which</w:t>
      </w:r>
      <w:r>
        <w:rPr>
          <w:spacing w:val="-11"/>
          <w:vertAlign w:val="baseline"/>
        </w:rPr>
        <w:t> </w:t>
      </w:r>
      <w:r>
        <w:rPr>
          <w:vertAlign w:val="baseline"/>
        </w:rPr>
        <w:t>INR</w:t>
      </w:r>
      <w:r>
        <w:rPr>
          <w:spacing w:val="-10"/>
          <w:vertAlign w:val="baseline"/>
        </w:rPr>
        <w:t> </w:t>
      </w:r>
      <w:r>
        <w:rPr>
          <w:vertAlign w:val="baseline"/>
        </w:rPr>
        <w:t>4,256</w:t>
      </w:r>
      <w:r>
        <w:rPr>
          <w:spacing w:val="-11"/>
          <w:vertAlign w:val="baseline"/>
        </w:rPr>
        <w:t> </w:t>
      </w:r>
      <w:r>
        <w:rPr>
          <w:vertAlign w:val="baseline"/>
        </w:rPr>
        <w:t>mn</w:t>
      </w:r>
      <w:r>
        <w:rPr>
          <w:spacing w:val="-12"/>
          <w:vertAlign w:val="baseline"/>
        </w:rPr>
        <w:t> </w:t>
      </w:r>
      <w:r>
        <w:rPr>
          <w:vertAlign w:val="baseline"/>
        </w:rPr>
        <w:t>has</w:t>
      </w:r>
      <w:r>
        <w:rPr>
          <w:spacing w:val="-9"/>
          <w:vertAlign w:val="baseline"/>
        </w:rPr>
        <w:t> </w:t>
      </w:r>
      <w:r>
        <w:rPr>
          <w:vertAlign w:val="baseline"/>
        </w:rPr>
        <w:t>been</w:t>
      </w:r>
      <w:r>
        <w:rPr>
          <w:spacing w:val="-12"/>
          <w:vertAlign w:val="baseline"/>
        </w:rPr>
        <w:t> </w:t>
      </w:r>
      <w:r>
        <w:rPr>
          <w:vertAlign w:val="baseline"/>
        </w:rPr>
        <w:t>paid</w:t>
      </w:r>
      <w:r>
        <w:rPr>
          <w:spacing w:val="-10"/>
          <w:vertAlign w:val="baseline"/>
        </w:rPr>
        <w:t> </w:t>
      </w:r>
      <w:r>
        <w:rPr>
          <w:vertAlign w:val="baseline"/>
        </w:rPr>
        <w:t>as</w:t>
      </w:r>
      <w:r>
        <w:rPr>
          <w:spacing w:val="-10"/>
          <w:vertAlign w:val="baseline"/>
        </w:rPr>
        <w:t> </w:t>
      </w:r>
      <w:r>
        <w:rPr>
          <w:vertAlign w:val="baseline"/>
        </w:rPr>
        <w:t>on</w:t>
      </w:r>
      <w:r>
        <w:rPr>
          <w:spacing w:val="-11"/>
          <w:vertAlign w:val="baseline"/>
        </w:rPr>
        <w:t> </w:t>
      </w:r>
      <w:r>
        <w:rPr>
          <w:vertAlign w:val="baseline"/>
        </w:rPr>
        <w:t>date</w:t>
      </w:r>
      <w:r>
        <w:rPr>
          <w:spacing w:val="-12"/>
          <w:vertAlign w:val="baseline"/>
        </w:rPr>
        <w:t> </w:t>
      </w:r>
      <w:r>
        <w:rPr>
          <w:vertAlign w:val="baseline"/>
        </w:rPr>
        <w:t>of</w:t>
      </w:r>
      <w:r>
        <w:rPr>
          <w:spacing w:val="-10"/>
          <w:vertAlign w:val="baseline"/>
        </w:rPr>
        <w:t> </w:t>
      </w:r>
      <w:r>
        <w:rPr>
          <w:vertAlign w:val="baseline"/>
        </w:rPr>
        <w:t>valuation).</w:t>
      </w:r>
      <w:r>
        <w:rPr>
          <w:spacing w:val="-9"/>
          <w:vertAlign w:val="baseline"/>
        </w:rPr>
        <w:t> </w:t>
      </w:r>
      <w:r>
        <w:rPr>
          <w:vertAlign w:val="baseline"/>
        </w:rPr>
        <w:t>The</w:t>
      </w:r>
      <w:r>
        <w:rPr>
          <w:spacing w:val="-12"/>
          <w:vertAlign w:val="baseline"/>
        </w:rPr>
        <w:t> </w:t>
      </w:r>
      <w:r>
        <w:rPr>
          <w:vertAlign w:val="baseline"/>
        </w:rPr>
        <w:t>above</w:t>
      </w:r>
      <w:r>
        <w:rPr>
          <w:spacing w:val="-12"/>
          <w:vertAlign w:val="baseline"/>
        </w:rPr>
        <w:t> </w:t>
      </w:r>
      <w:r>
        <w:rPr>
          <w:vertAlign w:val="baseline"/>
        </w:rPr>
        <w:t>consideration will be paid in the following</w:t>
      </w:r>
      <w:r>
        <w:rPr>
          <w:spacing w:val="-23"/>
          <w:vertAlign w:val="baseline"/>
        </w:rPr>
        <w:t> </w:t>
      </w:r>
      <w:r>
        <w:rPr>
          <w:vertAlign w:val="baseline"/>
        </w:rPr>
        <w:t>tranches:</w:t>
      </w:r>
    </w:p>
    <w:p>
      <w:pPr>
        <w:pStyle w:val="ListParagraph"/>
        <w:numPr>
          <w:ilvl w:val="4"/>
          <w:numId w:val="34"/>
        </w:numPr>
        <w:tabs>
          <w:tab w:pos="1577" w:val="left" w:leader="none"/>
        </w:tabs>
        <w:spacing w:line="240" w:lineRule="auto" w:before="122" w:after="0"/>
        <w:ind w:left="1576" w:right="0" w:hanging="361"/>
        <w:jc w:val="both"/>
        <w:rPr>
          <w:sz w:val="22"/>
        </w:rPr>
      </w:pPr>
      <w:r>
        <w:rPr>
          <w:sz w:val="22"/>
        </w:rPr>
        <w:t>INR</w:t>
      </w:r>
      <w:r>
        <w:rPr>
          <w:spacing w:val="-6"/>
          <w:sz w:val="22"/>
        </w:rPr>
        <w:t> </w:t>
      </w:r>
      <w:r>
        <w:rPr>
          <w:sz w:val="22"/>
        </w:rPr>
        <w:t>4,256</w:t>
      </w:r>
      <w:r>
        <w:rPr>
          <w:spacing w:val="-6"/>
          <w:sz w:val="22"/>
        </w:rPr>
        <w:t> </w:t>
      </w:r>
      <w:r>
        <w:rPr>
          <w:sz w:val="22"/>
        </w:rPr>
        <w:t>mn</w:t>
      </w:r>
      <w:r>
        <w:rPr>
          <w:spacing w:val="-7"/>
          <w:sz w:val="22"/>
        </w:rPr>
        <w:t> </w:t>
      </w:r>
      <w:r>
        <w:rPr>
          <w:sz w:val="22"/>
        </w:rPr>
        <w:t>as</w:t>
      </w:r>
      <w:r>
        <w:rPr>
          <w:spacing w:val="-5"/>
          <w:sz w:val="22"/>
        </w:rPr>
        <w:t> </w:t>
      </w:r>
      <w:r>
        <w:rPr>
          <w:sz w:val="22"/>
        </w:rPr>
        <w:t>initial</w:t>
      </w:r>
      <w:r>
        <w:rPr>
          <w:spacing w:val="-7"/>
          <w:sz w:val="22"/>
        </w:rPr>
        <w:t> </w:t>
      </w:r>
      <w:r>
        <w:rPr>
          <w:sz w:val="22"/>
        </w:rPr>
        <w:t>payment</w:t>
      </w:r>
      <w:r>
        <w:rPr>
          <w:spacing w:val="-5"/>
          <w:sz w:val="22"/>
        </w:rPr>
        <w:t> </w:t>
      </w:r>
      <w:r>
        <w:rPr>
          <w:sz w:val="22"/>
        </w:rPr>
        <w:t>(the</w:t>
      </w:r>
      <w:r>
        <w:rPr>
          <w:spacing w:val="-6"/>
          <w:sz w:val="22"/>
        </w:rPr>
        <w:t> </w:t>
      </w:r>
      <w:r>
        <w:rPr>
          <w:sz w:val="22"/>
        </w:rPr>
        <w:t>same</w:t>
      </w:r>
      <w:r>
        <w:rPr>
          <w:spacing w:val="-6"/>
          <w:sz w:val="22"/>
        </w:rPr>
        <w:t> </w:t>
      </w:r>
      <w:r>
        <w:rPr>
          <w:sz w:val="22"/>
        </w:rPr>
        <w:t>is</w:t>
      </w:r>
      <w:r>
        <w:rPr>
          <w:spacing w:val="-7"/>
          <w:sz w:val="22"/>
        </w:rPr>
        <w:t> </w:t>
      </w:r>
      <w:r>
        <w:rPr>
          <w:sz w:val="22"/>
        </w:rPr>
        <w:t>paid</w:t>
      </w:r>
      <w:r>
        <w:rPr>
          <w:spacing w:val="-8"/>
          <w:sz w:val="22"/>
        </w:rPr>
        <w:t> </w:t>
      </w:r>
      <w:r>
        <w:rPr>
          <w:sz w:val="22"/>
        </w:rPr>
        <w:t>as</w:t>
      </w:r>
      <w:r>
        <w:rPr>
          <w:spacing w:val="-5"/>
          <w:sz w:val="22"/>
        </w:rPr>
        <w:t> </w:t>
      </w:r>
      <w:r>
        <w:rPr>
          <w:sz w:val="22"/>
        </w:rPr>
        <w:t>of</w:t>
      </w:r>
      <w:r>
        <w:rPr>
          <w:spacing w:val="-4"/>
          <w:sz w:val="22"/>
        </w:rPr>
        <w:t> </w:t>
      </w:r>
      <w:r>
        <w:rPr>
          <w:sz w:val="22"/>
        </w:rPr>
        <w:t>date</w:t>
      </w:r>
      <w:r>
        <w:rPr>
          <w:spacing w:val="-6"/>
          <w:sz w:val="22"/>
        </w:rPr>
        <w:t> </w:t>
      </w:r>
      <w:r>
        <w:rPr>
          <w:sz w:val="22"/>
        </w:rPr>
        <w:t>of</w:t>
      </w:r>
      <w:r>
        <w:rPr>
          <w:spacing w:val="-5"/>
          <w:sz w:val="22"/>
        </w:rPr>
        <w:t> </w:t>
      </w:r>
      <w:r>
        <w:rPr>
          <w:sz w:val="22"/>
        </w:rPr>
        <w:t>valuation).</w:t>
      </w:r>
    </w:p>
    <w:p>
      <w:pPr>
        <w:pStyle w:val="ListParagraph"/>
        <w:numPr>
          <w:ilvl w:val="4"/>
          <w:numId w:val="34"/>
        </w:numPr>
        <w:tabs>
          <w:tab w:pos="1577" w:val="left" w:leader="none"/>
        </w:tabs>
        <w:spacing w:line="240" w:lineRule="auto" w:before="203" w:after="0"/>
        <w:ind w:left="1576" w:right="0" w:hanging="361"/>
        <w:jc w:val="both"/>
        <w:rPr>
          <w:sz w:val="22"/>
        </w:rPr>
      </w:pPr>
      <w:r>
        <w:rPr>
          <w:sz w:val="22"/>
        </w:rPr>
        <w:t>INR 1,109 mn to be upon acquisition of</w:t>
      </w:r>
      <w:r>
        <w:rPr>
          <w:spacing w:val="-22"/>
          <w:sz w:val="22"/>
        </w:rPr>
        <w:t> </w:t>
      </w:r>
      <w:r>
        <w:rPr>
          <w:sz w:val="22"/>
        </w:rPr>
        <w:t>TDR.</w:t>
      </w:r>
    </w:p>
    <w:p>
      <w:pPr>
        <w:pStyle w:val="ListParagraph"/>
        <w:numPr>
          <w:ilvl w:val="4"/>
          <w:numId w:val="34"/>
        </w:numPr>
        <w:tabs>
          <w:tab w:pos="1577" w:val="left" w:leader="none"/>
        </w:tabs>
        <w:spacing w:line="240" w:lineRule="auto" w:before="200" w:after="0"/>
        <w:ind w:left="1576" w:right="0" w:hanging="361"/>
        <w:jc w:val="both"/>
        <w:rPr>
          <w:sz w:val="22"/>
        </w:rPr>
      </w:pPr>
      <w:r>
        <w:rPr>
          <w:sz w:val="22"/>
        </w:rPr>
        <w:t>INR 2,002 mn to be paid during the course of</w:t>
      </w:r>
      <w:r>
        <w:rPr>
          <w:spacing w:val="-40"/>
          <w:sz w:val="22"/>
        </w:rPr>
        <w:t> </w:t>
      </w:r>
      <w:r>
        <w:rPr>
          <w:sz w:val="22"/>
        </w:rPr>
        <w:t>construction.</w:t>
      </w:r>
    </w:p>
    <w:p>
      <w:pPr>
        <w:pStyle w:val="BodyText"/>
        <w:spacing w:before="208"/>
        <w:ind w:left="786"/>
        <w:jc w:val="both"/>
      </w:pPr>
      <w:r>
        <w:rPr/>
        <w:t>Further, revenue from this block would accrue in line with revenues from Phase 1.</w:t>
      </w:r>
    </w:p>
    <w:p>
      <w:pPr>
        <w:pStyle w:val="BodyText"/>
        <w:spacing w:line="321" w:lineRule="auto" w:before="208"/>
        <w:ind w:left="782" w:right="198"/>
        <w:jc w:val="both"/>
      </w:pPr>
      <w:r>
        <w:rPr/>
        <w:t>Additionally,</w:t>
      </w:r>
      <w:r>
        <w:rPr>
          <w:spacing w:val="-7"/>
        </w:rPr>
        <w:t> </w:t>
      </w:r>
      <w:r>
        <w:rPr/>
        <w:t>as</w:t>
      </w:r>
      <w:r>
        <w:rPr>
          <w:spacing w:val="-7"/>
        </w:rPr>
        <w:t> </w:t>
      </w:r>
      <w:r>
        <w:rPr/>
        <w:t>per</w:t>
      </w:r>
      <w:r>
        <w:rPr>
          <w:spacing w:val="-7"/>
        </w:rPr>
        <w:t> </w:t>
      </w:r>
      <w:r>
        <w:rPr/>
        <w:t>the</w:t>
      </w:r>
      <w:r>
        <w:rPr>
          <w:spacing w:val="-8"/>
        </w:rPr>
        <w:t> </w:t>
      </w:r>
      <w:r>
        <w:rPr/>
        <w:t>co-developer</w:t>
      </w:r>
      <w:r>
        <w:rPr>
          <w:spacing w:val="-7"/>
        </w:rPr>
        <w:t> </w:t>
      </w:r>
      <w:r>
        <w:rPr/>
        <w:t>agreement,</w:t>
      </w:r>
      <w:r>
        <w:rPr>
          <w:spacing w:val="-8"/>
        </w:rPr>
        <w:t> </w:t>
      </w:r>
      <w:r>
        <w:rPr/>
        <w:t>it</w:t>
      </w:r>
      <w:r>
        <w:rPr>
          <w:spacing w:val="-6"/>
        </w:rPr>
        <w:t> </w:t>
      </w:r>
      <w:r>
        <w:rPr/>
        <w:t>is</w:t>
      </w:r>
      <w:r>
        <w:rPr>
          <w:spacing w:val="-6"/>
        </w:rPr>
        <w:t> </w:t>
      </w:r>
      <w:r>
        <w:rPr/>
        <w:t>understood</w:t>
      </w:r>
      <w:r>
        <w:rPr>
          <w:spacing w:val="-6"/>
        </w:rPr>
        <w:t> </w:t>
      </w:r>
      <w:r>
        <w:rPr/>
        <w:t>that</w:t>
      </w:r>
      <w:r>
        <w:rPr>
          <w:spacing w:val="-7"/>
        </w:rPr>
        <w:t> </w:t>
      </w:r>
      <w:r>
        <w:rPr/>
        <w:t>MPPL</w:t>
      </w:r>
      <w:r>
        <w:rPr>
          <w:spacing w:val="-6"/>
        </w:rPr>
        <w:t> </w:t>
      </w:r>
      <w:r>
        <w:rPr/>
        <w:t>is</w:t>
      </w:r>
      <w:r>
        <w:rPr>
          <w:spacing w:val="-6"/>
        </w:rPr>
        <w:t> </w:t>
      </w:r>
      <w:r>
        <w:rPr/>
        <w:t>entitled</w:t>
      </w:r>
      <w:r>
        <w:rPr>
          <w:spacing w:val="-6"/>
        </w:rPr>
        <w:t> </w:t>
      </w:r>
      <w:r>
        <w:rPr/>
        <w:t>to</w:t>
      </w:r>
      <w:r>
        <w:rPr>
          <w:spacing w:val="-6"/>
        </w:rPr>
        <w:t> </w:t>
      </w:r>
      <w:r>
        <w:rPr/>
        <w:t>receive</w:t>
      </w:r>
      <w:r>
        <w:rPr>
          <w:spacing w:val="-7"/>
        </w:rPr>
        <w:t> </w:t>
      </w:r>
      <w:r>
        <w:rPr/>
        <w:t>an interest</w:t>
      </w:r>
      <w:r>
        <w:rPr>
          <w:spacing w:val="-30"/>
        </w:rPr>
        <w:t> </w:t>
      </w:r>
      <w:r>
        <w:rPr/>
        <w:t>income</w:t>
      </w:r>
      <w:r>
        <w:rPr>
          <w:spacing w:val="-30"/>
        </w:rPr>
        <w:t> </w:t>
      </w:r>
      <w:r>
        <w:rPr/>
        <w:t>(payable</w:t>
      </w:r>
      <w:r>
        <w:rPr>
          <w:spacing w:val="-32"/>
        </w:rPr>
        <w:t> </w:t>
      </w:r>
      <w:r>
        <w:rPr/>
        <w:t>every</w:t>
      </w:r>
      <w:r>
        <w:rPr>
          <w:spacing w:val="-30"/>
        </w:rPr>
        <w:t> </w:t>
      </w:r>
      <w:r>
        <w:rPr/>
        <w:t>quarter),</w:t>
      </w:r>
      <w:r>
        <w:rPr>
          <w:spacing w:val="-30"/>
        </w:rPr>
        <w:t> </w:t>
      </w:r>
      <w:r>
        <w:rPr/>
        <w:t>wherein</w:t>
      </w:r>
      <w:r>
        <w:rPr>
          <w:spacing w:val="-30"/>
        </w:rPr>
        <w:t> </w:t>
      </w:r>
      <w:r>
        <w:rPr/>
        <w:t>interest</w:t>
      </w:r>
      <w:r>
        <w:rPr>
          <w:spacing w:val="-30"/>
        </w:rPr>
        <w:t> </w:t>
      </w:r>
      <w:r>
        <w:rPr/>
        <w:t>rate</w:t>
      </w:r>
      <w:r>
        <w:rPr>
          <w:spacing w:val="-30"/>
        </w:rPr>
        <w:t> </w:t>
      </w:r>
      <w:r>
        <w:rPr/>
        <w:t>is</w:t>
      </w:r>
      <w:r>
        <w:rPr>
          <w:spacing w:val="-30"/>
        </w:rPr>
        <w:t> </w:t>
      </w:r>
      <w:r>
        <w:rPr/>
        <w:t>calculated</w:t>
      </w:r>
      <w:r>
        <w:rPr>
          <w:spacing w:val="-29"/>
        </w:rPr>
        <w:t> </w:t>
      </w:r>
      <w:r>
        <w:rPr/>
        <w:t>per</w:t>
      </w:r>
      <w:r>
        <w:rPr>
          <w:spacing w:val="-30"/>
        </w:rPr>
        <w:t> </w:t>
      </w:r>
      <w:r>
        <w:rPr/>
        <w:t>annum,</w:t>
      </w:r>
      <w:r>
        <w:rPr>
          <w:spacing w:val="-30"/>
        </w:rPr>
        <w:t> </w:t>
      </w:r>
      <w:r>
        <w:rPr/>
        <w:t>as</w:t>
      </w:r>
      <w:r>
        <w:rPr>
          <w:spacing w:val="-30"/>
        </w:rPr>
        <w:t> </w:t>
      </w:r>
      <w:r>
        <w:rPr/>
        <w:t>the</w:t>
      </w:r>
      <w:r>
        <w:rPr>
          <w:spacing w:val="-30"/>
        </w:rPr>
        <w:t> </w:t>
      </w:r>
      <w:r>
        <w:rPr/>
        <w:t>higher</w:t>
      </w:r>
      <w:r>
        <w:rPr>
          <w:spacing w:val="-31"/>
        </w:rPr>
        <w:t> </w:t>
      </w:r>
      <w:r>
        <w:rPr/>
        <w:t>of</w:t>
      </w:r>
    </w:p>
    <w:p>
      <w:pPr>
        <w:pStyle w:val="ListParagraph"/>
        <w:numPr>
          <w:ilvl w:val="0"/>
          <w:numId w:val="35"/>
        </w:numPr>
        <w:tabs>
          <w:tab w:pos="1015" w:val="left" w:leader="none"/>
        </w:tabs>
        <w:spacing w:line="321" w:lineRule="auto" w:before="1" w:after="0"/>
        <w:ind w:left="782" w:right="194" w:firstLine="0"/>
        <w:jc w:val="both"/>
        <w:rPr>
          <w:sz w:val="22"/>
        </w:rPr>
      </w:pPr>
      <w:r>
        <w:rPr>
          <w:sz w:val="22"/>
        </w:rPr>
        <w:t>9.25%</w:t>
      </w:r>
      <w:r>
        <w:rPr>
          <w:spacing w:val="-46"/>
          <w:sz w:val="22"/>
        </w:rPr>
        <w:t> </w:t>
      </w:r>
      <w:r>
        <w:rPr>
          <w:sz w:val="22"/>
        </w:rPr>
        <w:t>per</w:t>
      </w:r>
      <w:r>
        <w:rPr>
          <w:spacing w:val="-45"/>
          <w:sz w:val="22"/>
        </w:rPr>
        <w:t> </w:t>
      </w:r>
      <w:r>
        <w:rPr>
          <w:sz w:val="22"/>
        </w:rPr>
        <w:t>annum</w:t>
      </w:r>
      <w:r>
        <w:rPr>
          <w:spacing w:val="-44"/>
          <w:sz w:val="22"/>
        </w:rPr>
        <w:t> </w:t>
      </w:r>
      <w:r>
        <w:rPr>
          <w:sz w:val="22"/>
        </w:rPr>
        <w:t>and</w:t>
      </w:r>
      <w:r>
        <w:rPr>
          <w:spacing w:val="-45"/>
          <w:sz w:val="22"/>
        </w:rPr>
        <w:t> </w:t>
      </w:r>
      <w:r>
        <w:rPr>
          <w:sz w:val="22"/>
        </w:rPr>
        <w:t>(ii)</w:t>
      </w:r>
      <w:r>
        <w:rPr>
          <w:spacing w:val="-45"/>
          <w:sz w:val="22"/>
        </w:rPr>
        <w:t> </w:t>
      </w:r>
      <w:r>
        <w:rPr>
          <w:sz w:val="22"/>
        </w:rPr>
        <w:t>Base</w:t>
      </w:r>
      <w:r>
        <w:rPr>
          <w:spacing w:val="-45"/>
          <w:sz w:val="22"/>
        </w:rPr>
        <w:t> </w:t>
      </w:r>
      <w:r>
        <w:rPr>
          <w:sz w:val="22"/>
        </w:rPr>
        <w:t>Rate</w:t>
      </w:r>
      <w:r>
        <w:rPr>
          <w:spacing w:val="-45"/>
          <w:sz w:val="22"/>
        </w:rPr>
        <w:t> </w:t>
      </w:r>
      <w:r>
        <w:rPr>
          <w:sz w:val="22"/>
        </w:rPr>
        <w:t>(viz.</w:t>
      </w:r>
      <w:r>
        <w:rPr>
          <w:spacing w:val="-44"/>
          <w:sz w:val="22"/>
        </w:rPr>
        <w:t> </w:t>
      </w:r>
      <w:r>
        <w:rPr>
          <w:sz w:val="22"/>
        </w:rPr>
        <w:t>actual</w:t>
      </w:r>
      <w:r>
        <w:rPr>
          <w:spacing w:val="-45"/>
          <w:sz w:val="22"/>
        </w:rPr>
        <w:t> </w:t>
      </w:r>
      <w:r>
        <w:rPr>
          <w:sz w:val="22"/>
        </w:rPr>
        <w:t>all-inclusive</w:t>
      </w:r>
      <w:r>
        <w:rPr>
          <w:spacing w:val="-45"/>
          <w:sz w:val="22"/>
        </w:rPr>
        <w:t> </w:t>
      </w:r>
      <w:r>
        <w:rPr>
          <w:sz w:val="22"/>
        </w:rPr>
        <w:t>rate</w:t>
      </w:r>
      <w:r>
        <w:rPr>
          <w:spacing w:val="-45"/>
          <w:sz w:val="22"/>
        </w:rPr>
        <w:t> </w:t>
      </w:r>
      <w:r>
        <w:rPr>
          <w:sz w:val="22"/>
        </w:rPr>
        <w:t>of</w:t>
      </w:r>
      <w:r>
        <w:rPr>
          <w:spacing w:val="-44"/>
          <w:sz w:val="22"/>
        </w:rPr>
        <w:t> </w:t>
      </w:r>
      <w:r>
        <w:rPr>
          <w:sz w:val="22"/>
        </w:rPr>
        <w:t>availing</w:t>
      </w:r>
      <w:r>
        <w:rPr>
          <w:spacing w:val="-45"/>
          <w:sz w:val="22"/>
        </w:rPr>
        <w:t> </w:t>
      </w:r>
      <w:r>
        <w:rPr>
          <w:sz w:val="22"/>
        </w:rPr>
        <w:t>construction</w:t>
      </w:r>
      <w:r>
        <w:rPr>
          <w:spacing w:val="-45"/>
          <w:sz w:val="22"/>
        </w:rPr>
        <w:t> </w:t>
      </w:r>
      <w:r>
        <w:rPr>
          <w:sz w:val="22"/>
        </w:rPr>
        <w:t>finance</w:t>
      </w:r>
      <w:r>
        <w:rPr>
          <w:spacing w:val="-45"/>
          <w:sz w:val="22"/>
        </w:rPr>
        <w:t> </w:t>
      </w:r>
      <w:r>
        <w:rPr>
          <w:sz w:val="22"/>
        </w:rPr>
        <w:t>facility to</w:t>
      </w:r>
      <w:r>
        <w:rPr>
          <w:spacing w:val="-11"/>
          <w:sz w:val="22"/>
        </w:rPr>
        <w:t> </w:t>
      </w:r>
      <w:r>
        <w:rPr>
          <w:sz w:val="22"/>
        </w:rPr>
        <w:t>make</w:t>
      </w:r>
      <w:r>
        <w:rPr>
          <w:spacing w:val="-12"/>
          <w:sz w:val="22"/>
        </w:rPr>
        <w:t> </w:t>
      </w:r>
      <w:r>
        <w:rPr>
          <w:sz w:val="22"/>
        </w:rPr>
        <w:t>payment</w:t>
      </w:r>
      <w:r>
        <w:rPr>
          <w:spacing w:val="-11"/>
          <w:sz w:val="22"/>
        </w:rPr>
        <w:t> </w:t>
      </w:r>
      <w:r>
        <w:rPr>
          <w:sz w:val="22"/>
        </w:rPr>
        <w:t>of</w:t>
      </w:r>
      <w:r>
        <w:rPr>
          <w:spacing w:val="-9"/>
          <w:sz w:val="22"/>
        </w:rPr>
        <w:t> </w:t>
      </w:r>
      <w:r>
        <w:rPr>
          <w:sz w:val="22"/>
        </w:rPr>
        <w:t>the</w:t>
      </w:r>
      <w:r>
        <w:rPr>
          <w:spacing w:val="-10"/>
          <w:sz w:val="22"/>
        </w:rPr>
        <w:t> </w:t>
      </w:r>
      <w:r>
        <w:rPr>
          <w:sz w:val="22"/>
        </w:rPr>
        <w:t>Development</w:t>
      </w:r>
      <w:r>
        <w:rPr>
          <w:spacing w:val="-11"/>
          <w:sz w:val="22"/>
        </w:rPr>
        <w:t> </w:t>
      </w:r>
      <w:r>
        <w:rPr>
          <w:sz w:val="22"/>
        </w:rPr>
        <w:t>Consideration)</w:t>
      </w:r>
      <w:r>
        <w:rPr>
          <w:spacing w:val="-9"/>
          <w:sz w:val="22"/>
        </w:rPr>
        <w:t> </w:t>
      </w:r>
      <w:r>
        <w:rPr>
          <w:w w:val="130"/>
          <w:sz w:val="22"/>
        </w:rPr>
        <w:t>+</w:t>
      </w:r>
      <w:r>
        <w:rPr>
          <w:spacing w:val="-30"/>
          <w:w w:val="130"/>
          <w:sz w:val="22"/>
        </w:rPr>
        <w:t> </w:t>
      </w:r>
      <w:r>
        <w:rPr>
          <w:sz w:val="22"/>
        </w:rPr>
        <w:t>1%</w:t>
      </w:r>
      <w:r>
        <w:rPr>
          <w:spacing w:val="-11"/>
          <w:sz w:val="22"/>
        </w:rPr>
        <w:t> </w:t>
      </w:r>
      <w:r>
        <w:rPr>
          <w:sz w:val="22"/>
        </w:rPr>
        <w:t>till</w:t>
      </w:r>
      <w:r>
        <w:rPr>
          <w:spacing w:val="-11"/>
          <w:sz w:val="22"/>
        </w:rPr>
        <w:t> </w:t>
      </w:r>
      <w:r>
        <w:rPr>
          <w:sz w:val="22"/>
        </w:rPr>
        <w:t>March</w:t>
      </w:r>
      <w:r>
        <w:rPr>
          <w:spacing w:val="-12"/>
          <w:sz w:val="22"/>
        </w:rPr>
        <w:t> </w:t>
      </w:r>
      <w:r>
        <w:rPr>
          <w:sz w:val="22"/>
        </w:rPr>
        <w:t>31,</w:t>
      </w:r>
      <w:r>
        <w:rPr>
          <w:spacing w:val="-9"/>
          <w:sz w:val="22"/>
        </w:rPr>
        <w:t> </w:t>
      </w:r>
      <w:r>
        <w:rPr>
          <w:sz w:val="22"/>
        </w:rPr>
        <w:t>2023;</w:t>
      </w:r>
      <w:r>
        <w:rPr>
          <w:spacing w:val="-11"/>
          <w:sz w:val="22"/>
        </w:rPr>
        <w:t> </w:t>
      </w:r>
      <w:r>
        <w:rPr>
          <w:sz w:val="22"/>
        </w:rPr>
        <w:t>Base</w:t>
      </w:r>
      <w:r>
        <w:rPr>
          <w:spacing w:val="-12"/>
          <w:sz w:val="22"/>
        </w:rPr>
        <w:t> </w:t>
      </w:r>
      <w:r>
        <w:rPr>
          <w:sz w:val="22"/>
        </w:rPr>
        <w:t>Rate</w:t>
      </w:r>
      <w:r>
        <w:rPr>
          <w:spacing w:val="-11"/>
          <w:sz w:val="22"/>
        </w:rPr>
        <w:t> </w:t>
      </w:r>
      <w:r>
        <w:rPr>
          <w:w w:val="130"/>
          <w:sz w:val="22"/>
        </w:rPr>
        <w:t>+</w:t>
      </w:r>
      <w:r>
        <w:rPr>
          <w:spacing w:val="-29"/>
          <w:w w:val="130"/>
          <w:sz w:val="22"/>
        </w:rPr>
        <w:t> </w:t>
      </w:r>
      <w:r>
        <w:rPr>
          <w:sz w:val="22"/>
        </w:rPr>
        <w:t>1.5%</w:t>
      </w:r>
      <w:r>
        <w:rPr>
          <w:spacing w:val="-9"/>
          <w:sz w:val="22"/>
        </w:rPr>
        <w:t> </w:t>
      </w:r>
      <w:r>
        <w:rPr>
          <w:sz w:val="22"/>
        </w:rPr>
        <w:t>from April</w:t>
      </w:r>
      <w:r>
        <w:rPr>
          <w:spacing w:val="-5"/>
          <w:sz w:val="22"/>
        </w:rPr>
        <w:t> </w:t>
      </w:r>
      <w:r>
        <w:rPr>
          <w:sz w:val="22"/>
        </w:rPr>
        <w:t>1,</w:t>
      </w:r>
      <w:r>
        <w:rPr>
          <w:spacing w:val="-5"/>
          <w:sz w:val="22"/>
        </w:rPr>
        <w:t> </w:t>
      </w:r>
      <w:r>
        <w:rPr>
          <w:sz w:val="22"/>
        </w:rPr>
        <w:t>2023</w:t>
      </w:r>
      <w:r>
        <w:rPr>
          <w:spacing w:val="-5"/>
          <w:sz w:val="22"/>
        </w:rPr>
        <w:t> </w:t>
      </w:r>
      <w:r>
        <w:rPr>
          <w:sz w:val="22"/>
        </w:rPr>
        <w:t>to</w:t>
      </w:r>
      <w:r>
        <w:rPr>
          <w:spacing w:val="-5"/>
          <w:sz w:val="22"/>
        </w:rPr>
        <w:t> </w:t>
      </w:r>
      <w:r>
        <w:rPr>
          <w:sz w:val="22"/>
        </w:rPr>
        <w:t>December</w:t>
      </w:r>
      <w:r>
        <w:rPr>
          <w:spacing w:val="-5"/>
          <w:sz w:val="22"/>
        </w:rPr>
        <w:t> </w:t>
      </w:r>
      <w:r>
        <w:rPr>
          <w:sz w:val="22"/>
        </w:rPr>
        <w:t>31,</w:t>
      </w:r>
      <w:r>
        <w:rPr>
          <w:spacing w:val="-5"/>
          <w:sz w:val="22"/>
        </w:rPr>
        <w:t> </w:t>
      </w:r>
      <w:r>
        <w:rPr>
          <w:sz w:val="22"/>
        </w:rPr>
        <w:t>2023;</w:t>
      </w:r>
      <w:r>
        <w:rPr>
          <w:spacing w:val="-5"/>
          <w:sz w:val="22"/>
        </w:rPr>
        <w:t> </w:t>
      </w:r>
      <w:r>
        <w:rPr>
          <w:sz w:val="22"/>
        </w:rPr>
        <w:t>and</w:t>
      </w:r>
      <w:r>
        <w:rPr>
          <w:spacing w:val="-2"/>
          <w:sz w:val="22"/>
        </w:rPr>
        <w:t> </w:t>
      </w:r>
      <w:r>
        <w:rPr>
          <w:sz w:val="22"/>
        </w:rPr>
        <w:t>Base</w:t>
      </w:r>
      <w:r>
        <w:rPr>
          <w:spacing w:val="-5"/>
          <w:sz w:val="22"/>
        </w:rPr>
        <w:t> </w:t>
      </w:r>
      <w:r>
        <w:rPr>
          <w:sz w:val="22"/>
        </w:rPr>
        <w:t>Rate</w:t>
      </w:r>
      <w:r>
        <w:rPr>
          <w:spacing w:val="-4"/>
          <w:sz w:val="22"/>
        </w:rPr>
        <w:t> </w:t>
      </w:r>
      <w:r>
        <w:rPr>
          <w:w w:val="130"/>
          <w:sz w:val="22"/>
        </w:rPr>
        <w:t>+</w:t>
      </w:r>
      <w:r>
        <w:rPr>
          <w:spacing w:val="-23"/>
          <w:w w:val="130"/>
          <w:sz w:val="22"/>
        </w:rPr>
        <w:t> </w:t>
      </w:r>
      <w:r>
        <w:rPr>
          <w:sz w:val="22"/>
        </w:rPr>
        <w:t>2%</w:t>
      </w:r>
      <w:r>
        <w:rPr>
          <w:spacing w:val="-7"/>
          <w:sz w:val="22"/>
        </w:rPr>
        <w:t> </w:t>
      </w:r>
      <w:r>
        <w:rPr>
          <w:sz w:val="22"/>
        </w:rPr>
        <w:t>from</w:t>
      </w:r>
      <w:r>
        <w:rPr>
          <w:spacing w:val="-4"/>
          <w:sz w:val="22"/>
        </w:rPr>
        <w:t> </w:t>
      </w:r>
      <w:r>
        <w:rPr>
          <w:sz w:val="22"/>
        </w:rPr>
        <w:t>January</w:t>
      </w:r>
      <w:r>
        <w:rPr>
          <w:spacing w:val="-2"/>
          <w:sz w:val="22"/>
        </w:rPr>
        <w:t> </w:t>
      </w:r>
      <w:r>
        <w:rPr>
          <w:sz w:val="22"/>
        </w:rPr>
        <w:t>1,</w:t>
      </w:r>
      <w:r>
        <w:rPr>
          <w:spacing w:val="-5"/>
          <w:sz w:val="22"/>
        </w:rPr>
        <w:t> </w:t>
      </w:r>
      <w:r>
        <w:rPr>
          <w:sz w:val="22"/>
        </w:rPr>
        <w:t>2024</w:t>
      </w:r>
      <w:r>
        <w:rPr>
          <w:spacing w:val="-5"/>
          <w:sz w:val="22"/>
        </w:rPr>
        <w:t> </w:t>
      </w:r>
      <w:r>
        <w:rPr>
          <w:sz w:val="22"/>
        </w:rPr>
        <w:t>onwards.</w:t>
      </w:r>
      <w:r>
        <w:rPr>
          <w:spacing w:val="-7"/>
          <w:sz w:val="22"/>
        </w:rPr>
        <w:t> </w:t>
      </w:r>
      <w:r>
        <w:rPr>
          <w:sz w:val="22"/>
        </w:rPr>
        <w:t>The</w:t>
      </w:r>
      <w:r>
        <w:rPr>
          <w:spacing w:val="-6"/>
          <w:sz w:val="22"/>
        </w:rPr>
        <w:t> </w:t>
      </w:r>
      <w:r>
        <w:rPr>
          <w:sz w:val="22"/>
        </w:rPr>
        <w:t>interest income</w:t>
      </w:r>
      <w:r>
        <w:rPr>
          <w:spacing w:val="-6"/>
          <w:sz w:val="22"/>
        </w:rPr>
        <w:t> </w:t>
      </w:r>
      <w:r>
        <w:rPr>
          <w:sz w:val="22"/>
        </w:rPr>
        <w:t>will</w:t>
      </w:r>
      <w:r>
        <w:rPr>
          <w:spacing w:val="-6"/>
          <w:sz w:val="22"/>
        </w:rPr>
        <w:t> </w:t>
      </w:r>
      <w:r>
        <w:rPr>
          <w:sz w:val="22"/>
        </w:rPr>
        <w:t>be</w:t>
      </w:r>
      <w:r>
        <w:rPr>
          <w:spacing w:val="-5"/>
          <w:sz w:val="22"/>
        </w:rPr>
        <w:t> </w:t>
      </w:r>
      <w:r>
        <w:rPr>
          <w:sz w:val="22"/>
        </w:rPr>
        <w:t>computed</w:t>
      </w:r>
      <w:r>
        <w:rPr>
          <w:spacing w:val="-6"/>
          <w:sz w:val="22"/>
        </w:rPr>
        <w:t> </w:t>
      </w:r>
      <w:r>
        <w:rPr>
          <w:sz w:val="22"/>
        </w:rPr>
        <w:t>on</w:t>
      </w:r>
      <w:r>
        <w:rPr>
          <w:spacing w:val="-7"/>
          <w:sz w:val="22"/>
        </w:rPr>
        <w:t> </w:t>
      </w:r>
      <w:r>
        <w:rPr>
          <w:sz w:val="22"/>
        </w:rPr>
        <w:t>any</w:t>
      </w:r>
      <w:r>
        <w:rPr>
          <w:spacing w:val="-4"/>
          <w:sz w:val="22"/>
        </w:rPr>
        <w:t> </w:t>
      </w:r>
      <w:r>
        <w:rPr>
          <w:sz w:val="22"/>
        </w:rPr>
        <w:t>amount</w:t>
      </w:r>
      <w:r>
        <w:rPr>
          <w:spacing w:val="-5"/>
          <w:sz w:val="22"/>
        </w:rPr>
        <w:t> </w:t>
      </w:r>
      <w:r>
        <w:rPr>
          <w:sz w:val="22"/>
        </w:rPr>
        <w:t>disbursed</w:t>
      </w:r>
      <w:r>
        <w:rPr>
          <w:spacing w:val="-4"/>
          <w:sz w:val="22"/>
        </w:rPr>
        <w:t> </w:t>
      </w:r>
      <w:r>
        <w:rPr>
          <w:sz w:val="22"/>
        </w:rPr>
        <w:t>from</w:t>
      </w:r>
      <w:r>
        <w:rPr>
          <w:spacing w:val="-6"/>
          <w:sz w:val="22"/>
        </w:rPr>
        <w:t> </w:t>
      </w:r>
      <w:r>
        <w:rPr>
          <w:sz w:val="22"/>
        </w:rPr>
        <w:t>MPPL</w:t>
      </w:r>
      <w:r>
        <w:rPr>
          <w:spacing w:val="-5"/>
          <w:sz w:val="22"/>
        </w:rPr>
        <w:t> </w:t>
      </w:r>
      <w:r>
        <w:rPr>
          <w:sz w:val="22"/>
        </w:rPr>
        <w:t>to</w:t>
      </w:r>
      <w:r>
        <w:rPr>
          <w:spacing w:val="-5"/>
          <w:sz w:val="22"/>
        </w:rPr>
        <w:t> </w:t>
      </w:r>
      <w:r>
        <w:rPr>
          <w:sz w:val="22"/>
        </w:rPr>
        <w:t>EPDPL.</w:t>
      </w:r>
    </w:p>
    <w:p>
      <w:pPr>
        <w:pStyle w:val="ListParagraph"/>
        <w:numPr>
          <w:ilvl w:val="3"/>
          <w:numId w:val="34"/>
        </w:numPr>
        <w:tabs>
          <w:tab w:pos="1085" w:val="left" w:leader="none"/>
        </w:tabs>
        <w:spacing w:line="240" w:lineRule="auto" w:before="211" w:after="0"/>
        <w:ind w:left="1084" w:right="0" w:hanging="865"/>
        <w:jc w:val="both"/>
        <w:rPr>
          <w:i/>
          <w:sz w:val="20"/>
        </w:rPr>
      </w:pPr>
      <w:r>
        <w:rPr>
          <w:i/>
          <w:color w:val="008000"/>
          <w:sz w:val="20"/>
        </w:rPr>
        <w:t>Operating</w:t>
      </w:r>
      <w:r>
        <w:rPr>
          <w:i/>
          <w:color w:val="008000"/>
          <w:spacing w:val="-4"/>
          <w:sz w:val="20"/>
        </w:rPr>
        <w:t> </w:t>
      </w:r>
      <w:r>
        <w:rPr>
          <w:i/>
          <w:color w:val="008000"/>
          <w:sz w:val="20"/>
        </w:rPr>
        <w:t>Costs</w:t>
      </w:r>
    </w:p>
    <w:p>
      <w:pPr>
        <w:pStyle w:val="BodyText"/>
        <w:spacing w:line="321" w:lineRule="auto" w:before="76"/>
        <w:ind w:left="782" w:right="196"/>
        <w:jc w:val="both"/>
      </w:pPr>
      <w:r>
        <w:rPr/>
        <w:t>In</w:t>
      </w:r>
      <w:r>
        <w:rPr>
          <w:spacing w:val="-49"/>
        </w:rPr>
        <w:t> </w:t>
      </w:r>
      <w:r>
        <w:rPr/>
        <w:t>addition</w:t>
      </w:r>
      <w:r>
        <w:rPr>
          <w:spacing w:val="-49"/>
        </w:rPr>
        <w:t> </w:t>
      </w:r>
      <w:r>
        <w:rPr/>
        <w:t>to</w:t>
      </w:r>
      <w:r>
        <w:rPr>
          <w:spacing w:val="-48"/>
        </w:rPr>
        <w:t> </w:t>
      </w:r>
      <w:r>
        <w:rPr/>
        <w:t>capital</w:t>
      </w:r>
      <w:r>
        <w:rPr>
          <w:spacing w:val="-49"/>
        </w:rPr>
        <w:t> </w:t>
      </w:r>
      <w:r>
        <w:rPr/>
        <w:t>expenditure,</w:t>
      </w:r>
      <w:r>
        <w:rPr>
          <w:spacing w:val="-48"/>
        </w:rPr>
        <w:t> </w:t>
      </w:r>
      <w:r>
        <w:rPr/>
        <w:t>a</w:t>
      </w:r>
      <w:r>
        <w:rPr>
          <w:spacing w:val="-49"/>
        </w:rPr>
        <w:t> </w:t>
      </w:r>
      <w:r>
        <w:rPr/>
        <w:t>development</w:t>
      </w:r>
      <w:r>
        <w:rPr>
          <w:spacing w:val="-48"/>
        </w:rPr>
        <w:t> </w:t>
      </w:r>
      <w:r>
        <w:rPr/>
        <w:t>typically</w:t>
      </w:r>
      <w:r>
        <w:rPr>
          <w:spacing w:val="-49"/>
        </w:rPr>
        <w:t> </w:t>
      </w:r>
      <w:r>
        <w:rPr/>
        <w:t>has</w:t>
      </w:r>
      <w:r>
        <w:rPr>
          <w:spacing w:val="-48"/>
        </w:rPr>
        <w:t> </w:t>
      </w:r>
      <w:r>
        <w:rPr/>
        <w:t>few</w:t>
      </w:r>
      <w:r>
        <w:rPr>
          <w:spacing w:val="-48"/>
        </w:rPr>
        <w:t> </w:t>
      </w:r>
      <w:r>
        <w:rPr/>
        <w:t>recurring</w:t>
      </w:r>
      <w:r>
        <w:rPr>
          <w:spacing w:val="-48"/>
        </w:rPr>
        <w:t> </w:t>
      </w:r>
      <w:r>
        <w:rPr/>
        <w:t>operation</w:t>
      </w:r>
      <w:r>
        <w:rPr>
          <w:spacing w:val="-49"/>
        </w:rPr>
        <w:t> </w:t>
      </w:r>
      <w:r>
        <w:rPr/>
        <w:t>expenses</w:t>
      </w:r>
      <w:r>
        <w:rPr>
          <w:spacing w:val="-48"/>
        </w:rPr>
        <w:t> </w:t>
      </w:r>
      <w:r>
        <w:rPr/>
        <w:t>required for</w:t>
      </w:r>
      <w:r>
        <w:rPr>
          <w:spacing w:val="-13"/>
        </w:rPr>
        <w:t> </w:t>
      </w:r>
      <w:r>
        <w:rPr/>
        <w:t>the</w:t>
      </w:r>
      <w:r>
        <w:rPr>
          <w:spacing w:val="-13"/>
        </w:rPr>
        <w:t> </w:t>
      </w:r>
      <w:r>
        <w:rPr/>
        <w:t>up-keep</w:t>
      </w:r>
      <w:r>
        <w:rPr>
          <w:spacing w:val="-11"/>
        </w:rPr>
        <w:t> </w:t>
      </w:r>
      <w:r>
        <w:rPr/>
        <w:t>running</w:t>
      </w:r>
      <w:r>
        <w:rPr>
          <w:spacing w:val="-14"/>
        </w:rPr>
        <w:t> </w:t>
      </w:r>
      <w:r>
        <w:rPr/>
        <w:t>of</w:t>
      </w:r>
      <w:r>
        <w:rPr>
          <w:spacing w:val="-12"/>
        </w:rPr>
        <w:t> </w:t>
      </w:r>
      <w:r>
        <w:rPr/>
        <w:t>the</w:t>
      </w:r>
      <w:r>
        <w:rPr>
          <w:spacing w:val="-14"/>
        </w:rPr>
        <w:t> </w:t>
      </w:r>
      <w:r>
        <w:rPr/>
        <w:t>development.</w:t>
      </w:r>
      <w:r>
        <w:rPr>
          <w:spacing w:val="-14"/>
        </w:rPr>
        <w:t> </w:t>
      </w:r>
      <w:r>
        <w:rPr/>
        <w:t>Based</w:t>
      </w:r>
      <w:r>
        <w:rPr>
          <w:spacing w:val="-11"/>
        </w:rPr>
        <w:t> </w:t>
      </w:r>
      <w:r>
        <w:rPr/>
        <w:t>on</w:t>
      </w:r>
      <w:r>
        <w:rPr>
          <w:spacing w:val="-13"/>
        </w:rPr>
        <w:t> </w:t>
      </w:r>
      <w:r>
        <w:rPr/>
        <w:t>information</w:t>
      </w:r>
      <w:r>
        <w:rPr>
          <w:spacing w:val="-14"/>
        </w:rPr>
        <w:t> </w:t>
      </w:r>
      <w:r>
        <w:rPr/>
        <w:t>provided</w:t>
      </w:r>
      <w:r>
        <w:rPr>
          <w:spacing w:val="-12"/>
        </w:rPr>
        <w:t> </w:t>
      </w:r>
      <w:r>
        <w:rPr/>
        <w:t>by</w:t>
      </w:r>
      <w:r>
        <w:rPr>
          <w:spacing w:val="-13"/>
        </w:rPr>
        <w:t> </w:t>
      </w:r>
      <w:r>
        <w:rPr/>
        <w:t>the</w:t>
      </w:r>
      <w:r>
        <w:rPr>
          <w:spacing w:val="-13"/>
        </w:rPr>
        <w:t> </w:t>
      </w:r>
      <w:r>
        <w:rPr/>
        <w:t>Client</w:t>
      </w:r>
      <w:r>
        <w:rPr>
          <w:spacing w:val="-12"/>
        </w:rPr>
        <w:t> </w:t>
      </w:r>
      <w:r>
        <w:rPr/>
        <w:t>and</w:t>
      </w:r>
      <w:r>
        <w:rPr>
          <w:spacing w:val="-11"/>
        </w:rPr>
        <w:t> </w:t>
      </w:r>
      <w:r>
        <w:rPr/>
        <w:t>market assessment, following recurring expense assumptions have been adopted for the purpose of this valuation</w:t>
      </w:r>
      <w:r>
        <w:rPr>
          <w:spacing w:val="-8"/>
        </w:rPr>
        <w:t> </w:t>
      </w:r>
      <w:r>
        <w:rPr/>
        <w:t>exercise</w:t>
      </w:r>
      <w:r>
        <w:rPr>
          <w:spacing w:val="-7"/>
        </w:rPr>
        <w:t> </w:t>
      </w:r>
      <w:r>
        <w:rPr/>
        <w:t>(applicable</w:t>
      </w:r>
      <w:r>
        <w:rPr>
          <w:spacing w:val="-7"/>
        </w:rPr>
        <w:t> </w:t>
      </w:r>
      <w:r>
        <w:rPr/>
        <w:t>to</w:t>
      </w:r>
      <w:r>
        <w:rPr>
          <w:spacing w:val="-7"/>
        </w:rPr>
        <w:t> </w:t>
      </w:r>
      <w:r>
        <w:rPr/>
        <w:t>both</w:t>
      </w:r>
      <w:r>
        <w:rPr>
          <w:spacing w:val="-6"/>
        </w:rPr>
        <w:t> </w:t>
      </w:r>
      <w:r>
        <w:rPr/>
        <w:t>completed</w:t>
      </w:r>
      <w:r>
        <w:rPr>
          <w:spacing w:val="-6"/>
        </w:rPr>
        <w:t> </w:t>
      </w:r>
      <w:r>
        <w:rPr/>
        <w:t>and</w:t>
      </w:r>
      <w:r>
        <w:rPr>
          <w:spacing w:val="-6"/>
        </w:rPr>
        <w:t> </w:t>
      </w:r>
      <w:r>
        <w:rPr/>
        <w:t>proposed</w:t>
      </w:r>
      <w:r>
        <w:rPr>
          <w:spacing w:val="-9"/>
        </w:rPr>
        <w:t> </w:t>
      </w:r>
      <w:r>
        <w:rPr/>
        <w:t>blocks):</w:t>
      </w:r>
    </w:p>
    <w:p>
      <w:pPr>
        <w:pStyle w:val="BodyText"/>
        <w:ind w:left="205"/>
        <w:rPr>
          <w:sz w:val="20"/>
        </w:rPr>
      </w:pPr>
      <w:r>
        <w:rPr>
          <w:sz w:val="20"/>
        </w:rPr>
        <w:pict>
          <v:group style="width:524.3pt;height:16pt;mso-position-horizontal-relative:char;mso-position-vertical-relative:line" coordorigin="0,0" coordsize="10486,320">
            <v:shape style="position:absolute;left:14;top:16;width:10472;height:288" coordorigin="14,17" coordsize="10472,288" path="m10486,17l6996,17,3505,17,14,17,14,305,3505,305,6996,305,10486,305,10486,17xe" filled="true" fillcolor="#006a4d" stroked="false">
              <v:path arrowok="t"/>
              <v:fill type="solid"/>
            </v:shape>
            <v:shape style="position:absolute;left:14;top:0;width:10472;height:320" coordorigin="14,0" coordsize="10472,320" path="m10486,305l7010,305,6996,305,3519,305,3505,305,14,305,14,319,3505,319,3519,319,6996,319,7010,319,10486,319,10486,305xm10486,0l7010,0,6996,0,3519,0,3505,0,14,0,14,14,3505,14,3519,14,6996,14,7010,14,10486,14,10486,0xe" filled="true" fillcolor="#69bd28" stroked="false">
              <v:path arrowok="t"/>
              <v:fill type="solid"/>
            </v:shape>
            <v:shape style="position:absolute;left:0;top:14;width:10486;height:291" type="#_x0000_t202" filled="false" stroked="false">
              <v:textbox inset="0,0,0,0">
                <w:txbxContent>
                  <w:p>
                    <w:pPr>
                      <w:tabs>
                        <w:tab w:pos="4952" w:val="left" w:leader="none"/>
                        <w:tab w:pos="8521" w:val="left" w:leader="none"/>
                      </w:tabs>
                      <w:spacing w:before="10"/>
                      <w:ind w:left="960" w:right="0" w:firstLine="0"/>
                      <w:jc w:val="left"/>
                      <w:rPr>
                        <w:sz w:val="20"/>
                      </w:rPr>
                    </w:pPr>
                    <w:r>
                      <w:rPr>
                        <w:color w:val="FFFFFF"/>
                        <w:sz w:val="20"/>
                      </w:rPr>
                      <w:t>Nature</w:t>
                    </w:r>
                    <w:r>
                      <w:rPr>
                        <w:color w:val="FFFFFF"/>
                        <w:spacing w:val="-12"/>
                        <w:sz w:val="20"/>
                      </w:rPr>
                      <w:t> </w:t>
                    </w:r>
                    <w:r>
                      <w:rPr>
                        <w:color w:val="FFFFFF"/>
                        <w:sz w:val="20"/>
                      </w:rPr>
                      <w:t>of</w:t>
                    </w:r>
                    <w:r>
                      <w:rPr>
                        <w:color w:val="FFFFFF"/>
                        <w:spacing w:val="-12"/>
                        <w:sz w:val="20"/>
                      </w:rPr>
                      <w:t> </w:t>
                    </w:r>
                    <w:r>
                      <w:rPr>
                        <w:color w:val="FFFFFF"/>
                        <w:sz w:val="20"/>
                      </w:rPr>
                      <w:t>Expense</w:t>
                      <w:tab/>
                      <w:t>Details</w:t>
                      <w:tab/>
                    </w:r>
                    <w:r>
                      <w:rPr>
                        <w:color w:val="FFFFFF"/>
                        <w:position w:val="2"/>
                        <w:sz w:val="20"/>
                      </w:rPr>
                      <w:t>Basis</w:t>
                    </w:r>
                  </w:p>
                </w:txbxContent>
              </v:textbox>
              <w10:wrap type="none"/>
            </v:shape>
          </v:group>
        </w:pict>
      </w:r>
      <w:r>
        <w:rPr>
          <w:sz w:val="20"/>
        </w:rPr>
      </w:r>
    </w:p>
    <w:p>
      <w:pPr>
        <w:spacing w:after="0"/>
        <w:rPr>
          <w:sz w:val="20"/>
        </w:rPr>
        <w:sectPr>
          <w:type w:val="continuous"/>
          <w:pgSz w:w="11910" w:h="16840"/>
          <w:pgMar w:top="800" w:bottom="280" w:left="500" w:right="520"/>
        </w:sectPr>
      </w:pPr>
    </w:p>
    <w:p>
      <w:pPr>
        <w:spacing w:line="247" w:lineRule="auto" w:before="24"/>
        <w:ind w:left="1658" w:right="32" w:hanging="1251"/>
        <w:jc w:val="left"/>
        <w:rPr>
          <w:sz w:val="18"/>
        </w:rPr>
      </w:pPr>
      <w:r>
        <w:rPr/>
        <w:pict>
          <v:rect style="position:absolute;margin-left:36pt;margin-top:25.611677pt;width:523.560025pt;height:.719pt;mso-position-horizontal-relative:page;mso-position-vertical-relative:paragraph;z-index:15939584" filled="true" fillcolor="#69bd28" stroked="false">
            <v:fill type="solid"/>
            <w10:wrap type="none"/>
          </v:rect>
        </w:pict>
      </w:r>
      <w:r>
        <w:rPr>
          <w:sz w:val="18"/>
        </w:rPr>
        <w:t>Insurance,</w:t>
      </w:r>
      <w:r>
        <w:rPr>
          <w:spacing w:val="-21"/>
          <w:sz w:val="18"/>
        </w:rPr>
        <w:t> </w:t>
      </w:r>
      <w:r>
        <w:rPr>
          <w:sz w:val="18"/>
        </w:rPr>
        <w:t>Legal</w:t>
      </w:r>
      <w:r>
        <w:rPr>
          <w:spacing w:val="-20"/>
          <w:sz w:val="18"/>
        </w:rPr>
        <w:t> </w:t>
      </w:r>
      <w:r>
        <w:rPr>
          <w:sz w:val="18"/>
        </w:rPr>
        <w:t>and</w:t>
      </w:r>
      <w:r>
        <w:rPr>
          <w:spacing w:val="-20"/>
          <w:sz w:val="18"/>
        </w:rPr>
        <w:t> </w:t>
      </w:r>
      <w:r>
        <w:rPr>
          <w:sz w:val="18"/>
        </w:rPr>
        <w:t>other</w:t>
      </w:r>
      <w:r>
        <w:rPr>
          <w:spacing w:val="-20"/>
          <w:sz w:val="18"/>
        </w:rPr>
        <w:t> </w:t>
      </w:r>
      <w:r>
        <w:rPr>
          <w:sz w:val="18"/>
        </w:rPr>
        <w:t>professional charges</w:t>
      </w:r>
    </w:p>
    <w:p>
      <w:pPr>
        <w:spacing w:before="5"/>
        <w:ind w:left="388" w:right="24" w:firstLine="0"/>
        <w:jc w:val="center"/>
        <w:rPr>
          <w:sz w:val="18"/>
        </w:rPr>
      </w:pPr>
      <w:r>
        <w:rPr/>
        <w:br w:type="column"/>
      </w:r>
      <w:r>
        <w:rPr>
          <w:w w:val="110"/>
          <w:sz w:val="18"/>
        </w:rPr>
        <w:t>0.14%</w:t>
      </w:r>
    </w:p>
    <w:p>
      <w:pPr>
        <w:spacing w:before="46"/>
        <w:ind w:left="391" w:right="24" w:firstLine="0"/>
        <w:jc w:val="center"/>
        <w:rPr>
          <w:sz w:val="18"/>
        </w:rPr>
      </w:pPr>
      <w:r>
        <w:rPr>
          <w:sz w:val="18"/>
        </w:rPr>
        <w:t>(INR 10.8 mn)</w:t>
      </w:r>
    </w:p>
    <w:p>
      <w:pPr>
        <w:spacing w:before="132"/>
        <w:ind w:left="407" w:right="0" w:firstLine="0"/>
        <w:jc w:val="left"/>
        <w:rPr>
          <w:sz w:val="18"/>
        </w:rPr>
      </w:pPr>
      <w:r>
        <w:rPr/>
        <w:br w:type="column"/>
      </w:r>
      <w:r>
        <w:rPr>
          <w:sz w:val="18"/>
        </w:rPr>
        <w:t>% of gross rental income</w:t>
      </w:r>
    </w:p>
    <w:p>
      <w:pPr>
        <w:spacing w:after="0"/>
        <w:jc w:val="left"/>
        <w:rPr>
          <w:sz w:val="18"/>
        </w:rPr>
        <w:sectPr>
          <w:type w:val="continuous"/>
          <w:pgSz w:w="11910" w:h="16840"/>
          <w:pgMar w:top="800" w:bottom="280" w:left="500" w:right="520"/>
          <w:cols w:num="3" w:equalWidth="0">
            <w:col w:w="3557" w:space="932"/>
            <w:col w:w="1563" w:space="1520"/>
            <w:col w:w="3318"/>
          </w:cols>
        </w:sectPr>
      </w:pPr>
    </w:p>
    <w:p>
      <w:pPr>
        <w:tabs>
          <w:tab w:pos="5165" w:val="left" w:leader="none"/>
        </w:tabs>
        <w:spacing w:line="298" w:lineRule="exact" w:before="100"/>
        <w:ind w:left="1480" w:right="0" w:firstLine="0"/>
        <w:jc w:val="left"/>
        <w:rPr>
          <w:sz w:val="18"/>
        </w:rPr>
      </w:pPr>
      <w:r>
        <w:rPr>
          <w:sz w:val="18"/>
        </w:rPr>
        <w:t>Property</w:t>
      </w:r>
      <w:r>
        <w:rPr>
          <w:spacing w:val="-20"/>
          <w:sz w:val="18"/>
        </w:rPr>
        <w:t> </w:t>
      </w:r>
      <w:r>
        <w:rPr>
          <w:sz w:val="18"/>
        </w:rPr>
        <w:t>Tax</w:t>
        <w:tab/>
      </w:r>
      <w:r>
        <w:rPr>
          <w:position w:val="13"/>
          <w:sz w:val="18"/>
        </w:rPr>
        <w:t>6.52%*</w:t>
      </w:r>
    </w:p>
    <w:p>
      <w:pPr>
        <w:spacing w:line="168" w:lineRule="exact" w:before="0"/>
        <w:ind w:left="0" w:right="38" w:firstLine="0"/>
        <w:jc w:val="right"/>
        <w:rPr>
          <w:sz w:val="18"/>
        </w:rPr>
      </w:pPr>
      <w:r>
        <w:rPr>
          <w:sz w:val="18"/>
        </w:rPr>
        <w:t>(INR 507.0 mn)</w:t>
      </w:r>
    </w:p>
    <w:p>
      <w:pPr>
        <w:pStyle w:val="BodyText"/>
        <w:spacing w:before="9"/>
        <w:rPr>
          <w:sz w:val="19"/>
        </w:rPr>
      </w:pPr>
      <w:r>
        <w:rPr/>
        <w:br w:type="column"/>
      </w:r>
      <w:r>
        <w:rPr>
          <w:sz w:val="19"/>
        </w:rPr>
      </w:r>
    </w:p>
    <w:p>
      <w:pPr>
        <w:spacing w:before="0"/>
        <w:ind w:left="1480" w:right="0" w:firstLine="0"/>
        <w:jc w:val="left"/>
        <w:rPr>
          <w:sz w:val="18"/>
        </w:rPr>
      </w:pPr>
      <w:r>
        <w:rPr>
          <w:sz w:val="18"/>
        </w:rPr>
        <w:t>% of gross rental income</w:t>
      </w:r>
    </w:p>
    <w:p>
      <w:pPr>
        <w:spacing w:after="0"/>
        <w:jc w:val="left"/>
        <w:rPr>
          <w:sz w:val="18"/>
        </w:rPr>
        <w:sectPr>
          <w:type w:val="continuous"/>
          <w:pgSz w:w="11910" w:h="16840"/>
          <w:pgMar w:top="800" w:bottom="280" w:left="500" w:right="520"/>
          <w:cols w:num="2" w:equalWidth="0">
            <w:col w:w="6105" w:space="393"/>
            <w:col w:w="4392"/>
          </w:cols>
        </w:sectPr>
      </w:pPr>
    </w:p>
    <w:p>
      <w:pPr>
        <w:pStyle w:val="BodyText"/>
        <w:spacing w:before="9"/>
        <w:rPr>
          <w:sz w:val="3"/>
        </w:rPr>
      </w:pPr>
    </w:p>
    <w:p>
      <w:pPr>
        <w:pStyle w:val="BodyText"/>
        <w:spacing w:line="20" w:lineRule="exact"/>
        <w:ind w:left="220"/>
        <w:rPr>
          <w:sz w:val="2"/>
        </w:rPr>
      </w:pPr>
      <w:r>
        <w:rPr>
          <w:sz w:val="2"/>
        </w:rPr>
        <w:pict>
          <v:group style="width:523.6pt;height:.75pt;mso-position-horizontal-relative:char;mso-position-vertical-relative:line" coordorigin="0,0" coordsize="10472,15">
            <v:rect style="position:absolute;left:0;top:0;width:10472;height:15" filled="true" fillcolor="#69bd28" stroked="false">
              <v:fill type="solid"/>
            </v:rect>
          </v:group>
        </w:pict>
      </w:r>
      <w:r>
        <w:rPr>
          <w:sz w:val="2"/>
        </w:rPr>
      </w:r>
    </w:p>
    <w:p>
      <w:pPr>
        <w:tabs>
          <w:tab w:pos="5254" w:val="left" w:leader="none"/>
          <w:tab w:pos="7978" w:val="left" w:leader="none"/>
        </w:tabs>
        <w:spacing w:before="39"/>
        <w:ind w:left="678" w:right="0" w:firstLine="0"/>
        <w:jc w:val="left"/>
        <w:rPr>
          <w:sz w:val="18"/>
        </w:rPr>
      </w:pPr>
      <w:r>
        <w:rPr/>
        <w:pict>
          <v:rect style="position:absolute;margin-left:35.280003pt;margin-top:14.600682pt;width:524.280025pt;height:.72pt;mso-position-horizontal-relative:page;mso-position-vertical-relative:paragraph;z-index:-15518208;mso-wrap-distance-left:0;mso-wrap-distance-right:0" filled="true" fillcolor="#69bd28" stroked="false">
            <v:fill type="solid"/>
            <w10:wrap type="topAndBottom"/>
          </v:rect>
        </w:pict>
      </w:r>
      <w:r>
        <w:rPr>
          <w:sz w:val="18"/>
        </w:rPr>
        <w:t>Repair and</w:t>
      </w:r>
      <w:r>
        <w:rPr>
          <w:spacing w:val="-31"/>
          <w:sz w:val="18"/>
        </w:rPr>
        <w:t> </w:t>
      </w:r>
      <w:r>
        <w:rPr>
          <w:sz w:val="18"/>
        </w:rPr>
        <w:t>Maintenance</w:t>
      </w:r>
      <w:r>
        <w:rPr>
          <w:spacing w:val="-15"/>
          <w:sz w:val="18"/>
        </w:rPr>
        <w:t> </w:t>
      </w:r>
      <w:r>
        <w:rPr>
          <w:sz w:val="18"/>
        </w:rPr>
        <w:t>Reserve</w:t>
        <w:tab/>
        <w:t>1.0%</w:t>
        <w:tab/>
        <w:t>% of gross rental</w:t>
      </w:r>
      <w:r>
        <w:rPr>
          <w:spacing w:val="-9"/>
          <w:sz w:val="18"/>
        </w:rPr>
        <w:t> </w:t>
      </w:r>
      <w:r>
        <w:rPr>
          <w:sz w:val="18"/>
        </w:rPr>
        <w:t>income</w:t>
      </w:r>
    </w:p>
    <w:p>
      <w:pPr>
        <w:spacing w:after="0"/>
        <w:jc w:val="left"/>
        <w:rPr>
          <w:sz w:val="18"/>
        </w:rPr>
        <w:sectPr>
          <w:type w:val="continuous"/>
          <w:pgSz w:w="11910" w:h="16840"/>
          <w:pgMar w:top="800" w:bottom="280" w:left="500" w:right="520"/>
        </w:sectPr>
      </w:pPr>
    </w:p>
    <w:p>
      <w:pPr>
        <w:pStyle w:val="BodyText"/>
        <w:spacing w:before="4"/>
        <w:rPr>
          <w:sz w:val="18"/>
        </w:rPr>
      </w:pPr>
    </w:p>
    <w:p>
      <w:pPr>
        <w:pStyle w:val="BodyText"/>
        <w:ind w:left="205"/>
        <w:rPr>
          <w:sz w:val="20"/>
        </w:rPr>
      </w:pPr>
      <w:r>
        <w:rPr>
          <w:sz w:val="20"/>
        </w:rPr>
        <w:pict>
          <v:group style="width:524.3pt;height:15.85pt;mso-position-horizontal-relative:char;mso-position-vertical-relative:line" coordorigin="0,0" coordsize="10486,317">
            <v:shape style="position:absolute;left:14;top:14;width:10472;height:288" coordorigin="14,14" coordsize="10472,288" path="m10486,14l6996,14,3505,14,14,14,14,302,3505,302,6996,302,10486,302,10486,14xe" filled="true" fillcolor="#006a4d" stroked="false">
              <v:path arrowok="t"/>
              <v:fill type="solid"/>
            </v:shape>
            <v:shape style="position:absolute;left:14;top:0;width:10472;height:317" coordorigin="14,0" coordsize="10472,317" path="m10486,302l7010,302,6996,302,3519,302,3505,302,14,302,14,317,3505,317,3519,317,6996,317,7010,317,10486,317,10486,302xm10486,0l7010,0,6996,0,3519,0,3505,0,14,0,14,14,3505,14,3519,14,6996,14,7010,14,10486,14,10486,0xe" filled="true" fillcolor="#69bd28" stroked="false">
              <v:path arrowok="t"/>
              <v:fill type="solid"/>
            </v:shape>
            <v:shape style="position:absolute;left:0;top:14;width:10486;height:288" type="#_x0000_t202" filled="false" stroked="false">
              <v:textbox inset="0,0,0,0">
                <w:txbxContent>
                  <w:p>
                    <w:pPr>
                      <w:tabs>
                        <w:tab w:pos="4952" w:val="left" w:leader="none"/>
                        <w:tab w:pos="8521" w:val="left" w:leader="none"/>
                      </w:tabs>
                      <w:spacing w:before="8"/>
                      <w:ind w:left="960" w:right="0" w:firstLine="0"/>
                      <w:jc w:val="left"/>
                      <w:rPr>
                        <w:sz w:val="20"/>
                      </w:rPr>
                    </w:pPr>
                    <w:r>
                      <w:rPr>
                        <w:color w:val="FFFFFF"/>
                        <w:sz w:val="20"/>
                      </w:rPr>
                      <w:t>Nature</w:t>
                    </w:r>
                    <w:r>
                      <w:rPr>
                        <w:color w:val="FFFFFF"/>
                        <w:spacing w:val="-12"/>
                        <w:sz w:val="20"/>
                      </w:rPr>
                      <w:t> </w:t>
                    </w:r>
                    <w:r>
                      <w:rPr>
                        <w:color w:val="FFFFFF"/>
                        <w:sz w:val="20"/>
                      </w:rPr>
                      <w:t>of</w:t>
                    </w:r>
                    <w:r>
                      <w:rPr>
                        <w:color w:val="FFFFFF"/>
                        <w:spacing w:val="-12"/>
                        <w:sz w:val="20"/>
                      </w:rPr>
                      <w:t> </w:t>
                    </w:r>
                    <w:r>
                      <w:rPr>
                        <w:color w:val="FFFFFF"/>
                        <w:sz w:val="20"/>
                      </w:rPr>
                      <w:t>Expense</w:t>
                      <w:tab/>
                      <w:t>Details</w:t>
                      <w:tab/>
                    </w:r>
                    <w:r>
                      <w:rPr>
                        <w:color w:val="FFFFFF"/>
                        <w:position w:val="2"/>
                        <w:sz w:val="20"/>
                      </w:rPr>
                      <w:t>Basis</w:t>
                    </w:r>
                  </w:p>
                </w:txbxContent>
              </v:textbox>
              <w10:wrap type="none"/>
            </v:shape>
          </v:group>
        </w:pict>
      </w:r>
      <w:r>
        <w:rPr>
          <w:sz w:val="20"/>
        </w:rPr>
      </w:r>
    </w:p>
    <w:p>
      <w:pPr>
        <w:tabs>
          <w:tab w:pos="5254" w:val="left" w:leader="none"/>
          <w:tab w:pos="8266" w:val="left" w:leader="none"/>
        </w:tabs>
        <w:spacing w:before="6"/>
        <w:ind w:left="962" w:right="0" w:firstLine="0"/>
        <w:jc w:val="left"/>
        <w:rPr>
          <w:sz w:val="18"/>
        </w:rPr>
      </w:pPr>
      <w:r>
        <w:rPr/>
        <w:pict>
          <v:rect style="position:absolute;margin-left:36pt;margin-top:12.950657pt;width:523.560025pt;height:.72pt;mso-position-horizontal-relative:page;mso-position-vertical-relative:paragraph;z-index:-15516160;mso-wrap-distance-left:0;mso-wrap-distance-right:0" filled="true" fillcolor="#69bd28" stroked="false">
            <v:fill type="solid"/>
            <w10:wrap type="topAndBottom"/>
          </v:rect>
        </w:pict>
      </w:r>
      <w:r>
        <w:rPr>
          <w:w w:val="103"/>
          <w:sz w:val="18"/>
        </w:rPr>
        <w:t>A</w:t>
      </w:r>
      <w:r>
        <w:rPr>
          <w:spacing w:val="1"/>
          <w:w w:val="103"/>
          <w:sz w:val="18"/>
        </w:rPr>
        <w:t>s</w:t>
      </w:r>
      <w:r>
        <w:rPr>
          <w:w w:val="100"/>
          <w:sz w:val="18"/>
        </w:rPr>
        <w:t>s</w:t>
      </w:r>
      <w:r>
        <w:rPr>
          <w:w w:val="94"/>
          <w:sz w:val="18"/>
        </w:rPr>
        <w:t>e</w:t>
      </w:r>
      <w:r>
        <w:rPr>
          <w:w w:val="65"/>
          <w:sz w:val="18"/>
        </w:rPr>
        <w:t>t</w:t>
      </w:r>
      <w:r>
        <w:rPr>
          <w:spacing w:val="-3"/>
          <w:sz w:val="18"/>
        </w:rPr>
        <w:t> </w:t>
      </w:r>
      <w:r>
        <w:rPr>
          <w:spacing w:val="-2"/>
          <w:w w:val="102"/>
          <w:sz w:val="18"/>
        </w:rPr>
        <w:t>m</w:t>
      </w:r>
      <w:r>
        <w:rPr>
          <w:w w:val="108"/>
          <w:sz w:val="18"/>
        </w:rPr>
        <w:t>a</w:t>
      </w:r>
      <w:r>
        <w:rPr>
          <w:w w:val="101"/>
          <w:sz w:val="18"/>
        </w:rPr>
        <w:t>n</w:t>
      </w:r>
      <w:r>
        <w:rPr>
          <w:w w:val="108"/>
          <w:sz w:val="18"/>
        </w:rPr>
        <w:t>a</w:t>
      </w:r>
      <w:r>
        <w:rPr>
          <w:spacing w:val="-2"/>
          <w:w w:val="113"/>
          <w:sz w:val="18"/>
        </w:rPr>
        <w:t>g</w:t>
      </w:r>
      <w:r>
        <w:rPr>
          <w:w w:val="94"/>
          <w:sz w:val="18"/>
        </w:rPr>
        <w:t>e</w:t>
      </w:r>
      <w:r>
        <w:rPr>
          <w:spacing w:val="-2"/>
          <w:w w:val="102"/>
          <w:sz w:val="18"/>
        </w:rPr>
        <w:t>m</w:t>
      </w:r>
      <w:r>
        <w:rPr>
          <w:w w:val="94"/>
          <w:sz w:val="18"/>
        </w:rPr>
        <w:t>e</w:t>
      </w:r>
      <w:r>
        <w:rPr>
          <w:w w:val="101"/>
          <w:sz w:val="18"/>
        </w:rPr>
        <w:t>n</w:t>
      </w:r>
      <w:r>
        <w:rPr>
          <w:w w:val="65"/>
          <w:sz w:val="18"/>
        </w:rPr>
        <w:t>t</w:t>
      </w:r>
      <w:r>
        <w:rPr>
          <w:spacing w:val="-3"/>
          <w:sz w:val="18"/>
        </w:rPr>
        <w:t> </w:t>
      </w:r>
      <w:r>
        <w:rPr>
          <w:w w:val="95"/>
          <w:sz w:val="18"/>
        </w:rPr>
        <w:t>Fe</w:t>
      </w:r>
      <w:r>
        <w:rPr>
          <w:spacing w:val="3"/>
          <w:w w:val="94"/>
          <w:sz w:val="18"/>
        </w:rPr>
        <w:t>e</w:t>
      </w:r>
      <w:r>
        <w:rPr>
          <w:w w:val="190"/>
          <w:sz w:val="18"/>
        </w:rPr>
        <w:t>^</w:t>
      </w:r>
      <w:r>
        <w:rPr>
          <w:sz w:val="18"/>
        </w:rPr>
        <w:tab/>
      </w:r>
      <w:r>
        <w:rPr>
          <w:spacing w:val="-1"/>
          <w:w w:val="112"/>
          <w:sz w:val="18"/>
        </w:rPr>
        <w:t>3</w:t>
      </w:r>
      <w:r>
        <w:rPr>
          <w:w w:val="99"/>
          <w:sz w:val="18"/>
        </w:rPr>
        <w:t>.</w:t>
      </w:r>
      <w:r>
        <w:rPr>
          <w:spacing w:val="-1"/>
          <w:w w:val="99"/>
          <w:sz w:val="18"/>
        </w:rPr>
        <w:t>0</w:t>
      </w:r>
      <w:r>
        <w:rPr>
          <w:w w:val="123"/>
          <w:sz w:val="18"/>
        </w:rPr>
        <w:t>%</w:t>
      </w:r>
      <w:r>
        <w:rPr>
          <w:sz w:val="18"/>
        </w:rPr>
        <w:tab/>
      </w:r>
      <w:r>
        <w:rPr>
          <w:w w:val="123"/>
          <w:sz w:val="18"/>
        </w:rPr>
        <w:t>%</w:t>
      </w:r>
      <w:r>
        <w:rPr>
          <w:spacing w:val="-1"/>
          <w:sz w:val="18"/>
        </w:rPr>
        <w:t> </w:t>
      </w:r>
      <w:r>
        <w:rPr>
          <w:w w:val="94"/>
          <w:sz w:val="18"/>
        </w:rPr>
        <w:t>of</w:t>
      </w:r>
      <w:r>
        <w:rPr>
          <w:spacing w:val="-1"/>
          <w:sz w:val="18"/>
        </w:rPr>
        <w:t> </w:t>
      </w:r>
      <w:r>
        <w:rPr>
          <w:spacing w:val="-2"/>
          <w:w w:val="65"/>
          <w:sz w:val="18"/>
        </w:rPr>
        <w:t>t</w:t>
      </w:r>
      <w:r>
        <w:rPr>
          <w:w w:val="106"/>
          <w:sz w:val="18"/>
        </w:rPr>
        <w:t>o</w:t>
      </w:r>
      <w:r>
        <w:rPr>
          <w:spacing w:val="-2"/>
          <w:w w:val="65"/>
          <w:sz w:val="18"/>
        </w:rPr>
        <w:t>t</w:t>
      </w:r>
      <w:r>
        <w:rPr>
          <w:w w:val="108"/>
          <w:sz w:val="18"/>
        </w:rPr>
        <w:t>a</w:t>
      </w:r>
      <w:r>
        <w:rPr>
          <w:w w:val="82"/>
          <w:sz w:val="18"/>
        </w:rPr>
        <w:t>l</w:t>
      </w:r>
      <w:r>
        <w:rPr>
          <w:spacing w:val="-2"/>
          <w:sz w:val="18"/>
        </w:rPr>
        <w:t> </w:t>
      </w:r>
      <w:r>
        <w:rPr>
          <w:spacing w:val="-1"/>
          <w:w w:val="94"/>
          <w:sz w:val="18"/>
        </w:rPr>
        <w:t>in</w:t>
      </w:r>
      <w:r>
        <w:rPr>
          <w:w w:val="94"/>
          <w:sz w:val="18"/>
        </w:rPr>
        <w:t>c</w:t>
      </w:r>
      <w:r>
        <w:rPr>
          <w:spacing w:val="-2"/>
          <w:w w:val="106"/>
          <w:sz w:val="18"/>
        </w:rPr>
        <w:t>o</w:t>
      </w:r>
      <w:r>
        <w:rPr>
          <w:w w:val="102"/>
          <w:sz w:val="18"/>
        </w:rPr>
        <w:t>m</w:t>
      </w:r>
      <w:r>
        <w:rPr>
          <w:w w:val="94"/>
          <w:sz w:val="18"/>
        </w:rPr>
        <w:t>e</w:t>
      </w:r>
    </w:p>
    <w:p>
      <w:pPr>
        <w:tabs>
          <w:tab w:pos="5254" w:val="left" w:leader="none"/>
          <w:tab w:pos="8192" w:val="left" w:leader="none"/>
        </w:tabs>
        <w:spacing w:before="15" w:after="42"/>
        <w:ind w:left="1048" w:right="0" w:firstLine="0"/>
        <w:jc w:val="left"/>
        <w:rPr>
          <w:sz w:val="18"/>
        </w:rPr>
      </w:pPr>
      <w:r>
        <w:rPr>
          <w:sz w:val="18"/>
        </w:rPr>
        <w:t>Transaction</w:t>
      </w:r>
      <w:r>
        <w:rPr>
          <w:spacing w:val="-24"/>
          <w:sz w:val="18"/>
        </w:rPr>
        <w:t> </w:t>
      </w:r>
      <w:r>
        <w:rPr>
          <w:sz w:val="18"/>
        </w:rPr>
        <w:t>cost</w:t>
      </w:r>
      <w:r>
        <w:rPr>
          <w:spacing w:val="-25"/>
          <w:sz w:val="18"/>
        </w:rPr>
        <w:t> </w:t>
      </w:r>
      <w:r>
        <w:rPr>
          <w:sz w:val="18"/>
        </w:rPr>
        <w:t>on</w:t>
      </w:r>
      <w:r>
        <w:rPr>
          <w:spacing w:val="-24"/>
          <w:sz w:val="18"/>
        </w:rPr>
        <w:t> </w:t>
      </w:r>
      <w:r>
        <w:rPr>
          <w:sz w:val="18"/>
        </w:rPr>
        <w:t>Exit</w:t>
        <w:tab/>
        <w:t>1.0%</w:t>
        <w:tab/>
        <w:t>% of terminal</w:t>
      </w:r>
      <w:r>
        <w:rPr>
          <w:spacing w:val="-10"/>
          <w:sz w:val="18"/>
        </w:rPr>
        <w:t> </w:t>
      </w:r>
      <w:r>
        <w:rPr>
          <w:sz w:val="18"/>
        </w:rPr>
        <w:t>value</w:t>
      </w:r>
    </w:p>
    <w:p>
      <w:pPr>
        <w:pStyle w:val="BodyText"/>
        <w:spacing w:line="20" w:lineRule="exact"/>
        <w:ind w:left="20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line="321" w:lineRule="auto" w:before="118"/>
        <w:ind w:left="220" w:right="196" w:firstLine="0"/>
        <w:jc w:val="both"/>
        <w:rPr>
          <w:i/>
          <w:sz w:val="18"/>
        </w:rPr>
      </w:pPr>
      <w:r>
        <w:rPr>
          <w:i/>
          <w:sz w:val="18"/>
        </w:rPr>
        <w:t>Source:</w:t>
      </w:r>
      <w:r>
        <w:rPr>
          <w:i/>
          <w:spacing w:val="-27"/>
          <w:sz w:val="18"/>
        </w:rPr>
        <w:t> </w:t>
      </w:r>
      <w:r>
        <w:rPr>
          <w:i/>
          <w:sz w:val="18"/>
        </w:rPr>
        <w:t>Client</w:t>
      </w:r>
      <w:r>
        <w:rPr>
          <w:i/>
          <w:spacing w:val="-25"/>
          <w:sz w:val="18"/>
        </w:rPr>
        <w:t> </w:t>
      </w:r>
      <w:r>
        <w:rPr>
          <w:i/>
          <w:sz w:val="18"/>
        </w:rPr>
        <w:t>Input;</w:t>
      </w:r>
      <w:r>
        <w:rPr>
          <w:i/>
          <w:spacing w:val="-26"/>
          <w:sz w:val="18"/>
        </w:rPr>
        <w:t> </w:t>
      </w:r>
      <w:r>
        <w:rPr>
          <w:i/>
          <w:sz w:val="18"/>
        </w:rPr>
        <w:t>Valuer’s</w:t>
      </w:r>
      <w:r>
        <w:rPr>
          <w:i/>
          <w:spacing w:val="-26"/>
          <w:sz w:val="18"/>
        </w:rPr>
        <w:t> </w:t>
      </w:r>
      <w:r>
        <w:rPr>
          <w:i/>
          <w:sz w:val="18"/>
        </w:rPr>
        <w:t>assessment;</w:t>
      </w:r>
      <w:r>
        <w:rPr>
          <w:i/>
          <w:spacing w:val="-26"/>
          <w:sz w:val="18"/>
        </w:rPr>
        <w:t> </w:t>
      </w:r>
      <w:r>
        <w:rPr>
          <w:i/>
          <w:sz w:val="18"/>
        </w:rPr>
        <w:t>*Note</w:t>
      </w:r>
      <w:r>
        <w:rPr>
          <w:i/>
          <w:spacing w:val="-26"/>
          <w:sz w:val="18"/>
        </w:rPr>
        <w:t> </w:t>
      </w:r>
      <w:r>
        <w:rPr>
          <w:i/>
          <w:w w:val="115"/>
          <w:sz w:val="18"/>
        </w:rPr>
        <w:t>–</w:t>
      </w:r>
      <w:r>
        <w:rPr>
          <w:i/>
          <w:spacing w:val="-35"/>
          <w:w w:val="115"/>
          <w:sz w:val="18"/>
        </w:rPr>
        <w:t> </w:t>
      </w:r>
      <w:r>
        <w:rPr>
          <w:i/>
          <w:sz w:val="18"/>
        </w:rPr>
        <w:t>based</w:t>
      </w:r>
      <w:r>
        <w:rPr>
          <w:i/>
          <w:spacing w:val="-27"/>
          <w:sz w:val="18"/>
        </w:rPr>
        <w:t> </w:t>
      </w:r>
      <w:r>
        <w:rPr>
          <w:i/>
          <w:sz w:val="18"/>
        </w:rPr>
        <w:t>on</w:t>
      </w:r>
      <w:r>
        <w:rPr>
          <w:i/>
          <w:spacing w:val="-26"/>
          <w:sz w:val="18"/>
        </w:rPr>
        <w:t> </w:t>
      </w:r>
      <w:r>
        <w:rPr>
          <w:i/>
          <w:sz w:val="18"/>
        </w:rPr>
        <w:t>inputs</w:t>
      </w:r>
      <w:r>
        <w:rPr>
          <w:i/>
          <w:spacing w:val="-27"/>
          <w:sz w:val="18"/>
        </w:rPr>
        <w:t> </w:t>
      </w:r>
      <w:r>
        <w:rPr>
          <w:i/>
          <w:sz w:val="18"/>
        </w:rPr>
        <w:t>provided</w:t>
      </w:r>
      <w:r>
        <w:rPr>
          <w:i/>
          <w:spacing w:val="-25"/>
          <w:sz w:val="18"/>
        </w:rPr>
        <w:t> </w:t>
      </w:r>
      <w:r>
        <w:rPr>
          <w:i/>
          <w:sz w:val="18"/>
        </w:rPr>
        <w:t>by</w:t>
      </w:r>
      <w:r>
        <w:rPr>
          <w:i/>
          <w:spacing w:val="-27"/>
          <w:sz w:val="18"/>
        </w:rPr>
        <w:t> </w:t>
      </w:r>
      <w:r>
        <w:rPr>
          <w:i/>
          <w:sz w:val="18"/>
        </w:rPr>
        <w:t>the</w:t>
      </w:r>
      <w:r>
        <w:rPr>
          <w:i/>
          <w:spacing w:val="-26"/>
          <w:sz w:val="18"/>
        </w:rPr>
        <w:t> </w:t>
      </w:r>
      <w:r>
        <w:rPr>
          <w:i/>
          <w:sz w:val="18"/>
        </w:rPr>
        <w:t>Client,</w:t>
      </w:r>
      <w:r>
        <w:rPr>
          <w:i/>
          <w:spacing w:val="-26"/>
          <w:sz w:val="18"/>
        </w:rPr>
        <w:t> </w:t>
      </w:r>
      <w:r>
        <w:rPr>
          <w:i/>
          <w:sz w:val="18"/>
        </w:rPr>
        <w:t>we</w:t>
      </w:r>
      <w:r>
        <w:rPr>
          <w:i/>
          <w:spacing w:val="-26"/>
          <w:sz w:val="18"/>
        </w:rPr>
        <w:t> </w:t>
      </w:r>
      <w:r>
        <w:rPr>
          <w:i/>
          <w:sz w:val="18"/>
        </w:rPr>
        <w:t>understand</w:t>
      </w:r>
      <w:r>
        <w:rPr>
          <w:i/>
          <w:spacing w:val="-27"/>
          <w:sz w:val="18"/>
        </w:rPr>
        <w:t> </w:t>
      </w:r>
      <w:r>
        <w:rPr>
          <w:i/>
          <w:sz w:val="18"/>
        </w:rPr>
        <w:t>that</w:t>
      </w:r>
      <w:r>
        <w:rPr>
          <w:i/>
          <w:spacing w:val="-27"/>
          <w:sz w:val="18"/>
        </w:rPr>
        <w:t> </w:t>
      </w:r>
      <w:r>
        <w:rPr>
          <w:i/>
          <w:sz w:val="18"/>
        </w:rPr>
        <w:t>the</w:t>
      </w:r>
      <w:r>
        <w:rPr>
          <w:i/>
          <w:spacing w:val="-26"/>
          <w:sz w:val="18"/>
        </w:rPr>
        <w:t> </w:t>
      </w:r>
      <w:r>
        <w:rPr>
          <w:i/>
          <w:sz w:val="18"/>
        </w:rPr>
        <w:t>property</w:t>
      </w:r>
      <w:r>
        <w:rPr>
          <w:i/>
          <w:spacing w:val="-29"/>
          <w:sz w:val="18"/>
        </w:rPr>
        <w:t> </w:t>
      </w:r>
      <w:r>
        <w:rPr>
          <w:i/>
          <w:sz w:val="18"/>
        </w:rPr>
        <w:t>tax</w:t>
      </w:r>
      <w:r>
        <w:rPr>
          <w:i/>
          <w:spacing w:val="-26"/>
          <w:sz w:val="18"/>
        </w:rPr>
        <w:t> </w:t>
      </w:r>
      <w:r>
        <w:rPr>
          <w:i/>
          <w:sz w:val="18"/>
        </w:rPr>
        <w:t>is</w:t>
      </w:r>
      <w:r>
        <w:rPr>
          <w:i/>
          <w:spacing w:val="-26"/>
          <w:sz w:val="18"/>
        </w:rPr>
        <w:t> </w:t>
      </w:r>
      <w:r>
        <w:rPr>
          <w:i/>
          <w:sz w:val="18"/>
        </w:rPr>
        <w:t>paid </w:t>
      </w:r>
      <w:r>
        <w:rPr>
          <w:i/>
          <w:sz w:val="18"/>
        </w:rPr>
        <w:t>at</w:t>
      </w:r>
      <w:r>
        <w:rPr>
          <w:i/>
          <w:spacing w:val="-33"/>
          <w:sz w:val="18"/>
        </w:rPr>
        <w:t> </w:t>
      </w:r>
      <w:r>
        <w:rPr>
          <w:i/>
          <w:sz w:val="18"/>
        </w:rPr>
        <w:t>the</w:t>
      </w:r>
      <w:r>
        <w:rPr>
          <w:i/>
          <w:spacing w:val="-33"/>
          <w:sz w:val="18"/>
        </w:rPr>
        <w:t> </w:t>
      </w:r>
      <w:r>
        <w:rPr>
          <w:i/>
          <w:sz w:val="18"/>
        </w:rPr>
        <w:t>beginning</w:t>
      </w:r>
      <w:r>
        <w:rPr>
          <w:i/>
          <w:spacing w:val="-32"/>
          <w:sz w:val="18"/>
        </w:rPr>
        <w:t> </w:t>
      </w:r>
      <w:r>
        <w:rPr>
          <w:i/>
          <w:sz w:val="18"/>
        </w:rPr>
        <w:t>of</w:t>
      </w:r>
      <w:r>
        <w:rPr>
          <w:i/>
          <w:spacing w:val="-32"/>
          <w:sz w:val="18"/>
        </w:rPr>
        <w:t> </w:t>
      </w:r>
      <w:r>
        <w:rPr>
          <w:i/>
          <w:sz w:val="18"/>
        </w:rPr>
        <w:t>every</w:t>
      </w:r>
      <w:r>
        <w:rPr>
          <w:i/>
          <w:spacing w:val="-32"/>
          <w:sz w:val="18"/>
        </w:rPr>
        <w:t> </w:t>
      </w:r>
      <w:r>
        <w:rPr>
          <w:i/>
          <w:sz w:val="18"/>
        </w:rPr>
        <w:t>financial</w:t>
      </w:r>
      <w:r>
        <w:rPr>
          <w:i/>
          <w:spacing w:val="-32"/>
          <w:sz w:val="18"/>
        </w:rPr>
        <w:t> </w:t>
      </w:r>
      <w:r>
        <w:rPr>
          <w:i/>
          <w:sz w:val="18"/>
        </w:rPr>
        <w:t>year</w:t>
      </w:r>
      <w:r>
        <w:rPr>
          <w:i/>
          <w:spacing w:val="-32"/>
          <w:sz w:val="18"/>
        </w:rPr>
        <w:t> </w:t>
      </w:r>
      <w:r>
        <w:rPr>
          <w:i/>
          <w:sz w:val="18"/>
        </w:rPr>
        <w:t>wherein</w:t>
      </w:r>
      <w:r>
        <w:rPr>
          <w:i/>
          <w:spacing w:val="-32"/>
          <w:sz w:val="18"/>
        </w:rPr>
        <w:t> </w:t>
      </w:r>
      <w:r>
        <w:rPr>
          <w:i/>
          <w:sz w:val="18"/>
        </w:rPr>
        <w:t>a</w:t>
      </w:r>
      <w:r>
        <w:rPr>
          <w:i/>
          <w:spacing w:val="-33"/>
          <w:sz w:val="18"/>
        </w:rPr>
        <w:t> </w:t>
      </w:r>
      <w:r>
        <w:rPr>
          <w:i/>
          <w:sz w:val="18"/>
        </w:rPr>
        <w:t>5.0%</w:t>
      </w:r>
      <w:r>
        <w:rPr>
          <w:i/>
          <w:spacing w:val="-31"/>
          <w:sz w:val="18"/>
        </w:rPr>
        <w:t> </w:t>
      </w:r>
      <w:r>
        <w:rPr>
          <w:i/>
          <w:sz w:val="18"/>
        </w:rPr>
        <w:t>discount</w:t>
      </w:r>
      <w:r>
        <w:rPr>
          <w:i/>
          <w:spacing w:val="-32"/>
          <w:sz w:val="18"/>
        </w:rPr>
        <w:t> </w:t>
      </w:r>
      <w:r>
        <w:rPr>
          <w:i/>
          <w:sz w:val="18"/>
        </w:rPr>
        <w:t>gets</w:t>
      </w:r>
      <w:r>
        <w:rPr>
          <w:i/>
          <w:spacing w:val="-32"/>
          <w:sz w:val="18"/>
        </w:rPr>
        <w:t> </w:t>
      </w:r>
      <w:r>
        <w:rPr>
          <w:i/>
          <w:sz w:val="18"/>
        </w:rPr>
        <w:t>extended</w:t>
      </w:r>
      <w:r>
        <w:rPr>
          <w:i/>
          <w:spacing w:val="-31"/>
          <w:sz w:val="18"/>
        </w:rPr>
        <w:t> </w:t>
      </w:r>
      <w:r>
        <w:rPr>
          <w:i/>
          <w:sz w:val="18"/>
        </w:rPr>
        <w:t>vis-à-vis</w:t>
      </w:r>
      <w:r>
        <w:rPr>
          <w:i/>
          <w:spacing w:val="-33"/>
          <w:sz w:val="18"/>
        </w:rPr>
        <w:t> </w:t>
      </w:r>
      <w:r>
        <w:rPr>
          <w:i/>
          <w:sz w:val="18"/>
        </w:rPr>
        <w:t>pay-out</w:t>
      </w:r>
      <w:r>
        <w:rPr>
          <w:i/>
          <w:spacing w:val="-31"/>
          <w:sz w:val="18"/>
        </w:rPr>
        <w:t> </w:t>
      </w:r>
      <w:r>
        <w:rPr>
          <w:i/>
          <w:sz w:val="18"/>
        </w:rPr>
        <w:t>during</w:t>
      </w:r>
      <w:r>
        <w:rPr>
          <w:i/>
          <w:spacing w:val="-33"/>
          <w:sz w:val="18"/>
        </w:rPr>
        <w:t> </w:t>
      </w:r>
      <w:r>
        <w:rPr>
          <w:i/>
          <w:sz w:val="18"/>
        </w:rPr>
        <w:t>the</w:t>
      </w:r>
      <w:r>
        <w:rPr>
          <w:i/>
          <w:spacing w:val="-32"/>
          <w:sz w:val="18"/>
        </w:rPr>
        <w:t> </w:t>
      </w:r>
      <w:r>
        <w:rPr>
          <w:i/>
          <w:sz w:val="18"/>
        </w:rPr>
        <w:t>end</w:t>
      </w:r>
      <w:r>
        <w:rPr>
          <w:i/>
          <w:spacing w:val="-31"/>
          <w:sz w:val="18"/>
        </w:rPr>
        <w:t> </w:t>
      </w:r>
      <w:r>
        <w:rPr>
          <w:i/>
          <w:sz w:val="18"/>
        </w:rPr>
        <w:t>of</w:t>
      </w:r>
      <w:r>
        <w:rPr>
          <w:i/>
          <w:spacing w:val="-32"/>
          <w:sz w:val="18"/>
        </w:rPr>
        <w:t> </w:t>
      </w:r>
      <w:r>
        <w:rPr>
          <w:i/>
          <w:sz w:val="18"/>
        </w:rPr>
        <w:t>the</w:t>
      </w:r>
      <w:r>
        <w:rPr>
          <w:i/>
          <w:spacing w:val="-32"/>
          <w:sz w:val="18"/>
        </w:rPr>
        <w:t> </w:t>
      </w:r>
      <w:r>
        <w:rPr>
          <w:i/>
          <w:sz w:val="18"/>
        </w:rPr>
        <w:t>year</w:t>
      </w:r>
      <w:r>
        <w:rPr>
          <w:i/>
          <w:spacing w:val="-34"/>
          <w:sz w:val="18"/>
        </w:rPr>
        <w:t> </w:t>
      </w:r>
      <w:r>
        <w:rPr>
          <w:i/>
          <w:sz w:val="18"/>
        </w:rPr>
        <w:t>and</w:t>
      </w:r>
      <w:r>
        <w:rPr>
          <w:i/>
          <w:spacing w:val="-32"/>
          <w:sz w:val="18"/>
        </w:rPr>
        <w:t> </w:t>
      </w:r>
      <w:r>
        <w:rPr>
          <w:i/>
          <w:sz w:val="18"/>
        </w:rPr>
        <w:t>the</w:t>
      </w:r>
      <w:r>
        <w:rPr>
          <w:i/>
          <w:spacing w:val="-32"/>
          <w:sz w:val="18"/>
        </w:rPr>
        <w:t> </w:t>
      </w:r>
      <w:r>
        <w:rPr>
          <w:i/>
          <w:sz w:val="18"/>
        </w:rPr>
        <w:t>same has</w:t>
      </w:r>
      <w:r>
        <w:rPr>
          <w:i/>
          <w:spacing w:val="-15"/>
          <w:sz w:val="18"/>
        </w:rPr>
        <w:t> </w:t>
      </w:r>
      <w:r>
        <w:rPr>
          <w:i/>
          <w:sz w:val="18"/>
        </w:rPr>
        <w:t>been</w:t>
      </w:r>
      <w:r>
        <w:rPr>
          <w:i/>
          <w:spacing w:val="-15"/>
          <w:sz w:val="18"/>
        </w:rPr>
        <w:t> </w:t>
      </w:r>
      <w:r>
        <w:rPr>
          <w:i/>
          <w:sz w:val="18"/>
        </w:rPr>
        <w:t>adopted</w:t>
      </w:r>
      <w:r>
        <w:rPr>
          <w:i/>
          <w:spacing w:val="-15"/>
          <w:sz w:val="18"/>
        </w:rPr>
        <w:t> </w:t>
      </w:r>
      <w:r>
        <w:rPr>
          <w:i/>
          <w:sz w:val="18"/>
        </w:rPr>
        <w:t>for</w:t>
      </w:r>
      <w:r>
        <w:rPr>
          <w:i/>
          <w:spacing w:val="-14"/>
          <w:sz w:val="18"/>
        </w:rPr>
        <w:t> </w:t>
      </w:r>
      <w:r>
        <w:rPr>
          <w:i/>
          <w:sz w:val="18"/>
        </w:rPr>
        <w:t>the</w:t>
      </w:r>
      <w:r>
        <w:rPr>
          <w:i/>
          <w:spacing w:val="-15"/>
          <w:sz w:val="18"/>
        </w:rPr>
        <w:t> </w:t>
      </w:r>
      <w:r>
        <w:rPr>
          <w:i/>
          <w:sz w:val="18"/>
        </w:rPr>
        <w:t>purpose</w:t>
      </w:r>
      <w:r>
        <w:rPr>
          <w:i/>
          <w:spacing w:val="-14"/>
          <w:sz w:val="18"/>
        </w:rPr>
        <w:t> </w:t>
      </w:r>
      <w:r>
        <w:rPr>
          <w:i/>
          <w:sz w:val="18"/>
        </w:rPr>
        <w:t>of</w:t>
      </w:r>
      <w:r>
        <w:rPr>
          <w:i/>
          <w:spacing w:val="-14"/>
          <w:sz w:val="18"/>
        </w:rPr>
        <w:t> </w:t>
      </w:r>
      <w:r>
        <w:rPr>
          <w:i/>
          <w:sz w:val="18"/>
        </w:rPr>
        <w:t>our</w:t>
      </w:r>
      <w:r>
        <w:rPr>
          <w:i/>
          <w:spacing w:val="-14"/>
          <w:sz w:val="18"/>
        </w:rPr>
        <w:t> </w:t>
      </w:r>
      <w:r>
        <w:rPr>
          <w:i/>
          <w:sz w:val="18"/>
        </w:rPr>
        <w:t>valuation;</w:t>
      </w:r>
      <w:r>
        <w:rPr>
          <w:i/>
          <w:spacing w:val="-11"/>
          <w:sz w:val="18"/>
        </w:rPr>
        <w:t> </w:t>
      </w:r>
      <w:r>
        <w:rPr>
          <w:i/>
          <w:w w:val="160"/>
          <w:sz w:val="18"/>
        </w:rPr>
        <w:t>^</w:t>
      </w:r>
      <w:r>
        <w:rPr>
          <w:i/>
          <w:spacing w:val="-46"/>
          <w:w w:val="160"/>
          <w:sz w:val="18"/>
        </w:rPr>
        <w:t> </w:t>
      </w:r>
      <w:r>
        <w:rPr>
          <w:i/>
          <w:sz w:val="18"/>
        </w:rPr>
        <w:t>Asset</w:t>
      </w:r>
      <w:r>
        <w:rPr>
          <w:i/>
          <w:spacing w:val="-16"/>
          <w:sz w:val="18"/>
        </w:rPr>
        <w:t> </w:t>
      </w:r>
      <w:r>
        <w:rPr>
          <w:i/>
          <w:sz w:val="18"/>
        </w:rPr>
        <w:t>Management</w:t>
      </w:r>
      <w:r>
        <w:rPr>
          <w:i/>
          <w:spacing w:val="-14"/>
          <w:sz w:val="18"/>
        </w:rPr>
        <w:t> </w:t>
      </w:r>
      <w:r>
        <w:rPr>
          <w:i/>
          <w:sz w:val="18"/>
        </w:rPr>
        <w:t>fees</w:t>
      </w:r>
      <w:r>
        <w:rPr>
          <w:i/>
          <w:spacing w:val="-14"/>
          <w:sz w:val="18"/>
        </w:rPr>
        <w:t> </w:t>
      </w:r>
      <w:r>
        <w:rPr>
          <w:i/>
          <w:sz w:val="18"/>
        </w:rPr>
        <w:t>has</w:t>
      </w:r>
      <w:r>
        <w:rPr>
          <w:i/>
          <w:spacing w:val="-15"/>
          <w:sz w:val="18"/>
        </w:rPr>
        <w:t> </w:t>
      </w:r>
      <w:r>
        <w:rPr>
          <w:i/>
          <w:sz w:val="18"/>
        </w:rPr>
        <w:t>been</w:t>
      </w:r>
      <w:r>
        <w:rPr>
          <w:i/>
          <w:spacing w:val="-15"/>
          <w:sz w:val="18"/>
        </w:rPr>
        <w:t> </w:t>
      </w:r>
      <w:r>
        <w:rPr>
          <w:i/>
          <w:sz w:val="18"/>
        </w:rPr>
        <w:t>considered</w:t>
      </w:r>
      <w:r>
        <w:rPr>
          <w:i/>
          <w:spacing w:val="-15"/>
          <w:sz w:val="18"/>
        </w:rPr>
        <w:t> </w:t>
      </w:r>
      <w:r>
        <w:rPr>
          <w:i/>
          <w:sz w:val="18"/>
        </w:rPr>
        <w:t>a</w:t>
      </w:r>
      <w:r>
        <w:rPr>
          <w:i/>
          <w:spacing w:val="-14"/>
          <w:sz w:val="18"/>
        </w:rPr>
        <w:t> </w:t>
      </w:r>
      <w:r>
        <w:rPr>
          <w:i/>
          <w:sz w:val="18"/>
        </w:rPr>
        <w:t>below</w:t>
      </w:r>
      <w:r>
        <w:rPr>
          <w:i/>
          <w:spacing w:val="-14"/>
          <w:sz w:val="18"/>
        </w:rPr>
        <w:t> </w:t>
      </w:r>
      <w:r>
        <w:rPr>
          <w:i/>
          <w:sz w:val="18"/>
        </w:rPr>
        <w:t>the</w:t>
      </w:r>
      <w:r>
        <w:rPr>
          <w:i/>
          <w:spacing w:val="-13"/>
          <w:sz w:val="18"/>
        </w:rPr>
        <w:t> </w:t>
      </w:r>
      <w:r>
        <w:rPr>
          <w:i/>
          <w:sz w:val="18"/>
        </w:rPr>
        <w:t>NOI</w:t>
      </w:r>
      <w:r>
        <w:rPr>
          <w:i/>
          <w:spacing w:val="-14"/>
          <w:sz w:val="18"/>
        </w:rPr>
        <w:t> </w:t>
      </w:r>
      <w:r>
        <w:rPr>
          <w:i/>
          <w:sz w:val="18"/>
        </w:rPr>
        <w:t>line</w:t>
      </w:r>
      <w:r>
        <w:rPr>
          <w:i/>
          <w:spacing w:val="-14"/>
          <w:sz w:val="18"/>
        </w:rPr>
        <w:t> </w:t>
      </w:r>
      <w:r>
        <w:rPr>
          <w:i/>
          <w:sz w:val="18"/>
        </w:rPr>
        <w:t>item.</w:t>
      </w:r>
    </w:p>
    <w:p>
      <w:pPr>
        <w:pStyle w:val="BodyText"/>
        <w:spacing w:before="11"/>
        <w:rPr>
          <w:i/>
          <w:sz w:val="20"/>
        </w:rPr>
      </w:pPr>
    </w:p>
    <w:p>
      <w:pPr>
        <w:pStyle w:val="ListParagraph"/>
        <w:numPr>
          <w:ilvl w:val="2"/>
          <w:numId w:val="14"/>
        </w:numPr>
        <w:tabs>
          <w:tab w:pos="941" w:val="left" w:leader="none"/>
        </w:tabs>
        <w:spacing w:line="240" w:lineRule="auto" w:before="0" w:after="0"/>
        <w:ind w:left="940" w:right="0" w:hanging="721"/>
        <w:jc w:val="both"/>
        <w:rPr>
          <w:sz w:val="22"/>
        </w:rPr>
      </w:pPr>
      <w:bookmarkStart w:name="_bookmark68" w:id="136"/>
      <w:bookmarkEnd w:id="136"/>
      <w:r>
        <w:rPr/>
      </w:r>
      <w:bookmarkStart w:name="_bookmark68" w:id="137"/>
      <w:bookmarkEnd w:id="137"/>
      <w:r>
        <w:rPr>
          <w:color w:val="1F664D"/>
          <w:w w:val="105"/>
          <w:sz w:val="22"/>
        </w:rPr>
        <w:t>O</w:t>
      </w:r>
      <w:r>
        <w:rPr>
          <w:color w:val="1F664D"/>
          <w:w w:val="105"/>
          <w:sz w:val="22"/>
        </w:rPr>
        <w:t>ther</w:t>
      </w:r>
      <w:r>
        <w:rPr>
          <w:color w:val="1F664D"/>
          <w:spacing w:val="-6"/>
          <w:w w:val="105"/>
          <w:sz w:val="22"/>
        </w:rPr>
        <w:t> </w:t>
      </w:r>
      <w:r>
        <w:rPr>
          <w:color w:val="1F664D"/>
          <w:w w:val="105"/>
          <w:sz w:val="22"/>
        </w:rPr>
        <w:t>Assumptions</w:t>
      </w:r>
    </w:p>
    <w:p>
      <w:pPr>
        <w:pStyle w:val="BodyText"/>
        <w:spacing w:before="6"/>
        <w:rPr>
          <w:sz w:val="25"/>
        </w:rPr>
      </w:pPr>
    </w:p>
    <w:p>
      <w:pPr>
        <w:pStyle w:val="ListParagraph"/>
        <w:numPr>
          <w:ilvl w:val="3"/>
          <w:numId w:val="36"/>
        </w:numPr>
        <w:tabs>
          <w:tab w:pos="1085" w:val="left" w:leader="none"/>
        </w:tabs>
        <w:spacing w:line="240" w:lineRule="auto" w:before="0" w:after="0"/>
        <w:ind w:left="1084" w:right="0" w:hanging="865"/>
        <w:jc w:val="both"/>
        <w:rPr>
          <w:i/>
          <w:sz w:val="20"/>
        </w:rPr>
      </w:pPr>
      <w:r>
        <w:rPr>
          <w:i/>
          <w:color w:val="008000"/>
          <w:sz w:val="20"/>
        </w:rPr>
        <w:t>Vacancy</w:t>
      </w:r>
      <w:r>
        <w:rPr>
          <w:i/>
          <w:color w:val="008000"/>
          <w:spacing w:val="-4"/>
          <w:sz w:val="20"/>
        </w:rPr>
        <w:t> </w:t>
      </w:r>
      <w:r>
        <w:rPr>
          <w:i/>
          <w:color w:val="008000"/>
          <w:sz w:val="20"/>
        </w:rPr>
        <w:t>provision</w:t>
      </w:r>
    </w:p>
    <w:p>
      <w:pPr>
        <w:pStyle w:val="BodyText"/>
        <w:spacing w:line="321" w:lineRule="auto" w:before="76"/>
        <w:ind w:left="760" w:right="201"/>
        <w:jc w:val="both"/>
      </w:pPr>
      <w:r>
        <w:rPr/>
        <w:t>Based on the prevailing market benchmarks, a vacancy provision of 2.5% has been adopted upon assessment of terminal value</w:t>
      </w:r>
    </w:p>
    <w:p>
      <w:pPr>
        <w:pStyle w:val="BodyText"/>
        <w:spacing w:before="1"/>
        <w:rPr>
          <w:sz w:val="23"/>
        </w:rPr>
      </w:pPr>
    </w:p>
    <w:p>
      <w:pPr>
        <w:pStyle w:val="ListParagraph"/>
        <w:numPr>
          <w:ilvl w:val="3"/>
          <w:numId w:val="36"/>
        </w:numPr>
        <w:tabs>
          <w:tab w:pos="1085" w:val="left" w:leader="none"/>
        </w:tabs>
        <w:spacing w:line="240" w:lineRule="auto" w:before="0" w:after="0"/>
        <w:ind w:left="1084" w:right="0" w:hanging="865"/>
        <w:jc w:val="both"/>
        <w:rPr>
          <w:i/>
          <w:sz w:val="20"/>
        </w:rPr>
      </w:pPr>
      <w:r>
        <w:rPr>
          <w:i/>
          <w:color w:val="008000"/>
          <w:sz w:val="20"/>
        </w:rPr>
        <w:t>Revenue</w:t>
      </w:r>
      <w:r>
        <w:rPr>
          <w:i/>
          <w:color w:val="008000"/>
          <w:spacing w:val="-4"/>
          <w:sz w:val="20"/>
        </w:rPr>
        <w:t> </w:t>
      </w:r>
      <w:r>
        <w:rPr>
          <w:i/>
          <w:color w:val="008000"/>
          <w:sz w:val="20"/>
        </w:rPr>
        <w:t>escalation</w:t>
      </w:r>
    </w:p>
    <w:p>
      <w:pPr>
        <w:pStyle w:val="BodyText"/>
        <w:spacing w:line="321" w:lineRule="auto" w:before="76"/>
        <w:ind w:left="760" w:right="196"/>
        <w:jc w:val="both"/>
      </w:pPr>
      <w:r>
        <w:rPr/>
        <w:t>Based</w:t>
      </w:r>
      <w:r>
        <w:rPr>
          <w:spacing w:val="-17"/>
        </w:rPr>
        <w:t> </w:t>
      </w:r>
      <w:r>
        <w:rPr/>
        <w:t>on</w:t>
      </w:r>
      <w:r>
        <w:rPr>
          <w:spacing w:val="-16"/>
        </w:rPr>
        <w:t> </w:t>
      </w:r>
      <w:r>
        <w:rPr/>
        <w:t>prevailing</w:t>
      </w:r>
      <w:r>
        <w:rPr>
          <w:spacing w:val="-15"/>
        </w:rPr>
        <w:t> </w:t>
      </w:r>
      <w:r>
        <w:rPr/>
        <w:t>market</w:t>
      </w:r>
      <w:r>
        <w:rPr>
          <w:spacing w:val="-15"/>
        </w:rPr>
        <w:t> </w:t>
      </w:r>
      <w:r>
        <w:rPr/>
        <w:t>condition,</w:t>
      </w:r>
      <w:r>
        <w:rPr>
          <w:spacing w:val="-16"/>
        </w:rPr>
        <w:t> </w:t>
      </w:r>
      <w:r>
        <w:rPr/>
        <w:t>historical</w:t>
      </w:r>
      <w:r>
        <w:rPr>
          <w:spacing w:val="-16"/>
        </w:rPr>
        <w:t> </w:t>
      </w:r>
      <w:r>
        <w:rPr/>
        <w:t>rent</w:t>
      </w:r>
      <w:r>
        <w:rPr>
          <w:spacing w:val="-15"/>
        </w:rPr>
        <w:t> </w:t>
      </w:r>
      <w:r>
        <w:rPr/>
        <w:t>growth</w:t>
      </w:r>
      <w:r>
        <w:rPr>
          <w:spacing w:val="-16"/>
        </w:rPr>
        <w:t> </w:t>
      </w:r>
      <w:r>
        <w:rPr/>
        <w:t>achieved</w:t>
      </w:r>
      <w:r>
        <w:rPr>
          <w:spacing w:val="-16"/>
        </w:rPr>
        <w:t> </w:t>
      </w:r>
      <w:r>
        <w:rPr/>
        <w:t>by</w:t>
      </w:r>
      <w:r>
        <w:rPr>
          <w:spacing w:val="-16"/>
        </w:rPr>
        <w:t> </w:t>
      </w:r>
      <w:r>
        <w:rPr/>
        <w:t>the</w:t>
      </w:r>
      <w:r>
        <w:rPr>
          <w:spacing w:val="-17"/>
        </w:rPr>
        <w:t> </w:t>
      </w:r>
      <w:r>
        <w:rPr/>
        <w:t>subject</w:t>
      </w:r>
      <w:r>
        <w:rPr>
          <w:spacing w:val="-16"/>
        </w:rPr>
        <w:t> </w:t>
      </w:r>
      <w:r>
        <w:rPr/>
        <w:t>property</w:t>
      </w:r>
      <w:r>
        <w:rPr>
          <w:spacing w:val="-16"/>
        </w:rPr>
        <w:t> </w:t>
      </w:r>
      <w:r>
        <w:rPr/>
        <w:t>and</w:t>
      </w:r>
      <w:r>
        <w:rPr>
          <w:spacing w:val="-17"/>
        </w:rPr>
        <w:t> </w:t>
      </w:r>
      <w:r>
        <w:rPr/>
        <w:t>our interactions</w:t>
      </w:r>
      <w:r>
        <w:rPr>
          <w:spacing w:val="-39"/>
        </w:rPr>
        <w:t> </w:t>
      </w:r>
      <w:r>
        <w:rPr/>
        <w:t>with</w:t>
      </w:r>
      <w:r>
        <w:rPr>
          <w:spacing w:val="-40"/>
        </w:rPr>
        <w:t> </w:t>
      </w:r>
      <w:r>
        <w:rPr/>
        <w:t>market</w:t>
      </w:r>
      <w:r>
        <w:rPr>
          <w:spacing w:val="-39"/>
        </w:rPr>
        <w:t> </w:t>
      </w:r>
      <w:r>
        <w:rPr/>
        <w:t>participants,</w:t>
      </w:r>
      <w:r>
        <w:rPr>
          <w:spacing w:val="-39"/>
        </w:rPr>
        <w:t> </w:t>
      </w:r>
      <w:r>
        <w:rPr/>
        <w:t>Valuer</w:t>
      </w:r>
      <w:r>
        <w:rPr>
          <w:spacing w:val="-39"/>
        </w:rPr>
        <w:t> </w:t>
      </w:r>
      <w:r>
        <w:rPr/>
        <w:t>is</w:t>
      </w:r>
      <w:r>
        <w:rPr>
          <w:spacing w:val="-39"/>
        </w:rPr>
        <w:t> </w:t>
      </w:r>
      <w:r>
        <w:rPr/>
        <w:t>of</w:t>
      </w:r>
      <w:r>
        <w:rPr>
          <w:spacing w:val="-39"/>
        </w:rPr>
        <w:t> </w:t>
      </w:r>
      <w:r>
        <w:rPr/>
        <w:t>the</w:t>
      </w:r>
      <w:r>
        <w:rPr>
          <w:spacing w:val="-39"/>
        </w:rPr>
        <w:t> </w:t>
      </w:r>
      <w:r>
        <w:rPr/>
        <w:t>option</w:t>
      </w:r>
      <w:r>
        <w:rPr>
          <w:spacing w:val="-39"/>
        </w:rPr>
        <w:t> </w:t>
      </w:r>
      <w:r>
        <w:rPr/>
        <w:t>that</w:t>
      </w:r>
      <w:r>
        <w:rPr>
          <w:spacing w:val="-39"/>
        </w:rPr>
        <w:t> </w:t>
      </w:r>
      <w:r>
        <w:rPr/>
        <w:t>the</w:t>
      </w:r>
      <w:r>
        <w:rPr>
          <w:spacing w:val="-39"/>
        </w:rPr>
        <w:t> </w:t>
      </w:r>
      <w:r>
        <w:rPr/>
        <w:t>annual</w:t>
      </w:r>
      <w:r>
        <w:rPr>
          <w:spacing w:val="-38"/>
        </w:rPr>
        <w:t> </w:t>
      </w:r>
      <w:r>
        <w:rPr/>
        <w:t>marginal</w:t>
      </w:r>
      <w:r>
        <w:rPr>
          <w:spacing w:val="-39"/>
        </w:rPr>
        <w:t> </w:t>
      </w:r>
      <w:r>
        <w:rPr/>
        <w:t>rent</w:t>
      </w:r>
      <w:r>
        <w:rPr>
          <w:spacing w:val="-40"/>
        </w:rPr>
        <w:t> </w:t>
      </w:r>
      <w:r>
        <w:rPr/>
        <w:t>growth</w:t>
      </w:r>
      <w:r>
        <w:rPr>
          <w:spacing w:val="-39"/>
        </w:rPr>
        <w:t> </w:t>
      </w:r>
      <w:r>
        <w:rPr/>
        <w:t>for</w:t>
      </w:r>
      <w:r>
        <w:rPr>
          <w:spacing w:val="-38"/>
        </w:rPr>
        <w:t> </w:t>
      </w:r>
      <w:r>
        <w:rPr/>
        <w:t>the subject</w:t>
      </w:r>
      <w:r>
        <w:rPr>
          <w:spacing w:val="-8"/>
        </w:rPr>
        <w:t> </w:t>
      </w:r>
      <w:r>
        <w:rPr/>
        <w:t>property</w:t>
      </w:r>
      <w:r>
        <w:rPr>
          <w:spacing w:val="-8"/>
        </w:rPr>
        <w:t> </w:t>
      </w:r>
      <w:r>
        <w:rPr/>
        <w:t>will</w:t>
      </w:r>
      <w:r>
        <w:rPr>
          <w:spacing w:val="-9"/>
        </w:rPr>
        <w:t> </w:t>
      </w:r>
      <w:r>
        <w:rPr/>
        <w:t>be</w:t>
      </w:r>
      <w:r>
        <w:rPr>
          <w:spacing w:val="-7"/>
        </w:rPr>
        <w:t> </w:t>
      </w:r>
      <w:r>
        <w:rPr/>
        <w:t>2.5%</w:t>
      </w:r>
      <w:r>
        <w:rPr>
          <w:spacing w:val="-7"/>
        </w:rPr>
        <w:t> </w:t>
      </w:r>
      <w:r>
        <w:rPr/>
        <w:t>till</w:t>
      </w:r>
      <w:r>
        <w:rPr>
          <w:spacing w:val="-9"/>
        </w:rPr>
        <w:t> </w:t>
      </w:r>
      <w:r>
        <w:rPr/>
        <w:t>Q3,</w:t>
      </w:r>
      <w:r>
        <w:rPr>
          <w:spacing w:val="-7"/>
        </w:rPr>
        <w:t> </w:t>
      </w:r>
      <w:r>
        <w:rPr/>
        <w:t>FY</w:t>
      </w:r>
      <w:r>
        <w:rPr>
          <w:spacing w:val="-7"/>
        </w:rPr>
        <w:t> </w:t>
      </w:r>
      <w:r>
        <w:rPr/>
        <w:t>2021</w:t>
      </w:r>
      <w:r>
        <w:rPr>
          <w:spacing w:val="-8"/>
        </w:rPr>
        <w:t> </w:t>
      </w:r>
      <w:r>
        <w:rPr/>
        <w:t>and</w:t>
      </w:r>
      <w:r>
        <w:rPr>
          <w:spacing w:val="-9"/>
        </w:rPr>
        <w:t> </w:t>
      </w:r>
      <w:r>
        <w:rPr/>
        <w:t>then</w:t>
      </w:r>
      <w:r>
        <w:rPr>
          <w:spacing w:val="-9"/>
        </w:rPr>
        <w:t> </w:t>
      </w:r>
      <w:r>
        <w:rPr/>
        <w:t>stabilize</w:t>
      </w:r>
      <w:r>
        <w:rPr>
          <w:spacing w:val="-8"/>
        </w:rPr>
        <w:t> </w:t>
      </w:r>
      <w:r>
        <w:rPr/>
        <w:t>at</w:t>
      </w:r>
      <w:r>
        <w:rPr>
          <w:spacing w:val="-7"/>
        </w:rPr>
        <w:t> </w:t>
      </w:r>
      <w:r>
        <w:rPr/>
        <w:t>of</w:t>
      </w:r>
      <w:r>
        <w:rPr>
          <w:spacing w:val="-7"/>
        </w:rPr>
        <w:t> </w:t>
      </w:r>
      <w:r>
        <w:rPr/>
        <w:t>5.0%</w:t>
      </w:r>
      <w:r>
        <w:rPr>
          <w:spacing w:val="-10"/>
        </w:rPr>
        <w:t> </w:t>
      </w:r>
      <w:r>
        <w:rPr/>
        <w:t>going</w:t>
      </w:r>
      <w:r>
        <w:rPr>
          <w:spacing w:val="-7"/>
        </w:rPr>
        <w:t> </w:t>
      </w:r>
      <w:r>
        <w:rPr/>
        <w:t>forward.</w:t>
      </w:r>
    </w:p>
    <w:p>
      <w:pPr>
        <w:pStyle w:val="BodyText"/>
        <w:spacing w:before="4"/>
        <w:rPr>
          <w:sz w:val="23"/>
        </w:rPr>
      </w:pPr>
    </w:p>
    <w:p>
      <w:pPr>
        <w:pStyle w:val="ListParagraph"/>
        <w:numPr>
          <w:ilvl w:val="3"/>
          <w:numId w:val="36"/>
        </w:numPr>
        <w:tabs>
          <w:tab w:pos="1085" w:val="left" w:leader="none"/>
        </w:tabs>
        <w:spacing w:line="240" w:lineRule="auto" w:before="1" w:after="0"/>
        <w:ind w:left="1084" w:right="0" w:hanging="865"/>
        <w:jc w:val="both"/>
        <w:rPr>
          <w:i/>
          <w:sz w:val="20"/>
        </w:rPr>
      </w:pPr>
      <w:r>
        <w:rPr>
          <w:i/>
          <w:color w:val="008000"/>
          <w:sz w:val="20"/>
        </w:rPr>
        <w:t>Rent </w:t>
      </w:r>
      <w:r>
        <w:rPr>
          <w:i/>
          <w:color w:val="008000"/>
          <w:w w:val="105"/>
          <w:sz w:val="20"/>
        </w:rPr>
        <w:t>– </w:t>
      </w:r>
      <w:r>
        <w:rPr>
          <w:i/>
          <w:color w:val="008000"/>
          <w:sz w:val="20"/>
        </w:rPr>
        <w:t>free</w:t>
      </w:r>
      <w:r>
        <w:rPr>
          <w:i/>
          <w:color w:val="008000"/>
          <w:spacing w:val="-13"/>
          <w:sz w:val="20"/>
        </w:rPr>
        <w:t> </w:t>
      </w:r>
      <w:r>
        <w:rPr>
          <w:i/>
          <w:color w:val="008000"/>
          <w:sz w:val="20"/>
        </w:rPr>
        <w:t>period</w:t>
      </w:r>
    </w:p>
    <w:p>
      <w:pPr>
        <w:pStyle w:val="BodyText"/>
        <w:spacing w:line="324" w:lineRule="auto" w:before="75"/>
        <w:ind w:left="760" w:right="194"/>
        <w:jc w:val="both"/>
      </w:pPr>
      <w:r>
        <w:rPr/>
        <w:t>Based on the trend prevalent in the subject sub market, we have considered a rent free period of 3 months for the subject property from the lease commencement date (for future / new leases)</w:t>
      </w:r>
    </w:p>
    <w:p>
      <w:pPr>
        <w:pStyle w:val="BodyText"/>
        <w:spacing w:before="11"/>
      </w:pPr>
    </w:p>
    <w:p>
      <w:pPr>
        <w:pStyle w:val="ListParagraph"/>
        <w:numPr>
          <w:ilvl w:val="3"/>
          <w:numId w:val="36"/>
        </w:numPr>
        <w:tabs>
          <w:tab w:pos="1085" w:val="left" w:leader="none"/>
        </w:tabs>
        <w:spacing w:line="240" w:lineRule="auto" w:before="0" w:after="0"/>
        <w:ind w:left="1084" w:right="0" w:hanging="865"/>
        <w:jc w:val="both"/>
        <w:rPr>
          <w:i/>
          <w:sz w:val="20"/>
        </w:rPr>
      </w:pPr>
      <w:r>
        <w:rPr>
          <w:i/>
          <w:color w:val="008000"/>
          <w:sz w:val="20"/>
        </w:rPr>
        <w:t>Brokerage</w:t>
      </w:r>
    </w:p>
    <w:p>
      <w:pPr>
        <w:pStyle w:val="BodyText"/>
        <w:spacing w:line="321" w:lineRule="auto" w:before="76"/>
        <w:ind w:left="760" w:right="193"/>
        <w:jc w:val="both"/>
      </w:pPr>
      <w:r>
        <w:rPr/>
        <w:t>Based</w:t>
      </w:r>
      <w:r>
        <w:rPr>
          <w:spacing w:val="-4"/>
        </w:rPr>
        <w:t> </w:t>
      </w:r>
      <w:r>
        <w:rPr/>
        <w:t>on</w:t>
      </w:r>
      <w:r>
        <w:rPr>
          <w:spacing w:val="-5"/>
        </w:rPr>
        <w:t> </w:t>
      </w:r>
      <w:r>
        <w:rPr/>
        <w:t>prevalent</w:t>
      </w:r>
      <w:r>
        <w:rPr>
          <w:spacing w:val="-5"/>
        </w:rPr>
        <w:t> </w:t>
      </w:r>
      <w:r>
        <w:rPr/>
        <w:t>market</w:t>
      </w:r>
      <w:r>
        <w:rPr>
          <w:spacing w:val="-4"/>
        </w:rPr>
        <w:t> </w:t>
      </w:r>
      <w:r>
        <w:rPr/>
        <w:t>dynamics,</w:t>
      </w:r>
      <w:r>
        <w:rPr>
          <w:spacing w:val="-7"/>
        </w:rPr>
        <w:t> </w:t>
      </w:r>
      <w:r>
        <w:rPr/>
        <w:t>we</w:t>
      </w:r>
      <w:r>
        <w:rPr>
          <w:spacing w:val="-5"/>
        </w:rPr>
        <w:t> </w:t>
      </w:r>
      <w:r>
        <w:rPr/>
        <w:t>have</w:t>
      </w:r>
      <w:r>
        <w:rPr>
          <w:spacing w:val="-5"/>
        </w:rPr>
        <w:t> </w:t>
      </w:r>
      <w:r>
        <w:rPr/>
        <w:t>considered</w:t>
      </w:r>
      <w:r>
        <w:rPr>
          <w:spacing w:val="-4"/>
        </w:rPr>
        <w:t> </w:t>
      </w:r>
      <w:r>
        <w:rPr/>
        <w:t>brokerage</w:t>
      </w:r>
      <w:r>
        <w:rPr>
          <w:spacing w:val="-5"/>
        </w:rPr>
        <w:t> </w:t>
      </w:r>
      <w:r>
        <w:rPr/>
        <w:t>equivalent</w:t>
      </w:r>
      <w:r>
        <w:rPr>
          <w:spacing w:val="-5"/>
        </w:rPr>
        <w:t> </w:t>
      </w:r>
      <w:r>
        <w:rPr/>
        <w:t>to</w:t>
      </w:r>
      <w:r>
        <w:rPr>
          <w:spacing w:val="1"/>
        </w:rPr>
        <w:t> </w:t>
      </w:r>
      <w:r>
        <w:rPr/>
        <w:t>2</w:t>
      </w:r>
      <w:r>
        <w:rPr>
          <w:spacing w:val="-4"/>
        </w:rPr>
        <w:t> </w:t>
      </w:r>
      <w:r>
        <w:rPr/>
        <w:t>month</w:t>
      </w:r>
      <w:r>
        <w:rPr>
          <w:spacing w:val="-5"/>
        </w:rPr>
        <w:t> </w:t>
      </w:r>
      <w:r>
        <w:rPr/>
        <w:t>of</w:t>
      </w:r>
      <w:r>
        <w:rPr>
          <w:spacing w:val="-4"/>
        </w:rPr>
        <w:t> </w:t>
      </w:r>
      <w:r>
        <w:rPr/>
        <w:t>rental income for future / new</w:t>
      </w:r>
      <w:r>
        <w:rPr>
          <w:spacing w:val="-18"/>
        </w:rPr>
        <w:t> </w:t>
      </w:r>
      <w:r>
        <w:rPr/>
        <w:t>leases</w:t>
      </w:r>
    </w:p>
    <w:p>
      <w:pPr>
        <w:pStyle w:val="BodyText"/>
        <w:spacing w:before="1"/>
        <w:rPr>
          <w:sz w:val="23"/>
        </w:rPr>
      </w:pPr>
    </w:p>
    <w:p>
      <w:pPr>
        <w:pStyle w:val="ListParagraph"/>
        <w:numPr>
          <w:ilvl w:val="3"/>
          <w:numId w:val="36"/>
        </w:numPr>
        <w:tabs>
          <w:tab w:pos="1085" w:val="left" w:leader="none"/>
        </w:tabs>
        <w:spacing w:line="240" w:lineRule="auto" w:before="0" w:after="0"/>
        <w:ind w:left="1084" w:right="0" w:hanging="865"/>
        <w:jc w:val="left"/>
        <w:rPr>
          <w:i/>
          <w:sz w:val="20"/>
        </w:rPr>
      </w:pPr>
      <w:r>
        <w:rPr>
          <w:i/>
          <w:color w:val="008000"/>
          <w:sz w:val="20"/>
        </w:rPr>
        <w:t>CAM under</w:t>
      </w:r>
      <w:r>
        <w:rPr>
          <w:i/>
          <w:color w:val="008000"/>
          <w:spacing w:val="-8"/>
          <w:sz w:val="20"/>
        </w:rPr>
        <w:t> </w:t>
      </w:r>
      <w:r>
        <w:rPr>
          <w:i/>
          <w:color w:val="008000"/>
          <w:sz w:val="20"/>
        </w:rPr>
        <w:t>recoveries</w:t>
      </w:r>
    </w:p>
    <w:p>
      <w:pPr>
        <w:pStyle w:val="BodyText"/>
        <w:spacing w:before="75"/>
        <w:ind w:left="760"/>
      </w:pPr>
      <w:r>
        <w:rPr/>
        <w:t>We</w:t>
      </w:r>
      <w:r>
        <w:rPr>
          <w:spacing w:val="-20"/>
        </w:rPr>
        <w:t> </w:t>
      </w:r>
      <w:r>
        <w:rPr/>
        <w:t>have</w:t>
      </w:r>
      <w:r>
        <w:rPr>
          <w:spacing w:val="-20"/>
        </w:rPr>
        <w:t> </w:t>
      </w:r>
      <w:r>
        <w:rPr/>
        <w:t>highlighted</w:t>
      </w:r>
      <w:r>
        <w:rPr>
          <w:spacing w:val="-18"/>
        </w:rPr>
        <w:t> </w:t>
      </w:r>
      <w:r>
        <w:rPr/>
        <w:t>expense</w:t>
      </w:r>
      <w:r>
        <w:rPr>
          <w:spacing w:val="-20"/>
        </w:rPr>
        <w:t> </w:t>
      </w:r>
      <w:r>
        <w:rPr/>
        <w:t>towards</w:t>
      </w:r>
      <w:r>
        <w:rPr>
          <w:spacing w:val="-20"/>
        </w:rPr>
        <w:t> </w:t>
      </w:r>
      <w:r>
        <w:rPr/>
        <w:t>maintenance</w:t>
      </w:r>
      <w:r>
        <w:rPr>
          <w:spacing w:val="-20"/>
        </w:rPr>
        <w:t> </w:t>
      </w:r>
      <w:r>
        <w:rPr/>
        <w:t>as</w:t>
      </w:r>
      <w:r>
        <w:rPr>
          <w:spacing w:val="-20"/>
        </w:rPr>
        <w:t> </w:t>
      </w:r>
      <w:r>
        <w:rPr/>
        <w:t>CAM</w:t>
      </w:r>
      <w:r>
        <w:rPr>
          <w:spacing w:val="-20"/>
        </w:rPr>
        <w:t> </w:t>
      </w:r>
      <w:r>
        <w:rPr/>
        <w:t>under</w:t>
      </w:r>
      <w:r>
        <w:rPr>
          <w:spacing w:val="-22"/>
        </w:rPr>
        <w:t> </w:t>
      </w:r>
      <w:r>
        <w:rPr/>
        <w:t>recoveries</w:t>
      </w:r>
      <w:r>
        <w:rPr>
          <w:spacing w:val="-18"/>
        </w:rPr>
        <w:t> </w:t>
      </w:r>
      <w:r>
        <w:rPr/>
        <w:t>for</w:t>
      </w:r>
      <w:r>
        <w:rPr>
          <w:spacing w:val="-22"/>
        </w:rPr>
        <w:t> </w:t>
      </w:r>
      <w:r>
        <w:rPr/>
        <w:t>months</w:t>
      </w:r>
      <w:r>
        <w:rPr>
          <w:spacing w:val="-21"/>
        </w:rPr>
        <w:t> </w:t>
      </w:r>
      <w:r>
        <w:rPr/>
        <w:t>when</w:t>
      </w:r>
      <w:r>
        <w:rPr>
          <w:spacing w:val="-22"/>
        </w:rPr>
        <w:t> </w:t>
      </w:r>
      <w:r>
        <w:rPr/>
        <w:t>no</w:t>
      </w:r>
      <w:r>
        <w:rPr>
          <w:spacing w:val="-20"/>
        </w:rPr>
        <w:t> </w:t>
      </w:r>
      <w:r>
        <w:rPr/>
        <w:t>rental</w:t>
      </w:r>
    </w:p>
    <w:p>
      <w:pPr>
        <w:pStyle w:val="BodyText"/>
        <w:spacing w:before="88"/>
        <w:ind w:left="760"/>
      </w:pPr>
      <w:r>
        <w:rPr/>
        <w:t>/ CAM income is received</w:t>
      </w:r>
    </w:p>
    <w:p>
      <w:pPr>
        <w:pStyle w:val="BodyText"/>
        <w:spacing w:before="3"/>
        <w:rPr>
          <w:sz w:val="28"/>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69" w:id="138"/>
      <w:bookmarkEnd w:id="138"/>
      <w:r>
        <w:rPr/>
      </w:r>
      <w:bookmarkStart w:name="_bookmark69" w:id="139"/>
      <w:bookmarkEnd w:id="139"/>
      <w:r>
        <w:rPr>
          <w:color w:val="1F664D"/>
          <w:sz w:val="22"/>
        </w:rPr>
        <w:t>Ca</w:t>
      </w:r>
      <w:r>
        <w:rPr>
          <w:color w:val="1F664D"/>
          <w:sz w:val="22"/>
        </w:rPr>
        <w:t>pitalization</w:t>
      </w:r>
      <w:r>
        <w:rPr>
          <w:color w:val="1F664D"/>
          <w:spacing w:val="-2"/>
          <w:sz w:val="22"/>
        </w:rPr>
        <w:t> </w:t>
      </w:r>
      <w:r>
        <w:rPr>
          <w:color w:val="1F664D"/>
          <w:sz w:val="22"/>
        </w:rPr>
        <w:t>Rates</w:t>
      </w:r>
    </w:p>
    <w:p>
      <w:pPr>
        <w:pStyle w:val="BodyText"/>
        <w:spacing w:line="321" w:lineRule="auto" w:before="208"/>
        <w:ind w:left="851" w:right="205"/>
        <w:jc w:val="both"/>
      </w:pPr>
      <w:r>
        <w:rPr/>
        <w:t>As highlighted in section 3.3, the cap rate adopted for the office spaces are 8% with an EV/ EBITDA multiple of 14 for the hotel component.</w:t>
      </w:r>
    </w:p>
    <w:p>
      <w:pPr>
        <w:pStyle w:val="BodyText"/>
        <w:spacing w:before="10"/>
        <w:rPr>
          <w:sz w:val="2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70" w:id="140"/>
      <w:bookmarkEnd w:id="140"/>
      <w:r>
        <w:rPr/>
      </w:r>
      <w:bookmarkStart w:name="_bookmark70" w:id="141"/>
      <w:bookmarkEnd w:id="141"/>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8"/>
        <w:ind w:left="851" w:right="195"/>
        <w:jc w:val="both"/>
      </w:pPr>
      <w:r>
        <w:rPr/>
        <w:t>For</w:t>
      </w:r>
      <w:r>
        <w:rPr>
          <w:spacing w:val="-6"/>
        </w:rPr>
        <w:t> </w:t>
      </w:r>
      <w:r>
        <w:rPr/>
        <w:t>discounting</w:t>
      </w:r>
      <w:r>
        <w:rPr>
          <w:spacing w:val="-5"/>
        </w:rPr>
        <w:t> </w:t>
      </w:r>
      <w:r>
        <w:rPr/>
        <w:t>the</w:t>
      </w:r>
      <w:r>
        <w:rPr>
          <w:spacing w:val="-4"/>
        </w:rPr>
        <w:t> </w:t>
      </w:r>
      <w:r>
        <w:rPr/>
        <w:t>cash</w:t>
      </w:r>
      <w:r>
        <w:rPr>
          <w:spacing w:val="-7"/>
        </w:rPr>
        <w:t> </w:t>
      </w:r>
      <w:r>
        <w:rPr/>
        <w:t>flows,</w:t>
      </w:r>
      <w:r>
        <w:rPr>
          <w:spacing w:val="-6"/>
        </w:rPr>
        <w:t> </w:t>
      </w:r>
      <w:r>
        <w:rPr/>
        <w:t>the</w:t>
      </w:r>
      <w:r>
        <w:rPr>
          <w:spacing w:val="-5"/>
        </w:rPr>
        <w:t> </w:t>
      </w:r>
      <w:r>
        <w:rPr/>
        <w:t>appropriate</w:t>
      </w:r>
      <w:r>
        <w:rPr>
          <w:spacing w:val="-6"/>
        </w:rPr>
        <w:t> </w:t>
      </w:r>
      <w:r>
        <w:rPr/>
        <w:t>discounting</w:t>
      </w:r>
      <w:r>
        <w:rPr>
          <w:spacing w:val="-4"/>
        </w:rPr>
        <w:t> </w:t>
      </w:r>
      <w:r>
        <w:rPr/>
        <w:t>rate</w:t>
      </w:r>
      <w:r>
        <w:rPr>
          <w:spacing w:val="-5"/>
        </w:rPr>
        <w:t> </w:t>
      </w:r>
      <w:r>
        <w:rPr/>
        <w:t>has</w:t>
      </w:r>
      <w:r>
        <w:rPr>
          <w:spacing w:val="-5"/>
        </w:rPr>
        <w:t> </w:t>
      </w:r>
      <w:r>
        <w:rPr/>
        <w:t>been</w:t>
      </w:r>
      <w:r>
        <w:rPr>
          <w:spacing w:val="-5"/>
        </w:rPr>
        <w:t> </w:t>
      </w:r>
      <w:r>
        <w:rPr/>
        <w:t>calculated</w:t>
      </w:r>
      <w:r>
        <w:rPr>
          <w:spacing w:val="-5"/>
        </w:rPr>
        <w:t> </w:t>
      </w:r>
      <w:r>
        <w:rPr/>
        <w:t>on</w:t>
      </w:r>
      <w:r>
        <w:rPr>
          <w:spacing w:val="-6"/>
        </w:rPr>
        <w:t> </w:t>
      </w:r>
      <w:r>
        <w:rPr/>
        <w:t>the</w:t>
      </w:r>
      <w:r>
        <w:rPr>
          <w:spacing w:val="-4"/>
        </w:rPr>
        <w:t> </w:t>
      </w:r>
      <w:r>
        <w:rPr/>
        <w:t>basis</w:t>
      </w:r>
      <w:r>
        <w:rPr>
          <w:spacing w:val="-7"/>
        </w:rPr>
        <w:t> </w:t>
      </w:r>
      <w:r>
        <w:rPr/>
        <w:t>of estimated ‘Weighted Average Cost of Capital’ (WACC). The detailed analysis of WACC rate adopted for</w:t>
      </w:r>
      <w:r>
        <w:rPr>
          <w:spacing w:val="-9"/>
        </w:rPr>
        <w:t> </w:t>
      </w:r>
      <w:r>
        <w:rPr/>
        <w:t>the</w:t>
      </w:r>
      <w:r>
        <w:rPr>
          <w:spacing w:val="-9"/>
        </w:rPr>
        <w:t> </w:t>
      </w:r>
      <w:r>
        <w:rPr/>
        <w:t>subject</w:t>
      </w:r>
      <w:r>
        <w:rPr>
          <w:spacing w:val="-10"/>
        </w:rPr>
        <w:t> </w:t>
      </w:r>
      <w:r>
        <w:rPr/>
        <w:t>property</w:t>
      </w:r>
      <w:r>
        <w:rPr>
          <w:spacing w:val="-6"/>
        </w:rPr>
        <w:t> </w:t>
      </w:r>
      <w:r>
        <w:rPr/>
        <w:t>has</w:t>
      </w:r>
      <w:r>
        <w:rPr>
          <w:spacing w:val="-7"/>
        </w:rPr>
        <w:t> </w:t>
      </w:r>
      <w:r>
        <w:rPr/>
        <w:t>been</w:t>
      </w:r>
      <w:r>
        <w:rPr>
          <w:spacing w:val="-9"/>
        </w:rPr>
        <w:t> </w:t>
      </w:r>
      <w:r>
        <w:rPr/>
        <w:t>detailed</w:t>
      </w:r>
      <w:r>
        <w:rPr>
          <w:spacing w:val="-7"/>
        </w:rPr>
        <w:t> </w:t>
      </w:r>
      <w:r>
        <w:rPr/>
        <w:t>in</w:t>
      </w:r>
      <w:r>
        <w:rPr>
          <w:spacing w:val="-9"/>
        </w:rPr>
        <w:t> </w:t>
      </w:r>
      <w:r>
        <w:rPr/>
        <w:t>Section</w:t>
      </w:r>
      <w:r>
        <w:rPr>
          <w:spacing w:val="-9"/>
        </w:rPr>
        <w:t> </w:t>
      </w:r>
      <w:r>
        <w:rPr/>
        <w:t>3.4</w:t>
      </w:r>
      <w:r>
        <w:rPr>
          <w:spacing w:val="-9"/>
        </w:rPr>
        <w:t> </w:t>
      </w:r>
      <w:r>
        <w:rPr/>
        <w:t>of</w:t>
      </w:r>
      <w:r>
        <w:rPr>
          <w:spacing w:val="-7"/>
        </w:rPr>
        <w:t> </w:t>
      </w:r>
      <w:r>
        <w:rPr/>
        <w:t>this</w:t>
      </w:r>
      <w:r>
        <w:rPr>
          <w:spacing w:val="-8"/>
        </w:rPr>
        <w:t> </w:t>
      </w:r>
      <w:r>
        <w:rPr/>
        <w:t>report.</w:t>
      </w:r>
    </w:p>
    <w:p>
      <w:pPr>
        <w:pStyle w:val="BodyText"/>
        <w:spacing w:before="7"/>
        <w:rPr>
          <w:sz w:val="20"/>
        </w:rPr>
      </w:pPr>
    </w:p>
    <w:p>
      <w:pPr>
        <w:pStyle w:val="ListParagraph"/>
        <w:numPr>
          <w:ilvl w:val="1"/>
          <w:numId w:val="32"/>
        </w:numPr>
        <w:tabs>
          <w:tab w:pos="796" w:val="left" w:leader="none"/>
          <w:tab w:pos="797" w:val="left" w:leader="none"/>
        </w:tabs>
        <w:spacing w:line="240" w:lineRule="auto" w:before="1" w:after="0"/>
        <w:ind w:left="796" w:right="0" w:hanging="577"/>
        <w:jc w:val="left"/>
        <w:rPr>
          <w:color w:val="1F6647"/>
          <w:sz w:val="22"/>
        </w:rPr>
      </w:pPr>
      <w:bookmarkStart w:name="_bookmark71" w:id="142"/>
      <w:bookmarkEnd w:id="142"/>
      <w:r>
        <w:rPr/>
      </w:r>
      <w:bookmarkStart w:name="_bookmark71" w:id="143"/>
      <w:bookmarkEnd w:id="143"/>
      <w:r>
        <w:rPr>
          <w:color w:val="1F6647"/>
          <w:sz w:val="22"/>
        </w:rPr>
        <w:t>V</w:t>
      </w:r>
      <w:r>
        <w:rPr>
          <w:color w:val="1F6647"/>
          <w:sz w:val="22"/>
        </w:rPr>
        <w:t>alue of the Subject</w:t>
      </w:r>
      <w:r>
        <w:rPr>
          <w:color w:val="1F6647"/>
          <w:spacing w:val="-9"/>
          <w:sz w:val="22"/>
        </w:rPr>
        <w:t> </w:t>
      </w:r>
      <w:r>
        <w:rPr>
          <w:color w:val="1F6647"/>
          <w:sz w:val="22"/>
        </w:rPr>
        <w:t>Property</w:t>
      </w:r>
    </w:p>
    <w:p>
      <w:pPr>
        <w:pStyle w:val="BodyText"/>
        <w:spacing w:before="208"/>
        <w:ind w:left="851"/>
      </w:pPr>
      <w:r>
        <w:rPr/>
        <w:t>Based on the above mentioned analysis, the value of the subject property is estimated as follows:</w:t>
      </w:r>
    </w:p>
    <w:p>
      <w:pPr>
        <w:spacing w:after="0"/>
        <w:sectPr>
          <w:pgSz w:w="11910" w:h="16840"/>
          <w:pgMar w:header="720" w:footer="842" w:top="1660" w:bottom="1040" w:left="500" w:right="520"/>
        </w:sectPr>
      </w:pPr>
    </w:p>
    <w:p>
      <w:pPr>
        <w:pStyle w:val="BodyText"/>
        <w:spacing w:before="7"/>
        <w:rPr>
          <w:sz w:val="19"/>
        </w:rPr>
      </w:pPr>
      <w:bookmarkStart w:name="_bookmark72" w:id="144"/>
      <w:bookmarkEnd w:id="144"/>
      <w:r>
        <w:rPr/>
      </w:r>
      <w:r>
        <w:rPr>
          <w:sz w:val="19"/>
        </w:rPr>
      </w: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97"/>
        <w:gridCol w:w="2388"/>
        <w:gridCol w:w="1973"/>
        <w:gridCol w:w="2429"/>
      </w:tblGrid>
      <w:tr>
        <w:trPr>
          <w:trHeight w:val="347" w:hRule="atLeast"/>
        </w:trPr>
        <w:tc>
          <w:tcPr>
            <w:tcW w:w="3697" w:type="dxa"/>
            <w:tcBorders>
              <w:top w:val="single" w:sz="12" w:space="0" w:color="1F6B16"/>
              <w:bottom w:val="single" w:sz="6" w:space="0" w:color="69BD28"/>
            </w:tcBorders>
            <w:shd w:val="clear" w:color="auto" w:fill="006A4D"/>
          </w:tcPr>
          <w:p>
            <w:pPr>
              <w:pStyle w:val="TableParagraph"/>
              <w:spacing w:before="56"/>
              <w:ind w:left="673" w:right="850"/>
              <w:rPr>
                <w:sz w:val="20"/>
              </w:rPr>
            </w:pPr>
            <w:r>
              <w:rPr>
                <w:color w:val="FFFFFF"/>
                <w:sz w:val="20"/>
              </w:rPr>
              <w:t>Component</w:t>
            </w:r>
          </w:p>
        </w:tc>
        <w:tc>
          <w:tcPr>
            <w:tcW w:w="2388" w:type="dxa"/>
            <w:tcBorders>
              <w:top w:val="single" w:sz="12" w:space="0" w:color="1F6B16"/>
              <w:bottom w:val="single" w:sz="6" w:space="0" w:color="69BD28"/>
            </w:tcBorders>
            <w:shd w:val="clear" w:color="auto" w:fill="006A4D"/>
          </w:tcPr>
          <w:p>
            <w:pPr>
              <w:pStyle w:val="TableParagraph"/>
              <w:spacing w:before="56"/>
              <w:ind w:left="855" w:right="142"/>
              <w:rPr>
                <w:sz w:val="20"/>
              </w:rPr>
            </w:pPr>
            <w:r>
              <w:rPr>
                <w:color w:val="FFFFFF"/>
                <w:sz w:val="20"/>
              </w:rPr>
              <w:t>Value (INR Mn)</w:t>
            </w:r>
          </w:p>
        </w:tc>
        <w:tc>
          <w:tcPr>
            <w:tcW w:w="1973" w:type="dxa"/>
            <w:tcBorders>
              <w:top w:val="single" w:sz="12" w:space="0" w:color="1F6B16"/>
              <w:bottom w:val="single" w:sz="6" w:space="0" w:color="69BD28"/>
            </w:tcBorders>
            <w:shd w:val="clear" w:color="auto" w:fill="006A4D"/>
          </w:tcPr>
          <w:p>
            <w:pPr>
              <w:pStyle w:val="TableParagraph"/>
              <w:jc w:val="left"/>
              <w:rPr>
                <w:rFonts w:ascii="Times New Roman"/>
                <w:sz w:val="18"/>
              </w:rPr>
            </w:pPr>
          </w:p>
        </w:tc>
        <w:tc>
          <w:tcPr>
            <w:tcW w:w="2429" w:type="dxa"/>
            <w:tcBorders>
              <w:top w:val="single" w:sz="12" w:space="0" w:color="1F6B16"/>
              <w:bottom w:val="single" w:sz="6" w:space="0" w:color="69BD28"/>
            </w:tcBorders>
            <w:shd w:val="clear" w:color="auto" w:fill="006A4D"/>
          </w:tcPr>
          <w:p>
            <w:pPr>
              <w:pStyle w:val="TableParagraph"/>
              <w:spacing w:before="56"/>
              <w:ind w:left="329"/>
              <w:jc w:val="left"/>
              <w:rPr>
                <w:sz w:val="20"/>
              </w:rPr>
            </w:pPr>
            <w:r>
              <w:rPr>
                <w:color w:val="FFFFFF"/>
                <w:w w:val="110"/>
                <w:sz w:val="20"/>
              </w:rPr>
              <w:t>% Share</w:t>
            </w:r>
          </w:p>
        </w:tc>
      </w:tr>
      <w:tr>
        <w:trPr>
          <w:trHeight w:val="361" w:hRule="atLeast"/>
        </w:trPr>
        <w:tc>
          <w:tcPr>
            <w:tcW w:w="3697" w:type="dxa"/>
            <w:tcBorders>
              <w:top w:val="single" w:sz="6" w:space="0" w:color="69BD28"/>
              <w:bottom w:val="single" w:sz="6" w:space="0" w:color="69BD28"/>
            </w:tcBorders>
          </w:tcPr>
          <w:p>
            <w:pPr>
              <w:pStyle w:val="TableParagraph"/>
              <w:spacing w:before="78"/>
              <w:ind w:left="675" w:right="850"/>
              <w:rPr>
                <w:sz w:val="18"/>
              </w:rPr>
            </w:pPr>
            <w:r>
              <w:rPr>
                <w:sz w:val="18"/>
              </w:rPr>
              <w:t>Operational Blocks</w:t>
            </w:r>
          </w:p>
        </w:tc>
        <w:tc>
          <w:tcPr>
            <w:tcW w:w="2388" w:type="dxa"/>
            <w:tcBorders>
              <w:top w:val="single" w:sz="6" w:space="0" w:color="69BD28"/>
              <w:bottom w:val="single" w:sz="6" w:space="0" w:color="69BD28"/>
            </w:tcBorders>
          </w:tcPr>
          <w:p>
            <w:pPr>
              <w:pStyle w:val="TableParagraph"/>
              <w:spacing w:before="78"/>
              <w:ind w:left="853" w:right="142"/>
              <w:rPr>
                <w:sz w:val="18"/>
              </w:rPr>
            </w:pPr>
            <w:r>
              <w:rPr>
                <w:w w:val="110"/>
                <w:sz w:val="18"/>
              </w:rPr>
              <w:t>129,952</w:t>
            </w:r>
          </w:p>
        </w:tc>
        <w:tc>
          <w:tcPr>
            <w:tcW w:w="1973" w:type="dxa"/>
            <w:tcBorders>
              <w:top w:val="single" w:sz="6" w:space="0" w:color="69BD28"/>
              <w:bottom w:val="single" w:sz="6" w:space="0" w:color="69BD28"/>
            </w:tcBorders>
          </w:tcPr>
          <w:p>
            <w:pPr>
              <w:pStyle w:val="TableParagraph"/>
              <w:jc w:val="left"/>
              <w:rPr>
                <w:rFonts w:ascii="Times New Roman"/>
                <w:sz w:val="18"/>
              </w:rPr>
            </w:pPr>
          </w:p>
        </w:tc>
        <w:tc>
          <w:tcPr>
            <w:tcW w:w="2429" w:type="dxa"/>
            <w:tcBorders>
              <w:top w:val="single" w:sz="6" w:space="0" w:color="69BD28"/>
              <w:bottom w:val="single" w:sz="6" w:space="0" w:color="69BD28"/>
            </w:tcBorders>
          </w:tcPr>
          <w:p>
            <w:pPr>
              <w:pStyle w:val="TableParagraph"/>
              <w:spacing w:before="78"/>
              <w:ind w:left="430"/>
              <w:jc w:val="left"/>
              <w:rPr>
                <w:sz w:val="18"/>
              </w:rPr>
            </w:pPr>
            <w:r>
              <w:rPr>
                <w:w w:val="110"/>
                <w:sz w:val="18"/>
              </w:rPr>
              <w:t>84.4%</w:t>
            </w:r>
          </w:p>
        </w:tc>
      </w:tr>
      <w:tr>
        <w:trPr>
          <w:trHeight w:val="364" w:hRule="atLeast"/>
        </w:trPr>
        <w:tc>
          <w:tcPr>
            <w:tcW w:w="3697" w:type="dxa"/>
            <w:tcBorders>
              <w:top w:val="single" w:sz="6" w:space="0" w:color="69BD28"/>
              <w:bottom w:val="single" w:sz="6" w:space="0" w:color="69BD28"/>
            </w:tcBorders>
          </w:tcPr>
          <w:p>
            <w:pPr>
              <w:pStyle w:val="TableParagraph"/>
              <w:spacing w:before="80"/>
              <w:ind w:left="675" w:right="850"/>
              <w:rPr>
                <w:sz w:val="18"/>
              </w:rPr>
            </w:pPr>
            <w:r>
              <w:rPr>
                <w:sz w:val="18"/>
              </w:rPr>
              <w:t>Under-Construction Blocks</w:t>
            </w:r>
          </w:p>
        </w:tc>
        <w:tc>
          <w:tcPr>
            <w:tcW w:w="2388" w:type="dxa"/>
            <w:tcBorders>
              <w:top w:val="single" w:sz="6" w:space="0" w:color="69BD28"/>
              <w:bottom w:val="single" w:sz="6" w:space="0" w:color="69BD28"/>
            </w:tcBorders>
          </w:tcPr>
          <w:p>
            <w:pPr>
              <w:pStyle w:val="TableParagraph"/>
              <w:spacing w:before="80"/>
              <w:ind w:left="855" w:right="142"/>
              <w:rPr>
                <w:sz w:val="18"/>
              </w:rPr>
            </w:pPr>
            <w:r>
              <w:rPr>
                <w:w w:val="105"/>
                <w:sz w:val="18"/>
              </w:rPr>
              <w:t>20,154</w:t>
            </w:r>
          </w:p>
        </w:tc>
        <w:tc>
          <w:tcPr>
            <w:tcW w:w="1973" w:type="dxa"/>
            <w:tcBorders>
              <w:top w:val="single" w:sz="6" w:space="0" w:color="69BD28"/>
              <w:bottom w:val="single" w:sz="6" w:space="0" w:color="69BD28"/>
            </w:tcBorders>
          </w:tcPr>
          <w:p>
            <w:pPr>
              <w:pStyle w:val="TableParagraph"/>
              <w:jc w:val="left"/>
              <w:rPr>
                <w:rFonts w:ascii="Times New Roman"/>
                <w:sz w:val="18"/>
              </w:rPr>
            </w:pPr>
          </w:p>
        </w:tc>
        <w:tc>
          <w:tcPr>
            <w:tcW w:w="2429" w:type="dxa"/>
            <w:tcBorders>
              <w:top w:val="single" w:sz="6" w:space="0" w:color="69BD28"/>
              <w:bottom w:val="single" w:sz="6" w:space="0" w:color="69BD28"/>
            </w:tcBorders>
          </w:tcPr>
          <w:p>
            <w:pPr>
              <w:pStyle w:val="TableParagraph"/>
              <w:spacing w:before="80"/>
              <w:ind w:left="430"/>
              <w:jc w:val="left"/>
              <w:rPr>
                <w:sz w:val="18"/>
              </w:rPr>
            </w:pPr>
            <w:r>
              <w:rPr>
                <w:w w:val="110"/>
                <w:sz w:val="18"/>
              </w:rPr>
              <w:t>13.1%</w:t>
            </w:r>
          </w:p>
        </w:tc>
      </w:tr>
      <w:tr>
        <w:trPr>
          <w:trHeight w:val="364" w:hRule="atLeast"/>
        </w:trPr>
        <w:tc>
          <w:tcPr>
            <w:tcW w:w="3697" w:type="dxa"/>
            <w:tcBorders>
              <w:top w:val="single" w:sz="6" w:space="0" w:color="69BD28"/>
            </w:tcBorders>
          </w:tcPr>
          <w:p>
            <w:pPr>
              <w:pStyle w:val="TableParagraph"/>
              <w:spacing w:before="80"/>
              <w:ind w:left="675" w:right="848"/>
              <w:rPr>
                <w:sz w:val="18"/>
              </w:rPr>
            </w:pPr>
            <w:r>
              <w:rPr>
                <w:sz w:val="18"/>
              </w:rPr>
              <w:t>Proposed Hotel</w:t>
            </w:r>
          </w:p>
        </w:tc>
        <w:tc>
          <w:tcPr>
            <w:tcW w:w="2388" w:type="dxa"/>
            <w:tcBorders>
              <w:top w:val="single" w:sz="6" w:space="0" w:color="69BD28"/>
            </w:tcBorders>
          </w:tcPr>
          <w:p>
            <w:pPr>
              <w:pStyle w:val="TableParagraph"/>
              <w:spacing w:before="80"/>
              <w:ind w:left="855" w:right="142"/>
              <w:rPr>
                <w:sz w:val="18"/>
              </w:rPr>
            </w:pPr>
            <w:r>
              <w:rPr>
                <w:w w:val="105"/>
                <w:sz w:val="18"/>
              </w:rPr>
              <w:t>3,800</w:t>
            </w:r>
          </w:p>
        </w:tc>
        <w:tc>
          <w:tcPr>
            <w:tcW w:w="1973" w:type="dxa"/>
            <w:tcBorders>
              <w:top w:val="single" w:sz="6" w:space="0" w:color="69BD28"/>
            </w:tcBorders>
          </w:tcPr>
          <w:p>
            <w:pPr>
              <w:pStyle w:val="TableParagraph"/>
              <w:jc w:val="left"/>
              <w:rPr>
                <w:rFonts w:ascii="Times New Roman"/>
                <w:sz w:val="18"/>
              </w:rPr>
            </w:pPr>
          </w:p>
        </w:tc>
        <w:tc>
          <w:tcPr>
            <w:tcW w:w="2429" w:type="dxa"/>
            <w:tcBorders>
              <w:top w:val="single" w:sz="6" w:space="0" w:color="69BD28"/>
            </w:tcBorders>
          </w:tcPr>
          <w:p>
            <w:pPr>
              <w:pStyle w:val="TableParagraph"/>
              <w:spacing w:before="80"/>
              <w:ind w:left="483"/>
              <w:jc w:val="left"/>
              <w:rPr>
                <w:sz w:val="18"/>
              </w:rPr>
            </w:pPr>
            <w:r>
              <w:rPr>
                <w:w w:val="105"/>
                <w:sz w:val="18"/>
              </w:rPr>
              <w:t>2.5%</w:t>
            </w:r>
          </w:p>
        </w:tc>
      </w:tr>
      <w:tr>
        <w:trPr>
          <w:trHeight w:val="393" w:hRule="atLeast"/>
        </w:trPr>
        <w:tc>
          <w:tcPr>
            <w:tcW w:w="3697" w:type="dxa"/>
            <w:shd w:val="clear" w:color="auto" w:fill="69BD28"/>
          </w:tcPr>
          <w:p>
            <w:pPr>
              <w:pStyle w:val="TableParagraph"/>
              <w:spacing w:before="95"/>
              <w:ind w:left="675" w:right="850"/>
              <w:rPr>
                <w:b/>
                <w:sz w:val="18"/>
              </w:rPr>
            </w:pPr>
            <w:r>
              <w:rPr>
                <w:b/>
                <w:color w:val="FFFFFF"/>
                <w:w w:val="110"/>
                <w:sz w:val="18"/>
              </w:rPr>
              <w:t>Embassy Manyata</w:t>
            </w:r>
          </w:p>
        </w:tc>
        <w:tc>
          <w:tcPr>
            <w:tcW w:w="2388" w:type="dxa"/>
            <w:shd w:val="clear" w:color="auto" w:fill="69BD28"/>
          </w:tcPr>
          <w:p>
            <w:pPr>
              <w:pStyle w:val="TableParagraph"/>
              <w:jc w:val="left"/>
              <w:rPr>
                <w:rFonts w:ascii="Times New Roman"/>
                <w:sz w:val="18"/>
              </w:rPr>
            </w:pPr>
          </w:p>
        </w:tc>
        <w:tc>
          <w:tcPr>
            <w:tcW w:w="1973" w:type="dxa"/>
            <w:shd w:val="clear" w:color="auto" w:fill="69BD28"/>
          </w:tcPr>
          <w:p>
            <w:pPr>
              <w:pStyle w:val="TableParagraph"/>
              <w:spacing w:before="95"/>
              <w:ind w:left="178"/>
              <w:jc w:val="left"/>
              <w:rPr>
                <w:b/>
                <w:sz w:val="18"/>
              </w:rPr>
            </w:pPr>
            <w:r>
              <w:rPr>
                <w:b/>
                <w:color w:val="FFFFFF"/>
                <w:w w:val="110"/>
                <w:sz w:val="18"/>
              </w:rPr>
              <w:t>INR 153,906 Mn</w:t>
            </w:r>
          </w:p>
        </w:tc>
        <w:tc>
          <w:tcPr>
            <w:tcW w:w="2429" w:type="dxa"/>
            <w:shd w:val="clear" w:color="auto" w:fill="69BD28"/>
          </w:tcPr>
          <w:p>
            <w:pPr>
              <w:pStyle w:val="TableParagraph"/>
              <w:jc w:val="left"/>
              <w:rPr>
                <w:rFonts w:ascii="Times New Roman"/>
                <w:sz w:val="18"/>
              </w:rPr>
            </w:pPr>
          </w:p>
        </w:tc>
      </w:tr>
    </w:tbl>
    <w:p>
      <w:pPr>
        <w:spacing w:after="0"/>
        <w:jc w:val="left"/>
        <w:rPr>
          <w:rFonts w:ascii="Times New Roman"/>
          <w:sz w:val="18"/>
        </w:rPr>
        <w:sectPr>
          <w:pgSz w:w="11910" w:h="16840"/>
          <w:pgMar w:header="720" w:footer="842" w:top="1660" w:bottom="1040" w:left="500" w:right="520"/>
        </w:sectPr>
      </w:pPr>
    </w:p>
    <w:p>
      <w:pPr>
        <w:pStyle w:val="BodyText"/>
        <w:spacing w:before="7"/>
        <w:rPr>
          <w:sz w:val="9"/>
        </w:rPr>
      </w:pPr>
    </w:p>
    <w:p>
      <w:pPr>
        <w:pStyle w:val="Heading5"/>
        <w:numPr>
          <w:ilvl w:val="0"/>
          <w:numId w:val="14"/>
        </w:numPr>
        <w:tabs>
          <w:tab w:pos="580" w:val="left" w:leader="none"/>
          <w:tab w:pos="581" w:val="left" w:leader="none"/>
        </w:tabs>
        <w:spacing w:line="240" w:lineRule="auto" w:before="106" w:after="0"/>
        <w:ind w:left="580" w:right="0" w:hanging="361"/>
        <w:jc w:val="left"/>
        <w:rPr>
          <w:rFonts w:ascii="Arial"/>
        </w:rPr>
      </w:pPr>
      <w:r>
        <w:rPr>
          <w:rFonts w:ascii="Arial"/>
          <w:color w:val="1F664D"/>
        </w:rPr>
        <w:t>Express</w:t>
      </w:r>
      <w:r>
        <w:rPr>
          <w:rFonts w:ascii="Arial"/>
          <w:color w:val="1F664D"/>
          <w:spacing w:val="5"/>
        </w:rPr>
        <w:t> </w:t>
      </w:r>
      <w:r>
        <w:rPr>
          <w:rFonts w:ascii="Arial"/>
          <w:color w:val="1F664D"/>
        </w:rPr>
        <w:t>Towers</w:t>
      </w:r>
    </w:p>
    <w:p>
      <w:pPr>
        <w:pStyle w:val="BodyText"/>
        <w:spacing w:before="8"/>
        <w:rPr>
          <w:rFonts w:ascii="Arial"/>
          <w:b/>
          <w:sz w:val="28"/>
        </w:rPr>
      </w:pPr>
    </w:p>
    <w:p>
      <w:pPr>
        <w:pStyle w:val="ListParagraph"/>
        <w:numPr>
          <w:ilvl w:val="1"/>
          <w:numId w:val="14"/>
        </w:numPr>
        <w:tabs>
          <w:tab w:pos="796" w:val="left" w:leader="none"/>
          <w:tab w:pos="797" w:val="left" w:leader="none"/>
        </w:tabs>
        <w:spacing w:line="240" w:lineRule="auto" w:before="1" w:after="0"/>
        <w:ind w:left="796" w:right="0" w:hanging="577"/>
        <w:jc w:val="left"/>
        <w:rPr>
          <w:color w:val="1F6647"/>
          <w:sz w:val="22"/>
        </w:rPr>
      </w:pPr>
      <w:bookmarkStart w:name="_bookmark73" w:id="145"/>
      <w:bookmarkEnd w:id="145"/>
      <w:r>
        <w:rPr/>
      </w:r>
      <w:bookmarkStart w:name="_bookmark73" w:id="146"/>
      <w:bookmarkEnd w:id="146"/>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5"/>
        <w:rPr>
          <w:sz w:val="17"/>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79"/>
        <w:gridCol w:w="7307"/>
      </w:tblGrid>
      <w:tr>
        <w:trPr>
          <w:trHeight w:val="251" w:hRule="atLeast"/>
        </w:trPr>
        <w:tc>
          <w:tcPr>
            <w:tcW w:w="10486" w:type="dxa"/>
            <w:gridSpan w:val="2"/>
            <w:tcBorders>
              <w:top w:val="single" w:sz="12" w:space="0" w:color="1F6B16"/>
              <w:bottom w:val="single" w:sz="6" w:space="0" w:color="69BD28"/>
            </w:tcBorders>
            <w:shd w:val="clear" w:color="auto" w:fill="006A4D"/>
          </w:tcPr>
          <w:p>
            <w:pPr>
              <w:pStyle w:val="TableParagraph"/>
              <w:spacing w:line="220" w:lineRule="exact" w:before="11"/>
              <w:ind w:left="142" w:right="132"/>
              <w:rPr>
                <w:b/>
                <w:sz w:val="20"/>
              </w:rPr>
            </w:pPr>
            <w:r>
              <w:rPr>
                <w:b/>
                <w:color w:val="FFFFFF"/>
                <w:w w:val="105"/>
                <w:sz w:val="20"/>
              </w:rPr>
              <w:t>Brief Description</w:t>
            </w:r>
          </w:p>
        </w:tc>
      </w:tr>
      <w:tr>
        <w:trPr>
          <w:trHeight w:val="253" w:hRule="atLeast"/>
        </w:trPr>
        <w:tc>
          <w:tcPr>
            <w:tcW w:w="3179" w:type="dxa"/>
            <w:tcBorders>
              <w:top w:val="single" w:sz="6" w:space="0" w:color="69BD28"/>
              <w:bottom w:val="single" w:sz="6" w:space="0" w:color="69BD28"/>
            </w:tcBorders>
            <w:shd w:val="clear" w:color="auto" w:fill="006A4D"/>
          </w:tcPr>
          <w:p>
            <w:pPr>
              <w:pStyle w:val="TableParagraph"/>
              <w:spacing w:before="22"/>
              <w:ind w:left="873" w:right="873"/>
              <w:rPr>
                <w:sz w:val="18"/>
              </w:rPr>
            </w:pPr>
            <w:r>
              <w:rPr>
                <w:color w:val="FFFFFF"/>
                <w:sz w:val="18"/>
              </w:rPr>
              <w:t>Particulars</w:t>
            </w:r>
          </w:p>
        </w:tc>
        <w:tc>
          <w:tcPr>
            <w:tcW w:w="7307" w:type="dxa"/>
            <w:tcBorders>
              <w:top w:val="single" w:sz="6" w:space="0" w:color="69BD28"/>
              <w:bottom w:val="single" w:sz="6" w:space="0" w:color="69BD28"/>
            </w:tcBorders>
            <w:shd w:val="clear" w:color="auto" w:fill="006A4D"/>
          </w:tcPr>
          <w:p>
            <w:pPr>
              <w:pStyle w:val="TableParagraph"/>
              <w:spacing w:before="22"/>
              <w:ind w:left="1483" w:right="1496"/>
              <w:rPr>
                <w:b/>
                <w:sz w:val="18"/>
              </w:rPr>
            </w:pPr>
            <w:r>
              <w:rPr>
                <w:b/>
                <w:color w:val="FFFFFF"/>
                <w:w w:val="110"/>
                <w:sz w:val="18"/>
              </w:rPr>
              <w:t>Details</w:t>
            </w:r>
          </w:p>
        </w:tc>
      </w:tr>
      <w:tr>
        <w:trPr>
          <w:trHeight w:val="637" w:hRule="atLeast"/>
        </w:trPr>
        <w:tc>
          <w:tcPr>
            <w:tcW w:w="3179" w:type="dxa"/>
            <w:shd w:val="clear" w:color="auto" w:fill="69BD28"/>
          </w:tcPr>
          <w:p>
            <w:pPr>
              <w:pStyle w:val="TableParagraph"/>
              <w:spacing w:before="5"/>
              <w:jc w:val="left"/>
              <w:rPr>
                <w:sz w:val="18"/>
              </w:rPr>
            </w:pPr>
          </w:p>
          <w:p>
            <w:pPr>
              <w:pStyle w:val="TableParagraph"/>
              <w:ind w:left="873" w:right="874"/>
              <w:rPr>
                <w:b/>
                <w:sz w:val="18"/>
              </w:rPr>
            </w:pPr>
            <w:r>
              <w:rPr>
                <w:b/>
                <w:color w:val="FFFFFF"/>
                <w:w w:val="110"/>
                <w:sz w:val="18"/>
              </w:rPr>
              <w:t>Property Name</w:t>
            </w:r>
          </w:p>
        </w:tc>
        <w:tc>
          <w:tcPr>
            <w:tcW w:w="7307" w:type="dxa"/>
            <w:tcBorders>
              <w:top w:val="single" w:sz="6" w:space="0" w:color="69BD28"/>
              <w:bottom w:val="single" w:sz="6" w:space="0" w:color="69BD28"/>
            </w:tcBorders>
          </w:tcPr>
          <w:p>
            <w:pPr>
              <w:pStyle w:val="TableParagraph"/>
              <w:spacing w:before="5"/>
              <w:jc w:val="left"/>
              <w:rPr>
                <w:sz w:val="18"/>
              </w:rPr>
            </w:pPr>
          </w:p>
          <w:p>
            <w:pPr>
              <w:pStyle w:val="TableParagraph"/>
              <w:ind w:left="1483" w:right="1498"/>
              <w:rPr>
                <w:sz w:val="18"/>
              </w:rPr>
            </w:pPr>
            <w:r>
              <w:rPr>
                <w:sz w:val="18"/>
              </w:rPr>
              <w:t>Express Towers</w:t>
            </w:r>
          </w:p>
        </w:tc>
      </w:tr>
      <w:tr>
        <w:trPr>
          <w:trHeight w:val="563" w:hRule="atLeast"/>
        </w:trPr>
        <w:tc>
          <w:tcPr>
            <w:tcW w:w="3179" w:type="dxa"/>
            <w:shd w:val="clear" w:color="auto" w:fill="69BD28"/>
          </w:tcPr>
          <w:p>
            <w:pPr>
              <w:pStyle w:val="TableParagraph"/>
              <w:spacing w:before="178"/>
              <w:ind w:left="873" w:right="873"/>
              <w:rPr>
                <w:b/>
                <w:sz w:val="18"/>
              </w:rPr>
            </w:pPr>
            <w:r>
              <w:rPr>
                <w:b/>
                <w:color w:val="FFFFFF"/>
                <w:w w:val="110"/>
                <w:sz w:val="18"/>
              </w:rPr>
              <w:t>Address</w:t>
            </w:r>
          </w:p>
        </w:tc>
        <w:tc>
          <w:tcPr>
            <w:tcW w:w="7307" w:type="dxa"/>
            <w:tcBorders>
              <w:top w:val="single" w:sz="6" w:space="0" w:color="69BD28"/>
              <w:bottom w:val="single" w:sz="6" w:space="0" w:color="69BD28"/>
            </w:tcBorders>
          </w:tcPr>
          <w:p>
            <w:pPr>
              <w:pStyle w:val="TableParagraph"/>
              <w:spacing w:line="247" w:lineRule="auto" w:before="70"/>
              <w:ind w:left="2695" w:hanging="2240"/>
              <w:jc w:val="left"/>
              <w:rPr>
                <w:sz w:val="18"/>
              </w:rPr>
            </w:pPr>
            <w:r>
              <w:rPr>
                <w:sz w:val="18"/>
              </w:rPr>
              <w:t>Plot</w:t>
            </w:r>
            <w:r>
              <w:rPr>
                <w:spacing w:val="-24"/>
                <w:sz w:val="18"/>
              </w:rPr>
              <w:t> </w:t>
            </w:r>
            <w:r>
              <w:rPr>
                <w:sz w:val="18"/>
              </w:rPr>
              <w:t>No.</w:t>
            </w:r>
            <w:r>
              <w:rPr>
                <w:spacing w:val="-22"/>
                <w:sz w:val="18"/>
              </w:rPr>
              <w:t> </w:t>
            </w:r>
            <w:r>
              <w:rPr>
                <w:sz w:val="18"/>
              </w:rPr>
              <w:t>236,</w:t>
            </w:r>
            <w:r>
              <w:rPr>
                <w:spacing w:val="-22"/>
                <w:sz w:val="18"/>
              </w:rPr>
              <w:t> </w:t>
            </w:r>
            <w:r>
              <w:rPr>
                <w:sz w:val="18"/>
              </w:rPr>
              <w:t>Block-III</w:t>
            </w:r>
            <w:r>
              <w:rPr>
                <w:spacing w:val="-23"/>
                <w:sz w:val="18"/>
              </w:rPr>
              <w:t> </w:t>
            </w:r>
            <w:r>
              <w:rPr>
                <w:sz w:val="18"/>
              </w:rPr>
              <w:t>of</w:t>
            </w:r>
            <w:r>
              <w:rPr>
                <w:spacing w:val="-22"/>
                <w:sz w:val="18"/>
              </w:rPr>
              <w:t> </w:t>
            </w:r>
            <w:r>
              <w:rPr>
                <w:sz w:val="18"/>
              </w:rPr>
              <w:t>Back</w:t>
            </w:r>
            <w:r>
              <w:rPr>
                <w:spacing w:val="-22"/>
                <w:sz w:val="18"/>
              </w:rPr>
              <w:t> </w:t>
            </w:r>
            <w:r>
              <w:rPr>
                <w:sz w:val="18"/>
              </w:rPr>
              <w:t>bay</w:t>
            </w:r>
            <w:r>
              <w:rPr>
                <w:spacing w:val="-23"/>
                <w:sz w:val="18"/>
              </w:rPr>
              <w:t> </w:t>
            </w:r>
            <w:r>
              <w:rPr>
                <w:sz w:val="18"/>
              </w:rPr>
              <w:t>Reclamation</w:t>
            </w:r>
            <w:r>
              <w:rPr>
                <w:spacing w:val="-22"/>
                <w:sz w:val="18"/>
              </w:rPr>
              <w:t> </w:t>
            </w:r>
            <w:r>
              <w:rPr>
                <w:sz w:val="18"/>
              </w:rPr>
              <w:t>Estate,</w:t>
            </w:r>
            <w:r>
              <w:rPr>
                <w:spacing w:val="-20"/>
                <w:sz w:val="18"/>
              </w:rPr>
              <w:t> </w:t>
            </w:r>
            <w:r>
              <w:rPr>
                <w:sz w:val="18"/>
              </w:rPr>
              <w:t>Barrister</w:t>
            </w:r>
            <w:r>
              <w:rPr>
                <w:spacing w:val="-23"/>
                <w:sz w:val="18"/>
              </w:rPr>
              <w:t> </w:t>
            </w:r>
            <w:r>
              <w:rPr>
                <w:sz w:val="18"/>
              </w:rPr>
              <w:t>Rajni</w:t>
            </w:r>
            <w:r>
              <w:rPr>
                <w:spacing w:val="-23"/>
                <w:sz w:val="18"/>
              </w:rPr>
              <w:t> </w:t>
            </w:r>
            <w:r>
              <w:rPr>
                <w:sz w:val="18"/>
              </w:rPr>
              <w:t>Patel</w:t>
            </w:r>
            <w:r>
              <w:rPr>
                <w:spacing w:val="-22"/>
                <w:sz w:val="18"/>
              </w:rPr>
              <w:t> </w:t>
            </w:r>
            <w:r>
              <w:rPr>
                <w:sz w:val="18"/>
              </w:rPr>
              <w:t>Marg, Nariman Point,</w:t>
            </w:r>
            <w:r>
              <w:rPr>
                <w:spacing w:val="-3"/>
                <w:sz w:val="18"/>
              </w:rPr>
              <w:t> </w:t>
            </w:r>
            <w:r>
              <w:rPr>
                <w:sz w:val="18"/>
              </w:rPr>
              <w:t>Mumbai</w:t>
            </w:r>
          </w:p>
        </w:tc>
      </w:tr>
      <w:tr>
        <w:trPr>
          <w:trHeight w:val="520" w:hRule="atLeast"/>
        </w:trPr>
        <w:tc>
          <w:tcPr>
            <w:tcW w:w="3179" w:type="dxa"/>
            <w:shd w:val="clear" w:color="auto" w:fill="69BD28"/>
          </w:tcPr>
          <w:p>
            <w:pPr>
              <w:pStyle w:val="TableParagraph"/>
              <w:spacing w:before="157"/>
              <w:ind w:left="873" w:right="873"/>
              <w:rPr>
                <w:b/>
                <w:sz w:val="18"/>
              </w:rPr>
            </w:pPr>
            <w:r>
              <w:rPr>
                <w:b/>
                <w:color w:val="FFFFFF"/>
                <w:w w:val="110"/>
                <w:sz w:val="18"/>
              </w:rPr>
              <w:t>Land Area</w:t>
            </w:r>
          </w:p>
        </w:tc>
        <w:tc>
          <w:tcPr>
            <w:tcW w:w="7307" w:type="dxa"/>
            <w:tcBorders>
              <w:top w:val="single" w:sz="6" w:space="0" w:color="69BD28"/>
              <w:bottom w:val="single" w:sz="6" w:space="0" w:color="69BD28"/>
            </w:tcBorders>
          </w:tcPr>
          <w:p>
            <w:pPr>
              <w:pStyle w:val="TableParagraph"/>
              <w:spacing w:before="157"/>
              <w:ind w:left="3225"/>
              <w:jc w:val="left"/>
              <w:rPr>
                <w:sz w:val="18"/>
              </w:rPr>
            </w:pPr>
            <w:r>
              <w:rPr>
                <w:sz w:val="18"/>
              </w:rPr>
              <w:t>1.46 acres</w:t>
            </w:r>
          </w:p>
        </w:tc>
      </w:tr>
      <w:tr>
        <w:trPr>
          <w:trHeight w:val="611" w:hRule="atLeast"/>
        </w:trPr>
        <w:tc>
          <w:tcPr>
            <w:tcW w:w="3179" w:type="dxa"/>
            <w:shd w:val="clear" w:color="auto" w:fill="69BD28"/>
          </w:tcPr>
          <w:p>
            <w:pPr>
              <w:pStyle w:val="TableParagraph"/>
              <w:spacing w:before="5"/>
              <w:jc w:val="left"/>
              <w:rPr>
                <w:sz w:val="17"/>
              </w:rPr>
            </w:pPr>
          </w:p>
          <w:p>
            <w:pPr>
              <w:pStyle w:val="TableParagraph"/>
              <w:ind w:left="873" w:right="873"/>
              <w:rPr>
                <w:b/>
                <w:sz w:val="18"/>
              </w:rPr>
            </w:pPr>
            <w:r>
              <w:rPr>
                <w:b/>
                <w:color w:val="FFFFFF"/>
                <w:w w:val="110"/>
                <w:sz w:val="18"/>
              </w:rPr>
              <w:t>Leasable Area</w:t>
            </w:r>
          </w:p>
        </w:tc>
        <w:tc>
          <w:tcPr>
            <w:tcW w:w="7307" w:type="dxa"/>
            <w:tcBorders>
              <w:top w:val="single" w:sz="6" w:space="0" w:color="69BD28"/>
              <w:bottom w:val="single" w:sz="6" w:space="0" w:color="69BD28"/>
            </w:tcBorders>
          </w:tcPr>
          <w:p>
            <w:pPr>
              <w:pStyle w:val="TableParagraph"/>
              <w:spacing w:before="5"/>
              <w:jc w:val="left"/>
              <w:rPr>
                <w:sz w:val="17"/>
              </w:rPr>
            </w:pPr>
          </w:p>
          <w:p>
            <w:pPr>
              <w:pStyle w:val="TableParagraph"/>
              <w:ind w:left="1483" w:right="1496"/>
              <w:rPr>
                <w:sz w:val="18"/>
              </w:rPr>
            </w:pPr>
            <w:r>
              <w:rPr>
                <w:w w:val="105"/>
                <w:sz w:val="18"/>
              </w:rPr>
              <w:t>Total Completed Leasable Area – 0.47 msf</w:t>
            </w:r>
          </w:p>
        </w:tc>
      </w:tr>
    </w:tbl>
    <w:p>
      <w:pPr>
        <w:spacing w:before="49"/>
        <w:ind w:left="220" w:right="0" w:firstLine="0"/>
        <w:jc w:val="left"/>
        <w:rPr>
          <w:i/>
          <w:sz w:val="16"/>
        </w:rPr>
      </w:pPr>
      <w:r>
        <w:rPr>
          <w:i/>
          <w:sz w:val="16"/>
        </w:rPr>
        <w:t>Source: Title Report, Architect Certificate</w:t>
      </w:r>
    </w:p>
    <w:p>
      <w:pPr>
        <w:pStyle w:val="BodyText"/>
        <w:rPr>
          <w:i/>
          <w:sz w:val="18"/>
        </w:rPr>
      </w:pPr>
    </w:p>
    <w:p>
      <w:pPr>
        <w:pStyle w:val="BodyText"/>
        <w:spacing w:before="5"/>
        <w:rPr>
          <w:i/>
          <w:sz w:val="14"/>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74" w:id="147"/>
      <w:bookmarkEnd w:id="147"/>
      <w:r>
        <w:rPr/>
      </w:r>
      <w:bookmarkStart w:name="_bookmark74" w:id="148"/>
      <w:bookmarkEnd w:id="148"/>
      <w:r>
        <w:rPr>
          <w:color w:val="1F664D"/>
          <w:sz w:val="22"/>
        </w:rPr>
        <w:t>S</w:t>
      </w:r>
      <w:r>
        <w:rPr>
          <w:color w:val="1F664D"/>
          <w:sz w:val="22"/>
        </w:rPr>
        <w:t>ite Details</w:t>
      </w:r>
    </w:p>
    <w:p>
      <w:pPr>
        <w:pStyle w:val="BodyText"/>
        <w:spacing w:before="3"/>
        <w:rPr>
          <w:sz w:val="28"/>
        </w:rPr>
      </w:pPr>
    </w:p>
    <w:p>
      <w:pPr>
        <w:pStyle w:val="BodyText"/>
        <w:tabs>
          <w:tab w:pos="2901" w:val="left" w:leader="none"/>
        </w:tabs>
        <w:spacing w:line="321" w:lineRule="auto"/>
        <w:ind w:left="2901" w:right="302" w:hanging="2017"/>
        <w:jc w:val="both"/>
      </w:pPr>
      <w:r>
        <w:rPr/>
        <w:t>Situation:</w:t>
        <w:tab/>
        <w:t>‘Express Towers’ is a completed operational city centre office located along Barrister Rajni Patel Marg in Nariman Point, Mumbai, Maharashtra. Express Towers</w:t>
      </w:r>
      <w:r>
        <w:rPr>
          <w:spacing w:val="-28"/>
        </w:rPr>
        <w:t> </w:t>
      </w:r>
      <w:r>
        <w:rPr/>
        <w:t>is</w:t>
      </w:r>
      <w:r>
        <w:rPr>
          <w:spacing w:val="-28"/>
        </w:rPr>
        <w:t> </w:t>
      </w:r>
      <w:r>
        <w:rPr/>
        <w:t>one</w:t>
      </w:r>
      <w:r>
        <w:rPr>
          <w:spacing w:val="-29"/>
        </w:rPr>
        <w:t> </w:t>
      </w:r>
      <w:r>
        <w:rPr/>
        <w:t>of</w:t>
      </w:r>
      <w:r>
        <w:rPr>
          <w:spacing w:val="-28"/>
        </w:rPr>
        <w:t> </w:t>
      </w:r>
      <w:r>
        <w:rPr/>
        <w:t>the</w:t>
      </w:r>
      <w:r>
        <w:rPr>
          <w:spacing w:val="-29"/>
        </w:rPr>
        <w:t> </w:t>
      </w:r>
      <w:r>
        <w:rPr/>
        <w:t>iconic</w:t>
      </w:r>
      <w:r>
        <w:rPr>
          <w:spacing w:val="-29"/>
        </w:rPr>
        <w:t> </w:t>
      </w:r>
      <w:r>
        <w:rPr/>
        <w:t>buildings</w:t>
      </w:r>
      <w:r>
        <w:rPr>
          <w:spacing w:val="-27"/>
        </w:rPr>
        <w:t> </w:t>
      </w:r>
      <w:r>
        <w:rPr/>
        <w:t>and</w:t>
      </w:r>
      <w:r>
        <w:rPr>
          <w:spacing w:val="-29"/>
        </w:rPr>
        <w:t> </w:t>
      </w:r>
      <w:r>
        <w:rPr/>
        <w:t>a</w:t>
      </w:r>
      <w:r>
        <w:rPr>
          <w:spacing w:val="-28"/>
        </w:rPr>
        <w:t> </w:t>
      </w:r>
      <w:r>
        <w:rPr/>
        <w:t>trophy</w:t>
      </w:r>
      <w:r>
        <w:rPr>
          <w:spacing w:val="-28"/>
        </w:rPr>
        <w:t> </w:t>
      </w:r>
      <w:r>
        <w:rPr/>
        <w:t>asset</w:t>
      </w:r>
      <w:r>
        <w:rPr>
          <w:spacing w:val="-30"/>
        </w:rPr>
        <w:t> </w:t>
      </w:r>
      <w:r>
        <w:rPr/>
        <w:t>within</w:t>
      </w:r>
      <w:r>
        <w:rPr>
          <w:spacing w:val="-29"/>
        </w:rPr>
        <w:t> </w:t>
      </w:r>
      <w:r>
        <w:rPr/>
        <w:t>the</w:t>
      </w:r>
      <w:r>
        <w:rPr>
          <w:spacing w:val="-29"/>
        </w:rPr>
        <w:t> </w:t>
      </w:r>
      <w:r>
        <w:rPr/>
        <w:t>portfolio,</w:t>
      </w:r>
      <w:r>
        <w:rPr>
          <w:spacing w:val="-28"/>
        </w:rPr>
        <w:t> </w:t>
      </w:r>
      <w:r>
        <w:rPr/>
        <w:t>with superior</w:t>
      </w:r>
      <w:r>
        <w:rPr>
          <w:spacing w:val="-37"/>
        </w:rPr>
        <w:t> </w:t>
      </w:r>
      <w:r>
        <w:rPr/>
        <w:t>offering</w:t>
      </w:r>
      <w:r>
        <w:rPr>
          <w:spacing w:val="-37"/>
        </w:rPr>
        <w:t> </w:t>
      </w:r>
      <w:r>
        <w:rPr/>
        <w:t>in</w:t>
      </w:r>
      <w:r>
        <w:rPr>
          <w:spacing w:val="-37"/>
        </w:rPr>
        <w:t> </w:t>
      </w:r>
      <w:r>
        <w:rPr/>
        <w:t>the</w:t>
      </w:r>
      <w:r>
        <w:rPr>
          <w:spacing w:val="-37"/>
        </w:rPr>
        <w:t> </w:t>
      </w:r>
      <w:r>
        <w:rPr/>
        <w:t>Central</w:t>
      </w:r>
      <w:r>
        <w:rPr>
          <w:spacing w:val="-36"/>
        </w:rPr>
        <w:t> </w:t>
      </w:r>
      <w:r>
        <w:rPr/>
        <w:t>Business</w:t>
      </w:r>
      <w:r>
        <w:rPr>
          <w:spacing w:val="-36"/>
        </w:rPr>
        <w:t> </w:t>
      </w:r>
      <w:r>
        <w:rPr/>
        <w:t>District,</w:t>
      </w:r>
      <w:r>
        <w:rPr>
          <w:spacing w:val="-37"/>
        </w:rPr>
        <w:t> </w:t>
      </w:r>
      <w:r>
        <w:rPr/>
        <w:t>a</w:t>
      </w:r>
      <w:r>
        <w:rPr>
          <w:spacing w:val="-38"/>
        </w:rPr>
        <w:t> </w:t>
      </w:r>
      <w:r>
        <w:rPr/>
        <w:t>highly</w:t>
      </w:r>
      <w:r>
        <w:rPr>
          <w:spacing w:val="-37"/>
        </w:rPr>
        <w:t> </w:t>
      </w:r>
      <w:r>
        <w:rPr/>
        <w:t>preferred</w:t>
      </w:r>
      <w:r>
        <w:rPr>
          <w:spacing w:val="-37"/>
        </w:rPr>
        <w:t> </w:t>
      </w:r>
      <w:r>
        <w:rPr/>
        <w:t>submarket</w:t>
      </w:r>
      <w:r>
        <w:rPr>
          <w:spacing w:val="-36"/>
        </w:rPr>
        <w:t> </w:t>
      </w:r>
      <w:r>
        <w:rPr/>
        <w:t>by corporates (involving high capex spent in developing the space) and results in spaces</w:t>
      </w:r>
      <w:r>
        <w:rPr>
          <w:spacing w:val="-20"/>
        </w:rPr>
        <w:t> </w:t>
      </w:r>
      <w:r>
        <w:rPr/>
        <w:t>being</w:t>
      </w:r>
      <w:r>
        <w:rPr>
          <w:spacing w:val="-18"/>
        </w:rPr>
        <w:t> </w:t>
      </w:r>
      <w:r>
        <w:rPr/>
        <w:t>a</w:t>
      </w:r>
      <w:r>
        <w:rPr>
          <w:spacing w:val="-20"/>
        </w:rPr>
        <w:t> </w:t>
      </w:r>
      <w:r>
        <w:rPr/>
        <w:t>preferred</w:t>
      </w:r>
      <w:r>
        <w:rPr>
          <w:spacing w:val="-20"/>
        </w:rPr>
        <w:t> </w:t>
      </w:r>
      <w:r>
        <w:rPr/>
        <w:t>option</w:t>
      </w:r>
      <w:r>
        <w:rPr>
          <w:spacing w:val="-20"/>
        </w:rPr>
        <w:t> </w:t>
      </w:r>
      <w:r>
        <w:rPr/>
        <w:t>for</w:t>
      </w:r>
      <w:r>
        <w:rPr>
          <w:spacing w:val="-18"/>
        </w:rPr>
        <w:t> </w:t>
      </w:r>
      <w:r>
        <w:rPr/>
        <w:t>marquee</w:t>
      </w:r>
      <w:r>
        <w:rPr>
          <w:spacing w:val="-19"/>
        </w:rPr>
        <w:t> </w:t>
      </w:r>
      <w:r>
        <w:rPr/>
        <w:t>occupiers</w:t>
      </w:r>
      <w:r>
        <w:rPr>
          <w:spacing w:val="-17"/>
        </w:rPr>
        <w:t> </w:t>
      </w:r>
      <w:r>
        <w:rPr/>
        <w:t>within</w:t>
      </w:r>
      <w:r>
        <w:rPr>
          <w:spacing w:val="-20"/>
        </w:rPr>
        <w:t> </w:t>
      </w:r>
      <w:r>
        <w:rPr/>
        <w:t>the</w:t>
      </w:r>
      <w:r>
        <w:rPr>
          <w:spacing w:val="-20"/>
        </w:rPr>
        <w:t> </w:t>
      </w:r>
      <w:r>
        <w:rPr/>
        <w:t>submarket</w:t>
      </w:r>
    </w:p>
    <w:p>
      <w:pPr>
        <w:pStyle w:val="BodyText"/>
        <w:spacing w:before="11"/>
        <w:rPr>
          <w:sz w:val="20"/>
        </w:rPr>
      </w:pPr>
    </w:p>
    <w:p>
      <w:pPr>
        <w:pStyle w:val="BodyText"/>
        <w:tabs>
          <w:tab w:pos="2901" w:val="left" w:leader="none"/>
        </w:tabs>
        <w:spacing w:line="321" w:lineRule="auto"/>
        <w:ind w:left="2901" w:right="303" w:hanging="2017"/>
        <w:jc w:val="both"/>
      </w:pPr>
      <w:r>
        <w:rPr/>
        <w:t>Location:</w:t>
        <w:tab/>
        <w:t>The</w:t>
      </w:r>
      <w:r>
        <w:rPr>
          <w:spacing w:val="-23"/>
        </w:rPr>
        <w:t> </w:t>
      </w:r>
      <w:r>
        <w:rPr/>
        <w:t>subject</w:t>
      </w:r>
      <w:r>
        <w:rPr>
          <w:spacing w:val="-23"/>
        </w:rPr>
        <w:t> </w:t>
      </w:r>
      <w:r>
        <w:rPr/>
        <w:t>property</w:t>
      </w:r>
      <w:r>
        <w:rPr>
          <w:spacing w:val="-22"/>
        </w:rPr>
        <w:t> </w:t>
      </w:r>
      <w:r>
        <w:rPr/>
        <w:t>‘Express</w:t>
      </w:r>
      <w:r>
        <w:rPr>
          <w:spacing w:val="-21"/>
        </w:rPr>
        <w:t> </w:t>
      </w:r>
      <w:r>
        <w:rPr/>
        <w:t>Towers’</w:t>
      </w:r>
      <w:r>
        <w:rPr>
          <w:spacing w:val="-22"/>
        </w:rPr>
        <w:t> </w:t>
      </w:r>
      <w:r>
        <w:rPr/>
        <w:t>is</w:t>
      </w:r>
      <w:r>
        <w:rPr>
          <w:spacing w:val="-22"/>
        </w:rPr>
        <w:t> </w:t>
      </w:r>
      <w:r>
        <w:rPr/>
        <w:t>a</w:t>
      </w:r>
      <w:r>
        <w:rPr>
          <w:spacing w:val="-23"/>
        </w:rPr>
        <w:t> </w:t>
      </w:r>
      <w:r>
        <w:rPr/>
        <w:t>completed</w:t>
      </w:r>
      <w:r>
        <w:rPr>
          <w:spacing w:val="-21"/>
        </w:rPr>
        <w:t> </w:t>
      </w:r>
      <w:r>
        <w:rPr/>
        <w:t>city</w:t>
      </w:r>
      <w:r>
        <w:rPr>
          <w:spacing w:val="-22"/>
        </w:rPr>
        <w:t> </w:t>
      </w:r>
      <w:r>
        <w:rPr/>
        <w:t>centre</w:t>
      </w:r>
      <w:r>
        <w:rPr>
          <w:spacing w:val="-22"/>
        </w:rPr>
        <w:t> </w:t>
      </w:r>
      <w:r>
        <w:rPr/>
        <w:t>office</w:t>
      </w:r>
      <w:r>
        <w:rPr>
          <w:spacing w:val="-22"/>
        </w:rPr>
        <w:t> </w:t>
      </w:r>
      <w:r>
        <w:rPr/>
        <w:t>located opposite to The Oberoi and Trident Hotel in Nariman Point, Mumbai and has panoramic</w:t>
      </w:r>
      <w:r>
        <w:rPr>
          <w:spacing w:val="-21"/>
        </w:rPr>
        <w:t> </w:t>
      </w:r>
      <w:r>
        <w:rPr/>
        <w:t>views</w:t>
      </w:r>
      <w:r>
        <w:rPr>
          <w:spacing w:val="-20"/>
        </w:rPr>
        <w:t> </w:t>
      </w:r>
      <w:r>
        <w:rPr/>
        <w:t>of</w:t>
      </w:r>
      <w:r>
        <w:rPr>
          <w:spacing w:val="-21"/>
        </w:rPr>
        <w:t> </w:t>
      </w:r>
      <w:r>
        <w:rPr/>
        <w:t>the</w:t>
      </w:r>
      <w:r>
        <w:rPr>
          <w:spacing w:val="-21"/>
        </w:rPr>
        <w:t> </w:t>
      </w:r>
      <w:r>
        <w:rPr/>
        <w:t>city’s</w:t>
      </w:r>
      <w:r>
        <w:rPr>
          <w:spacing w:val="-19"/>
        </w:rPr>
        <w:t> </w:t>
      </w:r>
      <w:r>
        <w:rPr/>
        <w:t>promenade</w:t>
      </w:r>
      <w:r>
        <w:rPr>
          <w:spacing w:val="-21"/>
        </w:rPr>
        <w:t> </w:t>
      </w:r>
      <w:r>
        <w:rPr/>
        <w:t>(Marine</w:t>
      </w:r>
      <w:r>
        <w:rPr>
          <w:spacing w:val="-22"/>
        </w:rPr>
        <w:t> </w:t>
      </w:r>
      <w:r>
        <w:rPr/>
        <w:t>Drive),</w:t>
      </w:r>
      <w:r>
        <w:rPr>
          <w:spacing w:val="-21"/>
        </w:rPr>
        <w:t> </w:t>
      </w:r>
      <w:r>
        <w:rPr/>
        <w:t>South</w:t>
      </w:r>
      <w:r>
        <w:rPr>
          <w:spacing w:val="-20"/>
        </w:rPr>
        <w:t> </w:t>
      </w:r>
      <w:r>
        <w:rPr/>
        <w:t>Mumbai</w:t>
      </w:r>
      <w:r>
        <w:rPr>
          <w:spacing w:val="-21"/>
        </w:rPr>
        <w:t> </w:t>
      </w:r>
      <w:r>
        <w:rPr/>
        <w:t>and</w:t>
      </w:r>
      <w:r>
        <w:rPr>
          <w:spacing w:val="-20"/>
        </w:rPr>
        <w:t> </w:t>
      </w:r>
      <w:r>
        <w:rPr/>
        <w:t>the Arabian</w:t>
      </w:r>
      <w:r>
        <w:rPr>
          <w:spacing w:val="-3"/>
        </w:rPr>
        <w:t> </w:t>
      </w:r>
      <w:r>
        <w:rPr/>
        <w:t>Sea.</w:t>
      </w:r>
    </w:p>
    <w:p>
      <w:pPr>
        <w:pStyle w:val="BodyText"/>
        <w:spacing w:line="321" w:lineRule="auto" w:before="121"/>
        <w:ind w:left="2901" w:right="302"/>
        <w:jc w:val="both"/>
      </w:pPr>
      <w:r>
        <w:rPr/>
        <w:t>Further,</w:t>
      </w:r>
      <w:r>
        <w:rPr>
          <w:spacing w:val="-16"/>
        </w:rPr>
        <w:t> </w:t>
      </w:r>
      <w:r>
        <w:rPr/>
        <w:t>the</w:t>
      </w:r>
      <w:r>
        <w:rPr>
          <w:spacing w:val="-15"/>
        </w:rPr>
        <w:t> </w:t>
      </w:r>
      <w:r>
        <w:rPr/>
        <w:t>subject</w:t>
      </w:r>
      <w:r>
        <w:rPr>
          <w:spacing w:val="-16"/>
        </w:rPr>
        <w:t> </w:t>
      </w:r>
      <w:r>
        <w:rPr/>
        <w:t>property</w:t>
      </w:r>
      <w:r>
        <w:rPr>
          <w:spacing w:val="-15"/>
        </w:rPr>
        <w:t> </w:t>
      </w:r>
      <w:r>
        <w:rPr/>
        <w:t>forms</w:t>
      </w:r>
      <w:r>
        <w:rPr>
          <w:spacing w:val="-14"/>
        </w:rPr>
        <w:t> </w:t>
      </w:r>
      <w:r>
        <w:rPr/>
        <w:t>a</w:t>
      </w:r>
      <w:r>
        <w:rPr>
          <w:spacing w:val="-15"/>
        </w:rPr>
        <w:t> </w:t>
      </w:r>
      <w:r>
        <w:rPr/>
        <w:t>part</w:t>
      </w:r>
      <w:r>
        <w:rPr>
          <w:spacing w:val="-15"/>
        </w:rPr>
        <w:t> </w:t>
      </w:r>
      <w:r>
        <w:rPr/>
        <w:t>of</w:t>
      </w:r>
      <w:r>
        <w:rPr>
          <w:spacing w:val="-16"/>
        </w:rPr>
        <w:t> </w:t>
      </w:r>
      <w:r>
        <w:rPr/>
        <w:t>prime</w:t>
      </w:r>
      <w:r>
        <w:rPr>
          <w:spacing w:val="-15"/>
        </w:rPr>
        <w:t> </w:t>
      </w:r>
      <w:r>
        <w:rPr/>
        <w:t>commercial</w:t>
      </w:r>
      <w:r>
        <w:rPr>
          <w:spacing w:val="-16"/>
        </w:rPr>
        <w:t> </w:t>
      </w:r>
      <w:r>
        <w:rPr/>
        <w:t>hub</w:t>
      </w:r>
      <w:r>
        <w:rPr>
          <w:spacing w:val="-14"/>
        </w:rPr>
        <w:t> </w:t>
      </w:r>
      <w:r>
        <w:rPr/>
        <w:t>of</w:t>
      </w:r>
      <w:r>
        <w:rPr>
          <w:spacing w:val="-15"/>
        </w:rPr>
        <w:t> </w:t>
      </w:r>
      <w:r>
        <w:rPr/>
        <w:t>Mumbai (Central Business District of Mumbai) that houses various corporate offices of various</w:t>
      </w:r>
      <w:r>
        <w:rPr>
          <w:spacing w:val="-40"/>
        </w:rPr>
        <w:t> </w:t>
      </w:r>
      <w:r>
        <w:rPr/>
        <w:t>banks,</w:t>
      </w:r>
      <w:r>
        <w:rPr>
          <w:spacing w:val="-40"/>
        </w:rPr>
        <w:t> </w:t>
      </w:r>
      <w:r>
        <w:rPr/>
        <w:t>funds,</w:t>
      </w:r>
      <w:r>
        <w:rPr>
          <w:spacing w:val="-42"/>
        </w:rPr>
        <w:t> </w:t>
      </w:r>
      <w:r>
        <w:rPr/>
        <w:t>developer</w:t>
      </w:r>
      <w:r>
        <w:rPr>
          <w:spacing w:val="-40"/>
        </w:rPr>
        <w:t> </w:t>
      </w:r>
      <w:r>
        <w:rPr/>
        <w:t>offices,</w:t>
      </w:r>
      <w:r>
        <w:rPr>
          <w:spacing w:val="-41"/>
        </w:rPr>
        <w:t> </w:t>
      </w:r>
      <w:r>
        <w:rPr/>
        <w:t>print</w:t>
      </w:r>
      <w:r>
        <w:rPr>
          <w:spacing w:val="-40"/>
        </w:rPr>
        <w:t> </w:t>
      </w:r>
      <w:r>
        <w:rPr/>
        <w:t>media</w:t>
      </w:r>
      <w:r>
        <w:rPr>
          <w:spacing w:val="-40"/>
        </w:rPr>
        <w:t> </w:t>
      </w:r>
      <w:r>
        <w:rPr/>
        <w:t>offices,</w:t>
      </w:r>
      <w:r>
        <w:rPr>
          <w:spacing w:val="-42"/>
        </w:rPr>
        <w:t> </w:t>
      </w:r>
      <w:r>
        <w:rPr/>
        <w:t>shipping</w:t>
      </w:r>
      <w:r>
        <w:rPr>
          <w:spacing w:val="-39"/>
        </w:rPr>
        <w:t> </w:t>
      </w:r>
      <w:r>
        <w:rPr/>
        <w:t>companies, foreign</w:t>
      </w:r>
      <w:r>
        <w:rPr>
          <w:spacing w:val="-17"/>
        </w:rPr>
        <w:t> </w:t>
      </w:r>
      <w:r>
        <w:rPr/>
        <w:t>councils</w:t>
      </w:r>
      <w:r>
        <w:rPr>
          <w:spacing w:val="-16"/>
        </w:rPr>
        <w:t> </w:t>
      </w:r>
      <w:r>
        <w:rPr/>
        <w:t>&amp;</w:t>
      </w:r>
      <w:r>
        <w:rPr>
          <w:spacing w:val="-15"/>
        </w:rPr>
        <w:t> </w:t>
      </w:r>
      <w:r>
        <w:rPr/>
        <w:t>embassies</w:t>
      </w:r>
      <w:r>
        <w:rPr>
          <w:spacing w:val="-16"/>
        </w:rPr>
        <w:t> </w:t>
      </w:r>
      <w:r>
        <w:rPr/>
        <w:t>etc.</w:t>
      </w:r>
      <w:r>
        <w:rPr>
          <w:spacing w:val="-17"/>
        </w:rPr>
        <w:t> </w:t>
      </w:r>
      <w:r>
        <w:rPr/>
        <w:t>Key</w:t>
      </w:r>
      <w:r>
        <w:rPr>
          <w:spacing w:val="-15"/>
        </w:rPr>
        <w:t> </w:t>
      </w:r>
      <w:r>
        <w:rPr/>
        <w:t>commercial</w:t>
      </w:r>
      <w:r>
        <w:rPr>
          <w:spacing w:val="-17"/>
        </w:rPr>
        <w:t> </w:t>
      </w:r>
      <w:r>
        <w:rPr/>
        <w:t>developments</w:t>
      </w:r>
      <w:r>
        <w:rPr>
          <w:spacing w:val="-16"/>
        </w:rPr>
        <w:t> </w:t>
      </w:r>
      <w:r>
        <w:rPr/>
        <w:t>located</w:t>
      </w:r>
      <w:r>
        <w:rPr>
          <w:spacing w:val="-16"/>
        </w:rPr>
        <w:t> </w:t>
      </w:r>
      <w:r>
        <w:rPr/>
        <w:t>in</w:t>
      </w:r>
      <w:r>
        <w:rPr>
          <w:spacing w:val="-17"/>
        </w:rPr>
        <w:t> </w:t>
      </w:r>
      <w:r>
        <w:rPr/>
        <w:t>the vicinity of the subject building include Maker Chambers, Free Press House, Hoechst House, Mafatlal Centre</w:t>
      </w:r>
      <w:r>
        <w:rPr>
          <w:spacing w:val="-17"/>
        </w:rPr>
        <w:t> </w:t>
      </w:r>
      <w:r>
        <w:rPr/>
        <w:t>etc.</w:t>
      </w:r>
    </w:p>
    <w:p>
      <w:pPr>
        <w:pStyle w:val="BodyText"/>
        <w:spacing w:line="321" w:lineRule="auto" w:before="124"/>
        <w:ind w:left="2901" w:right="303"/>
        <w:jc w:val="both"/>
      </w:pPr>
      <w:r>
        <w:rPr/>
        <w:t>Additionally,</w:t>
      </w:r>
      <w:r>
        <w:rPr>
          <w:spacing w:val="-25"/>
        </w:rPr>
        <w:t> </w:t>
      </w:r>
      <w:r>
        <w:rPr/>
        <w:t>other</w:t>
      </w:r>
      <w:r>
        <w:rPr>
          <w:spacing w:val="-25"/>
        </w:rPr>
        <w:t> </w:t>
      </w:r>
      <w:r>
        <w:rPr/>
        <w:t>key</w:t>
      </w:r>
      <w:r>
        <w:rPr>
          <w:spacing w:val="-25"/>
        </w:rPr>
        <w:t> </w:t>
      </w:r>
      <w:r>
        <w:rPr/>
        <w:t>developments</w:t>
      </w:r>
      <w:r>
        <w:rPr>
          <w:spacing w:val="-25"/>
        </w:rPr>
        <w:t> </w:t>
      </w:r>
      <w:r>
        <w:rPr/>
        <w:t>located</w:t>
      </w:r>
      <w:r>
        <w:rPr>
          <w:spacing w:val="-25"/>
        </w:rPr>
        <w:t> </w:t>
      </w:r>
      <w:r>
        <w:rPr/>
        <w:t>in</w:t>
      </w:r>
      <w:r>
        <w:rPr>
          <w:spacing w:val="-26"/>
        </w:rPr>
        <w:t> </w:t>
      </w:r>
      <w:r>
        <w:rPr/>
        <w:t>vicinity</w:t>
      </w:r>
      <w:r>
        <w:rPr>
          <w:spacing w:val="-24"/>
        </w:rPr>
        <w:t> </w:t>
      </w:r>
      <w:r>
        <w:rPr/>
        <w:t>of</w:t>
      </w:r>
      <w:r>
        <w:rPr>
          <w:spacing w:val="-24"/>
        </w:rPr>
        <w:t> </w:t>
      </w:r>
      <w:r>
        <w:rPr/>
        <w:t>the</w:t>
      </w:r>
      <w:r>
        <w:rPr>
          <w:spacing w:val="-27"/>
        </w:rPr>
        <w:t> </w:t>
      </w:r>
      <w:r>
        <w:rPr/>
        <w:t>subject</w:t>
      </w:r>
      <w:r>
        <w:rPr>
          <w:spacing w:val="-24"/>
        </w:rPr>
        <w:t> </w:t>
      </w:r>
      <w:r>
        <w:rPr/>
        <w:t>property includes prominent five-star hotels (namely The Oberoi and Trident Hotel), National Centre of Performing Arts (NCPA), NCPA residential complex, Brabourne &amp; Wankhede cricket stadium, CR2 Mall, Government offices and Govt.</w:t>
      </w:r>
      <w:r>
        <w:rPr>
          <w:spacing w:val="-15"/>
        </w:rPr>
        <w:t> </w:t>
      </w:r>
      <w:r>
        <w:rPr/>
        <w:t>buildings</w:t>
      </w:r>
      <w:r>
        <w:rPr>
          <w:spacing w:val="-13"/>
        </w:rPr>
        <w:t> </w:t>
      </w:r>
      <w:r>
        <w:rPr/>
        <w:t>namely</w:t>
      </w:r>
      <w:r>
        <w:rPr>
          <w:spacing w:val="-16"/>
        </w:rPr>
        <w:t> </w:t>
      </w:r>
      <w:r>
        <w:rPr/>
        <w:t>Mantralaya,</w:t>
      </w:r>
      <w:r>
        <w:rPr>
          <w:spacing w:val="-14"/>
        </w:rPr>
        <w:t> </w:t>
      </w:r>
      <w:r>
        <w:rPr/>
        <w:t>Vidhan</w:t>
      </w:r>
      <w:r>
        <w:rPr>
          <w:spacing w:val="-15"/>
        </w:rPr>
        <w:t> </w:t>
      </w:r>
      <w:r>
        <w:rPr/>
        <w:t>Bhavan</w:t>
      </w:r>
      <w:r>
        <w:rPr>
          <w:spacing w:val="-16"/>
        </w:rPr>
        <w:t> </w:t>
      </w:r>
      <w:r>
        <w:rPr/>
        <w:t>(State</w:t>
      </w:r>
      <w:r>
        <w:rPr>
          <w:spacing w:val="-14"/>
        </w:rPr>
        <w:t> </w:t>
      </w:r>
      <w:r>
        <w:rPr/>
        <w:t>Assembly),</w:t>
      </w:r>
      <w:r>
        <w:rPr>
          <w:spacing w:val="-14"/>
        </w:rPr>
        <w:t> </w:t>
      </w:r>
      <w:r>
        <w:rPr/>
        <w:t>etc.</w:t>
      </w:r>
    </w:p>
    <w:p>
      <w:pPr>
        <w:spacing w:after="0" w:line="321" w:lineRule="auto"/>
        <w:jc w:val="both"/>
        <w:sectPr>
          <w:pgSz w:w="11910" w:h="16840"/>
          <w:pgMar w:header="720" w:footer="842" w:top="1660" w:bottom="1040" w:left="500" w:right="520"/>
        </w:sectPr>
      </w:pPr>
    </w:p>
    <w:p>
      <w:pPr>
        <w:pStyle w:val="BodyText"/>
        <w:spacing w:before="7"/>
        <w:rPr>
          <w:sz w:val="9"/>
        </w:rPr>
      </w:pPr>
    </w:p>
    <w:p>
      <w:pPr>
        <w:pStyle w:val="BodyText"/>
        <w:spacing w:line="321" w:lineRule="auto" w:before="106"/>
        <w:ind w:left="2901"/>
      </w:pPr>
      <w:r>
        <w:rPr/>
        <w:t>The distances from prominent key hubs to the subject property are presented below:</w:t>
      </w:r>
    </w:p>
    <w:p>
      <w:pPr>
        <w:pStyle w:val="BodyText"/>
        <w:spacing w:before="4"/>
        <w:rPr>
          <w:sz w:val="11"/>
        </w:rPr>
      </w:pPr>
    </w:p>
    <w:tbl>
      <w:tblPr>
        <w:tblW w:w="0" w:type="auto"/>
        <w:jc w:val="left"/>
        <w:tblInd w:w="29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70"/>
        <w:gridCol w:w="2619"/>
      </w:tblGrid>
      <w:tr>
        <w:trPr>
          <w:trHeight w:val="299" w:hRule="atLeast"/>
        </w:trPr>
        <w:tc>
          <w:tcPr>
            <w:tcW w:w="5070" w:type="dxa"/>
            <w:tcBorders>
              <w:top w:val="single" w:sz="12" w:space="0" w:color="1F664D"/>
              <w:bottom w:val="single" w:sz="4" w:space="0" w:color="92D050"/>
            </w:tcBorders>
            <w:shd w:val="clear" w:color="auto" w:fill="006A4D"/>
          </w:tcPr>
          <w:p>
            <w:pPr>
              <w:pStyle w:val="TableParagraph"/>
              <w:spacing w:before="32"/>
              <w:ind w:left="386" w:right="541"/>
              <w:rPr>
                <w:rFonts w:ascii="Verdana"/>
                <w:b/>
                <w:i/>
                <w:sz w:val="18"/>
              </w:rPr>
            </w:pPr>
            <w:r>
              <w:rPr>
                <w:rFonts w:ascii="Verdana"/>
                <w:b/>
                <w:i/>
                <w:color w:val="FFFFFF"/>
                <w:w w:val="95"/>
                <w:sz w:val="18"/>
              </w:rPr>
              <w:t>Landmark</w:t>
            </w:r>
          </w:p>
        </w:tc>
        <w:tc>
          <w:tcPr>
            <w:tcW w:w="2619" w:type="dxa"/>
            <w:tcBorders>
              <w:top w:val="single" w:sz="12" w:space="0" w:color="1F664D"/>
              <w:bottom w:val="single" w:sz="4" w:space="0" w:color="92D050"/>
            </w:tcBorders>
            <w:shd w:val="clear" w:color="auto" w:fill="006A4D"/>
          </w:tcPr>
          <w:p>
            <w:pPr>
              <w:pStyle w:val="TableParagraph"/>
              <w:spacing w:before="32"/>
              <w:ind w:left="404" w:right="566"/>
              <w:rPr>
                <w:rFonts w:ascii="Verdana"/>
                <w:b/>
                <w:i/>
                <w:sz w:val="18"/>
              </w:rPr>
            </w:pPr>
            <w:r>
              <w:rPr>
                <w:rFonts w:ascii="Verdana"/>
                <w:b/>
                <w:i/>
                <w:color w:val="FFFFFF"/>
                <w:w w:val="90"/>
                <w:sz w:val="18"/>
              </w:rPr>
              <w:t>Distance (km)</w:t>
            </w:r>
          </w:p>
        </w:tc>
      </w:tr>
      <w:tr>
        <w:trPr>
          <w:trHeight w:val="299" w:hRule="atLeast"/>
        </w:trPr>
        <w:tc>
          <w:tcPr>
            <w:tcW w:w="5070" w:type="dxa"/>
            <w:tcBorders>
              <w:top w:val="single" w:sz="4" w:space="0" w:color="92D050"/>
              <w:bottom w:val="single" w:sz="4" w:space="0" w:color="92D050"/>
            </w:tcBorders>
          </w:tcPr>
          <w:p>
            <w:pPr>
              <w:pStyle w:val="TableParagraph"/>
              <w:spacing w:before="46"/>
              <w:ind w:left="386" w:right="542"/>
              <w:rPr>
                <w:sz w:val="18"/>
              </w:rPr>
            </w:pPr>
            <w:r>
              <w:rPr>
                <w:sz w:val="18"/>
              </w:rPr>
              <w:t>Churchgate Railway Station</w:t>
            </w:r>
          </w:p>
        </w:tc>
        <w:tc>
          <w:tcPr>
            <w:tcW w:w="2619" w:type="dxa"/>
            <w:tcBorders>
              <w:top w:val="single" w:sz="4" w:space="0" w:color="92D050"/>
              <w:bottom w:val="single" w:sz="4" w:space="0" w:color="92D050"/>
            </w:tcBorders>
          </w:tcPr>
          <w:p>
            <w:pPr>
              <w:pStyle w:val="TableParagraph"/>
              <w:spacing w:before="46"/>
              <w:ind w:left="403" w:right="566"/>
              <w:rPr>
                <w:sz w:val="18"/>
              </w:rPr>
            </w:pPr>
            <w:r>
              <w:rPr>
                <w:w w:val="120"/>
                <w:sz w:val="18"/>
              </w:rPr>
              <w:t>1 – 2</w:t>
            </w:r>
          </w:p>
        </w:tc>
      </w:tr>
      <w:tr>
        <w:trPr>
          <w:trHeight w:val="299" w:hRule="atLeast"/>
        </w:trPr>
        <w:tc>
          <w:tcPr>
            <w:tcW w:w="5070" w:type="dxa"/>
            <w:tcBorders>
              <w:top w:val="single" w:sz="4" w:space="0" w:color="92D050"/>
              <w:bottom w:val="single" w:sz="4" w:space="0" w:color="92D050"/>
            </w:tcBorders>
          </w:tcPr>
          <w:p>
            <w:pPr>
              <w:pStyle w:val="TableParagraph"/>
              <w:spacing w:before="46"/>
              <w:ind w:left="386" w:right="547"/>
              <w:rPr>
                <w:sz w:val="18"/>
              </w:rPr>
            </w:pPr>
            <w:r>
              <w:rPr>
                <w:sz w:val="18"/>
              </w:rPr>
              <w:t>Chhatrapati Shivaji Terminus Railway Station</w:t>
            </w:r>
          </w:p>
        </w:tc>
        <w:tc>
          <w:tcPr>
            <w:tcW w:w="2619" w:type="dxa"/>
            <w:tcBorders>
              <w:top w:val="single" w:sz="4" w:space="0" w:color="92D050"/>
              <w:bottom w:val="single" w:sz="4" w:space="0" w:color="92D050"/>
            </w:tcBorders>
          </w:tcPr>
          <w:p>
            <w:pPr>
              <w:pStyle w:val="TableParagraph"/>
              <w:spacing w:before="46"/>
              <w:ind w:left="403" w:right="566"/>
              <w:rPr>
                <w:sz w:val="18"/>
              </w:rPr>
            </w:pPr>
            <w:r>
              <w:rPr>
                <w:w w:val="120"/>
                <w:sz w:val="18"/>
              </w:rPr>
              <w:t>2 – 3</w:t>
            </w:r>
          </w:p>
        </w:tc>
      </w:tr>
      <w:tr>
        <w:trPr>
          <w:trHeight w:val="302" w:hRule="atLeast"/>
        </w:trPr>
        <w:tc>
          <w:tcPr>
            <w:tcW w:w="5070" w:type="dxa"/>
            <w:tcBorders>
              <w:top w:val="single" w:sz="4" w:space="0" w:color="92D050"/>
              <w:bottom w:val="single" w:sz="4" w:space="0" w:color="92D050"/>
            </w:tcBorders>
          </w:tcPr>
          <w:p>
            <w:pPr>
              <w:pStyle w:val="TableParagraph"/>
              <w:spacing w:before="46"/>
              <w:ind w:left="386" w:right="549"/>
              <w:rPr>
                <w:sz w:val="18"/>
              </w:rPr>
            </w:pPr>
            <w:r>
              <w:rPr>
                <w:sz w:val="18"/>
              </w:rPr>
              <w:t>Bandra Kurla Complex (Alternate Business District)</w:t>
            </w:r>
          </w:p>
        </w:tc>
        <w:tc>
          <w:tcPr>
            <w:tcW w:w="2619" w:type="dxa"/>
            <w:tcBorders>
              <w:top w:val="single" w:sz="4" w:space="0" w:color="92D050"/>
              <w:bottom w:val="single" w:sz="4" w:space="0" w:color="92D050"/>
            </w:tcBorders>
          </w:tcPr>
          <w:p>
            <w:pPr>
              <w:pStyle w:val="TableParagraph"/>
              <w:spacing w:before="46"/>
              <w:ind w:left="402" w:right="566"/>
              <w:rPr>
                <w:sz w:val="18"/>
              </w:rPr>
            </w:pPr>
            <w:r>
              <w:rPr>
                <w:w w:val="120"/>
                <w:sz w:val="18"/>
              </w:rPr>
              <w:t>17 – 18</w:t>
            </w:r>
          </w:p>
        </w:tc>
      </w:tr>
      <w:tr>
        <w:trPr>
          <w:trHeight w:val="299" w:hRule="atLeast"/>
        </w:trPr>
        <w:tc>
          <w:tcPr>
            <w:tcW w:w="5070" w:type="dxa"/>
            <w:tcBorders>
              <w:top w:val="single" w:sz="4" w:space="0" w:color="92D050"/>
              <w:bottom w:val="single" w:sz="4" w:space="0" w:color="92D050"/>
            </w:tcBorders>
          </w:tcPr>
          <w:p>
            <w:pPr>
              <w:pStyle w:val="TableParagraph"/>
              <w:spacing w:before="44"/>
              <w:ind w:left="386" w:right="543"/>
              <w:rPr>
                <w:sz w:val="18"/>
              </w:rPr>
            </w:pPr>
            <w:r>
              <w:rPr>
                <w:sz w:val="18"/>
              </w:rPr>
              <w:t>Chhatrapati Shivaji Domestic Terminal</w:t>
            </w:r>
          </w:p>
        </w:tc>
        <w:tc>
          <w:tcPr>
            <w:tcW w:w="2619" w:type="dxa"/>
            <w:tcBorders>
              <w:top w:val="single" w:sz="4" w:space="0" w:color="92D050"/>
              <w:bottom w:val="single" w:sz="4" w:space="0" w:color="92D050"/>
            </w:tcBorders>
          </w:tcPr>
          <w:p>
            <w:pPr>
              <w:pStyle w:val="TableParagraph"/>
              <w:spacing w:before="44"/>
              <w:ind w:left="402" w:right="566"/>
              <w:rPr>
                <w:sz w:val="18"/>
              </w:rPr>
            </w:pPr>
            <w:r>
              <w:rPr>
                <w:w w:val="120"/>
                <w:sz w:val="18"/>
              </w:rPr>
              <w:t>24 – 25</w:t>
            </w:r>
          </w:p>
        </w:tc>
      </w:tr>
      <w:tr>
        <w:trPr>
          <w:trHeight w:val="299" w:hRule="atLeast"/>
        </w:trPr>
        <w:tc>
          <w:tcPr>
            <w:tcW w:w="5070" w:type="dxa"/>
            <w:tcBorders>
              <w:top w:val="single" w:sz="4" w:space="0" w:color="92D050"/>
              <w:bottom w:val="single" w:sz="4" w:space="0" w:color="92D050"/>
            </w:tcBorders>
          </w:tcPr>
          <w:p>
            <w:pPr>
              <w:pStyle w:val="TableParagraph"/>
              <w:spacing w:before="44"/>
              <w:ind w:left="386" w:right="544"/>
              <w:rPr>
                <w:sz w:val="18"/>
              </w:rPr>
            </w:pPr>
            <w:r>
              <w:rPr>
                <w:sz w:val="18"/>
              </w:rPr>
              <w:t>Chhatrapati Shivaji International Terminal</w:t>
            </w:r>
          </w:p>
        </w:tc>
        <w:tc>
          <w:tcPr>
            <w:tcW w:w="2619" w:type="dxa"/>
            <w:tcBorders>
              <w:top w:val="single" w:sz="4" w:space="0" w:color="92D050"/>
              <w:bottom w:val="single" w:sz="4" w:space="0" w:color="92D050"/>
            </w:tcBorders>
          </w:tcPr>
          <w:p>
            <w:pPr>
              <w:pStyle w:val="TableParagraph"/>
              <w:spacing w:before="44"/>
              <w:ind w:left="402" w:right="566"/>
              <w:rPr>
                <w:sz w:val="18"/>
              </w:rPr>
            </w:pPr>
            <w:r>
              <w:rPr>
                <w:w w:val="120"/>
                <w:sz w:val="18"/>
              </w:rPr>
              <w:t>27 – 28</w:t>
            </w:r>
          </w:p>
        </w:tc>
      </w:tr>
    </w:tbl>
    <w:p>
      <w:pPr>
        <w:spacing w:before="118"/>
        <w:ind w:left="2825" w:right="0" w:firstLine="0"/>
        <w:jc w:val="left"/>
        <w:rPr>
          <w:i/>
          <w:sz w:val="16"/>
        </w:rPr>
      </w:pPr>
      <w:r>
        <w:rPr>
          <w:i/>
          <w:sz w:val="16"/>
        </w:rPr>
        <w:t>Source: Consultants’ research</w:t>
      </w:r>
    </w:p>
    <w:p>
      <w:pPr>
        <w:pStyle w:val="BodyText"/>
        <w:spacing w:before="4"/>
        <w:rPr>
          <w:i/>
          <w:sz w:val="26"/>
        </w:rPr>
      </w:pPr>
    </w:p>
    <w:p>
      <w:pPr>
        <w:pStyle w:val="BodyText"/>
        <w:tabs>
          <w:tab w:pos="2901" w:val="left" w:leader="none"/>
        </w:tabs>
        <w:spacing w:line="444" w:lineRule="auto"/>
        <w:ind w:left="2901" w:right="3606" w:hanging="2017"/>
      </w:pPr>
      <w:r>
        <w:rPr/>
        <w:t>Surrounds:</w:t>
        <w:tab/>
        <w:t>The</w:t>
      </w:r>
      <w:r>
        <w:rPr>
          <w:spacing w:val="-36"/>
        </w:rPr>
        <w:t> </w:t>
      </w:r>
      <w:r>
        <w:rPr/>
        <w:t>subject</w:t>
      </w:r>
      <w:r>
        <w:rPr>
          <w:spacing w:val="-37"/>
        </w:rPr>
        <w:t> </w:t>
      </w:r>
      <w:r>
        <w:rPr/>
        <w:t>property</w:t>
      </w:r>
      <w:r>
        <w:rPr>
          <w:spacing w:val="-35"/>
        </w:rPr>
        <w:t> </w:t>
      </w:r>
      <w:r>
        <w:rPr/>
        <w:t>is</w:t>
      </w:r>
      <w:r>
        <w:rPr>
          <w:spacing w:val="-36"/>
        </w:rPr>
        <w:t> </w:t>
      </w:r>
      <w:r>
        <w:rPr/>
        <w:t>surrounded</w:t>
      </w:r>
      <w:r>
        <w:rPr>
          <w:spacing w:val="-35"/>
        </w:rPr>
        <w:t> </w:t>
      </w:r>
      <w:r>
        <w:rPr/>
        <w:t>as</w:t>
      </w:r>
      <w:r>
        <w:rPr>
          <w:spacing w:val="-35"/>
        </w:rPr>
        <w:t> </w:t>
      </w:r>
      <w:r>
        <w:rPr/>
        <w:t>follows: North: Air India</w:t>
      </w:r>
      <w:r>
        <w:rPr>
          <w:spacing w:val="-14"/>
        </w:rPr>
        <w:t> </w:t>
      </w:r>
      <w:r>
        <w:rPr/>
        <w:t>Building</w:t>
      </w:r>
    </w:p>
    <w:p>
      <w:pPr>
        <w:pStyle w:val="BodyText"/>
        <w:spacing w:line="441" w:lineRule="auto"/>
        <w:ind w:left="2901" w:right="1140"/>
      </w:pPr>
      <w:r>
        <w:rPr/>
        <w:t>South:</w:t>
      </w:r>
      <w:r>
        <w:rPr>
          <w:spacing w:val="-16"/>
        </w:rPr>
        <w:t> </w:t>
      </w:r>
      <w:r>
        <w:rPr/>
        <w:t>Secondary</w:t>
      </w:r>
      <w:r>
        <w:rPr>
          <w:spacing w:val="-14"/>
        </w:rPr>
        <w:t> </w:t>
      </w:r>
      <w:r>
        <w:rPr/>
        <w:t>access</w:t>
      </w:r>
      <w:r>
        <w:rPr>
          <w:spacing w:val="-16"/>
        </w:rPr>
        <w:t> </w:t>
      </w:r>
      <w:r>
        <w:rPr/>
        <w:t>road</w:t>
      </w:r>
      <w:r>
        <w:rPr>
          <w:spacing w:val="-14"/>
        </w:rPr>
        <w:t> </w:t>
      </w:r>
      <w:r>
        <w:rPr/>
        <w:t>and</w:t>
      </w:r>
      <w:r>
        <w:rPr>
          <w:spacing w:val="-15"/>
        </w:rPr>
        <w:t> </w:t>
      </w:r>
      <w:r>
        <w:rPr/>
        <w:t>Nirmal</w:t>
      </w:r>
      <w:r>
        <w:rPr>
          <w:spacing w:val="-16"/>
        </w:rPr>
        <w:t> </w:t>
      </w:r>
      <w:r>
        <w:rPr/>
        <w:t>Towers,</w:t>
      </w:r>
      <w:r>
        <w:rPr>
          <w:spacing w:val="-16"/>
        </w:rPr>
        <w:t> </w:t>
      </w:r>
      <w:r>
        <w:rPr/>
        <w:t>Mafatlal</w:t>
      </w:r>
      <w:r>
        <w:rPr>
          <w:spacing w:val="-16"/>
        </w:rPr>
        <w:t> </w:t>
      </w:r>
      <w:r>
        <w:rPr/>
        <w:t>Centre East: Secondary access road (Vidhan Bhavan</w:t>
      </w:r>
      <w:r>
        <w:rPr>
          <w:spacing w:val="-18"/>
        </w:rPr>
        <w:t> </w:t>
      </w:r>
      <w:r>
        <w:rPr/>
        <w:t>Marg)</w:t>
      </w:r>
    </w:p>
    <w:p>
      <w:pPr>
        <w:pStyle w:val="BodyText"/>
        <w:spacing w:line="321" w:lineRule="auto" w:before="4"/>
        <w:ind w:left="2901"/>
      </w:pPr>
      <w:r>
        <w:rPr/>
        <w:t>West: Primary access road (Barrister Rajni Patel Marg) and The Oberoi and Trident Hotel</w:t>
      </w:r>
    </w:p>
    <w:p>
      <w:pPr>
        <w:pStyle w:val="BodyText"/>
        <w:spacing w:before="7"/>
        <w:rPr>
          <w:sz w:val="11"/>
        </w:rPr>
      </w:pPr>
    </w:p>
    <w:p>
      <w:pPr>
        <w:spacing w:after="0"/>
        <w:rPr>
          <w:sz w:val="11"/>
        </w:rPr>
        <w:sectPr>
          <w:pgSz w:w="11910" w:h="16840"/>
          <w:pgMar w:header="720" w:footer="842" w:top="1660" w:bottom="1040" w:left="500" w:right="520"/>
        </w:sectPr>
      </w:pPr>
    </w:p>
    <w:p>
      <w:pPr>
        <w:pStyle w:val="BodyText"/>
        <w:spacing w:line="321" w:lineRule="auto" w:before="107"/>
        <w:ind w:left="885"/>
      </w:pPr>
      <w:r>
        <w:rPr>
          <w:w w:val="95"/>
        </w:rPr>
        <w:t>Potential changes </w:t>
      </w:r>
      <w:r>
        <w:rPr/>
        <w:t>in surroundings:</w:t>
      </w:r>
    </w:p>
    <w:p>
      <w:pPr>
        <w:pStyle w:val="BodyText"/>
        <w:spacing w:line="321" w:lineRule="auto" w:before="107"/>
        <w:ind w:left="295" w:right="302"/>
        <w:jc w:val="both"/>
      </w:pPr>
      <w:r>
        <w:rPr/>
        <w:br w:type="column"/>
      </w:r>
      <w:r>
        <w:rPr/>
        <w:t>As</w:t>
      </w:r>
      <w:r>
        <w:rPr>
          <w:spacing w:val="-17"/>
        </w:rPr>
        <w:t> </w:t>
      </w:r>
      <w:r>
        <w:rPr/>
        <w:t>highlighted</w:t>
      </w:r>
      <w:r>
        <w:rPr>
          <w:spacing w:val="-17"/>
        </w:rPr>
        <w:t> </w:t>
      </w:r>
      <w:r>
        <w:rPr/>
        <w:t>earlier,</w:t>
      </w:r>
      <w:r>
        <w:rPr>
          <w:spacing w:val="-18"/>
        </w:rPr>
        <w:t> </w:t>
      </w:r>
      <w:r>
        <w:rPr/>
        <w:t>Nariman</w:t>
      </w:r>
      <w:r>
        <w:rPr>
          <w:spacing w:val="-18"/>
        </w:rPr>
        <w:t> </w:t>
      </w:r>
      <w:r>
        <w:rPr/>
        <w:t>Point</w:t>
      </w:r>
      <w:r>
        <w:rPr>
          <w:spacing w:val="-17"/>
        </w:rPr>
        <w:t> </w:t>
      </w:r>
      <w:r>
        <w:rPr/>
        <w:t>is</w:t>
      </w:r>
      <w:r>
        <w:rPr>
          <w:spacing w:val="-17"/>
        </w:rPr>
        <w:t> </w:t>
      </w:r>
      <w:r>
        <w:rPr/>
        <w:t>the</w:t>
      </w:r>
      <w:r>
        <w:rPr>
          <w:spacing w:val="-16"/>
        </w:rPr>
        <w:t> </w:t>
      </w:r>
      <w:r>
        <w:rPr/>
        <w:t>traditional</w:t>
      </w:r>
      <w:r>
        <w:rPr>
          <w:spacing w:val="-18"/>
        </w:rPr>
        <w:t> </w:t>
      </w:r>
      <w:r>
        <w:rPr/>
        <w:t>Central</w:t>
      </w:r>
      <w:r>
        <w:rPr>
          <w:spacing w:val="-16"/>
        </w:rPr>
        <w:t> </w:t>
      </w:r>
      <w:r>
        <w:rPr/>
        <w:t>Business</w:t>
      </w:r>
      <w:r>
        <w:rPr>
          <w:spacing w:val="-17"/>
        </w:rPr>
        <w:t> </w:t>
      </w:r>
      <w:r>
        <w:rPr/>
        <w:t>District of</w:t>
      </w:r>
      <w:r>
        <w:rPr>
          <w:spacing w:val="-17"/>
        </w:rPr>
        <w:t> </w:t>
      </w:r>
      <w:r>
        <w:rPr/>
        <w:t>the</w:t>
      </w:r>
      <w:r>
        <w:rPr>
          <w:spacing w:val="-17"/>
        </w:rPr>
        <w:t> </w:t>
      </w:r>
      <w:r>
        <w:rPr/>
        <w:t>Mumbai</w:t>
      </w:r>
      <w:r>
        <w:rPr>
          <w:spacing w:val="-17"/>
        </w:rPr>
        <w:t> </w:t>
      </w:r>
      <w:r>
        <w:rPr/>
        <w:t>city</w:t>
      </w:r>
      <w:r>
        <w:rPr>
          <w:spacing w:val="-17"/>
        </w:rPr>
        <w:t> </w:t>
      </w:r>
      <w:r>
        <w:rPr/>
        <w:t>and</w:t>
      </w:r>
      <w:r>
        <w:rPr>
          <w:spacing w:val="-16"/>
        </w:rPr>
        <w:t> </w:t>
      </w:r>
      <w:r>
        <w:rPr/>
        <w:t>has</w:t>
      </w:r>
      <w:r>
        <w:rPr>
          <w:spacing w:val="-16"/>
        </w:rPr>
        <w:t> </w:t>
      </w:r>
      <w:r>
        <w:rPr/>
        <w:t>limited</w:t>
      </w:r>
      <w:r>
        <w:rPr>
          <w:spacing w:val="-17"/>
        </w:rPr>
        <w:t> </w:t>
      </w:r>
      <w:r>
        <w:rPr/>
        <w:t>developable</w:t>
      </w:r>
      <w:r>
        <w:rPr>
          <w:spacing w:val="-18"/>
        </w:rPr>
        <w:t> </w:t>
      </w:r>
      <w:r>
        <w:rPr/>
        <w:t>land.</w:t>
      </w:r>
      <w:r>
        <w:rPr>
          <w:spacing w:val="-17"/>
        </w:rPr>
        <w:t> </w:t>
      </w:r>
      <w:r>
        <w:rPr/>
        <w:t>Further,</w:t>
      </w:r>
      <w:r>
        <w:rPr>
          <w:spacing w:val="-17"/>
        </w:rPr>
        <w:t> </w:t>
      </w:r>
      <w:r>
        <w:rPr/>
        <w:t>dearth</w:t>
      </w:r>
      <w:r>
        <w:rPr>
          <w:spacing w:val="-17"/>
        </w:rPr>
        <w:t> </w:t>
      </w:r>
      <w:r>
        <w:rPr/>
        <w:t>of</w:t>
      </w:r>
      <w:r>
        <w:rPr>
          <w:spacing w:val="-16"/>
        </w:rPr>
        <w:t> </w:t>
      </w:r>
      <w:r>
        <w:rPr/>
        <w:t>vacant developable land, higher use of land due to residential demand, limited </w:t>
      </w:r>
      <w:r>
        <w:rPr>
          <w:w w:val="95"/>
        </w:rPr>
        <w:t>opportunity for redevelopment due to fragmented ownership structure witnessed </w:t>
      </w:r>
      <w:r>
        <w:rPr/>
        <w:t>across</w:t>
      </w:r>
      <w:r>
        <w:rPr>
          <w:spacing w:val="-35"/>
        </w:rPr>
        <w:t> </w:t>
      </w:r>
      <w:r>
        <w:rPr/>
        <w:t>developments</w:t>
      </w:r>
      <w:r>
        <w:rPr>
          <w:spacing w:val="-35"/>
        </w:rPr>
        <w:t> </w:t>
      </w:r>
      <w:r>
        <w:rPr/>
        <w:t>coupled</w:t>
      </w:r>
      <w:r>
        <w:rPr>
          <w:spacing w:val="-36"/>
        </w:rPr>
        <w:t> </w:t>
      </w:r>
      <w:r>
        <w:rPr/>
        <w:t>with</w:t>
      </w:r>
      <w:r>
        <w:rPr>
          <w:spacing w:val="-35"/>
        </w:rPr>
        <w:t> </w:t>
      </w:r>
      <w:r>
        <w:rPr/>
        <w:t>onerous</w:t>
      </w:r>
      <w:r>
        <w:rPr>
          <w:spacing w:val="-35"/>
        </w:rPr>
        <w:t> </w:t>
      </w:r>
      <w:r>
        <w:rPr/>
        <w:t>construction</w:t>
      </w:r>
      <w:r>
        <w:rPr>
          <w:spacing w:val="-36"/>
        </w:rPr>
        <w:t> </w:t>
      </w:r>
      <w:r>
        <w:rPr/>
        <w:t>regulations</w:t>
      </w:r>
      <w:r>
        <w:rPr>
          <w:spacing w:val="-35"/>
        </w:rPr>
        <w:t> </w:t>
      </w:r>
      <w:r>
        <w:rPr/>
        <w:t>has</w:t>
      </w:r>
      <w:r>
        <w:rPr>
          <w:spacing w:val="-34"/>
        </w:rPr>
        <w:t> </w:t>
      </w:r>
      <w:r>
        <w:rPr/>
        <w:t>resulted in</w:t>
      </w:r>
      <w:r>
        <w:rPr>
          <w:spacing w:val="-46"/>
        </w:rPr>
        <w:t> </w:t>
      </w:r>
      <w:r>
        <w:rPr/>
        <w:t>negligible</w:t>
      </w:r>
      <w:r>
        <w:rPr>
          <w:spacing w:val="-45"/>
        </w:rPr>
        <w:t> </w:t>
      </w:r>
      <w:r>
        <w:rPr/>
        <w:t>construction</w:t>
      </w:r>
      <w:r>
        <w:rPr>
          <w:spacing w:val="-45"/>
        </w:rPr>
        <w:t> </w:t>
      </w:r>
      <w:r>
        <w:rPr/>
        <w:t>activity</w:t>
      </w:r>
      <w:r>
        <w:rPr>
          <w:spacing w:val="-45"/>
        </w:rPr>
        <w:t> </w:t>
      </w:r>
      <w:r>
        <w:rPr/>
        <w:t>for</w:t>
      </w:r>
      <w:r>
        <w:rPr>
          <w:spacing w:val="-45"/>
        </w:rPr>
        <w:t> </w:t>
      </w:r>
      <w:r>
        <w:rPr/>
        <w:t>new</w:t>
      </w:r>
      <w:r>
        <w:rPr>
          <w:spacing w:val="-44"/>
        </w:rPr>
        <w:t> </w:t>
      </w:r>
      <w:r>
        <w:rPr/>
        <w:t>commercial</w:t>
      </w:r>
      <w:r>
        <w:rPr>
          <w:spacing w:val="-45"/>
        </w:rPr>
        <w:t> </w:t>
      </w:r>
      <w:r>
        <w:rPr/>
        <w:t>buildings.</w:t>
      </w:r>
      <w:r>
        <w:rPr>
          <w:spacing w:val="-46"/>
        </w:rPr>
        <w:t> </w:t>
      </w:r>
      <w:r>
        <w:rPr/>
        <w:t>The</w:t>
      </w:r>
      <w:r>
        <w:rPr>
          <w:spacing w:val="-45"/>
        </w:rPr>
        <w:t> </w:t>
      </w:r>
      <w:r>
        <w:rPr/>
        <w:t>submarket</w:t>
      </w:r>
      <w:r>
        <w:rPr>
          <w:spacing w:val="-45"/>
        </w:rPr>
        <w:t> </w:t>
      </w:r>
      <w:r>
        <w:rPr/>
        <w:t>is characterized by presence of few prominent hotels and older commercial buildings with constrained parking</w:t>
      </w:r>
      <w:r>
        <w:rPr>
          <w:spacing w:val="-20"/>
        </w:rPr>
        <w:t> </w:t>
      </w:r>
      <w:r>
        <w:rPr/>
        <w:t>facilities.</w:t>
      </w:r>
    </w:p>
    <w:p>
      <w:pPr>
        <w:spacing w:after="0" w:line="321" w:lineRule="auto"/>
        <w:jc w:val="both"/>
        <w:sectPr>
          <w:type w:val="continuous"/>
          <w:pgSz w:w="11910" w:h="16840"/>
          <w:pgMar w:top="800" w:bottom="280" w:left="500" w:right="520"/>
          <w:cols w:num="2" w:equalWidth="0">
            <w:col w:w="2567" w:space="40"/>
            <w:col w:w="8283"/>
          </w:cols>
        </w:sectPr>
      </w:pPr>
    </w:p>
    <w:p>
      <w:pPr>
        <w:pStyle w:val="BodyText"/>
        <w:spacing w:before="9"/>
        <w:rPr>
          <w:sz w:val="11"/>
        </w:rPr>
      </w:pPr>
    </w:p>
    <w:p>
      <w:pPr>
        <w:spacing w:after="0"/>
        <w:rPr>
          <w:sz w:val="11"/>
        </w:rPr>
        <w:sectPr>
          <w:type w:val="continuous"/>
          <w:pgSz w:w="11910" w:h="16840"/>
          <w:pgMar w:top="800" w:bottom="280" w:left="500" w:right="520"/>
        </w:sectPr>
      </w:pPr>
    </w:p>
    <w:p>
      <w:pPr>
        <w:pStyle w:val="BodyText"/>
        <w:spacing w:line="321" w:lineRule="auto" w:before="106"/>
        <w:ind w:left="885" w:right="-14"/>
      </w:pPr>
      <w:r>
        <w:rPr>
          <w:w w:val="95"/>
        </w:rPr>
        <w:t>Suitability</w:t>
      </w:r>
      <w:r>
        <w:rPr>
          <w:spacing w:val="-39"/>
          <w:w w:val="95"/>
        </w:rPr>
        <w:t> </w:t>
      </w:r>
      <w:r>
        <w:rPr>
          <w:w w:val="95"/>
        </w:rPr>
        <w:t>of existing</w:t>
      </w:r>
      <w:r>
        <w:rPr>
          <w:spacing w:val="-5"/>
          <w:w w:val="95"/>
        </w:rPr>
        <w:t> use:</w:t>
      </w:r>
    </w:p>
    <w:p>
      <w:pPr>
        <w:pStyle w:val="BodyText"/>
        <w:spacing w:line="321" w:lineRule="auto" w:before="106"/>
        <w:ind w:left="806"/>
      </w:pPr>
      <w:r>
        <w:rPr/>
        <w:br w:type="column"/>
      </w:r>
      <w:r>
        <w:rPr/>
        <w:t>Considering the profile of surrounding developments, the subject property is opined to be suited for its current use as a city centre office.</w:t>
      </w:r>
    </w:p>
    <w:p>
      <w:pPr>
        <w:spacing w:after="0" w:line="321" w:lineRule="auto"/>
        <w:sectPr>
          <w:type w:val="continuous"/>
          <w:pgSz w:w="11910" w:h="16840"/>
          <w:pgMar w:top="800" w:bottom="280" w:left="500" w:right="520"/>
          <w:cols w:num="2" w:equalWidth="0">
            <w:col w:w="2055" w:space="40"/>
            <w:col w:w="8795"/>
          </w:cols>
        </w:sectPr>
      </w:pPr>
    </w:p>
    <w:p>
      <w:pPr>
        <w:spacing w:before="75"/>
        <w:ind w:left="171" w:right="0" w:firstLine="0"/>
        <w:jc w:val="left"/>
        <w:rPr>
          <w:sz w:val="20"/>
        </w:rPr>
      </w:pPr>
      <w:r>
        <w:rPr/>
        <w:drawing>
          <wp:anchor distT="0" distB="0" distL="0" distR="0" allowOverlap="1" layoutInCell="1" locked="0" behindDoc="0" simplePos="0" relativeHeight="15943680">
            <wp:simplePos x="0" y="0"/>
            <wp:positionH relativeFrom="page">
              <wp:posOffset>5544184</wp:posOffset>
            </wp:positionH>
            <wp:positionV relativeFrom="page">
              <wp:posOffset>7032625</wp:posOffset>
            </wp:positionV>
            <wp:extent cx="1079499" cy="300457"/>
            <wp:effectExtent l="0" t="0" r="0" b="0"/>
            <wp:wrapNone/>
            <wp:docPr id="87" name="image3.jpeg"/>
            <wp:cNvGraphicFramePr>
              <a:graphicFrameLocks noChangeAspect="1"/>
            </wp:cNvGraphicFramePr>
            <a:graphic>
              <a:graphicData uri="http://schemas.openxmlformats.org/drawingml/2006/picture">
                <pic:pic>
                  <pic:nvPicPr>
                    <pic:cNvPr id="88" name="image3.jpeg"/>
                    <pic:cNvPicPr/>
                  </pic:nvPicPr>
                  <pic:blipFill>
                    <a:blip r:embed="rId7" cstate="print"/>
                    <a:stretch>
                      <a:fillRect/>
                    </a:stretch>
                  </pic:blipFill>
                  <pic:spPr>
                    <a:xfrm>
                      <a:off x="0" y="0"/>
                      <a:ext cx="1079499" cy="300457"/>
                    </a:xfrm>
                    <a:prstGeom prst="rect">
                      <a:avLst/>
                    </a:prstGeom>
                  </pic:spPr>
                </pic:pic>
              </a:graphicData>
            </a:graphic>
          </wp:anchor>
        </w:drawing>
      </w:r>
      <w:r>
        <w:rPr/>
        <w:drawing>
          <wp:anchor distT="0" distB="0" distL="0" distR="0" allowOverlap="1" layoutInCell="1" locked="0" behindDoc="0" simplePos="0" relativeHeight="15944192">
            <wp:simplePos x="0" y="0"/>
            <wp:positionH relativeFrom="page">
              <wp:posOffset>857885</wp:posOffset>
            </wp:positionH>
            <wp:positionV relativeFrom="paragraph">
              <wp:posOffset>292603</wp:posOffset>
            </wp:positionV>
            <wp:extent cx="9831450" cy="81915"/>
            <wp:effectExtent l="0" t="0" r="0" b="0"/>
            <wp:wrapNone/>
            <wp:docPr id="89" name="image51.png"/>
            <wp:cNvGraphicFramePr>
              <a:graphicFrameLocks noChangeAspect="1"/>
            </wp:cNvGraphicFramePr>
            <a:graphic>
              <a:graphicData uri="http://schemas.openxmlformats.org/drawingml/2006/picture">
                <pic:pic>
                  <pic:nvPicPr>
                    <pic:cNvPr id="90" name="image51.png"/>
                    <pic:cNvPicPr/>
                  </pic:nvPicPr>
                  <pic:blipFill>
                    <a:blip r:embed="rId67" cstate="print"/>
                    <a:stretch>
                      <a:fillRect/>
                    </a:stretch>
                  </pic:blipFill>
                  <pic:spPr>
                    <a:xfrm>
                      <a:off x="0" y="0"/>
                      <a:ext cx="9831450" cy="81915"/>
                    </a:xfrm>
                    <a:prstGeom prst="rect">
                      <a:avLst/>
                    </a:prstGeom>
                  </pic:spPr>
                </pic:pic>
              </a:graphicData>
            </a:graphic>
          </wp:anchor>
        </w:drawing>
      </w:r>
      <w:r>
        <w:rPr/>
        <w:drawing>
          <wp:anchor distT="0" distB="0" distL="0" distR="0" allowOverlap="1" layoutInCell="1" locked="0" behindDoc="0" simplePos="0" relativeHeight="15944704">
            <wp:simplePos x="0" y="0"/>
            <wp:positionH relativeFrom="page">
              <wp:posOffset>6705782</wp:posOffset>
            </wp:positionH>
            <wp:positionV relativeFrom="page">
              <wp:posOffset>6900350</wp:posOffset>
            </wp:positionV>
            <wp:extent cx="909288" cy="433873"/>
            <wp:effectExtent l="0" t="0" r="0" b="0"/>
            <wp:wrapNone/>
            <wp:docPr id="91" name="image4.png"/>
            <wp:cNvGraphicFramePr>
              <a:graphicFrameLocks noChangeAspect="1"/>
            </wp:cNvGraphicFramePr>
            <a:graphic>
              <a:graphicData uri="http://schemas.openxmlformats.org/drawingml/2006/picture">
                <pic:pic>
                  <pic:nvPicPr>
                    <pic:cNvPr id="92"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BodyText"/>
        <w:rPr>
          <w:sz w:val="24"/>
        </w:rPr>
      </w:pPr>
    </w:p>
    <w:p>
      <w:pPr>
        <w:pStyle w:val="BodyText"/>
        <w:rPr>
          <w:sz w:val="24"/>
        </w:rPr>
      </w:pPr>
    </w:p>
    <w:p>
      <w:pPr>
        <w:pStyle w:val="BodyText"/>
        <w:spacing w:before="171"/>
        <w:ind w:left="171"/>
      </w:pPr>
      <w:r>
        <w:rPr/>
        <w:t>The following map indicates the location of the subject property and surrounding developments:</w:t>
      </w:r>
    </w:p>
    <w:p>
      <w:pPr>
        <w:pStyle w:val="BodyText"/>
        <w:spacing w:before="6"/>
        <w:rPr>
          <w:sz w:val="12"/>
        </w:rPr>
      </w:pPr>
      <w:r>
        <w:rPr/>
        <w:pict>
          <v:group style="position:absolute;margin-left:70.559998pt;margin-top:9.229023pt;width:676.95pt;height:14.2pt;mso-position-horizontal-relative:page;mso-position-vertical-relative:paragraph;z-index:-15514624;mso-wrap-distance-left:0;mso-wrap-distance-right:0" coordorigin="1411,185" coordsize="13539,284">
            <v:rect style="position:absolute;left:1411;top:213;width:13539;height:255" filled="true" fillcolor="#006a4d" stroked="false">
              <v:fill type="solid"/>
            </v:rect>
            <v:rect style="position:absolute;left:1411;top:184;width:13539;height:29" filled="true" fillcolor="#1f6b16" stroked="false">
              <v:fill type="solid"/>
            </v:rect>
            <v:rect style="position:absolute;left:1411;top:213;width:13539;height:3" filled="true" fillcolor="#006a4d" stroked="false">
              <v:fill type="solid"/>
            </v:rect>
            <v:shape style="position:absolute;left:1411;top:215;width:13539;height:252" type="#_x0000_t202" filled="false" stroked="false">
              <v:textbox inset="0,0,0,0">
                <w:txbxContent>
                  <w:p>
                    <w:pPr>
                      <w:spacing w:before="20"/>
                      <w:ind w:left="5053" w:right="5054" w:firstLine="0"/>
                      <w:jc w:val="center"/>
                      <w:rPr>
                        <w:b/>
                        <w:sz w:val="18"/>
                      </w:rPr>
                    </w:pPr>
                    <w:r>
                      <w:rPr>
                        <w:b/>
                        <w:color w:val="FFFFFF"/>
                        <w:w w:val="105"/>
                        <w:sz w:val="18"/>
                      </w:rPr>
                      <w:t>Location Map for the Subject Property</w:t>
                    </w:r>
                  </w:p>
                </w:txbxContent>
              </v:textbox>
              <w10:wrap type="none"/>
            </v:shape>
            <w10:wrap type="topAndBottom"/>
          </v:group>
        </w:pict>
      </w:r>
    </w:p>
    <w:p>
      <w:pPr>
        <w:pStyle w:val="BodyText"/>
        <w:rPr>
          <w:sz w:val="20"/>
        </w:rPr>
      </w:pPr>
    </w:p>
    <w:p>
      <w:pPr>
        <w:pStyle w:val="BodyText"/>
        <w:spacing w:before="9"/>
        <w:rPr>
          <w:sz w:val="14"/>
        </w:rPr>
      </w:pPr>
      <w:r>
        <w:rPr/>
        <w:drawing>
          <wp:anchor distT="0" distB="0" distL="0" distR="0" allowOverlap="1" layoutInCell="1" locked="0" behindDoc="0" simplePos="0" relativeHeight="419">
            <wp:simplePos x="0" y="0"/>
            <wp:positionH relativeFrom="page">
              <wp:posOffset>1080769</wp:posOffset>
            </wp:positionH>
            <wp:positionV relativeFrom="paragraph">
              <wp:posOffset>134095</wp:posOffset>
            </wp:positionV>
            <wp:extent cx="8345959" cy="4555140"/>
            <wp:effectExtent l="0" t="0" r="0" b="0"/>
            <wp:wrapTopAndBottom/>
            <wp:docPr id="93" name="image70.png"/>
            <wp:cNvGraphicFramePr>
              <a:graphicFrameLocks noChangeAspect="1"/>
            </wp:cNvGraphicFramePr>
            <a:graphic>
              <a:graphicData uri="http://schemas.openxmlformats.org/drawingml/2006/picture">
                <pic:pic>
                  <pic:nvPicPr>
                    <pic:cNvPr id="94" name="image70.png"/>
                    <pic:cNvPicPr/>
                  </pic:nvPicPr>
                  <pic:blipFill>
                    <a:blip r:embed="rId94" cstate="print"/>
                    <a:stretch>
                      <a:fillRect/>
                    </a:stretch>
                  </pic:blipFill>
                  <pic:spPr>
                    <a:xfrm>
                      <a:off x="0" y="0"/>
                      <a:ext cx="8345959" cy="4555140"/>
                    </a:xfrm>
                    <a:prstGeom prst="rect">
                      <a:avLst/>
                    </a:prstGeom>
                  </pic:spPr>
                </pic:pic>
              </a:graphicData>
            </a:graphic>
          </wp:anchor>
        </w:drawing>
      </w:r>
    </w:p>
    <w:p>
      <w:pPr>
        <w:pStyle w:val="BodyText"/>
        <w:spacing w:before="7"/>
        <w:rPr>
          <w:sz w:val="9"/>
        </w:rPr>
      </w:pPr>
    </w:p>
    <w:p>
      <w:pPr>
        <w:spacing w:before="105"/>
        <w:ind w:left="271" w:right="0" w:firstLine="0"/>
        <w:jc w:val="left"/>
        <w:rPr>
          <w:i/>
          <w:sz w:val="16"/>
        </w:rPr>
      </w:pPr>
      <w:r>
        <w:rPr>
          <w:i/>
          <w:sz w:val="16"/>
        </w:rPr>
        <w:t>Source: Consultants’ Research</w:t>
      </w:r>
    </w:p>
    <w:p>
      <w:pPr>
        <w:spacing w:after="0"/>
        <w:jc w:val="left"/>
        <w:rPr>
          <w:sz w:val="16"/>
        </w:rPr>
        <w:sectPr>
          <w:headerReference w:type="default" r:id="rId92"/>
          <w:footerReference w:type="default" r:id="rId93"/>
          <w:pgSz w:w="16840" w:h="11910" w:orient="landscape"/>
          <w:pgMar w:header="0" w:footer="523" w:top="640" w:bottom="720" w:left="1240" w:right="0"/>
        </w:sectPr>
      </w:pPr>
    </w:p>
    <w:p>
      <w:pPr>
        <w:pStyle w:val="BodyText"/>
        <w:spacing w:before="11"/>
        <w:rPr>
          <w:i/>
          <w:sz w:val="19"/>
        </w:rPr>
      </w:pPr>
    </w:p>
    <w:p>
      <w:pPr>
        <w:pStyle w:val="BodyText"/>
        <w:tabs>
          <w:tab w:pos="2672" w:val="left" w:leader="none"/>
        </w:tabs>
        <w:spacing w:line="321" w:lineRule="auto" w:before="106"/>
        <w:ind w:left="2672" w:right="108" w:hanging="1995"/>
        <w:jc w:val="both"/>
      </w:pPr>
      <w:r>
        <w:rPr/>
        <w:t>Shape:</w:t>
        <w:tab/>
        <w:t>Based</w:t>
      </w:r>
      <w:r>
        <w:rPr>
          <w:spacing w:val="-25"/>
        </w:rPr>
        <w:t> </w:t>
      </w:r>
      <w:r>
        <w:rPr/>
        <w:t>on</w:t>
      </w:r>
      <w:r>
        <w:rPr>
          <w:spacing w:val="-26"/>
        </w:rPr>
        <w:t> </w:t>
      </w:r>
      <w:r>
        <w:rPr/>
        <w:t>site</w:t>
      </w:r>
      <w:r>
        <w:rPr>
          <w:spacing w:val="-26"/>
        </w:rPr>
        <w:t> </w:t>
      </w:r>
      <w:r>
        <w:rPr/>
        <w:t>plan</w:t>
      </w:r>
      <w:r>
        <w:rPr>
          <w:spacing w:val="-26"/>
        </w:rPr>
        <w:t> </w:t>
      </w:r>
      <w:r>
        <w:rPr/>
        <w:t>provided</w:t>
      </w:r>
      <w:r>
        <w:rPr>
          <w:spacing w:val="-24"/>
        </w:rPr>
        <w:t> </w:t>
      </w:r>
      <w:r>
        <w:rPr/>
        <w:t>by</w:t>
      </w:r>
      <w:r>
        <w:rPr>
          <w:spacing w:val="-23"/>
        </w:rPr>
        <w:t> </w:t>
      </w:r>
      <w:r>
        <w:rPr/>
        <w:t>the</w:t>
      </w:r>
      <w:r>
        <w:rPr>
          <w:spacing w:val="-25"/>
        </w:rPr>
        <w:t> </w:t>
      </w:r>
      <w:r>
        <w:rPr/>
        <w:t>Client</w:t>
      </w:r>
      <w:r>
        <w:rPr>
          <w:spacing w:val="-25"/>
        </w:rPr>
        <w:t> </w:t>
      </w:r>
      <w:r>
        <w:rPr/>
        <w:t>and</w:t>
      </w:r>
      <w:r>
        <w:rPr>
          <w:spacing w:val="-25"/>
        </w:rPr>
        <w:t> </w:t>
      </w:r>
      <w:r>
        <w:rPr/>
        <w:t>visual</w:t>
      </w:r>
      <w:r>
        <w:rPr>
          <w:spacing w:val="-26"/>
        </w:rPr>
        <w:t> </w:t>
      </w:r>
      <w:r>
        <w:rPr/>
        <w:t>inspection</w:t>
      </w:r>
      <w:r>
        <w:rPr>
          <w:spacing w:val="-26"/>
        </w:rPr>
        <w:t> </w:t>
      </w:r>
      <w:r>
        <w:rPr/>
        <w:t>during</w:t>
      </w:r>
      <w:r>
        <w:rPr>
          <w:spacing w:val="-25"/>
        </w:rPr>
        <w:t> </w:t>
      </w:r>
      <w:r>
        <w:rPr/>
        <w:t>the</w:t>
      </w:r>
      <w:r>
        <w:rPr>
          <w:spacing w:val="-26"/>
        </w:rPr>
        <w:t> </w:t>
      </w:r>
      <w:r>
        <w:rPr/>
        <w:t>site</w:t>
      </w:r>
      <w:r>
        <w:rPr>
          <w:spacing w:val="-25"/>
        </w:rPr>
        <w:t> </w:t>
      </w:r>
      <w:r>
        <w:rPr/>
        <w:t>visit, it</w:t>
      </w:r>
      <w:r>
        <w:rPr>
          <w:spacing w:val="-16"/>
        </w:rPr>
        <w:t> </w:t>
      </w:r>
      <w:r>
        <w:rPr/>
        <w:t>is</w:t>
      </w:r>
      <w:r>
        <w:rPr>
          <w:spacing w:val="-16"/>
        </w:rPr>
        <w:t> </w:t>
      </w:r>
      <w:r>
        <w:rPr/>
        <w:t>understood</w:t>
      </w:r>
      <w:r>
        <w:rPr>
          <w:spacing w:val="-15"/>
        </w:rPr>
        <w:t> </w:t>
      </w:r>
      <w:r>
        <w:rPr/>
        <w:t>that</w:t>
      </w:r>
      <w:r>
        <w:rPr>
          <w:spacing w:val="-16"/>
        </w:rPr>
        <w:t> </w:t>
      </w:r>
      <w:r>
        <w:rPr/>
        <w:t>the</w:t>
      </w:r>
      <w:r>
        <w:rPr>
          <w:spacing w:val="-18"/>
        </w:rPr>
        <w:t> </w:t>
      </w:r>
      <w:r>
        <w:rPr/>
        <w:t>subject</w:t>
      </w:r>
      <w:r>
        <w:rPr>
          <w:spacing w:val="-16"/>
        </w:rPr>
        <w:t> </w:t>
      </w:r>
      <w:r>
        <w:rPr/>
        <w:t>property</w:t>
      </w:r>
      <w:r>
        <w:rPr>
          <w:spacing w:val="-15"/>
        </w:rPr>
        <w:t> </w:t>
      </w:r>
      <w:r>
        <w:rPr/>
        <w:t>is</w:t>
      </w:r>
      <w:r>
        <w:rPr>
          <w:spacing w:val="-16"/>
        </w:rPr>
        <w:t> </w:t>
      </w:r>
      <w:r>
        <w:rPr/>
        <w:t>on</w:t>
      </w:r>
      <w:r>
        <w:rPr>
          <w:spacing w:val="-16"/>
        </w:rPr>
        <w:t> </w:t>
      </w:r>
      <w:r>
        <w:rPr/>
        <w:t>a</w:t>
      </w:r>
      <w:r>
        <w:rPr>
          <w:spacing w:val="-16"/>
        </w:rPr>
        <w:t> </w:t>
      </w:r>
      <w:r>
        <w:rPr/>
        <w:t>regular</w:t>
      </w:r>
      <w:r>
        <w:rPr>
          <w:spacing w:val="-16"/>
        </w:rPr>
        <w:t> </w:t>
      </w:r>
      <w:r>
        <w:rPr/>
        <w:t>shaped</w:t>
      </w:r>
      <w:r>
        <w:rPr>
          <w:spacing w:val="-16"/>
        </w:rPr>
        <w:t> </w:t>
      </w:r>
      <w:r>
        <w:rPr/>
        <w:t>land</w:t>
      </w:r>
      <w:r>
        <w:rPr>
          <w:spacing w:val="-15"/>
        </w:rPr>
        <w:t> </w:t>
      </w:r>
      <w:r>
        <w:rPr/>
        <w:t>parcel.</w:t>
      </w:r>
    </w:p>
    <w:p>
      <w:pPr>
        <w:pStyle w:val="BodyText"/>
        <w:spacing w:before="10"/>
        <w:rPr>
          <w:sz w:val="20"/>
        </w:rPr>
      </w:pPr>
    </w:p>
    <w:p>
      <w:pPr>
        <w:pStyle w:val="BodyText"/>
        <w:tabs>
          <w:tab w:pos="2672" w:val="left" w:leader="none"/>
        </w:tabs>
        <w:spacing w:line="319" w:lineRule="auto"/>
        <w:ind w:left="2672" w:right="104" w:hanging="1995"/>
        <w:jc w:val="both"/>
      </w:pPr>
      <w:r>
        <w:rPr/>
        <w:t>Topography:</w:t>
        <w:tab/>
        <w:t>Based</w:t>
      </w:r>
      <w:r>
        <w:rPr>
          <w:spacing w:val="-28"/>
        </w:rPr>
        <w:t> </w:t>
      </w:r>
      <w:r>
        <w:rPr/>
        <w:t>on</w:t>
      </w:r>
      <w:r>
        <w:rPr>
          <w:spacing w:val="-26"/>
        </w:rPr>
        <w:t> </w:t>
      </w:r>
      <w:r>
        <w:rPr/>
        <w:t>the</w:t>
      </w:r>
      <w:r>
        <w:rPr>
          <w:spacing w:val="-29"/>
        </w:rPr>
        <w:t> </w:t>
      </w:r>
      <w:r>
        <w:rPr/>
        <w:t>site</w:t>
      </w:r>
      <w:r>
        <w:rPr>
          <w:spacing w:val="-28"/>
        </w:rPr>
        <w:t> </w:t>
      </w:r>
      <w:r>
        <w:rPr/>
        <w:t>plan</w:t>
      </w:r>
      <w:r>
        <w:rPr>
          <w:spacing w:val="-27"/>
        </w:rPr>
        <w:t> </w:t>
      </w:r>
      <w:r>
        <w:rPr/>
        <w:t>and</w:t>
      </w:r>
      <w:r>
        <w:rPr>
          <w:spacing w:val="-24"/>
        </w:rPr>
        <w:t> </w:t>
      </w:r>
      <w:r>
        <w:rPr/>
        <w:t>as</w:t>
      </w:r>
      <w:r>
        <w:rPr>
          <w:spacing w:val="-27"/>
        </w:rPr>
        <w:t> </w:t>
      </w:r>
      <w:r>
        <w:rPr/>
        <w:t>corroborated</w:t>
      </w:r>
      <w:r>
        <w:rPr>
          <w:spacing w:val="-27"/>
        </w:rPr>
        <w:t> </w:t>
      </w:r>
      <w:r>
        <w:rPr/>
        <w:t>with</w:t>
      </w:r>
      <w:r>
        <w:rPr>
          <w:spacing w:val="-27"/>
        </w:rPr>
        <w:t> </w:t>
      </w:r>
      <w:r>
        <w:rPr/>
        <w:t>our</w:t>
      </w:r>
      <w:r>
        <w:rPr>
          <w:spacing w:val="-26"/>
        </w:rPr>
        <w:t> </w:t>
      </w:r>
      <w:r>
        <w:rPr/>
        <w:t>site</w:t>
      </w:r>
      <w:r>
        <w:rPr>
          <w:spacing w:val="-27"/>
        </w:rPr>
        <w:t> </w:t>
      </w:r>
      <w:r>
        <w:rPr/>
        <w:t>visit,</w:t>
      </w:r>
      <w:r>
        <w:rPr>
          <w:spacing w:val="-28"/>
        </w:rPr>
        <w:t> </w:t>
      </w:r>
      <w:r>
        <w:rPr/>
        <w:t>the</w:t>
      </w:r>
      <w:r>
        <w:rPr>
          <w:spacing w:val="-28"/>
        </w:rPr>
        <w:t> </w:t>
      </w:r>
      <w:r>
        <w:rPr/>
        <w:t>site</w:t>
      </w:r>
      <w:r>
        <w:rPr>
          <w:spacing w:val="-27"/>
        </w:rPr>
        <w:t> </w:t>
      </w:r>
      <w:r>
        <w:rPr/>
        <w:t>appears</w:t>
      </w:r>
      <w:r>
        <w:rPr>
          <w:spacing w:val="-25"/>
        </w:rPr>
        <w:t> </w:t>
      </w:r>
      <w:r>
        <w:rPr/>
        <w:t>to</w:t>
      </w:r>
      <w:r>
        <w:rPr>
          <w:spacing w:val="-28"/>
        </w:rPr>
        <w:t> </w:t>
      </w:r>
      <w:r>
        <w:rPr/>
        <w:t>be even</w:t>
      </w:r>
      <w:r>
        <w:rPr>
          <w:spacing w:val="-14"/>
        </w:rPr>
        <w:t> </w:t>
      </w:r>
      <w:r>
        <w:rPr/>
        <w:t>and</w:t>
      </w:r>
      <w:r>
        <w:rPr>
          <w:spacing w:val="-12"/>
        </w:rPr>
        <w:t> </w:t>
      </w:r>
      <w:r>
        <w:rPr/>
        <w:t>on</w:t>
      </w:r>
      <w:r>
        <w:rPr>
          <w:spacing w:val="-14"/>
        </w:rPr>
        <w:t> </w:t>
      </w:r>
      <w:r>
        <w:rPr/>
        <w:t>the</w:t>
      </w:r>
      <w:r>
        <w:rPr>
          <w:spacing w:val="-12"/>
        </w:rPr>
        <w:t> </w:t>
      </w:r>
      <w:r>
        <w:rPr/>
        <w:t>same</w:t>
      </w:r>
      <w:r>
        <w:rPr>
          <w:spacing w:val="-13"/>
        </w:rPr>
        <w:t> </w:t>
      </w:r>
      <w:r>
        <w:rPr/>
        <w:t>level</w:t>
      </w:r>
      <w:r>
        <w:rPr>
          <w:spacing w:val="-13"/>
        </w:rPr>
        <w:t> </w:t>
      </w:r>
      <w:r>
        <w:rPr/>
        <w:t>as</w:t>
      </w:r>
      <w:r>
        <w:rPr>
          <w:spacing w:val="-12"/>
        </w:rPr>
        <w:t> </w:t>
      </w:r>
      <w:r>
        <w:rPr/>
        <w:t>abutting</w:t>
      </w:r>
      <w:r>
        <w:rPr>
          <w:spacing w:val="-11"/>
        </w:rPr>
        <w:t> </w:t>
      </w:r>
      <w:r>
        <w:rPr/>
        <w:t>access</w:t>
      </w:r>
      <w:r>
        <w:rPr>
          <w:spacing w:val="-12"/>
        </w:rPr>
        <w:t> </w:t>
      </w:r>
      <w:r>
        <w:rPr/>
        <w:t>roads</w:t>
      </w:r>
      <w:r>
        <w:rPr>
          <w:spacing w:val="-12"/>
        </w:rPr>
        <w:t> </w:t>
      </w:r>
      <w:r>
        <w:rPr/>
        <w:t>and</w:t>
      </w:r>
      <w:r>
        <w:rPr>
          <w:spacing w:val="-12"/>
        </w:rPr>
        <w:t> </w:t>
      </w:r>
      <w:r>
        <w:rPr/>
        <w:t>adjoining</w:t>
      </w:r>
      <w:r>
        <w:rPr>
          <w:spacing w:val="-12"/>
        </w:rPr>
        <w:t> </w:t>
      </w:r>
      <w:r>
        <w:rPr/>
        <w:t>properties.</w:t>
      </w:r>
    </w:p>
    <w:p>
      <w:pPr>
        <w:pStyle w:val="BodyText"/>
        <w:rPr>
          <w:sz w:val="21"/>
        </w:rPr>
      </w:pPr>
    </w:p>
    <w:p>
      <w:pPr>
        <w:pStyle w:val="BodyText"/>
        <w:tabs>
          <w:tab w:pos="2672" w:val="left" w:leader="none"/>
        </w:tabs>
        <w:spacing w:line="321" w:lineRule="auto"/>
        <w:ind w:left="2672" w:right="103" w:hanging="1995"/>
        <w:jc w:val="both"/>
      </w:pPr>
      <w:r>
        <w:rPr/>
        <w:t>Frontage:</w:t>
        <w:tab/>
        <w:t>Based on visual inspection and measurements made on Google maps, we understand that the frontage is approximately 110 meters along the Ramnath Goenka</w:t>
      </w:r>
      <w:r>
        <w:rPr>
          <w:spacing w:val="-2"/>
        </w:rPr>
        <w:t> </w:t>
      </w:r>
      <w:r>
        <w:rPr/>
        <w:t>Marg.</w:t>
      </w:r>
    </w:p>
    <w:p>
      <w:pPr>
        <w:pStyle w:val="BodyText"/>
        <w:rPr>
          <w:sz w:val="21"/>
        </w:rPr>
      </w:pPr>
    </w:p>
    <w:p>
      <w:pPr>
        <w:pStyle w:val="BodyText"/>
        <w:tabs>
          <w:tab w:pos="2672" w:val="left" w:leader="none"/>
        </w:tabs>
        <w:spacing w:line="321" w:lineRule="auto"/>
        <w:ind w:left="2672" w:right="106" w:hanging="1995"/>
        <w:jc w:val="both"/>
      </w:pPr>
      <w:r>
        <w:rPr>
          <w:w w:val="95"/>
        </w:rPr>
        <w:t>Accessibility:</w:t>
        <w:tab/>
      </w:r>
      <w:r>
        <w:rPr/>
        <w:t>The subject site comprises of multiple accesses wherein the primary access is Barrister</w:t>
      </w:r>
      <w:r>
        <w:rPr>
          <w:spacing w:val="-33"/>
        </w:rPr>
        <w:t> </w:t>
      </w:r>
      <w:r>
        <w:rPr/>
        <w:t>Rajni</w:t>
      </w:r>
      <w:r>
        <w:rPr>
          <w:spacing w:val="-32"/>
        </w:rPr>
        <w:t> </w:t>
      </w:r>
      <w:r>
        <w:rPr/>
        <w:t>Patel</w:t>
      </w:r>
      <w:r>
        <w:rPr>
          <w:spacing w:val="-32"/>
        </w:rPr>
        <w:t> </w:t>
      </w:r>
      <w:r>
        <w:rPr/>
        <w:t>Marg</w:t>
      </w:r>
      <w:r>
        <w:rPr>
          <w:spacing w:val="-32"/>
        </w:rPr>
        <w:t> </w:t>
      </w:r>
      <w:r>
        <w:rPr/>
        <w:t>(80</w:t>
      </w:r>
      <w:r>
        <w:rPr>
          <w:spacing w:val="-32"/>
        </w:rPr>
        <w:t> </w:t>
      </w:r>
      <w:r>
        <w:rPr/>
        <w:t>feet</w:t>
      </w:r>
      <w:r>
        <w:rPr>
          <w:spacing w:val="-31"/>
        </w:rPr>
        <w:t> </w:t>
      </w:r>
      <w:r>
        <w:rPr/>
        <w:t>wide)</w:t>
      </w:r>
      <w:r>
        <w:rPr>
          <w:spacing w:val="-32"/>
        </w:rPr>
        <w:t> </w:t>
      </w:r>
      <w:r>
        <w:rPr/>
        <w:t>abutting</w:t>
      </w:r>
      <w:r>
        <w:rPr>
          <w:spacing w:val="-31"/>
        </w:rPr>
        <w:t> </w:t>
      </w:r>
      <w:r>
        <w:rPr/>
        <w:t>the</w:t>
      </w:r>
      <w:r>
        <w:rPr>
          <w:spacing w:val="-32"/>
        </w:rPr>
        <w:t> </w:t>
      </w:r>
      <w:r>
        <w:rPr/>
        <w:t>western</w:t>
      </w:r>
      <w:r>
        <w:rPr>
          <w:spacing w:val="-32"/>
        </w:rPr>
        <w:t> </w:t>
      </w:r>
      <w:r>
        <w:rPr/>
        <w:t>periphery</w:t>
      </w:r>
      <w:r>
        <w:rPr>
          <w:spacing w:val="-32"/>
        </w:rPr>
        <w:t> </w:t>
      </w:r>
      <w:r>
        <w:rPr/>
        <w:t>of</w:t>
      </w:r>
      <w:r>
        <w:rPr>
          <w:spacing w:val="-31"/>
        </w:rPr>
        <w:t> </w:t>
      </w:r>
      <w:r>
        <w:rPr/>
        <w:t>the</w:t>
      </w:r>
      <w:r>
        <w:rPr>
          <w:spacing w:val="-32"/>
        </w:rPr>
        <w:t> </w:t>
      </w:r>
      <w:r>
        <w:rPr/>
        <w:t>site. The</w:t>
      </w:r>
      <w:r>
        <w:rPr>
          <w:spacing w:val="-39"/>
        </w:rPr>
        <w:t> </w:t>
      </w:r>
      <w:r>
        <w:rPr/>
        <w:t>subject</w:t>
      </w:r>
      <w:r>
        <w:rPr>
          <w:spacing w:val="-39"/>
        </w:rPr>
        <w:t> </w:t>
      </w:r>
      <w:r>
        <w:rPr/>
        <w:t>site</w:t>
      </w:r>
      <w:r>
        <w:rPr>
          <w:spacing w:val="-38"/>
        </w:rPr>
        <w:t> </w:t>
      </w:r>
      <w:r>
        <w:rPr/>
        <w:t>can</w:t>
      </w:r>
      <w:r>
        <w:rPr>
          <w:spacing w:val="-38"/>
        </w:rPr>
        <w:t> </w:t>
      </w:r>
      <w:r>
        <w:rPr/>
        <w:t>also</w:t>
      </w:r>
      <w:r>
        <w:rPr>
          <w:spacing w:val="-38"/>
        </w:rPr>
        <w:t> </w:t>
      </w:r>
      <w:r>
        <w:rPr/>
        <w:t>be</w:t>
      </w:r>
      <w:r>
        <w:rPr>
          <w:spacing w:val="-38"/>
        </w:rPr>
        <w:t> </w:t>
      </w:r>
      <w:r>
        <w:rPr/>
        <w:t>accessed</w:t>
      </w:r>
      <w:r>
        <w:rPr>
          <w:spacing w:val="-38"/>
        </w:rPr>
        <w:t> </w:t>
      </w:r>
      <w:r>
        <w:rPr/>
        <w:t>via</w:t>
      </w:r>
      <w:r>
        <w:rPr>
          <w:spacing w:val="-39"/>
        </w:rPr>
        <w:t> </w:t>
      </w:r>
      <w:r>
        <w:rPr/>
        <w:t>two</w:t>
      </w:r>
      <w:r>
        <w:rPr>
          <w:spacing w:val="-40"/>
        </w:rPr>
        <w:t> </w:t>
      </w:r>
      <w:r>
        <w:rPr/>
        <w:t>secondary</w:t>
      </w:r>
      <w:r>
        <w:rPr>
          <w:spacing w:val="-37"/>
        </w:rPr>
        <w:t> </w:t>
      </w:r>
      <w:r>
        <w:rPr/>
        <w:t>roads</w:t>
      </w:r>
      <w:r>
        <w:rPr>
          <w:spacing w:val="-37"/>
        </w:rPr>
        <w:t> </w:t>
      </w:r>
      <w:r>
        <w:rPr/>
        <w:t>abutting</w:t>
      </w:r>
      <w:r>
        <w:rPr>
          <w:spacing w:val="-38"/>
        </w:rPr>
        <w:t> </w:t>
      </w:r>
      <w:r>
        <w:rPr/>
        <w:t>the</w:t>
      </w:r>
      <w:r>
        <w:rPr>
          <w:spacing w:val="-38"/>
        </w:rPr>
        <w:t> </w:t>
      </w:r>
      <w:r>
        <w:rPr/>
        <w:t>site</w:t>
      </w:r>
      <w:r>
        <w:rPr>
          <w:spacing w:val="-40"/>
        </w:rPr>
        <w:t> </w:t>
      </w:r>
      <w:r>
        <w:rPr/>
        <w:t>along southern &amp; eastern</w:t>
      </w:r>
      <w:r>
        <w:rPr>
          <w:spacing w:val="-13"/>
        </w:rPr>
        <w:t> </w:t>
      </w:r>
      <w:r>
        <w:rPr/>
        <w:t>side.</w:t>
      </w:r>
    </w:p>
    <w:p>
      <w:pPr>
        <w:pStyle w:val="BodyText"/>
        <w:rPr>
          <w:sz w:val="26"/>
        </w:rPr>
      </w:pPr>
    </w:p>
    <w:p>
      <w:pPr>
        <w:pStyle w:val="ListParagraph"/>
        <w:numPr>
          <w:ilvl w:val="2"/>
          <w:numId w:val="14"/>
        </w:numPr>
        <w:tabs>
          <w:tab w:pos="841" w:val="left" w:leader="none"/>
        </w:tabs>
        <w:spacing w:line="240" w:lineRule="auto" w:before="179" w:after="0"/>
        <w:ind w:left="840" w:right="0" w:hanging="721"/>
        <w:jc w:val="left"/>
        <w:rPr>
          <w:sz w:val="22"/>
        </w:rPr>
      </w:pPr>
      <w:bookmarkStart w:name="_bookmark75" w:id="149"/>
      <w:bookmarkEnd w:id="149"/>
      <w:r>
        <w:rPr/>
      </w:r>
      <w:bookmarkStart w:name="_bookmark75" w:id="150"/>
      <w:bookmarkEnd w:id="150"/>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8"/>
        <w:ind w:left="686" w:right="115"/>
        <w:jc w:val="both"/>
      </w:pPr>
      <w:r>
        <w:rPr/>
        <w:t>As</w:t>
      </w:r>
      <w:r>
        <w:rPr>
          <w:spacing w:val="-21"/>
        </w:rPr>
        <w:t> </w:t>
      </w:r>
      <w:r>
        <w:rPr/>
        <w:t>per</w:t>
      </w:r>
      <w:r>
        <w:rPr>
          <w:spacing w:val="-19"/>
        </w:rPr>
        <w:t> </w:t>
      </w:r>
      <w:r>
        <w:rPr/>
        <w:t>the</w:t>
      </w:r>
      <w:r>
        <w:rPr>
          <w:spacing w:val="-20"/>
        </w:rPr>
        <w:t> </w:t>
      </w:r>
      <w:r>
        <w:rPr/>
        <w:t>title</w:t>
      </w:r>
      <w:r>
        <w:rPr>
          <w:spacing w:val="-19"/>
        </w:rPr>
        <w:t> </w:t>
      </w:r>
      <w:r>
        <w:rPr/>
        <w:t>due</w:t>
      </w:r>
      <w:r>
        <w:rPr>
          <w:spacing w:val="-21"/>
        </w:rPr>
        <w:t> </w:t>
      </w:r>
      <w:r>
        <w:rPr/>
        <w:t>diligence</w:t>
      </w:r>
      <w:r>
        <w:rPr>
          <w:spacing w:val="-20"/>
        </w:rPr>
        <w:t> </w:t>
      </w:r>
      <w:r>
        <w:rPr/>
        <w:t>undertaken</w:t>
      </w:r>
      <w:r>
        <w:rPr>
          <w:spacing w:val="-19"/>
        </w:rPr>
        <w:t> </w:t>
      </w:r>
      <w:r>
        <w:rPr/>
        <w:t>by</w:t>
      </w:r>
      <w:r>
        <w:rPr>
          <w:spacing w:val="-18"/>
        </w:rPr>
        <w:t> </w:t>
      </w:r>
      <w:r>
        <w:rPr/>
        <w:t>Cyril</w:t>
      </w:r>
      <w:r>
        <w:rPr>
          <w:spacing w:val="-20"/>
        </w:rPr>
        <w:t> </w:t>
      </w:r>
      <w:r>
        <w:rPr/>
        <w:t>Amarchand</w:t>
      </w:r>
      <w:r>
        <w:rPr>
          <w:spacing w:val="-19"/>
        </w:rPr>
        <w:t> </w:t>
      </w:r>
      <w:r>
        <w:rPr/>
        <w:t>Mangaldas</w:t>
      </w:r>
      <w:r>
        <w:rPr>
          <w:spacing w:val="-18"/>
        </w:rPr>
        <w:t> </w:t>
      </w:r>
      <w:r>
        <w:rPr/>
        <w:t>and</w:t>
      </w:r>
      <w:r>
        <w:rPr>
          <w:spacing w:val="-19"/>
        </w:rPr>
        <w:t> </w:t>
      </w:r>
      <w:r>
        <w:rPr/>
        <w:t>as</w:t>
      </w:r>
      <w:r>
        <w:rPr>
          <w:spacing w:val="-20"/>
        </w:rPr>
        <w:t> </w:t>
      </w:r>
      <w:r>
        <w:rPr/>
        <w:t>provided</w:t>
      </w:r>
      <w:r>
        <w:rPr>
          <w:spacing w:val="-20"/>
        </w:rPr>
        <w:t> </w:t>
      </w:r>
      <w:r>
        <w:rPr/>
        <w:t>by</w:t>
      </w:r>
      <w:r>
        <w:rPr>
          <w:spacing w:val="-20"/>
        </w:rPr>
        <w:t> </w:t>
      </w:r>
      <w:r>
        <w:rPr/>
        <w:t>the</w:t>
      </w:r>
      <w:r>
        <w:rPr>
          <w:spacing w:val="-16"/>
        </w:rPr>
        <w:t> </w:t>
      </w:r>
      <w:r>
        <w:rPr/>
        <w:t>Client, we understand that the legal address of the subject property is Plot No. 236, Block-III of Back bay Reclamation</w:t>
      </w:r>
      <w:r>
        <w:rPr>
          <w:spacing w:val="-16"/>
        </w:rPr>
        <w:t> </w:t>
      </w:r>
      <w:r>
        <w:rPr/>
        <w:t>Estate</w:t>
      </w:r>
      <w:r>
        <w:rPr>
          <w:spacing w:val="-16"/>
        </w:rPr>
        <w:t> </w:t>
      </w:r>
      <w:r>
        <w:rPr/>
        <w:t>of</w:t>
      </w:r>
      <w:r>
        <w:rPr>
          <w:spacing w:val="-16"/>
        </w:rPr>
        <w:t> </w:t>
      </w:r>
      <w:r>
        <w:rPr/>
        <w:t>Govt.</w:t>
      </w:r>
      <w:r>
        <w:rPr>
          <w:spacing w:val="-15"/>
        </w:rPr>
        <w:t> </w:t>
      </w:r>
      <w:r>
        <w:rPr/>
        <w:t>of</w:t>
      </w:r>
      <w:r>
        <w:rPr>
          <w:spacing w:val="-15"/>
        </w:rPr>
        <w:t> </w:t>
      </w:r>
      <w:r>
        <w:rPr/>
        <w:t>Maharashtra,</w:t>
      </w:r>
      <w:r>
        <w:rPr>
          <w:spacing w:val="-17"/>
        </w:rPr>
        <w:t> </w:t>
      </w:r>
      <w:r>
        <w:rPr/>
        <w:t>C.S.</w:t>
      </w:r>
      <w:r>
        <w:rPr>
          <w:spacing w:val="-17"/>
        </w:rPr>
        <w:t> </w:t>
      </w:r>
      <w:r>
        <w:rPr/>
        <w:t>No.</w:t>
      </w:r>
      <w:r>
        <w:rPr>
          <w:spacing w:val="-16"/>
        </w:rPr>
        <w:t> </w:t>
      </w:r>
      <w:r>
        <w:rPr/>
        <w:t>1910</w:t>
      </w:r>
      <w:r>
        <w:rPr>
          <w:spacing w:val="-15"/>
        </w:rPr>
        <w:t> </w:t>
      </w:r>
      <w:r>
        <w:rPr/>
        <w:t>of</w:t>
      </w:r>
      <w:r>
        <w:rPr>
          <w:spacing w:val="-15"/>
        </w:rPr>
        <w:t> </w:t>
      </w:r>
      <w:r>
        <w:rPr/>
        <w:t>Fort</w:t>
      </w:r>
      <w:r>
        <w:rPr>
          <w:spacing w:val="-17"/>
        </w:rPr>
        <w:t> </w:t>
      </w:r>
      <w:r>
        <w:rPr/>
        <w:t>Division,</w:t>
      </w:r>
      <w:r>
        <w:rPr>
          <w:spacing w:val="-16"/>
        </w:rPr>
        <w:t> </w:t>
      </w:r>
      <w:r>
        <w:rPr/>
        <w:t>Mumbai.</w:t>
      </w:r>
      <w:r>
        <w:rPr>
          <w:spacing w:val="-16"/>
        </w:rPr>
        <w:t> </w:t>
      </w:r>
      <w:r>
        <w:rPr/>
        <w:t>Additionally,</w:t>
      </w:r>
      <w:r>
        <w:rPr>
          <w:spacing w:val="-17"/>
        </w:rPr>
        <w:t> </w:t>
      </w:r>
      <w:r>
        <w:rPr/>
        <w:t>it</w:t>
      </w:r>
      <w:r>
        <w:rPr>
          <w:spacing w:val="-15"/>
        </w:rPr>
        <w:t> </w:t>
      </w:r>
      <w:r>
        <w:rPr/>
        <w:t>is understood</w:t>
      </w:r>
      <w:r>
        <w:rPr>
          <w:spacing w:val="-9"/>
        </w:rPr>
        <w:t> </w:t>
      </w:r>
      <w:r>
        <w:rPr/>
        <w:t>that</w:t>
      </w:r>
      <w:r>
        <w:rPr>
          <w:spacing w:val="-7"/>
        </w:rPr>
        <w:t> </w:t>
      </w:r>
      <w:r>
        <w:rPr/>
        <w:t>the</w:t>
      </w:r>
      <w:r>
        <w:rPr>
          <w:spacing w:val="-6"/>
        </w:rPr>
        <w:t> </w:t>
      </w:r>
      <w:r>
        <w:rPr/>
        <w:t>subject</w:t>
      </w:r>
      <w:r>
        <w:rPr>
          <w:spacing w:val="-7"/>
        </w:rPr>
        <w:t> </w:t>
      </w:r>
      <w:r>
        <w:rPr/>
        <w:t>property</w:t>
      </w:r>
      <w:r>
        <w:rPr>
          <w:spacing w:val="-5"/>
        </w:rPr>
        <w:t> </w:t>
      </w:r>
      <w:r>
        <w:rPr/>
        <w:t>is</w:t>
      </w:r>
      <w:r>
        <w:rPr>
          <w:spacing w:val="-6"/>
        </w:rPr>
        <w:t> </w:t>
      </w:r>
      <w:r>
        <w:rPr/>
        <w:t>freehold</w:t>
      </w:r>
      <w:r>
        <w:rPr>
          <w:spacing w:val="-7"/>
        </w:rPr>
        <w:t> </w:t>
      </w:r>
      <w:r>
        <w:rPr/>
        <w:t>in</w:t>
      </w:r>
      <w:r>
        <w:rPr>
          <w:spacing w:val="-9"/>
        </w:rPr>
        <w:t> </w:t>
      </w:r>
      <w:r>
        <w:rPr/>
        <w:t>nature.</w:t>
      </w:r>
    </w:p>
    <w:p>
      <w:pPr>
        <w:pStyle w:val="BodyText"/>
        <w:spacing w:before="9"/>
        <w:rPr>
          <w:sz w:val="20"/>
        </w:rPr>
      </w:pPr>
    </w:p>
    <w:p>
      <w:pPr>
        <w:pStyle w:val="BodyText"/>
        <w:spacing w:line="321" w:lineRule="auto"/>
        <w:ind w:left="686" w:right="115"/>
        <w:jc w:val="both"/>
      </w:pPr>
      <w:r>
        <w:rPr/>
        <w:t>Further,</w:t>
      </w:r>
      <w:r>
        <w:rPr>
          <w:spacing w:val="-26"/>
        </w:rPr>
        <w:t> </w:t>
      </w:r>
      <w:r>
        <w:rPr/>
        <w:t>this</w:t>
      </w:r>
      <w:r>
        <w:rPr>
          <w:spacing w:val="-25"/>
        </w:rPr>
        <w:t> </w:t>
      </w:r>
      <w:r>
        <w:rPr/>
        <w:t>valuation</w:t>
      </w:r>
      <w:r>
        <w:rPr>
          <w:spacing w:val="-26"/>
        </w:rPr>
        <w:t> </w:t>
      </w:r>
      <w:r>
        <w:rPr/>
        <w:t>exercise</w:t>
      </w:r>
      <w:r>
        <w:rPr>
          <w:spacing w:val="-26"/>
        </w:rPr>
        <w:t> </w:t>
      </w:r>
      <w:r>
        <w:rPr/>
        <w:t>is</w:t>
      </w:r>
      <w:r>
        <w:rPr>
          <w:spacing w:val="-26"/>
        </w:rPr>
        <w:t> </w:t>
      </w:r>
      <w:r>
        <w:rPr/>
        <w:t>based</w:t>
      </w:r>
      <w:r>
        <w:rPr>
          <w:spacing w:val="-25"/>
        </w:rPr>
        <w:t> </w:t>
      </w:r>
      <w:r>
        <w:rPr/>
        <w:t>on</w:t>
      </w:r>
      <w:r>
        <w:rPr>
          <w:spacing w:val="-26"/>
        </w:rPr>
        <w:t> </w:t>
      </w:r>
      <w:r>
        <w:rPr/>
        <w:t>the</w:t>
      </w:r>
      <w:r>
        <w:rPr>
          <w:spacing w:val="-28"/>
        </w:rPr>
        <w:t> </w:t>
      </w:r>
      <w:r>
        <w:rPr/>
        <w:t>premise</w:t>
      </w:r>
      <w:r>
        <w:rPr>
          <w:spacing w:val="-26"/>
        </w:rPr>
        <w:t> </w:t>
      </w:r>
      <w:r>
        <w:rPr/>
        <w:t>that</w:t>
      </w:r>
      <w:r>
        <w:rPr>
          <w:spacing w:val="-25"/>
        </w:rPr>
        <w:t> </w:t>
      </w:r>
      <w:r>
        <w:rPr/>
        <w:t>the</w:t>
      </w:r>
      <w:r>
        <w:rPr>
          <w:spacing w:val="-27"/>
        </w:rPr>
        <w:t> </w:t>
      </w:r>
      <w:r>
        <w:rPr/>
        <w:t>subject</w:t>
      </w:r>
      <w:r>
        <w:rPr>
          <w:spacing w:val="-27"/>
        </w:rPr>
        <w:t> </w:t>
      </w:r>
      <w:r>
        <w:rPr/>
        <w:t>property</w:t>
      </w:r>
      <w:r>
        <w:rPr>
          <w:spacing w:val="-24"/>
        </w:rPr>
        <w:t> </w:t>
      </w:r>
      <w:r>
        <w:rPr/>
        <w:t>has</w:t>
      </w:r>
      <w:r>
        <w:rPr>
          <w:spacing w:val="-25"/>
        </w:rPr>
        <w:t> </w:t>
      </w:r>
      <w:r>
        <w:rPr/>
        <w:t>a</w:t>
      </w:r>
      <w:r>
        <w:rPr>
          <w:spacing w:val="-26"/>
        </w:rPr>
        <w:t> </w:t>
      </w:r>
      <w:r>
        <w:rPr/>
        <w:t>clear</w:t>
      </w:r>
      <w:r>
        <w:rPr>
          <w:spacing w:val="-27"/>
        </w:rPr>
        <w:t> </w:t>
      </w:r>
      <w:r>
        <w:rPr/>
        <w:t>title</w:t>
      </w:r>
      <w:r>
        <w:rPr>
          <w:spacing w:val="-26"/>
        </w:rPr>
        <w:t> </w:t>
      </w:r>
      <w:r>
        <w:rPr/>
        <w:t>and</w:t>
      </w:r>
      <w:r>
        <w:rPr>
          <w:spacing w:val="-25"/>
        </w:rPr>
        <w:t> </w:t>
      </w:r>
      <w:r>
        <w:rPr/>
        <w:t>is free</w:t>
      </w:r>
      <w:r>
        <w:rPr>
          <w:spacing w:val="-28"/>
        </w:rPr>
        <w:t> </w:t>
      </w:r>
      <w:r>
        <w:rPr/>
        <w:t>from</w:t>
      </w:r>
      <w:r>
        <w:rPr>
          <w:spacing w:val="-26"/>
        </w:rPr>
        <w:t> </w:t>
      </w:r>
      <w:r>
        <w:rPr/>
        <w:t>any</w:t>
      </w:r>
      <w:r>
        <w:rPr>
          <w:spacing w:val="-28"/>
        </w:rPr>
        <w:t> </w:t>
      </w:r>
      <w:r>
        <w:rPr/>
        <w:t>encumbrances,</w:t>
      </w:r>
      <w:r>
        <w:rPr>
          <w:spacing w:val="-27"/>
        </w:rPr>
        <w:t> </w:t>
      </w:r>
      <w:r>
        <w:rPr/>
        <w:t>disputes,</w:t>
      </w:r>
      <w:r>
        <w:rPr>
          <w:spacing w:val="-26"/>
        </w:rPr>
        <w:t> </w:t>
      </w:r>
      <w:r>
        <w:rPr/>
        <w:t>claims,</w:t>
      </w:r>
      <w:r>
        <w:rPr>
          <w:spacing w:val="-27"/>
        </w:rPr>
        <w:t> </w:t>
      </w:r>
      <w:r>
        <w:rPr/>
        <w:t>etc.</w:t>
      </w:r>
      <w:r>
        <w:rPr>
          <w:spacing w:val="-23"/>
        </w:rPr>
        <w:t> </w:t>
      </w:r>
      <w:r>
        <w:rPr/>
        <w:t>The</w:t>
      </w:r>
      <w:r>
        <w:rPr>
          <w:spacing w:val="-27"/>
        </w:rPr>
        <w:t> </w:t>
      </w:r>
      <w:r>
        <w:rPr/>
        <w:t>Consultants</w:t>
      </w:r>
      <w:r>
        <w:rPr>
          <w:spacing w:val="-25"/>
        </w:rPr>
        <w:t> </w:t>
      </w:r>
      <w:r>
        <w:rPr/>
        <w:t>have</w:t>
      </w:r>
      <w:r>
        <w:rPr>
          <w:spacing w:val="-28"/>
        </w:rPr>
        <w:t> </w:t>
      </w:r>
      <w:r>
        <w:rPr/>
        <w:t>not</w:t>
      </w:r>
      <w:r>
        <w:rPr>
          <w:spacing w:val="-26"/>
        </w:rPr>
        <w:t> </w:t>
      </w:r>
      <w:r>
        <w:rPr/>
        <w:t>made</w:t>
      </w:r>
      <w:r>
        <w:rPr>
          <w:spacing w:val="-27"/>
        </w:rPr>
        <w:t> </w:t>
      </w:r>
      <w:r>
        <w:rPr/>
        <w:t>any</w:t>
      </w:r>
      <w:r>
        <w:rPr>
          <w:spacing w:val="-26"/>
        </w:rPr>
        <w:t> </w:t>
      </w:r>
      <w:r>
        <w:rPr/>
        <w:t>inquiries</w:t>
      </w:r>
      <w:r>
        <w:rPr>
          <w:spacing w:val="-26"/>
        </w:rPr>
        <w:t> </w:t>
      </w:r>
      <w:r>
        <w:rPr/>
        <w:t>in</w:t>
      </w:r>
      <w:r>
        <w:rPr>
          <w:spacing w:val="-28"/>
        </w:rPr>
        <w:t> </w:t>
      </w:r>
      <w:r>
        <w:rPr/>
        <w:t>this regard with the relevant legal/ statutory</w:t>
      </w:r>
      <w:r>
        <w:rPr>
          <w:spacing w:val="-38"/>
        </w:rPr>
        <w:t> </w:t>
      </w:r>
      <w:r>
        <w:rPr/>
        <w:t>authorities.</w:t>
      </w:r>
    </w:p>
    <w:p>
      <w:pPr>
        <w:pStyle w:val="BodyText"/>
        <w:spacing w:before="11"/>
        <w:rPr>
          <w:sz w:val="20"/>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76" w:id="151"/>
      <w:bookmarkEnd w:id="151"/>
      <w:r>
        <w:rPr/>
      </w:r>
      <w:bookmarkStart w:name="_bookmark76" w:id="152"/>
      <w:bookmarkEnd w:id="152"/>
      <w:r>
        <w:rPr>
          <w:color w:val="1F664D"/>
          <w:w w:val="105"/>
          <w:sz w:val="22"/>
        </w:rPr>
        <w:t>Town</w:t>
      </w:r>
      <w:r>
        <w:rPr>
          <w:color w:val="1F664D"/>
          <w:spacing w:val="-4"/>
          <w:w w:val="105"/>
          <w:sz w:val="22"/>
        </w:rPr>
        <w:t> </w:t>
      </w:r>
      <w:r>
        <w:rPr>
          <w:color w:val="1F664D"/>
          <w:w w:val="105"/>
          <w:sz w:val="22"/>
        </w:rPr>
        <w:t>Planning</w:t>
      </w:r>
    </w:p>
    <w:p>
      <w:pPr>
        <w:pStyle w:val="BodyText"/>
        <w:spacing w:before="2"/>
        <w:rPr>
          <w:sz w:val="28"/>
        </w:rPr>
      </w:pPr>
    </w:p>
    <w:p>
      <w:pPr>
        <w:pStyle w:val="BodyText"/>
        <w:tabs>
          <w:tab w:pos="2193" w:val="left" w:leader="none"/>
        </w:tabs>
        <w:spacing w:line="321" w:lineRule="auto"/>
        <w:ind w:left="2193" w:right="138" w:hanging="1409"/>
        <w:jc w:val="both"/>
      </w:pPr>
      <w:r>
        <w:rPr/>
        <w:t>Zoning</w:t>
        <w:tab/>
        <w:t>As</w:t>
      </w:r>
      <w:r>
        <w:rPr>
          <w:spacing w:val="-28"/>
        </w:rPr>
        <w:t> </w:t>
      </w:r>
      <w:r>
        <w:rPr/>
        <w:t>per</w:t>
      </w:r>
      <w:r>
        <w:rPr>
          <w:spacing w:val="-26"/>
        </w:rPr>
        <w:t> </w:t>
      </w:r>
      <w:r>
        <w:rPr/>
        <w:t>the</w:t>
      </w:r>
      <w:r>
        <w:rPr>
          <w:spacing w:val="-27"/>
        </w:rPr>
        <w:t> </w:t>
      </w:r>
      <w:r>
        <w:rPr/>
        <w:t>review</w:t>
      </w:r>
      <w:r>
        <w:rPr>
          <w:spacing w:val="-26"/>
        </w:rPr>
        <w:t> </w:t>
      </w:r>
      <w:r>
        <w:rPr/>
        <w:t>of</w:t>
      </w:r>
      <w:r>
        <w:rPr>
          <w:spacing w:val="-26"/>
        </w:rPr>
        <w:t> </w:t>
      </w:r>
      <w:r>
        <w:rPr/>
        <w:t>Occupancy</w:t>
      </w:r>
      <w:r>
        <w:rPr>
          <w:spacing w:val="-25"/>
        </w:rPr>
        <w:t> </w:t>
      </w:r>
      <w:r>
        <w:rPr/>
        <w:t>Certificates</w:t>
      </w:r>
      <w:r>
        <w:rPr>
          <w:spacing w:val="-23"/>
        </w:rPr>
        <w:t> </w:t>
      </w:r>
      <w:r>
        <w:rPr/>
        <w:t>provided</w:t>
      </w:r>
      <w:r>
        <w:rPr>
          <w:spacing w:val="-26"/>
        </w:rPr>
        <w:t> </w:t>
      </w:r>
      <w:r>
        <w:rPr/>
        <w:t>by</w:t>
      </w:r>
      <w:r>
        <w:rPr>
          <w:spacing w:val="-26"/>
        </w:rPr>
        <w:t> </w:t>
      </w:r>
      <w:r>
        <w:rPr/>
        <w:t>the</w:t>
      </w:r>
      <w:r>
        <w:rPr>
          <w:spacing w:val="-26"/>
        </w:rPr>
        <w:t> </w:t>
      </w:r>
      <w:r>
        <w:rPr/>
        <w:t>Client,</w:t>
      </w:r>
      <w:r>
        <w:rPr>
          <w:spacing w:val="-28"/>
        </w:rPr>
        <w:t> </w:t>
      </w:r>
      <w:r>
        <w:rPr/>
        <w:t>we</w:t>
      </w:r>
      <w:r>
        <w:rPr>
          <w:spacing w:val="-27"/>
        </w:rPr>
        <w:t> </w:t>
      </w:r>
      <w:r>
        <w:rPr/>
        <w:t>understand</w:t>
      </w:r>
      <w:r>
        <w:rPr>
          <w:spacing w:val="-26"/>
        </w:rPr>
        <w:t> </w:t>
      </w:r>
      <w:r>
        <w:rPr/>
        <w:t>that the</w:t>
      </w:r>
      <w:r>
        <w:rPr>
          <w:spacing w:val="-5"/>
        </w:rPr>
        <w:t> </w:t>
      </w:r>
      <w:r>
        <w:rPr/>
        <w:t>subject</w:t>
      </w:r>
      <w:r>
        <w:rPr>
          <w:spacing w:val="-5"/>
        </w:rPr>
        <w:t> </w:t>
      </w:r>
      <w:r>
        <w:rPr/>
        <w:t>property</w:t>
      </w:r>
      <w:r>
        <w:rPr>
          <w:spacing w:val="-3"/>
        </w:rPr>
        <w:t> </w:t>
      </w:r>
      <w:r>
        <w:rPr/>
        <w:t>is</w:t>
      </w:r>
      <w:r>
        <w:rPr>
          <w:spacing w:val="-5"/>
        </w:rPr>
        <w:t> </w:t>
      </w:r>
      <w:r>
        <w:rPr/>
        <w:t>zoned</w:t>
      </w:r>
      <w:r>
        <w:rPr>
          <w:spacing w:val="-4"/>
        </w:rPr>
        <w:t> </w:t>
      </w:r>
      <w:r>
        <w:rPr/>
        <w:t>for</w:t>
      </w:r>
      <w:r>
        <w:rPr>
          <w:spacing w:val="-5"/>
        </w:rPr>
        <w:t> </w:t>
      </w:r>
      <w:r>
        <w:rPr/>
        <w:t>‘Office’</w:t>
      </w:r>
      <w:r>
        <w:rPr>
          <w:spacing w:val="-5"/>
        </w:rPr>
        <w:t> </w:t>
      </w:r>
      <w:r>
        <w:rPr/>
        <w:t>use.</w:t>
      </w:r>
      <w:r>
        <w:rPr>
          <w:spacing w:val="-5"/>
        </w:rPr>
        <w:t> </w:t>
      </w:r>
      <w:r>
        <w:rPr/>
        <w:t>As</w:t>
      </w:r>
      <w:r>
        <w:rPr>
          <w:spacing w:val="-4"/>
        </w:rPr>
        <w:t> </w:t>
      </w:r>
      <w:r>
        <w:rPr/>
        <w:t>per</w:t>
      </w:r>
      <w:r>
        <w:rPr>
          <w:spacing w:val="-5"/>
        </w:rPr>
        <w:t> </w:t>
      </w:r>
      <w:r>
        <w:rPr/>
        <w:t>the</w:t>
      </w:r>
      <w:r>
        <w:rPr>
          <w:spacing w:val="-5"/>
        </w:rPr>
        <w:t> </w:t>
      </w:r>
      <w:r>
        <w:rPr/>
        <w:t>Occupancy</w:t>
      </w:r>
      <w:r>
        <w:rPr>
          <w:spacing w:val="-3"/>
        </w:rPr>
        <w:t> </w:t>
      </w:r>
      <w:r>
        <w:rPr/>
        <w:t>Certificate,</w:t>
      </w:r>
      <w:r>
        <w:rPr>
          <w:spacing w:val="-5"/>
        </w:rPr>
        <w:t> </w:t>
      </w:r>
      <w:r>
        <w:rPr/>
        <w:t>it</w:t>
      </w:r>
      <w:r>
        <w:rPr>
          <w:spacing w:val="-5"/>
        </w:rPr>
        <w:t> </w:t>
      </w:r>
      <w:r>
        <w:rPr/>
        <w:t>is located within the jurisdiction of Municipal Corporation of Greater Mumbai (MCGM) (earlier</w:t>
      </w:r>
      <w:r>
        <w:rPr>
          <w:spacing w:val="-11"/>
        </w:rPr>
        <w:t> </w:t>
      </w:r>
      <w:r>
        <w:rPr/>
        <w:t>under</w:t>
      </w:r>
      <w:r>
        <w:rPr>
          <w:spacing w:val="-11"/>
        </w:rPr>
        <w:t> </w:t>
      </w:r>
      <w:r>
        <w:rPr/>
        <w:t>Building</w:t>
      </w:r>
      <w:r>
        <w:rPr>
          <w:spacing w:val="-9"/>
        </w:rPr>
        <w:t> </w:t>
      </w:r>
      <w:r>
        <w:rPr/>
        <w:t>Proposal</w:t>
      </w:r>
      <w:r>
        <w:rPr>
          <w:spacing w:val="-10"/>
        </w:rPr>
        <w:t> </w:t>
      </w:r>
      <w:r>
        <w:rPr/>
        <w:t>division</w:t>
      </w:r>
      <w:r>
        <w:rPr>
          <w:spacing w:val="-11"/>
        </w:rPr>
        <w:t> </w:t>
      </w:r>
      <w:r>
        <w:rPr/>
        <w:t>of</w:t>
      </w:r>
      <w:r>
        <w:rPr>
          <w:spacing w:val="-9"/>
        </w:rPr>
        <w:t> </w:t>
      </w:r>
      <w:r>
        <w:rPr/>
        <w:t>Bombay</w:t>
      </w:r>
      <w:r>
        <w:rPr>
          <w:spacing w:val="-9"/>
        </w:rPr>
        <w:t> </w:t>
      </w:r>
      <w:r>
        <w:rPr/>
        <w:t>Municipal</w:t>
      </w:r>
      <w:r>
        <w:rPr>
          <w:spacing w:val="-11"/>
        </w:rPr>
        <w:t> </w:t>
      </w:r>
      <w:r>
        <w:rPr/>
        <w:t>Corporation).</w:t>
      </w:r>
      <w:r>
        <w:rPr>
          <w:spacing w:val="-9"/>
        </w:rPr>
        <w:t> </w:t>
      </w:r>
      <w:r>
        <w:rPr/>
        <w:t>The</w:t>
      </w:r>
      <w:r>
        <w:rPr>
          <w:spacing w:val="-11"/>
        </w:rPr>
        <w:t> </w:t>
      </w:r>
      <w:r>
        <w:rPr/>
        <w:t>same has</w:t>
      </w:r>
      <w:r>
        <w:rPr>
          <w:spacing w:val="-7"/>
        </w:rPr>
        <w:t> </w:t>
      </w:r>
      <w:r>
        <w:rPr/>
        <w:t>been</w:t>
      </w:r>
      <w:r>
        <w:rPr>
          <w:spacing w:val="-7"/>
        </w:rPr>
        <w:t> </w:t>
      </w:r>
      <w:r>
        <w:rPr/>
        <w:t>considered</w:t>
      </w:r>
      <w:r>
        <w:rPr>
          <w:spacing w:val="-6"/>
        </w:rPr>
        <w:t> </w:t>
      </w:r>
      <w:r>
        <w:rPr/>
        <w:t>for</w:t>
      </w:r>
      <w:r>
        <w:rPr>
          <w:spacing w:val="-9"/>
        </w:rPr>
        <w:t> </w:t>
      </w:r>
      <w:r>
        <w:rPr/>
        <w:t>the</w:t>
      </w:r>
      <w:r>
        <w:rPr>
          <w:spacing w:val="-8"/>
        </w:rPr>
        <w:t> </w:t>
      </w:r>
      <w:r>
        <w:rPr/>
        <w:t>purpose</w:t>
      </w:r>
      <w:r>
        <w:rPr>
          <w:spacing w:val="-7"/>
        </w:rPr>
        <w:t> </w:t>
      </w:r>
      <w:r>
        <w:rPr/>
        <w:t>of</w:t>
      </w:r>
      <w:r>
        <w:rPr>
          <w:spacing w:val="-7"/>
        </w:rPr>
        <w:t> </w:t>
      </w:r>
      <w:r>
        <w:rPr/>
        <w:t>this</w:t>
      </w:r>
      <w:r>
        <w:rPr>
          <w:spacing w:val="-6"/>
        </w:rPr>
        <w:t> </w:t>
      </w:r>
      <w:r>
        <w:rPr/>
        <w:t>valuation.</w:t>
      </w:r>
      <w:r>
        <w:rPr>
          <w:spacing w:val="-3"/>
        </w:rPr>
        <w:t> </w:t>
      </w:r>
      <w:r>
        <w:rPr/>
        <w:t>The</w:t>
      </w:r>
      <w:r>
        <w:rPr>
          <w:spacing w:val="-8"/>
        </w:rPr>
        <w:t> </w:t>
      </w:r>
      <w:r>
        <w:rPr/>
        <w:t>Consultants</w:t>
      </w:r>
      <w:r>
        <w:rPr>
          <w:spacing w:val="-5"/>
        </w:rPr>
        <w:t> </w:t>
      </w:r>
      <w:r>
        <w:rPr/>
        <w:t>have</w:t>
      </w:r>
      <w:r>
        <w:rPr>
          <w:spacing w:val="-7"/>
        </w:rPr>
        <w:t> </w:t>
      </w:r>
      <w:r>
        <w:rPr/>
        <w:t>made</w:t>
      </w:r>
      <w:r>
        <w:rPr>
          <w:spacing w:val="-8"/>
        </w:rPr>
        <w:t> </w:t>
      </w:r>
      <w:r>
        <w:rPr/>
        <w:t>no further</w:t>
      </w:r>
      <w:r>
        <w:rPr>
          <w:spacing w:val="-9"/>
        </w:rPr>
        <w:t> </w:t>
      </w:r>
      <w:r>
        <w:rPr/>
        <w:t>inquiries</w:t>
      </w:r>
      <w:r>
        <w:rPr>
          <w:spacing w:val="-7"/>
        </w:rPr>
        <w:t> </w:t>
      </w:r>
      <w:r>
        <w:rPr/>
        <w:t>with</w:t>
      </w:r>
      <w:r>
        <w:rPr>
          <w:spacing w:val="-8"/>
        </w:rPr>
        <w:t> </w:t>
      </w:r>
      <w:r>
        <w:rPr/>
        <w:t>the</w:t>
      </w:r>
      <w:r>
        <w:rPr>
          <w:spacing w:val="-8"/>
        </w:rPr>
        <w:t> </w:t>
      </w:r>
      <w:r>
        <w:rPr/>
        <w:t>local</w:t>
      </w:r>
      <w:r>
        <w:rPr>
          <w:spacing w:val="-10"/>
        </w:rPr>
        <w:t> </w:t>
      </w:r>
      <w:r>
        <w:rPr/>
        <w:t>authorities</w:t>
      </w:r>
      <w:r>
        <w:rPr>
          <w:spacing w:val="-7"/>
        </w:rPr>
        <w:t> </w:t>
      </w:r>
      <w:r>
        <w:rPr/>
        <w:t>in</w:t>
      </w:r>
      <w:r>
        <w:rPr>
          <w:spacing w:val="-9"/>
        </w:rPr>
        <w:t> </w:t>
      </w:r>
      <w:r>
        <w:rPr/>
        <w:t>this</w:t>
      </w:r>
      <w:r>
        <w:rPr>
          <w:spacing w:val="-5"/>
        </w:rPr>
        <w:t> </w:t>
      </w:r>
      <w:r>
        <w:rPr/>
        <w:t>regard.</w:t>
      </w:r>
    </w:p>
    <w:p>
      <w:pPr>
        <w:pStyle w:val="BodyText"/>
        <w:spacing w:line="321" w:lineRule="auto" w:before="124"/>
        <w:ind w:left="2193" w:right="138"/>
        <w:jc w:val="both"/>
      </w:pPr>
      <w:r>
        <w:rPr/>
        <w:t>The</w:t>
      </w:r>
      <w:r>
        <w:rPr>
          <w:spacing w:val="-21"/>
        </w:rPr>
        <w:t> </w:t>
      </w:r>
      <w:r>
        <w:rPr/>
        <w:t>permissible</w:t>
      </w:r>
      <w:r>
        <w:rPr>
          <w:spacing w:val="-21"/>
        </w:rPr>
        <w:t> </w:t>
      </w:r>
      <w:r>
        <w:rPr/>
        <w:t>land</w:t>
      </w:r>
      <w:r>
        <w:rPr>
          <w:spacing w:val="-21"/>
        </w:rPr>
        <w:t> </w:t>
      </w:r>
      <w:r>
        <w:rPr/>
        <w:t>use</w:t>
      </w:r>
      <w:r>
        <w:rPr>
          <w:spacing w:val="-21"/>
        </w:rPr>
        <w:t> </w:t>
      </w:r>
      <w:r>
        <w:rPr/>
        <w:t>adopted</w:t>
      </w:r>
      <w:r>
        <w:rPr>
          <w:spacing w:val="-20"/>
        </w:rPr>
        <w:t> </w:t>
      </w:r>
      <w:r>
        <w:rPr/>
        <w:t>by</w:t>
      </w:r>
      <w:r>
        <w:rPr>
          <w:spacing w:val="-18"/>
        </w:rPr>
        <w:t> </w:t>
      </w:r>
      <w:r>
        <w:rPr/>
        <w:t>the</w:t>
      </w:r>
      <w:r>
        <w:rPr>
          <w:spacing w:val="-20"/>
        </w:rPr>
        <w:t> </w:t>
      </w:r>
      <w:r>
        <w:rPr/>
        <w:t>Consultants</w:t>
      </w:r>
      <w:r>
        <w:rPr>
          <w:spacing w:val="-19"/>
        </w:rPr>
        <w:t> </w:t>
      </w:r>
      <w:r>
        <w:rPr/>
        <w:t>for</w:t>
      </w:r>
      <w:r>
        <w:rPr>
          <w:spacing w:val="-21"/>
        </w:rPr>
        <w:t> </w:t>
      </w:r>
      <w:r>
        <w:rPr/>
        <w:t>the</w:t>
      </w:r>
      <w:r>
        <w:rPr>
          <w:spacing w:val="-20"/>
        </w:rPr>
        <w:t> </w:t>
      </w:r>
      <w:r>
        <w:rPr/>
        <w:t>subject</w:t>
      </w:r>
      <w:r>
        <w:rPr>
          <w:spacing w:val="-20"/>
        </w:rPr>
        <w:t> </w:t>
      </w:r>
      <w:r>
        <w:rPr/>
        <w:t>property</w:t>
      </w:r>
      <w:r>
        <w:rPr>
          <w:spacing w:val="-18"/>
        </w:rPr>
        <w:t> </w:t>
      </w:r>
      <w:r>
        <w:rPr/>
        <w:t>has</w:t>
      </w:r>
      <w:r>
        <w:rPr>
          <w:spacing w:val="-19"/>
        </w:rPr>
        <w:t> </w:t>
      </w:r>
      <w:r>
        <w:rPr/>
        <w:t>been based</w:t>
      </w:r>
      <w:r>
        <w:rPr>
          <w:spacing w:val="-18"/>
        </w:rPr>
        <w:t> </w:t>
      </w:r>
      <w:r>
        <w:rPr/>
        <w:t>on</w:t>
      </w:r>
      <w:r>
        <w:rPr>
          <w:spacing w:val="-18"/>
        </w:rPr>
        <w:t> </w:t>
      </w:r>
      <w:r>
        <w:rPr/>
        <w:t>information</w:t>
      </w:r>
      <w:r>
        <w:rPr>
          <w:spacing w:val="-16"/>
        </w:rPr>
        <w:t> </w:t>
      </w:r>
      <w:r>
        <w:rPr/>
        <w:t>/</w:t>
      </w:r>
      <w:r>
        <w:rPr>
          <w:spacing w:val="-19"/>
        </w:rPr>
        <w:t> </w:t>
      </w:r>
      <w:r>
        <w:rPr/>
        <w:t>review</w:t>
      </w:r>
      <w:r>
        <w:rPr>
          <w:spacing w:val="-17"/>
        </w:rPr>
        <w:t> </w:t>
      </w:r>
      <w:r>
        <w:rPr/>
        <w:t>of</w:t>
      </w:r>
      <w:r>
        <w:rPr>
          <w:spacing w:val="-17"/>
        </w:rPr>
        <w:t> </w:t>
      </w:r>
      <w:r>
        <w:rPr/>
        <w:t>various</w:t>
      </w:r>
      <w:r>
        <w:rPr>
          <w:spacing w:val="-17"/>
        </w:rPr>
        <w:t> </w:t>
      </w:r>
      <w:r>
        <w:rPr/>
        <w:t>documents</w:t>
      </w:r>
      <w:r>
        <w:rPr>
          <w:spacing w:val="-17"/>
        </w:rPr>
        <w:t> </w:t>
      </w:r>
      <w:r>
        <w:rPr/>
        <w:t>provided</w:t>
      </w:r>
      <w:r>
        <w:rPr>
          <w:spacing w:val="-17"/>
        </w:rPr>
        <w:t> </w:t>
      </w:r>
      <w:r>
        <w:rPr/>
        <w:t>by</w:t>
      </w:r>
      <w:r>
        <w:rPr>
          <w:spacing w:val="-18"/>
        </w:rPr>
        <w:t> </w:t>
      </w:r>
      <w:r>
        <w:rPr/>
        <w:t>the</w:t>
      </w:r>
      <w:r>
        <w:rPr>
          <w:spacing w:val="-18"/>
        </w:rPr>
        <w:t> </w:t>
      </w:r>
      <w:r>
        <w:rPr/>
        <w:t>Client.</w:t>
      </w:r>
      <w:r>
        <w:rPr>
          <w:spacing w:val="-18"/>
        </w:rPr>
        <w:t> </w:t>
      </w:r>
      <w:r>
        <w:rPr/>
        <w:t>It</w:t>
      </w:r>
      <w:r>
        <w:rPr>
          <w:spacing w:val="-17"/>
        </w:rPr>
        <w:t> </w:t>
      </w:r>
      <w:r>
        <w:rPr/>
        <w:t>must</w:t>
      </w:r>
      <w:r>
        <w:rPr>
          <w:spacing w:val="-17"/>
        </w:rPr>
        <w:t> </w:t>
      </w:r>
      <w:r>
        <w:rPr/>
        <w:t>be noted</w:t>
      </w:r>
      <w:r>
        <w:rPr>
          <w:spacing w:val="-21"/>
        </w:rPr>
        <w:t> </w:t>
      </w:r>
      <w:r>
        <w:rPr/>
        <w:t>that</w:t>
      </w:r>
      <w:r>
        <w:rPr>
          <w:spacing w:val="-21"/>
        </w:rPr>
        <w:t> </w:t>
      </w:r>
      <w:r>
        <w:rPr/>
        <w:t>all</w:t>
      </w:r>
      <w:r>
        <w:rPr>
          <w:spacing w:val="-22"/>
        </w:rPr>
        <w:t> </w:t>
      </w:r>
      <w:r>
        <w:rPr/>
        <w:t>factual</w:t>
      </w:r>
      <w:r>
        <w:rPr>
          <w:spacing w:val="-21"/>
        </w:rPr>
        <w:t> </w:t>
      </w:r>
      <w:r>
        <w:rPr/>
        <w:t>data</w:t>
      </w:r>
      <w:r>
        <w:rPr>
          <w:spacing w:val="-21"/>
        </w:rPr>
        <w:t> </w:t>
      </w:r>
      <w:r>
        <w:rPr/>
        <w:t>viz.</w:t>
      </w:r>
      <w:r>
        <w:rPr>
          <w:spacing w:val="-22"/>
        </w:rPr>
        <w:t> </w:t>
      </w:r>
      <w:r>
        <w:rPr/>
        <w:t>permissible</w:t>
      </w:r>
      <w:r>
        <w:rPr>
          <w:spacing w:val="-22"/>
        </w:rPr>
        <w:t> </w:t>
      </w:r>
      <w:r>
        <w:rPr/>
        <w:t>development</w:t>
      </w:r>
      <w:r>
        <w:rPr>
          <w:spacing w:val="-21"/>
        </w:rPr>
        <w:t> </w:t>
      </w:r>
      <w:r>
        <w:rPr/>
        <w:t>control</w:t>
      </w:r>
      <w:r>
        <w:rPr>
          <w:spacing w:val="-21"/>
        </w:rPr>
        <w:t> </w:t>
      </w:r>
      <w:r>
        <w:rPr/>
        <w:t>regulations,</w:t>
      </w:r>
      <w:r>
        <w:rPr>
          <w:spacing w:val="-22"/>
        </w:rPr>
        <w:t> </w:t>
      </w:r>
      <w:r>
        <w:rPr/>
        <w:t>land</w:t>
      </w:r>
      <w:r>
        <w:rPr>
          <w:spacing w:val="-21"/>
        </w:rPr>
        <w:t> </w:t>
      </w:r>
      <w:r>
        <w:rPr/>
        <w:t>area and</w:t>
      </w:r>
      <w:r>
        <w:rPr>
          <w:spacing w:val="-12"/>
        </w:rPr>
        <w:t> </w:t>
      </w:r>
      <w:r>
        <w:rPr/>
        <w:t>achievable</w:t>
      </w:r>
      <w:r>
        <w:rPr>
          <w:spacing w:val="-12"/>
        </w:rPr>
        <w:t> </w:t>
      </w:r>
      <w:r>
        <w:rPr/>
        <w:t>FSI</w:t>
      </w:r>
      <w:r>
        <w:rPr>
          <w:spacing w:val="-11"/>
        </w:rPr>
        <w:t> </w:t>
      </w:r>
      <w:r>
        <w:rPr/>
        <w:t>have</w:t>
      </w:r>
      <w:r>
        <w:rPr>
          <w:spacing w:val="-10"/>
        </w:rPr>
        <w:t> </w:t>
      </w:r>
      <w:r>
        <w:rPr/>
        <w:t>also</w:t>
      </w:r>
      <w:r>
        <w:rPr>
          <w:spacing w:val="-13"/>
        </w:rPr>
        <w:t> </w:t>
      </w:r>
      <w:r>
        <w:rPr/>
        <w:t>been</w:t>
      </w:r>
      <w:r>
        <w:rPr>
          <w:spacing w:val="-12"/>
        </w:rPr>
        <w:t> </w:t>
      </w:r>
      <w:r>
        <w:rPr/>
        <w:t>based</w:t>
      </w:r>
      <w:r>
        <w:rPr>
          <w:spacing w:val="-11"/>
        </w:rPr>
        <w:t> </w:t>
      </w:r>
      <w:r>
        <w:rPr/>
        <w:t>on</w:t>
      </w:r>
      <w:r>
        <w:rPr>
          <w:spacing w:val="-12"/>
        </w:rPr>
        <w:t> </w:t>
      </w:r>
      <w:r>
        <w:rPr/>
        <w:t>information/review</w:t>
      </w:r>
      <w:r>
        <w:rPr>
          <w:spacing w:val="-11"/>
        </w:rPr>
        <w:t> </w:t>
      </w:r>
      <w:r>
        <w:rPr/>
        <w:t>of</w:t>
      </w:r>
      <w:r>
        <w:rPr>
          <w:spacing w:val="-6"/>
        </w:rPr>
        <w:t> </w:t>
      </w:r>
      <w:r>
        <w:rPr/>
        <w:t>various</w:t>
      </w:r>
      <w:r>
        <w:rPr>
          <w:spacing w:val="-11"/>
        </w:rPr>
        <w:t> </w:t>
      </w:r>
      <w:r>
        <w:rPr/>
        <w:t>documents (such</w:t>
      </w:r>
      <w:r>
        <w:rPr>
          <w:spacing w:val="-42"/>
        </w:rPr>
        <w:t> </w:t>
      </w:r>
      <w:r>
        <w:rPr/>
        <w:t>as</w:t>
      </w:r>
      <w:r>
        <w:rPr>
          <w:spacing w:val="-41"/>
        </w:rPr>
        <w:t> </w:t>
      </w:r>
      <w:r>
        <w:rPr/>
        <w:t>title</w:t>
      </w:r>
      <w:r>
        <w:rPr>
          <w:spacing w:val="-43"/>
        </w:rPr>
        <w:t> </w:t>
      </w:r>
      <w:r>
        <w:rPr/>
        <w:t>deed,</w:t>
      </w:r>
      <w:r>
        <w:rPr>
          <w:spacing w:val="-43"/>
        </w:rPr>
        <w:t> </w:t>
      </w:r>
      <w:r>
        <w:rPr/>
        <w:t>plan</w:t>
      </w:r>
      <w:r>
        <w:rPr>
          <w:spacing w:val="-42"/>
        </w:rPr>
        <w:t> </w:t>
      </w:r>
      <w:r>
        <w:rPr/>
        <w:t>sanction</w:t>
      </w:r>
      <w:r>
        <w:rPr>
          <w:spacing w:val="-42"/>
        </w:rPr>
        <w:t> </w:t>
      </w:r>
      <w:r>
        <w:rPr/>
        <w:t>letter,</w:t>
      </w:r>
      <w:r>
        <w:rPr>
          <w:spacing w:val="-42"/>
        </w:rPr>
        <w:t> </w:t>
      </w:r>
      <w:r>
        <w:rPr/>
        <w:t>site</w:t>
      </w:r>
      <w:r>
        <w:rPr>
          <w:spacing w:val="-42"/>
        </w:rPr>
        <w:t> </w:t>
      </w:r>
      <w:r>
        <w:rPr/>
        <w:t>plan,</w:t>
      </w:r>
      <w:r>
        <w:rPr>
          <w:spacing w:val="-41"/>
        </w:rPr>
        <w:t> </w:t>
      </w:r>
      <w:r>
        <w:rPr/>
        <w:t>etc.)</w:t>
      </w:r>
      <w:r>
        <w:rPr>
          <w:spacing w:val="-41"/>
        </w:rPr>
        <w:t> </w:t>
      </w:r>
      <w:r>
        <w:rPr/>
        <w:t>provided</w:t>
      </w:r>
      <w:r>
        <w:rPr>
          <w:spacing w:val="-41"/>
        </w:rPr>
        <w:t> </w:t>
      </w:r>
      <w:r>
        <w:rPr/>
        <w:t>by</w:t>
      </w:r>
      <w:r>
        <w:rPr>
          <w:spacing w:val="-42"/>
        </w:rPr>
        <w:t> </w:t>
      </w:r>
      <w:r>
        <w:rPr/>
        <w:t>the</w:t>
      </w:r>
      <w:r>
        <w:rPr>
          <w:spacing w:val="-42"/>
        </w:rPr>
        <w:t> </w:t>
      </w:r>
      <w:r>
        <w:rPr/>
        <w:t>Client</w:t>
      </w:r>
      <w:r>
        <w:rPr>
          <w:spacing w:val="-43"/>
        </w:rPr>
        <w:t> </w:t>
      </w:r>
      <w:r>
        <w:rPr/>
        <w:t>or</w:t>
      </w:r>
      <w:r>
        <w:rPr>
          <w:spacing w:val="-42"/>
        </w:rPr>
        <w:t> </w:t>
      </w:r>
      <w:r>
        <w:rPr/>
        <w:t>assumed</w:t>
      </w:r>
    </w:p>
    <w:p>
      <w:pPr>
        <w:spacing w:after="0" w:line="321" w:lineRule="auto"/>
        <w:jc w:val="both"/>
        <w:sectPr>
          <w:headerReference w:type="default" r:id="rId95"/>
          <w:footerReference w:type="default" r:id="rId96"/>
          <w:pgSz w:w="11910" w:h="16840"/>
          <w:pgMar w:header="720" w:footer="943" w:top="1660" w:bottom="1140" w:left="600" w:right="600"/>
          <w:pgNumType w:start="102"/>
        </w:sectPr>
      </w:pPr>
    </w:p>
    <w:p>
      <w:pPr>
        <w:pStyle w:val="BodyText"/>
        <w:spacing w:before="7"/>
        <w:rPr>
          <w:sz w:val="9"/>
        </w:rPr>
      </w:pPr>
    </w:p>
    <w:p>
      <w:pPr>
        <w:pStyle w:val="BodyText"/>
        <w:spacing w:line="321" w:lineRule="auto" w:before="106"/>
        <w:ind w:left="2193" w:right="137"/>
        <w:jc w:val="both"/>
      </w:pPr>
      <w:r>
        <w:rPr/>
        <w:t>based on building regulations, and no physical verification/ measurement has been undertaken for the purpose of this valuation exercise.</w:t>
      </w:r>
    </w:p>
    <w:p>
      <w:pPr>
        <w:pStyle w:val="BodyText"/>
        <w:spacing w:line="321" w:lineRule="auto" w:before="122"/>
        <w:ind w:left="2193" w:right="140"/>
        <w:jc w:val="both"/>
      </w:pPr>
      <w:r>
        <w:rPr/>
        <w:t>For</w:t>
      </w:r>
      <w:r>
        <w:rPr>
          <w:spacing w:val="-13"/>
        </w:rPr>
        <w:t> </w:t>
      </w:r>
      <w:r>
        <w:rPr/>
        <w:t>the</w:t>
      </w:r>
      <w:r>
        <w:rPr>
          <w:spacing w:val="-13"/>
        </w:rPr>
        <w:t> </w:t>
      </w:r>
      <w:r>
        <w:rPr/>
        <w:t>purpose</w:t>
      </w:r>
      <w:r>
        <w:rPr>
          <w:spacing w:val="-13"/>
        </w:rPr>
        <w:t> </w:t>
      </w:r>
      <w:r>
        <w:rPr/>
        <w:t>of</w:t>
      </w:r>
      <w:r>
        <w:rPr>
          <w:spacing w:val="-12"/>
        </w:rPr>
        <w:t> </w:t>
      </w:r>
      <w:r>
        <w:rPr/>
        <w:t>this</w:t>
      </w:r>
      <w:r>
        <w:rPr>
          <w:spacing w:val="-12"/>
        </w:rPr>
        <w:t> </w:t>
      </w:r>
      <w:r>
        <w:rPr/>
        <w:t>exercise,</w:t>
      </w:r>
      <w:r>
        <w:rPr>
          <w:spacing w:val="-13"/>
        </w:rPr>
        <w:t> </w:t>
      </w:r>
      <w:r>
        <w:rPr/>
        <w:t>it</w:t>
      </w:r>
      <w:r>
        <w:rPr>
          <w:spacing w:val="-13"/>
        </w:rPr>
        <w:t> </w:t>
      </w:r>
      <w:r>
        <w:rPr/>
        <w:t>has</w:t>
      </w:r>
      <w:r>
        <w:rPr>
          <w:spacing w:val="-12"/>
        </w:rPr>
        <w:t> </w:t>
      </w:r>
      <w:r>
        <w:rPr/>
        <w:t>been</w:t>
      </w:r>
      <w:r>
        <w:rPr>
          <w:spacing w:val="-13"/>
        </w:rPr>
        <w:t> </w:t>
      </w:r>
      <w:r>
        <w:rPr/>
        <w:t>assumed</w:t>
      </w:r>
      <w:r>
        <w:rPr>
          <w:spacing w:val="-12"/>
        </w:rPr>
        <w:t> </w:t>
      </w:r>
      <w:r>
        <w:rPr/>
        <w:t>that</w:t>
      </w:r>
      <w:r>
        <w:rPr>
          <w:spacing w:val="-12"/>
        </w:rPr>
        <w:t> </w:t>
      </w:r>
      <w:r>
        <w:rPr/>
        <w:t>all</w:t>
      </w:r>
      <w:r>
        <w:rPr>
          <w:spacing w:val="-14"/>
        </w:rPr>
        <w:t> </w:t>
      </w:r>
      <w:r>
        <w:rPr/>
        <w:t>developments</w:t>
      </w:r>
      <w:r>
        <w:rPr>
          <w:spacing w:val="-11"/>
        </w:rPr>
        <w:t> </w:t>
      </w:r>
      <w:r>
        <w:rPr/>
        <w:t>adhere</w:t>
      </w:r>
      <w:r>
        <w:rPr>
          <w:spacing w:val="-13"/>
        </w:rPr>
        <w:t> </w:t>
      </w:r>
      <w:r>
        <w:rPr/>
        <w:t>to building</w:t>
      </w:r>
      <w:r>
        <w:rPr>
          <w:spacing w:val="-30"/>
        </w:rPr>
        <w:t> </w:t>
      </w:r>
      <w:r>
        <w:rPr/>
        <w:t>regulations</w:t>
      </w:r>
      <w:r>
        <w:rPr>
          <w:spacing w:val="-30"/>
        </w:rPr>
        <w:t> </w:t>
      </w:r>
      <w:r>
        <w:rPr/>
        <w:t>as</w:t>
      </w:r>
      <w:r>
        <w:rPr>
          <w:spacing w:val="-31"/>
        </w:rPr>
        <w:t> </w:t>
      </w:r>
      <w:r>
        <w:rPr/>
        <w:t>prescribed</w:t>
      </w:r>
      <w:r>
        <w:rPr>
          <w:spacing w:val="-30"/>
        </w:rPr>
        <w:t> </w:t>
      </w:r>
      <w:r>
        <w:rPr/>
        <w:t>by</w:t>
      </w:r>
      <w:r>
        <w:rPr>
          <w:spacing w:val="-30"/>
        </w:rPr>
        <w:t> </w:t>
      </w:r>
      <w:r>
        <w:rPr/>
        <w:t>the</w:t>
      </w:r>
      <w:r>
        <w:rPr>
          <w:spacing w:val="-31"/>
        </w:rPr>
        <w:t> </w:t>
      </w:r>
      <w:r>
        <w:rPr/>
        <w:t>relevant</w:t>
      </w:r>
      <w:r>
        <w:rPr>
          <w:spacing w:val="-30"/>
        </w:rPr>
        <w:t> </w:t>
      </w:r>
      <w:r>
        <w:rPr/>
        <w:t>authorities.</w:t>
      </w:r>
      <w:r>
        <w:rPr>
          <w:spacing w:val="-27"/>
        </w:rPr>
        <w:t> </w:t>
      </w:r>
      <w:r>
        <w:rPr/>
        <w:t>The</w:t>
      </w:r>
      <w:r>
        <w:rPr>
          <w:spacing w:val="-31"/>
        </w:rPr>
        <w:t> </w:t>
      </w:r>
      <w:r>
        <w:rPr/>
        <w:t>Consultants</w:t>
      </w:r>
      <w:r>
        <w:rPr>
          <w:spacing w:val="-29"/>
        </w:rPr>
        <w:t> </w:t>
      </w:r>
      <w:r>
        <w:rPr/>
        <w:t>have</w:t>
      </w:r>
      <w:r>
        <w:rPr>
          <w:spacing w:val="-31"/>
        </w:rPr>
        <w:t> </w:t>
      </w:r>
      <w:r>
        <w:rPr/>
        <w:t>not validated the information provided by the Client with the relevant development authorities.</w:t>
      </w:r>
    </w:p>
    <w:p>
      <w:pPr>
        <w:pStyle w:val="BodyText"/>
        <w:spacing w:before="7"/>
        <w:rPr>
          <w:sz w:val="11"/>
        </w:rPr>
      </w:pPr>
    </w:p>
    <w:p>
      <w:pPr>
        <w:spacing w:after="0"/>
        <w:rPr>
          <w:sz w:val="11"/>
        </w:rPr>
        <w:sectPr>
          <w:pgSz w:w="11910" w:h="16840"/>
          <w:pgMar w:header="720" w:footer="943" w:top="1660" w:bottom="1140" w:left="600" w:right="600"/>
        </w:sectPr>
      </w:pPr>
    </w:p>
    <w:p>
      <w:pPr>
        <w:pStyle w:val="BodyText"/>
        <w:spacing w:line="321" w:lineRule="auto" w:before="107"/>
        <w:ind w:left="785" w:right="-18"/>
      </w:pPr>
      <w:r>
        <w:rPr/>
        <w:t>Approved Usage:</w:t>
      </w:r>
    </w:p>
    <w:p>
      <w:pPr>
        <w:pStyle w:val="BodyText"/>
        <w:spacing w:line="321" w:lineRule="auto" w:before="107"/>
        <w:ind w:left="438" w:right="137"/>
        <w:jc w:val="both"/>
      </w:pPr>
      <w:r>
        <w:rPr/>
        <w:br w:type="column"/>
      </w:r>
      <w:r>
        <w:rPr/>
        <w:t>Based</w:t>
      </w:r>
      <w:r>
        <w:rPr>
          <w:spacing w:val="-30"/>
        </w:rPr>
        <w:t> </w:t>
      </w:r>
      <w:r>
        <w:rPr/>
        <w:t>on</w:t>
      </w:r>
      <w:r>
        <w:rPr>
          <w:spacing w:val="-29"/>
        </w:rPr>
        <w:t> </w:t>
      </w:r>
      <w:r>
        <w:rPr/>
        <w:t>Occupancy</w:t>
      </w:r>
      <w:r>
        <w:rPr>
          <w:spacing w:val="-29"/>
        </w:rPr>
        <w:t> </w:t>
      </w:r>
      <w:r>
        <w:rPr/>
        <w:t>Certificates</w:t>
      </w:r>
      <w:r>
        <w:rPr>
          <w:spacing w:val="-29"/>
        </w:rPr>
        <w:t> </w:t>
      </w:r>
      <w:r>
        <w:rPr/>
        <w:t>provided</w:t>
      </w:r>
      <w:r>
        <w:rPr>
          <w:spacing w:val="-29"/>
        </w:rPr>
        <w:t> </w:t>
      </w:r>
      <w:r>
        <w:rPr/>
        <w:t>by</w:t>
      </w:r>
      <w:r>
        <w:rPr>
          <w:spacing w:val="-28"/>
        </w:rPr>
        <w:t> </w:t>
      </w:r>
      <w:r>
        <w:rPr/>
        <w:t>the</w:t>
      </w:r>
      <w:r>
        <w:rPr>
          <w:spacing w:val="-30"/>
        </w:rPr>
        <w:t> </w:t>
      </w:r>
      <w:r>
        <w:rPr/>
        <w:t>Client</w:t>
      </w:r>
      <w:r>
        <w:rPr>
          <w:spacing w:val="-30"/>
        </w:rPr>
        <w:t> </w:t>
      </w:r>
      <w:r>
        <w:rPr/>
        <w:t>and</w:t>
      </w:r>
      <w:r>
        <w:rPr>
          <w:spacing w:val="-29"/>
        </w:rPr>
        <w:t> </w:t>
      </w:r>
      <w:r>
        <w:rPr/>
        <w:t>visual</w:t>
      </w:r>
      <w:r>
        <w:rPr>
          <w:spacing w:val="-30"/>
        </w:rPr>
        <w:t> </w:t>
      </w:r>
      <w:r>
        <w:rPr/>
        <w:t>inspection</w:t>
      </w:r>
      <w:r>
        <w:rPr>
          <w:spacing w:val="-30"/>
        </w:rPr>
        <w:t> </w:t>
      </w:r>
      <w:r>
        <w:rPr/>
        <w:t>during</w:t>
      </w:r>
      <w:r>
        <w:rPr>
          <w:spacing w:val="-29"/>
        </w:rPr>
        <w:t> </w:t>
      </w:r>
      <w:r>
        <w:rPr/>
        <w:t>our site</w:t>
      </w:r>
      <w:r>
        <w:rPr>
          <w:spacing w:val="-5"/>
        </w:rPr>
        <w:t> </w:t>
      </w:r>
      <w:r>
        <w:rPr/>
        <w:t>visit,</w:t>
      </w:r>
      <w:r>
        <w:rPr>
          <w:spacing w:val="-6"/>
        </w:rPr>
        <w:t> </w:t>
      </w:r>
      <w:r>
        <w:rPr/>
        <w:t>we</w:t>
      </w:r>
      <w:r>
        <w:rPr>
          <w:spacing w:val="-5"/>
        </w:rPr>
        <w:t> </w:t>
      </w:r>
      <w:r>
        <w:rPr/>
        <w:t>understand</w:t>
      </w:r>
      <w:r>
        <w:rPr>
          <w:spacing w:val="-5"/>
        </w:rPr>
        <w:t> </w:t>
      </w:r>
      <w:r>
        <w:rPr/>
        <w:t>that</w:t>
      </w:r>
      <w:r>
        <w:rPr>
          <w:spacing w:val="-4"/>
        </w:rPr>
        <w:t> </w:t>
      </w:r>
      <w:r>
        <w:rPr/>
        <w:t>the</w:t>
      </w:r>
      <w:r>
        <w:rPr>
          <w:spacing w:val="-6"/>
        </w:rPr>
        <w:t> </w:t>
      </w:r>
      <w:r>
        <w:rPr/>
        <w:t>subject</w:t>
      </w:r>
      <w:r>
        <w:rPr>
          <w:spacing w:val="-5"/>
        </w:rPr>
        <w:t> </w:t>
      </w:r>
      <w:r>
        <w:rPr/>
        <w:t>property</w:t>
      </w:r>
      <w:r>
        <w:rPr>
          <w:spacing w:val="-4"/>
        </w:rPr>
        <w:t> </w:t>
      </w:r>
      <w:r>
        <w:rPr/>
        <w:t>is</w:t>
      </w:r>
      <w:r>
        <w:rPr>
          <w:spacing w:val="-5"/>
        </w:rPr>
        <w:t> </w:t>
      </w:r>
      <w:r>
        <w:rPr/>
        <w:t>a</w:t>
      </w:r>
      <w:r>
        <w:rPr>
          <w:spacing w:val="-5"/>
        </w:rPr>
        <w:t> </w:t>
      </w:r>
      <w:r>
        <w:rPr/>
        <w:t>commercial</w:t>
      </w:r>
      <w:r>
        <w:rPr>
          <w:spacing w:val="-4"/>
        </w:rPr>
        <w:t> </w:t>
      </w:r>
      <w:r>
        <w:rPr/>
        <w:t>city</w:t>
      </w:r>
      <w:r>
        <w:rPr>
          <w:spacing w:val="-4"/>
        </w:rPr>
        <w:t> </w:t>
      </w:r>
      <w:r>
        <w:rPr/>
        <w:t>centre</w:t>
      </w:r>
      <w:r>
        <w:rPr>
          <w:spacing w:val="-5"/>
        </w:rPr>
        <w:t> </w:t>
      </w:r>
      <w:r>
        <w:rPr/>
        <w:t>office comprising</w:t>
      </w:r>
      <w:r>
        <w:rPr>
          <w:spacing w:val="-8"/>
        </w:rPr>
        <w:t> </w:t>
      </w:r>
      <w:r>
        <w:rPr/>
        <w:t>of</w:t>
      </w:r>
      <w:r>
        <w:rPr>
          <w:spacing w:val="-7"/>
        </w:rPr>
        <w:t> </w:t>
      </w:r>
      <w:r>
        <w:rPr/>
        <w:t>a</w:t>
      </w:r>
      <w:r>
        <w:rPr>
          <w:spacing w:val="-9"/>
        </w:rPr>
        <w:t> </w:t>
      </w:r>
      <w:r>
        <w:rPr/>
        <w:t>single</w:t>
      </w:r>
      <w:r>
        <w:rPr>
          <w:spacing w:val="-8"/>
        </w:rPr>
        <w:t> </w:t>
      </w:r>
      <w:r>
        <w:rPr/>
        <w:t>operational</w:t>
      </w:r>
      <w:r>
        <w:rPr>
          <w:spacing w:val="-8"/>
        </w:rPr>
        <w:t> </w:t>
      </w:r>
      <w:r>
        <w:rPr/>
        <w:t>tower.</w:t>
      </w:r>
      <w:r>
        <w:rPr>
          <w:spacing w:val="-8"/>
        </w:rPr>
        <w:t> </w:t>
      </w:r>
      <w:r>
        <w:rPr/>
        <w:t>The</w:t>
      </w:r>
      <w:r>
        <w:rPr>
          <w:spacing w:val="-9"/>
        </w:rPr>
        <w:t> </w:t>
      </w:r>
      <w:r>
        <w:rPr/>
        <w:t>current</w:t>
      </w:r>
      <w:r>
        <w:rPr>
          <w:spacing w:val="-8"/>
        </w:rPr>
        <w:t> </w:t>
      </w:r>
      <w:r>
        <w:rPr/>
        <w:t>use</w:t>
      </w:r>
      <w:r>
        <w:rPr>
          <w:spacing w:val="-8"/>
        </w:rPr>
        <w:t> </w:t>
      </w:r>
      <w:r>
        <w:rPr/>
        <w:t>of</w:t>
      </w:r>
      <w:r>
        <w:rPr>
          <w:spacing w:val="-2"/>
        </w:rPr>
        <w:t> </w:t>
      </w:r>
      <w:r>
        <w:rPr/>
        <w:t>the</w:t>
      </w:r>
      <w:r>
        <w:rPr>
          <w:spacing w:val="-8"/>
        </w:rPr>
        <w:t> </w:t>
      </w:r>
      <w:r>
        <w:rPr/>
        <w:t>subject</w:t>
      </w:r>
      <w:r>
        <w:rPr>
          <w:spacing w:val="-6"/>
        </w:rPr>
        <w:t> </w:t>
      </w:r>
      <w:r>
        <w:rPr/>
        <w:t>property</w:t>
      </w:r>
      <w:r>
        <w:rPr>
          <w:spacing w:val="-6"/>
        </w:rPr>
        <w:t> </w:t>
      </w:r>
      <w:r>
        <w:rPr/>
        <w:t>has been</w:t>
      </w:r>
      <w:r>
        <w:rPr>
          <w:spacing w:val="-19"/>
        </w:rPr>
        <w:t> </w:t>
      </w:r>
      <w:r>
        <w:rPr/>
        <w:t>provided</w:t>
      </w:r>
      <w:r>
        <w:rPr>
          <w:spacing w:val="-18"/>
        </w:rPr>
        <w:t> </w:t>
      </w:r>
      <w:r>
        <w:rPr/>
        <w:t>by</w:t>
      </w:r>
      <w:r>
        <w:rPr>
          <w:spacing w:val="-19"/>
        </w:rPr>
        <w:t> </w:t>
      </w:r>
      <w:r>
        <w:rPr/>
        <w:t>the</w:t>
      </w:r>
      <w:r>
        <w:rPr>
          <w:spacing w:val="-19"/>
        </w:rPr>
        <w:t> </w:t>
      </w:r>
      <w:r>
        <w:rPr/>
        <w:t>Client</w:t>
      </w:r>
      <w:r>
        <w:rPr>
          <w:spacing w:val="-19"/>
        </w:rPr>
        <w:t> </w:t>
      </w:r>
      <w:r>
        <w:rPr/>
        <w:t>and</w:t>
      </w:r>
      <w:r>
        <w:rPr>
          <w:spacing w:val="-18"/>
        </w:rPr>
        <w:t> </w:t>
      </w:r>
      <w:r>
        <w:rPr/>
        <w:t>is</w:t>
      </w:r>
      <w:r>
        <w:rPr>
          <w:spacing w:val="-18"/>
        </w:rPr>
        <w:t> </w:t>
      </w:r>
      <w:r>
        <w:rPr/>
        <w:t>broadly</w:t>
      </w:r>
      <w:r>
        <w:rPr>
          <w:spacing w:val="-19"/>
        </w:rPr>
        <w:t> </w:t>
      </w:r>
      <w:r>
        <w:rPr/>
        <w:t>in</w:t>
      </w:r>
      <w:r>
        <w:rPr>
          <w:spacing w:val="-19"/>
        </w:rPr>
        <w:t> </w:t>
      </w:r>
      <w:r>
        <w:rPr/>
        <w:t>agreement</w:t>
      </w:r>
      <w:r>
        <w:rPr>
          <w:spacing w:val="-19"/>
        </w:rPr>
        <w:t> </w:t>
      </w:r>
      <w:r>
        <w:rPr/>
        <w:t>with</w:t>
      </w:r>
      <w:r>
        <w:rPr>
          <w:spacing w:val="-20"/>
        </w:rPr>
        <w:t> </w:t>
      </w:r>
      <w:r>
        <w:rPr/>
        <w:t>the</w:t>
      </w:r>
      <w:r>
        <w:rPr>
          <w:spacing w:val="-19"/>
        </w:rPr>
        <w:t> </w:t>
      </w:r>
      <w:r>
        <w:rPr/>
        <w:t>rules</w:t>
      </w:r>
      <w:r>
        <w:rPr>
          <w:spacing w:val="-18"/>
        </w:rPr>
        <w:t> </w:t>
      </w:r>
      <w:r>
        <w:rPr/>
        <w:t>and</w:t>
      </w:r>
      <w:r>
        <w:rPr>
          <w:spacing w:val="-18"/>
        </w:rPr>
        <w:t> </w:t>
      </w:r>
      <w:r>
        <w:rPr/>
        <w:t>regulations as</w:t>
      </w:r>
      <w:r>
        <w:rPr>
          <w:spacing w:val="-11"/>
        </w:rPr>
        <w:t> </w:t>
      </w:r>
      <w:r>
        <w:rPr/>
        <w:t>prescribed</w:t>
      </w:r>
      <w:r>
        <w:rPr>
          <w:spacing w:val="-12"/>
        </w:rPr>
        <w:t> </w:t>
      </w:r>
      <w:r>
        <w:rPr/>
        <w:t>by</w:t>
      </w:r>
      <w:r>
        <w:rPr>
          <w:spacing w:val="-11"/>
        </w:rPr>
        <w:t> </w:t>
      </w:r>
      <w:r>
        <w:rPr/>
        <w:t>the</w:t>
      </w:r>
      <w:r>
        <w:rPr>
          <w:spacing w:val="-12"/>
        </w:rPr>
        <w:t> </w:t>
      </w:r>
      <w:r>
        <w:rPr/>
        <w:t>local</w:t>
      </w:r>
      <w:r>
        <w:rPr>
          <w:spacing w:val="-11"/>
        </w:rPr>
        <w:t> </w:t>
      </w:r>
      <w:r>
        <w:rPr/>
        <w:t>development</w:t>
      </w:r>
      <w:r>
        <w:rPr>
          <w:spacing w:val="-12"/>
        </w:rPr>
        <w:t> </w:t>
      </w:r>
      <w:r>
        <w:rPr/>
        <w:t>authority.</w:t>
      </w:r>
      <w:r>
        <w:rPr>
          <w:spacing w:val="-11"/>
        </w:rPr>
        <w:t> </w:t>
      </w:r>
      <w:r>
        <w:rPr/>
        <w:t>However,</w:t>
      </w:r>
      <w:r>
        <w:rPr>
          <w:spacing w:val="-8"/>
        </w:rPr>
        <w:t> </w:t>
      </w:r>
      <w:r>
        <w:rPr/>
        <w:t>the</w:t>
      </w:r>
      <w:r>
        <w:rPr>
          <w:spacing w:val="-12"/>
        </w:rPr>
        <w:t> </w:t>
      </w:r>
      <w:r>
        <w:rPr/>
        <w:t>Consultants</w:t>
      </w:r>
      <w:r>
        <w:rPr>
          <w:spacing w:val="-9"/>
        </w:rPr>
        <w:t> </w:t>
      </w:r>
      <w:r>
        <w:rPr/>
        <w:t>have</w:t>
      </w:r>
      <w:r>
        <w:rPr>
          <w:spacing w:val="-12"/>
        </w:rPr>
        <w:t> </w:t>
      </w:r>
      <w:r>
        <w:rPr/>
        <w:t>not made</w:t>
      </w:r>
      <w:r>
        <w:rPr>
          <w:spacing w:val="-43"/>
        </w:rPr>
        <w:t> </w:t>
      </w:r>
      <w:r>
        <w:rPr/>
        <w:t>any</w:t>
      </w:r>
      <w:r>
        <w:rPr>
          <w:spacing w:val="-43"/>
        </w:rPr>
        <w:t> </w:t>
      </w:r>
      <w:r>
        <w:rPr/>
        <w:t>enquiries</w:t>
      </w:r>
      <w:r>
        <w:rPr>
          <w:spacing w:val="-42"/>
        </w:rPr>
        <w:t> </w:t>
      </w:r>
      <w:r>
        <w:rPr/>
        <w:t>with</w:t>
      </w:r>
      <w:r>
        <w:rPr>
          <w:spacing w:val="-43"/>
        </w:rPr>
        <w:t> </w:t>
      </w:r>
      <w:r>
        <w:rPr/>
        <w:t>the</w:t>
      </w:r>
      <w:r>
        <w:rPr>
          <w:spacing w:val="-43"/>
        </w:rPr>
        <w:t> </w:t>
      </w:r>
      <w:r>
        <w:rPr/>
        <w:t>relevant</w:t>
      </w:r>
      <w:r>
        <w:rPr>
          <w:spacing w:val="-43"/>
        </w:rPr>
        <w:t> </w:t>
      </w:r>
      <w:r>
        <w:rPr/>
        <w:t>local</w:t>
      </w:r>
      <w:r>
        <w:rPr>
          <w:spacing w:val="-42"/>
        </w:rPr>
        <w:t> </w:t>
      </w:r>
      <w:r>
        <w:rPr/>
        <w:t>authorities</w:t>
      </w:r>
      <w:r>
        <w:rPr>
          <w:spacing w:val="-42"/>
        </w:rPr>
        <w:t> </w:t>
      </w:r>
      <w:r>
        <w:rPr/>
        <w:t>to</w:t>
      </w:r>
      <w:r>
        <w:rPr>
          <w:spacing w:val="-42"/>
        </w:rPr>
        <w:t> </w:t>
      </w:r>
      <w:r>
        <w:rPr/>
        <w:t>validate</w:t>
      </w:r>
      <w:r>
        <w:rPr>
          <w:spacing w:val="-43"/>
        </w:rPr>
        <w:t> </w:t>
      </w:r>
      <w:r>
        <w:rPr/>
        <w:t>the</w:t>
      </w:r>
      <w:r>
        <w:rPr>
          <w:spacing w:val="-43"/>
        </w:rPr>
        <w:t> </w:t>
      </w:r>
      <w:r>
        <w:rPr/>
        <w:t>same</w:t>
      </w:r>
      <w:r>
        <w:rPr>
          <w:spacing w:val="-43"/>
        </w:rPr>
        <w:t> </w:t>
      </w:r>
      <w:r>
        <w:rPr/>
        <w:t>for</w:t>
      </w:r>
      <w:r>
        <w:rPr>
          <w:spacing w:val="-42"/>
        </w:rPr>
        <w:t> </w:t>
      </w:r>
      <w:r>
        <w:rPr/>
        <w:t>its</w:t>
      </w:r>
      <w:r>
        <w:rPr>
          <w:spacing w:val="-42"/>
        </w:rPr>
        <w:t> </w:t>
      </w:r>
      <w:r>
        <w:rPr/>
        <w:t>specific applicability to the subject</w:t>
      </w:r>
      <w:r>
        <w:rPr>
          <w:spacing w:val="-24"/>
        </w:rPr>
        <w:t> </w:t>
      </w:r>
      <w:r>
        <w:rPr/>
        <w:t>property.</w:t>
      </w:r>
    </w:p>
    <w:p>
      <w:pPr>
        <w:spacing w:after="0" w:line="321" w:lineRule="auto"/>
        <w:jc w:val="both"/>
        <w:sectPr>
          <w:type w:val="continuous"/>
          <w:pgSz w:w="11910" w:h="16840"/>
          <w:pgMar w:top="800" w:bottom="280" w:left="600" w:right="600"/>
          <w:cols w:num="2" w:equalWidth="0">
            <w:col w:w="1716" w:space="40"/>
            <w:col w:w="8954"/>
          </w:cols>
        </w:sectPr>
      </w:pPr>
    </w:p>
    <w:p>
      <w:pPr>
        <w:pStyle w:val="BodyText"/>
        <w:spacing w:before="10"/>
        <w:rPr>
          <w:sz w:val="11"/>
        </w:rPr>
      </w:pPr>
    </w:p>
    <w:p>
      <w:pPr>
        <w:pStyle w:val="BodyText"/>
        <w:tabs>
          <w:tab w:pos="2193" w:val="left" w:leader="none"/>
        </w:tabs>
        <w:spacing w:line="321" w:lineRule="auto" w:before="106"/>
        <w:ind w:left="2193" w:right="148" w:hanging="1409"/>
      </w:pPr>
      <w:r>
        <w:rPr>
          <w:w w:val="95"/>
        </w:rPr>
        <w:t>Restrictions:</w:t>
        <w:tab/>
      </w:r>
      <w:r>
        <w:rPr/>
        <w:t>As</w:t>
      </w:r>
      <w:r>
        <w:rPr>
          <w:spacing w:val="-30"/>
        </w:rPr>
        <w:t> </w:t>
      </w:r>
      <w:r>
        <w:rPr/>
        <w:t>per</w:t>
      </w:r>
      <w:r>
        <w:rPr>
          <w:spacing w:val="-29"/>
        </w:rPr>
        <w:t> </w:t>
      </w:r>
      <w:r>
        <w:rPr/>
        <w:t>feedback</w:t>
      </w:r>
      <w:r>
        <w:rPr>
          <w:spacing w:val="-29"/>
        </w:rPr>
        <w:t> </w:t>
      </w:r>
      <w:r>
        <w:rPr/>
        <w:t>received</w:t>
      </w:r>
      <w:r>
        <w:rPr>
          <w:spacing w:val="-28"/>
        </w:rPr>
        <w:t> </w:t>
      </w:r>
      <w:r>
        <w:rPr/>
        <w:t>from</w:t>
      </w:r>
      <w:r>
        <w:rPr>
          <w:spacing w:val="-29"/>
        </w:rPr>
        <w:t> </w:t>
      </w:r>
      <w:r>
        <w:rPr/>
        <w:t>the</w:t>
      </w:r>
      <w:r>
        <w:rPr>
          <w:spacing w:val="-29"/>
        </w:rPr>
        <w:t> </w:t>
      </w:r>
      <w:r>
        <w:rPr/>
        <w:t>Client,</w:t>
      </w:r>
      <w:r>
        <w:rPr>
          <w:spacing w:val="-29"/>
        </w:rPr>
        <w:t> </w:t>
      </w:r>
      <w:r>
        <w:rPr/>
        <w:t>there</w:t>
      </w:r>
      <w:r>
        <w:rPr>
          <w:spacing w:val="-29"/>
        </w:rPr>
        <w:t> </w:t>
      </w:r>
      <w:r>
        <w:rPr/>
        <w:t>are</w:t>
      </w:r>
      <w:r>
        <w:rPr>
          <w:spacing w:val="-29"/>
        </w:rPr>
        <w:t> </w:t>
      </w:r>
      <w:r>
        <w:rPr/>
        <w:t>no</w:t>
      </w:r>
      <w:r>
        <w:rPr>
          <w:spacing w:val="-29"/>
        </w:rPr>
        <w:t> </w:t>
      </w:r>
      <w:r>
        <w:rPr/>
        <w:t>restrictions</w:t>
      </w:r>
      <w:r>
        <w:rPr>
          <w:spacing w:val="-29"/>
        </w:rPr>
        <w:t> </w:t>
      </w:r>
      <w:r>
        <w:rPr/>
        <w:t>on</w:t>
      </w:r>
      <w:r>
        <w:rPr>
          <w:spacing w:val="-28"/>
        </w:rPr>
        <w:t> </w:t>
      </w:r>
      <w:r>
        <w:rPr/>
        <w:t>the</w:t>
      </w:r>
      <w:r>
        <w:rPr>
          <w:spacing w:val="-29"/>
        </w:rPr>
        <w:t> </w:t>
      </w:r>
      <w:r>
        <w:rPr/>
        <w:t>current</w:t>
      </w:r>
      <w:r>
        <w:rPr>
          <w:spacing w:val="-29"/>
        </w:rPr>
        <w:t> </w:t>
      </w:r>
      <w:r>
        <w:rPr/>
        <w:t>use</w:t>
      </w:r>
      <w:r>
        <w:rPr>
          <w:spacing w:val="-29"/>
        </w:rPr>
        <w:t> </w:t>
      </w:r>
      <w:r>
        <w:rPr/>
        <w:t>of the</w:t>
      </w:r>
      <w:r>
        <w:rPr>
          <w:spacing w:val="-3"/>
        </w:rPr>
        <w:t> </w:t>
      </w:r>
      <w:r>
        <w:rPr/>
        <w:t>property.</w:t>
      </w:r>
    </w:p>
    <w:p>
      <w:pPr>
        <w:pStyle w:val="BodyText"/>
        <w:spacing w:before="8"/>
        <w:rPr>
          <w:sz w:val="11"/>
        </w:rPr>
      </w:pPr>
    </w:p>
    <w:p>
      <w:pPr>
        <w:spacing w:after="0"/>
        <w:rPr>
          <w:sz w:val="11"/>
        </w:rPr>
        <w:sectPr>
          <w:type w:val="continuous"/>
          <w:pgSz w:w="11910" w:h="16840"/>
          <w:pgMar w:top="800" w:bottom="280" w:left="600" w:right="600"/>
        </w:sectPr>
      </w:pPr>
    </w:p>
    <w:p>
      <w:pPr>
        <w:pStyle w:val="BodyText"/>
        <w:spacing w:line="321" w:lineRule="auto" w:before="106"/>
        <w:ind w:left="785" w:right="-5"/>
      </w:pPr>
      <w:r>
        <w:rPr/>
        <w:t>Natural </w:t>
      </w:r>
      <w:r>
        <w:rPr>
          <w:spacing w:val="-10"/>
        </w:rPr>
        <w:t>or </w:t>
      </w:r>
      <w:r>
        <w:rPr/>
        <w:t>induced hazards:</w:t>
      </w:r>
    </w:p>
    <w:p>
      <w:pPr>
        <w:pStyle w:val="BodyText"/>
        <w:spacing w:line="321" w:lineRule="auto" w:before="106"/>
        <w:ind w:left="374"/>
      </w:pPr>
      <w:r>
        <w:rPr/>
        <w:br w:type="column"/>
      </w:r>
      <w:r>
        <w:rPr/>
        <w:t>We</w:t>
      </w:r>
      <w:r>
        <w:rPr>
          <w:spacing w:val="-26"/>
        </w:rPr>
        <w:t> </w:t>
      </w:r>
      <w:r>
        <w:rPr/>
        <w:t>are</w:t>
      </w:r>
      <w:r>
        <w:rPr>
          <w:spacing w:val="-25"/>
        </w:rPr>
        <w:t> </w:t>
      </w:r>
      <w:r>
        <w:rPr/>
        <w:t>of</w:t>
      </w:r>
      <w:r>
        <w:rPr>
          <w:spacing w:val="-24"/>
        </w:rPr>
        <w:t> </w:t>
      </w:r>
      <w:r>
        <w:rPr/>
        <w:t>the</w:t>
      </w:r>
      <w:r>
        <w:rPr>
          <w:spacing w:val="-25"/>
        </w:rPr>
        <w:t> </w:t>
      </w:r>
      <w:r>
        <w:rPr/>
        <w:t>opinion</w:t>
      </w:r>
      <w:r>
        <w:rPr>
          <w:spacing w:val="-25"/>
        </w:rPr>
        <w:t> </w:t>
      </w:r>
      <w:r>
        <w:rPr/>
        <w:t>that</w:t>
      </w:r>
      <w:r>
        <w:rPr>
          <w:spacing w:val="-25"/>
        </w:rPr>
        <w:t> </w:t>
      </w:r>
      <w:r>
        <w:rPr/>
        <w:t>the</w:t>
      </w:r>
      <w:r>
        <w:rPr>
          <w:spacing w:val="-25"/>
        </w:rPr>
        <w:t> </w:t>
      </w:r>
      <w:r>
        <w:rPr/>
        <w:t>project/</w:t>
      </w:r>
      <w:r>
        <w:rPr>
          <w:spacing w:val="-25"/>
        </w:rPr>
        <w:t> </w:t>
      </w:r>
      <w:r>
        <w:rPr/>
        <w:t>site</w:t>
      </w:r>
      <w:r>
        <w:rPr>
          <w:spacing w:val="-25"/>
        </w:rPr>
        <w:t> </w:t>
      </w:r>
      <w:r>
        <w:rPr/>
        <w:t>has</w:t>
      </w:r>
      <w:r>
        <w:rPr>
          <w:spacing w:val="-24"/>
        </w:rPr>
        <w:t> </w:t>
      </w:r>
      <w:r>
        <w:rPr/>
        <w:t>been</w:t>
      </w:r>
      <w:r>
        <w:rPr>
          <w:spacing w:val="-25"/>
        </w:rPr>
        <w:t> </w:t>
      </w:r>
      <w:r>
        <w:rPr/>
        <w:t>developed</w:t>
      </w:r>
      <w:r>
        <w:rPr>
          <w:spacing w:val="-24"/>
        </w:rPr>
        <w:t> </w:t>
      </w:r>
      <w:r>
        <w:rPr/>
        <w:t>to</w:t>
      </w:r>
      <w:r>
        <w:rPr>
          <w:spacing w:val="-25"/>
        </w:rPr>
        <w:t> </w:t>
      </w:r>
      <w:r>
        <w:rPr/>
        <w:t>withstand</w:t>
      </w:r>
      <w:r>
        <w:rPr>
          <w:spacing w:val="-25"/>
        </w:rPr>
        <w:t> </w:t>
      </w:r>
      <w:r>
        <w:rPr/>
        <w:t>natural</w:t>
      </w:r>
      <w:r>
        <w:rPr>
          <w:spacing w:val="-25"/>
        </w:rPr>
        <w:t> </w:t>
      </w:r>
      <w:r>
        <w:rPr/>
        <w:t>or induced</w:t>
      </w:r>
      <w:r>
        <w:rPr>
          <w:spacing w:val="-17"/>
        </w:rPr>
        <w:t> </w:t>
      </w:r>
      <w:r>
        <w:rPr/>
        <w:t>hazards</w:t>
      </w:r>
      <w:r>
        <w:rPr>
          <w:spacing w:val="-17"/>
        </w:rPr>
        <w:t> </w:t>
      </w:r>
      <w:r>
        <w:rPr/>
        <w:t>(with</w:t>
      </w:r>
      <w:r>
        <w:rPr>
          <w:spacing w:val="-19"/>
        </w:rPr>
        <w:t> </w:t>
      </w:r>
      <w:r>
        <w:rPr/>
        <w:t>the</w:t>
      </w:r>
      <w:r>
        <w:rPr>
          <w:spacing w:val="-20"/>
        </w:rPr>
        <w:t> </w:t>
      </w:r>
      <w:r>
        <w:rPr/>
        <w:t>exception</w:t>
      </w:r>
      <w:r>
        <w:rPr>
          <w:spacing w:val="-18"/>
        </w:rPr>
        <w:t> </w:t>
      </w:r>
      <w:r>
        <w:rPr/>
        <w:t>of</w:t>
      </w:r>
      <w:r>
        <w:rPr>
          <w:spacing w:val="-17"/>
        </w:rPr>
        <w:t> </w:t>
      </w:r>
      <w:r>
        <w:rPr/>
        <w:t>extreme/</w:t>
      </w:r>
      <w:r>
        <w:rPr>
          <w:spacing w:val="-19"/>
        </w:rPr>
        <w:t> </w:t>
      </w:r>
      <w:r>
        <w:rPr/>
        <w:t>out</w:t>
      </w:r>
      <w:r>
        <w:rPr>
          <w:spacing w:val="-17"/>
        </w:rPr>
        <w:t> </w:t>
      </w:r>
      <w:r>
        <w:rPr/>
        <w:t>of</w:t>
      </w:r>
      <w:r>
        <w:rPr>
          <w:spacing w:val="-17"/>
        </w:rPr>
        <w:t> </w:t>
      </w:r>
      <w:r>
        <w:rPr/>
        <w:t>the</w:t>
      </w:r>
      <w:r>
        <w:rPr>
          <w:spacing w:val="-19"/>
        </w:rPr>
        <w:t> </w:t>
      </w:r>
      <w:r>
        <w:rPr/>
        <w:t>ordinary</w:t>
      </w:r>
      <w:r>
        <w:rPr>
          <w:spacing w:val="-17"/>
        </w:rPr>
        <w:t> </w:t>
      </w:r>
      <w:r>
        <w:rPr/>
        <w:t>hazards).</w:t>
      </w:r>
    </w:p>
    <w:p>
      <w:pPr>
        <w:spacing w:after="0" w:line="321" w:lineRule="auto"/>
        <w:sectPr>
          <w:type w:val="continuous"/>
          <w:pgSz w:w="11910" w:h="16840"/>
          <w:pgMar w:top="800" w:bottom="280" w:left="600" w:right="600"/>
          <w:cols w:num="2" w:equalWidth="0">
            <w:col w:w="1780" w:space="40"/>
            <w:col w:w="8890"/>
          </w:cols>
        </w:sectPr>
      </w:pPr>
    </w:p>
    <w:p>
      <w:pPr>
        <w:pStyle w:val="BodyText"/>
        <w:spacing w:before="11"/>
        <w:rPr>
          <w:sz w:val="21"/>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77" w:id="153"/>
      <w:bookmarkEnd w:id="153"/>
      <w:r>
        <w:rPr/>
      </w:r>
      <w:bookmarkStart w:name="_bookmark77" w:id="154"/>
      <w:bookmarkEnd w:id="154"/>
      <w:r>
        <w:rPr>
          <w:color w:val="1F664D"/>
          <w:sz w:val="22"/>
        </w:rPr>
        <w:t>S</w:t>
      </w:r>
      <w:r>
        <w:rPr>
          <w:color w:val="1F664D"/>
          <w:sz w:val="22"/>
        </w:rPr>
        <w:t>tatutory Approvals, One time Sanctions &amp; Periodic</w:t>
      </w:r>
      <w:r>
        <w:rPr>
          <w:color w:val="1F664D"/>
          <w:spacing w:val="-2"/>
          <w:sz w:val="22"/>
        </w:rPr>
        <w:t> </w:t>
      </w:r>
      <w:r>
        <w:rPr>
          <w:color w:val="1F664D"/>
          <w:sz w:val="22"/>
        </w:rPr>
        <w:t>Clearances</w:t>
      </w:r>
    </w:p>
    <w:p>
      <w:pPr>
        <w:pStyle w:val="BodyText"/>
        <w:spacing w:before="208"/>
        <w:ind w:left="660"/>
      </w:pPr>
      <w:r>
        <w:rPr/>
        <w:t>Please refer section 18.3 on Statutory Approvals, One time Sanctions &amp; Periodic Clearances</w:t>
      </w:r>
    </w:p>
    <w:p>
      <w:pPr>
        <w:spacing w:after="0"/>
        <w:sectPr>
          <w:type w:val="continuous"/>
          <w:pgSz w:w="11910" w:h="16840"/>
          <w:pgMar w:top="800" w:bottom="280" w:left="600" w:right="600"/>
        </w:sectPr>
      </w:pPr>
    </w:p>
    <w:p>
      <w:pPr>
        <w:pStyle w:val="BodyText"/>
        <w:spacing w:before="7"/>
        <w:rPr>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78" w:id="155"/>
      <w:bookmarkEnd w:id="155"/>
      <w:r>
        <w:rPr/>
      </w:r>
      <w:bookmarkStart w:name="_bookmark78" w:id="156"/>
      <w:bookmarkEnd w:id="156"/>
      <w:r>
        <w:rPr>
          <w:color w:val="1F664D"/>
          <w:sz w:val="22"/>
        </w:rPr>
        <w:t>Are</w:t>
      </w:r>
      <w:r>
        <w:rPr>
          <w:color w:val="1F664D"/>
          <w:sz w:val="22"/>
        </w:rPr>
        <w:t>a Details, Type and Age of Existing</w:t>
      </w:r>
      <w:r>
        <w:rPr>
          <w:color w:val="1F664D"/>
          <w:spacing w:val="-6"/>
          <w:sz w:val="22"/>
        </w:rPr>
        <w:t> </w:t>
      </w:r>
      <w:r>
        <w:rPr>
          <w:color w:val="1F664D"/>
          <w:sz w:val="22"/>
        </w:rPr>
        <w:t>Structures</w:t>
      </w:r>
    </w:p>
    <w:p>
      <w:pPr>
        <w:pStyle w:val="BodyText"/>
        <w:spacing w:before="208"/>
        <w:ind w:left="660"/>
      </w:pPr>
      <w:r>
        <w:rPr/>
        <w:t>The table below highlights the detailed area break-up of the subject development:</w:t>
      </w:r>
    </w:p>
    <w:p>
      <w:pPr>
        <w:pStyle w:val="BodyText"/>
        <w:spacing w:before="1"/>
        <w:rPr>
          <w:sz w:val="14"/>
        </w:rPr>
      </w:pPr>
      <w:r>
        <w:rPr/>
        <w:pict>
          <v:group style="position:absolute;margin-left:36pt;margin-top:10.171974pt;width:523.6pt;height:23.8pt;mso-position-horizontal-relative:page;mso-position-vertical-relative:paragraph;z-index:-15510528;mso-wrap-distance-left:0;mso-wrap-distance-right:0" coordorigin="720,203" coordsize="10472,476">
            <v:shape style="position:absolute;left:720;top:232;width:10472;height:432" coordorigin="720,232" coordsize="10472,432" path="m9451,232l7473,232,5593,232,3512,232,720,232,720,664,3512,664,5593,664,7473,664,9451,664,9451,232xm11191,232l9451,232,9451,664,11191,664,11191,232xe" filled="true" fillcolor="#006a4d" stroked="false">
              <v:path arrowok="t"/>
              <v:fill type="solid"/>
            </v:shape>
            <v:rect style="position:absolute;left:720;top:203;width:2793;height:29" filled="true" fillcolor="#1f6b16" stroked="false">
              <v:fill type="solid"/>
            </v:rect>
            <v:shape style="position:absolute;left:720;top:232;width:2821;height:3" coordorigin="720,232" coordsize="2821,3" path="m3541,232l3512,232,720,232,720,235,3512,235,3541,235,3541,232xe" filled="true" fillcolor="#006a4d" stroked="false">
              <v:path arrowok="t"/>
              <v:fill type="solid"/>
            </v:shape>
            <v:shape style="position:absolute;left:3512;top:203;width:2082;height:29" coordorigin="3512,203" coordsize="2082,29" path="m5593,203l3541,203,3512,203,3512,232,3541,232,5593,232,5593,203xe" filled="true" fillcolor="#1f6b16" stroked="false">
              <v:path arrowok="t"/>
              <v:fill type="solid"/>
            </v:shape>
            <v:shape style="position:absolute;left:3541;top:232;width:2082;height:3" coordorigin="3541,232" coordsize="2082,3" path="m5622,232l5593,232,3541,232,3541,235,5593,235,5622,235,5622,232xe" filled="true" fillcolor="#006a4d" stroked="false">
              <v:path arrowok="t"/>
              <v:fill type="solid"/>
            </v:shape>
            <v:shape style="position:absolute;left:5593;top:203;width:1880;height:29" coordorigin="5593,203" coordsize="1880,29" path="m7473,203l5622,203,5593,203,5593,232,5622,232,7473,232,7473,203xe" filled="true" fillcolor="#1f6b16" stroked="false">
              <v:path arrowok="t"/>
              <v:fill type="solid"/>
            </v:shape>
            <v:shape style="position:absolute;left:5622;top:232;width:1880;height:3" coordorigin="5622,232" coordsize="1880,3" path="m7502,232l7473,232,5622,232,5622,235,7473,235,7502,235,7502,232xe" filled="true" fillcolor="#006a4d" stroked="false">
              <v:path arrowok="t"/>
              <v:fill type="solid"/>
            </v:shape>
            <v:shape style="position:absolute;left:7472;top:203;width:1979;height:29" coordorigin="7473,203" coordsize="1979,29" path="m7502,203l7473,203,7473,232,7502,232,7502,203xm9451,203l7502,203,7502,232,9451,232,9451,203xe" filled="true" fillcolor="#1f6b16" stroked="false">
              <v:path arrowok="t"/>
              <v:fill type="solid"/>
            </v:shape>
            <v:shape style="position:absolute;left:7502;top:232;width:1978;height:3" coordorigin="7502,232" coordsize="1978,3" path="m9480,232l9451,232,7502,232,7502,235,9451,235,9480,235,9480,232xe" filled="true" fillcolor="#006a4d" stroked="false">
              <v:path arrowok="t"/>
              <v:fill type="solid"/>
            </v:shape>
            <v:shape style="position:absolute;left:9450;top:203;width:1741;height:29" coordorigin="9451,203" coordsize="1741,29" path="m11191,203l9480,203,9451,203,9451,232,9480,232,11191,232,11191,203xe" filled="true" fillcolor="#1f6b16" stroked="false">
              <v:path arrowok="t"/>
              <v:fill type="solid"/>
            </v:shape>
            <v:rect style="position:absolute;left:9479;top:232;width:1712;height:3" filled="true" fillcolor="#006a4d" stroked="false">
              <v:fill type="solid"/>
            </v:rect>
            <v:shape style="position:absolute;left:720;top:664;width:10472;height:15" coordorigin="720,664" coordsize="10472,15" path="m9451,664l7487,664,7473,664,5608,664,5593,664,3527,664,3512,664,720,664,720,679,3512,679,3527,679,5593,679,5608,679,7473,679,7487,679,9451,679,9451,664xm11191,664l9465,664,9451,664,9451,679,9465,679,11191,679,11191,664xe" filled="true" fillcolor="#69bd28" stroked="false">
              <v:path arrowok="t"/>
              <v:fill type="solid"/>
            </v:shape>
            <v:shape style="position:absolute;left:1375;top:339;width:1502;height:216" type="#_x0000_t202" filled="false" stroked="false">
              <v:textbox inset="0,0,0,0">
                <w:txbxContent>
                  <w:p>
                    <w:pPr>
                      <w:spacing w:before="4"/>
                      <w:ind w:left="0" w:right="0" w:firstLine="0"/>
                      <w:jc w:val="left"/>
                      <w:rPr>
                        <w:b/>
                        <w:sz w:val="18"/>
                      </w:rPr>
                    </w:pPr>
                    <w:r>
                      <w:rPr>
                        <w:b/>
                        <w:color w:val="FFFFFF"/>
                        <w:w w:val="105"/>
                        <w:sz w:val="18"/>
                      </w:rPr>
                      <w:t>Subject Property</w:t>
                    </w:r>
                  </w:p>
                </w:txbxContent>
              </v:textbox>
              <w10:wrap type="none"/>
            </v:shape>
            <v:shape style="position:absolute;left:3728;top:231;width:5489;height:432" type="#_x0000_t202" filled="false" stroked="false">
              <v:textbox inset="0,0,0,0">
                <w:txbxContent>
                  <w:p>
                    <w:pPr>
                      <w:tabs>
                        <w:tab w:pos="1980" w:val="left" w:leader="none"/>
                        <w:tab w:pos="2316" w:val="left" w:leader="none"/>
                        <w:tab w:pos="3994" w:val="left" w:leader="none"/>
                        <w:tab w:pos="4592" w:val="left" w:leader="none"/>
                      </w:tabs>
                      <w:spacing w:line="247" w:lineRule="auto" w:before="4"/>
                      <w:ind w:left="636" w:right="18" w:hanging="636"/>
                      <w:jc w:val="left"/>
                      <w:rPr>
                        <w:b/>
                        <w:sz w:val="18"/>
                      </w:rPr>
                    </w:pPr>
                    <w:r>
                      <w:rPr>
                        <w:b/>
                        <w:color w:val="FFFFFF"/>
                        <w:w w:val="110"/>
                        <w:sz w:val="18"/>
                      </w:rPr>
                      <w:t>Developable</w:t>
                    </w:r>
                    <w:r>
                      <w:rPr>
                        <w:b/>
                        <w:color w:val="FFFFFF"/>
                        <w:spacing w:val="4"/>
                        <w:w w:val="110"/>
                        <w:sz w:val="18"/>
                      </w:rPr>
                      <w:t> </w:t>
                    </w:r>
                    <w:r>
                      <w:rPr>
                        <w:b/>
                        <w:color w:val="FFFFFF"/>
                        <w:w w:val="110"/>
                        <w:sz w:val="18"/>
                      </w:rPr>
                      <w:t>Area</w:t>
                      <w:tab/>
                      <w:tab/>
                      <w:t>Completed</w:t>
                      <w:tab/>
                      <w:t>Committed</w:t>
                    </w:r>
                    <w:r>
                      <w:rPr>
                        <w:b/>
                        <w:color w:val="FFFFFF"/>
                        <w:spacing w:val="-24"/>
                        <w:w w:val="110"/>
                        <w:sz w:val="18"/>
                      </w:rPr>
                      <w:t> </w:t>
                    </w:r>
                    <w:r>
                      <w:rPr>
                        <w:b/>
                        <w:color w:val="FFFFFF"/>
                        <w:spacing w:val="-5"/>
                        <w:w w:val="110"/>
                        <w:sz w:val="18"/>
                      </w:rPr>
                      <w:t>Area </w:t>
                    </w:r>
                    <w:r>
                      <w:rPr>
                        <w:b/>
                        <w:color w:val="FFFFFF"/>
                        <w:w w:val="110"/>
                        <w:sz w:val="18"/>
                      </w:rPr>
                      <w:t>(sf)*</w:t>
                      <w:tab/>
                      <w:t>Leasable</w:t>
                    </w:r>
                    <w:r>
                      <w:rPr>
                        <w:b/>
                        <w:color w:val="FFFFFF"/>
                        <w:spacing w:val="-8"/>
                        <w:w w:val="110"/>
                        <w:sz w:val="18"/>
                      </w:rPr>
                      <w:t> </w:t>
                    </w:r>
                    <w:r>
                      <w:rPr>
                        <w:b/>
                        <w:color w:val="FFFFFF"/>
                        <w:w w:val="110"/>
                        <w:sz w:val="18"/>
                      </w:rPr>
                      <w:t>Area</w:t>
                    </w:r>
                    <w:r>
                      <w:rPr>
                        <w:b/>
                        <w:color w:val="FFFFFF"/>
                        <w:spacing w:val="-4"/>
                        <w:w w:val="110"/>
                        <w:sz w:val="18"/>
                      </w:rPr>
                      <w:t> </w:t>
                    </w:r>
                    <w:r>
                      <w:rPr>
                        <w:b/>
                        <w:color w:val="FFFFFF"/>
                        <w:w w:val="110"/>
                        <w:sz w:val="18"/>
                      </w:rPr>
                      <w:t>(sf)</w:t>
                      <w:tab/>
                      <w:tab/>
                      <w:t>(sf)</w:t>
                    </w:r>
                  </w:p>
                </w:txbxContent>
              </v:textbox>
              <w10:wrap type="none"/>
            </v:shape>
            <v:shape style="position:absolute;left:9652;top:231;width:1353;height:432" type="#_x0000_t202" filled="false" stroked="false">
              <v:textbox inset="0,0,0,0">
                <w:txbxContent>
                  <w:p>
                    <w:pPr>
                      <w:spacing w:line="247" w:lineRule="auto" w:before="4"/>
                      <w:ind w:left="528" w:right="0" w:hanging="528"/>
                      <w:jc w:val="left"/>
                      <w:rPr>
                        <w:b/>
                        <w:sz w:val="18"/>
                      </w:rPr>
                    </w:pPr>
                    <w:r>
                      <w:rPr>
                        <w:b/>
                        <w:color w:val="FFFFFF"/>
                        <w:w w:val="105"/>
                        <w:sz w:val="18"/>
                      </w:rPr>
                      <w:t>Occupied Area (sf)</w:t>
                    </w:r>
                  </w:p>
                </w:txbxContent>
              </v:textbox>
              <w10:wrap type="none"/>
            </v:shape>
            <w10:wrap type="topAndBottom"/>
          </v:group>
        </w:pict>
      </w:r>
    </w:p>
    <w:p>
      <w:pPr>
        <w:tabs>
          <w:tab w:pos="3605" w:val="left" w:leader="none"/>
          <w:tab w:pos="5586" w:val="left" w:leader="none"/>
          <w:tab w:pos="7516" w:val="left" w:leader="none"/>
          <w:tab w:pos="9374" w:val="left" w:leader="none"/>
        </w:tabs>
        <w:spacing w:before="109" w:after="135"/>
        <w:ind w:left="926" w:right="0" w:firstLine="0"/>
        <w:jc w:val="left"/>
        <w:rPr>
          <w:sz w:val="18"/>
        </w:rPr>
      </w:pPr>
      <w:r>
        <w:rPr>
          <w:sz w:val="18"/>
        </w:rPr>
        <w:t>Express</w:t>
      </w:r>
      <w:r>
        <w:rPr>
          <w:spacing w:val="-21"/>
          <w:sz w:val="18"/>
        </w:rPr>
        <w:t> </w:t>
      </w:r>
      <w:r>
        <w:rPr>
          <w:sz w:val="18"/>
        </w:rPr>
        <w:t>Towers</w:t>
        <w:tab/>
      </w:r>
      <w:r>
        <w:rPr>
          <w:w w:val="105"/>
          <w:sz w:val="18"/>
        </w:rPr>
        <w:t>315,245</w:t>
        <w:tab/>
        <w:t>472,377</w:t>
        <w:tab/>
        <w:t>441,851</w:t>
        <w:tab/>
        <w:t>441,851</w:t>
      </w:r>
    </w:p>
    <w:p>
      <w:pPr>
        <w:pStyle w:val="BodyText"/>
        <w:spacing w:line="20" w:lineRule="exact"/>
        <w:ind w:left="10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0"/>
        <w:ind w:left="120" w:right="0" w:firstLine="0"/>
        <w:jc w:val="left"/>
        <w:rPr>
          <w:i/>
          <w:sz w:val="16"/>
        </w:rPr>
      </w:pPr>
      <w:r>
        <w:rPr>
          <w:i/>
          <w:sz w:val="16"/>
        </w:rPr>
        <w:t>Source: Rent roll, Architect Certificate provided by Client; *represents achieved FSI area</w:t>
      </w:r>
    </w:p>
    <w:p>
      <w:pPr>
        <w:pStyle w:val="BodyText"/>
        <w:spacing w:before="6"/>
        <w:rPr>
          <w:i/>
        </w:rPr>
      </w:pPr>
      <w:r>
        <w:rPr/>
        <w:pict>
          <v:group style="position:absolute;margin-left:35.279999pt;margin-top:15.022647pt;width:524.3pt;height:35.450pt;mso-position-horizontal-relative:page;mso-position-vertical-relative:paragraph;z-index:-15506432;mso-wrap-distance-left:0;mso-wrap-distance-right:0" coordorigin="706,300" coordsize="10486,709">
            <v:shape style="position:absolute;left:720;top:331;width:10472;height:432" coordorigin="720,332" coordsize="10472,432" path="m9043,332l7242,332,5447,332,5447,332,3654,332,720,332,720,764,3654,764,5447,764,5447,764,7242,764,9043,764,9043,332xm11191,332l9043,332,9043,764,11191,764,11191,332xe" filled="true" fillcolor="#006a4d" stroked="false">
              <v:path arrowok="t"/>
              <v:fill type="solid"/>
            </v:shape>
            <v:rect style="position:absolute;left:720;top:300;width:2934;height:29" filled="true" fillcolor="#1f6b16" stroked="false">
              <v:fill type="solid"/>
            </v:rect>
            <v:shape style="position:absolute;left:720;top:329;width:2963;height:3" coordorigin="720,329" coordsize="2963,3" path="m3683,329l3654,329,720,329,720,332,3654,332,3683,332,3683,329xe" filled="true" fillcolor="#006a4d" stroked="false">
              <v:path arrowok="t"/>
              <v:fill type="solid"/>
            </v:shape>
            <v:shape style="position:absolute;left:3653;top:300;width:1794;height:29" coordorigin="3654,300" coordsize="1794,29" path="m5447,300l3683,300,3654,300,3654,329,3683,329,5447,329,5447,300xe" filled="true" fillcolor="#1f6b16" stroked="false">
              <v:path arrowok="t"/>
              <v:fill type="solid"/>
            </v:shape>
            <v:shape style="position:absolute;left:3682;top:329;width:1794;height:3" coordorigin="3683,329" coordsize="1794,3" path="m5476,329l5447,329,3683,329,3683,332,5447,332,5476,332,5476,329xe" filled="true" fillcolor="#006a4d" stroked="false">
              <v:path arrowok="t"/>
              <v:fill type="solid"/>
            </v:shape>
            <v:shape style="position:absolute;left:5447;top:300;width:1796;height:29" coordorigin="5447,300" coordsize="1796,29" path="m7242,300l5476,300,5447,300,5447,329,5476,329,7242,329,7242,300xe" filled="true" fillcolor="#1f6b16" stroked="false">
              <v:path arrowok="t"/>
              <v:fill type="solid"/>
            </v:shape>
            <v:shape style="position:absolute;left:5475;top:329;width:1796;height:3" coordorigin="5476,329" coordsize="1796,3" path="m7271,329l7242,329,5476,329,5476,332,7242,332,7271,332,7271,329xe" filled="true" fillcolor="#006a4d" stroked="false">
              <v:path arrowok="t"/>
              <v:fill type="solid"/>
            </v:shape>
            <v:shape style="position:absolute;left:7242;top:300;width:1801;height:29" coordorigin="7242,300" coordsize="1801,29" path="m9043,300l7271,300,7242,300,7242,329,7271,329,9043,329,9043,300xe" filled="true" fillcolor="#1f6b16" stroked="false">
              <v:path arrowok="t"/>
              <v:fill type="solid"/>
            </v:shape>
            <v:shape style="position:absolute;left:7271;top:329;width:1801;height:3" coordorigin="7271,329" coordsize="1801,3" path="m9043,329l7271,329,7271,332,9043,332,9043,329xm9072,329l9043,329,9043,332,9072,332,9072,329xe" filled="true" fillcolor="#006a4d" stroked="false">
              <v:path arrowok="t"/>
              <v:fill type="solid"/>
            </v:shape>
            <v:shape style="position:absolute;left:9042;top:300;width:2149;height:29" coordorigin="9043,300" coordsize="2149,29" path="m11191,300l9072,300,9043,300,9043,329,9072,329,11191,329,11191,300xe" filled="true" fillcolor="#1f6b16" stroked="false">
              <v:path arrowok="t"/>
              <v:fill type="solid"/>
            </v:shape>
            <v:rect style="position:absolute;left:9071;top:329;width:2120;height:3" filled="true" fillcolor="#006a4d" stroked="false">
              <v:fill type="solid"/>
            </v:rect>
            <v:shape style="position:absolute;left:720;top:763;width:10472;height:15" coordorigin="720,764" coordsize="10472,15" path="m9043,764l7257,764,7242,764,5461,764,5447,764,5447,764,3668,764,3654,764,720,764,720,778,3654,778,3668,778,5447,778,5447,778,5461,778,7242,778,7257,778,9043,778,9043,764xm11191,764l9057,764,9043,764,9043,778,9057,778,11191,778,11191,764xe" filled="true" fillcolor="#69bd28" stroked="false">
              <v:path arrowok="t"/>
              <v:fill type="solid"/>
            </v:shape>
            <v:shape style="position:absolute;left:705;top:778;width:10486;height:231" type="#_x0000_t202" filled="true" fillcolor="#69bd28" stroked="false">
              <v:textbox inset="0,0,0,0">
                <w:txbxContent>
                  <w:p>
                    <w:pPr>
                      <w:spacing w:before="3"/>
                      <w:ind w:left="142" w:right="128" w:firstLine="0"/>
                      <w:jc w:val="center"/>
                      <w:rPr>
                        <w:b/>
                        <w:sz w:val="18"/>
                      </w:rPr>
                    </w:pPr>
                    <w:r>
                      <w:rPr>
                        <w:b/>
                        <w:color w:val="FFFFFF"/>
                        <w:w w:val="110"/>
                        <w:sz w:val="18"/>
                      </w:rPr>
                      <w:t>Completed Blocks</w:t>
                    </w:r>
                  </w:p>
                </w:txbxContent>
              </v:textbox>
              <v:fill type="solid"/>
              <w10:wrap type="none"/>
            </v:shape>
            <v:shape style="position:absolute;left:9292;top:439;width:1669;height:216" type="#_x0000_t202" filled="false" stroked="false">
              <v:textbox inset="0,0,0,0">
                <w:txbxContent>
                  <w:p>
                    <w:pPr>
                      <w:spacing w:before="4"/>
                      <w:ind w:left="0" w:right="0" w:firstLine="0"/>
                      <w:jc w:val="left"/>
                      <w:rPr>
                        <w:b/>
                        <w:sz w:val="18"/>
                      </w:rPr>
                    </w:pPr>
                    <w:r>
                      <w:rPr>
                        <w:b/>
                        <w:color w:val="FFFFFF"/>
                        <w:w w:val="110"/>
                        <w:sz w:val="18"/>
                      </w:rPr>
                      <w:t>Leasable Area (sf)</w:t>
                    </w:r>
                  </w:p>
                </w:txbxContent>
              </v:textbox>
              <w10:wrap type="none"/>
            </v:shape>
            <v:shape style="position:absolute;left:7826;top:331;width:657;height:432" type="#_x0000_t202" filled="false" stroked="false">
              <v:textbox inset="0,0,0,0">
                <w:txbxContent>
                  <w:p>
                    <w:pPr>
                      <w:spacing w:line="247" w:lineRule="auto" w:before="4"/>
                      <w:ind w:left="0" w:right="10" w:firstLine="136"/>
                      <w:jc w:val="left"/>
                      <w:rPr>
                        <w:b/>
                        <w:sz w:val="18"/>
                      </w:rPr>
                    </w:pPr>
                    <w:r>
                      <w:rPr>
                        <w:b/>
                        <w:color w:val="FFFFFF"/>
                        <w:w w:val="110"/>
                        <w:sz w:val="18"/>
                      </w:rPr>
                      <w:t>Age </w:t>
                    </w:r>
                    <w:r>
                      <w:rPr>
                        <w:b/>
                        <w:color w:val="FFFFFF"/>
                        <w:w w:val="105"/>
                        <w:sz w:val="18"/>
                      </w:rPr>
                      <w:t>(Years)</w:t>
                    </w:r>
                  </w:p>
                </w:txbxContent>
              </v:textbox>
              <w10:wrap type="none"/>
            </v:shape>
            <v:shape style="position:absolute;left:5739;top:439;width:1227;height:216" type="#_x0000_t202" filled="false" stroked="false">
              <v:textbox inset="0,0,0,0">
                <w:txbxContent>
                  <w:p>
                    <w:pPr>
                      <w:spacing w:before="4"/>
                      <w:ind w:left="0" w:right="0" w:firstLine="0"/>
                      <w:jc w:val="left"/>
                      <w:rPr>
                        <w:b/>
                        <w:sz w:val="18"/>
                      </w:rPr>
                    </w:pPr>
                    <w:r>
                      <w:rPr>
                        <w:b/>
                        <w:color w:val="FFFFFF"/>
                        <w:w w:val="115"/>
                        <w:sz w:val="18"/>
                      </w:rPr>
                      <w:t>SEZ/Non-SEZ</w:t>
                    </w:r>
                  </w:p>
                </w:txbxContent>
              </v:textbox>
              <w10:wrap type="none"/>
            </v:shape>
            <v:shape style="position:absolute;left:4131;top:331;width:860;height:432" type="#_x0000_t202" filled="false" stroked="false">
              <v:textbox inset="0,0,0,0">
                <w:txbxContent>
                  <w:p>
                    <w:pPr>
                      <w:spacing w:line="247" w:lineRule="auto" w:before="4"/>
                      <w:ind w:left="0" w:right="17" w:firstLine="38"/>
                      <w:jc w:val="left"/>
                      <w:rPr>
                        <w:b/>
                        <w:sz w:val="18"/>
                      </w:rPr>
                    </w:pPr>
                    <w:r>
                      <w:rPr>
                        <w:b/>
                        <w:color w:val="FFFFFF"/>
                        <w:w w:val="110"/>
                        <w:sz w:val="18"/>
                      </w:rPr>
                      <w:t>Building </w:t>
                    </w:r>
                    <w:r>
                      <w:rPr>
                        <w:b/>
                        <w:color w:val="FFFFFF"/>
                        <w:w w:val="105"/>
                        <w:sz w:val="18"/>
                      </w:rPr>
                      <w:t>Elevation</w:t>
                    </w:r>
                  </w:p>
                </w:txbxContent>
              </v:textbox>
              <w10:wrap type="none"/>
            </v:shape>
            <v:shape style="position:absolute;left:1910;top:331;width:574;height:432" type="#_x0000_t202" filled="false" stroked="false">
              <v:textbox inset="0,0,0,0">
                <w:txbxContent>
                  <w:p>
                    <w:pPr>
                      <w:spacing w:line="247" w:lineRule="auto" w:before="4"/>
                      <w:ind w:left="0" w:right="8" w:firstLine="31"/>
                      <w:jc w:val="left"/>
                      <w:rPr>
                        <w:b/>
                        <w:sz w:val="18"/>
                      </w:rPr>
                    </w:pPr>
                    <w:r>
                      <w:rPr>
                        <w:b/>
                        <w:color w:val="FFFFFF"/>
                        <w:w w:val="110"/>
                        <w:sz w:val="18"/>
                      </w:rPr>
                      <w:t>Block </w:t>
                    </w:r>
                    <w:r>
                      <w:rPr>
                        <w:b/>
                        <w:color w:val="FFFFFF"/>
                        <w:w w:val="115"/>
                        <w:sz w:val="18"/>
                      </w:rPr>
                      <w:t>Name</w:t>
                    </w:r>
                  </w:p>
                </w:txbxContent>
              </v:textbox>
              <w10:wrap type="none"/>
            </v:shape>
            <w10:wrap type="topAndBottom"/>
          </v:group>
        </w:pict>
      </w:r>
    </w:p>
    <w:p>
      <w:pPr>
        <w:tabs>
          <w:tab w:pos="2573" w:val="left" w:leader="none"/>
          <w:tab w:pos="4397" w:val="left" w:leader="none"/>
          <w:tab w:pos="6440" w:val="left" w:leader="none"/>
          <w:tab w:pos="8173" w:val="left" w:leader="none"/>
        </w:tabs>
        <w:spacing w:line="203" w:lineRule="exact" w:before="0" w:after="22"/>
        <w:ind w:left="0" w:right="847" w:firstLine="0"/>
        <w:jc w:val="right"/>
        <w:rPr>
          <w:sz w:val="18"/>
        </w:rPr>
      </w:pPr>
      <w:r>
        <w:rPr>
          <w:sz w:val="18"/>
        </w:rPr>
        <w:t>Express</w:t>
      </w:r>
      <w:r>
        <w:rPr>
          <w:spacing w:val="-20"/>
          <w:sz w:val="18"/>
        </w:rPr>
        <w:t> </w:t>
      </w:r>
      <w:r>
        <w:rPr>
          <w:sz w:val="18"/>
        </w:rPr>
        <w:t>Towers</w:t>
        <w:tab/>
      </w:r>
      <w:r>
        <w:rPr>
          <w:w w:val="105"/>
          <w:sz w:val="18"/>
        </w:rPr>
        <w:t>B+G+25</w:t>
        <w:tab/>
        <w:t>Non-SEZ</w:t>
        <w:tab/>
        <w:t>49</w:t>
        <w:tab/>
        <w:t>472,377</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8323,0l6537,0,6522,0,4741,0,4727,0,4727,0,2948,0,2934,0,0,0,0,14,2934,14,2948,14,4727,14,4727,14,4741,14,6522,14,6537,14,8323,14,8323,0xm10471,0l8337,0,8323,0,8323,14,8337,14,10471,14,10471,0xe" filled="true" fillcolor="#69bd28" stroked="false">
              <v:path arrowok="t"/>
              <v:fill type="solid"/>
            </v:shape>
          </v:group>
        </w:pict>
      </w:r>
      <w:r>
        <w:rPr>
          <w:sz w:val="2"/>
        </w:rPr>
      </w:r>
    </w:p>
    <w:p>
      <w:pPr>
        <w:tabs>
          <w:tab w:pos="7777" w:val="left" w:leader="none"/>
        </w:tabs>
        <w:spacing w:before="15" w:after="22"/>
        <w:ind w:left="0" w:right="844" w:firstLine="0"/>
        <w:jc w:val="right"/>
        <w:rPr>
          <w:sz w:val="18"/>
        </w:rPr>
      </w:pPr>
      <w:r>
        <w:rPr>
          <w:sz w:val="18"/>
        </w:rPr>
        <w:t>Total</w:t>
        <w:tab/>
        <w:t>472,377</w:t>
      </w:r>
    </w:p>
    <w:p>
      <w:pPr>
        <w:pStyle w:val="BodyText"/>
        <w:spacing w:line="20" w:lineRule="exact"/>
        <w:ind w:left="10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0"/>
        <w:ind w:left="120" w:right="0" w:firstLine="0"/>
        <w:jc w:val="left"/>
        <w:rPr>
          <w:i/>
          <w:sz w:val="16"/>
        </w:rPr>
      </w:pPr>
      <w:r>
        <w:rPr>
          <w:i/>
          <w:sz w:val="16"/>
        </w:rPr>
        <w:t>Source </w:t>
      </w:r>
      <w:r>
        <w:rPr>
          <w:i/>
          <w:w w:val="110"/>
          <w:sz w:val="16"/>
        </w:rPr>
        <w:t>– </w:t>
      </w:r>
      <w:r>
        <w:rPr>
          <w:i/>
          <w:sz w:val="16"/>
        </w:rPr>
        <w:t>Rent Roll, Architect Certificate provided by the Client</w:t>
      </w:r>
    </w:p>
    <w:p>
      <w:pPr>
        <w:pStyle w:val="BodyText"/>
        <w:spacing w:before="6"/>
        <w:rPr>
          <w:i/>
          <w:sz w:val="16"/>
        </w:rPr>
      </w:pPr>
      <w:r>
        <w:rPr/>
        <w:pict>
          <v:group style="position:absolute;margin-left:35.279999pt;margin-top:11.542664pt;width:524.3pt;height:15.85pt;mso-position-horizontal-relative:page;mso-position-vertical-relative:paragraph;z-index:-15504384;mso-wrap-distance-left:0;mso-wrap-distance-right:0" coordorigin="706,231" coordsize="10486,317">
            <v:shape style="position:absolute;left:720;top:245;width:10472;height:288" coordorigin="720,245" coordsize="10472,288" path="m11191,245l6481,245,720,245,720,533,6481,533,11191,533,11191,245xe" filled="true" fillcolor="#006a4d" stroked="false">
              <v:path arrowok="t"/>
              <v:fill type="solid"/>
            </v:shape>
            <v:shape style="position:absolute;left:720;top:230;width:10472;height:317" coordorigin="720,231" coordsize="10472,317" path="m11191,533l6496,533,6481,533,720,533,720,548,6481,548,6496,548,11191,548,11191,533xm11191,231l6496,231,6481,231,720,231,720,245,6481,245,6496,245,11191,245,11191,231xe" filled="true" fillcolor="#69bd28" stroked="false">
              <v:path arrowok="t"/>
              <v:fill type="solid"/>
            </v:shape>
            <v:shape style="position:absolute;left:705;top:245;width:10486;height:288" type="#_x0000_t202" filled="false" stroked="false">
              <v:textbox inset="0,0,0,0">
                <w:txbxContent>
                  <w:p>
                    <w:pPr>
                      <w:tabs>
                        <w:tab w:pos="7326" w:val="left" w:leader="none"/>
                      </w:tabs>
                      <w:spacing w:before="39"/>
                      <w:ind w:left="2581" w:right="0" w:firstLine="0"/>
                      <w:jc w:val="left"/>
                      <w:rPr>
                        <w:b/>
                        <w:sz w:val="18"/>
                      </w:rPr>
                    </w:pPr>
                    <w:r>
                      <w:rPr>
                        <w:b/>
                        <w:color w:val="FFFFFF"/>
                        <w:w w:val="110"/>
                        <w:sz w:val="18"/>
                      </w:rPr>
                      <w:t>Details</w:t>
                      <w:tab/>
                      <w:t>Completed</w:t>
                    </w:r>
                    <w:r>
                      <w:rPr>
                        <w:b/>
                        <w:color w:val="FFFFFF"/>
                        <w:spacing w:val="-5"/>
                        <w:w w:val="110"/>
                        <w:sz w:val="18"/>
                      </w:rPr>
                      <w:t> </w:t>
                    </w:r>
                    <w:r>
                      <w:rPr>
                        <w:b/>
                        <w:color w:val="FFFFFF"/>
                        <w:w w:val="110"/>
                        <w:sz w:val="18"/>
                      </w:rPr>
                      <w:t>Blocks</w:t>
                    </w:r>
                  </w:p>
                </w:txbxContent>
              </v:textbox>
              <w10:wrap type="none"/>
            </v:shape>
            <w10:wrap type="topAndBottom"/>
          </v:group>
        </w:pict>
      </w:r>
    </w:p>
    <w:p>
      <w:pPr>
        <w:tabs>
          <w:tab w:pos="5761" w:val="left" w:leader="none"/>
        </w:tabs>
        <w:spacing w:before="13" w:after="39"/>
        <w:ind w:left="14" w:right="0" w:firstLine="0"/>
        <w:jc w:val="center"/>
        <w:rPr>
          <w:sz w:val="18"/>
        </w:rPr>
      </w:pPr>
      <w:r>
        <w:rPr>
          <w:sz w:val="18"/>
        </w:rPr>
        <w:t>Grade of</w:t>
      </w:r>
      <w:r>
        <w:rPr>
          <w:spacing w:val="-13"/>
          <w:sz w:val="18"/>
        </w:rPr>
        <w:t> </w:t>
      </w:r>
      <w:r>
        <w:rPr>
          <w:sz w:val="18"/>
        </w:rPr>
        <w:t>the</w:t>
      </w:r>
      <w:r>
        <w:rPr>
          <w:spacing w:val="-6"/>
          <w:sz w:val="18"/>
        </w:rPr>
        <w:t> </w:t>
      </w:r>
      <w:r>
        <w:rPr>
          <w:sz w:val="18"/>
        </w:rPr>
        <w:t>Building</w:t>
        <w:tab/>
        <w:t>Grade A</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776,0,5761,0,0,0,0,14,5761,14,5776,14,10471,14,10471,0xe" filled="true" fillcolor="#69bd28" stroked="false">
              <v:path arrowok="t"/>
              <v:fill type="solid"/>
            </v:shape>
          </v:group>
        </w:pict>
      </w:r>
      <w:r>
        <w:rPr>
          <w:sz w:val="2"/>
        </w:rPr>
      </w:r>
    </w:p>
    <w:p>
      <w:pPr>
        <w:tabs>
          <w:tab w:pos="5766" w:val="left" w:leader="none"/>
        </w:tabs>
        <w:spacing w:before="34"/>
        <w:ind w:left="0" w:right="0" w:firstLine="0"/>
        <w:jc w:val="center"/>
        <w:rPr>
          <w:sz w:val="18"/>
        </w:rPr>
      </w:pPr>
      <w:r>
        <w:rPr/>
        <w:pict>
          <v:shape style="position:absolute;margin-left:36pt;margin-top:14.230671pt;width:523.6pt;height:.75pt;mso-position-horizontal-relative:page;mso-position-vertical-relative:paragraph;z-index:-15503360;mso-wrap-distance-left:0;mso-wrap-distance-right:0" coordorigin="720,285" coordsize="10472,15" path="m11191,285l6496,285,6481,285,720,285,720,299,6481,299,6496,299,11191,299,11191,285xe" filled="true" fillcolor="#69bd28" stroked="false">
            <v:path arrowok="t"/>
            <v:fill type="solid"/>
            <w10:wrap type="topAndBottom"/>
          </v:shape>
        </w:pict>
      </w:r>
      <w:r>
        <w:rPr>
          <w:sz w:val="18"/>
        </w:rPr>
        <w:t>LEED</w:t>
      </w:r>
      <w:r>
        <w:rPr>
          <w:spacing w:val="-25"/>
          <w:sz w:val="18"/>
        </w:rPr>
        <w:t> </w:t>
      </w:r>
      <w:r>
        <w:rPr>
          <w:sz w:val="18"/>
        </w:rPr>
        <w:t>Certification*</w:t>
        <w:tab/>
        <w:t>Silver</w:t>
      </w:r>
    </w:p>
    <w:p>
      <w:pPr>
        <w:tabs>
          <w:tab w:pos="5764" w:val="left" w:leader="none"/>
        </w:tabs>
        <w:spacing w:before="10" w:after="39"/>
        <w:ind w:left="115" w:right="0" w:firstLine="0"/>
        <w:jc w:val="center"/>
        <w:rPr>
          <w:sz w:val="18"/>
        </w:rPr>
      </w:pPr>
      <w:r>
        <w:rPr>
          <w:sz w:val="18"/>
        </w:rPr>
        <w:t>Structural</w:t>
      </w:r>
      <w:r>
        <w:rPr>
          <w:spacing w:val="-21"/>
          <w:sz w:val="18"/>
        </w:rPr>
        <w:t> </w:t>
      </w:r>
      <w:r>
        <w:rPr>
          <w:sz w:val="18"/>
        </w:rPr>
        <w:t>Design</w:t>
        <w:tab/>
      </w:r>
      <w:r>
        <w:rPr>
          <w:w w:val="105"/>
          <w:sz w:val="18"/>
        </w:rPr>
        <w:t>G+25</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776,0,5761,0,0,0,0,14,5761,14,5776,14,10471,14,10471,0xe" filled="true" fillcolor="#69bd28" stroked="false">
              <v:path arrowok="t"/>
              <v:fill type="solid"/>
            </v:shape>
          </v:group>
        </w:pict>
      </w:r>
      <w:r>
        <w:rPr>
          <w:sz w:val="2"/>
        </w:rPr>
      </w:r>
    </w:p>
    <w:p>
      <w:pPr>
        <w:tabs>
          <w:tab w:pos="5763" w:val="left" w:leader="none"/>
        </w:tabs>
        <w:spacing w:before="36"/>
        <w:ind w:left="211" w:right="0" w:firstLine="0"/>
        <w:jc w:val="center"/>
        <w:rPr>
          <w:sz w:val="18"/>
        </w:rPr>
      </w:pPr>
      <w:r>
        <w:rPr/>
        <w:pict>
          <v:shape style="position:absolute;margin-left:36pt;margin-top:14.210661pt;width:523.6pt;height:.75pt;mso-position-horizontal-relative:page;mso-position-vertical-relative:paragraph;z-index:-15502336;mso-wrap-distance-left:0;mso-wrap-distance-right:0" coordorigin="720,284" coordsize="10472,15" path="m11191,284l6496,284,6481,284,720,284,720,299,6481,299,6496,299,11191,299,11191,284xe" filled="true" fillcolor="#69bd28" stroked="false">
            <v:path arrowok="t"/>
            <v:fill type="solid"/>
            <w10:wrap type="topAndBottom"/>
          </v:shape>
        </w:pict>
      </w:r>
      <w:r>
        <w:rPr>
          <w:sz w:val="18"/>
        </w:rPr>
        <w:t>Status</w:t>
      </w:r>
      <w:r>
        <w:rPr>
          <w:spacing w:val="-16"/>
          <w:sz w:val="18"/>
        </w:rPr>
        <w:t> </w:t>
      </w:r>
      <w:r>
        <w:rPr>
          <w:sz w:val="18"/>
        </w:rPr>
        <w:t>of</w:t>
      </w:r>
      <w:r>
        <w:rPr>
          <w:spacing w:val="-15"/>
          <w:sz w:val="18"/>
        </w:rPr>
        <w:t> </w:t>
      </w:r>
      <w:r>
        <w:rPr>
          <w:sz w:val="18"/>
        </w:rPr>
        <w:t>Finishing</w:t>
        <w:tab/>
        <w:t>Bare</w:t>
      </w:r>
      <w:r>
        <w:rPr>
          <w:spacing w:val="-2"/>
          <w:sz w:val="18"/>
        </w:rPr>
        <w:t> </w:t>
      </w:r>
      <w:r>
        <w:rPr>
          <w:sz w:val="18"/>
        </w:rPr>
        <w:t>Shell</w:t>
      </w:r>
    </w:p>
    <w:p>
      <w:pPr>
        <w:tabs>
          <w:tab w:pos="5762" w:val="left" w:leader="none"/>
        </w:tabs>
        <w:spacing w:before="10" w:after="42"/>
        <w:ind w:left="983" w:right="0" w:firstLine="0"/>
        <w:jc w:val="center"/>
        <w:rPr>
          <w:sz w:val="18"/>
        </w:rPr>
      </w:pPr>
      <w:r>
        <w:rPr>
          <w:sz w:val="18"/>
        </w:rPr>
        <w:t>Comments</w:t>
      </w:r>
      <w:r>
        <w:rPr>
          <w:spacing w:val="-1"/>
          <w:sz w:val="18"/>
        </w:rPr>
        <w:t> </w:t>
      </w:r>
      <w:r>
        <w:rPr>
          <w:sz w:val="18"/>
        </w:rPr>
        <w:t>on</w:t>
      </w:r>
      <w:r>
        <w:rPr>
          <w:spacing w:val="1"/>
          <w:sz w:val="18"/>
        </w:rPr>
        <w:t> </w:t>
      </w:r>
      <w:r>
        <w:rPr>
          <w:sz w:val="18"/>
        </w:rPr>
        <w:t>Obsolescence</w:t>
        <w:tab/>
        <w:t>The</w:t>
      </w:r>
      <w:r>
        <w:rPr>
          <w:spacing w:val="-8"/>
          <w:sz w:val="18"/>
        </w:rPr>
        <w:t> </w:t>
      </w:r>
      <w:r>
        <w:rPr>
          <w:sz w:val="18"/>
        </w:rPr>
        <w:t>building</w:t>
      </w:r>
      <w:r>
        <w:rPr>
          <w:spacing w:val="-9"/>
          <w:sz w:val="18"/>
        </w:rPr>
        <w:t> </w:t>
      </w:r>
      <w:r>
        <w:rPr>
          <w:sz w:val="18"/>
        </w:rPr>
        <w:t>is</w:t>
      </w:r>
      <w:r>
        <w:rPr>
          <w:spacing w:val="-9"/>
          <w:sz w:val="18"/>
        </w:rPr>
        <w:t> </w:t>
      </w:r>
      <w:r>
        <w:rPr>
          <w:sz w:val="18"/>
        </w:rPr>
        <w:t>currently</w:t>
      </w:r>
      <w:r>
        <w:rPr>
          <w:spacing w:val="-9"/>
          <w:sz w:val="18"/>
        </w:rPr>
        <w:t> </w:t>
      </w:r>
      <w:r>
        <w:rPr>
          <w:sz w:val="18"/>
        </w:rPr>
        <w:t>well</w:t>
      </w:r>
      <w:r>
        <w:rPr>
          <w:spacing w:val="-10"/>
          <w:sz w:val="18"/>
        </w:rPr>
        <w:t> </w:t>
      </w:r>
      <w:r>
        <w:rPr>
          <w:sz w:val="18"/>
        </w:rPr>
        <w:t>maintained</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776,0,5761,0,0,0,0,14,5761,14,5776,14,10471,14,10471,0xe" filled="true" fillcolor="#69bd28" stroked="false">
              <v:path arrowok="t"/>
              <v:fill type="solid"/>
            </v:shape>
          </v:group>
        </w:pict>
      </w:r>
      <w:r>
        <w:rPr>
          <w:sz w:val="2"/>
        </w:rPr>
      </w:r>
    </w:p>
    <w:p>
      <w:pPr>
        <w:spacing w:before="45"/>
        <w:ind w:left="227" w:right="0" w:firstLine="0"/>
        <w:jc w:val="left"/>
        <w:rPr>
          <w:i/>
          <w:sz w:val="16"/>
        </w:rPr>
      </w:pPr>
      <w:r>
        <w:rPr>
          <w:sz w:val="16"/>
        </w:rPr>
        <w:t>*</w:t>
      </w:r>
      <w:r>
        <w:rPr>
          <w:i/>
          <w:sz w:val="16"/>
        </w:rPr>
        <w:t>Indian Green Building Council Certificate</w:t>
      </w:r>
    </w:p>
    <w:p>
      <w:pPr>
        <w:pStyle w:val="BodyText"/>
        <w:spacing w:before="2"/>
        <w:rPr>
          <w:i/>
          <w:sz w:val="15"/>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79" w:id="157"/>
      <w:bookmarkEnd w:id="157"/>
      <w:r>
        <w:rPr/>
      </w:r>
      <w:bookmarkStart w:name="_bookmark79" w:id="158"/>
      <w:bookmarkEnd w:id="158"/>
      <w:r>
        <w:rPr>
          <w:color w:val="1F664D"/>
          <w:sz w:val="22"/>
        </w:rPr>
        <w:t>S</w:t>
      </w:r>
      <w:r>
        <w:rPr>
          <w:color w:val="1F664D"/>
          <w:sz w:val="22"/>
        </w:rPr>
        <w:t>ite Services and</w:t>
      </w:r>
      <w:r>
        <w:rPr>
          <w:color w:val="1F664D"/>
          <w:spacing w:val="-4"/>
          <w:sz w:val="22"/>
        </w:rPr>
        <w:t> </w:t>
      </w:r>
      <w:r>
        <w:rPr>
          <w:color w:val="1F664D"/>
          <w:sz w:val="22"/>
        </w:rPr>
        <w:t>Finishes</w:t>
      </w:r>
    </w:p>
    <w:p>
      <w:pPr>
        <w:pStyle w:val="BodyText"/>
        <w:spacing w:before="2"/>
        <w:rPr>
          <w:sz w:val="14"/>
        </w:rPr>
      </w:pPr>
      <w:r>
        <w:rPr/>
        <w:pict>
          <v:group style="position:absolute;margin-left:35.279999pt;margin-top:10.17998pt;width:524.3pt;height:16pt;mso-position-horizontal-relative:page;mso-position-vertical-relative:paragraph;z-index:-15500800;mso-wrap-distance-left:0;mso-wrap-distance-right:0" coordorigin="706,204" coordsize="10486,320">
            <v:shape style="position:absolute;left:720;top:220;width:10472;height:288" coordorigin="720,220" coordsize="10472,288" path="m11191,220l5956,220,720,220,720,508,5956,508,11191,508,11191,220xe" filled="true" fillcolor="#006a4d" stroked="false">
              <v:path arrowok="t"/>
              <v:fill type="solid"/>
            </v:shape>
            <v:shape style="position:absolute;left:720;top:203;width:10472;height:320" coordorigin="720,204" coordsize="10472,320" path="m11191,508l5970,508,5956,508,720,508,720,523,5956,523,5970,523,11191,523,11191,508xm11191,204l5970,204,5956,204,720,204,720,218,5956,218,5970,218,11191,218,11191,204xe" filled="true" fillcolor="#69bd28" stroked="false">
              <v:path arrowok="t"/>
              <v:fill type="solid"/>
            </v:shape>
            <v:shape style="position:absolute;left:705;top:218;width:10486;height:291" type="#_x0000_t202" filled="false" stroked="false">
              <v:textbox inset="0,0,0,0">
                <w:txbxContent>
                  <w:p>
                    <w:pPr>
                      <w:tabs>
                        <w:tab w:pos="5406" w:val="left" w:leader="none"/>
                      </w:tabs>
                      <w:spacing w:before="42"/>
                      <w:ind w:left="0" w:right="155" w:firstLine="0"/>
                      <w:jc w:val="center"/>
                      <w:rPr>
                        <w:b/>
                        <w:sz w:val="18"/>
                      </w:rPr>
                    </w:pPr>
                    <w:r>
                      <w:rPr>
                        <w:b/>
                        <w:color w:val="FFFFFF"/>
                        <w:w w:val="110"/>
                        <w:sz w:val="18"/>
                      </w:rPr>
                      <w:t>Particulars</w:t>
                      <w:tab/>
                      <w:t>Details</w:t>
                    </w:r>
                  </w:p>
                </w:txbxContent>
              </v:textbox>
              <w10:wrap type="none"/>
            </v:shape>
            <w10:wrap type="topAndBottom"/>
          </v:group>
        </w:pict>
      </w:r>
    </w:p>
    <w:p>
      <w:pPr>
        <w:tabs>
          <w:tab w:pos="5619" w:val="left" w:leader="none"/>
        </w:tabs>
        <w:spacing w:before="10" w:after="39"/>
        <w:ind w:left="0" w:right="2338" w:firstLine="0"/>
        <w:jc w:val="right"/>
        <w:rPr>
          <w:sz w:val="18"/>
        </w:rPr>
      </w:pPr>
      <w:r>
        <w:rPr>
          <w:sz w:val="18"/>
        </w:rPr>
        <w:t>Handover</w:t>
      </w:r>
      <w:r>
        <w:rPr>
          <w:spacing w:val="-12"/>
          <w:sz w:val="18"/>
        </w:rPr>
        <w:t> </w:t>
      </w:r>
      <w:r>
        <w:rPr>
          <w:sz w:val="18"/>
        </w:rPr>
        <w:t>condition</w:t>
        <w:tab/>
        <w:t>Bare</w:t>
      </w:r>
      <w:r>
        <w:rPr>
          <w:spacing w:val="-25"/>
          <w:sz w:val="18"/>
        </w:rPr>
        <w:t> </w:t>
      </w:r>
      <w:r>
        <w:rPr>
          <w:sz w:val="18"/>
        </w:rPr>
        <w:t>Shell</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667" w:val="left" w:leader="none"/>
        </w:tabs>
        <w:spacing w:before="34"/>
        <w:ind w:left="0" w:right="2392" w:firstLine="0"/>
        <w:jc w:val="right"/>
        <w:rPr>
          <w:sz w:val="18"/>
        </w:rPr>
      </w:pPr>
      <w:r>
        <w:rPr/>
        <w:pict>
          <v:shape style="position:absolute;margin-left:36pt;margin-top:14.110678pt;width:523.6pt;height:.75pt;mso-position-horizontal-relative:page;mso-position-vertical-relative:paragraph;z-index:-15499776;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Passenger</w:t>
      </w:r>
      <w:r>
        <w:rPr>
          <w:spacing w:val="-21"/>
          <w:sz w:val="18"/>
        </w:rPr>
        <w:t> </w:t>
      </w:r>
      <w:r>
        <w:rPr>
          <w:sz w:val="18"/>
        </w:rPr>
        <w:t>elevators</w:t>
        <w:tab/>
      </w:r>
      <w:r>
        <w:rPr>
          <w:spacing w:val="-1"/>
          <w:w w:val="95"/>
          <w:sz w:val="18"/>
        </w:rPr>
        <w:t>Provided</w:t>
      </w:r>
    </w:p>
    <w:p>
      <w:pPr>
        <w:tabs>
          <w:tab w:pos="5545" w:val="left" w:leader="none"/>
        </w:tabs>
        <w:spacing w:before="10" w:after="39"/>
        <w:ind w:left="0" w:right="2392" w:firstLine="0"/>
        <w:jc w:val="right"/>
        <w:rPr>
          <w:sz w:val="18"/>
        </w:rPr>
      </w:pPr>
      <w:r>
        <w:rPr>
          <w:sz w:val="18"/>
        </w:rPr>
        <w:t>Service</w:t>
      </w:r>
      <w:r>
        <w:rPr>
          <w:spacing w:val="-33"/>
          <w:sz w:val="18"/>
        </w:rPr>
        <w:t> </w:t>
      </w:r>
      <w:r>
        <w:rPr>
          <w:sz w:val="18"/>
        </w:rPr>
        <w:t>elevators</w:t>
        <w:tab/>
      </w:r>
      <w:r>
        <w:rPr>
          <w:spacing w:val="-1"/>
          <w:w w:val="95"/>
          <w:sz w:val="18"/>
        </w:rPr>
        <w:t>Provided</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480" w:val="left" w:leader="none"/>
        </w:tabs>
        <w:spacing w:before="34"/>
        <w:ind w:left="0" w:right="2392" w:firstLine="0"/>
        <w:jc w:val="right"/>
        <w:rPr>
          <w:sz w:val="18"/>
        </w:rPr>
      </w:pPr>
      <w:r>
        <w:rPr/>
        <w:pict>
          <v:shape style="position:absolute;margin-left:36pt;margin-top:14.230658pt;width:523.6pt;height:.75pt;mso-position-horizontal-relative:page;mso-position-vertical-relative:paragraph;z-index:-15498752;mso-wrap-distance-left:0;mso-wrap-distance-right:0" coordorigin="720,285" coordsize="10472,15" path="m11191,285l5970,285,5956,285,720,285,720,299,5956,299,5970,299,11191,299,11191,285xe" filled="true" fillcolor="#69bd28" stroked="false">
            <v:path arrowok="t"/>
            <v:fill type="solid"/>
            <w10:wrap type="topAndBottom"/>
          </v:shape>
        </w:pict>
      </w:r>
      <w:r>
        <w:rPr>
          <w:sz w:val="18"/>
        </w:rPr>
        <w:t>Power</w:t>
      </w:r>
      <w:r>
        <w:rPr>
          <w:spacing w:val="-10"/>
          <w:sz w:val="18"/>
        </w:rPr>
        <w:t> </w:t>
      </w:r>
      <w:r>
        <w:rPr>
          <w:sz w:val="18"/>
        </w:rPr>
        <w:t>back-up</w:t>
        <w:tab/>
      </w:r>
      <w:r>
        <w:rPr>
          <w:spacing w:val="-1"/>
          <w:w w:val="95"/>
          <w:sz w:val="18"/>
        </w:rPr>
        <w:t>Provided</w:t>
      </w:r>
    </w:p>
    <w:p>
      <w:pPr>
        <w:tabs>
          <w:tab w:pos="6049" w:val="left" w:leader="none"/>
        </w:tabs>
        <w:spacing w:before="10" w:after="39"/>
        <w:ind w:left="0" w:right="2392" w:firstLine="0"/>
        <w:jc w:val="right"/>
        <w:rPr>
          <w:sz w:val="18"/>
        </w:rPr>
      </w:pPr>
      <w:r>
        <w:rPr>
          <w:sz w:val="18"/>
        </w:rPr>
        <w:t>Building</w:t>
      </w:r>
      <w:r>
        <w:rPr>
          <w:spacing w:val="-16"/>
          <w:sz w:val="18"/>
        </w:rPr>
        <w:t> </w:t>
      </w:r>
      <w:r>
        <w:rPr>
          <w:sz w:val="18"/>
        </w:rPr>
        <w:t>management</w:t>
      </w:r>
      <w:r>
        <w:rPr>
          <w:spacing w:val="-16"/>
          <w:sz w:val="18"/>
        </w:rPr>
        <w:t> </w:t>
      </w:r>
      <w:r>
        <w:rPr>
          <w:sz w:val="18"/>
        </w:rPr>
        <w:t>system</w:t>
        <w:tab/>
      </w:r>
      <w:r>
        <w:rPr>
          <w:spacing w:val="-1"/>
          <w:w w:val="95"/>
          <w:sz w:val="18"/>
        </w:rPr>
        <w:t>Provided</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516" w:val="left" w:leader="none"/>
        </w:tabs>
        <w:spacing w:before="34"/>
        <w:ind w:left="0" w:right="2392" w:firstLine="0"/>
        <w:jc w:val="right"/>
        <w:rPr>
          <w:sz w:val="18"/>
        </w:rPr>
      </w:pPr>
      <w:r>
        <w:rPr/>
        <w:pict>
          <v:shape style="position:absolute;margin-left:36pt;margin-top:14.111674pt;width:523.6pt;height:.75pt;mso-position-horizontal-relative:page;mso-position-vertical-relative:paragraph;z-index:-15497728;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Security</w:t>
      </w:r>
      <w:r>
        <w:rPr>
          <w:spacing w:val="-36"/>
          <w:sz w:val="18"/>
        </w:rPr>
        <w:t> </w:t>
      </w:r>
      <w:r>
        <w:rPr>
          <w:sz w:val="18"/>
        </w:rPr>
        <w:t>systems</w:t>
        <w:tab/>
      </w:r>
      <w:r>
        <w:rPr>
          <w:spacing w:val="-1"/>
          <w:w w:val="95"/>
          <w:sz w:val="18"/>
        </w:rPr>
        <w:t>Provided</w:t>
      </w:r>
    </w:p>
    <w:p>
      <w:pPr>
        <w:tabs>
          <w:tab w:pos="5516" w:val="left" w:leader="none"/>
        </w:tabs>
        <w:spacing w:before="10" w:after="39"/>
        <w:ind w:left="0" w:right="2392" w:firstLine="0"/>
        <w:jc w:val="right"/>
        <w:rPr>
          <w:sz w:val="18"/>
        </w:rPr>
      </w:pPr>
      <w:r>
        <w:rPr>
          <w:sz w:val="18"/>
        </w:rPr>
        <w:t>Air</w:t>
      </w:r>
      <w:r>
        <w:rPr>
          <w:spacing w:val="-16"/>
          <w:sz w:val="18"/>
        </w:rPr>
        <w:t> </w:t>
      </w:r>
      <w:r>
        <w:rPr>
          <w:sz w:val="18"/>
        </w:rPr>
        <w:t>conditioning</w:t>
        <w:tab/>
      </w:r>
      <w:r>
        <w:rPr>
          <w:spacing w:val="-1"/>
          <w:w w:val="95"/>
          <w:sz w:val="18"/>
        </w:rPr>
        <w:t>Provided</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665" w:val="left" w:leader="none"/>
        </w:tabs>
        <w:spacing w:before="34"/>
        <w:ind w:left="0" w:right="2392" w:firstLine="0"/>
        <w:jc w:val="right"/>
        <w:rPr>
          <w:sz w:val="18"/>
        </w:rPr>
      </w:pPr>
      <w:r>
        <w:rPr/>
        <w:pict>
          <v:shape style="position:absolute;margin-left:36pt;margin-top:14.231686pt;width:523.6pt;height:.75pt;mso-position-horizontal-relative:page;mso-position-vertical-relative:paragraph;z-index:-15496704;mso-wrap-distance-left:0;mso-wrap-distance-right:0" coordorigin="720,285" coordsize="10472,15" path="m11191,285l5970,285,5956,285,720,285,720,299,5956,299,5970,299,11191,299,11191,285xe" filled="true" fillcolor="#69bd28" stroked="false">
            <v:path arrowok="t"/>
            <v:fill type="solid"/>
            <w10:wrap type="topAndBottom"/>
          </v:shape>
        </w:pict>
      </w:r>
      <w:r>
        <w:rPr>
          <w:sz w:val="18"/>
        </w:rPr>
        <w:t>Firefighting</w:t>
      </w:r>
      <w:r>
        <w:rPr>
          <w:spacing w:val="-36"/>
          <w:sz w:val="18"/>
        </w:rPr>
        <w:t> </w:t>
      </w:r>
      <w:r>
        <w:rPr>
          <w:sz w:val="18"/>
        </w:rPr>
        <w:t>services</w:t>
        <w:tab/>
      </w:r>
      <w:r>
        <w:rPr>
          <w:spacing w:val="-1"/>
          <w:w w:val="95"/>
          <w:sz w:val="18"/>
        </w:rPr>
        <w:t>Provided</w:t>
      </w:r>
    </w:p>
    <w:p>
      <w:pPr>
        <w:tabs>
          <w:tab w:pos="5236" w:val="left" w:leader="none"/>
        </w:tabs>
        <w:spacing w:before="11" w:after="39"/>
        <w:ind w:left="367" w:right="0" w:firstLine="0"/>
        <w:jc w:val="center"/>
        <w:rPr>
          <w:sz w:val="18"/>
        </w:rPr>
      </w:pPr>
      <w:r>
        <w:rPr>
          <w:sz w:val="18"/>
        </w:rPr>
        <w:t>Car</w:t>
      </w:r>
      <w:r>
        <w:rPr>
          <w:spacing w:val="-1"/>
          <w:sz w:val="18"/>
        </w:rPr>
        <w:t> </w:t>
      </w:r>
      <w:r>
        <w:rPr>
          <w:sz w:val="18"/>
        </w:rPr>
        <w:t>parks</w:t>
      </w:r>
      <w:r>
        <w:rPr>
          <w:spacing w:val="1"/>
          <w:sz w:val="18"/>
        </w:rPr>
        <w:t> </w:t>
      </w:r>
      <w:r>
        <w:rPr>
          <w:sz w:val="18"/>
        </w:rPr>
        <w:t>provided</w:t>
        <w:tab/>
        <w:t>Covered and open car</w:t>
      </w:r>
      <w:r>
        <w:rPr>
          <w:spacing w:val="-11"/>
          <w:sz w:val="18"/>
        </w:rPr>
        <w:t> </w:t>
      </w:r>
      <w:r>
        <w:rPr>
          <w:sz w:val="18"/>
        </w:rPr>
        <w:t>parks</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spacing w:before="45"/>
        <w:ind w:left="227" w:right="0" w:firstLine="0"/>
        <w:jc w:val="left"/>
        <w:rPr>
          <w:i/>
          <w:sz w:val="16"/>
        </w:rPr>
      </w:pPr>
      <w:r>
        <w:rPr>
          <w:i/>
          <w:sz w:val="16"/>
        </w:rPr>
        <w:t>Source: Information provided by Client and site visit by the Consultants; Lease Deed</w:t>
      </w:r>
    </w:p>
    <w:p>
      <w:pPr>
        <w:pStyle w:val="BodyText"/>
        <w:spacing w:before="2"/>
        <w:rPr>
          <w:i/>
          <w:sz w:val="15"/>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80" w:id="159"/>
      <w:bookmarkEnd w:id="159"/>
      <w:r>
        <w:rPr/>
      </w:r>
      <w:bookmarkStart w:name="_bookmark80" w:id="160"/>
      <w:bookmarkEnd w:id="160"/>
      <w:r>
        <w:rPr>
          <w:color w:val="1F664D"/>
          <w:sz w:val="22"/>
        </w:rPr>
        <w:t>Condition</w:t>
      </w:r>
      <w:r>
        <w:rPr>
          <w:color w:val="1F664D"/>
          <w:sz w:val="22"/>
        </w:rPr>
        <w:t> &amp;</w:t>
      </w:r>
      <w:r>
        <w:rPr>
          <w:color w:val="1F664D"/>
          <w:spacing w:val="-4"/>
          <w:sz w:val="22"/>
        </w:rPr>
        <w:t> </w:t>
      </w:r>
      <w:r>
        <w:rPr>
          <w:color w:val="1F664D"/>
          <w:sz w:val="22"/>
        </w:rPr>
        <w:t>Repair</w:t>
      </w:r>
    </w:p>
    <w:p>
      <w:pPr>
        <w:pStyle w:val="BodyText"/>
        <w:spacing w:line="321" w:lineRule="auto" w:before="208"/>
        <w:ind w:left="682" w:right="114"/>
        <w:jc w:val="both"/>
      </w:pPr>
      <w:r>
        <w:rPr/>
        <w:t>Subject property is developed and managed to international standards offering best-in-class asset management</w:t>
      </w:r>
      <w:r>
        <w:rPr>
          <w:spacing w:val="-34"/>
        </w:rPr>
        <w:t> </w:t>
      </w:r>
      <w:r>
        <w:rPr/>
        <w:t>and</w:t>
      </w:r>
      <w:r>
        <w:rPr>
          <w:spacing w:val="-34"/>
        </w:rPr>
        <w:t> </w:t>
      </w:r>
      <w:r>
        <w:rPr/>
        <w:t>environment</w:t>
      </w:r>
      <w:r>
        <w:rPr>
          <w:spacing w:val="-33"/>
        </w:rPr>
        <w:t> </w:t>
      </w:r>
      <w:r>
        <w:rPr/>
        <w:t>friendly</w:t>
      </w:r>
      <w:r>
        <w:rPr>
          <w:spacing w:val="-35"/>
        </w:rPr>
        <w:t> </w:t>
      </w:r>
      <w:r>
        <w:rPr/>
        <w:t>green</w:t>
      </w:r>
      <w:r>
        <w:rPr>
          <w:spacing w:val="-34"/>
        </w:rPr>
        <w:t> </w:t>
      </w:r>
      <w:r>
        <w:rPr/>
        <w:t>initiatives,</w:t>
      </w:r>
      <w:r>
        <w:rPr>
          <w:spacing w:val="-34"/>
        </w:rPr>
        <w:t> </w:t>
      </w:r>
      <w:r>
        <w:rPr/>
        <w:t>which</w:t>
      </w:r>
      <w:r>
        <w:rPr>
          <w:spacing w:val="-34"/>
        </w:rPr>
        <w:t> </w:t>
      </w:r>
      <w:r>
        <w:rPr/>
        <w:t>makes</w:t>
      </w:r>
      <w:r>
        <w:rPr>
          <w:spacing w:val="-33"/>
        </w:rPr>
        <w:t> </w:t>
      </w:r>
      <w:r>
        <w:rPr/>
        <w:t>it</w:t>
      </w:r>
      <w:r>
        <w:rPr>
          <w:spacing w:val="-33"/>
        </w:rPr>
        <w:t> </w:t>
      </w:r>
      <w:r>
        <w:rPr/>
        <w:t>a</w:t>
      </w:r>
      <w:r>
        <w:rPr>
          <w:spacing w:val="-34"/>
        </w:rPr>
        <w:t> </w:t>
      </w:r>
      <w:r>
        <w:rPr/>
        <w:t>preferred</w:t>
      </w:r>
      <w:r>
        <w:rPr>
          <w:spacing w:val="-33"/>
        </w:rPr>
        <w:t> </w:t>
      </w:r>
      <w:r>
        <w:rPr/>
        <w:t>option</w:t>
      </w:r>
      <w:r>
        <w:rPr>
          <w:spacing w:val="-34"/>
        </w:rPr>
        <w:t> </w:t>
      </w:r>
      <w:r>
        <w:rPr/>
        <w:t>for</w:t>
      </w:r>
      <w:r>
        <w:rPr>
          <w:spacing w:val="-34"/>
        </w:rPr>
        <w:t> </w:t>
      </w:r>
      <w:r>
        <w:rPr/>
        <w:t>domestic as wells as Multinational Corporations (MNCs). Based on information provided by the Client and site visit, it is understood that the subject property is in good condition, top-class facilities and is being maintained</w:t>
      </w:r>
      <w:r>
        <w:rPr>
          <w:spacing w:val="-47"/>
        </w:rPr>
        <w:t> </w:t>
      </w:r>
      <w:r>
        <w:rPr/>
        <w:t>well.</w:t>
      </w:r>
      <w:r>
        <w:rPr>
          <w:spacing w:val="-46"/>
        </w:rPr>
        <w:t> </w:t>
      </w:r>
      <w:r>
        <w:rPr/>
        <w:t>The</w:t>
      </w:r>
      <w:r>
        <w:rPr>
          <w:spacing w:val="-47"/>
        </w:rPr>
        <w:t> </w:t>
      </w:r>
      <w:r>
        <w:rPr/>
        <w:t>property</w:t>
      </w:r>
      <w:r>
        <w:rPr>
          <w:spacing w:val="-46"/>
        </w:rPr>
        <w:t> </w:t>
      </w:r>
      <w:r>
        <w:rPr/>
        <w:t>recently</w:t>
      </w:r>
      <w:r>
        <w:rPr>
          <w:spacing w:val="-46"/>
        </w:rPr>
        <w:t> </w:t>
      </w:r>
      <w:r>
        <w:rPr/>
        <w:t>underwent</w:t>
      </w:r>
      <w:r>
        <w:rPr>
          <w:spacing w:val="-48"/>
        </w:rPr>
        <w:t> </w:t>
      </w:r>
      <w:r>
        <w:rPr/>
        <w:t>a</w:t>
      </w:r>
      <w:r>
        <w:rPr>
          <w:spacing w:val="-47"/>
        </w:rPr>
        <w:t> </w:t>
      </w:r>
      <w:r>
        <w:rPr/>
        <w:t>major</w:t>
      </w:r>
      <w:r>
        <w:rPr>
          <w:spacing w:val="-46"/>
        </w:rPr>
        <w:t> </w:t>
      </w:r>
      <w:r>
        <w:rPr/>
        <w:t>repositioning</w:t>
      </w:r>
      <w:r>
        <w:rPr>
          <w:spacing w:val="-46"/>
        </w:rPr>
        <w:t> </w:t>
      </w:r>
      <w:r>
        <w:rPr/>
        <w:t>program,</w:t>
      </w:r>
      <w:r>
        <w:rPr>
          <w:spacing w:val="-47"/>
        </w:rPr>
        <w:t> </w:t>
      </w:r>
      <w:r>
        <w:rPr/>
        <w:t>which</w:t>
      </w:r>
      <w:r>
        <w:rPr>
          <w:spacing w:val="-47"/>
        </w:rPr>
        <w:t> </w:t>
      </w:r>
      <w:r>
        <w:rPr/>
        <w:t>included</w:t>
      </w:r>
      <w:r>
        <w:rPr>
          <w:spacing w:val="-46"/>
        </w:rPr>
        <w:t> </w:t>
      </w:r>
      <w:r>
        <w:rPr/>
        <w:t>façade replacement</w:t>
      </w:r>
      <w:r>
        <w:rPr>
          <w:spacing w:val="-37"/>
        </w:rPr>
        <w:t> </w:t>
      </w:r>
      <w:r>
        <w:rPr/>
        <w:t>for</w:t>
      </w:r>
      <w:r>
        <w:rPr>
          <w:spacing w:val="-36"/>
        </w:rPr>
        <w:t> </w:t>
      </w:r>
      <w:r>
        <w:rPr/>
        <w:t>the</w:t>
      </w:r>
      <w:r>
        <w:rPr>
          <w:spacing w:val="-37"/>
        </w:rPr>
        <w:t> </w:t>
      </w:r>
      <w:r>
        <w:rPr/>
        <w:t>entire</w:t>
      </w:r>
      <w:r>
        <w:rPr>
          <w:spacing w:val="-36"/>
        </w:rPr>
        <w:t> </w:t>
      </w:r>
      <w:r>
        <w:rPr/>
        <w:t>building</w:t>
      </w:r>
      <w:r>
        <w:rPr>
          <w:spacing w:val="-36"/>
        </w:rPr>
        <w:t> </w:t>
      </w:r>
      <w:r>
        <w:rPr/>
        <w:t>exterior,</w:t>
      </w:r>
      <w:r>
        <w:rPr>
          <w:spacing w:val="-37"/>
        </w:rPr>
        <w:t> </w:t>
      </w:r>
      <w:r>
        <w:rPr/>
        <w:t>lobby</w:t>
      </w:r>
      <w:r>
        <w:rPr>
          <w:spacing w:val="-36"/>
        </w:rPr>
        <w:t> </w:t>
      </w:r>
      <w:r>
        <w:rPr/>
        <w:t>refurbishment,</w:t>
      </w:r>
      <w:r>
        <w:rPr>
          <w:spacing w:val="-37"/>
        </w:rPr>
        <w:t> </w:t>
      </w:r>
      <w:r>
        <w:rPr/>
        <w:t>canopy</w:t>
      </w:r>
      <w:r>
        <w:rPr>
          <w:spacing w:val="-36"/>
        </w:rPr>
        <w:t> </w:t>
      </w:r>
      <w:r>
        <w:rPr/>
        <w:t>installation,</w:t>
      </w:r>
      <w:r>
        <w:rPr>
          <w:spacing w:val="-36"/>
        </w:rPr>
        <w:t> </w:t>
      </w:r>
      <w:r>
        <w:rPr/>
        <w:t>elevator</w:t>
      </w:r>
      <w:r>
        <w:rPr>
          <w:spacing w:val="-37"/>
        </w:rPr>
        <w:t> </w:t>
      </w:r>
      <w:r>
        <w:rPr/>
        <w:t>revamp and</w:t>
      </w:r>
      <w:r>
        <w:rPr>
          <w:spacing w:val="-13"/>
        </w:rPr>
        <w:t> </w:t>
      </w:r>
      <w:r>
        <w:rPr/>
        <w:t>enhanced</w:t>
      </w:r>
      <w:r>
        <w:rPr>
          <w:spacing w:val="-13"/>
        </w:rPr>
        <w:t> </w:t>
      </w:r>
      <w:r>
        <w:rPr/>
        <w:t>security</w:t>
      </w:r>
      <w:r>
        <w:rPr>
          <w:spacing w:val="-12"/>
        </w:rPr>
        <w:t> </w:t>
      </w:r>
      <w:r>
        <w:rPr/>
        <w:t>controls.</w:t>
      </w:r>
      <w:r>
        <w:rPr>
          <w:spacing w:val="-13"/>
        </w:rPr>
        <w:t> </w:t>
      </w:r>
      <w:r>
        <w:rPr/>
        <w:t>The</w:t>
      </w:r>
      <w:r>
        <w:rPr>
          <w:spacing w:val="-14"/>
        </w:rPr>
        <w:t> </w:t>
      </w:r>
      <w:r>
        <w:rPr/>
        <w:t>table</w:t>
      </w:r>
      <w:r>
        <w:rPr>
          <w:spacing w:val="-13"/>
        </w:rPr>
        <w:t> </w:t>
      </w:r>
      <w:r>
        <w:rPr/>
        <w:t>below</w:t>
      </w:r>
      <w:r>
        <w:rPr>
          <w:spacing w:val="-15"/>
        </w:rPr>
        <w:t> </w:t>
      </w:r>
      <w:r>
        <w:rPr/>
        <w:t>highlights</w:t>
      </w:r>
      <w:r>
        <w:rPr>
          <w:spacing w:val="-13"/>
        </w:rPr>
        <w:t> </w:t>
      </w:r>
      <w:r>
        <w:rPr/>
        <w:t>the</w:t>
      </w:r>
      <w:r>
        <w:rPr>
          <w:spacing w:val="-13"/>
        </w:rPr>
        <w:t> </w:t>
      </w:r>
      <w:r>
        <w:rPr/>
        <w:t>major</w:t>
      </w:r>
      <w:r>
        <w:rPr>
          <w:spacing w:val="-14"/>
        </w:rPr>
        <w:t> </w:t>
      </w:r>
      <w:r>
        <w:rPr/>
        <w:t>repairs</w:t>
      </w:r>
      <w:r>
        <w:rPr>
          <w:spacing w:val="-12"/>
        </w:rPr>
        <w:t> </w:t>
      </w:r>
      <w:r>
        <w:rPr/>
        <w:t>and</w:t>
      </w:r>
      <w:r>
        <w:rPr>
          <w:spacing w:val="-13"/>
        </w:rPr>
        <w:t> </w:t>
      </w:r>
      <w:r>
        <w:rPr/>
        <w:t>maintenance</w:t>
      </w:r>
      <w:r>
        <w:rPr>
          <w:spacing w:val="-13"/>
        </w:rPr>
        <w:t> </w:t>
      </w:r>
      <w:r>
        <w:rPr/>
        <w:t>work/ infrastructure</w:t>
      </w:r>
      <w:r>
        <w:rPr>
          <w:spacing w:val="-7"/>
        </w:rPr>
        <w:t> </w:t>
      </w:r>
      <w:r>
        <w:rPr/>
        <w:t>upgrade</w:t>
      </w:r>
      <w:r>
        <w:rPr>
          <w:spacing w:val="-9"/>
        </w:rPr>
        <w:t> </w:t>
      </w:r>
      <w:r>
        <w:rPr/>
        <w:t>works</w:t>
      </w:r>
      <w:r>
        <w:rPr>
          <w:spacing w:val="-3"/>
        </w:rPr>
        <w:t> </w:t>
      </w:r>
      <w:r>
        <w:rPr/>
        <w:t>undertaken</w:t>
      </w:r>
      <w:r>
        <w:rPr>
          <w:spacing w:val="-7"/>
        </w:rPr>
        <w:t> </w:t>
      </w:r>
      <w:r>
        <w:rPr/>
        <w:t>in</w:t>
      </w:r>
      <w:r>
        <w:rPr>
          <w:spacing w:val="-7"/>
        </w:rPr>
        <w:t> </w:t>
      </w:r>
      <w:r>
        <w:rPr/>
        <w:t>the</w:t>
      </w:r>
      <w:r>
        <w:rPr>
          <w:spacing w:val="-7"/>
        </w:rPr>
        <w:t> </w:t>
      </w:r>
      <w:r>
        <w:rPr/>
        <w:t>past</w:t>
      </w:r>
      <w:r>
        <w:rPr>
          <w:spacing w:val="-6"/>
        </w:rPr>
        <w:t> </w:t>
      </w:r>
      <w:r>
        <w:rPr/>
        <w:t>few</w:t>
      </w:r>
      <w:r>
        <w:rPr>
          <w:spacing w:val="-5"/>
        </w:rPr>
        <w:t> </w:t>
      </w:r>
      <w:r>
        <w:rPr/>
        <w:t>years:</w:t>
      </w:r>
    </w:p>
    <w:p>
      <w:pPr>
        <w:spacing w:after="0" w:line="321" w:lineRule="auto"/>
        <w:jc w:val="both"/>
        <w:sectPr>
          <w:pgSz w:w="11910" w:h="16840"/>
          <w:pgMar w:header="720" w:footer="943" w:top="1660" w:bottom="1140" w:left="600" w:right="600"/>
        </w:sectPr>
      </w:pPr>
    </w:p>
    <w:p>
      <w:pPr>
        <w:pStyle w:val="BodyText"/>
        <w:spacing w:before="3"/>
        <w:rPr>
          <w:sz w:val="18"/>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34"/>
        <w:gridCol w:w="3598"/>
        <w:gridCol w:w="2853"/>
      </w:tblGrid>
      <w:tr>
        <w:trPr>
          <w:trHeight w:val="445" w:hRule="atLeast"/>
        </w:trPr>
        <w:tc>
          <w:tcPr>
            <w:tcW w:w="4034" w:type="dxa"/>
            <w:tcBorders>
              <w:top w:val="single" w:sz="6" w:space="0" w:color="69BD28"/>
              <w:bottom w:val="single" w:sz="6" w:space="0" w:color="69BD28"/>
            </w:tcBorders>
            <w:shd w:val="clear" w:color="auto" w:fill="006A4D"/>
          </w:tcPr>
          <w:p>
            <w:pPr>
              <w:pStyle w:val="TableParagraph"/>
              <w:spacing w:before="120"/>
              <w:ind w:left="1528" w:right="1320"/>
              <w:rPr>
                <w:sz w:val="18"/>
              </w:rPr>
            </w:pPr>
            <w:r>
              <w:rPr>
                <w:color w:val="FFFFFF"/>
                <w:sz w:val="18"/>
              </w:rPr>
              <w:t>Expense Head</w:t>
            </w:r>
          </w:p>
        </w:tc>
        <w:tc>
          <w:tcPr>
            <w:tcW w:w="3598" w:type="dxa"/>
            <w:tcBorders>
              <w:top w:val="single" w:sz="6" w:space="0" w:color="69BD28"/>
              <w:bottom w:val="single" w:sz="6" w:space="0" w:color="69BD28"/>
            </w:tcBorders>
            <w:shd w:val="clear" w:color="auto" w:fill="006A4D"/>
          </w:tcPr>
          <w:p>
            <w:pPr>
              <w:pStyle w:val="TableParagraph"/>
              <w:spacing w:before="120"/>
              <w:ind w:left="1201" w:right="797"/>
              <w:rPr>
                <w:sz w:val="18"/>
              </w:rPr>
            </w:pPr>
            <w:r>
              <w:rPr>
                <w:color w:val="FFFFFF"/>
                <w:sz w:val="18"/>
              </w:rPr>
              <w:t>Total Cost (INR Mn)</w:t>
            </w:r>
          </w:p>
        </w:tc>
        <w:tc>
          <w:tcPr>
            <w:tcW w:w="2853" w:type="dxa"/>
            <w:tcBorders>
              <w:top w:val="single" w:sz="6" w:space="0" w:color="69BD28"/>
              <w:bottom w:val="single" w:sz="6" w:space="0" w:color="69BD28"/>
            </w:tcBorders>
            <w:shd w:val="clear" w:color="auto" w:fill="006A4D"/>
          </w:tcPr>
          <w:p>
            <w:pPr>
              <w:pStyle w:val="TableParagraph"/>
              <w:spacing w:before="120"/>
              <w:ind w:left="809" w:right="595"/>
              <w:rPr>
                <w:sz w:val="18"/>
              </w:rPr>
            </w:pPr>
            <w:r>
              <w:rPr>
                <w:color w:val="FFFFFF"/>
                <w:sz w:val="18"/>
              </w:rPr>
              <w:t>Completion Year*</w:t>
            </w:r>
          </w:p>
        </w:tc>
      </w:tr>
      <w:tr>
        <w:trPr>
          <w:trHeight w:val="309" w:hRule="atLeast"/>
        </w:trPr>
        <w:tc>
          <w:tcPr>
            <w:tcW w:w="4034" w:type="dxa"/>
            <w:tcBorders>
              <w:top w:val="single" w:sz="6" w:space="0" w:color="69BD28"/>
              <w:bottom w:val="single" w:sz="6" w:space="0" w:color="69BD28"/>
            </w:tcBorders>
          </w:tcPr>
          <w:p>
            <w:pPr>
              <w:pStyle w:val="TableParagraph"/>
              <w:spacing w:before="52"/>
              <w:ind w:left="1528" w:right="1320"/>
              <w:rPr>
                <w:sz w:val="18"/>
              </w:rPr>
            </w:pPr>
            <w:r>
              <w:rPr>
                <w:sz w:val="18"/>
              </w:rPr>
              <w:t>Civil Works</w:t>
            </w:r>
          </w:p>
        </w:tc>
        <w:tc>
          <w:tcPr>
            <w:tcW w:w="3598" w:type="dxa"/>
            <w:tcBorders>
              <w:top w:val="single" w:sz="6" w:space="0" w:color="69BD28"/>
              <w:bottom w:val="single" w:sz="6" w:space="0" w:color="69BD28"/>
            </w:tcBorders>
          </w:tcPr>
          <w:p>
            <w:pPr>
              <w:pStyle w:val="TableParagraph"/>
              <w:spacing w:before="52"/>
              <w:ind w:left="1201" w:right="797"/>
              <w:rPr>
                <w:sz w:val="18"/>
              </w:rPr>
            </w:pPr>
            <w:r>
              <w:rPr>
                <w:w w:val="105"/>
                <w:sz w:val="18"/>
              </w:rPr>
              <w:t>6.33</w:t>
            </w:r>
          </w:p>
        </w:tc>
        <w:tc>
          <w:tcPr>
            <w:tcW w:w="2853" w:type="dxa"/>
            <w:tcBorders>
              <w:top w:val="single" w:sz="6" w:space="0" w:color="69BD28"/>
              <w:bottom w:val="single" w:sz="6" w:space="0" w:color="69BD28"/>
            </w:tcBorders>
          </w:tcPr>
          <w:p>
            <w:pPr>
              <w:pStyle w:val="TableParagraph"/>
              <w:spacing w:before="52"/>
              <w:ind w:left="809" w:right="593"/>
              <w:rPr>
                <w:sz w:val="18"/>
              </w:rPr>
            </w:pPr>
            <w:r>
              <w:rPr>
                <w:w w:val="115"/>
                <w:sz w:val="18"/>
              </w:rPr>
              <w:t>NA</w:t>
            </w:r>
          </w:p>
        </w:tc>
      </w:tr>
      <w:tr>
        <w:trPr>
          <w:trHeight w:val="309" w:hRule="atLeast"/>
        </w:trPr>
        <w:tc>
          <w:tcPr>
            <w:tcW w:w="4034" w:type="dxa"/>
            <w:tcBorders>
              <w:top w:val="single" w:sz="6" w:space="0" w:color="69BD28"/>
              <w:bottom w:val="single" w:sz="6" w:space="0" w:color="69BD28"/>
            </w:tcBorders>
          </w:tcPr>
          <w:p>
            <w:pPr>
              <w:pStyle w:val="TableParagraph"/>
              <w:spacing w:before="52"/>
              <w:ind w:right="1230"/>
              <w:jc w:val="right"/>
              <w:rPr>
                <w:sz w:val="18"/>
              </w:rPr>
            </w:pPr>
            <w:r>
              <w:rPr>
                <w:sz w:val="18"/>
              </w:rPr>
              <w:t>Consultancy Fees</w:t>
            </w:r>
          </w:p>
        </w:tc>
        <w:tc>
          <w:tcPr>
            <w:tcW w:w="3598" w:type="dxa"/>
            <w:tcBorders>
              <w:top w:val="single" w:sz="6" w:space="0" w:color="69BD28"/>
              <w:bottom w:val="single" w:sz="6" w:space="0" w:color="69BD28"/>
            </w:tcBorders>
          </w:tcPr>
          <w:p>
            <w:pPr>
              <w:pStyle w:val="TableParagraph"/>
              <w:spacing w:before="52"/>
              <w:ind w:left="1201" w:right="797"/>
              <w:rPr>
                <w:sz w:val="18"/>
              </w:rPr>
            </w:pPr>
            <w:r>
              <w:rPr>
                <w:w w:val="105"/>
                <w:sz w:val="18"/>
              </w:rPr>
              <w:t>4.50</w:t>
            </w:r>
          </w:p>
        </w:tc>
        <w:tc>
          <w:tcPr>
            <w:tcW w:w="2853" w:type="dxa"/>
            <w:tcBorders>
              <w:top w:val="single" w:sz="6" w:space="0" w:color="69BD28"/>
              <w:bottom w:val="single" w:sz="6" w:space="0" w:color="69BD28"/>
            </w:tcBorders>
          </w:tcPr>
          <w:p>
            <w:pPr>
              <w:pStyle w:val="TableParagraph"/>
              <w:spacing w:before="52"/>
              <w:ind w:left="809" w:right="593"/>
              <w:rPr>
                <w:sz w:val="18"/>
              </w:rPr>
            </w:pPr>
            <w:r>
              <w:rPr>
                <w:w w:val="115"/>
                <w:sz w:val="18"/>
              </w:rPr>
              <w:t>NA</w:t>
            </w:r>
          </w:p>
        </w:tc>
      </w:tr>
      <w:tr>
        <w:trPr>
          <w:trHeight w:val="311" w:hRule="atLeast"/>
        </w:trPr>
        <w:tc>
          <w:tcPr>
            <w:tcW w:w="4034" w:type="dxa"/>
            <w:tcBorders>
              <w:top w:val="single" w:sz="6" w:space="0" w:color="69BD28"/>
              <w:bottom w:val="single" w:sz="6" w:space="0" w:color="69BD28"/>
            </w:tcBorders>
          </w:tcPr>
          <w:p>
            <w:pPr>
              <w:pStyle w:val="TableParagraph"/>
              <w:spacing w:before="55"/>
              <w:ind w:left="1528" w:right="1318"/>
              <w:rPr>
                <w:sz w:val="18"/>
              </w:rPr>
            </w:pPr>
            <w:r>
              <w:rPr>
                <w:sz w:val="18"/>
              </w:rPr>
              <w:t>Façade</w:t>
            </w:r>
          </w:p>
        </w:tc>
        <w:tc>
          <w:tcPr>
            <w:tcW w:w="3598" w:type="dxa"/>
            <w:tcBorders>
              <w:top w:val="single" w:sz="6" w:space="0" w:color="69BD28"/>
              <w:bottom w:val="single" w:sz="6" w:space="0" w:color="69BD28"/>
            </w:tcBorders>
          </w:tcPr>
          <w:p>
            <w:pPr>
              <w:pStyle w:val="TableParagraph"/>
              <w:spacing w:before="55"/>
              <w:ind w:left="1201" w:right="797"/>
              <w:rPr>
                <w:sz w:val="18"/>
              </w:rPr>
            </w:pPr>
            <w:r>
              <w:rPr>
                <w:w w:val="105"/>
                <w:sz w:val="18"/>
              </w:rPr>
              <w:t>29.00</w:t>
            </w:r>
          </w:p>
        </w:tc>
        <w:tc>
          <w:tcPr>
            <w:tcW w:w="2853" w:type="dxa"/>
            <w:tcBorders>
              <w:top w:val="single" w:sz="6" w:space="0" w:color="69BD28"/>
              <w:bottom w:val="single" w:sz="6" w:space="0" w:color="69BD28"/>
            </w:tcBorders>
          </w:tcPr>
          <w:p>
            <w:pPr>
              <w:pStyle w:val="TableParagraph"/>
              <w:spacing w:before="55"/>
              <w:ind w:left="809" w:right="593"/>
              <w:rPr>
                <w:sz w:val="18"/>
              </w:rPr>
            </w:pPr>
            <w:r>
              <w:rPr>
                <w:w w:val="115"/>
                <w:sz w:val="18"/>
              </w:rPr>
              <w:t>NA</w:t>
            </w:r>
          </w:p>
        </w:tc>
      </w:tr>
      <w:tr>
        <w:trPr>
          <w:trHeight w:val="309" w:hRule="atLeast"/>
        </w:trPr>
        <w:tc>
          <w:tcPr>
            <w:tcW w:w="4034" w:type="dxa"/>
            <w:tcBorders>
              <w:top w:val="single" w:sz="6" w:space="0" w:color="69BD28"/>
              <w:bottom w:val="single" w:sz="6" w:space="0" w:color="69BD28"/>
            </w:tcBorders>
          </w:tcPr>
          <w:p>
            <w:pPr>
              <w:pStyle w:val="TableParagraph"/>
              <w:spacing w:before="52"/>
              <w:ind w:left="1528" w:right="1321"/>
              <w:rPr>
                <w:sz w:val="18"/>
              </w:rPr>
            </w:pPr>
            <w:r>
              <w:rPr>
                <w:sz w:val="18"/>
              </w:rPr>
              <w:t>Interior Works</w:t>
            </w:r>
          </w:p>
        </w:tc>
        <w:tc>
          <w:tcPr>
            <w:tcW w:w="3598" w:type="dxa"/>
            <w:tcBorders>
              <w:top w:val="single" w:sz="6" w:space="0" w:color="69BD28"/>
              <w:bottom w:val="single" w:sz="6" w:space="0" w:color="69BD28"/>
            </w:tcBorders>
          </w:tcPr>
          <w:p>
            <w:pPr>
              <w:pStyle w:val="TableParagraph"/>
              <w:spacing w:before="52"/>
              <w:ind w:left="1201" w:right="797"/>
              <w:rPr>
                <w:sz w:val="18"/>
              </w:rPr>
            </w:pPr>
            <w:r>
              <w:rPr>
                <w:w w:val="105"/>
                <w:sz w:val="18"/>
              </w:rPr>
              <w:t>9.60</w:t>
            </w:r>
          </w:p>
        </w:tc>
        <w:tc>
          <w:tcPr>
            <w:tcW w:w="2853" w:type="dxa"/>
            <w:tcBorders>
              <w:top w:val="single" w:sz="6" w:space="0" w:color="69BD28"/>
              <w:bottom w:val="single" w:sz="6" w:space="0" w:color="69BD28"/>
            </w:tcBorders>
          </w:tcPr>
          <w:p>
            <w:pPr>
              <w:pStyle w:val="TableParagraph"/>
              <w:spacing w:before="52"/>
              <w:ind w:left="809" w:right="593"/>
              <w:rPr>
                <w:sz w:val="18"/>
              </w:rPr>
            </w:pPr>
            <w:r>
              <w:rPr>
                <w:w w:val="115"/>
                <w:sz w:val="18"/>
              </w:rPr>
              <w:t>NA</w:t>
            </w:r>
          </w:p>
        </w:tc>
      </w:tr>
      <w:tr>
        <w:trPr>
          <w:trHeight w:val="311" w:hRule="atLeast"/>
        </w:trPr>
        <w:tc>
          <w:tcPr>
            <w:tcW w:w="4034" w:type="dxa"/>
            <w:tcBorders>
              <w:top w:val="single" w:sz="6" w:space="0" w:color="69BD28"/>
              <w:bottom w:val="single" w:sz="6" w:space="0" w:color="69BD28"/>
            </w:tcBorders>
          </w:tcPr>
          <w:p>
            <w:pPr>
              <w:pStyle w:val="TableParagraph"/>
              <w:spacing w:before="55"/>
              <w:ind w:left="1528" w:right="1320"/>
              <w:rPr>
                <w:sz w:val="18"/>
              </w:rPr>
            </w:pPr>
            <w:r>
              <w:rPr>
                <w:sz w:val="18"/>
              </w:rPr>
              <w:t>Civil Works</w:t>
            </w:r>
          </w:p>
        </w:tc>
        <w:tc>
          <w:tcPr>
            <w:tcW w:w="3598" w:type="dxa"/>
            <w:tcBorders>
              <w:top w:val="single" w:sz="6" w:space="0" w:color="69BD28"/>
              <w:bottom w:val="single" w:sz="6" w:space="0" w:color="69BD28"/>
            </w:tcBorders>
          </w:tcPr>
          <w:p>
            <w:pPr>
              <w:pStyle w:val="TableParagraph"/>
              <w:spacing w:before="55"/>
              <w:ind w:left="1201" w:right="797"/>
              <w:rPr>
                <w:sz w:val="18"/>
              </w:rPr>
            </w:pPr>
            <w:r>
              <w:rPr>
                <w:w w:val="105"/>
                <w:sz w:val="18"/>
              </w:rPr>
              <w:t>28.00</w:t>
            </w:r>
          </w:p>
        </w:tc>
        <w:tc>
          <w:tcPr>
            <w:tcW w:w="2853" w:type="dxa"/>
            <w:tcBorders>
              <w:top w:val="single" w:sz="6" w:space="0" w:color="69BD28"/>
              <w:bottom w:val="single" w:sz="6" w:space="0" w:color="69BD28"/>
            </w:tcBorders>
          </w:tcPr>
          <w:p>
            <w:pPr>
              <w:pStyle w:val="TableParagraph"/>
              <w:spacing w:before="55"/>
              <w:ind w:left="809" w:right="593"/>
              <w:rPr>
                <w:sz w:val="18"/>
              </w:rPr>
            </w:pPr>
            <w:r>
              <w:rPr>
                <w:w w:val="115"/>
                <w:sz w:val="18"/>
              </w:rPr>
              <w:t>NA</w:t>
            </w:r>
          </w:p>
        </w:tc>
      </w:tr>
      <w:tr>
        <w:trPr>
          <w:trHeight w:val="308" w:hRule="atLeast"/>
        </w:trPr>
        <w:tc>
          <w:tcPr>
            <w:tcW w:w="4034" w:type="dxa"/>
            <w:tcBorders>
              <w:top w:val="single" w:sz="6" w:space="0" w:color="69BD28"/>
              <w:bottom w:val="single" w:sz="6" w:space="0" w:color="69BD28"/>
            </w:tcBorders>
          </w:tcPr>
          <w:p>
            <w:pPr>
              <w:pStyle w:val="TableParagraph"/>
              <w:spacing w:before="52"/>
              <w:ind w:right="1230"/>
              <w:jc w:val="right"/>
              <w:rPr>
                <w:sz w:val="18"/>
              </w:rPr>
            </w:pPr>
            <w:r>
              <w:rPr>
                <w:sz w:val="18"/>
              </w:rPr>
              <w:t>Consultancy Fees</w:t>
            </w:r>
          </w:p>
        </w:tc>
        <w:tc>
          <w:tcPr>
            <w:tcW w:w="3598" w:type="dxa"/>
            <w:tcBorders>
              <w:top w:val="single" w:sz="6" w:space="0" w:color="69BD28"/>
              <w:bottom w:val="single" w:sz="6" w:space="0" w:color="69BD28"/>
            </w:tcBorders>
          </w:tcPr>
          <w:p>
            <w:pPr>
              <w:pStyle w:val="TableParagraph"/>
              <w:spacing w:before="52"/>
              <w:ind w:left="1201" w:right="797"/>
              <w:rPr>
                <w:sz w:val="18"/>
              </w:rPr>
            </w:pPr>
            <w:r>
              <w:rPr>
                <w:w w:val="105"/>
                <w:sz w:val="18"/>
              </w:rPr>
              <w:t>3.25</w:t>
            </w:r>
          </w:p>
        </w:tc>
        <w:tc>
          <w:tcPr>
            <w:tcW w:w="2853" w:type="dxa"/>
            <w:tcBorders>
              <w:top w:val="single" w:sz="6" w:space="0" w:color="69BD28"/>
              <w:bottom w:val="single" w:sz="6" w:space="0" w:color="69BD28"/>
            </w:tcBorders>
          </w:tcPr>
          <w:p>
            <w:pPr>
              <w:pStyle w:val="TableParagraph"/>
              <w:spacing w:before="52"/>
              <w:ind w:left="809" w:right="593"/>
              <w:rPr>
                <w:sz w:val="18"/>
              </w:rPr>
            </w:pPr>
            <w:r>
              <w:rPr>
                <w:w w:val="115"/>
                <w:sz w:val="18"/>
              </w:rPr>
              <w:t>NA</w:t>
            </w:r>
          </w:p>
        </w:tc>
      </w:tr>
      <w:tr>
        <w:trPr>
          <w:trHeight w:val="311" w:hRule="atLeast"/>
        </w:trPr>
        <w:tc>
          <w:tcPr>
            <w:tcW w:w="4034" w:type="dxa"/>
            <w:tcBorders>
              <w:top w:val="single" w:sz="6" w:space="0" w:color="69BD28"/>
              <w:bottom w:val="single" w:sz="6" w:space="0" w:color="69BD28"/>
            </w:tcBorders>
          </w:tcPr>
          <w:p>
            <w:pPr>
              <w:pStyle w:val="TableParagraph"/>
              <w:spacing w:before="55"/>
              <w:ind w:right="1293"/>
              <w:jc w:val="right"/>
              <w:rPr>
                <w:sz w:val="18"/>
              </w:rPr>
            </w:pPr>
            <w:r>
              <w:rPr>
                <w:w w:val="95"/>
                <w:sz w:val="18"/>
              </w:rPr>
              <w:t>Electrical Works</w:t>
            </w:r>
          </w:p>
        </w:tc>
        <w:tc>
          <w:tcPr>
            <w:tcW w:w="3598" w:type="dxa"/>
            <w:tcBorders>
              <w:top w:val="single" w:sz="6" w:space="0" w:color="69BD28"/>
              <w:bottom w:val="single" w:sz="6" w:space="0" w:color="69BD28"/>
            </w:tcBorders>
          </w:tcPr>
          <w:p>
            <w:pPr>
              <w:pStyle w:val="TableParagraph"/>
              <w:spacing w:before="55"/>
              <w:ind w:left="1201" w:right="797"/>
              <w:rPr>
                <w:sz w:val="18"/>
              </w:rPr>
            </w:pPr>
            <w:r>
              <w:rPr>
                <w:w w:val="105"/>
                <w:sz w:val="18"/>
              </w:rPr>
              <w:t>4.14</w:t>
            </w:r>
          </w:p>
        </w:tc>
        <w:tc>
          <w:tcPr>
            <w:tcW w:w="2853" w:type="dxa"/>
            <w:tcBorders>
              <w:top w:val="single" w:sz="6" w:space="0" w:color="69BD28"/>
              <w:bottom w:val="single" w:sz="6" w:space="0" w:color="69BD28"/>
            </w:tcBorders>
          </w:tcPr>
          <w:p>
            <w:pPr>
              <w:pStyle w:val="TableParagraph"/>
              <w:spacing w:before="55"/>
              <w:ind w:left="809" w:right="593"/>
              <w:rPr>
                <w:sz w:val="18"/>
              </w:rPr>
            </w:pPr>
            <w:r>
              <w:rPr>
                <w:w w:val="115"/>
                <w:sz w:val="18"/>
              </w:rPr>
              <w:t>NA</w:t>
            </w:r>
          </w:p>
        </w:tc>
      </w:tr>
      <w:tr>
        <w:trPr>
          <w:trHeight w:val="309" w:hRule="atLeast"/>
        </w:trPr>
        <w:tc>
          <w:tcPr>
            <w:tcW w:w="4034" w:type="dxa"/>
            <w:tcBorders>
              <w:top w:val="single" w:sz="6" w:space="0" w:color="69BD28"/>
              <w:bottom w:val="single" w:sz="6" w:space="0" w:color="69BD28"/>
            </w:tcBorders>
          </w:tcPr>
          <w:p>
            <w:pPr>
              <w:pStyle w:val="TableParagraph"/>
              <w:spacing w:before="52"/>
              <w:ind w:left="1528" w:right="1318"/>
              <w:rPr>
                <w:sz w:val="18"/>
              </w:rPr>
            </w:pPr>
            <w:r>
              <w:rPr>
                <w:sz w:val="18"/>
              </w:rPr>
              <w:t>Façade</w:t>
            </w:r>
          </w:p>
        </w:tc>
        <w:tc>
          <w:tcPr>
            <w:tcW w:w="3598" w:type="dxa"/>
            <w:tcBorders>
              <w:top w:val="single" w:sz="6" w:space="0" w:color="69BD28"/>
              <w:bottom w:val="single" w:sz="6" w:space="0" w:color="69BD28"/>
            </w:tcBorders>
          </w:tcPr>
          <w:p>
            <w:pPr>
              <w:pStyle w:val="TableParagraph"/>
              <w:spacing w:before="52"/>
              <w:ind w:left="1201" w:right="797"/>
              <w:rPr>
                <w:sz w:val="18"/>
              </w:rPr>
            </w:pPr>
            <w:r>
              <w:rPr>
                <w:w w:val="105"/>
                <w:sz w:val="18"/>
              </w:rPr>
              <w:t>39.80</w:t>
            </w:r>
          </w:p>
        </w:tc>
        <w:tc>
          <w:tcPr>
            <w:tcW w:w="2853" w:type="dxa"/>
            <w:tcBorders>
              <w:top w:val="single" w:sz="6" w:space="0" w:color="69BD28"/>
              <w:bottom w:val="single" w:sz="6" w:space="0" w:color="69BD28"/>
            </w:tcBorders>
          </w:tcPr>
          <w:p>
            <w:pPr>
              <w:pStyle w:val="TableParagraph"/>
              <w:spacing w:before="52"/>
              <w:ind w:left="809" w:right="593"/>
              <w:rPr>
                <w:sz w:val="18"/>
              </w:rPr>
            </w:pPr>
            <w:r>
              <w:rPr>
                <w:w w:val="115"/>
                <w:sz w:val="18"/>
              </w:rPr>
              <w:t>NA</w:t>
            </w:r>
          </w:p>
        </w:tc>
      </w:tr>
      <w:tr>
        <w:trPr>
          <w:trHeight w:val="311" w:hRule="atLeast"/>
        </w:trPr>
        <w:tc>
          <w:tcPr>
            <w:tcW w:w="4034" w:type="dxa"/>
            <w:tcBorders>
              <w:top w:val="single" w:sz="6" w:space="0" w:color="69BD28"/>
              <w:bottom w:val="single" w:sz="6" w:space="0" w:color="69BD28"/>
            </w:tcBorders>
          </w:tcPr>
          <w:p>
            <w:pPr>
              <w:pStyle w:val="TableParagraph"/>
              <w:spacing w:before="55"/>
              <w:ind w:left="1528" w:right="1320"/>
              <w:rPr>
                <w:sz w:val="18"/>
              </w:rPr>
            </w:pPr>
            <w:r>
              <w:rPr>
                <w:sz w:val="18"/>
              </w:rPr>
              <w:t>Interior Works</w:t>
            </w:r>
          </w:p>
        </w:tc>
        <w:tc>
          <w:tcPr>
            <w:tcW w:w="3598" w:type="dxa"/>
            <w:tcBorders>
              <w:top w:val="single" w:sz="6" w:space="0" w:color="69BD28"/>
              <w:bottom w:val="single" w:sz="6" w:space="0" w:color="69BD28"/>
            </w:tcBorders>
          </w:tcPr>
          <w:p>
            <w:pPr>
              <w:pStyle w:val="TableParagraph"/>
              <w:spacing w:before="55"/>
              <w:ind w:left="1201" w:right="797"/>
              <w:rPr>
                <w:sz w:val="18"/>
              </w:rPr>
            </w:pPr>
            <w:r>
              <w:rPr>
                <w:w w:val="105"/>
                <w:sz w:val="18"/>
              </w:rPr>
              <w:t>12.50</w:t>
            </w:r>
          </w:p>
        </w:tc>
        <w:tc>
          <w:tcPr>
            <w:tcW w:w="2853" w:type="dxa"/>
            <w:tcBorders>
              <w:top w:val="single" w:sz="6" w:space="0" w:color="69BD28"/>
              <w:bottom w:val="single" w:sz="6" w:space="0" w:color="69BD28"/>
            </w:tcBorders>
          </w:tcPr>
          <w:p>
            <w:pPr>
              <w:pStyle w:val="TableParagraph"/>
              <w:spacing w:before="55"/>
              <w:ind w:left="809" w:right="593"/>
              <w:rPr>
                <w:sz w:val="18"/>
              </w:rPr>
            </w:pPr>
            <w:r>
              <w:rPr>
                <w:w w:val="115"/>
                <w:sz w:val="18"/>
              </w:rPr>
              <w:t>NA</w:t>
            </w:r>
          </w:p>
        </w:tc>
      </w:tr>
      <w:tr>
        <w:trPr>
          <w:trHeight w:val="308" w:hRule="atLeast"/>
        </w:trPr>
        <w:tc>
          <w:tcPr>
            <w:tcW w:w="4034" w:type="dxa"/>
            <w:tcBorders>
              <w:top w:val="single" w:sz="6" w:space="0" w:color="69BD28"/>
              <w:bottom w:val="single" w:sz="6" w:space="0" w:color="69BD28"/>
            </w:tcBorders>
          </w:tcPr>
          <w:p>
            <w:pPr>
              <w:pStyle w:val="TableParagraph"/>
              <w:spacing w:before="52"/>
              <w:ind w:left="1528" w:right="1320"/>
              <w:rPr>
                <w:sz w:val="18"/>
              </w:rPr>
            </w:pPr>
            <w:r>
              <w:rPr>
                <w:sz w:val="18"/>
              </w:rPr>
              <w:t>Civil Works</w:t>
            </w:r>
          </w:p>
        </w:tc>
        <w:tc>
          <w:tcPr>
            <w:tcW w:w="3598" w:type="dxa"/>
            <w:tcBorders>
              <w:top w:val="single" w:sz="6" w:space="0" w:color="69BD28"/>
              <w:bottom w:val="single" w:sz="6" w:space="0" w:color="69BD28"/>
            </w:tcBorders>
          </w:tcPr>
          <w:p>
            <w:pPr>
              <w:pStyle w:val="TableParagraph"/>
              <w:spacing w:before="52"/>
              <w:ind w:left="1201" w:right="797"/>
              <w:rPr>
                <w:sz w:val="18"/>
              </w:rPr>
            </w:pPr>
            <w:r>
              <w:rPr>
                <w:w w:val="105"/>
                <w:sz w:val="18"/>
              </w:rPr>
              <w:t>19.91</w:t>
            </w:r>
          </w:p>
        </w:tc>
        <w:tc>
          <w:tcPr>
            <w:tcW w:w="2853" w:type="dxa"/>
            <w:tcBorders>
              <w:top w:val="single" w:sz="6" w:space="0" w:color="69BD28"/>
              <w:bottom w:val="single" w:sz="6" w:space="0" w:color="69BD28"/>
            </w:tcBorders>
          </w:tcPr>
          <w:p>
            <w:pPr>
              <w:pStyle w:val="TableParagraph"/>
              <w:spacing w:before="52"/>
              <w:ind w:left="809" w:right="593"/>
              <w:rPr>
                <w:sz w:val="18"/>
              </w:rPr>
            </w:pPr>
            <w:r>
              <w:rPr>
                <w:w w:val="115"/>
                <w:sz w:val="18"/>
              </w:rPr>
              <w:t>NA</w:t>
            </w:r>
          </w:p>
        </w:tc>
      </w:tr>
      <w:tr>
        <w:trPr>
          <w:trHeight w:val="311" w:hRule="atLeast"/>
        </w:trPr>
        <w:tc>
          <w:tcPr>
            <w:tcW w:w="4034" w:type="dxa"/>
            <w:tcBorders>
              <w:top w:val="single" w:sz="6" w:space="0" w:color="69BD28"/>
              <w:bottom w:val="single" w:sz="6" w:space="0" w:color="69BD28"/>
            </w:tcBorders>
          </w:tcPr>
          <w:p>
            <w:pPr>
              <w:pStyle w:val="TableParagraph"/>
              <w:spacing w:before="55"/>
              <w:ind w:right="1230"/>
              <w:jc w:val="right"/>
              <w:rPr>
                <w:sz w:val="18"/>
              </w:rPr>
            </w:pPr>
            <w:r>
              <w:rPr>
                <w:sz w:val="18"/>
              </w:rPr>
              <w:t>Consultancy Fees</w:t>
            </w:r>
          </w:p>
        </w:tc>
        <w:tc>
          <w:tcPr>
            <w:tcW w:w="3598" w:type="dxa"/>
            <w:tcBorders>
              <w:top w:val="single" w:sz="6" w:space="0" w:color="69BD28"/>
              <w:bottom w:val="single" w:sz="6" w:space="0" w:color="69BD28"/>
            </w:tcBorders>
          </w:tcPr>
          <w:p>
            <w:pPr>
              <w:pStyle w:val="TableParagraph"/>
              <w:spacing w:before="55"/>
              <w:ind w:left="1201" w:right="797"/>
              <w:rPr>
                <w:sz w:val="18"/>
              </w:rPr>
            </w:pPr>
            <w:r>
              <w:rPr>
                <w:w w:val="105"/>
                <w:sz w:val="18"/>
              </w:rPr>
              <w:t>2.60</w:t>
            </w:r>
          </w:p>
        </w:tc>
        <w:tc>
          <w:tcPr>
            <w:tcW w:w="2853" w:type="dxa"/>
            <w:tcBorders>
              <w:top w:val="single" w:sz="6" w:space="0" w:color="69BD28"/>
              <w:bottom w:val="single" w:sz="6" w:space="0" w:color="69BD28"/>
            </w:tcBorders>
          </w:tcPr>
          <w:p>
            <w:pPr>
              <w:pStyle w:val="TableParagraph"/>
              <w:spacing w:before="55"/>
              <w:ind w:left="809" w:right="593"/>
              <w:rPr>
                <w:sz w:val="18"/>
              </w:rPr>
            </w:pPr>
            <w:r>
              <w:rPr>
                <w:w w:val="115"/>
                <w:sz w:val="18"/>
              </w:rPr>
              <w:t>NA</w:t>
            </w:r>
          </w:p>
        </w:tc>
      </w:tr>
      <w:tr>
        <w:trPr>
          <w:trHeight w:val="320" w:hRule="atLeast"/>
        </w:trPr>
        <w:tc>
          <w:tcPr>
            <w:tcW w:w="4034" w:type="dxa"/>
            <w:tcBorders>
              <w:top w:val="single" w:sz="6" w:space="0" w:color="69BD28"/>
              <w:bottom w:val="single" w:sz="6" w:space="0" w:color="69BD28"/>
            </w:tcBorders>
          </w:tcPr>
          <w:p>
            <w:pPr>
              <w:pStyle w:val="TableParagraph"/>
              <w:spacing w:before="60"/>
              <w:ind w:left="1528" w:right="1318"/>
              <w:rPr>
                <w:sz w:val="18"/>
              </w:rPr>
            </w:pPr>
            <w:r>
              <w:rPr>
                <w:sz w:val="18"/>
              </w:rPr>
              <w:t>Façade</w:t>
            </w:r>
          </w:p>
        </w:tc>
        <w:tc>
          <w:tcPr>
            <w:tcW w:w="3598" w:type="dxa"/>
            <w:tcBorders>
              <w:top w:val="single" w:sz="6" w:space="0" w:color="69BD28"/>
              <w:bottom w:val="single" w:sz="6" w:space="0" w:color="69BD28"/>
            </w:tcBorders>
          </w:tcPr>
          <w:p>
            <w:pPr>
              <w:pStyle w:val="TableParagraph"/>
              <w:spacing w:before="60"/>
              <w:ind w:left="1201" w:right="797"/>
              <w:rPr>
                <w:sz w:val="18"/>
              </w:rPr>
            </w:pPr>
            <w:r>
              <w:rPr>
                <w:w w:val="105"/>
                <w:sz w:val="18"/>
              </w:rPr>
              <w:t>21.90</w:t>
            </w:r>
          </w:p>
        </w:tc>
        <w:tc>
          <w:tcPr>
            <w:tcW w:w="2853" w:type="dxa"/>
            <w:tcBorders>
              <w:top w:val="single" w:sz="6" w:space="0" w:color="69BD28"/>
              <w:bottom w:val="single" w:sz="6" w:space="0" w:color="69BD28"/>
            </w:tcBorders>
          </w:tcPr>
          <w:p>
            <w:pPr>
              <w:pStyle w:val="TableParagraph"/>
              <w:spacing w:before="52"/>
              <w:ind w:left="809" w:right="593"/>
              <w:rPr>
                <w:sz w:val="18"/>
              </w:rPr>
            </w:pPr>
            <w:r>
              <w:rPr>
                <w:w w:val="115"/>
                <w:sz w:val="18"/>
              </w:rPr>
              <w:t>NA</w:t>
            </w:r>
          </w:p>
        </w:tc>
      </w:tr>
      <w:tr>
        <w:trPr>
          <w:trHeight w:val="323" w:hRule="atLeast"/>
        </w:trPr>
        <w:tc>
          <w:tcPr>
            <w:tcW w:w="4034" w:type="dxa"/>
            <w:tcBorders>
              <w:top w:val="single" w:sz="6" w:space="0" w:color="69BD28"/>
              <w:bottom w:val="single" w:sz="6" w:space="0" w:color="69BD28"/>
            </w:tcBorders>
          </w:tcPr>
          <w:p>
            <w:pPr>
              <w:pStyle w:val="TableParagraph"/>
              <w:spacing w:before="60"/>
              <w:ind w:left="1528" w:right="1321"/>
              <w:rPr>
                <w:sz w:val="18"/>
              </w:rPr>
            </w:pPr>
            <w:r>
              <w:rPr>
                <w:sz w:val="18"/>
              </w:rPr>
              <w:t>Interior Works</w:t>
            </w:r>
          </w:p>
        </w:tc>
        <w:tc>
          <w:tcPr>
            <w:tcW w:w="3598" w:type="dxa"/>
            <w:tcBorders>
              <w:top w:val="single" w:sz="6" w:space="0" w:color="69BD28"/>
              <w:bottom w:val="single" w:sz="6" w:space="0" w:color="69BD28"/>
            </w:tcBorders>
          </w:tcPr>
          <w:p>
            <w:pPr>
              <w:pStyle w:val="TableParagraph"/>
              <w:spacing w:before="60"/>
              <w:ind w:left="1201" w:right="797"/>
              <w:rPr>
                <w:sz w:val="18"/>
              </w:rPr>
            </w:pPr>
            <w:r>
              <w:rPr>
                <w:w w:val="105"/>
                <w:sz w:val="18"/>
              </w:rPr>
              <w:t>9.20</w:t>
            </w:r>
          </w:p>
        </w:tc>
        <w:tc>
          <w:tcPr>
            <w:tcW w:w="2853" w:type="dxa"/>
            <w:tcBorders>
              <w:top w:val="single" w:sz="6" w:space="0" w:color="69BD28"/>
              <w:bottom w:val="single" w:sz="6" w:space="0" w:color="69BD28"/>
            </w:tcBorders>
          </w:tcPr>
          <w:p>
            <w:pPr>
              <w:pStyle w:val="TableParagraph"/>
              <w:spacing w:before="52"/>
              <w:ind w:left="809" w:right="593"/>
              <w:rPr>
                <w:sz w:val="18"/>
              </w:rPr>
            </w:pPr>
            <w:r>
              <w:rPr>
                <w:w w:val="115"/>
                <w:sz w:val="18"/>
              </w:rPr>
              <w:t>NA</w:t>
            </w:r>
          </w:p>
        </w:tc>
      </w:tr>
    </w:tbl>
    <w:p>
      <w:pPr>
        <w:spacing w:before="4"/>
        <w:ind w:left="120" w:right="0" w:firstLine="0"/>
        <w:jc w:val="left"/>
        <w:rPr>
          <w:i/>
          <w:sz w:val="16"/>
        </w:rPr>
      </w:pPr>
      <w:r>
        <w:rPr>
          <w:i/>
          <w:w w:val="105"/>
          <w:sz w:val="16"/>
        </w:rPr>
        <w:t>Source – Information provided by the Client *Completed over 2 – 3 years</w:t>
      </w:r>
    </w:p>
    <w:p>
      <w:pPr>
        <w:pStyle w:val="BodyText"/>
        <w:spacing w:before="11"/>
        <w:rPr>
          <w:i/>
          <w:sz w:val="15"/>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81" w:id="161"/>
      <w:bookmarkEnd w:id="161"/>
      <w:r>
        <w:rPr/>
      </w:r>
      <w:bookmarkStart w:name="_bookmark81" w:id="162"/>
      <w:bookmarkEnd w:id="162"/>
      <w:r>
        <w:rPr>
          <w:color w:val="1F664D"/>
          <w:sz w:val="22"/>
        </w:rPr>
        <w:t>Pro</w:t>
      </w:r>
      <w:r>
        <w:rPr>
          <w:color w:val="1F664D"/>
          <w:sz w:val="22"/>
        </w:rPr>
        <w:t>perty Photographs</w:t>
      </w:r>
    </w:p>
    <w:p>
      <w:pPr>
        <w:pStyle w:val="BodyText"/>
        <w:spacing w:before="208"/>
        <w:ind w:left="667"/>
      </w:pPr>
      <w:r>
        <w:rPr/>
        <w:t>Please refer to the property photographs highlighted below:</w:t>
      </w:r>
    </w:p>
    <w:p>
      <w:pPr>
        <w:pStyle w:val="BodyText"/>
        <w:spacing w:before="3"/>
        <w:rPr>
          <w:sz w:val="24"/>
        </w:rPr>
      </w:pPr>
      <w:r>
        <w:rPr/>
        <w:pict>
          <v:group style="position:absolute;margin-left:108.860001pt;margin-top:16.04915pt;width:389.65pt;height:15.15pt;mso-position-horizontal-relative:page;mso-position-vertical-relative:paragraph;z-index:-15495168;mso-wrap-distance-left:0;mso-wrap-distance-right:0" coordorigin="2177,321" coordsize="7793,303">
            <v:rect style="position:absolute;left:2177;top:332;width:7793;height:291" filled="true" fillcolor="#006a4d" stroked="false">
              <v:fill type="solid"/>
            </v:rect>
            <v:rect style="position:absolute;left:2179;top:320;width:7790;height:10" filled="true" fillcolor="#000000" stroked="false">
              <v:fill type="solid"/>
            </v:rect>
            <v:shape style="position:absolute;left:2177;top:330;width:7793;height:294" type="#_x0000_t202" filled="false" stroked="false">
              <v:textbox inset="0,0,0,0">
                <w:txbxContent>
                  <w:p>
                    <w:pPr>
                      <w:spacing w:before="30"/>
                      <w:ind w:left="1917" w:right="1918" w:firstLine="0"/>
                      <w:jc w:val="center"/>
                      <w:rPr>
                        <w:sz w:val="20"/>
                      </w:rPr>
                    </w:pPr>
                    <w:r>
                      <w:rPr>
                        <w:color w:val="FFFFFF"/>
                        <w:sz w:val="20"/>
                      </w:rPr>
                      <w:t>Express Towers</w:t>
                    </w:r>
                  </w:p>
                </w:txbxContent>
              </v:textbox>
              <w10:wrap type="none"/>
            </v:shape>
            <w10:wrap type="topAndBottom"/>
          </v:group>
        </w:pict>
      </w:r>
      <w:r>
        <w:rPr/>
        <w:pict>
          <v:group style="position:absolute;margin-left:111.699997pt;margin-top:39.759159pt;width:186.1pt;height:130.65pt;mso-position-horizontal-relative:page;mso-position-vertical-relative:paragraph;z-index:-15494656;mso-wrap-distance-left:0;mso-wrap-distance-right:0" coordorigin="2234,795" coordsize="3722,2613">
            <v:rect style="position:absolute;left:2239;top:800;width:3712;height:2603" filled="false" stroked="true" strokeweight=".5pt" strokecolor="#000000">
              <v:stroke dashstyle="solid"/>
            </v:rect>
            <v:shape style="position:absolute;left:2388;top:877;width:3372;height:2450" type="#_x0000_t75" stroked="false">
              <v:imagedata r:id="rId97" o:title=""/>
            </v:shape>
            <w10:wrap type="topAndBottom"/>
          </v:group>
        </w:pict>
      </w:r>
      <w:r>
        <w:rPr/>
        <w:pict>
          <v:group style="position:absolute;margin-left:310.200012pt;margin-top:39.679161pt;width:186.1pt;height:130.65pt;mso-position-horizontal-relative:page;mso-position-vertical-relative:paragraph;z-index:-15494144;mso-wrap-distance-left:0;mso-wrap-distance-right:0" coordorigin="6204,794" coordsize="3722,2613">
            <v:rect style="position:absolute;left:6209;top:798;width:3712;height:2603" filled="false" stroked="true" strokeweight=".5pt" strokecolor="#000000">
              <v:stroke dashstyle="solid"/>
            </v:rect>
            <v:shape style="position:absolute;left:6358;top:875;width:3379;height:2450" type="#_x0000_t75" stroked="false">
              <v:imagedata r:id="rId98" o:title=""/>
            </v:shape>
            <w10:wrap type="topAndBottom"/>
          </v:group>
        </w:pict>
      </w:r>
    </w:p>
    <w:p>
      <w:pPr>
        <w:pStyle w:val="BodyText"/>
        <w:spacing w:before="8"/>
        <w:rPr>
          <w:sz w:val="8"/>
        </w:rPr>
      </w:pPr>
    </w:p>
    <w:p>
      <w:pPr>
        <w:pStyle w:val="BodyText"/>
        <w:spacing w:before="3"/>
        <w:rPr>
          <w:sz w:val="9"/>
        </w:rPr>
      </w:pPr>
    </w:p>
    <w:p>
      <w:pPr>
        <w:tabs>
          <w:tab w:pos="6699" w:val="left" w:leader="none"/>
        </w:tabs>
        <w:spacing w:before="104"/>
        <w:ind w:left="1901" w:right="0" w:firstLine="0"/>
        <w:jc w:val="left"/>
        <w:rPr>
          <w:sz w:val="18"/>
        </w:rPr>
      </w:pPr>
      <w:r>
        <w:rPr>
          <w:sz w:val="18"/>
        </w:rPr>
        <w:t>External</w:t>
      </w:r>
      <w:r>
        <w:rPr>
          <w:spacing w:val="-35"/>
          <w:sz w:val="18"/>
        </w:rPr>
        <w:t> </w:t>
      </w:r>
      <w:r>
        <w:rPr>
          <w:sz w:val="18"/>
        </w:rPr>
        <w:t>view</w:t>
      </w:r>
      <w:r>
        <w:rPr>
          <w:spacing w:val="-35"/>
          <w:sz w:val="18"/>
        </w:rPr>
        <w:t> </w:t>
      </w:r>
      <w:r>
        <w:rPr>
          <w:sz w:val="18"/>
        </w:rPr>
        <w:t>of</w:t>
      </w:r>
      <w:r>
        <w:rPr>
          <w:spacing w:val="-35"/>
          <w:sz w:val="18"/>
        </w:rPr>
        <w:t> </w:t>
      </w:r>
      <w:r>
        <w:rPr>
          <w:sz w:val="18"/>
        </w:rPr>
        <w:t>the</w:t>
      </w:r>
      <w:r>
        <w:rPr>
          <w:spacing w:val="-34"/>
          <w:sz w:val="18"/>
        </w:rPr>
        <w:t> </w:t>
      </w:r>
      <w:r>
        <w:rPr>
          <w:sz w:val="18"/>
        </w:rPr>
        <w:t>subject</w:t>
      </w:r>
      <w:r>
        <w:rPr>
          <w:spacing w:val="-36"/>
          <w:sz w:val="18"/>
        </w:rPr>
        <w:t> </w:t>
      </w:r>
      <w:r>
        <w:rPr>
          <w:sz w:val="18"/>
        </w:rPr>
        <w:t>property</w:t>
      </w:r>
      <w:r>
        <w:rPr>
          <w:spacing w:val="-35"/>
          <w:sz w:val="18"/>
        </w:rPr>
        <w:t> </w:t>
      </w:r>
      <w:r>
        <w:rPr>
          <w:sz w:val="18"/>
        </w:rPr>
        <w:t>(SP)</w:t>
        <w:tab/>
        <w:t>View of the</w:t>
      </w:r>
      <w:r>
        <w:rPr>
          <w:spacing w:val="-8"/>
          <w:sz w:val="18"/>
        </w:rPr>
        <w:t> </w:t>
      </w:r>
      <w:r>
        <w:rPr>
          <w:sz w:val="18"/>
        </w:rPr>
        <w:t>lobby</w:t>
      </w:r>
    </w:p>
    <w:p>
      <w:pPr>
        <w:pStyle w:val="BodyText"/>
        <w:spacing w:before="3"/>
        <w:rPr>
          <w:sz w:val="13"/>
        </w:rPr>
      </w:pPr>
      <w:r>
        <w:rPr/>
        <w:pict>
          <v:group style="position:absolute;margin-left:112.449997pt;margin-top:9.664707pt;width:186.1pt;height:130.65pt;mso-position-horizontal-relative:page;mso-position-vertical-relative:paragraph;z-index:-15493632;mso-wrap-distance-left:0;mso-wrap-distance-right:0" coordorigin="2249,193" coordsize="3722,2613">
            <v:rect style="position:absolute;left:2254;top:198;width:3712;height:2603" filled="false" stroked="true" strokeweight=".5pt" strokecolor="#000000">
              <v:stroke dashstyle="solid"/>
            </v:rect>
            <v:shape style="position:absolute;left:2403;top:275;width:3379;height:2448" type="#_x0000_t75" stroked="false">
              <v:imagedata r:id="rId99" o:title=""/>
            </v:shape>
            <w10:wrap type="topAndBottom"/>
          </v:group>
        </w:pict>
      </w:r>
      <w:r>
        <w:rPr/>
        <w:pict>
          <v:group style="position:absolute;margin-left:310.399994pt;margin-top:9.664707pt;width:186.1pt;height:130.65pt;mso-position-horizontal-relative:page;mso-position-vertical-relative:paragraph;z-index:-15493120;mso-wrap-distance-left:0;mso-wrap-distance-right:0" coordorigin="6208,193" coordsize="3722,2613">
            <v:rect style="position:absolute;left:6213;top:198;width:3712;height:2603" filled="false" stroked="true" strokeweight=".5pt" strokecolor="#000000">
              <v:stroke dashstyle="solid"/>
            </v:rect>
            <v:shape style="position:absolute;left:6362;top:275;width:3379;height:2448" type="#_x0000_t75" stroked="false">
              <v:imagedata r:id="rId100" o:title=""/>
            </v:shape>
            <w10:wrap type="topAndBottom"/>
          </v:group>
        </w:pict>
      </w:r>
    </w:p>
    <w:p>
      <w:pPr>
        <w:tabs>
          <w:tab w:pos="4035" w:val="left" w:leader="none"/>
        </w:tabs>
        <w:spacing w:before="2"/>
        <w:ind w:left="475" w:right="0" w:firstLine="0"/>
        <w:jc w:val="center"/>
        <w:rPr>
          <w:sz w:val="18"/>
        </w:rPr>
      </w:pPr>
      <w:r>
        <w:rPr>
          <w:sz w:val="18"/>
        </w:rPr>
        <w:t>View of primary</w:t>
      </w:r>
      <w:r>
        <w:rPr>
          <w:spacing w:val="-37"/>
          <w:sz w:val="18"/>
        </w:rPr>
        <w:t> </w:t>
      </w:r>
      <w:r>
        <w:rPr>
          <w:sz w:val="18"/>
        </w:rPr>
        <w:t>access</w:t>
      </w:r>
      <w:r>
        <w:rPr>
          <w:spacing w:val="-12"/>
          <w:sz w:val="18"/>
        </w:rPr>
        <w:t> </w:t>
      </w:r>
      <w:r>
        <w:rPr>
          <w:sz w:val="18"/>
        </w:rPr>
        <w:t>road</w:t>
        <w:tab/>
        <w:t>Internal view of a specific vacant</w:t>
      </w:r>
      <w:r>
        <w:rPr>
          <w:spacing w:val="-40"/>
          <w:sz w:val="18"/>
        </w:rPr>
        <w:t> </w:t>
      </w:r>
      <w:r>
        <w:rPr>
          <w:sz w:val="18"/>
        </w:rPr>
        <w:t>unit</w:t>
      </w:r>
    </w:p>
    <w:p>
      <w:pPr>
        <w:tabs>
          <w:tab w:pos="5113" w:val="left" w:leader="none"/>
          <w:tab w:pos="8030" w:val="left" w:leader="none"/>
        </w:tabs>
        <w:spacing w:before="72"/>
        <w:ind w:left="225" w:right="0" w:firstLine="0"/>
        <w:jc w:val="center"/>
        <w:rPr>
          <w:sz w:val="18"/>
        </w:rPr>
      </w:pPr>
      <w:r>
        <w:rPr>
          <w:w w:val="97"/>
          <w:sz w:val="18"/>
          <w:u w:val="single" w:color="92D050"/>
        </w:rPr>
        <w:t> </w:t>
      </w:r>
      <w:r>
        <w:rPr>
          <w:sz w:val="18"/>
          <w:u w:val="single" w:color="92D050"/>
        </w:rPr>
        <w:tab/>
      </w:r>
      <w:r>
        <w:rPr>
          <w:w w:val="95"/>
          <w:sz w:val="18"/>
          <w:u w:val="single" w:color="92D050"/>
        </w:rPr>
        <w:t>in Subject Development</w:t>
      </w:r>
      <w:r>
        <w:rPr>
          <w:sz w:val="18"/>
          <w:u w:val="single" w:color="92D050"/>
        </w:rPr>
        <w:tab/>
      </w:r>
    </w:p>
    <w:p>
      <w:pPr>
        <w:spacing w:after="0"/>
        <w:jc w:val="center"/>
        <w:rPr>
          <w:sz w:val="18"/>
        </w:rPr>
        <w:sectPr>
          <w:pgSz w:w="11910" w:h="16840"/>
          <w:pgMar w:header="720" w:footer="943" w:top="1660" w:bottom="1140" w:left="600" w:right="600"/>
        </w:sectPr>
      </w:pPr>
    </w:p>
    <w:p>
      <w:pPr>
        <w:pStyle w:val="BodyText"/>
        <w:spacing w:before="7"/>
        <w:rPr>
          <w:sz w:val="9"/>
        </w:rPr>
      </w:pPr>
    </w:p>
    <w:p>
      <w:pPr>
        <w:pStyle w:val="ListParagraph"/>
        <w:numPr>
          <w:ilvl w:val="1"/>
          <w:numId w:val="14"/>
        </w:numPr>
        <w:tabs>
          <w:tab w:pos="763" w:val="left" w:leader="none"/>
          <w:tab w:pos="764" w:val="left" w:leader="none"/>
        </w:tabs>
        <w:spacing w:line="240" w:lineRule="auto" w:before="106" w:after="0"/>
        <w:ind w:left="763" w:right="0" w:hanging="644"/>
        <w:jc w:val="left"/>
        <w:rPr>
          <w:color w:val="1F6647"/>
          <w:sz w:val="22"/>
        </w:rPr>
      </w:pPr>
      <w:bookmarkStart w:name="_bookmark82" w:id="163"/>
      <w:bookmarkEnd w:id="163"/>
      <w:r>
        <w:rPr>
          <w:color w:val="1F6647"/>
          <w:sz w:val="22"/>
        </w:rPr>
        <w:t>Ten</w:t>
      </w:r>
      <w:r>
        <w:rPr>
          <w:color w:val="1F6647"/>
          <w:sz w:val="22"/>
        </w:rPr>
        <w:t>ancy Analysis</w:t>
      </w:r>
    </w:p>
    <w:p>
      <w:pPr>
        <w:pStyle w:val="ListParagraph"/>
        <w:numPr>
          <w:ilvl w:val="2"/>
          <w:numId w:val="14"/>
        </w:numPr>
        <w:tabs>
          <w:tab w:pos="841" w:val="left" w:leader="none"/>
        </w:tabs>
        <w:spacing w:line="240" w:lineRule="auto" w:before="208" w:after="0"/>
        <w:ind w:left="840" w:right="0" w:hanging="721"/>
        <w:jc w:val="left"/>
        <w:rPr>
          <w:sz w:val="22"/>
        </w:rPr>
      </w:pPr>
      <w:bookmarkStart w:name="_bookmark83" w:id="164"/>
      <w:bookmarkEnd w:id="164"/>
      <w:r>
        <w:rPr/>
      </w:r>
      <w:bookmarkStart w:name="_bookmark83" w:id="165"/>
      <w:bookmarkEnd w:id="165"/>
      <w:r>
        <w:rPr>
          <w:color w:val="1F664D"/>
          <w:sz w:val="22"/>
        </w:rPr>
        <w:t>Histori</w:t>
      </w:r>
      <w:r>
        <w:rPr>
          <w:color w:val="1F664D"/>
          <w:sz w:val="22"/>
        </w:rPr>
        <w:t>cal Committed Occupancy</w:t>
      </w:r>
      <w:r>
        <w:rPr>
          <w:color w:val="1F664D"/>
          <w:spacing w:val="1"/>
          <w:sz w:val="22"/>
        </w:rPr>
        <w:t> </w:t>
      </w:r>
      <w:r>
        <w:rPr>
          <w:color w:val="1F664D"/>
          <w:sz w:val="22"/>
        </w:rPr>
        <w:t>Rates</w:t>
      </w:r>
    </w:p>
    <w:p>
      <w:pPr>
        <w:pStyle w:val="BodyText"/>
        <w:spacing w:before="208"/>
        <w:ind w:left="660"/>
      </w:pPr>
      <w:r>
        <w:rPr/>
        <w:t>The table below highlights the historical occupancy rates at the subject city centre office:</w:t>
      </w:r>
    </w:p>
    <w:p>
      <w:pPr>
        <w:pStyle w:val="BodyText"/>
        <w:spacing w:before="2" w:after="1"/>
        <w:rPr>
          <w:sz w:val="28"/>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6"/>
        <w:gridCol w:w="2619"/>
        <w:gridCol w:w="2617"/>
        <w:gridCol w:w="2614"/>
      </w:tblGrid>
      <w:tr>
        <w:trPr>
          <w:trHeight w:val="366" w:hRule="atLeast"/>
        </w:trPr>
        <w:tc>
          <w:tcPr>
            <w:tcW w:w="2636" w:type="dxa"/>
            <w:tcBorders>
              <w:top w:val="single" w:sz="6" w:space="0" w:color="69BD28"/>
              <w:bottom w:val="single" w:sz="6" w:space="0" w:color="69BD28"/>
            </w:tcBorders>
            <w:shd w:val="clear" w:color="auto" w:fill="006A4D"/>
          </w:tcPr>
          <w:p>
            <w:pPr>
              <w:pStyle w:val="TableParagraph"/>
              <w:spacing w:before="80"/>
              <w:ind w:left="583" w:right="568"/>
              <w:rPr>
                <w:b/>
                <w:sz w:val="18"/>
              </w:rPr>
            </w:pPr>
            <w:r>
              <w:rPr>
                <w:b/>
                <w:color w:val="FFFFFF"/>
                <w:w w:val="110"/>
                <w:sz w:val="18"/>
              </w:rPr>
              <w:t>March 31, 2017</w:t>
            </w:r>
          </w:p>
        </w:tc>
        <w:tc>
          <w:tcPr>
            <w:tcW w:w="2619" w:type="dxa"/>
            <w:tcBorders>
              <w:top w:val="single" w:sz="6" w:space="0" w:color="69BD28"/>
              <w:bottom w:val="single" w:sz="6" w:space="0" w:color="69BD28"/>
            </w:tcBorders>
            <w:shd w:val="clear" w:color="auto" w:fill="006A4D"/>
          </w:tcPr>
          <w:p>
            <w:pPr>
              <w:pStyle w:val="TableParagraph"/>
              <w:spacing w:before="80"/>
              <w:ind w:left="536" w:right="534"/>
              <w:rPr>
                <w:b/>
                <w:sz w:val="18"/>
              </w:rPr>
            </w:pPr>
            <w:r>
              <w:rPr>
                <w:b/>
                <w:color w:val="FFFFFF"/>
                <w:w w:val="110"/>
                <w:sz w:val="18"/>
              </w:rPr>
              <w:t>March 31, 2018</w:t>
            </w:r>
          </w:p>
        </w:tc>
        <w:tc>
          <w:tcPr>
            <w:tcW w:w="2617" w:type="dxa"/>
            <w:tcBorders>
              <w:top w:val="single" w:sz="6" w:space="0" w:color="69BD28"/>
              <w:bottom w:val="single" w:sz="6" w:space="0" w:color="69BD28"/>
            </w:tcBorders>
            <w:shd w:val="clear" w:color="auto" w:fill="006A4D"/>
          </w:tcPr>
          <w:p>
            <w:pPr>
              <w:pStyle w:val="TableParagraph"/>
              <w:spacing w:before="80"/>
              <w:ind w:left="566" w:right="564"/>
              <w:rPr>
                <w:b/>
                <w:sz w:val="18"/>
              </w:rPr>
            </w:pPr>
            <w:r>
              <w:rPr>
                <w:b/>
                <w:color w:val="FFFFFF"/>
                <w:w w:val="110"/>
                <w:sz w:val="18"/>
              </w:rPr>
              <w:t>March 31, 2019</w:t>
            </w:r>
          </w:p>
        </w:tc>
        <w:tc>
          <w:tcPr>
            <w:tcW w:w="2614" w:type="dxa"/>
            <w:tcBorders>
              <w:top w:val="single" w:sz="6" w:space="0" w:color="69BD28"/>
              <w:bottom w:val="single" w:sz="6" w:space="0" w:color="69BD28"/>
            </w:tcBorders>
            <w:shd w:val="clear" w:color="auto" w:fill="006A4D"/>
          </w:tcPr>
          <w:p>
            <w:pPr>
              <w:pStyle w:val="TableParagraph"/>
              <w:spacing w:before="80"/>
              <w:ind w:left="513" w:right="514"/>
              <w:rPr>
                <w:b/>
                <w:sz w:val="18"/>
              </w:rPr>
            </w:pPr>
            <w:r>
              <w:rPr>
                <w:b/>
                <w:color w:val="FFFFFF"/>
                <w:w w:val="110"/>
                <w:sz w:val="18"/>
              </w:rPr>
              <w:t>March 31, 2020</w:t>
            </w:r>
          </w:p>
        </w:tc>
      </w:tr>
      <w:tr>
        <w:trPr>
          <w:trHeight w:val="275" w:hRule="atLeast"/>
        </w:trPr>
        <w:tc>
          <w:tcPr>
            <w:tcW w:w="2636" w:type="dxa"/>
            <w:tcBorders>
              <w:top w:val="single" w:sz="6" w:space="0" w:color="69BD28"/>
              <w:bottom w:val="single" w:sz="6" w:space="0" w:color="69BD28"/>
            </w:tcBorders>
          </w:tcPr>
          <w:p>
            <w:pPr>
              <w:pStyle w:val="TableParagraph"/>
              <w:spacing w:before="20"/>
              <w:ind w:left="581" w:right="568"/>
              <w:rPr>
                <w:sz w:val="20"/>
              </w:rPr>
            </w:pPr>
            <w:r>
              <w:rPr>
                <w:w w:val="110"/>
                <w:sz w:val="20"/>
              </w:rPr>
              <w:t>97.4%</w:t>
            </w:r>
          </w:p>
        </w:tc>
        <w:tc>
          <w:tcPr>
            <w:tcW w:w="2619" w:type="dxa"/>
            <w:tcBorders>
              <w:top w:val="single" w:sz="6" w:space="0" w:color="69BD28"/>
              <w:bottom w:val="single" w:sz="6" w:space="0" w:color="69BD28"/>
            </w:tcBorders>
          </w:tcPr>
          <w:p>
            <w:pPr>
              <w:pStyle w:val="TableParagraph"/>
              <w:spacing w:before="20"/>
              <w:ind w:left="536" w:right="536"/>
              <w:rPr>
                <w:sz w:val="20"/>
              </w:rPr>
            </w:pPr>
            <w:r>
              <w:rPr>
                <w:w w:val="110"/>
                <w:sz w:val="20"/>
              </w:rPr>
              <w:t>93.0%</w:t>
            </w:r>
          </w:p>
        </w:tc>
        <w:tc>
          <w:tcPr>
            <w:tcW w:w="2617" w:type="dxa"/>
            <w:tcBorders>
              <w:top w:val="single" w:sz="6" w:space="0" w:color="69BD28"/>
              <w:bottom w:val="single" w:sz="6" w:space="0" w:color="69BD28"/>
            </w:tcBorders>
          </w:tcPr>
          <w:p>
            <w:pPr>
              <w:pStyle w:val="TableParagraph"/>
              <w:spacing w:before="20"/>
              <w:ind w:left="565" w:right="565"/>
              <w:rPr>
                <w:sz w:val="20"/>
              </w:rPr>
            </w:pPr>
            <w:r>
              <w:rPr>
                <w:w w:val="110"/>
                <w:sz w:val="20"/>
              </w:rPr>
              <w:t>98.1%</w:t>
            </w:r>
          </w:p>
        </w:tc>
        <w:tc>
          <w:tcPr>
            <w:tcW w:w="2614" w:type="dxa"/>
            <w:tcBorders>
              <w:top w:val="single" w:sz="6" w:space="0" w:color="69BD28"/>
              <w:bottom w:val="single" w:sz="6" w:space="0" w:color="69BD28"/>
            </w:tcBorders>
          </w:tcPr>
          <w:p>
            <w:pPr>
              <w:pStyle w:val="TableParagraph"/>
              <w:spacing w:before="20"/>
              <w:ind w:left="511" w:right="514"/>
              <w:rPr>
                <w:sz w:val="20"/>
              </w:rPr>
            </w:pPr>
            <w:r>
              <w:rPr>
                <w:w w:val="110"/>
                <w:sz w:val="20"/>
              </w:rPr>
              <w:t>93.5%</w:t>
            </w:r>
          </w:p>
        </w:tc>
      </w:tr>
    </w:tbl>
    <w:p>
      <w:pPr>
        <w:spacing w:before="0"/>
        <w:ind w:left="120" w:right="0" w:firstLine="0"/>
        <w:jc w:val="left"/>
        <w:rPr>
          <w:i/>
          <w:sz w:val="16"/>
        </w:rPr>
      </w:pPr>
      <w:r>
        <w:rPr>
          <w:i/>
          <w:sz w:val="16"/>
        </w:rPr>
        <w:t>Source: Rent rolls provided by the Client; Indicative of committed occupancy</w:t>
      </w:r>
    </w:p>
    <w:p>
      <w:pPr>
        <w:pStyle w:val="BodyText"/>
        <w:spacing w:before="3"/>
        <w:rPr>
          <w:i/>
          <w:sz w:val="26"/>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84" w:id="166"/>
      <w:bookmarkEnd w:id="166"/>
      <w:r>
        <w:rPr/>
      </w:r>
      <w:bookmarkStart w:name="_bookmark84" w:id="167"/>
      <w:bookmarkEnd w:id="167"/>
      <w:r>
        <w:rPr>
          <w:color w:val="1F664D"/>
          <w:sz w:val="22"/>
        </w:rPr>
        <w:t>Le</w:t>
      </w:r>
      <w:r>
        <w:rPr>
          <w:color w:val="1F664D"/>
          <w:sz w:val="22"/>
        </w:rPr>
        <w:t>ase Expiry</w:t>
      </w:r>
      <w:r>
        <w:rPr>
          <w:color w:val="1F664D"/>
          <w:spacing w:val="-4"/>
          <w:sz w:val="22"/>
        </w:rPr>
        <w:t> </w:t>
      </w:r>
      <w:r>
        <w:rPr>
          <w:color w:val="1F664D"/>
          <w:sz w:val="22"/>
        </w:rPr>
        <w:t>Analysis</w:t>
      </w:r>
    </w:p>
    <w:p>
      <w:pPr>
        <w:pStyle w:val="BodyText"/>
        <w:spacing w:before="208"/>
        <w:ind w:left="660"/>
      </w:pPr>
      <w:r>
        <w:rPr/>
        <w:t>The graph below highlights the area/leases due for expiry in the coming years:</w:t>
      </w:r>
    </w:p>
    <w:p>
      <w:pPr>
        <w:pStyle w:val="BodyText"/>
        <w:spacing w:before="3"/>
        <w:rPr>
          <w:sz w:val="24"/>
        </w:rPr>
      </w:pPr>
      <w:r>
        <w:rPr/>
        <w:pict>
          <v:group style="position:absolute;margin-left:35.279999pt;margin-top:16.062988pt;width:524.3pt;height:12.4pt;mso-position-horizontal-relative:page;mso-position-vertical-relative:paragraph;z-index:-15492096;mso-wrap-distance-left:0;mso-wrap-distance-right:0" coordorigin="706,321" coordsize="10486,248">
            <v:rect style="position:absolute;left:720;top:352;width:10472;height:216" filled="true" fillcolor="#006a4d" stroked="false">
              <v:fill type="solid"/>
            </v:rect>
            <v:rect style="position:absolute;left:720;top:321;width:10472;height:29" filled="true" fillcolor="#1f6b16" stroked="false">
              <v:fill type="solid"/>
            </v:rect>
            <v:rect style="position:absolute;left:720;top:350;width:10472;height:3" filled="true" fillcolor="#006a4d" stroked="false">
              <v:fill type="solid"/>
            </v:rect>
            <v:shape style="position:absolute;left:705;top:350;width:10486;height:219" type="#_x0000_t202" filled="false" stroked="false">
              <v:textbox inset="0,0,0,0">
                <w:txbxContent>
                  <w:p>
                    <w:pPr>
                      <w:spacing w:before="6"/>
                      <w:ind w:left="142" w:right="129" w:firstLine="0"/>
                      <w:jc w:val="center"/>
                      <w:rPr>
                        <w:b/>
                        <w:sz w:val="18"/>
                      </w:rPr>
                    </w:pPr>
                    <w:r>
                      <w:rPr>
                        <w:b/>
                        <w:color w:val="FFFFFF"/>
                        <w:w w:val="105"/>
                        <w:sz w:val="18"/>
                      </w:rPr>
                      <w:t>Lease Expiry</w:t>
                    </w:r>
                  </w:p>
                </w:txbxContent>
              </v:textbox>
              <w10:wrap type="none"/>
            </v:shape>
            <w10:wrap type="topAndBottom"/>
          </v:group>
        </w:pict>
      </w:r>
    </w:p>
    <w:p>
      <w:pPr>
        <w:pStyle w:val="BodyText"/>
        <w:rPr>
          <w:sz w:val="20"/>
        </w:rPr>
      </w:pPr>
    </w:p>
    <w:p>
      <w:pPr>
        <w:pStyle w:val="BodyText"/>
        <w:spacing w:before="8"/>
        <w:rPr>
          <w:sz w:val="12"/>
        </w:rPr>
      </w:pPr>
      <w:r>
        <w:rPr/>
        <w:drawing>
          <wp:anchor distT="0" distB="0" distL="0" distR="0" allowOverlap="1" layoutInCell="1" locked="0" behindDoc="0" simplePos="0" relativeHeight="463">
            <wp:simplePos x="0" y="0"/>
            <wp:positionH relativeFrom="page">
              <wp:posOffset>937260</wp:posOffset>
            </wp:positionH>
            <wp:positionV relativeFrom="paragraph">
              <wp:posOffset>118748</wp:posOffset>
            </wp:positionV>
            <wp:extent cx="4803311" cy="2011679"/>
            <wp:effectExtent l="0" t="0" r="0" b="0"/>
            <wp:wrapTopAndBottom/>
            <wp:docPr id="101" name="image75.jpeg"/>
            <wp:cNvGraphicFramePr>
              <a:graphicFrameLocks noChangeAspect="1"/>
            </wp:cNvGraphicFramePr>
            <a:graphic>
              <a:graphicData uri="http://schemas.openxmlformats.org/drawingml/2006/picture">
                <pic:pic>
                  <pic:nvPicPr>
                    <pic:cNvPr id="102" name="image75.jpeg"/>
                    <pic:cNvPicPr/>
                  </pic:nvPicPr>
                  <pic:blipFill>
                    <a:blip r:embed="rId101" cstate="print"/>
                    <a:stretch>
                      <a:fillRect/>
                    </a:stretch>
                  </pic:blipFill>
                  <pic:spPr>
                    <a:xfrm>
                      <a:off x="0" y="0"/>
                      <a:ext cx="4803311" cy="2011679"/>
                    </a:xfrm>
                    <a:prstGeom prst="rect">
                      <a:avLst/>
                    </a:prstGeom>
                  </pic:spPr>
                </pic:pic>
              </a:graphicData>
            </a:graphic>
          </wp:anchor>
        </w:drawing>
      </w:r>
    </w:p>
    <w:p>
      <w:pPr>
        <w:pStyle w:val="BodyText"/>
        <w:rPr>
          <w:sz w:val="11"/>
        </w:rPr>
      </w:pPr>
    </w:p>
    <w:p>
      <w:pPr>
        <w:spacing w:before="105"/>
        <w:ind w:left="660" w:right="0" w:firstLine="0"/>
        <w:jc w:val="both"/>
        <w:rPr>
          <w:i/>
          <w:sz w:val="18"/>
        </w:rPr>
      </w:pPr>
      <w:r>
        <w:rPr>
          <w:i/>
          <w:w w:val="95"/>
          <w:sz w:val="18"/>
        </w:rPr>
        <w:t>Source:</w:t>
      </w:r>
      <w:r>
        <w:rPr>
          <w:i/>
          <w:spacing w:val="-20"/>
          <w:w w:val="95"/>
          <w:sz w:val="18"/>
        </w:rPr>
        <w:t> </w:t>
      </w:r>
      <w:r>
        <w:rPr>
          <w:i/>
          <w:w w:val="95"/>
          <w:sz w:val="18"/>
        </w:rPr>
        <w:t>Rent</w:t>
      </w:r>
      <w:r>
        <w:rPr>
          <w:i/>
          <w:spacing w:val="-19"/>
          <w:w w:val="95"/>
          <w:sz w:val="18"/>
        </w:rPr>
        <w:t> </w:t>
      </w:r>
      <w:r>
        <w:rPr>
          <w:i/>
          <w:w w:val="95"/>
          <w:sz w:val="18"/>
        </w:rPr>
        <w:t>Roll</w:t>
      </w:r>
      <w:r>
        <w:rPr>
          <w:i/>
          <w:spacing w:val="-19"/>
          <w:w w:val="95"/>
          <w:sz w:val="18"/>
        </w:rPr>
        <w:t> </w:t>
      </w:r>
      <w:r>
        <w:rPr>
          <w:i/>
          <w:w w:val="95"/>
          <w:sz w:val="18"/>
        </w:rPr>
        <w:t>(representative</w:t>
      </w:r>
      <w:r>
        <w:rPr>
          <w:i/>
          <w:spacing w:val="-19"/>
          <w:w w:val="95"/>
          <w:sz w:val="18"/>
        </w:rPr>
        <w:t> </w:t>
      </w:r>
      <w:r>
        <w:rPr>
          <w:i/>
          <w:w w:val="95"/>
          <w:sz w:val="18"/>
        </w:rPr>
        <w:t>of</w:t>
      </w:r>
      <w:r>
        <w:rPr>
          <w:i/>
          <w:spacing w:val="-20"/>
          <w:w w:val="95"/>
          <w:sz w:val="18"/>
        </w:rPr>
        <w:t> </w:t>
      </w:r>
      <w:r>
        <w:rPr>
          <w:i/>
          <w:w w:val="95"/>
          <w:sz w:val="18"/>
        </w:rPr>
        <w:t>financial</w:t>
      </w:r>
      <w:r>
        <w:rPr>
          <w:i/>
          <w:spacing w:val="-19"/>
          <w:w w:val="95"/>
          <w:sz w:val="18"/>
        </w:rPr>
        <w:t> </w:t>
      </w:r>
      <w:r>
        <w:rPr>
          <w:i/>
          <w:w w:val="95"/>
          <w:sz w:val="18"/>
        </w:rPr>
        <w:t>years)</w:t>
      </w:r>
    </w:p>
    <w:p>
      <w:pPr>
        <w:pStyle w:val="BodyText"/>
        <w:spacing w:before="10"/>
        <w:rPr>
          <w:i/>
          <w:sz w:val="26"/>
        </w:rPr>
      </w:pPr>
    </w:p>
    <w:p>
      <w:pPr>
        <w:pStyle w:val="BodyText"/>
        <w:spacing w:line="321" w:lineRule="auto"/>
        <w:ind w:left="660" w:right="115"/>
        <w:jc w:val="both"/>
      </w:pPr>
      <w:r>
        <w:rPr/>
        <w:t>Consultants</w:t>
      </w:r>
      <w:r>
        <w:rPr>
          <w:spacing w:val="-16"/>
        </w:rPr>
        <w:t> </w:t>
      </w:r>
      <w:r>
        <w:rPr/>
        <w:t>have</w:t>
      </w:r>
      <w:r>
        <w:rPr>
          <w:spacing w:val="-18"/>
        </w:rPr>
        <w:t> </w:t>
      </w:r>
      <w:r>
        <w:rPr/>
        <w:t>undertaken</w:t>
      </w:r>
      <w:r>
        <w:rPr>
          <w:spacing w:val="-19"/>
        </w:rPr>
        <w:t> </w:t>
      </w:r>
      <w:r>
        <w:rPr/>
        <w:t>an</w:t>
      </w:r>
      <w:r>
        <w:rPr>
          <w:spacing w:val="-16"/>
        </w:rPr>
        <w:t> </w:t>
      </w:r>
      <w:r>
        <w:rPr/>
        <w:t>in-depth</w:t>
      </w:r>
      <w:r>
        <w:rPr>
          <w:spacing w:val="-18"/>
        </w:rPr>
        <w:t> </w:t>
      </w:r>
      <w:r>
        <w:rPr/>
        <w:t>analysis</w:t>
      </w:r>
      <w:r>
        <w:rPr>
          <w:spacing w:val="-17"/>
        </w:rPr>
        <w:t> </w:t>
      </w:r>
      <w:r>
        <w:rPr/>
        <w:t>of</w:t>
      </w:r>
      <w:r>
        <w:rPr>
          <w:spacing w:val="-17"/>
        </w:rPr>
        <w:t> </w:t>
      </w:r>
      <w:r>
        <w:rPr/>
        <w:t>the</w:t>
      </w:r>
      <w:r>
        <w:rPr>
          <w:spacing w:val="-19"/>
        </w:rPr>
        <w:t> </w:t>
      </w:r>
      <w:r>
        <w:rPr/>
        <w:t>rent</w:t>
      </w:r>
      <w:r>
        <w:rPr>
          <w:spacing w:val="-17"/>
        </w:rPr>
        <w:t> </w:t>
      </w:r>
      <w:r>
        <w:rPr/>
        <w:t>roll/</w:t>
      </w:r>
      <w:r>
        <w:rPr>
          <w:spacing w:val="-17"/>
        </w:rPr>
        <w:t> </w:t>
      </w:r>
      <w:r>
        <w:rPr/>
        <w:t>lease</w:t>
      </w:r>
      <w:r>
        <w:rPr>
          <w:spacing w:val="-18"/>
        </w:rPr>
        <w:t> </w:t>
      </w:r>
      <w:r>
        <w:rPr/>
        <w:t>deeds</w:t>
      </w:r>
      <w:r>
        <w:rPr>
          <w:spacing w:val="-18"/>
        </w:rPr>
        <w:t> </w:t>
      </w:r>
      <w:r>
        <w:rPr/>
        <w:t>shared</w:t>
      </w:r>
      <w:r>
        <w:rPr>
          <w:spacing w:val="-17"/>
        </w:rPr>
        <w:t> </w:t>
      </w:r>
      <w:r>
        <w:rPr/>
        <w:t>by</w:t>
      </w:r>
      <w:r>
        <w:rPr>
          <w:spacing w:val="-17"/>
        </w:rPr>
        <w:t> </w:t>
      </w:r>
      <w:r>
        <w:rPr/>
        <w:t>the</w:t>
      </w:r>
      <w:r>
        <w:rPr>
          <w:spacing w:val="-18"/>
        </w:rPr>
        <w:t> </w:t>
      </w:r>
      <w:r>
        <w:rPr/>
        <w:t>Client,</w:t>
      </w:r>
      <w:r>
        <w:rPr>
          <w:spacing w:val="-18"/>
        </w:rPr>
        <w:t> </w:t>
      </w:r>
      <w:r>
        <w:rPr/>
        <w:t>to understand</w:t>
      </w:r>
      <w:r>
        <w:rPr>
          <w:spacing w:val="-28"/>
        </w:rPr>
        <w:t> </w:t>
      </w:r>
      <w:r>
        <w:rPr/>
        <w:t>the</w:t>
      </w:r>
      <w:r>
        <w:rPr>
          <w:spacing w:val="-26"/>
        </w:rPr>
        <w:t> </w:t>
      </w:r>
      <w:r>
        <w:rPr/>
        <w:t>lease</w:t>
      </w:r>
      <w:r>
        <w:rPr>
          <w:spacing w:val="-26"/>
        </w:rPr>
        <w:t> </w:t>
      </w:r>
      <w:r>
        <w:rPr/>
        <w:t>expiry</w:t>
      </w:r>
      <w:r>
        <w:rPr>
          <w:spacing w:val="-26"/>
        </w:rPr>
        <w:t> </w:t>
      </w:r>
      <w:r>
        <w:rPr/>
        <w:t>schedule</w:t>
      </w:r>
      <w:r>
        <w:rPr>
          <w:spacing w:val="-27"/>
        </w:rPr>
        <w:t> </w:t>
      </w:r>
      <w:r>
        <w:rPr/>
        <w:t>of</w:t>
      </w:r>
      <w:r>
        <w:rPr>
          <w:spacing w:val="-27"/>
        </w:rPr>
        <w:t> </w:t>
      </w:r>
      <w:r>
        <w:rPr/>
        <w:t>top</w:t>
      </w:r>
      <w:r>
        <w:rPr>
          <w:spacing w:val="-27"/>
        </w:rPr>
        <w:t> </w:t>
      </w:r>
      <w:r>
        <w:rPr/>
        <w:t>tenants</w:t>
      </w:r>
      <w:r>
        <w:rPr>
          <w:spacing w:val="-26"/>
        </w:rPr>
        <w:t> </w:t>
      </w:r>
      <w:r>
        <w:rPr/>
        <w:t>at</w:t>
      </w:r>
      <w:r>
        <w:rPr>
          <w:spacing w:val="-26"/>
        </w:rPr>
        <w:t> </w:t>
      </w:r>
      <w:r>
        <w:rPr/>
        <w:t>the</w:t>
      </w:r>
      <w:r>
        <w:rPr>
          <w:spacing w:val="-28"/>
        </w:rPr>
        <w:t> </w:t>
      </w:r>
      <w:r>
        <w:rPr/>
        <w:t>subject</w:t>
      </w:r>
      <w:r>
        <w:rPr>
          <w:spacing w:val="-23"/>
        </w:rPr>
        <w:t> </w:t>
      </w:r>
      <w:r>
        <w:rPr/>
        <w:t>property</w:t>
      </w:r>
      <w:r>
        <w:rPr>
          <w:spacing w:val="-27"/>
        </w:rPr>
        <w:t> </w:t>
      </w:r>
      <w:r>
        <w:rPr/>
        <w:t>and</w:t>
      </w:r>
      <w:r>
        <w:rPr>
          <w:spacing w:val="-26"/>
        </w:rPr>
        <w:t> </w:t>
      </w:r>
      <w:r>
        <w:rPr/>
        <w:t>rent</w:t>
      </w:r>
      <w:r>
        <w:rPr>
          <w:spacing w:val="-26"/>
        </w:rPr>
        <w:t> </w:t>
      </w:r>
      <w:r>
        <w:rPr/>
        <w:t>for</w:t>
      </w:r>
      <w:r>
        <w:rPr>
          <w:spacing w:val="-26"/>
        </w:rPr>
        <w:t> </w:t>
      </w:r>
      <w:r>
        <w:rPr/>
        <w:t>those</w:t>
      </w:r>
      <w:r>
        <w:rPr>
          <w:spacing w:val="-27"/>
        </w:rPr>
        <w:t> </w:t>
      </w:r>
      <w:r>
        <w:rPr/>
        <w:t>spaces</w:t>
      </w:r>
      <w:r>
        <w:rPr>
          <w:spacing w:val="-27"/>
        </w:rPr>
        <w:t> </w:t>
      </w:r>
      <w:r>
        <w:rPr/>
        <w:t>as of</w:t>
      </w:r>
      <w:r>
        <w:rPr>
          <w:spacing w:val="-25"/>
        </w:rPr>
        <w:t> </w:t>
      </w:r>
      <w:r>
        <w:rPr/>
        <w:t>date</w:t>
      </w:r>
      <w:r>
        <w:rPr>
          <w:spacing w:val="-26"/>
        </w:rPr>
        <w:t> </w:t>
      </w:r>
      <w:r>
        <w:rPr/>
        <w:t>of</w:t>
      </w:r>
      <w:r>
        <w:rPr>
          <w:spacing w:val="-25"/>
        </w:rPr>
        <w:t> </w:t>
      </w:r>
      <w:r>
        <w:rPr/>
        <w:t>valuation.</w:t>
      </w:r>
      <w:r>
        <w:rPr>
          <w:spacing w:val="-26"/>
        </w:rPr>
        <w:t> </w:t>
      </w:r>
      <w:r>
        <w:rPr/>
        <w:t>The</w:t>
      </w:r>
      <w:r>
        <w:rPr>
          <w:spacing w:val="-24"/>
        </w:rPr>
        <w:t> </w:t>
      </w:r>
      <w:r>
        <w:rPr/>
        <w:t>intent</w:t>
      </w:r>
      <w:r>
        <w:rPr>
          <w:spacing w:val="-26"/>
        </w:rPr>
        <w:t> </w:t>
      </w:r>
      <w:r>
        <w:rPr/>
        <w:t>of</w:t>
      </w:r>
      <w:r>
        <w:rPr>
          <w:spacing w:val="-25"/>
        </w:rPr>
        <w:t> </w:t>
      </w:r>
      <w:r>
        <w:rPr/>
        <w:t>the</w:t>
      </w:r>
      <w:r>
        <w:rPr>
          <w:spacing w:val="-25"/>
        </w:rPr>
        <w:t> </w:t>
      </w:r>
      <w:r>
        <w:rPr/>
        <w:t>same</w:t>
      </w:r>
      <w:r>
        <w:rPr>
          <w:spacing w:val="-26"/>
        </w:rPr>
        <w:t> </w:t>
      </w:r>
      <w:r>
        <w:rPr/>
        <w:t>is</w:t>
      </w:r>
      <w:r>
        <w:rPr>
          <w:spacing w:val="-25"/>
        </w:rPr>
        <w:t> </w:t>
      </w:r>
      <w:r>
        <w:rPr/>
        <w:t>to</w:t>
      </w:r>
      <w:r>
        <w:rPr>
          <w:spacing w:val="-26"/>
        </w:rPr>
        <w:t> </w:t>
      </w:r>
      <w:r>
        <w:rPr/>
        <w:t>analyse</w:t>
      </w:r>
      <w:r>
        <w:rPr>
          <w:spacing w:val="-25"/>
        </w:rPr>
        <w:t> </w:t>
      </w:r>
      <w:r>
        <w:rPr/>
        <w:t>the</w:t>
      </w:r>
      <w:r>
        <w:rPr>
          <w:spacing w:val="-25"/>
        </w:rPr>
        <w:t> </w:t>
      </w:r>
      <w:r>
        <w:rPr/>
        <w:t>risk</w:t>
      </w:r>
      <w:r>
        <w:rPr>
          <w:spacing w:val="-25"/>
        </w:rPr>
        <w:t> </w:t>
      </w:r>
      <w:r>
        <w:rPr/>
        <w:t>of</w:t>
      </w:r>
      <w:r>
        <w:rPr>
          <w:spacing w:val="-25"/>
        </w:rPr>
        <w:t> </w:t>
      </w:r>
      <w:r>
        <w:rPr/>
        <w:t>tenant</w:t>
      </w:r>
      <w:r>
        <w:rPr>
          <w:spacing w:val="-26"/>
        </w:rPr>
        <w:t> </w:t>
      </w:r>
      <w:r>
        <w:rPr/>
        <w:t>churn</w:t>
      </w:r>
      <w:r>
        <w:rPr>
          <w:spacing w:val="-26"/>
        </w:rPr>
        <w:t> </w:t>
      </w:r>
      <w:r>
        <w:rPr/>
        <w:t>as</w:t>
      </w:r>
      <w:r>
        <w:rPr>
          <w:spacing w:val="-24"/>
        </w:rPr>
        <w:t> </w:t>
      </w:r>
      <w:r>
        <w:rPr/>
        <w:t>well</w:t>
      </w:r>
      <w:r>
        <w:rPr>
          <w:spacing w:val="-26"/>
        </w:rPr>
        <w:t> </w:t>
      </w:r>
      <w:r>
        <w:rPr/>
        <w:t>as</w:t>
      </w:r>
      <w:r>
        <w:rPr>
          <w:spacing w:val="-25"/>
        </w:rPr>
        <w:t> </w:t>
      </w:r>
      <w:r>
        <w:rPr/>
        <w:t>assessing</w:t>
      </w:r>
      <w:r>
        <w:rPr>
          <w:spacing w:val="-26"/>
        </w:rPr>
        <w:t> </w:t>
      </w:r>
      <w:r>
        <w:rPr/>
        <w:t>the re-leasing risk for the property along with opining on the timeframe to lease-up the spaces in case a significant vacancy arises at the</w:t>
      </w:r>
      <w:r>
        <w:rPr>
          <w:spacing w:val="-22"/>
        </w:rPr>
        <w:t> </w:t>
      </w:r>
      <w:r>
        <w:rPr/>
        <w:t>property.</w:t>
      </w:r>
    </w:p>
    <w:p>
      <w:pPr>
        <w:pStyle w:val="BodyText"/>
        <w:spacing w:before="11"/>
        <w:rPr>
          <w:sz w:val="20"/>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85" w:id="168"/>
      <w:bookmarkEnd w:id="168"/>
      <w:r>
        <w:rPr/>
      </w:r>
      <w:bookmarkStart w:name="_bookmark85" w:id="169"/>
      <w:bookmarkEnd w:id="169"/>
      <w:r>
        <w:rPr>
          <w:color w:val="1F664D"/>
          <w:sz w:val="22"/>
        </w:rPr>
        <w:t>Esc</w:t>
      </w:r>
      <w:r>
        <w:rPr>
          <w:color w:val="1F664D"/>
          <w:sz w:val="22"/>
        </w:rPr>
        <w:t>alation</w:t>
      </w:r>
      <w:r>
        <w:rPr>
          <w:color w:val="1F664D"/>
          <w:spacing w:val="-3"/>
          <w:sz w:val="22"/>
        </w:rPr>
        <w:t> </w:t>
      </w:r>
      <w:r>
        <w:rPr>
          <w:color w:val="1F664D"/>
          <w:sz w:val="22"/>
        </w:rPr>
        <w:t>Analysis</w:t>
      </w:r>
    </w:p>
    <w:p>
      <w:pPr>
        <w:pStyle w:val="BodyText"/>
        <w:spacing w:line="321" w:lineRule="auto" w:before="207"/>
        <w:ind w:left="660" w:right="117"/>
        <w:jc w:val="both"/>
      </w:pPr>
      <w:r>
        <w:rPr/>
        <w:t>As per the review of the recently executed leases at the subject property, it is understood that the contracted</w:t>
      </w:r>
      <w:r>
        <w:rPr>
          <w:spacing w:val="-18"/>
        </w:rPr>
        <w:t> </w:t>
      </w:r>
      <w:r>
        <w:rPr/>
        <w:t>escalation</w:t>
      </w:r>
      <w:r>
        <w:rPr>
          <w:spacing w:val="-19"/>
        </w:rPr>
        <w:t> </w:t>
      </w:r>
      <w:r>
        <w:rPr/>
        <w:t>terms</w:t>
      </w:r>
      <w:r>
        <w:rPr>
          <w:spacing w:val="-19"/>
        </w:rPr>
        <w:t> </w:t>
      </w:r>
      <w:r>
        <w:rPr/>
        <w:t>for</w:t>
      </w:r>
      <w:r>
        <w:rPr>
          <w:spacing w:val="-18"/>
        </w:rPr>
        <w:t> </w:t>
      </w:r>
      <w:r>
        <w:rPr/>
        <w:t>these</w:t>
      </w:r>
      <w:r>
        <w:rPr>
          <w:spacing w:val="-17"/>
        </w:rPr>
        <w:t> </w:t>
      </w:r>
      <w:r>
        <w:rPr/>
        <w:t>leases</w:t>
      </w:r>
      <w:r>
        <w:rPr>
          <w:spacing w:val="-18"/>
        </w:rPr>
        <w:t> </w:t>
      </w:r>
      <w:r>
        <w:rPr/>
        <w:t>are</w:t>
      </w:r>
      <w:r>
        <w:rPr>
          <w:spacing w:val="-18"/>
        </w:rPr>
        <w:t> </w:t>
      </w:r>
      <w:r>
        <w:rPr/>
        <w:t>in</w:t>
      </w:r>
      <w:r>
        <w:rPr>
          <w:spacing w:val="-20"/>
        </w:rPr>
        <w:t> </w:t>
      </w:r>
      <w:r>
        <w:rPr/>
        <w:t>the</w:t>
      </w:r>
      <w:r>
        <w:rPr>
          <w:spacing w:val="-18"/>
        </w:rPr>
        <w:t> </w:t>
      </w:r>
      <w:r>
        <w:rPr/>
        <w:t>range</w:t>
      </w:r>
      <w:r>
        <w:rPr>
          <w:spacing w:val="-18"/>
        </w:rPr>
        <w:t> </w:t>
      </w:r>
      <w:r>
        <w:rPr/>
        <w:t>of</w:t>
      </w:r>
      <w:r>
        <w:rPr>
          <w:spacing w:val="-17"/>
        </w:rPr>
        <w:t> </w:t>
      </w:r>
      <w:r>
        <w:rPr/>
        <w:t>10.0%</w:t>
      </w:r>
      <w:r>
        <w:rPr>
          <w:spacing w:val="-21"/>
        </w:rPr>
        <w:t> </w:t>
      </w:r>
      <w:r>
        <w:rPr/>
        <w:t>to</w:t>
      </w:r>
      <w:r>
        <w:rPr>
          <w:spacing w:val="-17"/>
        </w:rPr>
        <w:t> </w:t>
      </w:r>
      <w:r>
        <w:rPr/>
        <w:t>15.0%</w:t>
      </w:r>
      <w:r>
        <w:rPr>
          <w:spacing w:val="-18"/>
        </w:rPr>
        <w:t> </w:t>
      </w:r>
      <w:r>
        <w:rPr/>
        <w:t>every</w:t>
      </w:r>
      <w:r>
        <w:rPr>
          <w:spacing w:val="-17"/>
        </w:rPr>
        <w:t> </w:t>
      </w:r>
      <w:r>
        <w:rPr/>
        <w:t>3</w:t>
      </w:r>
      <w:r>
        <w:rPr>
          <w:spacing w:val="-21"/>
        </w:rPr>
        <w:t> </w:t>
      </w:r>
      <w:r>
        <w:rPr/>
        <w:t>years</w:t>
      </w:r>
      <w:r>
        <w:rPr>
          <w:spacing w:val="-18"/>
        </w:rPr>
        <w:t> </w:t>
      </w:r>
      <w:r>
        <w:rPr/>
        <w:t>which</w:t>
      </w:r>
      <w:r>
        <w:rPr>
          <w:spacing w:val="-19"/>
        </w:rPr>
        <w:t> </w:t>
      </w:r>
      <w:r>
        <w:rPr/>
        <w:t>are in</w:t>
      </w:r>
      <w:r>
        <w:rPr>
          <w:spacing w:val="-11"/>
        </w:rPr>
        <w:t> </w:t>
      </w:r>
      <w:r>
        <w:rPr/>
        <w:t>line</w:t>
      </w:r>
      <w:r>
        <w:rPr>
          <w:spacing w:val="-10"/>
        </w:rPr>
        <w:t> </w:t>
      </w:r>
      <w:r>
        <w:rPr/>
        <w:t>with</w:t>
      </w:r>
      <w:r>
        <w:rPr>
          <w:spacing w:val="-10"/>
        </w:rPr>
        <w:t> </w:t>
      </w:r>
      <w:r>
        <w:rPr/>
        <w:t>the</w:t>
      </w:r>
      <w:r>
        <w:rPr>
          <w:spacing w:val="-10"/>
        </w:rPr>
        <w:t> </w:t>
      </w:r>
      <w:r>
        <w:rPr/>
        <w:t>prevailing</w:t>
      </w:r>
      <w:r>
        <w:rPr>
          <w:spacing w:val="-10"/>
        </w:rPr>
        <w:t> </w:t>
      </w:r>
      <w:r>
        <w:rPr/>
        <w:t>market</w:t>
      </w:r>
      <w:r>
        <w:rPr>
          <w:spacing w:val="-10"/>
        </w:rPr>
        <w:t> </w:t>
      </w:r>
      <w:r>
        <w:rPr/>
        <w:t>practice</w:t>
      </w:r>
      <w:r>
        <w:rPr>
          <w:spacing w:val="-10"/>
        </w:rPr>
        <w:t> </w:t>
      </w:r>
      <w:r>
        <w:rPr/>
        <w:t>witnessed</w:t>
      </w:r>
      <w:r>
        <w:rPr>
          <w:spacing w:val="-9"/>
        </w:rPr>
        <w:t> </w:t>
      </w:r>
      <w:r>
        <w:rPr/>
        <w:t>across</w:t>
      </w:r>
      <w:r>
        <w:rPr>
          <w:spacing w:val="-9"/>
        </w:rPr>
        <w:t> </w:t>
      </w:r>
      <w:r>
        <w:rPr/>
        <w:t>the</w:t>
      </w:r>
      <w:r>
        <w:rPr>
          <w:spacing w:val="-13"/>
        </w:rPr>
        <w:t> </w:t>
      </w:r>
      <w:r>
        <w:rPr/>
        <w:t>submarket</w:t>
      </w:r>
      <w:r>
        <w:rPr>
          <w:spacing w:val="-10"/>
        </w:rPr>
        <w:t> </w:t>
      </w:r>
      <w:r>
        <w:rPr/>
        <w:t>and</w:t>
      </w:r>
      <w:r>
        <w:rPr>
          <w:spacing w:val="-10"/>
        </w:rPr>
        <w:t> </w:t>
      </w:r>
      <w:r>
        <w:rPr/>
        <w:t>MMR.</w:t>
      </w:r>
    </w:p>
    <w:p>
      <w:pPr>
        <w:pStyle w:val="BodyText"/>
        <w:spacing w:before="11"/>
        <w:rPr>
          <w:sz w:val="20"/>
        </w:rPr>
      </w:pPr>
    </w:p>
    <w:p>
      <w:pPr>
        <w:pStyle w:val="ListParagraph"/>
        <w:numPr>
          <w:ilvl w:val="1"/>
          <w:numId w:val="14"/>
        </w:numPr>
        <w:tabs>
          <w:tab w:pos="763" w:val="left" w:leader="none"/>
          <w:tab w:pos="764" w:val="left" w:leader="none"/>
        </w:tabs>
        <w:spacing w:line="240" w:lineRule="auto" w:before="0" w:after="0"/>
        <w:ind w:left="763" w:right="0" w:hanging="644"/>
        <w:jc w:val="left"/>
        <w:rPr>
          <w:color w:val="1F6647"/>
          <w:sz w:val="22"/>
        </w:rPr>
      </w:pPr>
      <w:bookmarkStart w:name="_bookmark86" w:id="170"/>
      <w:bookmarkEnd w:id="170"/>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line="324" w:lineRule="auto" w:before="208"/>
        <w:ind w:left="660" w:right="118"/>
        <w:jc w:val="both"/>
      </w:pPr>
      <w:r>
        <w:rPr>
          <w:w w:val="95"/>
        </w:rPr>
        <w:t>As</w:t>
      </w:r>
      <w:r>
        <w:rPr>
          <w:spacing w:val="-17"/>
          <w:w w:val="95"/>
        </w:rPr>
        <w:t> </w:t>
      </w:r>
      <w:r>
        <w:rPr>
          <w:w w:val="95"/>
        </w:rPr>
        <w:t>highlighted</w:t>
      </w:r>
      <w:r>
        <w:rPr>
          <w:spacing w:val="-17"/>
          <w:w w:val="95"/>
        </w:rPr>
        <w:t> </w:t>
      </w:r>
      <w:r>
        <w:rPr>
          <w:w w:val="95"/>
        </w:rPr>
        <w:t>earlier,</w:t>
      </w:r>
      <w:r>
        <w:rPr>
          <w:spacing w:val="-17"/>
          <w:w w:val="95"/>
        </w:rPr>
        <w:t> </w:t>
      </w:r>
      <w:r>
        <w:rPr>
          <w:w w:val="95"/>
        </w:rPr>
        <w:t>the</w:t>
      </w:r>
      <w:r>
        <w:rPr>
          <w:spacing w:val="-19"/>
          <w:w w:val="95"/>
        </w:rPr>
        <w:t> </w:t>
      </w:r>
      <w:r>
        <w:rPr>
          <w:w w:val="95"/>
        </w:rPr>
        <w:t>subject</w:t>
      </w:r>
      <w:r>
        <w:rPr>
          <w:spacing w:val="-19"/>
          <w:w w:val="95"/>
        </w:rPr>
        <w:t> </w:t>
      </w:r>
      <w:r>
        <w:rPr>
          <w:w w:val="95"/>
        </w:rPr>
        <w:t>property</w:t>
      </w:r>
      <w:r>
        <w:rPr>
          <w:spacing w:val="-17"/>
          <w:w w:val="95"/>
        </w:rPr>
        <w:t> </w:t>
      </w:r>
      <w:r>
        <w:rPr>
          <w:w w:val="95"/>
        </w:rPr>
        <w:t>is</w:t>
      </w:r>
      <w:r>
        <w:rPr>
          <w:spacing w:val="-17"/>
          <w:w w:val="95"/>
        </w:rPr>
        <w:t> </w:t>
      </w:r>
      <w:r>
        <w:rPr>
          <w:w w:val="95"/>
        </w:rPr>
        <w:t>an</w:t>
      </w:r>
      <w:r>
        <w:rPr>
          <w:spacing w:val="-18"/>
          <w:w w:val="95"/>
        </w:rPr>
        <w:t> </w:t>
      </w:r>
      <w:r>
        <w:rPr>
          <w:w w:val="95"/>
        </w:rPr>
        <w:t>operational</w:t>
      </w:r>
      <w:r>
        <w:rPr>
          <w:spacing w:val="-19"/>
          <w:w w:val="95"/>
        </w:rPr>
        <w:t> </w:t>
      </w:r>
      <w:r>
        <w:rPr>
          <w:w w:val="95"/>
        </w:rPr>
        <w:t>city</w:t>
      </w:r>
      <w:r>
        <w:rPr>
          <w:spacing w:val="-16"/>
          <w:w w:val="95"/>
        </w:rPr>
        <w:t> </w:t>
      </w:r>
      <w:r>
        <w:rPr>
          <w:w w:val="95"/>
        </w:rPr>
        <w:t>centre</w:t>
      </w:r>
      <w:r>
        <w:rPr>
          <w:spacing w:val="-19"/>
          <w:w w:val="95"/>
        </w:rPr>
        <w:t> </w:t>
      </w:r>
      <w:r>
        <w:rPr>
          <w:w w:val="95"/>
        </w:rPr>
        <w:t>office</w:t>
      </w:r>
      <w:r>
        <w:rPr>
          <w:spacing w:val="-18"/>
          <w:w w:val="95"/>
        </w:rPr>
        <w:t> </w:t>
      </w:r>
      <w:r>
        <w:rPr>
          <w:w w:val="95"/>
        </w:rPr>
        <w:t>located</w:t>
      </w:r>
      <w:r>
        <w:rPr>
          <w:spacing w:val="-17"/>
          <w:w w:val="95"/>
        </w:rPr>
        <w:t> </w:t>
      </w:r>
      <w:r>
        <w:rPr>
          <w:w w:val="95"/>
        </w:rPr>
        <w:t>along</w:t>
      </w:r>
      <w:r>
        <w:rPr>
          <w:spacing w:val="-17"/>
          <w:w w:val="95"/>
        </w:rPr>
        <w:t> </w:t>
      </w:r>
      <w:r>
        <w:rPr>
          <w:w w:val="95"/>
        </w:rPr>
        <w:t>Barrister</w:t>
      </w:r>
      <w:r>
        <w:rPr>
          <w:spacing w:val="-18"/>
          <w:w w:val="95"/>
        </w:rPr>
        <w:t> </w:t>
      </w:r>
      <w:r>
        <w:rPr>
          <w:w w:val="95"/>
        </w:rPr>
        <w:t>Rajni </w:t>
      </w:r>
      <w:r>
        <w:rPr/>
        <w:t>Patel</w:t>
      </w:r>
      <w:r>
        <w:rPr>
          <w:spacing w:val="-10"/>
        </w:rPr>
        <w:t> </w:t>
      </w:r>
      <w:r>
        <w:rPr/>
        <w:t>Marg,</w:t>
      </w:r>
      <w:r>
        <w:rPr>
          <w:spacing w:val="-9"/>
        </w:rPr>
        <w:t> </w:t>
      </w:r>
      <w:r>
        <w:rPr/>
        <w:t>Nariman</w:t>
      </w:r>
      <w:r>
        <w:rPr>
          <w:spacing w:val="-10"/>
        </w:rPr>
        <w:t> </w:t>
      </w:r>
      <w:r>
        <w:rPr/>
        <w:t>Point</w:t>
      </w:r>
      <w:r>
        <w:rPr>
          <w:spacing w:val="-9"/>
        </w:rPr>
        <w:t> </w:t>
      </w:r>
      <w:r>
        <w:rPr/>
        <w:t>which</w:t>
      </w:r>
      <w:r>
        <w:rPr>
          <w:spacing w:val="-10"/>
        </w:rPr>
        <w:t> </w:t>
      </w:r>
      <w:r>
        <w:rPr/>
        <w:t>is</w:t>
      </w:r>
      <w:r>
        <w:rPr>
          <w:spacing w:val="-9"/>
        </w:rPr>
        <w:t> </w:t>
      </w:r>
      <w:r>
        <w:rPr/>
        <w:t>the</w:t>
      </w:r>
      <w:r>
        <w:rPr>
          <w:spacing w:val="-9"/>
        </w:rPr>
        <w:t> </w:t>
      </w:r>
      <w:r>
        <w:rPr/>
        <w:t>heart</w:t>
      </w:r>
      <w:r>
        <w:rPr>
          <w:spacing w:val="-10"/>
        </w:rPr>
        <w:t> </w:t>
      </w:r>
      <w:r>
        <w:rPr/>
        <w:t>of</w:t>
      </w:r>
      <w:r>
        <w:rPr>
          <w:spacing w:val="-8"/>
        </w:rPr>
        <w:t> </w:t>
      </w:r>
      <w:r>
        <w:rPr/>
        <w:t>Central</w:t>
      </w:r>
      <w:r>
        <w:rPr>
          <w:spacing w:val="-10"/>
        </w:rPr>
        <w:t> </w:t>
      </w:r>
      <w:r>
        <w:rPr/>
        <w:t>Business</w:t>
      </w:r>
      <w:r>
        <w:rPr>
          <w:spacing w:val="-10"/>
        </w:rPr>
        <w:t> </w:t>
      </w:r>
      <w:r>
        <w:rPr/>
        <w:t>District</w:t>
      </w:r>
      <w:r>
        <w:rPr>
          <w:spacing w:val="-9"/>
        </w:rPr>
        <w:t> </w:t>
      </w:r>
      <w:r>
        <w:rPr/>
        <w:t>(CBD)</w:t>
      </w:r>
      <w:r>
        <w:rPr>
          <w:spacing w:val="-8"/>
        </w:rPr>
        <w:t> </w:t>
      </w:r>
      <w:r>
        <w:rPr/>
        <w:t>of</w:t>
      </w:r>
      <w:r>
        <w:rPr>
          <w:spacing w:val="-8"/>
        </w:rPr>
        <w:t> </w:t>
      </w:r>
      <w:r>
        <w:rPr/>
        <w:t>Mumbai.</w:t>
      </w:r>
    </w:p>
    <w:p>
      <w:pPr>
        <w:spacing w:after="0" w:line="324" w:lineRule="auto"/>
        <w:jc w:val="both"/>
        <w:sectPr>
          <w:pgSz w:w="11910" w:h="16840"/>
          <w:pgMar w:header="720" w:footer="943" w:top="1660" w:bottom="1140" w:left="600" w:right="600"/>
        </w:sectPr>
      </w:pPr>
    </w:p>
    <w:p>
      <w:pPr>
        <w:pStyle w:val="BodyText"/>
        <w:spacing w:before="7"/>
        <w:rPr>
          <w:sz w:val="9"/>
        </w:rPr>
      </w:pPr>
    </w:p>
    <w:p>
      <w:pPr>
        <w:pStyle w:val="BodyText"/>
        <w:spacing w:line="321" w:lineRule="auto" w:before="106"/>
        <w:ind w:left="660" w:right="113"/>
        <w:jc w:val="both"/>
      </w:pPr>
      <w:r>
        <w:rPr/>
        <w:t>Erstwhile</w:t>
      </w:r>
      <w:r>
        <w:rPr>
          <w:spacing w:val="-6"/>
        </w:rPr>
        <w:t> </w:t>
      </w:r>
      <w:r>
        <w:rPr/>
        <w:t>commercial</w:t>
      </w:r>
      <w:r>
        <w:rPr>
          <w:spacing w:val="-4"/>
        </w:rPr>
        <w:t> </w:t>
      </w:r>
      <w:r>
        <w:rPr/>
        <w:t>district</w:t>
      </w:r>
      <w:r>
        <w:rPr>
          <w:spacing w:val="-4"/>
        </w:rPr>
        <w:t> </w:t>
      </w:r>
      <w:r>
        <w:rPr/>
        <w:t>of</w:t>
      </w:r>
      <w:r>
        <w:rPr>
          <w:spacing w:val="-4"/>
        </w:rPr>
        <w:t> </w:t>
      </w:r>
      <w:r>
        <w:rPr/>
        <w:t>Mumbai;</w:t>
      </w:r>
      <w:r>
        <w:rPr>
          <w:spacing w:val="-5"/>
        </w:rPr>
        <w:t> </w:t>
      </w:r>
      <w:r>
        <w:rPr/>
        <w:t>major</w:t>
      </w:r>
      <w:r>
        <w:rPr>
          <w:spacing w:val="-4"/>
        </w:rPr>
        <w:t> </w:t>
      </w:r>
      <w:r>
        <w:rPr/>
        <w:t>office</w:t>
      </w:r>
      <w:r>
        <w:rPr>
          <w:spacing w:val="-5"/>
        </w:rPr>
        <w:t> </w:t>
      </w:r>
      <w:r>
        <w:rPr/>
        <w:t>locations</w:t>
      </w:r>
      <w:r>
        <w:rPr>
          <w:spacing w:val="-4"/>
        </w:rPr>
        <w:t> </w:t>
      </w:r>
      <w:r>
        <w:rPr/>
        <w:t>include</w:t>
      </w:r>
      <w:r>
        <w:rPr>
          <w:spacing w:val="-4"/>
        </w:rPr>
        <w:t> </w:t>
      </w:r>
      <w:r>
        <w:rPr/>
        <w:t>Fort,</w:t>
      </w:r>
      <w:r>
        <w:rPr>
          <w:spacing w:val="-4"/>
        </w:rPr>
        <w:t> </w:t>
      </w:r>
      <w:r>
        <w:rPr/>
        <w:t>Nariman</w:t>
      </w:r>
      <w:r>
        <w:rPr>
          <w:spacing w:val="-5"/>
        </w:rPr>
        <w:t> </w:t>
      </w:r>
      <w:r>
        <w:rPr/>
        <w:t>Point,</w:t>
      </w:r>
      <w:r>
        <w:rPr>
          <w:spacing w:val="-4"/>
        </w:rPr>
        <w:t> </w:t>
      </w:r>
      <w:r>
        <w:rPr/>
        <w:t>Ballard Estate that are characterized by developed social infrastructure with prominent occupiers including government</w:t>
      </w:r>
      <w:r>
        <w:rPr>
          <w:spacing w:val="-40"/>
        </w:rPr>
        <w:t> </w:t>
      </w:r>
      <w:r>
        <w:rPr/>
        <w:t>bodies,</w:t>
      </w:r>
      <w:r>
        <w:rPr>
          <w:spacing w:val="-40"/>
        </w:rPr>
        <w:t> </w:t>
      </w:r>
      <w:r>
        <w:rPr/>
        <w:t>financial</w:t>
      </w:r>
      <w:r>
        <w:rPr>
          <w:spacing w:val="-39"/>
        </w:rPr>
        <w:t> </w:t>
      </w:r>
      <w:r>
        <w:rPr/>
        <w:t>institutions,</w:t>
      </w:r>
      <w:r>
        <w:rPr>
          <w:spacing w:val="-40"/>
        </w:rPr>
        <w:t> </w:t>
      </w:r>
      <w:r>
        <w:rPr/>
        <w:t>trading</w:t>
      </w:r>
      <w:r>
        <w:rPr>
          <w:spacing w:val="-39"/>
        </w:rPr>
        <w:t> </w:t>
      </w:r>
      <w:r>
        <w:rPr/>
        <w:t>bourses,</w:t>
      </w:r>
      <w:r>
        <w:rPr>
          <w:spacing w:val="-40"/>
        </w:rPr>
        <w:t> </w:t>
      </w:r>
      <w:r>
        <w:rPr/>
        <w:t>etc.</w:t>
      </w:r>
      <w:r>
        <w:rPr>
          <w:spacing w:val="-40"/>
        </w:rPr>
        <w:t> </w:t>
      </w:r>
      <w:r>
        <w:rPr/>
        <w:t>The</w:t>
      </w:r>
      <w:r>
        <w:rPr>
          <w:spacing w:val="-40"/>
        </w:rPr>
        <w:t> </w:t>
      </w:r>
      <w:r>
        <w:rPr/>
        <w:t>CBD</w:t>
      </w:r>
      <w:r>
        <w:rPr>
          <w:spacing w:val="-39"/>
        </w:rPr>
        <w:t> </w:t>
      </w:r>
      <w:r>
        <w:rPr/>
        <w:t>is</w:t>
      </w:r>
      <w:r>
        <w:rPr>
          <w:spacing w:val="-38"/>
        </w:rPr>
        <w:t> </w:t>
      </w:r>
      <w:r>
        <w:rPr/>
        <w:t>characterized</w:t>
      </w:r>
      <w:r>
        <w:rPr>
          <w:spacing w:val="-39"/>
        </w:rPr>
        <w:t> </w:t>
      </w:r>
      <w:r>
        <w:rPr/>
        <w:t>by</w:t>
      </w:r>
      <w:r>
        <w:rPr>
          <w:spacing w:val="-38"/>
        </w:rPr>
        <w:t> </w:t>
      </w:r>
      <w:r>
        <w:rPr/>
        <w:t>the</w:t>
      </w:r>
      <w:r>
        <w:rPr>
          <w:spacing w:val="-41"/>
        </w:rPr>
        <w:t> </w:t>
      </w:r>
      <w:r>
        <w:rPr/>
        <w:t>presence of</w:t>
      </w:r>
      <w:r>
        <w:rPr>
          <w:spacing w:val="-16"/>
        </w:rPr>
        <w:t> </w:t>
      </w:r>
      <w:r>
        <w:rPr/>
        <w:t>the</w:t>
      </w:r>
      <w:r>
        <w:rPr>
          <w:spacing w:val="-16"/>
        </w:rPr>
        <w:t> </w:t>
      </w:r>
      <w:r>
        <w:rPr/>
        <w:t>most</w:t>
      </w:r>
      <w:r>
        <w:rPr>
          <w:spacing w:val="-15"/>
        </w:rPr>
        <w:t> </w:t>
      </w:r>
      <w:r>
        <w:rPr/>
        <w:t>expensive</w:t>
      </w:r>
      <w:r>
        <w:rPr>
          <w:spacing w:val="-16"/>
        </w:rPr>
        <w:t> </w:t>
      </w:r>
      <w:r>
        <w:rPr/>
        <w:t>and</w:t>
      </w:r>
      <w:r>
        <w:rPr>
          <w:spacing w:val="-15"/>
        </w:rPr>
        <w:t> </w:t>
      </w:r>
      <w:r>
        <w:rPr/>
        <w:t>exclusive</w:t>
      </w:r>
      <w:r>
        <w:rPr>
          <w:spacing w:val="-16"/>
        </w:rPr>
        <w:t> </w:t>
      </w:r>
      <w:r>
        <w:rPr/>
        <w:t>residential</w:t>
      </w:r>
      <w:r>
        <w:rPr>
          <w:spacing w:val="-16"/>
        </w:rPr>
        <w:t> </w:t>
      </w:r>
      <w:r>
        <w:rPr/>
        <w:t>neighbourhoods,</w:t>
      </w:r>
      <w:r>
        <w:rPr>
          <w:spacing w:val="-15"/>
        </w:rPr>
        <w:t> </w:t>
      </w:r>
      <w:r>
        <w:rPr/>
        <w:t>landmark</w:t>
      </w:r>
      <w:r>
        <w:rPr>
          <w:spacing w:val="-14"/>
        </w:rPr>
        <w:t> </w:t>
      </w:r>
      <w:r>
        <w:rPr/>
        <w:t>hotels</w:t>
      </w:r>
      <w:r>
        <w:rPr>
          <w:spacing w:val="-15"/>
        </w:rPr>
        <w:t> </w:t>
      </w:r>
      <w:r>
        <w:rPr/>
        <w:t>and</w:t>
      </w:r>
      <w:r>
        <w:rPr>
          <w:spacing w:val="-16"/>
        </w:rPr>
        <w:t> </w:t>
      </w:r>
      <w:r>
        <w:rPr/>
        <w:t>other</w:t>
      </w:r>
      <w:r>
        <w:rPr>
          <w:spacing w:val="-17"/>
        </w:rPr>
        <w:t> </w:t>
      </w:r>
      <w:r>
        <w:rPr/>
        <w:t>social</w:t>
      </w:r>
      <w:r>
        <w:rPr>
          <w:spacing w:val="-16"/>
        </w:rPr>
        <w:t> </w:t>
      </w:r>
      <w:r>
        <w:rPr/>
        <w:t>and lifestyle</w:t>
      </w:r>
      <w:r>
        <w:rPr>
          <w:spacing w:val="-21"/>
        </w:rPr>
        <w:t> </w:t>
      </w:r>
      <w:r>
        <w:rPr/>
        <w:t>infrastructure.</w:t>
      </w:r>
      <w:r>
        <w:rPr>
          <w:spacing w:val="-19"/>
        </w:rPr>
        <w:t> </w:t>
      </w:r>
      <w:r>
        <w:rPr/>
        <w:t>It</w:t>
      </w:r>
      <w:r>
        <w:rPr>
          <w:spacing w:val="-19"/>
        </w:rPr>
        <w:t> </w:t>
      </w:r>
      <w:r>
        <w:rPr/>
        <w:t>attracts</w:t>
      </w:r>
      <w:r>
        <w:rPr>
          <w:spacing w:val="-18"/>
        </w:rPr>
        <w:t> </w:t>
      </w:r>
      <w:r>
        <w:rPr/>
        <w:t>marquee</w:t>
      </w:r>
      <w:r>
        <w:rPr>
          <w:spacing w:val="-20"/>
        </w:rPr>
        <w:t> </w:t>
      </w:r>
      <w:r>
        <w:rPr/>
        <w:t>tenants</w:t>
      </w:r>
      <w:r>
        <w:rPr>
          <w:spacing w:val="-21"/>
        </w:rPr>
        <w:t> </w:t>
      </w:r>
      <w:r>
        <w:rPr/>
        <w:t>and</w:t>
      </w:r>
      <w:r>
        <w:rPr>
          <w:spacing w:val="-19"/>
        </w:rPr>
        <w:t> </w:t>
      </w:r>
      <w:r>
        <w:rPr/>
        <w:t>remains</w:t>
      </w:r>
      <w:r>
        <w:rPr>
          <w:spacing w:val="-19"/>
        </w:rPr>
        <w:t> </w:t>
      </w:r>
      <w:r>
        <w:rPr/>
        <w:t>a</w:t>
      </w:r>
      <w:r>
        <w:rPr>
          <w:spacing w:val="-20"/>
        </w:rPr>
        <w:t> </w:t>
      </w:r>
      <w:r>
        <w:rPr/>
        <w:t>hub</w:t>
      </w:r>
      <w:r>
        <w:rPr>
          <w:spacing w:val="-19"/>
        </w:rPr>
        <w:t> </w:t>
      </w:r>
      <w:r>
        <w:rPr/>
        <w:t>for</w:t>
      </w:r>
      <w:r>
        <w:rPr>
          <w:spacing w:val="-20"/>
        </w:rPr>
        <w:t> </w:t>
      </w:r>
      <w:r>
        <w:rPr/>
        <w:t>corporate</w:t>
      </w:r>
      <w:r>
        <w:rPr>
          <w:spacing w:val="-20"/>
        </w:rPr>
        <w:t> </w:t>
      </w:r>
      <w:r>
        <w:rPr/>
        <w:t>headquarters</w:t>
      </w:r>
      <w:r>
        <w:rPr>
          <w:spacing w:val="-18"/>
        </w:rPr>
        <w:t> </w:t>
      </w:r>
      <w:r>
        <w:rPr/>
        <w:t>and professional services as well as various Government and statutory authorities (such as Mantralaya, Bombay High Court, RBI). Presence of good quality residential dwelling options, proximity to quality healthcare,</w:t>
      </w:r>
      <w:r>
        <w:rPr>
          <w:spacing w:val="-25"/>
        </w:rPr>
        <w:t> </w:t>
      </w:r>
      <w:r>
        <w:rPr/>
        <w:t>education</w:t>
      </w:r>
      <w:r>
        <w:rPr>
          <w:spacing w:val="-24"/>
        </w:rPr>
        <w:t> </w:t>
      </w:r>
      <w:r>
        <w:rPr/>
        <w:t>and</w:t>
      </w:r>
      <w:r>
        <w:rPr>
          <w:spacing w:val="-24"/>
        </w:rPr>
        <w:t> </w:t>
      </w:r>
      <w:r>
        <w:rPr/>
        <w:t>presence</w:t>
      </w:r>
      <w:r>
        <w:rPr>
          <w:spacing w:val="-25"/>
        </w:rPr>
        <w:t> </w:t>
      </w:r>
      <w:r>
        <w:rPr/>
        <w:t>of</w:t>
      </w:r>
      <w:r>
        <w:rPr>
          <w:spacing w:val="-23"/>
        </w:rPr>
        <w:t> </w:t>
      </w:r>
      <w:r>
        <w:rPr/>
        <w:t>retail</w:t>
      </w:r>
      <w:r>
        <w:rPr>
          <w:spacing w:val="-25"/>
        </w:rPr>
        <w:t> </w:t>
      </w:r>
      <w:r>
        <w:rPr/>
        <w:t>options,</w:t>
      </w:r>
      <w:r>
        <w:rPr>
          <w:spacing w:val="-21"/>
        </w:rPr>
        <w:t> </w:t>
      </w:r>
      <w:r>
        <w:rPr/>
        <w:t>have</w:t>
      </w:r>
      <w:r>
        <w:rPr>
          <w:spacing w:val="-25"/>
        </w:rPr>
        <w:t> </w:t>
      </w:r>
      <w:r>
        <w:rPr/>
        <w:t>resulted</w:t>
      </w:r>
      <w:r>
        <w:rPr>
          <w:spacing w:val="-24"/>
        </w:rPr>
        <w:t> </w:t>
      </w:r>
      <w:r>
        <w:rPr/>
        <w:t>in</w:t>
      </w:r>
      <w:r>
        <w:rPr>
          <w:spacing w:val="-25"/>
        </w:rPr>
        <w:t> </w:t>
      </w:r>
      <w:r>
        <w:rPr/>
        <w:t>the</w:t>
      </w:r>
      <w:r>
        <w:rPr>
          <w:spacing w:val="-24"/>
        </w:rPr>
        <w:t> </w:t>
      </w:r>
      <w:r>
        <w:rPr/>
        <w:t>emergence</w:t>
      </w:r>
      <w:r>
        <w:rPr>
          <w:spacing w:val="-25"/>
        </w:rPr>
        <w:t> </w:t>
      </w:r>
      <w:r>
        <w:rPr/>
        <w:t>of</w:t>
      </w:r>
      <w:r>
        <w:rPr>
          <w:spacing w:val="-23"/>
        </w:rPr>
        <w:t> </w:t>
      </w:r>
      <w:r>
        <w:rPr/>
        <w:t>the</w:t>
      </w:r>
      <w:r>
        <w:rPr>
          <w:spacing w:val="-26"/>
        </w:rPr>
        <w:t> </w:t>
      </w:r>
      <w:r>
        <w:rPr/>
        <w:t>submarket as a self-sustaining</w:t>
      </w:r>
      <w:r>
        <w:rPr>
          <w:spacing w:val="-8"/>
        </w:rPr>
        <w:t> </w:t>
      </w:r>
      <w:r>
        <w:rPr/>
        <w:t>region.</w:t>
      </w:r>
    </w:p>
    <w:p>
      <w:pPr>
        <w:pStyle w:val="BodyText"/>
        <w:rPr>
          <w:sz w:val="21"/>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87" w:id="171"/>
      <w:bookmarkEnd w:id="171"/>
      <w:r>
        <w:rPr/>
      </w:r>
      <w:bookmarkStart w:name="_bookmark87" w:id="172"/>
      <w:bookmarkEnd w:id="172"/>
      <w:r>
        <w:rPr>
          <w:color w:val="1F664D"/>
          <w:w w:val="105"/>
          <w:sz w:val="22"/>
        </w:rPr>
        <w:t>De</w:t>
      </w:r>
      <w:r>
        <w:rPr>
          <w:color w:val="1F664D"/>
          <w:w w:val="105"/>
          <w:sz w:val="22"/>
        </w:rPr>
        <w:t>mand-Supply</w:t>
      </w:r>
      <w:r>
        <w:rPr>
          <w:color w:val="1F664D"/>
          <w:spacing w:val="-7"/>
          <w:w w:val="105"/>
          <w:sz w:val="22"/>
        </w:rPr>
        <w:t> </w:t>
      </w:r>
      <w:r>
        <w:rPr>
          <w:color w:val="1F664D"/>
          <w:w w:val="105"/>
          <w:sz w:val="22"/>
        </w:rPr>
        <w:t>Dynamics</w:t>
      </w:r>
    </w:p>
    <w:p>
      <w:pPr>
        <w:pStyle w:val="BodyText"/>
        <w:spacing w:before="6"/>
        <w:rPr>
          <w:sz w:val="25"/>
        </w:rPr>
      </w:pPr>
    </w:p>
    <w:p>
      <w:pPr>
        <w:spacing w:before="1"/>
        <w:ind w:left="120" w:right="0" w:firstLine="0"/>
        <w:jc w:val="left"/>
        <w:rPr>
          <w:i/>
          <w:sz w:val="20"/>
        </w:rPr>
      </w:pPr>
      <w:r>
        <w:rPr>
          <w:color w:val="008000"/>
          <w:sz w:val="22"/>
        </w:rPr>
        <w:t>6.3.1.1 </w:t>
      </w:r>
      <w:r>
        <w:rPr>
          <w:i/>
          <w:color w:val="008000"/>
          <w:sz w:val="20"/>
        </w:rPr>
        <w:t>Demand, Supply and Vacancy Trends </w:t>
      </w:r>
      <w:r>
        <w:rPr>
          <w:i/>
          <w:color w:val="008000"/>
          <w:w w:val="105"/>
          <w:sz w:val="20"/>
        </w:rPr>
        <w:t>– </w:t>
      </w:r>
      <w:r>
        <w:rPr>
          <w:i/>
          <w:color w:val="008000"/>
          <w:sz w:val="20"/>
        </w:rPr>
        <w:t>Mumbai and Central Business District submarket</w:t>
      </w:r>
    </w:p>
    <w:p>
      <w:pPr>
        <w:pStyle w:val="BodyText"/>
        <w:rPr>
          <w:i/>
        </w:rPr>
      </w:pPr>
    </w:p>
    <w:p>
      <w:pPr>
        <w:pStyle w:val="BodyText"/>
        <w:spacing w:line="321" w:lineRule="auto"/>
        <w:ind w:left="667" w:right="124"/>
        <w:jc w:val="both"/>
      </w:pPr>
      <w:r>
        <w:rPr/>
        <w:t>Total</w:t>
      </w:r>
      <w:r>
        <w:rPr>
          <w:spacing w:val="-12"/>
        </w:rPr>
        <w:t> </w:t>
      </w:r>
      <w:r>
        <w:rPr/>
        <w:t>completed</w:t>
      </w:r>
      <w:r>
        <w:rPr>
          <w:spacing w:val="-12"/>
        </w:rPr>
        <w:t> </w:t>
      </w:r>
      <w:r>
        <w:rPr/>
        <w:t>stock</w:t>
      </w:r>
      <w:r>
        <w:rPr>
          <w:spacing w:val="-11"/>
        </w:rPr>
        <w:t> </w:t>
      </w:r>
      <w:r>
        <w:rPr/>
        <w:t>in</w:t>
      </w:r>
      <w:r>
        <w:rPr>
          <w:spacing w:val="-11"/>
        </w:rPr>
        <w:t> </w:t>
      </w:r>
      <w:r>
        <w:rPr/>
        <w:t>Mumbai</w:t>
      </w:r>
      <w:r>
        <w:rPr>
          <w:spacing w:val="-12"/>
        </w:rPr>
        <w:t> </w:t>
      </w:r>
      <w:r>
        <w:rPr/>
        <w:t>Metropolitan</w:t>
      </w:r>
      <w:r>
        <w:rPr>
          <w:spacing w:val="-11"/>
        </w:rPr>
        <w:t> </w:t>
      </w:r>
      <w:r>
        <w:rPr/>
        <w:t>Region</w:t>
      </w:r>
      <w:r>
        <w:rPr>
          <w:spacing w:val="-11"/>
        </w:rPr>
        <w:t> </w:t>
      </w:r>
      <w:r>
        <w:rPr/>
        <w:t>(MMR)</w:t>
      </w:r>
      <w:r>
        <w:rPr>
          <w:spacing w:val="-10"/>
        </w:rPr>
        <w:t> </w:t>
      </w:r>
      <w:r>
        <w:rPr/>
        <w:t>and</w:t>
      </w:r>
      <w:r>
        <w:rPr>
          <w:spacing w:val="-10"/>
        </w:rPr>
        <w:t> </w:t>
      </w:r>
      <w:r>
        <w:rPr/>
        <w:t>Central</w:t>
      </w:r>
      <w:r>
        <w:rPr>
          <w:spacing w:val="-11"/>
        </w:rPr>
        <w:t> </w:t>
      </w:r>
      <w:r>
        <w:rPr/>
        <w:t>Business</w:t>
      </w:r>
      <w:r>
        <w:rPr>
          <w:spacing w:val="-10"/>
        </w:rPr>
        <w:t> </w:t>
      </w:r>
      <w:r>
        <w:rPr/>
        <w:t>District</w:t>
      </w:r>
      <w:r>
        <w:rPr>
          <w:spacing w:val="-10"/>
        </w:rPr>
        <w:t> </w:t>
      </w:r>
      <w:r>
        <w:rPr/>
        <w:t>(CBD)</w:t>
      </w:r>
      <w:r>
        <w:rPr>
          <w:spacing w:val="-10"/>
        </w:rPr>
        <w:t> </w:t>
      </w:r>
      <w:r>
        <w:rPr/>
        <w:t>as</w:t>
      </w:r>
      <w:r>
        <w:rPr>
          <w:spacing w:val="-11"/>
        </w:rPr>
        <w:t> </w:t>
      </w:r>
      <w:r>
        <w:rPr/>
        <w:t>of Q4, 2019 is 122.49 msf and 6.65 msf</w:t>
      </w:r>
      <w:r>
        <w:rPr>
          <w:spacing w:val="-14"/>
        </w:rPr>
        <w:t> </w:t>
      </w:r>
      <w:r>
        <w:rPr/>
        <w:t>respectively.</w:t>
      </w:r>
    </w:p>
    <w:p>
      <w:pPr>
        <w:pStyle w:val="BodyText"/>
        <w:rPr>
          <w:sz w:val="20"/>
        </w:rPr>
      </w:pPr>
    </w:p>
    <w:p>
      <w:pPr>
        <w:pStyle w:val="BodyText"/>
        <w:spacing w:before="9"/>
        <w:rPr>
          <w:sz w:val="10"/>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996"/>
        <w:gridCol w:w="2719"/>
        <w:gridCol w:w="2652"/>
      </w:tblGrid>
      <w:tr>
        <w:trPr>
          <w:trHeight w:val="469" w:hRule="atLeast"/>
        </w:trPr>
        <w:tc>
          <w:tcPr>
            <w:tcW w:w="4996" w:type="dxa"/>
            <w:tcBorders>
              <w:top w:val="single" w:sz="12" w:space="0" w:color="1F6B16"/>
              <w:bottom w:val="single" w:sz="6" w:space="0" w:color="69BD28"/>
            </w:tcBorders>
            <w:shd w:val="clear" w:color="auto" w:fill="006A4D"/>
          </w:tcPr>
          <w:p>
            <w:pPr>
              <w:pStyle w:val="TableParagraph"/>
              <w:spacing w:before="125"/>
              <w:ind w:left="478" w:right="478"/>
              <w:rPr>
                <w:b/>
                <w:sz w:val="18"/>
              </w:rPr>
            </w:pPr>
            <w:r>
              <w:rPr>
                <w:b/>
                <w:color w:val="FFFFFF"/>
                <w:w w:val="105"/>
                <w:sz w:val="18"/>
              </w:rPr>
              <w:t>Particular</w:t>
            </w:r>
          </w:p>
        </w:tc>
        <w:tc>
          <w:tcPr>
            <w:tcW w:w="2719" w:type="dxa"/>
            <w:tcBorders>
              <w:top w:val="single" w:sz="12" w:space="0" w:color="1F6B16"/>
              <w:bottom w:val="single" w:sz="6" w:space="0" w:color="69BD28"/>
            </w:tcBorders>
            <w:shd w:val="clear" w:color="auto" w:fill="006A4D"/>
          </w:tcPr>
          <w:p>
            <w:pPr>
              <w:pStyle w:val="TableParagraph"/>
              <w:spacing w:before="125"/>
              <w:ind w:left="1083" w:right="1141"/>
              <w:rPr>
                <w:b/>
                <w:sz w:val="18"/>
              </w:rPr>
            </w:pPr>
            <w:r>
              <w:rPr>
                <w:b/>
                <w:color w:val="FFFFFF"/>
                <w:w w:val="120"/>
                <w:sz w:val="18"/>
              </w:rPr>
              <w:t>MMR</w:t>
            </w:r>
          </w:p>
        </w:tc>
        <w:tc>
          <w:tcPr>
            <w:tcW w:w="2652" w:type="dxa"/>
            <w:tcBorders>
              <w:top w:val="single" w:sz="12" w:space="0" w:color="1F6B16"/>
              <w:bottom w:val="single" w:sz="6" w:space="0" w:color="69BD28"/>
            </w:tcBorders>
            <w:shd w:val="clear" w:color="auto" w:fill="006A4D"/>
          </w:tcPr>
          <w:p>
            <w:pPr>
              <w:pStyle w:val="TableParagraph"/>
              <w:spacing w:before="125"/>
              <w:ind w:left="728" w:right="781"/>
              <w:rPr>
                <w:b/>
                <w:sz w:val="18"/>
              </w:rPr>
            </w:pPr>
            <w:r>
              <w:rPr>
                <w:b/>
                <w:color w:val="FFFFFF"/>
                <w:w w:val="110"/>
                <w:sz w:val="18"/>
              </w:rPr>
              <w:t>CBD</w:t>
            </w:r>
          </w:p>
        </w:tc>
      </w:tr>
      <w:tr>
        <w:trPr>
          <w:trHeight w:val="523" w:hRule="atLeast"/>
        </w:trPr>
        <w:tc>
          <w:tcPr>
            <w:tcW w:w="4996" w:type="dxa"/>
            <w:vMerge w:val="restart"/>
            <w:shd w:val="clear" w:color="auto" w:fill="69BD28"/>
          </w:tcPr>
          <w:p>
            <w:pPr>
              <w:pStyle w:val="TableParagraph"/>
              <w:spacing w:line="619" w:lineRule="auto" w:before="126"/>
              <w:ind w:left="567" w:right="478"/>
              <w:rPr>
                <w:sz w:val="18"/>
              </w:rPr>
            </w:pPr>
            <w:r>
              <w:rPr>
                <w:color w:val="FFFFFF"/>
                <w:sz w:val="18"/>
              </w:rPr>
              <w:t>Cumulative completed stock (Q4 2019) </w:t>
            </w:r>
            <w:r>
              <w:rPr>
                <w:color w:val="FFFFFF"/>
                <w:w w:val="105"/>
                <w:sz w:val="18"/>
              </w:rPr>
              <w:t>– </w:t>
            </w:r>
            <w:r>
              <w:rPr>
                <w:color w:val="FFFFFF"/>
                <w:sz w:val="18"/>
              </w:rPr>
              <w:t>(in msf) Current occupied stock (Q4 2019) (in msf) Current Vacancy (Q4 2019)</w:t>
            </w:r>
          </w:p>
          <w:p>
            <w:pPr>
              <w:pStyle w:val="TableParagraph"/>
              <w:spacing w:before="2"/>
              <w:ind w:left="442" w:right="353"/>
              <w:rPr>
                <w:sz w:val="18"/>
              </w:rPr>
            </w:pPr>
            <w:r>
              <w:rPr>
                <w:color w:val="FFFFFF"/>
                <w:w w:val="105"/>
                <w:sz w:val="18"/>
              </w:rPr>
              <w:t>Average Annual Absorption (2014 – 2019) (in msf)</w:t>
            </w:r>
          </w:p>
        </w:tc>
        <w:tc>
          <w:tcPr>
            <w:tcW w:w="2719" w:type="dxa"/>
            <w:tcBorders>
              <w:top w:val="single" w:sz="6" w:space="0" w:color="69BD28"/>
              <w:bottom w:val="single" w:sz="6" w:space="0" w:color="69BD28"/>
            </w:tcBorders>
          </w:tcPr>
          <w:p>
            <w:pPr>
              <w:pStyle w:val="TableParagraph"/>
              <w:spacing w:before="126"/>
              <w:ind w:right="763"/>
              <w:jc w:val="right"/>
              <w:rPr>
                <w:sz w:val="18"/>
              </w:rPr>
            </w:pPr>
            <w:r>
              <w:rPr>
                <w:w w:val="105"/>
                <w:sz w:val="18"/>
              </w:rPr>
              <w:t>Approx. 122.49</w:t>
            </w:r>
          </w:p>
        </w:tc>
        <w:tc>
          <w:tcPr>
            <w:tcW w:w="2652" w:type="dxa"/>
            <w:tcBorders>
              <w:top w:val="single" w:sz="6" w:space="0" w:color="69BD28"/>
              <w:bottom w:val="single" w:sz="6" w:space="0" w:color="69BD28"/>
            </w:tcBorders>
          </w:tcPr>
          <w:p>
            <w:pPr>
              <w:pStyle w:val="TableParagraph"/>
              <w:spacing w:before="126"/>
              <w:ind w:left="728" w:right="782"/>
              <w:rPr>
                <w:sz w:val="18"/>
              </w:rPr>
            </w:pPr>
            <w:r>
              <w:rPr>
                <w:sz w:val="18"/>
              </w:rPr>
              <w:t>Approx. 6.65</w:t>
            </w:r>
          </w:p>
        </w:tc>
      </w:tr>
      <w:tr>
        <w:trPr>
          <w:trHeight w:val="524" w:hRule="atLeast"/>
        </w:trPr>
        <w:tc>
          <w:tcPr>
            <w:tcW w:w="4996" w:type="dxa"/>
            <w:vMerge/>
            <w:tcBorders>
              <w:top w:val="nil"/>
            </w:tcBorders>
            <w:shd w:val="clear" w:color="auto" w:fill="69BD28"/>
          </w:tcPr>
          <w:p>
            <w:pPr>
              <w:rPr>
                <w:sz w:val="2"/>
                <w:szCs w:val="2"/>
              </w:rPr>
            </w:pPr>
          </w:p>
        </w:tc>
        <w:tc>
          <w:tcPr>
            <w:tcW w:w="2719" w:type="dxa"/>
            <w:tcBorders>
              <w:top w:val="single" w:sz="6" w:space="0" w:color="69BD28"/>
              <w:bottom w:val="single" w:sz="6" w:space="0" w:color="69BD28"/>
            </w:tcBorders>
          </w:tcPr>
          <w:p>
            <w:pPr>
              <w:pStyle w:val="TableParagraph"/>
              <w:spacing w:before="128"/>
              <w:ind w:right="813"/>
              <w:jc w:val="right"/>
              <w:rPr>
                <w:sz w:val="18"/>
              </w:rPr>
            </w:pPr>
            <w:r>
              <w:rPr>
                <w:sz w:val="18"/>
              </w:rPr>
              <w:t>Approx. 96.81</w:t>
            </w:r>
          </w:p>
        </w:tc>
        <w:tc>
          <w:tcPr>
            <w:tcW w:w="2652" w:type="dxa"/>
            <w:tcBorders>
              <w:top w:val="single" w:sz="6" w:space="0" w:color="69BD28"/>
              <w:bottom w:val="single" w:sz="6" w:space="0" w:color="69BD28"/>
            </w:tcBorders>
          </w:tcPr>
          <w:p>
            <w:pPr>
              <w:pStyle w:val="TableParagraph"/>
              <w:spacing w:before="128"/>
              <w:ind w:left="728" w:right="782"/>
              <w:rPr>
                <w:sz w:val="18"/>
              </w:rPr>
            </w:pPr>
            <w:r>
              <w:rPr>
                <w:sz w:val="18"/>
              </w:rPr>
              <w:t>Approx. 6.30</w:t>
            </w:r>
          </w:p>
        </w:tc>
      </w:tr>
      <w:tr>
        <w:trPr>
          <w:trHeight w:val="525" w:hRule="atLeast"/>
        </w:trPr>
        <w:tc>
          <w:tcPr>
            <w:tcW w:w="4996" w:type="dxa"/>
            <w:vMerge/>
            <w:tcBorders>
              <w:top w:val="nil"/>
            </w:tcBorders>
            <w:shd w:val="clear" w:color="auto" w:fill="69BD28"/>
          </w:tcPr>
          <w:p>
            <w:pPr>
              <w:rPr>
                <w:sz w:val="2"/>
                <w:szCs w:val="2"/>
              </w:rPr>
            </w:pPr>
          </w:p>
        </w:tc>
        <w:tc>
          <w:tcPr>
            <w:tcW w:w="2719" w:type="dxa"/>
            <w:tcBorders>
              <w:top w:val="single" w:sz="6" w:space="0" w:color="69BD28"/>
              <w:bottom w:val="single" w:sz="6" w:space="0" w:color="69BD28"/>
            </w:tcBorders>
          </w:tcPr>
          <w:p>
            <w:pPr>
              <w:pStyle w:val="TableParagraph"/>
              <w:spacing w:before="128"/>
              <w:ind w:right="800"/>
              <w:jc w:val="right"/>
              <w:rPr>
                <w:sz w:val="18"/>
              </w:rPr>
            </w:pPr>
            <w:r>
              <w:rPr>
                <w:w w:val="105"/>
                <w:sz w:val="18"/>
              </w:rPr>
              <w:t>Approx. 21.0%</w:t>
            </w:r>
          </w:p>
        </w:tc>
        <w:tc>
          <w:tcPr>
            <w:tcW w:w="2652" w:type="dxa"/>
            <w:tcBorders>
              <w:top w:val="single" w:sz="6" w:space="0" w:color="69BD28"/>
              <w:bottom w:val="single" w:sz="6" w:space="0" w:color="69BD28"/>
            </w:tcBorders>
          </w:tcPr>
          <w:p>
            <w:pPr>
              <w:pStyle w:val="TableParagraph"/>
              <w:spacing w:before="128"/>
              <w:ind w:left="728" w:right="784"/>
              <w:rPr>
                <w:sz w:val="18"/>
              </w:rPr>
            </w:pPr>
            <w:r>
              <w:rPr>
                <w:w w:val="105"/>
                <w:sz w:val="18"/>
              </w:rPr>
              <w:t>Approx. 5.2%</w:t>
            </w:r>
          </w:p>
        </w:tc>
      </w:tr>
      <w:tr>
        <w:trPr>
          <w:trHeight w:val="527" w:hRule="atLeast"/>
        </w:trPr>
        <w:tc>
          <w:tcPr>
            <w:tcW w:w="4996" w:type="dxa"/>
            <w:vMerge/>
            <w:tcBorders>
              <w:top w:val="nil"/>
            </w:tcBorders>
            <w:shd w:val="clear" w:color="auto" w:fill="69BD28"/>
          </w:tcPr>
          <w:p>
            <w:pPr>
              <w:rPr>
                <w:sz w:val="2"/>
                <w:szCs w:val="2"/>
              </w:rPr>
            </w:pPr>
          </w:p>
        </w:tc>
        <w:tc>
          <w:tcPr>
            <w:tcW w:w="2719" w:type="dxa"/>
            <w:tcBorders>
              <w:top w:val="single" w:sz="6" w:space="0" w:color="69BD28"/>
              <w:bottom w:val="single" w:sz="6" w:space="0" w:color="69BD28"/>
            </w:tcBorders>
          </w:tcPr>
          <w:p>
            <w:pPr>
              <w:pStyle w:val="TableParagraph"/>
              <w:spacing w:before="128"/>
              <w:ind w:right="866"/>
              <w:jc w:val="right"/>
              <w:rPr>
                <w:sz w:val="18"/>
              </w:rPr>
            </w:pPr>
            <w:r>
              <w:rPr>
                <w:sz w:val="18"/>
              </w:rPr>
              <w:t>Approx. 5.27</w:t>
            </w:r>
          </w:p>
        </w:tc>
        <w:tc>
          <w:tcPr>
            <w:tcW w:w="2652" w:type="dxa"/>
            <w:tcBorders>
              <w:top w:val="single" w:sz="6" w:space="0" w:color="69BD28"/>
              <w:bottom w:val="single" w:sz="6" w:space="0" w:color="69BD28"/>
            </w:tcBorders>
          </w:tcPr>
          <w:p>
            <w:pPr>
              <w:pStyle w:val="TableParagraph"/>
              <w:spacing w:before="128"/>
              <w:ind w:left="728" w:right="782"/>
              <w:rPr>
                <w:sz w:val="18"/>
              </w:rPr>
            </w:pPr>
            <w:r>
              <w:rPr>
                <w:sz w:val="18"/>
              </w:rPr>
              <w:t>Approx. 0.04</w:t>
            </w:r>
          </w:p>
        </w:tc>
      </w:tr>
    </w:tbl>
    <w:p>
      <w:pPr>
        <w:spacing w:before="8"/>
        <w:ind w:left="120" w:right="0" w:firstLine="0"/>
        <w:jc w:val="left"/>
        <w:rPr>
          <w:i/>
          <w:sz w:val="18"/>
        </w:rPr>
      </w:pPr>
      <w:r>
        <w:rPr>
          <w:i/>
          <w:sz w:val="18"/>
        </w:rPr>
        <w:t>Source: CBRE Research</w:t>
      </w:r>
    </w:p>
    <w:p>
      <w:pPr>
        <w:spacing w:after="0"/>
        <w:jc w:val="left"/>
        <w:rPr>
          <w:sz w:val="18"/>
        </w:rPr>
        <w:sectPr>
          <w:pgSz w:w="11910" w:h="16840"/>
          <w:pgMar w:header="720" w:footer="943" w:top="1660" w:bottom="1140" w:left="600" w:right="600"/>
        </w:sectPr>
      </w:pPr>
    </w:p>
    <w:p>
      <w:pPr>
        <w:pStyle w:val="BodyText"/>
        <w:rPr>
          <w:i/>
          <w:sz w:val="20"/>
        </w:rPr>
      </w:pPr>
    </w:p>
    <w:p>
      <w:pPr>
        <w:pStyle w:val="BodyText"/>
        <w:spacing w:before="7"/>
        <w:rPr>
          <w:i/>
          <w:sz w:val="18"/>
        </w:rPr>
      </w:pPr>
    </w:p>
    <w:p>
      <w:pPr>
        <w:pStyle w:val="BodyText"/>
        <w:ind w:left="120"/>
        <w:rPr>
          <w:sz w:val="20"/>
        </w:rPr>
      </w:pPr>
      <w:r>
        <w:rPr>
          <w:sz w:val="20"/>
        </w:rPr>
        <w:pict>
          <v:shape style="width:523.6pt;height:24.85pt;mso-position-horizontal-relative:char;mso-position-vertical-relative:line" type="#_x0000_t202" filled="true" fillcolor="#006a4d" stroked="false">
            <w10:anchorlock/>
            <v:textbox inset="0,0,0,0">
              <w:txbxContent>
                <w:p>
                  <w:pPr>
                    <w:spacing w:before="126"/>
                    <w:ind w:left="350" w:right="0" w:firstLine="0"/>
                    <w:jc w:val="center"/>
                    <w:rPr>
                      <w:sz w:val="20"/>
                    </w:rPr>
                  </w:pPr>
                  <w:r>
                    <w:rPr>
                      <w:color w:val="FFFFFF"/>
                      <w:sz w:val="20"/>
                    </w:rPr>
                    <w:t>Demand Supply Dynamics (Mumbai Metropolitan Region)</w:t>
                  </w:r>
                </w:p>
              </w:txbxContent>
            </v:textbox>
            <v:fill type="solid"/>
          </v:shape>
        </w:pict>
      </w:r>
      <w:r>
        <w:rPr>
          <w:sz w:val="20"/>
        </w:rPr>
      </w:r>
    </w:p>
    <w:p>
      <w:pPr>
        <w:pStyle w:val="BodyText"/>
        <w:spacing w:before="9"/>
        <w:rPr>
          <w:i/>
          <w:sz w:val="26"/>
        </w:rPr>
      </w:pPr>
      <w:r>
        <w:rPr/>
        <w:drawing>
          <wp:anchor distT="0" distB="0" distL="0" distR="0" allowOverlap="1" layoutInCell="1" locked="0" behindDoc="0" simplePos="0" relativeHeight="465">
            <wp:simplePos x="0" y="0"/>
            <wp:positionH relativeFrom="page">
              <wp:posOffset>574903</wp:posOffset>
            </wp:positionH>
            <wp:positionV relativeFrom="paragraph">
              <wp:posOffset>222221</wp:posOffset>
            </wp:positionV>
            <wp:extent cx="6292451" cy="2201703"/>
            <wp:effectExtent l="0" t="0" r="0" b="0"/>
            <wp:wrapTopAndBottom/>
            <wp:docPr id="103" name="image76.jpeg"/>
            <wp:cNvGraphicFramePr>
              <a:graphicFrameLocks noChangeAspect="1"/>
            </wp:cNvGraphicFramePr>
            <a:graphic>
              <a:graphicData uri="http://schemas.openxmlformats.org/drawingml/2006/picture">
                <pic:pic>
                  <pic:nvPicPr>
                    <pic:cNvPr id="104" name="image76.jpeg"/>
                    <pic:cNvPicPr/>
                  </pic:nvPicPr>
                  <pic:blipFill>
                    <a:blip r:embed="rId102" cstate="print"/>
                    <a:stretch>
                      <a:fillRect/>
                    </a:stretch>
                  </pic:blipFill>
                  <pic:spPr>
                    <a:xfrm>
                      <a:off x="0" y="0"/>
                      <a:ext cx="6292451" cy="2201703"/>
                    </a:xfrm>
                    <a:prstGeom prst="rect">
                      <a:avLst/>
                    </a:prstGeom>
                  </pic:spPr>
                </pic:pic>
              </a:graphicData>
            </a:graphic>
          </wp:anchor>
        </w:drawing>
      </w:r>
    </w:p>
    <w:p>
      <w:pPr>
        <w:pStyle w:val="BodyText"/>
        <w:rPr>
          <w:i/>
          <w:sz w:val="20"/>
        </w:rPr>
      </w:pPr>
    </w:p>
    <w:p>
      <w:pPr>
        <w:pStyle w:val="BodyText"/>
        <w:spacing w:before="8"/>
        <w:rPr>
          <w:i/>
          <w:sz w:val="10"/>
        </w:rPr>
      </w:pPr>
      <w:r>
        <w:rPr/>
        <w:pict>
          <v:group style="position:absolute;margin-left:35.279999pt;margin-top:8.178418pt;width:524.3pt;height:25.8pt;mso-position-horizontal-relative:page;mso-position-vertical-relative:paragraph;z-index:-15489536;mso-wrap-distance-left:0;mso-wrap-distance-right:0" coordorigin="706,164" coordsize="10486,516">
            <v:rect style="position:absolute;left:720;top:192;width:10472;height:471" filled="true" fillcolor="#006a4d" stroked="false">
              <v:fill type="solid"/>
            </v:rect>
            <v:rect style="position:absolute;left:720;top:163;width:10472;height:29" filled="true" fillcolor="#1f6b16" stroked="false">
              <v:fill type="solid"/>
            </v:rect>
            <v:rect style="position:absolute;left:720;top:192;width:10472;height:3" filled="true" fillcolor="#006a4d" stroked="false">
              <v:fill type="solid"/>
            </v:rect>
            <v:rect style="position:absolute;left:705;top:665;width:10486;height:15" filled="true" fillcolor="#69bd28" stroked="false">
              <v:fill type="solid"/>
            </v:rect>
            <v:shape style="position:absolute;left:720;top:192;width:10472;height:473" type="#_x0000_t202" filled="false" stroked="false">
              <v:textbox inset="0,0,0,0">
                <w:txbxContent>
                  <w:p>
                    <w:pPr>
                      <w:spacing w:before="123"/>
                      <w:ind w:left="111" w:right="0" w:firstLine="0"/>
                      <w:jc w:val="center"/>
                      <w:rPr>
                        <w:b/>
                        <w:sz w:val="18"/>
                      </w:rPr>
                    </w:pPr>
                    <w:r>
                      <w:rPr>
                        <w:b/>
                        <w:color w:val="FFFFFF"/>
                        <w:w w:val="110"/>
                        <w:sz w:val="18"/>
                      </w:rPr>
                      <w:t>Demand – Supply (Central Business District)</w:t>
                    </w:r>
                  </w:p>
                </w:txbxContent>
              </v:textbox>
              <w10:wrap type="none"/>
            </v:shape>
            <w10:wrap type="topAndBottom"/>
          </v:group>
        </w:pict>
      </w:r>
    </w:p>
    <w:p>
      <w:pPr>
        <w:pStyle w:val="BodyText"/>
        <w:rPr>
          <w:i/>
          <w:sz w:val="20"/>
        </w:rPr>
      </w:pPr>
    </w:p>
    <w:p>
      <w:pPr>
        <w:pStyle w:val="BodyText"/>
        <w:spacing w:before="4"/>
        <w:rPr>
          <w:i/>
          <w:sz w:val="27"/>
        </w:rPr>
      </w:pPr>
      <w:r>
        <w:rPr/>
        <w:drawing>
          <wp:anchor distT="0" distB="0" distL="0" distR="0" allowOverlap="1" layoutInCell="1" locked="0" behindDoc="0" simplePos="0" relativeHeight="468">
            <wp:simplePos x="0" y="0"/>
            <wp:positionH relativeFrom="page">
              <wp:posOffset>504507</wp:posOffset>
            </wp:positionH>
            <wp:positionV relativeFrom="paragraph">
              <wp:posOffset>226678</wp:posOffset>
            </wp:positionV>
            <wp:extent cx="6241708" cy="2246947"/>
            <wp:effectExtent l="0" t="0" r="0" b="0"/>
            <wp:wrapTopAndBottom/>
            <wp:docPr id="105" name="image77.jpeg"/>
            <wp:cNvGraphicFramePr>
              <a:graphicFrameLocks noChangeAspect="1"/>
            </wp:cNvGraphicFramePr>
            <a:graphic>
              <a:graphicData uri="http://schemas.openxmlformats.org/drawingml/2006/picture">
                <pic:pic>
                  <pic:nvPicPr>
                    <pic:cNvPr id="106" name="image77.jpeg"/>
                    <pic:cNvPicPr/>
                  </pic:nvPicPr>
                  <pic:blipFill>
                    <a:blip r:embed="rId103" cstate="print"/>
                    <a:stretch>
                      <a:fillRect/>
                    </a:stretch>
                  </pic:blipFill>
                  <pic:spPr>
                    <a:xfrm>
                      <a:off x="0" y="0"/>
                      <a:ext cx="6241708" cy="2246947"/>
                    </a:xfrm>
                    <a:prstGeom prst="rect">
                      <a:avLst/>
                    </a:prstGeom>
                  </pic:spPr>
                </pic:pic>
              </a:graphicData>
            </a:graphic>
          </wp:anchor>
        </w:drawing>
      </w:r>
    </w:p>
    <w:p>
      <w:pPr>
        <w:pStyle w:val="BodyText"/>
        <w:spacing w:before="6"/>
        <w:rPr>
          <w:i/>
          <w:sz w:val="15"/>
        </w:rPr>
      </w:pPr>
    </w:p>
    <w:p>
      <w:pPr>
        <w:spacing w:before="105"/>
        <w:ind w:left="751" w:right="0" w:firstLine="0"/>
        <w:jc w:val="both"/>
        <w:rPr>
          <w:i/>
          <w:sz w:val="16"/>
        </w:rPr>
      </w:pPr>
      <w:r>
        <w:rPr>
          <w:i/>
          <w:sz w:val="16"/>
        </w:rPr>
        <w:t>Source: CBRE Research; *Data only includes Grade A, Multi Tenanted Buildings; with area </w:t>
      </w:r>
      <w:r>
        <w:rPr>
          <w:i/>
          <w:w w:val="130"/>
          <w:sz w:val="16"/>
        </w:rPr>
        <w:t>&gt; </w:t>
      </w:r>
      <w:r>
        <w:rPr>
          <w:i/>
          <w:sz w:val="16"/>
        </w:rPr>
        <w:t>75,000 sf</w:t>
      </w:r>
    </w:p>
    <w:p>
      <w:pPr>
        <w:spacing w:line="324" w:lineRule="auto" w:before="63"/>
        <w:ind w:left="751" w:right="116" w:firstLine="0"/>
        <w:jc w:val="both"/>
        <w:rPr>
          <w:i/>
          <w:sz w:val="18"/>
        </w:rPr>
      </w:pPr>
      <w:r>
        <w:rPr>
          <w:i/>
          <w:sz w:val="16"/>
        </w:rPr>
        <w:t>Note:</w:t>
      </w:r>
      <w:r>
        <w:rPr>
          <w:i/>
          <w:spacing w:val="-20"/>
          <w:sz w:val="16"/>
        </w:rPr>
        <w:t> </w:t>
      </w:r>
      <w:r>
        <w:rPr>
          <w:i/>
          <w:sz w:val="16"/>
        </w:rPr>
        <w:t>Supply</w:t>
      </w:r>
      <w:r>
        <w:rPr>
          <w:i/>
          <w:spacing w:val="-23"/>
          <w:sz w:val="16"/>
        </w:rPr>
        <w:t> </w:t>
      </w:r>
      <w:r>
        <w:rPr>
          <w:i/>
          <w:w w:val="110"/>
          <w:sz w:val="16"/>
        </w:rPr>
        <w:t>–</w:t>
      </w:r>
      <w:r>
        <w:rPr>
          <w:i/>
          <w:spacing w:val="-25"/>
          <w:w w:val="110"/>
          <w:sz w:val="16"/>
        </w:rPr>
        <w:t> </w:t>
      </w:r>
      <w:r>
        <w:rPr>
          <w:i/>
          <w:sz w:val="16"/>
        </w:rPr>
        <w:t>refers</w:t>
      </w:r>
      <w:r>
        <w:rPr>
          <w:i/>
          <w:spacing w:val="-20"/>
          <w:sz w:val="16"/>
        </w:rPr>
        <w:t> </w:t>
      </w:r>
      <w:r>
        <w:rPr>
          <w:i/>
          <w:sz w:val="16"/>
        </w:rPr>
        <w:t>to</w:t>
      </w:r>
      <w:r>
        <w:rPr>
          <w:i/>
          <w:spacing w:val="-21"/>
          <w:sz w:val="16"/>
        </w:rPr>
        <w:t> </w:t>
      </w:r>
      <w:r>
        <w:rPr>
          <w:i/>
          <w:sz w:val="16"/>
        </w:rPr>
        <w:t>fresh</w:t>
      </w:r>
      <w:r>
        <w:rPr>
          <w:i/>
          <w:spacing w:val="-22"/>
          <w:sz w:val="16"/>
        </w:rPr>
        <w:t> </w:t>
      </w:r>
      <w:r>
        <w:rPr>
          <w:i/>
          <w:sz w:val="16"/>
        </w:rPr>
        <w:t>completed</w:t>
      </w:r>
      <w:r>
        <w:rPr>
          <w:i/>
          <w:spacing w:val="-20"/>
          <w:sz w:val="16"/>
        </w:rPr>
        <w:t> </w:t>
      </w:r>
      <w:r>
        <w:rPr>
          <w:i/>
          <w:sz w:val="16"/>
        </w:rPr>
        <w:t>supply</w:t>
      </w:r>
      <w:r>
        <w:rPr>
          <w:i/>
          <w:spacing w:val="-21"/>
          <w:sz w:val="16"/>
        </w:rPr>
        <w:t> </w:t>
      </w:r>
      <w:r>
        <w:rPr>
          <w:i/>
          <w:sz w:val="16"/>
        </w:rPr>
        <w:t>added</w:t>
      </w:r>
      <w:r>
        <w:rPr>
          <w:i/>
          <w:spacing w:val="-21"/>
          <w:sz w:val="16"/>
        </w:rPr>
        <w:t> </w:t>
      </w:r>
      <w:r>
        <w:rPr>
          <w:i/>
          <w:sz w:val="16"/>
        </w:rPr>
        <w:t>each</w:t>
      </w:r>
      <w:r>
        <w:rPr>
          <w:i/>
          <w:spacing w:val="-21"/>
          <w:sz w:val="16"/>
        </w:rPr>
        <w:t> </w:t>
      </w:r>
      <w:r>
        <w:rPr>
          <w:i/>
          <w:sz w:val="16"/>
        </w:rPr>
        <w:t>year;</w:t>
      </w:r>
      <w:r>
        <w:rPr>
          <w:i/>
          <w:spacing w:val="-20"/>
          <w:sz w:val="16"/>
        </w:rPr>
        <w:t> </w:t>
      </w:r>
      <w:r>
        <w:rPr>
          <w:i/>
          <w:sz w:val="16"/>
        </w:rPr>
        <w:t>Demand</w:t>
      </w:r>
      <w:r>
        <w:rPr>
          <w:i/>
          <w:spacing w:val="-20"/>
          <w:sz w:val="16"/>
        </w:rPr>
        <w:t> </w:t>
      </w:r>
      <w:r>
        <w:rPr>
          <w:i/>
          <w:w w:val="110"/>
          <w:sz w:val="16"/>
        </w:rPr>
        <w:t>–</w:t>
      </w:r>
      <w:r>
        <w:rPr>
          <w:i/>
          <w:spacing w:val="-26"/>
          <w:w w:val="110"/>
          <w:sz w:val="16"/>
        </w:rPr>
        <w:t> </w:t>
      </w:r>
      <w:r>
        <w:rPr>
          <w:i/>
          <w:sz w:val="16"/>
        </w:rPr>
        <w:t>refers</w:t>
      </w:r>
      <w:r>
        <w:rPr>
          <w:i/>
          <w:spacing w:val="-20"/>
          <w:sz w:val="16"/>
        </w:rPr>
        <w:t> </w:t>
      </w:r>
      <w:r>
        <w:rPr>
          <w:i/>
          <w:sz w:val="16"/>
        </w:rPr>
        <w:t>to</w:t>
      </w:r>
      <w:r>
        <w:rPr>
          <w:i/>
          <w:spacing w:val="-21"/>
          <w:sz w:val="16"/>
        </w:rPr>
        <w:t> </w:t>
      </w:r>
      <w:r>
        <w:rPr>
          <w:i/>
          <w:sz w:val="16"/>
        </w:rPr>
        <w:t>the</w:t>
      </w:r>
      <w:r>
        <w:rPr>
          <w:i/>
          <w:spacing w:val="-22"/>
          <w:sz w:val="16"/>
        </w:rPr>
        <w:t> </w:t>
      </w:r>
      <w:r>
        <w:rPr>
          <w:i/>
          <w:sz w:val="16"/>
        </w:rPr>
        <w:t>quantum</w:t>
      </w:r>
      <w:r>
        <w:rPr>
          <w:i/>
          <w:spacing w:val="-20"/>
          <w:sz w:val="16"/>
        </w:rPr>
        <w:t> </w:t>
      </w:r>
      <w:r>
        <w:rPr>
          <w:i/>
          <w:sz w:val="16"/>
        </w:rPr>
        <w:t>of</w:t>
      </w:r>
      <w:r>
        <w:rPr>
          <w:i/>
          <w:spacing w:val="-22"/>
          <w:sz w:val="16"/>
        </w:rPr>
        <w:t> </w:t>
      </w:r>
      <w:r>
        <w:rPr>
          <w:i/>
          <w:sz w:val="16"/>
        </w:rPr>
        <w:t>leasing</w:t>
      </w:r>
      <w:r>
        <w:rPr>
          <w:i/>
          <w:spacing w:val="-21"/>
          <w:sz w:val="16"/>
        </w:rPr>
        <w:t> </w:t>
      </w:r>
      <w:r>
        <w:rPr>
          <w:i/>
          <w:sz w:val="16"/>
        </w:rPr>
        <w:t>witnessed</w:t>
      </w:r>
      <w:r>
        <w:rPr>
          <w:i/>
          <w:spacing w:val="-20"/>
          <w:sz w:val="16"/>
        </w:rPr>
        <w:t> </w:t>
      </w:r>
      <w:r>
        <w:rPr>
          <w:i/>
          <w:sz w:val="16"/>
        </w:rPr>
        <w:t>in</w:t>
      </w:r>
      <w:r>
        <w:rPr>
          <w:i/>
          <w:spacing w:val="-21"/>
          <w:sz w:val="16"/>
        </w:rPr>
        <w:t> </w:t>
      </w:r>
      <w:r>
        <w:rPr>
          <w:i/>
          <w:sz w:val="16"/>
        </w:rPr>
        <w:t>each</w:t>
      </w:r>
      <w:r>
        <w:rPr>
          <w:i/>
          <w:spacing w:val="-22"/>
          <w:sz w:val="16"/>
        </w:rPr>
        <w:t> </w:t>
      </w:r>
      <w:r>
        <w:rPr>
          <w:i/>
          <w:sz w:val="16"/>
        </w:rPr>
        <w:t>year</w:t>
      </w:r>
      <w:r>
        <w:rPr>
          <w:i/>
          <w:spacing w:val="-20"/>
          <w:sz w:val="16"/>
        </w:rPr>
        <w:t> </w:t>
      </w:r>
      <w:r>
        <w:rPr>
          <w:i/>
          <w:sz w:val="16"/>
        </w:rPr>
        <w:t>as</w:t>
      </w:r>
      <w:r>
        <w:rPr>
          <w:i/>
          <w:spacing w:val="-19"/>
          <w:sz w:val="16"/>
        </w:rPr>
        <w:t> </w:t>
      </w:r>
      <w:r>
        <w:rPr>
          <w:i/>
          <w:sz w:val="16"/>
        </w:rPr>
        <w:t>part</w:t>
      </w:r>
      <w:r>
        <w:rPr>
          <w:i/>
          <w:spacing w:val="-23"/>
          <w:sz w:val="16"/>
        </w:rPr>
        <w:t> </w:t>
      </w:r>
      <w:r>
        <w:rPr>
          <w:i/>
          <w:sz w:val="16"/>
        </w:rPr>
        <w:t>of </w:t>
      </w:r>
      <w:r>
        <w:rPr>
          <w:i/>
          <w:sz w:val="16"/>
        </w:rPr>
        <w:t>completed</w:t>
      </w:r>
      <w:r>
        <w:rPr>
          <w:i/>
          <w:spacing w:val="-22"/>
          <w:sz w:val="16"/>
        </w:rPr>
        <w:t> </w:t>
      </w:r>
      <w:r>
        <w:rPr>
          <w:i/>
          <w:sz w:val="16"/>
        </w:rPr>
        <w:t>space;</w:t>
      </w:r>
      <w:r>
        <w:rPr>
          <w:i/>
          <w:spacing w:val="-18"/>
          <w:sz w:val="16"/>
        </w:rPr>
        <w:t> </w:t>
      </w:r>
      <w:r>
        <w:rPr>
          <w:i/>
          <w:sz w:val="16"/>
        </w:rPr>
        <w:t>the</w:t>
      </w:r>
      <w:r>
        <w:rPr>
          <w:i/>
          <w:spacing w:val="-20"/>
          <w:sz w:val="16"/>
        </w:rPr>
        <w:t> </w:t>
      </w:r>
      <w:r>
        <w:rPr>
          <w:i/>
          <w:sz w:val="16"/>
        </w:rPr>
        <w:t>vacancy</w:t>
      </w:r>
      <w:r>
        <w:rPr>
          <w:i/>
          <w:spacing w:val="-19"/>
          <w:sz w:val="16"/>
        </w:rPr>
        <w:t> </w:t>
      </w:r>
      <w:r>
        <w:rPr>
          <w:i/>
          <w:sz w:val="16"/>
        </w:rPr>
        <w:t>in</w:t>
      </w:r>
      <w:r>
        <w:rPr>
          <w:i/>
          <w:spacing w:val="-20"/>
          <w:sz w:val="16"/>
        </w:rPr>
        <w:t> </w:t>
      </w:r>
      <w:r>
        <w:rPr>
          <w:i/>
          <w:sz w:val="16"/>
        </w:rPr>
        <w:t>the</w:t>
      </w:r>
      <w:r>
        <w:rPr>
          <w:i/>
          <w:spacing w:val="-19"/>
          <w:sz w:val="16"/>
        </w:rPr>
        <w:t> </w:t>
      </w:r>
      <w:r>
        <w:rPr>
          <w:i/>
          <w:sz w:val="16"/>
        </w:rPr>
        <w:t>chart</w:t>
      </w:r>
      <w:r>
        <w:rPr>
          <w:i/>
          <w:spacing w:val="-20"/>
          <w:sz w:val="16"/>
        </w:rPr>
        <w:t> </w:t>
      </w:r>
      <w:r>
        <w:rPr>
          <w:i/>
          <w:sz w:val="16"/>
        </w:rPr>
        <w:t>accounts</w:t>
      </w:r>
      <w:r>
        <w:rPr>
          <w:i/>
          <w:spacing w:val="-19"/>
          <w:sz w:val="16"/>
        </w:rPr>
        <w:t> </w:t>
      </w:r>
      <w:r>
        <w:rPr>
          <w:i/>
          <w:sz w:val="16"/>
        </w:rPr>
        <w:t>for</w:t>
      </w:r>
      <w:r>
        <w:rPr>
          <w:i/>
          <w:spacing w:val="-18"/>
          <w:sz w:val="16"/>
        </w:rPr>
        <w:t> </w:t>
      </w:r>
      <w:r>
        <w:rPr>
          <w:i/>
          <w:sz w:val="16"/>
        </w:rPr>
        <w:t>the</w:t>
      </w:r>
      <w:r>
        <w:rPr>
          <w:i/>
          <w:spacing w:val="-20"/>
          <w:sz w:val="16"/>
        </w:rPr>
        <w:t> </w:t>
      </w:r>
      <w:r>
        <w:rPr>
          <w:i/>
          <w:sz w:val="16"/>
        </w:rPr>
        <w:t>gap</w:t>
      </w:r>
      <w:r>
        <w:rPr>
          <w:i/>
          <w:spacing w:val="-19"/>
          <w:sz w:val="16"/>
        </w:rPr>
        <w:t> </w:t>
      </w:r>
      <w:r>
        <w:rPr>
          <w:i/>
          <w:sz w:val="16"/>
        </w:rPr>
        <w:t>between</w:t>
      </w:r>
      <w:r>
        <w:rPr>
          <w:i/>
          <w:spacing w:val="-20"/>
          <w:sz w:val="16"/>
        </w:rPr>
        <w:t> </w:t>
      </w:r>
      <w:r>
        <w:rPr>
          <w:i/>
          <w:sz w:val="16"/>
        </w:rPr>
        <w:t>cumulative</w:t>
      </w:r>
      <w:r>
        <w:rPr>
          <w:i/>
          <w:spacing w:val="-19"/>
          <w:sz w:val="16"/>
        </w:rPr>
        <w:t> </w:t>
      </w:r>
      <w:r>
        <w:rPr>
          <w:i/>
          <w:sz w:val="16"/>
        </w:rPr>
        <w:t>stock</w:t>
      </w:r>
      <w:r>
        <w:rPr>
          <w:i/>
          <w:spacing w:val="-19"/>
          <w:sz w:val="16"/>
        </w:rPr>
        <w:t> </w:t>
      </w:r>
      <w:r>
        <w:rPr>
          <w:i/>
          <w:sz w:val="16"/>
        </w:rPr>
        <w:t>and</w:t>
      </w:r>
      <w:r>
        <w:rPr>
          <w:i/>
          <w:spacing w:val="-19"/>
          <w:sz w:val="16"/>
        </w:rPr>
        <w:t> </w:t>
      </w:r>
      <w:r>
        <w:rPr>
          <w:i/>
          <w:sz w:val="16"/>
        </w:rPr>
        <w:t>occupied</w:t>
      </w:r>
      <w:r>
        <w:rPr>
          <w:i/>
          <w:spacing w:val="-21"/>
          <w:sz w:val="16"/>
        </w:rPr>
        <w:t> </w:t>
      </w:r>
      <w:r>
        <w:rPr>
          <w:i/>
          <w:sz w:val="16"/>
        </w:rPr>
        <w:t>stock</w:t>
      </w:r>
      <w:r>
        <w:rPr>
          <w:i/>
          <w:spacing w:val="-19"/>
          <w:sz w:val="16"/>
        </w:rPr>
        <w:t> </w:t>
      </w:r>
      <w:r>
        <w:rPr>
          <w:i/>
          <w:sz w:val="16"/>
        </w:rPr>
        <w:t>in</w:t>
      </w:r>
      <w:r>
        <w:rPr>
          <w:i/>
          <w:spacing w:val="-20"/>
          <w:sz w:val="16"/>
        </w:rPr>
        <w:t> </w:t>
      </w:r>
      <w:r>
        <w:rPr>
          <w:i/>
          <w:sz w:val="16"/>
        </w:rPr>
        <w:t>the</w:t>
      </w:r>
      <w:r>
        <w:rPr>
          <w:i/>
          <w:spacing w:val="-19"/>
          <w:sz w:val="16"/>
        </w:rPr>
        <w:t> </w:t>
      </w:r>
      <w:r>
        <w:rPr>
          <w:i/>
          <w:sz w:val="16"/>
        </w:rPr>
        <w:t>city</w:t>
      </w:r>
      <w:r>
        <w:rPr>
          <w:i/>
          <w:spacing w:val="-20"/>
          <w:sz w:val="16"/>
        </w:rPr>
        <w:t> </w:t>
      </w:r>
      <w:r>
        <w:rPr>
          <w:i/>
          <w:sz w:val="16"/>
        </w:rPr>
        <w:t>in</w:t>
      </w:r>
      <w:r>
        <w:rPr>
          <w:i/>
          <w:spacing w:val="-20"/>
          <w:sz w:val="16"/>
        </w:rPr>
        <w:t> </w:t>
      </w:r>
      <w:r>
        <w:rPr>
          <w:i/>
          <w:sz w:val="16"/>
        </w:rPr>
        <w:t>any</w:t>
      </w:r>
      <w:r>
        <w:rPr>
          <w:i/>
          <w:spacing w:val="-19"/>
          <w:sz w:val="16"/>
        </w:rPr>
        <w:t> </w:t>
      </w:r>
      <w:r>
        <w:rPr>
          <w:i/>
          <w:sz w:val="16"/>
        </w:rPr>
        <w:t>given</w:t>
      </w:r>
      <w:r>
        <w:rPr>
          <w:i/>
          <w:spacing w:val="-20"/>
          <w:sz w:val="16"/>
        </w:rPr>
        <w:t> </w:t>
      </w:r>
      <w:r>
        <w:rPr>
          <w:i/>
          <w:sz w:val="16"/>
        </w:rPr>
        <w:t>year</w:t>
      </w:r>
      <w:r>
        <w:rPr>
          <w:i/>
          <w:sz w:val="18"/>
        </w:rPr>
        <w:t>.</w:t>
      </w:r>
    </w:p>
    <w:p>
      <w:pPr>
        <w:pStyle w:val="BodyText"/>
        <w:spacing w:line="321" w:lineRule="auto" w:before="179"/>
        <w:ind w:left="682" w:right="118"/>
        <w:jc w:val="both"/>
      </w:pPr>
      <w:r>
        <w:rPr/>
        <w:t>Based</w:t>
      </w:r>
      <w:r>
        <w:rPr>
          <w:spacing w:val="-35"/>
        </w:rPr>
        <w:t> </w:t>
      </w:r>
      <w:r>
        <w:rPr/>
        <w:t>on</w:t>
      </w:r>
      <w:r>
        <w:rPr>
          <w:spacing w:val="-35"/>
        </w:rPr>
        <w:t> </w:t>
      </w:r>
      <w:r>
        <w:rPr/>
        <w:t>our</w:t>
      </w:r>
      <w:r>
        <w:rPr>
          <w:spacing w:val="-35"/>
        </w:rPr>
        <w:t> </w:t>
      </w:r>
      <w:r>
        <w:rPr/>
        <w:t>interactions</w:t>
      </w:r>
      <w:r>
        <w:rPr>
          <w:spacing w:val="-35"/>
        </w:rPr>
        <w:t> </w:t>
      </w:r>
      <w:r>
        <w:rPr/>
        <w:t>with</w:t>
      </w:r>
      <w:r>
        <w:rPr>
          <w:spacing w:val="-35"/>
        </w:rPr>
        <w:t> </w:t>
      </w:r>
      <w:r>
        <w:rPr/>
        <w:t>the</w:t>
      </w:r>
      <w:r>
        <w:rPr>
          <w:spacing w:val="-35"/>
        </w:rPr>
        <w:t> </w:t>
      </w:r>
      <w:r>
        <w:rPr/>
        <w:t>market</w:t>
      </w:r>
      <w:r>
        <w:rPr>
          <w:spacing w:val="-34"/>
        </w:rPr>
        <w:t> </w:t>
      </w:r>
      <w:r>
        <w:rPr/>
        <w:t>intermediaries</w:t>
      </w:r>
      <w:r>
        <w:rPr>
          <w:spacing w:val="-34"/>
        </w:rPr>
        <w:t> </w:t>
      </w:r>
      <w:r>
        <w:rPr/>
        <w:t>involved</w:t>
      </w:r>
      <w:r>
        <w:rPr>
          <w:spacing w:val="-35"/>
        </w:rPr>
        <w:t> </w:t>
      </w:r>
      <w:r>
        <w:rPr/>
        <w:t>in</w:t>
      </w:r>
      <w:r>
        <w:rPr>
          <w:spacing w:val="-34"/>
        </w:rPr>
        <w:t> </w:t>
      </w:r>
      <w:r>
        <w:rPr/>
        <w:t>the</w:t>
      </w:r>
      <w:r>
        <w:rPr>
          <w:spacing w:val="-36"/>
        </w:rPr>
        <w:t> </w:t>
      </w:r>
      <w:r>
        <w:rPr/>
        <w:t>region,</w:t>
      </w:r>
      <w:r>
        <w:rPr>
          <w:spacing w:val="-35"/>
        </w:rPr>
        <w:t> </w:t>
      </w:r>
      <w:r>
        <w:rPr/>
        <w:t>it</w:t>
      </w:r>
      <w:r>
        <w:rPr>
          <w:spacing w:val="-35"/>
        </w:rPr>
        <w:t> </w:t>
      </w:r>
      <w:r>
        <w:rPr/>
        <w:t>was</w:t>
      </w:r>
      <w:r>
        <w:rPr>
          <w:spacing w:val="-34"/>
        </w:rPr>
        <w:t> </w:t>
      </w:r>
      <w:r>
        <w:rPr/>
        <w:t>observed</w:t>
      </w:r>
      <w:r>
        <w:rPr>
          <w:spacing w:val="-35"/>
        </w:rPr>
        <w:t> </w:t>
      </w:r>
      <w:r>
        <w:rPr/>
        <w:t>that</w:t>
      </w:r>
      <w:r>
        <w:rPr>
          <w:spacing w:val="-35"/>
        </w:rPr>
        <w:t> </w:t>
      </w:r>
      <w:r>
        <w:rPr/>
        <w:t>the lease</w:t>
      </w:r>
      <w:r>
        <w:rPr>
          <w:spacing w:val="-27"/>
        </w:rPr>
        <w:t> </w:t>
      </w:r>
      <w:r>
        <w:rPr/>
        <w:t>market</w:t>
      </w:r>
      <w:r>
        <w:rPr>
          <w:spacing w:val="-25"/>
        </w:rPr>
        <w:t> </w:t>
      </w:r>
      <w:r>
        <w:rPr/>
        <w:t>rent</w:t>
      </w:r>
      <w:r>
        <w:rPr>
          <w:spacing w:val="-26"/>
        </w:rPr>
        <w:t> </w:t>
      </w:r>
      <w:r>
        <w:rPr/>
        <w:t>for</w:t>
      </w:r>
      <w:r>
        <w:rPr>
          <w:spacing w:val="-24"/>
        </w:rPr>
        <w:t> </w:t>
      </w:r>
      <w:r>
        <w:rPr/>
        <w:t>office</w:t>
      </w:r>
      <w:r>
        <w:rPr>
          <w:spacing w:val="-26"/>
        </w:rPr>
        <w:t> </w:t>
      </w:r>
      <w:r>
        <w:rPr/>
        <w:t>space</w:t>
      </w:r>
      <w:r>
        <w:rPr>
          <w:spacing w:val="-27"/>
        </w:rPr>
        <w:t> </w:t>
      </w:r>
      <w:r>
        <w:rPr/>
        <w:t>is</w:t>
      </w:r>
      <w:r>
        <w:rPr>
          <w:spacing w:val="-23"/>
        </w:rPr>
        <w:t> </w:t>
      </w:r>
      <w:r>
        <w:rPr/>
        <w:t>primarily</w:t>
      </w:r>
      <w:r>
        <w:rPr>
          <w:spacing w:val="-25"/>
        </w:rPr>
        <w:t> </w:t>
      </w:r>
      <w:r>
        <w:rPr/>
        <w:t>determined</w:t>
      </w:r>
      <w:r>
        <w:rPr>
          <w:spacing w:val="-25"/>
        </w:rPr>
        <w:t> </w:t>
      </w:r>
      <w:r>
        <w:rPr/>
        <w:t>by</w:t>
      </w:r>
      <w:r>
        <w:rPr>
          <w:spacing w:val="-25"/>
        </w:rPr>
        <w:t> </w:t>
      </w:r>
      <w:r>
        <w:rPr/>
        <w:t>the</w:t>
      </w:r>
      <w:r>
        <w:rPr>
          <w:spacing w:val="-26"/>
        </w:rPr>
        <w:t> </w:t>
      </w:r>
      <w:r>
        <w:rPr/>
        <w:t>factors</w:t>
      </w:r>
      <w:r>
        <w:rPr>
          <w:spacing w:val="-25"/>
        </w:rPr>
        <w:t> </w:t>
      </w:r>
      <w:r>
        <w:rPr/>
        <w:t>such</w:t>
      </w:r>
      <w:r>
        <w:rPr>
          <w:spacing w:val="-26"/>
        </w:rPr>
        <w:t> </w:t>
      </w:r>
      <w:r>
        <w:rPr/>
        <w:t>as</w:t>
      </w:r>
      <w:r>
        <w:rPr>
          <w:spacing w:val="-25"/>
        </w:rPr>
        <w:t> </w:t>
      </w:r>
      <w:r>
        <w:rPr/>
        <w:t>location,</w:t>
      </w:r>
      <w:r>
        <w:rPr>
          <w:spacing w:val="-25"/>
        </w:rPr>
        <w:t> </w:t>
      </w:r>
      <w:r>
        <w:rPr/>
        <w:t>accessibility, type</w:t>
      </w:r>
      <w:r>
        <w:rPr>
          <w:spacing w:val="-22"/>
        </w:rPr>
        <w:t> </w:t>
      </w:r>
      <w:r>
        <w:rPr/>
        <w:t>of</w:t>
      </w:r>
      <w:r>
        <w:rPr>
          <w:spacing w:val="-22"/>
        </w:rPr>
        <w:t> </w:t>
      </w:r>
      <w:r>
        <w:rPr/>
        <w:t>development,</w:t>
      </w:r>
      <w:r>
        <w:rPr>
          <w:spacing w:val="-23"/>
        </w:rPr>
        <w:t> </w:t>
      </w:r>
      <w:r>
        <w:rPr/>
        <w:t>related</w:t>
      </w:r>
      <w:r>
        <w:rPr>
          <w:spacing w:val="-22"/>
        </w:rPr>
        <w:t> </w:t>
      </w:r>
      <w:r>
        <w:rPr/>
        <w:t>infrastructure</w:t>
      </w:r>
      <w:r>
        <w:rPr>
          <w:spacing w:val="-22"/>
        </w:rPr>
        <w:t> </w:t>
      </w:r>
      <w:r>
        <w:rPr/>
        <w:t>provision</w:t>
      </w:r>
      <w:r>
        <w:rPr>
          <w:spacing w:val="-22"/>
        </w:rPr>
        <w:t> </w:t>
      </w:r>
      <w:r>
        <w:rPr/>
        <w:t>for</w:t>
      </w:r>
      <w:r>
        <w:rPr>
          <w:spacing w:val="-22"/>
        </w:rPr>
        <w:t> </w:t>
      </w:r>
      <w:r>
        <w:rPr/>
        <w:t>the</w:t>
      </w:r>
      <w:r>
        <w:rPr>
          <w:spacing w:val="-23"/>
        </w:rPr>
        <w:t> </w:t>
      </w:r>
      <w:r>
        <w:rPr/>
        <w:t>site,</w:t>
      </w:r>
      <w:r>
        <w:rPr>
          <w:spacing w:val="-22"/>
        </w:rPr>
        <w:t> </w:t>
      </w:r>
      <w:r>
        <w:rPr/>
        <w:t>building</w:t>
      </w:r>
      <w:r>
        <w:rPr>
          <w:spacing w:val="-21"/>
        </w:rPr>
        <w:t> </w:t>
      </w:r>
      <w:r>
        <w:rPr/>
        <w:t>specifications</w:t>
      </w:r>
      <w:r>
        <w:rPr>
          <w:spacing w:val="-22"/>
        </w:rPr>
        <w:t> </w:t>
      </w:r>
      <w:r>
        <w:rPr/>
        <w:t>etc.</w:t>
      </w:r>
    </w:p>
    <w:p>
      <w:pPr>
        <w:pStyle w:val="BodyText"/>
        <w:spacing w:line="321" w:lineRule="auto" w:before="120"/>
        <w:ind w:left="682" w:right="113"/>
        <w:jc w:val="both"/>
      </w:pPr>
      <w:r>
        <w:rPr/>
        <w:t>Due</w:t>
      </w:r>
      <w:r>
        <w:rPr>
          <w:spacing w:val="-18"/>
        </w:rPr>
        <w:t> </w:t>
      </w:r>
      <w:r>
        <w:rPr/>
        <w:t>to</w:t>
      </w:r>
      <w:r>
        <w:rPr>
          <w:spacing w:val="-19"/>
        </w:rPr>
        <w:t> </w:t>
      </w:r>
      <w:r>
        <w:rPr/>
        <w:t>strong</w:t>
      </w:r>
      <w:r>
        <w:rPr>
          <w:spacing w:val="-18"/>
        </w:rPr>
        <w:t> </w:t>
      </w:r>
      <w:r>
        <w:rPr/>
        <w:t>connectivity</w:t>
      </w:r>
      <w:r>
        <w:rPr>
          <w:spacing w:val="-16"/>
        </w:rPr>
        <w:t> </w:t>
      </w:r>
      <w:r>
        <w:rPr/>
        <w:t>and</w:t>
      </w:r>
      <w:r>
        <w:rPr>
          <w:spacing w:val="-19"/>
        </w:rPr>
        <w:t> </w:t>
      </w:r>
      <w:r>
        <w:rPr/>
        <w:t>presence</w:t>
      </w:r>
      <w:r>
        <w:rPr>
          <w:spacing w:val="-17"/>
        </w:rPr>
        <w:t> </w:t>
      </w:r>
      <w:r>
        <w:rPr/>
        <w:t>of</w:t>
      </w:r>
      <w:r>
        <w:rPr>
          <w:spacing w:val="-18"/>
        </w:rPr>
        <w:t> </w:t>
      </w:r>
      <w:r>
        <w:rPr/>
        <w:t>well-developed</w:t>
      </w:r>
      <w:r>
        <w:rPr>
          <w:spacing w:val="-16"/>
        </w:rPr>
        <w:t> </w:t>
      </w:r>
      <w:r>
        <w:rPr/>
        <w:t>social</w:t>
      </w:r>
      <w:r>
        <w:rPr>
          <w:spacing w:val="-18"/>
        </w:rPr>
        <w:t> </w:t>
      </w:r>
      <w:r>
        <w:rPr/>
        <w:t>infrastructure</w:t>
      </w:r>
      <w:r>
        <w:rPr>
          <w:spacing w:val="-17"/>
        </w:rPr>
        <w:t> </w:t>
      </w:r>
      <w:r>
        <w:rPr/>
        <w:t>in</w:t>
      </w:r>
      <w:r>
        <w:rPr>
          <w:spacing w:val="-18"/>
        </w:rPr>
        <w:t> </w:t>
      </w:r>
      <w:r>
        <w:rPr/>
        <w:t>the</w:t>
      </w:r>
      <w:r>
        <w:rPr>
          <w:spacing w:val="-18"/>
        </w:rPr>
        <w:t> </w:t>
      </w:r>
      <w:r>
        <w:rPr/>
        <w:t>CBD,</w:t>
      </w:r>
      <w:r>
        <w:rPr>
          <w:spacing w:val="-19"/>
        </w:rPr>
        <w:t> </w:t>
      </w:r>
      <w:r>
        <w:rPr/>
        <w:t>demand</w:t>
      </w:r>
      <w:r>
        <w:rPr>
          <w:spacing w:val="-18"/>
        </w:rPr>
        <w:t> </w:t>
      </w:r>
      <w:r>
        <w:rPr/>
        <w:t>is expected</w:t>
      </w:r>
      <w:r>
        <w:rPr>
          <w:spacing w:val="-9"/>
        </w:rPr>
        <w:t> </w:t>
      </w:r>
      <w:r>
        <w:rPr/>
        <w:t>to</w:t>
      </w:r>
      <w:r>
        <w:rPr>
          <w:spacing w:val="-10"/>
        </w:rPr>
        <w:t> </w:t>
      </w:r>
      <w:r>
        <w:rPr/>
        <w:t>be</w:t>
      </w:r>
      <w:r>
        <w:rPr>
          <w:spacing w:val="-10"/>
        </w:rPr>
        <w:t> </w:t>
      </w:r>
      <w:r>
        <w:rPr/>
        <w:t>stable</w:t>
      </w:r>
      <w:r>
        <w:rPr>
          <w:spacing w:val="-9"/>
        </w:rPr>
        <w:t> </w:t>
      </w:r>
      <w:r>
        <w:rPr/>
        <w:t>in</w:t>
      </w:r>
      <w:r>
        <w:rPr>
          <w:spacing w:val="-10"/>
        </w:rPr>
        <w:t> </w:t>
      </w:r>
      <w:r>
        <w:rPr/>
        <w:t>this</w:t>
      </w:r>
      <w:r>
        <w:rPr>
          <w:spacing w:val="-8"/>
        </w:rPr>
        <w:t> </w:t>
      </w:r>
      <w:r>
        <w:rPr/>
        <w:t>sub-market.</w:t>
      </w:r>
      <w:r>
        <w:rPr>
          <w:spacing w:val="-8"/>
        </w:rPr>
        <w:t> </w:t>
      </w:r>
      <w:r>
        <w:rPr/>
        <w:t>Absorption</w:t>
      </w:r>
      <w:r>
        <w:rPr>
          <w:spacing w:val="-10"/>
        </w:rPr>
        <w:t> </w:t>
      </w:r>
      <w:r>
        <w:rPr/>
        <w:t>is</w:t>
      </w:r>
      <w:r>
        <w:rPr>
          <w:spacing w:val="-9"/>
        </w:rPr>
        <w:t> </w:t>
      </w:r>
      <w:r>
        <w:rPr/>
        <w:t>largely</w:t>
      </w:r>
      <w:r>
        <w:rPr>
          <w:spacing w:val="-8"/>
        </w:rPr>
        <w:t> </w:t>
      </w:r>
      <w:r>
        <w:rPr/>
        <w:t>driven</w:t>
      </w:r>
      <w:r>
        <w:rPr>
          <w:spacing w:val="-10"/>
        </w:rPr>
        <w:t> </w:t>
      </w:r>
      <w:r>
        <w:rPr/>
        <w:t>by</w:t>
      </w:r>
      <w:r>
        <w:rPr>
          <w:spacing w:val="-8"/>
        </w:rPr>
        <w:t> </w:t>
      </w:r>
      <w:r>
        <w:rPr/>
        <w:t>tenants</w:t>
      </w:r>
      <w:r>
        <w:rPr>
          <w:spacing w:val="-8"/>
        </w:rPr>
        <w:t> </w:t>
      </w:r>
      <w:r>
        <w:rPr/>
        <w:t>providing</w:t>
      </w:r>
      <w:r>
        <w:rPr>
          <w:spacing w:val="-8"/>
        </w:rPr>
        <w:t> </w:t>
      </w:r>
      <w:r>
        <w:rPr/>
        <w:t>high</w:t>
      </w:r>
      <w:r>
        <w:rPr>
          <w:spacing w:val="-9"/>
        </w:rPr>
        <w:t> </w:t>
      </w:r>
      <w:r>
        <w:rPr/>
        <w:t>value services</w:t>
      </w:r>
      <w:r>
        <w:rPr>
          <w:spacing w:val="-6"/>
        </w:rPr>
        <w:t> </w:t>
      </w:r>
      <w:r>
        <w:rPr/>
        <w:t>(such</w:t>
      </w:r>
      <w:r>
        <w:rPr>
          <w:spacing w:val="-7"/>
        </w:rPr>
        <w:t> </w:t>
      </w:r>
      <w:r>
        <w:rPr/>
        <w:t>as</w:t>
      </w:r>
      <w:r>
        <w:rPr>
          <w:spacing w:val="-5"/>
        </w:rPr>
        <w:t> </w:t>
      </w:r>
      <w:r>
        <w:rPr/>
        <w:t>consulting</w:t>
      </w:r>
      <w:r>
        <w:rPr>
          <w:spacing w:val="-6"/>
        </w:rPr>
        <w:t> </w:t>
      </w:r>
      <w:r>
        <w:rPr/>
        <w:t>and</w:t>
      </w:r>
      <w:r>
        <w:rPr>
          <w:spacing w:val="-6"/>
        </w:rPr>
        <w:t> </w:t>
      </w:r>
      <w:r>
        <w:rPr/>
        <w:t>financial</w:t>
      </w:r>
      <w:r>
        <w:rPr>
          <w:spacing w:val="-7"/>
        </w:rPr>
        <w:t> </w:t>
      </w:r>
      <w:r>
        <w:rPr/>
        <w:t>services)</w:t>
      </w:r>
      <w:r>
        <w:rPr>
          <w:spacing w:val="-5"/>
        </w:rPr>
        <w:t> </w:t>
      </w:r>
      <w:r>
        <w:rPr/>
        <w:t>and</w:t>
      </w:r>
      <w:r>
        <w:rPr>
          <w:spacing w:val="-6"/>
        </w:rPr>
        <w:t> </w:t>
      </w:r>
      <w:r>
        <w:rPr/>
        <w:t>there</w:t>
      </w:r>
      <w:r>
        <w:rPr>
          <w:spacing w:val="-7"/>
        </w:rPr>
        <w:t> </w:t>
      </w:r>
      <w:r>
        <w:rPr/>
        <w:t>are</w:t>
      </w:r>
      <w:r>
        <w:rPr>
          <w:spacing w:val="-7"/>
        </w:rPr>
        <w:t> </w:t>
      </w:r>
      <w:r>
        <w:rPr/>
        <w:t>only</w:t>
      </w:r>
      <w:r>
        <w:rPr>
          <w:spacing w:val="-6"/>
        </w:rPr>
        <w:t> </w:t>
      </w:r>
      <w:r>
        <w:rPr/>
        <w:t>a</w:t>
      </w:r>
      <w:r>
        <w:rPr>
          <w:spacing w:val="-6"/>
        </w:rPr>
        <w:t> </w:t>
      </w:r>
      <w:r>
        <w:rPr/>
        <w:t>few</w:t>
      </w:r>
      <w:r>
        <w:rPr>
          <w:spacing w:val="-6"/>
        </w:rPr>
        <w:t> </w:t>
      </w:r>
      <w:r>
        <w:rPr/>
        <w:t>buildings</w:t>
      </w:r>
      <w:r>
        <w:rPr>
          <w:spacing w:val="-7"/>
        </w:rPr>
        <w:t> </w:t>
      </w:r>
      <w:r>
        <w:rPr/>
        <w:t>within</w:t>
      </w:r>
      <w:r>
        <w:rPr>
          <w:spacing w:val="-7"/>
        </w:rPr>
        <w:t> </w:t>
      </w:r>
      <w:r>
        <w:rPr/>
        <w:t>the</w:t>
      </w:r>
      <w:r>
        <w:rPr>
          <w:spacing w:val="-7"/>
        </w:rPr>
        <w:t> </w:t>
      </w:r>
      <w:r>
        <w:rPr/>
        <w:t>sub- market</w:t>
      </w:r>
      <w:r>
        <w:rPr>
          <w:spacing w:val="-14"/>
        </w:rPr>
        <w:t> </w:t>
      </w:r>
      <w:r>
        <w:rPr/>
        <w:t>considered</w:t>
      </w:r>
      <w:r>
        <w:rPr>
          <w:spacing w:val="-14"/>
        </w:rPr>
        <w:t> </w:t>
      </w:r>
      <w:r>
        <w:rPr/>
        <w:t>as</w:t>
      </w:r>
      <w:r>
        <w:rPr>
          <w:spacing w:val="-14"/>
        </w:rPr>
        <w:t> </w:t>
      </w:r>
      <w:r>
        <w:rPr/>
        <w:t>Grade</w:t>
      </w:r>
      <w:r>
        <w:rPr>
          <w:spacing w:val="-14"/>
        </w:rPr>
        <w:t> </w:t>
      </w:r>
      <w:r>
        <w:rPr/>
        <w:t>A</w:t>
      </w:r>
      <w:r>
        <w:rPr>
          <w:spacing w:val="-14"/>
        </w:rPr>
        <w:t> </w:t>
      </w:r>
      <w:r>
        <w:rPr/>
        <w:t>offices.</w:t>
      </w:r>
      <w:r>
        <w:rPr>
          <w:spacing w:val="-11"/>
        </w:rPr>
        <w:t> </w:t>
      </w:r>
      <w:r>
        <w:rPr/>
        <w:t>Given</w:t>
      </w:r>
      <w:r>
        <w:rPr>
          <w:spacing w:val="-15"/>
        </w:rPr>
        <w:t> </w:t>
      </w:r>
      <w:r>
        <w:rPr/>
        <w:t>the</w:t>
      </w:r>
      <w:r>
        <w:rPr>
          <w:spacing w:val="-14"/>
        </w:rPr>
        <w:t> </w:t>
      </w:r>
      <w:r>
        <w:rPr/>
        <w:t>market</w:t>
      </w:r>
      <w:r>
        <w:rPr>
          <w:spacing w:val="-14"/>
        </w:rPr>
        <w:t> </w:t>
      </w:r>
      <w:r>
        <w:rPr/>
        <w:t>dynamics</w:t>
      </w:r>
      <w:r>
        <w:rPr>
          <w:spacing w:val="-13"/>
        </w:rPr>
        <w:t> </w:t>
      </w:r>
      <w:r>
        <w:rPr/>
        <w:t>and</w:t>
      </w:r>
      <w:r>
        <w:rPr>
          <w:spacing w:val="-16"/>
        </w:rPr>
        <w:t> </w:t>
      </w:r>
      <w:r>
        <w:rPr/>
        <w:t>development</w:t>
      </w:r>
      <w:r>
        <w:rPr>
          <w:spacing w:val="-14"/>
        </w:rPr>
        <w:t> </w:t>
      </w:r>
      <w:r>
        <w:rPr/>
        <w:t>constraint</w:t>
      </w:r>
      <w:r>
        <w:rPr>
          <w:spacing w:val="-14"/>
        </w:rPr>
        <w:t> </w:t>
      </w:r>
      <w:r>
        <w:rPr/>
        <w:t>due</w:t>
      </w:r>
      <w:r>
        <w:rPr>
          <w:spacing w:val="-15"/>
        </w:rPr>
        <w:t> </w:t>
      </w:r>
      <w:r>
        <w:rPr/>
        <w:t>to</w:t>
      </w:r>
    </w:p>
    <w:p>
      <w:pPr>
        <w:spacing w:after="0" w:line="321" w:lineRule="auto"/>
        <w:jc w:val="both"/>
        <w:sectPr>
          <w:pgSz w:w="11910" w:h="16840"/>
          <w:pgMar w:header="720" w:footer="943" w:top="1660" w:bottom="1140" w:left="600" w:right="600"/>
        </w:sectPr>
      </w:pPr>
    </w:p>
    <w:p>
      <w:pPr>
        <w:pStyle w:val="BodyText"/>
        <w:spacing w:before="7"/>
        <w:rPr>
          <w:sz w:val="9"/>
        </w:rPr>
      </w:pPr>
    </w:p>
    <w:p>
      <w:pPr>
        <w:pStyle w:val="BodyText"/>
        <w:spacing w:line="321" w:lineRule="auto" w:before="106"/>
        <w:ind w:left="682" w:right="112"/>
        <w:jc w:val="both"/>
      </w:pPr>
      <w:r>
        <w:rPr/>
        <w:t>limited</w:t>
      </w:r>
      <w:r>
        <w:rPr>
          <w:spacing w:val="-24"/>
        </w:rPr>
        <w:t> </w:t>
      </w:r>
      <w:r>
        <w:rPr/>
        <w:t>developable</w:t>
      </w:r>
      <w:r>
        <w:rPr>
          <w:spacing w:val="-25"/>
        </w:rPr>
        <w:t> </w:t>
      </w:r>
      <w:r>
        <w:rPr/>
        <w:t>land</w:t>
      </w:r>
      <w:r>
        <w:rPr>
          <w:spacing w:val="-25"/>
        </w:rPr>
        <w:t> </w:t>
      </w:r>
      <w:r>
        <w:rPr/>
        <w:t>in</w:t>
      </w:r>
      <w:r>
        <w:rPr>
          <w:spacing w:val="-25"/>
        </w:rPr>
        <w:t> </w:t>
      </w:r>
      <w:r>
        <w:rPr/>
        <w:t>CBD,</w:t>
      </w:r>
      <w:r>
        <w:rPr>
          <w:spacing w:val="-24"/>
        </w:rPr>
        <w:t> </w:t>
      </w:r>
      <w:r>
        <w:rPr/>
        <w:t>there</w:t>
      </w:r>
      <w:r>
        <w:rPr>
          <w:spacing w:val="-24"/>
        </w:rPr>
        <w:t> </w:t>
      </w:r>
      <w:r>
        <w:rPr/>
        <w:t>has</w:t>
      </w:r>
      <w:r>
        <w:rPr>
          <w:spacing w:val="-24"/>
        </w:rPr>
        <w:t> </w:t>
      </w:r>
      <w:r>
        <w:rPr/>
        <w:t>been</w:t>
      </w:r>
      <w:r>
        <w:rPr>
          <w:spacing w:val="-25"/>
        </w:rPr>
        <w:t> </w:t>
      </w:r>
      <w:r>
        <w:rPr/>
        <w:t>no</w:t>
      </w:r>
      <w:r>
        <w:rPr>
          <w:spacing w:val="-24"/>
        </w:rPr>
        <w:t> </w:t>
      </w:r>
      <w:r>
        <w:rPr/>
        <w:t>new</w:t>
      </w:r>
      <w:r>
        <w:rPr>
          <w:spacing w:val="-25"/>
        </w:rPr>
        <w:t> </w:t>
      </w:r>
      <w:r>
        <w:rPr/>
        <w:t>significant</w:t>
      </w:r>
      <w:r>
        <w:rPr>
          <w:spacing w:val="-26"/>
        </w:rPr>
        <w:t> </w:t>
      </w:r>
      <w:r>
        <w:rPr/>
        <w:t>supply</w:t>
      </w:r>
      <w:r>
        <w:rPr>
          <w:spacing w:val="-25"/>
        </w:rPr>
        <w:t> </w:t>
      </w:r>
      <w:r>
        <w:rPr/>
        <w:t>introduced</w:t>
      </w:r>
      <w:r>
        <w:rPr>
          <w:spacing w:val="-23"/>
        </w:rPr>
        <w:t> </w:t>
      </w:r>
      <w:r>
        <w:rPr/>
        <w:t>over</w:t>
      </w:r>
      <w:r>
        <w:rPr>
          <w:spacing w:val="-24"/>
        </w:rPr>
        <w:t> </w:t>
      </w:r>
      <w:r>
        <w:rPr/>
        <w:t>the</w:t>
      </w:r>
      <w:r>
        <w:rPr>
          <w:spacing w:val="-26"/>
        </w:rPr>
        <w:t> </w:t>
      </w:r>
      <w:r>
        <w:rPr/>
        <w:t>past</w:t>
      </w:r>
      <w:r>
        <w:rPr>
          <w:spacing w:val="-23"/>
        </w:rPr>
        <w:t> </w:t>
      </w:r>
      <w:r>
        <w:rPr/>
        <w:t>few years.</w:t>
      </w:r>
      <w:r>
        <w:rPr>
          <w:spacing w:val="-15"/>
        </w:rPr>
        <w:t> </w:t>
      </w:r>
      <w:r>
        <w:rPr/>
        <w:t>Stable</w:t>
      </w:r>
      <w:r>
        <w:rPr>
          <w:spacing w:val="-14"/>
        </w:rPr>
        <w:t> </w:t>
      </w:r>
      <w:r>
        <w:rPr/>
        <w:t>demand</w:t>
      </w:r>
      <w:r>
        <w:rPr>
          <w:spacing w:val="-13"/>
        </w:rPr>
        <w:t> </w:t>
      </w:r>
      <w:r>
        <w:rPr/>
        <w:t>and</w:t>
      </w:r>
      <w:r>
        <w:rPr>
          <w:spacing w:val="-14"/>
        </w:rPr>
        <w:t> </w:t>
      </w:r>
      <w:r>
        <w:rPr/>
        <w:t>no</w:t>
      </w:r>
      <w:r>
        <w:rPr>
          <w:spacing w:val="-15"/>
        </w:rPr>
        <w:t> </w:t>
      </w:r>
      <w:r>
        <w:rPr/>
        <w:t>new</w:t>
      </w:r>
      <w:r>
        <w:rPr>
          <w:spacing w:val="-13"/>
        </w:rPr>
        <w:t> </w:t>
      </w:r>
      <w:r>
        <w:rPr/>
        <w:t>supply</w:t>
      </w:r>
      <w:r>
        <w:rPr>
          <w:spacing w:val="-13"/>
        </w:rPr>
        <w:t> </w:t>
      </w:r>
      <w:r>
        <w:rPr/>
        <w:t>have</w:t>
      </w:r>
      <w:r>
        <w:rPr>
          <w:spacing w:val="-14"/>
        </w:rPr>
        <w:t> </w:t>
      </w:r>
      <w:r>
        <w:rPr/>
        <w:t>resulted</w:t>
      </w:r>
      <w:r>
        <w:rPr>
          <w:spacing w:val="-14"/>
        </w:rPr>
        <w:t> </w:t>
      </w:r>
      <w:r>
        <w:rPr/>
        <w:t>into</w:t>
      </w:r>
      <w:r>
        <w:rPr>
          <w:spacing w:val="-14"/>
        </w:rPr>
        <w:t> </w:t>
      </w:r>
      <w:r>
        <w:rPr/>
        <w:t>a</w:t>
      </w:r>
      <w:r>
        <w:rPr>
          <w:spacing w:val="-14"/>
        </w:rPr>
        <w:t> </w:t>
      </w:r>
      <w:r>
        <w:rPr/>
        <w:t>vacancy</w:t>
      </w:r>
      <w:r>
        <w:rPr>
          <w:spacing w:val="-13"/>
        </w:rPr>
        <w:t> </w:t>
      </w:r>
      <w:r>
        <w:rPr/>
        <w:t>of</w:t>
      </w:r>
      <w:r>
        <w:rPr>
          <w:spacing w:val="-13"/>
        </w:rPr>
        <w:t> </w:t>
      </w:r>
      <w:r>
        <w:rPr/>
        <w:t>approx.</w:t>
      </w:r>
      <w:r>
        <w:rPr>
          <w:spacing w:val="-13"/>
        </w:rPr>
        <w:t> </w:t>
      </w:r>
      <w:r>
        <w:rPr/>
        <w:t>5.2%</w:t>
      </w:r>
      <w:r>
        <w:rPr>
          <w:spacing w:val="-15"/>
        </w:rPr>
        <w:t> </w:t>
      </w:r>
      <w:r>
        <w:rPr/>
        <w:t>as</w:t>
      </w:r>
      <w:r>
        <w:rPr>
          <w:spacing w:val="-12"/>
        </w:rPr>
        <w:t> </w:t>
      </w:r>
      <w:r>
        <w:rPr/>
        <w:t>of</w:t>
      </w:r>
      <w:r>
        <w:rPr>
          <w:spacing w:val="-15"/>
        </w:rPr>
        <w:t> </w:t>
      </w:r>
      <w:r>
        <w:rPr/>
        <w:t>December 31,</w:t>
      </w:r>
      <w:r>
        <w:rPr>
          <w:spacing w:val="-2"/>
        </w:rPr>
        <w:t> </w:t>
      </w:r>
      <w:r>
        <w:rPr/>
        <w:t>2019.</w:t>
      </w:r>
    </w:p>
    <w:p>
      <w:pPr>
        <w:spacing w:before="209"/>
        <w:ind w:left="120" w:right="0" w:firstLine="0"/>
        <w:jc w:val="left"/>
        <w:rPr>
          <w:i/>
          <w:sz w:val="20"/>
        </w:rPr>
      </w:pPr>
      <w:r>
        <w:rPr>
          <w:color w:val="008000"/>
          <w:sz w:val="22"/>
        </w:rPr>
        <w:t>6.3.1.1 </w:t>
      </w:r>
      <w:r>
        <w:rPr>
          <w:i/>
          <w:color w:val="008000"/>
          <w:sz w:val="20"/>
        </w:rPr>
        <w:t>Key Developments in Submarket</w:t>
      </w:r>
    </w:p>
    <w:p>
      <w:pPr>
        <w:pStyle w:val="BodyText"/>
        <w:spacing w:before="2"/>
        <w:rPr>
          <w:i/>
          <w:sz w:val="27"/>
        </w:rPr>
      </w:pPr>
    </w:p>
    <w:p>
      <w:pPr>
        <w:pStyle w:val="BodyText"/>
        <w:spacing w:before="1"/>
        <w:ind w:left="682"/>
        <w:jc w:val="both"/>
      </w:pPr>
      <w:r>
        <w:rPr/>
        <w:pict>
          <v:group style="position:absolute;margin-left:36pt;margin-top:25.018597pt;width:523.6pt;height:44.7pt;mso-position-horizontal-relative:page;mso-position-vertical-relative:paragraph;z-index:-34656768" coordorigin="720,500" coordsize="10472,894">
            <v:shape style="position:absolute;left:720;top:531;width:10472;height:863" coordorigin="720,532" coordsize="10472,863" path="m5173,532l3147,532,720,532,720,1394,3147,1394,5173,1394,5173,532xm9016,532l7199,532,5173,532,5173,1394,7199,1394,9016,1394,9016,532xm11191,532l9016,532,9016,1394,11191,1394,11191,532xe" filled="true" fillcolor="#006a4d" stroked="false">
              <v:path arrowok="t"/>
              <v:fill type="solid"/>
            </v:shape>
            <v:rect style="position:absolute;left:720;top:500;width:2427;height:29" filled="true" fillcolor="#1f6b16" stroked="false">
              <v:fill type="solid"/>
            </v:rect>
            <v:shape style="position:absolute;left:720;top:529;width:2456;height:3" coordorigin="720,529" coordsize="2456,3" path="m3176,529l3147,529,720,529,720,532,3147,532,3176,532,3176,529xe" filled="true" fillcolor="#006a4d" stroked="false">
              <v:path arrowok="t"/>
              <v:fill type="solid"/>
            </v:shape>
            <v:shape style="position:absolute;left:3146;top:500;width:2027;height:29" coordorigin="3147,500" coordsize="2027,29" path="m5173,500l3176,500,3147,500,3147,529,3176,529,5173,529,5173,500xe" filled="true" fillcolor="#1f6b16" stroked="false">
              <v:path arrowok="t"/>
              <v:fill type="solid"/>
            </v:shape>
            <v:shape style="position:absolute;left:3175;top:529;width:2027;height:3" coordorigin="3176,529" coordsize="2027,3" path="m5173,529l3176,529,3176,532,5173,532,5173,529xm5202,529l5173,529,5173,532,5202,532,5202,529xe" filled="true" fillcolor="#006a4d" stroked="false">
              <v:path arrowok="t"/>
              <v:fill type="solid"/>
            </v:shape>
            <v:shape style="position:absolute;left:5172;top:500;width:2027;height:29" coordorigin="5173,500" coordsize="2027,29" path="m7199,500l5202,500,5173,500,5173,529,5202,529,7199,529,7199,500xe" filled="true" fillcolor="#1f6b16" stroked="false">
              <v:path arrowok="t"/>
              <v:fill type="solid"/>
            </v:shape>
            <v:shape style="position:absolute;left:5201;top:529;width:2027;height:3" coordorigin="5202,529" coordsize="2027,3" path="m7228,529l7199,529,5202,529,5202,532,7199,532,7228,532,7228,529xe" filled="true" fillcolor="#006a4d" stroked="false">
              <v:path arrowok="t"/>
              <v:fill type="solid"/>
            </v:shape>
            <v:shape style="position:absolute;left:7199;top:500;width:1818;height:29" coordorigin="7199,500" coordsize="1818,29" path="m9016,500l7228,500,7199,500,7199,529,7228,529,9016,529,9016,500xe" filled="true" fillcolor="#1f6b16" stroked="false">
              <v:path arrowok="t"/>
              <v:fill type="solid"/>
            </v:shape>
            <v:shape style="position:absolute;left:7227;top:529;width:1818;height:3" coordorigin="7228,529" coordsize="1818,3" path="m9016,529l7228,529,7228,532,9016,532,9016,529xm9045,529l9016,529,9016,532,9045,532,9045,529xe" filled="true" fillcolor="#006a4d" stroked="false">
              <v:path arrowok="t"/>
              <v:fill type="solid"/>
            </v:shape>
            <v:shape style="position:absolute;left:9016;top:500;width:2175;height:29" coordorigin="9016,500" coordsize="2175,29" path="m11191,500l9045,500,9016,500,9016,529,9045,529,11191,529,11191,500xe" filled="true" fillcolor="#1f6b16" stroked="false">
              <v:path arrowok="t"/>
              <v:fill type="solid"/>
            </v:shape>
            <v:rect style="position:absolute;left:9045;top:529;width:2146;height:3" filled="true" fillcolor="#006a4d" stroked="false">
              <v:fill type="solid"/>
            </v:rect>
            <v:shape style="position:absolute;left:1070;top:821;width:1743;height:216" type="#_x0000_t202" filled="false" stroked="false">
              <v:textbox inset="0,0,0,0">
                <w:txbxContent>
                  <w:p>
                    <w:pPr>
                      <w:spacing w:before="4"/>
                      <w:ind w:left="0" w:right="0" w:firstLine="0"/>
                      <w:jc w:val="left"/>
                      <w:rPr>
                        <w:rFonts w:ascii="Arial"/>
                        <w:b/>
                        <w:sz w:val="18"/>
                      </w:rPr>
                    </w:pPr>
                    <w:r>
                      <w:rPr>
                        <w:rFonts w:ascii="Arial"/>
                        <w:b/>
                        <w:color w:val="FFFFFF"/>
                        <w:w w:val="105"/>
                        <w:sz w:val="18"/>
                      </w:rPr>
                      <w:t>Development</w:t>
                    </w:r>
                    <w:r>
                      <w:rPr>
                        <w:rFonts w:ascii="Arial"/>
                        <w:b/>
                        <w:color w:val="FFFFFF"/>
                        <w:spacing w:val="-25"/>
                        <w:w w:val="105"/>
                        <w:sz w:val="18"/>
                      </w:rPr>
                      <w:t> </w:t>
                    </w:r>
                    <w:r>
                      <w:rPr>
                        <w:rFonts w:ascii="Arial"/>
                        <w:b/>
                        <w:color w:val="FFFFFF"/>
                        <w:w w:val="105"/>
                        <w:sz w:val="18"/>
                      </w:rPr>
                      <w:t>Name</w:t>
                    </w:r>
                  </w:p>
                </w:txbxContent>
              </v:textbox>
              <w10:wrap type="none"/>
            </v:shape>
            <v:shape style="position:absolute;left:3349;top:805;width:1638;height:239" type="#_x0000_t202" filled="false" stroked="false">
              <v:textbox inset="0,0,0,0">
                <w:txbxContent>
                  <w:p>
                    <w:pPr>
                      <w:spacing w:before="4"/>
                      <w:ind w:left="0" w:right="0" w:firstLine="0"/>
                      <w:jc w:val="left"/>
                      <w:rPr>
                        <w:sz w:val="20"/>
                      </w:rPr>
                    </w:pPr>
                    <w:r>
                      <w:rPr>
                        <w:color w:val="FFFFFF"/>
                        <w:w w:val="95"/>
                        <w:sz w:val="20"/>
                      </w:rPr>
                      <w:t>Development Type</w:t>
                    </w:r>
                  </w:p>
                </w:txbxContent>
              </v:textbox>
              <w10:wrap type="none"/>
            </v:shape>
            <v:shape style="position:absolute;left:5427;top:651;width:1536;height:239" type="#_x0000_t202" filled="false" stroked="false">
              <v:textbox inset="0,0,0,0">
                <w:txbxContent>
                  <w:p>
                    <w:pPr>
                      <w:spacing w:before="4"/>
                      <w:ind w:left="0" w:right="0" w:firstLine="0"/>
                      <w:jc w:val="left"/>
                      <w:rPr>
                        <w:sz w:val="20"/>
                      </w:rPr>
                    </w:pPr>
                    <w:r>
                      <w:rPr>
                        <w:color w:val="FFFFFF"/>
                        <w:sz w:val="20"/>
                      </w:rPr>
                      <w:t>Leasable Area</w:t>
                    </w:r>
                    <w:r>
                      <w:rPr>
                        <w:color w:val="FFFFFF"/>
                        <w:spacing w:val="-37"/>
                        <w:sz w:val="20"/>
                      </w:rPr>
                      <w:t> </w:t>
                    </w:r>
                    <w:r>
                      <w:rPr>
                        <w:color w:val="FFFFFF"/>
                        <w:sz w:val="20"/>
                      </w:rPr>
                      <w:t>(in</w:t>
                    </w:r>
                  </w:p>
                </w:txbxContent>
              </v:textbox>
              <w10:wrap type="none"/>
            </v:shape>
            <v:shape style="position:absolute;left:7583;top:805;width:1066;height:239" type="#_x0000_t202" filled="false" stroked="false">
              <v:textbox inset="0,0,0,0">
                <w:txbxContent>
                  <w:p>
                    <w:pPr>
                      <w:spacing w:before="4"/>
                      <w:ind w:left="0" w:right="0" w:firstLine="0"/>
                      <w:jc w:val="left"/>
                      <w:rPr>
                        <w:sz w:val="20"/>
                      </w:rPr>
                    </w:pPr>
                    <w:r>
                      <w:rPr>
                        <w:color w:val="FFFFFF"/>
                        <w:sz w:val="20"/>
                      </w:rPr>
                      <w:t>Vacancy (%)</w:t>
                    </w:r>
                  </w:p>
                </w:txbxContent>
              </v:textbox>
              <w10:wrap type="none"/>
            </v:shape>
            <v:shape style="position:absolute;left:9134;top:651;width:1958;height:239" type="#_x0000_t202" filled="false" stroked="false">
              <v:textbox inset="0,0,0,0">
                <w:txbxContent>
                  <w:p>
                    <w:pPr>
                      <w:spacing w:before="4"/>
                      <w:ind w:left="0" w:right="0" w:firstLine="0"/>
                      <w:jc w:val="left"/>
                      <w:rPr>
                        <w:sz w:val="20"/>
                      </w:rPr>
                    </w:pPr>
                    <w:r>
                      <w:rPr>
                        <w:color w:val="FFFFFF"/>
                        <w:sz w:val="20"/>
                      </w:rPr>
                      <w:t>Base</w:t>
                    </w:r>
                    <w:r>
                      <w:rPr>
                        <w:color w:val="FFFFFF"/>
                        <w:spacing w:val="-18"/>
                        <w:sz w:val="20"/>
                      </w:rPr>
                      <w:t> </w:t>
                    </w:r>
                    <w:r>
                      <w:rPr>
                        <w:color w:val="FFFFFF"/>
                        <w:sz w:val="20"/>
                      </w:rPr>
                      <w:t>Market</w:t>
                    </w:r>
                    <w:r>
                      <w:rPr>
                        <w:color w:val="FFFFFF"/>
                        <w:spacing w:val="-18"/>
                        <w:sz w:val="20"/>
                      </w:rPr>
                      <w:t> </w:t>
                    </w:r>
                    <w:r>
                      <w:rPr>
                        <w:color w:val="FFFFFF"/>
                        <w:sz w:val="20"/>
                      </w:rPr>
                      <w:t>Rent</w:t>
                    </w:r>
                    <w:r>
                      <w:rPr>
                        <w:color w:val="FFFFFF"/>
                        <w:spacing w:val="-18"/>
                        <w:sz w:val="20"/>
                      </w:rPr>
                      <w:t> </w:t>
                    </w:r>
                    <w:r>
                      <w:rPr>
                        <w:color w:val="FFFFFF"/>
                        <w:sz w:val="20"/>
                      </w:rPr>
                      <w:t>(INR</w:t>
                    </w:r>
                  </w:p>
                </w:txbxContent>
              </v:textbox>
              <w10:wrap type="none"/>
            </v:shape>
            <w10:wrap type="none"/>
          </v:group>
        </w:pict>
      </w:r>
      <w:r>
        <w:rPr/>
        <w:t>The table below highlights the prominent competing developments in the subject submarket:</w:t>
      </w:r>
    </w:p>
    <w:p>
      <w:pPr>
        <w:pStyle w:val="BodyText"/>
        <w:rPr>
          <w:sz w:val="20"/>
        </w:rPr>
      </w:pPr>
    </w:p>
    <w:p>
      <w:pPr>
        <w:pStyle w:val="BodyText"/>
        <w:rPr>
          <w:sz w:val="20"/>
        </w:rPr>
      </w:pPr>
    </w:p>
    <w:p>
      <w:pPr>
        <w:pStyle w:val="BodyText"/>
        <w:rPr>
          <w:sz w:val="20"/>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7"/>
        <w:gridCol w:w="2084"/>
        <w:gridCol w:w="1685"/>
        <w:gridCol w:w="2169"/>
        <w:gridCol w:w="2079"/>
      </w:tblGrid>
      <w:tr>
        <w:trPr>
          <w:trHeight w:val="432" w:hRule="atLeast"/>
        </w:trPr>
        <w:tc>
          <w:tcPr>
            <w:tcW w:w="4551" w:type="dxa"/>
            <w:gridSpan w:val="2"/>
            <w:tcBorders>
              <w:bottom w:val="single" w:sz="6" w:space="0" w:color="69BD28"/>
            </w:tcBorders>
            <w:shd w:val="clear" w:color="auto" w:fill="006A4D"/>
          </w:tcPr>
          <w:p>
            <w:pPr>
              <w:pStyle w:val="TableParagraph"/>
              <w:jc w:val="left"/>
              <w:rPr>
                <w:rFonts w:ascii="Times New Roman"/>
                <w:sz w:val="20"/>
              </w:rPr>
            </w:pPr>
          </w:p>
        </w:tc>
        <w:tc>
          <w:tcPr>
            <w:tcW w:w="1685" w:type="dxa"/>
            <w:tcBorders>
              <w:bottom w:val="single" w:sz="6" w:space="0" w:color="69BD28"/>
            </w:tcBorders>
            <w:shd w:val="clear" w:color="auto" w:fill="006A4D"/>
          </w:tcPr>
          <w:p>
            <w:pPr>
              <w:pStyle w:val="TableParagraph"/>
              <w:spacing w:before="11"/>
              <w:ind w:left="744"/>
              <w:jc w:val="left"/>
              <w:rPr>
                <w:sz w:val="20"/>
              </w:rPr>
            </w:pPr>
            <w:r>
              <w:rPr>
                <w:color w:val="FFFFFF"/>
                <w:sz w:val="20"/>
              </w:rPr>
              <w:t>msf)</w:t>
            </w:r>
          </w:p>
        </w:tc>
        <w:tc>
          <w:tcPr>
            <w:tcW w:w="2169" w:type="dxa"/>
            <w:tcBorders>
              <w:bottom w:val="single" w:sz="6" w:space="0" w:color="69BD28"/>
            </w:tcBorders>
            <w:shd w:val="clear" w:color="auto" w:fill="006A4D"/>
          </w:tcPr>
          <w:p>
            <w:pPr>
              <w:pStyle w:val="TableParagraph"/>
              <w:jc w:val="left"/>
              <w:rPr>
                <w:rFonts w:ascii="Times New Roman"/>
                <w:sz w:val="20"/>
              </w:rPr>
            </w:pPr>
          </w:p>
        </w:tc>
        <w:tc>
          <w:tcPr>
            <w:tcW w:w="2079" w:type="dxa"/>
            <w:tcBorders>
              <w:bottom w:val="single" w:sz="6" w:space="0" w:color="69BD28"/>
            </w:tcBorders>
            <w:shd w:val="clear" w:color="auto" w:fill="006A4D"/>
          </w:tcPr>
          <w:p>
            <w:pPr>
              <w:pStyle w:val="TableParagraph"/>
              <w:spacing w:before="11"/>
              <w:ind w:left="362" w:right="454"/>
              <w:rPr>
                <w:sz w:val="20"/>
              </w:rPr>
            </w:pPr>
            <w:r>
              <w:rPr>
                <w:color w:val="FFFFFF"/>
                <w:sz w:val="20"/>
              </w:rPr>
              <w:t>psf pm)*</w:t>
            </w:r>
          </w:p>
        </w:tc>
      </w:tr>
      <w:tr>
        <w:trPr>
          <w:trHeight w:val="520" w:hRule="atLeast"/>
        </w:trPr>
        <w:tc>
          <w:tcPr>
            <w:tcW w:w="2467" w:type="dxa"/>
            <w:tcBorders>
              <w:top w:val="single" w:sz="6" w:space="0" w:color="69BD28"/>
              <w:bottom w:val="single" w:sz="6" w:space="0" w:color="69BD28"/>
            </w:tcBorders>
          </w:tcPr>
          <w:p>
            <w:pPr>
              <w:pStyle w:val="TableParagraph"/>
              <w:spacing w:before="133"/>
              <w:ind w:left="572" w:right="581"/>
              <w:rPr>
                <w:sz w:val="18"/>
              </w:rPr>
            </w:pPr>
            <w:r>
              <w:rPr>
                <w:w w:val="105"/>
                <w:sz w:val="18"/>
              </w:rPr>
              <w:t>Development 1</w:t>
            </w:r>
          </w:p>
        </w:tc>
        <w:tc>
          <w:tcPr>
            <w:tcW w:w="2084" w:type="dxa"/>
            <w:tcBorders>
              <w:top w:val="single" w:sz="6" w:space="0" w:color="69BD28"/>
              <w:bottom w:val="single" w:sz="6" w:space="0" w:color="69BD28"/>
            </w:tcBorders>
          </w:tcPr>
          <w:p>
            <w:pPr>
              <w:pStyle w:val="TableParagraph"/>
              <w:spacing w:before="133"/>
              <w:ind w:left="639"/>
              <w:jc w:val="left"/>
              <w:rPr>
                <w:sz w:val="18"/>
              </w:rPr>
            </w:pPr>
            <w:r>
              <w:rPr>
                <w:w w:val="105"/>
                <w:sz w:val="18"/>
              </w:rPr>
              <w:t>Non-SEZ</w:t>
            </w:r>
          </w:p>
        </w:tc>
        <w:tc>
          <w:tcPr>
            <w:tcW w:w="1685" w:type="dxa"/>
            <w:tcBorders>
              <w:top w:val="single" w:sz="6" w:space="0" w:color="69BD28"/>
              <w:bottom w:val="single" w:sz="6" w:space="0" w:color="69BD28"/>
            </w:tcBorders>
          </w:tcPr>
          <w:p>
            <w:pPr>
              <w:pStyle w:val="TableParagraph"/>
              <w:spacing w:before="133"/>
              <w:ind w:left="795"/>
              <w:jc w:val="left"/>
              <w:rPr>
                <w:sz w:val="18"/>
              </w:rPr>
            </w:pPr>
            <w:r>
              <w:rPr>
                <w:w w:val="105"/>
                <w:sz w:val="18"/>
              </w:rPr>
              <w:t>0.1</w:t>
            </w:r>
          </w:p>
        </w:tc>
        <w:tc>
          <w:tcPr>
            <w:tcW w:w="2169" w:type="dxa"/>
            <w:tcBorders>
              <w:top w:val="single" w:sz="6" w:space="0" w:color="69BD28"/>
              <w:bottom w:val="single" w:sz="6" w:space="0" w:color="69BD28"/>
            </w:tcBorders>
          </w:tcPr>
          <w:p>
            <w:pPr>
              <w:pStyle w:val="TableParagraph"/>
              <w:spacing w:before="133"/>
              <w:ind w:left="545" w:right="379"/>
              <w:rPr>
                <w:sz w:val="18"/>
              </w:rPr>
            </w:pPr>
            <w:r>
              <w:rPr>
                <w:sz w:val="18"/>
              </w:rPr>
              <w:t>Minimal</w:t>
            </w:r>
          </w:p>
        </w:tc>
        <w:tc>
          <w:tcPr>
            <w:tcW w:w="2079" w:type="dxa"/>
            <w:tcBorders>
              <w:top w:val="single" w:sz="6" w:space="0" w:color="69BD28"/>
              <w:bottom w:val="single" w:sz="6" w:space="0" w:color="69BD28"/>
            </w:tcBorders>
          </w:tcPr>
          <w:p>
            <w:pPr>
              <w:pStyle w:val="TableParagraph"/>
              <w:spacing w:before="133"/>
              <w:ind w:left="362" w:right="454"/>
              <w:rPr>
                <w:sz w:val="18"/>
              </w:rPr>
            </w:pPr>
            <w:r>
              <w:rPr>
                <w:w w:val="115"/>
                <w:sz w:val="18"/>
              </w:rPr>
              <w:t>200.0 – 250.0</w:t>
            </w:r>
          </w:p>
        </w:tc>
      </w:tr>
      <w:tr>
        <w:trPr>
          <w:trHeight w:val="522" w:hRule="atLeast"/>
        </w:trPr>
        <w:tc>
          <w:tcPr>
            <w:tcW w:w="2467" w:type="dxa"/>
            <w:tcBorders>
              <w:top w:val="single" w:sz="6" w:space="0" w:color="69BD28"/>
              <w:bottom w:val="single" w:sz="6" w:space="0" w:color="69BD28"/>
            </w:tcBorders>
          </w:tcPr>
          <w:p>
            <w:pPr>
              <w:pStyle w:val="TableParagraph"/>
              <w:spacing w:before="133"/>
              <w:ind w:left="573" w:right="581"/>
              <w:rPr>
                <w:sz w:val="18"/>
              </w:rPr>
            </w:pPr>
            <w:r>
              <w:rPr>
                <w:w w:val="105"/>
                <w:sz w:val="18"/>
              </w:rPr>
              <w:t>Development 2</w:t>
            </w:r>
          </w:p>
        </w:tc>
        <w:tc>
          <w:tcPr>
            <w:tcW w:w="2084" w:type="dxa"/>
            <w:tcBorders>
              <w:top w:val="single" w:sz="6" w:space="0" w:color="69BD28"/>
              <w:bottom w:val="single" w:sz="6" w:space="0" w:color="69BD28"/>
            </w:tcBorders>
          </w:tcPr>
          <w:p>
            <w:pPr>
              <w:pStyle w:val="TableParagraph"/>
              <w:spacing w:before="133"/>
              <w:ind w:left="639"/>
              <w:jc w:val="left"/>
              <w:rPr>
                <w:sz w:val="18"/>
              </w:rPr>
            </w:pPr>
            <w:r>
              <w:rPr>
                <w:w w:val="105"/>
                <w:sz w:val="18"/>
              </w:rPr>
              <w:t>Non-SEZ</w:t>
            </w:r>
          </w:p>
        </w:tc>
        <w:tc>
          <w:tcPr>
            <w:tcW w:w="1685" w:type="dxa"/>
            <w:tcBorders>
              <w:top w:val="single" w:sz="6" w:space="0" w:color="69BD28"/>
              <w:bottom w:val="single" w:sz="6" w:space="0" w:color="69BD28"/>
            </w:tcBorders>
          </w:tcPr>
          <w:p>
            <w:pPr>
              <w:pStyle w:val="TableParagraph"/>
              <w:spacing w:before="133"/>
              <w:ind w:left="795"/>
              <w:jc w:val="left"/>
              <w:rPr>
                <w:sz w:val="18"/>
              </w:rPr>
            </w:pPr>
            <w:r>
              <w:rPr>
                <w:w w:val="105"/>
                <w:sz w:val="18"/>
              </w:rPr>
              <w:t>0.2</w:t>
            </w:r>
          </w:p>
        </w:tc>
        <w:tc>
          <w:tcPr>
            <w:tcW w:w="2169" w:type="dxa"/>
            <w:tcBorders>
              <w:top w:val="single" w:sz="6" w:space="0" w:color="69BD28"/>
              <w:bottom w:val="single" w:sz="6" w:space="0" w:color="69BD28"/>
            </w:tcBorders>
          </w:tcPr>
          <w:p>
            <w:pPr>
              <w:pStyle w:val="TableParagraph"/>
              <w:spacing w:before="133"/>
              <w:ind w:left="545" w:right="379"/>
              <w:rPr>
                <w:sz w:val="18"/>
              </w:rPr>
            </w:pPr>
            <w:r>
              <w:rPr>
                <w:sz w:val="18"/>
              </w:rPr>
              <w:t>Minimal</w:t>
            </w:r>
          </w:p>
        </w:tc>
        <w:tc>
          <w:tcPr>
            <w:tcW w:w="2079" w:type="dxa"/>
            <w:tcBorders>
              <w:top w:val="single" w:sz="6" w:space="0" w:color="69BD28"/>
              <w:bottom w:val="single" w:sz="6" w:space="0" w:color="69BD28"/>
            </w:tcBorders>
          </w:tcPr>
          <w:p>
            <w:pPr>
              <w:pStyle w:val="TableParagraph"/>
              <w:spacing w:before="133"/>
              <w:ind w:left="362" w:right="454"/>
              <w:rPr>
                <w:sz w:val="18"/>
              </w:rPr>
            </w:pPr>
            <w:r>
              <w:rPr>
                <w:w w:val="115"/>
                <w:sz w:val="18"/>
              </w:rPr>
              <w:t>200.0 – 250.0</w:t>
            </w:r>
          </w:p>
        </w:tc>
      </w:tr>
      <w:tr>
        <w:trPr>
          <w:trHeight w:val="520" w:hRule="atLeast"/>
        </w:trPr>
        <w:tc>
          <w:tcPr>
            <w:tcW w:w="2467" w:type="dxa"/>
            <w:tcBorders>
              <w:top w:val="single" w:sz="6" w:space="0" w:color="69BD28"/>
              <w:bottom w:val="single" w:sz="6" w:space="0" w:color="69BD28"/>
            </w:tcBorders>
          </w:tcPr>
          <w:p>
            <w:pPr>
              <w:pStyle w:val="TableParagraph"/>
              <w:spacing w:before="131"/>
              <w:ind w:left="573" w:right="581"/>
              <w:rPr>
                <w:sz w:val="18"/>
              </w:rPr>
            </w:pPr>
            <w:r>
              <w:rPr>
                <w:w w:val="105"/>
                <w:sz w:val="18"/>
              </w:rPr>
              <w:t>Development 3</w:t>
            </w:r>
          </w:p>
        </w:tc>
        <w:tc>
          <w:tcPr>
            <w:tcW w:w="2084" w:type="dxa"/>
            <w:tcBorders>
              <w:top w:val="single" w:sz="6" w:space="0" w:color="69BD28"/>
              <w:bottom w:val="single" w:sz="6" w:space="0" w:color="69BD28"/>
            </w:tcBorders>
          </w:tcPr>
          <w:p>
            <w:pPr>
              <w:pStyle w:val="TableParagraph"/>
              <w:spacing w:before="131"/>
              <w:ind w:left="639"/>
              <w:jc w:val="left"/>
              <w:rPr>
                <w:sz w:val="18"/>
              </w:rPr>
            </w:pPr>
            <w:r>
              <w:rPr>
                <w:w w:val="105"/>
                <w:sz w:val="18"/>
              </w:rPr>
              <w:t>Non-SEZ</w:t>
            </w:r>
          </w:p>
        </w:tc>
        <w:tc>
          <w:tcPr>
            <w:tcW w:w="1685" w:type="dxa"/>
            <w:tcBorders>
              <w:top w:val="single" w:sz="6" w:space="0" w:color="69BD28"/>
              <w:bottom w:val="single" w:sz="6" w:space="0" w:color="69BD28"/>
            </w:tcBorders>
          </w:tcPr>
          <w:p>
            <w:pPr>
              <w:pStyle w:val="TableParagraph"/>
              <w:spacing w:before="131"/>
              <w:ind w:left="795"/>
              <w:jc w:val="left"/>
              <w:rPr>
                <w:sz w:val="18"/>
              </w:rPr>
            </w:pPr>
            <w:r>
              <w:rPr>
                <w:w w:val="105"/>
                <w:sz w:val="18"/>
              </w:rPr>
              <w:t>0.2</w:t>
            </w:r>
          </w:p>
        </w:tc>
        <w:tc>
          <w:tcPr>
            <w:tcW w:w="2169" w:type="dxa"/>
            <w:tcBorders>
              <w:top w:val="single" w:sz="6" w:space="0" w:color="69BD28"/>
              <w:bottom w:val="single" w:sz="6" w:space="0" w:color="69BD28"/>
            </w:tcBorders>
          </w:tcPr>
          <w:p>
            <w:pPr>
              <w:pStyle w:val="TableParagraph"/>
              <w:spacing w:before="131"/>
              <w:ind w:left="545" w:right="385"/>
              <w:rPr>
                <w:sz w:val="18"/>
              </w:rPr>
            </w:pPr>
            <w:r>
              <w:rPr>
                <w:w w:val="110"/>
                <w:sz w:val="18"/>
              </w:rPr>
              <w:t>10.0% - 15.0%</w:t>
            </w:r>
          </w:p>
        </w:tc>
        <w:tc>
          <w:tcPr>
            <w:tcW w:w="2079" w:type="dxa"/>
            <w:tcBorders>
              <w:top w:val="single" w:sz="6" w:space="0" w:color="69BD28"/>
              <w:bottom w:val="single" w:sz="6" w:space="0" w:color="69BD28"/>
            </w:tcBorders>
          </w:tcPr>
          <w:p>
            <w:pPr>
              <w:pStyle w:val="TableParagraph"/>
              <w:spacing w:before="131"/>
              <w:ind w:left="362" w:right="454"/>
              <w:rPr>
                <w:sz w:val="18"/>
              </w:rPr>
            </w:pPr>
            <w:r>
              <w:rPr>
                <w:w w:val="115"/>
                <w:sz w:val="18"/>
              </w:rPr>
              <w:t>200.0 – 250.0</w:t>
            </w:r>
          </w:p>
        </w:tc>
      </w:tr>
      <w:tr>
        <w:trPr>
          <w:trHeight w:val="520" w:hRule="atLeast"/>
        </w:trPr>
        <w:tc>
          <w:tcPr>
            <w:tcW w:w="2467" w:type="dxa"/>
            <w:tcBorders>
              <w:top w:val="single" w:sz="6" w:space="0" w:color="69BD28"/>
              <w:bottom w:val="single" w:sz="6" w:space="0" w:color="69BD28"/>
            </w:tcBorders>
          </w:tcPr>
          <w:p>
            <w:pPr>
              <w:pStyle w:val="TableParagraph"/>
              <w:spacing w:before="131"/>
              <w:ind w:left="573" w:right="581"/>
              <w:rPr>
                <w:sz w:val="18"/>
              </w:rPr>
            </w:pPr>
            <w:r>
              <w:rPr>
                <w:w w:val="105"/>
                <w:sz w:val="18"/>
              </w:rPr>
              <w:t>Development 4</w:t>
            </w:r>
          </w:p>
        </w:tc>
        <w:tc>
          <w:tcPr>
            <w:tcW w:w="2084" w:type="dxa"/>
            <w:tcBorders>
              <w:top w:val="single" w:sz="6" w:space="0" w:color="69BD28"/>
              <w:bottom w:val="single" w:sz="6" w:space="0" w:color="69BD28"/>
            </w:tcBorders>
          </w:tcPr>
          <w:p>
            <w:pPr>
              <w:pStyle w:val="TableParagraph"/>
              <w:spacing w:before="131"/>
              <w:ind w:left="639"/>
              <w:jc w:val="left"/>
              <w:rPr>
                <w:sz w:val="18"/>
              </w:rPr>
            </w:pPr>
            <w:r>
              <w:rPr>
                <w:w w:val="105"/>
                <w:sz w:val="18"/>
              </w:rPr>
              <w:t>Non-SEZ</w:t>
            </w:r>
          </w:p>
        </w:tc>
        <w:tc>
          <w:tcPr>
            <w:tcW w:w="1685" w:type="dxa"/>
            <w:tcBorders>
              <w:top w:val="single" w:sz="6" w:space="0" w:color="69BD28"/>
              <w:bottom w:val="single" w:sz="6" w:space="0" w:color="69BD28"/>
            </w:tcBorders>
          </w:tcPr>
          <w:p>
            <w:pPr>
              <w:pStyle w:val="TableParagraph"/>
              <w:spacing w:before="131"/>
              <w:ind w:left="795"/>
              <w:jc w:val="left"/>
              <w:rPr>
                <w:sz w:val="18"/>
              </w:rPr>
            </w:pPr>
            <w:r>
              <w:rPr>
                <w:w w:val="105"/>
                <w:sz w:val="18"/>
              </w:rPr>
              <w:t>0.2</w:t>
            </w:r>
          </w:p>
        </w:tc>
        <w:tc>
          <w:tcPr>
            <w:tcW w:w="2169" w:type="dxa"/>
            <w:tcBorders>
              <w:top w:val="single" w:sz="6" w:space="0" w:color="69BD28"/>
              <w:bottom w:val="single" w:sz="6" w:space="0" w:color="69BD28"/>
            </w:tcBorders>
          </w:tcPr>
          <w:p>
            <w:pPr>
              <w:pStyle w:val="TableParagraph"/>
              <w:spacing w:before="131"/>
              <w:ind w:left="545" w:right="379"/>
              <w:rPr>
                <w:sz w:val="18"/>
              </w:rPr>
            </w:pPr>
            <w:r>
              <w:rPr>
                <w:sz w:val="18"/>
              </w:rPr>
              <w:t>Minimal</w:t>
            </w:r>
          </w:p>
        </w:tc>
        <w:tc>
          <w:tcPr>
            <w:tcW w:w="2079" w:type="dxa"/>
            <w:tcBorders>
              <w:top w:val="single" w:sz="6" w:space="0" w:color="69BD28"/>
              <w:bottom w:val="single" w:sz="6" w:space="0" w:color="69BD28"/>
            </w:tcBorders>
          </w:tcPr>
          <w:p>
            <w:pPr>
              <w:pStyle w:val="TableParagraph"/>
              <w:spacing w:before="131"/>
              <w:ind w:left="362" w:right="454"/>
              <w:rPr>
                <w:sz w:val="18"/>
              </w:rPr>
            </w:pPr>
            <w:r>
              <w:rPr>
                <w:w w:val="115"/>
                <w:sz w:val="18"/>
              </w:rPr>
              <w:t>175.0 – 200.0</w:t>
            </w:r>
          </w:p>
        </w:tc>
      </w:tr>
    </w:tbl>
    <w:p>
      <w:pPr>
        <w:spacing w:before="4"/>
        <w:ind w:left="120" w:right="0" w:firstLine="0"/>
        <w:jc w:val="left"/>
        <w:rPr>
          <w:i/>
          <w:sz w:val="18"/>
        </w:rPr>
      </w:pPr>
      <w:r>
        <w:rPr>
          <w:i/>
          <w:sz w:val="16"/>
        </w:rPr>
        <w:t>Source </w:t>
      </w:r>
      <w:r>
        <w:rPr>
          <w:i/>
          <w:w w:val="105"/>
          <w:sz w:val="16"/>
        </w:rPr>
        <w:t>– </w:t>
      </w:r>
      <w:r>
        <w:rPr>
          <w:i/>
          <w:sz w:val="16"/>
        </w:rPr>
        <w:t>CBRE Research; *All-inclusive quoted rental on leasable area (</w:t>
      </w:r>
      <w:r>
        <w:rPr>
          <w:i/>
          <w:sz w:val="18"/>
        </w:rPr>
        <w:t>Inclusive of CAM and PT)</w:t>
      </w:r>
    </w:p>
    <w:p>
      <w:pPr>
        <w:pStyle w:val="BodyText"/>
        <w:rPr>
          <w:i/>
        </w:rPr>
      </w:pPr>
    </w:p>
    <w:p>
      <w:pPr>
        <w:pStyle w:val="ListParagraph"/>
        <w:numPr>
          <w:ilvl w:val="2"/>
          <w:numId w:val="14"/>
        </w:numPr>
        <w:tabs>
          <w:tab w:pos="841" w:val="left" w:leader="none"/>
        </w:tabs>
        <w:spacing w:line="240" w:lineRule="auto" w:before="136" w:after="0"/>
        <w:ind w:left="840" w:right="0" w:hanging="721"/>
        <w:jc w:val="left"/>
        <w:rPr>
          <w:sz w:val="22"/>
        </w:rPr>
      </w:pPr>
      <w:bookmarkStart w:name="_bookmark88" w:id="173"/>
      <w:bookmarkEnd w:id="173"/>
      <w:r>
        <w:rPr/>
      </w:r>
      <w:bookmarkStart w:name="_bookmark88" w:id="174"/>
      <w:bookmarkEnd w:id="174"/>
      <w:r>
        <w:rPr>
          <w:color w:val="1F664D"/>
          <w:sz w:val="22"/>
        </w:rPr>
        <w:t>Le</w:t>
      </w:r>
      <w:r>
        <w:rPr>
          <w:color w:val="1F664D"/>
          <w:sz w:val="22"/>
        </w:rPr>
        <w:t>ase Rent</w:t>
      </w:r>
      <w:r>
        <w:rPr>
          <w:color w:val="1F664D"/>
          <w:spacing w:val="-3"/>
          <w:sz w:val="22"/>
        </w:rPr>
        <w:t> </w:t>
      </w:r>
      <w:r>
        <w:rPr>
          <w:color w:val="1F664D"/>
          <w:sz w:val="22"/>
        </w:rPr>
        <w:t>Analysis</w:t>
      </w:r>
    </w:p>
    <w:p>
      <w:pPr>
        <w:pStyle w:val="BodyText"/>
        <w:spacing w:line="321" w:lineRule="auto" w:before="209"/>
        <w:ind w:left="682" w:right="113"/>
        <w:jc w:val="both"/>
      </w:pPr>
      <w:r>
        <w:rPr/>
        <w:t>The current quoted rents in subject submarket typically vary between INR 180.0 </w:t>
      </w:r>
      <w:r>
        <w:rPr>
          <w:w w:val="105"/>
        </w:rPr>
        <w:t>– </w:t>
      </w:r>
      <w:r>
        <w:rPr/>
        <w:t>250.0 psf pm on leasable</w:t>
      </w:r>
      <w:r>
        <w:rPr>
          <w:spacing w:val="-40"/>
        </w:rPr>
        <w:t> </w:t>
      </w:r>
      <w:r>
        <w:rPr/>
        <w:t>area</w:t>
      </w:r>
      <w:r>
        <w:rPr>
          <w:spacing w:val="-39"/>
        </w:rPr>
        <w:t> </w:t>
      </w:r>
      <w:r>
        <w:rPr/>
        <w:t>basis</w:t>
      </w:r>
      <w:r>
        <w:rPr>
          <w:spacing w:val="-39"/>
        </w:rPr>
        <w:t> </w:t>
      </w:r>
      <w:r>
        <w:rPr/>
        <w:t>depending</w:t>
      </w:r>
      <w:r>
        <w:rPr>
          <w:spacing w:val="-38"/>
        </w:rPr>
        <w:t> </w:t>
      </w:r>
      <w:r>
        <w:rPr/>
        <w:t>upon</w:t>
      </w:r>
      <w:r>
        <w:rPr>
          <w:spacing w:val="-40"/>
        </w:rPr>
        <w:t> </w:t>
      </w:r>
      <w:r>
        <w:rPr/>
        <w:t>specifications</w:t>
      </w:r>
      <w:r>
        <w:rPr>
          <w:spacing w:val="-39"/>
        </w:rPr>
        <w:t> </w:t>
      </w:r>
      <w:r>
        <w:rPr/>
        <w:t>offered,</w:t>
      </w:r>
      <w:r>
        <w:rPr>
          <w:spacing w:val="-39"/>
        </w:rPr>
        <w:t> </w:t>
      </w:r>
      <w:r>
        <w:rPr/>
        <w:t>location</w:t>
      </w:r>
      <w:r>
        <w:rPr>
          <w:spacing w:val="-39"/>
        </w:rPr>
        <w:t> </w:t>
      </w:r>
      <w:r>
        <w:rPr/>
        <w:t>and</w:t>
      </w:r>
      <w:r>
        <w:rPr>
          <w:spacing w:val="-38"/>
        </w:rPr>
        <w:t> </w:t>
      </w:r>
      <w:r>
        <w:rPr/>
        <w:t>accessibility</w:t>
      </w:r>
      <w:r>
        <w:rPr>
          <w:spacing w:val="-38"/>
        </w:rPr>
        <w:t> </w:t>
      </w:r>
      <w:r>
        <w:rPr/>
        <w:t>of</w:t>
      </w:r>
      <w:r>
        <w:rPr>
          <w:spacing w:val="-36"/>
        </w:rPr>
        <w:t> </w:t>
      </w:r>
      <w:r>
        <w:rPr/>
        <w:t>the</w:t>
      </w:r>
      <w:r>
        <w:rPr>
          <w:spacing w:val="-39"/>
        </w:rPr>
        <w:t> </w:t>
      </w:r>
      <w:r>
        <w:rPr/>
        <w:t>development (viz.</w:t>
      </w:r>
      <w:r>
        <w:rPr>
          <w:spacing w:val="-23"/>
        </w:rPr>
        <w:t> </w:t>
      </w:r>
      <w:r>
        <w:rPr/>
        <w:t>along/off</w:t>
      </w:r>
      <w:r>
        <w:rPr>
          <w:spacing w:val="-22"/>
        </w:rPr>
        <w:t> </w:t>
      </w:r>
      <w:r>
        <w:rPr/>
        <w:t>the</w:t>
      </w:r>
      <w:r>
        <w:rPr>
          <w:spacing w:val="-23"/>
        </w:rPr>
        <w:t> </w:t>
      </w:r>
      <w:r>
        <w:rPr/>
        <w:t>main</w:t>
      </w:r>
      <w:r>
        <w:rPr>
          <w:spacing w:val="-23"/>
        </w:rPr>
        <w:t> </w:t>
      </w:r>
      <w:r>
        <w:rPr/>
        <w:t>arterial</w:t>
      </w:r>
      <w:r>
        <w:rPr>
          <w:spacing w:val="-22"/>
        </w:rPr>
        <w:t> </w:t>
      </w:r>
      <w:r>
        <w:rPr/>
        <w:t>roads),</w:t>
      </w:r>
      <w:r>
        <w:rPr>
          <w:spacing w:val="-24"/>
        </w:rPr>
        <w:t> </w:t>
      </w:r>
      <w:r>
        <w:rPr/>
        <w:t>quality</w:t>
      </w:r>
      <w:r>
        <w:rPr>
          <w:spacing w:val="-22"/>
        </w:rPr>
        <w:t> </w:t>
      </w:r>
      <w:r>
        <w:rPr/>
        <w:t>of</w:t>
      </w:r>
      <w:r>
        <w:rPr>
          <w:spacing w:val="-23"/>
        </w:rPr>
        <w:t> </w:t>
      </w:r>
      <w:r>
        <w:rPr/>
        <w:t>construction,</w:t>
      </w:r>
      <w:r>
        <w:rPr>
          <w:spacing w:val="-23"/>
        </w:rPr>
        <w:t> </w:t>
      </w:r>
      <w:r>
        <w:rPr/>
        <w:t>amenities</w:t>
      </w:r>
      <w:r>
        <w:rPr>
          <w:spacing w:val="-20"/>
        </w:rPr>
        <w:t> </w:t>
      </w:r>
      <w:r>
        <w:rPr/>
        <w:t>offered</w:t>
      </w:r>
      <w:r>
        <w:rPr>
          <w:spacing w:val="-22"/>
        </w:rPr>
        <w:t> </w:t>
      </w:r>
      <w:r>
        <w:rPr/>
        <w:t>etc.</w:t>
      </w:r>
      <w:r>
        <w:rPr>
          <w:spacing w:val="-23"/>
        </w:rPr>
        <w:t> </w:t>
      </w:r>
      <w:r>
        <w:rPr/>
        <w:t>In</w:t>
      </w:r>
      <w:r>
        <w:rPr>
          <w:spacing w:val="-23"/>
        </w:rPr>
        <w:t> </w:t>
      </w:r>
      <w:r>
        <w:rPr/>
        <w:t>addition,</w:t>
      </w:r>
      <w:r>
        <w:rPr>
          <w:spacing w:val="-23"/>
        </w:rPr>
        <w:t> </w:t>
      </w:r>
      <w:r>
        <w:rPr/>
        <w:t>the maintenance</w:t>
      </w:r>
      <w:r>
        <w:rPr>
          <w:spacing w:val="-7"/>
        </w:rPr>
        <w:t> </w:t>
      </w:r>
      <w:r>
        <w:rPr/>
        <w:t>charge</w:t>
      </w:r>
      <w:r>
        <w:rPr>
          <w:spacing w:val="-7"/>
        </w:rPr>
        <w:t> </w:t>
      </w:r>
      <w:r>
        <w:rPr/>
        <w:t>for</w:t>
      </w:r>
      <w:r>
        <w:rPr>
          <w:spacing w:val="-7"/>
        </w:rPr>
        <w:t> </w:t>
      </w:r>
      <w:r>
        <w:rPr/>
        <w:t>these</w:t>
      </w:r>
      <w:r>
        <w:rPr>
          <w:spacing w:val="-7"/>
        </w:rPr>
        <w:t> </w:t>
      </w:r>
      <w:r>
        <w:rPr/>
        <w:t>developments</w:t>
      </w:r>
      <w:r>
        <w:rPr>
          <w:spacing w:val="-5"/>
        </w:rPr>
        <w:t> </w:t>
      </w:r>
      <w:r>
        <w:rPr/>
        <w:t>varies</w:t>
      </w:r>
      <w:r>
        <w:rPr>
          <w:spacing w:val="-6"/>
        </w:rPr>
        <w:t> </w:t>
      </w:r>
      <w:r>
        <w:rPr/>
        <w:t>in</w:t>
      </w:r>
      <w:r>
        <w:rPr>
          <w:spacing w:val="-8"/>
        </w:rPr>
        <w:t> </w:t>
      </w:r>
      <w:r>
        <w:rPr/>
        <w:t>the</w:t>
      </w:r>
      <w:r>
        <w:rPr>
          <w:spacing w:val="-7"/>
        </w:rPr>
        <w:t> </w:t>
      </w:r>
      <w:r>
        <w:rPr/>
        <w:t>range</w:t>
      </w:r>
      <w:r>
        <w:rPr>
          <w:spacing w:val="-7"/>
        </w:rPr>
        <w:t> </w:t>
      </w:r>
      <w:r>
        <w:rPr/>
        <w:t>of</w:t>
      </w:r>
      <w:r>
        <w:rPr>
          <w:spacing w:val="-5"/>
        </w:rPr>
        <w:t> </w:t>
      </w:r>
      <w:r>
        <w:rPr/>
        <w:t>INR</w:t>
      </w:r>
      <w:r>
        <w:rPr>
          <w:spacing w:val="-8"/>
        </w:rPr>
        <w:t> </w:t>
      </w:r>
      <w:r>
        <w:rPr/>
        <w:t>4.0</w:t>
      </w:r>
      <w:r>
        <w:rPr>
          <w:spacing w:val="-6"/>
        </w:rPr>
        <w:t> </w:t>
      </w:r>
      <w:r>
        <w:rPr>
          <w:w w:val="105"/>
        </w:rPr>
        <w:t>–</w:t>
      </w:r>
      <w:r>
        <w:rPr>
          <w:spacing w:val="-10"/>
          <w:w w:val="105"/>
        </w:rPr>
        <w:t> </w:t>
      </w:r>
      <w:r>
        <w:rPr/>
        <w:t>18.0</w:t>
      </w:r>
      <w:r>
        <w:rPr>
          <w:spacing w:val="-8"/>
        </w:rPr>
        <w:t> </w:t>
      </w:r>
      <w:r>
        <w:rPr/>
        <w:t>psf</w:t>
      </w:r>
      <w:r>
        <w:rPr>
          <w:spacing w:val="-8"/>
        </w:rPr>
        <w:t> </w:t>
      </w:r>
      <w:r>
        <w:rPr/>
        <w:t>pm.</w:t>
      </w:r>
    </w:p>
    <w:p>
      <w:pPr>
        <w:pStyle w:val="BodyText"/>
        <w:spacing w:before="121"/>
        <w:ind w:left="660"/>
        <w:jc w:val="both"/>
      </w:pPr>
      <w:r>
        <w:rPr/>
        <w:t>The below mentioned table incorporated key transactions witnessed across the CBD submarket:</w:t>
      </w:r>
    </w:p>
    <w:p>
      <w:pPr>
        <w:pStyle w:val="BodyText"/>
        <w:rPr>
          <w:sz w:val="20"/>
        </w:rPr>
      </w:pPr>
    </w:p>
    <w:p>
      <w:pPr>
        <w:pStyle w:val="BodyText"/>
        <w:spacing w:before="7"/>
        <w:rPr>
          <w:sz w:val="13"/>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86"/>
        <w:gridCol w:w="1832"/>
        <w:gridCol w:w="2017"/>
        <w:gridCol w:w="4251"/>
      </w:tblGrid>
      <w:tr>
        <w:trPr>
          <w:trHeight w:val="311" w:hRule="atLeast"/>
        </w:trPr>
        <w:tc>
          <w:tcPr>
            <w:tcW w:w="2386" w:type="dxa"/>
            <w:tcBorders>
              <w:top w:val="single" w:sz="12" w:space="0" w:color="1F6B16"/>
              <w:bottom w:val="single" w:sz="6" w:space="0" w:color="69BD28"/>
            </w:tcBorders>
            <w:shd w:val="clear" w:color="auto" w:fill="006A4D"/>
          </w:tcPr>
          <w:p>
            <w:pPr>
              <w:pStyle w:val="TableParagraph"/>
              <w:spacing w:before="3"/>
              <w:ind w:left="215" w:right="365"/>
              <w:rPr>
                <w:sz w:val="20"/>
              </w:rPr>
            </w:pPr>
            <w:r>
              <w:rPr>
                <w:color w:val="FFFFFF"/>
                <w:sz w:val="20"/>
              </w:rPr>
              <w:t>Date of Transaction</w:t>
            </w:r>
          </w:p>
        </w:tc>
        <w:tc>
          <w:tcPr>
            <w:tcW w:w="1832" w:type="dxa"/>
            <w:tcBorders>
              <w:top w:val="single" w:sz="12" w:space="0" w:color="1F6B16"/>
              <w:bottom w:val="single" w:sz="6" w:space="0" w:color="69BD28"/>
            </w:tcBorders>
            <w:shd w:val="clear" w:color="auto" w:fill="006A4D"/>
          </w:tcPr>
          <w:p>
            <w:pPr>
              <w:pStyle w:val="TableParagraph"/>
              <w:spacing w:before="3"/>
              <w:ind w:left="413"/>
              <w:jc w:val="left"/>
              <w:rPr>
                <w:sz w:val="20"/>
              </w:rPr>
            </w:pPr>
            <w:r>
              <w:rPr>
                <w:color w:val="FFFFFF"/>
                <w:sz w:val="20"/>
              </w:rPr>
              <w:t>Area (sf)</w:t>
            </w:r>
          </w:p>
        </w:tc>
        <w:tc>
          <w:tcPr>
            <w:tcW w:w="2017" w:type="dxa"/>
            <w:tcBorders>
              <w:top w:val="single" w:sz="12" w:space="0" w:color="1F6B16"/>
              <w:bottom w:val="single" w:sz="6" w:space="0" w:color="69BD28"/>
            </w:tcBorders>
            <w:shd w:val="clear" w:color="auto" w:fill="006A4D"/>
          </w:tcPr>
          <w:p>
            <w:pPr>
              <w:pStyle w:val="TableParagraph"/>
              <w:spacing w:before="3"/>
              <w:ind w:left="741"/>
              <w:jc w:val="left"/>
              <w:rPr>
                <w:sz w:val="20"/>
              </w:rPr>
            </w:pPr>
            <w:r>
              <w:rPr>
                <w:color w:val="FFFFFF"/>
                <w:sz w:val="20"/>
              </w:rPr>
              <w:t>Tenant</w:t>
            </w:r>
          </w:p>
        </w:tc>
        <w:tc>
          <w:tcPr>
            <w:tcW w:w="4251" w:type="dxa"/>
            <w:tcBorders>
              <w:top w:val="single" w:sz="12" w:space="0" w:color="1F6B16"/>
              <w:bottom w:val="single" w:sz="6" w:space="0" w:color="69BD28"/>
            </w:tcBorders>
            <w:shd w:val="clear" w:color="auto" w:fill="006A4D"/>
          </w:tcPr>
          <w:p>
            <w:pPr>
              <w:pStyle w:val="TableParagraph"/>
              <w:spacing w:before="3"/>
              <w:ind w:left="553" w:right="385"/>
              <w:rPr>
                <w:sz w:val="20"/>
              </w:rPr>
            </w:pPr>
            <w:r>
              <w:rPr>
                <w:color w:val="FFFFFF"/>
                <w:sz w:val="20"/>
              </w:rPr>
              <w:t>Transacted Rent Value (INR psf pm)*</w:t>
            </w:r>
          </w:p>
        </w:tc>
      </w:tr>
      <w:tr>
        <w:trPr>
          <w:trHeight w:val="309" w:hRule="atLeast"/>
        </w:trPr>
        <w:tc>
          <w:tcPr>
            <w:tcW w:w="2386" w:type="dxa"/>
            <w:tcBorders>
              <w:top w:val="single" w:sz="6" w:space="0" w:color="69BD28"/>
              <w:bottom w:val="single" w:sz="6" w:space="0" w:color="69BD28"/>
            </w:tcBorders>
          </w:tcPr>
          <w:p>
            <w:pPr>
              <w:pStyle w:val="TableParagraph"/>
              <w:spacing w:before="44"/>
              <w:ind w:left="215" w:right="365"/>
              <w:rPr>
                <w:sz w:val="18"/>
              </w:rPr>
            </w:pPr>
            <w:r>
              <w:rPr>
                <w:w w:val="110"/>
                <w:sz w:val="18"/>
              </w:rPr>
              <w:t>Q4, 2019</w:t>
            </w:r>
          </w:p>
        </w:tc>
        <w:tc>
          <w:tcPr>
            <w:tcW w:w="1832" w:type="dxa"/>
            <w:tcBorders>
              <w:top w:val="single" w:sz="6" w:space="0" w:color="69BD28"/>
              <w:bottom w:val="single" w:sz="6" w:space="0" w:color="69BD28"/>
            </w:tcBorders>
          </w:tcPr>
          <w:p>
            <w:pPr>
              <w:pStyle w:val="TableParagraph"/>
              <w:spacing w:before="44"/>
              <w:ind w:left="538"/>
              <w:jc w:val="left"/>
              <w:rPr>
                <w:sz w:val="18"/>
              </w:rPr>
            </w:pPr>
            <w:r>
              <w:rPr>
                <w:w w:val="105"/>
                <w:sz w:val="18"/>
              </w:rPr>
              <w:t>2,300</w:t>
            </w:r>
          </w:p>
        </w:tc>
        <w:tc>
          <w:tcPr>
            <w:tcW w:w="2017" w:type="dxa"/>
            <w:tcBorders>
              <w:top w:val="single" w:sz="6" w:space="0" w:color="69BD28"/>
              <w:bottom w:val="single" w:sz="6" w:space="0" w:color="69BD28"/>
            </w:tcBorders>
          </w:tcPr>
          <w:p>
            <w:pPr>
              <w:pStyle w:val="TableParagraph"/>
              <w:spacing w:before="44"/>
              <w:ind w:left="691"/>
              <w:jc w:val="left"/>
              <w:rPr>
                <w:sz w:val="18"/>
              </w:rPr>
            </w:pPr>
            <w:r>
              <w:rPr>
                <w:sz w:val="18"/>
              </w:rPr>
              <w:t>Tenant 1</w:t>
            </w:r>
          </w:p>
        </w:tc>
        <w:tc>
          <w:tcPr>
            <w:tcW w:w="4251" w:type="dxa"/>
            <w:tcBorders>
              <w:top w:val="single" w:sz="6" w:space="0" w:color="69BD28"/>
              <w:bottom w:val="single" w:sz="6" w:space="0" w:color="69BD28"/>
            </w:tcBorders>
          </w:tcPr>
          <w:p>
            <w:pPr>
              <w:pStyle w:val="TableParagraph"/>
              <w:spacing w:before="44"/>
              <w:ind w:left="553" w:right="381"/>
              <w:rPr>
                <w:sz w:val="18"/>
              </w:rPr>
            </w:pPr>
            <w:r>
              <w:rPr>
                <w:w w:val="105"/>
                <w:sz w:val="18"/>
              </w:rPr>
              <w:t>220.0 - 230.0</w:t>
            </w:r>
          </w:p>
        </w:tc>
      </w:tr>
      <w:tr>
        <w:trPr>
          <w:trHeight w:val="308" w:hRule="atLeast"/>
        </w:trPr>
        <w:tc>
          <w:tcPr>
            <w:tcW w:w="2386" w:type="dxa"/>
            <w:tcBorders>
              <w:top w:val="single" w:sz="6" w:space="0" w:color="69BD28"/>
              <w:bottom w:val="single" w:sz="6" w:space="0" w:color="69BD28"/>
            </w:tcBorders>
          </w:tcPr>
          <w:p>
            <w:pPr>
              <w:pStyle w:val="TableParagraph"/>
              <w:spacing w:before="44"/>
              <w:ind w:left="215" w:right="365"/>
              <w:rPr>
                <w:sz w:val="18"/>
              </w:rPr>
            </w:pPr>
            <w:r>
              <w:rPr>
                <w:w w:val="110"/>
                <w:sz w:val="18"/>
              </w:rPr>
              <w:t>Q2, 2019</w:t>
            </w:r>
          </w:p>
        </w:tc>
        <w:tc>
          <w:tcPr>
            <w:tcW w:w="1832" w:type="dxa"/>
            <w:tcBorders>
              <w:top w:val="single" w:sz="6" w:space="0" w:color="69BD28"/>
              <w:bottom w:val="single" w:sz="6" w:space="0" w:color="69BD28"/>
            </w:tcBorders>
          </w:tcPr>
          <w:p>
            <w:pPr>
              <w:pStyle w:val="TableParagraph"/>
              <w:spacing w:before="44"/>
              <w:ind w:left="538"/>
              <w:jc w:val="left"/>
              <w:rPr>
                <w:sz w:val="18"/>
              </w:rPr>
            </w:pPr>
            <w:r>
              <w:rPr>
                <w:w w:val="105"/>
                <w:sz w:val="18"/>
              </w:rPr>
              <w:t>6,500</w:t>
            </w:r>
          </w:p>
        </w:tc>
        <w:tc>
          <w:tcPr>
            <w:tcW w:w="2017" w:type="dxa"/>
            <w:tcBorders>
              <w:top w:val="single" w:sz="6" w:space="0" w:color="69BD28"/>
              <w:bottom w:val="single" w:sz="6" w:space="0" w:color="69BD28"/>
            </w:tcBorders>
          </w:tcPr>
          <w:p>
            <w:pPr>
              <w:pStyle w:val="TableParagraph"/>
              <w:spacing w:before="44"/>
              <w:ind w:left="691"/>
              <w:jc w:val="left"/>
              <w:rPr>
                <w:sz w:val="18"/>
              </w:rPr>
            </w:pPr>
            <w:r>
              <w:rPr>
                <w:sz w:val="18"/>
              </w:rPr>
              <w:t>Tenant 2</w:t>
            </w:r>
          </w:p>
        </w:tc>
        <w:tc>
          <w:tcPr>
            <w:tcW w:w="4251" w:type="dxa"/>
            <w:tcBorders>
              <w:top w:val="single" w:sz="6" w:space="0" w:color="69BD28"/>
              <w:bottom w:val="single" w:sz="6" w:space="0" w:color="69BD28"/>
            </w:tcBorders>
          </w:tcPr>
          <w:p>
            <w:pPr>
              <w:pStyle w:val="TableParagraph"/>
              <w:spacing w:before="44"/>
              <w:ind w:left="553" w:right="381"/>
              <w:rPr>
                <w:sz w:val="18"/>
              </w:rPr>
            </w:pPr>
            <w:r>
              <w:rPr>
                <w:w w:val="105"/>
                <w:sz w:val="18"/>
              </w:rPr>
              <w:t>155.0 - 165.0</w:t>
            </w:r>
          </w:p>
        </w:tc>
      </w:tr>
      <w:tr>
        <w:trPr>
          <w:trHeight w:val="311" w:hRule="atLeast"/>
        </w:trPr>
        <w:tc>
          <w:tcPr>
            <w:tcW w:w="2386" w:type="dxa"/>
            <w:tcBorders>
              <w:top w:val="single" w:sz="6" w:space="0" w:color="69BD28"/>
              <w:bottom w:val="single" w:sz="6" w:space="0" w:color="69BD28"/>
            </w:tcBorders>
          </w:tcPr>
          <w:p>
            <w:pPr>
              <w:pStyle w:val="TableParagraph"/>
              <w:spacing w:before="45"/>
              <w:ind w:left="215" w:right="365"/>
              <w:rPr>
                <w:sz w:val="18"/>
              </w:rPr>
            </w:pPr>
            <w:r>
              <w:rPr>
                <w:w w:val="110"/>
                <w:sz w:val="18"/>
              </w:rPr>
              <w:t>Q2, 2019</w:t>
            </w:r>
          </w:p>
        </w:tc>
        <w:tc>
          <w:tcPr>
            <w:tcW w:w="1832" w:type="dxa"/>
            <w:tcBorders>
              <w:top w:val="single" w:sz="6" w:space="0" w:color="69BD28"/>
              <w:bottom w:val="single" w:sz="6" w:space="0" w:color="69BD28"/>
            </w:tcBorders>
          </w:tcPr>
          <w:p>
            <w:pPr>
              <w:pStyle w:val="TableParagraph"/>
              <w:spacing w:before="45"/>
              <w:ind w:left="538"/>
              <w:jc w:val="left"/>
              <w:rPr>
                <w:sz w:val="18"/>
              </w:rPr>
            </w:pPr>
            <w:r>
              <w:rPr>
                <w:w w:val="105"/>
                <w:sz w:val="18"/>
              </w:rPr>
              <w:t>2,500</w:t>
            </w:r>
          </w:p>
        </w:tc>
        <w:tc>
          <w:tcPr>
            <w:tcW w:w="2017" w:type="dxa"/>
            <w:tcBorders>
              <w:top w:val="single" w:sz="6" w:space="0" w:color="69BD28"/>
              <w:bottom w:val="single" w:sz="6" w:space="0" w:color="69BD28"/>
            </w:tcBorders>
          </w:tcPr>
          <w:p>
            <w:pPr>
              <w:pStyle w:val="TableParagraph"/>
              <w:spacing w:before="45"/>
              <w:ind w:left="691"/>
              <w:jc w:val="left"/>
              <w:rPr>
                <w:sz w:val="18"/>
              </w:rPr>
            </w:pPr>
            <w:r>
              <w:rPr>
                <w:sz w:val="18"/>
              </w:rPr>
              <w:t>Tenant 3</w:t>
            </w:r>
          </w:p>
        </w:tc>
        <w:tc>
          <w:tcPr>
            <w:tcW w:w="4251" w:type="dxa"/>
            <w:tcBorders>
              <w:top w:val="single" w:sz="6" w:space="0" w:color="69BD28"/>
              <w:bottom w:val="single" w:sz="6" w:space="0" w:color="69BD28"/>
            </w:tcBorders>
          </w:tcPr>
          <w:p>
            <w:pPr>
              <w:pStyle w:val="TableParagraph"/>
              <w:spacing w:before="45"/>
              <w:ind w:left="553" w:right="381"/>
              <w:rPr>
                <w:sz w:val="18"/>
              </w:rPr>
            </w:pPr>
            <w:r>
              <w:rPr>
                <w:w w:val="105"/>
                <w:sz w:val="18"/>
              </w:rPr>
              <w:t>200.0 - 210.0</w:t>
            </w:r>
          </w:p>
        </w:tc>
      </w:tr>
    </w:tbl>
    <w:p>
      <w:pPr>
        <w:spacing w:before="0"/>
        <w:ind w:left="120" w:right="0" w:firstLine="0"/>
        <w:jc w:val="left"/>
        <w:rPr>
          <w:i/>
          <w:sz w:val="16"/>
        </w:rPr>
      </w:pPr>
      <w:r>
        <w:rPr>
          <w:i/>
          <w:sz w:val="16"/>
        </w:rPr>
        <w:t>Source </w:t>
      </w:r>
      <w:r>
        <w:rPr>
          <w:i/>
          <w:w w:val="110"/>
          <w:sz w:val="16"/>
        </w:rPr>
        <w:t>– </w:t>
      </w:r>
      <w:r>
        <w:rPr>
          <w:i/>
          <w:sz w:val="16"/>
        </w:rPr>
        <w:t>CBRE Research; *Bare Shell Rents exclusive of CAM</w:t>
      </w:r>
    </w:p>
    <w:p>
      <w:pPr>
        <w:pStyle w:val="BodyText"/>
        <w:rPr>
          <w:i/>
          <w:sz w:val="18"/>
        </w:rPr>
      </w:pPr>
    </w:p>
    <w:p>
      <w:pPr>
        <w:pStyle w:val="BodyText"/>
        <w:spacing w:line="372" w:lineRule="auto" w:before="132"/>
        <w:ind w:left="682" w:right="114"/>
        <w:jc w:val="both"/>
      </w:pPr>
      <w:r>
        <w:rPr/>
        <w:t>As</w:t>
      </w:r>
      <w:r>
        <w:rPr>
          <w:spacing w:val="-30"/>
        </w:rPr>
        <w:t> </w:t>
      </w:r>
      <w:r>
        <w:rPr/>
        <w:t>mentioned</w:t>
      </w:r>
      <w:r>
        <w:rPr>
          <w:spacing w:val="-30"/>
        </w:rPr>
        <w:t> </w:t>
      </w:r>
      <w:r>
        <w:rPr/>
        <w:t>above</w:t>
      </w:r>
      <w:r>
        <w:rPr>
          <w:spacing w:val="-31"/>
        </w:rPr>
        <w:t> </w:t>
      </w:r>
      <w:r>
        <w:rPr/>
        <w:t>the</w:t>
      </w:r>
      <w:r>
        <w:rPr>
          <w:spacing w:val="-31"/>
        </w:rPr>
        <w:t> </w:t>
      </w:r>
      <w:r>
        <w:rPr/>
        <w:t>transacted</w:t>
      </w:r>
      <w:r>
        <w:rPr>
          <w:spacing w:val="-30"/>
        </w:rPr>
        <w:t> </w:t>
      </w:r>
      <w:r>
        <w:rPr/>
        <w:t>market</w:t>
      </w:r>
      <w:r>
        <w:rPr>
          <w:spacing w:val="-29"/>
        </w:rPr>
        <w:t> </w:t>
      </w:r>
      <w:r>
        <w:rPr/>
        <w:t>rent</w:t>
      </w:r>
      <w:r>
        <w:rPr>
          <w:spacing w:val="-31"/>
        </w:rPr>
        <w:t> </w:t>
      </w:r>
      <w:r>
        <w:rPr/>
        <w:t>in</w:t>
      </w:r>
      <w:r>
        <w:rPr>
          <w:spacing w:val="-29"/>
        </w:rPr>
        <w:t> </w:t>
      </w:r>
      <w:r>
        <w:rPr/>
        <w:t>CBD</w:t>
      </w:r>
      <w:r>
        <w:rPr>
          <w:spacing w:val="-30"/>
        </w:rPr>
        <w:t> </w:t>
      </w:r>
      <w:r>
        <w:rPr/>
        <w:t>(other</w:t>
      </w:r>
      <w:r>
        <w:rPr>
          <w:spacing w:val="-31"/>
        </w:rPr>
        <w:t> </w:t>
      </w:r>
      <w:r>
        <w:rPr/>
        <w:t>than</w:t>
      </w:r>
      <w:r>
        <w:rPr>
          <w:spacing w:val="-30"/>
        </w:rPr>
        <w:t> </w:t>
      </w:r>
      <w:r>
        <w:rPr/>
        <w:t>the</w:t>
      </w:r>
      <w:r>
        <w:rPr>
          <w:spacing w:val="-31"/>
        </w:rPr>
        <w:t> </w:t>
      </w:r>
      <w:r>
        <w:rPr/>
        <w:t>subject</w:t>
      </w:r>
      <w:r>
        <w:rPr>
          <w:spacing w:val="-30"/>
        </w:rPr>
        <w:t> </w:t>
      </w:r>
      <w:r>
        <w:rPr/>
        <w:t>property)</w:t>
      </w:r>
      <w:r>
        <w:rPr>
          <w:spacing w:val="-30"/>
        </w:rPr>
        <w:t> </w:t>
      </w:r>
      <w:r>
        <w:rPr/>
        <w:t>are</w:t>
      </w:r>
      <w:r>
        <w:rPr>
          <w:spacing w:val="-31"/>
        </w:rPr>
        <w:t> </w:t>
      </w:r>
      <w:r>
        <w:rPr/>
        <w:t>typically</w:t>
      </w:r>
      <w:r>
        <w:rPr>
          <w:spacing w:val="-31"/>
        </w:rPr>
        <w:t> </w:t>
      </w:r>
      <w:r>
        <w:rPr/>
        <w:t>in the range of INR 150.0 to 230.0 psf pm depending on building positioning, development grade, amenities</w:t>
      </w:r>
      <w:r>
        <w:rPr>
          <w:spacing w:val="-38"/>
        </w:rPr>
        <w:t> </w:t>
      </w:r>
      <w:r>
        <w:rPr/>
        <w:t>provided,</w:t>
      </w:r>
      <w:r>
        <w:rPr>
          <w:spacing w:val="-38"/>
        </w:rPr>
        <w:t> </w:t>
      </w:r>
      <w:r>
        <w:rPr/>
        <w:t>specifications</w:t>
      </w:r>
      <w:r>
        <w:rPr>
          <w:spacing w:val="-38"/>
        </w:rPr>
        <w:t> </w:t>
      </w:r>
      <w:r>
        <w:rPr/>
        <w:t>of</w:t>
      </w:r>
      <w:r>
        <w:rPr>
          <w:spacing w:val="-38"/>
        </w:rPr>
        <w:t> </w:t>
      </w:r>
      <w:r>
        <w:rPr/>
        <w:t>the</w:t>
      </w:r>
      <w:r>
        <w:rPr>
          <w:spacing w:val="-39"/>
        </w:rPr>
        <w:t> </w:t>
      </w:r>
      <w:r>
        <w:rPr/>
        <w:t>development,</w:t>
      </w:r>
      <w:r>
        <w:rPr>
          <w:spacing w:val="-38"/>
        </w:rPr>
        <w:t> </w:t>
      </w:r>
      <w:r>
        <w:rPr/>
        <w:t>tenant</w:t>
      </w:r>
      <w:r>
        <w:rPr>
          <w:spacing w:val="-38"/>
        </w:rPr>
        <w:t> </w:t>
      </w:r>
      <w:r>
        <w:rPr/>
        <w:t>profile</w:t>
      </w:r>
      <w:r>
        <w:rPr>
          <w:spacing w:val="-38"/>
        </w:rPr>
        <w:t> </w:t>
      </w:r>
      <w:r>
        <w:rPr/>
        <w:t>of</w:t>
      </w:r>
      <w:r>
        <w:rPr>
          <w:spacing w:val="-38"/>
        </w:rPr>
        <w:t> </w:t>
      </w:r>
      <w:r>
        <w:rPr/>
        <w:t>the</w:t>
      </w:r>
      <w:r>
        <w:rPr>
          <w:spacing w:val="-38"/>
        </w:rPr>
        <w:t> </w:t>
      </w:r>
      <w:r>
        <w:rPr/>
        <w:t>development,</w:t>
      </w:r>
      <w:r>
        <w:rPr>
          <w:spacing w:val="-38"/>
        </w:rPr>
        <w:t> </w:t>
      </w:r>
      <w:r>
        <w:rPr/>
        <w:t>etc.</w:t>
      </w:r>
      <w:r>
        <w:rPr>
          <w:spacing w:val="-39"/>
        </w:rPr>
        <w:t> </w:t>
      </w:r>
      <w:r>
        <w:rPr/>
        <w:t>Further, CAM</w:t>
      </w:r>
      <w:r>
        <w:rPr>
          <w:spacing w:val="-24"/>
        </w:rPr>
        <w:t> </w:t>
      </w:r>
      <w:r>
        <w:rPr/>
        <w:t>charges</w:t>
      </w:r>
      <w:r>
        <w:rPr>
          <w:spacing w:val="-23"/>
        </w:rPr>
        <w:t> </w:t>
      </w:r>
      <w:r>
        <w:rPr/>
        <w:t>are</w:t>
      </w:r>
      <w:r>
        <w:rPr>
          <w:spacing w:val="-24"/>
        </w:rPr>
        <w:t> </w:t>
      </w:r>
      <w:r>
        <w:rPr/>
        <w:t>identified</w:t>
      </w:r>
      <w:r>
        <w:rPr>
          <w:spacing w:val="-22"/>
        </w:rPr>
        <w:t> </w:t>
      </w:r>
      <w:r>
        <w:rPr/>
        <w:t>to</w:t>
      </w:r>
      <w:r>
        <w:rPr>
          <w:spacing w:val="-24"/>
        </w:rPr>
        <w:t> </w:t>
      </w:r>
      <w:r>
        <w:rPr/>
        <w:t>be</w:t>
      </w:r>
      <w:r>
        <w:rPr>
          <w:spacing w:val="-24"/>
        </w:rPr>
        <w:t> </w:t>
      </w:r>
      <w:r>
        <w:rPr/>
        <w:t>approx.</w:t>
      </w:r>
      <w:r>
        <w:rPr>
          <w:spacing w:val="-26"/>
        </w:rPr>
        <w:t> </w:t>
      </w:r>
      <w:r>
        <w:rPr/>
        <w:t>INR</w:t>
      </w:r>
      <w:r>
        <w:rPr>
          <w:spacing w:val="-24"/>
        </w:rPr>
        <w:t> </w:t>
      </w:r>
      <w:r>
        <w:rPr/>
        <w:t>4.0</w:t>
      </w:r>
      <w:r>
        <w:rPr>
          <w:spacing w:val="-24"/>
        </w:rPr>
        <w:t> </w:t>
      </w:r>
      <w:r>
        <w:rPr/>
        <w:t>to</w:t>
      </w:r>
      <w:r>
        <w:rPr>
          <w:spacing w:val="-23"/>
        </w:rPr>
        <w:t> </w:t>
      </w:r>
      <w:r>
        <w:rPr/>
        <w:t>18.0</w:t>
      </w:r>
      <w:r>
        <w:rPr>
          <w:spacing w:val="-24"/>
        </w:rPr>
        <w:t> </w:t>
      </w:r>
      <w:r>
        <w:rPr/>
        <w:t>psf</w:t>
      </w:r>
      <w:r>
        <w:rPr>
          <w:spacing w:val="-25"/>
        </w:rPr>
        <w:t> </w:t>
      </w:r>
      <w:r>
        <w:rPr/>
        <w:t>pm</w:t>
      </w:r>
      <w:r>
        <w:rPr>
          <w:spacing w:val="-24"/>
        </w:rPr>
        <w:t> </w:t>
      </w:r>
      <w:r>
        <w:rPr/>
        <w:t>depending</w:t>
      </w:r>
      <w:r>
        <w:rPr>
          <w:spacing w:val="-22"/>
        </w:rPr>
        <w:t> </w:t>
      </w:r>
      <w:r>
        <w:rPr/>
        <w:t>on</w:t>
      </w:r>
      <w:r>
        <w:rPr>
          <w:spacing w:val="-25"/>
        </w:rPr>
        <w:t> </w:t>
      </w:r>
      <w:r>
        <w:rPr/>
        <w:t>the</w:t>
      </w:r>
      <w:r>
        <w:rPr>
          <w:spacing w:val="-24"/>
        </w:rPr>
        <w:t> </w:t>
      </w:r>
      <w:r>
        <w:rPr/>
        <w:t>type</w:t>
      </w:r>
      <w:r>
        <w:rPr>
          <w:spacing w:val="-24"/>
        </w:rPr>
        <w:t> </w:t>
      </w:r>
      <w:r>
        <w:rPr/>
        <w:t>of</w:t>
      </w:r>
      <w:r>
        <w:rPr>
          <w:spacing w:val="-22"/>
        </w:rPr>
        <w:t> </w:t>
      </w:r>
      <w:r>
        <w:rPr/>
        <w:t>the</w:t>
      </w:r>
      <w:r>
        <w:rPr>
          <w:spacing w:val="-25"/>
        </w:rPr>
        <w:t> </w:t>
      </w:r>
      <w:r>
        <w:rPr/>
        <w:t>structure.</w:t>
      </w:r>
    </w:p>
    <w:p>
      <w:pPr>
        <w:pStyle w:val="BodyText"/>
        <w:spacing w:before="8"/>
        <w:rPr>
          <w:sz w:val="20"/>
        </w:rPr>
      </w:pPr>
    </w:p>
    <w:p>
      <w:pPr>
        <w:pStyle w:val="BodyText"/>
        <w:spacing w:line="321" w:lineRule="auto"/>
        <w:ind w:left="682" w:right="114"/>
        <w:jc w:val="both"/>
      </w:pPr>
      <w:r>
        <w:rPr>
          <w:w w:val="95"/>
        </w:rPr>
        <w:t>Additionally, the location enjoys good connectivity, presence of well-developed social infrastructure </w:t>
      </w:r>
      <w:r>
        <w:rPr>
          <w:spacing w:val="-2"/>
          <w:w w:val="95"/>
        </w:rPr>
        <w:t>and </w:t>
      </w:r>
      <w:r>
        <w:rPr/>
        <w:t>superior tenant profile. Further, the demand for commercial real estate in existing developments is expected</w:t>
      </w:r>
      <w:r>
        <w:rPr>
          <w:spacing w:val="-43"/>
        </w:rPr>
        <w:t> </w:t>
      </w:r>
      <w:r>
        <w:rPr/>
        <w:t>to</w:t>
      </w:r>
      <w:r>
        <w:rPr>
          <w:spacing w:val="-43"/>
        </w:rPr>
        <w:t> </w:t>
      </w:r>
      <w:r>
        <w:rPr/>
        <w:t>be</w:t>
      </w:r>
      <w:r>
        <w:rPr>
          <w:spacing w:val="-43"/>
        </w:rPr>
        <w:t> </w:t>
      </w:r>
      <w:r>
        <w:rPr/>
        <w:t>stable</w:t>
      </w:r>
      <w:r>
        <w:rPr>
          <w:spacing w:val="-43"/>
        </w:rPr>
        <w:t> </w:t>
      </w:r>
      <w:r>
        <w:rPr/>
        <w:t>in</w:t>
      </w:r>
      <w:r>
        <w:rPr>
          <w:spacing w:val="-43"/>
        </w:rPr>
        <w:t> </w:t>
      </w:r>
      <w:r>
        <w:rPr/>
        <w:t>this</w:t>
      </w:r>
      <w:r>
        <w:rPr>
          <w:spacing w:val="-41"/>
        </w:rPr>
        <w:t> </w:t>
      </w:r>
      <w:r>
        <w:rPr/>
        <w:t>sub-market</w:t>
      </w:r>
      <w:r>
        <w:rPr>
          <w:spacing w:val="-43"/>
        </w:rPr>
        <w:t> </w:t>
      </w:r>
      <w:r>
        <w:rPr/>
        <w:t>largely</w:t>
      </w:r>
      <w:r>
        <w:rPr>
          <w:spacing w:val="-43"/>
        </w:rPr>
        <w:t> </w:t>
      </w:r>
      <w:r>
        <w:rPr/>
        <w:t>due</w:t>
      </w:r>
      <w:r>
        <w:rPr>
          <w:spacing w:val="-42"/>
        </w:rPr>
        <w:t> </w:t>
      </w:r>
      <w:r>
        <w:rPr/>
        <w:t>to</w:t>
      </w:r>
      <w:r>
        <w:rPr>
          <w:spacing w:val="-43"/>
        </w:rPr>
        <w:t> </w:t>
      </w:r>
      <w:r>
        <w:rPr/>
        <w:t>limited</w:t>
      </w:r>
      <w:r>
        <w:rPr>
          <w:spacing w:val="-42"/>
        </w:rPr>
        <w:t> </w:t>
      </w:r>
      <w:r>
        <w:rPr/>
        <w:t>supply</w:t>
      </w:r>
      <w:r>
        <w:rPr>
          <w:spacing w:val="-41"/>
        </w:rPr>
        <w:t> </w:t>
      </w:r>
      <w:r>
        <w:rPr/>
        <w:t>of</w:t>
      </w:r>
      <w:r>
        <w:rPr>
          <w:spacing w:val="-43"/>
        </w:rPr>
        <w:t> </w:t>
      </w:r>
      <w:r>
        <w:rPr/>
        <w:t>Grade</w:t>
      </w:r>
      <w:r>
        <w:rPr>
          <w:spacing w:val="-42"/>
        </w:rPr>
        <w:t> </w:t>
      </w:r>
      <w:r>
        <w:rPr/>
        <w:t>A</w:t>
      </w:r>
      <w:r>
        <w:rPr>
          <w:spacing w:val="-42"/>
        </w:rPr>
        <w:t> </w:t>
      </w:r>
      <w:r>
        <w:rPr/>
        <w:t>commercial</w:t>
      </w:r>
      <w:r>
        <w:rPr>
          <w:spacing w:val="-42"/>
        </w:rPr>
        <w:t> </w:t>
      </w:r>
      <w:r>
        <w:rPr/>
        <w:t>office</w:t>
      </w:r>
      <w:r>
        <w:rPr>
          <w:spacing w:val="-43"/>
        </w:rPr>
        <w:t> </w:t>
      </w:r>
      <w:r>
        <w:rPr/>
        <w:t>space.</w:t>
      </w:r>
    </w:p>
    <w:p>
      <w:pPr>
        <w:spacing w:after="0" w:line="321" w:lineRule="auto"/>
        <w:jc w:val="both"/>
        <w:sectPr>
          <w:pgSz w:w="11910" w:h="16840"/>
          <w:pgMar w:header="720" w:footer="943" w:top="1660" w:bottom="1140" w:left="600" w:right="600"/>
        </w:sectPr>
      </w:pPr>
    </w:p>
    <w:p>
      <w:pPr>
        <w:pStyle w:val="BodyText"/>
        <w:spacing w:before="7"/>
        <w:rPr>
          <w:sz w:val="9"/>
        </w:rPr>
      </w:pPr>
    </w:p>
    <w:p>
      <w:pPr>
        <w:pStyle w:val="BodyText"/>
        <w:spacing w:line="321" w:lineRule="auto" w:before="106"/>
        <w:ind w:left="682"/>
      </w:pPr>
      <w:r>
        <w:rPr/>
        <w:t>The key occupiers shall remain companies in financial services sector and corporate offices of large domestic companies.</w:t>
      </w:r>
    </w:p>
    <w:p>
      <w:pPr>
        <w:spacing w:after="0" w:line="321" w:lineRule="auto"/>
        <w:sectPr>
          <w:pgSz w:w="11910" w:h="16840"/>
          <w:pgMar w:header="720" w:footer="943" w:top="1660" w:bottom="1140" w:left="600" w:right="600"/>
        </w:sectPr>
      </w:pPr>
    </w:p>
    <w:p>
      <w:pPr>
        <w:pStyle w:val="BodyText"/>
        <w:spacing w:before="7"/>
        <w:rPr>
          <w:sz w:val="9"/>
        </w:rPr>
      </w:pPr>
    </w:p>
    <w:p>
      <w:pPr>
        <w:pStyle w:val="ListParagraph"/>
        <w:numPr>
          <w:ilvl w:val="1"/>
          <w:numId w:val="14"/>
        </w:numPr>
        <w:tabs>
          <w:tab w:pos="696" w:val="left" w:leader="none"/>
          <w:tab w:pos="697" w:val="left" w:leader="none"/>
        </w:tabs>
        <w:spacing w:line="240" w:lineRule="auto" w:before="106" w:after="0"/>
        <w:ind w:left="696" w:right="0" w:hanging="577"/>
        <w:jc w:val="left"/>
        <w:rPr>
          <w:color w:val="1F6647"/>
          <w:sz w:val="22"/>
        </w:rPr>
      </w:pPr>
      <w:bookmarkStart w:name="_bookmark89" w:id="175"/>
      <w:bookmarkEnd w:id="175"/>
      <w:r>
        <w:rPr/>
      </w:r>
      <w:bookmarkStart w:name="_bookmark89" w:id="176"/>
      <w:bookmarkEnd w:id="176"/>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ListParagraph"/>
        <w:numPr>
          <w:ilvl w:val="2"/>
          <w:numId w:val="14"/>
        </w:numPr>
        <w:tabs>
          <w:tab w:pos="841" w:val="left" w:leader="none"/>
        </w:tabs>
        <w:spacing w:line="240" w:lineRule="auto" w:before="208" w:after="0"/>
        <w:ind w:left="840" w:right="0" w:hanging="721"/>
        <w:jc w:val="left"/>
        <w:rPr>
          <w:sz w:val="22"/>
        </w:rPr>
      </w:pPr>
      <w:bookmarkStart w:name="_bookmark90" w:id="177"/>
      <w:bookmarkEnd w:id="177"/>
      <w:r>
        <w:rPr/>
      </w:r>
      <w:bookmarkStart w:name="_bookmark90" w:id="178"/>
      <w:bookmarkEnd w:id="178"/>
      <w:r>
        <w:rPr>
          <w:color w:val="1F664D"/>
          <w:w w:val="105"/>
          <w:sz w:val="22"/>
        </w:rPr>
        <w:t>A</w:t>
      </w:r>
      <w:r>
        <w:rPr>
          <w:color w:val="1F664D"/>
          <w:w w:val="105"/>
          <w:sz w:val="22"/>
        </w:rPr>
        <w:t>dopted</w:t>
      </w:r>
      <w:r>
        <w:rPr>
          <w:color w:val="1F664D"/>
          <w:spacing w:val="-2"/>
          <w:w w:val="105"/>
          <w:sz w:val="22"/>
        </w:rPr>
        <w:t> </w:t>
      </w:r>
      <w:r>
        <w:rPr>
          <w:color w:val="1F664D"/>
          <w:w w:val="105"/>
          <w:sz w:val="22"/>
        </w:rPr>
        <w:t>Methodology</w:t>
      </w:r>
    </w:p>
    <w:p>
      <w:pPr>
        <w:pStyle w:val="BodyText"/>
        <w:spacing w:line="321" w:lineRule="auto" w:before="208"/>
        <w:ind w:left="660" w:right="115"/>
        <w:jc w:val="both"/>
      </w:pPr>
      <w:r>
        <w:rPr/>
        <w:t>We</w:t>
      </w:r>
      <w:r>
        <w:rPr>
          <w:spacing w:val="-27"/>
        </w:rPr>
        <w:t> </w:t>
      </w:r>
      <w:r>
        <w:rPr/>
        <w:t>acknowledge</w:t>
      </w:r>
      <w:r>
        <w:rPr>
          <w:spacing w:val="-26"/>
        </w:rPr>
        <w:t> </w:t>
      </w:r>
      <w:r>
        <w:rPr/>
        <w:t>that</w:t>
      </w:r>
      <w:r>
        <w:rPr>
          <w:spacing w:val="-27"/>
        </w:rPr>
        <w:t> </w:t>
      </w:r>
      <w:r>
        <w:rPr/>
        <w:t>the</w:t>
      </w:r>
      <w:r>
        <w:rPr>
          <w:spacing w:val="-27"/>
        </w:rPr>
        <w:t> </w:t>
      </w:r>
      <w:r>
        <w:rPr/>
        <w:t>approaches</w:t>
      </w:r>
      <w:r>
        <w:rPr>
          <w:spacing w:val="-25"/>
        </w:rPr>
        <w:t> </w:t>
      </w:r>
      <w:r>
        <w:rPr/>
        <w:t>to</w:t>
      </w:r>
      <w:r>
        <w:rPr>
          <w:spacing w:val="-27"/>
        </w:rPr>
        <w:t> </w:t>
      </w:r>
      <w:r>
        <w:rPr/>
        <w:t>valuation</w:t>
      </w:r>
      <w:r>
        <w:rPr>
          <w:spacing w:val="-24"/>
        </w:rPr>
        <w:t> </w:t>
      </w:r>
      <w:r>
        <w:rPr/>
        <w:t>differ</w:t>
      </w:r>
      <w:r>
        <w:rPr>
          <w:spacing w:val="-25"/>
        </w:rPr>
        <w:t> </w:t>
      </w:r>
      <w:r>
        <w:rPr/>
        <w:t>considerably</w:t>
      </w:r>
      <w:r>
        <w:rPr>
          <w:spacing w:val="-26"/>
        </w:rPr>
        <w:t> </w:t>
      </w:r>
      <w:r>
        <w:rPr/>
        <w:t>and</w:t>
      </w:r>
      <w:r>
        <w:rPr>
          <w:spacing w:val="-27"/>
        </w:rPr>
        <w:t> </w:t>
      </w:r>
      <w:r>
        <w:rPr/>
        <w:t>that</w:t>
      </w:r>
      <w:r>
        <w:rPr>
          <w:spacing w:val="-26"/>
        </w:rPr>
        <w:t> </w:t>
      </w:r>
      <w:r>
        <w:rPr/>
        <w:t>for</w:t>
      </w:r>
      <w:r>
        <w:rPr>
          <w:spacing w:val="-27"/>
        </w:rPr>
        <w:t> </w:t>
      </w:r>
      <w:r>
        <w:rPr/>
        <w:t>a</w:t>
      </w:r>
      <w:r>
        <w:rPr>
          <w:spacing w:val="-27"/>
        </w:rPr>
        <w:t> </w:t>
      </w:r>
      <w:r>
        <w:rPr/>
        <w:t>particular</w:t>
      </w:r>
      <w:r>
        <w:rPr>
          <w:spacing w:val="-26"/>
        </w:rPr>
        <w:t> </w:t>
      </w:r>
      <w:r>
        <w:rPr/>
        <w:t>purpose, alternative</w:t>
      </w:r>
      <w:r>
        <w:rPr>
          <w:spacing w:val="-19"/>
        </w:rPr>
        <w:t> </w:t>
      </w:r>
      <w:r>
        <w:rPr/>
        <w:t>approaches</w:t>
      </w:r>
      <w:r>
        <w:rPr>
          <w:spacing w:val="-18"/>
        </w:rPr>
        <w:t> </w:t>
      </w:r>
      <w:r>
        <w:rPr/>
        <w:t>to</w:t>
      </w:r>
      <w:r>
        <w:rPr>
          <w:spacing w:val="-19"/>
        </w:rPr>
        <w:t> </w:t>
      </w:r>
      <w:r>
        <w:rPr/>
        <w:t>the</w:t>
      </w:r>
      <w:r>
        <w:rPr>
          <w:spacing w:val="-18"/>
        </w:rPr>
        <w:t> </w:t>
      </w:r>
      <w:r>
        <w:rPr/>
        <w:t>valuation</w:t>
      </w:r>
      <w:r>
        <w:rPr>
          <w:spacing w:val="-19"/>
        </w:rPr>
        <w:t> </w:t>
      </w:r>
      <w:r>
        <w:rPr/>
        <w:t>can</w:t>
      </w:r>
      <w:r>
        <w:rPr>
          <w:spacing w:val="-19"/>
        </w:rPr>
        <w:t> </w:t>
      </w:r>
      <w:r>
        <w:rPr/>
        <w:t>be</w:t>
      </w:r>
      <w:r>
        <w:rPr>
          <w:spacing w:val="-19"/>
        </w:rPr>
        <w:t> </w:t>
      </w:r>
      <w:r>
        <w:rPr/>
        <w:t>utilized</w:t>
      </w:r>
      <w:r>
        <w:rPr>
          <w:spacing w:val="-18"/>
        </w:rPr>
        <w:t> </w:t>
      </w:r>
      <w:r>
        <w:rPr/>
        <w:t>subject</w:t>
      </w:r>
      <w:r>
        <w:rPr>
          <w:spacing w:val="-18"/>
        </w:rPr>
        <w:t> </w:t>
      </w:r>
      <w:r>
        <w:rPr/>
        <w:t>to</w:t>
      </w:r>
      <w:r>
        <w:rPr>
          <w:spacing w:val="-19"/>
        </w:rPr>
        <w:t> </w:t>
      </w:r>
      <w:r>
        <w:rPr/>
        <w:t>the</w:t>
      </w:r>
      <w:r>
        <w:rPr>
          <w:spacing w:val="-18"/>
        </w:rPr>
        <w:t> </w:t>
      </w:r>
      <w:r>
        <w:rPr/>
        <w:t>Client’s</w:t>
      </w:r>
      <w:r>
        <w:rPr>
          <w:spacing w:val="-19"/>
        </w:rPr>
        <w:t> </w:t>
      </w:r>
      <w:r>
        <w:rPr/>
        <w:t>consultations</w:t>
      </w:r>
      <w:r>
        <w:rPr>
          <w:spacing w:val="-18"/>
        </w:rPr>
        <w:t> </w:t>
      </w:r>
      <w:r>
        <w:rPr/>
        <w:t>and</w:t>
      </w:r>
      <w:r>
        <w:rPr>
          <w:spacing w:val="-18"/>
        </w:rPr>
        <w:t> </w:t>
      </w:r>
      <w:r>
        <w:rPr/>
        <w:t>giving due</w:t>
      </w:r>
      <w:r>
        <w:rPr>
          <w:spacing w:val="-37"/>
        </w:rPr>
        <w:t> </w:t>
      </w:r>
      <w:r>
        <w:rPr/>
        <w:t>consideration</w:t>
      </w:r>
      <w:r>
        <w:rPr>
          <w:spacing w:val="-35"/>
        </w:rPr>
        <w:t> </w:t>
      </w:r>
      <w:r>
        <w:rPr/>
        <w:t>to</w:t>
      </w:r>
      <w:r>
        <w:rPr>
          <w:spacing w:val="-36"/>
        </w:rPr>
        <w:t> </w:t>
      </w:r>
      <w:r>
        <w:rPr/>
        <w:t>the</w:t>
      </w:r>
      <w:r>
        <w:rPr>
          <w:spacing w:val="-37"/>
        </w:rPr>
        <w:t> </w:t>
      </w:r>
      <w:r>
        <w:rPr/>
        <w:t>Client’s</w:t>
      </w:r>
      <w:r>
        <w:rPr>
          <w:spacing w:val="-35"/>
        </w:rPr>
        <w:t> </w:t>
      </w:r>
      <w:r>
        <w:rPr/>
        <w:t>requirements.</w:t>
      </w:r>
      <w:r>
        <w:rPr>
          <w:spacing w:val="-36"/>
        </w:rPr>
        <w:t> </w:t>
      </w:r>
      <w:r>
        <w:rPr/>
        <w:t>Considering</w:t>
      </w:r>
      <w:r>
        <w:rPr>
          <w:spacing w:val="-36"/>
        </w:rPr>
        <w:t> </w:t>
      </w:r>
      <w:r>
        <w:rPr/>
        <w:t>the</w:t>
      </w:r>
      <w:r>
        <w:rPr>
          <w:spacing w:val="-36"/>
        </w:rPr>
        <w:t> </w:t>
      </w:r>
      <w:r>
        <w:rPr/>
        <w:t>objective</w:t>
      </w:r>
      <w:r>
        <w:rPr>
          <w:spacing w:val="-37"/>
        </w:rPr>
        <w:t> </w:t>
      </w:r>
      <w:r>
        <w:rPr/>
        <w:t>of</w:t>
      </w:r>
      <w:r>
        <w:rPr>
          <w:spacing w:val="-36"/>
        </w:rPr>
        <w:t> </w:t>
      </w:r>
      <w:r>
        <w:rPr/>
        <w:t>this</w:t>
      </w:r>
      <w:r>
        <w:rPr>
          <w:spacing w:val="-35"/>
        </w:rPr>
        <w:t> </w:t>
      </w:r>
      <w:r>
        <w:rPr/>
        <w:t>exercise</w:t>
      </w:r>
      <w:r>
        <w:rPr>
          <w:spacing w:val="-36"/>
        </w:rPr>
        <w:t> </w:t>
      </w:r>
      <w:r>
        <w:rPr/>
        <w:t>and</w:t>
      </w:r>
      <w:r>
        <w:rPr>
          <w:spacing w:val="-36"/>
        </w:rPr>
        <w:t> </w:t>
      </w:r>
      <w:r>
        <w:rPr/>
        <w:t>the</w:t>
      </w:r>
      <w:r>
        <w:rPr>
          <w:spacing w:val="-36"/>
        </w:rPr>
        <w:t> </w:t>
      </w:r>
      <w:r>
        <w:rPr/>
        <w:t>nature of</w:t>
      </w:r>
      <w:r>
        <w:rPr>
          <w:spacing w:val="-34"/>
        </w:rPr>
        <w:t> </w:t>
      </w:r>
      <w:r>
        <w:rPr/>
        <w:t>asset</w:t>
      </w:r>
      <w:r>
        <w:rPr>
          <w:spacing w:val="-33"/>
        </w:rPr>
        <w:t> </w:t>
      </w:r>
      <w:r>
        <w:rPr/>
        <w:t>involved,</w:t>
      </w:r>
      <w:r>
        <w:rPr>
          <w:spacing w:val="-34"/>
        </w:rPr>
        <w:t> </w:t>
      </w:r>
      <w:r>
        <w:rPr/>
        <w:t>the</w:t>
      </w:r>
      <w:r>
        <w:rPr>
          <w:spacing w:val="-34"/>
        </w:rPr>
        <w:t> </w:t>
      </w:r>
      <w:r>
        <w:rPr/>
        <w:t>value</w:t>
      </w:r>
      <w:r>
        <w:rPr>
          <w:spacing w:val="-34"/>
        </w:rPr>
        <w:t> </w:t>
      </w:r>
      <w:r>
        <w:rPr/>
        <w:t>of</w:t>
      </w:r>
      <w:r>
        <w:rPr>
          <w:spacing w:val="-34"/>
        </w:rPr>
        <w:t> </w:t>
      </w:r>
      <w:r>
        <w:rPr/>
        <w:t>the</w:t>
      </w:r>
      <w:r>
        <w:rPr>
          <w:spacing w:val="-34"/>
        </w:rPr>
        <w:t> </w:t>
      </w:r>
      <w:r>
        <w:rPr/>
        <w:t>subject</w:t>
      </w:r>
      <w:r>
        <w:rPr>
          <w:spacing w:val="-33"/>
        </w:rPr>
        <w:t> </w:t>
      </w:r>
      <w:r>
        <w:rPr/>
        <w:t>property</w:t>
      </w:r>
      <w:r>
        <w:rPr>
          <w:spacing w:val="-35"/>
        </w:rPr>
        <w:t> </w:t>
      </w:r>
      <w:r>
        <w:rPr/>
        <w:t>has</w:t>
      </w:r>
      <w:r>
        <w:rPr>
          <w:spacing w:val="-33"/>
        </w:rPr>
        <w:t> </w:t>
      </w:r>
      <w:r>
        <w:rPr/>
        <w:t>been</w:t>
      </w:r>
      <w:r>
        <w:rPr>
          <w:spacing w:val="-34"/>
        </w:rPr>
        <w:t> </w:t>
      </w:r>
      <w:r>
        <w:rPr/>
        <w:t>assessed</w:t>
      </w:r>
      <w:r>
        <w:rPr>
          <w:spacing w:val="-33"/>
        </w:rPr>
        <w:t> </w:t>
      </w:r>
      <w:r>
        <w:rPr/>
        <w:t>through</w:t>
      </w:r>
      <w:r>
        <w:rPr>
          <w:spacing w:val="-34"/>
        </w:rPr>
        <w:t> </w:t>
      </w:r>
      <w:r>
        <w:rPr/>
        <w:t>the</w:t>
      </w:r>
      <w:r>
        <w:rPr>
          <w:spacing w:val="-34"/>
        </w:rPr>
        <w:t> </w:t>
      </w:r>
      <w:r>
        <w:rPr/>
        <w:t>following</w:t>
      </w:r>
      <w:r>
        <w:rPr>
          <w:spacing w:val="-34"/>
        </w:rPr>
        <w:t> </w:t>
      </w:r>
      <w:r>
        <w:rPr/>
        <w:t>approaches:</w:t>
      </w:r>
    </w:p>
    <w:p>
      <w:pPr>
        <w:pStyle w:val="BodyText"/>
        <w:spacing w:before="4"/>
        <w:rPr>
          <w:sz w:val="20"/>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62"/>
        <w:gridCol w:w="5223"/>
      </w:tblGrid>
      <w:tr>
        <w:trPr>
          <w:trHeight w:val="390" w:hRule="atLeast"/>
        </w:trPr>
        <w:tc>
          <w:tcPr>
            <w:tcW w:w="10485" w:type="dxa"/>
            <w:gridSpan w:val="2"/>
            <w:tcBorders>
              <w:top w:val="single" w:sz="6" w:space="0" w:color="69BD28"/>
              <w:bottom w:val="single" w:sz="6" w:space="0" w:color="69BD28"/>
            </w:tcBorders>
            <w:shd w:val="clear" w:color="auto" w:fill="006A4D"/>
          </w:tcPr>
          <w:p>
            <w:pPr>
              <w:pStyle w:val="TableParagraph"/>
              <w:tabs>
                <w:tab w:pos="5263" w:val="left" w:leader="none"/>
              </w:tabs>
              <w:spacing w:before="90"/>
              <w:ind w:left="344"/>
              <w:rPr>
                <w:b/>
                <w:sz w:val="18"/>
              </w:rPr>
            </w:pPr>
            <w:r>
              <w:rPr>
                <w:b/>
                <w:color w:val="FFFFFF"/>
                <w:w w:val="105"/>
                <w:sz w:val="18"/>
              </w:rPr>
              <w:t>Particulars</w:t>
              <w:tab/>
              <w:t>Completed Blocks</w:t>
            </w:r>
          </w:p>
        </w:tc>
      </w:tr>
      <w:tr>
        <w:trPr>
          <w:trHeight w:val="455" w:hRule="atLeast"/>
        </w:trPr>
        <w:tc>
          <w:tcPr>
            <w:tcW w:w="5262" w:type="dxa"/>
            <w:shd w:val="clear" w:color="auto" w:fill="69BD28"/>
          </w:tcPr>
          <w:p>
            <w:pPr>
              <w:pStyle w:val="TableParagraph"/>
              <w:spacing w:before="124"/>
              <w:ind w:left="1574"/>
              <w:jc w:val="left"/>
              <w:rPr>
                <w:b/>
                <w:sz w:val="18"/>
              </w:rPr>
            </w:pPr>
            <w:r>
              <w:rPr>
                <w:b/>
                <w:color w:val="FFFFFF"/>
                <w:w w:val="110"/>
                <w:sz w:val="18"/>
              </w:rPr>
              <w:t>Valuation Methodology</w:t>
            </w:r>
          </w:p>
        </w:tc>
        <w:tc>
          <w:tcPr>
            <w:tcW w:w="5223" w:type="dxa"/>
            <w:tcBorders>
              <w:top w:val="single" w:sz="6" w:space="0" w:color="69BD28"/>
              <w:bottom w:val="single" w:sz="6" w:space="0" w:color="69BD28"/>
            </w:tcBorders>
          </w:tcPr>
          <w:p>
            <w:pPr>
              <w:pStyle w:val="TableParagraph"/>
              <w:spacing w:before="124"/>
              <w:ind w:left="158"/>
              <w:jc w:val="left"/>
              <w:rPr>
                <w:sz w:val="18"/>
              </w:rPr>
            </w:pPr>
            <w:r>
              <w:rPr>
                <w:sz w:val="18"/>
              </w:rPr>
              <w:t>Discounted Cash Flow Method (using rent reversion approach)</w:t>
            </w:r>
          </w:p>
        </w:tc>
      </w:tr>
    </w:tbl>
    <w:p>
      <w:pPr>
        <w:pStyle w:val="BodyText"/>
        <w:rPr>
          <w:sz w:val="21"/>
        </w:rPr>
      </w:pPr>
    </w:p>
    <w:p>
      <w:pPr>
        <w:pStyle w:val="BodyText"/>
        <w:spacing w:line="321" w:lineRule="auto"/>
        <w:ind w:left="660" w:right="115"/>
        <w:jc w:val="both"/>
      </w:pPr>
      <w:r>
        <w:rPr/>
        <w:t>The</w:t>
      </w:r>
      <w:r>
        <w:rPr>
          <w:spacing w:val="-23"/>
        </w:rPr>
        <w:t> </w:t>
      </w:r>
      <w:r>
        <w:rPr/>
        <w:t>sections</w:t>
      </w:r>
      <w:r>
        <w:rPr>
          <w:spacing w:val="-22"/>
        </w:rPr>
        <w:t> </w:t>
      </w:r>
      <w:r>
        <w:rPr/>
        <w:t>below</w:t>
      </w:r>
      <w:r>
        <w:rPr>
          <w:spacing w:val="-21"/>
        </w:rPr>
        <w:t> </w:t>
      </w:r>
      <w:r>
        <w:rPr/>
        <w:t>highlight</w:t>
      </w:r>
      <w:r>
        <w:rPr>
          <w:spacing w:val="-22"/>
        </w:rPr>
        <w:t> </w:t>
      </w:r>
      <w:r>
        <w:rPr/>
        <w:t>detailed</w:t>
      </w:r>
      <w:r>
        <w:rPr>
          <w:spacing w:val="-21"/>
        </w:rPr>
        <w:t> </w:t>
      </w:r>
      <w:r>
        <w:rPr/>
        <w:t>valuation</w:t>
      </w:r>
      <w:r>
        <w:rPr>
          <w:spacing w:val="-22"/>
        </w:rPr>
        <w:t> </w:t>
      </w:r>
      <w:r>
        <w:rPr/>
        <w:t>workings</w:t>
      </w:r>
      <w:r>
        <w:rPr>
          <w:spacing w:val="-21"/>
        </w:rPr>
        <w:t> </w:t>
      </w:r>
      <w:r>
        <w:rPr/>
        <w:t>for</w:t>
      </w:r>
      <w:r>
        <w:rPr>
          <w:spacing w:val="-22"/>
        </w:rPr>
        <w:t> </w:t>
      </w:r>
      <w:r>
        <w:rPr/>
        <w:t>the</w:t>
      </w:r>
      <w:r>
        <w:rPr>
          <w:spacing w:val="-23"/>
        </w:rPr>
        <w:t> </w:t>
      </w:r>
      <w:r>
        <w:rPr/>
        <w:t>subject</w:t>
      </w:r>
      <w:r>
        <w:rPr>
          <w:spacing w:val="-23"/>
        </w:rPr>
        <w:t> </w:t>
      </w:r>
      <w:r>
        <w:rPr/>
        <w:t>property.</w:t>
      </w:r>
      <w:r>
        <w:rPr>
          <w:spacing w:val="-19"/>
        </w:rPr>
        <w:t> </w:t>
      </w:r>
      <w:r>
        <w:rPr/>
        <w:t>Please</w:t>
      </w:r>
      <w:r>
        <w:rPr>
          <w:spacing w:val="-23"/>
        </w:rPr>
        <w:t> </w:t>
      </w:r>
      <w:r>
        <w:rPr/>
        <w:t>note</w:t>
      </w:r>
      <w:r>
        <w:rPr>
          <w:spacing w:val="-21"/>
        </w:rPr>
        <w:t> </w:t>
      </w:r>
      <w:r>
        <w:rPr/>
        <w:t>that</w:t>
      </w:r>
      <w:r>
        <w:rPr>
          <w:spacing w:val="-23"/>
        </w:rPr>
        <w:t> </w:t>
      </w:r>
      <w:r>
        <w:rPr/>
        <w:t>the assumptions/</w:t>
      </w:r>
      <w:r>
        <w:rPr>
          <w:spacing w:val="-30"/>
        </w:rPr>
        <w:t> </w:t>
      </w:r>
      <w:r>
        <w:rPr/>
        <w:t>opinions</w:t>
      </w:r>
      <w:r>
        <w:rPr>
          <w:spacing w:val="-29"/>
        </w:rPr>
        <w:t> </w:t>
      </w:r>
      <w:r>
        <w:rPr/>
        <w:t>highlighted</w:t>
      </w:r>
      <w:r>
        <w:rPr>
          <w:spacing w:val="-29"/>
        </w:rPr>
        <w:t> </w:t>
      </w:r>
      <w:r>
        <w:rPr/>
        <w:t>in</w:t>
      </w:r>
      <w:r>
        <w:rPr>
          <w:spacing w:val="-30"/>
        </w:rPr>
        <w:t> </w:t>
      </w:r>
      <w:r>
        <w:rPr/>
        <w:t>the</w:t>
      </w:r>
      <w:r>
        <w:rPr>
          <w:spacing w:val="-30"/>
        </w:rPr>
        <w:t> </w:t>
      </w:r>
      <w:r>
        <w:rPr/>
        <w:t>subsequent</w:t>
      </w:r>
      <w:r>
        <w:rPr>
          <w:spacing w:val="-29"/>
        </w:rPr>
        <w:t> </w:t>
      </w:r>
      <w:r>
        <w:rPr/>
        <w:t>sections</w:t>
      </w:r>
      <w:r>
        <w:rPr>
          <w:spacing w:val="-29"/>
        </w:rPr>
        <w:t> </w:t>
      </w:r>
      <w:r>
        <w:rPr/>
        <w:t>are</w:t>
      </w:r>
      <w:r>
        <w:rPr>
          <w:spacing w:val="-30"/>
        </w:rPr>
        <w:t> </w:t>
      </w:r>
      <w:r>
        <w:rPr/>
        <w:t>to</w:t>
      </w:r>
      <w:r>
        <w:rPr>
          <w:spacing w:val="-29"/>
        </w:rPr>
        <w:t> </w:t>
      </w:r>
      <w:r>
        <w:rPr/>
        <w:t>be</w:t>
      </w:r>
      <w:r>
        <w:rPr>
          <w:spacing w:val="-30"/>
        </w:rPr>
        <w:t> </w:t>
      </w:r>
      <w:r>
        <w:rPr/>
        <w:t>read</w:t>
      </w:r>
      <w:r>
        <w:rPr>
          <w:spacing w:val="-29"/>
        </w:rPr>
        <w:t> </w:t>
      </w:r>
      <w:r>
        <w:rPr/>
        <w:t>in</w:t>
      </w:r>
      <w:r>
        <w:rPr>
          <w:spacing w:val="-30"/>
        </w:rPr>
        <w:t> </w:t>
      </w:r>
      <w:r>
        <w:rPr/>
        <w:t>conjunction</w:t>
      </w:r>
      <w:r>
        <w:rPr>
          <w:spacing w:val="-29"/>
        </w:rPr>
        <w:t> </w:t>
      </w:r>
      <w:r>
        <w:rPr/>
        <w:t>with</w:t>
      </w:r>
      <w:r>
        <w:rPr>
          <w:spacing w:val="-30"/>
        </w:rPr>
        <w:t> </w:t>
      </w:r>
      <w:r>
        <w:rPr/>
        <w:t>Section</w:t>
      </w:r>
    </w:p>
    <w:p>
      <w:pPr>
        <w:pStyle w:val="BodyText"/>
        <w:spacing w:before="2"/>
        <w:ind w:left="660"/>
      </w:pPr>
      <w:r>
        <w:rPr/>
        <w:t>1.11 and the following:</w:t>
      </w:r>
    </w:p>
    <w:p>
      <w:pPr>
        <w:pStyle w:val="BodyText"/>
        <w:spacing w:before="3"/>
        <w:rPr>
          <w:sz w:val="28"/>
        </w:rPr>
      </w:pPr>
    </w:p>
    <w:p>
      <w:pPr>
        <w:spacing w:line="321" w:lineRule="auto" w:before="0"/>
        <w:ind w:left="660" w:right="11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spacing w:before="9"/>
        <w:rPr>
          <w:i/>
          <w:sz w:val="20"/>
        </w:rPr>
      </w:pPr>
    </w:p>
    <w:p>
      <w:pPr>
        <w:pStyle w:val="ListParagraph"/>
        <w:numPr>
          <w:ilvl w:val="0"/>
          <w:numId w:val="37"/>
        </w:numPr>
        <w:tabs>
          <w:tab w:pos="1565" w:val="left" w:leader="none"/>
          <w:tab w:pos="1566" w:val="left" w:leader="none"/>
        </w:tabs>
        <w:spacing w:line="240" w:lineRule="auto" w:before="0" w:after="0"/>
        <w:ind w:left="1565" w:right="0" w:hanging="361"/>
        <w:jc w:val="left"/>
        <w:rPr>
          <w:i/>
          <w:sz w:val="22"/>
        </w:rPr>
      </w:pPr>
      <w:r>
        <w:rPr>
          <w:i/>
          <w:sz w:val="22"/>
        </w:rPr>
        <w:t>Limited/</w:t>
      </w:r>
      <w:r>
        <w:rPr>
          <w:i/>
          <w:spacing w:val="-13"/>
          <w:sz w:val="22"/>
        </w:rPr>
        <w:t> </w:t>
      </w:r>
      <w:r>
        <w:rPr>
          <w:i/>
          <w:sz w:val="22"/>
        </w:rPr>
        <w:t>no</w:t>
      </w:r>
      <w:r>
        <w:rPr>
          <w:i/>
          <w:spacing w:val="-13"/>
          <w:sz w:val="22"/>
        </w:rPr>
        <w:t> </w:t>
      </w:r>
      <w:r>
        <w:rPr>
          <w:i/>
          <w:sz w:val="22"/>
        </w:rPr>
        <w:t>growth</w:t>
      </w:r>
      <w:r>
        <w:rPr>
          <w:i/>
          <w:spacing w:val="-15"/>
          <w:sz w:val="22"/>
        </w:rPr>
        <w:t> </w:t>
      </w:r>
      <w:r>
        <w:rPr>
          <w:i/>
          <w:sz w:val="22"/>
        </w:rPr>
        <w:t>in</w:t>
      </w:r>
      <w:r>
        <w:rPr>
          <w:i/>
          <w:spacing w:val="-15"/>
          <w:sz w:val="22"/>
        </w:rPr>
        <w:t> </w:t>
      </w:r>
      <w:r>
        <w:rPr>
          <w:i/>
          <w:sz w:val="22"/>
        </w:rPr>
        <w:t>rent</w:t>
      </w:r>
      <w:r>
        <w:rPr>
          <w:i/>
          <w:spacing w:val="-12"/>
          <w:sz w:val="22"/>
        </w:rPr>
        <w:t> </w:t>
      </w:r>
      <w:r>
        <w:rPr>
          <w:i/>
          <w:sz w:val="22"/>
        </w:rPr>
        <w:t>has</w:t>
      </w:r>
      <w:r>
        <w:rPr>
          <w:i/>
          <w:spacing w:val="-14"/>
          <w:sz w:val="22"/>
        </w:rPr>
        <w:t> </w:t>
      </w:r>
      <w:r>
        <w:rPr>
          <w:i/>
          <w:sz w:val="22"/>
        </w:rPr>
        <w:t>been</w:t>
      </w:r>
      <w:r>
        <w:rPr>
          <w:i/>
          <w:spacing w:val="-15"/>
          <w:sz w:val="22"/>
        </w:rPr>
        <w:t> </w:t>
      </w:r>
      <w:r>
        <w:rPr>
          <w:i/>
          <w:sz w:val="22"/>
        </w:rPr>
        <w:t>considered</w:t>
      </w:r>
      <w:r>
        <w:rPr>
          <w:i/>
          <w:spacing w:val="-13"/>
          <w:sz w:val="22"/>
        </w:rPr>
        <w:t> </w:t>
      </w:r>
      <w:r>
        <w:rPr>
          <w:i/>
          <w:sz w:val="22"/>
        </w:rPr>
        <w:t>over</w:t>
      </w:r>
      <w:r>
        <w:rPr>
          <w:i/>
          <w:spacing w:val="-13"/>
          <w:sz w:val="22"/>
        </w:rPr>
        <w:t> </w:t>
      </w:r>
      <w:r>
        <w:rPr>
          <w:i/>
          <w:sz w:val="22"/>
        </w:rPr>
        <w:t>the</w:t>
      </w:r>
      <w:r>
        <w:rPr>
          <w:i/>
          <w:spacing w:val="-13"/>
          <w:sz w:val="22"/>
        </w:rPr>
        <w:t> </w:t>
      </w:r>
      <w:r>
        <w:rPr>
          <w:i/>
          <w:sz w:val="22"/>
        </w:rPr>
        <w:t>next</w:t>
      </w:r>
      <w:r>
        <w:rPr>
          <w:i/>
          <w:spacing w:val="-16"/>
          <w:sz w:val="22"/>
        </w:rPr>
        <w:t> </w:t>
      </w:r>
      <w:r>
        <w:rPr>
          <w:i/>
          <w:sz w:val="22"/>
        </w:rPr>
        <w:t>few</w:t>
      </w:r>
      <w:r>
        <w:rPr>
          <w:i/>
          <w:spacing w:val="-14"/>
          <w:sz w:val="22"/>
        </w:rPr>
        <w:t> </w:t>
      </w:r>
      <w:r>
        <w:rPr>
          <w:i/>
          <w:sz w:val="22"/>
        </w:rPr>
        <w:t>quarters</w:t>
      </w:r>
    </w:p>
    <w:p>
      <w:pPr>
        <w:pStyle w:val="ListParagraph"/>
        <w:numPr>
          <w:ilvl w:val="0"/>
          <w:numId w:val="37"/>
        </w:numPr>
        <w:tabs>
          <w:tab w:pos="1565" w:val="left" w:leader="none"/>
          <w:tab w:pos="1566" w:val="left" w:leader="none"/>
        </w:tabs>
        <w:spacing w:line="266" w:lineRule="auto" w:before="30" w:after="0"/>
        <w:ind w:left="1565" w:right="112" w:hanging="360"/>
        <w:jc w:val="left"/>
        <w:rPr>
          <w:i/>
          <w:sz w:val="22"/>
        </w:rPr>
      </w:pPr>
      <w:r>
        <w:rPr>
          <w:i/>
          <w:sz w:val="22"/>
        </w:rPr>
        <w:t>Considering</w:t>
      </w:r>
      <w:r>
        <w:rPr>
          <w:i/>
          <w:spacing w:val="-44"/>
          <w:sz w:val="22"/>
        </w:rPr>
        <w:t> </w:t>
      </w:r>
      <w:r>
        <w:rPr>
          <w:i/>
          <w:sz w:val="22"/>
        </w:rPr>
        <w:t>challenges</w:t>
      </w:r>
      <w:r>
        <w:rPr>
          <w:i/>
          <w:spacing w:val="-42"/>
          <w:sz w:val="22"/>
        </w:rPr>
        <w:t> </w:t>
      </w:r>
      <w:r>
        <w:rPr>
          <w:i/>
          <w:sz w:val="22"/>
        </w:rPr>
        <w:t>in</w:t>
      </w:r>
      <w:r>
        <w:rPr>
          <w:i/>
          <w:spacing w:val="-43"/>
          <w:sz w:val="22"/>
        </w:rPr>
        <w:t> </w:t>
      </w:r>
      <w:r>
        <w:rPr>
          <w:i/>
          <w:sz w:val="22"/>
        </w:rPr>
        <w:t>the</w:t>
      </w:r>
      <w:r>
        <w:rPr>
          <w:i/>
          <w:spacing w:val="-42"/>
          <w:sz w:val="22"/>
        </w:rPr>
        <w:t> </w:t>
      </w:r>
      <w:r>
        <w:rPr>
          <w:i/>
          <w:sz w:val="22"/>
        </w:rPr>
        <w:t>short</w:t>
      </w:r>
      <w:r>
        <w:rPr>
          <w:i/>
          <w:spacing w:val="-43"/>
          <w:sz w:val="22"/>
        </w:rPr>
        <w:t> </w:t>
      </w:r>
      <w:r>
        <w:rPr>
          <w:i/>
          <w:sz w:val="22"/>
        </w:rPr>
        <w:t>term,</w:t>
      </w:r>
      <w:r>
        <w:rPr>
          <w:i/>
          <w:spacing w:val="-41"/>
          <w:sz w:val="22"/>
        </w:rPr>
        <w:t> </w:t>
      </w:r>
      <w:r>
        <w:rPr>
          <w:i/>
          <w:sz w:val="22"/>
        </w:rPr>
        <w:t>timelines</w:t>
      </w:r>
      <w:r>
        <w:rPr>
          <w:i/>
          <w:spacing w:val="-44"/>
          <w:sz w:val="22"/>
        </w:rPr>
        <w:t> </w:t>
      </w:r>
      <w:r>
        <w:rPr>
          <w:i/>
          <w:sz w:val="22"/>
        </w:rPr>
        <w:t>have</w:t>
      </w:r>
      <w:r>
        <w:rPr>
          <w:i/>
          <w:spacing w:val="-41"/>
          <w:sz w:val="22"/>
        </w:rPr>
        <w:t> </w:t>
      </w:r>
      <w:r>
        <w:rPr>
          <w:i/>
          <w:sz w:val="22"/>
        </w:rPr>
        <w:t>been</w:t>
      </w:r>
      <w:r>
        <w:rPr>
          <w:i/>
          <w:spacing w:val="-43"/>
          <w:sz w:val="22"/>
        </w:rPr>
        <w:t> </w:t>
      </w:r>
      <w:r>
        <w:rPr>
          <w:i/>
          <w:sz w:val="22"/>
        </w:rPr>
        <w:t>extended</w:t>
      </w:r>
      <w:r>
        <w:rPr>
          <w:i/>
          <w:spacing w:val="-42"/>
          <w:sz w:val="22"/>
        </w:rPr>
        <w:t> </w:t>
      </w:r>
      <w:r>
        <w:rPr>
          <w:i/>
          <w:sz w:val="22"/>
        </w:rPr>
        <w:t>for</w:t>
      </w:r>
      <w:r>
        <w:rPr>
          <w:i/>
          <w:spacing w:val="-43"/>
          <w:sz w:val="22"/>
        </w:rPr>
        <w:t> </w:t>
      </w:r>
      <w:r>
        <w:rPr>
          <w:i/>
          <w:sz w:val="22"/>
        </w:rPr>
        <w:t>new</w:t>
      </w:r>
      <w:r>
        <w:rPr>
          <w:i/>
          <w:spacing w:val="-42"/>
          <w:sz w:val="22"/>
        </w:rPr>
        <w:t> </w:t>
      </w:r>
      <w:r>
        <w:rPr>
          <w:i/>
          <w:sz w:val="22"/>
        </w:rPr>
        <w:t>space</w:t>
      </w:r>
      <w:r>
        <w:rPr>
          <w:i/>
          <w:spacing w:val="-43"/>
          <w:sz w:val="22"/>
        </w:rPr>
        <w:t> </w:t>
      </w:r>
      <w:r>
        <w:rPr>
          <w:i/>
          <w:sz w:val="22"/>
        </w:rPr>
        <w:t>take-up/ </w:t>
      </w:r>
      <w:r>
        <w:rPr>
          <w:i/>
          <w:sz w:val="22"/>
        </w:rPr>
        <w:t>future</w:t>
      </w:r>
      <w:r>
        <w:rPr>
          <w:i/>
          <w:spacing w:val="-3"/>
          <w:sz w:val="22"/>
        </w:rPr>
        <w:t> </w:t>
      </w:r>
      <w:r>
        <w:rPr>
          <w:i/>
          <w:sz w:val="22"/>
        </w:rPr>
        <w:t>leasing</w:t>
      </w:r>
    </w:p>
    <w:p>
      <w:pPr>
        <w:pStyle w:val="ListParagraph"/>
        <w:numPr>
          <w:ilvl w:val="0"/>
          <w:numId w:val="37"/>
        </w:numPr>
        <w:tabs>
          <w:tab w:pos="1565" w:val="left" w:leader="none"/>
          <w:tab w:pos="1566" w:val="left" w:leader="none"/>
        </w:tabs>
        <w:spacing w:line="266" w:lineRule="auto" w:before="2" w:after="0"/>
        <w:ind w:left="1565" w:right="111" w:hanging="360"/>
        <w:jc w:val="left"/>
        <w:rPr>
          <w:i/>
          <w:sz w:val="22"/>
        </w:rPr>
      </w:pPr>
      <w:r>
        <w:rPr>
          <w:i/>
          <w:sz w:val="22"/>
        </w:rPr>
        <w:t>Additional</w:t>
      </w:r>
      <w:r>
        <w:rPr>
          <w:i/>
          <w:spacing w:val="-28"/>
          <w:sz w:val="22"/>
        </w:rPr>
        <w:t> </w:t>
      </w:r>
      <w:r>
        <w:rPr>
          <w:i/>
          <w:sz w:val="22"/>
        </w:rPr>
        <w:t>fit-out</w:t>
      </w:r>
      <w:r>
        <w:rPr>
          <w:i/>
          <w:spacing w:val="-27"/>
          <w:sz w:val="22"/>
        </w:rPr>
        <w:t> </w:t>
      </w:r>
      <w:r>
        <w:rPr>
          <w:i/>
          <w:sz w:val="22"/>
        </w:rPr>
        <w:t>period/</w:t>
      </w:r>
      <w:r>
        <w:rPr>
          <w:i/>
          <w:spacing w:val="-27"/>
          <w:sz w:val="22"/>
        </w:rPr>
        <w:t> </w:t>
      </w:r>
      <w:r>
        <w:rPr>
          <w:i/>
          <w:sz w:val="22"/>
        </w:rPr>
        <w:t>rent</w:t>
      </w:r>
      <w:r>
        <w:rPr>
          <w:i/>
          <w:spacing w:val="-28"/>
          <w:sz w:val="22"/>
        </w:rPr>
        <w:t> </w:t>
      </w:r>
      <w:r>
        <w:rPr>
          <w:i/>
          <w:sz w:val="22"/>
        </w:rPr>
        <w:t>free</w:t>
      </w:r>
      <w:r>
        <w:rPr>
          <w:i/>
          <w:spacing w:val="-27"/>
          <w:sz w:val="22"/>
        </w:rPr>
        <w:t> </w:t>
      </w:r>
      <w:r>
        <w:rPr>
          <w:i/>
          <w:sz w:val="22"/>
        </w:rPr>
        <w:t>months</w:t>
      </w:r>
      <w:r>
        <w:rPr>
          <w:i/>
          <w:spacing w:val="-26"/>
          <w:sz w:val="22"/>
        </w:rPr>
        <w:t> </w:t>
      </w:r>
      <w:r>
        <w:rPr>
          <w:i/>
          <w:sz w:val="22"/>
        </w:rPr>
        <w:t>have</w:t>
      </w:r>
      <w:r>
        <w:rPr>
          <w:i/>
          <w:spacing w:val="-27"/>
          <w:sz w:val="22"/>
        </w:rPr>
        <w:t> </w:t>
      </w:r>
      <w:r>
        <w:rPr>
          <w:i/>
          <w:sz w:val="22"/>
        </w:rPr>
        <w:t>been</w:t>
      </w:r>
      <w:r>
        <w:rPr>
          <w:i/>
          <w:spacing w:val="-27"/>
          <w:sz w:val="22"/>
        </w:rPr>
        <w:t> </w:t>
      </w:r>
      <w:r>
        <w:rPr>
          <w:i/>
          <w:sz w:val="22"/>
        </w:rPr>
        <w:t>incorporated</w:t>
      </w:r>
      <w:r>
        <w:rPr>
          <w:i/>
          <w:spacing w:val="-28"/>
          <w:sz w:val="22"/>
        </w:rPr>
        <w:t> </w:t>
      </w:r>
      <w:r>
        <w:rPr>
          <w:i/>
          <w:sz w:val="22"/>
        </w:rPr>
        <w:t>where</w:t>
      </w:r>
      <w:r>
        <w:rPr>
          <w:i/>
          <w:spacing w:val="-27"/>
          <w:sz w:val="22"/>
        </w:rPr>
        <w:t> </w:t>
      </w:r>
      <w:r>
        <w:rPr>
          <w:i/>
          <w:sz w:val="22"/>
        </w:rPr>
        <w:t>fit-out</w:t>
      </w:r>
      <w:r>
        <w:rPr>
          <w:i/>
          <w:spacing w:val="-28"/>
          <w:sz w:val="22"/>
        </w:rPr>
        <w:t> </w:t>
      </w:r>
      <w:r>
        <w:rPr>
          <w:i/>
          <w:sz w:val="22"/>
        </w:rPr>
        <w:t>works</w:t>
      </w:r>
      <w:r>
        <w:rPr>
          <w:i/>
          <w:spacing w:val="-27"/>
          <w:sz w:val="22"/>
        </w:rPr>
        <w:t> </w:t>
      </w:r>
      <w:r>
        <w:rPr>
          <w:i/>
          <w:sz w:val="22"/>
        </w:rPr>
        <w:t>have </w:t>
      </w:r>
      <w:r>
        <w:rPr>
          <w:i/>
          <w:sz w:val="22"/>
        </w:rPr>
        <w:t>commenced”</w:t>
      </w:r>
    </w:p>
    <w:p>
      <w:pPr>
        <w:pStyle w:val="ListParagraph"/>
        <w:numPr>
          <w:ilvl w:val="2"/>
          <w:numId w:val="14"/>
        </w:numPr>
        <w:tabs>
          <w:tab w:pos="841" w:val="left" w:leader="none"/>
        </w:tabs>
        <w:spacing w:line="240" w:lineRule="auto" w:before="122" w:after="0"/>
        <w:ind w:left="840" w:right="0" w:hanging="721"/>
        <w:jc w:val="left"/>
        <w:rPr>
          <w:sz w:val="22"/>
        </w:rPr>
      </w:pPr>
      <w:bookmarkStart w:name="_bookmark91" w:id="179"/>
      <w:bookmarkEnd w:id="179"/>
      <w:r>
        <w:rPr/>
      </w:r>
      <w:bookmarkStart w:name="_bookmark91" w:id="180"/>
      <w:bookmarkEnd w:id="180"/>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8"/>
        <w:ind w:left="686" w:right="113"/>
        <w:jc w:val="both"/>
      </w:pPr>
      <w:r>
        <w:rPr/>
        <w:t>Based on information/rent roll provided by the Client, we understand that subject property is a commercial</w:t>
      </w:r>
      <w:r>
        <w:rPr>
          <w:spacing w:val="-27"/>
        </w:rPr>
        <w:t> </w:t>
      </w:r>
      <w:r>
        <w:rPr/>
        <w:t>city</w:t>
      </w:r>
      <w:r>
        <w:rPr>
          <w:spacing w:val="-26"/>
        </w:rPr>
        <w:t> </w:t>
      </w:r>
      <w:r>
        <w:rPr/>
        <w:t>centre</w:t>
      </w:r>
      <w:r>
        <w:rPr>
          <w:spacing w:val="-27"/>
        </w:rPr>
        <w:t> </w:t>
      </w:r>
      <w:r>
        <w:rPr/>
        <w:t>office.</w:t>
      </w:r>
      <w:r>
        <w:rPr>
          <w:spacing w:val="-26"/>
        </w:rPr>
        <w:t> </w:t>
      </w:r>
      <w:r>
        <w:rPr/>
        <w:t>Further,</w:t>
      </w:r>
      <w:r>
        <w:rPr>
          <w:spacing w:val="-27"/>
        </w:rPr>
        <w:t> </w:t>
      </w:r>
      <w:r>
        <w:rPr/>
        <w:t>the</w:t>
      </w:r>
      <w:r>
        <w:rPr>
          <w:spacing w:val="-26"/>
        </w:rPr>
        <w:t> </w:t>
      </w:r>
      <w:r>
        <w:rPr/>
        <w:t>table</w:t>
      </w:r>
      <w:r>
        <w:rPr>
          <w:spacing w:val="-27"/>
        </w:rPr>
        <w:t> </w:t>
      </w:r>
      <w:r>
        <w:rPr/>
        <w:t>below</w:t>
      </w:r>
      <w:r>
        <w:rPr>
          <w:spacing w:val="-26"/>
        </w:rPr>
        <w:t> </w:t>
      </w:r>
      <w:r>
        <w:rPr/>
        <w:t>highlights</w:t>
      </w:r>
      <w:r>
        <w:rPr>
          <w:spacing w:val="-26"/>
        </w:rPr>
        <w:t> </w:t>
      </w:r>
      <w:r>
        <w:rPr/>
        <w:t>the</w:t>
      </w:r>
      <w:r>
        <w:rPr>
          <w:spacing w:val="-27"/>
        </w:rPr>
        <w:t> </w:t>
      </w:r>
      <w:r>
        <w:rPr/>
        <w:t>area</w:t>
      </w:r>
      <w:r>
        <w:rPr>
          <w:spacing w:val="-27"/>
        </w:rPr>
        <w:t> </w:t>
      </w:r>
      <w:r>
        <w:rPr/>
        <w:t>configuration</w:t>
      </w:r>
      <w:r>
        <w:rPr>
          <w:spacing w:val="-27"/>
        </w:rPr>
        <w:t> </w:t>
      </w:r>
      <w:r>
        <w:rPr/>
        <w:t>of</w:t>
      </w:r>
      <w:r>
        <w:rPr>
          <w:spacing w:val="-26"/>
        </w:rPr>
        <w:t> </w:t>
      </w:r>
      <w:r>
        <w:rPr/>
        <w:t>the</w:t>
      </w:r>
      <w:r>
        <w:rPr>
          <w:spacing w:val="-28"/>
        </w:rPr>
        <w:t> </w:t>
      </w:r>
      <w:r>
        <w:rPr/>
        <w:t>subject property:</w:t>
      </w:r>
    </w:p>
    <w:p>
      <w:pPr>
        <w:pStyle w:val="BodyText"/>
        <w:spacing w:before="11"/>
        <w:rPr>
          <w:sz w:val="16"/>
        </w:rPr>
      </w:pPr>
      <w:r>
        <w:rPr/>
        <w:pict>
          <v:group style="position:absolute;margin-left:35.279999pt;margin-top:11.80793pt;width:524.3pt;height:26.65pt;mso-position-horizontal-relative:page;mso-position-vertical-relative:paragraph;z-index:-15484928;mso-wrap-distance-left:0;mso-wrap-distance-right:0" coordorigin="706,236" coordsize="10486,533">
            <v:shape style="position:absolute;left:720;top:267;width:10472;height:488" coordorigin="720,267" coordsize="10472,488" path="m11191,267l5055,267,720,267,720,755,5055,755,11191,755,11191,267xe" filled="true" fillcolor="#006a4d" stroked="false">
              <v:path arrowok="t"/>
              <v:fill type="solid"/>
            </v:shape>
            <v:rect style="position:absolute;left:720;top:236;width:4336;height:29" filled="true" fillcolor="#1b6b22" stroked="false">
              <v:fill type="solid"/>
            </v:rect>
            <v:shape style="position:absolute;left:720;top:264;width:4365;height:3" coordorigin="720,265" coordsize="4365,3" path="m5084,265l5055,265,720,265,720,267,5055,267,5084,267,5084,265xe" filled="true" fillcolor="#006a4d" stroked="false">
              <v:path arrowok="t"/>
              <v:fill type="solid"/>
            </v:shape>
            <v:shape style="position:absolute;left:5055;top:236;width:6136;height:29" coordorigin="5055,236" coordsize="6136,29" path="m11191,236l5084,236,5055,236,5055,265,5084,265,11191,265,11191,236xe" filled="true" fillcolor="#1b6b22" stroked="false">
              <v:path arrowok="t"/>
              <v:fill type="solid"/>
            </v:shape>
            <v:rect style="position:absolute;left:5084;top:264;width:6107;height:3" filled="true" fillcolor="#006a4d" stroked="false">
              <v:fill type="solid"/>
            </v:rect>
            <v:shape style="position:absolute;left:720;top:754;width:10472;height:15" coordorigin="720,755" coordsize="10472,15" path="m11191,755l5070,755,5055,755,720,755,720,769,5055,769,5070,769,11191,769,11191,755xe" filled="true" fillcolor="#69bd28" stroked="false">
              <v:path arrowok="t"/>
              <v:fill type="solid"/>
            </v:shape>
            <v:shape style="position:absolute;left:705;top:264;width:10486;height:490" type="#_x0000_t202" filled="false" stroked="false">
              <v:textbox inset="0,0,0,0">
                <w:txbxContent>
                  <w:p>
                    <w:pPr>
                      <w:tabs>
                        <w:tab w:pos="4366" w:val="left" w:leader="none"/>
                      </w:tabs>
                      <w:spacing w:before="140"/>
                      <w:ind w:left="0" w:right="20" w:firstLine="0"/>
                      <w:jc w:val="center"/>
                      <w:rPr>
                        <w:b/>
                        <w:sz w:val="18"/>
                      </w:rPr>
                    </w:pPr>
                    <w:r>
                      <w:rPr>
                        <w:b/>
                        <w:color w:val="FFFFFF"/>
                        <w:w w:val="110"/>
                        <w:sz w:val="18"/>
                      </w:rPr>
                      <w:t>Components</w:t>
                      <w:tab/>
                      <w:t>Completed leasable area (in</w:t>
                    </w:r>
                    <w:r>
                      <w:rPr>
                        <w:b/>
                        <w:color w:val="FFFFFF"/>
                        <w:spacing w:val="-15"/>
                        <w:w w:val="110"/>
                        <w:sz w:val="18"/>
                      </w:rPr>
                      <w:t> </w:t>
                    </w:r>
                    <w:r>
                      <w:rPr>
                        <w:b/>
                        <w:color w:val="FFFFFF"/>
                        <w:w w:val="110"/>
                        <w:sz w:val="18"/>
                      </w:rPr>
                      <w:t>sf)</w:t>
                    </w:r>
                  </w:p>
                </w:txbxContent>
              </v:textbox>
              <w10:wrap type="none"/>
            </v:shape>
            <w10:wrap type="topAndBottom"/>
          </v:group>
        </w:pict>
      </w:r>
    </w:p>
    <w:p>
      <w:pPr>
        <w:tabs>
          <w:tab w:pos="7177" w:val="left" w:leader="none"/>
        </w:tabs>
        <w:spacing w:before="27" w:after="57"/>
        <w:ind w:left="1279" w:right="0" w:firstLine="0"/>
        <w:jc w:val="left"/>
        <w:rPr>
          <w:sz w:val="18"/>
        </w:rPr>
      </w:pPr>
      <w:r>
        <w:rPr>
          <w:sz w:val="18"/>
        </w:rPr>
        <w:t>Office</w:t>
      </w:r>
      <w:r>
        <w:rPr>
          <w:spacing w:val="-12"/>
          <w:sz w:val="18"/>
        </w:rPr>
        <w:t> </w:t>
      </w:r>
      <w:r>
        <w:rPr>
          <w:sz w:val="18"/>
        </w:rPr>
        <w:t>Area</w:t>
      </w:r>
      <w:r>
        <w:rPr>
          <w:spacing w:val="-15"/>
          <w:sz w:val="18"/>
        </w:rPr>
        <w:t> </w:t>
      </w:r>
      <w:r>
        <w:rPr>
          <w:sz w:val="18"/>
        </w:rPr>
        <w:t>(Operational)</w:t>
        <w:tab/>
        <w:t>472,377</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350,0,4335,0,0,0,0,14,4335,14,4350,14,10471,14,10471,0xe" filled="true" fillcolor="#69bd28" stroked="false">
              <v:path arrowok="t"/>
              <v:fill type="solid"/>
            </v:shape>
          </v:group>
        </w:pict>
      </w:r>
      <w:r>
        <w:rPr>
          <w:sz w:val="2"/>
        </w:rPr>
      </w:r>
    </w:p>
    <w:p>
      <w:pPr>
        <w:tabs>
          <w:tab w:pos="7177" w:val="left" w:leader="none"/>
        </w:tabs>
        <w:spacing w:before="70"/>
        <w:ind w:left="2093" w:right="0" w:firstLine="0"/>
        <w:jc w:val="left"/>
        <w:rPr>
          <w:sz w:val="18"/>
        </w:rPr>
      </w:pPr>
      <w:r>
        <w:rPr/>
        <w:pict>
          <v:shape style="position:absolute;margin-left:35.280003pt;margin-top:17.710669pt;width:524.3pt;height:.75pt;mso-position-horizontal-relative:page;mso-position-vertical-relative:paragraph;z-index:-15483904;mso-wrap-distance-left:0;mso-wrap-distance-right:0" coordorigin="706,354" coordsize="10486,15" path="m11191,354l5055,354,5041,354,706,354,706,369,5041,369,5055,369,11191,369,11191,354xe" filled="true" fillcolor="#69bd28" stroked="false">
            <v:path arrowok="t"/>
            <v:fill type="solid"/>
            <w10:wrap type="topAndBottom"/>
          </v:shape>
        </w:pict>
      </w:r>
      <w:r>
        <w:rPr>
          <w:sz w:val="18"/>
        </w:rPr>
        <w:t>Total</w:t>
        <w:tab/>
        <w:t>472,377</w:t>
      </w:r>
    </w:p>
    <w:p>
      <w:pPr>
        <w:spacing w:before="0"/>
        <w:ind w:left="120" w:right="0" w:firstLine="0"/>
        <w:jc w:val="both"/>
        <w:rPr>
          <w:i/>
          <w:sz w:val="18"/>
        </w:rPr>
      </w:pPr>
      <w:r>
        <w:rPr>
          <w:i/>
          <w:sz w:val="18"/>
        </w:rPr>
        <w:t>Source: Architect certificate and Rent roll provided by Client</w:t>
      </w:r>
    </w:p>
    <w:p>
      <w:pPr>
        <w:pStyle w:val="BodyText"/>
        <w:spacing w:before="4"/>
        <w:rPr>
          <w:i/>
          <w:sz w:val="21"/>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92" w:id="181"/>
      <w:bookmarkEnd w:id="181"/>
      <w:r>
        <w:rPr/>
      </w:r>
      <w:bookmarkStart w:name="_bookmark92" w:id="182"/>
      <w:bookmarkEnd w:id="182"/>
      <w:r>
        <w:rPr>
          <w:color w:val="1F664D"/>
          <w:sz w:val="22"/>
        </w:rPr>
        <w:t>Con</w:t>
      </w:r>
      <w:r>
        <w:rPr>
          <w:color w:val="1F664D"/>
          <w:sz w:val="22"/>
        </w:rPr>
        <w:t>struction Timelines</w:t>
      </w:r>
    </w:p>
    <w:p>
      <w:pPr>
        <w:pStyle w:val="BodyText"/>
        <w:spacing w:before="6"/>
        <w:rPr>
          <w:sz w:val="25"/>
        </w:rPr>
      </w:pPr>
    </w:p>
    <w:p>
      <w:pPr>
        <w:spacing w:before="0"/>
        <w:ind w:left="120" w:right="0" w:firstLine="0"/>
        <w:jc w:val="both"/>
        <w:rPr>
          <w:i/>
          <w:sz w:val="20"/>
        </w:rPr>
      </w:pPr>
      <w:r>
        <w:rPr>
          <w:i/>
          <w:color w:val="008000"/>
          <w:sz w:val="22"/>
        </w:rPr>
        <w:t>6.4.3.1</w:t>
      </w:r>
      <w:r>
        <w:rPr>
          <w:i/>
          <w:color w:val="008000"/>
          <w:sz w:val="20"/>
        </w:rPr>
        <w:t>Completed Blocks</w:t>
      </w:r>
    </w:p>
    <w:p>
      <w:pPr>
        <w:pStyle w:val="BodyText"/>
        <w:spacing w:line="321" w:lineRule="auto" w:before="76"/>
        <w:ind w:left="686" w:right="114"/>
        <w:jc w:val="both"/>
      </w:pPr>
      <w:r>
        <w:rPr/>
        <w:t>As</w:t>
      </w:r>
      <w:r>
        <w:rPr>
          <w:spacing w:val="-18"/>
        </w:rPr>
        <w:t> </w:t>
      </w:r>
      <w:r>
        <w:rPr/>
        <w:t>highlighted</w:t>
      </w:r>
      <w:r>
        <w:rPr>
          <w:spacing w:val="-17"/>
        </w:rPr>
        <w:t> </w:t>
      </w:r>
      <w:r>
        <w:rPr/>
        <w:t>earlier,</w:t>
      </w:r>
      <w:r>
        <w:rPr>
          <w:spacing w:val="-17"/>
        </w:rPr>
        <w:t> </w:t>
      </w:r>
      <w:r>
        <w:rPr/>
        <w:t>the</w:t>
      </w:r>
      <w:r>
        <w:rPr>
          <w:spacing w:val="-18"/>
        </w:rPr>
        <w:t> </w:t>
      </w:r>
      <w:r>
        <w:rPr/>
        <w:t>subject</w:t>
      </w:r>
      <w:r>
        <w:rPr>
          <w:spacing w:val="-18"/>
        </w:rPr>
        <w:t> </w:t>
      </w:r>
      <w:r>
        <w:rPr/>
        <w:t>property</w:t>
      </w:r>
      <w:r>
        <w:rPr>
          <w:spacing w:val="-15"/>
        </w:rPr>
        <w:t> </w:t>
      </w:r>
      <w:r>
        <w:rPr/>
        <w:t>has</w:t>
      </w:r>
      <w:r>
        <w:rPr>
          <w:spacing w:val="-16"/>
        </w:rPr>
        <w:t> </w:t>
      </w:r>
      <w:r>
        <w:rPr/>
        <w:t>472,377</w:t>
      </w:r>
      <w:r>
        <w:rPr>
          <w:spacing w:val="-18"/>
        </w:rPr>
        <w:t> </w:t>
      </w:r>
      <w:r>
        <w:rPr/>
        <w:t>sft</w:t>
      </w:r>
      <w:r>
        <w:rPr>
          <w:spacing w:val="-18"/>
        </w:rPr>
        <w:t> </w:t>
      </w:r>
      <w:r>
        <w:rPr/>
        <w:t>of</w:t>
      </w:r>
      <w:r>
        <w:rPr>
          <w:spacing w:val="-18"/>
        </w:rPr>
        <w:t> </w:t>
      </w:r>
      <w:r>
        <w:rPr/>
        <w:t>leasable</w:t>
      </w:r>
      <w:r>
        <w:rPr>
          <w:spacing w:val="-18"/>
        </w:rPr>
        <w:t> </w:t>
      </w:r>
      <w:r>
        <w:rPr/>
        <w:t>area</w:t>
      </w:r>
      <w:r>
        <w:rPr>
          <w:spacing w:val="-17"/>
        </w:rPr>
        <w:t> </w:t>
      </w:r>
      <w:r>
        <w:rPr/>
        <w:t>and</w:t>
      </w:r>
      <w:r>
        <w:rPr>
          <w:spacing w:val="-16"/>
        </w:rPr>
        <w:t> </w:t>
      </w:r>
      <w:r>
        <w:rPr/>
        <w:t>hence</w:t>
      </w:r>
      <w:r>
        <w:rPr>
          <w:spacing w:val="-18"/>
        </w:rPr>
        <w:t> </w:t>
      </w:r>
      <w:r>
        <w:rPr/>
        <w:t>there</w:t>
      </w:r>
      <w:r>
        <w:rPr>
          <w:spacing w:val="-17"/>
        </w:rPr>
        <w:t> </w:t>
      </w:r>
      <w:r>
        <w:rPr/>
        <w:t>is</w:t>
      </w:r>
      <w:r>
        <w:rPr>
          <w:spacing w:val="-18"/>
        </w:rPr>
        <w:t> </w:t>
      </w:r>
      <w:r>
        <w:rPr/>
        <w:t>no</w:t>
      </w:r>
      <w:r>
        <w:rPr>
          <w:spacing w:val="-18"/>
        </w:rPr>
        <w:t> </w:t>
      </w:r>
      <w:r>
        <w:rPr/>
        <w:t>cost pending towards construction completion. However, a refurbishment cost of approx. INR 18.19 Mn (expected</w:t>
      </w:r>
      <w:r>
        <w:rPr>
          <w:spacing w:val="-16"/>
        </w:rPr>
        <w:t> </w:t>
      </w:r>
      <w:r>
        <w:rPr/>
        <w:t>to</w:t>
      </w:r>
      <w:r>
        <w:rPr>
          <w:spacing w:val="-17"/>
        </w:rPr>
        <w:t> </w:t>
      </w:r>
      <w:r>
        <w:rPr/>
        <w:t>be</w:t>
      </w:r>
      <w:r>
        <w:rPr>
          <w:spacing w:val="-18"/>
        </w:rPr>
        <w:t> </w:t>
      </w:r>
      <w:r>
        <w:rPr/>
        <w:t>spent</w:t>
      </w:r>
      <w:r>
        <w:rPr>
          <w:spacing w:val="-16"/>
        </w:rPr>
        <w:t> </w:t>
      </w:r>
      <w:r>
        <w:rPr/>
        <w:t>in</w:t>
      </w:r>
      <w:r>
        <w:rPr>
          <w:spacing w:val="-17"/>
        </w:rPr>
        <w:t> </w:t>
      </w:r>
      <w:r>
        <w:rPr/>
        <w:t>the</w:t>
      </w:r>
      <w:r>
        <w:rPr>
          <w:spacing w:val="-17"/>
        </w:rPr>
        <w:t> </w:t>
      </w:r>
      <w:r>
        <w:rPr/>
        <w:t>next</w:t>
      </w:r>
      <w:r>
        <w:rPr>
          <w:spacing w:val="-15"/>
        </w:rPr>
        <w:t> </w:t>
      </w:r>
      <w:r>
        <w:rPr/>
        <w:t>quarter)</w:t>
      </w:r>
      <w:r>
        <w:rPr>
          <w:spacing w:val="-16"/>
        </w:rPr>
        <w:t> </w:t>
      </w:r>
      <w:r>
        <w:rPr/>
        <w:t>is</w:t>
      </w:r>
      <w:r>
        <w:rPr>
          <w:spacing w:val="-17"/>
        </w:rPr>
        <w:t> </w:t>
      </w:r>
      <w:r>
        <w:rPr/>
        <w:t>pending</w:t>
      </w:r>
      <w:r>
        <w:rPr>
          <w:spacing w:val="-16"/>
        </w:rPr>
        <w:t> </w:t>
      </w:r>
      <w:r>
        <w:rPr/>
        <w:t>towards</w:t>
      </w:r>
      <w:r>
        <w:rPr>
          <w:spacing w:val="-16"/>
        </w:rPr>
        <w:t> </w:t>
      </w:r>
      <w:r>
        <w:rPr/>
        <w:t>the</w:t>
      </w:r>
      <w:r>
        <w:rPr>
          <w:spacing w:val="-18"/>
        </w:rPr>
        <w:t> </w:t>
      </w:r>
      <w:r>
        <w:rPr/>
        <w:t>same</w:t>
      </w:r>
      <w:r>
        <w:rPr>
          <w:spacing w:val="-17"/>
        </w:rPr>
        <w:t> </w:t>
      </w:r>
      <w:r>
        <w:rPr/>
        <w:t>as</w:t>
      </w:r>
      <w:r>
        <w:rPr>
          <w:spacing w:val="-16"/>
        </w:rPr>
        <w:t> </w:t>
      </w:r>
      <w:r>
        <w:rPr/>
        <w:t>of</w:t>
      </w:r>
      <w:r>
        <w:rPr>
          <w:spacing w:val="-17"/>
        </w:rPr>
        <w:t> </w:t>
      </w:r>
      <w:r>
        <w:rPr/>
        <w:t>date</w:t>
      </w:r>
      <w:r>
        <w:rPr>
          <w:spacing w:val="-16"/>
        </w:rPr>
        <w:t> </w:t>
      </w:r>
      <w:r>
        <w:rPr/>
        <w:t>of</w:t>
      </w:r>
      <w:r>
        <w:rPr>
          <w:spacing w:val="-16"/>
        </w:rPr>
        <w:t> </w:t>
      </w:r>
      <w:r>
        <w:rPr/>
        <w:t>valuation.</w:t>
      </w:r>
    </w:p>
    <w:p>
      <w:pPr>
        <w:spacing w:after="0" w:line="321" w:lineRule="auto"/>
        <w:jc w:val="both"/>
        <w:sectPr>
          <w:pgSz w:w="11910" w:h="16840"/>
          <w:pgMar w:header="720" w:footer="943" w:top="1660" w:bottom="1140" w:left="600" w:right="600"/>
        </w:sectPr>
      </w:pPr>
    </w:p>
    <w:p>
      <w:pPr>
        <w:pStyle w:val="BodyText"/>
        <w:spacing w:before="7"/>
        <w:rPr>
          <w:sz w:val="9"/>
        </w:rPr>
      </w:pPr>
    </w:p>
    <w:p>
      <w:pPr>
        <w:pStyle w:val="ListParagraph"/>
        <w:numPr>
          <w:ilvl w:val="2"/>
          <w:numId w:val="14"/>
        </w:numPr>
        <w:tabs>
          <w:tab w:pos="841" w:val="left" w:leader="none"/>
        </w:tabs>
        <w:spacing w:line="240" w:lineRule="auto" w:before="106" w:after="0"/>
        <w:ind w:left="840" w:right="0" w:hanging="721"/>
        <w:jc w:val="both"/>
        <w:rPr>
          <w:sz w:val="22"/>
        </w:rPr>
      </w:pPr>
      <w:bookmarkStart w:name="_bookmark93" w:id="183"/>
      <w:bookmarkEnd w:id="183"/>
      <w:r>
        <w:rPr/>
      </w:r>
      <w:bookmarkStart w:name="_bookmark93" w:id="184"/>
      <w:bookmarkEnd w:id="184"/>
      <w:r>
        <w:rPr>
          <w:color w:val="1F664D"/>
          <w:sz w:val="22"/>
        </w:rPr>
        <w:t>A</w:t>
      </w:r>
      <w:r>
        <w:rPr>
          <w:color w:val="1F664D"/>
          <w:sz w:val="22"/>
        </w:rPr>
        <w:t>bsorption/ Leasing Velocity and Occupancy</w:t>
      </w:r>
      <w:r>
        <w:rPr>
          <w:color w:val="1F664D"/>
          <w:spacing w:val="1"/>
          <w:sz w:val="22"/>
        </w:rPr>
        <w:t> </w:t>
      </w:r>
      <w:r>
        <w:rPr>
          <w:color w:val="1F664D"/>
          <w:sz w:val="22"/>
        </w:rPr>
        <w:t>Profile</w:t>
      </w:r>
    </w:p>
    <w:p>
      <w:pPr>
        <w:pStyle w:val="BodyText"/>
        <w:spacing w:before="6"/>
        <w:rPr>
          <w:sz w:val="25"/>
        </w:rPr>
      </w:pPr>
    </w:p>
    <w:p>
      <w:pPr>
        <w:spacing w:before="1"/>
        <w:ind w:left="120" w:right="0" w:firstLine="0"/>
        <w:jc w:val="both"/>
        <w:rPr>
          <w:i/>
          <w:sz w:val="20"/>
        </w:rPr>
      </w:pPr>
      <w:r>
        <w:rPr>
          <w:i/>
          <w:color w:val="008000"/>
          <w:sz w:val="22"/>
        </w:rPr>
        <w:t>6.4.4.1 </w:t>
      </w:r>
      <w:r>
        <w:rPr>
          <w:i/>
          <w:color w:val="008000"/>
          <w:sz w:val="20"/>
        </w:rPr>
        <w:t>Completed Blocks</w:t>
      </w:r>
    </w:p>
    <w:p>
      <w:pPr>
        <w:pStyle w:val="BodyText"/>
        <w:spacing w:line="321" w:lineRule="auto" w:before="135"/>
        <w:ind w:left="682" w:right="114"/>
        <w:jc w:val="both"/>
      </w:pPr>
      <w:r>
        <w:rPr/>
        <w:t>Based</w:t>
      </w:r>
      <w:r>
        <w:rPr>
          <w:spacing w:val="-15"/>
        </w:rPr>
        <w:t> </w:t>
      </w:r>
      <w:r>
        <w:rPr/>
        <w:t>on</w:t>
      </w:r>
      <w:r>
        <w:rPr>
          <w:spacing w:val="-15"/>
        </w:rPr>
        <w:t> </w:t>
      </w:r>
      <w:r>
        <w:rPr/>
        <w:t>the</w:t>
      </w:r>
      <w:r>
        <w:rPr>
          <w:spacing w:val="-16"/>
        </w:rPr>
        <w:t> </w:t>
      </w:r>
      <w:r>
        <w:rPr/>
        <w:t>rent</w:t>
      </w:r>
      <w:r>
        <w:rPr>
          <w:spacing w:val="-15"/>
        </w:rPr>
        <w:t> </w:t>
      </w:r>
      <w:r>
        <w:rPr/>
        <w:t>roll</w:t>
      </w:r>
      <w:r>
        <w:rPr>
          <w:spacing w:val="-14"/>
        </w:rPr>
        <w:t> </w:t>
      </w:r>
      <w:r>
        <w:rPr/>
        <w:t>provided</w:t>
      </w:r>
      <w:r>
        <w:rPr>
          <w:spacing w:val="-15"/>
        </w:rPr>
        <w:t> </w:t>
      </w:r>
      <w:r>
        <w:rPr/>
        <w:t>by</w:t>
      </w:r>
      <w:r>
        <w:rPr>
          <w:spacing w:val="-14"/>
        </w:rPr>
        <w:t> </w:t>
      </w:r>
      <w:r>
        <w:rPr/>
        <w:t>the</w:t>
      </w:r>
      <w:r>
        <w:rPr>
          <w:spacing w:val="-16"/>
        </w:rPr>
        <w:t> </w:t>
      </w:r>
      <w:r>
        <w:rPr/>
        <w:t>Client</w:t>
      </w:r>
      <w:r>
        <w:rPr>
          <w:spacing w:val="-15"/>
        </w:rPr>
        <w:t> </w:t>
      </w:r>
      <w:r>
        <w:rPr/>
        <w:t>and</w:t>
      </w:r>
      <w:r>
        <w:rPr>
          <w:spacing w:val="-15"/>
        </w:rPr>
        <w:t> </w:t>
      </w:r>
      <w:r>
        <w:rPr/>
        <w:t>visual</w:t>
      </w:r>
      <w:r>
        <w:rPr>
          <w:spacing w:val="-15"/>
        </w:rPr>
        <w:t> </w:t>
      </w:r>
      <w:r>
        <w:rPr/>
        <w:t>inspection</w:t>
      </w:r>
      <w:r>
        <w:rPr>
          <w:spacing w:val="-16"/>
        </w:rPr>
        <w:t> </w:t>
      </w:r>
      <w:r>
        <w:rPr/>
        <w:t>during</w:t>
      </w:r>
      <w:r>
        <w:rPr>
          <w:spacing w:val="-13"/>
        </w:rPr>
        <w:t> </w:t>
      </w:r>
      <w:r>
        <w:rPr/>
        <w:t>the</w:t>
      </w:r>
      <w:r>
        <w:rPr>
          <w:spacing w:val="-16"/>
        </w:rPr>
        <w:t> </w:t>
      </w:r>
      <w:r>
        <w:rPr/>
        <w:t>site</w:t>
      </w:r>
      <w:r>
        <w:rPr>
          <w:spacing w:val="-15"/>
        </w:rPr>
        <w:t> </w:t>
      </w:r>
      <w:r>
        <w:rPr/>
        <w:t>visit,</w:t>
      </w:r>
      <w:r>
        <w:rPr>
          <w:spacing w:val="-16"/>
        </w:rPr>
        <w:t> </w:t>
      </w:r>
      <w:r>
        <w:rPr/>
        <w:t>we</w:t>
      </w:r>
      <w:r>
        <w:rPr>
          <w:spacing w:val="-15"/>
        </w:rPr>
        <w:t> </w:t>
      </w:r>
      <w:r>
        <w:rPr/>
        <w:t>understand that</w:t>
      </w:r>
      <w:r>
        <w:rPr>
          <w:spacing w:val="-33"/>
        </w:rPr>
        <w:t> </w:t>
      </w:r>
      <w:r>
        <w:rPr/>
        <w:t>the</w:t>
      </w:r>
      <w:r>
        <w:rPr>
          <w:spacing w:val="-33"/>
        </w:rPr>
        <w:t> </w:t>
      </w:r>
      <w:r>
        <w:rPr/>
        <w:t>subject</w:t>
      </w:r>
      <w:r>
        <w:rPr>
          <w:spacing w:val="-32"/>
        </w:rPr>
        <w:t> </w:t>
      </w:r>
      <w:r>
        <w:rPr/>
        <w:t>property</w:t>
      </w:r>
      <w:r>
        <w:rPr>
          <w:spacing w:val="-32"/>
        </w:rPr>
        <w:t> </w:t>
      </w:r>
      <w:r>
        <w:rPr/>
        <w:t>is</w:t>
      </w:r>
      <w:r>
        <w:rPr>
          <w:spacing w:val="-32"/>
        </w:rPr>
        <w:t> </w:t>
      </w:r>
      <w:r>
        <w:rPr/>
        <w:t>fully</w:t>
      </w:r>
      <w:r>
        <w:rPr>
          <w:spacing w:val="-31"/>
        </w:rPr>
        <w:t> </w:t>
      </w:r>
      <w:r>
        <w:rPr/>
        <w:t>operational</w:t>
      </w:r>
      <w:r>
        <w:rPr>
          <w:spacing w:val="-33"/>
        </w:rPr>
        <w:t> </w:t>
      </w:r>
      <w:r>
        <w:rPr/>
        <w:t>and</w:t>
      </w:r>
      <w:r>
        <w:rPr>
          <w:spacing w:val="-33"/>
        </w:rPr>
        <w:t> </w:t>
      </w:r>
      <w:r>
        <w:rPr/>
        <w:t>there</w:t>
      </w:r>
      <w:r>
        <w:rPr>
          <w:spacing w:val="-32"/>
        </w:rPr>
        <w:t> </w:t>
      </w:r>
      <w:r>
        <w:rPr/>
        <w:t>are</w:t>
      </w:r>
      <w:r>
        <w:rPr>
          <w:spacing w:val="-32"/>
        </w:rPr>
        <w:t> </w:t>
      </w:r>
      <w:r>
        <w:rPr/>
        <w:t>no</w:t>
      </w:r>
      <w:r>
        <w:rPr>
          <w:spacing w:val="-32"/>
        </w:rPr>
        <w:t> </w:t>
      </w:r>
      <w:r>
        <w:rPr/>
        <w:t>under-construction</w:t>
      </w:r>
      <w:r>
        <w:rPr>
          <w:spacing w:val="-33"/>
        </w:rPr>
        <w:t> </w:t>
      </w:r>
      <w:r>
        <w:rPr/>
        <w:t>or</w:t>
      </w:r>
      <w:r>
        <w:rPr>
          <w:spacing w:val="-32"/>
        </w:rPr>
        <w:t> </w:t>
      </w:r>
      <w:r>
        <w:rPr/>
        <w:t>proposed</w:t>
      </w:r>
      <w:r>
        <w:rPr>
          <w:spacing w:val="-32"/>
        </w:rPr>
        <w:t> </w:t>
      </w:r>
      <w:r>
        <w:rPr/>
        <w:t>blocks.</w:t>
      </w:r>
      <w:r>
        <w:rPr>
          <w:spacing w:val="-34"/>
        </w:rPr>
        <w:t> </w:t>
      </w:r>
      <w:r>
        <w:rPr/>
        <w:t>As per</w:t>
      </w:r>
      <w:r>
        <w:rPr>
          <w:spacing w:val="-29"/>
        </w:rPr>
        <w:t> </w:t>
      </w:r>
      <w:r>
        <w:rPr/>
        <w:t>the</w:t>
      </w:r>
      <w:r>
        <w:rPr>
          <w:spacing w:val="-29"/>
        </w:rPr>
        <w:t> </w:t>
      </w:r>
      <w:r>
        <w:rPr/>
        <w:t>analysis</w:t>
      </w:r>
      <w:r>
        <w:rPr>
          <w:spacing w:val="-28"/>
        </w:rPr>
        <w:t> </w:t>
      </w:r>
      <w:r>
        <w:rPr/>
        <w:t>of</w:t>
      </w:r>
      <w:r>
        <w:rPr>
          <w:spacing w:val="-29"/>
        </w:rPr>
        <w:t> </w:t>
      </w:r>
      <w:r>
        <w:rPr/>
        <w:t>the</w:t>
      </w:r>
      <w:r>
        <w:rPr>
          <w:spacing w:val="-29"/>
        </w:rPr>
        <w:t> </w:t>
      </w:r>
      <w:r>
        <w:rPr/>
        <w:t>rent</w:t>
      </w:r>
      <w:r>
        <w:rPr>
          <w:spacing w:val="-28"/>
        </w:rPr>
        <w:t> </w:t>
      </w:r>
      <w:r>
        <w:rPr/>
        <w:t>roll,</w:t>
      </w:r>
      <w:r>
        <w:rPr>
          <w:spacing w:val="-29"/>
        </w:rPr>
        <w:t> </w:t>
      </w:r>
      <w:r>
        <w:rPr/>
        <w:t>it</w:t>
      </w:r>
      <w:r>
        <w:rPr>
          <w:spacing w:val="-28"/>
        </w:rPr>
        <w:t> </w:t>
      </w:r>
      <w:r>
        <w:rPr/>
        <w:t>was</w:t>
      </w:r>
      <w:r>
        <w:rPr>
          <w:spacing w:val="-28"/>
        </w:rPr>
        <w:t> </w:t>
      </w:r>
      <w:r>
        <w:rPr/>
        <w:t>observed</w:t>
      </w:r>
      <w:r>
        <w:rPr>
          <w:spacing w:val="-30"/>
        </w:rPr>
        <w:t> </w:t>
      </w:r>
      <w:r>
        <w:rPr/>
        <w:t>that</w:t>
      </w:r>
      <w:r>
        <w:rPr>
          <w:spacing w:val="-28"/>
        </w:rPr>
        <w:t> </w:t>
      </w:r>
      <w:r>
        <w:rPr/>
        <w:t>subject</w:t>
      </w:r>
      <w:r>
        <w:rPr>
          <w:spacing w:val="-30"/>
        </w:rPr>
        <w:t> </w:t>
      </w:r>
      <w:r>
        <w:rPr/>
        <w:t>property</w:t>
      </w:r>
      <w:r>
        <w:rPr>
          <w:spacing w:val="-28"/>
        </w:rPr>
        <w:t> </w:t>
      </w:r>
      <w:r>
        <w:rPr/>
        <w:t>is</w:t>
      </w:r>
      <w:r>
        <w:rPr>
          <w:spacing w:val="-28"/>
        </w:rPr>
        <w:t> </w:t>
      </w:r>
      <w:r>
        <w:rPr/>
        <w:t>approx.</w:t>
      </w:r>
      <w:r>
        <w:rPr>
          <w:spacing w:val="-25"/>
        </w:rPr>
        <w:t> </w:t>
      </w:r>
      <w:r>
        <w:rPr/>
        <w:t>93.5%</w:t>
      </w:r>
      <w:r>
        <w:rPr>
          <w:spacing w:val="-28"/>
        </w:rPr>
        <w:t> </w:t>
      </w:r>
      <w:r>
        <w:rPr/>
        <w:t>leased</w:t>
      </w:r>
      <w:r>
        <w:rPr>
          <w:spacing w:val="-28"/>
        </w:rPr>
        <w:t> </w:t>
      </w:r>
      <w:r>
        <w:rPr/>
        <w:t>(including the</w:t>
      </w:r>
      <w:r>
        <w:rPr>
          <w:spacing w:val="-32"/>
        </w:rPr>
        <w:t> </w:t>
      </w:r>
      <w:r>
        <w:rPr/>
        <w:t>commitments).</w:t>
      </w:r>
      <w:r>
        <w:rPr>
          <w:spacing w:val="-32"/>
        </w:rPr>
        <w:t> </w:t>
      </w:r>
      <w:r>
        <w:rPr/>
        <w:t>The</w:t>
      </w:r>
      <w:r>
        <w:rPr>
          <w:spacing w:val="-32"/>
        </w:rPr>
        <w:t> </w:t>
      </w:r>
      <w:r>
        <w:rPr/>
        <w:t>table</w:t>
      </w:r>
      <w:r>
        <w:rPr>
          <w:spacing w:val="-33"/>
        </w:rPr>
        <w:t> </w:t>
      </w:r>
      <w:r>
        <w:rPr/>
        <w:t>below</w:t>
      </w:r>
      <w:r>
        <w:rPr>
          <w:spacing w:val="-31"/>
        </w:rPr>
        <w:t> </w:t>
      </w:r>
      <w:r>
        <w:rPr/>
        <w:t>highlights</w:t>
      </w:r>
      <w:r>
        <w:rPr>
          <w:spacing w:val="-31"/>
        </w:rPr>
        <w:t> </w:t>
      </w:r>
      <w:r>
        <w:rPr/>
        <w:t>the</w:t>
      </w:r>
      <w:r>
        <w:rPr>
          <w:spacing w:val="-32"/>
        </w:rPr>
        <w:t> </w:t>
      </w:r>
      <w:r>
        <w:rPr/>
        <w:t>absorption</w:t>
      </w:r>
      <w:r>
        <w:rPr>
          <w:spacing w:val="-33"/>
        </w:rPr>
        <w:t> </w:t>
      </w:r>
      <w:r>
        <w:rPr/>
        <w:t>assumptions</w:t>
      </w:r>
      <w:r>
        <w:rPr>
          <w:spacing w:val="-33"/>
        </w:rPr>
        <w:t> </w:t>
      </w:r>
      <w:r>
        <w:rPr/>
        <w:t>adopted</w:t>
      </w:r>
      <w:r>
        <w:rPr>
          <w:spacing w:val="-31"/>
        </w:rPr>
        <w:t> </w:t>
      </w:r>
      <w:r>
        <w:rPr/>
        <w:t>for</w:t>
      </w:r>
      <w:r>
        <w:rPr>
          <w:spacing w:val="-32"/>
        </w:rPr>
        <w:t> </w:t>
      </w:r>
      <w:r>
        <w:rPr/>
        <w:t>the</w:t>
      </w:r>
      <w:r>
        <w:rPr>
          <w:spacing w:val="-32"/>
        </w:rPr>
        <w:t> </w:t>
      </w:r>
      <w:r>
        <w:rPr/>
        <w:t>vacant</w:t>
      </w:r>
      <w:r>
        <w:rPr>
          <w:spacing w:val="-32"/>
        </w:rPr>
        <w:t> </w:t>
      </w:r>
      <w:r>
        <w:rPr/>
        <w:t>space within the subject</w:t>
      </w:r>
      <w:r>
        <w:rPr>
          <w:spacing w:val="-17"/>
        </w:rPr>
        <w:t> </w:t>
      </w:r>
      <w:r>
        <w:rPr/>
        <w:t>development:</w:t>
      </w:r>
    </w:p>
    <w:p>
      <w:pPr>
        <w:pStyle w:val="BodyText"/>
        <w:rPr>
          <w:sz w:val="20"/>
        </w:rPr>
      </w:pPr>
    </w:p>
    <w:p>
      <w:pPr>
        <w:pStyle w:val="BodyText"/>
        <w:rPr>
          <w:sz w:val="20"/>
        </w:rPr>
      </w:pPr>
    </w:p>
    <w:p>
      <w:pPr>
        <w:pStyle w:val="BodyText"/>
        <w:rPr>
          <w:sz w:val="20"/>
        </w:rPr>
      </w:pPr>
    </w:p>
    <w:p>
      <w:pPr>
        <w:pStyle w:val="BodyText"/>
        <w:spacing w:before="9"/>
        <w:rPr>
          <w:sz w:val="18"/>
        </w:rPr>
      </w:pPr>
    </w:p>
    <w:p>
      <w:pPr>
        <w:spacing w:before="93"/>
        <w:ind w:left="2715" w:right="0" w:firstLine="0"/>
        <w:jc w:val="left"/>
        <w:rPr>
          <w:rFonts w:ascii="Verdana"/>
          <w:b/>
          <w:i/>
          <w:sz w:val="18"/>
        </w:rPr>
      </w:pPr>
      <w:r>
        <w:rPr/>
        <w:pict>
          <v:shape style="position:absolute;margin-left:35.279999pt;margin-top:-16.661648pt;width:524.3pt;height:148.2pt;mso-position-horizontal-relative:page;mso-position-vertical-relative:paragraph;z-index:1597388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53"/>
                    <w:gridCol w:w="1297"/>
                    <w:gridCol w:w="1387"/>
                    <w:gridCol w:w="1483"/>
                    <w:gridCol w:w="1168"/>
                  </w:tblGrid>
                  <w:tr>
                    <w:trPr>
                      <w:trHeight w:val="837" w:hRule="atLeast"/>
                    </w:trPr>
                    <w:tc>
                      <w:tcPr>
                        <w:tcW w:w="5153" w:type="dxa"/>
                        <w:tcBorders>
                          <w:bottom w:val="single" w:sz="4" w:space="0" w:color="92D050"/>
                        </w:tcBorders>
                        <w:shd w:val="clear" w:color="auto" w:fill="006A4D"/>
                      </w:tcPr>
                      <w:p>
                        <w:pPr>
                          <w:pStyle w:val="TableParagraph"/>
                          <w:tabs>
                            <w:tab w:pos="2523" w:val="left" w:leader="none"/>
                            <w:tab w:pos="4020" w:val="left" w:leader="none"/>
                          </w:tabs>
                          <w:spacing w:before="142"/>
                          <w:ind w:left="641"/>
                          <w:jc w:val="left"/>
                          <w:rPr>
                            <w:rFonts w:ascii="Verdana"/>
                            <w:b/>
                            <w:i/>
                            <w:sz w:val="18"/>
                          </w:rPr>
                        </w:pPr>
                        <w:r>
                          <w:rPr>
                            <w:rFonts w:ascii="Verdana"/>
                            <w:b/>
                            <w:i/>
                            <w:color w:val="FFFFFF"/>
                            <w:w w:val="77"/>
                            <w:sz w:val="18"/>
                          </w:rPr>
                          <w:t>P</w:t>
                        </w:r>
                        <w:r>
                          <w:rPr>
                            <w:rFonts w:ascii="Verdana"/>
                            <w:b/>
                            <w:i/>
                            <w:color w:val="FFFFFF"/>
                            <w:w w:val="89"/>
                            <w:sz w:val="18"/>
                          </w:rPr>
                          <w:t>a</w:t>
                        </w:r>
                        <w:r>
                          <w:rPr>
                            <w:rFonts w:ascii="Verdana"/>
                            <w:b/>
                            <w:i/>
                            <w:color w:val="FFFFFF"/>
                            <w:w w:val="79"/>
                            <w:sz w:val="18"/>
                          </w:rPr>
                          <w:t>r</w:t>
                        </w:r>
                        <w:r>
                          <w:rPr>
                            <w:rFonts w:ascii="Verdana"/>
                            <w:b/>
                            <w:i/>
                            <w:color w:val="FFFFFF"/>
                            <w:spacing w:val="-1"/>
                            <w:w w:val="74"/>
                            <w:sz w:val="18"/>
                          </w:rPr>
                          <w:t>t</w:t>
                        </w:r>
                        <w:r>
                          <w:rPr>
                            <w:rFonts w:ascii="Verdana"/>
                            <w:b/>
                            <w:i/>
                            <w:color w:val="FFFFFF"/>
                            <w:w w:val="80"/>
                            <w:sz w:val="18"/>
                          </w:rPr>
                          <w:t>i</w:t>
                        </w:r>
                        <w:r>
                          <w:rPr>
                            <w:rFonts w:ascii="Verdana"/>
                            <w:b/>
                            <w:i/>
                            <w:color w:val="FFFFFF"/>
                            <w:spacing w:val="1"/>
                            <w:w w:val="80"/>
                            <w:sz w:val="18"/>
                          </w:rPr>
                          <w:t>c</w:t>
                        </w:r>
                        <w:r>
                          <w:rPr>
                            <w:rFonts w:ascii="Verdana"/>
                            <w:b/>
                            <w:i/>
                            <w:smallCaps/>
                            <w:color w:val="FFFFFF"/>
                            <w:spacing w:val="-1"/>
                            <w:w w:val="93"/>
                            <w:sz w:val="18"/>
                          </w:rPr>
                          <w:t>u</w:t>
                        </w:r>
                        <w:r>
                          <w:rPr>
                            <w:rFonts w:ascii="Verdana"/>
                            <w:b/>
                            <w:i/>
                            <w:smallCaps w:val="0"/>
                            <w:color w:val="FFFFFF"/>
                            <w:w w:val="86"/>
                            <w:sz w:val="18"/>
                          </w:rPr>
                          <w:t>la</w:t>
                        </w:r>
                        <w:r>
                          <w:rPr>
                            <w:rFonts w:ascii="Verdana"/>
                            <w:b/>
                            <w:i/>
                            <w:smallCaps w:val="0"/>
                            <w:color w:val="FFFFFF"/>
                            <w:w w:val="79"/>
                            <w:sz w:val="18"/>
                          </w:rPr>
                          <w:t>r</w:t>
                        </w:r>
                        <w:r>
                          <w:rPr>
                            <w:rFonts w:ascii="Verdana"/>
                            <w:b/>
                            <w:i/>
                            <w:smallCaps w:val="0"/>
                            <w:color w:val="FFFFFF"/>
                            <w:sz w:val="18"/>
                          </w:rPr>
                          <w:tab/>
                        </w:r>
                        <w:r>
                          <w:rPr>
                            <w:rFonts w:ascii="Verdana"/>
                            <w:b/>
                            <w:i/>
                            <w:smallCaps w:val="0"/>
                            <w:color w:val="FFFFFF"/>
                            <w:w w:val="89"/>
                            <w:position w:val="14"/>
                            <w:sz w:val="18"/>
                          </w:rPr>
                          <w:t>Ab</w:t>
                        </w:r>
                        <w:r>
                          <w:rPr>
                            <w:rFonts w:ascii="Verdana"/>
                            <w:b/>
                            <w:i/>
                            <w:smallCaps w:val="0"/>
                            <w:color w:val="FFFFFF"/>
                            <w:spacing w:val="-1"/>
                            <w:w w:val="82"/>
                            <w:position w:val="14"/>
                            <w:sz w:val="18"/>
                          </w:rPr>
                          <w:t>sor</w:t>
                        </w:r>
                        <w:r>
                          <w:rPr>
                            <w:rFonts w:ascii="Verdana"/>
                            <w:b/>
                            <w:i/>
                            <w:smallCaps w:val="0"/>
                            <w:color w:val="FFFFFF"/>
                            <w:w w:val="82"/>
                            <w:position w:val="14"/>
                            <w:sz w:val="18"/>
                          </w:rPr>
                          <w:t>p</w:t>
                        </w:r>
                        <w:r>
                          <w:rPr>
                            <w:rFonts w:ascii="Verdana"/>
                            <w:b/>
                            <w:i/>
                            <w:smallCaps w:val="0"/>
                            <w:color w:val="FFFFFF"/>
                            <w:spacing w:val="-1"/>
                            <w:w w:val="74"/>
                            <w:position w:val="14"/>
                            <w:sz w:val="18"/>
                          </w:rPr>
                          <w:t>t</w:t>
                        </w:r>
                        <w:r>
                          <w:rPr>
                            <w:rFonts w:ascii="Verdana"/>
                            <w:b/>
                            <w:i/>
                            <w:smallCaps w:val="0"/>
                            <w:color w:val="FFFFFF"/>
                            <w:w w:val="84"/>
                            <w:position w:val="14"/>
                            <w:sz w:val="18"/>
                          </w:rPr>
                          <w:t>ion</w:t>
                        </w:r>
                        <w:r>
                          <w:rPr>
                            <w:rFonts w:ascii="Verdana"/>
                            <w:b/>
                            <w:i/>
                            <w:smallCaps w:val="0"/>
                            <w:color w:val="FFFFFF"/>
                            <w:position w:val="14"/>
                            <w:sz w:val="18"/>
                          </w:rPr>
                          <w:tab/>
                        </w:r>
                        <w:r>
                          <w:rPr>
                            <w:rFonts w:ascii="Verdana"/>
                            <w:b/>
                            <w:i/>
                            <w:smallCaps w:val="0"/>
                            <w:color w:val="FFFFFF"/>
                            <w:w w:val="100"/>
                            <w:sz w:val="18"/>
                          </w:rPr>
                          <w:t>Q</w:t>
                        </w:r>
                        <w:r>
                          <w:rPr>
                            <w:rFonts w:ascii="Verdana"/>
                            <w:b/>
                            <w:i/>
                            <w:smallCaps w:val="0"/>
                            <w:color w:val="FFFFFF"/>
                            <w:w w:val="83"/>
                            <w:sz w:val="18"/>
                          </w:rPr>
                          <w:t>1</w:t>
                        </w:r>
                        <w:r>
                          <w:rPr>
                            <w:rFonts w:ascii="Verdana"/>
                            <w:b/>
                            <w:i/>
                            <w:smallCaps w:val="0"/>
                            <w:color w:val="FFFFFF"/>
                            <w:spacing w:val="-9"/>
                            <w:sz w:val="18"/>
                          </w:rPr>
                          <w:t> </w:t>
                        </w:r>
                        <w:r>
                          <w:rPr>
                            <w:rFonts w:ascii="Verdana"/>
                            <w:b/>
                            <w:i/>
                            <w:smallCaps w:val="0"/>
                            <w:color w:val="FFFFFF"/>
                            <w:w w:val="82"/>
                            <w:sz w:val="18"/>
                          </w:rPr>
                          <w:t>FY</w:t>
                        </w:r>
                        <w:r>
                          <w:rPr>
                            <w:rFonts w:ascii="Verdana"/>
                            <w:b/>
                            <w:i/>
                            <w:smallCaps w:val="0"/>
                            <w:color w:val="FFFFFF"/>
                            <w:spacing w:val="-10"/>
                            <w:sz w:val="18"/>
                          </w:rPr>
                          <w:t> </w:t>
                        </w:r>
                        <w:r>
                          <w:rPr>
                            <w:rFonts w:ascii="Verdana"/>
                            <w:b/>
                            <w:i/>
                            <w:smallCaps w:val="0"/>
                            <w:color w:val="FFFFFF"/>
                            <w:w w:val="83"/>
                            <w:sz w:val="18"/>
                          </w:rPr>
                          <w:t>20</w:t>
                        </w:r>
                        <w:r>
                          <w:rPr>
                            <w:rFonts w:ascii="Verdana"/>
                            <w:b/>
                            <w:i/>
                            <w:smallCaps w:val="0"/>
                            <w:color w:val="FFFFFF"/>
                            <w:spacing w:val="1"/>
                            <w:w w:val="83"/>
                            <w:sz w:val="18"/>
                          </w:rPr>
                          <w:t>2</w:t>
                        </w:r>
                        <w:r>
                          <w:rPr>
                            <w:rFonts w:ascii="Verdana"/>
                            <w:b/>
                            <w:i/>
                            <w:smallCaps w:val="0"/>
                            <w:color w:val="FFFFFF"/>
                            <w:w w:val="83"/>
                            <w:sz w:val="18"/>
                          </w:rPr>
                          <w:t>1</w:t>
                        </w:r>
                      </w:p>
                    </w:tc>
                    <w:tc>
                      <w:tcPr>
                        <w:tcW w:w="1297" w:type="dxa"/>
                        <w:tcBorders>
                          <w:bottom w:val="single" w:sz="4" w:space="0" w:color="92D050"/>
                        </w:tcBorders>
                        <w:shd w:val="clear" w:color="auto" w:fill="006A4D"/>
                      </w:tcPr>
                      <w:p>
                        <w:pPr>
                          <w:pStyle w:val="TableParagraph"/>
                          <w:spacing w:before="3"/>
                          <w:jc w:val="left"/>
                          <w:rPr>
                            <w:i/>
                            <w:sz w:val="24"/>
                          </w:rPr>
                        </w:pPr>
                      </w:p>
                      <w:p>
                        <w:pPr>
                          <w:pStyle w:val="TableParagraph"/>
                          <w:ind w:left="56" w:right="92"/>
                          <w:rPr>
                            <w:rFonts w:ascii="Verdana"/>
                            <w:b/>
                            <w:i/>
                            <w:sz w:val="18"/>
                          </w:rPr>
                        </w:pPr>
                        <w:r>
                          <w:rPr>
                            <w:rFonts w:ascii="Verdana"/>
                            <w:b/>
                            <w:i/>
                            <w:color w:val="FFFFFF"/>
                            <w:w w:val="95"/>
                            <w:sz w:val="18"/>
                          </w:rPr>
                          <w:t>Q2 FY 2021</w:t>
                        </w:r>
                      </w:p>
                    </w:tc>
                    <w:tc>
                      <w:tcPr>
                        <w:tcW w:w="1387" w:type="dxa"/>
                        <w:tcBorders>
                          <w:bottom w:val="single" w:sz="4" w:space="0" w:color="92D050"/>
                        </w:tcBorders>
                        <w:shd w:val="clear" w:color="auto" w:fill="006A4D"/>
                      </w:tcPr>
                      <w:p>
                        <w:pPr>
                          <w:pStyle w:val="TableParagraph"/>
                          <w:spacing w:before="3"/>
                          <w:jc w:val="left"/>
                          <w:rPr>
                            <w:i/>
                            <w:sz w:val="24"/>
                          </w:rPr>
                        </w:pPr>
                      </w:p>
                      <w:p>
                        <w:pPr>
                          <w:pStyle w:val="TableParagraph"/>
                          <w:ind w:left="94" w:right="145"/>
                          <w:rPr>
                            <w:rFonts w:ascii="Verdana"/>
                            <w:b/>
                            <w:i/>
                            <w:sz w:val="18"/>
                          </w:rPr>
                        </w:pPr>
                        <w:r>
                          <w:rPr>
                            <w:rFonts w:ascii="Verdana"/>
                            <w:b/>
                            <w:i/>
                            <w:color w:val="FFFFFF"/>
                            <w:w w:val="95"/>
                            <w:sz w:val="18"/>
                          </w:rPr>
                          <w:t>Q3 FY 2021</w:t>
                        </w:r>
                      </w:p>
                    </w:tc>
                    <w:tc>
                      <w:tcPr>
                        <w:tcW w:w="1483" w:type="dxa"/>
                        <w:tcBorders>
                          <w:bottom w:val="single" w:sz="4" w:space="0" w:color="92D050"/>
                        </w:tcBorders>
                        <w:shd w:val="clear" w:color="auto" w:fill="006A4D"/>
                      </w:tcPr>
                      <w:p>
                        <w:pPr>
                          <w:pStyle w:val="TableParagraph"/>
                          <w:spacing w:before="3"/>
                          <w:jc w:val="left"/>
                          <w:rPr>
                            <w:i/>
                            <w:sz w:val="24"/>
                          </w:rPr>
                        </w:pPr>
                      </w:p>
                      <w:p>
                        <w:pPr>
                          <w:pStyle w:val="TableParagraph"/>
                          <w:ind w:left="145" w:right="190"/>
                          <w:rPr>
                            <w:rFonts w:ascii="Verdana"/>
                            <w:b/>
                            <w:i/>
                            <w:sz w:val="18"/>
                          </w:rPr>
                        </w:pPr>
                        <w:r>
                          <w:rPr>
                            <w:rFonts w:ascii="Verdana"/>
                            <w:b/>
                            <w:i/>
                            <w:color w:val="FFFFFF"/>
                            <w:w w:val="95"/>
                            <w:sz w:val="18"/>
                          </w:rPr>
                          <w:t>Q4 FY 2021</w:t>
                        </w:r>
                      </w:p>
                    </w:tc>
                    <w:tc>
                      <w:tcPr>
                        <w:tcW w:w="1168" w:type="dxa"/>
                        <w:tcBorders>
                          <w:bottom w:val="single" w:sz="4" w:space="0" w:color="92D050"/>
                        </w:tcBorders>
                        <w:shd w:val="clear" w:color="auto" w:fill="006A4D"/>
                      </w:tcPr>
                      <w:p>
                        <w:pPr>
                          <w:pStyle w:val="TableParagraph"/>
                          <w:spacing w:before="3"/>
                          <w:jc w:val="left"/>
                          <w:rPr>
                            <w:i/>
                            <w:sz w:val="24"/>
                          </w:rPr>
                        </w:pPr>
                      </w:p>
                      <w:p>
                        <w:pPr>
                          <w:pStyle w:val="TableParagraph"/>
                          <w:ind w:left="244" w:right="277"/>
                          <w:rPr>
                            <w:rFonts w:ascii="Verdana"/>
                            <w:b/>
                            <w:i/>
                            <w:sz w:val="18"/>
                          </w:rPr>
                        </w:pPr>
                        <w:r>
                          <w:rPr>
                            <w:rFonts w:ascii="Verdana"/>
                            <w:b/>
                            <w:i/>
                            <w:color w:val="FFFFFF"/>
                            <w:w w:val="90"/>
                            <w:sz w:val="18"/>
                          </w:rPr>
                          <w:t>Total</w:t>
                        </w:r>
                      </w:p>
                    </w:tc>
                  </w:tr>
                  <w:tr>
                    <w:trPr>
                      <w:trHeight w:val="357" w:hRule="atLeast"/>
                    </w:trPr>
                    <w:tc>
                      <w:tcPr>
                        <w:tcW w:w="5153" w:type="dxa"/>
                        <w:tcBorders>
                          <w:top w:val="single" w:sz="4" w:space="0" w:color="92D050"/>
                        </w:tcBorders>
                      </w:tcPr>
                      <w:p>
                        <w:pPr>
                          <w:pStyle w:val="TableParagraph"/>
                          <w:tabs>
                            <w:tab w:pos="4488" w:val="left" w:leader="none"/>
                          </w:tabs>
                          <w:spacing w:before="123"/>
                          <w:ind w:left="2410"/>
                          <w:jc w:val="left"/>
                          <w:rPr>
                            <w:sz w:val="18"/>
                          </w:rPr>
                        </w:pPr>
                        <w:r>
                          <w:rPr>
                            <w:sz w:val="18"/>
                          </w:rPr>
                          <w:t>Percentage</w:t>
                        </w:r>
                        <w:r>
                          <w:rPr>
                            <w:spacing w:val="-20"/>
                            <w:sz w:val="18"/>
                          </w:rPr>
                          <w:t> </w:t>
                        </w:r>
                        <w:r>
                          <w:rPr>
                            <w:sz w:val="18"/>
                          </w:rPr>
                          <w:t>(%)</w:t>
                          <w:tab/>
                          <w:t>-</w:t>
                        </w:r>
                      </w:p>
                    </w:tc>
                    <w:tc>
                      <w:tcPr>
                        <w:tcW w:w="1297" w:type="dxa"/>
                        <w:tcBorders>
                          <w:top w:val="single" w:sz="4" w:space="0" w:color="92D050"/>
                        </w:tcBorders>
                      </w:tcPr>
                      <w:p>
                        <w:pPr>
                          <w:pStyle w:val="TableParagraph"/>
                          <w:spacing w:before="123"/>
                          <w:ind w:left="52" w:right="92"/>
                          <w:rPr>
                            <w:sz w:val="18"/>
                          </w:rPr>
                        </w:pPr>
                        <w:r>
                          <w:rPr>
                            <w:w w:val="110"/>
                            <w:sz w:val="18"/>
                          </w:rPr>
                          <w:t>30.35%</w:t>
                        </w:r>
                      </w:p>
                    </w:tc>
                    <w:tc>
                      <w:tcPr>
                        <w:tcW w:w="1387" w:type="dxa"/>
                        <w:tcBorders>
                          <w:top w:val="single" w:sz="4" w:space="0" w:color="92D050"/>
                        </w:tcBorders>
                      </w:tcPr>
                      <w:p>
                        <w:pPr>
                          <w:pStyle w:val="TableParagraph"/>
                          <w:spacing w:before="123"/>
                          <w:ind w:left="91" w:right="145"/>
                          <w:rPr>
                            <w:sz w:val="18"/>
                          </w:rPr>
                        </w:pPr>
                        <w:r>
                          <w:rPr>
                            <w:w w:val="110"/>
                            <w:sz w:val="18"/>
                          </w:rPr>
                          <w:t>19.28%</w:t>
                        </w:r>
                      </w:p>
                    </w:tc>
                    <w:tc>
                      <w:tcPr>
                        <w:tcW w:w="1483" w:type="dxa"/>
                        <w:tcBorders>
                          <w:top w:val="single" w:sz="4" w:space="0" w:color="92D050"/>
                        </w:tcBorders>
                      </w:tcPr>
                      <w:p>
                        <w:pPr>
                          <w:pStyle w:val="TableParagraph"/>
                          <w:spacing w:before="123"/>
                          <w:ind w:left="141" w:right="190"/>
                          <w:rPr>
                            <w:sz w:val="18"/>
                          </w:rPr>
                        </w:pPr>
                        <w:r>
                          <w:rPr>
                            <w:w w:val="110"/>
                            <w:sz w:val="18"/>
                          </w:rPr>
                          <w:t>50.37%</w:t>
                        </w:r>
                      </w:p>
                    </w:tc>
                    <w:tc>
                      <w:tcPr>
                        <w:tcW w:w="1168" w:type="dxa"/>
                        <w:tcBorders>
                          <w:top w:val="single" w:sz="4" w:space="0" w:color="92D050"/>
                        </w:tcBorders>
                      </w:tcPr>
                      <w:p>
                        <w:pPr>
                          <w:pStyle w:val="TableParagraph"/>
                          <w:spacing w:before="123"/>
                          <w:ind w:left="244" w:right="275"/>
                          <w:rPr>
                            <w:sz w:val="18"/>
                          </w:rPr>
                        </w:pPr>
                        <w:r>
                          <w:rPr>
                            <w:w w:val="115"/>
                            <w:sz w:val="18"/>
                          </w:rPr>
                          <w:t>100%</w:t>
                        </w:r>
                      </w:p>
                    </w:tc>
                  </w:tr>
                  <w:tr>
                    <w:trPr>
                      <w:trHeight w:val="683" w:hRule="atLeast"/>
                    </w:trPr>
                    <w:tc>
                      <w:tcPr>
                        <w:tcW w:w="5153" w:type="dxa"/>
                        <w:tcBorders>
                          <w:bottom w:val="single" w:sz="4" w:space="0" w:color="92D050"/>
                        </w:tcBorders>
                      </w:tcPr>
                      <w:p>
                        <w:pPr>
                          <w:pStyle w:val="TableParagraph"/>
                          <w:spacing w:before="27"/>
                          <w:ind w:left="461"/>
                          <w:jc w:val="left"/>
                          <w:rPr>
                            <w:sz w:val="18"/>
                          </w:rPr>
                        </w:pPr>
                        <w:r>
                          <w:rPr>
                            <w:sz w:val="18"/>
                          </w:rPr>
                          <w:t>Express Towers</w:t>
                        </w:r>
                      </w:p>
                      <w:p>
                        <w:pPr>
                          <w:pStyle w:val="TableParagraph"/>
                          <w:tabs>
                            <w:tab w:pos="4488" w:val="left" w:leader="none"/>
                          </w:tabs>
                          <w:spacing w:before="50"/>
                          <w:ind w:left="2290"/>
                          <w:jc w:val="left"/>
                          <w:rPr>
                            <w:sz w:val="18"/>
                          </w:rPr>
                        </w:pPr>
                        <w:r>
                          <w:rPr>
                            <w:sz w:val="18"/>
                          </w:rPr>
                          <w:t>Leasable</w:t>
                        </w:r>
                        <w:r>
                          <w:rPr>
                            <w:spacing w:val="-17"/>
                            <w:sz w:val="18"/>
                          </w:rPr>
                          <w:t> </w:t>
                        </w:r>
                        <w:r>
                          <w:rPr>
                            <w:sz w:val="18"/>
                          </w:rPr>
                          <w:t>Area</w:t>
                        </w:r>
                        <w:r>
                          <w:rPr>
                            <w:spacing w:val="-16"/>
                            <w:sz w:val="18"/>
                          </w:rPr>
                          <w:t> </w:t>
                        </w:r>
                        <w:r>
                          <w:rPr>
                            <w:sz w:val="18"/>
                          </w:rPr>
                          <w:t>(sf)</w:t>
                          <w:tab/>
                          <w:t>-</w:t>
                        </w:r>
                      </w:p>
                    </w:tc>
                    <w:tc>
                      <w:tcPr>
                        <w:tcW w:w="1297" w:type="dxa"/>
                        <w:tcBorders>
                          <w:bottom w:val="single" w:sz="4" w:space="0" w:color="92D050"/>
                        </w:tcBorders>
                      </w:tcPr>
                      <w:p>
                        <w:pPr>
                          <w:pStyle w:val="TableParagraph"/>
                          <w:spacing w:before="7"/>
                          <w:jc w:val="left"/>
                          <w:rPr>
                            <w:i/>
                            <w:sz w:val="24"/>
                          </w:rPr>
                        </w:pPr>
                      </w:p>
                      <w:p>
                        <w:pPr>
                          <w:pStyle w:val="TableParagraph"/>
                          <w:ind w:left="53" w:right="92"/>
                          <w:rPr>
                            <w:sz w:val="18"/>
                          </w:rPr>
                        </w:pPr>
                        <w:r>
                          <w:rPr>
                            <w:w w:val="105"/>
                            <w:sz w:val="18"/>
                          </w:rPr>
                          <w:t>9,264</w:t>
                        </w:r>
                      </w:p>
                    </w:tc>
                    <w:tc>
                      <w:tcPr>
                        <w:tcW w:w="1387" w:type="dxa"/>
                        <w:tcBorders>
                          <w:bottom w:val="single" w:sz="4" w:space="0" w:color="92D050"/>
                        </w:tcBorders>
                      </w:tcPr>
                      <w:p>
                        <w:pPr>
                          <w:pStyle w:val="TableParagraph"/>
                          <w:spacing w:before="7"/>
                          <w:jc w:val="left"/>
                          <w:rPr>
                            <w:i/>
                            <w:sz w:val="24"/>
                          </w:rPr>
                        </w:pPr>
                      </w:p>
                      <w:p>
                        <w:pPr>
                          <w:pStyle w:val="TableParagraph"/>
                          <w:ind w:left="92" w:right="145"/>
                          <w:rPr>
                            <w:sz w:val="18"/>
                          </w:rPr>
                        </w:pPr>
                        <w:r>
                          <w:rPr>
                            <w:w w:val="105"/>
                            <w:sz w:val="18"/>
                          </w:rPr>
                          <w:t>5,885</w:t>
                        </w:r>
                      </w:p>
                    </w:tc>
                    <w:tc>
                      <w:tcPr>
                        <w:tcW w:w="1483" w:type="dxa"/>
                        <w:tcBorders>
                          <w:bottom w:val="single" w:sz="4" w:space="0" w:color="92D050"/>
                        </w:tcBorders>
                      </w:tcPr>
                      <w:p>
                        <w:pPr>
                          <w:pStyle w:val="TableParagraph"/>
                          <w:spacing w:before="7"/>
                          <w:jc w:val="left"/>
                          <w:rPr>
                            <w:i/>
                            <w:sz w:val="24"/>
                          </w:rPr>
                        </w:pPr>
                      </w:p>
                      <w:p>
                        <w:pPr>
                          <w:pStyle w:val="TableParagraph"/>
                          <w:ind w:left="143" w:right="190"/>
                          <w:rPr>
                            <w:sz w:val="18"/>
                          </w:rPr>
                        </w:pPr>
                        <w:r>
                          <w:rPr>
                            <w:w w:val="110"/>
                            <w:sz w:val="18"/>
                          </w:rPr>
                          <w:t>15,377</w:t>
                        </w:r>
                      </w:p>
                    </w:tc>
                    <w:tc>
                      <w:tcPr>
                        <w:tcW w:w="1168" w:type="dxa"/>
                        <w:tcBorders>
                          <w:bottom w:val="single" w:sz="4" w:space="0" w:color="92D050"/>
                        </w:tcBorders>
                      </w:tcPr>
                      <w:p>
                        <w:pPr>
                          <w:pStyle w:val="TableParagraph"/>
                          <w:spacing w:before="7"/>
                          <w:jc w:val="left"/>
                          <w:rPr>
                            <w:i/>
                            <w:sz w:val="24"/>
                          </w:rPr>
                        </w:pPr>
                      </w:p>
                      <w:p>
                        <w:pPr>
                          <w:pStyle w:val="TableParagraph"/>
                          <w:ind w:left="243" w:right="277"/>
                          <w:rPr>
                            <w:sz w:val="18"/>
                          </w:rPr>
                        </w:pPr>
                        <w:r>
                          <w:rPr>
                            <w:w w:val="110"/>
                            <w:sz w:val="18"/>
                          </w:rPr>
                          <w:t>30,526</w:t>
                        </w:r>
                      </w:p>
                    </w:tc>
                  </w:tr>
                  <w:tr>
                    <w:trPr>
                      <w:trHeight w:val="520" w:hRule="atLeast"/>
                    </w:trPr>
                    <w:tc>
                      <w:tcPr>
                        <w:tcW w:w="5153" w:type="dxa"/>
                        <w:tcBorders>
                          <w:top w:val="single" w:sz="4" w:space="0" w:color="92D050"/>
                          <w:bottom w:val="single" w:sz="4" w:space="0" w:color="92D050"/>
                        </w:tcBorders>
                      </w:tcPr>
                      <w:p>
                        <w:pPr>
                          <w:pStyle w:val="TableParagraph"/>
                          <w:tabs>
                            <w:tab w:pos="4486" w:val="left" w:leader="none"/>
                          </w:tabs>
                          <w:spacing w:before="123"/>
                          <w:ind w:left="910"/>
                          <w:jc w:val="left"/>
                          <w:rPr>
                            <w:sz w:val="18"/>
                          </w:rPr>
                        </w:pPr>
                        <w:r>
                          <w:rPr>
                            <w:sz w:val="18"/>
                          </w:rPr>
                          <w:t>Cumulative</w:t>
                        </w:r>
                        <w:r>
                          <w:rPr>
                            <w:spacing w:val="-12"/>
                            <w:sz w:val="18"/>
                          </w:rPr>
                          <w:t> </w:t>
                        </w:r>
                        <w:r>
                          <w:rPr>
                            <w:sz w:val="18"/>
                          </w:rPr>
                          <w:t>Absorption</w:t>
                        </w:r>
                        <w:r>
                          <w:rPr>
                            <w:spacing w:val="-13"/>
                            <w:sz w:val="18"/>
                          </w:rPr>
                          <w:t> </w:t>
                        </w:r>
                        <w:r>
                          <w:rPr>
                            <w:sz w:val="18"/>
                          </w:rPr>
                          <w:t>(%)</w:t>
                          <w:tab/>
                          <w:t>-</w:t>
                        </w:r>
                      </w:p>
                    </w:tc>
                    <w:tc>
                      <w:tcPr>
                        <w:tcW w:w="1297" w:type="dxa"/>
                        <w:tcBorders>
                          <w:top w:val="single" w:sz="4" w:space="0" w:color="92D050"/>
                          <w:bottom w:val="single" w:sz="4" w:space="0" w:color="92D050"/>
                        </w:tcBorders>
                      </w:tcPr>
                      <w:p>
                        <w:pPr>
                          <w:pStyle w:val="TableParagraph"/>
                          <w:spacing w:before="123"/>
                          <w:ind w:left="54" w:right="92"/>
                          <w:rPr>
                            <w:sz w:val="18"/>
                          </w:rPr>
                        </w:pPr>
                        <w:r>
                          <w:rPr>
                            <w:w w:val="110"/>
                            <w:sz w:val="18"/>
                          </w:rPr>
                          <w:t>30.35%</w:t>
                        </w:r>
                      </w:p>
                    </w:tc>
                    <w:tc>
                      <w:tcPr>
                        <w:tcW w:w="1387" w:type="dxa"/>
                        <w:tcBorders>
                          <w:top w:val="single" w:sz="4" w:space="0" w:color="92D050"/>
                          <w:bottom w:val="single" w:sz="4" w:space="0" w:color="92D050"/>
                        </w:tcBorders>
                      </w:tcPr>
                      <w:p>
                        <w:pPr>
                          <w:pStyle w:val="TableParagraph"/>
                          <w:spacing w:before="123"/>
                          <w:ind w:left="93" w:right="145"/>
                          <w:rPr>
                            <w:sz w:val="18"/>
                          </w:rPr>
                        </w:pPr>
                        <w:r>
                          <w:rPr>
                            <w:w w:val="110"/>
                            <w:sz w:val="18"/>
                          </w:rPr>
                          <w:t>49.63%</w:t>
                        </w:r>
                      </w:p>
                    </w:tc>
                    <w:tc>
                      <w:tcPr>
                        <w:tcW w:w="1483" w:type="dxa"/>
                        <w:tcBorders>
                          <w:top w:val="single" w:sz="4" w:space="0" w:color="92D050"/>
                          <w:bottom w:val="single" w:sz="4" w:space="0" w:color="92D050"/>
                        </w:tcBorders>
                      </w:tcPr>
                      <w:p>
                        <w:pPr>
                          <w:pStyle w:val="TableParagraph"/>
                          <w:spacing w:before="123"/>
                          <w:ind w:left="145" w:right="190"/>
                          <w:rPr>
                            <w:sz w:val="18"/>
                          </w:rPr>
                        </w:pPr>
                        <w:r>
                          <w:rPr>
                            <w:w w:val="110"/>
                            <w:sz w:val="18"/>
                          </w:rPr>
                          <w:t>100.00%</w:t>
                        </w:r>
                      </w:p>
                    </w:tc>
                    <w:tc>
                      <w:tcPr>
                        <w:tcW w:w="1168" w:type="dxa"/>
                        <w:tcBorders>
                          <w:top w:val="single" w:sz="4" w:space="0" w:color="92D050"/>
                          <w:bottom w:val="single" w:sz="4" w:space="0" w:color="92D050"/>
                        </w:tcBorders>
                      </w:tcPr>
                      <w:p>
                        <w:pPr>
                          <w:pStyle w:val="TableParagraph"/>
                          <w:spacing w:before="123"/>
                          <w:ind w:left="244" w:right="277"/>
                          <w:rPr>
                            <w:sz w:val="18"/>
                          </w:rPr>
                        </w:pPr>
                        <w:r>
                          <w:rPr>
                            <w:w w:val="110"/>
                            <w:sz w:val="18"/>
                          </w:rPr>
                          <w:t>100.0%</w:t>
                        </w:r>
                      </w:p>
                    </w:tc>
                  </w:tr>
                  <w:tr>
                    <w:trPr>
                      <w:trHeight w:val="520" w:hRule="atLeast"/>
                    </w:trPr>
                    <w:tc>
                      <w:tcPr>
                        <w:tcW w:w="5153" w:type="dxa"/>
                        <w:tcBorders>
                          <w:top w:val="single" w:sz="4" w:space="0" w:color="92D050"/>
                          <w:bottom w:val="single" w:sz="4" w:space="0" w:color="92D050"/>
                        </w:tcBorders>
                      </w:tcPr>
                      <w:p>
                        <w:pPr>
                          <w:pStyle w:val="TableParagraph"/>
                          <w:tabs>
                            <w:tab w:pos="4486" w:val="left" w:leader="none"/>
                          </w:tabs>
                          <w:spacing w:before="123"/>
                          <w:ind w:left="914"/>
                          <w:jc w:val="left"/>
                          <w:rPr>
                            <w:sz w:val="18"/>
                          </w:rPr>
                        </w:pPr>
                        <w:r>
                          <w:rPr>
                            <w:sz w:val="18"/>
                          </w:rPr>
                          <w:t>Cumulative</w:t>
                        </w:r>
                        <w:r>
                          <w:rPr>
                            <w:spacing w:val="-22"/>
                            <w:sz w:val="18"/>
                          </w:rPr>
                          <w:t> </w:t>
                        </w:r>
                        <w:r>
                          <w:rPr>
                            <w:sz w:val="18"/>
                          </w:rPr>
                          <w:t>Absorption</w:t>
                        </w:r>
                        <w:r>
                          <w:rPr>
                            <w:spacing w:val="-21"/>
                            <w:sz w:val="18"/>
                          </w:rPr>
                          <w:t> </w:t>
                        </w:r>
                        <w:r>
                          <w:rPr>
                            <w:sz w:val="18"/>
                          </w:rPr>
                          <w:t>(sf)</w:t>
                          <w:tab/>
                        </w:r>
                        <w:r>
                          <w:rPr>
                            <w:position w:val="-2"/>
                            <w:sz w:val="18"/>
                          </w:rPr>
                          <w:t>-</w:t>
                        </w:r>
                      </w:p>
                    </w:tc>
                    <w:tc>
                      <w:tcPr>
                        <w:tcW w:w="1297" w:type="dxa"/>
                        <w:tcBorders>
                          <w:top w:val="single" w:sz="4" w:space="0" w:color="92D050"/>
                          <w:bottom w:val="single" w:sz="4" w:space="0" w:color="92D050"/>
                        </w:tcBorders>
                      </w:tcPr>
                      <w:p>
                        <w:pPr>
                          <w:pStyle w:val="TableParagraph"/>
                          <w:spacing w:before="157"/>
                          <w:ind w:left="56" w:right="92"/>
                          <w:rPr>
                            <w:sz w:val="18"/>
                          </w:rPr>
                        </w:pPr>
                        <w:r>
                          <w:rPr>
                            <w:w w:val="105"/>
                            <w:sz w:val="18"/>
                          </w:rPr>
                          <w:t>9,264</w:t>
                        </w:r>
                      </w:p>
                    </w:tc>
                    <w:tc>
                      <w:tcPr>
                        <w:tcW w:w="1387" w:type="dxa"/>
                        <w:tcBorders>
                          <w:top w:val="single" w:sz="4" w:space="0" w:color="92D050"/>
                          <w:bottom w:val="single" w:sz="4" w:space="0" w:color="92D050"/>
                        </w:tcBorders>
                      </w:tcPr>
                      <w:p>
                        <w:pPr>
                          <w:pStyle w:val="TableParagraph"/>
                          <w:spacing w:before="157"/>
                          <w:ind w:left="92" w:right="145"/>
                          <w:rPr>
                            <w:sz w:val="18"/>
                          </w:rPr>
                        </w:pPr>
                        <w:r>
                          <w:rPr>
                            <w:w w:val="110"/>
                            <w:sz w:val="18"/>
                          </w:rPr>
                          <w:t>15,149</w:t>
                        </w:r>
                      </w:p>
                    </w:tc>
                    <w:tc>
                      <w:tcPr>
                        <w:tcW w:w="1483" w:type="dxa"/>
                        <w:tcBorders>
                          <w:top w:val="single" w:sz="4" w:space="0" w:color="92D050"/>
                          <w:bottom w:val="single" w:sz="4" w:space="0" w:color="92D050"/>
                        </w:tcBorders>
                      </w:tcPr>
                      <w:p>
                        <w:pPr>
                          <w:pStyle w:val="TableParagraph"/>
                          <w:spacing w:before="157"/>
                          <w:ind w:left="145" w:right="188"/>
                          <w:rPr>
                            <w:sz w:val="18"/>
                          </w:rPr>
                        </w:pPr>
                        <w:r>
                          <w:rPr>
                            <w:w w:val="110"/>
                            <w:sz w:val="18"/>
                          </w:rPr>
                          <w:t>30,526</w:t>
                        </w:r>
                      </w:p>
                    </w:tc>
                    <w:tc>
                      <w:tcPr>
                        <w:tcW w:w="1168" w:type="dxa"/>
                        <w:tcBorders>
                          <w:top w:val="single" w:sz="4" w:space="0" w:color="92D050"/>
                          <w:bottom w:val="single" w:sz="4" w:space="0" w:color="92D050"/>
                        </w:tcBorders>
                      </w:tcPr>
                      <w:p>
                        <w:pPr>
                          <w:pStyle w:val="TableParagraph"/>
                          <w:spacing w:before="157"/>
                          <w:ind w:left="244" w:right="273"/>
                          <w:rPr>
                            <w:sz w:val="18"/>
                          </w:rPr>
                        </w:pPr>
                        <w:r>
                          <w:rPr>
                            <w:w w:val="110"/>
                            <w:sz w:val="18"/>
                          </w:rPr>
                          <w:t>30,526</w:t>
                        </w:r>
                      </w:p>
                    </w:tc>
                  </w:tr>
                </w:tbl>
                <w:p>
                  <w:pPr>
                    <w:pStyle w:val="BodyText"/>
                  </w:pPr>
                </w:p>
              </w:txbxContent>
            </v:textbox>
            <w10:wrap type="none"/>
          </v:shape>
        </w:pict>
      </w:r>
      <w:r>
        <w:rPr>
          <w:rFonts w:ascii="Verdana"/>
          <w:b/>
          <w:i/>
          <w:color w:val="FFFFFF"/>
          <w:spacing w:val="-1"/>
          <w:w w:val="72"/>
          <w:sz w:val="18"/>
        </w:rPr>
        <w:t>S</w:t>
      </w:r>
      <w:r>
        <w:rPr>
          <w:rFonts w:ascii="Verdana"/>
          <w:b/>
          <w:i/>
          <w:color w:val="FFFFFF"/>
          <w:spacing w:val="1"/>
          <w:w w:val="80"/>
          <w:sz w:val="18"/>
        </w:rPr>
        <w:t>c</w:t>
      </w:r>
      <w:r>
        <w:rPr>
          <w:rFonts w:ascii="Verdana"/>
          <w:b/>
          <w:i/>
          <w:color w:val="FFFFFF"/>
          <w:w w:val="85"/>
          <w:sz w:val="18"/>
        </w:rPr>
        <w:t>h</w:t>
      </w:r>
      <w:r>
        <w:rPr>
          <w:rFonts w:ascii="Verdana"/>
          <w:b/>
          <w:i/>
          <w:color w:val="FFFFFF"/>
          <w:w w:val="85"/>
          <w:sz w:val="18"/>
        </w:rPr>
        <w:t>e</w:t>
      </w:r>
      <w:r>
        <w:rPr>
          <w:rFonts w:ascii="Verdana"/>
          <w:b/>
          <w:i/>
          <w:color w:val="FFFFFF"/>
          <w:w w:val="85"/>
          <w:sz w:val="18"/>
        </w:rPr>
        <w:t>d</w:t>
      </w:r>
      <w:r>
        <w:rPr>
          <w:rFonts w:ascii="Verdana"/>
          <w:b/>
          <w:i/>
          <w:smallCaps/>
          <w:color w:val="FFFFFF"/>
          <w:spacing w:val="-1"/>
          <w:w w:val="93"/>
          <w:sz w:val="18"/>
        </w:rPr>
        <w:t>u</w:t>
      </w:r>
      <w:r>
        <w:rPr>
          <w:rFonts w:ascii="Verdana"/>
          <w:b/>
          <w:i/>
          <w:smallCaps w:val="0"/>
          <w:color w:val="FFFFFF"/>
          <w:w w:val="84"/>
          <w:sz w:val="18"/>
        </w:rPr>
        <w:t>le</w:t>
      </w: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spacing w:before="179"/>
        <w:ind w:left="120" w:right="0" w:firstLine="0"/>
        <w:jc w:val="left"/>
        <w:rPr>
          <w:i/>
          <w:sz w:val="16"/>
        </w:rPr>
      </w:pPr>
      <w:r>
        <w:rPr>
          <w:i/>
          <w:w w:val="105"/>
          <w:sz w:val="16"/>
        </w:rPr>
        <w:t>Source </w:t>
      </w:r>
      <w:r>
        <w:rPr>
          <w:i/>
          <w:w w:val="110"/>
          <w:sz w:val="16"/>
        </w:rPr>
        <w:t>– </w:t>
      </w:r>
      <w:r>
        <w:rPr>
          <w:i/>
          <w:w w:val="105"/>
          <w:sz w:val="16"/>
        </w:rPr>
        <w:t>Valuer Assessment</w:t>
      </w:r>
    </w:p>
    <w:p>
      <w:pPr>
        <w:pStyle w:val="BodyText"/>
        <w:spacing w:before="3"/>
        <w:rPr>
          <w:i/>
          <w:sz w:val="26"/>
        </w:rPr>
      </w:pPr>
    </w:p>
    <w:p>
      <w:pPr>
        <w:pStyle w:val="BodyText"/>
        <w:spacing w:line="321" w:lineRule="auto"/>
        <w:ind w:left="686" w:right="115"/>
        <w:jc w:val="both"/>
      </w:pPr>
      <w:r>
        <w:rPr/>
        <w:t>The valuation assumptions have been considered based on the Valuer’s assessment of the subject property</w:t>
      </w:r>
      <w:r>
        <w:rPr>
          <w:spacing w:val="-12"/>
        </w:rPr>
        <w:t> </w:t>
      </w:r>
      <w:r>
        <w:rPr/>
        <w:t>and</w:t>
      </w:r>
      <w:r>
        <w:rPr>
          <w:spacing w:val="-12"/>
        </w:rPr>
        <w:t> </w:t>
      </w:r>
      <w:r>
        <w:rPr/>
        <w:t>the</w:t>
      </w:r>
      <w:r>
        <w:rPr>
          <w:spacing w:val="-13"/>
        </w:rPr>
        <w:t> </w:t>
      </w:r>
      <w:r>
        <w:rPr/>
        <w:t>submarket.</w:t>
      </w:r>
      <w:r>
        <w:rPr>
          <w:spacing w:val="-13"/>
        </w:rPr>
        <w:t> </w:t>
      </w:r>
      <w:r>
        <w:rPr/>
        <w:t>Also,</w:t>
      </w:r>
      <w:r>
        <w:rPr>
          <w:spacing w:val="-12"/>
        </w:rPr>
        <w:t> </w:t>
      </w:r>
      <w:r>
        <w:rPr/>
        <w:t>revenue</w:t>
      </w:r>
      <w:r>
        <w:rPr>
          <w:spacing w:val="-13"/>
        </w:rPr>
        <w:t> </w:t>
      </w:r>
      <w:r>
        <w:rPr/>
        <w:t>assumptions,</w:t>
      </w:r>
      <w:r>
        <w:rPr>
          <w:spacing w:val="-12"/>
        </w:rPr>
        <w:t> </w:t>
      </w:r>
      <w:r>
        <w:rPr/>
        <w:t>absorption</w:t>
      </w:r>
      <w:r>
        <w:rPr>
          <w:spacing w:val="-13"/>
        </w:rPr>
        <w:t> </w:t>
      </w:r>
      <w:r>
        <w:rPr/>
        <w:t>period,</w:t>
      </w:r>
      <w:r>
        <w:rPr>
          <w:spacing w:val="-13"/>
        </w:rPr>
        <w:t> </w:t>
      </w:r>
      <w:r>
        <w:rPr/>
        <w:t>etc.</w:t>
      </w:r>
      <w:r>
        <w:rPr>
          <w:spacing w:val="-12"/>
        </w:rPr>
        <w:t> </w:t>
      </w:r>
      <w:r>
        <w:rPr/>
        <w:t>are</w:t>
      </w:r>
      <w:r>
        <w:rPr>
          <w:spacing w:val="-13"/>
        </w:rPr>
        <w:t> </w:t>
      </w:r>
      <w:r>
        <w:rPr/>
        <w:t>based</w:t>
      </w:r>
      <w:r>
        <w:rPr>
          <w:spacing w:val="-12"/>
        </w:rPr>
        <w:t> </w:t>
      </w:r>
      <w:r>
        <w:rPr/>
        <w:t>on</w:t>
      </w:r>
      <w:r>
        <w:rPr>
          <w:spacing w:val="-12"/>
        </w:rPr>
        <w:t> </w:t>
      </w:r>
      <w:r>
        <w:rPr/>
        <w:t>market benchmarks</w:t>
      </w:r>
      <w:r>
        <w:rPr>
          <w:spacing w:val="-6"/>
        </w:rPr>
        <w:t> </w:t>
      </w:r>
      <w:r>
        <w:rPr/>
        <w:t>and</w:t>
      </w:r>
      <w:r>
        <w:rPr>
          <w:spacing w:val="-7"/>
        </w:rPr>
        <w:t> </w:t>
      </w:r>
      <w:r>
        <w:rPr/>
        <w:t>extent</w:t>
      </w:r>
      <w:r>
        <w:rPr>
          <w:spacing w:val="-7"/>
        </w:rPr>
        <w:t> </w:t>
      </w:r>
      <w:r>
        <w:rPr/>
        <w:t>of</w:t>
      </w:r>
      <w:r>
        <w:rPr>
          <w:spacing w:val="-6"/>
        </w:rPr>
        <w:t> </w:t>
      </w:r>
      <w:r>
        <w:rPr/>
        <w:t>vacancy</w:t>
      </w:r>
      <w:r>
        <w:rPr>
          <w:spacing w:val="-5"/>
        </w:rPr>
        <w:t> </w:t>
      </w:r>
      <w:r>
        <w:rPr/>
        <w:t>in</w:t>
      </w:r>
      <w:r>
        <w:rPr>
          <w:spacing w:val="-8"/>
        </w:rPr>
        <w:t> </w:t>
      </w:r>
      <w:r>
        <w:rPr/>
        <w:t>the</w:t>
      </w:r>
      <w:r>
        <w:rPr>
          <w:spacing w:val="-7"/>
        </w:rPr>
        <w:t> </w:t>
      </w:r>
      <w:r>
        <w:rPr/>
        <w:t>submarket</w:t>
      </w:r>
      <w:r>
        <w:rPr>
          <w:spacing w:val="-7"/>
        </w:rPr>
        <w:t> </w:t>
      </w:r>
      <w:r>
        <w:rPr/>
        <w:t>and</w:t>
      </w:r>
      <w:r>
        <w:rPr>
          <w:spacing w:val="-6"/>
        </w:rPr>
        <w:t> </w:t>
      </w:r>
      <w:r>
        <w:rPr/>
        <w:t>competing</w:t>
      </w:r>
      <w:r>
        <w:rPr>
          <w:spacing w:val="-8"/>
        </w:rPr>
        <w:t> </w:t>
      </w:r>
      <w:r>
        <w:rPr/>
        <w:t>supply.</w:t>
      </w:r>
    </w:p>
    <w:p>
      <w:pPr>
        <w:pStyle w:val="BodyText"/>
        <w:spacing w:before="11"/>
        <w:rPr>
          <w:sz w:val="20"/>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94" w:id="185"/>
      <w:bookmarkEnd w:id="185"/>
      <w:r>
        <w:rPr/>
      </w:r>
      <w:bookmarkStart w:name="_bookmark94" w:id="186"/>
      <w:bookmarkEnd w:id="186"/>
      <w:r>
        <w:rPr>
          <w:color w:val="1F664D"/>
          <w:sz w:val="22"/>
        </w:rPr>
        <w:t>R</w:t>
      </w:r>
      <w:r>
        <w:rPr>
          <w:color w:val="1F664D"/>
          <w:sz w:val="22"/>
        </w:rPr>
        <w:t>evenue Assumptions</w:t>
      </w:r>
      <w:r>
        <w:rPr>
          <w:color w:val="1F664D"/>
          <w:spacing w:val="-3"/>
          <w:sz w:val="22"/>
        </w:rPr>
        <w:t> </w:t>
      </w:r>
      <w:r>
        <w:rPr>
          <w:color w:val="1F664D"/>
          <w:sz w:val="22"/>
        </w:rPr>
        <w:t>(Office)</w:t>
      </w:r>
    </w:p>
    <w:p>
      <w:pPr>
        <w:pStyle w:val="BodyText"/>
        <w:spacing w:before="6"/>
        <w:rPr>
          <w:sz w:val="25"/>
        </w:rPr>
      </w:pPr>
    </w:p>
    <w:p>
      <w:pPr>
        <w:pStyle w:val="ListParagraph"/>
        <w:numPr>
          <w:ilvl w:val="3"/>
          <w:numId w:val="38"/>
        </w:numPr>
        <w:tabs>
          <w:tab w:pos="985" w:val="left" w:leader="none"/>
        </w:tabs>
        <w:spacing w:line="240" w:lineRule="auto" w:before="0" w:after="0"/>
        <w:ind w:left="984" w:right="0" w:hanging="865"/>
        <w:jc w:val="left"/>
        <w:rPr>
          <w:i/>
          <w:sz w:val="20"/>
        </w:rPr>
      </w:pPr>
      <w:r>
        <w:rPr>
          <w:i/>
          <w:color w:val="008000"/>
          <w:sz w:val="20"/>
        </w:rPr>
        <w:t>Lease rent</w:t>
      </w:r>
      <w:r>
        <w:rPr>
          <w:i/>
          <w:color w:val="008000"/>
          <w:spacing w:val="-8"/>
          <w:sz w:val="20"/>
        </w:rPr>
        <w:t> </w:t>
      </w:r>
      <w:r>
        <w:rPr>
          <w:i/>
          <w:color w:val="008000"/>
          <w:sz w:val="20"/>
        </w:rPr>
        <w:t>assumptions</w:t>
      </w:r>
    </w:p>
    <w:p>
      <w:pPr>
        <w:pStyle w:val="BodyText"/>
        <w:spacing w:before="6"/>
        <w:rPr>
          <w:i/>
          <w:sz w:val="24"/>
        </w:rPr>
      </w:pPr>
    </w:p>
    <w:p>
      <w:pPr>
        <w:pStyle w:val="ListParagraph"/>
        <w:numPr>
          <w:ilvl w:val="4"/>
          <w:numId w:val="38"/>
        </w:numPr>
        <w:tabs>
          <w:tab w:pos="966" w:val="left" w:leader="none"/>
        </w:tabs>
        <w:spacing w:line="240" w:lineRule="auto" w:before="0" w:after="0"/>
        <w:ind w:left="965" w:right="0" w:hanging="846"/>
        <w:jc w:val="left"/>
        <w:rPr>
          <w:sz w:val="22"/>
        </w:rPr>
      </w:pPr>
      <w:r>
        <w:rPr>
          <w:color w:val="1F664D"/>
          <w:sz w:val="22"/>
        </w:rPr>
        <w:t>Office Component</w:t>
      </w:r>
    </w:p>
    <w:p>
      <w:pPr>
        <w:pStyle w:val="BodyText"/>
        <w:spacing w:before="4"/>
        <w:rPr>
          <w:sz w:val="25"/>
        </w:rPr>
      </w:pPr>
    </w:p>
    <w:p>
      <w:pPr>
        <w:pStyle w:val="BodyText"/>
        <w:spacing w:line="321" w:lineRule="auto"/>
        <w:ind w:left="682" w:right="114"/>
        <w:jc w:val="both"/>
      </w:pPr>
      <w:r>
        <w:rPr/>
        <w:t>For</w:t>
      </w:r>
      <w:r>
        <w:rPr>
          <w:spacing w:val="-17"/>
        </w:rPr>
        <w:t> </w:t>
      </w:r>
      <w:r>
        <w:rPr/>
        <w:t>this</w:t>
      </w:r>
      <w:r>
        <w:rPr>
          <w:spacing w:val="-16"/>
        </w:rPr>
        <w:t> </w:t>
      </w:r>
      <w:r>
        <w:rPr/>
        <w:t>valuation</w:t>
      </w:r>
      <w:r>
        <w:rPr>
          <w:spacing w:val="-17"/>
        </w:rPr>
        <w:t> </w:t>
      </w:r>
      <w:r>
        <w:rPr/>
        <w:t>exercise,</w:t>
      </w:r>
      <w:r>
        <w:rPr>
          <w:spacing w:val="-17"/>
        </w:rPr>
        <w:t> </w:t>
      </w:r>
      <w:r>
        <w:rPr/>
        <w:t>the</w:t>
      </w:r>
      <w:r>
        <w:rPr>
          <w:spacing w:val="-16"/>
        </w:rPr>
        <w:t> </w:t>
      </w:r>
      <w:r>
        <w:rPr/>
        <w:t>lease</w:t>
      </w:r>
      <w:r>
        <w:rPr>
          <w:spacing w:val="-17"/>
        </w:rPr>
        <w:t> </w:t>
      </w:r>
      <w:r>
        <w:rPr/>
        <w:t>rent</w:t>
      </w:r>
      <w:r>
        <w:rPr>
          <w:spacing w:val="-17"/>
        </w:rPr>
        <w:t> </w:t>
      </w:r>
      <w:r>
        <w:rPr/>
        <w:t>adopted</w:t>
      </w:r>
      <w:r>
        <w:rPr>
          <w:spacing w:val="-17"/>
        </w:rPr>
        <w:t> </w:t>
      </w:r>
      <w:r>
        <w:rPr/>
        <w:t>for</w:t>
      </w:r>
      <w:r>
        <w:rPr>
          <w:spacing w:val="-17"/>
        </w:rPr>
        <w:t> </w:t>
      </w:r>
      <w:r>
        <w:rPr/>
        <w:t>the</w:t>
      </w:r>
      <w:r>
        <w:rPr>
          <w:spacing w:val="-16"/>
        </w:rPr>
        <w:t> </w:t>
      </w:r>
      <w:r>
        <w:rPr/>
        <w:t>area</w:t>
      </w:r>
      <w:r>
        <w:rPr>
          <w:spacing w:val="-17"/>
        </w:rPr>
        <w:t> </w:t>
      </w:r>
      <w:r>
        <w:rPr/>
        <w:t>already</w:t>
      </w:r>
      <w:r>
        <w:rPr>
          <w:spacing w:val="-16"/>
        </w:rPr>
        <w:t> </w:t>
      </w:r>
      <w:r>
        <w:rPr/>
        <w:t>leased</w:t>
      </w:r>
      <w:r>
        <w:rPr>
          <w:spacing w:val="-16"/>
        </w:rPr>
        <w:t> </w:t>
      </w:r>
      <w:r>
        <w:rPr/>
        <w:t>is</w:t>
      </w:r>
      <w:r>
        <w:rPr>
          <w:spacing w:val="-16"/>
        </w:rPr>
        <w:t> </w:t>
      </w:r>
      <w:r>
        <w:rPr/>
        <w:t>based</w:t>
      </w:r>
      <w:r>
        <w:rPr>
          <w:spacing w:val="-16"/>
        </w:rPr>
        <w:t> </w:t>
      </w:r>
      <w:r>
        <w:rPr/>
        <w:t>on</w:t>
      </w:r>
      <w:r>
        <w:rPr>
          <w:spacing w:val="-16"/>
        </w:rPr>
        <w:t> </w:t>
      </w:r>
      <w:r>
        <w:rPr/>
        <w:t>the</w:t>
      </w:r>
      <w:r>
        <w:rPr>
          <w:spacing w:val="-17"/>
        </w:rPr>
        <w:t> </w:t>
      </w:r>
      <w:r>
        <w:rPr/>
        <w:t>rent</w:t>
      </w:r>
      <w:r>
        <w:rPr>
          <w:spacing w:val="-18"/>
        </w:rPr>
        <w:t> </w:t>
      </w:r>
      <w:r>
        <w:rPr/>
        <w:t>roll shared</w:t>
      </w:r>
      <w:r>
        <w:rPr>
          <w:spacing w:val="-30"/>
        </w:rPr>
        <w:t> </w:t>
      </w:r>
      <w:r>
        <w:rPr/>
        <w:t>by</w:t>
      </w:r>
      <w:r>
        <w:rPr>
          <w:spacing w:val="-29"/>
        </w:rPr>
        <w:t> </w:t>
      </w:r>
      <w:r>
        <w:rPr/>
        <w:t>the</w:t>
      </w:r>
      <w:r>
        <w:rPr>
          <w:spacing w:val="-30"/>
        </w:rPr>
        <w:t> </w:t>
      </w:r>
      <w:r>
        <w:rPr/>
        <w:t>Client.</w:t>
      </w:r>
      <w:r>
        <w:rPr>
          <w:spacing w:val="-30"/>
        </w:rPr>
        <w:t> </w:t>
      </w:r>
      <w:r>
        <w:rPr/>
        <w:t>Further,</w:t>
      </w:r>
      <w:r>
        <w:rPr>
          <w:spacing w:val="-29"/>
        </w:rPr>
        <w:t> </w:t>
      </w:r>
      <w:r>
        <w:rPr/>
        <w:t>the</w:t>
      </w:r>
      <w:r>
        <w:rPr>
          <w:spacing w:val="-30"/>
        </w:rPr>
        <w:t> </w:t>
      </w:r>
      <w:r>
        <w:rPr/>
        <w:t>Valuer</w:t>
      </w:r>
      <w:r>
        <w:rPr>
          <w:spacing w:val="-29"/>
        </w:rPr>
        <w:t> </w:t>
      </w:r>
      <w:r>
        <w:rPr/>
        <w:t>has</w:t>
      </w:r>
      <w:r>
        <w:rPr>
          <w:spacing w:val="-29"/>
        </w:rPr>
        <w:t> </w:t>
      </w:r>
      <w:r>
        <w:rPr/>
        <w:t>undertaken</w:t>
      </w:r>
      <w:r>
        <w:rPr>
          <w:spacing w:val="-30"/>
        </w:rPr>
        <w:t> </w:t>
      </w:r>
      <w:r>
        <w:rPr/>
        <w:t>an</w:t>
      </w:r>
      <w:r>
        <w:rPr>
          <w:spacing w:val="-31"/>
        </w:rPr>
        <w:t> </w:t>
      </w:r>
      <w:r>
        <w:rPr/>
        <w:t>in-depth</w:t>
      </w:r>
      <w:r>
        <w:rPr>
          <w:spacing w:val="-29"/>
        </w:rPr>
        <w:t> </w:t>
      </w:r>
      <w:r>
        <w:rPr/>
        <w:t>market</w:t>
      </w:r>
      <w:r>
        <w:rPr>
          <w:spacing w:val="-31"/>
        </w:rPr>
        <w:t> </w:t>
      </w:r>
      <w:r>
        <w:rPr/>
        <w:t>research</w:t>
      </w:r>
      <w:r>
        <w:rPr>
          <w:spacing w:val="-30"/>
        </w:rPr>
        <w:t> </w:t>
      </w:r>
      <w:r>
        <w:rPr/>
        <w:t>exercise</w:t>
      </w:r>
      <w:r>
        <w:rPr>
          <w:spacing w:val="-30"/>
        </w:rPr>
        <w:t> </w:t>
      </w:r>
      <w:r>
        <w:rPr/>
        <w:t>to</w:t>
      </w:r>
      <w:r>
        <w:rPr>
          <w:spacing w:val="-30"/>
        </w:rPr>
        <w:t> </w:t>
      </w:r>
      <w:r>
        <w:rPr/>
        <w:t>assess the</w:t>
      </w:r>
      <w:r>
        <w:rPr>
          <w:spacing w:val="-32"/>
        </w:rPr>
        <w:t> </w:t>
      </w:r>
      <w:r>
        <w:rPr/>
        <w:t>prevailing</w:t>
      </w:r>
      <w:r>
        <w:rPr>
          <w:spacing w:val="-30"/>
        </w:rPr>
        <w:t> </w:t>
      </w:r>
      <w:r>
        <w:rPr/>
        <w:t>rent</w:t>
      </w:r>
      <w:r>
        <w:rPr>
          <w:spacing w:val="-31"/>
        </w:rPr>
        <w:t> </w:t>
      </w:r>
      <w:r>
        <w:rPr/>
        <w:t>values</w:t>
      </w:r>
      <w:r>
        <w:rPr>
          <w:spacing w:val="-28"/>
        </w:rPr>
        <w:t> </w:t>
      </w:r>
      <w:r>
        <w:rPr/>
        <w:t>in</w:t>
      </w:r>
      <w:r>
        <w:rPr>
          <w:spacing w:val="-31"/>
        </w:rPr>
        <w:t> </w:t>
      </w:r>
      <w:r>
        <w:rPr/>
        <w:t>the</w:t>
      </w:r>
      <w:r>
        <w:rPr>
          <w:spacing w:val="-32"/>
        </w:rPr>
        <w:t> </w:t>
      </w:r>
      <w:r>
        <w:rPr/>
        <w:t>subject</w:t>
      </w:r>
      <w:r>
        <w:rPr>
          <w:spacing w:val="-30"/>
        </w:rPr>
        <w:t> </w:t>
      </w:r>
      <w:r>
        <w:rPr/>
        <w:t>submarket.</w:t>
      </w:r>
      <w:r>
        <w:rPr>
          <w:spacing w:val="-30"/>
        </w:rPr>
        <w:t> </w:t>
      </w:r>
      <w:r>
        <w:rPr/>
        <w:t>The</w:t>
      </w:r>
      <w:r>
        <w:rPr>
          <w:spacing w:val="-32"/>
        </w:rPr>
        <w:t> </w:t>
      </w:r>
      <w:r>
        <w:rPr/>
        <w:t>same</w:t>
      </w:r>
      <w:r>
        <w:rPr>
          <w:spacing w:val="-30"/>
        </w:rPr>
        <w:t> </w:t>
      </w:r>
      <w:r>
        <w:rPr/>
        <w:t>has</w:t>
      </w:r>
      <w:r>
        <w:rPr>
          <w:spacing w:val="-32"/>
        </w:rPr>
        <w:t> </w:t>
      </w:r>
      <w:r>
        <w:rPr/>
        <w:t>been</w:t>
      </w:r>
      <w:r>
        <w:rPr>
          <w:spacing w:val="-30"/>
        </w:rPr>
        <w:t> </w:t>
      </w:r>
      <w:r>
        <w:rPr/>
        <w:t>adopted</w:t>
      </w:r>
      <w:r>
        <w:rPr>
          <w:spacing w:val="-31"/>
        </w:rPr>
        <w:t> </w:t>
      </w:r>
      <w:r>
        <w:rPr/>
        <w:t>for</w:t>
      </w:r>
      <w:r>
        <w:rPr>
          <w:spacing w:val="-30"/>
        </w:rPr>
        <w:t> </w:t>
      </w:r>
      <w:r>
        <w:rPr/>
        <w:t>the</w:t>
      </w:r>
      <w:r>
        <w:rPr>
          <w:spacing w:val="-32"/>
        </w:rPr>
        <w:t> </w:t>
      </w:r>
      <w:r>
        <w:rPr/>
        <w:t>vacant</w:t>
      </w:r>
      <w:r>
        <w:rPr>
          <w:spacing w:val="-30"/>
        </w:rPr>
        <w:t> </w:t>
      </w:r>
      <w:r>
        <w:rPr/>
        <w:t>space</w:t>
      </w:r>
      <w:r>
        <w:rPr>
          <w:spacing w:val="-31"/>
        </w:rPr>
        <w:t> </w:t>
      </w:r>
      <w:r>
        <w:rPr/>
        <w:t>for the purpose of this valuation</w:t>
      </w:r>
      <w:r>
        <w:rPr>
          <w:spacing w:val="-20"/>
        </w:rPr>
        <w:t> </w:t>
      </w:r>
      <w:r>
        <w:rPr/>
        <w:t>exercise.</w:t>
      </w:r>
    </w:p>
    <w:p>
      <w:pPr>
        <w:pStyle w:val="BodyText"/>
        <w:rPr>
          <w:sz w:val="21"/>
        </w:rPr>
      </w:pPr>
    </w:p>
    <w:p>
      <w:pPr>
        <w:pStyle w:val="BodyText"/>
        <w:spacing w:line="319" w:lineRule="auto"/>
        <w:ind w:left="682" w:right="125"/>
        <w:jc w:val="both"/>
      </w:pPr>
      <w:r>
        <w:rPr/>
        <w:t>Based</w:t>
      </w:r>
      <w:r>
        <w:rPr>
          <w:spacing w:val="-13"/>
        </w:rPr>
        <w:t> </w:t>
      </w:r>
      <w:r>
        <w:rPr/>
        <w:t>on</w:t>
      </w:r>
      <w:r>
        <w:rPr>
          <w:spacing w:val="-11"/>
        </w:rPr>
        <w:t> </w:t>
      </w:r>
      <w:r>
        <w:rPr/>
        <w:t>our</w:t>
      </w:r>
      <w:r>
        <w:rPr>
          <w:spacing w:val="-12"/>
        </w:rPr>
        <w:t> </w:t>
      </w:r>
      <w:r>
        <w:rPr/>
        <w:t>market</w:t>
      </w:r>
      <w:r>
        <w:rPr>
          <w:spacing w:val="-11"/>
        </w:rPr>
        <w:t> </w:t>
      </w:r>
      <w:r>
        <w:rPr/>
        <w:t>study</w:t>
      </w:r>
      <w:r>
        <w:rPr>
          <w:spacing w:val="-10"/>
        </w:rPr>
        <w:t> </w:t>
      </w:r>
      <w:r>
        <w:rPr/>
        <w:t>and</w:t>
      </w:r>
      <w:r>
        <w:rPr>
          <w:spacing w:val="-11"/>
        </w:rPr>
        <w:t> </w:t>
      </w:r>
      <w:r>
        <w:rPr/>
        <w:t>based</w:t>
      </w:r>
      <w:r>
        <w:rPr>
          <w:spacing w:val="-10"/>
        </w:rPr>
        <w:t> </w:t>
      </w:r>
      <w:r>
        <w:rPr/>
        <w:t>on</w:t>
      </w:r>
      <w:r>
        <w:rPr>
          <w:spacing w:val="-14"/>
        </w:rPr>
        <w:t> </w:t>
      </w:r>
      <w:r>
        <w:rPr/>
        <w:t>the</w:t>
      </w:r>
      <w:r>
        <w:rPr>
          <w:spacing w:val="-12"/>
        </w:rPr>
        <w:t> </w:t>
      </w:r>
      <w:r>
        <w:rPr/>
        <w:t>analysis</w:t>
      </w:r>
      <w:r>
        <w:rPr>
          <w:spacing w:val="-12"/>
        </w:rPr>
        <w:t> </w:t>
      </w:r>
      <w:r>
        <w:rPr/>
        <w:t>of</w:t>
      </w:r>
      <w:r>
        <w:rPr>
          <w:spacing w:val="-11"/>
        </w:rPr>
        <w:t> </w:t>
      </w:r>
      <w:r>
        <w:rPr/>
        <w:t>the</w:t>
      </w:r>
      <w:r>
        <w:rPr>
          <w:spacing w:val="-11"/>
        </w:rPr>
        <w:t> </w:t>
      </w:r>
      <w:r>
        <w:rPr/>
        <w:t>rent</w:t>
      </w:r>
      <w:r>
        <w:rPr>
          <w:spacing w:val="-12"/>
        </w:rPr>
        <w:t> </w:t>
      </w:r>
      <w:r>
        <w:rPr/>
        <w:t>roll</w:t>
      </w:r>
      <w:r>
        <w:rPr>
          <w:spacing w:val="-12"/>
        </w:rPr>
        <w:t> </w:t>
      </w:r>
      <w:r>
        <w:rPr/>
        <w:t>provided</w:t>
      </w:r>
      <w:r>
        <w:rPr>
          <w:spacing w:val="-11"/>
        </w:rPr>
        <w:t> </w:t>
      </w:r>
      <w:r>
        <w:rPr/>
        <w:t>by</w:t>
      </w:r>
      <w:r>
        <w:rPr>
          <w:spacing w:val="-10"/>
        </w:rPr>
        <w:t> </w:t>
      </w:r>
      <w:r>
        <w:rPr/>
        <w:t>the</w:t>
      </w:r>
      <w:r>
        <w:rPr>
          <w:spacing w:val="-14"/>
        </w:rPr>
        <w:t> </w:t>
      </w:r>
      <w:r>
        <w:rPr/>
        <w:t>Client,</w:t>
      </w:r>
      <w:r>
        <w:rPr>
          <w:spacing w:val="-11"/>
        </w:rPr>
        <w:t> </w:t>
      </w:r>
      <w:r>
        <w:rPr/>
        <w:t>following rents</w:t>
      </w:r>
      <w:r>
        <w:rPr>
          <w:spacing w:val="-11"/>
        </w:rPr>
        <w:t> </w:t>
      </w:r>
      <w:r>
        <w:rPr/>
        <w:t>have</w:t>
      </w:r>
      <w:r>
        <w:rPr>
          <w:spacing w:val="-11"/>
        </w:rPr>
        <w:t> </w:t>
      </w:r>
      <w:r>
        <w:rPr/>
        <w:t>been</w:t>
      </w:r>
      <w:r>
        <w:rPr>
          <w:spacing w:val="-12"/>
        </w:rPr>
        <w:t> </w:t>
      </w:r>
      <w:r>
        <w:rPr/>
        <w:t>adopted</w:t>
      </w:r>
      <w:r>
        <w:rPr>
          <w:spacing w:val="-13"/>
        </w:rPr>
        <w:t> </w:t>
      </w:r>
      <w:r>
        <w:rPr/>
        <w:t>for</w:t>
      </w:r>
      <w:r>
        <w:rPr>
          <w:spacing w:val="-11"/>
        </w:rPr>
        <w:t> </w:t>
      </w:r>
      <w:r>
        <w:rPr/>
        <w:t>the</w:t>
      </w:r>
      <w:r>
        <w:rPr>
          <w:spacing w:val="-12"/>
        </w:rPr>
        <w:t> </w:t>
      </w:r>
      <w:r>
        <w:rPr/>
        <w:t>purpose</w:t>
      </w:r>
      <w:r>
        <w:rPr>
          <w:spacing w:val="-11"/>
        </w:rPr>
        <w:t> </w:t>
      </w:r>
      <w:r>
        <w:rPr/>
        <w:t>of</w:t>
      </w:r>
      <w:r>
        <w:rPr>
          <w:spacing w:val="-10"/>
        </w:rPr>
        <w:t> </w:t>
      </w:r>
      <w:r>
        <w:rPr/>
        <w:t>value</w:t>
      </w:r>
      <w:r>
        <w:rPr>
          <w:spacing w:val="-11"/>
        </w:rPr>
        <w:t> </w:t>
      </w:r>
      <w:r>
        <w:rPr/>
        <w:t>assessment</w:t>
      </w:r>
      <w:r>
        <w:rPr>
          <w:spacing w:val="-12"/>
        </w:rPr>
        <w:t> </w:t>
      </w:r>
      <w:r>
        <w:rPr/>
        <w:t>of</w:t>
      </w:r>
      <w:r>
        <w:rPr>
          <w:spacing w:val="-9"/>
        </w:rPr>
        <w:t> </w:t>
      </w:r>
      <w:r>
        <w:rPr/>
        <w:t>the</w:t>
      </w:r>
      <w:r>
        <w:rPr>
          <w:spacing w:val="-14"/>
        </w:rPr>
        <w:t> </w:t>
      </w:r>
      <w:r>
        <w:rPr/>
        <w:t>subject</w:t>
      </w:r>
      <w:r>
        <w:rPr>
          <w:spacing w:val="-12"/>
        </w:rPr>
        <w:t> </w:t>
      </w:r>
      <w:r>
        <w:rPr/>
        <w:t>property.</w:t>
      </w:r>
    </w:p>
    <w:p>
      <w:pPr>
        <w:pStyle w:val="BodyText"/>
        <w:spacing w:before="8"/>
        <w:rPr>
          <w:sz w:val="20"/>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3"/>
        <w:gridCol w:w="1903"/>
        <w:gridCol w:w="1368"/>
        <w:gridCol w:w="3282"/>
        <w:gridCol w:w="2295"/>
      </w:tblGrid>
      <w:tr>
        <w:trPr>
          <w:trHeight w:val="431" w:hRule="atLeast"/>
        </w:trPr>
        <w:tc>
          <w:tcPr>
            <w:tcW w:w="1623" w:type="dxa"/>
            <w:tcBorders>
              <w:top w:val="single" w:sz="4" w:space="0" w:color="69BD28"/>
              <w:bottom w:val="single" w:sz="4" w:space="0" w:color="69BD28"/>
            </w:tcBorders>
            <w:shd w:val="clear" w:color="auto" w:fill="006A4D"/>
          </w:tcPr>
          <w:p>
            <w:pPr>
              <w:pStyle w:val="TableParagraph"/>
              <w:spacing w:before="111"/>
              <w:ind w:left="288" w:right="286"/>
              <w:rPr>
                <w:b/>
                <w:sz w:val="18"/>
              </w:rPr>
            </w:pPr>
            <w:r>
              <w:rPr>
                <w:b/>
                <w:color w:val="FFFFFF"/>
                <w:w w:val="105"/>
                <w:sz w:val="18"/>
              </w:rPr>
              <w:t>Component</w:t>
            </w:r>
          </w:p>
        </w:tc>
        <w:tc>
          <w:tcPr>
            <w:tcW w:w="1903" w:type="dxa"/>
            <w:tcBorders>
              <w:top w:val="single" w:sz="4" w:space="0" w:color="69BD28"/>
              <w:bottom w:val="single" w:sz="4" w:space="0" w:color="69BD28"/>
            </w:tcBorders>
            <w:shd w:val="clear" w:color="auto" w:fill="006A4D"/>
          </w:tcPr>
          <w:p>
            <w:pPr>
              <w:pStyle w:val="TableParagraph"/>
              <w:spacing w:line="216" w:lineRule="exact"/>
              <w:ind w:left="119" w:firstLine="336"/>
              <w:jc w:val="left"/>
              <w:rPr>
                <w:b/>
                <w:sz w:val="18"/>
              </w:rPr>
            </w:pPr>
            <w:r>
              <w:rPr>
                <w:b/>
                <w:color w:val="FFFFFF"/>
                <w:w w:val="105"/>
                <w:sz w:val="18"/>
              </w:rPr>
              <w:t>Completed Leasable Area (sf)</w:t>
            </w:r>
          </w:p>
        </w:tc>
        <w:tc>
          <w:tcPr>
            <w:tcW w:w="1368" w:type="dxa"/>
            <w:tcBorders>
              <w:top w:val="single" w:sz="4" w:space="0" w:color="69BD28"/>
              <w:bottom w:val="single" w:sz="4" w:space="0" w:color="69BD28"/>
            </w:tcBorders>
            <w:shd w:val="clear" w:color="auto" w:fill="006A4D"/>
          </w:tcPr>
          <w:p>
            <w:pPr>
              <w:pStyle w:val="TableParagraph"/>
              <w:spacing w:line="216" w:lineRule="exact"/>
              <w:ind w:left="564" w:right="82" w:hanging="430"/>
              <w:jc w:val="left"/>
              <w:rPr>
                <w:b/>
                <w:sz w:val="18"/>
              </w:rPr>
            </w:pPr>
            <w:r>
              <w:rPr>
                <w:b/>
                <w:color w:val="FFFFFF"/>
                <w:w w:val="110"/>
                <w:sz w:val="18"/>
              </w:rPr>
              <w:t>Leased Area (sf)</w:t>
            </w:r>
          </w:p>
        </w:tc>
        <w:tc>
          <w:tcPr>
            <w:tcW w:w="3282" w:type="dxa"/>
            <w:tcBorders>
              <w:top w:val="single" w:sz="4" w:space="0" w:color="69BD28"/>
              <w:bottom w:val="single" w:sz="4" w:space="0" w:color="69BD28"/>
            </w:tcBorders>
            <w:shd w:val="clear" w:color="auto" w:fill="006A4D"/>
          </w:tcPr>
          <w:p>
            <w:pPr>
              <w:pStyle w:val="TableParagraph"/>
              <w:spacing w:before="111"/>
              <w:ind w:left="10" w:right="100"/>
              <w:rPr>
                <w:b/>
                <w:sz w:val="18"/>
              </w:rPr>
            </w:pPr>
            <w:r>
              <w:rPr>
                <w:b/>
                <w:color w:val="FFFFFF"/>
                <w:w w:val="115"/>
                <w:sz w:val="18"/>
              </w:rPr>
              <w:t>Basis</w:t>
            </w:r>
          </w:p>
        </w:tc>
        <w:tc>
          <w:tcPr>
            <w:tcW w:w="2295" w:type="dxa"/>
            <w:tcBorders>
              <w:top w:val="single" w:sz="4" w:space="0" w:color="69BD28"/>
              <w:bottom w:val="single" w:sz="4" w:space="0" w:color="69BD28"/>
            </w:tcBorders>
            <w:shd w:val="clear" w:color="auto" w:fill="006A4D"/>
          </w:tcPr>
          <w:p>
            <w:pPr>
              <w:pStyle w:val="TableParagraph"/>
              <w:spacing w:line="216" w:lineRule="exact"/>
              <w:ind w:left="393" w:right="517" w:firstLine="14"/>
              <w:jc w:val="left"/>
              <w:rPr>
                <w:b/>
                <w:sz w:val="18"/>
              </w:rPr>
            </w:pPr>
            <w:r>
              <w:rPr>
                <w:b/>
                <w:color w:val="FFFFFF"/>
                <w:w w:val="110"/>
                <w:sz w:val="18"/>
              </w:rPr>
              <w:t>Rent Adopted* (INR/sf/month)</w:t>
            </w:r>
          </w:p>
        </w:tc>
      </w:tr>
      <w:tr>
        <w:trPr>
          <w:trHeight w:val="602" w:hRule="atLeast"/>
        </w:trPr>
        <w:tc>
          <w:tcPr>
            <w:tcW w:w="1623" w:type="dxa"/>
            <w:shd w:val="clear" w:color="auto" w:fill="69BD28"/>
          </w:tcPr>
          <w:p>
            <w:pPr>
              <w:pStyle w:val="TableParagraph"/>
              <w:spacing w:before="197"/>
              <w:ind w:left="286" w:right="286"/>
              <w:rPr>
                <w:b/>
                <w:sz w:val="18"/>
              </w:rPr>
            </w:pPr>
            <w:r>
              <w:rPr>
                <w:b/>
                <w:color w:val="FFFFFF"/>
                <w:w w:val="105"/>
                <w:sz w:val="18"/>
              </w:rPr>
              <w:t>Office</w:t>
            </w:r>
          </w:p>
        </w:tc>
        <w:tc>
          <w:tcPr>
            <w:tcW w:w="1903" w:type="dxa"/>
            <w:tcBorders>
              <w:top w:val="single" w:sz="4" w:space="0" w:color="69BD28"/>
              <w:bottom w:val="single" w:sz="4" w:space="0" w:color="69BD28"/>
            </w:tcBorders>
          </w:tcPr>
          <w:p>
            <w:pPr>
              <w:pStyle w:val="TableParagraph"/>
              <w:spacing w:before="197"/>
              <w:ind w:left="597"/>
              <w:jc w:val="left"/>
              <w:rPr>
                <w:sz w:val="18"/>
              </w:rPr>
            </w:pPr>
            <w:r>
              <w:rPr>
                <w:w w:val="110"/>
                <w:sz w:val="18"/>
              </w:rPr>
              <w:t>472,377</w:t>
            </w:r>
          </w:p>
        </w:tc>
        <w:tc>
          <w:tcPr>
            <w:tcW w:w="1368" w:type="dxa"/>
            <w:tcBorders>
              <w:top w:val="single" w:sz="4" w:space="0" w:color="69BD28"/>
              <w:bottom w:val="single" w:sz="4" w:space="0" w:color="69BD28"/>
            </w:tcBorders>
          </w:tcPr>
          <w:p>
            <w:pPr>
              <w:pStyle w:val="TableParagraph"/>
              <w:spacing w:before="197"/>
              <w:ind w:left="358"/>
              <w:jc w:val="left"/>
              <w:rPr>
                <w:sz w:val="18"/>
              </w:rPr>
            </w:pPr>
            <w:r>
              <w:rPr>
                <w:w w:val="110"/>
                <w:sz w:val="18"/>
              </w:rPr>
              <w:t>441,851</w:t>
            </w:r>
          </w:p>
        </w:tc>
        <w:tc>
          <w:tcPr>
            <w:tcW w:w="3282" w:type="dxa"/>
            <w:tcBorders>
              <w:top w:val="single" w:sz="4" w:space="0" w:color="69BD28"/>
              <w:bottom w:val="single" w:sz="4" w:space="0" w:color="69BD28"/>
            </w:tcBorders>
          </w:tcPr>
          <w:p>
            <w:pPr>
              <w:pStyle w:val="TableParagraph"/>
              <w:spacing w:before="46"/>
              <w:ind w:left="10" w:right="103"/>
              <w:rPr>
                <w:sz w:val="18"/>
              </w:rPr>
            </w:pPr>
            <w:r>
              <w:rPr>
                <w:sz w:val="18"/>
              </w:rPr>
              <w:t>Current Rent for Leased area</w:t>
            </w:r>
          </w:p>
          <w:p>
            <w:pPr>
              <w:pStyle w:val="TableParagraph"/>
              <w:spacing w:before="96"/>
              <w:ind w:left="10" w:right="106"/>
              <w:rPr>
                <w:sz w:val="18"/>
              </w:rPr>
            </w:pPr>
            <w:r>
              <w:rPr>
                <w:sz w:val="18"/>
              </w:rPr>
              <w:t>Market rent for reversion/ vacant area</w:t>
            </w:r>
          </w:p>
        </w:tc>
        <w:tc>
          <w:tcPr>
            <w:tcW w:w="2295" w:type="dxa"/>
            <w:tcBorders>
              <w:top w:val="single" w:sz="4" w:space="0" w:color="69BD28"/>
              <w:bottom w:val="single" w:sz="4" w:space="0" w:color="69BD28"/>
            </w:tcBorders>
          </w:tcPr>
          <w:p>
            <w:pPr>
              <w:pStyle w:val="TableParagraph"/>
              <w:spacing w:line="292" w:lineRule="auto" w:before="70"/>
              <w:ind w:left="269" w:right="327" w:hanging="75"/>
              <w:jc w:val="left"/>
              <w:rPr>
                <w:sz w:val="18"/>
              </w:rPr>
            </w:pPr>
            <w:r>
              <w:rPr>
                <w:w w:val="105"/>
                <w:sz w:val="18"/>
              </w:rPr>
              <w:t>In</w:t>
            </w:r>
            <w:r>
              <w:rPr>
                <w:spacing w:val="-25"/>
                <w:w w:val="105"/>
                <w:sz w:val="18"/>
              </w:rPr>
              <w:t> </w:t>
            </w:r>
            <w:r>
              <w:rPr>
                <w:w w:val="105"/>
                <w:sz w:val="18"/>
              </w:rPr>
              <w:t>Place</w:t>
            </w:r>
            <w:r>
              <w:rPr>
                <w:spacing w:val="-24"/>
                <w:w w:val="105"/>
                <w:sz w:val="18"/>
              </w:rPr>
              <w:t> </w:t>
            </w:r>
            <w:r>
              <w:rPr>
                <w:w w:val="105"/>
                <w:sz w:val="18"/>
              </w:rPr>
              <w:t>Rent</w:t>
            </w:r>
            <w:r>
              <w:rPr>
                <w:spacing w:val="-25"/>
                <w:w w:val="105"/>
                <w:sz w:val="18"/>
              </w:rPr>
              <w:t> </w:t>
            </w:r>
            <w:r>
              <w:rPr>
                <w:w w:val="105"/>
                <w:sz w:val="18"/>
              </w:rPr>
              <w:t>-</w:t>
            </w:r>
            <w:r>
              <w:rPr>
                <w:spacing w:val="-25"/>
                <w:w w:val="105"/>
                <w:sz w:val="18"/>
              </w:rPr>
              <w:t> </w:t>
            </w:r>
            <w:r>
              <w:rPr>
                <w:w w:val="110"/>
                <w:sz w:val="18"/>
              </w:rPr>
              <w:t>256.2</w:t>
            </w:r>
            <w:r>
              <w:rPr>
                <w:w w:val="110"/>
                <w:position w:val="6"/>
                <w:sz w:val="11"/>
              </w:rPr>
              <w:t>^ </w:t>
            </w:r>
            <w:r>
              <w:rPr>
                <w:w w:val="105"/>
                <w:sz w:val="18"/>
              </w:rPr>
              <w:t>Market</w:t>
            </w:r>
            <w:r>
              <w:rPr>
                <w:spacing w:val="-20"/>
                <w:w w:val="105"/>
                <w:sz w:val="18"/>
              </w:rPr>
              <w:t> </w:t>
            </w:r>
            <w:r>
              <w:rPr>
                <w:w w:val="105"/>
                <w:sz w:val="18"/>
              </w:rPr>
              <w:t>Rent</w:t>
            </w:r>
            <w:r>
              <w:rPr>
                <w:spacing w:val="-18"/>
                <w:w w:val="105"/>
                <w:sz w:val="18"/>
              </w:rPr>
              <w:t> </w:t>
            </w:r>
            <w:r>
              <w:rPr>
                <w:w w:val="105"/>
                <w:sz w:val="18"/>
              </w:rPr>
              <w:t>–</w:t>
            </w:r>
            <w:r>
              <w:rPr>
                <w:spacing w:val="-18"/>
                <w:w w:val="105"/>
                <w:sz w:val="18"/>
              </w:rPr>
              <w:t> </w:t>
            </w:r>
            <w:r>
              <w:rPr>
                <w:w w:val="105"/>
                <w:sz w:val="18"/>
              </w:rPr>
              <w:t>270.0</w:t>
            </w:r>
          </w:p>
        </w:tc>
      </w:tr>
    </w:tbl>
    <w:p>
      <w:pPr>
        <w:spacing w:before="3"/>
        <w:ind w:left="120" w:right="0" w:firstLine="0"/>
        <w:jc w:val="left"/>
        <w:rPr>
          <w:i/>
          <w:sz w:val="16"/>
        </w:rPr>
      </w:pPr>
      <w:r>
        <w:rPr>
          <w:i/>
          <w:sz w:val="16"/>
        </w:rPr>
        <w:t>Source: Rent roll provided by the Client; Valuer Assessment</w:t>
      </w:r>
    </w:p>
    <w:p>
      <w:pPr>
        <w:spacing w:after="0"/>
        <w:jc w:val="left"/>
        <w:rPr>
          <w:sz w:val="16"/>
        </w:rPr>
        <w:sectPr>
          <w:pgSz w:w="11910" w:h="16840"/>
          <w:pgMar w:header="720" w:footer="943" w:top="1660" w:bottom="1140" w:left="600" w:right="600"/>
        </w:sectPr>
      </w:pPr>
    </w:p>
    <w:p>
      <w:pPr>
        <w:pStyle w:val="BodyText"/>
        <w:spacing w:before="7"/>
        <w:rPr>
          <w:i/>
          <w:sz w:val="9"/>
        </w:rPr>
      </w:pPr>
    </w:p>
    <w:p>
      <w:pPr>
        <w:spacing w:line="247" w:lineRule="auto" w:before="105"/>
        <w:ind w:left="120" w:right="0" w:firstLine="0"/>
        <w:jc w:val="left"/>
        <w:rPr>
          <w:i/>
          <w:sz w:val="16"/>
        </w:rPr>
      </w:pPr>
      <w:r>
        <w:rPr>
          <w:i/>
          <w:sz w:val="16"/>
        </w:rPr>
        <w:t>*</w:t>
      </w:r>
      <w:r>
        <w:rPr>
          <w:i/>
          <w:spacing w:val="-25"/>
          <w:sz w:val="16"/>
        </w:rPr>
        <w:t> </w:t>
      </w:r>
      <w:r>
        <w:rPr>
          <w:i/>
          <w:sz w:val="16"/>
        </w:rPr>
        <w:t>The</w:t>
      </w:r>
      <w:r>
        <w:rPr>
          <w:i/>
          <w:spacing w:val="-25"/>
          <w:sz w:val="16"/>
        </w:rPr>
        <w:t> </w:t>
      </w:r>
      <w:r>
        <w:rPr>
          <w:i/>
          <w:sz w:val="16"/>
        </w:rPr>
        <w:t>rents</w:t>
      </w:r>
      <w:r>
        <w:rPr>
          <w:i/>
          <w:spacing w:val="-23"/>
          <w:sz w:val="16"/>
        </w:rPr>
        <w:t> </w:t>
      </w:r>
      <w:r>
        <w:rPr>
          <w:i/>
          <w:sz w:val="16"/>
        </w:rPr>
        <w:t>mentioned</w:t>
      </w:r>
      <w:r>
        <w:rPr>
          <w:i/>
          <w:spacing w:val="-25"/>
          <w:sz w:val="16"/>
        </w:rPr>
        <w:t> </w:t>
      </w:r>
      <w:r>
        <w:rPr>
          <w:i/>
          <w:sz w:val="16"/>
        </w:rPr>
        <w:t>above</w:t>
      </w:r>
      <w:r>
        <w:rPr>
          <w:i/>
          <w:spacing w:val="-24"/>
          <w:sz w:val="16"/>
        </w:rPr>
        <w:t> </w:t>
      </w:r>
      <w:r>
        <w:rPr>
          <w:i/>
          <w:sz w:val="16"/>
        </w:rPr>
        <w:t>exclude</w:t>
      </w:r>
      <w:r>
        <w:rPr>
          <w:i/>
          <w:spacing w:val="-24"/>
          <w:sz w:val="16"/>
        </w:rPr>
        <w:t> </w:t>
      </w:r>
      <w:r>
        <w:rPr>
          <w:i/>
          <w:sz w:val="16"/>
        </w:rPr>
        <w:t>other</w:t>
      </w:r>
      <w:r>
        <w:rPr>
          <w:i/>
          <w:spacing w:val="-25"/>
          <w:sz w:val="16"/>
        </w:rPr>
        <w:t> </w:t>
      </w:r>
      <w:r>
        <w:rPr>
          <w:i/>
          <w:sz w:val="16"/>
        </w:rPr>
        <w:t>income</w:t>
      </w:r>
      <w:r>
        <w:rPr>
          <w:i/>
          <w:spacing w:val="-25"/>
          <w:sz w:val="16"/>
        </w:rPr>
        <w:t> </w:t>
      </w:r>
      <w:r>
        <w:rPr>
          <w:i/>
          <w:sz w:val="16"/>
        </w:rPr>
        <w:t>such</w:t>
      </w:r>
      <w:r>
        <w:rPr>
          <w:i/>
          <w:spacing w:val="-24"/>
          <w:sz w:val="16"/>
        </w:rPr>
        <w:t> </w:t>
      </w:r>
      <w:r>
        <w:rPr>
          <w:i/>
          <w:sz w:val="16"/>
        </w:rPr>
        <w:t>as</w:t>
      </w:r>
      <w:r>
        <w:rPr>
          <w:i/>
          <w:spacing w:val="-24"/>
          <w:sz w:val="16"/>
        </w:rPr>
        <w:t> </w:t>
      </w:r>
      <w:r>
        <w:rPr>
          <w:i/>
          <w:sz w:val="16"/>
        </w:rPr>
        <w:t>CAM</w:t>
      </w:r>
      <w:r>
        <w:rPr>
          <w:i/>
          <w:spacing w:val="-26"/>
          <w:sz w:val="16"/>
        </w:rPr>
        <w:t> </w:t>
      </w:r>
      <w:r>
        <w:rPr>
          <w:i/>
          <w:sz w:val="16"/>
        </w:rPr>
        <w:t>charges,</w:t>
      </w:r>
      <w:r>
        <w:rPr>
          <w:i/>
          <w:spacing w:val="-25"/>
          <w:sz w:val="16"/>
        </w:rPr>
        <w:t> </w:t>
      </w:r>
      <w:r>
        <w:rPr>
          <w:i/>
          <w:sz w:val="16"/>
        </w:rPr>
        <w:t>parking</w:t>
      </w:r>
      <w:r>
        <w:rPr>
          <w:i/>
          <w:spacing w:val="-24"/>
          <w:sz w:val="16"/>
        </w:rPr>
        <w:t> </w:t>
      </w:r>
      <w:r>
        <w:rPr>
          <w:i/>
          <w:sz w:val="16"/>
        </w:rPr>
        <w:t>income</w:t>
      </w:r>
      <w:r>
        <w:rPr>
          <w:i/>
          <w:spacing w:val="-25"/>
          <w:sz w:val="16"/>
        </w:rPr>
        <w:t> </w:t>
      </w:r>
      <w:r>
        <w:rPr>
          <w:i/>
          <w:sz w:val="16"/>
        </w:rPr>
        <w:t>received</w:t>
      </w:r>
      <w:r>
        <w:rPr>
          <w:i/>
          <w:spacing w:val="-25"/>
          <w:sz w:val="16"/>
        </w:rPr>
        <w:t> </w:t>
      </w:r>
      <w:r>
        <w:rPr>
          <w:i/>
          <w:sz w:val="16"/>
        </w:rPr>
        <w:t>from</w:t>
      </w:r>
      <w:r>
        <w:rPr>
          <w:i/>
          <w:spacing w:val="-24"/>
          <w:sz w:val="16"/>
        </w:rPr>
        <w:t> </w:t>
      </w:r>
      <w:r>
        <w:rPr>
          <w:i/>
          <w:sz w:val="16"/>
        </w:rPr>
        <w:t>the</w:t>
      </w:r>
      <w:r>
        <w:rPr>
          <w:i/>
          <w:spacing w:val="-25"/>
          <w:sz w:val="16"/>
        </w:rPr>
        <w:t> </w:t>
      </w:r>
      <w:r>
        <w:rPr>
          <w:i/>
          <w:sz w:val="16"/>
        </w:rPr>
        <w:t>tenants,</w:t>
      </w:r>
      <w:r>
        <w:rPr>
          <w:i/>
          <w:spacing w:val="-24"/>
          <w:sz w:val="16"/>
        </w:rPr>
        <w:t> </w:t>
      </w:r>
      <w:r>
        <w:rPr>
          <w:i/>
          <w:sz w:val="16"/>
        </w:rPr>
        <w:t>etc.;</w:t>
      </w:r>
      <w:r>
        <w:rPr>
          <w:i/>
          <w:spacing w:val="-25"/>
          <w:sz w:val="16"/>
        </w:rPr>
        <w:t> </w:t>
      </w:r>
      <w:r>
        <w:rPr>
          <w:i/>
          <w:sz w:val="16"/>
        </w:rPr>
        <w:t>^weighted</w:t>
      </w:r>
      <w:r>
        <w:rPr>
          <w:i/>
          <w:spacing w:val="-24"/>
          <w:sz w:val="16"/>
        </w:rPr>
        <w:t> </w:t>
      </w:r>
      <w:r>
        <w:rPr>
          <w:i/>
          <w:sz w:val="16"/>
        </w:rPr>
        <w:t>average</w:t>
      </w:r>
      <w:r>
        <w:rPr>
          <w:i/>
          <w:spacing w:val="-26"/>
          <w:sz w:val="16"/>
        </w:rPr>
        <w:t> </w:t>
      </w:r>
      <w:r>
        <w:rPr>
          <w:i/>
          <w:sz w:val="16"/>
        </w:rPr>
        <w:t>bare</w:t>
      </w:r>
      <w:r>
        <w:rPr>
          <w:i/>
          <w:spacing w:val="-26"/>
          <w:sz w:val="16"/>
        </w:rPr>
        <w:t> </w:t>
      </w:r>
      <w:r>
        <w:rPr>
          <w:i/>
          <w:sz w:val="16"/>
        </w:rPr>
        <w:t>shell </w:t>
      </w:r>
      <w:r>
        <w:rPr>
          <w:i/>
          <w:sz w:val="16"/>
        </w:rPr>
        <w:t>rent</w:t>
      </w:r>
      <w:r>
        <w:rPr>
          <w:i/>
          <w:spacing w:val="-9"/>
          <w:sz w:val="16"/>
        </w:rPr>
        <w:t> </w:t>
      </w:r>
      <w:r>
        <w:rPr>
          <w:i/>
          <w:sz w:val="16"/>
        </w:rPr>
        <w:t>for</w:t>
      </w:r>
      <w:r>
        <w:rPr>
          <w:i/>
          <w:spacing w:val="-7"/>
          <w:sz w:val="16"/>
        </w:rPr>
        <w:t> </w:t>
      </w:r>
      <w:r>
        <w:rPr>
          <w:i/>
          <w:sz w:val="16"/>
        </w:rPr>
        <w:t>area</w:t>
      </w:r>
      <w:r>
        <w:rPr>
          <w:i/>
          <w:spacing w:val="-7"/>
          <w:sz w:val="16"/>
        </w:rPr>
        <w:t> </w:t>
      </w:r>
      <w:r>
        <w:rPr>
          <w:i/>
          <w:sz w:val="16"/>
        </w:rPr>
        <w:t>already</w:t>
      </w:r>
      <w:r>
        <w:rPr>
          <w:i/>
          <w:spacing w:val="-8"/>
          <w:sz w:val="16"/>
        </w:rPr>
        <w:t> </w:t>
      </w:r>
      <w:r>
        <w:rPr>
          <w:i/>
          <w:sz w:val="16"/>
        </w:rPr>
        <w:t>leased</w:t>
      </w:r>
      <w:r>
        <w:rPr>
          <w:i/>
          <w:spacing w:val="-8"/>
          <w:sz w:val="16"/>
        </w:rPr>
        <w:t> </w:t>
      </w:r>
      <w:r>
        <w:rPr>
          <w:i/>
          <w:sz w:val="16"/>
        </w:rPr>
        <w:t>including</w:t>
      </w:r>
      <w:r>
        <w:rPr>
          <w:i/>
          <w:spacing w:val="-7"/>
          <w:sz w:val="16"/>
        </w:rPr>
        <w:t> </w:t>
      </w:r>
      <w:r>
        <w:rPr>
          <w:i/>
          <w:sz w:val="16"/>
        </w:rPr>
        <w:t>lease</w:t>
      </w:r>
      <w:r>
        <w:rPr>
          <w:i/>
          <w:spacing w:val="-8"/>
          <w:sz w:val="16"/>
        </w:rPr>
        <w:t> </w:t>
      </w:r>
      <w:r>
        <w:rPr>
          <w:i/>
          <w:sz w:val="16"/>
        </w:rPr>
        <w:t>revenue</w:t>
      </w:r>
      <w:r>
        <w:rPr>
          <w:i/>
          <w:spacing w:val="-8"/>
          <w:sz w:val="16"/>
        </w:rPr>
        <w:t> </w:t>
      </w:r>
      <w:r>
        <w:rPr>
          <w:i/>
          <w:sz w:val="16"/>
        </w:rPr>
        <w:t>from</w:t>
      </w:r>
      <w:r>
        <w:rPr>
          <w:i/>
          <w:spacing w:val="-7"/>
          <w:sz w:val="16"/>
        </w:rPr>
        <w:t> </w:t>
      </w:r>
      <w:r>
        <w:rPr>
          <w:i/>
          <w:sz w:val="16"/>
        </w:rPr>
        <w:t>mobile</w:t>
      </w:r>
      <w:r>
        <w:rPr>
          <w:i/>
          <w:spacing w:val="-9"/>
          <w:sz w:val="16"/>
        </w:rPr>
        <w:t> </w:t>
      </w:r>
      <w:r>
        <w:rPr>
          <w:i/>
          <w:sz w:val="16"/>
        </w:rPr>
        <w:t>towers</w:t>
      </w:r>
      <w:r>
        <w:rPr>
          <w:i/>
          <w:spacing w:val="-7"/>
          <w:sz w:val="16"/>
        </w:rPr>
        <w:t> </w:t>
      </w:r>
      <w:r>
        <w:rPr>
          <w:i/>
          <w:w w:val="110"/>
          <w:sz w:val="16"/>
        </w:rPr>
        <w:t>–</w:t>
      </w:r>
      <w:r>
        <w:rPr>
          <w:i/>
          <w:spacing w:val="-11"/>
          <w:w w:val="110"/>
          <w:sz w:val="16"/>
        </w:rPr>
        <w:t> </w:t>
      </w:r>
      <w:r>
        <w:rPr>
          <w:i/>
          <w:sz w:val="16"/>
        </w:rPr>
        <w:t>as</w:t>
      </w:r>
      <w:r>
        <w:rPr>
          <w:i/>
          <w:spacing w:val="-7"/>
          <w:sz w:val="16"/>
        </w:rPr>
        <w:t> </w:t>
      </w:r>
      <w:r>
        <w:rPr>
          <w:i/>
          <w:sz w:val="16"/>
        </w:rPr>
        <w:t>per</w:t>
      </w:r>
      <w:r>
        <w:rPr>
          <w:i/>
          <w:spacing w:val="-7"/>
          <w:sz w:val="16"/>
        </w:rPr>
        <w:t> </w:t>
      </w:r>
      <w:r>
        <w:rPr>
          <w:i/>
          <w:sz w:val="16"/>
        </w:rPr>
        <w:t>rent</w:t>
      </w:r>
      <w:r>
        <w:rPr>
          <w:i/>
          <w:spacing w:val="-9"/>
          <w:sz w:val="16"/>
        </w:rPr>
        <w:t> </w:t>
      </w:r>
      <w:r>
        <w:rPr>
          <w:i/>
          <w:sz w:val="16"/>
        </w:rPr>
        <w:t>roll</w:t>
      </w:r>
      <w:r>
        <w:rPr>
          <w:i/>
          <w:spacing w:val="-8"/>
          <w:sz w:val="16"/>
        </w:rPr>
        <w:t> </w:t>
      </w:r>
      <w:r>
        <w:rPr>
          <w:i/>
          <w:sz w:val="16"/>
        </w:rPr>
        <w:t>shared</w:t>
      </w:r>
      <w:r>
        <w:rPr>
          <w:i/>
          <w:spacing w:val="-7"/>
          <w:sz w:val="16"/>
        </w:rPr>
        <w:t> </w:t>
      </w:r>
      <w:r>
        <w:rPr>
          <w:i/>
          <w:sz w:val="16"/>
        </w:rPr>
        <w:t>by</w:t>
      </w:r>
      <w:r>
        <w:rPr>
          <w:i/>
          <w:spacing w:val="-8"/>
          <w:sz w:val="16"/>
        </w:rPr>
        <w:t> </w:t>
      </w:r>
      <w:r>
        <w:rPr>
          <w:i/>
          <w:sz w:val="16"/>
        </w:rPr>
        <w:t>Client</w:t>
      </w:r>
    </w:p>
    <w:p>
      <w:pPr>
        <w:pStyle w:val="BodyText"/>
        <w:spacing w:before="10"/>
        <w:rPr>
          <w:i/>
          <w:sz w:val="20"/>
        </w:rPr>
      </w:pPr>
    </w:p>
    <w:p>
      <w:pPr>
        <w:pStyle w:val="BodyText"/>
        <w:spacing w:line="321" w:lineRule="auto"/>
        <w:ind w:left="682" w:right="114"/>
        <w:jc w:val="both"/>
      </w:pPr>
      <w:r>
        <w:rPr/>
        <w:t>The</w:t>
      </w:r>
      <w:r>
        <w:rPr>
          <w:spacing w:val="-36"/>
        </w:rPr>
        <w:t> </w:t>
      </w:r>
      <w:r>
        <w:rPr/>
        <w:t>above</w:t>
      </w:r>
      <w:r>
        <w:rPr>
          <w:spacing w:val="-34"/>
        </w:rPr>
        <w:t> </w:t>
      </w:r>
      <w:r>
        <w:rPr/>
        <w:t>market</w:t>
      </w:r>
      <w:r>
        <w:rPr>
          <w:spacing w:val="-35"/>
        </w:rPr>
        <w:t> </w:t>
      </w:r>
      <w:r>
        <w:rPr/>
        <w:t>rent</w:t>
      </w:r>
      <w:r>
        <w:rPr>
          <w:spacing w:val="-34"/>
        </w:rPr>
        <w:t> </w:t>
      </w:r>
      <w:r>
        <w:rPr/>
        <w:t>assumption</w:t>
      </w:r>
      <w:r>
        <w:rPr>
          <w:spacing w:val="-35"/>
        </w:rPr>
        <w:t> </w:t>
      </w:r>
      <w:r>
        <w:rPr/>
        <w:t>is</w:t>
      </w:r>
      <w:r>
        <w:rPr>
          <w:spacing w:val="-34"/>
        </w:rPr>
        <w:t> </w:t>
      </w:r>
      <w:r>
        <w:rPr/>
        <w:t>adopted</w:t>
      </w:r>
      <w:r>
        <w:rPr>
          <w:spacing w:val="-35"/>
        </w:rPr>
        <w:t> </w:t>
      </w:r>
      <w:r>
        <w:rPr/>
        <w:t>for</w:t>
      </w:r>
      <w:r>
        <w:rPr>
          <w:spacing w:val="-36"/>
        </w:rPr>
        <w:t> </w:t>
      </w:r>
      <w:r>
        <w:rPr/>
        <w:t>the</w:t>
      </w:r>
      <w:r>
        <w:rPr>
          <w:spacing w:val="-35"/>
        </w:rPr>
        <w:t> </w:t>
      </w:r>
      <w:r>
        <w:rPr/>
        <w:t>entire</w:t>
      </w:r>
      <w:r>
        <w:rPr>
          <w:spacing w:val="-34"/>
        </w:rPr>
        <w:t> </w:t>
      </w:r>
      <w:r>
        <w:rPr/>
        <w:t>city</w:t>
      </w:r>
      <w:r>
        <w:rPr>
          <w:spacing w:val="-34"/>
        </w:rPr>
        <w:t> </w:t>
      </w:r>
      <w:r>
        <w:rPr/>
        <w:t>centre</w:t>
      </w:r>
      <w:r>
        <w:rPr>
          <w:spacing w:val="-35"/>
        </w:rPr>
        <w:t> </w:t>
      </w:r>
      <w:r>
        <w:rPr/>
        <w:t>office.</w:t>
      </w:r>
      <w:r>
        <w:rPr>
          <w:spacing w:val="-34"/>
        </w:rPr>
        <w:t> </w:t>
      </w:r>
      <w:r>
        <w:rPr/>
        <w:t>In</w:t>
      </w:r>
      <w:r>
        <w:rPr>
          <w:spacing w:val="-35"/>
        </w:rPr>
        <w:t> </w:t>
      </w:r>
      <w:r>
        <w:rPr/>
        <w:t>addition</w:t>
      </w:r>
      <w:r>
        <w:rPr>
          <w:spacing w:val="-35"/>
        </w:rPr>
        <w:t> </w:t>
      </w:r>
      <w:r>
        <w:rPr/>
        <w:t>to</w:t>
      </w:r>
      <w:r>
        <w:rPr>
          <w:spacing w:val="-35"/>
        </w:rPr>
        <w:t> </w:t>
      </w:r>
      <w:r>
        <w:rPr/>
        <w:t>undertaking an in-depth market analysis, a detailed analysis of the rent roll was also undertaken to understand aspects such as area occupied, current rent and expiry analysis of the key tenants in the park. Additionally,</w:t>
      </w:r>
      <w:r>
        <w:rPr>
          <w:spacing w:val="-28"/>
        </w:rPr>
        <w:t> </w:t>
      </w:r>
      <w:r>
        <w:rPr/>
        <w:t>the</w:t>
      </w:r>
      <w:r>
        <w:rPr>
          <w:spacing w:val="-28"/>
        </w:rPr>
        <w:t> </w:t>
      </w:r>
      <w:r>
        <w:rPr/>
        <w:t>Valuer</w:t>
      </w:r>
      <w:r>
        <w:rPr>
          <w:spacing w:val="-26"/>
        </w:rPr>
        <w:t> </w:t>
      </w:r>
      <w:r>
        <w:rPr/>
        <w:t>also</w:t>
      </w:r>
      <w:r>
        <w:rPr>
          <w:spacing w:val="-28"/>
        </w:rPr>
        <w:t> </w:t>
      </w:r>
      <w:r>
        <w:rPr/>
        <w:t>analysed</w:t>
      </w:r>
      <w:r>
        <w:rPr>
          <w:spacing w:val="-27"/>
        </w:rPr>
        <w:t> </w:t>
      </w:r>
      <w:r>
        <w:rPr/>
        <w:t>the</w:t>
      </w:r>
      <w:r>
        <w:rPr>
          <w:spacing w:val="-28"/>
        </w:rPr>
        <w:t> </w:t>
      </w:r>
      <w:r>
        <w:rPr/>
        <w:t>historical</w:t>
      </w:r>
      <w:r>
        <w:rPr>
          <w:spacing w:val="-28"/>
        </w:rPr>
        <w:t> </w:t>
      </w:r>
      <w:r>
        <w:rPr/>
        <w:t>occupancy</w:t>
      </w:r>
      <w:r>
        <w:rPr>
          <w:spacing w:val="-27"/>
        </w:rPr>
        <w:t> </w:t>
      </w:r>
      <w:r>
        <w:rPr/>
        <w:t>pattern</w:t>
      </w:r>
      <w:r>
        <w:rPr>
          <w:spacing w:val="-27"/>
        </w:rPr>
        <w:t> </w:t>
      </w:r>
      <w:r>
        <w:rPr/>
        <w:t>at</w:t>
      </w:r>
      <w:r>
        <w:rPr>
          <w:spacing w:val="-28"/>
        </w:rPr>
        <w:t> </w:t>
      </w:r>
      <w:r>
        <w:rPr/>
        <w:t>the</w:t>
      </w:r>
      <w:r>
        <w:rPr>
          <w:spacing w:val="-28"/>
        </w:rPr>
        <w:t> </w:t>
      </w:r>
      <w:r>
        <w:rPr/>
        <w:t>subject</w:t>
      </w:r>
      <w:r>
        <w:rPr>
          <w:spacing w:val="-27"/>
        </w:rPr>
        <w:t> </w:t>
      </w:r>
      <w:r>
        <w:rPr/>
        <w:t>development</w:t>
      </w:r>
      <w:r>
        <w:rPr>
          <w:spacing w:val="-28"/>
        </w:rPr>
        <w:t> </w:t>
      </w:r>
      <w:r>
        <w:rPr/>
        <w:t>and lease-up</w:t>
      </w:r>
      <w:r>
        <w:rPr>
          <w:spacing w:val="-22"/>
        </w:rPr>
        <w:t> </w:t>
      </w:r>
      <w:r>
        <w:rPr/>
        <w:t>time</w:t>
      </w:r>
      <w:r>
        <w:rPr>
          <w:spacing w:val="-21"/>
        </w:rPr>
        <w:t> </w:t>
      </w:r>
      <w:r>
        <w:rPr/>
        <w:t>frame</w:t>
      </w:r>
      <w:r>
        <w:rPr>
          <w:spacing w:val="-23"/>
        </w:rPr>
        <w:t> </w:t>
      </w:r>
      <w:r>
        <w:rPr/>
        <w:t>for</w:t>
      </w:r>
      <w:r>
        <w:rPr>
          <w:spacing w:val="-22"/>
        </w:rPr>
        <w:t> </w:t>
      </w:r>
      <w:r>
        <w:rPr/>
        <w:t>spaces</w:t>
      </w:r>
      <w:r>
        <w:rPr>
          <w:spacing w:val="-22"/>
        </w:rPr>
        <w:t> </w:t>
      </w:r>
      <w:r>
        <w:rPr/>
        <w:t>being</w:t>
      </w:r>
      <w:r>
        <w:rPr>
          <w:spacing w:val="-20"/>
        </w:rPr>
        <w:t> </w:t>
      </w:r>
      <w:r>
        <w:rPr/>
        <w:t>vacated</w:t>
      </w:r>
      <w:r>
        <w:rPr>
          <w:spacing w:val="-21"/>
        </w:rPr>
        <w:t> </w:t>
      </w:r>
      <w:r>
        <w:rPr/>
        <w:t>by</w:t>
      </w:r>
      <w:r>
        <w:rPr>
          <w:spacing w:val="-21"/>
        </w:rPr>
        <w:t> </w:t>
      </w:r>
      <w:r>
        <w:rPr/>
        <w:t>tenants</w:t>
      </w:r>
      <w:r>
        <w:rPr>
          <w:spacing w:val="-21"/>
        </w:rPr>
        <w:t> </w:t>
      </w:r>
      <w:r>
        <w:rPr/>
        <w:t>during</w:t>
      </w:r>
      <w:r>
        <w:rPr>
          <w:spacing w:val="-20"/>
        </w:rPr>
        <w:t> </w:t>
      </w:r>
      <w:r>
        <w:rPr/>
        <w:t>the</w:t>
      </w:r>
      <w:r>
        <w:rPr>
          <w:spacing w:val="-23"/>
        </w:rPr>
        <w:t> </w:t>
      </w:r>
      <w:r>
        <w:rPr/>
        <w:t>last</w:t>
      </w:r>
      <w:r>
        <w:rPr>
          <w:spacing w:val="-22"/>
        </w:rPr>
        <w:t> </w:t>
      </w:r>
      <w:r>
        <w:rPr/>
        <w:t>3</w:t>
      </w:r>
      <w:r>
        <w:rPr>
          <w:spacing w:val="-22"/>
        </w:rPr>
        <w:t> </w:t>
      </w:r>
      <w:r>
        <w:rPr/>
        <w:t>years.</w:t>
      </w:r>
      <w:r>
        <w:rPr>
          <w:spacing w:val="-21"/>
        </w:rPr>
        <w:t> </w:t>
      </w:r>
      <w:r>
        <w:rPr/>
        <w:t>The</w:t>
      </w:r>
      <w:r>
        <w:rPr>
          <w:spacing w:val="-21"/>
        </w:rPr>
        <w:t> </w:t>
      </w:r>
      <w:r>
        <w:rPr/>
        <w:t>lease-up</w:t>
      </w:r>
      <w:r>
        <w:rPr>
          <w:spacing w:val="-21"/>
        </w:rPr>
        <w:t> </w:t>
      </w:r>
      <w:r>
        <w:rPr/>
        <w:t>time</w:t>
      </w:r>
      <w:r>
        <w:rPr>
          <w:spacing w:val="-23"/>
        </w:rPr>
        <w:t> </w:t>
      </w:r>
      <w:r>
        <w:rPr/>
        <w:t>was observed</w:t>
      </w:r>
      <w:r>
        <w:rPr>
          <w:spacing w:val="-5"/>
        </w:rPr>
        <w:t> </w:t>
      </w:r>
      <w:r>
        <w:rPr/>
        <w:t>to</w:t>
      </w:r>
      <w:r>
        <w:rPr>
          <w:spacing w:val="-8"/>
        </w:rPr>
        <w:t> </w:t>
      </w:r>
      <w:r>
        <w:rPr/>
        <w:t>be</w:t>
      </w:r>
      <w:r>
        <w:rPr>
          <w:spacing w:val="-6"/>
        </w:rPr>
        <w:t> </w:t>
      </w:r>
      <w:r>
        <w:rPr/>
        <w:t>2</w:t>
      </w:r>
      <w:r>
        <w:rPr>
          <w:spacing w:val="-6"/>
        </w:rPr>
        <w:t> </w:t>
      </w:r>
      <w:r>
        <w:rPr/>
        <w:t>-</w:t>
      </w:r>
      <w:r>
        <w:rPr>
          <w:spacing w:val="-4"/>
        </w:rPr>
        <w:t> </w:t>
      </w:r>
      <w:r>
        <w:rPr/>
        <w:t>6</w:t>
      </w:r>
      <w:r>
        <w:rPr>
          <w:spacing w:val="-6"/>
        </w:rPr>
        <w:t> </w:t>
      </w:r>
      <w:r>
        <w:rPr/>
        <w:t>months</w:t>
      </w:r>
      <w:r>
        <w:rPr>
          <w:spacing w:val="-4"/>
        </w:rPr>
        <w:t> </w:t>
      </w:r>
      <w:r>
        <w:rPr/>
        <w:t>based</w:t>
      </w:r>
      <w:r>
        <w:rPr>
          <w:spacing w:val="-5"/>
        </w:rPr>
        <w:t> </w:t>
      </w:r>
      <w:r>
        <w:rPr/>
        <w:t>on</w:t>
      </w:r>
      <w:r>
        <w:rPr>
          <w:spacing w:val="-8"/>
        </w:rPr>
        <w:t> </w:t>
      </w:r>
      <w:r>
        <w:rPr/>
        <w:t>quantum</w:t>
      </w:r>
      <w:r>
        <w:rPr>
          <w:spacing w:val="-5"/>
        </w:rPr>
        <w:t> </w:t>
      </w:r>
      <w:r>
        <w:rPr/>
        <w:t>of</w:t>
      </w:r>
      <w:r>
        <w:rPr>
          <w:spacing w:val="-7"/>
        </w:rPr>
        <w:t> </w:t>
      </w:r>
      <w:r>
        <w:rPr/>
        <w:t>space</w:t>
      </w:r>
      <w:r>
        <w:rPr>
          <w:spacing w:val="-5"/>
        </w:rPr>
        <w:t> </w:t>
      </w:r>
      <w:r>
        <w:rPr/>
        <w:t>being</w:t>
      </w:r>
      <w:r>
        <w:rPr>
          <w:spacing w:val="-5"/>
        </w:rPr>
        <w:t> </w:t>
      </w:r>
      <w:r>
        <w:rPr/>
        <w:t>renewed/</w:t>
      </w:r>
      <w:r>
        <w:rPr>
          <w:spacing w:val="-6"/>
        </w:rPr>
        <w:t> </w:t>
      </w:r>
      <w:r>
        <w:rPr/>
        <w:t>re-leased.</w:t>
      </w:r>
    </w:p>
    <w:p>
      <w:pPr>
        <w:pStyle w:val="BodyText"/>
        <w:rPr>
          <w:sz w:val="21"/>
        </w:rPr>
      </w:pPr>
    </w:p>
    <w:p>
      <w:pPr>
        <w:pStyle w:val="BodyText"/>
        <w:spacing w:line="321" w:lineRule="auto"/>
        <w:ind w:left="682" w:right="116"/>
        <w:jc w:val="both"/>
      </w:pPr>
      <w:r>
        <w:rPr/>
        <w:pict>
          <v:group style="position:absolute;margin-left:36pt;margin-top:91.448639pt;width:523.6pt;height:29.4pt;mso-position-horizontal-relative:page;mso-position-vertical-relative:paragraph;z-index:-15481856;mso-wrap-distance-left:0;mso-wrap-distance-right:0" coordorigin="720,1829" coordsize="10472,588">
            <v:shape style="position:absolute;left:720;top:1860;width:10472;height:543" coordorigin="720,1860" coordsize="10472,543" path="m11191,1860l6985,1860,720,1860,720,2403,6985,2403,11191,2403,11191,1860xe" filled="true" fillcolor="#006a4d" stroked="false">
              <v:path arrowok="t"/>
              <v:fill type="solid"/>
            </v:shape>
            <v:rect style="position:absolute;left:720;top:1828;width:6266;height:29" filled="true" fillcolor="#1b6b22" stroked="false">
              <v:fill type="solid"/>
            </v:rect>
            <v:shape style="position:absolute;left:720;top:1857;width:6295;height:3" coordorigin="720,1858" coordsize="6295,3" path="m7014,1858l6985,1858,720,1858,720,1860,6985,1860,7014,1860,7014,1858xe" filled="true" fillcolor="#006a4d" stroked="false">
              <v:path arrowok="t"/>
              <v:fill type="solid"/>
            </v:shape>
            <v:shape style="position:absolute;left:6985;top:1828;width:4206;height:29" coordorigin="6985,1829" coordsize="4206,29" path="m11191,1829l7014,1829,6985,1829,6985,1858,7014,1858,11191,1858,11191,1829xe" filled="true" fillcolor="#1b6b22" stroked="false">
              <v:path arrowok="t"/>
              <v:fill type="solid"/>
            </v:shape>
            <v:rect style="position:absolute;left:7014;top:1857;width:4177;height:3" filled="true" fillcolor="#006a4d" stroked="false">
              <v:fill type="solid"/>
            </v:rect>
            <v:shape style="position:absolute;left:720;top:2402;width:10472;height:15" coordorigin="720,2403" coordsize="10472,15" path="m11191,2403l7000,2403,6985,2403,720,2403,720,2417,6985,2417,7000,2417,11191,2417,11191,2403xe" filled="true" fillcolor="#69bd28" stroked="false">
              <v:path arrowok="t"/>
              <v:fill type="solid"/>
            </v:shape>
            <v:shape style="position:absolute;left:3029;top:2022;width:1664;height:216" type="#_x0000_t202" filled="false" stroked="false">
              <v:textbox inset="0,0,0,0">
                <w:txbxContent>
                  <w:p>
                    <w:pPr>
                      <w:spacing w:before="4"/>
                      <w:ind w:left="0" w:right="0" w:firstLine="0"/>
                      <w:jc w:val="left"/>
                      <w:rPr>
                        <w:b/>
                        <w:sz w:val="18"/>
                      </w:rPr>
                    </w:pPr>
                    <w:r>
                      <w:rPr>
                        <w:b/>
                        <w:color w:val="FFFFFF"/>
                        <w:w w:val="110"/>
                        <w:sz w:val="18"/>
                      </w:rPr>
                      <w:t>Area Range (in sf)</w:t>
                    </w:r>
                  </w:p>
                </w:txbxContent>
              </v:textbox>
              <w10:wrap type="none"/>
            </v:shape>
            <v:shape style="position:absolute;left:7115;top:1914;width:3963;height:432" type="#_x0000_t202" filled="false" stroked="false">
              <v:textbox inset="0,0,0,0">
                <w:txbxContent>
                  <w:p>
                    <w:pPr>
                      <w:spacing w:line="247" w:lineRule="auto" w:before="4"/>
                      <w:ind w:left="975" w:right="14" w:hanging="975"/>
                      <w:jc w:val="left"/>
                      <w:rPr>
                        <w:b/>
                        <w:sz w:val="18"/>
                      </w:rPr>
                    </w:pPr>
                    <w:r>
                      <w:rPr>
                        <w:b/>
                        <w:color w:val="FFFFFF"/>
                        <w:w w:val="110"/>
                        <w:sz w:val="18"/>
                      </w:rPr>
                      <w:t>Marginal Rent Strategy (Discount to</w:t>
                    </w:r>
                    <w:r>
                      <w:rPr>
                        <w:b/>
                        <w:color w:val="FFFFFF"/>
                        <w:spacing w:val="-43"/>
                        <w:w w:val="110"/>
                        <w:sz w:val="18"/>
                      </w:rPr>
                      <w:t> </w:t>
                    </w:r>
                    <w:r>
                      <w:rPr>
                        <w:b/>
                        <w:color w:val="FFFFFF"/>
                        <w:w w:val="110"/>
                        <w:sz w:val="18"/>
                      </w:rPr>
                      <w:t>Market Rent / Lease-up</w:t>
                    </w:r>
                    <w:r>
                      <w:rPr>
                        <w:b/>
                        <w:color w:val="FFFFFF"/>
                        <w:spacing w:val="-18"/>
                        <w:w w:val="110"/>
                        <w:sz w:val="18"/>
                      </w:rPr>
                      <w:t> </w:t>
                    </w:r>
                    <w:r>
                      <w:rPr>
                        <w:b/>
                        <w:color w:val="FFFFFF"/>
                        <w:w w:val="110"/>
                        <w:sz w:val="18"/>
                      </w:rPr>
                      <w:t>Time)</w:t>
                    </w:r>
                  </w:p>
                </w:txbxContent>
              </v:textbox>
              <w10:wrap type="none"/>
            </v:shape>
            <w10:wrap type="topAndBottom"/>
          </v:group>
        </w:pict>
      </w:r>
      <w:r>
        <w:rPr/>
        <w:t>Based</w:t>
      </w:r>
      <w:r>
        <w:rPr>
          <w:spacing w:val="-8"/>
        </w:rPr>
        <w:t> </w:t>
      </w:r>
      <w:r>
        <w:rPr/>
        <w:t>on</w:t>
      </w:r>
      <w:r>
        <w:rPr>
          <w:spacing w:val="-8"/>
        </w:rPr>
        <w:t> </w:t>
      </w:r>
      <w:r>
        <w:rPr/>
        <w:t>the</w:t>
      </w:r>
      <w:r>
        <w:rPr>
          <w:spacing w:val="-7"/>
        </w:rPr>
        <w:t> </w:t>
      </w:r>
      <w:r>
        <w:rPr/>
        <w:t>size</w:t>
      </w:r>
      <w:r>
        <w:rPr>
          <w:spacing w:val="-7"/>
        </w:rPr>
        <w:t> </w:t>
      </w:r>
      <w:r>
        <w:rPr/>
        <w:t>and</w:t>
      </w:r>
      <w:r>
        <w:rPr>
          <w:spacing w:val="-6"/>
        </w:rPr>
        <w:t> </w:t>
      </w:r>
      <w:r>
        <w:rPr/>
        <w:t>scale</w:t>
      </w:r>
      <w:r>
        <w:rPr>
          <w:spacing w:val="-8"/>
        </w:rPr>
        <w:t> </w:t>
      </w:r>
      <w:r>
        <w:rPr/>
        <w:t>of</w:t>
      </w:r>
      <w:r>
        <w:rPr>
          <w:spacing w:val="-6"/>
        </w:rPr>
        <w:t> </w:t>
      </w:r>
      <w:r>
        <w:rPr/>
        <w:t>operations</w:t>
      </w:r>
      <w:r>
        <w:rPr>
          <w:spacing w:val="-7"/>
        </w:rPr>
        <w:t> </w:t>
      </w:r>
      <w:r>
        <w:rPr/>
        <w:t>of</w:t>
      </w:r>
      <w:r>
        <w:rPr>
          <w:spacing w:val="-6"/>
        </w:rPr>
        <w:t> </w:t>
      </w:r>
      <w:r>
        <w:rPr/>
        <w:t>these</w:t>
      </w:r>
      <w:r>
        <w:rPr>
          <w:spacing w:val="-7"/>
        </w:rPr>
        <w:t> </w:t>
      </w:r>
      <w:r>
        <w:rPr/>
        <w:t>tenants,</w:t>
      </w:r>
      <w:r>
        <w:rPr>
          <w:spacing w:val="-3"/>
        </w:rPr>
        <w:t> </w:t>
      </w:r>
      <w:r>
        <w:rPr/>
        <w:t>the</w:t>
      </w:r>
      <w:r>
        <w:rPr>
          <w:spacing w:val="-7"/>
        </w:rPr>
        <w:t> </w:t>
      </w:r>
      <w:r>
        <w:rPr/>
        <w:t>Valuer</w:t>
      </w:r>
      <w:r>
        <w:rPr>
          <w:spacing w:val="-7"/>
        </w:rPr>
        <w:t> </w:t>
      </w:r>
      <w:r>
        <w:rPr/>
        <w:t>has</w:t>
      </w:r>
      <w:r>
        <w:rPr>
          <w:spacing w:val="-5"/>
        </w:rPr>
        <w:t> </w:t>
      </w:r>
      <w:r>
        <w:rPr/>
        <w:t>adopted</w:t>
      </w:r>
      <w:r>
        <w:rPr>
          <w:spacing w:val="-7"/>
        </w:rPr>
        <w:t> </w:t>
      </w:r>
      <w:r>
        <w:rPr/>
        <w:t>individual</w:t>
      </w:r>
      <w:r>
        <w:rPr>
          <w:spacing w:val="-7"/>
        </w:rPr>
        <w:t> </w:t>
      </w:r>
      <w:r>
        <w:rPr/>
        <w:t>market rent</w:t>
      </w:r>
      <w:r>
        <w:rPr>
          <w:spacing w:val="-43"/>
        </w:rPr>
        <w:t> </w:t>
      </w:r>
      <w:r>
        <w:rPr/>
        <w:t>assumptions</w:t>
      </w:r>
      <w:r>
        <w:rPr>
          <w:spacing w:val="-44"/>
        </w:rPr>
        <w:t> </w:t>
      </w:r>
      <w:r>
        <w:rPr/>
        <w:t>for</w:t>
      </w:r>
      <w:r>
        <w:rPr>
          <w:spacing w:val="-43"/>
        </w:rPr>
        <w:t> </w:t>
      </w:r>
      <w:r>
        <w:rPr/>
        <w:t>larger</w:t>
      </w:r>
      <w:r>
        <w:rPr>
          <w:spacing w:val="-43"/>
        </w:rPr>
        <w:t> </w:t>
      </w:r>
      <w:r>
        <w:rPr/>
        <w:t>tenants</w:t>
      </w:r>
      <w:r>
        <w:rPr>
          <w:spacing w:val="-42"/>
        </w:rPr>
        <w:t> </w:t>
      </w:r>
      <w:r>
        <w:rPr/>
        <w:t>in</w:t>
      </w:r>
      <w:r>
        <w:rPr>
          <w:spacing w:val="-43"/>
        </w:rPr>
        <w:t> </w:t>
      </w:r>
      <w:r>
        <w:rPr/>
        <w:t>the</w:t>
      </w:r>
      <w:r>
        <w:rPr>
          <w:spacing w:val="-43"/>
        </w:rPr>
        <w:t> </w:t>
      </w:r>
      <w:r>
        <w:rPr/>
        <w:t>subject</w:t>
      </w:r>
      <w:r>
        <w:rPr>
          <w:spacing w:val="-43"/>
        </w:rPr>
        <w:t> </w:t>
      </w:r>
      <w:r>
        <w:rPr/>
        <w:t>development.</w:t>
      </w:r>
      <w:r>
        <w:rPr>
          <w:spacing w:val="-43"/>
        </w:rPr>
        <w:t> </w:t>
      </w:r>
      <w:r>
        <w:rPr/>
        <w:t>For</w:t>
      </w:r>
      <w:r>
        <w:rPr>
          <w:spacing w:val="-43"/>
        </w:rPr>
        <w:t> </w:t>
      </w:r>
      <w:r>
        <w:rPr/>
        <w:t>larger</w:t>
      </w:r>
      <w:r>
        <w:rPr>
          <w:spacing w:val="-43"/>
        </w:rPr>
        <w:t> </w:t>
      </w:r>
      <w:r>
        <w:rPr/>
        <w:t>tenants,</w:t>
      </w:r>
      <w:r>
        <w:rPr>
          <w:spacing w:val="-40"/>
        </w:rPr>
        <w:t> </w:t>
      </w:r>
      <w:r>
        <w:rPr/>
        <w:t>we</w:t>
      </w:r>
      <w:r>
        <w:rPr>
          <w:spacing w:val="-43"/>
        </w:rPr>
        <w:t> </w:t>
      </w:r>
      <w:r>
        <w:rPr/>
        <w:t>have</w:t>
      </w:r>
      <w:r>
        <w:rPr>
          <w:spacing w:val="-43"/>
        </w:rPr>
        <w:t> </w:t>
      </w:r>
      <w:r>
        <w:rPr/>
        <w:t>assumed</w:t>
      </w:r>
      <w:r>
        <w:rPr>
          <w:spacing w:val="-42"/>
        </w:rPr>
        <w:t> </w:t>
      </w:r>
      <w:r>
        <w:rPr/>
        <w:t>that post</w:t>
      </w:r>
      <w:r>
        <w:rPr>
          <w:spacing w:val="-35"/>
        </w:rPr>
        <w:t> </w:t>
      </w:r>
      <w:r>
        <w:rPr/>
        <w:t>lease</w:t>
      </w:r>
      <w:r>
        <w:rPr>
          <w:spacing w:val="-35"/>
        </w:rPr>
        <w:t> </w:t>
      </w:r>
      <w:r>
        <w:rPr/>
        <w:t>expiry,</w:t>
      </w:r>
      <w:r>
        <w:rPr>
          <w:spacing w:val="-35"/>
        </w:rPr>
        <w:t> </w:t>
      </w:r>
      <w:r>
        <w:rPr/>
        <w:t>these</w:t>
      </w:r>
      <w:r>
        <w:rPr>
          <w:spacing w:val="-36"/>
        </w:rPr>
        <w:t> </w:t>
      </w:r>
      <w:r>
        <w:rPr/>
        <w:t>spaces</w:t>
      </w:r>
      <w:r>
        <w:rPr>
          <w:spacing w:val="-34"/>
        </w:rPr>
        <w:t> </w:t>
      </w:r>
      <w:r>
        <w:rPr/>
        <w:t>will</w:t>
      </w:r>
      <w:r>
        <w:rPr>
          <w:spacing w:val="-36"/>
        </w:rPr>
        <w:t> </w:t>
      </w:r>
      <w:r>
        <w:rPr/>
        <w:t>revert</w:t>
      </w:r>
      <w:r>
        <w:rPr>
          <w:spacing w:val="-34"/>
        </w:rPr>
        <w:t> </w:t>
      </w:r>
      <w:r>
        <w:rPr/>
        <w:t>to</w:t>
      </w:r>
      <w:r>
        <w:rPr>
          <w:spacing w:val="-35"/>
        </w:rPr>
        <w:t> </w:t>
      </w:r>
      <w:r>
        <w:rPr/>
        <w:t>market</w:t>
      </w:r>
      <w:r>
        <w:rPr>
          <w:spacing w:val="-34"/>
        </w:rPr>
        <w:t> </w:t>
      </w:r>
      <w:r>
        <w:rPr/>
        <w:t>rent</w:t>
      </w:r>
      <w:r>
        <w:rPr>
          <w:spacing w:val="-35"/>
        </w:rPr>
        <w:t> </w:t>
      </w:r>
      <w:r>
        <w:rPr/>
        <w:t>prevailing</w:t>
      </w:r>
      <w:r>
        <w:rPr>
          <w:spacing w:val="-35"/>
        </w:rPr>
        <w:t> </w:t>
      </w:r>
      <w:r>
        <w:rPr/>
        <w:t>at</w:t>
      </w:r>
      <w:r>
        <w:rPr>
          <w:spacing w:val="-34"/>
        </w:rPr>
        <w:t> </w:t>
      </w:r>
      <w:r>
        <w:rPr/>
        <w:t>that</w:t>
      </w:r>
      <w:r>
        <w:rPr>
          <w:spacing w:val="-36"/>
        </w:rPr>
        <w:t> </w:t>
      </w:r>
      <w:r>
        <w:rPr/>
        <w:t>point</w:t>
      </w:r>
      <w:r>
        <w:rPr>
          <w:spacing w:val="-34"/>
        </w:rPr>
        <w:t> </w:t>
      </w:r>
      <w:r>
        <w:rPr/>
        <w:t>in</w:t>
      </w:r>
      <w:r>
        <w:rPr>
          <w:spacing w:val="-36"/>
        </w:rPr>
        <w:t> </w:t>
      </w:r>
      <w:r>
        <w:rPr/>
        <w:t>time.</w:t>
      </w:r>
      <w:r>
        <w:rPr>
          <w:spacing w:val="-35"/>
        </w:rPr>
        <w:t> </w:t>
      </w:r>
      <w:r>
        <w:rPr/>
        <w:t>However,</w:t>
      </w:r>
      <w:r>
        <w:rPr>
          <w:spacing w:val="-34"/>
        </w:rPr>
        <w:t> </w:t>
      </w:r>
      <w:r>
        <w:rPr/>
        <w:t>given the</w:t>
      </w:r>
      <w:r>
        <w:rPr>
          <w:spacing w:val="-11"/>
        </w:rPr>
        <w:t> </w:t>
      </w:r>
      <w:r>
        <w:rPr/>
        <w:t>large</w:t>
      </w:r>
      <w:r>
        <w:rPr>
          <w:spacing w:val="-10"/>
        </w:rPr>
        <w:t> </w:t>
      </w:r>
      <w:r>
        <w:rPr/>
        <w:t>size</w:t>
      </w:r>
      <w:r>
        <w:rPr>
          <w:spacing w:val="-10"/>
        </w:rPr>
        <w:t> </w:t>
      </w:r>
      <w:r>
        <w:rPr/>
        <w:t>of</w:t>
      </w:r>
      <w:r>
        <w:rPr>
          <w:spacing w:val="-9"/>
        </w:rPr>
        <w:t> </w:t>
      </w:r>
      <w:r>
        <w:rPr/>
        <w:t>these</w:t>
      </w:r>
      <w:r>
        <w:rPr>
          <w:spacing w:val="-11"/>
        </w:rPr>
        <w:t> </w:t>
      </w:r>
      <w:r>
        <w:rPr/>
        <w:t>spaces,</w:t>
      </w:r>
      <w:r>
        <w:rPr>
          <w:spacing w:val="-10"/>
        </w:rPr>
        <w:t> </w:t>
      </w:r>
      <w:r>
        <w:rPr/>
        <w:t>the</w:t>
      </w:r>
      <w:r>
        <w:rPr>
          <w:spacing w:val="-10"/>
        </w:rPr>
        <w:t> </w:t>
      </w:r>
      <w:r>
        <w:rPr/>
        <w:t>Client</w:t>
      </w:r>
      <w:r>
        <w:rPr>
          <w:spacing w:val="-10"/>
        </w:rPr>
        <w:t> </w:t>
      </w:r>
      <w:r>
        <w:rPr/>
        <w:t>will</w:t>
      </w:r>
      <w:r>
        <w:rPr>
          <w:spacing w:val="-10"/>
        </w:rPr>
        <w:t> </w:t>
      </w:r>
      <w:r>
        <w:rPr/>
        <w:t>require</w:t>
      </w:r>
      <w:r>
        <w:rPr>
          <w:spacing w:val="-10"/>
        </w:rPr>
        <w:t> </w:t>
      </w:r>
      <w:r>
        <w:rPr/>
        <w:t>longer</w:t>
      </w:r>
      <w:r>
        <w:rPr>
          <w:spacing w:val="-9"/>
        </w:rPr>
        <w:t> </w:t>
      </w:r>
      <w:r>
        <w:rPr/>
        <w:t>lease-up</w:t>
      </w:r>
      <w:r>
        <w:rPr>
          <w:spacing w:val="-10"/>
        </w:rPr>
        <w:t> </w:t>
      </w:r>
      <w:r>
        <w:rPr/>
        <w:t>time.</w:t>
      </w:r>
      <w:r>
        <w:rPr>
          <w:spacing w:val="-10"/>
        </w:rPr>
        <w:t> </w:t>
      </w:r>
      <w:r>
        <w:rPr/>
        <w:t>Therefore,</w:t>
      </w:r>
      <w:r>
        <w:rPr>
          <w:spacing w:val="-9"/>
        </w:rPr>
        <w:t> </w:t>
      </w:r>
      <w:r>
        <w:rPr/>
        <w:t>the</w:t>
      </w:r>
      <w:r>
        <w:rPr>
          <w:spacing w:val="-10"/>
        </w:rPr>
        <w:t> </w:t>
      </w:r>
      <w:r>
        <w:rPr/>
        <w:t>Valuer</w:t>
      </w:r>
      <w:r>
        <w:rPr>
          <w:spacing w:val="-8"/>
        </w:rPr>
        <w:t> </w:t>
      </w:r>
      <w:r>
        <w:rPr/>
        <w:t>has adopted</w:t>
      </w:r>
      <w:r>
        <w:rPr>
          <w:spacing w:val="-4"/>
        </w:rPr>
        <w:t> </w:t>
      </w:r>
      <w:r>
        <w:rPr/>
        <w:t>a</w:t>
      </w:r>
      <w:r>
        <w:rPr>
          <w:spacing w:val="-6"/>
        </w:rPr>
        <w:t> </w:t>
      </w:r>
      <w:r>
        <w:rPr/>
        <w:t>higher</w:t>
      </w:r>
      <w:r>
        <w:rPr>
          <w:spacing w:val="-4"/>
        </w:rPr>
        <w:t> </w:t>
      </w:r>
      <w:r>
        <w:rPr/>
        <w:t>lease-up</w:t>
      </w:r>
      <w:r>
        <w:rPr>
          <w:spacing w:val="-4"/>
        </w:rPr>
        <w:t> </w:t>
      </w:r>
      <w:r>
        <w:rPr/>
        <w:t>time,</w:t>
      </w:r>
      <w:r>
        <w:rPr>
          <w:spacing w:val="-5"/>
        </w:rPr>
        <w:t> </w:t>
      </w:r>
      <w:r>
        <w:rPr/>
        <w:t>ranging</w:t>
      </w:r>
      <w:r>
        <w:rPr>
          <w:spacing w:val="-5"/>
        </w:rPr>
        <w:t> </w:t>
      </w:r>
      <w:r>
        <w:rPr/>
        <w:t>from</w:t>
      </w:r>
      <w:r>
        <w:rPr>
          <w:spacing w:val="-5"/>
        </w:rPr>
        <w:t> </w:t>
      </w:r>
      <w:r>
        <w:rPr/>
        <w:t>2</w:t>
      </w:r>
      <w:r>
        <w:rPr>
          <w:spacing w:val="-5"/>
        </w:rPr>
        <w:t> </w:t>
      </w:r>
      <w:r>
        <w:rPr>
          <w:w w:val="105"/>
        </w:rPr>
        <w:t>–</w:t>
      </w:r>
      <w:r>
        <w:rPr>
          <w:spacing w:val="-9"/>
          <w:w w:val="105"/>
        </w:rPr>
        <w:t> </w:t>
      </w:r>
      <w:r>
        <w:rPr/>
        <w:t>6</w:t>
      </w:r>
      <w:r>
        <w:rPr>
          <w:spacing w:val="-6"/>
        </w:rPr>
        <w:t> </w:t>
      </w:r>
      <w:r>
        <w:rPr/>
        <w:t>months</w:t>
      </w:r>
      <w:r>
        <w:rPr>
          <w:spacing w:val="-4"/>
        </w:rPr>
        <w:t> </w:t>
      </w:r>
      <w:r>
        <w:rPr/>
        <w:t>depending</w:t>
      </w:r>
      <w:r>
        <w:rPr>
          <w:spacing w:val="-3"/>
        </w:rPr>
        <w:t> </w:t>
      </w:r>
      <w:r>
        <w:rPr/>
        <w:t>on</w:t>
      </w:r>
      <w:r>
        <w:rPr>
          <w:spacing w:val="-6"/>
        </w:rPr>
        <w:t> </w:t>
      </w:r>
      <w:r>
        <w:rPr/>
        <w:t>area</w:t>
      </w:r>
      <w:r>
        <w:rPr>
          <w:spacing w:val="-5"/>
        </w:rPr>
        <w:t> </w:t>
      </w:r>
      <w:r>
        <w:rPr/>
        <w:t>to</w:t>
      </w:r>
      <w:r>
        <w:rPr>
          <w:spacing w:val="-4"/>
        </w:rPr>
        <w:t> </w:t>
      </w:r>
      <w:r>
        <w:rPr/>
        <w:t>be</w:t>
      </w:r>
      <w:r>
        <w:rPr>
          <w:spacing w:val="-5"/>
        </w:rPr>
        <w:t> </w:t>
      </w:r>
      <w:r>
        <w:rPr/>
        <w:t>leased.</w:t>
      </w:r>
    </w:p>
    <w:p>
      <w:pPr>
        <w:tabs>
          <w:tab w:pos="6745" w:val="left" w:leader="none"/>
          <w:tab w:pos="7317" w:val="left" w:leader="none"/>
        </w:tabs>
        <w:spacing w:line="348" w:lineRule="auto" w:before="10"/>
        <w:ind w:left="1802" w:right="1043" w:firstLine="571"/>
        <w:jc w:val="right"/>
        <w:rPr>
          <w:sz w:val="18"/>
        </w:rPr>
      </w:pPr>
      <w:r>
        <w:rPr>
          <w:sz w:val="18"/>
        </w:rPr>
        <w:t>Leased</w:t>
      </w:r>
      <w:r>
        <w:rPr>
          <w:spacing w:val="19"/>
          <w:sz w:val="18"/>
        </w:rPr>
        <w:t> </w:t>
      </w:r>
      <w:r>
        <w:rPr>
          <w:sz w:val="18"/>
        </w:rPr>
        <w:t>Area</w:t>
      </w:r>
      <w:r>
        <w:rPr>
          <w:spacing w:val="22"/>
          <w:sz w:val="18"/>
        </w:rPr>
        <w:t> </w:t>
      </w:r>
      <w:r>
        <w:rPr>
          <w:sz w:val="18"/>
        </w:rPr>
        <w:t>&gt;30,000</w:t>
        <w:tab/>
        <w:tab/>
        <w:t>Renewal</w:t>
      </w:r>
      <w:r>
        <w:rPr>
          <w:spacing w:val="-30"/>
          <w:sz w:val="18"/>
        </w:rPr>
        <w:t> </w:t>
      </w:r>
      <w:r>
        <w:rPr>
          <w:sz w:val="18"/>
        </w:rPr>
        <w:t>at</w:t>
      </w:r>
      <w:r>
        <w:rPr>
          <w:spacing w:val="-30"/>
          <w:sz w:val="18"/>
        </w:rPr>
        <w:t> </w:t>
      </w:r>
      <w:r>
        <w:rPr>
          <w:sz w:val="18"/>
        </w:rPr>
        <w:t>market</w:t>
      </w:r>
      <w:r>
        <w:rPr>
          <w:spacing w:val="-30"/>
          <w:sz w:val="18"/>
        </w:rPr>
        <w:t> </w:t>
      </w:r>
      <w:r>
        <w:rPr>
          <w:sz w:val="18"/>
        </w:rPr>
        <w:t>(6</w:t>
      </w:r>
      <w:r>
        <w:rPr>
          <w:spacing w:val="-29"/>
          <w:sz w:val="18"/>
        </w:rPr>
        <w:t> </w:t>
      </w:r>
      <w:r>
        <w:rPr>
          <w:sz w:val="18"/>
        </w:rPr>
        <w:t>months)</w:t>
      </w:r>
      <w:r>
        <w:rPr>
          <w:w w:val="78"/>
          <w:sz w:val="18"/>
        </w:rPr>
        <w:t> </w:t>
      </w:r>
      <w:r>
        <w:rPr>
          <w:sz w:val="18"/>
        </w:rPr>
        <w:t>Leased  Area  &gt;10,000</w:t>
      </w:r>
      <w:r>
        <w:rPr>
          <w:spacing w:val="-16"/>
          <w:sz w:val="18"/>
        </w:rPr>
        <w:t> </w:t>
      </w:r>
      <w:r>
        <w:rPr>
          <w:sz w:val="18"/>
        </w:rPr>
        <w:t>and</w:t>
      </w:r>
      <w:r>
        <w:rPr>
          <w:spacing w:val="31"/>
          <w:sz w:val="18"/>
        </w:rPr>
        <w:t> </w:t>
      </w:r>
      <w:r>
        <w:rPr>
          <w:sz w:val="18"/>
        </w:rPr>
        <w:t>&lt;30,000</w:t>
        <w:tab/>
        <w:tab/>
        <w:t>Renewal</w:t>
      </w:r>
      <w:r>
        <w:rPr>
          <w:spacing w:val="-30"/>
          <w:sz w:val="18"/>
        </w:rPr>
        <w:t> </w:t>
      </w:r>
      <w:r>
        <w:rPr>
          <w:sz w:val="18"/>
        </w:rPr>
        <w:t>at</w:t>
      </w:r>
      <w:r>
        <w:rPr>
          <w:spacing w:val="-30"/>
          <w:sz w:val="18"/>
        </w:rPr>
        <w:t> </w:t>
      </w:r>
      <w:r>
        <w:rPr>
          <w:sz w:val="18"/>
        </w:rPr>
        <w:t>market</w:t>
      </w:r>
      <w:r>
        <w:rPr>
          <w:spacing w:val="-30"/>
          <w:sz w:val="18"/>
        </w:rPr>
        <w:t> </w:t>
      </w:r>
      <w:r>
        <w:rPr>
          <w:sz w:val="18"/>
        </w:rPr>
        <w:t>(3</w:t>
      </w:r>
      <w:r>
        <w:rPr>
          <w:spacing w:val="-29"/>
          <w:sz w:val="18"/>
        </w:rPr>
        <w:t> </w:t>
      </w:r>
      <w:r>
        <w:rPr>
          <w:sz w:val="18"/>
        </w:rPr>
        <w:t>months)</w:t>
      </w:r>
      <w:r>
        <w:rPr>
          <w:w w:val="78"/>
          <w:sz w:val="18"/>
        </w:rPr>
        <w:t> </w:t>
      </w:r>
      <w:r>
        <w:rPr>
          <w:sz w:val="18"/>
        </w:rPr>
        <w:t>Leased</w:t>
      </w:r>
      <w:r>
        <w:rPr>
          <w:spacing w:val="20"/>
          <w:sz w:val="18"/>
        </w:rPr>
        <w:t> </w:t>
      </w:r>
      <w:r>
        <w:rPr>
          <w:sz w:val="18"/>
        </w:rPr>
        <w:t>Area</w:t>
      </w:r>
      <w:r>
        <w:rPr>
          <w:spacing w:val="22"/>
          <w:sz w:val="18"/>
        </w:rPr>
        <w:t> </w:t>
      </w:r>
      <w:r>
        <w:rPr>
          <w:sz w:val="18"/>
        </w:rPr>
        <w:t>&lt;10,000</w:t>
        <w:tab/>
        <w:t>Renewal</w:t>
      </w:r>
      <w:r>
        <w:rPr>
          <w:spacing w:val="-30"/>
          <w:sz w:val="18"/>
        </w:rPr>
        <w:t> </w:t>
      </w:r>
      <w:r>
        <w:rPr>
          <w:sz w:val="18"/>
        </w:rPr>
        <w:t>at</w:t>
      </w:r>
      <w:r>
        <w:rPr>
          <w:spacing w:val="-31"/>
          <w:sz w:val="18"/>
        </w:rPr>
        <w:t> </w:t>
      </w:r>
      <w:r>
        <w:rPr>
          <w:sz w:val="18"/>
        </w:rPr>
        <w:t>market</w:t>
      </w:r>
      <w:r>
        <w:rPr>
          <w:spacing w:val="-30"/>
          <w:sz w:val="18"/>
        </w:rPr>
        <w:t> </w:t>
      </w:r>
      <w:r>
        <w:rPr>
          <w:sz w:val="18"/>
        </w:rPr>
        <w:t>(2</w:t>
      </w:r>
      <w:r>
        <w:rPr>
          <w:spacing w:val="-30"/>
          <w:sz w:val="18"/>
        </w:rPr>
        <w:t> </w:t>
      </w:r>
      <w:r>
        <w:rPr>
          <w:sz w:val="18"/>
        </w:rPr>
        <w:t>months)</w:t>
      </w:r>
    </w:p>
    <w:p>
      <w:pPr>
        <w:spacing w:line="175" w:lineRule="exact" w:before="0"/>
        <w:ind w:left="120" w:right="0" w:firstLine="0"/>
        <w:jc w:val="left"/>
        <w:rPr>
          <w:i/>
          <w:sz w:val="18"/>
        </w:rPr>
      </w:pPr>
      <w:r>
        <w:rPr/>
        <w:pict>
          <v:shape style="position:absolute;margin-left:36pt;margin-top:-33.008373pt;width:523.6pt;height:.75pt;mso-position-horizontal-relative:page;mso-position-vertical-relative:paragraph;z-index:-34652160" coordorigin="720,-660" coordsize="10472,15" path="m11191,-660l7000,-660,6985,-660,720,-660,720,-646,6985,-646,7000,-646,11191,-646,11191,-660xe" filled="true" fillcolor="#69bd28" stroked="false">
            <v:path arrowok="t"/>
            <v:fill type="solid"/>
            <w10:wrap type="none"/>
          </v:shape>
        </w:pict>
      </w:r>
      <w:r>
        <w:rPr/>
        <w:pict>
          <v:shape style="position:absolute;margin-left:36pt;margin-top:-17.888371pt;width:523.6pt;height:.75pt;mso-position-horizontal-relative:page;mso-position-vertical-relative:paragraph;z-index:-34651648" coordorigin="720,-358" coordsize="10472,15" path="m11191,-358l7000,-358,6985,-358,720,-358,720,-343,6985,-343,7000,-343,11191,-343,11191,-358xe" filled="true" fillcolor="#69bd28" stroked="false">
            <v:path arrowok="t"/>
            <v:fill type="solid"/>
            <w10:wrap type="none"/>
          </v:shape>
        </w:pict>
      </w:r>
      <w:r>
        <w:rPr/>
        <w:pict>
          <v:shape style="position:absolute;margin-left:35.280003pt;margin-top:-2.64837pt;width:524.3pt;height:.75pt;mso-position-horizontal-relative:page;mso-position-vertical-relative:paragraph;z-index:-34651136" coordorigin="706,-53" coordsize="10486,15" path="m11191,-53l6985,-53,6971,-53,706,-53,706,-39,6971,-39,6985,-39,11191,-39,11191,-53xe" filled="true" fillcolor="#69bd28" stroked="false">
            <v:path arrowok="t"/>
            <v:fill type="solid"/>
            <w10:wrap type="none"/>
          </v:shape>
        </w:pict>
      </w:r>
      <w:r>
        <w:rPr>
          <w:i/>
          <w:sz w:val="18"/>
        </w:rPr>
        <w:t>Source: Valuer Assessment</w:t>
      </w:r>
    </w:p>
    <w:p>
      <w:pPr>
        <w:pStyle w:val="BodyText"/>
        <w:spacing w:before="2"/>
        <w:rPr>
          <w:i/>
          <w:sz w:val="24"/>
        </w:rPr>
      </w:pPr>
    </w:p>
    <w:p>
      <w:pPr>
        <w:pStyle w:val="ListParagraph"/>
        <w:numPr>
          <w:ilvl w:val="3"/>
          <w:numId w:val="38"/>
        </w:numPr>
        <w:tabs>
          <w:tab w:pos="875" w:val="left" w:leader="none"/>
        </w:tabs>
        <w:spacing w:line="240" w:lineRule="auto" w:before="0" w:after="0"/>
        <w:ind w:left="874" w:right="0" w:hanging="755"/>
        <w:jc w:val="both"/>
        <w:rPr>
          <w:i/>
          <w:sz w:val="20"/>
        </w:rPr>
      </w:pPr>
      <w:r>
        <w:rPr>
          <w:i/>
          <w:color w:val="008000"/>
          <w:sz w:val="20"/>
        </w:rPr>
        <w:t>Rent</w:t>
      </w:r>
      <w:r>
        <w:rPr>
          <w:i/>
          <w:color w:val="008000"/>
          <w:spacing w:val="-4"/>
          <w:sz w:val="20"/>
        </w:rPr>
        <w:t> </w:t>
      </w:r>
      <w:r>
        <w:rPr>
          <w:i/>
          <w:color w:val="008000"/>
          <w:sz w:val="20"/>
        </w:rPr>
        <w:t>Escalation</w:t>
      </w:r>
    </w:p>
    <w:p>
      <w:pPr>
        <w:pStyle w:val="BodyText"/>
        <w:spacing w:before="1"/>
        <w:rPr>
          <w:i/>
        </w:rPr>
      </w:pPr>
    </w:p>
    <w:p>
      <w:pPr>
        <w:pStyle w:val="BodyText"/>
        <w:spacing w:line="321" w:lineRule="auto"/>
        <w:ind w:left="682" w:right="114"/>
        <w:jc w:val="both"/>
      </w:pPr>
      <w:r>
        <w:rPr/>
        <w:t>Based</w:t>
      </w:r>
      <w:r>
        <w:rPr>
          <w:spacing w:val="-37"/>
        </w:rPr>
        <w:t> </w:t>
      </w:r>
      <w:r>
        <w:rPr/>
        <w:t>on</w:t>
      </w:r>
      <w:r>
        <w:rPr>
          <w:spacing w:val="-37"/>
        </w:rPr>
        <w:t> </w:t>
      </w:r>
      <w:r>
        <w:rPr/>
        <w:t>an</w:t>
      </w:r>
      <w:r>
        <w:rPr>
          <w:spacing w:val="-38"/>
        </w:rPr>
        <w:t> </w:t>
      </w:r>
      <w:r>
        <w:rPr/>
        <w:t>analysis</w:t>
      </w:r>
      <w:r>
        <w:rPr>
          <w:spacing w:val="-37"/>
        </w:rPr>
        <w:t> </w:t>
      </w:r>
      <w:r>
        <w:rPr/>
        <w:t>of</w:t>
      </w:r>
      <w:r>
        <w:rPr>
          <w:spacing w:val="-36"/>
        </w:rPr>
        <w:t> </w:t>
      </w:r>
      <w:r>
        <w:rPr/>
        <w:t>existing</w:t>
      </w:r>
      <w:r>
        <w:rPr>
          <w:spacing w:val="-36"/>
        </w:rPr>
        <w:t> </w:t>
      </w:r>
      <w:r>
        <w:rPr/>
        <w:t>rent</w:t>
      </w:r>
      <w:r>
        <w:rPr>
          <w:spacing w:val="-37"/>
        </w:rPr>
        <w:t> </w:t>
      </w:r>
      <w:r>
        <w:rPr/>
        <w:t>rolls,</w:t>
      </w:r>
      <w:r>
        <w:rPr>
          <w:spacing w:val="-38"/>
        </w:rPr>
        <w:t> </w:t>
      </w:r>
      <w:r>
        <w:rPr/>
        <w:t>it</w:t>
      </w:r>
      <w:r>
        <w:rPr>
          <w:spacing w:val="-37"/>
        </w:rPr>
        <w:t> </w:t>
      </w:r>
      <w:r>
        <w:rPr/>
        <w:t>was</w:t>
      </w:r>
      <w:r>
        <w:rPr>
          <w:spacing w:val="-36"/>
        </w:rPr>
        <w:t> </w:t>
      </w:r>
      <w:r>
        <w:rPr/>
        <w:t>observed</w:t>
      </w:r>
      <w:r>
        <w:rPr>
          <w:spacing w:val="-37"/>
        </w:rPr>
        <w:t> </w:t>
      </w:r>
      <w:r>
        <w:rPr/>
        <w:t>that</w:t>
      </w:r>
      <w:r>
        <w:rPr>
          <w:spacing w:val="-36"/>
        </w:rPr>
        <w:t> </w:t>
      </w:r>
      <w:r>
        <w:rPr/>
        <w:t>the</w:t>
      </w:r>
      <w:r>
        <w:rPr>
          <w:spacing w:val="-38"/>
        </w:rPr>
        <w:t> </w:t>
      </w:r>
      <w:r>
        <w:rPr/>
        <w:t>typical</w:t>
      </w:r>
      <w:r>
        <w:rPr>
          <w:spacing w:val="-37"/>
        </w:rPr>
        <w:t> </w:t>
      </w:r>
      <w:r>
        <w:rPr/>
        <w:t>escalation</w:t>
      </w:r>
      <w:r>
        <w:rPr>
          <w:spacing w:val="-38"/>
        </w:rPr>
        <w:t> </w:t>
      </w:r>
      <w:r>
        <w:rPr/>
        <w:t>clause</w:t>
      </w:r>
      <w:r>
        <w:rPr>
          <w:spacing w:val="-37"/>
        </w:rPr>
        <w:t> </w:t>
      </w:r>
      <w:r>
        <w:rPr/>
        <w:t>in</w:t>
      </w:r>
      <w:r>
        <w:rPr>
          <w:spacing w:val="-38"/>
        </w:rPr>
        <w:t> </w:t>
      </w:r>
      <w:r>
        <w:rPr/>
        <w:t>the</w:t>
      </w:r>
      <w:r>
        <w:rPr>
          <w:spacing w:val="-38"/>
        </w:rPr>
        <w:t> </w:t>
      </w:r>
      <w:r>
        <w:rPr/>
        <w:t>subject property</w:t>
      </w:r>
      <w:r>
        <w:rPr>
          <w:spacing w:val="-32"/>
        </w:rPr>
        <w:t> </w:t>
      </w:r>
      <w:r>
        <w:rPr/>
        <w:t>is</w:t>
      </w:r>
      <w:r>
        <w:rPr>
          <w:spacing w:val="-32"/>
        </w:rPr>
        <w:t> </w:t>
      </w:r>
      <w:r>
        <w:rPr/>
        <w:t>approx.</w:t>
      </w:r>
      <w:r>
        <w:rPr>
          <w:spacing w:val="-33"/>
        </w:rPr>
        <w:t> </w:t>
      </w:r>
      <w:r>
        <w:rPr/>
        <w:t>15.0%</w:t>
      </w:r>
      <w:r>
        <w:rPr>
          <w:spacing w:val="-32"/>
        </w:rPr>
        <w:t> </w:t>
      </w:r>
      <w:r>
        <w:rPr/>
        <w:t>after</w:t>
      </w:r>
      <w:r>
        <w:rPr>
          <w:spacing w:val="-32"/>
        </w:rPr>
        <w:t> </w:t>
      </w:r>
      <w:r>
        <w:rPr/>
        <w:t>every</w:t>
      </w:r>
      <w:r>
        <w:rPr>
          <w:spacing w:val="-32"/>
        </w:rPr>
        <w:t> </w:t>
      </w:r>
      <w:r>
        <w:rPr/>
        <w:t>three</w:t>
      </w:r>
      <w:r>
        <w:rPr>
          <w:spacing w:val="-32"/>
        </w:rPr>
        <w:t> </w:t>
      </w:r>
      <w:r>
        <w:rPr/>
        <w:t>years,</w:t>
      </w:r>
      <w:r>
        <w:rPr>
          <w:spacing w:val="-33"/>
        </w:rPr>
        <w:t> </w:t>
      </w:r>
      <w:r>
        <w:rPr/>
        <w:t>which</w:t>
      </w:r>
      <w:r>
        <w:rPr>
          <w:spacing w:val="-33"/>
        </w:rPr>
        <w:t> </w:t>
      </w:r>
      <w:r>
        <w:rPr/>
        <w:t>is</w:t>
      </w:r>
      <w:r>
        <w:rPr>
          <w:spacing w:val="-31"/>
        </w:rPr>
        <w:t> </w:t>
      </w:r>
      <w:r>
        <w:rPr/>
        <w:t>in-line</w:t>
      </w:r>
      <w:r>
        <w:rPr>
          <w:spacing w:val="-34"/>
        </w:rPr>
        <w:t> </w:t>
      </w:r>
      <w:r>
        <w:rPr/>
        <w:t>with</w:t>
      </w:r>
      <w:r>
        <w:rPr>
          <w:spacing w:val="-32"/>
        </w:rPr>
        <w:t> </w:t>
      </w:r>
      <w:r>
        <w:rPr/>
        <w:t>the</w:t>
      </w:r>
      <w:r>
        <w:rPr>
          <w:spacing w:val="-33"/>
        </w:rPr>
        <w:t> </w:t>
      </w:r>
      <w:r>
        <w:rPr/>
        <w:t>trend</w:t>
      </w:r>
      <w:r>
        <w:rPr>
          <w:spacing w:val="-32"/>
        </w:rPr>
        <w:t> </w:t>
      </w:r>
      <w:r>
        <w:rPr/>
        <w:t>observed</w:t>
      </w:r>
      <w:r>
        <w:rPr>
          <w:spacing w:val="-31"/>
        </w:rPr>
        <w:t> </w:t>
      </w:r>
      <w:r>
        <w:rPr/>
        <w:t>in</w:t>
      </w:r>
      <w:r>
        <w:rPr>
          <w:spacing w:val="-33"/>
        </w:rPr>
        <w:t> </w:t>
      </w:r>
      <w:r>
        <w:rPr/>
        <w:t>the</w:t>
      </w:r>
      <w:r>
        <w:rPr>
          <w:spacing w:val="-32"/>
        </w:rPr>
        <w:t> </w:t>
      </w:r>
      <w:r>
        <w:rPr/>
        <w:t>market. The</w:t>
      </w:r>
      <w:r>
        <w:rPr>
          <w:spacing w:val="-20"/>
        </w:rPr>
        <w:t> </w:t>
      </w:r>
      <w:r>
        <w:rPr/>
        <w:t>same</w:t>
      </w:r>
      <w:r>
        <w:rPr>
          <w:spacing w:val="-19"/>
        </w:rPr>
        <w:t> </w:t>
      </w:r>
      <w:r>
        <w:rPr/>
        <w:t>has</w:t>
      </w:r>
      <w:r>
        <w:rPr>
          <w:spacing w:val="-20"/>
        </w:rPr>
        <w:t> </w:t>
      </w:r>
      <w:r>
        <w:rPr/>
        <w:t>been</w:t>
      </w:r>
      <w:r>
        <w:rPr>
          <w:spacing w:val="-20"/>
        </w:rPr>
        <w:t> </w:t>
      </w:r>
      <w:r>
        <w:rPr/>
        <w:t>adopted</w:t>
      </w:r>
      <w:r>
        <w:rPr>
          <w:spacing w:val="-19"/>
        </w:rPr>
        <w:t> </w:t>
      </w:r>
      <w:r>
        <w:rPr/>
        <w:t>by</w:t>
      </w:r>
      <w:r>
        <w:rPr>
          <w:spacing w:val="-16"/>
        </w:rPr>
        <w:t> </w:t>
      </w:r>
      <w:r>
        <w:rPr/>
        <w:t>the</w:t>
      </w:r>
      <w:r>
        <w:rPr>
          <w:spacing w:val="-19"/>
        </w:rPr>
        <w:t> </w:t>
      </w:r>
      <w:r>
        <w:rPr/>
        <w:t>Valuer</w:t>
      </w:r>
      <w:r>
        <w:rPr>
          <w:spacing w:val="-19"/>
        </w:rPr>
        <w:t> </w:t>
      </w:r>
      <w:r>
        <w:rPr/>
        <w:t>for</w:t>
      </w:r>
      <w:r>
        <w:rPr>
          <w:spacing w:val="-19"/>
        </w:rPr>
        <w:t> </w:t>
      </w:r>
      <w:r>
        <w:rPr/>
        <w:t>the</w:t>
      </w:r>
      <w:r>
        <w:rPr>
          <w:spacing w:val="-20"/>
        </w:rPr>
        <w:t> </w:t>
      </w:r>
      <w:r>
        <w:rPr/>
        <w:t>vacant</w:t>
      </w:r>
      <w:r>
        <w:rPr>
          <w:spacing w:val="-19"/>
        </w:rPr>
        <w:t> </w:t>
      </w:r>
      <w:r>
        <w:rPr/>
        <w:t>area</w:t>
      </w:r>
      <w:r>
        <w:rPr>
          <w:spacing w:val="-19"/>
        </w:rPr>
        <w:t> </w:t>
      </w:r>
      <w:r>
        <w:rPr/>
        <w:t>and</w:t>
      </w:r>
      <w:r>
        <w:rPr>
          <w:spacing w:val="-19"/>
        </w:rPr>
        <w:t> </w:t>
      </w:r>
      <w:r>
        <w:rPr/>
        <w:t>renewals</w:t>
      </w:r>
      <w:r>
        <w:rPr>
          <w:spacing w:val="-18"/>
        </w:rPr>
        <w:t> </w:t>
      </w:r>
      <w:r>
        <w:rPr/>
        <w:t>at</w:t>
      </w:r>
      <w:r>
        <w:rPr>
          <w:spacing w:val="-19"/>
        </w:rPr>
        <w:t> </w:t>
      </w:r>
      <w:r>
        <w:rPr/>
        <w:t>the</w:t>
      </w:r>
      <w:r>
        <w:rPr>
          <w:spacing w:val="-19"/>
        </w:rPr>
        <w:t> </w:t>
      </w:r>
      <w:r>
        <w:rPr/>
        <w:t>subject</w:t>
      </w:r>
      <w:r>
        <w:rPr>
          <w:spacing w:val="-19"/>
        </w:rPr>
        <w:t> </w:t>
      </w:r>
      <w:r>
        <w:rPr/>
        <w:t>property.</w:t>
      </w:r>
    </w:p>
    <w:p>
      <w:pPr>
        <w:pStyle w:val="BodyText"/>
        <w:spacing w:before="2"/>
        <w:rPr>
          <w:sz w:val="23"/>
        </w:rPr>
      </w:pPr>
    </w:p>
    <w:p>
      <w:pPr>
        <w:pStyle w:val="ListParagraph"/>
        <w:numPr>
          <w:ilvl w:val="3"/>
          <w:numId w:val="38"/>
        </w:numPr>
        <w:tabs>
          <w:tab w:pos="875" w:val="left" w:leader="none"/>
        </w:tabs>
        <w:spacing w:line="240" w:lineRule="auto" w:before="0" w:after="0"/>
        <w:ind w:left="874" w:right="0" w:hanging="755"/>
        <w:jc w:val="both"/>
        <w:rPr>
          <w:i/>
          <w:sz w:val="20"/>
        </w:rPr>
      </w:pPr>
      <w:r>
        <w:rPr>
          <w:i/>
          <w:color w:val="008000"/>
          <w:sz w:val="20"/>
        </w:rPr>
        <w:t>Fit-out</w:t>
      </w:r>
      <w:r>
        <w:rPr>
          <w:i/>
          <w:color w:val="008000"/>
          <w:spacing w:val="-4"/>
          <w:sz w:val="20"/>
        </w:rPr>
        <w:t> </w:t>
      </w:r>
      <w:r>
        <w:rPr>
          <w:i/>
          <w:color w:val="008000"/>
          <w:sz w:val="20"/>
        </w:rPr>
        <w:t>Rents</w:t>
      </w:r>
    </w:p>
    <w:p>
      <w:pPr>
        <w:pStyle w:val="BodyText"/>
        <w:rPr>
          <w:i/>
        </w:rPr>
      </w:pPr>
    </w:p>
    <w:p>
      <w:pPr>
        <w:pStyle w:val="BodyText"/>
        <w:spacing w:line="321" w:lineRule="auto"/>
        <w:ind w:left="682" w:right="115"/>
        <w:jc w:val="both"/>
      </w:pPr>
      <w:r>
        <w:rPr/>
        <w:t>As</w:t>
      </w:r>
      <w:r>
        <w:rPr>
          <w:spacing w:val="-38"/>
        </w:rPr>
        <w:t> </w:t>
      </w:r>
      <w:r>
        <w:rPr/>
        <w:t>per</w:t>
      </w:r>
      <w:r>
        <w:rPr>
          <w:spacing w:val="-36"/>
        </w:rPr>
        <w:t> </w:t>
      </w:r>
      <w:r>
        <w:rPr/>
        <w:t>the</w:t>
      </w:r>
      <w:r>
        <w:rPr>
          <w:spacing w:val="-37"/>
        </w:rPr>
        <w:t> </w:t>
      </w:r>
      <w:r>
        <w:rPr/>
        <w:t>information</w:t>
      </w:r>
      <w:r>
        <w:rPr>
          <w:spacing w:val="-37"/>
        </w:rPr>
        <w:t> </w:t>
      </w:r>
      <w:r>
        <w:rPr/>
        <w:t>(rent</w:t>
      </w:r>
      <w:r>
        <w:rPr>
          <w:spacing w:val="-37"/>
        </w:rPr>
        <w:t> </w:t>
      </w:r>
      <w:r>
        <w:rPr/>
        <w:t>roll)</w:t>
      </w:r>
      <w:r>
        <w:rPr>
          <w:spacing w:val="-36"/>
        </w:rPr>
        <w:t> </w:t>
      </w:r>
      <w:r>
        <w:rPr/>
        <w:t>provided</w:t>
      </w:r>
      <w:r>
        <w:rPr>
          <w:spacing w:val="-36"/>
        </w:rPr>
        <w:t> </w:t>
      </w:r>
      <w:r>
        <w:rPr/>
        <w:t>by</w:t>
      </w:r>
      <w:r>
        <w:rPr>
          <w:spacing w:val="-36"/>
        </w:rPr>
        <w:t> </w:t>
      </w:r>
      <w:r>
        <w:rPr/>
        <w:t>the</w:t>
      </w:r>
      <w:r>
        <w:rPr>
          <w:spacing w:val="-37"/>
        </w:rPr>
        <w:t> </w:t>
      </w:r>
      <w:r>
        <w:rPr/>
        <w:t>Client,</w:t>
      </w:r>
      <w:r>
        <w:rPr>
          <w:spacing w:val="-37"/>
        </w:rPr>
        <w:t> </w:t>
      </w:r>
      <w:r>
        <w:rPr/>
        <w:t>we</w:t>
      </w:r>
      <w:r>
        <w:rPr>
          <w:spacing w:val="-37"/>
        </w:rPr>
        <w:t> </w:t>
      </w:r>
      <w:r>
        <w:rPr/>
        <w:t>understand</w:t>
      </w:r>
      <w:r>
        <w:rPr>
          <w:spacing w:val="-36"/>
        </w:rPr>
        <w:t> </w:t>
      </w:r>
      <w:r>
        <w:rPr/>
        <w:t>that</w:t>
      </w:r>
      <w:r>
        <w:rPr>
          <w:spacing w:val="-36"/>
        </w:rPr>
        <w:t> </w:t>
      </w:r>
      <w:r>
        <w:rPr/>
        <w:t>in</w:t>
      </w:r>
      <w:r>
        <w:rPr>
          <w:spacing w:val="-37"/>
        </w:rPr>
        <w:t> </w:t>
      </w:r>
      <w:r>
        <w:rPr/>
        <w:t>addition</w:t>
      </w:r>
      <w:r>
        <w:rPr>
          <w:spacing w:val="-37"/>
        </w:rPr>
        <w:t> </w:t>
      </w:r>
      <w:r>
        <w:rPr/>
        <w:t>to</w:t>
      </w:r>
      <w:r>
        <w:rPr>
          <w:spacing w:val="-36"/>
        </w:rPr>
        <w:t> </w:t>
      </w:r>
      <w:r>
        <w:rPr/>
        <w:t>the</w:t>
      </w:r>
      <w:r>
        <w:rPr>
          <w:spacing w:val="-37"/>
        </w:rPr>
        <w:t> </w:t>
      </w:r>
      <w:r>
        <w:rPr/>
        <w:t>lease</w:t>
      </w:r>
      <w:r>
        <w:rPr>
          <w:spacing w:val="-34"/>
        </w:rPr>
        <w:t> </w:t>
      </w:r>
      <w:r>
        <w:rPr/>
        <w:t>rent, there</w:t>
      </w:r>
      <w:r>
        <w:rPr>
          <w:spacing w:val="-30"/>
        </w:rPr>
        <w:t> </w:t>
      </w:r>
      <w:r>
        <w:rPr/>
        <w:t>is</w:t>
      </w:r>
      <w:r>
        <w:rPr>
          <w:spacing w:val="-30"/>
        </w:rPr>
        <w:t> </w:t>
      </w:r>
      <w:r>
        <w:rPr/>
        <w:t>an</w:t>
      </w:r>
      <w:r>
        <w:rPr>
          <w:spacing w:val="-30"/>
        </w:rPr>
        <w:t> </w:t>
      </w:r>
      <w:r>
        <w:rPr/>
        <w:t>additional</w:t>
      </w:r>
      <w:r>
        <w:rPr>
          <w:spacing w:val="-30"/>
        </w:rPr>
        <w:t> </w:t>
      </w:r>
      <w:r>
        <w:rPr/>
        <w:t>rent</w:t>
      </w:r>
      <w:r>
        <w:rPr>
          <w:spacing w:val="-29"/>
        </w:rPr>
        <w:t> </w:t>
      </w:r>
      <w:r>
        <w:rPr/>
        <w:t>towards</w:t>
      </w:r>
      <w:r>
        <w:rPr>
          <w:spacing w:val="-29"/>
        </w:rPr>
        <w:t> </w:t>
      </w:r>
      <w:r>
        <w:rPr/>
        <w:t>fit-out</w:t>
      </w:r>
      <w:r>
        <w:rPr>
          <w:spacing w:val="-29"/>
        </w:rPr>
        <w:t> </w:t>
      </w:r>
      <w:r>
        <w:rPr/>
        <w:t>for</w:t>
      </w:r>
      <w:r>
        <w:rPr>
          <w:spacing w:val="-30"/>
        </w:rPr>
        <w:t> </w:t>
      </w:r>
      <w:r>
        <w:rPr/>
        <w:t>few</w:t>
      </w:r>
      <w:r>
        <w:rPr>
          <w:spacing w:val="-30"/>
        </w:rPr>
        <w:t> </w:t>
      </w:r>
      <w:r>
        <w:rPr/>
        <w:t>of</w:t>
      </w:r>
      <w:r>
        <w:rPr>
          <w:spacing w:val="-30"/>
        </w:rPr>
        <w:t> </w:t>
      </w:r>
      <w:r>
        <w:rPr/>
        <w:t>the</w:t>
      </w:r>
      <w:r>
        <w:rPr>
          <w:spacing w:val="-31"/>
        </w:rPr>
        <w:t> </w:t>
      </w:r>
      <w:r>
        <w:rPr/>
        <w:t>tenants.</w:t>
      </w:r>
      <w:r>
        <w:rPr>
          <w:spacing w:val="-30"/>
        </w:rPr>
        <w:t> </w:t>
      </w:r>
      <w:r>
        <w:rPr/>
        <w:t>These</w:t>
      </w:r>
      <w:r>
        <w:rPr>
          <w:spacing w:val="-30"/>
        </w:rPr>
        <w:t> </w:t>
      </w:r>
      <w:r>
        <w:rPr/>
        <w:t>rents</w:t>
      </w:r>
      <w:r>
        <w:rPr>
          <w:spacing w:val="-30"/>
        </w:rPr>
        <w:t> </w:t>
      </w:r>
      <w:r>
        <w:rPr/>
        <w:t>are</w:t>
      </w:r>
      <w:r>
        <w:rPr>
          <w:spacing w:val="-30"/>
        </w:rPr>
        <w:t> </w:t>
      </w:r>
      <w:r>
        <w:rPr/>
        <w:t>in</w:t>
      </w:r>
      <w:r>
        <w:rPr>
          <w:spacing w:val="-31"/>
        </w:rPr>
        <w:t> </w:t>
      </w:r>
      <w:r>
        <w:rPr/>
        <w:t>the</w:t>
      </w:r>
      <w:r>
        <w:rPr>
          <w:spacing w:val="-29"/>
        </w:rPr>
        <w:t> </w:t>
      </w:r>
      <w:r>
        <w:rPr/>
        <w:t>range</w:t>
      </w:r>
      <w:r>
        <w:rPr>
          <w:spacing w:val="-30"/>
        </w:rPr>
        <w:t> </w:t>
      </w:r>
      <w:r>
        <w:rPr/>
        <w:t>of</w:t>
      </w:r>
      <w:r>
        <w:rPr>
          <w:spacing w:val="-29"/>
        </w:rPr>
        <w:t> </w:t>
      </w:r>
      <w:r>
        <w:rPr/>
        <w:t>INR</w:t>
      </w:r>
      <w:r>
        <w:rPr>
          <w:spacing w:val="-31"/>
        </w:rPr>
        <w:t> </w:t>
      </w:r>
      <w:r>
        <w:rPr/>
        <w:t>40.0 to</w:t>
      </w:r>
      <w:r>
        <w:rPr>
          <w:spacing w:val="-24"/>
        </w:rPr>
        <w:t> </w:t>
      </w:r>
      <w:r>
        <w:rPr/>
        <w:t>50.0</w:t>
      </w:r>
      <w:r>
        <w:rPr>
          <w:spacing w:val="-25"/>
        </w:rPr>
        <w:t> </w:t>
      </w:r>
      <w:r>
        <w:rPr/>
        <w:t>psf</w:t>
      </w:r>
      <w:r>
        <w:rPr>
          <w:spacing w:val="-23"/>
        </w:rPr>
        <w:t> </w:t>
      </w:r>
      <w:r>
        <w:rPr/>
        <w:t>pm.</w:t>
      </w:r>
      <w:r>
        <w:rPr>
          <w:spacing w:val="-24"/>
        </w:rPr>
        <w:t> </w:t>
      </w:r>
      <w:r>
        <w:rPr/>
        <w:t>For</w:t>
      </w:r>
      <w:r>
        <w:rPr>
          <w:spacing w:val="-25"/>
        </w:rPr>
        <w:t> </w:t>
      </w:r>
      <w:r>
        <w:rPr/>
        <w:t>this</w:t>
      </w:r>
      <w:r>
        <w:rPr>
          <w:spacing w:val="-23"/>
        </w:rPr>
        <w:t> </w:t>
      </w:r>
      <w:r>
        <w:rPr/>
        <w:t>valuation,</w:t>
      </w:r>
      <w:r>
        <w:rPr>
          <w:spacing w:val="-25"/>
        </w:rPr>
        <w:t> </w:t>
      </w:r>
      <w:r>
        <w:rPr/>
        <w:t>we</w:t>
      </w:r>
      <w:r>
        <w:rPr>
          <w:spacing w:val="-24"/>
        </w:rPr>
        <w:t> </w:t>
      </w:r>
      <w:r>
        <w:rPr/>
        <w:t>have</w:t>
      </w:r>
      <w:r>
        <w:rPr>
          <w:spacing w:val="-25"/>
        </w:rPr>
        <w:t> </w:t>
      </w:r>
      <w:r>
        <w:rPr/>
        <w:t>adopted</w:t>
      </w:r>
      <w:r>
        <w:rPr>
          <w:spacing w:val="-23"/>
        </w:rPr>
        <w:t> </w:t>
      </w:r>
      <w:r>
        <w:rPr/>
        <w:t>the</w:t>
      </w:r>
      <w:r>
        <w:rPr>
          <w:spacing w:val="-25"/>
        </w:rPr>
        <w:t> </w:t>
      </w:r>
      <w:r>
        <w:rPr/>
        <w:t>tenant</w:t>
      </w:r>
      <w:r>
        <w:rPr>
          <w:spacing w:val="-23"/>
        </w:rPr>
        <w:t> </w:t>
      </w:r>
      <w:r>
        <w:rPr/>
        <w:t>wise</w:t>
      </w:r>
      <w:r>
        <w:rPr>
          <w:spacing w:val="-25"/>
        </w:rPr>
        <w:t> </w:t>
      </w:r>
      <w:r>
        <w:rPr/>
        <w:t>fit-out</w:t>
      </w:r>
      <w:r>
        <w:rPr>
          <w:spacing w:val="-23"/>
        </w:rPr>
        <w:t> </w:t>
      </w:r>
      <w:r>
        <w:rPr/>
        <w:t>rents</w:t>
      </w:r>
      <w:r>
        <w:rPr>
          <w:spacing w:val="-24"/>
        </w:rPr>
        <w:t> </w:t>
      </w:r>
      <w:r>
        <w:rPr/>
        <w:t>as</w:t>
      </w:r>
      <w:r>
        <w:rPr>
          <w:spacing w:val="-23"/>
        </w:rPr>
        <w:t> </w:t>
      </w:r>
      <w:r>
        <w:rPr/>
        <w:t>provided</w:t>
      </w:r>
      <w:r>
        <w:rPr>
          <w:spacing w:val="-23"/>
        </w:rPr>
        <w:t> </w:t>
      </w:r>
      <w:r>
        <w:rPr/>
        <w:t>in</w:t>
      </w:r>
      <w:r>
        <w:rPr>
          <w:spacing w:val="-25"/>
        </w:rPr>
        <w:t> </w:t>
      </w:r>
      <w:r>
        <w:rPr/>
        <w:t>the</w:t>
      </w:r>
      <w:r>
        <w:rPr>
          <w:spacing w:val="-24"/>
        </w:rPr>
        <w:t> </w:t>
      </w:r>
      <w:r>
        <w:rPr/>
        <w:t>rent roll.</w:t>
      </w:r>
    </w:p>
    <w:p>
      <w:pPr>
        <w:pStyle w:val="BodyText"/>
        <w:spacing w:before="6"/>
        <w:rPr>
          <w:sz w:val="23"/>
        </w:rPr>
      </w:pPr>
    </w:p>
    <w:p>
      <w:pPr>
        <w:pStyle w:val="ListParagraph"/>
        <w:numPr>
          <w:ilvl w:val="3"/>
          <w:numId w:val="38"/>
        </w:numPr>
        <w:tabs>
          <w:tab w:pos="875" w:val="left" w:leader="none"/>
        </w:tabs>
        <w:spacing w:line="240" w:lineRule="auto" w:before="0" w:after="0"/>
        <w:ind w:left="874" w:right="0" w:hanging="755"/>
        <w:jc w:val="both"/>
        <w:rPr>
          <w:i/>
          <w:sz w:val="20"/>
        </w:rPr>
      </w:pPr>
      <w:r>
        <w:rPr>
          <w:i/>
          <w:color w:val="008000"/>
          <w:sz w:val="20"/>
        </w:rPr>
        <w:t>Other</w:t>
      </w:r>
      <w:r>
        <w:rPr>
          <w:i/>
          <w:color w:val="008000"/>
          <w:spacing w:val="-2"/>
          <w:sz w:val="20"/>
        </w:rPr>
        <w:t> </w:t>
      </w:r>
      <w:r>
        <w:rPr>
          <w:i/>
          <w:color w:val="008000"/>
          <w:sz w:val="20"/>
        </w:rPr>
        <w:t>Revenues</w:t>
      </w:r>
    </w:p>
    <w:p>
      <w:pPr>
        <w:pStyle w:val="BodyText"/>
        <w:spacing w:line="321" w:lineRule="auto" w:before="136"/>
        <w:ind w:left="682" w:right="114"/>
        <w:jc w:val="both"/>
      </w:pPr>
      <w:r>
        <w:rPr/>
        <w:t>In addition to lease rent revenues, commercial developments typically have additional sources of revenue.</w:t>
      </w:r>
      <w:r>
        <w:rPr>
          <w:spacing w:val="-41"/>
        </w:rPr>
        <w:t> </w:t>
      </w:r>
      <w:r>
        <w:rPr/>
        <w:t>These</w:t>
      </w:r>
      <w:r>
        <w:rPr>
          <w:spacing w:val="-41"/>
        </w:rPr>
        <w:t> </w:t>
      </w:r>
      <w:r>
        <w:rPr/>
        <w:t>include</w:t>
      </w:r>
      <w:r>
        <w:rPr>
          <w:spacing w:val="-41"/>
        </w:rPr>
        <w:t> </w:t>
      </w:r>
      <w:r>
        <w:rPr/>
        <w:t>revenues</w:t>
      </w:r>
      <w:r>
        <w:rPr>
          <w:spacing w:val="-40"/>
        </w:rPr>
        <w:t> </w:t>
      </w:r>
      <w:r>
        <w:rPr/>
        <w:t>because</w:t>
      </w:r>
      <w:r>
        <w:rPr>
          <w:spacing w:val="-40"/>
        </w:rPr>
        <w:t> </w:t>
      </w:r>
      <w:r>
        <w:rPr/>
        <w:t>of</w:t>
      </w:r>
      <w:r>
        <w:rPr>
          <w:spacing w:val="-41"/>
        </w:rPr>
        <w:t> </w:t>
      </w:r>
      <w:r>
        <w:rPr/>
        <w:t>security</w:t>
      </w:r>
      <w:r>
        <w:rPr>
          <w:spacing w:val="-40"/>
        </w:rPr>
        <w:t> </w:t>
      </w:r>
      <w:r>
        <w:rPr/>
        <w:t>deposit</w:t>
      </w:r>
      <w:r>
        <w:rPr>
          <w:spacing w:val="-41"/>
        </w:rPr>
        <w:t> </w:t>
      </w:r>
      <w:r>
        <w:rPr/>
        <w:t>(refunded</w:t>
      </w:r>
      <w:r>
        <w:rPr>
          <w:spacing w:val="-41"/>
        </w:rPr>
        <w:t> </w:t>
      </w:r>
      <w:r>
        <w:rPr/>
        <w:t>at</w:t>
      </w:r>
      <w:r>
        <w:rPr>
          <w:spacing w:val="-40"/>
        </w:rPr>
        <w:t> </w:t>
      </w:r>
      <w:r>
        <w:rPr/>
        <w:t>the</w:t>
      </w:r>
      <w:r>
        <w:rPr>
          <w:spacing w:val="-42"/>
        </w:rPr>
        <w:t> </w:t>
      </w:r>
      <w:r>
        <w:rPr/>
        <w:t>time</w:t>
      </w:r>
      <w:r>
        <w:rPr>
          <w:spacing w:val="-40"/>
        </w:rPr>
        <w:t> </w:t>
      </w:r>
      <w:r>
        <w:rPr/>
        <w:t>of</w:t>
      </w:r>
      <w:r>
        <w:rPr>
          <w:spacing w:val="-40"/>
        </w:rPr>
        <w:t> </w:t>
      </w:r>
      <w:r>
        <w:rPr/>
        <w:t>lease</w:t>
      </w:r>
      <w:r>
        <w:rPr>
          <w:spacing w:val="-41"/>
        </w:rPr>
        <w:t> </w:t>
      </w:r>
      <w:r>
        <w:rPr/>
        <w:t>expiry</w:t>
      </w:r>
      <w:r>
        <w:rPr>
          <w:spacing w:val="-40"/>
        </w:rPr>
        <w:t> </w:t>
      </w:r>
      <w:r>
        <w:rPr/>
        <w:t>/</w:t>
      </w:r>
      <w:r>
        <w:rPr>
          <w:spacing w:val="-41"/>
        </w:rPr>
        <w:t> </w:t>
      </w:r>
      <w:r>
        <w:rPr/>
        <w:t>exit), other</w:t>
      </w:r>
      <w:r>
        <w:rPr>
          <w:spacing w:val="-30"/>
        </w:rPr>
        <w:t> </w:t>
      </w:r>
      <w:r>
        <w:rPr/>
        <w:t>miscellaneous</w:t>
      </w:r>
      <w:r>
        <w:rPr>
          <w:spacing w:val="-28"/>
        </w:rPr>
        <w:t> </w:t>
      </w:r>
      <w:r>
        <w:rPr/>
        <w:t>income</w:t>
      </w:r>
      <w:r>
        <w:rPr>
          <w:spacing w:val="-29"/>
        </w:rPr>
        <w:t> </w:t>
      </w:r>
      <w:r>
        <w:rPr/>
        <w:t>(such</w:t>
      </w:r>
      <w:r>
        <w:rPr>
          <w:spacing w:val="-29"/>
        </w:rPr>
        <w:t> </w:t>
      </w:r>
      <w:r>
        <w:rPr/>
        <w:t>as</w:t>
      </w:r>
      <w:r>
        <w:rPr>
          <w:spacing w:val="-29"/>
        </w:rPr>
        <w:t> </w:t>
      </w:r>
      <w:r>
        <w:rPr/>
        <w:t>cell</w:t>
      </w:r>
      <w:r>
        <w:rPr>
          <w:spacing w:val="-30"/>
        </w:rPr>
        <w:t> </w:t>
      </w:r>
      <w:r>
        <w:rPr/>
        <w:t>sites,</w:t>
      </w:r>
      <w:r>
        <w:rPr>
          <w:spacing w:val="-31"/>
        </w:rPr>
        <w:t> </w:t>
      </w:r>
      <w:r>
        <w:rPr/>
        <w:t>retail</w:t>
      </w:r>
      <w:r>
        <w:rPr>
          <w:spacing w:val="-29"/>
        </w:rPr>
        <w:t> </w:t>
      </w:r>
      <w:r>
        <w:rPr/>
        <w:t>areas,</w:t>
      </w:r>
      <w:r>
        <w:rPr>
          <w:spacing w:val="-30"/>
        </w:rPr>
        <w:t> </w:t>
      </w:r>
      <w:r>
        <w:rPr/>
        <w:t>food</w:t>
      </w:r>
      <w:r>
        <w:rPr>
          <w:spacing w:val="-28"/>
        </w:rPr>
        <w:t> </w:t>
      </w:r>
      <w:r>
        <w:rPr/>
        <w:t>court,</w:t>
      </w:r>
      <w:r>
        <w:rPr>
          <w:spacing w:val="-29"/>
        </w:rPr>
        <w:t> </w:t>
      </w:r>
      <w:r>
        <w:rPr/>
        <w:t>etc.),</w:t>
      </w:r>
      <w:r>
        <w:rPr>
          <w:spacing w:val="-28"/>
        </w:rPr>
        <w:t> </w:t>
      </w:r>
      <w:r>
        <w:rPr/>
        <w:t>mark-up</w:t>
      </w:r>
      <w:r>
        <w:rPr>
          <w:spacing w:val="-29"/>
        </w:rPr>
        <w:t> </w:t>
      </w:r>
      <w:r>
        <w:rPr/>
        <w:t>on</w:t>
      </w:r>
      <w:r>
        <w:rPr>
          <w:spacing w:val="-30"/>
        </w:rPr>
        <w:t> </w:t>
      </w:r>
      <w:r>
        <w:rPr/>
        <w:t>Common</w:t>
      </w:r>
      <w:r>
        <w:rPr>
          <w:spacing w:val="-31"/>
        </w:rPr>
        <w:t> </w:t>
      </w:r>
      <w:r>
        <w:rPr/>
        <w:t>Area Maintenance (CAM) charges/ CAM margin,</w:t>
      </w:r>
      <w:r>
        <w:rPr>
          <w:spacing w:val="-10"/>
        </w:rPr>
        <w:t> </w:t>
      </w:r>
      <w:r>
        <w:rPr/>
        <w:t>etc.</w:t>
      </w:r>
    </w:p>
    <w:p>
      <w:pPr>
        <w:pStyle w:val="BodyText"/>
        <w:spacing w:line="321" w:lineRule="auto" w:before="121"/>
        <w:ind w:left="682" w:right="116"/>
        <w:jc w:val="both"/>
      </w:pPr>
      <w:r>
        <w:rPr/>
        <w:t>The assumptions considered for the aforementioned revenue heads for the purpose of this valuation exercise</w:t>
      </w:r>
      <w:r>
        <w:rPr>
          <w:spacing w:val="-39"/>
        </w:rPr>
        <w:t> </w:t>
      </w:r>
      <w:r>
        <w:rPr/>
        <w:t>are</w:t>
      </w:r>
      <w:r>
        <w:rPr>
          <w:spacing w:val="-39"/>
        </w:rPr>
        <w:t> </w:t>
      </w:r>
      <w:r>
        <w:rPr/>
        <w:t>based</w:t>
      </w:r>
      <w:r>
        <w:rPr>
          <w:spacing w:val="-39"/>
        </w:rPr>
        <w:t> </w:t>
      </w:r>
      <w:r>
        <w:rPr/>
        <w:t>on</w:t>
      </w:r>
      <w:r>
        <w:rPr>
          <w:spacing w:val="-38"/>
        </w:rPr>
        <w:t> </w:t>
      </w:r>
      <w:r>
        <w:rPr/>
        <w:t>the</w:t>
      </w:r>
      <w:r>
        <w:rPr>
          <w:spacing w:val="-40"/>
        </w:rPr>
        <w:t> </w:t>
      </w:r>
      <w:r>
        <w:rPr/>
        <w:t>rent</w:t>
      </w:r>
      <w:r>
        <w:rPr>
          <w:spacing w:val="-38"/>
        </w:rPr>
        <w:t> </w:t>
      </w:r>
      <w:r>
        <w:rPr/>
        <w:t>roll/</w:t>
      </w:r>
      <w:r>
        <w:rPr>
          <w:spacing w:val="-39"/>
        </w:rPr>
        <w:t> </w:t>
      </w:r>
      <w:r>
        <w:rPr/>
        <w:t>information</w:t>
      </w:r>
      <w:r>
        <w:rPr>
          <w:spacing w:val="-39"/>
        </w:rPr>
        <w:t> </w:t>
      </w:r>
      <w:r>
        <w:rPr/>
        <w:t>provided</w:t>
      </w:r>
      <w:r>
        <w:rPr>
          <w:spacing w:val="-38"/>
        </w:rPr>
        <w:t> </w:t>
      </w:r>
      <w:r>
        <w:rPr/>
        <w:t>by</w:t>
      </w:r>
      <w:r>
        <w:rPr>
          <w:spacing w:val="-39"/>
        </w:rPr>
        <w:t> </w:t>
      </w:r>
      <w:r>
        <w:rPr/>
        <w:t>the</w:t>
      </w:r>
      <w:r>
        <w:rPr>
          <w:spacing w:val="-38"/>
        </w:rPr>
        <w:t> </w:t>
      </w:r>
      <w:r>
        <w:rPr/>
        <w:t>Client.</w:t>
      </w:r>
      <w:r>
        <w:rPr>
          <w:spacing w:val="-36"/>
        </w:rPr>
        <w:t> </w:t>
      </w:r>
      <w:r>
        <w:rPr/>
        <w:t>The</w:t>
      </w:r>
      <w:r>
        <w:rPr>
          <w:spacing w:val="-41"/>
        </w:rPr>
        <w:t> </w:t>
      </w:r>
      <w:r>
        <w:rPr/>
        <w:t>same</w:t>
      </w:r>
      <w:r>
        <w:rPr>
          <w:spacing w:val="-38"/>
        </w:rPr>
        <w:t> </w:t>
      </w:r>
      <w:r>
        <w:rPr/>
        <w:t>has</w:t>
      </w:r>
      <w:r>
        <w:rPr>
          <w:spacing w:val="-38"/>
        </w:rPr>
        <w:t> </w:t>
      </w:r>
      <w:r>
        <w:rPr/>
        <w:t>been</w:t>
      </w:r>
      <w:r>
        <w:rPr>
          <w:spacing w:val="-39"/>
        </w:rPr>
        <w:t> </w:t>
      </w:r>
      <w:r>
        <w:rPr/>
        <w:t>cross-checked with</w:t>
      </w:r>
      <w:r>
        <w:rPr>
          <w:spacing w:val="-13"/>
        </w:rPr>
        <w:t> </w:t>
      </w:r>
      <w:r>
        <w:rPr/>
        <w:t>the</w:t>
      </w:r>
      <w:r>
        <w:rPr>
          <w:spacing w:val="-13"/>
        </w:rPr>
        <w:t> </w:t>
      </w:r>
      <w:r>
        <w:rPr/>
        <w:t>prevailing</w:t>
      </w:r>
      <w:r>
        <w:rPr>
          <w:spacing w:val="-11"/>
        </w:rPr>
        <w:t> </w:t>
      </w:r>
      <w:r>
        <w:rPr/>
        <w:t>market</w:t>
      </w:r>
      <w:r>
        <w:rPr>
          <w:spacing w:val="-12"/>
        </w:rPr>
        <w:t> </w:t>
      </w:r>
      <w:r>
        <w:rPr/>
        <w:t>norms</w:t>
      </w:r>
      <w:r>
        <w:rPr>
          <w:spacing w:val="-12"/>
        </w:rPr>
        <w:t> </w:t>
      </w:r>
      <w:r>
        <w:rPr/>
        <w:t>for</w:t>
      </w:r>
      <w:r>
        <w:rPr>
          <w:spacing w:val="-13"/>
        </w:rPr>
        <w:t> </w:t>
      </w:r>
      <w:r>
        <w:rPr/>
        <w:t>other</w:t>
      </w:r>
      <w:r>
        <w:rPr>
          <w:spacing w:val="-12"/>
        </w:rPr>
        <w:t> </w:t>
      </w:r>
      <w:r>
        <w:rPr/>
        <w:t>revenues</w:t>
      </w:r>
      <w:r>
        <w:rPr>
          <w:spacing w:val="-11"/>
        </w:rPr>
        <w:t> </w:t>
      </w:r>
      <w:r>
        <w:rPr/>
        <w:t>and</w:t>
      </w:r>
      <w:r>
        <w:rPr>
          <w:spacing w:val="-14"/>
        </w:rPr>
        <w:t> </w:t>
      </w:r>
      <w:r>
        <w:rPr/>
        <w:t>were</w:t>
      </w:r>
      <w:r>
        <w:rPr>
          <w:spacing w:val="-12"/>
        </w:rPr>
        <w:t> </w:t>
      </w:r>
      <w:r>
        <w:rPr/>
        <w:t>found</w:t>
      </w:r>
      <w:r>
        <w:rPr>
          <w:spacing w:val="-12"/>
        </w:rPr>
        <w:t> </w:t>
      </w:r>
      <w:r>
        <w:rPr/>
        <w:t>to</w:t>
      </w:r>
      <w:r>
        <w:rPr>
          <w:spacing w:val="-12"/>
        </w:rPr>
        <w:t> </w:t>
      </w:r>
      <w:r>
        <w:rPr/>
        <w:t>be</w:t>
      </w:r>
      <w:r>
        <w:rPr>
          <w:spacing w:val="-14"/>
        </w:rPr>
        <w:t> </w:t>
      </w:r>
      <w:r>
        <w:rPr/>
        <w:t>broadly</w:t>
      </w:r>
      <w:r>
        <w:rPr>
          <w:spacing w:val="-12"/>
        </w:rPr>
        <w:t> </w:t>
      </w:r>
      <w:r>
        <w:rPr/>
        <w:t>in</w:t>
      </w:r>
      <w:r>
        <w:rPr>
          <w:spacing w:val="-13"/>
        </w:rPr>
        <w:t> </w:t>
      </w:r>
      <w:r>
        <w:rPr/>
        <w:t>line.</w:t>
      </w:r>
    </w:p>
    <w:p>
      <w:pPr>
        <w:spacing w:after="0" w:line="321" w:lineRule="auto"/>
        <w:jc w:val="both"/>
        <w:sectPr>
          <w:pgSz w:w="11910" w:h="16840"/>
          <w:pgMar w:header="720" w:footer="943" w:top="1660" w:bottom="1140" w:left="600" w:right="600"/>
        </w:sectPr>
      </w:pPr>
    </w:p>
    <w:p>
      <w:pPr>
        <w:pStyle w:val="BodyText"/>
        <w:spacing w:before="7"/>
        <w:rPr>
          <w:sz w:val="9"/>
        </w:rPr>
      </w:pPr>
    </w:p>
    <w:p>
      <w:pPr>
        <w:pStyle w:val="BodyText"/>
        <w:spacing w:before="106"/>
        <w:ind w:left="682"/>
        <w:jc w:val="both"/>
      </w:pPr>
      <w:r>
        <w:rPr/>
        <w:t>The assumptions adopted for other revenues are as tabulated below:</w:t>
      </w:r>
    </w:p>
    <w:p>
      <w:pPr>
        <w:pStyle w:val="BodyText"/>
        <w:spacing w:before="6"/>
        <w:rPr>
          <w:sz w:val="17"/>
        </w:rPr>
      </w:pPr>
    </w:p>
    <w:tbl>
      <w:tblPr>
        <w:tblCellSpacing w:w="27" w:type="dxa"/>
        <w:tblW w:w="0" w:type="auto"/>
        <w:jc w:val="left"/>
        <w:tblInd w:w="17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3"/>
        <w:gridCol w:w="3491"/>
        <w:gridCol w:w="3460"/>
      </w:tblGrid>
      <w:tr>
        <w:trPr>
          <w:trHeight w:val="160" w:hRule="atLeast"/>
        </w:trPr>
        <w:tc>
          <w:tcPr>
            <w:tcW w:w="3463" w:type="dxa"/>
            <w:tcBorders>
              <w:left w:val="nil"/>
              <w:right w:val="nil"/>
            </w:tcBorders>
            <w:shd w:val="clear" w:color="auto" w:fill="006A4D"/>
          </w:tcPr>
          <w:p>
            <w:pPr>
              <w:pStyle w:val="TableParagraph"/>
              <w:spacing w:line="192" w:lineRule="exact" w:before="3"/>
              <w:ind w:left="931"/>
              <w:jc w:val="left"/>
              <w:rPr>
                <w:b/>
                <w:sz w:val="18"/>
              </w:rPr>
            </w:pPr>
            <w:r>
              <w:rPr>
                <w:b/>
                <w:color w:val="FFFFFF"/>
                <w:w w:val="105"/>
                <w:sz w:val="18"/>
              </w:rPr>
              <w:t>Nature of Income</w:t>
            </w:r>
          </w:p>
        </w:tc>
        <w:tc>
          <w:tcPr>
            <w:tcW w:w="3491" w:type="dxa"/>
            <w:tcBorders>
              <w:left w:val="nil"/>
              <w:right w:val="nil"/>
            </w:tcBorders>
            <w:shd w:val="clear" w:color="auto" w:fill="006A4D"/>
          </w:tcPr>
          <w:p>
            <w:pPr>
              <w:pStyle w:val="TableParagraph"/>
              <w:spacing w:line="192" w:lineRule="exact" w:before="3"/>
              <w:ind w:left="1240" w:right="1229"/>
              <w:rPr>
                <w:b/>
                <w:sz w:val="18"/>
              </w:rPr>
            </w:pPr>
            <w:r>
              <w:rPr>
                <w:b/>
                <w:color w:val="FFFFFF"/>
                <w:w w:val="110"/>
                <w:sz w:val="18"/>
              </w:rPr>
              <w:t>Details</w:t>
            </w:r>
          </w:p>
        </w:tc>
        <w:tc>
          <w:tcPr>
            <w:tcW w:w="3460" w:type="dxa"/>
            <w:tcBorders>
              <w:left w:val="nil"/>
              <w:right w:val="nil"/>
            </w:tcBorders>
            <w:shd w:val="clear" w:color="auto" w:fill="006A4D"/>
          </w:tcPr>
          <w:p>
            <w:pPr>
              <w:pStyle w:val="TableParagraph"/>
              <w:spacing w:line="192" w:lineRule="exact" w:before="3"/>
              <w:ind w:left="1455" w:right="1444"/>
              <w:rPr>
                <w:b/>
                <w:sz w:val="18"/>
              </w:rPr>
            </w:pPr>
            <w:r>
              <w:rPr>
                <w:b/>
                <w:color w:val="FFFFFF"/>
                <w:w w:val="105"/>
                <w:sz w:val="18"/>
              </w:rPr>
              <w:t>Units</w:t>
            </w:r>
          </w:p>
        </w:tc>
      </w:tr>
    </w:tbl>
    <w:p>
      <w:pPr>
        <w:pStyle w:val="BodyText"/>
        <w:spacing w:before="5"/>
        <w:rPr>
          <w:sz w:val="3"/>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71"/>
        <w:gridCol w:w="2618"/>
        <w:gridCol w:w="3896"/>
      </w:tblGrid>
      <w:tr>
        <w:trPr>
          <w:trHeight w:val="254" w:hRule="atLeast"/>
        </w:trPr>
        <w:tc>
          <w:tcPr>
            <w:tcW w:w="3971" w:type="dxa"/>
            <w:tcBorders>
              <w:bottom w:val="single" w:sz="6" w:space="0" w:color="69BD28"/>
            </w:tcBorders>
          </w:tcPr>
          <w:p>
            <w:pPr>
              <w:pStyle w:val="TableParagraph"/>
              <w:spacing w:before="4"/>
              <w:ind w:left="447" w:right="898"/>
              <w:rPr>
                <w:sz w:val="18"/>
              </w:rPr>
            </w:pPr>
            <w:r>
              <w:rPr>
                <w:sz w:val="18"/>
              </w:rPr>
              <w:t>Bare shell Security Deposit*</w:t>
            </w:r>
          </w:p>
        </w:tc>
        <w:tc>
          <w:tcPr>
            <w:tcW w:w="2618" w:type="dxa"/>
            <w:tcBorders>
              <w:bottom w:val="single" w:sz="6" w:space="0" w:color="69BD28"/>
            </w:tcBorders>
          </w:tcPr>
          <w:p>
            <w:pPr>
              <w:pStyle w:val="TableParagraph"/>
              <w:spacing w:before="4"/>
              <w:ind w:left="510" w:right="565"/>
              <w:rPr>
                <w:sz w:val="18"/>
              </w:rPr>
            </w:pPr>
            <w:r>
              <w:rPr>
                <w:w w:val="105"/>
                <w:sz w:val="18"/>
              </w:rPr>
              <w:t>6 months</w:t>
            </w:r>
          </w:p>
        </w:tc>
        <w:tc>
          <w:tcPr>
            <w:tcW w:w="3896" w:type="dxa"/>
            <w:tcBorders>
              <w:bottom w:val="single" w:sz="6" w:space="0" w:color="69BD28"/>
            </w:tcBorders>
          </w:tcPr>
          <w:p>
            <w:pPr>
              <w:pStyle w:val="TableParagraph"/>
              <w:spacing w:before="4"/>
              <w:ind w:left="909" w:right="504"/>
              <w:rPr>
                <w:sz w:val="18"/>
              </w:rPr>
            </w:pPr>
            <w:r>
              <w:rPr>
                <w:sz w:val="18"/>
              </w:rPr>
              <w:t>No. of months’ bare shell rent</w:t>
            </w:r>
          </w:p>
        </w:tc>
      </w:tr>
      <w:tr>
        <w:trPr>
          <w:trHeight w:val="297" w:hRule="atLeast"/>
        </w:trPr>
        <w:tc>
          <w:tcPr>
            <w:tcW w:w="3971" w:type="dxa"/>
            <w:tcBorders>
              <w:top w:val="single" w:sz="6" w:space="0" w:color="69BD28"/>
              <w:bottom w:val="single" w:sz="6" w:space="0" w:color="69BD28"/>
            </w:tcBorders>
          </w:tcPr>
          <w:p>
            <w:pPr>
              <w:pStyle w:val="TableParagraph"/>
              <w:spacing w:before="46"/>
              <w:ind w:left="503" w:right="898"/>
              <w:rPr>
                <w:sz w:val="18"/>
              </w:rPr>
            </w:pPr>
            <w:r>
              <w:rPr>
                <w:w w:val="105"/>
                <w:sz w:val="18"/>
              </w:rPr>
              <w:t>Mark-Up on CAM/ CAM margin</w:t>
            </w:r>
          </w:p>
        </w:tc>
        <w:tc>
          <w:tcPr>
            <w:tcW w:w="2618" w:type="dxa"/>
            <w:tcBorders>
              <w:top w:val="single" w:sz="6" w:space="0" w:color="69BD28"/>
              <w:bottom w:val="single" w:sz="6" w:space="0" w:color="69BD28"/>
            </w:tcBorders>
          </w:tcPr>
          <w:p>
            <w:pPr>
              <w:pStyle w:val="TableParagraph"/>
              <w:spacing w:before="46"/>
              <w:ind w:left="507" w:right="565"/>
              <w:rPr>
                <w:sz w:val="18"/>
              </w:rPr>
            </w:pPr>
            <w:r>
              <w:rPr>
                <w:w w:val="110"/>
                <w:sz w:val="18"/>
              </w:rPr>
              <w:t>15.0%</w:t>
            </w:r>
          </w:p>
        </w:tc>
        <w:tc>
          <w:tcPr>
            <w:tcW w:w="3896" w:type="dxa"/>
            <w:tcBorders>
              <w:top w:val="single" w:sz="6" w:space="0" w:color="69BD28"/>
              <w:bottom w:val="single" w:sz="6" w:space="0" w:color="69BD28"/>
            </w:tcBorders>
          </w:tcPr>
          <w:p>
            <w:pPr>
              <w:pStyle w:val="TableParagraph"/>
              <w:spacing w:before="46"/>
              <w:ind w:left="477"/>
              <w:rPr>
                <w:sz w:val="18"/>
              </w:rPr>
            </w:pPr>
            <w:r>
              <w:rPr>
                <w:w w:val="123"/>
                <w:sz w:val="18"/>
              </w:rPr>
              <w:t>%</w:t>
            </w:r>
          </w:p>
        </w:tc>
      </w:tr>
    </w:tbl>
    <w:p>
      <w:pPr>
        <w:spacing w:before="0"/>
        <w:ind w:left="120" w:right="0" w:firstLine="0"/>
        <w:jc w:val="left"/>
        <w:rPr>
          <w:i/>
          <w:sz w:val="18"/>
        </w:rPr>
      </w:pPr>
      <w:r>
        <w:rPr>
          <w:i/>
          <w:sz w:val="18"/>
        </w:rPr>
        <w:t>Source: Client’s Inputs &amp; Valuer assessment; *Refunded at the time of lease expiry/exit</w:t>
      </w:r>
    </w:p>
    <w:p>
      <w:pPr>
        <w:pStyle w:val="ListParagraph"/>
        <w:numPr>
          <w:ilvl w:val="2"/>
          <w:numId w:val="14"/>
        </w:numPr>
        <w:tabs>
          <w:tab w:pos="841" w:val="left" w:leader="none"/>
        </w:tabs>
        <w:spacing w:line="240" w:lineRule="auto" w:before="192" w:after="0"/>
        <w:ind w:left="840" w:right="0" w:hanging="721"/>
        <w:jc w:val="both"/>
        <w:rPr>
          <w:sz w:val="22"/>
        </w:rPr>
      </w:pPr>
      <w:bookmarkStart w:name="_bookmark95" w:id="187"/>
      <w:bookmarkEnd w:id="187"/>
      <w:r>
        <w:rPr/>
      </w:r>
      <w:bookmarkStart w:name="_bookmark95" w:id="188"/>
      <w:bookmarkEnd w:id="188"/>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39"/>
        </w:numPr>
        <w:tabs>
          <w:tab w:pos="985" w:val="left" w:leader="none"/>
        </w:tabs>
        <w:spacing w:line="240" w:lineRule="auto" w:before="1" w:after="0"/>
        <w:ind w:left="984" w:right="0" w:hanging="865"/>
        <w:jc w:val="both"/>
        <w:rPr>
          <w:i/>
          <w:sz w:val="20"/>
        </w:rPr>
      </w:pPr>
      <w:r>
        <w:rPr>
          <w:i/>
          <w:color w:val="008000"/>
          <w:sz w:val="20"/>
        </w:rPr>
        <w:t>Major Repairs and</w:t>
      </w:r>
      <w:r>
        <w:rPr>
          <w:i/>
          <w:color w:val="008000"/>
          <w:spacing w:val="-11"/>
          <w:sz w:val="20"/>
        </w:rPr>
        <w:t> </w:t>
      </w:r>
      <w:r>
        <w:rPr>
          <w:i/>
          <w:color w:val="008000"/>
          <w:sz w:val="20"/>
        </w:rPr>
        <w:t>Improvements</w:t>
      </w:r>
    </w:p>
    <w:p>
      <w:pPr>
        <w:pStyle w:val="BodyText"/>
        <w:spacing w:line="324" w:lineRule="auto" w:before="75"/>
        <w:ind w:left="682" w:right="117"/>
        <w:jc w:val="both"/>
      </w:pPr>
      <w:r>
        <w:rPr/>
        <w:t>The following table highlights the assumptions towards the refurbishment expenses in the subject development:</w:t>
      </w:r>
    </w:p>
    <w:p>
      <w:pPr>
        <w:pStyle w:val="BodyText"/>
        <w:spacing w:before="4"/>
        <w:rPr>
          <w:sz w:val="10"/>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23"/>
        <w:gridCol w:w="3856"/>
        <w:gridCol w:w="2805"/>
      </w:tblGrid>
      <w:tr>
        <w:trPr>
          <w:trHeight w:val="429" w:hRule="atLeast"/>
        </w:trPr>
        <w:tc>
          <w:tcPr>
            <w:tcW w:w="3823" w:type="dxa"/>
            <w:tcBorders>
              <w:top w:val="single" w:sz="6" w:space="0" w:color="69BD28"/>
              <w:bottom w:val="single" w:sz="6" w:space="0" w:color="69BD28"/>
            </w:tcBorders>
            <w:shd w:val="clear" w:color="auto" w:fill="006A4D"/>
          </w:tcPr>
          <w:p>
            <w:pPr>
              <w:pStyle w:val="TableParagraph"/>
              <w:spacing w:before="109"/>
              <w:ind w:left="1457"/>
              <w:jc w:val="left"/>
              <w:rPr>
                <w:b/>
                <w:sz w:val="18"/>
              </w:rPr>
            </w:pPr>
            <w:r>
              <w:rPr>
                <w:b/>
                <w:color w:val="FFFFFF"/>
                <w:w w:val="110"/>
                <w:sz w:val="18"/>
              </w:rPr>
              <w:t>Expense Head</w:t>
            </w:r>
          </w:p>
        </w:tc>
        <w:tc>
          <w:tcPr>
            <w:tcW w:w="3856" w:type="dxa"/>
            <w:tcBorders>
              <w:top w:val="single" w:sz="6" w:space="0" w:color="69BD28"/>
              <w:bottom w:val="single" w:sz="6" w:space="0" w:color="69BD28"/>
            </w:tcBorders>
            <w:shd w:val="clear" w:color="auto" w:fill="006A4D"/>
          </w:tcPr>
          <w:p>
            <w:pPr>
              <w:pStyle w:val="TableParagraph"/>
              <w:spacing w:before="109"/>
              <w:ind w:left="541" w:right="165"/>
              <w:rPr>
                <w:b/>
                <w:sz w:val="18"/>
              </w:rPr>
            </w:pPr>
            <w:r>
              <w:rPr>
                <w:b/>
                <w:color w:val="FFFFFF"/>
                <w:w w:val="110"/>
                <w:sz w:val="18"/>
              </w:rPr>
              <w:t>Total Pending Cost (INR Mn) *</w:t>
            </w:r>
          </w:p>
        </w:tc>
        <w:tc>
          <w:tcPr>
            <w:tcW w:w="2805" w:type="dxa"/>
            <w:tcBorders>
              <w:top w:val="single" w:sz="6" w:space="0" w:color="69BD28"/>
              <w:bottom w:val="single" w:sz="6" w:space="0" w:color="69BD28"/>
            </w:tcBorders>
            <w:shd w:val="clear" w:color="auto" w:fill="006A4D"/>
          </w:tcPr>
          <w:p>
            <w:pPr>
              <w:pStyle w:val="TableParagraph"/>
              <w:spacing w:before="109"/>
              <w:ind w:left="393" w:right="379"/>
              <w:rPr>
                <w:b/>
                <w:sz w:val="18"/>
              </w:rPr>
            </w:pPr>
            <w:r>
              <w:rPr>
                <w:b/>
                <w:color w:val="FFFFFF"/>
                <w:w w:val="105"/>
                <w:sz w:val="18"/>
              </w:rPr>
              <w:t>Quarter of Completion</w:t>
            </w:r>
          </w:p>
        </w:tc>
      </w:tr>
      <w:tr>
        <w:trPr>
          <w:trHeight w:val="297" w:hRule="atLeast"/>
        </w:trPr>
        <w:tc>
          <w:tcPr>
            <w:tcW w:w="3823" w:type="dxa"/>
            <w:tcBorders>
              <w:top w:val="single" w:sz="6" w:space="0" w:color="69BD28"/>
              <w:bottom w:val="single" w:sz="6" w:space="0" w:color="69BD28"/>
            </w:tcBorders>
          </w:tcPr>
          <w:p>
            <w:pPr>
              <w:pStyle w:val="TableParagraph"/>
              <w:spacing w:before="44"/>
              <w:ind w:right="782"/>
              <w:jc w:val="right"/>
              <w:rPr>
                <w:sz w:val="18"/>
              </w:rPr>
            </w:pPr>
            <w:r>
              <w:rPr>
                <w:w w:val="95"/>
                <w:sz w:val="18"/>
              </w:rPr>
              <w:t>Refurbishment Expenses</w:t>
            </w:r>
          </w:p>
        </w:tc>
        <w:tc>
          <w:tcPr>
            <w:tcW w:w="3856" w:type="dxa"/>
            <w:tcBorders>
              <w:top w:val="single" w:sz="6" w:space="0" w:color="69BD28"/>
              <w:bottom w:val="single" w:sz="6" w:space="0" w:color="69BD28"/>
            </w:tcBorders>
          </w:tcPr>
          <w:p>
            <w:pPr>
              <w:pStyle w:val="TableParagraph"/>
              <w:spacing w:before="44"/>
              <w:ind w:left="541" w:right="165"/>
              <w:rPr>
                <w:sz w:val="18"/>
              </w:rPr>
            </w:pPr>
            <w:r>
              <w:rPr>
                <w:w w:val="105"/>
                <w:sz w:val="18"/>
              </w:rPr>
              <w:t>18.19</w:t>
            </w:r>
          </w:p>
        </w:tc>
        <w:tc>
          <w:tcPr>
            <w:tcW w:w="2805" w:type="dxa"/>
            <w:tcBorders>
              <w:top w:val="single" w:sz="6" w:space="0" w:color="69BD28"/>
              <w:bottom w:val="single" w:sz="6" w:space="0" w:color="69BD28"/>
            </w:tcBorders>
          </w:tcPr>
          <w:p>
            <w:pPr>
              <w:pStyle w:val="TableParagraph"/>
              <w:spacing w:before="44"/>
              <w:ind w:left="388" w:right="379"/>
              <w:rPr>
                <w:sz w:val="18"/>
              </w:rPr>
            </w:pPr>
            <w:r>
              <w:rPr>
                <w:w w:val="105"/>
                <w:sz w:val="18"/>
              </w:rPr>
              <w:t>Q1, FY21</w:t>
            </w:r>
          </w:p>
        </w:tc>
      </w:tr>
      <w:tr>
        <w:trPr>
          <w:trHeight w:val="334" w:hRule="atLeast"/>
        </w:trPr>
        <w:tc>
          <w:tcPr>
            <w:tcW w:w="3823" w:type="dxa"/>
            <w:tcBorders>
              <w:top w:val="single" w:sz="6" w:space="0" w:color="69BD28"/>
            </w:tcBorders>
          </w:tcPr>
          <w:p>
            <w:pPr>
              <w:pStyle w:val="TableParagraph"/>
              <w:spacing w:line="191" w:lineRule="exact" w:before="123"/>
              <w:ind w:right="762"/>
              <w:jc w:val="right"/>
              <w:rPr>
                <w:i/>
                <w:sz w:val="18"/>
              </w:rPr>
            </w:pPr>
            <w:r>
              <w:rPr>
                <w:i/>
                <w:w w:val="95"/>
                <w:sz w:val="18"/>
              </w:rPr>
              <w:t>Source</w:t>
            </w:r>
            <w:r>
              <w:rPr>
                <w:i/>
                <w:spacing w:val="-16"/>
                <w:w w:val="95"/>
                <w:sz w:val="18"/>
              </w:rPr>
              <w:t> </w:t>
            </w:r>
            <w:r>
              <w:rPr>
                <w:i/>
                <w:w w:val="95"/>
                <w:sz w:val="18"/>
              </w:rPr>
              <w:t>Client</w:t>
            </w:r>
            <w:r>
              <w:rPr>
                <w:i/>
                <w:spacing w:val="-14"/>
                <w:w w:val="95"/>
                <w:sz w:val="18"/>
              </w:rPr>
              <w:t> </w:t>
            </w:r>
            <w:r>
              <w:rPr>
                <w:i/>
                <w:w w:val="95"/>
                <w:sz w:val="18"/>
              </w:rPr>
              <w:t>Input;</w:t>
            </w:r>
            <w:r>
              <w:rPr>
                <w:i/>
                <w:spacing w:val="-16"/>
                <w:w w:val="95"/>
                <w:sz w:val="18"/>
              </w:rPr>
              <w:t> </w:t>
            </w:r>
            <w:r>
              <w:rPr>
                <w:i/>
                <w:w w:val="95"/>
                <w:sz w:val="18"/>
              </w:rPr>
              <w:t>Valuer</w:t>
            </w:r>
            <w:r>
              <w:rPr>
                <w:i/>
                <w:spacing w:val="-16"/>
                <w:w w:val="95"/>
                <w:sz w:val="18"/>
              </w:rPr>
              <w:t> </w:t>
            </w:r>
            <w:r>
              <w:rPr>
                <w:i/>
                <w:w w:val="95"/>
                <w:sz w:val="18"/>
              </w:rPr>
              <w:t>Assessment.</w:t>
            </w:r>
          </w:p>
        </w:tc>
        <w:tc>
          <w:tcPr>
            <w:tcW w:w="3856" w:type="dxa"/>
            <w:tcBorders>
              <w:top w:val="single" w:sz="6" w:space="0" w:color="69BD28"/>
            </w:tcBorders>
          </w:tcPr>
          <w:p>
            <w:pPr>
              <w:pStyle w:val="TableParagraph"/>
              <w:jc w:val="left"/>
              <w:rPr>
                <w:rFonts w:ascii="Times New Roman"/>
                <w:sz w:val="20"/>
              </w:rPr>
            </w:pPr>
          </w:p>
        </w:tc>
        <w:tc>
          <w:tcPr>
            <w:tcW w:w="2805" w:type="dxa"/>
            <w:tcBorders>
              <w:top w:val="single" w:sz="6" w:space="0" w:color="69BD28"/>
            </w:tcBorders>
          </w:tcPr>
          <w:p>
            <w:pPr>
              <w:pStyle w:val="TableParagraph"/>
              <w:jc w:val="left"/>
              <w:rPr>
                <w:rFonts w:ascii="Times New Roman"/>
                <w:sz w:val="20"/>
              </w:rPr>
            </w:pPr>
          </w:p>
        </w:tc>
      </w:tr>
    </w:tbl>
    <w:p>
      <w:pPr>
        <w:pStyle w:val="BodyText"/>
        <w:rPr>
          <w:sz w:val="24"/>
        </w:rPr>
      </w:pPr>
    </w:p>
    <w:p>
      <w:pPr>
        <w:pStyle w:val="ListParagraph"/>
        <w:numPr>
          <w:ilvl w:val="3"/>
          <w:numId w:val="39"/>
        </w:numPr>
        <w:tabs>
          <w:tab w:pos="985" w:val="left" w:leader="none"/>
        </w:tabs>
        <w:spacing w:line="240" w:lineRule="auto" w:before="0" w:after="0"/>
        <w:ind w:left="984" w:right="0" w:hanging="865"/>
        <w:jc w:val="both"/>
        <w:rPr>
          <w:i/>
          <w:sz w:val="20"/>
        </w:rPr>
      </w:pPr>
      <w:r>
        <w:rPr>
          <w:i/>
          <w:color w:val="008000"/>
          <w:sz w:val="20"/>
        </w:rPr>
        <w:t>Other</w:t>
      </w:r>
      <w:r>
        <w:rPr>
          <w:i/>
          <w:color w:val="008000"/>
          <w:spacing w:val="-4"/>
          <w:sz w:val="20"/>
        </w:rPr>
        <w:t> </w:t>
      </w:r>
      <w:r>
        <w:rPr>
          <w:i/>
          <w:color w:val="008000"/>
          <w:sz w:val="20"/>
        </w:rPr>
        <w:t>Expenses</w:t>
      </w:r>
    </w:p>
    <w:p>
      <w:pPr>
        <w:pStyle w:val="BodyText"/>
        <w:spacing w:before="76"/>
        <w:ind w:left="660"/>
        <w:jc w:val="both"/>
      </w:pPr>
      <w:r>
        <w:rPr/>
        <w:t>The following table highlights the assumptions towards other expenses in the subject development:</w:t>
      </w:r>
    </w:p>
    <w:p>
      <w:pPr>
        <w:pStyle w:val="BodyText"/>
        <w:spacing w:before="2" w:after="1"/>
        <w:rPr>
          <w:sz w:val="28"/>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42"/>
        <w:gridCol w:w="2316"/>
        <w:gridCol w:w="3528"/>
      </w:tblGrid>
      <w:tr>
        <w:trPr>
          <w:trHeight w:val="289" w:hRule="atLeast"/>
        </w:trPr>
        <w:tc>
          <w:tcPr>
            <w:tcW w:w="4642" w:type="dxa"/>
            <w:tcBorders>
              <w:top w:val="single" w:sz="6" w:space="0" w:color="69BD28"/>
              <w:bottom w:val="single" w:sz="6" w:space="0" w:color="69BD28"/>
            </w:tcBorders>
            <w:shd w:val="clear" w:color="auto" w:fill="006A4D"/>
          </w:tcPr>
          <w:p>
            <w:pPr>
              <w:pStyle w:val="TableParagraph"/>
              <w:spacing w:before="30"/>
              <w:ind w:left="929" w:right="864"/>
              <w:rPr>
                <w:sz w:val="20"/>
              </w:rPr>
            </w:pPr>
            <w:r>
              <w:rPr>
                <w:color w:val="FFFFFF"/>
                <w:sz w:val="20"/>
              </w:rPr>
              <w:t>Nature of Expense</w:t>
            </w:r>
          </w:p>
        </w:tc>
        <w:tc>
          <w:tcPr>
            <w:tcW w:w="2316" w:type="dxa"/>
            <w:tcBorders>
              <w:top w:val="single" w:sz="6" w:space="0" w:color="69BD28"/>
              <w:bottom w:val="single" w:sz="6" w:space="0" w:color="69BD28"/>
            </w:tcBorders>
            <w:shd w:val="clear" w:color="auto" w:fill="006A4D"/>
          </w:tcPr>
          <w:p>
            <w:pPr>
              <w:pStyle w:val="TableParagraph"/>
              <w:spacing w:before="30"/>
              <w:ind w:left="166" w:right="74"/>
              <w:rPr>
                <w:sz w:val="20"/>
              </w:rPr>
            </w:pPr>
            <w:r>
              <w:rPr>
                <w:color w:val="FFFFFF"/>
                <w:sz w:val="20"/>
              </w:rPr>
              <w:t>Details</w:t>
            </w:r>
          </w:p>
        </w:tc>
        <w:tc>
          <w:tcPr>
            <w:tcW w:w="3528" w:type="dxa"/>
            <w:tcBorders>
              <w:top w:val="single" w:sz="6" w:space="0" w:color="69BD28"/>
              <w:bottom w:val="single" w:sz="6" w:space="0" w:color="69BD28"/>
            </w:tcBorders>
            <w:shd w:val="clear" w:color="auto" w:fill="006A4D"/>
          </w:tcPr>
          <w:p>
            <w:pPr>
              <w:pStyle w:val="TableParagraph"/>
              <w:spacing w:before="6"/>
              <w:ind w:left="783" w:right="745"/>
              <w:rPr>
                <w:sz w:val="20"/>
              </w:rPr>
            </w:pPr>
            <w:r>
              <w:rPr>
                <w:color w:val="FFFFFF"/>
                <w:sz w:val="20"/>
              </w:rPr>
              <w:t>Basis</w:t>
            </w:r>
          </w:p>
        </w:tc>
      </w:tr>
      <w:tr>
        <w:trPr>
          <w:trHeight w:val="294" w:hRule="atLeast"/>
        </w:trPr>
        <w:tc>
          <w:tcPr>
            <w:tcW w:w="4642" w:type="dxa"/>
            <w:tcBorders>
              <w:top w:val="single" w:sz="6" w:space="0" w:color="69BD28"/>
              <w:bottom w:val="single" w:sz="6" w:space="0" w:color="69BD28"/>
            </w:tcBorders>
          </w:tcPr>
          <w:p>
            <w:pPr>
              <w:pStyle w:val="TableParagraph"/>
              <w:spacing w:before="44"/>
              <w:ind w:left="930" w:right="864"/>
              <w:rPr>
                <w:sz w:val="18"/>
              </w:rPr>
            </w:pPr>
            <w:r>
              <w:rPr>
                <w:sz w:val="18"/>
              </w:rPr>
              <w:t>Opex projects and admin expenses</w:t>
            </w:r>
          </w:p>
        </w:tc>
        <w:tc>
          <w:tcPr>
            <w:tcW w:w="2316" w:type="dxa"/>
            <w:tcBorders>
              <w:top w:val="single" w:sz="6" w:space="0" w:color="69BD28"/>
              <w:bottom w:val="single" w:sz="6" w:space="0" w:color="69BD28"/>
            </w:tcBorders>
          </w:tcPr>
          <w:p>
            <w:pPr>
              <w:pStyle w:val="TableParagraph"/>
              <w:spacing w:before="44"/>
              <w:ind w:left="163" w:right="74"/>
              <w:rPr>
                <w:sz w:val="18"/>
              </w:rPr>
            </w:pPr>
            <w:r>
              <w:rPr>
                <w:w w:val="110"/>
                <w:sz w:val="18"/>
              </w:rPr>
              <w:t>1.0%</w:t>
            </w:r>
          </w:p>
        </w:tc>
        <w:tc>
          <w:tcPr>
            <w:tcW w:w="3528" w:type="dxa"/>
            <w:tcBorders>
              <w:top w:val="single" w:sz="6" w:space="0" w:color="69BD28"/>
              <w:bottom w:val="single" w:sz="6" w:space="0" w:color="69BD28"/>
            </w:tcBorders>
          </w:tcPr>
          <w:p>
            <w:pPr>
              <w:pStyle w:val="TableParagraph"/>
              <w:spacing w:before="44"/>
              <w:ind w:left="783" w:right="743"/>
              <w:rPr>
                <w:sz w:val="18"/>
              </w:rPr>
            </w:pPr>
            <w:r>
              <w:rPr>
                <w:sz w:val="18"/>
              </w:rPr>
              <w:t>% of total income</w:t>
            </w:r>
          </w:p>
        </w:tc>
      </w:tr>
      <w:tr>
        <w:trPr>
          <w:trHeight w:val="297" w:hRule="atLeast"/>
        </w:trPr>
        <w:tc>
          <w:tcPr>
            <w:tcW w:w="4642" w:type="dxa"/>
            <w:tcBorders>
              <w:top w:val="single" w:sz="6" w:space="0" w:color="69BD28"/>
              <w:bottom w:val="single" w:sz="6" w:space="0" w:color="69BD28"/>
            </w:tcBorders>
          </w:tcPr>
          <w:p>
            <w:pPr>
              <w:pStyle w:val="TableParagraph"/>
              <w:spacing w:before="44"/>
              <w:ind w:left="930" w:right="857"/>
              <w:rPr>
                <w:sz w:val="18"/>
              </w:rPr>
            </w:pPr>
            <w:r>
              <w:rPr>
                <w:w w:val="103"/>
                <w:sz w:val="18"/>
              </w:rPr>
              <w:t>A</w:t>
            </w:r>
            <w:r>
              <w:rPr>
                <w:spacing w:val="1"/>
                <w:w w:val="103"/>
                <w:sz w:val="18"/>
              </w:rPr>
              <w:t>s</w:t>
            </w:r>
            <w:r>
              <w:rPr>
                <w:w w:val="100"/>
                <w:sz w:val="18"/>
              </w:rPr>
              <w:t>s</w:t>
            </w:r>
            <w:r>
              <w:rPr>
                <w:w w:val="94"/>
                <w:sz w:val="18"/>
              </w:rPr>
              <w:t>e</w:t>
            </w:r>
            <w:r>
              <w:rPr>
                <w:w w:val="65"/>
                <w:sz w:val="18"/>
              </w:rPr>
              <w:t>t</w:t>
            </w:r>
            <w:r>
              <w:rPr>
                <w:spacing w:val="-3"/>
                <w:sz w:val="18"/>
              </w:rPr>
              <w:t> </w:t>
            </w:r>
            <w:r>
              <w:rPr>
                <w:w w:val="113"/>
                <w:sz w:val="18"/>
              </w:rPr>
              <w:t>M</w:t>
            </w:r>
            <w:r>
              <w:rPr>
                <w:spacing w:val="-2"/>
                <w:w w:val="113"/>
                <w:sz w:val="18"/>
              </w:rPr>
              <w:t>a</w:t>
            </w:r>
            <w:r>
              <w:rPr>
                <w:w w:val="101"/>
                <w:sz w:val="18"/>
              </w:rPr>
              <w:t>n</w:t>
            </w:r>
            <w:r>
              <w:rPr>
                <w:w w:val="108"/>
                <w:sz w:val="18"/>
              </w:rPr>
              <w:t>a</w:t>
            </w:r>
            <w:r>
              <w:rPr>
                <w:spacing w:val="-2"/>
                <w:w w:val="113"/>
                <w:sz w:val="18"/>
              </w:rPr>
              <w:t>g</w:t>
            </w:r>
            <w:r>
              <w:rPr>
                <w:w w:val="94"/>
                <w:sz w:val="18"/>
              </w:rPr>
              <w:t>e</w:t>
            </w:r>
            <w:r>
              <w:rPr>
                <w:w w:val="102"/>
                <w:sz w:val="18"/>
              </w:rPr>
              <w:t>m</w:t>
            </w:r>
            <w:r>
              <w:rPr>
                <w:spacing w:val="-2"/>
                <w:w w:val="94"/>
                <w:sz w:val="18"/>
              </w:rPr>
              <w:t>e</w:t>
            </w:r>
            <w:r>
              <w:rPr>
                <w:w w:val="101"/>
                <w:sz w:val="18"/>
              </w:rPr>
              <w:t>n</w:t>
            </w:r>
            <w:r>
              <w:rPr>
                <w:w w:val="65"/>
                <w:sz w:val="18"/>
              </w:rPr>
              <w:t>t</w:t>
            </w:r>
            <w:r>
              <w:rPr>
                <w:spacing w:val="-3"/>
                <w:sz w:val="18"/>
              </w:rPr>
              <w:t> </w:t>
            </w:r>
            <w:r>
              <w:rPr>
                <w:w w:val="95"/>
                <w:sz w:val="18"/>
              </w:rPr>
              <w:t>Fe</w:t>
            </w:r>
            <w:r>
              <w:rPr>
                <w:spacing w:val="3"/>
                <w:w w:val="94"/>
                <w:sz w:val="18"/>
              </w:rPr>
              <w:t>e</w:t>
            </w:r>
            <w:r>
              <w:rPr>
                <w:w w:val="190"/>
                <w:sz w:val="18"/>
              </w:rPr>
              <w:t>^</w:t>
            </w:r>
          </w:p>
        </w:tc>
        <w:tc>
          <w:tcPr>
            <w:tcW w:w="2316" w:type="dxa"/>
            <w:tcBorders>
              <w:top w:val="single" w:sz="6" w:space="0" w:color="69BD28"/>
              <w:bottom w:val="single" w:sz="6" w:space="0" w:color="69BD28"/>
            </w:tcBorders>
          </w:tcPr>
          <w:p>
            <w:pPr>
              <w:pStyle w:val="TableParagraph"/>
              <w:spacing w:before="44"/>
              <w:ind w:left="163" w:right="74"/>
              <w:rPr>
                <w:sz w:val="18"/>
              </w:rPr>
            </w:pPr>
            <w:r>
              <w:rPr>
                <w:w w:val="110"/>
                <w:sz w:val="18"/>
              </w:rPr>
              <w:t>3.0%</w:t>
            </w:r>
          </w:p>
        </w:tc>
        <w:tc>
          <w:tcPr>
            <w:tcW w:w="3528" w:type="dxa"/>
            <w:tcBorders>
              <w:top w:val="single" w:sz="6" w:space="0" w:color="69BD28"/>
              <w:bottom w:val="single" w:sz="6" w:space="0" w:color="69BD28"/>
            </w:tcBorders>
          </w:tcPr>
          <w:p>
            <w:pPr>
              <w:pStyle w:val="TableParagraph"/>
              <w:spacing w:before="44"/>
              <w:ind w:left="783" w:right="745"/>
              <w:rPr>
                <w:sz w:val="18"/>
              </w:rPr>
            </w:pPr>
            <w:r>
              <w:rPr>
                <w:sz w:val="18"/>
              </w:rPr>
              <w:t>% of gross rental income</w:t>
            </w:r>
          </w:p>
        </w:tc>
      </w:tr>
      <w:tr>
        <w:trPr>
          <w:trHeight w:val="294" w:hRule="atLeast"/>
        </w:trPr>
        <w:tc>
          <w:tcPr>
            <w:tcW w:w="4642" w:type="dxa"/>
            <w:tcBorders>
              <w:top w:val="single" w:sz="6" w:space="0" w:color="69BD28"/>
              <w:bottom w:val="single" w:sz="6" w:space="0" w:color="69BD28"/>
            </w:tcBorders>
          </w:tcPr>
          <w:p>
            <w:pPr>
              <w:pStyle w:val="TableParagraph"/>
              <w:spacing w:before="44"/>
              <w:ind w:left="930" w:right="864"/>
              <w:rPr>
                <w:sz w:val="18"/>
              </w:rPr>
            </w:pPr>
            <w:r>
              <w:rPr>
                <w:sz w:val="18"/>
              </w:rPr>
              <w:t>Transaction cost on Exit</w:t>
            </w:r>
          </w:p>
        </w:tc>
        <w:tc>
          <w:tcPr>
            <w:tcW w:w="2316" w:type="dxa"/>
            <w:tcBorders>
              <w:top w:val="single" w:sz="6" w:space="0" w:color="69BD28"/>
              <w:bottom w:val="single" w:sz="6" w:space="0" w:color="69BD28"/>
            </w:tcBorders>
          </w:tcPr>
          <w:p>
            <w:pPr>
              <w:pStyle w:val="TableParagraph"/>
              <w:spacing w:before="44"/>
              <w:ind w:left="163" w:right="74"/>
              <w:rPr>
                <w:sz w:val="18"/>
              </w:rPr>
            </w:pPr>
            <w:r>
              <w:rPr>
                <w:w w:val="110"/>
                <w:sz w:val="18"/>
              </w:rPr>
              <w:t>1.0%</w:t>
            </w:r>
          </w:p>
        </w:tc>
        <w:tc>
          <w:tcPr>
            <w:tcW w:w="3528" w:type="dxa"/>
            <w:tcBorders>
              <w:top w:val="single" w:sz="6" w:space="0" w:color="69BD28"/>
              <w:bottom w:val="single" w:sz="6" w:space="0" w:color="69BD28"/>
            </w:tcBorders>
          </w:tcPr>
          <w:p>
            <w:pPr>
              <w:pStyle w:val="TableParagraph"/>
              <w:spacing w:before="44"/>
              <w:ind w:left="783" w:right="742"/>
              <w:rPr>
                <w:sz w:val="18"/>
              </w:rPr>
            </w:pPr>
            <w:r>
              <w:rPr>
                <w:sz w:val="18"/>
              </w:rPr>
              <w:t>% of terminal value</w:t>
            </w:r>
          </w:p>
        </w:tc>
      </w:tr>
    </w:tbl>
    <w:p>
      <w:pPr>
        <w:spacing w:before="116"/>
        <w:ind w:left="120" w:right="0" w:firstLine="0"/>
        <w:jc w:val="left"/>
        <w:rPr>
          <w:i/>
          <w:sz w:val="18"/>
        </w:rPr>
      </w:pPr>
      <w:r>
        <w:rPr>
          <w:i/>
          <w:sz w:val="18"/>
        </w:rPr>
        <w:t>Source: Client Input; Valuer assessment</w:t>
      </w:r>
    </w:p>
    <w:p>
      <w:pPr>
        <w:spacing w:before="72"/>
        <w:ind w:left="120" w:right="0" w:firstLine="0"/>
        <w:jc w:val="left"/>
        <w:rPr>
          <w:i/>
          <w:sz w:val="18"/>
        </w:rPr>
      </w:pPr>
      <w:r>
        <w:rPr>
          <w:i/>
          <w:w w:val="160"/>
          <w:sz w:val="18"/>
        </w:rPr>
        <w:t>^ </w:t>
      </w:r>
      <w:r>
        <w:rPr>
          <w:i/>
          <w:w w:val="105"/>
          <w:sz w:val="18"/>
        </w:rPr>
        <w:t>Asset Management fee has been considered a below the NOI line item</w:t>
      </w:r>
    </w:p>
    <w:p>
      <w:pPr>
        <w:pStyle w:val="ListParagraph"/>
        <w:numPr>
          <w:ilvl w:val="2"/>
          <w:numId w:val="14"/>
        </w:numPr>
        <w:tabs>
          <w:tab w:pos="841" w:val="left" w:leader="none"/>
        </w:tabs>
        <w:spacing w:line="240" w:lineRule="auto" w:before="193" w:after="0"/>
        <w:ind w:left="840" w:right="0" w:hanging="721"/>
        <w:jc w:val="both"/>
        <w:rPr>
          <w:sz w:val="22"/>
        </w:rPr>
      </w:pPr>
      <w:bookmarkStart w:name="_bookmark96" w:id="189"/>
      <w:bookmarkEnd w:id="189"/>
      <w:r>
        <w:rPr/>
      </w:r>
      <w:bookmarkStart w:name="_bookmark96" w:id="190"/>
      <w:bookmarkEnd w:id="190"/>
      <w:r>
        <w:rPr>
          <w:color w:val="1F664D"/>
          <w:w w:val="105"/>
          <w:sz w:val="22"/>
        </w:rPr>
        <w:t>O</w:t>
      </w:r>
      <w:r>
        <w:rPr>
          <w:color w:val="1F664D"/>
          <w:w w:val="105"/>
          <w:sz w:val="22"/>
        </w:rPr>
        <w:t>ther</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40"/>
        </w:numPr>
        <w:tabs>
          <w:tab w:pos="985" w:val="left" w:leader="none"/>
        </w:tabs>
        <w:spacing w:line="240" w:lineRule="auto" w:before="0" w:after="0"/>
        <w:ind w:left="984" w:right="0" w:hanging="865"/>
        <w:jc w:val="both"/>
        <w:rPr>
          <w:i/>
          <w:sz w:val="20"/>
        </w:rPr>
      </w:pPr>
      <w:r>
        <w:rPr>
          <w:i/>
          <w:color w:val="008000"/>
          <w:sz w:val="20"/>
        </w:rPr>
        <w:t>Vacancy</w:t>
      </w:r>
      <w:r>
        <w:rPr>
          <w:i/>
          <w:color w:val="008000"/>
          <w:spacing w:val="-4"/>
          <w:sz w:val="20"/>
        </w:rPr>
        <w:t> </w:t>
      </w:r>
      <w:r>
        <w:rPr>
          <w:i/>
          <w:color w:val="008000"/>
          <w:sz w:val="20"/>
        </w:rPr>
        <w:t>provision</w:t>
      </w:r>
    </w:p>
    <w:p>
      <w:pPr>
        <w:pStyle w:val="BodyText"/>
        <w:spacing w:line="321" w:lineRule="auto" w:before="76"/>
        <w:ind w:left="660" w:right="121"/>
        <w:jc w:val="both"/>
      </w:pPr>
      <w:r>
        <w:rPr/>
        <w:t>Based on the prevailing market benchmarks, a vacancy provision of 2.5% has been adopted upon assessment of terminal value</w:t>
      </w:r>
    </w:p>
    <w:p>
      <w:pPr>
        <w:pStyle w:val="BodyText"/>
        <w:spacing w:before="4"/>
        <w:rPr>
          <w:sz w:val="23"/>
        </w:rPr>
      </w:pPr>
    </w:p>
    <w:p>
      <w:pPr>
        <w:pStyle w:val="ListParagraph"/>
        <w:numPr>
          <w:ilvl w:val="3"/>
          <w:numId w:val="40"/>
        </w:numPr>
        <w:tabs>
          <w:tab w:pos="985" w:val="left" w:leader="none"/>
        </w:tabs>
        <w:spacing w:line="240" w:lineRule="auto" w:before="0" w:after="0"/>
        <w:ind w:left="984" w:right="0" w:hanging="865"/>
        <w:jc w:val="both"/>
        <w:rPr>
          <w:i/>
          <w:sz w:val="20"/>
        </w:rPr>
      </w:pPr>
      <w:r>
        <w:rPr>
          <w:i/>
          <w:color w:val="008000"/>
          <w:sz w:val="20"/>
        </w:rPr>
        <w:t>Revenue</w:t>
      </w:r>
      <w:r>
        <w:rPr>
          <w:i/>
          <w:color w:val="008000"/>
          <w:spacing w:val="-4"/>
          <w:sz w:val="20"/>
        </w:rPr>
        <w:t> </w:t>
      </w:r>
      <w:r>
        <w:rPr>
          <w:i/>
          <w:color w:val="008000"/>
          <w:sz w:val="20"/>
        </w:rPr>
        <w:t>escalation</w:t>
      </w:r>
    </w:p>
    <w:p>
      <w:pPr>
        <w:pStyle w:val="BodyText"/>
        <w:spacing w:line="321" w:lineRule="auto" w:before="76"/>
        <w:ind w:left="660" w:right="113"/>
        <w:jc w:val="both"/>
      </w:pPr>
      <w:r>
        <w:rPr/>
        <w:t>Based</w:t>
      </w:r>
      <w:r>
        <w:rPr>
          <w:spacing w:val="-43"/>
        </w:rPr>
        <w:t> </w:t>
      </w:r>
      <w:r>
        <w:rPr/>
        <w:t>on</w:t>
      </w:r>
      <w:r>
        <w:rPr>
          <w:spacing w:val="-42"/>
        </w:rPr>
        <w:t> </w:t>
      </w:r>
      <w:r>
        <w:rPr/>
        <w:t>prevailing</w:t>
      </w:r>
      <w:r>
        <w:rPr>
          <w:spacing w:val="-41"/>
        </w:rPr>
        <w:t> </w:t>
      </w:r>
      <w:r>
        <w:rPr/>
        <w:t>market</w:t>
      </w:r>
      <w:r>
        <w:rPr>
          <w:spacing w:val="-41"/>
        </w:rPr>
        <w:t> </w:t>
      </w:r>
      <w:r>
        <w:rPr/>
        <w:t>condition,</w:t>
      </w:r>
      <w:r>
        <w:rPr>
          <w:spacing w:val="-42"/>
        </w:rPr>
        <w:t> </w:t>
      </w:r>
      <w:r>
        <w:rPr/>
        <w:t>historical</w:t>
      </w:r>
      <w:r>
        <w:rPr>
          <w:spacing w:val="-42"/>
        </w:rPr>
        <w:t> </w:t>
      </w:r>
      <w:r>
        <w:rPr/>
        <w:t>market</w:t>
      </w:r>
      <w:r>
        <w:rPr>
          <w:spacing w:val="-41"/>
        </w:rPr>
        <w:t> </w:t>
      </w:r>
      <w:r>
        <w:rPr/>
        <w:t>rent</w:t>
      </w:r>
      <w:r>
        <w:rPr>
          <w:spacing w:val="-42"/>
        </w:rPr>
        <w:t> </w:t>
      </w:r>
      <w:r>
        <w:rPr/>
        <w:t>growth</w:t>
      </w:r>
      <w:r>
        <w:rPr>
          <w:spacing w:val="-41"/>
        </w:rPr>
        <w:t> </w:t>
      </w:r>
      <w:r>
        <w:rPr/>
        <w:t>achieved</w:t>
      </w:r>
      <w:r>
        <w:rPr>
          <w:spacing w:val="-42"/>
        </w:rPr>
        <w:t> </w:t>
      </w:r>
      <w:r>
        <w:rPr/>
        <w:t>by</w:t>
      </w:r>
      <w:r>
        <w:rPr>
          <w:spacing w:val="-41"/>
        </w:rPr>
        <w:t> </w:t>
      </w:r>
      <w:r>
        <w:rPr/>
        <w:t>the</w:t>
      </w:r>
      <w:r>
        <w:rPr>
          <w:spacing w:val="-43"/>
        </w:rPr>
        <w:t> </w:t>
      </w:r>
      <w:r>
        <w:rPr/>
        <w:t>subject</w:t>
      </w:r>
      <w:r>
        <w:rPr>
          <w:spacing w:val="-41"/>
        </w:rPr>
        <w:t> </w:t>
      </w:r>
      <w:r>
        <w:rPr/>
        <w:t>property</w:t>
      </w:r>
      <w:r>
        <w:rPr>
          <w:spacing w:val="-42"/>
        </w:rPr>
        <w:t> </w:t>
      </w:r>
      <w:r>
        <w:rPr>
          <w:spacing w:val="-2"/>
        </w:rPr>
        <w:t>and </w:t>
      </w:r>
      <w:r>
        <w:rPr/>
        <w:t>our</w:t>
      </w:r>
      <w:r>
        <w:rPr>
          <w:spacing w:val="-47"/>
        </w:rPr>
        <w:t> </w:t>
      </w:r>
      <w:r>
        <w:rPr/>
        <w:t>interactions</w:t>
      </w:r>
      <w:r>
        <w:rPr>
          <w:spacing w:val="-46"/>
        </w:rPr>
        <w:t> </w:t>
      </w:r>
      <w:r>
        <w:rPr/>
        <w:t>with</w:t>
      </w:r>
      <w:r>
        <w:rPr>
          <w:spacing w:val="-47"/>
        </w:rPr>
        <w:t> </w:t>
      </w:r>
      <w:r>
        <w:rPr/>
        <w:t>market</w:t>
      </w:r>
      <w:r>
        <w:rPr>
          <w:spacing w:val="-45"/>
        </w:rPr>
        <w:t> </w:t>
      </w:r>
      <w:r>
        <w:rPr/>
        <w:t>participants,</w:t>
      </w:r>
      <w:r>
        <w:rPr>
          <w:spacing w:val="-47"/>
        </w:rPr>
        <w:t> </w:t>
      </w:r>
      <w:r>
        <w:rPr/>
        <w:t>we</w:t>
      </w:r>
      <w:r>
        <w:rPr>
          <w:spacing w:val="-47"/>
        </w:rPr>
        <w:t> </w:t>
      </w:r>
      <w:r>
        <w:rPr/>
        <w:t>are</w:t>
      </w:r>
      <w:r>
        <w:rPr>
          <w:spacing w:val="-47"/>
        </w:rPr>
        <w:t> </w:t>
      </w:r>
      <w:r>
        <w:rPr/>
        <w:t>of</w:t>
      </w:r>
      <w:r>
        <w:rPr>
          <w:spacing w:val="-47"/>
        </w:rPr>
        <w:t> </w:t>
      </w:r>
      <w:r>
        <w:rPr/>
        <w:t>the</w:t>
      </w:r>
      <w:r>
        <w:rPr>
          <w:spacing w:val="-46"/>
        </w:rPr>
        <w:t> </w:t>
      </w:r>
      <w:r>
        <w:rPr/>
        <w:t>opinion</w:t>
      </w:r>
      <w:r>
        <w:rPr>
          <w:spacing w:val="-47"/>
        </w:rPr>
        <w:t> </w:t>
      </w:r>
      <w:r>
        <w:rPr/>
        <w:t>that</w:t>
      </w:r>
      <w:r>
        <w:rPr>
          <w:spacing w:val="-47"/>
        </w:rPr>
        <w:t> </w:t>
      </w:r>
      <w:r>
        <w:rPr/>
        <w:t>the</w:t>
      </w:r>
      <w:r>
        <w:rPr>
          <w:spacing w:val="-46"/>
        </w:rPr>
        <w:t> </w:t>
      </w:r>
      <w:r>
        <w:rPr/>
        <w:t>annual</w:t>
      </w:r>
      <w:r>
        <w:rPr>
          <w:spacing w:val="-46"/>
        </w:rPr>
        <w:t> </w:t>
      </w:r>
      <w:r>
        <w:rPr/>
        <w:t>rent</w:t>
      </w:r>
      <w:r>
        <w:rPr>
          <w:spacing w:val="-47"/>
        </w:rPr>
        <w:t> </w:t>
      </w:r>
      <w:r>
        <w:rPr/>
        <w:t>growth</w:t>
      </w:r>
      <w:r>
        <w:rPr>
          <w:spacing w:val="-47"/>
        </w:rPr>
        <w:t> </w:t>
      </w:r>
      <w:r>
        <w:rPr/>
        <w:t>for</w:t>
      </w:r>
      <w:r>
        <w:rPr>
          <w:spacing w:val="-47"/>
        </w:rPr>
        <w:t> </w:t>
      </w:r>
      <w:r>
        <w:rPr/>
        <w:t>the</w:t>
      </w:r>
      <w:r>
        <w:rPr>
          <w:spacing w:val="-47"/>
        </w:rPr>
        <w:t> </w:t>
      </w:r>
      <w:r>
        <w:rPr/>
        <w:t>subject property will be 3.0% from Q1, FY 2022</w:t>
      </w:r>
      <w:r>
        <w:rPr>
          <w:spacing w:val="-19"/>
        </w:rPr>
        <w:t> </w:t>
      </w:r>
      <w:r>
        <w:rPr/>
        <w:t>onwards.</w:t>
      </w:r>
    </w:p>
    <w:p>
      <w:pPr>
        <w:pStyle w:val="BodyText"/>
        <w:spacing w:before="1"/>
        <w:rPr>
          <w:sz w:val="23"/>
        </w:rPr>
      </w:pPr>
    </w:p>
    <w:p>
      <w:pPr>
        <w:pStyle w:val="ListParagraph"/>
        <w:numPr>
          <w:ilvl w:val="3"/>
          <w:numId w:val="40"/>
        </w:numPr>
        <w:tabs>
          <w:tab w:pos="985" w:val="left" w:leader="none"/>
        </w:tabs>
        <w:spacing w:line="240" w:lineRule="auto" w:before="1" w:after="0"/>
        <w:ind w:left="984" w:right="0" w:hanging="865"/>
        <w:jc w:val="both"/>
        <w:rPr>
          <w:i/>
          <w:sz w:val="20"/>
        </w:rPr>
      </w:pPr>
      <w:r>
        <w:rPr>
          <w:i/>
          <w:color w:val="008000"/>
          <w:sz w:val="20"/>
        </w:rPr>
        <w:t>Rent </w:t>
      </w:r>
      <w:r>
        <w:rPr>
          <w:i/>
          <w:color w:val="008000"/>
          <w:w w:val="105"/>
          <w:sz w:val="20"/>
        </w:rPr>
        <w:t>– </w:t>
      </w:r>
      <w:r>
        <w:rPr>
          <w:i/>
          <w:color w:val="008000"/>
          <w:sz w:val="20"/>
        </w:rPr>
        <w:t>free</w:t>
      </w:r>
      <w:r>
        <w:rPr>
          <w:i/>
          <w:color w:val="008000"/>
          <w:spacing w:val="-13"/>
          <w:sz w:val="20"/>
        </w:rPr>
        <w:t> </w:t>
      </w:r>
      <w:r>
        <w:rPr>
          <w:i/>
          <w:color w:val="008000"/>
          <w:sz w:val="20"/>
        </w:rPr>
        <w:t>period</w:t>
      </w:r>
    </w:p>
    <w:p>
      <w:pPr>
        <w:pStyle w:val="BodyText"/>
        <w:spacing w:line="321" w:lineRule="auto" w:before="75"/>
        <w:ind w:left="660" w:right="114"/>
        <w:jc w:val="both"/>
      </w:pPr>
      <w:r>
        <w:rPr/>
        <w:t>Based</w:t>
      </w:r>
      <w:r>
        <w:rPr>
          <w:spacing w:val="-40"/>
        </w:rPr>
        <w:t> </w:t>
      </w:r>
      <w:r>
        <w:rPr/>
        <w:t>on</w:t>
      </w:r>
      <w:r>
        <w:rPr>
          <w:spacing w:val="-40"/>
        </w:rPr>
        <w:t> </w:t>
      </w:r>
      <w:r>
        <w:rPr/>
        <w:t>the</w:t>
      </w:r>
      <w:r>
        <w:rPr>
          <w:spacing w:val="-41"/>
        </w:rPr>
        <w:t> </w:t>
      </w:r>
      <w:r>
        <w:rPr/>
        <w:t>trend</w:t>
      </w:r>
      <w:r>
        <w:rPr>
          <w:spacing w:val="-40"/>
        </w:rPr>
        <w:t> </w:t>
      </w:r>
      <w:r>
        <w:rPr/>
        <w:t>prevalent</w:t>
      </w:r>
      <w:r>
        <w:rPr>
          <w:spacing w:val="-40"/>
        </w:rPr>
        <w:t> </w:t>
      </w:r>
      <w:r>
        <w:rPr/>
        <w:t>in</w:t>
      </w:r>
      <w:r>
        <w:rPr>
          <w:spacing w:val="-39"/>
        </w:rPr>
        <w:t> </w:t>
      </w:r>
      <w:r>
        <w:rPr/>
        <w:t>the</w:t>
      </w:r>
      <w:r>
        <w:rPr>
          <w:spacing w:val="-41"/>
        </w:rPr>
        <w:t> </w:t>
      </w:r>
      <w:r>
        <w:rPr/>
        <w:t>subject</w:t>
      </w:r>
      <w:r>
        <w:rPr>
          <w:spacing w:val="-40"/>
        </w:rPr>
        <w:t> </w:t>
      </w:r>
      <w:r>
        <w:rPr/>
        <w:t>submarket,</w:t>
      </w:r>
      <w:r>
        <w:rPr>
          <w:spacing w:val="-40"/>
        </w:rPr>
        <w:t> </w:t>
      </w:r>
      <w:r>
        <w:rPr/>
        <w:t>we</w:t>
      </w:r>
      <w:r>
        <w:rPr>
          <w:spacing w:val="-40"/>
        </w:rPr>
        <w:t> </w:t>
      </w:r>
      <w:r>
        <w:rPr/>
        <w:t>have</w:t>
      </w:r>
      <w:r>
        <w:rPr>
          <w:spacing w:val="-39"/>
        </w:rPr>
        <w:t> </w:t>
      </w:r>
      <w:r>
        <w:rPr/>
        <w:t>considered</w:t>
      </w:r>
      <w:r>
        <w:rPr>
          <w:spacing w:val="-39"/>
        </w:rPr>
        <w:t> </w:t>
      </w:r>
      <w:r>
        <w:rPr/>
        <w:t>a</w:t>
      </w:r>
      <w:r>
        <w:rPr>
          <w:spacing w:val="-41"/>
        </w:rPr>
        <w:t> </w:t>
      </w:r>
      <w:r>
        <w:rPr/>
        <w:t>rent-free</w:t>
      </w:r>
      <w:r>
        <w:rPr>
          <w:spacing w:val="-41"/>
        </w:rPr>
        <w:t> </w:t>
      </w:r>
      <w:r>
        <w:rPr/>
        <w:t>period</w:t>
      </w:r>
      <w:r>
        <w:rPr>
          <w:spacing w:val="-39"/>
        </w:rPr>
        <w:t> </w:t>
      </w:r>
      <w:r>
        <w:rPr/>
        <w:t>of</w:t>
      </w:r>
      <w:r>
        <w:rPr>
          <w:spacing w:val="-39"/>
        </w:rPr>
        <w:t> </w:t>
      </w:r>
      <w:r>
        <w:rPr/>
        <w:t>3</w:t>
      </w:r>
      <w:r>
        <w:rPr>
          <w:spacing w:val="-40"/>
        </w:rPr>
        <w:t> </w:t>
      </w:r>
      <w:r>
        <w:rPr/>
        <w:t>months for</w:t>
      </w:r>
      <w:r>
        <w:rPr>
          <w:spacing w:val="-14"/>
        </w:rPr>
        <w:t> </w:t>
      </w:r>
      <w:r>
        <w:rPr/>
        <w:t>the</w:t>
      </w:r>
      <w:r>
        <w:rPr>
          <w:spacing w:val="-15"/>
        </w:rPr>
        <w:t> </w:t>
      </w:r>
      <w:r>
        <w:rPr/>
        <w:t>subject</w:t>
      </w:r>
      <w:r>
        <w:rPr>
          <w:spacing w:val="-15"/>
        </w:rPr>
        <w:t> </w:t>
      </w:r>
      <w:r>
        <w:rPr/>
        <w:t>property</w:t>
      </w:r>
      <w:r>
        <w:rPr>
          <w:spacing w:val="-15"/>
        </w:rPr>
        <w:t> </w:t>
      </w:r>
      <w:r>
        <w:rPr/>
        <w:t>from</w:t>
      </w:r>
      <w:r>
        <w:rPr>
          <w:spacing w:val="-14"/>
        </w:rPr>
        <w:t> </w:t>
      </w:r>
      <w:r>
        <w:rPr/>
        <w:t>the</w:t>
      </w:r>
      <w:r>
        <w:rPr>
          <w:spacing w:val="-14"/>
        </w:rPr>
        <w:t> </w:t>
      </w:r>
      <w:r>
        <w:rPr/>
        <w:t>lease</w:t>
      </w:r>
      <w:r>
        <w:rPr>
          <w:spacing w:val="-14"/>
        </w:rPr>
        <w:t> </w:t>
      </w:r>
      <w:r>
        <w:rPr/>
        <w:t>commencement</w:t>
      </w:r>
      <w:r>
        <w:rPr>
          <w:spacing w:val="-14"/>
        </w:rPr>
        <w:t> </w:t>
      </w:r>
      <w:r>
        <w:rPr/>
        <w:t>date</w:t>
      </w:r>
      <w:r>
        <w:rPr>
          <w:spacing w:val="-14"/>
        </w:rPr>
        <w:t> </w:t>
      </w:r>
      <w:r>
        <w:rPr/>
        <w:t>(for</w:t>
      </w:r>
      <w:r>
        <w:rPr>
          <w:spacing w:val="-14"/>
        </w:rPr>
        <w:t> </w:t>
      </w:r>
      <w:r>
        <w:rPr/>
        <w:t>future</w:t>
      </w:r>
      <w:r>
        <w:rPr>
          <w:spacing w:val="-13"/>
        </w:rPr>
        <w:t> </w:t>
      </w:r>
      <w:r>
        <w:rPr/>
        <w:t>/</w:t>
      </w:r>
      <w:r>
        <w:rPr>
          <w:spacing w:val="-15"/>
        </w:rPr>
        <w:t> </w:t>
      </w:r>
      <w:r>
        <w:rPr/>
        <w:t>new</w:t>
      </w:r>
      <w:r>
        <w:rPr>
          <w:spacing w:val="-11"/>
        </w:rPr>
        <w:t> </w:t>
      </w:r>
      <w:r>
        <w:rPr/>
        <w:t>leases)</w:t>
      </w:r>
    </w:p>
    <w:p>
      <w:pPr>
        <w:pStyle w:val="BodyText"/>
        <w:spacing w:before="4"/>
        <w:rPr>
          <w:sz w:val="23"/>
        </w:rPr>
      </w:pPr>
    </w:p>
    <w:p>
      <w:pPr>
        <w:pStyle w:val="ListParagraph"/>
        <w:numPr>
          <w:ilvl w:val="3"/>
          <w:numId w:val="40"/>
        </w:numPr>
        <w:tabs>
          <w:tab w:pos="985" w:val="left" w:leader="none"/>
        </w:tabs>
        <w:spacing w:line="240" w:lineRule="auto" w:before="0" w:after="0"/>
        <w:ind w:left="984" w:right="0" w:hanging="865"/>
        <w:jc w:val="both"/>
        <w:rPr>
          <w:i/>
          <w:sz w:val="20"/>
        </w:rPr>
      </w:pPr>
      <w:r>
        <w:rPr>
          <w:i/>
          <w:color w:val="008000"/>
          <w:sz w:val="20"/>
        </w:rPr>
        <w:t>Brokerage</w:t>
      </w:r>
    </w:p>
    <w:p>
      <w:pPr>
        <w:pStyle w:val="BodyText"/>
        <w:spacing w:line="321" w:lineRule="auto" w:before="76"/>
        <w:ind w:left="660" w:right="113"/>
        <w:jc w:val="both"/>
      </w:pPr>
      <w:r>
        <w:rPr/>
        <w:t>Based</w:t>
      </w:r>
      <w:r>
        <w:rPr>
          <w:spacing w:val="-4"/>
        </w:rPr>
        <w:t> </w:t>
      </w:r>
      <w:r>
        <w:rPr/>
        <w:t>on</w:t>
      </w:r>
      <w:r>
        <w:rPr>
          <w:spacing w:val="-5"/>
        </w:rPr>
        <w:t> </w:t>
      </w:r>
      <w:r>
        <w:rPr/>
        <w:t>prevalent</w:t>
      </w:r>
      <w:r>
        <w:rPr>
          <w:spacing w:val="-5"/>
        </w:rPr>
        <w:t> </w:t>
      </w:r>
      <w:r>
        <w:rPr/>
        <w:t>market</w:t>
      </w:r>
      <w:r>
        <w:rPr>
          <w:spacing w:val="-4"/>
        </w:rPr>
        <w:t> </w:t>
      </w:r>
      <w:r>
        <w:rPr/>
        <w:t>dynamics,</w:t>
      </w:r>
      <w:r>
        <w:rPr>
          <w:spacing w:val="-7"/>
        </w:rPr>
        <w:t> </w:t>
      </w:r>
      <w:r>
        <w:rPr/>
        <w:t>we</w:t>
      </w:r>
      <w:r>
        <w:rPr>
          <w:spacing w:val="-5"/>
        </w:rPr>
        <w:t> </w:t>
      </w:r>
      <w:r>
        <w:rPr/>
        <w:t>have</w:t>
      </w:r>
      <w:r>
        <w:rPr>
          <w:spacing w:val="-5"/>
        </w:rPr>
        <w:t> </w:t>
      </w:r>
      <w:r>
        <w:rPr/>
        <w:t>considered</w:t>
      </w:r>
      <w:r>
        <w:rPr>
          <w:spacing w:val="-4"/>
        </w:rPr>
        <w:t> </w:t>
      </w:r>
      <w:r>
        <w:rPr/>
        <w:t>brokerage</w:t>
      </w:r>
      <w:r>
        <w:rPr>
          <w:spacing w:val="-5"/>
        </w:rPr>
        <w:t> </w:t>
      </w:r>
      <w:r>
        <w:rPr/>
        <w:t>equivalent</w:t>
      </w:r>
      <w:r>
        <w:rPr>
          <w:spacing w:val="-5"/>
        </w:rPr>
        <w:t> </w:t>
      </w:r>
      <w:r>
        <w:rPr/>
        <w:t>to</w:t>
      </w:r>
      <w:r>
        <w:rPr>
          <w:spacing w:val="1"/>
        </w:rPr>
        <w:t> </w:t>
      </w:r>
      <w:r>
        <w:rPr/>
        <w:t>2</w:t>
      </w:r>
      <w:r>
        <w:rPr>
          <w:spacing w:val="-4"/>
        </w:rPr>
        <w:t> </w:t>
      </w:r>
      <w:r>
        <w:rPr/>
        <w:t>month</w:t>
      </w:r>
      <w:r>
        <w:rPr>
          <w:spacing w:val="-5"/>
        </w:rPr>
        <w:t> </w:t>
      </w:r>
      <w:r>
        <w:rPr/>
        <w:t>of</w:t>
      </w:r>
      <w:r>
        <w:rPr>
          <w:spacing w:val="-4"/>
        </w:rPr>
        <w:t> </w:t>
      </w:r>
      <w:r>
        <w:rPr/>
        <w:t>rental income for future / new</w:t>
      </w:r>
      <w:r>
        <w:rPr>
          <w:spacing w:val="-18"/>
        </w:rPr>
        <w:t> </w:t>
      </w:r>
      <w:r>
        <w:rPr/>
        <w:t>leases</w:t>
      </w:r>
    </w:p>
    <w:p>
      <w:pPr>
        <w:spacing w:after="0" w:line="321" w:lineRule="auto"/>
        <w:jc w:val="both"/>
        <w:sectPr>
          <w:pgSz w:w="11910" w:h="16840"/>
          <w:pgMar w:header="720" w:footer="943" w:top="1660" w:bottom="1140" w:left="600" w:right="600"/>
        </w:sectPr>
      </w:pPr>
    </w:p>
    <w:p>
      <w:pPr>
        <w:pStyle w:val="BodyText"/>
        <w:spacing w:before="7"/>
        <w:rPr>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97" w:id="191"/>
      <w:bookmarkEnd w:id="191"/>
      <w:r>
        <w:rPr/>
      </w:r>
      <w:bookmarkStart w:name="_bookmark97" w:id="192"/>
      <w:bookmarkEnd w:id="192"/>
      <w:r>
        <w:rPr>
          <w:color w:val="1F664D"/>
          <w:sz w:val="22"/>
        </w:rPr>
        <w:t>Ca</w:t>
      </w:r>
      <w:r>
        <w:rPr>
          <w:color w:val="1F664D"/>
          <w:sz w:val="22"/>
        </w:rPr>
        <w:t>pitalization</w:t>
      </w:r>
      <w:r>
        <w:rPr>
          <w:color w:val="1F664D"/>
          <w:spacing w:val="-2"/>
          <w:sz w:val="22"/>
        </w:rPr>
        <w:t> </w:t>
      </w:r>
      <w:r>
        <w:rPr>
          <w:color w:val="1F664D"/>
          <w:sz w:val="22"/>
        </w:rPr>
        <w:t>Rates</w:t>
      </w:r>
    </w:p>
    <w:p>
      <w:pPr>
        <w:pStyle w:val="BodyText"/>
        <w:spacing w:before="208"/>
        <w:ind w:left="751"/>
        <w:jc w:val="both"/>
      </w:pPr>
      <w:r>
        <w:rPr/>
        <w:t>As highlighted in section 3.3, the cap rate adopted for the office spaces are 7.5%.</w:t>
      </w:r>
    </w:p>
    <w:p>
      <w:pPr>
        <w:pStyle w:val="BodyText"/>
        <w:spacing w:before="2"/>
        <w:rPr>
          <w:sz w:val="28"/>
        </w:rPr>
      </w:pPr>
    </w:p>
    <w:p>
      <w:pPr>
        <w:pStyle w:val="ListParagraph"/>
        <w:numPr>
          <w:ilvl w:val="2"/>
          <w:numId w:val="14"/>
        </w:numPr>
        <w:tabs>
          <w:tab w:pos="841" w:val="left" w:leader="none"/>
        </w:tabs>
        <w:spacing w:line="240" w:lineRule="auto" w:before="1" w:after="0"/>
        <w:ind w:left="840" w:right="0" w:hanging="721"/>
        <w:jc w:val="left"/>
        <w:rPr>
          <w:sz w:val="22"/>
        </w:rPr>
      </w:pPr>
      <w:bookmarkStart w:name="_bookmark98" w:id="193"/>
      <w:bookmarkEnd w:id="193"/>
      <w:r>
        <w:rPr/>
      </w:r>
      <w:bookmarkStart w:name="_bookmark98" w:id="194"/>
      <w:bookmarkEnd w:id="194"/>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5"/>
        <w:ind w:left="751" w:right="116"/>
        <w:jc w:val="both"/>
      </w:pPr>
      <w:r>
        <w:rPr/>
        <w:t>For</w:t>
      </w:r>
      <w:r>
        <w:rPr>
          <w:spacing w:val="-41"/>
        </w:rPr>
        <w:t> </w:t>
      </w:r>
      <w:r>
        <w:rPr/>
        <w:t>discounting</w:t>
      </w:r>
      <w:r>
        <w:rPr>
          <w:spacing w:val="-39"/>
        </w:rPr>
        <w:t> </w:t>
      </w:r>
      <w:r>
        <w:rPr/>
        <w:t>the</w:t>
      </w:r>
      <w:r>
        <w:rPr>
          <w:spacing w:val="-40"/>
        </w:rPr>
        <w:t> </w:t>
      </w:r>
      <w:r>
        <w:rPr/>
        <w:t>cash</w:t>
      </w:r>
      <w:r>
        <w:rPr>
          <w:spacing w:val="-41"/>
        </w:rPr>
        <w:t> </w:t>
      </w:r>
      <w:r>
        <w:rPr/>
        <w:t>flows,</w:t>
      </w:r>
      <w:r>
        <w:rPr>
          <w:spacing w:val="-39"/>
        </w:rPr>
        <w:t> </w:t>
      </w:r>
      <w:r>
        <w:rPr/>
        <w:t>the</w:t>
      </w:r>
      <w:r>
        <w:rPr>
          <w:spacing w:val="-40"/>
        </w:rPr>
        <w:t> </w:t>
      </w:r>
      <w:r>
        <w:rPr/>
        <w:t>appropriate</w:t>
      </w:r>
      <w:r>
        <w:rPr>
          <w:spacing w:val="-41"/>
        </w:rPr>
        <w:t> </w:t>
      </w:r>
      <w:r>
        <w:rPr/>
        <w:t>discounting</w:t>
      </w:r>
      <w:r>
        <w:rPr>
          <w:spacing w:val="-39"/>
        </w:rPr>
        <w:t> </w:t>
      </w:r>
      <w:r>
        <w:rPr/>
        <w:t>rate</w:t>
      </w:r>
      <w:r>
        <w:rPr>
          <w:spacing w:val="-40"/>
        </w:rPr>
        <w:t> </w:t>
      </w:r>
      <w:r>
        <w:rPr/>
        <w:t>has</w:t>
      </w:r>
      <w:r>
        <w:rPr>
          <w:spacing w:val="-40"/>
        </w:rPr>
        <w:t> </w:t>
      </w:r>
      <w:r>
        <w:rPr/>
        <w:t>been</w:t>
      </w:r>
      <w:r>
        <w:rPr>
          <w:spacing w:val="-40"/>
        </w:rPr>
        <w:t> </w:t>
      </w:r>
      <w:r>
        <w:rPr/>
        <w:t>calculated</w:t>
      </w:r>
      <w:r>
        <w:rPr>
          <w:spacing w:val="-39"/>
        </w:rPr>
        <w:t> </w:t>
      </w:r>
      <w:r>
        <w:rPr/>
        <w:t>based</w:t>
      </w:r>
      <w:r>
        <w:rPr>
          <w:spacing w:val="-39"/>
        </w:rPr>
        <w:t> </w:t>
      </w:r>
      <w:r>
        <w:rPr/>
        <w:t>on</w:t>
      </w:r>
      <w:r>
        <w:rPr>
          <w:spacing w:val="-40"/>
        </w:rPr>
        <w:t> </w:t>
      </w:r>
      <w:r>
        <w:rPr/>
        <w:t>estimated ‘Weighted</w:t>
      </w:r>
      <w:r>
        <w:rPr>
          <w:spacing w:val="-33"/>
        </w:rPr>
        <w:t> </w:t>
      </w:r>
      <w:r>
        <w:rPr/>
        <w:t>Average</w:t>
      </w:r>
      <w:r>
        <w:rPr>
          <w:spacing w:val="-35"/>
        </w:rPr>
        <w:t> </w:t>
      </w:r>
      <w:r>
        <w:rPr/>
        <w:t>Cost</w:t>
      </w:r>
      <w:r>
        <w:rPr>
          <w:spacing w:val="-35"/>
        </w:rPr>
        <w:t> </w:t>
      </w:r>
      <w:r>
        <w:rPr/>
        <w:t>of</w:t>
      </w:r>
      <w:r>
        <w:rPr>
          <w:spacing w:val="-33"/>
        </w:rPr>
        <w:t> </w:t>
      </w:r>
      <w:r>
        <w:rPr/>
        <w:t>Capital’</w:t>
      </w:r>
      <w:r>
        <w:rPr>
          <w:spacing w:val="-34"/>
        </w:rPr>
        <w:t> </w:t>
      </w:r>
      <w:r>
        <w:rPr/>
        <w:t>(WACC).</w:t>
      </w:r>
      <w:r>
        <w:rPr>
          <w:spacing w:val="-30"/>
        </w:rPr>
        <w:t> </w:t>
      </w:r>
      <w:r>
        <w:rPr/>
        <w:t>The</w:t>
      </w:r>
      <w:r>
        <w:rPr>
          <w:spacing w:val="-36"/>
        </w:rPr>
        <w:t> </w:t>
      </w:r>
      <w:r>
        <w:rPr/>
        <w:t>detailed</w:t>
      </w:r>
      <w:r>
        <w:rPr>
          <w:spacing w:val="-33"/>
        </w:rPr>
        <w:t> </w:t>
      </w:r>
      <w:r>
        <w:rPr/>
        <w:t>analysis</w:t>
      </w:r>
      <w:r>
        <w:rPr>
          <w:spacing w:val="-33"/>
        </w:rPr>
        <w:t> </w:t>
      </w:r>
      <w:r>
        <w:rPr/>
        <w:t>of</w:t>
      </w:r>
      <w:r>
        <w:rPr>
          <w:spacing w:val="-31"/>
        </w:rPr>
        <w:t> </w:t>
      </w:r>
      <w:r>
        <w:rPr/>
        <w:t>WACC</w:t>
      </w:r>
      <w:r>
        <w:rPr>
          <w:spacing w:val="-33"/>
        </w:rPr>
        <w:t> </w:t>
      </w:r>
      <w:r>
        <w:rPr/>
        <w:t>rate</w:t>
      </w:r>
      <w:r>
        <w:rPr>
          <w:spacing w:val="-34"/>
        </w:rPr>
        <w:t> </w:t>
      </w:r>
      <w:r>
        <w:rPr/>
        <w:t>adopted</w:t>
      </w:r>
      <w:r>
        <w:rPr>
          <w:spacing w:val="-33"/>
        </w:rPr>
        <w:t> </w:t>
      </w:r>
      <w:r>
        <w:rPr/>
        <w:t>for</w:t>
      </w:r>
      <w:r>
        <w:rPr>
          <w:spacing w:val="-34"/>
        </w:rPr>
        <w:t> </w:t>
      </w:r>
      <w:r>
        <w:rPr/>
        <w:t>the</w:t>
      </w:r>
      <w:r>
        <w:rPr>
          <w:spacing w:val="-34"/>
        </w:rPr>
        <w:t> </w:t>
      </w:r>
      <w:r>
        <w:rPr/>
        <w:t>subject property has been detailed in Section 3.4 of this</w:t>
      </w:r>
      <w:r>
        <w:rPr>
          <w:spacing w:val="-45"/>
        </w:rPr>
        <w:t> </w:t>
      </w:r>
      <w:r>
        <w:rPr/>
        <w:t>report.</w:t>
      </w:r>
    </w:p>
    <w:p>
      <w:pPr>
        <w:pStyle w:val="BodyText"/>
        <w:spacing w:before="10"/>
        <w:rPr>
          <w:sz w:val="20"/>
        </w:rPr>
      </w:pPr>
    </w:p>
    <w:p>
      <w:pPr>
        <w:pStyle w:val="BodyText"/>
        <w:tabs>
          <w:tab w:pos="696" w:val="left" w:leader="none"/>
        </w:tabs>
        <w:ind w:left="120"/>
      </w:pPr>
      <w:bookmarkStart w:name="_bookmark99" w:id="195"/>
      <w:bookmarkEnd w:id="195"/>
      <w:r>
        <w:rPr/>
      </w:r>
      <w:r>
        <w:rPr>
          <w:color w:val="1F6647"/>
        </w:rPr>
        <w:t>6.5</w:t>
        <w:tab/>
        <w:t>Value of the Subject</w:t>
      </w:r>
      <w:r>
        <w:rPr>
          <w:color w:val="1F6647"/>
          <w:spacing w:val="-9"/>
        </w:rPr>
        <w:t> </w:t>
      </w:r>
      <w:r>
        <w:rPr>
          <w:color w:val="1F6647"/>
        </w:rPr>
        <w:t>Property</w:t>
      </w:r>
    </w:p>
    <w:p>
      <w:pPr>
        <w:pStyle w:val="BodyText"/>
        <w:spacing w:before="209"/>
        <w:ind w:left="751"/>
        <w:jc w:val="both"/>
      </w:pPr>
      <w:r>
        <w:rPr/>
        <w:t>Based on the above-mentioned analysis, the value of the subject property is estimated as follows:</w:t>
      </w:r>
    </w:p>
    <w:p>
      <w:pPr>
        <w:pStyle w:val="BodyText"/>
        <w:spacing w:after="1"/>
        <w:rPr>
          <w:sz w:val="29"/>
        </w:rPr>
      </w:pPr>
    </w:p>
    <w:tbl>
      <w:tblPr>
        <w:tblW w:w="0" w:type="auto"/>
        <w:jc w:val="left"/>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04"/>
        <w:gridCol w:w="2595"/>
        <w:gridCol w:w="1883"/>
        <w:gridCol w:w="2602"/>
      </w:tblGrid>
      <w:tr>
        <w:trPr>
          <w:trHeight w:val="421" w:hRule="atLeast"/>
        </w:trPr>
        <w:tc>
          <w:tcPr>
            <w:tcW w:w="3404" w:type="dxa"/>
            <w:tcBorders>
              <w:top w:val="single" w:sz="12" w:space="0" w:color="1F6B16"/>
              <w:bottom w:val="single" w:sz="6" w:space="0" w:color="69BD28"/>
            </w:tcBorders>
            <w:shd w:val="clear" w:color="auto" w:fill="006A4D"/>
          </w:tcPr>
          <w:p>
            <w:pPr>
              <w:pStyle w:val="TableParagraph"/>
              <w:spacing w:before="95"/>
              <w:ind w:left="1112" w:right="877"/>
              <w:rPr>
                <w:sz w:val="20"/>
              </w:rPr>
            </w:pPr>
            <w:r>
              <w:rPr>
                <w:color w:val="FFFFFF"/>
                <w:sz w:val="20"/>
              </w:rPr>
              <w:t>Component</w:t>
            </w:r>
          </w:p>
        </w:tc>
        <w:tc>
          <w:tcPr>
            <w:tcW w:w="2595" w:type="dxa"/>
            <w:tcBorders>
              <w:top w:val="single" w:sz="12" w:space="0" w:color="1F6B16"/>
              <w:bottom w:val="single" w:sz="6" w:space="0" w:color="69BD28"/>
            </w:tcBorders>
            <w:shd w:val="clear" w:color="auto" w:fill="006A4D"/>
          </w:tcPr>
          <w:p>
            <w:pPr>
              <w:pStyle w:val="TableParagraph"/>
              <w:spacing w:before="95"/>
              <w:ind w:left="875" w:right="361"/>
              <w:rPr>
                <w:sz w:val="20"/>
              </w:rPr>
            </w:pPr>
            <w:r>
              <w:rPr>
                <w:color w:val="FFFFFF"/>
                <w:sz w:val="20"/>
              </w:rPr>
              <w:t>Value (INR Mn)</w:t>
            </w:r>
          </w:p>
        </w:tc>
        <w:tc>
          <w:tcPr>
            <w:tcW w:w="1883" w:type="dxa"/>
            <w:tcBorders>
              <w:top w:val="single" w:sz="12" w:space="0" w:color="1F6B16"/>
              <w:bottom w:val="single" w:sz="6" w:space="0" w:color="69BD28"/>
            </w:tcBorders>
            <w:shd w:val="clear" w:color="auto" w:fill="006A4D"/>
          </w:tcPr>
          <w:p>
            <w:pPr>
              <w:pStyle w:val="TableParagraph"/>
              <w:jc w:val="left"/>
              <w:rPr>
                <w:rFonts w:ascii="Times New Roman"/>
                <w:sz w:val="20"/>
              </w:rPr>
            </w:pPr>
          </w:p>
        </w:tc>
        <w:tc>
          <w:tcPr>
            <w:tcW w:w="2602" w:type="dxa"/>
            <w:tcBorders>
              <w:top w:val="single" w:sz="12" w:space="0" w:color="1F6B16"/>
              <w:bottom w:val="single" w:sz="6" w:space="0" w:color="69BD28"/>
            </w:tcBorders>
            <w:shd w:val="clear" w:color="auto" w:fill="006A4D"/>
          </w:tcPr>
          <w:p>
            <w:pPr>
              <w:pStyle w:val="TableParagraph"/>
              <w:spacing w:before="95"/>
              <w:ind w:left="111" w:right="1705"/>
              <w:rPr>
                <w:sz w:val="20"/>
              </w:rPr>
            </w:pPr>
            <w:r>
              <w:rPr>
                <w:color w:val="FFFFFF"/>
                <w:w w:val="110"/>
                <w:sz w:val="20"/>
              </w:rPr>
              <w:t>% Share</w:t>
            </w:r>
          </w:p>
        </w:tc>
      </w:tr>
      <w:tr>
        <w:trPr>
          <w:trHeight w:val="446" w:hRule="atLeast"/>
        </w:trPr>
        <w:tc>
          <w:tcPr>
            <w:tcW w:w="3404" w:type="dxa"/>
            <w:tcBorders>
              <w:top w:val="single" w:sz="6" w:space="0" w:color="69BD28"/>
            </w:tcBorders>
          </w:tcPr>
          <w:p>
            <w:pPr>
              <w:pStyle w:val="TableParagraph"/>
              <w:spacing w:before="121"/>
              <w:ind w:left="1112" w:right="877"/>
              <w:rPr>
                <w:sz w:val="18"/>
              </w:rPr>
            </w:pPr>
            <w:r>
              <w:rPr>
                <w:sz w:val="18"/>
              </w:rPr>
              <w:t>Express Towers</w:t>
            </w:r>
          </w:p>
        </w:tc>
        <w:tc>
          <w:tcPr>
            <w:tcW w:w="2595" w:type="dxa"/>
            <w:tcBorders>
              <w:top w:val="single" w:sz="6" w:space="0" w:color="69BD28"/>
            </w:tcBorders>
          </w:tcPr>
          <w:p>
            <w:pPr>
              <w:pStyle w:val="TableParagraph"/>
              <w:spacing w:before="121"/>
              <w:ind w:left="875" w:right="361"/>
              <w:rPr>
                <w:sz w:val="18"/>
              </w:rPr>
            </w:pPr>
            <w:r>
              <w:rPr>
                <w:w w:val="110"/>
                <w:sz w:val="18"/>
              </w:rPr>
              <w:t>17,866</w:t>
            </w:r>
          </w:p>
        </w:tc>
        <w:tc>
          <w:tcPr>
            <w:tcW w:w="1883" w:type="dxa"/>
            <w:tcBorders>
              <w:top w:val="single" w:sz="6" w:space="0" w:color="69BD28"/>
            </w:tcBorders>
          </w:tcPr>
          <w:p>
            <w:pPr>
              <w:pStyle w:val="TableParagraph"/>
              <w:jc w:val="left"/>
              <w:rPr>
                <w:rFonts w:ascii="Times New Roman"/>
                <w:sz w:val="20"/>
              </w:rPr>
            </w:pPr>
          </w:p>
        </w:tc>
        <w:tc>
          <w:tcPr>
            <w:tcW w:w="2602" w:type="dxa"/>
            <w:tcBorders>
              <w:top w:val="single" w:sz="6" w:space="0" w:color="69BD28"/>
            </w:tcBorders>
          </w:tcPr>
          <w:p>
            <w:pPr>
              <w:pStyle w:val="TableParagraph"/>
              <w:spacing w:before="121"/>
              <w:ind w:left="111" w:right="1703"/>
              <w:rPr>
                <w:sz w:val="18"/>
              </w:rPr>
            </w:pPr>
            <w:r>
              <w:rPr>
                <w:w w:val="115"/>
                <w:sz w:val="18"/>
              </w:rPr>
              <w:t>100%</w:t>
            </w:r>
          </w:p>
        </w:tc>
      </w:tr>
      <w:tr>
        <w:trPr>
          <w:trHeight w:val="475" w:hRule="atLeast"/>
        </w:trPr>
        <w:tc>
          <w:tcPr>
            <w:tcW w:w="3404" w:type="dxa"/>
            <w:shd w:val="clear" w:color="auto" w:fill="69BD28"/>
          </w:tcPr>
          <w:p>
            <w:pPr>
              <w:pStyle w:val="TableParagraph"/>
              <w:spacing w:before="133"/>
              <w:ind w:left="1114" w:right="877"/>
              <w:rPr>
                <w:b/>
                <w:sz w:val="18"/>
              </w:rPr>
            </w:pPr>
            <w:r>
              <w:rPr>
                <w:b/>
                <w:color w:val="FFFFFF"/>
                <w:w w:val="105"/>
                <w:sz w:val="18"/>
              </w:rPr>
              <w:t>Express Towers</w:t>
            </w:r>
          </w:p>
        </w:tc>
        <w:tc>
          <w:tcPr>
            <w:tcW w:w="2595" w:type="dxa"/>
            <w:shd w:val="clear" w:color="auto" w:fill="69BD28"/>
          </w:tcPr>
          <w:p>
            <w:pPr>
              <w:pStyle w:val="TableParagraph"/>
              <w:jc w:val="left"/>
              <w:rPr>
                <w:rFonts w:ascii="Times New Roman"/>
                <w:sz w:val="20"/>
              </w:rPr>
            </w:pPr>
          </w:p>
        </w:tc>
        <w:tc>
          <w:tcPr>
            <w:tcW w:w="1883" w:type="dxa"/>
            <w:shd w:val="clear" w:color="auto" w:fill="69BD28"/>
          </w:tcPr>
          <w:p>
            <w:pPr>
              <w:pStyle w:val="TableParagraph"/>
              <w:spacing w:before="133"/>
              <w:ind w:left="380"/>
              <w:jc w:val="left"/>
              <w:rPr>
                <w:b/>
                <w:sz w:val="18"/>
              </w:rPr>
            </w:pPr>
            <w:r>
              <w:rPr>
                <w:b/>
                <w:color w:val="FFFFFF"/>
                <w:w w:val="110"/>
                <w:sz w:val="18"/>
              </w:rPr>
              <w:t>INR 17,866 Mn</w:t>
            </w:r>
          </w:p>
        </w:tc>
        <w:tc>
          <w:tcPr>
            <w:tcW w:w="2602" w:type="dxa"/>
            <w:shd w:val="clear" w:color="auto" w:fill="69BD28"/>
          </w:tcPr>
          <w:p>
            <w:pPr>
              <w:pStyle w:val="TableParagraph"/>
              <w:jc w:val="left"/>
              <w:rPr>
                <w:rFonts w:ascii="Times New Roman"/>
                <w:sz w:val="20"/>
              </w:rPr>
            </w:pPr>
          </w:p>
        </w:tc>
      </w:tr>
    </w:tbl>
    <w:p>
      <w:pPr>
        <w:spacing w:after="0"/>
        <w:jc w:val="left"/>
        <w:rPr>
          <w:rFonts w:ascii="Times New Roman"/>
          <w:sz w:val="20"/>
        </w:rPr>
        <w:sectPr>
          <w:pgSz w:w="11910" w:h="16840"/>
          <w:pgMar w:header="720" w:footer="943" w:top="1660" w:bottom="1140" w:left="600" w:right="600"/>
        </w:sectPr>
      </w:pPr>
    </w:p>
    <w:p>
      <w:pPr>
        <w:pStyle w:val="BodyText"/>
        <w:spacing w:before="7"/>
        <w:rPr>
          <w:sz w:val="9"/>
        </w:rPr>
      </w:pPr>
    </w:p>
    <w:p>
      <w:pPr>
        <w:pStyle w:val="Heading5"/>
        <w:numPr>
          <w:ilvl w:val="0"/>
          <w:numId w:val="14"/>
        </w:numPr>
        <w:tabs>
          <w:tab w:pos="552" w:val="left" w:leader="none"/>
          <w:tab w:pos="553" w:val="left" w:leader="none"/>
        </w:tabs>
        <w:spacing w:line="240" w:lineRule="auto" w:before="106" w:after="0"/>
        <w:ind w:left="552" w:right="0" w:hanging="433"/>
        <w:jc w:val="left"/>
        <w:rPr>
          <w:rFonts w:ascii="Arial"/>
        </w:rPr>
      </w:pPr>
      <w:bookmarkStart w:name="_bookmark100" w:id="196"/>
      <w:bookmarkEnd w:id="196"/>
      <w:r>
        <w:rPr>
          <w:b w:val="0"/>
        </w:rPr>
      </w:r>
      <w:bookmarkStart w:name="_bookmark100" w:id="197"/>
      <w:bookmarkEnd w:id="197"/>
      <w:r>
        <w:rPr>
          <w:rFonts w:ascii="Arial"/>
          <w:color w:val="1F664D"/>
        </w:rPr>
        <w:t>E</w:t>
      </w:r>
      <w:r>
        <w:rPr>
          <w:rFonts w:ascii="Arial"/>
          <w:color w:val="1F664D"/>
        </w:rPr>
        <w:t>mbassy</w:t>
      </w:r>
      <w:r>
        <w:rPr>
          <w:rFonts w:ascii="Arial"/>
          <w:color w:val="1F664D"/>
          <w:spacing w:val="4"/>
        </w:rPr>
        <w:t> </w:t>
      </w:r>
      <w:r>
        <w:rPr>
          <w:rFonts w:ascii="Arial"/>
          <w:color w:val="1F664D"/>
        </w:rPr>
        <w:t>247</w:t>
      </w:r>
    </w:p>
    <w:p>
      <w:pPr>
        <w:pStyle w:val="BodyText"/>
        <w:spacing w:before="8"/>
        <w:rPr>
          <w:rFonts w:ascii="Arial"/>
          <w:b/>
          <w:sz w:val="28"/>
        </w:rPr>
      </w:pPr>
    </w:p>
    <w:p>
      <w:pPr>
        <w:pStyle w:val="ListParagraph"/>
        <w:numPr>
          <w:ilvl w:val="1"/>
          <w:numId w:val="14"/>
        </w:numPr>
        <w:tabs>
          <w:tab w:pos="696" w:val="left" w:leader="none"/>
          <w:tab w:pos="697" w:val="left" w:leader="none"/>
        </w:tabs>
        <w:spacing w:line="240" w:lineRule="auto" w:before="1" w:after="0"/>
        <w:ind w:left="696" w:right="0" w:hanging="577"/>
        <w:jc w:val="left"/>
        <w:rPr>
          <w:color w:val="1F6647"/>
          <w:sz w:val="22"/>
        </w:rPr>
      </w:pPr>
      <w:bookmarkStart w:name="_bookmark101" w:id="198"/>
      <w:bookmarkEnd w:id="198"/>
      <w:r>
        <w:rPr/>
      </w:r>
      <w:bookmarkStart w:name="_bookmark101" w:id="199"/>
      <w:bookmarkEnd w:id="199"/>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5"/>
        <w:rPr>
          <w:sz w:val="17"/>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0"/>
        <w:gridCol w:w="7456"/>
      </w:tblGrid>
      <w:tr>
        <w:trPr>
          <w:trHeight w:val="251" w:hRule="atLeast"/>
        </w:trPr>
        <w:tc>
          <w:tcPr>
            <w:tcW w:w="10486" w:type="dxa"/>
            <w:gridSpan w:val="2"/>
            <w:tcBorders>
              <w:top w:val="single" w:sz="12" w:space="0" w:color="1F6B16"/>
              <w:bottom w:val="single" w:sz="6" w:space="0" w:color="69BD28"/>
            </w:tcBorders>
            <w:shd w:val="clear" w:color="auto" w:fill="006A4D"/>
          </w:tcPr>
          <w:p>
            <w:pPr>
              <w:pStyle w:val="TableParagraph"/>
              <w:spacing w:line="209" w:lineRule="exact" w:before="22"/>
              <w:ind w:left="142" w:right="130"/>
              <w:rPr>
                <w:b/>
                <w:sz w:val="18"/>
              </w:rPr>
            </w:pPr>
            <w:r>
              <w:rPr>
                <w:b/>
                <w:color w:val="FFFFFF"/>
                <w:w w:val="105"/>
                <w:sz w:val="18"/>
              </w:rPr>
              <w:t>Brief Description</w:t>
            </w:r>
          </w:p>
        </w:tc>
      </w:tr>
      <w:tr>
        <w:trPr>
          <w:trHeight w:val="253" w:hRule="atLeast"/>
        </w:trPr>
        <w:tc>
          <w:tcPr>
            <w:tcW w:w="3030" w:type="dxa"/>
            <w:tcBorders>
              <w:top w:val="single" w:sz="6" w:space="0" w:color="69BD28"/>
              <w:bottom w:val="single" w:sz="6" w:space="0" w:color="69BD28"/>
            </w:tcBorders>
            <w:shd w:val="clear" w:color="auto" w:fill="006A4D"/>
          </w:tcPr>
          <w:p>
            <w:pPr>
              <w:pStyle w:val="TableParagraph"/>
              <w:spacing w:before="22"/>
              <w:ind w:left="798" w:right="799"/>
              <w:rPr>
                <w:sz w:val="18"/>
              </w:rPr>
            </w:pPr>
            <w:r>
              <w:rPr>
                <w:color w:val="FFFFFF"/>
                <w:sz w:val="18"/>
              </w:rPr>
              <w:t>Particulars</w:t>
            </w:r>
          </w:p>
        </w:tc>
        <w:tc>
          <w:tcPr>
            <w:tcW w:w="7456" w:type="dxa"/>
            <w:tcBorders>
              <w:top w:val="single" w:sz="6" w:space="0" w:color="69BD28"/>
              <w:bottom w:val="single" w:sz="6" w:space="0" w:color="69BD28"/>
            </w:tcBorders>
            <w:shd w:val="clear" w:color="auto" w:fill="006A4D"/>
          </w:tcPr>
          <w:p>
            <w:pPr>
              <w:pStyle w:val="TableParagraph"/>
              <w:spacing w:before="22"/>
              <w:ind w:left="1218" w:right="1231"/>
              <w:rPr>
                <w:b/>
                <w:sz w:val="18"/>
              </w:rPr>
            </w:pPr>
            <w:r>
              <w:rPr>
                <w:b/>
                <w:color w:val="FFFFFF"/>
                <w:w w:val="110"/>
                <w:sz w:val="18"/>
              </w:rPr>
              <w:t>Details</w:t>
            </w:r>
          </w:p>
        </w:tc>
      </w:tr>
      <w:tr>
        <w:trPr>
          <w:trHeight w:val="637" w:hRule="atLeast"/>
        </w:trPr>
        <w:tc>
          <w:tcPr>
            <w:tcW w:w="3030" w:type="dxa"/>
            <w:shd w:val="clear" w:color="auto" w:fill="69BD28"/>
          </w:tcPr>
          <w:p>
            <w:pPr>
              <w:pStyle w:val="TableParagraph"/>
              <w:spacing w:before="5"/>
              <w:jc w:val="left"/>
              <w:rPr>
                <w:sz w:val="18"/>
              </w:rPr>
            </w:pPr>
          </w:p>
          <w:p>
            <w:pPr>
              <w:pStyle w:val="TableParagraph"/>
              <w:ind w:left="798" w:right="799"/>
              <w:rPr>
                <w:b/>
                <w:sz w:val="18"/>
              </w:rPr>
            </w:pPr>
            <w:r>
              <w:rPr>
                <w:b/>
                <w:color w:val="FFFFFF"/>
                <w:w w:val="110"/>
                <w:sz w:val="18"/>
              </w:rPr>
              <w:t>Property Name</w:t>
            </w:r>
          </w:p>
        </w:tc>
        <w:tc>
          <w:tcPr>
            <w:tcW w:w="7456" w:type="dxa"/>
            <w:tcBorders>
              <w:top w:val="single" w:sz="6" w:space="0" w:color="69BD28"/>
              <w:bottom w:val="single" w:sz="6" w:space="0" w:color="69BD28"/>
            </w:tcBorders>
          </w:tcPr>
          <w:p>
            <w:pPr>
              <w:pStyle w:val="TableParagraph"/>
              <w:spacing w:before="5"/>
              <w:jc w:val="left"/>
              <w:rPr>
                <w:sz w:val="18"/>
              </w:rPr>
            </w:pPr>
          </w:p>
          <w:p>
            <w:pPr>
              <w:pStyle w:val="TableParagraph"/>
              <w:ind w:left="1218" w:right="1233"/>
              <w:rPr>
                <w:sz w:val="18"/>
              </w:rPr>
            </w:pPr>
            <w:r>
              <w:rPr>
                <w:w w:val="105"/>
                <w:sz w:val="18"/>
              </w:rPr>
              <w:t>Embassy 247</w:t>
            </w:r>
          </w:p>
        </w:tc>
      </w:tr>
      <w:tr>
        <w:trPr>
          <w:trHeight w:val="563" w:hRule="atLeast"/>
        </w:trPr>
        <w:tc>
          <w:tcPr>
            <w:tcW w:w="3030" w:type="dxa"/>
            <w:shd w:val="clear" w:color="auto" w:fill="69BD28"/>
          </w:tcPr>
          <w:p>
            <w:pPr>
              <w:pStyle w:val="TableParagraph"/>
              <w:spacing w:before="178"/>
              <w:ind w:left="798" w:right="798"/>
              <w:rPr>
                <w:b/>
                <w:sz w:val="18"/>
              </w:rPr>
            </w:pPr>
            <w:r>
              <w:rPr>
                <w:b/>
                <w:color w:val="FFFFFF"/>
                <w:w w:val="110"/>
                <w:sz w:val="18"/>
              </w:rPr>
              <w:t>Address</w:t>
            </w:r>
          </w:p>
        </w:tc>
        <w:tc>
          <w:tcPr>
            <w:tcW w:w="7456" w:type="dxa"/>
            <w:tcBorders>
              <w:top w:val="single" w:sz="6" w:space="0" w:color="69BD28"/>
              <w:bottom w:val="single" w:sz="6" w:space="0" w:color="69BD28"/>
            </w:tcBorders>
          </w:tcPr>
          <w:p>
            <w:pPr>
              <w:pStyle w:val="TableParagraph"/>
              <w:spacing w:before="178"/>
              <w:ind w:left="1218" w:right="1233"/>
              <w:rPr>
                <w:sz w:val="18"/>
              </w:rPr>
            </w:pPr>
            <w:r>
              <w:rPr>
                <w:w w:val="105"/>
                <w:sz w:val="18"/>
              </w:rPr>
              <w:t>LBS Marg, Vikhroli West, Mumbai – 400083</w:t>
            </w:r>
          </w:p>
        </w:tc>
      </w:tr>
      <w:tr>
        <w:trPr>
          <w:trHeight w:val="520" w:hRule="atLeast"/>
        </w:trPr>
        <w:tc>
          <w:tcPr>
            <w:tcW w:w="3030" w:type="dxa"/>
            <w:shd w:val="clear" w:color="auto" w:fill="69BD28"/>
          </w:tcPr>
          <w:p>
            <w:pPr>
              <w:pStyle w:val="TableParagraph"/>
              <w:spacing w:before="157"/>
              <w:ind w:left="798" w:right="798"/>
              <w:rPr>
                <w:b/>
                <w:sz w:val="18"/>
              </w:rPr>
            </w:pPr>
            <w:r>
              <w:rPr>
                <w:b/>
                <w:color w:val="FFFFFF"/>
                <w:w w:val="110"/>
                <w:sz w:val="18"/>
              </w:rPr>
              <w:t>Land Area</w:t>
            </w:r>
          </w:p>
        </w:tc>
        <w:tc>
          <w:tcPr>
            <w:tcW w:w="7456" w:type="dxa"/>
            <w:tcBorders>
              <w:top w:val="single" w:sz="6" w:space="0" w:color="69BD28"/>
              <w:bottom w:val="single" w:sz="6" w:space="0" w:color="69BD28"/>
            </w:tcBorders>
          </w:tcPr>
          <w:p>
            <w:pPr>
              <w:pStyle w:val="TableParagraph"/>
              <w:spacing w:before="157"/>
              <w:ind w:left="3295"/>
              <w:jc w:val="left"/>
              <w:rPr>
                <w:sz w:val="18"/>
              </w:rPr>
            </w:pPr>
            <w:r>
              <w:rPr>
                <w:sz w:val="18"/>
              </w:rPr>
              <w:t>7.27 Acres</w:t>
            </w:r>
          </w:p>
        </w:tc>
      </w:tr>
      <w:tr>
        <w:trPr>
          <w:trHeight w:val="611" w:hRule="atLeast"/>
        </w:trPr>
        <w:tc>
          <w:tcPr>
            <w:tcW w:w="3030" w:type="dxa"/>
            <w:shd w:val="clear" w:color="auto" w:fill="69BD28"/>
          </w:tcPr>
          <w:p>
            <w:pPr>
              <w:pStyle w:val="TableParagraph"/>
              <w:spacing w:before="5"/>
              <w:jc w:val="left"/>
              <w:rPr>
                <w:sz w:val="17"/>
              </w:rPr>
            </w:pPr>
          </w:p>
          <w:p>
            <w:pPr>
              <w:pStyle w:val="TableParagraph"/>
              <w:ind w:left="798" w:right="798"/>
              <w:rPr>
                <w:b/>
                <w:sz w:val="18"/>
              </w:rPr>
            </w:pPr>
            <w:r>
              <w:rPr>
                <w:b/>
                <w:color w:val="FFFFFF"/>
                <w:w w:val="110"/>
                <w:sz w:val="18"/>
              </w:rPr>
              <w:t>Leasable Area</w:t>
            </w:r>
          </w:p>
        </w:tc>
        <w:tc>
          <w:tcPr>
            <w:tcW w:w="7456" w:type="dxa"/>
            <w:tcBorders>
              <w:top w:val="single" w:sz="6" w:space="0" w:color="69BD28"/>
              <w:bottom w:val="single" w:sz="6" w:space="0" w:color="69BD28"/>
            </w:tcBorders>
          </w:tcPr>
          <w:p>
            <w:pPr>
              <w:pStyle w:val="TableParagraph"/>
              <w:spacing w:before="5"/>
              <w:jc w:val="left"/>
              <w:rPr>
                <w:sz w:val="17"/>
              </w:rPr>
            </w:pPr>
          </w:p>
          <w:p>
            <w:pPr>
              <w:pStyle w:val="TableParagraph"/>
              <w:ind w:left="1218" w:right="1232"/>
              <w:rPr>
                <w:sz w:val="18"/>
              </w:rPr>
            </w:pPr>
            <w:r>
              <w:rPr>
                <w:w w:val="105"/>
                <w:sz w:val="18"/>
              </w:rPr>
              <w:t>Total Completed Leasable Area – 1.19 msf</w:t>
            </w:r>
          </w:p>
        </w:tc>
      </w:tr>
    </w:tbl>
    <w:p>
      <w:pPr>
        <w:spacing w:before="47"/>
        <w:ind w:left="120" w:right="0" w:firstLine="0"/>
        <w:jc w:val="left"/>
        <w:rPr>
          <w:i/>
          <w:sz w:val="18"/>
        </w:rPr>
      </w:pPr>
      <w:r>
        <w:rPr>
          <w:i/>
          <w:sz w:val="18"/>
        </w:rPr>
        <w:t>Source: Title Report, Architect Certificate;</w:t>
      </w:r>
    </w:p>
    <w:p>
      <w:pPr>
        <w:pStyle w:val="BodyText"/>
        <w:spacing w:before="10"/>
        <w:rPr>
          <w:i/>
          <w:sz w:val="20"/>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02" w:id="200"/>
      <w:bookmarkEnd w:id="200"/>
      <w:r>
        <w:rPr/>
      </w:r>
      <w:bookmarkStart w:name="_bookmark102" w:id="201"/>
      <w:bookmarkEnd w:id="201"/>
      <w:r>
        <w:rPr>
          <w:color w:val="1F664D"/>
          <w:sz w:val="22"/>
        </w:rPr>
        <w:t>S</w:t>
      </w:r>
      <w:r>
        <w:rPr>
          <w:color w:val="1F664D"/>
          <w:sz w:val="22"/>
        </w:rPr>
        <w:t>ite Details</w:t>
      </w:r>
    </w:p>
    <w:p>
      <w:pPr>
        <w:pStyle w:val="BodyText"/>
        <w:spacing w:before="3"/>
        <w:rPr>
          <w:sz w:val="28"/>
        </w:rPr>
      </w:pPr>
    </w:p>
    <w:p>
      <w:pPr>
        <w:pStyle w:val="BodyText"/>
        <w:tabs>
          <w:tab w:pos="2698" w:val="left" w:leader="none"/>
        </w:tabs>
        <w:ind w:left="466"/>
        <w:jc w:val="center"/>
      </w:pPr>
      <w:r>
        <w:rPr/>
        <w:t>Situation:</w:t>
        <w:tab/>
        <w:t>Subject</w:t>
      </w:r>
      <w:r>
        <w:rPr>
          <w:spacing w:val="-5"/>
        </w:rPr>
        <w:t> </w:t>
      </w:r>
      <w:r>
        <w:rPr/>
        <w:t>property</w:t>
      </w:r>
      <w:r>
        <w:rPr>
          <w:spacing w:val="-3"/>
        </w:rPr>
        <w:t> </w:t>
      </w:r>
      <w:r>
        <w:rPr>
          <w:w w:val="105"/>
        </w:rPr>
        <w:t>–</w:t>
      </w:r>
      <w:r>
        <w:rPr>
          <w:spacing w:val="-8"/>
          <w:w w:val="105"/>
        </w:rPr>
        <w:t> </w:t>
      </w:r>
      <w:r>
        <w:rPr/>
        <w:t>‘Embassy</w:t>
      </w:r>
      <w:r>
        <w:rPr>
          <w:spacing w:val="-4"/>
        </w:rPr>
        <w:t> </w:t>
      </w:r>
      <w:r>
        <w:rPr/>
        <w:t>247’</w:t>
      </w:r>
      <w:r>
        <w:rPr>
          <w:spacing w:val="-5"/>
        </w:rPr>
        <w:t> </w:t>
      </w:r>
      <w:r>
        <w:rPr/>
        <w:t>is</w:t>
      </w:r>
      <w:r>
        <w:rPr>
          <w:spacing w:val="-5"/>
        </w:rPr>
        <w:t> </w:t>
      </w:r>
      <w:r>
        <w:rPr/>
        <w:t>an</w:t>
      </w:r>
      <w:r>
        <w:rPr>
          <w:spacing w:val="-6"/>
        </w:rPr>
        <w:t> </w:t>
      </w:r>
      <w:r>
        <w:rPr/>
        <w:t>operational</w:t>
      </w:r>
      <w:r>
        <w:rPr>
          <w:spacing w:val="-5"/>
        </w:rPr>
        <w:t> </w:t>
      </w:r>
      <w:r>
        <w:rPr/>
        <w:t>office</w:t>
      </w:r>
      <w:r>
        <w:rPr>
          <w:spacing w:val="-6"/>
        </w:rPr>
        <w:t> </w:t>
      </w:r>
      <w:r>
        <w:rPr/>
        <w:t>located</w:t>
      </w:r>
      <w:r>
        <w:rPr>
          <w:spacing w:val="-4"/>
        </w:rPr>
        <w:t> </w:t>
      </w:r>
      <w:r>
        <w:rPr/>
        <w:t>along</w:t>
      </w:r>
      <w:r>
        <w:rPr>
          <w:spacing w:val="-5"/>
        </w:rPr>
        <w:t> </w:t>
      </w:r>
      <w:r>
        <w:rPr/>
        <w:t>LBS</w:t>
      </w:r>
    </w:p>
    <w:p>
      <w:pPr>
        <w:pStyle w:val="BodyText"/>
        <w:spacing w:before="88"/>
        <w:ind w:left="3025"/>
        <w:jc w:val="both"/>
      </w:pPr>
      <w:r>
        <w:rPr/>
        <w:t>Road in Vikhroli West, Mumbai, Maharashtra.</w:t>
      </w:r>
    </w:p>
    <w:p>
      <w:pPr>
        <w:pStyle w:val="BodyText"/>
        <w:spacing w:before="7"/>
        <w:rPr>
          <w:sz w:val="34"/>
        </w:rPr>
      </w:pPr>
    </w:p>
    <w:p>
      <w:pPr>
        <w:pStyle w:val="BodyText"/>
        <w:tabs>
          <w:tab w:pos="3024" w:val="left" w:leader="none"/>
        </w:tabs>
        <w:spacing w:line="321" w:lineRule="auto"/>
        <w:ind w:left="3025" w:right="319" w:hanging="2233"/>
        <w:jc w:val="both"/>
      </w:pPr>
      <w:r>
        <w:rPr/>
        <w:t>Location:</w:t>
        <w:tab/>
        <w:t>The subject property is located along LBS Road, Vikhroli West, Mumbai at approx.</w:t>
      </w:r>
      <w:r>
        <w:rPr>
          <w:spacing w:val="-30"/>
        </w:rPr>
        <w:t> </w:t>
      </w:r>
      <w:r>
        <w:rPr/>
        <w:t>10-12</w:t>
      </w:r>
      <w:r>
        <w:rPr>
          <w:spacing w:val="-29"/>
        </w:rPr>
        <w:t> </w:t>
      </w:r>
      <w:r>
        <w:rPr/>
        <w:t>km</w:t>
      </w:r>
      <w:r>
        <w:rPr>
          <w:spacing w:val="-32"/>
        </w:rPr>
        <w:t> </w:t>
      </w:r>
      <w:r>
        <w:rPr/>
        <w:t>from</w:t>
      </w:r>
      <w:r>
        <w:rPr>
          <w:spacing w:val="-31"/>
        </w:rPr>
        <w:t> </w:t>
      </w:r>
      <w:r>
        <w:rPr/>
        <w:t>the</w:t>
      </w:r>
      <w:r>
        <w:rPr>
          <w:spacing w:val="-30"/>
        </w:rPr>
        <w:t> </w:t>
      </w:r>
      <w:r>
        <w:rPr/>
        <w:t>Chhatrapati</w:t>
      </w:r>
      <w:r>
        <w:rPr>
          <w:spacing w:val="-29"/>
        </w:rPr>
        <w:t> </w:t>
      </w:r>
      <w:r>
        <w:rPr/>
        <w:t>Shivaji</w:t>
      </w:r>
      <w:r>
        <w:rPr>
          <w:spacing w:val="-30"/>
        </w:rPr>
        <w:t> </w:t>
      </w:r>
      <w:r>
        <w:rPr/>
        <w:t>International</w:t>
      </w:r>
      <w:r>
        <w:rPr>
          <w:spacing w:val="-30"/>
        </w:rPr>
        <w:t> </w:t>
      </w:r>
      <w:r>
        <w:rPr/>
        <w:t>Terminal.</w:t>
      </w:r>
      <w:r>
        <w:rPr>
          <w:spacing w:val="-30"/>
        </w:rPr>
        <w:t> </w:t>
      </w:r>
      <w:r>
        <w:rPr/>
        <w:t>Based on</w:t>
      </w:r>
      <w:r>
        <w:rPr>
          <w:spacing w:val="-41"/>
        </w:rPr>
        <w:t> </w:t>
      </w:r>
      <w:r>
        <w:rPr/>
        <w:t>the</w:t>
      </w:r>
      <w:r>
        <w:rPr>
          <w:spacing w:val="-40"/>
        </w:rPr>
        <w:t> </w:t>
      </w:r>
      <w:r>
        <w:rPr/>
        <w:t>site</w:t>
      </w:r>
      <w:r>
        <w:rPr>
          <w:spacing w:val="-40"/>
        </w:rPr>
        <w:t> </w:t>
      </w:r>
      <w:r>
        <w:rPr/>
        <w:t>visit,</w:t>
      </w:r>
      <w:r>
        <w:rPr>
          <w:spacing w:val="-40"/>
        </w:rPr>
        <w:t> </w:t>
      </w:r>
      <w:r>
        <w:rPr/>
        <w:t>we</w:t>
      </w:r>
      <w:r>
        <w:rPr>
          <w:spacing w:val="-40"/>
        </w:rPr>
        <w:t> </w:t>
      </w:r>
      <w:r>
        <w:rPr/>
        <w:t>understand</w:t>
      </w:r>
      <w:r>
        <w:rPr>
          <w:spacing w:val="-40"/>
        </w:rPr>
        <w:t> </w:t>
      </w:r>
      <w:r>
        <w:rPr/>
        <w:t>that</w:t>
      </w:r>
      <w:r>
        <w:rPr>
          <w:spacing w:val="-40"/>
        </w:rPr>
        <w:t> </w:t>
      </w:r>
      <w:r>
        <w:rPr/>
        <w:t>the</w:t>
      </w:r>
      <w:r>
        <w:rPr>
          <w:spacing w:val="-40"/>
        </w:rPr>
        <w:t> </w:t>
      </w:r>
      <w:r>
        <w:rPr/>
        <w:t>subject</w:t>
      </w:r>
      <w:r>
        <w:rPr>
          <w:spacing w:val="-40"/>
        </w:rPr>
        <w:t> </w:t>
      </w:r>
      <w:r>
        <w:rPr/>
        <w:t>property</w:t>
      </w:r>
      <w:r>
        <w:rPr>
          <w:spacing w:val="-39"/>
        </w:rPr>
        <w:t> </w:t>
      </w:r>
      <w:r>
        <w:rPr/>
        <w:t>is</w:t>
      </w:r>
      <w:r>
        <w:rPr>
          <w:spacing w:val="-40"/>
        </w:rPr>
        <w:t> </w:t>
      </w:r>
      <w:r>
        <w:rPr/>
        <w:t>accessible</w:t>
      </w:r>
      <w:r>
        <w:rPr>
          <w:spacing w:val="-40"/>
        </w:rPr>
        <w:t> </w:t>
      </w:r>
      <w:r>
        <w:rPr/>
        <w:t>through LBS</w:t>
      </w:r>
      <w:r>
        <w:rPr>
          <w:spacing w:val="-26"/>
        </w:rPr>
        <w:t> </w:t>
      </w:r>
      <w:r>
        <w:rPr/>
        <w:t>Road</w:t>
      </w:r>
      <w:r>
        <w:rPr>
          <w:spacing w:val="-25"/>
        </w:rPr>
        <w:t> </w:t>
      </w:r>
      <w:r>
        <w:rPr/>
        <w:t>which</w:t>
      </w:r>
      <w:r>
        <w:rPr>
          <w:spacing w:val="-26"/>
        </w:rPr>
        <w:t> </w:t>
      </w:r>
      <w:r>
        <w:rPr/>
        <w:t>is</w:t>
      </w:r>
      <w:r>
        <w:rPr>
          <w:spacing w:val="-26"/>
        </w:rPr>
        <w:t> </w:t>
      </w:r>
      <w:r>
        <w:rPr/>
        <w:t>further</w:t>
      </w:r>
      <w:r>
        <w:rPr>
          <w:spacing w:val="-25"/>
        </w:rPr>
        <w:t> </w:t>
      </w:r>
      <w:r>
        <w:rPr/>
        <w:t>connected</w:t>
      </w:r>
      <w:r>
        <w:rPr>
          <w:spacing w:val="-25"/>
        </w:rPr>
        <w:t> </w:t>
      </w:r>
      <w:r>
        <w:rPr/>
        <w:t>to</w:t>
      </w:r>
      <w:r>
        <w:rPr>
          <w:spacing w:val="-25"/>
        </w:rPr>
        <w:t> </w:t>
      </w:r>
      <w:r>
        <w:rPr/>
        <w:t>JVLR</w:t>
      </w:r>
      <w:r>
        <w:rPr>
          <w:spacing w:val="-26"/>
        </w:rPr>
        <w:t> </w:t>
      </w:r>
      <w:r>
        <w:rPr/>
        <w:t>(Jogeshwari-Vikhroli</w:t>
      </w:r>
      <w:r>
        <w:rPr>
          <w:spacing w:val="-26"/>
        </w:rPr>
        <w:t> </w:t>
      </w:r>
      <w:r>
        <w:rPr/>
        <w:t>Link</w:t>
      </w:r>
      <w:r>
        <w:rPr>
          <w:spacing w:val="-25"/>
        </w:rPr>
        <w:t> </w:t>
      </w:r>
      <w:r>
        <w:rPr/>
        <w:t>Road) that</w:t>
      </w:r>
      <w:r>
        <w:rPr>
          <w:spacing w:val="-46"/>
        </w:rPr>
        <w:t> </w:t>
      </w:r>
      <w:r>
        <w:rPr/>
        <w:t>connects</w:t>
      </w:r>
      <w:r>
        <w:rPr>
          <w:spacing w:val="-46"/>
        </w:rPr>
        <w:t> </w:t>
      </w:r>
      <w:r>
        <w:rPr/>
        <w:t>eastern</w:t>
      </w:r>
      <w:r>
        <w:rPr>
          <w:spacing w:val="-46"/>
        </w:rPr>
        <w:t> </w:t>
      </w:r>
      <w:r>
        <w:rPr/>
        <w:t>and</w:t>
      </w:r>
      <w:r>
        <w:rPr>
          <w:spacing w:val="-47"/>
        </w:rPr>
        <w:t> </w:t>
      </w:r>
      <w:r>
        <w:rPr/>
        <w:t>western</w:t>
      </w:r>
      <w:r>
        <w:rPr>
          <w:spacing w:val="-46"/>
        </w:rPr>
        <w:t> </w:t>
      </w:r>
      <w:r>
        <w:rPr/>
        <w:t>suburbs.</w:t>
      </w:r>
      <w:r>
        <w:rPr>
          <w:spacing w:val="-47"/>
        </w:rPr>
        <w:t> </w:t>
      </w:r>
      <w:r>
        <w:rPr/>
        <w:t>Further</w:t>
      </w:r>
      <w:r>
        <w:rPr>
          <w:spacing w:val="-47"/>
        </w:rPr>
        <w:t> </w:t>
      </w:r>
      <w:r>
        <w:rPr/>
        <w:t>it</w:t>
      </w:r>
      <w:r>
        <w:rPr>
          <w:spacing w:val="-46"/>
        </w:rPr>
        <w:t> </w:t>
      </w:r>
      <w:r>
        <w:rPr/>
        <w:t>is</w:t>
      </w:r>
      <w:r>
        <w:rPr>
          <w:spacing w:val="-45"/>
        </w:rPr>
        <w:t> </w:t>
      </w:r>
      <w:r>
        <w:rPr/>
        <w:t>in</w:t>
      </w:r>
      <w:r>
        <w:rPr>
          <w:spacing w:val="-47"/>
        </w:rPr>
        <w:t> </w:t>
      </w:r>
      <w:r>
        <w:rPr/>
        <w:t>proximity</w:t>
      </w:r>
      <w:r>
        <w:rPr>
          <w:spacing w:val="-47"/>
        </w:rPr>
        <w:t> </w:t>
      </w:r>
      <w:r>
        <w:rPr/>
        <w:t>to</w:t>
      </w:r>
      <w:r>
        <w:rPr>
          <w:spacing w:val="-45"/>
        </w:rPr>
        <w:t> </w:t>
      </w:r>
      <w:r>
        <w:rPr/>
        <w:t>Vikhroli </w:t>
      </w:r>
      <w:r>
        <w:rPr>
          <w:spacing w:val="-1"/>
          <w:w w:val="100"/>
        </w:rPr>
        <w:t>R</w:t>
      </w:r>
      <w:r>
        <w:rPr>
          <w:spacing w:val="-2"/>
          <w:w w:val="100"/>
        </w:rPr>
        <w:t>a</w:t>
      </w:r>
      <w:r>
        <w:rPr>
          <w:spacing w:val="-1"/>
          <w:w w:val="83"/>
        </w:rPr>
        <w:t>i</w:t>
      </w:r>
      <w:r>
        <w:rPr>
          <w:spacing w:val="-2"/>
          <w:w w:val="83"/>
        </w:rPr>
        <w:t>l</w:t>
      </w:r>
      <w:r>
        <w:rPr>
          <w:w w:val="93"/>
        </w:rPr>
        <w:t>w</w:t>
      </w:r>
      <w:r>
        <w:rPr>
          <w:spacing w:val="-1"/>
          <w:w w:val="108"/>
        </w:rPr>
        <w:t>a</w:t>
      </w:r>
      <w:r>
        <w:rPr>
          <w:w w:val="89"/>
        </w:rPr>
        <w:t>y</w:t>
      </w:r>
      <w:r>
        <w:rPr>
          <w:spacing w:val="-6"/>
        </w:rPr>
        <w:t> </w:t>
      </w:r>
      <w:r>
        <w:rPr>
          <w:spacing w:val="-1"/>
          <w:w w:val="107"/>
        </w:rPr>
        <w:t>S</w:t>
      </w:r>
      <w:r>
        <w:rPr>
          <w:w w:val="88"/>
        </w:rPr>
        <w:t>tati</w:t>
      </w:r>
      <w:r>
        <w:rPr>
          <w:spacing w:val="-2"/>
          <w:w w:val="88"/>
        </w:rPr>
        <w:t>o</w:t>
      </w:r>
      <w:r>
        <w:rPr>
          <w:w w:val="102"/>
        </w:rPr>
        <w:t>n</w:t>
      </w:r>
      <w:r>
        <w:rPr>
          <w:spacing w:val="-10"/>
        </w:rPr>
        <w:t> </w:t>
      </w:r>
      <w:r>
        <w:rPr>
          <w:w w:val="78"/>
        </w:rPr>
        <w:t>(</w:t>
      </w:r>
      <w:r>
        <w:rPr>
          <w:w w:val="159"/>
        </w:rPr>
        <w:t>~</w:t>
      </w:r>
      <w:r>
        <w:rPr>
          <w:spacing w:val="-2"/>
          <w:w w:val="112"/>
        </w:rPr>
        <w:t>1</w:t>
      </w:r>
      <w:r>
        <w:rPr>
          <w:w w:val="100"/>
        </w:rPr>
        <w:t>-</w:t>
      </w:r>
      <w:r>
        <w:rPr>
          <w:w w:val="112"/>
        </w:rPr>
        <w:t>2</w:t>
      </w:r>
      <w:r>
        <w:rPr>
          <w:spacing w:val="-7"/>
        </w:rPr>
        <w:t> </w:t>
      </w:r>
      <w:r>
        <w:rPr>
          <w:spacing w:val="-1"/>
          <w:w w:val="98"/>
        </w:rPr>
        <w:t>k</w:t>
      </w:r>
      <w:r>
        <w:rPr>
          <w:spacing w:val="-3"/>
          <w:w w:val="102"/>
        </w:rPr>
        <w:t>m</w:t>
      </w:r>
      <w:r>
        <w:rPr>
          <w:w w:val="78"/>
        </w:rPr>
        <w:t>)</w:t>
      </w:r>
      <w:r>
        <w:rPr>
          <w:spacing w:val="-6"/>
        </w:rPr>
        <w:t> </w:t>
      </w:r>
      <w:r>
        <w:rPr>
          <w:spacing w:val="-1"/>
          <w:w w:val="108"/>
        </w:rPr>
        <w:t>a</w:t>
      </w:r>
      <w:r>
        <w:rPr>
          <w:spacing w:val="-1"/>
          <w:w w:val="102"/>
        </w:rPr>
        <w:t>n</w:t>
      </w:r>
      <w:r>
        <w:rPr>
          <w:w w:val="102"/>
        </w:rPr>
        <w:t>d</w:t>
      </w:r>
      <w:r>
        <w:rPr>
          <w:spacing w:val="-9"/>
        </w:rPr>
        <w:t> </w:t>
      </w:r>
      <w:r>
        <w:rPr>
          <w:spacing w:val="-1"/>
          <w:w w:val="103"/>
        </w:rPr>
        <w:t>K</w:t>
      </w:r>
      <w:r>
        <w:rPr>
          <w:spacing w:val="-1"/>
          <w:w w:val="108"/>
        </w:rPr>
        <w:t>a</w:t>
      </w:r>
      <w:r>
        <w:rPr>
          <w:spacing w:val="-1"/>
          <w:w w:val="87"/>
        </w:rPr>
        <w:t>n</w:t>
      </w:r>
      <w:r>
        <w:rPr>
          <w:spacing w:val="-2"/>
          <w:w w:val="87"/>
        </w:rPr>
        <w:t>j</w:t>
      </w:r>
      <w:r>
        <w:rPr>
          <w:spacing w:val="-1"/>
          <w:w w:val="100"/>
        </w:rPr>
        <w:t>u</w:t>
      </w:r>
      <w:r>
        <w:rPr>
          <w:spacing w:val="-1"/>
          <w:w w:val="90"/>
        </w:rPr>
        <w:t>r</w:t>
      </w:r>
      <w:r>
        <w:rPr>
          <w:spacing w:val="-1"/>
          <w:w w:val="104"/>
        </w:rPr>
        <w:t>ma</w:t>
      </w:r>
      <w:r>
        <w:rPr>
          <w:spacing w:val="-1"/>
          <w:w w:val="90"/>
        </w:rPr>
        <w:t>r</w:t>
      </w:r>
      <w:r>
        <w:rPr>
          <w:w w:val="114"/>
        </w:rPr>
        <w:t>g</w:t>
      </w:r>
      <w:r>
        <w:rPr>
          <w:spacing w:val="-6"/>
        </w:rPr>
        <w:t> </w:t>
      </w:r>
      <w:r>
        <w:rPr>
          <w:spacing w:val="-1"/>
          <w:w w:val="90"/>
        </w:rPr>
        <w:t>r</w:t>
      </w:r>
      <w:r>
        <w:rPr>
          <w:spacing w:val="-1"/>
          <w:w w:val="108"/>
        </w:rPr>
        <w:t>a</w:t>
      </w:r>
      <w:r>
        <w:rPr>
          <w:spacing w:val="-1"/>
          <w:w w:val="83"/>
        </w:rPr>
        <w:t>i</w:t>
      </w:r>
      <w:r>
        <w:rPr>
          <w:spacing w:val="-2"/>
          <w:w w:val="83"/>
        </w:rPr>
        <w:t>l</w:t>
      </w:r>
      <w:r>
        <w:rPr>
          <w:w w:val="93"/>
        </w:rPr>
        <w:t>w</w:t>
      </w:r>
      <w:r>
        <w:rPr>
          <w:spacing w:val="-1"/>
          <w:w w:val="108"/>
        </w:rPr>
        <w:t>a</w:t>
      </w:r>
      <w:r>
        <w:rPr>
          <w:w w:val="89"/>
        </w:rPr>
        <w:t>y</w:t>
      </w:r>
      <w:r>
        <w:rPr>
          <w:spacing w:val="-8"/>
        </w:rPr>
        <w:t> </w:t>
      </w:r>
      <w:r>
        <w:rPr>
          <w:spacing w:val="1"/>
          <w:w w:val="100"/>
        </w:rPr>
        <w:t>s</w:t>
      </w:r>
      <w:r>
        <w:rPr>
          <w:w w:val="88"/>
        </w:rPr>
        <w:t>tati</w:t>
      </w:r>
      <w:r>
        <w:rPr>
          <w:spacing w:val="-2"/>
          <w:w w:val="88"/>
        </w:rPr>
        <w:t>o</w:t>
      </w:r>
      <w:r>
        <w:rPr>
          <w:w w:val="102"/>
        </w:rPr>
        <w:t>n</w:t>
      </w:r>
      <w:r>
        <w:rPr>
          <w:spacing w:val="-7"/>
        </w:rPr>
        <w:t> </w:t>
      </w:r>
      <w:r>
        <w:rPr>
          <w:spacing w:val="-1"/>
          <w:w w:val="108"/>
        </w:rPr>
        <w:t>a</w:t>
      </w:r>
      <w:r>
        <w:rPr>
          <w:w w:val="65"/>
        </w:rPr>
        <w:t>t</w:t>
      </w:r>
      <w:r>
        <w:rPr>
          <w:spacing w:val="-9"/>
        </w:rPr>
        <w:t> </w:t>
      </w:r>
      <w:r>
        <w:rPr>
          <w:spacing w:val="-1"/>
          <w:w w:val="108"/>
        </w:rPr>
        <w:t>a</w:t>
      </w:r>
      <w:r>
        <w:rPr>
          <w:spacing w:val="-2"/>
          <w:w w:val="103"/>
        </w:rPr>
        <w:t>p</w:t>
      </w:r>
      <w:r>
        <w:rPr>
          <w:w w:val="103"/>
        </w:rPr>
        <w:t>p</w:t>
      </w:r>
      <w:r>
        <w:rPr>
          <w:spacing w:val="-1"/>
          <w:w w:val="90"/>
        </w:rPr>
        <w:t>r</w:t>
      </w:r>
      <w:r>
        <w:rPr>
          <w:spacing w:val="-1"/>
          <w:w w:val="106"/>
        </w:rPr>
        <w:t>o</w:t>
      </w:r>
      <w:r>
        <w:rPr>
          <w:spacing w:val="-1"/>
          <w:w w:val="84"/>
        </w:rPr>
        <w:t>x</w:t>
      </w:r>
      <w:r>
        <w:rPr>
          <w:w w:val="84"/>
        </w:rPr>
        <w:t>.</w:t>
      </w:r>
      <w:r>
        <w:rPr>
          <w:spacing w:val="-7"/>
        </w:rPr>
        <w:t> </w:t>
      </w:r>
      <w:r>
        <w:rPr>
          <w:spacing w:val="1"/>
          <w:w w:val="112"/>
        </w:rPr>
        <w:t>1</w:t>
      </w:r>
      <w:r>
        <w:rPr>
          <w:w w:val="100"/>
        </w:rPr>
        <w:t>-</w:t>
      </w:r>
      <w:r>
        <w:rPr>
          <w:w w:val="112"/>
        </w:rPr>
        <w:t>2</w:t>
      </w:r>
      <w:r>
        <w:rPr>
          <w:spacing w:val="-10"/>
        </w:rPr>
        <w:t> </w:t>
      </w:r>
      <w:r>
        <w:rPr>
          <w:spacing w:val="-1"/>
          <w:w w:val="98"/>
        </w:rPr>
        <w:t>k</w:t>
      </w:r>
      <w:r>
        <w:rPr>
          <w:w w:val="102"/>
        </w:rPr>
        <w:t>m </w:t>
      </w:r>
      <w:r>
        <w:rPr/>
        <w:t>away. Excellent transport connectivity with multiple metro and suburban railways</w:t>
      </w:r>
      <w:r>
        <w:rPr>
          <w:spacing w:val="-28"/>
        </w:rPr>
        <w:t> </w:t>
      </w:r>
      <w:r>
        <w:rPr/>
        <w:t>stations</w:t>
      </w:r>
      <w:r>
        <w:rPr>
          <w:spacing w:val="-26"/>
        </w:rPr>
        <w:t> </w:t>
      </w:r>
      <w:r>
        <w:rPr/>
        <w:t>near</w:t>
      </w:r>
      <w:r>
        <w:rPr>
          <w:spacing w:val="-27"/>
        </w:rPr>
        <w:t> </w:t>
      </w:r>
      <w:r>
        <w:rPr/>
        <w:t>is</w:t>
      </w:r>
      <w:r>
        <w:rPr>
          <w:spacing w:val="-29"/>
        </w:rPr>
        <w:t> </w:t>
      </w:r>
      <w:r>
        <w:rPr/>
        <w:t>a</w:t>
      </w:r>
      <w:r>
        <w:rPr>
          <w:spacing w:val="-27"/>
        </w:rPr>
        <w:t> </w:t>
      </w:r>
      <w:r>
        <w:rPr/>
        <w:t>key</w:t>
      </w:r>
      <w:r>
        <w:rPr>
          <w:spacing w:val="-26"/>
        </w:rPr>
        <w:t> </w:t>
      </w:r>
      <w:r>
        <w:rPr/>
        <w:t>differentiating</w:t>
      </w:r>
      <w:r>
        <w:rPr>
          <w:spacing w:val="-27"/>
        </w:rPr>
        <w:t> </w:t>
      </w:r>
      <w:r>
        <w:rPr/>
        <w:t>factor</w:t>
      </w:r>
      <w:r>
        <w:rPr>
          <w:spacing w:val="-27"/>
        </w:rPr>
        <w:t> </w:t>
      </w:r>
      <w:r>
        <w:rPr/>
        <w:t>in</w:t>
      </w:r>
      <w:r>
        <w:rPr>
          <w:spacing w:val="-28"/>
        </w:rPr>
        <w:t> </w:t>
      </w:r>
      <w:r>
        <w:rPr/>
        <w:t>this</w:t>
      </w:r>
      <w:r>
        <w:rPr>
          <w:spacing w:val="-27"/>
        </w:rPr>
        <w:t> </w:t>
      </w:r>
      <w:r>
        <w:rPr/>
        <w:t>sub-market,</w:t>
      </w:r>
      <w:r>
        <w:rPr>
          <w:spacing w:val="-26"/>
        </w:rPr>
        <w:t> </w:t>
      </w:r>
      <w:r>
        <w:rPr/>
        <w:t>given an</w:t>
      </w:r>
      <w:r>
        <w:rPr>
          <w:spacing w:val="-19"/>
        </w:rPr>
        <w:t> </w:t>
      </w:r>
      <w:r>
        <w:rPr/>
        <w:t>increasing</w:t>
      </w:r>
      <w:r>
        <w:rPr>
          <w:spacing w:val="-19"/>
        </w:rPr>
        <w:t> </w:t>
      </w:r>
      <w:r>
        <w:rPr/>
        <w:t>focus</w:t>
      </w:r>
      <w:r>
        <w:rPr>
          <w:spacing w:val="-17"/>
        </w:rPr>
        <w:t> </w:t>
      </w:r>
      <w:r>
        <w:rPr/>
        <w:t>by</w:t>
      </w:r>
      <w:r>
        <w:rPr>
          <w:spacing w:val="-18"/>
        </w:rPr>
        <w:t> </w:t>
      </w:r>
      <w:r>
        <w:rPr/>
        <w:t>corporate</w:t>
      </w:r>
      <w:r>
        <w:rPr>
          <w:spacing w:val="-18"/>
        </w:rPr>
        <w:t> </w:t>
      </w:r>
      <w:r>
        <w:rPr/>
        <w:t>occupiers</w:t>
      </w:r>
      <w:r>
        <w:rPr>
          <w:spacing w:val="-18"/>
        </w:rPr>
        <w:t> </w:t>
      </w:r>
      <w:r>
        <w:rPr/>
        <w:t>on</w:t>
      </w:r>
      <w:r>
        <w:rPr>
          <w:spacing w:val="-19"/>
        </w:rPr>
        <w:t> </w:t>
      </w:r>
      <w:r>
        <w:rPr/>
        <w:t>the</w:t>
      </w:r>
      <w:r>
        <w:rPr>
          <w:spacing w:val="-19"/>
        </w:rPr>
        <w:t> </w:t>
      </w:r>
      <w:r>
        <w:rPr/>
        <w:t>ease</w:t>
      </w:r>
      <w:r>
        <w:rPr>
          <w:spacing w:val="-19"/>
        </w:rPr>
        <w:t> </w:t>
      </w:r>
      <w:r>
        <w:rPr/>
        <w:t>of</w:t>
      </w:r>
      <w:r>
        <w:rPr>
          <w:spacing w:val="-18"/>
        </w:rPr>
        <w:t> </w:t>
      </w:r>
      <w:r>
        <w:rPr/>
        <w:t>commute</w:t>
      </w:r>
      <w:r>
        <w:rPr>
          <w:spacing w:val="-19"/>
        </w:rPr>
        <w:t> </w:t>
      </w:r>
      <w:r>
        <w:rPr/>
        <w:t>for</w:t>
      </w:r>
      <w:r>
        <w:rPr>
          <w:spacing w:val="-19"/>
        </w:rPr>
        <w:t> </w:t>
      </w:r>
      <w:r>
        <w:rPr/>
        <w:t>their employees.</w:t>
      </w:r>
    </w:p>
    <w:p>
      <w:pPr>
        <w:pStyle w:val="BodyText"/>
        <w:spacing w:line="321" w:lineRule="auto" w:before="125"/>
        <w:ind w:left="3025" w:right="324"/>
        <w:jc w:val="both"/>
      </w:pPr>
      <w:r>
        <w:rPr/>
        <w:t>The</w:t>
      </w:r>
      <w:r>
        <w:rPr>
          <w:spacing w:val="-34"/>
        </w:rPr>
        <w:t> </w:t>
      </w:r>
      <w:r>
        <w:rPr/>
        <w:t>distance</w:t>
      </w:r>
      <w:r>
        <w:rPr>
          <w:spacing w:val="-32"/>
        </w:rPr>
        <w:t> </w:t>
      </w:r>
      <w:r>
        <w:rPr/>
        <w:t>of</w:t>
      </w:r>
      <w:r>
        <w:rPr>
          <w:spacing w:val="-32"/>
        </w:rPr>
        <w:t> </w:t>
      </w:r>
      <w:r>
        <w:rPr/>
        <w:t>the</w:t>
      </w:r>
      <w:r>
        <w:rPr>
          <w:spacing w:val="-33"/>
        </w:rPr>
        <w:t> </w:t>
      </w:r>
      <w:r>
        <w:rPr/>
        <w:t>subject</w:t>
      </w:r>
      <w:r>
        <w:rPr>
          <w:spacing w:val="-32"/>
        </w:rPr>
        <w:t> </w:t>
      </w:r>
      <w:r>
        <w:rPr/>
        <w:t>property</w:t>
      </w:r>
      <w:r>
        <w:rPr>
          <w:spacing w:val="-32"/>
        </w:rPr>
        <w:t> </w:t>
      </w:r>
      <w:r>
        <w:rPr/>
        <w:t>from</w:t>
      </w:r>
      <w:r>
        <w:rPr>
          <w:spacing w:val="-33"/>
        </w:rPr>
        <w:t> </w:t>
      </w:r>
      <w:r>
        <w:rPr/>
        <w:t>some</w:t>
      </w:r>
      <w:r>
        <w:rPr>
          <w:spacing w:val="-33"/>
        </w:rPr>
        <w:t> </w:t>
      </w:r>
      <w:r>
        <w:rPr/>
        <w:t>of</w:t>
      </w:r>
      <w:r>
        <w:rPr>
          <w:spacing w:val="-33"/>
        </w:rPr>
        <w:t> </w:t>
      </w:r>
      <w:r>
        <w:rPr/>
        <w:t>the</w:t>
      </w:r>
      <w:r>
        <w:rPr>
          <w:spacing w:val="-32"/>
        </w:rPr>
        <w:t> </w:t>
      </w:r>
      <w:r>
        <w:rPr/>
        <w:t>prominent</w:t>
      </w:r>
      <w:r>
        <w:rPr>
          <w:spacing w:val="-33"/>
        </w:rPr>
        <w:t> </w:t>
      </w:r>
      <w:r>
        <w:rPr/>
        <w:t>nodes</w:t>
      </w:r>
      <w:r>
        <w:rPr>
          <w:spacing w:val="-31"/>
        </w:rPr>
        <w:t> </w:t>
      </w:r>
      <w:r>
        <w:rPr/>
        <w:t>in</w:t>
      </w:r>
      <w:r>
        <w:rPr>
          <w:spacing w:val="-34"/>
        </w:rPr>
        <w:t> </w:t>
      </w:r>
      <w:r>
        <w:rPr/>
        <w:t>the city is provided in the exhibit</w:t>
      </w:r>
      <w:r>
        <w:rPr>
          <w:spacing w:val="-35"/>
        </w:rPr>
        <w:t> </w:t>
      </w:r>
      <w:r>
        <w:rPr/>
        <w:t>below:</w:t>
      </w:r>
    </w:p>
    <w:p>
      <w:pPr>
        <w:pStyle w:val="BodyText"/>
        <w:spacing w:before="11"/>
        <w:rPr>
          <w:sz w:val="10"/>
        </w:rPr>
      </w:pPr>
    </w:p>
    <w:tbl>
      <w:tblPr>
        <w:tblW w:w="0" w:type="auto"/>
        <w:jc w:val="left"/>
        <w:tblInd w:w="3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38"/>
        <w:gridCol w:w="2821"/>
      </w:tblGrid>
      <w:tr>
        <w:trPr>
          <w:trHeight w:val="287" w:hRule="atLeast"/>
        </w:trPr>
        <w:tc>
          <w:tcPr>
            <w:tcW w:w="4538" w:type="dxa"/>
            <w:tcBorders>
              <w:top w:val="single" w:sz="8" w:space="0" w:color="000000"/>
              <w:bottom w:val="single" w:sz="4" w:space="0" w:color="92D050"/>
            </w:tcBorders>
            <w:shd w:val="clear" w:color="auto" w:fill="006A4D"/>
          </w:tcPr>
          <w:p>
            <w:pPr>
              <w:pStyle w:val="TableParagraph"/>
              <w:spacing w:before="27"/>
              <w:ind w:left="663" w:right="414"/>
              <w:rPr>
                <w:rFonts w:ascii="Verdana"/>
                <w:b/>
                <w:i/>
                <w:sz w:val="18"/>
              </w:rPr>
            </w:pPr>
            <w:r>
              <w:rPr>
                <w:rFonts w:ascii="Verdana"/>
                <w:b/>
                <w:i/>
                <w:color w:val="FFFFFF"/>
                <w:w w:val="95"/>
                <w:sz w:val="18"/>
              </w:rPr>
              <w:t>Landmark</w:t>
            </w:r>
          </w:p>
        </w:tc>
        <w:tc>
          <w:tcPr>
            <w:tcW w:w="2821" w:type="dxa"/>
            <w:tcBorders>
              <w:top w:val="single" w:sz="8" w:space="0" w:color="000000"/>
              <w:bottom w:val="single" w:sz="4" w:space="0" w:color="92D050"/>
            </w:tcBorders>
            <w:shd w:val="clear" w:color="auto" w:fill="006A4D"/>
          </w:tcPr>
          <w:p>
            <w:pPr>
              <w:pStyle w:val="TableParagraph"/>
              <w:spacing w:before="27"/>
              <w:ind w:left="380" w:right="131"/>
              <w:rPr>
                <w:rFonts w:ascii="Verdana"/>
                <w:b/>
                <w:i/>
                <w:sz w:val="18"/>
              </w:rPr>
            </w:pPr>
            <w:r>
              <w:rPr>
                <w:rFonts w:ascii="Verdana"/>
                <w:b/>
                <w:i/>
                <w:color w:val="FFFFFF"/>
                <w:w w:val="90"/>
                <w:sz w:val="18"/>
              </w:rPr>
              <w:t>Approx. distance (in km)</w:t>
            </w:r>
          </w:p>
        </w:tc>
      </w:tr>
      <w:tr>
        <w:trPr>
          <w:trHeight w:val="290" w:hRule="atLeast"/>
        </w:trPr>
        <w:tc>
          <w:tcPr>
            <w:tcW w:w="4538" w:type="dxa"/>
            <w:tcBorders>
              <w:top w:val="single" w:sz="4" w:space="0" w:color="92D050"/>
              <w:bottom w:val="single" w:sz="4" w:space="0" w:color="92D050"/>
            </w:tcBorders>
          </w:tcPr>
          <w:p>
            <w:pPr>
              <w:pStyle w:val="TableParagraph"/>
              <w:spacing w:before="8"/>
              <w:ind w:left="663" w:right="414"/>
              <w:rPr>
                <w:sz w:val="18"/>
              </w:rPr>
            </w:pPr>
            <w:r>
              <w:rPr>
                <w:sz w:val="18"/>
              </w:rPr>
              <w:t>Jogeshwari Vikhroli Link Road</w:t>
            </w:r>
          </w:p>
        </w:tc>
        <w:tc>
          <w:tcPr>
            <w:tcW w:w="2821" w:type="dxa"/>
            <w:tcBorders>
              <w:top w:val="single" w:sz="4" w:space="0" w:color="92D050"/>
              <w:bottom w:val="single" w:sz="4" w:space="0" w:color="92D050"/>
            </w:tcBorders>
          </w:tcPr>
          <w:p>
            <w:pPr>
              <w:pStyle w:val="TableParagraph"/>
              <w:spacing w:before="8"/>
              <w:ind w:left="379" w:right="131"/>
              <w:rPr>
                <w:sz w:val="18"/>
              </w:rPr>
            </w:pPr>
            <w:r>
              <w:rPr>
                <w:w w:val="135"/>
                <w:sz w:val="18"/>
              </w:rPr>
              <w:t>&lt;1</w:t>
            </w:r>
          </w:p>
        </w:tc>
      </w:tr>
      <w:tr>
        <w:trPr>
          <w:trHeight w:val="287" w:hRule="atLeast"/>
        </w:trPr>
        <w:tc>
          <w:tcPr>
            <w:tcW w:w="4538" w:type="dxa"/>
            <w:tcBorders>
              <w:top w:val="single" w:sz="4" w:space="0" w:color="92D050"/>
              <w:bottom w:val="single" w:sz="4" w:space="0" w:color="92D050"/>
            </w:tcBorders>
          </w:tcPr>
          <w:p>
            <w:pPr>
              <w:pStyle w:val="TableParagraph"/>
              <w:spacing w:before="6"/>
              <w:ind w:left="663" w:right="415"/>
              <w:rPr>
                <w:sz w:val="18"/>
              </w:rPr>
            </w:pPr>
            <w:r>
              <w:rPr>
                <w:sz w:val="18"/>
              </w:rPr>
              <w:t>Eastern Express Highway</w:t>
            </w:r>
          </w:p>
        </w:tc>
        <w:tc>
          <w:tcPr>
            <w:tcW w:w="2821" w:type="dxa"/>
            <w:tcBorders>
              <w:top w:val="single" w:sz="4" w:space="0" w:color="92D050"/>
              <w:bottom w:val="single" w:sz="4" w:space="0" w:color="92D050"/>
            </w:tcBorders>
          </w:tcPr>
          <w:p>
            <w:pPr>
              <w:pStyle w:val="TableParagraph"/>
              <w:spacing w:before="6"/>
              <w:ind w:left="380" w:right="131"/>
              <w:rPr>
                <w:sz w:val="18"/>
              </w:rPr>
            </w:pPr>
            <w:r>
              <w:rPr>
                <w:w w:val="120"/>
                <w:sz w:val="18"/>
              </w:rPr>
              <w:t>1 – 2</w:t>
            </w:r>
          </w:p>
        </w:tc>
      </w:tr>
      <w:tr>
        <w:trPr>
          <w:trHeight w:val="287" w:hRule="atLeast"/>
        </w:trPr>
        <w:tc>
          <w:tcPr>
            <w:tcW w:w="4538" w:type="dxa"/>
            <w:tcBorders>
              <w:top w:val="single" w:sz="4" w:space="0" w:color="92D050"/>
              <w:bottom w:val="single" w:sz="4" w:space="0" w:color="92D050"/>
            </w:tcBorders>
          </w:tcPr>
          <w:p>
            <w:pPr>
              <w:pStyle w:val="TableParagraph"/>
              <w:spacing w:before="6"/>
              <w:ind w:left="661" w:right="417"/>
              <w:rPr>
                <w:sz w:val="18"/>
              </w:rPr>
            </w:pPr>
            <w:r>
              <w:rPr>
                <w:sz w:val="18"/>
              </w:rPr>
              <w:t>Kanjurmarg Railway Station</w:t>
            </w:r>
          </w:p>
        </w:tc>
        <w:tc>
          <w:tcPr>
            <w:tcW w:w="2821" w:type="dxa"/>
            <w:tcBorders>
              <w:top w:val="single" w:sz="4" w:space="0" w:color="92D050"/>
              <w:bottom w:val="single" w:sz="4" w:space="0" w:color="92D050"/>
            </w:tcBorders>
          </w:tcPr>
          <w:p>
            <w:pPr>
              <w:pStyle w:val="TableParagraph"/>
              <w:spacing w:before="6"/>
              <w:ind w:left="380" w:right="131"/>
              <w:rPr>
                <w:sz w:val="18"/>
              </w:rPr>
            </w:pPr>
            <w:r>
              <w:rPr>
                <w:w w:val="120"/>
                <w:sz w:val="18"/>
              </w:rPr>
              <w:t>1 – 2</w:t>
            </w:r>
          </w:p>
        </w:tc>
      </w:tr>
      <w:tr>
        <w:trPr>
          <w:trHeight w:val="280" w:hRule="atLeast"/>
        </w:trPr>
        <w:tc>
          <w:tcPr>
            <w:tcW w:w="4538" w:type="dxa"/>
            <w:tcBorders>
              <w:top w:val="single" w:sz="4" w:space="0" w:color="92D050"/>
              <w:bottom w:val="single" w:sz="4" w:space="0" w:color="92D050"/>
            </w:tcBorders>
          </w:tcPr>
          <w:p>
            <w:pPr>
              <w:pStyle w:val="TableParagraph"/>
              <w:spacing w:before="3"/>
              <w:ind w:left="662" w:right="417"/>
              <w:rPr>
                <w:sz w:val="18"/>
              </w:rPr>
            </w:pPr>
            <w:r>
              <w:rPr>
                <w:sz w:val="18"/>
              </w:rPr>
              <w:t>Vikhroli Railway Station</w:t>
            </w:r>
          </w:p>
        </w:tc>
        <w:tc>
          <w:tcPr>
            <w:tcW w:w="2821" w:type="dxa"/>
            <w:tcBorders>
              <w:top w:val="single" w:sz="4" w:space="0" w:color="92D050"/>
              <w:bottom w:val="single" w:sz="4" w:space="0" w:color="92D050"/>
            </w:tcBorders>
          </w:tcPr>
          <w:p>
            <w:pPr>
              <w:pStyle w:val="TableParagraph"/>
              <w:spacing w:before="3"/>
              <w:ind w:left="380" w:right="131"/>
              <w:rPr>
                <w:sz w:val="18"/>
              </w:rPr>
            </w:pPr>
            <w:r>
              <w:rPr>
                <w:w w:val="120"/>
                <w:sz w:val="18"/>
              </w:rPr>
              <w:t>1 – 2</w:t>
            </w:r>
          </w:p>
        </w:tc>
      </w:tr>
      <w:tr>
        <w:trPr>
          <w:trHeight w:val="287" w:hRule="atLeast"/>
        </w:trPr>
        <w:tc>
          <w:tcPr>
            <w:tcW w:w="4538" w:type="dxa"/>
            <w:tcBorders>
              <w:top w:val="single" w:sz="4" w:space="0" w:color="92D050"/>
              <w:bottom w:val="single" w:sz="4" w:space="0" w:color="92D050"/>
            </w:tcBorders>
          </w:tcPr>
          <w:p>
            <w:pPr>
              <w:pStyle w:val="TableParagraph"/>
              <w:spacing w:before="8"/>
              <w:ind w:left="663" w:right="417"/>
              <w:rPr>
                <w:sz w:val="18"/>
              </w:rPr>
            </w:pPr>
            <w:r>
              <w:rPr>
                <w:sz w:val="18"/>
              </w:rPr>
              <w:t>Chhatrapati Shivaji International Terminal</w:t>
            </w:r>
          </w:p>
        </w:tc>
        <w:tc>
          <w:tcPr>
            <w:tcW w:w="2821" w:type="dxa"/>
            <w:tcBorders>
              <w:top w:val="single" w:sz="4" w:space="0" w:color="92D050"/>
              <w:bottom w:val="single" w:sz="4" w:space="0" w:color="92D050"/>
            </w:tcBorders>
          </w:tcPr>
          <w:p>
            <w:pPr>
              <w:pStyle w:val="TableParagraph"/>
              <w:spacing w:before="8"/>
              <w:ind w:left="375" w:right="131"/>
              <w:rPr>
                <w:sz w:val="18"/>
              </w:rPr>
            </w:pPr>
            <w:r>
              <w:rPr>
                <w:w w:val="120"/>
                <w:sz w:val="18"/>
              </w:rPr>
              <w:t>10 – 12</w:t>
            </w:r>
          </w:p>
        </w:tc>
      </w:tr>
      <w:tr>
        <w:trPr>
          <w:trHeight w:val="287" w:hRule="atLeast"/>
        </w:trPr>
        <w:tc>
          <w:tcPr>
            <w:tcW w:w="4538" w:type="dxa"/>
            <w:tcBorders>
              <w:top w:val="single" w:sz="4" w:space="0" w:color="92D050"/>
              <w:bottom w:val="single" w:sz="4" w:space="0" w:color="92D050"/>
            </w:tcBorders>
          </w:tcPr>
          <w:p>
            <w:pPr>
              <w:pStyle w:val="TableParagraph"/>
              <w:spacing w:before="8"/>
              <w:ind w:left="663" w:right="416"/>
              <w:rPr>
                <w:sz w:val="18"/>
              </w:rPr>
            </w:pPr>
            <w:r>
              <w:rPr>
                <w:sz w:val="18"/>
              </w:rPr>
              <w:t>Chhatrapati Shivaji Domestic Terminal</w:t>
            </w:r>
          </w:p>
        </w:tc>
        <w:tc>
          <w:tcPr>
            <w:tcW w:w="2821" w:type="dxa"/>
            <w:tcBorders>
              <w:top w:val="single" w:sz="4" w:space="0" w:color="92D050"/>
              <w:bottom w:val="single" w:sz="4" w:space="0" w:color="92D050"/>
            </w:tcBorders>
          </w:tcPr>
          <w:p>
            <w:pPr>
              <w:pStyle w:val="TableParagraph"/>
              <w:spacing w:before="8"/>
              <w:ind w:left="375" w:right="131"/>
              <w:rPr>
                <w:sz w:val="18"/>
              </w:rPr>
            </w:pPr>
            <w:r>
              <w:rPr>
                <w:w w:val="120"/>
                <w:sz w:val="18"/>
              </w:rPr>
              <w:t>11 – 12</w:t>
            </w:r>
          </w:p>
        </w:tc>
      </w:tr>
      <w:tr>
        <w:trPr>
          <w:trHeight w:val="287" w:hRule="atLeast"/>
        </w:trPr>
        <w:tc>
          <w:tcPr>
            <w:tcW w:w="4538" w:type="dxa"/>
            <w:tcBorders>
              <w:top w:val="single" w:sz="4" w:space="0" w:color="92D050"/>
              <w:bottom w:val="single" w:sz="4" w:space="0" w:color="92D050"/>
            </w:tcBorders>
          </w:tcPr>
          <w:p>
            <w:pPr>
              <w:pStyle w:val="TableParagraph"/>
              <w:spacing w:before="8"/>
              <w:ind w:left="659" w:right="417"/>
              <w:rPr>
                <w:sz w:val="18"/>
              </w:rPr>
            </w:pPr>
            <w:r>
              <w:rPr>
                <w:sz w:val="18"/>
              </w:rPr>
              <w:t>Bandra Kurla Complex (part of ABD)</w:t>
            </w:r>
          </w:p>
        </w:tc>
        <w:tc>
          <w:tcPr>
            <w:tcW w:w="2821" w:type="dxa"/>
            <w:tcBorders>
              <w:top w:val="single" w:sz="4" w:space="0" w:color="92D050"/>
              <w:bottom w:val="single" w:sz="4" w:space="0" w:color="92D050"/>
            </w:tcBorders>
          </w:tcPr>
          <w:p>
            <w:pPr>
              <w:pStyle w:val="TableParagraph"/>
              <w:spacing w:before="8"/>
              <w:ind w:left="375" w:right="131"/>
              <w:rPr>
                <w:sz w:val="18"/>
              </w:rPr>
            </w:pPr>
            <w:r>
              <w:rPr>
                <w:w w:val="120"/>
                <w:sz w:val="18"/>
              </w:rPr>
              <w:t>12 – 14</w:t>
            </w:r>
          </w:p>
        </w:tc>
      </w:tr>
      <w:tr>
        <w:trPr>
          <w:trHeight w:val="290" w:hRule="atLeast"/>
        </w:trPr>
        <w:tc>
          <w:tcPr>
            <w:tcW w:w="4538" w:type="dxa"/>
            <w:tcBorders>
              <w:top w:val="single" w:sz="4" w:space="0" w:color="92D050"/>
              <w:bottom w:val="single" w:sz="4" w:space="0" w:color="92D050"/>
            </w:tcBorders>
          </w:tcPr>
          <w:p>
            <w:pPr>
              <w:pStyle w:val="TableParagraph"/>
              <w:spacing w:before="8"/>
              <w:ind w:left="662" w:right="417"/>
              <w:rPr>
                <w:sz w:val="18"/>
              </w:rPr>
            </w:pPr>
            <w:r>
              <w:rPr>
                <w:sz w:val="18"/>
              </w:rPr>
              <w:t>Nariman Point (part of CBD)</w:t>
            </w:r>
          </w:p>
        </w:tc>
        <w:tc>
          <w:tcPr>
            <w:tcW w:w="2821" w:type="dxa"/>
            <w:tcBorders>
              <w:top w:val="single" w:sz="4" w:space="0" w:color="92D050"/>
              <w:bottom w:val="single" w:sz="4" w:space="0" w:color="92D050"/>
            </w:tcBorders>
          </w:tcPr>
          <w:p>
            <w:pPr>
              <w:pStyle w:val="TableParagraph"/>
              <w:spacing w:before="8"/>
              <w:ind w:left="375" w:right="131"/>
              <w:rPr>
                <w:sz w:val="18"/>
              </w:rPr>
            </w:pPr>
            <w:r>
              <w:rPr>
                <w:w w:val="120"/>
                <w:sz w:val="18"/>
              </w:rPr>
              <w:t>28 – 30</w:t>
            </w:r>
          </w:p>
        </w:tc>
      </w:tr>
    </w:tbl>
    <w:p>
      <w:pPr>
        <w:spacing w:before="0"/>
        <w:ind w:left="3133" w:right="0" w:firstLine="0"/>
        <w:jc w:val="left"/>
        <w:rPr>
          <w:i/>
          <w:sz w:val="18"/>
        </w:rPr>
      </w:pPr>
      <w:r>
        <w:rPr>
          <w:i/>
          <w:sz w:val="18"/>
        </w:rPr>
        <w:t>Source: Consultants’ research</w:t>
      </w:r>
    </w:p>
    <w:p>
      <w:pPr>
        <w:spacing w:after="0"/>
        <w:jc w:val="left"/>
        <w:rPr>
          <w:sz w:val="18"/>
        </w:rPr>
        <w:sectPr>
          <w:pgSz w:w="11910" w:h="16840"/>
          <w:pgMar w:header="720" w:footer="943" w:top="1660" w:bottom="1140" w:left="600" w:right="600"/>
        </w:sectPr>
      </w:pPr>
    </w:p>
    <w:p>
      <w:pPr>
        <w:pStyle w:val="BodyText"/>
        <w:spacing w:before="11"/>
        <w:rPr>
          <w:i/>
          <w:sz w:val="19"/>
        </w:rPr>
      </w:pPr>
    </w:p>
    <w:p>
      <w:pPr>
        <w:pStyle w:val="BodyText"/>
        <w:tabs>
          <w:tab w:pos="3024" w:val="left" w:leader="none"/>
        </w:tabs>
        <w:spacing w:before="106"/>
        <w:ind w:left="792"/>
        <w:jc w:val="both"/>
      </w:pPr>
      <w:r>
        <w:rPr/>
        <w:t>Surrounds:</w:t>
        <w:tab/>
        <w:t>The subject property is surrounded as</w:t>
      </w:r>
      <w:r>
        <w:rPr>
          <w:spacing w:val="-36"/>
        </w:rPr>
        <w:t> </w:t>
      </w:r>
      <w:r>
        <w:rPr/>
        <w:t>follows:</w:t>
      </w:r>
    </w:p>
    <w:p>
      <w:pPr>
        <w:pStyle w:val="BodyText"/>
        <w:spacing w:line="434" w:lineRule="auto" w:before="208"/>
        <w:ind w:left="3025" w:right="3433"/>
        <w:jc w:val="both"/>
      </w:pPr>
      <w:r>
        <w:rPr/>
        <w:t>North:</w:t>
      </w:r>
      <w:r>
        <w:rPr>
          <w:spacing w:val="-14"/>
        </w:rPr>
        <w:t> </w:t>
      </w:r>
      <w:r>
        <w:rPr/>
        <w:t>Commercial</w:t>
      </w:r>
      <w:r>
        <w:rPr>
          <w:spacing w:val="-13"/>
        </w:rPr>
        <w:t> </w:t>
      </w:r>
      <w:r>
        <w:rPr/>
        <w:t>Development</w:t>
      </w:r>
      <w:r>
        <w:rPr>
          <w:spacing w:val="-13"/>
        </w:rPr>
        <w:t> </w:t>
      </w:r>
      <w:r>
        <w:rPr/>
        <w:t>(HCC</w:t>
      </w:r>
      <w:r>
        <w:rPr>
          <w:spacing w:val="-11"/>
        </w:rPr>
        <w:t> </w:t>
      </w:r>
      <w:r>
        <w:rPr/>
        <w:t>Ltd) South:</w:t>
      </w:r>
      <w:r>
        <w:rPr>
          <w:spacing w:val="-35"/>
        </w:rPr>
        <w:t> </w:t>
      </w:r>
      <w:r>
        <w:rPr/>
        <w:t>Commercial</w:t>
      </w:r>
      <w:r>
        <w:rPr>
          <w:spacing w:val="-34"/>
        </w:rPr>
        <w:t> </w:t>
      </w:r>
      <w:r>
        <w:rPr/>
        <w:t>Development</w:t>
      </w:r>
      <w:r>
        <w:rPr>
          <w:spacing w:val="-34"/>
        </w:rPr>
        <w:t> </w:t>
      </w:r>
      <w:r>
        <w:rPr/>
        <w:t>(Raj</w:t>
      </w:r>
      <w:r>
        <w:rPr>
          <w:spacing w:val="-34"/>
        </w:rPr>
        <w:t> </w:t>
      </w:r>
      <w:r>
        <w:rPr/>
        <w:t>Plaza) East: Railway</w:t>
      </w:r>
      <w:r>
        <w:rPr>
          <w:spacing w:val="-8"/>
        </w:rPr>
        <w:t> </w:t>
      </w:r>
      <w:r>
        <w:rPr/>
        <w:t>line</w:t>
      </w:r>
    </w:p>
    <w:p>
      <w:pPr>
        <w:pStyle w:val="BodyText"/>
        <w:ind w:left="3025"/>
        <w:jc w:val="both"/>
      </w:pPr>
      <w:r>
        <w:rPr/>
        <w:t>West: Primary Access Road (LBS Road)</w:t>
      </w:r>
    </w:p>
    <w:p>
      <w:pPr>
        <w:pStyle w:val="BodyText"/>
        <w:spacing w:before="1"/>
        <w:rPr>
          <w:sz w:val="19"/>
        </w:rPr>
      </w:pPr>
    </w:p>
    <w:p>
      <w:pPr>
        <w:spacing w:after="0"/>
        <w:rPr>
          <w:sz w:val="19"/>
        </w:rPr>
        <w:sectPr>
          <w:pgSz w:w="11910" w:h="16840"/>
          <w:pgMar w:header="720" w:footer="943" w:top="1660" w:bottom="1140" w:left="600" w:right="600"/>
        </w:sectPr>
      </w:pPr>
    </w:p>
    <w:p>
      <w:pPr>
        <w:pStyle w:val="BodyText"/>
        <w:spacing w:line="324" w:lineRule="auto" w:before="106"/>
        <w:ind w:left="792" w:right="-14"/>
      </w:pPr>
      <w:r>
        <w:rPr/>
        <w:t>Potential changes in surroundings:</w:t>
      </w:r>
    </w:p>
    <w:p>
      <w:pPr>
        <w:pStyle w:val="BodyText"/>
        <w:spacing w:line="321" w:lineRule="auto" w:before="106"/>
        <w:ind w:left="188" w:right="320"/>
        <w:jc w:val="both"/>
      </w:pPr>
      <w:r>
        <w:rPr/>
        <w:br w:type="column"/>
      </w:r>
      <w:r>
        <w:rPr/>
        <w:t>Vikhroli traditionally was an industrial submarket however over the</w:t>
      </w:r>
      <w:r>
        <w:rPr>
          <w:spacing w:val="-31"/>
        </w:rPr>
        <w:t> </w:t>
      </w:r>
      <w:r>
        <w:rPr/>
        <w:t>recent </w:t>
      </w:r>
      <w:r>
        <w:rPr>
          <w:w w:val="95"/>
        </w:rPr>
        <w:t>years,</w:t>
      </w:r>
      <w:r>
        <w:rPr>
          <w:spacing w:val="-15"/>
          <w:w w:val="95"/>
        </w:rPr>
        <w:t> </w:t>
      </w:r>
      <w:r>
        <w:rPr>
          <w:w w:val="95"/>
        </w:rPr>
        <w:t>there</w:t>
      </w:r>
      <w:r>
        <w:rPr>
          <w:spacing w:val="-15"/>
          <w:w w:val="95"/>
        </w:rPr>
        <w:t> </w:t>
      </w:r>
      <w:r>
        <w:rPr>
          <w:w w:val="95"/>
        </w:rPr>
        <w:t>is</w:t>
      </w:r>
      <w:r>
        <w:rPr>
          <w:spacing w:val="-12"/>
          <w:w w:val="95"/>
        </w:rPr>
        <w:t> </w:t>
      </w:r>
      <w:r>
        <w:rPr>
          <w:w w:val="95"/>
        </w:rPr>
        <w:t>a</w:t>
      </w:r>
      <w:r>
        <w:rPr>
          <w:spacing w:val="-17"/>
          <w:w w:val="95"/>
        </w:rPr>
        <w:t> </w:t>
      </w:r>
      <w:r>
        <w:rPr>
          <w:w w:val="95"/>
        </w:rPr>
        <w:t>shift</w:t>
      </w:r>
      <w:r>
        <w:rPr>
          <w:spacing w:val="-16"/>
          <w:w w:val="95"/>
        </w:rPr>
        <w:t> </w:t>
      </w:r>
      <w:r>
        <w:rPr>
          <w:w w:val="95"/>
        </w:rPr>
        <w:t>from</w:t>
      </w:r>
      <w:r>
        <w:rPr>
          <w:spacing w:val="-14"/>
          <w:w w:val="95"/>
        </w:rPr>
        <w:t> </w:t>
      </w:r>
      <w:r>
        <w:rPr>
          <w:w w:val="95"/>
        </w:rPr>
        <w:t>industrial</w:t>
      </w:r>
      <w:r>
        <w:rPr>
          <w:spacing w:val="-15"/>
          <w:w w:val="95"/>
        </w:rPr>
        <w:t> </w:t>
      </w:r>
      <w:r>
        <w:rPr>
          <w:w w:val="95"/>
        </w:rPr>
        <w:t>to</w:t>
      </w:r>
      <w:r>
        <w:rPr>
          <w:spacing w:val="-14"/>
          <w:w w:val="95"/>
        </w:rPr>
        <w:t> </w:t>
      </w:r>
      <w:r>
        <w:rPr>
          <w:w w:val="95"/>
        </w:rPr>
        <w:t>residential</w:t>
      </w:r>
      <w:r>
        <w:rPr>
          <w:spacing w:val="-15"/>
          <w:w w:val="95"/>
        </w:rPr>
        <w:t> </w:t>
      </w:r>
      <w:r>
        <w:rPr>
          <w:w w:val="95"/>
        </w:rPr>
        <w:t>/</w:t>
      </w:r>
      <w:r>
        <w:rPr>
          <w:spacing w:val="-14"/>
          <w:w w:val="95"/>
        </w:rPr>
        <w:t> </w:t>
      </w:r>
      <w:r>
        <w:rPr>
          <w:w w:val="95"/>
        </w:rPr>
        <w:t>commercial</w:t>
      </w:r>
      <w:r>
        <w:rPr>
          <w:spacing w:val="-15"/>
          <w:w w:val="95"/>
        </w:rPr>
        <w:t> </w:t>
      </w:r>
      <w:r>
        <w:rPr>
          <w:w w:val="95"/>
        </w:rPr>
        <w:t>activities.</w:t>
      </w:r>
      <w:r>
        <w:rPr>
          <w:spacing w:val="-14"/>
          <w:w w:val="95"/>
        </w:rPr>
        <w:t> </w:t>
      </w:r>
      <w:r>
        <w:rPr>
          <w:w w:val="95"/>
        </w:rPr>
        <w:t>The </w:t>
      </w:r>
      <w:r>
        <w:rPr/>
        <w:t>subject submarket is now emerging as a residential hub and an emerging location for corporate</w:t>
      </w:r>
      <w:r>
        <w:rPr>
          <w:spacing w:val="-14"/>
        </w:rPr>
        <w:t> </w:t>
      </w:r>
      <w:r>
        <w:rPr/>
        <w:t>occupiers.</w:t>
      </w:r>
    </w:p>
    <w:p>
      <w:pPr>
        <w:spacing w:after="0" w:line="321" w:lineRule="auto"/>
        <w:jc w:val="both"/>
        <w:sectPr>
          <w:type w:val="continuous"/>
          <w:pgSz w:w="11910" w:h="16840"/>
          <w:pgMar w:top="800" w:bottom="280" w:left="600" w:right="600"/>
          <w:cols w:num="2" w:equalWidth="0">
            <w:col w:w="2797" w:space="40"/>
            <w:col w:w="7873"/>
          </w:cols>
        </w:sectPr>
      </w:pPr>
    </w:p>
    <w:p>
      <w:pPr>
        <w:pStyle w:val="BodyText"/>
        <w:spacing w:before="8"/>
        <w:rPr>
          <w:sz w:val="11"/>
        </w:rPr>
      </w:pPr>
    </w:p>
    <w:p>
      <w:pPr>
        <w:spacing w:after="0"/>
        <w:rPr>
          <w:sz w:val="11"/>
        </w:rPr>
        <w:sectPr>
          <w:type w:val="continuous"/>
          <w:pgSz w:w="11910" w:h="16840"/>
          <w:pgMar w:top="800" w:bottom="280" w:left="600" w:right="600"/>
        </w:sectPr>
      </w:pPr>
    </w:p>
    <w:p>
      <w:pPr>
        <w:pStyle w:val="BodyText"/>
        <w:spacing w:line="321" w:lineRule="auto" w:before="106"/>
        <w:ind w:left="792" w:right="-8"/>
      </w:pPr>
      <w:r>
        <w:rPr>
          <w:w w:val="95"/>
        </w:rPr>
        <w:t>Suitability of existing </w:t>
      </w:r>
      <w:r>
        <w:rPr/>
        <w:t>use:</w:t>
      </w:r>
    </w:p>
    <w:p>
      <w:pPr>
        <w:pStyle w:val="BodyText"/>
        <w:spacing w:line="321" w:lineRule="auto" w:before="106"/>
        <w:ind w:left="191" w:right="327"/>
        <w:jc w:val="both"/>
      </w:pPr>
      <w:r>
        <w:rPr/>
        <w:br w:type="column"/>
      </w:r>
      <w:r>
        <w:rPr/>
        <w:t>Considering</w:t>
      </w:r>
      <w:r>
        <w:rPr>
          <w:spacing w:val="-28"/>
        </w:rPr>
        <w:t> </w:t>
      </w:r>
      <w:r>
        <w:rPr/>
        <w:t>the</w:t>
      </w:r>
      <w:r>
        <w:rPr>
          <w:spacing w:val="-29"/>
        </w:rPr>
        <w:t> </w:t>
      </w:r>
      <w:r>
        <w:rPr/>
        <w:t>profile</w:t>
      </w:r>
      <w:r>
        <w:rPr>
          <w:spacing w:val="-29"/>
        </w:rPr>
        <w:t> </w:t>
      </w:r>
      <w:r>
        <w:rPr/>
        <w:t>of</w:t>
      </w:r>
      <w:r>
        <w:rPr>
          <w:spacing w:val="-27"/>
        </w:rPr>
        <w:t> </w:t>
      </w:r>
      <w:r>
        <w:rPr/>
        <w:t>surrounding</w:t>
      </w:r>
      <w:r>
        <w:rPr>
          <w:spacing w:val="-28"/>
        </w:rPr>
        <w:t> </w:t>
      </w:r>
      <w:r>
        <w:rPr/>
        <w:t>developments,</w:t>
      </w:r>
      <w:r>
        <w:rPr>
          <w:spacing w:val="-28"/>
        </w:rPr>
        <w:t> </w:t>
      </w:r>
      <w:r>
        <w:rPr/>
        <w:t>the</w:t>
      </w:r>
      <w:r>
        <w:rPr>
          <w:spacing w:val="-29"/>
        </w:rPr>
        <w:t> </w:t>
      </w:r>
      <w:r>
        <w:rPr/>
        <w:t>subject</w:t>
      </w:r>
      <w:r>
        <w:rPr>
          <w:spacing w:val="-27"/>
        </w:rPr>
        <w:t> </w:t>
      </w:r>
      <w:r>
        <w:rPr/>
        <w:t>property</w:t>
      </w:r>
      <w:r>
        <w:rPr>
          <w:spacing w:val="-28"/>
        </w:rPr>
        <w:t> </w:t>
      </w:r>
      <w:r>
        <w:rPr/>
        <w:t>is opined</w:t>
      </w:r>
      <w:r>
        <w:rPr>
          <w:spacing w:val="-13"/>
        </w:rPr>
        <w:t> </w:t>
      </w:r>
      <w:r>
        <w:rPr/>
        <w:t>to</w:t>
      </w:r>
      <w:r>
        <w:rPr>
          <w:spacing w:val="-14"/>
        </w:rPr>
        <w:t> </w:t>
      </w:r>
      <w:r>
        <w:rPr/>
        <w:t>be</w:t>
      </w:r>
      <w:r>
        <w:rPr>
          <w:spacing w:val="-14"/>
        </w:rPr>
        <w:t> </w:t>
      </w:r>
      <w:r>
        <w:rPr/>
        <w:t>suited</w:t>
      </w:r>
      <w:r>
        <w:rPr>
          <w:spacing w:val="-14"/>
        </w:rPr>
        <w:t> </w:t>
      </w:r>
      <w:r>
        <w:rPr/>
        <w:t>for</w:t>
      </w:r>
      <w:r>
        <w:rPr>
          <w:spacing w:val="-13"/>
        </w:rPr>
        <w:t> </w:t>
      </w:r>
      <w:r>
        <w:rPr/>
        <w:t>its</w:t>
      </w:r>
      <w:r>
        <w:rPr>
          <w:spacing w:val="-12"/>
        </w:rPr>
        <w:t> </w:t>
      </w:r>
      <w:r>
        <w:rPr/>
        <w:t>current</w:t>
      </w:r>
      <w:r>
        <w:rPr>
          <w:spacing w:val="-13"/>
        </w:rPr>
        <w:t> </w:t>
      </w:r>
      <w:r>
        <w:rPr/>
        <w:t>use</w:t>
      </w:r>
      <w:r>
        <w:rPr>
          <w:spacing w:val="-14"/>
        </w:rPr>
        <w:t> </w:t>
      </w:r>
      <w:r>
        <w:rPr/>
        <w:t>viz.</w:t>
      </w:r>
      <w:r>
        <w:rPr>
          <w:spacing w:val="-12"/>
        </w:rPr>
        <w:t> </w:t>
      </w:r>
      <w:r>
        <w:rPr/>
        <w:t>IT/ITeS</w:t>
      </w:r>
      <w:r>
        <w:rPr>
          <w:spacing w:val="-14"/>
        </w:rPr>
        <w:t> </w:t>
      </w:r>
      <w:r>
        <w:rPr/>
        <w:t>development</w:t>
      </w:r>
      <w:r>
        <w:rPr>
          <w:spacing w:val="-15"/>
        </w:rPr>
        <w:t> </w:t>
      </w:r>
      <w:r>
        <w:rPr/>
        <w:t>(along</w:t>
      </w:r>
      <w:r>
        <w:rPr>
          <w:spacing w:val="-13"/>
        </w:rPr>
        <w:t> </w:t>
      </w:r>
      <w:r>
        <w:rPr/>
        <w:t>with support</w:t>
      </w:r>
      <w:r>
        <w:rPr>
          <w:spacing w:val="-4"/>
        </w:rPr>
        <w:t> </w:t>
      </w:r>
      <w:r>
        <w:rPr/>
        <w:t>retail)</w:t>
      </w:r>
    </w:p>
    <w:p>
      <w:pPr>
        <w:spacing w:after="0" w:line="321" w:lineRule="auto"/>
        <w:jc w:val="both"/>
        <w:sectPr>
          <w:type w:val="continuous"/>
          <w:pgSz w:w="11910" w:h="16840"/>
          <w:pgMar w:top="800" w:bottom="280" w:left="600" w:right="600"/>
          <w:cols w:num="2" w:equalWidth="0">
            <w:col w:w="2794" w:space="40"/>
            <w:col w:w="7876"/>
          </w:cols>
        </w:sectPr>
      </w:pPr>
    </w:p>
    <w:p>
      <w:pPr>
        <w:spacing w:before="87"/>
        <w:ind w:left="391" w:right="0" w:firstLine="0"/>
        <w:jc w:val="left"/>
        <w:rPr>
          <w:sz w:val="18"/>
        </w:rPr>
      </w:pPr>
      <w:r>
        <w:rPr/>
        <w:drawing>
          <wp:anchor distT="0" distB="0" distL="0" distR="0" allowOverlap="1" layoutInCell="1" locked="0" behindDoc="0" simplePos="0" relativeHeight="15979520">
            <wp:simplePos x="0" y="0"/>
            <wp:positionH relativeFrom="page">
              <wp:posOffset>7463790</wp:posOffset>
            </wp:positionH>
            <wp:positionV relativeFrom="page">
              <wp:posOffset>7039609</wp:posOffset>
            </wp:positionV>
            <wp:extent cx="1079500" cy="300457"/>
            <wp:effectExtent l="0" t="0" r="0" b="0"/>
            <wp:wrapNone/>
            <wp:docPr id="107" name="image3.jpeg"/>
            <wp:cNvGraphicFramePr>
              <a:graphicFrameLocks noChangeAspect="1"/>
            </wp:cNvGraphicFramePr>
            <a:graphic>
              <a:graphicData uri="http://schemas.openxmlformats.org/drawingml/2006/picture">
                <pic:pic>
                  <pic:nvPicPr>
                    <pic:cNvPr id="108"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5980032">
            <wp:simplePos x="0" y="0"/>
            <wp:positionH relativeFrom="page">
              <wp:posOffset>8732067</wp:posOffset>
            </wp:positionH>
            <wp:positionV relativeFrom="page">
              <wp:posOffset>6904160</wp:posOffset>
            </wp:positionV>
            <wp:extent cx="909288" cy="433873"/>
            <wp:effectExtent l="0" t="0" r="0" b="0"/>
            <wp:wrapNone/>
            <wp:docPr id="109" name="image4.png"/>
            <wp:cNvGraphicFramePr>
              <a:graphicFrameLocks noChangeAspect="1"/>
            </wp:cNvGraphicFramePr>
            <a:graphic>
              <a:graphicData uri="http://schemas.openxmlformats.org/drawingml/2006/picture">
                <pic:pic>
                  <pic:nvPicPr>
                    <pic:cNvPr id="110"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18"/>
        </w:rPr>
        <w:t>EMBASSY OFFICE PARKS MANAGEMENT SERVICES PRIVATE LIMITED | EMBASSY OFFICE PARKS REIT</w:t>
      </w:r>
    </w:p>
    <w:p>
      <w:pPr>
        <w:pStyle w:val="BodyText"/>
        <w:spacing w:before="10"/>
        <w:rPr>
          <w:sz w:val="12"/>
        </w:rPr>
      </w:pPr>
      <w:r>
        <w:rPr/>
        <w:drawing>
          <wp:anchor distT="0" distB="0" distL="0" distR="0" allowOverlap="1" layoutInCell="1" locked="0" behindDoc="0" simplePos="0" relativeHeight="486">
            <wp:simplePos x="0" y="0"/>
            <wp:positionH relativeFrom="page">
              <wp:posOffset>720090</wp:posOffset>
            </wp:positionH>
            <wp:positionV relativeFrom="paragraph">
              <wp:posOffset>120139</wp:posOffset>
            </wp:positionV>
            <wp:extent cx="9365707" cy="79248"/>
            <wp:effectExtent l="0" t="0" r="0" b="0"/>
            <wp:wrapTopAndBottom/>
            <wp:docPr id="111" name="image78.png"/>
            <wp:cNvGraphicFramePr>
              <a:graphicFrameLocks noChangeAspect="1"/>
            </wp:cNvGraphicFramePr>
            <a:graphic>
              <a:graphicData uri="http://schemas.openxmlformats.org/drawingml/2006/picture">
                <pic:pic>
                  <pic:nvPicPr>
                    <pic:cNvPr id="112" name="image78.png"/>
                    <pic:cNvPicPr/>
                  </pic:nvPicPr>
                  <pic:blipFill>
                    <a:blip r:embed="rId106" cstate="print"/>
                    <a:stretch>
                      <a:fillRect/>
                    </a:stretch>
                  </pic:blipFill>
                  <pic:spPr>
                    <a:xfrm>
                      <a:off x="0" y="0"/>
                      <a:ext cx="9365707" cy="79248"/>
                    </a:xfrm>
                    <a:prstGeom prst="rect">
                      <a:avLst/>
                    </a:prstGeom>
                  </pic:spPr>
                </pic:pic>
              </a:graphicData>
            </a:graphic>
          </wp:anchor>
        </w:drawing>
      </w:r>
    </w:p>
    <w:p>
      <w:pPr>
        <w:pStyle w:val="BodyText"/>
        <w:spacing w:before="3"/>
        <w:rPr>
          <w:sz w:val="19"/>
        </w:rPr>
      </w:pPr>
    </w:p>
    <w:p>
      <w:pPr>
        <w:pStyle w:val="BodyText"/>
        <w:spacing w:before="1"/>
        <w:ind w:left="953"/>
      </w:pPr>
      <w:r>
        <w:rPr/>
        <w:t>The following map indicates the location of the subject property and surrounding developments:</w:t>
      </w:r>
    </w:p>
    <w:p>
      <w:pPr>
        <w:pStyle w:val="BodyText"/>
        <w:spacing w:before="6"/>
        <w:rPr>
          <w:sz w:val="15"/>
        </w:rPr>
      </w:pPr>
      <w:r>
        <w:rPr/>
        <w:pict>
          <v:group style="position:absolute;margin-left:70.559998pt;margin-top:10.986777pt;width:676.95pt;height:14.2pt;mso-position-horizontal-relative:page;mso-position-vertical-relative:paragraph;z-index:-15478784;mso-wrap-distance-left:0;mso-wrap-distance-right:0" coordorigin="1411,220" coordsize="13539,284">
            <v:rect style="position:absolute;left:1411;top:248;width:13539;height:255" filled="true" fillcolor="#006a4d" stroked="false">
              <v:fill type="solid"/>
            </v:rect>
            <v:rect style="position:absolute;left:1411;top:219;width:13539;height:29" filled="true" fillcolor="#1f6b16" stroked="false">
              <v:fill type="solid"/>
            </v:rect>
            <v:rect style="position:absolute;left:1411;top:248;width:13539;height:3" filled="true" fillcolor="#006a4d" stroked="false">
              <v:fill type="solid"/>
            </v:rect>
            <v:shape style="position:absolute;left:1411;top:250;width:13539;height:252" type="#_x0000_t202" filled="false" stroked="false">
              <v:textbox inset="0,0,0,0">
                <w:txbxContent>
                  <w:p>
                    <w:pPr>
                      <w:spacing w:before="20"/>
                      <w:ind w:left="5054" w:right="5053" w:firstLine="0"/>
                      <w:jc w:val="center"/>
                      <w:rPr>
                        <w:b/>
                        <w:sz w:val="18"/>
                      </w:rPr>
                    </w:pPr>
                    <w:r>
                      <w:rPr>
                        <w:b/>
                        <w:color w:val="FFFFFF"/>
                        <w:w w:val="105"/>
                        <w:sz w:val="18"/>
                      </w:rPr>
                      <w:t>Location Map for the Subject Property</w:t>
                    </w:r>
                  </w:p>
                </w:txbxContent>
              </v:textbox>
              <w10:wrap type="none"/>
            </v:shape>
            <w10:wrap type="topAndBottom"/>
          </v:group>
        </w:pict>
      </w:r>
      <w:r>
        <w:rPr/>
        <w:drawing>
          <wp:anchor distT="0" distB="0" distL="0" distR="0" allowOverlap="1" layoutInCell="1" locked="0" behindDoc="0" simplePos="0" relativeHeight="489">
            <wp:simplePos x="0" y="0"/>
            <wp:positionH relativeFrom="page">
              <wp:posOffset>1170622</wp:posOffset>
            </wp:positionH>
            <wp:positionV relativeFrom="paragraph">
              <wp:posOffset>453476</wp:posOffset>
            </wp:positionV>
            <wp:extent cx="8109662" cy="3985641"/>
            <wp:effectExtent l="0" t="0" r="0" b="0"/>
            <wp:wrapTopAndBottom/>
            <wp:docPr id="113" name="image79.png"/>
            <wp:cNvGraphicFramePr>
              <a:graphicFrameLocks noChangeAspect="1"/>
            </wp:cNvGraphicFramePr>
            <a:graphic>
              <a:graphicData uri="http://schemas.openxmlformats.org/drawingml/2006/picture">
                <pic:pic>
                  <pic:nvPicPr>
                    <pic:cNvPr id="114" name="image79.png"/>
                    <pic:cNvPicPr/>
                  </pic:nvPicPr>
                  <pic:blipFill>
                    <a:blip r:embed="rId107" cstate="print"/>
                    <a:stretch>
                      <a:fillRect/>
                    </a:stretch>
                  </pic:blipFill>
                  <pic:spPr>
                    <a:xfrm>
                      <a:off x="0" y="0"/>
                      <a:ext cx="8109662" cy="3985641"/>
                    </a:xfrm>
                    <a:prstGeom prst="rect">
                      <a:avLst/>
                    </a:prstGeom>
                  </pic:spPr>
                </pic:pic>
              </a:graphicData>
            </a:graphic>
          </wp:anchor>
        </w:drawing>
      </w:r>
    </w:p>
    <w:p>
      <w:pPr>
        <w:pStyle w:val="BodyText"/>
        <w:spacing w:before="3"/>
        <w:rPr>
          <w:sz w:val="12"/>
        </w:rPr>
      </w:pPr>
    </w:p>
    <w:p>
      <w:pPr>
        <w:spacing w:before="155"/>
        <w:ind w:left="391" w:right="0" w:firstLine="0"/>
        <w:jc w:val="left"/>
        <w:rPr>
          <w:i/>
          <w:sz w:val="16"/>
        </w:rPr>
      </w:pPr>
      <w:r>
        <w:rPr>
          <w:i/>
          <w:sz w:val="16"/>
        </w:rPr>
        <w:t>Source: Consultants’ Research</w:t>
      </w:r>
    </w:p>
    <w:p>
      <w:pPr>
        <w:spacing w:after="0"/>
        <w:jc w:val="left"/>
        <w:rPr>
          <w:sz w:val="16"/>
        </w:rPr>
        <w:sectPr>
          <w:headerReference w:type="default" r:id="rId104"/>
          <w:footerReference w:type="default" r:id="rId105"/>
          <w:pgSz w:w="16840" w:h="11910" w:orient="landscape"/>
          <w:pgMar w:header="0" w:footer="523" w:top="820" w:bottom="720" w:left="1020" w:right="940"/>
        </w:sectPr>
      </w:pPr>
    </w:p>
    <w:p>
      <w:pPr>
        <w:pStyle w:val="BodyText"/>
        <w:spacing w:before="11"/>
        <w:rPr>
          <w:i/>
          <w:sz w:val="19"/>
        </w:rPr>
      </w:pPr>
    </w:p>
    <w:p>
      <w:pPr>
        <w:pStyle w:val="BodyText"/>
        <w:tabs>
          <w:tab w:pos="2548" w:val="left" w:leader="none"/>
        </w:tabs>
        <w:spacing w:line="321" w:lineRule="auto" w:before="106"/>
        <w:ind w:left="2548" w:right="252" w:hanging="1784"/>
        <w:jc w:val="both"/>
      </w:pPr>
      <w:r>
        <w:rPr/>
        <w:t>Shape:</w:t>
        <w:tab/>
        <w:t>Based</w:t>
      </w:r>
      <w:r>
        <w:rPr>
          <w:spacing w:val="-28"/>
        </w:rPr>
        <w:t> </w:t>
      </w:r>
      <w:r>
        <w:rPr/>
        <w:t>on</w:t>
      </w:r>
      <w:r>
        <w:rPr>
          <w:spacing w:val="-29"/>
        </w:rPr>
        <w:t> </w:t>
      </w:r>
      <w:r>
        <w:rPr/>
        <w:t>site</w:t>
      </w:r>
      <w:r>
        <w:rPr>
          <w:spacing w:val="-29"/>
        </w:rPr>
        <w:t> </w:t>
      </w:r>
      <w:r>
        <w:rPr/>
        <w:t>plan</w:t>
      </w:r>
      <w:r>
        <w:rPr>
          <w:spacing w:val="-28"/>
        </w:rPr>
        <w:t> </w:t>
      </w:r>
      <w:r>
        <w:rPr/>
        <w:t>provided</w:t>
      </w:r>
      <w:r>
        <w:rPr>
          <w:spacing w:val="-27"/>
        </w:rPr>
        <w:t> </w:t>
      </w:r>
      <w:r>
        <w:rPr/>
        <w:t>by</w:t>
      </w:r>
      <w:r>
        <w:rPr>
          <w:spacing w:val="-27"/>
        </w:rPr>
        <w:t> </w:t>
      </w:r>
      <w:r>
        <w:rPr/>
        <w:t>the</w:t>
      </w:r>
      <w:r>
        <w:rPr>
          <w:spacing w:val="-28"/>
        </w:rPr>
        <w:t> </w:t>
      </w:r>
      <w:r>
        <w:rPr/>
        <w:t>Client</w:t>
      </w:r>
      <w:r>
        <w:rPr>
          <w:spacing w:val="-28"/>
        </w:rPr>
        <w:t> </w:t>
      </w:r>
      <w:r>
        <w:rPr/>
        <w:t>and</w:t>
      </w:r>
      <w:r>
        <w:rPr>
          <w:spacing w:val="-28"/>
        </w:rPr>
        <w:t> </w:t>
      </w:r>
      <w:r>
        <w:rPr/>
        <w:t>visual</w:t>
      </w:r>
      <w:r>
        <w:rPr>
          <w:spacing w:val="-28"/>
        </w:rPr>
        <w:t> </w:t>
      </w:r>
      <w:r>
        <w:rPr/>
        <w:t>inspection</w:t>
      </w:r>
      <w:r>
        <w:rPr>
          <w:spacing w:val="-28"/>
        </w:rPr>
        <w:t> </w:t>
      </w:r>
      <w:r>
        <w:rPr/>
        <w:t>during</w:t>
      </w:r>
      <w:r>
        <w:rPr>
          <w:spacing w:val="-27"/>
        </w:rPr>
        <w:t> </w:t>
      </w:r>
      <w:r>
        <w:rPr/>
        <w:t>the</w:t>
      </w:r>
      <w:r>
        <w:rPr>
          <w:spacing w:val="-28"/>
        </w:rPr>
        <w:t> </w:t>
      </w:r>
      <w:r>
        <w:rPr/>
        <w:t>site</w:t>
      </w:r>
      <w:r>
        <w:rPr>
          <w:spacing w:val="-29"/>
        </w:rPr>
        <w:t> </w:t>
      </w:r>
      <w:r>
        <w:rPr/>
        <w:t>visit, it</w:t>
      </w:r>
      <w:r>
        <w:rPr>
          <w:spacing w:val="-11"/>
        </w:rPr>
        <w:t> </w:t>
      </w:r>
      <w:r>
        <w:rPr/>
        <w:t>is</w:t>
      </w:r>
      <w:r>
        <w:rPr>
          <w:spacing w:val="-9"/>
        </w:rPr>
        <w:t> </w:t>
      </w:r>
      <w:r>
        <w:rPr/>
        <w:t>understood</w:t>
      </w:r>
      <w:r>
        <w:rPr>
          <w:spacing w:val="-10"/>
        </w:rPr>
        <w:t> </w:t>
      </w:r>
      <w:r>
        <w:rPr/>
        <w:t>that</w:t>
      </w:r>
      <w:r>
        <w:rPr>
          <w:spacing w:val="-10"/>
        </w:rPr>
        <w:t> </w:t>
      </w:r>
      <w:r>
        <w:rPr/>
        <w:t>the</w:t>
      </w:r>
      <w:r>
        <w:rPr>
          <w:spacing w:val="-13"/>
        </w:rPr>
        <w:t> </w:t>
      </w:r>
      <w:r>
        <w:rPr/>
        <w:t>subject</w:t>
      </w:r>
      <w:r>
        <w:rPr>
          <w:spacing w:val="-10"/>
        </w:rPr>
        <w:t> </w:t>
      </w:r>
      <w:r>
        <w:rPr/>
        <w:t>land</w:t>
      </w:r>
      <w:r>
        <w:rPr>
          <w:spacing w:val="-11"/>
        </w:rPr>
        <w:t> </w:t>
      </w:r>
      <w:r>
        <w:rPr/>
        <w:t>parcel</w:t>
      </w:r>
      <w:r>
        <w:rPr>
          <w:spacing w:val="-8"/>
        </w:rPr>
        <w:t> </w:t>
      </w:r>
      <w:r>
        <w:rPr/>
        <w:t>is</w:t>
      </w:r>
      <w:r>
        <w:rPr>
          <w:spacing w:val="-10"/>
        </w:rPr>
        <w:t> </w:t>
      </w:r>
      <w:r>
        <w:rPr/>
        <w:t>irregular</w:t>
      </w:r>
      <w:r>
        <w:rPr>
          <w:spacing w:val="-10"/>
        </w:rPr>
        <w:t> </w:t>
      </w:r>
      <w:r>
        <w:rPr/>
        <w:t>in</w:t>
      </w:r>
      <w:r>
        <w:rPr>
          <w:spacing w:val="-11"/>
        </w:rPr>
        <w:t> </w:t>
      </w:r>
      <w:r>
        <w:rPr/>
        <w:t>shape.</w:t>
      </w:r>
    </w:p>
    <w:p>
      <w:pPr>
        <w:pStyle w:val="BodyText"/>
        <w:spacing w:before="10"/>
        <w:rPr>
          <w:sz w:val="20"/>
        </w:rPr>
      </w:pPr>
    </w:p>
    <w:p>
      <w:pPr>
        <w:pStyle w:val="BodyText"/>
        <w:spacing w:line="319" w:lineRule="auto"/>
        <w:ind w:left="2548" w:right="251" w:hanging="1784"/>
        <w:jc w:val="both"/>
      </w:pPr>
      <w:r>
        <w:rPr/>
        <w:t>Topography:</w:t>
      </w:r>
      <w:r>
        <w:rPr>
          <w:spacing w:val="26"/>
        </w:rPr>
        <w:t> </w:t>
      </w:r>
      <w:r>
        <w:rPr/>
        <w:t>Based</w:t>
      </w:r>
      <w:r>
        <w:rPr>
          <w:spacing w:val="-22"/>
        </w:rPr>
        <w:t> </w:t>
      </w:r>
      <w:r>
        <w:rPr/>
        <w:t>on</w:t>
      </w:r>
      <w:r>
        <w:rPr>
          <w:spacing w:val="-23"/>
        </w:rPr>
        <w:t> </w:t>
      </w:r>
      <w:r>
        <w:rPr/>
        <w:t>the</w:t>
      </w:r>
      <w:r>
        <w:rPr>
          <w:spacing w:val="-23"/>
        </w:rPr>
        <w:t> </w:t>
      </w:r>
      <w:r>
        <w:rPr/>
        <w:t>site</w:t>
      </w:r>
      <w:r>
        <w:rPr>
          <w:spacing w:val="-22"/>
        </w:rPr>
        <w:t> </w:t>
      </w:r>
      <w:r>
        <w:rPr/>
        <w:t>plan</w:t>
      </w:r>
      <w:r>
        <w:rPr>
          <w:spacing w:val="-23"/>
        </w:rPr>
        <w:t> </w:t>
      </w:r>
      <w:r>
        <w:rPr/>
        <w:t>and</w:t>
      </w:r>
      <w:r>
        <w:rPr>
          <w:spacing w:val="-19"/>
        </w:rPr>
        <w:t> </w:t>
      </w:r>
      <w:r>
        <w:rPr/>
        <w:t>as</w:t>
      </w:r>
      <w:r>
        <w:rPr>
          <w:spacing w:val="-22"/>
        </w:rPr>
        <w:t> </w:t>
      </w:r>
      <w:r>
        <w:rPr/>
        <w:t>corroborated</w:t>
      </w:r>
      <w:r>
        <w:rPr>
          <w:spacing w:val="-21"/>
        </w:rPr>
        <w:t> </w:t>
      </w:r>
      <w:r>
        <w:rPr/>
        <w:t>with</w:t>
      </w:r>
      <w:r>
        <w:rPr>
          <w:spacing w:val="-23"/>
        </w:rPr>
        <w:t> </w:t>
      </w:r>
      <w:r>
        <w:rPr/>
        <w:t>our</w:t>
      </w:r>
      <w:r>
        <w:rPr>
          <w:spacing w:val="-23"/>
        </w:rPr>
        <w:t> </w:t>
      </w:r>
      <w:r>
        <w:rPr/>
        <w:t>site</w:t>
      </w:r>
      <w:r>
        <w:rPr>
          <w:spacing w:val="-23"/>
        </w:rPr>
        <w:t> </w:t>
      </w:r>
      <w:r>
        <w:rPr/>
        <w:t>visit,</w:t>
      </w:r>
      <w:r>
        <w:rPr>
          <w:spacing w:val="-22"/>
        </w:rPr>
        <w:t> </w:t>
      </w:r>
      <w:r>
        <w:rPr/>
        <w:t>the</w:t>
      </w:r>
      <w:r>
        <w:rPr>
          <w:spacing w:val="-23"/>
        </w:rPr>
        <w:t> </w:t>
      </w:r>
      <w:r>
        <w:rPr/>
        <w:t>site</w:t>
      </w:r>
      <w:r>
        <w:rPr>
          <w:spacing w:val="-23"/>
        </w:rPr>
        <w:t> </w:t>
      </w:r>
      <w:r>
        <w:rPr/>
        <w:t>appears</w:t>
      </w:r>
      <w:r>
        <w:rPr>
          <w:spacing w:val="-21"/>
        </w:rPr>
        <w:t> </w:t>
      </w:r>
      <w:r>
        <w:rPr/>
        <w:t>to</w:t>
      </w:r>
      <w:r>
        <w:rPr>
          <w:spacing w:val="-21"/>
        </w:rPr>
        <w:t> </w:t>
      </w:r>
      <w:r>
        <w:rPr/>
        <w:t>be even</w:t>
      </w:r>
      <w:r>
        <w:rPr>
          <w:spacing w:val="-14"/>
        </w:rPr>
        <w:t> </w:t>
      </w:r>
      <w:r>
        <w:rPr/>
        <w:t>and</w:t>
      </w:r>
      <w:r>
        <w:rPr>
          <w:spacing w:val="-13"/>
        </w:rPr>
        <w:t> </w:t>
      </w:r>
      <w:r>
        <w:rPr/>
        <w:t>on</w:t>
      </w:r>
      <w:r>
        <w:rPr>
          <w:spacing w:val="-14"/>
        </w:rPr>
        <w:t> </w:t>
      </w:r>
      <w:r>
        <w:rPr/>
        <w:t>the</w:t>
      </w:r>
      <w:r>
        <w:rPr>
          <w:spacing w:val="-13"/>
        </w:rPr>
        <w:t> </w:t>
      </w:r>
      <w:r>
        <w:rPr/>
        <w:t>same</w:t>
      </w:r>
      <w:r>
        <w:rPr>
          <w:spacing w:val="-13"/>
        </w:rPr>
        <w:t> </w:t>
      </w:r>
      <w:r>
        <w:rPr/>
        <w:t>level</w:t>
      </w:r>
      <w:r>
        <w:rPr>
          <w:spacing w:val="-13"/>
        </w:rPr>
        <w:t> </w:t>
      </w:r>
      <w:r>
        <w:rPr/>
        <w:t>as</w:t>
      </w:r>
      <w:r>
        <w:rPr>
          <w:spacing w:val="-12"/>
        </w:rPr>
        <w:t> </w:t>
      </w:r>
      <w:r>
        <w:rPr/>
        <w:t>abutting</w:t>
      </w:r>
      <w:r>
        <w:rPr>
          <w:spacing w:val="-12"/>
        </w:rPr>
        <w:t> </w:t>
      </w:r>
      <w:r>
        <w:rPr/>
        <w:t>access</w:t>
      </w:r>
      <w:r>
        <w:rPr>
          <w:spacing w:val="-12"/>
        </w:rPr>
        <w:t> </w:t>
      </w:r>
      <w:r>
        <w:rPr/>
        <w:t>roads</w:t>
      </w:r>
      <w:r>
        <w:rPr>
          <w:spacing w:val="-12"/>
        </w:rPr>
        <w:t> </w:t>
      </w:r>
      <w:r>
        <w:rPr/>
        <w:t>and</w:t>
      </w:r>
      <w:r>
        <w:rPr>
          <w:spacing w:val="-13"/>
        </w:rPr>
        <w:t> </w:t>
      </w:r>
      <w:r>
        <w:rPr/>
        <w:t>adjoining</w:t>
      </w:r>
      <w:r>
        <w:rPr>
          <w:spacing w:val="-9"/>
        </w:rPr>
        <w:t> </w:t>
      </w:r>
      <w:r>
        <w:rPr/>
        <w:t>properties.</w:t>
      </w:r>
    </w:p>
    <w:p>
      <w:pPr>
        <w:pStyle w:val="BodyText"/>
        <w:rPr>
          <w:sz w:val="21"/>
        </w:rPr>
      </w:pPr>
    </w:p>
    <w:p>
      <w:pPr>
        <w:pStyle w:val="BodyText"/>
        <w:tabs>
          <w:tab w:pos="2548" w:val="left" w:leader="none"/>
        </w:tabs>
        <w:spacing w:line="321" w:lineRule="auto"/>
        <w:ind w:left="2548" w:right="256" w:hanging="1784"/>
        <w:jc w:val="both"/>
      </w:pPr>
      <w:r>
        <w:rPr/>
        <w:t>Frontage:</w:t>
        <w:tab/>
        <w:t>Based on visual inspection and measurements made on Google maps, we understand</w:t>
      </w:r>
      <w:r>
        <w:rPr>
          <w:spacing w:val="-17"/>
        </w:rPr>
        <w:t> </w:t>
      </w:r>
      <w:r>
        <w:rPr/>
        <w:t>that</w:t>
      </w:r>
      <w:r>
        <w:rPr>
          <w:spacing w:val="-15"/>
        </w:rPr>
        <w:t> </w:t>
      </w:r>
      <w:r>
        <w:rPr/>
        <w:t>the</w:t>
      </w:r>
      <w:r>
        <w:rPr>
          <w:spacing w:val="-15"/>
        </w:rPr>
        <w:t> </w:t>
      </w:r>
      <w:r>
        <w:rPr/>
        <w:t>frontage</w:t>
      </w:r>
      <w:r>
        <w:rPr>
          <w:spacing w:val="-16"/>
        </w:rPr>
        <w:t> </w:t>
      </w:r>
      <w:r>
        <w:rPr/>
        <w:t>is</w:t>
      </w:r>
      <w:r>
        <w:rPr>
          <w:spacing w:val="-14"/>
        </w:rPr>
        <w:t> </w:t>
      </w:r>
      <w:r>
        <w:rPr/>
        <w:t>approximately</w:t>
      </w:r>
      <w:r>
        <w:rPr>
          <w:spacing w:val="-14"/>
        </w:rPr>
        <w:t> </w:t>
      </w:r>
      <w:r>
        <w:rPr/>
        <w:t>150</w:t>
      </w:r>
      <w:r>
        <w:rPr>
          <w:spacing w:val="-18"/>
        </w:rPr>
        <w:t> </w:t>
      </w:r>
      <w:r>
        <w:rPr/>
        <w:t>meters</w:t>
      </w:r>
      <w:r>
        <w:rPr>
          <w:spacing w:val="-14"/>
        </w:rPr>
        <w:t> </w:t>
      </w:r>
      <w:r>
        <w:rPr/>
        <w:t>along</w:t>
      </w:r>
      <w:r>
        <w:rPr>
          <w:spacing w:val="-15"/>
        </w:rPr>
        <w:t> </w:t>
      </w:r>
      <w:r>
        <w:rPr/>
        <w:t>the</w:t>
      </w:r>
      <w:r>
        <w:rPr>
          <w:spacing w:val="-15"/>
        </w:rPr>
        <w:t> </w:t>
      </w:r>
      <w:r>
        <w:rPr/>
        <w:t>LBS</w:t>
      </w:r>
      <w:r>
        <w:rPr>
          <w:spacing w:val="-15"/>
        </w:rPr>
        <w:t> </w:t>
      </w:r>
      <w:r>
        <w:rPr/>
        <w:t>Marg.</w:t>
      </w:r>
    </w:p>
    <w:p>
      <w:pPr>
        <w:pStyle w:val="BodyText"/>
        <w:spacing w:before="10"/>
        <w:rPr>
          <w:sz w:val="20"/>
        </w:rPr>
      </w:pPr>
    </w:p>
    <w:p>
      <w:pPr>
        <w:pStyle w:val="BodyText"/>
        <w:spacing w:line="321" w:lineRule="auto" w:before="1"/>
        <w:ind w:left="2548" w:right="251" w:hanging="1784"/>
        <w:jc w:val="both"/>
      </w:pPr>
      <w:r>
        <w:rPr/>
        <w:t>Accessibility:</w:t>
      </w:r>
      <w:r>
        <w:rPr>
          <w:spacing w:val="41"/>
        </w:rPr>
        <w:t> </w:t>
      </w:r>
      <w:r>
        <w:rPr/>
        <w:t>Based</w:t>
      </w:r>
      <w:r>
        <w:rPr>
          <w:spacing w:val="-27"/>
        </w:rPr>
        <w:t> </w:t>
      </w:r>
      <w:r>
        <w:rPr/>
        <w:t>on</w:t>
      </w:r>
      <w:r>
        <w:rPr>
          <w:spacing w:val="-27"/>
        </w:rPr>
        <w:t> </w:t>
      </w:r>
      <w:r>
        <w:rPr/>
        <w:t>the</w:t>
      </w:r>
      <w:r>
        <w:rPr>
          <w:spacing w:val="-28"/>
        </w:rPr>
        <w:t> </w:t>
      </w:r>
      <w:r>
        <w:rPr/>
        <w:t>site</w:t>
      </w:r>
      <w:r>
        <w:rPr>
          <w:spacing w:val="-27"/>
        </w:rPr>
        <w:t> </w:t>
      </w:r>
      <w:r>
        <w:rPr/>
        <w:t>visit,</w:t>
      </w:r>
      <w:r>
        <w:rPr>
          <w:spacing w:val="-27"/>
        </w:rPr>
        <w:t> </w:t>
      </w:r>
      <w:r>
        <w:rPr/>
        <w:t>it</w:t>
      </w:r>
      <w:r>
        <w:rPr>
          <w:spacing w:val="-28"/>
        </w:rPr>
        <w:t> </w:t>
      </w:r>
      <w:r>
        <w:rPr/>
        <w:t>was</w:t>
      </w:r>
      <w:r>
        <w:rPr>
          <w:spacing w:val="-26"/>
        </w:rPr>
        <w:t> </w:t>
      </w:r>
      <w:r>
        <w:rPr/>
        <w:t>observed</w:t>
      </w:r>
      <w:r>
        <w:rPr>
          <w:spacing w:val="-27"/>
        </w:rPr>
        <w:t> </w:t>
      </w:r>
      <w:r>
        <w:rPr/>
        <w:t>that</w:t>
      </w:r>
      <w:r>
        <w:rPr>
          <w:spacing w:val="-27"/>
        </w:rPr>
        <w:t> </w:t>
      </w:r>
      <w:r>
        <w:rPr/>
        <w:t>the</w:t>
      </w:r>
      <w:r>
        <w:rPr>
          <w:spacing w:val="-27"/>
        </w:rPr>
        <w:t> </w:t>
      </w:r>
      <w:r>
        <w:rPr/>
        <w:t>subject</w:t>
      </w:r>
      <w:r>
        <w:rPr>
          <w:spacing w:val="-27"/>
        </w:rPr>
        <w:t> </w:t>
      </w:r>
      <w:r>
        <w:rPr/>
        <w:t>property</w:t>
      </w:r>
      <w:r>
        <w:rPr>
          <w:spacing w:val="-26"/>
        </w:rPr>
        <w:t> </w:t>
      </w:r>
      <w:r>
        <w:rPr/>
        <w:t>has</w:t>
      </w:r>
      <w:r>
        <w:rPr>
          <w:spacing w:val="-29"/>
        </w:rPr>
        <w:t> </w:t>
      </w:r>
      <w:r>
        <w:rPr/>
        <w:t>primary</w:t>
      </w:r>
      <w:r>
        <w:rPr>
          <w:spacing w:val="-26"/>
        </w:rPr>
        <w:t> </w:t>
      </w:r>
      <w:r>
        <w:rPr/>
        <w:t>access from Lal Bahadur Shastri (LBS)</w:t>
      </w:r>
      <w:r>
        <w:rPr>
          <w:spacing w:val="-20"/>
        </w:rPr>
        <w:t> </w:t>
      </w:r>
      <w:r>
        <w:rPr/>
        <w:t>Road.</w:t>
      </w:r>
    </w:p>
    <w:p>
      <w:pPr>
        <w:pStyle w:val="BodyText"/>
        <w:spacing w:before="121"/>
        <w:ind w:left="2548"/>
        <w:jc w:val="both"/>
      </w:pPr>
      <w:r>
        <w:rPr/>
        <w:t>Please refer Exhibit &amp; Addenda for the site plan of the subject property.</w:t>
      </w:r>
    </w:p>
    <w:p>
      <w:pPr>
        <w:pStyle w:val="BodyText"/>
        <w:rPr>
          <w:sz w:val="26"/>
        </w:rPr>
      </w:pPr>
    </w:p>
    <w:p>
      <w:pPr>
        <w:pStyle w:val="BodyText"/>
        <w:rPr>
          <w:sz w:val="33"/>
        </w:rPr>
      </w:pPr>
    </w:p>
    <w:p>
      <w:pPr>
        <w:pStyle w:val="ListParagraph"/>
        <w:numPr>
          <w:ilvl w:val="2"/>
          <w:numId w:val="14"/>
        </w:numPr>
        <w:tabs>
          <w:tab w:pos="821" w:val="left" w:leader="none"/>
        </w:tabs>
        <w:spacing w:line="240" w:lineRule="auto" w:before="1" w:after="0"/>
        <w:ind w:left="820" w:right="0" w:hanging="721"/>
        <w:jc w:val="left"/>
        <w:rPr>
          <w:sz w:val="22"/>
        </w:rPr>
      </w:pPr>
      <w:bookmarkStart w:name="_bookmark103" w:id="202"/>
      <w:bookmarkEnd w:id="202"/>
      <w:r>
        <w:rPr/>
      </w:r>
      <w:bookmarkStart w:name="_bookmark103" w:id="203"/>
      <w:bookmarkEnd w:id="203"/>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7"/>
        <w:ind w:left="666" w:right="115"/>
        <w:jc w:val="both"/>
      </w:pPr>
      <w:r>
        <w:rPr/>
        <w:t>As per the title due diligence undertaken by Little &amp; Company and as provided by the Client, we understand that the legal address of the subject property is CTS No. 105, 105/1 to 38, 105/39 (pt), 105/39</w:t>
      </w:r>
      <w:r>
        <w:rPr>
          <w:spacing w:val="-8"/>
        </w:rPr>
        <w:t> </w:t>
      </w:r>
      <w:r>
        <w:rPr/>
        <w:t>(pt),</w:t>
      </w:r>
      <w:r>
        <w:rPr>
          <w:spacing w:val="-7"/>
        </w:rPr>
        <w:t> </w:t>
      </w:r>
      <w:r>
        <w:rPr/>
        <w:t>105/40-41,</w:t>
      </w:r>
      <w:r>
        <w:rPr>
          <w:spacing w:val="-10"/>
        </w:rPr>
        <w:t> </w:t>
      </w:r>
      <w:r>
        <w:rPr/>
        <w:t>105/42,</w:t>
      </w:r>
      <w:r>
        <w:rPr>
          <w:spacing w:val="-7"/>
        </w:rPr>
        <w:t> </w:t>
      </w:r>
      <w:r>
        <w:rPr/>
        <w:t>105/44</w:t>
      </w:r>
      <w:r>
        <w:rPr>
          <w:spacing w:val="-7"/>
        </w:rPr>
        <w:t> </w:t>
      </w:r>
      <w:r>
        <w:rPr/>
        <w:t>(pt),</w:t>
      </w:r>
      <w:r>
        <w:rPr>
          <w:spacing w:val="-8"/>
        </w:rPr>
        <w:t> </w:t>
      </w:r>
      <w:r>
        <w:rPr/>
        <w:t>106</w:t>
      </w:r>
      <w:r>
        <w:rPr>
          <w:spacing w:val="-7"/>
        </w:rPr>
        <w:t> </w:t>
      </w:r>
      <w:r>
        <w:rPr/>
        <w:t>and</w:t>
      </w:r>
      <w:r>
        <w:rPr>
          <w:spacing w:val="-7"/>
        </w:rPr>
        <w:t> </w:t>
      </w:r>
      <w:r>
        <w:rPr/>
        <w:t>107</w:t>
      </w:r>
      <w:r>
        <w:rPr>
          <w:spacing w:val="-7"/>
        </w:rPr>
        <w:t> </w:t>
      </w:r>
      <w:r>
        <w:rPr/>
        <w:t>of</w:t>
      </w:r>
      <w:r>
        <w:rPr>
          <w:spacing w:val="-6"/>
        </w:rPr>
        <w:t> </w:t>
      </w:r>
      <w:r>
        <w:rPr/>
        <w:t>Village</w:t>
      </w:r>
      <w:r>
        <w:rPr>
          <w:spacing w:val="-8"/>
        </w:rPr>
        <w:t> </w:t>
      </w:r>
      <w:r>
        <w:rPr/>
        <w:t>Hariyali,</w:t>
      </w:r>
      <w:r>
        <w:rPr>
          <w:spacing w:val="-8"/>
        </w:rPr>
        <w:t> </w:t>
      </w:r>
      <w:r>
        <w:rPr/>
        <w:t>LBS</w:t>
      </w:r>
      <w:r>
        <w:rPr>
          <w:spacing w:val="-7"/>
        </w:rPr>
        <w:t> </w:t>
      </w:r>
      <w:r>
        <w:rPr/>
        <w:t>Marg,</w:t>
      </w:r>
      <w:r>
        <w:rPr>
          <w:spacing w:val="-7"/>
        </w:rPr>
        <w:t> </w:t>
      </w:r>
      <w:r>
        <w:rPr/>
        <w:t>Vikhroli</w:t>
      </w:r>
      <w:r>
        <w:rPr>
          <w:spacing w:val="-8"/>
        </w:rPr>
        <w:t> </w:t>
      </w:r>
      <w:r>
        <w:rPr/>
        <w:t>(W), Mumbai,</w:t>
      </w:r>
      <w:r>
        <w:rPr>
          <w:spacing w:val="-25"/>
        </w:rPr>
        <w:t> </w:t>
      </w:r>
      <w:r>
        <w:rPr/>
        <w:t>Maharashtra.</w:t>
      </w:r>
      <w:r>
        <w:rPr>
          <w:spacing w:val="-22"/>
        </w:rPr>
        <w:t> </w:t>
      </w:r>
      <w:r>
        <w:rPr/>
        <w:t>Additionally,</w:t>
      </w:r>
      <w:r>
        <w:rPr>
          <w:spacing w:val="-24"/>
        </w:rPr>
        <w:t> </w:t>
      </w:r>
      <w:r>
        <w:rPr/>
        <w:t>it</w:t>
      </w:r>
      <w:r>
        <w:rPr>
          <w:spacing w:val="-23"/>
        </w:rPr>
        <w:t> </w:t>
      </w:r>
      <w:r>
        <w:rPr/>
        <w:t>is</w:t>
      </w:r>
      <w:r>
        <w:rPr>
          <w:spacing w:val="-23"/>
        </w:rPr>
        <w:t> </w:t>
      </w:r>
      <w:r>
        <w:rPr/>
        <w:t>understood</w:t>
      </w:r>
      <w:r>
        <w:rPr>
          <w:spacing w:val="-23"/>
        </w:rPr>
        <w:t> </w:t>
      </w:r>
      <w:r>
        <w:rPr/>
        <w:t>that</w:t>
      </w:r>
      <w:r>
        <w:rPr>
          <w:spacing w:val="-24"/>
        </w:rPr>
        <w:t> </w:t>
      </w:r>
      <w:r>
        <w:rPr/>
        <w:t>the</w:t>
      </w:r>
      <w:r>
        <w:rPr>
          <w:spacing w:val="-23"/>
        </w:rPr>
        <w:t> </w:t>
      </w:r>
      <w:r>
        <w:rPr/>
        <w:t>subject</w:t>
      </w:r>
      <w:r>
        <w:rPr>
          <w:spacing w:val="-24"/>
        </w:rPr>
        <w:t> </w:t>
      </w:r>
      <w:r>
        <w:rPr/>
        <w:t>property</w:t>
      </w:r>
      <w:r>
        <w:rPr>
          <w:spacing w:val="-22"/>
        </w:rPr>
        <w:t> </w:t>
      </w:r>
      <w:r>
        <w:rPr/>
        <w:t>is</w:t>
      </w:r>
      <w:r>
        <w:rPr>
          <w:spacing w:val="-24"/>
        </w:rPr>
        <w:t> </w:t>
      </w:r>
      <w:r>
        <w:rPr/>
        <w:t>freehold</w:t>
      </w:r>
      <w:r>
        <w:rPr>
          <w:spacing w:val="-23"/>
        </w:rPr>
        <w:t> </w:t>
      </w:r>
      <w:r>
        <w:rPr/>
        <w:t>in</w:t>
      </w:r>
      <w:r>
        <w:rPr>
          <w:spacing w:val="-25"/>
        </w:rPr>
        <w:t> </w:t>
      </w:r>
      <w:r>
        <w:rPr/>
        <w:t>nature.</w:t>
      </w:r>
    </w:p>
    <w:p>
      <w:pPr>
        <w:pStyle w:val="BodyText"/>
        <w:rPr>
          <w:sz w:val="21"/>
        </w:rPr>
      </w:pPr>
    </w:p>
    <w:p>
      <w:pPr>
        <w:pStyle w:val="BodyText"/>
        <w:spacing w:line="321" w:lineRule="auto" w:before="1"/>
        <w:ind w:left="666" w:right="115"/>
        <w:jc w:val="both"/>
      </w:pPr>
      <w:r>
        <w:rPr/>
        <w:t>Further,</w:t>
      </w:r>
      <w:r>
        <w:rPr>
          <w:spacing w:val="-26"/>
        </w:rPr>
        <w:t> </w:t>
      </w:r>
      <w:r>
        <w:rPr/>
        <w:t>this</w:t>
      </w:r>
      <w:r>
        <w:rPr>
          <w:spacing w:val="-25"/>
        </w:rPr>
        <w:t> </w:t>
      </w:r>
      <w:r>
        <w:rPr/>
        <w:t>valuation</w:t>
      </w:r>
      <w:r>
        <w:rPr>
          <w:spacing w:val="-27"/>
        </w:rPr>
        <w:t> </w:t>
      </w:r>
      <w:r>
        <w:rPr/>
        <w:t>exercise</w:t>
      </w:r>
      <w:r>
        <w:rPr>
          <w:spacing w:val="-26"/>
        </w:rPr>
        <w:t> </w:t>
      </w:r>
      <w:r>
        <w:rPr/>
        <w:t>is</w:t>
      </w:r>
      <w:r>
        <w:rPr>
          <w:spacing w:val="-26"/>
        </w:rPr>
        <w:t> </w:t>
      </w:r>
      <w:r>
        <w:rPr/>
        <w:t>based</w:t>
      </w:r>
      <w:r>
        <w:rPr>
          <w:spacing w:val="-25"/>
        </w:rPr>
        <w:t> </w:t>
      </w:r>
      <w:r>
        <w:rPr/>
        <w:t>on</w:t>
      </w:r>
      <w:r>
        <w:rPr>
          <w:spacing w:val="-27"/>
        </w:rPr>
        <w:t> </w:t>
      </w:r>
      <w:r>
        <w:rPr/>
        <w:t>the</w:t>
      </w:r>
      <w:r>
        <w:rPr>
          <w:spacing w:val="-27"/>
        </w:rPr>
        <w:t> </w:t>
      </w:r>
      <w:r>
        <w:rPr/>
        <w:t>premise</w:t>
      </w:r>
      <w:r>
        <w:rPr>
          <w:spacing w:val="-26"/>
        </w:rPr>
        <w:t> </w:t>
      </w:r>
      <w:r>
        <w:rPr/>
        <w:t>that</w:t>
      </w:r>
      <w:r>
        <w:rPr>
          <w:spacing w:val="-26"/>
        </w:rPr>
        <w:t> </w:t>
      </w:r>
      <w:r>
        <w:rPr/>
        <w:t>the</w:t>
      </w:r>
      <w:r>
        <w:rPr>
          <w:spacing w:val="-27"/>
        </w:rPr>
        <w:t> </w:t>
      </w:r>
      <w:r>
        <w:rPr/>
        <w:t>subject</w:t>
      </w:r>
      <w:r>
        <w:rPr>
          <w:spacing w:val="-27"/>
        </w:rPr>
        <w:t> </w:t>
      </w:r>
      <w:r>
        <w:rPr/>
        <w:t>property</w:t>
      </w:r>
      <w:r>
        <w:rPr>
          <w:spacing w:val="-25"/>
        </w:rPr>
        <w:t> </w:t>
      </w:r>
      <w:r>
        <w:rPr/>
        <w:t>has</w:t>
      </w:r>
      <w:r>
        <w:rPr>
          <w:spacing w:val="-25"/>
        </w:rPr>
        <w:t> </w:t>
      </w:r>
      <w:r>
        <w:rPr/>
        <w:t>a</w:t>
      </w:r>
      <w:r>
        <w:rPr>
          <w:spacing w:val="-26"/>
        </w:rPr>
        <w:t> </w:t>
      </w:r>
      <w:r>
        <w:rPr/>
        <w:t>clear</w:t>
      </w:r>
      <w:r>
        <w:rPr>
          <w:spacing w:val="-27"/>
        </w:rPr>
        <w:t> </w:t>
      </w:r>
      <w:r>
        <w:rPr/>
        <w:t>title</w:t>
      </w:r>
      <w:r>
        <w:rPr>
          <w:spacing w:val="-26"/>
        </w:rPr>
        <w:t> </w:t>
      </w:r>
      <w:r>
        <w:rPr/>
        <w:t>and</w:t>
      </w:r>
      <w:r>
        <w:rPr>
          <w:spacing w:val="-26"/>
        </w:rPr>
        <w:t> </w:t>
      </w:r>
      <w:r>
        <w:rPr/>
        <w:t>is free</w:t>
      </w:r>
      <w:r>
        <w:rPr>
          <w:spacing w:val="-31"/>
        </w:rPr>
        <w:t> </w:t>
      </w:r>
      <w:r>
        <w:rPr/>
        <w:t>from</w:t>
      </w:r>
      <w:r>
        <w:rPr>
          <w:spacing w:val="-31"/>
        </w:rPr>
        <w:t> </w:t>
      </w:r>
      <w:r>
        <w:rPr/>
        <w:t>any</w:t>
      </w:r>
      <w:r>
        <w:rPr>
          <w:spacing w:val="-30"/>
        </w:rPr>
        <w:t> </w:t>
      </w:r>
      <w:r>
        <w:rPr/>
        <w:t>encumbrances,</w:t>
      </w:r>
      <w:r>
        <w:rPr>
          <w:spacing w:val="-31"/>
        </w:rPr>
        <w:t> </w:t>
      </w:r>
      <w:r>
        <w:rPr/>
        <w:t>disputes,</w:t>
      </w:r>
      <w:r>
        <w:rPr>
          <w:spacing w:val="-30"/>
        </w:rPr>
        <w:t> </w:t>
      </w:r>
      <w:r>
        <w:rPr/>
        <w:t>claims,</w:t>
      </w:r>
      <w:r>
        <w:rPr>
          <w:spacing w:val="-31"/>
        </w:rPr>
        <w:t> </w:t>
      </w:r>
      <w:r>
        <w:rPr/>
        <w:t>etc.</w:t>
      </w:r>
      <w:r>
        <w:rPr>
          <w:spacing w:val="-29"/>
        </w:rPr>
        <w:t> </w:t>
      </w:r>
      <w:r>
        <w:rPr/>
        <w:t>The</w:t>
      </w:r>
      <w:r>
        <w:rPr>
          <w:spacing w:val="-30"/>
        </w:rPr>
        <w:t> </w:t>
      </w:r>
      <w:r>
        <w:rPr/>
        <w:t>Consultants</w:t>
      </w:r>
      <w:r>
        <w:rPr>
          <w:spacing w:val="-30"/>
        </w:rPr>
        <w:t> </w:t>
      </w:r>
      <w:r>
        <w:rPr/>
        <w:t>have</w:t>
      </w:r>
      <w:r>
        <w:rPr>
          <w:spacing w:val="-31"/>
        </w:rPr>
        <w:t> </w:t>
      </w:r>
      <w:r>
        <w:rPr/>
        <w:t>not</w:t>
      </w:r>
      <w:r>
        <w:rPr>
          <w:spacing w:val="-30"/>
        </w:rPr>
        <w:t> </w:t>
      </w:r>
      <w:r>
        <w:rPr/>
        <w:t>made</w:t>
      </w:r>
      <w:r>
        <w:rPr>
          <w:spacing w:val="-30"/>
        </w:rPr>
        <w:t> </w:t>
      </w:r>
      <w:r>
        <w:rPr/>
        <w:t>any</w:t>
      </w:r>
      <w:r>
        <w:rPr>
          <w:spacing w:val="-30"/>
        </w:rPr>
        <w:t> </w:t>
      </w:r>
      <w:r>
        <w:rPr/>
        <w:t>enquiries</w:t>
      </w:r>
      <w:r>
        <w:rPr>
          <w:spacing w:val="-30"/>
        </w:rPr>
        <w:t> </w:t>
      </w:r>
      <w:r>
        <w:rPr/>
        <w:t>in</w:t>
      </w:r>
      <w:r>
        <w:rPr>
          <w:spacing w:val="-31"/>
        </w:rPr>
        <w:t> </w:t>
      </w:r>
      <w:r>
        <w:rPr/>
        <w:t>this regard with the relevant legal/ statutory</w:t>
      </w:r>
      <w:r>
        <w:rPr>
          <w:spacing w:val="-38"/>
        </w:rPr>
        <w:t> </w:t>
      </w:r>
      <w:r>
        <w:rPr/>
        <w:t>authorities.</w:t>
      </w:r>
    </w:p>
    <w:p>
      <w:pPr>
        <w:pStyle w:val="BodyText"/>
        <w:spacing w:before="7"/>
        <w:rPr>
          <w:sz w:val="20"/>
        </w:rPr>
      </w:pPr>
    </w:p>
    <w:p>
      <w:pPr>
        <w:pStyle w:val="ListParagraph"/>
        <w:numPr>
          <w:ilvl w:val="2"/>
          <w:numId w:val="14"/>
        </w:numPr>
        <w:tabs>
          <w:tab w:pos="821" w:val="left" w:leader="none"/>
        </w:tabs>
        <w:spacing w:line="240" w:lineRule="auto" w:before="1" w:after="0"/>
        <w:ind w:left="820" w:right="0" w:hanging="721"/>
        <w:jc w:val="left"/>
        <w:rPr>
          <w:sz w:val="22"/>
        </w:rPr>
      </w:pPr>
      <w:bookmarkStart w:name="_bookmark104" w:id="204"/>
      <w:bookmarkEnd w:id="204"/>
      <w:r>
        <w:rPr/>
      </w:r>
      <w:bookmarkStart w:name="_bookmark104" w:id="205"/>
      <w:bookmarkEnd w:id="205"/>
      <w:r>
        <w:rPr>
          <w:color w:val="1F664D"/>
          <w:w w:val="105"/>
          <w:sz w:val="22"/>
        </w:rPr>
        <w:t>Town</w:t>
      </w:r>
      <w:r>
        <w:rPr>
          <w:color w:val="1F664D"/>
          <w:spacing w:val="-4"/>
          <w:w w:val="105"/>
          <w:sz w:val="22"/>
        </w:rPr>
        <w:t> </w:t>
      </w:r>
      <w:r>
        <w:rPr>
          <w:color w:val="1F664D"/>
          <w:w w:val="105"/>
          <w:sz w:val="22"/>
        </w:rPr>
        <w:t>Planning</w:t>
      </w:r>
    </w:p>
    <w:p>
      <w:pPr>
        <w:pStyle w:val="BodyText"/>
        <w:spacing w:before="2"/>
        <w:rPr>
          <w:sz w:val="28"/>
        </w:rPr>
      </w:pPr>
    </w:p>
    <w:p>
      <w:pPr>
        <w:pStyle w:val="BodyText"/>
        <w:tabs>
          <w:tab w:pos="2548" w:val="left" w:leader="none"/>
        </w:tabs>
        <w:spacing w:line="321" w:lineRule="auto"/>
        <w:ind w:left="2548" w:right="140" w:hanging="1784"/>
        <w:jc w:val="both"/>
      </w:pPr>
      <w:r>
        <w:rPr/>
        <w:t>Zoning</w:t>
        <w:tab/>
        <w:t>As</w:t>
      </w:r>
      <w:r>
        <w:rPr>
          <w:spacing w:val="-11"/>
        </w:rPr>
        <w:t> </w:t>
      </w:r>
      <w:r>
        <w:rPr/>
        <w:t>per</w:t>
      </w:r>
      <w:r>
        <w:rPr>
          <w:spacing w:val="-10"/>
        </w:rPr>
        <w:t> </w:t>
      </w:r>
      <w:r>
        <w:rPr/>
        <w:t>the</w:t>
      </w:r>
      <w:r>
        <w:rPr>
          <w:spacing w:val="-10"/>
        </w:rPr>
        <w:t> </w:t>
      </w:r>
      <w:r>
        <w:rPr/>
        <w:t>Occupancy</w:t>
      </w:r>
      <w:r>
        <w:rPr>
          <w:spacing w:val="-11"/>
        </w:rPr>
        <w:t> </w:t>
      </w:r>
      <w:r>
        <w:rPr/>
        <w:t>Certificates</w:t>
      </w:r>
      <w:r>
        <w:rPr>
          <w:spacing w:val="-9"/>
        </w:rPr>
        <w:t> </w:t>
      </w:r>
      <w:r>
        <w:rPr/>
        <w:t>provided</w:t>
      </w:r>
      <w:r>
        <w:rPr>
          <w:spacing w:val="-12"/>
        </w:rPr>
        <w:t> </w:t>
      </w:r>
      <w:r>
        <w:rPr/>
        <w:t>by</w:t>
      </w:r>
      <w:r>
        <w:rPr>
          <w:spacing w:val="-9"/>
        </w:rPr>
        <w:t> </w:t>
      </w:r>
      <w:r>
        <w:rPr/>
        <w:t>the</w:t>
      </w:r>
      <w:r>
        <w:rPr>
          <w:spacing w:val="-10"/>
        </w:rPr>
        <w:t> </w:t>
      </w:r>
      <w:r>
        <w:rPr/>
        <w:t>Client,</w:t>
      </w:r>
      <w:r>
        <w:rPr>
          <w:spacing w:val="-10"/>
        </w:rPr>
        <w:t> </w:t>
      </w:r>
      <w:r>
        <w:rPr/>
        <w:t>we</w:t>
      </w:r>
      <w:r>
        <w:rPr>
          <w:spacing w:val="-10"/>
        </w:rPr>
        <w:t> </w:t>
      </w:r>
      <w:r>
        <w:rPr/>
        <w:t>understand</w:t>
      </w:r>
      <w:r>
        <w:rPr>
          <w:spacing w:val="-11"/>
        </w:rPr>
        <w:t> </w:t>
      </w:r>
      <w:r>
        <w:rPr/>
        <w:t>that</w:t>
      </w:r>
      <w:r>
        <w:rPr>
          <w:spacing w:val="-10"/>
        </w:rPr>
        <w:t> </w:t>
      </w:r>
      <w:r>
        <w:rPr/>
        <w:t>the subject</w:t>
      </w:r>
      <w:r>
        <w:rPr>
          <w:spacing w:val="-22"/>
        </w:rPr>
        <w:t> </w:t>
      </w:r>
      <w:r>
        <w:rPr/>
        <w:t>property</w:t>
      </w:r>
      <w:r>
        <w:rPr>
          <w:spacing w:val="-21"/>
        </w:rPr>
        <w:t> </w:t>
      </w:r>
      <w:r>
        <w:rPr/>
        <w:t>is</w:t>
      </w:r>
      <w:r>
        <w:rPr>
          <w:spacing w:val="-20"/>
        </w:rPr>
        <w:t> </w:t>
      </w:r>
      <w:r>
        <w:rPr/>
        <w:t>zoned</w:t>
      </w:r>
      <w:r>
        <w:rPr>
          <w:spacing w:val="-22"/>
        </w:rPr>
        <w:t> </w:t>
      </w:r>
      <w:r>
        <w:rPr/>
        <w:t>for</w:t>
      </w:r>
      <w:r>
        <w:rPr>
          <w:spacing w:val="-22"/>
        </w:rPr>
        <w:t> </w:t>
      </w:r>
      <w:r>
        <w:rPr/>
        <w:t>IT</w:t>
      </w:r>
      <w:r>
        <w:rPr>
          <w:spacing w:val="-19"/>
        </w:rPr>
        <w:t> </w:t>
      </w:r>
      <w:r>
        <w:rPr/>
        <w:t>(Non-SEZ)</w:t>
      </w:r>
      <w:r>
        <w:rPr>
          <w:spacing w:val="-21"/>
        </w:rPr>
        <w:t> </w:t>
      </w:r>
      <w:r>
        <w:rPr/>
        <w:t>use.</w:t>
      </w:r>
      <w:r>
        <w:rPr>
          <w:spacing w:val="-22"/>
        </w:rPr>
        <w:t> </w:t>
      </w:r>
      <w:r>
        <w:rPr/>
        <w:t>As</w:t>
      </w:r>
      <w:r>
        <w:rPr>
          <w:spacing w:val="-22"/>
        </w:rPr>
        <w:t> </w:t>
      </w:r>
      <w:r>
        <w:rPr/>
        <w:t>per</w:t>
      </w:r>
      <w:r>
        <w:rPr>
          <w:spacing w:val="-22"/>
        </w:rPr>
        <w:t> </w:t>
      </w:r>
      <w:r>
        <w:rPr/>
        <w:t>the</w:t>
      </w:r>
      <w:r>
        <w:rPr>
          <w:spacing w:val="-23"/>
        </w:rPr>
        <w:t> </w:t>
      </w:r>
      <w:r>
        <w:rPr/>
        <w:t>Occupancy</w:t>
      </w:r>
      <w:r>
        <w:rPr>
          <w:spacing w:val="-22"/>
        </w:rPr>
        <w:t> </w:t>
      </w:r>
      <w:r>
        <w:rPr/>
        <w:t>Certificate,</w:t>
      </w:r>
      <w:r>
        <w:rPr>
          <w:spacing w:val="-21"/>
        </w:rPr>
        <w:t> </w:t>
      </w:r>
      <w:r>
        <w:rPr/>
        <w:t>it is located within the jurisdiction of Municipal Corporation of Greater Mumbai (MCGM). The same has been considered for this valuation. The Consultants have made</w:t>
      </w:r>
      <w:r>
        <w:rPr>
          <w:spacing w:val="-11"/>
        </w:rPr>
        <w:t> </w:t>
      </w:r>
      <w:r>
        <w:rPr/>
        <w:t>no</w:t>
      </w:r>
      <w:r>
        <w:rPr>
          <w:spacing w:val="-11"/>
        </w:rPr>
        <w:t> </w:t>
      </w:r>
      <w:r>
        <w:rPr/>
        <w:t>further</w:t>
      </w:r>
      <w:r>
        <w:rPr>
          <w:spacing w:val="-11"/>
        </w:rPr>
        <w:t> </w:t>
      </w:r>
      <w:r>
        <w:rPr/>
        <w:t>enquiries</w:t>
      </w:r>
      <w:r>
        <w:rPr>
          <w:spacing w:val="-10"/>
        </w:rPr>
        <w:t> </w:t>
      </w:r>
      <w:r>
        <w:rPr/>
        <w:t>with</w:t>
      </w:r>
      <w:r>
        <w:rPr>
          <w:spacing w:val="-11"/>
        </w:rPr>
        <w:t> </w:t>
      </w:r>
      <w:r>
        <w:rPr/>
        <w:t>the</w:t>
      </w:r>
      <w:r>
        <w:rPr>
          <w:spacing w:val="-11"/>
        </w:rPr>
        <w:t> </w:t>
      </w:r>
      <w:r>
        <w:rPr/>
        <w:t>local</w:t>
      </w:r>
      <w:r>
        <w:rPr>
          <w:spacing w:val="-12"/>
        </w:rPr>
        <w:t> </w:t>
      </w:r>
      <w:r>
        <w:rPr/>
        <w:t>authorities</w:t>
      </w:r>
      <w:r>
        <w:rPr>
          <w:spacing w:val="-10"/>
        </w:rPr>
        <w:t> </w:t>
      </w:r>
      <w:r>
        <w:rPr/>
        <w:t>in</w:t>
      </w:r>
      <w:r>
        <w:rPr>
          <w:spacing w:val="-12"/>
        </w:rPr>
        <w:t> </w:t>
      </w:r>
      <w:r>
        <w:rPr/>
        <w:t>this</w:t>
      </w:r>
      <w:r>
        <w:rPr>
          <w:spacing w:val="-10"/>
        </w:rPr>
        <w:t> </w:t>
      </w:r>
      <w:r>
        <w:rPr/>
        <w:t>regard.</w:t>
      </w:r>
    </w:p>
    <w:p>
      <w:pPr>
        <w:pStyle w:val="BodyText"/>
        <w:spacing w:line="321" w:lineRule="auto" w:before="123"/>
        <w:ind w:left="2548" w:right="139"/>
        <w:jc w:val="both"/>
      </w:pPr>
      <w:r>
        <w:rPr/>
        <w:t>The</w:t>
      </w:r>
      <w:r>
        <w:rPr>
          <w:spacing w:val="-9"/>
        </w:rPr>
        <w:t> </w:t>
      </w:r>
      <w:r>
        <w:rPr/>
        <w:t>permissible</w:t>
      </w:r>
      <w:r>
        <w:rPr>
          <w:spacing w:val="-8"/>
        </w:rPr>
        <w:t> </w:t>
      </w:r>
      <w:r>
        <w:rPr/>
        <w:t>land</w:t>
      </w:r>
      <w:r>
        <w:rPr>
          <w:spacing w:val="-6"/>
        </w:rPr>
        <w:t> </w:t>
      </w:r>
      <w:r>
        <w:rPr/>
        <w:t>use</w:t>
      </w:r>
      <w:r>
        <w:rPr>
          <w:spacing w:val="-10"/>
        </w:rPr>
        <w:t> </w:t>
      </w:r>
      <w:r>
        <w:rPr/>
        <w:t>adopted</w:t>
      </w:r>
      <w:r>
        <w:rPr>
          <w:spacing w:val="-8"/>
        </w:rPr>
        <w:t> </w:t>
      </w:r>
      <w:r>
        <w:rPr/>
        <w:t>by</w:t>
      </w:r>
      <w:r>
        <w:rPr>
          <w:spacing w:val="-8"/>
        </w:rPr>
        <w:t> </w:t>
      </w:r>
      <w:r>
        <w:rPr/>
        <w:t>the</w:t>
      </w:r>
      <w:r>
        <w:rPr>
          <w:spacing w:val="-7"/>
        </w:rPr>
        <w:t> </w:t>
      </w:r>
      <w:r>
        <w:rPr/>
        <w:t>Consultants</w:t>
      </w:r>
      <w:r>
        <w:rPr>
          <w:spacing w:val="-7"/>
        </w:rPr>
        <w:t> </w:t>
      </w:r>
      <w:r>
        <w:rPr/>
        <w:t>for</w:t>
      </w:r>
      <w:r>
        <w:rPr>
          <w:spacing w:val="-7"/>
        </w:rPr>
        <w:t> </w:t>
      </w:r>
      <w:r>
        <w:rPr/>
        <w:t>the</w:t>
      </w:r>
      <w:r>
        <w:rPr>
          <w:spacing w:val="-3"/>
        </w:rPr>
        <w:t> </w:t>
      </w:r>
      <w:r>
        <w:rPr/>
        <w:t>subject</w:t>
      </w:r>
      <w:r>
        <w:rPr>
          <w:spacing w:val="-7"/>
        </w:rPr>
        <w:t> </w:t>
      </w:r>
      <w:r>
        <w:rPr/>
        <w:t>property</w:t>
      </w:r>
      <w:r>
        <w:rPr>
          <w:spacing w:val="-6"/>
        </w:rPr>
        <w:t> </w:t>
      </w:r>
      <w:r>
        <w:rPr/>
        <w:t>has been</w:t>
      </w:r>
      <w:r>
        <w:rPr>
          <w:spacing w:val="-17"/>
        </w:rPr>
        <w:t> </w:t>
      </w:r>
      <w:r>
        <w:rPr/>
        <w:t>based</w:t>
      </w:r>
      <w:r>
        <w:rPr>
          <w:spacing w:val="-15"/>
        </w:rPr>
        <w:t> </w:t>
      </w:r>
      <w:r>
        <w:rPr/>
        <w:t>on</w:t>
      </w:r>
      <w:r>
        <w:rPr>
          <w:spacing w:val="-16"/>
        </w:rPr>
        <w:t> </w:t>
      </w:r>
      <w:r>
        <w:rPr/>
        <w:t>information/review</w:t>
      </w:r>
      <w:r>
        <w:rPr>
          <w:spacing w:val="-15"/>
        </w:rPr>
        <w:t> </w:t>
      </w:r>
      <w:r>
        <w:rPr/>
        <w:t>of</w:t>
      </w:r>
      <w:r>
        <w:rPr>
          <w:spacing w:val="-16"/>
        </w:rPr>
        <w:t> </w:t>
      </w:r>
      <w:r>
        <w:rPr/>
        <w:t>various</w:t>
      </w:r>
      <w:r>
        <w:rPr>
          <w:spacing w:val="-15"/>
        </w:rPr>
        <w:t> </w:t>
      </w:r>
      <w:r>
        <w:rPr/>
        <w:t>documents</w:t>
      </w:r>
      <w:r>
        <w:rPr>
          <w:spacing w:val="-17"/>
        </w:rPr>
        <w:t> </w:t>
      </w:r>
      <w:r>
        <w:rPr/>
        <w:t>provided</w:t>
      </w:r>
      <w:r>
        <w:rPr>
          <w:spacing w:val="-17"/>
        </w:rPr>
        <w:t> </w:t>
      </w:r>
      <w:r>
        <w:rPr/>
        <w:t>by</w:t>
      </w:r>
      <w:r>
        <w:rPr>
          <w:spacing w:val="-17"/>
        </w:rPr>
        <w:t> </w:t>
      </w:r>
      <w:r>
        <w:rPr/>
        <w:t>the</w:t>
      </w:r>
      <w:r>
        <w:rPr>
          <w:spacing w:val="-17"/>
        </w:rPr>
        <w:t> </w:t>
      </w:r>
      <w:r>
        <w:rPr/>
        <w:t>Client.</w:t>
      </w:r>
      <w:r>
        <w:rPr>
          <w:spacing w:val="-16"/>
        </w:rPr>
        <w:t> </w:t>
      </w:r>
      <w:r>
        <w:rPr/>
        <w:t>It must</w:t>
      </w:r>
      <w:r>
        <w:rPr>
          <w:spacing w:val="-43"/>
        </w:rPr>
        <w:t> </w:t>
      </w:r>
      <w:r>
        <w:rPr/>
        <w:t>be</w:t>
      </w:r>
      <w:r>
        <w:rPr>
          <w:spacing w:val="-42"/>
        </w:rPr>
        <w:t> </w:t>
      </w:r>
      <w:r>
        <w:rPr/>
        <w:t>noted</w:t>
      </w:r>
      <w:r>
        <w:rPr>
          <w:spacing w:val="-42"/>
        </w:rPr>
        <w:t> </w:t>
      </w:r>
      <w:r>
        <w:rPr/>
        <w:t>that</w:t>
      </w:r>
      <w:r>
        <w:rPr>
          <w:spacing w:val="-42"/>
        </w:rPr>
        <w:t> </w:t>
      </w:r>
      <w:r>
        <w:rPr/>
        <w:t>all</w:t>
      </w:r>
      <w:r>
        <w:rPr>
          <w:spacing w:val="-43"/>
        </w:rPr>
        <w:t> </w:t>
      </w:r>
      <w:r>
        <w:rPr/>
        <w:t>factual</w:t>
      </w:r>
      <w:r>
        <w:rPr>
          <w:spacing w:val="-42"/>
        </w:rPr>
        <w:t> </w:t>
      </w:r>
      <w:r>
        <w:rPr/>
        <w:t>data</w:t>
      </w:r>
      <w:r>
        <w:rPr>
          <w:spacing w:val="-42"/>
        </w:rPr>
        <w:t> </w:t>
      </w:r>
      <w:r>
        <w:rPr/>
        <w:t>viz.</w:t>
      </w:r>
      <w:r>
        <w:rPr>
          <w:spacing w:val="-43"/>
        </w:rPr>
        <w:t> </w:t>
      </w:r>
      <w:r>
        <w:rPr/>
        <w:t>permissible</w:t>
      </w:r>
      <w:r>
        <w:rPr>
          <w:spacing w:val="-43"/>
        </w:rPr>
        <w:t> </w:t>
      </w:r>
      <w:r>
        <w:rPr/>
        <w:t>development</w:t>
      </w:r>
      <w:r>
        <w:rPr>
          <w:spacing w:val="-42"/>
        </w:rPr>
        <w:t> </w:t>
      </w:r>
      <w:r>
        <w:rPr/>
        <w:t>control</w:t>
      </w:r>
      <w:r>
        <w:rPr>
          <w:spacing w:val="-41"/>
        </w:rPr>
        <w:t> </w:t>
      </w:r>
      <w:r>
        <w:rPr/>
        <w:t>regulations, land</w:t>
      </w:r>
      <w:r>
        <w:rPr>
          <w:spacing w:val="-29"/>
        </w:rPr>
        <w:t> </w:t>
      </w:r>
      <w:r>
        <w:rPr/>
        <w:t>area</w:t>
      </w:r>
      <w:r>
        <w:rPr>
          <w:spacing w:val="-30"/>
        </w:rPr>
        <w:t> </w:t>
      </w:r>
      <w:r>
        <w:rPr/>
        <w:t>and</w:t>
      </w:r>
      <w:r>
        <w:rPr>
          <w:spacing w:val="-28"/>
        </w:rPr>
        <w:t> </w:t>
      </w:r>
      <w:r>
        <w:rPr/>
        <w:t>achievable</w:t>
      </w:r>
      <w:r>
        <w:rPr>
          <w:spacing w:val="-30"/>
        </w:rPr>
        <w:t> </w:t>
      </w:r>
      <w:r>
        <w:rPr/>
        <w:t>FSI</w:t>
      </w:r>
      <w:r>
        <w:rPr>
          <w:spacing w:val="-29"/>
        </w:rPr>
        <w:t> </w:t>
      </w:r>
      <w:r>
        <w:rPr/>
        <w:t>have</w:t>
      </w:r>
      <w:r>
        <w:rPr>
          <w:spacing w:val="-30"/>
        </w:rPr>
        <w:t> </w:t>
      </w:r>
      <w:r>
        <w:rPr/>
        <w:t>also</w:t>
      </w:r>
      <w:r>
        <w:rPr>
          <w:spacing w:val="-29"/>
        </w:rPr>
        <w:t> </w:t>
      </w:r>
      <w:r>
        <w:rPr/>
        <w:t>been</w:t>
      </w:r>
      <w:r>
        <w:rPr>
          <w:spacing w:val="-31"/>
        </w:rPr>
        <w:t> </w:t>
      </w:r>
      <w:r>
        <w:rPr/>
        <w:t>based</w:t>
      </w:r>
      <w:r>
        <w:rPr>
          <w:spacing w:val="-30"/>
        </w:rPr>
        <w:t> </w:t>
      </w:r>
      <w:r>
        <w:rPr/>
        <w:t>on</w:t>
      </w:r>
      <w:r>
        <w:rPr>
          <w:spacing w:val="-30"/>
        </w:rPr>
        <w:t> </w:t>
      </w:r>
      <w:r>
        <w:rPr/>
        <w:t>information/review</w:t>
      </w:r>
      <w:r>
        <w:rPr>
          <w:spacing w:val="-28"/>
        </w:rPr>
        <w:t> </w:t>
      </w:r>
      <w:r>
        <w:rPr/>
        <w:t>of</w:t>
      </w:r>
      <w:r>
        <w:rPr>
          <w:spacing w:val="-29"/>
        </w:rPr>
        <w:t> </w:t>
      </w:r>
      <w:r>
        <w:rPr/>
        <w:t>various documents</w:t>
      </w:r>
      <w:r>
        <w:rPr>
          <w:spacing w:val="-25"/>
        </w:rPr>
        <w:t> </w:t>
      </w:r>
      <w:r>
        <w:rPr/>
        <w:t>(such</w:t>
      </w:r>
      <w:r>
        <w:rPr>
          <w:spacing w:val="-24"/>
        </w:rPr>
        <w:t> </w:t>
      </w:r>
      <w:r>
        <w:rPr/>
        <w:t>as</w:t>
      </w:r>
      <w:r>
        <w:rPr>
          <w:spacing w:val="-23"/>
        </w:rPr>
        <w:t> </w:t>
      </w:r>
      <w:r>
        <w:rPr/>
        <w:t>title</w:t>
      </w:r>
      <w:r>
        <w:rPr>
          <w:spacing w:val="-24"/>
        </w:rPr>
        <w:t> </w:t>
      </w:r>
      <w:r>
        <w:rPr/>
        <w:t>deed,</w:t>
      </w:r>
      <w:r>
        <w:rPr>
          <w:spacing w:val="-25"/>
        </w:rPr>
        <w:t> </w:t>
      </w:r>
      <w:r>
        <w:rPr/>
        <w:t>plan</w:t>
      </w:r>
      <w:r>
        <w:rPr>
          <w:spacing w:val="-24"/>
        </w:rPr>
        <w:t> </w:t>
      </w:r>
      <w:r>
        <w:rPr/>
        <w:t>sanction</w:t>
      </w:r>
      <w:r>
        <w:rPr>
          <w:spacing w:val="-24"/>
        </w:rPr>
        <w:t> </w:t>
      </w:r>
      <w:r>
        <w:rPr/>
        <w:t>letter,</w:t>
      </w:r>
      <w:r>
        <w:rPr>
          <w:spacing w:val="-24"/>
        </w:rPr>
        <w:t> </w:t>
      </w:r>
      <w:r>
        <w:rPr/>
        <w:t>site</w:t>
      </w:r>
      <w:r>
        <w:rPr>
          <w:spacing w:val="-25"/>
        </w:rPr>
        <w:t> </w:t>
      </w:r>
      <w:r>
        <w:rPr/>
        <w:t>plan,</w:t>
      </w:r>
      <w:r>
        <w:rPr>
          <w:spacing w:val="-24"/>
        </w:rPr>
        <w:t> </w:t>
      </w:r>
      <w:r>
        <w:rPr/>
        <w:t>etc.)</w:t>
      </w:r>
      <w:r>
        <w:rPr>
          <w:spacing w:val="-24"/>
        </w:rPr>
        <w:t> </w:t>
      </w:r>
      <w:r>
        <w:rPr/>
        <w:t>provided</w:t>
      </w:r>
      <w:r>
        <w:rPr>
          <w:spacing w:val="-24"/>
        </w:rPr>
        <w:t> </w:t>
      </w:r>
      <w:r>
        <w:rPr/>
        <w:t>by</w:t>
      </w:r>
      <w:r>
        <w:rPr>
          <w:spacing w:val="-24"/>
        </w:rPr>
        <w:t> </w:t>
      </w:r>
      <w:r>
        <w:rPr/>
        <w:t>the Client or assumed based on building regulations, and no physical verification/ measurement</w:t>
      </w:r>
      <w:r>
        <w:rPr>
          <w:spacing w:val="-9"/>
        </w:rPr>
        <w:t> </w:t>
      </w:r>
      <w:r>
        <w:rPr/>
        <w:t>has</w:t>
      </w:r>
      <w:r>
        <w:rPr>
          <w:spacing w:val="-8"/>
        </w:rPr>
        <w:t> </w:t>
      </w:r>
      <w:r>
        <w:rPr/>
        <w:t>been</w:t>
      </w:r>
      <w:r>
        <w:rPr>
          <w:spacing w:val="-9"/>
        </w:rPr>
        <w:t> </w:t>
      </w:r>
      <w:r>
        <w:rPr/>
        <w:t>undertaken</w:t>
      </w:r>
      <w:r>
        <w:rPr>
          <w:spacing w:val="-10"/>
        </w:rPr>
        <w:t> </w:t>
      </w:r>
      <w:r>
        <w:rPr/>
        <w:t>for</w:t>
      </w:r>
      <w:r>
        <w:rPr>
          <w:spacing w:val="-9"/>
        </w:rPr>
        <w:t> </w:t>
      </w:r>
      <w:r>
        <w:rPr/>
        <w:t>this</w:t>
      </w:r>
      <w:r>
        <w:rPr>
          <w:spacing w:val="-7"/>
        </w:rPr>
        <w:t> </w:t>
      </w:r>
      <w:r>
        <w:rPr/>
        <w:t>valuation</w:t>
      </w:r>
      <w:r>
        <w:rPr>
          <w:spacing w:val="-10"/>
        </w:rPr>
        <w:t> </w:t>
      </w:r>
      <w:r>
        <w:rPr/>
        <w:t>exercise.</w:t>
      </w:r>
    </w:p>
    <w:p>
      <w:pPr>
        <w:spacing w:after="0" w:line="321" w:lineRule="auto"/>
        <w:jc w:val="both"/>
        <w:sectPr>
          <w:headerReference w:type="default" r:id="rId108"/>
          <w:footerReference w:type="default" r:id="rId109"/>
          <w:pgSz w:w="11910" w:h="16840"/>
          <w:pgMar w:header="911" w:footer="1017" w:top="1660" w:bottom="1200" w:left="620" w:right="600"/>
          <w:pgNumType w:start="119"/>
        </w:sectPr>
      </w:pPr>
    </w:p>
    <w:p>
      <w:pPr>
        <w:pStyle w:val="BodyText"/>
        <w:spacing w:before="7"/>
        <w:rPr>
          <w:sz w:val="9"/>
        </w:rPr>
      </w:pPr>
    </w:p>
    <w:p>
      <w:pPr>
        <w:pStyle w:val="BodyText"/>
        <w:spacing w:line="321" w:lineRule="auto" w:before="106"/>
        <w:ind w:left="2548" w:right="143"/>
        <w:jc w:val="both"/>
      </w:pPr>
      <w:r>
        <w:rPr/>
        <w:t>For this exercise, it has been assumed that all developments adhere to building regulations as prescribed by the relevant authorities. The Consultants have not validated the information provided by the Client with the relevant development authorities.</w:t>
      </w:r>
    </w:p>
    <w:p>
      <w:pPr>
        <w:pStyle w:val="BodyText"/>
        <w:spacing w:before="8"/>
        <w:rPr>
          <w:sz w:val="11"/>
        </w:rPr>
      </w:pPr>
    </w:p>
    <w:p>
      <w:pPr>
        <w:spacing w:after="0"/>
        <w:rPr>
          <w:sz w:val="11"/>
        </w:rPr>
        <w:sectPr>
          <w:pgSz w:w="11910" w:h="16840"/>
          <w:pgMar w:header="911" w:footer="1017" w:top="1660" w:bottom="1200" w:left="620" w:right="600"/>
        </w:sectPr>
      </w:pPr>
    </w:p>
    <w:p>
      <w:pPr>
        <w:pStyle w:val="BodyText"/>
        <w:spacing w:line="321" w:lineRule="auto" w:before="106"/>
        <w:ind w:left="765" w:right="22"/>
      </w:pPr>
      <w:r>
        <w:rPr/>
        <w:t>Approved Usage:</w:t>
      </w:r>
    </w:p>
    <w:p>
      <w:pPr>
        <w:pStyle w:val="BodyText"/>
        <w:spacing w:line="321" w:lineRule="auto" w:before="106"/>
        <w:ind w:left="765" w:right="137"/>
        <w:jc w:val="both"/>
      </w:pPr>
      <w:r>
        <w:rPr/>
        <w:br w:type="column"/>
      </w:r>
      <w:r>
        <w:rPr/>
        <w:t>Based</w:t>
      </w:r>
      <w:r>
        <w:rPr>
          <w:spacing w:val="-31"/>
        </w:rPr>
        <w:t> </w:t>
      </w:r>
      <w:r>
        <w:rPr/>
        <w:t>on</w:t>
      </w:r>
      <w:r>
        <w:rPr>
          <w:spacing w:val="-30"/>
        </w:rPr>
        <w:t> </w:t>
      </w:r>
      <w:r>
        <w:rPr/>
        <w:t>Occupancy</w:t>
      </w:r>
      <w:r>
        <w:rPr>
          <w:spacing w:val="-32"/>
        </w:rPr>
        <w:t> </w:t>
      </w:r>
      <w:r>
        <w:rPr/>
        <w:t>Certificates</w:t>
      </w:r>
      <w:r>
        <w:rPr>
          <w:spacing w:val="-30"/>
        </w:rPr>
        <w:t> </w:t>
      </w:r>
      <w:r>
        <w:rPr/>
        <w:t>provided</w:t>
      </w:r>
      <w:r>
        <w:rPr>
          <w:spacing w:val="-30"/>
        </w:rPr>
        <w:t> </w:t>
      </w:r>
      <w:r>
        <w:rPr/>
        <w:t>by</w:t>
      </w:r>
      <w:r>
        <w:rPr>
          <w:spacing w:val="-29"/>
        </w:rPr>
        <w:t> </w:t>
      </w:r>
      <w:r>
        <w:rPr/>
        <w:t>the</w:t>
      </w:r>
      <w:r>
        <w:rPr>
          <w:spacing w:val="-31"/>
        </w:rPr>
        <w:t> </w:t>
      </w:r>
      <w:r>
        <w:rPr/>
        <w:t>Client</w:t>
      </w:r>
      <w:r>
        <w:rPr>
          <w:spacing w:val="-31"/>
        </w:rPr>
        <w:t> </w:t>
      </w:r>
      <w:r>
        <w:rPr/>
        <w:t>and</w:t>
      </w:r>
      <w:r>
        <w:rPr>
          <w:spacing w:val="-30"/>
        </w:rPr>
        <w:t> </w:t>
      </w:r>
      <w:r>
        <w:rPr/>
        <w:t>visual</w:t>
      </w:r>
      <w:r>
        <w:rPr>
          <w:spacing w:val="-31"/>
        </w:rPr>
        <w:t> </w:t>
      </w:r>
      <w:r>
        <w:rPr/>
        <w:t>inspection</w:t>
      </w:r>
      <w:r>
        <w:rPr>
          <w:spacing w:val="-30"/>
        </w:rPr>
        <w:t> </w:t>
      </w:r>
      <w:r>
        <w:rPr/>
        <w:t>during our</w:t>
      </w:r>
      <w:r>
        <w:rPr>
          <w:spacing w:val="-31"/>
        </w:rPr>
        <w:t> </w:t>
      </w:r>
      <w:r>
        <w:rPr/>
        <w:t>site</w:t>
      </w:r>
      <w:r>
        <w:rPr>
          <w:spacing w:val="-32"/>
        </w:rPr>
        <w:t> </w:t>
      </w:r>
      <w:r>
        <w:rPr/>
        <w:t>visit,</w:t>
      </w:r>
      <w:r>
        <w:rPr>
          <w:spacing w:val="-31"/>
        </w:rPr>
        <w:t> </w:t>
      </w:r>
      <w:r>
        <w:rPr/>
        <w:t>we</w:t>
      </w:r>
      <w:r>
        <w:rPr>
          <w:spacing w:val="-31"/>
        </w:rPr>
        <w:t> </w:t>
      </w:r>
      <w:r>
        <w:rPr/>
        <w:t>understand</w:t>
      </w:r>
      <w:r>
        <w:rPr>
          <w:spacing w:val="-30"/>
        </w:rPr>
        <w:t> </w:t>
      </w:r>
      <w:r>
        <w:rPr/>
        <w:t>that</w:t>
      </w:r>
      <w:r>
        <w:rPr>
          <w:spacing w:val="-30"/>
        </w:rPr>
        <w:t> </w:t>
      </w:r>
      <w:r>
        <w:rPr/>
        <w:t>the</w:t>
      </w:r>
      <w:r>
        <w:rPr>
          <w:spacing w:val="-31"/>
        </w:rPr>
        <w:t> </w:t>
      </w:r>
      <w:r>
        <w:rPr/>
        <w:t>subject</w:t>
      </w:r>
      <w:r>
        <w:rPr>
          <w:spacing w:val="-30"/>
        </w:rPr>
        <w:t> </w:t>
      </w:r>
      <w:r>
        <w:rPr/>
        <w:t>property</w:t>
      </w:r>
      <w:r>
        <w:rPr>
          <w:spacing w:val="-29"/>
        </w:rPr>
        <w:t> </w:t>
      </w:r>
      <w:r>
        <w:rPr/>
        <w:t>is</w:t>
      </w:r>
      <w:r>
        <w:rPr>
          <w:spacing w:val="-31"/>
        </w:rPr>
        <w:t> </w:t>
      </w:r>
      <w:r>
        <w:rPr/>
        <w:t>an</w:t>
      </w:r>
      <w:r>
        <w:rPr>
          <w:spacing w:val="-31"/>
        </w:rPr>
        <w:t> </w:t>
      </w:r>
      <w:r>
        <w:rPr/>
        <w:t>IT/ITeS</w:t>
      </w:r>
      <w:r>
        <w:rPr>
          <w:spacing w:val="-31"/>
        </w:rPr>
        <w:t> </w:t>
      </w:r>
      <w:r>
        <w:rPr/>
        <w:t>(Non-SEZ)</w:t>
      </w:r>
      <w:r>
        <w:rPr>
          <w:spacing w:val="-30"/>
        </w:rPr>
        <w:t> </w:t>
      </w:r>
      <w:r>
        <w:rPr/>
        <w:t>office building.</w:t>
      </w:r>
      <w:r>
        <w:rPr>
          <w:spacing w:val="-39"/>
        </w:rPr>
        <w:t> </w:t>
      </w:r>
      <w:r>
        <w:rPr/>
        <w:t>The</w:t>
      </w:r>
      <w:r>
        <w:rPr>
          <w:spacing w:val="-37"/>
        </w:rPr>
        <w:t> </w:t>
      </w:r>
      <w:r>
        <w:rPr/>
        <w:t>current</w:t>
      </w:r>
      <w:r>
        <w:rPr>
          <w:spacing w:val="-37"/>
        </w:rPr>
        <w:t> </w:t>
      </w:r>
      <w:r>
        <w:rPr/>
        <w:t>use</w:t>
      </w:r>
      <w:r>
        <w:rPr>
          <w:spacing w:val="-37"/>
        </w:rPr>
        <w:t> </w:t>
      </w:r>
      <w:r>
        <w:rPr/>
        <w:t>of</w:t>
      </w:r>
      <w:r>
        <w:rPr>
          <w:spacing w:val="-37"/>
        </w:rPr>
        <w:t> </w:t>
      </w:r>
      <w:r>
        <w:rPr/>
        <w:t>the</w:t>
      </w:r>
      <w:r>
        <w:rPr>
          <w:spacing w:val="-37"/>
        </w:rPr>
        <w:t> </w:t>
      </w:r>
      <w:r>
        <w:rPr/>
        <w:t>subject</w:t>
      </w:r>
      <w:r>
        <w:rPr>
          <w:spacing w:val="-36"/>
        </w:rPr>
        <w:t> </w:t>
      </w:r>
      <w:r>
        <w:rPr/>
        <w:t>property</w:t>
      </w:r>
      <w:r>
        <w:rPr>
          <w:spacing w:val="-36"/>
        </w:rPr>
        <w:t> </w:t>
      </w:r>
      <w:r>
        <w:rPr/>
        <w:t>has</w:t>
      </w:r>
      <w:r>
        <w:rPr>
          <w:spacing w:val="-37"/>
        </w:rPr>
        <w:t> </w:t>
      </w:r>
      <w:r>
        <w:rPr/>
        <w:t>been</w:t>
      </w:r>
      <w:r>
        <w:rPr>
          <w:spacing w:val="-37"/>
        </w:rPr>
        <w:t> </w:t>
      </w:r>
      <w:r>
        <w:rPr/>
        <w:t>provided</w:t>
      </w:r>
      <w:r>
        <w:rPr>
          <w:spacing w:val="-36"/>
        </w:rPr>
        <w:t> </w:t>
      </w:r>
      <w:r>
        <w:rPr/>
        <w:t>by</w:t>
      </w:r>
      <w:r>
        <w:rPr>
          <w:spacing w:val="-36"/>
        </w:rPr>
        <w:t> </w:t>
      </w:r>
      <w:r>
        <w:rPr/>
        <w:t>the</w:t>
      </w:r>
      <w:r>
        <w:rPr>
          <w:spacing w:val="-39"/>
        </w:rPr>
        <w:t> </w:t>
      </w:r>
      <w:r>
        <w:rPr/>
        <w:t>Client</w:t>
      </w:r>
      <w:r>
        <w:rPr>
          <w:spacing w:val="-37"/>
        </w:rPr>
        <w:t> </w:t>
      </w:r>
      <w:r>
        <w:rPr/>
        <w:t>and is broadly in agreement with the rules and regulations as prescribed by the local development</w:t>
      </w:r>
      <w:r>
        <w:rPr>
          <w:spacing w:val="-38"/>
        </w:rPr>
        <w:t> </w:t>
      </w:r>
      <w:r>
        <w:rPr/>
        <w:t>authority.</w:t>
      </w:r>
      <w:r>
        <w:rPr>
          <w:spacing w:val="-38"/>
        </w:rPr>
        <w:t> </w:t>
      </w:r>
      <w:r>
        <w:rPr/>
        <w:t>However,</w:t>
      </w:r>
      <w:r>
        <w:rPr>
          <w:spacing w:val="-38"/>
        </w:rPr>
        <w:t> </w:t>
      </w:r>
      <w:r>
        <w:rPr/>
        <w:t>the</w:t>
      </w:r>
      <w:r>
        <w:rPr>
          <w:spacing w:val="-37"/>
        </w:rPr>
        <w:t> </w:t>
      </w:r>
      <w:r>
        <w:rPr/>
        <w:t>Consultants</w:t>
      </w:r>
      <w:r>
        <w:rPr>
          <w:spacing w:val="-37"/>
        </w:rPr>
        <w:t> </w:t>
      </w:r>
      <w:r>
        <w:rPr/>
        <w:t>have</w:t>
      </w:r>
      <w:r>
        <w:rPr>
          <w:spacing w:val="-38"/>
        </w:rPr>
        <w:t> </w:t>
      </w:r>
      <w:r>
        <w:rPr/>
        <w:t>not</w:t>
      </w:r>
      <w:r>
        <w:rPr>
          <w:spacing w:val="-37"/>
        </w:rPr>
        <w:t> </w:t>
      </w:r>
      <w:r>
        <w:rPr/>
        <w:t>made</w:t>
      </w:r>
      <w:r>
        <w:rPr>
          <w:spacing w:val="-38"/>
        </w:rPr>
        <w:t> </w:t>
      </w:r>
      <w:r>
        <w:rPr/>
        <w:t>any</w:t>
      </w:r>
      <w:r>
        <w:rPr>
          <w:spacing w:val="-37"/>
        </w:rPr>
        <w:t> </w:t>
      </w:r>
      <w:r>
        <w:rPr/>
        <w:t>enquiries</w:t>
      </w:r>
      <w:r>
        <w:rPr>
          <w:spacing w:val="-37"/>
        </w:rPr>
        <w:t> </w:t>
      </w:r>
      <w:r>
        <w:rPr/>
        <w:t>with the</w:t>
      </w:r>
      <w:r>
        <w:rPr>
          <w:spacing w:val="-34"/>
        </w:rPr>
        <w:t> </w:t>
      </w:r>
      <w:r>
        <w:rPr/>
        <w:t>relevant</w:t>
      </w:r>
      <w:r>
        <w:rPr>
          <w:spacing w:val="-33"/>
        </w:rPr>
        <w:t> </w:t>
      </w:r>
      <w:r>
        <w:rPr/>
        <w:t>local</w:t>
      </w:r>
      <w:r>
        <w:rPr>
          <w:spacing w:val="-34"/>
        </w:rPr>
        <w:t> </w:t>
      </w:r>
      <w:r>
        <w:rPr/>
        <w:t>authorities</w:t>
      </w:r>
      <w:r>
        <w:rPr>
          <w:spacing w:val="-33"/>
        </w:rPr>
        <w:t> </w:t>
      </w:r>
      <w:r>
        <w:rPr/>
        <w:t>to</w:t>
      </w:r>
      <w:r>
        <w:rPr>
          <w:spacing w:val="-34"/>
        </w:rPr>
        <w:t> </w:t>
      </w:r>
      <w:r>
        <w:rPr/>
        <w:t>validate</w:t>
      </w:r>
      <w:r>
        <w:rPr>
          <w:spacing w:val="-34"/>
        </w:rPr>
        <w:t> </w:t>
      </w:r>
      <w:r>
        <w:rPr/>
        <w:t>the</w:t>
      </w:r>
      <w:r>
        <w:rPr>
          <w:spacing w:val="-33"/>
        </w:rPr>
        <w:t> </w:t>
      </w:r>
      <w:r>
        <w:rPr/>
        <w:t>same</w:t>
      </w:r>
      <w:r>
        <w:rPr>
          <w:spacing w:val="-35"/>
        </w:rPr>
        <w:t> </w:t>
      </w:r>
      <w:r>
        <w:rPr/>
        <w:t>for</w:t>
      </w:r>
      <w:r>
        <w:rPr>
          <w:spacing w:val="-34"/>
        </w:rPr>
        <w:t> </w:t>
      </w:r>
      <w:r>
        <w:rPr/>
        <w:t>its</w:t>
      </w:r>
      <w:r>
        <w:rPr>
          <w:spacing w:val="-33"/>
        </w:rPr>
        <w:t> </w:t>
      </w:r>
      <w:r>
        <w:rPr/>
        <w:t>specific</w:t>
      </w:r>
      <w:r>
        <w:rPr>
          <w:spacing w:val="-35"/>
        </w:rPr>
        <w:t> </w:t>
      </w:r>
      <w:r>
        <w:rPr/>
        <w:t>applicability</w:t>
      </w:r>
      <w:r>
        <w:rPr>
          <w:spacing w:val="-33"/>
        </w:rPr>
        <w:t> </w:t>
      </w:r>
      <w:r>
        <w:rPr/>
        <w:t>to</w:t>
      </w:r>
      <w:r>
        <w:rPr>
          <w:spacing w:val="-33"/>
        </w:rPr>
        <w:t> </w:t>
      </w:r>
      <w:r>
        <w:rPr/>
        <w:t>the subject</w:t>
      </w:r>
      <w:r>
        <w:rPr>
          <w:spacing w:val="-4"/>
        </w:rPr>
        <w:t> </w:t>
      </w:r>
      <w:r>
        <w:rPr/>
        <w:t>property.</w:t>
      </w:r>
    </w:p>
    <w:p>
      <w:pPr>
        <w:spacing w:after="0" w:line="321" w:lineRule="auto"/>
        <w:jc w:val="both"/>
        <w:sectPr>
          <w:type w:val="continuous"/>
          <w:pgSz w:w="11910" w:h="16840"/>
          <w:pgMar w:top="800" w:bottom="280" w:left="620" w:right="600"/>
          <w:cols w:num="2" w:equalWidth="0">
            <w:col w:w="1736" w:space="48"/>
            <w:col w:w="8906"/>
          </w:cols>
        </w:sectPr>
      </w:pPr>
    </w:p>
    <w:p>
      <w:pPr>
        <w:pStyle w:val="BodyText"/>
        <w:spacing w:before="10"/>
        <w:rPr>
          <w:sz w:val="11"/>
        </w:rPr>
      </w:pPr>
    </w:p>
    <w:p>
      <w:pPr>
        <w:pStyle w:val="BodyText"/>
        <w:tabs>
          <w:tab w:pos="2548" w:val="left" w:leader="none"/>
        </w:tabs>
        <w:spacing w:line="321" w:lineRule="auto" w:before="106"/>
        <w:ind w:left="2548" w:right="140" w:hanging="1784"/>
      </w:pPr>
      <w:r>
        <w:rPr>
          <w:w w:val="95"/>
        </w:rPr>
        <w:t>Restrictions:</w:t>
        <w:tab/>
      </w:r>
      <w:r>
        <w:rPr/>
        <w:t>As</w:t>
      </w:r>
      <w:r>
        <w:rPr>
          <w:spacing w:val="-39"/>
        </w:rPr>
        <w:t> </w:t>
      </w:r>
      <w:r>
        <w:rPr/>
        <w:t>per</w:t>
      </w:r>
      <w:r>
        <w:rPr>
          <w:spacing w:val="-39"/>
        </w:rPr>
        <w:t> </w:t>
      </w:r>
      <w:r>
        <w:rPr/>
        <w:t>feedback</w:t>
      </w:r>
      <w:r>
        <w:rPr>
          <w:spacing w:val="-38"/>
        </w:rPr>
        <w:t> </w:t>
      </w:r>
      <w:r>
        <w:rPr/>
        <w:t>received</w:t>
      </w:r>
      <w:r>
        <w:rPr>
          <w:spacing w:val="-37"/>
        </w:rPr>
        <w:t> </w:t>
      </w:r>
      <w:r>
        <w:rPr/>
        <w:t>from</w:t>
      </w:r>
      <w:r>
        <w:rPr>
          <w:spacing w:val="-37"/>
        </w:rPr>
        <w:t> </w:t>
      </w:r>
      <w:r>
        <w:rPr/>
        <w:t>the</w:t>
      </w:r>
      <w:r>
        <w:rPr>
          <w:spacing w:val="-39"/>
        </w:rPr>
        <w:t> </w:t>
      </w:r>
      <w:r>
        <w:rPr/>
        <w:t>Client,</w:t>
      </w:r>
      <w:r>
        <w:rPr>
          <w:spacing w:val="-38"/>
        </w:rPr>
        <w:t> </w:t>
      </w:r>
      <w:r>
        <w:rPr/>
        <w:t>there</w:t>
      </w:r>
      <w:r>
        <w:rPr>
          <w:spacing w:val="-37"/>
        </w:rPr>
        <w:t> </w:t>
      </w:r>
      <w:r>
        <w:rPr/>
        <w:t>are</w:t>
      </w:r>
      <w:r>
        <w:rPr>
          <w:spacing w:val="-38"/>
        </w:rPr>
        <w:t> </w:t>
      </w:r>
      <w:r>
        <w:rPr/>
        <w:t>no</w:t>
      </w:r>
      <w:r>
        <w:rPr>
          <w:spacing w:val="-38"/>
        </w:rPr>
        <w:t> </w:t>
      </w:r>
      <w:r>
        <w:rPr/>
        <w:t>restrictions</w:t>
      </w:r>
      <w:r>
        <w:rPr>
          <w:spacing w:val="-37"/>
        </w:rPr>
        <w:t> </w:t>
      </w:r>
      <w:r>
        <w:rPr/>
        <w:t>on</w:t>
      </w:r>
      <w:r>
        <w:rPr>
          <w:spacing w:val="-39"/>
        </w:rPr>
        <w:t> </w:t>
      </w:r>
      <w:r>
        <w:rPr/>
        <w:t>the</w:t>
      </w:r>
      <w:r>
        <w:rPr>
          <w:spacing w:val="-38"/>
        </w:rPr>
        <w:t> </w:t>
      </w:r>
      <w:r>
        <w:rPr/>
        <w:t>current</w:t>
      </w:r>
      <w:r>
        <w:rPr>
          <w:spacing w:val="-38"/>
        </w:rPr>
        <w:t> </w:t>
      </w:r>
      <w:r>
        <w:rPr/>
        <w:t>use of the</w:t>
      </w:r>
      <w:r>
        <w:rPr>
          <w:spacing w:val="-7"/>
        </w:rPr>
        <w:t> </w:t>
      </w:r>
      <w:r>
        <w:rPr/>
        <w:t>property.</w:t>
      </w:r>
    </w:p>
    <w:p>
      <w:pPr>
        <w:pStyle w:val="BodyText"/>
        <w:spacing w:before="8"/>
        <w:rPr>
          <w:sz w:val="11"/>
        </w:rPr>
      </w:pPr>
    </w:p>
    <w:p>
      <w:pPr>
        <w:spacing w:after="0"/>
        <w:rPr>
          <w:sz w:val="11"/>
        </w:rPr>
        <w:sectPr>
          <w:type w:val="continuous"/>
          <w:pgSz w:w="11910" w:h="16840"/>
          <w:pgMar w:top="800" w:bottom="280" w:left="620" w:right="600"/>
        </w:sectPr>
      </w:pPr>
    </w:p>
    <w:p>
      <w:pPr>
        <w:pStyle w:val="BodyText"/>
        <w:tabs>
          <w:tab w:pos="2128" w:val="left" w:leader="none"/>
        </w:tabs>
        <w:spacing w:line="321" w:lineRule="auto" w:before="107"/>
        <w:ind w:left="765"/>
      </w:pPr>
      <w:r>
        <w:rPr/>
        <w:t>Natural</w:t>
        <w:tab/>
      </w:r>
      <w:r>
        <w:rPr>
          <w:spacing w:val="-11"/>
        </w:rPr>
        <w:t>or </w:t>
      </w:r>
      <w:r>
        <w:rPr/>
        <w:t>induced hazards:</w:t>
      </w:r>
    </w:p>
    <w:p>
      <w:pPr>
        <w:pStyle w:val="BodyText"/>
        <w:spacing w:line="321" w:lineRule="auto" w:before="107"/>
        <w:ind w:left="177"/>
      </w:pPr>
      <w:r>
        <w:rPr/>
        <w:br w:type="column"/>
      </w:r>
      <w:r>
        <w:rPr/>
        <w:t>We</w:t>
      </w:r>
      <w:r>
        <w:rPr>
          <w:spacing w:val="-10"/>
        </w:rPr>
        <w:t> </w:t>
      </w:r>
      <w:r>
        <w:rPr/>
        <w:t>believe</w:t>
      </w:r>
      <w:r>
        <w:rPr>
          <w:spacing w:val="-10"/>
        </w:rPr>
        <w:t> </w:t>
      </w:r>
      <w:r>
        <w:rPr/>
        <w:t>the</w:t>
      </w:r>
      <w:r>
        <w:rPr>
          <w:spacing w:val="-11"/>
        </w:rPr>
        <w:t> </w:t>
      </w:r>
      <w:r>
        <w:rPr/>
        <w:t>project</w:t>
      </w:r>
      <w:r>
        <w:rPr>
          <w:spacing w:val="-9"/>
        </w:rPr>
        <w:t> </w:t>
      </w:r>
      <w:r>
        <w:rPr/>
        <w:t>/</w:t>
      </w:r>
      <w:r>
        <w:rPr>
          <w:spacing w:val="-9"/>
        </w:rPr>
        <w:t> </w:t>
      </w:r>
      <w:r>
        <w:rPr/>
        <w:t>site</w:t>
      </w:r>
      <w:r>
        <w:rPr>
          <w:spacing w:val="-11"/>
        </w:rPr>
        <w:t> </w:t>
      </w:r>
      <w:r>
        <w:rPr/>
        <w:t>has</w:t>
      </w:r>
      <w:r>
        <w:rPr>
          <w:spacing w:val="-10"/>
        </w:rPr>
        <w:t> </w:t>
      </w:r>
      <w:r>
        <w:rPr/>
        <w:t>been</w:t>
      </w:r>
      <w:r>
        <w:rPr>
          <w:spacing w:val="-10"/>
        </w:rPr>
        <w:t> </w:t>
      </w:r>
      <w:r>
        <w:rPr/>
        <w:t>developed</w:t>
      </w:r>
      <w:r>
        <w:rPr>
          <w:spacing w:val="-11"/>
        </w:rPr>
        <w:t> </w:t>
      </w:r>
      <w:r>
        <w:rPr/>
        <w:t>to</w:t>
      </w:r>
      <w:r>
        <w:rPr>
          <w:spacing w:val="-10"/>
        </w:rPr>
        <w:t> </w:t>
      </w:r>
      <w:r>
        <w:rPr/>
        <w:t>withstand</w:t>
      </w:r>
      <w:r>
        <w:rPr>
          <w:spacing w:val="-10"/>
        </w:rPr>
        <w:t> </w:t>
      </w:r>
      <w:r>
        <w:rPr/>
        <w:t>natural</w:t>
      </w:r>
      <w:r>
        <w:rPr>
          <w:spacing w:val="-10"/>
        </w:rPr>
        <w:t> </w:t>
      </w:r>
      <w:r>
        <w:rPr/>
        <w:t>or</w:t>
      </w:r>
      <w:r>
        <w:rPr>
          <w:spacing w:val="-9"/>
        </w:rPr>
        <w:t> </w:t>
      </w:r>
      <w:r>
        <w:rPr/>
        <w:t>induced hazards</w:t>
      </w:r>
      <w:r>
        <w:rPr>
          <w:spacing w:val="-10"/>
        </w:rPr>
        <w:t> </w:t>
      </w:r>
      <w:r>
        <w:rPr/>
        <w:t>(except</w:t>
      </w:r>
      <w:r>
        <w:rPr>
          <w:spacing w:val="-11"/>
        </w:rPr>
        <w:t> </w:t>
      </w:r>
      <w:r>
        <w:rPr/>
        <w:t>for</w:t>
      </w:r>
      <w:r>
        <w:rPr>
          <w:spacing w:val="-8"/>
        </w:rPr>
        <w:t> </w:t>
      </w:r>
      <w:r>
        <w:rPr/>
        <w:t>extreme</w:t>
      </w:r>
      <w:r>
        <w:rPr>
          <w:spacing w:val="-9"/>
        </w:rPr>
        <w:t> </w:t>
      </w:r>
      <w:r>
        <w:rPr/>
        <w:t>/</w:t>
      </w:r>
      <w:r>
        <w:rPr>
          <w:spacing w:val="-10"/>
        </w:rPr>
        <w:t> </w:t>
      </w:r>
      <w:r>
        <w:rPr/>
        <w:t>out</w:t>
      </w:r>
      <w:r>
        <w:rPr>
          <w:spacing w:val="-9"/>
        </w:rPr>
        <w:t> </w:t>
      </w:r>
      <w:r>
        <w:rPr/>
        <w:t>of</w:t>
      </w:r>
      <w:r>
        <w:rPr>
          <w:spacing w:val="-8"/>
        </w:rPr>
        <w:t> </w:t>
      </w:r>
      <w:r>
        <w:rPr/>
        <w:t>the</w:t>
      </w:r>
      <w:r>
        <w:rPr>
          <w:spacing w:val="-9"/>
        </w:rPr>
        <w:t> </w:t>
      </w:r>
      <w:r>
        <w:rPr/>
        <w:t>ordinary</w:t>
      </w:r>
      <w:r>
        <w:rPr>
          <w:spacing w:val="-8"/>
        </w:rPr>
        <w:t> </w:t>
      </w:r>
      <w:r>
        <w:rPr/>
        <w:t>hazards).</w:t>
      </w:r>
    </w:p>
    <w:p>
      <w:pPr>
        <w:spacing w:after="0" w:line="321" w:lineRule="auto"/>
        <w:sectPr>
          <w:type w:val="continuous"/>
          <w:pgSz w:w="11910" w:h="16840"/>
          <w:pgMar w:top="800" w:bottom="280" w:left="620" w:right="600"/>
          <w:cols w:num="2" w:equalWidth="0">
            <w:col w:w="2331" w:space="40"/>
            <w:col w:w="8319"/>
          </w:cols>
        </w:sectPr>
      </w:pPr>
    </w:p>
    <w:p>
      <w:pPr>
        <w:pStyle w:val="BodyText"/>
        <w:spacing w:before="10"/>
        <w:rPr>
          <w:sz w:val="21"/>
        </w:rPr>
      </w:pPr>
    </w:p>
    <w:p>
      <w:pPr>
        <w:pStyle w:val="ListParagraph"/>
        <w:numPr>
          <w:ilvl w:val="2"/>
          <w:numId w:val="14"/>
        </w:numPr>
        <w:tabs>
          <w:tab w:pos="821" w:val="left" w:leader="none"/>
        </w:tabs>
        <w:spacing w:line="240" w:lineRule="auto" w:before="106" w:after="0"/>
        <w:ind w:left="820" w:right="0" w:hanging="721"/>
        <w:jc w:val="left"/>
        <w:rPr>
          <w:sz w:val="22"/>
        </w:rPr>
      </w:pPr>
      <w:bookmarkStart w:name="_bookmark105" w:id="206"/>
      <w:bookmarkEnd w:id="206"/>
      <w:r>
        <w:rPr/>
      </w:r>
      <w:bookmarkStart w:name="_bookmark105" w:id="207"/>
      <w:bookmarkEnd w:id="207"/>
      <w:r>
        <w:rPr>
          <w:color w:val="1F664D"/>
          <w:sz w:val="22"/>
        </w:rPr>
        <w:t>S</w:t>
      </w:r>
      <w:r>
        <w:rPr>
          <w:color w:val="1F664D"/>
          <w:sz w:val="22"/>
        </w:rPr>
        <w:t>tatutory Approvals, One time Sanctions &amp; Periodic</w:t>
      </w:r>
      <w:r>
        <w:rPr>
          <w:color w:val="1F664D"/>
          <w:spacing w:val="-2"/>
          <w:sz w:val="22"/>
        </w:rPr>
        <w:t> </w:t>
      </w:r>
      <w:r>
        <w:rPr>
          <w:color w:val="1F664D"/>
          <w:sz w:val="22"/>
        </w:rPr>
        <w:t>Clearances</w:t>
      </w:r>
    </w:p>
    <w:p>
      <w:pPr>
        <w:pStyle w:val="BodyText"/>
        <w:spacing w:before="208"/>
        <w:ind w:left="666"/>
      </w:pPr>
      <w:r>
        <w:rPr/>
        <w:t>Please refer section 18.3 on Statutory Approvals, One time Sanctions &amp; Periodic Clearances</w:t>
      </w:r>
    </w:p>
    <w:p>
      <w:pPr>
        <w:spacing w:after="0"/>
        <w:sectPr>
          <w:type w:val="continuous"/>
          <w:pgSz w:w="11910" w:h="16840"/>
          <w:pgMar w:top="800" w:bottom="280" w:left="620" w:right="600"/>
        </w:sectPr>
      </w:pPr>
    </w:p>
    <w:p>
      <w:pPr>
        <w:spacing w:before="76"/>
        <w:ind w:left="211" w:right="0" w:firstLine="0"/>
        <w:jc w:val="left"/>
        <w:rPr>
          <w:sz w:val="20"/>
        </w:rPr>
      </w:pPr>
      <w:r>
        <w:rPr/>
        <w:drawing>
          <wp:anchor distT="0" distB="0" distL="0" distR="0" allowOverlap="1" layoutInCell="1" locked="0" behindDoc="0" simplePos="0" relativeHeight="15987712">
            <wp:simplePos x="0" y="0"/>
            <wp:positionH relativeFrom="page">
              <wp:posOffset>835025</wp:posOffset>
            </wp:positionH>
            <wp:positionV relativeFrom="paragraph">
              <wp:posOffset>274569</wp:posOffset>
            </wp:positionV>
            <wp:extent cx="9854310" cy="78740"/>
            <wp:effectExtent l="0" t="0" r="0" b="0"/>
            <wp:wrapNone/>
            <wp:docPr id="121" name="image81.png"/>
            <wp:cNvGraphicFramePr>
              <a:graphicFrameLocks noChangeAspect="1"/>
            </wp:cNvGraphicFramePr>
            <a:graphic>
              <a:graphicData uri="http://schemas.openxmlformats.org/drawingml/2006/picture">
                <pic:pic>
                  <pic:nvPicPr>
                    <pic:cNvPr id="122" name="image81.png"/>
                    <pic:cNvPicPr/>
                  </pic:nvPicPr>
                  <pic:blipFill>
                    <a:blip r:embed="rId112" cstate="print"/>
                    <a:stretch>
                      <a:fillRect/>
                    </a:stretch>
                  </pic:blipFill>
                  <pic:spPr>
                    <a:xfrm>
                      <a:off x="0" y="0"/>
                      <a:ext cx="9854310" cy="78740"/>
                    </a:xfrm>
                    <a:prstGeom prst="rect">
                      <a:avLst/>
                    </a:prstGeom>
                  </pic:spPr>
                </pic:pic>
              </a:graphicData>
            </a:graphic>
          </wp:anchor>
        </w:drawing>
      </w:r>
      <w:r>
        <w:rPr/>
        <w:drawing>
          <wp:anchor distT="0" distB="0" distL="0" distR="0" allowOverlap="1" layoutInCell="1" locked="0" behindDoc="0" simplePos="0" relativeHeight="15988224">
            <wp:simplePos x="0" y="0"/>
            <wp:positionH relativeFrom="page">
              <wp:posOffset>7546975</wp:posOffset>
            </wp:positionH>
            <wp:positionV relativeFrom="page">
              <wp:posOffset>7039609</wp:posOffset>
            </wp:positionV>
            <wp:extent cx="1079500" cy="300457"/>
            <wp:effectExtent l="0" t="0" r="0" b="0"/>
            <wp:wrapNone/>
            <wp:docPr id="123" name="image3.jpeg"/>
            <wp:cNvGraphicFramePr>
              <a:graphicFrameLocks noChangeAspect="1"/>
            </wp:cNvGraphicFramePr>
            <a:graphic>
              <a:graphicData uri="http://schemas.openxmlformats.org/drawingml/2006/picture">
                <pic:pic>
                  <pic:nvPicPr>
                    <pic:cNvPr id="124"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5988736">
            <wp:simplePos x="0" y="0"/>
            <wp:positionH relativeFrom="page">
              <wp:posOffset>8732067</wp:posOffset>
            </wp:positionH>
            <wp:positionV relativeFrom="page">
              <wp:posOffset>6904160</wp:posOffset>
            </wp:positionV>
            <wp:extent cx="909288" cy="433873"/>
            <wp:effectExtent l="0" t="0" r="0" b="0"/>
            <wp:wrapNone/>
            <wp:docPr id="125" name="image4.png"/>
            <wp:cNvGraphicFramePr>
              <a:graphicFrameLocks noChangeAspect="1"/>
            </wp:cNvGraphicFramePr>
            <a:graphic>
              <a:graphicData uri="http://schemas.openxmlformats.org/drawingml/2006/picture">
                <pic:pic>
                  <pic:nvPicPr>
                    <pic:cNvPr id="126"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BodyText"/>
        <w:rPr>
          <w:sz w:val="24"/>
        </w:rPr>
      </w:pPr>
    </w:p>
    <w:p>
      <w:pPr>
        <w:pStyle w:val="BodyText"/>
        <w:spacing w:before="6"/>
        <w:rPr>
          <w:sz w:val="33"/>
        </w:rPr>
      </w:pPr>
    </w:p>
    <w:p>
      <w:pPr>
        <w:pStyle w:val="ListParagraph"/>
        <w:numPr>
          <w:ilvl w:val="2"/>
          <w:numId w:val="14"/>
        </w:numPr>
        <w:tabs>
          <w:tab w:pos="932" w:val="left" w:leader="none"/>
        </w:tabs>
        <w:spacing w:line="240" w:lineRule="auto" w:before="0" w:after="0"/>
        <w:ind w:left="931" w:right="0" w:hanging="721"/>
        <w:jc w:val="left"/>
        <w:rPr>
          <w:sz w:val="22"/>
        </w:rPr>
      </w:pPr>
      <w:bookmarkStart w:name="_bookmark106" w:id="208"/>
      <w:bookmarkEnd w:id="208"/>
      <w:r>
        <w:rPr/>
      </w:r>
      <w:bookmarkStart w:name="_bookmark106" w:id="209"/>
      <w:bookmarkEnd w:id="209"/>
      <w:r>
        <w:rPr>
          <w:color w:val="1F664D"/>
          <w:sz w:val="22"/>
        </w:rPr>
        <w:t>Are</w:t>
      </w:r>
      <w:r>
        <w:rPr>
          <w:color w:val="1F664D"/>
          <w:sz w:val="22"/>
        </w:rPr>
        <w:t>a Details, Type and Age of Existing</w:t>
      </w:r>
      <w:r>
        <w:rPr>
          <w:color w:val="1F664D"/>
          <w:spacing w:val="-7"/>
          <w:sz w:val="22"/>
        </w:rPr>
        <w:t> </w:t>
      </w:r>
      <w:r>
        <w:rPr>
          <w:color w:val="1F664D"/>
          <w:sz w:val="22"/>
        </w:rPr>
        <w:t>Structures</w:t>
      </w:r>
    </w:p>
    <w:p>
      <w:pPr>
        <w:pStyle w:val="BodyText"/>
        <w:spacing w:before="205"/>
        <w:ind w:left="751"/>
      </w:pPr>
      <w:r>
        <w:rPr/>
        <w:t>The table below highlights the detailed area break-up of the subject development:</w:t>
      </w:r>
    </w:p>
    <w:p>
      <w:pPr>
        <w:pStyle w:val="BodyText"/>
        <w:spacing w:before="2"/>
        <w:rPr>
          <w:sz w:val="14"/>
        </w:rPr>
      </w:pPr>
      <w:r>
        <w:rPr/>
        <w:pict>
          <v:group style="position:absolute;margin-left:70.559998pt;margin-top:10.181465pt;width:676.95pt;height:23.95pt;mso-position-horizontal-relative:page;mso-position-vertical-relative:paragraph;z-index:-15474176;mso-wrap-distance-left:0;mso-wrap-distance-right:0" coordorigin="1411,204" coordsize="13539,479">
            <v:shape style="position:absolute;left:1411;top:234;width:13539;height:433" coordorigin="1411,235" coordsize="13539,433" path="m12974,235l10626,235,8363,235,5015,235,1411,235,1411,667,5015,667,8363,667,10626,667,12974,667,12974,235xm14950,235l12974,235,12974,667,14950,667,14950,235xe" filled="true" fillcolor="#006a4d" stroked="false">
              <v:path arrowok="t"/>
              <v:fill type="solid"/>
            </v:shape>
            <v:rect style="position:absolute;left:1411;top:203;width:3604;height:29" filled="true" fillcolor="#1f6b16" stroked="false">
              <v:fill type="solid"/>
            </v:rect>
            <v:shape style="position:absolute;left:1411;top:232;width:3633;height:3" coordorigin="1411,232" coordsize="3633,3" path="m5043,232l5015,232,1411,232,1411,235,5015,235,5043,235,5043,232xe" filled="true" fillcolor="#006a4d" stroked="false">
              <v:path arrowok="t"/>
              <v:fill type="solid"/>
            </v:shape>
            <v:shape style="position:absolute;left:5014;top:203;width:3349;height:29" coordorigin="5015,204" coordsize="3349,29" path="m8363,204l5043,204,5015,204,5015,232,5043,232,8363,232,8363,204xe" filled="true" fillcolor="#1f6b16" stroked="false">
              <v:path arrowok="t"/>
              <v:fill type="solid"/>
            </v:shape>
            <v:shape style="position:absolute;left:5043;top:232;width:3349;height:3" coordorigin="5043,232" coordsize="3349,3" path="m8392,232l8363,232,5043,232,5043,235,8363,235,8392,235,8392,232xe" filled="true" fillcolor="#006a4d" stroked="false">
              <v:path arrowok="t"/>
              <v:fill type="solid"/>
            </v:shape>
            <v:shape style="position:absolute;left:8363;top:203;width:2264;height:29" coordorigin="8363,204" coordsize="2264,29" path="m10626,204l8392,204,8363,204,8363,232,8392,232,10626,232,10626,204xe" filled="true" fillcolor="#1f6b16" stroked="false">
              <v:path arrowok="t"/>
              <v:fill type="solid"/>
            </v:shape>
            <v:shape style="position:absolute;left:8391;top:232;width:2264;height:3" coordorigin="8392,232" coordsize="2264,3" path="m10655,232l10626,232,8392,232,8392,235,10626,235,10655,235,10655,232xe" filled="true" fillcolor="#006a4d" stroked="false">
              <v:path arrowok="t"/>
              <v:fill type="solid"/>
            </v:shape>
            <v:shape style="position:absolute;left:10626;top:203;width:2348;height:29" coordorigin="10626,204" coordsize="2348,29" path="m12974,204l10655,204,10626,204,10626,232,10655,232,12974,232,12974,204xe" filled="true" fillcolor="#1f6b16" stroked="false">
              <v:path arrowok="t"/>
              <v:fill type="solid"/>
            </v:shape>
            <v:shape style="position:absolute;left:10655;top:232;width:2348;height:3" coordorigin="10655,232" coordsize="2348,3" path="m12974,232l10655,232,10655,235,12974,235,12974,232xm13003,232l12974,232,12974,235,13003,235,13003,232xe" filled="true" fillcolor="#006a4d" stroked="false">
              <v:path arrowok="t"/>
              <v:fill type="solid"/>
            </v:shape>
            <v:shape style="position:absolute;left:12974;top:203;width:1976;height:29" coordorigin="12974,204" coordsize="1976,29" path="m14950,204l13003,204,12974,204,12974,232,13003,232,14950,232,14950,204xe" filled="true" fillcolor="#1f6b16" stroked="false">
              <v:path arrowok="t"/>
              <v:fill type="solid"/>
            </v:shape>
            <v:rect style="position:absolute;left:13002;top:232;width:1947;height:3" filled="true" fillcolor="#006a4d" stroked="false">
              <v:fill type="solid"/>
            </v:rect>
            <v:shape style="position:absolute;left:1411;top:667;width:13539;height:15" coordorigin="1411,667" coordsize="13539,15" path="m10641,667l10626,667,8377,667,8363,667,5029,667,5015,667,1411,667,1411,682,5015,682,5029,682,8363,682,8377,682,10626,682,10641,682,10641,667xm12974,667l10641,667,10641,682,12974,682,12974,667xm14950,667l12988,667,12974,667,12974,682,12988,682,14950,682,14950,667xe" filled="true" fillcolor="#69bd28" stroked="false">
              <v:path arrowok="t"/>
              <v:fill type="solid"/>
            </v:shape>
            <v:shape style="position:absolute;left:2472;top:342;width:1502;height:216" type="#_x0000_t202" filled="false" stroked="false">
              <v:textbox inset="0,0,0,0">
                <w:txbxContent>
                  <w:p>
                    <w:pPr>
                      <w:spacing w:before="4"/>
                      <w:ind w:left="0" w:right="0" w:firstLine="0"/>
                      <w:jc w:val="left"/>
                      <w:rPr>
                        <w:b/>
                        <w:sz w:val="18"/>
                      </w:rPr>
                    </w:pPr>
                    <w:r>
                      <w:rPr>
                        <w:b/>
                        <w:color w:val="FFFFFF"/>
                        <w:w w:val="105"/>
                        <w:sz w:val="18"/>
                      </w:rPr>
                      <w:t>Subject Property</w:t>
                    </w:r>
                  </w:p>
                </w:txbxContent>
              </v:textbox>
              <w10:wrap type="none"/>
            </v:shape>
            <v:shape style="position:absolute;left:5650;top:342;width:2096;height:216" type="#_x0000_t202" filled="false" stroked="false">
              <v:textbox inset="0,0,0,0">
                <w:txbxContent>
                  <w:p>
                    <w:pPr>
                      <w:spacing w:before="4"/>
                      <w:ind w:left="0" w:right="0" w:firstLine="0"/>
                      <w:jc w:val="left"/>
                      <w:rPr>
                        <w:b/>
                        <w:sz w:val="18"/>
                      </w:rPr>
                    </w:pPr>
                    <w:r>
                      <w:rPr>
                        <w:b/>
                        <w:color w:val="FFFFFF"/>
                        <w:w w:val="110"/>
                        <w:sz w:val="18"/>
                      </w:rPr>
                      <w:t>Developable Area (sf)*</w:t>
                    </w:r>
                  </w:p>
                </w:txbxContent>
              </v:textbox>
              <w10:wrap type="none"/>
            </v:shape>
            <v:shape style="position:absolute;left:8571;top:234;width:1867;height:432" type="#_x0000_t202" filled="false" stroked="false">
              <v:textbox inset="0,0,0,0">
                <w:txbxContent>
                  <w:p>
                    <w:pPr>
                      <w:spacing w:line="247" w:lineRule="auto" w:before="4"/>
                      <w:ind w:left="532" w:right="0" w:hanging="533"/>
                      <w:jc w:val="left"/>
                      <w:rPr>
                        <w:b/>
                        <w:sz w:val="18"/>
                      </w:rPr>
                    </w:pPr>
                    <w:r>
                      <w:rPr>
                        <w:b/>
                        <w:color w:val="FFFFFF"/>
                        <w:w w:val="105"/>
                        <w:sz w:val="18"/>
                      </w:rPr>
                      <w:t>Completed Leasable Area (sf)</w:t>
                    </w:r>
                  </w:p>
                </w:txbxContent>
              </v:textbox>
              <w10:wrap type="none"/>
            </v:shape>
            <v:shape style="position:absolute;left:10892;top:342;width:1834;height:216" type="#_x0000_t202" filled="false" stroked="false">
              <v:textbox inset="0,0,0,0">
                <w:txbxContent>
                  <w:p>
                    <w:pPr>
                      <w:spacing w:before="4"/>
                      <w:ind w:left="0" w:right="0" w:firstLine="0"/>
                      <w:jc w:val="left"/>
                      <w:rPr>
                        <w:b/>
                        <w:sz w:val="18"/>
                      </w:rPr>
                    </w:pPr>
                    <w:r>
                      <w:rPr>
                        <w:b/>
                        <w:color w:val="FFFFFF"/>
                        <w:w w:val="105"/>
                        <w:sz w:val="18"/>
                      </w:rPr>
                      <w:t>Committed Area (sf)</w:t>
                    </w:r>
                  </w:p>
                </w:txbxContent>
              </v:textbox>
              <w10:wrap type="none"/>
            </v:shape>
            <v:shape style="position:absolute;left:13125;top:342;width:1691;height:216" type="#_x0000_t202" filled="false" stroked="false">
              <v:textbox inset="0,0,0,0">
                <w:txbxContent>
                  <w:p>
                    <w:pPr>
                      <w:spacing w:before="4"/>
                      <w:ind w:left="0" w:right="0" w:firstLine="0"/>
                      <w:jc w:val="left"/>
                      <w:rPr>
                        <w:b/>
                        <w:sz w:val="18"/>
                      </w:rPr>
                    </w:pPr>
                    <w:r>
                      <w:rPr>
                        <w:b/>
                        <w:color w:val="FFFFFF"/>
                        <w:w w:val="105"/>
                        <w:sz w:val="18"/>
                      </w:rPr>
                      <w:t>Occupied Area (sf)</w:t>
                    </w:r>
                  </w:p>
                </w:txbxContent>
              </v:textbox>
              <w10:wrap type="none"/>
            </v:shape>
            <w10:wrap type="topAndBottom"/>
          </v:group>
        </w:pict>
      </w:r>
    </w:p>
    <w:p>
      <w:pPr>
        <w:tabs>
          <w:tab w:pos="5141" w:val="left" w:leader="none"/>
          <w:tab w:pos="7868" w:val="left" w:leader="none"/>
          <w:tab w:pos="10174" w:val="left" w:leader="none"/>
          <w:tab w:pos="12335" w:val="left" w:leader="none"/>
        </w:tabs>
        <w:spacing w:before="80" w:after="109"/>
        <w:ind w:left="1488" w:right="0" w:firstLine="0"/>
        <w:jc w:val="left"/>
        <w:rPr>
          <w:sz w:val="18"/>
        </w:rPr>
      </w:pPr>
      <w:r>
        <w:rPr>
          <w:w w:val="105"/>
          <w:sz w:val="18"/>
        </w:rPr>
        <w:t>Embassy</w:t>
      </w:r>
      <w:r>
        <w:rPr>
          <w:spacing w:val="-10"/>
          <w:w w:val="105"/>
          <w:sz w:val="18"/>
        </w:rPr>
        <w:t> </w:t>
      </w:r>
      <w:r>
        <w:rPr>
          <w:w w:val="105"/>
          <w:sz w:val="18"/>
        </w:rPr>
        <w:t>247</w:t>
        <w:tab/>
        <w:t>858,271</w:t>
        <w:tab/>
        <w:t>1,189,544</w:t>
        <w:tab/>
        <w:t>1,108,424</w:t>
        <w:tab/>
        <w:t>1,108,424</w:t>
      </w:r>
    </w:p>
    <w:p>
      <w:pPr>
        <w:pStyle w:val="BodyText"/>
        <w:spacing w:line="20" w:lineRule="exact"/>
        <w:ind w:left="196"/>
        <w:rPr>
          <w:sz w:val="2"/>
        </w:rPr>
      </w:pPr>
      <w:r>
        <w:rPr>
          <w:sz w:val="2"/>
        </w:rPr>
        <w:pict>
          <v:group style="width:677.65pt;height:.75pt;mso-position-horizontal-relative:char;mso-position-vertical-relative:line" coordorigin="0,0" coordsize="13553,15">
            <v:shape style="position:absolute;left:0;top:0;width:13553;height:15" coordorigin="0,0" coordsize="13553,15" path="m11577,0l11577,0,11563,0,9229,0,9215,0,6966,0,6952,0,3618,0,3603,0,0,0,0,14,3603,14,3618,14,6952,14,6966,14,9215,14,9229,14,11563,14,11577,14,11577,14,11577,0xm13553,0l11577,0,11577,14,13553,14,13553,0xe" filled="true" fillcolor="#69bd28" stroked="false">
              <v:path arrowok="t"/>
              <v:fill type="solid"/>
            </v:shape>
          </v:group>
        </w:pict>
      </w:r>
      <w:r>
        <w:rPr>
          <w:sz w:val="2"/>
        </w:rPr>
      </w:r>
    </w:p>
    <w:p>
      <w:pPr>
        <w:spacing w:before="0"/>
        <w:ind w:left="211" w:right="0" w:firstLine="0"/>
        <w:jc w:val="left"/>
        <w:rPr>
          <w:i/>
          <w:sz w:val="16"/>
        </w:rPr>
      </w:pPr>
      <w:r>
        <w:rPr/>
        <w:pict>
          <v:group style="position:absolute;margin-left:70.559998pt;margin-top:24.311707pt;width:676.95pt;height:23.05pt;mso-position-horizontal-relative:page;mso-position-vertical-relative:paragraph;z-index:-34636288" coordorigin="1411,486" coordsize="13539,461">
            <v:shape style="position:absolute;left:1411;top:515;width:13539;height:432" coordorigin="1411,515" coordsize="13539,432" path="m12172,515l9844,515,7523,515,5204,515,5204,515,1411,515,1411,947,5204,947,5204,947,7523,947,9844,947,12172,947,12172,515xm14950,515l12172,515,12172,947,14950,947,14950,515xe" filled="true" fillcolor="#006a4d" stroked="false">
              <v:path arrowok="t"/>
              <v:fill type="solid"/>
            </v:shape>
            <v:rect style="position:absolute;left:1411;top:486;width:3793;height:29" filled="true" fillcolor="#1f6b16" stroked="false">
              <v:fill type="solid"/>
            </v:rect>
            <v:shape style="position:absolute;left:1411;top:515;width:3822;height:3" coordorigin="1411,515" coordsize="3822,3" path="m5233,515l5204,515,1411,515,1411,517,5204,517,5233,517,5233,515xe" filled="true" fillcolor="#006a4d" stroked="false">
              <v:path arrowok="t"/>
              <v:fill type="solid"/>
            </v:shape>
            <v:shape style="position:absolute;left:5204;top:486;width:2319;height:29" coordorigin="5204,486" coordsize="2319,29" path="m7523,486l5233,486,5204,486,5204,515,5233,515,7523,515,7523,486xe" filled="true" fillcolor="#1f6b16" stroked="false">
              <v:path arrowok="t"/>
              <v:fill type="solid"/>
            </v:shape>
            <v:shape style="position:absolute;left:5232;top:515;width:2319;height:3" coordorigin="5233,515" coordsize="2319,3" path="m7551,515l7523,515,5233,515,5233,517,7523,517,7551,517,7551,515xe" filled="true" fillcolor="#006a4d" stroked="false">
              <v:path arrowok="t"/>
              <v:fill type="solid"/>
            </v:shape>
            <v:shape style="position:absolute;left:7522;top:486;width:2322;height:29" coordorigin="7523,486" coordsize="2322,29" path="m9844,486l7551,486,7523,486,7523,515,7551,515,9844,515,9844,486xe" filled="true" fillcolor="#1f6b16" stroked="false">
              <v:path arrowok="t"/>
              <v:fill type="solid"/>
            </v:shape>
            <v:shape style="position:absolute;left:7551;top:515;width:2322;height:3" coordorigin="7551,515" coordsize="2322,3" path="m9873,515l9844,515,7551,515,7551,517,9844,517,9873,517,9873,515xe" filled="true" fillcolor="#006a4d" stroked="false">
              <v:path arrowok="t"/>
              <v:fill type="solid"/>
            </v:shape>
            <v:shape style="position:absolute;left:9843;top:486;width:2329;height:29" coordorigin="9844,486" coordsize="2329,29" path="m12172,486l9873,486,9844,486,9844,515,9873,515,12172,515,12172,486xe" filled="true" fillcolor="#1f6b16" stroked="false">
              <v:path arrowok="t"/>
              <v:fill type="solid"/>
            </v:shape>
            <v:shape style="position:absolute;left:9872;top:515;width:2329;height:3" coordorigin="9873,515" coordsize="2329,3" path="m12172,515l9873,515,9873,517,12172,517,12172,515xm12201,515l12172,515,12172,517,12201,517,12201,515xe" filled="true" fillcolor="#006a4d" stroked="false">
              <v:path arrowok="t"/>
              <v:fill type="solid"/>
            </v:shape>
            <v:shape style="position:absolute;left:12172;top:486;width:2778;height:29" coordorigin="12172,486" coordsize="2778,29" path="m14950,486l12201,486,12172,486,12172,515,12201,515,14950,515,14950,486xe" filled="true" fillcolor="#1f6b16" stroked="false">
              <v:path arrowok="t"/>
              <v:fill type="solid"/>
            </v:shape>
            <v:rect style="position:absolute;left:12201;top:515;width:2749;height:3" filled="true" fillcolor="#006a4d" stroked="false">
              <v:fill type="solid"/>
            </v:rect>
            <v:shape style="position:absolute;left:3062;top:514;width:510;height:216" type="#_x0000_t202" filled="false" stroked="false">
              <v:textbox inset="0,0,0,0">
                <w:txbxContent>
                  <w:p>
                    <w:pPr>
                      <w:spacing w:before="4"/>
                      <w:ind w:left="0" w:right="0" w:firstLine="0"/>
                      <w:jc w:val="left"/>
                      <w:rPr>
                        <w:b/>
                        <w:sz w:val="18"/>
                      </w:rPr>
                    </w:pPr>
                    <w:r>
                      <w:rPr>
                        <w:b/>
                        <w:color w:val="FFFFFF"/>
                        <w:w w:val="110"/>
                        <w:sz w:val="18"/>
                      </w:rPr>
                      <w:t>Block</w:t>
                    </w:r>
                  </w:p>
                </w:txbxContent>
              </v:textbox>
              <w10:wrap type="none"/>
            </v:shape>
            <v:shape style="position:absolute;left:5537;top:622;width:1675;height:216" type="#_x0000_t202" filled="false" stroked="false">
              <v:textbox inset="0,0,0,0">
                <w:txbxContent>
                  <w:p>
                    <w:pPr>
                      <w:spacing w:before="4"/>
                      <w:ind w:left="0" w:right="0" w:firstLine="0"/>
                      <w:jc w:val="left"/>
                      <w:rPr>
                        <w:b/>
                        <w:sz w:val="18"/>
                      </w:rPr>
                    </w:pPr>
                    <w:r>
                      <w:rPr>
                        <w:b/>
                        <w:color w:val="FFFFFF"/>
                        <w:w w:val="110"/>
                        <w:sz w:val="18"/>
                      </w:rPr>
                      <w:t>Building Elevation</w:t>
                    </w:r>
                  </w:p>
                </w:txbxContent>
              </v:textbox>
              <w10:wrap type="none"/>
            </v:shape>
            <v:shape style="position:absolute;left:8079;top:622;width:1227;height:216" type="#_x0000_t202" filled="false" stroked="false">
              <v:textbox inset="0,0,0,0">
                <w:txbxContent>
                  <w:p>
                    <w:pPr>
                      <w:spacing w:before="4"/>
                      <w:ind w:left="0" w:right="0" w:firstLine="0"/>
                      <w:jc w:val="left"/>
                      <w:rPr>
                        <w:b/>
                        <w:sz w:val="18"/>
                      </w:rPr>
                    </w:pPr>
                    <w:r>
                      <w:rPr>
                        <w:b/>
                        <w:color w:val="FFFFFF"/>
                        <w:w w:val="115"/>
                        <w:sz w:val="18"/>
                      </w:rPr>
                      <w:t>SEZ/Non-SEZ</w:t>
                    </w:r>
                  </w:p>
                </w:txbxContent>
              </v:textbox>
              <w10:wrap type="none"/>
            </v:shape>
            <v:shape style="position:absolute;left:10779;top:514;width:474;height:216" type="#_x0000_t202" filled="false" stroked="false">
              <v:textbox inset="0,0,0,0">
                <w:txbxContent>
                  <w:p>
                    <w:pPr>
                      <w:spacing w:before="4"/>
                      <w:ind w:left="0" w:right="0" w:firstLine="0"/>
                      <w:jc w:val="left"/>
                      <w:rPr>
                        <w:b/>
                        <w:sz w:val="18"/>
                      </w:rPr>
                    </w:pPr>
                    <w:r>
                      <w:rPr>
                        <w:b/>
                        <w:color w:val="FFFFFF"/>
                        <w:w w:val="120"/>
                        <w:sz w:val="18"/>
                      </w:rPr>
                      <w:t>Age*</w:t>
                    </w:r>
                  </w:p>
                </w:txbxContent>
              </v:textbox>
              <w10:wrap type="none"/>
            </v:shape>
            <v:shape style="position:absolute;left:12438;top:514;width:2264;height:216" type="#_x0000_t202" filled="false" stroked="false">
              <v:textbox inset="0,0,0,0">
                <w:txbxContent>
                  <w:p>
                    <w:pPr>
                      <w:spacing w:before="4"/>
                      <w:ind w:left="0" w:right="0" w:firstLine="0"/>
                      <w:jc w:val="left"/>
                      <w:rPr>
                        <w:b/>
                        <w:sz w:val="18"/>
                      </w:rPr>
                    </w:pPr>
                    <w:r>
                      <w:rPr>
                        <w:b/>
                        <w:color w:val="FFFFFF"/>
                        <w:w w:val="110"/>
                        <w:sz w:val="18"/>
                      </w:rPr>
                      <w:t>Leasable /Saleable Area</w:t>
                    </w:r>
                  </w:p>
                </w:txbxContent>
              </v:textbox>
              <w10:wrap type="none"/>
            </v:shape>
            <w10:wrap type="none"/>
          </v:group>
        </w:pict>
      </w:r>
      <w:r>
        <w:rPr>
          <w:i/>
          <w:sz w:val="16"/>
        </w:rPr>
        <w:t>Source: Rent roll, Occupancy Certificate, Architect Certificate provided by Client; *represents achieved FSI area</w:t>
      </w:r>
    </w:p>
    <w:p>
      <w:pPr>
        <w:pStyle w:val="BodyText"/>
        <w:rPr>
          <w:i/>
          <w:sz w:val="20"/>
        </w:rPr>
      </w:pPr>
    </w:p>
    <w:p>
      <w:pPr>
        <w:pStyle w:val="BodyText"/>
        <w:spacing w:before="2"/>
        <w:rPr>
          <w:i/>
          <w:sz w:val="26"/>
        </w:rPr>
      </w:pPr>
    </w:p>
    <w:tbl>
      <w:tblPr>
        <w:tblW w:w="0" w:type="auto"/>
        <w:jc w:val="left"/>
        <w:tblInd w:w="2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72"/>
        <w:gridCol w:w="2319"/>
        <w:gridCol w:w="2772"/>
        <w:gridCol w:w="2374"/>
        <w:gridCol w:w="2718"/>
      </w:tblGrid>
      <w:tr>
        <w:trPr>
          <w:trHeight w:val="216" w:hRule="atLeast"/>
        </w:trPr>
        <w:tc>
          <w:tcPr>
            <w:tcW w:w="3372" w:type="dxa"/>
            <w:shd w:val="clear" w:color="auto" w:fill="006A4D"/>
          </w:tcPr>
          <w:p>
            <w:pPr>
              <w:pStyle w:val="TableParagraph"/>
              <w:spacing w:line="184" w:lineRule="exact" w:before="12"/>
              <w:ind w:right="1181"/>
              <w:jc w:val="right"/>
              <w:rPr>
                <w:b/>
                <w:sz w:val="18"/>
              </w:rPr>
            </w:pPr>
            <w:r>
              <w:rPr>
                <w:b/>
                <w:color w:val="FFFFFF"/>
                <w:w w:val="115"/>
                <w:sz w:val="18"/>
              </w:rPr>
              <w:t>Name</w:t>
            </w:r>
          </w:p>
        </w:tc>
        <w:tc>
          <w:tcPr>
            <w:tcW w:w="2319" w:type="dxa"/>
            <w:shd w:val="clear" w:color="auto" w:fill="006A4D"/>
          </w:tcPr>
          <w:p>
            <w:pPr>
              <w:pStyle w:val="TableParagraph"/>
              <w:jc w:val="left"/>
              <w:rPr>
                <w:rFonts w:ascii="Times New Roman"/>
                <w:sz w:val="14"/>
              </w:rPr>
            </w:pPr>
          </w:p>
        </w:tc>
        <w:tc>
          <w:tcPr>
            <w:tcW w:w="2772" w:type="dxa"/>
            <w:shd w:val="clear" w:color="auto" w:fill="006A4D"/>
          </w:tcPr>
          <w:p>
            <w:pPr>
              <w:pStyle w:val="TableParagraph"/>
              <w:jc w:val="left"/>
              <w:rPr>
                <w:rFonts w:ascii="Times New Roman"/>
                <w:sz w:val="14"/>
              </w:rPr>
            </w:pPr>
          </w:p>
        </w:tc>
        <w:tc>
          <w:tcPr>
            <w:tcW w:w="2374" w:type="dxa"/>
            <w:shd w:val="clear" w:color="auto" w:fill="006A4D"/>
          </w:tcPr>
          <w:p>
            <w:pPr>
              <w:pStyle w:val="TableParagraph"/>
              <w:spacing w:line="184" w:lineRule="exact" w:before="12"/>
              <w:ind w:left="817" w:right="890"/>
              <w:rPr>
                <w:b/>
                <w:sz w:val="18"/>
              </w:rPr>
            </w:pPr>
            <w:r>
              <w:rPr>
                <w:b/>
                <w:color w:val="FFFFFF"/>
                <w:w w:val="105"/>
                <w:sz w:val="18"/>
              </w:rPr>
              <w:t>(Years)</w:t>
            </w:r>
          </w:p>
        </w:tc>
        <w:tc>
          <w:tcPr>
            <w:tcW w:w="2718" w:type="dxa"/>
            <w:shd w:val="clear" w:color="auto" w:fill="006A4D"/>
          </w:tcPr>
          <w:p>
            <w:pPr>
              <w:pStyle w:val="TableParagraph"/>
              <w:spacing w:line="184" w:lineRule="exact" w:before="12"/>
              <w:ind w:left="888" w:right="951"/>
              <w:rPr>
                <w:b/>
                <w:sz w:val="18"/>
              </w:rPr>
            </w:pPr>
            <w:r>
              <w:rPr>
                <w:b/>
                <w:color w:val="FFFFFF"/>
                <w:sz w:val="18"/>
              </w:rPr>
              <w:t>(sf)</w:t>
            </w:r>
          </w:p>
        </w:tc>
      </w:tr>
      <w:tr>
        <w:trPr>
          <w:trHeight w:val="244" w:hRule="atLeast"/>
        </w:trPr>
        <w:tc>
          <w:tcPr>
            <w:tcW w:w="3372" w:type="dxa"/>
            <w:shd w:val="clear" w:color="auto" w:fill="69BD28"/>
          </w:tcPr>
          <w:p>
            <w:pPr>
              <w:pStyle w:val="TableParagraph"/>
              <w:jc w:val="left"/>
              <w:rPr>
                <w:rFonts w:ascii="Times New Roman"/>
                <w:sz w:val="16"/>
              </w:rPr>
            </w:pPr>
          </w:p>
        </w:tc>
        <w:tc>
          <w:tcPr>
            <w:tcW w:w="2319" w:type="dxa"/>
            <w:shd w:val="clear" w:color="auto" w:fill="69BD28"/>
          </w:tcPr>
          <w:p>
            <w:pPr>
              <w:pStyle w:val="TableParagraph"/>
              <w:jc w:val="left"/>
              <w:rPr>
                <w:rFonts w:ascii="Times New Roman"/>
                <w:sz w:val="16"/>
              </w:rPr>
            </w:pPr>
          </w:p>
        </w:tc>
        <w:tc>
          <w:tcPr>
            <w:tcW w:w="2772" w:type="dxa"/>
            <w:shd w:val="clear" w:color="auto" w:fill="69BD28"/>
          </w:tcPr>
          <w:p>
            <w:pPr>
              <w:pStyle w:val="TableParagraph"/>
              <w:spacing w:line="198" w:lineRule="exact" w:before="26"/>
              <w:ind w:right="872"/>
              <w:jc w:val="right"/>
              <w:rPr>
                <w:b/>
                <w:sz w:val="18"/>
              </w:rPr>
            </w:pPr>
            <w:r>
              <w:rPr>
                <w:b/>
                <w:color w:val="FFFFFF"/>
                <w:w w:val="110"/>
                <w:sz w:val="18"/>
              </w:rPr>
              <w:t>Completed Blocks</w:t>
            </w:r>
          </w:p>
        </w:tc>
        <w:tc>
          <w:tcPr>
            <w:tcW w:w="2374" w:type="dxa"/>
            <w:shd w:val="clear" w:color="auto" w:fill="69BD28"/>
          </w:tcPr>
          <w:p>
            <w:pPr>
              <w:pStyle w:val="TableParagraph"/>
              <w:jc w:val="left"/>
              <w:rPr>
                <w:rFonts w:ascii="Times New Roman"/>
                <w:sz w:val="16"/>
              </w:rPr>
            </w:pPr>
          </w:p>
        </w:tc>
        <w:tc>
          <w:tcPr>
            <w:tcW w:w="2718" w:type="dxa"/>
            <w:shd w:val="clear" w:color="auto" w:fill="69BD28"/>
          </w:tcPr>
          <w:p>
            <w:pPr>
              <w:pStyle w:val="TableParagraph"/>
              <w:jc w:val="left"/>
              <w:rPr>
                <w:rFonts w:ascii="Times New Roman"/>
                <w:sz w:val="16"/>
              </w:rPr>
            </w:pPr>
          </w:p>
        </w:tc>
      </w:tr>
      <w:tr>
        <w:trPr>
          <w:trHeight w:val="254" w:hRule="atLeast"/>
        </w:trPr>
        <w:tc>
          <w:tcPr>
            <w:tcW w:w="3372" w:type="dxa"/>
            <w:tcBorders>
              <w:bottom w:val="single" w:sz="6" w:space="0" w:color="69BD28"/>
            </w:tcBorders>
          </w:tcPr>
          <w:p>
            <w:pPr>
              <w:pStyle w:val="TableParagraph"/>
              <w:spacing w:line="203" w:lineRule="exact" w:before="31"/>
              <w:ind w:right="1169"/>
              <w:jc w:val="right"/>
              <w:rPr>
                <w:sz w:val="18"/>
              </w:rPr>
            </w:pPr>
            <w:r>
              <w:rPr>
                <w:w w:val="105"/>
                <w:sz w:val="18"/>
              </w:rPr>
              <w:t>Wing A</w:t>
            </w:r>
          </w:p>
        </w:tc>
        <w:tc>
          <w:tcPr>
            <w:tcW w:w="2319" w:type="dxa"/>
            <w:tcBorders>
              <w:bottom w:val="single" w:sz="6" w:space="0" w:color="69BD28"/>
            </w:tcBorders>
          </w:tcPr>
          <w:p>
            <w:pPr>
              <w:pStyle w:val="TableParagraph"/>
              <w:spacing w:line="203" w:lineRule="exact" w:before="31"/>
              <w:ind w:right="287"/>
              <w:jc w:val="right"/>
              <w:rPr>
                <w:sz w:val="18"/>
              </w:rPr>
            </w:pPr>
            <w:r>
              <w:rPr>
                <w:w w:val="120"/>
                <w:sz w:val="18"/>
              </w:rPr>
              <w:t>2B+G+11</w:t>
            </w:r>
          </w:p>
        </w:tc>
        <w:tc>
          <w:tcPr>
            <w:tcW w:w="2772" w:type="dxa"/>
            <w:tcBorders>
              <w:bottom w:val="single" w:sz="6" w:space="0" w:color="69BD28"/>
            </w:tcBorders>
          </w:tcPr>
          <w:p>
            <w:pPr>
              <w:pStyle w:val="TableParagraph"/>
              <w:spacing w:line="203" w:lineRule="exact" w:before="31"/>
              <w:ind w:right="831"/>
              <w:jc w:val="right"/>
              <w:rPr>
                <w:sz w:val="18"/>
              </w:rPr>
            </w:pPr>
            <w:r>
              <w:rPr>
                <w:w w:val="105"/>
                <w:sz w:val="18"/>
              </w:rPr>
              <w:t>Non SEZ</w:t>
            </w:r>
          </w:p>
        </w:tc>
        <w:tc>
          <w:tcPr>
            <w:tcW w:w="2374" w:type="dxa"/>
            <w:tcBorders>
              <w:bottom w:val="single" w:sz="6" w:space="0" w:color="69BD28"/>
            </w:tcBorders>
          </w:tcPr>
          <w:p>
            <w:pPr>
              <w:pStyle w:val="TableParagraph"/>
              <w:spacing w:line="203" w:lineRule="exact" w:before="31"/>
              <w:ind w:left="815" w:right="890"/>
              <w:rPr>
                <w:sz w:val="18"/>
              </w:rPr>
            </w:pPr>
            <w:r>
              <w:rPr>
                <w:w w:val="110"/>
                <w:sz w:val="18"/>
              </w:rPr>
              <w:t>11</w:t>
            </w:r>
          </w:p>
        </w:tc>
        <w:tc>
          <w:tcPr>
            <w:tcW w:w="2718" w:type="dxa"/>
            <w:tcBorders>
              <w:bottom w:val="single" w:sz="6" w:space="0" w:color="69BD28"/>
            </w:tcBorders>
          </w:tcPr>
          <w:p>
            <w:pPr>
              <w:pStyle w:val="TableParagraph"/>
              <w:spacing w:before="12"/>
              <w:ind w:left="890" w:right="951"/>
              <w:rPr>
                <w:sz w:val="18"/>
              </w:rPr>
            </w:pPr>
            <w:r>
              <w:rPr>
                <w:w w:val="110"/>
                <w:sz w:val="18"/>
              </w:rPr>
              <w:t>367,668</w:t>
            </w:r>
          </w:p>
        </w:tc>
      </w:tr>
      <w:tr>
        <w:trPr>
          <w:trHeight w:val="254" w:hRule="atLeast"/>
        </w:trPr>
        <w:tc>
          <w:tcPr>
            <w:tcW w:w="3372" w:type="dxa"/>
            <w:tcBorders>
              <w:top w:val="single" w:sz="6" w:space="0" w:color="69BD28"/>
              <w:bottom w:val="single" w:sz="6" w:space="0" w:color="69BD28"/>
            </w:tcBorders>
          </w:tcPr>
          <w:p>
            <w:pPr>
              <w:pStyle w:val="TableParagraph"/>
              <w:spacing w:line="203" w:lineRule="exact" w:before="31"/>
              <w:ind w:right="1175"/>
              <w:jc w:val="right"/>
              <w:rPr>
                <w:sz w:val="18"/>
              </w:rPr>
            </w:pPr>
            <w:r>
              <w:rPr>
                <w:sz w:val="18"/>
              </w:rPr>
              <w:t>Wing B</w:t>
            </w:r>
          </w:p>
        </w:tc>
        <w:tc>
          <w:tcPr>
            <w:tcW w:w="2319" w:type="dxa"/>
            <w:tcBorders>
              <w:top w:val="single" w:sz="6" w:space="0" w:color="69BD28"/>
              <w:bottom w:val="single" w:sz="6" w:space="0" w:color="69BD28"/>
            </w:tcBorders>
          </w:tcPr>
          <w:p>
            <w:pPr>
              <w:pStyle w:val="TableParagraph"/>
              <w:spacing w:line="203" w:lineRule="exact" w:before="31"/>
              <w:ind w:right="287"/>
              <w:jc w:val="right"/>
              <w:rPr>
                <w:sz w:val="18"/>
              </w:rPr>
            </w:pPr>
            <w:r>
              <w:rPr>
                <w:w w:val="120"/>
                <w:sz w:val="18"/>
              </w:rPr>
              <w:t>2B+G+14</w:t>
            </w:r>
          </w:p>
        </w:tc>
        <w:tc>
          <w:tcPr>
            <w:tcW w:w="2772" w:type="dxa"/>
            <w:tcBorders>
              <w:top w:val="single" w:sz="6" w:space="0" w:color="69BD28"/>
              <w:bottom w:val="single" w:sz="6" w:space="0" w:color="69BD28"/>
            </w:tcBorders>
          </w:tcPr>
          <w:p>
            <w:pPr>
              <w:pStyle w:val="TableParagraph"/>
              <w:spacing w:line="203" w:lineRule="exact" w:before="31"/>
              <w:ind w:right="831"/>
              <w:jc w:val="right"/>
              <w:rPr>
                <w:sz w:val="18"/>
              </w:rPr>
            </w:pPr>
            <w:r>
              <w:rPr>
                <w:w w:val="105"/>
                <w:sz w:val="18"/>
              </w:rPr>
              <w:t>Non SEZ</w:t>
            </w:r>
          </w:p>
        </w:tc>
        <w:tc>
          <w:tcPr>
            <w:tcW w:w="2374" w:type="dxa"/>
            <w:tcBorders>
              <w:top w:val="single" w:sz="6" w:space="0" w:color="69BD28"/>
              <w:bottom w:val="single" w:sz="6" w:space="0" w:color="69BD28"/>
            </w:tcBorders>
          </w:tcPr>
          <w:p>
            <w:pPr>
              <w:pStyle w:val="TableParagraph"/>
              <w:spacing w:line="203" w:lineRule="exact" w:before="31"/>
              <w:ind w:left="815" w:right="890"/>
              <w:rPr>
                <w:sz w:val="18"/>
              </w:rPr>
            </w:pPr>
            <w:r>
              <w:rPr>
                <w:w w:val="110"/>
                <w:sz w:val="18"/>
              </w:rPr>
              <w:t>11</w:t>
            </w:r>
          </w:p>
        </w:tc>
        <w:tc>
          <w:tcPr>
            <w:tcW w:w="2718" w:type="dxa"/>
            <w:tcBorders>
              <w:top w:val="single" w:sz="6" w:space="0" w:color="69BD28"/>
              <w:bottom w:val="single" w:sz="6" w:space="0" w:color="69BD28"/>
            </w:tcBorders>
          </w:tcPr>
          <w:p>
            <w:pPr>
              <w:pStyle w:val="TableParagraph"/>
              <w:spacing w:before="12"/>
              <w:ind w:left="892" w:right="951"/>
              <w:rPr>
                <w:sz w:val="18"/>
              </w:rPr>
            </w:pPr>
            <w:r>
              <w:rPr>
                <w:w w:val="110"/>
                <w:sz w:val="18"/>
              </w:rPr>
              <w:t>460,481</w:t>
            </w:r>
          </w:p>
        </w:tc>
      </w:tr>
      <w:tr>
        <w:trPr>
          <w:trHeight w:val="251" w:hRule="atLeast"/>
        </w:trPr>
        <w:tc>
          <w:tcPr>
            <w:tcW w:w="3372" w:type="dxa"/>
            <w:tcBorders>
              <w:top w:val="single" w:sz="6" w:space="0" w:color="69BD28"/>
              <w:bottom w:val="single" w:sz="6" w:space="0" w:color="69BD28"/>
            </w:tcBorders>
          </w:tcPr>
          <w:p>
            <w:pPr>
              <w:pStyle w:val="TableParagraph"/>
              <w:spacing w:line="200" w:lineRule="exact" w:before="31"/>
              <w:ind w:right="1160"/>
              <w:jc w:val="right"/>
              <w:rPr>
                <w:sz w:val="18"/>
              </w:rPr>
            </w:pPr>
            <w:r>
              <w:rPr>
                <w:w w:val="110"/>
                <w:sz w:val="18"/>
              </w:rPr>
              <w:t>Wing C</w:t>
            </w:r>
          </w:p>
        </w:tc>
        <w:tc>
          <w:tcPr>
            <w:tcW w:w="2319" w:type="dxa"/>
            <w:tcBorders>
              <w:top w:val="single" w:sz="6" w:space="0" w:color="69BD28"/>
              <w:bottom w:val="single" w:sz="6" w:space="0" w:color="69BD28"/>
            </w:tcBorders>
          </w:tcPr>
          <w:p>
            <w:pPr>
              <w:pStyle w:val="TableParagraph"/>
              <w:spacing w:line="200" w:lineRule="exact" w:before="31"/>
              <w:ind w:right="287"/>
              <w:jc w:val="right"/>
              <w:rPr>
                <w:sz w:val="18"/>
              </w:rPr>
            </w:pPr>
            <w:r>
              <w:rPr>
                <w:w w:val="120"/>
                <w:sz w:val="18"/>
              </w:rPr>
              <w:t>2B+G+11</w:t>
            </w:r>
          </w:p>
        </w:tc>
        <w:tc>
          <w:tcPr>
            <w:tcW w:w="2772" w:type="dxa"/>
            <w:tcBorders>
              <w:top w:val="single" w:sz="6" w:space="0" w:color="69BD28"/>
              <w:bottom w:val="single" w:sz="6" w:space="0" w:color="69BD28"/>
            </w:tcBorders>
          </w:tcPr>
          <w:p>
            <w:pPr>
              <w:pStyle w:val="TableParagraph"/>
              <w:spacing w:line="200" w:lineRule="exact" w:before="31"/>
              <w:ind w:right="831"/>
              <w:jc w:val="right"/>
              <w:rPr>
                <w:sz w:val="18"/>
              </w:rPr>
            </w:pPr>
            <w:r>
              <w:rPr>
                <w:w w:val="105"/>
                <w:sz w:val="18"/>
              </w:rPr>
              <w:t>Non SEZ</w:t>
            </w:r>
          </w:p>
        </w:tc>
        <w:tc>
          <w:tcPr>
            <w:tcW w:w="2374" w:type="dxa"/>
            <w:tcBorders>
              <w:top w:val="single" w:sz="6" w:space="0" w:color="69BD28"/>
              <w:bottom w:val="single" w:sz="6" w:space="0" w:color="69BD28"/>
            </w:tcBorders>
          </w:tcPr>
          <w:p>
            <w:pPr>
              <w:pStyle w:val="TableParagraph"/>
              <w:spacing w:line="200" w:lineRule="exact" w:before="31"/>
              <w:ind w:left="815" w:right="890"/>
              <w:rPr>
                <w:sz w:val="18"/>
              </w:rPr>
            </w:pPr>
            <w:r>
              <w:rPr>
                <w:w w:val="110"/>
                <w:sz w:val="18"/>
              </w:rPr>
              <w:t>11</w:t>
            </w:r>
          </w:p>
        </w:tc>
        <w:tc>
          <w:tcPr>
            <w:tcW w:w="2718" w:type="dxa"/>
            <w:tcBorders>
              <w:top w:val="single" w:sz="6" w:space="0" w:color="69BD28"/>
              <w:bottom w:val="single" w:sz="6" w:space="0" w:color="69BD28"/>
            </w:tcBorders>
          </w:tcPr>
          <w:p>
            <w:pPr>
              <w:pStyle w:val="TableParagraph"/>
              <w:spacing w:before="12"/>
              <w:ind w:left="890" w:right="951"/>
              <w:rPr>
                <w:sz w:val="18"/>
              </w:rPr>
            </w:pPr>
            <w:r>
              <w:rPr>
                <w:w w:val="110"/>
                <w:sz w:val="18"/>
              </w:rPr>
              <w:t>361,395</w:t>
            </w:r>
          </w:p>
        </w:tc>
      </w:tr>
      <w:tr>
        <w:trPr>
          <w:trHeight w:val="253" w:hRule="atLeast"/>
        </w:trPr>
        <w:tc>
          <w:tcPr>
            <w:tcW w:w="3372" w:type="dxa"/>
            <w:tcBorders>
              <w:top w:val="single" w:sz="6" w:space="0" w:color="69BD28"/>
              <w:bottom w:val="single" w:sz="6" w:space="0" w:color="69BD28"/>
            </w:tcBorders>
          </w:tcPr>
          <w:p>
            <w:pPr>
              <w:pStyle w:val="TableParagraph"/>
              <w:spacing w:line="203" w:lineRule="exact" w:before="31"/>
              <w:ind w:right="1267"/>
              <w:jc w:val="right"/>
              <w:rPr>
                <w:sz w:val="18"/>
              </w:rPr>
            </w:pPr>
            <w:r>
              <w:rPr>
                <w:w w:val="90"/>
                <w:sz w:val="18"/>
              </w:rPr>
              <w:t>Total</w:t>
            </w:r>
          </w:p>
        </w:tc>
        <w:tc>
          <w:tcPr>
            <w:tcW w:w="2319" w:type="dxa"/>
            <w:tcBorders>
              <w:top w:val="single" w:sz="6" w:space="0" w:color="69BD28"/>
              <w:bottom w:val="single" w:sz="6" w:space="0" w:color="69BD28"/>
            </w:tcBorders>
          </w:tcPr>
          <w:p>
            <w:pPr>
              <w:pStyle w:val="TableParagraph"/>
              <w:jc w:val="left"/>
              <w:rPr>
                <w:rFonts w:ascii="Times New Roman"/>
                <w:sz w:val="16"/>
              </w:rPr>
            </w:pPr>
          </w:p>
        </w:tc>
        <w:tc>
          <w:tcPr>
            <w:tcW w:w="2772" w:type="dxa"/>
            <w:tcBorders>
              <w:top w:val="single" w:sz="6" w:space="0" w:color="69BD28"/>
              <w:bottom w:val="single" w:sz="6" w:space="0" w:color="69BD28"/>
            </w:tcBorders>
          </w:tcPr>
          <w:p>
            <w:pPr>
              <w:pStyle w:val="TableParagraph"/>
              <w:jc w:val="left"/>
              <w:rPr>
                <w:rFonts w:ascii="Times New Roman"/>
                <w:sz w:val="16"/>
              </w:rPr>
            </w:pPr>
          </w:p>
        </w:tc>
        <w:tc>
          <w:tcPr>
            <w:tcW w:w="2374" w:type="dxa"/>
            <w:tcBorders>
              <w:top w:val="single" w:sz="6" w:space="0" w:color="69BD28"/>
              <w:bottom w:val="single" w:sz="6" w:space="0" w:color="69BD28"/>
            </w:tcBorders>
          </w:tcPr>
          <w:p>
            <w:pPr>
              <w:pStyle w:val="TableParagraph"/>
              <w:jc w:val="left"/>
              <w:rPr>
                <w:rFonts w:ascii="Times New Roman"/>
                <w:sz w:val="16"/>
              </w:rPr>
            </w:pPr>
          </w:p>
        </w:tc>
        <w:tc>
          <w:tcPr>
            <w:tcW w:w="2718" w:type="dxa"/>
            <w:tcBorders>
              <w:top w:val="single" w:sz="6" w:space="0" w:color="69BD28"/>
              <w:bottom w:val="single" w:sz="6" w:space="0" w:color="69BD28"/>
            </w:tcBorders>
          </w:tcPr>
          <w:p>
            <w:pPr>
              <w:pStyle w:val="TableParagraph"/>
              <w:spacing w:before="12"/>
              <w:ind w:left="893" w:right="951"/>
              <w:rPr>
                <w:sz w:val="18"/>
              </w:rPr>
            </w:pPr>
            <w:r>
              <w:rPr>
                <w:w w:val="105"/>
                <w:sz w:val="18"/>
              </w:rPr>
              <w:t>1,189,544</w:t>
            </w:r>
          </w:p>
        </w:tc>
      </w:tr>
    </w:tbl>
    <w:p>
      <w:pPr>
        <w:spacing w:before="4"/>
        <w:ind w:left="211" w:right="0" w:firstLine="0"/>
        <w:jc w:val="left"/>
        <w:rPr>
          <w:i/>
          <w:sz w:val="16"/>
        </w:rPr>
      </w:pPr>
      <w:r>
        <w:rPr>
          <w:sz w:val="16"/>
        </w:rPr>
        <w:t>* </w:t>
      </w:r>
      <w:r>
        <w:rPr>
          <w:i/>
          <w:sz w:val="16"/>
        </w:rPr>
        <w:t>For all the three wings viz. A, B &amp; C, the part occupancy certificate has been received in 2009 and remaining in 2014 for upper 2 floors for all the wings</w:t>
      </w:r>
    </w:p>
    <w:p>
      <w:pPr>
        <w:pStyle w:val="BodyText"/>
        <w:rPr>
          <w:i/>
          <w:sz w:val="20"/>
        </w:rPr>
      </w:pPr>
    </w:p>
    <w:p>
      <w:pPr>
        <w:pStyle w:val="BodyText"/>
        <w:rPr>
          <w:i/>
          <w:sz w:val="20"/>
        </w:rPr>
      </w:pPr>
    </w:p>
    <w:p>
      <w:pPr>
        <w:pStyle w:val="BodyText"/>
        <w:spacing w:before="5"/>
        <w:rPr>
          <w:i/>
          <w:sz w:val="29"/>
        </w:rPr>
      </w:pPr>
      <w:r>
        <w:rPr/>
        <w:pict>
          <v:group style="position:absolute;margin-left:199.339996pt;margin-top:19.069921pt;width:418.65pt;height:15.4pt;mso-position-horizontal-relative:page;mso-position-vertical-relative:paragraph;z-index:-15472640;mso-wrap-distance-left:0;mso-wrap-distance-right:0" coordorigin="3987,381" coordsize="8373,308">
            <v:shape style="position:absolute;left:3986;top:395;width:8373;height:279" coordorigin="3987,396" coordsize="8373,279" path="m12359,396l8483,396,3987,396,3987,674,8483,674,12359,674,12359,396xe" filled="true" fillcolor="#006a4d" stroked="false">
              <v:path arrowok="t"/>
              <v:fill type="solid"/>
            </v:shape>
            <v:shape style="position:absolute;left:3986;top:381;width:8373;height:308" coordorigin="3987,381" coordsize="8373,308" path="m12359,674l8497,674,8483,674,3987,674,3987,689,8483,689,8497,689,12359,689,12359,674xm12359,381l8497,381,8483,381,3987,381,3987,396,8483,396,8497,396,12359,396,12359,381xe" filled="true" fillcolor="#69bd28" stroked="false">
              <v:path arrowok="t"/>
              <v:fill type="solid"/>
            </v:shape>
            <v:shape style="position:absolute;left:3986;top:395;width:8373;height:279" type="#_x0000_t202" filled="false" stroked="false">
              <v:textbox inset="0,0,0,0">
                <w:txbxContent>
                  <w:p>
                    <w:pPr>
                      <w:tabs>
                        <w:tab w:pos="5631" w:val="left" w:leader="none"/>
                      </w:tabs>
                      <w:spacing w:before="35"/>
                      <w:ind w:left="1932" w:right="0" w:firstLine="0"/>
                      <w:jc w:val="left"/>
                      <w:rPr>
                        <w:b/>
                        <w:sz w:val="18"/>
                      </w:rPr>
                    </w:pPr>
                    <w:r>
                      <w:rPr>
                        <w:b/>
                        <w:color w:val="FFFFFF"/>
                        <w:w w:val="110"/>
                        <w:sz w:val="18"/>
                      </w:rPr>
                      <w:t>Details</w:t>
                      <w:tab/>
                      <w:t>Completed</w:t>
                    </w:r>
                    <w:r>
                      <w:rPr>
                        <w:b/>
                        <w:color w:val="FFFFFF"/>
                        <w:spacing w:val="-6"/>
                        <w:w w:val="110"/>
                        <w:sz w:val="18"/>
                      </w:rPr>
                      <w:t> </w:t>
                    </w:r>
                    <w:r>
                      <w:rPr>
                        <w:b/>
                        <w:color w:val="FFFFFF"/>
                        <w:w w:val="110"/>
                        <w:sz w:val="18"/>
                      </w:rPr>
                      <w:t>Blocks</w:t>
                    </w:r>
                  </w:p>
                </w:txbxContent>
              </v:textbox>
              <w10:wrap type="none"/>
            </v:shape>
            <w10:wrap type="topAndBottom"/>
          </v:group>
        </w:pict>
      </w:r>
    </w:p>
    <w:p>
      <w:pPr>
        <w:tabs>
          <w:tab w:pos="8883" w:val="left" w:leader="none"/>
        </w:tabs>
        <w:spacing w:before="6" w:after="35"/>
        <w:ind w:left="4184" w:right="0" w:firstLine="0"/>
        <w:jc w:val="left"/>
        <w:rPr>
          <w:sz w:val="18"/>
        </w:rPr>
      </w:pPr>
      <w:r>
        <w:rPr>
          <w:sz w:val="18"/>
        </w:rPr>
        <w:t>Grade of</w:t>
      </w:r>
      <w:r>
        <w:rPr>
          <w:spacing w:val="-13"/>
          <w:sz w:val="18"/>
        </w:rPr>
        <w:t> </w:t>
      </w:r>
      <w:r>
        <w:rPr>
          <w:sz w:val="18"/>
        </w:rPr>
        <w:t>the</w:t>
      </w:r>
      <w:r>
        <w:rPr>
          <w:spacing w:val="-7"/>
          <w:sz w:val="18"/>
        </w:rPr>
        <w:t> </w:t>
      </w:r>
      <w:r>
        <w:rPr>
          <w:sz w:val="18"/>
        </w:rPr>
        <w:t>Building</w:t>
        <w:tab/>
        <w:t>Grade A</w:t>
      </w:r>
    </w:p>
    <w:p>
      <w:pPr>
        <w:pStyle w:val="BodyText"/>
        <w:spacing w:line="20" w:lineRule="exact"/>
        <w:ind w:left="2786"/>
        <w:rPr>
          <w:sz w:val="2"/>
        </w:rPr>
      </w:pPr>
      <w:r>
        <w:rPr>
          <w:sz w:val="2"/>
        </w:rPr>
        <w:pict>
          <v:group style="width:418.65pt;height:.75pt;mso-position-horizontal-relative:char;mso-position-vertical-relative:line" coordorigin="0,0" coordsize="8373,15">
            <v:shape style="position:absolute;left:0;top:0;width:8373;height:15" coordorigin="0,0" coordsize="8373,15" path="m8373,0l4511,0,4496,0,0,0,0,14,4496,14,4511,14,8373,14,8373,0xe" filled="true" fillcolor="#69bd28" stroked="false">
              <v:path arrowok="t"/>
              <v:fill type="solid"/>
            </v:shape>
          </v:group>
        </w:pict>
      </w:r>
      <w:r>
        <w:rPr>
          <w:sz w:val="2"/>
        </w:rPr>
      </w:r>
    </w:p>
    <w:p>
      <w:pPr>
        <w:tabs>
          <w:tab w:pos="8449" w:val="left" w:leader="none"/>
        </w:tabs>
        <w:spacing w:before="29"/>
        <w:ind w:left="4294" w:right="0" w:firstLine="0"/>
        <w:jc w:val="left"/>
        <w:rPr>
          <w:sz w:val="18"/>
        </w:rPr>
      </w:pPr>
      <w:r>
        <w:rPr/>
        <w:pict>
          <v:shape style="position:absolute;margin-left:199.340012pt;margin-top:13.620675pt;width:418.65pt;height:.75pt;mso-position-horizontal-relative:page;mso-position-vertical-relative:paragraph;z-index:-15471616;mso-wrap-distance-left:0;mso-wrap-distance-right:0" coordorigin="3987,272" coordsize="8373,15" path="m12359,272l8497,272,8483,272,3987,272,3987,287,8483,287,8497,287,12359,287,12359,272xe" filled="true" fillcolor="#69bd28" stroked="false">
            <v:path arrowok="t"/>
            <v:fill type="solid"/>
            <w10:wrap type="topAndBottom"/>
          </v:shape>
        </w:pict>
      </w:r>
      <w:r>
        <w:rPr>
          <w:sz w:val="18"/>
        </w:rPr>
        <w:t>LEED</w:t>
      </w:r>
      <w:r>
        <w:rPr>
          <w:spacing w:val="-25"/>
          <w:sz w:val="18"/>
        </w:rPr>
        <w:t> </w:t>
      </w:r>
      <w:r>
        <w:rPr>
          <w:sz w:val="18"/>
        </w:rPr>
        <w:t>Certification*</w:t>
        <w:tab/>
        <w:t>Gold (Core &amp;</w:t>
      </w:r>
      <w:r>
        <w:rPr>
          <w:spacing w:val="-24"/>
          <w:sz w:val="18"/>
        </w:rPr>
        <w:t> </w:t>
      </w:r>
      <w:r>
        <w:rPr>
          <w:sz w:val="18"/>
        </w:rPr>
        <w:t>Shell)</w:t>
      </w:r>
    </w:p>
    <w:p>
      <w:pPr>
        <w:tabs>
          <w:tab w:pos="8242" w:val="left" w:leader="none"/>
        </w:tabs>
        <w:spacing w:line="163" w:lineRule="auto" w:before="49" w:after="68"/>
        <w:ind w:left="8447" w:right="5431" w:hanging="4081"/>
        <w:jc w:val="left"/>
        <w:rPr>
          <w:sz w:val="18"/>
        </w:rPr>
      </w:pPr>
      <w:r>
        <w:rPr>
          <w:w w:val="105"/>
          <w:position w:val="-10"/>
          <w:sz w:val="18"/>
        </w:rPr>
        <w:t>Structural</w:t>
      </w:r>
      <w:r>
        <w:rPr>
          <w:spacing w:val="-35"/>
          <w:w w:val="105"/>
          <w:position w:val="-10"/>
          <w:sz w:val="18"/>
        </w:rPr>
        <w:t> </w:t>
      </w:r>
      <w:r>
        <w:rPr>
          <w:w w:val="105"/>
          <w:position w:val="-10"/>
          <w:sz w:val="18"/>
        </w:rPr>
        <w:t>Design</w:t>
        <w:tab/>
      </w:r>
      <w:r>
        <w:rPr>
          <w:w w:val="105"/>
          <w:sz w:val="18"/>
        </w:rPr>
        <w:t>2B+G+11 (Wing A &amp; C) 2B+G+14(Wing</w:t>
      </w:r>
      <w:r>
        <w:rPr>
          <w:spacing w:val="14"/>
          <w:w w:val="105"/>
          <w:sz w:val="18"/>
        </w:rPr>
        <w:t> </w:t>
      </w:r>
      <w:r>
        <w:rPr>
          <w:w w:val="105"/>
          <w:sz w:val="18"/>
        </w:rPr>
        <w:t>A)</w:t>
      </w:r>
    </w:p>
    <w:p>
      <w:pPr>
        <w:pStyle w:val="BodyText"/>
        <w:spacing w:line="20" w:lineRule="exact"/>
        <w:ind w:left="2786"/>
        <w:rPr>
          <w:sz w:val="2"/>
        </w:rPr>
      </w:pPr>
      <w:r>
        <w:rPr>
          <w:sz w:val="2"/>
        </w:rPr>
        <w:pict>
          <v:group style="width:418.65pt;height:.75pt;mso-position-horizontal-relative:char;mso-position-vertical-relative:line" coordorigin="0,0" coordsize="8373,15">
            <v:shape style="position:absolute;left:0;top:0;width:8373;height:15" coordorigin="0,0" coordsize="8373,15" path="m8373,0l4511,0,4496,0,0,0,0,14,4496,14,4511,14,8373,14,8373,0xe" filled="true" fillcolor="#69bd28" stroked="false">
              <v:path arrowok="t"/>
              <v:fill type="solid"/>
            </v:shape>
          </v:group>
        </w:pict>
      </w:r>
      <w:r>
        <w:rPr>
          <w:sz w:val="2"/>
        </w:rPr>
      </w:r>
    </w:p>
    <w:p>
      <w:pPr>
        <w:tabs>
          <w:tab w:pos="8766" w:val="left" w:leader="none"/>
        </w:tabs>
        <w:spacing w:before="29"/>
        <w:ind w:left="4323" w:right="0" w:firstLine="0"/>
        <w:jc w:val="left"/>
        <w:rPr>
          <w:sz w:val="18"/>
        </w:rPr>
      </w:pPr>
      <w:r>
        <w:rPr/>
        <w:pict>
          <v:shape style="position:absolute;margin-left:199.340012pt;margin-top:13.620676pt;width:418.65pt;height:.75pt;mso-position-horizontal-relative:page;mso-position-vertical-relative:paragraph;z-index:-15470592;mso-wrap-distance-left:0;mso-wrap-distance-right:0" coordorigin="3987,272" coordsize="8373,15" path="m12359,272l8497,272,8483,272,3987,272,3987,287,8483,287,8497,287,12359,287,12359,272xe" filled="true" fillcolor="#69bd28" stroked="false">
            <v:path arrowok="t"/>
            <v:fill type="solid"/>
            <w10:wrap type="topAndBottom"/>
          </v:shape>
        </w:pict>
      </w:r>
      <w:r>
        <w:rPr>
          <w:sz w:val="18"/>
        </w:rPr>
        <w:t>Status</w:t>
      </w:r>
      <w:r>
        <w:rPr>
          <w:spacing w:val="-17"/>
          <w:sz w:val="18"/>
        </w:rPr>
        <w:t> </w:t>
      </w:r>
      <w:r>
        <w:rPr>
          <w:sz w:val="18"/>
        </w:rPr>
        <w:t>of</w:t>
      </w:r>
      <w:r>
        <w:rPr>
          <w:spacing w:val="-17"/>
          <w:sz w:val="18"/>
        </w:rPr>
        <w:t> </w:t>
      </w:r>
      <w:r>
        <w:rPr>
          <w:sz w:val="18"/>
        </w:rPr>
        <w:t>Finishing</w:t>
        <w:tab/>
        <w:t>Warm</w:t>
      </w:r>
      <w:r>
        <w:rPr>
          <w:spacing w:val="-1"/>
          <w:sz w:val="18"/>
        </w:rPr>
        <w:t> </w:t>
      </w:r>
      <w:r>
        <w:rPr>
          <w:sz w:val="18"/>
        </w:rPr>
        <w:t>Shell</w:t>
      </w:r>
    </w:p>
    <w:p>
      <w:pPr>
        <w:tabs>
          <w:tab w:pos="7638" w:val="left" w:leader="none"/>
        </w:tabs>
        <w:spacing w:before="6" w:after="34"/>
        <w:ind w:left="3908" w:right="0" w:firstLine="0"/>
        <w:jc w:val="left"/>
        <w:rPr>
          <w:sz w:val="18"/>
        </w:rPr>
      </w:pPr>
      <w:r>
        <w:rPr>
          <w:sz w:val="18"/>
        </w:rPr>
        <w:t>Comments</w:t>
      </w:r>
      <w:r>
        <w:rPr>
          <w:spacing w:val="-1"/>
          <w:sz w:val="18"/>
        </w:rPr>
        <w:t> </w:t>
      </w:r>
      <w:r>
        <w:rPr>
          <w:sz w:val="18"/>
        </w:rPr>
        <w:t>on</w:t>
      </w:r>
      <w:r>
        <w:rPr>
          <w:spacing w:val="2"/>
          <w:sz w:val="18"/>
        </w:rPr>
        <w:t> </w:t>
      </w:r>
      <w:r>
        <w:rPr>
          <w:sz w:val="18"/>
        </w:rPr>
        <w:t>Obsolescence</w:t>
        <w:tab/>
        <w:t>The building is currently well</w:t>
      </w:r>
      <w:r>
        <w:rPr>
          <w:spacing w:val="-14"/>
          <w:sz w:val="18"/>
        </w:rPr>
        <w:t> </w:t>
      </w:r>
      <w:r>
        <w:rPr>
          <w:sz w:val="18"/>
        </w:rPr>
        <w:t>maintained</w:t>
      </w:r>
    </w:p>
    <w:p>
      <w:pPr>
        <w:pStyle w:val="BodyText"/>
        <w:spacing w:line="20" w:lineRule="exact"/>
        <w:ind w:left="2786"/>
        <w:rPr>
          <w:sz w:val="2"/>
        </w:rPr>
      </w:pPr>
      <w:r>
        <w:rPr>
          <w:sz w:val="2"/>
        </w:rPr>
        <w:pict>
          <v:group style="width:418.65pt;height:.75pt;mso-position-horizontal-relative:char;mso-position-vertical-relative:line" coordorigin="0,0" coordsize="8373,15">
            <v:shape style="position:absolute;left:0;top:0;width:8373;height:15" coordorigin="0,0" coordsize="8373,15" path="m8373,0l4511,0,4496,0,0,0,0,14,4496,14,4511,14,8373,14,8373,0xe" filled="true" fillcolor="#69bd28" stroked="false">
              <v:path arrowok="t"/>
              <v:fill type="solid"/>
            </v:shape>
          </v:group>
        </w:pict>
      </w:r>
      <w:r>
        <w:rPr>
          <w:sz w:val="2"/>
        </w:rPr>
      </w:r>
    </w:p>
    <w:p>
      <w:pPr>
        <w:spacing w:before="43"/>
        <w:ind w:left="2894" w:right="0" w:firstLine="0"/>
        <w:jc w:val="left"/>
        <w:rPr>
          <w:i/>
          <w:sz w:val="16"/>
        </w:rPr>
      </w:pPr>
      <w:r>
        <w:rPr>
          <w:sz w:val="16"/>
        </w:rPr>
        <w:t>* </w:t>
      </w:r>
      <w:r>
        <w:rPr>
          <w:i/>
          <w:sz w:val="16"/>
        </w:rPr>
        <w:t>Indian Green Building Council Certificate</w:t>
      </w:r>
    </w:p>
    <w:p>
      <w:pPr>
        <w:spacing w:after="0"/>
        <w:jc w:val="left"/>
        <w:rPr>
          <w:sz w:val="16"/>
        </w:rPr>
        <w:sectPr>
          <w:headerReference w:type="default" r:id="rId110"/>
          <w:footerReference w:type="default" r:id="rId111"/>
          <w:pgSz w:w="16840" w:h="11910" w:orient="landscape"/>
          <w:pgMar w:header="0" w:footer="523" w:top="880" w:bottom="720" w:left="1200" w:right="0"/>
        </w:sectPr>
      </w:pPr>
    </w:p>
    <w:p>
      <w:pPr>
        <w:pStyle w:val="BodyText"/>
        <w:spacing w:before="7"/>
        <w:rPr>
          <w:i/>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107" w:id="210"/>
      <w:bookmarkEnd w:id="210"/>
      <w:r>
        <w:rPr/>
      </w:r>
      <w:bookmarkStart w:name="_bookmark107" w:id="211"/>
      <w:bookmarkEnd w:id="211"/>
      <w:r>
        <w:rPr>
          <w:color w:val="1F664D"/>
          <w:sz w:val="22"/>
        </w:rPr>
        <w:t>Con</w:t>
      </w:r>
      <w:r>
        <w:rPr>
          <w:color w:val="1F664D"/>
          <w:sz w:val="22"/>
        </w:rPr>
        <w:t>struction, Services and</w:t>
      </w:r>
      <w:r>
        <w:rPr>
          <w:color w:val="1F664D"/>
          <w:spacing w:val="-3"/>
          <w:sz w:val="22"/>
        </w:rPr>
        <w:t> </w:t>
      </w:r>
      <w:r>
        <w:rPr>
          <w:color w:val="1F664D"/>
          <w:sz w:val="22"/>
        </w:rPr>
        <w:t>Finishes</w:t>
      </w:r>
    </w:p>
    <w:p>
      <w:pPr>
        <w:pStyle w:val="BodyText"/>
        <w:spacing w:before="2"/>
        <w:rPr>
          <w:sz w:val="14"/>
        </w:rPr>
      </w:pPr>
      <w:r>
        <w:rPr/>
        <w:pict>
          <v:group style="position:absolute;margin-left:36pt;margin-top:10.184435pt;width:523.6pt;height:15.85pt;mso-position-horizontal-relative:page;mso-position-vertical-relative:paragraph;z-index:-15464448;mso-wrap-distance-left:0;mso-wrap-distance-right:0" coordorigin="720,204" coordsize="10472,317">
            <v:shape style="position:absolute;left:720;top:218;width:10472;height:288" coordorigin="720,218" coordsize="10472,288" path="m11191,218l5956,218,720,218,720,506,5956,506,11191,506,11191,218xe" filled="true" fillcolor="#006a4d" stroked="false">
              <v:path arrowok="t"/>
              <v:fill type="solid"/>
            </v:shape>
            <v:shape style="position:absolute;left:720;top:203;width:10472;height:317" coordorigin="720,204" coordsize="10472,317" path="m11191,506l5970,506,5956,506,720,506,720,520,5956,520,5970,520,11191,520,11191,506xm11191,204l5970,204,5956,204,720,204,720,218,5956,218,5970,218,11191,218,11191,204xe" filled="true" fillcolor="#69bd28" stroked="false">
              <v:path arrowok="t"/>
              <v:fill type="solid"/>
            </v:shape>
            <v:shape style="position:absolute;left:720;top:218;width:10472;height:288" type="#_x0000_t202" filled="false" stroked="false">
              <v:textbox inset="0,0,0,0">
                <w:txbxContent>
                  <w:p>
                    <w:pPr>
                      <w:tabs>
                        <w:tab w:pos="5406" w:val="left" w:leader="none"/>
                      </w:tabs>
                      <w:spacing w:before="39"/>
                      <w:ind w:left="0" w:right="170" w:firstLine="0"/>
                      <w:jc w:val="center"/>
                      <w:rPr>
                        <w:b/>
                        <w:sz w:val="18"/>
                      </w:rPr>
                    </w:pPr>
                    <w:r>
                      <w:rPr>
                        <w:b/>
                        <w:color w:val="FFFFFF"/>
                        <w:w w:val="110"/>
                        <w:sz w:val="18"/>
                      </w:rPr>
                      <w:t>Particulars</w:t>
                      <w:tab/>
                      <w:t>Details</w:t>
                    </w:r>
                  </w:p>
                </w:txbxContent>
              </v:textbox>
              <w10:wrap type="none"/>
            </v:shape>
            <w10:wrap type="topAndBottom"/>
          </v:group>
        </w:pict>
      </w:r>
    </w:p>
    <w:p>
      <w:pPr>
        <w:tabs>
          <w:tab w:pos="7518" w:val="left" w:leader="none"/>
        </w:tabs>
        <w:spacing w:before="10" w:after="39"/>
        <w:ind w:left="1961" w:right="0" w:firstLine="0"/>
        <w:jc w:val="left"/>
        <w:rPr>
          <w:sz w:val="18"/>
        </w:rPr>
      </w:pPr>
      <w:r>
        <w:rPr>
          <w:sz w:val="18"/>
        </w:rPr>
        <w:t>Handover</w:t>
      </w:r>
      <w:r>
        <w:rPr>
          <w:spacing w:val="-12"/>
          <w:sz w:val="18"/>
        </w:rPr>
        <w:t> </w:t>
      </w:r>
      <w:r>
        <w:rPr>
          <w:sz w:val="18"/>
        </w:rPr>
        <w:t>condition</w:t>
        <w:tab/>
        <w:t>Warm</w:t>
      </w:r>
      <w:r>
        <w:rPr>
          <w:spacing w:val="-1"/>
          <w:sz w:val="18"/>
        </w:rPr>
        <w:t> </w:t>
      </w:r>
      <w:r>
        <w:rPr>
          <w:sz w:val="18"/>
        </w:rPr>
        <w:t>Shell</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7633" w:val="left" w:leader="none"/>
        </w:tabs>
        <w:spacing w:before="34"/>
        <w:ind w:left="1966" w:right="0" w:firstLine="0"/>
        <w:jc w:val="left"/>
        <w:rPr>
          <w:sz w:val="18"/>
        </w:rPr>
      </w:pPr>
      <w:r>
        <w:rPr/>
        <w:pict>
          <v:shape style="position:absolute;margin-left:36pt;margin-top:14.110681pt;width:523.6pt;height:.75pt;mso-position-horizontal-relative:page;mso-position-vertical-relative:paragraph;z-index:-15463424;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Passenger</w:t>
      </w:r>
      <w:r>
        <w:rPr>
          <w:spacing w:val="-21"/>
          <w:sz w:val="18"/>
        </w:rPr>
        <w:t> </w:t>
      </w:r>
      <w:r>
        <w:rPr>
          <w:sz w:val="18"/>
        </w:rPr>
        <w:t>elevators</w:t>
        <w:tab/>
        <w:t>Provided</w:t>
      </w:r>
    </w:p>
    <w:p>
      <w:pPr>
        <w:tabs>
          <w:tab w:pos="5545" w:val="left" w:leader="none"/>
        </w:tabs>
        <w:spacing w:before="13" w:after="39"/>
        <w:ind w:left="0" w:right="2392" w:firstLine="0"/>
        <w:jc w:val="right"/>
        <w:rPr>
          <w:sz w:val="18"/>
        </w:rPr>
      </w:pPr>
      <w:r>
        <w:rPr>
          <w:sz w:val="18"/>
        </w:rPr>
        <w:t>Service</w:t>
      </w:r>
      <w:r>
        <w:rPr>
          <w:spacing w:val="-33"/>
          <w:sz w:val="18"/>
        </w:rPr>
        <w:t> </w:t>
      </w:r>
      <w:r>
        <w:rPr>
          <w:sz w:val="18"/>
        </w:rPr>
        <w:t>elevators</w:t>
        <w:tab/>
      </w:r>
      <w:r>
        <w:rPr>
          <w:spacing w:val="-1"/>
          <w:w w:val="95"/>
          <w:sz w:val="18"/>
        </w:rPr>
        <w:t>Provided</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480" w:val="left" w:leader="none"/>
        </w:tabs>
        <w:spacing w:before="34"/>
        <w:ind w:left="0" w:right="2392" w:firstLine="0"/>
        <w:jc w:val="right"/>
        <w:rPr>
          <w:sz w:val="18"/>
        </w:rPr>
      </w:pPr>
      <w:r>
        <w:rPr/>
        <w:pict>
          <v:shape style="position:absolute;margin-left:36pt;margin-top:14.110636pt;width:523.6pt;height:.75pt;mso-position-horizontal-relative:page;mso-position-vertical-relative:paragraph;z-index:-15462400;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Power</w:t>
      </w:r>
      <w:r>
        <w:rPr>
          <w:spacing w:val="-11"/>
          <w:sz w:val="18"/>
        </w:rPr>
        <w:t> </w:t>
      </w:r>
      <w:r>
        <w:rPr>
          <w:sz w:val="18"/>
        </w:rPr>
        <w:t>back-up</w:t>
        <w:tab/>
      </w:r>
      <w:r>
        <w:rPr>
          <w:spacing w:val="-1"/>
          <w:w w:val="95"/>
          <w:sz w:val="18"/>
        </w:rPr>
        <w:t>Provided</w:t>
      </w:r>
    </w:p>
    <w:p>
      <w:pPr>
        <w:tabs>
          <w:tab w:pos="6049" w:val="left" w:leader="none"/>
        </w:tabs>
        <w:spacing w:before="10" w:after="39"/>
        <w:ind w:left="0" w:right="2392" w:firstLine="0"/>
        <w:jc w:val="right"/>
        <w:rPr>
          <w:sz w:val="18"/>
        </w:rPr>
      </w:pPr>
      <w:r>
        <w:rPr>
          <w:sz w:val="18"/>
        </w:rPr>
        <w:t>Building</w:t>
      </w:r>
      <w:r>
        <w:rPr>
          <w:spacing w:val="-16"/>
          <w:sz w:val="18"/>
        </w:rPr>
        <w:t> </w:t>
      </w:r>
      <w:r>
        <w:rPr>
          <w:sz w:val="18"/>
        </w:rPr>
        <w:t>management</w:t>
      </w:r>
      <w:r>
        <w:rPr>
          <w:spacing w:val="-16"/>
          <w:sz w:val="18"/>
        </w:rPr>
        <w:t> </w:t>
      </w:r>
      <w:r>
        <w:rPr>
          <w:sz w:val="18"/>
        </w:rPr>
        <w:t>system</w:t>
        <w:tab/>
      </w:r>
      <w:r>
        <w:rPr>
          <w:spacing w:val="-1"/>
          <w:w w:val="95"/>
          <w:sz w:val="18"/>
        </w:rPr>
        <w:t>Provided</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516" w:val="left" w:leader="none"/>
        </w:tabs>
        <w:spacing w:before="34"/>
        <w:ind w:left="0" w:right="2392" w:firstLine="0"/>
        <w:jc w:val="right"/>
        <w:rPr>
          <w:sz w:val="18"/>
        </w:rPr>
      </w:pPr>
      <w:r>
        <w:rPr/>
        <w:pict>
          <v:shape style="position:absolute;margin-left:36pt;margin-top:14.110647pt;width:523.6pt;height:.75pt;mso-position-horizontal-relative:page;mso-position-vertical-relative:paragraph;z-index:-15461376;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Security</w:t>
      </w:r>
      <w:r>
        <w:rPr>
          <w:spacing w:val="-36"/>
          <w:sz w:val="18"/>
        </w:rPr>
        <w:t> </w:t>
      </w:r>
      <w:r>
        <w:rPr>
          <w:sz w:val="18"/>
        </w:rPr>
        <w:t>systems</w:t>
        <w:tab/>
      </w:r>
      <w:r>
        <w:rPr>
          <w:spacing w:val="-1"/>
          <w:w w:val="95"/>
          <w:sz w:val="18"/>
        </w:rPr>
        <w:t>Provided</w:t>
      </w:r>
    </w:p>
    <w:p>
      <w:pPr>
        <w:tabs>
          <w:tab w:pos="5516" w:val="left" w:leader="none"/>
        </w:tabs>
        <w:spacing w:before="13" w:after="39"/>
        <w:ind w:left="0" w:right="2392" w:firstLine="0"/>
        <w:jc w:val="right"/>
        <w:rPr>
          <w:sz w:val="18"/>
        </w:rPr>
      </w:pPr>
      <w:r>
        <w:rPr>
          <w:sz w:val="18"/>
        </w:rPr>
        <w:t>Air</w:t>
      </w:r>
      <w:r>
        <w:rPr>
          <w:spacing w:val="-15"/>
          <w:sz w:val="18"/>
        </w:rPr>
        <w:t> </w:t>
      </w:r>
      <w:r>
        <w:rPr>
          <w:sz w:val="18"/>
        </w:rPr>
        <w:t>conditioning</w:t>
        <w:tab/>
      </w:r>
      <w:r>
        <w:rPr>
          <w:spacing w:val="-1"/>
          <w:w w:val="95"/>
          <w:sz w:val="18"/>
        </w:rPr>
        <w:t>Provided</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665" w:val="left" w:leader="none"/>
        </w:tabs>
        <w:spacing w:before="34"/>
        <w:ind w:left="0" w:right="2392" w:firstLine="0"/>
        <w:jc w:val="right"/>
        <w:rPr>
          <w:sz w:val="18"/>
        </w:rPr>
      </w:pPr>
      <w:r>
        <w:rPr/>
        <w:pict>
          <v:shape style="position:absolute;margin-left:36pt;margin-top:14.110634pt;width:523.6pt;height:.75pt;mso-position-horizontal-relative:page;mso-position-vertical-relative:paragraph;z-index:-15460352;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Firefighting</w:t>
      </w:r>
      <w:r>
        <w:rPr>
          <w:spacing w:val="-36"/>
          <w:sz w:val="18"/>
        </w:rPr>
        <w:t> </w:t>
      </w:r>
      <w:r>
        <w:rPr>
          <w:sz w:val="18"/>
        </w:rPr>
        <w:t>services</w:t>
        <w:tab/>
      </w:r>
      <w:r>
        <w:rPr>
          <w:spacing w:val="-1"/>
          <w:w w:val="95"/>
          <w:sz w:val="18"/>
        </w:rPr>
        <w:t>Provided</w:t>
      </w:r>
    </w:p>
    <w:p>
      <w:pPr>
        <w:tabs>
          <w:tab w:pos="6740" w:val="left" w:leader="none"/>
        </w:tabs>
        <w:spacing w:before="10" w:after="39"/>
        <w:ind w:left="1975" w:right="0" w:firstLine="0"/>
        <w:jc w:val="left"/>
        <w:rPr>
          <w:sz w:val="18"/>
        </w:rPr>
      </w:pPr>
      <w:r>
        <w:rPr>
          <w:sz w:val="18"/>
        </w:rPr>
        <w:t>Car</w:t>
      </w:r>
      <w:r>
        <w:rPr>
          <w:spacing w:val="-1"/>
          <w:sz w:val="18"/>
        </w:rPr>
        <w:t> </w:t>
      </w:r>
      <w:r>
        <w:rPr>
          <w:sz w:val="18"/>
        </w:rPr>
        <w:t>parks</w:t>
      </w:r>
      <w:r>
        <w:rPr>
          <w:spacing w:val="1"/>
          <w:sz w:val="18"/>
        </w:rPr>
        <w:t> </w:t>
      </w:r>
      <w:r>
        <w:rPr>
          <w:sz w:val="18"/>
        </w:rPr>
        <w:t>provided</w:t>
        <w:tab/>
        <w:t>MLCP and Basement Car</w:t>
      </w:r>
      <w:r>
        <w:rPr>
          <w:spacing w:val="-5"/>
          <w:sz w:val="18"/>
        </w:rPr>
        <w:t> </w:t>
      </w:r>
      <w:r>
        <w:rPr>
          <w:sz w:val="18"/>
        </w:rPr>
        <w:t>parks</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spacing w:before="45"/>
        <w:ind w:left="227" w:right="0" w:firstLine="0"/>
        <w:jc w:val="left"/>
        <w:rPr>
          <w:i/>
          <w:sz w:val="16"/>
        </w:rPr>
      </w:pPr>
      <w:r>
        <w:rPr>
          <w:i/>
          <w:sz w:val="16"/>
        </w:rPr>
        <w:t>Source: Information provided by Client; Lease Deed</w:t>
      </w:r>
    </w:p>
    <w:p>
      <w:pPr>
        <w:pStyle w:val="BodyText"/>
        <w:spacing w:before="4"/>
        <w:rPr>
          <w:i/>
          <w:sz w:val="16"/>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108" w:id="212"/>
      <w:bookmarkEnd w:id="212"/>
      <w:r>
        <w:rPr/>
      </w:r>
      <w:bookmarkStart w:name="_bookmark108" w:id="213"/>
      <w:bookmarkEnd w:id="213"/>
      <w:r>
        <w:rPr>
          <w:color w:val="1F664D"/>
          <w:sz w:val="22"/>
        </w:rPr>
        <w:t>Condition</w:t>
      </w:r>
      <w:r>
        <w:rPr>
          <w:color w:val="1F664D"/>
          <w:sz w:val="22"/>
        </w:rPr>
        <w:t> &amp;</w:t>
      </w:r>
      <w:r>
        <w:rPr>
          <w:color w:val="1F664D"/>
          <w:spacing w:val="-4"/>
          <w:sz w:val="22"/>
        </w:rPr>
        <w:t> </w:t>
      </w:r>
      <w:r>
        <w:rPr>
          <w:color w:val="1F664D"/>
          <w:sz w:val="22"/>
        </w:rPr>
        <w:t>Repair</w:t>
      </w:r>
    </w:p>
    <w:p>
      <w:pPr>
        <w:pStyle w:val="BodyText"/>
        <w:spacing w:line="321" w:lineRule="auto" w:before="208"/>
        <w:ind w:left="682" w:right="112"/>
        <w:jc w:val="both"/>
      </w:pPr>
      <w:r>
        <w:rPr/>
        <w:t>Subject property is developed and managed to international standards offering best-in-class asset management,</w:t>
      </w:r>
      <w:r>
        <w:rPr>
          <w:spacing w:val="-24"/>
        </w:rPr>
        <w:t> </w:t>
      </w:r>
      <w:r>
        <w:rPr/>
        <w:t>environment</w:t>
      </w:r>
      <w:r>
        <w:rPr>
          <w:spacing w:val="-23"/>
        </w:rPr>
        <w:t> </w:t>
      </w:r>
      <w:r>
        <w:rPr/>
        <w:t>friendly</w:t>
      </w:r>
      <w:r>
        <w:rPr>
          <w:spacing w:val="-23"/>
        </w:rPr>
        <w:t> </w:t>
      </w:r>
      <w:r>
        <w:rPr/>
        <w:t>green</w:t>
      </w:r>
      <w:r>
        <w:rPr>
          <w:spacing w:val="-24"/>
        </w:rPr>
        <w:t> </w:t>
      </w:r>
      <w:r>
        <w:rPr/>
        <w:t>initiatives</w:t>
      </w:r>
      <w:r>
        <w:rPr>
          <w:spacing w:val="-21"/>
        </w:rPr>
        <w:t> </w:t>
      </w:r>
      <w:r>
        <w:rPr/>
        <w:t>and</w:t>
      </w:r>
      <w:r>
        <w:rPr>
          <w:spacing w:val="-24"/>
        </w:rPr>
        <w:t> </w:t>
      </w:r>
      <w:r>
        <w:rPr/>
        <w:t>state</w:t>
      </w:r>
      <w:r>
        <w:rPr>
          <w:spacing w:val="-24"/>
        </w:rPr>
        <w:t> </w:t>
      </w:r>
      <w:r>
        <w:rPr/>
        <w:t>of</w:t>
      </w:r>
      <w:r>
        <w:rPr>
          <w:spacing w:val="-23"/>
        </w:rPr>
        <w:t> </w:t>
      </w:r>
      <w:r>
        <w:rPr/>
        <w:t>art</w:t>
      </w:r>
      <w:r>
        <w:rPr>
          <w:spacing w:val="-24"/>
        </w:rPr>
        <w:t> </w:t>
      </w:r>
      <w:r>
        <w:rPr/>
        <w:t>infrastructure</w:t>
      </w:r>
      <w:r>
        <w:rPr>
          <w:spacing w:val="-24"/>
        </w:rPr>
        <w:t> </w:t>
      </w:r>
      <w:r>
        <w:rPr/>
        <w:t>/</w:t>
      </w:r>
      <w:r>
        <w:rPr>
          <w:spacing w:val="-23"/>
        </w:rPr>
        <w:t> </w:t>
      </w:r>
      <w:r>
        <w:rPr/>
        <w:t>amenities</w:t>
      </w:r>
      <w:r>
        <w:rPr>
          <w:spacing w:val="-23"/>
        </w:rPr>
        <w:t> </w:t>
      </w:r>
      <w:r>
        <w:rPr/>
        <w:t>such</w:t>
      </w:r>
      <w:r>
        <w:rPr>
          <w:spacing w:val="-24"/>
        </w:rPr>
        <w:t> </w:t>
      </w:r>
      <w:r>
        <w:rPr/>
        <w:t>as food</w:t>
      </w:r>
      <w:r>
        <w:rPr>
          <w:spacing w:val="-9"/>
        </w:rPr>
        <w:t> </w:t>
      </w:r>
      <w:r>
        <w:rPr/>
        <w:t>court,</w:t>
      </w:r>
      <w:r>
        <w:rPr>
          <w:spacing w:val="-8"/>
        </w:rPr>
        <w:t> </w:t>
      </w:r>
      <w:r>
        <w:rPr/>
        <w:t>revamped</w:t>
      </w:r>
      <w:r>
        <w:rPr>
          <w:spacing w:val="-8"/>
        </w:rPr>
        <w:t> </w:t>
      </w:r>
      <w:r>
        <w:rPr/>
        <w:t>lobby</w:t>
      </w:r>
      <w:r>
        <w:rPr>
          <w:spacing w:val="-7"/>
        </w:rPr>
        <w:t> </w:t>
      </w:r>
      <w:r>
        <w:rPr/>
        <w:t>and</w:t>
      </w:r>
      <w:r>
        <w:rPr>
          <w:spacing w:val="-8"/>
        </w:rPr>
        <w:t> </w:t>
      </w:r>
      <w:r>
        <w:rPr/>
        <w:t>forecourt</w:t>
      </w:r>
      <w:r>
        <w:rPr>
          <w:spacing w:val="-6"/>
        </w:rPr>
        <w:t> </w:t>
      </w:r>
      <w:r>
        <w:rPr/>
        <w:t>which</w:t>
      </w:r>
      <w:r>
        <w:rPr>
          <w:spacing w:val="-9"/>
        </w:rPr>
        <w:t> </w:t>
      </w:r>
      <w:r>
        <w:rPr/>
        <w:t>makes</w:t>
      </w:r>
      <w:r>
        <w:rPr>
          <w:spacing w:val="-8"/>
        </w:rPr>
        <w:t> </w:t>
      </w:r>
      <w:r>
        <w:rPr/>
        <w:t>it</w:t>
      </w:r>
      <w:r>
        <w:rPr>
          <w:spacing w:val="-8"/>
        </w:rPr>
        <w:t> </w:t>
      </w:r>
      <w:r>
        <w:rPr/>
        <w:t>a</w:t>
      </w:r>
      <w:r>
        <w:rPr>
          <w:spacing w:val="-11"/>
        </w:rPr>
        <w:t> </w:t>
      </w:r>
      <w:r>
        <w:rPr/>
        <w:t>preferred</w:t>
      </w:r>
      <w:r>
        <w:rPr>
          <w:spacing w:val="-10"/>
        </w:rPr>
        <w:t> </w:t>
      </w:r>
      <w:r>
        <w:rPr/>
        <w:t>option</w:t>
      </w:r>
      <w:r>
        <w:rPr>
          <w:spacing w:val="-8"/>
        </w:rPr>
        <w:t> </w:t>
      </w:r>
      <w:r>
        <w:rPr/>
        <w:t>for</w:t>
      </w:r>
      <w:r>
        <w:rPr>
          <w:spacing w:val="-9"/>
        </w:rPr>
        <w:t> </w:t>
      </w:r>
      <w:r>
        <w:rPr/>
        <w:t>domestic</w:t>
      </w:r>
      <w:r>
        <w:rPr>
          <w:spacing w:val="-9"/>
        </w:rPr>
        <w:t> </w:t>
      </w:r>
      <w:r>
        <w:rPr/>
        <w:t>as</w:t>
      </w:r>
      <w:r>
        <w:rPr>
          <w:spacing w:val="-9"/>
        </w:rPr>
        <w:t> </w:t>
      </w:r>
      <w:r>
        <w:rPr/>
        <w:t>wells</w:t>
      </w:r>
      <w:r>
        <w:rPr>
          <w:spacing w:val="-10"/>
        </w:rPr>
        <w:t> </w:t>
      </w:r>
      <w:r>
        <w:rPr/>
        <w:t>as Multinational Corporations (MNCs). Based on information provided by the Client and site visit, it is understood that the subject property is in good condition and is being maintained well. The subject property</w:t>
      </w:r>
      <w:r>
        <w:rPr>
          <w:spacing w:val="-7"/>
        </w:rPr>
        <w:t> </w:t>
      </w:r>
      <w:r>
        <w:rPr/>
        <w:t>houses</w:t>
      </w:r>
      <w:r>
        <w:rPr>
          <w:spacing w:val="-6"/>
        </w:rPr>
        <w:t> </w:t>
      </w:r>
      <w:r>
        <w:rPr/>
        <w:t>a</w:t>
      </w:r>
      <w:r>
        <w:rPr>
          <w:spacing w:val="-6"/>
        </w:rPr>
        <w:t> </w:t>
      </w:r>
      <w:r>
        <w:rPr/>
        <w:t>recently</w:t>
      </w:r>
      <w:r>
        <w:rPr>
          <w:spacing w:val="-5"/>
        </w:rPr>
        <w:t> </w:t>
      </w:r>
      <w:r>
        <w:rPr/>
        <w:t>revamped</w:t>
      </w:r>
      <w:r>
        <w:rPr>
          <w:spacing w:val="-7"/>
        </w:rPr>
        <w:t> </w:t>
      </w:r>
      <w:r>
        <w:rPr/>
        <w:t>food</w:t>
      </w:r>
      <w:r>
        <w:rPr>
          <w:spacing w:val="-7"/>
        </w:rPr>
        <w:t> </w:t>
      </w:r>
      <w:r>
        <w:rPr/>
        <w:t>court</w:t>
      </w:r>
      <w:r>
        <w:rPr>
          <w:spacing w:val="-6"/>
        </w:rPr>
        <w:t> </w:t>
      </w:r>
      <w:r>
        <w:rPr/>
        <w:t>and</w:t>
      </w:r>
      <w:r>
        <w:rPr>
          <w:spacing w:val="-6"/>
        </w:rPr>
        <w:t> </w:t>
      </w:r>
      <w:r>
        <w:rPr/>
        <w:t>open</w:t>
      </w:r>
      <w:r>
        <w:rPr>
          <w:spacing w:val="-6"/>
        </w:rPr>
        <w:t> </w:t>
      </w:r>
      <w:r>
        <w:rPr/>
        <w:t>landscaped</w:t>
      </w:r>
      <w:r>
        <w:rPr>
          <w:spacing w:val="-5"/>
        </w:rPr>
        <w:t> </w:t>
      </w:r>
      <w:r>
        <w:rPr/>
        <w:t>areas</w:t>
      </w:r>
      <w:r>
        <w:rPr>
          <w:spacing w:val="-5"/>
        </w:rPr>
        <w:t> </w:t>
      </w:r>
      <w:r>
        <w:rPr/>
        <w:t>and</w:t>
      </w:r>
      <w:r>
        <w:rPr>
          <w:spacing w:val="-7"/>
        </w:rPr>
        <w:t> </w:t>
      </w:r>
      <w:r>
        <w:rPr/>
        <w:t>public</w:t>
      </w:r>
      <w:r>
        <w:rPr>
          <w:spacing w:val="-8"/>
        </w:rPr>
        <w:t> </w:t>
      </w:r>
      <w:r>
        <w:rPr/>
        <w:t>spaces at</w:t>
      </w:r>
      <w:r>
        <w:rPr>
          <w:spacing w:val="-6"/>
        </w:rPr>
        <w:t> </w:t>
      </w:r>
      <w:r>
        <w:rPr/>
        <w:t>the podium. A comprehensive upgrade program over the last two years has led to the asset being repositioned as a new-age corporate destination. The table below highlights the major repairs </w:t>
      </w:r>
      <w:r>
        <w:rPr>
          <w:spacing w:val="-2"/>
        </w:rPr>
        <w:t>and </w:t>
      </w:r>
      <w:r>
        <w:rPr/>
        <w:t>maintenance</w:t>
      </w:r>
      <w:r>
        <w:rPr>
          <w:spacing w:val="-11"/>
        </w:rPr>
        <w:t> </w:t>
      </w:r>
      <w:r>
        <w:rPr/>
        <w:t>work/</w:t>
      </w:r>
      <w:r>
        <w:rPr>
          <w:spacing w:val="-12"/>
        </w:rPr>
        <w:t> </w:t>
      </w:r>
      <w:r>
        <w:rPr/>
        <w:t>infrastructure</w:t>
      </w:r>
      <w:r>
        <w:rPr>
          <w:spacing w:val="-11"/>
        </w:rPr>
        <w:t> </w:t>
      </w:r>
      <w:r>
        <w:rPr/>
        <w:t>upgrade</w:t>
      </w:r>
      <w:r>
        <w:rPr>
          <w:spacing w:val="-11"/>
        </w:rPr>
        <w:t> </w:t>
      </w:r>
      <w:r>
        <w:rPr/>
        <w:t>works</w:t>
      </w:r>
      <w:r>
        <w:rPr>
          <w:spacing w:val="-7"/>
        </w:rPr>
        <w:t> </w:t>
      </w:r>
      <w:r>
        <w:rPr/>
        <w:t>undertaken</w:t>
      </w:r>
      <w:r>
        <w:rPr>
          <w:spacing w:val="-12"/>
        </w:rPr>
        <w:t> </w:t>
      </w:r>
      <w:r>
        <w:rPr/>
        <w:t>in</w:t>
      </w:r>
      <w:r>
        <w:rPr>
          <w:spacing w:val="-12"/>
        </w:rPr>
        <w:t> </w:t>
      </w:r>
      <w:r>
        <w:rPr/>
        <w:t>the</w:t>
      </w:r>
      <w:r>
        <w:rPr>
          <w:spacing w:val="-11"/>
        </w:rPr>
        <w:t> </w:t>
      </w:r>
      <w:r>
        <w:rPr/>
        <w:t>past</w:t>
      </w:r>
      <w:r>
        <w:rPr>
          <w:spacing w:val="-10"/>
        </w:rPr>
        <w:t> </w:t>
      </w:r>
      <w:r>
        <w:rPr/>
        <w:t>few</w:t>
      </w:r>
      <w:r>
        <w:rPr>
          <w:spacing w:val="-12"/>
        </w:rPr>
        <w:t> </w:t>
      </w:r>
      <w:r>
        <w:rPr/>
        <w:t>years:</w:t>
      </w:r>
    </w:p>
    <w:p>
      <w:pPr>
        <w:pStyle w:val="BodyText"/>
        <w:spacing w:before="6" w:after="1"/>
        <w:rPr>
          <w:sz w:val="29"/>
        </w:rPr>
      </w:pPr>
    </w:p>
    <w:tbl>
      <w:tblPr>
        <w:tblW w:w="0" w:type="auto"/>
        <w:jc w:val="left"/>
        <w:tblInd w:w="6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12"/>
        <w:gridCol w:w="2751"/>
        <w:gridCol w:w="2475"/>
      </w:tblGrid>
      <w:tr>
        <w:trPr>
          <w:trHeight w:val="351" w:hRule="atLeast"/>
        </w:trPr>
        <w:tc>
          <w:tcPr>
            <w:tcW w:w="4712" w:type="dxa"/>
            <w:tcBorders>
              <w:top w:val="single" w:sz="8" w:space="0" w:color="69BD28"/>
              <w:bottom w:val="single" w:sz="8" w:space="0" w:color="69BD28"/>
            </w:tcBorders>
            <w:shd w:val="clear" w:color="auto" w:fill="006A4D"/>
          </w:tcPr>
          <w:p>
            <w:pPr>
              <w:pStyle w:val="TableParagraph"/>
              <w:spacing w:before="84"/>
              <w:ind w:left="1542" w:right="1735"/>
              <w:rPr>
                <w:sz w:val="18"/>
              </w:rPr>
            </w:pPr>
            <w:r>
              <w:rPr>
                <w:color w:val="FFFFFF"/>
                <w:sz w:val="18"/>
              </w:rPr>
              <w:t>Expense Head</w:t>
            </w:r>
          </w:p>
        </w:tc>
        <w:tc>
          <w:tcPr>
            <w:tcW w:w="2751" w:type="dxa"/>
            <w:tcBorders>
              <w:top w:val="single" w:sz="8" w:space="0" w:color="69BD28"/>
              <w:bottom w:val="single" w:sz="8" w:space="0" w:color="69BD28"/>
            </w:tcBorders>
            <w:shd w:val="clear" w:color="auto" w:fill="006A4D"/>
          </w:tcPr>
          <w:p>
            <w:pPr>
              <w:pStyle w:val="TableParagraph"/>
              <w:spacing w:before="84"/>
              <w:ind w:left="659" w:right="492"/>
              <w:rPr>
                <w:sz w:val="18"/>
              </w:rPr>
            </w:pPr>
            <w:r>
              <w:rPr>
                <w:color w:val="FFFFFF"/>
                <w:sz w:val="18"/>
              </w:rPr>
              <w:t>Total Cost (INR Mn)</w:t>
            </w:r>
          </w:p>
        </w:tc>
        <w:tc>
          <w:tcPr>
            <w:tcW w:w="2475" w:type="dxa"/>
            <w:tcBorders>
              <w:top w:val="single" w:sz="8" w:space="0" w:color="69BD28"/>
              <w:bottom w:val="single" w:sz="8" w:space="0" w:color="69BD28"/>
            </w:tcBorders>
            <w:shd w:val="clear" w:color="auto" w:fill="006A4D"/>
          </w:tcPr>
          <w:p>
            <w:pPr>
              <w:pStyle w:val="TableParagraph"/>
              <w:spacing w:before="84"/>
              <w:ind w:left="495" w:right="121"/>
              <w:rPr>
                <w:sz w:val="18"/>
              </w:rPr>
            </w:pPr>
            <w:r>
              <w:rPr>
                <w:color w:val="FFFFFF"/>
                <w:sz w:val="18"/>
              </w:rPr>
              <w:t>Quarter of Completion</w:t>
            </w:r>
          </w:p>
        </w:tc>
      </w:tr>
      <w:tr>
        <w:trPr>
          <w:trHeight w:val="258" w:hRule="atLeast"/>
        </w:trPr>
        <w:tc>
          <w:tcPr>
            <w:tcW w:w="4712" w:type="dxa"/>
            <w:tcBorders>
              <w:top w:val="single" w:sz="8" w:space="0" w:color="69BD28"/>
              <w:bottom w:val="single" w:sz="8" w:space="0" w:color="69BD28"/>
            </w:tcBorders>
          </w:tcPr>
          <w:p>
            <w:pPr>
              <w:pStyle w:val="TableParagraph"/>
              <w:spacing w:line="203" w:lineRule="exact" w:before="36"/>
              <w:ind w:left="1334"/>
              <w:jc w:val="left"/>
              <w:rPr>
                <w:sz w:val="18"/>
              </w:rPr>
            </w:pPr>
            <w:r>
              <w:rPr>
                <w:sz w:val="18"/>
              </w:rPr>
              <w:t>New Operational office</w:t>
            </w:r>
          </w:p>
        </w:tc>
        <w:tc>
          <w:tcPr>
            <w:tcW w:w="2751" w:type="dxa"/>
            <w:tcBorders>
              <w:top w:val="single" w:sz="8" w:space="0" w:color="69BD28"/>
              <w:bottom w:val="single" w:sz="8" w:space="0" w:color="69BD28"/>
            </w:tcBorders>
          </w:tcPr>
          <w:p>
            <w:pPr>
              <w:pStyle w:val="TableParagraph"/>
              <w:spacing w:line="203" w:lineRule="exact" w:before="36"/>
              <w:ind w:left="659" w:right="491"/>
              <w:rPr>
                <w:sz w:val="18"/>
              </w:rPr>
            </w:pPr>
            <w:r>
              <w:rPr>
                <w:w w:val="105"/>
                <w:sz w:val="18"/>
              </w:rPr>
              <w:t>4.5</w:t>
            </w:r>
          </w:p>
        </w:tc>
        <w:tc>
          <w:tcPr>
            <w:tcW w:w="2475" w:type="dxa"/>
            <w:tcBorders>
              <w:top w:val="single" w:sz="8" w:space="0" w:color="69BD28"/>
              <w:bottom w:val="single" w:sz="8" w:space="0" w:color="69BD28"/>
            </w:tcBorders>
          </w:tcPr>
          <w:p>
            <w:pPr>
              <w:pStyle w:val="TableParagraph"/>
              <w:spacing w:line="203" w:lineRule="exact" w:before="36"/>
              <w:ind w:left="490" w:right="121"/>
              <w:rPr>
                <w:sz w:val="18"/>
              </w:rPr>
            </w:pPr>
            <w:r>
              <w:rPr>
                <w:w w:val="105"/>
                <w:sz w:val="18"/>
              </w:rPr>
              <w:t>Q3, FY 2016</w:t>
            </w:r>
          </w:p>
        </w:tc>
      </w:tr>
      <w:tr>
        <w:trPr>
          <w:trHeight w:val="260" w:hRule="atLeast"/>
        </w:trPr>
        <w:tc>
          <w:tcPr>
            <w:tcW w:w="4712" w:type="dxa"/>
            <w:tcBorders>
              <w:top w:val="single" w:sz="8" w:space="0" w:color="69BD28"/>
              <w:bottom w:val="single" w:sz="8" w:space="0" w:color="69BD28"/>
            </w:tcBorders>
          </w:tcPr>
          <w:p>
            <w:pPr>
              <w:pStyle w:val="TableParagraph"/>
              <w:spacing w:line="203" w:lineRule="exact" w:before="38"/>
              <w:ind w:left="1437"/>
              <w:jc w:val="left"/>
              <w:rPr>
                <w:sz w:val="18"/>
              </w:rPr>
            </w:pPr>
            <w:r>
              <w:rPr>
                <w:sz w:val="18"/>
              </w:rPr>
              <w:t>Lobby Refurbishment</w:t>
            </w:r>
          </w:p>
        </w:tc>
        <w:tc>
          <w:tcPr>
            <w:tcW w:w="2751" w:type="dxa"/>
            <w:tcBorders>
              <w:top w:val="single" w:sz="8" w:space="0" w:color="69BD28"/>
              <w:bottom w:val="single" w:sz="8" w:space="0" w:color="69BD28"/>
            </w:tcBorders>
          </w:tcPr>
          <w:p>
            <w:pPr>
              <w:pStyle w:val="TableParagraph"/>
              <w:spacing w:line="203" w:lineRule="exact" w:before="38"/>
              <w:ind w:left="659" w:right="492"/>
              <w:rPr>
                <w:sz w:val="18"/>
              </w:rPr>
            </w:pPr>
            <w:r>
              <w:rPr>
                <w:w w:val="110"/>
                <w:sz w:val="18"/>
              </w:rPr>
              <w:t>22</w:t>
            </w:r>
          </w:p>
        </w:tc>
        <w:tc>
          <w:tcPr>
            <w:tcW w:w="2475" w:type="dxa"/>
            <w:tcBorders>
              <w:top w:val="single" w:sz="8" w:space="0" w:color="69BD28"/>
              <w:bottom w:val="single" w:sz="8" w:space="0" w:color="69BD28"/>
            </w:tcBorders>
          </w:tcPr>
          <w:p>
            <w:pPr>
              <w:pStyle w:val="TableParagraph"/>
              <w:spacing w:line="203" w:lineRule="exact" w:before="38"/>
              <w:ind w:left="490" w:right="121"/>
              <w:rPr>
                <w:sz w:val="18"/>
              </w:rPr>
            </w:pPr>
            <w:r>
              <w:rPr>
                <w:w w:val="105"/>
                <w:sz w:val="18"/>
              </w:rPr>
              <w:t>Q3, FY 2017</w:t>
            </w:r>
          </w:p>
        </w:tc>
      </w:tr>
      <w:tr>
        <w:trPr>
          <w:trHeight w:val="258" w:hRule="atLeast"/>
        </w:trPr>
        <w:tc>
          <w:tcPr>
            <w:tcW w:w="4712" w:type="dxa"/>
            <w:tcBorders>
              <w:top w:val="single" w:sz="8" w:space="0" w:color="69BD28"/>
              <w:bottom w:val="single" w:sz="8" w:space="0" w:color="69BD28"/>
            </w:tcBorders>
          </w:tcPr>
          <w:p>
            <w:pPr>
              <w:pStyle w:val="TableParagraph"/>
              <w:spacing w:line="203" w:lineRule="exact" w:before="36"/>
              <w:ind w:left="489"/>
              <w:jc w:val="left"/>
              <w:rPr>
                <w:sz w:val="18"/>
              </w:rPr>
            </w:pPr>
            <w:r>
              <w:rPr>
                <w:sz w:val="18"/>
              </w:rPr>
              <w:t>Landscaping &amp; External Lobby Refurbishment</w:t>
            </w:r>
          </w:p>
        </w:tc>
        <w:tc>
          <w:tcPr>
            <w:tcW w:w="2751" w:type="dxa"/>
            <w:tcBorders>
              <w:top w:val="single" w:sz="8" w:space="0" w:color="69BD28"/>
              <w:bottom w:val="single" w:sz="8" w:space="0" w:color="69BD28"/>
            </w:tcBorders>
          </w:tcPr>
          <w:p>
            <w:pPr>
              <w:pStyle w:val="TableParagraph"/>
              <w:spacing w:line="203" w:lineRule="exact" w:before="36"/>
              <w:ind w:left="659" w:right="491"/>
              <w:rPr>
                <w:sz w:val="18"/>
              </w:rPr>
            </w:pPr>
            <w:r>
              <w:rPr>
                <w:w w:val="105"/>
                <w:sz w:val="18"/>
              </w:rPr>
              <w:t>24.09</w:t>
            </w:r>
          </w:p>
        </w:tc>
        <w:tc>
          <w:tcPr>
            <w:tcW w:w="2475" w:type="dxa"/>
            <w:tcBorders>
              <w:top w:val="single" w:sz="8" w:space="0" w:color="69BD28"/>
              <w:bottom w:val="single" w:sz="8" w:space="0" w:color="69BD28"/>
            </w:tcBorders>
          </w:tcPr>
          <w:p>
            <w:pPr>
              <w:pStyle w:val="TableParagraph"/>
              <w:spacing w:line="203" w:lineRule="exact" w:before="36"/>
              <w:ind w:left="490" w:right="121"/>
              <w:rPr>
                <w:sz w:val="18"/>
              </w:rPr>
            </w:pPr>
            <w:r>
              <w:rPr>
                <w:w w:val="105"/>
                <w:sz w:val="18"/>
              </w:rPr>
              <w:t>Q3, FY 2018</w:t>
            </w:r>
          </w:p>
        </w:tc>
      </w:tr>
      <w:tr>
        <w:trPr>
          <w:trHeight w:val="258" w:hRule="atLeast"/>
        </w:trPr>
        <w:tc>
          <w:tcPr>
            <w:tcW w:w="4712" w:type="dxa"/>
            <w:tcBorders>
              <w:top w:val="single" w:sz="8" w:space="0" w:color="69BD28"/>
              <w:bottom w:val="single" w:sz="8" w:space="0" w:color="69BD28"/>
            </w:tcBorders>
          </w:tcPr>
          <w:p>
            <w:pPr>
              <w:pStyle w:val="TableParagraph"/>
              <w:spacing w:line="203" w:lineRule="exact" w:before="36"/>
              <w:ind w:left="1096"/>
              <w:jc w:val="left"/>
              <w:rPr>
                <w:sz w:val="18"/>
              </w:rPr>
            </w:pPr>
            <w:r>
              <w:rPr>
                <w:sz w:val="18"/>
              </w:rPr>
              <w:t>Cooling Tower Refurbishment</w:t>
            </w:r>
          </w:p>
        </w:tc>
        <w:tc>
          <w:tcPr>
            <w:tcW w:w="2751" w:type="dxa"/>
            <w:tcBorders>
              <w:top w:val="single" w:sz="8" w:space="0" w:color="69BD28"/>
              <w:bottom w:val="single" w:sz="8" w:space="0" w:color="69BD28"/>
            </w:tcBorders>
          </w:tcPr>
          <w:p>
            <w:pPr>
              <w:pStyle w:val="TableParagraph"/>
              <w:spacing w:line="203" w:lineRule="exact" w:before="36"/>
              <w:ind w:left="659" w:right="491"/>
              <w:rPr>
                <w:sz w:val="18"/>
              </w:rPr>
            </w:pPr>
            <w:r>
              <w:rPr>
                <w:w w:val="105"/>
                <w:sz w:val="18"/>
              </w:rPr>
              <w:t>1.82</w:t>
            </w:r>
          </w:p>
        </w:tc>
        <w:tc>
          <w:tcPr>
            <w:tcW w:w="2475" w:type="dxa"/>
            <w:tcBorders>
              <w:top w:val="single" w:sz="8" w:space="0" w:color="69BD28"/>
              <w:bottom w:val="single" w:sz="8" w:space="0" w:color="69BD28"/>
            </w:tcBorders>
          </w:tcPr>
          <w:p>
            <w:pPr>
              <w:pStyle w:val="TableParagraph"/>
              <w:spacing w:line="203" w:lineRule="exact" w:before="36"/>
              <w:ind w:left="490" w:right="121"/>
              <w:rPr>
                <w:sz w:val="18"/>
              </w:rPr>
            </w:pPr>
            <w:r>
              <w:rPr>
                <w:w w:val="105"/>
                <w:sz w:val="18"/>
              </w:rPr>
              <w:t>Q3, FY 2018</w:t>
            </w:r>
          </w:p>
        </w:tc>
      </w:tr>
      <w:tr>
        <w:trPr>
          <w:trHeight w:val="258" w:hRule="atLeast"/>
        </w:trPr>
        <w:tc>
          <w:tcPr>
            <w:tcW w:w="4712" w:type="dxa"/>
            <w:tcBorders>
              <w:top w:val="single" w:sz="8" w:space="0" w:color="69BD28"/>
              <w:bottom w:val="single" w:sz="8" w:space="0" w:color="69BD28"/>
            </w:tcBorders>
          </w:tcPr>
          <w:p>
            <w:pPr>
              <w:pStyle w:val="TableParagraph"/>
              <w:spacing w:line="203" w:lineRule="exact" w:before="36"/>
              <w:ind w:left="1519"/>
              <w:jc w:val="left"/>
              <w:rPr>
                <w:sz w:val="18"/>
              </w:rPr>
            </w:pPr>
            <w:r>
              <w:rPr>
                <w:sz w:val="18"/>
              </w:rPr>
              <w:t>Fire Shaft Sealing</w:t>
            </w:r>
          </w:p>
        </w:tc>
        <w:tc>
          <w:tcPr>
            <w:tcW w:w="2751" w:type="dxa"/>
            <w:tcBorders>
              <w:top w:val="single" w:sz="8" w:space="0" w:color="69BD28"/>
              <w:bottom w:val="single" w:sz="8" w:space="0" w:color="69BD28"/>
            </w:tcBorders>
          </w:tcPr>
          <w:p>
            <w:pPr>
              <w:pStyle w:val="TableParagraph"/>
              <w:spacing w:line="203" w:lineRule="exact" w:before="36"/>
              <w:ind w:left="659" w:right="491"/>
              <w:rPr>
                <w:sz w:val="18"/>
              </w:rPr>
            </w:pPr>
            <w:r>
              <w:rPr>
                <w:w w:val="105"/>
                <w:sz w:val="18"/>
              </w:rPr>
              <w:t>1.94</w:t>
            </w:r>
          </w:p>
        </w:tc>
        <w:tc>
          <w:tcPr>
            <w:tcW w:w="2475" w:type="dxa"/>
            <w:tcBorders>
              <w:top w:val="single" w:sz="8" w:space="0" w:color="69BD28"/>
              <w:bottom w:val="single" w:sz="8" w:space="0" w:color="69BD28"/>
            </w:tcBorders>
          </w:tcPr>
          <w:p>
            <w:pPr>
              <w:pStyle w:val="TableParagraph"/>
              <w:spacing w:line="203" w:lineRule="exact" w:before="36"/>
              <w:ind w:left="490" w:right="121"/>
              <w:rPr>
                <w:sz w:val="18"/>
              </w:rPr>
            </w:pPr>
            <w:r>
              <w:rPr>
                <w:w w:val="105"/>
                <w:sz w:val="18"/>
              </w:rPr>
              <w:t>Q3, FY 2018</w:t>
            </w:r>
          </w:p>
        </w:tc>
      </w:tr>
      <w:tr>
        <w:trPr>
          <w:trHeight w:val="260" w:hRule="atLeast"/>
        </w:trPr>
        <w:tc>
          <w:tcPr>
            <w:tcW w:w="4712" w:type="dxa"/>
            <w:tcBorders>
              <w:top w:val="single" w:sz="8" w:space="0" w:color="69BD28"/>
              <w:bottom w:val="single" w:sz="8" w:space="0" w:color="69BD28"/>
            </w:tcBorders>
          </w:tcPr>
          <w:p>
            <w:pPr>
              <w:pStyle w:val="TableParagraph"/>
              <w:spacing w:line="203" w:lineRule="exact" w:before="38"/>
              <w:ind w:left="1099"/>
              <w:jc w:val="left"/>
              <w:rPr>
                <w:sz w:val="18"/>
              </w:rPr>
            </w:pPr>
            <w:r>
              <w:rPr>
                <w:sz w:val="18"/>
              </w:rPr>
              <w:t>Security System Upgradations</w:t>
            </w:r>
          </w:p>
        </w:tc>
        <w:tc>
          <w:tcPr>
            <w:tcW w:w="2751" w:type="dxa"/>
            <w:tcBorders>
              <w:top w:val="single" w:sz="8" w:space="0" w:color="69BD28"/>
              <w:bottom w:val="single" w:sz="8" w:space="0" w:color="69BD28"/>
            </w:tcBorders>
          </w:tcPr>
          <w:p>
            <w:pPr>
              <w:pStyle w:val="TableParagraph"/>
              <w:spacing w:line="203" w:lineRule="exact" w:before="38"/>
              <w:ind w:left="659" w:right="491"/>
              <w:rPr>
                <w:sz w:val="18"/>
              </w:rPr>
            </w:pPr>
            <w:r>
              <w:rPr>
                <w:w w:val="105"/>
                <w:sz w:val="18"/>
              </w:rPr>
              <w:t>3.27</w:t>
            </w:r>
          </w:p>
        </w:tc>
        <w:tc>
          <w:tcPr>
            <w:tcW w:w="2475" w:type="dxa"/>
            <w:tcBorders>
              <w:top w:val="single" w:sz="8" w:space="0" w:color="69BD28"/>
              <w:bottom w:val="single" w:sz="8" w:space="0" w:color="69BD28"/>
            </w:tcBorders>
          </w:tcPr>
          <w:p>
            <w:pPr>
              <w:pStyle w:val="TableParagraph"/>
              <w:spacing w:line="203" w:lineRule="exact" w:before="38"/>
              <w:ind w:left="490" w:right="121"/>
              <w:rPr>
                <w:sz w:val="18"/>
              </w:rPr>
            </w:pPr>
            <w:r>
              <w:rPr>
                <w:w w:val="105"/>
                <w:sz w:val="18"/>
              </w:rPr>
              <w:t>Q3, FY 2018</w:t>
            </w:r>
          </w:p>
        </w:tc>
      </w:tr>
      <w:tr>
        <w:trPr>
          <w:trHeight w:val="258" w:hRule="atLeast"/>
        </w:trPr>
        <w:tc>
          <w:tcPr>
            <w:tcW w:w="4712" w:type="dxa"/>
            <w:tcBorders>
              <w:top w:val="single" w:sz="8" w:space="0" w:color="69BD28"/>
              <w:bottom w:val="single" w:sz="8" w:space="0" w:color="69BD28"/>
            </w:tcBorders>
          </w:tcPr>
          <w:p>
            <w:pPr>
              <w:pStyle w:val="TableParagraph"/>
              <w:spacing w:line="203" w:lineRule="exact" w:before="36"/>
              <w:ind w:left="1641" w:right="1735"/>
              <w:rPr>
                <w:sz w:val="18"/>
              </w:rPr>
            </w:pPr>
            <w:r>
              <w:rPr>
                <w:sz w:val="18"/>
              </w:rPr>
              <w:t>Façade Upgrade</w:t>
            </w:r>
          </w:p>
        </w:tc>
        <w:tc>
          <w:tcPr>
            <w:tcW w:w="2751" w:type="dxa"/>
            <w:tcBorders>
              <w:top w:val="single" w:sz="8" w:space="0" w:color="69BD28"/>
              <w:bottom w:val="single" w:sz="8" w:space="0" w:color="69BD28"/>
            </w:tcBorders>
          </w:tcPr>
          <w:p>
            <w:pPr>
              <w:pStyle w:val="TableParagraph"/>
              <w:spacing w:line="203" w:lineRule="exact" w:before="36"/>
              <w:ind w:left="659" w:right="491"/>
              <w:rPr>
                <w:sz w:val="18"/>
              </w:rPr>
            </w:pPr>
            <w:r>
              <w:rPr>
                <w:w w:val="105"/>
                <w:sz w:val="18"/>
              </w:rPr>
              <w:t>23.63</w:t>
            </w:r>
          </w:p>
        </w:tc>
        <w:tc>
          <w:tcPr>
            <w:tcW w:w="2475" w:type="dxa"/>
            <w:tcBorders>
              <w:top w:val="single" w:sz="8" w:space="0" w:color="69BD28"/>
              <w:bottom w:val="single" w:sz="8" w:space="0" w:color="69BD28"/>
            </w:tcBorders>
          </w:tcPr>
          <w:p>
            <w:pPr>
              <w:pStyle w:val="TableParagraph"/>
              <w:spacing w:line="203" w:lineRule="exact" w:before="36"/>
              <w:ind w:left="491" w:right="121"/>
              <w:rPr>
                <w:sz w:val="18"/>
              </w:rPr>
            </w:pPr>
            <w:r>
              <w:rPr>
                <w:w w:val="105"/>
                <w:sz w:val="18"/>
              </w:rPr>
              <w:t>Q4, FY2021</w:t>
            </w:r>
          </w:p>
        </w:tc>
      </w:tr>
      <w:tr>
        <w:trPr>
          <w:trHeight w:val="258" w:hRule="atLeast"/>
        </w:trPr>
        <w:tc>
          <w:tcPr>
            <w:tcW w:w="4712" w:type="dxa"/>
            <w:tcBorders>
              <w:top w:val="single" w:sz="8" w:space="0" w:color="69BD28"/>
              <w:bottom w:val="single" w:sz="8" w:space="0" w:color="69BD28"/>
            </w:tcBorders>
          </w:tcPr>
          <w:p>
            <w:pPr>
              <w:pStyle w:val="TableParagraph"/>
              <w:spacing w:line="203" w:lineRule="exact" w:before="36"/>
              <w:ind w:left="1509"/>
              <w:jc w:val="left"/>
              <w:rPr>
                <w:sz w:val="18"/>
              </w:rPr>
            </w:pPr>
            <w:r>
              <w:rPr>
                <w:sz w:val="18"/>
              </w:rPr>
              <w:t>Signage Rebranding</w:t>
            </w:r>
          </w:p>
        </w:tc>
        <w:tc>
          <w:tcPr>
            <w:tcW w:w="2751" w:type="dxa"/>
            <w:tcBorders>
              <w:top w:val="single" w:sz="8" w:space="0" w:color="69BD28"/>
              <w:bottom w:val="single" w:sz="8" w:space="0" w:color="69BD28"/>
            </w:tcBorders>
          </w:tcPr>
          <w:p>
            <w:pPr>
              <w:pStyle w:val="TableParagraph"/>
              <w:spacing w:line="203" w:lineRule="exact" w:before="36"/>
              <w:ind w:left="659" w:right="491"/>
              <w:rPr>
                <w:sz w:val="18"/>
              </w:rPr>
            </w:pPr>
            <w:r>
              <w:rPr>
                <w:w w:val="105"/>
                <w:sz w:val="18"/>
              </w:rPr>
              <w:t>4.95</w:t>
            </w:r>
          </w:p>
        </w:tc>
        <w:tc>
          <w:tcPr>
            <w:tcW w:w="2475" w:type="dxa"/>
            <w:tcBorders>
              <w:top w:val="single" w:sz="8" w:space="0" w:color="69BD28"/>
              <w:bottom w:val="single" w:sz="8" w:space="0" w:color="69BD28"/>
            </w:tcBorders>
          </w:tcPr>
          <w:p>
            <w:pPr>
              <w:pStyle w:val="TableParagraph"/>
              <w:spacing w:line="203" w:lineRule="exact" w:before="36"/>
              <w:ind w:left="491" w:right="121"/>
              <w:rPr>
                <w:sz w:val="18"/>
              </w:rPr>
            </w:pPr>
            <w:r>
              <w:rPr>
                <w:w w:val="105"/>
                <w:sz w:val="18"/>
              </w:rPr>
              <w:t>Q4, FY2021</w:t>
            </w:r>
          </w:p>
        </w:tc>
      </w:tr>
      <w:tr>
        <w:trPr>
          <w:trHeight w:val="260" w:hRule="atLeast"/>
        </w:trPr>
        <w:tc>
          <w:tcPr>
            <w:tcW w:w="4712" w:type="dxa"/>
            <w:tcBorders>
              <w:top w:val="single" w:sz="8" w:space="0" w:color="69BD28"/>
              <w:bottom w:val="single" w:sz="8" w:space="0" w:color="69BD28"/>
            </w:tcBorders>
          </w:tcPr>
          <w:p>
            <w:pPr>
              <w:pStyle w:val="TableParagraph"/>
              <w:spacing w:line="205" w:lineRule="exact" w:before="36"/>
              <w:ind w:left="1334"/>
              <w:jc w:val="left"/>
              <w:rPr>
                <w:sz w:val="18"/>
              </w:rPr>
            </w:pPr>
            <w:r>
              <w:rPr>
                <w:sz w:val="18"/>
              </w:rPr>
              <w:t>Renovations- Civil Works</w:t>
            </w:r>
          </w:p>
        </w:tc>
        <w:tc>
          <w:tcPr>
            <w:tcW w:w="2751" w:type="dxa"/>
            <w:tcBorders>
              <w:top w:val="single" w:sz="8" w:space="0" w:color="69BD28"/>
              <w:bottom w:val="single" w:sz="8" w:space="0" w:color="69BD28"/>
            </w:tcBorders>
          </w:tcPr>
          <w:p>
            <w:pPr>
              <w:pStyle w:val="TableParagraph"/>
              <w:spacing w:line="205" w:lineRule="exact" w:before="36"/>
              <w:ind w:left="659" w:right="491"/>
              <w:rPr>
                <w:sz w:val="18"/>
              </w:rPr>
            </w:pPr>
            <w:r>
              <w:rPr>
                <w:w w:val="105"/>
                <w:sz w:val="18"/>
              </w:rPr>
              <w:t>10.55</w:t>
            </w:r>
          </w:p>
        </w:tc>
        <w:tc>
          <w:tcPr>
            <w:tcW w:w="2475" w:type="dxa"/>
            <w:tcBorders>
              <w:top w:val="single" w:sz="8" w:space="0" w:color="69BD28"/>
              <w:bottom w:val="single" w:sz="8" w:space="0" w:color="69BD28"/>
            </w:tcBorders>
          </w:tcPr>
          <w:p>
            <w:pPr>
              <w:pStyle w:val="TableParagraph"/>
              <w:spacing w:line="205" w:lineRule="exact" w:before="36"/>
              <w:ind w:left="491" w:right="121"/>
              <w:rPr>
                <w:sz w:val="18"/>
              </w:rPr>
            </w:pPr>
            <w:r>
              <w:rPr>
                <w:w w:val="105"/>
                <w:sz w:val="18"/>
              </w:rPr>
              <w:t>Q4, FY2021</w:t>
            </w:r>
          </w:p>
        </w:tc>
      </w:tr>
    </w:tbl>
    <w:p>
      <w:pPr>
        <w:spacing w:before="4"/>
        <w:ind w:left="667" w:right="0" w:firstLine="0"/>
        <w:jc w:val="left"/>
        <w:rPr>
          <w:i/>
          <w:sz w:val="16"/>
        </w:rPr>
      </w:pPr>
      <w:r>
        <w:rPr>
          <w:i/>
          <w:sz w:val="16"/>
        </w:rPr>
        <w:t>Source </w:t>
      </w:r>
      <w:r>
        <w:rPr>
          <w:i/>
          <w:w w:val="105"/>
          <w:sz w:val="16"/>
        </w:rPr>
        <w:t>– </w:t>
      </w:r>
      <w:r>
        <w:rPr>
          <w:i/>
          <w:sz w:val="16"/>
        </w:rPr>
        <w:t>Information provided by the Client</w:t>
      </w:r>
    </w:p>
    <w:p>
      <w:pPr>
        <w:spacing w:after="0"/>
        <w:jc w:val="left"/>
        <w:rPr>
          <w:sz w:val="16"/>
        </w:rPr>
        <w:sectPr>
          <w:headerReference w:type="default" r:id="rId113"/>
          <w:footerReference w:type="default" r:id="rId114"/>
          <w:pgSz w:w="11910" w:h="16840"/>
          <w:pgMar w:header="919" w:footer="1149" w:top="1660" w:bottom="1340" w:left="600" w:right="600"/>
          <w:pgNumType w:start="122"/>
        </w:sectPr>
      </w:pPr>
    </w:p>
    <w:p>
      <w:pPr>
        <w:pStyle w:val="BodyText"/>
        <w:spacing w:before="7"/>
        <w:rPr>
          <w:i/>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109" w:id="214"/>
      <w:bookmarkEnd w:id="214"/>
      <w:r>
        <w:rPr/>
      </w:r>
      <w:bookmarkStart w:name="_bookmark109" w:id="215"/>
      <w:bookmarkEnd w:id="215"/>
      <w:r>
        <w:rPr>
          <w:color w:val="1F664D"/>
          <w:sz w:val="22"/>
        </w:rPr>
        <w:t>Pro</w:t>
      </w:r>
      <w:r>
        <w:rPr>
          <w:color w:val="1F664D"/>
          <w:sz w:val="22"/>
        </w:rPr>
        <w:t>perty Photographs</w:t>
      </w:r>
    </w:p>
    <w:p>
      <w:pPr>
        <w:pStyle w:val="BodyText"/>
        <w:spacing w:before="208"/>
        <w:ind w:left="667"/>
      </w:pPr>
      <w:r>
        <w:rPr/>
        <w:t>Please refer to the property photographs highlighted below:</w:t>
      </w:r>
    </w:p>
    <w:p>
      <w:pPr>
        <w:pStyle w:val="BodyText"/>
        <w:spacing w:before="5"/>
        <w:rPr>
          <w:sz w:val="24"/>
        </w:rPr>
      </w:pPr>
      <w:r>
        <w:rPr/>
        <w:pict>
          <v:group style="position:absolute;margin-left:108.860001pt;margin-top:16.171974pt;width:389.65pt;height:15pt;mso-position-horizontal-relative:page;mso-position-vertical-relative:paragraph;z-index:-15458816;mso-wrap-distance-left:0;mso-wrap-distance-right:0" coordorigin="2177,323" coordsize="7793,300">
            <v:rect style="position:absolute;left:2177;top:333;width:7793;height:291" filled="true" fillcolor="#006a4d" stroked="false">
              <v:fill type="solid"/>
            </v:rect>
            <v:rect style="position:absolute;left:2179;top:323;width:7790;height:10" filled="true" fillcolor="#000000" stroked="false">
              <v:fill type="solid"/>
            </v:rect>
            <v:shape style="position:absolute;left:2177;top:333;width:7793;height:291" type="#_x0000_t202" filled="false" stroked="false">
              <v:textbox inset="0,0,0,0">
                <w:txbxContent>
                  <w:p>
                    <w:pPr>
                      <w:spacing w:before="28"/>
                      <w:ind w:left="1917" w:right="1918" w:firstLine="0"/>
                      <w:jc w:val="center"/>
                      <w:rPr>
                        <w:sz w:val="20"/>
                      </w:rPr>
                    </w:pPr>
                    <w:r>
                      <w:rPr>
                        <w:color w:val="FFFFFF"/>
                        <w:w w:val="105"/>
                        <w:sz w:val="20"/>
                      </w:rPr>
                      <w:t>Embassy 247</w:t>
                    </w:r>
                  </w:p>
                </w:txbxContent>
              </v:textbox>
              <w10:wrap type="none"/>
            </v:shape>
            <w10:wrap type="topAndBottom"/>
          </v:group>
        </w:pict>
      </w:r>
      <w:r>
        <w:rPr/>
        <w:pict>
          <v:group style="position:absolute;margin-left:115.699997pt;margin-top:37.871975pt;width:179.75pt;height:134.4pt;mso-position-horizontal-relative:page;mso-position-vertical-relative:paragraph;z-index:-15458304;mso-wrap-distance-left:0;mso-wrap-distance-right:0" coordorigin="2314,757" coordsize="3595,2688">
            <v:rect style="position:absolute;left:2319;top:762;width:3585;height:2678" filled="false" stroked="true" strokeweight=".5pt" strokecolor="#000000">
              <v:stroke dashstyle="solid"/>
            </v:rect>
            <v:shape style="position:absolute;left:2485;top:881;width:3270;height:2483" type="#_x0000_t75" stroked="false">
              <v:imagedata r:id="rId115" o:title=""/>
            </v:shape>
            <v:shape style="position:absolute;left:2478;top:874;width:3279;height:2491" coordorigin="2478,874" coordsize="3279,2491" path="m5756,874l2478,874,2478,3365e" filled="false" stroked="true" strokeweight=".75pt" strokecolor="#000000">
              <v:path arrowok="t"/>
              <v:stroke dashstyle="solid"/>
            </v:shape>
            <w10:wrap type="topAndBottom"/>
          </v:group>
        </w:pict>
      </w:r>
      <w:r>
        <w:rPr/>
        <w:pict>
          <v:group style="position:absolute;margin-left:306.700012pt;margin-top:38.231976pt;width:179.75pt;height:134.4pt;mso-position-horizontal-relative:page;mso-position-vertical-relative:paragraph;z-index:-15457792;mso-wrap-distance-left:0;mso-wrap-distance-right:0" coordorigin="6134,765" coordsize="3595,2688">
            <v:rect style="position:absolute;left:6139;top:769;width:3585;height:2678" filled="false" stroked="true" strokeweight=".5pt" strokecolor="#000000">
              <v:stroke dashstyle="solid"/>
            </v:rect>
            <v:shape style="position:absolute;left:6318;top:876;width:3258;height:2448" type="#_x0000_t75" stroked="false">
              <v:imagedata r:id="rId116" o:title=""/>
            </v:shape>
            <v:shape style="position:absolute;left:6310;top:868;width:3267;height:2463" coordorigin="6310,869" coordsize="3267,2463" path="m6310,3332l9577,3332m9577,869l6310,869,6310,3332e" filled="false" stroked="true" strokeweight=".75pt" strokecolor="#000000">
              <v:path arrowok="t"/>
              <v:stroke dashstyle="solid"/>
            </v:shape>
            <w10:wrap type="topAndBottom"/>
          </v:group>
        </w:pict>
      </w:r>
    </w:p>
    <w:p>
      <w:pPr>
        <w:pStyle w:val="BodyText"/>
        <w:spacing w:before="7"/>
        <w:rPr>
          <w:sz w:val="5"/>
        </w:rPr>
      </w:pPr>
    </w:p>
    <w:p>
      <w:pPr>
        <w:tabs>
          <w:tab w:pos="4596" w:val="left" w:leader="none"/>
        </w:tabs>
        <w:spacing w:before="167"/>
        <w:ind w:left="0" w:right="2455" w:firstLine="0"/>
        <w:jc w:val="right"/>
        <w:rPr>
          <w:sz w:val="18"/>
        </w:rPr>
      </w:pPr>
      <w:r>
        <w:rPr>
          <w:sz w:val="18"/>
        </w:rPr>
        <w:t>External</w:t>
      </w:r>
      <w:r>
        <w:rPr>
          <w:spacing w:val="-35"/>
          <w:sz w:val="18"/>
        </w:rPr>
        <w:t> </w:t>
      </w:r>
      <w:r>
        <w:rPr>
          <w:sz w:val="18"/>
        </w:rPr>
        <w:t>view</w:t>
      </w:r>
      <w:r>
        <w:rPr>
          <w:spacing w:val="-35"/>
          <w:sz w:val="18"/>
        </w:rPr>
        <w:t> </w:t>
      </w:r>
      <w:r>
        <w:rPr>
          <w:sz w:val="18"/>
        </w:rPr>
        <w:t>of</w:t>
      </w:r>
      <w:r>
        <w:rPr>
          <w:spacing w:val="-35"/>
          <w:sz w:val="18"/>
        </w:rPr>
        <w:t> </w:t>
      </w:r>
      <w:r>
        <w:rPr>
          <w:sz w:val="18"/>
        </w:rPr>
        <w:t>the</w:t>
      </w:r>
      <w:r>
        <w:rPr>
          <w:spacing w:val="-34"/>
          <w:sz w:val="18"/>
        </w:rPr>
        <w:t> </w:t>
      </w:r>
      <w:r>
        <w:rPr>
          <w:sz w:val="18"/>
        </w:rPr>
        <w:t>subject</w:t>
      </w:r>
      <w:r>
        <w:rPr>
          <w:spacing w:val="-36"/>
          <w:sz w:val="18"/>
        </w:rPr>
        <w:t> </w:t>
      </w:r>
      <w:r>
        <w:rPr>
          <w:sz w:val="18"/>
        </w:rPr>
        <w:t>property</w:t>
      </w:r>
      <w:r>
        <w:rPr>
          <w:spacing w:val="-35"/>
          <w:sz w:val="18"/>
        </w:rPr>
        <w:t> </w:t>
      </w:r>
      <w:r>
        <w:rPr>
          <w:sz w:val="18"/>
        </w:rPr>
        <w:t>(SP)</w:t>
        <w:tab/>
        <w:t>External</w:t>
      </w:r>
      <w:r>
        <w:rPr>
          <w:spacing w:val="-34"/>
          <w:sz w:val="18"/>
        </w:rPr>
        <w:t> </w:t>
      </w:r>
      <w:r>
        <w:rPr>
          <w:sz w:val="18"/>
        </w:rPr>
        <w:t>view</w:t>
      </w:r>
      <w:r>
        <w:rPr>
          <w:spacing w:val="-34"/>
          <w:sz w:val="18"/>
        </w:rPr>
        <w:t> </w:t>
      </w:r>
      <w:r>
        <w:rPr>
          <w:sz w:val="18"/>
        </w:rPr>
        <w:t>of</w:t>
      </w:r>
      <w:r>
        <w:rPr>
          <w:spacing w:val="-34"/>
          <w:sz w:val="18"/>
        </w:rPr>
        <w:t> </w:t>
      </w:r>
      <w:r>
        <w:rPr>
          <w:sz w:val="18"/>
        </w:rPr>
        <w:t>the</w:t>
      </w:r>
      <w:r>
        <w:rPr>
          <w:spacing w:val="-34"/>
          <w:sz w:val="18"/>
        </w:rPr>
        <w:t> </w:t>
      </w:r>
      <w:r>
        <w:rPr>
          <w:sz w:val="18"/>
        </w:rPr>
        <w:t>SP</w:t>
      </w:r>
    </w:p>
    <w:p>
      <w:pPr>
        <w:pStyle w:val="BodyText"/>
        <w:rPr>
          <w:sz w:val="15"/>
        </w:rPr>
      </w:pPr>
      <w:r>
        <w:rPr/>
        <w:pict>
          <v:group style="position:absolute;margin-left:113.599998pt;margin-top:11.249804pt;width:179.65pt;height:134.4pt;mso-position-horizontal-relative:page;mso-position-vertical-relative:paragraph;z-index:-15457280;mso-wrap-distance-left:0;mso-wrap-distance-right:0" coordorigin="2272,225" coordsize="3593,2688">
            <v:rect style="position:absolute;left:2277;top:230;width:3583;height:2678" filled="false" stroked="true" strokeweight=".5pt" strokecolor="#000000">
              <v:stroke dashstyle="solid"/>
            </v:rect>
            <v:shape style="position:absolute;left:2426;top:306;width:3264;height:2448" type="#_x0000_t75" stroked="false">
              <v:imagedata r:id="rId117" o:title=""/>
            </v:shape>
            <w10:wrap type="topAndBottom"/>
          </v:group>
        </w:pict>
      </w:r>
      <w:r>
        <w:rPr/>
        <w:pict>
          <v:group style="position:absolute;margin-left:306.100006pt;margin-top:10.699804pt;width:179.75pt;height:134.4pt;mso-position-horizontal-relative:page;mso-position-vertical-relative:paragraph;z-index:-15456768;mso-wrap-distance-left:0;mso-wrap-distance-right:0" coordorigin="6122,214" coordsize="3595,2688">
            <v:rect style="position:absolute;left:6127;top:219;width:3585;height:2678" filled="false" stroked="true" strokeweight=".5pt" strokecolor="#000000">
              <v:stroke dashstyle="solid"/>
            </v:rect>
            <v:shape style="position:absolute;left:6276;top:295;width:3264;height:2448" type="#_x0000_t75" stroked="false">
              <v:imagedata r:id="rId118" o:title=""/>
            </v:shape>
            <w10:wrap type="topAndBottom"/>
          </v:group>
        </w:pict>
      </w:r>
    </w:p>
    <w:p>
      <w:pPr>
        <w:tabs>
          <w:tab w:pos="4234" w:val="left" w:leader="none"/>
        </w:tabs>
        <w:spacing w:before="20"/>
        <w:ind w:left="0" w:right="2455" w:firstLine="0"/>
        <w:jc w:val="right"/>
        <w:rPr>
          <w:sz w:val="18"/>
        </w:rPr>
      </w:pPr>
      <w:r>
        <w:rPr>
          <w:sz w:val="18"/>
        </w:rPr>
        <w:t>View</w:t>
      </w:r>
      <w:r>
        <w:rPr>
          <w:spacing w:val="-14"/>
          <w:sz w:val="18"/>
        </w:rPr>
        <w:t> </w:t>
      </w:r>
      <w:r>
        <w:rPr>
          <w:sz w:val="18"/>
        </w:rPr>
        <w:t>of</w:t>
      </w:r>
      <w:r>
        <w:rPr>
          <w:spacing w:val="-13"/>
          <w:sz w:val="18"/>
        </w:rPr>
        <w:t> </w:t>
      </w:r>
      <w:r>
        <w:rPr>
          <w:sz w:val="18"/>
        </w:rPr>
        <w:t>the</w:t>
      </w:r>
      <w:r>
        <w:rPr>
          <w:spacing w:val="-13"/>
          <w:sz w:val="18"/>
        </w:rPr>
        <w:t> </w:t>
      </w:r>
      <w:r>
        <w:rPr>
          <w:sz w:val="18"/>
        </w:rPr>
        <w:t>Basement</w:t>
      </w:r>
      <w:r>
        <w:rPr>
          <w:spacing w:val="-14"/>
          <w:sz w:val="18"/>
        </w:rPr>
        <w:t> </w:t>
      </w:r>
      <w:r>
        <w:rPr>
          <w:sz w:val="18"/>
        </w:rPr>
        <w:t>Car</w:t>
      </w:r>
      <w:r>
        <w:rPr>
          <w:spacing w:val="-14"/>
          <w:sz w:val="18"/>
        </w:rPr>
        <w:t> </w:t>
      </w:r>
      <w:r>
        <w:rPr>
          <w:sz w:val="18"/>
        </w:rPr>
        <w:t>Park</w:t>
        <w:tab/>
        <w:t>External</w:t>
      </w:r>
      <w:r>
        <w:rPr>
          <w:spacing w:val="-34"/>
          <w:sz w:val="18"/>
        </w:rPr>
        <w:t> </w:t>
      </w:r>
      <w:r>
        <w:rPr>
          <w:sz w:val="18"/>
        </w:rPr>
        <w:t>view</w:t>
      </w:r>
      <w:r>
        <w:rPr>
          <w:spacing w:val="-34"/>
          <w:sz w:val="18"/>
        </w:rPr>
        <w:t> </w:t>
      </w:r>
      <w:r>
        <w:rPr>
          <w:sz w:val="18"/>
        </w:rPr>
        <w:t>of</w:t>
      </w:r>
      <w:r>
        <w:rPr>
          <w:spacing w:val="-34"/>
          <w:sz w:val="18"/>
        </w:rPr>
        <w:t> </w:t>
      </w:r>
      <w:r>
        <w:rPr>
          <w:sz w:val="18"/>
        </w:rPr>
        <w:t>the</w:t>
      </w:r>
      <w:r>
        <w:rPr>
          <w:spacing w:val="-34"/>
          <w:sz w:val="18"/>
        </w:rPr>
        <w:t> </w:t>
      </w:r>
      <w:r>
        <w:rPr>
          <w:sz w:val="18"/>
        </w:rPr>
        <w:t>SP</w:t>
      </w:r>
    </w:p>
    <w:p>
      <w:pPr>
        <w:pStyle w:val="BodyText"/>
        <w:spacing w:before="3"/>
        <w:rPr>
          <w:sz w:val="9"/>
        </w:rPr>
      </w:pPr>
      <w:r>
        <w:rPr/>
        <w:pict>
          <v:group style="position:absolute;margin-left:112.449997pt;margin-top:7.939805pt;width:179.75pt;height:134.4pt;mso-position-horizontal-relative:page;mso-position-vertical-relative:paragraph;z-index:-15456256;mso-wrap-distance-left:0;mso-wrap-distance-right:0" coordorigin="2249,159" coordsize="3595,2688">
            <v:rect style="position:absolute;left:2254;top:163;width:3585;height:2678" filled="false" stroked="true" strokeweight=".5pt" strokecolor="#000000">
              <v:stroke dashstyle="solid"/>
            </v:rect>
            <v:shape style="position:absolute;left:2433;top:270;width:3258;height:2449" type="#_x0000_t75" stroked="false">
              <v:imagedata r:id="rId119" o:title=""/>
            </v:shape>
            <v:shape style="position:absolute;left:2425;top:263;width:3267;height:2464" coordorigin="2425,263" coordsize="3267,2464" path="m2425,2727l5692,2727m5692,263l2425,263,2425,2727e" filled="false" stroked="true" strokeweight=".75pt" strokecolor="#000000">
              <v:path arrowok="t"/>
              <v:stroke dashstyle="solid"/>
            </v:shape>
            <v:shape style="position:absolute;left:2403;top:2760;width:3288;height:5" type="#_x0000_t75" stroked="false">
              <v:imagedata r:id="rId120" o:title=""/>
            </v:shape>
            <w10:wrap type="topAndBottom"/>
          </v:group>
        </w:pict>
      </w:r>
      <w:r>
        <w:rPr/>
        <w:pict>
          <v:group style="position:absolute;margin-left:306.049988pt;margin-top:7.349805pt;width:179.75pt;height:134.4pt;mso-position-horizontal-relative:page;mso-position-vertical-relative:paragraph;z-index:-15455744;mso-wrap-distance-left:0;mso-wrap-distance-right:0" coordorigin="6121,147" coordsize="3595,2688">
            <v:rect style="position:absolute;left:6126;top:152;width:3585;height:2678" filled="false" stroked="true" strokeweight=".5pt" strokecolor="#000000">
              <v:stroke dashstyle="solid"/>
            </v:rect>
            <v:shape style="position:absolute;left:6305;top:258;width:3257;height:2449" type="#_x0000_t75" stroked="false">
              <v:imagedata r:id="rId121" o:title=""/>
            </v:shape>
            <v:shape style="position:absolute;left:6297;top:251;width:3266;height:2464" coordorigin="6297,251" coordsize="3266,2464" path="m6297,2715l9563,2715m9563,251l6297,251,6297,2715e" filled="false" stroked="true" strokeweight=".75pt" strokecolor="#000000">
              <v:path arrowok="t"/>
              <v:stroke dashstyle="solid"/>
            </v:shape>
            <v:shape style="position:absolute;left:6276;top:2748;width:3286;height:5" type="#_x0000_t75" stroked="false">
              <v:imagedata r:id="rId122" o:title=""/>
            </v:shape>
            <w10:wrap type="topAndBottom"/>
          </v:group>
        </w:pict>
      </w:r>
    </w:p>
    <w:p>
      <w:pPr>
        <w:tabs>
          <w:tab w:pos="5744" w:val="left" w:leader="none"/>
        </w:tabs>
        <w:spacing w:before="0"/>
        <w:ind w:left="2482" w:right="0" w:firstLine="0"/>
        <w:jc w:val="left"/>
        <w:rPr>
          <w:sz w:val="18"/>
        </w:rPr>
      </w:pPr>
      <w:r>
        <w:rPr>
          <w:sz w:val="18"/>
        </w:rPr>
        <w:t>View</w:t>
      </w:r>
      <w:r>
        <w:rPr>
          <w:spacing w:val="-23"/>
          <w:sz w:val="18"/>
        </w:rPr>
        <w:t> </w:t>
      </w:r>
      <w:r>
        <w:rPr>
          <w:sz w:val="18"/>
        </w:rPr>
        <w:t>of</w:t>
      </w:r>
      <w:r>
        <w:rPr>
          <w:spacing w:val="-21"/>
          <w:sz w:val="18"/>
        </w:rPr>
        <w:t> </w:t>
      </w:r>
      <w:r>
        <w:rPr>
          <w:sz w:val="18"/>
        </w:rPr>
        <w:t>the</w:t>
      </w:r>
      <w:r>
        <w:rPr>
          <w:spacing w:val="-21"/>
          <w:sz w:val="18"/>
        </w:rPr>
        <w:t> </w:t>
      </w:r>
      <w:r>
        <w:rPr>
          <w:sz w:val="18"/>
        </w:rPr>
        <w:t>internal</w:t>
      </w:r>
      <w:r>
        <w:rPr>
          <w:spacing w:val="-22"/>
          <w:sz w:val="18"/>
        </w:rPr>
        <w:t> </w:t>
      </w:r>
      <w:r>
        <w:rPr>
          <w:sz w:val="18"/>
        </w:rPr>
        <w:t>lobby</w:t>
        <w:tab/>
        <w:t>View of the primary access</w:t>
      </w:r>
      <w:r>
        <w:rPr>
          <w:spacing w:val="-28"/>
          <w:sz w:val="18"/>
        </w:rPr>
        <w:t> </w:t>
      </w:r>
      <w:r>
        <w:rPr>
          <w:sz w:val="18"/>
        </w:rPr>
        <w:t>road/entrance</w:t>
      </w:r>
    </w:p>
    <w:p>
      <w:pPr>
        <w:pStyle w:val="BodyText"/>
        <w:spacing w:before="6"/>
        <w:rPr>
          <w:sz w:val="9"/>
        </w:rPr>
      </w:pPr>
      <w:r>
        <w:rPr/>
        <w:pict>
          <v:shape style="position:absolute;margin-left:108.260002pt;margin-top:7.481477pt;width:390.25pt;height:.5pt;mso-position-horizontal-relative:page;mso-position-vertical-relative:paragraph;z-index:-15455232;mso-wrap-distance-left:0;mso-wrap-distance-right:0" coordorigin="2165,150" coordsize="7805,10" path="m9970,150l5985,150,5980,150,5970,150,2165,150,2165,159,5970,159,5980,159,5985,159,9970,159,9970,150xe" filled="true" fillcolor="#92d050" stroked="false">
            <v:path arrowok="t"/>
            <v:fill type="solid"/>
            <w10:wrap type="topAndBottom"/>
          </v:shape>
        </w:pict>
      </w:r>
    </w:p>
    <w:p>
      <w:pPr>
        <w:spacing w:after="0"/>
        <w:rPr>
          <w:sz w:val="9"/>
        </w:rPr>
        <w:sectPr>
          <w:pgSz w:w="11910" w:h="16840"/>
          <w:pgMar w:header="919" w:footer="1149" w:top="1660" w:bottom="1340" w:left="600" w:right="600"/>
        </w:sectPr>
      </w:pPr>
    </w:p>
    <w:p>
      <w:pPr>
        <w:pStyle w:val="BodyText"/>
        <w:spacing w:before="7"/>
        <w:rPr>
          <w:sz w:val="9"/>
        </w:rPr>
      </w:pPr>
    </w:p>
    <w:p>
      <w:pPr>
        <w:pStyle w:val="ListParagraph"/>
        <w:numPr>
          <w:ilvl w:val="1"/>
          <w:numId w:val="14"/>
        </w:numPr>
        <w:tabs>
          <w:tab w:pos="696" w:val="left" w:leader="none"/>
          <w:tab w:pos="697" w:val="left" w:leader="none"/>
        </w:tabs>
        <w:spacing w:line="240" w:lineRule="auto" w:before="106" w:after="0"/>
        <w:ind w:left="696" w:right="0" w:hanging="577"/>
        <w:jc w:val="left"/>
        <w:rPr>
          <w:color w:val="1F6647"/>
          <w:sz w:val="22"/>
        </w:rPr>
      </w:pPr>
      <w:bookmarkStart w:name="_bookmark110" w:id="216"/>
      <w:bookmarkEnd w:id="216"/>
      <w:r>
        <w:rPr/>
      </w:r>
      <w:bookmarkStart w:name="_bookmark110" w:id="217"/>
      <w:bookmarkEnd w:id="217"/>
      <w:r>
        <w:rPr>
          <w:color w:val="1F6647"/>
          <w:sz w:val="22"/>
        </w:rPr>
        <w:t>Tena</w:t>
      </w:r>
      <w:r>
        <w:rPr>
          <w:color w:val="1F6647"/>
          <w:sz w:val="22"/>
        </w:rPr>
        <w:t>ncy Analysis</w:t>
      </w:r>
    </w:p>
    <w:p>
      <w:pPr>
        <w:pStyle w:val="BodyText"/>
        <w:spacing w:before="3"/>
        <w:rPr>
          <w:sz w:val="28"/>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11" w:id="218"/>
      <w:bookmarkEnd w:id="218"/>
      <w:r>
        <w:rPr/>
      </w:r>
      <w:bookmarkStart w:name="_bookmark111" w:id="219"/>
      <w:bookmarkEnd w:id="219"/>
      <w:r>
        <w:rPr>
          <w:color w:val="1F664D"/>
          <w:sz w:val="22"/>
        </w:rPr>
        <w:t>Histori</w:t>
      </w:r>
      <w:r>
        <w:rPr>
          <w:color w:val="1F664D"/>
          <w:sz w:val="22"/>
        </w:rPr>
        <w:t>cal Committed Occupancy</w:t>
      </w:r>
      <w:r>
        <w:rPr>
          <w:color w:val="1F664D"/>
          <w:spacing w:val="1"/>
          <w:sz w:val="22"/>
        </w:rPr>
        <w:t> </w:t>
      </w:r>
      <w:r>
        <w:rPr>
          <w:color w:val="1F664D"/>
          <w:sz w:val="22"/>
        </w:rPr>
        <w:t>Rates</w:t>
      </w:r>
    </w:p>
    <w:p>
      <w:pPr>
        <w:pStyle w:val="BodyText"/>
        <w:spacing w:before="208"/>
        <w:ind w:left="660"/>
      </w:pPr>
      <w:r>
        <w:rPr/>
        <w:t>The table below highlights the historical occupancy rates at the subject development:</w:t>
      </w:r>
    </w:p>
    <w:p>
      <w:pPr>
        <w:pStyle w:val="BodyText"/>
        <w:spacing w:before="2"/>
        <w:rPr>
          <w:sz w:val="28"/>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29"/>
        <w:gridCol w:w="2596"/>
        <w:gridCol w:w="2638"/>
        <w:gridCol w:w="2614"/>
      </w:tblGrid>
      <w:tr>
        <w:trPr>
          <w:trHeight w:val="309" w:hRule="atLeast"/>
        </w:trPr>
        <w:tc>
          <w:tcPr>
            <w:tcW w:w="2629" w:type="dxa"/>
            <w:tcBorders>
              <w:top w:val="single" w:sz="6" w:space="0" w:color="69BD28"/>
              <w:bottom w:val="single" w:sz="6" w:space="0" w:color="69BD28"/>
            </w:tcBorders>
            <w:shd w:val="clear" w:color="auto" w:fill="006A4D"/>
          </w:tcPr>
          <w:p>
            <w:pPr>
              <w:pStyle w:val="TableParagraph"/>
              <w:spacing w:before="51"/>
              <w:ind w:left="575" w:right="568"/>
              <w:rPr>
                <w:b/>
                <w:sz w:val="18"/>
              </w:rPr>
            </w:pPr>
            <w:r>
              <w:rPr>
                <w:b/>
                <w:color w:val="FFFFFF"/>
                <w:w w:val="110"/>
                <w:sz w:val="18"/>
              </w:rPr>
              <w:t>March 31, 2017</w:t>
            </w:r>
          </w:p>
        </w:tc>
        <w:tc>
          <w:tcPr>
            <w:tcW w:w="2596" w:type="dxa"/>
            <w:tcBorders>
              <w:top w:val="single" w:sz="6" w:space="0" w:color="69BD28"/>
              <w:bottom w:val="single" w:sz="6" w:space="0" w:color="69BD28"/>
            </w:tcBorders>
            <w:shd w:val="clear" w:color="auto" w:fill="006A4D"/>
          </w:tcPr>
          <w:p>
            <w:pPr>
              <w:pStyle w:val="TableParagraph"/>
              <w:spacing w:before="51"/>
              <w:ind w:left="237" w:right="212"/>
              <w:rPr>
                <w:b/>
                <w:sz w:val="18"/>
              </w:rPr>
            </w:pPr>
            <w:r>
              <w:rPr>
                <w:b/>
                <w:color w:val="FFFFFF"/>
                <w:w w:val="110"/>
                <w:sz w:val="18"/>
              </w:rPr>
              <w:t>March 31, 2018</w:t>
            </w:r>
          </w:p>
        </w:tc>
        <w:tc>
          <w:tcPr>
            <w:tcW w:w="2638" w:type="dxa"/>
            <w:tcBorders>
              <w:top w:val="single" w:sz="6" w:space="0" w:color="69BD28"/>
              <w:bottom w:val="single" w:sz="6" w:space="0" w:color="69BD28"/>
            </w:tcBorders>
            <w:shd w:val="clear" w:color="auto" w:fill="006A4D"/>
          </w:tcPr>
          <w:p>
            <w:pPr>
              <w:pStyle w:val="TableParagraph"/>
              <w:spacing w:before="51"/>
              <w:ind w:left="539" w:right="514"/>
              <w:rPr>
                <w:b/>
                <w:sz w:val="18"/>
              </w:rPr>
            </w:pPr>
            <w:r>
              <w:rPr>
                <w:b/>
                <w:color w:val="FFFFFF"/>
                <w:w w:val="110"/>
                <w:sz w:val="18"/>
              </w:rPr>
              <w:t>March 31</w:t>
            </w:r>
            <w:r>
              <w:rPr>
                <w:b/>
                <w:color w:val="FFFFFF"/>
                <w:w w:val="110"/>
                <w:position w:val="6"/>
                <w:sz w:val="11"/>
              </w:rPr>
              <w:t>st</w:t>
            </w:r>
            <w:r>
              <w:rPr>
                <w:b/>
                <w:color w:val="FFFFFF"/>
                <w:w w:val="110"/>
                <w:sz w:val="18"/>
              </w:rPr>
              <w:t>, 2019</w:t>
            </w:r>
          </w:p>
        </w:tc>
        <w:tc>
          <w:tcPr>
            <w:tcW w:w="2614" w:type="dxa"/>
            <w:tcBorders>
              <w:top w:val="single" w:sz="6" w:space="0" w:color="69BD28"/>
              <w:bottom w:val="single" w:sz="6" w:space="0" w:color="69BD28"/>
            </w:tcBorders>
            <w:shd w:val="clear" w:color="auto" w:fill="006A4D"/>
          </w:tcPr>
          <w:p>
            <w:pPr>
              <w:pStyle w:val="TableParagraph"/>
              <w:spacing w:before="51"/>
              <w:ind w:left="515" w:right="514"/>
              <w:rPr>
                <w:b/>
                <w:sz w:val="18"/>
              </w:rPr>
            </w:pPr>
            <w:r>
              <w:rPr>
                <w:b/>
                <w:color w:val="FFFFFF"/>
                <w:w w:val="110"/>
                <w:sz w:val="18"/>
              </w:rPr>
              <w:t>March 31</w:t>
            </w:r>
            <w:r>
              <w:rPr>
                <w:b/>
                <w:color w:val="FFFFFF"/>
                <w:w w:val="110"/>
                <w:position w:val="6"/>
                <w:sz w:val="11"/>
              </w:rPr>
              <w:t>st</w:t>
            </w:r>
            <w:r>
              <w:rPr>
                <w:b/>
                <w:color w:val="FFFFFF"/>
                <w:w w:val="110"/>
                <w:sz w:val="18"/>
              </w:rPr>
              <w:t>, 2020</w:t>
            </w:r>
          </w:p>
        </w:tc>
      </w:tr>
      <w:tr>
        <w:trPr>
          <w:trHeight w:val="287" w:hRule="atLeast"/>
        </w:trPr>
        <w:tc>
          <w:tcPr>
            <w:tcW w:w="2629" w:type="dxa"/>
            <w:tcBorders>
              <w:top w:val="single" w:sz="6" w:space="0" w:color="69BD28"/>
              <w:bottom w:val="single" w:sz="6" w:space="0" w:color="69BD28"/>
            </w:tcBorders>
          </w:tcPr>
          <w:p>
            <w:pPr>
              <w:pStyle w:val="TableParagraph"/>
              <w:spacing w:before="39"/>
              <w:ind w:left="574" w:right="568"/>
              <w:rPr>
                <w:sz w:val="18"/>
              </w:rPr>
            </w:pPr>
            <w:r>
              <w:rPr>
                <w:w w:val="110"/>
                <w:sz w:val="18"/>
              </w:rPr>
              <w:t>77.1%</w:t>
            </w:r>
          </w:p>
        </w:tc>
        <w:tc>
          <w:tcPr>
            <w:tcW w:w="2596" w:type="dxa"/>
            <w:tcBorders>
              <w:top w:val="single" w:sz="6" w:space="0" w:color="69BD28"/>
              <w:bottom w:val="single" w:sz="6" w:space="0" w:color="69BD28"/>
            </w:tcBorders>
          </w:tcPr>
          <w:p>
            <w:pPr>
              <w:pStyle w:val="TableParagraph"/>
              <w:spacing w:before="39"/>
              <w:ind w:left="235" w:right="212"/>
              <w:rPr>
                <w:sz w:val="18"/>
              </w:rPr>
            </w:pPr>
            <w:r>
              <w:rPr>
                <w:w w:val="110"/>
                <w:sz w:val="18"/>
              </w:rPr>
              <w:t>80.9%</w:t>
            </w:r>
          </w:p>
        </w:tc>
        <w:tc>
          <w:tcPr>
            <w:tcW w:w="2638" w:type="dxa"/>
            <w:tcBorders>
              <w:top w:val="single" w:sz="6" w:space="0" w:color="69BD28"/>
              <w:bottom w:val="single" w:sz="6" w:space="0" w:color="69BD28"/>
            </w:tcBorders>
          </w:tcPr>
          <w:p>
            <w:pPr>
              <w:pStyle w:val="TableParagraph"/>
              <w:spacing w:before="39"/>
              <w:ind w:left="536" w:right="514"/>
              <w:rPr>
                <w:sz w:val="18"/>
              </w:rPr>
            </w:pPr>
            <w:r>
              <w:rPr>
                <w:w w:val="110"/>
                <w:sz w:val="18"/>
              </w:rPr>
              <w:t>93.1%</w:t>
            </w:r>
          </w:p>
        </w:tc>
        <w:tc>
          <w:tcPr>
            <w:tcW w:w="2614" w:type="dxa"/>
            <w:tcBorders>
              <w:top w:val="single" w:sz="6" w:space="0" w:color="69BD28"/>
              <w:bottom w:val="single" w:sz="6" w:space="0" w:color="69BD28"/>
            </w:tcBorders>
          </w:tcPr>
          <w:p>
            <w:pPr>
              <w:pStyle w:val="TableParagraph"/>
              <w:spacing w:before="39"/>
              <w:ind w:left="514" w:right="514"/>
              <w:rPr>
                <w:sz w:val="18"/>
              </w:rPr>
            </w:pPr>
            <w:r>
              <w:rPr>
                <w:w w:val="110"/>
                <w:sz w:val="18"/>
              </w:rPr>
              <w:t>93.2%</w:t>
            </w:r>
          </w:p>
        </w:tc>
      </w:tr>
    </w:tbl>
    <w:p>
      <w:pPr>
        <w:spacing w:before="0"/>
        <w:ind w:left="120" w:right="0" w:firstLine="0"/>
        <w:jc w:val="left"/>
        <w:rPr>
          <w:i/>
          <w:sz w:val="18"/>
        </w:rPr>
      </w:pPr>
      <w:r>
        <w:rPr>
          <w:i/>
          <w:sz w:val="18"/>
        </w:rPr>
        <w:t>Source: Analysis of rent rolls provided by the Client; Indicative of committed occupancy</w:t>
      </w:r>
    </w:p>
    <w:p>
      <w:pPr>
        <w:pStyle w:val="BodyText"/>
        <w:spacing w:before="10"/>
        <w:rPr>
          <w:i/>
          <w:sz w:val="26"/>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12" w:id="220"/>
      <w:bookmarkEnd w:id="220"/>
      <w:r>
        <w:rPr/>
      </w:r>
      <w:bookmarkStart w:name="_bookmark112" w:id="221"/>
      <w:bookmarkEnd w:id="221"/>
      <w:r>
        <w:rPr>
          <w:color w:val="1F664D"/>
          <w:sz w:val="22"/>
        </w:rPr>
        <w:t>Le</w:t>
      </w:r>
      <w:r>
        <w:rPr>
          <w:color w:val="1F664D"/>
          <w:sz w:val="22"/>
        </w:rPr>
        <w:t>ase Expiry</w:t>
      </w:r>
      <w:r>
        <w:rPr>
          <w:color w:val="1F664D"/>
          <w:spacing w:val="-4"/>
          <w:sz w:val="22"/>
        </w:rPr>
        <w:t> </w:t>
      </w:r>
      <w:r>
        <w:rPr>
          <w:color w:val="1F664D"/>
          <w:sz w:val="22"/>
        </w:rPr>
        <w:t>Analysis</w:t>
      </w:r>
    </w:p>
    <w:p>
      <w:pPr>
        <w:pStyle w:val="BodyText"/>
        <w:spacing w:before="209"/>
        <w:ind w:left="660"/>
      </w:pPr>
      <w:r>
        <w:rPr/>
        <w:t>The graph below highlights the area/leases due for expiry in the coming years:</w:t>
      </w:r>
    </w:p>
    <w:p>
      <w:pPr>
        <w:pStyle w:val="BodyText"/>
        <w:spacing w:before="5"/>
        <w:rPr>
          <w:sz w:val="24"/>
        </w:rPr>
      </w:pPr>
      <w:r>
        <w:rPr/>
        <w:pict>
          <v:group style="position:absolute;margin-left:50.759998pt;margin-top:16.160828pt;width:494.05pt;height:12.4pt;mso-position-horizontal-relative:page;mso-position-vertical-relative:paragraph;z-index:-15454208;mso-wrap-distance-left:0;mso-wrap-distance-right:0" coordorigin="1015,323" coordsize="9881,248">
            <v:rect style="position:absolute;left:1015;top:354;width:9881;height:216" filled="true" fillcolor="#006a4d" stroked="false">
              <v:fill type="solid"/>
            </v:rect>
            <v:rect style="position:absolute;left:1015;top:323;width:9881;height:29" filled="true" fillcolor="#1f6b16" stroked="false">
              <v:fill type="solid"/>
            </v:rect>
            <v:rect style="position:absolute;left:1015;top:352;width:9881;height:3" filled="true" fillcolor="#006a4d" stroked="false">
              <v:fill type="solid"/>
            </v:rect>
            <v:shape style="position:absolute;left:1015;top:352;width:9881;height:219" type="#_x0000_t202" filled="false" stroked="false">
              <v:textbox inset="0,0,0,0">
                <w:txbxContent>
                  <w:p>
                    <w:pPr>
                      <w:spacing w:before="6"/>
                      <w:ind w:left="4360" w:right="4361" w:firstLine="0"/>
                      <w:jc w:val="center"/>
                      <w:rPr>
                        <w:b/>
                        <w:sz w:val="18"/>
                      </w:rPr>
                    </w:pPr>
                    <w:r>
                      <w:rPr>
                        <w:b/>
                        <w:color w:val="FFFFFF"/>
                        <w:w w:val="105"/>
                        <w:sz w:val="18"/>
                      </w:rPr>
                      <w:t>Lease</w:t>
                    </w:r>
                    <w:r>
                      <w:rPr>
                        <w:b/>
                        <w:color w:val="FFFFFF"/>
                        <w:spacing w:val="-2"/>
                        <w:w w:val="105"/>
                        <w:sz w:val="18"/>
                      </w:rPr>
                      <w:t> </w:t>
                    </w:r>
                    <w:r>
                      <w:rPr>
                        <w:b/>
                        <w:color w:val="FFFFFF"/>
                        <w:w w:val="105"/>
                        <w:sz w:val="18"/>
                      </w:rPr>
                      <w:t>Expiry</w:t>
                    </w:r>
                  </w:p>
                </w:txbxContent>
              </v:textbox>
              <w10:wrap type="none"/>
            </v:shape>
            <w10:wrap type="topAndBottom"/>
          </v:group>
        </w:pict>
      </w:r>
    </w:p>
    <w:p>
      <w:pPr>
        <w:pStyle w:val="BodyText"/>
        <w:rPr>
          <w:sz w:val="20"/>
        </w:rPr>
      </w:pPr>
    </w:p>
    <w:p>
      <w:pPr>
        <w:pStyle w:val="BodyText"/>
        <w:spacing w:before="5"/>
        <w:rPr>
          <w:sz w:val="21"/>
        </w:rPr>
      </w:pPr>
      <w:r>
        <w:rPr/>
        <w:drawing>
          <wp:anchor distT="0" distB="0" distL="0" distR="0" allowOverlap="1" layoutInCell="1" locked="0" behindDoc="0" simplePos="0" relativeHeight="537">
            <wp:simplePos x="0" y="0"/>
            <wp:positionH relativeFrom="page">
              <wp:posOffset>990633</wp:posOffset>
            </wp:positionH>
            <wp:positionV relativeFrom="paragraph">
              <wp:posOffset>183278</wp:posOffset>
            </wp:positionV>
            <wp:extent cx="4961278" cy="2020062"/>
            <wp:effectExtent l="0" t="0" r="0" b="0"/>
            <wp:wrapTopAndBottom/>
            <wp:docPr id="133" name="image91.jpeg"/>
            <wp:cNvGraphicFramePr>
              <a:graphicFrameLocks noChangeAspect="1"/>
            </wp:cNvGraphicFramePr>
            <a:graphic>
              <a:graphicData uri="http://schemas.openxmlformats.org/drawingml/2006/picture">
                <pic:pic>
                  <pic:nvPicPr>
                    <pic:cNvPr id="134" name="image91.jpeg"/>
                    <pic:cNvPicPr/>
                  </pic:nvPicPr>
                  <pic:blipFill>
                    <a:blip r:embed="rId123" cstate="print"/>
                    <a:stretch>
                      <a:fillRect/>
                    </a:stretch>
                  </pic:blipFill>
                  <pic:spPr>
                    <a:xfrm>
                      <a:off x="0" y="0"/>
                      <a:ext cx="4961278" cy="2020062"/>
                    </a:xfrm>
                    <a:prstGeom prst="rect">
                      <a:avLst/>
                    </a:prstGeom>
                  </pic:spPr>
                </pic:pic>
              </a:graphicData>
            </a:graphic>
          </wp:anchor>
        </w:drawing>
      </w:r>
    </w:p>
    <w:p>
      <w:pPr>
        <w:pStyle w:val="BodyText"/>
        <w:spacing w:before="3"/>
        <w:rPr>
          <w:sz w:val="11"/>
        </w:rPr>
      </w:pPr>
    </w:p>
    <w:p>
      <w:pPr>
        <w:spacing w:before="104"/>
        <w:ind w:left="713" w:right="0" w:firstLine="0"/>
        <w:jc w:val="both"/>
        <w:rPr>
          <w:i/>
          <w:sz w:val="18"/>
        </w:rPr>
      </w:pPr>
      <w:r>
        <w:rPr>
          <w:i/>
          <w:sz w:val="18"/>
        </w:rPr>
        <w:t>Source: Rent Roll (representative of financial years)</w:t>
      </w:r>
    </w:p>
    <w:p>
      <w:pPr>
        <w:pStyle w:val="BodyText"/>
        <w:spacing w:before="11"/>
        <w:rPr>
          <w:i/>
          <w:sz w:val="26"/>
        </w:rPr>
      </w:pPr>
    </w:p>
    <w:p>
      <w:pPr>
        <w:pStyle w:val="BodyText"/>
        <w:spacing w:line="321" w:lineRule="auto"/>
        <w:ind w:left="660" w:right="116"/>
        <w:jc w:val="both"/>
      </w:pPr>
      <w:r>
        <w:rPr/>
        <w:t>Consultants</w:t>
      </w:r>
      <w:r>
        <w:rPr>
          <w:spacing w:val="-17"/>
        </w:rPr>
        <w:t> </w:t>
      </w:r>
      <w:r>
        <w:rPr/>
        <w:t>have</w:t>
      </w:r>
      <w:r>
        <w:rPr>
          <w:spacing w:val="-18"/>
        </w:rPr>
        <w:t> </w:t>
      </w:r>
      <w:r>
        <w:rPr/>
        <w:t>undertaken</w:t>
      </w:r>
      <w:r>
        <w:rPr>
          <w:spacing w:val="-19"/>
        </w:rPr>
        <w:t> </w:t>
      </w:r>
      <w:r>
        <w:rPr/>
        <w:t>an</w:t>
      </w:r>
      <w:r>
        <w:rPr>
          <w:spacing w:val="-16"/>
        </w:rPr>
        <w:t> </w:t>
      </w:r>
      <w:r>
        <w:rPr/>
        <w:t>in-depth</w:t>
      </w:r>
      <w:r>
        <w:rPr>
          <w:spacing w:val="-19"/>
        </w:rPr>
        <w:t> </w:t>
      </w:r>
      <w:r>
        <w:rPr/>
        <w:t>analysis</w:t>
      </w:r>
      <w:r>
        <w:rPr>
          <w:spacing w:val="-17"/>
        </w:rPr>
        <w:t> </w:t>
      </w:r>
      <w:r>
        <w:rPr/>
        <w:t>of</w:t>
      </w:r>
      <w:r>
        <w:rPr>
          <w:spacing w:val="-18"/>
        </w:rPr>
        <w:t> </w:t>
      </w:r>
      <w:r>
        <w:rPr/>
        <w:t>the</w:t>
      </w:r>
      <w:r>
        <w:rPr>
          <w:spacing w:val="-18"/>
        </w:rPr>
        <w:t> </w:t>
      </w:r>
      <w:r>
        <w:rPr/>
        <w:t>rent</w:t>
      </w:r>
      <w:r>
        <w:rPr>
          <w:spacing w:val="-19"/>
        </w:rPr>
        <w:t> </w:t>
      </w:r>
      <w:r>
        <w:rPr/>
        <w:t>roll/</w:t>
      </w:r>
      <w:r>
        <w:rPr>
          <w:spacing w:val="-16"/>
        </w:rPr>
        <w:t> </w:t>
      </w:r>
      <w:r>
        <w:rPr/>
        <w:t>lease</w:t>
      </w:r>
      <w:r>
        <w:rPr>
          <w:spacing w:val="-19"/>
        </w:rPr>
        <w:t> </w:t>
      </w:r>
      <w:r>
        <w:rPr/>
        <w:t>deeds</w:t>
      </w:r>
      <w:r>
        <w:rPr>
          <w:spacing w:val="-18"/>
        </w:rPr>
        <w:t> </w:t>
      </w:r>
      <w:r>
        <w:rPr/>
        <w:t>shared</w:t>
      </w:r>
      <w:r>
        <w:rPr>
          <w:spacing w:val="-17"/>
        </w:rPr>
        <w:t> </w:t>
      </w:r>
      <w:r>
        <w:rPr/>
        <w:t>by</w:t>
      </w:r>
      <w:r>
        <w:rPr>
          <w:spacing w:val="-18"/>
        </w:rPr>
        <w:t> </w:t>
      </w:r>
      <w:r>
        <w:rPr/>
        <w:t>the</w:t>
      </w:r>
      <w:r>
        <w:rPr>
          <w:spacing w:val="-18"/>
        </w:rPr>
        <w:t> </w:t>
      </w:r>
      <w:r>
        <w:rPr/>
        <w:t>Client,</w:t>
      </w:r>
      <w:r>
        <w:rPr>
          <w:spacing w:val="-19"/>
        </w:rPr>
        <w:t> </w:t>
      </w:r>
      <w:r>
        <w:rPr/>
        <w:t>to understand</w:t>
      </w:r>
      <w:r>
        <w:rPr>
          <w:spacing w:val="-28"/>
        </w:rPr>
        <w:t> </w:t>
      </w:r>
      <w:r>
        <w:rPr/>
        <w:t>the</w:t>
      </w:r>
      <w:r>
        <w:rPr>
          <w:spacing w:val="-26"/>
        </w:rPr>
        <w:t> </w:t>
      </w:r>
      <w:r>
        <w:rPr/>
        <w:t>lease</w:t>
      </w:r>
      <w:r>
        <w:rPr>
          <w:spacing w:val="-27"/>
        </w:rPr>
        <w:t> </w:t>
      </w:r>
      <w:r>
        <w:rPr/>
        <w:t>expiry</w:t>
      </w:r>
      <w:r>
        <w:rPr>
          <w:spacing w:val="-25"/>
        </w:rPr>
        <w:t> </w:t>
      </w:r>
      <w:r>
        <w:rPr/>
        <w:t>schedule</w:t>
      </w:r>
      <w:r>
        <w:rPr>
          <w:spacing w:val="-27"/>
        </w:rPr>
        <w:t> </w:t>
      </w:r>
      <w:r>
        <w:rPr/>
        <w:t>of</w:t>
      </w:r>
      <w:r>
        <w:rPr>
          <w:spacing w:val="-27"/>
        </w:rPr>
        <w:t> </w:t>
      </w:r>
      <w:r>
        <w:rPr/>
        <w:t>top</w:t>
      </w:r>
      <w:r>
        <w:rPr>
          <w:spacing w:val="-27"/>
        </w:rPr>
        <w:t> </w:t>
      </w:r>
      <w:r>
        <w:rPr/>
        <w:t>tenants</w:t>
      </w:r>
      <w:r>
        <w:rPr>
          <w:spacing w:val="-26"/>
        </w:rPr>
        <w:t> </w:t>
      </w:r>
      <w:r>
        <w:rPr/>
        <w:t>at</w:t>
      </w:r>
      <w:r>
        <w:rPr>
          <w:spacing w:val="-26"/>
        </w:rPr>
        <w:t> </w:t>
      </w:r>
      <w:r>
        <w:rPr/>
        <w:t>the</w:t>
      </w:r>
      <w:r>
        <w:rPr>
          <w:spacing w:val="-28"/>
        </w:rPr>
        <w:t> </w:t>
      </w:r>
      <w:r>
        <w:rPr/>
        <w:t>subject</w:t>
      </w:r>
      <w:r>
        <w:rPr>
          <w:spacing w:val="-24"/>
        </w:rPr>
        <w:t> </w:t>
      </w:r>
      <w:r>
        <w:rPr/>
        <w:t>property</w:t>
      </w:r>
      <w:r>
        <w:rPr>
          <w:spacing w:val="-27"/>
        </w:rPr>
        <w:t> </w:t>
      </w:r>
      <w:r>
        <w:rPr/>
        <w:t>and</w:t>
      </w:r>
      <w:r>
        <w:rPr>
          <w:spacing w:val="-26"/>
        </w:rPr>
        <w:t> </w:t>
      </w:r>
      <w:r>
        <w:rPr/>
        <w:t>rent</w:t>
      </w:r>
      <w:r>
        <w:rPr>
          <w:spacing w:val="-25"/>
        </w:rPr>
        <w:t> </w:t>
      </w:r>
      <w:r>
        <w:rPr/>
        <w:t>for</w:t>
      </w:r>
      <w:r>
        <w:rPr>
          <w:spacing w:val="-26"/>
        </w:rPr>
        <w:t> </w:t>
      </w:r>
      <w:r>
        <w:rPr/>
        <w:t>those</w:t>
      </w:r>
      <w:r>
        <w:rPr>
          <w:spacing w:val="-27"/>
        </w:rPr>
        <w:t> </w:t>
      </w:r>
      <w:r>
        <w:rPr/>
        <w:t>spaces</w:t>
      </w:r>
      <w:r>
        <w:rPr>
          <w:spacing w:val="-27"/>
        </w:rPr>
        <w:t> </w:t>
      </w:r>
      <w:r>
        <w:rPr/>
        <w:t>as of</w:t>
      </w:r>
      <w:r>
        <w:rPr>
          <w:spacing w:val="-26"/>
        </w:rPr>
        <w:t> </w:t>
      </w:r>
      <w:r>
        <w:rPr/>
        <w:t>date</w:t>
      </w:r>
      <w:r>
        <w:rPr>
          <w:spacing w:val="-25"/>
        </w:rPr>
        <w:t> </w:t>
      </w:r>
      <w:r>
        <w:rPr/>
        <w:t>of</w:t>
      </w:r>
      <w:r>
        <w:rPr>
          <w:spacing w:val="-25"/>
        </w:rPr>
        <w:t> </w:t>
      </w:r>
      <w:r>
        <w:rPr/>
        <w:t>valuation.</w:t>
      </w:r>
      <w:r>
        <w:rPr>
          <w:spacing w:val="-25"/>
        </w:rPr>
        <w:t> </w:t>
      </w:r>
      <w:r>
        <w:rPr/>
        <w:t>The</w:t>
      </w:r>
      <w:r>
        <w:rPr>
          <w:spacing w:val="-25"/>
        </w:rPr>
        <w:t> </w:t>
      </w:r>
      <w:r>
        <w:rPr/>
        <w:t>intent</w:t>
      </w:r>
      <w:r>
        <w:rPr>
          <w:spacing w:val="-25"/>
        </w:rPr>
        <w:t> </w:t>
      </w:r>
      <w:r>
        <w:rPr/>
        <w:t>of</w:t>
      </w:r>
      <w:r>
        <w:rPr>
          <w:spacing w:val="-25"/>
        </w:rPr>
        <w:t> </w:t>
      </w:r>
      <w:r>
        <w:rPr/>
        <w:t>the</w:t>
      </w:r>
      <w:r>
        <w:rPr>
          <w:spacing w:val="-25"/>
        </w:rPr>
        <w:t> </w:t>
      </w:r>
      <w:r>
        <w:rPr/>
        <w:t>same</w:t>
      </w:r>
      <w:r>
        <w:rPr>
          <w:spacing w:val="-26"/>
        </w:rPr>
        <w:t> </w:t>
      </w:r>
      <w:r>
        <w:rPr/>
        <w:t>is</w:t>
      </w:r>
      <w:r>
        <w:rPr>
          <w:spacing w:val="-25"/>
        </w:rPr>
        <w:t> </w:t>
      </w:r>
      <w:r>
        <w:rPr/>
        <w:t>to</w:t>
      </w:r>
      <w:r>
        <w:rPr>
          <w:spacing w:val="-26"/>
        </w:rPr>
        <w:t> </w:t>
      </w:r>
      <w:r>
        <w:rPr/>
        <w:t>analyse</w:t>
      </w:r>
      <w:r>
        <w:rPr>
          <w:spacing w:val="-25"/>
        </w:rPr>
        <w:t> </w:t>
      </w:r>
      <w:r>
        <w:rPr/>
        <w:t>the</w:t>
      </w:r>
      <w:r>
        <w:rPr>
          <w:spacing w:val="-26"/>
        </w:rPr>
        <w:t> </w:t>
      </w:r>
      <w:r>
        <w:rPr/>
        <w:t>risk</w:t>
      </w:r>
      <w:r>
        <w:rPr>
          <w:spacing w:val="-26"/>
        </w:rPr>
        <w:t> </w:t>
      </w:r>
      <w:r>
        <w:rPr/>
        <w:t>of</w:t>
      </w:r>
      <w:r>
        <w:rPr>
          <w:spacing w:val="-25"/>
        </w:rPr>
        <w:t> </w:t>
      </w:r>
      <w:r>
        <w:rPr/>
        <w:t>tenant</w:t>
      </w:r>
      <w:r>
        <w:rPr>
          <w:spacing w:val="-25"/>
        </w:rPr>
        <w:t> </w:t>
      </w:r>
      <w:r>
        <w:rPr/>
        <w:t>churn</w:t>
      </w:r>
      <w:r>
        <w:rPr>
          <w:spacing w:val="-26"/>
        </w:rPr>
        <w:t> </w:t>
      </w:r>
      <w:r>
        <w:rPr/>
        <w:t>as</w:t>
      </w:r>
      <w:r>
        <w:rPr>
          <w:spacing w:val="-24"/>
        </w:rPr>
        <w:t> </w:t>
      </w:r>
      <w:r>
        <w:rPr/>
        <w:t>well</w:t>
      </w:r>
      <w:r>
        <w:rPr>
          <w:spacing w:val="-27"/>
        </w:rPr>
        <w:t> </w:t>
      </w:r>
      <w:r>
        <w:rPr/>
        <w:t>as</w:t>
      </w:r>
      <w:r>
        <w:rPr>
          <w:spacing w:val="-24"/>
        </w:rPr>
        <w:t> </w:t>
      </w:r>
      <w:r>
        <w:rPr/>
        <w:t>assessing</w:t>
      </w:r>
      <w:r>
        <w:rPr>
          <w:spacing w:val="-26"/>
        </w:rPr>
        <w:t> </w:t>
      </w:r>
      <w:r>
        <w:rPr/>
        <w:t>the re-leasing risk for the property along with opining on the timeframe to lease-up the spaces in case</w:t>
      </w:r>
      <w:r>
        <w:rPr>
          <w:spacing w:val="-31"/>
        </w:rPr>
        <w:t> </w:t>
      </w:r>
      <w:r>
        <w:rPr/>
        <w:t>a significant vacancy arises at the</w:t>
      </w:r>
      <w:r>
        <w:rPr>
          <w:spacing w:val="-22"/>
        </w:rPr>
        <w:t> </w:t>
      </w:r>
      <w:r>
        <w:rPr/>
        <w:t>property.</w:t>
      </w:r>
    </w:p>
    <w:p>
      <w:pPr>
        <w:pStyle w:val="BodyText"/>
        <w:spacing w:before="10"/>
        <w:rPr>
          <w:sz w:val="20"/>
        </w:rPr>
      </w:pPr>
    </w:p>
    <w:p>
      <w:pPr>
        <w:pStyle w:val="ListParagraph"/>
        <w:numPr>
          <w:ilvl w:val="2"/>
          <w:numId w:val="14"/>
        </w:numPr>
        <w:tabs>
          <w:tab w:pos="841" w:val="left" w:leader="none"/>
        </w:tabs>
        <w:spacing w:line="240" w:lineRule="auto" w:before="1" w:after="0"/>
        <w:ind w:left="840" w:right="0" w:hanging="721"/>
        <w:jc w:val="left"/>
        <w:rPr>
          <w:sz w:val="22"/>
        </w:rPr>
      </w:pPr>
      <w:bookmarkStart w:name="_bookmark113" w:id="222"/>
      <w:bookmarkEnd w:id="222"/>
      <w:r>
        <w:rPr/>
      </w:r>
      <w:bookmarkStart w:name="_bookmark113" w:id="223"/>
      <w:bookmarkEnd w:id="223"/>
      <w:r>
        <w:rPr>
          <w:color w:val="1F664D"/>
          <w:sz w:val="22"/>
        </w:rPr>
        <w:t>Esc</w:t>
      </w:r>
      <w:r>
        <w:rPr>
          <w:color w:val="1F664D"/>
          <w:sz w:val="22"/>
        </w:rPr>
        <w:t>alation</w:t>
      </w:r>
      <w:r>
        <w:rPr>
          <w:color w:val="1F664D"/>
          <w:spacing w:val="-3"/>
          <w:sz w:val="22"/>
        </w:rPr>
        <w:t> </w:t>
      </w:r>
      <w:r>
        <w:rPr>
          <w:color w:val="1F664D"/>
          <w:sz w:val="22"/>
        </w:rPr>
        <w:t>Analysis</w:t>
      </w:r>
    </w:p>
    <w:p>
      <w:pPr>
        <w:pStyle w:val="BodyText"/>
        <w:spacing w:line="321" w:lineRule="auto" w:before="207"/>
        <w:ind w:left="682" w:right="116"/>
        <w:jc w:val="both"/>
      </w:pPr>
      <w:r>
        <w:rPr/>
        <w:t>As</w:t>
      </w:r>
      <w:r>
        <w:rPr>
          <w:spacing w:val="-27"/>
        </w:rPr>
        <w:t> </w:t>
      </w:r>
      <w:r>
        <w:rPr/>
        <w:t>per</w:t>
      </w:r>
      <w:r>
        <w:rPr>
          <w:spacing w:val="-27"/>
        </w:rPr>
        <w:t> </w:t>
      </w:r>
      <w:r>
        <w:rPr/>
        <w:t>the</w:t>
      </w:r>
      <w:r>
        <w:rPr>
          <w:spacing w:val="-26"/>
        </w:rPr>
        <w:t> </w:t>
      </w:r>
      <w:r>
        <w:rPr/>
        <w:t>review</w:t>
      </w:r>
      <w:r>
        <w:rPr>
          <w:spacing w:val="-26"/>
        </w:rPr>
        <w:t> </w:t>
      </w:r>
      <w:r>
        <w:rPr/>
        <w:t>of</w:t>
      </w:r>
      <w:r>
        <w:rPr>
          <w:spacing w:val="-25"/>
        </w:rPr>
        <w:t> </w:t>
      </w:r>
      <w:r>
        <w:rPr/>
        <w:t>recent</w:t>
      </w:r>
      <w:r>
        <w:rPr>
          <w:spacing w:val="-26"/>
        </w:rPr>
        <w:t> </w:t>
      </w:r>
      <w:r>
        <w:rPr/>
        <w:t>executed</w:t>
      </w:r>
      <w:r>
        <w:rPr>
          <w:spacing w:val="-26"/>
        </w:rPr>
        <w:t> </w:t>
      </w:r>
      <w:r>
        <w:rPr/>
        <w:t>leases</w:t>
      </w:r>
      <w:r>
        <w:rPr>
          <w:spacing w:val="-26"/>
        </w:rPr>
        <w:t> </w:t>
      </w:r>
      <w:r>
        <w:rPr/>
        <w:t>at</w:t>
      </w:r>
      <w:r>
        <w:rPr>
          <w:spacing w:val="-26"/>
        </w:rPr>
        <w:t> </w:t>
      </w:r>
      <w:r>
        <w:rPr/>
        <w:t>the</w:t>
      </w:r>
      <w:r>
        <w:rPr>
          <w:spacing w:val="-28"/>
        </w:rPr>
        <w:t> </w:t>
      </w:r>
      <w:r>
        <w:rPr/>
        <w:t>subject</w:t>
      </w:r>
      <w:r>
        <w:rPr>
          <w:spacing w:val="-25"/>
        </w:rPr>
        <w:t> </w:t>
      </w:r>
      <w:r>
        <w:rPr/>
        <w:t>property</w:t>
      </w:r>
      <w:r>
        <w:rPr>
          <w:spacing w:val="-26"/>
        </w:rPr>
        <w:t> </w:t>
      </w:r>
      <w:r>
        <w:rPr/>
        <w:t>it</w:t>
      </w:r>
      <w:r>
        <w:rPr>
          <w:spacing w:val="-26"/>
        </w:rPr>
        <w:t> </w:t>
      </w:r>
      <w:r>
        <w:rPr/>
        <w:t>is</w:t>
      </w:r>
      <w:r>
        <w:rPr>
          <w:spacing w:val="-26"/>
        </w:rPr>
        <w:t> </w:t>
      </w:r>
      <w:r>
        <w:rPr/>
        <w:t>understood</w:t>
      </w:r>
      <w:r>
        <w:rPr>
          <w:spacing w:val="-27"/>
        </w:rPr>
        <w:t> </w:t>
      </w:r>
      <w:r>
        <w:rPr/>
        <w:t>that</w:t>
      </w:r>
      <w:r>
        <w:rPr>
          <w:spacing w:val="-26"/>
        </w:rPr>
        <w:t> </w:t>
      </w:r>
      <w:r>
        <w:rPr/>
        <w:t>the</w:t>
      </w:r>
      <w:r>
        <w:rPr>
          <w:spacing w:val="-27"/>
        </w:rPr>
        <w:t> </w:t>
      </w:r>
      <w:r>
        <w:rPr/>
        <w:t>contracted escalation</w:t>
      </w:r>
      <w:r>
        <w:rPr>
          <w:spacing w:val="-21"/>
        </w:rPr>
        <w:t> </w:t>
      </w:r>
      <w:r>
        <w:rPr/>
        <w:t>terms</w:t>
      </w:r>
      <w:r>
        <w:rPr>
          <w:spacing w:val="-19"/>
        </w:rPr>
        <w:t> </w:t>
      </w:r>
      <w:r>
        <w:rPr/>
        <w:t>for</w:t>
      </w:r>
      <w:r>
        <w:rPr>
          <w:spacing w:val="-20"/>
        </w:rPr>
        <w:t> </w:t>
      </w:r>
      <w:r>
        <w:rPr/>
        <w:t>these</w:t>
      </w:r>
      <w:r>
        <w:rPr>
          <w:spacing w:val="-21"/>
        </w:rPr>
        <w:t> </w:t>
      </w:r>
      <w:r>
        <w:rPr/>
        <w:t>leases</w:t>
      </w:r>
      <w:r>
        <w:rPr>
          <w:spacing w:val="-19"/>
        </w:rPr>
        <w:t> </w:t>
      </w:r>
      <w:r>
        <w:rPr/>
        <w:t>are</w:t>
      </w:r>
      <w:r>
        <w:rPr>
          <w:spacing w:val="-20"/>
        </w:rPr>
        <w:t> </w:t>
      </w:r>
      <w:r>
        <w:rPr/>
        <w:t>in</w:t>
      </w:r>
      <w:r>
        <w:rPr>
          <w:spacing w:val="-20"/>
        </w:rPr>
        <w:t> </w:t>
      </w:r>
      <w:r>
        <w:rPr/>
        <w:t>the</w:t>
      </w:r>
      <w:r>
        <w:rPr>
          <w:spacing w:val="-19"/>
        </w:rPr>
        <w:t> </w:t>
      </w:r>
      <w:r>
        <w:rPr/>
        <w:t>range</w:t>
      </w:r>
      <w:r>
        <w:rPr>
          <w:spacing w:val="-20"/>
        </w:rPr>
        <w:t> </w:t>
      </w:r>
      <w:r>
        <w:rPr/>
        <w:t>of</w:t>
      </w:r>
      <w:r>
        <w:rPr>
          <w:spacing w:val="-20"/>
        </w:rPr>
        <w:t> </w:t>
      </w:r>
      <w:r>
        <w:rPr/>
        <w:t>10.0%</w:t>
      </w:r>
      <w:r>
        <w:rPr>
          <w:spacing w:val="-20"/>
        </w:rPr>
        <w:t> </w:t>
      </w:r>
      <w:r>
        <w:rPr/>
        <w:t>to</w:t>
      </w:r>
      <w:r>
        <w:rPr>
          <w:spacing w:val="-20"/>
        </w:rPr>
        <w:t> </w:t>
      </w:r>
      <w:r>
        <w:rPr/>
        <w:t>15.0%</w:t>
      </w:r>
      <w:r>
        <w:rPr>
          <w:spacing w:val="-19"/>
        </w:rPr>
        <w:t> </w:t>
      </w:r>
      <w:r>
        <w:rPr/>
        <w:t>every</w:t>
      </w:r>
      <w:r>
        <w:rPr>
          <w:spacing w:val="-19"/>
        </w:rPr>
        <w:t> </w:t>
      </w:r>
      <w:r>
        <w:rPr/>
        <w:t>3</w:t>
      </w:r>
      <w:r>
        <w:rPr>
          <w:spacing w:val="-19"/>
        </w:rPr>
        <w:t> </w:t>
      </w:r>
      <w:r>
        <w:rPr/>
        <w:t>years</w:t>
      </w:r>
      <w:r>
        <w:rPr>
          <w:spacing w:val="-19"/>
        </w:rPr>
        <w:t> </w:t>
      </w:r>
      <w:r>
        <w:rPr/>
        <w:t>which</w:t>
      </w:r>
      <w:r>
        <w:rPr>
          <w:spacing w:val="-20"/>
        </w:rPr>
        <w:t> </w:t>
      </w:r>
      <w:r>
        <w:rPr/>
        <w:t>are</w:t>
      </w:r>
      <w:r>
        <w:rPr>
          <w:spacing w:val="-19"/>
        </w:rPr>
        <w:t> </w:t>
      </w:r>
      <w:r>
        <w:rPr/>
        <w:t>in</w:t>
      </w:r>
      <w:r>
        <w:rPr>
          <w:spacing w:val="-20"/>
        </w:rPr>
        <w:t> </w:t>
      </w:r>
      <w:r>
        <w:rPr/>
        <w:t>line</w:t>
      </w:r>
      <w:r>
        <w:rPr>
          <w:spacing w:val="-21"/>
        </w:rPr>
        <w:t> </w:t>
      </w:r>
      <w:r>
        <w:rPr/>
        <w:t>with the</w:t>
      </w:r>
      <w:r>
        <w:rPr>
          <w:spacing w:val="-7"/>
        </w:rPr>
        <w:t> </w:t>
      </w:r>
      <w:r>
        <w:rPr/>
        <w:t>prevailing</w:t>
      </w:r>
      <w:r>
        <w:rPr>
          <w:spacing w:val="-6"/>
        </w:rPr>
        <w:t> </w:t>
      </w:r>
      <w:r>
        <w:rPr/>
        <w:t>market</w:t>
      </w:r>
      <w:r>
        <w:rPr>
          <w:spacing w:val="-6"/>
        </w:rPr>
        <w:t> </w:t>
      </w:r>
      <w:r>
        <w:rPr/>
        <w:t>practice</w:t>
      </w:r>
      <w:r>
        <w:rPr>
          <w:spacing w:val="-7"/>
        </w:rPr>
        <w:t> </w:t>
      </w:r>
      <w:r>
        <w:rPr/>
        <w:t>witnessed</w:t>
      </w:r>
      <w:r>
        <w:rPr>
          <w:spacing w:val="-5"/>
        </w:rPr>
        <w:t> </w:t>
      </w:r>
      <w:r>
        <w:rPr/>
        <w:t>across</w:t>
      </w:r>
      <w:r>
        <w:rPr>
          <w:spacing w:val="-8"/>
        </w:rPr>
        <w:t> </w:t>
      </w:r>
      <w:r>
        <w:rPr/>
        <w:t>the</w:t>
      </w:r>
      <w:r>
        <w:rPr>
          <w:spacing w:val="-6"/>
        </w:rPr>
        <w:t> </w:t>
      </w:r>
      <w:r>
        <w:rPr/>
        <w:t>submarket</w:t>
      </w:r>
      <w:r>
        <w:rPr>
          <w:spacing w:val="-6"/>
        </w:rPr>
        <w:t> </w:t>
      </w:r>
      <w:r>
        <w:rPr/>
        <w:t>and</w:t>
      </w:r>
      <w:r>
        <w:rPr>
          <w:spacing w:val="-6"/>
        </w:rPr>
        <w:t> </w:t>
      </w:r>
      <w:r>
        <w:rPr/>
        <w:t>MMR.</w:t>
      </w:r>
    </w:p>
    <w:p>
      <w:pPr>
        <w:pStyle w:val="BodyText"/>
        <w:spacing w:before="9"/>
        <w:rPr>
          <w:sz w:val="29"/>
        </w:rPr>
      </w:pPr>
    </w:p>
    <w:p>
      <w:pPr>
        <w:pStyle w:val="ListParagraph"/>
        <w:numPr>
          <w:ilvl w:val="1"/>
          <w:numId w:val="14"/>
        </w:numPr>
        <w:tabs>
          <w:tab w:pos="696" w:val="left" w:leader="none"/>
          <w:tab w:pos="697" w:val="left" w:leader="none"/>
        </w:tabs>
        <w:spacing w:line="240" w:lineRule="auto" w:before="0" w:after="0"/>
        <w:ind w:left="696" w:right="0" w:hanging="577"/>
        <w:jc w:val="left"/>
        <w:rPr>
          <w:color w:val="1F6647"/>
          <w:sz w:val="22"/>
        </w:rPr>
      </w:pPr>
      <w:bookmarkStart w:name="_bookmark114" w:id="224"/>
      <w:bookmarkEnd w:id="224"/>
      <w:r>
        <w:rPr/>
      </w:r>
      <w:bookmarkStart w:name="_bookmark114" w:id="225"/>
      <w:bookmarkEnd w:id="225"/>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line="321" w:lineRule="auto" w:before="206"/>
        <w:ind w:left="682" w:right="120"/>
        <w:jc w:val="both"/>
      </w:pPr>
      <w:r>
        <w:rPr/>
        <w:t>As</w:t>
      </w:r>
      <w:r>
        <w:rPr>
          <w:spacing w:val="-38"/>
        </w:rPr>
        <w:t> </w:t>
      </w:r>
      <w:r>
        <w:rPr/>
        <w:t>highlighted</w:t>
      </w:r>
      <w:r>
        <w:rPr>
          <w:spacing w:val="-38"/>
        </w:rPr>
        <w:t> </w:t>
      </w:r>
      <w:r>
        <w:rPr/>
        <w:t>earlier,</w:t>
      </w:r>
      <w:r>
        <w:rPr>
          <w:spacing w:val="-39"/>
        </w:rPr>
        <w:t> </w:t>
      </w:r>
      <w:r>
        <w:rPr/>
        <w:t>the</w:t>
      </w:r>
      <w:r>
        <w:rPr>
          <w:spacing w:val="-39"/>
        </w:rPr>
        <w:t> </w:t>
      </w:r>
      <w:r>
        <w:rPr/>
        <w:t>subject</w:t>
      </w:r>
      <w:r>
        <w:rPr>
          <w:spacing w:val="-39"/>
        </w:rPr>
        <w:t> </w:t>
      </w:r>
      <w:r>
        <w:rPr/>
        <w:t>property</w:t>
      </w:r>
      <w:r>
        <w:rPr>
          <w:spacing w:val="-39"/>
        </w:rPr>
        <w:t> </w:t>
      </w:r>
      <w:r>
        <w:rPr/>
        <w:t>is</w:t>
      </w:r>
      <w:r>
        <w:rPr>
          <w:spacing w:val="-38"/>
        </w:rPr>
        <w:t> </w:t>
      </w:r>
      <w:r>
        <w:rPr/>
        <w:t>an</w:t>
      </w:r>
      <w:r>
        <w:rPr>
          <w:spacing w:val="-39"/>
        </w:rPr>
        <w:t> </w:t>
      </w:r>
      <w:r>
        <w:rPr/>
        <w:t>operational</w:t>
      </w:r>
      <w:r>
        <w:rPr>
          <w:spacing w:val="-39"/>
        </w:rPr>
        <w:t> </w:t>
      </w:r>
      <w:r>
        <w:rPr/>
        <w:t>commercial</w:t>
      </w:r>
      <w:r>
        <w:rPr>
          <w:spacing w:val="-38"/>
        </w:rPr>
        <w:t> </w:t>
      </w:r>
      <w:r>
        <w:rPr/>
        <w:t>development</w:t>
      </w:r>
      <w:r>
        <w:rPr>
          <w:spacing w:val="-39"/>
        </w:rPr>
        <w:t> </w:t>
      </w:r>
      <w:r>
        <w:rPr/>
        <w:t>located</w:t>
      </w:r>
      <w:r>
        <w:rPr>
          <w:spacing w:val="-37"/>
        </w:rPr>
        <w:t> </w:t>
      </w:r>
      <w:r>
        <w:rPr/>
        <w:t>along</w:t>
      </w:r>
      <w:r>
        <w:rPr>
          <w:spacing w:val="-39"/>
        </w:rPr>
        <w:t> </w:t>
      </w:r>
      <w:r>
        <w:rPr/>
        <w:t>LBS Road,</w:t>
      </w:r>
      <w:r>
        <w:rPr>
          <w:spacing w:val="-8"/>
        </w:rPr>
        <w:t> </w:t>
      </w:r>
      <w:r>
        <w:rPr/>
        <w:t>Vikhroli</w:t>
      </w:r>
      <w:r>
        <w:rPr>
          <w:spacing w:val="-8"/>
        </w:rPr>
        <w:t> </w:t>
      </w:r>
      <w:r>
        <w:rPr/>
        <w:t>which</w:t>
      </w:r>
      <w:r>
        <w:rPr>
          <w:spacing w:val="-9"/>
        </w:rPr>
        <w:t> </w:t>
      </w:r>
      <w:r>
        <w:rPr/>
        <w:t>lies</w:t>
      </w:r>
      <w:r>
        <w:rPr>
          <w:spacing w:val="-6"/>
        </w:rPr>
        <w:t> </w:t>
      </w:r>
      <w:r>
        <w:rPr/>
        <w:t>in</w:t>
      </w:r>
      <w:r>
        <w:rPr>
          <w:spacing w:val="-9"/>
        </w:rPr>
        <w:t> </w:t>
      </w:r>
      <w:r>
        <w:rPr/>
        <w:t>Peripheral</w:t>
      </w:r>
      <w:r>
        <w:rPr>
          <w:spacing w:val="-8"/>
        </w:rPr>
        <w:t> </w:t>
      </w:r>
      <w:r>
        <w:rPr/>
        <w:t>Business</w:t>
      </w:r>
      <w:r>
        <w:rPr>
          <w:spacing w:val="-7"/>
        </w:rPr>
        <w:t> </w:t>
      </w:r>
      <w:r>
        <w:rPr/>
        <w:t>District</w:t>
      </w:r>
      <w:r>
        <w:rPr>
          <w:spacing w:val="-7"/>
        </w:rPr>
        <w:t> </w:t>
      </w:r>
      <w:r>
        <w:rPr/>
        <w:t>(East)</w:t>
      </w:r>
      <w:r>
        <w:rPr>
          <w:spacing w:val="-7"/>
        </w:rPr>
        <w:t> </w:t>
      </w:r>
      <w:r>
        <w:rPr/>
        <w:t>of</w:t>
      </w:r>
      <w:r>
        <w:rPr>
          <w:spacing w:val="-7"/>
        </w:rPr>
        <w:t> </w:t>
      </w:r>
      <w:r>
        <w:rPr/>
        <w:t>Mumbai.</w:t>
      </w:r>
    </w:p>
    <w:p>
      <w:pPr>
        <w:spacing w:after="0" w:line="321" w:lineRule="auto"/>
        <w:jc w:val="both"/>
        <w:sectPr>
          <w:pgSz w:w="11910" w:h="16840"/>
          <w:pgMar w:header="919" w:footer="1149" w:top="1660" w:bottom="1340" w:left="600" w:right="600"/>
        </w:sectPr>
      </w:pPr>
    </w:p>
    <w:p>
      <w:pPr>
        <w:pStyle w:val="BodyText"/>
        <w:spacing w:before="7"/>
        <w:rPr>
          <w:sz w:val="9"/>
        </w:rPr>
      </w:pPr>
    </w:p>
    <w:p>
      <w:pPr>
        <w:pStyle w:val="BodyText"/>
        <w:spacing w:line="321" w:lineRule="auto" w:before="106"/>
        <w:ind w:left="682" w:right="119"/>
        <w:jc w:val="both"/>
      </w:pPr>
      <w:r>
        <w:rPr/>
        <w:t>The</w:t>
      </w:r>
      <w:r>
        <w:rPr>
          <w:spacing w:val="-15"/>
        </w:rPr>
        <w:t> </w:t>
      </w:r>
      <w:r>
        <w:rPr/>
        <w:t>Western</w:t>
      </w:r>
      <w:r>
        <w:rPr>
          <w:spacing w:val="-14"/>
        </w:rPr>
        <w:t> </w:t>
      </w:r>
      <w:r>
        <w:rPr/>
        <w:t>part</w:t>
      </w:r>
      <w:r>
        <w:rPr>
          <w:spacing w:val="-13"/>
        </w:rPr>
        <w:t> </w:t>
      </w:r>
      <w:r>
        <w:rPr/>
        <w:t>of</w:t>
      </w:r>
      <w:r>
        <w:rPr>
          <w:spacing w:val="-13"/>
        </w:rPr>
        <w:t> </w:t>
      </w:r>
      <w:r>
        <w:rPr/>
        <w:t>the</w:t>
      </w:r>
      <w:r>
        <w:rPr>
          <w:spacing w:val="-12"/>
        </w:rPr>
        <w:t> </w:t>
      </w:r>
      <w:r>
        <w:rPr/>
        <w:t>submarket</w:t>
      </w:r>
      <w:r>
        <w:rPr>
          <w:spacing w:val="-13"/>
        </w:rPr>
        <w:t> </w:t>
      </w:r>
      <w:r>
        <w:rPr/>
        <w:t>is</w:t>
      </w:r>
      <w:r>
        <w:rPr>
          <w:spacing w:val="-13"/>
        </w:rPr>
        <w:t> </w:t>
      </w:r>
      <w:r>
        <w:rPr/>
        <w:t>accessible</w:t>
      </w:r>
      <w:r>
        <w:rPr>
          <w:spacing w:val="-14"/>
        </w:rPr>
        <w:t> </w:t>
      </w:r>
      <w:r>
        <w:rPr/>
        <w:t>by</w:t>
      </w:r>
      <w:r>
        <w:rPr>
          <w:spacing w:val="-13"/>
        </w:rPr>
        <w:t> </w:t>
      </w:r>
      <w:r>
        <w:rPr/>
        <w:t>the</w:t>
      </w:r>
      <w:r>
        <w:rPr>
          <w:spacing w:val="-14"/>
        </w:rPr>
        <w:t> </w:t>
      </w:r>
      <w:r>
        <w:rPr/>
        <w:t>LBS</w:t>
      </w:r>
      <w:r>
        <w:rPr>
          <w:spacing w:val="-13"/>
        </w:rPr>
        <w:t> </w:t>
      </w:r>
      <w:r>
        <w:rPr/>
        <w:t>road</w:t>
      </w:r>
      <w:r>
        <w:rPr>
          <w:spacing w:val="-13"/>
        </w:rPr>
        <w:t> </w:t>
      </w:r>
      <w:r>
        <w:rPr/>
        <w:t>while</w:t>
      </w:r>
      <w:r>
        <w:rPr>
          <w:spacing w:val="-14"/>
        </w:rPr>
        <w:t> </w:t>
      </w:r>
      <w:r>
        <w:rPr/>
        <w:t>the</w:t>
      </w:r>
      <w:r>
        <w:rPr>
          <w:spacing w:val="-14"/>
        </w:rPr>
        <w:t> </w:t>
      </w:r>
      <w:r>
        <w:rPr/>
        <w:t>Eastern</w:t>
      </w:r>
      <w:r>
        <w:rPr>
          <w:spacing w:val="-14"/>
        </w:rPr>
        <w:t> </w:t>
      </w:r>
      <w:r>
        <w:rPr/>
        <w:t>part</w:t>
      </w:r>
      <w:r>
        <w:rPr>
          <w:spacing w:val="-13"/>
        </w:rPr>
        <w:t> </w:t>
      </w:r>
      <w:r>
        <w:rPr/>
        <w:t>is</w:t>
      </w:r>
      <w:r>
        <w:rPr>
          <w:spacing w:val="-14"/>
        </w:rPr>
        <w:t> </w:t>
      </w:r>
      <w:r>
        <w:rPr/>
        <w:t>bordered</w:t>
      </w:r>
      <w:r>
        <w:rPr>
          <w:spacing w:val="-13"/>
        </w:rPr>
        <w:t> </w:t>
      </w:r>
      <w:r>
        <w:rPr/>
        <w:t>by the</w:t>
      </w:r>
      <w:r>
        <w:rPr>
          <w:spacing w:val="-26"/>
        </w:rPr>
        <w:t> </w:t>
      </w:r>
      <w:r>
        <w:rPr/>
        <w:t>Eastern</w:t>
      </w:r>
      <w:r>
        <w:rPr>
          <w:spacing w:val="-25"/>
        </w:rPr>
        <w:t> </w:t>
      </w:r>
      <w:r>
        <w:rPr/>
        <w:t>Express</w:t>
      </w:r>
      <w:r>
        <w:rPr>
          <w:spacing w:val="-25"/>
        </w:rPr>
        <w:t> </w:t>
      </w:r>
      <w:r>
        <w:rPr/>
        <w:t>Highway.</w:t>
      </w:r>
      <w:r>
        <w:rPr>
          <w:spacing w:val="-25"/>
        </w:rPr>
        <w:t> </w:t>
      </w:r>
      <w:r>
        <w:rPr/>
        <w:t>The</w:t>
      </w:r>
      <w:r>
        <w:rPr>
          <w:spacing w:val="-27"/>
        </w:rPr>
        <w:t> </w:t>
      </w:r>
      <w:r>
        <w:rPr/>
        <w:t>prime</w:t>
      </w:r>
      <w:r>
        <w:rPr>
          <w:spacing w:val="-25"/>
        </w:rPr>
        <w:t> </w:t>
      </w:r>
      <w:r>
        <w:rPr/>
        <w:t>residential</w:t>
      </w:r>
      <w:r>
        <w:rPr>
          <w:spacing w:val="-26"/>
        </w:rPr>
        <w:t> </w:t>
      </w:r>
      <w:r>
        <w:rPr/>
        <w:t>area</w:t>
      </w:r>
      <w:r>
        <w:rPr>
          <w:spacing w:val="-25"/>
        </w:rPr>
        <w:t> </w:t>
      </w:r>
      <w:r>
        <w:rPr/>
        <w:t>in</w:t>
      </w:r>
      <w:r>
        <w:rPr>
          <w:spacing w:val="-26"/>
        </w:rPr>
        <w:t> </w:t>
      </w:r>
      <w:r>
        <w:rPr/>
        <w:t>the</w:t>
      </w:r>
      <w:r>
        <w:rPr>
          <w:spacing w:val="-25"/>
        </w:rPr>
        <w:t> </w:t>
      </w:r>
      <w:r>
        <w:rPr/>
        <w:t>region</w:t>
      </w:r>
      <w:r>
        <w:rPr>
          <w:spacing w:val="-25"/>
        </w:rPr>
        <w:t> </w:t>
      </w:r>
      <w:r>
        <w:rPr/>
        <w:t>lies</w:t>
      </w:r>
      <w:r>
        <w:rPr>
          <w:spacing w:val="-25"/>
        </w:rPr>
        <w:t> </w:t>
      </w:r>
      <w:r>
        <w:rPr/>
        <w:t>along</w:t>
      </w:r>
      <w:r>
        <w:rPr>
          <w:spacing w:val="-25"/>
        </w:rPr>
        <w:t> </w:t>
      </w:r>
      <w:r>
        <w:rPr/>
        <w:t>the</w:t>
      </w:r>
      <w:r>
        <w:rPr>
          <w:spacing w:val="-25"/>
        </w:rPr>
        <w:t> </w:t>
      </w:r>
      <w:r>
        <w:rPr/>
        <w:t>Western</w:t>
      </w:r>
      <w:r>
        <w:rPr>
          <w:spacing w:val="-25"/>
        </w:rPr>
        <w:t> </w:t>
      </w:r>
      <w:r>
        <w:rPr/>
        <w:t>side</w:t>
      </w:r>
      <w:r>
        <w:rPr>
          <w:spacing w:val="-25"/>
        </w:rPr>
        <w:t> </w:t>
      </w:r>
      <w:r>
        <w:rPr/>
        <w:t>of</w:t>
      </w:r>
      <w:r>
        <w:rPr>
          <w:spacing w:val="-26"/>
        </w:rPr>
        <w:t> </w:t>
      </w:r>
      <w:r>
        <w:rPr/>
        <w:t>the suburb, i.e. LBS</w:t>
      </w:r>
      <w:r>
        <w:rPr>
          <w:spacing w:val="-8"/>
        </w:rPr>
        <w:t> </w:t>
      </w:r>
      <w:r>
        <w:rPr/>
        <w:t>Marg.</w:t>
      </w:r>
    </w:p>
    <w:p>
      <w:pPr>
        <w:pStyle w:val="BodyText"/>
        <w:spacing w:line="321" w:lineRule="auto" w:before="121"/>
        <w:ind w:left="682" w:right="114"/>
        <w:jc w:val="both"/>
      </w:pPr>
      <w:r>
        <w:rPr/>
        <w:t>Traditionally, the submarket catered to demand emanating from industrial activities because of the presence of manufacturing companies like Godrej &amp; Boyce, HCC, IndiaTubes Mills etc. Further, redevelopment</w:t>
      </w:r>
      <w:r>
        <w:rPr>
          <w:spacing w:val="-45"/>
        </w:rPr>
        <w:t> </w:t>
      </w:r>
      <w:r>
        <w:rPr/>
        <w:t>activity</w:t>
      </w:r>
      <w:r>
        <w:rPr>
          <w:spacing w:val="-43"/>
        </w:rPr>
        <w:t> </w:t>
      </w:r>
      <w:r>
        <w:rPr/>
        <w:t>of</w:t>
      </w:r>
      <w:r>
        <w:rPr>
          <w:spacing w:val="-45"/>
        </w:rPr>
        <w:t> </w:t>
      </w:r>
      <w:r>
        <w:rPr/>
        <w:t>these</w:t>
      </w:r>
      <w:r>
        <w:rPr>
          <w:spacing w:val="-45"/>
        </w:rPr>
        <w:t> </w:t>
      </w:r>
      <w:r>
        <w:rPr/>
        <w:t>industrial</w:t>
      </w:r>
      <w:r>
        <w:rPr>
          <w:spacing w:val="-45"/>
        </w:rPr>
        <w:t> </w:t>
      </w:r>
      <w:r>
        <w:rPr/>
        <w:t>units</w:t>
      </w:r>
      <w:r>
        <w:rPr>
          <w:spacing w:val="-43"/>
        </w:rPr>
        <w:t> </w:t>
      </w:r>
      <w:r>
        <w:rPr/>
        <w:t>leads</w:t>
      </w:r>
      <w:r>
        <w:rPr>
          <w:spacing w:val="-44"/>
        </w:rPr>
        <w:t> </w:t>
      </w:r>
      <w:r>
        <w:rPr/>
        <w:t>to</w:t>
      </w:r>
      <w:r>
        <w:rPr>
          <w:spacing w:val="-44"/>
        </w:rPr>
        <w:t> </w:t>
      </w:r>
      <w:r>
        <w:rPr/>
        <w:t>the</w:t>
      </w:r>
      <w:r>
        <w:rPr>
          <w:spacing w:val="-45"/>
        </w:rPr>
        <w:t> </w:t>
      </w:r>
      <w:r>
        <w:rPr/>
        <w:t>emergence</w:t>
      </w:r>
      <w:r>
        <w:rPr>
          <w:spacing w:val="-44"/>
        </w:rPr>
        <w:t> </w:t>
      </w:r>
      <w:r>
        <w:rPr/>
        <w:t>of</w:t>
      </w:r>
      <w:r>
        <w:rPr>
          <w:spacing w:val="-45"/>
        </w:rPr>
        <w:t> </w:t>
      </w:r>
      <w:r>
        <w:rPr/>
        <w:t>this</w:t>
      </w:r>
      <w:r>
        <w:rPr>
          <w:spacing w:val="-45"/>
        </w:rPr>
        <w:t> </w:t>
      </w:r>
      <w:r>
        <w:rPr/>
        <w:t>sublocation</w:t>
      </w:r>
      <w:r>
        <w:rPr>
          <w:spacing w:val="-45"/>
        </w:rPr>
        <w:t> </w:t>
      </w:r>
      <w:r>
        <w:rPr/>
        <w:t>as</w:t>
      </w:r>
      <w:r>
        <w:rPr>
          <w:spacing w:val="-43"/>
        </w:rPr>
        <w:t> </w:t>
      </w:r>
      <w:r>
        <w:rPr/>
        <w:t>a</w:t>
      </w:r>
      <w:r>
        <w:rPr>
          <w:spacing w:val="-45"/>
        </w:rPr>
        <w:t> </w:t>
      </w:r>
      <w:r>
        <w:rPr/>
        <w:t>residential </w:t>
      </w:r>
      <w:r>
        <w:rPr>
          <w:w w:val="95"/>
        </w:rPr>
        <w:t>and</w:t>
      </w:r>
      <w:r>
        <w:rPr>
          <w:spacing w:val="-10"/>
          <w:w w:val="95"/>
        </w:rPr>
        <w:t> </w:t>
      </w:r>
      <w:r>
        <w:rPr>
          <w:w w:val="95"/>
        </w:rPr>
        <w:t>commercial</w:t>
      </w:r>
      <w:r>
        <w:rPr>
          <w:spacing w:val="-10"/>
          <w:w w:val="95"/>
        </w:rPr>
        <w:t> </w:t>
      </w:r>
      <w:r>
        <w:rPr>
          <w:w w:val="95"/>
        </w:rPr>
        <w:t>hub.</w:t>
      </w:r>
      <w:r>
        <w:rPr>
          <w:spacing w:val="-10"/>
          <w:w w:val="95"/>
        </w:rPr>
        <w:t> </w:t>
      </w:r>
      <w:r>
        <w:rPr>
          <w:w w:val="95"/>
        </w:rPr>
        <w:t>Further,</w:t>
      </w:r>
      <w:r>
        <w:rPr>
          <w:spacing w:val="-8"/>
          <w:w w:val="95"/>
        </w:rPr>
        <w:t> </w:t>
      </w:r>
      <w:r>
        <w:rPr>
          <w:w w:val="95"/>
        </w:rPr>
        <w:t>various</w:t>
      </w:r>
      <w:r>
        <w:rPr>
          <w:spacing w:val="-8"/>
          <w:w w:val="95"/>
        </w:rPr>
        <w:t> </w:t>
      </w:r>
      <w:r>
        <w:rPr>
          <w:w w:val="95"/>
        </w:rPr>
        <w:t>infrastructure</w:t>
      </w:r>
      <w:r>
        <w:rPr>
          <w:spacing w:val="-10"/>
          <w:w w:val="95"/>
        </w:rPr>
        <w:t> </w:t>
      </w:r>
      <w:r>
        <w:rPr>
          <w:w w:val="95"/>
        </w:rPr>
        <w:t>initiatives</w:t>
      </w:r>
      <w:r>
        <w:rPr>
          <w:spacing w:val="-7"/>
          <w:w w:val="95"/>
        </w:rPr>
        <w:t> </w:t>
      </w:r>
      <w:r>
        <w:rPr>
          <w:w w:val="95"/>
        </w:rPr>
        <w:t>such</w:t>
      </w:r>
      <w:r>
        <w:rPr>
          <w:spacing w:val="-11"/>
          <w:w w:val="95"/>
        </w:rPr>
        <w:t> </w:t>
      </w:r>
      <w:r>
        <w:rPr>
          <w:w w:val="95"/>
        </w:rPr>
        <w:t>as</w:t>
      </w:r>
      <w:r>
        <w:rPr>
          <w:spacing w:val="-8"/>
          <w:w w:val="95"/>
        </w:rPr>
        <w:t> </w:t>
      </w:r>
      <w:r>
        <w:rPr>
          <w:w w:val="95"/>
        </w:rPr>
        <w:t>the</w:t>
      </w:r>
      <w:r>
        <w:rPr>
          <w:spacing w:val="-9"/>
          <w:w w:val="95"/>
        </w:rPr>
        <w:t> </w:t>
      </w:r>
      <w:r>
        <w:rPr>
          <w:w w:val="95"/>
        </w:rPr>
        <w:t>Eastern</w:t>
      </w:r>
      <w:r>
        <w:rPr>
          <w:spacing w:val="-10"/>
          <w:w w:val="95"/>
        </w:rPr>
        <w:t> </w:t>
      </w:r>
      <w:r>
        <w:rPr>
          <w:w w:val="95"/>
        </w:rPr>
        <w:t>Freeway,</w:t>
      </w:r>
      <w:r>
        <w:rPr>
          <w:spacing w:val="-12"/>
          <w:w w:val="95"/>
        </w:rPr>
        <w:t> </w:t>
      </w:r>
      <w:r>
        <w:rPr>
          <w:w w:val="95"/>
        </w:rPr>
        <w:t>development </w:t>
      </w:r>
      <w:r>
        <w:rPr/>
        <w:t>of</w:t>
      </w:r>
      <w:r>
        <w:rPr>
          <w:spacing w:val="-25"/>
        </w:rPr>
        <w:t> </w:t>
      </w:r>
      <w:r>
        <w:rPr/>
        <w:t>JVLR</w:t>
      </w:r>
      <w:r>
        <w:rPr>
          <w:spacing w:val="-24"/>
        </w:rPr>
        <w:t> </w:t>
      </w:r>
      <w:r>
        <w:rPr/>
        <w:t>etc.</w:t>
      </w:r>
      <w:r>
        <w:rPr>
          <w:spacing w:val="-24"/>
        </w:rPr>
        <w:t> </w:t>
      </w:r>
      <w:r>
        <w:rPr/>
        <w:t>which</w:t>
      </w:r>
      <w:r>
        <w:rPr>
          <w:spacing w:val="-25"/>
        </w:rPr>
        <w:t> </w:t>
      </w:r>
      <w:r>
        <w:rPr/>
        <w:t>lead</w:t>
      </w:r>
      <w:r>
        <w:rPr>
          <w:spacing w:val="-24"/>
        </w:rPr>
        <w:t> </w:t>
      </w:r>
      <w:r>
        <w:rPr/>
        <w:t>to</w:t>
      </w:r>
      <w:r>
        <w:rPr>
          <w:spacing w:val="-25"/>
        </w:rPr>
        <w:t> </w:t>
      </w:r>
      <w:r>
        <w:rPr/>
        <w:t>improved</w:t>
      </w:r>
      <w:r>
        <w:rPr>
          <w:spacing w:val="-22"/>
        </w:rPr>
        <w:t> </w:t>
      </w:r>
      <w:r>
        <w:rPr/>
        <w:t>connectivity</w:t>
      </w:r>
      <w:r>
        <w:rPr>
          <w:spacing w:val="-24"/>
        </w:rPr>
        <w:t> </w:t>
      </w:r>
      <w:r>
        <w:rPr/>
        <w:t>to</w:t>
      </w:r>
      <w:r>
        <w:rPr>
          <w:spacing w:val="-25"/>
        </w:rPr>
        <w:t> </w:t>
      </w:r>
      <w:r>
        <w:rPr/>
        <w:t>the</w:t>
      </w:r>
      <w:r>
        <w:rPr>
          <w:spacing w:val="-25"/>
        </w:rPr>
        <w:t> </w:t>
      </w:r>
      <w:r>
        <w:rPr/>
        <w:t>airport,</w:t>
      </w:r>
      <w:r>
        <w:rPr>
          <w:spacing w:val="-24"/>
        </w:rPr>
        <w:t> </w:t>
      </w:r>
      <w:r>
        <w:rPr/>
        <w:t>CBD,</w:t>
      </w:r>
      <w:r>
        <w:rPr>
          <w:spacing w:val="-25"/>
        </w:rPr>
        <w:t> </w:t>
      </w:r>
      <w:r>
        <w:rPr/>
        <w:t>manpower</w:t>
      </w:r>
      <w:r>
        <w:rPr>
          <w:spacing w:val="-24"/>
        </w:rPr>
        <w:t> </w:t>
      </w:r>
      <w:r>
        <w:rPr/>
        <w:t>pockets</w:t>
      </w:r>
      <w:r>
        <w:rPr>
          <w:spacing w:val="-24"/>
        </w:rPr>
        <w:t> </w:t>
      </w:r>
      <w:r>
        <w:rPr/>
        <w:t>of</w:t>
      </w:r>
      <w:r>
        <w:rPr>
          <w:spacing w:val="-24"/>
        </w:rPr>
        <w:t> </w:t>
      </w:r>
      <w:r>
        <w:rPr/>
        <w:t>the</w:t>
      </w:r>
      <w:r>
        <w:rPr>
          <w:spacing w:val="-25"/>
        </w:rPr>
        <w:t> </w:t>
      </w:r>
      <w:r>
        <w:rPr/>
        <w:t>eastern and</w:t>
      </w:r>
      <w:r>
        <w:rPr>
          <w:spacing w:val="-9"/>
        </w:rPr>
        <w:t> </w:t>
      </w:r>
      <w:r>
        <w:rPr/>
        <w:t>western</w:t>
      </w:r>
      <w:r>
        <w:rPr>
          <w:spacing w:val="-10"/>
        </w:rPr>
        <w:t> </w:t>
      </w:r>
      <w:r>
        <w:rPr/>
        <w:t>suburbs</w:t>
      </w:r>
      <w:r>
        <w:rPr>
          <w:spacing w:val="-9"/>
        </w:rPr>
        <w:t> </w:t>
      </w:r>
      <w:r>
        <w:rPr/>
        <w:t>are</w:t>
      </w:r>
      <w:r>
        <w:rPr>
          <w:spacing w:val="-8"/>
        </w:rPr>
        <w:t> </w:t>
      </w:r>
      <w:r>
        <w:rPr/>
        <w:t>expected</w:t>
      </w:r>
      <w:r>
        <w:rPr>
          <w:spacing w:val="-9"/>
        </w:rPr>
        <w:t> </w:t>
      </w:r>
      <w:r>
        <w:rPr/>
        <w:t>to</w:t>
      </w:r>
      <w:r>
        <w:rPr>
          <w:spacing w:val="-9"/>
        </w:rPr>
        <w:t> </w:t>
      </w:r>
      <w:r>
        <w:rPr/>
        <w:t>garner</w:t>
      </w:r>
      <w:r>
        <w:rPr>
          <w:spacing w:val="-9"/>
        </w:rPr>
        <w:t> </w:t>
      </w:r>
      <w:r>
        <w:rPr/>
        <w:t>significant</w:t>
      </w:r>
      <w:r>
        <w:rPr>
          <w:spacing w:val="-8"/>
        </w:rPr>
        <w:t> </w:t>
      </w:r>
      <w:r>
        <w:rPr/>
        <w:t>demand</w:t>
      </w:r>
      <w:r>
        <w:rPr>
          <w:spacing w:val="-8"/>
        </w:rPr>
        <w:t> </w:t>
      </w:r>
      <w:r>
        <w:rPr/>
        <w:t>for</w:t>
      </w:r>
      <w:r>
        <w:rPr>
          <w:spacing w:val="-10"/>
        </w:rPr>
        <w:t> </w:t>
      </w:r>
      <w:r>
        <w:rPr/>
        <w:t>real</w:t>
      </w:r>
      <w:r>
        <w:rPr>
          <w:spacing w:val="-8"/>
        </w:rPr>
        <w:t> </w:t>
      </w:r>
      <w:r>
        <w:rPr/>
        <w:t>estate</w:t>
      </w:r>
      <w:r>
        <w:rPr>
          <w:spacing w:val="-8"/>
        </w:rPr>
        <w:t> </w:t>
      </w:r>
      <w:r>
        <w:rPr/>
        <w:t>in</w:t>
      </w:r>
      <w:r>
        <w:rPr>
          <w:spacing w:val="-11"/>
        </w:rPr>
        <w:t> </w:t>
      </w:r>
      <w:r>
        <w:rPr/>
        <w:t>future.</w:t>
      </w:r>
      <w:r>
        <w:rPr>
          <w:spacing w:val="-8"/>
        </w:rPr>
        <w:t> </w:t>
      </w:r>
      <w:r>
        <w:rPr/>
        <w:t>Presence</w:t>
      </w:r>
      <w:r>
        <w:rPr>
          <w:spacing w:val="-10"/>
        </w:rPr>
        <w:t> </w:t>
      </w:r>
      <w:r>
        <w:rPr/>
        <w:t>of good</w:t>
      </w:r>
      <w:r>
        <w:rPr>
          <w:spacing w:val="-21"/>
        </w:rPr>
        <w:t> </w:t>
      </w:r>
      <w:r>
        <w:rPr/>
        <w:t>quality</w:t>
      </w:r>
      <w:r>
        <w:rPr>
          <w:spacing w:val="-20"/>
        </w:rPr>
        <w:t> </w:t>
      </w:r>
      <w:r>
        <w:rPr/>
        <w:t>residential</w:t>
      </w:r>
      <w:r>
        <w:rPr>
          <w:spacing w:val="-23"/>
        </w:rPr>
        <w:t> </w:t>
      </w:r>
      <w:r>
        <w:rPr/>
        <w:t>dwelling</w:t>
      </w:r>
      <w:r>
        <w:rPr>
          <w:spacing w:val="-20"/>
        </w:rPr>
        <w:t> </w:t>
      </w:r>
      <w:r>
        <w:rPr/>
        <w:t>options,</w:t>
      </w:r>
      <w:r>
        <w:rPr>
          <w:spacing w:val="-21"/>
        </w:rPr>
        <w:t> </w:t>
      </w:r>
      <w:r>
        <w:rPr/>
        <w:t>proximity</w:t>
      </w:r>
      <w:r>
        <w:rPr>
          <w:spacing w:val="-20"/>
        </w:rPr>
        <w:t> </w:t>
      </w:r>
      <w:r>
        <w:rPr/>
        <w:t>to</w:t>
      </w:r>
      <w:r>
        <w:rPr>
          <w:spacing w:val="-21"/>
        </w:rPr>
        <w:t> </w:t>
      </w:r>
      <w:r>
        <w:rPr/>
        <w:t>quality</w:t>
      </w:r>
      <w:r>
        <w:rPr>
          <w:spacing w:val="-20"/>
        </w:rPr>
        <w:t> </w:t>
      </w:r>
      <w:r>
        <w:rPr/>
        <w:t>healthcare</w:t>
      </w:r>
      <w:r>
        <w:rPr>
          <w:spacing w:val="-21"/>
        </w:rPr>
        <w:t> </w:t>
      </w:r>
      <w:r>
        <w:rPr/>
        <w:t>&amp;</w:t>
      </w:r>
      <w:r>
        <w:rPr>
          <w:spacing w:val="-20"/>
        </w:rPr>
        <w:t> </w:t>
      </w:r>
      <w:r>
        <w:rPr/>
        <w:t>education</w:t>
      </w:r>
      <w:r>
        <w:rPr>
          <w:spacing w:val="-21"/>
        </w:rPr>
        <w:t> </w:t>
      </w:r>
      <w:r>
        <w:rPr/>
        <w:t>and</w:t>
      </w:r>
      <w:r>
        <w:rPr>
          <w:spacing w:val="-21"/>
        </w:rPr>
        <w:t> </w:t>
      </w:r>
      <w:r>
        <w:rPr/>
        <w:t>presence</w:t>
      </w:r>
      <w:r>
        <w:rPr>
          <w:spacing w:val="-21"/>
        </w:rPr>
        <w:t> </w:t>
      </w:r>
      <w:r>
        <w:rPr/>
        <w:t>of retail</w:t>
      </w:r>
      <w:r>
        <w:rPr>
          <w:spacing w:val="-9"/>
        </w:rPr>
        <w:t> </w:t>
      </w:r>
      <w:r>
        <w:rPr/>
        <w:t>options,</w:t>
      </w:r>
      <w:r>
        <w:rPr>
          <w:spacing w:val="-7"/>
        </w:rPr>
        <w:t> </w:t>
      </w:r>
      <w:r>
        <w:rPr/>
        <w:t>results</w:t>
      </w:r>
      <w:r>
        <w:rPr>
          <w:spacing w:val="-6"/>
        </w:rPr>
        <w:t> </w:t>
      </w:r>
      <w:r>
        <w:rPr/>
        <w:t>in</w:t>
      </w:r>
      <w:r>
        <w:rPr>
          <w:spacing w:val="-8"/>
        </w:rPr>
        <w:t> </w:t>
      </w:r>
      <w:r>
        <w:rPr/>
        <w:t>a</w:t>
      </w:r>
      <w:r>
        <w:rPr>
          <w:spacing w:val="-9"/>
        </w:rPr>
        <w:t> </w:t>
      </w:r>
      <w:r>
        <w:rPr/>
        <w:t>submarket</w:t>
      </w:r>
      <w:r>
        <w:rPr>
          <w:spacing w:val="-6"/>
        </w:rPr>
        <w:t> </w:t>
      </w:r>
      <w:r>
        <w:rPr/>
        <w:t>to</w:t>
      </w:r>
      <w:r>
        <w:rPr>
          <w:spacing w:val="-7"/>
        </w:rPr>
        <w:t> </w:t>
      </w:r>
      <w:r>
        <w:rPr/>
        <w:t>emerge</w:t>
      </w:r>
      <w:r>
        <w:rPr>
          <w:spacing w:val="-8"/>
        </w:rPr>
        <w:t> </w:t>
      </w:r>
      <w:r>
        <w:rPr/>
        <w:t>as</w:t>
      </w:r>
      <w:r>
        <w:rPr>
          <w:spacing w:val="-8"/>
        </w:rPr>
        <w:t> </w:t>
      </w:r>
      <w:r>
        <w:rPr/>
        <w:t>a</w:t>
      </w:r>
      <w:r>
        <w:rPr>
          <w:spacing w:val="-7"/>
        </w:rPr>
        <w:t> </w:t>
      </w:r>
      <w:r>
        <w:rPr/>
        <w:t>self-sustaining</w:t>
      </w:r>
      <w:r>
        <w:rPr>
          <w:spacing w:val="-7"/>
        </w:rPr>
        <w:t> </w:t>
      </w:r>
      <w:r>
        <w:rPr/>
        <w:t>region.</w:t>
      </w:r>
    </w:p>
    <w:p>
      <w:pPr>
        <w:pStyle w:val="BodyText"/>
        <w:spacing w:before="1"/>
        <w:rPr>
          <w:sz w:val="21"/>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15" w:id="226"/>
      <w:bookmarkEnd w:id="226"/>
      <w:r>
        <w:rPr/>
      </w:r>
      <w:bookmarkStart w:name="_bookmark115" w:id="227"/>
      <w:bookmarkEnd w:id="227"/>
      <w:r>
        <w:rPr>
          <w:color w:val="1F664D"/>
          <w:w w:val="105"/>
          <w:sz w:val="22"/>
        </w:rPr>
        <w:t>De</w:t>
      </w:r>
      <w:r>
        <w:rPr>
          <w:color w:val="1F664D"/>
          <w:w w:val="105"/>
          <w:sz w:val="22"/>
        </w:rPr>
        <w:t>mand-Supply</w:t>
      </w:r>
      <w:r>
        <w:rPr>
          <w:color w:val="1F664D"/>
          <w:spacing w:val="-7"/>
          <w:w w:val="105"/>
          <w:sz w:val="22"/>
        </w:rPr>
        <w:t> </w:t>
      </w:r>
      <w:r>
        <w:rPr>
          <w:color w:val="1F664D"/>
          <w:w w:val="105"/>
          <w:sz w:val="22"/>
        </w:rPr>
        <w:t>Dynamics</w:t>
      </w:r>
    </w:p>
    <w:p>
      <w:pPr>
        <w:pStyle w:val="BodyText"/>
        <w:spacing w:before="6"/>
        <w:rPr>
          <w:sz w:val="25"/>
        </w:rPr>
      </w:pPr>
    </w:p>
    <w:p>
      <w:pPr>
        <w:pStyle w:val="ListParagraph"/>
        <w:numPr>
          <w:ilvl w:val="3"/>
          <w:numId w:val="41"/>
        </w:numPr>
        <w:tabs>
          <w:tab w:pos="985" w:val="left" w:leader="none"/>
        </w:tabs>
        <w:spacing w:line="240" w:lineRule="auto" w:before="0" w:after="0"/>
        <w:ind w:left="984" w:right="0" w:hanging="865"/>
        <w:jc w:val="left"/>
        <w:rPr>
          <w:i/>
          <w:sz w:val="20"/>
        </w:rPr>
      </w:pPr>
      <w:r>
        <w:rPr>
          <w:i/>
          <w:color w:val="008000"/>
          <w:sz w:val="20"/>
        </w:rPr>
        <w:t>Demand,</w:t>
      </w:r>
      <w:r>
        <w:rPr>
          <w:i/>
          <w:color w:val="008000"/>
          <w:spacing w:val="-10"/>
          <w:sz w:val="20"/>
        </w:rPr>
        <w:t> </w:t>
      </w:r>
      <w:r>
        <w:rPr>
          <w:i/>
          <w:color w:val="008000"/>
          <w:sz w:val="20"/>
        </w:rPr>
        <w:t>Supply</w:t>
      </w:r>
      <w:r>
        <w:rPr>
          <w:i/>
          <w:color w:val="008000"/>
          <w:spacing w:val="-9"/>
          <w:sz w:val="20"/>
        </w:rPr>
        <w:t> </w:t>
      </w:r>
      <w:r>
        <w:rPr>
          <w:i/>
          <w:color w:val="008000"/>
          <w:sz w:val="20"/>
        </w:rPr>
        <w:t>and</w:t>
      </w:r>
      <w:r>
        <w:rPr>
          <w:i/>
          <w:color w:val="008000"/>
          <w:spacing w:val="-9"/>
          <w:sz w:val="20"/>
        </w:rPr>
        <w:t> </w:t>
      </w:r>
      <w:r>
        <w:rPr>
          <w:i/>
          <w:color w:val="008000"/>
          <w:sz w:val="20"/>
        </w:rPr>
        <w:t>Vacancy</w:t>
      </w:r>
      <w:r>
        <w:rPr>
          <w:i/>
          <w:color w:val="008000"/>
          <w:spacing w:val="-10"/>
          <w:sz w:val="20"/>
        </w:rPr>
        <w:t> </w:t>
      </w:r>
      <w:r>
        <w:rPr>
          <w:i/>
          <w:color w:val="008000"/>
          <w:sz w:val="20"/>
        </w:rPr>
        <w:t>Trends</w:t>
      </w:r>
      <w:r>
        <w:rPr>
          <w:i/>
          <w:color w:val="008000"/>
          <w:spacing w:val="-10"/>
          <w:sz w:val="20"/>
        </w:rPr>
        <w:t> </w:t>
      </w:r>
      <w:r>
        <w:rPr>
          <w:i/>
          <w:color w:val="008000"/>
          <w:w w:val="105"/>
          <w:sz w:val="20"/>
        </w:rPr>
        <w:t>–</w:t>
      </w:r>
      <w:r>
        <w:rPr>
          <w:i/>
          <w:color w:val="008000"/>
          <w:spacing w:val="-11"/>
          <w:w w:val="105"/>
          <w:sz w:val="20"/>
        </w:rPr>
        <w:t> </w:t>
      </w:r>
      <w:r>
        <w:rPr>
          <w:i/>
          <w:color w:val="008000"/>
          <w:sz w:val="20"/>
        </w:rPr>
        <w:t>Mumbai</w:t>
      </w:r>
      <w:r>
        <w:rPr>
          <w:i/>
          <w:color w:val="008000"/>
          <w:spacing w:val="-9"/>
          <w:sz w:val="20"/>
        </w:rPr>
        <w:t> </w:t>
      </w:r>
      <w:r>
        <w:rPr>
          <w:i/>
          <w:color w:val="008000"/>
          <w:sz w:val="20"/>
        </w:rPr>
        <w:t>and</w:t>
      </w:r>
      <w:r>
        <w:rPr>
          <w:i/>
          <w:color w:val="008000"/>
          <w:spacing w:val="-10"/>
          <w:sz w:val="20"/>
        </w:rPr>
        <w:t> </w:t>
      </w:r>
      <w:r>
        <w:rPr>
          <w:i/>
          <w:color w:val="008000"/>
          <w:sz w:val="20"/>
        </w:rPr>
        <w:t>Peripheral</w:t>
      </w:r>
      <w:r>
        <w:rPr>
          <w:i/>
          <w:color w:val="008000"/>
          <w:spacing w:val="-9"/>
          <w:sz w:val="20"/>
        </w:rPr>
        <w:t> </w:t>
      </w:r>
      <w:r>
        <w:rPr>
          <w:i/>
          <w:color w:val="008000"/>
          <w:sz w:val="20"/>
        </w:rPr>
        <w:t>Business</w:t>
      </w:r>
      <w:r>
        <w:rPr>
          <w:i/>
          <w:color w:val="008000"/>
          <w:spacing w:val="-9"/>
          <w:sz w:val="20"/>
        </w:rPr>
        <w:t> </w:t>
      </w:r>
      <w:r>
        <w:rPr>
          <w:i/>
          <w:color w:val="008000"/>
          <w:sz w:val="20"/>
        </w:rPr>
        <w:t>District</w:t>
      </w:r>
      <w:r>
        <w:rPr>
          <w:i/>
          <w:color w:val="008000"/>
          <w:spacing w:val="-9"/>
          <w:sz w:val="20"/>
        </w:rPr>
        <w:t> </w:t>
      </w:r>
      <w:r>
        <w:rPr>
          <w:i/>
          <w:color w:val="008000"/>
          <w:sz w:val="20"/>
        </w:rPr>
        <w:t>submarket</w:t>
      </w:r>
    </w:p>
    <w:p>
      <w:pPr>
        <w:pStyle w:val="BodyText"/>
        <w:rPr>
          <w:i/>
        </w:rPr>
      </w:pPr>
    </w:p>
    <w:p>
      <w:pPr>
        <w:pStyle w:val="BodyText"/>
        <w:spacing w:line="321" w:lineRule="auto" w:before="1"/>
        <w:ind w:left="667" w:right="119"/>
        <w:jc w:val="both"/>
      </w:pPr>
      <w:r>
        <w:rPr/>
        <w:t>Total</w:t>
      </w:r>
      <w:r>
        <w:rPr>
          <w:spacing w:val="-29"/>
        </w:rPr>
        <w:t> </w:t>
      </w:r>
      <w:r>
        <w:rPr/>
        <w:t>completed</w:t>
      </w:r>
      <w:r>
        <w:rPr>
          <w:spacing w:val="-29"/>
        </w:rPr>
        <w:t> </w:t>
      </w:r>
      <w:r>
        <w:rPr/>
        <w:t>stock</w:t>
      </w:r>
      <w:r>
        <w:rPr>
          <w:spacing w:val="-28"/>
        </w:rPr>
        <w:t> </w:t>
      </w:r>
      <w:r>
        <w:rPr/>
        <w:t>in</w:t>
      </w:r>
      <w:r>
        <w:rPr>
          <w:spacing w:val="-29"/>
        </w:rPr>
        <w:t> </w:t>
      </w:r>
      <w:r>
        <w:rPr/>
        <w:t>Mumbai</w:t>
      </w:r>
      <w:r>
        <w:rPr>
          <w:spacing w:val="-28"/>
        </w:rPr>
        <w:t> </w:t>
      </w:r>
      <w:r>
        <w:rPr/>
        <w:t>Metropolitan</w:t>
      </w:r>
      <w:r>
        <w:rPr>
          <w:spacing w:val="-28"/>
        </w:rPr>
        <w:t> </w:t>
      </w:r>
      <w:r>
        <w:rPr/>
        <w:t>Region</w:t>
      </w:r>
      <w:r>
        <w:rPr>
          <w:spacing w:val="-28"/>
        </w:rPr>
        <w:t> </w:t>
      </w:r>
      <w:r>
        <w:rPr/>
        <w:t>(MMR)</w:t>
      </w:r>
      <w:r>
        <w:rPr>
          <w:spacing w:val="-27"/>
        </w:rPr>
        <w:t> </w:t>
      </w:r>
      <w:r>
        <w:rPr/>
        <w:t>and</w:t>
      </w:r>
      <w:r>
        <w:rPr>
          <w:spacing w:val="-30"/>
        </w:rPr>
        <w:t> </w:t>
      </w:r>
      <w:r>
        <w:rPr/>
        <w:t>Peripheral</w:t>
      </w:r>
      <w:r>
        <w:rPr>
          <w:spacing w:val="-28"/>
        </w:rPr>
        <w:t> </w:t>
      </w:r>
      <w:r>
        <w:rPr/>
        <w:t>Business</w:t>
      </w:r>
      <w:r>
        <w:rPr>
          <w:spacing w:val="-27"/>
        </w:rPr>
        <w:t> </w:t>
      </w:r>
      <w:r>
        <w:rPr/>
        <w:t>District</w:t>
      </w:r>
      <w:r>
        <w:rPr>
          <w:spacing w:val="-28"/>
        </w:rPr>
        <w:t> </w:t>
      </w:r>
      <w:r>
        <w:rPr/>
        <w:t>(PBD</w:t>
      </w:r>
      <w:r>
        <w:rPr>
          <w:spacing w:val="-27"/>
        </w:rPr>
        <w:t> </w:t>
      </w:r>
      <w:r>
        <w:rPr/>
        <w:t>East) as of Q4, 2019 is 122.49 msf </w:t>
      </w:r>
      <w:r>
        <w:rPr>
          <w:spacing w:val="-2"/>
        </w:rPr>
        <w:t>and </w:t>
      </w:r>
      <w:r>
        <w:rPr/>
        <w:t>18.82 msf</w:t>
      </w:r>
      <w:r>
        <w:rPr>
          <w:spacing w:val="-5"/>
        </w:rPr>
        <w:t> </w:t>
      </w:r>
      <w:r>
        <w:rPr/>
        <w:t>respectively.</w:t>
      </w:r>
    </w:p>
    <w:p>
      <w:pPr>
        <w:pStyle w:val="BodyText"/>
        <w:rPr>
          <w:sz w:val="20"/>
        </w:rPr>
      </w:pPr>
    </w:p>
    <w:p>
      <w:pPr>
        <w:pStyle w:val="BodyText"/>
        <w:spacing w:before="8" w:after="1"/>
        <w:rPr>
          <w:sz w:val="10"/>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11"/>
        <w:gridCol w:w="2766"/>
        <w:gridCol w:w="2788"/>
      </w:tblGrid>
      <w:tr>
        <w:trPr>
          <w:trHeight w:val="469" w:hRule="atLeast"/>
        </w:trPr>
        <w:tc>
          <w:tcPr>
            <w:tcW w:w="4811" w:type="dxa"/>
            <w:tcBorders>
              <w:top w:val="single" w:sz="12" w:space="0" w:color="1F6B16"/>
            </w:tcBorders>
            <w:shd w:val="clear" w:color="auto" w:fill="006A4D"/>
          </w:tcPr>
          <w:p>
            <w:pPr>
              <w:pStyle w:val="TableParagraph"/>
              <w:spacing w:before="123"/>
              <w:ind w:left="349" w:right="392"/>
              <w:rPr>
                <w:b/>
                <w:sz w:val="18"/>
              </w:rPr>
            </w:pPr>
            <w:r>
              <w:rPr>
                <w:b/>
                <w:color w:val="FFFFFF"/>
                <w:w w:val="105"/>
                <w:sz w:val="18"/>
              </w:rPr>
              <w:t>Particular</w:t>
            </w:r>
          </w:p>
        </w:tc>
        <w:tc>
          <w:tcPr>
            <w:tcW w:w="2766" w:type="dxa"/>
            <w:tcBorders>
              <w:top w:val="single" w:sz="12" w:space="0" w:color="1F6B16"/>
              <w:bottom w:val="single" w:sz="6" w:space="0" w:color="69BD28"/>
            </w:tcBorders>
            <w:shd w:val="clear" w:color="auto" w:fill="006A4D"/>
          </w:tcPr>
          <w:p>
            <w:pPr>
              <w:pStyle w:val="TableParagraph"/>
              <w:spacing w:before="123"/>
              <w:ind w:left="1102" w:right="1169"/>
              <w:rPr>
                <w:b/>
                <w:sz w:val="18"/>
              </w:rPr>
            </w:pPr>
            <w:r>
              <w:rPr>
                <w:b/>
                <w:color w:val="FFFFFF"/>
                <w:w w:val="120"/>
                <w:sz w:val="18"/>
              </w:rPr>
              <w:t>MMR</w:t>
            </w:r>
          </w:p>
        </w:tc>
        <w:tc>
          <w:tcPr>
            <w:tcW w:w="2788" w:type="dxa"/>
            <w:tcBorders>
              <w:top w:val="single" w:sz="12" w:space="0" w:color="1F6B16"/>
              <w:bottom w:val="single" w:sz="6" w:space="0" w:color="69BD28"/>
            </w:tcBorders>
            <w:shd w:val="clear" w:color="auto" w:fill="006A4D"/>
          </w:tcPr>
          <w:p>
            <w:pPr>
              <w:pStyle w:val="TableParagraph"/>
              <w:spacing w:before="123"/>
              <w:ind w:left="537" w:right="552"/>
              <w:rPr>
                <w:b/>
                <w:sz w:val="18"/>
              </w:rPr>
            </w:pPr>
            <w:r>
              <w:rPr>
                <w:b/>
                <w:color w:val="FFFFFF"/>
                <w:w w:val="110"/>
                <w:sz w:val="18"/>
              </w:rPr>
              <w:t>PBD (East)</w:t>
            </w:r>
          </w:p>
        </w:tc>
      </w:tr>
      <w:tr>
        <w:trPr>
          <w:trHeight w:val="520" w:hRule="atLeast"/>
        </w:trPr>
        <w:tc>
          <w:tcPr>
            <w:tcW w:w="4811" w:type="dxa"/>
            <w:vMerge w:val="restart"/>
            <w:shd w:val="clear" w:color="auto" w:fill="69BD28"/>
          </w:tcPr>
          <w:p>
            <w:pPr>
              <w:pStyle w:val="TableParagraph"/>
              <w:spacing w:line="621" w:lineRule="auto" w:before="123"/>
              <w:ind w:left="469" w:right="392"/>
              <w:rPr>
                <w:sz w:val="18"/>
              </w:rPr>
            </w:pPr>
            <w:r>
              <w:rPr>
                <w:color w:val="FFFFFF"/>
                <w:sz w:val="18"/>
              </w:rPr>
              <w:t>Cumulative completed stock (Q4 2019) </w:t>
            </w:r>
            <w:r>
              <w:rPr>
                <w:color w:val="FFFFFF"/>
                <w:w w:val="105"/>
                <w:sz w:val="18"/>
              </w:rPr>
              <w:t>– </w:t>
            </w:r>
            <w:r>
              <w:rPr>
                <w:color w:val="FFFFFF"/>
                <w:sz w:val="18"/>
              </w:rPr>
              <w:t>(in msf) Current occupied stock (Q4 2019) (in msf) Current Vacancy (Q4 2019)</w:t>
            </w:r>
          </w:p>
          <w:p>
            <w:pPr>
              <w:pStyle w:val="TableParagraph"/>
              <w:spacing w:line="207" w:lineRule="exact"/>
              <w:ind w:left="308" w:right="233"/>
              <w:rPr>
                <w:sz w:val="18"/>
              </w:rPr>
            </w:pPr>
            <w:r>
              <w:rPr>
                <w:color w:val="FFFFFF"/>
                <w:w w:val="105"/>
                <w:sz w:val="18"/>
              </w:rPr>
              <w:t>Average Annual Absorption (2014 – 2019) (in msf)*</w:t>
            </w:r>
          </w:p>
        </w:tc>
        <w:tc>
          <w:tcPr>
            <w:tcW w:w="2766" w:type="dxa"/>
            <w:tcBorders>
              <w:top w:val="single" w:sz="6" w:space="0" w:color="69BD28"/>
              <w:bottom w:val="single" w:sz="6" w:space="0" w:color="69BD28"/>
            </w:tcBorders>
          </w:tcPr>
          <w:p>
            <w:pPr>
              <w:pStyle w:val="TableParagraph"/>
              <w:spacing w:before="123"/>
              <w:ind w:right="774"/>
              <w:jc w:val="right"/>
              <w:rPr>
                <w:sz w:val="18"/>
              </w:rPr>
            </w:pPr>
            <w:r>
              <w:rPr>
                <w:w w:val="105"/>
                <w:sz w:val="18"/>
              </w:rPr>
              <w:t>Approx. 122.49</w:t>
            </w:r>
          </w:p>
        </w:tc>
        <w:tc>
          <w:tcPr>
            <w:tcW w:w="2788" w:type="dxa"/>
            <w:tcBorders>
              <w:top w:val="single" w:sz="6" w:space="0" w:color="69BD28"/>
              <w:bottom w:val="single" w:sz="6" w:space="0" w:color="69BD28"/>
            </w:tcBorders>
          </w:tcPr>
          <w:p>
            <w:pPr>
              <w:pStyle w:val="TableParagraph"/>
              <w:spacing w:before="123"/>
              <w:ind w:left="537" w:right="552"/>
              <w:rPr>
                <w:sz w:val="18"/>
              </w:rPr>
            </w:pPr>
            <w:r>
              <w:rPr>
                <w:sz w:val="18"/>
              </w:rPr>
              <w:t>Approx. 18.82</w:t>
            </w:r>
          </w:p>
        </w:tc>
      </w:tr>
      <w:tr>
        <w:trPr>
          <w:trHeight w:val="527" w:hRule="atLeast"/>
        </w:trPr>
        <w:tc>
          <w:tcPr>
            <w:tcW w:w="4811" w:type="dxa"/>
            <w:vMerge/>
            <w:tcBorders>
              <w:top w:val="nil"/>
            </w:tcBorders>
            <w:shd w:val="clear" w:color="auto" w:fill="69BD28"/>
          </w:tcPr>
          <w:p>
            <w:pPr>
              <w:rPr>
                <w:sz w:val="2"/>
                <w:szCs w:val="2"/>
              </w:rPr>
            </w:pPr>
          </w:p>
        </w:tc>
        <w:tc>
          <w:tcPr>
            <w:tcW w:w="2766" w:type="dxa"/>
            <w:tcBorders>
              <w:top w:val="single" w:sz="6" w:space="0" w:color="69BD28"/>
              <w:bottom w:val="single" w:sz="6" w:space="0" w:color="69BD28"/>
            </w:tcBorders>
          </w:tcPr>
          <w:p>
            <w:pPr>
              <w:pStyle w:val="TableParagraph"/>
              <w:spacing w:before="130"/>
              <w:ind w:left="791"/>
              <w:jc w:val="left"/>
              <w:rPr>
                <w:sz w:val="18"/>
              </w:rPr>
            </w:pPr>
            <w:r>
              <w:rPr>
                <w:sz w:val="18"/>
              </w:rPr>
              <w:t>Approx. 96.81</w:t>
            </w:r>
          </w:p>
        </w:tc>
        <w:tc>
          <w:tcPr>
            <w:tcW w:w="2788" w:type="dxa"/>
            <w:tcBorders>
              <w:top w:val="single" w:sz="6" w:space="0" w:color="69BD28"/>
              <w:bottom w:val="single" w:sz="6" w:space="0" w:color="69BD28"/>
            </w:tcBorders>
          </w:tcPr>
          <w:p>
            <w:pPr>
              <w:pStyle w:val="TableParagraph"/>
              <w:spacing w:before="130"/>
              <w:ind w:left="537" w:right="552"/>
              <w:rPr>
                <w:sz w:val="18"/>
              </w:rPr>
            </w:pPr>
            <w:r>
              <w:rPr>
                <w:sz w:val="18"/>
              </w:rPr>
              <w:t>Approx. 15.14</w:t>
            </w:r>
          </w:p>
        </w:tc>
      </w:tr>
      <w:tr>
        <w:trPr>
          <w:trHeight w:val="524" w:hRule="atLeast"/>
        </w:trPr>
        <w:tc>
          <w:tcPr>
            <w:tcW w:w="4811" w:type="dxa"/>
            <w:vMerge/>
            <w:tcBorders>
              <w:top w:val="nil"/>
            </w:tcBorders>
            <w:shd w:val="clear" w:color="auto" w:fill="69BD28"/>
          </w:tcPr>
          <w:p>
            <w:pPr>
              <w:rPr>
                <w:sz w:val="2"/>
                <w:szCs w:val="2"/>
              </w:rPr>
            </w:pPr>
          </w:p>
        </w:tc>
        <w:tc>
          <w:tcPr>
            <w:tcW w:w="2766" w:type="dxa"/>
            <w:tcBorders>
              <w:top w:val="single" w:sz="6" w:space="0" w:color="69BD28"/>
              <w:bottom w:val="single" w:sz="6" w:space="0" w:color="69BD28"/>
            </w:tcBorders>
          </w:tcPr>
          <w:p>
            <w:pPr>
              <w:pStyle w:val="TableParagraph"/>
              <w:spacing w:before="128"/>
              <w:ind w:right="814"/>
              <w:jc w:val="right"/>
              <w:rPr>
                <w:sz w:val="18"/>
              </w:rPr>
            </w:pPr>
            <w:r>
              <w:rPr>
                <w:w w:val="105"/>
                <w:sz w:val="18"/>
              </w:rPr>
              <w:t>Approx. 21.0%</w:t>
            </w:r>
          </w:p>
        </w:tc>
        <w:tc>
          <w:tcPr>
            <w:tcW w:w="2788" w:type="dxa"/>
            <w:tcBorders>
              <w:top w:val="single" w:sz="6" w:space="0" w:color="69BD28"/>
              <w:bottom w:val="single" w:sz="6" w:space="0" w:color="69BD28"/>
            </w:tcBorders>
          </w:tcPr>
          <w:p>
            <w:pPr>
              <w:pStyle w:val="TableParagraph"/>
              <w:spacing w:before="128"/>
              <w:ind w:left="537" w:right="553"/>
              <w:rPr>
                <w:sz w:val="18"/>
              </w:rPr>
            </w:pPr>
            <w:r>
              <w:rPr>
                <w:w w:val="105"/>
                <w:sz w:val="18"/>
              </w:rPr>
              <w:t>Approx. 19.5%</w:t>
            </w:r>
          </w:p>
        </w:tc>
      </w:tr>
      <w:tr>
        <w:trPr>
          <w:trHeight w:val="525" w:hRule="atLeast"/>
        </w:trPr>
        <w:tc>
          <w:tcPr>
            <w:tcW w:w="4811" w:type="dxa"/>
            <w:vMerge/>
            <w:tcBorders>
              <w:top w:val="nil"/>
            </w:tcBorders>
            <w:shd w:val="clear" w:color="auto" w:fill="69BD28"/>
          </w:tcPr>
          <w:p>
            <w:pPr>
              <w:rPr>
                <w:sz w:val="2"/>
                <w:szCs w:val="2"/>
              </w:rPr>
            </w:pPr>
          </w:p>
        </w:tc>
        <w:tc>
          <w:tcPr>
            <w:tcW w:w="2766" w:type="dxa"/>
            <w:tcBorders>
              <w:top w:val="single" w:sz="6" w:space="0" w:color="69BD28"/>
              <w:bottom w:val="single" w:sz="6" w:space="0" w:color="69BD28"/>
            </w:tcBorders>
          </w:tcPr>
          <w:p>
            <w:pPr>
              <w:pStyle w:val="TableParagraph"/>
              <w:spacing w:before="128"/>
              <w:ind w:left="844"/>
              <w:jc w:val="left"/>
              <w:rPr>
                <w:sz w:val="18"/>
              </w:rPr>
            </w:pPr>
            <w:r>
              <w:rPr>
                <w:sz w:val="18"/>
              </w:rPr>
              <w:t>Approx. 5.27</w:t>
            </w:r>
          </w:p>
        </w:tc>
        <w:tc>
          <w:tcPr>
            <w:tcW w:w="2788" w:type="dxa"/>
            <w:tcBorders>
              <w:top w:val="single" w:sz="6" w:space="0" w:color="69BD28"/>
              <w:bottom w:val="single" w:sz="6" w:space="0" w:color="69BD28"/>
            </w:tcBorders>
          </w:tcPr>
          <w:p>
            <w:pPr>
              <w:pStyle w:val="TableParagraph"/>
              <w:spacing w:before="128"/>
              <w:ind w:left="537" w:right="549"/>
              <w:rPr>
                <w:sz w:val="18"/>
              </w:rPr>
            </w:pPr>
            <w:r>
              <w:rPr>
                <w:w w:val="105"/>
                <w:sz w:val="18"/>
              </w:rPr>
              <w:t>A</w:t>
            </w:r>
            <w:r>
              <w:rPr>
                <w:w w:val="98"/>
                <w:sz w:val="18"/>
              </w:rPr>
              <w:t>ppro</w:t>
            </w:r>
            <w:r>
              <w:rPr>
                <w:spacing w:val="1"/>
                <w:w w:val="98"/>
                <w:sz w:val="18"/>
              </w:rPr>
              <w:t>x</w:t>
            </w:r>
            <w:r>
              <w:rPr>
                <w:w w:val="80"/>
                <w:sz w:val="18"/>
              </w:rPr>
              <w:t>.</w:t>
            </w:r>
            <w:r>
              <w:rPr>
                <w:spacing w:val="-2"/>
                <w:sz w:val="18"/>
              </w:rPr>
              <w:t> </w:t>
            </w:r>
            <w:r>
              <w:rPr>
                <w:spacing w:val="-1"/>
                <w:w w:val="112"/>
                <w:sz w:val="18"/>
              </w:rPr>
              <w:t>0</w:t>
            </w:r>
            <w:r>
              <w:rPr>
                <w:spacing w:val="-1"/>
                <w:w w:val="80"/>
                <w:sz w:val="18"/>
              </w:rPr>
              <w:t>.</w:t>
            </w:r>
            <w:r>
              <w:rPr>
                <w:spacing w:val="-1"/>
                <w:w w:val="112"/>
                <w:sz w:val="18"/>
              </w:rPr>
              <w:t>52</w:t>
            </w:r>
            <w:r>
              <w:rPr>
                <w:w w:val="190"/>
                <w:sz w:val="18"/>
              </w:rPr>
              <w:t>^</w:t>
            </w:r>
          </w:p>
        </w:tc>
      </w:tr>
    </w:tbl>
    <w:p>
      <w:pPr>
        <w:spacing w:line="321" w:lineRule="auto" w:before="8"/>
        <w:ind w:left="120" w:right="0" w:firstLine="0"/>
        <w:jc w:val="left"/>
        <w:rPr>
          <w:i/>
          <w:sz w:val="16"/>
        </w:rPr>
      </w:pPr>
      <w:r>
        <w:rPr>
          <w:i/>
          <w:sz w:val="16"/>
        </w:rPr>
        <w:t>Source: CBRE Research; *average annual absorption of technology and SEZ buildings in vicinity of Embassy 247 location (i.e. Powai, Vikhroli and </w:t>
      </w:r>
      <w:r>
        <w:rPr>
          <w:i/>
          <w:w w:val="105"/>
          <w:sz w:val="16"/>
        </w:rPr>
        <w:t>K</w:t>
      </w:r>
      <w:r>
        <w:rPr>
          <w:i/>
          <w:w w:val="103"/>
          <w:sz w:val="16"/>
        </w:rPr>
        <w:t>an</w:t>
      </w:r>
      <w:r>
        <w:rPr>
          <w:i/>
          <w:w w:val="82"/>
          <w:sz w:val="16"/>
        </w:rPr>
        <w:t>ju</w:t>
      </w:r>
      <w:r>
        <w:rPr>
          <w:i/>
          <w:w w:val="81"/>
          <w:sz w:val="16"/>
        </w:rPr>
        <w:t>r</w:t>
      </w:r>
      <w:r>
        <w:rPr>
          <w:i/>
          <w:w w:val="95"/>
          <w:sz w:val="16"/>
        </w:rPr>
        <w:t>m</w:t>
      </w:r>
      <w:r>
        <w:rPr>
          <w:i/>
          <w:w w:val="96"/>
          <w:sz w:val="16"/>
        </w:rPr>
        <w:t>ar</w:t>
      </w:r>
      <w:r>
        <w:rPr>
          <w:i/>
          <w:w w:val="102"/>
          <w:sz w:val="16"/>
        </w:rPr>
        <w:t>g)</w:t>
      </w:r>
      <w:r>
        <w:rPr>
          <w:i/>
          <w:w w:val="84"/>
          <w:sz w:val="16"/>
        </w:rPr>
        <w:t>;</w:t>
      </w:r>
      <w:r>
        <w:rPr>
          <w:i/>
          <w:w w:val="191"/>
          <w:sz w:val="16"/>
        </w:rPr>
        <w:t>^</w:t>
      </w:r>
      <w:r>
        <w:rPr>
          <w:i/>
          <w:sz w:val="16"/>
        </w:rPr>
        <w:t> </w:t>
      </w:r>
      <w:r>
        <w:rPr>
          <w:i/>
          <w:w w:val="108"/>
          <w:sz w:val="16"/>
        </w:rPr>
        <w:t>a</w:t>
      </w:r>
      <w:r>
        <w:rPr>
          <w:i/>
          <w:w w:val="101"/>
          <w:sz w:val="16"/>
        </w:rPr>
        <w:t>ss</w:t>
      </w:r>
      <w:r>
        <w:rPr>
          <w:i/>
          <w:w w:val="92"/>
          <w:sz w:val="16"/>
        </w:rPr>
        <w:t>u</w:t>
      </w:r>
      <w:r>
        <w:rPr>
          <w:i/>
          <w:w w:val="95"/>
          <w:sz w:val="16"/>
        </w:rPr>
        <w:t>m</w:t>
      </w:r>
      <w:r>
        <w:rPr>
          <w:i/>
          <w:w w:val="92"/>
          <w:sz w:val="16"/>
        </w:rPr>
        <w:t>in</w:t>
      </w:r>
      <w:r>
        <w:rPr>
          <w:i/>
          <w:w w:val="113"/>
          <w:sz w:val="16"/>
        </w:rPr>
        <w:t>g</w:t>
      </w:r>
      <w:r>
        <w:rPr>
          <w:i/>
          <w:sz w:val="16"/>
        </w:rPr>
        <w:t> </w:t>
      </w:r>
      <w:r>
        <w:rPr>
          <w:i/>
          <w:w w:val="89"/>
          <w:sz w:val="16"/>
        </w:rPr>
        <w:t>zer</w:t>
      </w:r>
      <w:r>
        <w:rPr>
          <w:i/>
          <w:w w:val="103"/>
          <w:sz w:val="16"/>
        </w:rPr>
        <w:t>o</w:t>
      </w:r>
      <w:r>
        <w:rPr>
          <w:i/>
          <w:sz w:val="16"/>
        </w:rPr>
        <w:t> </w:t>
      </w:r>
      <w:r>
        <w:rPr>
          <w:i/>
          <w:w w:val="104"/>
          <w:sz w:val="16"/>
        </w:rPr>
        <w:t>abs</w:t>
      </w:r>
      <w:r>
        <w:rPr>
          <w:i/>
          <w:w w:val="93"/>
          <w:sz w:val="16"/>
        </w:rPr>
        <w:t>or</w:t>
      </w:r>
      <w:r>
        <w:rPr>
          <w:i/>
          <w:w w:val="87"/>
          <w:sz w:val="16"/>
        </w:rPr>
        <w:t>pt</w:t>
      </w:r>
      <w:r>
        <w:rPr>
          <w:i/>
          <w:w w:val="96"/>
          <w:sz w:val="16"/>
        </w:rPr>
        <w:t>ion</w:t>
      </w:r>
      <w:r>
        <w:rPr>
          <w:i/>
          <w:sz w:val="16"/>
        </w:rPr>
        <w:t> </w:t>
      </w:r>
      <w:r>
        <w:rPr>
          <w:i/>
          <w:w w:val="77"/>
          <w:sz w:val="16"/>
        </w:rPr>
        <w:t>f</w:t>
      </w:r>
      <w:r>
        <w:rPr>
          <w:i/>
          <w:w w:val="103"/>
          <w:sz w:val="16"/>
        </w:rPr>
        <w:t>o</w:t>
      </w:r>
      <w:r>
        <w:rPr>
          <w:i/>
          <w:w w:val="81"/>
          <w:sz w:val="16"/>
        </w:rPr>
        <w:t>r</w:t>
      </w:r>
      <w:r>
        <w:rPr>
          <w:i/>
          <w:sz w:val="16"/>
        </w:rPr>
        <w:t> </w:t>
      </w:r>
      <w:r>
        <w:rPr>
          <w:i/>
          <w:w w:val="95"/>
          <w:sz w:val="16"/>
        </w:rPr>
        <w:t>year</w:t>
      </w:r>
      <w:r>
        <w:rPr>
          <w:i/>
          <w:w w:val="101"/>
          <w:sz w:val="16"/>
        </w:rPr>
        <w:t>s</w:t>
      </w:r>
      <w:r>
        <w:rPr>
          <w:i/>
          <w:sz w:val="16"/>
        </w:rPr>
        <w:t> </w:t>
      </w:r>
      <w:r>
        <w:rPr>
          <w:i/>
          <w:w w:val="96"/>
          <w:sz w:val="16"/>
        </w:rPr>
        <w:t>w</w:t>
      </w:r>
      <w:r>
        <w:rPr>
          <w:i/>
          <w:w w:val="97"/>
          <w:sz w:val="16"/>
        </w:rPr>
        <w:t>h</w:t>
      </w:r>
      <w:r>
        <w:rPr>
          <w:i/>
          <w:w w:val="94"/>
          <w:sz w:val="16"/>
        </w:rPr>
        <w:t>ich</w:t>
      </w:r>
      <w:r>
        <w:rPr>
          <w:i/>
          <w:sz w:val="16"/>
        </w:rPr>
        <w:t> </w:t>
      </w:r>
      <w:r>
        <w:rPr>
          <w:i/>
          <w:w w:val="97"/>
          <w:sz w:val="16"/>
        </w:rPr>
        <w:t>h</w:t>
      </w:r>
      <w:r>
        <w:rPr>
          <w:i/>
          <w:w w:val="105"/>
          <w:sz w:val="16"/>
        </w:rPr>
        <w:t>ad</w:t>
      </w:r>
      <w:r>
        <w:rPr>
          <w:i/>
          <w:sz w:val="16"/>
        </w:rPr>
        <w:t> </w:t>
      </w:r>
      <w:r>
        <w:rPr>
          <w:i/>
          <w:w w:val="102"/>
          <w:sz w:val="16"/>
        </w:rPr>
        <w:t>po</w:t>
      </w:r>
      <w:r>
        <w:rPr>
          <w:i/>
          <w:w w:val="101"/>
          <w:sz w:val="16"/>
        </w:rPr>
        <w:t>s</w:t>
      </w:r>
      <w:r>
        <w:rPr>
          <w:i/>
          <w:w w:val="73"/>
          <w:sz w:val="16"/>
        </w:rPr>
        <w:t>it</w:t>
      </w:r>
      <w:r>
        <w:rPr>
          <w:i/>
          <w:w w:val="86"/>
          <w:sz w:val="16"/>
        </w:rPr>
        <w:t>iv</w:t>
      </w:r>
      <w:r>
        <w:rPr>
          <w:i/>
          <w:w w:val="95"/>
          <w:sz w:val="16"/>
        </w:rPr>
        <w:t>e</w:t>
      </w:r>
      <w:r>
        <w:rPr>
          <w:i/>
          <w:sz w:val="16"/>
        </w:rPr>
        <w:t> </w:t>
      </w:r>
      <w:r>
        <w:rPr>
          <w:i/>
          <w:w w:val="99"/>
          <w:sz w:val="16"/>
        </w:rPr>
        <w:t>gr</w:t>
      </w:r>
      <w:r>
        <w:rPr>
          <w:i/>
          <w:w w:val="103"/>
          <w:sz w:val="16"/>
        </w:rPr>
        <w:t>o</w:t>
      </w:r>
      <w:r>
        <w:rPr>
          <w:i/>
          <w:w w:val="101"/>
          <w:sz w:val="16"/>
        </w:rPr>
        <w:t>ss</w:t>
      </w:r>
      <w:r>
        <w:rPr>
          <w:i/>
          <w:sz w:val="16"/>
        </w:rPr>
        <w:t> </w:t>
      </w:r>
      <w:r>
        <w:rPr>
          <w:i/>
          <w:w w:val="105"/>
          <w:sz w:val="16"/>
        </w:rPr>
        <w:t>ab</w:t>
      </w:r>
      <w:r>
        <w:rPr>
          <w:i/>
          <w:w w:val="101"/>
          <w:sz w:val="16"/>
        </w:rPr>
        <w:t>s</w:t>
      </w:r>
      <w:r>
        <w:rPr>
          <w:i/>
          <w:w w:val="103"/>
          <w:sz w:val="16"/>
        </w:rPr>
        <w:t>o</w:t>
      </w:r>
      <w:r>
        <w:rPr>
          <w:i/>
          <w:w w:val="81"/>
          <w:sz w:val="16"/>
        </w:rPr>
        <w:t>r</w:t>
      </w:r>
      <w:r>
        <w:rPr>
          <w:i/>
          <w:w w:val="87"/>
          <w:sz w:val="16"/>
        </w:rPr>
        <w:t>pt</w:t>
      </w:r>
      <w:r>
        <w:rPr>
          <w:i/>
          <w:w w:val="96"/>
          <w:sz w:val="16"/>
        </w:rPr>
        <w:t>ion</w:t>
      </w:r>
      <w:r>
        <w:rPr>
          <w:i/>
          <w:sz w:val="16"/>
        </w:rPr>
        <w:t> </w:t>
      </w:r>
      <w:r>
        <w:rPr>
          <w:i/>
          <w:w w:val="97"/>
          <w:sz w:val="16"/>
        </w:rPr>
        <w:t>bu</w:t>
      </w:r>
      <w:r>
        <w:rPr>
          <w:i/>
          <w:w w:val="68"/>
          <w:sz w:val="16"/>
        </w:rPr>
        <w:t>t</w:t>
      </w:r>
      <w:r>
        <w:rPr>
          <w:i/>
          <w:sz w:val="16"/>
        </w:rPr>
        <w:t> </w:t>
      </w:r>
      <w:r>
        <w:rPr>
          <w:i/>
          <w:w w:val="99"/>
          <w:sz w:val="16"/>
        </w:rPr>
        <w:t>n</w:t>
      </w:r>
      <w:r>
        <w:rPr>
          <w:i/>
          <w:w w:val="97"/>
          <w:sz w:val="16"/>
        </w:rPr>
        <w:t>egat</w:t>
      </w:r>
      <w:r>
        <w:rPr>
          <w:i/>
          <w:w w:val="90"/>
          <w:sz w:val="16"/>
        </w:rPr>
        <w:t>ive</w:t>
      </w:r>
      <w:r>
        <w:rPr>
          <w:i/>
          <w:sz w:val="16"/>
        </w:rPr>
        <w:t> </w:t>
      </w:r>
      <w:r>
        <w:rPr>
          <w:i/>
          <w:w w:val="99"/>
          <w:sz w:val="16"/>
        </w:rPr>
        <w:t>n</w:t>
      </w:r>
      <w:r>
        <w:rPr>
          <w:i/>
          <w:w w:val="83"/>
          <w:sz w:val="16"/>
        </w:rPr>
        <w:t>et</w:t>
      </w:r>
      <w:r>
        <w:rPr>
          <w:i/>
          <w:sz w:val="16"/>
        </w:rPr>
        <w:t> </w:t>
      </w:r>
      <w:r>
        <w:rPr>
          <w:i/>
          <w:w w:val="104"/>
          <w:sz w:val="16"/>
        </w:rPr>
        <w:t>abs</w:t>
      </w:r>
      <w:r>
        <w:rPr>
          <w:i/>
          <w:w w:val="103"/>
          <w:sz w:val="16"/>
        </w:rPr>
        <w:t>o</w:t>
      </w:r>
      <w:r>
        <w:rPr>
          <w:i/>
          <w:w w:val="81"/>
          <w:sz w:val="16"/>
        </w:rPr>
        <w:t>r</w:t>
      </w:r>
      <w:r>
        <w:rPr>
          <w:i/>
          <w:w w:val="87"/>
          <w:sz w:val="16"/>
        </w:rPr>
        <w:t>pt</w:t>
      </w:r>
      <w:r>
        <w:rPr>
          <w:i/>
          <w:w w:val="96"/>
          <w:sz w:val="16"/>
        </w:rPr>
        <w:t>ion</w:t>
      </w:r>
    </w:p>
    <w:p>
      <w:pPr>
        <w:spacing w:after="0" w:line="321" w:lineRule="auto"/>
        <w:jc w:val="left"/>
        <w:rPr>
          <w:sz w:val="16"/>
        </w:rPr>
        <w:sectPr>
          <w:pgSz w:w="11910" w:h="16840"/>
          <w:pgMar w:header="919" w:footer="1149" w:top="1660" w:bottom="1340" w:left="600" w:right="600"/>
        </w:sectPr>
      </w:pPr>
    </w:p>
    <w:p>
      <w:pPr>
        <w:pStyle w:val="BodyText"/>
        <w:rPr>
          <w:i/>
          <w:sz w:val="20"/>
        </w:rPr>
      </w:pPr>
    </w:p>
    <w:p>
      <w:pPr>
        <w:pStyle w:val="BodyText"/>
        <w:rPr>
          <w:i/>
          <w:sz w:val="20"/>
        </w:rPr>
      </w:pPr>
    </w:p>
    <w:p>
      <w:pPr>
        <w:pStyle w:val="BodyText"/>
        <w:rPr>
          <w:i/>
          <w:sz w:val="18"/>
        </w:rPr>
      </w:pPr>
    </w:p>
    <w:p>
      <w:pPr>
        <w:pStyle w:val="BodyText"/>
        <w:ind w:left="120"/>
        <w:rPr>
          <w:sz w:val="20"/>
        </w:rPr>
      </w:pPr>
      <w:r>
        <w:rPr>
          <w:sz w:val="20"/>
        </w:rPr>
        <w:pict>
          <v:shape style="width:523.6pt;height:24.75pt;mso-position-horizontal-relative:char;mso-position-vertical-relative:line" type="#_x0000_t202" filled="true" fillcolor="#006a4d" stroked="false">
            <w10:anchorlock/>
            <v:textbox inset="0,0,0,0">
              <w:txbxContent>
                <w:p>
                  <w:pPr>
                    <w:spacing w:before="124"/>
                    <w:ind w:left="350" w:right="0" w:firstLine="0"/>
                    <w:jc w:val="center"/>
                    <w:rPr>
                      <w:sz w:val="20"/>
                    </w:rPr>
                  </w:pPr>
                  <w:r>
                    <w:rPr>
                      <w:color w:val="FFFFFF"/>
                      <w:sz w:val="20"/>
                    </w:rPr>
                    <w:t>Demand Supply Dynamics (Mumbai Metropolitan Region)</w:t>
                  </w:r>
                </w:p>
              </w:txbxContent>
            </v:textbox>
            <v:fill type="solid"/>
          </v:shape>
        </w:pict>
      </w:r>
      <w:r>
        <w:rPr>
          <w:sz w:val="20"/>
        </w:rPr>
      </w:r>
    </w:p>
    <w:p>
      <w:pPr>
        <w:pStyle w:val="BodyText"/>
        <w:spacing w:before="8"/>
        <w:rPr>
          <w:i/>
          <w:sz w:val="18"/>
        </w:rPr>
      </w:pPr>
      <w:r>
        <w:rPr/>
        <w:drawing>
          <wp:anchor distT="0" distB="0" distL="0" distR="0" allowOverlap="1" layoutInCell="1" locked="0" behindDoc="0" simplePos="0" relativeHeight="539">
            <wp:simplePos x="0" y="0"/>
            <wp:positionH relativeFrom="page">
              <wp:posOffset>633323</wp:posOffset>
            </wp:positionH>
            <wp:positionV relativeFrom="paragraph">
              <wp:posOffset>162785</wp:posOffset>
            </wp:positionV>
            <wp:extent cx="6292451" cy="2201703"/>
            <wp:effectExtent l="0" t="0" r="0" b="0"/>
            <wp:wrapTopAndBottom/>
            <wp:docPr id="135" name="image76.jpeg"/>
            <wp:cNvGraphicFramePr>
              <a:graphicFrameLocks noChangeAspect="1"/>
            </wp:cNvGraphicFramePr>
            <a:graphic>
              <a:graphicData uri="http://schemas.openxmlformats.org/drawingml/2006/picture">
                <pic:pic>
                  <pic:nvPicPr>
                    <pic:cNvPr id="136" name="image76.jpeg"/>
                    <pic:cNvPicPr/>
                  </pic:nvPicPr>
                  <pic:blipFill>
                    <a:blip r:embed="rId102" cstate="print"/>
                    <a:stretch>
                      <a:fillRect/>
                    </a:stretch>
                  </pic:blipFill>
                  <pic:spPr>
                    <a:xfrm>
                      <a:off x="0" y="0"/>
                      <a:ext cx="6292451" cy="2201703"/>
                    </a:xfrm>
                    <a:prstGeom prst="rect">
                      <a:avLst/>
                    </a:prstGeom>
                  </pic:spPr>
                </pic:pic>
              </a:graphicData>
            </a:graphic>
          </wp:anchor>
        </w:drawing>
      </w:r>
    </w:p>
    <w:p>
      <w:pPr>
        <w:pStyle w:val="BodyText"/>
        <w:rPr>
          <w:i/>
          <w:sz w:val="20"/>
        </w:rPr>
      </w:pPr>
    </w:p>
    <w:p>
      <w:pPr>
        <w:pStyle w:val="BodyText"/>
        <w:spacing w:before="1"/>
        <w:rPr>
          <w:i/>
          <w:sz w:val="21"/>
        </w:rPr>
      </w:pPr>
      <w:r>
        <w:rPr/>
        <w:pict>
          <v:group style="position:absolute;margin-left:35.279999pt;margin-top:14.208418pt;width:524.3pt;height:239.75pt;mso-position-horizontal-relative:page;mso-position-vertical-relative:paragraph;z-index:-15451648;mso-wrap-distance-left:0;mso-wrap-distance-right:0" coordorigin="706,284" coordsize="10486,4795">
            <v:rect style="position:absolute;left:720;top:312;width:10472;height:471" filled="true" fillcolor="#006a4d" stroked="false">
              <v:fill type="solid"/>
            </v:rect>
            <v:rect style="position:absolute;left:720;top:284;width:10472;height:29" filled="true" fillcolor="#1f6b16" stroked="false">
              <v:fill type="solid"/>
            </v:rect>
            <v:rect style="position:absolute;left:720;top:312;width:10472;height:3" filled="true" fillcolor="#006a4d" stroked="false">
              <v:fill type="solid"/>
            </v:rect>
            <v:shape style="position:absolute;left:705;top:783;width:10486;height:4296" type="#_x0000_t75" stroked="false">
              <v:imagedata r:id="rId124" o:title=""/>
            </v:shape>
            <v:shape style="position:absolute;left:720;top:312;width:10472;height:471" type="#_x0000_t202" filled="false" stroked="false">
              <v:textbox inset="0,0,0,0">
                <w:txbxContent>
                  <w:p>
                    <w:pPr>
                      <w:spacing w:before="123"/>
                      <w:ind w:left="3" w:right="0" w:firstLine="0"/>
                      <w:jc w:val="center"/>
                      <w:rPr>
                        <w:b/>
                        <w:sz w:val="18"/>
                      </w:rPr>
                    </w:pPr>
                    <w:r>
                      <w:rPr>
                        <w:b/>
                        <w:color w:val="FFFFFF"/>
                        <w:w w:val="115"/>
                        <w:sz w:val="18"/>
                      </w:rPr>
                      <w:t>Demand – Supply (Peripheral Business District - East)</w:t>
                    </w:r>
                  </w:p>
                </w:txbxContent>
              </v:textbox>
              <w10:wrap type="none"/>
            </v:shape>
            <w10:wrap type="topAndBottom"/>
          </v:group>
        </w:pict>
      </w:r>
    </w:p>
    <w:p>
      <w:pPr>
        <w:pStyle w:val="BodyText"/>
        <w:rPr>
          <w:i/>
          <w:sz w:val="20"/>
        </w:rPr>
      </w:pPr>
    </w:p>
    <w:p>
      <w:pPr>
        <w:pStyle w:val="BodyText"/>
        <w:spacing w:before="1"/>
        <w:rPr>
          <w:i/>
          <w:sz w:val="20"/>
        </w:rPr>
      </w:pPr>
    </w:p>
    <w:p>
      <w:pPr>
        <w:spacing w:before="0"/>
        <w:ind w:left="120" w:right="0" w:firstLine="0"/>
        <w:jc w:val="left"/>
        <w:rPr>
          <w:i/>
          <w:sz w:val="16"/>
        </w:rPr>
      </w:pPr>
      <w:r>
        <w:rPr>
          <w:i/>
          <w:sz w:val="16"/>
        </w:rPr>
        <w:t>Source: CBRE Research; * Data only includes Grade A, Multi Tenanted Buildings; with area </w:t>
      </w:r>
      <w:r>
        <w:rPr>
          <w:i/>
          <w:w w:val="130"/>
          <w:sz w:val="16"/>
        </w:rPr>
        <w:t>&gt; </w:t>
      </w:r>
      <w:r>
        <w:rPr>
          <w:i/>
          <w:sz w:val="16"/>
        </w:rPr>
        <w:t>75,000 sf</w:t>
      </w:r>
    </w:p>
    <w:p>
      <w:pPr>
        <w:pStyle w:val="BodyText"/>
        <w:rPr>
          <w:i/>
          <w:sz w:val="21"/>
        </w:rPr>
      </w:pPr>
    </w:p>
    <w:p>
      <w:pPr>
        <w:spacing w:line="321" w:lineRule="auto" w:before="0"/>
        <w:ind w:left="120" w:right="0" w:firstLine="0"/>
        <w:jc w:val="left"/>
        <w:rPr>
          <w:i/>
          <w:sz w:val="16"/>
        </w:rPr>
      </w:pPr>
      <w:r>
        <w:rPr>
          <w:i/>
          <w:sz w:val="16"/>
        </w:rPr>
        <w:t>Note:</w:t>
      </w:r>
      <w:r>
        <w:rPr>
          <w:i/>
          <w:spacing w:val="-26"/>
          <w:sz w:val="16"/>
        </w:rPr>
        <w:t> </w:t>
      </w:r>
      <w:r>
        <w:rPr>
          <w:i/>
          <w:sz w:val="16"/>
        </w:rPr>
        <w:t>Supply</w:t>
      </w:r>
      <w:r>
        <w:rPr>
          <w:i/>
          <w:spacing w:val="-28"/>
          <w:sz w:val="16"/>
        </w:rPr>
        <w:t> </w:t>
      </w:r>
      <w:r>
        <w:rPr>
          <w:i/>
          <w:w w:val="110"/>
          <w:sz w:val="16"/>
        </w:rPr>
        <w:t>–</w:t>
      </w:r>
      <w:r>
        <w:rPr>
          <w:i/>
          <w:spacing w:val="-32"/>
          <w:w w:val="110"/>
          <w:sz w:val="16"/>
        </w:rPr>
        <w:t> </w:t>
      </w:r>
      <w:r>
        <w:rPr>
          <w:i/>
          <w:sz w:val="16"/>
        </w:rPr>
        <w:t>refers</w:t>
      </w:r>
      <w:r>
        <w:rPr>
          <w:i/>
          <w:spacing w:val="-27"/>
          <w:sz w:val="16"/>
        </w:rPr>
        <w:t> </w:t>
      </w:r>
      <w:r>
        <w:rPr>
          <w:i/>
          <w:sz w:val="16"/>
        </w:rPr>
        <w:t>to</w:t>
      </w:r>
      <w:r>
        <w:rPr>
          <w:i/>
          <w:spacing w:val="-26"/>
          <w:sz w:val="16"/>
        </w:rPr>
        <w:t> </w:t>
      </w:r>
      <w:r>
        <w:rPr>
          <w:i/>
          <w:sz w:val="16"/>
        </w:rPr>
        <w:t>fresh</w:t>
      </w:r>
      <w:r>
        <w:rPr>
          <w:i/>
          <w:spacing w:val="-28"/>
          <w:sz w:val="16"/>
        </w:rPr>
        <w:t> </w:t>
      </w:r>
      <w:r>
        <w:rPr>
          <w:i/>
          <w:sz w:val="16"/>
        </w:rPr>
        <w:t>completed</w:t>
      </w:r>
      <w:r>
        <w:rPr>
          <w:i/>
          <w:spacing w:val="-27"/>
          <w:sz w:val="16"/>
        </w:rPr>
        <w:t> </w:t>
      </w:r>
      <w:r>
        <w:rPr>
          <w:i/>
          <w:sz w:val="16"/>
        </w:rPr>
        <w:t>supply</w:t>
      </w:r>
      <w:r>
        <w:rPr>
          <w:i/>
          <w:spacing w:val="-28"/>
          <w:sz w:val="16"/>
        </w:rPr>
        <w:t> </w:t>
      </w:r>
      <w:r>
        <w:rPr>
          <w:i/>
          <w:sz w:val="16"/>
        </w:rPr>
        <w:t>added</w:t>
      </w:r>
      <w:r>
        <w:rPr>
          <w:i/>
          <w:spacing w:val="-27"/>
          <w:sz w:val="16"/>
        </w:rPr>
        <w:t> </w:t>
      </w:r>
      <w:r>
        <w:rPr>
          <w:i/>
          <w:sz w:val="16"/>
        </w:rPr>
        <w:t>each</w:t>
      </w:r>
      <w:r>
        <w:rPr>
          <w:i/>
          <w:spacing w:val="-27"/>
          <w:sz w:val="16"/>
        </w:rPr>
        <w:t> </w:t>
      </w:r>
      <w:r>
        <w:rPr>
          <w:i/>
          <w:sz w:val="16"/>
        </w:rPr>
        <w:t>year;</w:t>
      </w:r>
      <w:r>
        <w:rPr>
          <w:i/>
          <w:spacing w:val="-27"/>
          <w:sz w:val="16"/>
        </w:rPr>
        <w:t> </w:t>
      </w:r>
      <w:r>
        <w:rPr>
          <w:i/>
          <w:sz w:val="16"/>
        </w:rPr>
        <w:t>Demand</w:t>
      </w:r>
      <w:r>
        <w:rPr>
          <w:i/>
          <w:spacing w:val="-25"/>
          <w:sz w:val="16"/>
        </w:rPr>
        <w:t> </w:t>
      </w:r>
      <w:r>
        <w:rPr>
          <w:i/>
          <w:w w:val="110"/>
          <w:sz w:val="16"/>
        </w:rPr>
        <w:t>–</w:t>
      </w:r>
      <w:r>
        <w:rPr>
          <w:i/>
          <w:spacing w:val="-32"/>
          <w:w w:val="110"/>
          <w:sz w:val="16"/>
        </w:rPr>
        <w:t> </w:t>
      </w:r>
      <w:r>
        <w:rPr>
          <w:i/>
          <w:sz w:val="16"/>
        </w:rPr>
        <w:t>refers</w:t>
      </w:r>
      <w:r>
        <w:rPr>
          <w:i/>
          <w:spacing w:val="-27"/>
          <w:sz w:val="16"/>
        </w:rPr>
        <w:t> </w:t>
      </w:r>
      <w:r>
        <w:rPr>
          <w:i/>
          <w:sz w:val="16"/>
        </w:rPr>
        <w:t>to</w:t>
      </w:r>
      <w:r>
        <w:rPr>
          <w:i/>
          <w:spacing w:val="-26"/>
          <w:sz w:val="16"/>
        </w:rPr>
        <w:t> </w:t>
      </w:r>
      <w:r>
        <w:rPr>
          <w:i/>
          <w:sz w:val="16"/>
        </w:rPr>
        <w:t>the</w:t>
      </w:r>
      <w:r>
        <w:rPr>
          <w:i/>
          <w:spacing w:val="-27"/>
          <w:sz w:val="16"/>
        </w:rPr>
        <w:t> </w:t>
      </w:r>
      <w:r>
        <w:rPr>
          <w:i/>
          <w:sz w:val="16"/>
        </w:rPr>
        <w:t>quantum</w:t>
      </w:r>
      <w:r>
        <w:rPr>
          <w:i/>
          <w:spacing w:val="-26"/>
          <w:sz w:val="16"/>
        </w:rPr>
        <w:t> </w:t>
      </w:r>
      <w:r>
        <w:rPr>
          <w:i/>
          <w:sz w:val="16"/>
        </w:rPr>
        <w:t>of</w:t>
      </w:r>
      <w:r>
        <w:rPr>
          <w:i/>
          <w:spacing w:val="-26"/>
          <w:sz w:val="16"/>
        </w:rPr>
        <w:t> </w:t>
      </w:r>
      <w:r>
        <w:rPr>
          <w:i/>
          <w:sz w:val="16"/>
        </w:rPr>
        <w:t>leasing</w:t>
      </w:r>
      <w:r>
        <w:rPr>
          <w:i/>
          <w:spacing w:val="-27"/>
          <w:sz w:val="16"/>
        </w:rPr>
        <w:t> </w:t>
      </w:r>
      <w:r>
        <w:rPr>
          <w:i/>
          <w:sz w:val="16"/>
        </w:rPr>
        <w:t>witnessed</w:t>
      </w:r>
      <w:r>
        <w:rPr>
          <w:i/>
          <w:spacing w:val="-26"/>
          <w:sz w:val="16"/>
        </w:rPr>
        <w:t> </w:t>
      </w:r>
      <w:r>
        <w:rPr>
          <w:i/>
          <w:sz w:val="16"/>
        </w:rPr>
        <w:t>in</w:t>
      </w:r>
      <w:r>
        <w:rPr>
          <w:i/>
          <w:spacing w:val="-27"/>
          <w:sz w:val="16"/>
        </w:rPr>
        <w:t> </w:t>
      </w:r>
      <w:r>
        <w:rPr>
          <w:i/>
          <w:sz w:val="16"/>
        </w:rPr>
        <w:t>each</w:t>
      </w:r>
      <w:r>
        <w:rPr>
          <w:i/>
          <w:spacing w:val="-27"/>
          <w:sz w:val="16"/>
        </w:rPr>
        <w:t> </w:t>
      </w:r>
      <w:r>
        <w:rPr>
          <w:i/>
          <w:sz w:val="16"/>
        </w:rPr>
        <w:t>year</w:t>
      </w:r>
      <w:r>
        <w:rPr>
          <w:i/>
          <w:spacing w:val="-26"/>
          <w:sz w:val="16"/>
        </w:rPr>
        <w:t> </w:t>
      </w:r>
      <w:r>
        <w:rPr>
          <w:i/>
          <w:sz w:val="16"/>
        </w:rPr>
        <w:t>as</w:t>
      </w:r>
      <w:r>
        <w:rPr>
          <w:i/>
          <w:spacing w:val="-25"/>
          <w:sz w:val="16"/>
        </w:rPr>
        <w:t> </w:t>
      </w:r>
      <w:r>
        <w:rPr>
          <w:i/>
          <w:sz w:val="16"/>
        </w:rPr>
        <w:t>part</w:t>
      </w:r>
      <w:r>
        <w:rPr>
          <w:i/>
          <w:spacing w:val="-27"/>
          <w:sz w:val="16"/>
        </w:rPr>
        <w:t> </w:t>
      </w:r>
      <w:r>
        <w:rPr>
          <w:i/>
          <w:sz w:val="16"/>
        </w:rPr>
        <w:t>of</w:t>
      </w:r>
      <w:r>
        <w:rPr>
          <w:i/>
          <w:spacing w:val="-26"/>
          <w:sz w:val="16"/>
        </w:rPr>
        <w:t> </w:t>
      </w:r>
      <w:r>
        <w:rPr>
          <w:i/>
          <w:sz w:val="16"/>
        </w:rPr>
        <w:t>completed </w:t>
      </w:r>
      <w:r>
        <w:rPr>
          <w:i/>
          <w:sz w:val="16"/>
        </w:rPr>
        <w:t>space;</w:t>
      </w:r>
      <w:r>
        <w:rPr>
          <w:i/>
          <w:spacing w:val="-9"/>
          <w:sz w:val="16"/>
        </w:rPr>
        <w:t> </w:t>
      </w:r>
      <w:r>
        <w:rPr>
          <w:i/>
          <w:sz w:val="16"/>
        </w:rPr>
        <w:t>the</w:t>
      </w:r>
      <w:r>
        <w:rPr>
          <w:i/>
          <w:spacing w:val="-8"/>
          <w:sz w:val="16"/>
        </w:rPr>
        <w:t> </w:t>
      </w:r>
      <w:r>
        <w:rPr>
          <w:i/>
          <w:sz w:val="16"/>
        </w:rPr>
        <w:t>vacancy</w:t>
      </w:r>
      <w:r>
        <w:rPr>
          <w:i/>
          <w:spacing w:val="-9"/>
          <w:sz w:val="16"/>
        </w:rPr>
        <w:t> </w:t>
      </w:r>
      <w:r>
        <w:rPr>
          <w:i/>
          <w:sz w:val="16"/>
        </w:rPr>
        <w:t>in</w:t>
      </w:r>
      <w:r>
        <w:rPr>
          <w:i/>
          <w:spacing w:val="-10"/>
          <w:sz w:val="16"/>
        </w:rPr>
        <w:t> </w:t>
      </w:r>
      <w:r>
        <w:rPr>
          <w:i/>
          <w:sz w:val="16"/>
        </w:rPr>
        <w:t>the</w:t>
      </w:r>
      <w:r>
        <w:rPr>
          <w:i/>
          <w:spacing w:val="-9"/>
          <w:sz w:val="16"/>
        </w:rPr>
        <w:t> </w:t>
      </w:r>
      <w:r>
        <w:rPr>
          <w:i/>
          <w:sz w:val="16"/>
        </w:rPr>
        <w:t>chart</w:t>
      </w:r>
      <w:r>
        <w:rPr>
          <w:i/>
          <w:spacing w:val="-10"/>
          <w:sz w:val="16"/>
        </w:rPr>
        <w:t> </w:t>
      </w:r>
      <w:r>
        <w:rPr>
          <w:i/>
          <w:sz w:val="16"/>
        </w:rPr>
        <w:t>accounts</w:t>
      </w:r>
      <w:r>
        <w:rPr>
          <w:i/>
          <w:spacing w:val="-8"/>
          <w:sz w:val="16"/>
        </w:rPr>
        <w:t> </w:t>
      </w:r>
      <w:r>
        <w:rPr>
          <w:i/>
          <w:sz w:val="16"/>
        </w:rPr>
        <w:t>for</w:t>
      </w:r>
      <w:r>
        <w:rPr>
          <w:i/>
          <w:spacing w:val="-8"/>
          <w:sz w:val="16"/>
        </w:rPr>
        <w:t> </w:t>
      </w:r>
      <w:r>
        <w:rPr>
          <w:i/>
          <w:sz w:val="16"/>
        </w:rPr>
        <w:t>the</w:t>
      </w:r>
      <w:r>
        <w:rPr>
          <w:i/>
          <w:spacing w:val="-9"/>
          <w:sz w:val="16"/>
        </w:rPr>
        <w:t> </w:t>
      </w:r>
      <w:r>
        <w:rPr>
          <w:i/>
          <w:sz w:val="16"/>
        </w:rPr>
        <w:t>gap</w:t>
      </w:r>
      <w:r>
        <w:rPr>
          <w:i/>
          <w:spacing w:val="-9"/>
          <w:sz w:val="16"/>
        </w:rPr>
        <w:t> </w:t>
      </w:r>
      <w:r>
        <w:rPr>
          <w:i/>
          <w:sz w:val="16"/>
        </w:rPr>
        <w:t>between</w:t>
      </w:r>
      <w:r>
        <w:rPr>
          <w:i/>
          <w:spacing w:val="-10"/>
          <w:sz w:val="16"/>
        </w:rPr>
        <w:t> </w:t>
      </w:r>
      <w:r>
        <w:rPr>
          <w:i/>
          <w:sz w:val="16"/>
        </w:rPr>
        <w:t>cumulative</w:t>
      </w:r>
      <w:r>
        <w:rPr>
          <w:i/>
          <w:spacing w:val="-9"/>
          <w:sz w:val="16"/>
        </w:rPr>
        <w:t> </w:t>
      </w:r>
      <w:r>
        <w:rPr>
          <w:i/>
          <w:sz w:val="16"/>
        </w:rPr>
        <w:t>stock</w:t>
      </w:r>
      <w:r>
        <w:rPr>
          <w:i/>
          <w:spacing w:val="-8"/>
          <w:sz w:val="16"/>
        </w:rPr>
        <w:t> </w:t>
      </w:r>
      <w:r>
        <w:rPr>
          <w:i/>
          <w:sz w:val="16"/>
        </w:rPr>
        <w:t>and</w:t>
      </w:r>
      <w:r>
        <w:rPr>
          <w:i/>
          <w:spacing w:val="-9"/>
          <w:sz w:val="16"/>
        </w:rPr>
        <w:t> </w:t>
      </w:r>
      <w:r>
        <w:rPr>
          <w:i/>
          <w:sz w:val="16"/>
        </w:rPr>
        <w:t>demand</w:t>
      </w:r>
      <w:r>
        <w:rPr>
          <w:i/>
          <w:spacing w:val="-9"/>
          <w:sz w:val="16"/>
        </w:rPr>
        <w:t> </w:t>
      </w:r>
      <w:r>
        <w:rPr>
          <w:i/>
          <w:sz w:val="16"/>
        </w:rPr>
        <w:t>in</w:t>
      </w:r>
      <w:r>
        <w:rPr>
          <w:i/>
          <w:spacing w:val="-9"/>
          <w:sz w:val="16"/>
        </w:rPr>
        <w:t> </w:t>
      </w:r>
      <w:r>
        <w:rPr>
          <w:i/>
          <w:sz w:val="16"/>
        </w:rPr>
        <w:t>the</w:t>
      </w:r>
      <w:r>
        <w:rPr>
          <w:i/>
          <w:spacing w:val="-9"/>
          <w:sz w:val="16"/>
        </w:rPr>
        <w:t> </w:t>
      </w:r>
      <w:r>
        <w:rPr>
          <w:i/>
          <w:sz w:val="16"/>
        </w:rPr>
        <w:t>city</w:t>
      </w:r>
      <w:r>
        <w:rPr>
          <w:i/>
          <w:spacing w:val="-9"/>
          <w:sz w:val="16"/>
        </w:rPr>
        <w:t> </w:t>
      </w:r>
      <w:r>
        <w:rPr>
          <w:i/>
          <w:sz w:val="16"/>
        </w:rPr>
        <w:t>in</w:t>
      </w:r>
      <w:r>
        <w:rPr>
          <w:i/>
          <w:spacing w:val="-8"/>
          <w:sz w:val="16"/>
        </w:rPr>
        <w:t> </w:t>
      </w:r>
      <w:r>
        <w:rPr>
          <w:i/>
          <w:sz w:val="16"/>
        </w:rPr>
        <w:t>any</w:t>
      </w:r>
      <w:r>
        <w:rPr>
          <w:i/>
          <w:spacing w:val="-9"/>
          <w:sz w:val="16"/>
        </w:rPr>
        <w:t> </w:t>
      </w:r>
      <w:r>
        <w:rPr>
          <w:i/>
          <w:sz w:val="16"/>
        </w:rPr>
        <w:t>given</w:t>
      </w:r>
      <w:r>
        <w:rPr>
          <w:i/>
          <w:spacing w:val="-10"/>
          <w:sz w:val="16"/>
        </w:rPr>
        <w:t> </w:t>
      </w:r>
      <w:r>
        <w:rPr>
          <w:i/>
          <w:sz w:val="16"/>
        </w:rPr>
        <w:t>year.</w:t>
      </w:r>
    </w:p>
    <w:p>
      <w:pPr>
        <w:pStyle w:val="BodyText"/>
        <w:spacing w:before="8"/>
        <w:rPr>
          <w:i/>
          <w:sz w:val="15"/>
        </w:rPr>
      </w:pPr>
    </w:p>
    <w:p>
      <w:pPr>
        <w:pStyle w:val="BodyText"/>
        <w:spacing w:line="321" w:lineRule="auto"/>
        <w:ind w:left="682" w:right="114"/>
        <w:jc w:val="both"/>
      </w:pPr>
      <w:r>
        <w:rPr/>
        <w:t>Technology</w:t>
      </w:r>
      <w:r>
        <w:rPr>
          <w:spacing w:val="-19"/>
        </w:rPr>
        <w:t> </w:t>
      </w:r>
      <w:r>
        <w:rPr/>
        <w:t>developments</w:t>
      </w:r>
      <w:r>
        <w:rPr>
          <w:spacing w:val="-16"/>
        </w:rPr>
        <w:t> </w:t>
      </w:r>
      <w:r>
        <w:rPr/>
        <w:t>that</w:t>
      </w:r>
      <w:r>
        <w:rPr>
          <w:spacing w:val="-18"/>
        </w:rPr>
        <w:t> </w:t>
      </w:r>
      <w:r>
        <w:rPr/>
        <w:t>have</w:t>
      </w:r>
      <w:r>
        <w:rPr>
          <w:spacing w:val="-17"/>
        </w:rPr>
        <w:t> </w:t>
      </w:r>
      <w:r>
        <w:rPr/>
        <w:t>been</w:t>
      </w:r>
      <w:r>
        <w:rPr>
          <w:spacing w:val="-18"/>
        </w:rPr>
        <w:t> </w:t>
      </w:r>
      <w:r>
        <w:rPr/>
        <w:t>launched</w:t>
      </w:r>
      <w:r>
        <w:rPr>
          <w:spacing w:val="-16"/>
        </w:rPr>
        <w:t> </w:t>
      </w:r>
      <w:r>
        <w:rPr/>
        <w:t>near</w:t>
      </w:r>
      <w:r>
        <w:rPr>
          <w:spacing w:val="-18"/>
        </w:rPr>
        <w:t> </w:t>
      </w:r>
      <w:r>
        <w:rPr/>
        <w:t>Embassy</w:t>
      </w:r>
      <w:r>
        <w:rPr>
          <w:spacing w:val="-16"/>
        </w:rPr>
        <w:t> </w:t>
      </w:r>
      <w:r>
        <w:rPr/>
        <w:t>247</w:t>
      </w:r>
      <w:r>
        <w:rPr>
          <w:spacing w:val="-19"/>
        </w:rPr>
        <w:t> </w:t>
      </w:r>
      <w:r>
        <w:rPr/>
        <w:t>(such</w:t>
      </w:r>
      <w:r>
        <w:rPr>
          <w:spacing w:val="-17"/>
        </w:rPr>
        <w:t> </w:t>
      </w:r>
      <w:r>
        <w:rPr/>
        <w:t>as</w:t>
      </w:r>
      <w:r>
        <w:rPr>
          <w:spacing w:val="-19"/>
        </w:rPr>
        <w:t> </w:t>
      </w:r>
      <w:r>
        <w:rPr/>
        <w:t>Powai,</w:t>
      </w:r>
      <w:r>
        <w:rPr>
          <w:spacing w:val="-17"/>
        </w:rPr>
        <w:t> </w:t>
      </w:r>
      <w:r>
        <w:rPr/>
        <w:t>Kanjurmarg</w:t>
      </w:r>
      <w:r>
        <w:rPr>
          <w:spacing w:val="-18"/>
        </w:rPr>
        <w:t> </w:t>
      </w:r>
      <w:r>
        <w:rPr/>
        <w:t>and Vikhroli</w:t>
      </w:r>
      <w:r>
        <w:rPr>
          <w:spacing w:val="-21"/>
        </w:rPr>
        <w:t> </w:t>
      </w:r>
      <w:r>
        <w:rPr/>
        <w:t>areas)</w:t>
      </w:r>
      <w:r>
        <w:rPr>
          <w:spacing w:val="-21"/>
        </w:rPr>
        <w:t> </w:t>
      </w:r>
      <w:r>
        <w:rPr/>
        <w:t>have</w:t>
      </w:r>
      <w:r>
        <w:rPr>
          <w:spacing w:val="-22"/>
        </w:rPr>
        <w:t> </w:t>
      </w:r>
      <w:r>
        <w:rPr/>
        <w:t>been</w:t>
      </w:r>
      <w:r>
        <w:rPr>
          <w:spacing w:val="-22"/>
        </w:rPr>
        <w:t> </w:t>
      </w:r>
      <w:r>
        <w:rPr/>
        <w:t>successfully</w:t>
      </w:r>
      <w:r>
        <w:rPr>
          <w:spacing w:val="-20"/>
        </w:rPr>
        <w:t> </w:t>
      </w:r>
      <w:r>
        <w:rPr/>
        <w:t>leased</w:t>
      </w:r>
      <w:r>
        <w:rPr>
          <w:spacing w:val="-21"/>
        </w:rPr>
        <w:t> </w:t>
      </w:r>
      <w:r>
        <w:rPr/>
        <w:t>and</w:t>
      </w:r>
      <w:r>
        <w:rPr>
          <w:spacing w:val="-23"/>
        </w:rPr>
        <w:t> </w:t>
      </w:r>
      <w:r>
        <w:rPr/>
        <w:t>currently</w:t>
      </w:r>
      <w:r>
        <w:rPr>
          <w:spacing w:val="-21"/>
        </w:rPr>
        <w:t> </w:t>
      </w:r>
      <w:r>
        <w:rPr/>
        <w:t>there</w:t>
      </w:r>
      <w:r>
        <w:rPr>
          <w:spacing w:val="-22"/>
        </w:rPr>
        <w:t> </w:t>
      </w:r>
      <w:r>
        <w:rPr/>
        <w:t>is</w:t>
      </w:r>
      <w:r>
        <w:rPr>
          <w:spacing w:val="-21"/>
        </w:rPr>
        <w:t> </w:t>
      </w:r>
      <w:r>
        <w:rPr/>
        <w:t>limited</w:t>
      </w:r>
      <w:r>
        <w:rPr>
          <w:spacing w:val="-21"/>
        </w:rPr>
        <w:t> </w:t>
      </w:r>
      <w:r>
        <w:rPr/>
        <w:t>future</w:t>
      </w:r>
      <w:r>
        <w:rPr>
          <w:spacing w:val="-21"/>
        </w:rPr>
        <w:t> </w:t>
      </w:r>
      <w:r>
        <w:rPr/>
        <w:t>technology</w:t>
      </w:r>
      <w:r>
        <w:rPr>
          <w:spacing w:val="-21"/>
        </w:rPr>
        <w:t> </w:t>
      </w:r>
      <w:r>
        <w:rPr/>
        <w:t>supply</w:t>
      </w:r>
      <w:r>
        <w:rPr>
          <w:spacing w:val="-22"/>
        </w:rPr>
        <w:t> </w:t>
      </w:r>
      <w:r>
        <w:rPr/>
        <w:t>in this area. Due to superior asset management and recent upgrades, Embassy 247 has attracted high quality, new-age</w:t>
      </w:r>
      <w:r>
        <w:rPr>
          <w:spacing w:val="-7"/>
        </w:rPr>
        <w:t> </w:t>
      </w:r>
      <w:r>
        <w:rPr/>
        <w:t>tenants.</w:t>
      </w:r>
    </w:p>
    <w:p>
      <w:pPr>
        <w:spacing w:after="0" w:line="321" w:lineRule="auto"/>
        <w:jc w:val="both"/>
        <w:sectPr>
          <w:pgSz w:w="11910" w:h="16840"/>
          <w:pgMar w:header="919" w:footer="1149" w:top="1660" w:bottom="1340" w:left="600" w:right="600"/>
        </w:sectPr>
      </w:pPr>
    </w:p>
    <w:p>
      <w:pPr>
        <w:pStyle w:val="BodyText"/>
        <w:spacing w:before="1"/>
        <w:rPr>
          <w:sz w:val="12"/>
        </w:rPr>
      </w:pPr>
    </w:p>
    <w:p>
      <w:pPr>
        <w:pStyle w:val="ListParagraph"/>
        <w:numPr>
          <w:ilvl w:val="3"/>
          <w:numId w:val="41"/>
        </w:numPr>
        <w:tabs>
          <w:tab w:pos="985" w:val="left" w:leader="none"/>
        </w:tabs>
        <w:spacing w:line="240" w:lineRule="auto" w:before="106" w:after="0"/>
        <w:ind w:left="984" w:right="0" w:hanging="865"/>
        <w:jc w:val="left"/>
        <w:rPr>
          <w:i/>
          <w:sz w:val="20"/>
        </w:rPr>
      </w:pPr>
      <w:r>
        <w:rPr>
          <w:i/>
          <w:color w:val="008000"/>
          <w:sz w:val="20"/>
        </w:rPr>
        <w:t>Key Developments in</w:t>
      </w:r>
      <w:r>
        <w:rPr>
          <w:i/>
          <w:color w:val="008000"/>
          <w:spacing w:val="-13"/>
          <w:sz w:val="20"/>
        </w:rPr>
        <w:t> </w:t>
      </w:r>
      <w:r>
        <w:rPr>
          <w:i/>
          <w:color w:val="008000"/>
          <w:sz w:val="20"/>
        </w:rPr>
        <w:t>Submarket</w:t>
      </w:r>
    </w:p>
    <w:p>
      <w:pPr>
        <w:pStyle w:val="BodyText"/>
        <w:spacing w:before="2"/>
        <w:rPr>
          <w:i/>
          <w:sz w:val="27"/>
        </w:rPr>
      </w:pPr>
    </w:p>
    <w:p>
      <w:pPr>
        <w:pStyle w:val="BodyText"/>
        <w:ind w:left="682"/>
      </w:pPr>
      <w:r>
        <w:rPr/>
        <w:pict>
          <v:group style="position:absolute;margin-left:36pt;margin-top:26.048643pt;width:523.6pt;height:44.8pt;mso-position-horizontal-relative:page;mso-position-vertical-relative:paragraph;z-index:16008192" coordorigin="720,521" coordsize="10472,896">
            <v:shape style="position:absolute;left:720;top:552;width:10472;height:864" coordorigin="720,552" coordsize="10472,864" path="m7756,552l5752,552,5752,552,3752,552,720,552,720,1416,3752,1416,5752,1416,5752,1416,7756,1416,7756,552xm11191,552l9182,552,7756,552,7756,1416,9182,1416,11191,1416,11191,552xe" filled="true" fillcolor="#006a4d" stroked="false">
              <v:path arrowok="t"/>
              <v:fill type="solid"/>
            </v:shape>
            <v:rect style="position:absolute;left:720;top:520;width:3033;height:29" filled="true" fillcolor="#1f6b16" stroked="false">
              <v:fill type="solid"/>
            </v:rect>
            <v:shape style="position:absolute;left:720;top:549;width:3061;height:3" coordorigin="720,550" coordsize="3061,3" path="m3781,550l3752,550,720,550,720,552,3752,552,3781,552,3781,550xe" filled="true" fillcolor="#006a4d" stroked="false">
              <v:path arrowok="t"/>
              <v:fill type="solid"/>
            </v:shape>
            <v:shape style="position:absolute;left:3752;top:520;width:2000;height:29" coordorigin="3752,521" coordsize="2000,29" path="m5752,521l3781,521,3752,521,3752,550,3781,550,5752,550,5752,521xe" filled="true" fillcolor="#1f6b16" stroked="false">
              <v:path arrowok="t"/>
              <v:fill type="solid"/>
            </v:shape>
            <v:shape style="position:absolute;left:3781;top:549;width:2000;height:3" coordorigin="3781,550" coordsize="2000,3" path="m5781,550l5752,550,3781,550,3781,552,5752,552,5781,552,5781,550xe" filled="true" fillcolor="#006a4d" stroked="false">
              <v:path arrowok="t"/>
              <v:fill type="solid"/>
            </v:shape>
            <v:shape style="position:absolute;left:5751;top:520;width:2005;height:29" coordorigin="5752,521" coordsize="2005,29" path="m7756,521l5781,521,5752,521,5752,550,5781,550,7756,550,7756,521xe" filled="true" fillcolor="#1f6b16" stroked="false">
              <v:path arrowok="t"/>
              <v:fill type="solid"/>
            </v:shape>
            <v:shape style="position:absolute;left:5780;top:549;width:2005;height:3" coordorigin="5781,550" coordsize="2005,3" path="m7756,550l5781,550,5781,552,7756,552,7756,550xm7785,550l7756,550,7756,552,7785,552,7785,550xe" filled="true" fillcolor="#006a4d" stroked="false">
              <v:path arrowok="t"/>
              <v:fill type="solid"/>
            </v:shape>
            <v:shape style="position:absolute;left:7756;top:520;width:1426;height:29" coordorigin="7756,521" coordsize="1426,29" path="m9182,521l7785,521,7756,521,7756,550,7785,550,9182,550,9182,521xe" filled="true" fillcolor="#1f6b16" stroked="false">
              <v:path arrowok="t"/>
              <v:fill type="solid"/>
            </v:shape>
            <v:shape style="position:absolute;left:7785;top:549;width:1426;height:3" coordorigin="7785,550" coordsize="1426,3" path="m9211,550l9182,550,7785,550,7785,552,9182,552,9211,552,9211,550xe" filled="true" fillcolor="#006a4d" stroked="false">
              <v:path arrowok="t"/>
              <v:fill type="solid"/>
            </v:shape>
            <v:shape style="position:absolute;left:9182;top:520;width:2010;height:29" coordorigin="9182,521" coordsize="2010,29" path="m11191,521l9211,521,9182,521,9182,550,9211,550,11191,550,11191,521xe" filled="true" fillcolor="#1f6b16" stroked="false">
              <v:path arrowok="t"/>
              <v:fill type="solid"/>
            </v:shape>
            <v:rect style="position:absolute;left:9210;top:549;width:1981;height:3" filled="true" fillcolor="#006a4d" stroked="false">
              <v:fill type="solid"/>
            </v:rect>
            <v:shape style="position:absolute;left:1373;top:842;width:1743;height:216" type="#_x0000_t202" filled="false" stroked="false">
              <v:textbox inset="0,0,0,0">
                <w:txbxContent>
                  <w:p>
                    <w:pPr>
                      <w:spacing w:before="4"/>
                      <w:ind w:left="0" w:right="0" w:firstLine="0"/>
                      <w:jc w:val="left"/>
                      <w:rPr>
                        <w:rFonts w:ascii="Arial"/>
                        <w:b/>
                        <w:sz w:val="18"/>
                      </w:rPr>
                    </w:pPr>
                    <w:r>
                      <w:rPr>
                        <w:rFonts w:ascii="Arial"/>
                        <w:b/>
                        <w:color w:val="FFFFFF"/>
                        <w:w w:val="105"/>
                        <w:sz w:val="18"/>
                      </w:rPr>
                      <w:t>Development</w:t>
                    </w:r>
                    <w:r>
                      <w:rPr>
                        <w:rFonts w:ascii="Arial"/>
                        <w:b/>
                        <w:color w:val="FFFFFF"/>
                        <w:spacing w:val="-25"/>
                        <w:w w:val="105"/>
                        <w:sz w:val="18"/>
                      </w:rPr>
                      <w:t> </w:t>
                    </w:r>
                    <w:r>
                      <w:rPr>
                        <w:rFonts w:ascii="Arial"/>
                        <w:b/>
                        <w:color w:val="FFFFFF"/>
                        <w:w w:val="105"/>
                        <w:sz w:val="18"/>
                      </w:rPr>
                      <w:t>Name</w:t>
                    </w:r>
                  </w:p>
                </w:txbxContent>
              </v:textbox>
              <w10:wrap type="none"/>
            </v:shape>
            <v:shape style="position:absolute;left:3941;top:828;width:1638;height:239" type="#_x0000_t202" filled="false" stroked="false">
              <v:textbox inset="0,0,0,0">
                <w:txbxContent>
                  <w:p>
                    <w:pPr>
                      <w:spacing w:before="4"/>
                      <w:ind w:left="0" w:right="0" w:firstLine="0"/>
                      <w:jc w:val="left"/>
                      <w:rPr>
                        <w:sz w:val="20"/>
                      </w:rPr>
                    </w:pPr>
                    <w:r>
                      <w:rPr>
                        <w:color w:val="FFFFFF"/>
                        <w:w w:val="95"/>
                        <w:sz w:val="20"/>
                      </w:rPr>
                      <w:t>Development Type</w:t>
                    </w:r>
                  </w:p>
                </w:txbxContent>
              </v:textbox>
              <w10:wrap type="none"/>
            </v:shape>
            <v:shape style="position:absolute;left:5994;top:672;width:1538;height:551" type="#_x0000_t202" filled="false" stroked="false">
              <v:textbox inset="0,0,0,0">
                <w:txbxContent>
                  <w:p>
                    <w:pPr>
                      <w:spacing w:before="4"/>
                      <w:ind w:left="0" w:right="18" w:firstLine="0"/>
                      <w:jc w:val="center"/>
                      <w:rPr>
                        <w:sz w:val="20"/>
                      </w:rPr>
                    </w:pPr>
                    <w:r>
                      <w:rPr>
                        <w:color w:val="FFFFFF"/>
                        <w:sz w:val="20"/>
                      </w:rPr>
                      <w:t>Leasable Area</w:t>
                    </w:r>
                    <w:r>
                      <w:rPr>
                        <w:color w:val="FFFFFF"/>
                        <w:spacing w:val="-41"/>
                        <w:sz w:val="20"/>
                      </w:rPr>
                      <w:t> </w:t>
                    </w:r>
                    <w:r>
                      <w:rPr>
                        <w:color w:val="FFFFFF"/>
                        <w:sz w:val="20"/>
                      </w:rPr>
                      <w:t>(in</w:t>
                    </w:r>
                  </w:p>
                  <w:p>
                    <w:pPr>
                      <w:spacing w:before="79"/>
                      <w:ind w:left="1" w:right="18" w:firstLine="0"/>
                      <w:jc w:val="center"/>
                      <w:rPr>
                        <w:sz w:val="20"/>
                      </w:rPr>
                    </w:pPr>
                    <w:r>
                      <w:rPr>
                        <w:color w:val="FFFFFF"/>
                        <w:sz w:val="20"/>
                      </w:rPr>
                      <w:t>msf)</w:t>
                    </w:r>
                  </w:p>
                </w:txbxContent>
              </v:textbox>
              <w10:wrap type="none"/>
            </v:shape>
            <v:shape style="position:absolute;left:7946;top:672;width:3075;height:551" type="#_x0000_t202" filled="false" stroked="false">
              <v:textbox inset="0,0,0,0">
                <w:txbxContent>
                  <w:p>
                    <w:pPr>
                      <w:tabs>
                        <w:tab w:pos="1423" w:val="left" w:leader="none"/>
                      </w:tabs>
                      <w:spacing w:line="192" w:lineRule="auto" w:before="9"/>
                      <w:ind w:left="0" w:right="0" w:firstLine="0"/>
                      <w:jc w:val="left"/>
                      <w:rPr>
                        <w:sz w:val="20"/>
                      </w:rPr>
                    </w:pPr>
                    <w:r>
                      <w:rPr>
                        <w:color w:val="FFFFFF"/>
                        <w:position w:val="-15"/>
                        <w:sz w:val="20"/>
                      </w:rPr>
                      <w:t>Vacancy</w:t>
                    </w:r>
                    <w:r>
                      <w:rPr>
                        <w:color w:val="FFFFFF"/>
                        <w:spacing w:val="-5"/>
                        <w:position w:val="-15"/>
                        <w:sz w:val="20"/>
                      </w:rPr>
                      <w:t> </w:t>
                    </w:r>
                    <w:r>
                      <w:rPr>
                        <w:color w:val="FFFFFF"/>
                        <w:position w:val="-15"/>
                        <w:sz w:val="20"/>
                      </w:rPr>
                      <w:t>(%)</w:t>
                      <w:tab/>
                    </w:r>
                    <w:r>
                      <w:rPr>
                        <w:color w:val="FFFFFF"/>
                        <w:sz w:val="20"/>
                      </w:rPr>
                      <w:t>Market</w:t>
                    </w:r>
                    <w:r>
                      <w:rPr>
                        <w:color w:val="FFFFFF"/>
                        <w:spacing w:val="-25"/>
                        <w:sz w:val="20"/>
                      </w:rPr>
                      <w:t> </w:t>
                    </w:r>
                    <w:r>
                      <w:rPr>
                        <w:color w:val="FFFFFF"/>
                        <w:sz w:val="20"/>
                      </w:rPr>
                      <w:t>Rental</w:t>
                    </w:r>
                    <w:r>
                      <w:rPr>
                        <w:color w:val="FFFFFF"/>
                        <w:spacing w:val="-26"/>
                        <w:sz w:val="20"/>
                      </w:rPr>
                      <w:t> </w:t>
                    </w:r>
                    <w:r>
                      <w:rPr>
                        <w:color w:val="FFFFFF"/>
                        <w:sz w:val="20"/>
                      </w:rPr>
                      <w:t>(INR</w:t>
                    </w:r>
                  </w:p>
                  <w:p>
                    <w:pPr>
                      <w:spacing w:line="193" w:lineRule="exact" w:before="0"/>
                      <w:ind w:left="1872" w:right="0" w:firstLine="0"/>
                      <w:jc w:val="left"/>
                      <w:rPr>
                        <w:sz w:val="20"/>
                      </w:rPr>
                    </w:pPr>
                    <w:r>
                      <w:rPr>
                        <w:color w:val="FFFFFF"/>
                        <w:sz w:val="20"/>
                      </w:rPr>
                      <w:t>psf pm)*</w:t>
                    </w:r>
                  </w:p>
                </w:txbxContent>
              </v:textbox>
              <w10:wrap type="none"/>
            </v:shape>
            <w10:wrap type="none"/>
          </v:group>
        </w:pict>
      </w:r>
      <w:r>
        <w:rPr/>
        <w:t>The table below highlights the prominent competing developments in the subject submarket: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40"/>
        <w:gridCol w:w="2361"/>
        <w:gridCol w:w="1501"/>
        <w:gridCol w:w="1911"/>
        <w:gridCol w:w="1872"/>
      </w:tblGrid>
      <w:tr>
        <w:trPr>
          <w:trHeight w:val="520" w:hRule="atLeast"/>
        </w:trPr>
        <w:tc>
          <w:tcPr>
            <w:tcW w:w="2840" w:type="dxa"/>
            <w:tcBorders>
              <w:top w:val="single" w:sz="6" w:space="0" w:color="69BD28"/>
              <w:bottom w:val="single" w:sz="6" w:space="0" w:color="69BD28"/>
            </w:tcBorders>
          </w:tcPr>
          <w:p>
            <w:pPr>
              <w:pStyle w:val="TableParagraph"/>
              <w:spacing w:before="134"/>
              <w:ind w:right="709"/>
              <w:jc w:val="right"/>
              <w:rPr>
                <w:sz w:val="18"/>
              </w:rPr>
            </w:pPr>
            <w:r>
              <w:rPr>
                <w:sz w:val="18"/>
              </w:rPr>
              <w:t>Development 1</w:t>
            </w:r>
          </w:p>
        </w:tc>
        <w:tc>
          <w:tcPr>
            <w:tcW w:w="2361" w:type="dxa"/>
            <w:tcBorders>
              <w:top w:val="single" w:sz="6" w:space="0" w:color="69BD28"/>
              <w:bottom w:val="single" w:sz="6" w:space="0" w:color="69BD28"/>
            </w:tcBorders>
          </w:tcPr>
          <w:p>
            <w:pPr>
              <w:pStyle w:val="TableParagraph"/>
              <w:spacing w:before="134"/>
              <w:ind w:right="658"/>
              <w:jc w:val="right"/>
              <w:rPr>
                <w:sz w:val="18"/>
              </w:rPr>
            </w:pPr>
            <w:r>
              <w:rPr>
                <w:sz w:val="18"/>
              </w:rPr>
              <w:t>Non SEZ - IT</w:t>
            </w:r>
          </w:p>
        </w:tc>
        <w:tc>
          <w:tcPr>
            <w:tcW w:w="1501" w:type="dxa"/>
            <w:tcBorders>
              <w:top w:val="single" w:sz="6" w:space="0" w:color="69BD28"/>
              <w:bottom w:val="single" w:sz="6" w:space="0" w:color="69BD28"/>
            </w:tcBorders>
          </w:tcPr>
          <w:p>
            <w:pPr>
              <w:pStyle w:val="TableParagraph"/>
              <w:spacing w:before="134"/>
              <w:ind w:right="520"/>
              <w:jc w:val="right"/>
              <w:rPr>
                <w:sz w:val="18"/>
              </w:rPr>
            </w:pPr>
            <w:r>
              <w:rPr>
                <w:sz w:val="18"/>
              </w:rPr>
              <w:t>0.9</w:t>
            </w:r>
          </w:p>
        </w:tc>
        <w:tc>
          <w:tcPr>
            <w:tcW w:w="1911" w:type="dxa"/>
            <w:tcBorders>
              <w:top w:val="single" w:sz="6" w:space="0" w:color="69BD28"/>
              <w:bottom w:val="single" w:sz="6" w:space="0" w:color="69BD28"/>
            </w:tcBorders>
          </w:tcPr>
          <w:p>
            <w:pPr>
              <w:pStyle w:val="TableParagraph"/>
              <w:spacing w:before="134"/>
              <w:ind w:left="436" w:right="230"/>
              <w:rPr>
                <w:sz w:val="18"/>
              </w:rPr>
            </w:pPr>
            <w:r>
              <w:rPr>
                <w:w w:val="115"/>
                <w:sz w:val="18"/>
              </w:rPr>
              <w:t>5.0 – 10.0%</w:t>
            </w:r>
          </w:p>
        </w:tc>
        <w:tc>
          <w:tcPr>
            <w:tcW w:w="1872" w:type="dxa"/>
            <w:tcBorders>
              <w:top w:val="single" w:sz="6" w:space="0" w:color="69BD28"/>
              <w:bottom w:val="single" w:sz="6" w:space="0" w:color="69BD28"/>
            </w:tcBorders>
          </w:tcPr>
          <w:p>
            <w:pPr>
              <w:pStyle w:val="TableParagraph"/>
              <w:spacing w:before="134"/>
              <w:ind w:left="261"/>
              <w:jc w:val="left"/>
              <w:rPr>
                <w:sz w:val="11"/>
              </w:rPr>
            </w:pPr>
            <w:r>
              <w:rPr>
                <w:w w:val="105"/>
                <w:sz w:val="18"/>
              </w:rPr>
              <w:t>100.0 - 110.0</w:t>
            </w:r>
            <w:r>
              <w:rPr>
                <w:w w:val="105"/>
                <w:position w:val="6"/>
                <w:sz w:val="11"/>
              </w:rPr>
              <w:t>#</w:t>
            </w:r>
          </w:p>
        </w:tc>
      </w:tr>
      <w:tr>
        <w:trPr>
          <w:trHeight w:val="520" w:hRule="atLeast"/>
        </w:trPr>
        <w:tc>
          <w:tcPr>
            <w:tcW w:w="2840" w:type="dxa"/>
            <w:tcBorders>
              <w:top w:val="single" w:sz="6" w:space="0" w:color="69BD28"/>
              <w:bottom w:val="single" w:sz="6" w:space="0" w:color="69BD28"/>
            </w:tcBorders>
          </w:tcPr>
          <w:p>
            <w:pPr>
              <w:pStyle w:val="TableParagraph"/>
              <w:spacing w:before="134"/>
              <w:ind w:right="705"/>
              <w:jc w:val="right"/>
              <w:rPr>
                <w:sz w:val="18"/>
              </w:rPr>
            </w:pPr>
            <w:r>
              <w:rPr>
                <w:sz w:val="18"/>
              </w:rPr>
              <w:t>Development 2</w:t>
            </w:r>
          </w:p>
        </w:tc>
        <w:tc>
          <w:tcPr>
            <w:tcW w:w="2361" w:type="dxa"/>
            <w:tcBorders>
              <w:top w:val="single" w:sz="6" w:space="0" w:color="69BD28"/>
              <w:bottom w:val="single" w:sz="6" w:space="0" w:color="69BD28"/>
            </w:tcBorders>
          </w:tcPr>
          <w:p>
            <w:pPr>
              <w:pStyle w:val="TableParagraph"/>
              <w:spacing w:before="134"/>
              <w:ind w:right="658"/>
              <w:jc w:val="right"/>
              <w:rPr>
                <w:sz w:val="18"/>
              </w:rPr>
            </w:pPr>
            <w:r>
              <w:rPr>
                <w:sz w:val="18"/>
              </w:rPr>
              <w:t>Non SEZ - IT</w:t>
            </w:r>
          </w:p>
        </w:tc>
        <w:tc>
          <w:tcPr>
            <w:tcW w:w="1501" w:type="dxa"/>
            <w:tcBorders>
              <w:top w:val="single" w:sz="6" w:space="0" w:color="69BD28"/>
              <w:bottom w:val="single" w:sz="6" w:space="0" w:color="69BD28"/>
            </w:tcBorders>
          </w:tcPr>
          <w:p>
            <w:pPr>
              <w:pStyle w:val="TableParagraph"/>
              <w:spacing w:before="134"/>
              <w:ind w:right="520"/>
              <w:jc w:val="right"/>
              <w:rPr>
                <w:sz w:val="18"/>
              </w:rPr>
            </w:pPr>
            <w:r>
              <w:rPr>
                <w:sz w:val="18"/>
              </w:rPr>
              <w:t>0.5</w:t>
            </w:r>
          </w:p>
        </w:tc>
        <w:tc>
          <w:tcPr>
            <w:tcW w:w="1911" w:type="dxa"/>
            <w:tcBorders>
              <w:top w:val="single" w:sz="6" w:space="0" w:color="69BD28"/>
              <w:bottom w:val="single" w:sz="6" w:space="0" w:color="69BD28"/>
            </w:tcBorders>
          </w:tcPr>
          <w:p>
            <w:pPr>
              <w:pStyle w:val="TableParagraph"/>
              <w:spacing w:before="134"/>
              <w:ind w:left="441" w:right="230"/>
              <w:rPr>
                <w:sz w:val="18"/>
              </w:rPr>
            </w:pPr>
            <w:r>
              <w:rPr>
                <w:w w:val="110"/>
                <w:sz w:val="18"/>
              </w:rPr>
              <w:t>20.0% - 25.0%</w:t>
            </w:r>
          </w:p>
        </w:tc>
        <w:tc>
          <w:tcPr>
            <w:tcW w:w="1872" w:type="dxa"/>
            <w:tcBorders>
              <w:top w:val="single" w:sz="6" w:space="0" w:color="69BD28"/>
              <w:bottom w:val="single" w:sz="6" w:space="0" w:color="69BD28"/>
            </w:tcBorders>
          </w:tcPr>
          <w:p>
            <w:pPr>
              <w:pStyle w:val="TableParagraph"/>
              <w:spacing w:before="134"/>
              <w:ind w:left="355"/>
              <w:jc w:val="left"/>
              <w:rPr>
                <w:sz w:val="18"/>
              </w:rPr>
            </w:pPr>
            <w:r>
              <w:rPr>
                <w:w w:val="105"/>
                <w:sz w:val="18"/>
              </w:rPr>
              <w:t>95.0 - 105.0</w:t>
            </w:r>
          </w:p>
        </w:tc>
      </w:tr>
      <w:tr>
        <w:trPr>
          <w:trHeight w:val="520" w:hRule="atLeast"/>
        </w:trPr>
        <w:tc>
          <w:tcPr>
            <w:tcW w:w="2840" w:type="dxa"/>
            <w:tcBorders>
              <w:top w:val="single" w:sz="6" w:space="0" w:color="69BD28"/>
              <w:bottom w:val="single" w:sz="6" w:space="0" w:color="69BD28"/>
            </w:tcBorders>
          </w:tcPr>
          <w:p>
            <w:pPr>
              <w:pStyle w:val="TableParagraph"/>
              <w:spacing w:before="134"/>
              <w:ind w:right="708"/>
              <w:jc w:val="right"/>
              <w:rPr>
                <w:sz w:val="18"/>
              </w:rPr>
            </w:pPr>
            <w:r>
              <w:rPr>
                <w:sz w:val="18"/>
              </w:rPr>
              <w:t>Development 3</w:t>
            </w:r>
          </w:p>
        </w:tc>
        <w:tc>
          <w:tcPr>
            <w:tcW w:w="2361" w:type="dxa"/>
            <w:tcBorders>
              <w:top w:val="single" w:sz="6" w:space="0" w:color="69BD28"/>
              <w:bottom w:val="single" w:sz="6" w:space="0" w:color="69BD28"/>
            </w:tcBorders>
          </w:tcPr>
          <w:p>
            <w:pPr>
              <w:pStyle w:val="TableParagraph"/>
              <w:spacing w:before="134"/>
              <w:ind w:right="658"/>
              <w:jc w:val="right"/>
              <w:rPr>
                <w:sz w:val="18"/>
              </w:rPr>
            </w:pPr>
            <w:r>
              <w:rPr>
                <w:sz w:val="18"/>
              </w:rPr>
              <w:t>Non SEZ - IT</w:t>
            </w:r>
          </w:p>
        </w:tc>
        <w:tc>
          <w:tcPr>
            <w:tcW w:w="1501" w:type="dxa"/>
            <w:tcBorders>
              <w:top w:val="single" w:sz="6" w:space="0" w:color="69BD28"/>
              <w:bottom w:val="single" w:sz="6" w:space="0" w:color="69BD28"/>
            </w:tcBorders>
          </w:tcPr>
          <w:p>
            <w:pPr>
              <w:pStyle w:val="TableParagraph"/>
              <w:spacing w:before="134"/>
              <w:ind w:right="520"/>
              <w:jc w:val="right"/>
              <w:rPr>
                <w:sz w:val="18"/>
              </w:rPr>
            </w:pPr>
            <w:r>
              <w:rPr>
                <w:sz w:val="18"/>
              </w:rPr>
              <w:t>0.7</w:t>
            </w:r>
          </w:p>
        </w:tc>
        <w:tc>
          <w:tcPr>
            <w:tcW w:w="1911" w:type="dxa"/>
            <w:tcBorders>
              <w:top w:val="single" w:sz="6" w:space="0" w:color="69BD28"/>
              <w:bottom w:val="single" w:sz="6" w:space="0" w:color="69BD28"/>
            </w:tcBorders>
          </w:tcPr>
          <w:p>
            <w:pPr>
              <w:pStyle w:val="TableParagraph"/>
              <w:spacing w:before="134"/>
              <w:ind w:left="441" w:right="229"/>
              <w:rPr>
                <w:sz w:val="18"/>
              </w:rPr>
            </w:pPr>
            <w:r>
              <w:rPr>
                <w:sz w:val="18"/>
              </w:rPr>
              <w:t>Minimal</w:t>
            </w:r>
          </w:p>
        </w:tc>
        <w:tc>
          <w:tcPr>
            <w:tcW w:w="1872" w:type="dxa"/>
            <w:tcBorders>
              <w:top w:val="single" w:sz="6" w:space="0" w:color="69BD28"/>
              <w:bottom w:val="single" w:sz="6" w:space="0" w:color="69BD28"/>
            </w:tcBorders>
          </w:tcPr>
          <w:p>
            <w:pPr>
              <w:pStyle w:val="TableParagraph"/>
              <w:spacing w:before="134"/>
              <w:ind w:left="290"/>
              <w:jc w:val="left"/>
              <w:rPr>
                <w:sz w:val="18"/>
              </w:rPr>
            </w:pPr>
            <w:r>
              <w:rPr>
                <w:w w:val="115"/>
                <w:sz w:val="18"/>
              </w:rPr>
              <w:t>110.0 – 120.0</w:t>
            </w:r>
          </w:p>
        </w:tc>
      </w:tr>
      <w:tr>
        <w:trPr>
          <w:trHeight w:val="520" w:hRule="atLeast"/>
        </w:trPr>
        <w:tc>
          <w:tcPr>
            <w:tcW w:w="2840" w:type="dxa"/>
            <w:tcBorders>
              <w:top w:val="single" w:sz="6" w:space="0" w:color="69BD28"/>
              <w:bottom w:val="single" w:sz="6" w:space="0" w:color="69BD28"/>
            </w:tcBorders>
          </w:tcPr>
          <w:p>
            <w:pPr>
              <w:pStyle w:val="TableParagraph"/>
              <w:spacing w:before="134"/>
              <w:ind w:right="708"/>
              <w:jc w:val="right"/>
              <w:rPr>
                <w:sz w:val="18"/>
              </w:rPr>
            </w:pPr>
            <w:r>
              <w:rPr>
                <w:sz w:val="18"/>
              </w:rPr>
              <w:t>Development 4</w:t>
            </w:r>
          </w:p>
        </w:tc>
        <w:tc>
          <w:tcPr>
            <w:tcW w:w="2361" w:type="dxa"/>
            <w:tcBorders>
              <w:top w:val="single" w:sz="6" w:space="0" w:color="69BD28"/>
              <w:bottom w:val="single" w:sz="6" w:space="0" w:color="69BD28"/>
            </w:tcBorders>
          </w:tcPr>
          <w:p>
            <w:pPr>
              <w:pStyle w:val="TableParagraph"/>
              <w:spacing w:before="134"/>
              <w:ind w:right="658"/>
              <w:jc w:val="right"/>
              <w:rPr>
                <w:sz w:val="18"/>
              </w:rPr>
            </w:pPr>
            <w:r>
              <w:rPr>
                <w:sz w:val="18"/>
              </w:rPr>
              <w:t>Non SEZ - IT</w:t>
            </w:r>
          </w:p>
        </w:tc>
        <w:tc>
          <w:tcPr>
            <w:tcW w:w="1501" w:type="dxa"/>
            <w:tcBorders>
              <w:top w:val="single" w:sz="6" w:space="0" w:color="69BD28"/>
              <w:bottom w:val="single" w:sz="6" w:space="0" w:color="69BD28"/>
            </w:tcBorders>
          </w:tcPr>
          <w:p>
            <w:pPr>
              <w:pStyle w:val="TableParagraph"/>
              <w:spacing w:before="134"/>
              <w:ind w:right="520"/>
              <w:jc w:val="right"/>
              <w:rPr>
                <w:sz w:val="18"/>
              </w:rPr>
            </w:pPr>
            <w:r>
              <w:rPr>
                <w:sz w:val="18"/>
              </w:rPr>
              <w:t>0.5</w:t>
            </w:r>
          </w:p>
        </w:tc>
        <w:tc>
          <w:tcPr>
            <w:tcW w:w="1911" w:type="dxa"/>
            <w:tcBorders>
              <w:top w:val="single" w:sz="6" w:space="0" w:color="69BD28"/>
              <w:bottom w:val="single" w:sz="6" w:space="0" w:color="69BD28"/>
            </w:tcBorders>
          </w:tcPr>
          <w:p>
            <w:pPr>
              <w:pStyle w:val="TableParagraph"/>
              <w:spacing w:before="134"/>
              <w:ind w:left="441" w:right="229"/>
              <w:rPr>
                <w:sz w:val="18"/>
              </w:rPr>
            </w:pPr>
            <w:r>
              <w:rPr>
                <w:sz w:val="18"/>
              </w:rPr>
              <w:t>Minimal</w:t>
            </w:r>
          </w:p>
        </w:tc>
        <w:tc>
          <w:tcPr>
            <w:tcW w:w="1872" w:type="dxa"/>
            <w:tcBorders>
              <w:top w:val="single" w:sz="6" w:space="0" w:color="69BD28"/>
              <w:bottom w:val="single" w:sz="6" w:space="0" w:color="69BD28"/>
            </w:tcBorders>
          </w:tcPr>
          <w:p>
            <w:pPr>
              <w:pStyle w:val="TableParagraph"/>
              <w:spacing w:before="134"/>
              <w:ind w:left="302"/>
              <w:jc w:val="left"/>
              <w:rPr>
                <w:sz w:val="18"/>
              </w:rPr>
            </w:pPr>
            <w:r>
              <w:rPr>
                <w:w w:val="105"/>
                <w:sz w:val="18"/>
              </w:rPr>
              <w:t>140.0 - 150.0</w:t>
            </w:r>
          </w:p>
        </w:tc>
      </w:tr>
      <w:tr>
        <w:trPr>
          <w:trHeight w:val="522" w:hRule="atLeast"/>
        </w:trPr>
        <w:tc>
          <w:tcPr>
            <w:tcW w:w="2840" w:type="dxa"/>
            <w:tcBorders>
              <w:top w:val="single" w:sz="6" w:space="0" w:color="69BD28"/>
              <w:bottom w:val="single" w:sz="6" w:space="0" w:color="69BD28"/>
            </w:tcBorders>
          </w:tcPr>
          <w:p>
            <w:pPr>
              <w:pStyle w:val="TableParagraph"/>
              <w:spacing w:before="134"/>
              <w:ind w:right="708"/>
              <w:jc w:val="right"/>
              <w:rPr>
                <w:sz w:val="18"/>
              </w:rPr>
            </w:pPr>
            <w:r>
              <w:rPr>
                <w:sz w:val="18"/>
              </w:rPr>
              <w:t>Development 5</w:t>
            </w:r>
          </w:p>
        </w:tc>
        <w:tc>
          <w:tcPr>
            <w:tcW w:w="2361" w:type="dxa"/>
            <w:tcBorders>
              <w:top w:val="single" w:sz="6" w:space="0" w:color="69BD28"/>
              <w:bottom w:val="single" w:sz="6" w:space="0" w:color="69BD28"/>
            </w:tcBorders>
          </w:tcPr>
          <w:p>
            <w:pPr>
              <w:pStyle w:val="TableParagraph"/>
              <w:spacing w:before="134"/>
              <w:ind w:right="658"/>
              <w:jc w:val="right"/>
              <w:rPr>
                <w:sz w:val="18"/>
              </w:rPr>
            </w:pPr>
            <w:r>
              <w:rPr>
                <w:sz w:val="18"/>
              </w:rPr>
              <w:t>Non SEZ - IT</w:t>
            </w:r>
          </w:p>
        </w:tc>
        <w:tc>
          <w:tcPr>
            <w:tcW w:w="1501" w:type="dxa"/>
            <w:tcBorders>
              <w:top w:val="single" w:sz="6" w:space="0" w:color="69BD28"/>
              <w:bottom w:val="single" w:sz="6" w:space="0" w:color="69BD28"/>
            </w:tcBorders>
          </w:tcPr>
          <w:p>
            <w:pPr>
              <w:pStyle w:val="TableParagraph"/>
              <w:spacing w:before="134"/>
              <w:ind w:right="467"/>
              <w:jc w:val="right"/>
              <w:rPr>
                <w:sz w:val="18"/>
              </w:rPr>
            </w:pPr>
            <w:r>
              <w:rPr>
                <w:w w:val="105"/>
                <w:sz w:val="18"/>
              </w:rPr>
              <w:t>0.25</w:t>
            </w:r>
          </w:p>
        </w:tc>
        <w:tc>
          <w:tcPr>
            <w:tcW w:w="1911" w:type="dxa"/>
            <w:tcBorders>
              <w:top w:val="single" w:sz="6" w:space="0" w:color="69BD28"/>
              <w:bottom w:val="single" w:sz="6" w:space="0" w:color="69BD28"/>
            </w:tcBorders>
          </w:tcPr>
          <w:p>
            <w:pPr>
              <w:pStyle w:val="TableParagraph"/>
              <w:spacing w:before="134"/>
              <w:ind w:left="441" w:right="229"/>
              <w:rPr>
                <w:sz w:val="18"/>
              </w:rPr>
            </w:pPr>
            <w:r>
              <w:rPr>
                <w:sz w:val="18"/>
              </w:rPr>
              <w:t>Minimal</w:t>
            </w:r>
          </w:p>
        </w:tc>
        <w:tc>
          <w:tcPr>
            <w:tcW w:w="1872" w:type="dxa"/>
            <w:tcBorders>
              <w:top w:val="single" w:sz="6" w:space="0" w:color="69BD28"/>
              <w:bottom w:val="single" w:sz="6" w:space="0" w:color="69BD28"/>
            </w:tcBorders>
          </w:tcPr>
          <w:p>
            <w:pPr>
              <w:pStyle w:val="TableParagraph"/>
              <w:spacing w:before="134"/>
              <w:ind w:left="302"/>
              <w:jc w:val="left"/>
              <w:rPr>
                <w:sz w:val="18"/>
              </w:rPr>
            </w:pPr>
            <w:r>
              <w:rPr>
                <w:w w:val="105"/>
                <w:sz w:val="18"/>
              </w:rPr>
              <w:t>140.0 - 150.0</w:t>
            </w:r>
          </w:p>
        </w:tc>
      </w:tr>
    </w:tbl>
    <w:p>
      <w:pPr>
        <w:spacing w:before="7"/>
        <w:ind w:left="120" w:right="0" w:firstLine="0"/>
        <w:jc w:val="left"/>
        <w:rPr>
          <w:i/>
          <w:sz w:val="16"/>
        </w:rPr>
      </w:pPr>
      <w:r>
        <w:rPr>
          <w:i/>
          <w:sz w:val="16"/>
        </w:rPr>
        <w:t>Source: CBRE Research; *Warm Shell Market Rent exclusive of CAM and Property Tax; </w:t>
      </w:r>
      <w:r>
        <w:rPr>
          <w:i/>
          <w:sz w:val="16"/>
          <w:vertAlign w:val="superscript"/>
        </w:rPr>
        <w:t>#</w:t>
      </w:r>
      <w:r>
        <w:rPr>
          <w:i/>
          <w:sz w:val="16"/>
          <w:vertAlign w:val="baseline"/>
        </w:rPr>
        <w:t>including CAM and PT</w:t>
      </w:r>
    </w:p>
    <w:p>
      <w:pPr>
        <w:pStyle w:val="BodyText"/>
        <w:rPr>
          <w:i/>
          <w:sz w:val="26"/>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16" w:id="228"/>
      <w:bookmarkEnd w:id="228"/>
      <w:r>
        <w:rPr/>
      </w:r>
      <w:bookmarkStart w:name="_bookmark116" w:id="229"/>
      <w:bookmarkEnd w:id="229"/>
      <w:r>
        <w:rPr>
          <w:color w:val="1F664D"/>
          <w:sz w:val="22"/>
        </w:rPr>
        <w:t>Le</w:t>
      </w:r>
      <w:r>
        <w:rPr>
          <w:color w:val="1F664D"/>
          <w:sz w:val="22"/>
        </w:rPr>
        <w:t>ase Rental</w:t>
      </w:r>
      <w:r>
        <w:rPr>
          <w:color w:val="1F664D"/>
          <w:spacing w:val="-6"/>
          <w:sz w:val="22"/>
        </w:rPr>
        <w:t> </w:t>
      </w:r>
      <w:r>
        <w:rPr>
          <w:color w:val="1F664D"/>
          <w:sz w:val="22"/>
        </w:rPr>
        <w:t>Analysis</w:t>
      </w:r>
    </w:p>
    <w:p>
      <w:pPr>
        <w:pStyle w:val="BodyText"/>
        <w:spacing w:line="321" w:lineRule="auto" w:before="208"/>
        <w:ind w:left="682" w:right="112"/>
        <w:jc w:val="both"/>
      </w:pPr>
      <w:r>
        <w:rPr/>
        <w:t>The current rent in submarket typically vary between INR 90.0 </w:t>
      </w:r>
      <w:r>
        <w:rPr>
          <w:w w:val="105"/>
        </w:rPr>
        <w:t>– </w:t>
      </w:r>
      <w:r>
        <w:rPr/>
        <w:t>150.0 psf pm on leasable area</w:t>
      </w:r>
      <w:r>
        <w:rPr>
          <w:spacing w:val="-41"/>
        </w:rPr>
        <w:t> </w:t>
      </w:r>
      <w:r>
        <w:rPr/>
        <w:t>basis depending</w:t>
      </w:r>
      <w:r>
        <w:rPr>
          <w:spacing w:val="-36"/>
        </w:rPr>
        <w:t> </w:t>
      </w:r>
      <w:r>
        <w:rPr/>
        <w:t>upon</w:t>
      </w:r>
      <w:r>
        <w:rPr>
          <w:spacing w:val="-36"/>
        </w:rPr>
        <w:t> </w:t>
      </w:r>
      <w:r>
        <w:rPr/>
        <w:t>specifications</w:t>
      </w:r>
      <w:r>
        <w:rPr>
          <w:spacing w:val="-36"/>
        </w:rPr>
        <w:t> </w:t>
      </w:r>
      <w:r>
        <w:rPr/>
        <w:t>offered,</w:t>
      </w:r>
      <w:r>
        <w:rPr>
          <w:spacing w:val="-36"/>
        </w:rPr>
        <w:t> </w:t>
      </w:r>
      <w:r>
        <w:rPr/>
        <w:t>location</w:t>
      </w:r>
      <w:r>
        <w:rPr>
          <w:spacing w:val="-36"/>
        </w:rPr>
        <w:t> </w:t>
      </w:r>
      <w:r>
        <w:rPr/>
        <w:t>and</w:t>
      </w:r>
      <w:r>
        <w:rPr>
          <w:spacing w:val="-35"/>
        </w:rPr>
        <w:t> </w:t>
      </w:r>
      <w:r>
        <w:rPr/>
        <w:t>accessibility</w:t>
      </w:r>
      <w:r>
        <w:rPr>
          <w:spacing w:val="-36"/>
        </w:rPr>
        <w:t> </w:t>
      </w:r>
      <w:r>
        <w:rPr/>
        <w:t>of</w:t>
      </w:r>
      <w:r>
        <w:rPr>
          <w:spacing w:val="-35"/>
        </w:rPr>
        <w:t> </w:t>
      </w:r>
      <w:r>
        <w:rPr/>
        <w:t>the</w:t>
      </w:r>
      <w:r>
        <w:rPr>
          <w:spacing w:val="-36"/>
        </w:rPr>
        <w:t> </w:t>
      </w:r>
      <w:r>
        <w:rPr/>
        <w:t>development</w:t>
      </w:r>
      <w:r>
        <w:rPr>
          <w:spacing w:val="-36"/>
        </w:rPr>
        <w:t> </w:t>
      </w:r>
      <w:r>
        <w:rPr/>
        <w:t>(viz.</w:t>
      </w:r>
      <w:r>
        <w:rPr>
          <w:spacing w:val="-36"/>
        </w:rPr>
        <w:t> </w:t>
      </w:r>
      <w:r>
        <w:rPr/>
        <w:t>along/off</w:t>
      </w:r>
      <w:r>
        <w:rPr>
          <w:spacing w:val="-37"/>
        </w:rPr>
        <w:t> </w:t>
      </w:r>
      <w:r>
        <w:rPr/>
        <w:t>the main</w:t>
      </w:r>
      <w:r>
        <w:rPr>
          <w:spacing w:val="-22"/>
        </w:rPr>
        <w:t> </w:t>
      </w:r>
      <w:r>
        <w:rPr/>
        <w:t>arterial</w:t>
      </w:r>
      <w:r>
        <w:rPr>
          <w:spacing w:val="-19"/>
        </w:rPr>
        <w:t> </w:t>
      </w:r>
      <w:r>
        <w:rPr/>
        <w:t>roads),</w:t>
      </w:r>
      <w:r>
        <w:rPr>
          <w:spacing w:val="-21"/>
        </w:rPr>
        <w:t> </w:t>
      </w:r>
      <w:r>
        <w:rPr/>
        <w:t>quality</w:t>
      </w:r>
      <w:r>
        <w:rPr>
          <w:spacing w:val="-19"/>
        </w:rPr>
        <w:t> </w:t>
      </w:r>
      <w:r>
        <w:rPr/>
        <w:t>of</w:t>
      </w:r>
      <w:r>
        <w:rPr>
          <w:spacing w:val="-20"/>
        </w:rPr>
        <w:t> </w:t>
      </w:r>
      <w:r>
        <w:rPr/>
        <w:t>construction,</w:t>
      </w:r>
      <w:r>
        <w:rPr>
          <w:spacing w:val="-21"/>
        </w:rPr>
        <w:t> </w:t>
      </w:r>
      <w:r>
        <w:rPr/>
        <w:t>developer</w:t>
      </w:r>
      <w:r>
        <w:rPr>
          <w:spacing w:val="-21"/>
        </w:rPr>
        <w:t> </w:t>
      </w:r>
      <w:r>
        <w:rPr/>
        <w:t>brand,</w:t>
      </w:r>
      <w:r>
        <w:rPr>
          <w:spacing w:val="-20"/>
        </w:rPr>
        <w:t> </w:t>
      </w:r>
      <w:r>
        <w:rPr/>
        <w:t>amenities</w:t>
      </w:r>
      <w:r>
        <w:rPr>
          <w:spacing w:val="-20"/>
        </w:rPr>
        <w:t> </w:t>
      </w:r>
      <w:r>
        <w:rPr/>
        <w:t>offered,</w:t>
      </w:r>
      <w:r>
        <w:rPr>
          <w:spacing w:val="-21"/>
        </w:rPr>
        <w:t> </w:t>
      </w:r>
      <w:r>
        <w:rPr/>
        <w:t>etc.</w:t>
      </w:r>
      <w:r>
        <w:rPr>
          <w:spacing w:val="-20"/>
        </w:rPr>
        <w:t> </w:t>
      </w:r>
      <w:r>
        <w:rPr/>
        <w:t>In</w:t>
      </w:r>
      <w:r>
        <w:rPr>
          <w:spacing w:val="-21"/>
        </w:rPr>
        <w:t> </w:t>
      </w:r>
      <w:r>
        <w:rPr/>
        <w:t>addition,</w:t>
      </w:r>
      <w:r>
        <w:rPr>
          <w:spacing w:val="-21"/>
        </w:rPr>
        <w:t> </w:t>
      </w:r>
      <w:r>
        <w:rPr/>
        <w:t>the maintenance</w:t>
      </w:r>
      <w:r>
        <w:rPr>
          <w:spacing w:val="-9"/>
        </w:rPr>
        <w:t> </w:t>
      </w:r>
      <w:r>
        <w:rPr/>
        <w:t>charge</w:t>
      </w:r>
      <w:r>
        <w:rPr>
          <w:spacing w:val="-9"/>
        </w:rPr>
        <w:t> </w:t>
      </w:r>
      <w:r>
        <w:rPr/>
        <w:t>for</w:t>
      </w:r>
      <w:r>
        <w:rPr>
          <w:spacing w:val="-8"/>
        </w:rPr>
        <w:t> </w:t>
      </w:r>
      <w:r>
        <w:rPr/>
        <w:t>these</w:t>
      </w:r>
      <w:r>
        <w:rPr>
          <w:spacing w:val="-9"/>
        </w:rPr>
        <w:t> </w:t>
      </w:r>
      <w:r>
        <w:rPr/>
        <w:t>developments</w:t>
      </w:r>
      <w:r>
        <w:rPr>
          <w:spacing w:val="-7"/>
        </w:rPr>
        <w:t> </w:t>
      </w:r>
      <w:r>
        <w:rPr/>
        <w:t>varies</w:t>
      </w:r>
      <w:r>
        <w:rPr>
          <w:spacing w:val="-7"/>
        </w:rPr>
        <w:t> </w:t>
      </w:r>
      <w:r>
        <w:rPr/>
        <w:t>in</w:t>
      </w:r>
      <w:r>
        <w:rPr>
          <w:spacing w:val="-9"/>
        </w:rPr>
        <w:t> </w:t>
      </w:r>
      <w:r>
        <w:rPr/>
        <w:t>the</w:t>
      </w:r>
      <w:r>
        <w:rPr>
          <w:spacing w:val="-11"/>
        </w:rPr>
        <w:t> </w:t>
      </w:r>
      <w:r>
        <w:rPr/>
        <w:t>range</w:t>
      </w:r>
      <w:r>
        <w:rPr>
          <w:spacing w:val="-8"/>
        </w:rPr>
        <w:t> </w:t>
      </w:r>
      <w:r>
        <w:rPr/>
        <w:t>of</w:t>
      </w:r>
      <w:r>
        <w:rPr>
          <w:spacing w:val="-8"/>
        </w:rPr>
        <w:t> </w:t>
      </w:r>
      <w:r>
        <w:rPr/>
        <w:t>INR</w:t>
      </w:r>
      <w:r>
        <w:rPr>
          <w:spacing w:val="-11"/>
        </w:rPr>
        <w:t> </w:t>
      </w:r>
      <w:r>
        <w:rPr/>
        <w:t>8.0</w:t>
      </w:r>
      <w:r>
        <w:rPr>
          <w:spacing w:val="-4"/>
        </w:rPr>
        <w:t> </w:t>
      </w:r>
      <w:r>
        <w:rPr>
          <w:w w:val="105"/>
        </w:rPr>
        <w:t>–</w:t>
      </w:r>
      <w:r>
        <w:rPr>
          <w:spacing w:val="-11"/>
          <w:w w:val="105"/>
        </w:rPr>
        <w:t> </w:t>
      </w:r>
      <w:r>
        <w:rPr/>
        <w:t>13.0</w:t>
      </w:r>
      <w:r>
        <w:rPr>
          <w:spacing w:val="-11"/>
        </w:rPr>
        <w:t> </w:t>
      </w:r>
      <w:r>
        <w:rPr/>
        <w:t>psf</w:t>
      </w:r>
      <w:r>
        <w:rPr>
          <w:spacing w:val="-10"/>
        </w:rPr>
        <w:t> </w:t>
      </w:r>
      <w:r>
        <w:rPr/>
        <w:t>pm.</w:t>
      </w:r>
      <w:r>
        <w:rPr>
          <w:spacing w:val="-10"/>
        </w:rPr>
        <w:t> </w:t>
      </w:r>
      <w:r>
        <w:rPr/>
        <w:t>The</w:t>
      </w:r>
      <w:r>
        <w:rPr>
          <w:spacing w:val="-11"/>
        </w:rPr>
        <w:t> </w:t>
      </w:r>
      <w:r>
        <w:rPr/>
        <w:t>parking charges in such developments range between INR 5,000 </w:t>
      </w:r>
      <w:r>
        <w:rPr>
          <w:w w:val="105"/>
        </w:rPr>
        <w:t>– </w:t>
      </w:r>
      <w:r>
        <w:rPr/>
        <w:t>8,500 per bay per month for covered car parks.</w:t>
      </w:r>
    </w:p>
    <w:p>
      <w:pPr>
        <w:pStyle w:val="BodyText"/>
        <w:spacing w:line="321" w:lineRule="auto" w:before="123"/>
        <w:ind w:left="682" w:right="115"/>
        <w:jc w:val="both"/>
      </w:pPr>
      <w:r>
        <w:rPr/>
        <w:t>Based</w:t>
      </w:r>
      <w:r>
        <w:rPr>
          <w:spacing w:val="-27"/>
        </w:rPr>
        <w:t> </w:t>
      </w:r>
      <w:r>
        <w:rPr/>
        <w:t>on</w:t>
      </w:r>
      <w:r>
        <w:rPr>
          <w:spacing w:val="-26"/>
        </w:rPr>
        <w:t> </w:t>
      </w:r>
      <w:r>
        <w:rPr/>
        <w:t>our</w:t>
      </w:r>
      <w:r>
        <w:rPr>
          <w:spacing w:val="-26"/>
        </w:rPr>
        <w:t> </w:t>
      </w:r>
      <w:r>
        <w:rPr/>
        <w:t>market</w:t>
      </w:r>
      <w:r>
        <w:rPr>
          <w:spacing w:val="-25"/>
        </w:rPr>
        <w:t> </w:t>
      </w:r>
      <w:r>
        <w:rPr/>
        <w:t>research,</w:t>
      </w:r>
      <w:r>
        <w:rPr>
          <w:spacing w:val="-26"/>
        </w:rPr>
        <w:t> </w:t>
      </w:r>
      <w:r>
        <w:rPr/>
        <w:t>we</w:t>
      </w:r>
      <w:r>
        <w:rPr>
          <w:spacing w:val="-27"/>
        </w:rPr>
        <w:t> </w:t>
      </w:r>
      <w:r>
        <w:rPr/>
        <w:t>understand</w:t>
      </w:r>
      <w:r>
        <w:rPr>
          <w:spacing w:val="-22"/>
        </w:rPr>
        <w:t> </w:t>
      </w:r>
      <w:r>
        <w:rPr/>
        <w:t>that</w:t>
      </w:r>
      <w:r>
        <w:rPr>
          <w:spacing w:val="-25"/>
        </w:rPr>
        <w:t> </w:t>
      </w:r>
      <w:r>
        <w:rPr/>
        <w:t>the</w:t>
      </w:r>
      <w:r>
        <w:rPr>
          <w:spacing w:val="-26"/>
        </w:rPr>
        <w:t> </w:t>
      </w:r>
      <w:r>
        <w:rPr/>
        <w:t>rentals</w:t>
      </w:r>
      <w:r>
        <w:rPr>
          <w:spacing w:val="-26"/>
        </w:rPr>
        <w:t> </w:t>
      </w:r>
      <w:r>
        <w:rPr/>
        <w:t>in</w:t>
      </w:r>
      <w:r>
        <w:rPr>
          <w:spacing w:val="-28"/>
        </w:rPr>
        <w:t> </w:t>
      </w:r>
      <w:r>
        <w:rPr/>
        <w:t>the</w:t>
      </w:r>
      <w:r>
        <w:rPr>
          <w:spacing w:val="-26"/>
        </w:rPr>
        <w:t> </w:t>
      </w:r>
      <w:r>
        <w:rPr/>
        <w:t>subject</w:t>
      </w:r>
      <w:r>
        <w:rPr>
          <w:spacing w:val="-25"/>
        </w:rPr>
        <w:t> </w:t>
      </w:r>
      <w:r>
        <w:rPr/>
        <w:t>submarket</w:t>
      </w:r>
      <w:r>
        <w:rPr>
          <w:spacing w:val="-25"/>
        </w:rPr>
        <w:t> </w:t>
      </w:r>
      <w:r>
        <w:rPr/>
        <w:t>have</w:t>
      </w:r>
      <w:r>
        <w:rPr>
          <w:spacing w:val="-26"/>
        </w:rPr>
        <w:t> </w:t>
      </w:r>
      <w:r>
        <w:rPr/>
        <w:t>witnessed minimal</w:t>
      </w:r>
      <w:r>
        <w:rPr>
          <w:spacing w:val="-22"/>
        </w:rPr>
        <w:t> </w:t>
      </w:r>
      <w:r>
        <w:rPr/>
        <w:t>appreciation</w:t>
      </w:r>
      <w:r>
        <w:rPr>
          <w:spacing w:val="-21"/>
        </w:rPr>
        <w:t> </w:t>
      </w:r>
      <w:r>
        <w:rPr/>
        <w:t>in</w:t>
      </w:r>
      <w:r>
        <w:rPr>
          <w:spacing w:val="-20"/>
        </w:rPr>
        <w:t> </w:t>
      </w:r>
      <w:r>
        <w:rPr/>
        <w:t>between</w:t>
      </w:r>
      <w:r>
        <w:rPr>
          <w:spacing w:val="-21"/>
        </w:rPr>
        <w:t> </w:t>
      </w:r>
      <w:r>
        <w:rPr/>
        <w:t>2014</w:t>
      </w:r>
      <w:r>
        <w:rPr>
          <w:spacing w:val="-22"/>
        </w:rPr>
        <w:t> </w:t>
      </w:r>
      <w:r>
        <w:rPr/>
        <w:t>&amp;</w:t>
      </w:r>
      <w:r>
        <w:rPr>
          <w:spacing w:val="-20"/>
        </w:rPr>
        <w:t> </w:t>
      </w:r>
      <w:r>
        <w:rPr/>
        <w:t>2019.</w:t>
      </w:r>
      <w:r>
        <w:rPr>
          <w:spacing w:val="-20"/>
        </w:rPr>
        <w:t> </w:t>
      </w:r>
      <w:r>
        <w:rPr/>
        <w:t>Although</w:t>
      </w:r>
      <w:r>
        <w:rPr>
          <w:spacing w:val="-22"/>
        </w:rPr>
        <w:t> </w:t>
      </w:r>
      <w:r>
        <w:rPr/>
        <w:t>the</w:t>
      </w:r>
      <w:r>
        <w:rPr>
          <w:spacing w:val="-20"/>
        </w:rPr>
        <w:t> </w:t>
      </w:r>
      <w:r>
        <w:rPr/>
        <w:t>existing</w:t>
      </w:r>
      <w:r>
        <w:rPr>
          <w:spacing w:val="-21"/>
        </w:rPr>
        <w:t> </w:t>
      </w:r>
      <w:r>
        <w:rPr/>
        <w:t>developments</w:t>
      </w:r>
      <w:r>
        <w:rPr>
          <w:spacing w:val="-20"/>
        </w:rPr>
        <w:t> </w:t>
      </w:r>
      <w:r>
        <w:rPr/>
        <w:t>in</w:t>
      </w:r>
      <w:r>
        <w:rPr>
          <w:spacing w:val="-22"/>
        </w:rPr>
        <w:t> </w:t>
      </w:r>
      <w:r>
        <w:rPr/>
        <w:t>the</w:t>
      </w:r>
      <w:r>
        <w:rPr>
          <w:spacing w:val="-20"/>
        </w:rPr>
        <w:t> </w:t>
      </w:r>
      <w:r>
        <w:rPr/>
        <w:t>market</w:t>
      </w:r>
      <w:r>
        <w:rPr>
          <w:spacing w:val="-21"/>
        </w:rPr>
        <w:t> </w:t>
      </w:r>
      <w:r>
        <w:rPr/>
        <w:t>have seen a moderate rent growth of 1.7% p.a. between 2014 and 2019, limited IT supply in the market should</w:t>
      </w:r>
      <w:r>
        <w:rPr>
          <w:spacing w:val="-14"/>
        </w:rPr>
        <w:t> </w:t>
      </w:r>
      <w:r>
        <w:rPr/>
        <w:t>support</w:t>
      </w:r>
      <w:r>
        <w:rPr>
          <w:spacing w:val="-13"/>
        </w:rPr>
        <w:t> </w:t>
      </w:r>
      <w:r>
        <w:rPr/>
        <w:t>rental</w:t>
      </w:r>
      <w:r>
        <w:rPr>
          <w:spacing w:val="-14"/>
        </w:rPr>
        <w:t> </w:t>
      </w:r>
      <w:r>
        <w:rPr/>
        <w:t>growth</w:t>
      </w:r>
      <w:r>
        <w:rPr>
          <w:spacing w:val="-13"/>
        </w:rPr>
        <w:t> </w:t>
      </w:r>
      <w:r>
        <w:rPr/>
        <w:t>in</w:t>
      </w:r>
      <w:r>
        <w:rPr>
          <w:spacing w:val="-14"/>
        </w:rPr>
        <w:t> </w:t>
      </w:r>
      <w:r>
        <w:rPr/>
        <w:t>the</w:t>
      </w:r>
      <w:r>
        <w:rPr>
          <w:spacing w:val="-14"/>
        </w:rPr>
        <w:t> </w:t>
      </w:r>
      <w:r>
        <w:rPr/>
        <w:t>future</w:t>
      </w:r>
      <w:r>
        <w:rPr>
          <w:spacing w:val="-13"/>
        </w:rPr>
        <w:t> </w:t>
      </w:r>
      <w:r>
        <w:rPr/>
        <w:t>for</w:t>
      </w:r>
      <w:r>
        <w:rPr>
          <w:spacing w:val="-14"/>
        </w:rPr>
        <w:t> </w:t>
      </w:r>
      <w:r>
        <w:rPr/>
        <w:t>the</w:t>
      </w:r>
      <w:r>
        <w:rPr>
          <w:spacing w:val="-14"/>
        </w:rPr>
        <w:t> </w:t>
      </w:r>
      <w:r>
        <w:rPr/>
        <w:t>technology</w:t>
      </w:r>
      <w:r>
        <w:rPr>
          <w:spacing w:val="-12"/>
        </w:rPr>
        <w:t> </w:t>
      </w:r>
      <w:r>
        <w:rPr/>
        <w:t>buildings</w:t>
      </w:r>
      <w:r>
        <w:rPr>
          <w:spacing w:val="-13"/>
        </w:rPr>
        <w:t> </w:t>
      </w:r>
      <w:r>
        <w:rPr/>
        <w:t>in</w:t>
      </w:r>
      <w:r>
        <w:rPr>
          <w:spacing w:val="-14"/>
        </w:rPr>
        <w:t> </w:t>
      </w:r>
      <w:r>
        <w:rPr/>
        <w:t>the</w:t>
      </w:r>
      <w:r>
        <w:rPr>
          <w:spacing w:val="-13"/>
        </w:rPr>
        <w:t> </w:t>
      </w:r>
      <w:r>
        <w:rPr/>
        <w:t>submarket.</w:t>
      </w:r>
    </w:p>
    <w:p>
      <w:pPr>
        <w:pStyle w:val="BodyText"/>
        <w:rPr>
          <w:sz w:val="21"/>
        </w:rPr>
      </w:pPr>
    </w:p>
    <w:p>
      <w:pPr>
        <w:pStyle w:val="BodyText"/>
        <w:spacing w:line="324" w:lineRule="auto"/>
        <w:ind w:left="682" w:right="115"/>
        <w:jc w:val="both"/>
      </w:pPr>
      <w:r>
        <w:rPr/>
        <w:t>The</w:t>
      </w:r>
      <w:r>
        <w:rPr>
          <w:spacing w:val="-25"/>
        </w:rPr>
        <w:t> </w:t>
      </w:r>
      <w:r>
        <w:rPr/>
        <w:t>table</w:t>
      </w:r>
      <w:r>
        <w:rPr>
          <w:spacing w:val="-24"/>
        </w:rPr>
        <w:t> </w:t>
      </w:r>
      <w:r>
        <w:rPr/>
        <w:t>below</w:t>
      </w:r>
      <w:r>
        <w:rPr>
          <w:spacing w:val="-23"/>
        </w:rPr>
        <w:t> </w:t>
      </w:r>
      <w:r>
        <w:rPr/>
        <w:t>highlights</w:t>
      </w:r>
      <w:r>
        <w:rPr>
          <w:spacing w:val="-23"/>
        </w:rPr>
        <w:t> </w:t>
      </w:r>
      <w:r>
        <w:rPr/>
        <w:t>some</w:t>
      </w:r>
      <w:r>
        <w:rPr>
          <w:spacing w:val="-24"/>
        </w:rPr>
        <w:t> </w:t>
      </w:r>
      <w:r>
        <w:rPr/>
        <w:t>of</w:t>
      </w:r>
      <w:r>
        <w:rPr>
          <w:spacing w:val="-25"/>
        </w:rPr>
        <w:t> </w:t>
      </w:r>
      <w:r>
        <w:rPr/>
        <w:t>the</w:t>
      </w:r>
      <w:r>
        <w:rPr>
          <w:spacing w:val="-24"/>
        </w:rPr>
        <w:t> </w:t>
      </w:r>
      <w:r>
        <w:rPr/>
        <w:t>recent</w:t>
      </w:r>
      <w:r>
        <w:rPr>
          <w:spacing w:val="-23"/>
        </w:rPr>
        <w:t> </w:t>
      </w:r>
      <w:r>
        <w:rPr/>
        <w:t>transacted</w:t>
      </w:r>
      <w:r>
        <w:rPr>
          <w:spacing w:val="-23"/>
        </w:rPr>
        <w:t> </w:t>
      </w:r>
      <w:r>
        <w:rPr/>
        <w:t>rental</w:t>
      </w:r>
      <w:r>
        <w:rPr>
          <w:spacing w:val="-24"/>
        </w:rPr>
        <w:t> </w:t>
      </w:r>
      <w:r>
        <w:rPr/>
        <w:t>values</w:t>
      </w:r>
      <w:r>
        <w:rPr>
          <w:spacing w:val="-23"/>
        </w:rPr>
        <w:t> </w:t>
      </w:r>
      <w:r>
        <w:rPr/>
        <w:t>for</w:t>
      </w:r>
      <w:r>
        <w:rPr>
          <w:spacing w:val="-21"/>
        </w:rPr>
        <w:t> </w:t>
      </w:r>
      <w:r>
        <w:rPr/>
        <w:t>IT/ITeS</w:t>
      </w:r>
      <w:r>
        <w:rPr>
          <w:spacing w:val="-23"/>
        </w:rPr>
        <w:t> </w:t>
      </w:r>
      <w:r>
        <w:rPr/>
        <w:t>developments</w:t>
      </w:r>
      <w:r>
        <w:rPr>
          <w:spacing w:val="-23"/>
        </w:rPr>
        <w:t> </w:t>
      </w:r>
      <w:r>
        <w:rPr/>
        <w:t>in</w:t>
      </w:r>
      <w:r>
        <w:rPr>
          <w:spacing w:val="-25"/>
        </w:rPr>
        <w:t> </w:t>
      </w:r>
      <w:r>
        <w:rPr/>
        <w:t>the influence region of the subject</w:t>
      </w:r>
      <w:r>
        <w:rPr>
          <w:spacing w:val="-22"/>
        </w:rPr>
        <w:t> </w:t>
      </w:r>
      <w:r>
        <w:rPr/>
        <w:t>property:</w:t>
      </w:r>
    </w:p>
    <w:p>
      <w:pPr>
        <w:pStyle w:val="BodyText"/>
        <w:spacing w:before="3"/>
        <w:rPr>
          <w:sz w:val="21"/>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03"/>
        <w:gridCol w:w="1665"/>
        <w:gridCol w:w="1967"/>
        <w:gridCol w:w="4550"/>
      </w:tblGrid>
      <w:tr>
        <w:trPr>
          <w:trHeight w:val="311" w:hRule="atLeast"/>
        </w:trPr>
        <w:tc>
          <w:tcPr>
            <w:tcW w:w="2303" w:type="dxa"/>
            <w:tcBorders>
              <w:top w:val="single" w:sz="12" w:space="0" w:color="1F6B16"/>
              <w:bottom w:val="single" w:sz="6" w:space="0" w:color="69BD28"/>
            </w:tcBorders>
            <w:shd w:val="clear" w:color="auto" w:fill="006A4D"/>
          </w:tcPr>
          <w:p>
            <w:pPr>
              <w:pStyle w:val="TableParagraph"/>
              <w:spacing w:before="3"/>
              <w:ind w:left="218" w:right="280"/>
              <w:rPr>
                <w:sz w:val="20"/>
              </w:rPr>
            </w:pPr>
            <w:r>
              <w:rPr>
                <w:color w:val="FFFFFF"/>
                <w:sz w:val="20"/>
              </w:rPr>
              <w:t>Date of Transaction</w:t>
            </w:r>
          </w:p>
        </w:tc>
        <w:tc>
          <w:tcPr>
            <w:tcW w:w="1665" w:type="dxa"/>
            <w:tcBorders>
              <w:top w:val="single" w:sz="12" w:space="0" w:color="1F6B16"/>
              <w:bottom w:val="single" w:sz="6" w:space="0" w:color="69BD28"/>
            </w:tcBorders>
            <w:shd w:val="clear" w:color="auto" w:fill="006A4D"/>
          </w:tcPr>
          <w:p>
            <w:pPr>
              <w:pStyle w:val="TableParagraph"/>
              <w:spacing w:before="3"/>
              <w:ind w:right="608"/>
              <w:jc w:val="right"/>
              <w:rPr>
                <w:sz w:val="20"/>
              </w:rPr>
            </w:pPr>
            <w:r>
              <w:rPr>
                <w:color w:val="FFFFFF"/>
                <w:w w:val="95"/>
                <w:sz w:val="20"/>
              </w:rPr>
              <w:t>Area (sf)</w:t>
            </w:r>
          </w:p>
        </w:tc>
        <w:tc>
          <w:tcPr>
            <w:tcW w:w="1967" w:type="dxa"/>
            <w:tcBorders>
              <w:top w:val="single" w:sz="12" w:space="0" w:color="1F6B16"/>
              <w:bottom w:val="single" w:sz="6" w:space="0" w:color="69BD28"/>
            </w:tcBorders>
            <w:shd w:val="clear" w:color="auto" w:fill="006A4D"/>
          </w:tcPr>
          <w:p>
            <w:pPr>
              <w:pStyle w:val="TableParagraph"/>
              <w:spacing w:before="3"/>
              <w:ind w:left="82" w:right="180"/>
              <w:rPr>
                <w:sz w:val="20"/>
              </w:rPr>
            </w:pPr>
            <w:r>
              <w:rPr>
                <w:color w:val="FFFFFF"/>
                <w:sz w:val="20"/>
              </w:rPr>
              <w:t>Tenant</w:t>
            </w:r>
          </w:p>
        </w:tc>
        <w:tc>
          <w:tcPr>
            <w:tcW w:w="4550" w:type="dxa"/>
            <w:tcBorders>
              <w:top w:val="single" w:sz="12" w:space="0" w:color="1F6B16"/>
              <w:bottom w:val="single" w:sz="6" w:space="0" w:color="69BD28"/>
            </w:tcBorders>
            <w:shd w:val="clear" w:color="auto" w:fill="006A4D"/>
          </w:tcPr>
          <w:p>
            <w:pPr>
              <w:pStyle w:val="TableParagraph"/>
              <w:spacing w:before="3"/>
              <w:ind w:left="588" w:right="485"/>
              <w:rPr>
                <w:sz w:val="20"/>
              </w:rPr>
            </w:pPr>
            <w:r>
              <w:rPr>
                <w:color w:val="FFFFFF"/>
                <w:sz w:val="20"/>
              </w:rPr>
              <w:t>Transacted Rental Value (INR psf pm)*</w:t>
            </w:r>
          </w:p>
        </w:tc>
      </w:tr>
      <w:tr>
        <w:trPr>
          <w:trHeight w:val="309" w:hRule="atLeast"/>
        </w:trPr>
        <w:tc>
          <w:tcPr>
            <w:tcW w:w="2303" w:type="dxa"/>
            <w:tcBorders>
              <w:top w:val="single" w:sz="6" w:space="0" w:color="69BD28"/>
              <w:bottom w:val="single" w:sz="6" w:space="0" w:color="69BD28"/>
            </w:tcBorders>
          </w:tcPr>
          <w:p>
            <w:pPr>
              <w:pStyle w:val="TableParagraph"/>
              <w:spacing w:before="44"/>
              <w:ind w:left="218" w:right="280"/>
              <w:rPr>
                <w:sz w:val="18"/>
              </w:rPr>
            </w:pPr>
            <w:r>
              <w:rPr>
                <w:w w:val="110"/>
                <w:sz w:val="18"/>
              </w:rPr>
              <w:t>Q3, 2019</w:t>
            </w:r>
          </w:p>
        </w:tc>
        <w:tc>
          <w:tcPr>
            <w:tcW w:w="1665" w:type="dxa"/>
            <w:tcBorders>
              <w:top w:val="single" w:sz="6" w:space="0" w:color="69BD28"/>
              <w:bottom w:val="single" w:sz="6" w:space="0" w:color="69BD28"/>
            </w:tcBorders>
          </w:tcPr>
          <w:p>
            <w:pPr>
              <w:pStyle w:val="TableParagraph"/>
              <w:spacing w:before="44"/>
              <w:ind w:right="659"/>
              <w:jc w:val="right"/>
              <w:rPr>
                <w:sz w:val="18"/>
              </w:rPr>
            </w:pPr>
            <w:r>
              <w:rPr>
                <w:w w:val="105"/>
                <w:sz w:val="18"/>
              </w:rPr>
              <w:t>50,000</w:t>
            </w:r>
          </w:p>
        </w:tc>
        <w:tc>
          <w:tcPr>
            <w:tcW w:w="1967" w:type="dxa"/>
            <w:tcBorders>
              <w:top w:val="single" w:sz="6" w:space="0" w:color="69BD28"/>
              <w:bottom w:val="single" w:sz="6" w:space="0" w:color="69BD28"/>
            </w:tcBorders>
          </w:tcPr>
          <w:p>
            <w:pPr>
              <w:pStyle w:val="TableParagraph"/>
              <w:spacing w:before="44"/>
              <w:ind w:left="82" w:right="133"/>
              <w:rPr>
                <w:sz w:val="18"/>
              </w:rPr>
            </w:pPr>
            <w:r>
              <w:rPr>
                <w:sz w:val="18"/>
              </w:rPr>
              <w:t>Tenant 1</w:t>
            </w:r>
          </w:p>
        </w:tc>
        <w:tc>
          <w:tcPr>
            <w:tcW w:w="4550" w:type="dxa"/>
            <w:tcBorders>
              <w:top w:val="single" w:sz="6" w:space="0" w:color="69BD28"/>
              <w:bottom w:val="single" w:sz="6" w:space="0" w:color="69BD28"/>
            </w:tcBorders>
          </w:tcPr>
          <w:p>
            <w:pPr>
              <w:pStyle w:val="TableParagraph"/>
              <w:spacing w:before="44"/>
              <w:ind w:left="588" w:right="484"/>
              <w:rPr>
                <w:sz w:val="18"/>
              </w:rPr>
            </w:pPr>
            <w:r>
              <w:rPr>
                <w:w w:val="110"/>
                <w:sz w:val="18"/>
              </w:rPr>
              <w:t>93.0 – 97.0 (BS)</w:t>
            </w:r>
          </w:p>
        </w:tc>
      </w:tr>
      <w:tr>
        <w:trPr>
          <w:trHeight w:val="309" w:hRule="atLeast"/>
        </w:trPr>
        <w:tc>
          <w:tcPr>
            <w:tcW w:w="2303" w:type="dxa"/>
            <w:tcBorders>
              <w:top w:val="single" w:sz="6" w:space="0" w:color="69BD28"/>
              <w:bottom w:val="single" w:sz="6" w:space="0" w:color="69BD28"/>
            </w:tcBorders>
          </w:tcPr>
          <w:p>
            <w:pPr>
              <w:pStyle w:val="TableParagraph"/>
              <w:spacing w:before="44"/>
              <w:ind w:left="218" w:right="280"/>
              <w:rPr>
                <w:sz w:val="18"/>
              </w:rPr>
            </w:pPr>
            <w:r>
              <w:rPr>
                <w:w w:val="110"/>
                <w:sz w:val="18"/>
              </w:rPr>
              <w:t>Q2, 2019</w:t>
            </w:r>
          </w:p>
        </w:tc>
        <w:tc>
          <w:tcPr>
            <w:tcW w:w="1665" w:type="dxa"/>
            <w:tcBorders>
              <w:top w:val="single" w:sz="6" w:space="0" w:color="69BD28"/>
              <w:bottom w:val="single" w:sz="6" w:space="0" w:color="69BD28"/>
            </w:tcBorders>
          </w:tcPr>
          <w:p>
            <w:pPr>
              <w:pStyle w:val="TableParagraph"/>
              <w:spacing w:before="44"/>
              <w:ind w:right="659"/>
              <w:jc w:val="right"/>
              <w:rPr>
                <w:sz w:val="18"/>
              </w:rPr>
            </w:pPr>
            <w:r>
              <w:rPr>
                <w:w w:val="105"/>
                <w:sz w:val="18"/>
              </w:rPr>
              <w:t>50,000</w:t>
            </w:r>
          </w:p>
        </w:tc>
        <w:tc>
          <w:tcPr>
            <w:tcW w:w="1967" w:type="dxa"/>
            <w:tcBorders>
              <w:top w:val="single" w:sz="6" w:space="0" w:color="69BD28"/>
              <w:bottom w:val="single" w:sz="6" w:space="0" w:color="69BD28"/>
            </w:tcBorders>
          </w:tcPr>
          <w:p>
            <w:pPr>
              <w:pStyle w:val="TableParagraph"/>
              <w:spacing w:before="44"/>
              <w:ind w:left="82" w:right="133"/>
              <w:rPr>
                <w:sz w:val="18"/>
              </w:rPr>
            </w:pPr>
            <w:r>
              <w:rPr>
                <w:sz w:val="18"/>
              </w:rPr>
              <w:t>Tenant 2</w:t>
            </w:r>
          </w:p>
        </w:tc>
        <w:tc>
          <w:tcPr>
            <w:tcW w:w="4550" w:type="dxa"/>
            <w:tcBorders>
              <w:top w:val="single" w:sz="6" w:space="0" w:color="69BD28"/>
              <w:bottom w:val="single" w:sz="6" w:space="0" w:color="69BD28"/>
            </w:tcBorders>
          </w:tcPr>
          <w:p>
            <w:pPr>
              <w:pStyle w:val="TableParagraph"/>
              <w:spacing w:before="44"/>
              <w:ind w:left="588" w:right="484"/>
              <w:rPr>
                <w:sz w:val="18"/>
              </w:rPr>
            </w:pPr>
            <w:r>
              <w:rPr>
                <w:w w:val="110"/>
                <w:sz w:val="18"/>
              </w:rPr>
              <w:t>93.0 – 97.0 (BS)</w:t>
            </w:r>
          </w:p>
        </w:tc>
      </w:tr>
      <w:tr>
        <w:trPr>
          <w:trHeight w:val="308" w:hRule="atLeast"/>
        </w:trPr>
        <w:tc>
          <w:tcPr>
            <w:tcW w:w="2303" w:type="dxa"/>
            <w:tcBorders>
              <w:top w:val="single" w:sz="6" w:space="0" w:color="69BD28"/>
              <w:bottom w:val="single" w:sz="6" w:space="0" w:color="69BD28"/>
            </w:tcBorders>
          </w:tcPr>
          <w:p>
            <w:pPr>
              <w:pStyle w:val="TableParagraph"/>
              <w:spacing w:before="44"/>
              <w:ind w:left="218" w:right="280"/>
              <w:rPr>
                <w:sz w:val="18"/>
              </w:rPr>
            </w:pPr>
            <w:r>
              <w:rPr>
                <w:w w:val="110"/>
                <w:sz w:val="18"/>
              </w:rPr>
              <w:t>Q1, 2019</w:t>
            </w:r>
          </w:p>
        </w:tc>
        <w:tc>
          <w:tcPr>
            <w:tcW w:w="1665" w:type="dxa"/>
            <w:tcBorders>
              <w:top w:val="single" w:sz="6" w:space="0" w:color="69BD28"/>
              <w:bottom w:val="single" w:sz="6" w:space="0" w:color="69BD28"/>
            </w:tcBorders>
          </w:tcPr>
          <w:p>
            <w:pPr>
              <w:pStyle w:val="TableParagraph"/>
              <w:spacing w:before="44"/>
              <w:ind w:right="659"/>
              <w:jc w:val="right"/>
              <w:rPr>
                <w:sz w:val="18"/>
              </w:rPr>
            </w:pPr>
            <w:r>
              <w:rPr>
                <w:w w:val="105"/>
                <w:sz w:val="18"/>
              </w:rPr>
              <w:t>50,000</w:t>
            </w:r>
          </w:p>
        </w:tc>
        <w:tc>
          <w:tcPr>
            <w:tcW w:w="1967" w:type="dxa"/>
            <w:tcBorders>
              <w:top w:val="single" w:sz="6" w:space="0" w:color="69BD28"/>
              <w:bottom w:val="single" w:sz="6" w:space="0" w:color="69BD28"/>
            </w:tcBorders>
          </w:tcPr>
          <w:p>
            <w:pPr>
              <w:pStyle w:val="TableParagraph"/>
              <w:spacing w:before="44"/>
              <w:ind w:left="82" w:right="133"/>
              <w:rPr>
                <w:sz w:val="18"/>
              </w:rPr>
            </w:pPr>
            <w:r>
              <w:rPr>
                <w:sz w:val="18"/>
              </w:rPr>
              <w:t>Tenant 3</w:t>
            </w:r>
          </w:p>
        </w:tc>
        <w:tc>
          <w:tcPr>
            <w:tcW w:w="4550" w:type="dxa"/>
            <w:tcBorders>
              <w:top w:val="single" w:sz="6" w:space="0" w:color="69BD28"/>
              <w:bottom w:val="single" w:sz="6" w:space="0" w:color="69BD28"/>
            </w:tcBorders>
          </w:tcPr>
          <w:p>
            <w:pPr>
              <w:pStyle w:val="TableParagraph"/>
              <w:spacing w:before="44"/>
              <w:ind w:left="588" w:right="484"/>
              <w:rPr>
                <w:sz w:val="18"/>
              </w:rPr>
            </w:pPr>
            <w:r>
              <w:rPr>
                <w:w w:val="110"/>
                <w:sz w:val="18"/>
              </w:rPr>
              <w:t>93.0 – 97.0 (BS)</w:t>
            </w:r>
          </w:p>
        </w:tc>
      </w:tr>
    </w:tbl>
    <w:p>
      <w:pPr>
        <w:spacing w:before="0"/>
        <w:ind w:left="120" w:right="0" w:firstLine="0"/>
        <w:jc w:val="left"/>
        <w:rPr>
          <w:i/>
          <w:sz w:val="16"/>
        </w:rPr>
      </w:pPr>
      <w:r>
        <w:rPr>
          <w:i/>
          <w:w w:val="105"/>
          <w:sz w:val="16"/>
        </w:rPr>
        <w:t>Source </w:t>
      </w:r>
      <w:r>
        <w:rPr>
          <w:i/>
          <w:w w:val="110"/>
          <w:sz w:val="16"/>
        </w:rPr>
        <w:t>– </w:t>
      </w:r>
      <w:r>
        <w:rPr>
          <w:i/>
          <w:w w:val="105"/>
          <w:sz w:val="16"/>
        </w:rPr>
        <w:t>CBRE Research; * Rent excluding CAM and PT; BS </w:t>
      </w:r>
      <w:r>
        <w:rPr>
          <w:i/>
          <w:w w:val="110"/>
          <w:sz w:val="16"/>
        </w:rPr>
        <w:t>– </w:t>
      </w:r>
      <w:r>
        <w:rPr>
          <w:i/>
          <w:w w:val="105"/>
          <w:sz w:val="16"/>
        </w:rPr>
        <w:t>Bare Shell</w:t>
      </w:r>
    </w:p>
    <w:p>
      <w:pPr>
        <w:pStyle w:val="BodyText"/>
        <w:rPr>
          <w:i/>
          <w:sz w:val="18"/>
        </w:rPr>
      </w:pPr>
    </w:p>
    <w:p>
      <w:pPr>
        <w:pStyle w:val="BodyText"/>
        <w:spacing w:line="321" w:lineRule="auto" w:before="134"/>
        <w:ind w:left="682" w:right="114"/>
        <w:jc w:val="both"/>
      </w:pPr>
      <w:r>
        <w:rPr/>
        <w:t>The sub-market offers plenty options of Grade ‘A’ technology developments in Powai, Vikhroli, Kanjurmarg.</w:t>
      </w:r>
      <w:r>
        <w:rPr>
          <w:spacing w:val="-6"/>
        </w:rPr>
        <w:t> </w:t>
      </w:r>
      <w:r>
        <w:rPr/>
        <w:t>Further,</w:t>
      </w:r>
      <w:r>
        <w:rPr>
          <w:spacing w:val="-5"/>
        </w:rPr>
        <w:t> </w:t>
      </w:r>
      <w:r>
        <w:rPr/>
        <w:t>there</w:t>
      </w:r>
      <w:r>
        <w:rPr>
          <w:spacing w:val="-5"/>
        </w:rPr>
        <w:t> </w:t>
      </w:r>
      <w:r>
        <w:rPr/>
        <w:t>is</w:t>
      </w:r>
      <w:r>
        <w:rPr>
          <w:spacing w:val="-5"/>
        </w:rPr>
        <w:t> </w:t>
      </w:r>
      <w:r>
        <w:rPr/>
        <w:t>a</w:t>
      </w:r>
      <w:r>
        <w:rPr>
          <w:spacing w:val="-6"/>
        </w:rPr>
        <w:t> </w:t>
      </w:r>
      <w:r>
        <w:rPr/>
        <w:t>lack</w:t>
      </w:r>
      <w:r>
        <w:rPr>
          <w:spacing w:val="-4"/>
        </w:rPr>
        <w:t> </w:t>
      </w:r>
      <w:r>
        <w:rPr/>
        <w:t>of</w:t>
      </w:r>
      <w:r>
        <w:rPr>
          <w:spacing w:val="-5"/>
        </w:rPr>
        <w:t> </w:t>
      </w:r>
      <w:r>
        <w:rPr/>
        <w:t>planned</w:t>
      </w:r>
      <w:r>
        <w:rPr>
          <w:spacing w:val="-4"/>
        </w:rPr>
        <w:t> </w:t>
      </w:r>
      <w:r>
        <w:rPr/>
        <w:t>grade</w:t>
      </w:r>
      <w:r>
        <w:rPr>
          <w:spacing w:val="-6"/>
        </w:rPr>
        <w:t> </w:t>
      </w:r>
      <w:r>
        <w:rPr/>
        <w:t>A</w:t>
      </w:r>
      <w:r>
        <w:rPr>
          <w:spacing w:val="-4"/>
        </w:rPr>
        <w:t> </w:t>
      </w:r>
      <w:r>
        <w:rPr/>
        <w:t>development</w:t>
      </w:r>
      <w:r>
        <w:rPr>
          <w:spacing w:val="-5"/>
        </w:rPr>
        <w:t> </w:t>
      </w:r>
      <w:r>
        <w:rPr/>
        <w:t>in</w:t>
      </w:r>
      <w:r>
        <w:rPr>
          <w:spacing w:val="-6"/>
        </w:rPr>
        <w:t> </w:t>
      </w:r>
      <w:r>
        <w:rPr/>
        <w:t>a</w:t>
      </w:r>
      <w:r>
        <w:rPr>
          <w:spacing w:val="-6"/>
        </w:rPr>
        <w:t> </w:t>
      </w:r>
      <w:r>
        <w:rPr/>
        <w:t>foreseeable</w:t>
      </w:r>
      <w:r>
        <w:rPr>
          <w:spacing w:val="-5"/>
        </w:rPr>
        <w:t> </w:t>
      </w:r>
      <w:r>
        <w:rPr/>
        <w:t>future.</w:t>
      </w:r>
      <w:r>
        <w:rPr>
          <w:spacing w:val="-5"/>
        </w:rPr>
        <w:t> </w:t>
      </w:r>
      <w:r>
        <w:rPr/>
        <w:t>This</w:t>
      </w:r>
      <w:r>
        <w:rPr>
          <w:spacing w:val="-6"/>
        </w:rPr>
        <w:t> </w:t>
      </w:r>
      <w:r>
        <w:rPr/>
        <w:t>is expected</w:t>
      </w:r>
      <w:r>
        <w:rPr>
          <w:spacing w:val="-33"/>
        </w:rPr>
        <w:t> </w:t>
      </w:r>
      <w:r>
        <w:rPr/>
        <w:t>to</w:t>
      </w:r>
      <w:r>
        <w:rPr>
          <w:spacing w:val="-33"/>
        </w:rPr>
        <w:t> </w:t>
      </w:r>
      <w:r>
        <w:rPr/>
        <w:t>reduce</w:t>
      </w:r>
      <w:r>
        <w:rPr>
          <w:spacing w:val="-34"/>
        </w:rPr>
        <w:t> </w:t>
      </w:r>
      <w:r>
        <w:rPr/>
        <w:t>the</w:t>
      </w:r>
      <w:r>
        <w:rPr>
          <w:spacing w:val="-33"/>
        </w:rPr>
        <w:t> </w:t>
      </w:r>
      <w:r>
        <w:rPr/>
        <w:t>vacancy</w:t>
      </w:r>
      <w:r>
        <w:rPr>
          <w:spacing w:val="-32"/>
        </w:rPr>
        <w:t> </w:t>
      </w:r>
      <w:r>
        <w:rPr/>
        <w:t>levels</w:t>
      </w:r>
      <w:r>
        <w:rPr>
          <w:spacing w:val="-33"/>
        </w:rPr>
        <w:t> </w:t>
      </w:r>
      <w:r>
        <w:rPr/>
        <w:t>in</w:t>
      </w:r>
      <w:r>
        <w:rPr>
          <w:spacing w:val="-33"/>
        </w:rPr>
        <w:t> </w:t>
      </w:r>
      <w:r>
        <w:rPr/>
        <w:t>the</w:t>
      </w:r>
      <w:r>
        <w:rPr>
          <w:spacing w:val="-33"/>
        </w:rPr>
        <w:t> </w:t>
      </w:r>
      <w:r>
        <w:rPr/>
        <w:t>sub-market</w:t>
      </w:r>
      <w:r>
        <w:rPr>
          <w:spacing w:val="-33"/>
        </w:rPr>
        <w:t> </w:t>
      </w:r>
      <w:r>
        <w:rPr/>
        <w:t>while</w:t>
      </w:r>
      <w:r>
        <w:rPr>
          <w:spacing w:val="-33"/>
        </w:rPr>
        <w:t> </w:t>
      </w:r>
      <w:r>
        <w:rPr/>
        <w:t>simultaneously</w:t>
      </w:r>
      <w:r>
        <w:rPr>
          <w:spacing w:val="-33"/>
        </w:rPr>
        <w:t> </w:t>
      </w:r>
      <w:r>
        <w:rPr/>
        <w:t>increasing</w:t>
      </w:r>
      <w:r>
        <w:rPr>
          <w:spacing w:val="-33"/>
        </w:rPr>
        <w:t> </w:t>
      </w:r>
      <w:r>
        <w:rPr/>
        <w:t>the</w:t>
      </w:r>
      <w:r>
        <w:rPr>
          <w:spacing w:val="-33"/>
        </w:rPr>
        <w:t> </w:t>
      </w:r>
      <w:r>
        <w:rPr/>
        <w:t>lease</w:t>
      </w:r>
      <w:r>
        <w:rPr>
          <w:spacing w:val="-34"/>
        </w:rPr>
        <w:t> </w:t>
      </w:r>
      <w:r>
        <w:rPr/>
        <w:t>rents</w:t>
      </w:r>
    </w:p>
    <w:p>
      <w:pPr>
        <w:spacing w:after="0" w:line="321" w:lineRule="auto"/>
        <w:jc w:val="both"/>
        <w:sectPr>
          <w:pgSz w:w="11910" w:h="16840"/>
          <w:pgMar w:header="919" w:footer="1149" w:top="1660" w:bottom="1340" w:left="600" w:right="600"/>
        </w:sectPr>
      </w:pPr>
    </w:p>
    <w:p>
      <w:pPr>
        <w:pStyle w:val="BodyText"/>
        <w:spacing w:before="7"/>
        <w:rPr>
          <w:sz w:val="9"/>
        </w:rPr>
      </w:pPr>
    </w:p>
    <w:p>
      <w:pPr>
        <w:pStyle w:val="BodyText"/>
        <w:spacing w:line="321" w:lineRule="auto" w:before="106"/>
        <w:ind w:left="682"/>
      </w:pPr>
      <w:r>
        <w:rPr/>
        <w:t>steadily.</w:t>
      </w:r>
      <w:r>
        <w:rPr>
          <w:spacing w:val="-45"/>
        </w:rPr>
        <w:t> </w:t>
      </w:r>
      <w:r>
        <w:rPr/>
        <w:t>Affordable</w:t>
      </w:r>
      <w:r>
        <w:rPr>
          <w:spacing w:val="-46"/>
        </w:rPr>
        <w:t> </w:t>
      </w:r>
      <w:r>
        <w:rPr/>
        <w:t>rents</w:t>
      </w:r>
      <w:r>
        <w:rPr>
          <w:spacing w:val="-44"/>
        </w:rPr>
        <w:t> </w:t>
      </w:r>
      <w:r>
        <w:rPr/>
        <w:t>coupled</w:t>
      </w:r>
      <w:r>
        <w:rPr>
          <w:spacing w:val="-45"/>
        </w:rPr>
        <w:t> </w:t>
      </w:r>
      <w:r>
        <w:rPr/>
        <w:t>with</w:t>
      </w:r>
      <w:r>
        <w:rPr>
          <w:spacing w:val="-45"/>
        </w:rPr>
        <w:t> </w:t>
      </w:r>
      <w:r>
        <w:rPr/>
        <w:t>large</w:t>
      </w:r>
      <w:r>
        <w:rPr>
          <w:spacing w:val="-45"/>
        </w:rPr>
        <w:t> </w:t>
      </w:r>
      <w:r>
        <w:rPr/>
        <w:t>format</w:t>
      </w:r>
      <w:r>
        <w:rPr>
          <w:spacing w:val="-46"/>
        </w:rPr>
        <w:t> </w:t>
      </w:r>
      <w:r>
        <w:rPr/>
        <w:t>technology</w:t>
      </w:r>
      <w:r>
        <w:rPr>
          <w:spacing w:val="-44"/>
        </w:rPr>
        <w:t> </w:t>
      </w:r>
      <w:r>
        <w:rPr/>
        <w:t>office</w:t>
      </w:r>
      <w:r>
        <w:rPr>
          <w:spacing w:val="-45"/>
        </w:rPr>
        <w:t> </w:t>
      </w:r>
      <w:r>
        <w:rPr/>
        <w:t>spaces</w:t>
      </w:r>
      <w:r>
        <w:rPr>
          <w:spacing w:val="-44"/>
        </w:rPr>
        <w:t> </w:t>
      </w:r>
      <w:r>
        <w:rPr/>
        <w:t>is</w:t>
      </w:r>
      <w:r>
        <w:rPr>
          <w:spacing w:val="-45"/>
        </w:rPr>
        <w:t> </w:t>
      </w:r>
      <w:r>
        <w:rPr/>
        <w:t>expected</w:t>
      </w:r>
      <w:r>
        <w:rPr>
          <w:spacing w:val="-44"/>
        </w:rPr>
        <w:t> </w:t>
      </w:r>
      <w:r>
        <w:rPr/>
        <w:t>to</w:t>
      </w:r>
      <w:r>
        <w:rPr>
          <w:spacing w:val="-45"/>
        </w:rPr>
        <w:t> </w:t>
      </w:r>
      <w:r>
        <w:rPr/>
        <w:t>drive</w:t>
      </w:r>
      <w:r>
        <w:rPr>
          <w:spacing w:val="-45"/>
        </w:rPr>
        <w:t> </w:t>
      </w:r>
      <w:r>
        <w:rPr/>
        <w:t>the</w:t>
      </w:r>
      <w:r>
        <w:rPr>
          <w:spacing w:val="-45"/>
        </w:rPr>
        <w:t> </w:t>
      </w:r>
      <w:r>
        <w:rPr/>
        <w:t>sub- market going</w:t>
      </w:r>
      <w:r>
        <w:rPr>
          <w:spacing w:val="-4"/>
        </w:rPr>
        <w:t> </w:t>
      </w:r>
      <w:r>
        <w:rPr/>
        <w:t>forward.</w:t>
      </w:r>
    </w:p>
    <w:p>
      <w:pPr>
        <w:spacing w:after="0" w:line="321" w:lineRule="auto"/>
        <w:sectPr>
          <w:pgSz w:w="11910" w:h="16840"/>
          <w:pgMar w:header="919" w:footer="1149" w:top="1660" w:bottom="1340" w:left="600" w:right="600"/>
        </w:sectPr>
      </w:pPr>
    </w:p>
    <w:p>
      <w:pPr>
        <w:pStyle w:val="BodyText"/>
        <w:spacing w:before="7"/>
        <w:rPr>
          <w:sz w:val="9"/>
        </w:rPr>
      </w:pPr>
    </w:p>
    <w:p>
      <w:pPr>
        <w:pStyle w:val="ListParagraph"/>
        <w:numPr>
          <w:ilvl w:val="1"/>
          <w:numId w:val="14"/>
        </w:numPr>
        <w:tabs>
          <w:tab w:pos="696" w:val="left" w:leader="none"/>
          <w:tab w:pos="697" w:val="left" w:leader="none"/>
        </w:tabs>
        <w:spacing w:line="240" w:lineRule="auto" w:before="106" w:after="0"/>
        <w:ind w:left="696" w:right="0" w:hanging="577"/>
        <w:jc w:val="left"/>
        <w:rPr>
          <w:color w:val="1F6647"/>
          <w:sz w:val="22"/>
        </w:rPr>
      </w:pPr>
      <w:bookmarkStart w:name="_bookmark117" w:id="230"/>
      <w:bookmarkEnd w:id="230"/>
      <w:r>
        <w:rPr/>
      </w:r>
      <w:bookmarkStart w:name="_bookmark117" w:id="231"/>
      <w:bookmarkEnd w:id="231"/>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BodyText"/>
        <w:spacing w:before="3"/>
        <w:rPr>
          <w:sz w:val="28"/>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18" w:id="232"/>
      <w:bookmarkEnd w:id="232"/>
      <w:r>
        <w:rPr/>
      </w:r>
      <w:bookmarkStart w:name="_bookmark118" w:id="233"/>
      <w:bookmarkEnd w:id="233"/>
      <w:r>
        <w:rPr>
          <w:color w:val="1F664D"/>
          <w:w w:val="105"/>
          <w:sz w:val="22"/>
        </w:rPr>
        <w:t>A</w:t>
      </w:r>
      <w:r>
        <w:rPr>
          <w:color w:val="1F664D"/>
          <w:w w:val="105"/>
          <w:sz w:val="22"/>
        </w:rPr>
        <w:t>dopted</w:t>
      </w:r>
      <w:r>
        <w:rPr>
          <w:color w:val="1F664D"/>
          <w:spacing w:val="-3"/>
          <w:w w:val="105"/>
          <w:sz w:val="22"/>
        </w:rPr>
        <w:t> </w:t>
      </w:r>
      <w:r>
        <w:rPr>
          <w:color w:val="1F664D"/>
          <w:w w:val="105"/>
          <w:sz w:val="22"/>
        </w:rPr>
        <w:t>Methodology</w:t>
      </w:r>
    </w:p>
    <w:p>
      <w:pPr>
        <w:pStyle w:val="BodyText"/>
        <w:spacing w:line="321" w:lineRule="auto" w:before="208"/>
        <w:ind w:left="660" w:right="115"/>
        <w:jc w:val="both"/>
      </w:pPr>
      <w:r>
        <w:rPr/>
        <w:t>We</w:t>
      </w:r>
      <w:r>
        <w:rPr>
          <w:spacing w:val="-27"/>
        </w:rPr>
        <w:t> </w:t>
      </w:r>
      <w:r>
        <w:rPr/>
        <w:t>acknowledge</w:t>
      </w:r>
      <w:r>
        <w:rPr>
          <w:spacing w:val="-27"/>
        </w:rPr>
        <w:t> </w:t>
      </w:r>
      <w:r>
        <w:rPr/>
        <w:t>that</w:t>
      </w:r>
      <w:r>
        <w:rPr>
          <w:spacing w:val="-26"/>
        </w:rPr>
        <w:t> </w:t>
      </w:r>
      <w:r>
        <w:rPr/>
        <w:t>the</w:t>
      </w:r>
      <w:r>
        <w:rPr>
          <w:spacing w:val="-27"/>
        </w:rPr>
        <w:t> </w:t>
      </w:r>
      <w:r>
        <w:rPr/>
        <w:t>approaches</w:t>
      </w:r>
      <w:r>
        <w:rPr>
          <w:spacing w:val="-26"/>
        </w:rPr>
        <w:t> </w:t>
      </w:r>
      <w:r>
        <w:rPr/>
        <w:t>to</w:t>
      </w:r>
      <w:r>
        <w:rPr>
          <w:spacing w:val="-26"/>
        </w:rPr>
        <w:t> </w:t>
      </w:r>
      <w:r>
        <w:rPr/>
        <w:t>valuation</w:t>
      </w:r>
      <w:r>
        <w:rPr>
          <w:spacing w:val="-24"/>
        </w:rPr>
        <w:t> </w:t>
      </w:r>
      <w:r>
        <w:rPr/>
        <w:t>differ</w:t>
      </w:r>
      <w:r>
        <w:rPr>
          <w:spacing w:val="-27"/>
        </w:rPr>
        <w:t> </w:t>
      </w:r>
      <w:r>
        <w:rPr/>
        <w:t>considerably</w:t>
      </w:r>
      <w:r>
        <w:rPr>
          <w:spacing w:val="-26"/>
        </w:rPr>
        <w:t> </w:t>
      </w:r>
      <w:r>
        <w:rPr/>
        <w:t>and</w:t>
      </w:r>
      <w:r>
        <w:rPr>
          <w:spacing w:val="-26"/>
        </w:rPr>
        <w:t> </w:t>
      </w:r>
      <w:r>
        <w:rPr/>
        <w:t>that</w:t>
      </w:r>
      <w:r>
        <w:rPr>
          <w:spacing w:val="-27"/>
        </w:rPr>
        <w:t> </w:t>
      </w:r>
      <w:r>
        <w:rPr/>
        <w:t>for</w:t>
      </w:r>
      <w:r>
        <w:rPr>
          <w:spacing w:val="-26"/>
        </w:rPr>
        <w:t> </w:t>
      </w:r>
      <w:r>
        <w:rPr/>
        <w:t>a</w:t>
      </w:r>
      <w:r>
        <w:rPr>
          <w:spacing w:val="-26"/>
        </w:rPr>
        <w:t> </w:t>
      </w:r>
      <w:r>
        <w:rPr/>
        <w:t>particular</w:t>
      </w:r>
      <w:r>
        <w:rPr>
          <w:spacing w:val="-26"/>
        </w:rPr>
        <w:t> </w:t>
      </w:r>
      <w:r>
        <w:rPr/>
        <w:t>purpose, alternative</w:t>
      </w:r>
      <w:r>
        <w:rPr>
          <w:spacing w:val="-19"/>
        </w:rPr>
        <w:t> </w:t>
      </w:r>
      <w:r>
        <w:rPr/>
        <w:t>approaches</w:t>
      </w:r>
      <w:r>
        <w:rPr>
          <w:spacing w:val="-18"/>
        </w:rPr>
        <w:t> </w:t>
      </w:r>
      <w:r>
        <w:rPr/>
        <w:t>to</w:t>
      </w:r>
      <w:r>
        <w:rPr>
          <w:spacing w:val="-19"/>
        </w:rPr>
        <w:t> </w:t>
      </w:r>
      <w:r>
        <w:rPr/>
        <w:t>the</w:t>
      </w:r>
      <w:r>
        <w:rPr>
          <w:spacing w:val="-18"/>
        </w:rPr>
        <w:t> </w:t>
      </w:r>
      <w:r>
        <w:rPr/>
        <w:t>valuation</w:t>
      </w:r>
      <w:r>
        <w:rPr>
          <w:spacing w:val="-19"/>
        </w:rPr>
        <w:t> </w:t>
      </w:r>
      <w:r>
        <w:rPr/>
        <w:t>can</w:t>
      </w:r>
      <w:r>
        <w:rPr>
          <w:spacing w:val="-19"/>
        </w:rPr>
        <w:t> </w:t>
      </w:r>
      <w:r>
        <w:rPr/>
        <w:t>be</w:t>
      </w:r>
      <w:r>
        <w:rPr>
          <w:spacing w:val="-19"/>
        </w:rPr>
        <w:t> </w:t>
      </w:r>
      <w:r>
        <w:rPr/>
        <w:t>utilized</w:t>
      </w:r>
      <w:r>
        <w:rPr>
          <w:spacing w:val="-18"/>
        </w:rPr>
        <w:t> </w:t>
      </w:r>
      <w:r>
        <w:rPr/>
        <w:t>subject</w:t>
      </w:r>
      <w:r>
        <w:rPr>
          <w:spacing w:val="-18"/>
        </w:rPr>
        <w:t> </w:t>
      </w:r>
      <w:r>
        <w:rPr/>
        <w:t>to</w:t>
      </w:r>
      <w:r>
        <w:rPr>
          <w:spacing w:val="-19"/>
        </w:rPr>
        <w:t> </w:t>
      </w:r>
      <w:r>
        <w:rPr/>
        <w:t>the</w:t>
      </w:r>
      <w:r>
        <w:rPr>
          <w:spacing w:val="-18"/>
        </w:rPr>
        <w:t> </w:t>
      </w:r>
      <w:r>
        <w:rPr/>
        <w:t>Client’s</w:t>
      </w:r>
      <w:r>
        <w:rPr>
          <w:spacing w:val="-19"/>
        </w:rPr>
        <w:t> </w:t>
      </w:r>
      <w:r>
        <w:rPr/>
        <w:t>consultations</w:t>
      </w:r>
      <w:r>
        <w:rPr>
          <w:spacing w:val="-18"/>
        </w:rPr>
        <w:t> </w:t>
      </w:r>
      <w:r>
        <w:rPr/>
        <w:t>and</w:t>
      </w:r>
      <w:r>
        <w:rPr>
          <w:spacing w:val="-18"/>
        </w:rPr>
        <w:t> </w:t>
      </w:r>
      <w:r>
        <w:rPr/>
        <w:t>giving due</w:t>
      </w:r>
      <w:r>
        <w:rPr>
          <w:spacing w:val="-37"/>
        </w:rPr>
        <w:t> </w:t>
      </w:r>
      <w:r>
        <w:rPr/>
        <w:t>consideration</w:t>
      </w:r>
      <w:r>
        <w:rPr>
          <w:spacing w:val="-35"/>
        </w:rPr>
        <w:t> </w:t>
      </w:r>
      <w:r>
        <w:rPr/>
        <w:t>to</w:t>
      </w:r>
      <w:r>
        <w:rPr>
          <w:spacing w:val="-36"/>
        </w:rPr>
        <w:t> </w:t>
      </w:r>
      <w:r>
        <w:rPr/>
        <w:t>the</w:t>
      </w:r>
      <w:r>
        <w:rPr>
          <w:spacing w:val="-37"/>
        </w:rPr>
        <w:t> </w:t>
      </w:r>
      <w:r>
        <w:rPr/>
        <w:t>Client’s</w:t>
      </w:r>
      <w:r>
        <w:rPr>
          <w:spacing w:val="-35"/>
        </w:rPr>
        <w:t> </w:t>
      </w:r>
      <w:r>
        <w:rPr/>
        <w:t>requirements.</w:t>
      </w:r>
      <w:r>
        <w:rPr>
          <w:spacing w:val="-36"/>
        </w:rPr>
        <w:t> </w:t>
      </w:r>
      <w:r>
        <w:rPr/>
        <w:t>Considering</w:t>
      </w:r>
      <w:r>
        <w:rPr>
          <w:spacing w:val="-36"/>
        </w:rPr>
        <w:t> </w:t>
      </w:r>
      <w:r>
        <w:rPr/>
        <w:t>the</w:t>
      </w:r>
      <w:r>
        <w:rPr>
          <w:spacing w:val="-36"/>
        </w:rPr>
        <w:t> </w:t>
      </w:r>
      <w:r>
        <w:rPr/>
        <w:t>objective</w:t>
      </w:r>
      <w:r>
        <w:rPr>
          <w:spacing w:val="-36"/>
        </w:rPr>
        <w:t> </w:t>
      </w:r>
      <w:r>
        <w:rPr/>
        <w:t>of</w:t>
      </w:r>
      <w:r>
        <w:rPr>
          <w:spacing w:val="-37"/>
        </w:rPr>
        <w:t> </w:t>
      </w:r>
      <w:r>
        <w:rPr/>
        <w:t>this</w:t>
      </w:r>
      <w:r>
        <w:rPr>
          <w:spacing w:val="-35"/>
        </w:rPr>
        <w:t> </w:t>
      </w:r>
      <w:r>
        <w:rPr/>
        <w:t>exercise</w:t>
      </w:r>
      <w:r>
        <w:rPr>
          <w:spacing w:val="-36"/>
        </w:rPr>
        <w:t> </w:t>
      </w:r>
      <w:r>
        <w:rPr/>
        <w:t>and</w:t>
      </w:r>
      <w:r>
        <w:rPr>
          <w:spacing w:val="-35"/>
        </w:rPr>
        <w:t> </w:t>
      </w:r>
      <w:r>
        <w:rPr/>
        <w:t>the</w:t>
      </w:r>
      <w:r>
        <w:rPr>
          <w:spacing w:val="-37"/>
        </w:rPr>
        <w:t> </w:t>
      </w:r>
      <w:r>
        <w:rPr/>
        <w:t>nature of</w:t>
      </w:r>
      <w:r>
        <w:rPr>
          <w:spacing w:val="-34"/>
        </w:rPr>
        <w:t> </w:t>
      </w:r>
      <w:r>
        <w:rPr/>
        <w:t>asset</w:t>
      </w:r>
      <w:r>
        <w:rPr>
          <w:spacing w:val="-33"/>
        </w:rPr>
        <w:t> </w:t>
      </w:r>
      <w:r>
        <w:rPr/>
        <w:t>involved,</w:t>
      </w:r>
      <w:r>
        <w:rPr>
          <w:spacing w:val="-34"/>
        </w:rPr>
        <w:t> </w:t>
      </w:r>
      <w:r>
        <w:rPr/>
        <w:t>the</w:t>
      </w:r>
      <w:r>
        <w:rPr>
          <w:spacing w:val="-34"/>
        </w:rPr>
        <w:t> </w:t>
      </w:r>
      <w:r>
        <w:rPr/>
        <w:t>value</w:t>
      </w:r>
      <w:r>
        <w:rPr>
          <w:spacing w:val="-34"/>
        </w:rPr>
        <w:t> </w:t>
      </w:r>
      <w:r>
        <w:rPr/>
        <w:t>of</w:t>
      </w:r>
      <w:r>
        <w:rPr>
          <w:spacing w:val="-33"/>
        </w:rPr>
        <w:t> </w:t>
      </w:r>
      <w:r>
        <w:rPr/>
        <w:t>the</w:t>
      </w:r>
      <w:r>
        <w:rPr>
          <w:spacing w:val="-35"/>
        </w:rPr>
        <w:t> </w:t>
      </w:r>
      <w:r>
        <w:rPr/>
        <w:t>subject</w:t>
      </w:r>
      <w:r>
        <w:rPr>
          <w:spacing w:val="-33"/>
        </w:rPr>
        <w:t> </w:t>
      </w:r>
      <w:r>
        <w:rPr/>
        <w:t>property</w:t>
      </w:r>
      <w:r>
        <w:rPr>
          <w:spacing w:val="-34"/>
        </w:rPr>
        <w:t> </w:t>
      </w:r>
      <w:r>
        <w:rPr/>
        <w:t>has</w:t>
      </w:r>
      <w:r>
        <w:rPr>
          <w:spacing w:val="-33"/>
        </w:rPr>
        <w:t> </w:t>
      </w:r>
      <w:r>
        <w:rPr/>
        <w:t>been</w:t>
      </w:r>
      <w:r>
        <w:rPr>
          <w:spacing w:val="-34"/>
        </w:rPr>
        <w:t> </w:t>
      </w:r>
      <w:r>
        <w:rPr/>
        <w:t>assessed</w:t>
      </w:r>
      <w:r>
        <w:rPr>
          <w:spacing w:val="-33"/>
        </w:rPr>
        <w:t> </w:t>
      </w:r>
      <w:r>
        <w:rPr/>
        <w:t>through</w:t>
      </w:r>
      <w:r>
        <w:rPr>
          <w:spacing w:val="-34"/>
        </w:rPr>
        <w:t> </w:t>
      </w:r>
      <w:r>
        <w:rPr/>
        <w:t>the</w:t>
      </w:r>
      <w:r>
        <w:rPr>
          <w:spacing w:val="-35"/>
        </w:rPr>
        <w:t> </w:t>
      </w:r>
      <w:r>
        <w:rPr/>
        <w:t>following</w:t>
      </w:r>
      <w:r>
        <w:rPr>
          <w:spacing w:val="-33"/>
        </w:rPr>
        <w:t> </w:t>
      </w:r>
      <w:r>
        <w:rPr/>
        <w:t>approaches:</w:t>
      </w:r>
    </w:p>
    <w:p>
      <w:pPr>
        <w:pStyle w:val="BodyText"/>
        <w:spacing w:before="4"/>
        <w:rPr>
          <w:sz w:val="20"/>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3"/>
        <w:gridCol w:w="6969"/>
      </w:tblGrid>
      <w:tr>
        <w:trPr>
          <w:trHeight w:val="215" w:hRule="atLeast"/>
        </w:trPr>
        <w:tc>
          <w:tcPr>
            <w:tcW w:w="10472" w:type="dxa"/>
            <w:gridSpan w:val="2"/>
            <w:tcBorders>
              <w:top w:val="single" w:sz="6" w:space="0" w:color="69BD28"/>
              <w:bottom w:val="single" w:sz="6" w:space="0" w:color="69BD28"/>
            </w:tcBorders>
            <w:shd w:val="clear" w:color="auto" w:fill="006A4D"/>
          </w:tcPr>
          <w:p>
            <w:pPr>
              <w:pStyle w:val="TableParagraph"/>
              <w:tabs>
                <w:tab w:pos="6183" w:val="left" w:leader="none"/>
              </w:tabs>
              <w:spacing w:line="192" w:lineRule="exact" w:before="3"/>
              <w:ind w:left="1265"/>
              <w:jc w:val="left"/>
              <w:rPr>
                <w:b/>
                <w:sz w:val="18"/>
              </w:rPr>
            </w:pPr>
            <w:r>
              <w:rPr>
                <w:b/>
                <w:color w:val="FFFFFF"/>
                <w:w w:val="105"/>
                <w:sz w:val="18"/>
              </w:rPr>
              <w:t>Particulars</w:t>
              <w:tab/>
              <w:t>Completed Blocks</w:t>
            </w:r>
          </w:p>
        </w:tc>
      </w:tr>
      <w:tr>
        <w:trPr>
          <w:trHeight w:val="458" w:hRule="atLeast"/>
        </w:trPr>
        <w:tc>
          <w:tcPr>
            <w:tcW w:w="3503" w:type="dxa"/>
            <w:shd w:val="clear" w:color="auto" w:fill="69BD28"/>
          </w:tcPr>
          <w:p>
            <w:pPr>
              <w:pStyle w:val="TableParagraph"/>
              <w:spacing w:before="124"/>
              <w:ind w:left="689"/>
              <w:jc w:val="left"/>
              <w:rPr>
                <w:b/>
                <w:sz w:val="18"/>
              </w:rPr>
            </w:pPr>
            <w:r>
              <w:rPr>
                <w:b/>
                <w:color w:val="FFFFFF"/>
                <w:w w:val="110"/>
                <w:sz w:val="18"/>
              </w:rPr>
              <w:t>Valuation Methodology</w:t>
            </w:r>
          </w:p>
        </w:tc>
        <w:tc>
          <w:tcPr>
            <w:tcW w:w="6969" w:type="dxa"/>
            <w:tcBorders>
              <w:top w:val="single" w:sz="6" w:space="0" w:color="69BD28"/>
              <w:bottom w:val="single" w:sz="6" w:space="0" w:color="69BD28"/>
            </w:tcBorders>
          </w:tcPr>
          <w:p>
            <w:pPr>
              <w:pStyle w:val="TableParagraph"/>
              <w:spacing w:before="124"/>
              <w:ind w:left="898" w:right="902"/>
              <w:rPr>
                <w:sz w:val="18"/>
              </w:rPr>
            </w:pPr>
            <w:r>
              <w:rPr>
                <w:sz w:val="18"/>
              </w:rPr>
              <w:t>Discounted Cash Flow Method (using rental reversion approach)</w:t>
            </w:r>
          </w:p>
        </w:tc>
      </w:tr>
    </w:tbl>
    <w:p>
      <w:pPr>
        <w:pStyle w:val="BodyText"/>
        <w:rPr>
          <w:sz w:val="21"/>
        </w:rPr>
      </w:pPr>
    </w:p>
    <w:p>
      <w:pPr>
        <w:pStyle w:val="BodyText"/>
        <w:spacing w:line="319" w:lineRule="auto"/>
        <w:ind w:left="660" w:right="115"/>
        <w:jc w:val="both"/>
      </w:pPr>
      <w:r>
        <w:rPr/>
        <w:t>The</w:t>
      </w:r>
      <w:r>
        <w:rPr>
          <w:spacing w:val="-23"/>
        </w:rPr>
        <w:t> </w:t>
      </w:r>
      <w:r>
        <w:rPr/>
        <w:t>sections</w:t>
      </w:r>
      <w:r>
        <w:rPr>
          <w:spacing w:val="-22"/>
        </w:rPr>
        <w:t> </w:t>
      </w:r>
      <w:r>
        <w:rPr/>
        <w:t>below</w:t>
      </w:r>
      <w:r>
        <w:rPr>
          <w:spacing w:val="-21"/>
        </w:rPr>
        <w:t> </w:t>
      </w:r>
      <w:r>
        <w:rPr/>
        <w:t>highlight</w:t>
      </w:r>
      <w:r>
        <w:rPr>
          <w:spacing w:val="-23"/>
        </w:rPr>
        <w:t> </w:t>
      </w:r>
      <w:r>
        <w:rPr/>
        <w:t>detailed</w:t>
      </w:r>
      <w:r>
        <w:rPr>
          <w:spacing w:val="-21"/>
        </w:rPr>
        <w:t> </w:t>
      </w:r>
      <w:r>
        <w:rPr/>
        <w:t>valuation</w:t>
      </w:r>
      <w:r>
        <w:rPr>
          <w:spacing w:val="-22"/>
        </w:rPr>
        <w:t> </w:t>
      </w:r>
      <w:r>
        <w:rPr/>
        <w:t>workings</w:t>
      </w:r>
      <w:r>
        <w:rPr>
          <w:spacing w:val="-21"/>
        </w:rPr>
        <w:t> </w:t>
      </w:r>
      <w:r>
        <w:rPr/>
        <w:t>for</w:t>
      </w:r>
      <w:r>
        <w:rPr>
          <w:spacing w:val="-19"/>
        </w:rPr>
        <w:t> </w:t>
      </w:r>
      <w:r>
        <w:rPr/>
        <w:t>the</w:t>
      </w:r>
      <w:r>
        <w:rPr>
          <w:spacing w:val="-23"/>
        </w:rPr>
        <w:t> </w:t>
      </w:r>
      <w:r>
        <w:rPr/>
        <w:t>subject</w:t>
      </w:r>
      <w:r>
        <w:rPr>
          <w:spacing w:val="-22"/>
        </w:rPr>
        <w:t> </w:t>
      </w:r>
      <w:r>
        <w:rPr/>
        <w:t>property.</w:t>
      </w:r>
      <w:r>
        <w:rPr>
          <w:spacing w:val="-22"/>
        </w:rPr>
        <w:t> </w:t>
      </w:r>
      <w:r>
        <w:rPr/>
        <w:t>Please</w:t>
      </w:r>
      <w:r>
        <w:rPr>
          <w:spacing w:val="-23"/>
        </w:rPr>
        <w:t> </w:t>
      </w:r>
      <w:r>
        <w:rPr/>
        <w:t>note</w:t>
      </w:r>
      <w:r>
        <w:rPr>
          <w:spacing w:val="-21"/>
        </w:rPr>
        <w:t> </w:t>
      </w:r>
      <w:r>
        <w:rPr/>
        <w:t>that</w:t>
      </w:r>
      <w:r>
        <w:rPr>
          <w:spacing w:val="-23"/>
        </w:rPr>
        <w:t> </w:t>
      </w:r>
      <w:r>
        <w:rPr/>
        <w:t>the assumptions/</w:t>
      </w:r>
      <w:r>
        <w:rPr>
          <w:spacing w:val="-30"/>
        </w:rPr>
        <w:t> </w:t>
      </w:r>
      <w:r>
        <w:rPr/>
        <w:t>opinions</w:t>
      </w:r>
      <w:r>
        <w:rPr>
          <w:spacing w:val="-29"/>
        </w:rPr>
        <w:t> </w:t>
      </w:r>
      <w:r>
        <w:rPr/>
        <w:t>highlighted</w:t>
      </w:r>
      <w:r>
        <w:rPr>
          <w:spacing w:val="-29"/>
        </w:rPr>
        <w:t> </w:t>
      </w:r>
      <w:r>
        <w:rPr/>
        <w:t>in</w:t>
      </w:r>
      <w:r>
        <w:rPr>
          <w:spacing w:val="-30"/>
        </w:rPr>
        <w:t> </w:t>
      </w:r>
      <w:r>
        <w:rPr/>
        <w:t>the</w:t>
      </w:r>
      <w:r>
        <w:rPr>
          <w:spacing w:val="-30"/>
        </w:rPr>
        <w:t> </w:t>
      </w:r>
      <w:r>
        <w:rPr/>
        <w:t>subsequent</w:t>
      </w:r>
      <w:r>
        <w:rPr>
          <w:spacing w:val="-29"/>
        </w:rPr>
        <w:t> </w:t>
      </w:r>
      <w:r>
        <w:rPr/>
        <w:t>sections</w:t>
      </w:r>
      <w:r>
        <w:rPr>
          <w:spacing w:val="-29"/>
        </w:rPr>
        <w:t> </w:t>
      </w:r>
      <w:r>
        <w:rPr/>
        <w:t>are</w:t>
      </w:r>
      <w:r>
        <w:rPr>
          <w:spacing w:val="-30"/>
        </w:rPr>
        <w:t> </w:t>
      </w:r>
      <w:r>
        <w:rPr/>
        <w:t>to</w:t>
      </w:r>
      <w:r>
        <w:rPr>
          <w:spacing w:val="-29"/>
        </w:rPr>
        <w:t> </w:t>
      </w:r>
      <w:r>
        <w:rPr/>
        <w:t>be</w:t>
      </w:r>
      <w:r>
        <w:rPr>
          <w:spacing w:val="-30"/>
        </w:rPr>
        <w:t> </w:t>
      </w:r>
      <w:r>
        <w:rPr/>
        <w:t>read</w:t>
      </w:r>
      <w:r>
        <w:rPr>
          <w:spacing w:val="-29"/>
        </w:rPr>
        <w:t> </w:t>
      </w:r>
      <w:r>
        <w:rPr/>
        <w:t>in</w:t>
      </w:r>
      <w:r>
        <w:rPr>
          <w:spacing w:val="-30"/>
        </w:rPr>
        <w:t> </w:t>
      </w:r>
      <w:r>
        <w:rPr/>
        <w:t>conjunction</w:t>
      </w:r>
      <w:r>
        <w:rPr>
          <w:spacing w:val="-29"/>
        </w:rPr>
        <w:t> </w:t>
      </w:r>
      <w:r>
        <w:rPr/>
        <w:t>with</w:t>
      </w:r>
      <w:r>
        <w:rPr>
          <w:spacing w:val="-30"/>
        </w:rPr>
        <w:t> </w:t>
      </w:r>
      <w:r>
        <w:rPr/>
        <w:t>Section</w:t>
      </w:r>
    </w:p>
    <w:p>
      <w:pPr>
        <w:pStyle w:val="BodyText"/>
        <w:spacing w:before="5"/>
        <w:ind w:left="660"/>
      </w:pPr>
      <w:r>
        <w:rPr/>
        <w:t>1.11 and the following:</w:t>
      </w:r>
    </w:p>
    <w:p>
      <w:pPr>
        <w:pStyle w:val="BodyText"/>
        <w:spacing w:before="2"/>
        <w:rPr>
          <w:sz w:val="28"/>
        </w:rPr>
      </w:pPr>
    </w:p>
    <w:p>
      <w:pPr>
        <w:spacing w:line="321" w:lineRule="auto" w:before="1"/>
        <w:ind w:left="660" w:right="11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rPr>
          <w:i/>
          <w:sz w:val="21"/>
        </w:rPr>
      </w:pPr>
    </w:p>
    <w:p>
      <w:pPr>
        <w:pStyle w:val="ListParagraph"/>
        <w:numPr>
          <w:ilvl w:val="0"/>
          <w:numId w:val="42"/>
        </w:numPr>
        <w:tabs>
          <w:tab w:pos="1565" w:val="left" w:leader="none"/>
          <w:tab w:pos="1566" w:val="left" w:leader="none"/>
        </w:tabs>
        <w:spacing w:line="240" w:lineRule="auto" w:before="0" w:after="0"/>
        <w:ind w:left="1565" w:right="0" w:hanging="361"/>
        <w:jc w:val="left"/>
        <w:rPr>
          <w:i/>
          <w:sz w:val="22"/>
        </w:rPr>
      </w:pPr>
      <w:r>
        <w:rPr>
          <w:i/>
          <w:sz w:val="22"/>
        </w:rPr>
        <w:t>Limited/</w:t>
      </w:r>
      <w:r>
        <w:rPr>
          <w:i/>
          <w:spacing w:val="-13"/>
          <w:sz w:val="22"/>
        </w:rPr>
        <w:t> </w:t>
      </w:r>
      <w:r>
        <w:rPr>
          <w:i/>
          <w:sz w:val="22"/>
        </w:rPr>
        <w:t>no</w:t>
      </w:r>
      <w:r>
        <w:rPr>
          <w:i/>
          <w:spacing w:val="-13"/>
          <w:sz w:val="22"/>
        </w:rPr>
        <w:t> </w:t>
      </w:r>
      <w:r>
        <w:rPr>
          <w:i/>
          <w:sz w:val="22"/>
        </w:rPr>
        <w:t>growth</w:t>
      </w:r>
      <w:r>
        <w:rPr>
          <w:i/>
          <w:spacing w:val="-15"/>
          <w:sz w:val="22"/>
        </w:rPr>
        <w:t> </w:t>
      </w:r>
      <w:r>
        <w:rPr>
          <w:i/>
          <w:sz w:val="22"/>
        </w:rPr>
        <w:t>in</w:t>
      </w:r>
      <w:r>
        <w:rPr>
          <w:i/>
          <w:spacing w:val="-15"/>
          <w:sz w:val="22"/>
        </w:rPr>
        <w:t> </w:t>
      </w:r>
      <w:r>
        <w:rPr>
          <w:i/>
          <w:sz w:val="22"/>
        </w:rPr>
        <w:t>rent</w:t>
      </w:r>
      <w:r>
        <w:rPr>
          <w:i/>
          <w:spacing w:val="-12"/>
          <w:sz w:val="22"/>
        </w:rPr>
        <w:t> </w:t>
      </w:r>
      <w:r>
        <w:rPr>
          <w:i/>
          <w:sz w:val="22"/>
        </w:rPr>
        <w:t>has</w:t>
      </w:r>
      <w:r>
        <w:rPr>
          <w:i/>
          <w:spacing w:val="-14"/>
          <w:sz w:val="22"/>
        </w:rPr>
        <w:t> </w:t>
      </w:r>
      <w:r>
        <w:rPr>
          <w:i/>
          <w:sz w:val="22"/>
        </w:rPr>
        <w:t>been</w:t>
      </w:r>
      <w:r>
        <w:rPr>
          <w:i/>
          <w:spacing w:val="-15"/>
          <w:sz w:val="22"/>
        </w:rPr>
        <w:t> </w:t>
      </w:r>
      <w:r>
        <w:rPr>
          <w:i/>
          <w:sz w:val="22"/>
        </w:rPr>
        <w:t>considered</w:t>
      </w:r>
      <w:r>
        <w:rPr>
          <w:i/>
          <w:spacing w:val="-13"/>
          <w:sz w:val="22"/>
        </w:rPr>
        <w:t> </w:t>
      </w:r>
      <w:r>
        <w:rPr>
          <w:i/>
          <w:sz w:val="22"/>
        </w:rPr>
        <w:t>over</w:t>
      </w:r>
      <w:r>
        <w:rPr>
          <w:i/>
          <w:spacing w:val="-13"/>
          <w:sz w:val="22"/>
        </w:rPr>
        <w:t> </w:t>
      </w:r>
      <w:r>
        <w:rPr>
          <w:i/>
          <w:sz w:val="22"/>
        </w:rPr>
        <w:t>the</w:t>
      </w:r>
      <w:r>
        <w:rPr>
          <w:i/>
          <w:spacing w:val="-13"/>
          <w:sz w:val="22"/>
        </w:rPr>
        <w:t> </w:t>
      </w:r>
      <w:r>
        <w:rPr>
          <w:i/>
          <w:sz w:val="22"/>
        </w:rPr>
        <w:t>next</w:t>
      </w:r>
      <w:r>
        <w:rPr>
          <w:i/>
          <w:spacing w:val="-16"/>
          <w:sz w:val="22"/>
        </w:rPr>
        <w:t> </w:t>
      </w:r>
      <w:r>
        <w:rPr>
          <w:i/>
          <w:sz w:val="22"/>
        </w:rPr>
        <w:t>few</w:t>
      </w:r>
      <w:r>
        <w:rPr>
          <w:i/>
          <w:spacing w:val="-14"/>
          <w:sz w:val="22"/>
        </w:rPr>
        <w:t> </w:t>
      </w:r>
      <w:r>
        <w:rPr>
          <w:i/>
          <w:sz w:val="22"/>
        </w:rPr>
        <w:t>quarters</w:t>
      </w:r>
    </w:p>
    <w:p>
      <w:pPr>
        <w:pStyle w:val="ListParagraph"/>
        <w:numPr>
          <w:ilvl w:val="0"/>
          <w:numId w:val="42"/>
        </w:numPr>
        <w:tabs>
          <w:tab w:pos="1565" w:val="left" w:leader="none"/>
          <w:tab w:pos="1566" w:val="left" w:leader="none"/>
        </w:tabs>
        <w:spacing w:line="268" w:lineRule="auto" w:before="28" w:after="0"/>
        <w:ind w:left="1565" w:right="112" w:hanging="360"/>
        <w:jc w:val="left"/>
        <w:rPr>
          <w:i/>
          <w:sz w:val="22"/>
        </w:rPr>
      </w:pPr>
      <w:r>
        <w:rPr>
          <w:i/>
          <w:sz w:val="22"/>
        </w:rPr>
        <w:t>Considering</w:t>
      </w:r>
      <w:r>
        <w:rPr>
          <w:i/>
          <w:spacing w:val="-44"/>
          <w:sz w:val="22"/>
        </w:rPr>
        <w:t> </w:t>
      </w:r>
      <w:r>
        <w:rPr>
          <w:i/>
          <w:sz w:val="22"/>
        </w:rPr>
        <w:t>challenges</w:t>
      </w:r>
      <w:r>
        <w:rPr>
          <w:i/>
          <w:spacing w:val="-42"/>
          <w:sz w:val="22"/>
        </w:rPr>
        <w:t> </w:t>
      </w:r>
      <w:r>
        <w:rPr>
          <w:i/>
          <w:sz w:val="22"/>
        </w:rPr>
        <w:t>in</w:t>
      </w:r>
      <w:r>
        <w:rPr>
          <w:i/>
          <w:spacing w:val="-43"/>
          <w:sz w:val="22"/>
        </w:rPr>
        <w:t> </w:t>
      </w:r>
      <w:r>
        <w:rPr>
          <w:i/>
          <w:sz w:val="22"/>
        </w:rPr>
        <w:t>the</w:t>
      </w:r>
      <w:r>
        <w:rPr>
          <w:i/>
          <w:spacing w:val="-42"/>
          <w:sz w:val="22"/>
        </w:rPr>
        <w:t> </w:t>
      </w:r>
      <w:r>
        <w:rPr>
          <w:i/>
          <w:sz w:val="22"/>
        </w:rPr>
        <w:t>short</w:t>
      </w:r>
      <w:r>
        <w:rPr>
          <w:i/>
          <w:spacing w:val="-43"/>
          <w:sz w:val="22"/>
        </w:rPr>
        <w:t> </w:t>
      </w:r>
      <w:r>
        <w:rPr>
          <w:i/>
          <w:sz w:val="22"/>
        </w:rPr>
        <w:t>term,</w:t>
      </w:r>
      <w:r>
        <w:rPr>
          <w:i/>
          <w:spacing w:val="-41"/>
          <w:sz w:val="22"/>
        </w:rPr>
        <w:t> </w:t>
      </w:r>
      <w:r>
        <w:rPr>
          <w:i/>
          <w:sz w:val="22"/>
        </w:rPr>
        <w:t>timelines</w:t>
      </w:r>
      <w:r>
        <w:rPr>
          <w:i/>
          <w:spacing w:val="-44"/>
          <w:sz w:val="22"/>
        </w:rPr>
        <w:t> </w:t>
      </w:r>
      <w:r>
        <w:rPr>
          <w:i/>
          <w:sz w:val="22"/>
        </w:rPr>
        <w:t>have</w:t>
      </w:r>
      <w:r>
        <w:rPr>
          <w:i/>
          <w:spacing w:val="-41"/>
          <w:sz w:val="22"/>
        </w:rPr>
        <w:t> </w:t>
      </w:r>
      <w:r>
        <w:rPr>
          <w:i/>
          <w:sz w:val="22"/>
        </w:rPr>
        <w:t>been</w:t>
      </w:r>
      <w:r>
        <w:rPr>
          <w:i/>
          <w:spacing w:val="-43"/>
          <w:sz w:val="22"/>
        </w:rPr>
        <w:t> </w:t>
      </w:r>
      <w:r>
        <w:rPr>
          <w:i/>
          <w:sz w:val="22"/>
        </w:rPr>
        <w:t>extended</w:t>
      </w:r>
      <w:r>
        <w:rPr>
          <w:i/>
          <w:spacing w:val="-42"/>
          <w:sz w:val="22"/>
        </w:rPr>
        <w:t> </w:t>
      </w:r>
      <w:r>
        <w:rPr>
          <w:i/>
          <w:sz w:val="22"/>
        </w:rPr>
        <w:t>for</w:t>
      </w:r>
      <w:r>
        <w:rPr>
          <w:i/>
          <w:spacing w:val="-43"/>
          <w:sz w:val="22"/>
        </w:rPr>
        <w:t> </w:t>
      </w:r>
      <w:r>
        <w:rPr>
          <w:i/>
          <w:sz w:val="22"/>
        </w:rPr>
        <w:t>new</w:t>
      </w:r>
      <w:r>
        <w:rPr>
          <w:i/>
          <w:spacing w:val="-42"/>
          <w:sz w:val="22"/>
        </w:rPr>
        <w:t> </w:t>
      </w:r>
      <w:r>
        <w:rPr>
          <w:i/>
          <w:sz w:val="22"/>
        </w:rPr>
        <w:t>space</w:t>
      </w:r>
      <w:r>
        <w:rPr>
          <w:i/>
          <w:spacing w:val="-43"/>
          <w:sz w:val="22"/>
        </w:rPr>
        <w:t> </w:t>
      </w:r>
      <w:r>
        <w:rPr>
          <w:i/>
          <w:sz w:val="22"/>
        </w:rPr>
        <w:t>take-up/ </w:t>
      </w:r>
      <w:r>
        <w:rPr>
          <w:i/>
          <w:sz w:val="22"/>
        </w:rPr>
        <w:t>future</w:t>
      </w:r>
      <w:r>
        <w:rPr>
          <w:i/>
          <w:spacing w:val="-3"/>
          <w:sz w:val="22"/>
        </w:rPr>
        <w:t> </w:t>
      </w:r>
      <w:r>
        <w:rPr>
          <w:i/>
          <w:sz w:val="22"/>
        </w:rPr>
        <w:t>leasing</w:t>
      </w:r>
    </w:p>
    <w:p>
      <w:pPr>
        <w:pStyle w:val="ListParagraph"/>
        <w:numPr>
          <w:ilvl w:val="0"/>
          <w:numId w:val="42"/>
        </w:numPr>
        <w:tabs>
          <w:tab w:pos="1565" w:val="left" w:leader="none"/>
          <w:tab w:pos="1566" w:val="left" w:leader="none"/>
        </w:tabs>
        <w:spacing w:line="268" w:lineRule="auto" w:before="0" w:after="0"/>
        <w:ind w:left="1565" w:right="111" w:hanging="360"/>
        <w:jc w:val="left"/>
        <w:rPr>
          <w:i/>
          <w:sz w:val="22"/>
        </w:rPr>
      </w:pPr>
      <w:r>
        <w:rPr>
          <w:i/>
          <w:sz w:val="22"/>
        </w:rPr>
        <w:t>Additional</w:t>
      </w:r>
      <w:r>
        <w:rPr>
          <w:i/>
          <w:spacing w:val="-28"/>
          <w:sz w:val="22"/>
        </w:rPr>
        <w:t> </w:t>
      </w:r>
      <w:r>
        <w:rPr>
          <w:i/>
          <w:sz w:val="22"/>
        </w:rPr>
        <w:t>fit-out</w:t>
      </w:r>
      <w:r>
        <w:rPr>
          <w:i/>
          <w:spacing w:val="-27"/>
          <w:sz w:val="22"/>
        </w:rPr>
        <w:t> </w:t>
      </w:r>
      <w:r>
        <w:rPr>
          <w:i/>
          <w:sz w:val="22"/>
        </w:rPr>
        <w:t>period/</w:t>
      </w:r>
      <w:r>
        <w:rPr>
          <w:i/>
          <w:spacing w:val="-27"/>
          <w:sz w:val="22"/>
        </w:rPr>
        <w:t> </w:t>
      </w:r>
      <w:r>
        <w:rPr>
          <w:i/>
          <w:sz w:val="22"/>
        </w:rPr>
        <w:t>rent</w:t>
      </w:r>
      <w:r>
        <w:rPr>
          <w:i/>
          <w:spacing w:val="-28"/>
          <w:sz w:val="22"/>
        </w:rPr>
        <w:t> </w:t>
      </w:r>
      <w:r>
        <w:rPr>
          <w:i/>
          <w:sz w:val="22"/>
        </w:rPr>
        <w:t>free</w:t>
      </w:r>
      <w:r>
        <w:rPr>
          <w:i/>
          <w:spacing w:val="-27"/>
          <w:sz w:val="22"/>
        </w:rPr>
        <w:t> </w:t>
      </w:r>
      <w:r>
        <w:rPr>
          <w:i/>
          <w:sz w:val="22"/>
        </w:rPr>
        <w:t>months</w:t>
      </w:r>
      <w:r>
        <w:rPr>
          <w:i/>
          <w:spacing w:val="-26"/>
          <w:sz w:val="22"/>
        </w:rPr>
        <w:t> </w:t>
      </w:r>
      <w:r>
        <w:rPr>
          <w:i/>
          <w:sz w:val="22"/>
        </w:rPr>
        <w:t>have</w:t>
      </w:r>
      <w:r>
        <w:rPr>
          <w:i/>
          <w:spacing w:val="-27"/>
          <w:sz w:val="22"/>
        </w:rPr>
        <w:t> </w:t>
      </w:r>
      <w:r>
        <w:rPr>
          <w:i/>
          <w:sz w:val="22"/>
        </w:rPr>
        <w:t>been</w:t>
      </w:r>
      <w:r>
        <w:rPr>
          <w:i/>
          <w:spacing w:val="-27"/>
          <w:sz w:val="22"/>
        </w:rPr>
        <w:t> </w:t>
      </w:r>
      <w:r>
        <w:rPr>
          <w:i/>
          <w:sz w:val="22"/>
        </w:rPr>
        <w:t>incorporated</w:t>
      </w:r>
      <w:r>
        <w:rPr>
          <w:i/>
          <w:spacing w:val="-28"/>
          <w:sz w:val="22"/>
        </w:rPr>
        <w:t> </w:t>
      </w:r>
      <w:r>
        <w:rPr>
          <w:i/>
          <w:sz w:val="22"/>
        </w:rPr>
        <w:t>where</w:t>
      </w:r>
      <w:r>
        <w:rPr>
          <w:i/>
          <w:spacing w:val="-27"/>
          <w:sz w:val="22"/>
        </w:rPr>
        <w:t> </w:t>
      </w:r>
      <w:r>
        <w:rPr>
          <w:i/>
          <w:sz w:val="22"/>
        </w:rPr>
        <w:t>fit-out</w:t>
      </w:r>
      <w:r>
        <w:rPr>
          <w:i/>
          <w:spacing w:val="-28"/>
          <w:sz w:val="22"/>
        </w:rPr>
        <w:t> </w:t>
      </w:r>
      <w:r>
        <w:rPr>
          <w:i/>
          <w:sz w:val="22"/>
        </w:rPr>
        <w:t>works</w:t>
      </w:r>
      <w:r>
        <w:rPr>
          <w:i/>
          <w:spacing w:val="-27"/>
          <w:sz w:val="22"/>
        </w:rPr>
        <w:t> </w:t>
      </w:r>
      <w:r>
        <w:rPr>
          <w:i/>
          <w:sz w:val="22"/>
        </w:rPr>
        <w:t>have </w:t>
      </w:r>
      <w:r>
        <w:rPr>
          <w:i/>
          <w:sz w:val="22"/>
        </w:rPr>
        <w:t>commenced”</w:t>
      </w:r>
    </w:p>
    <w:p>
      <w:pPr>
        <w:pStyle w:val="ListParagraph"/>
        <w:numPr>
          <w:ilvl w:val="2"/>
          <w:numId w:val="14"/>
        </w:numPr>
        <w:tabs>
          <w:tab w:pos="841" w:val="left" w:leader="none"/>
        </w:tabs>
        <w:spacing w:line="240" w:lineRule="auto" w:before="233" w:after="0"/>
        <w:ind w:left="840" w:right="0" w:hanging="721"/>
        <w:jc w:val="left"/>
        <w:rPr>
          <w:sz w:val="22"/>
        </w:rPr>
      </w:pPr>
      <w:bookmarkStart w:name="_bookmark119" w:id="234"/>
      <w:bookmarkEnd w:id="234"/>
      <w:r>
        <w:rPr/>
      </w:r>
      <w:bookmarkStart w:name="_bookmark119" w:id="235"/>
      <w:bookmarkEnd w:id="235"/>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7"/>
        <w:ind w:left="686" w:right="120"/>
        <w:jc w:val="both"/>
      </w:pPr>
      <w:r>
        <w:rPr/>
        <w:t>Based on information/rent roll provided by the Client, we understand that subject property is a commercial</w:t>
      </w:r>
      <w:r>
        <w:rPr>
          <w:spacing w:val="-28"/>
        </w:rPr>
        <w:t> </w:t>
      </w:r>
      <w:r>
        <w:rPr/>
        <w:t>city</w:t>
      </w:r>
      <w:r>
        <w:rPr>
          <w:spacing w:val="-26"/>
        </w:rPr>
        <w:t> </w:t>
      </w:r>
      <w:r>
        <w:rPr/>
        <w:t>centre</w:t>
      </w:r>
      <w:r>
        <w:rPr>
          <w:spacing w:val="-27"/>
        </w:rPr>
        <w:t> </w:t>
      </w:r>
      <w:r>
        <w:rPr/>
        <w:t>office.</w:t>
      </w:r>
      <w:r>
        <w:rPr>
          <w:spacing w:val="-27"/>
        </w:rPr>
        <w:t> </w:t>
      </w:r>
      <w:r>
        <w:rPr/>
        <w:t>Further,</w:t>
      </w:r>
      <w:r>
        <w:rPr>
          <w:spacing w:val="-27"/>
        </w:rPr>
        <w:t> </w:t>
      </w:r>
      <w:r>
        <w:rPr/>
        <w:t>the</w:t>
      </w:r>
      <w:r>
        <w:rPr>
          <w:spacing w:val="-27"/>
        </w:rPr>
        <w:t> </w:t>
      </w:r>
      <w:r>
        <w:rPr/>
        <w:t>table</w:t>
      </w:r>
      <w:r>
        <w:rPr>
          <w:spacing w:val="-27"/>
        </w:rPr>
        <w:t> </w:t>
      </w:r>
      <w:r>
        <w:rPr/>
        <w:t>below</w:t>
      </w:r>
      <w:r>
        <w:rPr>
          <w:spacing w:val="-26"/>
        </w:rPr>
        <w:t> </w:t>
      </w:r>
      <w:r>
        <w:rPr/>
        <w:t>highlights</w:t>
      </w:r>
      <w:r>
        <w:rPr>
          <w:spacing w:val="-27"/>
        </w:rPr>
        <w:t> </w:t>
      </w:r>
      <w:r>
        <w:rPr/>
        <w:t>the</w:t>
      </w:r>
      <w:r>
        <w:rPr>
          <w:spacing w:val="-27"/>
        </w:rPr>
        <w:t> </w:t>
      </w:r>
      <w:r>
        <w:rPr/>
        <w:t>area</w:t>
      </w:r>
      <w:r>
        <w:rPr>
          <w:spacing w:val="-28"/>
        </w:rPr>
        <w:t> </w:t>
      </w:r>
      <w:r>
        <w:rPr/>
        <w:t>configuration</w:t>
      </w:r>
      <w:r>
        <w:rPr>
          <w:spacing w:val="-27"/>
        </w:rPr>
        <w:t> </w:t>
      </w:r>
      <w:r>
        <w:rPr/>
        <w:t>of</w:t>
      </w:r>
      <w:r>
        <w:rPr>
          <w:spacing w:val="-27"/>
        </w:rPr>
        <w:t> </w:t>
      </w:r>
      <w:r>
        <w:rPr/>
        <w:t>the</w:t>
      </w:r>
      <w:r>
        <w:rPr>
          <w:spacing w:val="-28"/>
        </w:rPr>
        <w:t> </w:t>
      </w:r>
      <w:r>
        <w:rPr/>
        <w:t>subject property:</w:t>
      </w:r>
    </w:p>
    <w:p>
      <w:pPr>
        <w:pStyle w:val="BodyText"/>
        <w:spacing w:before="3"/>
        <w:rPr>
          <w:sz w:val="17"/>
        </w:rPr>
      </w:pPr>
      <w:r>
        <w:rPr/>
        <w:pict>
          <v:group style="position:absolute;margin-left:35.279999pt;margin-top:11.971914pt;width:524.3pt;height:16.7pt;mso-position-horizontal-relative:page;mso-position-vertical-relative:paragraph;z-index:-15448064;mso-wrap-distance-left:0;mso-wrap-distance-right:0" coordorigin="706,239" coordsize="10486,334">
            <v:shape style="position:absolute;left:720;top:268;width:10472;height:291" coordorigin="720,268" coordsize="10472,291" path="m11191,268l5055,268,720,268,720,559,5055,559,11191,559,11191,268xe" filled="true" fillcolor="#006a4d" stroked="false">
              <v:path arrowok="t"/>
              <v:fill type="solid"/>
            </v:shape>
            <v:rect style="position:absolute;left:720;top:239;width:4336;height:29" filled="true" fillcolor="#1b6b22" stroked="false">
              <v:fill type="solid"/>
            </v:rect>
            <v:shape style="position:absolute;left:720;top:268;width:4365;height:3" coordorigin="720,268" coordsize="4365,3" path="m5084,268l5055,268,720,268,720,271,5055,271,5084,271,5084,268xe" filled="true" fillcolor="#006a4d" stroked="false">
              <v:path arrowok="t"/>
              <v:fill type="solid"/>
            </v:shape>
            <v:shape style="position:absolute;left:5055;top:239;width:6136;height:29" coordorigin="5055,239" coordsize="6136,29" path="m11191,239l5084,239,5055,239,5055,268,5084,268,11191,268,11191,239xe" filled="true" fillcolor="#1b6b22" stroked="false">
              <v:path arrowok="t"/>
              <v:fill type="solid"/>
            </v:shape>
            <v:rect style="position:absolute;left:5084;top:268;width:6107;height:3" filled="true" fillcolor="#006a4d" stroked="false">
              <v:fill type="solid"/>
            </v:rect>
            <v:shape style="position:absolute;left:720;top:558;width:10472;height:15" coordorigin="720,559" coordsize="10472,15" path="m11191,559l5070,559,5055,559,720,559,720,573,5055,573,5070,573,11191,573,11191,559xe" filled="true" fillcolor="#69bd28" stroked="false">
              <v:path arrowok="t"/>
              <v:fill type="solid"/>
            </v:shape>
            <v:shape style="position:absolute;left:705;top:268;width:10486;height:291" type="#_x0000_t202" filled="false" stroked="false">
              <v:textbox inset="0,0,0,0">
                <w:txbxContent>
                  <w:p>
                    <w:pPr>
                      <w:tabs>
                        <w:tab w:pos="4366" w:val="left" w:leader="none"/>
                      </w:tabs>
                      <w:spacing w:before="42"/>
                      <w:ind w:left="0" w:right="19" w:firstLine="0"/>
                      <w:jc w:val="center"/>
                      <w:rPr>
                        <w:b/>
                        <w:sz w:val="18"/>
                      </w:rPr>
                    </w:pPr>
                    <w:r>
                      <w:rPr>
                        <w:b/>
                        <w:color w:val="FFFFFF"/>
                        <w:w w:val="110"/>
                        <w:sz w:val="18"/>
                      </w:rPr>
                      <w:t>Components</w:t>
                      <w:tab/>
                      <w:t>Completed leasable area (in</w:t>
                    </w:r>
                    <w:r>
                      <w:rPr>
                        <w:b/>
                        <w:color w:val="FFFFFF"/>
                        <w:spacing w:val="-14"/>
                        <w:w w:val="110"/>
                        <w:sz w:val="18"/>
                      </w:rPr>
                      <w:t> </w:t>
                    </w:r>
                    <w:r>
                      <w:rPr>
                        <w:b/>
                        <w:color w:val="FFFFFF"/>
                        <w:w w:val="110"/>
                        <w:sz w:val="18"/>
                      </w:rPr>
                      <w:t>sf)</w:t>
                    </w:r>
                  </w:p>
                </w:txbxContent>
              </v:textbox>
              <w10:wrap type="none"/>
            </v:shape>
            <w10:wrap type="topAndBottom"/>
          </v:group>
        </w:pict>
      </w:r>
    </w:p>
    <w:p>
      <w:pPr>
        <w:tabs>
          <w:tab w:pos="5819" w:val="left" w:leader="none"/>
        </w:tabs>
        <w:spacing w:before="10" w:after="39"/>
        <w:ind w:left="0" w:right="2760" w:firstLine="0"/>
        <w:jc w:val="right"/>
        <w:rPr>
          <w:sz w:val="18"/>
        </w:rPr>
      </w:pPr>
      <w:r>
        <w:rPr>
          <w:sz w:val="18"/>
        </w:rPr>
        <w:t>Office</w:t>
      </w:r>
      <w:r>
        <w:rPr>
          <w:spacing w:val="-12"/>
          <w:sz w:val="18"/>
        </w:rPr>
        <w:t> </w:t>
      </w:r>
      <w:r>
        <w:rPr>
          <w:sz w:val="18"/>
        </w:rPr>
        <w:t>Area</w:t>
      </w:r>
      <w:r>
        <w:rPr>
          <w:spacing w:val="-15"/>
          <w:sz w:val="18"/>
        </w:rPr>
        <w:t> </w:t>
      </w:r>
      <w:r>
        <w:rPr>
          <w:sz w:val="18"/>
        </w:rPr>
        <w:t>(Operational)</w:t>
        <w:tab/>
        <w:t>1,189,544</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350,0,4335,0,0,0,0,14,4335,14,4350,14,10471,14,10471,0xe" filled="true" fillcolor="#69bd28" stroked="false">
              <v:path arrowok="t"/>
              <v:fill type="solid"/>
            </v:shape>
          </v:group>
        </w:pict>
      </w:r>
      <w:r>
        <w:rPr>
          <w:sz w:val="2"/>
        </w:rPr>
      </w:r>
    </w:p>
    <w:p>
      <w:pPr>
        <w:tabs>
          <w:tab w:pos="5005" w:val="left" w:leader="none"/>
        </w:tabs>
        <w:spacing w:before="36"/>
        <w:ind w:left="0" w:right="2757" w:firstLine="0"/>
        <w:jc w:val="right"/>
        <w:rPr>
          <w:sz w:val="18"/>
        </w:rPr>
      </w:pPr>
      <w:r>
        <w:rPr/>
        <w:pict>
          <v:shape style="position:absolute;margin-left:35.280003pt;margin-top:14.210673pt;width:524.3pt;height:.75pt;mso-position-horizontal-relative:page;mso-position-vertical-relative:paragraph;z-index:-15447040;mso-wrap-distance-left:0;mso-wrap-distance-right:0" coordorigin="706,284" coordsize="10486,15" path="m11191,284l5055,284,5041,284,706,284,706,299,5041,299,5055,299,11191,299,11191,284xe" filled="true" fillcolor="#69bd28" stroked="false">
            <v:path arrowok="t"/>
            <v:fill type="solid"/>
            <w10:wrap type="topAndBottom"/>
          </v:shape>
        </w:pict>
      </w:r>
      <w:r>
        <w:rPr>
          <w:sz w:val="18"/>
        </w:rPr>
        <w:t>Total</w:t>
        <w:tab/>
        <w:t>1,189,544</w:t>
      </w:r>
    </w:p>
    <w:p>
      <w:pPr>
        <w:spacing w:before="0"/>
        <w:ind w:left="120" w:right="0" w:firstLine="0"/>
        <w:jc w:val="left"/>
        <w:rPr>
          <w:i/>
          <w:sz w:val="18"/>
        </w:rPr>
      </w:pPr>
      <w:r>
        <w:rPr>
          <w:i/>
          <w:sz w:val="18"/>
        </w:rPr>
        <w:t>Source: Architect certificate and Rent roll provided by Client</w:t>
      </w:r>
    </w:p>
    <w:p>
      <w:pPr>
        <w:pStyle w:val="BodyText"/>
        <w:spacing w:before="4"/>
        <w:rPr>
          <w:i/>
          <w:sz w:val="21"/>
        </w:rPr>
      </w:pPr>
    </w:p>
    <w:p>
      <w:pPr>
        <w:pStyle w:val="ListParagraph"/>
        <w:numPr>
          <w:ilvl w:val="2"/>
          <w:numId w:val="14"/>
        </w:numPr>
        <w:tabs>
          <w:tab w:pos="841" w:val="left" w:leader="none"/>
        </w:tabs>
        <w:spacing w:line="240" w:lineRule="auto" w:before="0" w:after="0"/>
        <w:ind w:left="840" w:right="0" w:hanging="721"/>
        <w:jc w:val="both"/>
        <w:rPr>
          <w:sz w:val="22"/>
        </w:rPr>
      </w:pPr>
      <w:bookmarkStart w:name="_bookmark120" w:id="236"/>
      <w:bookmarkEnd w:id="236"/>
      <w:r>
        <w:rPr/>
      </w:r>
      <w:bookmarkStart w:name="_bookmark120" w:id="237"/>
      <w:bookmarkEnd w:id="237"/>
      <w:r>
        <w:rPr>
          <w:color w:val="1F664D"/>
          <w:sz w:val="22"/>
        </w:rPr>
        <w:t>Con</w:t>
      </w:r>
      <w:r>
        <w:rPr>
          <w:color w:val="1F664D"/>
          <w:sz w:val="22"/>
        </w:rPr>
        <w:t>struction Timelines</w:t>
      </w:r>
    </w:p>
    <w:p>
      <w:pPr>
        <w:pStyle w:val="BodyText"/>
        <w:spacing w:before="6"/>
        <w:rPr>
          <w:sz w:val="25"/>
        </w:rPr>
      </w:pPr>
    </w:p>
    <w:p>
      <w:pPr>
        <w:spacing w:before="0"/>
        <w:ind w:left="120" w:right="0" w:firstLine="0"/>
        <w:jc w:val="both"/>
        <w:rPr>
          <w:i/>
          <w:sz w:val="20"/>
        </w:rPr>
      </w:pPr>
      <w:r>
        <w:rPr>
          <w:i/>
          <w:color w:val="008000"/>
          <w:sz w:val="22"/>
        </w:rPr>
        <w:t>7.4.3.1 </w:t>
      </w:r>
      <w:r>
        <w:rPr>
          <w:i/>
          <w:color w:val="008000"/>
          <w:sz w:val="20"/>
        </w:rPr>
        <w:t>Completed Blocks</w:t>
      </w:r>
    </w:p>
    <w:p>
      <w:pPr>
        <w:pStyle w:val="BodyText"/>
        <w:spacing w:line="321" w:lineRule="auto" w:before="76"/>
        <w:ind w:left="686" w:right="115"/>
        <w:jc w:val="both"/>
      </w:pPr>
      <w:r>
        <w:rPr/>
        <w:t>As</w:t>
      </w:r>
      <w:r>
        <w:rPr>
          <w:spacing w:val="-23"/>
        </w:rPr>
        <w:t> </w:t>
      </w:r>
      <w:r>
        <w:rPr/>
        <w:t>highlighted</w:t>
      </w:r>
      <w:r>
        <w:rPr>
          <w:spacing w:val="-22"/>
        </w:rPr>
        <w:t> </w:t>
      </w:r>
      <w:r>
        <w:rPr/>
        <w:t>earlier,</w:t>
      </w:r>
      <w:r>
        <w:rPr>
          <w:spacing w:val="-23"/>
        </w:rPr>
        <w:t> </w:t>
      </w:r>
      <w:r>
        <w:rPr/>
        <w:t>the</w:t>
      </w:r>
      <w:r>
        <w:rPr>
          <w:spacing w:val="-25"/>
        </w:rPr>
        <w:t> </w:t>
      </w:r>
      <w:r>
        <w:rPr/>
        <w:t>subject</w:t>
      </w:r>
      <w:r>
        <w:rPr>
          <w:spacing w:val="-22"/>
        </w:rPr>
        <w:t> </w:t>
      </w:r>
      <w:r>
        <w:rPr/>
        <w:t>property</w:t>
      </w:r>
      <w:r>
        <w:rPr>
          <w:spacing w:val="-22"/>
        </w:rPr>
        <w:t> </w:t>
      </w:r>
      <w:r>
        <w:rPr/>
        <w:t>has</w:t>
      </w:r>
      <w:r>
        <w:rPr>
          <w:spacing w:val="-23"/>
        </w:rPr>
        <w:t> </w:t>
      </w:r>
      <w:r>
        <w:rPr/>
        <w:t>1.19</w:t>
      </w:r>
      <w:r>
        <w:rPr>
          <w:spacing w:val="-23"/>
        </w:rPr>
        <w:t> </w:t>
      </w:r>
      <w:r>
        <w:rPr/>
        <w:t>msf</w:t>
      </w:r>
      <w:r>
        <w:rPr>
          <w:spacing w:val="-21"/>
        </w:rPr>
        <w:t> </w:t>
      </w:r>
      <w:r>
        <w:rPr/>
        <w:t>of</w:t>
      </w:r>
      <w:r>
        <w:rPr>
          <w:spacing w:val="-22"/>
        </w:rPr>
        <w:t> </w:t>
      </w:r>
      <w:r>
        <w:rPr/>
        <w:t>completed</w:t>
      </w:r>
      <w:r>
        <w:rPr>
          <w:spacing w:val="-22"/>
        </w:rPr>
        <w:t> </w:t>
      </w:r>
      <w:r>
        <w:rPr/>
        <w:t>leasable</w:t>
      </w:r>
      <w:r>
        <w:rPr>
          <w:spacing w:val="-23"/>
        </w:rPr>
        <w:t> </w:t>
      </w:r>
      <w:r>
        <w:rPr/>
        <w:t>area</w:t>
      </w:r>
      <w:r>
        <w:rPr>
          <w:spacing w:val="-23"/>
        </w:rPr>
        <w:t> </w:t>
      </w:r>
      <w:r>
        <w:rPr/>
        <w:t>and</w:t>
      </w:r>
      <w:r>
        <w:rPr>
          <w:spacing w:val="-21"/>
        </w:rPr>
        <w:t> </w:t>
      </w:r>
      <w:r>
        <w:rPr/>
        <w:t>approx.</w:t>
      </w:r>
      <w:r>
        <w:rPr>
          <w:spacing w:val="-24"/>
        </w:rPr>
        <w:t> </w:t>
      </w:r>
      <w:r>
        <w:rPr/>
        <w:t>39.12 Mn</w:t>
      </w:r>
      <w:r>
        <w:rPr>
          <w:spacing w:val="-10"/>
        </w:rPr>
        <w:t> </w:t>
      </w:r>
      <w:r>
        <w:rPr/>
        <w:t>of</w:t>
      </w:r>
      <w:r>
        <w:rPr>
          <w:spacing w:val="-9"/>
        </w:rPr>
        <w:t> </w:t>
      </w:r>
      <w:r>
        <w:rPr/>
        <w:t>cost</w:t>
      </w:r>
      <w:r>
        <w:rPr>
          <w:spacing w:val="-8"/>
        </w:rPr>
        <w:t> </w:t>
      </w:r>
      <w:r>
        <w:rPr/>
        <w:t>is</w:t>
      </w:r>
      <w:r>
        <w:rPr>
          <w:spacing w:val="-10"/>
        </w:rPr>
        <w:t> </w:t>
      </w:r>
      <w:r>
        <w:rPr/>
        <w:t>to</w:t>
      </w:r>
      <w:r>
        <w:rPr>
          <w:spacing w:val="-12"/>
        </w:rPr>
        <w:t> </w:t>
      </w:r>
      <w:r>
        <w:rPr/>
        <w:t>be</w:t>
      </w:r>
      <w:r>
        <w:rPr>
          <w:spacing w:val="-9"/>
        </w:rPr>
        <w:t> </w:t>
      </w:r>
      <w:r>
        <w:rPr/>
        <w:t>incurred</w:t>
      </w:r>
      <w:r>
        <w:rPr>
          <w:spacing w:val="-8"/>
        </w:rPr>
        <w:t> </w:t>
      </w:r>
      <w:r>
        <w:rPr/>
        <w:t>on</w:t>
      </w:r>
      <w:r>
        <w:rPr>
          <w:spacing w:val="-10"/>
        </w:rPr>
        <w:t> </w:t>
      </w:r>
      <w:r>
        <w:rPr/>
        <w:t>refurbishments</w:t>
      </w:r>
      <w:r>
        <w:rPr>
          <w:spacing w:val="-8"/>
        </w:rPr>
        <w:t> </w:t>
      </w:r>
      <w:r>
        <w:rPr/>
        <w:t>over</w:t>
      </w:r>
      <w:r>
        <w:rPr>
          <w:spacing w:val="-9"/>
        </w:rPr>
        <w:t> </w:t>
      </w:r>
      <w:r>
        <w:rPr/>
        <w:t>the</w:t>
      </w:r>
      <w:r>
        <w:rPr>
          <w:spacing w:val="-10"/>
        </w:rPr>
        <w:t> </w:t>
      </w:r>
      <w:r>
        <w:rPr/>
        <w:t>next</w:t>
      </w:r>
      <w:r>
        <w:rPr>
          <w:spacing w:val="-9"/>
        </w:rPr>
        <w:t> </w:t>
      </w:r>
      <w:r>
        <w:rPr/>
        <w:t>4</w:t>
      </w:r>
      <w:r>
        <w:rPr>
          <w:spacing w:val="-11"/>
        </w:rPr>
        <w:t> </w:t>
      </w:r>
      <w:r>
        <w:rPr/>
        <w:t>quarters</w:t>
      </w:r>
      <w:r>
        <w:rPr>
          <w:spacing w:val="-6"/>
        </w:rPr>
        <w:t> </w:t>
      </w:r>
      <w:r>
        <w:rPr/>
        <w:t>as</w:t>
      </w:r>
      <w:r>
        <w:rPr>
          <w:spacing w:val="-10"/>
        </w:rPr>
        <w:t> </w:t>
      </w:r>
      <w:r>
        <w:rPr/>
        <w:t>of</w:t>
      </w:r>
      <w:r>
        <w:rPr>
          <w:spacing w:val="-10"/>
        </w:rPr>
        <w:t> </w:t>
      </w:r>
      <w:r>
        <w:rPr/>
        <w:t>date</w:t>
      </w:r>
      <w:r>
        <w:rPr>
          <w:spacing w:val="-10"/>
        </w:rPr>
        <w:t> </w:t>
      </w:r>
      <w:r>
        <w:rPr/>
        <w:t>of</w:t>
      </w:r>
      <w:r>
        <w:rPr>
          <w:spacing w:val="-8"/>
        </w:rPr>
        <w:t> </w:t>
      </w:r>
      <w:r>
        <w:rPr/>
        <w:t>valuation</w:t>
      </w:r>
      <w:r>
        <w:rPr>
          <w:spacing w:val="-9"/>
        </w:rPr>
        <w:t> </w:t>
      </w:r>
      <w:r>
        <w:rPr/>
        <w:t>for</w:t>
      </w:r>
      <w:r>
        <w:rPr>
          <w:spacing w:val="-12"/>
        </w:rPr>
        <w:t> </w:t>
      </w:r>
      <w:r>
        <w:rPr/>
        <w:t>the completed</w:t>
      </w:r>
      <w:r>
        <w:rPr>
          <w:spacing w:val="-3"/>
        </w:rPr>
        <w:t> </w:t>
      </w:r>
      <w:r>
        <w:rPr/>
        <w:t>blocks.</w:t>
      </w:r>
    </w:p>
    <w:p>
      <w:pPr>
        <w:spacing w:after="0" w:line="321" w:lineRule="auto"/>
        <w:jc w:val="both"/>
        <w:sectPr>
          <w:pgSz w:w="11910" w:h="16840"/>
          <w:pgMar w:header="919" w:footer="1149" w:top="1660" w:bottom="1340" w:left="600" w:right="600"/>
        </w:sectPr>
      </w:pPr>
    </w:p>
    <w:p>
      <w:pPr>
        <w:pStyle w:val="BodyText"/>
        <w:spacing w:before="7"/>
        <w:rPr>
          <w:sz w:val="9"/>
        </w:rPr>
      </w:pPr>
    </w:p>
    <w:p>
      <w:pPr>
        <w:pStyle w:val="ListParagraph"/>
        <w:numPr>
          <w:ilvl w:val="2"/>
          <w:numId w:val="14"/>
        </w:numPr>
        <w:tabs>
          <w:tab w:pos="841" w:val="left" w:leader="none"/>
        </w:tabs>
        <w:spacing w:line="240" w:lineRule="auto" w:before="106" w:after="0"/>
        <w:ind w:left="840" w:right="0" w:hanging="721"/>
        <w:jc w:val="both"/>
        <w:rPr>
          <w:sz w:val="22"/>
        </w:rPr>
      </w:pPr>
      <w:bookmarkStart w:name="_bookmark121" w:id="238"/>
      <w:bookmarkEnd w:id="238"/>
      <w:r>
        <w:rPr/>
      </w:r>
      <w:bookmarkStart w:name="_bookmark121" w:id="239"/>
      <w:bookmarkEnd w:id="239"/>
      <w:r>
        <w:rPr>
          <w:color w:val="1F664D"/>
          <w:sz w:val="22"/>
        </w:rPr>
        <w:t>A</w:t>
      </w:r>
      <w:r>
        <w:rPr>
          <w:color w:val="1F664D"/>
          <w:sz w:val="22"/>
        </w:rPr>
        <w:t>bsorption/ Leasing Velocity and Occupancy</w:t>
      </w:r>
      <w:r>
        <w:rPr>
          <w:color w:val="1F664D"/>
          <w:spacing w:val="1"/>
          <w:sz w:val="22"/>
        </w:rPr>
        <w:t> </w:t>
      </w:r>
      <w:r>
        <w:rPr>
          <w:color w:val="1F664D"/>
          <w:sz w:val="22"/>
        </w:rPr>
        <w:t>Profile</w:t>
      </w:r>
    </w:p>
    <w:p>
      <w:pPr>
        <w:pStyle w:val="BodyText"/>
        <w:spacing w:before="6"/>
        <w:rPr>
          <w:sz w:val="25"/>
        </w:rPr>
      </w:pPr>
    </w:p>
    <w:p>
      <w:pPr>
        <w:spacing w:before="1"/>
        <w:ind w:left="120" w:right="0" w:firstLine="0"/>
        <w:jc w:val="both"/>
        <w:rPr>
          <w:i/>
          <w:sz w:val="20"/>
        </w:rPr>
      </w:pPr>
      <w:r>
        <w:rPr>
          <w:i/>
          <w:color w:val="008000"/>
          <w:sz w:val="22"/>
        </w:rPr>
        <w:t>7.4.4.1 </w:t>
      </w:r>
      <w:r>
        <w:rPr>
          <w:i/>
          <w:color w:val="008000"/>
          <w:sz w:val="20"/>
        </w:rPr>
        <w:t>Completed Blocks</w:t>
      </w:r>
    </w:p>
    <w:p>
      <w:pPr>
        <w:pStyle w:val="BodyText"/>
        <w:spacing w:line="321" w:lineRule="auto" w:before="135"/>
        <w:ind w:left="682" w:right="115"/>
        <w:jc w:val="both"/>
      </w:pPr>
      <w:r>
        <w:rPr/>
        <w:t>Based on the information provided by the Client, we understand that the subject property is fully operational.</w:t>
      </w:r>
      <w:r>
        <w:rPr>
          <w:spacing w:val="-21"/>
        </w:rPr>
        <w:t> </w:t>
      </w:r>
      <w:r>
        <w:rPr/>
        <w:t>Based</w:t>
      </w:r>
      <w:r>
        <w:rPr>
          <w:spacing w:val="-19"/>
        </w:rPr>
        <w:t> </w:t>
      </w:r>
      <w:r>
        <w:rPr/>
        <w:t>on</w:t>
      </w:r>
      <w:r>
        <w:rPr>
          <w:spacing w:val="-19"/>
        </w:rPr>
        <w:t> </w:t>
      </w:r>
      <w:r>
        <w:rPr/>
        <w:t>the</w:t>
      </w:r>
      <w:r>
        <w:rPr>
          <w:spacing w:val="-20"/>
        </w:rPr>
        <w:t> </w:t>
      </w:r>
      <w:r>
        <w:rPr/>
        <w:t>rent</w:t>
      </w:r>
      <w:r>
        <w:rPr>
          <w:spacing w:val="-20"/>
        </w:rPr>
        <w:t> </w:t>
      </w:r>
      <w:r>
        <w:rPr/>
        <w:t>roll,</w:t>
      </w:r>
      <w:r>
        <w:rPr>
          <w:spacing w:val="-19"/>
        </w:rPr>
        <w:t> </w:t>
      </w:r>
      <w:r>
        <w:rPr/>
        <w:t>it</w:t>
      </w:r>
      <w:r>
        <w:rPr>
          <w:spacing w:val="-18"/>
        </w:rPr>
        <w:t> </w:t>
      </w:r>
      <w:r>
        <w:rPr/>
        <w:t>is</w:t>
      </w:r>
      <w:r>
        <w:rPr>
          <w:spacing w:val="-19"/>
        </w:rPr>
        <w:t> </w:t>
      </w:r>
      <w:r>
        <w:rPr/>
        <w:t>observed</w:t>
      </w:r>
      <w:r>
        <w:rPr>
          <w:spacing w:val="-20"/>
        </w:rPr>
        <w:t> </w:t>
      </w:r>
      <w:r>
        <w:rPr/>
        <w:t>that</w:t>
      </w:r>
      <w:r>
        <w:rPr>
          <w:spacing w:val="-19"/>
        </w:rPr>
        <w:t> </w:t>
      </w:r>
      <w:r>
        <w:rPr/>
        <w:t>the</w:t>
      </w:r>
      <w:r>
        <w:rPr>
          <w:spacing w:val="-19"/>
        </w:rPr>
        <w:t> </w:t>
      </w:r>
      <w:r>
        <w:rPr/>
        <w:t>subject</w:t>
      </w:r>
      <w:r>
        <w:rPr>
          <w:spacing w:val="-19"/>
        </w:rPr>
        <w:t> </w:t>
      </w:r>
      <w:r>
        <w:rPr/>
        <w:t>property</w:t>
      </w:r>
      <w:r>
        <w:rPr>
          <w:spacing w:val="-19"/>
        </w:rPr>
        <w:t> </w:t>
      </w:r>
      <w:r>
        <w:rPr/>
        <w:t>has</w:t>
      </w:r>
      <w:r>
        <w:rPr>
          <w:spacing w:val="-19"/>
        </w:rPr>
        <w:t> </w:t>
      </w:r>
      <w:r>
        <w:rPr/>
        <w:t>a</w:t>
      </w:r>
      <w:r>
        <w:rPr>
          <w:spacing w:val="-20"/>
        </w:rPr>
        <w:t> </w:t>
      </w:r>
      <w:r>
        <w:rPr/>
        <w:t>total</w:t>
      </w:r>
      <w:r>
        <w:rPr>
          <w:spacing w:val="-19"/>
        </w:rPr>
        <w:t> </w:t>
      </w:r>
      <w:r>
        <w:rPr/>
        <w:t>leasable</w:t>
      </w:r>
      <w:r>
        <w:rPr>
          <w:spacing w:val="-20"/>
        </w:rPr>
        <w:t> </w:t>
      </w:r>
      <w:r>
        <w:rPr/>
        <w:t>area</w:t>
      </w:r>
      <w:r>
        <w:rPr>
          <w:spacing w:val="-20"/>
        </w:rPr>
        <w:t> </w:t>
      </w:r>
      <w:r>
        <w:rPr/>
        <w:t>of approx.</w:t>
      </w:r>
      <w:r>
        <w:rPr>
          <w:spacing w:val="-10"/>
        </w:rPr>
        <w:t> </w:t>
      </w:r>
      <w:r>
        <w:rPr/>
        <w:t>1,189,544</w:t>
      </w:r>
      <w:r>
        <w:rPr>
          <w:spacing w:val="-9"/>
        </w:rPr>
        <w:t> </w:t>
      </w:r>
      <w:r>
        <w:rPr/>
        <w:t>sf.</w:t>
      </w:r>
      <w:r>
        <w:rPr>
          <w:spacing w:val="-10"/>
        </w:rPr>
        <w:t> </w:t>
      </w:r>
      <w:r>
        <w:rPr/>
        <w:t>Of</w:t>
      </w:r>
      <w:r>
        <w:rPr>
          <w:spacing w:val="-10"/>
        </w:rPr>
        <w:t> </w:t>
      </w:r>
      <w:r>
        <w:rPr/>
        <w:t>the</w:t>
      </w:r>
      <w:r>
        <w:rPr>
          <w:spacing w:val="-10"/>
        </w:rPr>
        <w:t> </w:t>
      </w:r>
      <w:r>
        <w:rPr/>
        <w:t>total</w:t>
      </w:r>
      <w:r>
        <w:rPr>
          <w:spacing w:val="-10"/>
        </w:rPr>
        <w:t> </w:t>
      </w:r>
      <w:r>
        <w:rPr/>
        <w:t>leasable</w:t>
      </w:r>
      <w:r>
        <w:rPr>
          <w:spacing w:val="-10"/>
        </w:rPr>
        <w:t> </w:t>
      </w:r>
      <w:r>
        <w:rPr/>
        <w:t>area,</w:t>
      </w:r>
      <w:r>
        <w:rPr>
          <w:spacing w:val="-7"/>
        </w:rPr>
        <w:t> </w:t>
      </w:r>
      <w:r>
        <w:rPr/>
        <w:t>approx.</w:t>
      </w:r>
      <w:r>
        <w:rPr>
          <w:spacing w:val="-7"/>
        </w:rPr>
        <w:t> </w:t>
      </w:r>
      <w:r>
        <w:rPr/>
        <w:t>1,108,424</w:t>
      </w:r>
      <w:r>
        <w:rPr>
          <w:spacing w:val="-9"/>
        </w:rPr>
        <w:t> </w:t>
      </w:r>
      <w:r>
        <w:rPr/>
        <w:t>sf</w:t>
      </w:r>
      <w:r>
        <w:rPr>
          <w:spacing w:val="-9"/>
        </w:rPr>
        <w:t> </w:t>
      </w:r>
      <w:r>
        <w:rPr/>
        <w:t>is</w:t>
      </w:r>
      <w:r>
        <w:rPr>
          <w:spacing w:val="-8"/>
        </w:rPr>
        <w:t> </w:t>
      </w:r>
      <w:r>
        <w:rPr/>
        <w:t>leased</w:t>
      </w:r>
      <w:r>
        <w:rPr>
          <w:spacing w:val="-7"/>
        </w:rPr>
        <w:t> </w:t>
      </w:r>
      <w:r>
        <w:rPr/>
        <w:t>and</w:t>
      </w:r>
      <w:r>
        <w:rPr>
          <w:spacing w:val="-10"/>
        </w:rPr>
        <w:t> </w:t>
      </w:r>
      <w:r>
        <w:rPr/>
        <w:t>approx.</w:t>
      </w:r>
      <w:r>
        <w:rPr>
          <w:spacing w:val="-8"/>
        </w:rPr>
        <w:t> </w:t>
      </w:r>
      <w:r>
        <w:rPr/>
        <w:t>81,120</w:t>
      </w:r>
      <w:r>
        <w:rPr>
          <w:spacing w:val="-10"/>
        </w:rPr>
        <w:t> </w:t>
      </w:r>
      <w:r>
        <w:rPr/>
        <w:t>sf of space is vacant as on date of</w:t>
      </w:r>
      <w:r>
        <w:rPr>
          <w:spacing w:val="-23"/>
        </w:rPr>
        <w:t> </w:t>
      </w:r>
      <w:r>
        <w:rPr/>
        <w:t>valuation.</w:t>
      </w:r>
    </w:p>
    <w:p>
      <w:pPr>
        <w:pStyle w:val="BodyText"/>
        <w:spacing w:before="121"/>
        <w:ind w:left="682"/>
        <w:jc w:val="both"/>
      </w:pPr>
      <w:r>
        <w:rPr>
          <w:u w:val="single"/>
        </w:rPr>
        <w:t>Leasing timelines</w:t>
      </w:r>
    </w:p>
    <w:p>
      <w:pPr>
        <w:pStyle w:val="BodyText"/>
        <w:spacing w:line="321" w:lineRule="auto" w:before="209"/>
        <w:ind w:left="686" w:right="115"/>
        <w:jc w:val="both"/>
      </w:pPr>
      <w:r>
        <w:rPr/>
        <w:pict>
          <v:shape style="position:absolute;margin-left:35.279999pt;margin-top:67.578583pt;width:524.3pt;height:148.35pt;mso-position-horizontal-relative:page;mso-position-vertical-relative:paragraph;z-index:16010752"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43"/>
                    <w:gridCol w:w="1478"/>
                    <w:gridCol w:w="1438"/>
                    <w:gridCol w:w="1475"/>
                    <w:gridCol w:w="1447"/>
                  </w:tblGrid>
                  <w:tr>
                    <w:trPr>
                      <w:trHeight w:val="839" w:hRule="atLeast"/>
                    </w:trPr>
                    <w:tc>
                      <w:tcPr>
                        <w:tcW w:w="4643" w:type="dxa"/>
                        <w:tcBorders>
                          <w:bottom w:val="single" w:sz="4" w:space="0" w:color="92D050"/>
                        </w:tcBorders>
                        <w:shd w:val="clear" w:color="auto" w:fill="006A4D"/>
                      </w:tcPr>
                      <w:p>
                        <w:pPr>
                          <w:pStyle w:val="TableParagraph"/>
                          <w:tabs>
                            <w:tab w:pos="1922" w:val="left" w:leader="none"/>
                            <w:tab w:pos="3423" w:val="left" w:leader="none"/>
                          </w:tabs>
                          <w:spacing w:before="144"/>
                          <w:ind w:left="331"/>
                          <w:jc w:val="left"/>
                          <w:rPr>
                            <w:rFonts w:ascii="Verdana"/>
                            <w:b/>
                            <w:i/>
                            <w:sz w:val="18"/>
                          </w:rPr>
                        </w:pPr>
                        <w:r>
                          <w:rPr>
                            <w:rFonts w:ascii="Verdana"/>
                            <w:b/>
                            <w:i/>
                            <w:color w:val="FFFFFF"/>
                            <w:w w:val="77"/>
                            <w:sz w:val="18"/>
                          </w:rPr>
                          <w:t>P</w:t>
                        </w:r>
                        <w:r>
                          <w:rPr>
                            <w:rFonts w:ascii="Verdana"/>
                            <w:b/>
                            <w:i/>
                            <w:color w:val="FFFFFF"/>
                            <w:w w:val="89"/>
                            <w:sz w:val="18"/>
                          </w:rPr>
                          <w:t>a</w:t>
                        </w:r>
                        <w:r>
                          <w:rPr>
                            <w:rFonts w:ascii="Verdana"/>
                            <w:b/>
                            <w:i/>
                            <w:color w:val="FFFFFF"/>
                            <w:w w:val="79"/>
                            <w:sz w:val="18"/>
                          </w:rPr>
                          <w:t>r</w:t>
                        </w:r>
                        <w:r>
                          <w:rPr>
                            <w:rFonts w:ascii="Verdana"/>
                            <w:b/>
                            <w:i/>
                            <w:color w:val="FFFFFF"/>
                            <w:spacing w:val="-1"/>
                            <w:w w:val="74"/>
                            <w:sz w:val="18"/>
                          </w:rPr>
                          <w:t>t</w:t>
                        </w:r>
                        <w:r>
                          <w:rPr>
                            <w:rFonts w:ascii="Verdana"/>
                            <w:b/>
                            <w:i/>
                            <w:color w:val="FFFFFF"/>
                            <w:w w:val="80"/>
                            <w:sz w:val="18"/>
                          </w:rPr>
                          <w:t>i</w:t>
                        </w:r>
                        <w:r>
                          <w:rPr>
                            <w:rFonts w:ascii="Verdana"/>
                            <w:b/>
                            <w:i/>
                            <w:color w:val="FFFFFF"/>
                            <w:spacing w:val="1"/>
                            <w:w w:val="80"/>
                            <w:sz w:val="18"/>
                          </w:rPr>
                          <w:t>c</w:t>
                        </w:r>
                        <w:r>
                          <w:rPr>
                            <w:rFonts w:ascii="Verdana"/>
                            <w:b/>
                            <w:i/>
                            <w:smallCaps/>
                            <w:color w:val="FFFFFF"/>
                            <w:spacing w:val="-1"/>
                            <w:w w:val="93"/>
                            <w:sz w:val="18"/>
                          </w:rPr>
                          <w:t>u</w:t>
                        </w:r>
                        <w:r>
                          <w:rPr>
                            <w:rFonts w:ascii="Verdana"/>
                            <w:b/>
                            <w:i/>
                            <w:smallCaps w:val="0"/>
                            <w:color w:val="FFFFFF"/>
                            <w:w w:val="86"/>
                            <w:sz w:val="18"/>
                          </w:rPr>
                          <w:t>la</w:t>
                        </w:r>
                        <w:r>
                          <w:rPr>
                            <w:rFonts w:ascii="Verdana"/>
                            <w:b/>
                            <w:i/>
                            <w:smallCaps w:val="0"/>
                            <w:color w:val="FFFFFF"/>
                            <w:w w:val="79"/>
                            <w:sz w:val="18"/>
                          </w:rPr>
                          <w:t>r</w:t>
                        </w:r>
                        <w:r>
                          <w:rPr>
                            <w:rFonts w:ascii="Verdana"/>
                            <w:b/>
                            <w:i/>
                            <w:smallCaps w:val="0"/>
                            <w:color w:val="FFFFFF"/>
                            <w:sz w:val="18"/>
                          </w:rPr>
                          <w:tab/>
                        </w:r>
                        <w:r>
                          <w:rPr>
                            <w:rFonts w:ascii="Verdana"/>
                            <w:b/>
                            <w:i/>
                            <w:smallCaps w:val="0"/>
                            <w:color w:val="FFFFFF"/>
                            <w:w w:val="89"/>
                            <w:position w:val="14"/>
                            <w:sz w:val="18"/>
                          </w:rPr>
                          <w:t>Ab</w:t>
                        </w:r>
                        <w:r>
                          <w:rPr>
                            <w:rFonts w:ascii="Verdana"/>
                            <w:b/>
                            <w:i/>
                            <w:smallCaps w:val="0"/>
                            <w:color w:val="FFFFFF"/>
                            <w:spacing w:val="-1"/>
                            <w:w w:val="82"/>
                            <w:position w:val="14"/>
                            <w:sz w:val="18"/>
                          </w:rPr>
                          <w:t>sor</w:t>
                        </w:r>
                        <w:r>
                          <w:rPr>
                            <w:rFonts w:ascii="Verdana"/>
                            <w:b/>
                            <w:i/>
                            <w:smallCaps w:val="0"/>
                            <w:color w:val="FFFFFF"/>
                            <w:w w:val="82"/>
                            <w:position w:val="14"/>
                            <w:sz w:val="18"/>
                          </w:rPr>
                          <w:t>p</w:t>
                        </w:r>
                        <w:r>
                          <w:rPr>
                            <w:rFonts w:ascii="Verdana"/>
                            <w:b/>
                            <w:i/>
                            <w:smallCaps w:val="0"/>
                            <w:color w:val="FFFFFF"/>
                            <w:spacing w:val="-1"/>
                            <w:w w:val="74"/>
                            <w:position w:val="14"/>
                            <w:sz w:val="18"/>
                          </w:rPr>
                          <w:t>t</w:t>
                        </w:r>
                        <w:r>
                          <w:rPr>
                            <w:rFonts w:ascii="Verdana"/>
                            <w:b/>
                            <w:i/>
                            <w:smallCaps w:val="0"/>
                            <w:color w:val="FFFFFF"/>
                            <w:w w:val="84"/>
                            <w:position w:val="14"/>
                            <w:sz w:val="18"/>
                          </w:rPr>
                          <w:t>ion</w:t>
                        </w:r>
                        <w:r>
                          <w:rPr>
                            <w:rFonts w:ascii="Verdana"/>
                            <w:b/>
                            <w:i/>
                            <w:smallCaps w:val="0"/>
                            <w:color w:val="FFFFFF"/>
                            <w:position w:val="14"/>
                            <w:sz w:val="18"/>
                          </w:rPr>
                          <w:tab/>
                        </w:r>
                        <w:r>
                          <w:rPr>
                            <w:rFonts w:ascii="Verdana"/>
                            <w:b/>
                            <w:i/>
                            <w:smallCaps w:val="0"/>
                            <w:color w:val="FFFFFF"/>
                            <w:w w:val="92"/>
                            <w:sz w:val="18"/>
                          </w:rPr>
                          <w:t>Q1</w:t>
                        </w:r>
                        <w:r>
                          <w:rPr>
                            <w:rFonts w:ascii="Verdana"/>
                            <w:b/>
                            <w:i/>
                            <w:smallCaps w:val="0"/>
                            <w:color w:val="FFFFFF"/>
                            <w:spacing w:val="-8"/>
                            <w:sz w:val="18"/>
                          </w:rPr>
                          <w:t> </w:t>
                        </w:r>
                        <w:r>
                          <w:rPr>
                            <w:rFonts w:ascii="Verdana"/>
                            <w:b/>
                            <w:i/>
                            <w:smallCaps w:val="0"/>
                            <w:color w:val="FFFFFF"/>
                            <w:w w:val="82"/>
                            <w:sz w:val="18"/>
                          </w:rPr>
                          <w:t>FY</w:t>
                        </w:r>
                        <w:r>
                          <w:rPr>
                            <w:rFonts w:ascii="Verdana"/>
                            <w:b/>
                            <w:i/>
                            <w:smallCaps w:val="0"/>
                            <w:color w:val="FFFFFF"/>
                            <w:spacing w:val="-11"/>
                            <w:sz w:val="18"/>
                          </w:rPr>
                          <w:t> </w:t>
                        </w:r>
                        <w:r>
                          <w:rPr>
                            <w:rFonts w:ascii="Verdana"/>
                            <w:b/>
                            <w:i/>
                            <w:smallCaps w:val="0"/>
                            <w:color w:val="FFFFFF"/>
                            <w:w w:val="83"/>
                            <w:sz w:val="18"/>
                          </w:rPr>
                          <w:t>2021</w:t>
                        </w:r>
                      </w:p>
                    </w:tc>
                    <w:tc>
                      <w:tcPr>
                        <w:tcW w:w="1478" w:type="dxa"/>
                        <w:tcBorders>
                          <w:bottom w:val="single" w:sz="4" w:space="0" w:color="92D050"/>
                        </w:tcBorders>
                        <w:shd w:val="clear" w:color="auto" w:fill="006A4D"/>
                      </w:tcPr>
                      <w:p>
                        <w:pPr>
                          <w:pStyle w:val="TableParagraph"/>
                          <w:spacing w:before="5"/>
                          <w:jc w:val="left"/>
                          <w:rPr>
                            <w:sz w:val="24"/>
                          </w:rPr>
                        </w:pPr>
                      </w:p>
                      <w:p>
                        <w:pPr>
                          <w:pStyle w:val="TableParagraph"/>
                          <w:spacing w:before="1"/>
                          <w:ind w:left="146" w:right="183"/>
                          <w:rPr>
                            <w:rFonts w:ascii="Verdana"/>
                            <w:b/>
                            <w:i/>
                            <w:sz w:val="18"/>
                          </w:rPr>
                        </w:pPr>
                        <w:r>
                          <w:rPr>
                            <w:rFonts w:ascii="Verdana"/>
                            <w:b/>
                            <w:i/>
                            <w:color w:val="FFFFFF"/>
                            <w:w w:val="95"/>
                            <w:sz w:val="18"/>
                          </w:rPr>
                          <w:t>Q2 FY 2021</w:t>
                        </w:r>
                      </w:p>
                    </w:tc>
                    <w:tc>
                      <w:tcPr>
                        <w:tcW w:w="1438" w:type="dxa"/>
                        <w:tcBorders>
                          <w:bottom w:val="single" w:sz="4" w:space="0" w:color="92D050"/>
                        </w:tcBorders>
                        <w:shd w:val="clear" w:color="auto" w:fill="006A4D"/>
                      </w:tcPr>
                      <w:p>
                        <w:pPr>
                          <w:pStyle w:val="TableParagraph"/>
                          <w:spacing w:before="5"/>
                          <w:jc w:val="left"/>
                          <w:rPr>
                            <w:sz w:val="24"/>
                          </w:rPr>
                        </w:pPr>
                      </w:p>
                      <w:p>
                        <w:pPr>
                          <w:pStyle w:val="TableParagraph"/>
                          <w:spacing w:before="1"/>
                          <w:ind w:left="186" w:right="104"/>
                          <w:rPr>
                            <w:rFonts w:ascii="Verdana"/>
                            <w:b/>
                            <w:i/>
                            <w:sz w:val="18"/>
                          </w:rPr>
                        </w:pPr>
                        <w:r>
                          <w:rPr>
                            <w:rFonts w:ascii="Verdana"/>
                            <w:b/>
                            <w:i/>
                            <w:color w:val="FFFFFF"/>
                            <w:w w:val="95"/>
                            <w:sz w:val="18"/>
                          </w:rPr>
                          <w:t>Q3 FY 2021</w:t>
                        </w:r>
                      </w:p>
                    </w:tc>
                    <w:tc>
                      <w:tcPr>
                        <w:tcW w:w="1475" w:type="dxa"/>
                        <w:tcBorders>
                          <w:bottom w:val="single" w:sz="4" w:space="0" w:color="92D050"/>
                        </w:tcBorders>
                        <w:shd w:val="clear" w:color="auto" w:fill="006A4D"/>
                      </w:tcPr>
                      <w:p>
                        <w:pPr>
                          <w:pStyle w:val="TableParagraph"/>
                          <w:spacing w:before="5"/>
                          <w:jc w:val="left"/>
                          <w:rPr>
                            <w:sz w:val="24"/>
                          </w:rPr>
                        </w:pPr>
                      </w:p>
                      <w:p>
                        <w:pPr>
                          <w:pStyle w:val="TableParagraph"/>
                          <w:spacing w:before="1"/>
                          <w:ind w:left="108" w:right="218"/>
                          <w:rPr>
                            <w:rFonts w:ascii="Verdana"/>
                            <w:b/>
                            <w:i/>
                            <w:sz w:val="18"/>
                          </w:rPr>
                        </w:pPr>
                        <w:r>
                          <w:rPr>
                            <w:rFonts w:ascii="Verdana"/>
                            <w:b/>
                            <w:i/>
                            <w:color w:val="FFFFFF"/>
                            <w:w w:val="95"/>
                            <w:sz w:val="18"/>
                          </w:rPr>
                          <w:t>Q4 FY 2021</w:t>
                        </w:r>
                      </w:p>
                    </w:tc>
                    <w:tc>
                      <w:tcPr>
                        <w:tcW w:w="1447" w:type="dxa"/>
                        <w:tcBorders>
                          <w:bottom w:val="single" w:sz="4" w:space="0" w:color="92D050"/>
                        </w:tcBorders>
                        <w:shd w:val="clear" w:color="auto" w:fill="006A4D"/>
                      </w:tcPr>
                      <w:p>
                        <w:pPr>
                          <w:pStyle w:val="TableParagraph"/>
                          <w:spacing w:before="5"/>
                          <w:jc w:val="left"/>
                          <w:rPr>
                            <w:sz w:val="24"/>
                          </w:rPr>
                        </w:pPr>
                      </w:p>
                      <w:p>
                        <w:pPr>
                          <w:pStyle w:val="TableParagraph"/>
                          <w:spacing w:before="1"/>
                          <w:ind w:left="448"/>
                          <w:jc w:val="left"/>
                          <w:rPr>
                            <w:rFonts w:ascii="Verdana"/>
                            <w:b/>
                            <w:i/>
                            <w:sz w:val="18"/>
                          </w:rPr>
                        </w:pPr>
                        <w:r>
                          <w:rPr>
                            <w:rFonts w:ascii="Verdana"/>
                            <w:b/>
                            <w:i/>
                            <w:color w:val="FFFFFF"/>
                            <w:w w:val="90"/>
                            <w:sz w:val="18"/>
                          </w:rPr>
                          <w:t>Total</w:t>
                        </w:r>
                      </w:p>
                    </w:tc>
                  </w:tr>
                  <w:tr>
                    <w:trPr>
                      <w:trHeight w:val="617" w:hRule="atLeast"/>
                    </w:trPr>
                    <w:tc>
                      <w:tcPr>
                        <w:tcW w:w="4643" w:type="dxa"/>
                        <w:tcBorders>
                          <w:top w:val="single" w:sz="4" w:space="0" w:color="92D050"/>
                        </w:tcBorders>
                      </w:tcPr>
                      <w:p>
                        <w:pPr>
                          <w:pStyle w:val="TableParagraph"/>
                          <w:tabs>
                            <w:tab w:pos="3891" w:val="left" w:leader="none"/>
                          </w:tabs>
                          <w:spacing w:before="123"/>
                          <w:ind w:left="1810"/>
                          <w:jc w:val="left"/>
                          <w:rPr>
                            <w:sz w:val="18"/>
                          </w:rPr>
                        </w:pPr>
                        <w:r>
                          <w:rPr>
                            <w:sz w:val="18"/>
                          </w:rPr>
                          <w:t>Percentage</w:t>
                        </w:r>
                        <w:r>
                          <w:rPr>
                            <w:spacing w:val="-20"/>
                            <w:sz w:val="18"/>
                          </w:rPr>
                          <w:t> </w:t>
                        </w:r>
                        <w:r>
                          <w:rPr>
                            <w:sz w:val="18"/>
                          </w:rPr>
                          <w:t>(%)</w:t>
                          <w:tab/>
                          <w:t>-</w:t>
                        </w:r>
                      </w:p>
                      <w:p>
                        <w:pPr>
                          <w:pStyle w:val="TableParagraph"/>
                          <w:spacing w:before="50"/>
                          <w:ind w:left="213"/>
                          <w:jc w:val="left"/>
                          <w:rPr>
                            <w:sz w:val="18"/>
                          </w:rPr>
                        </w:pPr>
                        <w:r>
                          <w:rPr>
                            <w:w w:val="105"/>
                            <w:sz w:val="18"/>
                          </w:rPr>
                          <w:t>Embassy 247</w:t>
                        </w:r>
                      </w:p>
                    </w:tc>
                    <w:tc>
                      <w:tcPr>
                        <w:tcW w:w="1478" w:type="dxa"/>
                        <w:tcBorders>
                          <w:top w:val="single" w:sz="4" w:space="0" w:color="92D050"/>
                        </w:tcBorders>
                      </w:tcPr>
                      <w:p>
                        <w:pPr>
                          <w:pStyle w:val="TableParagraph"/>
                          <w:spacing w:before="123"/>
                          <w:ind w:left="142" w:right="183"/>
                          <w:rPr>
                            <w:sz w:val="18"/>
                          </w:rPr>
                        </w:pPr>
                        <w:r>
                          <w:rPr>
                            <w:w w:val="110"/>
                            <w:sz w:val="18"/>
                          </w:rPr>
                          <w:t>40.96%</w:t>
                        </w:r>
                      </w:p>
                    </w:tc>
                    <w:tc>
                      <w:tcPr>
                        <w:tcW w:w="1438" w:type="dxa"/>
                        <w:tcBorders>
                          <w:top w:val="single" w:sz="4" w:space="0" w:color="92D050"/>
                        </w:tcBorders>
                      </w:tcPr>
                      <w:p>
                        <w:pPr>
                          <w:pStyle w:val="TableParagraph"/>
                          <w:spacing w:before="123"/>
                          <w:ind w:left="182" w:right="104"/>
                          <w:rPr>
                            <w:sz w:val="18"/>
                          </w:rPr>
                        </w:pPr>
                        <w:r>
                          <w:rPr>
                            <w:w w:val="110"/>
                            <w:sz w:val="18"/>
                          </w:rPr>
                          <w:t>22.84%</w:t>
                        </w:r>
                      </w:p>
                    </w:tc>
                    <w:tc>
                      <w:tcPr>
                        <w:tcW w:w="1475" w:type="dxa"/>
                        <w:tcBorders>
                          <w:top w:val="single" w:sz="4" w:space="0" w:color="92D050"/>
                        </w:tcBorders>
                      </w:tcPr>
                      <w:p>
                        <w:pPr>
                          <w:pStyle w:val="TableParagraph"/>
                          <w:spacing w:before="123"/>
                          <w:ind w:left="104" w:right="218"/>
                          <w:rPr>
                            <w:sz w:val="18"/>
                          </w:rPr>
                        </w:pPr>
                        <w:r>
                          <w:rPr>
                            <w:w w:val="110"/>
                            <w:sz w:val="18"/>
                          </w:rPr>
                          <w:t>36.20%</w:t>
                        </w:r>
                      </w:p>
                    </w:tc>
                    <w:tc>
                      <w:tcPr>
                        <w:tcW w:w="1447" w:type="dxa"/>
                        <w:tcBorders>
                          <w:top w:val="single" w:sz="4" w:space="0" w:color="92D050"/>
                        </w:tcBorders>
                      </w:tcPr>
                      <w:p>
                        <w:pPr>
                          <w:pStyle w:val="TableParagraph"/>
                          <w:spacing w:before="123"/>
                          <w:ind w:left="433"/>
                          <w:jc w:val="left"/>
                          <w:rPr>
                            <w:sz w:val="18"/>
                          </w:rPr>
                        </w:pPr>
                        <w:r>
                          <w:rPr>
                            <w:w w:val="115"/>
                            <w:sz w:val="18"/>
                          </w:rPr>
                          <w:t>100%</w:t>
                        </w:r>
                      </w:p>
                    </w:tc>
                  </w:tr>
                  <w:tr>
                    <w:trPr>
                      <w:trHeight w:val="424" w:hRule="atLeast"/>
                    </w:trPr>
                    <w:tc>
                      <w:tcPr>
                        <w:tcW w:w="4643" w:type="dxa"/>
                        <w:tcBorders>
                          <w:bottom w:val="single" w:sz="4" w:space="0" w:color="92D050"/>
                        </w:tcBorders>
                      </w:tcPr>
                      <w:p>
                        <w:pPr>
                          <w:pStyle w:val="TableParagraph"/>
                          <w:tabs>
                            <w:tab w:pos="3891" w:val="left" w:leader="none"/>
                          </w:tabs>
                          <w:spacing w:before="27"/>
                          <w:ind w:left="1690"/>
                          <w:jc w:val="left"/>
                          <w:rPr>
                            <w:sz w:val="18"/>
                          </w:rPr>
                        </w:pPr>
                        <w:r>
                          <w:rPr>
                            <w:sz w:val="18"/>
                          </w:rPr>
                          <w:t>Leasable</w:t>
                        </w:r>
                        <w:r>
                          <w:rPr>
                            <w:spacing w:val="-17"/>
                            <w:sz w:val="18"/>
                          </w:rPr>
                          <w:t> </w:t>
                        </w:r>
                        <w:r>
                          <w:rPr>
                            <w:sz w:val="18"/>
                          </w:rPr>
                          <w:t>Area</w:t>
                        </w:r>
                        <w:r>
                          <w:rPr>
                            <w:spacing w:val="-16"/>
                            <w:sz w:val="18"/>
                          </w:rPr>
                          <w:t> </w:t>
                        </w:r>
                        <w:r>
                          <w:rPr>
                            <w:sz w:val="18"/>
                          </w:rPr>
                          <w:t>(sf)</w:t>
                          <w:tab/>
                          <w:t>-</w:t>
                        </w:r>
                      </w:p>
                    </w:tc>
                    <w:tc>
                      <w:tcPr>
                        <w:tcW w:w="1478" w:type="dxa"/>
                        <w:tcBorders>
                          <w:bottom w:val="single" w:sz="4" w:space="0" w:color="92D050"/>
                        </w:tcBorders>
                      </w:tcPr>
                      <w:p>
                        <w:pPr>
                          <w:pStyle w:val="TableParagraph"/>
                          <w:spacing w:before="27"/>
                          <w:ind w:left="143" w:right="183"/>
                          <w:rPr>
                            <w:sz w:val="18"/>
                          </w:rPr>
                        </w:pPr>
                        <w:r>
                          <w:rPr>
                            <w:w w:val="110"/>
                            <w:sz w:val="18"/>
                          </w:rPr>
                          <w:t>33,224</w:t>
                        </w:r>
                      </w:p>
                    </w:tc>
                    <w:tc>
                      <w:tcPr>
                        <w:tcW w:w="1438" w:type="dxa"/>
                        <w:tcBorders>
                          <w:bottom w:val="single" w:sz="4" w:space="0" w:color="92D050"/>
                        </w:tcBorders>
                      </w:tcPr>
                      <w:p>
                        <w:pPr>
                          <w:pStyle w:val="TableParagraph"/>
                          <w:spacing w:before="27"/>
                          <w:ind w:left="184" w:right="104"/>
                          <w:rPr>
                            <w:sz w:val="18"/>
                          </w:rPr>
                        </w:pPr>
                        <w:r>
                          <w:rPr>
                            <w:w w:val="110"/>
                            <w:sz w:val="18"/>
                          </w:rPr>
                          <w:t>18,531</w:t>
                        </w:r>
                      </w:p>
                    </w:tc>
                    <w:tc>
                      <w:tcPr>
                        <w:tcW w:w="1475" w:type="dxa"/>
                        <w:tcBorders>
                          <w:bottom w:val="single" w:sz="4" w:space="0" w:color="92D050"/>
                        </w:tcBorders>
                      </w:tcPr>
                      <w:p>
                        <w:pPr>
                          <w:pStyle w:val="TableParagraph"/>
                          <w:spacing w:before="27"/>
                          <w:ind w:left="106" w:right="218"/>
                          <w:rPr>
                            <w:sz w:val="18"/>
                          </w:rPr>
                        </w:pPr>
                        <w:r>
                          <w:rPr>
                            <w:w w:val="110"/>
                            <w:sz w:val="18"/>
                          </w:rPr>
                          <w:t>29,365</w:t>
                        </w:r>
                      </w:p>
                    </w:tc>
                    <w:tc>
                      <w:tcPr>
                        <w:tcW w:w="1447" w:type="dxa"/>
                        <w:tcBorders>
                          <w:bottom w:val="single" w:sz="4" w:space="0" w:color="92D050"/>
                        </w:tcBorders>
                      </w:tcPr>
                      <w:p>
                        <w:pPr>
                          <w:pStyle w:val="TableParagraph"/>
                          <w:spacing w:before="27"/>
                          <w:ind w:right="496"/>
                          <w:jc w:val="right"/>
                          <w:rPr>
                            <w:sz w:val="18"/>
                          </w:rPr>
                        </w:pPr>
                        <w:r>
                          <w:rPr>
                            <w:w w:val="105"/>
                            <w:sz w:val="18"/>
                          </w:rPr>
                          <w:t>81,120</w:t>
                        </w:r>
                      </w:p>
                    </w:tc>
                  </w:tr>
                  <w:tr>
                    <w:trPr>
                      <w:trHeight w:val="520" w:hRule="atLeast"/>
                    </w:trPr>
                    <w:tc>
                      <w:tcPr>
                        <w:tcW w:w="4643" w:type="dxa"/>
                        <w:tcBorders>
                          <w:top w:val="single" w:sz="4" w:space="0" w:color="92D050"/>
                          <w:bottom w:val="single" w:sz="4" w:space="0" w:color="92D050"/>
                        </w:tcBorders>
                      </w:tcPr>
                      <w:p>
                        <w:pPr>
                          <w:pStyle w:val="TableParagraph"/>
                          <w:tabs>
                            <w:tab w:pos="3891" w:val="left" w:leader="none"/>
                          </w:tabs>
                          <w:spacing w:before="123"/>
                          <w:ind w:left="619"/>
                          <w:jc w:val="left"/>
                          <w:rPr>
                            <w:sz w:val="18"/>
                          </w:rPr>
                        </w:pPr>
                        <w:r>
                          <w:rPr>
                            <w:sz w:val="18"/>
                          </w:rPr>
                          <w:t>Cumulative</w:t>
                        </w:r>
                        <w:r>
                          <w:rPr>
                            <w:spacing w:val="-12"/>
                            <w:sz w:val="18"/>
                          </w:rPr>
                          <w:t> </w:t>
                        </w:r>
                        <w:r>
                          <w:rPr>
                            <w:sz w:val="18"/>
                          </w:rPr>
                          <w:t>Absorption</w:t>
                        </w:r>
                        <w:r>
                          <w:rPr>
                            <w:spacing w:val="-13"/>
                            <w:sz w:val="18"/>
                          </w:rPr>
                          <w:t> </w:t>
                        </w:r>
                        <w:r>
                          <w:rPr>
                            <w:sz w:val="18"/>
                          </w:rPr>
                          <w:t>(%)</w:t>
                          <w:tab/>
                          <w:t>-</w:t>
                        </w:r>
                      </w:p>
                    </w:tc>
                    <w:tc>
                      <w:tcPr>
                        <w:tcW w:w="1478" w:type="dxa"/>
                        <w:tcBorders>
                          <w:top w:val="single" w:sz="4" w:space="0" w:color="92D050"/>
                          <w:bottom w:val="single" w:sz="4" w:space="0" w:color="92D050"/>
                        </w:tcBorders>
                      </w:tcPr>
                      <w:p>
                        <w:pPr>
                          <w:pStyle w:val="TableParagraph"/>
                          <w:spacing w:before="123"/>
                          <w:ind w:left="144" w:right="183"/>
                          <w:rPr>
                            <w:sz w:val="18"/>
                          </w:rPr>
                        </w:pPr>
                        <w:r>
                          <w:rPr>
                            <w:w w:val="110"/>
                            <w:sz w:val="18"/>
                          </w:rPr>
                          <w:t>40.96%</w:t>
                        </w:r>
                      </w:p>
                    </w:tc>
                    <w:tc>
                      <w:tcPr>
                        <w:tcW w:w="1438" w:type="dxa"/>
                        <w:tcBorders>
                          <w:top w:val="single" w:sz="4" w:space="0" w:color="92D050"/>
                          <w:bottom w:val="single" w:sz="4" w:space="0" w:color="92D050"/>
                        </w:tcBorders>
                      </w:tcPr>
                      <w:p>
                        <w:pPr>
                          <w:pStyle w:val="TableParagraph"/>
                          <w:spacing w:before="123"/>
                          <w:ind w:left="184" w:right="104"/>
                          <w:rPr>
                            <w:sz w:val="18"/>
                          </w:rPr>
                        </w:pPr>
                        <w:r>
                          <w:rPr>
                            <w:w w:val="110"/>
                            <w:sz w:val="18"/>
                          </w:rPr>
                          <w:t>63.80%</w:t>
                        </w:r>
                      </w:p>
                    </w:tc>
                    <w:tc>
                      <w:tcPr>
                        <w:tcW w:w="1475" w:type="dxa"/>
                        <w:tcBorders>
                          <w:top w:val="single" w:sz="4" w:space="0" w:color="92D050"/>
                          <w:bottom w:val="single" w:sz="4" w:space="0" w:color="92D050"/>
                        </w:tcBorders>
                      </w:tcPr>
                      <w:p>
                        <w:pPr>
                          <w:pStyle w:val="TableParagraph"/>
                          <w:spacing w:before="123"/>
                          <w:ind w:left="108" w:right="218"/>
                          <w:rPr>
                            <w:sz w:val="18"/>
                          </w:rPr>
                        </w:pPr>
                        <w:r>
                          <w:rPr>
                            <w:w w:val="110"/>
                            <w:sz w:val="18"/>
                          </w:rPr>
                          <w:t>100.00%</w:t>
                        </w:r>
                      </w:p>
                    </w:tc>
                    <w:tc>
                      <w:tcPr>
                        <w:tcW w:w="1447" w:type="dxa"/>
                        <w:tcBorders>
                          <w:top w:val="single" w:sz="4" w:space="0" w:color="92D050"/>
                          <w:bottom w:val="single" w:sz="4" w:space="0" w:color="92D050"/>
                        </w:tcBorders>
                      </w:tcPr>
                      <w:p>
                        <w:pPr>
                          <w:pStyle w:val="TableParagraph"/>
                          <w:spacing w:before="123"/>
                          <w:ind w:right="426"/>
                          <w:jc w:val="right"/>
                          <w:rPr>
                            <w:sz w:val="18"/>
                          </w:rPr>
                        </w:pPr>
                        <w:r>
                          <w:rPr>
                            <w:w w:val="110"/>
                            <w:sz w:val="18"/>
                          </w:rPr>
                          <w:t>100.00%</w:t>
                        </w:r>
                      </w:p>
                    </w:tc>
                  </w:tr>
                  <w:tr>
                    <w:trPr>
                      <w:trHeight w:val="520" w:hRule="atLeast"/>
                    </w:trPr>
                    <w:tc>
                      <w:tcPr>
                        <w:tcW w:w="4643" w:type="dxa"/>
                        <w:tcBorders>
                          <w:top w:val="single" w:sz="4" w:space="0" w:color="92D050"/>
                          <w:bottom w:val="single" w:sz="4" w:space="0" w:color="92D050"/>
                        </w:tcBorders>
                      </w:tcPr>
                      <w:p>
                        <w:pPr>
                          <w:pStyle w:val="TableParagraph"/>
                          <w:tabs>
                            <w:tab w:pos="3891" w:val="left" w:leader="none"/>
                          </w:tabs>
                          <w:spacing w:before="123"/>
                          <w:ind w:left="624"/>
                          <w:jc w:val="left"/>
                          <w:rPr>
                            <w:sz w:val="18"/>
                          </w:rPr>
                        </w:pPr>
                        <w:r>
                          <w:rPr>
                            <w:sz w:val="18"/>
                          </w:rPr>
                          <w:t>Cumulative</w:t>
                        </w:r>
                        <w:r>
                          <w:rPr>
                            <w:spacing w:val="-21"/>
                            <w:sz w:val="18"/>
                          </w:rPr>
                          <w:t> </w:t>
                        </w:r>
                        <w:r>
                          <w:rPr>
                            <w:sz w:val="18"/>
                          </w:rPr>
                          <w:t>Absorption</w:t>
                        </w:r>
                        <w:r>
                          <w:rPr>
                            <w:spacing w:val="-21"/>
                            <w:sz w:val="18"/>
                          </w:rPr>
                          <w:t> </w:t>
                        </w:r>
                        <w:r>
                          <w:rPr>
                            <w:sz w:val="18"/>
                          </w:rPr>
                          <w:t>(sf)</w:t>
                          <w:tab/>
                        </w:r>
                        <w:r>
                          <w:rPr>
                            <w:position w:val="-2"/>
                            <w:sz w:val="18"/>
                          </w:rPr>
                          <w:t>-</w:t>
                        </w:r>
                      </w:p>
                    </w:tc>
                    <w:tc>
                      <w:tcPr>
                        <w:tcW w:w="1478" w:type="dxa"/>
                        <w:tcBorders>
                          <w:top w:val="single" w:sz="4" w:space="0" w:color="92D050"/>
                          <w:bottom w:val="single" w:sz="4" w:space="0" w:color="92D050"/>
                        </w:tcBorders>
                      </w:tcPr>
                      <w:p>
                        <w:pPr>
                          <w:pStyle w:val="TableParagraph"/>
                          <w:spacing w:before="154"/>
                          <w:ind w:left="146" w:right="181"/>
                          <w:rPr>
                            <w:sz w:val="18"/>
                          </w:rPr>
                        </w:pPr>
                        <w:r>
                          <w:rPr>
                            <w:w w:val="110"/>
                            <w:sz w:val="18"/>
                          </w:rPr>
                          <w:t>33,224</w:t>
                        </w:r>
                      </w:p>
                    </w:tc>
                    <w:tc>
                      <w:tcPr>
                        <w:tcW w:w="1438" w:type="dxa"/>
                        <w:tcBorders>
                          <w:top w:val="single" w:sz="4" w:space="0" w:color="92D050"/>
                          <w:bottom w:val="single" w:sz="4" w:space="0" w:color="92D050"/>
                        </w:tcBorders>
                      </w:tcPr>
                      <w:p>
                        <w:pPr>
                          <w:pStyle w:val="TableParagraph"/>
                          <w:spacing w:before="154"/>
                          <w:ind w:left="186" w:right="102"/>
                          <w:rPr>
                            <w:sz w:val="18"/>
                          </w:rPr>
                        </w:pPr>
                        <w:r>
                          <w:rPr>
                            <w:w w:val="110"/>
                            <w:sz w:val="18"/>
                          </w:rPr>
                          <w:t>51,755</w:t>
                        </w:r>
                      </w:p>
                    </w:tc>
                    <w:tc>
                      <w:tcPr>
                        <w:tcW w:w="1475" w:type="dxa"/>
                        <w:tcBorders>
                          <w:top w:val="single" w:sz="4" w:space="0" w:color="92D050"/>
                          <w:bottom w:val="single" w:sz="4" w:space="0" w:color="92D050"/>
                        </w:tcBorders>
                      </w:tcPr>
                      <w:p>
                        <w:pPr>
                          <w:pStyle w:val="TableParagraph"/>
                          <w:spacing w:before="154"/>
                          <w:ind w:left="105" w:right="218"/>
                          <w:rPr>
                            <w:sz w:val="18"/>
                          </w:rPr>
                        </w:pPr>
                        <w:r>
                          <w:rPr>
                            <w:w w:val="110"/>
                            <w:sz w:val="18"/>
                          </w:rPr>
                          <w:t>81,120</w:t>
                        </w:r>
                      </w:p>
                    </w:tc>
                    <w:tc>
                      <w:tcPr>
                        <w:tcW w:w="1447" w:type="dxa"/>
                        <w:tcBorders>
                          <w:top w:val="single" w:sz="4" w:space="0" w:color="92D050"/>
                          <w:bottom w:val="single" w:sz="4" w:space="0" w:color="92D050"/>
                        </w:tcBorders>
                      </w:tcPr>
                      <w:p>
                        <w:pPr>
                          <w:pStyle w:val="TableParagraph"/>
                          <w:spacing w:before="154"/>
                          <w:ind w:right="492"/>
                          <w:jc w:val="right"/>
                          <w:rPr>
                            <w:sz w:val="18"/>
                          </w:rPr>
                        </w:pPr>
                        <w:r>
                          <w:rPr>
                            <w:w w:val="105"/>
                            <w:sz w:val="18"/>
                          </w:rPr>
                          <w:t>81,120</w:t>
                        </w:r>
                      </w:p>
                    </w:tc>
                  </w:tr>
                </w:tbl>
                <w:p>
                  <w:pPr>
                    <w:pStyle w:val="BodyText"/>
                  </w:pPr>
                </w:p>
              </w:txbxContent>
            </v:textbox>
            <w10:wrap type="none"/>
          </v:shape>
        </w:pict>
      </w:r>
      <w:r>
        <w:rPr/>
        <w:t>The</w:t>
      </w:r>
      <w:r>
        <w:rPr>
          <w:spacing w:val="-30"/>
        </w:rPr>
        <w:t> </w:t>
      </w:r>
      <w:r>
        <w:rPr/>
        <w:t>leasing</w:t>
      </w:r>
      <w:r>
        <w:rPr>
          <w:spacing w:val="-29"/>
        </w:rPr>
        <w:t> </w:t>
      </w:r>
      <w:r>
        <w:rPr/>
        <w:t>period</w:t>
      </w:r>
      <w:r>
        <w:rPr>
          <w:spacing w:val="-29"/>
        </w:rPr>
        <w:t> </w:t>
      </w:r>
      <w:r>
        <w:rPr/>
        <w:t>for</w:t>
      </w:r>
      <w:r>
        <w:rPr>
          <w:spacing w:val="-29"/>
        </w:rPr>
        <w:t> </w:t>
      </w:r>
      <w:r>
        <w:rPr/>
        <w:t>the</w:t>
      </w:r>
      <w:r>
        <w:rPr>
          <w:spacing w:val="-29"/>
        </w:rPr>
        <w:t> </w:t>
      </w:r>
      <w:r>
        <w:rPr/>
        <w:t>vacant</w:t>
      </w:r>
      <w:r>
        <w:rPr>
          <w:spacing w:val="-29"/>
        </w:rPr>
        <w:t> </w:t>
      </w:r>
      <w:r>
        <w:rPr/>
        <w:t>space</w:t>
      </w:r>
      <w:r>
        <w:rPr>
          <w:spacing w:val="-29"/>
        </w:rPr>
        <w:t> </w:t>
      </w:r>
      <w:r>
        <w:rPr/>
        <w:t>within</w:t>
      </w:r>
      <w:r>
        <w:rPr>
          <w:spacing w:val="-28"/>
        </w:rPr>
        <w:t> </w:t>
      </w:r>
      <w:r>
        <w:rPr/>
        <w:t>the</w:t>
      </w:r>
      <w:r>
        <w:rPr>
          <w:spacing w:val="-30"/>
        </w:rPr>
        <w:t> </w:t>
      </w:r>
      <w:r>
        <w:rPr/>
        <w:t>subject</w:t>
      </w:r>
      <w:r>
        <w:rPr>
          <w:spacing w:val="-28"/>
        </w:rPr>
        <w:t> </w:t>
      </w:r>
      <w:r>
        <w:rPr/>
        <w:t>property</w:t>
      </w:r>
      <w:r>
        <w:rPr>
          <w:spacing w:val="-28"/>
        </w:rPr>
        <w:t> </w:t>
      </w:r>
      <w:r>
        <w:rPr/>
        <w:t>is</w:t>
      </w:r>
      <w:r>
        <w:rPr>
          <w:spacing w:val="-28"/>
        </w:rPr>
        <w:t> </w:t>
      </w:r>
      <w:r>
        <w:rPr/>
        <w:t>assumed</w:t>
      </w:r>
      <w:r>
        <w:rPr>
          <w:spacing w:val="-28"/>
        </w:rPr>
        <w:t> </w:t>
      </w:r>
      <w:r>
        <w:rPr/>
        <w:t>based</w:t>
      </w:r>
      <w:r>
        <w:rPr>
          <w:spacing w:val="-29"/>
        </w:rPr>
        <w:t> </w:t>
      </w:r>
      <w:r>
        <w:rPr/>
        <w:t>on</w:t>
      </w:r>
      <w:r>
        <w:rPr>
          <w:spacing w:val="-29"/>
        </w:rPr>
        <w:t> </w:t>
      </w:r>
      <w:r>
        <w:rPr/>
        <w:t>demand-supply dynamics</w:t>
      </w:r>
      <w:r>
        <w:rPr>
          <w:spacing w:val="-43"/>
        </w:rPr>
        <w:t> </w:t>
      </w:r>
      <w:r>
        <w:rPr/>
        <w:t>within</w:t>
      </w:r>
      <w:r>
        <w:rPr>
          <w:spacing w:val="-43"/>
        </w:rPr>
        <w:t> </w:t>
      </w:r>
      <w:r>
        <w:rPr/>
        <w:t>the</w:t>
      </w:r>
      <w:r>
        <w:rPr>
          <w:spacing w:val="-44"/>
        </w:rPr>
        <w:t> </w:t>
      </w:r>
      <w:r>
        <w:rPr/>
        <w:t>subject</w:t>
      </w:r>
      <w:r>
        <w:rPr>
          <w:spacing w:val="-42"/>
        </w:rPr>
        <w:t> </w:t>
      </w:r>
      <w:r>
        <w:rPr/>
        <w:t>submarket</w:t>
      </w:r>
      <w:r>
        <w:rPr>
          <w:spacing w:val="-42"/>
        </w:rPr>
        <w:t> </w:t>
      </w:r>
      <w:r>
        <w:rPr/>
        <w:t>as</w:t>
      </w:r>
      <w:r>
        <w:rPr>
          <w:spacing w:val="-43"/>
        </w:rPr>
        <w:t> </w:t>
      </w:r>
      <w:r>
        <w:rPr/>
        <w:t>well</w:t>
      </w:r>
      <w:r>
        <w:rPr>
          <w:spacing w:val="-43"/>
        </w:rPr>
        <w:t> </w:t>
      </w:r>
      <w:r>
        <w:rPr/>
        <w:t>as</w:t>
      </w:r>
      <w:r>
        <w:rPr>
          <w:spacing w:val="-42"/>
        </w:rPr>
        <w:t> </w:t>
      </w:r>
      <w:r>
        <w:rPr/>
        <w:t>characteristics</w:t>
      </w:r>
      <w:r>
        <w:rPr>
          <w:spacing w:val="-43"/>
        </w:rPr>
        <w:t> </w:t>
      </w:r>
      <w:r>
        <w:rPr/>
        <w:t>of</w:t>
      </w:r>
      <w:r>
        <w:rPr>
          <w:spacing w:val="-43"/>
        </w:rPr>
        <w:t> </w:t>
      </w:r>
      <w:r>
        <w:rPr/>
        <w:t>the</w:t>
      </w:r>
      <w:r>
        <w:rPr>
          <w:spacing w:val="-44"/>
        </w:rPr>
        <w:t> </w:t>
      </w:r>
      <w:r>
        <w:rPr/>
        <w:t>subject</w:t>
      </w:r>
      <w:r>
        <w:rPr>
          <w:spacing w:val="-42"/>
        </w:rPr>
        <w:t> </w:t>
      </w:r>
      <w:r>
        <w:rPr/>
        <w:t>property.</w:t>
      </w:r>
      <w:r>
        <w:rPr>
          <w:spacing w:val="-44"/>
        </w:rPr>
        <w:t> </w:t>
      </w:r>
      <w:r>
        <w:rPr/>
        <w:t>The</w:t>
      </w:r>
      <w:r>
        <w:rPr>
          <w:spacing w:val="-43"/>
        </w:rPr>
        <w:t> </w:t>
      </w:r>
      <w:r>
        <w:rPr/>
        <w:t>table</w:t>
      </w:r>
      <w:r>
        <w:rPr>
          <w:spacing w:val="-43"/>
        </w:rPr>
        <w:t> </w:t>
      </w:r>
      <w:r>
        <w:rPr/>
        <w:t>below highlights</w:t>
      </w:r>
      <w:r>
        <w:rPr>
          <w:spacing w:val="-27"/>
        </w:rPr>
        <w:t> </w:t>
      </w:r>
      <w:r>
        <w:rPr/>
        <w:t>the</w:t>
      </w:r>
      <w:r>
        <w:rPr>
          <w:spacing w:val="-26"/>
        </w:rPr>
        <w:t> </w:t>
      </w:r>
      <w:r>
        <w:rPr/>
        <w:t>absorption</w:t>
      </w:r>
      <w:r>
        <w:rPr>
          <w:spacing w:val="-28"/>
        </w:rPr>
        <w:t> </w:t>
      </w:r>
      <w:r>
        <w:rPr/>
        <w:t>assumptions</w:t>
      </w:r>
      <w:r>
        <w:rPr>
          <w:spacing w:val="-25"/>
        </w:rPr>
        <w:t> </w:t>
      </w:r>
      <w:r>
        <w:rPr/>
        <w:t>adopted</w:t>
      </w:r>
      <w:r>
        <w:rPr>
          <w:spacing w:val="-26"/>
        </w:rPr>
        <w:t> </w:t>
      </w:r>
      <w:r>
        <w:rPr/>
        <w:t>for</w:t>
      </w:r>
      <w:r>
        <w:rPr>
          <w:spacing w:val="-27"/>
        </w:rPr>
        <w:t> </w:t>
      </w:r>
      <w:r>
        <w:rPr/>
        <w:t>the</w:t>
      </w:r>
      <w:r>
        <w:rPr>
          <w:spacing w:val="-26"/>
        </w:rPr>
        <w:t> </w:t>
      </w:r>
      <w:r>
        <w:rPr/>
        <w:t>vacant</w:t>
      </w:r>
      <w:r>
        <w:rPr>
          <w:spacing w:val="-26"/>
        </w:rPr>
        <w:t> </w:t>
      </w:r>
      <w:r>
        <w:rPr/>
        <w:t>space</w:t>
      </w:r>
      <w:r>
        <w:rPr>
          <w:spacing w:val="-26"/>
        </w:rPr>
        <w:t> </w:t>
      </w:r>
      <w:r>
        <w:rPr/>
        <w:t>within</w:t>
      </w:r>
      <w:r>
        <w:rPr>
          <w:spacing w:val="-27"/>
        </w:rPr>
        <w:t> </w:t>
      </w:r>
      <w:r>
        <w:rPr/>
        <w:t>the</w:t>
      </w:r>
      <w:r>
        <w:rPr>
          <w:spacing w:val="-26"/>
        </w:rPr>
        <w:t> </w:t>
      </w:r>
      <w:r>
        <w:rPr/>
        <w:t>subject</w:t>
      </w:r>
      <w:r>
        <w:rPr>
          <w:spacing w:val="-26"/>
        </w:rPr>
        <w:t> </w:t>
      </w:r>
      <w:r>
        <w:rPr/>
        <w:t>development:</w:t>
      </w:r>
    </w:p>
    <w:p>
      <w:pPr>
        <w:pStyle w:val="BodyText"/>
        <w:rPr>
          <w:sz w:val="26"/>
        </w:rPr>
      </w:pPr>
    </w:p>
    <w:p>
      <w:pPr>
        <w:pStyle w:val="BodyText"/>
        <w:spacing w:before="7"/>
        <w:rPr>
          <w:sz w:val="20"/>
        </w:rPr>
      </w:pPr>
    </w:p>
    <w:p>
      <w:pPr>
        <w:spacing w:before="1"/>
        <w:ind w:left="2114" w:right="0" w:firstLine="0"/>
        <w:jc w:val="left"/>
        <w:rPr>
          <w:rFonts w:ascii="Verdana"/>
          <w:b/>
          <w:i/>
          <w:sz w:val="18"/>
        </w:rPr>
      </w:pPr>
      <w:r>
        <w:rPr>
          <w:rFonts w:ascii="Verdana"/>
          <w:b/>
          <w:i/>
          <w:color w:val="FFFFFF"/>
          <w:spacing w:val="-1"/>
          <w:w w:val="72"/>
          <w:sz w:val="18"/>
        </w:rPr>
        <w:t>S</w:t>
      </w:r>
      <w:r>
        <w:rPr>
          <w:rFonts w:ascii="Verdana"/>
          <w:b/>
          <w:i/>
          <w:color w:val="FFFFFF"/>
          <w:spacing w:val="1"/>
          <w:w w:val="80"/>
          <w:sz w:val="18"/>
        </w:rPr>
        <w:t>c</w:t>
      </w:r>
      <w:r>
        <w:rPr>
          <w:rFonts w:ascii="Verdana"/>
          <w:b/>
          <w:i/>
          <w:color w:val="FFFFFF"/>
          <w:w w:val="85"/>
          <w:sz w:val="18"/>
        </w:rPr>
        <w:t>h</w:t>
      </w:r>
      <w:r>
        <w:rPr>
          <w:rFonts w:ascii="Verdana"/>
          <w:b/>
          <w:i/>
          <w:color w:val="FFFFFF"/>
          <w:w w:val="85"/>
          <w:sz w:val="18"/>
        </w:rPr>
        <w:t>e</w:t>
      </w:r>
      <w:r>
        <w:rPr>
          <w:rFonts w:ascii="Verdana"/>
          <w:b/>
          <w:i/>
          <w:color w:val="FFFFFF"/>
          <w:w w:val="85"/>
          <w:sz w:val="18"/>
        </w:rPr>
        <w:t>d</w:t>
      </w:r>
      <w:r>
        <w:rPr>
          <w:rFonts w:ascii="Verdana"/>
          <w:b/>
          <w:i/>
          <w:smallCaps/>
          <w:color w:val="FFFFFF"/>
          <w:spacing w:val="-1"/>
          <w:w w:val="93"/>
          <w:sz w:val="18"/>
        </w:rPr>
        <w:t>u</w:t>
      </w:r>
      <w:r>
        <w:rPr>
          <w:rFonts w:ascii="Verdana"/>
          <w:b/>
          <w:i/>
          <w:smallCaps w:val="0"/>
          <w:color w:val="FFFFFF"/>
          <w:w w:val="84"/>
          <w:sz w:val="18"/>
        </w:rPr>
        <w:t>le</w:t>
      </w: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spacing w:before="181"/>
        <w:ind w:left="120" w:right="0" w:firstLine="0"/>
        <w:jc w:val="left"/>
        <w:rPr>
          <w:i/>
          <w:sz w:val="18"/>
        </w:rPr>
      </w:pPr>
      <w:r>
        <w:rPr>
          <w:i/>
          <w:sz w:val="18"/>
        </w:rPr>
        <w:t>Source: Valuer’s assessment</w:t>
      </w:r>
    </w:p>
    <w:p>
      <w:pPr>
        <w:pStyle w:val="BodyText"/>
        <w:spacing w:before="11"/>
        <w:rPr>
          <w:i/>
          <w:sz w:val="26"/>
        </w:rPr>
      </w:pPr>
    </w:p>
    <w:p>
      <w:pPr>
        <w:pStyle w:val="BodyText"/>
        <w:spacing w:line="321" w:lineRule="auto"/>
        <w:ind w:left="686" w:right="116"/>
        <w:jc w:val="both"/>
      </w:pPr>
      <w:r>
        <w:rPr/>
        <w:t>The valuation assumptions have been considered based on the Valuer’s assessment of the subject property</w:t>
      </w:r>
      <w:r>
        <w:rPr>
          <w:spacing w:val="-14"/>
        </w:rPr>
        <w:t> </w:t>
      </w:r>
      <w:r>
        <w:rPr/>
        <w:t>and</w:t>
      </w:r>
      <w:r>
        <w:rPr>
          <w:spacing w:val="-15"/>
        </w:rPr>
        <w:t> </w:t>
      </w:r>
      <w:r>
        <w:rPr/>
        <w:t>the</w:t>
      </w:r>
      <w:r>
        <w:rPr>
          <w:spacing w:val="-16"/>
        </w:rPr>
        <w:t> </w:t>
      </w:r>
      <w:r>
        <w:rPr/>
        <w:t>subject</w:t>
      </w:r>
      <w:r>
        <w:rPr>
          <w:spacing w:val="-15"/>
        </w:rPr>
        <w:t> </w:t>
      </w:r>
      <w:r>
        <w:rPr/>
        <w:t>submarket.</w:t>
      </w:r>
      <w:r>
        <w:rPr>
          <w:spacing w:val="-15"/>
        </w:rPr>
        <w:t> </w:t>
      </w:r>
      <w:r>
        <w:rPr/>
        <w:t>Also,</w:t>
      </w:r>
      <w:r>
        <w:rPr>
          <w:spacing w:val="-15"/>
        </w:rPr>
        <w:t> </w:t>
      </w:r>
      <w:r>
        <w:rPr/>
        <w:t>revenue</w:t>
      </w:r>
      <w:r>
        <w:rPr>
          <w:spacing w:val="-15"/>
        </w:rPr>
        <w:t> </w:t>
      </w:r>
      <w:r>
        <w:rPr/>
        <w:t>assumptions,</w:t>
      </w:r>
      <w:r>
        <w:rPr>
          <w:spacing w:val="-15"/>
        </w:rPr>
        <w:t> </w:t>
      </w:r>
      <w:r>
        <w:rPr/>
        <w:t>absorption</w:t>
      </w:r>
      <w:r>
        <w:rPr>
          <w:spacing w:val="-15"/>
        </w:rPr>
        <w:t> </w:t>
      </w:r>
      <w:r>
        <w:rPr/>
        <w:t>period,</w:t>
      </w:r>
      <w:r>
        <w:rPr>
          <w:spacing w:val="-15"/>
        </w:rPr>
        <w:t> </w:t>
      </w:r>
      <w:r>
        <w:rPr/>
        <w:t>etc.</w:t>
      </w:r>
      <w:r>
        <w:rPr>
          <w:spacing w:val="-15"/>
        </w:rPr>
        <w:t> </w:t>
      </w:r>
      <w:r>
        <w:rPr/>
        <w:t>are</w:t>
      </w:r>
      <w:r>
        <w:rPr>
          <w:spacing w:val="-15"/>
        </w:rPr>
        <w:t> </w:t>
      </w:r>
      <w:r>
        <w:rPr/>
        <w:t>based</w:t>
      </w:r>
      <w:r>
        <w:rPr>
          <w:spacing w:val="-14"/>
        </w:rPr>
        <w:t> </w:t>
      </w:r>
      <w:r>
        <w:rPr/>
        <w:t>on market</w:t>
      </w:r>
      <w:r>
        <w:rPr>
          <w:spacing w:val="-14"/>
        </w:rPr>
        <w:t> </w:t>
      </w:r>
      <w:r>
        <w:rPr/>
        <w:t>benchmarks</w:t>
      </w:r>
      <w:r>
        <w:rPr>
          <w:spacing w:val="-12"/>
        </w:rPr>
        <w:t> </w:t>
      </w:r>
      <w:r>
        <w:rPr/>
        <w:t>and</w:t>
      </w:r>
      <w:r>
        <w:rPr>
          <w:spacing w:val="-15"/>
        </w:rPr>
        <w:t> </w:t>
      </w:r>
      <w:r>
        <w:rPr/>
        <w:t>extent</w:t>
      </w:r>
      <w:r>
        <w:rPr>
          <w:spacing w:val="-13"/>
        </w:rPr>
        <w:t> </w:t>
      </w:r>
      <w:r>
        <w:rPr/>
        <w:t>of</w:t>
      </w:r>
      <w:r>
        <w:rPr>
          <w:spacing w:val="-13"/>
        </w:rPr>
        <w:t> </w:t>
      </w:r>
      <w:r>
        <w:rPr/>
        <w:t>vacancy</w:t>
      </w:r>
      <w:r>
        <w:rPr>
          <w:spacing w:val="-12"/>
        </w:rPr>
        <w:t> </w:t>
      </w:r>
      <w:r>
        <w:rPr/>
        <w:t>in</w:t>
      </w:r>
      <w:r>
        <w:rPr>
          <w:spacing w:val="-14"/>
        </w:rPr>
        <w:t> </w:t>
      </w:r>
      <w:r>
        <w:rPr/>
        <w:t>the</w:t>
      </w:r>
      <w:r>
        <w:rPr>
          <w:spacing w:val="-13"/>
        </w:rPr>
        <w:t> </w:t>
      </w:r>
      <w:r>
        <w:rPr/>
        <w:t>subject</w:t>
      </w:r>
      <w:r>
        <w:rPr>
          <w:spacing w:val="-11"/>
        </w:rPr>
        <w:t> </w:t>
      </w:r>
      <w:r>
        <w:rPr/>
        <w:t>submarket</w:t>
      </w:r>
      <w:r>
        <w:rPr>
          <w:spacing w:val="-12"/>
        </w:rPr>
        <w:t> </w:t>
      </w:r>
      <w:r>
        <w:rPr/>
        <w:t>and</w:t>
      </w:r>
      <w:r>
        <w:rPr>
          <w:spacing w:val="-14"/>
        </w:rPr>
        <w:t> </w:t>
      </w:r>
      <w:r>
        <w:rPr/>
        <w:t>competing</w:t>
      </w:r>
      <w:r>
        <w:rPr>
          <w:spacing w:val="-14"/>
        </w:rPr>
        <w:t> </w:t>
      </w:r>
      <w:r>
        <w:rPr/>
        <w:t>supply.</w:t>
      </w:r>
    </w:p>
    <w:p>
      <w:pPr>
        <w:pStyle w:val="BodyText"/>
        <w:rPr>
          <w:sz w:val="31"/>
        </w:rPr>
      </w:pPr>
    </w:p>
    <w:p>
      <w:pPr>
        <w:pStyle w:val="ListParagraph"/>
        <w:numPr>
          <w:ilvl w:val="2"/>
          <w:numId w:val="14"/>
        </w:numPr>
        <w:tabs>
          <w:tab w:pos="841" w:val="left" w:leader="none"/>
        </w:tabs>
        <w:spacing w:line="240" w:lineRule="auto" w:before="1" w:after="0"/>
        <w:ind w:left="840" w:right="0" w:hanging="721"/>
        <w:jc w:val="both"/>
        <w:rPr>
          <w:sz w:val="22"/>
        </w:rPr>
      </w:pPr>
      <w:bookmarkStart w:name="_bookmark122" w:id="240"/>
      <w:bookmarkEnd w:id="240"/>
      <w:r>
        <w:rPr/>
      </w:r>
      <w:bookmarkStart w:name="_bookmark122" w:id="241"/>
      <w:bookmarkEnd w:id="241"/>
      <w:r>
        <w:rPr>
          <w:color w:val="1F664D"/>
          <w:sz w:val="22"/>
        </w:rPr>
        <w:t>R</w:t>
      </w:r>
      <w:r>
        <w:rPr>
          <w:color w:val="1F664D"/>
          <w:sz w:val="22"/>
        </w:rPr>
        <w:t>evenue Assumptions</w:t>
      </w:r>
      <w:r>
        <w:rPr>
          <w:color w:val="1F664D"/>
          <w:spacing w:val="-3"/>
          <w:sz w:val="22"/>
        </w:rPr>
        <w:t> </w:t>
      </w:r>
      <w:r>
        <w:rPr>
          <w:color w:val="1F664D"/>
          <w:sz w:val="22"/>
        </w:rPr>
        <w:t>(Office)</w:t>
      </w:r>
    </w:p>
    <w:p>
      <w:pPr>
        <w:pStyle w:val="BodyText"/>
        <w:spacing w:before="6"/>
        <w:rPr>
          <w:sz w:val="25"/>
        </w:rPr>
      </w:pPr>
    </w:p>
    <w:p>
      <w:pPr>
        <w:pStyle w:val="ListParagraph"/>
        <w:numPr>
          <w:ilvl w:val="3"/>
          <w:numId w:val="43"/>
        </w:numPr>
        <w:tabs>
          <w:tab w:pos="985" w:val="left" w:leader="none"/>
        </w:tabs>
        <w:spacing w:line="240" w:lineRule="auto" w:before="0" w:after="0"/>
        <w:ind w:left="984" w:right="0" w:hanging="865"/>
        <w:jc w:val="both"/>
        <w:rPr>
          <w:i/>
          <w:sz w:val="20"/>
        </w:rPr>
      </w:pPr>
      <w:r>
        <w:rPr>
          <w:i/>
          <w:color w:val="008000"/>
          <w:sz w:val="20"/>
        </w:rPr>
        <w:t>Lease rent</w:t>
      </w:r>
      <w:r>
        <w:rPr>
          <w:i/>
          <w:color w:val="008000"/>
          <w:spacing w:val="-8"/>
          <w:sz w:val="20"/>
        </w:rPr>
        <w:t> </w:t>
      </w:r>
      <w:r>
        <w:rPr>
          <w:i/>
          <w:color w:val="008000"/>
          <w:sz w:val="20"/>
        </w:rPr>
        <w:t>assumptions</w:t>
      </w:r>
    </w:p>
    <w:p>
      <w:pPr>
        <w:pStyle w:val="BodyText"/>
        <w:spacing w:before="6"/>
        <w:rPr>
          <w:i/>
          <w:sz w:val="24"/>
        </w:rPr>
      </w:pPr>
    </w:p>
    <w:p>
      <w:pPr>
        <w:pStyle w:val="ListParagraph"/>
        <w:numPr>
          <w:ilvl w:val="4"/>
          <w:numId w:val="43"/>
        </w:numPr>
        <w:tabs>
          <w:tab w:pos="1129" w:val="left" w:leader="none"/>
        </w:tabs>
        <w:spacing w:line="240" w:lineRule="auto" w:before="0" w:after="0"/>
        <w:ind w:left="1128" w:right="0" w:hanging="1009"/>
        <w:jc w:val="both"/>
        <w:rPr>
          <w:sz w:val="22"/>
        </w:rPr>
      </w:pPr>
      <w:r>
        <w:rPr>
          <w:color w:val="1F664D"/>
          <w:sz w:val="22"/>
        </w:rPr>
        <w:t>Office Component</w:t>
      </w:r>
    </w:p>
    <w:p>
      <w:pPr>
        <w:pStyle w:val="BodyText"/>
        <w:spacing w:before="6"/>
        <w:rPr>
          <w:sz w:val="25"/>
        </w:rPr>
      </w:pPr>
    </w:p>
    <w:p>
      <w:pPr>
        <w:pStyle w:val="BodyText"/>
        <w:spacing w:line="321" w:lineRule="auto" w:before="1"/>
        <w:ind w:left="682" w:right="113"/>
        <w:jc w:val="both"/>
      </w:pPr>
      <w:r>
        <w:rPr/>
        <w:t>For</w:t>
      </w:r>
      <w:r>
        <w:rPr>
          <w:spacing w:val="-11"/>
        </w:rPr>
        <w:t> </w:t>
      </w:r>
      <w:r>
        <w:rPr/>
        <w:t>the</w:t>
      </w:r>
      <w:r>
        <w:rPr>
          <w:spacing w:val="-11"/>
        </w:rPr>
        <w:t> </w:t>
      </w:r>
      <w:r>
        <w:rPr/>
        <w:t>purpose</w:t>
      </w:r>
      <w:r>
        <w:rPr>
          <w:spacing w:val="-11"/>
        </w:rPr>
        <w:t> </w:t>
      </w:r>
      <w:r>
        <w:rPr/>
        <w:t>of</w:t>
      </w:r>
      <w:r>
        <w:rPr>
          <w:spacing w:val="-9"/>
        </w:rPr>
        <w:t> </w:t>
      </w:r>
      <w:r>
        <w:rPr/>
        <w:t>this</w:t>
      </w:r>
      <w:r>
        <w:rPr>
          <w:spacing w:val="-10"/>
        </w:rPr>
        <w:t> </w:t>
      </w:r>
      <w:r>
        <w:rPr/>
        <w:t>valuation,</w:t>
      </w:r>
      <w:r>
        <w:rPr>
          <w:spacing w:val="-11"/>
        </w:rPr>
        <w:t> </w:t>
      </w:r>
      <w:r>
        <w:rPr/>
        <w:t>the</w:t>
      </w:r>
      <w:r>
        <w:rPr>
          <w:spacing w:val="-11"/>
        </w:rPr>
        <w:t> </w:t>
      </w:r>
      <w:r>
        <w:rPr/>
        <w:t>marginal</w:t>
      </w:r>
      <w:r>
        <w:rPr>
          <w:spacing w:val="-10"/>
        </w:rPr>
        <w:t> </w:t>
      </w:r>
      <w:r>
        <w:rPr/>
        <w:t>rental</w:t>
      </w:r>
      <w:r>
        <w:rPr>
          <w:spacing w:val="-11"/>
        </w:rPr>
        <w:t> </w:t>
      </w:r>
      <w:r>
        <w:rPr/>
        <w:t>adopted</w:t>
      </w:r>
      <w:r>
        <w:rPr>
          <w:spacing w:val="-10"/>
        </w:rPr>
        <w:t> </w:t>
      </w:r>
      <w:r>
        <w:rPr/>
        <w:t>for</w:t>
      </w:r>
      <w:r>
        <w:rPr>
          <w:spacing w:val="-13"/>
        </w:rPr>
        <w:t> </w:t>
      </w:r>
      <w:r>
        <w:rPr/>
        <w:t>the</w:t>
      </w:r>
      <w:r>
        <w:rPr>
          <w:spacing w:val="-11"/>
        </w:rPr>
        <w:t> </w:t>
      </w:r>
      <w:r>
        <w:rPr/>
        <w:t>area</w:t>
      </w:r>
      <w:r>
        <w:rPr>
          <w:spacing w:val="-11"/>
        </w:rPr>
        <w:t> </w:t>
      </w:r>
      <w:r>
        <w:rPr/>
        <w:t>already</w:t>
      </w:r>
      <w:r>
        <w:rPr>
          <w:spacing w:val="-10"/>
        </w:rPr>
        <w:t> </w:t>
      </w:r>
      <w:r>
        <w:rPr/>
        <w:t>leased</w:t>
      </w:r>
      <w:r>
        <w:rPr>
          <w:spacing w:val="-10"/>
        </w:rPr>
        <w:t> </w:t>
      </w:r>
      <w:r>
        <w:rPr/>
        <w:t>is</w:t>
      </w:r>
      <w:r>
        <w:rPr>
          <w:spacing w:val="-12"/>
        </w:rPr>
        <w:t> </w:t>
      </w:r>
      <w:r>
        <w:rPr/>
        <w:t>based</w:t>
      </w:r>
      <w:r>
        <w:rPr>
          <w:spacing w:val="-12"/>
        </w:rPr>
        <w:t> </w:t>
      </w:r>
      <w:r>
        <w:rPr/>
        <w:t>on the</w:t>
      </w:r>
      <w:r>
        <w:rPr>
          <w:spacing w:val="-50"/>
        </w:rPr>
        <w:t> </w:t>
      </w:r>
      <w:r>
        <w:rPr/>
        <w:t>rent</w:t>
      </w:r>
      <w:r>
        <w:rPr>
          <w:spacing w:val="-48"/>
        </w:rPr>
        <w:t> </w:t>
      </w:r>
      <w:r>
        <w:rPr/>
        <w:t>roll</w:t>
      </w:r>
      <w:r>
        <w:rPr>
          <w:spacing w:val="-48"/>
        </w:rPr>
        <w:t> </w:t>
      </w:r>
      <w:r>
        <w:rPr/>
        <w:t>shared</w:t>
      </w:r>
      <w:r>
        <w:rPr>
          <w:spacing w:val="-49"/>
        </w:rPr>
        <w:t> </w:t>
      </w:r>
      <w:r>
        <w:rPr/>
        <w:t>by</w:t>
      </w:r>
      <w:r>
        <w:rPr>
          <w:spacing w:val="-48"/>
        </w:rPr>
        <w:t> </w:t>
      </w:r>
      <w:r>
        <w:rPr/>
        <w:t>the</w:t>
      </w:r>
      <w:r>
        <w:rPr>
          <w:spacing w:val="-49"/>
        </w:rPr>
        <w:t> </w:t>
      </w:r>
      <w:r>
        <w:rPr/>
        <w:t>Client.</w:t>
      </w:r>
      <w:r>
        <w:rPr>
          <w:spacing w:val="-49"/>
        </w:rPr>
        <w:t> </w:t>
      </w:r>
      <w:r>
        <w:rPr/>
        <w:t>Further,</w:t>
      </w:r>
      <w:r>
        <w:rPr>
          <w:spacing w:val="-48"/>
        </w:rPr>
        <w:t> </w:t>
      </w:r>
      <w:r>
        <w:rPr/>
        <w:t>the</w:t>
      </w:r>
      <w:r>
        <w:rPr>
          <w:spacing w:val="-48"/>
        </w:rPr>
        <w:t> </w:t>
      </w:r>
      <w:r>
        <w:rPr/>
        <w:t>Valuer</w:t>
      </w:r>
      <w:r>
        <w:rPr>
          <w:spacing w:val="-48"/>
        </w:rPr>
        <w:t> </w:t>
      </w:r>
      <w:r>
        <w:rPr/>
        <w:t>has</w:t>
      </w:r>
      <w:r>
        <w:rPr>
          <w:spacing w:val="-48"/>
        </w:rPr>
        <w:t> </w:t>
      </w:r>
      <w:r>
        <w:rPr/>
        <w:t>undertaken</w:t>
      </w:r>
      <w:r>
        <w:rPr>
          <w:spacing w:val="-49"/>
        </w:rPr>
        <w:t> </w:t>
      </w:r>
      <w:r>
        <w:rPr/>
        <w:t>an</w:t>
      </w:r>
      <w:r>
        <w:rPr>
          <w:spacing w:val="-48"/>
        </w:rPr>
        <w:t> </w:t>
      </w:r>
      <w:r>
        <w:rPr/>
        <w:t>in-depth</w:t>
      </w:r>
      <w:r>
        <w:rPr>
          <w:spacing w:val="-49"/>
        </w:rPr>
        <w:t> </w:t>
      </w:r>
      <w:r>
        <w:rPr/>
        <w:t>market</w:t>
      </w:r>
      <w:r>
        <w:rPr>
          <w:spacing w:val="-48"/>
        </w:rPr>
        <w:t> </w:t>
      </w:r>
      <w:r>
        <w:rPr/>
        <w:t>research</w:t>
      </w:r>
      <w:r>
        <w:rPr>
          <w:spacing w:val="-49"/>
        </w:rPr>
        <w:t> </w:t>
      </w:r>
      <w:r>
        <w:rPr/>
        <w:t>exercise to</w:t>
      </w:r>
      <w:r>
        <w:rPr>
          <w:spacing w:val="-39"/>
        </w:rPr>
        <w:t> </w:t>
      </w:r>
      <w:r>
        <w:rPr/>
        <w:t>assess</w:t>
      </w:r>
      <w:r>
        <w:rPr>
          <w:spacing w:val="-38"/>
        </w:rPr>
        <w:t> </w:t>
      </w:r>
      <w:r>
        <w:rPr/>
        <w:t>the</w:t>
      </w:r>
      <w:r>
        <w:rPr>
          <w:spacing w:val="-40"/>
        </w:rPr>
        <w:t> </w:t>
      </w:r>
      <w:r>
        <w:rPr/>
        <w:t>prevailing</w:t>
      </w:r>
      <w:r>
        <w:rPr>
          <w:spacing w:val="-37"/>
        </w:rPr>
        <w:t> </w:t>
      </w:r>
      <w:r>
        <w:rPr/>
        <w:t>rental</w:t>
      </w:r>
      <w:r>
        <w:rPr>
          <w:spacing w:val="-39"/>
        </w:rPr>
        <w:t> </w:t>
      </w:r>
      <w:r>
        <w:rPr/>
        <w:t>values</w:t>
      </w:r>
      <w:r>
        <w:rPr>
          <w:spacing w:val="-38"/>
        </w:rPr>
        <w:t> </w:t>
      </w:r>
      <w:r>
        <w:rPr/>
        <w:t>in</w:t>
      </w:r>
      <w:r>
        <w:rPr>
          <w:spacing w:val="-39"/>
        </w:rPr>
        <w:t> </w:t>
      </w:r>
      <w:r>
        <w:rPr/>
        <w:t>the</w:t>
      </w:r>
      <w:r>
        <w:rPr>
          <w:spacing w:val="-39"/>
        </w:rPr>
        <w:t> </w:t>
      </w:r>
      <w:r>
        <w:rPr/>
        <w:t>subject</w:t>
      </w:r>
      <w:r>
        <w:rPr>
          <w:spacing w:val="-37"/>
        </w:rPr>
        <w:t> </w:t>
      </w:r>
      <w:r>
        <w:rPr/>
        <w:t>submarket.</w:t>
      </w:r>
      <w:r>
        <w:rPr>
          <w:spacing w:val="-38"/>
        </w:rPr>
        <w:t> </w:t>
      </w:r>
      <w:r>
        <w:rPr/>
        <w:t>The</w:t>
      </w:r>
      <w:r>
        <w:rPr>
          <w:spacing w:val="-41"/>
        </w:rPr>
        <w:t> </w:t>
      </w:r>
      <w:r>
        <w:rPr/>
        <w:t>same</w:t>
      </w:r>
      <w:r>
        <w:rPr>
          <w:spacing w:val="-38"/>
        </w:rPr>
        <w:t> </w:t>
      </w:r>
      <w:r>
        <w:rPr/>
        <w:t>has</w:t>
      </w:r>
      <w:r>
        <w:rPr>
          <w:spacing w:val="-41"/>
        </w:rPr>
        <w:t> </w:t>
      </w:r>
      <w:r>
        <w:rPr/>
        <w:t>been</w:t>
      </w:r>
      <w:r>
        <w:rPr>
          <w:spacing w:val="-39"/>
        </w:rPr>
        <w:t> </w:t>
      </w:r>
      <w:r>
        <w:rPr/>
        <w:t>adopted</w:t>
      </w:r>
      <w:r>
        <w:rPr>
          <w:spacing w:val="-39"/>
        </w:rPr>
        <w:t> </w:t>
      </w:r>
      <w:r>
        <w:rPr/>
        <w:t>for</w:t>
      </w:r>
      <w:r>
        <w:rPr>
          <w:spacing w:val="-39"/>
        </w:rPr>
        <w:t> </w:t>
      </w:r>
      <w:r>
        <w:rPr/>
        <w:t>the</w:t>
      </w:r>
      <w:r>
        <w:rPr>
          <w:spacing w:val="-39"/>
        </w:rPr>
        <w:t> </w:t>
      </w:r>
      <w:r>
        <w:rPr/>
        <w:t>vacant space for the purpose of this valuation</w:t>
      </w:r>
      <w:r>
        <w:rPr>
          <w:spacing w:val="-36"/>
        </w:rPr>
        <w:t> </w:t>
      </w:r>
      <w:r>
        <w:rPr/>
        <w:t>exercise.</w:t>
      </w:r>
    </w:p>
    <w:p>
      <w:pPr>
        <w:pStyle w:val="BodyText"/>
        <w:spacing w:before="8"/>
        <w:rPr>
          <w:sz w:val="20"/>
        </w:rPr>
      </w:pPr>
    </w:p>
    <w:p>
      <w:pPr>
        <w:pStyle w:val="BodyText"/>
        <w:spacing w:line="321" w:lineRule="auto"/>
        <w:ind w:left="682" w:right="119"/>
        <w:jc w:val="both"/>
      </w:pPr>
      <w:r>
        <w:rPr/>
        <w:t>Based</w:t>
      </w:r>
      <w:r>
        <w:rPr>
          <w:spacing w:val="-13"/>
        </w:rPr>
        <w:t> </w:t>
      </w:r>
      <w:r>
        <w:rPr/>
        <w:t>on</w:t>
      </w:r>
      <w:r>
        <w:rPr>
          <w:spacing w:val="-11"/>
        </w:rPr>
        <w:t> </w:t>
      </w:r>
      <w:r>
        <w:rPr/>
        <w:t>our</w:t>
      </w:r>
      <w:r>
        <w:rPr>
          <w:spacing w:val="-12"/>
        </w:rPr>
        <w:t> </w:t>
      </w:r>
      <w:r>
        <w:rPr/>
        <w:t>market</w:t>
      </w:r>
      <w:r>
        <w:rPr>
          <w:spacing w:val="-10"/>
        </w:rPr>
        <w:t> </w:t>
      </w:r>
      <w:r>
        <w:rPr/>
        <w:t>study</w:t>
      </w:r>
      <w:r>
        <w:rPr>
          <w:spacing w:val="-10"/>
        </w:rPr>
        <w:t> </w:t>
      </w:r>
      <w:r>
        <w:rPr/>
        <w:t>and</w:t>
      </w:r>
      <w:r>
        <w:rPr>
          <w:spacing w:val="-11"/>
        </w:rPr>
        <w:t> </w:t>
      </w:r>
      <w:r>
        <w:rPr/>
        <w:t>based</w:t>
      </w:r>
      <w:r>
        <w:rPr>
          <w:spacing w:val="-11"/>
        </w:rPr>
        <w:t> </w:t>
      </w:r>
      <w:r>
        <w:rPr/>
        <w:t>on</w:t>
      </w:r>
      <w:r>
        <w:rPr>
          <w:spacing w:val="-9"/>
        </w:rPr>
        <w:t> </w:t>
      </w:r>
      <w:r>
        <w:rPr/>
        <w:t>the</w:t>
      </w:r>
      <w:r>
        <w:rPr>
          <w:spacing w:val="-11"/>
        </w:rPr>
        <w:t> </w:t>
      </w:r>
      <w:r>
        <w:rPr/>
        <w:t>analysis</w:t>
      </w:r>
      <w:r>
        <w:rPr>
          <w:spacing w:val="-13"/>
        </w:rPr>
        <w:t> </w:t>
      </w:r>
      <w:r>
        <w:rPr/>
        <w:t>of</w:t>
      </w:r>
      <w:r>
        <w:rPr>
          <w:spacing w:val="-10"/>
        </w:rPr>
        <w:t> </w:t>
      </w:r>
      <w:r>
        <w:rPr/>
        <w:t>the</w:t>
      </w:r>
      <w:r>
        <w:rPr>
          <w:spacing w:val="-12"/>
        </w:rPr>
        <w:t> </w:t>
      </w:r>
      <w:r>
        <w:rPr/>
        <w:t>rent</w:t>
      </w:r>
      <w:r>
        <w:rPr>
          <w:spacing w:val="-11"/>
        </w:rPr>
        <w:t> </w:t>
      </w:r>
      <w:r>
        <w:rPr/>
        <w:t>roll</w:t>
      </w:r>
      <w:r>
        <w:rPr>
          <w:spacing w:val="-13"/>
        </w:rPr>
        <w:t> </w:t>
      </w:r>
      <w:r>
        <w:rPr/>
        <w:t>provided</w:t>
      </w:r>
      <w:r>
        <w:rPr>
          <w:spacing w:val="-10"/>
        </w:rPr>
        <w:t> </w:t>
      </w:r>
      <w:r>
        <w:rPr/>
        <w:t>by</w:t>
      </w:r>
      <w:r>
        <w:rPr>
          <w:spacing w:val="-10"/>
        </w:rPr>
        <w:t> </w:t>
      </w:r>
      <w:r>
        <w:rPr/>
        <w:t>the</w:t>
      </w:r>
      <w:r>
        <w:rPr>
          <w:spacing w:val="-14"/>
        </w:rPr>
        <w:t> </w:t>
      </w:r>
      <w:r>
        <w:rPr/>
        <w:t>Client,</w:t>
      </w:r>
      <w:r>
        <w:rPr>
          <w:spacing w:val="-11"/>
        </w:rPr>
        <w:t> </w:t>
      </w:r>
      <w:r>
        <w:rPr/>
        <w:t>following rent</w:t>
      </w:r>
      <w:r>
        <w:rPr>
          <w:spacing w:val="-10"/>
        </w:rPr>
        <w:t> </w:t>
      </w:r>
      <w:r>
        <w:rPr/>
        <w:t>has</w:t>
      </w:r>
      <w:r>
        <w:rPr>
          <w:spacing w:val="-9"/>
        </w:rPr>
        <w:t> </w:t>
      </w:r>
      <w:r>
        <w:rPr/>
        <w:t>been</w:t>
      </w:r>
      <w:r>
        <w:rPr>
          <w:spacing w:val="-11"/>
        </w:rPr>
        <w:t> </w:t>
      </w:r>
      <w:r>
        <w:rPr/>
        <w:t>adopted</w:t>
      </w:r>
      <w:r>
        <w:rPr>
          <w:spacing w:val="-12"/>
        </w:rPr>
        <w:t> </w:t>
      </w:r>
      <w:r>
        <w:rPr/>
        <w:t>for</w:t>
      </w:r>
      <w:r>
        <w:rPr>
          <w:spacing w:val="-10"/>
        </w:rPr>
        <w:t> </w:t>
      </w:r>
      <w:r>
        <w:rPr/>
        <w:t>the</w:t>
      </w:r>
      <w:r>
        <w:rPr>
          <w:spacing w:val="-11"/>
        </w:rPr>
        <w:t> </w:t>
      </w:r>
      <w:r>
        <w:rPr/>
        <w:t>purpose</w:t>
      </w:r>
      <w:r>
        <w:rPr>
          <w:spacing w:val="-10"/>
        </w:rPr>
        <w:t> </w:t>
      </w:r>
      <w:r>
        <w:rPr/>
        <w:t>of</w:t>
      </w:r>
      <w:r>
        <w:rPr>
          <w:spacing w:val="-9"/>
        </w:rPr>
        <w:t> </w:t>
      </w:r>
      <w:r>
        <w:rPr/>
        <w:t>value</w:t>
      </w:r>
      <w:r>
        <w:rPr>
          <w:spacing w:val="-10"/>
        </w:rPr>
        <w:t> </w:t>
      </w:r>
      <w:r>
        <w:rPr/>
        <w:t>assessment</w:t>
      </w:r>
      <w:r>
        <w:rPr>
          <w:spacing w:val="-11"/>
        </w:rPr>
        <w:t> </w:t>
      </w:r>
      <w:r>
        <w:rPr/>
        <w:t>of</w:t>
      </w:r>
      <w:r>
        <w:rPr>
          <w:spacing w:val="-11"/>
        </w:rPr>
        <w:t> </w:t>
      </w:r>
      <w:r>
        <w:rPr/>
        <w:t>the</w:t>
      </w:r>
      <w:r>
        <w:rPr>
          <w:spacing w:val="-11"/>
        </w:rPr>
        <w:t> </w:t>
      </w:r>
      <w:r>
        <w:rPr/>
        <w:t>subject</w:t>
      </w:r>
      <w:r>
        <w:rPr>
          <w:spacing w:val="-10"/>
        </w:rPr>
        <w:t> </w:t>
      </w:r>
      <w:r>
        <w:rPr/>
        <w:t>property.</w:t>
      </w:r>
    </w:p>
    <w:p>
      <w:pPr>
        <w:spacing w:after="0" w:line="321" w:lineRule="auto"/>
        <w:jc w:val="both"/>
        <w:sectPr>
          <w:pgSz w:w="11910" w:h="16840"/>
          <w:pgMar w:header="919" w:footer="1149" w:top="1660" w:bottom="1340" w:left="600" w:right="600"/>
        </w:sectPr>
      </w:pPr>
    </w:p>
    <w:p>
      <w:pPr>
        <w:pStyle w:val="BodyText"/>
        <w:spacing w:before="4"/>
        <w:rPr>
          <w:sz w:val="18"/>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2"/>
        <w:gridCol w:w="2216"/>
        <w:gridCol w:w="1368"/>
        <w:gridCol w:w="3369"/>
        <w:gridCol w:w="1886"/>
      </w:tblGrid>
      <w:tr>
        <w:trPr>
          <w:trHeight w:val="431" w:hRule="atLeast"/>
        </w:trPr>
        <w:tc>
          <w:tcPr>
            <w:tcW w:w="1632" w:type="dxa"/>
            <w:tcBorders>
              <w:top w:val="single" w:sz="4" w:space="0" w:color="69BD28"/>
            </w:tcBorders>
            <w:shd w:val="clear" w:color="auto" w:fill="006A4D"/>
          </w:tcPr>
          <w:p>
            <w:pPr>
              <w:pStyle w:val="TableParagraph"/>
              <w:spacing w:before="111"/>
              <w:ind w:left="289" w:right="293"/>
              <w:rPr>
                <w:b/>
                <w:sz w:val="18"/>
              </w:rPr>
            </w:pPr>
            <w:r>
              <w:rPr>
                <w:b/>
                <w:color w:val="FFFFFF"/>
                <w:w w:val="105"/>
                <w:sz w:val="18"/>
              </w:rPr>
              <w:t>Component</w:t>
            </w:r>
          </w:p>
        </w:tc>
        <w:tc>
          <w:tcPr>
            <w:tcW w:w="2216" w:type="dxa"/>
            <w:tcBorders>
              <w:top w:val="single" w:sz="4" w:space="0" w:color="69BD28"/>
              <w:bottom w:val="single" w:sz="4" w:space="0" w:color="69BD28"/>
            </w:tcBorders>
            <w:shd w:val="clear" w:color="auto" w:fill="006A4D"/>
          </w:tcPr>
          <w:p>
            <w:pPr>
              <w:pStyle w:val="TableParagraph"/>
              <w:spacing w:line="216" w:lineRule="exact"/>
              <w:ind w:left="751" w:hanging="536"/>
              <w:jc w:val="left"/>
              <w:rPr>
                <w:b/>
                <w:sz w:val="18"/>
              </w:rPr>
            </w:pPr>
            <w:r>
              <w:rPr>
                <w:b/>
                <w:color w:val="FFFFFF"/>
                <w:w w:val="105"/>
                <w:sz w:val="18"/>
              </w:rPr>
              <w:t>Completed Leasable Area (sf)</w:t>
            </w:r>
          </w:p>
        </w:tc>
        <w:tc>
          <w:tcPr>
            <w:tcW w:w="1368" w:type="dxa"/>
            <w:tcBorders>
              <w:top w:val="single" w:sz="4" w:space="0" w:color="69BD28"/>
              <w:bottom w:val="single" w:sz="4" w:space="0" w:color="69BD28"/>
            </w:tcBorders>
            <w:shd w:val="clear" w:color="auto" w:fill="006A4D"/>
          </w:tcPr>
          <w:p>
            <w:pPr>
              <w:pStyle w:val="TableParagraph"/>
              <w:spacing w:line="216" w:lineRule="exact"/>
              <w:ind w:left="581" w:right="63" w:hanging="428"/>
              <w:jc w:val="left"/>
              <w:rPr>
                <w:b/>
                <w:sz w:val="18"/>
              </w:rPr>
            </w:pPr>
            <w:r>
              <w:rPr>
                <w:b/>
                <w:color w:val="FFFFFF"/>
                <w:w w:val="110"/>
                <w:sz w:val="18"/>
              </w:rPr>
              <w:t>Leased Area (sf)</w:t>
            </w:r>
          </w:p>
        </w:tc>
        <w:tc>
          <w:tcPr>
            <w:tcW w:w="3369" w:type="dxa"/>
            <w:tcBorders>
              <w:top w:val="single" w:sz="4" w:space="0" w:color="69BD28"/>
              <w:bottom w:val="single" w:sz="4" w:space="0" w:color="69BD28"/>
            </w:tcBorders>
            <w:shd w:val="clear" w:color="auto" w:fill="006A4D"/>
          </w:tcPr>
          <w:p>
            <w:pPr>
              <w:pStyle w:val="TableParagraph"/>
              <w:spacing w:before="111"/>
              <w:ind w:left="456" w:right="523"/>
              <w:rPr>
                <w:b/>
                <w:sz w:val="18"/>
              </w:rPr>
            </w:pPr>
            <w:r>
              <w:rPr>
                <w:b/>
                <w:color w:val="FFFFFF"/>
                <w:w w:val="115"/>
                <w:sz w:val="18"/>
              </w:rPr>
              <w:t>Basis</w:t>
            </w:r>
          </w:p>
        </w:tc>
        <w:tc>
          <w:tcPr>
            <w:tcW w:w="1886" w:type="dxa"/>
            <w:tcBorders>
              <w:top w:val="single" w:sz="4" w:space="0" w:color="69BD28"/>
              <w:bottom w:val="single" w:sz="4" w:space="0" w:color="69BD28"/>
            </w:tcBorders>
            <w:shd w:val="clear" w:color="auto" w:fill="006A4D"/>
          </w:tcPr>
          <w:p>
            <w:pPr>
              <w:pStyle w:val="TableParagraph"/>
              <w:spacing w:line="216" w:lineRule="exact"/>
              <w:ind w:left="227" w:hanging="72"/>
              <w:jc w:val="left"/>
              <w:rPr>
                <w:b/>
                <w:sz w:val="18"/>
              </w:rPr>
            </w:pPr>
            <w:r>
              <w:rPr>
                <w:b/>
                <w:color w:val="FFFFFF"/>
                <w:w w:val="110"/>
                <w:sz w:val="18"/>
              </w:rPr>
              <w:t>Rental Adopted* (INR/sf/month)</w:t>
            </w:r>
          </w:p>
        </w:tc>
      </w:tr>
      <w:tr>
        <w:trPr>
          <w:trHeight w:val="278" w:hRule="atLeast"/>
        </w:trPr>
        <w:tc>
          <w:tcPr>
            <w:tcW w:w="1632" w:type="dxa"/>
            <w:shd w:val="clear" w:color="auto" w:fill="69BD28"/>
          </w:tcPr>
          <w:p>
            <w:pPr>
              <w:pStyle w:val="TableParagraph"/>
              <w:jc w:val="left"/>
              <w:rPr>
                <w:rFonts w:ascii="Times New Roman"/>
                <w:sz w:val="20"/>
              </w:rPr>
            </w:pPr>
          </w:p>
        </w:tc>
        <w:tc>
          <w:tcPr>
            <w:tcW w:w="2216" w:type="dxa"/>
            <w:tcBorders>
              <w:top w:val="single" w:sz="4" w:space="0" w:color="69BD28"/>
            </w:tcBorders>
          </w:tcPr>
          <w:p>
            <w:pPr>
              <w:pStyle w:val="TableParagraph"/>
              <w:jc w:val="left"/>
              <w:rPr>
                <w:rFonts w:ascii="Times New Roman"/>
                <w:sz w:val="20"/>
              </w:rPr>
            </w:pPr>
          </w:p>
        </w:tc>
        <w:tc>
          <w:tcPr>
            <w:tcW w:w="1368" w:type="dxa"/>
            <w:tcBorders>
              <w:top w:val="single" w:sz="4" w:space="0" w:color="69BD28"/>
            </w:tcBorders>
          </w:tcPr>
          <w:p>
            <w:pPr>
              <w:pStyle w:val="TableParagraph"/>
              <w:jc w:val="left"/>
              <w:rPr>
                <w:rFonts w:ascii="Times New Roman"/>
                <w:sz w:val="20"/>
              </w:rPr>
            </w:pPr>
          </w:p>
        </w:tc>
        <w:tc>
          <w:tcPr>
            <w:tcW w:w="3369" w:type="dxa"/>
            <w:tcBorders>
              <w:top w:val="single" w:sz="4" w:space="0" w:color="69BD28"/>
            </w:tcBorders>
          </w:tcPr>
          <w:p>
            <w:pPr>
              <w:pStyle w:val="TableParagraph"/>
              <w:spacing w:before="44"/>
              <w:ind w:left="457" w:right="523"/>
              <w:rPr>
                <w:sz w:val="18"/>
              </w:rPr>
            </w:pPr>
            <w:r>
              <w:rPr>
                <w:sz w:val="18"/>
              </w:rPr>
              <w:t>Current Rent for Leased area</w:t>
            </w:r>
          </w:p>
        </w:tc>
        <w:tc>
          <w:tcPr>
            <w:tcW w:w="1886" w:type="dxa"/>
            <w:tcBorders>
              <w:top w:val="single" w:sz="4" w:space="0" w:color="69BD28"/>
            </w:tcBorders>
          </w:tcPr>
          <w:p>
            <w:pPr>
              <w:pStyle w:val="TableParagraph"/>
              <w:spacing w:before="44"/>
              <w:ind w:left="570" w:right="641"/>
              <w:rPr>
                <w:sz w:val="11"/>
              </w:rPr>
            </w:pPr>
            <w:r>
              <w:rPr>
                <w:w w:val="125"/>
                <w:sz w:val="18"/>
              </w:rPr>
              <w:t>99.4</w:t>
            </w:r>
            <w:r>
              <w:rPr>
                <w:w w:val="125"/>
                <w:position w:val="6"/>
                <w:sz w:val="11"/>
              </w:rPr>
              <w:t>^</w:t>
            </w:r>
          </w:p>
        </w:tc>
      </w:tr>
      <w:tr>
        <w:trPr>
          <w:trHeight w:val="539" w:hRule="atLeast"/>
        </w:trPr>
        <w:tc>
          <w:tcPr>
            <w:tcW w:w="1632" w:type="dxa"/>
            <w:shd w:val="clear" w:color="auto" w:fill="69BD28"/>
          </w:tcPr>
          <w:p>
            <w:pPr>
              <w:pStyle w:val="TableParagraph"/>
              <w:spacing w:before="27"/>
              <w:ind w:left="286" w:right="293"/>
              <w:rPr>
                <w:b/>
                <w:sz w:val="18"/>
              </w:rPr>
            </w:pPr>
            <w:r>
              <w:rPr>
                <w:b/>
                <w:color w:val="FFFFFF"/>
                <w:w w:val="105"/>
                <w:sz w:val="18"/>
              </w:rPr>
              <w:t>Office</w:t>
            </w:r>
          </w:p>
        </w:tc>
        <w:tc>
          <w:tcPr>
            <w:tcW w:w="2216" w:type="dxa"/>
            <w:tcBorders>
              <w:bottom w:val="single" w:sz="4" w:space="0" w:color="69BD28"/>
            </w:tcBorders>
          </w:tcPr>
          <w:p>
            <w:pPr>
              <w:pStyle w:val="TableParagraph"/>
              <w:spacing w:before="27"/>
              <w:ind w:left="715"/>
              <w:jc w:val="left"/>
              <w:rPr>
                <w:sz w:val="18"/>
              </w:rPr>
            </w:pPr>
            <w:r>
              <w:rPr>
                <w:w w:val="105"/>
                <w:sz w:val="18"/>
              </w:rPr>
              <w:t>1,189,544</w:t>
            </w:r>
          </w:p>
        </w:tc>
        <w:tc>
          <w:tcPr>
            <w:tcW w:w="1368" w:type="dxa"/>
            <w:tcBorders>
              <w:bottom w:val="single" w:sz="4" w:space="0" w:color="69BD28"/>
            </w:tcBorders>
          </w:tcPr>
          <w:p>
            <w:pPr>
              <w:pStyle w:val="TableParagraph"/>
              <w:spacing w:before="27"/>
              <w:ind w:left="297"/>
              <w:jc w:val="left"/>
              <w:rPr>
                <w:sz w:val="18"/>
              </w:rPr>
            </w:pPr>
            <w:r>
              <w:rPr>
                <w:w w:val="105"/>
                <w:sz w:val="18"/>
              </w:rPr>
              <w:t>1,108,424</w:t>
            </w:r>
          </w:p>
        </w:tc>
        <w:tc>
          <w:tcPr>
            <w:tcW w:w="3369" w:type="dxa"/>
            <w:tcBorders>
              <w:bottom w:val="single" w:sz="4" w:space="0" w:color="69BD28"/>
            </w:tcBorders>
          </w:tcPr>
          <w:p>
            <w:pPr>
              <w:pStyle w:val="TableParagraph"/>
              <w:spacing w:line="247" w:lineRule="auto" w:before="70"/>
              <w:ind w:left="1083" w:right="143" w:hanging="1004"/>
              <w:jc w:val="left"/>
              <w:rPr>
                <w:sz w:val="18"/>
              </w:rPr>
            </w:pPr>
            <w:r>
              <w:rPr>
                <w:sz w:val="18"/>
              </w:rPr>
              <w:t>Market</w:t>
            </w:r>
            <w:r>
              <w:rPr>
                <w:spacing w:val="-30"/>
                <w:sz w:val="18"/>
              </w:rPr>
              <w:t> </w:t>
            </w:r>
            <w:r>
              <w:rPr>
                <w:sz w:val="18"/>
              </w:rPr>
              <w:t>rental</w:t>
            </w:r>
            <w:r>
              <w:rPr>
                <w:spacing w:val="-29"/>
                <w:sz w:val="18"/>
              </w:rPr>
              <w:t> </w:t>
            </w:r>
            <w:r>
              <w:rPr>
                <w:sz w:val="18"/>
              </w:rPr>
              <w:t>for</w:t>
            </w:r>
            <w:r>
              <w:rPr>
                <w:spacing w:val="-30"/>
                <w:sz w:val="18"/>
              </w:rPr>
              <w:t> </w:t>
            </w:r>
            <w:r>
              <w:rPr>
                <w:sz w:val="18"/>
              </w:rPr>
              <w:t>reversion/</w:t>
            </w:r>
            <w:r>
              <w:rPr>
                <w:spacing w:val="-29"/>
                <w:sz w:val="18"/>
              </w:rPr>
              <w:t> </w:t>
            </w:r>
            <w:r>
              <w:rPr>
                <w:sz w:val="18"/>
              </w:rPr>
              <w:t>vacant</w:t>
            </w:r>
            <w:r>
              <w:rPr>
                <w:spacing w:val="-29"/>
                <w:sz w:val="18"/>
              </w:rPr>
              <w:t> </w:t>
            </w:r>
            <w:r>
              <w:rPr>
                <w:sz w:val="18"/>
              </w:rPr>
              <w:t>area of office</w:t>
            </w:r>
            <w:r>
              <w:rPr>
                <w:spacing w:val="-8"/>
                <w:sz w:val="18"/>
              </w:rPr>
              <w:t> </w:t>
            </w:r>
            <w:r>
              <w:rPr>
                <w:sz w:val="18"/>
              </w:rPr>
              <w:t>space</w:t>
            </w:r>
          </w:p>
        </w:tc>
        <w:tc>
          <w:tcPr>
            <w:tcW w:w="1886" w:type="dxa"/>
            <w:tcBorders>
              <w:bottom w:val="single" w:sz="4" w:space="0" w:color="69BD28"/>
            </w:tcBorders>
          </w:tcPr>
          <w:p>
            <w:pPr>
              <w:pStyle w:val="TableParagraph"/>
              <w:spacing w:before="178"/>
              <w:ind w:left="570" w:right="641"/>
              <w:rPr>
                <w:sz w:val="18"/>
              </w:rPr>
            </w:pPr>
            <w:r>
              <w:rPr>
                <w:w w:val="110"/>
                <w:sz w:val="18"/>
              </w:rPr>
              <w:t>110.0**</w:t>
            </w:r>
          </w:p>
        </w:tc>
      </w:tr>
    </w:tbl>
    <w:p>
      <w:pPr>
        <w:spacing w:line="247" w:lineRule="auto" w:before="3"/>
        <w:ind w:left="120" w:right="114" w:firstLine="0"/>
        <w:jc w:val="both"/>
        <w:rPr>
          <w:i/>
          <w:sz w:val="16"/>
        </w:rPr>
      </w:pPr>
      <w:r>
        <w:rPr>
          <w:i/>
          <w:sz w:val="16"/>
        </w:rPr>
        <w:t>Source:</w:t>
      </w:r>
      <w:r>
        <w:rPr>
          <w:i/>
          <w:spacing w:val="-16"/>
          <w:sz w:val="16"/>
        </w:rPr>
        <w:t> </w:t>
      </w:r>
      <w:r>
        <w:rPr>
          <w:i/>
          <w:sz w:val="16"/>
        </w:rPr>
        <w:t>Rent</w:t>
      </w:r>
      <w:r>
        <w:rPr>
          <w:i/>
          <w:spacing w:val="-18"/>
          <w:sz w:val="16"/>
        </w:rPr>
        <w:t> </w:t>
      </w:r>
      <w:r>
        <w:rPr>
          <w:i/>
          <w:sz w:val="16"/>
        </w:rPr>
        <w:t>roll</w:t>
      </w:r>
      <w:r>
        <w:rPr>
          <w:i/>
          <w:spacing w:val="-16"/>
          <w:sz w:val="16"/>
        </w:rPr>
        <w:t> </w:t>
      </w:r>
      <w:r>
        <w:rPr>
          <w:i/>
          <w:sz w:val="16"/>
        </w:rPr>
        <w:t>provided</w:t>
      </w:r>
      <w:r>
        <w:rPr>
          <w:i/>
          <w:spacing w:val="-17"/>
          <w:sz w:val="16"/>
        </w:rPr>
        <w:t> </w:t>
      </w:r>
      <w:r>
        <w:rPr>
          <w:i/>
          <w:sz w:val="16"/>
        </w:rPr>
        <w:t>by</w:t>
      </w:r>
      <w:r>
        <w:rPr>
          <w:i/>
          <w:spacing w:val="-16"/>
          <w:sz w:val="16"/>
        </w:rPr>
        <w:t> </w:t>
      </w:r>
      <w:r>
        <w:rPr>
          <w:i/>
          <w:sz w:val="16"/>
        </w:rPr>
        <w:t>the</w:t>
      </w:r>
      <w:r>
        <w:rPr>
          <w:i/>
          <w:spacing w:val="-16"/>
          <w:sz w:val="16"/>
        </w:rPr>
        <w:t> </w:t>
      </w:r>
      <w:r>
        <w:rPr>
          <w:i/>
          <w:sz w:val="16"/>
        </w:rPr>
        <w:t>Client;</w:t>
      </w:r>
      <w:r>
        <w:rPr>
          <w:i/>
          <w:spacing w:val="-14"/>
          <w:sz w:val="16"/>
        </w:rPr>
        <w:t> </w:t>
      </w:r>
      <w:r>
        <w:rPr>
          <w:i/>
          <w:sz w:val="16"/>
        </w:rPr>
        <w:t>Valuer</w:t>
      </w:r>
      <w:r>
        <w:rPr>
          <w:i/>
          <w:spacing w:val="-17"/>
          <w:sz w:val="16"/>
        </w:rPr>
        <w:t> </w:t>
      </w:r>
      <w:r>
        <w:rPr>
          <w:i/>
          <w:sz w:val="16"/>
        </w:rPr>
        <w:t>Assessment</w:t>
      </w:r>
      <w:r>
        <w:rPr>
          <w:sz w:val="16"/>
        </w:rPr>
        <w:t>;</w:t>
      </w:r>
      <w:r>
        <w:rPr>
          <w:spacing w:val="-16"/>
          <w:sz w:val="16"/>
        </w:rPr>
        <w:t> </w:t>
      </w:r>
      <w:r>
        <w:rPr>
          <w:i/>
          <w:sz w:val="16"/>
        </w:rPr>
        <w:t>*</w:t>
      </w:r>
      <w:r>
        <w:rPr>
          <w:i/>
          <w:spacing w:val="-16"/>
          <w:sz w:val="16"/>
        </w:rPr>
        <w:t> </w:t>
      </w:r>
      <w:r>
        <w:rPr>
          <w:i/>
          <w:sz w:val="16"/>
        </w:rPr>
        <w:t>The</w:t>
      </w:r>
      <w:r>
        <w:rPr>
          <w:i/>
          <w:spacing w:val="-17"/>
          <w:sz w:val="16"/>
        </w:rPr>
        <w:t> </w:t>
      </w:r>
      <w:r>
        <w:rPr>
          <w:i/>
          <w:sz w:val="16"/>
        </w:rPr>
        <w:t>rent</w:t>
      </w:r>
      <w:r>
        <w:rPr>
          <w:i/>
          <w:spacing w:val="-16"/>
          <w:sz w:val="16"/>
        </w:rPr>
        <w:t> </w:t>
      </w:r>
      <w:r>
        <w:rPr>
          <w:i/>
          <w:sz w:val="16"/>
        </w:rPr>
        <w:t>mentioned</w:t>
      </w:r>
      <w:r>
        <w:rPr>
          <w:i/>
          <w:spacing w:val="-16"/>
          <w:sz w:val="16"/>
        </w:rPr>
        <w:t> </w:t>
      </w:r>
      <w:r>
        <w:rPr>
          <w:i/>
          <w:sz w:val="16"/>
        </w:rPr>
        <w:t>above</w:t>
      </w:r>
      <w:r>
        <w:rPr>
          <w:i/>
          <w:spacing w:val="-15"/>
          <w:sz w:val="16"/>
        </w:rPr>
        <w:t> </w:t>
      </w:r>
      <w:r>
        <w:rPr>
          <w:i/>
          <w:sz w:val="16"/>
        </w:rPr>
        <w:t>exclude</w:t>
      </w:r>
      <w:r>
        <w:rPr>
          <w:i/>
          <w:spacing w:val="-16"/>
          <w:sz w:val="16"/>
        </w:rPr>
        <w:t> </w:t>
      </w:r>
      <w:r>
        <w:rPr>
          <w:i/>
          <w:sz w:val="16"/>
        </w:rPr>
        <w:t>other</w:t>
      </w:r>
      <w:r>
        <w:rPr>
          <w:i/>
          <w:spacing w:val="-16"/>
          <w:sz w:val="16"/>
        </w:rPr>
        <w:t> </w:t>
      </w:r>
      <w:r>
        <w:rPr>
          <w:i/>
          <w:sz w:val="16"/>
        </w:rPr>
        <w:t>income</w:t>
      </w:r>
      <w:r>
        <w:rPr>
          <w:i/>
          <w:spacing w:val="-17"/>
          <w:sz w:val="16"/>
        </w:rPr>
        <w:t> </w:t>
      </w:r>
      <w:r>
        <w:rPr>
          <w:i/>
          <w:sz w:val="16"/>
        </w:rPr>
        <w:t>such</w:t>
      </w:r>
      <w:r>
        <w:rPr>
          <w:i/>
          <w:spacing w:val="-16"/>
          <w:sz w:val="16"/>
        </w:rPr>
        <w:t> </w:t>
      </w:r>
      <w:r>
        <w:rPr>
          <w:i/>
          <w:sz w:val="16"/>
        </w:rPr>
        <w:t>as</w:t>
      </w:r>
      <w:r>
        <w:rPr>
          <w:i/>
          <w:spacing w:val="-16"/>
          <w:sz w:val="16"/>
        </w:rPr>
        <w:t> </w:t>
      </w:r>
      <w:r>
        <w:rPr>
          <w:i/>
          <w:sz w:val="16"/>
        </w:rPr>
        <w:t>CAM</w:t>
      </w:r>
      <w:r>
        <w:rPr>
          <w:i/>
          <w:spacing w:val="-13"/>
          <w:sz w:val="16"/>
        </w:rPr>
        <w:t> </w:t>
      </w:r>
      <w:r>
        <w:rPr>
          <w:i/>
          <w:sz w:val="16"/>
        </w:rPr>
        <w:t>charges,</w:t>
      </w:r>
      <w:r>
        <w:rPr>
          <w:i/>
          <w:spacing w:val="-16"/>
          <w:sz w:val="16"/>
        </w:rPr>
        <w:t> </w:t>
      </w:r>
      <w:r>
        <w:rPr>
          <w:i/>
          <w:sz w:val="16"/>
        </w:rPr>
        <w:t>parking</w:t>
      </w:r>
      <w:r>
        <w:rPr>
          <w:i/>
          <w:spacing w:val="-16"/>
          <w:sz w:val="16"/>
        </w:rPr>
        <w:t> </w:t>
      </w:r>
      <w:r>
        <w:rPr>
          <w:i/>
          <w:sz w:val="16"/>
        </w:rPr>
        <w:t>income </w:t>
      </w:r>
      <w:r>
        <w:rPr>
          <w:i/>
          <w:w w:val="81"/>
          <w:sz w:val="16"/>
        </w:rPr>
        <w:t>r</w:t>
      </w:r>
      <w:r>
        <w:rPr>
          <w:i/>
          <w:w w:val="93"/>
          <w:sz w:val="16"/>
        </w:rPr>
        <w:t>ece</w:t>
      </w:r>
      <w:r>
        <w:rPr>
          <w:i/>
          <w:spacing w:val="-1"/>
          <w:w w:val="93"/>
          <w:sz w:val="16"/>
        </w:rPr>
        <w:t>i</w:t>
      </w:r>
      <w:r>
        <w:rPr>
          <w:i/>
          <w:w w:val="96"/>
          <w:sz w:val="16"/>
        </w:rPr>
        <w:t>ved</w:t>
      </w:r>
      <w:r>
        <w:rPr>
          <w:i/>
          <w:spacing w:val="-5"/>
          <w:sz w:val="16"/>
        </w:rPr>
        <w:t> </w:t>
      </w:r>
      <w:r>
        <w:rPr>
          <w:i/>
          <w:w w:val="77"/>
          <w:sz w:val="16"/>
        </w:rPr>
        <w:t>f</w:t>
      </w:r>
      <w:r>
        <w:rPr>
          <w:i/>
          <w:w w:val="81"/>
          <w:sz w:val="16"/>
        </w:rPr>
        <w:t>r</w:t>
      </w:r>
      <w:r>
        <w:rPr>
          <w:i/>
          <w:spacing w:val="-3"/>
          <w:w w:val="103"/>
          <w:sz w:val="16"/>
        </w:rPr>
        <w:t>o</w:t>
      </w:r>
      <w:r>
        <w:rPr>
          <w:i/>
          <w:w w:val="95"/>
          <w:sz w:val="16"/>
        </w:rPr>
        <w:t>m</w:t>
      </w:r>
      <w:r>
        <w:rPr>
          <w:i/>
          <w:spacing w:val="-2"/>
          <w:sz w:val="16"/>
        </w:rPr>
        <w:t> </w:t>
      </w:r>
      <w:r>
        <w:rPr>
          <w:i/>
          <w:spacing w:val="-1"/>
          <w:w w:val="68"/>
          <w:sz w:val="16"/>
        </w:rPr>
        <w:t>t</w:t>
      </w:r>
      <w:r>
        <w:rPr>
          <w:i/>
          <w:spacing w:val="-1"/>
          <w:w w:val="97"/>
          <w:sz w:val="16"/>
        </w:rPr>
        <w:t>h</w:t>
      </w:r>
      <w:r>
        <w:rPr>
          <w:i/>
          <w:w w:val="95"/>
          <w:sz w:val="16"/>
        </w:rPr>
        <w:t>e</w:t>
      </w:r>
      <w:r>
        <w:rPr>
          <w:i/>
          <w:spacing w:val="-3"/>
          <w:sz w:val="16"/>
        </w:rPr>
        <w:t> </w:t>
      </w:r>
      <w:r>
        <w:rPr>
          <w:i/>
          <w:spacing w:val="-1"/>
          <w:w w:val="68"/>
          <w:sz w:val="16"/>
        </w:rPr>
        <w:t>t</w:t>
      </w:r>
      <w:r>
        <w:rPr>
          <w:i/>
          <w:w w:val="97"/>
          <w:sz w:val="16"/>
        </w:rPr>
        <w:t>e</w:t>
      </w:r>
      <w:r>
        <w:rPr>
          <w:i/>
          <w:spacing w:val="-1"/>
          <w:w w:val="97"/>
          <w:sz w:val="16"/>
        </w:rPr>
        <w:t>n</w:t>
      </w:r>
      <w:r>
        <w:rPr>
          <w:i/>
          <w:w w:val="103"/>
          <w:sz w:val="16"/>
        </w:rPr>
        <w:t>a</w:t>
      </w:r>
      <w:r>
        <w:rPr>
          <w:i/>
          <w:spacing w:val="-1"/>
          <w:w w:val="103"/>
          <w:sz w:val="16"/>
        </w:rPr>
        <w:t>n</w:t>
      </w:r>
      <w:r>
        <w:rPr>
          <w:i/>
          <w:spacing w:val="-1"/>
          <w:w w:val="68"/>
          <w:sz w:val="16"/>
        </w:rPr>
        <w:t>t</w:t>
      </w:r>
      <w:r>
        <w:rPr>
          <w:i/>
          <w:spacing w:val="1"/>
          <w:w w:val="101"/>
          <w:sz w:val="16"/>
        </w:rPr>
        <w:t>s</w:t>
      </w:r>
      <w:r>
        <w:rPr>
          <w:i/>
          <w:w w:val="78"/>
          <w:sz w:val="16"/>
        </w:rPr>
        <w:t>,</w:t>
      </w:r>
      <w:r>
        <w:rPr>
          <w:i/>
          <w:spacing w:val="-4"/>
          <w:sz w:val="16"/>
        </w:rPr>
        <w:t> </w:t>
      </w:r>
      <w:r>
        <w:rPr>
          <w:i/>
          <w:w w:val="83"/>
          <w:sz w:val="16"/>
        </w:rPr>
        <w:t>e</w:t>
      </w:r>
      <w:r>
        <w:rPr>
          <w:i/>
          <w:spacing w:val="-1"/>
          <w:w w:val="83"/>
          <w:sz w:val="16"/>
        </w:rPr>
        <w:t>t</w:t>
      </w:r>
      <w:r>
        <w:rPr>
          <w:i/>
          <w:w w:val="91"/>
          <w:sz w:val="16"/>
        </w:rPr>
        <w:t>c</w:t>
      </w:r>
      <w:r>
        <w:rPr>
          <w:i/>
          <w:spacing w:val="-4"/>
          <w:w w:val="91"/>
          <w:sz w:val="16"/>
        </w:rPr>
        <w:t>.</w:t>
      </w:r>
      <w:r>
        <w:rPr>
          <w:i/>
          <w:w w:val="84"/>
          <w:sz w:val="16"/>
        </w:rPr>
        <w:t>;</w:t>
      </w:r>
      <w:r>
        <w:rPr>
          <w:i/>
          <w:spacing w:val="-2"/>
          <w:sz w:val="16"/>
        </w:rPr>
        <w:t> </w:t>
      </w:r>
      <w:r>
        <w:rPr>
          <w:i/>
          <w:spacing w:val="-3"/>
          <w:w w:val="191"/>
          <w:sz w:val="16"/>
        </w:rPr>
        <w:t>^</w:t>
      </w:r>
      <w:r>
        <w:rPr>
          <w:i/>
          <w:spacing w:val="-2"/>
          <w:w w:val="96"/>
          <w:sz w:val="16"/>
        </w:rPr>
        <w:t>w</w:t>
      </w:r>
      <w:r>
        <w:rPr>
          <w:i/>
          <w:w w:val="98"/>
          <w:sz w:val="16"/>
        </w:rPr>
        <w:t>eig</w:t>
      </w:r>
      <w:r>
        <w:rPr>
          <w:i/>
          <w:spacing w:val="-2"/>
          <w:w w:val="98"/>
          <w:sz w:val="16"/>
        </w:rPr>
        <w:t>h</w:t>
      </w:r>
      <w:r>
        <w:rPr>
          <w:i/>
          <w:spacing w:val="-1"/>
          <w:w w:val="68"/>
          <w:sz w:val="16"/>
        </w:rPr>
        <w:t>t</w:t>
      </w:r>
      <w:r>
        <w:rPr>
          <w:i/>
          <w:w w:val="98"/>
          <w:sz w:val="16"/>
        </w:rPr>
        <w:t>ed</w:t>
      </w:r>
      <w:r>
        <w:rPr>
          <w:i/>
          <w:spacing w:val="-3"/>
          <w:sz w:val="16"/>
        </w:rPr>
        <w:t> </w:t>
      </w:r>
      <w:r>
        <w:rPr>
          <w:i/>
          <w:w w:val="94"/>
          <w:sz w:val="16"/>
        </w:rPr>
        <w:t>ave</w:t>
      </w:r>
      <w:r>
        <w:rPr>
          <w:i/>
          <w:spacing w:val="-2"/>
          <w:w w:val="94"/>
          <w:sz w:val="16"/>
        </w:rPr>
        <w:t>r</w:t>
      </w:r>
      <w:r>
        <w:rPr>
          <w:i/>
          <w:w w:val="105"/>
          <w:sz w:val="16"/>
        </w:rPr>
        <w:t>age</w:t>
      </w:r>
      <w:r>
        <w:rPr>
          <w:i/>
          <w:spacing w:val="-6"/>
          <w:sz w:val="16"/>
        </w:rPr>
        <w:t> </w:t>
      </w:r>
      <w:r>
        <w:rPr>
          <w:i/>
          <w:w w:val="96"/>
          <w:sz w:val="16"/>
        </w:rPr>
        <w:t>w</w:t>
      </w:r>
      <w:r>
        <w:rPr>
          <w:i/>
          <w:w w:val="96"/>
          <w:sz w:val="16"/>
        </w:rPr>
        <w:t>a</w:t>
      </w:r>
      <w:r>
        <w:rPr>
          <w:i/>
          <w:spacing w:val="-2"/>
          <w:w w:val="96"/>
          <w:sz w:val="16"/>
        </w:rPr>
        <w:t>r</w:t>
      </w:r>
      <w:r>
        <w:rPr>
          <w:i/>
          <w:w w:val="95"/>
          <w:sz w:val="16"/>
        </w:rPr>
        <w:t>m</w:t>
      </w:r>
      <w:r>
        <w:rPr>
          <w:i/>
          <w:spacing w:val="-2"/>
          <w:sz w:val="16"/>
        </w:rPr>
        <w:t> </w:t>
      </w:r>
      <w:r>
        <w:rPr>
          <w:i/>
          <w:spacing w:val="1"/>
          <w:w w:val="101"/>
          <w:sz w:val="16"/>
        </w:rPr>
        <w:t>s</w:t>
      </w:r>
      <w:r>
        <w:rPr>
          <w:i/>
          <w:spacing w:val="-1"/>
          <w:w w:val="97"/>
          <w:sz w:val="16"/>
        </w:rPr>
        <w:t>h</w:t>
      </w:r>
      <w:r>
        <w:rPr>
          <w:i/>
          <w:w w:val="84"/>
          <w:sz w:val="16"/>
        </w:rPr>
        <w:t>ell</w:t>
      </w:r>
      <w:r>
        <w:rPr>
          <w:i/>
          <w:spacing w:val="-6"/>
          <w:sz w:val="16"/>
        </w:rPr>
        <w:t> </w:t>
      </w:r>
      <w:r>
        <w:rPr>
          <w:i/>
          <w:w w:val="81"/>
          <w:sz w:val="16"/>
        </w:rPr>
        <w:t>r</w:t>
      </w:r>
      <w:r>
        <w:rPr>
          <w:i/>
          <w:w w:val="97"/>
          <w:sz w:val="16"/>
        </w:rPr>
        <w:t>e</w:t>
      </w:r>
      <w:r>
        <w:rPr>
          <w:i/>
          <w:spacing w:val="-1"/>
          <w:w w:val="97"/>
          <w:sz w:val="16"/>
        </w:rPr>
        <w:t>n</w:t>
      </w:r>
      <w:r>
        <w:rPr>
          <w:i/>
          <w:spacing w:val="-1"/>
          <w:w w:val="68"/>
          <w:sz w:val="16"/>
        </w:rPr>
        <w:t>t</w:t>
      </w:r>
      <w:r>
        <w:rPr>
          <w:i/>
          <w:w w:val="96"/>
          <w:sz w:val="16"/>
        </w:rPr>
        <w:t>al</w:t>
      </w:r>
      <w:r>
        <w:rPr>
          <w:i/>
          <w:spacing w:val="-3"/>
          <w:sz w:val="16"/>
        </w:rPr>
        <w:t> </w:t>
      </w:r>
      <w:r>
        <w:rPr>
          <w:i/>
          <w:spacing w:val="-2"/>
          <w:w w:val="77"/>
          <w:sz w:val="16"/>
        </w:rPr>
        <w:t>f</w:t>
      </w:r>
      <w:r>
        <w:rPr>
          <w:i/>
          <w:w w:val="93"/>
          <w:sz w:val="16"/>
        </w:rPr>
        <w:t>or</w:t>
      </w:r>
      <w:r>
        <w:rPr>
          <w:i/>
          <w:spacing w:val="-2"/>
          <w:sz w:val="16"/>
        </w:rPr>
        <w:t> </w:t>
      </w:r>
      <w:r>
        <w:rPr>
          <w:i/>
          <w:w w:val="96"/>
          <w:sz w:val="16"/>
        </w:rPr>
        <w:t>a</w:t>
      </w:r>
      <w:r>
        <w:rPr>
          <w:i/>
          <w:spacing w:val="-2"/>
          <w:w w:val="96"/>
          <w:sz w:val="16"/>
        </w:rPr>
        <w:t>r</w:t>
      </w:r>
      <w:r>
        <w:rPr>
          <w:i/>
          <w:w w:val="101"/>
          <w:sz w:val="16"/>
        </w:rPr>
        <w:t>ea</w:t>
      </w:r>
      <w:r>
        <w:rPr>
          <w:i/>
          <w:spacing w:val="-3"/>
          <w:sz w:val="16"/>
        </w:rPr>
        <w:t> </w:t>
      </w:r>
      <w:r>
        <w:rPr>
          <w:i/>
          <w:w w:val="91"/>
          <w:sz w:val="16"/>
        </w:rPr>
        <w:t>al</w:t>
      </w:r>
      <w:r>
        <w:rPr>
          <w:i/>
          <w:spacing w:val="-2"/>
          <w:w w:val="91"/>
          <w:sz w:val="16"/>
        </w:rPr>
        <w:t>r</w:t>
      </w:r>
      <w:r>
        <w:rPr>
          <w:i/>
          <w:w w:val="100"/>
          <w:sz w:val="16"/>
        </w:rPr>
        <w:t>eady</w:t>
      </w:r>
      <w:r>
        <w:rPr>
          <w:i/>
          <w:spacing w:val="-3"/>
          <w:sz w:val="16"/>
        </w:rPr>
        <w:t> </w:t>
      </w:r>
      <w:r>
        <w:rPr>
          <w:i/>
          <w:spacing w:val="-1"/>
          <w:w w:val="95"/>
          <w:sz w:val="16"/>
        </w:rPr>
        <w:t>le</w:t>
      </w:r>
      <w:r>
        <w:rPr>
          <w:i/>
          <w:spacing w:val="-3"/>
          <w:w w:val="95"/>
          <w:sz w:val="16"/>
        </w:rPr>
        <w:t>a</w:t>
      </w:r>
      <w:r>
        <w:rPr>
          <w:i/>
          <w:spacing w:val="1"/>
          <w:w w:val="101"/>
          <w:sz w:val="16"/>
        </w:rPr>
        <w:t>s</w:t>
      </w:r>
      <w:r>
        <w:rPr>
          <w:i/>
          <w:w w:val="98"/>
          <w:sz w:val="16"/>
        </w:rPr>
        <w:t>ed</w:t>
      </w:r>
      <w:r>
        <w:rPr>
          <w:i/>
          <w:spacing w:val="-4"/>
          <w:sz w:val="16"/>
        </w:rPr>
        <w:t> </w:t>
      </w:r>
      <w:r>
        <w:rPr>
          <w:i/>
          <w:w w:val="136"/>
          <w:sz w:val="16"/>
        </w:rPr>
        <w:t>–</w:t>
      </w:r>
      <w:r>
        <w:rPr>
          <w:i/>
          <w:spacing w:val="-2"/>
          <w:sz w:val="16"/>
        </w:rPr>
        <w:t> </w:t>
      </w:r>
      <w:r>
        <w:rPr>
          <w:i/>
          <w:spacing w:val="-3"/>
          <w:w w:val="108"/>
          <w:sz w:val="16"/>
        </w:rPr>
        <w:t>a</w:t>
      </w:r>
      <w:r>
        <w:rPr>
          <w:i/>
          <w:w w:val="101"/>
          <w:sz w:val="16"/>
        </w:rPr>
        <w:t>s</w:t>
      </w:r>
      <w:r>
        <w:rPr>
          <w:i/>
          <w:spacing w:val="-2"/>
          <w:sz w:val="16"/>
        </w:rPr>
        <w:t> </w:t>
      </w:r>
      <w:r>
        <w:rPr>
          <w:i/>
          <w:w w:val="98"/>
          <w:sz w:val="16"/>
        </w:rPr>
        <w:t>p</w:t>
      </w:r>
      <w:r>
        <w:rPr>
          <w:i/>
          <w:spacing w:val="-3"/>
          <w:w w:val="98"/>
          <w:sz w:val="16"/>
        </w:rPr>
        <w:t>e</w:t>
      </w:r>
      <w:r>
        <w:rPr>
          <w:i/>
          <w:w w:val="81"/>
          <w:sz w:val="16"/>
        </w:rPr>
        <w:t>r</w:t>
      </w:r>
      <w:r>
        <w:rPr>
          <w:i/>
          <w:spacing w:val="-2"/>
          <w:sz w:val="16"/>
        </w:rPr>
        <w:t> </w:t>
      </w:r>
      <w:r>
        <w:rPr>
          <w:i/>
          <w:w w:val="81"/>
          <w:sz w:val="16"/>
        </w:rPr>
        <w:t>r</w:t>
      </w:r>
      <w:r>
        <w:rPr>
          <w:i/>
          <w:w w:val="97"/>
          <w:sz w:val="16"/>
        </w:rPr>
        <w:t>e</w:t>
      </w:r>
      <w:r>
        <w:rPr>
          <w:i/>
          <w:spacing w:val="-4"/>
          <w:w w:val="97"/>
          <w:sz w:val="16"/>
        </w:rPr>
        <w:t>n</w:t>
      </w:r>
      <w:r>
        <w:rPr>
          <w:i/>
          <w:w w:val="68"/>
          <w:sz w:val="16"/>
        </w:rPr>
        <w:t>t</w:t>
      </w:r>
      <w:r>
        <w:rPr>
          <w:i/>
          <w:spacing w:val="-4"/>
          <w:sz w:val="16"/>
        </w:rPr>
        <w:t> </w:t>
      </w:r>
      <w:r>
        <w:rPr>
          <w:i/>
          <w:w w:val="81"/>
          <w:sz w:val="16"/>
        </w:rPr>
        <w:t>r</w:t>
      </w:r>
      <w:r>
        <w:rPr>
          <w:i/>
          <w:w w:val="88"/>
          <w:sz w:val="16"/>
        </w:rPr>
        <w:t>oll</w:t>
      </w:r>
      <w:r>
        <w:rPr>
          <w:i/>
          <w:spacing w:val="-3"/>
          <w:sz w:val="16"/>
        </w:rPr>
        <w:t> </w:t>
      </w:r>
      <w:r>
        <w:rPr>
          <w:i/>
          <w:spacing w:val="1"/>
          <w:w w:val="101"/>
          <w:sz w:val="16"/>
        </w:rPr>
        <w:t>s</w:t>
      </w:r>
      <w:r>
        <w:rPr>
          <w:i/>
          <w:spacing w:val="-1"/>
          <w:w w:val="97"/>
          <w:sz w:val="16"/>
        </w:rPr>
        <w:t>h</w:t>
      </w:r>
      <w:r>
        <w:rPr>
          <w:i/>
          <w:spacing w:val="-3"/>
          <w:w w:val="108"/>
          <w:sz w:val="16"/>
        </w:rPr>
        <w:t>a</w:t>
      </w:r>
      <w:r>
        <w:rPr>
          <w:i/>
          <w:spacing w:val="1"/>
          <w:w w:val="81"/>
          <w:sz w:val="16"/>
        </w:rPr>
        <w:t>r</w:t>
      </w:r>
      <w:r>
        <w:rPr>
          <w:i/>
          <w:w w:val="98"/>
          <w:sz w:val="16"/>
        </w:rPr>
        <w:t>ed</w:t>
      </w:r>
      <w:r>
        <w:rPr>
          <w:i/>
          <w:spacing w:val="-3"/>
          <w:sz w:val="16"/>
        </w:rPr>
        <w:t> </w:t>
      </w:r>
      <w:r>
        <w:rPr>
          <w:i/>
          <w:w w:val="98"/>
          <w:sz w:val="16"/>
        </w:rPr>
        <w:t>by</w:t>
      </w:r>
      <w:r>
        <w:rPr>
          <w:i/>
          <w:spacing w:val="-6"/>
          <w:sz w:val="16"/>
        </w:rPr>
        <w:t> </w:t>
      </w:r>
      <w:r>
        <w:rPr>
          <w:i/>
          <w:w w:val="94"/>
          <w:sz w:val="16"/>
        </w:rPr>
        <w:t>Cl</w:t>
      </w:r>
      <w:r>
        <w:rPr>
          <w:i/>
          <w:spacing w:val="-1"/>
          <w:w w:val="94"/>
          <w:sz w:val="16"/>
        </w:rPr>
        <w:t>i</w:t>
      </w:r>
      <w:r>
        <w:rPr>
          <w:i/>
          <w:w w:val="97"/>
          <w:sz w:val="16"/>
        </w:rPr>
        <w:t>e</w:t>
      </w:r>
      <w:r>
        <w:rPr>
          <w:i/>
          <w:spacing w:val="-1"/>
          <w:w w:val="97"/>
          <w:sz w:val="16"/>
        </w:rPr>
        <w:t>n</w:t>
      </w:r>
      <w:r>
        <w:rPr>
          <w:i/>
          <w:spacing w:val="-1"/>
          <w:w w:val="68"/>
          <w:sz w:val="16"/>
        </w:rPr>
        <w:t>t</w:t>
      </w:r>
      <w:r>
        <w:rPr>
          <w:i/>
          <w:w w:val="84"/>
          <w:sz w:val="16"/>
        </w:rPr>
        <w:t>;</w:t>
      </w:r>
      <w:r>
        <w:rPr>
          <w:i/>
          <w:spacing w:val="-2"/>
          <w:sz w:val="16"/>
        </w:rPr>
        <w:t> </w:t>
      </w:r>
      <w:r>
        <w:rPr>
          <w:i/>
          <w:spacing w:val="-2"/>
          <w:w w:val="117"/>
          <w:sz w:val="16"/>
        </w:rPr>
        <w:t>*</w:t>
      </w:r>
      <w:r>
        <w:rPr>
          <w:i/>
          <w:w w:val="117"/>
          <w:sz w:val="16"/>
        </w:rPr>
        <w:t>*</w:t>
      </w:r>
      <w:r>
        <w:rPr>
          <w:i/>
          <w:spacing w:val="-2"/>
          <w:sz w:val="16"/>
        </w:rPr>
        <w:t> </w:t>
      </w:r>
      <w:r>
        <w:rPr>
          <w:i/>
          <w:w w:val="95"/>
          <w:sz w:val="16"/>
        </w:rPr>
        <w:t>I</w:t>
      </w:r>
      <w:r>
        <w:rPr>
          <w:i/>
          <w:spacing w:val="-1"/>
          <w:w w:val="99"/>
          <w:sz w:val="16"/>
        </w:rPr>
        <w:t>n</w:t>
      </w:r>
      <w:r>
        <w:rPr>
          <w:i/>
          <w:w w:val="91"/>
          <w:sz w:val="16"/>
        </w:rPr>
        <w:t>cl</w:t>
      </w:r>
      <w:r>
        <w:rPr>
          <w:i/>
          <w:spacing w:val="-4"/>
          <w:w w:val="91"/>
          <w:sz w:val="16"/>
        </w:rPr>
        <w:t>u</w:t>
      </w:r>
      <w:r>
        <w:rPr>
          <w:i/>
          <w:spacing w:val="1"/>
          <w:w w:val="101"/>
          <w:sz w:val="16"/>
        </w:rPr>
        <w:t>s</w:t>
      </w:r>
      <w:r>
        <w:rPr>
          <w:i/>
          <w:spacing w:val="-1"/>
          <w:w w:val="90"/>
          <w:sz w:val="16"/>
        </w:rPr>
        <w:t>iv</w:t>
      </w:r>
      <w:r>
        <w:rPr>
          <w:i/>
          <w:w w:val="90"/>
          <w:sz w:val="16"/>
        </w:rPr>
        <w:t>e</w:t>
      </w:r>
      <w:r>
        <w:rPr>
          <w:i/>
          <w:spacing w:val="-6"/>
          <w:sz w:val="16"/>
        </w:rPr>
        <w:t> </w:t>
      </w:r>
      <w:r>
        <w:rPr>
          <w:i/>
          <w:w w:val="92"/>
          <w:sz w:val="16"/>
        </w:rPr>
        <w:t>of</w:t>
      </w:r>
      <w:r>
        <w:rPr>
          <w:i/>
          <w:spacing w:val="-2"/>
          <w:sz w:val="16"/>
        </w:rPr>
        <w:t> </w:t>
      </w:r>
      <w:r>
        <w:rPr>
          <w:i/>
          <w:w w:val="98"/>
          <w:sz w:val="16"/>
        </w:rPr>
        <w:t>car</w:t>
      </w:r>
      <w:r>
        <w:rPr>
          <w:i/>
          <w:spacing w:val="-5"/>
          <w:sz w:val="16"/>
        </w:rPr>
        <w:t> </w:t>
      </w:r>
      <w:r>
        <w:rPr>
          <w:i/>
          <w:w w:val="98"/>
          <w:sz w:val="16"/>
        </w:rPr>
        <w:t>pa</w:t>
      </w:r>
      <w:r>
        <w:rPr>
          <w:i/>
          <w:spacing w:val="-2"/>
          <w:w w:val="98"/>
          <w:sz w:val="16"/>
        </w:rPr>
        <w:t>r</w:t>
      </w:r>
      <w:r>
        <w:rPr>
          <w:i/>
          <w:w w:val="94"/>
          <w:sz w:val="16"/>
        </w:rPr>
        <w:t>k </w:t>
      </w:r>
      <w:r>
        <w:rPr>
          <w:i/>
          <w:sz w:val="16"/>
        </w:rPr>
        <w:t>rent</w:t>
      </w:r>
    </w:p>
    <w:p>
      <w:pPr>
        <w:pStyle w:val="BodyText"/>
        <w:spacing w:line="321" w:lineRule="auto" w:before="123"/>
        <w:ind w:left="682" w:right="113"/>
        <w:jc w:val="both"/>
      </w:pPr>
      <w:r>
        <w:rPr/>
        <w:t>In addition to undertaking an in-depth market analysis, a detailed analysis of the rent rolls was also undertaken</w:t>
      </w:r>
      <w:r>
        <w:rPr>
          <w:spacing w:val="-17"/>
        </w:rPr>
        <w:t> </w:t>
      </w:r>
      <w:r>
        <w:rPr/>
        <w:t>to</w:t>
      </w:r>
      <w:r>
        <w:rPr>
          <w:spacing w:val="-17"/>
        </w:rPr>
        <w:t> </w:t>
      </w:r>
      <w:r>
        <w:rPr/>
        <w:t>understand</w:t>
      </w:r>
      <w:r>
        <w:rPr>
          <w:spacing w:val="-15"/>
        </w:rPr>
        <w:t> </w:t>
      </w:r>
      <w:r>
        <w:rPr/>
        <w:t>aspects</w:t>
      </w:r>
      <w:r>
        <w:rPr>
          <w:spacing w:val="-15"/>
        </w:rPr>
        <w:t> </w:t>
      </w:r>
      <w:r>
        <w:rPr/>
        <w:t>such</w:t>
      </w:r>
      <w:r>
        <w:rPr>
          <w:spacing w:val="-17"/>
        </w:rPr>
        <w:t> </w:t>
      </w:r>
      <w:r>
        <w:rPr/>
        <w:t>as</w:t>
      </w:r>
      <w:r>
        <w:rPr>
          <w:spacing w:val="-16"/>
        </w:rPr>
        <w:t> </w:t>
      </w:r>
      <w:r>
        <w:rPr/>
        <w:t>area</w:t>
      </w:r>
      <w:r>
        <w:rPr>
          <w:spacing w:val="-16"/>
        </w:rPr>
        <w:t> </w:t>
      </w:r>
      <w:r>
        <w:rPr/>
        <w:t>occupied,</w:t>
      </w:r>
      <w:r>
        <w:rPr>
          <w:spacing w:val="-17"/>
        </w:rPr>
        <w:t> </w:t>
      </w:r>
      <w:r>
        <w:rPr/>
        <w:t>current</w:t>
      </w:r>
      <w:r>
        <w:rPr>
          <w:spacing w:val="-16"/>
        </w:rPr>
        <w:t> </w:t>
      </w:r>
      <w:r>
        <w:rPr/>
        <w:t>rental</w:t>
      </w:r>
      <w:r>
        <w:rPr>
          <w:spacing w:val="-16"/>
        </w:rPr>
        <w:t> </w:t>
      </w:r>
      <w:r>
        <w:rPr/>
        <w:t>and</w:t>
      </w:r>
      <w:r>
        <w:rPr>
          <w:spacing w:val="-16"/>
        </w:rPr>
        <w:t> </w:t>
      </w:r>
      <w:r>
        <w:rPr/>
        <w:t>expiry</w:t>
      </w:r>
      <w:r>
        <w:rPr>
          <w:spacing w:val="-16"/>
        </w:rPr>
        <w:t> </w:t>
      </w:r>
      <w:r>
        <w:rPr/>
        <w:t>analysis</w:t>
      </w:r>
      <w:r>
        <w:rPr>
          <w:spacing w:val="-16"/>
        </w:rPr>
        <w:t> </w:t>
      </w:r>
      <w:r>
        <w:rPr/>
        <w:t>of</w:t>
      </w:r>
      <w:r>
        <w:rPr>
          <w:spacing w:val="-16"/>
        </w:rPr>
        <w:t> </w:t>
      </w:r>
      <w:r>
        <w:rPr/>
        <w:t>the</w:t>
      </w:r>
      <w:r>
        <w:rPr>
          <w:spacing w:val="-18"/>
        </w:rPr>
        <w:t> </w:t>
      </w:r>
      <w:r>
        <w:rPr/>
        <w:t>key tenants in the development. Additionally, the Valuer also analysed the historical market occupancy pattern</w:t>
      </w:r>
      <w:r>
        <w:rPr>
          <w:spacing w:val="-25"/>
        </w:rPr>
        <w:t> </w:t>
      </w:r>
      <w:r>
        <w:rPr/>
        <w:t>and</w:t>
      </w:r>
      <w:r>
        <w:rPr>
          <w:spacing w:val="-23"/>
        </w:rPr>
        <w:t> </w:t>
      </w:r>
      <w:r>
        <w:rPr/>
        <w:t>lease-up</w:t>
      </w:r>
      <w:r>
        <w:rPr>
          <w:spacing w:val="-23"/>
        </w:rPr>
        <w:t> </w:t>
      </w:r>
      <w:r>
        <w:rPr/>
        <w:t>time</w:t>
      </w:r>
      <w:r>
        <w:rPr>
          <w:spacing w:val="-23"/>
        </w:rPr>
        <w:t> </w:t>
      </w:r>
      <w:r>
        <w:rPr/>
        <w:t>frame</w:t>
      </w:r>
      <w:r>
        <w:rPr>
          <w:spacing w:val="-23"/>
        </w:rPr>
        <w:t> </w:t>
      </w:r>
      <w:r>
        <w:rPr/>
        <w:t>for</w:t>
      </w:r>
      <w:r>
        <w:rPr>
          <w:spacing w:val="-24"/>
        </w:rPr>
        <w:t> </w:t>
      </w:r>
      <w:r>
        <w:rPr/>
        <w:t>spaces</w:t>
      </w:r>
      <w:r>
        <w:rPr>
          <w:spacing w:val="-24"/>
        </w:rPr>
        <w:t> </w:t>
      </w:r>
      <w:r>
        <w:rPr/>
        <w:t>being</w:t>
      </w:r>
      <w:r>
        <w:rPr>
          <w:spacing w:val="-25"/>
        </w:rPr>
        <w:t> </w:t>
      </w:r>
      <w:r>
        <w:rPr/>
        <w:t>vacated</w:t>
      </w:r>
      <w:r>
        <w:rPr>
          <w:spacing w:val="-23"/>
        </w:rPr>
        <w:t> </w:t>
      </w:r>
      <w:r>
        <w:rPr/>
        <w:t>by</w:t>
      </w:r>
      <w:r>
        <w:rPr>
          <w:spacing w:val="-24"/>
        </w:rPr>
        <w:t> </w:t>
      </w:r>
      <w:r>
        <w:rPr/>
        <w:t>tenants</w:t>
      </w:r>
      <w:r>
        <w:rPr>
          <w:spacing w:val="-24"/>
        </w:rPr>
        <w:t> </w:t>
      </w:r>
      <w:r>
        <w:rPr/>
        <w:t>during</w:t>
      </w:r>
      <w:r>
        <w:rPr>
          <w:spacing w:val="-23"/>
        </w:rPr>
        <w:t> </w:t>
      </w:r>
      <w:r>
        <w:rPr/>
        <w:t>the</w:t>
      </w:r>
      <w:r>
        <w:rPr>
          <w:spacing w:val="-24"/>
        </w:rPr>
        <w:t> </w:t>
      </w:r>
      <w:r>
        <w:rPr/>
        <w:t>last</w:t>
      </w:r>
      <w:r>
        <w:rPr>
          <w:spacing w:val="-23"/>
        </w:rPr>
        <w:t> </w:t>
      </w:r>
      <w:r>
        <w:rPr/>
        <w:t>3</w:t>
      </w:r>
      <w:r>
        <w:rPr>
          <w:spacing w:val="-23"/>
        </w:rPr>
        <w:t> </w:t>
      </w:r>
      <w:r>
        <w:rPr/>
        <w:t>years.</w:t>
      </w:r>
      <w:r>
        <w:rPr>
          <w:spacing w:val="-24"/>
        </w:rPr>
        <w:t> </w:t>
      </w:r>
      <w:r>
        <w:rPr/>
        <w:t>The</w:t>
      </w:r>
      <w:r>
        <w:rPr>
          <w:spacing w:val="-24"/>
        </w:rPr>
        <w:t> </w:t>
      </w:r>
      <w:r>
        <w:rPr/>
        <w:t>lease- up</w:t>
      </w:r>
      <w:r>
        <w:rPr>
          <w:spacing w:val="-9"/>
        </w:rPr>
        <w:t> </w:t>
      </w:r>
      <w:r>
        <w:rPr/>
        <w:t>time</w:t>
      </w:r>
      <w:r>
        <w:rPr>
          <w:spacing w:val="-10"/>
        </w:rPr>
        <w:t> </w:t>
      </w:r>
      <w:r>
        <w:rPr/>
        <w:t>was</w:t>
      </w:r>
      <w:r>
        <w:rPr>
          <w:spacing w:val="-8"/>
        </w:rPr>
        <w:t> </w:t>
      </w:r>
      <w:r>
        <w:rPr/>
        <w:t>observed</w:t>
      </w:r>
      <w:r>
        <w:rPr>
          <w:spacing w:val="-9"/>
        </w:rPr>
        <w:t> </w:t>
      </w:r>
      <w:r>
        <w:rPr/>
        <w:t>to</w:t>
      </w:r>
      <w:r>
        <w:rPr>
          <w:spacing w:val="-11"/>
        </w:rPr>
        <w:t> </w:t>
      </w:r>
      <w:r>
        <w:rPr/>
        <w:t>be</w:t>
      </w:r>
      <w:r>
        <w:rPr>
          <w:spacing w:val="-10"/>
        </w:rPr>
        <w:t> </w:t>
      </w:r>
      <w:r>
        <w:rPr/>
        <w:t>2</w:t>
      </w:r>
      <w:r>
        <w:rPr>
          <w:spacing w:val="-9"/>
        </w:rPr>
        <w:t> </w:t>
      </w:r>
      <w:r>
        <w:rPr/>
        <w:t>-</w:t>
      </w:r>
      <w:r>
        <w:rPr>
          <w:spacing w:val="-8"/>
        </w:rPr>
        <w:t> </w:t>
      </w:r>
      <w:r>
        <w:rPr/>
        <w:t>6</w:t>
      </w:r>
      <w:r>
        <w:rPr>
          <w:spacing w:val="-10"/>
        </w:rPr>
        <w:t> </w:t>
      </w:r>
      <w:r>
        <w:rPr/>
        <w:t>months</w:t>
      </w:r>
      <w:r>
        <w:rPr>
          <w:spacing w:val="-10"/>
        </w:rPr>
        <w:t> </w:t>
      </w:r>
      <w:r>
        <w:rPr/>
        <w:t>based</w:t>
      </w:r>
      <w:r>
        <w:rPr>
          <w:spacing w:val="-9"/>
        </w:rPr>
        <w:t> </w:t>
      </w:r>
      <w:r>
        <w:rPr/>
        <w:t>on</w:t>
      </w:r>
      <w:r>
        <w:rPr>
          <w:spacing w:val="-10"/>
        </w:rPr>
        <w:t> </w:t>
      </w:r>
      <w:r>
        <w:rPr/>
        <w:t>quantum</w:t>
      </w:r>
      <w:r>
        <w:rPr>
          <w:spacing w:val="-9"/>
        </w:rPr>
        <w:t> </w:t>
      </w:r>
      <w:r>
        <w:rPr/>
        <w:t>of</w:t>
      </w:r>
      <w:r>
        <w:rPr>
          <w:spacing w:val="-8"/>
        </w:rPr>
        <w:t> </w:t>
      </w:r>
      <w:r>
        <w:rPr/>
        <w:t>space</w:t>
      </w:r>
      <w:r>
        <w:rPr>
          <w:spacing w:val="-10"/>
        </w:rPr>
        <w:t> </w:t>
      </w:r>
      <w:r>
        <w:rPr/>
        <w:t>being</w:t>
      </w:r>
      <w:r>
        <w:rPr>
          <w:spacing w:val="-8"/>
        </w:rPr>
        <w:t> </w:t>
      </w:r>
      <w:r>
        <w:rPr/>
        <w:t>renewed</w:t>
      </w:r>
      <w:r>
        <w:rPr>
          <w:spacing w:val="-8"/>
        </w:rPr>
        <w:t> </w:t>
      </w:r>
      <w:r>
        <w:rPr/>
        <w:t>/</w:t>
      </w:r>
      <w:r>
        <w:rPr>
          <w:spacing w:val="-10"/>
        </w:rPr>
        <w:t> </w:t>
      </w:r>
      <w:r>
        <w:rPr/>
        <w:t>re-leased.</w:t>
      </w:r>
    </w:p>
    <w:p>
      <w:pPr>
        <w:pStyle w:val="BodyText"/>
        <w:spacing w:line="321" w:lineRule="auto" w:before="123"/>
        <w:ind w:left="682" w:right="114"/>
        <w:jc w:val="both"/>
      </w:pPr>
      <w:r>
        <w:rPr/>
        <w:t>For</w:t>
      </w:r>
      <w:r>
        <w:rPr>
          <w:spacing w:val="-30"/>
        </w:rPr>
        <w:t> </w:t>
      </w:r>
      <w:r>
        <w:rPr/>
        <w:t>the</w:t>
      </w:r>
      <w:r>
        <w:rPr>
          <w:spacing w:val="-29"/>
        </w:rPr>
        <w:t> </w:t>
      </w:r>
      <w:r>
        <w:rPr/>
        <w:t>larger</w:t>
      </w:r>
      <w:r>
        <w:rPr>
          <w:spacing w:val="-30"/>
        </w:rPr>
        <w:t> </w:t>
      </w:r>
      <w:r>
        <w:rPr/>
        <w:t>tenants,</w:t>
      </w:r>
      <w:r>
        <w:rPr>
          <w:spacing w:val="-30"/>
        </w:rPr>
        <w:t> </w:t>
      </w:r>
      <w:r>
        <w:rPr/>
        <w:t>the</w:t>
      </w:r>
      <w:r>
        <w:rPr>
          <w:spacing w:val="-29"/>
        </w:rPr>
        <w:t> </w:t>
      </w:r>
      <w:r>
        <w:rPr/>
        <w:t>Valuer</w:t>
      </w:r>
      <w:r>
        <w:rPr>
          <w:spacing w:val="-29"/>
        </w:rPr>
        <w:t> </w:t>
      </w:r>
      <w:r>
        <w:rPr/>
        <w:t>has</w:t>
      </w:r>
      <w:r>
        <w:rPr>
          <w:spacing w:val="-27"/>
        </w:rPr>
        <w:t> </w:t>
      </w:r>
      <w:r>
        <w:rPr/>
        <w:t>assumed</w:t>
      </w:r>
      <w:r>
        <w:rPr>
          <w:spacing w:val="-30"/>
        </w:rPr>
        <w:t> </w:t>
      </w:r>
      <w:r>
        <w:rPr/>
        <w:t>that</w:t>
      </w:r>
      <w:r>
        <w:rPr>
          <w:spacing w:val="-28"/>
        </w:rPr>
        <w:t> </w:t>
      </w:r>
      <w:r>
        <w:rPr/>
        <w:t>post</w:t>
      </w:r>
      <w:r>
        <w:rPr>
          <w:spacing w:val="-29"/>
        </w:rPr>
        <w:t> </w:t>
      </w:r>
      <w:r>
        <w:rPr/>
        <w:t>lease</w:t>
      </w:r>
      <w:r>
        <w:rPr>
          <w:spacing w:val="-29"/>
        </w:rPr>
        <w:t> </w:t>
      </w:r>
      <w:r>
        <w:rPr/>
        <w:t>expiry,</w:t>
      </w:r>
      <w:r>
        <w:rPr>
          <w:spacing w:val="-30"/>
        </w:rPr>
        <w:t> </w:t>
      </w:r>
      <w:r>
        <w:rPr/>
        <w:t>these</w:t>
      </w:r>
      <w:r>
        <w:rPr>
          <w:spacing w:val="-29"/>
        </w:rPr>
        <w:t> </w:t>
      </w:r>
      <w:r>
        <w:rPr/>
        <w:t>spaces</w:t>
      </w:r>
      <w:r>
        <w:rPr>
          <w:spacing w:val="-29"/>
        </w:rPr>
        <w:t> </w:t>
      </w:r>
      <w:r>
        <w:rPr/>
        <w:t>will</w:t>
      </w:r>
      <w:r>
        <w:rPr>
          <w:spacing w:val="-29"/>
        </w:rPr>
        <w:t> </w:t>
      </w:r>
      <w:r>
        <w:rPr/>
        <w:t>revert</w:t>
      </w:r>
      <w:r>
        <w:rPr>
          <w:spacing w:val="-29"/>
        </w:rPr>
        <w:t> </w:t>
      </w:r>
      <w:r>
        <w:rPr/>
        <w:t>to</w:t>
      </w:r>
      <w:r>
        <w:rPr>
          <w:spacing w:val="-29"/>
        </w:rPr>
        <w:t> </w:t>
      </w:r>
      <w:r>
        <w:rPr/>
        <w:t>market rent</w:t>
      </w:r>
      <w:r>
        <w:rPr>
          <w:spacing w:val="-36"/>
        </w:rPr>
        <w:t> </w:t>
      </w:r>
      <w:r>
        <w:rPr/>
        <w:t>prevailing</w:t>
      </w:r>
      <w:r>
        <w:rPr>
          <w:spacing w:val="-35"/>
        </w:rPr>
        <w:t> </w:t>
      </w:r>
      <w:r>
        <w:rPr/>
        <w:t>at</w:t>
      </w:r>
      <w:r>
        <w:rPr>
          <w:spacing w:val="-35"/>
        </w:rPr>
        <w:t> </w:t>
      </w:r>
      <w:r>
        <w:rPr/>
        <w:t>that</w:t>
      </w:r>
      <w:r>
        <w:rPr>
          <w:spacing w:val="-35"/>
        </w:rPr>
        <w:t> </w:t>
      </w:r>
      <w:r>
        <w:rPr/>
        <w:t>point</w:t>
      </w:r>
      <w:r>
        <w:rPr>
          <w:spacing w:val="-35"/>
        </w:rPr>
        <w:t> </w:t>
      </w:r>
      <w:r>
        <w:rPr/>
        <w:t>in</w:t>
      </w:r>
      <w:r>
        <w:rPr>
          <w:spacing w:val="-36"/>
        </w:rPr>
        <w:t> </w:t>
      </w:r>
      <w:r>
        <w:rPr/>
        <w:t>time.</w:t>
      </w:r>
      <w:r>
        <w:rPr>
          <w:spacing w:val="-36"/>
        </w:rPr>
        <w:t> </w:t>
      </w:r>
      <w:r>
        <w:rPr/>
        <w:t>However,</w:t>
      </w:r>
      <w:r>
        <w:rPr>
          <w:spacing w:val="-36"/>
        </w:rPr>
        <w:t> </w:t>
      </w:r>
      <w:r>
        <w:rPr/>
        <w:t>given</w:t>
      </w:r>
      <w:r>
        <w:rPr>
          <w:spacing w:val="-35"/>
        </w:rPr>
        <w:t> </w:t>
      </w:r>
      <w:r>
        <w:rPr/>
        <w:t>the</w:t>
      </w:r>
      <w:r>
        <w:rPr>
          <w:spacing w:val="-36"/>
        </w:rPr>
        <w:t> </w:t>
      </w:r>
      <w:r>
        <w:rPr/>
        <w:t>large</w:t>
      </w:r>
      <w:r>
        <w:rPr>
          <w:spacing w:val="-35"/>
        </w:rPr>
        <w:t> </w:t>
      </w:r>
      <w:r>
        <w:rPr/>
        <w:t>size</w:t>
      </w:r>
      <w:r>
        <w:rPr>
          <w:spacing w:val="-36"/>
        </w:rPr>
        <w:t> </w:t>
      </w:r>
      <w:r>
        <w:rPr/>
        <w:t>of</w:t>
      </w:r>
      <w:r>
        <w:rPr>
          <w:spacing w:val="-36"/>
        </w:rPr>
        <w:t> </w:t>
      </w:r>
      <w:r>
        <w:rPr/>
        <w:t>these</w:t>
      </w:r>
      <w:r>
        <w:rPr>
          <w:spacing w:val="-37"/>
        </w:rPr>
        <w:t> </w:t>
      </w:r>
      <w:r>
        <w:rPr/>
        <w:t>spaces,</w:t>
      </w:r>
      <w:r>
        <w:rPr>
          <w:spacing w:val="-35"/>
        </w:rPr>
        <w:t> </w:t>
      </w:r>
      <w:r>
        <w:rPr/>
        <w:t>the</w:t>
      </w:r>
      <w:r>
        <w:rPr>
          <w:spacing w:val="-36"/>
        </w:rPr>
        <w:t> </w:t>
      </w:r>
      <w:r>
        <w:rPr/>
        <w:t>Client</w:t>
      </w:r>
      <w:r>
        <w:rPr>
          <w:spacing w:val="-36"/>
        </w:rPr>
        <w:t> </w:t>
      </w:r>
      <w:r>
        <w:rPr/>
        <w:t>will</w:t>
      </w:r>
      <w:r>
        <w:rPr>
          <w:spacing w:val="-36"/>
        </w:rPr>
        <w:t> </w:t>
      </w:r>
      <w:r>
        <w:rPr/>
        <w:t>require longer lease-up time. Therefore, the Valuer has adopted a higher lease-up time, ranging from 2 </w:t>
      </w:r>
      <w:r>
        <w:rPr>
          <w:w w:val="105"/>
        </w:rPr>
        <w:t>– </w:t>
      </w:r>
      <w:r>
        <w:rPr/>
        <w:t>6 months depending on area to be</w:t>
      </w:r>
      <w:r>
        <w:rPr>
          <w:spacing w:val="-15"/>
        </w:rPr>
        <w:t> </w:t>
      </w:r>
      <w:r>
        <w:rPr/>
        <w:t>leased.</w:t>
      </w:r>
    </w:p>
    <w:p>
      <w:pPr>
        <w:pStyle w:val="BodyText"/>
        <w:rPr>
          <w:sz w:val="17"/>
        </w:rPr>
      </w:pPr>
      <w:r>
        <w:rPr/>
        <w:pict>
          <v:group style="position:absolute;margin-left:35.279999pt;margin-top:11.840918pt;width:524.3pt;height:16.7pt;mso-position-horizontal-relative:page;mso-position-vertical-relative:paragraph;z-index:-15445504;mso-wrap-distance-left:0;mso-wrap-distance-right:0" coordorigin="706,237" coordsize="10486,334">
            <v:shape style="position:absolute;left:720;top:268;width:10472;height:288" coordorigin="720,268" coordsize="10472,288" path="m11191,268l6145,268,720,268,720,556,6145,556,11191,556,11191,268xe" filled="true" fillcolor="#006a4d" stroked="false">
              <v:path arrowok="t"/>
              <v:fill type="solid"/>
            </v:shape>
            <v:rect style="position:absolute;left:720;top:236;width:5426;height:29" filled="true" fillcolor="#1b6b22" stroked="false">
              <v:fill type="solid"/>
            </v:rect>
            <v:shape style="position:absolute;left:720;top:265;width:5455;height:3" coordorigin="720,266" coordsize="5455,3" path="m6174,266l6145,266,720,266,720,268,6145,268,6174,268,6174,266xe" filled="true" fillcolor="#006a4d" stroked="false">
              <v:path arrowok="t"/>
              <v:fill type="solid"/>
            </v:shape>
            <v:shape style="position:absolute;left:6145;top:236;width:5046;height:29" coordorigin="6145,237" coordsize="5046,29" path="m11191,237l6174,237,6145,237,6145,266,6174,266,11191,266,11191,237xe" filled="true" fillcolor="#1b6b22" stroked="false">
              <v:path arrowok="t"/>
              <v:fill type="solid"/>
            </v:shape>
            <v:rect style="position:absolute;left:6174;top:265;width:5017;height:3" filled="true" fillcolor="#006a4d" stroked="false">
              <v:fill type="solid"/>
            </v:rect>
            <v:shape style="position:absolute;left:720;top:556;width:10472;height:15" coordorigin="720,556" coordsize="10472,15" path="m11191,556l6160,556,6145,556,720,556,720,570,6145,570,6160,570,11191,570,11191,556xe" filled="true" fillcolor="#69bd28" stroked="false">
              <v:path arrowok="t"/>
              <v:fill type="solid"/>
            </v:shape>
            <v:shape style="position:absolute;left:705;top:265;width:10486;height:291" type="#_x0000_t202" filled="false" stroked="false">
              <v:textbox inset="0,0,0,0">
                <w:txbxContent>
                  <w:p>
                    <w:pPr>
                      <w:tabs>
                        <w:tab w:pos="6150" w:val="left" w:leader="none"/>
                      </w:tabs>
                      <w:spacing w:before="42"/>
                      <w:ind w:left="1903" w:right="0" w:firstLine="0"/>
                      <w:jc w:val="left"/>
                      <w:rPr>
                        <w:b/>
                        <w:sz w:val="18"/>
                      </w:rPr>
                    </w:pPr>
                    <w:r>
                      <w:rPr>
                        <w:b/>
                        <w:color w:val="FFFFFF"/>
                        <w:w w:val="110"/>
                        <w:sz w:val="18"/>
                      </w:rPr>
                      <w:t>Area Range</w:t>
                    </w:r>
                    <w:r>
                      <w:rPr>
                        <w:b/>
                        <w:color w:val="FFFFFF"/>
                        <w:spacing w:val="-6"/>
                        <w:w w:val="110"/>
                        <w:sz w:val="18"/>
                      </w:rPr>
                      <w:t> </w:t>
                    </w:r>
                    <w:r>
                      <w:rPr>
                        <w:b/>
                        <w:color w:val="FFFFFF"/>
                        <w:w w:val="110"/>
                        <w:sz w:val="18"/>
                      </w:rPr>
                      <w:t>(in</w:t>
                    </w:r>
                    <w:r>
                      <w:rPr>
                        <w:b/>
                        <w:color w:val="FFFFFF"/>
                        <w:spacing w:val="-2"/>
                        <w:w w:val="110"/>
                        <w:sz w:val="18"/>
                      </w:rPr>
                      <w:t> </w:t>
                    </w:r>
                    <w:r>
                      <w:rPr>
                        <w:b/>
                        <w:color w:val="FFFFFF"/>
                        <w:w w:val="110"/>
                        <w:sz w:val="18"/>
                      </w:rPr>
                      <w:t>sf)</w:t>
                      <w:tab/>
                      <w:t>Market Rental Strategy (Lease-up</w:t>
                    </w:r>
                    <w:r>
                      <w:rPr>
                        <w:b/>
                        <w:color w:val="FFFFFF"/>
                        <w:spacing w:val="-28"/>
                        <w:w w:val="110"/>
                        <w:sz w:val="18"/>
                      </w:rPr>
                      <w:t> </w:t>
                    </w:r>
                    <w:r>
                      <w:rPr>
                        <w:b/>
                        <w:color w:val="FFFFFF"/>
                        <w:w w:val="110"/>
                        <w:sz w:val="18"/>
                      </w:rPr>
                      <w:t>Time)</w:t>
                    </w:r>
                  </w:p>
                </w:txbxContent>
              </v:textbox>
              <w10:wrap type="none"/>
            </v:shape>
            <w10:wrap type="topAndBottom"/>
          </v:group>
        </w:pict>
      </w:r>
    </w:p>
    <w:p>
      <w:pPr>
        <w:tabs>
          <w:tab w:pos="6894" w:val="left" w:leader="none"/>
        </w:tabs>
        <w:spacing w:before="10" w:after="39"/>
        <w:ind w:left="1308" w:right="0" w:firstLine="0"/>
        <w:jc w:val="left"/>
        <w:rPr>
          <w:sz w:val="18"/>
        </w:rPr>
      </w:pPr>
      <w:r>
        <w:rPr>
          <w:sz w:val="18"/>
        </w:rPr>
        <w:t>Leasable  Area  &gt;25,000</w:t>
      </w:r>
      <w:r>
        <w:rPr>
          <w:spacing w:val="-18"/>
          <w:sz w:val="18"/>
        </w:rPr>
        <w:t> </w:t>
      </w:r>
      <w:r>
        <w:rPr>
          <w:sz w:val="18"/>
        </w:rPr>
        <w:t>and</w:t>
      </w:r>
      <w:r>
        <w:rPr>
          <w:spacing w:val="30"/>
          <w:sz w:val="18"/>
        </w:rPr>
        <w:t> </w:t>
      </w:r>
      <w:r>
        <w:rPr>
          <w:sz w:val="18"/>
        </w:rPr>
        <w:t>&lt;40,000</w:t>
        <w:tab/>
        <w:t>Renewal</w:t>
      </w:r>
      <w:r>
        <w:rPr>
          <w:spacing w:val="-29"/>
          <w:sz w:val="18"/>
        </w:rPr>
        <w:t> </w:t>
      </w:r>
      <w:r>
        <w:rPr>
          <w:sz w:val="18"/>
        </w:rPr>
        <w:t>at</w:t>
      </w:r>
      <w:r>
        <w:rPr>
          <w:spacing w:val="-30"/>
          <w:sz w:val="18"/>
        </w:rPr>
        <w:t> </w:t>
      </w:r>
      <w:r>
        <w:rPr>
          <w:sz w:val="18"/>
        </w:rPr>
        <w:t>market</w:t>
      </w:r>
      <w:r>
        <w:rPr>
          <w:spacing w:val="-29"/>
          <w:sz w:val="18"/>
        </w:rPr>
        <w:t> </w:t>
      </w:r>
      <w:r>
        <w:rPr>
          <w:sz w:val="18"/>
        </w:rPr>
        <w:t>(2</w:t>
      </w:r>
      <w:r>
        <w:rPr>
          <w:spacing w:val="-30"/>
          <w:sz w:val="18"/>
        </w:rPr>
        <w:t> </w:t>
      </w:r>
      <w:r>
        <w:rPr>
          <w:sz w:val="18"/>
        </w:rPr>
        <w:t>months)</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440,0,5425,0,0,0,0,14,5425,14,5440,14,10471,14,10471,0xe" filled="true" fillcolor="#69bd28" stroked="false">
              <v:path arrowok="t"/>
              <v:fill type="solid"/>
            </v:shape>
          </v:group>
        </w:pict>
      </w:r>
      <w:r>
        <w:rPr>
          <w:sz w:val="2"/>
        </w:rPr>
      </w:r>
    </w:p>
    <w:p>
      <w:pPr>
        <w:tabs>
          <w:tab w:pos="6894" w:val="left" w:leader="none"/>
        </w:tabs>
        <w:spacing w:line="348" w:lineRule="auto" w:before="34"/>
        <w:ind w:left="1826" w:right="1465" w:hanging="572"/>
        <w:jc w:val="left"/>
        <w:rPr>
          <w:sz w:val="18"/>
        </w:rPr>
      </w:pPr>
      <w:r>
        <w:rPr/>
        <w:pict>
          <v:shape style="position:absolute;margin-left:36pt;margin-top:14.110648pt;width:523.6pt;height:.75pt;mso-position-horizontal-relative:page;mso-position-vertical-relative:paragraph;z-index:-34615296" coordorigin="720,282" coordsize="10472,15" path="m11191,282l6160,282,6145,282,720,282,720,297,6145,297,6160,297,11191,297,11191,282xe" filled="true" fillcolor="#69bd28" stroked="false">
            <v:path arrowok="t"/>
            <v:fill type="solid"/>
            <w10:wrap type="none"/>
          </v:shape>
        </w:pict>
      </w:r>
      <w:r>
        <w:rPr/>
        <w:pict>
          <v:shape style="position:absolute;margin-left:35.280003pt;margin-top:29.370649pt;width:524.3pt;height:.75pt;mso-position-horizontal-relative:page;mso-position-vertical-relative:paragraph;z-index:-34614784" coordorigin="706,587" coordsize="10486,15" path="m11191,587l6145,587,6131,587,706,587,706,602,6131,602,6145,602,11191,602,11191,587xe" filled="true" fillcolor="#69bd28" stroked="false">
            <v:path arrowok="t"/>
            <v:fill type="solid"/>
            <w10:wrap type="none"/>
          </v:shape>
        </w:pict>
      </w:r>
      <w:r>
        <w:rPr>
          <w:sz w:val="18"/>
        </w:rPr>
        <w:t>Leasable  Area  &gt;50,000</w:t>
      </w:r>
      <w:r>
        <w:rPr>
          <w:spacing w:val="33"/>
          <w:sz w:val="18"/>
        </w:rPr>
        <w:t> </w:t>
      </w:r>
      <w:r>
        <w:rPr>
          <w:sz w:val="18"/>
        </w:rPr>
        <w:t>and</w:t>
      </w:r>
      <w:r>
        <w:rPr>
          <w:spacing w:val="47"/>
          <w:sz w:val="18"/>
        </w:rPr>
        <w:t> </w:t>
      </w:r>
      <w:r>
        <w:rPr>
          <w:sz w:val="18"/>
        </w:rPr>
        <w:t>&lt;100,000</w:t>
        <w:tab/>
        <w:t>Renewal</w:t>
      </w:r>
      <w:r>
        <w:rPr>
          <w:spacing w:val="-27"/>
          <w:sz w:val="18"/>
        </w:rPr>
        <w:t> </w:t>
      </w:r>
      <w:r>
        <w:rPr>
          <w:sz w:val="18"/>
        </w:rPr>
        <w:t>at</w:t>
      </w:r>
      <w:r>
        <w:rPr>
          <w:spacing w:val="-28"/>
          <w:sz w:val="18"/>
        </w:rPr>
        <w:t> </w:t>
      </w:r>
      <w:r>
        <w:rPr>
          <w:sz w:val="18"/>
        </w:rPr>
        <w:t>market</w:t>
      </w:r>
      <w:r>
        <w:rPr>
          <w:spacing w:val="-27"/>
          <w:sz w:val="18"/>
        </w:rPr>
        <w:t> </w:t>
      </w:r>
      <w:r>
        <w:rPr>
          <w:sz w:val="18"/>
        </w:rPr>
        <w:t>(4</w:t>
      </w:r>
      <w:r>
        <w:rPr>
          <w:spacing w:val="-27"/>
          <w:sz w:val="18"/>
        </w:rPr>
        <w:t> </w:t>
      </w:r>
      <w:r>
        <w:rPr>
          <w:sz w:val="18"/>
        </w:rPr>
        <w:t>months) Leasable</w:t>
      </w:r>
      <w:r>
        <w:rPr>
          <w:spacing w:val="23"/>
          <w:sz w:val="18"/>
        </w:rPr>
        <w:t> </w:t>
      </w:r>
      <w:r>
        <w:rPr>
          <w:sz w:val="18"/>
        </w:rPr>
        <w:t>Area</w:t>
      </w:r>
      <w:r>
        <w:rPr>
          <w:spacing w:val="19"/>
          <w:sz w:val="18"/>
        </w:rPr>
        <w:t> </w:t>
      </w:r>
      <w:r>
        <w:rPr>
          <w:sz w:val="18"/>
        </w:rPr>
        <w:t>&gt;100,000</w:t>
        <w:tab/>
        <w:t>Renewal</w:t>
      </w:r>
      <w:r>
        <w:rPr>
          <w:spacing w:val="-29"/>
          <w:sz w:val="18"/>
        </w:rPr>
        <w:t> </w:t>
      </w:r>
      <w:r>
        <w:rPr>
          <w:sz w:val="18"/>
        </w:rPr>
        <w:t>at</w:t>
      </w:r>
      <w:r>
        <w:rPr>
          <w:spacing w:val="-30"/>
          <w:sz w:val="18"/>
        </w:rPr>
        <w:t> </w:t>
      </w:r>
      <w:r>
        <w:rPr>
          <w:sz w:val="18"/>
        </w:rPr>
        <w:t>market</w:t>
      </w:r>
      <w:r>
        <w:rPr>
          <w:spacing w:val="-30"/>
          <w:sz w:val="18"/>
        </w:rPr>
        <w:t> </w:t>
      </w:r>
      <w:r>
        <w:rPr>
          <w:sz w:val="18"/>
        </w:rPr>
        <w:t>(6</w:t>
      </w:r>
      <w:r>
        <w:rPr>
          <w:spacing w:val="-29"/>
          <w:sz w:val="18"/>
        </w:rPr>
        <w:t> </w:t>
      </w:r>
      <w:r>
        <w:rPr>
          <w:sz w:val="18"/>
        </w:rPr>
        <w:t>months)</w:t>
      </w:r>
    </w:p>
    <w:p>
      <w:pPr>
        <w:spacing w:line="151" w:lineRule="exact" w:before="0"/>
        <w:ind w:left="120" w:right="0" w:firstLine="0"/>
        <w:jc w:val="left"/>
        <w:rPr>
          <w:i/>
          <w:sz w:val="16"/>
        </w:rPr>
      </w:pPr>
      <w:r>
        <w:rPr>
          <w:i/>
          <w:sz w:val="16"/>
        </w:rPr>
        <w:t>Source: Valuer Assessment</w:t>
      </w:r>
    </w:p>
    <w:p>
      <w:pPr>
        <w:pStyle w:val="BodyText"/>
        <w:spacing w:before="7"/>
        <w:rPr>
          <w:i/>
          <w:sz w:val="23"/>
        </w:rPr>
      </w:pPr>
    </w:p>
    <w:p>
      <w:pPr>
        <w:pStyle w:val="ListParagraph"/>
        <w:numPr>
          <w:ilvl w:val="3"/>
          <w:numId w:val="43"/>
        </w:numPr>
        <w:tabs>
          <w:tab w:pos="985" w:val="left" w:leader="none"/>
        </w:tabs>
        <w:spacing w:line="240" w:lineRule="auto" w:before="0" w:after="0"/>
        <w:ind w:left="984" w:right="0" w:hanging="865"/>
        <w:jc w:val="both"/>
        <w:rPr>
          <w:i/>
          <w:sz w:val="20"/>
        </w:rPr>
      </w:pPr>
      <w:r>
        <w:rPr>
          <w:i/>
          <w:color w:val="008000"/>
          <w:sz w:val="20"/>
        </w:rPr>
        <w:t>Rent</w:t>
      </w:r>
      <w:r>
        <w:rPr>
          <w:i/>
          <w:color w:val="008000"/>
          <w:spacing w:val="-4"/>
          <w:sz w:val="20"/>
        </w:rPr>
        <w:t> </w:t>
      </w:r>
      <w:r>
        <w:rPr>
          <w:i/>
          <w:color w:val="008000"/>
          <w:sz w:val="20"/>
        </w:rPr>
        <w:t>Escalation</w:t>
      </w:r>
    </w:p>
    <w:p>
      <w:pPr>
        <w:pStyle w:val="BodyText"/>
        <w:rPr>
          <w:i/>
        </w:rPr>
      </w:pPr>
    </w:p>
    <w:p>
      <w:pPr>
        <w:pStyle w:val="BodyText"/>
        <w:spacing w:line="321" w:lineRule="auto"/>
        <w:ind w:left="682" w:right="114"/>
        <w:jc w:val="both"/>
      </w:pPr>
      <w:r>
        <w:rPr/>
        <w:t>Based</w:t>
      </w:r>
      <w:r>
        <w:rPr>
          <w:spacing w:val="-43"/>
        </w:rPr>
        <w:t> </w:t>
      </w:r>
      <w:r>
        <w:rPr/>
        <w:t>on</w:t>
      </w:r>
      <w:r>
        <w:rPr>
          <w:spacing w:val="-42"/>
        </w:rPr>
        <w:t> </w:t>
      </w:r>
      <w:r>
        <w:rPr/>
        <w:t>an</w:t>
      </w:r>
      <w:r>
        <w:rPr>
          <w:spacing w:val="-43"/>
        </w:rPr>
        <w:t> </w:t>
      </w:r>
      <w:r>
        <w:rPr/>
        <w:t>analysis</w:t>
      </w:r>
      <w:r>
        <w:rPr>
          <w:spacing w:val="-42"/>
        </w:rPr>
        <w:t> </w:t>
      </w:r>
      <w:r>
        <w:rPr/>
        <w:t>of</w:t>
      </w:r>
      <w:r>
        <w:rPr>
          <w:spacing w:val="-42"/>
        </w:rPr>
        <w:t> </w:t>
      </w:r>
      <w:r>
        <w:rPr/>
        <w:t>existing</w:t>
      </w:r>
      <w:r>
        <w:rPr>
          <w:spacing w:val="-42"/>
        </w:rPr>
        <w:t> </w:t>
      </w:r>
      <w:r>
        <w:rPr/>
        <w:t>lease</w:t>
      </w:r>
      <w:r>
        <w:rPr>
          <w:spacing w:val="-43"/>
        </w:rPr>
        <w:t> </w:t>
      </w:r>
      <w:r>
        <w:rPr/>
        <w:t>rolls,</w:t>
      </w:r>
      <w:r>
        <w:rPr>
          <w:spacing w:val="-42"/>
        </w:rPr>
        <w:t> </w:t>
      </w:r>
      <w:r>
        <w:rPr/>
        <w:t>it</w:t>
      </w:r>
      <w:r>
        <w:rPr>
          <w:spacing w:val="-43"/>
        </w:rPr>
        <w:t> </w:t>
      </w:r>
      <w:r>
        <w:rPr/>
        <w:t>was</w:t>
      </w:r>
      <w:r>
        <w:rPr>
          <w:spacing w:val="-42"/>
        </w:rPr>
        <w:t> </w:t>
      </w:r>
      <w:r>
        <w:rPr/>
        <w:t>observed</w:t>
      </w:r>
      <w:r>
        <w:rPr>
          <w:spacing w:val="-42"/>
        </w:rPr>
        <w:t> </w:t>
      </w:r>
      <w:r>
        <w:rPr/>
        <w:t>that</w:t>
      </w:r>
      <w:r>
        <w:rPr>
          <w:spacing w:val="-42"/>
        </w:rPr>
        <w:t> </w:t>
      </w:r>
      <w:r>
        <w:rPr/>
        <w:t>the</w:t>
      </w:r>
      <w:r>
        <w:rPr>
          <w:spacing w:val="-43"/>
        </w:rPr>
        <w:t> </w:t>
      </w:r>
      <w:r>
        <w:rPr/>
        <w:t>typical</w:t>
      </w:r>
      <w:r>
        <w:rPr>
          <w:spacing w:val="-42"/>
        </w:rPr>
        <w:t> </w:t>
      </w:r>
      <w:r>
        <w:rPr/>
        <w:t>escalation</w:t>
      </w:r>
      <w:r>
        <w:rPr>
          <w:spacing w:val="-43"/>
        </w:rPr>
        <w:t> </w:t>
      </w:r>
      <w:r>
        <w:rPr/>
        <w:t>clause</w:t>
      </w:r>
      <w:r>
        <w:rPr>
          <w:spacing w:val="-39"/>
        </w:rPr>
        <w:t> </w:t>
      </w:r>
      <w:r>
        <w:rPr/>
        <w:t>in</w:t>
      </w:r>
      <w:r>
        <w:rPr>
          <w:spacing w:val="-43"/>
        </w:rPr>
        <w:t> </w:t>
      </w:r>
      <w:r>
        <w:rPr/>
        <w:t>the</w:t>
      </w:r>
      <w:r>
        <w:rPr>
          <w:spacing w:val="-42"/>
        </w:rPr>
        <w:t> </w:t>
      </w:r>
      <w:r>
        <w:rPr/>
        <w:t>subject property</w:t>
      </w:r>
      <w:r>
        <w:rPr>
          <w:spacing w:val="-33"/>
        </w:rPr>
        <w:t> </w:t>
      </w:r>
      <w:r>
        <w:rPr/>
        <w:t>is</w:t>
      </w:r>
      <w:r>
        <w:rPr>
          <w:spacing w:val="-31"/>
        </w:rPr>
        <w:t> </w:t>
      </w:r>
      <w:r>
        <w:rPr/>
        <w:t>approx.</w:t>
      </w:r>
      <w:r>
        <w:rPr>
          <w:spacing w:val="-33"/>
        </w:rPr>
        <w:t> </w:t>
      </w:r>
      <w:r>
        <w:rPr/>
        <w:t>15.0%</w:t>
      </w:r>
      <w:r>
        <w:rPr>
          <w:spacing w:val="-32"/>
        </w:rPr>
        <w:t> </w:t>
      </w:r>
      <w:r>
        <w:rPr/>
        <w:t>after</w:t>
      </w:r>
      <w:r>
        <w:rPr>
          <w:spacing w:val="-32"/>
        </w:rPr>
        <w:t> </w:t>
      </w:r>
      <w:r>
        <w:rPr/>
        <w:t>every</w:t>
      </w:r>
      <w:r>
        <w:rPr>
          <w:spacing w:val="-33"/>
        </w:rPr>
        <w:t> </w:t>
      </w:r>
      <w:r>
        <w:rPr/>
        <w:t>three</w:t>
      </w:r>
      <w:r>
        <w:rPr>
          <w:spacing w:val="-32"/>
        </w:rPr>
        <w:t> </w:t>
      </w:r>
      <w:r>
        <w:rPr/>
        <w:t>years,</w:t>
      </w:r>
      <w:r>
        <w:rPr>
          <w:spacing w:val="-33"/>
        </w:rPr>
        <w:t> </w:t>
      </w:r>
      <w:r>
        <w:rPr/>
        <w:t>which</w:t>
      </w:r>
      <w:r>
        <w:rPr>
          <w:spacing w:val="-32"/>
        </w:rPr>
        <w:t> </w:t>
      </w:r>
      <w:r>
        <w:rPr/>
        <w:t>is</w:t>
      </w:r>
      <w:r>
        <w:rPr>
          <w:spacing w:val="-32"/>
        </w:rPr>
        <w:t> </w:t>
      </w:r>
      <w:r>
        <w:rPr/>
        <w:t>in-line</w:t>
      </w:r>
      <w:r>
        <w:rPr>
          <w:spacing w:val="-34"/>
        </w:rPr>
        <w:t> </w:t>
      </w:r>
      <w:r>
        <w:rPr/>
        <w:t>with</w:t>
      </w:r>
      <w:r>
        <w:rPr>
          <w:spacing w:val="-33"/>
        </w:rPr>
        <w:t> </w:t>
      </w:r>
      <w:r>
        <w:rPr/>
        <w:t>the</w:t>
      </w:r>
      <w:r>
        <w:rPr>
          <w:spacing w:val="-32"/>
        </w:rPr>
        <w:t> </w:t>
      </w:r>
      <w:r>
        <w:rPr/>
        <w:t>trend</w:t>
      </w:r>
      <w:r>
        <w:rPr>
          <w:spacing w:val="-32"/>
        </w:rPr>
        <w:t> </w:t>
      </w:r>
      <w:r>
        <w:rPr/>
        <w:t>observed</w:t>
      </w:r>
      <w:r>
        <w:rPr>
          <w:spacing w:val="-32"/>
        </w:rPr>
        <w:t> </w:t>
      </w:r>
      <w:r>
        <w:rPr/>
        <w:t>in</w:t>
      </w:r>
      <w:r>
        <w:rPr>
          <w:spacing w:val="-32"/>
        </w:rPr>
        <w:t> </w:t>
      </w:r>
      <w:r>
        <w:rPr/>
        <w:t>the</w:t>
      </w:r>
      <w:r>
        <w:rPr>
          <w:spacing w:val="-32"/>
        </w:rPr>
        <w:t> </w:t>
      </w:r>
      <w:r>
        <w:rPr/>
        <w:t>market. The</w:t>
      </w:r>
      <w:r>
        <w:rPr>
          <w:spacing w:val="-20"/>
        </w:rPr>
        <w:t> </w:t>
      </w:r>
      <w:r>
        <w:rPr/>
        <w:t>same</w:t>
      </w:r>
      <w:r>
        <w:rPr>
          <w:spacing w:val="-19"/>
        </w:rPr>
        <w:t> </w:t>
      </w:r>
      <w:r>
        <w:rPr/>
        <w:t>has</w:t>
      </w:r>
      <w:r>
        <w:rPr>
          <w:spacing w:val="-20"/>
        </w:rPr>
        <w:t> </w:t>
      </w:r>
      <w:r>
        <w:rPr/>
        <w:t>been</w:t>
      </w:r>
      <w:r>
        <w:rPr>
          <w:spacing w:val="-20"/>
        </w:rPr>
        <w:t> </w:t>
      </w:r>
      <w:r>
        <w:rPr/>
        <w:t>adopted</w:t>
      </w:r>
      <w:r>
        <w:rPr>
          <w:spacing w:val="-19"/>
        </w:rPr>
        <w:t> </w:t>
      </w:r>
      <w:r>
        <w:rPr/>
        <w:t>by</w:t>
      </w:r>
      <w:r>
        <w:rPr>
          <w:spacing w:val="-16"/>
        </w:rPr>
        <w:t> </w:t>
      </w:r>
      <w:r>
        <w:rPr/>
        <w:t>the</w:t>
      </w:r>
      <w:r>
        <w:rPr>
          <w:spacing w:val="-19"/>
        </w:rPr>
        <w:t> </w:t>
      </w:r>
      <w:r>
        <w:rPr/>
        <w:t>Valuer</w:t>
      </w:r>
      <w:r>
        <w:rPr>
          <w:spacing w:val="-20"/>
        </w:rPr>
        <w:t> </w:t>
      </w:r>
      <w:r>
        <w:rPr/>
        <w:t>for</w:t>
      </w:r>
      <w:r>
        <w:rPr>
          <w:spacing w:val="-19"/>
        </w:rPr>
        <w:t> </w:t>
      </w:r>
      <w:r>
        <w:rPr/>
        <w:t>the</w:t>
      </w:r>
      <w:r>
        <w:rPr>
          <w:spacing w:val="-20"/>
        </w:rPr>
        <w:t> </w:t>
      </w:r>
      <w:r>
        <w:rPr/>
        <w:t>vacant</w:t>
      </w:r>
      <w:r>
        <w:rPr>
          <w:spacing w:val="-19"/>
        </w:rPr>
        <w:t> </w:t>
      </w:r>
      <w:r>
        <w:rPr/>
        <w:t>area</w:t>
      </w:r>
      <w:r>
        <w:rPr>
          <w:spacing w:val="-19"/>
        </w:rPr>
        <w:t> </w:t>
      </w:r>
      <w:r>
        <w:rPr/>
        <w:t>and</w:t>
      </w:r>
      <w:r>
        <w:rPr>
          <w:spacing w:val="-19"/>
        </w:rPr>
        <w:t> </w:t>
      </w:r>
      <w:r>
        <w:rPr/>
        <w:t>renewals</w:t>
      </w:r>
      <w:r>
        <w:rPr>
          <w:spacing w:val="-18"/>
        </w:rPr>
        <w:t> </w:t>
      </w:r>
      <w:r>
        <w:rPr/>
        <w:t>at</w:t>
      </w:r>
      <w:r>
        <w:rPr>
          <w:spacing w:val="-19"/>
        </w:rPr>
        <w:t> </w:t>
      </w:r>
      <w:r>
        <w:rPr/>
        <w:t>the</w:t>
      </w:r>
      <w:r>
        <w:rPr>
          <w:spacing w:val="-19"/>
        </w:rPr>
        <w:t> </w:t>
      </w:r>
      <w:r>
        <w:rPr/>
        <w:t>subject</w:t>
      </w:r>
      <w:r>
        <w:rPr>
          <w:spacing w:val="-19"/>
        </w:rPr>
        <w:t> </w:t>
      </w:r>
      <w:r>
        <w:rPr/>
        <w:t>property.</w:t>
      </w:r>
    </w:p>
    <w:p>
      <w:pPr>
        <w:pStyle w:val="BodyText"/>
        <w:spacing w:before="2"/>
        <w:rPr>
          <w:sz w:val="23"/>
        </w:rPr>
      </w:pPr>
    </w:p>
    <w:p>
      <w:pPr>
        <w:pStyle w:val="ListParagraph"/>
        <w:numPr>
          <w:ilvl w:val="3"/>
          <w:numId w:val="43"/>
        </w:numPr>
        <w:tabs>
          <w:tab w:pos="985" w:val="left" w:leader="none"/>
        </w:tabs>
        <w:spacing w:line="240" w:lineRule="auto" w:before="0" w:after="0"/>
        <w:ind w:left="984" w:right="0" w:hanging="865"/>
        <w:jc w:val="both"/>
        <w:rPr>
          <w:i/>
          <w:sz w:val="20"/>
        </w:rPr>
      </w:pPr>
      <w:r>
        <w:rPr>
          <w:i/>
          <w:color w:val="008000"/>
          <w:sz w:val="20"/>
        </w:rPr>
        <w:t>Fit-out</w:t>
      </w:r>
      <w:r>
        <w:rPr>
          <w:i/>
          <w:color w:val="008000"/>
          <w:spacing w:val="-4"/>
          <w:sz w:val="20"/>
        </w:rPr>
        <w:t> </w:t>
      </w:r>
      <w:r>
        <w:rPr>
          <w:i/>
          <w:color w:val="008000"/>
          <w:sz w:val="20"/>
        </w:rPr>
        <w:t>Rentals</w:t>
      </w:r>
    </w:p>
    <w:p>
      <w:pPr>
        <w:pStyle w:val="BodyText"/>
        <w:rPr>
          <w:i/>
        </w:rPr>
      </w:pPr>
    </w:p>
    <w:p>
      <w:pPr>
        <w:pStyle w:val="BodyText"/>
        <w:spacing w:line="324" w:lineRule="auto"/>
        <w:ind w:left="682" w:right="115"/>
        <w:jc w:val="both"/>
      </w:pPr>
      <w:r>
        <w:rPr/>
        <w:t>As</w:t>
      </w:r>
      <w:r>
        <w:rPr>
          <w:spacing w:val="-15"/>
        </w:rPr>
        <w:t> </w:t>
      </w:r>
      <w:r>
        <w:rPr/>
        <w:t>per</w:t>
      </w:r>
      <w:r>
        <w:rPr>
          <w:spacing w:val="-13"/>
        </w:rPr>
        <w:t> </w:t>
      </w:r>
      <w:r>
        <w:rPr/>
        <w:t>the</w:t>
      </w:r>
      <w:r>
        <w:rPr>
          <w:spacing w:val="-13"/>
        </w:rPr>
        <w:t> </w:t>
      </w:r>
      <w:r>
        <w:rPr/>
        <w:t>information</w:t>
      </w:r>
      <w:r>
        <w:rPr>
          <w:spacing w:val="-14"/>
        </w:rPr>
        <w:t> </w:t>
      </w:r>
      <w:r>
        <w:rPr/>
        <w:t>(rent</w:t>
      </w:r>
      <w:r>
        <w:rPr>
          <w:spacing w:val="-13"/>
        </w:rPr>
        <w:t> </w:t>
      </w:r>
      <w:r>
        <w:rPr/>
        <w:t>roll)</w:t>
      </w:r>
      <w:r>
        <w:rPr>
          <w:spacing w:val="-13"/>
        </w:rPr>
        <w:t> </w:t>
      </w:r>
      <w:r>
        <w:rPr/>
        <w:t>provided</w:t>
      </w:r>
      <w:r>
        <w:rPr>
          <w:spacing w:val="-13"/>
        </w:rPr>
        <w:t> </w:t>
      </w:r>
      <w:r>
        <w:rPr/>
        <w:t>by</w:t>
      </w:r>
      <w:r>
        <w:rPr>
          <w:spacing w:val="-9"/>
        </w:rPr>
        <w:t> </w:t>
      </w:r>
      <w:r>
        <w:rPr/>
        <w:t>the</w:t>
      </w:r>
      <w:r>
        <w:rPr>
          <w:spacing w:val="-14"/>
        </w:rPr>
        <w:t> </w:t>
      </w:r>
      <w:r>
        <w:rPr/>
        <w:t>Client,</w:t>
      </w:r>
      <w:r>
        <w:rPr>
          <w:spacing w:val="-13"/>
        </w:rPr>
        <w:t> </w:t>
      </w:r>
      <w:r>
        <w:rPr/>
        <w:t>we</w:t>
      </w:r>
      <w:r>
        <w:rPr>
          <w:spacing w:val="-14"/>
        </w:rPr>
        <w:t> </w:t>
      </w:r>
      <w:r>
        <w:rPr/>
        <w:t>understand</w:t>
      </w:r>
      <w:r>
        <w:rPr>
          <w:spacing w:val="-13"/>
        </w:rPr>
        <w:t> </w:t>
      </w:r>
      <w:r>
        <w:rPr/>
        <w:t>that</w:t>
      </w:r>
      <w:r>
        <w:rPr>
          <w:spacing w:val="-12"/>
        </w:rPr>
        <w:t> </w:t>
      </w:r>
      <w:r>
        <w:rPr/>
        <w:t>there</w:t>
      </w:r>
      <w:r>
        <w:rPr>
          <w:spacing w:val="-12"/>
        </w:rPr>
        <w:t> </w:t>
      </w:r>
      <w:r>
        <w:rPr/>
        <w:t>is</w:t>
      </w:r>
      <w:r>
        <w:rPr>
          <w:spacing w:val="-12"/>
        </w:rPr>
        <w:t> </w:t>
      </w:r>
      <w:r>
        <w:rPr/>
        <w:t>no</w:t>
      </w:r>
      <w:r>
        <w:rPr>
          <w:spacing w:val="-13"/>
        </w:rPr>
        <w:t> </w:t>
      </w:r>
      <w:r>
        <w:rPr/>
        <w:t>fit-out</w:t>
      </w:r>
      <w:r>
        <w:rPr>
          <w:spacing w:val="-13"/>
        </w:rPr>
        <w:t> </w:t>
      </w:r>
      <w:r>
        <w:rPr/>
        <w:t>rental being charged to any tenant in the subject</w:t>
      </w:r>
      <w:r>
        <w:rPr>
          <w:spacing w:val="-42"/>
        </w:rPr>
        <w:t> </w:t>
      </w:r>
      <w:r>
        <w:rPr/>
        <w:t>property.</w:t>
      </w:r>
    </w:p>
    <w:p>
      <w:pPr>
        <w:pStyle w:val="BodyText"/>
        <w:spacing w:before="11"/>
      </w:pPr>
    </w:p>
    <w:p>
      <w:pPr>
        <w:pStyle w:val="ListParagraph"/>
        <w:numPr>
          <w:ilvl w:val="3"/>
          <w:numId w:val="43"/>
        </w:numPr>
        <w:tabs>
          <w:tab w:pos="985" w:val="left" w:leader="none"/>
        </w:tabs>
        <w:spacing w:line="240" w:lineRule="auto" w:before="0" w:after="0"/>
        <w:ind w:left="984" w:right="0" w:hanging="865"/>
        <w:jc w:val="both"/>
        <w:rPr>
          <w:i/>
          <w:sz w:val="20"/>
        </w:rPr>
      </w:pPr>
      <w:r>
        <w:rPr>
          <w:i/>
          <w:color w:val="008000"/>
          <w:sz w:val="20"/>
        </w:rPr>
        <w:t>Other</w:t>
      </w:r>
      <w:r>
        <w:rPr>
          <w:i/>
          <w:color w:val="008000"/>
          <w:spacing w:val="-4"/>
          <w:sz w:val="20"/>
        </w:rPr>
        <w:t> </w:t>
      </w:r>
      <w:r>
        <w:rPr>
          <w:i/>
          <w:color w:val="008000"/>
          <w:sz w:val="20"/>
        </w:rPr>
        <w:t>Revenues</w:t>
      </w:r>
    </w:p>
    <w:p>
      <w:pPr>
        <w:pStyle w:val="BodyText"/>
        <w:spacing w:line="321" w:lineRule="auto" w:before="136"/>
        <w:ind w:left="682" w:right="117"/>
        <w:jc w:val="both"/>
      </w:pPr>
      <w:r>
        <w:rPr/>
        <w:t>In addition to lease rent revenues, commercial developments typically have additional sources of revenue.</w:t>
      </w:r>
      <w:r>
        <w:rPr>
          <w:spacing w:val="-41"/>
        </w:rPr>
        <w:t> </w:t>
      </w:r>
      <w:r>
        <w:rPr/>
        <w:t>These</w:t>
      </w:r>
      <w:r>
        <w:rPr>
          <w:spacing w:val="-41"/>
        </w:rPr>
        <w:t> </w:t>
      </w:r>
      <w:r>
        <w:rPr/>
        <w:t>include</w:t>
      </w:r>
      <w:r>
        <w:rPr>
          <w:spacing w:val="-41"/>
        </w:rPr>
        <w:t> </w:t>
      </w:r>
      <w:r>
        <w:rPr/>
        <w:t>revenues</w:t>
      </w:r>
      <w:r>
        <w:rPr>
          <w:spacing w:val="-40"/>
        </w:rPr>
        <w:t> </w:t>
      </w:r>
      <w:r>
        <w:rPr/>
        <w:t>because</w:t>
      </w:r>
      <w:r>
        <w:rPr>
          <w:spacing w:val="-41"/>
        </w:rPr>
        <w:t> </w:t>
      </w:r>
      <w:r>
        <w:rPr/>
        <w:t>of</w:t>
      </w:r>
      <w:r>
        <w:rPr>
          <w:spacing w:val="-41"/>
        </w:rPr>
        <w:t> </w:t>
      </w:r>
      <w:r>
        <w:rPr/>
        <w:t>security</w:t>
      </w:r>
      <w:r>
        <w:rPr>
          <w:spacing w:val="-40"/>
        </w:rPr>
        <w:t> </w:t>
      </w:r>
      <w:r>
        <w:rPr/>
        <w:t>deposit</w:t>
      </w:r>
      <w:r>
        <w:rPr>
          <w:spacing w:val="-42"/>
        </w:rPr>
        <w:t> </w:t>
      </w:r>
      <w:r>
        <w:rPr/>
        <w:t>(refunded</w:t>
      </w:r>
      <w:r>
        <w:rPr>
          <w:spacing w:val="-41"/>
        </w:rPr>
        <w:t> </w:t>
      </w:r>
      <w:r>
        <w:rPr/>
        <w:t>at</w:t>
      </w:r>
      <w:r>
        <w:rPr>
          <w:spacing w:val="-40"/>
        </w:rPr>
        <w:t> </w:t>
      </w:r>
      <w:r>
        <w:rPr/>
        <w:t>the</w:t>
      </w:r>
      <w:r>
        <w:rPr>
          <w:spacing w:val="-42"/>
        </w:rPr>
        <w:t> </w:t>
      </w:r>
      <w:r>
        <w:rPr/>
        <w:t>time</w:t>
      </w:r>
      <w:r>
        <w:rPr>
          <w:spacing w:val="-41"/>
        </w:rPr>
        <w:t> </w:t>
      </w:r>
      <w:r>
        <w:rPr/>
        <w:t>of</w:t>
      </w:r>
      <w:r>
        <w:rPr>
          <w:spacing w:val="-41"/>
        </w:rPr>
        <w:t> </w:t>
      </w:r>
      <w:r>
        <w:rPr/>
        <w:t>lease</w:t>
      </w:r>
      <w:r>
        <w:rPr>
          <w:spacing w:val="-40"/>
        </w:rPr>
        <w:t> </w:t>
      </w:r>
      <w:r>
        <w:rPr/>
        <w:t>expiry</w:t>
      </w:r>
      <w:r>
        <w:rPr>
          <w:spacing w:val="-41"/>
        </w:rPr>
        <w:t> </w:t>
      </w:r>
      <w:r>
        <w:rPr/>
        <w:t>/</w:t>
      </w:r>
      <w:r>
        <w:rPr>
          <w:spacing w:val="-41"/>
        </w:rPr>
        <w:t> </w:t>
      </w:r>
      <w:r>
        <w:rPr/>
        <w:t>exit), other</w:t>
      </w:r>
      <w:r>
        <w:rPr>
          <w:spacing w:val="-30"/>
        </w:rPr>
        <w:t> </w:t>
      </w:r>
      <w:r>
        <w:rPr/>
        <w:t>miscellaneous</w:t>
      </w:r>
      <w:r>
        <w:rPr>
          <w:spacing w:val="-28"/>
        </w:rPr>
        <w:t> </w:t>
      </w:r>
      <w:r>
        <w:rPr/>
        <w:t>income</w:t>
      </w:r>
      <w:r>
        <w:rPr>
          <w:spacing w:val="-29"/>
        </w:rPr>
        <w:t> </w:t>
      </w:r>
      <w:r>
        <w:rPr/>
        <w:t>(such</w:t>
      </w:r>
      <w:r>
        <w:rPr>
          <w:spacing w:val="-30"/>
        </w:rPr>
        <w:t> </w:t>
      </w:r>
      <w:r>
        <w:rPr/>
        <w:t>as</w:t>
      </w:r>
      <w:r>
        <w:rPr>
          <w:spacing w:val="-29"/>
        </w:rPr>
        <w:t> </w:t>
      </w:r>
      <w:r>
        <w:rPr/>
        <w:t>cell</w:t>
      </w:r>
      <w:r>
        <w:rPr>
          <w:spacing w:val="-30"/>
        </w:rPr>
        <w:t> </w:t>
      </w:r>
      <w:r>
        <w:rPr/>
        <w:t>sites,</w:t>
      </w:r>
      <w:r>
        <w:rPr>
          <w:spacing w:val="-31"/>
        </w:rPr>
        <w:t> </w:t>
      </w:r>
      <w:r>
        <w:rPr/>
        <w:t>retail</w:t>
      </w:r>
      <w:r>
        <w:rPr>
          <w:spacing w:val="-30"/>
        </w:rPr>
        <w:t> </w:t>
      </w:r>
      <w:r>
        <w:rPr/>
        <w:t>areas,</w:t>
      </w:r>
      <w:r>
        <w:rPr>
          <w:spacing w:val="-29"/>
        </w:rPr>
        <w:t> </w:t>
      </w:r>
      <w:r>
        <w:rPr/>
        <w:t>food</w:t>
      </w:r>
      <w:r>
        <w:rPr>
          <w:spacing w:val="-29"/>
        </w:rPr>
        <w:t> </w:t>
      </w:r>
      <w:r>
        <w:rPr/>
        <w:t>court,</w:t>
      </w:r>
      <w:r>
        <w:rPr>
          <w:spacing w:val="-28"/>
        </w:rPr>
        <w:t> </w:t>
      </w:r>
      <w:r>
        <w:rPr/>
        <w:t>etc.),</w:t>
      </w:r>
      <w:r>
        <w:rPr>
          <w:spacing w:val="-28"/>
        </w:rPr>
        <w:t> </w:t>
      </w:r>
      <w:r>
        <w:rPr/>
        <w:t>mark-up</w:t>
      </w:r>
      <w:r>
        <w:rPr>
          <w:spacing w:val="-29"/>
        </w:rPr>
        <w:t> </w:t>
      </w:r>
      <w:r>
        <w:rPr/>
        <w:t>on</w:t>
      </w:r>
      <w:r>
        <w:rPr>
          <w:spacing w:val="-30"/>
        </w:rPr>
        <w:t> </w:t>
      </w:r>
      <w:r>
        <w:rPr/>
        <w:t>Common</w:t>
      </w:r>
      <w:r>
        <w:rPr>
          <w:spacing w:val="-31"/>
        </w:rPr>
        <w:t> </w:t>
      </w:r>
      <w:r>
        <w:rPr/>
        <w:t>Area Maintenance (CAM) charges/ CAM margin,</w:t>
      </w:r>
      <w:r>
        <w:rPr>
          <w:spacing w:val="-10"/>
        </w:rPr>
        <w:t> </w:t>
      </w:r>
      <w:r>
        <w:rPr/>
        <w:t>etc.</w:t>
      </w:r>
    </w:p>
    <w:p>
      <w:pPr>
        <w:pStyle w:val="BodyText"/>
        <w:spacing w:line="321" w:lineRule="auto" w:before="121"/>
        <w:ind w:left="682" w:right="116"/>
        <w:jc w:val="both"/>
      </w:pPr>
      <w:r>
        <w:rPr/>
        <w:t>The assumptions considered for the aforementioned revenue heads for the purpose of this valuation exercise</w:t>
      </w:r>
      <w:r>
        <w:rPr>
          <w:spacing w:val="-39"/>
        </w:rPr>
        <w:t> </w:t>
      </w:r>
      <w:r>
        <w:rPr/>
        <w:t>are</w:t>
      </w:r>
      <w:r>
        <w:rPr>
          <w:spacing w:val="-39"/>
        </w:rPr>
        <w:t> </w:t>
      </w:r>
      <w:r>
        <w:rPr/>
        <w:t>based</w:t>
      </w:r>
      <w:r>
        <w:rPr>
          <w:spacing w:val="-38"/>
        </w:rPr>
        <w:t> </w:t>
      </w:r>
      <w:r>
        <w:rPr/>
        <w:t>on</w:t>
      </w:r>
      <w:r>
        <w:rPr>
          <w:spacing w:val="-39"/>
        </w:rPr>
        <w:t> </w:t>
      </w:r>
      <w:r>
        <w:rPr/>
        <w:t>the</w:t>
      </w:r>
      <w:r>
        <w:rPr>
          <w:spacing w:val="-39"/>
        </w:rPr>
        <w:t> </w:t>
      </w:r>
      <w:r>
        <w:rPr/>
        <w:t>rent</w:t>
      </w:r>
      <w:r>
        <w:rPr>
          <w:spacing w:val="-38"/>
        </w:rPr>
        <w:t> </w:t>
      </w:r>
      <w:r>
        <w:rPr/>
        <w:t>roll/</w:t>
      </w:r>
      <w:r>
        <w:rPr>
          <w:spacing w:val="-39"/>
        </w:rPr>
        <w:t> </w:t>
      </w:r>
      <w:r>
        <w:rPr/>
        <w:t>information</w:t>
      </w:r>
      <w:r>
        <w:rPr>
          <w:spacing w:val="-39"/>
        </w:rPr>
        <w:t> </w:t>
      </w:r>
      <w:r>
        <w:rPr/>
        <w:t>provided</w:t>
      </w:r>
      <w:r>
        <w:rPr>
          <w:spacing w:val="-38"/>
        </w:rPr>
        <w:t> </w:t>
      </w:r>
      <w:r>
        <w:rPr/>
        <w:t>by</w:t>
      </w:r>
      <w:r>
        <w:rPr>
          <w:spacing w:val="-38"/>
        </w:rPr>
        <w:t> </w:t>
      </w:r>
      <w:r>
        <w:rPr/>
        <w:t>the</w:t>
      </w:r>
      <w:r>
        <w:rPr>
          <w:spacing w:val="-39"/>
        </w:rPr>
        <w:t> </w:t>
      </w:r>
      <w:r>
        <w:rPr/>
        <w:t>Client.</w:t>
      </w:r>
      <w:r>
        <w:rPr>
          <w:spacing w:val="-38"/>
        </w:rPr>
        <w:t> </w:t>
      </w:r>
      <w:r>
        <w:rPr/>
        <w:t>The</w:t>
      </w:r>
      <w:r>
        <w:rPr>
          <w:spacing w:val="-40"/>
        </w:rPr>
        <w:t> </w:t>
      </w:r>
      <w:r>
        <w:rPr/>
        <w:t>same</w:t>
      </w:r>
      <w:r>
        <w:rPr>
          <w:spacing w:val="-38"/>
        </w:rPr>
        <w:t> </w:t>
      </w:r>
      <w:r>
        <w:rPr/>
        <w:t>has</w:t>
      </w:r>
      <w:r>
        <w:rPr>
          <w:spacing w:val="-38"/>
        </w:rPr>
        <w:t> </w:t>
      </w:r>
      <w:r>
        <w:rPr/>
        <w:t>been</w:t>
      </w:r>
      <w:r>
        <w:rPr>
          <w:spacing w:val="-38"/>
        </w:rPr>
        <w:t> </w:t>
      </w:r>
      <w:r>
        <w:rPr/>
        <w:t>cross-checked with</w:t>
      </w:r>
      <w:r>
        <w:rPr>
          <w:spacing w:val="-13"/>
        </w:rPr>
        <w:t> </w:t>
      </w:r>
      <w:r>
        <w:rPr/>
        <w:t>the</w:t>
      </w:r>
      <w:r>
        <w:rPr>
          <w:spacing w:val="-13"/>
        </w:rPr>
        <w:t> </w:t>
      </w:r>
      <w:r>
        <w:rPr/>
        <w:t>prevailing</w:t>
      </w:r>
      <w:r>
        <w:rPr>
          <w:spacing w:val="-11"/>
        </w:rPr>
        <w:t> </w:t>
      </w:r>
      <w:r>
        <w:rPr/>
        <w:t>market</w:t>
      </w:r>
      <w:r>
        <w:rPr>
          <w:spacing w:val="-12"/>
        </w:rPr>
        <w:t> </w:t>
      </w:r>
      <w:r>
        <w:rPr/>
        <w:t>norms</w:t>
      </w:r>
      <w:r>
        <w:rPr>
          <w:spacing w:val="-12"/>
        </w:rPr>
        <w:t> </w:t>
      </w:r>
      <w:r>
        <w:rPr/>
        <w:t>for</w:t>
      </w:r>
      <w:r>
        <w:rPr>
          <w:spacing w:val="-13"/>
        </w:rPr>
        <w:t> </w:t>
      </w:r>
      <w:r>
        <w:rPr/>
        <w:t>other</w:t>
      </w:r>
      <w:r>
        <w:rPr>
          <w:spacing w:val="-12"/>
        </w:rPr>
        <w:t> </w:t>
      </w:r>
      <w:r>
        <w:rPr/>
        <w:t>revenues</w:t>
      </w:r>
      <w:r>
        <w:rPr>
          <w:spacing w:val="-11"/>
        </w:rPr>
        <w:t> </w:t>
      </w:r>
      <w:r>
        <w:rPr/>
        <w:t>and</w:t>
      </w:r>
      <w:r>
        <w:rPr>
          <w:spacing w:val="-14"/>
        </w:rPr>
        <w:t> </w:t>
      </w:r>
      <w:r>
        <w:rPr/>
        <w:t>were</w:t>
      </w:r>
      <w:r>
        <w:rPr>
          <w:spacing w:val="-12"/>
        </w:rPr>
        <w:t> </w:t>
      </w:r>
      <w:r>
        <w:rPr/>
        <w:t>found</w:t>
      </w:r>
      <w:r>
        <w:rPr>
          <w:spacing w:val="-12"/>
        </w:rPr>
        <w:t> </w:t>
      </w:r>
      <w:r>
        <w:rPr/>
        <w:t>to</w:t>
      </w:r>
      <w:r>
        <w:rPr>
          <w:spacing w:val="-12"/>
        </w:rPr>
        <w:t> </w:t>
      </w:r>
      <w:r>
        <w:rPr/>
        <w:t>be</w:t>
      </w:r>
      <w:r>
        <w:rPr>
          <w:spacing w:val="-14"/>
        </w:rPr>
        <w:t> </w:t>
      </w:r>
      <w:r>
        <w:rPr/>
        <w:t>broadly</w:t>
      </w:r>
      <w:r>
        <w:rPr>
          <w:spacing w:val="-12"/>
        </w:rPr>
        <w:t> </w:t>
      </w:r>
      <w:r>
        <w:rPr/>
        <w:t>in</w:t>
      </w:r>
      <w:r>
        <w:rPr>
          <w:spacing w:val="-13"/>
        </w:rPr>
        <w:t> </w:t>
      </w:r>
      <w:r>
        <w:rPr/>
        <w:t>line.</w:t>
      </w:r>
    </w:p>
    <w:p>
      <w:pPr>
        <w:spacing w:after="0" w:line="321" w:lineRule="auto"/>
        <w:jc w:val="both"/>
        <w:sectPr>
          <w:pgSz w:w="11910" w:h="16840"/>
          <w:pgMar w:header="919" w:footer="1149" w:top="1660" w:bottom="1340" w:left="600" w:right="600"/>
        </w:sectPr>
      </w:pPr>
    </w:p>
    <w:p>
      <w:pPr>
        <w:pStyle w:val="BodyText"/>
        <w:spacing w:before="7"/>
        <w:rPr>
          <w:sz w:val="9"/>
        </w:rPr>
      </w:pPr>
    </w:p>
    <w:p>
      <w:pPr>
        <w:pStyle w:val="BodyText"/>
        <w:spacing w:before="106"/>
        <w:ind w:left="682"/>
      </w:pPr>
      <w:r>
        <w:rPr/>
        <w:t>The assumptions adopted for other revenues are as tabulated below: -</w:t>
      </w:r>
    </w:p>
    <w:p>
      <w:pPr>
        <w:pStyle w:val="BodyText"/>
        <w:spacing w:before="1" w:after="1"/>
        <w:rPr>
          <w:sz w:val="18"/>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32"/>
        <w:gridCol w:w="2264"/>
        <w:gridCol w:w="3788"/>
      </w:tblGrid>
      <w:tr>
        <w:trPr>
          <w:trHeight w:val="287" w:hRule="atLeast"/>
        </w:trPr>
        <w:tc>
          <w:tcPr>
            <w:tcW w:w="4432" w:type="dxa"/>
            <w:tcBorders>
              <w:top w:val="single" w:sz="6" w:space="0" w:color="69BD28"/>
              <w:bottom w:val="single" w:sz="6" w:space="0" w:color="69BD28"/>
            </w:tcBorders>
            <w:shd w:val="clear" w:color="auto" w:fill="006A4D"/>
          </w:tcPr>
          <w:p>
            <w:pPr>
              <w:pStyle w:val="TableParagraph"/>
              <w:spacing w:before="28"/>
              <w:ind w:left="102" w:right="574"/>
              <w:rPr>
                <w:sz w:val="20"/>
              </w:rPr>
            </w:pPr>
            <w:r>
              <w:rPr>
                <w:color w:val="FFFFFF"/>
                <w:sz w:val="20"/>
              </w:rPr>
              <w:t>Nature of Income</w:t>
            </w:r>
          </w:p>
        </w:tc>
        <w:tc>
          <w:tcPr>
            <w:tcW w:w="2264" w:type="dxa"/>
            <w:tcBorders>
              <w:top w:val="single" w:sz="6" w:space="0" w:color="69BD28"/>
              <w:bottom w:val="single" w:sz="6" w:space="0" w:color="69BD28"/>
            </w:tcBorders>
            <w:shd w:val="clear" w:color="auto" w:fill="006A4D"/>
          </w:tcPr>
          <w:p>
            <w:pPr>
              <w:pStyle w:val="TableParagraph"/>
              <w:spacing w:before="28"/>
              <w:ind w:left="738"/>
              <w:jc w:val="left"/>
              <w:rPr>
                <w:sz w:val="20"/>
              </w:rPr>
            </w:pPr>
            <w:r>
              <w:rPr>
                <w:color w:val="FFFFFF"/>
                <w:sz w:val="20"/>
              </w:rPr>
              <w:t>Details</w:t>
            </w:r>
          </w:p>
        </w:tc>
        <w:tc>
          <w:tcPr>
            <w:tcW w:w="3788" w:type="dxa"/>
            <w:tcBorders>
              <w:top w:val="single" w:sz="6" w:space="0" w:color="69BD28"/>
              <w:bottom w:val="single" w:sz="6" w:space="0" w:color="69BD28"/>
            </w:tcBorders>
            <w:shd w:val="clear" w:color="auto" w:fill="006A4D"/>
          </w:tcPr>
          <w:p>
            <w:pPr>
              <w:pStyle w:val="TableParagraph"/>
              <w:spacing w:before="4"/>
              <w:ind w:left="803" w:right="501"/>
              <w:rPr>
                <w:sz w:val="20"/>
              </w:rPr>
            </w:pPr>
            <w:r>
              <w:rPr>
                <w:color w:val="FFFFFF"/>
                <w:sz w:val="20"/>
              </w:rPr>
              <w:t>Basis</w:t>
            </w:r>
          </w:p>
        </w:tc>
      </w:tr>
      <w:tr>
        <w:trPr>
          <w:trHeight w:val="294" w:hRule="atLeast"/>
        </w:trPr>
        <w:tc>
          <w:tcPr>
            <w:tcW w:w="4432" w:type="dxa"/>
            <w:tcBorders>
              <w:top w:val="single" w:sz="6" w:space="0" w:color="69BD28"/>
              <w:bottom w:val="single" w:sz="6" w:space="0" w:color="69BD28"/>
            </w:tcBorders>
          </w:tcPr>
          <w:p>
            <w:pPr>
              <w:pStyle w:val="TableParagraph"/>
              <w:spacing w:before="44"/>
              <w:ind w:left="102" w:right="576"/>
              <w:rPr>
                <w:sz w:val="18"/>
              </w:rPr>
            </w:pPr>
            <w:r>
              <w:rPr>
                <w:sz w:val="18"/>
              </w:rPr>
              <w:t>Miscellaneous Income (Income from cell sites)</w:t>
            </w:r>
          </w:p>
        </w:tc>
        <w:tc>
          <w:tcPr>
            <w:tcW w:w="2264" w:type="dxa"/>
            <w:tcBorders>
              <w:top w:val="single" w:sz="6" w:space="0" w:color="69BD28"/>
              <w:bottom w:val="single" w:sz="6" w:space="0" w:color="69BD28"/>
            </w:tcBorders>
          </w:tcPr>
          <w:p>
            <w:pPr>
              <w:pStyle w:val="TableParagraph"/>
              <w:spacing w:before="44"/>
              <w:ind w:left="815" w:right="1009"/>
              <w:rPr>
                <w:sz w:val="18"/>
              </w:rPr>
            </w:pPr>
            <w:r>
              <w:rPr>
                <w:w w:val="110"/>
                <w:sz w:val="18"/>
              </w:rPr>
              <w:t>1.0%</w:t>
            </w:r>
          </w:p>
        </w:tc>
        <w:tc>
          <w:tcPr>
            <w:tcW w:w="3788" w:type="dxa"/>
            <w:tcBorders>
              <w:top w:val="single" w:sz="6" w:space="0" w:color="69BD28"/>
              <w:bottom w:val="single" w:sz="6" w:space="0" w:color="69BD28"/>
            </w:tcBorders>
          </w:tcPr>
          <w:p>
            <w:pPr>
              <w:pStyle w:val="TableParagraph"/>
              <w:spacing w:before="44"/>
              <w:ind w:left="802" w:right="502"/>
              <w:rPr>
                <w:sz w:val="18"/>
              </w:rPr>
            </w:pPr>
            <w:r>
              <w:rPr>
                <w:w w:val="105"/>
                <w:sz w:val="18"/>
              </w:rPr>
              <w:t>% of rental income</w:t>
            </w:r>
          </w:p>
        </w:tc>
      </w:tr>
      <w:tr>
        <w:trPr>
          <w:trHeight w:val="297" w:hRule="atLeast"/>
        </w:trPr>
        <w:tc>
          <w:tcPr>
            <w:tcW w:w="4432" w:type="dxa"/>
            <w:tcBorders>
              <w:top w:val="single" w:sz="6" w:space="0" w:color="69BD28"/>
              <w:bottom w:val="single" w:sz="6" w:space="0" w:color="69BD28"/>
            </w:tcBorders>
          </w:tcPr>
          <w:p>
            <w:pPr>
              <w:pStyle w:val="TableParagraph"/>
              <w:spacing w:before="46"/>
              <w:ind w:left="101" w:right="576"/>
              <w:rPr>
                <w:sz w:val="18"/>
              </w:rPr>
            </w:pPr>
            <w:r>
              <w:rPr>
                <w:sz w:val="18"/>
              </w:rPr>
              <w:t>Bare shell Security Deposit*</w:t>
            </w:r>
          </w:p>
        </w:tc>
        <w:tc>
          <w:tcPr>
            <w:tcW w:w="2264" w:type="dxa"/>
            <w:tcBorders>
              <w:top w:val="single" w:sz="6" w:space="0" w:color="69BD28"/>
              <w:bottom w:val="single" w:sz="6" w:space="0" w:color="69BD28"/>
            </w:tcBorders>
          </w:tcPr>
          <w:p>
            <w:pPr>
              <w:pStyle w:val="TableParagraph"/>
              <w:spacing w:before="46"/>
              <w:ind w:left="667"/>
              <w:jc w:val="left"/>
              <w:rPr>
                <w:sz w:val="18"/>
              </w:rPr>
            </w:pPr>
            <w:r>
              <w:rPr>
                <w:w w:val="105"/>
                <w:sz w:val="18"/>
              </w:rPr>
              <w:t>6 months</w:t>
            </w:r>
          </w:p>
        </w:tc>
        <w:tc>
          <w:tcPr>
            <w:tcW w:w="3788" w:type="dxa"/>
            <w:tcBorders>
              <w:top w:val="single" w:sz="6" w:space="0" w:color="69BD28"/>
              <w:bottom w:val="single" w:sz="6" w:space="0" w:color="69BD28"/>
            </w:tcBorders>
          </w:tcPr>
          <w:p>
            <w:pPr>
              <w:pStyle w:val="TableParagraph"/>
              <w:spacing w:before="46"/>
              <w:ind w:left="803" w:right="502"/>
              <w:rPr>
                <w:sz w:val="18"/>
              </w:rPr>
            </w:pPr>
            <w:r>
              <w:rPr>
                <w:sz w:val="18"/>
              </w:rPr>
              <w:t>No. of months’ bare shell rent</w:t>
            </w:r>
          </w:p>
        </w:tc>
      </w:tr>
      <w:tr>
        <w:trPr>
          <w:trHeight w:val="297" w:hRule="atLeast"/>
        </w:trPr>
        <w:tc>
          <w:tcPr>
            <w:tcW w:w="4432" w:type="dxa"/>
            <w:tcBorders>
              <w:top w:val="single" w:sz="6" w:space="0" w:color="69BD28"/>
              <w:bottom w:val="single" w:sz="6" w:space="0" w:color="69BD28"/>
            </w:tcBorders>
          </w:tcPr>
          <w:p>
            <w:pPr>
              <w:pStyle w:val="TableParagraph"/>
              <w:spacing w:before="44"/>
              <w:ind w:left="102" w:right="522"/>
              <w:rPr>
                <w:sz w:val="18"/>
              </w:rPr>
            </w:pPr>
            <w:r>
              <w:rPr>
                <w:w w:val="105"/>
                <w:sz w:val="18"/>
              </w:rPr>
              <w:t>Mark-Up on CAM/ CAM margin</w:t>
            </w:r>
          </w:p>
        </w:tc>
        <w:tc>
          <w:tcPr>
            <w:tcW w:w="2264" w:type="dxa"/>
            <w:tcBorders>
              <w:top w:val="single" w:sz="6" w:space="0" w:color="69BD28"/>
              <w:bottom w:val="single" w:sz="6" w:space="0" w:color="69BD28"/>
            </w:tcBorders>
          </w:tcPr>
          <w:p>
            <w:pPr>
              <w:pStyle w:val="TableParagraph"/>
              <w:spacing w:before="44"/>
              <w:ind w:left="782"/>
              <w:jc w:val="left"/>
              <w:rPr>
                <w:sz w:val="18"/>
              </w:rPr>
            </w:pPr>
            <w:r>
              <w:rPr>
                <w:w w:val="110"/>
                <w:sz w:val="18"/>
              </w:rPr>
              <w:t>15.0%</w:t>
            </w:r>
          </w:p>
        </w:tc>
        <w:tc>
          <w:tcPr>
            <w:tcW w:w="3788" w:type="dxa"/>
            <w:tcBorders>
              <w:top w:val="single" w:sz="6" w:space="0" w:color="69BD28"/>
              <w:bottom w:val="single" w:sz="6" w:space="0" w:color="69BD28"/>
            </w:tcBorders>
          </w:tcPr>
          <w:p>
            <w:pPr>
              <w:pStyle w:val="TableParagraph"/>
              <w:spacing w:before="44"/>
              <w:ind w:left="299"/>
              <w:rPr>
                <w:sz w:val="18"/>
              </w:rPr>
            </w:pPr>
            <w:r>
              <w:rPr>
                <w:w w:val="123"/>
                <w:sz w:val="18"/>
              </w:rPr>
              <w:t>%</w:t>
            </w:r>
          </w:p>
        </w:tc>
      </w:tr>
    </w:tbl>
    <w:p>
      <w:pPr>
        <w:spacing w:before="116"/>
        <w:ind w:left="120" w:right="0" w:firstLine="0"/>
        <w:jc w:val="left"/>
        <w:rPr>
          <w:i/>
          <w:sz w:val="16"/>
        </w:rPr>
      </w:pPr>
      <w:r>
        <w:rPr>
          <w:i/>
          <w:sz w:val="16"/>
        </w:rPr>
        <w:t>Source: Client’s Inputs &amp; Valuer’s assessment; *Refunded at the time of lease expiry/exit</w:t>
      </w:r>
    </w:p>
    <w:p>
      <w:pPr>
        <w:pStyle w:val="BodyText"/>
        <w:spacing w:before="3"/>
        <w:rPr>
          <w:i/>
          <w:sz w:val="26"/>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23" w:id="242"/>
      <w:bookmarkEnd w:id="242"/>
      <w:r>
        <w:rPr/>
      </w:r>
      <w:bookmarkStart w:name="_bookmark123" w:id="243"/>
      <w:bookmarkEnd w:id="243"/>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4"/>
        <w:rPr>
          <w:sz w:val="25"/>
        </w:rPr>
      </w:pPr>
    </w:p>
    <w:p>
      <w:pPr>
        <w:pStyle w:val="ListParagraph"/>
        <w:numPr>
          <w:ilvl w:val="3"/>
          <w:numId w:val="44"/>
        </w:numPr>
        <w:tabs>
          <w:tab w:pos="985" w:val="left" w:leader="none"/>
        </w:tabs>
        <w:spacing w:line="240" w:lineRule="auto" w:before="1" w:after="0"/>
        <w:ind w:left="984" w:right="0" w:hanging="865"/>
        <w:jc w:val="left"/>
        <w:rPr>
          <w:i/>
          <w:sz w:val="20"/>
        </w:rPr>
      </w:pPr>
      <w:r>
        <w:rPr>
          <w:i/>
          <w:color w:val="008000"/>
          <w:sz w:val="20"/>
        </w:rPr>
        <w:t>Major Repairs and</w:t>
      </w:r>
      <w:r>
        <w:rPr>
          <w:i/>
          <w:color w:val="008000"/>
          <w:spacing w:val="-11"/>
          <w:sz w:val="20"/>
        </w:rPr>
        <w:t> </w:t>
      </w:r>
      <w:r>
        <w:rPr>
          <w:i/>
          <w:color w:val="008000"/>
          <w:sz w:val="20"/>
        </w:rPr>
        <w:t>Improvements</w:t>
      </w:r>
    </w:p>
    <w:p>
      <w:pPr>
        <w:pStyle w:val="BodyText"/>
        <w:spacing w:line="321" w:lineRule="auto" w:before="135"/>
        <w:ind w:left="739" w:right="148"/>
      </w:pPr>
      <w:r>
        <w:rPr/>
        <w:pict>
          <v:group style="position:absolute;margin-left:35.279999pt;margin-top:46.8386pt;width:524.3pt;height:18.4pt;mso-position-horizontal-relative:page;mso-position-vertical-relative:paragraph;z-index:-15442944;mso-wrap-distance-left:0;mso-wrap-distance-right:0" coordorigin="706,937" coordsize="10486,368">
            <v:shape style="position:absolute;left:751;top:951;width:10409;height:339" coordorigin="751,951" coordsize="10409,339" path="m11160,951l6263,951,751,951,751,1290,6263,1290,11160,1290,11160,951xe" filled="true" fillcolor="#006a4d" stroked="false">
              <v:path arrowok="t"/>
              <v:fill type="solid"/>
            </v:shape>
            <v:shape style="position:absolute;left:751;top:936;width:10412;height:368" coordorigin="751,937" coordsize="10412,368" path="m11162,1290l6277,1290,6263,1290,751,1290,751,1304,6263,1304,6277,1304,11162,1304,11162,1290xm11162,937l6277,937,6263,937,751,937,751,951,6263,951,6277,951,11162,951,11162,937xe" filled="true" fillcolor="#69bd28" stroked="false">
              <v:path arrowok="t"/>
              <v:fill type="solid"/>
            </v:shape>
            <v:shape style="position:absolute;left:705;top:951;width:10486;height:339" type="#_x0000_t202" filled="false" stroked="false">
              <v:textbox inset="0,0,0,0">
                <w:txbxContent>
                  <w:p>
                    <w:pPr>
                      <w:tabs>
                        <w:tab w:pos="6606" w:val="left" w:leader="none"/>
                      </w:tabs>
                      <w:spacing w:before="66"/>
                      <w:ind w:left="2354" w:right="0" w:firstLine="0"/>
                      <w:jc w:val="left"/>
                      <w:rPr>
                        <w:b/>
                        <w:sz w:val="18"/>
                      </w:rPr>
                    </w:pPr>
                    <w:r>
                      <w:rPr>
                        <w:b/>
                        <w:color w:val="FFFFFF"/>
                        <w:w w:val="105"/>
                        <w:sz w:val="18"/>
                      </w:rPr>
                      <w:t>Particular</w:t>
                      <w:tab/>
                      <w:t>Refurbishment cost to be</w:t>
                    </w:r>
                    <w:r>
                      <w:rPr>
                        <w:b/>
                        <w:color w:val="FFFFFF"/>
                        <w:spacing w:val="-2"/>
                        <w:w w:val="105"/>
                        <w:sz w:val="18"/>
                      </w:rPr>
                      <w:t> </w:t>
                    </w:r>
                    <w:r>
                      <w:rPr>
                        <w:b/>
                        <w:color w:val="FFFFFF"/>
                        <w:w w:val="105"/>
                        <w:sz w:val="18"/>
                      </w:rPr>
                      <w:t>spent</w:t>
                    </w:r>
                  </w:p>
                </w:txbxContent>
              </v:textbox>
              <w10:wrap type="none"/>
            </v:shape>
            <w10:wrap type="topAndBottom"/>
          </v:group>
        </w:pict>
      </w:r>
      <w:r>
        <w:rPr/>
        <w:t>The following table highlights the inputs towards the refurbishment costs expected for the subject development:</w:t>
      </w:r>
    </w:p>
    <w:p>
      <w:pPr>
        <w:tabs>
          <w:tab w:pos="5893" w:val="left" w:leader="none"/>
        </w:tabs>
        <w:spacing w:before="15" w:after="42"/>
        <w:ind w:left="2378" w:right="0" w:firstLine="0"/>
        <w:jc w:val="left"/>
        <w:rPr>
          <w:sz w:val="18"/>
        </w:rPr>
      </w:pPr>
      <w:r>
        <w:rPr>
          <w:sz w:val="18"/>
        </w:rPr>
        <w:t>Embassy</w:t>
      </w:r>
      <w:r>
        <w:rPr>
          <w:spacing w:val="9"/>
          <w:sz w:val="18"/>
        </w:rPr>
        <w:t> </w:t>
      </w:r>
      <w:r>
        <w:rPr>
          <w:sz w:val="18"/>
        </w:rPr>
        <w:t>247</w:t>
        <w:tab/>
        <w:t>INR</w:t>
      </w:r>
      <w:r>
        <w:rPr>
          <w:spacing w:val="-8"/>
          <w:sz w:val="18"/>
        </w:rPr>
        <w:t> </w:t>
      </w:r>
      <w:r>
        <w:rPr>
          <w:sz w:val="18"/>
        </w:rPr>
        <w:t>39.1</w:t>
      </w:r>
      <w:r>
        <w:rPr>
          <w:spacing w:val="-8"/>
          <w:sz w:val="18"/>
        </w:rPr>
        <w:t> </w:t>
      </w:r>
      <w:r>
        <w:rPr>
          <w:sz w:val="18"/>
        </w:rPr>
        <w:t>Mn</w:t>
      </w:r>
      <w:r>
        <w:rPr>
          <w:spacing w:val="-7"/>
          <w:sz w:val="18"/>
        </w:rPr>
        <w:t> </w:t>
      </w:r>
      <w:r>
        <w:rPr>
          <w:w w:val="105"/>
          <w:sz w:val="18"/>
        </w:rPr>
        <w:t>–</w:t>
      </w:r>
      <w:r>
        <w:rPr>
          <w:spacing w:val="-10"/>
          <w:w w:val="105"/>
          <w:sz w:val="18"/>
        </w:rPr>
        <w:t> </w:t>
      </w:r>
      <w:r>
        <w:rPr>
          <w:sz w:val="18"/>
        </w:rPr>
        <w:t>expected</w:t>
      </w:r>
      <w:r>
        <w:rPr>
          <w:spacing w:val="-8"/>
          <w:sz w:val="18"/>
        </w:rPr>
        <w:t> </w:t>
      </w:r>
      <w:r>
        <w:rPr>
          <w:sz w:val="18"/>
        </w:rPr>
        <w:t>to</w:t>
      </w:r>
      <w:r>
        <w:rPr>
          <w:spacing w:val="-7"/>
          <w:sz w:val="18"/>
        </w:rPr>
        <w:t> </w:t>
      </w:r>
      <w:r>
        <w:rPr>
          <w:sz w:val="18"/>
        </w:rPr>
        <w:t>be</w:t>
      </w:r>
      <w:r>
        <w:rPr>
          <w:spacing w:val="-8"/>
          <w:sz w:val="18"/>
        </w:rPr>
        <w:t> </w:t>
      </w:r>
      <w:r>
        <w:rPr>
          <w:sz w:val="18"/>
        </w:rPr>
        <w:t>spent</w:t>
      </w:r>
      <w:r>
        <w:rPr>
          <w:spacing w:val="-9"/>
          <w:sz w:val="18"/>
        </w:rPr>
        <w:t> </w:t>
      </w:r>
      <w:r>
        <w:rPr>
          <w:sz w:val="18"/>
        </w:rPr>
        <w:t>over</w:t>
      </w:r>
      <w:r>
        <w:rPr>
          <w:spacing w:val="-8"/>
          <w:sz w:val="18"/>
        </w:rPr>
        <w:t> </w:t>
      </w:r>
      <w:r>
        <w:rPr>
          <w:sz w:val="18"/>
        </w:rPr>
        <w:t>next</w:t>
      </w:r>
      <w:r>
        <w:rPr>
          <w:spacing w:val="-6"/>
          <w:sz w:val="18"/>
        </w:rPr>
        <w:t> </w:t>
      </w:r>
      <w:r>
        <w:rPr>
          <w:sz w:val="18"/>
        </w:rPr>
        <w:t>4</w:t>
      </w:r>
      <w:r>
        <w:rPr>
          <w:spacing w:val="-8"/>
          <w:sz w:val="18"/>
        </w:rPr>
        <w:t> </w:t>
      </w:r>
      <w:r>
        <w:rPr>
          <w:sz w:val="18"/>
        </w:rPr>
        <w:t>quarters</w:t>
      </w:r>
    </w:p>
    <w:p>
      <w:pPr>
        <w:pStyle w:val="BodyText"/>
        <w:spacing w:line="20" w:lineRule="exact"/>
        <w:ind w:left="136"/>
        <w:rPr>
          <w:sz w:val="2"/>
        </w:rPr>
      </w:pPr>
      <w:r>
        <w:rPr>
          <w:sz w:val="2"/>
        </w:rPr>
        <w:pict>
          <v:group style="width:521.3pt;height:.75pt;mso-position-horizontal-relative:char;mso-position-vertical-relative:line" coordorigin="0,0" coordsize="10426,15">
            <v:shape style="position:absolute;left:0;top:0;width:10426;height:15" coordorigin="0,0" coordsize="10426,15" path="m10426,0l5526,0,5512,0,0,0,0,14,5512,14,5526,14,10426,14,10426,0xe" filled="true" fillcolor="#69bd28" stroked="false">
              <v:path arrowok="t"/>
              <v:fill type="solid"/>
            </v:shape>
          </v:group>
        </w:pict>
      </w:r>
      <w:r>
        <w:rPr>
          <w:sz w:val="2"/>
        </w:rPr>
      </w:r>
    </w:p>
    <w:p>
      <w:pPr>
        <w:spacing w:before="118"/>
        <w:ind w:left="120" w:right="0" w:firstLine="0"/>
        <w:jc w:val="left"/>
        <w:rPr>
          <w:i/>
          <w:sz w:val="18"/>
        </w:rPr>
      </w:pPr>
      <w:r>
        <w:rPr>
          <w:i/>
          <w:sz w:val="18"/>
        </w:rPr>
        <w:t>Source: Client’s input; Valuer’s Assessment</w:t>
      </w:r>
    </w:p>
    <w:p>
      <w:pPr>
        <w:pStyle w:val="BodyText"/>
        <w:spacing w:before="2"/>
        <w:rPr>
          <w:i/>
          <w:sz w:val="24"/>
        </w:rPr>
      </w:pPr>
    </w:p>
    <w:p>
      <w:pPr>
        <w:pStyle w:val="ListParagraph"/>
        <w:numPr>
          <w:ilvl w:val="3"/>
          <w:numId w:val="44"/>
        </w:numPr>
        <w:tabs>
          <w:tab w:pos="985" w:val="left" w:leader="none"/>
        </w:tabs>
        <w:spacing w:line="240" w:lineRule="auto" w:before="1" w:after="0"/>
        <w:ind w:left="984" w:right="0" w:hanging="865"/>
        <w:jc w:val="both"/>
        <w:rPr>
          <w:i/>
          <w:sz w:val="20"/>
        </w:rPr>
      </w:pPr>
      <w:r>
        <w:rPr>
          <w:i/>
          <w:color w:val="008000"/>
          <w:sz w:val="20"/>
        </w:rPr>
        <w:t>Other</w:t>
      </w:r>
      <w:r>
        <w:rPr>
          <w:i/>
          <w:color w:val="008000"/>
          <w:spacing w:val="-4"/>
          <w:sz w:val="20"/>
        </w:rPr>
        <w:t> </w:t>
      </w:r>
      <w:r>
        <w:rPr>
          <w:i/>
          <w:color w:val="008000"/>
          <w:sz w:val="20"/>
        </w:rPr>
        <w:t>Expenses</w:t>
      </w:r>
    </w:p>
    <w:p>
      <w:pPr>
        <w:pStyle w:val="BodyText"/>
        <w:spacing w:before="75"/>
        <w:ind w:left="660"/>
        <w:jc w:val="both"/>
      </w:pPr>
      <w:r>
        <w:rPr/>
        <w:t>The following table highlights the assumptions towards other expenses in the subject development:</w:t>
      </w:r>
    </w:p>
    <w:p>
      <w:pPr>
        <w:pStyle w:val="BodyText"/>
        <w:spacing w:before="5" w:after="1"/>
        <w:rPr>
          <w:sz w:val="28"/>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42"/>
        <w:gridCol w:w="2316"/>
        <w:gridCol w:w="3528"/>
      </w:tblGrid>
      <w:tr>
        <w:trPr>
          <w:trHeight w:val="287" w:hRule="atLeast"/>
        </w:trPr>
        <w:tc>
          <w:tcPr>
            <w:tcW w:w="4642" w:type="dxa"/>
            <w:tcBorders>
              <w:top w:val="single" w:sz="6" w:space="0" w:color="69BD28"/>
              <w:bottom w:val="single" w:sz="6" w:space="0" w:color="69BD28"/>
            </w:tcBorders>
            <w:shd w:val="clear" w:color="auto" w:fill="006A4D"/>
          </w:tcPr>
          <w:p>
            <w:pPr>
              <w:pStyle w:val="TableParagraph"/>
              <w:spacing w:before="28"/>
              <w:ind w:left="929" w:right="864"/>
              <w:rPr>
                <w:sz w:val="20"/>
              </w:rPr>
            </w:pPr>
            <w:r>
              <w:rPr>
                <w:color w:val="FFFFFF"/>
                <w:sz w:val="20"/>
              </w:rPr>
              <w:t>Nature of Expense</w:t>
            </w:r>
          </w:p>
        </w:tc>
        <w:tc>
          <w:tcPr>
            <w:tcW w:w="2316" w:type="dxa"/>
            <w:tcBorders>
              <w:top w:val="single" w:sz="6" w:space="0" w:color="69BD28"/>
              <w:bottom w:val="single" w:sz="6" w:space="0" w:color="69BD28"/>
            </w:tcBorders>
            <w:shd w:val="clear" w:color="auto" w:fill="006A4D"/>
          </w:tcPr>
          <w:p>
            <w:pPr>
              <w:pStyle w:val="TableParagraph"/>
              <w:spacing w:before="28"/>
              <w:ind w:left="166" w:right="74"/>
              <w:rPr>
                <w:sz w:val="20"/>
              </w:rPr>
            </w:pPr>
            <w:r>
              <w:rPr>
                <w:color w:val="FFFFFF"/>
                <w:sz w:val="20"/>
              </w:rPr>
              <w:t>Details</w:t>
            </w:r>
          </w:p>
        </w:tc>
        <w:tc>
          <w:tcPr>
            <w:tcW w:w="3528" w:type="dxa"/>
            <w:tcBorders>
              <w:top w:val="single" w:sz="6" w:space="0" w:color="69BD28"/>
              <w:bottom w:val="single" w:sz="6" w:space="0" w:color="69BD28"/>
            </w:tcBorders>
            <w:shd w:val="clear" w:color="auto" w:fill="006A4D"/>
          </w:tcPr>
          <w:p>
            <w:pPr>
              <w:pStyle w:val="TableParagraph"/>
              <w:spacing w:before="4"/>
              <w:ind w:left="783" w:right="745"/>
              <w:rPr>
                <w:sz w:val="20"/>
              </w:rPr>
            </w:pPr>
            <w:r>
              <w:rPr>
                <w:color w:val="FFFFFF"/>
                <w:sz w:val="20"/>
              </w:rPr>
              <w:t>Basis</w:t>
            </w:r>
          </w:p>
        </w:tc>
      </w:tr>
      <w:tr>
        <w:trPr>
          <w:trHeight w:val="296" w:hRule="atLeast"/>
        </w:trPr>
        <w:tc>
          <w:tcPr>
            <w:tcW w:w="4642" w:type="dxa"/>
            <w:tcBorders>
              <w:top w:val="single" w:sz="6" w:space="0" w:color="69BD28"/>
              <w:bottom w:val="single" w:sz="6" w:space="0" w:color="69BD28"/>
            </w:tcBorders>
          </w:tcPr>
          <w:p>
            <w:pPr>
              <w:pStyle w:val="TableParagraph"/>
              <w:spacing w:before="46"/>
              <w:ind w:left="930" w:right="864"/>
              <w:rPr>
                <w:sz w:val="18"/>
              </w:rPr>
            </w:pPr>
            <w:r>
              <w:rPr>
                <w:sz w:val="18"/>
              </w:rPr>
              <w:t>Opex projects and admin expenses</w:t>
            </w:r>
          </w:p>
        </w:tc>
        <w:tc>
          <w:tcPr>
            <w:tcW w:w="2316" w:type="dxa"/>
            <w:tcBorders>
              <w:top w:val="single" w:sz="6" w:space="0" w:color="69BD28"/>
              <w:bottom w:val="single" w:sz="6" w:space="0" w:color="69BD28"/>
            </w:tcBorders>
          </w:tcPr>
          <w:p>
            <w:pPr>
              <w:pStyle w:val="TableParagraph"/>
              <w:spacing w:before="46"/>
              <w:ind w:left="163" w:right="74"/>
              <w:rPr>
                <w:sz w:val="18"/>
              </w:rPr>
            </w:pPr>
            <w:r>
              <w:rPr>
                <w:w w:val="110"/>
                <w:sz w:val="18"/>
              </w:rPr>
              <w:t>1.0%</w:t>
            </w:r>
          </w:p>
        </w:tc>
        <w:tc>
          <w:tcPr>
            <w:tcW w:w="3528" w:type="dxa"/>
            <w:tcBorders>
              <w:top w:val="single" w:sz="6" w:space="0" w:color="69BD28"/>
              <w:bottom w:val="single" w:sz="6" w:space="0" w:color="69BD28"/>
            </w:tcBorders>
          </w:tcPr>
          <w:p>
            <w:pPr>
              <w:pStyle w:val="TableParagraph"/>
              <w:spacing w:before="46"/>
              <w:ind w:left="783" w:right="743"/>
              <w:rPr>
                <w:sz w:val="18"/>
              </w:rPr>
            </w:pPr>
            <w:r>
              <w:rPr>
                <w:sz w:val="18"/>
              </w:rPr>
              <w:t>% of total income</w:t>
            </w:r>
          </w:p>
        </w:tc>
      </w:tr>
      <w:tr>
        <w:trPr>
          <w:trHeight w:val="294" w:hRule="atLeast"/>
        </w:trPr>
        <w:tc>
          <w:tcPr>
            <w:tcW w:w="4642" w:type="dxa"/>
            <w:tcBorders>
              <w:top w:val="single" w:sz="6" w:space="0" w:color="69BD28"/>
              <w:bottom w:val="single" w:sz="6" w:space="0" w:color="69BD28"/>
            </w:tcBorders>
          </w:tcPr>
          <w:p>
            <w:pPr>
              <w:pStyle w:val="TableParagraph"/>
              <w:spacing w:before="44"/>
              <w:ind w:left="930" w:right="857"/>
              <w:rPr>
                <w:sz w:val="18"/>
              </w:rPr>
            </w:pPr>
            <w:r>
              <w:rPr>
                <w:w w:val="103"/>
                <w:sz w:val="18"/>
              </w:rPr>
              <w:t>A</w:t>
            </w:r>
            <w:r>
              <w:rPr>
                <w:spacing w:val="1"/>
                <w:w w:val="103"/>
                <w:sz w:val="18"/>
              </w:rPr>
              <w:t>s</w:t>
            </w:r>
            <w:r>
              <w:rPr>
                <w:w w:val="100"/>
                <w:sz w:val="18"/>
              </w:rPr>
              <w:t>s</w:t>
            </w:r>
            <w:r>
              <w:rPr>
                <w:w w:val="94"/>
                <w:sz w:val="18"/>
              </w:rPr>
              <w:t>e</w:t>
            </w:r>
            <w:r>
              <w:rPr>
                <w:w w:val="65"/>
                <w:sz w:val="18"/>
              </w:rPr>
              <w:t>t</w:t>
            </w:r>
            <w:r>
              <w:rPr>
                <w:spacing w:val="-3"/>
                <w:sz w:val="18"/>
              </w:rPr>
              <w:t> </w:t>
            </w:r>
            <w:r>
              <w:rPr>
                <w:w w:val="113"/>
                <w:sz w:val="18"/>
              </w:rPr>
              <w:t>M</w:t>
            </w:r>
            <w:r>
              <w:rPr>
                <w:spacing w:val="-2"/>
                <w:w w:val="113"/>
                <w:sz w:val="18"/>
              </w:rPr>
              <w:t>a</w:t>
            </w:r>
            <w:r>
              <w:rPr>
                <w:w w:val="101"/>
                <w:sz w:val="18"/>
              </w:rPr>
              <w:t>n</w:t>
            </w:r>
            <w:r>
              <w:rPr>
                <w:w w:val="108"/>
                <w:sz w:val="18"/>
              </w:rPr>
              <w:t>a</w:t>
            </w:r>
            <w:r>
              <w:rPr>
                <w:spacing w:val="-2"/>
                <w:w w:val="113"/>
                <w:sz w:val="18"/>
              </w:rPr>
              <w:t>g</w:t>
            </w:r>
            <w:r>
              <w:rPr>
                <w:w w:val="94"/>
                <w:sz w:val="18"/>
              </w:rPr>
              <w:t>e</w:t>
            </w:r>
            <w:r>
              <w:rPr>
                <w:w w:val="102"/>
                <w:sz w:val="18"/>
              </w:rPr>
              <w:t>m</w:t>
            </w:r>
            <w:r>
              <w:rPr>
                <w:spacing w:val="-2"/>
                <w:w w:val="94"/>
                <w:sz w:val="18"/>
              </w:rPr>
              <w:t>e</w:t>
            </w:r>
            <w:r>
              <w:rPr>
                <w:w w:val="101"/>
                <w:sz w:val="18"/>
              </w:rPr>
              <w:t>n</w:t>
            </w:r>
            <w:r>
              <w:rPr>
                <w:w w:val="65"/>
                <w:sz w:val="18"/>
              </w:rPr>
              <w:t>t</w:t>
            </w:r>
            <w:r>
              <w:rPr>
                <w:spacing w:val="-3"/>
                <w:sz w:val="18"/>
              </w:rPr>
              <w:t> </w:t>
            </w:r>
            <w:r>
              <w:rPr>
                <w:w w:val="95"/>
                <w:sz w:val="18"/>
              </w:rPr>
              <w:t>Fe</w:t>
            </w:r>
            <w:r>
              <w:rPr>
                <w:spacing w:val="3"/>
                <w:w w:val="94"/>
                <w:sz w:val="18"/>
              </w:rPr>
              <w:t>e</w:t>
            </w:r>
            <w:r>
              <w:rPr>
                <w:w w:val="190"/>
                <w:sz w:val="18"/>
              </w:rPr>
              <w:t>^</w:t>
            </w:r>
          </w:p>
        </w:tc>
        <w:tc>
          <w:tcPr>
            <w:tcW w:w="2316" w:type="dxa"/>
            <w:tcBorders>
              <w:top w:val="single" w:sz="6" w:space="0" w:color="69BD28"/>
              <w:bottom w:val="single" w:sz="6" w:space="0" w:color="69BD28"/>
            </w:tcBorders>
          </w:tcPr>
          <w:p>
            <w:pPr>
              <w:pStyle w:val="TableParagraph"/>
              <w:spacing w:before="44"/>
              <w:ind w:left="163" w:right="74"/>
              <w:rPr>
                <w:sz w:val="18"/>
              </w:rPr>
            </w:pPr>
            <w:r>
              <w:rPr>
                <w:w w:val="110"/>
                <w:sz w:val="18"/>
              </w:rPr>
              <w:t>3.0%</w:t>
            </w:r>
          </w:p>
        </w:tc>
        <w:tc>
          <w:tcPr>
            <w:tcW w:w="3528" w:type="dxa"/>
            <w:tcBorders>
              <w:top w:val="single" w:sz="6" w:space="0" w:color="69BD28"/>
              <w:bottom w:val="single" w:sz="6" w:space="0" w:color="69BD28"/>
            </w:tcBorders>
          </w:tcPr>
          <w:p>
            <w:pPr>
              <w:pStyle w:val="TableParagraph"/>
              <w:spacing w:before="44"/>
              <w:ind w:left="783" w:right="745"/>
              <w:rPr>
                <w:sz w:val="18"/>
              </w:rPr>
            </w:pPr>
            <w:r>
              <w:rPr>
                <w:sz w:val="18"/>
              </w:rPr>
              <w:t>% of gross rental income</w:t>
            </w:r>
          </w:p>
        </w:tc>
      </w:tr>
      <w:tr>
        <w:trPr>
          <w:trHeight w:val="297" w:hRule="atLeast"/>
        </w:trPr>
        <w:tc>
          <w:tcPr>
            <w:tcW w:w="4642" w:type="dxa"/>
            <w:tcBorders>
              <w:top w:val="single" w:sz="6" w:space="0" w:color="69BD28"/>
              <w:bottom w:val="single" w:sz="6" w:space="0" w:color="69BD28"/>
            </w:tcBorders>
          </w:tcPr>
          <w:p>
            <w:pPr>
              <w:pStyle w:val="TableParagraph"/>
              <w:spacing w:before="46"/>
              <w:ind w:left="930" w:right="864"/>
              <w:rPr>
                <w:sz w:val="18"/>
              </w:rPr>
            </w:pPr>
            <w:r>
              <w:rPr>
                <w:sz w:val="18"/>
              </w:rPr>
              <w:t>Transaction cost on Exit</w:t>
            </w:r>
          </w:p>
        </w:tc>
        <w:tc>
          <w:tcPr>
            <w:tcW w:w="2316" w:type="dxa"/>
            <w:tcBorders>
              <w:top w:val="single" w:sz="6" w:space="0" w:color="69BD28"/>
              <w:bottom w:val="single" w:sz="6" w:space="0" w:color="69BD28"/>
            </w:tcBorders>
          </w:tcPr>
          <w:p>
            <w:pPr>
              <w:pStyle w:val="TableParagraph"/>
              <w:spacing w:before="46"/>
              <w:ind w:left="163" w:right="74"/>
              <w:rPr>
                <w:sz w:val="18"/>
              </w:rPr>
            </w:pPr>
            <w:r>
              <w:rPr>
                <w:w w:val="110"/>
                <w:sz w:val="18"/>
              </w:rPr>
              <w:t>1.0%</w:t>
            </w:r>
          </w:p>
        </w:tc>
        <w:tc>
          <w:tcPr>
            <w:tcW w:w="3528" w:type="dxa"/>
            <w:tcBorders>
              <w:top w:val="single" w:sz="6" w:space="0" w:color="69BD28"/>
              <w:bottom w:val="single" w:sz="6" w:space="0" w:color="69BD28"/>
            </w:tcBorders>
          </w:tcPr>
          <w:p>
            <w:pPr>
              <w:pStyle w:val="TableParagraph"/>
              <w:spacing w:before="46"/>
              <w:ind w:left="783" w:right="743"/>
              <w:rPr>
                <w:sz w:val="18"/>
              </w:rPr>
            </w:pPr>
            <w:r>
              <w:rPr>
                <w:sz w:val="18"/>
              </w:rPr>
              <w:t>% of terminal value</w:t>
            </w:r>
          </w:p>
        </w:tc>
      </w:tr>
    </w:tbl>
    <w:p>
      <w:pPr>
        <w:spacing w:before="116"/>
        <w:ind w:left="120" w:right="0" w:firstLine="0"/>
        <w:jc w:val="left"/>
        <w:rPr>
          <w:i/>
          <w:sz w:val="18"/>
        </w:rPr>
      </w:pPr>
      <w:r>
        <w:rPr>
          <w:i/>
          <w:sz w:val="18"/>
        </w:rPr>
        <w:t>Source: Client Input; Valuer assessment</w:t>
      </w:r>
    </w:p>
    <w:p>
      <w:pPr>
        <w:spacing w:before="72"/>
        <w:ind w:left="120" w:right="0" w:firstLine="0"/>
        <w:jc w:val="left"/>
        <w:rPr>
          <w:i/>
          <w:sz w:val="18"/>
        </w:rPr>
      </w:pPr>
      <w:r>
        <w:rPr>
          <w:i/>
          <w:w w:val="160"/>
          <w:sz w:val="18"/>
        </w:rPr>
        <w:t>^ </w:t>
      </w:r>
      <w:r>
        <w:rPr>
          <w:i/>
          <w:w w:val="105"/>
          <w:sz w:val="18"/>
        </w:rPr>
        <w:t>Asset Management fee has been considered a below the NOI line item</w:t>
      </w:r>
    </w:p>
    <w:p>
      <w:pPr>
        <w:pStyle w:val="BodyText"/>
        <w:spacing w:before="11"/>
        <w:rPr>
          <w:i/>
          <w:sz w:val="26"/>
        </w:rPr>
      </w:pPr>
    </w:p>
    <w:p>
      <w:pPr>
        <w:pStyle w:val="ListParagraph"/>
        <w:numPr>
          <w:ilvl w:val="2"/>
          <w:numId w:val="14"/>
        </w:numPr>
        <w:tabs>
          <w:tab w:pos="841" w:val="left" w:leader="none"/>
        </w:tabs>
        <w:spacing w:line="240" w:lineRule="auto" w:before="0" w:after="0"/>
        <w:ind w:left="840" w:right="0" w:hanging="721"/>
        <w:jc w:val="both"/>
        <w:rPr>
          <w:sz w:val="22"/>
        </w:rPr>
      </w:pPr>
      <w:bookmarkStart w:name="_bookmark124" w:id="244"/>
      <w:bookmarkEnd w:id="244"/>
      <w:r>
        <w:rPr/>
      </w:r>
      <w:bookmarkStart w:name="_bookmark124" w:id="245"/>
      <w:bookmarkEnd w:id="245"/>
      <w:r>
        <w:rPr>
          <w:color w:val="1F664D"/>
          <w:w w:val="105"/>
          <w:sz w:val="22"/>
        </w:rPr>
        <w:t>O</w:t>
      </w:r>
      <w:r>
        <w:rPr>
          <w:color w:val="1F664D"/>
          <w:w w:val="105"/>
          <w:sz w:val="22"/>
        </w:rPr>
        <w:t>ther</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45"/>
        </w:numPr>
        <w:tabs>
          <w:tab w:pos="985" w:val="left" w:leader="none"/>
        </w:tabs>
        <w:spacing w:line="240" w:lineRule="auto" w:before="0" w:after="0"/>
        <w:ind w:left="984" w:right="0" w:hanging="865"/>
        <w:jc w:val="both"/>
        <w:rPr>
          <w:i/>
          <w:sz w:val="20"/>
        </w:rPr>
      </w:pPr>
      <w:r>
        <w:rPr>
          <w:i/>
          <w:color w:val="008000"/>
          <w:sz w:val="20"/>
        </w:rPr>
        <w:t>Vacancy</w:t>
      </w:r>
      <w:r>
        <w:rPr>
          <w:i/>
          <w:color w:val="008000"/>
          <w:spacing w:val="-4"/>
          <w:sz w:val="20"/>
        </w:rPr>
        <w:t> </w:t>
      </w:r>
      <w:r>
        <w:rPr>
          <w:i/>
          <w:color w:val="008000"/>
          <w:sz w:val="20"/>
        </w:rPr>
        <w:t>provision</w:t>
      </w:r>
    </w:p>
    <w:p>
      <w:pPr>
        <w:pStyle w:val="BodyText"/>
        <w:spacing w:line="324" w:lineRule="auto" w:before="76"/>
        <w:ind w:left="660" w:right="117"/>
        <w:jc w:val="both"/>
      </w:pPr>
      <w:r>
        <w:rPr/>
        <w:t>Based</w:t>
      </w:r>
      <w:r>
        <w:rPr>
          <w:spacing w:val="-35"/>
        </w:rPr>
        <w:t> </w:t>
      </w:r>
      <w:r>
        <w:rPr/>
        <w:t>on</w:t>
      </w:r>
      <w:r>
        <w:rPr>
          <w:spacing w:val="-34"/>
        </w:rPr>
        <w:t> </w:t>
      </w:r>
      <w:r>
        <w:rPr/>
        <w:t>the</w:t>
      </w:r>
      <w:r>
        <w:rPr>
          <w:spacing w:val="-34"/>
        </w:rPr>
        <w:t> </w:t>
      </w:r>
      <w:r>
        <w:rPr/>
        <w:t>prevailing</w:t>
      </w:r>
      <w:r>
        <w:rPr>
          <w:spacing w:val="-34"/>
        </w:rPr>
        <w:t> </w:t>
      </w:r>
      <w:r>
        <w:rPr/>
        <w:t>market</w:t>
      </w:r>
      <w:r>
        <w:rPr>
          <w:spacing w:val="-33"/>
        </w:rPr>
        <w:t> </w:t>
      </w:r>
      <w:r>
        <w:rPr/>
        <w:t>benchmarks</w:t>
      </w:r>
      <w:r>
        <w:rPr>
          <w:spacing w:val="-33"/>
        </w:rPr>
        <w:t> </w:t>
      </w:r>
      <w:r>
        <w:rPr/>
        <w:t>and</w:t>
      </w:r>
      <w:r>
        <w:rPr>
          <w:spacing w:val="-34"/>
        </w:rPr>
        <w:t> </w:t>
      </w:r>
      <w:r>
        <w:rPr/>
        <w:t>the</w:t>
      </w:r>
      <w:r>
        <w:rPr>
          <w:spacing w:val="-34"/>
        </w:rPr>
        <w:t> </w:t>
      </w:r>
      <w:r>
        <w:rPr/>
        <w:t>subject</w:t>
      </w:r>
      <w:r>
        <w:rPr>
          <w:spacing w:val="-33"/>
        </w:rPr>
        <w:t> </w:t>
      </w:r>
      <w:r>
        <w:rPr/>
        <w:t>property</w:t>
      </w:r>
      <w:r>
        <w:rPr>
          <w:spacing w:val="-35"/>
        </w:rPr>
        <w:t> </w:t>
      </w:r>
      <w:r>
        <w:rPr/>
        <w:t>profile,</w:t>
      </w:r>
      <w:r>
        <w:rPr>
          <w:spacing w:val="-33"/>
        </w:rPr>
        <w:t> </w:t>
      </w:r>
      <w:r>
        <w:rPr/>
        <w:t>a</w:t>
      </w:r>
      <w:r>
        <w:rPr>
          <w:spacing w:val="-34"/>
        </w:rPr>
        <w:t> </w:t>
      </w:r>
      <w:r>
        <w:rPr/>
        <w:t>vacancy</w:t>
      </w:r>
      <w:r>
        <w:rPr>
          <w:spacing w:val="-33"/>
        </w:rPr>
        <w:t> </w:t>
      </w:r>
      <w:r>
        <w:rPr/>
        <w:t>provision</w:t>
      </w:r>
      <w:r>
        <w:rPr>
          <w:spacing w:val="-35"/>
        </w:rPr>
        <w:t> </w:t>
      </w:r>
      <w:r>
        <w:rPr/>
        <w:t>of</w:t>
      </w:r>
      <w:r>
        <w:rPr>
          <w:spacing w:val="-33"/>
        </w:rPr>
        <w:t> </w:t>
      </w:r>
      <w:r>
        <w:rPr/>
        <w:t>2.5% has been adopted upon assessment of terminal</w:t>
      </w:r>
      <w:r>
        <w:rPr>
          <w:spacing w:val="-27"/>
        </w:rPr>
        <w:t> </w:t>
      </w:r>
      <w:r>
        <w:rPr/>
        <w:t>value.</w:t>
      </w:r>
    </w:p>
    <w:p>
      <w:pPr>
        <w:pStyle w:val="BodyText"/>
        <w:spacing w:before="8"/>
      </w:pPr>
    </w:p>
    <w:p>
      <w:pPr>
        <w:pStyle w:val="ListParagraph"/>
        <w:numPr>
          <w:ilvl w:val="3"/>
          <w:numId w:val="45"/>
        </w:numPr>
        <w:tabs>
          <w:tab w:pos="985" w:val="left" w:leader="none"/>
        </w:tabs>
        <w:spacing w:line="240" w:lineRule="auto" w:before="0" w:after="0"/>
        <w:ind w:left="984" w:right="0" w:hanging="865"/>
        <w:jc w:val="both"/>
        <w:rPr>
          <w:i/>
          <w:sz w:val="20"/>
        </w:rPr>
      </w:pPr>
      <w:r>
        <w:rPr>
          <w:i/>
          <w:color w:val="008000"/>
          <w:sz w:val="20"/>
        </w:rPr>
        <w:t>Revenue</w:t>
      </w:r>
      <w:r>
        <w:rPr>
          <w:i/>
          <w:color w:val="008000"/>
          <w:spacing w:val="-4"/>
          <w:sz w:val="20"/>
        </w:rPr>
        <w:t> </w:t>
      </w:r>
      <w:r>
        <w:rPr>
          <w:i/>
          <w:color w:val="008000"/>
          <w:sz w:val="20"/>
        </w:rPr>
        <w:t>escalation</w:t>
      </w:r>
    </w:p>
    <w:p>
      <w:pPr>
        <w:pStyle w:val="BodyText"/>
        <w:spacing w:line="321" w:lineRule="auto" w:before="76"/>
        <w:ind w:left="660" w:right="115"/>
        <w:jc w:val="both"/>
      </w:pPr>
      <w:r>
        <w:rPr/>
        <w:t>Based</w:t>
      </w:r>
      <w:r>
        <w:rPr>
          <w:spacing w:val="-43"/>
        </w:rPr>
        <w:t> </w:t>
      </w:r>
      <w:r>
        <w:rPr/>
        <w:t>on</w:t>
      </w:r>
      <w:r>
        <w:rPr>
          <w:spacing w:val="-42"/>
        </w:rPr>
        <w:t> </w:t>
      </w:r>
      <w:r>
        <w:rPr/>
        <w:t>prevailing</w:t>
      </w:r>
      <w:r>
        <w:rPr>
          <w:spacing w:val="-41"/>
        </w:rPr>
        <w:t> </w:t>
      </w:r>
      <w:r>
        <w:rPr/>
        <w:t>market</w:t>
      </w:r>
      <w:r>
        <w:rPr>
          <w:spacing w:val="-42"/>
        </w:rPr>
        <w:t> </w:t>
      </w:r>
      <w:r>
        <w:rPr/>
        <w:t>condition,</w:t>
      </w:r>
      <w:r>
        <w:rPr>
          <w:spacing w:val="-42"/>
        </w:rPr>
        <w:t> </w:t>
      </w:r>
      <w:r>
        <w:rPr/>
        <w:t>historical</w:t>
      </w:r>
      <w:r>
        <w:rPr>
          <w:spacing w:val="-41"/>
        </w:rPr>
        <w:t> </w:t>
      </w:r>
      <w:r>
        <w:rPr/>
        <w:t>market</w:t>
      </w:r>
      <w:r>
        <w:rPr>
          <w:spacing w:val="-42"/>
        </w:rPr>
        <w:t> </w:t>
      </w:r>
      <w:r>
        <w:rPr/>
        <w:t>rent</w:t>
      </w:r>
      <w:r>
        <w:rPr>
          <w:spacing w:val="-41"/>
        </w:rPr>
        <w:t> </w:t>
      </w:r>
      <w:r>
        <w:rPr/>
        <w:t>growth</w:t>
      </w:r>
      <w:r>
        <w:rPr>
          <w:spacing w:val="-42"/>
        </w:rPr>
        <w:t> </w:t>
      </w:r>
      <w:r>
        <w:rPr/>
        <w:t>achieved</w:t>
      </w:r>
      <w:r>
        <w:rPr>
          <w:spacing w:val="-42"/>
        </w:rPr>
        <w:t> </w:t>
      </w:r>
      <w:r>
        <w:rPr/>
        <w:t>by</w:t>
      </w:r>
      <w:r>
        <w:rPr>
          <w:spacing w:val="-41"/>
        </w:rPr>
        <w:t> </w:t>
      </w:r>
      <w:r>
        <w:rPr/>
        <w:t>the</w:t>
      </w:r>
      <w:r>
        <w:rPr>
          <w:spacing w:val="-43"/>
        </w:rPr>
        <w:t> </w:t>
      </w:r>
      <w:r>
        <w:rPr/>
        <w:t>subject</w:t>
      </w:r>
      <w:r>
        <w:rPr>
          <w:spacing w:val="-41"/>
        </w:rPr>
        <w:t> </w:t>
      </w:r>
      <w:r>
        <w:rPr/>
        <w:t>property</w:t>
      </w:r>
      <w:r>
        <w:rPr>
          <w:spacing w:val="-42"/>
        </w:rPr>
        <w:t> </w:t>
      </w:r>
      <w:r>
        <w:rPr>
          <w:spacing w:val="-2"/>
        </w:rPr>
        <w:t>and </w:t>
      </w:r>
      <w:r>
        <w:rPr/>
        <w:t>our</w:t>
      </w:r>
      <w:r>
        <w:rPr>
          <w:spacing w:val="-47"/>
        </w:rPr>
        <w:t> </w:t>
      </w:r>
      <w:r>
        <w:rPr/>
        <w:t>interactions</w:t>
      </w:r>
      <w:r>
        <w:rPr>
          <w:spacing w:val="-46"/>
        </w:rPr>
        <w:t> </w:t>
      </w:r>
      <w:r>
        <w:rPr/>
        <w:t>with</w:t>
      </w:r>
      <w:r>
        <w:rPr>
          <w:spacing w:val="-47"/>
        </w:rPr>
        <w:t> </w:t>
      </w:r>
      <w:r>
        <w:rPr/>
        <w:t>market</w:t>
      </w:r>
      <w:r>
        <w:rPr>
          <w:spacing w:val="-46"/>
        </w:rPr>
        <w:t> </w:t>
      </w:r>
      <w:r>
        <w:rPr/>
        <w:t>participants,</w:t>
      </w:r>
      <w:r>
        <w:rPr>
          <w:spacing w:val="-46"/>
        </w:rPr>
        <w:t> </w:t>
      </w:r>
      <w:r>
        <w:rPr/>
        <w:t>we</w:t>
      </w:r>
      <w:r>
        <w:rPr>
          <w:spacing w:val="-48"/>
        </w:rPr>
        <w:t> </w:t>
      </w:r>
      <w:r>
        <w:rPr/>
        <w:t>are</w:t>
      </w:r>
      <w:r>
        <w:rPr>
          <w:spacing w:val="-47"/>
        </w:rPr>
        <w:t> </w:t>
      </w:r>
      <w:r>
        <w:rPr/>
        <w:t>of</w:t>
      </w:r>
      <w:r>
        <w:rPr>
          <w:spacing w:val="-47"/>
        </w:rPr>
        <w:t> </w:t>
      </w:r>
      <w:r>
        <w:rPr/>
        <w:t>the</w:t>
      </w:r>
      <w:r>
        <w:rPr>
          <w:spacing w:val="-46"/>
        </w:rPr>
        <w:t> </w:t>
      </w:r>
      <w:r>
        <w:rPr/>
        <w:t>opinion</w:t>
      </w:r>
      <w:r>
        <w:rPr>
          <w:spacing w:val="-47"/>
        </w:rPr>
        <w:t> </w:t>
      </w:r>
      <w:r>
        <w:rPr/>
        <w:t>that</w:t>
      </w:r>
      <w:r>
        <w:rPr>
          <w:spacing w:val="-47"/>
        </w:rPr>
        <w:t> </w:t>
      </w:r>
      <w:r>
        <w:rPr/>
        <w:t>the</w:t>
      </w:r>
      <w:r>
        <w:rPr>
          <w:spacing w:val="-46"/>
        </w:rPr>
        <w:t> </w:t>
      </w:r>
      <w:r>
        <w:rPr/>
        <w:t>annual</w:t>
      </w:r>
      <w:r>
        <w:rPr>
          <w:spacing w:val="-47"/>
        </w:rPr>
        <w:t> </w:t>
      </w:r>
      <w:r>
        <w:rPr/>
        <w:t>rent</w:t>
      </w:r>
      <w:r>
        <w:rPr>
          <w:spacing w:val="-46"/>
        </w:rPr>
        <w:t> </w:t>
      </w:r>
      <w:r>
        <w:rPr/>
        <w:t>growth</w:t>
      </w:r>
      <w:r>
        <w:rPr>
          <w:spacing w:val="-47"/>
        </w:rPr>
        <w:t> </w:t>
      </w:r>
      <w:r>
        <w:rPr/>
        <w:t>for</w:t>
      </w:r>
      <w:r>
        <w:rPr>
          <w:spacing w:val="-47"/>
        </w:rPr>
        <w:t> </w:t>
      </w:r>
      <w:r>
        <w:rPr/>
        <w:t>the</w:t>
      </w:r>
      <w:r>
        <w:rPr>
          <w:spacing w:val="-48"/>
        </w:rPr>
        <w:t> </w:t>
      </w:r>
      <w:r>
        <w:rPr/>
        <w:t>subject property will be 3.0% from Q1, FY 2022</w:t>
      </w:r>
      <w:r>
        <w:rPr>
          <w:spacing w:val="-19"/>
        </w:rPr>
        <w:t> </w:t>
      </w:r>
      <w:r>
        <w:rPr/>
        <w:t>onwards.</w:t>
      </w:r>
    </w:p>
    <w:p>
      <w:pPr>
        <w:pStyle w:val="BodyText"/>
        <w:spacing w:before="4"/>
        <w:rPr>
          <w:sz w:val="23"/>
        </w:rPr>
      </w:pPr>
    </w:p>
    <w:p>
      <w:pPr>
        <w:pStyle w:val="ListParagraph"/>
        <w:numPr>
          <w:ilvl w:val="3"/>
          <w:numId w:val="45"/>
        </w:numPr>
        <w:tabs>
          <w:tab w:pos="985" w:val="left" w:leader="none"/>
        </w:tabs>
        <w:spacing w:line="240" w:lineRule="auto" w:before="0" w:after="0"/>
        <w:ind w:left="984" w:right="0" w:hanging="865"/>
        <w:jc w:val="both"/>
        <w:rPr>
          <w:i/>
          <w:sz w:val="20"/>
        </w:rPr>
      </w:pPr>
      <w:r>
        <w:rPr>
          <w:i/>
          <w:color w:val="008000"/>
          <w:sz w:val="20"/>
        </w:rPr>
        <w:t>Rent </w:t>
      </w:r>
      <w:r>
        <w:rPr>
          <w:i/>
          <w:color w:val="008000"/>
          <w:w w:val="105"/>
          <w:sz w:val="20"/>
        </w:rPr>
        <w:t>– </w:t>
      </w:r>
      <w:r>
        <w:rPr>
          <w:i/>
          <w:color w:val="008000"/>
          <w:sz w:val="20"/>
        </w:rPr>
        <w:t>free</w:t>
      </w:r>
      <w:r>
        <w:rPr>
          <w:i/>
          <w:color w:val="008000"/>
          <w:spacing w:val="-13"/>
          <w:sz w:val="20"/>
        </w:rPr>
        <w:t> </w:t>
      </w:r>
      <w:r>
        <w:rPr>
          <w:i/>
          <w:color w:val="008000"/>
          <w:sz w:val="20"/>
        </w:rPr>
        <w:t>period</w:t>
      </w:r>
    </w:p>
    <w:p>
      <w:pPr>
        <w:pStyle w:val="BodyText"/>
        <w:spacing w:line="321" w:lineRule="auto" w:before="76"/>
        <w:ind w:left="660" w:right="114"/>
        <w:jc w:val="both"/>
      </w:pPr>
      <w:r>
        <w:rPr/>
        <w:t>Based</w:t>
      </w:r>
      <w:r>
        <w:rPr>
          <w:spacing w:val="-40"/>
        </w:rPr>
        <w:t> </w:t>
      </w:r>
      <w:r>
        <w:rPr/>
        <w:t>on</w:t>
      </w:r>
      <w:r>
        <w:rPr>
          <w:spacing w:val="-40"/>
        </w:rPr>
        <w:t> </w:t>
      </w:r>
      <w:r>
        <w:rPr/>
        <w:t>the</w:t>
      </w:r>
      <w:r>
        <w:rPr>
          <w:spacing w:val="-41"/>
        </w:rPr>
        <w:t> </w:t>
      </w:r>
      <w:r>
        <w:rPr/>
        <w:t>trend</w:t>
      </w:r>
      <w:r>
        <w:rPr>
          <w:spacing w:val="-40"/>
        </w:rPr>
        <w:t> </w:t>
      </w:r>
      <w:r>
        <w:rPr/>
        <w:t>prevalent</w:t>
      </w:r>
      <w:r>
        <w:rPr>
          <w:spacing w:val="-40"/>
        </w:rPr>
        <w:t> </w:t>
      </w:r>
      <w:r>
        <w:rPr/>
        <w:t>in</w:t>
      </w:r>
      <w:r>
        <w:rPr>
          <w:spacing w:val="-40"/>
        </w:rPr>
        <w:t> </w:t>
      </w:r>
      <w:r>
        <w:rPr/>
        <w:t>the</w:t>
      </w:r>
      <w:r>
        <w:rPr>
          <w:spacing w:val="-41"/>
        </w:rPr>
        <w:t> </w:t>
      </w:r>
      <w:r>
        <w:rPr/>
        <w:t>subject</w:t>
      </w:r>
      <w:r>
        <w:rPr>
          <w:spacing w:val="-39"/>
        </w:rPr>
        <w:t> </w:t>
      </w:r>
      <w:r>
        <w:rPr/>
        <w:t>submarket,</w:t>
      </w:r>
      <w:r>
        <w:rPr>
          <w:spacing w:val="-39"/>
        </w:rPr>
        <w:t> </w:t>
      </w:r>
      <w:r>
        <w:rPr/>
        <w:t>we</w:t>
      </w:r>
      <w:r>
        <w:rPr>
          <w:spacing w:val="-40"/>
        </w:rPr>
        <w:t> </w:t>
      </w:r>
      <w:r>
        <w:rPr/>
        <w:t>have</w:t>
      </w:r>
      <w:r>
        <w:rPr>
          <w:spacing w:val="-40"/>
        </w:rPr>
        <w:t> </w:t>
      </w:r>
      <w:r>
        <w:rPr/>
        <w:t>considered</w:t>
      </w:r>
      <w:r>
        <w:rPr>
          <w:spacing w:val="-39"/>
        </w:rPr>
        <w:t> </w:t>
      </w:r>
      <w:r>
        <w:rPr/>
        <w:t>a</w:t>
      </w:r>
      <w:r>
        <w:rPr>
          <w:spacing w:val="-41"/>
        </w:rPr>
        <w:t> </w:t>
      </w:r>
      <w:r>
        <w:rPr/>
        <w:t>rent-free</w:t>
      </w:r>
      <w:r>
        <w:rPr>
          <w:spacing w:val="-41"/>
        </w:rPr>
        <w:t> </w:t>
      </w:r>
      <w:r>
        <w:rPr/>
        <w:t>period</w:t>
      </w:r>
      <w:r>
        <w:rPr>
          <w:spacing w:val="-38"/>
        </w:rPr>
        <w:t> </w:t>
      </w:r>
      <w:r>
        <w:rPr/>
        <w:t>of</w:t>
      </w:r>
      <w:r>
        <w:rPr>
          <w:spacing w:val="-40"/>
        </w:rPr>
        <w:t> </w:t>
      </w:r>
      <w:r>
        <w:rPr/>
        <w:t>3</w:t>
      </w:r>
      <w:r>
        <w:rPr>
          <w:spacing w:val="-40"/>
        </w:rPr>
        <w:t> </w:t>
      </w:r>
      <w:r>
        <w:rPr/>
        <w:t>months for</w:t>
      </w:r>
      <w:r>
        <w:rPr>
          <w:spacing w:val="-14"/>
        </w:rPr>
        <w:t> </w:t>
      </w:r>
      <w:r>
        <w:rPr/>
        <w:t>the</w:t>
      </w:r>
      <w:r>
        <w:rPr>
          <w:spacing w:val="-15"/>
        </w:rPr>
        <w:t> </w:t>
      </w:r>
      <w:r>
        <w:rPr/>
        <w:t>subject</w:t>
      </w:r>
      <w:r>
        <w:rPr>
          <w:spacing w:val="-15"/>
        </w:rPr>
        <w:t> </w:t>
      </w:r>
      <w:r>
        <w:rPr/>
        <w:t>property</w:t>
      </w:r>
      <w:r>
        <w:rPr>
          <w:spacing w:val="-13"/>
        </w:rPr>
        <w:t> </w:t>
      </w:r>
      <w:r>
        <w:rPr/>
        <w:t>from</w:t>
      </w:r>
      <w:r>
        <w:rPr>
          <w:spacing w:val="-14"/>
        </w:rPr>
        <w:t> </w:t>
      </w:r>
      <w:r>
        <w:rPr/>
        <w:t>the</w:t>
      </w:r>
      <w:r>
        <w:rPr>
          <w:spacing w:val="-15"/>
        </w:rPr>
        <w:t> </w:t>
      </w:r>
      <w:r>
        <w:rPr/>
        <w:t>lease</w:t>
      </w:r>
      <w:r>
        <w:rPr>
          <w:spacing w:val="-13"/>
        </w:rPr>
        <w:t> </w:t>
      </w:r>
      <w:r>
        <w:rPr/>
        <w:t>commencement</w:t>
      </w:r>
      <w:r>
        <w:rPr>
          <w:spacing w:val="-14"/>
        </w:rPr>
        <w:t> </w:t>
      </w:r>
      <w:r>
        <w:rPr/>
        <w:t>date</w:t>
      </w:r>
      <w:r>
        <w:rPr>
          <w:spacing w:val="-14"/>
        </w:rPr>
        <w:t> </w:t>
      </w:r>
      <w:r>
        <w:rPr/>
        <w:t>(for</w:t>
      </w:r>
      <w:r>
        <w:rPr>
          <w:spacing w:val="-14"/>
        </w:rPr>
        <w:t> </w:t>
      </w:r>
      <w:r>
        <w:rPr/>
        <w:t>future</w:t>
      </w:r>
      <w:r>
        <w:rPr>
          <w:spacing w:val="-14"/>
        </w:rPr>
        <w:t> </w:t>
      </w:r>
      <w:r>
        <w:rPr/>
        <w:t>/</w:t>
      </w:r>
      <w:r>
        <w:rPr>
          <w:spacing w:val="-14"/>
        </w:rPr>
        <w:t> </w:t>
      </w:r>
      <w:r>
        <w:rPr/>
        <w:t>new</w:t>
      </w:r>
      <w:r>
        <w:rPr>
          <w:spacing w:val="-13"/>
        </w:rPr>
        <w:t> </w:t>
      </w:r>
      <w:r>
        <w:rPr/>
        <w:t>leases)</w:t>
      </w:r>
    </w:p>
    <w:p>
      <w:pPr>
        <w:spacing w:after="0" w:line="321" w:lineRule="auto"/>
        <w:jc w:val="both"/>
        <w:sectPr>
          <w:pgSz w:w="11910" w:h="16840"/>
          <w:pgMar w:header="919" w:footer="1149" w:top="1660" w:bottom="1340" w:left="600" w:right="600"/>
        </w:sectPr>
      </w:pPr>
    </w:p>
    <w:p>
      <w:pPr>
        <w:pStyle w:val="BodyText"/>
        <w:spacing w:before="1"/>
        <w:rPr>
          <w:sz w:val="12"/>
        </w:rPr>
      </w:pPr>
    </w:p>
    <w:p>
      <w:pPr>
        <w:pStyle w:val="ListParagraph"/>
        <w:numPr>
          <w:ilvl w:val="3"/>
          <w:numId w:val="45"/>
        </w:numPr>
        <w:tabs>
          <w:tab w:pos="985" w:val="left" w:leader="none"/>
        </w:tabs>
        <w:spacing w:line="240" w:lineRule="auto" w:before="106" w:after="0"/>
        <w:ind w:left="984" w:right="0" w:hanging="865"/>
        <w:jc w:val="left"/>
        <w:rPr>
          <w:i/>
          <w:sz w:val="20"/>
        </w:rPr>
      </w:pPr>
      <w:r>
        <w:rPr>
          <w:i/>
          <w:color w:val="008000"/>
          <w:sz w:val="20"/>
        </w:rPr>
        <w:t>Brokerage</w:t>
      </w:r>
    </w:p>
    <w:p>
      <w:pPr>
        <w:pStyle w:val="BodyText"/>
        <w:spacing w:line="321" w:lineRule="auto" w:before="76"/>
        <w:ind w:left="660" w:right="113"/>
        <w:jc w:val="both"/>
      </w:pPr>
      <w:r>
        <w:rPr/>
        <w:t>Based</w:t>
      </w:r>
      <w:r>
        <w:rPr>
          <w:spacing w:val="-11"/>
        </w:rPr>
        <w:t> </w:t>
      </w:r>
      <w:r>
        <w:rPr/>
        <w:t>on</w:t>
      </w:r>
      <w:r>
        <w:rPr>
          <w:spacing w:val="-11"/>
        </w:rPr>
        <w:t> </w:t>
      </w:r>
      <w:r>
        <w:rPr/>
        <w:t>prevalent</w:t>
      </w:r>
      <w:r>
        <w:rPr>
          <w:spacing w:val="-11"/>
        </w:rPr>
        <w:t> </w:t>
      </w:r>
      <w:r>
        <w:rPr/>
        <w:t>market</w:t>
      </w:r>
      <w:r>
        <w:rPr>
          <w:spacing w:val="-11"/>
        </w:rPr>
        <w:t> </w:t>
      </w:r>
      <w:r>
        <w:rPr/>
        <w:t>dynamics,</w:t>
      </w:r>
      <w:r>
        <w:rPr>
          <w:spacing w:val="-12"/>
        </w:rPr>
        <w:t> </w:t>
      </w:r>
      <w:r>
        <w:rPr/>
        <w:t>we</w:t>
      </w:r>
      <w:r>
        <w:rPr>
          <w:spacing w:val="-12"/>
        </w:rPr>
        <w:t> </w:t>
      </w:r>
      <w:r>
        <w:rPr/>
        <w:t>have</w:t>
      </w:r>
      <w:r>
        <w:rPr>
          <w:spacing w:val="-12"/>
        </w:rPr>
        <w:t> </w:t>
      </w:r>
      <w:r>
        <w:rPr/>
        <w:t>considered</w:t>
      </w:r>
      <w:r>
        <w:rPr>
          <w:spacing w:val="-10"/>
        </w:rPr>
        <w:t> </w:t>
      </w:r>
      <w:r>
        <w:rPr/>
        <w:t>brokerage</w:t>
      </w:r>
      <w:r>
        <w:rPr>
          <w:spacing w:val="-12"/>
        </w:rPr>
        <w:t> </w:t>
      </w:r>
      <w:r>
        <w:rPr/>
        <w:t>equivalent</w:t>
      </w:r>
      <w:r>
        <w:rPr>
          <w:spacing w:val="-11"/>
        </w:rPr>
        <w:t> </w:t>
      </w:r>
      <w:r>
        <w:rPr/>
        <w:t>to</w:t>
      </w:r>
      <w:r>
        <w:rPr>
          <w:spacing w:val="-6"/>
        </w:rPr>
        <w:t> </w:t>
      </w:r>
      <w:r>
        <w:rPr/>
        <w:t>2</w:t>
      </w:r>
      <w:r>
        <w:rPr>
          <w:spacing w:val="-9"/>
        </w:rPr>
        <w:t> </w:t>
      </w:r>
      <w:r>
        <w:rPr/>
        <w:t>months</w:t>
      </w:r>
      <w:r>
        <w:rPr>
          <w:spacing w:val="-10"/>
        </w:rPr>
        <w:t> </w:t>
      </w:r>
      <w:r>
        <w:rPr/>
        <w:t>of</w:t>
      </w:r>
      <w:r>
        <w:rPr>
          <w:spacing w:val="-11"/>
        </w:rPr>
        <w:t> </w:t>
      </w:r>
      <w:r>
        <w:rPr/>
        <w:t>rental income for future / new</w:t>
      </w:r>
      <w:r>
        <w:rPr>
          <w:spacing w:val="-18"/>
        </w:rPr>
        <w:t> </w:t>
      </w:r>
      <w:r>
        <w:rPr/>
        <w:t>leases</w:t>
      </w:r>
    </w:p>
    <w:p>
      <w:pPr>
        <w:pStyle w:val="BodyText"/>
        <w:spacing w:before="9"/>
        <w:rPr>
          <w:sz w:val="20"/>
        </w:rPr>
      </w:pPr>
    </w:p>
    <w:p>
      <w:pPr>
        <w:pStyle w:val="ListParagraph"/>
        <w:numPr>
          <w:ilvl w:val="2"/>
          <w:numId w:val="14"/>
        </w:numPr>
        <w:tabs>
          <w:tab w:pos="841" w:val="left" w:leader="none"/>
        </w:tabs>
        <w:spacing w:line="240" w:lineRule="auto" w:before="1" w:after="0"/>
        <w:ind w:left="840" w:right="0" w:hanging="721"/>
        <w:jc w:val="left"/>
        <w:rPr>
          <w:sz w:val="22"/>
        </w:rPr>
      </w:pPr>
      <w:bookmarkStart w:name="_bookmark125" w:id="246"/>
      <w:bookmarkEnd w:id="246"/>
      <w:r>
        <w:rPr/>
      </w:r>
      <w:bookmarkStart w:name="_bookmark125" w:id="247"/>
      <w:bookmarkEnd w:id="247"/>
      <w:r>
        <w:rPr>
          <w:color w:val="1F664D"/>
          <w:sz w:val="22"/>
        </w:rPr>
        <w:t>Ca</w:t>
      </w:r>
      <w:r>
        <w:rPr>
          <w:color w:val="1F664D"/>
          <w:sz w:val="22"/>
        </w:rPr>
        <w:t>pitalization</w:t>
      </w:r>
      <w:r>
        <w:rPr>
          <w:color w:val="1F664D"/>
          <w:spacing w:val="-2"/>
          <w:sz w:val="22"/>
        </w:rPr>
        <w:t> </w:t>
      </w:r>
      <w:r>
        <w:rPr>
          <w:color w:val="1F664D"/>
          <w:sz w:val="22"/>
        </w:rPr>
        <w:t>Rates</w:t>
      </w:r>
    </w:p>
    <w:p>
      <w:pPr>
        <w:pStyle w:val="BodyText"/>
        <w:spacing w:before="205"/>
        <w:ind w:left="751"/>
        <w:jc w:val="both"/>
      </w:pPr>
      <w:r>
        <w:rPr/>
        <w:t>As highlighted in section 3.3, the cap rate adopted for the office spaces are 8%.</w:t>
      </w:r>
    </w:p>
    <w:p>
      <w:pPr>
        <w:pStyle w:val="BodyText"/>
        <w:spacing w:before="2"/>
        <w:rPr>
          <w:sz w:val="28"/>
        </w:rPr>
      </w:pPr>
    </w:p>
    <w:p>
      <w:pPr>
        <w:pStyle w:val="ListParagraph"/>
        <w:numPr>
          <w:ilvl w:val="2"/>
          <w:numId w:val="14"/>
        </w:numPr>
        <w:tabs>
          <w:tab w:pos="841" w:val="left" w:leader="none"/>
        </w:tabs>
        <w:spacing w:line="240" w:lineRule="auto" w:before="1" w:after="0"/>
        <w:ind w:left="840" w:right="0" w:hanging="721"/>
        <w:jc w:val="left"/>
        <w:rPr>
          <w:sz w:val="22"/>
        </w:rPr>
      </w:pPr>
      <w:bookmarkStart w:name="_bookmark126" w:id="248"/>
      <w:bookmarkEnd w:id="248"/>
      <w:r>
        <w:rPr/>
      </w:r>
      <w:bookmarkStart w:name="_bookmark126" w:id="249"/>
      <w:bookmarkEnd w:id="249"/>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7"/>
        <w:ind w:left="751" w:right="115"/>
        <w:jc w:val="both"/>
      </w:pPr>
      <w:r>
        <w:rPr/>
        <w:t>For</w:t>
      </w:r>
      <w:r>
        <w:rPr>
          <w:spacing w:val="-40"/>
        </w:rPr>
        <w:t> </w:t>
      </w:r>
      <w:r>
        <w:rPr/>
        <w:t>discounting</w:t>
      </w:r>
      <w:r>
        <w:rPr>
          <w:spacing w:val="-39"/>
        </w:rPr>
        <w:t> </w:t>
      </w:r>
      <w:r>
        <w:rPr/>
        <w:t>the</w:t>
      </w:r>
      <w:r>
        <w:rPr>
          <w:spacing w:val="-40"/>
        </w:rPr>
        <w:t> </w:t>
      </w:r>
      <w:r>
        <w:rPr/>
        <w:t>cash</w:t>
      </w:r>
      <w:r>
        <w:rPr>
          <w:spacing w:val="-41"/>
        </w:rPr>
        <w:t> </w:t>
      </w:r>
      <w:r>
        <w:rPr/>
        <w:t>flows,</w:t>
      </w:r>
      <w:r>
        <w:rPr>
          <w:spacing w:val="-40"/>
        </w:rPr>
        <w:t> </w:t>
      </w:r>
      <w:r>
        <w:rPr/>
        <w:t>the</w:t>
      </w:r>
      <w:r>
        <w:rPr>
          <w:spacing w:val="-40"/>
        </w:rPr>
        <w:t> </w:t>
      </w:r>
      <w:r>
        <w:rPr/>
        <w:t>appropriate</w:t>
      </w:r>
      <w:r>
        <w:rPr>
          <w:spacing w:val="-41"/>
        </w:rPr>
        <w:t> </w:t>
      </w:r>
      <w:r>
        <w:rPr/>
        <w:t>discounting</w:t>
      </w:r>
      <w:r>
        <w:rPr>
          <w:spacing w:val="-39"/>
        </w:rPr>
        <w:t> </w:t>
      </w:r>
      <w:r>
        <w:rPr/>
        <w:t>rate</w:t>
      </w:r>
      <w:r>
        <w:rPr>
          <w:spacing w:val="-39"/>
        </w:rPr>
        <w:t> </w:t>
      </w:r>
      <w:r>
        <w:rPr/>
        <w:t>has</w:t>
      </w:r>
      <w:r>
        <w:rPr>
          <w:spacing w:val="-40"/>
        </w:rPr>
        <w:t> </w:t>
      </w:r>
      <w:r>
        <w:rPr/>
        <w:t>been</w:t>
      </w:r>
      <w:r>
        <w:rPr>
          <w:spacing w:val="-40"/>
        </w:rPr>
        <w:t> </w:t>
      </w:r>
      <w:r>
        <w:rPr/>
        <w:t>calculated</w:t>
      </w:r>
      <w:r>
        <w:rPr>
          <w:spacing w:val="-39"/>
        </w:rPr>
        <w:t> </w:t>
      </w:r>
      <w:r>
        <w:rPr/>
        <w:t>based</w:t>
      </w:r>
      <w:r>
        <w:rPr>
          <w:spacing w:val="-39"/>
        </w:rPr>
        <w:t> </w:t>
      </w:r>
      <w:r>
        <w:rPr/>
        <w:t>on</w:t>
      </w:r>
      <w:r>
        <w:rPr>
          <w:spacing w:val="-40"/>
        </w:rPr>
        <w:t> </w:t>
      </w:r>
      <w:r>
        <w:rPr/>
        <w:t>estimated ‘Weighted</w:t>
      </w:r>
      <w:r>
        <w:rPr>
          <w:spacing w:val="-33"/>
        </w:rPr>
        <w:t> </w:t>
      </w:r>
      <w:r>
        <w:rPr/>
        <w:t>Average</w:t>
      </w:r>
      <w:r>
        <w:rPr>
          <w:spacing w:val="-35"/>
        </w:rPr>
        <w:t> </w:t>
      </w:r>
      <w:r>
        <w:rPr/>
        <w:t>Cost</w:t>
      </w:r>
      <w:r>
        <w:rPr>
          <w:spacing w:val="-35"/>
        </w:rPr>
        <w:t> </w:t>
      </w:r>
      <w:r>
        <w:rPr/>
        <w:t>of</w:t>
      </w:r>
      <w:r>
        <w:rPr>
          <w:spacing w:val="-33"/>
        </w:rPr>
        <w:t> </w:t>
      </w:r>
      <w:r>
        <w:rPr/>
        <w:t>Capital’</w:t>
      </w:r>
      <w:r>
        <w:rPr>
          <w:spacing w:val="-34"/>
        </w:rPr>
        <w:t> </w:t>
      </w:r>
      <w:r>
        <w:rPr/>
        <w:t>(WACC).</w:t>
      </w:r>
      <w:r>
        <w:rPr>
          <w:spacing w:val="-30"/>
        </w:rPr>
        <w:t> </w:t>
      </w:r>
      <w:r>
        <w:rPr/>
        <w:t>The</w:t>
      </w:r>
      <w:r>
        <w:rPr>
          <w:spacing w:val="-36"/>
        </w:rPr>
        <w:t> </w:t>
      </w:r>
      <w:r>
        <w:rPr/>
        <w:t>detailed</w:t>
      </w:r>
      <w:r>
        <w:rPr>
          <w:spacing w:val="-32"/>
        </w:rPr>
        <w:t> </w:t>
      </w:r>
      <w:r>
        <w:rPr/>
        <w:t>analysis</w:t>
      </w:r>
      <w:r>
        <w:rPr>
          <w:spacing w:val="-33"/>
        </w:rPr>
        <w:t> </w:t>
      </w:r>
      <w:r>
        <w:rPr/>
        <w:t>of</w:t>
      </w:r>
      <w:r>
        <w:rPr>
          <w:spacing w:val="-32"/>
        </w:rPr>
        <w:t> </w:t>
      </w:r>
      <w:r>
        <w:rPr/>
        <w:t>WACC</w:t>
      </w:r>
      <w:r>
        <w:rPr>
          <w:spacing w:val="-33"/>
        </w:rPr>
        <w:t> </w:t>
      </w:r>
      <w:r>
        <w:rPr/>
        <w:t>rate</w:t>
      </w:r>
      <w:r>
        <w:rPr>
          <w:spacing w:val="-33"/>
        </w:rPr>
        <w:t> </w:t>
      </w:r>
      <w:r>
        <w:rPr/>
        <w:t>adopted</w:t>
      </w:r>
      <w:r>
        <w:rPr>
          <w:spacing w:val="-33"/>
        </w:rPr>
        <w:t> </w:t>
      </w:r>
      <w:r>
        <w:rPr/>
        <w:t>for</w:t>
      </w:r>
      <w:r>
        <w:rPr>
          <w:spacing w:val="-34"/>
        </w:rPr>
        <w:t> </w:t>
      </w:r>
      <w:r>
        <w:rPr/>
        <w:t>the</w:t>
      </w:r>
      <w:r>
        <w:rPr>
          <w:spacing w:val="-34"/>
        </w:rPr>
        <w:t> </w:t>
      </w:r>
      <w:r>
        <w:rPr/>
        <w:t>subject property has been detailed in Section 3.4 of this</w:t>
      </w:r>
      <w:r>
        <w:rPr>
          <w:spacing w:val="-46"/>
        </w:rPr>
        <w:t> </w:t>
      </w:r>
      <w:r>
        <w:rPr/>
        <w:t>report.</w:t>
      </w:r>
    </w:p>
    <w:p>
      <w:pPr>
        <w:pStyle w:val="BodyText"/>
        <w:rPr>
          <w:sz w:val="21"/>
        </w:rPr>
      </w:pPr>
    </w:p>
    <w:p>
      <w:pPr>
        <w:pStyle w:val="BodyText"/>
        <w:tabs>
          <w:tab w:pos="696" w:val="left" w:leader="none"/>
        </w:tabs>
        <w:ind w:left="120"/>
      </w:pPr>
      <w:bookmarkStart w:name="_bookmark127" w:id="250"/>
      <w:bookmarkEnd w:id="250"/>
      <w:r>
        <w:rPr/>
      </w:r>
      <w:r>
        <w:rPr>
          <w:color w:val="1F6647"/>
        </w:rPr>
        <w:t>7.5</w:t>
        <w:tab/>
        <w:t>Value of the Subject</w:t>
      </w:r>
      <w:r>
        <w:rPr>
          <w:color w:val="1F6647"/>
          <w:spacing w:val="-9"/>
        </w:rPr>
        <w:t> </w:t>
      </w:r>
      <w:r>
        <w:rPr>
          <w:color w:val="1F6647"/>
        </w:rPr>
        <w:t>Property</w:t>
      </w:r>
    </w:p>
    <w:p>
      <w:pPr>
        <w:pStyle w:val="BodyText"/>
        <w:spacing w:before="205"/>
        <w:ind w:left="751"/>
        <w:jc w:val="both"/>
      </w:pPr>
      <w:r>
        <w:rPr/>
        <w:t>Based on the above-mentioned analysis, the value of the subject property is estimated as follows:</w:t>
      </w:r>
    </w:p>
    <w:p>
      <w:pPr>
        <w:pStyle w:val="BodyText"/>
        <w:spacing w:before="1"/>
        <w:rPr>
          <w:sz w:val="29"/>
        </w:rPr>
      </w:pPr>
    </w:p>
    <w:tbl>
      <w:tblPr>
        <w:tblW w:w="0" w:type="auto"/>
        <w:jc w:val="left"/>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47"/>
        <w:gridCol w:w="2562"/>
        <w:gridCol w:w="1916"/>
        <w:gridCol w:w="2457"/>
      </w:tblGrid>
      <w:tr>
        <w:trPr>
          <w:trHeight w:val="347" w:hRule="atLeast"/>
        </w:trPr>
        <w:tc>
          <w:tcPr>
            <w:tcW w:w="3547" w:type="dxa"/>
            <w:tcBorders>
              <w:top w:val="single" w:sz="12" w:space="0" w:color="1F6B16"/>
              <w:bottom w:val="single" w:sz="6" w:space="0" w:color="69BD28"/>
            </w:tcBorders>
            <w:shd w:val="clear" w:color="auto" w:fill="006A4D"/>
          </w:tcPr>
          <w:p>
            <w:pPr>
              <w:pStyle w:val="TableParagraph"/>
              <w:spacing w:before="59"/>
              <w:ind w:left="981" w:right="1015"/>
              <w:rPr>
                <w:sz w:val="20"/>
              </w:rPr>
            </w:pPr>
            <w:r>
              <w:rPr>
                <w:color w:val="FFFFFF"/>
                <w:sz w:val="20"/>
              </w:rPr>
              <w:t>Component</w:t>
            </w:r>
          </w:p>
        </w:tc>
        <w:tc>
          <w:tcPr>
            <w:tcW w:w="2562" w:type="dxa"/>
            <w:tcBorders>
              <w:top w:val="single" w:sz="12" w:space="0" w:color="1F6B16"/>
              <w:bottom w:val="single" w:sz="6" w:space="0" w:color="69BD28"/>
            </w:tcBorders>
            <w:shd w:val="clear" w:color="auto" w:fill="006A4D"/>
          </w:tcPr>
          <w:p>
            <w:pPr>
              <w:pStyle w:val="TableParagraph"/>
              <w:spacing w:before="59"/>
              <w:ind w:left="1017" w:right="185"/>
              <w:rPr>
                <w:sz w:val="20"/>
              </w:rPr>
            </w:pPr>
            <w:r>
              <w:rPr>
                <w:color w:val="FFFFFF"/>
                <w:sz w:val="20"/>
              </w:rPr>
              <w:t>Value (INR Mn)</w:t>
            </w:r>
          </w:p>
        </w:tc>
        <w:tc>
          <w:tcPr>
            <w:tcW w:w="1916" w:type="dxa"/>
            <w:tcBorders>
              <w:top w:val="single" w:sz="12" w:space="0" w:color="1F6B16"/>
              <w:bottom w:val="single" w:sz="6" w:space="0" w:color="69BD28"/>
            </w:tcBorders>
            <w:shd w:val="clear" w:color="auto" w:fill="006A4D"/>
          </w:tcPr>
          <w:p>
            <w:pPr>
              <w:pStyle w:val="TableParagraph"/>
              <w:jc w:val="left"/>
              <w:rPr>
                <w:rFonts w:ascii="Times New Roman"/>
                <w:sz w:val="20"/>
              </w:rPr>
            </w:pPr>
          </w:p>
        </w:tc>
        <w:tc>
          <w:tcPr>
            <w:tcW w:w="2457" w:type="dxa"/>
            <w:tcBorders>
              <w:top w:val="single" w:sz="12" w:space="0" w:color="1F6B16"/>
              <w:bottom w:val="single" w:sz="6" w:space="0" w:color="69BD28"/>
            </w:tcBorders>
            <w:shd w:val="clear" w:color="auto" w:fill="006A4D"/>
          </w:tcPr>
          <w:p>
            <w:pPr>
              <w:pStyle w:val="TableParagraph"/>
              <w:spacing w:before="59"/>
              <w:ind w:left="359"/>
              <w:jc w:val="left"/>
              <w:rPr>
                <w:sz w:val="20"/>
              </w:rPr>
            </w:pPr>
            <w:r>
              <w:rPr>
                <w:color w:val="FFFFFF"/>
                <w:w w:val="110"/>
                <w:sz w:val="20"/>
              </w:rPr>
              <w:t>% Share</w:t>
            </w:r>
          </w:p>
        </w:tc>
      </w:tr>
      <w:tr>
        <w:trPr>
          <w:trHeight w:val="364" w:hRule="atLeast"/>
        </w:trPr>
        <w:tc>
          <w:tcPr>
            <w:tcW w:w="3547" w:type="dxa"/>
            <w:tcBorders>
              <w:top w:val="single" w:sz="6" w:space="0" w:color="69BD28"/>
            </w:tcBorders>
          </w:tcPr>
          <w:p>
            <w:pPr>
              <w:pStyle w:val="TableParagraph"/>
              <w:spacing w:before="78"/>
              <w:ind w:left="982" w:right="1015"/>
              <w:rPr>
                <w:sz w:val="18"/>
              </w:rPr>
            </w:pPr>
            <w:r>
              <w:rPr>
                <w:sz w:val="18"/>
              </w:rPr>
              <w:t>Operational Blocks</w:t>
            </w:r>
          </w:p>
        </w:tc>
        <w:tc>
          <w:tcPr>
            <w:tcW w:w="2562" w:type="dxa"/>
            <w:tcBorders>
              <w:top w:val="single" w:sz="6" w:space="0" w:color="69BD28"/>
            </w:tcBorders>
          </w:tcPr>
          <w:p>
            <w:pPr>
              <w:pStyle w:val="TableParagraph"/>
              <w:spacing w:before="78"/>
              <w:ind w:left="1017" w:right="184"/>
              <w:rPr>
                <w:sz w:val="18"/>
              </w:rPr>
            </w:pPr>
            <w:r>
              <w:rPr>
                <w:w w:val="110"/>
                <w:sz w:val="18"/>
              </w:rPr>
              <w:t>16,624</w:t>
            </w:r>
          </w:p>
        </w:tc>
        <w:tc>
          <w:tcPr>
            <w:tcW w:w="1916" w:type="dxa"/>
            <w:tcBorders>
              <w:top w:val="single" w:sz="6" w:space="0" w:color="69BD28"/>
            </w:tcBorders>
          </w:tcPr>
          <w:p>
            <w:pPr>
              <w:pStyle w:val="TableParagraph"/>
              <w:jc w:val="left"/>
              <w:rPr>
                <w:rFonts w:ascii="Times New Roman"/>
                <w:sz w:val="20"/>
              </w:rPr>
            </w:pPr>
          </w:p>
        </w:tc>
        <w:tc>
          <w:tcPr>
            <w:tcW w:w="2457" w:type="dxa"/>
            <w:tcBorders>
              <w:top w:val="single" w:sz="6" w:space="0" w:color="69BD28"/>
            </w:tcBorders>
          </w:tcPr>
          <w:p>
            <w:pPr>
              <w:pStyle w:val="TableParagraph"/>
              <w:spacing w:before="78"/>
              <w:ind w:left="407"/>
              <w:jc w:val="left"/>
              <w:rPr>
                <w:sz w:val="18"/>
              </w:rPr>
            </w:pPr>
            <w:r>
              <w:rPr>
                <w:w w:val="110"/>
                <w:sz w:val="18"/>
              </w:rPr>
              <w:t>100.0%</w:t>
            </w:r>
          </w:p>
        </w:tc>
      </w:tr>
      <w:tr>
        <w:trPr>
          <w:trHeight w:val="393" w:hRule="atLeast"/>
        </w:trPr>
        <w:tc>
          <w:tcPr>
            <w:tcW w:w="3547" w:type="dxa"/>
            <w:shd w:val="clear" w:color="auto" w:fill="69BD28"/>
          </w:tcPr>
          <w:p>
            <w:pPr>
              <w:pStyle w:val="TableParagraph"/>
              <w:spacing w:before="92"/>
              <w:ind w:left="981" w:right="1015"/>
              <w:rPr>
                <w:b/>
                <w:sz w:val="18"/>
              </w:rPr>
            </w:pPr>
            <w:r>
              <w:rPr>
                <w:b/>
                <w:color w:val="FFFFFF"/>
                <w:w w:val="110"/>
                <w:sz w:val="18"/>
              </w:rPr>
              <w:t>Embassy 247</w:t>
            </w:r>
          </w:p>
        </w:tc>
        <w:tc>
          <w:tcPr>
            <w:tcW w:w="2562" w:type="dxa"/>
            <w:shd w:val="clear" w:color="auto" w:fill="69BD28"/>
          </w:tcPr>
          <w:p>
            <w:pPr>
              <w:pStyle w:val="TableParagraph"/>
              <w:jc w:val="left"/>
              <w:rPr>
                <w:rFonts w:ascii="Times New Roman"/>
                <w:sz w:val="20"/>
              </w:rPr>
            </w:pPr>
          </w:p>
        </w:tc>
        <w:tc>
          <w:tcPr>
            <w:tcW w:w="1916" w:type="dxa"/>
            <w:shd w:val="clear" w:color="auto" w:fill="69BD28"/>
          </w:tcPr>
          <w:p>
            <w:pPr>
              <w:pStyle w:val="TableParagraph"/>
              <w:spacing w:before="92"/>
              <w:ind w:left="205"/>
              <w:jc w:val="left"/>
              <w:rPr>
                <w:b/>
                <w:sz w:val="18"/>
              </w:rPr>
            </w:pPr>
            <w:r>
              <w:rPr>
                <w:b/>
                <w:color w:val="FFFFFF"/>
                <w:w w:val="110"/>
                <w:sz w:val="18"/>
              </w:rPr>
              <w:t>INR 16,624 Mn</w:t>
            </w:r>
          </w:p>
        </w:tc>
        <w:tc>
          <w:tcPr>
            <w:tcW w:w="2457" w:type="dxa"/>
            <w:shd w:val="clear" w:color="auto" w:fill="69BD28"/>
          </w:tcPr>
          <w:p>
            <w:pPr>
              <w:pStyle w:val="TableParagraph"/>
              <w:jc w:val="left"/>
              <w:rPr>
                <w:rFonts w:ascii="Times New Roman"/>
                <w:sz w:val="20"/>
              </w:rPr>
            </w:pPr>
          </w:p>
        </w:tc>
      </w:tr>
    </w:tbl>
    <w:p>
      <w:pPr>
        <w:spacing w:after="0"/>
        <w:jc w:val="left"/>
        <w:rPr>
          <w:rFonts w:ascii="Times New Roman"/>
          <w:sz w:val="20"/>
        </w:rPr>
        <w:sectPr>
          <w:pgSz w:w="11910" w:h="16840"/>
          <w:pgMar w:header="919" w:footer="1149" w:top="1660" w:bottom="1340" w:left="600" w:right="600"/>
        </w:sectPr>
      </w:pPr>
    </w:p>
    <w:p>
      <w:pPr>
        <w:pStyle w:val="BodyText"/>
        <w:spacing w:before="7"/>
        <w:rPr>
          <w:sz w:val="9"/>
        </w:rPr>
      </w:pPr>
    </w:p>
    <w:p>
      <w:pPr>
        <w:pStyle w:val="Heading5"/>
        <w:numPr>
          <w:ilvl w:val="0"/>
          <w:numId w:val="14"/>
        </w:numPr>
        <w:tabs>
          <w:tab w:pos="552" w:val="left" w:leader="none"/>
          <w:tab w:pos="553" w:val="left" w:leader="none"/>
        </w:tabs>
        <w:spacing w:line="240" w:lineRule="auto" w:before="106" w:after="0"/>
        <w:ind w:left="552" w:right="0" w:hanging="433"/>
        <w:jc w:val="left"/>
        <w:rPr>
          <w:rFonts w:ascii="Arial"/>
        </w:rPr>
      </w:pPr>
      <w:bookmarkStart w:name="_bookmark128" w:id="251"/>
      <w:bookmarkEnd w:id="251"/>
      <w:r>
        <w:rPr>
          <w:b w:val="0"/>
        </w:rPr>
      </w:r>
      <w:bookmarkStart w:name="_bookmark128" w:id="252"/>
      <w:bookmarkEnd w:id="252"/>
      <w:r>
        <w:rPr>
          <w:rFonts w:ascii="Arial"/>
          <w:color w:val="1F664D"/>
        </w:rPr>
        <w:t>F</w:t>
      </w:r>
      <w:r>
        <w:rPr>
          <w:rFonts w:ascii="Arial"/>
          <w:color w:val="1F664D"/>
        </w:rPr>
        <w:t>irst International Financial Centre</w:t>
      </w:r>
      <w:r>
        <w:rPr>
          <w:rFonts w:ascii="Arial"/>
          <w:color w:val="1F664D"/>
          <w:spacing w:val="20"/>
        </w:rPr>
        <w:t> </w:t>
      </w:r>
      <w:r>
        <w:rPr>
          <w:rFonts w:ascii="Arial"/>
          <w:color w:val="1F664D"/>
        </w:rPr>
        <w:t>(FIFC)</w:t>
      </w:r>
    </w:p>
    <w:p>
      <w:pPr>
        <w:pStyle w:val="BodyText"/>
        <w:spacing w:before="8"/>
        <w:rPr>
          <w:rFonts w:ascii="Arial"/>
          <w:b/>
          <w:sz w:val="28"/>
        </w:rPr>
      </w:pPr>
    </w:p>
    <w:p>
      <w:pPr>
        <w:pStyle w:val="ListParagraph"/>
        <w:numPr>
          <w:ilvl w:val="1"/>
          <w:numId w:val="14"/>
        </w:numPr>
        <w:tabs>
          <w:tab w:pos="696" w:val="left" w:leader="none"/>
          <w:tab w:pos="697" w:val="left" w:leader="none"/>
        </w:tabs>
        <w:spacing w:line="240" w:lineRule="auto" w:before="1" w:after="0"/>
        <w:ind w:left="696" w:right="0" w:hanging="577"/>
        <w:jc w:val="left"/>
        <w:rPr>
          <w:color w:val="1F6647"/>
          <w:sz w:val="22"/>
        </w:rPr>
      </w:pPr>
      <w:bookmarkStart w:name="_bookmark129" w:id="253"/>
      <w:bookmarkEnd w:id="253"/>
      <w:r>
        <w:rPr/>
      </w:r>
      <w:bookmarkStart w:name="_bookmark129" w:id="254"/>
      <w:bookmarkEnd w:id="254"/>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5"/>
        <w:rPr>
          <w:sz w:val="17"/>
        </w:rPr>
      </w:pPr>
    </w:p>
    <w:tbl>
      <w:tblPr>
        <w:tblW w:w="0" w:type="auto"/>
        <w:jc w:val="left"/>
        <w:tblInd w:w="3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09"/>
        <w:gridCol w:w="8087"/>
      </w:tblGrid>
      <w:tr>
        <w:trPr>
          <w:trHeight w:val="251" w:hRule="atLeast"/>
        </w:trPr>
        <w:tc>
          <w:tcPr>
            <w:tcW w:w="10096" w:type="dxa"/>
            <w:gridSpan w:val="2"/>
            <w:tcBorders>
              <w:top w:val="single" w:sz="12" w:space="0" w:color="1F6B16"/>
              <w:bottom w:val="single" w:sz="6" w:space="0" w:color="69BD28"/>
            </w:tcBorders>
            <w:shd w:val="clear" w:color="auto" w:fill="006A4D"/>
          </w:tcPr>
          <w:p>
            <w:pPr>
              <w:pStyle w:val="TableParagraph"/>
              <w:spacing w:line="209" w:lineRule="exact" w:before="22"/>
              <w:ind w:left="4286" w:right="4278"/>
              <w:rPr>
                <w:b/>
                <w:sz w:val="18"/>
              </w:rPr>
            </w:pPr>
            <w:r>
              <w:rPr>
                <w:b/>
                <w:color w:val="FFFFFF"/>
                <w:w w:val="105"/>
                <w:sz w:val="18"/>
              </w:rPr>
              <w:t>Brief Description</w:t>
            </w:r>
          </w:p>
        </w:tc>
      </w:tr>
      <w:tr>
        <w:trPr>
          <w:trHeight w:val="253" w:hRule="atLeast"/>
        </w:trPr>
        <w:tc>
          <w:tcPr>
            <w:tcW w:w="2009" w:type="dxa"/>
            <w:tcBorders>
              <w:top w:val="single" w:sz="6" w:space="0" w:color="69BD28"/>
              <w:bottom w:val="single" w:sz="6" w:space="0" w:color="69BD28"/>
            </w:tcBorders>
            <w:shd w:val="clear" w:color="auto" w:fill="006A4D"/>
          </w:tcPr>
          <w:p>
            <w:pPr>
              <w:pStyle w:val="TableParagraph"/>
              <w:spacing w:line="223" w:lineRule="exact" w:before="11"/>
              <w:ind w:left="286" w:right="289"/>
              <w:rPr>
                <w:sz w:val="20"/>
              </w:rPr>
            </w:pPr>
            <w:r>
              <w:rPr>
                <w:color w:val="FFFFFF"/>
                <w:sz w:val="20"/>
              </w:rPr>
              <w:t>Particulars</w:t>
            </w:r>
          </w:p>
        </w:tc>
        <w:tc>
          <w:tcPr>
            <w:tcW w:w="8087" w:type="dxa"/>
            <w:tcBorders>
              <w:top w:val="single" w:sz="6" w:space="0" w:color="69BD28"/>
              <w:bottom w:val="single" w:sz="6" w:space="0" w:color="69BD28"/>
            </w:tcBorders>
            <w:shd w:val="clear" w:color="auto" w:fill="006A4D"/>
          </w:tcPr>
          <w:p>
            <w:pPr>
              <w:pStyle w:val="TableParagraph"/>
              <w:spacing w:before="22"/>
              <w:ind w:left="1201" w:right="1214"/>
              <w:rPr>
                <w:b/>
                <w:sz w:val="18"/>
              </w:rPr>
            </w:pPr>
            <w:r>
              <w:rPr>
                <w:b/>
                <w:color w:val="FFFFFF"/>
                <w:w w:val="110"/>
                <w:sz w:val="18"/>
              </w:rPr>
              <w:t>Details</w:t>
            </w:r>
          </w:p>
        </w:tc>
      </w:tr>
      <w:tr>
        <w:trPr>
          <w:trHeight w:val="637" w:hRule="atLeast"/>
        </w:trPr>
        <w:tc>
          <w:tcPr>
            <w:tcW w:w="2009" w:type="dxa"/>
            <w:shd w:val="clear" w:color="auto" w:fill="69BD28"/>
          </w:tcPr>
          <w:p>
            <w:pPr>
              <w:pStyle w:val="TableParagraph"/>
              <w:spacing w:before="5"/>
              <w:jc w:val="left"/>
              <w:rPr>
                <w:sz w:val="18"/>
              </w:rPr>
            </w:pPr>
          </w:p>
          <w:p>
            <w:pPr>
              <w:pStyle w:val="TableParagraph"/>
              <w:ind w:left="288" w:right="289"/>
              <w:rPr>
                <w:b/>
                <w:sz w:val="18"/>
              </w:rPr>
            </w:pPr>
            <w:r>
              <w:rPr>
                <w:b/>
                <w:color w:val="FFFFFF"/>
                <w:w w:val="110"/>
                <w:sz w:val="18"/>
              </w:rPr>
              <w:t>Property Name</w:t>
            </w:r>
          </w:p>
        </w:tc>
        <w:tc>
          <w:tcPr>
            <w:tcW w:w="8087" w:type="dxa"/>
            <w:tcBorders>
              <w:top w:val="single" w:sz="6" w:space="0" w:color="69BD28"/>
              <w:bottom w:val="single" w:sz="6" w:space="0" w:color="69BD28"/>
            </w:tcBorders>
          </w:tcPr>
          <w:p>
            <w:pPr>
              <w:pStyle w:val="TableParagraph"/>
              <w:spacing w:before="5"/>
              <w:jc w:val="left"/>
              <w:rPr>
                <w:sz w:val="18"/>
              </w:rPr>
            </w:pPr>
          </w:p>
          <w:p>
            <w:pPr>
              <w:pStyle w:val="TableParagraph"/>
              <w:ind w:left="1195" w:right="1214"/>
              <w:rPr>
                <w:sz w:val="18"/>
              </w:rPr>
            </w:pPr>
            <w:r>
              <w:rPr>
                <w:sz w:val="18"/>
              </w:rPr>
              <w:t>First International Financial Centre (FIFC)</w:t>
            </w:r>
          </w:p>
        </w:tc>
      </w:tr>
      <w:tr>
        <w:trPr>
          <w:trHeight w:val="563" w:hRule="atLeast"/>
        </w:trPr>
        <w:tc>
          <w:tcPr>
            <w:tcW w:w="2009" w:type="dxa"/>
            <w:shd w:val="clear" w:color="auto" w:fill="69BD28"/>
          </w:tcPr>
          <w:p>
            <w:pPr>
              <w:pStyle w:val="TableParagraph"/>
              <w:spacing w:before="178"/>
              <w:ind w:left="288" w:right="289"/>
              <w:rPr>
                <w:b/>
                <w:sz w:val="18"/>
              </w:rPr>
            </w:pPr>
            <w:r>
              <w:rPr>
                <w:b/>
                <w:color w:val="FFFFFF"/>
                <w:w w:val="110"/>
                <w:sz w:val="18"/>
              </w:rPr>
              <w:t>Address</w:t>
            </w:r>
          </w:p>
        </w:tc>
        <w:tc>
          <w:tcPr>
            <w:tcW w:w="8087" w:type="dxa"/>
            <w:tcBorders>
              <w:top w:val="single" w:sz="6" w:space="0" w:color="69BD28"/>
              <w:bottom w:val="single" w:sz="6" w:space="0" w:color="69BD28"/>
            </w:tcBorders>
          </w:tcPr>
          <w:p>
            <w:pPr>
              <w:pStyle w:val="TableParagraph"/>
              <w:spacing w:line="247" w:lineRule="auto" w:before="70"/>
              <w:ind w:left="2801" w:right="40" w:hanging="2137"/>
              <w:jc w:val="left"/>
              <w:rPr>
                <w:sz w:val="18"/>
              </w:rPr>
            </w:pPr>
            <w:r>
              <w:rPr>
                <w:sz w:val="18"/>
              </w:rPr>
              <w:t>Plot no. C-54 &amp; C-55, G-Block, Bandra Kurla Complex Road, Bandra Kurla Complex, Mumbai, Maharashtra-400051</w:t>
            </w:r>
          </w:p>
        </w:tc>
      </w:tr>
      <w:tr>
        <w:trPr>
          <w:trHeight w:val="520" w:hRule="atLeast"/>
        </w:trPr>
        <w:tc>
          <w:tcPr>
            <w:tcW w:w="2009" w:type="dxa"/>
            <w:shd w:val="clear" w:color="auto" w:fill="69BD28"/>
          </w:tcPr>
          <w:p>
            <w:pPr>
              <w:pStyle w:val="TableParagraph"/>
              <w:spacing w:before="157"/>
              <w:ind w:left="286" w:right="289"/>
              <w:rPr>
                <w:b/>
                <w:sz w:val="18"/>
              </w:rPr>
            </w:pPr>
            <w:r>
              <w:rPr>
                <w:b/>
                <w:color w:val="FFFFFF"/>
                <w:w w:val="110"/>
                <w:sz w:val="18"/>
              </w:rPr>
              <w:t>Land Area</w:t>
            </w:r>
          </w:p>
        </w:tc>
        <w:tc>
          <w:tcPr>
            <w:tcW w:w="8087" w:type="dxa"/>
            <w:tcBorders>
              <w:top w:val="single" w:sz="6" w:space="0" w:color="69BD28"/>
              <w:bottom w:val="single" w:sz="6" w:space="0" w:color="69BD28"/>
            </w:tcBorders>
          </w:tcPr>
          <w:p>
            <w:pPr>
              <w:pStyle w:val="TableParagraph"/>
              <w:spacing w:before="157"/>
              <w:ind w:left="1199" w:right="1214"/>
              <w:rPr>
                <w:sz w:val="18"/>
              </w:rPr>
            </w:pPr>
            <w:r>
              <w:rPr>
                <w:sz w:val="18"/>
              </w:rPr>
              <w:t>Total 1.99 Acres</w:t>
            </w:r>
          </w:p>
        </w:tc>
      </w:tr>
      <w:tr>
        <w:trPr>
          <w:trHeight w:val="611" w:hRule="atLeast"/>
        </w:trPr>
        <w:tc>
          <w:tcPr>
            <w:tcW w:w="2009" w:type="dxa"/>
            <w:shd w:val="clear" w:color="auto" w:fill="69BD28"/>
          </w:tcPr>
          <w:p>
            <w:pPr>
              <w:pStyle w:val="TableParagraph"/>
              <w:spacing w:before="5"/>
              <w:jc w:val="left"/>
              <w:rPr>
                <w:sz w:val="17"/>
              </w:rPr>
            </w:pPr>
          </w:p>
          <w:p>
            <w:pPr>
              <w:pStyle w:val="TableParagraph"/>
              <w:ind w:left="285" w:right="289"/>
              <w:rPr>
                <w:b/>
                <w:sz w:val="18"/>
              </w:rPr>
            </w:pPr>
            <w:r>
              <w:rPr>
                <w:b/>
                <w:color w:val="FFFFFF"/>
                <w:w w:val="110"/>
                <w:sz w:val="18"/>
              </w:rPr>
              <w:t>Leasable Area</w:t>
            </w:r>
          </w:p>
        </w:tc>
        <w:tc>
          <w:tcPr>
            <w:tcW w:w="8087" w:type="dxa"/>
            <w:tcBorders>
              <w:top w:val="single" w:sz="6" w:space="0" w:color="69BD28"/>
              <w:bottom w:val="single" w:sz="6" w:space="0" w:color="69BD28"/>
            </w:tcBorders>
          </w:tcPr>
          <w:p>
            <w:pPr>
              <w:pStyle w:val="TableParagraph"/>
              <w:spacing w:before="94"/>
              <w:ind w:left="1199" w:right="1214"/>
              <w:rPr>
                <w:sz w:val="18"/>
              </w:rPr>
            </w:pPr>
            <w:r>
              <w:rPr>
                <w:w w:val="105"/>
                <w:sz w:val="18"/>
              </w:rPr>
              <w:t>Total Operational Area* – 658,390 sf</w:t>
            </w:r>
          </w:p>
          <w:p>
            <w:pPr>
              <w:pStyle w:val="TableParagraph"/>
              <w:spacing w:before="7"/>
              <w:ind w:left="1202" w:right="1214"/>
              <w:rPr>
                <w:sz w:val="18"/>
              </w:rPr>
            </w:pPr>
            <w:r>
              <w:rPr>
                <w:sz w:val="18"/>
              </w:rPr>
              <w:t>Total Leasable area (under the purview of this valuation) </w:t>
            </w:r>
            <w:r>
              <w:rPr>
                <w:w w:val="105"/>
                <w:sz w:val="18"/>
              </w:rPr>
              <w:t>– </w:t>
            </w:r>
            <w:r>
              <w:rPr>
                <w:sz w:val="18"/>
              </w:rPr>
              <w:t>360,947 sf</w:t>
            </w:r>
          </w:p>
        </w:tc>
      </w:tr>
    </w:tbl>
    <w:p>
      <w:pPr>
        <w:spacing w:before="49"/>
        <w:ind w:left="682" w:right="0" w:firstLine="0"/>
        <w:jc w:val="left"/>
        <w:rPr>
          <w:i/>
          <w:sz w:val="16"/>
        </w:rPr>
      </w:pPr>
      <w:r>
        <w:rPr>
          <w:i/>
          <w:sz w:val="16"/>
        </w:rPr>
        <w:t>Source: Architect Certificate, Title Report, MMRDA Lease Deed; *denotes the total operational area of the subject development</w:t>
      </w:r>
    </w:p>
    <w:p>
      <w:pPr>
        <w:pStyle w:val="ListParagraph"/>
        <w:numPr>
          <w:ilvl w:val="2"/>
          <w:numId w:val="14"/>
        </w:numPr>
        <w:tabs>
          <w:tab w:pos="907" w:val="left" w:leader="none"/>
          <w:tab w:pos="908" w:val="left" w:leader="none"/>
        </w:tabs>
        <w:spacing w:line="240" w:lineRule="auto" w:before="122" w:after="0"/>
        <w:ind w:left="907" w:right="0" w:hanging="788"/>
        <w:jc w:val="left"/>
        <w:rPr>
          <w:sz w:val="22"/>
        </w:rPr>
      </w:pPr>
      <w:bookmarkStart w:name="_bookmark130" w:id="255"/>
      <w:bookmarkEnd w:id="255"/>
      <w:r>
        <w:rPr>
          <w:color w:val="1F664D"/>
          <w:sz w:val="22"/>
        </w:rPr>
        <w:t>S</w:t>
      </w:r>
      <w:r>
        <w:rPr>
          <w:color w:val="1F664D"/>
          <w:sz w:val="22"/>
        </w:rPr>
        <w:t>ite</w:t>
      </w:r>
      <w:r>
        <w:rPr>
          <w:color w:val="1F664D"/>
          <w:spacing w:val="-3"/>
          <w:sz w:val="22"/>
        </w:rPr>
        <w:t> </w:t>
      </w:r>
      <w:r>
        <w:rPr>
          <w:color w:val="1F664D"/>
          <w:sz w:val="22"/>
        </w:rPr>
        <w:t>Details</w:t>
      </w:r>
    </w:p>
    <w:p>
      <w:pPr>
        <w:pStyle w:val="BodyText"/>
        <w:spacing w:before="3"/>
        <w:rPr>
          <w:sz w:val="28"/>
        </w:rPr>
      </w:pPr>
    </w:p>
    <w:p>
      <w:pPr>
        <w:pStyle w:val="BodyText"/>
        <w:tabs>
          <w:tab w:pos="2477" w:val="left" w:leader="none"/>
        </w:tabs>
        <w:spacing w:line="321" w:lineRule="auto"/>
        <w:ind w:left="2477" w:right="220" w:hanging="1692"/>
        <w:jc w:val="both"/>
      </w:pPr>
      <w:r>
        <w:rPr/>
        <w:t>Situation:</w:t>
        <w:tab/>
        <w:t>‘First International Financial Centre’ (FIFC) is an operational Grade-A city centre office</w:t>
      </w:r>
      <w:r>
        <w:rPr>
          <w:spacing w:val="-12"/>
        </w:rPr>
        <w:t> </w:t>
      </w:r>
      <w:r>
        <w:rPr/>
        <w:t>located</w:t>
      </w:r>
      <w:r>
        <w:rPr>
          <w:spacing w:val="-10"/>
        </w:rPr>
        <w:t> </w:t>
      </w:r>
      <w:r>
        <w:rPr/>
        <w:t>along</w:t>
      </w:r>
      <w:r>
        <w:rPr>
          <w:spacing w:val="-10"/>
        </w:rPr>
        <w:t> </w:t>
      </w:r>
      <w:r>
        <w:rPr/>
        <w:t>Bandra</w:t>
      </w:r>
      <w:r>
        <w:rPr>
          <w:spacing w:val="-11"/>
        </w:rPr>
        <w:t> </w:t>
      </w:r>
      <w:r>
        <w:rPr/>
        <w:t>Kurla</w:t>
      </w:r>
      <w:r>
        <w:rPr>
          <w:spacing w:val="-12"/>
        </w:rPr>
        <w:t> </w:t>
      </w:r>
      <w:r>
        <w:rPr/>
        <w:t>Complex</w:t>
      </w:r>
      <w:r>
        <w:rPr>
          <w:spacing w:val="-10"/>
        </w:rPr>
        <w:t> </w:t>
      </w:r>
      <w:r>
        <w:rPr/>
        <w:t>Road,</w:t>
      </w:r>
      <w:r>
        <w:rPr>
          <w:spacing w:val="-11"/>
        </w:rPr>
        <w:t> </w:t>
      </w:r>
      <w:r>
        <w:rPr/>
        <w:t>Bandra</w:t>
      </w:r>
      <w:r>
        <w:rPr>
          <w:spacing w:val="-12"/>
        </w:rPr>
        <w:t> </w:t>
      </w:r>
      <w:r>
        <w:rPr/>
        <w:t>Kurla</w:t>
      </w:r>
      <w:r>
        <w:rPr>
          <w:spacing w:val="-12"/>
        </w:rPr>
        <w:t> </w:t>
      </w:r>
      <w:r>
        <w:rPr/>
        <w:t>Complex,</w:t>
      </w:r>
      <w:r>
        <w:rPr>
          <w:spacing w:val="-13"/>
        </w:rPr>
        <w:t> </w:t>
      </w:r>
      <w:r>
        <w:rPr/>
        <w:t>Mumbai, Maharashtra</w:t>
      </w:r>
      <w:r>
        <w:rPr>
          <w:spacing w:val="-5"/>
        </w:rPr>
        <w:t> </w:t>
      </w:r>
      <w:r>
        <w:rPr>
          <w:w w:val="105"/>
        </w:rPr>
        <w:t>–</w:t>
      </w:r>
      <w:r>
        <w:rPr>
          <w:spacing w:val="-7"/>
          <w:w w:val="105"/>
        </w:rPr>
        <w:t> </w:t>
      </w:r>
      <w:r>
        <w:rPr/>
        <w:t>400051.</w:t>
      </w:r>
      <w:r>
        <w:rPr>
          <w:spacing w:val="-2"/>
        </w:rPr>
        <w:t> </w:t>
      </w:r>
      <w:r>
        <w:rPr/>
        <w:t>FIFC</w:t>
      </w:r>
      <w:r>
        <w:rPr>
          <w:spacing w:val="-4"/>
        </w:rPr>
        <w:t> </w:t>
      </w:r>
      <w:r>
        <w:rPr/>
        <w:t>is</w:t>
      </w:r>
      <w:r>
        <w:rPr>
          <w:spacing w:val="-4"/>
        </w:rPr>
        <w:t> </w:t>
      </w:r>
      <w:r>
        <w:rPr/>
        <w:t>a</w:t>
      </w:r>
      <w:r>
        <w:rPr>
          <w:spacing w:val="-7"/>
        </w:rPr>
        <w:t> </w:t>
      </w:r>
      <w:r>
        <w:rPr/>
        <w:t>sought-after</w:t>
      </w:r>
      <w:r>
        <w:rPr>
          <w:spacing w:val="-5"/>
        </w:rPr>
        <w:t> </w:t>
      </w:r>
      <w:r>
        <w:rPr/>
        <w:t>front-office</w:t>
      </w:r>
      <w:r>
        <w:rPr>
          <w:spacing w:val="-5"/>
        </w:rPr>
        <w:t> </w:t>
      </w:r>
      <w:r>
        <w:rPr/>
        <w:t>development</w:t>
      </w:r>
      <w:r>
        <w:rPr>
          <w:spacing w:val="-3"/>
        </w:rPr>
        <w:t> </w:t>
      </w:r>
      <w:r>
        <w:rPr/>
        <w:t>in</w:t>
      </w:r>
      <w:r>
        <w:rPr>
          <w:spacing w:val="-5"/>
        </w:rPr>
        <w:t> </w:t>
      </w:r>
      <w:r>
        <w:rPr/>
        <w:t>the</w:t>
      </w:r>
      <w:r>
        <w:rPr>
          <w:spacing w:val="-5"/>
        </w:rPr>
        <w:t> </w:t>
      </w:r>
      <w:r>
        <w:rPr/>
        <w:t>BKC sub-market given its superior design, high quality specifications, institutional management,</w:t>
      </w:r>
      <w:r>
        <w:rPr>
          <w:spacing w:val="-47"/>
        </w:rPr>
        <w:t> </w:t>
      </w:r>
      <w:r>
        <w:rPr/>
        <w:t>marquee</w:t>
      </w:r>
      <w:r>
        <w:rPr>
          <w:spacing w:val="-47"/>
        </w:rPr>
        <w:t> </w:t>
      </w:r>
      <w:r>
        <w:rPr/>
        <w:t>occupants,</w:t>
      </w:r>
      <w:r>
        <w:rPr>
          <w:spacing w:val="-47"/>
        </w:rPr>
        <w:t> </w:t>
      </w:r>
      <w:r>
        <w:rPr/>
        <w:t>efficient</w:t>
      </w:r>
      <w:r>
        <w:rPr>
          <w:spacing w:val="-47"/>
        </w:rPr>
        <w:t> </w:t>
      </w:r>
      <w:r>
        <w:rPr/>
        <w:t>floor</w:t>
      </w:r>
      <w:r>
        <w:rPr>
          <w:spacing w:val="-47"/>
        </w:rPr>
        <w:t> </w:t>
      </w:r>
      <w:r>
        <w:rPr/>
        <w:t>plate</w:t>
      </w:r>
      <w:r>
        <w:rPr>
          <w:spacing w:val="-47"/>
        </w:rPr>
        <w:t> </w:t>
      </w:r>
      <w:r>
        <w:rPr/>
        <w:t>and</w:t>
      </w:r>
      <w:r>
        <w:rPr>
          <w:spacing w:val="-47"/>
        </w:rPr>
        <w:t> </w:t>
      </w:r>
      <w:r>
        <w:rPr/>
        <w:t>availability</w:t>
      </w:r>
      <w:r>
        <w:rPr>
          <w:spacing w:val="-47"/>
        </w:rPr>
        <w:t> </w:t>
      </w:r>
      <w:r>
        <w:rPr/>
        <w:t>of</w:t>
      </w:r>
      <w:r>
        <w:rPr>
          <w:spacing w:val="-46"/>
        </w:rPr>
        <w:t> </w:t>
      </w:r>
      <w:r>
        <w:rPr/>
        <w:t>contiguous stacks and renowned F&amp;B</w:t>
      </w:r>
      <w:r>
        <w:rPr>
          <w:spacing w:val="-10"/>
        </w:rPr>
        <w:t> </w:t>
      </w:r>
      <w:r>
        <w:rPr/>
        <w:t>options.</w:t>
      </w:r>
    </w:p>
    <w:p>
      <w:pPr>
        <w:pStyle w:val="BodyText"/>
        <w:spacing w:before="11"/>
        <w:rPr>
          <w:sz w:val="20"/>
        </w:rPr>
      </w:pPr>
    </w:p>
    <w:p>
      <w:pPr>
        <w:pStyle w:val="BodyText"/>
        <w:tabs>
          <w:tab w:pos="2477" w:val="left" w:leader="none"/>
        </w:tabs>
        <w:spacing w:line="321" w:lineRule="auto"/>
        <w:ind w:left="2477" w:right="221" w:hanging="1692"/>
        <w:jc w:val="both"/>
      </w:pPr>
      <w:r>
        <w:rPr/>
        <w:t>Location:</w:t>
        <w:tab/>
        <w:t>The subject property is located in Bandra Kurla Complex (part of ABD) which has emerged as one of the most prominent corporate destinations today due to the presence</w:t>
      </w:r>
      <w:r>
        <w:rPr>
          <w:spacing w:val="-39"/>
        </w:rPr>
        <w:t> </w:t>
      </w:r>
      <w:r>
        <w:rPr/>
        <w:t>of</w:t>
      </w:r>
      <w:r>
        <w:rPr>
          <w:spacing w:val="-38"/>
        </w:rPr>
        <w:t> </w:t>
      </w:r>
      <w:r>
        <w:rPr/>
        <w:t>major</w:t>
      </w:r>
      <w:r>
        <w:rPr>
          <w:spacing w:val="-39"/>
        </w:rPr>
        <w:t> </w:t>
      </w:r>
      <w:r>
        <w:rPr/>
        <w:t>financial</w:t>
      </w:r>
      <w:r>
        <w:rPr>
          <w:spacing w:val="-38"/>
        </w:rPr>
        <w:t> </w:t>
      </w:r>
      <w:r>
        <w:rPr/>
        <w:t>institutions,</w:t>
      </w:r>
      <w:r>
        <w:rPr>
          <w:spacing w:val="-39"/>
        </w:rPr>
        <w:t> </w:t>
      </w:r>
      <w:r>
        <w:rPr/>
        <w:t>Non-banking</w:t>
      </w:r>
      <w:r>
        <w:rPr>
          <w:spacing w:val="-38"/>
        </w:rPr>
        <w:t> </w:t>
      </w:r>
      <w:r>
        <w:rPr/>
        <w:t>financial</w:t>
      </w:r>
      <w:r>
        <w:rPr>
          <w:spacing w:val="-39"/>
        </w:rPr>
        <w:t> </w:t>
      </w:r>
      <w:r>
        <w:rPr/>
        <w:t>corporations</w:t>
      </w:r>
      <w:r>
        <w:rPr>
          <w:spacing w:val="-37"/>
        </w:rPr>
        <w:t> </w:t>
      </w:r>
      <w:r>
        <w:rPr/>
        <w:t>(NBFC), major government run or aided corporate entities (NSE, IL&amp;FS and private</w:t>
      </w:r>
      <w:r>
        <w:rPr>
          <w:spacing w:val="-38"/>
        </w:rPr>
        <w:t> </w:t>
      </w:r>
      <w:r>
        <w:rPr/>
        <w:t>equity funds</w:t>
      </w:r>
      <w:r>
        <w:rPr>
          <w:spacing w:val="-6"/>
        </w:rPr>
        <w:t> </w:t>
      </w:r>
      <w:r>
        <w:rPr/>
        <w:t>etc.).</w:t>
      </w:r>
      <w:r>
        <w:rPr>
          <w:spacing w:val="-7"/>
        </w:rPr>
        <w:t> </w:t>
      </w:r>
      <w:r>
        <w:rPr/>
        <w:t>BKC,</w:t>
      </w:r>
      <w:r>
        <w:rPr>
          <w:spacing w:val="-6"/>
        </w:rPr>
        <w:t> </w:t>
      </w:r>
      <w:r>
        <w:rPr/>
        <w:t>a</w:t>
      </w:r>
      <w:r>
        <w:rPr>
          <w:spacing w:val="-7"/>
        </w:rPr>
        <w:t> </w:t>
      </w:r>
      <w:r>
        <w:rPr/>
        <w:t>planned</w:t>
      </w:r>
      <w:r>
        <w:rPr>
          <w:spacing w:val="-6"/>
        </w:rPr>
        <w:t> </w:t>
      </w:r>
      <w:r>
        <w:rPr/>
        <w:t>commercial</w:t>
      </w:r>
      <w:r>
        <w:rPr>
          <w:spacing w:val="-5"/>
        </w:rPr>
        <w:t> </w:t>
      </w:r>
      <w:r>
        <w:rPr/>
        <w:t>/</w:t>
      </w:r>
      <w:r>
        <w:rPr>
          <w:spacing w:val="-7"/>
        </w:rPr>
        <w:t> </w:t>
      </w:r>
      <w:r>
        <w:rPr/>
        <w:t>corporate</w:t>
      </w:r>
      <w:r>
        <w:rPr>
          <w:spacing w:val="-6"/>
        </w:rPr>
        <w:t> </w:t>
      </w:r>
      <w:r>
        <w:rPr/>
        <w:t>hub</w:t>
      </w:r>
      <w:r>
        <w:rPr>
          <w:spacing w:val="-5"/>
        </w:rPr>
        <w:t> </w:t>
      </w:r>
      <w:r>
        <w:rPr/>
        <w:t>by</w:t>
      </w:r>
      <w:r>
        <w:rPr>
          <w:spacing w:val="-6"/>
        </w:rPr>
        <w:t> </w:t>
      </w:r>
      <w:r>
        <w:rPr/>
        <w:t>MMRDA,</w:t>
      </w:r>
      <w:r>
        <w:rPr>
          <w:spacing w:val="-6"/>
        </w:rPr>
        <w:t> </w:t>
      </w:r>
      <w:r>
        <w:rPr/>
        <w:t>connects</w:t>
      </w:r>
      <w:r>
        <w:rPr>
          <w:spacing w:val="-6"/>
        </w:rPr>
        <w:t> </w:t>
      </w:r>
      <w:r>
        <w:rPr/>
        <w:t>the Western Suburbs through Western Express highway and the Eastern Suburbs and Thane</w:t>
      </w:r>
      <w:r>
        <w:rPr>
          <w:spacing w:val="-33"/>
        </w:rPr>
        <w:t> </w:t>
      </w:r>
      <w:r>
        <w:rPr/>
        <w:t>through</w:t>
      </w:r>
      <w:r>
        <w:rPr>
          <w:spacing w:val="-33"/>
        </w:rPr>
        <w:t> </w:t>
      </w:r>
      <w:r>
        <w:rPr/>
        <w:t>Santacruz</w:t>
      </w:r>
      <w:r>
        <w:rPr>
          <w:spacing w:val="-33"/>
        </w:rPr>
        <w:t> </w:t>
      </w:r>
      <w:r>
        <w:rPr/>
        <w:t>Chembur</w:t>
      </w:r>
      <w:r>
        <w:rPr>
          <w:spacing w:val="-33"/>
        </w:rPr>
        <w:t> </w:t>
      </w:r>
      <w:r>
        <w:rPr/>
        <w:t>Link</w:t>
      </w:r>
      <w:r>
        <w:rPr>
          <w:spacing w:val="-32"/>
        </w:rPr>
        <w:t> </w:t>
      </w:r>
      <w:r>
        <w:rPr/>
        <w:t>Road</w:t>
      </w:r>
      <w:r>
        <w:rPr>
          <w:spacing w:val="-32"/>
        </w:rPr>
        <w:t> </w:t>
      </w:r>
      <w:r>
        <w:rPr/>
        <w:t>and</w:t>
      </w:r>
      <w:r>
        <w:rPr>
          <w:spacing w:val="-34"/>
        </w:rPr>
        <w:t> </w:t>
      </w:r>
      <w:r>
        <w:rPr/>
        <w:t>Eastern</w:t>
      </w:r>
      <w:r>
        <w:rPr>
          <w:spacing w:val="-33"/>
        </w:rPr>
        <w:t> </w:t>
      </w:r>
      <w:r>
        <w:rPr/>
        <w:t>Express</w:t>
      </w:r>
      <w:r>
        <w:rPr>
          <w:spacing w:val="-33"/>
        </w:rPr>
        <w:t> </w:t>
      </w:r>
      <w:r>
        <w:rPr/>
        <w:t>Highway.</w:t>
      </w:r>
      <w:r>
        <w:rPr>
          <w:spacing w:val="-31"/>
        </w:rPr>
        <w:t> </w:t>
      </w:r>
      <w:r>
        <w:rPr/>
        <w:t>Further, the</w:t>
      </w:r>
      <w:r>
        <w:rPr>
          <w:spacing w:val="-36"/>
        </w:rPr>
        <w:t> </w:t>
      </w:r>
      <w:r>
        <w:rPr/>
        <w:t>sub-market</w:t>
      </w:r>
      <w:r>
        <w:rPr>
          <w:spacing w:val="-35"/>
        </w:rPr>
        <w:t> </w:t>
      </w:r>
      <w:r>
        <w:rPr/>
        <w:t>is</w:t>
      </w:r>
      <w:r>
        <w:rPr>
          <w:spacing w:val="-36"/>
        </w:rPr>
        <w:t> </w:t>
      </w:r>
      <w:r>
        <w:rPr/>
        <w:t>situated</w:t>
      </w:r>
      <w:r>
        <w:rPr>
          <w:spacing w:val="-35"/>
        </w:rPr>
        <w:t> </w:t>
      </w:r>
      <w:r>
        <w:rPr/>
        <w:t>in</w:t>
      </w:r>
      <w:r>
        <w:rPr>
          <w:spacing w:val="-36"/>
        </w:rPr>
        <w:t> </w:t>
      </w:r>
      <w:r>
        <w:rPr/>
        <w:t>proximity</w:t>
      </w:r>
      <w:r>
        <w:rPr>
          <w:spacing w:val="-35"/>
        </w:rPr>
        <w:t> </w:t>
      </w:r>
      <w:r>
        <w:rPr/>
        <w:t>to</w:t>
      </w:r>
      <w:r>
        <w:rPr>
          <w:spacing w:val="-36"/>
        </w:rPr>
        <w:t> </w:t>
      </w:r>
      <w:r>
        <w:rPr/>
        <w:t>domestic</w:t>
      </w:r>
      <w:r>
        <w:rPr>
          <w:spacing w:val="-36"/>
        </w:rPr>
        <w:t> </w:t>
      </w:r>
      <w:r>
        <w:rPr/>
        <w:t>and</w:t>
      </w:r>
      <w:r>
        <w:rPr>
          <w:spacing w:val="-35"/>
        </w:rPr>
        <w:t> </w:t>
      </w:r>
      <w:r>
        <w:rPr/>
        <w:t>international</w:t>
      </w:r>
      <w:r>
        <w:rPr>
          <w:spacing w:val="-35"/>
        </w:rPr>
        <w:t> </w:t>
      </w:r>
      <w:r>
        <w:rPr/>
        <w:t>terminal</w:t>
      </w:r>
      <w:r>
        <w:rPr>
          <w:spacing w:val="-36"/>
        </w:rPr>
        <w:t> </w:t>
      </w:r>
      <w:r>
        <w:rPr/>
        <w:t>of</w:t>
      </w:r>
      <w:r>
        <w:rPr>
          <w:spacing w:val="-35"/>
        </w:rPr>
        <w:t> </w:t>
      </w:r>
      <w:r>
        <w:rPr/>
        <w:t>the airport.</w:t>
      </w:r>
    </w:p>
    <w:p>
      <w:pPr>
        <w:pStyle w:val="BodyText"/>
        <w:spacing w:before="126"/>
        <w:ind w:left="2477"/>
        <w:jc w:val="both"/>
      </w:pPr>
      <w:r>
        <w:rPr/>
        <w:t>The</w:t>
      </w:r>
      <w:r>
        <w:rPr>
          <w:spacing w:val="-37"/>
        </w:rPr>
        <w:t> </w:t>
      </w:r>
      <w:r>
        <w:rPr/>
        <w:t>distances</w:t>
      </w:r>
      <w:r>
        <w:rPr>
          <w:spacing w:val="-35"/>
        </w:rPr>
        <w:t> </w:t>
      </w:r>
      <w:r>
        <w:rPr/>
        <w:t>from</w:t>
      </w:r>
      <w:r>
        <w:rPr>
          <w:spacing w:val="-35"/>
        </w:rPr>
        <w:t> </w:t>
      </w:r>
      <w:r>
        <w:rPr/>
        <w:t>key</w:t>
      </w:r>
      <w:r>
        <w:rPr>
          <w:spacing w:val="-35"/>
        </w:rPr>
        <w:t> </w:t>
      </w:r>
      <w:r>
        <w:rPr/>
        <w:t>hubs</w:t>
      </w:r>
      <w:r>
        <w:rPr>
          <w:spacing w:val="-35"/>
        </w:rPr>
        <w:t> </w:t>
      </w:r>
      <w:r>
        <w:rPr/>
        <w:t>to</w:t>
      </w:r>
      <w:r>
        <w:rPr>
          <w:spacing w:val="-35"/>
        </w:rPr>
        <w:t> </w:t>
      </w:r>
      <w:r>
        <w:rPr/>
        <w:t>the</w:t>
      </w:r>
      <w:r>
        <w:rPr>
          <w:spacing w:val="-36"/>
        </w:rPr>
        <w:t> </w:t>
      </w:r>
      <w:r>
        <w:rPr/>
        <w:t>subject</w:t>
      </w:r>
      <w:r>
        <w:rPr>
          <w:spacing w:val="-35"/>
        </w:rPr>
        <w:t> </w:t>
      </w:r>
      <w:r>
        <w:rPr/>
        <w:t>property</w:t>
      </w:r>
      <w:r>
        <w:rPr>
          <w:spacing w:val="-34"/>
        </w:rPr>
        <w:t> </w:t>
      </w:r>
      <w:r>
        <w:rPr/>
        <w:t>are</w:t>
      </w:r>
      <w:r>
        <w:rPr>
          <w:spacing w:val="-36"/>
        </w:rPr>
        <w:t> </w:t>
      </w:r>
      <w:r>
        <w:rPr/>
        <w:t>presented</w:t>
      </w:r>
      <w:r>
        <w:rPr>
          <w:spacing w:val="-35"/>
        </w:rPr>
        <w:t> </w:t>
      </w:r>
      <w:r>
        <w:rPr/>
        <w:t>in</w:t>
      </w:r>
      <w:r>
        <w:rPr>
          <w:spacing w:val="-36"/>
        </w:rPr>
        <w:t> </w:t>
      </w:r>
      <w:r>
        <w:rPr/>
        <w:t>the</w:t>
      </w:r>
      <w:r>
        <w:rPr>
          <w:spacing w:val="-36"/>
        </w:rPr>
        <w:t> </w:t>
      </w:r>
      <w:r>
        <w:rPr/>
        <w:t>table</w:t>
      </w:r>
      <w:r>
        <w:rPr>
          <w:spacing w:val="-35"/>
        </w:rPr>
        <w:t> </w:t>
      </w:r>
      <w:r>
        <w:rPr/>
        <w:t>below:</w:t>
      </w:r>
    </w:p>
    <w:p>
      <w:pPr>
        <w:pStyle w:val="BodyText"/>
        <w:spacing w:before="11"/>
        <w:rPr>
          <w:sz w:val="17"/>
        </w:rPr>
      </w:pPr>
    </w:p>
    <w:tbl>
      <w:tblPr>
        <w:tblW w:w="0" w:type="auto"/>
        <w:jc w:val="left"/>
        <w:tblInd w:w="23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09"/>
        <w:gridCol w:w="2994"/>
      </w:tblGrid>
      <w:tr>
        <w:trPr>
          <w:trHeight w:val="253" w:hRule="atLeast"/>
        </w:trPr>
        <w:tc>
          <w:tcPr>
            <w:tcW w:w="5209" w:type="dxa"/>
            <w:tcBorders>
              <w:top w:val="single" w:sz="6" w:space="0" w:color="69BD28"/>
              <w:bottom w:val="single" w:sz="6" w:space="0" w:color="69BD28"/>
            </w:tcBorders>
            <w:shd w:val="clear" w:color="auto" w:fill="006A4D"/>
          </w:tcPr>
          <w:p>
            <w:pPr>
              <w:pStyle w:val="TableParagraph"/>
              <w:spacing w:before="22"/>
              <w:ind w:left="876" w:right="876"/>
              <w:rPr>
                <w:sz w:val="18"/>
              </w:rPr>
            </w:pPr>
            <w:r>
              <w:rPr>
                <w:color w:val="FFFFFF"/>
                <w:sz w:val="18"/>
              </w:rPr>
              <w:t>Landmark</w:t>
            </w:r>
          </w:p>
        </w:tc>
        <w:tc>
          <w:tcPr>
            <w:tcW w:w="2994" w:type="dxa"/>
            <w:tcBorders>
              <w:top w:val="single" w:sz="6" w:space="0" w:color="69BD28"/>
              <w:bottom w:val="single" w:sz="6" w:space="0" w:color="69BD28"/>
            </w:tcBorders>
            <w:shd w:val="clear" w:color="auto" w:fill="006A4D"/>
          </w:tcPr>
          <w:p>
            <w:pPr>
              <w:pStyle w:val="TableParagraph"/>
              <w:spacing w:before="22"/>
              <w:ind w:left="920" w:right="920"/>
              <w:rPr>
                <w:sz w:val="18"/>
              </w:rPr>
            </w:pPr>
            <w:r>
              <w:rPr>
                <w:color w:val="FFFFFF"/>
                <w:sz w:val="18"/>
              </w:rPr>
              <w:t>Distance (km)</w:t>
            </w:r>
          </w:p>
        </w:tc>
      </w:tr>
      <w:tr>
        <w:trPr>
          <w:trHeight w:val="251" w:hRule="atLeast"/>
        </w:trPr>
        <w:tc>
          <w:tcPr>
            <w:tcW w:w="5209" w:type="dxa"/>
            <w:tcBorders>
              <w:top w:val="single" w:sz="6" w:space="0" w:color="69BD28"/>
              <w:bottom w:val="single" w:sz="6" w:space="0" w:color="69BD28"/>
            </w:tcBorders>
          </w:tcPr>
          <w:p>
            <w:pPr>
              <w:pStyle w:val="TableParagraph"/>
              <w:spacing w:before="20"/>
              <w:ind w:left="876" w:right="876"/>
              <w:rPr>
                <w:sz w:val="18"/>
              </w:rPr>
            </w:pPr>
            <w:r>
              <w:rPr>
                <w:sz w:val="18"/>
              </w:rPr>
              <w:t>Bandra Kurla Complex</w:t>
            </w:r>
          </w:p>
        </w:tc>
        <w:tc>
          <w:tcPr>
            <w:tcW w:w="2994" w:type="dxa"/>
            <w:tcBorders>
              <w:top w:val="single" w:sz="6" w:space="0" w:color="69BD28"/>
              <w:bottom w:val="single" w:sz="6" w:space="0" w:color="69BD28"/>
            </w:tcBorders>
          </w:tcPr>
          <w:p>
            <w:pPr>
              <w:pStyle w:val="TableParagraph"/>
              <w:spacing w:before="15"/>
              <w:ind w:left="920" w:right="919"/>
              <w:rPr>
                <w:sz w:val="18"/>
              </w:rPr>
            </w:pPr>
            <w:r>
              <w:rPr>
                <w:w w:val="135"/>
                <w:sz w:val="18"/>
              </w:rPr>
              <w:t>&lt;1</w:t>
            </w:r>
          </w:p>
        </w:tc>
      </w:tr>
      <w:tr>
        <w:trPr>
          <w:trHeight w:val="215" w:hRule="atLeast"/>
        </w:trPr>
        <w:tc>
          <w:tcPr>
            <w:tcW w:w="5209" w:type="dxa"/>
            <w:tcBorders>
              <w:top w:val="single" w:sz="6" w:space="0" w:color="69BD28"/>
              <w:bottom w:val="single" w:sz="6" w:space="0" w:color="69BD28"/>
            </w:tcBorders>
          </w:tcPr>
          <w:p>
            <w:pPr>
              <w:pStyle w:val="TableParagraph"/>
              <w:spacing w:line="192" w:lineRule="exact" w:before="3"/>
              <w:ind w:left="876" w:right="876"/>
              <w:rPr>
                <w:sz w:val="18"/>
              </w:rPr>
            </w:pPr>
            <w:r>
              <w:rPr>
                <w:sz w:val="18"/>
              </w:rPr>
              <w:t>Bandra Railway Station</w:t>
            </w:r>
          </w:p>
        </w:tc>
        <w:tc>
          <w:tcPr>
            <w:tcW w:w="2994" w:type="dxa"/>
            <w:tcBorders>
              <w:top w:val="single" w:sz="6" w:space="0" w:color="69BD28"/>
              <w:bottom w:val="single" w:sz="6" w:space="0" w:color="69BD28"/>
            </w:tcBorders>
          </w:tcPr>
          <w:p>
            <w:pPr>
              <w:pStyle w:val="TableParagraph"/>
              <w:spacing w:line="195" w:lineRule="exact"/>
              <w:ind w:left="919" w:right="920"/>
              <w:rPr>
                <w:sz w:val="18"/>
              </w:rPr>
            </w:pPr>
            <w:r>
              <w:rPr>
                <w:w w:val="120"/>
                <w:sz w:val="18"/>
              </w:rPr>
              <w:t>5 – 6</w:t>
            </w:r>
          </w:p>
        </w:tc>
      </w:tr>
      <w:tr>
        <w:trPr>
          <w:trHeight w:val="232" w:hRule="atLeast"/>
        </w:trPr>
        <w:tc>
          <w:tcPr>
            <w:tcW w:w="5209" w:type="dxa"/>
            <w:tcBorders>
              <w:top w:val="single" w:sz="6" w:space="0" w:color="69BD28"/>
              <w:bottom w:val="single" w:sz="6" w:space="0" w:color="69BD28"/>
            </w:tcBorders>
          </w:tcPr>
          <w:p>
            <w:pPr>
              <w:pStyle w:val="TableParagraph"/>
              <w:spacing w:line="199" w:lineRule="exact" w:before="13"/>
              <w:ind w:left="876" w:right="876"/>
              <w:rPr>
                <w:sz w:val="18"/>
              </w:rPr>
            </w:pPr>
            <w:r>
              <w:rPr>
                <w:sz w:val="18"/>
              </w:rPr>
              <w:t>Eastern Express Highway</w:t>
            </w:r>
          </w:p>
        </w:tc>
        <w:tc>
          <w:tcPr>
            <w:tcW w:w="2994" w:type="dxa"/>
            <w:tcBorders>
              <w:top w:val="single" w:sz="6" w:space="0" w:color="69BD28"/>
              <w:bottom w:val="single" w:sz="6" w:space="0" w:color="69BD28"/>
            </w:tcBorders>
          </w:tcPr>
          <w:p>
            <w:pPr>
              <w:pStyle w:val="TableParagraph"/>
              <w:spacing w:line="206" w:lineRule="exact" w:before="6"/>
              <w:ind w:left="919" w:right="920"/>
              <w:rPr>
                <w:sz w:val="18"/>
              </w:rPr>
            </w:pPr>
            <w:r>
              <w:rPr>
                <w:w w:val="120"/>
                <w:sz w:val="18"/>
              </w:rPr>
              <w:t>5 – 7</w:t>
            </w:r>
          </w:p>
        </w:tc>
      </w:tr>
      <w:tr>
        <w:trPr>
          <w:trHeight w:val="251" w:hRule="atLeast"/>
        </w:trPr>
        <w:tc>
          <w:tcPr>
            <w:tcW w:w="5209" w:type="dxa"/>
            <w:tcBorders>
              <w:top w:val="single" w:sz="6" w:space="0" w:color="69BD28"/>
              <w:bottom w:val="single" w:sz="6" w:space="0" w:color="69BD28"/>
            </w:tcBorders>
          </w:tcPr>
          <w:p>
            <w:pPr>
              <w:pStyle w:val="TableParagraph"/>
              <w:spacing w:line="209" w:lineRule="exact" w:before="22"/>
              <w:ind w:left="875" w:right="876"/>
              <w:rPr>
                <w:sz w:val="18"/>
              </w:rPr>
            </w:pPr>
            <w:r>
              <w:rPr>
                <w:sz w:val="18"/>
              </w:rPr>
              <w:t>Bandra Worli Sea Link</w:t>
            </w:r>
          </w:p>
        </w:tc>
        <w:tc>
          <w:tcPr>
            <w:tcW w:w="2994" w:type="dxa"/>
            <w:tcBorders>
              <w:top w:val="single" w:sz="6" w:space="0" w:color="69BD28"/>
              <w:bottom w:val="single" w:sz="6" w:space="0" w:color="69BD28"/>
            </w:tcBorders>
          </w:tcPr>
          <w:p>
            <w:pPr>
              <w:pStyle w:val="TableParagraph"/>
              <w:spacing w:before="15"/>
              <w:ind w:left="919" w:right="920"/>
              <w:rPr>
                <w:sz w:val="18"/>
              </w:rPr>
            </w:pPr>
            <w:r>
              <w:rPr>
                <w:w w:val="120"/>
                <w:sz w:val="18"/>
              </w:rPr>
              <w:t>6 – 8</w:t>
            </w:r>
          </w:p>
        </w:tc>
      </w:tr>
      <w:tr>
        <w:trPr>
          <w:trHeight w:val="251" w:hRule="atLeast"/>
        </w:trPr>
        <w:tc>
          <w:tcPr>
            <w:tcW w:w="5209" w:type="dxa"/>
            <w:tcBorders>
              <w:top w:val="single" w:sz="6" w:space="0" w:color="69BD28"/>
              <w:bottom w:val="single" w:sz="6" w:space="0" w:color="69BD28"/>
            </w:tcBorders>
          </w:tcPr>
          <w:p>
            <w:pPr>
              <w:pStyle w:val="TableParagraph"/>
              <w:spacing w:line="209" w:lineRule="exact" w:before="22"/>
              <w:ind w:left="876" w:right="876"/>
              <w:rPr>
                <w:sz w:val="18"/>
              </w:rPr>
            </w:pPr>
            <w:r>
              <w:rPr>
                <w:sz w:val="18"/>
              </w:rPr>
              <w:t>Chhatrapati Shivaji Domestic Terminal</w:t>
            </w:r>
          </w:p>
        </w:tc>
        <w:tc>
          <w:tcPr>
            <w:tcW w:w="2994" w:type="dxa"/>
            <w:tcBorders>
              <w:top w:val="single" w:sz="6" w:space="0" w:color="69BD28"/>
              <w:bottom w:val="single" w:sz="6" w:space="0" w:color="69BD28"/>
            </w:tcBorders>
          </w:tcPr>
          <w:p>
            <w:pPr>
              <w:pStyle w:val="TableParagraph"/>
              <w:spacing w:before="15"/>
              <w:ind w:left="919" w:right="920"/>
              <w:rPr>
                <w:sz w:val="18"/>
              </w:rPr>
            </w:pPr>
            <w:r>
              <w:rPr>
                <w:w w:val="120"/>
                <w:sz w:val="18"/>
              </w:rPr>
              <w:t>6 – 7</w:t>
            </w:r>
          </w:p>
        </w:tc>
      </w:tr>
      <w:tr>
        <w:trPr>
          <w:trHeight w:val="253" w:hRule="atLeast"/>
        </w:trPr>
        <w:tc>
          <w:tcPr>
            <w:tcW w:w="5209" w:type="dxa"/>
            <w:tcBorders>
              <w:top w:val="single" w:sz="6" w:space="0" w:color="69BD28"/>
              <w:bottom w:val="single" w:sz="6" w:space="0" w:color="69BD28"/>
            </w:tcBorders>
          </w:tcPr>
          <w:p>
            <w:pPr>
              <w:pStyle w:val="TableParagraph"/>
              <w:spacing w:before="22"/>
              <w:ind w:left="876" w:right="876"/>
              <w:rPr>
                <w:sz w:val="18"/>
              </w:rPr>
            </w:pPr>
            <w:r>
              <w:rPr>
                <w:sz w:val="18"/>
              </w:rPr>
              <w:t>Chhatrapati Shivaji International Terminal</w:t>
            </w:r>
          </w:p>
        </w:tc>
        <w:tc>
          <w:tcPr>
            <w:tcW w:w="2994" w:type="dxa"/>
            <w:tcBorders>
              <w:top w:val="single" w:sz="6" w:space="0" w:color="69BD28"/>
              <w:bottom w:val="single" w:sz="6" w:space="0" w:color="69BD28"/>
            </w:tcBorders>
          </w:tcPr>
          <w:p>
            <w:pPr>
              <w:pStyle w:val="TableParagraph"/>
              <w:spacing w:before="18"/>
              <w:ind w:left="919" w:right="920"/>
              <w:rPr>
                <w:sz w:val="18"/>
              </w:rPr>
            </w:pPr>
            <w:r>
              <w:rPr>
                <w:w w:val="120"/>
                <w:sz w:val="18"/>
              </w:rPr>
              <w:t>7 – 9</w:t>
            </w:r>
          </w:p>
        </w:tc>
      </w:tr>
      <w:tr>
        <w:trPr>
          <w:trHeight w:val="251" w:hRule="atLeast"/>
        </w:trPr>
        <w:tc>
          <w:tcPr>
            <w:tcW w:w="5209" w:type="dxa"/>
            <w:tcBorders>
              <w:top w:val="single" w:sz="6" w:space="0" w:color="69BD28"/>
              <w:bottom w:val="single" w:sz="6" w:space="0" w:color="69BD28"/>
            </w:tcBorders>
          </w:tcPr>
          <w:p>
            <w:pPr>
              <w:pStyle w:val="TableParagraph"/>
              <w:spacing w:before="20"/>
              <w:ind w:left="875" w:right="876"/>
              <w:rPr>
                <w:sz w:val="18"/>
              </w:rPr>
            </w:pPr>
            <w:r>
              <w:rPr>
                <w:sz w:val="18"/>
              </w:rPr>
              <w:t>Nariman Point (CBD)</w:t>
            </w:r>
          </w:p>
        </w:tc>
        <w:tc>
          <w:tcPr>
            <w:tcW w:w="2994" w:type="dxa"/>
            <w:tcBorders>
              <w:top w:val="single" w:sz="6" w:space="0" w:color="69BD28"/>
              <w:bottom w:val="single" w:sz="6" w:space="0" w:color="69BD28"/>
            </w:tcBorders>
          </w:tcPr>
          <w:p>
            <w:pPr>
              <w:pStyle w:val="TableParagraph"/>
              <w:spacing w:before="15"/>
              <w:ind w:left="919" w:right="920"/>
              <w:rPr>
                <w:sz w:val="18"/>
              </w:rPr>
            </w:pPr>
            <w:r>
              <w:rPr>
                <w:w w:val="120"/>
                <w:sz w:val="18"/>
              </w:rPr>
              <w:t>18 – 22</w:t>
            </w:r>
          </w:p>
        </w:tc>
      </w:tr>
    </w:tbl>
    <w:p>
      <w:pPr>
        <w:spacing w:before="23"/>
        <w:ind w:left="2486" w:right="0" w:firstLine="0"/>
        <w:jc w:val="both"/>
        <w:rPr>
          <w:i/>
          <w:sz w:val="16"/>
        </w:rPr>
      </w:pPr>
      <w:r>
        <w:rPr>
          <w:i/>
          <w:sz w:val="16"/>
        </w:rPr>
        <w:t>Source: Consultants’ research</w:t>
      </w:r>
    </w:p>
    <w:p>
      <w:pPr>
        <w:spacing w:after="0"/>
        <w:jc w:val="both"/>
        <w:rPr>
          <w:sz w:val="16"/>
        </w:rPr>
        <w:sectPr>
          <w:pgSz w:w="11910" w:h="16840"/>
          <w:pgMar w:header="919" w:footer="1149" w:top="1660" w:bottom="1340" w:left="600" w:right="600"/>
        </w:sectPr>
      </w:pPr>
    </w:p>
    <w:p>
      <w:pPr>
        <w:pStyle w:val="BodyText"/>
        <w:spacing w:before="11"/>
        <w:rPr>
          <w:i/>
          <w:sz w:val="19"/>
        </w:rPr>
      </w:pPr>
    </w:p>
    <w:p>
      <w:pPr>
        <w:pStyle w:val="BodyText"/>
        <w:tabs>
          <w:tab w:pos="2477" w:val="left" w:leader="none"/>
        </w:tabs>
        <w:spacing w:before="106"/>
        <w:ind w:left="785"/>
      </w:pPr>
      <w:r>
        <w:rPr/>
        <w:t>Surrounds:</w:t>
        <w:tab/>
        <w:t>The property is surrounded as</w:t>
      </w:r>
      <w:r>
        <w:rPr>
          <w:spacing w:val="-22"/>
        </w:rPr>
        <w:t> </w:t>
      </w:r>
      <w:r>
        <w:rPr/>
        <w:t>follows:</w:t>
      </w:r>
    </w:p>
    <w:p>
      <w:pPr>
        <w:pStyle w:val="BodyText"/>
        <w:spacing w:line="434" w:lineRule="auto" w:before="208"/>
        <w:ind w:left="2477" w:right="4384"/>
      </w:pPr>
      <w:r>
        <w:rPr/>
        <w:t>North: Primary access road (BKC Road) South: Secondary access road</w:t>
      </w:r>
    </w:p>
    <w:p>
      <w:pPr>
        <w:pStyle w:val="BodyText"/>
        <w:spacing w:line="255" w:lineRule="exact"/>
        <w:ind w:left="2477"/>
      </w:pPr>
      <w:r>
        <w:rPr/>
        <w:t>East: Vacant Land Parcel (MMRDA land parcel)</w:t>
      </w:r>
    </w:p>
    <w:p>
      <w:pPr>
        <w:pStyle w:val="BodyText"/>
        <w:spacing w:before="208"/>
        <w:ind w:left="2477"/>
      </w:pPr>
      <w:r>
        <w:rPr/>
        <w:t>West: Commercial Development (TCG Financial Centre)</w:t>
      </w:r>
    </w:p>
    <w:p>
      <w:pPr>
        <w:pStyle w:val="BodyText"/>
        <w:spacing w:before="1"/>
        <w:rPr>
          <w:sz w:val="19"/>
        </w:rPr>
      </w:pPr>
    </w:p>
    <w:p>
      <w:pPr>
        <w:spacing w:after="0"/>
        <w:rPr>
          <w:sz w:val="19"/>
        </w:rPr>
        <w:sectPr>
          <w:pgSz w:w="11910" w:h="16840"/>
          <w:pgMar w:header="919" w:footer="1149" w:top="1660" w:bottom="1340" w:left="600" w:right="600"/>
        </w:sectPr>
      </w:pPr>
    </w:p>
    <w:p>
      <w:pPr>
        <w:pStyle w:val="BodyText"/>
        <w:tabs>
          <w:tab w:pos="2085" w:val="left" w:leader="none"/>
        </w:tabs>
        <w:spacing w:line="321" w:lineRule="auto" w:before="106"/>
        <w:ind w:left="785"/>
      </w:pPr>
      <w:r>
        <w:rPr/>
        <w:t>Potential changes</w:t>
        <w:tab/>
      </w:r>
      <w:r>
        <w:rPr>
          <w:spacing w:val="-10"/>
        </w:rPr>
        <w:t>in </w:t>
      </w:r>
      <w:r>
        <w:rPr/>
        <w:t>surroundings:</w:t>
      </w:r>
    </w:p>
    <w:p>
      <w:pPr>
        <w:pStyle w:val="BodyText"/>
        <w:spacing w:line="321" w:lineRule="auto" w:before="106"/>
        <w:ind w:left="175" w:right="226"/>
        <w:jc w:val="both"/>
      </w:pPr>
      <w:r>
        <w:rPr/>
        <w:br w:type="column"/>
      </w:r>
      <w:r>
        <w:rPr/>
        <w:t>The</w:t>
      </w:r>
      <w:r>
        <w:rPr>
          <w:spacing w:val="-18"/>
        </w:rPr>
        <w:t> </w:t>
      </w:r>
      <w:r>
        <w:rPr/>
        <w:t>subject</w:t>
      </w:r>
      <w:r>
        <w:rPr>
          <w:spacing w:val="-16"/>
        </w:rPr>
        <w:t> </w:t>
      </w:r>
      <w:r>
        <w:rPr/>
        <w:t>sub-market</w:t>
      </w:r>
      <w:r>
        <w:rPr>
          <w:spacing w:val="-17"/>
        </w:rPr>
        <w:t> </w:t>
      </w:r>
      <w:r>
        <w:rPr/>
        <w:t>(BKC)</w:t>
      </w:r>
      <w:r>
        <w:rPr>
          <w:spacing w:val="-16"/>
        </w:rPr>
        <w:t> </w:t>
      </w:r>
      <w:r>
        <w:rPr/>
        <w:t>is</w:t>
      </w:r>
      <w:r>
        <w:rPr>
          <w:spacing w:val="-17"/>
        </w:rPr>
        <w:t> </w:t>
      </w:r>
      <w:r>
        <w:rPr/>
        <w:t>an</w:t>
      </w:r>
      <w:r>
        <w:rPr>
          <w:spacing w:val="-16"/>
        </w:rPr>
        <w:t> </w:t>
      </w:r>
      <w:r>
        <w:rPr/>
        <w:t>established</w:t>
      </w:r>
      <w:r>
        <w:rPr>
          <w:spacing w:val="-17"/>
        </w:rPr>
        <w:t> </w:t>
      </w:r>
      <w:r>
        <w:rPr/>
        <w:t>commercial</w:t>
      </w:r>
      <w:r>
        <w:rPr>
          <w:spacing w:val="-17"/>
        </w:rPr>
        <w:t> </w:t>
      </w:r>
      <w:r>
        <w:rPr/>
        <w:t>district</w:t>
      </w:r>
      <w:r>
        <w:rPr>
          <w:spacing w:val="-16"/>
        </w:rPr>
        <w:t> </w:t>
      </w:r>
      <w:r>
        <w:rPr/>
        <w:t>of</w:t>
      </w:r>
      <w:r>
        <w:rPr>
          <w:spacing w:val="-17"/>
        </w:rPr>
        <w:t> </w:t>
      </w:r>
      <w:r>
        <w:rPr/>
        <w:t>the</w:t>
      </w:r>
      <w:r>
        <w:rPr>
          <w:spacing w:val="-15"/>
        </w:rPr>
        <w:t> </w:t>
      </w:r>
      <w:r>
        <w:rPr/>
        <w:t>City</w:t>
      </w:r>
      <w:r>
        <w:rPr>
          <w:spacing w:val="-17"/>
        </w:rPr>
        <w:t> </w:t>
      </w:r>
      <w:r>
        <w:rPr/>
        <w:t>and has</w:t>
      </w:r>
      <w:r>
        <w:rPr>
          <w:spacing w:val="-17"/>
        </w:rPr>
        <w:t> </w:t>
      </w:r>
      <w:r>
        <w:rPr/>
        <w:t>witnessed</w:t>
      </w:r>
      <w:r>
        <w:rPr>
          <w:spacing w:val="-17"/>
        </w:rPr>
        <w:t> </w:t>
      </w:r>
      <w:r>
        <w:rPr/>
        <w:t>significant</w:t>
      </w:r>
      <w:r>
        <w:rPr>
          <w:spacing w:val="-17"/>
        </w:rPr>
        <w:t> </w:t>
      </w:r>
      <w:r>
        <w:rPr/>
        <w:t>development</w:t>
      </w:r>
      <w:r>
        <w:rPr>
          <w:spacing w:val="-17"/>
        </w:rPr>
        <w:t> </w:t>
      </w:r>
      <w:r>
        <w:rPr/>
        <w:t>activity</w:t>
      </w:r>
      <w:r>
        <w:rPr>
          <w:spacing w:val="-17"/>
        </w:rPr>
        <w:t> </w:t>
      </w:r>
      <w:r>
        <w:rPr/>
        <w:t>(across</w:t>
      </w:r>
      <w:r>
        <w:rPr>
          <w:spacing w:val="-17"/>
        </w:rPr>
        <w:t> </w:t>
      </w:r>
      <w:r>
        <w:rPr/>
        <w:t>commercial</w:t>
      </w:r>
      <w:r>
        <w:rPr>
          <w:spacing w:val="-17"/>
        </w:rPr>
        <w:t> </w:t>
      </w:r>
      <w:r>
        <w:rPr/>
        <w:t>developments, hospitality and residential/staff quarters) in the past. Considering the location </w:t>
      </w:r>
      <w:r>
        <w:rPr>
          <w:w w:val="95"/>
        </w:rPr>
        <w:t>advantage</w:t>
      </w:r>
      <w:r>
        <w:rPr>
          <w:spacing w:val="-21"/>
          <w:w w:val="95"/>
        </w:rPr>
        <w:t> </w:t>
      </w:r>
      <w:r>
        <w:rPr>
          <w:w w:val="95"/>
        </w:rPr>
        <w:t>(viz.</w:t>
      </w:r>
      <w:r>
        <w:rPr>
          <w:spacing w:val="-19"/>
          <w:w w:val="95"/>
        </w:rPr>
        <w:t> </w:t>
      </w:r>
      <w:r>
        <w:rPr>
          <w:w w:val="95"/>
        </w:rPr>
        <w:t>centre</w:t>
      </w:r>
      <w:r>
        <w:rPr>
          <w:spacing w:val="-21"/>
          <w:w w:val="95"/>
        </w:rPr>
        <w:t> </w:t>
      </w:r>
      <w:r>
        <w:rPr>
          <w:w w:val="95"/>
        </w:rPr>
        <w:t>of</w:t>
      </w:r>
      <w:r>
        <w:rPr>
          <w:spacing w:val="-17"/>
          <w:w w:val="95"/>
        </w:rPr>
        <w:t> </w:t>
      </w:r>
      <w:r>
        <w:rPr>
          <w:w w:val="95"/>
        </w:rPr>
        <w:t>the</w:t>
      </w:r>
      <w:r>
        <w:rPr>
          <w:spacing w:val="-20"/>
          <w:w w:val="95"/>
        </w:rPr>
        <w:t> </w:t>
      </w:r>
      <w:r>
        <w:rPr>
          <w:w w:val="95"/>
        </w:rPr>
        <w:t>City)</w:t>
      </w:r>
      <w:r>
        <w:rPr>
          <w:spacing w:val="-19"/>
          <w:w w:val="95"/>
        </w:rPr>
        <w:t> </w:t>
      </w:r>
      <w:r>
        <w:rPr>
          <w:w w:val="95"/>
        </w:rPr>
        <w:t>and</w:t>
      </w:r>
      <w:r>
        <w:rPr>
          <w:spacing w:val="-20"/>
          <w:w w:val="95"/>
        </w:rPr>
        <w:t> </w:t>
      </w:r>
      <w:r>
        <w:rPr>
          <w:w w:val="95"/>
        </w:rPr>
        <w:t>related</w:t>
      </w:r>
      <w:r>
        <w:rPr>
          <w:spacing w:val="-19"/>
          <w:w w:val="95"/>
        </w:rPr>
        <w:t> </w:t>
      </w:r>
      <w:r>
        <w:rPr>
          <w:w w:val="95"/>
        </w:rPr>
        <w:t>connectivity</w:t>
      </w:r>
      <w:r>
        <w:rPr>
          <w:spacing w:val="-18"/>
          <w:w w:val="95"/>
        </w:rPr>
        <w:t> </w:t>
      </w:r>
      <w:r>
        <w:rPr>
          <w:w w:val="95"/>
        </w:rPr>
        <w:t>benefit,</w:t>
      </w:r>
      <w:r>
        <w:rPr>
          <w:spacing w:val="-21"/>
          <w:w w:val="95"/>
        </w:rPr>
        <w:t> </w:t>
      </w:r>
      <w:r>
        <w:rPr>
          <w:w w:val="95"/>
        </w:rPr>
        <w:t>the</w:t>
      </w:r>
      <w:r>
        <w:rPr>
          <w:spacing w:val="-20"/>
          <w:w w:val="95"/>
        </w:rPr>
        <w:t> </w:t>
      </w:r>
      <w:r>
        <w:rPr>
          <w:w w:val="95"/>
        </w:rPr>
        <w:t>subject</w:t>
      </w:r>
      <w:r>
        <w:rPr>
          <w:spacing w:val="-20"/>
          <w:w w:val="95"/>
        </w:rPr>
        <w:t> </w:t>
      </w:r>
      <w:r>
        <w:rPr>
          <w:w w:val="95"/>
        </w:rPr>
        <w:t>region </w:t>
      </w:r>
      <w:r>
        <w:rPr/>
        <w:t>is</w:t>
      </w:r>
      <w:r>
        <w:rPr>
          <w:spacing w:val="-8"/>
        </w:rPr>
        <w:t> </w:t>
      </w:r>
      <w:r>
        <w:rPr/>
        <w:t>expected</w:t>
      </w:r>
      <w:r>
        <w:rPr>
          <w:spacing w:val="-7"/>
        </w:rPr>
        <w:t> </w:t>
      </w:r>
      <w:r>
        <w:rPr/>
        <w:t>to</w:t>
      </w:r>
      <w:r>
        <w:rPr>
          <w:spacing w:val="-9"/>
        </w:rPr>
        <w:t> </w:t>
      </w:r>
      <w:r>
        <w:rPr/>
        <w:t>continue</w:t>
      </w:r>
      <w:r>
        <w:rPr>
          <w:spacing w:val="-8"/>
        </w:rPr>
        <w:t> </w:t>
      </w:r>
      <w:r>
        <w:rPr/>
        <w:t>to</w:t>
      </w:r>
      <w:r>
        <w:rPr>
          <w:spacing w:val="-8"/>
        </w:rPr>
        <w:t> </w:t>
      </w:r>
      <w:r>
        <w:rPr/>
        <w:t>grow</w:t>
      </w:r>
      <w:r>
        <w:rPr>
          <w:spacing w:val="-8"/>
        </w:rPr>
        <w:t> </w:t>
      </w:r>
      <w:r>
        <w:rPr/>
        <w:t>as</w:t>
      </w:r>
      <w:r>
        <w:rPr>
          <w:spacing w:val="-7"/>
        </w:rPr>
        <w:t> </w:t>
      </w:r>
      <w:r>
        <w:rPr/>
        <w:t>a</w:t>
      </w:r>
      <w:r>
        <w:rPr>
          <w:spacing w:val="-9"/>
        </w:rPr>
        <w:t> </w:t>
      </w:r>
      <w:r>
        <w:rPr/>
        <w:t>commercial</w:t>
      </w:r>
      <w:r>
        <w:rPr>
          <w:spacing w:val="-10"/>
        </w:rPr>
        <w:t> </w:t>
      </w:r>
      <w:r>
        <w:rPr/>
        <w:t>destination.</w:t>
      </w:r>
    </w:p>
    <w:p>
      <w:pPr>
        <w:spacing w:after="0" w:line="321" w:lineRule="auto"/>
        <w:jc w:val="both"/>
        <w:sectPr>
          <w:type w:val="continuous"/>
          <w:pgSz w:w="11910" w:h="16840"/>
          <w:pgMar w:top="800" w:bottom="280" w:left="600" w:right="600"/>
          <w:cols w:num="2" w:equalWidth="0">
            <w:col w:w="2263" w:space="40"/>
            <w:col w:w="8407"/>
          </w:cols>
        </w:sectPr>
      </w:pPr>
    </w:p>
    <w:p>
      <w:pPr>
        <w:pStyle w:val="BodyText"/>
        <w:spacing w:before="9"/>
        <w:rPr>
          <w:sz w:val="11"/>
        </w:rPr>
      </w:pPr>
    </w:p>
    <w:p>
      <w:pPr>
        <w:spacing w:after="0"/>
        <w:rPr>
          <w:sz w:val="11"/>
        </w:rPr>
        <w:sectPr>
          <w:type w:val="continuous"/>
          <w:pgSz w:w="11910" w:h="16840"/>
          <w:pgMar w:top="800" w:bottom="280" w:left="600" w:right="600"/>
        </w:sectPr>
      </w:pPr>
    </w:p>
    <w:p>
      <w:pPr>
        <w:pStyle w:val="BodyText"/>
        <w:tabs>
          <w:tab w:pos="2072" w:val="left" w:leader="none"/>
        </w:tabs>
        <w:spacing w:line="321" w:lineRule="auto" w:before="106"/>
        <w:ind w:left="785"/>
      </w:pPr>
      <w:r>
        <w:rPr>
          <w:w w:val="95"/>
        </w:rPr>
        <w:t>Suitability</w:t>
        <w:tab/>
      </w:r>
      <w:r>
        <w:rPr>
          <w:spacing w:val="-11"/>
        </w:rPr>
        <w:t>of </w:t>
      </w:r>
      <w:r>
        <w:rPr/>
        <w:t>existing</w:t>
      </w:r>
      <w:r>
        <w:rPr>
          <w:spacing w:val="-14"/>
        </w:rPr>
        <w:t> </w:t>
      </w:r>
      <w:r>
        <w:rPr/>
        <w:t>use:</w:t>
      </w:r>
    </w:p>
    <w:p>
      <w:pPr>
        <w:pStyle w:val="BodyText"/>
        <w:spacing w:line="321" w:lineRule="auto" w:before="106"/>
        <w:ind w:left="175" w:right="223"/>
        <w:jc w:val="both"/>
      </w:pPr>
      <w:r>
        <w:rPr/>
        <w:br w:type="column"/>
      </w:r>
      <w:r>
        <w:rPr/>
        <w:t>Considering</w:t>
      </w:r>
      <w:r>
        <w:rPr>
          <w:spacing w:val="-34"/>
        </w:rPr>
        <w:t> </w:t>
      </w:r>
      <w:r>
        <w:rPr/>
        <w:t>the</w:t>
      </w:r>
      <w:r>
        <w:rPr>
          <w:spacing w:val="-35"/>
        </w:rPr>
        <w:t> </w:t>
      </w:r>
      <w:r>
        <w:rPr/>
        <w:t>profile</w:t>
      </w:r>
      <w:r>
        <w:rPr>
          <w:spacing w:val="-33"/>
        </w:rPr>
        <w:t> </w:t>
      </w:r>
      <w:r>
        <w:rPr/>
        <w:t>of</w:t>
      </w:r>
      <w:r>
        <w:rPr>
          <w:spacing w:val="-34"/>
        </w:rPr>
        <w:t> </w:t>
      </w:r>
      <w:r>
        <w:rPr/>
        <w:t>surrounding</w:t>
      </w:r>
      <w:r>
        <w:rPr>
          <w:spacing w:val="-33"/>
        </w:rPr>
        <w:t> </w:t>
      </w:r>
      <w:r>
        <w:rPr/>
        <w:t>developments,</w:t>
      </w:r>
      <w:r>
        <w:rPr>
          <w:spacing w:val="-35"/>
        </w:rPr>
        <w:t> </w:t>
      </w:r>
      <w:r>
        <w:rPr/>
        <w:t>the</w:t>
      </w:r>
      <w:r>
        <w:rPr>
          <w:spacing w:val="-32"/>
        </w:rPr>
        <w:t> </w:t>
      </w:r>
      <w:r>
        <w:rPr/>
        <w:t>subject</w:t>
      </w:r>
      <w:r>
        <w:rPr>
          <w:spacing w:val="-34"/>
        </w:rPr>
        <w:t> </w:t>
      </w:r>
      <w:r>
        <w:rPr/>
        <w:t>property</w:t>
      </w:r>
      <w:r>
        <w:rPr>
          <w:spacing w:val="-32"/>
        </w:rPr>
        <w:t> </w:t>
      </w:r>
      <w:r>
        <w:rPr/>
        <w:t>is</w:t>
      </w:r>
      <w:r>
        <w:rPr>
          <w:spacing w:val="-33"/>
        </w:rPr>
        <w:t> </w:t>
      </w:r>
      <w:r>
        <w:rPr/>
        <w:t>opined </w:t>
      </w:r>
      <w:r>
        <w:rPr>
          <w:w w:val="95"/>
        </w:rPr>
        <w:t>to</w:t>
      </w:r>
      <w:r>
        <w:rPr>
          <w:spacing w:val="-20"/>
          <w:w w:val="95"/>
        </w:rPr>
        <w:t> </w:t>
      </w:r>
      <w:r>
        <w:rPr>
          <w:w w:val="95"/>
        </w:rPr>
        <w:t>be</w:t>
      </w:r>
      <w:r>
        <w:rPr>
          <w:spacing w:val="-19"/>
          <w:w w:val="95"/>
        </w:rPr>
        <w:t> </w:t>
      </w:r>
      <w:r>
        <w:rPr>
          <w:w w:val="95"/>
        </w:rPr>
        <w:t>suited</w:t>
      </w:r>
      <w:r>
        <w:rPr>
          <w:spacing w:val="-18"/>
          <w:w w:val="95"/>
        </w:rPr>
        <w:t> </w:t>
      </w:r>
      <w:r>
        <w:rPr>
          <w:w w:val="95"/>
        </w:rPr>
        <w:t>for</w:t>
      </w:r>
      <w:r>
        <w:rPr>
          <w:spacing w:val="-18"/>
          <w:w w:val="95"/>
        </w:rPr>
        <w:t> </w:t>
      </w:r>
      <w:r>
        <w:rPr>
          <w:w w:val="95"/>
        </w:rPr>
        <w:t>its</w:t>
      </w:r>
      <w:r>
        <w:rPr>
          <w:spacing w:val="-18"/>
          <w:w w:val="95"/>
        </w:rPr>
        <w:t> </w:t>
      </w:r>
      <w:r>
        <w:rPr>
          <w:w w:val="95"/>
        </w:rPr>
        <w:t>current</w:t>
      </w:r>
      <w:r>
        <w:rPr>
          <w:spacing w:val="-19"/>
          <w:w w:val="95"/>
        </w:rPr>
        <w:t> </w:t>
      </w:r>
      <w:r>
        <w:rPr>
          <w:w w:val="95"/>
        </w:rPr>
        <w:t>use</w:t>
      </w:r>
      <w:r>
        <w:rPr>
          <w:spacing w:val="-20"/>
          <w:w w:val="95"/>
        </w:rPr>
        <w:t> </w:t>
      </w:r>
      <w:r>
        <w:rPr>
          <w:w w:val="95"/>
        </w:rPr>
        <w:t>viz.</w:t>
      </w:r>
      <w:r>
        <w:rPr>
          <w:spacing w:val="-19"/>
          <w:w w:val="95"/>
        </w:rPr>
        <w:t> </w:t>
      </w:r>
      <w:r>
        <w:rPr>
          <w:w w:val="95"/>
        </w:rPr>
        <w:t>commercial</w:t>
      </w:r>
      <w:r>
        <w:rPr>
          <w:spacing w:val="-17"/>
          <w:w w:val="95"/>
        </w:rPr>
        <w:t> </w:t>
      </w:r>
      <w:r>
        <w:rPr>
          <w:w w:val="95"/>
        </w:rPr>
        <w:t>office</w:t>
      </w:r>
      <w:r>
        <w:rPr>
          <w:spacing w:val="-20"/>
          <w:w w:val="95"/>
        </w:rPr>
        <w:t> </w:t>
      </w:r>
      <w:r>
        <w:rPr>
          <w:w w:val="95"/>
        </w:rPr>
        <w:t>development</w:t>
      </w:r>
      <w:r>
        <w:rPr>
          <w:spacing w:val="-19"/>
          <w:w w:val="95"/>
        </w:rPr>
        <w:t> </w:t>
      </w:r>
      <w:r>
        <w:rPr>
          <w:w w:val="95"/>
        </w:rPr>
        <w:t>(along</w:t>
      </w:r>
      <w:r>
        <w:rPr>
          <w:spacing w:val="-18"/>
          <w:w w:val="95"/>
        </w:rPr>
        <w:t> </w:t>
      </w:r>
      <w:r>
        <w:rPr>
          <w:w w:val="95"/>
        </w:rPr>
        <w:t>with</w:t>
      </w:r>
      <w:r>
        <w:rPr>
          <w:spacing w:val="-22"/>
          <w:w w:val="95"/>
        </w:rPr>
        <w:t> </w:t>
      </w:r>
      <w:r>
        <w:rPr>
          <w:w w:val="95"/>
        </w:rPr>
        <w:t>support </w:t>
      </w:r>
      <w:r>
        <w:rPr/>
        <w:t>retail).</w:t>
      </w:r>
    </w:p>
    <w:p>
      <w:pPr>
        <w:spacing w:after="0" w:line="321" w:lineRule="auto"/>
        <w:jc w:val="both"/>
        <w:sectPr>
          <w:type w:val="continuous"/>
          <w:pgSz w:w="11910" w:h="16840"/>
          <w:pgMar w:top="800" w:bottom="280" w:left="600" w:right="600"/>
          <w:cols w:num="2" w:equalWidth="0">
            <w:col w:w="2262" w:space="40"/>
            <w:col w:w="8408"/>
          </w:cols>
        </w:sectPr>
      </w:pPr>
    </w:p>
    <w:p>
      <w:pPr>
        <w:pStyle w:val="BodyText"/>
        <w:spacing w:before="9"/>
        <w:rPr>
          <w:sz w:val="11"/>
        </w:rPr>
      </w:pPr>
    </w:p>
    <w:p>
      <w:pPr>
        <w:pStyle w:val="BodyText"/>
        <w:tabs>
          <w:tab w:pos="2477" w:val="left" w:leader="none"/>
        </w:tabs>
        <w:spacing w:line="321" w:lineRule="auto" w:before="106"/>
        <w:ind w:left="2477" w:right="226" w:hanging="1692"/>
        <w:jc w:val="both"/>
      </w:pPr>
      <w:r>
        <w:rPr/>
        <w:t>Shape:</w:t>
        <w:tab/>
        <w:t>Based</w:t>
      </w:r>
      <w:r>
        <w:rPr>
          <w:spacing w:val="-33"/>
        </w:rPr>
        <w:t> </w:t>
      </w:r>
      <w:r>
        <w:rPr/>
        <w:t>on</w:t>
      </w:r>
      <w:r>
        <w:rPr>
          <w:spacing w:val="-31"/>
        </w:rPr>
        <w:t> </w:t>
      </w:r>
      <w:r>
        <w:rPr/>
        <w:t>the</w:t>
      </w:r>
      <w:r>
        <w:rPr>
          <w:spacing w:val="-32"/>
        </w:rPr>
        <w:t> </w:t>
      </w:r>
      <w:r>
        <w:rPr/>
        <w:t>visual</w:t>
      </w:r>
      <w:r>
        <w:rPr>
          <w:spacing w:val="-32"/>
        </w:rPr>
        <w:t> </w:t>
      </w:r>
      <w:r>
        <w:rPr/>
        <w:t>inspection,</w:t>
      </w:r>
      <w:r>
        <w:rPr>
          <w:spacing w:val="-32"/>
        </w:rPr>
        <w:t> </w:t>
      </w:r>
      <w:r>
        <w:rPr/>
        <w:t>we</w:t>
      </w:r>
      <w:r>
        <w:rPr>
          <w:spacing w:val="-31"/>
        </w:rPr>
        <w:t> </w:t>
      </w:r>
      <w:r>
        <w:rPr/>
        <w:t>understand</w:t>
      </w:r>
      <w:r>
        <w:rPr>
          <w:spacing w:val="-31"/>
        </w:rPr>
        <w:t> </w:t>
      </w:r>
      <w:r>
        <w:rPr/>
        <w:t>that</w:t>
      </w:r>
      <w:r>
        <w:rPr>
          <w:spacing w:val="-33"/>
        </w:rPr>
        <w:t> </w:t>
      </w:r>
      <w:r>
        <w:rPr/>
        <w:t>the</w:t>
      </w:r>
      <w:r>
        <w:rPr>
          <w:spacing w:val="-31"/>
        </w:rPr>
        <w:t> </w:t>
      </w:r>
      <w:r>
        <w:rPr/>
        <w:t>subject</w:t>
      </w:r>
      <w:r>
        <w:rPr>
          <w:spacing w:val="-31"/>
        </w:rPr>
        <w:t> </w:t>
      </w:r>
      <w:r>
        <w:rPr/>
        <w:t>land</w:t>
      </w:r>
      <w:r>
        <w:rPr>
          <w:spacing w:val="-33"/>
        </w:rPr>
        <w:t> </w:t>
      </w:r>
      <w:r>
        <w:rPr/>
        <w:t>parcel</w:t>
      </w:r>
      <w:r>
        <w:rPr>
          <w:spacing w:val="-31"/>
        </w:rPr>
        <w:t> </w:t>
      </w:r>
      <w:r>
        <w:rPr/>
        <w:t>is</w:t>
      </w:r>
      <w:r>
        <w:rPr>
          <w:spacing w:val="-33"/>
        </w:rPr>
        <w:t> </w:t>
      </w:r>
      <w:r>
        <w:rPr/>
        <w:t>regular in</w:t>
      </w:r>
      <w:r>
        <w:rPr>
          <w:spacing w:val="-4"/>
        </w:rPr>
        <w:t> </w:t>
      </w:r>
      <w:r>
        <w:rPr/>
        <w:t>shape.</w:t>
      </w:r>
    </w:p>
    <w:p>
      <w:pPr>
        <w:pStyle w:val="BodyText"/>
        <w:spacing w:before="10"/>
        <w:rPr>
          <w:sz w:val="20"/>
        </w:rPr>
      </w:pPr>
    </w:p>
    <w:p>
      <w:pPr>
        <w:pStyle w:val="BodyText"/>
        <w:spacing w:line="319" w:lineRule="auto"/>
        <w:ind w:left="2477" w:right="223" w:hanging="1692"/>
        <w:jc w:val="both"/>
      </w:pPr>
      <w:r>
        <w:rPr/>
        <w:t>Topography: Based on the site plan and as corroborated with our site visit, the site appears to be even and on the same level as abutting access roads and adjoining properties.</w:t>
      </w:r>
    </w:p>
    <w:p>
      <w:pPr>
        <w:pStyle w:val="BodyText"/>
        <w:rPr>
          <w:sz w:val="21"/>
        </w:rPr>
      </w:pPr>
    </w:p>
    <w:p>
      <w:pPr>
        <w:pStyle w:val="BodyText"/>
        <w:tabs>
          <w:tab w:pos="2477" w:val="left" w:leader="none"/>
        </w:tabs>
        <w:spacing w:line="321" w:lineRule="auto"/>
        <w:ind w:left="2477" w:right="221" w:hanging="1692"/>
        <w:jc w:val="both"/>
      </w:pPr>
      <w:r>
        <w:rPr/>
        <w:t>Frontage:</w:t>
        <w:tab/>
        <w:t>Based</w:t>
      </w:r>
      <w:r>
        <w:rPr>
          <w:spacing w:val="-14"/>
        </w:rPr>
        <w:t> </w:t>
      </w:r>
      <w:r>
        <w:rPr/>
        <w:t>on</w:t>
      </w:r>
      <w:r>
        <w:rPr>
          <w:spacing w:val="-15"/>
        </w:rPr>
        <w:t> </w:t>
      </w:r>
      <w:r>
        <w:rPr/>
        <w:t>review</w:t>
      </w:r>
      <w:r>
        <w:rPr>
          <w:spacing w:val="-14"/>
        </w:rPr>
        <w:t> </w:t>
      </w:r>
      <w:r>
        <w:rPr/>
        <w:t>of</w:t>
      </w:r>
      <w:r>
        <w:rPr>
          <w:spacing w:val="-14"/>
        </w:rPr>
        <w:t> </w:t>
      </w:r>
      <w:r>
        <w:rPr/>
        <w:t>site</w:t>
      </w:r>
      <w:r>
        <w:rPr>
          <w:spacing w:val="-15"/>
        </w:rPr>
        <w:t> </w:t>
      </w:r>
      <w:r>
        <w:rPr/>
        <w:t>plan,</w:t>
      </w:r>
      <w:r>
        <w:rPr>
          <w:spacing w:val="-15"/>
        </w:rPr>
        <w:t> </w:t>
      </w:r>
      <w:r>
        <w:rPr/>
        <w:t>visual</w:t>
      </w:r>
      <w:r>
        <w:rPr>
          <w:spacing w:val="-16"/>
        </w:rPr>
        <w:t> </w:t>
      </w:r>
      <w:r>
        <w:rPr/>
        <w:t>inspection</w:t>
      </w:r>
      <w:r>
        <w:rPr>
          <w:spacing w:val="-15"/>
        </w:rPr>
        <w:t> </w:t>
      </w:r>
      <w:r>
        <w:rPr/>
        <w:t>and</w:t>
      </w:r>
      <w:r>
        <w:rPr>
          <w:spacing w:val="-12"/>
        </w:rPr>
        <w:t> </w:t>
      </w:r>
      <w:r>
        <w:rPr/>
        <w:t>measurements</w:t>
      </w:r>
      <w:r>
        <w:rPr>
          <w:spacing w:val="-14"/>
        </w:rPr>
        <w:t> </w:t>
      </w:r>
      <w:r>
        <w:rPr/>
        <w:t>made</w:t>
      </w:r>
      <w:r>
        <w:rPr>
          <w:spacing w:val="-14"/>
        </w:rPr>
        <w:t> </w:t>
      </w:r>
      <w:r>
        <w:rPr/>
        <w:t>on</w:t>
      </w:r>
      <w:r>
        <w:rPr>
          <w:spacing w:val="-15"/>
        </w:rPr>
        <w:t> </w:t>
      </w:r>
      <w:r>
        <w:rPr/>
        <w:t>Google maps, we understand that the frontage is approximately 100 meters along the Bandra Kurla Complex</w:t>
      </w:r>
      <w:r>
        <w:rPr>
          <w:spacing w:val="-8"/>
        </w:rPr>
        <w:t> </w:t>
      </w:r>
      <w:r>
        <w:rPr/>
        <w:t>Road.</w:t>
      </w:r>
    </w:p>
    <w:p>
      <w:pPr>
        <w:pStyle w:val="BodyText"/>
        <w:spacing w:before="11"/>
        <w:rPr>
          <w:sz w:val="20"/>
        </w:rPr>
      </w:pPr>
    </w:p>
    <w:p>
      <w:pPr>
        <w:pStyle w:val="BodyText"/>
        <w:spacing w:line="321" w:lineRule="auto"/>
        <w:ind w:left="2477" w:right="222" w:hanging="1692"/>
        <w:jc w:val="both"/>
      </w:pPr>
      <w:r>
        <w:rPr/>
        <w:t>Accessibility:</w:t>
      </w:r>
      <w:r>
        <w:rPr>
          <w:spacing w:val="14"/>
        </w:rPr>
        <w:t> </w:t>
      </w:r>
      <w:r>
        <w:rPr/>
        <w:t>Based on site visit, it was observed that the subject property is accessible through Bandra Kurla Complex Road, which acts as the primary access. Also, the subject property is accessible through an internal road, which acts as a secondary</w:t>
      </w:r>
      <w:r>
        <w:rPr>
          <w:spacing w:val="-29"/>
        </w:rPr>
        <w:t> </w:t>
      </w:r>
      <w:r>
        <w:rPr/>
        <w:t>access road for the development. Vehicular access to the subject property is through secondary access</w:t>
      </w:r>
      <w:r>
        <w:rPr>
          <w:spacing w:val="-3"/>
        </w:rPr>
        <w:t> </w:t>
      </w:r>
      <w:r>
        <w:rPr/>
        <w:t>road.</w:t>
      </w:r>
    </w:p>
    <w:p>
      <w:pPr>
        <w:spacing w:after="0" w:line="321" w:lineRule="auto"/>
        <w:jc w:val="both"/>
        <w:sectPr>
          <w:type w:val="continuous"/>
          <w:pgSz w:w="11910" w:h="16840"/>
          <w:pgMar w:top="800" w:bottom="280" w:left="600" w:right="600"/>
        </w:sectPr>
      </w:pPr>
    </w:p>
    <w:p>
      <w:pPr>
        <w:spacing w:before="75"/>
        <w:ind w:left="211" w:right="0" w:firstLine="0"/>
        <w:jc w:val="left"/>
        <w:rPr>
          <w:sz w:val="20"/>
        </w:rPr>
      </w:pPr>
      <w:r>
        <w:rPr/>
        <w:drawing>
          <wp:anchor distT="0" distB="0" distL="0" distR="0" allowOverlap="1" layoutInCell="1" locked="0" behindDoc="0" simplePos="0" relativeHeight="560">
            <wp:simplePos x="0" y="0"/>
            <wp:positionH relativeFrom="page">
              <wp:posOffset>832485</wp:posOffset>
            </wp:positionH>
            <wp:positionV relativeFrom="paragraph">
              <wp:posOffset>283078</wp:posOffset>
            </wp:positionV>
            <wp:extent cx="9725902" cy="79248"/>
            <wp:effectExtent l="0" t="0" r="0" b="0"/>
            <wp:wrapTopAndBottom/>
            <wp:docPr id="137" name="image78.png"/>
            <wp:cNvGraphicFramePr>
              <a:graphicFrameLocks noChangeAspect="1"/>
            </wp:cNvGraphicFramePr>
            <a:graphic>
              <a:graphicData uri="http://schemas.openxmlformats.org/drawingml/2006/picture">
                <pic:pic>
                  <pic:nvPicPr>
                    <pic:cNvPr id="138" name="image78.png"/>
                    <pic:cNvPicPr/>
                  </pic:nvPicPr>
                  <pic:blipFill>
                    <a:blip r:embed="rId106" cstate="print"/>
                    <a:stretch>
                      <a:fillRect/>
                    </a:stretch>
                  </pic:blipFill>
                  <pic:spPr>
                    <a:xfrm>
                      <a:off x="0" y="0"/>
                      <a:ext cx="9725902" cy="79248"/>
                    </a:xfrm>
                    <a:prstGeom prst="rect">
                      <a:avLst/>
                    </a:prstGeom>
                  </pic:spPr>
                </pic:pic>
              </a:graphicData>
            </a:graphic>
          </wp:anchor>
        </w:drawing>
      </w:r>
      <w:r>
        <w:rPr/>
        <w:drawing>
          <wp:anchor distT="0" distB="0" distL="0" distR="0" allowOverlap="1" layoutInCell="1" locked="0" behindDoc="0" simplePos="0" relativeHeight="16017408">
            <wp:simplePos x="0" y="0"/>
            <wp:positionH relativeFrom="page">
              <wp:posOffset>7317105</wp:posOffset>
            </wp:positionH>
            <wp:positionV relativeFrom="page">
              <wp:posOffset>6992722</wp:posOffset>
            </wp:positionV>
            <wp:extent cx="1079500" cy="300457"/>
            <wp:effectExtent l="0" t="0" r="0" b="0"/>
            <wp:wrapNone/>
            <wp:docPr id="139" name="image3.jpeg"/>
            <wp:cNvGraphicFramePr>
              <a:graphicFrameLocks noChangeAspect="1"/>
            </wp:cNvGraphicFramePr>
            <a:graphic>
              <a:graphicData uri="http://schemas.openxmlformats.org/drawingml/2006/picture">
                <pic:pic>
                  <pic:nvPicPr>
                    <pic:cNvPr id="140"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6017920">
            <wp:simplePos x="0" y="0"/>
            <wp:positionH relativeFrom="page">
              <wp:posOffset>8522517</wp:posOffset>
            </wp:positionH>
            <wp:positionV relativeFrom="page">
              <wp:posOffset>6864155</wp:posOffset>
            </wp:positionV>
            <wp:extent cx="909288" cy="433873"/>
            <wp:effectExtent l="0" t="0" r="0" b="0"/>
            <wp:wrapNone/>
            <wp:docPr id="141" name="image4.png"/>
            <wp:cNvGraphicFramePr>
              <a:graphicFrameLocks noChangeAspect="1"/>
            </wp:cNvGraphicFramePr>
            <a:graphic>
              <a:graphicData uri="http://schemas.openxmlformats.org/drawingml/2006/picture">
                <pic:pic>
                  <pic:nvPicPr>
                    <pic:cNvPr id="142"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BodyText"/>
        <w:spacing w:before="196"/>
        <w:ind w:left="211"/>
      </w:pPr>
      <w:r>
        <w:rPr/>
        <w:t>The following map indicates the location of the subject property and surrounding developments:</w:t>
      </w:r>
    </w:p>
    <w:p>
      <w:pPr>
        <w:pStyle w:val="BodyText"/>
        <w:spacing w:before="10"/>
        <w:rPr>
          <w:sz w:val="23"/>
        </w:rPr>
      </w:pPr>
      <w:r>
        <w:rPr/>
        <w:pict>
          <v:group style="position:absolute;margin-left:70.559998pt;margin-top:15.807539pt;width:638.9pt;height:14.2pt;mso-position-horizontal-relative:page;mso-position-vertical-relative:paragraph;z-index:-15440896;mso-wrap-distance-left:0;mso-wrap-distance-right:0" coordorigin="1411,316" coordsize="12778,284">
            <v:rect style="position:absolute;left:1411;top:347;width:12775;height:252" filled="true" fillcolor="#006a4d" stroked="false">
              <v:fill type="solid"/>
            </v:rect>
            <v:rect style="position:absolute;left:1411;top:316;width:12778;height:29" filled="true" fillcolor="#1f6b16" stroked="false">
              <v:fill type="solid"/>
            </v:rect>
            <v:rect style="position:absolute;left:1411;top:344;width:12778;height:3" filled="true" fillcolor="#006a4d" stroked="false">
              <v:fill type="solid"/>
            </v:rect>
            <v:shape style="position:absolute;left:1411;top:347;width:12775;height:252" type="#_x0000_t202" filled="false" stroked="false">
              <v:textbox inset="0,0,0,0">
                <w:txbxContent>
                  <w:p>
                    <w:pPr>
                      <w:spacing w:before="20"/>
                      <w:ind w:left="4672" w:right="4672" w:firstLine="0"/>
                      <w:jc w:val="center"/>
                      <w:rPr>
                        <w:b/>
                        <w:sz w:val="18"/>
                      </w:rPr>
                    </w:pPr>
                    <w:r>
                      <w:rPr>
                        <w:b/>
                        <w:color w:val="FFFFFF"/>
                        <w:w w:val="105"/>
                        <w:sz w:val="18"/>
                      </w:rPr>
                      <w:t>Location Map for the Subject Property</w:t>
                    </w:r>
                  </w:p>
                </w:txbxContent>
              </v:textbox>
              <w10:wrap type="none"/>
            </v:shape>
            <w10:wrap type="topAndBottom"/>
          </v:group>
        </w:pict>
      </w:r>
      <w:r>
        <w:rPr/>
        <w:drawing>
          <wp:anchor distT="0" distB="0" distL="0" distR="0" allowOverlap="1" layoutInCell="1" locked="0" behindDoc="0" simplePos="0" relativeHeight="563">
            <wp:simplePos x="0" y="0"/>
            <wp:positionH relativeFrom="page">
              <wp:posOffset>1441069</wp:posOffset>
            </wp:positionH>
            <wp:positionV relativeFrom="paragraph">
              <wp:posOffset>488791</wp:posOffset>
            </wp:positionV>
            <wp:extent cx="7558723" cy="4031741"/>
            <wp:effectExtent l="0" t="0" r="0" b="0"/>
            <wp:wrapTopAndBottom/>
            <wp:docPr id="143" name="image93.png"/>
            <wp:cNvGraphicFramePr>
              <a:graphicFrameLocks noChangeAspect="1"/>
            </wp:cNvGraphicFramePr>
            <a:graphic>
              <a:graphicData uri="http://schemas.openxmlformats.org/drawingml/2006/picture">
                <pic:pic>
                  <pic:nvPicPr>
                    <pic:cNvPr id="144" name="image93.png"/>
                    <pic:cNvPicPr/>
                  </pic:nvPicPr>
                  <pic:blipFill>
                    <a:blip r:embed="rId127" cstate="print"/>
                    <a:stretch>
                      <a:fillRect/>
                    </a:stretch>
                  </pic:blipFill>
                  <pic:spPr>
                    <a:xfrm>
                      <a:off x="0" y="0"/>
                      <a:ext cx="7558723" cy="4031741"/>
                    </a:xfrm>
                    <a:prstGeom prst="rect">
                      <a:avLst/>
                    </a:prstGeom>
                  </pic:spPr>
                </pic:pic>
              </a:graphicData>
            </a:graphic>
          </wp:anchor>
        </w:drawing>
      </w:r>
    </w:p>
    <w:p>
      <w:pPr>
        <w:pStyle w:val="BodyText"/>
        <w:spacing w:before="9"/>
        <w:rPr>
          <w:sz w:val="8"/>
        </w:rPr>
      </w:pPr>
    </w:p>
    <w:p>
      <w:pPr>
        <w:spacing w:before="0"/>
        <w:ind w:left="773" w:right="0" w:firstLine="0"/>
        <w:jc w:val="left"/>
        <w:rPr>
          <w:i/>
          <w:sz w:val="16"/>
        </w:rPr>
      </w:pPr>
      <w:r>
        <w:rPr>
          <w:i/>
          <w:sz w:val="16"/>
        </w:rPr>
        <w:t>Source: Consultants’ Research</w:t>
      </w:r>
    </w:p>
    <w:p>
      <w:pPr>
        <w:spacing w:after="0"/>
        <w:jc w:val="left"/>
        <w:rPr>
          <w:sz w:val="16"/>
        </w:rPr>
        <w:sectPr>
          <w:headerReference w:type="default" r:id="rId125"/>
          <w:footerReference w:type="default" r:id="rId126"/>
          <w:pgSz w:w="16840" w:h="11910" w:orient="landscape"/>
          <w:pgMar w:header="0" w:footer="662" w:top="640" w:bottom="860" w:left="1200" w:right="200"/>
        </w:sectPr>
      </w:pPr>
    </w:p>
    <w:p>
      <w:pPr>
        <w:pStyle w:val="BodyText"/>
        <w:spacing w:before="7"/>
        <w:rPr>
          <w:i/>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131" w:id="256"/>
      <w:bookmarkEnd w:id="256"/>
      <w:r>
        <w:rPr/>
      </w:r>
      <w:bookmarkStart w:name="_bookmark131" w:id="257"/>
      <w:bookmarkEnd w:id="257"/>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8"/>
        <w:ind w:left="682" w:right="196"/>
        <w:jc w:val="both"/>
      </w:pPr>
      <w:r>
        <w:rPr/>
        <w:t>As</w:t>
      </w:r>
      <w:r>
        <w:rPr>
          <w:spacing w:val="-7"/>
        </w:rPr>
        <w:t> </w:t>
      </w:r>
      <w:r>
        <w:rPr/>
        <w:t>per</w:t>
      </w:r>
      <w:r>
        <w:rPr>
          <w:spacing w:val="-5"/>
        </w:rPr>
        <w:t> </w:t>
      </w:r>
      <w:r>
        <w:rPr/>
        <w:t>the</w:t>
      </w:r>
      <w:r>
        <w:rPr>
          <w:spacing w:val="-5"/>
        </w:rPr>
        <w:t> </w:t>
      </w:r>
      <w:r>
        <w:rPr/>
        <w:t>title</w:t>
      </w:r>
      <w:r>
        <w:rPr>
          <w:spacing w:val="-6"/>
        </w:rPr>
        <w:t> </w:t>
      </w:r>
      <w:r>
        <w:rPr/>
        <w:t>due</w:t>
      </w:r>
      <w:r>
        <w:rPr>
          <w:spacing w:val="-5"/>
        </w:rPr>
        <w:t> </w:t>
      </w:r>
      <w:r>
        <w:rPr/>
        <w:t>diligence</w:t>
      </w:r>
      <w:r>
        <w:rPr>
          <w:spacing w:val="-5"/>
        </w:rPr>
        <w:t> </w:t>
      </w:r>
      <w:r>
        <w:rPr/>
        <w:t>undertaken</w:t>
      </w:r>
      <w:r>
        <w:rPr>
          <w:spacing w:val="-6"/>
        </w:rPr>
        <w:t> </w:t>
      </w:r>
      <w:r>
        <w:rPr/>
        <w:t>by</w:t>
      </w:r>
      <w:r>
        <w:rPr>
          <w:spacing w:val="-3"/>
        </w:rPr>
        <w:t> </w:t>
      </w:r>
      <w:r>
        <w:rPr/>
        <w:t>Shardul</w:t>
      </w:r>
      <w:r>
        <w:rPr>
          <w:spacing w:val="-5"/>
        </w:rPr>
        <w:t> </w:t>
      </w:r>
      <w:r>
        <w:rPr/>
        <w:t>Amarchand</w:t>
      </w:r>
      <w:r>
        <w:rPr>
          <w:spacing w:val="-5"/>
        </w:rPr>
        <w:t> </w:t>
      </w:r>
      <w:r>
        <w:rPr/>
        <w:t>Mangaldas</w:t>
      </w:r>
      <w:r>
        <w:rPr>
          <w:spacing w:val="-3"/>
        </w:rPr>
        <w:t> </w:t>
      </w:r>
      <w:r>
        <w:rPr/>
        <w:t>&amp;</w:t>
      </w:r>
      <w:r>
        <w:rPr>
          <w:spacing w:val="-5"/>
        </w:rPr>
        <w:t> </w:t>
      </w:r>
      <w:r>
        <w:rPr/>
        <w:t>Co.</w:t>
      </w:r>
      <w:r>
        <w:rPr>
          <w:spacing w:val="-5"/>
        </w:rPr>
        <w:t> </w:t>
      </w:r>
      <w:r>
        <w:rPr/>
        <w:t>and</w:t>
      </w:r>
      <w:r>
        <w:rPr>
          <w:spacing w:val="-4"/>
        </w:rPr>
        <w:t> </w:t>
      </w:r>
      <w:r>
        <w:rPr/>
        <w:t>as</w:t>
      </w:r>
      <w:r>
        <w:rPr>
          <w:spacing w:val="-7"/>
        </w:rPr>
        <w:t> </w:t>
      </w:r>
      <w:r>
        <w:rPr/>
        <w:t>provided</w:t>
      </w:r>
      <w:r>
        <w:rPr>
          <w:spacing w:val="-6"/>
        </w:rPr>
        <w:t> </w:t>
      </w:r>
      <w:r>
        <w:rPr/>
        <w:t>by the</w:t>
      </w:r>
      <w:r>
        <w:rPr>
          <w:spacing w:val="-22"/>
        </w:rPr>
        <w:t> </w:t>
      </w:r>
      <w:r>
        <w:rPr/>
        <w:t>Client,</w:t>
      </w:r>
      <w:r>
        <w:rPr>
          <w:spacing w:val="-21"/>
        </w:rPr>
        <w:t> </w:t>
      </w:r>
      <w:r>
        <w:rPr/>
        <w:t>we</w:t>
      </w:r>
      <w:r>
        <w:rPr>
          <w:spacing w:val="-21"/>
        </w:rPr>
        <w:t> </w:t>
      </w:r>
      <w:r>
        <w:rPr/>
        <w:t>understand</w:t>
      </w:r>
      <w:r>
        <w:rPr>
          <w:spacing w:val="-21"/>
        </w:rPr>
        <w:t> </w:t>
      </w:r>
      <w:r>
        <w:rPr/>
        <w:t>that</w:t>
      </w:r>
      <w:r>
        <w:rPr>
          <w:spacing w:val="-20"/>
        </w:rPr>
        <w:t> </w:t>
      </w:r>
      <w:r>
        <w:rPr/>
        <w:t>the</w:t>
      </w:r>
      <w:r>
        <w:rPr>
          <w:spacing w:val="-21"/>
        </w:rPr>
        <w:t> </w:t>
      </w:r>
      <w:r>
        <w:rPr/>
        <w:t>legal</w:t>
      </w:r>
      <w:r>
        <w:rPr>
          <w:spacing w:val="-21"/>
        </w:rPr>
        <w:t> </w:t>
      </w:r>
      <w:r>
        <w:rPr/>
        <w:t>address</w:t>
      </w:r>
      <w:r>
        <w:rPr>
          <w:spacing w:val="-22"/>
        </w:rPr>
        <w:t> </w:t>
      </w:r>
      <w:r>
        <w:rPr/>
        <w:t>of</w:t>
      </w:r>
      <w:r>
        <w:rPr>
          <w:spacing w:val="-21"/>
        </w:rPr>
        <w:t> </w:t>
      </w:r>
      <w:r>
        <w:rPr/>
        <w:t>the</w:t>
      </w:r>
      <w:r>
        <w:rPr>
          <w:spacing w:val="-21"/>
        </w:rPr>
        <w:t> </w:t>
      </w:r>
      <w:r>
        <w:rPr/>
        <w:t>subject</w:t>
      </w:r>
      <w:r>
        <w:rPr>
          <w:spacing w:val="-20"/>
        </w:rPr>
        <w:t> </w:t>
      </w:r>
      <w:r>
        <w:rPr/>
        <w:t>property</w:t>
      </w:r>
      <w:r>
        <w:rPr>
          <w:spacing w:val="-21"/>
        </w:rPr>
        <w:t> </w:t>
      </w:r>
      <w:r>
        <w:rPr/>
        <w:t>is</w:t>
      </w:r>
      <w:r>
        <w:rPr>
          <w:spacing w:val="-21"/>
        </w:rPr>
        <w:t> </w:t>
      </w:r>
      <w:r>
        <w:rPr/>
        <w:t>Plot</w:t>
      </w:r>
      <w:r>
        <w:rPr>
          <w:spacing w:val="-20"/>
        </w:rPr>
        <w:t> </w:t>
      </w:r>
      <w:r>
        <w:rPr/>
        <w:t>no</w:t>
      </w:r>
      <w:r>
        <w:rPr>
          <w:spacing w:val="-22"/>
        </w:rPr>
        <w:t> </w:t>
      </w:r>
      <w:r>
        <w:rPr/>
        <w:t>C-54,</w:t>
      </w:r>
      <w:r>
        <w:rPr>
          <w:spacing w:val="-22"/>
        </w:rPr>
        <w:t> </w:t>
      </w:r>
      <w:r>
        <w:rPr/>
        <w:t>C-55,</w:t>
      </w:r>
      <w:r>
        <w:rPr>
          <w:spacing w:val="-22"/>
        </w:rPr>
        <w:t> </w:t>
      </w:r>
      <w:r>
        <w:rPr/>
        <w:t>G-Block, Bandra Kurla Complex Road, Bandra Kurla Complex, Mumbai, Maharashtra </w:t>
      </w:r>
      <w:r>
        <w:rPr>
          <w:w w:val="105"/>
        </w:rPr>
        <w:t>– </w:t>
      </w:r>
      <w:r>
        <w:rPr/>
        <w:t>400051. Additionally, it is</w:t>
      </w:r>
      <w:r>
        <w:rPr>
          <w:spacing w:val="-22"/>
        </w:rPr>
        <w:t> </w:t>
      </w:r>
      <w:r>
        <w:rPr/>
        <w:t>understood</w:t>
      </w:r>
      <w:r>
        <w:rPr>
          <w:spacing w:val="-20"/>
        </w:rPr>
        <w:t> </w:t>
      </w:r>
      <w:r>
        <w:rPr/>
        <w:t>that</w:t>
      </w:r>
      <w:r>
        <w:rPr>
          <w:spacing w:val="-21"/>
        </w:rPr>
        <w:t> </w:t>
      </w:r>
      <w:r>
        <w:rPr/>
        <w:t>the</w:t>
      </w:r>
      <w:r>
        <w:rPr>
          <w:spacing w:val="-22"/>
        </w:rPr>
        <w:t> </w:t>
      </w:r>
      <w:r>
        <w:rPr/>
        <w:t>subject</w:t>
      </w:r>
      <w:r>
        <w:rPr>
          <w:spacing w:val="-21"/>
        </w:rPr>
        <w:t> </w:t>
      </w:r>
      <w:r>
        <w:rPr/>
        <w:t>property</w:t>
      </w:r>
      <w:r>
        <w:rPr>
          <w:spacing w:val="-20"/>
        </w:rPr>
        <w:t> </w:t>
      </w:r>
      <w:r>
        <w:rPr/>
        <w:t>is</w:t>
      </w:r>
      <w:r>
        <w:rPr>
          <w:spacing w:val="-20"/>
        </w:rPr>
        <w:t> </w:t>
      </w:r>
      <w:r>
        <w:rPr/>
        <w:t>leasehold</w:t>
      </w:r>
      <w:r>
        <w:rPr>
          <w:spacing w:val="-20"/>
        </w:rPr>
        <w:t> </w:t>
      </w:r>
      <w:r>
        <w:rPr/>
        <w:t>in</w:t>
      </w:r>
      <w:r>
        <w:rPr>
          <w:spacing w:val="-22"/>
        </w:rPr>
        <w:t> </w:t>
      </w:r>
      <w:r>
        <w:rPr/>
        <w:t>nature,</w:t>
      </w:r>
      <w:r>
        <w:rPr>
          <w:spacing w:val="-20"/>
        </w:rPr>
        <w:t> </w:t>
      </w:r>
      <w:r>
        <w:rPr/>
        <w:t>with</w:t>
      </w:r>
      <w:r>
        <w:rPr>
          <w:spacing w:val="-21"/>
        </w:rPr>
        <w:t> </w:t>
      </w:r>
      <w:r>
        <w:rPr/>
        <w:t>remaining</w:t>
      </w:r>
      <w:r>
        <w:rPr>
          <w:spacing w:val="-20"/>
        </w:rPr>
        <w:t> </w:t>
      </w:r>
      <w:r>
        <w:rPr/>
        <w:t>lease</w:t>
      </w:r>
      <w:r>
        <w:rPr>
          <w:spacing w:val="-22"/>
        </w:rPr>
        <w:t> </w:t>
      </w:r>
      <w:r>
        <w:rPr/>
        <w:t>term</w:t>
      </w:r>
      <w:r>
        <w:rPr>
          <w:spacing w:val="-21"/>
        </w:rPr>
        <w:t> </w:t>
      </w:r>
      <w:r>
        <w:rPr/>
        <w:t>of</w:t>
      </w:r>
      <w:r>
        <w:rPr>
          <w:spacing w:val="-21"/>
        </w:rPr>
        <w:t> </w:t>
      </w:r>
      <w:r>
        <w:rPr/>
        <w:t>approx.</w:t>
      </w:r>
      <w:r>
        <w:rPr>
          <w:spacing w:val="-20"/>
        </w:rPr>
        <w:t> </w:t>
      </w:r>
      <w:r>
        <w:rPr/>
        <w:t>68 years.</w:t>
      </w:r>
    </w:p>
    <w:p>
      <w:pPr>
        <w:pStyle w:val="BodyText"/>
        <w:spacing w:before="10"/>
        <w:rPr>
          <w:sz w:val="20"/>
        </w:rPr>
      </w:pPr>
    </w:p>
    <w:p>
      <w:pPr>
        <w:pStyle w:val="BodyText"/>
        <w:spacing w:line="321" w:lineRule="auto"/>
        <w:ind w:left="686" w:right="197"/>
        <w:jc w:val="both"/>
      </w:pPr>
      <w:r>
        <w:rPr/>
        <w:t>Further,</w:t>
      </w:r>
      <w:r>
        <w:rPr>
          <w:spacing w:val="-26"/>
        </w:rPr>
        <w:t> </w:t>
      </w:r>
      <w:r>
        <w:rPr/>
        <w:t>this</w:t>
      </w:r>
      <w:r>
        <w:rPr>
          <w:spacing w:val="-25"/>
        </w:rPr>
        <w:t> </w:t>
      </w:r>
      <w:r>
        <w:rPr/>
        <w:t>valuation</w:t>
      </w:r>
      <w:r>
        <w:rPr>
          <w:spacing w:val="-26"/>
        </w:rPr>
        <w:t> </w:t>
      </w:r>
      <w:r>
        <w:rPr/>
        <w:t>exercise</w:t>
      </w:r>
      <w:r>
        <w:rPr>
          <w:spacing w:val="-26"/>
        </w:rPr>
        <w:t> </w:t>
      </w:r>
      <w:r>
        <w:rPr/>
        <w:t>is</w:t>
      </w:r>
      <w:r>
        <w:rPr>
          <w:spacing w:val="-26"/>
        </w:rPr>
        <w:t> </w:t>
      </w:r>
      <w:r>
        <w:rPr/>
        <w:t>based</w:t>
      </w:r>
      <w:r>
        <w:rPr>
          <w:spacing w:val="-25"/>
        </w:rPr>
        <w:t> </w:t>
      </w:r>
      <w:r>
        <w:rPr/>
        <w:t>on</w:t>
      </w:r>
      <w:r>
        <w:rPr>
          <w:spacing w:val="-27"/>
        </w:rPr>
        <w:t> </w:t>
      </w:r>
      <w:r>
        <w:rPr/>
        <w:t>the</w:t>
      </w:r>
      <w:r>
        <w:rPr>
          <w:spacing w:val="-27"/>
        </w:rPr>
        <w:t> </w:t>
      </w:r>
      <w:r>
        <w:rPr/>
        <w:t>premise</w:t>
      </w:r>
      <w:r>
        <w:rPr>
          <w:spacing w:val="-27"/>
        </w:rPr>
        <w:t> </w:t>
      </w:r>
      <w:r>
        <w:rPr/>
        <w:t>that</w:t>
      </w:r>
      <w:r>
        <w:rPr>
          <w:spacing w:val="-25"/>
        </w:rPr>
        <w:t> </w:t>
      </w:r>
      <w:r>
        <w:rPr/>
        <w:t>the</w:t>
      </w:r>
      <w:r>
        <w:rPr>
          <w:spacing w:val="-27"/>
        </w:rPr>
        <w:t> </w:t>
      </w:r>
      <w:r>
        <w:rPr/>
        <w:t>subject</w:t>
      </w:r>
      <w:r>
        <w:rPr>
          <w:spacing w:val="-27"/>
        </w:rPr>
        <w:t> </w:t>
      </w:r>
      <w:r>
        <w:rPr/>
        <w:t>property</w:t>
      </w:r>
      <w:r>
        <w:rPr>
          <w:spacing w:val="-25"/>
        </w:rPr>
        <w:t> </w:t>
      </w:r>
      <w:r>
        <w:rPr/>
        <w:t>has</w:t>
      </w:r>
      <w:r>
        <w:rPr>
          <w:spacing w:val="-25"/>
        </w:rPr>
        <w:t> </w:t>
      </w:r>
      <w:r>
        <w:rPr/>
        <w:t>a</w:t>
      </w:r>
      <w:r>
        <w:rPr>
          <w:spacing w:val="-27"/>
        </w:rPr>
        <w:t> </w:t>
      </w:r>
      <w:r>
        <w:rPr/>
        <w:t>clear</w:t>
      </w:r>
      <w:r>
        <w:rPr>
          <w:spacing w:val="-26"/>
        </w:rPr>
        <w:t> </w:t>
      </w:r>
      <w:r>
        <w:rPr/>
        <w:t>title</w:t>
      </w:r>
      <w:r>
        <w:rPr>
          <w:spacing w:val="-27"/>
        </w:rPr>
        <w:t> </w:t>
      </w:r>
      <w:r>
        <w:rPr/>
        <w:t>and</w:t>
      </w:r>
      <w:r>
        <w:rPr>
          <w:spacing w:val="-25"/>
        </w:rPr>
        <w:t> </w:t>
      </w:r>
      <w:r>
        <w:rPr/>
        <w:t>is free</w:t>
      </w:r>
      <w:r>
        <w:rPr>
          <w:spacing w:val="-28"/>
        </w:rPr>
        <w:t> </w:t>
      </w:r>
      <w:r>
        <w:rPr/>
        <w:t>from</w:t>
      </w:r>
      <w:r>
        <w:rPr>
          <w:spacing w:val="-26"/>
        </w:rPr>
        <w:t> </w:t>
      </w:r>
      <w:r>
        <w:rPr/>
        <w:t>any</w:t>
      </w:r>
      <w:r>
        <w:rPr>
          <w:spacing w:val="-28"/>
        </w:rPr>
        <w:t> </w:t>
      </w:r>
      <w:r>
        <w:rPr/>
        <w:t>encumbrances,</w:t>
      </w:r>
      <w:r>
        <w:rPr>
          <w:spacing w:val="-27"/>
        </w:rPr>
        <w:t> </w:t>
      </w:r>
      <w:r>
        <w:rPr/>
        <w:t>disputes,</w:t>
      </w:r>
      <w:r>
        <w:rPr>
          <w:spacing w:val="-26"/>
        </w:rPr>
        <w:t> </w:t>
      </w:r>
      <w:r>
        <w:rPr/>
        <w:t>claims,</w:t>
      </w:r>
      <w:r>
        <w:rPr>
          <w:spacing w:val="-27"/>
        </w:rPr>
        <w:t> </w:t>
      </w:r>
      <w:r>
        <w:rPr/>
        <w:t>etc.</w:t>
      </w:r>
      <w:r>
        <w:rPr>
          <w:spacing w:val="-24"/>
        </w:rPr>
        <w:t> </w:t>
      </w:r>
      <w:r>
        <w:rPr/>
        <w:t>The</w:t>
      </w:r>
      <w:r>
        <w:rPr>
          <w:spacing w:val="-27"/>
        </w:rPr>
        <w:t> </w:t>
      </w:r>
      <w:r>
        <w:rPr/>
        <w:t>Consultants</w:t>
      </w:r>
      <w:r>
        <w:rPr>
          <w:spacing w:val="-24"/>
        </w:rPr>
        <w:t> </w:t>
      </w:r>
      <w:r>
        <w:rPr/>
        <w:t>have</w:t>
      </w:r>
      <w:r>
        <w:rPr>
          <w:spacing w:val="-28"/>
        </w:rPr>
        <w:t> </w:t>
      </w:r>
      <w:r>
        <w:rPr/>
        <w:t>not</w:t>
      </w:r>
      <w:r>
        <w:rPr>
          <w:spacing w:val="-26"/>
        </w:rPr>
        <w:t> </w:t>
      </w:r>
      <w:r>
        <w:rPr/>
        <w:t>made</w:t>
      </w:r>
      <w:r>
        <w:rPr>
          <w:spacing w:val="-28"/>
        </w:rPr>
        <w:t> </w:t>
      </w:r>
      <w:r>
        <w:rPr/>
        <w:t>any</w:t>
      </w:r>
      <w:r>
        <w:rPr>
          <w:spacing w:val="-26"/>
        </w:rPr>
        <w:t> </w:t>
      </w:r>
      <w:r>
        <w:rPr/>
        <w:t>inquiries</w:t>
      </w:r>
      <w:r>
        <w:rPr>
          <w:spacing w:val="-26"/>
        </w:rPr>
        <w:t> </w:t>
      </w:r>
      <w:r>
        <w:rPr/>
        <w:t>in</w:t>
      </w:r>
      <w:r>
        <w:rPr>
          <w:spacing w:val="-28"/>
        </w:rPr>
        <w:t> </w:t>
      </w:r>
      <w:r>
        <w:rPr/>
        <w:t>this regard with the relevant legal/ statutory</w:t>
      </w:r>
      <w:r>
        <w:rPr>
          <w:spacing w:val="-38"/>
        </w:rPr>
        <w:t> </w:t>
      </w:r>
      <w:r>
        <w:rPr/>
        <w:t>authorities.</w:t>
      </w:r>
    </w:p>
    <w:p>
      <w:pPr>
        <w:pStyle w:val="BodyText"/>
        <w:spacing w:before="8"/>
        <w:rPr>
          <w:sz w:val="20"/>
        </w:rPr>
      </w:pPr>
    </w:p>
    <w:p>
      <w:pPr>
        <w:pStyle w:val="ListParagraph"/>
        <w:numPr>
          <w:ilvl w:val="2"/>
          <w:numId w:val="14"/>
        </w:numPr>
        <w:tabs>
          <w:tab w:pos="841" w:val="left" w:leader="none"/>
        </w:tabs>
        <w:spacing w:line="240" w:lineRule="auto" w:before="1" w:after="0"/>
        <w:ind w:left="840" w:right="0" w:hanging="721"/>
        <w:jc w:val="left"/>
        <w:rPr>
          <w:sz w:val="22"/>
        </w:rPr>
      </w:pPr>
      <w:bookmarkStart w:name="_bookmark132" w:id="258"/>
      <w:bookmarkEnd w:id="258"/>
      <w:r>
        <w:rPr/>
      </w:r>
      <w:bookmarkStart w:name="_bookmark132" w:id="259"/>
      <w:bookmarkEnd w:id="259"/>
      <w:r>
        <w:rPr>
          <w:color w:val="1F664D"/>
          <w:w w:val="105"/>
          <w:sz w:val="22"/>
        </w:rPr>
        <w:t>Town</w:t>
      </w:r>
      <w:r>
        <w:rPr>
          <w:color w:val="1F664D"/>
          <w:spacing w:val="-4"/>
          <w:w w:val="105"/>
          <w:sz w:val="22"/>
        </w:rPr>
        <w:t> </w:t>
      </w:r>
      <w:r>
        <w:rPr>
          <w:color w:val="1F664D"/>
          <w:w w:val="105"/>
          <w:sz w:val="22"/>
        </w:rPr>
        <w:t>Planning</w:t>
      </w:r>
    </w:p>
    <w:p>
      <w:pPr>
        <w:pStyle w:val="BodyText"/>
        <w:spacing w:before="2"/>
        <w:rPr>
          <w:sz w:val="28"/>
        </w:rPr>
      </w:pPr>
    </w:p>
    <w:p>
      <w:pPr>
        <w:pStyle w:val="BodyText"/>
        <w:tabs>
          <w:tab w:pos="2208" w:val="left" w:leader="none"/>
        </w:tabs>
        <w:spacing w:line="321" w:lineRule="auto"/>
        <w:ind w:left="2208" w:right="219" w:hanging="1424"/>
        <w:jc w:val="both"/>
      </w:pPr>
      <w:r>
        <w:rPr/>
        <w:t>Zoning</w:t>
        <w:tab/>
        <w:t>Based</w:t>
      </w:r>
      <w:r>
        <w:rPr>
          <w:spacing w:val="-6"/>
        </w:rPr>
        <w:t> </w:t>
      </w:r>
      <w:r>
        <w:rPr/>
        <w:t>on</w:t>
      </w:r>
      <w:r>
        <w:rPr>
          <w:spacing w:val="-8"/>
        </w:rPr>
        <w:t> </w:t>
      </w:r>
      <w:r>
        <w:rPr/>
        <w:t>review</w:t>
      </w:r>
      <w:r>
        <w:rPr>
          <w:spacing w:val="-6"/>
        </w:rPr>
        <w:t> </w:t>
      </w:r>
      <w:r>
        <w:rPr/>
        <w:t>of</w:t>
      </w:r>
      <w:r>
        <w:rPr>
          <w:spacing w:val="-6"/>
        </w:rPr>
        <w:t> </w:t>
      </w:r>
      <w:r>
        <w:rPr/>
        <w:t>MMRDA</w:t>
      </w:r>
      <w:r>
        <w:rPr>
          <w:spacing w:val="-6"/>
        </w:rPr>
        <w:t> </w:t>
      </w:r>
      <w:r>
        <w:rPr/>
        <w:t>lease</w:t>
      </w:r>
      <w:r>
        <w:rPr>
          <w:spacing w:val="-7"/>
        </w:rPr>
        <w:t> </w:t>
      </w:r>
      <w:r>
        <w:rPr/>
        <w:t>deed</w:t>
      </w:r>
      <w:r>
        <w:rPr>
          <w:spacing w:val="-6"/>
        </w:rPr>
        <w:t> </w:t>
      </w:r>
      <w:r>
        <w:rPr/>
        <w:t>provided</w:t>
      </w:r>
      <w:r>
        <w:rPr>
          <w:spacing w:val="-8"/>
        </w:rPr>
        <w:t> </w:t>
      </w:r>
      <w:r>
        <w:rPr/>
        <w:t>by</w:t>
      </w:r>
      <w:r>
        <w:rPr>
          <w:spacing w:val="-6"/>
        </w:rPr>
        <w:t> </w:t>
      </w:r>
      <w:r>
        <w:rPr/>
        <w:t>the</w:t>
      </w:r>
      <w:r>
        <w:rPr>
          <w:spacing w:val="-8"/>
        </w:rPr>
        <w:t> </w:t>
      </w:r>
      <w:r>
        <w:rPr/>
        <w:t>client,</w:t>
      </w:r>
      <w:r>
        <w:rPr>
          <w:spacing w:val="-7"/>
        </w:rPr>
        <w:t> </w:t>
      </w:r>
      <w:r>
        <w:rPr/>
        <w:t>it</w:t>
      </w:r>
      <w:r>
        <w:rPr>
          <w:spacing w:val="-7"/>
        </w:rPr>
        <w:t> </w:t>
      </w:r>
      <w:r>
        <w:rPr/>
        <w:t>is</w:t>
      </w:r>
      <w:r>
        <w:rPr>
          <w:spacing w:val="-7"/>
        </w:rPr>
        <w:t> </w:t>
      </w:r>
      <w:r>
        <w:rPr/>
        <w:t>identified</w:t>
      </w:r>
      <w:r>
        <w:rPr>
          <w:spacing w:val="-6"/>
        </w:rPr>
        <w:t> </w:t>
      </w:r>
      <w:r>
        <w:rPr/>
        <w:t>that</w:t>
      </w:r>
      <w:r>
        <w:rPr>
          <w:spacing w:val="-6"/>
        </w:rPr>
        <w:t> </w:t>
      </w:r>
      <w:r>
        <w:rPr/>
        <w:t>the subject</w:t>
      </w:r>
      <w:r>
        <w:rPr>
          <w:spacing w:val="-22"/>
        </w:rPr>
        <w:t> </w:t>
      </w:r>
      <w:r>
        <w:rPr/>
        <w:t>property</w:t>
      </w:r>
      <w:r>
        <w:rPr>
          <w:spacing w:val="-20"/>
        </w:rPr>
        <w:t> </w:t>
      </w:r>
      <w:r>
        <w:rPr/>
        <w:t>is</w:t>
      </w:r>
      <w:r>
        <w:rPr>
          <w:spacing w:val="-22"/>
        </w:rPr>
        <w:t> </w:t>
      </w:r>
      <w:r>
        <w:rPr/>
        <w:t>a</w:t>
      </w:r>
      <w:r>
        <w:rPr>
          <w:spacing w:val="-21"/>
        </w:rPr>
        <w:t> </w:t>
      </w:r>
      <w:r>
        <w:rPr/>
        <w:t>commercial</w:t>
      </w:r>
      <w:r>
        <w:rPr>
          <w:spacing w:val="-21"/>
        </w:rPr>
        <w:t> </w:t>
      </w:r>
      <w:r>
        <w:rPr/>
        <w:t>zoned</w:t>
      </w:r>
      <w:r>
        <w:rPr>
          <w:spacing w:val="-20"/>
        </w:rPr>
        <w:t> </w:t>
      </w:r>
      <w:r>
        <w:rPr/>
        <w:t>land</w:t>
      </w:r>
      <w:r>
        <w:rPr>
          <w:spacing w:val="-21"/>
        </w:rPr>
        <w:t> </w:t>
      </w:r>
      <w:r>
        <w:rPr/>
        <w:t>parcel.</w:t>
      </w:r>
      <w:r>
        <w:rPr>
          <w:spacing w:val="-22"/>
        </w:rPr>
        <w:t> </w:t>
      </w:r>
      <w:r>
        <w:rPr/>
        <w:t>The</w:t>
      </w:r>
      <w:r>
        <w:rPr>
          <w:spacing w:val="-21"/>
        </w:rPr>
        <w:t> </w:t>
      </w:r>
      <w:r>
        <w:rPr/>
        <w:t>same</w:t>
      </w:r>
      <w:r>
        <w:rPr>
          <w:spacing w:val="-22"/>
        </w:rPr>
        <w:t> </w:t>
      </w:r>
      <w:r>
        <w:rPr/>
        <w:t>has</w:t>
      </w:r>
      <w:r>
        <w:rPr>
          <w:spacing w:val="-21"/>
        </w:rPr>
        <w:t> </w:t>
      </w:r>
      <w:r>
        <w:rPr/>
        <w:t>been</w:t>
      </w:r>
      <w:r>
        <w:rPr>
          <w:spacing w:val="-21"/>
        </w:rPr>
        <w:t> </w:t>
      </w:r>
      <w:r>
        <w:rPr/>
        <w:t>considered</w:t>
      </w:r>
      <w:r>
        <w:rPr>
          <w:spacing w:val="-21"/>
        </w:rPr>
        <w:t> </w:t>
      </w:r>
      <w:r>
        <w:rPr/>
        <w:t>for the</w:t>
      </w:r>
      <w:r>
        <w:rPr>
          <w:spacing w:val="-19"/>
        </w:rPr>
        <w:t> </w:t>
      </w:r>
      <w:r>
        <w:rPr/>
        <w:t>purpose</w:t>
      </w:r>
      <w:r>
        <w:rPr>
          <w:spacing w:val="-19"/>
        </w:rPr>
        <w:t> </w:t>
      </w:r>
      <w:r>
        <w:rPr/>
        <w:t>of</w:t>
      </w:r>
      <w:r>
        <w:rPr>
          <w:spacing w:val="-18"/>
        </w:rPr>
        <w:t> </w:t>
      </w:r>
      <w:r>
        <w:rPr/>
        <w:t>this</w:t>
      </w:r>
      <w:r>
        <w:rPr>
          <w:spacing w:val="-17"/>
        </w:rPr>
        <w:t> </w:t>
      </w:r>
      <w:r>
        <w:rPr/>
        <w:t>valuation.</w:t>
      </w:r>
      <w:r>
        <w:rPr>
          <w:spacing w:val="-19"/>
        </w:rPr>
        <w:t> </w:t>
      </w:r>
      <w:r>
        <w:rPr/>
        <w:t>The</w:t>
      </w:r>
      <w:r>
        <w:rPr>
          <w:spacing w:val="-19"/>
        </w:rPr>
        <w:t> </w:t>
      </w:r>
      <w:r>
        <w:rPr/>
        <w:t>Consultants</w:t>
      </w:r>
      <w:r>
        <w:rPr>
          <w:spacing w:val="-17"/>
        </w:rPr>
        <w:t> </w:t>
      </w:r>
      <w:r>
        <w:rPr/>
        <w:t>have</w:t>
      </w:r>
      <w:r>
        <w:rPr>
          <w:spacing w:val="-19"/>
        </w:rPr>
        <w:t> </w:t>
      </w:r>
      <w:r>
        <w:rPr/>
        <w:t>made</w:t>
      </w:r>
      <w:r>
        <w:rPr>
          <w:spacing w:val="-18"/>
        </w:rPr>
        <w:t> </w:t>
      </w:r>
      <w:r>
        <w:rPr/>
        <w:t>no</w:t>
      </w:r>
      <w:r>
        <w:rPr>
          <w:spacing w:val="-21"/>
        </w:rPr>
        <w:t> </w:t>
      </w:r>
      <w:r>
        <w:rPr/>
        <w:t>further</w:t>
      </w:r>
      <w:r>
        <w:rPr>
          <w:spacing w:val="-18"/>
        </w:rPr>
        <w:t> </w:t>
      </w:r>
      <w:r>
        <w:rPr/>
        <w:t>inquiries</w:t>
      </w:r>
      <w:r>
        <w:rPr>
          <w:spacing w:val="-17"/>
        </w:rPr>
        <w:t> </w:t>
      </w:r>
      <w:r>
        <w:rPr/>
        <w:t>with</w:t>
      </w:r>
      <w:r>
        <w:rPr>
          <w:spacing w:val="-21"/>
        </w:rPr>
        <w:t> </w:t>
      </w:r>
      <w:r>
        <w:rPr/>
        <w:t>the local authorities in this</w:t>
      </w:r>
      <w:r>
        <w:rPr>
          <w:spacing w:val="-16"/>
        </w:rPr>
        <w:t> </w:t>
      </w:r>
      <w:r>
        <w:rPr/>
        <w:t>regard.</w:t>
      </w:r>
    </w:p>
    <w:p>
      <w:pPr>
        <w:pStyle w:val="BodyText"/>
        <w:spacing w:line="321" w:lineRule="auto" w:before="124"/>
        <w:ind w:left="2208" w:right="219"/>
        <w:jc w:val="both"/>
      </w:pPr>
      <w:r>
        <w:rPr/>
        <w:t>The</w:t>
      </w:r>
      <w:r>
        <w:rPr>
          <w:spacing w:val="-23"/>
        </w:rPr>
        <w:t> </w:t>
      </w:r>
      <w:r>
        <w:rPr/>
        <w:t>permissible</w:t>
      </w:r>
      <w:r>
        <w:rPr>
          <w:spacing w:val="-23"/>
        </w:rPr>
        <w:t> </w:t>
      </w:r>
      <w:r>
        <w:rPr/>
        <w:t>land</w:t>
      </w:r>
      <w:r>
        <w:rPr>
          <w:spacing w:val="-21"/>
        </w:rPr>
        <w:t> </w:t>
      </w:r>
      <w:r>
        <w:rPr/>
        <w:t>use</w:t>
      </w:r>
      <w:r>
        <w:rPr>
          <w:spacing w:val="-22"/>
        </w:rPr>
        <w:t> </w:t>
      </w:r>
      <w:r>
        <w:rPr/>
        <w:t>adopted</w:t>
      </w:r>
      <w:r>
        <w:rPr>
          <w:spacing w:val="-21"/>
        </w:rPr>
        <w:t> </w:t>
      </w:r>
      <w:r>
        <w:rPr/>
        <w:t>by</w:t>
      </w:r>
      <w:r>
        <w:rPr>
          <w:spacing w:val="-21"/>
        </w:rPr>
        <w:t> </w:t>
      </w:r>
      <w:r>
        <w:rPr/>
        <w:t>the</w:t>
      </w:r>
      <w:r>
        <w:rPr>
          <w:spacing w:val="-22"/>
        </w:rPr>
        <w:t> </w:t>
      </w:r>
      <w:r>
        <w:rPr/>
        <w:t>Consultants</w:t>
      </w:r>
      <w:r>
        <w:rPr>
          <w:spacing w:val="-21"/>
        </w:rPr>
        <w:t> </w:t>
      </w:r>
      <w:r>
        <w:rPr/>
        <w:t>for</w:t>
      </w:r>
      <w:r>
        <w:rPr>
          <w:spacing w:val="-22"/>
        </w:rPr>
        <w:t> </w:t>
      </w:r>
      <w:r>
        <w:rPr/>
        <w:t>the</w:t>
      </w:r>
      <w:r>
        <w:rPr>
          <w:spacing w:val="-22"/>
        </w:rPr>
        <w:t> </w:t>
      </w:r>
      <w:r>
        <w:rPr/>
        <w:t>subject</w:t>
      </w:r>
      <w:r>
        <w:rPr>
          <w:spacing w:val="-21"/>
        </w:rPr>
        <w:t> </w:t>
      </w:r>
      <w:r>
        <w:rPr/>
        <w:t>property</w:t>
      </w:r>
      <w:r>
        <w:rPr>
          <w:spacing w:val="-21"/>
        </w:rPr>
        <w:t> </w:t>
      </w:r>
      <w:r>
        <w:rPr/>
        <w:t>has</w:t>
      </w:r>
      <w:r>
        <w:rPr>
          <w:spacing w:val="-20"/>
        </w:rPr>
        <w:t> </w:t>
      </w:r>
      <w:r>
        <w:rPr/>
        <w:t>been based</w:t>
      </w:r>
      <w:r>
        <w:rPr>
          <w:spacing w:val="-14"/>
        </w:rPr>
        <w:t> </w:t>
      </w:r>
      <w:r>
        <w:rPr/>
        <w:t>on</w:t>
      </w:r>
      <w:r>
        <w:rPr>
          <w:spacing w:val="-15"/>
        </w:rPr>
        <w:t> </w:t>
      </w:r>
      <w:r>
        <w:rPr/>
        <w:t>information/review</w:t>
      </w:r>
      <w:r>
        <w:rPr>
          <w:spacing w:val="-14"/>
        </w:rPr>
        <w:t> </w:t>
      </w:r>
      <w:r>
        <w:rPr/>
        <w:t>of</w:t>
      </w:r>
      <w:r>
        <w:rPr>
          <w:spacing w:val="-14"/>
        </w:rPr>
        <w:t> </w:t>
      </w:r>
      <w:r>
        <w:rPr/>
        <w:t>MMRDA</w:t>
      </w:r>
      <w:r>
        <w:rPr>
          <w:spacing w:val="-14"/>
        </w:rPr>
        <w:t> </w:t>
      </w:r>
      <w:r>
        <w:rPr/>
        <w:t>Lease</w:t>
      </w:r>
      <w:r>
        <w:rPr>
          <w:spacing w:val="-15"/>
        </w:rPr>
        <w:t> </w:t>
      </w:r>
      <w:r>
        <w:rPr/>
        <w:t>Deed</w:t>
      </w:r>
      <w:r>
        <w:rPr>
          <w:spacing w:val="-13"/>
        </w:rPr>
        <w:t> </w:t>
      </w:r>
      <w:r>
        <w:rPr/>
        <w:t>provided</w:t>
      </w:r>
      <w:r>
        <w:rPr>
          <w:spacing w:val="-16"/>
        </w:rPr>
        <w:t> </w:t>
      </w:r>
      <w:r>
        <w:rPr/>
        <w:t>by</w:t>
      </w:r>
      <w:r>
        <w:rPr>
          <w:spacing w:val="-13"/>
        </w:rPr>
        <w:t> </w:t>
      </w:r>
      <w:r>
        <w:rPr/>
        <w:t>the</w:t>
      </w:r>
      <w:r>
        <w:rPr>
          <w:spacing w:val="-15"/>
        </w:rPr>
        <w:t> </w:t>
      </w:r>
      <w:r>
        <w:rPr/>
        <w:t>Client.</w:t>
      </w:r>
      <w:r>
        <w:rPr>
          <w:spacing w:val="-8"/>
        </w:rPr>
        <w:t> </w:t>
      </w:r>
      <w:r>
        <w:rPr/>
        <w:t>It</w:t>
      </w:r>
      <w:r>
        <w:rPr>
          <w:spacing w:val="-14"/>
        </w:rPr>
        <w:t> </w:t>
      </w:r>
      <w:r>
        <w:rPr/>
        <w:t>must</w:t>
      </w:r>
      <w:r>
        <w:rPr>
          <w:spacing w:val="-16"/>
        </w:rPr>
        <w:t> </w:t>
      </w:r>
      <w:r>
        <w:rPr/>
        <w:t>be noted</w:t>
      </w:r>
      <w:r>
        <w:rPr>
          <w:spacing w:val="-22"/>
        </w:rPr>
        <w:t> </w:t>
      </w:r>
      <w:r>
        <w:rPr/>
        <w:t>that</w:t>
      </w:r>
      <w:r>
        <w:rPr>
          <w:spacing w:val="-22"/>
        </w:rPr>
        <w:t> </w:t>
      </w:r>
      <w:r>
        <w:rPr/>
        <w:t>all</w:t>
      </w:r>
      <w:r>
        <w:rPr>
          <w:spacing w:val="-25"/>
        </w:rPr>
        <w:t> </w:t>
      </w:r>
      <w:r>
        <w:rPr/>
        <w:t>factual</w:t>
      </w:r>
      <w:r>
        <w:rPr>
          <w:spacing w:val="-22"/>
        </w:rPr>
        <w:t> </w:t>
      </w:r>
      <w:r>
        <w:rPr/>
        <w:t>data</w:t>
      </w:r>
      <w:r>
        <w:rPr>
          <w:spacing w:val="-23"/>
        </w:rPr>
        <w:t> </w:t>
      </w:r>
      <w:r>
        <w:rPr/>
        <w:t>viz.</w:t>
      </w:r>
      <w:r>
        <w:rPr>
          <w:spacing w:val="-22"/>
        </w:rPr>
        <w:t> </w:t>
      </w:r>
      <w:r>
        <w:rPr/>
        <w:t>permissible</w:t>
      </w:r>
      <w:r>
        <w:rPr>
          <w:spacing w:val="-23"/>
        </w:rPr>
        <w:t> </w:t>
      </w:r>
      <w:r>
        <w:rPr/>
        <w:t>development</w:t>
      </w:r>
      <w:r>
        <w:rPr>
          <w:spacing w:val="-23"/>
        </w:rPr>
        <w:t> </w:t>
      </w:r>
      <w:r>
        <w:rPr/>
        <w:t>control</w:t>
      </w:r>
      <w:r>
        <w:rPr>
          <w:spacing w:val="-22"/>
        </w:rPr>
        <w:t> </w:t>
      </w:r>
      <w:r>
        <w:rPr/>
        <w:t>regulations,</w:t>
      </w:r>
      <w:r>
        <w:rPr>
          <w:spacing w:val="-22"/>
        </w:rPr>
        <w:t> </w:t>
      </w:r>
      <w:r>
        <w:rPr/>
        <w:t>land</w:t>
      </w:r>
      <w:r>
        <w:rPr>
          <w:spacing w:val="-23"/>
        </w:rPr>
        <w:t> </w:t>
      </w:r>
      <w:r>
        <w:rPr/>
        <w:t>area and</w:t>
      </w:r>
      <w:r>
        <w:rPr>
          <w:spacing w:val="-13"/>
        </w:rPr>
        <w:t> </w:t>
      </w:r>
      <w:r>
        <w:rPr/>
        <w:t>achievable</w:t>
      </w:r>
      <w:r>
        <w:rPr>
          <w:spacing w:val="-13"/>
        </w:rPr>
        <w:t> </w:t>
      </w:r>
      <w:r>
        <w:rPr/>
        <w:t>FSI</w:t>
      </w:r>
      <w:r>
        <w:rPr>
          <w:spacing w:val="-12"/>
        </w:rPr>
        <w:t> </w:t>
      </w:r>
      <w:r>
        <w:rPr/>
        <w:t>have</w:t>
      </w:r>
      <w:r>
        <w:rPr>
          <w:spacing w:val="-14"/>
        </w:rPr>
        <w:t> </w:t>
      </w:r>
      <w:r>
        <w:rPr/>
        <w:t>also</w:t>
      </w:r>
      <w:r>
        <w:rPr>
          <w:spacing w:val="-13"/>
        </w:rPr>
        <w:t> </w:t>
      </w:r>
      <w:r>
        <w:rPr/>
        <w:t>been</w:t>
      </w:r>
      <w:r>
        <w:rPr>
          <w:spacing w:val="-13"/>
        </w:rPr>
        <w:t> </w:t>
      </w:r>
      <w:r>
        <w:rPr/>
        <w:t>based</w:t>
      </w:r>
      <w:r>
        <w:rPr>
          <w:spacing w:val="-12"/>
        </w:rPr>
        <w:t> </w:t>
      </w:r>
      <w:r>
        <w:rPr/>
        <w:t>on</w:t>
      </w:r>
      <w:r>
        <w:rPr>
          <w:spacing w:val="-13"/>
        </w:rPr>
        <w:t> </w:t>
      </w:r>
      <w:r>
        <w:rPr/>
        <w:t>information/review</w:t>
      </w:r>
      <w:r>
        <w:rPr>
          <w:spacing w:val="-12"/>
        </w:rPr>
        <w:t> </w:t>
      </w:r>
      <w:r>
        <w:rPr/>
        <w:t>of</w:t>
      </w:r>
      <w:r>
        <w:rPr>
          <w:spacing w:val="-12"/>
        </w:rPr>
        <w:t> </w:t>
      </w:r>
      <w:r>
        <w:rPr/>
        <w:t>various</w:t>
      </w:r>
      <w:r>
        <w:rPr>
          <w:spacing w:val="-12"/>
        </w:rPr>
        <w:t> </w:t>
      </w:r>
      <w:r>
        <w:rPr/>
        <w:t>documents (such</w:t>
      </w:r>
      <w:r>
        <w:rPr>
          <w:spacing w:val="-43"/>
        </w:rPr>
        <w:t> </w:t>
      </w:r>
      <w:r>
        <w:rPr/>
        <w:t>as</w:t>
      </w:r>
      <w:r>
        <w:rPr>
          <w:spacing w:val="-43"/>
        </w:rPr>
        <w:t> </w:t>
      </w:r>
      <w:r>
        <w:rPr/>
        <w:t>title</w:t>
      </w:r>
      <w:r>
        <w:rPr>
          <w:spacing w:val="-43"/>
        </w:rPr>
        <w:t> </w:t>
      </w:r>
      <w:r>
        <w:rPr/>
        <w:t>deed,</w:t>
      </w:r>
      <w:r>
        <w:rPr>
          <w:spacing w:val="-43"/>
        </w:rPr>
        <w:t> </w:t>
      </w:r>
      <w:r>
        <w:rPr/>
        <w:t>plan</w:t>
      </w:r>
      <w:r>
        <w:rPr>
          <w:spacing w:val="-43"/>
        </w:rPr>
        <w:t> </w:t>
      </w:r>
      <w:r>
        <w:rPr/>
        <w:t>sanction</w:t>
      </w:r>
      <w:r>
        <w:rPr>
          <w:spacing w:val="-43"/>
        </w:rPr>
        <w:t> </w:t>
      </w:r>
      <w:r>
        <w:rPr/>
        <w:t>letter,</w:t>
      </w:r>
      <w:r>
        <w:rPr>
          <w:spacing w:val="-43"/>
        </w:rPr>
        <w:t> </w:t>
      </w:r>
      <w:r>
        <w:rPr/>
        <w:t>site</w:t>
      </w:r>
      <w:r>
        <w:rPr>
          <w:spacing w:val="-43"/>
        </w:rPr>
        <w:t> </w:t>
      </w:r>
      <w:r>
        <w:rPr/>
        <w:t>plan,</w:t>
      </w:r>
      <w:r>
        <w:rPr>
          <w:spacing w:val="-42"/>
        </w:rPr>
        <w:t> </w:t>
      </w:r>
      <w:r>
        <w:rPr/>
        <w:t>etc.)</w:t>
      </w:r>
      <w:r>
        <w:rPr>
          <w:spacing w:val="-42"/>
        </w:rPr>
        <w:t> </w:t>
      </w:r>
      <w:r>
        <w:rPr/>
        <w:t>provided</w:t>
      </w:r>
      <w:r>
        <w:rPr>
          <w:spacing w:val="-43"/>
        </w:rPr>
        <w:t> </w:t>
      </w:r>
      <w:r>
        <w:rPr/>
        <w:t>by</w:t>
      </w:r>
      <w:r>
        <w:rPr>
          <w:spacing w:val="-42"/>
        </w:rPr>
        <w:t> </w:t>
      </w:r>
      <w:r>
        <w:rPr/>
        <w:t>the</w:t>
      </w:r>
      <w:r>
        <w:rPr>
          <w:spacing w:val="-43"/>
        </w:rPr>
        <w:t> </w:t>
      </w:r>
      <w:r>
        <w:rPr/>
        <w:t>Client</w:t>
      </w:r>
      <w:r>
        <w:rPr>
          <w:spacing w:val="-43"/>
        </w:rPr>
        <w:t> </w:t>
      </w:r>
      <w:r>
        <w:rPr/>
        <w:t>or</w:t>
      </w:r>
      <w:r>
        <w:rPr>
          <w:spacing w:val="-43"/>
        </w:rPr>
        <w:t> </w:t>
      </w:r>
      <w:r>
        <w:rPr/>
        <w:t>assumed based on building regulations, and no physical verification/ measurement has been undertaken for the purpose of this valuation</w:t>
      </w:r>
      <w:r>
        <w:rPr>
          <w:spacing w:val="-48"/>
        </w:rPr>
        <w:t> </w:t>
      </w:r>
      <w:r>
        <w:rPr/>
        <w:t>exercise.</w:t>
      </w:r>
    </w:p>
    <w:p>
      <w:pPr>
        <w:pStyle w:val="BodyText"/>
        <w:spacing w:line="321" w:lineRule="auto" w:before="124"/>
        <w:ind w:left="2208" w:right="221"/>
        <w:jc w:val="both"/>
      </w:pPr>
      <w:r>
        <w:rPr/>
        <w:t>For</w:t>
      </w:r>
      <w:r>
        <w:rPr>
          <w:spacing w:val="-20"/>
        </w:rPr>
        <w:t> </w:t>
      </w:r>
      <w:r>
        <w:rPr/>
        <w:t>the</w:t>
      </w:r>
      <w:r>
        <w:rPr>
          <w:spacing w:val="-19"/>
        </w:rPr>
        <w:t> </w:t>
      </w:r>
      <w:r>
        <w:rPr/>
        <w:t>purpose</w:t>
      </w:r>
      <w:r>
        <w:rPr>
          <w:spacing w:val="-19"/>
        </w:rPr>
        <w:t> </w:t>
      </w:r>
      <w:r>
        <w:rPr/>
        <w:t>of</w:t>
      </w:r>
      <w:r>
        <w:rPr>
          <w:spacing w:val="-18"/>
        </w:rPr>
        <w:t> </w:t>
      </w:r>
      <w:r>
        <w:rPr/>
        <w:t>this</w:t>
      </w:r>
      <w:r>
        <w:rPr>
          <w:spacing w:val="-18"/>
        </w:rPr>
        <w:t> </w:t>
      </w:r>
      <w:r>
        <w:rPr/>
        <w:t>exercise,</w:t>
      </w:r>
      <w:r>
        <w:rPr>
          <w:spacing w:val="-19"/>
        </w:rPr>
        <w:t> </w:t>
      </w:r>
      <w:r>
        <w:rPr/>
        <w:t>it</w:t>
      </w:r>
      <w:r>
        <w:rPr>
          <w:spacing w:val="-18"/>
        </w:rPr>
        <w:t> </w:t>
      </w:r>
      <w:r>
        <w:rPr/>
        <w:t>has</w:t>
      </w:r>
      <w:r>
        <w:rPr>
          <w:spacing w:val="-18"/>
        </w:rPr>
        <w:t> </w:t>
      </w:r>
      <w:r>
        <w:rPr/>
        <w:t>been</w:t>
      </w:r>
      <w:r>
        <w:rPr>
          <w:spacing w:val="-19"/>
        </w:rPr>
        <w:t> </w:t>
      </w:r>
      <w:r>
        <w:rPr/>
        <w:t>assumed</w:t>
      </w:r>
      <w:r>
        <w:rPr>
          <w:spacing w:val="-18"/>
        </w:rPr>
        <w:t> </w:t>
      </w:r>
      <w:r>
        <w:rPr/>
        <w:t>that</w:t>
      </w:r>
      <w:r>
        <w:rPr>
          <w:spacing w:val="-18"/>
        </w:rPr>
        <w:t> </w:t>
      </w:r>
      <w:r>
        <w:rPr/>
        <w:t>all</w:t>
      </w:r>
      <w:r>
        <w:rPr>
          <w:spacing w:val="-20"/>
        </w:rPr>
        <w:t> </w:t>
      </w:r>
      <w:r>
        <w:rPr/>
        <w:t>developments</w:t>
      </w:r>
      <w:r>
        <w:rPr>
          <w:spacing w:val="-18"/>
        </w:rPr>
        <w:t> </w:t>
      </w:r>
      <w:r>
        <w:rPr/>
        <w:t>(existing</w:t>
      </w:r>
      <w:r>
        <w:rPr>
          <w:spacing w:val="-17"/>
        </w:rPr>
        <w:t> </w:t>
      </w:r>
      <w:r>
        <w:rPr/>
        <w:t>/ under construction / proposed) adhere to building regulations as prescribed by the relevant</w:t>
      </w:r>
      <w:r>
        <w:rPr>
          <w:spacing w:val="-44"/>
        </w:rPr>
        <w:t> </w:t>
      </w:r>
      <w:r>
        <w:rPr/>
        <w:t>authorities.</w:t>
      </w:r>
      <w:r>
        <w:rPr>
          <w:spacing w:val="-43"/>
        </w:rPr>
        <w:t> </w:t>
      </w:r>
      <w:r>
        <w:rPr/>
        <w:t>The</w:t>
      </w:r>
      <w:r>
        <w:rPr>
          <w:spacing w:val="-43"/>
        </w:rPr>
        <w:t> </w:t>
      </w:r>
      <w:r>
        <w:rPr/>
        <w:t>Consultants</w:t>
      </w:r>
      <w:r>
        <w:rPr>
          <w:spacing w:val="-43"/>
        </w:rPr>
        <w:t> </w:t>
      </w:r>
      <w:r>
        <w:rPr/>
        <w:t>have</w:t>
      </w:r>
      <w:r>
        <w:rPr>
          <w:spacing w:val="-43"/>
        </w:rPr>
        <w:t> </w:t>
      </w:r>
      <w:r>
        <w:rPr/>
        <w:t>not</w:t>
      </w:r>
      <w:r>
        <w:rPr>
          <w:spacing w:val="-44"/>
        </w:rPr>
        <w:t> </w:t>
      </w:r>
      <w:r>
        <w:rPr/>
        <w:t>validated</w:t>
      </w:r>
      <w:r>
        <w:rPr>
          <w:spacing w:val="-42"/>
        </w:rPr>
        <w:t> </w:t>
      </w:r>
      <w:r>
        <w:rPr/>
        <w:t>the</w:t>
      </w:r>
      <w:r>
        <w:rPr>
          <w:spacing w:val="-44"/>
        </w:rPr>
        <w:t> </w:t>
      </w:r>
      <w:r>
        <w:rPr/>
        <w:t>information</w:t>
      </w:r>
      <w:r>
        <w:rPr>
          <w:spacing w:val="-43"/>
        </w:rPr>
        <w:t> </w:t>
      </w:r>
      <w:r>
        <w:rPr/>
        <w:t>provided</w:t>
      </w:r>
      <w:r>
        <w:rPr>
          <w:spacing w:val="-43"/>
        </w:rPr>
        <w:t> </w:t>
      </w:r>
      <w:r>
        <w:rPr/>
        <w:t>by</w:t>
      </w:r>
      <w:r>
        <w:rPr>
          <w:spacing w:val="-43"/>
        </w:rPr>
        <w:t> </w:t>
      </w:r>
      <w:r>
        <w:rPr/>
        <w:t>the Client with the relevant development</w:t>
      </w:r>
      <w:r>
        <w:rPr>
          <w:spacing w:val="-37"/>
        </w:rPr>
        <w:t> </w:t>
      </w:r>
      <w:r>
        <w:rPr/>
        <w:t>authorities.</w:t>
      </w:r>
    </w:p>
    <w:p>
      <w:pPr>
        <w:pStyle w:val="BodyText"/>
        <w:spacing w:before="8"/>
        <w:rPr>
          <w:sz w:val="11"/>
        </w:rPr>
      </w:pPr>
    </w:p>
    <w:p>
      <w:pPr>
        <w:spacing w:after="0"/>
        <w:rPr>
          <w:sz w:val="11"/>
        </w:rPr>
        <w:sectPr>
          <w:headerReference w:type="default" r:id="rId128"/>
          <w:footerReference w:type="default" r:id="rId129"/>
          <w:pgSz w:w="11910" w:h="16840"/>
          <w:pgMar w:header="720" w:footer="933" w:top="1660" w:bottom="1120" w:left="600" w:right="520"/>
          <w:pgNumType w:start="137"/>
        </w:sectPr>
      </w:pPr>
    </w:p>
    <w:p>
      <w:pPr>
        <w:pStyle w:val="BodyText"/>
        <w:spacing w:line="321" w:lineRule="auto" w:before="106"/>
        <w:ind w:left="785" w:right="-18"/>
      </w:pPr>
      <w:r>
        <w:rPr/>
        <w:t>Approved Usage:</w:t>
      </w:r>
    </w:p>
    <w:p>
      <w:pPr>
        <w:pStyle w:val="BodyText"/>
        <w:spacing w:line="321" w:lineRule="auto" w:before="106"/>
        <w:ind w:left="453" w:right="219"/>
        <w:jc w:val="both"/>
      </w:pPr>
      <w:r>
        <w:rPr/>
        <w:br w:type="column"/>
      </w:r>
      <w:r>
        <w:rPr/>
        <w:t>Based</w:t>
      </w:r>
      <w:r>
        <w:rPr>
          <w:spacing w:val="-26"/>
        </w:rPr>
        <w:t> </w:t>
      </w:r>
      <w:r>
        <w:rPr/>
        <w:t>on</w:t>
      </w:r>
      <w:r>
        <w:rPr>
          <w:spacing w:val="-26"/>
        </w:rPr>
        <w:t> </w:t>
      </w:r>
      <w:r>
        <w:rPr/>
        <w:t>occupancy</w:t>
      </w:r>
      <w:r>
        <w:rPr>
          <w:spacing w:val="-25"/>
        </w:rPr>
        <w:t> </w:t>
      </w:r>
      <w:r>
        <w:rPr/>
        <w:t>certificates</w:t>
      </w:r>
      <w:r>
        <w:rPr>
          <w:spacing w:val="-26"/>
        </w:rPr>
        <w:t> </w:t>
      </w:r>
      <w:r>
        <w:rPr/>
        <w:t>provided</w:t>
      </w:r>
      <w:r>
        <w:rPr>
          <w:spacing w:val="-25"/>
        </w:rPr>
        <w:t> </w:t>
      </w:r>
      <w:r>
        <w:rPr/>
        <w:t>by</w:t>
      </w:r>
      <w:r>
        <w:rPr>
          <w:spacing w:val="-25"/>
        </w:rPr>
        <w:t> </w:t>
      </w:r>
      <w:r>
        <w:rPr/>
        <w:t>the</w:t>
      </w:r>
      <w:r>
        <w:rPr>
          <w:spacing w:val="-28"/>
        </w:rPr>
        <w:t> </w:t>
      </w:r>
      <w:r>
        <w:rPr/>
        <w:t>Client</w:t>
      </w:r>
      <w:r>
        <w:rPr>
          <w:spacing w:val="-26"/>
        </w:rPr>
        <w:t> </w:t>
      </w:r>
      <w:r>
        <w:rPr/>
        <w:t>and</w:t>
      </w:r>
      <w:r>
        <w:rPr>
          <w:spacing w:val="-25"/>
        </w:rPr>
        <w:t> </w:t>
      </w:r>
      <w:r>
        <w:rPr/>
        <w:t>visual</w:t>
      </w:r>
      <w:r>
        <w:rPr>
          <w:spacing w:val="-27"/>
        </w:rPr>
        <w:t> </w:t>
      </w:r>
      <w:r>
        <w:rPr/>
        <w:t>inspection</w:t>
      </w:r>
      <w:r>
        <w:rPr>
          <w:spacing w:val="-28"/>
        </w:rPr>
        <w:t> </w:t>
      </w:r>
      <w:r>
        <w:rPr/>
        <w:t>during</w:t>
      </w:r>
      <w:r>
        <w:rPr>
          <w:spacing w:val="-25"/>
        </w:rPr>
        <w:t> </w:t>
      </w:r>
      <w:r>
        <w:rPr/>
        <w:t>our site</w:t>
      </w:r>
      <w:r>
        <w:rPr>
          <w:spacing w:val="-27"/>
        </w:rPr>
        <w:t> </w:t>
      </w:r>
      <w:r>
        <w:rPr/>
        <w:t>visit,</w:t>
      </w:r>
      <w:r>
        <w:rPr>
          <w:spacing w:val="-27"/>
        </w:rPr>
        <w:t> </w:t>
      </w:r>
      <w:r>
        <w:rPr/>
        <w:t>we</w:t>
      </w:r>
      <w:r>
        <w:rPr>
          <w:spacing w:val="-26"/>
        </w:rPr>
        <w:t> </w:t>
      </w:r>
      <w:r>
        <w:rPr/>
        <w:t>understand</w:t>
      </w:r>
      <w:r>
        <w:rPr>
          <w:spacing w:val="-26"/>
        </w:rPr>
        <w:t> </w:t>
      </w:r>
      <w:r>
        <w:rPr/>
        <w:t>that</w:t>
      </w:r>
      <w:r>
        <w:rPr>
          <w:spacing w:val="-26"/>
        </w:rPr>
        <w:t> </w:t>
      </w:r>
      <w:r>
        <w:rPr/>
        <w:t>the</w:t>
      </w:r>
      <w:r>
        <w:rPr>
          <w:spacing w:val="-27"/>
        </w:rPr>
        <w:t> </w:t>
      </w:r>
      <w:r>
        <w:rPr/>
        <w:t>subject</w:t>
      </w:r>
      <w:r>
        <w:rPr>
          <w:spacing w:val="-27"/>
        </w:rPr>
        <w:t> </w:t>
      </w:r>
      <w:r>
        <w:rPr/>
        <w:t>property</w:t>
      </w:r>
      <w:r>
        <w:rPr>
          <w:spacing w:val="-26"/>
        </w:rPr>
        <w:t> </w:t>
      </w:r>
      <w:r>
        <w:rPr/>
        <w:t>is</w:t>
      </w:r>
      <w:r>
        <w:rPr>
          <w:spacing w:val="-26"/>
        </w:rPr>
        <w:t> </w:t>
      </w:r>
      <w:r>
        <w:rPr/>
        <w:t>an</w:t>
      </w:r>
      <w:r>
        <w:rPr>
          <w:spacing w:val="-26"/>
        </w:rPr>
        <w:t> </w:t>
      </w:r>
      <w:r>
        <w:rPr/>
        <w:t>operational</w:t>
      </w:r>
      <w:r>
        <w:rPr>
          <w:spacing w:val="-26"/>
        </w:rPr>
        <w:t> </w:t>
      </w:r>
      <w:r>
        <w:rPr/>
        <w:t>office.</w:t>
      </w:r>
      <w:r>
        <w:rPr>
          <w:spacing w:val="-27"/>
        </w:rPr>
        <w:t> </w:t>
      </w:r>
      <w:r>
        <w:rPr/>
        <w:t>The</w:t>
      </w:r>
      <w:r>
        <w:rPr>
          <w:spacing w:val="-26"/>
        </w:rPr>
        <w:t> </w:t>
      </w:r>
      <w:r>
        <w:rPr/>
        <w:t>current use</w:t>
      </w:r>
      <w:r>
        <w:rPr>
          <w:spacing w:val="-27"/>
        </w:rPr>
        <w:t> </w:t>
      </w:r>
      <w:r>
        <w:rPr/>
        <w:t>of</w:t>
      </w:r>
      <w:r>
        <w:rPr>
          <w:spacing w:val="-27"/>
        </w:rPr>
        <w:t> </w:t>
      </w:r>
      <w:r>
        <w:rPr/>
        <w:t>the</w:t>
      </w:r>
      <w:r>
        <w:rPr>
          <w:spacing w:val="-27"/>
        </w:rPr>
        <w:t> </w:t>
      </w:r>
      <w:r>
        <w:rPr/>
        <w:t>subject</w:t>
      </w:r>
      <w:r>
        <w:rPr>
          <w:spacing w:val="-27"/>
        </w:rPr>
        <w:t> </w:t>
      </w:r>
      <w:r>
        <w:rPr/>
        <w:t>property</w:t>
      </w:r>
      <w:r>
        <w:rPr>
          <w:spacing w:val="-26"/>
        </w:rPr>
        <w:t> </w:t>
      </w:r>
      <w:r>
        <w:rPr/>
        <w:t>has</w:t>
      </w:r>
      <w:r>
        <w:rPr>
          <w:spacing w:val="-26"/>
        </w:rPr>
        <w:t> </w:t>
      </w:r>
      <w:r>
        <w:rPr/>
        <w:t>been</w:t>
      </w:r>
      <w:r>
        <w:rPr>
          <w:spacing w:val="-27"/>
        </w:rPr>
        <w:t> </w:t>
      </w:r>
      <w:r>
        <w:rPr/>
        <w:t>provided</w:t>
      </w:r>
      <w:r>
        <w:rPr>
          <w:spacing w:val="-28"/>
        </w:rPr>
        <w:t> </w:t>
      </w:r>
      <w:r>
        <w:rPr/>
        <w:t>by</w:t>
      </w:r>
      <w:r>
        <w:rPr>
          <w:spacing w:val="-27"/>
        </w:rPr>
        <w:t> </w:t>
      </w:r>
      <w:r>
        <w:rPr/>
        <w:t>the</w:t>
      </w:r>
      <w:r>
        <w:rPr>
          <w:spacing w:val="-27"/>
        </w:rPr>
        <w:t> </w:t>
      </w:r>
      <w:r>
        <w:rPr/>
        <w:t>Client</w:t>
      </w:r>
      <w:r>
        <w:rPr>
          <w:spacing w:val="-27"/>
        </w:rPr>
        <w:t> </w:t>
      </w:r>
      <w:r>
        <w:rPr/>
        <w:t>and</w:t>
      </w:r>
      <w:r>
        <w:rPr>
          <w:spacing w:val="-27"/>
        </w:rPr>
        <w:t> </w:t>
      </w:r>
      <w:r>
        <w:rPr/>
        <w:t>is</w:t>
      </w:r>
      <w:r>
        <w:rPr>
          <w:spacing w:val="-26"/>
        </w:rPr>
        <w:t> </w:t>
      </w:r>
      <w:r>
        <w:rPr/>
        <w:t>broadly</w:t>
      </w:r>
      <w:r>
        <w:rPr>
          <w:spacing w:val="-27"/>
        </w:rPr>
        <w:t> </w:t>
      </w:r>
      <w:r>
        <w:rPr/>
        <w:t>in</w:t>
      </w:r>
      <w:r>
        <w:rPr>
          <w:spacing w:val="-27"/>
        </w:rPr>
        <w:t> </w:t>
      </w:r>
      <w:r>
        <w:rPr/>
        <w:t>agreement with the rules and regulations as prescribed by the local development authority. However,</w:t>
      </w:r>
      <w:r>
        <w:rPr>
          <w:spacing w:val="-47"/>
        </w:rPr>
        <w:t> </w:t>
      </w:r>
      <w:r>
        <w:rPr/>
        <w:t>the</w:t>
      </w:r>
      <w:r>
        <w:rPr>
          <w:spacing w:val="-47"/>
        </w:rPr>
        <w:t> </w:t>
      </w:r>
      <w:r>
        <w:rPr/>
        <w:t>Consultants</w:t>
      </w:r>
      <w:r>
        <w:rPr>
          <w:spacing w:val="-47"/>
        </w:rPr>
        <w:t> </w:t>
      </w:r>
      <w:r>
        <w:rPr/>
        <w:t>have</w:t>
      </w:r>
      <w:r>
        <w:rPr>
          <w:spacing w:val="-47"/>
        </w:rPr>
        <w:t> </w:t>
      </w:r>
      <w:r>
        <w:rPr/>
        <w:t>not</w:t>
      </w:r>
      <w:r>
        <w:rPr>
          <w:spacing w:val="-47"/>
        </w:rPr>
        <w:t> </w:t>
      </w:r>
      <w:r>
        <w:rPr/>
        <w:t>made</w:t>
      </w:r>
      <w:r>
        <w:rPr>
          <w:spacing w:val="-47"/>
        </w:rPr>
        <w:t> </w:t>
      </w:r>
      <w:r>
        <w:rPr/>
        <w:t>any</w:t>
      </w:r>
      <w:r>
        <w:rPr>
          <w:spacing w:val="-46"/>
        </w:rPr>
        <w:t> </w:t>
      </w:r>
      <w:r>
        <w:rPr/>
        <w:t>enquiries</w:t>
      </w:r>
      <w:r>
        <w:rPr>
          <w:spacing w:val="-46"/>
        </w:rPr>
        <w:t> </w:t>
      </w:r>
      <w:r>
        <w:rPr/>
        <w:t>with</w:t>
      </w:r>
      <w:r>
        <w:rPr>
          <w:spacing w:val="-48"/>
        </w:rPr>
        <w:t> </w:t>
      </w:r>
      <w:r>
        <w:rPr/>
        <w:t>the</w:t>
      </w:r>
      <w:r>
        <w:rPr>
          <w:spacing w:val="-47"/>
        </w:rPr>
        <w:t> </w:t>
      </w:r>
      <w:r>
        <w:rPr/>
        <w:t>relevant</w:t>
      </w:r>
      <w:r>
        <w:rPr>
          <w:spacing w:val="-47"/>
        </w:rPr>
        <w:t> </w:t>
      </w:r>
      <w:r>
        <w:rPr/>
        <w:t>local</w:t>
      </w:r>
      <w:r>
        <w:rPr>
          <w:spacing w:val="-47"/>
        </w:rPr>
        <w:t> </w:t>
      </w:r>
      <w:r>
        <w:rPr/>
        <w:t>authorities to</w:t>
      </w:r>
      <w:r>
        <w:rPr>
          <w:spacing w:val="-17"/>
        </w:rPr>
        <w:t> </w:t>
      </w:r>
      <w:r>
        <w:rPr/>
        <w:t>validate</w:t>
      </w:r>
      <w:r>
        <w:rPr>
          <w:spacing w:val="-16"/>
        </w:rPr>
        <w:t> </w:t>
      </w:r>
      <w:r>
        <w:rPr/>
        <w:t>the</w:t>
      </w:r>
      <w:r>
        <w:rPr>
          <w:spacing w:val="-16"/>
        </w:rPr>
        <w:t> </w:t>
      </w:r>
      <w:r>
        <w:rPr/>
        <w:t>same</w:t>
      </w:r>
      <w:r>
        <w:rPr>
          <w:spacing w:val="-16"/>
        </w:rPr>
        <w:t> </w:t>
      </w:r>
      <w:r>
        <w:rPr/>
        <w:t>for</w:t>
      </w:r>
      <w:r>
        <w:rPr>
          <w:spacing w:val="-16"/>
        </w:rPr>
        <w:t> </w:t>
      </w:r>
      <w:r>
        <w:rPr/>
        <w:t>its</w:t>
      </w:r>
      <w:r>
        <w:rPr>
          <w:spacing w:val="-16"/>
        </w:rPr>
        <w:t> </w:t>
      </w:r>
      <w:r>
        <w:rPr/>
        <w:t>specific</w:t>
      </w:r>
      <w:r>
        <w:rPr>
          <w:spacing w:val="-17"/>
        </w:rPr>
        <w:t> </w:t>
      </w:r>
      <w:r>
        <w:rPr/>
        <w:t>applicability</w:t>
      </w:r>
      <w:r>
        <w:rPr>
          <w:spacing w:val="-15"/>
        </w:rPr>
        <w:t> </w:t>
      </w:r>
      <w:r>
        <w:rPr/>
        <w:t>to</w:t>
      </w:r>
      <w:r>
        <w:rPr>
          <w:spacing w:val="-16"/>
        </w:rPr>
        <w:t> </w:t>
      </w:r>
      <w:r>
        <w:rPr/>
        <w:t>the</w:t>
      </w:r>
      <w:r>
        <w:rPr>
          <w:spacing w:val="-17"/>
        </w:rPr>
        <w:t> </w:t>
      </w:r>
      <w:r>
        <w:rPr/>
        <w:t>subject</w:t>
      </w:r>
      <w:r>
        <w:rPr>
          <w:spacing w:val="-16"/>
        </w:rPr>
        <w:t> </w:t>
      </w:r>
      <w:r>
        <w:rPr/>
        <w:t>property.</w:t>
      </w:r>
    </w:p>
    <w:p>
      <w:pPr>
        <w:spacing w:after="0" w:line="321" w:lineRule="auto"/>
        <w:jc w:val="both"/>
        <w:sectPr>
          <w:type w:val="continuous"/>
          <w:pgSz w:w="11910" w:h="16840"/>
          <w:pgMar w:top="800" w:bottom="280" w:left="600" w:right="520"/>
          <w:cols w:num="2" w:equalWidth="0">
            <w:col w:w="1716" w:space="40"/>
            <w:col w:w="9034"/>
          </w:cols>
        </w:sectPr>
      </w:pPr>
    </w:p>
    <w:p>
      <w:pPr>
        <w:pStyle w:val="BodyText"/>
        <w:spacing w:before="9"/>
        <w:rPr>
          <w:sz w:val="11"/>
        </w:rPr>
      </w:pPr>
    </w:p>
    <w:p>
      <w:pPr>
        <w:pStyle w:val="BodyText"/>
        <w:tabs>
          <w:tab w:pos="2208" w:val="left" w:leader="none"/>
        </w:tabs>
        <w:spacing w:line="321" w:lineRule="auto" w:before="106"/>
        <w:ind w:left="2208" w:right="220" w:hanging="1424"/>
      </w:pPr>
      <w:r>
        <w:rPr>
          <w:w w:val="95"/>
        </w:rPr>
        <w:t>Restrictions:</w:t>
        <w:tab/>
      </w:r>
      <w:r>
        <w:rPr/>
        <w:t>As</w:t>
      </w:r>
      <w:r>
        <w:rPr>
          <w:spacing w:val="-30"/>
        </w:rPr>
        <w:t> </w:t>
      </w:r>
      <w:r>
        <w:rPr/>
        <w:t>per</w:t>
      </w:r>
      <w:r>
        <w:rPr>
          <w:spacing w:val="-30"/>
        </w:rPr>
        <w:t> </w:t>
      </w:r>
      <w:r>
        <w:rPr/>
        <w:t>feedback</w:t>
      </w:r>
      <w:r>
        <w:rPr>
          <w:spacing w:val="-30"/>
        </w:rPr>
        <w:t> </w:t>
      </w:r>
      <w:r>
        <w:rPr/>
        <w:t>received</w:t>
      </w:r>
      <w:r>
        <w:rPr>
          <w:spacing w:val="-29"/>
        </w:rPr>
        <w:t> </w:t>
      </w:r>
      <w:r>
        <w:rPr/>
        <w:t>from</w:t>
      </w:r>
      <w:r>
        <w:rPr>
          <w:spacing w:val="-29"/>
        </w:rPr>
        <w:t> </w:t>
      </w:r>
      <w:r>
        <w:rPr/>
        <w:t>the</w:t>
      </w:r>
      <w:r>
        <w:rPr>
          <w:spacing w:val="-30"/>
        </w:rPr>
        <w:t> </w:t>
      </w:r>
      <w:r>
        <w:rPr/>
        <w:t>Client,</w:t>
      </w:r>
      <w:r>
        <w:rPr>
          <w:spacing w:val="-29"/>
        </w:rPr>
        <w:t> </w:t>
      </w:r>
      <w:r>
        <w:rPr/>
        <w:t>there</w:t>
      </w:r>
      <w:r>
        <w:rPr>
          <w:spacing w:val="-30"/>
        </w:rPr>
        <w:t> </w:t>
      </w:r>
      <w:r>
        <w:rPr/>
        <w:t>are</w:t>
      </w:r>
      <w:r>
        <w:rPr>
          <w:spacing w:val="-30"/>
        </w:rPr>
        <w:t> </w:t>
      </w:r>
      <w:r>
        <w:rPr/>
        <w:t>no</w:t>
      </w:r>
      <w:r>
        <w:rPr>
          <w:spacing w:val="-28"/>
        </w:rPr>
        <w:t> </w:t>
      </w:r>
      <w:r>
        <w:rPr/>
        <w:t>restrictions</w:t>
      </w:r>
      <w:r>
        <w:rPr>
          <w:spacing w:val="-28"/>
        </w:rPr>
        <w:t> </w:t>
      </w:r>
      <w:r>
        <w:rPr/>
        <w:t>on</w:t>
      </w:r>
      <w:r>
        <w:rPr>
          <w:spacing w:val="-29"/>
        </w:rPr>
        <w:t> </w:t>
      </w:r>
      <w:r>
        <w:rPr/>
        <w:t>the</w:t>
      </w:r>
      <w:r>
        <w:rPr>
          <w:spacing w:val="-30"/>
        </w:rPr>
        <w:t> </w:t>
      </w:r>
      <w:r>
        <w:rPr/>
        <w:t>current</w:t>
      </w:r>
      <w:r>
        <w:rPr>
          <w:spacing w:val="-29"/>
        </w:rPr>
        <w:t> </w:t>
      </w:r>
      <w:r>
        <w:rPr/>
        <w:t>use</w:t>
      </w:r>
      <w:r>
        <w:rPr>
          <w:spacing w:val="-30"/>
        </w:rPr>
        <w:t> </w:t>
      </w:r>
      <w:r>
        <w:rPr/>
        <w:t>of the</w:t>
      </w:r>
      <w:r>
        <w:rPr>
          <w:spacing w:val="-3"/>
        </w:rPr>
        <w:t> </w:t>
      </w:r>
      <w:r>
        <w:rPr/>
        <w:t>property.</w:t>
      </w:r>
    </w:p>
    <w:p>
      <w:pPr>
        <w:spacing w:after="0" w:line="321" w:lineRule="auto"/>
        <w:sectPr>
          <w:type w:val="continuous"/>
          <w:pgSz w:w="11910" w:h="16840"/>
          <w:pgMar w:top="800" w:bottom="280" w:left="600" w:right="520"/>
        </w:sectPr>
      </w:pPr>
    </w:p>
    <w:p>
      <w:pPr>
        <w:pStyle w:val="BodyText"/>
        <w:spacing w:before="11"/>
        <w:rPr>
          <w:sz w:val="19"/>
        </w:rPr>
      </w:pPr>
    </w:p>
    <w:p>
      <w:pPr>
        <w:spacing w:after="0"/>
        <w:rPr>
          <w:sz w:val="19"/>
        </w:rPr>
        <w:sectPr>
          <w:pgSz w:w="11910" w:h="16840"/>
          <w:pgMar w:header="720" w:footer="933" w:top="1660" w:bottom="1120" w:left="600" w:right="520"/>
        </w:sectPr>
      </w:pPr>
    </w:p>
    <w:p>
      <w:pPr>
        <w:pStyle w:val="BodyText"/>
        <w:tabs>
          <w:tab w:pos="1788" w:val="left" w:leader="none"/>
        </w:tabs>
        <w:spacing w:line="321" w:lineRule="auto" w:before="106"/>
        <w:ind w:left="785"/>
      </w:pPr>
      <w:r>
        <w:rPr/>
        <w:t>Natural</w:t>
        <w:tab/>
      </w:r>
      <w:r>
        <w:rPr>
          <w:spacing w:val="-11"/>
        </w:rPr>
        <w:t>or </w:t>
      </w:r>
      <w:r>
        <w:rPr/>
        <w:t>induced hazards:</w:t>
      </w:r>
    </w:p>
    <w:p>
      <w:pPr>
        <w:pStyle w:val="BodyText"/>
        <w:spacing w:line="321" w:lineRule="auto" w:before="106"/>
        <w:ind w:left="177" w:right="224"/>
      </w:pPr>
      <w:r>
        <w:rPr/>
        <w:br w:type="column"/>
      </w:r>
      <w:r>
        <w:rPr/>
        <w:t>We</w:t>
      </w:r>
      <w:r>
        <w:rPr>
          <w:spacing w:val="-40"/>
        </w:rPr>
        <w:t> </w:t>
      </w:r>
      <w:r>
        <w:rPr/>
        <w:t>believe</w:t>
      </w:r>
      <w:r>
        <w:rPr>
          <w:spacing w:val="-40"/>
        </w:rPr>
        <w:t> </w:t>
      </w:r>
      <w:r>
        <w:rPr/>
        <w:t>the</w:t>
      </w:r>
      <w:r>
        <w:rPr>
          <w:spacing w:val="-40"/>
        </w:rPr>
        <w:t> </w:t>
      </w:r>
      <w:r>
        <w:rPr/>
        <w:t>project/</w:t>
      </w:r>
      <w:r>
        <w:rPr>
          <w:spacing w:val="-39"/>
        </w:rPr>
        <w:t> </w:t>
      </w:r>
      <w:r>
        <w:rPr/>
        <w:t>site</w:t>
      </w:r>
      <w:r>
        <w:rPr>
          <w:spacing w:val="-40"/>
        </w:rPr>
        <w:t> </w:t>
      </w:r>
      <w:r>
        <w:rPr/>
        <w:t>has</w:t>
      </w:r>
      <w:r>
        <w:rPr>
          <w:spacing w:val="-40"/>
        </w:rPr>
        <w:t> </w:t>
      </w:r>
      <w:r>
        <w:rPr/>
        <w:t>been</w:t>
      </w:r>
      <w:r>
        <w:rPr>
          <w:spacing w:val="-39"/>
        </w:rPr>
        <w:t> </w:t>
      </w:r>
      <w:r>
        <w:rPr/>
        <w:t>developed</w:t>
      </w:r>
      <w:r>
        <w:rPr>
          <w:spacing w:val="-40"/>
        </w:rPr>
        <w:t> </w:t>
      </w:r>
      <w:r>
        <w:rPr/>
        <w:t>to</w:t>
      </w:r>
      <w:r>
        <w:rPr>
          <w:spacing w:val="-40"/>
        </w:rPr>
        <w:t> </w:t>
      </w:r>
      <w:r>
        <w:rPr/>
        <w:t>withstand</w:t>
      </w:r>
      <w:r>
        <w:rPr>
          <w:spacing w:val="-39"/>
        </w:rPr>
        <w:t> </w:t>
      </w:r>
      <w:r>
        <w:rPr/>
        <w:t>natural</w:t>
      </w:r>
      <w:r>
        <w:rPr>
          <w:spacing w:val="-40"/>
        </w:rPr>
        <w:t> </w:t>
      </w:r>
      <w:r>
        <w:rPr/>
        <w:t>or</w:t>
      </w:r>
      <w:r>
        <w:rPr>
          <w:spacing w:val="-40"/>
        </w:rPr>
        <w:t> </w:t>
      </w:r>
      <w:r>
        <w:rPr/>
        <w:t>induced</w:t>
      </w:r>
      <w:r>
        <w:rPr>
          <w:spacing w:val="-40"/>
        </w:rPr>
        <w:t> </w:t>
      </w:r>
      <w:r>
        <w:rPr/>
        <w:t>hazards (with</w:t>
      </w:r>
      <w:r>
        <w:rPr>
          <w:spacing w:val="-11"/>
        </w:rPr>
        <w:t> </w:t>
      </w:r>
      <w:r>
        <w:rPr/>
        <w:t>the</w:t>
      </w:r>
      <w:r>
        <w:rPr>
          <w:spacing w:val="-11"/>
        </w:rPr>
        <w:t> </w:t>
      </w:r>
      <w:r>
        <w:rPr/>
        <w:t>exception</w:t>
      </w:r>
      <w:r>
        <w:rPr>
          <w:spacing w:val="-11"/>
        </w:rPr>
        <w:t> </w:t>
      </w:r>
      <w:r>
        <w:rPr/>
        <w:t>of</w:t>
      </w:r>
      <w:r>
        <w:rPr>
          <w:spacing w:val="-9"/>
        </w:rPr>
        <w:t> </w:t>
      </w:r>
      <w:r>
        <w:rPr/>
        <w:t>extreme</w:t>
      </w:r>
      <w:r>
        <w:rPr>
          <w:spacing w:val="-10"/>
        </w:rPr>
        <w:t> </w:t>
      </w:r>
      <w:r>
        <w:rPr/>
        <w:t>/</w:t>
      </w:r>
      <w:r>
        <w:rPr>
          <w:spacing w:val="-11"/>
        </w:rPr>
        <w:t> </w:t>
      </w:r>
      <w:r>
        <w:rPr/>
        <w:t>out</w:t>
      </w:r>
      <w:r>
        <w:rPr>
          <w:spacing w:val="-10"/>
        </w:rPr>
        <w:t> </w:t>
      </w:r>
      <w:r>
        <w:rPr/>
        <w:t>of</w:t>
      </w:r>
      <w:r>
        <w:rPr>
          <w:spacing w:val="-9"/>
        </w:rPr>
        <w:t> </w:t>
      </w:r>
      <w:r>
        <w:rPr/>
        <w:t>the</w:t>
      </w:r>
      <w:r>
        <w:rPr>
          <w:spacing w:val="-11"/>
        </w:rPr>
        <w:t> </w:t>
      </w:r>
      <w:r>
        <w:rPr/>
        <w:t>ordinary</w:t>
      </w:r>
      <w:r>
        <w:rPr>
          <w:spacing w:val="-9"/>
        </w:rPr>
        <w:t> </w:t>
      </w:r>
      <w:r>
        <w:rPr/>
        <w:t>hazards).</w:t>
      </w:r>
    </w:p>
    <w:p>
      <w:pPr>
        <w:spacing w:after="0" w:line="321" w:lineRule="auto"/>
        <w:sectPr>
          <w:type w:val="continuous"/>
          <w:pgSz w:w="11910" w:h="16840"/>
          <w:pgMar w:top="800" w:bottom="280" w:left="600" w:right="520"/>
          <w:cols w:num="2" w:equalWidth="0">
            <w:col w:w="1991" w:space="40"/>
            <w:col w:w="8759"/>
          </w:cols>
        </w:sectPr>
      </w:pPr>
    </w:p>
    <w:p>
      <w:pPr>
        <w:pStyle w:val="BodyText"/>
        <w:spacing w:before="10"/>
        <w:rPr>
          <w:sz w:val="21"/>
        </w:rPr>
      </w:pPr>
    </w:p>
    <w:p>
      <w:pPr>
        <w:pStyle w:val="ListParagraph"/>
        <w:numPr>
          <w:ilvl w:val="2"/>
          <w:numId w:val="14"/>
        </w:numPr>
        <w:tabs>
          <w:tab w:pos="841" w:val="left" w:leader="none"/>
        </w:tabs>
        <w:spacing w:line="240" w:lineRule="auto" w:before="107" w:after="0"/>
        <w:ind w:left="840" w:right="0" w:hanging="721"/>
        <w:jc w:val="left"/>
        <w:rPr>
          <w:sz w:val="22"/>
        </w:rPr>
      </w:pPr>
      <w:bookmarkStart w:name="_bookmark133" w:id="260"/>
      <w:bookmarkEnd w:id="260"/>
      <w:r>
        <w:rPr/>
      </w:r>
      <w:bookmarkStart w:name="_bookmark133" w:id="261"/>
      <w:bookmarkEnd w:id="261"/>
      <w:r>
        <w:rPr>
          <w:color w:val="1F664D"/>
          <w:sz w:val="22"/>
        </w:rPr>
        <w:t>S</w:t>
      </w:r>
      <w:r>
        <w:rPr>
          <w:color w:val="1F664D"/>
          <w:sz w:val="22"/>
        </w:rPr>
        <w:t>tatutory Approvals, One time Sanctions &amp; Periodic</w:t>
      </w:r>
      <w:r>
        <w:rPr>
          <w:color w:val="1F664D"/>
          <w:spacing w:val="-1"/>
          <w:sz w:val="22"/>
        </w:rPr>
        <w:t> </w:t>
      </w:r>
      <w:r>
        <w:rPr>
          <w:color w:val="1F664D"/>
          <w:sz w:val="22"/>
        </w:rPr>
        <w:t>Clearances</w:t>
      </w:r>
    </w:p>
    <w:p>
      <w:pPr>
        <w:pStyle w:val="BodyText"/>
        <w:spacing w:before="207"/>
        <w:ind w:left="686"/>
      </w:pPr>
      <w:r>
        <w:rPr/>
        <w:t>Please refer section 18.3 on Statutory Approvals, One time Sanctions &amp; Periodic Clearances</w:t>
      </w:r>
    </w:p>
    <w:p>
      <w:pPr>
        <w:pStyle w:val="BodyText"/>
        <w:spacing w:before="3"/>
        <w:rPr>
          <w:sz w:val="28"/>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34" w:id="262"/>
      <w:bookmarkEnd w:id="262"/>
      <w:r>
        <w:rPr/>
      </w:r>
      <w:bookmarkStart w:name="_bookmark134" w:id="263"/>
      <w:bookmarkEnd w:id="263"/>
      <w:r>
        <w:rPr>
          <w:color w:val="1F664D"/>
          <w:sz w:val="22"/>
        </w:rPr>
        <w:t>Are</w:t>
      </w:r>
      <w:r>
        <w:rPr>
          <w:color w:val="1F664D"/>
          <w:sz w:val="22"/>
        </w:rPr>
        <w:t>a Details, Type and Age of Existing</w:t>
      </w:r>
      <w:r>
        <w:rPr>
          <w:color w:val="1F664D"/>
          <w:spacing w:val="-6"/>
          <w:sz w:val="22"/>
        </w:rPr>
        <w:t> </w:t>
      </w:r>
      <w:r>
        <w:rPr>
          <w:color w:val="1F664D"/>
          <w:sz w:val="22"/>
        </w:rPr>
        <w:t>Structures</w:t>
      </w:r>
    </w:p>
    <w:p>
      <w:pPr>
        <w:pStyle w:val="BodyText"/>
        <w:spacing w:before="208"/>
        <w:ind w:left="660"/>
      </w:pPr>
      <w:r>
        <w:rPr/>
        <w:t>The table below highlights the detailed area break-up of the subject development:</w:t>
      </w:r>
    </w:p>
    <w:p>
      <w:pPr>
        <w:pStyle w:val="BodyText"/>
        <w:spacing w:before="2"/>
        <w:rPr>
          <w:sz w:val="14"/>
        </w:rPr>
      </w:pPr>
      <w:r>
        <w:rPr/>
        <w:pict>
          <v:group style="position:absolute;margin-left:36pt;margin-top:10.188341pt;width:523.6pt;height:37.35pt;mso-position-horizontal-relative:page;mso-position-vertical-relative:paragraph;z-index:-15437312;mso-wrap-distance-left:0;mso-wrap-distance-right:0" coordorigin="720,204" coordsize="10472,747">
            <v:shape style="position:absolute;left:720;top:232;width:10472;height:704" coordorigin="720,233" coordsize="10472,704" path="m5358,233l2928,233,720,233,720,936,2928,936,5358,936,5358,233xm7514,233l5358,233,5358,936,7514,936,7514,233xm11191,233l9352,233,7514,233,7514,936,9352,936,11191,936,11191,233xe" filled="true" fillcolor="#006a4d" stroked="false">
              <v:path arrowok="t"/>
              <v:fill type="solid"/>
            </v:shape>
            <v:rect style="position:absolute;left:720;top:203;width:2209;height:29" filled="true" fillcolor="#1f6b16" stroked="false">
              <v:fill type="solid"/>
            </v:rect>
            <v:shape style="position:absolute;left:720;top:232;width:2238;height:3" coordorigin="720,233" coordsize="2238,3" path="m2957,233l2928,233,720,233,720,235,2928,235,2957,235,2957,233xe" filled="true" fillcolor="#006a4d" stroked="false">
              <v:path arrowok="t"/>
              <v:fill type="solid"/>
            </v:shape>
            <v:shape style="position:absolute;left:2928;top:203;width:2430;height:29" coordorigin="2928,204" coordsize="2430,29" path="m2957,204l2928,204,2928,233,2957,233,2957,204xm5358,204l2957,204,2957,233,5358,233,5358,204xe" filled="true" fillcolor="#1f6b16" stroked="false">
              <v:path arrowok="t"/>
              <v:fill type="solid"/>
            </v:shape>
            <v:shape style="position:absolute;left:2957;top:232;width:2430;height:3" coordorigin="2957,233" coordsize="2430,3" path="m5387,233l5358,233,2957,233,2957,235,5358,235,5387,235,5387,233xe" filled="true" fillcolor="#006a4d" stroked="false">
              <v:path arrowok="t"/>
              <v:fill type="solid"/>
            </v:shape>
            <v:shape style="position:absolute;left:5358;top:203;width:2156;height:29" coordorigin="5358,204" coordsize="2156,29" path="m7514,204l5387,204,5358,204,5358,233,5387,233,7514,233,7514,204xe" filled="true" fillcolor="#1f6b16" stroked="false">
              <v:path arrowok="t"/>
              <v:fill type="solid"/>
            </v:shape>
            <v:shape style="position:absolute;left:5387;top:232;width:2156;height:3" coordorigin="5387,233" coordsize="2156,3" path="m7514,233l5387,233,5387,235,7514,235,7514,233xm7543,233l7514,233,7514,235,7543,235,7543,233xe" filled="true" fillcolor="#006a4d" stroked="false">
              <v:path arrowok="t"/>
              <v:fill type="solid"/>
            </v:shape>
            <v:shape style="position:absolute;left:7514;top:203;width:1839;height:29" coordorigin="7514,204" coordsize="1839,29" path="m9352,204l7543,204,7514,204,7514,233,7543,233,9352,233,9352,204xe" filled="true" fillcolor="#1f6b16" stroked="false">
              <v:path arrowok="t"/>
              <v:fill type="solid"/>
            </v:shape>
            <v:shape style="position:absolute;left:7542;top:232;width:1839;height:3" coordorigin="7543,233" coordsize="1839,3" path="m9381,233l9352,233,7543,233,7543,235,9352,235,9381,235,9381,233xe" filled="true" fillcolor="#006a4d" stroked="false">
              <v:path arrowok="t"/>
              <v:fill type="solid"/>
            </v:shape>
            <v:shape style="position:absolute;left:9352;top:203;width:1839;height:29" coordorigin="9352,204" coordsize="1839,29" path="m11191,204l9381,204,9352,204,9352,233,9381,233,11191,233,11191,204xe" filled="true" fillcolor="#1f6b16" stroked="false">
              <v:path arrowok="t"/>
              <v:fill type="solid"/>
            </v:shape>
            <v:rect style="position:absolute;left:9381;top:232;width:1811;height:3" filled="true" fillcolor="#006a4d" stroked="false">
              <v:fill type="solid"/>
            </v:rect>
            <v:shape style="position:absolute;left:720;top:935;width:10472;height:15" coordorigin="720,936" coordsize="10472,15" path="m5314,936l2943,936,2928,936,720,936,720,950,2928,950,2943,950,5314,950,5314,936xm7514,936l7487,936,7473,936,5373,936,5358,936,5358,936,5329,936,5315,936,5315,950,5329,950,5358,950,5358,950,5373,950,7473,950,7487,950,7514,950,7514,936xm9326,936l9312,936,7528,936,7514,936,7514,950,7528,950,9312,950,9326,950,9326,936xm11165,936l11150,936,11150,936,9367,936,9352,936,9326,936,9326,950,9352,950,9367,950,11150,950,11150,950,11165,950,11165,936xm11191,936l11179,936,11165,936,11165,950,11179,950,11191,950,11191,936xe" filled="true" fillcolor="#69bd28" stroked="false">
              <v:path arrowok="t"/>
              <v:fill type="solid"/>
            </v:shape>
            <v:shape style="position:absolute;left:914;top:368;width:6465;height:432" type="#_x0000_t202" filled="false" stroked="false">
              <v:textbox inset="0,0,0,0">
                <w:txbxContent>
                  <w:p>
                    <w:pPr>
                      <w:tabs>
                        <w:tab w:pos="2143" w:val="left" w:leader="none"/>
                        <w:tab w:pos="4597" w:val="left" w:leader="none"/>
                      </w:tabs>
                      <w:spacing w:line="269" w:lineRule="exact" w:before="2"/>
                      <w:ind w:left="0" w:right="0" w:firstLine="0"/>
                      <w:jc w:val="left"/>
                      <w:rPr>
                        <w:b/>
                        <w:sz w:val="18"/>
                      </w:rPr>
                    </w:pPr>
                    <w:r>
                      <w:rPr>
                        <w:b/>
                        <w:color w:val="FFFFFF"/>
                        <w:w w:val="110"/>
                        <w:sz w:val="18"/>
                      </w:rPr>
                      <w:t>Development Name</w:t>
                      <w:tab/>
                      <w:t>Developable</w:t>
                    </w:r>
                    <w:r>
                      <w:rPr>
                        <w:b/>
                        <w:color w:val="FFFFFF"/>
                        <w:spacing w:val="-1"/>
                        <w:w w:val="110"/>
                        <w:sz w:val="18"/>
                      </w:rPr>
                      <w:t> </w:t>
                    </w:r>
                    <w:r>
                      <w:rPr>
                        <w:b/>
                        <w:color w:val="FFFFFF"/>
                        <w:w w:val="110"/>
                        <w:sz w:val="18"/>
                      </w:rPr>
                      <w:t>Area</w:t>
                    </w:r>
                    <w:r>
                      <w:rPr>
                        <w:b/>
                        <w:color w:val="FFFFFF"/>
                        <w:spacing w:val="-2"/>
                        <w:w w:val="110"/>
                        <w:sz w:val="18"/>
                      </w:rPr>
                      <w:t> </w:t>
                    </w:r>
                    <w:r>
                      <w:rPr>
                        <w:b/>
                        <w:color w:val="FFFFFF"/>
                        <w:w w:val="110"/>
                        <w:sz w:val="18"/>
                      </w:rPr>
                      <w:t>(sf)**</w:t>
                      <w:tab/>
                    </w:r>
                    <w:r>
                      <w:rPr>
                        <w:b/>
                        <w:color w:val="FFFFFF"/>
                        <w:w w:val="110"/>
                        <w:position w:val="11"/>
                        <w:sz w:val="18"/>
                      </w:rPr>
                      <w:t>Completed</w:t>
                    </w:r>
                    <w:r>
                      <w:rPr>
                        <w:b/>
                        <w:color w:val="FFFFFF"/>
                        <w:spacing w:val="-15"/>
                        <w:w w:val="110"/>
                        <w:position w:val="11"/>
                        <w:sz w:val="18"/>
                      </w:rPr>
                      <w:t> </w:t>
                    </w:r>
                    <w:r>
                      <w:rPr>
                        <w:b/>
                        <w:color w:val="FFFFFF"/>
                        <w:w w:val="110"/>
                        <w:position w:val="11"/>
                        <w:sz w:val="18"/>
                      </w:rPr>
                      <w:t>Leasable</w:t>
                    </w:r>
                  </w:p>
                  <w:p>
                    <w:pPr>
                      <w:spacing w:line="159" w:lineRule="exact" w:before="0"/>
                      <w:ind w:left="0" w:right="554" w:firstLine="0"/>
                      <w:jc w:val="right"/>
                      <w:rPr>
                        <w:b/>
                        <w:sz w:val="18"/>
                      </w:rPr>
                    </w:pPr>
                    <w:r>
                      <w:rPr>
                        <w:b/>
                        <w:color w:val="FFFFFF"/>
                        <w:w w:val="110"/>
                        <w:sz w:val="18"/>
                      </w:rPr>
                      <w:t>Area (sf)</w:t>
                    </w:r>
                  </w:p>
                </w:txbxContent>
              </v:textbox>
              <w10:wrap type="none"/>
            </v:shape>
            <v:shape style="position:absolute;left:7694;top:368;width:1495;height:432" type="#_x0000_t202" filled="false" stroked="false">
              <v:textbox inset="0,0,0,0">
                <w:txbxContent>
                  <w:p>
                    <w:pPr>
                      <w:spacing w:line="247" w:lineRule="auto" w:before="4"/>
                      <w:ind w:left="600" w:right="0" w:hanging="600"/>
                      <w:jc w:val="left"/>
                      <w:rPr>
                        <w:b/>
                        <w:sz w:val="18"/>
                      </w:rPr>
                    </w:pPr>
                    <w:r>
                      <w:rPr>
                        <w:b/>
                        <w:color w:val="FFFFFF"/>
                        <w:w w:val="105"/>
                        <w:sz w:val="18"/>
                      </w:rPr>
                      <w:t>Committed Area (sf)</w:t>
                    </w:r>
                  </w:p>
                </w:txbxContent>
              </v:textbox>
              <w10:wrap type="none"/>
            </v:shape>
            <v:shape style="position:absolute;left:9604;top:368;width:1353;height:432" type="#_x0000_t202" filled="false" stroked="false">
              <v:textbox inset="0,0,0,0">
                <w:txbxContent>
                  <w:p>
                    <w:pPr>
                      <w:spacing w:line="247" w:lineRule="auto" w:before="4"/>
                      <w:ind w:left="528" w:right="0" w:hanging="529"/>
                      <w:jc w:val="left"/>
                      <w:rPr>
                        <w:b/>
                        <w:sz w:val="18"/>
                      </w:rPr>
                    </w:pPr>
                    <w:r>
                      <w:rPr>
                        <w:b/>
                        <w:color w:val="FFFFFF"/>
                        <w:w w:val="105"/>
                        <w:sz w:val="18"/>
                      </w:rPr>
                      <w:t>Occupied Area (sf)</w:t>
                    </w:r>
                  </w:p>
                </w:txbxContent>
              </v:textbox>
              <w10:wrap type="none"/>
            </v:shape>
            <w10:wrap type="topAndBottom"/>
          </v:group>
        </w:pict>
      </w:r>
    </w:p>
    <w:p>
      <w:pPr>
        <w:tabs>
          <w:tab w:pos="3101" w:val="left" w:leader="none"/>
          <w:tab w:pos="5406" w:val="left" w:leader="none"/>
          <w:tab w:pos="7446" w:val="left" w:leader="none"/>
          <w:tab w:pos="9285" w:val="left" w:leader="none"/>
        </w:tabs>
        <w:spacing w:line="189" w:lineRule="exact" w:before="0" w:after="8"/>
        <w:ind w:left="1044" w:right="0" w:firstLine="0"/>
        <w:jc w:val="left"/>
        <w:rPr>
          <w:sz w:val="18"/>
        </w:rPr>
      </w:pPr>
      <w:r>
        <w:rPr>
          <w:w w:val="110"/>
          <w:sz w:val="18"/>
        </w:rPr>
        <w:t>FIFC</w:t>
        <w:tab/>
        <w:t>438,854**</w:t>
        <w:tab/>
        <w:t>360,947</w:t>
      </w:r>
      <w:r>
        <w:rPr>
          <w:w w:val="110"/>
          <w:position w:val="6"/>
          <w:sz w:val="11"/>
        </w:rPr>
        <w:t>#</w:t>
        <w:tab/>
      </w:r>
      <w:r>
        <w:rPr>
          <w:w w:val="110"/>
          <w:sz w:val="18"/>
        </w:rPr>
        <w:t>280,810</w:t>
        <w:tab/>
        <w:t>280,810</w:t>
      </w:r>
    </w:p>
    <w:p>
      <w:pPr>
        <w:pStyle w:val="BodyText"/>
        <w:spacing w:line="20" w:lineRule="exact"/>
        <w:ind w:left="105"/>
        <w:rPr>
          <w:sz w:val="2"/>
        </w:rPr>
      </w:pPr>
      <w:r>
        <w:rPr>
          <w:sz w:val="2"/>
        </w:rPr>
        <w:pict>
          <v:group style="width:522.25pt;height:.75pt;mso-position-horizontal-relative:char;mso-position-vertical-relative:line" coordorigin="0,0" coordsize="10445,15">
            <v:rect style="position:absolute;left:0;top:0;width:10445;height:15" filled="true" fillcolor="#69bd28" stroked="false">
              <v:fill type="solid"/>
            </v:rect>
          </v:group>
        </w:pict>
      </w:r>
      <w:r>
        <w:rPr>
          <w:sz w:val="2"/>
        </w:rPr>
      </w:r>
    </w:p>
    <w:p>
      <w:pPr>
        <w:spacing w:line="319" w:lineRule="auto" w:before="0"/>
        <w:ind w:left="660" w:right="42" w:firstLine="0"/>
        <w:jc w:val="left"/>
        <w:rPr>
          <w:i/>
          <w:sz w:val="16"/>
        </w:rPr>
      </w:pPr>
      <w:r>
        <w:rPr/>
        <w:pict>
          <v:group style="position:absolute;margin-left:36pt;margin-top:30.671717pt;width:523.6pt;height:49pt;mso-position-horizontal-relative:page;mso-position-vertical-relative:paragraph;z-index:-34598912" coordorigin="720,613" coordsize="10472,980">
            <v:shape style="position:absolute;left:720;top:644;width:10472;height:704" coordorigin="720,645" coordsize="10472,704" path="m4822,645l2643,645,2643,645,720,645,720,1348,2643,1348,2643,1348,4822,1348,4822,645xm8949,645l6945,645,4823,645,4823,1348,6945,1348,8949,1348,8949,645xm11191,645l8949,645,8949,1348,11191,1348,11191,645xe" filled="true" fillcolor="#006a4d" stroked="false">
              <v:path arrowok="t"/>
              <v:fill type="solid"/>
            </v:shape>
            <v:rect style="position:absolute;left:720;top:613;width:1923;height:29" filled="true" fillcolor="#1f6b16" stroked="false">
              <v:fill type="solid"/>
            </v:rect>
            <v:shape style="position:absolute;left:720;top:642;width:1952;height:3" coordorigin="720,642" coordsize="1952,3" path="m2672,642l2643,642,720,642,720,645,2643,645,2672,645,2672,642xe" filled="true" fillcolor="#006a4d" stroked="false">
              <v:path arrowok="t"/>
              <v:fill type="solid"/>
            </v:shape>
            <v:shape style="position:absolute;left:2642;top:613;width:2180;height:29" coordorigin="2643,613" coordsize="2180,29" path="m2672,613l2643,613,2643,642,2672,642,2672,613xm4822,613l2672,613,2672,642,4822,642,4822,613xe" filled="true" fillcolor="#1f6b16" stroked="false">
              <v:path arrowok="t"/>
              <v:fill type="solid"/>
            </v:shape>
            <v:shape style="position:absolute;left:2671;top:642;width:2180;height:3" coordorigin="2672,642" coordsize="2180,3" path="m4822,642l2672,642,2672,645,4822,645,4822,642xm4851,642l4823,642,4823,645,4851,645,4851,642xe" filled="true" fillcolor="#006a4d" stroked="false">
              <v:path arrowok="t"/>
              <v:fill type="solid"/>
            </v:shape>
            <v:shape style="position:absolute;left:4822;top:613;width:2122;height:29" coordorigin="4823,613" coordsize="2122,29" path="m6945,613l4851,613,4823,613,4823,642,4851,642,6945,642,6945,613xe" filled="true" fillcolor="#1f6b16" stroked="false">
              <v:path arrowok="t"/>
              <v:fill type="solid"/>
            </v:shape>
            <v:shape style="position:absolute;left:4851;top:642;width:2122;height:3" coordorigin="4851,642" coordsize="2122,3" path="m6973,642l6945,642,4851,642,4851,645,6945,645,6973,645,6973,642xe" filled="true" fillcolor="#006a4d" stroked="false">
              <v:path arrowok="t"/>
              <v:fill type="solid"/>
            </v:shape>
            <v:shape style="position:absolute;left:6944;top:613;width:2005;height:29" coordorigin="6945,613" coordsize="2005,29" path="m8949,613l6973,613,6945,613,6945,642,6973,642,8949,642,8949,613xe" filled="true" fillcolor="#1f6b16" stroked="false">
              <v:path arrowok="t"/>
              <v:fill type="solid"/>
            </v:shape>
            <v:shape style="position:absolute;left:6973;top:642;width:2005;height:3" coordorigin="6973,642" coordsize="2005,3" path="m8949,642l6973,642,6973,645,8949,645,8949,642xm8978,642l8949,642,8949,645,8978,645,8978,642xe" filled="true" fillcolor="#006a4d" stroked="false">
              <v:path arrowok="t"/>
              <v:fill type="solid"/>
            </v:shape>
            <v:shape style="position:absolute;left:8949;top:613;width:2242;height:29" coordorigin="8949,613" coordsize="2242,29" path="m11191,613l8978,613,8949,613,8949,642,8978,642,11191,642,11191,613xe" filled="true" fillcolor="#1f6b16" stroked="false">
              <v:path arrowok="t"/>
              <v:fill type="solid"/>
            </v:shape>
            <v:rect style="position:absolute;left:8978;top:642;width:2214;height:3" filled="true" fillcolor="#006a4d" stroked="false">
              <v:fill type="solid"/>
            </v:rect>
            <v:shape style="position:absolute;left:720;top:1347;width:10472;height:245" coordorigin="720,1348" coordsize="10472,245" path="m11191,1348l8964,1348,8949,1348,8949,1362,8949,1348,6959,1348,6945,1348,4837,1348,4823,1348,4823,1362,4822,1362,4822,1348,2657,1348,2657,1362,2657,1348,2643,1348,720,1348,720,1362,720,1578,720,1593,2643,1593,2657,1593,2657,1578,2657,1593,4801,1593,4801,1578,4801,1578,4801,1593,4815,1593,6945,1593,6959,1593,8949,1593,8949,1578,8949,1593,8964,1593,11191,1593,11191,1578,11191,1362,11191,1348xe" filled="true" fillcolor="#69bd28" stroked="false">
              <v:path arrowok="t"/>
              <v:fill type="solid"/>
            </v:shape>
            <w10:wrap type="none"/>
          </v:group>
        </w:pict>
      </w:r>
      <w:r>
        <w:rPr>
          <w:i/>
          <w:w w:val="95"/>
          <w:sz w:val="16"/>
        </w:rPr>
        <w:t>Source:</w:t>
      </w:r>
      <w:r>
        <w:rPr>
          <w:i/>
          <w:spacing w:val="-12"/>
          <w:w w:val="95"/>
          <w:sz w:val="16"/>
        </w:rPr>
        <w:t> </w:t>
      </w:r>
      <w:r>
        <w:rPr>
          <w:i/>
          <w:w w:val="95"/>
          <w:sz w:val="16"/>
        </w:rPr>
        <w:t>Rent</w:t>
      </w:r>
      <w:r>
        <w:rPr>
          <w:i/>
          <w:spacing w:val="-12"/>
          <w:w w:val="95"/>
          <w:sz w:val="16"/>
        </w:rPr>
        <w:t> </w:t>
      </w:r>
      <w:r>
        <w:rPr>
          <w:i/>
          <w:w w:val="95"/>
          <w:sz w:val="16"/>
        </w:rPr>
        <w:t>roll/</w:t>
      </w:r>
      <w:r>
        <w:rPr>
          <w:i/>
          <w:spacing w:val="-12"/>
          <w:w w:val="95"/>
          <w:sz w:val="16"/>
        </w:rPr>
        <w:t> </w:t>
      </w:r>
      <w:r>
        <w:rPr>
          <w:i/>
          <w:w w:val="95"/>
          <w:sz w:val="16"/>
        </w:rPr>
        <w:t>Architect</w:t>
      </w:r>
      <w:r>
        <w:rPr>
          <w:i/>
          <w:spacing w:val="-12"/>
          <w:w w:val="95"/>
          <w:sz w:val="16"/>
        </w:rPr>
        <w:t> </w:t>
      </w:r>
      <w:r>
        <w:rPr>
          <w:i/>
          <w:w w:val="95"/>
          <w:sz w:val="16"/>
        </w:rPr>
        <w:t>Certificate</w:t>
      </w:r>
      <w:r>
        <w:rPr>
          <w:i/>
          <w:spacing w:val="-13"/>
          <w:w w:val="95"/>
          <w:sz w:val="16"/>
        </w:rPr>
        <w:t> </w:t>
      </w:r>
      <w:r>
        <w:rPr>
          <w:i/>
          <w:w w:val="95"/>
          <w:sz w:val="16"/>
        </w:rPr>
        <w:t>provided</w:t>
      </w:r>
      <w:r>
        <w:rPr>
          <w:i/>
          <w:spacing w:val="-12"/>
          <w:w w:val="95"/>
          <w:sz w:val="16"/>
        </w:rPr>
        <w:t> </w:t>
      </w:r>
      <w:r>
        <w:rPr>
          <w:i/>
          <w:w w:val="95"/>
          <w:sz w:val="16"/>
        </w:rPr>
        <w:t>by</w:t>
      </w:r>
      <w:r>
        <w:rPr>
          <w:i/>
          <w:spacing w:val="-13"/>
          <w:w w:val="95"/>
          <w:sz w:val="16"/>
        </w:rPr>
        <w:t> </w:t>
      </w:r>
      <w:r>
        <w:rPr>
          <w:i/>
          <w:w w:val="95"/>
          <w:sz w:val="16"/>
        </w:rPr>
        <w:t>the</w:t>
      </w:r>
      <w:r>
        <w:rPr>
          <w:i/>
          <w:spacing w:val="-12"/>
          <w:w w:val="95"/>
          <w:sz w:val="16"/>
        </w:rPr>
        <w:t> </w:t>
      </w:r>
      <w:r>
        <w:rPr>
          <w:i/>
          <w:w w:val="95"/>
          <w:sz w:val="16"/>
        </w:rPr>
        <w:t>Client;</w:t>
      </w:r>
      <w:r>
        <w:rPr>
          <w:i/>
          <w:spacing w:val="-11"/>
          <w:w w:val="95"/>
          <w:sz w:val="16"/>
        </w:rPr>
        <w:t> </w:t>
      </w:r>
      <w:r>
        <w:rPr>
          <w:i/>
          <w:w w:val="95"/>
          <w:sz w:val="16"/>
          <w:vertAlign w:val="superscript"/>
        </w:rPr>
        <w:t>#</w:t>
      </w:r>
      <w:r>
        <w:rPr>
          <w:i/>
          <w:w w:val="95"/>
          <w:sz w:val="16"/>
          <w:vertAlign w:val="baseline"/>
        </w:rPr>
        <w:t>Leasable</w:t>
      </w:r>
      <w:r>
        <w:rPr>
          <w:i/>
          <w:spacing w:val="-12"/>
          <w:w w:val="95"/>
          <w:sz w:val="16"/>
          <w:vertAlign w:val="baseline"/>
        </w:rPr>
        <w:t> </w:t>
      </w:r>
      <w:r>
        <w:rPr>
          <w:i/>
          <w:w w:val="95"/>
          <w:sz w:val="16"/>
          <w:vertAlign w:val="baseline"/>
        </w:rPr>
        <w:t>area</w:t>
      </w:r>
      <w:r>
        <w:rPr>
          <w:i/>
          <w:spacing w:val="-12"/>
          <w:w w:val="95"/>
          <w:sz w:val="16"/>
          <w:vertAlign w:val="baseline"/>
        </w:rPr>
        <w:t> </w:t>
      </w:r>
      <w:r>
        <w:rPr>
          <w:i/>
          <w:w w:val="95"/>
          <w:sz w:val="16"/>
          <w:vertAlign w:val="baseline"/>
        </w:rPr>
        <w:t>under</w:t>
      </w:r>
      <w:r>
        <w:rPr>
          <w:i/>
          <w:spacing w:val="-12"/>
          <w:w w:val="95"/>
          <w:sz w:val="16"/>
          <w:vertAlign w:val="baseline"/>
        </w:rPr>
        <w:t> </w:t>
      </w:r>
      <w:r>
        <w:rPr>
          <w:i/>
          <w:w w:val="95"/>
          <w:sz w:val="16"/>
          <w:vertAlign w:val="baseline"/>
        </w:rPr>
        <w:t>the</w:t>
      </w:r>
      <w:r>
        <w:rPr>
          <w:i/>
          <w:spacing w:val="-12"/>
          <w:w w:val="95"/>
          <w:sz w:val="16"/>
          <w:vertAlign w:val="baseline"/>
        </w:rPr>
        <w:t> </w:t>
      </w:r>
      <w:r>
        <w:rPr>
          <w:i/>
          <w:w w:val="95"/>
          <w:sz w:val="16"/>
          <w:vertAlign w:val="baseline"/>
        </w:rPr>
        <w:t>purview</w:t>
      </w:r>
      <w:r>
        <w:rPr>
          <w:i/>
          <w:spacing w:val="-12"/>
          <w:w w:val="95"/>
          <w:sz w:val="16"/>
          <w:vertAlign w:val="baseline"/>
        </w:rPr>
        <w:t> </w:t>
      </w:r>
      <w:r>
        <w:rPr>
          <w:i/>
          <w:w w:val="95"/>
          <w:sz w:val="16"/>
          <w:vertAlign w:val="baseline"/>
        </w:rPr>
        <w:t>of</w:t>
      </w:r>
      <w:r>
        <w:rPr>
          <w:i/>
          <w:spacing w:val="-12"/>
          <w:w w:val="95"/>
          <w:sz w:val="16"/>
          <w:vertAlign w:val="baseline"/>
        </w:rPr>
        <w:t> </w:t>
      </w:r>
      <w:r>
        <w:rPr>
          <w:i/>
          <w:w w:val="95"/>
          <w:sz w:val="16"/>
          <w:vertAlign w:val="baseline"/>
        </w:rPr>
        <w:t>this</w:t>
      </w:r>
      <w:r>
        <w:rPr>
          <w:i/>
          <w:spacing w:val="-11"/>
          <w:w w:val="95"/>
          <w:sz w:val="16"/>
          <w:vertAlign w:val="baseline"/>
        </w:rPr>
        <w:t> </w:t>
      </w:r>
      <w:r>
        <w:rPr>
          <w:i/>
          <w:w w:val="95"/>
          <w:sz w:val="16"/>
          <w:vertAlign w:val="baseline"/>
        </w:rPr>
        <w:t>valuation</w:t>
      </w:r>
      <w:r>
        <w:rPr>
          <w:i/>
          <w:spacing w:val="-13"/>
          <w:w w:val="95"/>
          <w:sz w:val="16"/>
          <w:vertAlign w:val="baseline"/>
        </w:rPr>
        <w:t> </w:t>
      </w:r>
      <w:r>
        <w:rPr>
          <w:i/>
          <w:w w:val="95"/>
          <w:sz w:val="16"/>
          <w:vertAlign w:val="baseline"/>
        </w:rPr>
        <w:t>exercise;</w:t>
      </w:r>
      <w:r>
        <w:rPr>
          <w:i/>
          <w:spacing w:val="-13"/>
          <w:w w:val="95"/>
          <w:sz w:val="16"/>
          <w:vertAlign w:val="baseline"/>
        </w:rPr>
        <w:t> </w:t>
      </w:r>
      <w:r>
        <w:rPr>
          <w:i/>
          <w:w w:val="95"/>
          <w:sz w:val="16"/>
          <w:vertAlign w:val="baseline"/>
        </w:rPr>
        <w:t>**</w:t>
      </w:r>
      <w:r>
        <w:rPr>
          <w:i/>
          <w:spacing w:val="-11"/>
          <w:w w:val="95"/>
          <w:sz w:val="16"/>
          <w:vertAlign w:val="baseline"/>
        </w:rPr>
        <w:t> </w:t>
      </w:r>
      <w:r>
        <w:rPr>
          <w:i/>
          <w:w w:val="95"/>
          <w:sz w:val="16"/>
          <w:vertAlign w:val="baseline"/>
        </w:rPr>
        <w:t>represents</w:t>
      </w:r>
      <w:r>
        <w:rPr>
          <w:i/>
          <w:spacing w:val="-10"/>
          <w:w w:val="95"/>
          <w:sz w:val="16"/>
          <w:vertAlign w:val="baseline"/>
        </w:rPr>
        <w:t> </w:t>
      </w:r>
      <w:r>
        <w:rPr>
          <w:i/>
          <w:w w:val="95"/>
          <w:sz w:val="16"/>
          <w:vertAlign w:val="baseline"/>
        </w:rPr>
        <w:t>achieved </w:t>
      </w:r>
      <w:r>
        <w:rPr>
          <w:i/>
          <w:sz w:val="16"/>
          <w:vertAlign w:val="baseline"/>
        </w:rPr>
        <w:t>FSI</w:t>
      </w:r>
      <w:r>
        <w:rPr>
          <w:i/>
          <w:spacing w:val="-3"/>
          <w:sz w:val="16"/>
          <w:vertAlign w:val="baseline"/>
        </w:rPr>
        <w:t> </w:t>
      </w:r>
      <w:r>
        <w:rPr>
          <w:i/>
          <w:sz w:val="16"/>
          <w:vertAlign w:val="baseline"/>
        </w:rPr>
        <w:t>area</w:t>
      </w:r>
    </w:p>
    <w:p>
      <w:pPr>
        <w:pStyle w:val="BodyText"/>
        <w:spacing w:before="5" w:after="1"/>
        <w:rPr>
          <w:i/>
          <w:sz w:val="11"/>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69"/>
        <w:gridCol w:w="2258"/>
        <w:gridCol w:w="2219"/>
        <w:gridCol w:w="1783"/>
        <w:gridCol w:w="2351"/>
      </w:tblGrid>
      <w:tr>
        <w:trPr>
          <w:trHeight w:val="964" w:hRule="atLeast"/>
        </w:trPr>
        <w:tc>
          <w:tcPr>
            <w:tcW w:w="10480" w:type="dxa"/>
            <w:gridSpan w:val="5"/>
          </w:tcPr>
          <w:p>
            <w:pPr>
              <w:pStyle w:val="TableParagraph"/>
              <w:spacing w:before="1"/>
              <w:jc w:val="left"/>
              <w:rPr>
                <w:i/>
                <w:sz w:val="20"/>
              </w:rPr>
            </w:pPr>
          </w:p>
          <w:p>
            <w:pPr>
              <w:pStyle w:val="TableParagraph"/>
              <w:tabs>
                <w:tab w:pos="2191" w:val="left" w:leader="none"/>
                <w:tab w:pos="4568" w:val="left" w:leader="none"/>
                <w:tab w:pos="6709" w:val="left" w:leader="none"/>
                <w:tab w:pos="8531" w:val="left" w:leader="none"/>
              </w:tabs>
              <w:spacing w:line="124" w:lineRule="auto" w:before="1"/>
              <w:ind w:left="691" w:right="298" w:firstLine="31"/>
              <w:jc w:val="left"/>
              <w:rPr>
                <w:b/>
                <w:sz w:val="18"/>
              </w:rPr>
            </w:pPr>
            <w:r>
              <w:rPr>
                <w:b/>
                <w:color w:val="FFFFFF"/>
                <w:w w:val="115"/>
                <w:position w:val="11"/>
                <w:sz w:val="18"/>
              </w:rPr>
              <w:t>Block</w:t>
              <w:tab/>
            </w:r>
            <w:r>
              <w:rPr>
                <w:b/>
                <w:color w:val="FFFFFF"/>
                <w:w w:val="115"/>
                <w:sz w:val="18"/>
              </w:rPr>
              <w:t>Building</w:t>
            </w:r>
            <w:r>
              <w:rPr>
                <w:b/>
                <w:color w:val="FFFFFF"/>
                <w:spacing w:val="-28"/>
                <w:w w:val="115"/>
                <w:sz w:val="18"/>
              </w:rPr>
              <w:t> </w:t>
            </w:r>
            <w:r>
              <w:rPr>
                <w:b/>
                <w:color w:val="FFFFFF"/>
                <w:w w:val="115"/>
                <w:sz w:val="18"/>
              </w:rPr>
              <w:t>Elevation</w:t>
              <w:tab/>
              <w:t>SEZ/Non-SEZ</w:t>
              <w:tab/>
              <w:t>Age</w:t>
            </w:r>
            <w:r>
              <w:rPr>
                <w:b/>
                <w:color w:val="FFFFFF"/>
                <w:spacing w:val="-18"/>
                <w:w w:val="115"/>
                <w:sz w:val="18"/>
              </w:rPr>
              <w:t> </w:t>
            </w:r>
            <w:r>
              <w:rPr>
                <w:b/>
                <w:color w:val="FFFFFF"/>
                <w:w w:val="115"/>
                <w:sz w:val="18"/>
              </w:rPr>
              <w:t>(Years)</w:t>
              <w:tab/>
              <w:t>Leasable</w:t>
            </w:r>
            <w:r>
              <w:rPr>
                <w:b/>
                <w:color w:val="FFFFFF"/>
                <w:spacing w:val="-38"/>
                <w:w w:val="115"/>
                <w:sz w:val="18"/>
              </w:rPr>
              <w:t> </w:t>
            </w:r>
            <w:r>
              <w:rPr>
                <w:b/>
                <w:color w:val="FFFFFF"/>
                <w:w w:val="115"/>
                <w:sz w:val="18"/>
              </w:rPr>
              <w:t>Area</w:t>
            </w:r>
            <w:r>
              <w:rPr>
                <w:b/>
                <w:color w:val="FFFFFF"/>
                <w:spacing w:val="-38"/>
                <w:w w:val="115"/>
                <w:sz w:val="18"/>
              </w:rPr>
              <w:t> </w:t>
            </w:r>
            <w:r>
              <w:rPr>
                <w:b/>
                <w:color w:val="FFFFFF"/>
                <w:spacing w:val="-4"/>
                <w:w w:val="115"/>
                <w:sz w:val="18"/>
              </w:rPr>
              <w:t>(sf) </w:t>
            </w:r>
            <w:r>
              <w:rPr>
                <w:b/>
                <w:color w:val="FFFFFF"/>
                <w:w w:val="115"/>
                <w:sz w:val="18"/>
              </w:rPr>
              <w:t>Name</w:t>
            </w:r>
          </w:p>
          <w:p>
            <w:pPr>
              <w:pStyle w:val="TableParagraph"/>
              <w:spacing w:line="207" w:lineRule="exact" w:before="176"/>
              <w:ind w:left="4401" w:right="4396"/>
              <w:rPr>
                <w:b/>
                <w:sz w:val="18"/>
              </w:rPr>
            </w:pPr>
            <w:r>
              <w:rPr>
                <w:b/>
                <w:color w:val="FFFFFF"/>
                <w:w w:val="110"/>
                <w:sz w:val="18"/>
              </w:rPr>
              <w:t>Completed Blocks</w:t>
            </w:r>
          </w:p>
        </w:tc>
      </w:tr>
      <w:tr>
        <w:trPr>
          <w:trHeight w:val="222" w:hRule="atLeast"/>
        </w:trPr>
        <w:tc>
          <w:tcPr>
            <w:tcW w:w="1869" w:type="dxa"/>
            <w:tcBorders>
              <w:bottom w:val="single" w:sz="6" w:space="0" w:color="69BD28"/>
            </w:tcBorders>
          </w:tcPr>
          <w:p>
            <w:pPr>
              <w:pStyle w:val="TableParagraph"/>
              <w:spacing w:line="194" w:lineRule="exact" w:before="8"/>
              <w:ind w:right="720"/>
              <w:jc w:val="right"/>
              <w:rPr>
                <w:sz w:val="18"/>
              </w:rPr>
            </w:pPr>
            <w:r>
              <w:rPr>
                <w:sz w:val="18"/>
              </w:rPr>
              <w:t>FIFC</w:t>
            </w:r>
          </w:p>
        </w:tc>
        <w:tc>
          <w:tcPr>
            <w:tcW w:w="2258" w:type="dxa"/>
            <w:tcBorders>
              <w:bottom w:val="single" w:sz="6" w:space="0" w:color="69BD28"/>
            </w:tcBorders>
          </w:tcPr>
          <w:p>
            <w:pPr>
              <w:pStyle w:val="TableParagraph"/>
              <w:spacing w:line="194" w:lineRule="exact" w:before="8"/>
              <w:ind w:left="707"/>
              <w:jc w:val="left"/>
              <w:rPr>
                <w:sz w:val="18"/>
              </w:rPr>
            </w:pPr>
            <w:r>
              <w:rPr>
                <w:w w:val="125"/>
                <w:sz w:val="18"/>
              </w:rPr>
              <w:t>2B+G+13</w:t>
            </w:r>
          </w:p>
        </w:tc>
        <w:tc>
          <w:tcPr>
            <w:tcW w:w="2219" w:type="dxa"/>
            <w:tcBorders>
              <w:bottom w:val="single" w:sz="6" w:space="0" w:color="69BD28"/>
            </w:tcBorders>
          </w:tcPr>
          <w:p>
            <w:pPr>
              <w:pStyle w:val="TableParagraph"/>
              <w:spacing w:line="194" w:lineRule="exact" w:before="8"/>
              <w:ind w:left="683"/>
              <w:jc w:val="left"/>
              <w:rPr>
                <w:sz w:val="18"/>
              </w:rPr>
            </w:pPr>
            <w:r>
              <w:rPr>
                <w:w w:val="105"/>
                <w:sz w:val="18"/>
              </w:rPr>
              <w:t>Non-SEZ</w:t>
            </w:r>
          </w:p>
        </w:tc>
        <w:tc>
          <w:tcPr>
            <w:tcW w:w="1783" w:type="dxa"/>
            <w:tcBorders>
              <w:bottom w:val="single" w:sz="6" w:space="0" w:color="69BD28"/>
            </w:tcBorders>
          </w:tcPr>
          <w:p>
            <w:pPr>
              <w:pStyle w:val="TableParagraph"/>
              <w:spacing w:line="194" w:lineRule="exact" w:before="8"/>
              <w:ind w:right="6"/>
              <w:rPr>
                <w:sz w:val="18"/>
              </w:rPr>
            </w:pPr>
            <w:r>
              <w:rPr>
                <w:w w:val="112"/>
                <w:sz w:val="18"/>
              </w:rPr>
              <w:t>8</w:t>
            </w:r>
          </w:p>
        </w:tc>
        <w:tc>
          <w:tcPr>
            <w:tcW w:w="2351" w:type="dxa"/>
            <w:tcBorders>
              <w:bottom w:val="single" w:sz="6" w:space="0" w:color="69BD28"/>
            </w:tcBorders>
          </w:tcPr>
          <w:p>
            <w:pPr>
              <w:pStyle w:val="TableParagraph"/>
              <w:spacing w:line="194" w:lineRule="exact" w:before="8"/>
              <w:ind w:left="809" w:right="707"/>
              <w:rPr>
                <w:sz w:val="11"/>
              </w:rPr>
            </w:pPr>
            <w:r>
              <w:rPr>
                <w:w w:val="115"/>
                <w:sz w:val="18"/>
              </w:rPr>
              <w:t>360,947</w:t>
            </w:r>
            <w:r>
              <w:rPr>
                <w:w w:val="115"/>
                <w:position w:val="6"/>
                <w:sz w:val="11"/>
              </w:rPr>
              <w:t>#</w:t>
            </w:r>
          </w:p>
        </w:tc>
      </w:tr>
      <w:tr>
        <w:trPr>
          <w:trHeight w:val="278" w:hRule="atLeast"/>
        </w:trPr>
        <w:tc>
          <w:tcPr>
            <w:tcW w:w="1869" w:type="dxa"/>
            <w:tcBorders>
              <w:top w:val="single" w:sz="6" w:space="0" w:color="69BD28"/>
              <w:bottom w:val="single" w:sz="6" w:space="0" w:color="69BD28"/>
            </w:tcBorders>
          </w:tcPr>
          <w:p>
            <w:pPr>
              <w:pStyle w:val="TableParagraph"/>
              <w:spacing w:before="35"/>
              <w:ind w:right="705"/>
              <w:jc w:val="right"/>
              <w:rPr>
                <w:sz w:val="18"/>
              </w:rPr>
            </w:pPr>
            <w:r>
              <w:rPr>
                <w:w w:val="90"/>
                <w:sz w:val="18"/>
              </w:rPr>
              <w:t>Total</w:t>
            </w:r>
          </w:p>
        </w:tc>
        <w:tc>
          <w:tcPr>
            <w:tcW w:w="2258" w:type="dxa"/>
            <w:tcBorders>
              <w:top w:val="single" w:sz="6" w:space="0" w:color="69BD28"/>
              <w:bottom w:val="single" w:sz="6" w:space="0" w:color="69BD28"/>
            </w:tcBorders>
          </w:tcPr>
          <w:p>
            <w:pPr>
              <w:pStyle w:val="TableParagraph"/>
              <w:jc w:val="left"/>
              <w:rPr>
                <w:rFonts w:ascii="Times New Roman"/>
                <w:sz w:val="18"/>
              </w:rPr>
            </w:pPr>
          </w:p>
        </w:tc>
        <w:tc>
          <w:tcPr>
            <w:tcW w:w="2219" w:type="dxa"/>
            <w:tcBorders>
              <w:top w:val="single" w:sz="6" w:space="0" w:color="69BD28"/>
              <w:bottom w:val="single" w:sz="6" w:space="0" w:color="69BD28"/>
            </w:tcBorders>
          </w:tcPr>
          <w:p>
            <w:pPr>
              <w:pStyle w:val="TableParagraph"/>
              <w:jc w:val="left"/>
              <w:rPr>
                <w:rFonts w:ascii="Times New Roman"/>
                <w:sz w:val="18"/>
              </w:rPr>
            </w:pPr>
          </w:p>
        </w:tc>
        <w:tc>
          <w:tcPr>
            <w:tcW w:w="1783" w:type="dxa"/>
            <w:tcBorders>
              <w:top w:val="single" w:sz="6" w:space="0" w:color="69BD28"/>
              <w:bottom w:val="single" w:sz="6" w:space="0" w:color="69BD28"/>
            </w:tcBorders>
          </w:tcPr>
          <w:p>
            <w:pPr>
              <w:pStyle w:val="TableParagraph"/>
              <w:jc w:val="left"/>
              <w:rPr>
                <w:rFonts w:ascii="Times New Roman"/>
                <w:sz w:val="18"/>
              </w:rPr>
            </w:pPr>
          </w:p>
        </w:tc>
        <w:tc>
          <w:tcPr>
            <w:tcW w:w="2351" w:type="dxa"/>
            <w:tcBorders>
              <w:top w:val="single" w:sz="6" w:space="0" w:color="69BD28"/>
              <w:bottom w:val="single" w:sz="6" w:space="0" w:color="69BD28"/>
            </w:tcBorders>
          </w:tcPr>
          <w:p>
            <w:pPr>
              <w:pStyle w:val="TableParagraph"/>
              <w:spacing w:before="35"/>
              <w:ind w:left="809" w:right="703"/>
              <w:rPr>
                <w:sz w:val="18"/>
              </w:rPr>
            </w:pPr>
            <w:r>
              <w:rPr>
                <w:w w:val="110"/>
                <w:sz w:val="18"/>
              </w:rPr>
              <w:t>360,947</w:t>
            </w:r>
          </w:p>
        </w:tc>
      </w:tr>
    </w:tbl>
    <w:p>
      <w:pPr>
        <w:spacing w:before="0"/>
        <w:ind w:left="682" w:right="0" w:firstLine="0"/>
        <w:jc w:val="left"/>
        <w:rPr>
          <w:i/>
          <w:sz w:val="16"/>
        </w:rPr>
      </w:pPr>
      <w:r>
        <w:rPr>
          <w:i/>
          <w:sz w:val="16"/>
        </w:rPr>
        <w:t>Source: Rent roll, Occupancy Certificate provided by Client; </w:t>
      </w:r>
      <w:r>
        <w:rPr>
          <w:i/>
          <w:sz w:val="16"/>
          <w:vertAlign w:val="superscript"/>
        </w:rPr>
        <w:t>#</w:t>
      </w:r>
      <w:r>
        <w:rPr>
          <w:i/>
          <w:sz w:val="16"/>
          <w:vertAlign w:val="baseline"/>
        </w:rPr>
        <w:t>Leasable area under the purview of this valuation exercise</w:t>
      </w:r>
    </w:p>
    <w:p>
      <w:pPr>
        <w:pStyle w:val="BodyText"/>
        <w:spacing w:before="6"/>
        <w:rPr>
          <w:i/>
        </w:rPr>
      </w:pPr>
      <w:r>
        <w:rPr/>
        <w:pict>
          <v:group style="position:absolute;margin-left:36pt;margin-top:15.022657pt;width:523.6pt;height:15pt;mso-position-horizontal-relative:page;mso-position-vertical-relative:paragraph;z-index:-15435776;mso-wrap-distance-left:0;mso-wrap-distance-right:0" coordorigin="720,300" coordsize="10472,300">
            <v:shape style="position:absolute;left:720;top:314;width:10472;height:272" coordorigin="720,315" coordsize="10472,272" path="m11191,315l5824,315,720,315,720,586,5824,586,11191,586,11191,315xe" filled="true" fillcolor="#006a4d" stroked="false">
              <v:path arrowok="t"/>
              <v:fill type="solid"/>
            </v:shape>
            <v:shape style="position:absolute;left:720;top:300;width:10472;height:300" coordorigin="720,300" coordsize="10472,300" path="m5838,586l5824,586,720,586,720,600,5824,600,5838,600,5838,586xm5838,300l5824,300,720,300,720,315,5824,315,5838,315,5838,300xm11191,586l5838,586,5838,600,11191,600,11191,586xm11191,300l5838,300,5838,315,11191,315,11191,300xe" filled="true" fillcolor="#69bd28" stroked="false">
              <v:path arrowok="t"/>
              <v:fill type="solid"/>
            </v:shape>
            <v:shape style="position:absolute;left:720;top:314;width:10472;height:272" type="#_x0000_t202" filled="false" stroked="false">
              <v:textbox inset="0,0,0,0">
                <w:txbxContent>
                  <w:p>
                    <w:pPr>
                      <w:tabs>
                        <w:tab w:pos="5104" w:val="left" w:leader="none"/>
                      </w:tabs>
                      <w:spacing w:before="30"/>
                      <w:ind w:left="358" w:right="0" w:firstLine="0"/>
                      <w:jc w:val="center"/>
                      <w:rPr>
                        <w:b/>
                        <w:sz w:val="18"/>
                      </w:rPr>
                    </w:pPr>
                    <w:r>
                      <w:rPr>
                        <w:b/>
                        <w:color w:val="FFFFFF"/>
                        <w:w w:val="110"/>
                        <w:sz w:val="18"/>
                      </w:rPr>
                      <w:t>Details</w:t>
                      <w:tab/>
                      <w:t>Completed</w:t>
                    </w:r>
                    <w:r>
                      <w:rPr>
                        <w:b/>
                        <w:color w:val="FFFFFF"/>
                        <w:spacing w:val="-5"/>
                        <w:w w:val="110"/>
                        <w:sz w:val="18"/>
                      </w:rPr>
                      <w:t> </w:t>
                    </w:r>
                    <w:r>
                      <w:rPr>
                        <w:b/>
                        <w:color w:val="FFFFFF"/>
                        <w:w w:val="110"/>
                        <w:sz w:val="18"/>
                      </w:rPr>
                      <w:t>Blocks</w:t>
                    </w:r>
                  </w:p>
                </w:txbxContent>
              </v:textbox>
              <w10:wrap type="none"/>
            </v:shape>
            <w10:wrap type="topAndBottom"/>
          </v:group>
        </w:pict>
      </w:r>
    </w:p>
    <w:p>
      <w:pPr>
        <w:tabs>
          <w:tab w:pos="7569" w:val="left" w:leader="none"/>
        </w:tabs>
        <w:spacing w:before="1" w:after="32"/>
        <w:ind w:left="1822" w:right="0" w:firstLine="0"/>
        <w:jc w:val="left"/>
        <w:rPr>
          <w:sz w:val="18"/>
        </w:rPr>
      </w:pPr>
      <w:r>
        <w:rPr>
          <w:sz w:val="18"/>
        </w:rPr>
        <w:t>Grade of</w:t>
      </w:r>
      <w:r>
        <w:rPr>
          <w:spacing w:val="-13"/>
          <w:sz w:val="18"/>
        </w:rPr>
        <w:t> </w:t>
      </w:r>
      <w:r>
        <w:rPr>
          <w:sz w:val="18"/>
        </w:rPr>
        <w:t>the</w:t>
      </w:r>
      <w:r>
        <w:rPr>
          <w:spacing w:val="-6"/>
          <w:sz w:val="18"/>
        </w:rPr>
        <w:t> </w:t>
      </w:r>
      <w:r>
        <w:rPr>
          <w:sz w:val="18"/>
        </w:rPr>
        <w:t>Building</w:t>
        <w:tab/>
        <w:t>Grade A</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5118,0l5104,0,0,0,0,14,5104,14,5118,14,5118,0xm10471,0l5118,0,5118,14,10471,14,10471,0xe" filled="true" fillcolor="#69bd28" stroked="false">
              <v:path arrowok="t"/>
              <v:fill type="solid"/>
            </v:shape>
          </v:group>
        </w:pict>
      </w:r>
      <w:r>
        <w:rPr>
          <w:sz w:val="2"/>
        </w:rPr>
      </w:r>
    </w:p>
    <w:p>
      <w:pPr>
        <w:tabs>
          <w:tab w:pos="7072" w:val="left" w:leader="none"/>
        </w:tabs>
        <w:spacing w:before="24"/>
        <w:ind w:left="1970" w:right="0" w:firstLine="0"/>
        <w:jc w:val="left"/>
        <w:rPr>
          <w:sz w:val="18"/>
        </w:rPr>
      </w:pPr>
      <w:r>
        <w:rPr/>
        <w:pict>
          <v:shape style="position:absolute;margin-left:36pt;margin-top:13.13066pt;width:523.6pt;height:.75pt;mso-position-horizontal-relative:page;mso-position-vertical-relative:paragraph;z-index:-15434752;mso-wrap-distance-left:0;mso-wrap-distance-right:0" coordorigin="720,263" coordsize="10472,15" path="m5838,263l5824,263,720,263,720,277,5824,277,5838,277,5838,263xm11191,263l5838,263,5838,277,11191,277,11191,263xe" filled="true" fillcolor="#69bd28" stroked="false">
            <v:path arrowok="t"/>
            <v:fill type="solid"/>
            <w10:wrap type="topAndBottom"/>
          </v:shape>
        </w:pict>
      </w:r>
      <w:r>
        <w:rPr/>
        <w:pict>
          <v:shape style="position:absolute;margin-left:36pt;margin-top:27.41066pt;width:523.6pt;height:.75pt;mso-position-horizontal-relative:page;mso-position-vertical-relative:paragraph;z-index:-34598400" coordorigin="720,548" coordsize="10472,15" path="m5838,548l5824,548,720,548,720,563,5824,563,5838,563,5838,548xm11191,548l5838,548,5838,563,11191,563,11191,548xe" filled="true" fillcolor="#69bd28" stroked="false">
            <v:path arrowok="t"/>
            <v:fill type="solid"/>
            <w10:wrap type="none"/>
          </v:shape>
        </w:pict>
      </w:r>
      <w:r>
        <w:rPr>
          <w:sz w:val="18"/>
        </w:rPr>
        <w:t>LEED</w:t>
      </w:r>
      <w:r>
        <w:rPr>
          <w:spacing w:val="-28"/>
          <w:sz w:val="18"/>
        </w:rPr>
        <w:t> </w:t>
      </w:r>
      <w:r>
        <w:rPr>
          <w:sz w:val="18"/>
        </w:rPr>
        <w:t>Certification</w:t>
        <w:tab/>
        <w:t>Gold (Core &amp; Shell)</w:t>
      </w:r>
      <w:r>
        <w:rPr>
          <w:spacing w:val="-6"/>
          <w:sz w:val="18"/>
        </w:rPr>
        <w:t> </w:t>
      </w:r>
      <w:r>
        <w:rPr>
          <w:sz w:val="18"/>
        </w:rPr>
        <w:t>*</w:t>
      </w:r>
    </w:p>
    <w:p>
      <w:pPr>
        <w:tabs>
          <w:tab w:pos="6610" w:val="left" w:leader="none"/>
          <w:tab w:pos="7453" w:val="left" w:leader="none"/>
        </w:tabs>
        <w:spacing w:line="324" w:lineRule="auto" w:before="3"/>
        <w:ind w:left="1961" w:right="1532" w:firstLine="43"/>
        <w:jc w:val="left"/>
        <w:rPr>
          <w:sz w:val="18"/>
        </w:rPr>
      </w:pPr>
      <w:r>
        <w:rPr>
          <w:sz w:val="18"/>
        </w:rPr>
        <w:t>Structural</w:t>
      </w:r>
      <w:r>
        <w:rPr>
          <w:spacing w:val="-21"/>
          <w:sz w:val="18"/>
        </w:rPr>
        <w:t> </w:t>
      </w:r>
      <w:r>
        <w:rPr>
          <w:sz w:val="18"/>
        </w:rPr>
        <w:t>Design</w:t>
        <w:tab/>
        <w:t>(2B </w:t>
      </w:r>
      <w:r>
        <w:rPr>
          <w:w w:val="130"/>
          <w:sz w:val="18"/>
        </w:rPr>
        <w:t>+ </w:t>
      </w:r>
      <w:r>
        <w:rPr>
          <w:sz w:val="18"/>
        </w:rPr>
        <w:t>G </w:t>
      </w:r>
      <w:r>
        <w:rPr>
          <w:w w:val="130"/>
          <w:sz w:val="18"/>
        </w:rPr>
        <w:t>+ </w:t>
      </w:r>
      <w:r>
        <w:rPr>
          <w:sz w:val="18"/>
        </w:rPr>
        <w:t>up to 13 upper floors) Status</w:t>
      </w:r>
      <w:r>
        <w:rPr>
          <w:spacing w:val="-17"/>
          <w:sz w:val="18"/>
        </w:rPr>
        <w:t> </w:t>
      </w:r>
      <w:r>
        <w:rPr>
          <w:sz w:val="18"/>
        </w:rPr>
        <w:t>of</w:t>
      </w:r>
      <w:r>
        <w:rPr>
          <w:spacing w:val="-17"/>
          <w:sz w:val="18"/>
        </w:rPr>
        <w:t> </w:t>
      </w:r>
      <w:r>
        <w:rPr>
          <w:sz w:val="18"/>
        </w:rPr>
        <w:t>Finishing</w:t>
        <w:tab/>
        <w:tab/>
        <w:t>Warm</w:t>
      </w:r>
      <w:r>
        <w:rPr>
          <w:spacing w:val="-1"/>
          <w:sz w:val="18"/>
        </w:rPr>
        <w:t> </w:t>
      </w:r>
      <w:r>
        <w:rPr>
          <w:sz w:val="18"/>
        </w:rPr>
        <w:t>Shell</w:t>
      </w:r>
    </w:p>
    <w:p>
      <w:pPr>
        <w:tabs>
          <w:tab w:pos="6325" w:val="left" w:leader="none"/>
        </w:tabs>
        <w:spacing w:before="5"/>
        <w:ind w:left="1546" w:right="0" w:firstLine="0"/>
        <w:jc w:val="left"/>
        <w:rPr>
          <w:sz w:val="18"/>
        </w:rPr>
      </w:pPr>
      <w:r>
        <w:rPr/>
        <w:pict>
          <v:shape style="position:absolute;margin-left:35.280003pt;margin-top:12.301661pt;width:524.3pt;height:.75pt;mso-position-horizontal-relative:page;mso-position-vertical-relative:paragraph;z-index:-15434240;mso-wrap-distance-left:0;mso-wrap-distance-right:0" coordorigin="706,246" coordsize="10486,15" path="m11191,246l5824,246,5809,246,706,246,706,260,5809,260,5824,260,11191,260,11191,246xe" filled="true" fillcolor="#69bd28" stroked="false">
            <v:path arrowok="t"/>
            <v:fill type="solid"/>
            <w10:wrap type="topAndBottom"/>
          </v:shape>
        </w:pict>
      </w:r>
      <w:r>
        <w:rPr/>
        <w:pict>
          <v:shape style="position:absolute;margin-left:36pt;margin-top:-1.97934pt;width:523.6pt;height:.75pt;mso-position-horizontal-relative:page;mso-position-vertical-relative:paragraph;z-index:-34597888" coordorigin="720,-40" coordsize="10472,15" path="m5838,-40l5824,-40,720,-40,720,-25,5824,-25,5838,-25,5838,-40xm11191,-40l5838,-40,5838,-25,11191,-25,11191,-40xe" filled="true" fillcolor="#69bd28" stroked="false">
            <v:path arrowok="t"/>
            <v:fill type="solid"/>
            <w10:wrap type="none"/>
          </v:shape>
        </w:pict>
      </w:r>
      <w:r>
        <w:rPr>
          <w:sz w:val="18"/>
        </w:rPr>
        <w:t>Comments on</w:t>
      </w:r>
      <w:r>
        <w:rPr>
          <w:spacing w:val="2"/>
          <w:sz w:val="18"/>
        </w:rPr>
        <w:t> </w:t>
      </w:r>
      <w:r>
        <w:rPr>
          <w:sz w:val="18"/>
        </w:rPr>
        <w:t>Obsolescence</w:t>
        <w:tab/>
        <w:t>The building is currently well</w:t>
      </w:r>
      <w:r>
        <w:rPr>
          <w:spacing w:val="-35"/>
          <w:sz w:val="18"/>
        </w:rPr>
        <w:t> </w:t>
      </w:r>
      <w:r>
        <w:rPr>
          <w:sz w:val="18"/>
        </w:rPr>
        <w:t>maintained</w:t>
      </w:r>
    </w:p>
    <w:p>
      <w:pPr>
        <w:spacing w:before="0"/>
        <w:ind w:left="120" w:right="0" w:firstLine="0"/>
        <w:jc w:val="left"/>
        <w:rPr>
          <w:i/>
          <w:sz w:val="16"/>
        </w:rPr>
      </w:pPr>
      <w:r>
        <w:rPr>
          <w:i/>
          <w:sz w:val="16"/>
        </w:rPr>
        <w:t>*Indian Green Building Council certificate</w:t>
      </w:r>
    </w:p>
    <w:p>
      <w:pPr>
        <w:pStyle w:val="BodyText"/>
        <w:spacing w:before="3"/>
        <w:rPr>
          <w:i/>
          <w:sz w:val="26"/>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35" w:id="264"/>
      <w:bookmarkEnd w:id="264"/>
      <w:r>
        <w:rPr/>
      </w:r>
      <w:bookmarkStart w:name="_bookmark135" w:id="265"/>
      <w:bookmarkEnd w:id="265"/>
      <w:r>
        <w:rPr>
          <w:color w:val="1F664D"/>
          <w:sz w:val="22"/>
        </w:rPr>
        <w:t>S</w:t>
      </w:r>
      <w:r>
        <w:rPr>
          <w:color w:val="1F664D"/>
          <w:sz w:val="22"/>
        </w:rPr>
        <w:t>ite Services and</w:t>
      </w:r>
      <w:r>
        <w:rPr>
          <w:color w:val="1F664D"/>
          <w:spacing w:val="-3"/>
          <w:sz w:val="22"/>
        </w:rPr>
        <w:t> </w:t>
      </w:r>
      <w:r>
        <w:rPr>
          <w:color w:val="1F664D"/>
          <w:sz w:val="22"/>
        </w:rPr>
        <w:t>Finishes</w:t>
      </w:r>
    </w:p>
    <w:p>
      <w:pPr>
        <w:pStyle w:val="BodyText"/>
        <w:spacing w:before="11"/>
        <w:rPr>
          <w:sz w:val="13"/>
        </w:rPr>
      </w:pPr>
      <w:r>
        <w:rPr/>
        <w:pict>
          <v:group style="position:absolute;margin-left:64.103996pt;margin-top:10.075430pt;width:498.6pt;height:16pt;mso-position-horizontal-relative:page;mso-position-vertical-relative:paragraph;z-index:-15433216;mso-wrap-distance-left:0;mso-wrap-distance-right:0" coordorigin="1282,202" coordsize="9972,320">
            <v:shape style="position:absolute;left:1282;top:218;width:9972;height:288" coordorigin="1282,218" coordsize="9972,288" path="m11254,218l6517,218,1282,218,1282,506,6517,506,11254,506,11254,218xe" filled="true" fillcolor="#006a4d" stroked="false">
              <v:path arrowok="t"/>
              <v:fill type="solid"/>
            </v:shape>
            <v:shape style="position:absolute;left:1282;top:201;width:9972;height:320" coordorigin="1282,202" coordsize="9972,320" path="m11254,506l6532,506,6517,506,6517,506,1282,506,1282,521,6517,521,6517,521,6532,521,11254,521,11254,506xm11254,202l6532,202,6517,202,6517,202,1282,202,1282,216,6517,216,6517,216,6532,216,11254,216,11254,202xe" filled="true" fillcolor="#69bd28" stroked="false">
              <v:path arrowok="t"/>
              <v:fill type="solid"/>
            </v:shape>
            <v:shape style="position:absolute;left:1282;top:215;width:9972;height:291" type="#_x0000_t202" filled="false" stroked="false">
              <v:textbox inset="0,0,0,0">
                <w:txbxContent>
                  <w:p>
                    <w:pPr>
                      <w:tabs>
                        <w:tab w:pos="5233" w:val="left" w:leader="none"/>
                      </w:tabs>
                      <w:spacing w:before="42"/>
                      <w:ind w:left="77" w:right="0" w:firstLine="0"/>
                      <w:jc w:val="center"/>
                      <w:rPr>
                        <w:b/>
                        <w:sz w:val="18"/>
                      </w:rPr>
                    </w:pPr>
                    <w:r>
                      <w:rPr>
                        <w:b/>
                        <w:color w:val="FFFFFF"/>
                        <w:w w:val="110"/>
                        <w:sz w:val="18"/>
                      </w:rPr>
                      <w:t>Particulars</w:t>
                      <w:tab/>
                      <w:t>Details</w:t>
                    </w:r>
                  </w:p>
                </w:txbxContent>
              </v:textbox>
              <w10:wrap type="none"/>
            </v:shape>
            <w10:wrap type="topAndBottom"/>
          </v:group>
        </w:pict>
      </w:r>
    </w:p>
    <w:p>
      <w:pPr>
        <w:tabs>
          <w:tab w:pos="7830" w:val="left" w:leader="none"/>
        </w:tabs>
        <w:spacing w:before="10" w:after="39"/>
        <w:ind w:left="2522" w:right="0" w:firstLine="0"/>
        <w:jc w:val="left"/>
        <w:rPr>
          <w:sz w:val="18"/>
        </w:rPr>
      </w:pPr>
      <w:r>
        <w:rPr>
          <w:sz w:val="18"/>
        </w:rPr>
        <w:t>Handover</w:t>
      </w:r>
      <w:r>
        <w:rPr>
          <w:spacing w:val="-12"/>
          <w:sz w:val="18"/>
        </w:rPr>
        <w:t> </w:t>
      </w:r>
      <w:r>
        <w:rPr>
          <w:sz w:val="18"/>
        </w:rPr>
        <w:t>condition</w:t>
        <w:tab/>
        <w:t>Warm</w:t>
      </w:r>
      <w:r>
        <w:rPr>
          <w:spacing w:val="-1"/>
          <w:sz w:val="18"/>
        </w:rPr>
        <w:t> </w:t>
      </w:r>
      <w:r>
        <w:rPr>
          <w:sz w:val="18"/>
        </w:rPr>
        <w:t>Shell</w:t>
      </w:r>
    </w:p>
    <w:p>
      <w:pPr>
        <w:pStyle w:val="BodyText"/>
        <w:spacing w:line="20" w:lineRule="exact"/>
        <w:ind w:left="682"/>
        <w:rPr>
          <w:sz w:val="2"/>
        </w:rPr>
      </w:pPr>
      <w:r>
        <w:rPr>
          <w:sz w:val="2"/>
        </w:rPr>
        <w:pict>
          <v:group style="width:498.6pt;height:.75pt;mso-position-horizontal-relative:char;mso-position-vertical-relative:line" coordorigin="0,0" coordsize="9972,15">
            <v:shape style="position:absolute;left:0;top:0;width:9972;height:15" coordorigin="0,0" coordsize="9972,15" path="m9972,0l5250,0,5235,0,0,0,0,14,5235,14,5250,14,9972,14,9972,0xe" filled="true" fillcolor="#69bd28" stroked="false">
              <v:path arrowok="t"/>
              <v:fill type="solid"/>
            </v:shape>
          </v:group>
        </w:pict>
      </w:r>
      <w:r>
        <w:rPr>
          <w:sz w:val="2"/>
        </w:rPr>
      </w:r>
    </w:p>
    <w:p>
      <w:pPr>
        <w:tabs>
          <w:tab w:pos="7945" w:val="left" w:leader="none"/>
        </w:tabs>
        <w:spacing w:before="34"/>
        <w:ind w:left="2527" w:right="0" w:firstLine="0"/>
        <w:jc w:val="left"/>
        <w:rPr>
          <w:sz w:val="18"/>
        </w:rPr>
      </w:pPr>
      <w:r>
        <w:rPr/>
        <w:pict>
          <v:shape style="position:absolute;margin-left:64.104004pt;margin-top:14.110681pt;width:498.6pt;height:.75pt;mso-position-horizontal-relative:page;mso-position-vertical-relative:paragraph;z-index:-15432192;mso-wrap-distance-left:0;mso-wrap-distance-right:0" coordorigin="1282,282" coordsize="9972,15" path="m11254,282l6532,282,6517,282,1282,282,1282,297,6517,297,6532,297,11254,297,11254,282xe" filled="true" fillcolor="#69bd28" stroked="false">
            <v:path arrowok="t"/>
            <v:fill type="solid"/>
            <w10:wrap type="topAndBottom"/>
          </v:shape>
        </w:pict>
      </w:r>
      <w:r>
        <w:rPr>
          <w:sz w:val="18"/>
        </w:rPr>
        <w:t>Passenger</w:t>
      </w:r>
      <w:r>
        <w:rPr>
          <w:spacing w:val="-21"/>
          <w:sz w:val="18"/>
        </w:rPr>
        <w:t> </w:t>
      </w:r>
      <w:r>
        <w:rPr>
          <w:sz w:val="18"/>
        </w:rPr>
        <w:t>elevators</w:t>
        <w:tab/>
        <w:t>Provided</w:t>
      </w:r>
    </w:p>
    <w:p>
      <w:pPr>
        <w:tabs>
          <w:tab w:pos="5295" w:val="left" w:leader="none"/>
        </w:tabs>
        <w:spacing w:before="10" w:after="39"/>
        <w:ind w:left="0" w:right="2160" w:firstLine="0"/>
        <w:jc w:val="right"/>
        <w:rPr>
          <w:sz w:val="18"/>
        </w:rPr>
      </w:pPr>
      <w:r>
        <w:rPr>
          <w:sz w:val="18"/>
        </w:rPr>
        <w:t>Service</w:t>
      </w:r>
      <w:r>
        <w:rPr>
          <w:spacing w:val="-33"/>
          <w:sz w:val="18"/>
        </w:rPr>
        <w:t> </w:t>
      </w:r>
      <w:r>
        <w:rPr>
          <w:sz w:val="18"/>
        </w:rPr>
        <w:t>elevators</w:t>
        <w:tab/>
      </w:r>
      <w:r>
        <w:rPr>
          <w:spacing w:val="-1"/>
          <w:w w:val="95"/>
          <w:sz w:val="18"/>
        </w:rPr>
        <w:t>Provided</w:t>
      </w:r>
    </w:p>
    <w:p>
      <w:pPr>
        <w:pStyle w:val="BodyText"/>
        <w:spacing w:line="20" w:lineRule="exact"/>
        <w:ind w:left="682"/>
        <w:rPr>
          <w:sz w:val="2"/>
        </w:rPr>
      </w:pPr>
      <w:r>
        <w:rPr>
          <w:sz w:val="2"/>
        </w:rPr>
        <w:pict>
          <v:group style="width:498.6pt;height:.75pt;mso-position-horizontal-relative:char;mso-position-vertical-relative:line" coordorigin="0,0" coordsize="9972,15">
            <v:shape style="position:absolute;left:0;top:0;width:9972;height:15" coordorigin="0,0" coordsize="9972,15" path="m9972,0l5250,0,5235,0,0,0,0,14,5235,14,5250,14,9972,14,9972,0xe" filled="true" fillcolor="#69bd28" stroked="false">
              <v:path arrowok="t"/>
              <v:fill type="solid"/>
            </v:shape>
          </v:group>
        </w:pict>
      </w:r>
      <w:r>
        <w:rPr>
          <w:sz w:val="2"/>
        </w:rPr>
      </w:r>
    </w:p>
    <w:p>
      <w:pPr>
        <w:tabs>
          <w:tab w:pos="5230" w:val="left" w:leader="none"/>
        </w:tabs>
        <w:spacing w:before="36"/>
        <w:ind w:left="0" w:right="2160" w:firstLine="0"/>
        <w:jc w:val="right"/>
        <w:rPr>
          <w:sz w:val="18"/>
        </w:rPr>
      </w:pPr>
      <w:r>
        <w:rPr/>
        <w:pict>
          <v:shape style="position:absolute;margin-left:64.104004pt;margin-top:14.211681pt;width:498.6pt;height:.75pt;mso-position-horizontal-relative:page;mso-position-vertical-relative:paragraph;z-index:-15431168;mso-wrap-distance-left:0;mso-wrap-distance-right:0" coordorigin="1282,284" coordsize="9972,15" path="m11254,284l6532,284,6517,284,1282,284,1282,299,6517,299,6532,299,11254,299,11254,284xe" filled="true" fillcolor="#69bd28" stroked="false">
            <v:path arrowok="t"/>
            <v:fill type="solid"/>
            <w10:wrap type="topAndBottom"/>
          </v:shape>
        </w:pict>
      </w:r>
      <w:r>
        <w:rPr>
          <w:sz w:val="18"/>
        </w:rPr>
        <w:t>Power</w:t>
      </w:r>
      <w:r>
        <w:rPr>
          <w:spacing w:val="-11"/>
          <w:sz w:val="18"/>
        </w:rPr>
        <w:t> </w:t>
      </w:r>
      <w:r>
        <w:rPr>
          <w:sz w:val="18"/>
        </w:rPr>
        <w:t>back-up</w:t>
        <w:tab/>
      </w:r>
      <w:r>
        <w:rPr>
          <w:spacing w:val="-1"/>
          <w:w w:val="95"/>
          <w:sz w:val="18"/>
        </w:rPr>
        <w:t>Provided</w:t>
      </w:r>
    </w:p>
    <w:p>
      <w:pPr>
        <w:tabs>
          <w:tab w:pos="5799" w:val="left" w:leader="none"/>
        </w:tabs>
        <w:spacing w:before="10" w:after="39"/>
        <w:ind w:left="0" w:right="2160" w:firstLine="0"/>
        <w:jc w:val="right"/>
        <w:rPr>
          <w:sz w:val="18"/>
        </w:rPr>
      </w:pPr>
      <w:r>
        <w:rPr>
          <w:sz w:val="18"/>
        </w:rPr>
        <w:t>Building</w:t>
      </w:r>
      <w:r>
        <w:rPr>
          <w:spacing w:val="-16"/>
          <w:sz w:val="18"/>
        </w:rPr>
        <w:t> </w:t>
      </w:r>
      <w:r>
        <w:rPr>
          <w:sz w:val="18"/>
        </w:rPr>
        <w:t>management</w:t>
      </w:r>
      <w:r>
        <w:rPr>
          <w:spacing w:val="-16"/>
          <w:sz w:val="18"/>
        </w:rPr>
        <w:t> </w:t>
      </w:r>
      <w:r>
        <w:rPr>
          <w:sz w:val="18"/>
        </w:rPr>
        <w:t>system</w:t>
        <w:tab/>
      </w:r>
      <w:r>
        <w:rPr>
          <w:spacing w:val="-1"/>
          <w:w w:val="95"/>
          <w:sz w:val="18"/>
        </w:rPr>
        <w:t>Provided</w:t>
      </w:r>
    </w:p>
    <w:p>
      <w:pPr>
        <w:pStyle w:val="BodyText"/>
        <w:spacing w:line="20" w:lineRule="exact"/>
        <w:ind w:left="682"/>
        <w:rPr>
          <w:sz w:val="2"/>
        </w:rPr>
      </w:pPr>
      <w:r>
        <w:rPr>
          <w:sz w:val="2"/>
        </w:rPr>
        <w:pict>
          <v:group style="width:498.6pt;height:.75pt;mso-position-horizontal-relative:char;mso-position-vertical-relative:line" coordorigin="0,0" coordsize="9972,15">
            <v:shape style="position:absolute;left:0;top:0;width:9972;height:15" coordorigin="0,0" coordsize="9972,15" path="m9972,0l5250,0,5235,0,0,0,0,14,5235,14,5250,14,9972,14,9972,0xe" filled="true" fillcolor="#69bd28" stroked="false">
              <v:path arrowok="t"/>
              <v:fill type="solid"/>
            </v:shape>
          </v:group>
        </w:pict>
      </w:r>
      <w:r>
        <w:rPr>
          <w:sz w:val="2"/>
        </w:rPr>
      </w:r>
    </w:p>
    <w:p>
      <w:pPr>
        <w:tabs>
          <w:tab w:pos="5266" w:val="left" w:leader="none"/>
        </w:tabs>
        <w:spacing w:before="34"/>
        <w:ind w:left="0" w:right="2160" w:firstLine="0"/>
        <w:jc w:val="right"/>
        <w:rPr>
          <w:sz w:val="18"/>
        </w:rPr>
      </w:pPr>
      <w:r>
        <w:rPr/>
        <w:pict>
          <v:shape style="position:absolute;margin-left:64.104004pt;margin-top:14.111677pt;width:498.6pt;height:.75pt;mso-position-horizontal-relative:page;mso-position-vertical-relative:paragraph;z-index:-15430144;mso-wrap-distance-left:0;mso-wrap-distance-right:0" coordorigin="1282,282" coordsize="9972,15" path="m11254,282l6532,282,6517,282,1282,282,1282,297,6517,297,6532,297,11254,297,11254,282xe" filled="true" fillcolor="#69bd28" stroked="false">
            <v:path arrowok="t"/>
            <v:fill type="solid"/>
            <w10:wrap type="topAndBottom"/>
          </v:shape>
        </w:pict>
      </w:r>
      <w:r>
        <w:rPr>
          <w:sz w:val="18"/>
        </w:rPr>
        <w:t>Security</w:t>
      </w:r>
      <w:r>
        <w:rPr>
          <w:spacing w:val="-36"/>
          <w:sz w:val="18"/>
        </w:rPr>
        <w:t> </w:t>
      </w:r>
      <w:r>
        <w:rPr>
          <w:sz w:val="18"/>
        </w:rPr>
        <w:t>systems</w:t>
        <w:tab/>
      </w:r>
      <w:r>
        <w:rPr>
          <w:spacing w:val="-1"/>
          <w:w w:val="95"/>
          <w:sz w:val="18"/>
        </w:rPr>
        <w:t>Provided</w:t>
      </w:r>
    </w:p>
    <w:p>
      <w:pPr>
        <w:tabs>
          <w:tab w:pos="5266" w:val="left" w:leader="none"/>
        </w:tabs>
        <w:spacing w:before="10" w:after="39"/>
        <w:ind w:left="0" w:right="2160" w:firstLine="0"/>
        <w:jc w:val="right"/>
        <w:rPr>
          <w:sz w:val="18"/>
        </w:rPr>
      </w:pPr>
      <w:r>
        <w:rPr>
          <w:sz w:val="18"/>
        </w:rPr>
        <w:t>Air</w:t>
      </w:r>
      <w:r>
        <w:rPr>
          <w:spacing w:val="-16"/>
          <w:sz w:val="18"/>
        </w:rPr>
        <w:t> </w:t>
      </w:r>
      <w:r>
        <w:rPr>
          <w:sz w:val="18"/>
        </w:rPr>
        <w:t>conditioning</w:t>
        <w:tab/>
      </w:r>
      <w:r>
        <w:rPr>
          <w:spacing w:val="-1"/>
          <w:w w:val="95"/>
          <w:sz w:val="18"/>
        </w:rPr>
        <w:t>Provided</w:t>
      </w:r>
    </w:p>
    <w:p>
      <w:pPr>
        <w:pStyle w:val="BodyText"/>
        <w:spacing w:line="20" w:lineRule="exact"/>
        <w:ind w:left="682"/>
        <w:rPr>
          <w:sz w:val="2"/>
        </w:rPr>
      </w:pPr>
      <w:r>
        <w:rPr>
          <w:sz w:val="2"/>
        </w:rPr>
        <w:pict>
          <v:group style="width:498.6pt;height:.75pt;mso-position-horizontal-relative:char;mso-position-vertical-relative:line" coordorigin="0,0" coordsize="9972,15">
            <v:shape style="position:absolute;left:0;top:0;width:9972;height:15" coordorigin="0,0" coordsize="9972,15" path="m9972,0l5250,0,5235,0,0,0,0,14,5235,14,5250,14,9972,14,9972,0xe" filled="true" fillcolor="#69bd28" stroked="false">
              <v:path arrowok="t"/>
              <v:fill type="solid"/>
            </v:shape>
          </v:group>
        </w:pict>
      </w:r>
      <w:r>
        <w:rPr>
          <w:sz w:val="2"/>
        </w:rPr>
      </w:r>
    </w:p>
    <w:p>
      <w:pPr>
        <w:tabs>
          <w:tab w:pos="5415" w:val="left" w:leader="none"/>
        </w:tabs>
        <w:spacing w:before="36"/>
        <w:ind w:left="0" w:right="2160" w:firstLine="0"/>
        <w:jc w:val="right"/>
        <w:rPr>
          <w:sz w:val="18"/>
        </w:rPr>
      </w:pPr>
      <w:r>
        <w:rPr/>
        <w:pict>
          <v:shape style="position:absolute;margin-left:64.104004pt;margin-top:14.210678pt;width:498.6pt;height:.75pt;mso-position-horizontal-relative:page;mso-position-vertical-relative:paragraph;z-index:-15429120;mso-wrap-distance-left:0;mso-wrap-distance-right:0" coordorigin="1282,284" coordsize="9972,15" path="m11254,284l6532,284,6517,284,1282,284,1282,299,6517,299,6532,299,11254,299,11254,284xe" filled="true" fillcolor="#69bd28" stroked="false">
            <v:path arrowok="t"/>
            <v:fill type="solid"/>
            <w10:wrap type="topAndBottom"/>
          </v:shape>
        </w:pict>
      </w:r>
      <w:r>
        <w:rPr>
          <w:sz w:val="18"/>
        </w:rPr>
        <w:t>Firefighting</w:t>
      </w:r>
      <w:r>
        <w:rPr>
          <w:spacing w:val="-36"/>
          <w:sz w:val="18"/>
        </w:rPr>
        <w:t> </w:t>
      </w:r>
      <w:r>
        <w:rPr>
          <w:sz w:val="18"/>
        </w:rPr>
        <w:t>services</w:t>
        <w:tab/>
      </w:r>
      <w:r>
        <w:rPr>
          <w:spacing w:val="-1"/>
          <w:w w:val="95"/>
          <w:sz w:val="18"/>
        </w:rPr>
        <w:t>Provided</w:t>
      </w:r>
    </w:p>
    <w:p>
      <w:pPr>
        <w:tabs>
          <w:tab w:pos="7242" w:val="left" w:leader="none"/>
        </w:tabs>
        <w:spacing w:before="10" w:after="39"/>
        <w:ind w:left="2563" w:right="0" w:firstLine="0"/>
        <w:jc w:val="left"/>
        <w:rPr>
          <w:sz w:val="18"/>
        </w:rPr>
      </w:pPr>
      <w:r>
        <w:rPr>
          <w:sz w:val="18"/>
        </w:rPr>
        <w:t>Car</w:t>
      </w:r>
      <w:r>
        <w:rPr>
          <w:spacing w:val="-1"/>
          <w:sz w:val="18"/>
        </w:rPr>
        <w:t> </w:t>
      </w:r>
      <w:r>
        <w:rPr>
          <w:sz w:val="18"/>
        </w:rPr>
        <w:t>park</w:t>
      </w:r>
      <w:r>
        <w:rPr>
          <w:spacing w:val="1"/>
          <w:sz w:val="18"/>
        </w:rPr>
        <w:t> </w:t>
      </w:r>
      <w:r>
        <w:rPr>
          <w:sz w:val="18"/>
        </w:rPr>
        <w:t>provision</w:t>
        <w:tab/>
        <w:t>MLCP / Covered car</w:t>
      </w:r>
      <w:r>
        <w:rPr>
          <w:spacing w:val="-9"/>
          <w:sz w:val="18"/>
        </w:rPr>
        <w:t> </w:t>
      </w:r>
      <w:r>
        <w:rPr>
          <w:sz w:val="18"/>
        </w:rPr>
        <w:t>parks</w:t>
      </w:r>
    </w:p>
    <w:p>
      <w:pPr>
        <w:pStyle w:val="BodyText"/>
        <w:spacing w:line="20" w:lineRule="exact"/>
        <w:ind w:left="682"/>
        <w:rPr>
          <w:sz w:val="2"/>
        </w:rPr>
      </w:pPr>
      <w:r>
        <w:rPr>
          <w:sz w:val="2"/>
        </w:rPr>
        <w:pict>
          <v:group style="width:498.6pt;height:.75pt;mso-position-horizontal-relative:char;mso-position-vertical-relative:line" coordorigin="0,0" coordsize="9972,15">
            <v:shape style="position:absolute;left:0;top:0;width:9972;height:15" coordorigin="0,0" coordsize="9972,15" path="m9972,0l5250,0,5235,0,0,0,0,14,5235,14,5250,14,9972,14,9972,0xe" filled="true" fillcolor="#69bd28" stroked="false">
              <v:path arrowok="t"/>
              <v:fill type="solid"/>
            </v:shape>
          </v:group>
        </w:pict>
      </w:r>
      <w:r>
        <w:rPr>
          <w:sz w:val="2"/>
        </w:rPr>
      </w:r>
    </w:p>
    <w:p>
      <w:pPr>
        <w:spacing w:before="46"/>
        <w:ind w:left="790" w:right="0" w:firstLine="0"/>
        <w:jc w:val="left"/>
        <w:rPr>
          <w:i/>
          <w:sz w:val="16"/>
        </w:rPr>
      </w:pPr>
      <w:r>
        <w:rPr>
          <w:i/>
          <w:sz w:val="16"/>
        </w:rPr>
        <w:t>Source: Information provided by Client, Site Visit, Lease Deeds</w:t>
      </w:r>
    </w:p>
    <w:p>
      <w:pPr>
        <w:spacing w:after="0"/>
        <w:jc w:val="left"/>
        <w:rPr>
          <w:sz w:val="16"/>
        </w:rPr>
        <w:sectPr>
          <w:type w:val="continuous"/>
          <w:pgSz w:w="11910" w:h="16840"/>
          <w:pgMar w:top="800" w:bottom="280" w:left="600" w:right="520"/>
        </w:sectPr>
      </w:pPr>
    </w:p>
    <w:p>
      <w:pPr>
        <w:pStyle w:val="BodyText"/>
        <w:spacing w:before="7"/>
        <w:rPr>
          <w:i/>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136" w:id="266"/>
      <w:bookmarkEnd w:id="266"/>
      <w:r>
        <w:rPr/>
      </w:r>
      <w:bookmarkStart w:name="_bookmark136" w:id="267"/>
      <w:bookmarkEnd w:id="267"/>
      <w:r>
        <w:rPr>
          <w:color w:val="1F664D"/>
          <w:sz w:val="22"/>
        </w:rPr>
        <w:t>Condition</w:t>
      </w:r>
      <w:r>
        <w:rPr>
          <w:color w:val="1F664D"/>
          <w:sz w:val="22"/>
        </w:rPr>
        <w:t> &amp;</w:t>
      </w:r>
      <w:r>
        <w:rPr>
          <w:color w:val="1F664D"/>
          <w:spacing w:val="36"/>
          <w:sz w:val="22"/>
        </w:rPr>
        <w:t> </w:t>
      </w:r>
      <w:r>
        <w:rPr>
          <w:color w:val="1F664D"/>
          <w:sz w:val="22"/>
        </w:rPr>
        <w:t>Repair</w:t>
      </w:r>
    </w:p>
    <w:p>
      <w:pPr>
        <w:pStyle w:val="BodyText"/>
        <w:spacing w:line="321" w:lineRule="auto" w:before="208"/>
        <w:ind w:left="682" w:right="194"/>
        <w:jc w:val="both"/>
      </w:pPr>
      <w:r>
        <w:rPr/>
        <w:t>Subject property is developed and managed to international standards offering best-in-class asset management</w:t>
      </w:r>
      <w:r>
        <w:rPr>
          <w:spacing w:val="-34"/>
        </w:rPr>
        <w:t> </w:t>
      </w:r>
      <w:r>
        <w:rPr/>
        <w:t>and</w:t>
      </w:r>
      <w:r>
        <w:rPr>
          <w:spacing w:val="-34"/>
        </w:rPr>
        <w:t> </w:t>
      </w:r>
      <w:r>
        <w:rPr/>
        <w:t>environment</w:t>
      </w:r>
      <w:r>
        <w:rPr>
          <w:spacing w:val="-34"/>
        </w:rPr>
        <w:t> </w:t>
      </w:r>
      <w:r>
        <w:rPr/>
        <w:t>friendly</w:t>
      </w:r>
      <w:r>
        <w:rPr>
          <w:spacing w:val="-34"/>
        </w:rPr>
        <w:t> </w:t>
      </w:r>
      <w:r>
        <w:rPr/>
        <w:t>green</w:t>
      </w:r>
      <w:r>
        <w:rPr>
          <w:spacing w:val="-34"/>
        </w:rPr>
        <w:t> </w:t>
      </w:r>
      <w:r>
        <w:rPr/>
        <w:t>initiatives,</w:t>
      </w:r>
      <w:r>
        <w:rPr>
          <w:spacing w:val="-34"/>
        </w:rPr>
        <w:t> </w:t>
      </w:r>
      <w:r>
        <w:rPr/>
        <w:t>which</w:t>
      </w:r>
      <w:r>
        <w:rPr>
          <w:spacing w:val="-34"/>
        </w:rPr>
        <w:t> </w:t>
      </w:r>
      <w:r>
        <w:rPr/>
        <w:t>makes</w:t>
      </w:r>
      <w:r>
        <w:rPr>
          <w:spacing w:val="-33"/>
        </w:rPr>
        <w:t> </w:t>
      </w:r>
      <w:r>
        <w:rPr/>
        <w:t>it</w:t>
      </w:r>
      <w:r>
        <w:rPr>
          <w:spacing w:val="-34"/>
        </w:rPr>
        <w:t> </w:t>
      </w:r>
      <w:r>
        <w:rPr/>
        <w:t>a</w:t>
      </w:r>
      <w:r>
        <w:rPr>
          <w:spacing w:val="-34"/>
        </w:rPr>
        <w:t> </w:t>
      </w:r>
      <w:r>
        <w:rPr/>
        <w:t>preferred</w:t>
      </w:r>
      <w:r>
        <w:rPr>
          <w:spacing w:val="-33"/>
        </w:rPr>
        <w:t> </w:t>
      </w:r>
      <w:r>
        <w:rPr/>
        <w:t>option</w:t>
      </w:r>
      <w:r>
        <w:rPr>
          <w:spacing w:val="-34"/>
        </w:rPr>
        <w:t> </w:t>
      </w:r>
      <w:r>
        <w:rPr/>
        <w:t>for</w:t>
      </w:r>
      <w:r>
        <w:rPr>
          <w:spacing w:val="-34"/>
        </w:rPr>
        <w:t> </w:t>
      </w:r>
      <w:r>
        <w:rPr/>
        <w:t>domestic as wells as Multinational Corporations (MNCs). Based on information provided by the Client and site visit,</w:t>
      </w:r>
      <w:r>
        <w:rPr>
          <w:spacing w:val="-13"/>
        </w:rPr>
        <w:t> </w:t>
      </w:r>
      <w:r>
        <w:rPr/>
        <w:t>it</w:t>
      </w:r>
      <w:r>
        <w:rPr>
          <w:spacing w:val="-12"/>
        </w:rPr>
        <w:t> </w:t>
      </w:r>
      <w:r>
        <w:rPr/>
        <w:t>is</w:t>
      </w:r>
      <w:r>
        <w:rPr>
          <w:spacing w:val="-13"/>
        </w:rPr>
        <w:t> </w:t>
      </w:r>
      <w:r>
        <w:rPr/>
        <w:t>understood</w:t>
      </w:r>
      <w:r>
        <w:rPr>
          <w:spacing w:val="-13"/>
        </w:rPr>
        <w:t> </w:t>
      </w:r>
      <w:r>
        <w:rPr/>
        <w:t>that</w:t>
      </w:r>
      <w:r>
        <w:rPr>
          <w:spacing w:val="-13"/>
        </w:rPr>
        <w:t> </w:t>
      </w:r>
      <w:r>
        <w:rPr/>
        <w:t>the</w:t>
      </w:r>
      <w:r>
        <w:rPr>
          <w:spacing w:val="-13"/>
        </w:rPr>
        <w:t> </w:t>
      </w:r>
      <w:r>
        <w:rPr/>
        <w:t>subject</w:t>
      </w:r>
      <w:r>
        <w:rPr>
          <w:spacing w:val="-12"/>
        </w:rPr>
        <w:t> </w:t>
      </w:r>
      <w:r>
        <w:rPr/>
        <w:t>property</w:t>
      </w:r>
      <w:r>
        <w:rPr>
          <w:spacing w:val="-12"/>
        </w:rPr>
        <w:t> </w:t>
      </w:r>
      <w:r>
        <w:rPr/>
        <w:t>is</w:t>
      </w:r>
      <w:r>
        <w:rPr>
          <w:spacing w:val="-12"/>
        </w:rPr>
        <w:t> </w:t>
      </w:r>
      <w:r>
        <w:rPr/>
        <w:t>in</w:t>
      </w:r>
      <w:r>
        <w:rPr>
          <w:spacing w:val="-13"/>
        </w:rPr>
        <w:t> </w:t>
      </w:r>
      <w:r>
        <w:rPr/>
        <w:t>good</w:t>
      </w:r>
      <w:r>
        <w:rPr>
          <w:spacing w:val="-11"/>
        </w:rPr>
        <w:t> </w:t>
      </w:r>
      <w:r>
        <w:rPr/>
        <w:t>condition</w:t>
      </w:r>
      <w:r>
        <w:rPr>
          <w:spacing w:val="-12"/>
        </w:rPr>
        <w:t> </w:t>
      </w:r>
      <w:r>
        <w:rPr/>
        <w:t>and</w:t>
      </w:r>
      <w:r>
        <w:rPr>
          <w:spacing w:val="-12"/>
        </w:rPr>
        <w:t> </w:t>
      </w:r>
      <w:r>
        <w:rPr/>
        <w:t>is</w:t>
      </w:r>
      <w:r>
        <w:rPr>
          <w:spacing w:val="-13"/>
        </w:rPr>
        <w:t> </w:t>
      </w:r>
      <w:r>
        <w:rPr/>
        <w:t>being</w:t>
      </w:r>
      <w:r>
        <w:rPr>
          <w:spacing w:val="-11"/>
        </w:rPr>
        <w:t> </w:t>
      </w:r>
      <w:r>
        <w:rPr/>
        <w:t>maintained</w:t>
      </w:r>
      <w:r>
        <w:rPr>
          <w:spacing w:val="-13"/>
        </w:rPr>
        <w:t> </w:t>
      </w:r>
      <w:r>
        <w:rPr/>
        <w:t>well.</w:t>
      </w:r>
      <w:r>
        <w:rPr>
          <w:spacing w:val="-12"/>
        </w:rPr>
        <w:t> </w:t>
      </w:r>
      <w:r>
        <w:rPr/>
        <w:t>The table below highlights the major repairs and maintenance work/ infrastructure upgrade works undertaken in the past few</w:t>
      </w:r>
      <w:r>
        <w:rPr>
          <w:spacing w:val="-19"/>
        </w:rPr>
        <w:t> </w:t>
      </w:r>
      <w:r>
        <w:rPr/>
        <w:t>years:</w:t>
      </w:r>
    </w:p>
    <w:p>
      <w:pPr>
        <w:pStyle w:val="BodyText"/>
        <w:spacing w:before="3" w:after="1"/>
        <w:rPr>
          <w:sz w:val="29"/>
        </w:rPr>
      </w:pPr>
    </w:p>
    <w:tbl>
      <w:tblPr>
        <w:tblW w:w="0" w:type="auto"/>
        <w:jc w:val="left"/>
        <w:tblInd w:w="6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16"/>
        <w:gridCol w:w="2959"/>
        <w:gridCol w:w="2592"/>
      </w:tblGrid>
      <w:tr>
        <w:trPr>
          <w:trHeight w:val="333" w:hRule="atLeast"/>
        </w:trPr>
        <w:tc>
          <w:tcPr>
            <w:tcW w:w="3916" w:type="dxa"/>
            <w:tcBorders>
              <w:top w:val="single" w:sz="6" w:space="0" w:color="69BD28"/>
              <w:bottom w:val="single" w:sz="6" w:space="0" w:color="69BD28"/>
            </w:tcBorders>
            <w:shd w:val="clear" w:color="auto" w:fill="006A4D"/>
          </w:tcPr>
          <w:p>
            <w:pPr>
              <w:pStyle w:val="TableParagraph"/>
              <w:spacing w:before="70"/>
              <w:ind w:left="1574"/>
              <w:jc w:val="left"/>
              <w:rPr>
                <w:b/>
                <w:sz w:val="18"/>
              </w:rPr>
            </w:pPr>
            <w:r>
              <w:rPr>
                <w:b/>
                <w:color w:val="FFFFFF"/>
                <w:w w:val="110"/>
                <w:sz w:val="18"/>
              </w:rPr>
              <w:t>Expense Head</w:t>
            </w:r>
          </w:p>
        </w:tc>
        <w:tc>
          <w:tcPr>
            <w:tcW w:w="2959" w:type="dxa"/>
            <w:tcBorders>
              <w:top w:val="single" w:sz="6" w:space="0" w:color="69BD28"/>
              <w:bottom w:val="single" w:sz="6" w:space="0" w:color="69BD28"/>
            </w:tcBorders>
            <w:shd w:val="clear" w:color="auto" w:fill="006A4D"/>
          </w:tcPr>
          <w:p>
            <w:pPr>
              <w:pStyle w:val="TableParagraph"/>
              <w:spacing w:before="70"/>
              <w:ind w:left="896" w:right="311"/>
              <w:rPr>
                <w:b/>
                <w:sz w:val="18"/>
              </w:rPr>
            </w:pPr>
            <w:r>
              <w:rPr>
                <w:b/>
                <w:color w:val="FFFFFF"/>
                <w:w w:val="105"/>
                <w:sz w:val="18"/>
              </w:rPr>
              <w:t>Total Cost (INR mn)</w:t>
            </w:r>
          </w:p>
        </w:tc>
        <w:tc>
          <w:tcPr>
            <w:tcW w:w="2592" w:type="dxa"/>
            <w:tcBorders>
              <w:top w:val="single" w:sz="6" w:space="0" w:color="69BD28"/>
              <w:bottom w:val="single" w:sz="6" w:space="0" w:color="69BD28"/>
            </w:tcBorders>
            <w:shd w:val="clear" w:color="auto" w:fill="006A4D"/>
          </w:tcPr>
          <w:p>
            <w:pPr>
              <w:pStyle w:val="TableParagraph"/>
              <w:spacing w:before="70"/>
              <w:ind w:left="316" w:right="243"/>
              <w:rPr>
                <w:b/>
                <w:sz w:val="18"/>
              </w:rPr>
            </w:pPr>
            <w:r>
              <w:rPr>
                <w:b/>
                <w:color w:val="FFFFFF"/>
                <w:w w:val="105"/>
                <w:sz w:val="18"/>
              </w:rPr>
              <w:t>Quarter of Completion</w:t>
            </w:r>
          </w:p>
        </w:tc>
      </w:tr>
      <w:tr>
        <w:trPr>
          <w:trHeight w:val="294" w:hRule="atLeast"/>
        </w:trPr>
        <w:tc>
          <w:tcPr>
            <w:tcW w:w="3916" w:type="dxa"/>
            <w:tcBorders>
              <w:top w:val="single" w:sz="6" w:space="0" w:color="69BD28"/>
              <w:bottom w:val="single" w:sz="6" w:space="0" w:color="69BD28"/>
            </w:tcBorders>
          </w:tcPr>
          <w:p>
            <w:pPr>
              <w:pStyle w:val="TableParagraph"/>
              <w:spacing w:before="52"/>
              <w:ind w:right="1000"/>
              <w:jc w:val="right"/>
              <w:rPr>
                <w:sz w:val="18"/>
              </w:rPr>
            </w:pPr>
            <w:r>
              <w:rPr>
                <w:w w:val="95"/>
                <w:sz w:val="18"/>
              </w:rPr>
              <w:t>Lobby Renovation</w:t>
            </w:r>
          </w:p>
        </w:tc>
        <w:tc>
          <w:tcPr>
            <w:tcW w:w="2959" w:type="dxa"/>
            <w:tcBorders>
              <w:top w:val="single" w:sz="6" w:space="0" w:color="69BD28"/>
              <w:bottom w:val="single" w:sz="6" w:space="0" w:color="69BD28"/>
            </w:tcBorders>
          </w:tcPr>
          <w:p>
            <w:pPr>
              <w:pStyle w:val="TableParagraph"/>
              <w:spacing w:before="52"/>
              <w:ind w:left="888" w:right="311"/>
              <w:rPr>
                <w:sz w:val="18"/>
              </w:rPr>
            </w:pPr>
            <w:r>
              <w:rPr>
                <w:w w:val="105"/>
                <w:sz w:val="18"/>
              </w:rPr>
              <w:t>66.00</w:t>
            </w:r>
          </w:p>
        </w:tc>
        <w:tc>
          <w:tcPr>
            <w:tcW w:w="2592" w:type="dxa"/>
            <w:tcBorders>
              <w:top w:val="single" w:sz="6" w:space="0" w:color="69BD28"/>
              <w:bottom w:val="single" w:sz="6" w:space="0" w:color="69BD28"/>
            </w:tcBorders>
          </w:tcPr>
          <w:p>
            <w:pPr>
              <w:pStyle w:val="TableParagraph"/>
              <w:spacing w:before="52"/>
              <w:ind w:left="313" w:right="243"/>
              <w:rPr>
                <w:sz w:val="18"/>
              </w:rPr>
            </w:pPr>
            <w:r>
              <w:rPr>
                <w:w w:val="105"/>
                <w:sz w:val="18"/>
              </w:rPr>
              <w:t>Q2, FY 2020</w:t>
            </w:r>
          </w:p>
        </w:tc>
      </w:tr>
      <w:tr>
        <w:trPr>
          <w:trHeight w:val="296" w:hRule="atLeast"/>
        </w:trPr>
        <w:tc>
          <w:tcPr>
            <w:tcW w:w="3916" w:type="dxa"/>
            <w:tcBorders>
              <w:top w:val="single" w:sz="6" w:space="0" w:color="69BD28"/>
              <w:bottom w:val="single" w:sz="6" w:space="0" w:color="69BD28"/>
            </w:tcBorders>
          </w:tcPr>
          <w:p>
            <w:pPr>
              <w:pStyle w:val="TableParagraph"/>
              <w:spacing w:before="52"/>
              <w:ind w:right="894"/>
              <w:jc w:val="right"/>
              <w:rPr>
                <w:sz w:val="18"/>
              </w:rPr>
            </w:pPr>
            <w:r>
              <w:rPr>
                <w:sz w:val="18"/>
              </w:rPr>
              <w:t>Signage Rebranding</w:t>
            </w:r>
          </w:p>
        </w:tc>
        <w:tc>
          <w:tcPr>
            <w:tcW w:w="2959" w:type="dxa"/>
            <w:tcBorders>
              <w:top w:val="single" w:sz="6" w:space="0" w:color="69BD28"/>
              <w:bottom w:val="single" w:sz="6" w:space="0" w:color="69BD28"/>
            </w:tcBorders>
          </w:tcPr>
          <w:p>
            <w:pPr>
              <w:pStyle w:val="TableParagraph"/>
              <w:spacing w:before="52"/>
              <w:ind w:left="888" w:right="311"/>
              <w:rPr>
                <w:sz w:val="18"/>
              </w:rPr>
            </w:pPr>
            <w:r>
              <w:rPr>
                <w:w w:val="105"/>
                <w:sz w:val="18"/>
              </w:rPr>
              <w:t>2.00</w:t>
            </w:r>
          </w:p>
        </w:tc>
        <w:tc>
          <w:tcPr>
            <w:tcW w:w="2592" w:type="dxa"/>
            <w:tcBorders>
              <w:top w:val="single" w:sz="6" w:space="0" w:color="69BD28"/>
              <w:bottom w:val="single" w:sz="6" w:space="0" w:color="69BD28"/>
            </w:tcBorders>
          </w:tcPr>
          <w:p>
            <w:pPr>
              <w:pStyle w:val="TableParagraph"/>
              <w:spacing w:before="52"/>
              <w:ind w:left="313" w:right="243"/>
              <w:rPr>
                <w:sz w:val="18"/>
              </w:rPr>
            </w:pPr>
            <w:r>
              <w:rPr>
                <w:w w:val="105"/>
                <w:sz w:val="18"/>
              </w:rPr>
              <w:t>Q2, FY 2020</w:t>
            </w:r>
          </w:p>
        </w:tc>
      </w:tr>
      <w:tr>
        <w:trPr>
          <w:trHeight w:val="294" w:hRule="atLeast"/>
        </w:trPr>
        <w:tc>
          <w:tcPr>
            <w:tcW w:w="3916" w:type="dxa"/>
            <w:tcBorders>
              <w:top w:val="single" w:sz="6" w:space="0" w:color="69BD28"/>
              <w:bottom w:val="single" w:sz="6" w:space="0" w:color="69BD28"/>
            </w:tcBorders>
          </w:tcPr>
          <w:p>
            <w:pPr>
              <w:pStyle w:val="TableParagraph"/>
              <w:spacing w:before="52"/>
              <w:ind w:right="970"/>
              <w:jc w:val="right"/>
              <w:rPr>
                <w:sz w:val="18"/>
              </w:rPr>
            </w:pPr>
            <w:r>
              <w:rPr>
                <w:w w:val="95"/>
                <w:sz w:val="18"/>
              </w:rPr>
              <w:t>Remediation Work</w:t>
            </w:r>
          </w:p>
        </w:tc>
        <w:tc>
          <w:tcPr>
            <w:tcW w:w="2959" w:type="dxa"/>
            <w:tcBorders>
              <w:top w:val="single" w:sz="6" w:space="0" w:color="69BD28"/>
              <w:bottom w:val="single" w:sz="6" w:space="0" w:color="69BD28"/>
            </w:tcBorders>
          </w:tcPr>
          <w:p>
            <w:pPr>
              <w:pStyle w:val="TableParagraph"/>
              <w:spacing w:before="52"/>
              <w:ind w:left="888" w:right="311"/>
              <w:rPr>
                <w:sz w:val="18"/>
              </w:rPr>
            </w:pPr>
            <w:r>
              <w:rPr>
                <w:w w:val="110"/>
                <w:sz w:val="18"/>
              </w:rPr>
              <w:t>563.00</w:t>
            </w:r>
          </w:p>
        </w:tc>
        <w:tc>
          <w:tcPr>
            <w:tcW w:w="2592" w:type="dxa"/>
            <w:tcBorders>
              <w:top w:val="single" w:sz="6" w:space="0" w:color="69BD28"/>
              <w:bottom w:val="single" w:sz="6" w:space="0" w:color="69BD28"/>
            </w:tcBorders>
          </w:tcPr>
          <w:p>
            <w:pPr>
              <w:pStyle w:val="TableParagraph"/>
              <w:spacing w:before="52"/>
              <w:ind w:left="313" w:right="243"/>
              <w:rPr>
                <w:sz w:val="18"/>
              </w:rPr>
            </w:pPr>
            <w:r>
              <w:rPr>
                <w:w w:val="105"/>
                <w:sz w:val="18"/>
              </w:rPr>
              <w:t>Q3, FY 2019</w:t>
            </w:r>
          </w:p>
        </w:tc>
      </w:tr>
    </w:tbl>
    <w:p>
      <w:pPr>
        <w:spacing w:before="4"/>
        <w:ind w:left="588" w:right="0" w:firstLine="0"/>
        <w:jc w:val="left"/>
        <w:rPr>
          <w:i/>
          <w:sz w:val="16"/>
        </w:rPr>
      </w:pPr>
      <w:r>
        <w:rPr>
          <w:i/>
          <w:sz w:val="16"/>
        </w:rPr>
        <w:t>Source: Information provided by Client</w:t>
      </w:r>
    </w:p>
    <w:p>
      <w:pPr>
        <w:pStyle w:val="BodyText"/>
        <w:rPr>
          <w:i/>
          <w:sz w:val="18"/>
        </w:rPr>
      </w:pPr>
    </w:p>
    <w:p>
      <w:pPr>
        <w:pStyle w:val="BodyText"/>
        <w:rPr>
          <w:i/>
          <w:sz w:val="18"/>
        </w:rPr>
      </w:pPr>
    </w:p>
    <w:p>
      <w:pPr>
        <w:pStyle w:val="BodyText"/>
        <w:spacing w:before="2"/>
        <w:rPr>
          <w:i/>
          <w:sz w:val="17"/>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37" w:id="268"/>
      <w:bookmarkEnd w:id="268"/>
      <w:r>
        <w:rPr/>
      </w:r>
      <w:bookmarkStart w:name="_bookmark137" w:id="269"/>
      <w:bookmarkEnd w:id="269"/>
      <w:r>
        <w:rPr>
          <w:color w:val="1F664D"/>
          <w:sz w:val="22"/>
        </w:rPr>
        <w:t>Pro</w:t>
      </w:r>
      <w:r>
        <w:rPr>
          <w:color w:val="1F664D"/>
          <w:sz w:val="22"/>
        </w:rPr>
        <w:t>perty Photographs</w:t>
      </w:r>
    </w:p>
    <w:p>
      <w:pPr>
        <w:pStyle w:val="BodyText"/>
        <w:spacing w:before="208"/>
        <w:ind w:left="667"/>
      </w:pPr>
      <w:r>
        <w:rPr/>
        <w:t>Please refer to the property photographs highlighted below:</w:t>
      </w:r>
    </w:p>
    <w:p>
      <w:pPr>
        <w:pStyle w:val="BodyText"/>
        <w:spacing w:before="5"/>
        <w:rPr>
          <w:sz w:val="24"/>
        </w:rPr>
      </w:pPr>
      <w:r>
        <w:rPr/>
        <w:pict>
          <v:group style="position:absolute;margin-left:108.860001pt;margin-top:16.157627pt;width:389.65pt;height:15pt;mso-position-horizontal-relative:page;mso-position-vertical-relative:paragraph;z-index:-15426048;mso-wrap-distance-left:0;mso-wrap-distance-right:0" coordorigin="2177,323" coordsize="7793,300">
            <v:rect style="position:absolute;left:2177;top:332;width:7793;height:291" filled="true" fillcolor="#006a4d" stroked="false">
              <v:fill type="solid"/>
            </v:rect>
            <v:rect style="position:absolute;left:2179;top:323;width:7790;height:10" filled="true" fillcolor="#000000" stroked="false">
              <v:fill type="solid"/>
            </v:rect>
            <v:shape style="position:absolute;left:2177;top:332;width:7793;height:291" type="#_x0000_t202" filled="false" stroked="false">
              <v:textbox inset="0,0,0,0">
                <w:txbxContent>
                  <w:p>
                    <w:pPr>
                      <w:spacing w:before="30"/>
                      <w:ind w:left="1915" w:right="1918" w:firstLine="0"/>
                      <w:jc w:val="center"/>
                      <w:rPr>
                        <w:sz w:val="20"/>
                      </w:rPr>
                    </w:pPr>
                    <w:r>
                      <w:rPr>
                        <w:color w:val="FFFFFF"/>
                        <w:sz w:val="20"/>
                      </w:rPr>
                      <w:t>First International Financial Centre (FIFC)</w:t>
                    </w:r>
                  </w:p>
                </w:txbxContent>
              </v:textbox>
              <w10:wrap type="none"/>
            </v:shape>
            <w10:wrap type="topAndBottom"/>
          </v:group>
        </w:pict>
      </w:r>
      <w:r>
        <w:rPr/>
        <w:pict>
          <v:group style="position:absolute;margin-left:111.699997pt;margin-top:39.787636pt;width:186.1pt;height:130.65pt;mso-position-horizontal-relative:page;mso-position-vertical-relative:paragraph;z-index:-15425536;mso-wrap-distance-left:0;mso-wrap-distance-right:0" coordorigin="2234,796" coordsize="3722,2613">
            <v:rect style="position:absolute;left:2239;top:800;width:3712;height:2603" filled="false" stroked="true" strokeweight=".5pt" strokecolor="#000000">
              <v:stroke dashstyle="solid"/>
            </v:rect>
            <v:shape style="position:absolute;left:2418;top:907;width:3264;height:2419" type="#_x0000_t75" stroked="false">
              <v:imagedata r:id="rId130" o:title=""/>
            </v:shape>
            <v:shape style="position:absolute;left:2410;top:900;width:3279;height:2428" coordorigin="2410,901" coordsize="3279,2428" path="m5689,3328l5689,901,2410,901,2410,3328e" filled="false" stroked="true" strokeweight=".75pt" strokecolor="#000000">
              <v:path arrowok="t"/>
              <v:stroke dashstyle="solid"/>
            </v:shape>
            <w10:wrap type="topAndBottom"/>
          </v:group>
        </w:pict>
      </w:r>
      <w:r>
        <w:rPr/>
        <w:pict>
          <v:group style="position:absolute;margin-left:309.350006pt;margin-top:39.037636pt;width:186.1pt;height:132.15pt;mso-position-horizontal-relative:page;mso-position-vertical-relative:paragraph;z-index:-15425024;mso-wrap-distance-left:0;mso-wrap-distance-right:0" coordorigin="6187,781" coordsize="3722,2643">
            <v:rect style="position:absolute;left:6192;top:785;width:3712;height:2633" filled="false" stroked="true" strokeweight=".5pt" strokecolor="#000000">
              <v:stroke dashstyle="solid"/>
            </v:rect>
            <v:shape style="position:absolute;left:6371;top:892;width:3304;height:2449" type="#_x0000_t75" stroked="false">
              <v:imagedata r:id="rId131" o:title=""/>
            </v:shape>
            <v:shape style="position:absolute;left:6363;top:885;width:3319;height:2457" coordorigin="6364,886" coordsize="3319,2457" path="m9683,3343l9683,886,6364,886,6364,3343e" filled="false" stroked="true" strokeweight=".75pt" strokecolor="#000000">
              <v:path arrowok="t"/>
              <v:stroke dashstyle="solid"/>
            </v:shape>
            <w10:wrap type="topAndBottom"/>
          </v:group>
        </w:pict>
      </w:r>
    </w:p>
    <w:p>
      <w:pPr>
        <w:pStyle w:val="BodyText"/>
        <w:spacing w:before="8"/>
        <w:rPr>
          <w:sz w:val="7"/>
        </w:rPr>
      </w:pPr>
    </w:p>
    <w:p>
      <w:pPr>
        <w:pStyle w:val="BodyText"/>
        <w:spacing w:before="1"/>
        <w:rPr>
          <w:sz w:val="8"/>
        </w:rPr>
      </w:pPr>
    </w:p>
    <w:p>
      <w:pPr>
        <w:tabs>
          <w:tab w:pos="3957" w:val="left" w:leader="none"/>
        </w:tabs>
        <w:spacing w:before="104"/>
        <w:ind w:left="154" w:right="0" w:firstLine="0"/>
        <w:jc w:val="center"/>
        <w:rPr>
          <w:sz w:val="18"/>
        </w:rPr>
      </w:pPr>
      <w:r>
        <w:rPr>
          <w:sz w:val="18"/>
        </w:rPr>
        <w:t>External</w:t>
      </w:r>
      <w:r>
        <w:rPr>
          <w:spacing w:val="-36"/>
          <w:sz w:val="18"/>
        </w:rPr>
        <w:t> </w:t>
      </w:r>
      <w:r>
        <w:rPr>
          <w:sz w:val="18"/>
        </w:rPr>
        <w:t>view</w:t>
      </w:r>
      <w:r>
        <w:rPr>
          <w:spacing w:val="-35"/>
          <w:sz w:val="18"/>
        </w:rPr>
        <w:t> </w:t>
      </w:r>
      <w:r>
        <w:rPr>
          <w:sz w:val="18"/>
        </w:rPr>
        <w:t>of</w:t>
      </w:r>
      <w:r>
        <w:rPr>
          <w:spacing w:val="-34"/>
          <w:sz w:val="18"/>
        </w:rPr>
        <w:t> </w:t>
      </w:r>
      <w:r>
        <w:rPr>
          <w:sz w:val="18"/>
        </w:rPr>
        <w:t>the</w:t>
      </w:r>
      <w:r>
        <w:rPr>
          <w:spacing w:val="-35"/>
          <w:sz w:val="18"/>
        </w:rPr>
        <w:t> </w:t>
      </w:r>
      <w:r>
        <w:rPr>
          <w:sz w:val="18"/>
        </w:rPr>
        <w:t>subject</w:t>
      </w:r>
      <w:r>
        <w:rPr>
          <w:spacing w:val="-36"/>
          <w:sz w:val="18"/>
        </w:rPr>
        <w:t> </w:t>
      </w:r>
      <w:r>
        <w:rPr>
          <w:sz w:val="18"/>
        </w:rPr>
        <w:t>property</w:t>
        <w:tab/>
        <w:t>Entrance Lobby of the subject</w:t>
      </w:r>
      <w:r>
        <w:rPr>
          <w:spacing w:val="-31"/>
          <w:sz w:val="18"/>
        </w:rPr>
        <w:t> </w:t>
      </w:r>
      <w:r>
        <w:rPr>
          <w:sz w:val="18"/>
        </w:rPr>
        <w:t>property</w:t>
      </w:r>
    </w:p>
    <w:p>
      <w:pPr>
        <w:pStyle w:val="BodyText"/>
        <w:spacing w:before="8"/>
        <w:rPr>
          <w:sz w:val="15"/>
        </w:rPr>
      </w:pPr>
      <w:r>
        <w:rPr/>
        <w:pict>
          <v:group style="position:absolute;margin-left:113.25pt;margin-top:11.095273pt;width:186.1pt;height:130.65pt;mso-position-horizontal-relative:page;mso-position-vertical-relative:paragraph;z-index:-15424512;mso-wrap-distance-left:0;mso-wrap-distance-right:0" coordorigin="2265,222" coordsize="3722,2613">
            <v:rect style="position:absolute;left:2270;top:226;width:3712;height:2603" filled="false" stroked="true" strokeweight=".5pt" strokecolor="#000000">
              <v:stroke dashstyle="solid"/>
            </v:rect>
            <v:shape style="position:absolute;left:2449;top:334;width:3264;height:2419" type="#_x0000_t75" stroked="false">
              <v:imagedata r:id="rId132" o:title=""/>
            </v:shape>
            <v:shape style="position:absolute;left:2441;top:326;width:3279;height:2428" coordorigin="2441,327" coordsize="3279,2428" path="m5720,2754l5720,327,2441,327,2441,2754e" filled="false" stroked="true" strokeweight=".75pt" strokecolor="#000000">
              <v:path arrowok="t"/>
              <v:stroke dashstyle="solid"/>
            </v:shape>
            <w10:wrap type="topAndBottom"/>
          </v:group>
        </w:pict>
      </w:r>
      <w:r>
        <w:rPr/>
        <w:pict>
          <v:group style="position:absolute;margin-left:308.75pt;margin-top:11.895273pt;width:186.1pt;height:130.65pt;mso-position-horizontal-relative:page;mso-position-vertical-relative:paragraph;z-index:-15424000;mso-wrap-distance-left:0;mso-wrap-distance-right:0" coordorigin="6175,238" coordsize="3722,2613">
            <v:rect style="position:absolute;left:6180;top:242;width:3712;height:2603" filled="false" stroked="true" strokeweight=".5pt" strokecolor="#000000">
              <v:stroke dashstyle="solid"/>
            </v:rect>
            <v:shape style="position:absolute;left:6359;top:350;width:3265;height:2420" type="#_x0000_t75" stroked="false">
              <v:imagedata r:id="rId133" o:title=""/>
            </v:shape>
            <v:shape style="position:absolute;left:6351;top:342;width:3280;height:2429" coordorigin="6351,343" coordsize="3280,2429" path="m9631,2771l9631,343,6351,343,6351,2771e" filled="false" stroked="true" strokeweight=".75pt" strokecolor="#000000">
              <v:path arrowok="t"/>
              <v:stroke dashstyle="solid"/>
            </v:shape>
            <w10:wrap type="topAndBottom"/>
          </v:group>
        </w:pict>
      </w:r>
    </w:p>
    <w:p>
      <w:pPr>
        <w:tabs>
          <w:tab w:pos="4071" w:val="left" w:leader="none"/>
        </w:tabs>
        <w:spacing w:before="80" w:after="6"/>
        <w:ind w:left="0" w:right="105" w:firstLine="0"/>
        <w:jc w:val="center"/>
        <w:rPr>
          <w:sz w:val="18"/>
        </w:rPr>
      </w:pPr>
      <w:r>
        <w:rPr>
          <w:sz w:val="18"/>
        </w:rPr>
        <w:t>View</w:t>
      </w:r>
      <w:r>
        <w:rPr>
          <w:spacing w:val="-16"/>
          <w:sz w:val="18"/>
        </w:rPr>
        <w:t> </w:t>
      </w:r>
      <w:r>
        <w:rPr>
          <w:sz w:val="18"/>
        </w:rPr>
        <w:t>of</w:t>
      </w:r>
      <w:r>
        <w:rPr>
          <w:spacing w:val="-14"/>
          <w:sz w:val="18"/>
        </w:rPr>
        <w:t> </w:t>
      </w:r>
      <w:r>
        <w:rPr>
          <w:sz w:val="18"/>
        </w:rPr>
        <w:t>FIFC</w:t>
      </w:r>
      <w:r>
        <w:rPr>
          <w:spacing w:val="-16"/>
          <w:sz w:val="18"/>
        </w:rPr>
        <w:t> </w:t>
      </w:r>
      <w:r>
        <w:rPr>
          <w:sz w:val="18"/>
        </w:rPr>
        <w:t>office</w:t>
      </w:r>
      <w:r>
        <w:rPr>
          <w:spacing w:val="-14"/>
          <w:sz w:val="18"/>
        </w:rPr>
        <w:t> </w:t>
      </w:r>
      <w:r>
        <w:rPr>
          <w:sz w:val="18"/>
        </w:rPr>
        <w:t>lobby</w:t>
        <w:tab/>
        <w:t>View of Access</w:t>
      </w:r>
      <w:r>
        <w:rPr>
          <w:spacing w:val="-4"/>
          <w:sz w:val="18"/>
        </w:rPr>
        <w:t> </w:t>
      </w:r>
      <w:r>
        <w:rPr>
          <w:sz w:val="18"/>
        </w:rPr>
        <w:t>Road</w:t>
      </w:r>
    </w:p>
    <w:p>
      <w:pPr>
        <w:pStyle w:val="BodyText"/>
        <w:spacing w:line="20" w:lineRule="exact"/>
        <w:ind w:left="1565"/>
        <w:rPr>
          <w:sz w:val="2"/>
        </w:rPr>
      </w:pPr>
      <w:r>
        <w:rPr>
          <w:sz w:val="2"/>
        </w:rPr>
        <w:pict>
          <v:group style="width:390.25pt;height:.5pt;mso-position-horizontal-relative:char;mso-position-vertical-relative:line" coordorigin="0,0" coordsize="7805,10">
            <v:shape style="position:absolute;left:0;top:0;width:7805;height:10" coordorigin="0,0" coordsize="7805,10" path="m7804,0l3819,0,3815,0,3805,0,0,0,0,10,3805,10,3815,10,3819,10,7804,10,7804,0xe" filled="true" fillcolor="#000000" stroked="false">
              <v:path arrowok="t"/>
              <v:fill type="solid"/>
            </v:shape>
          </v:group>
        </w:pict>
      </w:r>
      <w:r>
        <w:rPr>
          <w:sz w:val="2"/>
        </w:rPr>
      </w:r>
    </w:p>
    <w:p>
      <w:pPr>
        <w:spacing w:after="0" w:line="20" w:lineRule="exact"/>
        <w:rPr>
          <w:sz w:val="2"/>
        </w:rPr>
        <w:sectPr>
          <w:pgSz w:w="11910" w:h="16840"/>
          <w:pgMar w:header="720" w:footer="933" w:top="1660" w:bottom="1120" w:left="600" w:right="520"/>
        </w:sectPr>
      </w:pPr>
    </w:p>
    <w:p>
      <w:pPr>
        <w:pStyle w:val="BodyText"/>
        <w:spacing w:before="7"/>
        <w:rPr>
          <w:sz w:val="9"/>
        </w:rPr>
      </w:pPr>
    </w:p>
    <w:p>
      <w:pPr>
        <w:pStyle w:val="ListParagraph"/>
        <w:numPr>
          <w:ilvl w:val="1"/>
          <w:numId w:val="14"/>
        </w:numPr>
        <w:tabs>
          <w:tab w:pos="696" w:val="left" w:leader="none"/>
          <w:tab w:pos="697" w:val="left" w:leader="none"/>
        </w:tabs>
        <w:spacing w:line="240" w:lineRule="auto" w:before="106" w:after="0"/>
        <w:ind w:left="696" w:right="0" w:hanging="577"/>
        <w:jc w:val="left"/>
        <w:rPr>
          <w:color w:val="1F6647"/>
          <w:sz w:val="22"/>
        </w:rPr>
      </w:pPr>
      <w:bookmarkStart w:name="_bookmark138" w:id="270"/>
      <w:bookmarkEnd w:id="270"/>
      <w:r>
        <w:rPr/>
      </w:r>
      <w:bookmarkStart w:name="_bookmark138" w:id="271"/>
      <w:bookmarkEnd w:id="271"/>
      <w:r>
        <w:rPr>
          <w:color w:val="1F6647"/>
          <w:sz w:val="22"/>
        </w:rPr>
        <w:t>Tena</w:t>
      </w:r>
      <w:r>
        <w:rPr>
          <w:color w:val="1F6647"/>
          <w:sz w:val="22"/>
        </w:rPr>
        <w:t>ncy Analysis</w:t>
      </w:r>
    </w:p>
    <w:p>
      <w:pPr>
        <w:pStyle w:val="ListParagraph"/>
        <w:numPr>
          <w:ilvl w:val="2"/>
          <w:numId w:val="14"/>
        </w:numPr>
        <w:tabs>
          <w:tab w:pos="841" w:val="left" w:leader="none"/>
        </w:tabs>
        <w:spacing w:line="240" w:lineRule="auto" w:before="208" w:after="0"/>
        <w:ind w:left="840" w:right="0" w:hanging="721"/>
        <w:jc w:val="left"/>
        <w:rPr>
          <w:sz w:val="22"/>
        </w:rPr>
      </w:pPr>
      <w:bookmarkStart w:name="_bookmark139" w:id="272"/>
      <w:bookmarkEnd w:id="272"/>
      <w:r>
        <w:rPr/>
      </w:r>
      <w:bookmarkStart w:name="_bookmark139" w:id="273"/>
      <w:bookmarkEnd w:id="273"/>
      <w:r>
        <w:rPr>
          <w:color w:val="1F664D"/>
          <w:sz w:val="22"/>
        </w:rPr>
        <w:t>Histori</w:t>
      </w:r>
      <w:r>
        <w:rPr>
          <w:color w:val="1F664D"/>
          <w:sz w:val="22"/>
        </w:rPr>
        <w:t>cal Committed Occupancy</w:t>
      </w:r>
      <w:r>
        <w:rPr>
          <w:color w:val="1F664D"/>
          <w:spacing w:val="1"/>
          <w:sz w:val="22"/>
        </w:rPr>
        <w:t> </w:t>
      </w:r>
      <w:r>
        <w:rPr>
          <w:color w:val="1F664D"/>
          <w:sz w:val="22"/>
        </w:rPr>
        <w:t>Rates</w:t>
      </w:r>
    </w:p>
    <w:p>
      <w:pPr>
        <w:pStyle w:val="BodyText"/>
        <w:spacing w:before="208"/>
        <w:ind w:left="660"/>
      </w:pPr>
      <w:r>
        <w:rPr/>
        <w:t>The table below highlights the historical occupancy rates at the subject development:</w:t>
      </w:r>
    </w:p>
    <w:p>
      <w:pPr>
        <w:pStyle w:val="BodyText"/>
        <w:spacing w:before="2" w:after="1"/>
        <w:rPr>
          <w:sz w:val="28"/>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28"/>
        <w:gridCol w:w="2619"/>
        <w:gridCol w:w="2617"/>
        <w:gridCol w:w="2616"/>
      </w:tblGrid>
      <w:tr>
        <w:trPr>
          <w:trHeight w:val="260" w:hRule="atLeast"/>
        </w:trPr>
        <w:tc>
          <w:tcPr>
            <w:tcW w:w="2628" w:type="dxa"/>
            <w:tcBorders>
              <w:top w:val="single" w:sz="6" w:space="0" w:color="69BD28"/>
              <w:bottom w:val="single" w:sz="6" w:space="0" w:color="69BD28"/>
            </w:tcBorders>
            <w:shd w:val="clear" w:color="auto" w:fill="006A4D"/>
          </w:tcPr>
          <w:p>
            <w:pPr>
              <w:pStyle w:val="TableParagraph"/>
              <w:spacing w:before="27"/>
              <w:ind w:left="575" w:right="567"/>
              <w:rPr>
                <w:b/>
                <w:sz w:val="18"/>
              </w:rPr>
            </w:pPr>
            <w:r>
              <w:rPr>
                <w:b/>
                <w:color w:val="FFFFFF"/>
                <w:w w:val="110"/>
                <w:sz w:val="18"/>
              </w:rPr>
              <w:t>March 31, 2017</w:t>
            </w:r>
          </w:p>
        </w:tc>
        <w:tc>
          <w:tcPr>
            <w:tcW w:w="2619" w:type="dxa"/>
            <w:tcBorders>
              <w:top w:val="single" w:sz="6" w:space="0" w:color="69BD28"/>
              <w:bottom w:val="single" w:sz="6" w:space="0" w:color="69BD28"/>
            </w:tcBorders>
            <w:shd w:val="clear" w:color="auto" w:fill="006A4D"/>
          </w:tcPr>
          <w:p>
            <w:pPr>
              <w:pStyle w:val="TableParagraph"/>
              <w:spacing w:before="27"/>
              <w:ind w:left="536" w:right="536"/>
              <w:rPr>
                <w:b/>
                <w:sz w:val="18"/>
              </w:rPr>
            </w:pPr>
            <w:r>
              <w:rPr>
                <w:b/>
                <w:color w:val="FFFFFF"/>
                <w:w w:val="110"/>
                <w:sz w:val="18"/>
              </w:rPr>
              <w:t>March 31, 2018</w:t>
            </w:r>
          </w:p>
        </w:tc>
        <w:tc>
          <w:tcPr>
            <w:tcW w:w="2617" w:type="dxa"/>
            <w:tcBorders>
              <w:top w:val="single" w:sz="6" w:space="0" w:color="69BD28"/>
              <w:bottom w:val="single" w:sz="6" w:space="0" w:color="69BD28"/>
            </w:tcBorders>
            <w:shd w:val="clear" w:color="auto" w:fill="006A4D"/>
          </w:tcPr>
          <w:p>
            <w:pPr>
              <w:pStyle w:val="TableParagraph"/>
              <w:spacing w:before="27"/>
              <w:ind w:left="566" w:right="565"/>
              <w:rPr>
                <w:b/>
                <w:sz w:val="18"/>
              </w:rPr>
            </w:pPr>
            <w:r>
              <w:rPr>
                <w:b/>
                <w:color w:val="FFFFFF"/>
                <w:w w:val="110"/>
                <w:sz w:val="18"/>
              </w:rPr>
              <w:t>March 31, 2019</w:t>
            </w:r>
          </w:p>
        </w:tc>
        <w:tc>
          <w:tcPr>
            <w:tcW w:w="2616" w:type="dxa"/>
            <w:tcBorders>
              <w:top w:val="single" w:sz="6" w:space="0" w:color="69BD28"/>
              <w:bottom w:val="single" w:sz="6" w:space="0" w:color="69BD28"/>
            </w:tcBorders>
            <w:shd w:val="clear" w:color="auto" w:fill="006A4D"/>
          </w:tcPr>
          <w:p>
            <w:pPr>
              <w:pStyle w:val="TableParagraph"/>
              <w:spacing w:before="27"/>
              <w:ind w:left="562" w:right="563"/>
              <w:rPr>
                <w:b/>
                <w:sz w:val="18"/>
              </w:rPr>
            </w:pPr>
            <w:r>
              <w:rPr>
                <w:b/>
                <w:color w:val="FFFFFF"/>
                <w:w w:val="110"/>
                <w:sz w:val="18"/>
              </w:rPr>
              <w:t>March 31, 2020</w:t>
            </w:r>
          </w:p>
        </w:tc>
      </w:tr>
      <w:tr>
        <w:trPr>
          <w:trHeight w:val="261" w:hRule="atLeast"/>
        </w:trPr>
        <w:tc>
          <w:tcPr>
            <w:tcW w:w="2628" w:type="dxa"/>
            <w:tcBorders>
              <w:top w:val="single" w:sz="6" w:space="0" w:color="69BD28"/>
              <w:bottom w:val="single" w:sz="6" w:space="0" w:color="69BD28"/>
            </w:tcBorders>
          </w:tcPr>
          <w:p>
            <w:pPr>
              <w:pStyle w:val="TableParagraph"/>
              <w:spacing w:before="25"/>
              <w:ind w:left="574" w:right="567"/>
              <w:rPr>
                <w:sz w:val="18"/>
              </w:rPr>
            </w:pPr>
            <w:r>
              <w:rPr>
                <w:w w:val="110"/>
                <w:sz w:val="18"/>
              </w:rPr>
              <w:t>19.6%</w:t>
            </w:r>
          </w:p>
        </w:tc>
        <w:tc>
          <w:tcPr>
            <w:tcW w:w="2619" w:type="dxa"/>
            <w:tcBorders>
              <w:top w:val="single" w:sz="6" w:space="0" w:color="69BD28"/>
              <w:bottom w:val="single" w:sz="6" w:space="0" w:color="69BD28"/>
            </w:tcBorders>
          </w:tcPr>
          <w:p>
            <w:pPr>
              <w:pStyle w:val="TableParagraph"/>
              <w:spacing w:before="25"/>
              <w:ind w:left="536" w:right="536"/>
              <w:rPr>
                <w:sz w:val="18"/>
              </w:rPr>
            </w:pPr>
            <w:r>
              <w:rPr>
                <w:w w:val="110"/>
                <w:sz w:val="18"/>
              </w:rPr>
              <w:t>44.0%</w:t>
            </w:r>
          </w:p>
        </w:tc>
        <w:tc>
          <w:tcPr>
            <w:tcW w:w="2617" w:type="dxa"/>
            <w:tcBorders>
              <w:top w:val="single" w:sz="6" w:space="0" w:color="69BD28"/>
              <w:bottom w:val="single" w:sz="6" w:space="0" w:color="69BD28"/>
            </w:tcBorders>
          </w:tcPr>
          <w:p>
            <w:pPr>
              <w:pStyle w:val="TableParagraph"/>
              <w:spacing w:before="25"/>
              <w:ind w:left="565" w:right="565"/>
              <w:rPr>
                <w:sz w:val="18"/>
              </w:rPr>
            </w:pPr>
            <w:r>
              <w:rPr>
                <w:w w:val="110"/>
                <w:sz w:val="18"/>
              </w:rPr>
              <w:t>60.8%</w:t>
            </w:r>
          </w:p>
        </w:tc>
        <w:tc>
          <w:tcPr>
            <w:tcW w:w="2616" w:type="dxa"/>
            <w:tcBorders>
              <w:top w:val="single" w:sz="6" w:space="0" w:color="69BD28"/>
              <w:bottom w:val="single" w:sz="6" w:space="0" w:color="69BD28"/>
            </w:tcBorders>
          </w:tcPr>
          <w:p>
            <w:pPr>
              <w:pStyle w:val="TableParagraph"/>
              <w:spacing w:before="25"/>
              <w:ind w:left="561" w:right="563"/>
              <w:rPr>
                <w:sz w:val="18"/>
              </w:rPr>
            </w:pPr>
            <w:r>
              <w:rPr>
                <w:w w:val="110"/>
                <w:sz w:val="18"/>
              </w:rPr>
              <w:t>77.8%</w:t>
            </w:r>
          </w:p>
        </w:tc>
      </w:tr>
    </w:tbl>
    <w:p>
      <w:pPr>
        <w:spacing w:before="0"/>
        <w:ind w:left="120" w:right="0" w:firstLine="0"/>
        <w:jc w:val="left"/>
        <w:rPr>
          <w:i/>
          <w:sz w:val="16"/>
        </w:rPr>
      </w:pPr>
      <w:r>
        <w:rPr>
          <w:i/>
          <w:sz w:val="16"/>
        </w:rPr>
        <w:t>Source: Analysis of rent rolls provided by the Client</w:t>
      </w:r>
    </w:p>
    <w:p>
      <w:pPr>
        <w:pStyle w:val="BodyText"/>
        <w:spacing w:before="3"/>
        <w:rPr>
          <w:i/>
          <w:sz w:val="26"/>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40" w:id="274"/>
      <w:bookmarkEnd w:id="274"/>
      <w:r>
        <w:rPr/>
      </w:r>
      <w:bookmarkStart w:name="_bookmark140" w:id="275"/>
      <w:bookmarkEnd w:id="275"/>
      <w:r>
        <w:rPr>
          <w:color w:val="1F664D"/>
          <w:sz w:val="22"/>
        </w:rPr>
        <w:t>Le</w:t>
      </w:r>
      <w:r>
        <w:rPr>
          <w:color w:val="1F664D"/>
          <w:sz w:val="22"/>
        </w:rPr>
        <w:t>ase Expiry</w:t>
      </w:r>
      <w:r>
        <w:rPr>
          <w:color w:val="1F664D"/>
          <w:spacing w:val="-4"/>
          <w:sz w:val="22"/>
        </w:rPr>
        <w:t> </w:t>
      </w:r>
      <w:r>
        <w:rPr>
          <w:color w:val="1F664D"/>
          <w:sz w:val="22"/>
        </w:rPr>
        <w:t>Analysis</w:t>
      </w:r>
    </w:p>
    <w:p>
      <w:pPr>
        <w:pStyle w:val="BodyText"/>
        <w:spacing w:before="208"/>
        <w:ind w:left="660"/>
      </w:pPr>
      <w:r>
        <w:rPr/>
        <w:t>The graph below highlights the area/leases due for expiry in the coming years:</w:t>
      </w:r>
    </w:p>
    <w:p>
      <w:pPr>
        <w:pStyle w:val="BodyText"/>
        <w:spacing w:before="3"/>
        <w:rPr>
          <w:sz w:val="24"/>
        </w:rPr>
      </w:pPr>
      <w:r>
        <w:rPr/>
        <w:pict>
          <v:group style="position:absolute;margin-left:63.023998pt;margin-top:16.062988pt;width:496.55pt;height:14.2pt;mso-position-horizontal-relative:page;mso-position-vertical-relative:paragraph;z-index:-15422464;mso-wrap-distance-left:0;mso-wrap-distance-right:0" coordorigin="1260,321" coordsize="9931,284">
            <v:rect style="position:absolute;left:1260;top:352;width:9931;height:252" filled="true" fillcolor="#006a4d" stroked="false">
              <v:fill type="solid"/>
            </v:rect>
            <v:rect style="position:absolute;left:1260;top:321;width:9931;height:29" filled="true" fillcolor="#1f6b16" stroked="false">
              <v:fill type="solid"/>
            </v:rect>
            <v:rect style="position:absolute;left:1260;top:350;width:9931;height:3" filled="true" fillcolor="#006a4d" stroked="false">
              <v:fill type="solid"/>
            </v:rect>
            <v:shape style="position:absolute;left:1260;top:350;width:9931;height:255" type="#_x0000_t202" filled="false" stroked="false">
              <v:textbox inset="0,0,0,0">
                <w:txbxContent>
                  <w:p>
                    <w:pPr>
                      <w:spacing w:before="25"/>
                      <w:ind w:left="4385" w:right="4384" w:firstLine="0"/>
                      <w:jc w:val="center"/>
                      <w:rPr>
                        <w:b/>
                        <w:sz w:val="18"/>
                      </w:rPr>
                    </w:pPr>
                    <w:r>
                      <w:rPr>
                        <w:b/>
                        <w:color w:val="FFFFFF"/>
                        <w:w w:val="105"/>
                        <w:sz w:val="18"/>
                      </w:rPr>
                      <w:t>Lease Expiry</w:t>
                    </w:r>
                  </w:p>
                </w:txbxContent>
              </v:textbox>
              <w10:wrap type="none"/>
            </v:shape>
            <w10:wrap type="topAndBottom"/>
          </v:group>
        </w:pict>
      </w:r>
    </w:p>
    <w:p>
      <w:pPr>
        <w:pStyle w:val="BodyText"/>
        <w:rPr>
          <w:sz w:val="20"/>
        </w:rPr>
      </w:pPr>
    </w:p>
    <w:p>
      <w:pPr>
        <w:pStyle w:val="BodyText"/>
        <w:spacing w:before="6"/>
      </w:pPr>
      <w:r>
        <w:rPr/>
        <w:drawing>
          <wp:anchor distT="0" distB="0" distL="0" distR="0" allowOverlap="1" layoutInCell="1" locked="0" behindDoc="0" simplePos="0" relativeHeight="599">
            <wp:simplePos x="0" y="0"/>
            <wp:positionH relativeFrom="page">
              <wp:posOffset>1041494</wp:posOffset>
            </wp:positionH>
            <wp:positionV relativeFrom="paragraph">
              <wp:posOffset>191364</wp:posOffset>
            </wp:positionV>
            <wp:extent cx="4945781" cy="1965960"/>
            <wp:effectExtent l="0" t="0" r="0" b="0"/>
            <wp:wrapTopAndBottom/>
            <wp:docPr id="151" name="image99.jpeg"/>
            <wp:cNvGraphicFramePr>
              <a:graphicFrameLocks noChangeAspect="1"/>
            </wp:cNvGraphicFramePr>
            <a:graphic>
              <a:graphicData uri="http://schemas.openxmlformats.org/drawingml/2006/picture">
                <pic:pic>
                  <pic:nvPicPr>
                    <pic:cNvPr id="152" name="image99.jpeg"/>
                    <pic:cNvPicPr/>
                  </pic:nvPicPr>
                  <pic:blipFill>
                    <a:blip r:embed="rId134" cstate="print"/>
                    <a:stretch>
                      <a:fillRect/>
                    </a:stretch>
                  </pic:blipFill>
                  <pic:spPr>
                    <a:xfrm>
                      <a:off x="0" y="0"/>
                      <a:ext cx="4945781" cy="1965960"/>
                    </a:xfrm>
                    <a:prstGeom prst="rect">
                      <a:avLst/>
                    </a:prstGeom>
                  </pic:spPr>
                </pic:pic>
              </a:graphicData>
            </a:graphic>
          </wp:anchor>
        </w:drawing>
      </w:r>
    </w:p>
    <w:p>
      <w:pPr>
        <w:pStyle w:val="BodyText"/>
        <w:spacing w:before="5"/>
        <w:rPr>
          <w:sz w:val="15"/>
        </w:rPr>
      </w:pPr>
    </w:p>
    <w:p>
      <w:pPr>
        <w:spacing w:before="104"/>
        <w:ind w:left="682" w:right="0" w:firstLine="0"/>
        <w:jc w:val="both"/>
        <w:rPr>
          <w:i/>
          <w:sz w:val="18"/>
        </w:rPr>
      </w:pPr>
      <w:r>
        <w:rPr>
          <w:i/>
          <w:w w:val="95"/>
          <w:sz w:val="18"/>
        </w:rPr>
        <w:t>Source:</w:t>
      </w:r>
      <w:r>
        <w:rPr>
          <w:i/>
          <w:spacing w:val="-20"/>
          <w:w w:val="95"/>
          <w:sz w:val="18"/>
        </w:rPr>
        <w:t> </w:t>
      </w:r>
      <w:r>
        <w:rPr>
          <w:i/>
          <w:w w:val="95"/>
          <w:sz w:val="18"/>
        </w:rPr>
        <w:t>Rent</w:t>
      </w:r>
      <w:r>
        <w:rPr>
          <w:i/>
          <w:spacing w:val="-19"/>
          <w:w w:val="95"/>
          <w:sz w:val="18"/>
        </w:rPr>
        <w:t> </w:t>
      </w:r>
      <w:r>
        <w:rPr>
          <w:i/>
          <w:w w:val="95"/>
          <w:sz w:val="18"/>
        </w:rPr>
        <w:t>Roll</w:t>
      </w:r>
      <w:r>
        <w:rPr>
          <w:i/>
          <w:spacing w:val="-19"/>
          <w:w w:val="95"/>
          <w:sz w:val="18"/>
        </w:rPr>
        <w:t> </w:t>
      </w:r>
      <w:r>
        <w:rPr>
          <w:i/>
          <w:w w:val="95"/>
          <w:sz w:val="18"/>
        </w:rPr>
        <w:t>(representative</w:t>
      </w:r>
      <w:r>
        <w:rPr>
          <w:i/>
          <w:spacing w:val="-19"/>
          <w:w w:val="95"/>
          <w:sz w:val="18"/>
        </w:rPr>
        <w:t> </w:t>
      </w:r>
      <w:r>
        <w:rPr>
          <w:i/>
          <w:w w:val="95"/>
          <w:sz w:val="18"/>
        </w:rPr>
        <w:t>of</w:t>
      </w:r>
      <w:r>
        <w:rPr>
          <w:i/>
          <w:spacing w:val="-20"/>
          <w:w w:val="95"/>
          <w:sz w:val="18"/>
        </w:rPr>
        <w:t> </w:t>
      </w:r>
      <w:r>
        <w:rPr>
          <w:i/>
          <w:w w:val="95"/>
          <w:sz w:val="18"/>
        </w:rPr>
        <w:t>financial</w:t>
      </w:r>
      <w:r>
        <w:rPr>
          <w:i/>
          <w:spacing w:val="-19"/>
          <w:w w:val="95"/>
          <w:sz w:val="18"/>
        </w:rPr>
        <w:t> </w:t>
      </w:r>
      <w:r>
        <w:rPr>
          <w:i/>
          <w:w w:val="95"/>
          <w:sz w:val="18"/>
        </w:rPr>
        <w:t>years)</w:t>
      </w:r>
    </w:p>
    <w:p>
      <w:pPr>
        <w:pStyle w:val="BodyText"/>
        <w:rPr>
          <w:i/>
        </w:rPr>
      </w:pPr>
    </w:p>
    <w:p>
      <w:pPr>
        <w:pStyle w:val="BodyText"/>
        <w:spacing w:before="7"/>
        <w:rPr>
          <w:i/>
          <w:sz w:val="18"/>
        </w:rPr>
      </w:pPr>
    </w:p>
    <w:p>
      <w:pPr>
        <w:pStyle w:val="BodyText"/>
        <w:spacing w:line="321" w:lineRule="auto"/>
        <w:ind w:left="660" w:right="195"/>
        <w:jc w:val="both"/>
      </w:pPr>
      <w:r>
        <w:rPr/>
        <w:t>Consultants</w:t>
      </w:r>
      <w:r>
        <w:rPr>
          <w:spacing w:val="-17"/>
        </w:rPr>
        <w:t> </w:t>
      </w:r>
      <w:r>
        <w:rPr/>
        <w:t>have</w:t>
      </w:r>
      <w:r>
        <w:rPr>
          <w:spacing w:val="-18"/>
        </w:rPr>
        <w:t> </w:t>
      </w:r>
      <w:r>
        <w:rPr/>
        <w:t>undertaken</w:t>
      </w:r>
      <w:r>
        <w:rPr>
          <w:spacing w:val="-18"/>
        </w:rPr>
        <w:t> </w:t>
      </w:r>
      <w:r>
        <w:rPr/>
        <w:t>an</w:t>
      </w:r>
      <w:r>
        <w:rPr>
          <w:spacing w:val="-17"/>
        </w:rPr>
        <w:t> </w:t>
      </w:r>
      <w:r>
        <w:rPr/>
        <w:t>in-depth</w:t>
      </w:r>
      <w:r>
        <w:rPr>
          <w:spacing w:val="-18"/>
        </w:rPr>
        <w:t> </w:t>
      </w:r>
      <w:r>
        <w:rPr/>
        <w:t>analysis</w:t>
      </w:r>
      <w:r>
        <w:rPr>
          <w:spacing w:val="-18"/>
        </w:rPr>
        <w:t> </w:t>
      </w:r>
      <w:r>
        <w:rPr/>
        <w:t>of</w:t>
      </w:r>
      <w:r>
        <w:rPr>
          <w:spacing w:val="-17"/>
        </w:rPr>
        <w:t> </w:t>
      </w:r>
      <w:r>
        <w:rPr/>
        <w:t>the</w:t>
      </w:r>
      <w:r>
        <w:rPr>
          <w:spacing w:val="-19"/>
        </w:rPr>
        <w:t> </w:t>
      </w:r>
      <w:r>
        <w:rPr/>
        <w:t>rent</w:t>
      </w:r>
      <w:r>
        <w:rPr>
          <w:spacing w:val="-18"/>
        </w:rPr>
        <w:t> </w:t>
      </w:r>
      <w:r>
        <w:rPr/>
        <w:t>roll/</w:t>
      </w:r>
      <w:r>
        <w:rPr>
          <w:spacing w:val="-17"/>
        </w:rPr>
        <w:t> </w:t>
      </w:r>
      <w:r>
        <w:rPr/>
        <w:t>lease</w:t>
      </w:r>
      <w:r>
        <w:rPr>
          <w:spacing w:val="-18"/>
        </w:rPr>
        <w:t> </w:t>
      </w:r>
      <w:r>
        <w:rPr/>
        <w:t>deeds</w:t>
      </w:r>
      <w:r>
        <w:rPr>
          <w:spacing w:val="-18"/>
        </w:rPr>
        <w:t> </w:t>
      </w:r>
      <w:r>
        <w:rPr/>
        <w:t>shared</w:t>
      </w:r>
      <w:r>
        <w:rPr>
          <w:spacing w:val="-17"/>
        </w:rPr>
        <w:t> </w:t>
      </w:r>
      <w:r>
        <w:rPr/>
        <w:t>by</w:t>
      </w:r>
      <w:r>
        <w:rPr>
          <w:spacing w:val="-18"/>
        </w:rPr>
        <w:t> </w:t>
      </w:r>
      <w:r>
        <w:rPr/>
        <w:t>the</w:t>
      </w:r>
      <w:r>
        <w:rPr>
          <w:spacing w:val="-19"/>
        </w:rPr>
        <w:t> </w:t>
      </w:r>
      <w:r>
        <w:rPr/>
        <w:t>Client,</w:t>
      </w:r>
      <w:r>
        <w:rPr>
          <w:spacing w:val="-18"/>
        </w:rPr>
        <w:t> </w:t>
      </w:r>
      <w:r>
        <w:rPr/>
        <w:t>to understand</w:t>
      </w:r>
      <w:r>
        <w:rPr>
          <w:spacing w:val="-28"/>
        </w:rPr>
        <w:t> </w:t>
      </w:r>
      <w:r>
        <w:rPr/>
        <w:t>the</w:t>
      </w:r>
      <w:r>
        <w:rPr>
          <w:spacing w:val="-26"/>
        </w:rPr>
        <w:t> </w:t>
      </w:r>
      <w:r>
        <w:rPr/>
        <w:t>lease</w:t>
      </w:r>
      <w:r>
        <w:rPr>
          <w:spacing w:val="-26"/>
        </w:rPr>
        <w:t> </w:t>
      </w:r>
      <w:r>
        <w:rPr/>
        <w:t>expiry</w:t>
      </w:r>
      <w:r>
        <w:rPr>
          <w:spacing w:val="-26"/>
        </w:rPr>
        <w:t> </w:t>
      </w:r>
      <w:r>
        <w:rPr/>
        <w:t>schedule</w:t>
      </w:r>
      <w:r>
        <w:rPr>
          <w:spacing w:val="-27"/>
        </w:rPr>
        <w:t> </w:t>
      </w:r>
      <w:r>
        <w:rPr/>
        <w:t>of</w:t>
      </w:r>
      <w:r>
        <w:rPr>
          <w:spacing w:val="-27"/>
        </w:rPr>
        <w:t> </w:t>
      </w:r>
      <w:r>
        <w:rPr/>
        <w:t>top</w:t>
      </w:r>
      <w:r>
        <w:rPr>
          <w:spacing w:val="-27"/>
        </w:rPr>
        <w:t> </w:t>
      </w:r>
      <w:r>
        <w:rPr/>
        <w:t>tenants</w:t>
      </w:r>
      <w:r>
        <w:rPr>
          <w:spacing w:val="-26"/>
        </w:rPr>
        <w:t> </w:t>
      </w:r>
      <w:r>
        <w:rPr/>
        <w:t>at</w:t>
      </w:r>
      <w:r>
        <w:rPr>
          <w:spacing w:val="-26"/>
        </w:rPr>
        <w:t> </w:t>
      </w:r>
      <w:r>
        <w:rPr/>
        <w:t>the</w:t>
      </w:r>
      <w:r>
        <w:rPr>
          <w:spacing w:val="-28"/>
        </w:rPr>
        <w:t> </w:t>
      </w:r>
      <w:r>
        <w:rPr/>
        <w:t>subject</w:t>
      </w:r>
      <w:r>
        <w:rPr>
          <w:spacing w:val="-23"/>
        </w:rPr>
        <w:t> </w:t>
      </w:r>
      <w:r>
        <w:rPr/>
        <w:t>property</w:t>
      </w:r>
      <w:r>
        <w:rPr>
          <w:spacing w:val="-27"/>
        </w:rPr>
        <w:t> </w:t>
      </w:r>
      <w:r>
        <w:rPr/>
        <w:t>and</w:t>
      </w:r>
      <w:r>
        <w:rPr>
          <w:spacing w:val="-26"/>
        </w:rPr>
        <w:t> </w:t>
      </w:r>
      <w:r>
        <w:rPr/>
        <w:t>rent</w:t>
      </w:r>
      <w:r>
        <w:rPr>
          <w:spacing w:val="-26"/>
        </w:rPr>
        <w:t> </w:t>
      </w:r>
      <w:r>
        <w:rPr/>
        <w:t>for</w:t>
      </w:r>
      <w:r>
        <w:rPr>
          <w:spacing w:val="-26"/>
        </w:rPr>
        <w:t> </w:t>
      </w:r>
      <w:r>
        <w:rPr/>
        <w:t>those</w:t>
      </w:r>
      <w:r>
        <w:rPr>
          <w:spacing w:val="-27"/>
        </w:rPr>
        <w:t> </w:t>
      </w:r>
      <w:r>
        <w:rPr/>
        <w:t>spaces</w:t>
      </w:r>
      <w:r>
        <w:rPr>
          <w:spacing w:val="-27"/>
        </w:rPr>
        <w:t> </w:t>
      </w:r>
      <w:r>
        <w:rPr/>
        <w:t>as of</w:t>
      </w:r>
      <w:r>
        <w:rPr>
          <w:spacing w:val="-25"/>
        </w:rPr>
        <w:t> </w:t>
      </w:r>
      <w:r>
        <w:rPr/>
        <w:t>date</w:t>
      </w:r>
      <w:r>
        <w:rPr>
          <w:spacing w:val="-26"/>
        </w:rPr>
        <w:t> </w:t>
      </w:r>
      <w:r>
        <w:rPr/>
        <w:t>of</w:t>
      </w:r>
      <w:r>
        <w:rPr>
          <w:spacing w:val="-25"/>
        </w:rPr>
        <w:t> </w:t>
      </w:r>
      <w:r>
        <w:rPr/>
        <w:t>valuation.</w:t>
      </w:r>
      <w:r>
        <w:rPr>
          <w:spacing w:val="-26"/>
        </w:rPr>
        <w:t> </w:t>
      </w:r>
      <w:r>
        <w:rPr/>
        <w:t>The</w:t>
      </w:r>
      <w:r>
        <w:rPr>
          <w:spacing w:val="-24"/>
        </w:rPr>
        <w:t> </w:t>
      </w:r>
      <w:r>
        <w:rPr/>
        <w:t>intent</w:t>
      </w:r>
      <w:r>
        <w:rPr>
          <w:spacing w:val="-26"/>
        </w:rPr>
        <w:t> </w:t>
      </w:r>
      <w:r>
        <w:rPr/>
        <w:t>of</w:t>
      </w:r>
      <w:r>
        <w:rPr>
          <w:spacing w:val="-25"/>
        </w:rPr>
        <w:t> </w:t>
      </w:r>
      <w:r>
        <w:rPr/>
        <w:t>the</w:t>
      </w:r>
      <w:r>
        <w:rPr>
          <w:spacing w:val="-25"/>
        </w:rPr>
        <w:t> </w:t>
      </w:r>
      <w:r>
        <w:rPr/>
        <w:t>same</w:t>
      </w:r>
      <w:r>
        <w:rPr>
          <w:spacing w:val="-26"/>
        </w:rPr>
        <w:t> </w:t>
      </w:r>
      <w:r>
        <w:rPr/>
        <w:t>is</w:t>
      </w:r>
      <w:r>
        <w:rPr>
          <w:spacing w:val="-25"/>
        </w:rPr>
        <w:t> </w:t>
      </w:r>
      <w:r>
        <w:rPr/>
        <w:t>to</w:t>
      </w:r>
      <w:r>
        <w:rPr>
          <w:spacing w:val="-25"/>
        </w:rPr>
        <w:t> </w:t>
      </w:r>
      <w:r>
        <w:rPr/>
        <w:t>analyse</w:t>
      </w:r>
      <w:r>
        <w:rPr>
          <w:spacing w:val="-26"/>
        </w:rPr>
        <w:t> </w:t>
      </w:r>
      <w:r>
        <w:rPr/>
        <w:t>the</w:t>
      </w:r>
      <w:r>
        <w:rPr>
          <w:spacing w:val="-24"/>
        </w:rPr>
        <w:t> </w:t>
      </w:r>
      <w:r>
        <w:rPr/>
        <w:t>risk</w:t>
      </w:r>
      <w:r>
        <w:rPr>
          <w:spacing w:val="-26"/>
        </w:rPr>
        <w:t> </w:t>
      </w:r>
      <w:r>
        <w:rPr/>
        <w:t>of</w:t>
      </w:r>
      <w:r>
        <w:rPr>
          <w:spacing w:val="-25"/>
        </w:rPr>
        <w:t> </w:t>
      </w:r>
      <w:r>
        <w:rPr/>
        <w:t>tenant</w:t>
      </w:r>
      <w:r>
        <w:rPr>
          <w:spacing w:val="-26"/>
        </w:rPr>
        <w:t> </w:t>
      </w:r>
      <w:r>
        <w:rPr/>
        <w:t>churn</w:t>
      </w:r>
      <w:r>
        <w:rPr>
          <w:spacing w:val="-25"/>
        </w:rPr>
        <w:t> </w:t>
      </w:r>
      <w:r>
        <w:rPr/>
        <w:t>as</w:t>
      </w:r>
      <w:r>
        <w:rPr>
          <w:spacing w:val="-24"/>
        </w:rPr>
        <w:t> </w:t>
      </w:r>
      <w:r>
        <w:rPr/>
        <w:t>well</w:t>
      </w:r>
      <w:r>
        <w:rPr>
          <w:spacing w:val="-27"/>
        </w:rPr>
        <w:t> </w:t>
      </w:r>
      <w:r>
        <w:rPr/>
        <w:t>as</w:t>
      </w:r>
      <w:r>
        <w:rPr>
          <w:spacing w:val="-24"/>
        </w:rPr>
        <w:t> </w:t>
      </w:r>
      <w:r>
        <w:rPr/>
        <w:t>assessing</w:t>
      </w:r>
      <w:r>
        <w:rPr>
          <w:spacing w:val="-26"/>
        </w:rPr>
        <w:t> </w:t>
      </w:r>
      <w:r>
        <w:rPr/>
        <w:t>the re-leasing risk for the property along with opining on the timeframe to lease-up the spaces in case a significant vacancy arises at the</w:t>
      </w:r>
      <w:r>
        <w:rPr>
          <w:spacing w:val="-22"/>
        </w:rPr>
        <w:t> </w:t>
      </w:r>
      <w:r>
        <w:rPr/>
        <w:t>property.</w:t>
      </w:r>
    </w:p>
    <w:p>
      <w:pPr>
        <w:pStyle w:val="BodyText"/>
        <w:spacing w:before="1"/>
        <w:rPr>
          <w:sz w:val="21"/>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41" w:id="276"/>
      <w:bookmarkEnd w:id="276"/>
      <w:r>
        <w:rPr/>
      </w:r>
      <w:bookmarkStart w:name="_bookmark141" w:id="277"/>
      <w:bookmarkEnd w:id="277"/>
      <w:r>
        <w:rPr>
          <w:color w:val="1F664D"/>
          <w:sz w:val="22"/>
        </w:rPr>
        <w:t>Esc</w:t>
      </w:r>
      <w:r>
        <w:rPr>
          <w:color w:val="1F664D"/>
          <w:sz w:val="22"/>
        </w:rPr>
        <w:t>alation</w:t>
      </w:r>
      <w:r>
        <w:rPr>
          <w:color w:val="1F664D"/>
          <w:spacing w:val="-3"/>
          <w:sz w:val="22"/>
        </w:rPr>
        <w:t> </w:t>
      </w:r>
      <w:r>
        <w:rPr>
          <w:color w:val="1F664D"/>
          <w:sz w:val="22"/>
        </w:rPr>
        <w:t>Analysis</w:t>
      </w:r>
    </w:p>
    <w:p>
      <w:pPr>
        <w:pStyle w:val="BodyText"/>
        <w:spacing w:line="321" w:lineRule="auto" w:before="208"/>
        <w:ind w:left="667" w:right="195"/>
        <w:jc w:val="both"/>
      </w:pPr>
      <w:r>
        <w:rPr/>
        <w:t>As</w:t>
      </w:r>
      <w:r>
        <w:rPr>
          <w:spacing w:val="-41"/>
        </w:rPr>
        <w:t> </w:t>
      </w:r>
      <w:r>
        <w:rPr/>
        <w:t>per</w:t>
      </w:r>
      <w:r>
        <w:rPr>
          <w:spacing w:val="-40"/>
        </w:rPr>
        <w:t> </w:t>
      </w:r>
      <w:r>
        <w:rPr/>
        <w:t>the</w:t>
      </w:r>
      <w:r>
        <w:rPr>
          <w:spacing w:val="-41"/>
        </w:rPr>
        <w:t> </w:t>
      </w:r>
      <w:r>
        <w:rPr/>
        <w:t>review</w:t>
      </w:r>
      <w:r>
        <w:rPr>
          <w:spacing w:val="-39"/>
        </w:rPr>
        <w:t> </w:t>
      </w:r>
      <w:r>
        <w:rPr/>
        <w:t>of</w:t>
      </w:r>
      <w:r>
        <w:rPr>
          <w:spacing w:val="-40"/>
        </w:rPr>
        <w:t> </w:t>
      </w:r>
      <w:r>
        <w:rPr/>
        <w:t>recently</w:t>
      </w:r>
      <w:r>
        <w:rPr>
          <w:spacing w:val="-39"/>
        </w:rPr>
        <w:t> </w:t>
      </w:r>
      <w:r>
        <w:rPr/>
        <w:t>executed</w:t>
      </w:r>
      <w:r>
        <w:rPr>
          <w:spacing w:val="-40"/>
        </w:rPr>
        <w:t> </w:t>
      </w:r>
      <w:r>
        <w:rPr/>
        <w:t>leases</w:t>
      </w:r>
      <w:r>
        <w:rPr>
          <w:spacing w:val="-39"/>
        </w:rPr>
        <w:t> </w:t>
      </w:r>
      <w:r>
        <w:rPr/>
        <w:t>at</w:t>
      </w:r>
      <w:r>
        <w:rPr>
          <w:spacing w:val="-40"/>
        </w:rPr>
        <w:t> </w:t>
      </w:r>
      <w:r>
        <w:rPr/>
        <w:t>the</w:t>
      </w:r>
      <w:r>
        <w:rPr>
          <w:spacing w:val="-40"/>
        </w:rPr>
        <w:t> </w:t>
      </w:r>
      <w:r>
        <w:rPr/>
        <w:t>subject</w:t>
      </w:r>
      <w:r>
        <w:rPr>
          <w:spacing w:val="-40"/>
        </w:rPr>
        <w:t> </w:t>
      </w:r>
      <w:r>
        <w:rPr/>
        <w:t>property,</w:t>
      </w:r>
      <w:r>
        <w:rPr>
          <w:spacing w:val="-40"/>
        </w:rPr>
        <w:t> </w:t>
      </w:r>
      <w:r>
        <w:rPr/>
        <w:t>it</w:t>
      </w:r>
      <w:r>
        <w:rPr>
          <w:spacing w:val="-40"/>
        </w:rPr>
        <w:t> </w:t>
      </w:r>
      <w:r>
        <w:rPr/>
        <w:t>is</w:t>
      </w:r>
      <w:r>
        <w:rPr>
          <w:spacing w:val="-39"/>
        </w:rPr>
        <w:t> </w:t>
      </w:r>
      <w:r>
        <w:rPr/>
        <w:t>understood</w:t>
      </w:r>
      <w:r>
        <w:rPr>
          <w:spacing w:val="-40"/>
        </w:rPr>
        <w:t> </w:t>
      </w:r>
      <w:r>
        <w:rPr/>
        <w:t>that</w:t>
      </w:r>
      <w:r>
        <w:rPr>
          <w:spacing w:val="-41"/>
        </w:rPr>
        <w:t> </w:t>
      </w:r>
      <w:r>
        <w:rPr/>
        <w:t>the</w:t>
      </w:r>
      <w:r>
        <w:rPr>
          <w:spacing w:val="-40"/>
        </w:rPr>
        <w:t> </w:t>
      </w:r>
      <w:r>
        <w:rPr/>
        <w:t>contracted escalation</w:t>
      </w:r>
      <w:r>
        <w:rPr>
          <w:spacing w:val="-11"/>
        </w:rPr>
        <w:t> </w:t>
      </w:r>
      <w:r>
        <w:rPr/>
        <w:t>terms</w:t>
      </w:r>
      <w:r>
        <w:rPr>
          <w:spacing w:val="-9"/>
        </w:rPr>
        <w:t> </w:t>
      </w:r>
      <w:r>
        <w:rPr/>
        <w:t>for</w:t>
      </w:r>
      <w:r>
        <w:rPr>
          <w:spacing w:val="-10"/>
        </w:rPr>
        <w:t> </w:t>
      </w:r>
      <w:r>
        <w:rPr/>
        <w:t>these</w:t>
      </w:r>
      <w:r>
        <w:rPr>
          <w:spacing w:val="-11"/>
        </w:rPr>
        <w:t> </w:t>
      </w:r>
      <w:r>
        <w:rPr/>
        <w:t>leases</w:t>
      </w:r>
      <w:r>
        <w:rPr>
          <w:spacing w:val="-9"/>
        </w:rPr>
        <w:t> </w:t>
      </w:r>
      <w:r>
        <w:rPr/>
        <w:t>are</w:t>
      </w:r>
      <w:r>
        <w:rPr>
          <w:spacing w:val="-10"/>
        </w:rPr>
        <w:t> </w:t>
      </w:r>
      <w:r>
        <w:rPr/>
        <w:t>in</w:t>
      </w:r>
      <w:r>
        <w:rPr>
          <w:spacing w:val="-10"/>
        </w:rPr>
        <w:t> </w:t>
      </w:r>
      <w:r>
        <w:rPr/>
        <w:t>the</w:t>
      </w:r>
      <w:r>
        <w:rPr>
          <w:spacing w:val="-10"/>
        </w:rPr>
        <w:t> </w:t>
      </w:r>
      <w:r>
        <w:rPr/>
        <w:t>range</w:t>
      </w:r>
      <w:r>
        <w:rPr>
          <w:spacing w:val="-8"/>
        </w:rPr>
        <w:t> </w:t>
      </w:r>
      <w:r>
        <w:rPr/>
        <w:t>of</w:t>
      </w:r>
      <w:r>
        <w:rPr>
          <w:spacing w:val="-5"/>
        </w:rPr>
        <w:t> </w:t>
      </w:r>
      <w:r>
        <w:rPr/>
        <w:t>5.0%</w:t>
      </w:r>
      <w:r>
        <w:rPr>
          <w:spacing w:val="-10"/>
        </w:rPr>
        <w:t> </w:t>
      </w:r>
      <w:r>
        <w:rPr/>
        <w:t>every</w:t>
      </w:r>
      <w:r>
        <w:rPr>
          <w:spacing w:val="-9"/>
        </w:rPr>
        <w:t> </w:t>
      </w:r>
      <w:r>
        <w:rPr/>
        <w:t>year</w:t>
      </w:r>
      <w:r>
        <w:rPr>
          <w:spacing w:val="-10"/>
        </w:rPr>
        <w:t> </w:t>
      </w:r>
      <w:r>
        <w:rPr/>
        <w:t>or</w:t>
      </w:r>
      <w:r>
        <w:rPr>
          <w:spacing w:val="-9"/>
        </w:rPr>
        <w:t> </w:t>
      </w:r>
      <w:r>
        <w:rPr/>
        <w:t>15.0%</w:t>
      </w:r>
      <w:r>
        <w:rPr>
          <w:spacing w:val="-10"/>
        </w:rPr>
        <w:t> </w:t>
      </w:r>
      <w:r>
        <w:rPr/>
        <w:t>every</w:t>
      </w:r>
      <w:r>
        <w:rPr>
          <w:spacing w:val="-9"/>
        </w:rPr>
        <w:t> </w:t>
      </w:r>
      <w:r>
        <w:rPr/>
        <w:t>3</w:t>
      </w:r>
      <w:r>
        <w:rPr>
          <w:spacing w:val="-11"/>
        </w:rPr>
        <w:t> </w:t>
      </w:r>
      <w:r>
        <w:rPr/>
        <w:t>years</w:t>
      </w:r>
      <w:r>
        <w:rPr>
          <w:spacing w:val="-9"/>
        </w:rPr>
        <w:t> </w:t>
      </w:r>
      <w:r>
        <w:rPr/>
        <w:t>which</w:t>
      </w:r>
      <w:r>
        <w:rPr>
          <w:spacing w:val="-8"/>
        </w:rPr>
        <w:t> </w:t>
      </w:r>
      <w:r>
        <w:rPr/>
        <w:t>are in</w:t>
      </w:r>
      <w:r>
        <w:rPr>
          <w:spacing w:val="-14"/>
        </w:rPr>
        <w:t> </w:t>
      </w:r>
      <w:r>
        <w:rPr/>
        <w:t>line</w:t>
      </w:r>
      <w:r>
        <w:rPr>
          <w:spacing w:val="-13"/>
        </w:rPr>
        <w:t> </w:t>
      </w:r>
      <w:r>
        <w:rPr/>
        <w:t>with</w:t>
      </w:r>
      <w:r>
        <w:rPr>
          <w:spacing w:val="-13"/>
        </w:rPr>
        <w:t> </w:t>
      </w:r>
      <w:r>
        <w:rPr/>
        <w:t>the</w:t>
      </w:r>
      <w:r>
        <w:rPr>
          <w:spacing w:val="-13"/>
        </w:rPr>
        <w:t> </w:t>
      </w:r>
      <w:r>
        <w:rPr/>
        <w:t>prevailing</w:t>
      </w:r>
      <w:r>
        <w:rPr>
          <w:spacing w:val="-13"/>
        </w:rPr>
        <w:t> </w:t>
      </w:r>
      <w:r>
        <w:rPr/>
        <w:t>market</w:t>
      </w:r>
      <w:r>
        <w:rPr>
          <w:spacing w:val="-13"/>
        </w:rPr>
        <w:t> </w:t>
      </w:r>
      <w:r>
        <w:rPr/>
        <w:t>practice</w:t>
      </w:r>
      <w:r>
        <w:rPr>
          <w:spacing w:val="-13"/>
        </w:rPr>
        <w:t> </w:t>
      </w:r>
      <w:r>
        <w:rPr/>
        <w:t>witnessed</w:t>
      </w:r>
      <w:r>
        <w:rPr>
          <w:spacing w:val="-12"/>
        </w:rPr>
        <w:t> </w:t>
      </w:r>
      <w:r>
        <w:rPr/>
        <w:t>across</w:t>
      </w:r>
      <w:r>
        <w:rPr>
          <w:spacing w:val="-12"/>
        </w:rPr>
        <w:t> </w:t>
      </w:r>
      <w:r>
        <w:rPr/>
        <w:t>the</w:t>
      </w:r>
      <w:r>
        <w:rPr>
          <w:spacing w:val="-15"/>
        </w:rPr>
        <w:t> </w:t>
      </w:r>
      <w:r>
        <w:rPr/>
        <w:t>sub-market</w:t>
      </w:r>
      <w:r>
        <w:rPr>
          <w:spacing w:val="-15"/>
        </w:rPr>
        <w:t> </w:t>
      </w:r>
      <w:r>
        <w:rPr/>
        <w:t>and</w:t>
      </w:r>
      <w:r>
        <w:rPr>
          <w:spacing w:val="-13"/>
        </w:rPr>
        <w:t> </w:t>
      </w:r>
      <w:r>
        <w:rPr/>
        <w:t>MMR</w:t>
      </w:r>
      <w:r>
        <w:rPr>
          <w:spacing w:val="-13"/>
        </w:rPr>
        <w:t> </w:t>
      </w:r>
      <w:r>
        <w:rPr/>
        <w:t>region.</w:t>
      </w:r>
    </w:p>
    <w:p>
      <w:pPr>
        <w:pStyle w:val="BodyText"/>
        <w:spacing w:before="8"/>
        <w:rPr>
          <w:sz w:val="20"/>
        </w:rPr>
      </w:pPr>
    </w:p>
    <w:p>
      <w:pPr>
        <w:pStyle w:val="ListParagraph"/>
        <w:numPr>
          <w:ilvl w:val="1"/>
          <w:numId w:val="14"/>
        </w:numPr>
        <w:tabs>
          <w:tab w:pos="696" w:val="left" w:leader="none"/>
          <w:tab w:pos="697" w:val="left" w:leader="none"/>
        </w:tabs>
        <w:spacing w:line="240" w:lineRule="auto" w:before="0" w:after="0"/>
        <w:ind w:left="696" w:right="0" w:hanging="577"/>
        <w:jc w:val="left"/>
        <w:rPr>
          <w:color w:val="1F6647"/>
          <w:sz w:val="22"/>
        </w:rPr>
      </w:pPr>
      <w:bookmarkStart w:name="_bookmark142" w:id="278"/>
      <w:bookmarkEnd w:id="278"/>
      <w:r>
        <w:rPr/>
      </w:r>
      <w:bookmarkStart w:name="_bookmark142" w:id="279"/>
      <w:bookmarkEnd w:id="279"/>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line="324" w:lineRule="auto" w:before="208"/>
        <w:ind w:left="660" w:right="199"/>
        <w:jc w:val="both"/>
      </w:pPr>
      <w:r>
        <w:rPr/>
        <w:t>As</w:t>
      </w:r>
      <w:r>
        <w:rPr>
          <w:spacing w:val="-28"/>
        </w:rPr>
        <w:t> </w:t>
      </w:r>
      <w:r>
        <w:rPr/>
        <w:t>highlighted</w:t>
      </w:r>
      <w:r>
        <w:rPr>
          <w:spacing w:val="-27"/>
        </w:rPr>
        <w:t> </w:t>
      </w:r>
      <w:r>
        <w:rPr/>
        <w:t>earlier,</w:t>
      </w:r>
      <w:r>
        <w:rPr>
          <w:spacing w:val="-29"/>
        </w:rPr>
        <w:t> </w:t>
      </w:r>
      <w:r>
        <w:rPr/>
        <w:t>the</w:t>
      </w:r>
      <w:r>
        <w:rPr>
          <w:spacing w:val="-28"/>
        </w:rPr>
        <w:t> </w:t>
      </w:r>
      <w:r>
        <w:rPr/>
        <w:t>subject</w:t>
      </w:r>
      <w:r>
        <w:rPr>
          <w:spacing w:val="-28"/>
        </w:rPr>
        <w:t> </w:t>
      </w:r>
      <w:r>
        <w:rPr/>
        <w:t>property</w:t>
      </w:r>
      <w:r>
        <w:rPr>
          <w:spacing w:val="-27"/>
        </w:rPr>
        <w:t> </w:t>
      </w:r>
      <w:r>
        <w:rPr/>
        <w:t>is</w:t>
      </w:r>
      <w:r>
        <w:rPr>
          <w:spacing w:val="-28"/>
        </w:rPr>
        <w:t> </w:t>
      </w:r>
      <w:r>
        <w:rPr/>
        <w:t>an</w:t>
      </w:r>
      <w:r>
        <w:rPr>
          <w:spacing w:val="-29"/>
        </w:rPr>
        <w:t> </w:t>
      </w:r>
      <w:r>
        <w:rPr/>
        <w:t>operational</w:t>
      </w:r>
      <w:r>
        <w:rPr>
          <w:spacing w:val="-28"/>
        </w:rPr>
        <w:t> </w:t>
      </w:r>
      <w:r>
        <w:rPr/>
        <w:t>office</w:t>
      </w:r>
      <w:r>
        <w:rPr>
          <w:spacing w:val="-28"/>
        </w:rPr>
        <w:t> </w:t>
      </w:r>
      <w:r>
        <w:rPr/>
        <w:t>located</w:t>
      </w:r>
      <w:r>
        <w:rPr>
          <w:spacing w:val="-28"/>
        </w:rPr>
        <w:t> </w:t>
      </w:r>
      <w:r>
        <w:rPr/>
        <w:t>along</w:t>
      </w:r>
      <w:r>
        <w:rPr>
          <w:spacing w:val="-28"/>
        </w:rPr>
        <w:t> </w:t>
      </w:r>
      <w:r>
        <w:rPr/>
        <w:t>Bandra</w:t>
      </w:r>
      <w:r>
        <w:rPr>
          <w:spacing w:val="-29"/>
        </w:rPr>
        <w:t> </w:t>
      </w:r>
      <w:r>
        <w:rPr/>
        <w:t>Kurla</w:t>
      </w:r>
      <w:r>
        <w:rPr>
          <w:spacing w:val="-29"/>
        </w:rPr>
        <w:t> </w:t>
      </w:r>
      <w:r>
        <w:rPr/>
        <w:t>Complex Road, Bandra Kurla Complex,</w:t>
      </w:r>
      <w:r>
        <w:rPr>
          <w:spacing w:val="-10"/>
        </w:rPr>
        <w:t> </w:t>
      </w:r>
      <w:r>
        <w:rPr/>
        <w:t>Mumbai.</w:t>
      </w:r>
    </w:p>
    <w:p>
      <w:pPr>
        <w:spacing w:after="0" w:line="324" w:lineRule="auto"/>
        <w:jc w:val="both"/>
        <w:sectPr>
          <w:pgSz w:w="11910" w:h="16840"/>
          <w:pgMar w:header="720" w:footer="933" w:top="1660" w:bottom="1120" w:left="600" w:right="520"/>
        </w:sectPr>
      </w:pPr>
    </w:p>
    <w:p>
      <w:pPr>
        <w:pStyle w:val="BodyText"/>
        <w:spacing w:before="7"/>
        <w:rPr>
          <w:sz w:val="9"/>
        </w:rPr>
      </w:pPr>
    </w:p>
    <w:p>
      <w:pPr>
        <w:pStyle w:val="BodyText"/>
        <w:spacing w:line="321" w:lineRule="auto" w:before="106"/>
        <w:ind w:left="660" w:right="191"/>
        <w:jc w:val="both"/>
      </w:pPr>
      <w:r>
        <w:rPr/>
        <w:t>Bandra Kurla Complex (“BKC”), part of Mumbai’s Alternate Business District (ABD) sub-market has emerged as one of the most important office destinations in Mumbai due to the presence of major financial</w:t>
      </w:r>
      <w:r>
        <w:rPr>
          <w:spacing w:val="-21"/>
        </w:rPr>
        <w:t> </w:t>
      </w:r>
      <w:r>
        <w:rPr/>
        <w:t>institutions</w:t>
      </w:r>
      <w:r>
        <w:rPr>
          <w:spacing w:val="-20"/>
        </w:rPr>
        <w:t> </w:t>
      </w:r>
      <w:r>
        <w:rPr/>
        <w:t>as</w:t>
      </w:r>
      <w:r>
        <w:rPr>
          <w:spacing w:val="-21"/>
        </w:rPr>
        <w:t> </w:t>
      </w:r>
      <w:r>
        <w:rPr/>
        <w:t>well</w:t>
      </w:r>
      <w:r>
        <w:rPr>
          <w:spacing w:val="-21"/>
        </w:rPr>
        <w:t> </w:t>
      </w:r>
      <w:r>
        <w:rPr/>
        <w:t>as</w:t>
      </w:r>
      <w:r>
        <w:rPr>
          <w:spacing w:val="-20"/>
        </w:rPr>
        <w:t> </w:t>
      </w:r>
      <w:r>
        <w:rPr/>
        <w:t>other</w:t>
      </w:r>
      <w:r>
        <w:rPr>
          <w:spacing w:val="-20"/>
        </w:rPr>
        <w:t> </w:t>
      </w:r>
      <w:r>
        <w:rPr/>
        <w:t>large</w:t>
      </w:r>
      <w:r>
        <w:rPr>
          <w:spacing w:val="-21"/>
        </w:rPr>
        <w:t> </w:t>
      </w:r>
      <w:r>
        <w:rPr/>
        <w:t>corporates</w:t>
      </w:r>
      <w:r>
        <w:rPr>
          <w:spacing w:val="-21"/>
        </w:rPr>
        <w:t> </w:t>
      </w:r>
      <w:r>
        <w:rPr/>
        <w:t>(such</w:t>
      </w:r>
      <w:r>
        <w:rPr>
          <w:spacing w:val="-21"/>
        </w:rPr>
        <w:t> </w:t>
      </w:r>
      <w:r>
        <w:rPr/>
        <w:t>as</w:t>
      </w:r>
      <w:r>
        <w:rPr>
          <w:spacing w:val="-19"/>
        </w:rPr>
        <w:t> </w:t>
      </w:r>
      <w:r>
        <w:rPr/>
        <w:t>pharmaceutical</w:t>
      </w:r>
      <w:r>
        <w:rPr>
          <w:spacing w:val="-21"/>
        </w:rPr>
        <w:t> </w:t>
      </w:r>
      <w:r>
        <w:rPr/>
        <w:t>companies</w:t>
      </w:r>
      <w:r>
        <w:rPr>
          <w:spacing w:val="-20"/>
        </w:rPr>
        <w:t> </w:t>
      </w:r>
      <w:r>
        <w:rPr/>
        <w:t>&amp;</w:t>
      </w:r>
      <w:r>
        <w:rPr>
          <w:spacing w:val="-21"/>
        </w:rPr>
        <w:t> </w:t>
      </w:r>
      <w:r>
        <w:rPr/>
        <w:t>consulting firms)</w:t>
      </w:r>
      <w:r>
        <w:rPr>
          <w:spacing w:val="-20"/>
        </w:rPr>
        <w:t> </w:t>
      </w:r>
      <w:r>
        <w:rPr/>
        <w:t>and</w:t>
      </w:r>
      <w:r>
        <w:rPr>
          <w:spacing w:val="-22"/>
        </w:rPr>
        <w:t> </w:t>
      </w:r>
      <w:r>
        <w:rPr/>
        <w:t>government</w:t>
      </w:r>
      <w:r>
        <w:rPr>
          <w:spacing w:val="-20"/>
        </w:rPr>
        <w:t> </w:t>
      </w:r>
      <w:r>
        <w:rPr/>
        <w:t>entities.</w:t>
      </w:r>
      <w:r>
        <w:rPr>
          <w:spacing w:val="-20"/>
        </w:rPr>
        <w:t> </w:t>
      </w:r>
      <w:r>
        <w:rPr/>
        <w:t>BKC</w:t>
      </w:r>
      <w:r>
        <w:rPr>
          <w:spacing w:val="-20"/>
        </w:rPr>
        <w:t> </w:t>
      </w:r>
      <w:r>
        <w:rPr/>
        <w:t>is</w:t>
      </w:r>
      <w:r>
        <w:rPr>
          <w:spacing w:val="-22"/>
        </w:rPr>
        <w:t> </w:t>
      </w:r>
      <w:r>
        <w:rPr/>
        <w:t>well-connected</w:t>
      </w:r>
      <w:r>
        <w:rPr>
          <w:spacing w:val="-19"/>
        </w:rPr>
        <w:t> </w:t>
      </w:r>
      <w:r>
        <w:rPr/>
        <w:t>to</w:t>
      </w:r>
      <w:r>
        <w:rPr>
          <w:spacing w:val="-20"/>
        </w:rPr>
        <w:t> </w:t>
      </w:r>
      <w:r>
        <w:rPr/>
        <w:t>the</w:t>
      </w:r>
      <w:r>
        <w:rPr>
          <w:spacing w:val="-21"/>
        </w:rPr>
        <w:t> </w:t>
      </w:r>
      <w:r>
        <w:rPr/>
        <w:t>rest</w:t>
      </w:r>
      <w:r>
        <w:rPr>
          <w:spacing w:val="-19"/>
        </w:rPr>
        <w:t> </w:t>
      </w:r>
      <w:r>
        <w:rPr/>
        <w:t>of</w:t>
      </w:r>
      <w:r>
        <w:rPr>
          <w:spacing w:val="-21"/>
        </w:rPr>
        <w:t> </w:t>
      </w:r>
      <w:r>
        <w:rPr/>
        <w:t>the</w:t>
      </w:r>
      <w:r>
        <w:rPr>
          <w:spacing w:val="-21"/>
        </w:rPr>
        <w:t> </w:t>
      </w:r>
      <w:r>
        <w:rPr/>
        <w:t>city</w:t>
      </w:r>
      <w:r>
        <w:rPr>
          <w:spacing w:val="-19"/>
        </w:rPr>
        <w:t> </w:t>
      </w:r>
      <w:r>
        <w:rPr/>
        <w:t>via</w:t>
      </w:r>
      <w:r>
        <w:rPr>
          <w:spacing w:val="-21"/>
        </w:rPr>
        <w:t> </w:t>
      </w:r>
      <w:r>
        <w:rPr/>
        <w:t>road</w:t>
      </w:r>
      <w:r>
        <w:rPr>
          <w:spacing w:val="-20"/>
        </w:rPr>
        <w:t> </w:t>
      </w:r>
      <w:r>
        <w:rPr/>
        <w:t>and</w:t>
      </w:r>
      <w:r>
        <w:rPr>
          <w:spacing w:val="-20"/>
        </w:rPr>
        <w:t> </w:t>
      </w:r>
      <w:r>
        <w:rPr/>
        <w:t>rail.</w:t>
      </w:r>
      <w:r>
        <w:rPr>
          <w:spacing w:val="-20"/>
        </w:rPr>
        <w:t> </w:t>
      </w:r>
      <w:r>
        <w:rPr/>
        <w:t>The</w:t>
      </w:r>
      <w:r>
        <w:rPr>
          <w:spacing w:val="-21"/>
        </w:rPr>
        <w:t> </w:t>
      </w:r>
      <w:r>
        <w:rPr/>
        <w:t>sub- market</w:t>
      </w:r>
      <w:r>
        <w:rPr>
          <w:spacing w:val="-17"/>
        </w:rPr>
        <w:t> </w:t>
      </w:r>
      <w:r>
        <w:rPr/>
        <w:t>is</w:t>
      </w:r>
      <w:r>
        <w:rPr>
          <w:spacing w:val="-17"/>
        </w:rPr>
        <w:t> </w:t>
      </w:r>
      <w:r>
        <w:rPr/>
        <w:t>well</w:t>
      </w:r>
      <w:r>
        <w:rPr>
          <w:spacing w:val="-17"/>
        </w:rPr>
        <w:t> </w:t>
      </w:r>
      <w:r>
        <w:rPr/>
        <w:t>connected</w:t>
      </w:r>
      <w:r>
        <w:rPr>
          <w:spacing w:val="-15"/>
        </w:rPr>
        <w:t> </w:t>
      </w:r>
      <w:r>
        <w:rPr/>
        <w:t>to</w:t>
      </w:r>
      <w:r>
        <w:rPr>
          <w:spacing w:val="-17"/>
        </w:rPr>
        <w:t> </w:t>
      </w:r>
      <w:r>
        <w:rPr/>
        <w:t>the</w:t>
      </w:r>
      <w:r>
        <w:rPr>
          <w:spacing w:val="-18"/>
        </w:rPr>
        <w:t> </w:t>
      </w:r>
      <w:r>
        <w:rPr/>
        <w:t>residential</w:t>
      </w:r>
      <w:r>
        <w:rPr>
          <w:spacing w:val="-17"/>
        </w:rPr>
        <w:t> </w:t>
      </w:r>
      <w:r>
        <w:rPr/>
        <w:t>suburbs</w:t>
      </w:r>
      <w:r>
        <w:rPr>
          <w:spacing w:val="-18"/>
        </w:rPr>
        <w:t> </w:t>
      </w:r>
      <w:r>
        <w:rPr/>
        <w:t>and</w:t>
      </w:r>
      <w:r>
        <w:rPr>
          <w:spacing w:val="-17"/>
        </w:rPr>
        <w:t> </w:t>
      </w:r>
      <w:r>
        <w:rPr/>
        <w:t>other</w:t>
      </w:r>
      <w:r>
        <w:rPr>
          <w:spacing w:val="-17"/>
        </w:rPr>
        <w:t> </w:t>
      </w:r>
      <w:r>
        <w:rPr/>
        <w:t>commercial</w:t>
      </w:r>
      <w:r>
        <w:rPr>
          <w:spacing w:val="-18"/>
        </w:rPr>
        <w:t> </w:t>
      </w:r>
      <w:r>
        <w:rPr/>
        <w:t>hubs</w:t>
      </w:r>
      <w:r>
        <w:rPr>
          <w:spacing w:val="-16"/>
        </w:rPr>
        <w:t> </w:t>
      </w:r>
      <w:r>
        <w:rPr/>
        <w:t>of</w:t>
      </w:r>
      <w:r>
        <w:rPr>
          <w:spacing w:val="-16"/>
        </w:rPr>
        <w:t> </w:t>
      </w:r>
      <w:r>
        <w:rPr/>
        <w:t>Mumbai</w:t>
      </w:r>
      <w:r>
        <w:rPr>
          <w:spacing w:val="-18"/>
        </w:rPr>
        <w:t> </w:t>
      </w:r>
      <w:r>
        <w:rPr/>
        <w:t>through</w:t>
      </w:r>
      <w:r>
        <w:rPr>
          <w:spacing w:val="-17"/>
        </w:rPr>
        <w:t> </w:t>
      </w:r>
      <w:r>
        <w:rPr/>
        <w:t>the </w:t>
      </w:r>
      <w:r>
        <w:rPr>
          <w:w w:val="95"/>
        </w:rPr>
        <w:t>Western</w:t>
      </w:r>
      <w:r>
        <w:rPr>
          <w:spacing w:val="-17"/>
          <w:w w:val="95"/>
        </w:rPr>
        <w:t> </w:t>
      </w:r>
      <w:r>
        <w:rPr>
          <w:w w:val="95"/>
        </w:rPr>
        <w:t>and</w:t>
      </w:r>
      <w:r>
        <w:rPr>
          <w:spacing w:val="-16"/>
          <w:w w:val="95"/>
        </w:rPr>
        <w:t> </w:t>
      </w:r>
      <w:r>
        <w:rPr>
          <w:w w:val="95"/>
        </w:rPr>
        <w:t>Eastern</w:t>
      </w:r>
      <w:r>
        <w:rPr>
          <w:spacing w:val="-17"/>
          <w:w w:val="95"/>
        </w:rPr>
        <w:t> </w:t>
      </w:r>
      <w:r>
        <w:rPr>
          <w:w w:val="95"/>
        </w:rPr>
        <w:t>Express</w:t>
      </w:r>
      <w:r>
        <w:rPr>
          <w:spacing w:val="-15"/>
          <w:w w:val="95"/>
        </w:rPr>
        <w:t> </w:t>
      </w:r>
      <w:r>
        <w:rPr>
          <w:w w:val="95"/>
        </w:rPr>
        <w:t>highways.</w:t>
      </w:r>
      <w:r>
        <w:rPr>
          <w:spacing w:val="-17"/>
          <w:w w:val="95"/>
        </w:rPr>
        <w:t> </w:t>
      </w:r>
      <w:r>
        <w:rPr>
          <w:w w:val="95"/>
        </w:rPr>
        <w:t>Further,</w:t>
      </w:r>
      <w:r>
        <w:rPr>
          <w:spacing w:val="-14"/>
          <w:w w:val="95"/>
        </w:rPr>
        <w:t> </w:t>
      </w:r>
      <w:r>
        <w:rPr>
          <w:w w:val="95"/>
        </w:rPr>
        <w:t>there</w:t>
      </w:r>
      <w:r>
        <w:rPr>
          <w:spacing w:val="-17"/>
          <w:w w:val="95"/>
        </w:rPr>
        <w:t> </w:t>
      </w:r>
      <w:r>
        <w:rPr>
          <w:w w:val="95"/>
        </w:rPr>
        <w:t>are</w:t>
      </w:r>
      <w:r>
        <w:rPr>
          <w:spacing w:val="-15"/>
          <w:w w:val="95"/>
        </w:rPr>
        <w:t> </w:t>
      </w:r>
      <w:r>
        <w:rPr>
          <w:w w:val="95"/>
        </w:rPr>
        <w:t>residential</w:t>
      </w:r>
      <w:r>
        <w:rPr>
          <w:spacing w:val="-16"/>
          <w:w w:val="95"/>
        </w:rPr>
        <w:t> </w:t>
      </w:r>
      <w:r>
        <w:rPr>
          <w:w w:val="95"/>
        </w:rPr>
        <w:t>pockets</w:t>
      </w:r>
      <w:r>
        <w:rPr>
          <w:spacing w:val="-15"/>
          <w:w w:val="95"/>
        </w:rPr>
        <w:t> </w:t>
      </w:r>
      <w:r>
        <w:rPr>
          <w:w w:val="95"/>
        </w:rPr>
        <w:t>in</w:t>
      </w:r>
      <w:r>
        <w:rPr>
          <w:spacing w:val="-18"/>
          <w:w w:val="95"/>
        </w:rPr>
        <w:t> </w:t>
      </w:r>
      <w:r>
        <w:rPr>
          <w:w w:val="95"/>
        </w:rPr>
        <w:t>the</w:t>
      </w:r>
      <w:r>
        <w:rPr>
          <w:spacing w:val="-17"/>
          <w:w w:val="95"/>
        </w:rPr>
        <w:t> </w:t>
      </w:r>
      <w:r>
        <w:rPr>
          <w:w w:val="95"/>
        </w:rPr>
        <w:t>locality</w:t>
      </w:r>
      <w:r>
        <w:rPr>
          <w:spacing w:val="-15"/>
          <w:w w:val="95"/>
        </w:rPr>
        <w:t> </w:t>
      </w:r>
      <w:r>
        <w:rPr>
          <w:w w:val="95"/>
        </w:rPr>
        <w:t>of</w:t>
      </w:r>
      <w:r>
        <w:rPr>
          <w:spacing w:val="-16"/>
          <w:w w:val="95"/>
        </w:rPr>
        <w:t> </w:t>
      </w:r>
      <w:r>
        <w:rPr>
          <w:w w:val="95"/>
        </w:rPr>
        <w:t>the</w:t>
      </w:r>
      <w:r>
        <w:rPr>
          <w:spacing w:val="-17"/>
          <w:w w:val="95"/>
        </w:rPr>
        <w:t> </w:t>
      </w:r>
      <w:r>
        <w:rPr>
          <w:w w:val="95"/>
        </w:rPr>
        <w:t>complex </w:t>
      </w:r>
      <w:r>
        <w:rPr/>
        <w:t>as</w:t>
      </w:r>
      <w:r>
        <w:rPr>
          <w:spacing w:val="-10"/>
        </w:rPr>
        <w:t> </w:t>
      </w:r>
      <w:r>
        <w:rPr/>
        <w:t>well</w:t>
      </w:r>
      <w:r>
        <w:rPr>
          <w:spacing w:val="-12"/>
        </w:rPr>
        <w:t> </w:t>
      </w:r>
      <w:r>
        <w:rPr/>
        <w:t>as</w:t>
      </w:r>
      <w:r>
        <w:rPr>
          <w:spacing w:val="-9"/>
        </w:rPr>
        <w:t> </w:t>
      </w:r>
      <w:r>
        <w:rPr/>
        <w:t>established</w:t>
      </w:r>
      <w:r>
        <w:rPr>
          <w:spacing w:val="-10"/>
        </w:rPr>
        <w:t> </w:t>
      </w:r>
      <w:r>
        <w:rPr/>
        <w:t>social</w:t>
      </w:r>
      <w:r>
        <w:rPr>
          <w:spacing w:val="-12"/>
        </w:rPr>
        <w:t> </w:t>
      </w:r>
      <w:r>
        <w:rPr/>
        <w:t>and</w:t>
      </w:r>
      <w:r>
        <w:rPr>
          <w:spacing w:val="-10"/>
        </w:rPr>
        <w:t> </w:t>
      </w:r>
      <w:r>
        <w:rPr/>
        <w:t>physical</w:t>
      </w:r>
      <w:r>
        <w:rPr>
          <w:spacing w:val="-12"/>
        </w:rPr>
        <w:t> </w:t>
      </w:r>
      <w:r>
        <w:rPr/>
        <w:t>infrastructure</w:t>
      </w:r>
      <w:r>
        <w:rPr>
          <w:spacing w:val="-10"/>
        </w:rPr>
        <w:t> </w:t>
      </w:r>
      <w:r>
        <w:rPr/>
        <w:t>including</w:t>
      </w:r>
      <w:r>
        <w:rPr>
          <w:spacing w:val="-10"/>
        </w:rPr>
        <w:t> </w:t>
      </w:r>
      <w:r>
        <w:rPr/>
        <w:t>hotels</w:t>
      </w:r>
      <w:r>
        <w:rPr>
          <w:spacing w:val="-10"/>
        </w:rPr>
        <w:t> </w:t>
      </w:r>
      <w:r>
        <w:rPr/>
        <w:t>and</w:t>
      </w:r>
      <w:r>
        <w:rPr>
          <w:spacing w:val="-12"/>
        </w:rPr>
        <w:t> </w:t>
      </w:r>
      <w:r>
        <w:rPr/>
        <w:t>hospitals.</w:t>
      </w:r>
    </w:p>
    <w:p>
      <w:pPr>
        <w:pStyle w:val="BodyText"/>
        <w:rPr>
          <w:sz w:val="21"/>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43" w:id="280"/>
      <w:bookmarkEnd w:id="280"/>
      <w:r>
        <w:rPr/>
      </w:r>
      <w:bookmarkStart w:name="_bookmark143" w:id="281"/>
      <w:bookmarkEnd w:id="281"/>
      <w:r>
        <w:rPr>
          <w:color w:val="1F664D"/>
          <w:w w:val="105"/>
          <w:sz w:val="22"/>
        </w:rPr>
        <w:t>De</w:t>
      </w:r>
      <w:r>
        <w:rPr>
          <w:color w:val="1F664D"/>
          <w:w w:val="105"/>
          <w:sz w:val="22"/>
        </w:rPr>
        <w:t>mand and Supply</w:t>
      </w:r>
      <w:r>
        <w:rPr>
          <w:color w:val="1F664D"/>
          <w:spacing w:val="-17"/>
          <w:w w:val="105"/>
          <w:sz w:val="22"/>
        </w:rPr>
        <w:t> </w:t>
      </w:r>
      <w:r>
        <w:rPr>
          <w:color w:val="1F664D"/>
          <w:w w:val="105"/>
          <w:sz w:val="22"/>
        </w:rPr>
        <w:t>Dynamics</w:t>
      </w:r>
    </w:p>
    <w:p>
      <w:pPr>
        <w:pStyle w:val="BodyText"/>
        <w:spacing w:before="7"/>
        <w:rPr>
          <w:sz w:val="25"/>
        </w:rPr>
      </w:pPr>
    </w:p>
    <w:p>
      <w:pPr>
        <w:pStyle w:val="ListParagraph"/>
        <w:numPr>
          <w:ilvl w:val="3"/>
          <w:numId w:val="46"/>
        </w:numPr>
        <w:tabs>
          <w:tab w:pos="985" w:val="left" w:leader="none"/>
        </w:tabs>
        <w:spacing w:line="240" w:lineRule="auto" w:before="0" w:after="0"/>
        <w:ind w:left="984" w:right="0" w:hanging="865"/>
        <w:jc w:val="left"/>
        <w:rPr>
          <w:i/>
          <w:sz w:val="20"/>
        </w:rPr>
      </w:pPr>
      <w:r>
        <w:rPr>
          <w:i/>
          <w:color w:val="008000"/>
          <w:sz w:val="20"/>
        </w:rPr>
        <w:t>Demand,</w:t>
      </w:r>
      <w:r>
        <w:rPr>
          <w:i/>
          <w:color w:val="008000"/>
          <w:spacing w:val="-10"/>
          <w:sz w:val="20"/>
        </w:rPr>
        <w:t> </w:t>
      </w:r>
      <w:r>
        <w:rPr>
          <w:i/>
          <w:color w:val="008000"/>
          <w:sz w:val="20"/>
        </w:rPr>
        <w:t>Supply</w:t>
      </w:r>
      <w:r>
        <w:rPr>
          <w:i/>
          <w:color w:val="008000"/>
          <w:spacing w:val="-9"/>
          <w:sz w:val="20"/>
        </w:rPr>
        <w:t> </w:t>
      </w:r>
      <w:r>
        <w:rPr>
          <w:i/>
          <w:color w:val="008000"/>
          <w:sz w:val="20"/>
        </w:rPr>
        <w:t>and</w:t>
      </w:r>
      <w:r>
        <w:rPr>
          <w:i/>
          <w:color w:val="008000"/>
          <w:spacing w:val="-10"/>
          <w:sz w:val="20"/>
        </w:rPr>
        <w:t> </w:t>
      </w:r>
      <w:r>
        <w:rPr>
          <w:i/>
          <w:color w:val="008000"/>
          <w:sz w:val="20"/>
        </w:rPr>
        <w:t>Vacancy</w:t>
      </w:r>
      <w:r>
        <w:rPr>
          <w:i/>
          <w:color w:val="008000"/>
          <w:spacing w:val="-9"/>
          <w:sz w:val="20"/>
        </w:rPr>
        <w:t> </w:t>
      </w:r>
      <w:r>
        <w:rPr>
          <w:i/>
          <w:color w:val="008000"/>
          <w:sz w:val="20"/>
        </w:rPr>
        <w:t>Trends</w:t>
      </w:r>
      <w:r>
        <w:rPr>
          <w:i/>
          <w:color w:val="008000"/>
          <w:spacing w:val="-8"/>
          <w:sz w:val="20"/>
        </w:rPr>
        <w:t> </w:t>
      </w:r>
      <w:r>
        <w:rPr>
          <w:i/>
          <w:color w:val="008000"/>
          <w:w w:val="105"/>
          <w:sz w:val="20"/>
        </w:rPr>
        <w:t>–</w:t>
      </w:r>
      <w:r>
        <w:rPr>
          <w:i/>
          <w:color w:val="008000"/>
          <w:spacing w:val="-12"/>
          <w:w w:val="105"/>
          <w:sz w:val="20"/>
        </w:rPr>
        <w:t> </w:t>
      </w:r>
      <w:r>
        <w:rPr>
          <w:i/>
          <w:color w:val="008000"/>
          <w:sz w:val="20"/>
        </w:rPr>
        <w:t>MMR</w:t>
      </w:r>
      <w:r>
        <w:rPr>
          <w:i/>
          <w:color w:val="008000"/>
          <w:spacing w:val="-10"/>
          <w:sz w:val="20"/>
        </w:rPr>
        <w:t> </w:t>
      </w:r>
      <w:r>
        <w:rPr>
          <w:i/>
          <w:color w:val="008000"/>
          <w:sz w:val="20"/>
        </w:rPr>
        <w:t>and</w:t>
      </w:r>
      <w:r>
        <w:rPr>
          <w:i/>
          <w:color w:val="008000"/>
          <w:spacing w:val="-10"/>
          <w:sz w:val="20"/>
        </w:rPr>
        <w:t> </w:t>
      </w:r>
      <w:r>
        <w:rPr>
          <w:i/>
          <w:color w:val="008000"/>
          <w:sz w:val="20"/>
        </w:rPr>
        <w:t>Alternate</w:t>
      </w:r>
      <w:r>
        <w:rPr>
          <w:i/>
          <w:color w:val="008000"/>
          <w:spacing w:val="-9"/>
          <w:sz w:val="20"/>
        </w:rPr>
        <w:t> </w:t>
      </w:r>
      <w:r>
        <w:rPr>
          <w:i/>
          <w:color w:val="008000"/>
          <w:sz w:val="20"/>
        </w:rPr>
        <w:t>Business</w:t>
      </w:r>
      <w:r>
        <w:rPr>
          <w:i/>
          <w:color w:val="008000"/>
          <w:spacing w:val="-10"/>
          <w:sz w:val="20"/>
        </w:rPr>
        <w:t> </w:t>
      </w:r>
      <w:r>
        <w:rPr>
          <w:i/>
          <w:color w:val="008000"/>
          <w:sz w:val="20"/>
        </w:rPr>
        <w:t>District</w:t>
      </w:r>
      <w:r>
        <w:rPr>
          <w:i/>
          <w:color w:val="008000"/>
          <w:spacing w:val="-7"/>
          <w:sz w:val="20"/>
        </w:rPr>
        <w:t> </w:t>
      </w:r>
      <w:r>
        <w:rPr>
          <w:i/>
          <w:color w:val="008000"/>
          <w:sz w:val="20"/>
        </w:rPr>
        <w:t>(ABD)</w:t>
      </w:r>
      <w:r>
        <w:rPr>
          <w:i/>
          <w:color w:val="008000"/>
          <w:spacing w:val="-9"/>
          <w:sz w:val="20"/>
        </w:rPr>
        <w:t> </w:t>
      </w:r>
      <w:r>
        <w:rPr>
          <w:i/>
          <w:color w:val="008000"/>
          <w:sz w:val="20"/>
        </w:rPr>
        <w:t>Sub-market</w:t>
      </w:r>
    </w:p>
    <w:p>
      <w:pPr>
        <w:pStyle w:val="BodyText"/>
        <w:rPr>
          <w:i/>
        </w:rPr>
      </w:pPr>
    </w:p>
    <w:p>
      <w:pPr>
        <w:pStyle w:val="BodyText"/>
        <w:spacing w:line="319" w:lineRule="auto"/>
        <w:ind w:left="667" w:right="194"/>
        <w:jc w:val="both"/>
      </w:pPr>
      <w:r>
        <w:rPr/>
        <w:t>Total</w:t>
      </w:r>
      <w:r>
        <w:rPr>
          <w:spacing w:val="-25"/>
        </w:rPr>
        <w:t> </w:t>
      </w:r>
      <w:r>
        <w:rPr/>
        <w:t>completed</w:t>
      </w:r>
      <w:r>
        <w:rPr>
          <w:spacing w:val="-24"/>
        </w:rPr>
        <w:t> </w:t>
      </w:r>
      <w:r>
        <w:rPr/>
        <w:t>stock</w:t>
      </w:r>
      <w:r>
        <w:rPr>
          <w:spacing w:val="-25"/>
        </w:rPr>
        <w:t> </w:t>
      </w:r>
      <w:r>
        <w:rPr/>
        <w:t>in</w:t>
      </w:r>
      <w:r>
        <w:rPr>
          <w:spacing w:val="-24"/>
        </w:rPr>
        <w:t> </w:t>
      </w:r>
      <w:r>
        <w:rPr/>
        <w:t>Mumbai</w:t>
      </w:r>
      <w:r>
        <w:rPr>
          <w:spacing w:val="-25"/>
        </w:rPr>
        <w:t> </w:t>
      </w:r>
      <w:r>
        <w:rPr/>
        <w:t>Metropolitan</w:t>
      </w:r>
      <w:r>
        <w:rPr>
          <w:spacing w:val="-24"/>
        </w:rPr>
        <w:t> </w:t>
      </w:r>
      <w:r>
        <w:rPr/>
        <w:t>Region</w:t>
      </w:r>
      <w:r>
        <w:rPr>
          <w:spacing w:val="-25"/>
        </w:rPr>
        <w:t> </w:t>
      </w:r>
      <w:r>
        <w:rPr/>
        <w:t>(MMR)</w:t>
      </w:r>
      <w:r>
        <w:rPr>
          <w:spacing w:val="-24"/>
        </w:rPr>
        <w:t> </w:t>
      </w:r>
      <w:r>
        <w:rPr/>
        <w:t>and</w:t>
      </w:r>
      <w:r>
        <w:rPr>
          <w:spacing w:val="-26"/>
        </w:rPr>
        <w:t> </w:t>
      </w:r>
      <w:r>
        <w:rPr/>
        <w:t>Alternate</w:t>
      </w:r>
      <w:r>
        <w:rPr>
          <w:spacing w:val="-25"/>
        </w:rPr>
        <w:t> </w:t>
      </w:r>
      <w:r>
        <w:rPr/>
        <w:t>Business</w:t>
      </w:r>
      <w:r>
        <w:rPr>
          <w:spacing w:val="-25"/>
        </w:rPr>
        <w:t> </w:t>
      </w:r>
      <w:r>
        <w:rPr/>
        <w:t>District</w:t>
      </w:r>
      <w:r>
        <w:rPr>
          <w:spacing w:val="-24"/>
        </w:rPr>
        <w:t> </w:t>
      </w:r>
      <w:r>
        <w:rPr/>
        <w:t>(ABD)</w:t>
      </w:r>
      <w:r>
        <w:rPr>
          <w:spacing w:val="-22"/>
        </w:rPr>
        <w:t> </w:t>
      </w:r>
      <w:r>
        <w:rPr/>
        <w:t>as</w:t>
      </w:r>
      <w:r>
        <w:rPr>
          <w:spacing w:val="-24"/>
        </w:rPr>
        <w:t> </w:t>
      </w:r>
      <w:r>
        <w:rPr/>
        <w:t>of Q4, 2019 is 122.49 msf and 13.41 msf</w:t>
      </w:r>
      <w:r>
        <w:rPr>
          <w:spacing w:val="-14"/>
        </w:rPr>
        <w:t> </w:t>
      </w:r>
      <w:r>
        <w:rPr/>
        <w:t>respectively.</w:t>
      </w:r>
    </w:p>
    <w:p>
      <w:pPr>
        <w:pStyle w:val="BodyText"/>
        <w:spacing w:before="4"/>
        <w:rPr>
          <w:sz w:val="10"/>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44"/>
        <w:gridCol w:w="3058"/>
        <w:gridCol w:w="3069"/>
      </w:tblGrid>
      <w:tr>
        <w:trPr>
          <w:trHeight w:val="457" w:hRule="atLeast"/>
        </w:trPr>
        <w:tc>
          <w:tcPr>
            <w:tcW w:w="4244" w:type="dxa"/>
            <w:tcBorders>
              <w:top w:val="single" w:sz="12" w:space="0" w:color="1F6B16"/>
            </w:tcBorders>
            <w:shd w:val="clear" w:color="auto" w:fill="006A4D"/>
          </w:tcPr>
          <w:p>
            <w:pPr>
              <w:pStyle w:val="TableParagraph"/>
              <w:spacing w:before="125"/>
              <w:ind w:left="22" w:right="108"/>
              <w:rPr>
                <w:b/>
                <w:sz w:val="18"/>
              </w:rPr>
            </w:pPr>
            <w:r>
              <w:rPr>
                <w:b/>
                <w:color w:val="FFFFFF"/>
                <w:w w:val="105"/>
                <w:sz w:val="18"/>
              </w:rPr>
              <w:t>Particular</w:t>
            </w:r>
          </w:p>
        </w:tc>
        <w:tc>
          <w:tcPr>
            <w:tcW w:w="3058" w:type="dxa"/>
            <w:tcBorders>
              <w:top w:val="single" w:sz="12" w:space="0" w:color="1F6B16"/>
              <w:bottom w:val="single" w:sz="6" w:space="0" w:color="69BD28"/>
            </w:tcBorders>
            <w:shd w:val="clear" w:color="auto" w:fill="006A4D"/>
          </w:tcPr>
          <w:p>
            <w:pPr>
              <w:pStyle w:val="TableParagraph"/>
              <w:spacing w:before="125"/>
              <w:ind w:left="191" w:right="313"/>
              <w:rPr>
                <w:b/>
                <w:sz w:val="18"/>
              </w:rPr>
            </w:pPr>
            <w:r>
              <w:rPr>
                <w:b/>
                <w:color w:val="FFFFFF"/>
                <w:w w:val="120"/>
                <w:sz w:val="18"/>
              </w:rPr>
              <w:t>MMR</w:t>
            </w:r>
          </w:p>
        </w:tc>
        <w:tc>
          <w:tcPr>
            <w:tcW w:w="3069" w:type="dxa"/>
            <w:tcBorders>
              <w:top w:val="single" w:sz="12" w:space="0" w:color="1F6B16"/>
              <w:bottom w:val="single" w:sz="6" w:space="0" w:color="69BD28"/>
            </w:tcBorders>
            <w:shd w:val="clear" w:color="auto" w:fill="006A4D"/>
          </w:tcPr>
          <w:p>
            <w:pPr>
              <w:pStyle w:val="TableParagraph"/>
              <w:spacing w:before="125"/>
              <w:ind w:left="900" w:right="930"/>
              <w:rPr>
                <w:b/>
                <w:sz w:val="18"/>
              </w:rPr>
            </w:pPr>
            <w:r>
              <w:rPr>
                <w:b/>
                <w:color w:val="FFFFFF"/>
                <w:w w:val="115"/>
                <w:sz w:val="18"/>
              </w:rPr>
              <w:t>ABD</w:t>
            </w:r>
          </w:p>
        </w:tc>
      </w:tr>
      <w:tr>
        <w:trPr>
          <w:trHeight w:val="520" w:hRule="atLeast"/>
        </w:trPr>
        <w:tc>
          <w:tcPr>
            <w:tcW w:w="4244" w:type="dxa"/>
            <w:vMerge w:val="restart"/>
            <w:shd w:val="clear" w:color="auto" w:fill="69BD28"/>
          </w:tcPr>
          <w:p>
            <w:pPr>
              <w:pStyle w:val="TableParagraph"/>
              <w:spacing w:line="619" w:lineRule="auto" w:before="123"/>
              <w:ind w:left="185" w:right="108"/>
              <w:rPr>
                <w:sz w:val="18"/>
              </w:rPr>
            </w:pPr>
            <w:r>
              <w:rPr>
                <w:color w:val="FFFFFF"/>
                <w:sz w:val="18"/>
              </w:rPr>
              <w:t>Cumulative completed stock (Q4 2019) </w:t>
            </w:r>
            <w:r>
              <w:rPr>
                <w:color w:val="FFFFFF"/>
                <w:w w:val="105"/>
                <w:sz w:val="18"/>
              </w:rPr>
              <w:t>– </w:t>
            </w:r>
            <w:r>
              <w:rPr>
                <w:color w:val="FFFFFF"/>
                <w:sz w:val="18"/>
              </w:rPr>
              <w:t>(in msf) Current occupied stock (Q4 2019) (in msf) Current Vacancy (Q4 2019)</w:t>
            </w:r>
          </w:p>
          <w:p>
            <w:pPr>
              <w:pStyle w:val="TableParagraph"/>
              <w:spacing w:line="321" w:lineRule="auto" w:before="5"/>
              <w:ind w:left="350" w:right="274"/>
              <w:rPr>
                <w:sz w:val="18"/>
              </w:rPr>
            </w:pPr>
            <w:r>
              <w:rPr>
                <w:color w:val="FFFFFF"/>
                <w:w w:val="105"/>
                <w:sz w:val="18"/>
              </w:rPr>
              <w:t>Average</w:t>
            </w:r>
            <w:r>
              <w:rPr>
                <w:color w:val="FFFFFF"/>
                <w:spacing w:val="-21"/>
                <w:w w:val="105"/>
                <w:sz w:val="18"/>
              </w:rPr>
              <w:t> </w:t>
            </w:r>
            <w:r>
              <w:rPr>
                <w:color w:val="FFFFFF"/>
                <w:w w:val="105"/>
                <w:sz w:val="18"/>
              </w:rPr>
              <w:t>Annual</w:t>
            </w:r>
            <w:r>
              <w:rPr>
                <w:color w:val="FFFFFF"/>
                <w:spacing w:val="-22"/>
                <w:w w:val="105"/>
                <w:sz w:val="18"/>
              </w:rPr>
              <w:t> </w:t>
            </w:r>
            <w:r>
              <w:rPr>
                <w:color w:val="FFFFFF"/>
                <w:w w:val="105"/>
                <w:sz w:val="18"/>
              </w:rPr>
              <w:t>Absorption</w:t>
            </w:r>
            <w:r>
              <w:rPr>
                <w:color w:val="FFFFFF"/>
                <w:spacing w:val="-21"/>
                <w:w w:val="105"/>
                <w:sz w:val="18"/>
              </w:rPr>
              <w:t> </w:t>
            </w:r>
            <w:r>
              <w:rPr>
                <w:color w:val="FFFFFF"/>
                <w:w w:val="105"/>
                <w:sz w:val="18"/>
              </w:rPr>
              <w:t>(2014</w:t>
            </w:r>
            <w:r>
              <w:rPr>
                <w:color w:val="FFFFFF"/>
                <w:spacing w:val="-22"/>
                <w:w w:val="105"/>
                <w:sz w:val="18"/>
              </w:rPr>
              <w:t> </w:t>
            </w:r>
            <w:r>
              <w:rPr>
                <w:color w:val="FFFFFF"/>
                <w:w w:val="105"/>
                <w:sz w:val="18"/>
              </w:rPr>
              <w:t>–</w:t>
            </w:r>
            <w:r>
              <w:rPr>
                <w:color w:val="FFFFFF"/>
                <w:spacing w:val="-21"/>
                <w:w w:val="105"/>
                <w:sz w:val="18"/>
              </w:rPr>
              <w:t> </w:t>
            </w:r>
            <w:r>
              <w:rPr>
                <w:color w:val="FFFFFF"/>
                <w:w w:val="105"/>
                <w:sz w:val="18"/>
              </w:rPr>
              <w:t>2019)</w:t>
            </w:r>
            <w:r>
              <w:rPr>
                <w:color w:val="FFFFFF"/>
                <w:spacing w:val="-21"/>
                <w:w w:val="105"/>
                <w:sz w:val="18"/>
              </w:rPr>
              <w:t> </w:t>
            </w:r>
            <w:r>
              <w:rPr>
                <w:color w:val="FFFFFF"/>
                <w:w w:val="105"/>
                <w:sz w:val="18"/>
              </w:rPr>
              <w:t>(in msf)</w:t>
            </w:r>
          </w:p>
        </w:tc>
        <w:tc>
          <w:tcPr>
            <w:tcW w:w="3058" w:type="dxa"/>
            <w:tcBorders>
              <w:top w:val="single" w:sz="6" w:space="0" w:color="69BD28"/>
              <w:bottom w:val="single" w:sz="6" w:space="0" w:color="69BD28"/>
            </w:tcBorders>
          </w:tcPr>
          <w:p>
            <w:pPr>
              <w:pStyle w:val="TableParagraph"/>
              <w:spacing w:before="123"/>
              <w:ind w:right="928"/>
              <w:jc w:val="right"/>
              <w:rPr>
                <w:sz w:val="18"/>
              </w:rPr>
            </w:pPr>
            <w:r>
              <w:rPr>
                <w:w w:val="105"/>
                <w:sz w:val="18"/>
              </w:rPr>
              <w:t>Approx. 122.49</w:t>
            </w:r>
          </w:p>
        </w:tc>
        <w:tc>
          <w:tcPr>
            <w:tcW w:w="3069" w:type="dxa"/>
            <w:tcBorders>
              <w:top w:val="single" w:sz="6" w:space="0" w:color="69BD28"/>
              <w:bottom w:val="single" w:sz="6" w:space="0" w:color="69BD28"/>
            </w:tcBorders>
          </w:tcPr>
          <w:p>
            <w:pPr>
              <w:pStyle w:val="TableParagraph"/>
              <w:spacing w:before="123"/>
              <w:ind w:left="900" w:right="930"/>
              <w:rPr>
                <w:sz w:val="18"/>
              </w:rPr>
            </w:pPr>
            <w:r>
              <w:rPr>
                <w:sz w:val="18"/>
              </w:rPr>
              <w:t>Approx. 13.41</w:t>
            </w:r>
          </w:p>
        </w:tc>
      </w:tr>
      <w:tr>
        <w:trPr>
          <w:trHeight w:val="525" w:hRule="atLeast"/>
        </w:trPr>
        <w:tc>
          <w:tcPr>
            <w:tcW w:w="4244" w:type="dxa"/>
            <w:vMerge/>
            <w:tcBorders>
              <w:top w:val="nil"/>
            </w:tcBorders>
            <w:shd w:val="clear" w:color="auto" w:fill="69BD28"/>
          </w:tcPr>
          <w:p>
            <w:pPr>
              <w:rPr>
                <w:sz w:val="2"/>
                <w:szCs w:val="2"/>
              </w:rPr>
            </w:pPr>
          </w:p>
        </w:tc>
        <w:tc>
          <w:tcPr>
            <w:tcW w:w="3058" w:type="dxa"/>
            <w:tcBorders>
              <w:top w:val="single" w:sz="6" w:space="0" w:color="69BD28"/>
              <w:bottom w:val="single" w:sz="6" w:space="0" w:color="69BD28"/>
            </w:tcBorders>
          </w:tcPr>
          <w:p>
            <w:pPr>
              <w:pStyle w:val="TableParagraph"/>
              <w:spacing w:before="128"/>
              <w:ind w:right="978"/>
              <w:jc w:val="right"/>
              <w:rPr>
                <w:sz w:val="18"/>
              </w:rPr>
            </w:pPr>
            <w:r>
              <w:rPr>
                <w:sz w:val="18"/>
              </w:rPr>
              <w:t>Approx. 96.81</w:t>
            </w:r>
          </w:p>
        </w:tc>
        <w:tc>
          <w:tcPr>
            <w:tcW w:w="3069" w:type="dxa"/>
            <w:tcBorders>
              <w:top w:val="single" w:sz="6" w:space="0" w:color="69BD28"/>
              <w:bottom w:val="single" w:sz="6" w:space="0" w:color="69BD28"/>
            </w:tcBorders>
          </w:tcPr>
          <w:p>
            <w:pPr>
              <w:pStyle w:val="TableParagraph"/>
              <w:spacing w:before="128"/>
              <w:ind w:left="900" w:right="928"/>
              <w:rPr>
                <w:sz w:val="18"/>
              </w:rPr>
            </w:pPr>
            <w:r>
              <w:rPr>
                <w:sz w:val="18"/>
              </w:rPr>
              <w:t>Approx. 11.16</w:t>
            </w:r>
          </w:p>
        </w:tc>
      </w:tr>
      <w:tr>
        <w:trPr>
          <w:trHeight w:val="525" w:hRule="atLeast"/>
        </w:trPr>
        <w:tc>
          <w:tcPr>
            <w:tcW w:w="4244" w:type="dxa"/>
            <w:vMerge/>
            <w:tcBorders>
              <w:top w:val="nil"/>
            </w:tcBorders>
            <w:shd w:val="clear" w:color="auto" w:fill="69BD28"/>
          </w:tcPr>
          <w:p>
            <w:pPr>
              <w:rPr>
                <w:sz w:val="2"/>
                <w:szCs w:val="2"/>
              </w:rPr>
            </w:pPr>
          </w:p>
        </w:tc>
        <w:tc>
          <w:tcPr>
            <w:tcW w:w="3058" w:type="dxa"/>
            <w:tcBorders>
              <w:top w:val="single" w:sz="6" w:space="0" w:color="69BD28"/>
              <w:bottom w:val="single" w:sz="6" w:space="0" w:color="69BD28"/>
            </w:tcBorders>
          </w:tcPr>
          <w:p>
            <w:pPr>
              <w:pStyle w:val="TableParagraph"/>
              <w:spacing w:before="128"/>
              <w:ind w:right="966"/>
              <w:jc w:val="right"/>
              <w:rPr>
                <w:sz w:val="18"/>
              </w:rPr>
            </w:pPr>
            <w:r>
              <w:rPr>
                <w:w w:val="105"/>
                <w:sz w:val="18"/>
              </w:rPr>
              <w:t>Approx. 21.0%</w:t>
            </w:r>
          </w:p>
        </w:tc>
        <w:tc>
          <w:tcPr>
            <w:tcW w:w="3069" w:type="dxa"/>
            <w:tcBorders>
              <w:top w:val="single" w:sz="6" w:space="0" w:color="69BD28"/>
              <w:bottom w:val="single" w:sz="6" w:space="0" w:color="69BD28"/>
            </w:tcBorders>
          </w:tcPr>
          <w:p>
            <w:pPr>
              <w:pStyle w:val="TableParagraph"/>
              <w:spacing w:before="128"/>
              <w:ind w:left="900" w:right="930"/>
              <w:rPr>
                <w:sz w:val="18"/>
              </w:rPr>
            </w:pPr>
            <w:r>
              <w:rPr>
                <w:w w:val="105"/>
                <w:sz w:val="18"/>
              </w:rPr>
              <w:t>Approx. 16.8%</w:t>
            </w:r>
          </w:p>
        </w:tc>
      </w:tr>
      <w:tr>
        <w:trPr>
          <w:trHeight w:val="808" w:hRule="atLeast"/>
        </w:trPr>
        <w:tc>
          <w:tcPr>
            <w:tcW w:w="4244" w:type="dxa"/>
            <w:vMerge/>
            <w:tcBorders>
              <w:top w:val="nil"/>
            </w:tcBorders>
            <w:shd w:val="clear" w:color="auto" w:fill="69BD28"/>
          </w:tcPr>
          <w:p>
            <w:pPr>
              <w:rPr>
                <w:sz w:val="2"/>
                <w:szCs w:val="2"/>
              </w:rPr>
            </w:pPr>
          </w:p>
        </w:tc>
        <w:tc>
          <w:tcPr>
            <w:tcW w:w="3058" w:type="dxa"/>
            <w:tcBorders>
              <w:top w:val="single" w:sz="6" w:space="0" w:color="69BD28"/>
              <w:bottom w:val="single" w:sz="6" w:space="0" w:color="69BD28"/>
            </w:tcBorders>
          </w:tcPr>
          <w:p>
            <w:pPr>
              <w:pStyle w:val="TableParagraph"/>
              <w:spacing w:before="2"/>
              <w:jc w:val="left"/>
              <w:rPr>
                <w:sz w:val="23"/>
              </w:rPr>
            </w:pPr>
          </w:p>
          <w:p>
            <w:pPr>
              <w:pStyle w:val="TableParagraph"/>
              <w:spacing w:before="1"/>
              <w:ind w:left="984"/>
              <w:jc w:val="left"/>
              <w:rPr>
                <w:sz w:val="18"/>
              </w:rPr>
            </w:pPr>
            <w:r>
              <w:rPr>
                <w:sz w:val="18"/>
              </w:rPr>
              <w:t>Approx. 5.27</w:t>
            </w:r>
          </w:p>
        </w:tc>
        <w:tc>
          <w:tcPr>
            <w:tcW w:w="3069" w:type="dxa"/>
            <w:tcBorders>
              <w:top w:val="single" w:sz="6" w:space="0" w:color="69BD28"/>
              <w:bottom w:val="single" w:sz="6" w:space="0" w:color="69BD28"/>
            </w:tcBorders>
          </w:tcPr>
          <w:p>
            <w:pPr>
              <w:pStyle w:val="TableParagraph"/>
              <w:spacing w:before="2"/>
              <w:jc w:val="left"/>
              <w:rPr>
                <w:sz w:val="23"/>
              </w:rPr>
            </w:pPr>
          </w:p>
          <w:p>
            <w:pPr>
              <w:pStyle w:val="TableParagraph"/>
              <w:spacing w:before="1"/>
              <w:ind w:left="900" w:right="930"/>
              <w:rPr>
                <w:sz w:val="18"/>
              </w:rPr>
            </w:pPr>
            <w:r>
              <w:rPr>
                <w:sz w:val="18"/>
              </w:rPr>
              <w:t>Approx. 0.65</w:t>
            </w:r>
          </w:p>
        </w:tc>
      </w:tr>
    </w:tbl>
    <w:p>
      <w:pPr>
        <w:spacing w:before="8"/>
        <w:ind w:left="120" w:right="0" w:firstLine="0"/>
        <w:jc w:val="left"/>
        <w:rPr>
          <w:i/>
          <w:sz w:val="16"/>
        </w:rPr>
      </w:pPr>
      <w:r>
        <w:rPr>
          <w:i/>
          <w:sz w:val="16"/>
        </w:rPr>
        <w:t>Source: CBRE Research</w:t>
      </w:r>
    </w:p>
    <w:p>
      <w:pPr>
        <w:spacing w:after="0"/>
        <w:jc w:val="left"/>
        <w:rPr>
          <w:sz w:val="16"/>
        </w:rPr>
        <w:sectPr>
          <w:pgSz w:w="11910" w:h="16840"/>
          <w:pgMar w:header="720" w:footer="933" w:top="1660" w:bottom="1120" w:left="600" w:right="520"/>
        </w:sectPr>
      </w:pPr>
    </w:p>
    <w:p>
      <w:pPr>
        <w:pStyle w:val="BodyText"/>
        <w:spacing w:before="4"/>
        <w:rPr>
          <w:i/>
          <w:sz w:val="18"/>
        </w:rPr>
      </w:pPr>
    </w:p>
    <w:p>
      <w:pPr>
        <w:pStyle w:val="BodyText"/>
        <w:ind w:left="120"/>
        <w:rPr>
          <w:sz w:val="20"/>
        </w:rPr>
      </w:pPr>
      <w:r>
        <w:rPr>
          <w:sz w:val="20"/>
        </w:rPr>
        <w:pict>
          <v:group style="width:523.6pt;height:15.25pt;mso-position-horizontal-relative:char;mso-position-vertical-relative:line" coordorigin="0,0" coordsize="10472,305">
            <v:rect style="position:absolute;left:0;top:28;width:10472;height:276" filled="true" fillcolor="#006a4d" stroked="false">
              <v:fill type="solid"/>
            </v:rect>
            <v:rect style="position:absolute;left:0;top:0;width:10472;height:29" filled="true" fillcolor="#1f6b16" stroked="false">
              <v:fill type="solid"/>
            </v:rect>
            <v:rect style="position:absolute;left:0;top:28;width:10472;height:3" filled="true" fillcolor="#006a4d" stroked="false">
              <v:fill type="solid"/>
            </v:rect>
            <v:shape style="position:absolute;left:0;top:28;width:10472;height:276" type="#_x0000_t202" filled="false" stroked="false">
              <v:textbox inset="0,0,0,0">
                <w:txbxContent>
                  <w:p>
                    <w:pPr>
                      <w:spacing w:before="32"/>
                      <w:ind w:left="70" w:right="71" w:firstLine="0"/>
                      <w:jc w:val="center"/>
                      <w:rPr>
                        <w:b/>
                        <w:sz w:val="18"/>
                      </w:rPr>
                    </w:pPr>
                    <w:r>
                      <w:rPr>
                        <w:b/>
                        <w:color w:val="FFFFFF"/>
                        <w:w w:val="115"/>
                        <w:sz w:val="18"/>
                      </w:rPr>
                      <w:t>Demand – Supply Dynamics (MMR)</w:t>
                    </w:r>
                  </w:p>
                </w:txbxContent>
              </v:textbox>
              <w10:wrap type="none"/>
            </v:shape>
          </v:group>
        </w:pict>
      </w:r>
      <w:r>
        <w:rPr>
          <w:sz w:val="20"/>
        </w:rPr>
      </w:r>
    </w:p>
    <w:p>
      <w:pPr>
        <w:pStyle w:val="BodyText"/>
        <w:rPr>
          <w:i/>
          <w:sz w:val="20"/>
        </w:rPr>
      </w:pPr>
    </w:p>
    <w:p>
      <w:pPr>
        <w:pStyle w:val="BodyText"/>
        <w:spacing w:before="1"/>
        <w:rPr>
          <w:i/>
          <w:sz w:val="15"/>
        </w:rPr>
      </w:pPr>
      <w:r>
        <w:rPr/>
        <w:drawing>
          <wp:anchor distT="0" distB="0" distL="0" distR="0" allowOverlap="1" layoutInCell="1" locked="0" behindDoc="0" simplePos="0" relativeHeight="602">
            <wp:simplePos x="0" y="0"/>
            <wp:positionH relativeFrom="page">
              <wp:posOffset>633323</wp:posOffset>
            </wp:positionH>
            <wp:positionV relativeFrom="paragraph">
              <wp:posOffset>136606</wp:posOffset>
            </wp:positionV>
            <wp:extent cx="6292451" cy="2201703"/>
            <wp:effectExtent l="0" t="0" r="0" b="0"/>
            <wp:wrapTopAndBottom/>
            <wp:docPr id="153" name="image76.jpeg"/>
            <wp:cNvGraphicFramePr>
              <a:graphicFrameLocks noChangeAspect="1"/>
            </wp:cNvGraphicFramePr>
            <a:graphic>
              <a:graphicData uri="http://schemas.openxmlformats.org/drawingml/2006/picture">
                <pic:pic>
                  <pic:nvPicPr>
                    <pic:cNvPr id="154" name="image76.jpeg"/>
                    <pic:cNvPicPr/>
                  </pic:nvPicPr>
                  <pic:blipFill>
                    <a:blip r:embed="rId102" cstate="print"/>
                    <a:stretch>
                      <a:fillRect/>
                    </a:stretch>
                  </pic:blipFill>
                  <pic:spPr>
                    <a:xfrm>
                      <a:off x="0" y="0"/>
                      <a:ext cx="6292451" cy="2201703"/>
                    </a:xfrm>
                    <a:prstGeom prst="rect">
                      <a:avLst/>
                    </a:prstGeom>
                  </pic:spPr>
                </pic:pic>
              </a:graphicData>
            </a:graphic>
          </wp:anchor>
        </w:drawing>
      </w:r>
    </w:p>
    <w:p>
      <w:pPr>
        <w:pStyle w:val="BodyText"/>
        <w:spacing w:before="11"/>
        <w:rPr>
          <w:i/>
          <w:sz w:val="19"/>
        </w:rPr>
      </w:pPr>
    </w:p>
    <w:p>
      <w:pPr>
        <w:tabs>
          <w:tab w:pos="3812" w:val="left" w:leader="none"/>
          <w:tab w:pos="10591" w:val="left" w:leader="none"/>
        </w:tabs>
        <w:spacing w:before="104"/>
        <w:ind w:left="120" w:right="0" w:firstLine="0"/>
        <w:jc w:val="left"/>
        <w:rPr>
          <w:b/>
          <w:sz w:val="18"/>
        </w:rPr>
      </w:pPr>
      <w:r>
        <w:rPr/>
        <w:drawing>
          <wp:anchor distT="0" distB="0" distL="0" distR="0" allowOverlap="1" layoutInCell="1" locked="0" behindDoc="0" simplePos="0" relativeHeight="603">
            <wp:simplePos x="0" y="0"/>
            <wp:positionH relativeFrom="page">
              <wp:posOffset>664829</wp:posOffset>
            </wp:positionH>
            <wp:positionV relativeFrom="paragraph">
              <wp:posOffset>276187</wp:posOffset>
            </wp:positionV>
            <wp:extent cx="6312948" cy="2316479"/>
            <wp:effectExtent l="0" t="0" r="0" b="0"/>
            <wp:wrapTopAndBottom/>
            <wp:docPr id="155" name="image100.jpeg"/>
            <wp:cNvGraphicFramePr>
              <a:graphicFrameLocks noChangeAspect="1"/>
            </wp:cNvGraphicFramePr>
            <a:graphic>
              <a:graphicData uri="http://schemas.openxmlformats.org/drawingml/2006/picture">
                <pic:pic>
                  <pic:nvPicPr>
                    <pic:cNvPr id="156" name="image100.jpeg"/>
                    <pic:cNvPicPr/>
                  </pic:nvPicPr>
                  <pic:blipFill>
                    <a:blip r:embed="rId135" cstate="print"/>
                    <a:stretch>
                      <a:fillRect/>
                    </a:stretch>
                  </pic:blipFill>
                  <pic:spPr>
                    <a:xfrm>
                      <a:off x="0" y="0"/>
                      <a:ext cx="6312948" cy="2316479"/>
                    </a:xfrm>
                    <a:prstGeom prst="rect">
                      <a:avLst/>
                    </a:prstGeom>
                  </pic:spPr>
                </pic:pic>
              </a:graphicData>
            </a:graphic>
          </wp:anchor>
        </w:drawing>
      </w:r>
      <w:r>
        <w:rPr>
          <w:b/>
          <w:color w:val="FFFFFF"/>
          <w:w w:val="103"/>
          <w:sz w:val="18"/>
          <w:shd w:fill="006A4D" w:color="auto" w:val="clear"/>
        </w:rPr>
        <w:t> </w:t>
      </w:r>
      <w:r>
        <w:rPr>
          <w:b/>
          <w:color w:val="FFFFFF"/>
          <w:sz w:val="18"/>
          <w:shd w:fill="006A4D" w:color="auto" w:val="clear"/>
        </w:rPr>
        <w:tab/>
      </w:r>
      <w:r>
        <w:rPr>
          <w:b/>
          <w:color w:val="FFFFFF"/>
          <w:w w:val="115"/>
          <w:sz w:val="18"/>
          <w:shd w:fill="006A4D" w:color="auto" w:val="clear"/>
        </w:rPr>
        <w:t>Demand</w:t>
      </w:r>
      <w:r>
        <w:rPr>
          <w:b/>
          <w:color w:val="FFFFFF"/>
          <w:spacing w:val="-32"/>
          <w:w w:val="115"/>
          <w:sz w:val="18"/>
          <w:shd w:fill="006A4D" w:color="auto" w:val="clear"/>
        </w:rPr>
        <w:t> </w:t>
      </w:r>
      <w:r>
        <w:rPr>
          <w:b/>
          <w:color w:val="FFFFFF"/>
          <w:w w:val="115"/>
          <w:sz w:val="18"/>
          <w:shd w:fill="006A4D" w:color="auto" w:val="clear"/>
        </w:rPr>
        <w:t>–</w:t>
      </w:r>
      <w:r>
        <w:rPr>
          <w:b/>
          <w:color w:val="FFFFFF"/>
          <w:spacing w:val="-32"/>
          <w:w w:val="115"/>
          <w:sz w:val="18"/>
          <w:shd w:fill="006A4D" w:color="auto" w:val="clear"/>
        </w:rPr>
        <w:t> </w:t>
      </w:r>
      <w:r>
        <w:rPr>
          <w:b/>
          <w:color w:val="FFFFFF"/>
          <w:w w:val="115"/>
          <w:sz w:val="18"/>
          <w:shd w:fill="006A4D" w:color="auto" w:val="clear"/>
        </w:rPr>
        <w:t>Supply</w:t>
      </w:r>
      <w:r>
        <w:rPr>
          <w:b/>
          <w:color w:val="FFFFFF"/>
          <w:spacing w:val="-32"/>
          <w:w w:val="115"/>
          <w:sz w:val="18"/>
          <w:shd w:fill="006A4D" w:color="auto" w:val="clear"/>
        </w:rPr>
        <w:t> </w:t>
      </w:r>
      <w:r>
        <w:rPr>
          <w:b/>
          <w:color w:val="FFFFFF"/>
          <w:w w:val="115"/>
          <w:sz w:val="18"/>
          <w:shd w:fill="006A4D" w:color="auto" w:val="clear"/>
        </w:rPr>
        <w:t>Dynamics</w:t>
      </w:r>
      <w:r>
        <w:rPr>
          <w:b/>
          <w:color w:val="FFFFFF"/>
          <w:spacing w:val="-31"/>
          <w:w w:val="115"/>
          <w:sz w:val="18"/>
          <w:shd w:fill="006A4D" w:color="auto" w:val="clear"/>
        </w:rPr>
        <w:t> </w:t>
      </w:r>
      <w:r>
        <w:rPr>
          <w:b/>
          <w:color w:val="FFFFFF"/>
          <w:w w:val="115"/>
          <w:sz w:val="18"/>
          <w:shd w:fill="006A4D" w:color="auto" w:val="clear"/>
        </w:rPr>
        <w:t>(ABD)</w:t>
      </w:r>
      <w:r>
        <w:rPr>
          <w:b/>
          <w:color w:val="FFFFFF"/>
          <w:sz w:val="18"/>
          <w:shd w:fill="006A4D" w:color="auto" w:val="clear"/>
        </w:rPr>
        <w:tab/>
      </w:r>
    </w:p>
    <w:p>
      <w:pPr>
        <w:pStyle w:val="BodyText"/>
        <w:rPr>
          <w:b/>
        </w:rPr>
      </w:pPr>
    </w:p>
    <w:p>
      <w:pPr>
        <w:spacing w:line="324" w:lineRule="auto" w:before="186"/>
        <w:ind w:left="667" w:right="194" w:firstLine="0"/>
        <w:jc w:val="both"/>
        <w:rPr>
          <w:i/>
          <w:sz w:val="16"/>
        </w:rPr>
      </w:pPr>
      <w:r>
        <w:rPr>
          <w:i/>
          <w:sz w:val="16"/>
        </w:rPr>
        <w:t>Source:</w:t>
      </w:r>
      <w:r>
        <w:rPr>
          <w:i/>
          <w:spacing w:val="-32"/>
          <w:sz w:val="16"/>
        </w:rPr>
        <w:t> </w:t>
      </w:r>
      <w:r>
        <w:rPr>
          <w:i/>
          <w:sz w:val="16"/>
        </w:rPr>
        <w:t>CBRE</w:t>
      </w:r>
      <w:r>
        <w:rPr>
          <w:i/>
          <w:spacing w:val="-33"/>
          <w:sz w:val="16"/>
        </w:rPr>
        <w:t> </w:t>
      </w:r>
      <w:r>
        <w:rPr>
          <w:i/>
          <w:sz w:val="16"/>
        </w:rPr>
        <w:t>Research;</w:t>
      </w:r>
      <w:r>
        <w:rPr>
          <w:i/>
          <w:spacing w:val="-32"/>
          <w:sz w:val="16"/>
        </w:rPr>
        <w:t> </w:t>
      </w:r>
      <w:r>
        <w:rPr>
          <w:i/>
          <w:sz w:val="16"/>
        </w:rPr>
        <w:t>Note:</w:t>
      </w:r>
      <w:r>
        <w:rPr>
          <w:i/>
          <w:spacing w:val="-30"/>
          <w:sz w:val="16"/>
        </w:rPr>
        <w:t> </w:t>
      </w:r>
      <w:r>
        <w:rPr>
          <w:i/>
          <w:sz w:val="16"/>
        </w:rPr>
        <w:t>Supply</w:t>
      </w:r>
      <w:r>
        <w:rPr>
          <w:i/>
          <w:spacing w:val="-32"/>
          <w:sz w:val="16"/>
        </w:rPr>
        <w:t> </w:t>
      </w:r>
      <w:r>
        <w:rPr>
          <w:i/>
          <w:w w:val="110"/>
          <w:sz w:val="16"/>
        </w:rPr>
        <w:t>–</w:t>
      </w:r>
      <w:r>
        <w:rPr>
          <w:i/>
          <w:spacing w:val="-36"/>
          <w:w w:val="110"/>
          <w:sz w:val="16"/>
        </w:rPr>
        <w:t> </w:t>
      </w:r>
      <w:r>
        <w:rPr>
          <w:i/>
          <w:sz w:val="16"/>
        </w:rPr>
        <w:t>refers</w:t>
      </w:r>
      <w:r>
        <w:rPr>
          <w:i/>
          <w:spacing w:val="-31"/>
          <w:sz w:val="16"/>
        </w:rPr>
        <w:t> </w:t>
      </w:r>
      <w:r>
        <w:rPr>
          <w:i/>
          <w:sz w:val="16"/>
        </w:rPr>
        <w:t>to</w:t>
      </w:r>
      <w:r>
        <w:rPr>
          <w:i/>
          <w:spacing w:val="-32"/>
          <w:sz w:val="16"/>
        </w:rPr>
        <w:t> </w:t>
      </w:r>
      <w:r>
        <w:rPr>
          <w:i/>
          <w:sz w:val="16"/>
        </w:rPr>
        <w:t>fresh</w:t>
      </w:r>
      <w:r>
        <w:rPr>
          <w:i/>
          <w:spacing w:val="-32"/>
          <w:sz w:val="16"/>
        </w:rPr>
        <w:t> </w:t>
      </w:r>
      <w:r>
        <w:rPr>
          <w:i/>
          <w:sz w:val="16"/>
        </w:rPr>
        <w:t>completed</w:t>
      </w:r>
      <w:r>
        <w:rPr>
          <w:i/>
          <w:spacing w:val="-32"/>
          <w:sz w:val="16"/>
        </w:rPr>
        <w:t> </w:t>
      </w:r>
      <w:r>
        <w:rPr>
          <w:i/>
          <w:sz w:val="16"/>
        </w:rPr>
        <w:t>supply</w:t>
      </w:r>
      <w:r>
        <w:rPr>
          <w:i/>
          <w:spacing w:val="-33"/>
          <w:sz w:val="16"/>
        </w:rPr>
        <w:t> </w:t>
      </w:r>
      <w:r>
        <w:rPr>
          <w:i/>
          <w:sz w:val="16"/>
        </w:rPr>
        <w:t>added</w:t>
      </w:r>
      <w:r>
        <w:rPr>
          <w:i/>
          <w:spacing w:val="-32"/>
          <w:sz w:val="16"/>
        </w:rPr>
        <w:t> </w:t>
      </w:r>
      <w:r>
        <w:rPr>
          <w:i/>
          <w:sz w:val="16"/>
        </w:rPr>
        <w:t>each</w:t>
      </w:r>
      <w:r>
        <w:rPr>
          <w:i/>
          <w:spacing w:val="-32"/>
          <w:sz w:val="16"/>
        </w:rPr>
        <w:t> </w:t>
      </w:r>
      <w:r>
        <w:rPr>
          <w:i/>
          <w:sz w:val="16"/>
        </w:rPr>
        <w:t>year;</w:t>
      </w:r>
      <w:r>
        <w:rPr>
          <w:i/>
          <w:spacing w:val="-32"/>
          <w:sz w:val="16"/>
        </w:rPr>
        <w:t> </w:t>
      </w:r>
      <w:r>
        <w:rPr>
          <w:i/>
          <w:sz w:val="16"/>
        </w:rPr>
        <w:t>Absorption</w:t>
      </w:r>
      <w:r>
        <w:rPr>
          <w:i/>
          <w:spacing w:val="-32"/>
          <w:sz w:val="16"/>
        </w:rPr>
        <w:t> </w:t>
      </w:r>
      <w:r>
        <w:rPr>
          <w:i/>
          <w:w w:val="110"/>
          <w:sz w:val="16"/>
        </w:rPr>
        <w:t>–</w:t>
      </w:r>
      <w:r>
        <w:rPr>
          <w:i/>
          <w:spacing w:val="-36"/>
          <w:w w:val="110"/>
          <w:sz w:val="16"/>
        </w:rPr>
        <w:t> </w:t>
      </w:r>
      <w:r>
        <w:rPr>
          <w:i/>
          <w:sz w:val="16"/>
        </w:rPr>
        <w:t>refers</w:t>
      </w:r>
      <w:r>
        <w:rPr>
          <w:i/>
          <w:spacing w:val="-31"/>
          <w:sz w:val="16"/>
        </w:rPr>
        <w:t> </w:t>
      </w:r>
      <w:r>
        <w:rPr>
          <w:i/>
          <w:sz w:val="16"/>
        </w:rPr>
        <w:t>to</w:t>
      </w:r>
      <w:r>
        <w:rPr>
          <w:i/>
          <w:spacing w:val="-32"/>
          <w:sz w:val="16"/>
        </w:rPr>
        <w:t> </w:t>
      </w:r>
      <w:r>
        <w:rPr>
          <w:i/>
          <w:sz w:val="16"/>
        </w:rPr>
        <w:t>the</w:t>
      </w:r>
      <w:r>
        <w:rPr>
          <w:i/>
          <w:spacing w:val="-32"/>
          <w:sz w:val="16"/>
        </w:rPr>
        <w:t> </w:t>
      </w:r>
      <w:r>
        <w:rPr>
          <w:i/>
          <w:sz w:val="16"/>
        </w:rPr>
        <w:t>quantum</w:t>
      </w:r>
      <w:r>
        <w:rPr>
          <w:i/>
          <w:spacing w:val="-32"/>
          <w:sz w:val="16"/>
        </w:rPr>
        <w:t> </w:t>
      </w:r>
      <w:r>
        <w:rPr>
          <w:i/>
          <w:sz w:val="16"/>
        </w:rPr>
        <w:t>of</w:t>
      </w:r>
      <w:r>
        <w:rPr>
          <w:i/>
          <w:spacing w:val="-32"/>
          <w:sz w:val="16"/>
        </w:rPr>
        <w:t> </w:t>
      </w:r>
      <w:r>
        <w:rPr>
          <w:i/>
          <w:sz w:val="16"/>
        </w:rPr>
        <w:t>leasing</w:t>
      </w:r>
      <w:r>
        <w:rPr>
          <w:i/>
          <w:spacing w:val="-32"/>
          <w:sz w:val="16"/>
        </w:rPr>
        <w:t> </w:t>
      </w:r>
      <w:r>
        <w:rPr>
          <w:i/>
          <w:sz w:val="16"/>
        </w:rPr>
        <w:t>witnessed </w:t>
      </w:r>
      <w:r>
        <w:rPr>
          <w:i/>
          <w:sz w:val="16"/>
        </w:rPr>
        <w:t>in</w:t>
      </w:r>
      <w:r>
        <w:rPr>
          <w:i/>
          <w:spacing w:val="-21"/>
          <w:sz w:val="16"/>
        </w:rPr>
        <w:t> </w:t>
      </w:r>
      <w:r>
        <w:rPr>
          <w:i/>
          <w:sz w:val="16"/>
        </w:rPr>
        <w:t>each</w:t>
      </w:r>
      <w:r>
        <w:rPr>
          <w:i/>
          <w:spacing w:val="-20"/>
          <w:sz w:val="16"/>
        </w:rPr>
        <w:t> </w:t>
      </w:r>
      <w:r>
        <w:rPr>
          <w:i/>
          <w:sz w:val="16"/>
        </w:rPr>
        <w:t>year</w:t>
      </w:r>
      <w:r>
        <w:rPr>
          <w:i/>
          <w:spacing w:val="-20"/>
          <w:sz w:val="16"/>
        </w:rPr>
        <w:t> </w:t>
      </w:r>
      <w:r>
        <w:rPr>
          <w:i/>
          <w:sz w:val="16"/>
        </w:rPr>
        <w:t>as</w:t>
      </w:r>
      <w:r>
        <w:rPr>
          <w:i/>
          <w:spacing w:val="-19"/>
          <w:sz w:val="16"/>
        </w:rPr>
        <w:t> </w:t>
      </w:r>
      <w:r>
        <w:rPr>
          <w:i/>
          <w:sz w:val="16"/>
        </w:rPr>
        <w:t>part</w:t>
      </w:r>
      <w:r>
        <w:rPr>
          <w:i/>
          <w:spacing w:val="-20"/>
          <w:sz w:val="16"/>
        </w:rPr>
        <w:t> </w:t>
      </w:r>
      <w:r>
        <w:rPr>
          <w:i/>
          <w:sz w:val="16"/>
        </w:rPr>
        <w:t>of</w:t>
      </w:r>
      <w:r>
        <w:rPr>
          <w:i/>
          <w:spacing w:val="-19"/>
          <w:sz w:val="16"/>
        </w:rPr>
        <w:t> </w:t>
      </w:r>
      <w:r>
        <w:rPr>
          <w:i/>
          <w:sz w:val="16"/>
        </w:rPr>
        <w:t>completed</w:t>
      </w:r>
      <w:r>
        <w:rPr>
          <w:i/>
          <w:spacing w:val="-20"/>
          <w:sz w:val="16"/>
        </w:rPr>
        <w:t> </w:t>
      </w:r>
      <w:r>
        <w:rPr>
          <w:i/>
          <w:sz w:val="16"/>
        </w:rPr>
        <w:t>space;</w:t>
      </w:r>
      <w:r>
        <w:rPr>
          <w:i/>
          <w:spacing w:val="-19"/>
          <w:sz w:val="16"/>
        </w:rPr>
        <w:t> </w:t>
      </w:r>
      <w:r>
        <w:rPr>
          <w:i/>
          <w:sz w:val="16"/>
        </w:rPr>
        <w:t>the</w:t>
      </w:r>
      <w:r>
        <w:rPr>
          <w:i/>
          <w:spacing w:val="-20"/>
          <w:sz w:val="16"/>
        </w:rPr>
        <w:t> </w:t>
      </w:r>
      <w:r>
        <w:rPr>
          <w:i/>
          <w:sz w:val="16"/>
        </w:rPr>
        <w:t>vacancy</w:t>
      </w:r>
      <w:r>
        <w:rPr>
          <w:i/>
          <w:spacing w:val="-20"/>
          <w:sz w:val="16"/>
        </w:rPr>
        <w:t> </w:t>
      </w:r>
      <w:r>
        <w:rPr>
          <w:i/>
          <w:sz w:val="16"/>
        </w:rPr>
        <w:t>in</w:t>
      </w:r>
      <w:r>
        <w:rPr>
          <w:i/>
          <w:spacing w:val="-20"/>
          <w:sz w:val="16"/>
        </w:rPr>
        <w:t> </w:t>
      </w:r>
      <w:r>
        <w:rPr>
          <w:i/>
          <w:sz w:val="16"/>
        </w:rPr>
        <w:t>the</w:t>
      </w:r>
      <w:r>
        <w:rPr>
          <w:i/>
          <w:spacing w:val="-19"/>
          <w:sz w:val="16"/>
        </w:rPr>
        <w:t> </w:t>
      </w:r>
      <w:r>
        <w:rPr>
          <w:i/>
          <w:sz w:val="16"/>
        </w:rPr>
        <w:t>chart</w:t>
      </w:r>
      <w:r>
        <w:rPr>
          <w:i/>
          <w:spacing w:val="-20"/>
          <w:sz w:val="16"/>
        </w:rPr>
        <w:t> </w:t>
      </w:r>
      <w:r>
        <w:rPr>
          <w:i/>
          <w:sz w:val="16"/>
        </w:rPr>
        <w:t>accounts</w:t>
      </w:r>
      <w:r>
        <w:rPr>
          <w:i/>
          <w:spacing w:val="-20"/>
          <w:sz w:val="16"/>
        </w:rPr>
        <w:t> </w:t>
      </w:r>
      <w:r>
        <w:rPr>
          <w:i/>
          <w:sz w:val="16"/>
        </w:rPr>
        <w:t>for</w:t>
      </w:r>
      <w:r>
        <w:rPr>
          <w:i/>
          <w:spacing w:val="-19"/>
          <w:sz w:val="16"/>
        </w:rPr>
        <w:t> </w:t>
      </w:r>
      <w:r>
        <w:rPr>
          <w:i/>
          <w:sz w:val="16"/>
        </w:rPr>
        <w:t>the</w:t>
      </w:r>
      <w:r>
        <w:rPr>
          <w:i/>
          <w:spacing w:val="-20"/>
          <w:sz w:val="16"/>
        </w:rPr>
        <w:t> </w:t>
      </w:r>
      <w:r>
        <w:rPr>
          <w:i/>
          <w:sz w:val="16"/>
        </w:rPr>
        <w:t>gap</w:t>
      </w:r>
      <w:r>
        <w:rPr>
          <w:i/>
          <w:spacing w:val="-19"/>
          <w:sz w:val="16"/>
        </w:rPr>
        <w:t> </w:t>
      </w:r>
      <w:r>
        <w:rPr>
          <w:i/>
          <w:sz w:val="16"/>
        </w:rPr>
        <w:t>between</w:t>
      </w:r>
      <w:r>
        <w:rPr>
          <w:i/>
          <w:spacing w:val="-21"/>
          <w:sz w:val="16"/>
        </w:rPr>
        <w:t> </w:t>
      </w:r>
      <w:r>
        <w:rPr>
          <w:i/>
          <w:sz w:val="16"/>
        </w:rPr>
        <w:t>cumulative</w:t>
      </w:r>
      <w:r>
        <w:rPr>
          <w:i/>
          <w:spacing w:val="-20"/>
          <w:sz w:val="16"/>
        </w:rPr>
        <w:t> </w:t>
      </w:r>
      <w:r>
        <w:rPr>
          <w:i/>
          <w:sz w:val="16"/>
        </w:rPr>
        <w:t>stock</w:t>
      </w:r>
      <w:r>
        <w:rPr>
          <w:i/>
          <w:spacing w:val="-19"/>
          <w:sz w:val="16"/>
        </w:rPr>
        <w:t> </w:t>
      </w:r>
      <w:r>
        <w:rPr>
          <w:i/>
          <w:sz w:val="16"/>
        </w:rPr>
        <w:t>and</w:t>
      </w:r>
      <w:r>
        <w:rPr>
          <w:i/>
          <w:spacing w:val="-20"/>
          <w:sz w:val="16"/>
        </w:rPr>
        <w:t> </w:t>
      </w:r>
      <w:r>
        <w:rPr>
          <w:i/>
          <w:sz w:val="16"/>
        </w:rPr>
        <w:t>demand</w:t>
      </w:r>
      <w:r>
        <w:rPr>
          <w:i/>
          <w:spacing w:val="-20"/>
          <w:sz w:val="16"/>
        </w:rPr>
        <w:t> </w:t>
      </w:r>
      <w:r>
        <w:rPr>
          <w:i/>
          <w:sz w:val="16"/>
        </w:rPr>
        <w:t>in</w:t>
      </w:r>
      <w:r>
        <w:rPr>
          <w:i/>
          <w:spacing w:val="-20"/>
          <w:sz w:val="16"/>
        </w:rPr>
        <w:t> </w:t>
      </w:r>
      <w:r>
        <w:rPr>
          <w:i/>
          <w:sz w:val="16"/>
        </w:rPr>
        <w:t>the</w:t>
      </w:r>
      <w:r>
        <w:rPr>
          <w:i/>
          <w:spacing w:val="-20"/>
          <w:sz w:val="16"/>
        </w:rPr>
        <w:t> </w:t>
      </w:r>
      <w:r>
        <w:rPr>
          <w:i/>
          <w:sz w:val="16"/>
        </w:rPr>
        <w:t>city</w:t>
      </w:r>
      <w:r>
        <w:rPr>
          <w:i/>
          <w:spacing w:val="-18"/>
          <w:sz w:val="16"/>
        </w:rPr>
        <w:t> </w:t>
      </w:r>
      <w:r>
        <w:rPr>
          <w:i/>
          <w:sz w:val="16"/>
        </w:rPr>
        <w:t>in</w:t>
      </w:r>
      <w:r>
        <w:rPr>
          <w:i/>
          <w:spacing w:val="-20"/>
          <w:sz w:val="16"/>
        </w:rPr>
        <w:t> </w:t>
      </w:r>
      <w:r>
        <w:rPr>
          <w:i/>
          <w:sz w:val="16"/>
        </w:rPr>
        <w:t>any given</w:t>
      </w:r>
      <w:r>
        <w:rPr>
          <w:i/>
          <w:spacing w:val="-5"/>
          <w:sz w:val="16"/>
        </w:rPr>
        <w:t> </w:t>
      </w:r>
      <w:r>
        <w:rPr>
          <w:i/>
          <w:sz w:val="16"/>
        </w:rPr>
        <w:t>year.</w:t>
      </w:r>
    </w:p>
    <w:p>
      <w:pPr>
        <w:pStyle w:val="BodyText"/>
        <w:spacing w:before="6"/>
        <w:rPr>
          <w:i/>
          <w:sz w:val="20"/>
        </w:rPr>
      </w:pPr>
    </w:p>
    <w:p>
      <w:pPr>
        <w:pStyle w:val="BodyText"/>
        <w:spacing w:line="321" w:lineRule="auto"/>
        <w:ind w:left="682" w:right="194"/>
        <w:jc w:val="both"/>
      </w:pPr>
      <w:r>
        <w:rPr/>
        <w:t>Bandra Kurla Complex (a part of ABD) has presence of a number of multinational companies in the banking,</w:t>
      </w:r>
      <w:r>
        <w:rPr>
          <w:spacing w:val="-29"/>
        </w:rPr>
        <w:t> </w:t>
      </w:r>
      <w:r>
        <w:rPr/>
        <w:t>financial</w:t>
      </w:r>
      <w:r>
        <w:rPr>
          <w:spacing w:val="-29"/>
        </w:rPr>
        <w:t> </w:t>
      </w:r>
      <w:r>
        <w:rPr/>
        <w:t>services,</w:t>
      </w:r>
      <w:r>
        <w:rPr>
          <w:spacing w:val="-28"/>
        </w:rPr>
        <w:t> </w:t>
      </w:r>
      <w:r>
        <w:rPr/>
        <w:t>insurance</w:t>
      </w:r>
      <w:r>
        <w:rPr>
          <w:spacing w:val="-29"/>
        </w:rPr>
        <w:t> </w:t>
      </w:r>
      <w:r>
        <w:rPr/>
        <w:t>and</w:t>
      </w:r>
      <w:r>
        <w:rPr>
          <w:spacing w:val="-28"/>
        </w:rPr>
        <w:t> </w:t>
      </w:r>
      <w:r>
        <w:rPr/>
        <w:t>pharmaceuticals</w:t>
      </w:r>
      <w:r>
        <w:rPr>
          <w:spacing w:val="-28"/>
        </w:rPr>
        <w:t> </w:t>
      </w:r>
      <w:r>
        <w:rPr/>
        <w:t>sector.</w:t>
      </w:r>
      <w:r>
        <w:rPr>
          <w:spacing w:val="-28"/>
        </w:rPr>
        <w:t> </w:t>
      </w:r>
      <w:r>
        <w:rPr/>
        <w:t>Additionally,</w:t>
      </w:r>
      <w:r>
        <w:rPr>
          <w:spacing w:val="-29"/>
        </w:rPr>
        <w:t> </w:t>
      </w:r>
      <w:r>
        <w:rPr/>
        <w:t>the</w:t>
      </w:r>
      <w:r>
        <w:rPr>
          <w:spacing w:val="-28"/>
        </w:rPr>
        <w:t> </w:t>
      </w:r>
      <w:r>
        <w:rPr/>
        <w:t>sub-market</w:t>
      </w:r>
      <w:r>
        <w:rPr>
          <w:spacing w:val="-28"/>
        </w:rPr>
        <w:t> </w:t>
      </w:r>
      <w:r>
        <w:rPr/>
        <w:t>enjoys excellent</w:t>
      </w:r>
      <w:r>
        <w:rPr>
          <w:spacing w:val="-37"/>
        </w:rPr>
        <w:t> </w:t>
      </w:r>
      <w:r>
        <w:rPr/>
        <w:t>social</w:t>
      </w:r>
      <w:r>
        <w:rPr>
          <w:spacing w:val="-35"/>
        </w:rPr>
        <w:t> </w:t>
      </w:r>
      <w:r>
        <w:rPr/>
        <w:t>and</w:t>
      </w:r>
      <w:r>
        <w:rPr>
          <w:spacing w:val="-36"/>
        </w:rPr>
        <w:t> </w:t>
      </w:r>
      <w:r>
        <w:rPr/>
        <w:t>physical</w:t>
      </w:r>
      <w:r>
        <w:rPr>
          <w:spacing w:val="-36"/>
        </w:rPr>
        <w:t> </w:t>
      </w:r>
      <w:r>
        <w:rPr/>
        <w:t>infrastructure</w:t>
      </w:r>
      <w:r>
        <w:rPr>
          <w:spacing w:val="-36"/>
        </w:rPr>
        <w:t> </w:t>
      </w:r>
      <w:r>
        <w:rPr/>
        <w:t>including</w:t>
      </w:r>
      <w:r>
        <w:rPr>
          <w:spacing w:val="-36"/>
        </w:rPr>
        <w:t> </w:t>
      </w:r>
      <w:r>
        <w:rPr/>
        <w:t>hotels,</w:t>
      </w:r>
      <w:r>
        <w:rPr>
          <w:spacing w:val="-36"/>
        </w:rPr>
        <w:t> </w:t>
      </w:r>
      <w:r>
        <w:rPr/>
        <w:t>hospitals,</w:t>
      </w:r>
      <w:r>
        <w:rPr>
          <w:spacing w:val="-36"/>
        </w:rPr>
        <w:t> </w:t>
      </w:r>
      <w:r>
        <w:rPr/>
        <w:t>etc.</w:t>
      </w:r>
      <w:r>
        <w:rPr>
          <w:spacing w:val="-36"/>
        </w:rPr>
        <w:t> </w:t>
      </w:r>
      <w:r>
        <w:rPr/>
        <w:t>BKC</w:t>
      </w:r>
      <w:r>
        <w:rPr>
          <w:spacing w:val="-36"/>
        </w:rPr>
        <w:t> </w:t>
      </w:r>
      <w:r>
        <w:rPr/>
        <w:t>has</w:t>
      </w:r>
      <w:r>
        <w:rPr>
          <w:spacing w:val="-35"/>
        </w:rPr>
        <w:t> </w:t>
      </w:r>
      <w:r>
        <w:rPr/>
        <w:t>witnessed</w:t>
      </w:r>
      <w:r>
        <w:rPr>
          <w:spacing w:val="-36"/>
        </w:rPr>
        <w:t> </w:t>
      </w:r>
      <w:r>
        <w:rPr/>
        <w:t>sustained leasing</w:t>
      </w:r>
      <w:r>
        <w:rPr>
          <w:spacing w:val="-7"/>
        </w:rPr>
        <w:t> </w:t>
      </w:r>
      <w:r>
        <w:rPr/>
        <w:t>activity</w:t>
      </w:r>
      <w:r>
        <w:rPr>
          <w:spacing w:val="-8"/>
        </w:rPr>
        <w:t> </w:t>
      </w:r>
      <w:r>
        <w:rPr/>
        <w:t>from</w:t>
      </w:r>
      <w:r>
        <w:rPr>
          <w:spacing w:val="-7"/>
        </w:rPr>
        <w:t> </w:t>
      </w:r>
      <w:r>
        <w:rPr/>
        <w:t>the</w:t>
      </w:r>
      <w:r>
        <w:rPr>
          <w:spacing w:val="-9"/>
        </w:rPr>
        <w:t> </w:t>
      </w:r>
      <w:r>
        <w:rPr/>
        <w:t>financial</w:t>
      </w:r>
      <w:r>
        <w:rPr>
          <w:spacing w:val="-8"/>
        </w:rPr>
        <w:t> </w:t>
      </w:r>
      <w:r>
        <w:rPr/>
        <w:t>services</w:t>
      </w:r>
      <w:r>
        <w:rPr>
          <w:spacing w:val="-6"/>
        </w:rPr>
        <w:t> </w:t>
      </w:r>
      <w:r>
        <w:rPr/>
        <w:t>sector</w:t>
      </w:r>
      <w:r>
        <w:rPr>
          <w:spacing w:val="-10"/>
        </w:rPr>
        <w:t> </w:t>
      </w:r>
      <w:r>
        <w:rPr/>
        <w:t>and</w:t>
      </w:r>
      <w:r>
        <w:rPr>
          <w:spacing w:val="-7"/>
        </w:rPr>
        <w:t> </w:t>
      </w:r>
      <w:r>
        <w:rPr/>
        <w:t>given</w:t>
      </w:r>
      <w:r>
        <w:rPr>
          <w:spacing w:val="-9"/>
        </w:rPr>
        <w:t> </w:t>
      </w:r>
      <w:r>
        <w:rPr/>
        <w:t>strong</w:t>
      </w:r>
      <w:r>
        <w:rPr>
          <w:spacing w:val="-7"/>
        </w:rPr>
        <w:t> </w:t>
      </w:r>
      <w:r>
        <w:rPr/>
        <w:t>network</w:t>
      </w:r>
      <w:r>
        <w:rPr>
          <w:spacing w:val="-8"/>
        </w:rPr>
        <w:t> </w:t>
      </w:r>
      <w:r>
        <w:rPr/>
        <w:t>effect</w:t>
      </w:r>
      <w:r>
        <w:rPr>
          <w:spacing w:val="-8"/>
        </w:rPr>
        <w:t> </w:t>
      </w:r>
      <w:r>
        <w:rPr/>
        <w:t>due</w:t>
      </w:r>
      <w:r>
        <w:rPr>
          <w:spacing w:val="-7"/>
        </w:rPr>
        <w:t> </w:t>
      </w:r>
      <w:r>
        <w:rPr/>
        <w:t>to</w:t>
      </w:r>
      <w:r>
        <w:rPr>
          <w:spacing w:val="-9"/>
        </w:rPr>
        <w:t> </w:t>
      </w:r>
      <w:r>
        <w:rPr/>
        <w:t>presence</w:t>
      </w:r>
      <w:r>
        <w:rPr>
          <w:spacing w:val="-8"/>
        </w:rPr>
        <w:t> </w:t>
      </w:r>
      <w:r>
        <w:rPr/>
        <w:t>of various</w:t>
      </w:r>
      <w:r>
        <w:rPr>
          <w:spacing w:val="-19"/>
        </w:rPr>
        <w:t> </w:t>
      </w:r>
      <w:r>
        <w:rPr/>
        <w:t>banks</w:t>
      </w:r>
      <w:r>
        <w:rPr>
          <w:spacing w:val="-18"/>
        </w:rPr>
        <w:t> </w:t>
      </w:r>
      <w:r>
        <w:rPr/>
        <w:t>and</w:t>
      </w:r>
      <w:r>
        <w:rPr>
          <w:spacing w:val="-18"/>
        </w:rPr>
        <w:t> </w:t>
      </w:r>
      <w:r>
        <w:rPr/>
        <w:t>other</w:t>
      </w:r>
      <w:r>
        <w:rPr>
          <w:spacing w:val="-19"/>
        </w:rPr>
        <w:t> </w:t>
      </w:r>
      <w:r>
        <w:rPr/>
        <w:t>financial</w:t>
      </w:r>
      <w:r>
        <w:rPr>
          <w:spacing w:val="-19"/>
        </w:rPr>
        <w:t> </w:t>
      </w:r>
      <w:r>
        <w:rPr/>
        <w:t>sector</w:t>
      </w:r>
      <w:r>
        <w:rPr>
          <w:spacing w:val="-20"/>
        </w:rPr>
        <w:t> </w:t>
      </w:r>
      <w:r>
        <w:rPr/>
        <w:t>players,</w:t>
      </w:r>
      <w:r>
        <w:rPr>
          <w:spacing w:val="-19"/>
        </w:rPr>
        <w:t> </w:t>
      </w:r>
      <w:r>
        <w:rPr/>
        <w:t>is</w:t>
      </w:r>
      <w:r>
        <w:rPr>
          <w:spacing w:val="-18"/>
        </w:rPr>
        <w:t> </w:t>
      </w:r>
      <w:r>
        <w:rPr/>
        <w:t>likely</w:t>
      </w:r>
      <w:r>
        <w:rPr>
          <w:spacing w:val="-18"/>
        </w:rPr>
        <w:t> </w:t>
      </w:r>
      <w:r>
        <w:rPr/>
        <w:t>to</w:t>
      </w:r>
      <w:r>
        <w:rPr>
          <w:spacing w:val="-19"/>
        </w:rPr>
        <w:t> </w:t>
      </w:r>
      <w:r>
        <w:rPr/>
        <w:t>continue</w:t>
      </w:r>
      <w:r>
        <w:rPr>
          <w:spacing w:val="-19"/>
        </w:rPr>
        <w:t> </w:t>
      </w:r>
      <w:r>
        <w:rPr/>
        <w:t>as</w:t>
      </w:r>
      <w:r>
        <w:rPr>
          <w:spacing w:val="-18"/>
        </w:rPr>
        <w:t> </w:t>
      </w:r>
      <w:r>
        <w:rPr/>
        <w:t>the</w:t>
      </w:r>
      <w:r>
        <w:rPr>
          <w:spacing w:val="-19"/>
        </w:rPr>
        <w:t> </w:t>
      </w:r>
      <w:r>
        <w:rPr/>
        <w:t>preferred</w:t>
      </w:r>
      <w:r>
        <w:rPr>
          <w:spacing w:val="-13"/>
        </w:rPr>
        <w:t> </w:t>
      </w:r>
      <w:r>
        <w:rPr/>
        <w:t>hub</w:t>
      </w:r>
      <w:r>
        <w:rPr>
          <w:spacing w:val="-20"/>
        </w:rPr>
        <w:t> </w:t>
      </w:r>
      <w:r>
        <w:rPr/>
        <w:t>for</w:t>
      </w:r>
      <w:r>
        <w:rPr>
          <w:spacing w:val="-19"/>
        </w:rPr>
        <w:t> </w:t>
      </w:r>
      <w:r>
        <w:rPr/>
        <w:t>financial services tenants in</w:t>
      </w:r>
      <w:r>
        <w:rPr>
          <w:spacing w:val="-8"/>
        </w:rPr>
        <w:t> </w:t>
      </w:r>
      <w:r>
        <w:rPr/>
        <w:t>Mumbai.</w:t>
      </w:r>
    </w:p>
    <w:p>
      <w:pPr>
        <w:spacing w:after="0" w:line="321" w:lineRule="auto"/>
        <w:jc w:val="both"/>
        <w:sectPr>
          <w:pgSz w:w="11910" w:h="16840"/>
          <w:pgMar w:header="720" w:footer="933" w:top="1660" w:bottom="1120" w:left="600" w:right="520"/>
        </w:sectPr>
      </w:pPr>
    </w:p>
    <w:p>
      <w:pPr>
        <w:pStyle w:val="BodyText"/>
        <w:spacing w:before="1"/>
        <w:rPr>
          <w:sz w:val="12"/>
        </w:rPr>
      </w:pPr>
    </w:p>
    <w:p>
      <w:pPr>
        <w:pStyle w:val="ListParagraph"/>
        <w:numPr>
          <w:ilvl w:val="3"/>
          <w:numId w:val="46"/>
        </w:numPr>
        <w:tabs>
          <w:tab w:pos="985" w:val="left" w:leader="none"/>
        </w:tabs>
        <w:spacing w:line="240" w:lineRule="auto" w:before="106" w:after="0"/>
        <w:ind w:left="984" w:right="0" w:hanging="865"/>
        <w:jc w:val="left"/>
        <w:rPr>
          <w:i/>
          <w:sz w:val="20"/>
        </w:rPr>
      </w:pPr>
      <w:r>
        <w:rPr>
          <w:i/>
          <w:color w:val="008000"/>
          <w:sz w:val="20"/>
        </w:rPr>
        <w:t>Key Developments in</w:t>
      </w:r>
      <w:r>
        <w:rPr>
          <w:i/>
          <w:color w:val="008000"/>
          <w:spacing w:val="-12"/>
          <w:sz w:val="20"/>
        </w:rPr>
        <w:t> </w:t>
      </w:r>
      <w:r>
        <w:rPr>
          <w:i/>
          <w:color w:val="008000"/>
          <w:sz w:val="20"/>
        </w:rPr>
        <w:t>Sub-Market</w:t>
      </w:r>
    </w:p>
    <w:p>
      <w:pPr>
        <w:pStyle w:val="BodyText"/>
        <w:spacing w:before="76"/>
        <w:ind w:left="686"/>
      </w:pPr>
      <w:r>
        <w:rPr/>
        <w:t>The table below highlights the prominent / competing developments in the subject sub-market:</w:t>
      </w:r>
    </w:p>
    <w:p>
      <w:pPr>
        <w:pStyle w:val="BodyText"/>
        <w:spacing w:before="3"/>
        <w:rPr>
          <w:sz w:val="19"/>
        </w:rPr>
      </w:pPr>
      <w:r>
        <w:rPr/>
        <w:pict>
          <v:group style="position:absolute;margin-left:36pt;margin-top:13.170275pt;width:523.6pt;height:32.9pt;mso-position-horizontal-relative:page;mso-position-vertical-relative:paragraph;z-index:-15416832;mso-wrap-distance-left:0;mso-wrap-distance-right:0" coordorigin="720,263" coordsize="10472,658">
            <v:shape style="position:absolute;left:720;top:292;width:10472;height:620" coordorigin="720,292" coordsize="10472,620" path="m4712,292l2842,292,720,292,720,911,2842,911,4712,911,4712,292xm9199,292l6829,292,4712,292,4712,911,6829,911,9199,911,9199,292xm11191,292l9199,292,9199,911,11191,911,11191,292xe" filled="true" fillcolor="#006a4d" stroked="false">
              <v:path arrowok="t"/>
              <v:fill type="solid"/>
            </v:shape>
            <v:rect style="position:absolute;left:720;top:263;width:2122;height:29" filled="true" fillcolor="#1f6b16" stroked="false">
              <v:fill type="solid"/>
            </v:rect>
            <v:shape style="position:absolute;left:720;top:292;width:2151;height:3" coordorigin="720,292" coordsize="2151,3" path="m2871,292l2842,292,720,292,720,295,2842,295,2871,295,2871,292xe" filled="true" fillcolor="#006a4d" stroked="false">
              <v:path arrowok="t"/>
              <v:fill type="solid"/>
            </v:shape>
            <v:shape style="position:absolute;left:2842;top:263;width:1871;height:29" coordorigin="2842,263" coordsize="1871,29" path="m4712,263l2871,263,2842,263,2842,292,2871,292,4712,292,4712,263xe" filled="true" fillcolor="#1f6b16" stroked="false">
              <v:path arrowok="t"/>
              <v:fill type="solid"/>
            </v:shape>
            <v:shape style="position:absolute;left:2870;top:292;width:1871;height:3" coordorigin="2871,292" coordsize="1871,3" path="m4712,292l2871,292,2871,295,4712,295,4712,292xm4741,292l4712,292,4712,295,4741,295,4741,292xe" filled="true" fillcolor="#006a4d" stroked="false">
              <v:path arrowok="t"/>
              <v:fill type="solid"/>
            </v:shape>
            <v:shape style="position:absolute;left:4712;top:263;width:2118;height:29" coordorigin="4712,263" coordsize="2118,29" path="m6829,263l4741,263,4712,263,4712,292,4741,292,6829,292,6829,263xe" filled="true" fillcolor="#1f6b16" stroked="false">
              <v:path arrowok="t"/>
              <v:fill type="solid"/>
            </v:shape>
            <v:shape style="position:absolute;left:4741;top:292;width:2118;height:3" coordorigin="4741,292" coordsize="2118,3" path="m6858,292l6829,292,4741,292,4741,295,6829,295,6858,295,6858,292xe" filled="true" fillcolor="#006a4d" stroked="false">
              <v:path arrowok="t"/>
              <v:fill type="solid"/>
            </v:shape>
            <v:shape style="position:absolute;left:6829;top:263;width:2370;height:29" coordorigin="6829,263" coordsize="2370,29" path="m9199,263l6858,263,6829,263,6829,292,6858,292,9199,292,9199,263xe" filled="true" fillcolor="#1f6b16" stroked="false">
              <v:path arrowok="t"/>
              <v:fill type="solid"/>
            </v:shape>
            <v:shape style="position:absolute;left:6858;top:292;width:2370;height:3" coordorigin="6858,292" coordsize="2370,3" path="m9199,292l6858,292,6858,295,9199,295,9199,292xm9228,292l9199,292,9199,295,9228,295,9228,292xe" filled="true" fillcolor="#006a4d" stroked="false">
              <v:path arrowok="t"/>
              <v:fill type="solid"/>
            </v:shape>
            <v:shape style="position:absolute;left:9198;top:263;width:1993;height:29" coordorigin="9199,263" coordsize="1993,29" path="m11191,263l9228,263,9199,263,9199,292,9228,292,11191,292,11191,263xe" filled="true" fillcolor="#1f6b16" stroked="false">
              <v:path arrowok="t"/>
              <v:fill type="solid"/>
            </v:shape>
            <v:rect style="position:absolute;left:9227;top:292;width:1964;height:3" filled="true" fillcolor="#006a4d" stroked="false">
              <v:fill type="solid"/>
            </v:rect>
            <v:shape style="position:absolute;left:720;top:911;width:10472;height:10" coordorigin="720,911" coordsize="10472,10" path="m2852,911l2842,911,720,911,720,921,2842,921,2852,921,2852,911xm4712,911l2852,911,2852,921,4712,921,4712,911xm6839,911l6829,911,4722,911,4712,911,4712,921,4722,921,6829,921,6839,921,6839,911xm9199,911l6839,911,6839,921,9199,921,9199,911xm11191,911l9208,911,9199,911,9199,921,9208,921,11191,921,11191,911xe" filled="true" fillcolor="#92d050" stroked="false">
              <v:path arrowok="t"/>
              <v:fill type="solid"/>
            </v:shape>
            <v:shape style="position:absolute;left:871;top:493;width:1838;height:216" type="#_x0000_t202" filled="false" stroked="false">
              <v:textbox inset="0,0,0,0">
                <w:txbxContent>
                  <w:p>
                    <w:pPr>
                      <w:spacing w:before="4"/>
                      <w:ind w:left="0" w:right="0" w:firstLine="0"/>
                      <w:jc w:val="left"/>
                      <w:rPr>
                        <w:b/>
                        <w:sz w:val="18"/>
                      </w:rPr>
                    </w:pPr>
                    <w:r>
                      <w:rPr>
                        <w:b/>
                        <w:color w:val="FFFFFF"/>
                        <w:w w:val="110"/>
                        <w:sz w:val="18"/>
                      </w:rPr>
                      <w:t>Development Name</w:t>
                    </w:r>
                  </w:p>
                </w:txbxContent>
              </v:textbox>
              <w10:wrap type="none"/>
            </v:shape>
            <v:shape style="position:absolute;left:3170;top:385;width:1228;height:432" type="#_x0000_t202" filled="false" stroked="false">
              <v:textbox inset="0,0,0,0">
                <w:txbxContent>
                  <w:p>
                    <w:pPr>
                      <w:spacing w:line="247" w:lineRule="auto" w:before="4"/>
                      <w:ind w:left="394" w:right="0" w:hanging="395"/>
                      <w:jc w:val="left"/>
                      <w:rPr>
                        <w:b/>
                        <w:sz w:val="18"/>
                      </w:rPr>
                    </w:pPr>
                    <w:r>
                      <w:rPr>
                        <w:b/>
                        <w:color w:val="FFFFFF"/>
                        <w:w w:val="105"/>
                        <w:sz w:val="18"/>
                      </w:rPr>
                      <w:t>Development Type</w:t>
                    </w:r>
                  </w:p>
                </w:txbxContent>
              </v:textbox>
              <w10:wrap type="none"/>
            </v:shape>
            <v:shape style="position:absolute;left:4861;top:493;width:1839;height:216" type="#_x0000_t202" filled="false" stroked="false">
              <v:textbox inset="0,0,0,0">
                <w:txbxContent>
                  <w:p>
                    <w:pPr>
                      <w:spacing w:before="4"/>
                      <w:ind w:left="0" w:right="0" w:firstLine="0"/>
                      <w:jc w:val="left"/>
                      <w:rPr>
                        <w:b/>
                        <w:sz w:val="18"/>
                      </w:rPr>
                    </w:pPr>
                    <w:r>
                      <w:rPr>
                        <w:b/>
                        <w:color w:val="FFFFFF"/>
                        <w:w w:val="110"/>
                        <w:sz w:val="18"/>
                      </w:rPr>
                      <w:t>Leasable Area (msf)</w:t>
                    </w:r>
                  </w:p>
                </w:txbxContent>
              </v:textbox>
              <w10:wrap type="none"/>
            </v:shape>
            <v:shape style="position:absolute;left:7081;top:493;width:1885;height:216" type="#_x0000_t202" filled="false" stroked="false">
              <v:textbox inset="0,0,0,0">
                <w:txbxContent>
                  <w:p>
                    <w:pPr>
                      <w:spacing w:before="4"/>
                      <w:ind w:left="0" w:right="0" w:firstLine="0"/>
                      <w:jc w:val="left"/>
                      <w:rPr>
                        <w:b/>
                        <w:sz w:val="18"/>
                      </w:rPr>
                    </w:pPr>
                    <w:r>
                      <w:rPr>
                        <w:b/>
                        <w:color w:val="FFFFFF"/>
                        <w:w w:val="110"/>
                        <w:sz w:val="18"/>
                      </w:rPr>
                      <w:t>Approx. Vacancy</w:t>
                    </w:r>
                    <w:r>
                      <w:rPr>
                        <w:b/>
                        <w:color w:val="FFFFFF"/>
                        <w:spacing w:val="-31"/>
                        <w:w w:val="110"/>
                        <w:sz w:val="18"/>
                      </w:rPr>
                      <w:t> </w:t>
                    </w:r>
                    <w:r>
                      <w:rPr>
                        <w:b/>
                        <w:color w:val="FFFFFF"/>
                        <w:w w:val="110"/>
                        <w:sz w:val="18"/>
                      </w:rPr>
                      <w:t>(%)</w:t>
                    </w:r>
                  </w:p>
                </w:txbxContent>
              </v:textbox>
              <w10:wrap type="none"/>
            </v:shape>
            <v:shape style="position:absolute;left:9352;top:493;width:1707;height:216" type="#_x0000_t202" filled="false" stroked="false">
              <v:textbox inset="0,0,0,0">
                <w:txbxContent>
                  <w:p>
                    <w:pPr>
                      <w:spacing w:before="4"/>
                      <w:ind w:left="0" w:right="0" w:firstLine="0"/>
                      <w:jc w:val="left"/>
                      <w:rPr>
                        <w:b/>
                        <w:sz w:val="11"/>
                      </w:rPr>
                    </w:pPr>
                    <w:r>
                      <w:rPr>
                        <w:b/>
                        <w:color w:val="FFFFFF"/>
                        <w:w w:val="115"/>
                        <w:sz w:val="18"/>
                      </w:rPr>
                      <w:t>Rent</w:t>
                    </w:r>
                    <w:r>
                      <w:rPr>
                        <w:b/>
                        <w:color w:val="FFFFFF"/>
                        <w:spacing w:val="-26"/>
                        <w:w w:val="115"/>
                        <w:sz w:val="18"/>
                      </w:rPr>
                      <w:t> </w:t>
                    </w:r>
                    <w:r>
                      <w:rPr>
                        <w:b/>
                        <w:color w:val="FFFFFF"/>
                        <w:w w:val="115"/>
                        <w:sz w:val="18"/>
                      </w:rPr>
                      <w:t>(INR</w:t>
                    </w:r>
                    <w:r>
                      <w:rPr>
                        <w:b/>
                        <w:color w:val="FFFFFF"/>
                        <w:spacing w:val="-28"/>
                        <w:w w:val="115"/>
                        <w:sz w:val="18"/>
                      </w:rPr>
                      <w:t> </w:t>
                    </w:r>
                    <w:r>
                      <w:rPr>
                        <w:b/>
                        <w:color w:val="FFFFFF"/>
                        <w:w w:val="115"/>
                        <w:sz w:val="18"/>
                      </w:rPr>
                      <w:t>psf</w:t>
                    </w:r>
                    <w:r>
                      <w:rPr>
                        <w:b/>
                        <w:color w:val="FFFFFF"/>
                        <w:spacing w:val="-27"/>
                        <w:w w:val="115"/>
                        <w:sz w:val="18"/>
                      </w:rPr>
                      <w:t> </w:t>
                    </w:r>
                    <w:r>
                      <w:rPr>
                        <w:b/>
                        <w:color w:val="FFFFFF"/>
                        <w:w w:val="115"/>
                        <w:sz w:val="18"/>
                      </w:rPr>
                      <w:t>pm)</w:t>
                    </w:r>
                    <w:r>
                      <w:rPr>
                        <w:b/>
                        <w:color w:val="FFFFFF"/>
                        <w:w w:val="115"/>
                        <w:position w:val="6"/>
                        <w:sz w:val="11"/>
                      </w:rPr>
                      <w:t>#</w:t>
                    </w:r>
                  </w:p>
                </w:txbxContent>
              </v:textbox>
              <w10:wrap type="none"/>
            </v:shape>
            <w10:wrap type="topAndBottom"/>
          </v:group>
        </w:pict>
      </w:r>
    </w:p>
    <w:p>
      <w:pPr>
        <w:tabs>
          <w:tab w:pos="2828" w:val="left" w:leader="none"/>
          <w:tab w:pos="5036" w:val="left" w:leader="none"/>
          <w:tab w:pos="6930" w:val="left" w:leader="none"/>
          <w:tab w:pos="9018" w:val="left" w:leader="none"/>
        </w:tabs>
        <w:spacing w:before="46" w:after="76"/>
        <w:ind w:left="581" w:right="0" w:firstLine="0"/>
        <w:jc w:val="left"/>
        <w:rPr>
          <w:sz w:val="18"/>
        </w:rPr>
      </w:pPr>
      <w:r>
        <w:rPr>
          <w:w w:val="105"/>
          <w:sz w:val="18"/>
        </w:rPr>
        <w:t>Development</w:t>
      </w:r>
      <w:r>
        <w:rPr>
          <w:spacing w:val="-31"/>
          <w:w w:val="105"/>
          <w:sz w:val="18"/>
        </w:rPr>
        <w:t> </w:t>
      </w:r>
      <w:r>
        <w:rPr>
          <w:w w:val="105"/>
          <w:sz w:val="18"/>
        </w:rPr>
        <w:t>1</w:t>
        <w:tab/>
      </w:r>
      <w:r>
        <w:rPr>
          <w:w w:val="110"/>
          <w:sz w:val="18"/>
        </w:rPr>
        <w:t>Non-SEZ</w:t>
        <w:tab/>
        <w:t>0.8</w:t>
        <w:tab/>
        <w:t>5.0</w:t>
      </w:r>
      <w:r>
        <w:rPr>
          <w:spacing w:val="-8"/>
          <w:w w:val="110"/>
          <w:sz w:val="18"/>
        </w:rPr>
        <w:t> </w:t>
      </w:r>
      <w:r>
        <w:rPr>
          <w:w w:val="110"/>
          <w:sz w:val="18"/>
        </w:rPr>
        <w:t>–</w:t>
      </w:r>
      <w:r>
        <w:rPr>
          <w:spacing w:val="-6"/>
          <w:w w:val="110"/>
          <w:sz w:val="18"/>
        </w:rPr>
        <w:t> </w:t>
      </w:r>
      <w:r>
        <w:rPr>
          <w:w w:val="110"/>
          <w:sz w:val="18"/>
        </w:rPr>
        <w:t>10.0%</w:t>
        <w:tab/>
        <w:t>420.0 –</w:t>
      </w:r>
      <w:r>
        <w:rPr>
          <w:spacing w:val="-22"/>
          <w:w w:val="110"/>
          <w:sz w:val="18"/>
        </w:rPr>
        <w:t> </w:t>
      </w:r>
      <w:r>
        <w:rPr>
          <w:w w:val="110"/>
          <w:sz w:val="18"/>
        </w:rPr>
        <w:t>430.0</w:t>
      </w:r>
    </w:p>
    <w:p>
      <w:pPr>
        <w:pStyle w:val="BodyText"/>
        <w:spacing w:line="20" w:lineRule="exact"/>
        <w:ind w:left="120"/>
        <w:rPr>
          <w:sz w:val="2"/>
        </w:rPr>
      </w:pPr>
      <w:r>
        <w:rPr>
          <w:sz w:val="2"/>
        </w:rPr>
        <w:pict>
          <v:group style="width:523.6pt;height:.25pt;mso-position-horizontal-relative:char;mso-position-vertical-relative:line" coordorigin="0,0" coordsize="10472,5">
            <v:shape style="position:absolute;left:0;top:0;width:10472;height:5" coordorigin="0,0" coordsize="10472,5" path="m2127,0l2122,0,0,0,0,5,2122,5,2127,5,2127,0xm3992,0l2127,0,2127,5,3992,5,3992,0xm6114,0l6109,0,3997,0,3992,0,3992,5,3997,5,6109,5,6114,5,6114,0xm8479,0l6114,0,6114,5,8479,5,8479,0xm8484,0l8479,0,8479,5,8484,5,8484,0xm10471,0l8484,0,8484,5,10471,5,10471,0xe" filled="true" fillcolor="#92d050" stroked="false">
              <v:path arrowok="t"/>
              <v:fill type="solid"/>
            </v:shape>
          </v:group>
        </w:pict>
      </w:r>
      <w:r>
        <w:rPr>
          <w:sz w:val="2"/>
        </w:rPr>
      </w:r>
    </w:p>
    <w:p>
      <w:pPr>
        <w:tabs>
          <w:tab w:pos="2828" w:val="left" w:leader="none"/>
          <w:tab w:pos="5036" w:val="left" w:leader="none"/>
          <w:tab w:pos="6983" w:val="left" w:leader="none"/>
          <w:tab w:pos="9018" w:val="left" w:leader="none"/>
        </w:tabs>
        <w:spacing w:before="60"/>
        <w:ind w:left="581" w:right="0" w:firstLine="0"/>
        <w:jc w:val="left"/>
        <w:rPr>
          <w:sz w:val="18"/>
        </w:rPr>
      </w:pPr>
      <w:r>
        <w:rPr/>
        <w:pict>
          <v:shape style="position:absolute;margin-left:36pt;margin-top:17.211660pt;width:523.6pt;height:.25pt;mso-position-horizontal-relative:page;mso-position-vertical-relative:paragraph;z-index:-15415808;mso-wrap-distance-left:0;mso-wrap-distance-right:0" coordorigin="720,344" coordsize="10472,5" path="m2847,344l2842,344,720,344,720,349,2842,349,2847,349,2847,344xm4712,344l2847,344,2847,349,4712,349,4712,344xm6834,344l6829,344,4717,344,4712,344,4712,349,4717,349,6829,349,6834,349,6834,344xm9199,344l6834,344,6834,349,9199,349,9199,344xm9204,344l9199,344,9199,349,9204,349,9204,344xm11191,344l9204,344,9204,349,11191,349,11191,344xe" filled="true" fillcolor="#92d050" stroked="false">
            <v:path arrowok="t"/>
            <v:fill type="solid"/>
            <w10:wrap type="topAndBottom"/>
          </v:shape>
        </w:pict>
      </w:r>
      <w:r>
        <w:rPr>
          <w:w w:val="105"/>
          <w:sz w:val="18"/>
        </w:rPr>
        <w:t>Development</w:t>
      </w:r>
      <w:r>
        <w:rPr>
          <w:spacing w:val="-30"/>
          <w:w w:val="105"/>
          <w:sz w:val="18"/>
        </w:rPr>
        <w:t> </w:t>
      </w:r>
      <w:r>
        <w:rPr>
          <w:w w:val="105"/>
          <w:sz w:val="18"/>
        </w:rPr>
        <w:t>2</w:t>
        <w:tab/>
      </w:r>
      <w:r>
        <w:rPr>
          <w:w w:val="110"/>
          <w:sz w:val="18"/>
        </w:rPr>
        <w:t>Non-SEZ</w:t>
        <w:tab/>
        <w:t>0.6</w:t>
        <w:tab/>
        <w:t>2.5</w:t>
      </w:r>
      <w:r>
        <w:rPr>
          <w:spacing w:val="-9"/>
          <w:w w:val="110"/>
          <w:sz w:val="18"/>
        </w:rPr>
        <w:t> </w:t>
      </w:r>
      <w:r>
        <w:rPr>
          <w:w w:val="110"/>
          <w:sz w:val="18"/>
        </w:rPr>
        <w:t>–</w:t>
      </w:r>
      <w:r>
        <w:rPr>
          <w:spacing w:val="-7"/>
          <w:w w:val="110"/>
          <w:sz w:val="18"/>
        </w:rPr>
        <w:t> </w:t>
      </w:r>
      <w:r>
        <w:rPr>
          <w:w w:val="110"/>
          <w:sz w:val="18"/>
        </w:rPr>
        <w:t>5.0%</w:t>
        <w:tab/>
        <w:t>300.0 –</w:t>
      </w:r>
      <w:r>
        <w:rPr>
          <w:spacing w:val="-22"/>
          <w:w w:val="110"/>
          <w:sz w:val="18"/>
        </w:rPr>
        <w:t> </w:t>
      </w:r>
      <w:r>
        <w:rPr>
          <w:w w:val="110"/>
          <w:sz w:val="18"/>
        </w:rPr>
        <w:t>310.0</w:t>
      </w:r>
    </w:p>
    <w:p>
      <w:pPr>
        <w:tabs>
          <w:tab w:pos="2828" w:val="left" w:leader="none"/>
          <w:tab w:pos="5036" w:val="left" w:leader="none"/>
          <w:tab w:pos="6877" w:val="left" w:leader="none"/>
          <w:tab w:pos="9018" w:val="left" w:leader="none"/>
        </w:tabs>
        <w:spacing w:before="46" w:after="76"/>
        <w:ind w:left="581" w:right="0" w:firstLine="0"/>
        <w:jc w:val="left"/>
        <w:rPr>
          <w:sz w:val="18"/>
        </w:rPr>
      </w:pPr>
      <w:r>
        <w:rPr>
          <w:w w:val="105"/>
          <w:sz w:val="18"/>
        </w:rPr>
        <w:t>Development</w:t>
      </w:r>
      <w:r>
        <w:rPr>
          <w:spacing w:val="-30"/>
          <w:w w:val="105"/>
          <w:sz w:val="18"/>
        </w:rPr>
        <w:t> </w:t>
      </w:r>
      <w:r>
        <w:rPr>
          <w:w w:val="105"/>
          <w:sz w:val="18"/>
        </w:rPr>
        <w:t>3</w:t>
        <w:tab/>
      </w:r>
      <w:r>
        <w:rPr>
          <w:w w:val="110"/>
          <w:sz w:val="18"/>
        </w:rPr>
        <w:t>Non-SEZ</w:t>
        <w:tab/>
        <w:t>1.2</w:t>
        <w:tab/>
        <w:t>10.0</w:t>
      </w:r>
      <w:r>
        <w:rPr>
          <w:spacing w:val="-8"/>
          <w:w w:val="110"/>
          <w:sz w:val="18"/>
        </w:rPr>
        <w:t> </w:t>
      </w:r>
      <w:r>
        <w:rPr>
          <w:w w:val="110"/>
          <w:sz w:val="18"/>
        </w:rPr>
        <w:t>–</w:t>
      </w:r>
      <w:r>
        <w:rPr>
          <w:spacing w:val="-6"/>
          <w:w w:val="110"/>
          <w:sz w:val="18"/>
        </w:rPr>
        <w:t> </w:t>
      </w:r>
      <w:r>
        <w:rPr>
          <w:w w:val="110"/>
          <w:sz w:val="18"/>
        </w:rPr>
        <w:t>15.0%</w:t>
        <w:tab/>
        <w:t>300.0 –</w:t>
      </w:r>
      <w:r>
        <w:rPr>
          <w:spacing w:val="-22"/>
          <w:w w:val="110"/>
          <w:sz w:val="18"/>
        </w:rPr>
        <w:t> </w:t>
      </w:r>
      <w:r>
        <w:rPr>
          <w:w w:val="110"/>
          <w:sz w:val="18"/>
        </w:rPr>
        <w:t>310.0</w:t>
      </w:r>
    </w:p>
    <w:p>
      <w:pPr>
        <w:pStyle w:val="BodyText"/>
        <w:spacing w:line="20" w:lineRule="exact"/>
        <w:ind w:left="105"/>
        <w:rPr>
          <w:sz w:val="2"/>
        </w:rPr>
      </w:pPr>
      <w:r>
        <w:rPr>
          <w:sz w:val="2"/>
        </w:rPr>
        <w:pict>
          <v:group style="width:524.3pt;height:.5pt;mso-position-horizontal-relative:char;mso-position-vertical-relative:line" coordorigin="0,0" coordsize="10486,10">
            <v:rect style="position:absolute;left:0;top:0;width:10486;height:10" filled="true" fillcolor="#92d050" stroked="false">
              <v:fill type="solid"/>
            </v:rect>
          </v:group>
        </w:pict>
      </w:r>
      <w:r>
        <w:rPr>
          <w:sz w:val="2"/>
        </w:rPr>
      </w:r>
    </w:p>
    <w:p>
      <w:pPr>
        <w:spacing w:before="0"/>
        <w:ind w:left="120" w:right="0" w:firstLine="0"/>
        <w:jc w:val="left"/>
        <w:rPr>
          <w:i/>
          <w:sz w:val="16"/>
        </w:rPr>
      </w:pPr>
      <w:r>
        <w:rPr>
          <w:i/>
          <w:sz w:val="16"/>
        </w:rPr>
        <w:t>Source: CBRE Research; </w:t>
      </w:r>
      <w:r>
        <w:rPr>
          <w:i/>
          <w:sz w:val="16"/>
          <w:vertAlign w:val="superscript"/>
        </w:rPr>
        <w:t>#</w:t>
      </w:r>
      <w:r>
        <w:rPr>
          <w:i/>
          <w:sz w:val="16"/>
          <w:vertAlign w:val="baseline"/>
        </w:rPr>
        <w:t>All-inclusive quoted rental on leasable area</w:t>
      </w:r>
    </w:p>
    <w:p>
      <w:pPr>
        <w:pStyle w:val="BodyText"/>
        <w:spacing w:before="4"/>
        <w:rPr>
          <w:i/>
          <w:sz w:val="21"/>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44" w:id="282"/>
      <w:bookmarkEnd w:id="282"/>
      <w:r>
        <w:rPr/>
      </w:r>
      <w:bookmarkStart w:name="_bookmark144" w:id="283"/>
      <w:bookmarkEnd w:id="283"/>
      <w:r>
        <w:rPr>
          <w:color w:val="1F664D"/>
          <w:sz w:val="22"/>
        </w:rPr>
        <w:t>Le</w:t>
      </w:r>
      <w:r>
        <w:rPr>
          <w:color w:val="1F664D"/>
          <w:sz w:val="22"/>
        </w:rPr>
        <w:t>ase Rent</w:t>
      </w:r>
      <w:r>
        <w:rPr>
          <w:color w:val="1F664D"/>
          <w:spacing w:val="-3"/>
          <w:sz w:val="22"/>
        </w:rPr>
        <w:t> </w:t>
      </w:r>
      <w:r>
        <w:rPr>
          <w:color w:val="1F664D"/>
          <w:sz w:val="22"/>
        </w:rPr>
        <w:t>Analysis</w:t>
      </w:r>
    </w:p>
    <w:p>
      <w:pPr>
        <w:pStyle w:val="BodyText"/>
        <w:spacing w:line="321" w:lineRule="auto" w:before="208"/>
        <w:ind w:left="682" w:right="192"/>
        <w:jc w:val="both"/>
      </w:pPr>
      <w:r>
        <w:rPr/>
        <w:t>The</w:t>
      </w:r>
      <w:r>
        <w:rPr>
          <w:spacing w:val="-6"/>
        </w:rPr>
        <w:t> </w:t>
      </w:r>
      <w:r>
        <w:rPr/>
        <w:t>current</w:t>
      </w:r>
      <w:r>
        <w:rPr>
          <w:spacing w:val="-5"/>
        </w:rPr>
        <w:t> </w:t>
      </w:r>
      <w:r>
        <w:rPr/>
        <w:t>rents</w:t>
      </w:r>
      <w:r>
        <w:rPr>
          <w:spacing w:val="-3"/>
        </w:rPr>
        <w:t> </w:t>
      </w:r>
      <w:r>
        <w:rPr/>
        <w:t>in</w:t>
      </w:r>
      <w:r>
        <w:rPr>
          <w:spacing w:val="-5"/>
        </w:rPr>
        <w:t> </w:t>
      </w:r>
      <w:r>
        <w:rPr/>
        <w:t>subject</w:t>
      </w:r>
      <w:r>
        <w:rPr>
          <w:spacing w:val="-3"/>
        </w:rPr>
        <w:t> </w:t>
      </w:r>
      <w:r>
        <w:rPr/>
        <w:t>sub-market</w:t>
      </w:r>
      <w:r>
        <w:rPr>
          <w:spacing w:val="-4"/>
        </w:rPr>
        <w:t> </w:t>
      </w:r>
      <w:r>
        <w:rPr/>
        <w:t>typically</w:t>
      </w:r>
      <w:r>
        <w:rPr>
          <w:spacing w:val="-3"/>
        </w:rPr>
        <w:t> </w:t>
      </w:r>
      <w:r>
        <w:rPr/>
        <w:t>vary</w:t>
      </w:r>
      <w:r>
        <w:rPr>
          <w:spacing w:val="-3"/>
        </w:rPr>
        <w:t> </w:t>
      </w:r>
      <w:r>
        <w:rPr/>
        <w:t>between</w:t>
      </w:r>
      <w:r>
        <w:rPr>
          <w:spacing w:val="-3"/>
        </w:rPr>
        <w:t> </w:t>
      </w:r>
      <w:r>
        <w:rPr/>
        <w:t>INR</w:t>
      </w:r>
      <w:r>
        <w:rPr>
          <w:spacing w:val="-4"/>
        </w:rPr>
        <w:t> </w:t>
      </w:r>
      <w:r>
        <w:rPr/>
        <w:t>300.0</w:t>
      </w:r>
      <w:r>
        <w:rPr>
          <w:spacing w:val="-7"/>
        </w:rPr>
        <w:t> </w:t>
      </w:r>
      <w:r>
        <w:rPr>
          <w:w w:val="105"/>
        </w:rPr>
        <w:t>–</w:t>
      </w:r>
      <w:r>
        <w:rPr>
          <w:spacing w:val="-8"/>
          <w:w w:val="105"/>
        </w:rPr>
        <w:t> </w:t>
      </w:r>
      <w:r>
        <w:rPr/>
        <w:t>430.0</w:t>
      </w:r>
      <w:r>
        <w:rPr>
          <w:spacing w:val="-4"/>
        </w:rPr>
        <w:t> </w:t>
      </w:r>
      <w:r>
        <w:rPr/>
        <w:t>psf</w:t>
      </w:r>
      <w:r>
        <w:rPr>
          <w:spacing w:val="-6"/>
        </w:rPr>
        <w:t> </w:t>
      </w:r>
      <w:r>
        <w:rPr/>
        <w:t>pm</w:t>
      </w:r>
      <w:r>
        <w:rPr>
          <w:spacing w:val="-4"/>
        </w:rPr>
        <w:t> </w:t>
      </w:r>
      <w:r>
        <w:rPr/>
        <w:t>on</w:t>
      </w:r>
      <w:r>
        <w:rPr>
          <w:spacing w:val="-5"/>
        </w:rPr>
        <w:t> </w:t>
      </w:r>
      <w:r>
        <w:rPr/>
        <w:t>leasable area</w:t>
      </w:r>
      <w:r>
        <w:rPr>
          <w:spacing w:val="-9"/>
        </w:rPr>
        <w:t> </w:t>
      </w:r>
      <w:r>
        <w:rPr/>
        <w:t>basis</w:t>
      </w:r>
      <w:r>
        <w:rPr>
          <w:spacing w:val="-9"/>
        </w:rPr>
        <w:t> </w:t>
      </w:r>
      <w:r>
        <w:rPr/>
        <w:t>depending</w:t>
      </w:r>
      <w:r>
        <w:rPr>
          <w:spacing w:val="-9"/>
        </w:rPr>
        <w:t> </w:t>
      </w:r>
      <w:r>
        <w:rPr/>
        <w:t>upon</w:t>
      </w:r>
      <w:r>
        <w:rPr>
          <w:spacing w:val="-8"/>
        </w:rPr>
        <w:t> </w:t>
      </w:r>
      <w:r>
        <w:rPr/>
        <w:t>specifications</w:t>
      </w:r>
      <w:r>
        <w:rPr>
          <w:spacing w:val="-8"/>
        </w:rPr>
        <w:t> </w:t>
      </w:r>
      <w:r>
        <w:rPr/>
        <w:t>offered,</w:t>
      </w:r>
      <w:r>
        <w:rPr>
          <w:spacing w:val="-9"/>
        </w:rPr>
        <w:t> </w:t>
      </w:r>
      <w:r>
        <w:rPr/>
        <w:t>location</w:t>
      </w:r>
      <w:r>
        <w:rPr>
          <w:spacing w:val="-8"/>
        </w:rPr>
        <w:t> </w:t>
      </w:r>
      <w:r>
        <w:rPr/>
        <w:t>and</w:t>
      </w:r>
      <w:r>
        <w:rPr>
          <w:spacing w:val="-8"/>
        </w:rPr>
        <w:t> </w:t>
      </w:r>
      <w:r>
        <w:rPr/>
        <w:t>accessibility</w:t>
      </w:r>
      <w:r>
        <w:rPr>
          <w:spacing w:val="-7"/>
        </w:rPr>
        <w:t> </w:t>
      </w:r>
      <w:r>
        <w:rPr/>
        <w:t>of</w:t>
      </w:r>
      <w:r>
        <w:rPr>
          <w:spacing w:val="-9"/>
        </w:rPr>
        <w:t> </w:t>
      </w:r>
      <w:r>
        <w:rPr/>
        <w:t>the</w:t>
      </w:r>
      <w:r>
        <w:rPr>
          <w:spacing w:val="-10"/>
        </w:rPr>
        <w:t> </w:t>
      </w:r>
      <w:r>
        <w:rPr/>
        <w:t>development</w:t>
      </w:r>
      <w:r>
        <w:rPr>
          <w:spacing w:val="-10"/>
        </w:rPr>
        <w:t> </w:t>
      </w:r>
      <w:r>
        <w:rPr/>
        <w:t>(viz. along/off</w:t>
      </w:r>
      <w:r>
        <w:rPr>
          <w:spacing w:val="-4"/>
        </w:rPr>
        <w:t> </w:t>
      </w:r>
      <w:r>
        <w:rPr/>
        <w:t>the</w:t>
      </w:r>
      <w:r>
        <w:rPr>
          <w:spacing w:val="-5"/>
        </w:rPr>
        <w:t> </w:t>
      </w:r>
      <w:r>
        <w:rPr/>
        <w:t>main</w:t>
      </w:r>
      <w:r>
        <w:rPr>
          <w:spacing w:val="-5"/>
        </w:rPr>
        <w:t> </w:t>
      </w:r>
      <w:r>
        <w:rPr/>
        <w:t>arterial</w:t>
      </w:r>
      <w:r>
        <w:rPr>
          <w:spacing w:val="-5"/>
        </w:rPr>
        <w:t> </w:t>
      </w:r>
      <w:r>
        <w:rPr/>
        <w:t>roads),</w:t>
      </w:r>
      <w:r>
        <w:rPr>
          <w:spacing w:val="-4"/>
        </w:rPr>
        <w:t> </w:t>
      </w:r>
      <w:r>
        <w:rPr/>
        <w:t>quality</w:t>
      </w:r>
      <w:r>
        <w:rPr>
          <w:spacing w:val="-4"/>
        </w:rPr>
        <w:t> </w:t>
      </w:r>
      <w:r>
        <w:rPr/>
        <w:t>of</w:t>
      </w:r>
      <w:r>
        <w:rPr>
          <w:spacing w:val="-4"/>
        </w:rPr>
        <w:t> </w:t>
      </w:r>
      <w:r>
        <w:rPr/>
        <w:t>construction,</w:t>
      </w:r>
      <w:r>
        <w:rPr>
          <w:spacing w:val="-5"/>
        </w:rPr>
        <w:t> </w:t>
      </w:r>
      <w:r>
        <w:rPr/>
        <w:t>developer</w:t>
      </w:r>
      <w:r>
        <w:rPr>
          <w:spacing w:val="-5"/>
        </w:rPr>
        <w:t> </w:t>
      </w:r>
      <w:r>
        <w:rPr/>
        <w:t>brand,</w:t>
      </w:r>
      <w:r>
        <w:rPr>
          <w:spacing w:val="-4"/>
        </w:rPr>
        <w:t> </w:t>
      </w:r>
      <w:r>
        <w:rPr/>
        <w:t>amenities</w:t>
      </w:r>
      <w:r>
        <w:rPr>
          <w:spacing w:val="-4"/>
        </w:rPr>
        <w:t> </w:t>
      </w:r>
      <w:r>
        <w:rPr/>
        <w:t>offered,</w:t>
      </w:r>
      <w:r>
        <w:rPr>
          <w:spacing w:val="-6"/>
        </w:rPr>
        <w:t> </w:t>
      </w:r>
      <w:r>
        <w:rPr/>
        <w:t>etc. Further,</w:t>
      </w:r>
      <w:r>
        <w:rPr>
          <w:spacing w:val="-19"/>
        </w:rPr>
        <w:t> </w:t>
      </w:r>
      <w:r>
        <w:rPr/>
        <w:t>CAM</w:t>
      </w:r>
      <w:r>
        <w:rPr>
          <w:spacing w:val="-18"/>
        </w:rPr>
        <w:t> </w:t>
      </w:r>
      <w:r>
        <w:rPr/>
        <w:t>charges</w:t>
      </w:r>
      <w:r>
        <w:rPr>
          <w:spacing w:val="-17"/>
        </w:rPr>
        <w:t> </w:t>
      </w:r>
      <w:r>
        <w:rPr/>
        <w:t>(included</w:t>
      </w:r>
      <w:r>
        <w:rPr>
          <w:spacing w:val="-18"/>
        </w:rPr>
        <w:t> </w:t>
      </w:r>
      <w:r>
        <w:rPr/>
        <w:t>in</w:t>
      </w:r>
      <w:r>
        <w:rPr>
          <w:spacing w:val="-19"/>
        </w:rPr>
        <w:t> </w:t>
      </w:r>
      <w:r>
        <w:rPr/>
        <w:t>the</w:t>
      </w:r>
      <w:r>
        <w:rPr>
          <w:spacing w:val="-19"/>
        </w:rPr>
        <w:t> </w:t>
      </w:r>
      <w:r>
        <w:rPr/>
        <w:t>above-mentioned</w:t>
      </w:r>
      <w:r>
        <w:rPr>
          <w:spacing w:val="-17"/>
        </w:rPr>
        <w:t> </w:t>
      </w:r>
      <w:r>
        <w:rPr/>
        <w:t>rents)</w:t>
      </w:r>
      <w:r>
        <w:rPr>
          <w:spacing w:val="-18"/>
        </w:rPr>
        <w:t> </w:t>
      </w:r>
      <w:r>
        <w:rPr/>
        <w:t>are</w:t>
      </w:r>
      <w:r>
        <w:rPr>
          <w:spacing w:val="-19"/>
        </w:rPr>
        <w:t> </w:t>
      </w:r>
      <w:r>
        <w:rPr/>
        <w:t>identified</w:t>
      </w:r>
      <w:r>
        <w:rPr>
          <w:spacing w:val="-17"/>
        </w:rPr>
        <w:t> </w:t>
      </w:r>
      <w:r>
        <w:rPr/>
        <w:t>to</w:t>
      </w:r>
      <w:r>
        <w:rPr>
          <w:spacing w:val="-20"/>
        </w:rPr>
        <w:t> </w:t>
      </w:r>
      <w:r>
        <w:rPr/>
        <w:t>be</w:t>
      </w:r>
      <w:r>
        <w:rPr>
          <w:spacing w:val="-18"/>
        </w:rPr>
        <w:t> </w:t>
      </w:r>
      <w:r>
        <w:rPr/>
        <w:t>approx.</w:t>
      </w:r>
      <w:r>
        <w:rPr>
          <w:spacing w:val="-18"/>
        </w:rPr>
        <w:t> </w:t>
      </w:r>
      <w:r>
        <w:rPr/>
        <w:t>INR</w:t>
      </w:r>
      <w:r>
        <w:rPr>
          <w:spacing w:val="-19"/>
        </w:rPr>
        <w:t> </w:t>
      </w:r>
      <w:r>
        <w:rPr/>
        <w:t>15.0</w:t>
      </w:r>
      <w:r>
        <w:rPr>
          <w:spacing w:val="-19"/>
        </w:rPr>
        <w:t> </w:t>
      </w:r>
      <w:r>
        <w:rPr/>
        <w:t>to</w:t>
      </w:r>
    </w:p>
    <w:p>
      <w:pPr>
        <w:pStyle w:val="BodyText"/>
        <w:spacing w:line="321" w:lineRule="auto" w:before="1"/>
        <w:ind w:left="682" w:right="200"/>
        <w:jc w:val="both"/>
      </w:pPr>
      <w:r>
        <w:rPr/>
        <w:t>20.0</w:t>
      </w:r>
      <w:r>
        <w:rPr>
          <w:spacing w:val="-9"/>
        </w:rPr>
        <w:t> </w:t>
      </w:r>
      <w:r>
        <w:rPr/>
        <w:t>psf</w:t>
      </w:r>
      <w:r>
        <w:rPr>
          <w:spacing w:val="-8"/>
        </w:rPr>
        <w:t> </w:t>
      </w:r>
      <w:r>
        <w:rPr/>
        <w:t>pm</w:t>
      </w:r>
      <w:r>
        <w:rPr>
          <w:spacing w:val="-10"/>
        </w:rPr>
        <w:t> </w:t>
      </w:r>
      <w:r>
        <w:rPr/>
        <w:t>depending</w:t>
      </w:r>
      <w:r>
        <w:rPr>
          <w:spacing w:val="-11"/>
        </w:rPr>
        <w:t> </w:t>
      </w:r>
      <w:r>
        <w:rPr/>
        <w:t>on</w:t>
      </w:r>
      <w:r>
        <w:rPr>
          <w:spacing w:val="-8"/>
        </w:rPr>
        <w:t> </w:t>
      </w:r>
      <w:r>
        <w:rPr/>
        <w:t>the</w:t>
      </w:r>
      <w:r>
        <w:rPr>
          <w:spacing w:val="-9"/>
        </w:rPr>
        <w:t> </w:t>
      </w:r>
      <w:r>
        <w:rPr/>
        <w:t>type</w:t>
      </w:r>
      <w:r>
        <w:rPr>
          <w:spacing w:val="-10"/>
        </w:rPr>
        <w:t> </w:t>
      </w:r>
      <w:r>
        <w:rPr/>
        <w:t>of</w:t>
      </w:r>
      <w:r>
        <w:rPr>
          <w:spacing w:val="-9"/>
        </w:rPr>
        <w:t> </w:t>
      </w:r>
      <w:r>
        <w:rPr/>
        <w:t>the</w:t>
      </w:r>
      <w:r>
        <w:rPr>
          <w:spacing w:val="-8"/>
        </w:rPr>
        <w:t> </w:t>
      </w:r>
      <w:r>
        <w:rPr/>
        <w:t>structure.</w:t>
      </w:r>
      <w:r>
        <w:rPr>
          <w:spacing w:val="-9"/>
        </w:rPr>
        <w:t> </w:t>
      </w:r>
      <w:r>
        <w:rPr/>
        <w:t>The</w:t>
      </w:r>
      <w:r>
        <w:rPr>
          <w:spacing w:val="-9"/>
        </w:rPr>
        <w:t> </w:t>
      </w:r>
      <w:r>
        <w:rPr/>
        <w:t>parking</w:t>
      </w:r>
      <w:r>
        <w:rPr>
          <w:spacing w:val="-8"/>
        </w:rPr>
        <w:t> </w:t>
      </w:r>
      <w:r>
        <w:rPr/>
        <w:t>charges</w:t>
      </w:r>
      <w:r>
        <w:rPr>
          <w:spacing w:val="-9"/>
        </w:rPr>
        <w:t> </w:t>
      </w:r>
      <w:r>
        <w:rPr/>
        <w:t>in</w:t>
      </w:r>
      <w:r>
        <w:rPr>
          <w:spacing w:val="-8"/>
        </w:rPr>
        <w:t> </w:t>
      </w:r>
      <w:r>
        <w:rPr/>
        <w:t>such</w:t>
      </w:r>
      <w:r>
        <w:rPr>
          <w:spacing w:val="-10"/>
        </w:rPr>
        <w:t> </w:t>
      </w:r>
      <w:r>
        <w:rPr/>
        <w:t>developments</w:t>
      </w:r>
      <w:r>
        <w:rPr>
          <w:spacing w:val="-9"/>
        </w:rPr>
        <w:t> </w:t>
      </w:r>
      <w:r>
        <w:rPr/>
        <w:t>range between INR 10,000 </w:t>
      </w:r>
      <w:r>
        <w:rPr>
          <w:w w:val="105"/>
        </w:rPr>
        <w:t>– </w:t>
      </w:r>
      <w:r>
        <w:rPr/>
        <w:t>15,000 per bay per month for covered car</w:t>
      </w:r>
      <w:r>
        <w:rPr>
          <w:spacing w:val="-36"/>
        </w:rPr>
        <w:t> </w:t>
      </w:r>
      <w:r>
        <w:rPr/>
        <w:t>parks.</w:t>
      </w:r>
    </w:p>
    <w:p>
      <w:pPr>
        <w:pStyle w:val="BodyText"/>
        <w:spacing w:before="9"/>
        <w:rPr>
          <w:sz w:val="20"/>
        </w:rPr>
      </w:pPr>
    </w:p>
    <w:p>
      <w:pPr>
        <w:pStyle w:val="BodyText"/>
        <w:spacing w:line="324" w:lineRule="auto"/>
        <w:ind w:left="660" w:right="197"/>
        <w:jc w:val="both"/>
      </w:pPr>
      <w:r>
        <w:rPr/>
        <w:t>The</w:t>
      </w:r>
      <w:r>
        <w:rPr>
          <w:spacing w:val="-40"/>
        </w:rPr>
        <w:t> </w:t>
      </w:r>
      <w:r>
        <w:rPr/>
        <w:t>table</w:t>
      </w:r>
      <w:r>
        <w:rPr>
          <w:spacing w:val="-40"/>
        </w:rPr>
        <w:t> </w:t>
      </w:r>
      <w:r>
        <w:rPr/>
        <w:t>below</w:t>
      </w:r>
      <w:r>
        <w:rPr>
          <w:spacing w:val="-40"/>
        </w:rPr>
        <w:t> </w:t>
      </w:r>
      <w:r>
        <w:rPr/>
        <w:t>highlights</w:t>
      </w:r>
      <w:r>
        <w:rPr>
          <w:spacing w:val="-39"/>
        </w:rPr>
        <w:t> </w:t>
      </w:r>
      <w:r>
        <w:rPr/>
        <w:t>some</w:t>
      </w:r>
      <w:r>
        <w:rPr>
          <w:spacing w:val="-40"/>
        </w:rPr>
        <w:t> </w:t>
      </w:r>
      <w:r>
        <w:rPr/>
        <w:t>of</w:t>
      </w:r>
      <w:r>
        <w:rPr>
          <w:spacing w:val="-38"/>
        </w:rPr>
        <w:t> </w:t>
      </w:r>
      <w:r>
        <w:rPr/>
        <w:t>the</w:t>
      </w:r>
      <w:r>
        <w:rPr>
          <w:spacing w:val="-40"/>
        </w:rPr>
        <w:t> </w:t>
      </w:r>
      <w:r>
        <w:rPr/>
        <w:t>recent</w:t>
      </w:r>
      <w:r>
        <w:rPr>
          <w:spacing w:val="-38"/>
        </w:rPr>
        <w:t> </w:t>
      </w:r>
      <w:r>
        <w:rPr/>
        <w:t>lease</w:t>
      </w:r>
      <w:r>
        <w:rPr>
          <w:spacing w:val="-41"/>
        </w:rPr>
        <w:t> </w:t>
      </w:r>
      <w:r>
        <w:rPr/>
        <w:t>transactions</w:t>
      </w:r>
      <w:r>
        <w:rPr>
          <w:spacing w:val="-39"/>
        </w:rPr>
        <w:t> </w:t>
      </w:r>
      <w:r>
        <w:rPr/>
        <w:t>for</w:t>
      </w:r>
      <w:r>
        <w:rPr>
          <w:spacing w:val="-41"/>
        </w:rPr>
        <w:t> </w:t>
      </w:r>
      <w:r>
        <w:rPr/>
        <w:t>developments</w:t>
      </w:r>
      <w:r>
        <w:rPr>
          <w:spacing w:val="-38"/>
        </w:rPr>
        <w:t> </w:t>
      </w:r>
      <w:r>
        <w:rPr/>
        <w:t>in</w:t>
      </w:r>
      <w:r>
        <w:rPr>
          <w:spacing w:val="-40"/>
        </w:rPr>
        <w:t> </w:t>
      </w:r>
      <w:r>
        <w:rPr/>
        <w:t>the</w:t>
      </w:r>
      <w:r>
        <w:rPr>
          <w:spacing w:val="-40"/>
        </w:rPr>
        <w:t> </w:t>
      </w:r>
      <w:r>
        <w:rPr/>
        <w:t>influence</w:t>
      </w:r>
      <w:r>
        <w:rPr>
          <w:spacing w:val="-40"/>
        </w:rPr>
        <w:t> </w:t>
      </w:r>
      <w:r>
        <w:rPr/>
        <w:t>region of the subject</w:t>
      </w:r>
      <w:r>
        <w:rPr>
          <w:spacing w:val="-13"/>
        </w:rPr>
        <w:t> </w:t>
      </w:r>
      <w:r>
        <w:rPr/>
        <w:t>property:</w:t>
      </w:r>
    </w:p>
    <w:p>
      <w:pPr>
        <w:pStyle w:val="BodyText"/>
        <w:spacing w:before="8"/>
        <w:rPr>
          <w:sz w:val="20"/>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81"/>
        <w:gridCol w:w="1920"/>
        <w:gridCol w:w="1803"/>
        <w:gridCol w:w="4082"/>
      </w:tblGrid>
      <w:tr>
        <w:trPr>
          <w:trHeight w:val="308" w:hRule="atLeast"/>
        </w:trPr>
        <w:tc>
          <w:tcPr>
            <w:tcW w:w="2681" w:type="dxa"/>
            <w:tcBorders>
              <w:top w:val="single" w:sz="6" w:space="0" w:color="69BD28"/>
              <w:bottom w:val="single" w:sz="6" w:space="0" w:color="69BD28"/>
            </w:tcBorders>
            <w:shd w:val="clear" w:color="auto" w:fill="006A4D"/>
          </w:tcPr>
          <w:p>
            <w:pPr>
              <w:pStyle w:val="TableParagraph"/>
              <w:spacing w:before="49"/>
              <w:ind w:left="446" w:right="461"/>
              <w:rPr>
                <w:b/>
                <w:sz w:val="18"/>
              </w:rPr>
            </w:pPr>
            <w:r>
              <w:rPr>
                <w:b/>
                <w:color w:val="FFFFFF"/>
                <w:w w:val="105"/>
                <w:sz w:val="18"/>
              </w:rPr>
              <w:t>Date of Transaction</w:t>
            </w:r>
          </w:p>
        </w:tc>
        <w:tc>
          <w:tcPr>
            <w:tcW w:w="1920" w:type="dxa"/>
            <w:tcBorders>
              <w:top w:val="single" w:sz="6" w:space="0" w:color="69BD28"/>
              <w:bottom w:val="single" w:sz="6" w:space="0" w:color="69BD28"/>
            </w:tcBorders>
            <w:shd w:val="clear" w:color="auto" w:fill="006A4D"/>
          </w:tcPr>
          <w:p>
            <w:pPr>
              <w:pStyle w:val="TableParagraph"/>
              <w:spacing w:before="49"/>
              <w:ind w:left="83" w:right="244"/>
              <w:rPr>
                <w:b/>
                <w:sz w:val="18"/>
              </w:rPr>
            </w:pPr>
            <w:r>
              <w:rPr>
                <w:b/>
                <w:color w:val="FFFFFF"/>
                <w:w w:val="110"/>
                <w:sz w:val="18"/>
              </w:rPr>
              <w:t>Area</w:t>
            </w:r>
            <w:r>
              <w:rPr>
                <w:b/>
                <w:color w:val="FFFFFF"/>
                <w:spacing w:val="51"/>
                <w:w w:val="110"/>
                <w:sz w:val="18"/>
              </w:rPr>
              <w:t> </w:t>
            </w:r>
            <w:r>
              <w:rPr>
                <w:b/>
                <w:color w:val="FFFFFF"/>
                <w:w w:val="110"/>
                <w:sz w:val="18"/>
              </w:rPr>
              <w:t>(sf)</w:t>
            </w:r>
          </w:p>
        </w:tc>
        <w:tc>
          <w:tcPr>
            <w:tcW w:w="1803" w:type="dxa"/>
            <w:tcBorders>
              <w:top w:val="single" w:sz="6" w:space="0" w:color="69BD28"/>
              <w:bottom w:val="single" w:sz="6" w:space="0" w:color="69BD28"/>
            </w:tcBorders>
            <w:shd w:val="clear" w:color="auto" w:fill="006A4D"/>
          </w:tcPr>
          <w:p>
            <w:pPr>
              <w:pStyle w:val="TableParagraph"/>
              <w:spacing w:before="49"/>
              <w:ind w:right="515"/>
              <w:jc w:val="right"/>
              <w:rPr>
                <w:b/>
                <w:sz w:val="18"/>
              </w:rPr>
            </w:pPr>
            <w:r>
              <w:rPr>
                <w:b/>
                <w:color w:val="FFFFFF"/>
                <w:w w:val="105"/>
                <w:sz w:val="18"/>
              </w:rPr>
              <w:t>Tenant</w:t>
            </w:r>
          </w:p>
        </w:tc>
        <w:tc>
          <w:tcPr>
            <w:tcW w:w="4082" w:type="dxa"/>
            <w:tcBorders>
              <w:top w:val="single" w:sz="6" w:space="0" w:color="69BD28"/>
              <w:bottom w:val="single" w:sz="6" w:space="0" w:color="69BD28"/>
            </w:tcBorders>
            <w:shd w:val="clear" w:color="auto" w:fill="006A4D"/>
          </w:tcPr>
          <w:p>
            <w:pPr>
              <w:pStyle w:val="TableParagraph"/>
              <w:spacing w:before="49"/>
              <w:ind w:left="442" w:right="168"/>
              <w:rPr>
                <w:b/>
                <w:sz w:val="18"/>
              </w:rPr>
            </w:pPr>
            <w:r>
              <w:rPr>
                <w:b/>
                <w:color w:val="FFFFFF"/>
                <w:w w:val="110"/>
                <w:sz w:val="18"/>
              </w:rPr>
              <w:t>Transacted Rent Value (INR psf pm) *</w:t>
            </w:r>
          </w:p>
        </w:tc>
      </w:tr>
      <w:tr>
        <w:trPr>
          <w:trHeight w:val="308" w:hRule="atLeast"/>
        </w:trPr>
        <w:tc>
          <w:tcPr>
            <w:tcW w:w="2681" w:type="dxa"/>
            <w:tcBorders>
              <w:top w:val="single" w:sz="6" w:space="0" w:color="69BD28"/>
              <w:bottom w:val="single" w:sz="6" w:space="0" w:color="69BD28"/>
            </w:tcBorders>
          </w:tcPr>
          <w:p>
            <w:pPr>
              <w:pStyle w:val="TableParagraph"/>
              <w:spacing w:before="49"/>
              <w:ind w:left="443" w:right="461"/>
              <w:rPr>
                <w:sz w:val="18"/>
              </w:rPr>
            </w:pPr>
            <w:r>
              <w:rPr>
                <w:w w:val="110"/>
                <w:sz w:val="18"/>
              </w:rPr>
              <w:t>Q4, 2019</w:t>
            </w:r>
          </w:p>
        </w:tc>
        <w:tc>
          <w:tcPr>
            <w:tcW w:w="1920" w:type="dxa"/>
            <w:tcBorders>
              <w:top w:val="single" w:sz="6" w:space="0" w:color="69BD28"/>
              <w:bottom w:val="single" w:sz="6" w:space="0" w:color="69BD28"/>
            </w:tcBorders>
          </w:tcPr>
          <w:p>
            <w:pPr>
              <w:pStyle w:val="TableParagraph"/>
              <w:spacing w:before="49"/>
              <w:ind w:left="81" w:right="244"/>
              <w:rPr>
                <w:sz w:val="18"/>
              </w:rPr>
            </w:pPr>
            <w:r>
              <w:rPr>
                <w:w w:val="105"/>
                <w:sz w:val="18"/>
              </w:rPr>
              <w:t>6,500</w:t>
            </w:r>
          </w:p>
        </w:tc>
        <w:tc>
          <w:tcPr>
            <w:tcW w:w="1803" w:type="dxa"/>
            <w:tcBorders>
              <w:top w:val="single" w:sz="6" w:space="0" w:color="69BD28"/>
              <w:bottom w:val="single" w:sz="6" w:space="0" w:color="69BD28"/>
            </w:tcBorders>
          </w:tcPr>
          <w:p>
            <w:pPr>
              <w:pStyle w:val="TableParagraph"/>
              <w:spacing w:before="49"/>
              <w:ind w:right="482"/>
              <w:jc w:val="right"/>
              <w:rPr>
                <w:sz w:val="18"/>
              </w:rPr>
            </w:pPr>
            <w:r>
              <w:rPr>
                <w:sz w:val="18"/>
              </w:rPr>
              <w:t>Tenant 1</w:t>
            </w:r>
          </w:p>
        </w:tc>
        <w:tc>
          <w:tcPr>
            <w:tcW w:w="4082" w:type="dxa"/>
            <w:tcBorders>
              <w:top w:val="single" w:sz="6" w:space="0" w:color="69BD28"/>
              <w:bottom w:val="single" w:sz="6" w:space="0" w:color="69BD28"/>
            </w:tcBorders>
          </w:tcPr>
          <w:p>
            <w:pPr>
              <w:pStyle w:val="TableParagraph"/>
              <w:spacing w:before="49"/>
              <w:ind w:left="1138"/>
              <w:jc w:val="left"/>
              <w:rPr>
                <w:sz w:val="18"/>
              </w:rPr>
            </w:pPr>
            <w:r>
              <w:rPr>
                <w:w w:val="105"/>
                <w:sz w:val="18"/>
              </w:rPr>
              <w:t>420.0 – 430.0 (Furnished)</w:t>
            </w:r>
          </w:p>
        </w:tc>
      </w:tr>
      <w:tr>
        <w:trPr>
          <w:trHeight w:val="308" w:hRule="atLeast"/>
        </w:trPr>
        <w:tc>
          <w:tcPr>
            <w:tcW w:w="2681" w:type="dxa"/>
            <w:tcBorders>
              <w:top w:val="single" w:sz="6" w:space="0" w:color="69BD28"/>
              <w:bottom w:val="single" w:sz="6" w:space="0" w:color="69BD28"/>
            </w:tcBorders>
          </w:tcPr>
          <w:p>
            <w:pPr>
              <w:pStyle w:val="TableParagraph"/>
              <w:spacing w:before="49"/>
              <w:ind w:left="443" w:right="461"/>
              <w:rPr>
                <w:sz w:val="18"/>
              </w:rPr>
            </w:pPr>
            <w:r>
              <w:rPr>
                <w:w w:val="110"/>
                <w:sz w:val="18"/>
              </w:rPr>
              <w:t>Q4, 2019</w:t>
            </w:r>
          </w:p>
        </w:tc>
        <w:tc>
          <w:tcPr>
            <w:tcW w:w="1920" w:type="dxa"/>
            <w:tcBorders>
              <w:top w:val="single" w:sz="6" w:space="0" w:color="69BD28"/>
              <w:bottom w:val="single" w:sz="6" w:space="0" w:color="69BD28"/>
            </w:tcBorders>
          </w:tcPr>
          <w:p>
            <w:pPr>
              <w:pStyle w:val="TableParagraph"/>
              <w:spacing w:before="49"/>
              <w:ind w:left="81" w:right="244"/>
              <w:rPr>
                <w:sz w:val="18"/>
              </w:rPr>
            </w:pPr>
            <w:r>
              <w:rPr>
                <w:w w:val="110"/>
                <w:sz w:val="18"/>
              </w:rPr>
              <w:t>20,000</w:t>
            </w:r>
          </w:p>
        </w:tc>
        <w:tc>
          <w:tcPr>
            <w:tcW w:w="1803" w:type="dxa"/>
            <w:tcBorders>
              <w:top w:val="single" w:sz="6" w:space="0" w:color="69BD28"/>
              <w:bottom w:val="single" w:sz="6" w:space="0" w:color="69BD28"/>
            </w:tcBorders>
          </w:tcPr>
          <w:p>
            <w:pPr>
              <w:pStyle w:val="TableParagraph"/>
              <w:spacing w:before="49"/>
              <w:ind w:right="481"/>
              <w:jc w:val="right"/>
              <w:rPr>
                <w:sz w:val="18"/>
              </w:rPr>
            </w:pPr>
            <w:r>
              <w:rPr>
                <w:sz w:val="18"/>
              </w:rPr>
              <w:t>Tenant 2</w:t>
            </w:r>
          </w:p>
        </w:tc>
        <w:tc>
          <w:tcPr>
            <w:tcW w:w="4082" w:type="dxa"/>
            <w:tcBorders>
              <w:top w:val="single" w:sz="6" w:space="0" w:color="69BD28"/>
              <w:bottom w:val="single" w:sz="6" w:space="0" w:color="69BD28"/>
            </w:tcBorders>
          </w:tcPr>
          <w:p>
            <w:pPr>
              <w:pStyle w:val="TableParagraph"/>
              <w:spacing w:before="49"/>
              <w:ind w:left="1138"/>
              <w:jc w:val="left"/>
              <w:rPr>
                <w:sz w:val="18"/>
              </w:rPr>
            </w:pPr>
            <w:r>
              <w:rPr>
                <w:w w:val="105"/>
                <w:sz w:val="18"/>
              </w:rPr>
              <w:t>420.0 – 430.0 (Furnished)</w:t>
            </w:r>
          </w:p>
        </w:tc>
      </w:tr>
      <w:tr>
        <w:trPr>
          <w:trHeight w:val="308" w:hRule="atLeast"/>
        </w:trPr>
        <w:tc>
          <w:tcPr>
            <w:tcW w:w="2681" w:type="dxa"/>
            <w:tcBorders>
              <w:top w:val="single" w:sz="6" w:space="0" w:color="69BD28"/>
              <w:bottom w:val="single" w:sz="6" w:space="0" w:color="69BD28"/>
            </w:tcBorders>
          </w:tcPr>
          <w:p>
            <w:pPr>
              <w:pStyle w:val="TableParagraph"/>
              <w:spacing w:before="49"/>
              <w:ind w:left="443" w:right="461"/>
              <w:rPr>
                <w:sz w:val="18"/>
              </w:rPr>
            </w:pPr>
            <w:r>
              <w:rPr>
                <w:w w:val="110"/>
                <w:sz w:val="18"/>
              </w:rPr>
              <w:t>Q3, 2019</w:t>
            </w:r>
          </w:p>
        </w:tc>
        <w:tc>
          <w:tcPr>
            <w:tcW w:w="1920" w:type="dxa"/>
            <w:tcBorders>
              <w:top w:val="single" w:sz="6" w:space="0" w:color="69BD28"/>
              <w:bottom w:val="single" w:sz="6" w:space="0" w:color="69BD28"/>
            </w:tcBorders>
          </w:tcPr>
          <w:p>
            <w:pPr>
              <w:pStyle w:val="TableParagraph"/>
              <w:spacing w:before="49"/>
              <w:ind w:left="81" w:right="244"/>
              <w:rPr>
                <w:sz w:val="18"/>
              </w:rPr>
            </w:pPr>
            <w:r>
              <w:rPr>
                <w:w w:val="105"/>
                <w:sz w:val="18"/>
              </w:rPr>
              <w:t>6,500</w:t>
            </w:r>
          </w:p>
        </w:tc>
        <w:tc>
          <w:tcPr>
            <w:tcW w:w="1803" w:type="dxa"/>
            <w:tcBorders>
              <w:top w:val="single" w:sz="6" w:space="0" w:color="69BD28"/>
              <w:bottom w:val="single" w:sz="6" w:space="0" w:color="69BD28"/>
            </w:tcBorders>
          </w:tcPr>
          <w:p>
            <w:pPr>
              <w:pStyle w:val="TableParagraph"/>
              <w:spacing w:before="49"/>
              <w:ind w:right="481"/>
              <w:jc w:val="right"/>
              <w:rPr>
                <w:sz w:val="18"/>
              </w:rPr>
            </w:pPr>
            <w:r>
              <w:rPr>
                <w:sz w:val="18"/>
              </w:rPr>
              <w:t>Tenant 3</w:t>
            </w:r>
          </w:p>
        </w:tc>
        <w:tc>
          <w:tcPr>
            <w:tcW w:w="4082" w:type="dxa"/>
            <w:tcBorders>
              <w:top w:val="single" w:sz="6" w:space="0" w:color="69BD28"/>
              <w:bottom w:val="single" w:sz="6" w:space="0" w:color="69BD28"/>
            </w:tcBorders>
          </w:tcPr>
          <w:p>
            <w:pPr>
              <w:pStyle w:val="TableParagraph"/>
              <w:spacing w:before="49"/>
              <w:ind w:left="1138"/>
              <w:jc w:val="left"/>
              <w:rPr>
                <w:sz w:val="18"/>
              </w:rPr>
            </w:pPr>
            <w:r>
              <w:rPr>
                <w:w w:val="105"/>
                <w:sz w:val="18"/>
              </w:rPr>
              <w:t>370.0 – 380.0 (Furnished)</w:t>
            </w:r>
          </w:p>
        </w:tc>
      </w:tr>
      <w:tr>
        <w:trPr>
          <w:trHeight w:val="309" w:hRule="atLeast"/>
        </w:trPr>
        <w:tc>
          <w:tcPr>
            <w:tcW w:w="2681" w:type="dxa"/>
            <w:tcBorders>
              <w:top w:val="single" w:sz="6" w:space="0" w:color="69BD28"/>
              <w:bottom w:val="single" w:sz="6" w:space="0" w:color="69BD28"/>
            </w:tcBorders>
          </w:tcPr>
          <w:p>
            <w:pPr>
              <w:pStyle w:val="TableParagraph"/>
              <w:spacing w:before="49"/>
              <w:ind w:left="443" w:right="461"/>
              <w:rPr>
                <w:sz w:val="18"/>
              </w:rPr>
            </w:pPr>
            <w:r>
              <w:rPr>
                <w:w w:val="110"/>
                <w:sz w:val="18"/>
              </w:rPr>
              <w:t>Q3, 2019</w:t>
            </w:r>
          </w:p>
        </w:tc>
        <w:tc>
          <w:tcPr>
            <w:tcW w:w="1920" w:type="dxa"/>
            <w:tcBorders>
              <w:top w:val="single" w:sz="6" w:space="0" w:color="69BD28"/>
              <w:bottom w:val="single" w:sz="6" w:space="0" w:color="69BD28"/>
            </w:tcBorders>
          </w:tcPr>
          <w:p>
            <w:pPr>
              <w:pStyle w:val="TableParagraph"/>
              <w:spacing w:before="49"/>
              <w:ind w:left="80" w:right="244"/>
              <w:rPr>
                <w:sz w:val="18"/>
              </w:rPr>
            </w:pPr>
            <w:r>
              <w:rPr>
                <w:w w:val="110"/>
                <w:sz w:val="18"/>
              </w:rPr>
              <w:t>15,000</w:t>
            </w:r>
          </w:p>
        </w:tc>
        <w:tc>
          <w:tcPr>
            <w:tcW w:w="1803" w:type="dxa"/>
            <w:tcBorders>
              <w:top w:val="single" w:sz="6" w:space="0" w:color="69BD28"/>
              <w:bottom w:val="single" w:sz="6" w:space="0" w:color="69BD28"/>
            </w:tcBorders>
          </w:tcPr>
          <w:p>
            <w:pPr>
              <w:pStyle w:val="TableParagraph"/>
              <w:spacing w:before="49"/>
              <w:ind w:right="481"/>
              <w:jc w:val="right"/>
              <w:rPr>
                <w:sz w:val="18"/>
              </w:rPr>
            </w:pPr>
            <w:r>
              <w:rPr>
                <w:sz w:val="18"/>
              </w:rPr>
              <w:t>Tenant 4</w:t>
            </w:r>
          </w:p>
        </w:tc>
        <w:tc>
          <w:tcPr>
            <w:tcW w:w="4082" w:type="dxa"/>
            <w:tcBorders>
              <w:top w:val="single" w:sz="6" w:space="0" w:color="69BD28"/>
              <w:bottom w:val="single" w:sz="6" w:space="0" w:color="69BD28"/>
            </w:tcBorders>
          </w:tcPr>
          <w:p>
            <w:pPr>
              <w:pStyle w:val="TableParagraph"/>
              <w:spacing w:before="49"/>
              <w:ind w:left="441" w:right="168"/>
              <w:rPr>
                <w:sz w:val="18"/>
              </w:rPr>
            </w:pPr>
            <w:r>
              <w:rPr>
                <w:w w:val="110"/>
                <w:sz w:val="18"/>
              </w:rPr>
              <w:t>375.0 – 385.0 (BS)</w:t>
            </w:r>
          </w:p>
        </w:tc>
      </w:tr>
      <w:tr>
        <w:trPr>
          <w:trHeight w:val="308" w:hRule="atLeast"/>
        </w:trPr>
        <w:tc>
          <w:tcPr>
            <w:tcW w:w="2681" w:type="dxa"/>
            <w:tcBorders>
              <w:top w:val="single" w:sz="6" w:space="0" w:color="69BD28"/>
              <w:bottom w:val="single" w:sz="6" w:space="0" w:color="69BD28"/>
            </w:tcBorders>
          </w:tcPr>
          <w:p>
            <w:pPr>
              <w:pStyle w:val="TableParagraph"/>
              <w:spacing w:before="49"/>
              <w:ind w:left="443" w:right="461"/>
              <w:rPr>
                <w:sz w:val="18"/>
              </w:rPr>
            </w:pPr>
            <w:r>
              <w:rPr>
                <w:w w:val="110"/>
                <w:sz w:val="18"/>
              </w:rPr>
              <w:t>Q3, 2019</w:t>
            </w:r>
          </w:p>
        </w:tc>
        <w:tc>
          <w:tcPr>
            <w:tcW w:w="1920" w:type="dxa"/>
            <w:tcBorders>
              <w:top w:val="single" w:sz="6" w:space="0" w:color="69BD28"/>
              <w:bottom w:val="single" w:sz="6" w:space="0" w:color="69BD28"/>
            </w:tcBorders>
          </w:tcPr>
          <w:p>
            <w:pPr>
              <w:pStyle w:val="TableParagraph"/>
              <w:spacing w:before="49"/>
              <w:ind w:left="81" w:right="244"/>
              <w:rPr>
                <w:sz w:val="18"/>
              </w:rPr>
            </w:pPr>
            <w:r>
              <w:rPr>
                <w:w w:val="105"/>
                <w:sz w:val="18"/>
              </w:rPr>
              <w:t>3,500</w:t>
            </w:r>
          </w:p>
        </w:tc>
        <w:tc>
          <w:tcPr>
            <w:tcW w:w="1803" w:type="dxa"/>
            <w:tcBorders>
              <w:top w:val="single" w:sz="6" w:space="0" w:color="69BD28"/>
              <w:bottom w:val="single" w:sz="6" w:space="0" w:color="69BD28"/>
            </w:tcBorders>
          </w:tcPr>
          <w:p>
            <w:pPr>
              <w:pStyle w:val="TableParagraph"/>
              <w:spacing w:before="49"/>
              <w:ind w:right="481"/>
              <w:jc w:val="right"/>
              <w:rPr>
                <w:sz w:val="18"/>
              </w:rPr>
            </w:pPr>
            <w:r>
              <w:rPr>
                <w:sz w:val="18"/>
              </w:rPr>
              <w:t>Tenant 5</w:t>
            </w:r>
          </w:p>
        </w:tc>
        <w:tc>
          <w:tcPr>
            <w:tcW w:w="4082" w:type="dxa"/>
            <w:tcBorders>
              <w:top w:val="single" w:sz="6" w:space="0" w:color="69BD28"/>
              <w:bottom w:val="single" w:sz="6" w:space="0" w:color="69BD28"/>
            </w:tcBorders>
          </w:tcPr>
          <w:p>
            <w:pPr>
              <w:pStyle w:val="TableParagraph"/>
              <w:spacing w:before="49"/>
              <w:ind w:left="441" w:right="168"/>
              <w:rPr>
                <w:sz w:val="18"/>
              </w:rPr>
            </w:pPr>
            <w:r>
              <w:rPr>
                <w:w w:val="110"/>
                <w:sz w:val="18"/>
              </w:rPr>
              <w:t>375.0 – 385.0 (BS)</w:t>
            </w:r>
          </w:p>
        </w:tc>
      </w:tr>
      <w:tr>
        <w:trPr>
          <w:trHeight w:val="308" w:hRule="atLeast"/>
        </w:trPr>
        <w:tc>
          <w:tcPr>
            <w:tcW w:w="2681" w:type="dxa"/>
            <w:tcBorders>
              <w:top w:val="single" w:sz="6" w:space="0" w:color="69BD28"/>
              <w:bottom w:val="single" w:sz="6" w:space="0" w:color="69BD28"/>
            </w:tcBorders>
          </w:tcPr>
          <w:p>
            <w:pPr>
              <w:pStyle w:val="TableParagraph"/>
              <w:spacing w:before="49"/>
              <w:ind w:left="443" w:right="461"/>
              <w:rPr>
                <w:sz w:val="18"/>
              </w:rPr>
            </w:pPr>
            <w:r>
              <w:rPr>
                <w:w w:val="110"/>
                <w:sz w:val="18"/>
              </w:rPr>
              <w:t>Q3, 2019</w:t>
            </w:r>
          </w:p>
        </w:tc>
        <w:tc>
          <w:tcPr>
            <w:tcW w:w="1920" w:type="dxa"/>
            <w:tcBorders>
              <w:top w:val="single" w:sz="6" w:space="0" w:color="69BD28"/>
              <w:bottom w:val="single" w:sz="6" w:space="0" w:color="69BD28"/>
            </w:tcBorders>
          </w:tcPr>
          <w:p>
            <w:pPr>
              <w:pStyle w:val="TableParagraph"/>
              <w:spacing w:before="49"/>
              <w:ind w:left="81" w:right="244"/>
              <w:rPr>
                <w:sz w:val="18"/>
              </w:rPr>
            </w:pPr>
            <w:r>
              <w:rPr>
                <w:w w:val="110"/>
                <w:sz w:val="18"/>
              </w:rPr>
              <w:t>70,000</w:t>
            </w:r>
          </w:p>
        </w:tc>
        <w:tc>
          <w:tcPr>
            <w:tcW w:w="1803" w:type="dxa"/>
            <w:tcBorders>
              <w:top w:val="single" w:sz="6" w:space="0" w:color="69BD28"/>
              <w:bottom w:val="single" w:sz="6" w:space="0" w:color="69BD28"/>
            </w:tcBorders>
          </w:tcPr>
          <w:p>
            <w:pPr>
              <w:pStyle w:val="TableParagraph"/>
              <w:spacing w:before="49"/>
              <w:ind w:right="481"/>
              <w:jc w:val="right"/>
              <w:rPr>
                <w:sz w:val="18"/>
              </w:rPr>
            </w:pPr>
            <w:r>
              <w:rPr>
                <w:sz w:val="18"/>
              </w:rPr>
              <w:t>Tenant 6</w:t>
            </w:r>
          </w:p>
        </w:tc>
        <w:tc>
          <w:tcPr>
            <w:tcW w:w="4082" w:type="dxa"/>
            <w:tcBorders>
              <w:top w:val="single" w:sz="6" w:space="0" w:color="69BD28"/>
              <w:bottom w:val="single" w:sz="6" w:space="0" w:color="69BD28"/>
            </w:tcBorders>
          </w:tcPr>
          <w:p>
            <w:pPr>
              <w:pStyle w:val="TableParagraph"/>
              <w:spacing w:before="49"/>
              <w:ind w:left="441" w:right="168"/>
              <w:rPr>
                <w:sz w:val="18"/>
              </w:rPr>
            </w:pPr>
            <w:r>
              <w:rPr>
                <w:w w:val="110"/>
                <w:sz w:val="18"/>
              </w:rPr>
              <w:t>240.0 – 250.0 (BS)</w:t>
            </w:r>
          </w:p>
        </w:tc>
      </w:tr>
      <w:tr>
        <w:trPr>
          <w:trHeight w:val="308" w:hRule="atLeast"/>
        </w:trPr>
        <w:tc>
          <w:tcPr>
            <w:tcW w:w="2681" w:type="dxa"/>
            <w:tcBorders>
              <w:top w:val="single" w:sz="6" w:space="0" w:color="69BD28"/>
              <w:bottom w:val="single" w:sz="6" w:space="0" w:color="69BD28"/>
            </w:tcBorders>
          </w:tcPr>
          <w:p>
            <w:pPr>
              <w:pStyle w:val="TableParagraph"/>
              <w:spacing w:before="49"/>
              <w:ind w:left="443" w:right="461"/>
              <w:rPr>
                <w:sz w:val="18"/>
              </w:rPr>
            </w:pPr>
            <w:r>
              <w:rPr>
                <w:w w:val="110"/>
                <w:sz w:val="18"/>
              </w:rPr>
              <w:t>Q2, 2019</w:t>
            </w:r>
          </w:p>
        </w:tc>
        <w:tc>
          <w:tcPr>
            <w:tcW w:w="1920" w:type="dxa"/>
            <w:tcBorders>
              <w:top w:val="single" w:sz="6" w:space="0" w:color="69BD28"/>
              <w:bottom w:val="single" w:sz="6" w:space="0" w:color="69BD28"/>
            </w:tcBorders>
          </w:tcPr>
          <w:p>
            <w:pPr>
              <w:pStyle w:val="TableParagraph"/>
              <w:spacing w:before="49"/>
              <w:ind w:left="81" w:right="244"/>
              <w:rPr>
                <w:sz w:val="18"/>
              </w:rPr>
            </w:pPr>
            <w:r>
              <w:rPr>
                <w:w w:val="110"/>
                <w:sz w:val="18"/>
              </w:rPr>
              <w:t>25,000</w:t>
            </w:r>
          </w:p>
        </w:tc>
        <w:tc>
          <w:tcPr>
            <w:tcW w:w="1803" w:type="dxa"/>
            <w:tcBorders>
              <w:top w:val="single" w:sz="6" w:space="0" w:color="69BD28"/>
              <w:bottom w:val="single" w:sz="6" w:space="0" w:color="69BD28"/>
            </w:tcBorders>
          </w:tcPr>
          <w:p>
            <w:pPr>
              <w:pStyle w:val="TableParagraph"/>
              <w:spacing w:before="49"/>
              <w:ind w:right="481"/>
              <w:jc w:val="right"/>
              <w:rPr>
                <w:sz w:val="18"/>
              </w:rPr>
            </w:pPr>
            <w:r>
              <w:rPr>
                <w:sz w:val="18"/>
              </w:rPr>
              <w:t>Tenant 7</w:t>
            </w:r>
          </w:p>
        </w:tc>
        <w:tc>
          <w:tcPr>
            <w:tcW w:w="4082" w:type="dxa"/>
            <w:tcBorders>
              <w:top w:val="single" w:sz="6" w:space="0" w:color="69BD28"/>
              <w:bottom w:val="single" w:sz="6" w:space="0" w:color="69BD28"/>
            </w:tcBorders>
          </w:tcPr>
          <w:p>
            <w:pPr>
              <w:pStyle w:val="TableParagraph"/>
              <w:spacing w:before="49"/>
              <w:ind w:left="441" w:right="168"/>
              <w:rPr>
                <w:sz w:val="18"/>
              </w:rPr>
            </w:pPr>
            <w:r>
              <w:rPr>
                <w:w w:val="110"/>
                <w:sz w:val="18"/>
              </w:rPr>
              <w:t>240.0 – 250.0 (BS)</w:t>
            </w:r>
          </w:p>
        </w:tc>
      </w:tr>
      <w:tr>
        <w:trPr>
          <w:trHeight w:val="309" w:hRule="atLeast"/>
        </w:trPr>
        <w:tc>
          <w:tcPr>
            <w:tcW w:w="2681" w:type="dxa"/>
            <w:tcBorders>
              <w:top w:val="single" w:sz="6" w:space="0" w:color="69BD28"/>
              <w:bottom w:val="single" w:sz="6" w:space="0" w:color="69BD28"/>
            </w:tcBorders>
          </w:tcPr>
          <w:p>
            <w:pPr>
              <w:pStyle w:val="TableParagraph"/>
              <w:spacing w:before="49"/>
              <w:ind w:left="443" w:right="461"/>
              <w:rPr>
                <w:sz w:val="18"/>
              </w:rPr>
            </w:pPr>
            <w:r>
              <w:rPr>
                <w:w w:val="110"/>
                <w:sz w:val="18"/>
              </w:rPr>
              <w:t>Q2, 2019</w:t>
            </w:r>
          </w:p>
        </w:tc>
        <w:tc>
          <w:tcPr>
            <w:tcW w:w="1920" w:type="dxa"/>
            <w:tcBorders>
              <w:top w:val="single" w:sz="6" w:space="0" w:color="69BD28"/>
              <w:bottom w:val="single" w:sz="6" w:space="0" w:color="69BD28"/>
            </w:tcBorders>
          </w:tcPr>
          <w:p>
            <w:pPr>
              <w:pStyle w:val="TableParagraph"/>
              <w:spacing w:before="49"/>
              <w:ind w:left="83" w:right="244"/>
              <w:rPr>
                <w:sz w:val="18"/>
              </w:rPr>
            </w:pPr>
            <w:r>
              <w:rPr>
                <w:w w:val="110"/>
                <w:sz w:val="18"/>
              </w:rPr>
              <w:t>135,000</w:t>
            </w:r>
          </w:p>
        </w:tc>
        <w:tc>
          <w:tcPr>
            <w:tcW w:w="1803" w:type="dxa"/>
            <w:tcBorders>
              <w:top w:val="single" w:sz="6" w:space="0" w:color="69BD28"/>
              <w:bottom w:val="single" w:sz="6" w:space="0" w:color="69BD28"/>
            </w:tcBorders>
          </w:tcPr>
          <w:p>
            <w:pPr>
              <w:pStyle w:val="TableParagraph"/>
              <w:spacing w:before="49"/>
              <w:ind w:right="481"/>
              <w:jc w:val="right"/>
              <w:rPr>
                <w:sz w:val="18"/>
              </w:rPr>
            </w:pPr>
            <w:r>
              <w:rPr>
                <w:sz w:val="18"/>
              </w:rPr>
              <w:t>Tenant 8</w:t>
            </w:r>
          </w:p>
        </w:tc>
        <w:tc>
          <w:tcPr>
            <w:tcW w:w="4082" w:type="dxa"/>
            <w:tcBorders>
              <w:top w:val="single" w:sz="6" w:space="0" w:color="69BD28"/>
              <w:bottom w:val="single" w:sz="6" w:space="0" w:color="69BD28"/>
            </w:tcBorders>
          </w:tcPr>
          <w:p>
            <w:pPr>
              <w:pStyle w:val="TableParagraph"/>
              <w:spacing w:before="49"/>
              <w:ind w:left="438" w:right="168"/>
              <w:rPr>
                <w:sz w:val="18"/>
              </w:rPr>
            </w:pPr>
            <w:r>
              <w:rPr>
                <w:w w:val="110"/>
                <w:sz w:val="18"/>
              </w:rPr>
              <w:t>240.0 – 250.0 (WS)</w:t>
            </w:r>
          </w:p>
        </w:tc>
      </w:tr>
      <w:tr>
        <w:trPr>
          <w:trHeight w:val="309" w:hRule="atLeast"/>
        </w:trPr>
        <w:tc>
          <w:tcPr>
            <w:tcW w:w="2681" w:type="dxa"/>
            <w:tcBorders>
              <w:top w:val="single" w:sz="6" w:space="0" w:color="69BD28"/>
              <w:bottom w:val="single" w:sz="6" w:space="0" w:color="69BD28"/>
            </w:tcBorders>
          </w:tcPr>
          <w:p>
            <w:pPr>
              <w:pStyle w:val="TableParagraph"/>
              <w:spacing w:before="49"/>
              <w:ind w:left="443" w:right="461"/>
              <w:rPr>
                <w:sz w:val="18"/>
              </w:rPr>
            </w:pPr>
            <w:r>
              <w:rPr>
                <w:w w:val="110"/>
                <w:sz w:val="18"/>
              </w:rPr>
              <w:t>Q1, 2019</w:t>
            </w:r>
          </w:p>
        </w:tc>
        <w:tc>
          <w:tcPr>
            <w:tcW w:w="1920" w:type="dxa"/>
            <w:tcBorders>
              <w:top w:val="single" w:sz="6" w:space="0" w:color="69BD28"/>
              <w:bottom w:val="single" w:sz="6" w:space="0" w:color="69BD28"/>
            </w:tcBorders>
          </w:tcPr>
          <w:p>
            <w:pPr>
              <w:pStyle w:val="TableParagraph"/>
              <w:spacing w:before="49"/>
              <w:ind w:left="81" w:right="244"/>
              <w:rPr>
                <w:sz w:val="18"/>
              </w:rPr>
            </w:pPr>
            <w:r>
              <w:rPr>
                <w:w w:val="110"/>
                <w:sz w:val="18"/>
              </w:rPr>
              <w:t>25,000</w:t>
            </w:r>
          </w:p>
        </w:tc>
        <w:tc>
          <w:tcPr>
            <w:tcW w:w="1803" w:type="dxa"/>
            <w:tcBorders>
              <w:top w:val="single" w:sz="6" w:space="0" w:color="69BD28"/>
              <w:bottom w:val="single" w:sz="6" w:space="0" w:color="69BD28"/>
            </w:tcBorders>
          </w:tcPr>
          <w:p>
            <w:pPr>
              <w:pStyle w:val="TableParagraph"/>
              <w:spacing w:before="49"/>
              <w:ind w:right="481"/>
              <w:jc w:val="right"/>
              <w:rPr>
                <w:sz w:val="18"/>
              </w:rPr>
            </w:pPr>
            <w:r>
              <w:rPr>
                <w:sz w:val="18"/>
              </w:rPr>
              <w:t>Tenant 9</w:t>
            </w:r>
          </w:p>
        </w:tc>
        <w:tc>
          <w:tcPr>
            <w:tcW w:w="4082" w:type="dxa"/>
            <w:tcBorders>
              <w:top w:val="single" w:sz="6" w:space="0" w:color="69BD28"/>
              <w:bottom w:val="single" w:sz="6" w:space="0" w:color="69BD28"/>
            </w:tcBorders>
          </w:tcPr>
          <w:p>
            <w:pPr>
              <w:pStyle w:val="TableParagraph"/>
              <w:spacing w:before="49"/>
              <w:ind w:left="440" w:right="168"/>
              <w:rPr>
                <w:sz w:val="18"/>
              </w:rPr>
            </w:pPr>
            <w:r>
              <w:rPr>
                <w:w w:val="105"/>
                <w:sz w:val="18"/>
              </w:rPr>
              <w:t>315.0 - 325.0</w:t>
            </w:r>
            <w:r>
              <w:rPr>
                <w:w w:val="105"/>
                <w:position w:val="6"/>
                <w:sz w:val="11"/>
              </w:rPr>
              <w:t># </w:t>
            </w:r>
            <w:r>
              <w:rPr>
                <w:w w:val="105"/>
                <w:sz w:val="18"/>
              </w:rPr>
              <w:t>(WS)</w:t>
            </w:r>
          </w:p>
        </w:tc>
      </w:tr>
    </w:tbl>
    <w:p>
      <w:pPr>
        <w:spacing w:before="116"/>
        <w:ind w:left="120" w:right="0" w:firstLine="0"/>
        <w:jc w:val="left"/>
        <w:rPr>
          <w:i/>
          <w:sz w:val="16"/>
        </w:rPr>
      </w:pPr>
      <w:r>
        <w:rPr>
          <w:i/>
          <w:sz w:val="16"/>
        </w:rPr>
        <w:t>Source: CBRE Research* Rents are exclusive of CAM but includes PT on leasable area basis; Note: WS </w:t>
      </w:r>
      <w:r>
        <w:rPr>
          <w:i/>
          <w:w w:val="110"/>
          <w:sz w:val="16"/>
        </w:rPr>
        <w:t>– </w:t>
      </w:r>
      <w:r>
        <w:rPr>
          <w:i/>
          <w:sz w:val="16"/>
        </w:rPr>
        <w:t>Warm shell; </w:t>
      </w:r>
      <w:r>
        <w:rPr>
          <w:sz w:val="16"/>
          <w:vertAlign w:val="superscript"/>
        </w:rPr>
        <w:t>#</w:t>
      </w:r>
      <w:r>
        <w:rPr>
          <w:sz w:val="16"/>
          <w:vertAlign w:val="baseline"/>
        </w:rPr>
        <w:t>Inclusive </w:t>
      </w:r>
      <w:r>
        <w:rPr>
          <w:i/>
          <w:sz w:val="16"/>
          <w:vertAlign w:val="baseline"/>
        </w:rPr>
        <w:t>of CAM, PT</w:t>
      </w:r>
    </w:p>
    <w:p>
      <w:pPr>
        <w:pStyle w:val="BodyText"/>
        <w:spacing w:before="3"/>
        <w:rPr>
          <w:i/>
          <w:sz w:val="26"/>
        </w:rPr>
      </w:pPr>
    </w:p>
    <w:p>
      <w:pPr>
        <w:pStyle w:val="BodyText"/>
        <w:spacing w:line="321" w:lineRule="auto"/>
        <w:ind w:left="682" w:right="193"/>
        <w:jc w:val="both"/>
      </w:pPr>
      <w:r>
        <w:rPr/>
        <w:t>Considering</w:t>
      </w:r>
      <w:r>
        <w:rPr>
          <w:spacing w:val="-9"/>
        </w:rPr>
        <w:t> </w:t>
      </w:r>
      <w:r>
        <w:rPr/>
        <w:t>BKC</w:t>
      </w:r>
      <w:r>
        <w:rPr>
          <w:spacing w:val="-8"/>
        </w:rPr>
        <w:t> </w:t>
      </w:r>
      <w:r>
        <w:rPr/>
        <w:t>being</w:t>
      </w:r>
      <w:r>
        <w:rPr>
          <w:spacing w:val="-11"/>
        </w:rPr>
        <w:t> </w:t>
      </w:r>
      <w:r>
        <w:rPr/>
        <w:t>at</w:t>
      </w:r>
      <w:r>
        <w:rPr>
          <w:spacing w:val="-9"/>
        </w:rPr>
        <w:t> </w:t>
      </w:r>
      <w:r>
        <w:rPr/>
        <w:t>heart</w:t>
      </w:r>
      <w:r>
        <w:rPr>
          <w:spacing w:val="-9"/>
        </w:rPr>
        <w:t> </w:t>
      </w:r>
      <w:r>
        <w:rPr/>
        <w:t>of</w:t>
      </w:r>
      <w:r>
        <w:rPr>
          <w:spacing w:val="-8"/>
        </w:rPr>
        <w:t> </w:t>
      </w:r>
      <w:r>
        <w:rPr/>
        <w:t>Mumbai</w:t>
      </w:r>
      <w:r>
        <w:rPr>
          <w:spacing w:val="-10"/>
        </w:rPr>
        <w:t> </w:t>
      </w:r>
      <w:r>
        <w:rPr/>
        <w:t>city</w:t>
      </w:r>
      <w:r>
        <w:rPr>
          <w:spacing w:val="-8"/>
        </w:rPr>
        <w:t> </w:t>
      </w:r>
      <w:r>
        <w:rPr/>
        <w:t>along</w:t>
      </w:r>
      <w:r>
        <w:rPr>
          <w:spacing w:val="-4"/>
        </w:rPr>
        <w:t> </w:t>
      </w:r>
      <w:r>
        <w:rPr/>
        <w:t>with</w:t>
      </w:r>
      <w:r>
        <w:rPr>
          <w:spacing w:val="-10"/>
        </w:rPr>
        <w:t> </w:t>
      </w:r>
      <w:r>
        <w:rPr/>
        <w:t>superior</w:t>
      </w:r>
      <w:r>
        <w:rPr>
          <w:spacing w:val="-10"/>
        </w:rPr>
        <w:t> </w:t>
      </w:r>
      <w:r>
        <w:rPr/>
        <w:t>connectivity</w:t>
      </w:r>
      <w:r>
        <w:rPr>
          <w:spacing w:val="-8"/>
        </w:rPr>
        <w:t> </w:t>
      </w:r>
      <w:r>
        <w:rPr/>
        <w:t>from</w:t>
      </w:r>
      <w:r>
        <w:rPr>
          <w:spacing w:val="-9"/>
        </w:rPr>
        <w:t> </w:t>
      </w:r>
      <w:r>
        <w:rPr/>
        <w:t>the</w:t>
      </w:r>
      <w:r>
        <w:rPr>
          <w:spacing w:val="-9"/>
        </w:rPr>
        <w:t> </w:t>
      </w:r>
      <w:r>
        <w:rPr/>
        <w:t>entire</w:t>
      </w:r>
      <w:r>
        <w:rPr>
          <w:spacing w:val="-8"/>
        </w:rPr>
        <w:t> </w:t>
      </w:r>
      <w:r>
        <w:rPr/>
        <w:t>MMR, </w:t>
      </w:r>
      <w:r>
        <w:rPr>
          <w:w w:val="95"/>
        </w:rPr>
        <w:t>superior</w:t>
      </w:r>
      <w:r>
        <w:rPr>
          <w:spacing w:val="-6"/>
          <w:w w:val="95"/>
        </w:rPr>
        <w:t> </w:t>
      </w:r>
      <w:r>
        <w:rPr>
          <w:w w:val="95"/>
        </w:rPr>
        <w:t>infrastructure</w:t>
      </w:r>
      <w:r>
        <w:rPr>
          <w:spacing w:val="-8"/>
          <w:w w:val="95"/>
        </w:rPr>
        <w:t> </w:t>
      </w:r>
      <w:r>
        <w:rPr>
          <w:w w:val="95"/>
        </w:rPr>
        <w:t>within</w:t>
      </w:r>
      <w:r>
        <w:rPr>
          <w:spacing w:val="-5"/>
          <w:w w:val="95"/>
        </w:rPr>
        <w:t> </w:t>
      </w:r>
      <w:r>
        <w:rPr>
          <w:w w:val="95"/>
        </w:rPr>
        <w:t>BKC,</w:t>
      </w:r>
      <w:r>
        <w:rPr>
          <w:spacing w:val="-8"/>
          <w:w w:val="95"/>
        </w:rPr>
        <w:t> </w:t>
      </w:r>
      <w:r>
        <w:rPr>
          <w:w w:val="95"/>
        </w:rPr>
        <w:t>planned</w:t>
      </w:r>
      <w:r>
        <w:rPr>
          <w:spacing w:val="-4"/>
          <w:w w:val="95"/>
        </w:rPr>
        <w:t> </w:t>
      </w:r>
      <w:r>
        <w:rPr>
          <w:w w:val="95"/>
        </w:rPr>
        <w:t>infrastructure</w:t>
      </w:r>
      <w:r>
        <w:rPr>
          <w:spacing w:val="-6"/>
          <w:w w:val="95"/>
        </w:rPr>
        <w:t> </w:t>
      </w:r>
      <w:r>
        <w:rPr>
          <w:w w:val="95"/>
        </w:rPr>
        <w:t>developments,</w:t>
      </w:r>
      <w:r>
        <w:rPr>
          <w:spacing w:val="-5"/>
          <w:w w:val="95"/>
        </w:rPr>
        <w:t> </w:t>
      </w:r>
      <w:r>
        <w:rPr>
          <w:w w:val="95"/>
        </w:rPr>
        <w:t>increased</w:t>
      </w:r>
      <w:r>
        <w:rPr>
          <w:spacing w:val="-5"/>
          <w:w w:val="95"/>
        </w:rPr>
        <w:t> </w:t>
      </w:r>
      <w:r>
        <w:rPr>
          <w:w w:val="95"/>
        </w:rPr>
        <w:t>occupier</w:t>
      </w:r>
      <w:r>
        <w:rPr>
          <w:spacing w:val="-6"/>
          <w:w w:val="95"/>
        </w:rPr>
        <w:t> </w:t>
      </w:r>
      <w:r>
        <w:rPr>
          <w:w w:val="95"/>
        </w:rPr>
        <w:t>interest</w:t>
      </w:r>
      <w:r>
        <w:rPr>
          <w:spacing w:val="-6"/>
          <w:w w:val="95"/>
        </w:rPr>
        <w:t> </w:t>
      </w:r>
      <w:r>
        <w:rPr>
          <w:w w:val="95"/>
        </w:rPr>
        <w:t>and </w:t>
      </w:r>
      <w:r>
        <w:rPr/>
        <w:t>stickiness</w:t>
      </w:r>
      <w:r>
        <w:rPr>
          <w:spacing w:val="-34"/>
        </w:rPr>
        <w:t> </w:t>
      </w:r>
      <w:r>
        <w:rPr/>
        <w:t>of</w:t>
      </w:r>
      <w:r>
        <w:rPr>
          <w:spacing w:val="-34"/>
        </w:rPr>
        <w:t> </w:t>
      </w:r>
      <w:r>
        <w:rPr/>
        <w:t>quality</w:t>
      </w:r>
      <w:r>
        <w:rPr>
          <w:spacing w:val="-34"/>
        </w:rPr>
        <w:t> </w:t>
      </w:r>
      <w:r>
        <w:rPr/>
        <w:t>tenants</w:t>
      </w:r>
      <w:r>
        <w:rPr>
          <w:spacing w:val="-34"/>
        </w:rPr>
        <w:t> </w:t>
      </w:r>
      <w:r>
        <w:rPr/>
        <w:t>towards</w:t>
      </w:r>
      <w:r>
        <w:rPr>
          <w:spacing w:val="-34"/>
        </w:rPr>
        <w:t> </w:t>
      </w:r>
      <w:r>
        <w:rPr/>
        <w:t>grade-A</w:t>
      </w:r>
      <w:r>
        <w:rPr>
          <w:spacing w:val="-34"/>
        </w:rPr>
        <w:t> </w:t>
      </w:r>
      <w:r>
        <w:rPr/>
        <w:t>developments,</w:t>
      </w:r>
      <w:r>
        <w:rPr>
          <w:spacing w:val="-35"/>
        </w:rPr>
        <w:t> </w:t>
      </w:r>
      <w:r>
        <w:rPr/>
        <w:t>the</w:t>
      </w:r>
      <w:r>
        <w:rPr>
          <w:spacing w:val="-33"/>
        </w:rPr>
        <w:t> </w:t>
      </w:r>
      <w:r>
        <w:rPr/>
        <w:t>rentals</w:t>
      </w:r>
      <w:r>
        <w:rPr>
          <w:spacing w:val="-35"/>
        </w:rPr>
        <w:t> </w:t>
      </w:r>
      <w:r>
        <w:rPr/>
        <w:t>are</w:t>
      </w:r>
      <w:r>
        <w:rPr>
          <w:spacing w:val="-34"/>
        </w:rPr>
        <w:t> </w:t>
      </w:r>
      <w:r>
        <w:rPr/>
        <w:t>expected</w:t>
      </w:r>
      <w:r>
        <w:rPr>
          <w:spacing w:val="-34"/>
        </w:rPr>
        <w:t> </w:t>
      </w:r>
      <w:r>
        <w:rPr/>
        <w:t>to</w:t>
      </w:r>
      <w:r>
        <w:rPr>
          <w:spacing w:val="-35"/>
        </w:rPr>
        <w:t> </w:t>
      </w:r>
      <w:r>
        <w:rPr/>
        <w:t>witness</w:t>
      </w:r>
      <w:r>
        <w:rPr>
          <w:spacing w:val="-33"/>
        </w:rPr>
        <w:t> </w:t>
      </w:r>
      <w:r>
        <w:rPr/>
        <w:t>upward movements.</w:t>
      </w:r>
    </w:p>
    <w:p>
      <w:pPr>
        <w:spacing w:after="0" w:line="321" w:lineRule="auto"/>
        <w:jc w:val="both"/>
        <w:sectPr>
          <w:pgSz w:w="11910" w:h="16840"/>
          <w:pgMar w:header="720" w:footer="933" w:top="1660" w:bottom="1120" w:left="600" w:right="520"/>
        </w:sectPr>
      </w:pPr>
    </w:p>
    <w:p>
      <w:pPr>
        <w:pStyle w:val="BodyText"/>
        <w:spacing w:before="7"/>
        <w:rPr>
          <w:sz w:val="9"/>
        </w:rPr>
      </w:pPr>
    </w:p>
    <w:p>
      <w:pPr>
        <w:pStyle w:val="ListParagraph"/>
        <w:numPr>
          <w:ilvl w:val="1"/>
          <w:numId w:val="14"/>
        </w:numPr>
        <w:tabs>
          <w:tab w:pos="696" w:val="left" w:leader="none"/>
          <w:tab w:pos="697" w:val="left" w:leader="none"/>
        </w:tabs>
        <w:spacing w:line="240" w:lineRule="auto" w:before="106" w:after="0"/>
        <w:ind w:left="696" w:right="0" w:hanging="577"/>
        <w:jc w:val="left"/>
        <w:rPr>
          <w:color w:val="1F6647"/>
          <w:sz w:val="22"/>
        </w:rPr>
      </w:pPr>
      <w:bookmarkStart w:name="_bookmark145" w:id="284"/>
      <w:bookmarkEnd w:id="284"/>
      <w:r>
        <w:rPr/>
      </w:r>
      <w:bookmarkStart w:name="_bookmark145" w:id="285"/>
      <w:bookmarkEnd w:id="285"/>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ListParagraph"/>
        <w:numPr>
          <w:ilvl w:val="2"/>
          <w:numId w:val="14"/>
        </w:numPr>
        <w:tabs>
          <w:tab w:pos="841" w:val="left" w:leader="none"/>
        </w:tabs>
        <w:spacing w:line="240" w:lineRule="auto" w:before="208" w:after="0"/>
        <w:ind w:left="840" w:right="0" w:hanging="721"/>
        <w:jc w:val="left"/>
        <w:rPr>
          <w:sz w:val="22"/>
        </w:rPr>
      </w:pPr>
      <w:bookmarkStart w:name="_bookmark146" w:id="286"/>
      <w:bookmarkEnd w:id="286"/>
      <w:r>
        <w:rPr/>
      </w:r>
      <w:bookmarkStart w:name="_bookmark146" w:id="287"/>
      <w:bookmarkEnd w:id="287"/>
      <w:r>
        <w:rPr>
          <w:color w:val="1F664D"/>
          <w:w w:val="105"/>
          <w:sz w:val="22"/>
        </w:rPr>
        <w:t>A</w:t>
      </w:r>
      <w:r>
        <w:rPr>
          <w:color w:val="1F664D"/>
          <w:w w:val="105"/>
          <w:sz w:val="22"/>
        </w:rPr>
        <w:t>dopted</w:t>
      </w:r>
      <w:r>
        <w:rPr>
          <w:color w:val="1F664D"/>
          <w:spacing w:val="-3"/>
          <w:w w:val="105"/>
          <w:sz w:val="22"/>
        </w:rPr>
        <w:t> </w:t>
      </w:r>
      <w:r>
        <w:rPr>
          <w:color w:val="1F664D"/>
          <w:w w:val="105"/>
          <w:sz w:val="22"/>
        </w:rPr>
        <w:t>Methodology</w:t>
      </w:r>
    </w:p>
    <w:p>
      <w:pPr>
        <w:pStyle w:val="BodyText"/>
        <w:spacing w:line="321" w:lineRule="auto" w:before="208"/>
        <w:ind w:left="660" w:right="197"/>
        <w:jc w:val="both"/>
      </w:pPr>
      <w:r>
        <w:rPr/>
        <w:t>We</w:t>
      </w:r>
      <w:r>
        <w:rPr>
          <w:spacing w:val="-27"/>
        </w:rPr>
        <w:t> </w:t>
      </w:r>
      <w:r>
        <w:rPr/>
        <w:t>acknowledge</w:t>
      </w:r>
      <w:r>
        <w:rPr>
          <w:spacing w:val="-27"/>
        </w:rPr>
        <w:t> </w:t>
      </w:r>
      <w:r>
        <w:rPr/>
        <w:t>that</w:t>
      </w:r>
      <w:r>
        <w:rPr>
          <w:spacing w:val="-26"/>
        </w:rPr>
        <w:t> </w:t>
      </w:r>
      <w:r>
        <w:rPr/>
        <w:t>the</w:t>
      </w:r>
      <w:r>
        <w:rPr>
          <w:spacing w:val="-27"/>
        </w:rPr>
        <w:t> </w:t>
      </w:r>
      <w:r>
        <w:rPr/>
        <w:t>approaches</w:t>
      </w:r>
      <w:r>
        <w:rPr>
          <w:spacing w:val="-25"/>
        </w:rPr>
        <w:t> </w:t>
      </w:r>
      <w:r>
        <w:rPr/>
        <w:t>to</w:t>
      </w:r>
      <w:r>
        <w:rPr>
          <w:spacing w:val="-27"/>
        </w:rPr>
        <w:t> </w:t>
      </w:r>
      <w:r>
        <w:rPr/>
        <w:t>valuation</w:t>
      </w:r>
      <w:r>
        <w:rPr>
          <w:spacing w:val="-24"/>
        </w:rPr>
        <w:t> </w:t>
      </w:r>
      <w:r>
        <w:rPr/>
        <w:t>differ</w:t>
      </w:r>
      <w:r>
        <w:rPr>
          <w:spacing w:val="-26"/>
        </w:rPr>
        <w:t> </w:t>
      </w:r>
      <w:r>
        <w:rPr/>
        <w:t>considerably</w:t>
      </w:r>
      <w:r>
        <w:rPr>
          <w:spacing w:val="-26"/>
        </w:rPr>
        <w:t> </w:t>
      </w:r>
      <w:r>
        <w:rPr/>
        <w:t>and</w:t>
      </w:r>
      <w:r>
        <w:rPr>
          <w:spacing w:val="-26"/>
        </w:rPr>
        <w:t> </w:t>
      </w:r>
      <w:r>
        <w:rPr/>
        <w:t>that</w:t>
      </w:r>
      <w:r>
        <w:rPr>
          <w:spacing w:val="-27"/>
        </w:rPr>
        <w:t> </w:t>
      </w:r>
      <w:r>
        <w:rPr/>
        <w:t>for</w:t>
      </w:r>
      <w:r>
        <w:rPr>
          <w:spacing w:val="-26"/>
        </w:rPr>
        <w:t> </w:t>
      </w:r>
      <w:r>
        <w:rPr/>
        <w:t>a</w:t>
      </w:r>
      <w:r>
        <w:rPr>
          <w:spacing w:val="-27"/>
        </w:rPr>
        <w:t> </w:t>
      </w:r>
      <w:r>
        <w:rPr/>
        <w:t>particular</w:t>
      </w:r>
      <w:r>
        <w:rPr>
          <w:spacing w:val="-26"/>
        </w:rPr>
        <w:t> </w:t>
      </w:r>
      <w:r>
        <w:rPr/>
        <w:t>purpose, alternative</w:t>
      </w:r>
      <w:r>
        <w:rPr>
          <w:spacing w:val="-19"/>
        </w:rPr>
        <w:t> </w:t>
      </w:r>
      <w:r>
        <w:rPr/>
        <w:t>approaches</w:t>
      </w:r>
      <w:r>
        <w:rPr>
          <w:spacing w:val="-18"/>
        </w:rPr>
        <w:t> </w:t>
      </w:r>
      <w:r>
        <w:rPr/>
        <w:t>to</w:t>
      </w:r>
      <w:r>
        <w:rPr>
          <w:spacing w:val="-19"/>
        </w:rPr>
        <w:t> </w:t>
      </w:r>
      <w:r>
        <w:rPr/>
        <w:t>the</w:t>
      </w:r>
      <w:r>
        <w:rPr>
          <w:spacing w:val="-19"/>
        </w:rPr>
        <w:t> </w:t>
      </w:r>
      <w:r>
        <w:rPr/>
        <w:t>valuation</w:t>
      </w:r>
      <w:r>
        <w:rPr>
          <w:spacing w:val="-18"/>
        </w:rPr>
        <w:t> </w:t>
      </w:r>
      <w:r>
        <w:rPr/>
        <w:t>can</w:t>
      </w:r>
      <w:r>
        <w:rPr>
          <w:spacing w:val="-19"/>
        </w:rPr>
        <w:t> </w:t>
      </w:r>
      <w:r>
        <w:rPr/>
        <w:t>be</w:t>
      </w:r>
      <w:r>
        <w:rPr>
          <w:spacing w:val="-19"/>
        </w:rPr>
        <w:t> </w:t>
      </w:r>
      <w:r>
        <w:rPr/>
        <w:t>utilized</w:t>
      </w:r>
      <w:r>
        <w:rPr>
          <w:spacing w:val="-18"/>
        </w:rPr>
        <w:t> </w:t>
      </w:r>
      <w:r>
        <w:rPr/>
        <w:t>subject</w:t>
      </w:r>
      <w:r>
        <w:rPr>
          <w:spacing w:val="-18"/>
        </w:rPr>
        <w:t> </w:t>
      </w:r>
      <w:r>
        <w:rPr/>
        <w:t>to</w:t>
      </w:r>
      <w:r>
        <w:rPr>
          <w:spacing w:val="-19"/>
        </w:rPr>
        <w:t> </w:t>
      </w:r>
      <w:r>
        <w:rPr/>
        <w:t>the</w:t>
      </w:r>
      <w:r>
        <w:rPr>
          <w:spacing w:val="-19"/>
        </w:rPr>
        <w:t> </w:t>
      </w:r>
      <w:r>
        <w:rPr/>
        <w:t>Client’s</w:t>
      </w:r>
      <w:r>
        <w:rPr>
          <w:spacing w:val="-18"/>
        </w:rPr>
        <w:t> </w:t>
      </w:r>
      <w:r>
        <w:rPr/>
        <w:t>consultations</w:t>
      </w:r>
      <w:r>
        <w:rPr>
          <w:spacing w:val="-18"/>
        </w:rPr>
        <w:t> </w:t>
      </w:r>
      <w:r>
        <w:rPr/>
        <w:t>and</w:t>
      </w:r>
      <w:r>
        <w:rPr>
          <w:spacing w:val="-19"/>
        </w:rPr>
        <w:t> </w:t>
      </w:r>
      <w:r>
        <w:rPr/>
        <w:t>giving due</w:t>
      </w:r>
      <w:r>
        <w:rPr>
          <w:spacing w:val="-37"/>
        </w:rPr>
        <w:t> </w:t>
      </w:r>
      <w:r>
        <w:rPr/>
        <w:t>consideration</w:t>
      </w:r>
      <w:r>
        <w:rPr>
          <w:spacing w:val="-36"/>
        </w:rPr>
        <w:t> </w:t>
      </w:r>
      <w:r>
        <w:rPr/>
        <w:t>to</w:t>
      </w:r>
      <w:r>
        <w:rPr>
          <w:spacing w:val="-36"/>
        </w:rPr>
        <w:t> </w:t>
      </w:r>
      <w:r>
        <w:rPr/>
        <w:t>the</w:t>
      </w:r>
      <w:r>
        <w:rPr>
          <w:spacing w:val="-36"/>
        </w:rPr>
        <w:t> </w:t>
      </w:r>
      <w:r>
        <w:rPr/>
        <w:t>Client’s</w:t>
      </w:r>
      <w:r>
        <w:rPr>
          <w:spacing w:val="-36"/>
        </w:rPr>
        <w:t> </w:t>
      </w:r>
      <w:r>
        <w:rPr/>
        <w:t>requirements.</w:t>
      </w:r>
      <w:r>
        <w:rPr>
          <w:spacing w:val="-36"/>
        </w:rPr>
        <w:t> </w:t>
      </w:r>
      <w:r>
        <w:rPr/>
        <w:t>Considering</w:t>
      </w:r>
      <w:r>
        <w:rPr>
          <w:spacing w:val="-36"/>
        </w:rPr>
        <w:t> </w:t>
      </w:r>
      <w:r>
        <w:rPr/>
        <w:t>the</w:t>
      </w:r>
      <w:r>
        <w:rPr>
          <w:spacing w:val="-36"/>
        </w:rPr>
        <w:t> </w:t>
      </w:r>
      <w:r>
        <w:rPr/>
        <w:t>objective</w:t>
      </w:r>
      <w:r>
        <w:rPr>
          <w:spacing w:val="-37"/>
        </w:rPr>
        <w:t> </w:t>
      </w:r>
      <w:r>
        <w:rPr/>
        <w:t>of</w:t>
      </w:r>
      <w:r>
        <w:rPr>
          <w:spacing w:val="-36"/>
        </w:rPr>
        <w:t> </w:t>
      </w:r>
      <w:r>
        <w:rPr/>
        <w:t>this</w:t>
      </w:r>
      <w:r>
        <w:rPr>
          <w:spacing w:val="-35"/>
        </w:rPr>
        <w:t> </w:t>
      </w:r>
      <w:r>
        <w:rPr/>
        <w:t>exercise</w:t>
      </w:r>
      <w:r>
        <w:rPr>
          <w:spacing w:val="-37"/>
        </w:rPr>
        <w:t> </w:t>
      </w:r>
      <w:r>
        <w:rPr/>
        <w:t>and</w:t>
      </w:r>
      <w:r>
        <w:rPr>
          <w:spacing w:val="-35"/>
        </w:rPr>
        <w:t> </w:t>
      </w:r>
      <w:r>
        <w:rPr/>
        <w:t>the</w:t>
      </w:r>
      <w:r>
        <w:rPr>
          <w:spacing w:val="-36"/>
        </w:rPr>
        <w:t> </w:t>
      </w:r>
      <w:r>
        <w:rPr/>
        <w:t>nature of</w:t>
      </w:r>
      <w:r>
        <w:rPr>
          <w:spacing w:val="-34"/>
        </w:rPr>
        <w:t> </w:t>
      </w:r>
      <w:r>
        <w:rPr/>
        <w:t>asset</w:t>
      </w:r>
      <w:r>
        <w:rPr>
          <w:spacing w:val="-33"/>
        </w:rPr>
        <w:t> </w:t>
      </w:r>
      <w:r>
        <w:rPr/>
        <w:t>involved,</w:t>
      </w:r>
      <w:r>
        <w:rPr>
          <w:spacing w:val="-34"/>
        </w:rPr>
        <w:t> </w:t>
      </w:r>
      <w:r>
        <w:rPr/>
        <w:t>the</w:t>
      </w:r>
      <w:r>
        <w:rPr>
          <w:spacing w:val="-34"/>
        </w:rPr>
        <w:t> </w:t>
      </w:r>
      <w:r>
        <w:rPr/>
        <w:t>value</w:t>
      </w:r>
      <w:r>
        <w:rPr>
          <w:spacing w:val="-34"/>
        </w:rPr>
        <w:t> </w:t>
      </w:r>
      <w:r>
        <w:rPr/>
        <w:t>of</w:t>
      </w:r>
      <w:r>
        <w:rPr>
          <w:spacing w:val="-33"/>
        </w:rPr>
        <w:t> </w:t>
      </w:r>
      <w:r>
        <w:rPr/>
        <w:t>the</w:t>
      </w:r>
      <w:r>
        <w:rPr>
          <w:spacing w:val="-34"/>
        </w:rPr>
        <w:t> </w:t>
      </w:r>
      <w:r>
        <w:rPr/>
        <w:t>subject</w:t>
      </w:r>
      <w:r>
        <w:rPr>
          <w:spacing w:val="-34"/>
        </w:rPr>
        <w:t> </w:t>
      </w:r>
      <w:r>
        <w:rPr/>
        <w:t>property</w:t>
      </w:r>
      <w:r>
        <w:rPr>
          <w:spacing w:val="-34"/>
        </w:rPr>
        <w:t> </w:t>
      </w:r>
      <w:r>
        <w:rPr/>
        <w:t>has</w:t>
      </w:r>
      <w:r>
        <w:rPr>
          <w:spacing w:val="-33"/>
        </w:rPr>
        <w:t> </w:t>
      </w:r>
      <w:r>
        <w:rPr/>
        <w:t>been</w:t>
      </w:r>
      <w:r>
        <w:rPr>
          <w:spacing w:val="-34"/>
        </w:rPr>
        <w:t> </w:t>
      </w:r>
      <w:r>
        <w:rPr/>
        <w:t>assessed</w:t>
      </w:r>
      <w:r>
        <w:rPr>
          <w:spacing w:val="-33"/>
        </w:rPr>
        <w:t> </w:t>
      </w:r>
      <w:r>
        <w:rPr/>
        <w:t>through</w:t>
      </w:r>
      <w:r>
        <w:rPr>
          <w:spacing w:val="-34"/>
        </w:rPr>
        <w:t> </w:t>
      </w:r>
      <w:r>
        <w:rPr/>
        <w:t>the</w:t>
      </w:r>
      <w:r>
        <w:rPr>
          <w:spacing w:val="-35"/>
        </w:rPr>
        <w:t> </w:t>
      </w:r>
      <w:r>
        <w:rPr/>
        <w:t>following</w:t>
      </w:r>
      <w:r>
        <w:rPr>
          <w:spacing w:val="-33"/>
        </w:rPr>
        <w:t> </w:t>
      </w:r>
      <w:r>
        <w:rPr/>
        <w:t>approaches:</w:t>
      </w:r>
    </w:p>
    <w:p>
      <w:pPr>
        <w:pStyle w:val="BodyText"/>
        <w:spacing w:before="4"/>
        <w:rPr>
          <w:sz w:val="20"/>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7"/>
        <w:gridCol w:w="6954"/>
      </w:tblGrid>
      <w:tr>
        <w:trPr>
          <w:trHeight w:val="552" w:hRule="atLeast"/>
        </w:trPr>
        <w:tc>
          <w:tcPr>
            <w:tcW w:w="10471" w:type="dxa"/>
            <w:gridSpan w:val="2"/>
            <w:tcBorders>
              <w:top w:val="single" w:sz="6" w:space="0" w:color="69BD28"/>
            </w:tcBorders>
            <w:shd w:val="clear" w:color="auto" w:fill="006A4D"/>
          </w:tcPr>
          <w:p>
            <w:pPr>
              <w:pStyle w:val="TableParagraph"/>
              <w:tabs>
                <w:tab w:pos="6183" w:val="left" w:leader="none"/>
              </w:tabs>
              <w:spacing w:before="171"/>
              <w:ind w:left="1265"/>
              <w:jc w:val="left"/>
              <w:rPr>
                <w:b/>
                <w:sz w:val="18"/>
              </w:rPr>
            </w:pPr>
            <w:r>
              <w:rPr>
                <w:b/>
                <w:color w:val="FFFFFF"/>
                <w:w w:val="105"/>
                <w:sz w:val="18"/>
              </w:rPr>
              <w:t>Particulars</w:t>
              <w:tab/>
              <w:t>Completed Blocks</w:t>
            </w:r>
          </w:p>
        </w:tc>
      </w:tr>
      <w:tr>
        <w:trPr>
          <w:trHeight w:val="457" w:hRule="atLeast"/>
        </w:trPr>
        <w:tc>
          <w:tcPr>
            <w:tcW w:w="3517" w:type="dxa"/>
            <w:shd w:val="clear" w:color="auto" w:fill="69BD28"/>
          </w:tcPr>
          <w:p>
            <w:pPr>
              <w:pStyle w:val="TableParagraph"/>
              <w:spacing w:before="123"/>
              <w:ind w:left="689"/>
              <w:jc w:val="left"/>
              <w:rPr>
                <w:b/>
                <w:sz w:val="18"/>
              </w:rPr>
            </w:pPr>
            <w:r>
              <w:rPr>
                <w:b/>
                <w:color w:val="FFFFFF"/>
                <w:w w:val="110"/>
                <w:sz w:val="18"/>
              </w:rPr>
              <w:t>Valuation Methodology</w:t>
            </w:r>
          </w:p>
        </w:tc>
        <w:tc>
          <w:tcPr>
            <w:tcW w:w="6954" w:type="dxa"/>
            <w:tcBorders>
              <w:top w:val="single" w:sz="6" w:space="0" w:color="69BD28"/>
              <w:bottom w:val="single" w:sz="6" w:space="0" w:color="69BD28"/>
            </w:tcBorders>
          </w:tcPr>
          <w:p>
            <w:pPr>
              <w:pStyle w:val="TableParagraph"/>
              <w:spacing w:before="123"/>
              <w:ind w:left="885" w:right="899"/>
              <w:rPr>
                <w:sz w:val="18"/>
              </w:rPr>
            </w:pPr>
            <w:r>
              <w:rPr>
                <w:sz w:val="18"/>
              </w:rPr>
              <w:t>Discounted Cash Flow Method (using rent reversion approach)</w:t>
            </w:r>
          </w:p>
        </w:tc>
      </w:tr>
    </w:tbl>
    <w:p>
      <w:pPr>
        <w:pStyle w:val="BodyText"/>
        <w:rPr>
          <w:sz w:val="21"/>
        </w:rPr>
      </w:pPr>
    </w:p>
    <w:p>
      <w:pPr>
        <w:pStyle w:val="BodyText"/>
        <w:spacing w:line="321" w:lineRule="auto"/>
        <w:ind w:left="660" w:right="195"/>
        <w:jc w:val="both"/>
      </w:pPr>
      <w:r>
        <w:rPr/>
        <w:t>The</w:t>
      </w:r>
      <w:r>
        <w:rPr>
          <w:spacing w:val="-22"/>
        </w:rPr>
        <w:t> </w:t>
      </w:r>
      <w:r>
        <w:rPr/>
        <w:t>sections</w:t>
      </w:r>
      <w:r>
        <w:rPr>
          <w:spacing w:val="-23"/>
        </w:rPr>
        <w:t> </w:t>
      </w:r>
      <w:r>
        <w:rPr/>
        <w:t>below</w:t>
      </w:r>
      <w:r>
        <w:rPr>
          <w:spacing w:val="-20"/>
        </w:rPr>
        <w:t> </w:t>
      </w:r>
      <w:r>
        <w:rPr/>
        <w:t>highlight</w:t>
      </w:r>
      <w:r>
        <w:rPr>
          <w:spacing w:val="-23"/>
        </w:rPr>
        <w:t> </w:t>
      </w:r>
      <w:r>
        <w:rPr/>
        <w:t>detailed</w:t>
      </w:r>
      <w:r>
        <w:rPr>
          <w:spacing w:val="-20"/>
        </w:rPr>
        <w:t> </w:t>
      </w:r>
      <w:r>
        <w:rPr/>
        <w:t>valuation</w:t>
      </w:r>
      <w:r>
        <w:rPr>
          <w:spacing w:val="-22"/>
        </w:rPr>
        <w:t> </w:t>
      </w:r>
      <w:r>
        <w:rPr/>
        <w:t>workings</w:t>
      </w:r>
      <w:r>
        <w:rPr>
          <w:spacing w:val="-21"/>
        </w:rPr>
        <w:t> </w:t>
      </w:r>
      <w:r>
        <w:rPr/>
        <w:t>for</w:t>
      </w:r>
      <w:r>
        <w:rPr>
          <w:spacing w:val="-21"/>
        </w:rPr>
        <w:t> </w:t>
      </w:r>
      <w:r>
        <w:rPr/>
        <w:t>the</w:t>
      </w:r>
      <w:r>
        <w:rPr>
          <w:spacing w:val="-23"/>
        </w:rPr>
        <w:t> </w:t>
      </w:r>
      <w:r>
        <w:rPr/>
        <w:t>subject</w:t>
      </w:r>
      <w:r>
        <w:rPr>
          <w:spacing w:val="-23"/>
        </w:rPr>
        <w:t> </w:t>
      </w:r>
      <w:r>
        <w:rPr/>
        <w:t>property.</w:t>
      </w:r>
      <w:r>
        <w:rPr>
          <w:spacing w:val="-22"/>
        </w:rPr>
        <w:t> </w:t>
      </w:r>
      <w:r>
        <w:rPr/>
        <w:t>Please</w:t>
      </w:r>
      <w:r>
        <w:rPr>
          <w:spacing w:val="-22"/>
        </w:rPr>
        <w:t> </w:t>
      </w:r>
      <w:r>
        <w:rPr/>
        <w:t>note</w:t>
      </w:r>
      <w:r>
        <w:rPr>
          <w:spacing w:val="-21"/>
        </w:rPr>
        <w:t> </w:t>
      </w:r>
      <w:r>
        <w:rPr/>
        <w:t>that</w:t>
      </w:r>
      <w:r>
        <w:rPr>
          <w:spacing w:val="-22"/>
        </w:rPr>
        <w:t> </w:t>
      </w:r>
      <w:r>
        <w:rPr/>
        <w:t>the assumptions/</w:t>
      </w:r>
      <w:r>
        <w:rPr>
          <w:spacing w:val="-30"/>
        </w:rPr>
        <w:t> </w:t>
      </w:r>
      <w:r>
        <w:rPr/>
        <w:t>opinions</w:t>
      </w:r>
      <w:r>
        <w:rPr>
          <w:spacing w:val="-29"/>
        </w:rPr>
        <w:t> </w:t>
      </w:r>
      <w:r>
        <w:rPr/>
        <w:t>highlighted</w:t>
      </w:r>
      <w:r>
        <w:rPr>
          <w:spacing w:val="-29"/>
        </w:rPr>
        <w:t> </w:t>
      </w:r>
      <w:r>
        <w:rPr/>
        <w:t>in</w:t>
      </w:r>
      <w:r>
        <w:rPr>
          <w:spacing w:val="-30"/>
        </w:rPr>
        <w:t> </w:t>
      </w:r>
      <w:r>
        <w:rPr/>
        <w:t>the</w:t>
      </w:r>
      <w:r>
        <w:rPr>
          <w:spacing w:val="-30"/>
        </w:rPr>
        <w:t> </w:t>
      </w:r>
      <w:r>
        <w:rPr/>
        <w:t>subsequent</w:t>
      </w:r>
      <w:r>
        <w:rPr>
          <w:spacing w:val="-29"/>
        </w:rPr>
        <w:t> </w:t>
      </w:r>
      <w:r>
        <w:rPr/>
        <w:t>sections</w:t>
      </w:r>
      <w:r>
        <w:rPr>
          <w:spacing w:val="-29"/>
        </w:rPr>
        <w:t> </w:t>
      </w:r>
      <w:r>
        <w:rPr/>
        <w:t>are</w:t>
      </w:r>
      <w:r>
        <w:rPr>
          <w:spacing w:val="-30"/>
        </w:rPr>
        <w:t> </w:t>
      </w:r>
      <w:r>
        <w:rPr/>
        <w:t>to</w:t>
      </w:r>
      <w:r>
        <w:rPr>
          <w:spacing w:val="-29"/>
        </w:rPr>
        <w:t> </w:t>
      </w:r>
      <w:r>
        <w:rPr/>
        <w:t>be</w:t>
      </w:r>
      <w:r>
        <w:rPr>
          <w:spacing w:val="-30"/>
        </w:rPr>
        <w:t> </w:t>
      </w:r>
      <w:r>
        <w:rPr/>
        <w:t>read</w:t>
      </w:r>
      <w:r>
        <w:rPr>
          <w:spacing w:val="-29"/>
        </w:rPr>
        <w:t> </w:t>
      </w:r>
      <w:r>
        <w:rPr/>
        <w:t>in</w:t>
      </w:r>
      <w:r>
        <w:rPr>
          <w:spacing w:val="-30"/>
        </w:rPr>
        <w:t> </w:t>
      </w:r>
      <w:r>
        <w:rPr/>
        <w:t>conjunction</w:t>
      </w:r>
      <w:r>
        <w:rPr>
          <w:spacing w:val="-29"/>
        </w:rPr>
        <w:t> </w:t>
      </w:r>
      <w:r>
        <w:rPr/>
        <w:t>with</w:t>
      </w:r>
      <w:r>
        <w:rPr>
          <w:spacing w:val="-30"/>
        </w:rPr>
        <w:t> </w:t>
      </w:r>
      <w:r>
        <w:rPr/>
        <w:t>Section</w:t>
      </w:r>
    </w:p>
    <w:p>
      <w:pPr>
        <w:pStyle w:val="BodyText"/>
        <w:spacing w:line="255" w:lineRule="exact"/>
        <w:ind w:left="660"/>
      </w:pPr>
      <w:r>
        <w:rPr/>
        <w:t>1.11 and the following:</w:t>
      </w:r>
    </w:p>
    <w:p>
      <w:pPr>
        <w:pStyle w:val="BodyText"/>
        <w:spacing w:before="3"/>
        <w:rPr>
          <w:sz w:val="28"/>
        </w:rPr>
      </w:pPr>
    </w:p>
    <w:p>
      <w:pPr>
        <w:spacing w:line="321" w:lineRule="auto" w:before="0"/>
        <w:ind w:left="660" w:right="19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rPr>
          <w:i/>
          <w:sz w:val="21"/>
        </w:rPr>
      </w:pPr>
    </w:p>
    <w:p>
      <w:pPr>
        <w:pStyle w:val="ListParagraph"/>
        <w:numPr>
          <w:ilvl w:val="0"/>
          <w:numId w:val="47"/>
        </w:numPr>
        <w:tabs>
          <w:tab w:pos="1565" w:val="left" w:leader="none"/>
          <w:tab w:pos="1566" w:val="left" w:leader="none"/>
        </w:tabs>
        <w:spacing w:line="240" w:lineRule="auto" w:before="0" w:after="0"/>
        <w:ind w:left="1565" w:right="0" w:hanging="361"/>
        <w:jc w:val="left"/>
        <w:rPr>
          <w:i/>
          <w:sz w:val="22"/>
        </w:rPr>
      </w:pPr>
      <w:r>
        <w:rPr>
          <w:i/>
          <w:sz w:val="22"/>
        </w:rPr>
        <w:t>Limited/</w:t>
      </w:r>
      <w:r>
        <w:rPr>
          <w:i/>
          <w:spacing w:val="-13"/>
          <w:sz w:val="22"/>
        </w:rPr>
        <w:t> </w:t>
      </w:r>
      <w:r>
        <w:rPr>
          <w:i/>
          <w:sz w:val="22"/>
        </w:rPr>
        <w:t>no</w:t>
      </w:r>
      <w:r>
        <w:rPr>
          <w:i/>
          <w:spacing w:val="-12"/>
          <w:sz w:val="22"/>
        </w:rPr>
        <w:t> </w:t>
      </w:r>
      <w:r>
        <w:rPr>
          <w:i/>
          <w:sz w:val="22"/>
        </w:rPr>
        <w:t>growth</w:t>
      </w:r>
      <w:r>
        <w:rPr>
          <w:i/>
          <w:spacing w:val="-15"/>
          <w:sz w:val="22"/>
        </w:rPr>
        <w:t> </w:t>
      </w:r>
      <w:r>
        <w:rPr>
          <w:i/>
          <w:sz w:val="22"/>
        </w:rPr>
        <w:t>in</w:t>
      </w:r>
      <w:r>
        <w:rPr>
          <w:i/>
          <w:spacing w:val="-15"/>
          <w:sz w:val="22"/>
        </w:rPr>
        <w:t> </w:t>
      </w:r>
      <w:r>
        <w:rPr>
          <w:i/>
          <w:sz w:val="22"/>
        </w:rPr>
        <w:t>rent</w:t>
      </w:r>
      <w:r>
        <w:rPr>
          <w:i/>
          <w:spacing w:val="-11"/>
          <w:sz w:val="22"/>
        </w:rPr>
        <w:t> </w:t>
      </w:r>
      <w:r>
        <w:rPr>
          <w:i/>
          <w:sz w:val="22"/>
        </w:rPr>
        <w:t>has</w:t>
      </w:r>
      <w:r>
        <w:rPr>
          <w:i/>
          <w:spacing w:val="-14"/>
          <w:sz w:val="22"/>
        </w:rPr>
        <w:t> </w:t>
      </w:r>
      <w:r>
        <w:rPr>
          <w:i/>
          <w:sz w:val="22"/>
        </w:rPr>
        <w:t>been</w:t>
      </w:r>
      <w:r>
        <w:rPr>
          <w:i/>
          <w:spacing w:val="-15"/>
          <w:sz w:val="22"/>
        </w:rPr>
        <w:t> </w:t>
      </w:r>
      <w:r>
        <w:rPr>
          <w:i/>
          <w:sz w:val="22"/>
        </w:rPr>
        <w:t>considered</w:t>
      </w:r>
      <w:r>
        <w:rPr>
          <w:i/>
          <w:spacing w:val="-13"/>
          <w:sz w:val="22"/>
        </w:rPr>
        <w:t> </w:t>
      </w:r>
      <w:r>
        <w:rPr>
          <w:i/>
          <w:sz w:val="22"/>
        </w:rPr>
        <w:t>over</w:t>
      </w:r>
      <w:r>
        <w:rPr>
          <w:i/>
          <w:spacing w:val="-13"/>
          <w:sz w:val="22"/>
        </w:rPr>
        <w:t> </w:t>
      </w:r>
      <w:r>
        <w:rPr>
          <w:i/>
          <w:sz w:val="22"/>
        </w:rPr>
        <w:t>the</w:t>
      </w:r>
      <w:r>
        <w:rPr>
          <w:i/>
          <w:spacing w:val="-12"/>
          <w:sz w:val="22"/>
        </w:rPr>
        <w:t> </w:t>
      </w:r>
      <w:r>
        <w:rPr>
          <w:i/>
          <w:sz w:val="22"/>
        </w:rPr>
        <w:t>next</w:t>
      </w:r>
      <w:r>
        <w:rPr>
          <w:i/>
          <w:spacing w:val="-16"/>
          <w:sz w:val="22"/>
        </w:rPr>
        <w:t> </w:t>
      </w:r>
      <w:r>
        <w:rPr>
          <w:i/>
          <w:sz w:val="22"/>
        </w:rPr>
        <w:t>few</w:t>
      </w:r>
      <w:r>
        <w:rPr>
          <w:i/>
          <w:spacing w:val="-13"/>
          <w:sz w:val="22"/>
        </w:rPr>
        <w:t> </w:t>
      </w:r>
      <w:r>
        <w:rPr>
          <w:i/>
          <w:sz w:val="22"/>
        </w:rPr>
        <w:t>quarters</w:t>
      </w:r>
    </w:p>
    <w:p>
      <w:pPr>
        <w:pStyle w:val="ListParagraph"/>
        <w:numPr>
          <w:ilvl w:val="0"/>
          <w:numId w:val="47"/>
        </w:numPr>
        <w:tabs>
          <w:tab w:pos="1565" w:val="left" w:leader="none"/>
          <w:tab w:pos="1566" w:val="left" w:leader="none"/>
        </w:tabs>
        <w:spacing w:line="268" w:lineRule="auto" w:before="28" w:after="0"/>
        <w:ind w:left="1565" w:right="192" w:hanging="360"/>
        <w:jc w:val="left"/>
        <w:rPr>
          <w:i/>
          <w:sz w:val="22"/>
        </w:rPr>
      </w:pPr>
      <w:r>
        <w:rPr>
          <w:i/>
          <w:sz w:val="22"/>
        </w:rPr>
        <w:t>Considering</w:t>
      </w:r>
      <w:r>
        <w:rPr>
          <w:i/>
          <w:spacing w:val="-44"/>
          <w:sz w:val="22"/>
        </w:rPr>
        <w:t> </w:t>
      </w:r>
      <w:r>
        <w:rPr>
          <w:i/>
          <w:sz w:val="22"/>
        </w:rPr>
        <w:t>challenges</w:t>
      </w:r>
      <w:r>
        <w:rPr>
          <w:i/>
          <w:spacing w:val="-42"/>
          <w:sz w:val="22"/>
        </w:rPr>
        <w:t> </w:t>
      </w:r>
      <w:r>
        <w:rPr>
          <w:i/>
          <w:sz w:val="22"/>
        </w:rPr>
        <w:t>in</w:t>
      </w:r>
      <w:r>
        <w:rPr>
          <w:i/>
          <w:spacing w:val="-43"/>
          <w:sz w:val="22"/>
        </w:rPr>
        <w:t> </w:t>
      </w:r>
      <w:r>
        <w:rPr>
          <w:i/>
          <w:sz w:val="22"/>
        </w:rPr>
        <w:t>the</w:t>
      </w:r>
      <w:r>
        <w:rPr>
          <w:i/>
          <w:spacing w:val="-42"/>
          <w:sz w:val="22"/>
        </w:rPr>
        <w:t> </w:t>
      </w:r>
      <w:r>
        <w:rPr>
          <w:i/>
          <w:sz w:val="22"/>
        </w:rPr>
        <w:t>short</w:t>
      </w:r>
      <w:r>
        <w:rPr>
          <w:i/>
          <w:spacing w:val="-43"/>
          <w:sz w:val="22"/>
        </w:rPr>
        <w:t> </w:t>
      </w:r>
      <w:r>
        <w:rPr>
          <w:i/>
          <w:sz w:val="22"/>
        </w:rPr>
        <w:t>term,</w:t>
      </w:r>
      <w:r>
        <w:rPr>
          <w:i/>
          <w:spacing w:val="-41"/>
          <w:sz w:val="22"/>
        </w:rPr>
        <w:t> </w:t>
      </w:r>
      <w:r>
        <w:rPr>
          <w:i/>
          <w:sz w:val="22"/>
        </w:rPr>
        <w:t>timelines</w:t>
      </w:r>
      <w:r>
        <w:rPr>
          <w:i/>
          <w:spacing w:val="-44"/>
          <w:sz w:val="22"/>
        </w:rPr>
        <w:t> </w:t>
      </w:r>
      <w:r>
        <w:rPr>
          <w:i/>
          <w:sz w:val="22"/>
        </w:rPr>
        <w:t>have</w:t>
      </w:r>
      <w:r>
        <w:rPr>
          <w:i/>
          <w:spacing w:val="-41"/>
          <w:sz w:val="22"/>
        </w:rPr>
        <w:t> </w:t>
      </w:r>
      <w:r>
        <w:rPr>
          <w:i/>
          <w:sz w:val="22"/>
        </w:rPr>
        <w:t>been</w:t>
      </w:r>
      <w:r>
        <w:rPr>
          <w:i/>
          <w:spacing w:val="-43"/>
          <w:sz w:val="22"/>
        </w:rPr>
        <w:t> </w:t>
      </w:r>
      <w:r>
        <w:rPr>
          <w:i/>
          <w:sz w:val="22"/>
        </w:rPr>
        <w:t>extended</w:t>
      </w:r>
      <w:r>
        <w:rPr>
          <w:i/>
          <w:spacing w:val="-42"/>
          <w:sz w:val="22"/>
        </w:rPr>
        <w:t> </w:t>
      </w:r>
      <w:r>
        <w:rPr>
          <w:i/>
          <w:sz w:val="22"/>
        </w:rPr>
        <w:t>for</w:t>
      </w:r>
      <w:r>
        <w:rPr>
          <w:i/>
          <w:spacing w:val="-43"/>
          <w:sz w:val="22"/>
        </w:rPr>
        <w:t> </w:t>
      </w:r>
      <w:r>
        <w:rPr>
          <w:i/>
          <w:sz w:val="22"/>
        </w:rPr>
        <w:t>new</w:t>
      </w:r>
      <w:r>
        <w:rPr>
          <w:i/>
          <w:spacing w:val="-42"/>
          <w:sz w:val="22"/>
        </w:rPr>
        <w:t> </w:t>
      </w:r>
      <w:r>
        <w:rPr>
          <w:i/>
          <w:sz w:val="22"/>
        </w:rPr>
        <w:t>space</w:t>
      </w:r>
      <w:r>
        <w:rPr>
          <w:i/>
          <w:spacing w:val="-43"/>
          <w:sz w:val="22"/>
        </w:rPr>
        <w:t> </w:t>
      </w:r>
      <w:r>
        <w:rPr>
          <w:i/>
          <w:sz w:val="22"/>
        </w:rPr>
        <w:t>take-up/ </w:t>
      </w:r>
      <w:r>
        <w:rPr>
          <w:i/>
          <w:sz w:val="22"/>
        </w:rPr>
        <w:t>future</w:t>
      </w:r>
      <w:r>
        <w:rPr>
          <w:i/>
          <w:spacing w:val="-3"/>
          <w:sz w:val="22"/>
        </w:rPr>
        <w:t> </w:t>
      </w:r>
      <w:r>
        <w:rPr>
          <w:i/>
          <w:sz w:val="22"/>
        </w:rPr>
        <w:t>leasing</w:t>
      </w:r>
    </w:p>
    <w:p>
      <w:pPr>
        <w:pStyle w:val="ListParagraph"/>
        <w:numPr>
          <w:ilvl w:val="0"/>
          <w:numId w:val="47"/>
        </w:numPr>
        <w:tabs>
          <w:tab w:pos="1565" w:val="left" w:leader="none"/>
          <w:tab w:pos="1566" w:val="left" w:leader="none"/>
        </w:tabs>
        <w:spacing w:line="268" w:lineRule="auto" w:before="0" w:after="0"/>
        <w:ind w:left="1565" w:right="191" w:hanging="360"/>
        <w:jc w:val="left"/>
        <w:rPr>
          <w:i/>
          <w:sz w:val="22"/>
        </w:rPr>
      </w:pPr>
      <w:r>
        <w:rPr>
          <w:i/>
          <w:sz w:val="22"/>
        </w:rPr>
        <w:t>Additional</w:t>
      </w:r>
      <w:r>
        <w:rPr>
          <w:i/>
          <w:spacing w:val="-28"/>
          <w:sz w:val="22"/>
        </w:rPr>
        <w:t> </w:t>
      </w:r>
      <w:r>
        <w:rPr>
          <w:i/>
          <w:sz w:val="22"/>
        </w:rPr>
        <w:t>fit-out</w:t>
      </w:r>
      <w:r>
        <w:rPr>
          <w:i/>
          <w:spacing w:val="-27"/>
          <w:sz w:val="22"/>
        </w:rPr>
        <w:t> </w:t>
      </w:r>
      <w:r>
        <w:rPr>
          <w:i/>
          <w:sz w:val="22"/>
        </w:rPr>
        <w:t>period/</w:t>
      </w:r>
      <w:r>
        <w:rPr>
          <w:i/>
          <w:spacing w:val="-27"/>
          <w:sz w:val="22"/>
        </w:rPr>
        <w:t> </w:t>
      </w:r>
      <w:r>
        <w:rPr>
          <w:i/>
          <w:sz w:val="22"/>
        </w:rPr>
        <w:t>rent</w:t>
      </w:r>
      <w:r>
        <w:rPr>
          <w:i/>
          <w:spacing w:val="-28"/>
          <w:sz w:val="22"/>
        </w:rPr>
        <w:t> </w:t>
      </w:r>
      <w:r>
        <w:rPr>
          <w:i/>
          <w:sz w:val="22"/>
        </w:rPr>
        <w:t>free</w:t>
      </w:r>
      <w:r>
        <w:rPr>
          <w:i/>
          <w:spacing w:val="-27"/>
          <w:sz w:val="22"/>
        </w:rPr>
        <w:t> </w:t>
      </w:r>
      <w:r>
        <w:rPr>
          <w:i/>
          <w:sz w:val="22"/>
        </w:rPr>
        <w:t>months</w:t>
      </w:r>
      <w:r>
        <w:rPr>
          <w:i/>
          <w:spacing w:val="-26"/>
          <w:sz w:val="22"/>
        </w:rPr>
        <w:t> </w:t>
      </w:r>
      <w:r>
        <w:rPr>
          <w:i/>
          <w:sz w:val="22"/>
        </w:rPr>
        <w:t>have</w:t>
      </w:r>
      <w:r>
        <w:rPr>
          <w:i/>
          <w:spacing w:val="-27"/>
          <w:sz w:val="22"/>
        </w:rPr>
        <w:t> </w:t>
      </w:r>
      <w:r>
        <w:rPr>
          <w:i/>
          <w:sz w:val="22"/>
        </w:rPr>
        <w:t>been</w:t>
      </w:r>
      <w:r>
        <w:rPr>
          <w:i/>
          <w:spacing w:val="-27"/>
          <w:sz w:val="22"/>
        </w:rPr>
        <w:t> </w:t>
      </w:r>
      <w:r>
        <w:rPr>
          <w:i/>
          <w:sz w:val="22"/>
        </w:rPr>
        <w:t>incorporated</w:t>
      </w:r>
      <w:r>
        <w:rPr>
          <w:i/>
          <w:spacing w:val="-28"/>
          <w:sz w:val="22"/>
        </w:rPr>
        <w:t> </w:t>
      </w:r>
      <w:r>
        <w:rPr>
          <w:i/>
          <w:sz w:val="22"/>
        </w:rPr>
        <w:t>where</w:t>
      </w:r>
      <w:r>
        <w:rPr>
          <w:i/>
          <w:spacing w:val="-27"/>
          <w:sz w:val="22"/>
        </w:rPr>
        <w:t> </w:t>
      </w:r>
      <w:r>
        <w:rPr>
          <w:i/>
          <w:sz w:val="22"/>
        </w:rPr>
        <w:t>fit-out</w:t>
      </w:r>
      <w:r>
        <w:rPr>
          <w:i/>
          <w:spacing w:val="-28"/>
          <w:sz w:val="22"/>
        </w:rPr>
        <w:t> </w:t>
      </w:r>
      <w:r>
        <w:rPr>
          <w:i/>
          <w:sz w:val="22"/>
        </w:rPr>
        <w:t>works</w:t>
      </w:r>
      <w:r>
        <w:rPr>
          <w:i/>
          <w:spacing w:val="-27"/>
          <w:sz w:val="22"/>
        </w:rPr>
        <w:t> </w:t>
      </w:r>
      <w:r>
        <w:rPr>
          <w:i/>
          <w:sz w:val="22"/>
        </w:rPr>
        <w:t>have </w:t>
      </w:r>
      <w:r>
        <w:rPr>
          <w:i/>
          <w:sz w:val="22"/>
        </w:rPr>
        <w:t>commenced”</w:t>
      </w:r>
    </w:p>
    <w:p>
      <w:pPr>
        <w:pStyle w:val="ListParagraph"/>
        <w:numPr>
          <w:ilvl w:val="2"/>
          <w:numId w:val="14"/>
        </w:numPr>
        <w:tabs>
          <w:tab w:pos="841" w:val="left" w:leader="none"/>
        </w:tabs>
        <w:spacing w:line="240" w:lineRule="auto" w:before="116" w:after="0"/>
        <w:ind w:left="840" w:right="0" w:hanging="721"/>
        <w:jc w:val="left"/>
        <w:rPr>
          <w:sz w:val="22"/>
        </w:rPr>
      </w:pPr>
      <w:bookmarkStart w:name="_bookmark147" w:id="288"/>
      <w:bookmarkEnd w:id="288"/>
      <w:r>
        <w:rPr/>
      </w:r>
      <w:bookmarkStart w:name="_bookmark147" w:id="289"/>
      <w:bookmarkEnd w:id="289"/>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5"/>
        <w:ind w:left="686" w:right="199"/>
        <w:jc w:val="both"/>
      </w:pPr>
      <w:r>
        <w:rPr/>
        <w:t>Based on information/rent roll provided by the Client, we understand that subject property is a commercial city centre office. Further, we understand that the total leasable area of the subject development is 658,390 sf. But, from the rent roll provided by the client, the total leasable area considered for the purpose of this valuation is 360,947 sf.</w:t>
      </w:r>
    </w:p>
    <w:p>
      <w:pPr>
        <w:pStyle w:val="BodyText"/>
        <w:rPr>
          <w:sz w:val="21"/>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48" w:id="290"/>
      <w:bookmarkEnd w:id="290"/>
      <w:r>
        <w:rPr/>
      </w:r>
      <w:bookmarkStart w:name="_bookmark148" w:id="291"/>
      <w:bookmarkEnd w:id="291"/>
      <w:r>
        <w:rPr>
          <w:color w:val="1F664D"/>
          <w:sz w:val="22"/>
        </w:rPr>
        <w:t>Con</w:t>
      </w:r>
      <w:r>
        <w:rPr>
          <w:color w:val="1F664D"/>
          <w:sz w:val="22"/>
        </w:rPr>
        <w:t>struction/ Refurbishment</w:t>
      </w:r>
      <w:r>
        <w:rPr>
          <w:color w:val="1F664D"/>
          <w:spacing w:val="-5"/>
          <w:sz w:val="22"/>
        </w:rPr>
        <w:t> </w:t>
      </w:r>
      <w:r>
        <w:rPr>
          <w:color w:val="1F664D"/>
          <w:sz w:val="22"/>
        </w:rPr>
        <w:t>Timelines</w:t>
      </w:r>
    </w:p>
    <w:p>
      <w:pPr>
        <w:pStyle w:val="BodyText"/>
        <w:spacing w:before="6"/>
        <w:rPr>
          <w:sz w:val="25"/>
        </w:rPr>
      </w:pPr>
    </w:p>
    <w:p>
      <w:pPr>
        <w:spacing w:before="1"/>
        <w:ind w:left="120" w:right="0" w:firstLine="0"/>
        <w:jc w:val="both"/>
        <w:rPr>
          <w:i/>
          <w:sz w:val="20"/>
        </w:rPr>
      </w:pPr>
      <w:r>
        <w:rPr>
          <w:i/>
          <w:color w:val="008000"/>
          <w:sz w:val="22"/>
        </w:rPr>
        <w:t>8.4.3.1 </w:t>
      </w:r>
      <w:r>
        <w:rPr>
          <w:i/>
          <w:color w:val="008000"/>
          <w:sz w:val="20"/>
        </w:rPr>
        <w:t>Completed Blocks</w:t>
      </w:r>
    </w:p>
    <w:p>
      <w:pPr>
        <w:pStyle w:val="BodyText"/>
        <w:spacing w:line="321" w:lineRule="auto" w:before="75"/>
        <w:ind w:left="686" w:right="192"/>
        <w:jc w:val="both"/>
      </w:pPr>
      <w:r>
        <w:rPr/>
        <w:t>As</w:t>
      </w:r>
      <w:r>
        <w:rPr>
          <w:spacing w:val="-6"/>
        </w:rPr>
        <w:t> </w:t>
      </w:r>
      <w:r>
        <w:rPr/>
        <w:t>highlighted</w:t>
      </w:r>
      <w:r>
        <w:rPr>
          <w:spacing w:val="-7"/>
        </w:rPr>
        <w:t> </w:t>
      </w:r>
      <w:r>
        <w:rPr/>
        <w:t>earlier,</w:t>
      </w:r>
      <w:r>
        <w:rPr>
          <w:spacing w:val="-7"/>
        </w:rPr>
        <w:t> </w:t>
      </w:r>
      <w:r>
        <w:rPr/>
        <w:t>the</w:t>
      </w:r>
      <w:r>
        <w:rPr>
          <w:spacing w:val="-7"/>
        </w:rPr>
        <w:t> </w:t>
      </w:r>
      <w:r>
        <w:rPr/>
        <w:t>subject</w:t>
      </w:r>
      <w:r>
        <w:rPr>
          <w:spacing w:val="-6"/>
        </w:rPr>
        <w:t> </w:t>
      </w:r>
      <w:r>
        <w:rPr/>
        <w:t>property</w:t>
      </w:r>
      <w:r>
        <w:rPr>
          <w:spacing w:val="-6"/>
        </w:rPr>
        <w:t> </w:t>
      </w:r>
      <w:r>
        <w:rPr/>
        <w:t>has</w:t>
      </w:r>
      <w:r>
        <w:rPr>
          <w:spacing w:val="-3"/>
        </w:rPr>
        <w:t> </w:t>
      </w:r>
      <w:r>
        <w:rPr/>
        <w:t>360,947</w:t>
      </w:r>
      <w:r>
        <w:rPr>
          <w:spacing w:val="-7"/>
        </w:rPr>
        <w:t> </w:t>
      </w:r>
      <w:r>
        <w:rPr/>
        <w:t>sf</w:t>
      </w:r>
      <w:r>
        <w:rPr>
          <w:spacing w:val="-6"/>
        </w:rPr>
        <w:t> </w:t>
      </w:r>
      <w:r>
        <w:rPr/>
        <w:t>of</w:t>
      </w:r>
      <w:r>
        <w:rPr>
          <w:spacing w:val="-7"/>
        </w:rPr>
        <w:t> </w:t>
      </w:r>
      <w:r>
        <w:rPr/>
        <w:t>leasable</w:t>
      </w:r>
      <w:r>
        <w:rPr>
          <w:spacing w:val="-8"/>
        </w:rPr>
        <w:t> </w:t>
      </w:r>
      <w:r>
        <w:rPr/>
        <w:t>area</w:t>
      </w:r>
      <w:r>
        <w:rPr>
          <w:spacing w:val="-7"/>
        </w:rPr>
        <w:t> </w:t>
      </w:r>
      <w:r>
        <w:rPr/>
        <w:t>under</w:t>
      </w:r>
      <w:r>
        <w:rPr>
          <w:spacing w:val="-7"/>
        </w:rPr>
        <w:t> </w:t>
      </w:r>
      <w:r>
        <w:rPr/>
        <w:t>the</w:t>
      </w:r>
      <w:r>
        <w:rPr>
          <w:spacing w:val="-7"/>
        </w:rPr>
        <w:t> </w:t>
      </w:r>
      <w:r>
        <w:rPr/>
        <w:t>purview</w:t>
      </w:r>
      <w:r>
        <w:rPr>
          <w:spacing w:val="-7"/>
        </w:rPr>
        <w:t> </w:t>
      </w:r>
      <w:r>
        <w:rPr/>
        <w:t>of</w:t>
      </w:r>
      <w:r>
        <w:rPr>
          <w:spacing w:val="-6"/>
        </w:rPr>
        <w:t> </w:t>
      </w:r>
      <w:r>
        <w:rPr/>
        <w:t>this valuation</w:t>
      </w:r>
      <w:r>
        <w:rPr>
          <w:spacing w:val="-5"/>
        </w:rPr>
        <w:t> </w:t>
      </w:r>
      <w:r>
        <w:rPr/>
        <w:t>exercise</w:t>
      </w:r>
      <w:r>
        <w:rPr>
          <w:spacing w:val="-5"/>
        </w:rPr>
        <w:t> </w:t>
      </w:r>
      <w:r>
        <w:rPr/>
        <w:t>and</w:t>
      </w:r>
      <w:r>
        <w:rPr>
          <w:spacing w:val="-3"/>
        </w:rPr>
        <w:t> </w:t>
      </w:r>
      <w:r>
        <w:rPr/>
        <w:t>a</w:t>
      </w:r>
      <w:r>
        <w:rPr>
          <w:spacing w:val="-4"/>
        </w:rPr>
        <w:t> </w:t>
      </w:r>
      <w:r>
        <w:rPr/>
        <w:t>refurbishment</w:t>
      </w:r>
      <w:r>
        <w:rPr>
          <w:spacing w:val="-4"/>
        </w:rPr>
        <w:t> </w:t>
      </w:r>
      <w:r>
        <w:rPr/>
        <w:t>cost</w:t>
      </w:r>
      <w:r>
        <w:rPr>
          <w:spacing w:val="-4"/>
        </w:rPr>
        <w:t> </w:t>
      </w:r>
      <w:r>
        <w:rPr/>
        <w:t>of</w:t>
      </w:r>
      <w:r>
        <w:rPr>
          <w:spacing w:val="-4"/>
        </w:rPr>
        <w:t> </w:t>
      </w:r>
      <w:r>
        <w:rPr/>
        <w:t>approx.</w:t>
      </w:r>
      <w:r>
        <w:rPr>
          <w:spacing w:val="-4"/>
        </w:rPr>
        <w:t> </w:t>
      </w:r>
      <w:r>
        <w:rPr/>
        <w:t>INR</w:t>
      </w:r>
      <w:r>
        <w:rPr>
          <w:spacing w:val="-4"/>
        </w:rPr>
        <w:t> </w:t>
      </w:r>
      <w:r>
        <w:rPr/>
        <w:t>65.00</w:t>
      </w:r>
      <w:r>
        <w:rPr>
          <w:spacing w:val="-5"/>
        </w:rPr>
        <w:t> </w:t>
      </w:r>
      <w:r>
        <w:rPr/>
        <w:t>Mn</w:t>
      </w:r>
      <w:r>
        <w:rPr>
          <w:spacing w:val="-7"/>
        </w:rPr>
        <w:t> </w:t>
      </w:r>
      <w:r>
        <w:rPr/>
        <w:t>(expected</w:t>
      </w:r>
      <w:r>
        <w:rPr>
          <w:spacing w:val="-4"/>
        </w:rPr>
        <w:t> </w:t>
      </w:r>
      <w:r>
        <w:rPr/>
        <w:t>to</w:t>
      </w:r>
      <w:r>
        <w:rPr>
          <w:spacing w:val="-6"/>
        </w:rPr>
        <w:t> </w:t>
      </w:r>
      <w:r>
        <w:rPr/>
        <w:t>be</w:t>
      </w:r>
      <w:r>
        <w:rPr>
          <w:spacing w:val="-4"/>
        </w:rPr>
        <w:t> </w:t>
      </w:r>
      <w:r>
        <w:rPr/>
        <w:t>spent</w:t>
      </w:r>
      <w:r>
        <w:rPr>
          <w:spacing w:val="-5"/>
        </w:rPr>
        <w:t> </w:t>
      </w:r>
      <w:r>
        <w:rPr/>
        <w:t>in</w:t>
      </w:r>
      <w:r>
        <w:rPr>
          <w:spacing w:val="-5"/>
        </w:rPr>
        <w:t> </w:t>
      </w:r>
      <w:r>
        <w:rPr/>
        <w:t>next</w:t>
      </w:r>
      <w:r>
        <w:rPr>
          <w:spacing w:val="-1"/>
        </w:rPr>
        <w:t> </w:t>
      </w:r>
      <w:r>
        <w:rPr/>
        <w:t>4 quarters)</w:t>
      </w:r>
      <w:r>
        <w:rPr>
          <w:spacing w:val="-5"/>
        </w:rPr>
        <w:t> </w:t>
      </w:r>
      <w:r>
        <w:rPr/>
        <w:t>is</w:t>
      </w:r>
      <w:r>
        <w:rPr>
          <w:spacing w:val="-4"/>
        </w:rPr>
        <w:t> </w:t>
      </w:r>
      <w:r>
        <w:rPr/>
        <w:t>pending</w:t>
      </w:r>
      <w:r>
        <w:rPr>
          <w:spacing w:val="-4"/>
        </w:rPr>
        <w:t> </w:t>
      </w:r>
      <w:r>
        <w:rPr/>
        <w:t>towards</w:t>
      </w:r>
      <w:r>
        <w:rPr>
          <w:spacing w:val="-4"/>
        </w:rPr>
        <w:t> </w:t>
      </w:r>
      <w:r>
        <w:rPr/>
        <w:t>the</w:t>
      </w:r>
      <w:r>
        <w:rPr>
          <w:spacing w:val="-8"/>
        </w:rPr>
        <w:t> </w:t>
      </w:r>
      <w:r>
        <w:rPr/>
        <w:t>same</w:t>
      </w:r>
      <w:r>
        <w:rPr>
          <w:spacing w:val="-5"/>
        </w:rPr>
        <w:t> </w:t>
      </w:r>
      <w:r>
        <w:rPr/>
        <w:t>as</w:t>
      </w:r>
      <w:r>
        <w:rPr>
          <w:spacing w:val="-4"/>
        </w:rPr>
        <w:t> </w:t>
      </w:r>
      <w:r>
        <w:rPr/>
        <w:t>of</w:t>
      </w:r>
      <w:r>
        <w:rPr>
          <w:spacing w:val="-7"/>
        </w:rPr>
        <w:t> </w:t>
      </w:r>
      <w:r>
        <w:rPr/>
        <w:t>date</w:t>
      </w:r>
      <w:r>
        <w:rPr>
          <w:spacing w:val="-5"/>
        </w:rPr>
        <w:t> </w:t>
      </w:r>
      <w:r>
        <w:rPr/>
        <w:t>of</w:t>
      </w:r>
      <w:r>
        <w:rPr>
          <w:spacing w:val="-4"/>
        </w:rPr>
        <w:t> </w:t>
      </w:r>
      <w:r>
        <w:rPr/>
        <w:t>valuation.</w:t>
      </w:r>
    </w:p>
    <w:p>
      <w:pPr>
        <w:spacing w:after="0" w:line="321" w:lineRule="auto"/>
        <w:jc w:val="both"/>
        <w:sectPr>
          <w:pgSz w:w="11910" w:h="16840"/>
          <w:pgMar w:header="720" w:footer="933" w:top="1660" w:bottom="1120" w:left="600" w:right="520"/>
        </w:sectPr>
      </w:pPr>
    </w:p>
    <w:p>
      <w:pPr>
        <w:pStyle w:val="BodyText"/>
        <w:spacing w:before="7"/>
        <w:rPr>
          <w:sz w:val="9"/>
        </w:rPr>
      </w:pPr>
    </w:p>
    <w:p>
      <w:pPr>
        <w:pStyle w:val="ListParagraph"/>
        <w:numPr>
          <w:ilvl w:val="2"/>
          <w:numId w:val="14"/>
        </w:numPr>
        <w:tabs>
          <w:tab w:pos="841" w:val="left" w:leader="none"/>
        </w:tabs>
        <w:spacing w:line="240" w:lineRule="auto" w:before="106" w:after="0"/>
        <w:ind w:left="840" w:right="0" w:hanging="721"/>
        <w:jc w:val="both"/>
        <w:rPr>
          <w:sz w:val="22"/>
        </w:rPr>
      </w:pPr>
      <w:bookmarkStart w:name="_bookmark149" w:id="292"/>
      <w:bookmarkEnd w:id="292"/>
      <w:r>
        <w:rPr/>
      </w:r>
      <w:bookmarkStart w:name="_bookmark149" w:id="293"/>
      <w:bookmarkEnd w:id="293"/>
      <w:r>
        <w:rPr>
          <w:color w:val="1F664D"/>
          <w:sz w:val="22"/>
        </w:rPr>
        <w:t>A</w:t>
      </w:r>
      <w:r>
        <w:rPr>
          <w:color w:val="1F664D"/>
          <w:sz w:val="22"/>
        </w:rPr>
        <w:t>bsorption/ Leasing Velocity and Occupancy</w:t>
      </w:r>
      <w:r>
        <w:rPr>
          <w:color w:val="1F664D"/>
          <w:spacing w:val="1"/>
          <w:sz w:val="22"/>
        </w:rPr>
        <w:t> </w:t>
      </w:r>
      <w:r>
        <w:rPr>
          <w:color w:val="1F664D"/>
          <w:sz w:val="22"/>
        </w:rPr>
        <w:t>Profile</w:t>
      </w:r>
    </w:p>
    <w:p>
      <w:pPr>
        <w:pStyle w:val="BodyText"/>
        <w:spacing w:before="6"/>
        <w:rPr>
          <w:sz w:val="25"/>
        </w:rPr>
      </w:pPr>
    </w:p>
    <w:p>
      <w:pPr>
        <w:spacing w:before="1"/>
        <w:ind w:left="120" w:right="0" w:firstLine="0"/>
        <w:jc w:val="both"/>
        <w:rPr>
          <w:i/>
          <w:sz w:val="20"/>
        </w:rPr>
      </w:pPr>
      <w:r>
        <w:rPr>
          <w:i/>
          <w:color w:val="008000"/>
          <w:sz w:val="22"/>
        </w:rPr>
        <w:t>8.4.4.1 </w:t>
      </w:r>
      <w:r>
        <w:rPr>
          <w:i/>
          <w:color w:val="008000"/>
          <w:sz w:val="20"/>
        </w:rPr>
        <w:t>Completed Blocks</w:t>
      </w:r>
    </w:p>
    <w:p>
      <w:pPr>
        <w:pStyle w:val="BodyText"/>
        <w:spacing w:line="321" w:lineRule="auto" w:before="75"/>
        <w:ind w:left="686" w:right="194" w:firstLine="64"/>
        <w:jc w:val="both"/>
      </w:pPr>
      <w:r>
        <w:rPr/>
        <w:t>In</w:t>
      </w:r>
      <w:r>
        <w:rPr>
          <w:spacing w:val="-35"/>
        </w:rPr>
        <w:t> </w:t>
      </w:r>
      <w:r>
        <w:rPr/>
        <w:t>order</w:t>
      </w:r>
      <w:r>
        <w:rPr>
          <w:spacing w:val="-35"/>
        </w:rPr>
        <w:t> </w:t>
      </w:r>
      <w:r>
        <w:rPr/>
        <w:t>to</w:t>
      </w:r>
      <w:r>
        <w:rPr>
          <w:spacing w:val="-35"/>
        </w:rPr>
        <w:t> </w:t>
      </w:r>
      <w:r>
        <w:rPr/>
        <w:t>arrive</w:t>
      </w:r>
      <w:r>
        <w:rPr>
          <w:spacing w:val="-34"/>
        </w:rPr>
        <w:t> </w:t>
      </w:r>
      <w:r>
        <w:rPr/>
        <w:t>at</w:t>
      </w:r>
      <w:r>
        <w:rPr>
          <w:spacing w:val="-34"/>
        </w:rPr>
        <w:t> </w:t>
      </w:r>
      <w:r>
        <w:rPr/>
        <w:t>the</w:t>
      </w:r>
      <w:r>
        <w:rPr>
          <w:spacing w:val="-35"/>
        </w:rPr>
        <w:t> </w:t>
      </w:r>
      <w:r>
        <w:rPr/>
        <w:t>future</w:t>
      </w:r>
      <w:r>
        <w:rPr>
          <w:spacing w:val="-35"/>
        </w:rPr>
        <w:t> </w:t>
      </w:r>
      <w:r>
        <w:rPr/>
        <w:t>absorption</w:t>
      </w:r>
      <w:r>
        <w:rPr>
          <w:spacing w:val="-35"/>
        </w:rPr>
        <w:t> </w:t>
      </w:r>
      <w:r>
        <w:rPr/>
        <w:t>levels</w:t>
      </w:r>
      <w:r>
        <w:rPr>
          <w:spacing w:val="-34"/>
        </w:rPr>
        <w:t> </w:t>
      </w:r>
      <w:r>
        <w:rPr/>
        <w:t>at</w:t>
      </w:r>
      <w:r>
        <w:rPr>
          <w:spacing w:val="-35"/>
        </w:rPr>
        <w:t> </w:t>
      </w:r>
      <w:r>
        <w:rPr/>
        <w:t>the</w:t>
      </w:r>
      <w:r>
        <w:rPr>
          <w:spacing w:val="-34"/>
        </w:rPr>
        <w:t> </w:t>
      </w:r>
      <w:r>
        <w:rPr/>
        <w:t>subject</w:t>
      </w:r>
      <w:r>
        <w:rPr>
          <w:spacing w:val="-35"/>
        </w:rPr>
        <w:t> </w:t>
      </w:r>
      <w:r>
        <w:rPr/>
        <w:t>property,</w:t>
      </w:r>
      <w:r>
        <w:rPr>
          <w:spacing w:val="-35"/>
        </w:rPr>
        <w:t> </w:t>
      </w:r>
      <w:r>
        <w:rPr/>
        <w:t>we</w:t>
      </w:r>
      <w:r>
        <w:rPr>
          <w:spacing w:val="-36"/>
        </w:rPr>
        <w:t> </w:t>
      </w:r>
      <w:r>
        <w:rPr/>
        <w:t>have</w:t>
      </w:r>
      <w:r>
        <w:rPr>
          <w:spacing w:val="-35"/>
        </w:rPr>
        <w:t> </w:t>
      </w:r>
      <w:r>
        <w:rPr/>
        <w:t>analysed</w:t>
      </w:r>
      <w:r>
        <w:rPr>
          <w:spacing w:val="-34"/>
        </w:rPr>
        <w:t> </w:t>
      </w:r>
      <w:r>
        <w:rPr/>
        <w:t>the</w:t>
      </w:r>
      <w:r>
        <w:rPr>
          <w:spacing w:val="-35"/>
        </w:rPr>
        <w:t> </w:t>
      </w:r>
      <w:r>
        <w:rPr/>
        <w:t>historical demand</w:t>
      </w:r>
      <w:r>
        <w:rPr>
          <w:spacing w:val="-34"/>
        </w:rPr>
        <w:t> </w:t>
      </w:r>
      <w:r>
        <w:rPr/>
        <w:t>and</w:t>
      </w:r>
      <w:r>
        <w:rPr>
          <w:spacing w:val="-33"/>
        </w:rPr>
        <w:t> </w:t>
      </w:r>
      <w:r>
        <w:rPr/>
        <w:t>supply</w:t>
      </w:r>
      <w:r>
        <w:rPr>
          <w:spacing w:val="-33"/>
        </w:rPr>
        <w:t> </w:t>
      </w:r>
      <w:r>
        <w:rPr/>
        <w:t>trends</w:t>
      </w:r>
      <w:r>
        <w:rPr>
          <w:spacing w:val="-33"/>
        </w:rPr>
        <w:t> </w:t>
      </w:r>
      <w:r>
        <w:rPr/>
        <w:t>coupled</w:t>
      </w:r>
      <w:r>
        <w:rPr>
          <w:spacing w:val="-32"/>
        </w:rPr>
        <w:t> </w:t>
      </w:r>
      <w:r>
        <w:rPr/>
        <w:t>with</w:t>
      </w:r>
      <w:r>
        <w:rPr>
          <w:spacing w:val="-34"/>
        </w:rPr>
        <w:t> </w:t>
      </w:r>
      <w:r>
        <w:rPr/>
        <w:t>the</w:t>
      </w:r>
      <w:r>
        <w:rPr>
          <w:spacing w:val="-33"/>
        </w:rPr>
        <w:t> </w:t>
      </w:r>
      <w:r>
        <w:rPr/>
        <w:t>estimation</w:t>
      </w:r>
      <w:r>
        <w:rPr>
          <w:spacing w:val="-32"/>
        </w:rPr>
        <w:t> </w:t>
      </w:r>
      <w:r>
        <w:rPr/>
        <w:t>of</w:t>
      </w:r>
      <w:r>
        <w:rPr>
          <w:spacing w:val="-31"/>
        </w:rPr>
        <w:t> </w:t>
      </w:r>
      <w:r>
        <w:rPr/>
        <w:t>future</w:t>
      </w:r>
      <w:r>
        <w:rPr>
          <w:spacing w:val="-32"/>
        </w:rPr>
        <w:t> </w:t>
      </w:r>
      <w:r>
        <w:rPr/>
        <w:t>supply</w:t>
      </w:r>
      <w:r>
        <w:rPr>
          <w:spacing w:val="-31"/>
        </w:rPr>
        <w:t> </w:t>
      </w:r>
      <w:r>
        <w:rPr/>
        <w:t>proposed</w:t>
      </w:r>
      <w:r>
        <w:rPr>
          <w:spacing w:val="-31"/>
        </w:rPr>
        <w:t> </w:t>
      </w:r>
      <w:r>
        <w:rPr/>
        <w:t>to</w:t>
      </w:r>
      <w:r>
        <w:rPr>
          <w:spacing w:val="-34"/>
        </w:rPr>
        <w:t> </w:t>
      </w:r>
      <w:r>
        <w:rPr/>
        <w:t>be</w:t>
      </w:r>
      <w:r>
        <w:rPr>
          <w:spacing w:val="-32"/>
        </w:rPr>
        <w:t> </w:t>
      </w:r>
      <w:r>
        <w:rPr/>
        <w:t>introduced</w:t>
      </w:r>
      <w:r>
        <w:rPr>
          <w:spacing w:val="-31"/>
        </w:rPr>
        <w:t> </w:t>
      </w:r>
      <w:r>
        <w:rPr/>
        <w:t>in</w:t>
      </w:r>
      <w:r>
        <w:rPr>
          <w:spacing w:val="-34"/>
        </w:rPr>
        <w:t> </w:t>
      </w:r>
      <w:r>
        <w:rPr/>
        <w:t>the subject</w:t>
      </w:r>
      <w:r>
        <w:rPr>
          <w:spacing w:val="-4"/>
        </w:rPr>
        <w:t> </w:t>
      </w:r>
      <w:r>
        <w:rPr/>
        <w:t>sub-market.</w:t>
      </w:r>
    </w:p>
    <w:p>
      <w:pPr>
        <w:pStyle w:val="BodyText"/>
        <w:spacing w:before="8"/>
        <w:rPr>
          <w:sz w:val="20"/>
        </w:rPr>
      </w:pPr>
    </w:p>
    <w:p>
      <w:pPr>
        <w:pStyle w:val="BodyText"/>
        <w:spacing w:line="321" w:lineRule="auto"/>
        <w:ind w:left="686" w:right="195"/>
        <w:jc w:val="both"/>
      </w:pPr>
      <w:r>
        <w:rPr/>
        <w:pict>
          <v:shape style="position:absolute;margin-left:35.639999pt;margin-top:63.278622pt;width:523.9500pt;height:148.2pt;mso-position-horizontal-relative:page;mso-position-vertical-relative:paragraph;z-index:1604300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77"/>
                    <w:gridCol w:w="1279"/>
                    <w:gridCol w:w="1276"/>
                    <w:gridCol w:w="1378"/>
                    <w:gridCol w:w="1169"/>
                  </w:tblGrid>
                  <w:tr>
                    <w:trPr>
                      <w:trHeight w:val="837" w:hRule="atLeast"/>
                    </w:trPr>
                    <w:tc>
                      <w:tcPr>
                        <w:tcW w:w="5377" w:type="dxa"/>
                        <w:tcBorders>
                          <w:bottom w:val="single" w:sz="4" w:space="0" w:color="92D050"/>
                        </w:tcBorders>
                        <w:shd w:val="clear" w:color="auto" w:fill="006A4D"/>
                      </w:tcPr>
                      <w:p>
                        <w:pPr>
                          <w:pStyle w:val="TableParagraph"/>
                          <w:tabs>
                            <w:tab w:pos="2659" w:val="left" w:leader="none"/>
                            <w:tab w:pos="4094" w:val="left" w:leader="none"/>
                          </w:tabs>
                          <w:spacing w:before="142"/>
                          <w:ind w:left="672"/>
                          <w:rPr>
                            <w:rFonts w:ascii="Verdana"/>
                            <w:b/>
                            <w:i/>
                            <w:sz w:val="18"/>
                          </w:rPr>
                        </w:pPr>
                        <w:r>
                          <w:rPr>
                            <w:rFonts w:ascii="Verdana"/>
                            <w:b/>
                            <w:i/>
                            <w:color w:val="FFFFFF"/>
                            <w:w w:val="77"/>
                            <w:sz w:val="18"/>
                          </w:rPr>
                          <w:t>P</w:t>
                        </w:r>
                        <w:r>
                          <w:rPr>
                            <w:rFonts w:ascii="Verdana"/>
                            <w:b/>
                            <w:i/>
                            <w:color w:val="FFFFFF"/>
                            <w:w w:val="89"/>
                            <w:sz w:val="18"/>
                          </w:rPr>
                          <w:t>a</w:t>
                        </w:r>
                        <w:r>
                          <w:rPr>
                            <w:rFonts w:ascii="Verdana"/>
                            <w:b/>
                            <w:i/>
                            <w:color w:val="FFFFFF"/>
                            <w:w w:val="79"/>
                            <w:sz w:val="18"/>
                          </w:rPr>
                          <w:t>r</w:t>
                        </w:r>
                        <w:r>
                          <w:rPr>
                            <w:rFonts w:ascii="Verdana"/>
                            <w:b/>
                            <w:i/>
                            <w:color w:val="FFFFFF"/>
                            <w:spacing w:val="-1"/>
                            <w:w w:val="74"/>
                            <w:sz w:val="18"/>
                          </w:rPr>
                          <w:t>t</w:t>
                        </w:r>
                        <w:r>
                          <w:rPr>
                            <w:rFonts w:ascii="Verdana"/>
                            <w:b/>
                            <w:i/>
                            <w:color w:val="FFFFFF"/>
                            <w:w w:val="80"/>
                            <w:sz w:val="18"/>
                          </w:rPr>
                          <w:t>i</w:t>
                        </w:r>
                        <w:r>
                          <w:rPr>
                            <w:rFonts w:ascii="Verdana"/>
                            <w:b/>
                            <w:i/>
                            <w:color w:val="FFFFFF"/>
                            <w:spacing w:val="1"/>
                            <w:w w:val="80"/>
                            <w:sz w:val="18"/>
                          </w:rPr>
                          <w:t>c</w:t>
                        </w:r>
                        <w:r>
                          <w:rPr>
                            <w:rFonts w:ascii="Verdana"/>
                            <w:b/>
                            <w:i/>
                            <w:smallCaps/>
                            <w:color w:val="FFFFFF"/>
                            <w:spacing w:val="-1"/>
                            <w:w w:val="93"/>
                            <w:sz w:val="18"/>
                          </w:rPr>
                          <w:t>u</w:t>
                        </w:r>
                        <w:r>
                          <w:rPr>
                            <w:rFonts w:ascii="Verdana"/>
                            <w:b/>
                            <w:i/>
                            <w:smallCaps w:val="0"/>
                            <w:color w:val="FFFFFF"/>
                            <w:w w:val="86"/>
                            <w:sz w:val="18"/>
                          </w:rPr>
                          <w:t>la</w:t>
                        </w:r>
                        <w:r>
                          <w:rPr>
                            <w:rFonts w:ascii="Verdana"/>
                            <w:b/>
                            <w:i/>
                            <w:smallCaps w:val="0"/>
                            <w:color w:val="FFFFFF"/>
                            <w:w w:val="79"/>
                            <w:sz w:val="18"/>
                          </w:rPr>
                          <w:t>r</w:t>
                        </w:r>
                        <w:r>
                          <w:rPr>
                            <w:rFonts w:ascii="Verdana"/>
                            <w:b/>
                            <w:i/>
                            <w:smallCaps w:val="0"/>
                            <w:color w:val="FFFFFF"/>
                            <w:sz w:val="18"/>
                          </w:rPr>
                          <w:tab/>
                        </w:r>
                        <w:r>
                          <w:rPr>
                            <w:rFonts w:ascii="Verdana"/>
                            <w:b/>
                            <w:i/>
                            <w:smallCaps w:val="0"/>
                            <w:color w:val="FFFFFF"/>
                            <w:w w:val="89"/>
                            <w:position w:val="14"/>
                            <w:sz w:val="18"/>
                          </w:rPr>
                          <w:t>Ab</w:t>
                        </w:r>
                        <w:r>
                          <w:rPr>
                            <w:rFonts w:ascii="Verdana"/>
                            <w:b/>
                            <w:i/>
                            <w:smallCaps w:val="0"/>
                            <w:color w:val="FFFFFF"/>
                            <w:spacing w:val="-1"/>
                            <w:w w:val="82"/>
                            <w:position w:val="14"/>
                            <w:sz w:val="18"/>
                          </w:rPr>
                          <w:t>sor</w:t>
                        </w:r>
                        <w:r>
                          <w:rPr>
                            <w:rFonts w:ascii="Verdana"/>
                            <w:b/>
                            <w:i/>
                            <w:smallCaps w:val="0"/>
                            <w:color w:val="FFFFFF"/>
                            <w:w w:val="82"/>
                            <w:position w:val="14"/>
                            <w:sz w:val="18"/>
                          </w:rPr>
                          <w:t>p</w:t>
                        </w:r>
                        <w:r>
                          <w:rPr>
                            <w:rFonts w:ascii="Verdana"/>
                            <w:b/>
                            <w:i/>
                            <w:smallCaps w:val="0"/>
                            <w:color w:val="FFFFFF"/>
                            <w:spacing w:val="-1"/>
                            <w:w w:val="74"/>
                            <w:position w:val="14"/>
                            <w:sz w:val="18"/>
                          </w:rPr>
                          <w:t>t</w:t>
                        </w:r>
                        <w:r>
                          <w:rPr>
                            <w:rFonts w:ascii="Verdana"/>
                            <w:b/>
                            <w:i/>
                            <w:smallCaps w:val="0"/>
                            <w:color w:val="FFFFFF"/>
                            <w:w w:val="84"/>
                            <w:position w:val="14"/>
                            <w:sz w:val="18"/>
                          </w:rPr>
                          <w:t>ion</w:t>
                        </w:r>
                        <w:r>
                          <w:rPr>
                            <w:rFonts w:ascii="Verdana"/>
                            <w:b/>
                            <w:i/>
                            <w:smallCaps w:val="0"/>
                            <w:color w:val="FFFFFF"/>
                            <w:position w:val="14"/>
                            <w:sz w:val="18"/>
                          </w:rPr>
                          <w:tab/>
                        </w:r>
                        <w:r>
                          <w:rPr>
                            <w:rFonts w:ascii="Verdana"/>
                            <w:b/>
                            <w:i/>
                            <w:smallCaps w:val="0"/>
                            <w:color w:val="FFFFFF"/>
                            <w:w w:val="100"/>
                            <w:sz w:val="18"/>
                          </w:rPr>
                          <w:t>Q</w:t>
                        </w:r>
                        <w:r>
                          <w:rPr>
                            <w:rFonts w:ascii="Verdana"/>
                            <w:b/>
                            <w:i/>
                            <w:smallCaps w:val="0"/>
                            <w:color w:val="FFFFFF"/>
                            <w:w w:val="83"/>
                            <w:sz w:val="18"/>
                          </w:rPr>
                          <w:t>2</w:t>
                        </w:r>
                        <w:r>
                          <w:rPr>
                            <w:rFonts w:ascii="Verdana"/>
                            <w:b/>
                            <w:i/>
                            <w:smallCaps w:val="0"/>
                            <w:color w:val="FFFFFF"/>
                            <w:spacing w:val="-9"/>
                            <w:sz w:val="18"/>
                          </w:rPr>
                          <w:t> </w:t>
                        </w:r>
                        <w:r>
                          <w:rPr>
                            <w:rFonts w:ascii="Verdana"/>
                            <w:b/>
                            <w:i/>
                            <w:smallCaps w:val="0"/>
                            <w:color w:val="FFFFFF"/>
                            <w:w w:val="82"/>
                            <w:sz w:val="18"/>
                          </w:rPr>
                          <w:t>FY</w:t>
                        </w:r>
                        <w:r>
                          <w:rPr>
                            <w:rFonts w:ascii="Verdana"/>
                            <w:b/>
                            <w:i/>
                            <w:smallCaps w:val="0"/>
                            <w:color w:val="FFFFFF"/>
                            <w:spacing w:val="-10"/>
                            <w:sz w:val="18"/>
                          </w:rPr>
                          <w:t> </w:t>
                        </w:r>
                        <w:r>
                          <w:rPr>
                            <w:rFonts w:ascii="Verdana"/>
                            <w:b/>
                            <w:i/>
                            <w:smallCaps w:val="0"/>
                            <w:color w:val="FFFFFF"/>
                            <w:w w:val="83"/>
                            <w:sz w:val="18"/>
                          </w:rPr>
                          <w:t>2021</w:t>
                        </w:r>
                      </w:p>
                    </w:tc>
                    <w:tc>
                      <w:tcPr>
                        <w:tcW w:w="1279" w:type="dxa"/>
                        <w:tcBorders>
                          <w:bottom w:val="single" w:sz="4" w:space="0" w:color="92D050"/>
                        </w:tcBorders>
                        <w:shd w:val="clear" w:color="auto" w:fill="006A4D"/>
                      </w:tcPr>
                      <w:p>
                        <w:pPr>
                          <w:pStyle w:val="TableParagraph"/>
                          <w:spacing w:before="3"/>
                          <w:jc w:val="left"/>
                          <w:rPr>
                            <w:i/>
                            <w:sz w:val="24"/>
                          </w:rPr>
                        </w:pPr>
                      </w:p>
                      <w:p>
                        <w:pPr>
                          <w:pStyle w:val="TableParagraph"/>
                          <w:ind w:left="66" w:right="65"/>
                          <w:rPr>
                            <w:rFonts w:ascii="Verdana"/>
                            <w:b/>
                            <w:i/>
                            <w:sz w:val="18"/>
                          </w:rPr>
                        </w:pPr>
                        <w:r>
                          <w:rPr>
                            <w:rFonts w:ascii="Verdana"/>
                            <w:b/>
                            <w:i/>
                            <w:color w:val="FFFFFF"/>
                            <w:w w:val="95"/>
                            <w:sz w:val="18"/>
                          </w:rPr>
                          <w:t>Q3 FY 2021</w:t>
                        </w:r>
                      </w:p>
                    </w:tc>
                    <w:tc>
                      <w:tcPr>
                        <w:tcW w:w="1276" w:type="dxa"/>
                        <w:tcBorders>
                          <w:bottom w:val="single" w:sz="4" w:space="0" w:color="92D050"/>
                        </w:tcBorders>
                        <w:shd w:val="clear" w:color="auto" w:fill="006A4D"/>
                      </w:tcPr>
                      <w:p>
                        <w:pPr>
                          <w:pStyle w:val="TableParagraph"/>
                          <w:spacing w:before="3"/>
                          <w:jc w:val="left"/>
                          <w:rPr>
                            <w:i/>
                            <w:sz w:val="24"/>
                          </w:rPr>
                        </w:pPr>
                      </w:p>
                      <w:p>
                        <w:pPr>
                          <w:pStyle w:val="TableParagraph"/>
                          <w:ind w:left="64" w:right="63"/>
                          <w:rPr>
                            <w:rFonts w:ascii="Verdana"/>
                            <w:b/>
                            <w:i/>
                            <w:sz w:val="18"/>
                          </w:rPr>
                        </w:pPr>
                        <w:r>
                          <w:rPr>
                            <w:rFonts w:ascii="Verdana"/>
                            <w:b/>
                            <w:i/>
                            <w:color w:val="FFFFFF"/>
                            <w:w w:val="95"/>
                            <w:sz w:val="18"/>
                          </w:rPr>
                          <w:t>Q4 FY 2021</w:t>
                        </w:r>
                      </w:p>
                    </w:tc>
                    <w:tc>
                      <w:tcPr>
                        <w:tcW w:w="1378" w:type="dxa"/>
                        <w:tcBorders>
                          <w:bottom w:val="single" w:sz="4" w:space="0" w:color="92D050"/>
                        </w:tcBorders>
                        <w:shd w:val="clear" w:color="auto" w:fill="006A4D"/>
                      </w:tcPr>
                      <w:p>
                        <w:pPr>
                          <w:pStyle w:val="TableParagraph"/>
                          <w:spacing w:before="3"/>
                          <w:jc w:val="left"/>
                          <w:rPr>
                            <w:i/>
                            <w:sz w:val="24"/>
                          </w:rPr>
                        </w:pPr>
                      </w:p>
                      <w:p>
                        <w:pPr>
                          <w:pStyle w:val="TableParagraph"/>
                          <w:ind w:left="64" w:right="165"/>
                          <w:rPr>
                            <w:rFonts w:ascii="Verdana"/>
                            <w:b/>
                            <w:i/>
                            <w:sz w:val="18"/>
                          </w:rPr>
                        </w:pPr>
                        <w:r>
                          <w:rPr>
                            <w:rFonts w:ascii="Verdana"/>
                            <w:b/>
                            <w:i/>
                            <w:color w:val="FFFFFF"/>
                            <w:w w:val="95"/>
                            <w:sz w:val="18"/>
                          </w:rPr>
                          <w:t>Q1 FY 2022</w:t>
                        </w:r>
                      </w:p>
                    </w:tc>
                    <w:tc>
                      <w:tcPr>
                        <w:tcW w:w="1169" w:type="dxa"/>
                        <w:tcBorders>
                          <w:bottom w:val="single" w:sz="4" w:space="0" w:color="92D050"/>
                        </w:tcBorders>
                        <w:shd w:val="clear" w:color="auto" w:fill="006A4D"/>
                      </w:tcPr>
                      <w:p>
                        <w:pPr>
                          <w:pStyle w:val="TableParagraph"/>
                          <w:spacing w:before="3"/>
                          <w:jc w:val="left"/>
                          <w:rPr>
                            <w:i/>
                            <w:sz w:val="24"/>
                          </w:rPr>
                        </w:pPr>
                      </w:p>
                      <w:p>
                        <w:pPr>
                          <w:pStyle w:val="TableParagraph"/>
                          <w:ind w:left="214" w:right="319"/>
                          <w:rPr>
                            <w:rFonts w:ascii="Verdana"/>
                            <w:b/>
                            <w:i/>
                            <w:sz w:val="18"/>
                          </w:rPr>
                        </w:pPr>
                        <w:r>
                          <w:rPr>
                            <w:rFonts w:ascii="Verdana"/>
                            <w:b/>
                            <w:i/>
                            <w:color w:val="FFFFFF"/>
                            <w:w w:val="90"/>
                            <w:sz w:val="18"/>
                          </w:rPr>
                          <w:t>Total</w:t>
                        </w:r>
                      </w:p>
                    </w:tc>
                  </w:tr>
                  <w:tr>
                    <w:trPr>
                      <w:trHeight w:val="357" w:hRule="atLeast"/>
                    </w:trPr>
                    <w:tc>
                      <w:tcPr>
                        <w:tcW w:w="5377" w:type="dxa"/>
                        <w:tcBorders>
                          <w:top w:val="single" w:sz="4" w:space="0" w:color="92D050"/>
                        </w:tcBorders>
                      </w:tcPr>
                      <w:p>
                        <w:pPr>
                          <w:pStyle w:val="TableParagraph"/>
                          <w:tabs>
                            <w:tab w:pos="4702" w:val="left" w:leader="none"/>
                          </w:tabs>
                          <w:spacing w:before="123"/>
                          <w:ind w:left="2689"/>
                          <w:jc w:val="left"/>
                          <w:rPr>
                            <w:sz w:val="18"/>
                          </w:rPr>
                        </w:pPr>
                        <w:r>
                          <w:rPr>
                            <w:sz w:val="18"/>
                          </w:rPr>
                          <w:t>Percentage</w:t>
                        </w:r>
                        <w:r>
                          <w:rPr>
                            <w:spacing w:val="-20"/>
                            <w:sz w:val="18"/>
                          </w:rPr>
                          <w:t> </w:t>
                        </w:r>
                        <w:r>
                          <w:rPr>
                            <w:sz w:val="18"/>
                          </w:rPr>
                          <w:t>(%)</w:t>
                          <w:tab/>
                          <w:t>-</w:t>
                        </w:r>
                      </w:p>
                    </w:tc>
                    <w:tc>
                      <w:tcPr>
                        <w:tcW w:w="1279" w:type="dxa"/>
                        <w:tcBorders>
                          <w:top w:val="single" w:sz="4" w:space="0" w:color="92D050"/>
                        </w:tcBorders>
                      </w:tcPr>
                      <w:p>
                        <w:pPr>
                          <w:pStyle w:val="TableParagraph"/>
                          <w:spacing w:before="123"/>
                          <w:ind w:left="65" w:right="65"/>
                          <w:rPr>
                            <w:sz w:val="18"/>
                          </w:rPr>
                        </w:pPr>
                        <w:r>
                          <w:rPr>
                            <w:w w:val="110"/>
                            <w:sz w:val="18"/>
                          </w:rPr>
                          <w:t>23.26%</w:t>
                        </w:r>
                      </w:p>
                    </w:tc>
                    <w:tc>
                      <w:tcPr>
                        <w:tcW w:w="1276" w:type="dxa"/>
                        <w:tcBorders>
                          <w:top w:val="single" w:sz="4" w:space="0" w:color="92D050"/>
                        </w:tcBorders>
                      </w:tcPr>
                      <w:p>
                        <w:pPr>
                          <w:pStyle w:val="TableParagraph"/>
                          <w:spacing w:before="123"/>
                          <w:ind w:left="63" w:right="63"/>
                          <w:rPr>
                            <w:sz w:val="18"/>
                          </w:rPr>
                        </w:pPr>
                        <w:r>
                          <w:rPr>
                            <w:w w:val="110"/>
                            <w:sz w:val="18"/>
                          </w:rPr>
                          <w:t>38.37%</w:t>
                        </w:r>
                      </w:p>
                    </w:tc>
                    <w:tc>
                      <w:tcPr>
                        <w:tcW w:w="1378" w:type="dxa"/>
                        <w:tcBorders>
                          <w:top w:val="single" w:sz="4" w:space="0" w:color="92D050"/>
                        </w:tcBorders>
                      </w:tcPr>
                      <w:p>
                        <w:pPr>
                          <w:pStyle w:val="TableParagraph"/>
                          <w:spacing w:before="123"/>
                          <w:ind w:left="60" w:right="165"/>
                          <w:rPr>
                            <w:sz w:val="18"/>
                          </w:rPr>
                        </w:pPr>
                        <w:r>
                          <w:rPr>
                            <w:w w:val="110"/>
                            <w:sz w:val="18"/>
                          </w:rPr>
                          <w:t>38.37%</w:t>
                        </w:r>
                      </w:p>
                    </w:tc>
                    <w:tc>
                      <w:tcPr>
                        <w:tcW w:w="1169" w:type="dxa"/>
                        <w:tcBorders>
                          <w:top w:val="single" w:sz="4" w:space="0" w:color="92D050"/>
                        </w:tcBorders>
                      </w:tcPr>
                      <w:p>
                        <w:pPr>
                          <w:pStyle w:val="TableParagraph"/>
                          <w:spacing w:before="123"/>
                          <w:ind w:left="216" w:right="319"/>
                          <w:rPr>
                            <w:sz w:val="18"/>
                          </w:rPr>
                        </w:pPr>
                        <w:r>
                          <w:rPr>
                            <w:w w:val="115"/>
                            <w:sz w:val="18"/>
                          </w:rPr>
                          <w:t>100%</w:t>
                        </w:r>
                      </w:p>
                    </w:tc>
                  </w:tr>
                  <w:tr>
                    <w:trPr>
                      <w:trHeight w:val="683" w:hRule="atLeast"/>
                    </w:trPr>
                    <w:tc>
                      <w:tcPr>
                        <w:tcW w:w="5377" w:type="dxa"/>
                        <w:tcBorders>
                          <w:bottom w:val="single" w:sz="4" w:space="0" w:color="92D050"/>
                        </w:tcBorders>
                      </w:tcPr>
                      <w:p>
                        <w:pPr>
                          <w:pStyle w:val="TableParagraph"/>
                          <w:spacing w:before="27"/>
                          <w:ind w:left="1039"/>
                          <w:jc w:val="left"/>
                          <w:rPr>
                            <w:sz w:val="18"/>
                          </w:rPr>
                        </w:pPr>
                        <w:r>
                          <w:rPr>
                            <w:w w:val="105"/>
                            <w:sz w:val="18"/>
                          </w:rPr>
                          <w:t>FIFC</w:t>
                        </w:r>
                      </w:p>
                      <w:p>
                        <w:pPr>
                          <w:pStyle w:val="TableParagraph"/>
                          <w:tabs>
                            <w:tab w:pos="4702" w:val="left" w:leader="none"/>
                          </w:tabs>
                          <w:spacing w:before="50"/>
                          <w:ind w:left="2566"/>
                          <w:jc w:val="left"/>
                          <w:rPr>
                            <w:sz w:val="18"/>
                          </w:rPr>
                        </w:pPr>
                        <w:r>
                          <w:rPr>
                            <w:sz w:val="18"/>
                          </w:rPr>
                          <w:t>Leasable</w:t>
                        </w:r>
                        <w:r>
                          <w:rPr>
                            <w:spacing w:val="-17"/>
                            <w:sz w:val="18"/>
                          </w:rPr>
                          <w:t> </w:t>
                        </w:r>
                        <w:r>
                          <w:rPr>
                            <w:sz w:val="18"/>
                          </w:rPr>
                          <w:t>Area</w:t>
                        </w:r>
                        <w:r>
                          <w:rPr>
                            <w:spacing w:val="-16"/>
                            <w:sz w:val="18"/>
                          </w:rPr>
                          <w:t> </w:t>
                        </w:r>
                        <w:r>
                          <w:rPr>
                            <w:sz w:val="18"/>
                          </w:rPr>
                          <w:t>(sf)</w:t>
                          <w:tab/>
                          <w:t>-</w:t>
                        </w:r>
                      </w:p>
                    </w:tc>
                    <w:tc>
                      <w:tcPr>
                        <w:tcW w:w="1279" w:type="dxa"/>
                        <w:tcBorders>
                          <w:bottom w:val="single" w:sz="4" w:space="0" w:color="92D050"/>
                        </w:tcBorders>
                      </w:tcPr>
                      <w:p>
                        <w:pPr>
                          <w:pStyle w:val="TableParagraph"/>
                          <w:spacing w:before="7"/>
                          <w:jc w:val="left"/>
                          <w:rPr>
                            <w:i/>
                            <w:sz w:val="24"/>
                          </w:rPr>
                        </w:pPr>
                      </w:p>
                      <w:p>
                        <w:pPr>
                          <w:pStyle w:val="TableParagraph"/>
                          <w:ind w:left="65" w:right="65"/>
                          <w:rPr>
                            <w:sz w:val="18"/>
                          </w:rPr>
                        </w:pPr>
                        <w:r>
                          <w:rPr>
                            <w:w w:val="110"/>
                            <w:sz w:val="18"/>
                          </w:rPr>
                          <w:t>18,640</w:t>
                        </w:r>
                      </w:p>
                    </w:tc>
                    <w:tc>
                      <w:tcPr>
                        <w:tcW w:w="1276" w:type="dxa"/>
                        <w:tcBorders>
                          <w:bottom w:val="single" w:sz="4" w:space="0" w:color="92D050"/>
                        </w:tcBorders>
                      </w:tcPr>
                      <w:p>
                        <w:pPr>
                          <w:pStyle w:val="TableParagraph"/>
                          <w:spacing w:before="7"/>
                          <w:jc w:val="left"/>
                          <w:rPr>
                            <w:i/>
                            <w:sz w:val="24"/>
                          </w:rPr>
                        </w:pPr>
                      </w:p>
                      <w:p>
                        <w:pPr>
                          <w:pStyle w:val="TableParagraph"/>
                          <w:ind w:left="63" w:right="63"/>
                          <w:rPr>
                            <w:sz w:val="18"/>
                          </w:rPr>
                        </w:pPr>
                        <w:r>
                          <w:rPr>
                            <w:w w:val="110"/>
                            <w:sz w:val="18"/>
                          </w:rPr>
                          <w:t>30,748</w:t>
                        </w:r>
                      </w:p>
                    </w:tc>
                    <w:tc>
                      <w:tcPr>
                        <w:tcW w:w="1378" w:type="dxa"/>
                        <w:tcBorders>
                          <w:bottom w:val="single" w:sz="4" w:space="0" w:color="92D050"/>
                        </w:tcBorders>
                      </w:tcPr>
                      <w:p>
                        <w:pPr>
                          <w:pStyle w:val="TableParagraph"/>
                          <w:spacing w:before="7"/>
                          <w:jc w:val="left"/>
                          <w:rPr>
                            <w:i/>
                            <w:sz w:val="24"/>
                          </w:rPr>
                        </w:pPr>
                      </w:p>
                      <w:p>
                        <w:pPr>
                          <w:pStyle w:val="TableParagraph"/>
                          <w:ind w:left="61" w:right="165"/>
                          <w:rPr>
                            <w:sz w:val="18"/>
                          </w:rPr>
                        </w:pPr>
                        <w:r>
                          <w:rPr>
                            <w:w w:val="110"/>
                            <w:sz w:val="18"/>
                          </w:rPr>
                          <w:t>30,748</w:t>
                        </w:r>
                      </w:p>
                    </w:tc>
                    <w:tc>
                      <w:tcPr>
                        <w:tcW w:w="1169" w:type="dxa"/>
                        <w:tcBorders>
                          <w:bottom w:val="single" w:sz="4" w:space="0" w:color="92D050"/>
                        </w:tcBorders>
                      </w:tcPr>
                      <w:p>
                        <w:pPr>
                          <w:pStyle w:val="TableParagraph"/>
                          <w:spacing w:before="7"/>
                          <w:jc w:val="left"/>
                          <w:rPr>
                            <w:i/>
                            <w:sz w:val="24"/>
                          </w:rPr>
                        </w:pPr>
                      </w:p>
                      <w:p>
                        <w:pPr>
                          <w:pStyle w:val="TableParagraph"/>
                          <w:ind w:left="218" w:right="319"/>
                          <w:rPr>
                            <w:sz w:val="18"/>
                          </w:rPr>
                        </w:pPr>
                        <w:r>
                          <w:rPr>
                            <w:w w:val="110"/>
                            <w:sz w:val="18"/>
                          </w:rPr>
                          <w:t>80,137</w:t>
                        </w:r>
                      </w:p>
                    </w:tc>
                  </w:tr>
                  <w:tr>
                    <w:trPr>
                      <w:trHeight w:val="520" w:hRule="atLeast"/>
                    </w:trPr>
                    <w:tc>
                      <w:tcPr>
                        <w:tcW w:w="5377" w:type="dxa"/>
                        <w:tcBorders>
                          <w:top w:val="single" w:sz="4" w:space="0" w:color="92D050"/>
                          <w:bottom w:val="single" w:sz="4" w:space="0" w:color="92D050"/>
                        </w:tcBorders>
                      </w:tcPr>
                      <w:p>
                        <w:pPr>
                          <w:pStyle w:val="TableParagraph"/>
                          <w:tabs>
                            <w:tab w:pos="4702" w:val="left" w:leader="none"/>
                          </w:tabs>
                          <w:spacing w:before="123"/>
                          <w:ind w:left="1008"/>
                          <w:jc w:val="left"/>
                          <w:rPr>
                            <w:sz w:val="18"/>
                          </w:rPr>
                        </w:pPr>
                        <w:r>
                          <w:rPr>
                            <w:sz w:val="18"/>
                          </w:rPr>
                          <w:t>Cumulative</w:t>
                        </w:r>
                        <w:r>
                          <w:rPr>
                            <w:spacing w:val="-12"/>
                            <w:sz w:val="18"/>
                          </w:rPr>
                          <w:t> </w:t>
                        </w:r>
                        <w:r>
                          <w:rPr>
                            <w:sz w:val="18"/>
                          </w:rPr>
                          <w:t>Absorption</w:t>
                        </w:r>
                        <w:r>
                          <w:rPr>
                            <w:spacing w:val="-13"/>
                            <w:sz w:val="18"/>
                          </w:rPr>
                          <w:t> </w:t>
                        </w:r>
                        <w:r>
                          <w:rPr>
                            <w:sz w:val="18"/>
                          </w:rPr>
                          <w:t>(%)</w:t>
                          <w:tab/>
                          <w:t>-</w:t>
                        </w:r>
                      </w:p>
                    </w:tc>
                    <w:tc>
                      <w:tcPr>
                        <w:tcW w:w="1279" w:type="dxa"/>
                        <w:tcBorders>
                          <w:top w:val="single" w:sz="4" w:space="0" w:color="92D050"/>
                          <w:bottom w:val="single" w:sz="4" w:space="0" w:color="92D050"/>
                        </w:tcBorders>
                      </w:tcPr>
                      <w:p>
                        <w:pPr>
                          <w:pStyle w:val="TableParagraph"/>
                          <w:spacing w:before="123"/>
                          <w:ind w:left="65" w:right="65"/>
                          <w:rPr>
                            <w:sz w:val="18"/>
                          </w:rPr>
                        </w:pPr>
                        <w:r>
                          <w:rPr>
                            <w:w w:val="110"/>
                            <w:sz w:val="18"/>
                          </w:rPr>
                          <w:t>23.26%</w:t>
                        </w:r>
                      </w:p>
                    </w:tc>
                    <w:tc>
                      <w:tcPr>
                        <w:tcW w:w="1276" w:type="dxa"/>
                        <w:tcBorders>
                          <w:top w:val="single" w:sz="4" w:space="0" w:color="92D050"/>
                          <w:bottom w:val="single" w:sz="4" w:space="0" w:color="92D050"/>
                        </w:tcBorders>
                      </w:tcPr>
                      <w:p>
                        <w:pPr>
                          <w:pStyle w:val="TableParagraph"/>
                          <w:spacing w:before="123"/>
                          <w:ind w:left="63" w:right="63"/>
                          <w:rPr>
                            <w:sz w:val="18"/>
                          </w:rPr>
                        </w:pPr>
                        <w:r>
                          <w:rPr>
                            <w:w w:val="110"/>
                            <w:sz w:val="18"/>
                          </w:rPr>
                          <w:t>61.63%</w:t>
                        </w:r>
                      </w:p>
                    </w:tc>
                    <w:tc>
                      <w:tcPr>
                        <w:tcW w:w="1378" w:type="dxa"/>
                        <w:tcBorders>
                          <w:top w:val="single" w:sz="4" w:space="0" w:color="92D050"/>
                          <w:bottom w:val="single" w:sz="4" w:space="0" w:color="92D050"/>
                        </w:tcBorders>
                      </w:tcPr>
                      <w:p>
                        <w:pPr>
                          <w:pStyle w:val="TableParagraph"/>
                          <w:spacing w:before="123"/>
                          <w:ind w:left="62" w:right="165"/>
                          <w:rPr>
                            <w:sz w:val="18"/>
                          </w:rPr>
                        </w:pPr>
                        <w:r>
                          <w:rPr>
                            <w:w w:val="115"/>
                            <w:sz w:val="18"/>
                          </w:rPr>
                          <w:t>100%</w:t>
                        </w:r>
                      </w:p>
                    </w:tc>
                    <w:tc>
                      <w:tcPr>
                        <w:tcW w:w="1169" w:type="dxa"/>
                        <w:tcBorders>
                          <w:top w:val="single" w:sz="4" w:space="0" w:color="92D050"/>
                          <w:bottom w:val="single" w:sz="4" w:space="0" w:color="92D050"/>
                        </w:tcBorders>
                      </w:tcPr>
                      <w:p>
                        <w:pPr>
                          <w:pStyle w:val="TableParagraph"/>
                          <w:spacing w:before="123"/>
                          <w:ind w:left="218" w:right="319"/>
                          <w:rPr>
                            <w:sz w:val="18"/>
                          </w:rPr>
                        </w:pPr>
                        <w:r>
                          <w:rPr>
                            <w:w w:val="115"/>
                            <w:sz w:val="18"/>
                          </w:rPr>
                          <w:t>100%</w:t>
                        </w:r>
                      </w:p>
                    </w:tc>
                  </w:tr>
                  <w:tr>
                    <w:trPr>
                      <w:trHeight w:val="520" w:hRule="atLeast"/>
                    </w:trPr>
                    <w:tc>
                      <w:tcPr>
                        <w:tcW w:w="5377" w:type="dxa"/>
                        <w:tcBorders>
                          <w:top w:val="single" w:sz="4" w:space="0" w:color="92D050"/>
                          <w:bottom w:val="single" w:sz="4" w:space="0" w:color="92D050"/>
                        </w:tcBorders>
                      </w:tcPr>
                      <w:p>
                        <w:pPr>
                          <w:pStyle w:val="TableParagraph"/>
                          <w:tabs>
                            <w:tab w:pos="4702" w:val="left" w:leader="none"/>
                          </w:tabs>
                          <w:spacing w:before="123"/>
                          <w:ind w:left="1013"/>
                          <w:jc w:val="left"/>
                          <w:rPr>
                            <w:sz w:val="18"/>
                          </w:rPr>
                        </w:pPr>
                        <w:r>
                          <w:rPr>
                            <w:sz w:val="18"/>
                          </w:rPr>
                          <w:t>Cumulative</w:t>
                        </w:r>
                        <w:r>
                          <w:rPr>
                            <w:spacing w:val="-21"/>
                            <w:sz w:val="18"/>
                          </w:rPr>
                          <w:t> </w:t>
                        </w:r>
                        <w:r>
                          <w:rPr>
                            <w:sz w:val="18"/>
                          </w:rPr>
                          <w:t>Absorption</w:t>
                        </w:r>
                        <w:r>
                          <w:rPr>
                            <w:spacing w:val="-21"/>
                            <w:sz w:val="18"/>
                          </w:rPr>
                          <w:t> </w:t>
                        </w:r>
                        <w:r>
                          <w:rPr>
                            <w:sz w:val="18"/>
                          </w:rPr>
                          <w:t>(sf)</w:t>
                          <w:tab/>
                        </w:r>
                        <w:r>
                          <w:rPr>
                            <w:position w:val="-2"/>
                            <w:sz w:val="18"/>
                          </w:rPr>
                          <w:t>-</w:t>
                        </w:r>
                      </w:p>
                    </w:tc>
                    <w:tc>
                      <w:tcPr>
                        <w:tcW w:w="1279" w:type="dxa"/>
                        <w:tcBorders>
                          <w:top w:val="single" w:sz="4" w:space="0" w:color="92D050"/>
                          <w:bottom w:val="single" w:sz="4" w:space="0" w:color="92D050"/>
                        </w:tcBorders>
                      </w:tcPr>
                      <w:p>
                        <w:pPr>
                          <w:pStyle w:val="TableParagraph"/>
                          <w:spacing w:before="157"/>
                          <w:ind w:left="64" w:right="65"/>
                          <w:rPr>
                            <w:sz w:val="18"/>
                          </w:rPr>
                        </w:pPr>
                        <w:r>
                          <w:rPr>
                            <w:w w:val="110"/>
                            <w:sz w:val="18"/>
                          </w:rPr>
                          <w:t>18,640</w:t>
                        </w:r>
                      </w:p>
                    </w:tc>
                    <w:tc>
                      <w:tcPr>
                        <w:tcW w:w="1276" w:type="dxa"/>
                        <w:tcBorders>
                          <w:top w:val="single" w:sz="4" w:space="0" w:color="92D050"/>
                          <w:bottom w:val="single" w:sz="4" w:space="0" w:color="92D050"/>
                        </w:tcBorders>
                      </w:tcPr>
                      <w:p>
                        <w:pPr>
                          <w:pStyle w:val="TableParagraph"/>
                          <w:spacing w:before="157"/>
                          <w:ind w:left="62" w:right="63"/>
                          <w:rPr>
                            <w:sz w:val="18"/>
                          </w:rPr>
                        </w:pPr>
                        <w:r>
                          <w:rPr>
                            <w:w w:val="110"/>
                            <w:sz w:val="18"/>
                          </w:rPr>
                          <w:t>49,388</w:t>
                        </w:r>
                      </w:p>
                    </w:tc>
                    <w:tc>
                      <w:tcPr>
                        <w:tcW w:w="1378" w:type="dxa"/>
                        <w:tcBorders>
                          <w:top w:val="single" w:sz="4" w:space="0" w:color="92D050"/>
                          <w:bottom w:val="single" w:sz="4" w:space="0" w:color="92D050"/>
                        </w:tcBorders>
                      </w:tcPr>
                      <w:p>
                        <w:pPr>
                          <w:pStyle w:val="TableParagraph"/>
                          <w:spacing w:before="157"/>
                          <w:ind w:left="61" w:right="165"/>
                          <w:rPr>
                            <w:sz w:val="18"/>
                          </w:rPr>
                        </w:pPr>
                        <w:r>
                          <w:rPr>
                            <w:w w:val="110"/>
                            <w:sz w:val="18"/>
                          </w:rPr>
                          <w:t>80,137</w:t>
                        </w:r>
                      </w:p>
                    </w:tc>
                    <w:tc>
                      <w:tcPr>
                        <w:tcW w:w="1169" w:type="dxa"/>
                        <w:tcBorders>
                          <w:top w:val="single" w:sz="4" w:space="0" w:color="92D050"/>
                          <w:bottom w:val="single" w:sz="4" w:space="0" w:color="92D050"/>
                        </w:tcBorders>
                      </w:tcPr>
                      <w:p>
                        <w:pPr>
                          <w:pStyle w:val="TableParagraph"/>
                          <w:spacing w:before="157"/>
                          <w:ind w:left="218" w:right="319"/>
                          <w:rPr>
                            <w:sz w:val="18"/>
                          </w:rPr>
                        </w:pPr>
                        <w:r>
                          <w:rPr>
                            <w:w w:val="110"/>
                            <w:sz w:val="18"/>
                          </w:rPr>
                          <w:t>80,137</w:t>
                        </w:r>
                      </w:p>
                    </w:tc>
                  </w:tr>
                </w:tbl>
                <w:p>
                  <w:pPr>
                    <w:pStyle w:val="BodyText"/>
                  </w:pPr>
                </w:p>
              </w:txbxContent>
            </v:textbox>
            <w10:wrap type="none"/>
          </v:shape>
        </w:pict>
      </w:r>
      <w:r>
        <w:rPr/>
        <w:t>The total leasable area of the development is approx. 360,947 sf and the total occupied space as</w:t>
      </w:r>
      <w:r>
        <w:rPr>
          <w:spacing w:val="-44"/>
        </w:rPr>
        <w:t> </w:t>
      </w:r>
      <w:r>
        <w:rPr/>
        <w:t>on date</w:t>
      </w:r>
      <w:r>
        <w:rPr>
          <w:spacing w:val="-29"/>
        </w:rPr>
        <w:t> </w:t>
      </w:r>
      <w:r>
        <w:rPr/>
        <w:t>of</w:t>
      </w:r>
      <w:r>
        <w:rPr>
          <w:spacing w:val="-28"/>
        </w:rPr>
        <w:t> </w:t>
      </w:r>
      <w:r>
        <w:rPr/>
        <w:t>valuation</w:t>
      </w:r>
      <w:r>
        <w:rPr>
          <w:spacing w:val="-29"/>
        </w:rPr>
        <w:t> </w:t>
      </w:r>
      <w:r>
        <w:rPr/>
        <w:t>admeasure</w:t>
      </w:r>
      <w:r>
        <w:rPr>
          <w:spacing w:val="-29"/>
        </w:rPr>
        <w:t> </w:t>
      </w:r>
      <w:r>
        <w:rPr/>
        <w:t>approx.</w:t>
      </w:r>
      <w:r>
        <w:rPr>
          <w:spacing w:val="-29"/>
        </w:rPr>
        <w:t> </w:t>
      </w:r>
      <w:r>
        <w:rPr/>
        <w:t>280,810</w:t>
      </w:r>
      <w:r>
        <w:rPr>
          <w:spacing w:val="-27"/>
        </w:rPr>
        <w:t> </w:t>
      </w:r>
      <w:r>
        <w:rPr/>
        <w:t>sf.</w:t>
      </w:r>
      <w:r>
        <w:rPr>
          <w:spacing w:val="-30"/>
        </w:rPr>
        <w:t> </w:t>
      </w:r>
      <w:r>
        <w:rPr/>
        <w:t>The</w:t>
      </w:r>
      <w:r>
        <w:rPr>
          <w:spacing w:val="-30"/>
        </w:rPr>
        <w:t> </w:t>
      </w:r>
      <w:r>
        <w:rPr/>
        <w:t>table</w:t>
      </w:r>
      <w:r>
        <w:rPr>
          <w:spacing w:val="-28"/>
        </w:rPr>
        <w:t> </w:t>
      </w:r>
      <w:r>
        <w:rPr/>
        <w:t>below</w:t>
      </w:r>
      <w:r>
        <w:rPr>
          <w:spacing w:val="-28"/>
        </w:rPr>
        <w:t> </w:t>
      </w:r>
      <w:r>
        <w:rPr/>
        <w:t>highlights</w:t>
      </w:r>
      <w:r>
        <w:rPr>
          <w:spacing w:val="-30"/>
        </w:rPr>
        <w:t> </w:t>
      </w:r>
      <w:r>
        <w:rPr/>
        <w:t>the</w:t>
      </w:r>
      <w:r>
        <w:rPr>
          <w:spacing w:val="-29"/>
        </w:rPr>
        <w:t> </w:t>
      </w:r>
      <w:r>
        <w:rPr/>
        <w:t>absorption</w:t>
      </w:r>
      <w:r>
        <w:rPr>
          <w:spacing w:val="-28"/>
        </w:rPr>
        <w:t> </w:t>
      </w:r>
      <w:r>
        <w:rPr/>
        <w:t>assumptions adopted</w:t>
      </w:r>
      <w:r>
        <w:rPr>
          <w:spacing w:val="-6"/>
        </w:rPr>
        <w:t> </w:t>
      </w:r>
      <w:r>
        <w:rPr/>
        <w:t>for</w:t>
      </w:r>
      <w:r>
        <w:rPr>
          <w:spacing w:val="-8"/>
        </w:rPr>
        <w:t> </w:t>
      </w:r>
      <w:r>
        <w:rPr/>
        <w:t>the</w:t>
      </w:r>
      <w:r>
        <w:rPr>
          <w:spacing w:val="-8"/>
        </w:rPr>
        <w:t> </w:t>
      </w:r>
      <w:r>
        <w:rPr/>
        <w:t>vacant</w:t>
      </w:r>
      <w:r>
        <w:rPr>
          <w:spacing w:val="-6"/>
        </w:rPr>
        <w:t> </w:t>
      </w:r>
      <w:r>
        <w:rPr/>
        <w:t>space</w:t>
      </w:r>
      <w:r>
        <w:rPr>
          <w:spacing w:val="-7"/>
        </w:rPr>
        <w:t> </w:t>
      </w:r>
      <w:r>
        <w:rPr/>
        <w:t>within</w:t>
      </w:r>
      <w:r>
        <w:rPr>
          <w:spacing w:val="-8"/>
        </w:rPr>
        <w:t> </w:t>
      </w:r>
      <w:r>
        <w:rPr/>
        <w:t>the</w:t>
      </w:r>
      <w:r>
        <w:rPr>
          <w:spacing w:val="-6"/>
        </w:rPr>
        <w:t> </w:t>
      </w:r>
      <w:r>
        <w:rPr/>
        <w:t>subject</w:t>
      </w:r>
      <w:r>
        <w:rPr>
          <w:spacing w:val="-9"/>
        </w:rPr>
        <w:t> </w:t>
      </w:r>
      <w:r>
        <w:rPr/>
        <w:t>development:</w:t>
      </w:r>
    </w:p>
    <w:p>
      <w:pPr>
        <w:pStyle w:val="BodyText"/>
        <w:rPr>
          <w:sz w:val="26"/>
        </w:rPr>
      </w:pPr>
    </w:p>
    <w:p>
      <w:pPr>
        <w:pStyle w:val="BodyText"/>
        <w:spacing w:before="3"/>
        <w:rPr>
          <w:sz w:val="31"/>
        </w:rPr>
      </w:pPr>
    </w:p>
    <w:p>
      <w:pPr>
        <w:spacing w:before="0"/>
        <w:ind w:left="2998" w:right="0" w:firstLine="0"/>
        <w:jc w:val="left"/>
        <w:rPr>
          <w:rFonts w:ascii="Verdana"/>
          <w:b/>
          <w:i/>
          <w:sz w:val="18"/>
        </w:rPr>
      </w:pPr>
      <w:r>
        <w:rPr>
          <w:rFonts w:ascii="Verdana"/>
          <w:b/>
          <w:i/>
          <w:color w:val="FFFFFF"/>
          <w:spacing w:val="-1"/>
          <w:w w:val="72"/>
          <w:sz w:val="18"/>
        </w:rPr>
        <w:t>S</w:t>
      </w:r>
      <w:r>
        <w:rPr>
          <w:rFonts w:ascii="Verdana"/>
          <w:b/>
          <w:i/>
          <w:color w:val="FFFFFF"/>
          <w:spacing w:val="1"/>
          <w:w w:val="80"/>
          <w:sz w:val="18"/>
        </w:rPr>
        <w:t>c</w:t>
      </w:r>
      <w:r>
        <w:rPr>
          <w:rFonts w:ascii="Verdana"/>
          <w:b/>
          <w:i/>
          <w:color w:val="FFFFFF"/>
          <w:w w:val="85"/>
          <w:sz w:val="18"/>
        </w:rPr>
        <w:t>h</w:t>
      </w:r>
      <w:r>
        <w:rPr>
          <w:rFonts w:ascii="Verdana"/>
          <w:b/>
          <w:i/>
          <w:color w:val="FFFFFF"/>
          <w:w w:val="85"/>
          <w:sz w:val="18"/>
        </w:rPr>
        <w:t>e</w:t>
      </w:r>
      <w:r>
        <w:rPr>
          <w:rFonts w:ascii="Verdana"/>
          <w:b/>
          <w:i/>
          <w:color w:val="FFFFFF"/>
          <w:w w:val="85"/>
          <w:sz w:val="18"/>
        </w:rPr>
        <w:t>d</w:t>
      </w:r>
      <w:r>
        <w:rPr>
          <w:rFonts w:ascii="Verdana"/>
          <w:b/>
          <w:i/>
          <w:smallCaps/>
          <w:color w:val="FFFFFF"/>
          <w:spacing w:val="-1"/>
          <w:w w:val="93"/>
          <w:sz w:val="18"/>
        </w:rPr>
        <w:t>u</w:t>
      </w:r>
      <w:r>
        <w:rPr>
          <w:rFonts w:ascii="Verdana"/>
          <w:b/>
          <w:i/>
          <w:smallCaps w:val="0"/>
          <w:color w:val="FFFFFF"/>
          <w:w w:val="84"/>
          <w:sz w:val="18"/>
        </w:rPr>
        <w:t>le</w:t>
      </w: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pStyle w:val="BodyText"/>
        <w:rPr>
          <w:rFonts w:ascii="Verdana"/>
          <w:b/>
          <w:i/>
        </w:rPr>
      </w:pPr>
    </w:p>
    <w:p>
      <w:pPr>
        <w:spacing w:before="179"/>
        <w:ind w:left="120" w:right="0" w:firstLine="0"/>
        <w:jc w:val="left"/>
        <w:rPr>
          <w:i/>
          <w:sz w:val="16"/>
        </w:rPr>
      </w:pPr>
      <w:r>
        <w:rPr>
          <w:i/>
          <w:w w:val="105"/>
          <w:sz w:val="16"/>
        </w:rPr>
        <w:t>Source </w:t>
      </w:r>
      <w:r>
        <w:rPr>
          <w:i/>
          <w:w w:val="110"/>
          <w:sz w:val="16"/>
        </w:rPr>
        <w:t>– </w:t>
      </w:r>
      <w:r>
        <w:rPr>
          <w:i/>
          <w:w w:val="105"/>
          <w:sz w:val="16"/>
        </w:rPr>
        <w:t>Valuer Assessment</w:t>
      </w:r>
    </w:p>
    <w:p>
      <w:pPr>
        <w:pStyle w:val="BodyText"/>
        <w:spacing w:before="3"/>
        <w:rPr>
          <w:i/>
          <w:sz w:val="26"/>
        </w:rPr>
      </w:pPr>
    </w:p>
    <w:p>
      <w:pPr>
        <w:pStyle w:val="BodyText"/>
        <w:spacing w:line="321" w:lineRule="auto" w:before="1"/>
        <w:ind w:left="686" w:right="194"/>
        <w:jc w:val="both"/>
      </w:pPr>
      <w:r>
        <w:rPr/>
        <w:t>The valuation assumptions have been considered based on the Valuer’s assessment of the subject property</w:t>
      </w:r>
      <w:r>
        <w:rPr>
          <w:spacing w:val="-14"/>
        </w:rPr>
        <w:t> </w:t>
      </w:r>
      <w:r>
        <w:rPr/>
        <w:t>and</w:t>
      </w:r>
      <w:r>
        <w:rPr>
          <w:spacing w:val="-14"/>
        </w:rPr>
        <w:t> </w:t>
      </w:r>
      <w:r>
        <w:rPr/>
        <w:t>the</w:t>
      </w:r>
      <w:r>
        <w:rPr>
          <w:spacing w:val="-17"/>
        </w:rPr>
        <w:t> </w:t>
      </w:r>
      <w:r>
        <w:rPr/>
        <w:t>subject</w:t>
      </w:r>
      <w:r>
        <w:rPr>
          <w:spacing w:val="-14"/>
        </w:rPr>
        <w:t> </w:t>
      </w:r>
      <w:r>
        <w:rPr/>
        <w:t>sub-market.</w:t>
      </w:r>
      <w:r>
        <w:rPr>
          <w:spacing w:val="-14"/>
        </w:rPr>
        <w:t> </w:t>
      </w:r>
      <w:r>
        <w:rPr/>
        <w:t>Also,</w:t>
      </w:r>
      <w:r>
        <w:rPr>
          <w:spacing w:val="-15"/>
        </w:rPr>
        <w:t> </w:t>
      </w:r>
      <w:r>
        <w:rPr/>
        <w:t>revenue</w:t>
      </w:r>
      <w:r>
        <w:rPr>
          <w:spacing w:val="-15"/>
        </w:rPr>
        <w:t> </w:t>
      </w:r>
      <w:r>
        <w:rPr/>
        <w:t>assumptions,</w:t>
      </w:r>
      <w:r>
        <w:rPr>
          <w:spacing w:val="-15"/>
        </w:rPr>
        <w:t> </w:t>
      </w:r>
      <w:r>
        <w:rPr/>
        <w:t>absorption</w:t>
      </w:r>
      <w:r>
        <w:rPr>
          <w:spacing w:val="-14"/>
        </w:rPr>
        <w:t> </w:t>
      </w:r>
      <w:r>
        <w:rPr/>
        <w:t>period</w:t>
      </w:r>
      <w:r>
        <w:rPr>
          <w:spacing w:val="-12"/>
        </w:rPr>
        <w:t> </w:t>
      </w:r>
      <w:r>
        <w:rPr/>
        <w:t>etc.</w:t>
      </w:r>
      <w:r>
        <w:rPr>
          <w:spacing w:val="-14"/>
        </w:rPr>
        <w:t> </w:t>
      </w:r>
      <w:r>
        <w:rPr/>
        <w:t>are</w:t>
      </w:r>
      <w:r>
        <w:rPr>
          <w:spacing w:val="-15"/>
        </w:rPr>
        <w:t> </w:t>
      </w:r>
      <w:r>
        <w:rPr/>
        <w:t>based</w:t>
      </w:r>
      <w:r>
        <w:rPr>
          <w:spacing w:val="-15"/>
        </w:rPr>
        <w:t> </w:t>
      </w:r>
      <w:r>
        <w:rPr/>
        <w:t>on market</w:t>
      </w:r>
      <w:r>
        <w:rPr>
          <w:spacing w:val="-14"/>
        </w:rPr>
        <w:t> </w:t>
      </w:r>
      <w:r>
        <w:rPr/>
        <w:t>benchmarks</w:t>
      </w:r>
      <w:r>
        <w:rPr>
          <w:spacing w:val="-13"/>
        </w:rPr>
        <w:t> </w:t>
      </w:r>
      <w:r>
        <w:rPr/>
        <w:t>and</w:t>
      </w:r>
      <w:r>
        <w:rPr>
          <w:spacing w:val="-16"/>
        </w:rPr>
        <w:t> </w:t>
      </w:r>
      <w:r>
        <w:rPr/>
        <w:t>extent</w:t>
      </w:r>
      <w:r>
        <w:rPr>
          <w:spacing w:val="-13"/>
        </w:rPr>
        <w:t> </w:t>
      </w:r>
      <w:r>
        <w:rPr/>
        <w:t>of</w:t>
      </w:r>
      <w:r>
        <w:rPr>
          <w:spacing w:val="-13"/>
        </w:rPr>
        <w:t> </w:t>
      </w:r>
      <w:r>
        <w:rPr/>
        <w:t>vacancy</w:t>
      </w:r>
      <w:r>
        <w:rPr>
          <w:spacing w:val="-13"/>
        </w:rPr>
        <w:t> </w:t>
      </w:r>
      <w:r>
        <w:rPr/>
        <w:t>in</w:t>
      </w:r>
      <w:r>
        <w:rPr>
          <w:spacing w:val="-15"/>
        </w:rPr>
        <w:t> </w:t>
      </w:r>
      <w:r>
        <w:rPr/>
        <w:t>the</w:t>
      </w:r>
      <w:r>
        <w:rPr>
          <w:spacing w:val="-14"/>
        </w:rPr>
        <w:t> </w:t>
      </w:r>
      <w:r>
        <w:rPr/>
        <w:t>subject</w:t>
      </w:r>
      <w:r>
        <w:rPr>
          <w:spacing w:val="-11"/>
        </w:rPr>
        <w:t> </w:t>
      </w:r>
      <w:r>
        <w:rPr/>
        <w:t>sub-market</w:t>
      </w:r>
      <w:r>
        <w:rPr>
          <w:spacing w:val="-13"/>
        </w:rPr>
        <w:t> </w:t>
      </w:r>
      <w:r>
        <w:rPr/>
        <w:t>and</w:t>
      </w:r>
      <w:r>
        <w:rPr>
          <w:spacing w:val="-14"/>
        </w:rPr>
        <w:t> </w:t>
      </w:r>
      <w:r>
        <w:rPr/>
        <w:t>competing</w:t>
      </w:r>
      <w:r>
        <w:rPr>
          <w:spacing w:val="-14"/>
        </w:rPr>
        <w:t> </w:t>
      </w:r>
      <w:r>
        <w:rPr/>
        <w:t>supply.</w:t>
      </w:r>
    </w:p>
    <w:p>
      <w:pPr>
        <w:pStyle w:val="BodyText"/>
        <w:spacing w:before="10"/>
        <w:rPr>
          <w:sz w:val="20"/>
        </w:rPr>
      </w:pPr>
    </w:p>
    <w:p>
      <w:pPr>
        <w:pStyle w:val="ListParagraph"/>
        <w:numPr>
          <w:ilvl w:val="2"/>
          <w:numId w:val="14"/>
        </w:numPr>
        <w:tabs>
          <w:tab w:pos="841" w:val="left" w:leader="none"/>
        </w:tabs>
        <w:spacing w:line="240" w:lineRule="auto" w:before="0" w:after="0"/>
        <w:ind w:left="840" w:right="0" w:hanging="721"/>
        <w:jc w:val="both"/>
        <w:rPr>
          <w:sz w:val="22"/>
        </w:rPr>
      </w:pPr>
      <w:bookmarkStart w:name="_bookmark150" w:id="294"/>
      <w:bookmarkEnd w:id="294"/>
      <w:r>
        <w:rPr/>
      </w:r>
      <w:bookmarkStart w:name="_bookmark150" w:id="295"/>
      <w:bookmarkEnd w:id="295"/>
      <w:r>
        <w:rPr>
          <w:color w:val="1F664D"/>
          <w:w w:val="105"/>
          <w:sz w:val="22"/>
        </w:rPr>
        <w:t>R</w:t>
      </w:r>
      <w:r>
        <w:rPr>
          <w:color w:val="1F664D"/>
          <w:w w:val="105"/>
          <w:sz w:val="22"/>
        </w:rPr>
        <w:t>evenue</w:t>
      </w:r>
      <w:r>
        <w:rPr>
          <w:color w:val="1F664D"/>
          <w:spacing w:val="-4"/>
          <w:w w:val="105"/>
          <w:sz w:val="22"/>
        </w:rPr>
        <w:t> </w:t>
      </w:r>
      <w:r>
        <w:rPr>
          <w:color w:val="1F664D"/>
          <w:w w:val="105"/>
          <w:sz w:val="22"/>
        </w:rPr>
        <w:t>Assumptions</w:t>
      </w:r>
    </w:p>
    <w:p>
      <w:pPr>
        <w:pStyle w:val="BodyText"/>
        <w:spacing w:before="6"/>
        <w:rPr>
          <w:sz w:val="25"/>
        </w:rPr>
      </w:pPr>
    </w:p>
    <w:p>
      <w:pPr>
        <w:pStyle w:val="ListParagraph"/>
        <w:numPr>
          <w:ilvl w:val="3"/>
          <w:numId w:val="48"/>
        </w:numPr>
        <w:tabs>
          <w:tab w:pos="985" w:val="left" w:leader="none"/>
        </w:tabs>
        <w:spacing w:line="240" w:lineRule="auto" w:before="0" w:after="0"/>
        <w:ind w:left="984" w:right="0" w:hanging="865"/>
        <w:jc w:val="both"/>
        <w:rPr>
          <w:i/>
          <w:sz w:val="20"/>
        </w:rPr>
      </w:pPr>
      <w:r>
        <w:rPr>
          <w:i/>
          <w:color w:val="008000"/>
          <w:sz w:val="20"/>
        </w:rPr>
        <w:t>Lease rent</w:t>
      </w:r>
      <w:r>
        <w:rPr>
          <w:i/>
          <w:color w:val="008000"/>
          <w:spacing w:val="-8"/>
          <w:sz w:val="20"/>
        </w:rPr>
        <w:t> </w:t>
      </w:r>
      <w:r>
        <w:rPr>
          <w:i/>
          <w:color w:val="008000"/>
          <w:sz w:val="20"/>
        </w:rPr>
        <w:t>assumptions</w:t>
      </w:r>
    </w:p>
    <w:p>
      <w:pPr>
        <w:pStyle w:val="BodyText"/>
        <w:spacing w:line="321" w:lineRule="auto" w:before="76"/>
        <w:ind w:left="682" w:right="195"/>
        <w:jc w:val="both"/>
      </w:pPr>
      <w:r>
        <w:rPr/>
        <w:t>For</w:t>
      </w:r>
      <w:r>
        <w:rPr>
          <w:spacing w:val="-18"/>
        </w:rPr>
        <w:t> </w:t>
      </w:r>
      <w:r>
        <w:rPr/>
        <w:t>this</w:t>
      </w:r>
      <w:r>
        <w:rPr>
          <w:spacing w:val="-15"/>
        </w:rPr>
        <w:t> </w:t>
      </w:r>
      <w:r>
        <w:rPr/>
        <w:t>valuation</w:t>
      </w:r>
      <w:r>
        <w:rPr>
          <w:spacing w:val="-17"/>
        </w:rPr>
        <w:t> </w:t>
      </w:r>
      <w:r>
        <w:rPr/>
        <w:t>exercise,</w:t>
      </w:r>
      <w:r>
        <w:rPr>
          <w:spacing w:val="-17"/>
        </w:rPr>
        <w:t> </w:t>
      </w:r>
      <w:r>
        <w:rPr/>
        <w:t>the</w:t>
      </w:r>
      <w:r>
        <w:rPr>
          <w:spacing w:val="-17"/>
        </w:rPr>
        <w:t> </w:t>
      </w:r>
      <w:r>
        <w:rPr/>
        <w:t>lease</w:t>
      </w:r>
      <w:r>
        <w:rPr>
          <w:spacing w:val="-17"/>
        </w:rPr>
        <w:t> </w:t>
      </w:r>
      <w:r>
        <w:rPr/>
        <w:t>rent</w:t>
      </w:r>
      <w:r>
        <w:rPr>
          <w:spacing w:val="-17"/>
        </w:rPr>
        <w:t> </w:t>
      </w:r>
      <w:r>
        <w:rPr/>
        <w:t>adopted</w:t>
      </w:r>
      <w:r>
        <w:rPr>
          <w:spacing w:val="-18"/>
        </w:rPr>
        <w:t> </w:t>
      </w:r>
      <w:r>
        <w:rPr/>
        <w:t>for</w:t>
      </w:r>
      <w:r>
        <w:rPr>
          <w:spacing w:val="-17"/>
        </w:rPr>
        <w:t> </w:t>
      </w:r>
      <w:r>
        <w:rPr/>
        <w:t>the</w:t>
      </w:r>
      <w:r>
        <w:rPr>
          <w:spacing w:val="-17"/>
        </w:rPr>
        <w:t> </w:t>
      </w:r>
      <w:r>
        <w:rPr/>
        <w:t>area</w:t>
      </w:r>
      <w:r>
        <w:rPr>
          <w:spacing w:val="-17"/>
        </w:rPr>
        <w:t> </w:t>
      </w:r>
      <w:r>
        <w:rPr/>
        <w:t>already</w:t>
      </w:r>
      <w:r>
        <w:rPr>
          <w:spacing w:val="-16"/>
        </w:rPr>
        <w:t> </w:t>
      </w:r>
      <w:r>
        <w:rPr/>
        <w:t>leased</w:t>
      </w:r>
      <w:r>
        <w:rPr>
          <w:spacing w:val="-16"/>
        </w:rPr>
        <w:t> </w:t>
      </w:r>
      <w:r>
        <w:rPr/>
        <w:t>is</w:t>
      </w:r>
      <w:r>
        <w:rPr>
          <w:spacing w:val="-17"/>
        </w:rPr>
        <w:t> </w:t>
      </w:r>
      <w:r>
        <w:rPr/>
        <w:t>based</w:t>
      </w:r>
      <w:r>
        <w:rPr>
          <w:spacing w:val="-16"/>
        </w:rPr>
        <w:t> </w:t>
      </w:r>
      <w:r>
        <w:rPr/>
        <w:t>on</w:t>
      </w:r>
      <w:r>
        <w:rPr>
          <w:spacing w:val="-17"/>
        </w:rPr>
        <w:t> </w:t>
      </w:r>
      <w:r>
        <w:rPr/>
        <w:t>the</w:t>
      </w:r>
      <w:r>
        <w:rPr>
          <w:spacing w:val="-17"/>
        </w:rPr>
        <w:t> </w:t>
      </w:r>
      <w:r>
        <w:rPr/>
        <w:t>rent</w:t>
      </w:r>
      <w:r>
        <w:rPr>
          <w:spacing w:val="-19"/>
        </w:rPr>
        <w:t> </w:t>
      </w:r>
      <w:r>
        <w:rPr/>
        <w:t>roll shared</w:t>
      </w:r>
      <w:r>
        <w:rPr>
          <w:spacing w:val="-30"/>
        </w:rPr>
        <w:t> </w:t>
      </w:r>
      <w:r>
        <w:rPr/>
        <w:t>by</w:t>
      </w:r>
      <w:r>
        <w:rPr>
          <w:spacing w:val="-29"/>
        </w:rPr>
        <w:t> </w:t>
      </w:r>
      <w:r>
        <w:rPr/>
        <w:t>the</w:t>
      </w:r>
      <w:r>
        <w:rPr>
          <w:spacing w:val="-30"/>
        </w:rPr>
        <w:t> </w:t>
      </w:r>
      <w:r>
        <w:rPr/>
        <w:t>Client.</w:t>
      </w:r>
      <w:r>
        <w:rPr>
          <w:spacing w:val="-30"/>
        </w:rPr>
        <w:t> </w:t>
      </w:r>
      <w:r>
        <w:rPr/>
        <w:t>Further,</w:t>
      </w:r>
      <w:r>
        <w:rPr>
          <w:spacing w:val="-29"/>
        </w:rPr>
        <w:t> </w:t>
      </w:r>
      <w:r>
        <w:rPr/>
        <w:t>the</w:t>
      </w:r>
      <w:r>
        <w:rPr>
          <w:spacing w:val="-30"/>
        </w:rPr>
        <w:t> </w:t>
      </w:r>
      <w:r>
        <w:rPr/>
        <w:t>Valuer</w:t>
      </w:r>
      <w:r>
        <w:rPr>
          <w:spacing w:val="-29"/>
        </w:rPr>
        <w:t> </w:t>
      </w:r>
      <w:r>
        <w:rPr/>
        <w:t>has</w:t>
      </w:r>
      <w:r>
        <w:rPr>
          <w:spacing w:val="-29"/>
        </w:rPr>
        <w:t> </w:t>
      </w:r>
      <w:r>
        <w:rPr/>
        <w:t>undertaken</w:t>
      </w:r>
      <w:r>
        <w:rPr>
          <w:spacing w:val="-30"/>
        </w:rPr>
        <w:t> </w:t>
      </w:r>
      <w:r>
        <w:rPr/>
        <w:t>an</w:t>
      </w:r>
      <w:r>
        <w:rPr>
          <w:spacing w:val="-30"/>
        </w:rPr>
        <w:t> </w:t>
      </w:r>
      <w:r>
        <w:rPr/>
        <w:t>in-depth</w:t>
      </w:r>
      <w:r>
        <w:rPr>
          <w:spacing w:val="-30"/>
        </w:rPr>
        <w:t> </w:t>
      </w:r>
      <w:r>
        <w:rPr/>
        <w:t>market</w:t>
      </w:r>
      <w:r>
        <w:rPr>
          <w:spacing w:val="-31"/>
        </w:rPr>
        <w:t> </w:t>
      </w:r>
      <w:r>
        <w:rPr/>
        <w:t>research</w:t>
      </w:r>
      <w:r>
        <w:rPr>
          <w:spacing w:val="-30"/>
        </w:rPr>
        <w:t> </w:t>
      </w:r>
      <w:r>
        <w:rPr/>
        <w:t>exercise</w:t>
      </w:r>
      <w:r>
        <w:rPr>
          <w:spacing w:val="-30"/>
        </w:rPr>
        <w:t> </w:t>
      </w:r>
      <w:r>
        <w:rPr/>
        <w:t>to</w:t>
      </w:r>
      <w:r>
        <w:rPr>
          <w:spacing w:val="-29"/>
        </w:rPr>
        <w:t> </w:t>
      </w:r>
      <w:r>
        <w:rPr/>
        <w:t>assess the</w:t>
      </w:r>
      <w:r>
        <w:rPr>
          <w:spacing w:val="-26"/>
        </w:rPr>
        <w:t> </w:t>
      </w:r>
      <w:r>
        <w:rPr/>
        <w:t>prevailing</w:t>
      </w:r>
      <w:r>
        <w:rPr>
          <w:spacing w:val="-25"/>
        </w:rPr>
        <w:t> </w:t>
      </w:r>
      <w:r>
        <w:rPr/>
        <w:t>rents</w:t>
      </w:r>
      <w:r>
        <w:rPr>
          <w:spacing w:val="-24"/>
        </w:rPr>
        <w:t> </w:t>
      </w:r>
      <w:r>
        <w:rPr/>
        <w:t>in</w:t>
      </w:r>
      <w:r>
        <w:rPr>
          <w:spacing w:val="-26"/>
        </w:rPr>
        <w:t> </w:t>
      </w:r>
      <w:r>
        <w:rPr/>
        <w:t>the</w:t>
      </w:r>
      <w:r>
        <w:rPr>
          <w:spacing w:val="-28"/>
        </w:rPr>
        <w:t> </w:t>
      </w:r>
      <w:r>
        <w:rPr/>
        <w:t>subject</w:t>
      </w:r>
      <w:r>
        <w:rPr>
          <w:spacing w:val="-25"/>
        </w:rPr>
        <w:t> </w:t>
      </w:r>
      <w:r>
        <w:rPr/>
        <w:t>sub-market.</w:t>
      </w:r>
      <w:r>
        <w:rPr>
          <w:spacing w:val="-25"/>
        </w:rPr>
        <w:t> </w:t>
      </w:r>
      <w:r>
        <w:rPr/>
        <w:t>The</w:t>
      </w:r>
      <w:r>
        <w:rPr>
          <w:spacing w:val="-28"/>
        </w:rPr>
        <w:t> </w:t>
      </w:r>
      <w:r>
        <w:rPr/>
        <w:t>same</w:t>
      </w:r>
      <w:r>
        <w:rPr>
          <w:spacing w:val="-25"/>
        </w:rPr>
        <w:t> </w:t>
      </w:r>
      <w:r>
        <w:rPr/>
        <w:t>has</w:t>
      </w:r>
      <w:r>
        <w:rPr>
          <w:spacing w:val="-26"/>
        </w:rPr>
        <w:t> </w:t>
      </w:r>
      <w:r>
        <w:rPr/>
        <w:t>been</w:t>
      </w:r>
      <w:r>
        <w:rPr>
          <w:spacing w:val="-26"/>
        </w:rPr>
        <w:t> </w:t>
      </w:r>
      <w:r>
        <w:rPr/>
        <w:t>adopted</w:t>
      </w:r>
      <w:r>
        <w:rPr>
          <w:spacing w:val="-25"/>
        </w:rPr>
        <w:t> </w:t>
      </w:r>
      <w:r>
        <w:rPr/>
        <w:t>for</w:t>
      </w:r>
      <w:r>
        <w:rPr>
          <w:spacing w:val="-26"/>
        </w:rPr>
        <w:t> </w:t>
      </w:r>
      <w:r>
        <w:rPr/>
        <w:t>the</w:t>
      </w:r>
      <w:r>
        <w:rPr>
          <w:spacing w:val="-26"/>
        </w:rPr>
        <w:t> </w:t>
      </w:r>
      <w:r>
        <w:rPr/>
        <w:t>vacant</w:t>
      </w:r>
      <w:r>
        <w:rPr>
          <w:spacing w:val="-25"/>
        </w:rPr>
        <w:t> </w:t>
      </w:r>
      <w:r>
        <w:rPr/>
        <w:t>space</w:t>
      </w:r>
      <w:r>
        <w:rPr>
          <w:spacing w:val="-26"/>
        </w:rPr>
        <w:t> </w:t>
      </w:r>
      <w:r>
        <w:rPr/>
        <w:t>for</w:t>
      </w:r>
      <w:r>
        <w:rPr>
          <w:spacing w:val="-27"/>
        </w:rPr>
        <w:t> </w:t>
      </w:r>
      <w:r>
        <w:rPr/>
        <w:t>this valuation</w:t>
      </w:r>
      <w:r>
        <w:rPr>
          <w:spacing w:val="-4"/>
        </w:rPr>
        <w:t> </w:t>
      </w:r>
      <w:r>
        <w:rPr/>
        <w:t>exercise.</w:t>
      </w:r>
    </w:p>
    <w:p>
      <w:pPr>
        <w:pStyle w:val="BodyText"/>
        <w:spacing w:before="9"/>
        <w:rPr>
          <w:sz w:val="20"/>
        </w:rPr>
      </w:pPr>
    </w:p>
    <w:p>
      <w:pPr>
        <w:pStyle w:val="BodyText"/>
        <w:spacing w:line="321" w:lineRule="auto" w:before="1"/>
        <w:ind w:left="682" w:right="204"/>
        <w:jc w:val="both"/>
      </w:pPr>
      <w:r>
        <w:rPr/>
        <w:t>Based</w:t>
      </w:r>
      <w:r>
        <w:rPr>
          <w:spacing w:val="-10"/>
        </w:rPr>
        <w:t> </w:t>
      </w:r>
      <w:r>
        <w:rPr/>
        <w:t>on</w:t>
      </w:r>
      <w:r>
        <w:rPr>
          <w:spacing w:val="-9"/>
        </w:rPr>
        <w:t> </w:t>
      </w:r>
      <w:r>
        <w:rPr/>
        <w:t>market</w:t>
      </w:r>
      <w:r>
        <w:rPr>
          <w:spacing w:val="-10"/>
        </w:rPr>
        <w:t> </w:t>
      </w:r>
      <w:r>
        <w:rPr/>
        <w:t>assessment</w:t>
      </w:r>
      <w:r>
        <w:rPr>
          <w:spacing w:val="-9"/>
        </w:rPr>
        <w:t> </w:t>
      </w:r>
      <w:r>
        <w:rPr/>
        <w:t>and</w:t>
      </w:r>
      <w:r>
        <w:rPr>
          <w:spacing w:val="-10"/>
        </w:rPr>
        <w:t> </w:t>
      </w:r>
      <w:r>
        <w:rPr/>
        <w:t>analysis</w:t>
      </w:r>
      <w:r>
        <w:rPr>
          <w:spacing w:val="-9"/>
        </w:rPr>
        <w:t> </w:t>
      </w:r>
      <w:r>
        <w:rPr/>
        <w:t>of</w:t>
      </w:r>
      <w:r>
        <w:rPr>
          <w:spacing w:val="-10"/>
        </w:rPr>
        <w:t> </w:t>
      </w:r>
      <w:r>
        <w:rPr/>
        <w:t>the</w:t>
      </w:r>
      <w:r>
        <w:rPr>
          <w:spacing w:val="-12"/>
        </w:rPr>
        <w:t> </w:t>
      </w:r>
      <w:r>
        <w:rPr/>
        <w:t>rent</w:t>
      </w:r>
      <w:r>
        <w:rPr>
          <w:spacing w:val="-10"/>
        </w:rPr>
        <w:t> </w:t>
      </w:r>
      <w:r>
        <w:rPr/>
        <w:t>roll</w:t>
      </w:r>
      <w:r>
        <w:rPr>
          <w:spacing w:val="-11"/>
        </w:rPr>
        <w:t> </w:t>
      </w:r>
      <w:r>
        <w:rPr/>
        <w:t>provided</w:t>
      </w:r>
      <w:r>
        <w:rPr>
          <w:spacing w:val="-9"/>
        </w:rPr>
        <w:t> </w:t>
      </w:r>
      <w:r>
        <w:rPr/>
        <w:t>by</w:t>
      </w:r>
      <w:r>
        <w:rPr>
          <w:spacing w:val="-9"/>
        </w:rPr>
        <w:t> </w:t>
      </w:r>
      <w:r>
        <w:rPr/>
        <w:t>the</w:t>
      </w:r>
      <w:r>
        <w:rPr>
          <w:spacing w:val="-13"/>
        </w:rPr>
        <w:t> </w:t>
      </w:r>
      <w:r>
        <w:rPr/>
        <w:t>Client,</w:t>
      </w:r>
      <w:r>
        <w:rPr>
          <w:spacing w:val="-10"/>
        </w:rPr>
        <w:t> </w:t>
      </w:r>
      <w:r>
        <w:rPr/>
        <w:t>following</w:t>
      </w:r>
      <w:r>
        <w:rPr>
          <w:spacing w:val="-9"/>
        </w:rPr>
        <w:t> </w:t>
      </w:r>
      <w:r>
        <w:rPr/>
        <w:t>rents</w:t>
      </w:r>
      <w:r>
        <w:rPr>
          <w:spacing w:val="-9"/>
        </w:rPr>
        <w:t> </w:t>
      </w:r>
      <w:r>
        <w:rPr/>
        <w:t>have been</w:t>
      </w:r>
      <w:r>
        <w:rPr>
          <w:spacing w:val="-6"/>
        </w:rPr>
        <w:t> </w:t>
      </w:r>
      <w:r>
        <w:rPr/>
        <w:t>adopted</w:t>
      </w:r>
      <w:r>
        <w:rPr>
          <w:spacing w:val="-5"/>
        </w:rPr>
        <w:t> </w:t>
      </w:r>
      <w:r>
        <w:rPr/>
        <w:t>for</w:t>
      </w:r>
      <w:r>
        <w:rPr>
          <w:spacing w:val="-7"/>
        </w:rPr>
        <w:t> </w:t>
      </w:r>
      <w:r>
        <w:rPr/>
        <w:t>value</w:t>
      </w:r>
      <w:r>
        <w:rPr>
          <w:spacing w:val="-5"/>
        </w:rPr>
        <w:t> </w:t>
      </w:r>
      <w:r>
        <w:rPr/>
        <w:t>assessment</w:t>
      </w:r>
      <w:r>
        <w:rPr>
          <w:spacing w:val="-6"/>
        </w:rPr>
        <w:t> </w:t>
      </w:r>
      <w:r>
        <w:rPr/>
        <w:t>of</w:t>
      </w:r>
      <w:r>
        <w:rPr>
          <w:spacing w:val="-5"/>
        </w:rPr>
        <w:t> </w:t>
      </w:r>
      <w:r>
        <w:rPr/>
        <w:t>the</w:t>
      </w:r>
      <w:r>
        <w:rPr>
          <w:spacing w:val="-8"/>
        </w:rPr>
        <w:t> </w:t>
      </w:r>
      <w:r>
        <w:rPr/>
        <w:t>subject</w:t>
      </w:r>
      <w:r>
        <w:rPr>
          <w:spacing w:val="-8"/>
        </w:rPr>
        <w:t> </w:t>
      </w:r>
      <w:r>
        <w:rPr/>
        <w:t>property.</w:t>
      </w:r>
    </w:p>
    <w:p>
      <w:pPr>
        <w:pStyle w:val="BodyText"/>
        <w:spacing w:before="4" w:after="1"/>
        <w:rPr>
          <w:sz w:val="20"/>
        </w:rPr>
      </w:pPr>
    </w:p>
    <w:tbl>
      <w:tblPr>
        <w:tblW w:w="0" w:type="auto"/>
        <w:jc w:val="left"/>
        <w:tblInd w:w="6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42"/>
        <w:gridCol w:w="1877"/>
        <w:gridCol w:w="1449"/>
        <w:gridCol w:w="2594"/>
        <w:gridCol w:w="2436"/>
      </w:tblGrid>
      <w:tr>
        <w:trPr>
          <w:trHeight w:val="431" w:hRule="atLeast"/>
        </w:trPr>
        <w:tc>
          <w:tcPr>
            <w:tcW w:w="1642" w:type="dxa"/>
            <w:tcBorders>
              <w:top w:val="single" w:sz="4" w:space="0" w:color="69BD28"/>
            </w:tcBorders>
            <w:shd w:val="clear" w:color="auto" w:fill="006A4D"/>
          </w:tcPr>
          <w:p>
            <w:pPr>
              <w:pStyle w:val="TableParagraph"/>
              <w:spacing w:before="111"/>
              <w:ind w:left="147" w:right="156"/>
              <w:rPr>
                <w:b/>
                <w:sz w:val="18"/>
              </w:rPr>
            </w:pPr>
            <w:r>
              <w:rPr>
                <w:b/>
                <w:color w:val="FFFFFF"/>
                <w:w w:val="105"/>
                <w:sz w:val="18"/>
              </w:rPr>
              <w:t>Component</w:t>
            </w:r>
          </w:p>
        </w:tc>
        <w:tc>
          <w:tcPr>
            <w:tcW w:w="1877" w:type="dxa"/>
            <w:tcBorders>
              <w:top w:val="single" w:sz="4" w:space="0" w:color="69BD28"/>
              <w:bottom w:val="single" w:sz="4" w:space="0" w:color="69BD28"/>
            </w:tcBorders>
            <w:shd w:val="clear" w:color="auto" w:fill="006A4D"/>
          </w:tcPr>
          <w:p>
            <w:pPr>
              <w:pStyle w:val="TableParagraph"/>
              <w:spacing w:before="111"/>
              <w:ind w:left="73" w:right="104"/>
              <w:rPr>
                <w:b/>
                <w:sz w:val="18"/>
              </w:rPr>
            </w:pPr>
            <w:r>
              <w:rPr>
                <w:b/>
                <w:color w:val="FFFFFF"/>
                <w:w w:val="110"/>
                <w:sz w:val="18"/>
              </w:rPr>
              <w:t>Leasable Area (sf)</w:t>
            </w:r>
          </w:p>
        </w:tc>
        <w:tc>
          <w:tcPr>
            <w:tcW w:w="1449" w:type="dxa"/>
            <w:tcBorders>
              <w:top w:val="single" w:sz="4" w:space="0" w:color="69BD28"/>
              <w:bottom w:val="single" w:sz="4" w:space="0" w:color="92D050"/>
            </w:tcBorders>
            <w:shd w:val="clear" w:color="auto" w:fill="006A4D"/>
          </w:tcPr>
          <w:p>
            <w:pPr>
              <w:pStyle w:val="TableParagraph"/>
              <w:spacing w:before="3"/>
              <w:ind w:left="112" w:right="164"/>
              <w:rPr>
                <w:b/>
                <w:sz w:val="18"/>
              </w:rPr>
            </w:pPr>
            <w:r>
              <w:rPr>
                <w:b/>
                <w:color w:val="FFFFFF"/>
                <w:w w:val="110"/>
                <w:sz w:val="18"/>
              </w:rPr>
              <w:t>Leased Area</w:t>
            </w:r>
          </w:p>
          <w:p>
            <w:pPr>
              <w:pStyle w:val="TableParagraph"/>
              <w:spacing w:line="192" w:lineRule="exact" w:before="7"/>
              <w:ind w:left="112" w:right="160"/>
              <w:rPr>
                <w:b/>
                <w:sz w:val="18"/>
              </w:rPr>
            </w:pPr>
            <w:r>
              <w:rPr>
                <w:b/>
                <w:color w:val="FFFFFF"/>
                <w:sz w:val="18"/>
              </w:rPr>
              <w:t>(sf)</w:t>
            </w:r>
          </w:p>
        </w:tc>
        <w:tc>
          <w:tcPr>
            <w:tcW w:w="2594" w:type="dxa"/>
            <w:tcBorders>
              <w:top w:val="single" w:sz="4" w:space="0" w:color="69BD28"/>
              <w:bottom w:val="single" w:sz="4" w:space="0" w:color="92D050"/>
            </w:tcBorders>
            <w:shd w:val="clear" w:color="auto" w:fill="006A4D"/>
          </w:tcPr>
          <w:p>
            <w:pPr>
              <w:pStyle w:val="TableParagraph"/>
              <w:spacing w:before="111"/>
              <w:ind w:left="1059" w:right="1021"/>
              <w:rPr>
                <w:b/>
                <w:sz w:val="18"/>
              </w:rPr>
            </w:pPr>
            <w:r>
              <w:rPr>
                <w:b/>
                <w:color w:val="FFFFFF"/>
                <w:w w:val="115"/>
                <w:sz w:val="18"/>
              </w:rPr>
              <w:t>Basis</w:t>
            </w:r>
          </w:p>
        </w:tc>
        <w:tc>
          <w:tcPr>
            <w:tcW w:w="2436" w:type="dxa"/>
            <w:tcBorders>
              <w:top w:val="single" w:sz="4" w:space="0" w:color="69BD28"/>
              <w:bottom w:val="single" w:sz="4" w:space="0" w:color="92D050"/>
            </w:tcBorders>
            <w:shd w:val="clear" w:color="auto" w:fill="006A4D"/>
          </w:tcPr>
          <w:p>
            <w:pPr>
              <w:pStyle w:val="TableParagraph"/>
              <w:spacing w:before="3"/>
              <w:ind w:left="136" w:right="72"/>
              <w:rPr>
                <w:b/>
                <w:sz w:val="18"/>
              </w:rPr>
            </w:pPr>
            <w:r>
              <w:rPr>
                <w:b/>
                <w:color w:val="FFFFFF"/>
                <w:w w:val="110"/>
                <w:sz w:val="18"/>
              </w:rPr>
              <w:t>Marginal Rent Adopted*</w:t>
            </w:r>
          </w:p>
          <w:p>
            <w:pPr>
              <w:pStyle w:val="TableParagraph"/>
              <w:spacing w:line="192" w:lineRule="exact" w:before="7"/>
              <w:ind w:left="136" w:right="67"/>
              <w:rPr>
                <w:b/>
                <w:sz w:val="18"/>
              </w:rPr>
            </w:pPr>
            <w:r>
              <w:rPr>
                <w:b/>
                <w:color w:val="FFFFFF"/>
                <w:w w:val="110"/>
                <w:sz w:val="18"/>
              </w:rPr>
              <w:t>(INR psf pm)</w:t>
            </w:r>
          </w:p>
        </w:tc>
      </w:tr>
      <w:tr>
        <w:trPr>
          <w:trHeight w:val="489" w:hRule="atLeast"/>
        </w:trPr>
        <w:tc>
          <w:tcPr>
            <w:tcW w:w="1642" w:type="dxa"/>
            <w:shd w:val="clear" w:color="auto" w:fill="69BD28"/>
          </w:tcPr>
          <w:p>
            <w:pPr>
              <w:pStyle w:val="TableParagraph"/>
              <w:jc w:val="left"/>
              <w:rPr>
                <w:rFonts w:ascii="Times New Roman"/>
                <w:sz w:val="20"/>
              </w:rPr>
            </w:pPr>
          </w:p>
        </w:tc>
        <w:tc>
          <w:tcPr>
            <w:tcW w:w="1877" w:type="dxa"/>
            <w:tcBorders>
              <w:top w:val="single" w:sz="4" w:space="0" w:color="69BD28"/>
            </w:tcBorders>
          </w:tcPr>
          <w:p>
            <w:pPr>
              <w:pStyle w:val="TableParagraph"/>
              <w:jc w:val="left"/>
              <w:rPr>
                <w:rFonts w:ascii="Times New Roman"/>
                <w:sz w:val="20"/>
              </w:rPr>
            </w:pPr>
          </w:p>
        </w:tc>
        <w:tc>
          <w:tcPr>
            <w:tcW w:w="1449" w:type="dxa"/>
            <w:tcBorders>
              <w:top w:val="single" w:sz="4" w:space="0" w:color="92D050"/>
            </w:tcBorders>
          </w:tcPr>
          <w:p>
            <w:pPr>
              <w:pStyle w:val="TableParagraph"/>
              <w:jc w:val="left"/>
              <w:rPr>
                <w:rFonts w:ascii="Times New Roman"/>
                <w:sz w:val="20"/>
              </w:rPr>
            </w:pPr>
          </w:p>
        </w:tc>
        <w:tc>
          <w:tcPr>
            <w:tcW w:w="2594" w:type="dxa"/>
            <w:tcBorders>
              <w:top w:val="single" w:sz="4" w:space="0" w:color="92D050"/>
            </w:tcBorders>
          </w:tcPr>
          <w:p>
            <w:pPr>
              <w:pStyle w:val="TableParagraph"/>
              <w:spacing w:line="210" w:lineRule="atLeast" w:before="41"/>
              <w:ind w:left="749" w:right="45" w:hanging="569"/>
              <w:jc w:val="left"/>
              <w:rPr>
                <w:sz w:val="18"/>
              </w:rPr>
            </w:pPr>
            <w:r>
              <w:rPr>
                <w:sz w:val="18"/>
              </w:rPr>
              <w:t>Current Rent for Leased area (Office/ Retail)</w:t>
            </w:r>
          </w:p>
        </w:tc>
        <w:tc>
          <w:tcPr>
            <w:tcW w:w="2436" w:type="dxa"/>
            <w:tcBorders>
              <w:top w:val="single" w:sz="4" w:space="0" w:color="92D050"/>
            </w:tcBorders>
          </w:tcPr>
          <w:p>
            <w:pPr>
              <w:pStyle w:val="TableParagraph"/>
              <w:spacing w:before="176"/>
              <w:ind w:left="134" w:right="72"/>
              <w:rPr>
                <w:sz w:val="18"/>
              </w:rPr>
            </w:pPr>
            <w:r>
              <w:rPr>
                <w:w w:val="120"/>
                <w:sz w:val="18"/>
              </w:rPr>
              <w:t>296.5^</w:t>
            </w:r>
          </w:p>
        </w:tc>
      </w:tr>
      <w:tr>
        <w:trPr>
          <w:trHeight w:val="256" w:hRule="atLeast"/>
        </w:trPr>
        <w:tc>
          <w:tcPr>
            <w:tcW w:w="1642" w:type="dxa"/>
            <w:shd w:val="clear" w:color="auto" w:fill="69BD28"/>
          </w:tcPr>
          <w:p>
            <w:pPr>
              <w:pStyle w:val="TableParagraph"/>
              <w:spacing w:before="25"/>
              <w:ind w:left="149" w:right="156"/>
              <w:rPr>
                <w:b/>
                <w:sz w:val="18"/>
              </w:rPr>
            </w:pPr>
            <w:r>
              <w:rPr>
                <w:b/>
                <w:color w:val="FFFFFF"/>
                <w:w w:val="110"/>
                <w:sz w:val="18"/>
              </w:rPr>
              <w:t>Leasable Area</w:t>
            </w:r>
          </w:p>
        </w:tc>
        <w:tc>
          <w:tcPr>
            <w:tcW w:w="1877" w:type="dxa"/>
          </w:tcPr>
          <w:p>
            <w:pPr>
              <w:pStyle w:val="TableParagraph"/>
              <w:spacing w:before="25"/>
              <w:ind w:left="71" w:right="104"/>
              <w:rPr>
                <w:sz w:val="18"/>
              </w:rPr>
            </w:pPr>
            <w:r>
              <w:rPr>
                <w:w w:val="110"/>
                <w:sz w:val="18"/>
              </w:rPr>
              <w:t>360,947</w:t>
            </w:r>
          </w:p>
        </w:tc>
        <w:tc>
          <w:tcPr>
            <w:tcW w:w="1449" w:type="dxa"/>
          </w:tcPr>
          <w:p>
            <w:pPr>
              <w:pStyle w:val="TableParagraph"/>
              <w:spacing w:before="25"/>
              <w:ind w:left="352"/>
              <w:jc w:val="left"/>
              <w:rPr>
                <w:sz w:val="18"/>
              </w:rPr>
            </w:pPr>
            <w:r>
              <w:rPr>
                <w:w w:val="110"/>
                <w:sz w:val="18"/>
              </w:rPr>
              <w:t>280,810</w:t>
            </w:r>
          </w:p>
        </w:tc>
        <w:tc>
          <w:tcPr>
            <w:tcW w:w="2594" w:type="dxa"/>
          </w:tcPr>
          <w:p>
            <w:pPr>
              <w:pStyle w:val="TableParagraph"/>
              <w:jc w:val="left"/>
              <w:rPr>
                <w:rFonts w:ascii="Times New Roman"/>
                <w:sz w:val="18"/>
              </w:rPr>
            </w:pPr>
          </w:p>
        </w:tc>
        <w:tc>
          <w:tcPr>
            <w:tcW w:w="2436" w:type="dxa"/>
          </w:tcPr>
          <w:p>
            <w:pPr>
              <w:pStyle w:val="TableParagraph"/>
              <w:spacing w:before="1"/>
              <w:jc w:val="left"/>
              <w:rPr>
                <w:sz w:val="6"/>
              </w:rPr>
            </w:pPr>
          </w:p>
          <w:p>
            <w:pPr>
              <w:pStyle w:val="TableParagraph"/>
              <w:spacing w:line="20" w:lineRule="exact"/>
              <w:ind w:left="66" w:right="-58"/>
              <w:jc w:val="left"/>
              <w:rPr>
                <w:sz w:val="2"/>
              </w:rPr>
            </w:pPr>
            <w:r>
              <w:rPr>
                <w:sz w:val="2"/>
              </w:rPr>
              <w:pict>
                <v:group style="width:118.35pt;height:.5pt;mso-position-horizontal-relative:char;mso-position-vertical-relative:line" coordorigin="0,0" coordsize="2367,10">
                  <v:rect style="position:absolute;left:0;top:0;width:2367;height:10" filled="true" fillcolor="#69bd28" stroked="false">
                    <v:fill type="solid"/>
                  </v:rect>
                </v:group>
              </w:pict>
            </w:r>
            <w:r>
              <w:rPr>
                <w:sz w:val="2"/>
              </w:rPr>
            </w:r>
          </w:p>
        </w:tc>
      </w:tr>
      <w:tr>
        <w:trPr>
          <w:trHeight w:val="491" w:hRule="atLeast"/>
        </w:trPr>
        <w:tc>
          <w:tcPr>
            <w:tcW w:w="1642" w:type="dxa"/>
            <w:shd w:val="clear" w:color="auto" w:fill="69BD28"/>
          </w:tcPr>
          <w:p>
            <w:pPr>
              <w:pStyle w:val="TableParagraph"/>
              <w:jc w:val="left"/>
              <w:rPr>
                <w:rFonts w:ascii="Times New Roman"/>
                <w:sz w:val="20"/>
              </w:rPr>
            </w:pPr>
          </w:p>
        </w:tc>
        <w:tc>
          <w:tcPr>
            <w:tcW w:w="1877" w:type="dxa"/>
            <w:tcBorders>
              <w:bottom w:val="single" w:sz="4" w:space="0" w:color="69BD28"/>
            </w:tcBorders>
          </w:tcPr>
          <w:p>
            <w:pPr>
              <w:pStyle w:val="TableParagraph"/>
              <w:jc w:val="left"/>
              <w:rPr>
                <w:rFonts w:ascii="Times New Roman"/>
                <w:sz w:val="20"/>
              </w:rPr>
            </w:pPr>
          </w:p>
        </w:tc>
        <w:tc>
          <w:tcPr>
            <w:tcW w:w="1449" w:type="dxa"/>
            <w:tcBorders>
              <w:bottom w:val="single" w:sz="4" w:space="0" w:color="69BD28"/>
            </w:tcBorders>
          </w:tcPr>
          <w:p>
            <w:pPr>
              <w:pStyle w:val="TableParagraph"/>
              <w:jc w:val="left"/>
              <w:rPr>
                <w:rFonts w:ascii="Times New Roman"/>
                <w:sz w:val="20"/>
              </w:rPr>
            </w:pPr>
          </w:p>
        </w:tc>
        <w:tc>
          <w:tcPr>
            <w:tcW w:w="2594" w:type="dxa"/>
            <w:tcBorders>
              <w:bottom w:val="single" w:sz="4" w:space="0" w:color="69BD28"/>
            </w:tcBorders>
          </w:tcPr>
          <w:p>
            <w:pPr>
              <w:pStyle w:val="TableParagraph"/>
              <w:spacing w:line="249" w:lineRule="auto" w:before="24"/>
              <w:ind w:left="852" w:right="94" w:hanging="624"/>
              <w:jc w:val="left"/>
              <w:rPr>
                <w:sz w:val="18"/>
              </w:rPr>
            </w:pPr>
            <w:r>
              <w:rPr>
                <w:sz w:val="18"/>
              </w:rPr>
              <w:t>Marginal rent for reversion/ vacant area</w:t>
            </w:r>
          </w:p>
        </w:tc>
        <w:tc>
          <w:tcPr>
            <w:tcW w:w="2436" w:type="dxa"/>
            <w:tcBorders>
              <w:bottom w:val="single" w:sz="4" w:space="0" w:color="69BD28"/>
            </w:tcBorders>
          </w:tcPr>
          <w:p>
            <w:pPr>
              <w:pStyle w:val="TableParagraph"/>
              <w:spacing w:before="53"/>
              <w:ind w:left="136" w:right="71"/>
              <w:rPr>
                <w:sz w:val="18"/>
              </w:rPr>
            </w:pPr>
            <w:r>
              <w:rPr>
                <w:w w:val="110"/>
                <w:sz w:val="18"/>
              </w:rPr>
              <w:t>Office – 285.0</w:t>
            </w:r>
          </w:p>
        </w:tc>
      </w:tr>
    </w:tbl>
    <w:p>
      <w:pPr>
        <w:spacing w:before="3"/>
        <w:ind w:left="682" w:right="0" w:firstLine="0"/>
        <w:jc w:val="both"/>
        <w:rPr>
          <w:i/>
          <w:sz w:val="16"/>
        </w:rPr>
      </w:pPr>
      <w:r>
        <w:rPr>
          <w:i/>
          <w:sz w:val="16"/>
        </w:rPr>
        <w:t>Source: Rent roll provided by the Client; Valuer Assessment</w:t>
      </w:r>
    </w:p>
    <w:p>
      <w:pPr>
        <w:spacing w:after="0"/>
        <w:jc w:val="both"/>
        <w:rPr>
          <w:sz w:val="16"/>
        </w:rPr>
        <w:sectPr>
          <w:pgSz w:w="11910" w:h="16840"/>
          <w:pgMar w:header="720" w:footer="933" w:top="1660" w:bottom="1120" w:left="600" w:right="520"/>
        </w:sectPr>
      </w:pPr>
    </w:p>
    <w:p>
      <w:pPr>
        <w:pStyle w:val="BodyText"/>
        <w:spacing w:before="7"/>
        <w:rPr>
          <w:i/>
          <w:sz w:val="9"/>
        </w:rPr>
      </w:pPr>
    </w:p>
    <w:p>
      <w:pPr>
        <w:spacing w:before="105"/>
        <w:ind w:left="682" w:right="0" w:firstLine="0"/>
        <w:jc w:val="both"/>
        <w:rPr>
          <w:i/>
          <w:sz w:val="16"/>
        </w:rPr>
      </w:pPr>
      <w:r>
        <w:rPr>
          <w:i/>
          <w:sz w:val="16"/>
        </w:rPr>
        <w:t>* The rents mentioned above exclude other income such as CAM charges, parking income received from the tenants, fit-out incomes etc.;</w:t>
      </w:r>
    </w:p>
    <w:p>
      <w:pPr>
        <w:spacing w:before="6"/>
        <w:ind w:left="682" w:right="0" w:firstLine="0"/>
        <w:jc w:val="both"/>
        <w:rPr>
          <w:i/>
          <w:sz w:val="16"/>
        </w:rPr>
      </w:pPr>
      <w:r>
        <w:rPr>
          <w:i/>
          <w:sz w:val="16"/>
        </w:rPr>
        <w:t>^weighted average warm shell rent for area already leased </w:t>
      </w:r>
      <w:r>
        <w:rPr>
          <w:i/>
          <w:w w:val="110"/>
          <w:sz w:val="16"/>
        </w:rPr>
        <w:t>– </w:t>
      </w:r>
      <w:r>
        <w:rPr>
          <w:i/>
          <w:sz w:val="16"/>
        </w:rPr>
        <w:t>as per rent roll shared by Client;</w:t>
      </w:r>
    </w:p>
    <w:p>
      <w:pPr>
        <w:pStyle w:val="BodyText"/>
        <w:spacing w:before="4"/>
        <w:rPr>
          <w:i/>
          <w:sz w:val="21"/>
        </w:rPr>
      </w:pPr>
    </w:p>
    <w:p>
      <w:pPr>
        <w:pStyle w:val="BodyText"/>
        <w:spacing w:line="321" w:lineRule="auto"/>
        <w:ind w:left="682" w:right="193"/>
        <w:jc w:val="both"/>
      </w:pPr>
      <w:r>
        <w:rPr/>
        <w:t>The above marginal rent assumption is adopted for the entire subject development. In addition to undertaking</w:t>
      </w:r>
      <w:r>
        <w:rPr>
          <w:spacing w:val="-4"/>
        </w:rPr>
        <w:t> </w:t>
      </w:r>
      <w:r>
        <w:rPr/>
        <w:t>an</w:t>
      </w:r>
      <w:r>
        <w:rPr>
          <w:spacing w:val="-4"/>
        </w:rPr>
        <w:t> </w:t>
      </w:r>
      <w:r>
        <w:rPr/>
        <w:t>in-depth</w:t>
      </w:r>
      <w:r>
        <w:rPr>
          <w:spacing w:val="-5"/>
        </w:rPr>
        <w:t> </w:t>
      </w:r>
      <w:r>
        <w:rPr/>
        <w:t>market</w:t>
      </w:r>
      <w:r>
        <w:rPr>
          <w:spacing w:val="-3"/>
        </w:rPr>
        <w:t> </w:t>
      </w:r>
      <w:r>
        <w:rPr/>
        <w:t>analysis,</w:t>
      </w:r>
      <w:r>
        <w:rPr>
          <w:spacing w:val="-4"/>
        </w:rPr>
        <w:t> </w:t>
      </w:r>
      <w:r>
        <w:rPr/>
        <w:t>a</w:t>
      </w:r>
      <w:r>
        <w:rPr>
          <w:spacing w:val="-6"/>
        </w:rPr>
        <w:t> </w:t>
      </w:r>
      <w:r>
        <w:rPr/>
        <w:t>detailed</w:t>
      </w:r>
      <w:r>
        <w:rPr>
          <w:spacing w:val="-4"/>
        </w:rPr>
        <w:t> </w:t>
      </w:r>
      <w:r>
        <w:rPr/>
        <w:t>analysis</w:t>
      </w:r>
      <w:r>
        <w:rPr>
          <w:spacing w:val="-3"/>
        </w:rPr>
        <w:t> </w:t>
      </w:r>
      <w:r>
        <w:rPr/>
        <w:t>of</w:t>
      </w:r>
      <w:r>
        <w:rPr>
          <w:spacing w:val="-3"/>
        </w:rPr>
        <w:t> </w:t>
      </w:r>
      <w:r>
        <w:rPr/>
        <w:t>the</w:t>
      </w:r>
      <w:r>
        <w:rPr>
          <w:spacing w:val="-4"/>
        </w:rPr>
        <w:t> </w:t>
      </w:r>
      <w:r>
        <w:rPr/>
        <w:t>rent</w:t>
      </w:r>
      <w:r>
        <w:rPr>
          <w:spacing w:val="-4"/>
        </w:rPr>
        <w:t> </w:t>
      </w:r>
      <w:r>
        <w:rPr/>
        <w:t>rolls</w:t>
      </w:r>
      <w:r>
        <w:rPr>
          <w:spacing w:val="-3"/>
        </w:rPr>
        <w:t> </w:t>
      </w:r>
      <w:r>
        <w:rPr/>
        <w:t>was</w:t>
      </w:r>
      <w:r>
        <w:rPr>
          <w:spacing w:val="-4"/>
        </w:rPr>
        <w:t> </w:t>
      </w:r>
      <w:r>
        <w:rPr/>
        <w:t>also</w:t>
      </w:r>
      <w:r>
        <w:rPr>
          <w:spacing w:val="-4"/>
        </w:rPr>
        <w:t> </w:t>
      </w:r>
      <w:r>
        <w:rPr/>
        <w:t>undertaken</w:t>
      </w:r>
      <w:r>
        <w:rPr>
          <w:spacing w:val="-4"/>
        </w:rPr>
        <w:t> </w:t>
      </w:r>
      <w:r>
        <w:rPr/>
        <w:t>to understand</w:t>
      </w:r>
      <w:r>
        <w:rPr>
          <w:spacing w:val="-4"/>
        </w:rPr>
        <w:t> </w:t>
      </w:r>
      <w:r>
        <w:rPr/>
        <w:t>aspects</w:t>
      </w:r>
      <w:r>
        <w:rPr>
          <w:spacing w:val="-2"/>
        </w:rPr>
        <w:t> </w:t>
      </w:r>
      <w:r>
        <w:rPr/>
        <w:t>such</w:t>
      </w:r>
      <w:r>
        <w:rPr>
          <w:spacing w:val="-6"/>
        </w:rPr>
        <w:t> </w:t>
      </w:r>
      <w:r>
        <w:rPr/>
        <w:t>as</w:t>
      </w:r>
      <w:r>
        <w:rPr>
          <w:spacing w:val="-2"/>
        </w:rPr>
        <w:t> </w:t>
      </w:r>
      <w:r>
        <w:rPr/>
        <w:t>area</w:t>
      </w:r>
      <w:r>
        <w:rPr>
          <w:spacing w:val="-4"/>
        </w:rPr>
        <w:t> </w:t>
      </w:r>
      <w:r>
        <w:rPr/>
        <w:t>occupied,</w:t>
      </w:r>
      <w:r>
        <w:rPr>
          <w:spacing w:val="-4"/>
        </w:rPr>
        <w:t> </w:t>
      </w:r>
      <w:r>
        <w:rPr/>
        <w:t>current</w:t>
      </w:r>
      <w:r>
        <w:rPr>
          <w:spacing w:val="-4"/>
        </w:rPr>
        <w:t> </w:t>
      </w:r>
      <w:r>
        <w:rPr/>
        <w:t>rent</w:t>
      </w:r>
      <w:r>
        <w:rPr>
          <w:spacing w:val="-4"/>
        </w:rPr>
        <w:t> </w:t>
      </w:r>
      <w:r>
        <w:rPr/>
        <w:t>and</w:t>
      </w:r>
      <w:r>
        <w:rPr>
          <w:spacing w:val="-3"/>
        </w:rPr>
        <w:t> </w:t>
      </w:r>
      <w:r>
        <w:rPr/>
        <w:t>expiry</w:t>
      </w:r>
      <w:r>
        <w:rPr>
          <w:spacing w:val="-3"/>
        </w:rPr>
        <w:t> </w:t>
      </w:r>
      <w:r>
        <w:rPr/>
        <w:t>analysis</w:t>
      </w:r>
      <w:r>
        <w:rPr>
          <w:spacing w:val="-2"/>
        </w:rPr>
        <w:t> </w:t>
      </w:r>
      <w:r>
        <w:rPr/>
        <w:t>of</w:t>
      </w:r>
      <w:r>
        <w:rPr>
          <w:spacing w:val="-4"/>
        </w:rPr>
        <w:t> </w:t>
      </w:r>
      <w:r>
        <w:rPr/>
        <w:t>the</w:t>
      </w:r>
      <w:r>
        <w:rPr>
          <w:spacing w:val="-4"/>
        </w:rPr>
        <w:t> </w:t>
      </w:r>
      <w:r>
        <w:rPr/>
        <w:t>key</w:t>
      </w:r>
      <w:r>
        <w:rPr>
          <w:spacing w:val="-2"/>
        </w:rPr>
        <w:t> </w:t>
      </w:r>
      <w:r>
        <w:rPr/>
        <w:t>tenants</w:t>
      </w:r>
      <w:r>
        <w:rPr>
          <w:spacing w:val="-3"/>
        </w:rPr>
        <w:t> </w:t>
      </w:r>
      <w:r>
        <w:rPr/>
        <w:t>in</w:t>
      </w:r>
      <w:r>
        <w:rPr>
          <w:spacing w:val="-5"/>
        </w:rPr>
        <w:t> </w:t>
      </w:r>
      <w:r>
        <w:rPr/>
        <w:t>the development.</w:t>
      </w:r>
      <w:r>
        <w:rPr>
          <w:spacing w:val="-38"/>
        </w:rPr>
        <w:t> </w:t>
      </w:r>
      <w:r>
        <w:rPr/>
        <w:t>Additionally,</w:t>
      </w:r>
      <w:r>
        <w:rPr>
          <w:spacing w:val="-37"/>
        </w:rPr>
        <w:t> </w:t>
      </w:r>
      <w:r>
        <w:rPr/>
        <w:t>the</w:t>
      </w:r>
      <w:r>
        <w:rPr>
          <w:spacing w:val="-38"/>
        </w:rPr>
        <w:t> </w:t>
      </w:r>
      <w:r>
        <w:rPr/>
        <w:t>Valuer</w:t>
      </w:r>
      <w:r>
        <w:rPr>
          <w:spacing w:val="-38"/>
        </w:rPr>
        <w:t> </w:t>
      </w:r>
      <w:r>
        <w:rPr/>
        <w:t>also</w:t>
      </w:r>
      <w:r>
        <w:rPr>
          <w:spacing w:val="-37"/>
        </w:rPr>
        <w:t> </w:t>
      </w:r>
      <w:r>
        <w:rPr/>
        <w:t>analysed</w:t>
      </w:r>
      <w:r>
        <w:rPr>
          <w:spacing w:val="-38"/>
        </w:rPr>
        <w:t> </w:t>
      </w:r>
      <w:r>
        <w:rPr/>
        <w:t>the</w:t>
      </w:r>
      <w:r>
        <w:rPr>
          <w:spacing w:val="-37"/>
        </w:rPr>
        <w:t> </w:t>
      </w:r>
      <w:r>
        <w:rPr/>
        <w:t>historical</w:t>
      </w:r>
      <w:r>
        <w:rPr>
          <w:spacing w:val="-38"/>
        </w:rPr>
        <w:t> </w:t>
      </w:r>
      <w:r>
        <w:rPr/>
        <w:t>occupancy</w:t>
      </w:r>
      <w:r>
        <w:rPr>
          <w:spacing w:val="-37"/>
        </w:rPr>
        <w:t> </w:t>
      </w:r>
      <w:r>
        <w:rPr/>
        <w:t>pattern</w:t>
      </w:r>
      <w:r>
        <w:rPr>
          <w:spacing w:val="-38"/>
        </w:rPr>
        <w:t> </w:t>
      </w:r>
      <w:r>
        <w:rPr/>
        <w:t>at</w:t>
      </w:r>
      <w:r>
        <w:rPr>
          <w:spacing w:val="-37"/>
        </w:rPr>
        <w:t> </w:t>
      </w:r>
      <w:r>
        <w:rPr/>
        <w:t>the</w:t>
      </w:r>
      <w:r>
        <w:rPr>
          <w:spacing w:val="-38"/>
        </w:rPr>
        <w:t> </w:t>
      </w:r>
      <w:r>
        <w:rPr/>
        <w:t>subject</w:t>
      </w:r>
      <w:r>
        <w:rPr>
          <w:spacing w:val="-36"/>
        </w:rPr>
        <w:t> </w:t>
      </w:r>
      <w:r>
        <w:rPr/>
        <w:t>sub- market</w:t>
      </w:r>
      <w:r>
        <w:rPr>
          <w:spacing w:val="-22"/>
        </w:rPr>
        <w:t> </w:t>
      </w:r>
      <w:r>
        <w:rPr/>
        <w:t>and</w:t>
      </w:r>
      <w:r>
        <w:rPr>
          <w:spacing w:val="-21"/>
        </w:rPr>
        <w:t> </w:t>
      </w:r>
      <w:r>
        <w:rPr/>
        <w:t>lease-up</w:t>
      </w:r>
      <w:r>
        <w:rPr>
          <w:spacing w:val="-21"/>
        </w:rPr>
        <w:t> </w:t>
      </w:r>
      <w:r>
        <w:rPr/>
        <w:t>time</w:t>
      </w:r>
      <w:r>
        <w:rPr>
          <w:spacing w:val="-21"/>
        </w:rPr>
        <w:t> </w:t>
      </w:r>
      <w:r>
        <w:rPr/>
        <w:t>frame</w:t>
      </w:r>
      <w:r>
        <w:rPr>
          <w:spacing w:val="-22"/>
        </w:rPr>
        <w:t> </w:t>
      </w:r>
      <w:r>
        <w:rPr/>
        <w:t>for</w:t>
      </w:r>
      <w:r>
        <w:rPr>
          <w:spacing w:val="-22"/>
        </w:rPr>
        <w:t> </w:t>
      </w:r>
      <w:r>
        <w:rPr/>
        <w:t>spaces</w:t>
      </w:r>
      <w:r>
        <w:rPr>
          <w:spacing w:val="-22"/>
        </w:rPr>
        <w:t> </w:t>
      </w:r>
      <w:r>
        <w:rPr/>
        <w:t>being</w:t>
      </w:r>
      <w:r>
        <w:rPr>
          <w:spacing w:val="-22"/>
        </w:rPr>
        <w:t> </w:t>
      </w:r>
      <w:r>
        <w:rPr/>
        <w:t>vacated</w:t>
      </w:r>
      <w:r>
        <w:rPr>
          <w:spacing w:val="-21"/>
        </w:rPr>
        <w:t> </w:t>
      </w:r>
      <w:r>
        <w:rPr/>
        <w:t>by</w:t>
      </w:r>
      <w:r>
        <w:rPr>
          <w:spacing w:val="-21"/>
        </w:rPr>
        <w:t> </w:t>
      </w:r>
      <w:r>
        <w:rPr/>
        <w:t>tenants</w:t>
      </w:r>
      <w:r>
        <w:rPr>
          <w:spacing w:val="-21"/>
        </w:rPr>
        <w:t> </w:t>
      </w:r>
      <w:r>
        <w:rPr/>
        <w:t>during</w:t>
      </w:r>
      <w:r>
        <w:rPr>
          <w:spacing w:val="-21"/>
        </w:rPr>
        <w:t> </w:t>
      </w:r>
      <w:r>
        <w:rPr/>
        <w:t>the</w:t>
      </w:r>
      <w:r>
        <w:rPr>
          <w:spacing w:val="-22"/>
        </w:rPr>
        <w:t> </w:t>
      </w:r>
      <w:r>
        <w:rPr/>
        <w:t>last</w:t>
      </w:r>
      <w:r>
        <w:rPr>
          <w:spacing w:val="-21"/>
        </w:rPr>
        <w:t> </w:t>
      </w:r>
      <w:r>
        <w:rPr/>
        <w:t>3</w:t>
      </w:r>
      <w:r>
        <w:rPr>
          <w:spacing w:val="-21"/>
        </w:rPr>
        <w:t> </w:t>
      </w:r>
      <w:r>
        <w:rPr/>
        <w:t>years.</w:t>
      </w:r>
      <w:r>
        <w:rPr>
          <w:spacing w:val="-22"/>
        </w:rPr>
        <w:t> </w:t>
      </w:r>
      <w:r>
        <w:rPr/>
        <w:t>The</w:t>
      </w:r>
      <w:r>
        <w:rPr>
          <w:spacing w:val="-22"/>
        </w:rPr>
        <w:t> </w:t>
      </w:r>
      <w:r>
        <w:rPr/>
        <w:t>lease- up</w:t>
      </w:r>
      <w:r>
        <w:rPr>
          <w:spacing w:val="-9"/>
        </w:rPr>
        <w:t> </w:t>
      </w:r>
      <w:r>
        <w:rPr/>
        <w:t>time</w:t>
      </w:r>
      <w:r>
        <w:rPr>
          <w:spacing w:val="-10"/>
        </w:rPr>
        <w:t> </w:t>
      </w:r>
      <w:r>
        <w:rPr/>
        <w:t>was</w:t>
      </w:r>
      <w:r>
        <w:rPr>
          <w:spacing w:val="-8"/>
        </w:rPr>
        <w:t> </w:t>
      </w:r>
      <w:r>
        <w:rPr/>
        <w:t>observed</w:t>
      </w:r>
      <w:r>
        <w:rPr>
          <w:spacing w:val="-9"/>
        </w:rPr>
        <w:t> </w:t>
      </w:r>
      <w:r>
        <w:rPr/>
        <w:t>to</w:t>
      </w:r>
      <w:r>
        <w:rPr>
          <w:spacing w:val="-12"/>
        </w:rPr>
        <w:t> </w:t>
      </w:r>
      <w:r>
        <w:rPr/>
        <w:t>be</w:t>
      </w:r>
      <w:r>
        <w:rPr>
          <w:spacing w:val="-9"/>
        </w:rPr>
        <w:t> </w:t>
      </w:r>
      <w:r>
        <w:rPr/>
        <w:t>2</w:t>
      </w:r>
      <w:r>
        <w:rPr>
          <w:spacing w:val="-9"/>
        </w:rPr>
        <w:t> </w:t>
      </w:r>
      <w:r>
        <w:rPr/>
        <w:t>-</w:t>
      </w:r>
      <w:r>
        <w:rPr>
          <w:spacing w:val="-8"/>
        </w:rPr>
        <w:t> </w:t>
      </w:r>
      <w:r>
        <w:rPr/>
        <w:t>5</w:t>
      </w:r>
      <w:r>
        <w:rPr>
          <w:spacing w:val="-11"/>
        </w:rPr>
        <w:t> </w:t>
      </w:r>
      <w:r>
        <w:rPr/>
        <w:t>months</w:t>
      </w:r>
      <w:r>
        <w:rPr>
          <w:spacing w:val="-10"/>
        </w:rPr>
        <w:t> </w:t>
      </w:r>
      <w:r>
        <w:rPr/>
        <w:t>based</w:t>
      </w:r>
      <w:r>
        <w:rPr>
          <w:spacing w:val="-8"/>
        </w:rPr>
        <w:t> </w:t>
      </w:r>
      <w:r>
        <w:rPr/>
        <w:t>on</w:t>
      </w:r>
      <w:r>
        <w:rPr>
          <w:spacing w:val="-10"/>
        </w:rPr>
        <w:t> </w:t>
      </w:r>
      <w:r>
        <w:rPr/>
        <w:t>quantum</w:t>
      </w:r>
      <w:r>
        <w:rPr>
          <w:spacing w:val="-9"/>
        </w:rPr>
        <w:t> </w:t>
      </w:r>
      <w:r>
        <w:rPr/>
        <w:t>of</w:t>
      </w:r>
      <w:r>
        <w:rPr>
          <w:spacing w:val="-9"/>
        </w:rPr>
        <w:t> </w:t>
      </w:r>
      <w:r>
        <w:rPr/>
        <w:t>space</w:t>
      </w:r>
      <w:r>
        <w:rPr>
          <w:spacing w:val="-9"/>
        </w:rPr>
        <w:t> </w:t>
      </w:r>
      <w:r>
        <w:rPr/>
        <w:t>being</w:t>
      </w:r>
      <w:r>
        <w:rPr>
          <w:spacing w:val="-8"/>
        </w:rPr>
        <w:t> </w:t>
      </w:r>
      <w:r>
        <w:rPr/>
        <w:t>renewed/</w:t>
      </w:r>
      <w:r>
        <w:rPr>
          <w:spacing w:val="-11"/>
        </w:rPr>
        <w:t> </w:t>
      </w:r>
      <w:r>
        <w:rPr/>
        <w:t>re-leased.</w:t>
      </w:r>
    </w:p>
    <w:p>
      <w:pPr>
        <w:pStyle w:val="BodyText"/>
        <w:spacing w:before="11"/>
        <w:rPr>
          <w:sz w:val="20"/>
        </w:rPr>
      </w:pPr>
    </w:p>
    <w:p>
      <w:pPr>
        <w:pStyle w:val="BodyText"/>
        <w:spacing w:line="321" w:lineRule="auto"/>
        <w:ind w:left="682" w:right="194"/>
        <w:jc w:val="both"/>
      </w:pPr>
      <w:r>
        <w:rPr/>
        <w:t>For</w:t>
      </w:r>
      <w:r>
        <w:rPr>
          <w:spacing w:val="-35"/>
        </w:rPr>
        <w:t> </w:t>
      </w:r>
      <w:r>
        <w:rPr/>
        <w:t>the</w:t>
      </w:r>
      <w:r>
        <w:rPr>
          <w:spacing w:val="-34"/>
        </w:rPr>
        <w:t> </w:t>
      </w:r>
      <w:r>
        <w:rPr/>
        <w:t>larger</w:t>
      </w:r>
      <w:r>
        <w:rPr>
          <w:spacing w:val="-34"/>
        </w:rPr>
        <w:t> </w:t>
      </w:r>
      <w:r>
        <w:rPr/>
        <w:t>tenants,</w:t>
      </w:r>
      <w:r>
        <w:rPr>
          <w:spacing w:val="-33"/>
        </w:rPr>
        <w:t> </w:t>
      </w:r>
      <w:r>
        <w:rPr/>
        <w:t>the</w:t>
      </w:r>
      <w:r>
        <w:rPr>
          <w:spacing w:val="-34"/>
        </w:rPr>
        <w:t> </w:t>
      </w:r>
      <w:r>
        <w:rPr/>
        <w:t>Valuer</w:t>
      </w:r>
      <w:r>
        <w:rPr>
          <w:spacing w:val="-34"/>
        </w:rPr>
        <w:t> </w:t>
      </w:r>
      <w:r>
        <w:rPr/>
        <w:t>assumed</w:t>
      </w:r>
      <w:r>
        <w:rPr>
          <w:spacing w:val="-34"/>
        </w:rPr>
        <w:t> </w:t>
      </w:r>
      <w:r>
        <w:rPr/>
        <w:t>that</w:t>
      </w:r>
      <w:r>
        <w:rPr>
          <w:spacing w:val="-33"/>
        </w:rPr>
        <w:t> </w:t>
      </w:r>
      <w:r>
        <w:rPr/>
        <w:t>post</w:t>
      </w:r>
      <w:r>
        <w:rPr>
          <w:spacing w:val="-34"/>
        </w:rPr>
        <w:t> </w:t>
      </w:r>
      <w:r>
        <w:rPr/>
        <w:t>lease</w:t>
      </w:r>
      <w:r>
        <w:rPr>
          <w:spacing w:val="-34"/>
        </w:rPr>
        <w:t> </w:t>
      </w:r>
      <w:r>
        <w:rPr/>
        <w:t>expiry,</w:t>
      </w:r>
      <w:r>
        <w:rPr>
          <w:spacing w:val="-33"/>
        </w:rPr>
        <w:t> </w:t>
      </w:r>
      <w:r>
        <w:rPr/>
        <w:t>these</w:t>
      </w:r>
      <w:r>
        <w:rPr>
          <w:spacing w:val="-35"/>
        </w:rPr>
        <w:t> </w:t>
      </w:r>
      <w:r>
        <w:rPr/>
        <w:t>spaces</w:t>
      </w:r>
      <w:r>
        <w:rPr>
          <w:spacing w:val="-33"/>
        </w:rPr>
        <w:t> </w:t>
      </w:r>
      <w:r>
        <w:rPr/>
        <w:t>will</w:t>
      </w:r>
      <w:r>
        <w:rPr>
          <w:spacing w:val="-35"/>
        </w:rPr>
        <w:t> </w:t>
      </w:r>
      <w:r>
        <w:rPr/>
        <w:t>revert</w:t>
      </w:r>
      <w:r>
        <w:rPr>
          <w:spacing w:val="-33"/>
        </w:rPr>
        <w:t> </w:t>
      </w:r>
      <w:r>
        <w:rPr/>
        <w:t>to</w:t>
      </w:r>
      <w:r>
        <w:rPr>
          <w:spacing w:val="-34"/>
        </w:rPr>
        <w:t> </w:t>
      </w:r>
      <w:r>
        <w:rPr/>
        <w:t>market</w:t>
      </w:r>
      <w:r>
        <w:rPr>
          <w:spacing w:val="-34"/>
        </w:rPr>
        <w:t> </w:t>
      </w:r>
      <w:r>
        <w:rPr/>
        <w:t>rent prevailing</w:t>
      </w:r>
      <w:r>
        <w:rPr>
          <w:spacing w:val="-9"/>
        </w:rPr>
        <w:t> </w:t>
      </w:r>
      <w:r>
        <w:rPr/>
        <w:t>at</w:t>
      </w:r>
      <w:r>
        <w:rPr>
          <w:spacing w:val="-9"/>
        </w:rPr>
        <w:t> </w:t>
      </w:r>
      <w:r>
        <w:rPr/>
        <w:t>that</w:t>
      </w:r>
      <w:r>
        <w:rPr>
          <w:spacing w:val="-10"/>
        </w:rPr>
        <w:t> </w:t>
      </w:r>
      <w:r>
        <w:rPr/>
        <w:t>point</w:t>
      </w:r>
      <w:r>
        <w:rPr>
          <w:spacing w:val="-10"/>
        </w:rPr>
        <w:t> </w:t>
      </w:r>
      <w:r>
        <w:rPr/>
        <w:t>in</w:t>
      </w:r>
      <w:r>
        <w:rPr>
          <w:spacing w:val="-11"/>
        </w:rPr>
        <w:t> </w:t>
      </w:r>
      <w:r>
        <w:rPr/>
        <w:t>time.</w:t>
      </w:r>
      <w:r>
        <w:rPr>
          <w:spacing w:val="-9"/>
        </w:rPr>
        <w:t> </w:t>
      </w:r>
      <w:r>
        <w:rPr/>
        <w:t>However,</w:t>
      </w:r>
      <w:r>
        <w:rPr>
          <w:spacing w:val="-11"/>
        </w:rPr>
        <w:t> </w:t>
      </w:r>
      <w:r>
        <w:rPr/>
        <w:t>given</w:t>
      </w:r>
      <w:r>
        <w:rPr>
          <w:spacing w:val="-10"/>
        </w:rPr>
        <w:t> </w:t>
      </w:r>
      <w:r>
        <w:rPr/>
        <w:t>the</w:t>
      </w:r>
      <w:r>
        <w:rPr>
          <w:spacing w:val="-10"/>
        </w:rPr>
        <w:t> </w:t>
      </w:r>
      <w:r>
        <w:rPr/>
        <w:t>large</w:t>
      </w:r>
      <w:r>
        <w:rPr>
          <w:spacing w:val="-10"/>
        </w:rPr>
        <w:t> </w:t>
      </w:r>
      <w:r>
        <w:rPr/>
        <w:t>size</w:t>
      </w:r>
      <w:r>
        <w:rPr>
          <w:spacing w:val="-10"/>
        </w:rPr>
        <w:t> </w:t>
      </w:r>
      <w:r>
        <w:rPr/>
        <w:t>of</w:t>
      </w:r>
      <w:r>
        <w:rPr>
          <w:spacing w:val="-10"/>
        </w:rPr>
        <w:t> </w:t>
      </w:r>
      <w:r>
        <w:rPr/>
        <w:t>these</w:t>
      </w:r>
      <w:r>
        <w:rPr>
          <w:spacing w:val="-11"/>
        </w:rPr>
        <w:t> </w:t>
      </w:r>
      <w:r>
        <w:rPr/>
        <w:t>spaces,</w:t>
      </w:r>
      <w:r>
        <w:rPr>
          <w:spacing w:val="-9"/>
        </w:rPr>
        <w:t> </w:t>
      </w:r>
      <w:r>
        <w:rPr/>
        <w:t>the</w:t>
      </w:r>
      <w:r>
        <w:rPr>
          <w:spacing w:val="-11"/>
        </w:rPr>
        <w:t> </w:t>
      </w:r>
      <w:r>
        <w:rPr/>
        <w:t>Client</w:t>
      </w:r>
      <w:r>
        <w:rPr>
          <w:spacing w:val="-10"/>
        </w:rPr>
        <w:t> </w:t>
      </w:r>
      <w:r>
        <w:rPr/>
        <w:t>will</w:t>
      </w:r>
      <w:r>
        <w:rPr>
          <w:spacing w:val="-10"/>
        </w:rPr>
        <w:t> </w:t>
      </w:r>
      <w:r>
        <w:rPr/>
        <w:t>require longer lease-up time. Therefore, the Valuer has adopted a higher lease-up time, ranging from 2 </w:t>
      </w:r>
      <w:r>
        <w:rPr>
          <w:w w:val="105"/>
        </w:rPr>
        <w:t>– </w:t>
      </w:r>
      <w:r>
        <w:rPr/>
        <w:t>5 months depending on area to be</w:t>
      </w:r>
      <w:r>
        <w:rPr>
          <w:spacing w:val="-15"/>
        </w:rPr>
        <w:t> </w:t>
      </w:r>
      <w:r>
        <w:rPr/>
        <w:t>leased.</w:t>
      </w:r>
    </w:p>
    <w:p>
      <w:pPr>
        <w:pStyle w:val="BodyText"/>
        <w:rPr>
          <w:sz w:val="17"/>
        </w:rPr>
      </w:pPr>
      <w:r>
        <w:rPr/>
        <w:pict>
          <v:group style="position:absolute;margin-left:64.103996pt;margin-top:11.854571pt;width:494.05pt;height:23.9pt;mso-position-horizontal-relative:page;mso-position-vertical-relative:paragraph;z-index:-15412736;mso-wrap-distance-left:0;mso-wrap-distance-right:0" coordorigin="1282,237" coordsize="9881,478">
            <v:shape style="position:absolute;left:1282;top:268;width:9881;height:432" coordorigin="1282,268" coordsize="9881,432" path="m5329,268l1282,268,1282,700,5329,700,5329,268xm11162,268l5329,268,5329,700,11162,700,11162,268xe" filled="true" fillcolor="#006a4d" stroked="false">
              <v:path arrowok="t"/>
              <v:fill type="solid"/>
            </v:shape>
            <v:rect style="position:absolute;left:1282;top:237;width:4047;height:29" filled="true" fillcolor="#1b6b22" stroked="false">
              <v:fill type="solid"/>
            </v:rect>
            <v:shape style="position:absolute;left:1282;top:265;width:4077;height:3" coordorigin="1282,266" coordsize="4077,3" path="m5329,266l1282,266,1282,268,5329,268,5329,266xm5358,266l5329,266,5329,268,5358,268,5358,266xe" filled="true" fillcolor="#006a4d" stroked="false">
              <v:path arrowok="t"/>
              <v:fill type="solid"/>
            </v:shape>
            <v:shape style="position:absolute;left:5329;top:237;width:5834;height:29" coordorigin="5329,237" coordsize="5834,29" path="m11162,237l5358,237,5329,237,5329,266,5358,266,11162,266,11162,237xe" filled="true" fillcolor="#1b6b22" stroked="false">
              <v:path arrowok="t"/>
              <v:fill type="solid"/>
            </v:shape>
            <v:rect style="position:absolute;left:5358;top:265;width:5805;height:3" filled="true" fillcolor="#006a4d" stroked="false">
              <v:fill type="solid"/>
            </v:rect>
            <v:shape style="position:absolute;left:1282;top:700;width:9881;height:15" coordorigin="1282,700" coordsize="9881,15" path="m5329,700l1282,700,1282,715,5329,715,5329,700xm11162,700l5343,700,5329,700,5329,715,5343,715,11162,715,11162,700xe" filled="true" fillcolor="#69bd28" stroked="false">
              <v:path arrowok="t"/>
              <v:fill type="solid"/>
            </v:shape>
            <v:shape style="position:absolute;left:2503;top:375;width:1624;height:216" type="#_x0000_t202" filled="false" stroked="false">
              <v:textbox inset="0,0,0,0">
                <w:txbxContent>
                  <w:p>
                    <w:pPr>
                      <w:spacing w:before="4"/>
                      <w:ind w:left="0" w:right="0" w:firstLine="0"/>
                      <w:jc w:val="left"/>
                      <w:rPr>
                        <w:b/>
                        <w:sz w:val="18"/>
                      </w:rPr>
                    </w:pPr>
                    <w:r>
                      <w:rPr>
                        <w:b/>
                        <w:color w:val="FFFFFF"/>
                        <w:w w:val="105"/>
                        <w:sz w:val="18"/>
                      </w:rPr>
                      <w:t>Component (in sf)</w:t>
                    </w:r>
                  </w:p>
                </w:txbxContent>
              </v:textbox>
              <w10:wrap type="none"/>
            </v:shape>
            <v:shape style="position:absolute;left:5643;top:267;width:5224;height:432" type="#_x0000_t202" filled="false" stroked="false">
              <v:textbox inset="0,0,0,0">
                <w:txbxContent>
                  <w:p>
                    <w:pPr>
                      <w:spacing w:line="247" w:lineRule="auto" w:before="4"/>
                      <w:ind w:left="2350" w:right="0" w:hanging="2351"/>
                      <w:jc w:val="left"/>
                      <w:rPr>
                        <w:b/>
                        <w:sz w:val="18"/>
                      </w:rPr>
                    </w:pPr>
                    <w:r>
                      <w:rPr>
                        <w:b/>
                        <w:color w:val="FFFFFF"/>
                        <w:w w:val="105"/>
                        <w:sz w:val="18"/>
                      </w:rPr>
                      <w:t>Market Rent Strategy (Discount to Market Rent/ Lease-up Time)</w:t>
                    </w:r>
                  </w:p>
                </w:txbxContent>
              </v:textbox>
              <w10:wrap type="none"/>
            </v:shape>
            <w10:wrap type="topAndBottom"/>
          </v:group>
        </w:pict>
      </w:r>
    </w:p>
    <w:p>
      <w:pPr>
        <w:tabs>
          <w:tab w:pos="6471" w:val="left" w:leader="none"/>
        </w:tabs>
        <w:spacing w:line="348" w:lineRule="auto" w:before="10"/>
        <w:ind w:left="1253" w:right="1969" w:firstLine="472"/>
        <w:jc w:val="left"/>
        <w:rPr>
          <w:sz w:val="18"/>
        </w:rPr>
      </w:pPr>
      <w:r>
        <w:rPr>
          <w:w w:val="105"/>
          <w:sz w:val="18"/>
        </w:rPr>
        <w:t>Leasable Area</w:t>
      </w:r>
      <w:r>
        <w:rPr>
          <w:spacing w:val="-21"/>
          <w:w w:val="105"/>
          <w:sz w:val="18"/>
        </w:rPr>
        <w:t> </w:t>
      </w:r>
      <w:r>
        <w:rPr>
          <w:w w:val="130"/>
          <w:sz w:val="18"/>
        </w:rPr>
        <w:t>&gt;</w:t>
      </w:r>
      <w:r>
        <w:rPr>
          <w:spacing w:val="-20"/>
          <w:w w:val="130"/>
          <w:sz w:val="18"/>
        </w:rPr>
        <w:t> </w:t>
      </w:r>
      <w:r>
        <w:rPr>
          <w:w w:val="105"/>
          <w:sz w:val="18"/>
        </w:rPr>
        <w:t>50,000</w:t>
        <w:tab/>
      </w:r>
      <w:r>
        <w:rPr>
          <w:sz w:val="18"/>
        </w:rPr>
        <w:t>Renewal</w:t>
      </w:r>
      <w:r>
        <w:rPr>
          <w:spacing w:val="-27"/>
          <w:sz w:val="18"/>
        </w:rPr>
        <w:t> </w:t>
      </w:r>
      <w:r>
        <w:rPr>
          <w:sz w:val="18"/>
        </w:rPr>
        <w:t>at</w:t>
      </w:r>
      <w:r>
        <w:rPr>
          <w:spacing w:val="-28"/>
          <w:sz w:val="18"/>
        </w:rPr>
        <w:t> </w:t>
      </w:r>
      <w:r>
        <w:rPr>
          <w:sz w:val="18"/>
        </w:rPr>
        <w:t>market</w:t>
      </w:r>
      <w:r>
        <w:rPr>
          <w:spacing w:val="-28"/>
          <w:sz w:val="18"/>
        </w:rPr>
        <w:t> </w:t>
      </w:r>
      <w:r>
        <w:rPr>
          <w:sz w:val="18"/>
        </w:rPr>
        <w:t>(5</w:t>
      </w:r>
      <w:r>
        <w:rPr>
          <w:spacing w:val="-28"/>
          <w:sz w:val="18"/>
        </w:rPr>
        <w:t> </w:t>
      </w:r>
      <w:r>
        <w:rPr>
          <w:sz w:val="18"/>
        </w:rPr>
        <w:t>months) </w:t>
      </w:r>
      <w:r>
        <w:rPr>
          <w:w w:val="105"/>
          <w:sz w:val="18"/>
        </w:rPr>
        <w:t>Leased Area &gt;30,000</w:t>
      </w:r>
      <w:r>
        <w:rPr>
          <w:spacing w:val="23"/>
          <w:w w:val="105"/>
          <w:sz w:val="18"/>
        </w:rPr>
        <w:t> </w:t>
      </w:r>
      <w:r>
        <w:rPr>
          <w:w w:val="105"/>
          <w:sz w:val="18"/>
        </w:rPr>
        <w:t>and</w:t>
      </w:r>
      <w:r>
        <w:rPr>
          <w:spacing w:val="8"/>
          <w:w w:val="105"/>
          <w:sz w:val="18"/>
        </w:rPr>
        <w:t> </w:t>
      </w:r>
      <w:r>
        <w:rPr>
          <w:w w:val="105"/>
          <w:sz w:val="18"/>
        </w:rPr>
        <w:t>&lt;50,000</w:t>
        <w:tab/>
      </w:r>
      <w:r>
        <w:rPr>
          <w:sz w:val="18"/>
        </w:rPr>
        <w:t>Renewal</w:t>
      </w:r>
      <w:r>
        <w:rPr>
          <w:spacing w:val="-28"/>
          <w:sz w:val="18"/>
        </w:rPr>
        <w:t> </w:t>
      </w:r>
      <w:r>
        <w:rPr>
          <w:sz w:val="18"/>
        </w:rPr>
        <w:t>at</w:t>
      </w:r>
      <w:r>
        <w:rPr>
          <w:spacing w:val="-28"/>
          <w:sz w:val="18"/>
        </w:rPr>
        <w:t> </w:t>
      </w:r>
      <w:r>
        <w:rPr>
          <w:sz w:val="18"/>
        </w:rPr>
        <w:t>market</w:t>
      </w:r>
      <w:r>
        <w:rPr>
          <w:spacing w:val="-27"/>
          <w:sz w:val="18"/>
        </w:rPr>
        <w:t> </w:t>
      </w:r>
      <w:r>
        <w:rPr>
          <w:sz w:val="18"/>
        </w:rPr>
        <w:t>(2</w:t>
      </w:r>
      <w:r>
        <w:rPr>
          <w:spacing w:val="-28"/>
          <w:sz w:val="18"/>
        </w:rPr>
        <w:t> </w:t>
      </w:r>
      <w:r>
        <w:rPr>
          <w:sz w:val="18"/>
        </w:rPr>
        <w:t>months)</w:t>
      </w:r>
    </w:p>
    <w:p>
      <w:pPr>
        <w:spacing w:line="148" w:lineRule="exact" w:before="0"/>
        <w:ind w:left="682" w:right="0" w:firstLine="0"/>
        <w:jc w:val="both"/>
        <w:rPr>
          <w:i/>
          <w:sz w:val="16"/>
        </w:rPr>
      </w:pPr>
      <w:r>
        <w:rPr/>
        <w:pict>
          <v:shape style="position:absolute;margin-left:64.104004pt;margin-top:-17.894913pt;width:494.05pt;height:.75pt;mso-position-horizontal-relative:page;mso-position-vertical-relative:paragraph;z-index:-34582528" coordorigin="1282,-358" coordsize="9881,15" path="m5329,-358l1282,-358,1282,-343,5329,-343,5329,-358xm11162,-358l5343,-358,5329,-358,5329,-343,5343,-343,11162,-343,11162,-358xe" filled="true" fillcolor="#69bd28" stroked="false">
            <v:path arrowok="t"/>
            <v:fill type="solid"/>
            <w10:wrap type="none"/>
          </v:shape>
        </w:pict>
      </w:r>
      <w:r>
        <w:rPr/>
        <w:pict>
          <v:shape style="position:absolute;margin-left:63.384003pt;margin-top:-2.774912pt;width:494.75pt;height:.75pt;mso-position-horizontal-relative:page;mso-position-vertical-relative:paragraph;z-index:-34582016" coordorigin="1268,-55" coordsize="9895,15" path="m11162,-55l5329,-55,5315,-55,1268,-55,1268,-41,5315,-41,5329,-41,11162,-41,11162,-55xe" filled="true" fillcolor="#69bd28" stroked="false">
            <v:path arrowok="t"/>
            <v:fill type="solid"/>
            <w10:wrap type="none"/>
          </v:shape>
        </w:pict>
      </w:r>
      <w:r>
        <w:rPr>
          <w:i/>
          <w:sz w:val="16"/>
        </w:rPr>
        <w:t>Source: Valuer Assessment</w:t>
      </w:r>
    </w:p>
    <w:p>
      <w:pPr>
        <w:pStyle w:val="BodyText"/>
        <w:spacing w:before="7"/>
        <w:rPr>
          <w:i/>
          <w:sz w:val="23"/>
        </w:rPr>
      </w:pPr>
    </w:p>
    <w:p>
      <w:pPr>
        <w:pStyle w:val="ListParagraph"/>
        <w:numPr>
          <w:ilvl w:val="3"/>
          <w:numId w:val="48"/>
        </w:numPr>
        <w:tabs>
          <w:tab w:pos="985" w:val="left" w:leader="none"/>
        </w:tabs>
        <w:spacing w:line="240" w:lineRule="auto" w:before="0" w:after="0"/>
        <w:ind w:left="984" w:right="0" w:hanging="865"/>
        <w:jc w:val="both"/>
        <w:rPr>
          <w:i/>
          <w:sz w:val="20"/>
        </w:rPr>
      </w:pPr>
      <w:r>
        <w:rPr>
          <w:i/>
          <w:color w:val="008000"/>
          <w:sz w:val="20"/>
        </w:rPr>
        <w:t>Rent</w:t>
      </w:r>
      <w:r>
        <w:rPr>
          <w:i/>
          <w:color w:val="008000"/>
          <w:spacing w:val="-4"/>
          <w:sz w:val="20"/>
        </w:rPr>
        <w:t> </w:t>
      </w:r>
      <w:r>
        <w:rPr>
          <w:i/>
          <w:color w:val="008000"/>
          <w:sz w:val="20"/>
        </w:rPr>
        <w:t>Escalation</w:t>
      </w:r>
    </w:p>
    <w:p>
      <w:pPr>
        <w:pStyle w:val="BodyText"/>
        <w:spacing w:line="321" w:lineRule="auto" w:before="136"/>
        <w:ind w:left="682" w:right="198"/>
        <w:jc w:val="both"/>
      </w:pPr>
      <w:r>
        <w:rPr/>
        <w:t>Based</w:t>
      </w:r>
      <w:r>
        <w:rPr>
          <w:spacing w:val="-43"/>
        </w:rPr>
        <w:t> </w:t>
      </w:r>
      <w:r>
        <w:rPr/>
        <w:t>on</w:t>
      </w:r>
      <w:r>
        <w:rPr>
          <w:spacing w:val="-43"/>
        </w:rPr>
        <w:t> </w:t>
      </w:r>
      <w:r>
        <w:rPr/>
        <w:t>an</w:t>
      </w:r>
      <w:r>
        <w:rPr>
          <w:spacing w:val="-42"/>
        </w:rPr>
        <w:t> </w:t>
      </w:r>
      <w:r>
        <w:rPr/>
        <w:t>analysis</w:t>
      </w:r>
      <w:r>
        <w:rPr>
          <w:spacing w:val="-43"/>
        </w:rPr>
        <w:t> </w:t>
      </w:r>
      <w:r>
        <w:rPr/>
        <w:t>of</w:t>
      </w:r>
      <w:r>
        <w:rPr>
          <w:spacing w:val="-42"/>
        </w:rPr>
        <w:t> </w:t>
      </w:r>
      <w:r>
        <w:rPr/>
        <w:t>existing</w:t>
      </w:r>
      <w:r>
        <w:rPr>
          <w:spacing w:val="-42"/>
        </w:rPr>
        <w:t> </w:t>
      </w:r>
      <w:r>
        <w:rPr/>
        <w:t>lease</w:t>
      </w:r>
      <w:r>
        <w:rPr>
          <w:spacing w:val="-42"/>
        </w:rPr>
        <w:t> </w:t>
      </w:r>
      <w:r>
        <w:rPr/>
        <w:t>rolls,</w:t>
      </w:r>
      <w:r>
        <w:rPr>
          <w:spacing w:val="-43"/>
        </w:rPr>
        <w:t> </w:t>
      </w:r>
      <w:r>
        <w:rPr/>
        <w:t>it</w:t>
      </w:r>
      <w:r>
        <w:rPr>
          <w:spacing w:val="-41"/>
        </w:rPr>
        <w:t> </w:t>
      </w:r>
      <w:r>
        <w:rPr/>
        <w:t>was</w:t>
      </w:r>
      <w:r>
        <w:rPr>
          <w:spacing w:val="-42"/>
        </w:rPr>
        <w:t> </w:t>
      </w:r>
      <w:r>
        <w:rPr/>
        <w:t>observed</w:t>
      </w:r>
      <w:r>
        <w:rPr>
          <w:spacing w:val="-42"/>
        </w:rPr>
        <w:t> </w:t>
      </w:r>
      <w:r>
        <w:rPr/>
        <w:t>that</w:t>
      </w:r>
      <w:r>
        <w:rPr>
          <w:spacing w:val="-42"/>
        </w:rPr>
        <w:t> </w:t>
      </w:r>
      <w:r>
        <w:rPr/>
        <w:t>the</w:t>
      </w:r>
      <w:r>
        <w:rPr>
          <w:spacing w:val="-43"/>
        </w:rPr>
        <w:t> </w:t>
      </w:r>
      <w:r>
        <w:rPr/>
        <w:t>typical</w:t>
      </w:r>
      <w:r>
        <w:rPr>
          <w:spacing w:val="-43"/>
        </w:rPr>
        <w:t> </w:t>
      </w:r>
      <w:r>
        <w:rPr/>
        <w:t>escalation</w:t>
      </w:r>
      <w:r>
        <w:rPr>
          <w:spacing w:val="-43"/>
        </w:rPr>
        <w:t> </w:t>
      </w:r>
      <w:r>
        <w:rPr/>
        <w:t>clause</w:t>
      </w:r>
      <w:r>
        <w:rPr>
          <w:spacing w:val="-42"/>
        </w:rPr>
        <w:t> </w:t>
      </w:r>
      <w:r>
        <w:rPr/>
        <w:t>in</w:t>
      </w:r>
      <w:r>
        <w:rPr>
          <w:spacing w:val="-44"/>
        </w:rPr>
        <w:t> </w:t>
      </w:r>
      <w:r>
        <w:rPr/>
        <w:t>the</w:t>
      </w:r>
      <w:r>
        <w:rPr>
          <w:spacing w:val="-41"/>
        </w:rPr>
        <w:t> </w:t>
      </w:r>
      <w:r>
        <w:rPr/>
        <w:t>subject property</w:t>
      </w:r>
      <w:r>
        <w:rPr>
          <w:spacing w:val="-15"/>
        </w:rPr>
        <w:t> </w:t>
      </w:r>
      <w:r>
        <w:rPr/>
        <w:t>is</w:t>
      </w:r>
      <w:r>
        <w:rPr>
          <w:spacing w:val="-15"/>
        </w:rPr>
        <w:t> </w:t>
      </w:r>
      <w:r>
        <w:rPr/>
        <w:t>either</w:t>
      </w:r>
      <w:r>
        <w:rPr>
          <w:spacing w:val="-14"/>
        </w:rPr>
        <w:t> </w:t>
      </w:r>
      <w:r>
        <w:rPr/>
        <w:t>5.0%</w:t>
      </w:r>
      <w:r>
        <w:rPr>
          <w:spacing w:val="-16"/>
        </w:rPr>
        <w:t> </w:t>
      </w:r>
      <w:r>
        <w:rPr/>
        <w:t>per</w:t>
      </w:r>
      <w:r>
        <w:rPr>
          <w:spacing w:val="-14"/>
        </w:rPr>
        <w:t> </w:t>
      </w:r>
      <w:r>
        <w:rPr/>
        <w:t>annum</w:t>
      </w:r>
      <w:r>
        <w:rPr>
          <w:spacing w:val="-14"/>
        </w:rPr>
        <w:t> </w:t>
      </w:r>
      <w:r>
        <w:rPr/>
        <w:t>or</w:t>
      </w:r>
      <w:r>
        <w:rPr>
          <w:spacing w:val="-14"/>
        </w:rPr>
        <w:t> </w:t>
      </w:r>
      <w:r>
        <w:rPr/>
        <w:t>15.0%</w:t>
      </w:r>
      <w:r>
        <w:rPr>
          <w:spacing w:val="-14"/>
        </w:rPr>
        <w:t> </w:t>
      </w:r>
      <w:r>
        <w:rPr/>
        <w:t>every</w:t>
      </w:r>
      <w:r>
        <w:rPr>
          <w:spacing w:val="-13"/>
        </w:rPr>
        <w:t> </w:t>
      </w:r>
      <w:r>
        <w:rPr/>
        <w:t>three</w:t>
      </w:r>
      <w:r>
        <w:rPr>
          <w:spacing w:val="-17"/>
        </w:rPr>
        <w:t> </w:t>
      </w:r>
      <w:r>
        <w:rPr/>
        <w:t>years,</w:t>
      </w:r>
      <w:r>
        <w:rPr>
          <w:spacing w:val="-15"/>
        </w:rPr>
        <w:t> </w:t>
      </w:r>
      <w:r>
        <w:rPr/>
        <w:t>which</w:t>
      </w:r>
      <w:r>
        <w:rPr>
          <w:spacing w:val="-15"/>
        </w:rPr>
        <w:t> </w:t>
      </w:r>
      <w:r>
        <w:rPr/>
        <w:t>is</w:t>
      </w:r>
      <w:r>
        <w:rPr>
          <w:spacing w:val="-15"/>
        </w:rPr>
        <w:t> </w:t>
      </w:r>
      <w:r>
        <w:rPr/>
        <w:t>in-line</w:t>
      </w:r>
      <w:r>
        <w:rPr>
          <w:spacing w:val="-15"/>
        </w:rPr>
        <w:t> </w:t>
      </w:r>
      <w:r>
        <w:rPr/>
        <w:t>with</w:t>
      </w:r>
      <w:r>
        <w:rPr>
          <w:spacing w:val="-15"/>
        </w:rPr>
        <w:t> </w:t>
      </w:r>
      <w:r>
        <w:rPr/>
        <w:t>the</w:t>
      </w:r>
      <w:r>
        <w:rPr>
          <w:spacing w:val="-16"/>
        </w:rPr>
        <w:t> </w:t>
      </w:r>
      <w:r>
        <w:rPr/>
        <w:t>trend</w:t>
      </w:r>
      <w:r>
        <w:rPr>
          <w:spacing w:val="-16"/>
        </w:rPr>
        <w:t> </w:t>
      </w:r>
      <w:r>
        <w:rPr/>
        <w:t>observed in</w:t>
      </w:r>
      <w:r>
        <w:rPr>
          <w:spacing w:val="-9"/>
        </w:rPr>
        <w:t> </w:t>
      </w:r>
      <w:r>
        <w:rPr/>
        <w:t>the</w:t>
      </w:r>
      <w:r>
        <w:rPr>
          <w:spacing w:val="-8"/>
        </w:rPr>
        <w:t> </w:t>
      </w:r>
      <w:r>
        <w:rPr/>
        <w:t>market.</w:t>
      </w:r>
      <w:r>
        <w:rPr>
          <w:spacing w:val="-7"/>
        </w:rPr>
        <w:t> </w:t>
      </w:r>
      <w:r>
        <w:rPr/>
        <w:t>The</w:t>
      </w:r>
      <w:r>
        <w:rPr>
          <w:spacing w:val="-8"/>
        </w:rPr>
        <w:t> </w:t>
      </w:r>
      <w:r>
        <w:rPr/>
        <w:t>same</w:t>
      </w:r>
      <w:r>
        <w:rPr>
          <w:spacing w:val="-7"/>
        </w:rPr>
        <w:t> </w:t>
      </w:r>
      <w:r>
        <w:rPr/>
        <w:t>has</w:t>
      </w:r>
      <w:r>
        <w:rPr>
          <w:spacing w:val="-6"/>
        </w:rPr>
        <w:t> </w:t>
      </w:r>
      <w:r>
        <w:rPr/>
        <w:t>been</w:t>
      </w:r>
      <w:r>
        <w:rPr>
          <w:spacing w:val="-9"/>
        </w:rPr>
        <w:t> </w:t>
      </w:r>
      <w:r>
        <w:rPr/>
        <w:t>adopted</w:t>
      </w:r>
      <w:r>
        <w:rPr>
          <w:spacing w:val="-9"/>
        </w:rPr>
        <w:t> </w:t>
      </w:r>
      <w:r>
        <w:rPr/>
        <w:t>by</w:t>
      </w:r>
      <w:r>
        <w:rPr>
          <w:spacing w:val="-6"/>
        </w:rPr>
        <w:t> </w:t>
      </w:r>
      <w:r>
        <w:rPr/>
        <w:t>the</w:t>
      </w:r>
      <w:r>
        <w:rPr>
          <w:spacing w:val="-7"/>
        </w:rPr>
        <w:t> </w:t>
      </w:r>
      <w:r>
        <w:rPr/>
        <w:t>Valuer</w:t>
      </w:r>
      <w:r>
        <w:rPr>
          <w:spacing w:val="-8"/>
        </w:rPr>
        <w:t> </w:t>
      </w:r>
      <w:r>
        <w:rPr/>
        <w:t>for</w:t>
      </w:r>
      <w:r>
        <w:rPr>
          <w:spacing w:val="-7"/>
        </w:rPr>
        <w:t> </w:t>
      </w:r>
      <w:r>
        <w:rPr/>
        <w:t>the</w:t>
      </w:r>
      <w:r>
        <w:rPr>
          <w:spacing w:val="-8"/>
        </w:rPr>
        <w:t> </w:t>
      </w:r>
      <w:r>
        <w:rPr/>
        <w:t>vacant</w:t>
      </w:r>
      <w:r>
        <w:rPr>
          <w:spacing w:val="-8"/>
        </w:rPr>
        <w:t> </w:t>
      </w:r>
      <w:r>
        <w:rPr/>
        <w:t>area.</w:t>
      </w:r>
    </w:p>
    <w:p>
      <w:pPr>
        <w:pStyle w:val="ListParagraph"/>
        <w:numPr>
          <w:ilvl w:val="3"/>
          <w:numId w:val="48"/>
        </w:numPr>
        <w:tabs>
          <w:tab w:pos="985" w:val="left" w:leader="none"/>
        </w:tabs>
        <w:spacing w:line="240" w:lineRule="auto" w:before="212" w:after="0"/>
        <w:ind w:left="984" w:right="0" w:hanging="865"/>
        <w:jc w:val="both"/>
        <w:rPr>
          <w:i/>
          <w:sz w:val="20"/>
        </w:rPr>
      </w:pPr>
      <w:r>
        <w:rPr>
          <w:i/>
          <w:color w:val="008000"/>
          <w:sz w:val="20"/>
        </w:rPr>
        <w:t>Fit-out</w:t>
      </w:r>
      <w:r>
        <w:rPr>
          <w:i/>
          <w:color w:val="008000"/>
          <w:spacing w:val="-4"/>
          <w:sz w:val="20"/>
        </w:rPr>
        <w:t> </w:t>
      </w:r>
      <w:r>
        <w:rPr>
          <w:i/>
          <w:color w:val="008000"/>
          <w:sz w:val="20"/>
        </w:rPr>
        <w:t>Rents</w:t>
      </w:r>
    </w:p>
    <w:p>
      <w:pPr>
        <w:pStyle w:val="BodyText"/>
        <w:spacing w:line="321" w:lineRule="auto" w:before="136"/>
        <w:ind w:left="682" w:right="195"/>
        <w:jc w:val="both"/>
      </w:pPr>
      <w:r>
        <w:rPr/>
        <w:t>As</w:t>
      </w:r>
      <w:r>
        <w:rPr>
          <w:spacing w:val="-42"/>
        </w:rPr>
        <w:t> </w:t>
      </w:r>
      <w:r>
        <w:rPr/>
        <w:t>per</w:t>
      </w:r>
      <w:r>
        <w:rPr>
          <w:spacing w:val="-42"/>
        </w:rPr>
        <w:t> </w:t>
      </w:r>
      <w:r>
        <w:rPr/>
        <w:t>the</w:t>
      </w:r>
      <w:r>
        <w:rPr>
          <w:spacing w:val="-41"/>
        </w:rPr>
        <w:t> </w:t>
      </w:r>
      <w:r>
        <w:rPr/>
        <w:t>information</w:t>
      </w:r>
      <w:r>
        <w:rPr>
          <w:spacing w:val="-42"/>
        </w:rPr>
        <w:t> </w:t>
      </w:r>
      <w:r>
        <w:rPr/>
        <w:t>(rent</w:t>
      </w:r>
      <w:r>
        <w:rPr>
          <w:spacing w:val="-41"/>
        </w:rPr>
        <w:t> </w:t>
      </w:r>
      <w:r>
        <w:rPr/>
        <w:t>roll)</w:t>
      </w:r>
      <w:r>
        <w:rPr>
          <w:spacing w:val="-41"/>
        </w:rPr>
        <w:t> </w:t>
      </w:r>
      <w:r>
        <w:rPr/>
        <w:t>provided</w:t>
      </w:r>
      <w:r>
        <w:rPr>
          <w:spacing w:val="-41"/>
        </w:rPr>
        <w:t> </w:t>
      </w:r>
      <w:r>
        <w:rPr/>
        <w:t>by</w:t>
      </w:r>
      <w:r>
        <w:rPr>
          <w:spacing w:val="-41"/>
        </w:rPr>
        <w:t> </w:t>
      </w:r>
      <w:r>
        <w:rPr/>
        <w:t>the</w:t>
      </w:r>
      <w:r>
        <w:rPr>
          <w:spacing w:val="-41"/>
        </w:rPr>
        <w:t> </w:t>
      </w:r>
      <w:r>
        <w:rPr/>
        <w:t>Client,</w:t>
      </w:r>
      <w:r>
        <w:rPr>
          <w:spacing w:val="-42"/>
        </w:rPr>
        <w:t> </w:t>
      </w:r>
      <w:r>
        <w:rPr/>
        <w:t>we</w:t>
      </w:r>
      <w:r>
        <w:rPr>
          <w:spacing w:val="-41"/>
        </w:rPr>
        <w:t> </w:t>
      </w:r>
      <w:r>
        <w:rPr/>
        <w:t>understand</w:t>
      </w:r>
      <w:r>
        <w:rPr>
          <w:spacing w:val="-41"/>
        </w:rPr>
        <w:t> </w:t>
      </w:r>
      <w:r>
        <w:rPr/>
        <w:t>that</w:t>
      </w:r>
      <w:r>
        <w:rPr>
          <w:spacing w:val="-41"/>
        </w:rPr>
        <w:t> </w:t>
      </w:r>
      <w:r>
        <w:rPr/>
        <w:t>in</w:t>
      </w:r>
      <w:r>
        <w:rPr>
          <w:spacing w:val="-42"/>
        </w:rPr>
        <w:t> </w:t>
      </w:r>
      <w:r>
        <w:rPr/>
        <w:t>addition</w:t>
      </w:r>
      <w:r>
        <w:rPr>
          <w:spacing w:val="-42"/>
        </w:rPr>
        <w:t> </w:t>
      </w:r>
      <w:r>
        <w:rPr/>
        <w:t>to</w:t>
      </w:r>
      <w:r>
        <w:rPr>
          <w:spacing w:val="-41"/>
        </w:rPr>
        <w:t> </w:t>
      </w:r>
      <w:r>
        <w:rPr/>
        <w:t>the</w:t>
      </w:r>
      <w:r>
        <w:rPr>
          <w:spacing w:val="-42"/>
        </w:rPr>
        <w:t> </w:t>
      </w:r>
      <w:r>
        <w:rPr/>
        <w:t>lease</w:t>
      </w:r>
      <w:r>
        <w:rPr>
          <w:spacing w:val="-41"/>
        </w:rPr>
        <w:t> </w:t>
      </w:r>
      <w:r>
        <w:rPr/>
        <w:t>rents, there</w:t>
      </w:r>
      <w:r>
        <w:rPr>
          <w:spacing w:val="-25"/>
        </w:rPr>
        <w:t> </w:t>
      </w:r>
      <w:r>
        <w:rPr/>
        <w:t>is</w:t>
      </w:r>
      <w:r>
        <w:rPr>
          <w:spacing w:val="-23"/>
        </w:rPr>
        <w:t> </w:t>
      </w:r>
      <w:r>
        <w:rPr/>
        <w:t>rent</w:t>
      </w:r>
      <w:r>
        <w:rPr>
          <w:spacing w:val="-24"/>
        </w:rPr>
        <w:t> </w:t>
      </w:r>
      <w:r>
        <w:rPr/>
        <w:t>towards</w:t>
      </w:r>
      <w:r>
        <w:rPr>
          <w:spacing w:val="-24"/>
        </w:rPr>
        <w:t> </w:t>
      </w:r>
      <w:r>
        <w:rPr/>
        <w:t>fit-outs</w:t>
      </w:r>
      <w:r>
        <w:rPr>
          <w:spacing w:val="-23"/>
        </w:rPr>
        <w:t> </w:t>
      </w:r>
      <w:r>
        <w:rPr/>
        <w:t>for</w:t>
      </w:r>
      <w:r>
        <w:rPr>
          <w:spacing w:val="-25"/>
        </w:rPr>
        <w:t> </w:t>
      </w:r>
      <w:r>
        <w:rPr/>
        <w:t>one</w:t>
      </w:r>
      <w:r>
        <w:rPr>
          <w:spacing w:val="-25"/>
        </w:rPr>
        <w:t> </w:t>
      </w:r>
      <w:r>
        <w:rPr/>
        <w:t>of</w:t>
      </w:r>
      <w:r>
        <w:rPr>
          <w:spacing w:val="-23"/>
        </w:rPr>
        <w:t> </w:t>
      </w:r>
      <w:r>
        <w:rPr/>
        <w:t>the</w:t>
      </w:r>
      <w:r>
        <w:rPr>
          <w:spacing w:val="-25"/>
        </w:rPr>
        <w:t> </w:t>
      </w:r>
      <w:r>
        <w:rPr/>
        <w:t>tenants.</w:t>
      </w:r>
      <w:r>
        <w:rPr>
          <w:spacing w:val="-25"/>
        </w:rPr>
        <w:t> </w:t>
      </w:r>
      <w:r>
        <w:rPr/>
        <w:t>The</w:t>
      </w:r>
      <w:r>
        <w:rPr>
          <w:spacing w:val="-25"/>
        </w:rPr>
        <w:t> </w:t>
      </w:r>
      <w:r>
        <w:rPr/>
        <w:t>rent</w:t>
      </w:r>
      <w:r>
        <w:rPr>
          <w:spacing w:val="-24"/>
        </w:rPr>
        <w:t> </w:t>
      </w:r>
      <w:r>
        <w:rPr/>
        <w:t>is</w:t>
      </w:r>
      <w:r>
        <w:rPr>
          <w:spacing w:val="-23"/>
        </w:rPr>
        <w:t> </w:t>
      </w:r>
      <w:r>
        <w:rPr/>
        <w:t>INR</w:t>
      </w:r>
      <w:r>
        <w:rPr>
          <w:spacing w:val="-25"/>
        </w:rPr>
        <w:t> </w:t>
      </w:r>
      <w:r>
        <w:rPr/>
        <w:t>16.0</w:t>
      </w:r>
      <w:r>
        <w:rPr>
          <w:spacing w:val="-25"/>
        </w:rPr>
        <w:t> </w:t>
      </w:r>
      <w:r>
        <w:rPr/>
        <w:t>psf</w:t>
      </w:r>
      <w:r>
        <w:rPr>
          <w:spacing w:val="-26"/>
        </w:rPr>
        <w:t> </w:t>
      </w:r>
      <w:r>
        <w:rPr/>
        <w:t>pm.</w:t>
      </w:r>
      <w:r>
        <w:rPr>
          <w:spacing w:val="-24"/>
        </w:rPr>
        <w:t> </w:t>
      </w:r>
      <w:r>
        <w:rPr/>
        <w:t>For</w:t>
      </w:r>
      <w:r>
        <w:rPr>
          <w:spacing w:val="-25"/>
        </w:rPr>
        <w:t> </w:t>
      </w:r>
      <w:r>
        <w:rPr/>
        <w:t>this</w:t>
      </w:r>
      <w:r>
        <w:rPr>
          <w:spacing w:val="39"/>
        </w:rPr>
        <w:t> </w:t>
      </w:r>
      <w:r>
        <w:rPr/>
        <w:t>valuation,</w:t>
      </w:r>
      <w:r>
        <w:rPr>
          <w:spacing w:val="38"/>
        </w:rPr>
        <w:t> </w:t>
      </w:r>
      <w:r>
        <w:rPr/>
        <w:t>we have</w:t>
      </w:r>
      <w:r>
        <w:rPr>
          <w:spacing w:val="-9"/>
        </w:rPr>
        <w:t> </w:t>
      </w:r>
      <w:r>
        <w:rPr/>
        <w:t>adopted</w:t>
      </w:r>
      <w:r>
        <w:rPr>
          <w:spacing w:val="-9"/>
        </w:rPr>
        <w:t> </w:t>
      </w:r>
      <w:r>
        <w:rPr/>
        <w:t>the</w:t>
      </w:r>
      <w:r>
        <w:rPr>
          <w:spacing w:val="-9"/>
        </w:rPr>
        <w:t> </w:t>
      </w:r>
      <w:r>
        <w:rPr/>
        <w:t>tenant</w:t>
      </w:r>
      <w:r>
        <w:rPr>
          <w:spacing w:val="-12"/>
        </w:rPr>
        <w:t> </w:t>
      </w:r>
      <w:r>
        <w:rPr/>
        <w:t>wise</w:t>
      </w:r>
      <w:r>
        <w:rPr>
          <w:spacing w:val="-9"/>
        </w:rPr>
        <w:t> </w:t>
      </w:r>
      <w:r>
        <w:rPr/>
        <w:t>fit-out</w:t>
      </w:r>
      <w:r>
        <w:rPr>
          <w:spacing w:val="-7"/>
        </w:rPr>
        <w:t> </w:t>
      </w:r>
      <w:r>
        <w:rPr/>
        <w:t>details</w:t>
      </w:r>
      <w:r>
        <w:rPr>
          <w:spacing w:val="-8"/>
        </w:rPr>
        <w:t> </w:t>
      </w:r>
      <w:r>
        <w:rPr/>
        <w:t>as</w:t>
      </w:r>
      <w:r>
        <w:rPr>
          <w:spacing w:val="-10"/>
        </w:rPr>
        <w:t> </w:t>
      </w:r>
      <w:r>
        <w:rPr/>
        <w:t>provided</w:t>
      </w:r>
      <w:r>
        <w:rPr>
          <w:spacing w:val="-8"/>
        </w:rPr>
        <w:t> </w:t>
      </w:r>
      <w:r>
        <w:rPr/>
        <w:t>in</w:t>
      </w:r>
      <w:r>
        <w:rPr>
          <w:spacing w:val="-10"/>
        </w:rPr>
        <w:t> </w:t>
      </w:r>
      <w:r>
        <w:rPr/>
        <w:t>the</w:t>
      </w:r>
      <w:r>
        <w:rPr>
          <w:spacing w:val="-10"/>
        </w:rPr>
        <w:t> </w:t>
      </w:r>
      <w:r>
        <w:rPr/>
        <w:t>rent</w:t>
      </w:r>
      <w:r>
        <w:rPr>
          <w:spacing w:val="-8"/>
        </w:rPr>
        <w:t> </w:t>
      </w:r>
      <w:r>
        <w:rPr/>
        <w:t>roll.</w:t>
      </w:r>
    </w:p>
    <w:p>
      <w:pPr>
        <w:pStyle w:val="ListParagraph"/>
        <w:numPr>
          <w:ilvl w:val="3"/>
          <w:numId w:val="48"/>
        </w:numPr>
        <w:tabs>
          <w:tab w:pos="985" w:val="left" w:leader="none"/>
        </w:tabs>
        <w:spacing w:line="240" w:lineRule="auto" w:before="209" w:after="0"/>
        <w:ind w:left="984" w:right="0" w:hanging="865"/>
        <w:jc w:val="both"/>
        <w:rPr>
          <w:i/>
          <w:sz w:val="20"/>
        </w:rPr>
      </w:pPr>
      <w:r>
        <w:rPr>
          <w:i/>
          <w:color w:val="008000"/>
          <w:sz w:val="20"/>
        </w:rPr>
        <w:t>Other</w:t>
      </w:r>
      <w:r>
        <w:rPr>
          <w:i/>
          <w:color w:val="008000"/>
          <w:spacing w:val="-4"/>
          <w:sz w:val="20"/>
        </w:rPr>
        <w:t> </w:t>
      </w:r>
      <w:r>
        <w:rPr>
          <w:i/>
          <w:color w:val="008000"/>
          <w:sz w:val="20"/>
        </w:rPr>
        <w:t>Revenues</w:t>
      </w:r>
    </w:p>
    <w:p>
      <w:pPr>
        <w:pStyle w:val="BodyText"/>
        <w:spacing w:line="321" w:lineRule="auto" w:before="136"/>
        <w:ind w:left="682" w:right="192"/>
        <w:jc w:val="both"/>
      </w:pPr>
      <w:r>
        <w:rPr/>
        <w:t>In addition to lease rent revenues, commercial developments typically have additional sources of revenue.</w:t>
      </w:r>
      <w:r>
        <w:rPr>
          <w:spacing w:val="-41"/>
        </w:rPr>
        <w:t> </w:t>
      </w:r>
      <w:r>
        <w:rPr/>
        <w:t>These</w:t>
      </w:r>
      <w:r>
        <w:rPr>
          <w:spacing w:val="-41"/>
        </w:rPr>
        <w:t> </w:t>
      </w:r>
      <w:r>
        <w:rPr/>
        <w:t>include</w:t>
      </w:r>
      <w:r>
        <w:rPr>
          <w:spacing w:val="-40"/>
        </w:rPr>
        <w:t> </w:t>
      </w:r>
      <w:r>
        <w:rPr/>
        <w:t>revenues</w:t>
      </w:r>
      <w:r>
        <w:rPr>
          <w:spacing w:val="-40"/>
        </w:rPr>
        <w:t> </w:t>
      </w:r>
      <w:r>
        <w:rPr/>
        <w:t>because</w:t>
      </w:r>
      <w:r>
        <w:rPr>
          <w:spacing w:val="-40"/>
        </w:rPr>
        <w:t> </w:t>
      </w:r>
      <w:r>
        <w:rPr/>
        <w:t>of</w:t>
      </w:r>
      <w:r>
        <w:rPr>
          <w:spacing w:val="-42"/>
        </w:rPr>
        <w:t> </w:t>
      </w:r>
      <w:r>
        <w:rPr/>
        <w:t>security</w:t>
      </w:r>
      <w:r>
        <w:rPr>
          <w:spacing w:val="-39"/>
        </w:rPr>
        <w:t> </w:t>
      </w:r>
      <w:r>
        <w:rPr/>
        <w:t>deposit</w:t>
      </w:r>
      <w:r>
        <w:rPr>
          <w:spacing w:val="-42"/>
        </w:rPr>
        <w:t> </w:t>
      </w:r>
      <w:r>
        <w:rPr/>
        <w:t>(refunded</w:t>
      </w:r>
      <w:r>
        <w:rPr>
          <w:spacing w:val="-40"/>
        </w:rPr>
        <w:t> </w:t>
      </w:r>
      <w:r>
        <w:rPr/>
        <w:t>at</w:t>
      </w:r>
      <w:r>
        <w:rPr>
          <w:spacing w:val="-40"/>
        </w:rPr>
        <w:t> </w:t>
      </w:r>
      <w:r>
        <w:rPr/>
        <w:t>the</w:t>
      </w:r>
      <w:r>
        <w:rPr>
          <w:spacing w:val="-41"/>
        </w:rPr>
        <w:t> </w:t>
      </w:r>
      <w:r>
        <w:rPr/>
        <w:t>time</w:t>
      </w:r>
      <w:r>
        <w:rPr>
          <w:spacing w:val="-41"/>
        </w:rPr>
        <w:t> </w:t>
      </w:r>
      <w:r>
        <w:rPr/>
        <w:t>of</w:t>
      </w:r>
      <w:r>
        <w:rPr>
          <w:spacing w:val="-40"/>
        </w:rPr>
        <w:t> </w:t>
      </w:r>
      <w:r>
        <w:rPr/>
        <w:t>lease</w:t>
      </w:r>
      <w:r>
        <w:rPr>
          <w:spacing w:val="-40"/>
        </w:rPr>
        <w:t> </w:t>
      </w:r>
      <w:r>
        <w:rPr/>
        <w:t>expiry</w:t>
      </w:r>
      <w:r>
        <w:rPr>
          <w:spacing w:val="-40"/>
        </w:rPr>
        <w:t> </w:t>
      </w:r>
      <w:r>
        <w:rPr/>
        <w:t>/</w:t>
      </w:r>
      <w:r>
        <w:rPr>
          <w:spacing w:val="-40"/>
        </w:rPr>
        <w:t> </w:t>
      </w:r>
      <w:r>
        <w:rPr/>
        <w:t>exit), other</w:t>
      </w:r>
      <w:r>
        <w:rPr>
          <w:spacing w:val="-30"/>
        </w:rPr>
        <w:t> </w:t>
      </w:r>
      <w:r>
        <w:rPr/>
        <w:t>miscellaneous</w:t>
      </w:r>
      <w:r>
        <w:rPr>
          <w:spacing w:val="-28"/>
        </w:rPr>
        <w:t> </w:t>
      </w:r>
      <w:r>
        <w:rPr/>
        <w:t>income</w:t>
      </w:r>
      <w:r>
        <w:rPr>
          <w:spacing w:val="-29"/>
        </w:rPr>
        <w:t> </w:t>
      </w:r>
      <w:r>
        <w:rPr/>
        <w:t>(such</w:t>
      </w:r>
      <w:r>
        <w:rPr>
          <w:spacing w:val="-29"/>
        </w:rPr>
        <w:t> </w:t>
      </w:r>
      <w:r>
        <w:rPr/>
        <w:t>as</w:t>
      </w:r>
      <w:r>
        <w:rPr>
          <w:spacing w:val="-29"/>
        </w:rPr>
        <w:t> </w:t>
      </w:r>
      <w:r>
        <w:rPr/>
        <w:t>cell</w:t>
      </w:r>
      <w:r>
        <w:rPr>
          <w:spacing w:val="-30"/>
        </w:rPr>
        <w:t> </w:t>
      </w:r>
      <w:r>
        <w:rPr/>
        <w:t>sites,</w:t>
      </w:r>
      <w:r>
        <w:rPr>
          <w:spacing w:val="-31"/>
        </w:rPr>
        <w:t> </w:t>
      </w:r>
      <w:r>
        <w:rPr/>
        <w:t>retail</w:t>
      </w:r>
      <w:r>
        <w:rPr>
          <w:spacing w:val="-30"/>
        </w:rPr>
        <w:t> </w:t>
      </w:r>
      <w:r>
        <w:rPr/>
        <w:t>areas,</w:t>
      </w:r>
      <w:r>
        <w:rPr>
          <w:spacing w:val="-29"/>
        </w:rPr>
        <w:t> </w:t>
      </w:r>
      <w:r>
        <w:rPr/>
        <w:t>food</w:t>
      </w:r>
      <w:r>
        <w:rPr>
          <w:spacing w:val="-28"/>
        </w:rPr>
        <w:t> </w:t>
      </w:r>
      <w:r>
        <w:rPr/>
        <w:t>court,</w:t>
      </w:r>
      <w:r>
        <w:rPr>
          <w:spacing w:val="-29"/>
        </w:rPr>
        <w:t> </w:t>
      </w:r>
      <w:r>
        <w:rPr/>
        <w:t>etc.),</w:t>
      </w:r>
      <w:r>
        <w:rPr>
          <w:spacing w:val="-27"/>
        </w:rPr>
        <w:t> </w:t>
      </w:r>
      <w:r>
        <w:rPr/>
        <w:t>mark-up</w:t>
      </w:r>
      <w:r>
        <w:rPr>
          <w:spacing w:val="-29"/>
        </w:rPr>
        <w:t> </w:t>
      </w:r>
      <w:r>
        <w:rPr/>
        <w:t>on</w:t>
      </w:r>
      <w:r>
        <w:rPr>
          <w:spacing w:val="-31"/>
        </w:rPr>
        <w:t> </w:t>
      </w:r>
      <w:r>
        <w:rPr/>
        <w:t>Common</w:t>
      </w:r>
      <w:r>
        <w:rPr>
          <w:spacing w:val="-30"/>
        </w:rPr>
        <w:t> </w:t>
      </w:r>
      <w:r>
        <w:rPr/>
        <w:t>Area Maintenance (CAM) charges/ CAM margin,</w:t>
      </w:r>
      <w:r>
        <w:rPr>
          <w:spacing w:val="-10"/>
        </w:rPr>
        <w:t> </w:t>
      </w:r>
      <w:r>
        <w:rPr/>
        <w:t>etc.</w:t>
      </w:r>
    </w:p>
    <w:p>
      <w:pPr>
        <w:pStyle w:val="BodyText"/>
        <w:spacing w:line="321" w:lineRule="auto" w:before="124"/>
        <w:ind w:left="682" w:right="196"/>
        <w:jc w:val="both"/>
      </w:pPr>
      <w:r>
        <w:rPr/>
        <w:t>The assumptions considered for the aforementioned revenue heads for the purpose of this valuation exercise</w:t>
      </w:r>
      <w:r>
        <w:rPr>
          <w:spacing w:val="-39"/>
        </w:rPr>
        <w:t> </w:t>
      </w:r>
      <w:r>
        <w:rPr/>
        <w:t>are</w:t>
      </w:r>
      <w:r>
        <w:rPr>
          <w:spacing w:val="-39"/>
        </w:rPr>
        <w:t> </w:t>
      </w:r>
      <w:r>
        <w:rPr/>
        <w:t>based</w:t>
      </w:r>
      <w:r>
        <w:rPr>
          <w:spacing w:val="-38"/>
        </w:rPr>
        <w:t> </w:t>
      </w:r>
      <w:r>
        <w:rPr/>
        <w:t>on</w:t>
      </w:r>
      <w:r>
        <w:rPr>
          <w:spacing w:val="-39"/>
        </w:rPr>
        <w:t> </w:t>
      </w:r>
      <w:r>
        <w:rPr/>
        <w:t>the</w:t>
      </w:r>
      <w:r>
        <w:rPr>
          <w:spacing w:val="-40"/>
        </w:rPr>
        <w:t> </w:t>
      </w:r>
      <w:r>
        <w:rPr/>
        <w:t>rent</w:t>
      </w:r>
      <w:r>
        <w:rPr>
          <w:spacing w:val="-38"/>
        </w:rPr>
        <w:t> </w:t>
      </w:r>
      <w:r>
        <w:rPr/>
        <w:t>roll/</w:t>
      </w:r>
      <w:r>
        <w:rPr>
          <w:spacing w:val="-38"/>
        </w:rPr>
        <w:t> </w:t>
      </w:r>
      <w:r>
        <w:rPr/>
        <w:t>information</w:t>
      </w:r>
      <w:r>
        <w:rPr>
          <w:spacing w:val="-39"/>
        </w:rPr>
        <w:t> </w:t>
      </w:r>
      <w:r>
        <w:rPr/>
        <w:t>provided</w:t>
      </w:r>
      <w:r>
        <w:rPr>
          <w:spacing w:val="-38"/>
        </w:rPr>
        <w:t> </w:t>
      </w:r>
      <w:r>
        <w:rPr/>
        <w:t>by</w:t>
      </w:r>
      <w:r>
        <w:rPr>
          <w:spacing w:val="-38"/>
        </w:rPr>
        <w:t> </w:t>
      </w:r>
      <w:r>
        <w:rPr/>
        <w:t>the</w:t>
      </w:r>
      <w:r>
        <w:rPr>
          <w:spacing w:val="-39"/>
        </w:rPr>
        <w:t> </w:t>
      </w:r>
      <w:r>
        <w:rPr/>
        <w:t>Client.</w:t>
      </w:r>
      <w:r>
        <w:rPr>
          <w:spacing w:val="-38"/>
        </w:rPr>
        <w:t> </w:t>
      </w:r>
      <w:r>
        <w:rPr/>
        <w:t>The</w:t>
      </w:r>
      <w:r>
        <w:rPr>
          <w:spacing w:val="-40"/>
        </w:rPr>
        <w:t> </w:t>
      </w:r>
      <w:r>
        <w:rPr/>
        <w:t>same</w:t>
      </w:r>
      <w:r>
        <w:rPr>
          <w:spacing w:val="-39"/>
        </w:rPr>
        <w:t> </w:t>
      </w:r>
      <w:r>
        <w:rPr/>
        <w:t>has</w:t>
      </w:r>
      <w:r>
        <w:rPr>
          <w:spacing w:val="-37"/>
        </w:rPr>
        <w:t> </w:t>
      </w:r>
      <w:r>
        <w:rPr/>
        <w:t>been</w:t>
      </w:r>
      <w:r>
        <w:rPr>
          <w:spacing w:val="-39"/>
        </w:rPr>
        <w:t> </w:t>
      </w:r>
      <w:r>
        <w:rPr/>
        <w:t>cross-checked with</w:t>
      </w:r>
      <w:r>
        <w:rPr>
          <w:spacing w:val="-13"/>
        </w:rPr>
        <w:t> </w:t>
      </w:r>
      <w:r>
        <w:rPr/>
        <w:t>the</w:t>
      </w:r>
      <w:r>
        <w:rPr>
          <w:spacing w:val="-13"/>
        </w:rPr>
        <w:t> </w:t>
      </w:r>
      <w:r>
        <w:rPr/>
        <w:t>prevailing</w:t>
      </w:r>
      <w:r>
        <w:rPr>
          <w:spacing w:val="-12"/>
        </w:rPr>
        <w:t> </w:t>
      </w:r>
      <w:r>
        <w:rPr/>
        <w:t>market</w:t>
      </w:r>
      <w:r>
        <w:rPr>
          <w:spacing w:val="-12"/>
        </w:rPr>
        <w:t> </w:t>
      </w:r>
      <w:r>
        <w:rPr/>
        <w:t>norms</w:t>
      </w:r>
      <w:r>
        <w:rPr>
          <w:spacing w:val="-11"/>
        </w:rPr>
        <w:t> </w:t>
      </w:r>
      <w:r>
        <w:rPr/>
        <w:t>for</w:t>
      </w:r>
      <w:r>
        <w:rPr>
          <w:spacing w:val="-13"/>
        </w:rPr>
        <w:t> </w:t>
      </w:r>
      <w:r>
        <w:rPr/>
        <w:t>other</w:t>
      </w:r>
      <w:r>
        <w:rPr>
          <w:spacing w:val="-12"/>
        </w:rPr>
        <w:t> </w:t>
      </w:r>
      <w:r>
        <w:rPr/>
        <w:t>revenues</w:t>
      </w:r>
      <w:r>
        <w:rPr>
          <w:spacing w:val="-11"/>
        </w:rPr>
        <w:t> </w:t>
      </w:r>
      <w:r>
        <w:rPr/>
        <w:t>and</w:t>
      </w:r>
      <w:r>
        <w:rPr>
          <w:spacing w:val="-14"/>
        </w:rPr>
        <w:t> </w:t>
      </w:r>
      <w:r>
        <w:rPr/>
        <w:t>were</w:t>
      </w:r>
      <w:r>
        <w:rPr>
          <w:spacing w:val="-12"/>
        </w:rPr>
        <w:t> </w:t>
      </w:r>
      <w:r>
        <w:rPr/>
        <w:t>found</w:t>
      </w:r>
      <w:r>
        <w:rPr>
          <w:spacing w:val="-12"/>
        </w:rPr>
        <w:t> </w:t>
      </w:r>
      <w:r>
        <w:rPr/>
        <w:t>to</w:t>
      </w:r>
      <w:r>
        <w:rPr>
          <w:spacing w:val="-10"/>
        </w:rPr>
        <w:t> </w:t>
      </w:r>
      <w:r>
        <w:rPr/>
        <w:t>be</w:t>
      </w:r>
      <w:r>
        <w:rPr>
          <w:spacing w:val="-15"/>
        </w:rPr>
        <w:t> </w:t>
      </w:r>
      <w:r>
        <w:rPr/>
        <w:t>broadly</w:t>
      </w:r>
      <w:r>
        <w:rPr>
          <w:spacing w:val="-12"/>
        </w:rPr>
        <w:t> </w:t>
      </w:r>
      <w:r>
        <w:rPr/>
        <w:t>in</w:t>
      </w:r>
      <w:r>
        <w:rPr>
          <w:spacing w:val="-13"/>
        </w:rPr>
        <w:t> </w:t>
      </w:r>
      <w:r>
        <w:rPr/>
        <w:t>line.</w:t>
      </w:r>
    </w:p>
    <w:p>
      <w:pPr>
        <w:pStyle w:val="BodyText"/>
        <w:spacing w:before="120"/>
        <w:ind w:left="682"/>
        <w:jc w:val="both"/>
      </w:pPr>
      <w:r>
        <w:rPr/>
        <w:t>The assumptions adopted for other revenues are as tabulated below:</w:t>
      </w:r>
    </w:p>
    <w:p>
      <w:pPr>
        <w:pStyle w:val="BodyText"/>
        <w:spacing w:before="6"/>
        <w:rPr>
          <w:sz w:val="17"/>
        </w:rPr>
      </w:pPr>
    </w:p>
    <w:tbl>
      <w:tblPr>
        <w:tblCellSpacing w:w="27" w:type="dxa"/>
        <w:tblW w:w="0" w:type="auto"/>
        <w:jc w:val="left"/>
        <w:tblInd w:w="17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3"/>
        <w:gridCol w:w="3491"/>
        <w:gridCol w:w="3460"/>
      </w:tblGrid>
      <w:tr>
        <w:trPr>
          <w:trHeight w:val="160" w:hRule="atLeast"/>
        </w:trPr>
        <w:tc>
          <w:tcPr>
            <w:tcW w:w="3463" w:type="dxa"/>
            <w:tcBorders>
              <w:left w:val="nil"/>
              <w:right w:val="nil"/>
            </w:tcBorders>
            <w:shd w:val="clear" w:color="auto" w:fill="006A4D"/>
          </w:tcPr>
          <w:p>
            <w:pPr>
              <w:pStyle w:val="TableParagraph"/>
              <w:spacing w:line="192" w:lineRule="exact" w:before="4"/>
              <w:ind w:left="931"/>
              <w:jc w:val="left"/>
              <w:rPr>
                <w:b/>
                <w:sz w:val="18"/>
              </w:rPr>
            </w:pPr>
            <w:r>
              <w:rPr>
                <w:b/>
                <w:color w:val="FFFFFF"/>
                <w:w w:val="105"/>
                <w:sz w:val="18"/>
              </w:rPr>
              <w:t>Nature of Income</w:t>
            </w:r>
          </w:p>
        </w:tc>
        <w:tc>
          <w:tcPr>
            <w:tcW w:w="3491" w:type="dxa"/>
            <w:tcBorders>
              <w:left w:val="nil"/>
              <w:right w:val="nil"/>
            </w:tcBorders>
            <w:shd w:val="clear" w:color="auto" w:fill="006A4D"/>
          </w:tcPr>
          <w:p>
            <w:pPr>
              <w:pStyle w:val="TableParagraph"/>
              <w:spacing w:line="192" w:lineRule="exact" w:before="4"/>
              <w:ind w:left="1240" w:right="1229"/>
              <w:rPr>
                <w:b/>
                <w:sz w:val="18"/>
              </w:rPr>
            </w:pPr>
            <w:r>
              <w:rPr>
                <w:b/>
                <w:color w:val="FFFFFF"/>
                <w:w w:val="110"/>
                <w:sz w:val="18"/>
              </w:rPr>
              <w:t>Details</w:t>
            </w:r>
          </w:p>
        </w:tc>
        <w:tc>
          <w:tcPr>
            <w:tcW w:w="3460" w:type="dxa"/>
            <w:tcBorders>
              <w:left w:val="nil"/>
              <w:right w:val="nil"/>
            </w:tcBorders>
            <w:shd w:val="clear" w:color="auto" w:fill="006A4D"/>
          </w:tcPr>
          <w:p>
            <w:pPr>
              <w:pStyle w:val="TableParagraph"/>
              <w:spacing w:line="192" w:lineRule="exact" w:before="4"/>
              <w:ind w:left="1455" w:right="1444"/>
              <w:rPr>
                <w:b/>
                <w:sz w:val="18"/>
              </w:rPr>
            </w:pPr>
            <w:r>
              <w:rPr>
                <w:b/>
                <w:color w:val="FFFFFF"/>
                <w:w w:val="105"/>
                <w:sz w:val="18"/>
              </w:rPr>
              <w:t>Units</w:t>
            </w:r>
          </w:p>
        </w:tc>
      </w:tr>
    </w:tbl>
    <w:p>
      <w:pPr>
        <w:tabs>
          <w:tab w:pos="4988" w:val="left" w:leader="none"/>
          <w:tab w:pos="7665" w:val="left" w:leader="none"/>
        </w:tabs>
        <w:spacing w:before="47"/>
        <w:ind w:left="797" w:right="0" w:firstLine="0"/>
        <w:jc w:val="left"/>
        <w:rPr>
          <w:sz w:val="18"/>
        </w:rPr>
      </w:pPr>
      <w:r>
        <w:rPr/>
        <w:pict>
          <v:rect style="position:absolute;margin-left:35.280003pt;margin-top:14.88168pt;width:524.280025pt;height:.719pt;mso-position-horizontal-relative:page;mso-position-vertical-relative:paragraph;z-index:-15412224;mso-wrap-distance-left:0;mso-wrap-distance-right:0" filled="true" fillcolor="#69bd28" stroked="false">
            <v:fill type="solid"/>
            <w10:wrap type="topAndBottom"/>
          </v:rect>
        </w:pict>
      </w:r>
      <w:r>
        <w:rPr>
          <w:sz w:val="18"/>
        </w:rPr>
        <w:t>Bare shell</w:t>
      </w:r>
      <w:r>
        <w:rPr>
          <w:spacing w:val="-42"/>
          <w:sz w:val="18"/>
        </w:rPr>
        <w:t> </w:t>
      </w:r>
      <w:r>
        <w:rPr>
          <w:sz w:val="18"/>
        </w:rPr>
        <w:t>Security</w:t>
      </w:r>
      <w:r>
        <w:rPr>
          <w:spacing w:val="-22"/>
          <w:sz w:val="18"/>
        </w:rPr>
        <w:t> </w:t>
      </w:r>
      <w:r>
        <w:rPr>
          <w:sz w:val="18"/>
        </w:rPr>
        <w:t>Deposit*</w:t>
        <w:tab/>
        <w:t>6</w:t>
      </w:r>
      <w:r>
        <w:rPr>
          <w:spacing w:val="-2"/>
          <w:sz w:val="18"/>
        </w:rPr>
        <w:t> </w:t>
      </w:r>
      <w:r>
        <w:rPr>
          <w:sz w:val="18"/>
        </w:rPr>
        <w:t>months</w:t>
        <w:tab/>
        <w:t>No. of months’ bare shell</w:t>
      </w:r>
      <w:r>
        <w:rPr>
          <w:spacing w:val="-30"/>
          <w:sz w:val="18"/>
        </w:rPr>
        <w:t> </w:t>
      </w:r>
      <w:r>
        <w:rPr>
          <w:sz w:val="18"/>
        </w:rPr>
        <w:t>rent</w:t>
      </w:r>
    </w:p>
    <w:p>
      <w:pPr>
        <w:spacing w:after="0"/>
        <w:jc w:val="left"/>
        <w:rPr>
          <w:sz w:val="18"/>
        </w:rPr>
        <w:sectPr>
          <w:pgSz w:w="11910" w:h="16840"/>
          <w:pgMar w:header="720" w:footer="933" w:top="1660" w:bottom="1120" w:left="600" w:right="520"/>
        </w:sectPr>
      </w:pPr>
    </w:p>
    <w:p>
      <w:pPr>
        <w:pStyle w:val="BodyText"/>
        <w:spacing w:before="4"/>
        <w:rPr>
          <w:sz w:val="18"/>
        </w:rPr>
      </w:pPr>
    </w:p>
    <w:tbl>
      <w:tblPr>
        <w:tblCellSpacing w:w="27" w:type="dxa"/>
        <w:tblW w:w="0" w:type="auto"/>
        <w:jc w:val="left"/>
        <w:tblInd w:w="17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3"/>
        <w:gridCol w:w="3491"/>
        <w:gridCol w:w="3460"/>
      </w:tblGrid>
      <w:tr>
        <w:trPr>
          <w:trHeight w:val="160" w:hRule="atLeast"/>
        </w:trPr>
        <w:tc>
          <w:tcPr>
            <w:tcW w:w="3463" w:type="dxa"/>
            <w:tcBorders>
              <w:left w:val="nil"/>
              <w:right w:val="nil"/>
            </w:tcBorders>
            <w:shd w:val="clear" w:color="auto" w:fill="006A4D"/>
          </w:tcPr>
          <w:p>
            <w:pPr>
              <w:pStyle w:val="TableParagraph"/>
              <w:spacing w:line="192" w:lineRule="exact" w:before="3"/>
              <w:ind w:left="931"/>
              <w:jc w:val="left"/>
              <w:rPr>
                <w:b/>
                <w:sz w:val="18"/>
              </w:rPr>
            </w:pPr>
            <w:r>
              <w:rPr>
                <w:b/>
                <w:color w:val="FFFFFF"/>
                <w:w w:val="105"/>
                <w:sz w:val="18"/>
              </w:rPr>
              <w:t>Nature of Income</w:t>
            </w:r>
          </w:p>
        </w:tc>
        <w:tc>
          <w:tcPr>
            <w:tcW w:w="3491" w:type="dxa"/>
            <w:tcBorders>
              <w:left w:val="nil"/>
              <w:right w:val="nil"/>
            </w:tcBorders>
            <w:shd w:val="clear" w:color="auto" w:fill="006A4D"/>
          </w:tcPr>
          <w:p>
            <w:pPr>
              <w:pStyle w:val="TableParagraph"/>
              <w:spacing w:line="192" w:lineRule="exact" w:before="3"/>
              <w:ind w:left="1240" w:right="1229"/>
              <w:rPr>
                <w:b/>
                <w:sz w:val="18"/>
              </w:rPr>
            </w:pPr>
            <w:r>
              <w:rPr>
                <w:b/>
                <w:color w:val="FFFFFF"/>
                <w:w w:val="110"/>
                <w:sz w:val="18"/>
              </w:rPr>
              <w:t>Details</w:t>
            </w:r>
          </w:p>
        </w:tc>
        <w:tc>
          <w:tcPr>
            <w:tcW w:w="3460" w:type="dxa"/>
            <w:tcBorders>
              <w:left w:val="nil"/>
              <w:right w:val="nil"/>
            </w:tcBorders>
            <w:shd w:val="clear" w:color="auto" w:fill="006A4D"/>
          </w:tcPr>
          <w:p>
            <w:pPr>
              <w:pStyle w:val="TableParagraph"/>
              <w:spacing w:line="192" w:lineRule="exact" w:before="3"/>
              <w:ind w:left="1455" w:right="1444"/>
              <w:rPr>
                <w:b/>
                <w:sz w:val="18"/>
              </w:rPr>
            </w:pPr>
            <w:r>
              <w:rPr>
                <w:b/>
                <w:color w:val="FFFFFF"/>
                <w:w w:val="105"/>
                <w:sz w:val="18"/>
              </w:rPr>
              <w:t>Units</w:t>
            </w:r>
          </w:p>
        </w:tc>
      </w:tr>
    </w:tbl>
    <w:p>
      <w:pPr>
        <w:tabs>
          <w:tab w:pos="5103" w:val="left" w:leader="none"/>
          <w:tab w:pos="8814" w:val="left" w:leader="none"/>
        </w:tabs>
        <w:spacing w:before="44"/>
        <w:ind w:left="619" w:right="0" w:firstLine="0"/>
        <w:jc w:val="both"/>
        <w:rPr>
          <w:sz w:val="18"/>
        </w:rPr>
      </w:pPr>
      <w:r>
        <w:rPr/>
        <w:pict>
          <v:rect style="position:absolute;margin-left:35.280003pt;margin-top:14.851632pt;width:524.280025pt;height:.719pt;mso-position-horizontal-relative:page;mso-position-vertical-relative:paragraph;z-index:-15410688;mso-wrap-distance-left:0;mso-wrap-distance-right:0" filled="true" fillcolor="#69bd28" stroked="false">
            <v:fill type="solid"/>
            <w10:wrap type="topAndBottom"/>
          </v:rect>
        </w:pict>
      </w:r>
      <w:r>
        <w:rPr>
          <w:w w:val="110"/>
          <w:sz w:val="18"/>
        </w:rPr>
        <w:t>Mark-Up</w:t>
      </w:r>
      <w:r>
        <w:rPr>
          <w:spacing w:val="-22"/>
          <w:w w:val="110"/>
          <w:sz w:val="18"/>
        </w:rPr>
        <w:t> </w:t>
      </w:r>
      <w:r>
        <w:rPr>
          <w:w w:val="110"/>
          <w:sz w:val="18"/>
        </w:rPr>
        <w:t>on</w:t>
      </w:r>
      <w:r>
        <w:rPr>
          <w:spacing w:val="-21"/>
          <w:w w:val="110"/>
          <w:sz w:val="18"/>
        </w:rPr>
        <w:t> </w:t>
      </w:r>
      <w:r>
        <w:rPr>
          <w:w w:val="110"/>
          <w:sz w:val="18"/>
        </w:rPr>
        <w:t>CAM/</w:t>
      </w:r>
      <w:r>
        <w:rPr>
          <w:spacing w:val="-22"/>
          <w:w w:val="110"/>
          <w:sz w:val="18"/>
        </w:rPr>
        <w:t> </w:t>
      </w:r>
      <w:r>
        <w:rPr>
          <w:w w:val="110"/>
          <w:sz w:val="18"/>
        </w:rPr>
        <w:t>CAM</w:t>
      </w:r>
      <w:r>
        <w:rPr>
          <w:spacing w:val="-21"/>
          <w:w w:val="110"/>
          <w:sz w:val="18"/>
        </w:rPr>
        <w:t> </w:t>
      </w:r>
      <w:r>
        <w:rPr>
          <w:w w:val="110"/>
          <w:sz w:val="18"/>
        </w:rPr>
        <w:t>margin</w:t>
        <w:tab/>
        <w:t>15.0%</w:t>
        <w:tab/>
        <w:t>%</w:t>
      </w:r>
    </w:p>
    <w:p>
      <w:pPr>
        <w:spacing w:before="0"/>
        <w:ind w:left="120" w:right="0" w:firstLine="0"/>
        <w:jc w:val="left"/>
        <w:rPr>
          <w:i/>
          <w:sz w:val="18"/>
        </w:rPr>
      </w:pPr>
      <w:r>
        <w:rPr>
          <w:i/>
          <w:sz w:val="18"/>
        </w:rPr>
        <w:t>Source: Client’s Inputs &amp; Valuer assessment; *Refunded at the time of lease expiry/exit</w:t>
      </w:r>
    </w:p>
    <w:p>
      <w:pPr>
        <w:pStyle w:val="ListParagraph"/>
        <w:numPr>
          <w:ilvl w:val="2"/>
          <w:numId w:val="14"/>
        </w:numPr>
        <w:tabs>
          <w:tab w:pos="841" w:val="left" w:leader="none"/>
        </w:tabs>
        <w:spacing w:line="240" w:lineRule="auto" w:before="192" w:after="0"/>
        <w:ind w:left="840" w:right="0" w:hanging="721"/>
        <w:jc w:val="both"/>
        <w:rPr>
          <w:sz w:val="22"/>
        </w:rPr>
      </w:pPr>
      <w:bookmarkStart w:name="_bookmark151" w:id="296"/>
      <w:bookmarkEnd w:id="296"/>
      <w:r>
        <w:rPr/>
      </w:r>
      <w:bookmarkStart w:name="_bookmark151" w:id="297"/>
      <w:bookmarkEnd w:id="297"/>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49"/>
        </w:numPr>
        <w:tabs>
          <w:tab w:pos="985" w:val="left" w:leader="none"/>
        </w:tabs>
        <w:spacing w:line="240" w:lineRule="auto" w:before="1" w:after="0"/>
        <w:ind w:left="984" w:right="0" w:hanging="865"/>
        <w:jc w:val="both"/>
        <w:rPr>
          <w:i/>
          <w:sz w:val="20"/>
        </w:rPr>
      </w:pPr>
      <w:r>
        <w:rPr>
          <w:i/>
          <w:color w:val="008000"/>
          <w:sz w:val="20"/>
        </w:rPr>
        <w:t>Major Repairs and</w:t>
      </w:r>
      <w:r>
        <w:rPr>
          <w:i/>
          <w:color w:val="008000"/>
          <w:spacing w:val="-10"/>
          <w:sz w:val="20"/>
        </w:rPr>
        <w:t> </w:t>
      </w:r>
      <w:r>
        <w:rPr>
          <w:i/>
          <w:color w:val="008000"/>
          <w:sz w:val="20"/>
        </w:rPr>
        <w:t>Improvements</w:t>
      </w:r>
    </w:p>
    <w:p>
      <w:pPr>
        <w:pStyle w:val="BodyText"/>
        <w:spacing w:line="321" w:lineRule="auto" w:before="135"/>
        <w:ind w:left="682" w:right="197"/>
        <w:jc w:val="both"/>
      </w:pPr>
      <w:r>
        <w:rPr/>
        <w:t>Based</w:t>
      </w:r>
      <w:r>
        <w:rPr>
          <w:spacing w:val="-23"/>
        </w:rPr>
        <w:t> </w:t>
      </w:r>
      <w:r>
        <w:rPr/>
        <w:t>on</w:t>
      </w:r>
      <w:r>
        <w:rPr>
          <w:spacing w:val="-21"/>
        </w:rPr>
        <w:t> </w:t>
      </w:r>
      <w:r>
        <w:rPr/>
        <w:t>the</w:t>
      </w:r>
      <w:r>
        <w:rPr>
          <w:spacing w:val="-24"/>
        </w:rPr>
        <w:t> </w:t>
      </w:r>
      <w:r>
        <w:rPr/>
        <w:t>information</w:t>
      </w:r>
      <w:r>
        <w:rPr>
          <w:spacing w:val="-21"/>
        </w:rPr>
        <w:t> </w:t>
      </w:r>
      <w:r>
        <w:rPr/>
        <w:t>shared</w:t>
      </w:r>
      <w:r>
        <w:rPr>
          <w:spacing w:val="-23"/>
        </w:rPr>
        <w:t> </w:t>
      </w:r>
      <w:r>
        <w:rPr/>
        <w:t>by</w:t>
      </w:r>
      <w:r>
        <w:rPr>
          <w:spacing w:val="-22"/>
        </w:rPr>
        <w:t> </w:t>
      </w:r>
      <w:r>
        <w:rPr/>
        <w:t>the</w:t>
      </w:r>
      <w:r>
        <w:rPr>
          <w:spacing w:val="-21"/>
        </w:rPr>
        <w:t> </w:t>
      </w:r>
      <w:r>
        <w:rPr/>
        <w:t>Client,</w:t>
      </w:r>
      <w:r>
        <w:rPr>
          <w:spacing w:val="-22"/>
        </w:rPr>
        <w:t> </w:t>
      </w:r>
      <w:r>
        <w:rPr/>
        <w:t>a</w:t>
      </w:r>
      <w:r>
        <w:rPr>
          <w:spacing w:val="-23"/>
        </w:rPr>
        <w:t> </w:t>
      </w:r>
      <w:r>
        <w:rPr/>
        <w:t>total</w:t>
      </w:r>
      <w:r>
        <w:rPr>
          <w:spacing w:val="-22"/>
        </w:rPr>
        <w:t> </w:t>
      </w:r>
      <w:r>
        <w:rPr/>
        <w:t>refurbishment</w:t>
      </w:r>
      <w:r>
        <w:rPr>
          <w:spacing w:val="-23"/>
        </w:rPr>
        <w:t> </w:t>
      </w:r>
      <w:r>
        <w:rPr/>
        <w:t>costs</w:t>
      </w:r>
      <w:r>
        <w:rPr>
          <w:spacing w:val="-21"/>
        </w:rPr>
        <w:t> </w:t>
      </w:r>
      <w:r>
        <w:rPr/>
        <w:t>amounting</w:t>
      </w:r>
      <w:r>
        <w:rPr>
          <w:spacing w:val="-21"/>
        </w:rPr>
        <w:t> </w:t>
      </w:r>
      <w:r>
        <w:rPr/>
        <w:t>to</w:t>
      </w:r>
      <w:r>
        <w:rPr>
          <w:spacing w:val="-23"/>
        </w:rPr>
        <w:t> </w:t>
      </w:r>
      <w:r>
        <w:rPr/>
        <w:t>INR</w:t>
      </w:r>
      <w:r>
        <w:rPr>
          <w:spacing w:val="-22"/>
        </w:rPr>
        <w:t> </w:t>
      </w:r>
      <w:r>
        <w:rPr/>
        <w:t>65</w:t>
      </w:r>
      <w:r>
        <w:rPr>
          <w:spacing w:val="-22"/>
        </w:rPr>
        <w:t> </w:t>
      </w:r>
      <w:r>
        <w:rPr/>
        <w:t>Mn</w:t>
      </w:r>
      <w:r>
        <w:rPr>
          <w:spacing w:val="-22"/>
        </w:rPr>
        <w:t> </w:t>
      </w:r>
      <w:r>
        <w:rPr/>
        <w:t>is</w:t>
      </w:r>
      <w:r>
        <w:rPr>
          <w:spacing w:val="-20"/>
        </w:rPr>
        <w:t> </w:t>
      </w:r>
      <w:r>
        <w:rPr/>
        <w:t>to be incurred in the next 4 quarters. The same has been considered for the purpose of this valuation exercise.</w:t>
      </w:r>
    </w:p>
    <w:p>
      <w:pPr>
        <w:pStyle w:val="ListParagraph"/>
        <w:numPr>
          <w:ilvl w:val="3"/>
          <w:numId w:val="49"/>
        </w:numPr>
        <w:tabs>
          <w:tab w:pos="985" w:val="left" w:leader="none"/>
        </w:tabs>
        <w:spacing w:line="240" w:lineRule="auto" w:before="210" w:after="0"/>
        <w:ind w:left="984" w:right="0" w:hanging="865"/>
        <w:jc w:val="both"/>
        <w:rPr>
          <w:i/>
          <w:sz w:val="20"/>
        </w:rPr>
      </w:pPr>
      <w:r>
        <w:rPr>
          <w:i/>
          <w:color w:val="008000"/>
          <w:sz w:val="20"/>
        </w:rPr>
        <w:t>Other</w:t>
      </w:r>
      <w:r>
        <w:rPr>
          <w:i/>
          <w:color w:val="008000"/>
          <w:spacing w:val="-4"/>
          <w:sz w:val="20"/>
        </w:rPr>
        <w:t> </w:t>
      </w:r>
      <w:r>
        <w:rPr>
          <w:i/>
          <w:color w:val="008000"/>
          <w:sz w:val="20"/>
        </w:rPr>
        <w:t>Expenses</w:t>
      </w:r>
    </w:p>
    <w:p>
      <w:pPr>
        <w:pStyle w:val="BodyText"/>
        <w:spacing w:before="76"/>
        <w:ind w:left="660"/>
        <w:jc w:val="both"/>
      </w:pPr>
      <w:r>
        <w:rPr/>
        <w:t>The following table highlights the assumptions towards other expenses in the subject development:</w:t>
      </w:r>
    </w:p>
    <w:p>
      <w:pPr>
        <w:pStyle w:val="BodyText"/>
        <w:spacing w:before="5"/>
        <w:rPr>
          <w:sz w:val="28"/>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42"/>
        <w:gridCol w:w="2316"/>
        <w:gridCol w:w="3528"/>
      </w:tblGrid>
      <w:tr>
        <w:trPr>
          <w:trHeight w:val="287" w:hRule="atLeast"/>
        </w:trPr>
        <w:tc>
          <w:tcPr>
            <w:tcW w:w="4642" w:type="dxa"/>
            <w:tcBorders>
              <w:top w:val="single" w:sz="6" w:space="0" w:color="69BD28"/>
              <w:bottom w:val="single" w:sz="6" w:space="0" w:color="69BD28"/>
            </w:tcBorders>
            <w:shd w:val="clear" w:color="auto" w:fill="006A4D"/>
          </w:tcPr>
          <w:p>
            <w:pPr>
              <w:pStyle w:val="TableParagraph"/>
              <w:spacing w:before="28"/>
              <w:ind w:left="929" w:right="864"/>
              <w:rPr>
                <w:sz w:val="20"/>
              </w:rPr>
            </w:pPr>
            <w:r>
              <w:rPr>
                <w:color w:val="FFFFFF"/>
                <w:sz w:val="20"/>
              </w:rPr>
              <w:t>Nature of Expense</w:t>
            </w:r>
          </w:p>
        </w:tc>
        <w:tc>
          <w:tcPr>
            <w:tcW w:w="2316" w:type="dxa"/>
            <w:tcBorders>
              <w:top w:val="single" w:sz="6" w:space="0" w:color="69BD28"/>
              <w:bottom w:val="single" w:sz="6" w:space="0" w:color="69BD28"/>
            </w:tcBorders>
            <w:shd w:val="clear" w:color="auto" w:fill="006A4D"/>
          </w:tcPr>
          <w:p>
            <w:pPr>
              <w:pStyle w:val="TableParagraph"/>
              <w:spacing w:before="28"/>
              <w:ind w:left="166" w:right="74"/>
              <w:rPr>
                <w:sz w:val="20"/>
              </w:rPr>
            </w:pPr>
            <w:r>
              <w:rPr>
                <w:color w:val="FFFFFF"/>
                <w:sz w:val="20"/>
              </w:rPr>
              <w:t>Details</w:t>
            </w:r>
          </w:p>
        </w:tc>
        <w:tc>
          <w:tcPr>
            <w:tcW w:w="3528" w:type="dxa"/>
            <w:tcBorders>
              <w:top w:val="single" w:sz="6" w:space="0" w:color="69BD28"/>
              <w:bottom w:val="single" w:sz="6" w:space="0" w:color="69BD28"/>
            </w:tcBorders>
            <w:shd w:val="clear" w:color="auto" w:fill="006A4D"/>
          </w:tcPr>
          <w:p>
            <w:pPr>
              <w:pStyle w:val="TableParagraph"/>
              <w:spacing w:before="4"/>
              <w:ind w:left="783" w:right="745"/>
              <w:rPr>
                <w:sz w:val="20"/>
              </w:rPr>
            </w:pPr>
            <w:r>
              <w:rPr>
                <w:color w:val="FFFFFF"/>
                <w:sz w:val="20"/>
              </w:rPr>
              <w:t>Basis</w:t>
            </w:r>
          </w:p>
        </w:tc>
      </w:tr>
      <w:tr>
        <w:trPr>
          <w:trHeight w:val="297" w:hRule="atLeast"/>
        </w:trPr>
        <w:tc>
          <w:tcPr>
            <w:tcW w:w="4642" w:type="dxa"/>
            <w:tcBorders>
              <w:top w:val="single" w:sz="6" w:space="0" w:color="69BD28"/>
              <w:bottom w:val="single" w:sz="6" w:space="0" w:color="69BD28"/>
            </w:tcBorders>
          </w:tcPr>
          <w:p>
            <w:pPr>
              <w:pStyle w:val="TableParagraph"/>
              <w:spacing w:before="44"/>
              <w:ind w:left="930" w:right="864"/>
              <w:rPr>
                <w:sz w:val="18"/>
              </w:rPr>
            </w:pPr>
            <w:r>
              <w:rPr>
                <w:sz w:val="18"/>
              </w:rPr>
              <w:t>Opex projects and admin expenses</w:t>
            </w:r>
          </w:p>
        </w:tc>
        <w:tc>
          <w:tcPr>
            <w:tcW w:w="2316" w:type="dxa"/>
            <w:tcBorders>
              <w:top w:val="single" w:sz="6" w:space="0" w:color="69BD28"/>
              <w:bottom w:val="single" w:sz="6" w:space="0" w:color="69BD28"/>
            </w:tcBorders>
          </w:tcPr>
          <w:p>
            <w:pPr>
              <w:pStyle w:val="TableParagraph"/>
              <w:spacing w:before="44"/>
              <w:ind w:left="163" w:right="74"/>
              <w:rPr>
                <w:sz w:val="18"/>
              </w:rPr>
            </w:pPr>
            <w:r>
              <w:rPr>
                <w:w w:val="110"/>
                <w:sz w:val="18"/>
              </w:rPr>
              <w:t>1.0%</w:t>
            </w:r>
          </w:p>
        </w:tc>
        <w:tc>
          <w:tcPr>
            <w:tcW w:w="3528" w:type="dxa"/>
            <w:tcBorders>
              <w:top w:val="single" w:sz="6" w:space="0" w:color="69BD28"/>
              <w:bottom w:val="single" w:sz="6" w:space="0" w:color="69BD28"/>
            </w:tcBorders>
          </w:tcPr>
          <w:p>
            <w:pPr>
              <w:pStyle w:val="TableParagraph"/>
              <w:spacing w:before="44"/>
              <w:ind w:left="783" w:right="743"/>
              <w:rPr>
                <w:sz w:val="18"/>
              </w:rPr>
            </w:pPr>
            <w:r>
              <w:rPr>
                <w:sz w:val="18"/>
              </w:rPr>
              <w:t>% of total income</w:t>
            </w:r>
          </w:p>
        </w:tc>
      </w:tr>
      <w:tr>
        <w:trPr>
          <w:trHeight w:val="294" w:hRule="atLeast"/>
        </w:trPr>
        <w:tc>
          <w:tcPr>
            <w:tcW w:w="4642" w:type="dxa"/>
            <w:tcBorders>
              <w:top w:val="single" w:sz="6" w:space="0" w:color="69BD28"/>
              <w:bottom w:val="single" w:sz="6" w:space="0" w:color="69BD28"/>
            </w:tcBorders>
          </w:tcPr>
          <w:p>
            <w:pPr>
              <w:pStyle w:val="TableParagraph"/>
              <w:spacing w:before="44"/>
              <w:ind w:left="930" w:right="857"/>
              <w:rPr>
                <w:sz w:val="18"/>
              </w:rPr>
            </w:pPr>
            <w:r>
              <w:rPr>
                <w:w w:val="103"/>
                <w:sz w:val="18"/>
              </w:rPr>
              <w:t>A</w:t>
            </w:r>
            <w:r>
              <w:rPr>
                <w:spacing w:val="1"/>
                <w:w w:val="103"/>
                <w:sz w:val="18"/>
              </w:rPr>
              <w:t>s</w:t>
            </w:r>
            <w:r>
              <w:rPr>
                <w:w w:val="100"/>
                <w:sz w:val="18"/>
              </w:rPr>
              <w:t>s</w:t>
            </w:r>
            <w:r>
              <w:rPr>
                <w:w w:val="94"/>
                <w:sz w:val="18"/>
              </w:rPr>
              <w:t>e</w:t>
            </w:r>
            <w:r>
              <w:rPr>
                <w:w w:val="65"/>
                <w:sz w:val="18"/>
              </w:rPr>
              <w:t>t</w:t>
            </w:r>
            <w:r>
              <w:rPr>
                <w:spacing w:val="-3"/>
                <w:sz w:val="18"/>
              </w:rPr>
              <w:t> </w:t>
            </w:r>
            <w:r>
              <w:rPr>
                <w:w w:val="113"/>
                <w:sz w:val="18"/>
              </w:rPr>
              <w:t>M</w:t>
            </w:r>
            <w:r>
              <w:rPr>
                <w:spacing w:val="-2"/>
                <w:w w:val="113"/>
                <w:sz w:val="18"/>
              </w:rPr>
              <w:t>a</w:t>
            </w:r>
            <w:r>
              <w:rPr>
                <w:w w:val="101"/>
                <w:sz w:val="18"/>
              </w:rPr>
              <w:t>n</w:t>
            </w:r>
            <w:r>
              <w:rPr>
                <w:w w:val="108"/>
                <w:sz w:val="18"/>
              </w:rPr>
              <w:t>a</w:t>
            </w:r>
            <w:r>
              <w:rPr>
                <w:spacing w:val="-2"/>
                <w:w w:val="113"/>
                <w:sz w:val="18"/>
              </w:rPr>
              <w:t>g</w:t>
            </w:r>
            <w:r>
              <w:rPr>
                <w:w w:val="94"/>
                <w:sz w:val="18"/>
              </w:rPr>
              <w:t>e</w:t>
            </w:r>
            <w:r>
              <w:rPr>
                <w:w w:val="102"/>
                <w:sz w:val="18"/>
              </w:rPr>
              <w:t>m</w:t>
            </w:r>
            <w:r>
              <w:rPr>
                <w:spacing w:val="-2"/>
                <w:w w:val="94"/>
                <w:sz w:val="18"/>
              </w:rPr>
              <w:t>e</w:t>
            </w:r>
            <w:r>
              <w:rPr>
                <w:w w:val="101"/>
                <w:sz w:val="18"/>
              </w:rPr>
              <w:t>n</w:t>
            </w:r>
            <w:r>
              <w:rPr>
                <w:w w:val="65"/>
                <w:sz w:val="18"/>
              </w:rPr>
              <w:t>t</w:t>
            </w:r>
            <w:r>
              <w:rPr>
                <w:spacing w:val="-3"/>
                <w:sz w:val="18"/>
              </w:rPr>
              <w:t> </w:t>
            </w:r>
            <w:r>
              <w:rPr>
                <w:w w:val="95"/>
                <w:sz w:val="18"/>
              </w:rPr>
              <w:t>Fe</w:t>
            </w:r>
            <w:r>
              <w:rPr>
                <w:spacing w:val="3"/>
                <w:w w:val="94"/>
                <w:sz w:val="18"/>
              </w:rPr>
              <w:t>e</w:t>
            </w:r>
            <w:r>
              <w:rPr>
                <w:w w:val="190"/>
                <w:sz w:val="18"/>
              </w:rPr>
              <w:t>^</w:t>
            </w:r>
          </w:p>
        </w:tc>
        <w:tc>
          <w:tcPr>
            <w:tcW w:w="2316" w:type="dxa"/>
            <w:tcBorders>
              <w:top w:val="single" w:sz="6" w:space="0" w:color="69BD28"/>
              <w:bottom w:val="single" w:sz="6" w:space="0" w:color="69BD28"/>
            </w:tcBorders>
          </w:tcPr>
          <w:p>
            <w:pPr>
              <w:pStyle w:val="TableParagraph"/>
              <w:spacing w:before="44"/>
              <w:ind w:left="163" w:right="74"/>
              <w:rPr>
                <w:sz w:val="18"/>
              </w:rPr>
            </w:pPr>
            <w:r>
              <w:rPr>
                <w:w w:val="110"/>
                <w:sz w:val="18"/>
              </w:rPr>
              <w:t>3.0%</w:t>
            </w:r>
          </w:p>
        </w:tc>
        <w:tc>
          <w:tcPr>
            <w:tcW w:w="3528" w:type="dxa"/>
            <w:tcBorders>
              <w:top w:val="single" w:sz="6" w:space="0" w:color="69BD28"/>
              <w:bottom w:val="single" w:sz="6" w:space="0" w:color="69BD28"/>
            </w:tcBorders>
          </w:tcPr>
          <w:p>
            <w:pPr>
              <w:pStyle w:val="TableParagraph"/>
              <w:spacing w:before="44"/>
              <w:ind w:left="783" w:right="745"/>
              <w:rPr>
                <w:sz w:val="18"/>
              </w:rPr>
            </w:pPr>
            <w:r>
              <w:rPr>
                <w:sz w:val="18"/>
              </w:rPr>
              <w:t>% of gross rental income</w:t>
            </w:r>
          </w:p>
        </w:tc>
      </w:tr>
      <w:tr>
        <w:trPr>
          <w:trHeight w:val="296" w:hRule="atLeast"/>
        </w:trPr>
        <w:tc>
          <w:tcPr>
            <w:tcW w:w="4642" w:type="dxa"/>
            <w:tcBorders>
              <w:top w:val="single" w:sz="6" w:space="0" w:color="69BD28"/>
              <w:bottom w:val="single" w:sz="6" w:space="0" w:color="69BD28"/>
            </w:tcBorders>
          </w:tcPr>
          <w:p>
            <w:pPr>
              <w:pStyle w:val="TableParagraph"/>
              <w:spacing w:before="44"/>
              <w:ind w:left="930" w:right="861"/>
              <w:rPr>
                <w:sz w:val="18"/>
              </w:rPr>
            </w:pPr>
            <w:r>
              <w:rPr>
                <w:sz w:val="18"/>
              </w:rPr>
              <w:t>Transaction cost on Exit</w:t>
            </w:r>
          </w:p>
        </w:tc>
        <w:tc>
          <w:tcPr>
            <w:tcW w:w="2316" w:type="dxa"/>
            <w:tcBorders>
              <w:top w:val="single" w:sz="6" w:space="0" w:color="69BD28"/>
              <w:bottom w:val="single" w:sz="6" w:space="0" w:color="69BD28"/>
            </w:tcBorders>
          </w:tcPr>
          <w:p>
            <w:pPr>
              <w:pStyle w:val="TableParagraph"/>
              <w:spacing w:before="44"/>
              <w:ind w:left="163" w:right="74"/>
              <w:rPr>
                <w:sz w:val="18"/>
              </w:rPr>
            </w:pPr>
            <w:r>
              <w:rPr>
                <w:w w:val="110"/>
                <w:sz w:val="18"/>
              </w:rPr>
              <w:t>1.0%</w:t>
            </w:r>
          </w:p>
        </w:tc>
        <w:tc>
          <w:tcPr>
            <w:tcW w:w="3528" w:type="dxa"/>
            <w:tcBorders>
              <w:top w:val="single" w:sz="6" w:space="0" w:color="69BD28"/>
              <w:bottom w:val="single" w:sz="6" w:space="0" w:color="69BD28"/>
            </w:tcBorders>
          </w:tcPr>
          <w:p>
            <w:pPr>
              <w:pStyle w:val="TableParagraph"/>
              <w:spacing w:before="44"/>
              <w:ind w:left="783" w:right="744"/>
              <w:rPr>
                <w:sz w:val="18"/>
              </w:rPr>
            </w:pPr>
            <w:r>
              <w:rPr>
                <w:sz w:val="18"/>
              </w:rPr>
              <w:t>% of terminal value</w:t>
            </w:r>
          </w:p>
        </w:tc>
      </w:tr>
    </w:tbl>
    <w:p>
      <w:pPr>
        <w:spacing w:before="116"/>
        <w:ind w:left="120" w:right="0" w:firstLine="0"/>
        <w:jc w:val="left"/>
        <w:rPr>
          <w:i/>
          <w:sz w:val="18"/>
        </w:rPr>
      </w:pPr>
      <w:r>
        <w:rPr>
          <w:i/>
          <w:sz w:val="18"/>
        </w:rPr>
        <w:t>Source: Client Input; Valuer assessment</w:t>
      </w:r>
    </w:p>
    <w:p>
      <w:pPr>
        <w:spacing w:before="72"/>
        <w:ind w:left="120" w:right="0" w:firstLine="0"/>
        <w:jc w:val="left"/>
        <w:rPr>
          <w:i/>
          <w:sz w:val="18"/>
        </w:rPr>
      </w:pPr>
      <w:r>
        <w:rPr>
          <w:i/>
          <w:w w:val="160"/>
          <w:sz w:val="18"/>
        </w:rPr>
        <w:t>^ </w:t>
      </w:r>
      <w:r>
        <w:rPr>
          <w:i/>
          <w:w w:val="105"/>
          <w:sz w:val="18"/>
        </w:rPr>
        <w:t>Asset Management fee has been considered a below the NOI line item</w:t>
      </w:r>
    </w:p>
    <w:p>
      <w:pPr>
        <w:pStyle w:val="ListParagraph"/>
        <w:numPr>
          <w:ilvl w:val="2"/>
          <w:numId w:val="14"/>
        </w:numPr>
        <w:tabs>
          <w:tab w:pos="841" w:val="left" w:leader="none"/>
        </w:tabs>
        <w:spacing w:line="240" w:lineRule="auto" w:before="193" w:after="0"/>
        <w:ind w:left="840" w:right="0" w:hanging="721"/>
        <w:jc w:val="both"/>
        <w:rPr>
          <w:sz w:val="22"/>
        </w:rPr>
      </w:pPr>
      <w:bookmarkStart w:name="_bookmark152" w:id="298"/>
      <w:bookmarkEnd w:id="298"/>
      <w:r>
        <w:rPr/>
      </w:r>
      <w:bookmarkStart w:name="_bookmark152" w:id="299"/>
      <w:bookmarkEnd w:id="299"/>
      <w:r>
        <w:rPr>
          <w:color w:val="1F664D"/>
          <w:w w:val="105"/>
          <w:sz w:val="22"/>
        </w:rPr>
        <w:t>O</w:t>
      </w:r>
      <w:r>
        <w:rPr>
          <w:color w:val="1F664D"/>
          <w:w w:val="105"/>
          <w:sz w:val="22"/>
        </w:rPr>
        <w:t>ther</w:t>
      </w:r>
      <w:r>
        <w:rPr>
          <w:color w:val="1F664D"/>
          <w:spacing w:val="-7"/>
          <w:w w:val="105"/>
          <w:sz w:val="22"/>
        </w:rPr>
        <w:t> </w:t>
      </w:r>
      <w:r>
        <w:rPr>
          <w:color w:val="1F664D"/>
          <w:w w:val="105"/>
          <w:sz w:val="22"/>
        </w:rPr>
        <w:t>Assumptions</w:t>
      </w:r>
    </w:p>
    <w:p>
      <w:pPr>
        <w:pStyle w:val="BodyText"/>
        <w:spacing w:before="4"/>
        <w:rPr>
          <w:sz w:val="25"/>
        </w:rPr>
      </w:pPr>
    </w:p>
    <w:p>
      <w:pPr>
        <w:pStyle w:val="ListParagraph"/>
        <w:numPr>
          <w:ilvl w:val="3"/>
          <w:numId w:val="50"/>
        </w:numPr>
        <w:tabs>
          <w:tab w:pos="985" w:val="left" w:leader="none"/>
        </w:tabs>
        <w:spacing w:line="240" w:lineRule="auto" w:before="0" w:after="0"/>
        <w:ind w:left="984" w:right="0" w:hanging="865"/>
        <w:jc w:val="both"/>
        <w:rPr>
          <w:i/>
          <w:sz w:val="20"/>
        </w:rPr>
      </w:pPr>
      <w:r>
        <w:rPr>
          <w:i/>
          <w:color w:val="008000"/>
          <w:sz w:val="20"/>
        </w:rPr>
        <w:t>Vacancy</w:t>
      </w:r>
      <w:r>
        <w:rPr>
          <w:i/>
          <w:color w:val="008000"/>
          <w:spacing w:val="-4"/>
          <w:sz w:val="20"/>
        </w:rPr>
        <w:t> </w:t>
      </w:r>
      <w:r>
        <w:rPr>
          <w:i/>
          <w:color w:val="008000"/>
          <w:sz w:val="20"/>
        </w:rPr>
        <w:t>provision</w:t>
      </w:r>
    </w:p>
    <w:p>
      <w:pPr>
        <w:pStyle w:val="BodyText"/>
        <w:spacing w:line="321" w:lineRule="auto" w:before="76"/>
        <w:ind w:left="682" w:right="196"/>
        <w:jc w:val="both"/>
      </w:pPr>
      <w:r>
        <w:rPr/>
        <w:t>Based</w:t>
      </w:r>
      <w:r>
        <w:rPr>
          <w:spacing w:val="-43"/>
        </w:rPr>
        <w:t> </w:t>
      </w:r>
      <w:r>
        <w:rPr/>
        <w:t>on</w:t>
      </w:r>
      <w:r>
        <w:rPr>
          <w:spacing w:val="-43"/>
        </w:rPr>
        <w:t> </w:t>
      </w:r>
      <w:r>
        <w:rPr/>
        <w:t>the</w:t>
      </w:r>
      <w:r>
        <w:rPr>
          <w:spacing w:val="-43"/>
        </w:rPr>
        <w:t> </w:t>
      </w:r>
      <w:r>
        <w:rPr/>
        <w:t>prevailing</w:t>
      </w:r>
      <w:r>
        <w:rPr>
          <w:spacing w:val="-43"/>
        </w:rPr>
        <w:t> </w:t>
      </w:r>
      <w:r>
        <w:rPr/>
        <w:t>market</w:t>
      </w:r>
      <w:r>
        <w:rPr>
          <w:spacing w:val="-42"/>
        </w:rPr>
        <w:t> </w:t>
      </w:r>
      <w:r>
        <w:rPr/>
        <w:t>benchmarks,</w:t>
      </w:r>
      <w:r>
        <w:rPr>
          <w:spacing w:val="-43"/>
        </w:rPr>
        <w:t> </w:t>
      </w:r>
      <w:r>
        <w:rPr/>
        <w:t>historical</w:t>
      </w:r>
      <w:r>
        <w:rPr>
          <w:spacing w:val="-43"/>
        </w:rPr>
        <w:t> </w:t>
      </w:r>
      <w:r>
        <w:rPr/>
        <w:t>&amp;</w:t>
      </w:r>
      <w:r>
        <w:rPr>
          <w:spacing w:val="-42"/>
        </w:rPr>
        <w:t> </w:t>
      </w:r>
      <w:r>
        <w:rPr/>
        <w:t>current</w:t>
      </w:r>
      <w:r>
        <w:rPr>
          <w:spacing w:val="-43"/>
        </w:rPr>
        <w:t> </w:t>
      </w:r>
      <w:r>
        <w:rPr/>
        <w:t>occupancy</w:t>
      </w:r>
      <w:r>
        <w:rPr>
          <w:spacing w:val="-42"/>
        </w:rPr>
        <w:t> </w:t>
      </w:r>
      <w:r>
        <w:rPr/>
        <w:t>for</w:t>
      </w:r>
      <w:r>
        <w:rPr>
          <w:spacing w:val="-43"/>
        </w:rPr>
        <w:t> </w:t>
      </w:r>
      <w:r>
        <w:rPr/>
        <w:t>the</w:t>
      </w:r>
      <w:r>
        <w:rPr>
          <w:spacing w:val="-43"/>
        </w:rPr>
        <w:t> </w:t>
      </w:r>
      <w:r>
        <w:rPr/>
        <w:t>subject</w:t>
      </w:r>
      <w:r>
        <w:rPr>
          <w:spacing w:val="-43"/>
        </w:rPr>
        <w:t> </w:t>
      </w:r>
      <w:r>
        <w:rPr/>
        <w:t>property,</w:t>
      </w:r>
      <w:r>
        <w:rPr>
          <w:spacing w:val="-43"/>
        </w:rPr>
        <w:t> </w:t>
      </w:r>
      <w:r>
        <w:rPr/>
        <w:t>etc. a</w:t>
      </w:r>
      <w:r>
        <w:rPr>
          <w:spacing w:val="-5"/>
        </w:rPr>
        <w:t> </w:t>
      </w:r>
      <w:r>
        <w:rPr/>
        <w:t>vacancy</w:t>
      </w:r>
      <w:r>
        <w:rPr>
          <w:spacing w:val="-4"/>
        </w:rPr>
        <w:t> </w:t>
      </w:r>
      <w:r>
        <w:rPr/>
        <w:t>provision</w:t>
      </w:r>
      <w:r>
        <w:rPr>
          <w:spacing w:val="-6"/>
        </w:rPr>
        <w:t> </w:t>
      </w:r>
      <w:r>
        <w:rPr/>
        <w:t>of</w:t>
      </w:r>
      <w:r>
        <w:rPr>
          <w:spacing w:val="-4"/>
        </w:rPr>
        <w:t> </w:t>
      </w:r>
      <w:r>
        <w:rPr/>
        <w:t>2.5%</w:t>
      </w:r>
      <w:r>
        <w:rPr>
          <w:spacing w:val="-4"/>
        </w:rPr>
        <w:t> </w:t>
      </w:r>
      <w:r>
        <w:rPr/>
        <w:t>has</w:t>
      </w:r>
      <w:r>
        <w:rPr>
          <w:spacing w:val="-4"/>
        </w:rPr>
        <w:t> </w:t>
      </w:r>
      <w:r>
        <w:rPr/>
        <w:t>been</w:t>
      </w:r>
      <w:r>
        <w:rPr>
          <w:spacing w:val="-6"/>
        </w:rPr>
        <w:t> </w:t>
      </w:r>
      <w:r>
        <w:rPr/>
        <w:t>adopted</w:t>
      </w:r>
      <w:r>
        <w:rPr>
          <w:spacing w:val="-5"/>
        </w:rPr>
        <w:t> </w:t>
      </w:r>
      <w:r>
        <w:rPr/>
        <w:t>upon</w:t>
      </w:r>
      <w:r>
        <w:rPr>
          <w:spacing w:val="-5"/>
        </w:rPr>
        <w:t> </w:t>
      </w:r>
      <w:r>
        <w:rPr/>
        <w:t>assessment</w:t>
      </w:r>
      <w:r>
        <w:rPr>
          <w:spacing w:val="-5"/>
        </w:rPr>
        <w:t> </w:t>
      </w:r>
      <w:r>
        <w:rPr/>
        <w:t>of</w:t>
      </w:r>
      <w:r>
        <w:rPr>
          <w:spacing w:val="-4"/>
        </w:rPr>
        <w:t> </w:t>
      </w:r>
      <w:r>
        <w:rPr/>
        <w:t>terminal</w:t>
      </w:r>
      <w:r>
        <w:rPr>
          <w:spacing w:val="-5"/>
        </w:rPr>
        <w:t> </w:t>
      </w:r>
      <w:r>
        <w:rPr/>
        <w:t>value</w:t>
      </w:r>
    </w:p>
    <w:p>
      <w:pPr>
        <w:pStyle w:val="BodyText"/>
        <w:spacing w:before="3"/>
        <w:rPr>
          <w:sz w:val="23"/>
        </w:rPr>
      </w:pPr>
    </w:p>
    <w:p>
      <w:pPr>
        <w:pStyle w:val="ListParagraph"/>
        <w:numPr>
          <w:ilvl w:val="3"/>
          <w:numId w:val="50"/>
        </w:numPr>
        <w:tabs>
          <w:tab w:pos="985" w:val="left" w:leader="none"/>
        </w:tabs>
        <w:spacing w:line="240" w:lineRule="auto" w:before="0" w:after="0"/>
        <w:ind w:left="984" w:right="0" w:hanging="865"/>
        <w:jc w:val="both"/>
        <w:rPr>
          <w:i/>
          <w:sz w:val="20"/>
        </w:rPr>
      </w:pPr>
      <w:r>
        <w:rPr>
          <w:i/>
          <w:color w:val="008000"/>
          <w:sz w:val="20"/>
        </w:rPr>
        <w:t>Revenue</w:t>
      </w:r>
      <w:r>
        <w:rPr>
          <w:i/>
          <w:color w:val="008000"/>
          <w:spacing w:val="-4"/>
          <w:sz w:val="20"/>
        </w:rPr>
        <w:t> </w:t>
      </w:r>
      <w:r>
        <w:rPr>
          <w:i/>
          <w:color w:val="008000"/>
          <w:sz w:val="20"/>
        </w:rPr>
        <w:t>escalation</w:t>
      </w:r>
    </w:p>
    <w:p>
      <w:pPr>
        <w:pStyle w:val="BodyText"/>
        <w:spacing w:line="321" w:lineRule="auto" w:before="76"/>
        <w:ind w:left="660" w:right="195"/>
        <w:jc w:val="both"/>
      </w:pPr>
      <w:r>
        <w:rPr/>
        <w:t>Based</w:t>
      </w:r>
      <w:r>
        <w:rPr>
          <w:spacing w:val="-43"/>
        </w:rPr>
        <w:t> </w:t>
      </w:r>
      <w:r>
        <w:rPr/>
        <w:t>on</w:t>
      </w:r>
      <w:r>
        <w:rPr>
          <w:spacing w:val="-42"/>
        </w:rPr>
        <w:t> </w:t>
      </w:r>
      <w:r>
        <w:rPr/>
        <w:t>prevailing</w:t>
      </w:r>
      <w:r>
        <w:rPr>
          <w:spacing w:val="-41"/>
        </w:rPr>
        <w:t> </w:t>
      </w:r>
      <w:r>
        <w:rPr/>
        <w:t>market</w:t>
      </w:r>
      <w:r>
        <w:rPr>
          <w:spacing w:val="-42"/>
        </w:rPr>
        <w:t> </w:t>
      </w:r>
      <w:r>
        <w:rPr/>
        <w:t>condition,</w:t>
      </w:r>
      <w:r>
        <w:rPr>
          <w:spacing w:val="-42"/>
        </w:rPr>
        <w:t> </w:t>
      </w:r>
      <w:r>
        <w:rPr/>
        <w:t>historical</w:t>
      </w:r>
      <w:r>
        <w:rPr>
          <w:spacing w:val="-41"/>
        </w:rPr>
        <w:t> </w:t>
      </w:r>
      <w:r>
        <w:rPr/>
        <w:t>market</w:t>
      </w:r>
      <w:r>
        <w:rPr>
          <w:spacing w:val="-42"/>
        </w:rPr>
        <w:t> </w:t>
      </w:r>
      <w:r>
        <w:rPr/>
        <w:t>rent</w:t>
      </w:r>
      <w:r>
        <w:rPr>
          <w:spacing w:val="-41"/>
        </w:rPr>
        <w:t> </w:t>
      </w:r>
      <w:r>
        <w:rPr/>
        <w:t>growth</w:t>
      </w:r>
      <w:r>
        <w:rPr>
          <w:spacing w:val="-42"/>
        </w:rPr>
        <w:t> </w:t>
      </w:r>
      <w:r>
        <w:rPr/>
        <w:t>achieved</w:t>
      </w:r>
      <w:r>
        <w:rPr>
          <w:spacing w:val="-42"/>
        </w:rPr>
        <w:t> </w:t>
      </w:r>
      <w:r>
        <w:rPr/>
        <w:t>by</w:t>
      </w:r>
      <w:r>
        <w:rPr>
          <w:spacing w:val="-41"/>
        </w:rPr>
        <w:t> </w:t>
      </w:r>
      <w:r>
        <w:rPr/>
        <w:t>the</w:t>
      </w:r>
      <w:r>
        <w:rPr>
          <w:spacing w:val="-43"/>
        </w:rPr>
        <w:t> </w:t>
      </w:r>
      <w:r>
        <w:rPr/>
        <w:t>subject</w:t>
      </w:r>
      <w:r>
        <w:rPr>
          <w:spacing w:val="-41"/>
        </w:rPr>
        <w:t> </w:t>
      </w:r>
      <w:r>
        <w:rPr/>
        <w:t>property</w:t>
      </w:r>
      <w:r>
        <w:rPr>
          <w:spacing w:val="-42"/>
        </w:rPr>
        <w:t> </w:t>
      </w:r>
      <w:r>
        <w:rPr>
          <w:spacing w:val="-2"/>
        </w:rPr>
        <w:t>and </w:t>
      </w:r>
      <w:r>
        <w:rPr/>
        <w:t>our</w:t>
      </w:r>
      <w:r>
        <w:rPr>
          <w:spacing w:val="-47"/>
        </w:rPr>
        <w:t> </w:t>
      </w:r>
      <w:r>
        <w:rPr/>
        <w:t>interactions</w:t>
      </w:r>
      <w:r>
        <w:rPr>
          <w:spacing w:val="-46"/>
        </w:rPr>
        <w:t> </w:t>
      </w:r>
      <w:r>
        <w:rPr/>
        <w:t>with</w:t>
      </w:r>
      <w:r>
        <w:rPr>
          <w:spacing w:val="-47"/>
        </w:rPr>
        <w:t> </w:t>
      </w:r>
      <w:r>
        <w:rPr/>
        <w:t>market</w:t>
      </w:r>
      <w:r>
        <w:rPr>
          <w:spacing w:val="-46"/>
        </w:rPr>
        <w:t> </w:t>
      </w:r>
      <w:r>
        <w:rPr/>
        <w:t>participants,</w:t>
      </w:r>
      <w:r>
        <w:rPr>
          <w:spacing w:val="-47"/>
        </w:rPr>
        <w:t> </w:t>
      </w:r>
      <w:r>
        <w:rPr/>
        <w:t>we</w:t>
      </w:r>
      <w:r>
        <w:rPr>
          <w:spacing w:val="-47"/>
        </w:rPr>
        <w:t> </w:t>
      </w:r>
      <w:r>
        <w:rPr/>
        <w:t>are</w:t>
      </w:r>
      <w:r>
        <w:rPr>
          <w:spacing w:val="-47"/>
        </w:rPr>
        <w:t> </w:t>
      </w:r>
      <w:r>
        <w:rPr/>
        <w:t>of</w:t>
      </w:r>
      <w:r>
        <w:rPr>
          <w:spacing w:val="-47"/>
        </w:rPr>
        <w:t> </w:t>
      </w:r>
      <w:r>
        <w:rPr/>
        <w:t>the</w:t>
      </w:r>
      <w:r>
        <w:rPr>
          <w:spacing w:val="-46"/>
        </w:rPr>
        <w:t> </w:t>
      </w:r>
      <w:r>
        <w:rPr/>
        <w:t>opinion</w:t>
      </w:r>
      <w:r>
        <w:rPr>
          <w:spacing w:val="-47"/>
        </w:rPr>
        <w:t> </w:t>
      </w:r>
      <w:r>
        <w:rPr/>
        <w:t>that</w:t>
      </w:r>
      <w:r>
        <w:rPr>
          <w:spacing w:val="-47"/>
        </w:rPr>
        <w:t> </w:t>
      </w:r>
      <w:r>
        <w:rPr/>
        <w:t>the</w:t>
      </w:r>
      <w:r>
        <w:rPr>
          <w:spacing w:val="-46"/>
        </w:rPr>
        <w:t> </w:t>
      </w:r>
      <w:r>
        <w:rPr/>
        <w:t>annual</w:t>
      </w:r>
      <w:r>
        <w:rPr>
          <w:spacing w:val="-46"/>
        </w:rPr>
        <w:t> </w:t>
      </w:r>
      <w:r>
        <w:rPr/>
        <w:t>rent</w:t>
      </w:r>
      <w:r>
        <w:rPr>
          <w:spacing w:val="-47"/>
        </w:rPr>
        <w:t> </w:t>
      </w:r>
      <w:r>
        <w:rPr/>
        <w:t>growth</w:t>
      </w:r>
      <w:r>
        <w:rPr>
          <w:spacing w:val="-47"/>
        </w:rPr>
        <w:t> </w:t>
      </w:r>
      <w:r>
        <w:rPr/>
        <w:t>for</w:t>
      </w:r>
      <w:r>
        <w:rPr>
          <w:spacing w:val="-47"/>
        </w:rPr>
        <w:t> </w:t>
      </w:r>
      <w:r>
        <w:rPr/>
        <w:t>the</w:t>
      </w:r>
      <w:r>
        <w:rPr>
          <w:spacing w:val="-47"/>
        </w:rPr>
        <w:t> </w:t>
      </w:r>
      <w:r>
        <w:rPr/>
        <w:t>subject property will be 3.0% from Q1, FY 2022</w:t>
      </w:r>
      <w:r>
        <w:rPr>
          <w:spacing w:val="-19"/>
        </w:rPr>
        <w:t> </w:t>
      </w:r>
      <w:r>
        <w:rPr/>
        <w:t>onwards.</w:t>
      </w:r>
    </w:p>
    <w:p>
      <w:pPr>
        <w:pStyle w:val="BodyText"/>
        <w:spacing w:before="5"/>
        <w:rPr>
          <w:sz w:val="23"/>
        </w:rPr>
      </w:pPr>
    </w:p>
    <w:p>
      <w:pPr>
        <w:pStyle w:val="ListParagraph"/>
        <w:numPr>
          <w:ilvl w:val="3"/>
          <w:numId w:val="50"/>
        </w:numPr>
        <w:tabs>
          <w:tab w:pos="985" w:val="left" w:leader="none"/>
        </w:tabs>
        <w:spacing w:line="240" w:lineRule="auto" w:before="0" w:after="0"/>
        <w:ind w:left="984" w:right="0" w:hanging="865"/>
        <w:jc w:val="both"/>
        <w:rPr>
          <w:i/>
          <w:sz w:val="20"/>
        </w:rPr>
      </w:pPr>
      <w:r>
        <w:rPr>
          <w:i/>
          <w:color w:val="008000"/>
          <w:sz w:val="20"/>
        </w:rPr>
        <w:t>Rent </w:t>
      </w:r>
      <w:r>
        <w:rPr>
          <w:i/>
          <w:color w:val="008000"/>
          <w:w w:val="105"/>
          <w:sz w:val="20"/>
        </w:rPr>
        <w:t>– </w:t>
      </w:r>
      <w:r>
        <w:rPr>
          <w:i/>
          <w:color w:val="008000"/>
          <w:sz w:val="20"/>
        </w:rPr>
        <w:t>free</w:t>
      </w:r>
      <w:r>
        <w:rPr>
          <w:i/>
          <w:color w:val="008000"/>
          <w:spacing w:val="-13"/>
          <w:sz w:val="20"/>
        </w:rPr>
        <w:t> </w:t>
      </w:r>
      <w:r>
        <w:rPr>
          <w:i/>
          <w:color w:val="008000"/>
          <w:sz w:val="20"/>
        </w:rPr>
        <w:t>period</w:t>
      </w:r>
    </w:p>
    <w:p>
      <w:pPr>
        <w:pStyle w:val="BodyText"/>
        <w:spacing w:line="321" w:lineRule="auto" w:before="76"/>
        <w:ind w:left="660" w:right="194"/>
        <w:jc w:val="both"/>
      </w:pPr>
      <w:r>
        <w:rPr/>
        <w:t>Based</w:t>
      </w:r>
      <w:r>
        <w:rPr>
          <w:spacing w:val="-8"/>
        </w:rPr>
        <w:t> </w:t>
      </w:r>
      <w:r>
        <w:rPr/>
        <w:t>on</w:t>
      </w:r>
      <w:r>
        <w:rPr>
          <w:spacing w:val="-7"/>
        </w:rPr>
        <w:t> </w:t>
      </w:r>
      <w:r>
        <w:rPr/>
        <w:t>the</w:t>
      </w:r>
      <w:r>
        <w:rPr>
          <w:spacing w:val="-7"/>
        </w:rPr>
        <w:t> </w:t>
      </w:r>
      <w:r>
        <w:rPr/>
        <w:t>trend</w:t>
      </w:r>
      <w:r>
        <w:rPr>
          <w:spacing w:val="-8"/>
        </w:rPr>
        <w:t> </w:t>
      </w:r>
      <w:r>
        <w:rPr/>
        <w:t>prevalent</w:t>
      </w:r>
      <w:r>
        <w:rPr>
          <w:spacing w:val="-6"/>
        </w:rPr>
        <w:t> </w:t>
      </w:r>
      <w:r>
        <w:rPr/>
        <w:t>in</w:t>
      </w:r>
      <w:r>
        <w:rPr>
          <w:spacing w:val="-7"/>
        </w:rPr>
        <w:t> </w:t>
      </w:r>
      <w:r>
        <w:rPr/>
        <w:t>the</w:t>
      </w:r>
      <w:r>
        <w:rPr>
          <w:spacing w:val="-7"/>
        </w:rPr>
        <w:t> </w:t>
      </w:r>
      <w:r>
        <w:rPr/>
        <w:t>subject</w:t>
      </w:r>
      <w:r>
        <w:rPr>
          <w:spacing w:val="-5"/>
        </w:rPr>
        <w:t> </w:t>
      </w:r>
      <w:r>
        <w:rPr/>
        <w:t>sub-market,</w:t>
      </w:r>
      <w:r>
        <w:rPr>
          <w:spacing w:val="-6"/>
        </w:rPr>
        <w:t> </w:t>
      </w:r>
      <w:r>
        <w:rPr/>
        <w:t>we</w:t>
      </w:r>
      <w:r>
        <w:rPr>
          <w:spacing w:val="-7"/>
        </w:rPr>
        <w:t> </w:t>
      </w:r>
      <w:r>
        <w:rPr/>
        <w:t>have</w:t>
      </w:r>
      <w:r>
        <w:rPr>
          <w:spacing w:val="-7"/>
        </w:rPr>
        <w:t> </w:t>
      </w:r>
      <w:r>
        <w:rPr/>
        <w:t>considered</w:t>
      </w:r>
      <w:r>
        <w:rPr>
          <w:spacing w:val="-5"/>
        </w:rPr>
        <w:t> </w:t>
      </w:r>
      <w:r>
        <w:rPr/>
        <w:t>a</w:t>
      </w:r>
      <w:r>
        <w:rPr>
          <w:spacing w:val="-7"/>
        </w:rPr>
        <w:t> </w:t>
      </w:r>
      <w:r>
        <w:rPr/>
        <w:t>rent</w:t>
      </w:r>
      <w:r>
        <w:rPr>
          <w:spacing w:val="-4"/>
        </w:rPr>
        <w:t> </w:t>
      </w:r>
      <w:r>
        <w:rPr/>
        <w:t>-</w:t>
      </w:r>
      <w:r>
        <w:rPr>
          <w:spacing w:val="-7"/>
        </w:rPr>
        <w:t> </w:t>
      </w:r>
      <w:r>
        <w:rPr/>
        <w:t>free</w:t>
      </w:r>
      <w:r>
        <w:rPr>
          <w:spacing w:val="-7"/>
        </w:rPr>
        <w:t> </w:t>
      </w:r>
      <w:r>
        <w:rPr/>
        <w:t>period</w:t>
      </w:r>
      <w:r>
        <w:rPr>
          <w:spacing w:val="-8"/>
        </w:rPr>
        <w:t> </w:t>
      </w:r>
      <w:r>
        <w:rPr/>
        <w:t>of</w:t>
      </w:r>
      <w:r>
        <w:rPr>
          <w:spacing w:val="-5"/>
        </w:rPr>
        <w:t> </w:t>
      </w:r>
      <w:r>
        <w:rPr/>
        <w:t>3 months</w:t>
      </w:r>
      <w:r>
        <w:rPr>
          <w:spacing w:val="-18"/>
        </w:rPr>
        <w:t> </w:t>
      </w:r>
      <w:r>
        <w:rPr/>
        <w:t>for</w:t>
      </w:r>
      <w:r>
        <w:rPr>
          <w:spacing w:val="-19"/>
        </w:rPr>
        <w:t> </w:t>
      </w:r>
      <w:r>
        <w:rPr/>
        <w:t>the</w:t>
      </w:r>
      <w:r>
        <w:rPr>
          <w:spacing w:val="-20"/>
        </w:rPr>
        <w:t> </w:t>
      </w:r>
      <w:r>
        <w:rPr/>
        <w:t>subject</w:t>
      </w:r>
      <w:r>
        <w:rPr>
          <w:spacing w:val="-19"/>
        </w:rPr>
        <w:t> </w:t>
      </w:r>
      <w:r>
        <w:rPr/>
        <w:t>property</w:t>
      </w:r>
      <w:r>
        <w:rPr>
          <w:spacing w:val="-19"/>
        </w:rPr>
        <w:t> </w:t>
      </w:r>
      <w:r>
        <w:rPr/>
        <w:t>from</w:t>
      </w:r>
      <w:r>
        <w:rPr>
          <w:spacing w:val="-18"/>
        </w:rPr>
        <w:t> </w:t>
      </w:r>
      <w:r>
        <w:rPr/>
        <w:t>the</w:t>
      </w:r>
      <w:r>
        <w:rPr>
          <w:spacing w:val="-19"/>
        </w:rPr>
        <w:t> </w:t>
      </w:r>
      <w:r>
        <w:rPr/>
        <w:t>lease</w:t>
      </w:r>
      <w:r>
        <w:rPr>
          <w:spacing w:val="-18"/>
        </w:rPr>
        <w:t> </w:t>
      </w:r>
      <w:r>
        <w:rPr/>
        <w:t>commencement</w:t>
      </w:r>
      <w:r>
        <w:rPr>
          <w:spacing w:val="-18"/>
        </w:rPr>
        <w:t> </w:t>
      </w:r>
      <w:r>
        <w:rPr/>
        <w:t>date</w:t>
      </w:r>
      <w:r>
        <w:rPr>
          <w:spacing w:val="-18"/>
        </w:rPr>
        <w:t> </w:t>
      </w:r>
      <w:r>
        <w:rPr/>
        <w:t>(for</w:t>
      </w:r>
      <w:r>
        <w:rPr>
          <w:spacing w:val="-19"/>
        </w:rPr>
        <w:t> </w:t>
      </w:r>
      <w:r>
        <w:rPr/>
        <w:t>future</w:t>
      </w:r>
      <w:r>
        <w:rPr>
          <w:spacing w:val="-18"/>
        </w:rPr>
        <w:t> </w:t>
      </w:r>
      <w:r>
        <w:rPr/>
        <w:t>/</w:t>
      </w:r>
      <w:r>
        <w:rPr>
          <w:spacing w:val="-19"/>
        </w:rPr>
        <w:t> </w:t>
      </w:r>
      <w:r>
        <w:rPr/>
        <w:t>new</w:t>
      </w:r>
      <w:r>
        <w:rPr>
          <w:spacing w:val="-17"/>
        </w:rPr>
        <w:t> </w:t>
      </w:r>
      <w:r>
        <w:rPr/>
        <w:t>leases)</w:t>
      </w:r>
    </w:p>
    <w:p>
      <w:pPr>
        <w:pStyle w:val="BodyText"/>
        <w:spacing w:before="1"/>
        <w:rPr>
          <w:sz w:val="23"/>
        </w:rPr>
      </w:pPr>
    </w:p>
    <w:p>
      <w:pPr>
        <w:pStyle w:val="ListParagraph"/>
        <w:numPr>
          <w:ilvl w:val="3"/>
          <w:numId w:val="50"/>
        </w:numPr>
        <w:tabs>
          <w:tab w:pos="985" w:val="left" w:leader="none"/>
        </w:tabs>
        <w:spacing w:line="240" w:lineRule="auto" w:before="0" w:after="0"/>
        <w:ind w:left="984" w:right="0" w:hanging="865"/>
        <w:jc w:val="both"/>
        <w:rPr>
          <w:i/>
          <w:sz w:val="20"/>
        </w:rPr>
      </w:pPr>
      <w:r>
        <w:rPr>
          <w:i/>
          <w:color w:val="008000"/>
          <w:sz w:val="20"/>
        </w:rPr>
        <w:t>Brokerage</w:t>
      </w:r>
    </w:p>
    <w:p>
      <w:pPr>
        <w:pStyle w:val="BodyText"/>
        <w:spacing w:line="321" w:lineRule="auto" w:before="76"/>
        <w:ind w:left="660" w:right="193"/>
        <w:jc w:val="both"/>
      </w:pPr>
      <w:r>
        <w:rPr/>
        <w:t>Based</w:t>
      </w:r>
      <w:r>
        <w:rPr>
          <w:spacing w:val="-11"/>
        </w:rPr>
        <w:t> </w:t>
      </w:r>
      <w:r>
        <w:rPr/>
        <w:t>on</w:t>
      </w:r>
      <w:r>
        <w:rPr>
          <w:spacing w:val="-11"/>
        </w:rPr>
        <w:t> </w:t>
      </w:r>
      <w:r>
        <w:rPr/>
        <w:t>prevalent</w:t>
      </w:r>
      <w:r>
        <w:rPr>
          <w:spacing w:val="-11"/>
        </w:rPr>
        <w:t> </w:t>
      </w:r>
      <w:r>
        <w:rPr/>
        <w:t>market</w:t>
      </w:r>
      <w:r>
        <w:rPr>
          <w:spacing w:val="-11"/>
        </w:rPr>
        <w:t> </w:t>
      </w:r>
      <w:r>
        <w:rPr/>
        <w:t>dynamics,</w:t>
      </w:r>
      <w:r>
        <w:rPr>
          <w:spacing w:val="-12"/>
        </w:rPr>
        <w:t> </w:t>
      </w:r>
      <w:r>
        <w:rPr/>
        <w:t>we</w:t>
      </w:r>
      <w:r>
        <w:rPr>
          <w:spacing w:val="-11"/>
        </w:rPr>
        <w:t> </w:t>
      </w:r>
      <w:r>
        <w:rPr/>
        <w:t>have</w:t>
      </w:r>
      <w:r>
        <w:rPr>
          <w:spacing w:val="-12"/>
        </w:rPr>
        <w:t> </w:t>
      </w:r>
      <w:r>
        <w:rPr/>
        <w:t>considered</w:t>
      </w:r>
      <w:r>
        <w:rPr>
          <w:spacing w:val="-10"/>
        </w:rPr>
        <w:t> </w:t>
      </w:r>
      <w:r>
        <w:rPr/>
        <w:t>brokerage</w:t>
      </w:r>
      <w:r>
        <w:rPr>
          <w:spacing w:val="-12"/>
        </w:rPr>
        <w:t> </w:t>
      </w:r>
      <w:r>
        <w:rPr/>
        <w:t>equivalent</w:t>
      </w:r>
      <w:r>
        <w:rPr>
          <w:spacing w:val="-11"/>
        </w:rPr>
        <w:t> </w:t>
      </w:r>
      <w:r>
        <w:rPr/>
        <w:t>to</w:t>
      </w:r>
      <w:r>
        <w:rPr>
          <w:spacing w:val="-7"/>
        </w:rPr>
        <w:t> </w:t>
      </w:r>
      <w:r>
        <w:rPr/>
        <w:t>2</w:t>
      </w:r>
      <w:r>
        <w:rPr>
          <w:spacing w:val="-9"/>
        </w:rPr>
        <w:t> </w:t>
      </w:r>
      <w:r>
        <w:rPr/>
        <w:t>months</w:t>
      </w:r>
      <w:r>
        <w:rPr>
          <w:spacing w:val="-11"/>
        </w:rPr>
        <w:t> </w:t>
      </w:r>
      <w:r>
        <w:rPr/>
        <w:t>of</w:t>
      </w:r>
      <w:r>
        <w:rPr>
          <w:spacing w:val="-10"/>
        </w:rPr>
        <w:t> </w:t>
      </w:r>
      <w:r>
        <w:rPr/>
        <w:t>rental income for future / new</w:t>
      </w:r>
      <w:r>
        <w:rPr>
          <w:spacing w:val="-18"/>
        </w:rPr>
        <w:t> </w:t>
      </w:r>
      <w:r>
        <w:rPr/>
        <w:t>leases</w:t>
      </w:r>
    </w:p>
    <w:p>
      <w:pPr>
        <w:pStyle w:val="BodyText"/>
        <w:spacing w:before="9"/>
        <w:rPr>
          <w:sz w:val="20"/>
        </w:rPr>
      </w:pPr>
    </w:p>
    <w:p>
      <w:pPr>
        <w:pStyle w:val="ListParagraph"/>
        <w:numPr>
          <w:ilvl w:val="2"/>
          <w:numId w:val="14"/>
        </w:numPr>
        <w:tabs>
          <w:tab w:pos="841" w:val="left" w:leader="none"/>
        </w:tabs>
        <w:spacing w:line="240" w:lineRule="auto" w:before="0" w:after="0"/>
        <w:ind w:left="840" w:right="0" w:hanging="721"/>
        <w:jc w:val="both"/>
        <w:rPr>
          <w:sz w:val="22"/>
        </w:rPr>
      </w:pPr>
      <w:bookmarkStart w:name="_bookmark153" w:id="300"/>
      <w:bookmarkEnd w:id="300"/>
      <w:r>
        <w:rPr/>
      </w:r>
      <w:bookmarkStart w:name="_bookmark153" w:id="301"/>
      <w:bookmarkEnd w:id="301"/>
      <w:r>
        <w:rPr>
          <w:color w:val="1F664D"/>
          <w:sz w:val="22"/>
        </w:rPr>
        <w:t>Ca</w:t>
      </w:r>
      <w:r>
        <w:rPr>
          <w:color w:val="1F664D"/>
          <w:sz w:val="22"/>
        </w:rPr>
        <w:t>pitalization</w:t>
      </w:r>
      <w:r>
        <w:rPr>
          <w:color w:val="1F664D"/>
          <w:spacing w:val="-2"/>
          <w:sz w:val="22"/>
        </w:rPr>
        <w:t> </w:t>
      </w:r>
      <w:r>
        <w:rPr>
          <w:color w:val="1F664D"/>
          <w:sz w:val="22"/>
        </w:rPr>
        <w:t>Rates</w:t>
      </w:r>
    </w:p>
    <w:p>
      <w:pPr>
        <w:pStyle w:val="BodyText"/>
        <w:spacing w:before="208"/>
        <w:ind w:left="751"/>
        <w:jc w:val="both"/>
      </w:pPr>
      <w:r>
        <w:rPr/>
        <w:t>The capitalization rate adopted for the office spaces is 7.75%.</w:t>
      </w:r>
    </w:p>
    <w:p>
      <w:pPr>
        <w:spacing w:after="0"/>
        <w:jc w:val="both"/>
        <w:sectPr>
          <w:pgSz w:w="11910" w:h="16840"/>
          <w:pgMar w:header="720" w:footer="933" w:top="1660" w:bottom="1120" w:left="600" w:right="520"/>
        </w:sectPr>
      </w:pPr>
    </w:p>
    <w:p>
      <w:pPr>
        <w:pStyle w:val="BodyText"/>
        <w:spacing w:before="7"/>
        <w:rPr>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154" w:id="302"/>
      <w:bookmarkEnd w:id="302"/>
      <w:r>
        <w:rPr/>
      </w:r>
      <w:bookmarkStart w:name="_bookmark154" w:id="303"/>
      <w:bookmarkEnd w:id="303"/>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8"/>
        <w:ind w:left="751" w:right="194"/>
        <w:jc w:val="both"/>
      </w:pPr>
      <w:r>
        <w:rPr/>
        <w:t>For</w:t>
      </w:r>
      <w:r>
        <w:rPr>
          <w:spacing w:val="-6"/>
        </w:rPr>
        <w:t> </w:t>
      </w:r>
      <w:r>
        <w:rPr/>
        <w:t>discounting</w:t>
      </w:r>
      <w:r>
        <w:rPr>
          <w:spacing w:val="-5"/>
        </w:rPr>
        <w:t> </w:t>
      </w:r>
      <w:r>
        <w:rPr/>
        <w:t>the</w:t>
      </w:r>
      <w:r>
        <w:rPr>
          <w:spacing w:val="-6"/>
        </w:rPr>
        <w:t> </w:t>
      </w:r>
      <w:r>
        <w:rPr/>
        <w:t>cash</w:t>
      </w:r>
      <w:r>
        <w:rPr>
          <w:spacing w:val="-7"/>
        </w:rPr>
        <w:t> </w:t>
      </w:r>
      <w:r>
        <w:rPr/>
        <w:t>flows,</w:t>
      </w:r>
      <w:r>
        <w:rPr>
          <w:spacing w:val="-6"/>
        </w:rPr>
        <w:t> </w:t>
      </w:r>
      <w:r>
        <w:rPr/>
        <w:t>the</w:t>
      </w:r>
      <w:r>
        <w:rPr>
          <w:spacing w:val="-3"/>
        </w:rPr>
        <w:t> </w:t>
      </w:r>
      <w:r>
        <w:rPr/>
        <w:t>appropriate</w:t>
      </w:r>
      <w:r>
        <w:rPr>
          <w:spacing w:val="-5"/>
        </w:rPr>
        <w:t> </w:t>
      </w:r>
      <w:r>
        <w:rPr/>
        <w:t>discounting</w:t>
      </w:r>
      <w:r>
        <w:rPr>
          <w:spacing w:val="-5"/>
        </w:rPr>
        <w:t> </w:t>
      </w:r>
      <w:r>
        <w:rPr/>
        <w:t>rate</w:t>
      </w:r>
      <w:r>
        <w:rPr>
          <w:spacing w:val="-5"/>
        </w:rPr>
        <w:t> </w:t>
      </w:r>
      <w:r>
        <w:rPr/>
        <w:t>has</w:t>
      </w:r>
      <w:r>
        <w:rPr>
          <w:spacing w:val="-4"/>
        </w:rPr>
        <w:t> </w:t>
      </w:r>
      <w:r>
        <w:rPr/>
        <w:t>been</w:t>
      </w:r>
      <w:r>
        <w:rPr>
          <w:spacing w:val="-6"/>
        </w:rPr>
        <w:t> </w:t>
      </w:r>
      <w:r>
        <w:rPr/>
        <w:t>calculated</w:t>
      </w:r>
      <w:r>
        <w:rPr>
          <w:spacing w:val="-5"/>
        </w:rPr>
        <w:t> </w:t>
      </w:r>
      <w:r>
        <w:rPr/>
        <w:t>on</w:t>
      </w:r>
      <w:r>
        <w:rPr>
          <w:spacing w:val="-6"/>
        </w:rPr>
        <w:t> </w:t>
      </w:r>
      <w:r>
        <w:rPr/>
        <w:t>the</w:t>
      </w:r>
      <w:r>
        <w:rPr>
          <w:spacing w:val="-4"/>
        </w:rPr>
        <w:t> </w:t>
      </w:r>
      <w:r>
        <w:rPr/>
        <w:t>basis</w:t>
      </w:r>
      <w:r>
        <w:rPr>
          <w:spacing w:val="-7"/>
        </w:rPr>
        <w:t> </w:t>
      </w:r>
      <w:r>
        <w:rPr/>
        <w:t>of estimated ‘Weighted Average Cost of Capital’ (WACC). The detailed analysis of WACC rate adopted for</w:t>
      </w:r>
      <w:r>
        <w:rPr>
          <w:spacing w:val="-9"/>
        </w:rPr>
        <w:t> </w:t>
      </w:r>
      <w:r>
        <w:rPr/>
        <w:t>the</w:t>
      </w:r>
      <w:r>
        <w:rPr>
          <w:spacing w:val="-9"/>
        </w:rPr>
        <w:t> </w:t>
      </w:r>
      <w:r>
        <w:rPr/>
        <w:t>subject</w:t>
      </w:r>
      <w:r>
        <w:rPr>
          <w:spacing w:val="-10"/>
        </w:rPr>
        <w:t> </w:t>
      </w:r>
      <w:r>
        <w:rPr/>
        <w:t>property</w:t>
      </w:r>
      <w:r>
        <w:rPr>
          <w:spacing w:val="-6"/>
        </w:rPr>
        <w:t> </w:t>
      </w:r>
      <w:r>
        <w:rPr/>
        <w:t>has</w:t>
      </w:r>
      <w:r>
        <w:rPr>
          <w:spacing w:val="-7"/>
        </w:rPr>
        <w:t> </w:t>
      </w:r>
      <w:r>
        <w:rPr/>
        <w:t>been</w:t>
      </w:r>
      <w:r>
        <w:rPr>
          <w:spacing w:val="-9"/>
        </w:rPr>
        <w:t> </w:t>
      </w:r>
      <w:r>
        <w:rPr/>
        <w:t>detailed</w:t>
      </w:r>
      <w:r>
        <w:rPr>
          <w:spacing w:val="-7"/>
        </w:rPr>
        <w:t> </w:t>
      </w:r>
      <w:r>
        <w:rPr/>
        <w:t>in</w:t>
      </w:r>
      <w:r>
        <w:rPr>
          <w:spacing w:val="-10"/>
        </w:rPr>
        <w:t> </w:t>
      </w:r>
      <w:r>
        <w:rPr/>
        <w:t>Section</w:t>
      </w:r>
      <w:r>
        <w:rPr>
          <w:spacing w:val="-9"/>
        </w:rPr>
        <w:t> </w:t>
      </w:r>
      <w:r>
        <w:rPr/>
        <w:t>3.4</w:t>
      </w:r>
      <w:r>
        <w:rPr>
          <w:spacing w:val="-9"/>
        </w:rPr>
        <w:t> </w:t>
      </w:r>
      <w:r>
        <w:rPr/>
        <w:t>of</w:t>
      </w:r>
      <w:r>
        <w:rPr>
          <w:spacing w:val="-5"/>
        </w:rPr>
        <w:t> </w:t>
      </w:r>
      <w:r>
        <w:rPr/>
        <w:t>this</w:t>
      </w:r>
      <w:r>
        <w:rPr>
          <w:spacing w:val="-7"/>
        </w:rPr>
        <w:t> </w:t>
      </w:r>
      <w:r>
        <w:rPr/>
        <w:t>report.</w:t>
      </w:r>
    </w:p>
    <w:p>
      <w:pPr>
        <w:pStyle w:val="BodyText"/>
        <w:rPr>
          <w:sz w:val="26"/>
        </w:rPr>
      </w:pPr>
    </w:p>
    <w:p>
      <w:pPr>
        <w:pStyle w:val="BodyText"/>
        <w:tabs>
          <w:tab w:pos="696" w:val="left" w:leader="none"/>
        </w:tabs>
        <w:spacing w:before="202"/>
        <w:ind w:left="120"/>
      </w:pPr>
      <w:bookmarkStart w:name="_bookmark155" w:id="304"/>
      <w:bookmarkEnd w:id="304"/>
      <w:r>
        <w:rPr/>
      </w:r>
      <w:r>
        <w:rPr>
          <w:color w:val="1F6647"/>
        </w:rPr>
        <w:t>8.5</w:t>
        <w:tab/>
        <w:t>Value of the Subject</w:t>
      </w:r>
      <w:r>
        <w:rPr>
          <w:color w:val="1F6647"/>
          <w:spacing w:val="-8"/>
        </w:rPr>
        <w:t> </w:t>
      </w:r>
      <w:r>
        <w:rPr>
          <w:color w:val="1F6647"/>
        </w:rPr>
        <w:t>Property</w:t>
      </w:r>
    </w:p>
    <w:p>
      <w:pPr>
        <w:pStyle w:val="BodyText"/>
        <w:spacing w:before="208"/>
        <w:ind w:left="751"/>
        <w:jc w:val="both"/>
      </w:pPr>
      <w:r>
        <w:rPr/>
        <w:t>Based on the above-mentioned analysis, the value of the subject property is estimated as follows:</w:t>
      </w:r>
    </w:p>
    <w:p>
      <w:pPr>
        <w:pStyle w:val="BodyText"/>
        <w:spacing w:before="1"/>
        <w:rPr>
          <w:sz w:val="29"/>
        </w:rPr>
      </w:pPr>
    </w:p>
    <w:tbl>
      <w:tblPr>
        <w:tblW w:w="0" w:type="auto"/>
        <w:jc w:val="left"/>
        <w:tblInd w:w="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38"/>
        <w:gridCol w:w="2493"/>
        <w:gridCol w:w="1817"/>
        <w:gridCol w:w="2142"/>
      </w:tblGrid>
      <w:tr>
        <w:trPr>
          <w:trHeight w:val="345" w:hRule="atLeast"/>
        </w:trPr>
        <w:tc>
          <w:tcPr>
            <w:tcW w:w="3438" w:type="dxa"/>
            <w:tcBorders>
              <w:top w:val="single" w:sz="12" w:space="0" w:color="1F6B16"/>
              <w:bottom w:val="single" w:sz="6" w:space="0" w:color="69BD28"/>
            </w:tcBorders>
            <w:shd w:val="clear" w:color="auto" w:fill="006A4D"/>
          </w:tcPr>
          <w:p>
            <w:pPr>
              <w:pStyle w:val="TableParagraph"/>
              <w:spacing w:before="68"/>
              <w:ind w:left="1278" w:right="1203"/>
              <w:rPr>
                <w:sz w:val="18"/>
              </w:rPr>
            </w:pPr>
            <w:r>
              <w:rPr>
                <w:color w:val="FFFFFF"/>
                <w:sz w:val="18"/>
              </w:rPr>
              <w:t>Component</w:t>
            </w:r>
          </w:p>
        </w:tc>
        <w:tc>
          <w:tcPr>
            <w:tcW w:w="2493" w:type="dxa"/>
            <w:tcBorders>
              <w:top w:val="single" w:sz="12" w:space="0" w:color="1F6B16"/>
              <w:bottom w:val="single" w:sz="6" w:space="0" w:color="69BD28"/>
            </w:tcBorders>
            <w:shd w:val="clear" w:color="auto" w:fill="006A4D"/>
          </w:tcPr>
          <w:p>
            <w:pPr>
              <w:pStyle w:val="TableParagraph"/>
              <w:spacing w:before="68"/>
              <w:ind w:left="1185" w:right="59"/>
              <w:rPr>
                <w:sz w:val="18"/>
              </w:rPr>
            </w:pPr>
            <w:r>
              <w:rPr>
                <w:color w:val="FFFFFF"/>
                <w:sz w:val="18"/>
              </w:rPr>
              <w:t>Value (INR mn)</w:t>
            </w:r>
          </w:p>
        </w:tc>
        <w:tc>
          <w:tcPr>
            <w:tcW w:w="1817" w:type="dxa"/>
            <w:tcBorders>
              <w:top w:val="single" w:sz="12" w:space="0" w:color="1F6B16"/>
              <w:bottom w:val="single" w:sz="6" w:space="0" w:color="69BD28"/>
            </w:tcBorders>
            <w:shd w:val="clear" w:color="auto" w:fill="006A4D"/>
          </w:tcPr>
          <w:p>
            <w:pPr>
              <w:pStyle w:val="TableParagraph"/>
              <w:jc w:val="left"/>
              <w:rPr>
                <w:rFonts w:ascii="Times New Roman"/>
                <w:sz w:val="20"/>
              </w:rPr>
            </w:pPr>
          </w:p>
        </w:tc>
        <w:tc>
          <w:tcPr>
            <w:tcW w:w="2142" w:type="dxa"/>
            <w:tcBorders>
              <w:top w:val="single" w:sz="12" w:space="0" w:color="1F6B16"/>
              <w:bottom w:val="single" w:sz="6" w:space="0" w:color="69BD28"/>
            </w:tcBorders>
            <w:shd w:val="clear" w:color="auto" w:fill="006A4D"/>
          </w:tcPr>
          <w:p>
            <w:pPr>
              <w:pStyle w:val="TableParagraph"/>
              <w:spacing w:before="68"/>
              <w:ind w:left="376"/>
              <w:jc w:val="left"/>
              <w:rPr>
                <w:sz w:val="18"/>
              </w:rPr>
            </w:pPr>
            <w:r>
              <w:rPr>
                <w:color w:val="FFFFFF"/>
                <w:w w:val="110"/>
                <w:sz w:val="18"/>
              </w:rPr>
              <w:t>% Share</w:t>
            </w:r>
          </w:p>
        </w:tc>
      </w:tr>
      <w:tr>
        <w:trPr>
          <w:trHeight w:val="364" w:hRule="atLeast"/>
        </w:trPr>
        <w:tc>
          <w:tcPr>
            <w:tcW w:w="3438" w:type="dxa"/>
            <w:tcBorders>
              <w:top w:val="single" w:sz="6" w:space="0" w:color="69BD28"/>
            </w:tcBorders>
          </w:tcPr>
          <w:p>
            <w:pPr>
              <w:pStyle w:val="TableParagraph"/>
              <w:spacing w:before="80"/>
              <w:ind w:left="1276" w:right="1203"/>
              <w:rPr>
                <w:sz w:val="18"/>
              </w:rPr>
            </w:pPr>
            <w:r>
              <w:rPr>
                <w:w w:val="105"/>
                <w:sz w:val="18"/>
              </w:rPr>
              <w:t>FIFC</w:t>
            </w:r>
          </w:p>
        </w:tc>
        <w:tc>
          <w:tcPr>
            <w:tcW w:w="2493" w:type="dxa"/>
            <w:tcBorders>
              <w:top w:val="single" w:sz="6" w:space="0" w:color="69BD28"/>
            </w:tcBorders>
          </w:tcPr>
          <w:p>
            <w:pPr>
              <w:pStyle w:val="TableParagraph"/>
              <w:spacing w:before="80"/>
              <w:ind w:left="1182" w:right="59"/>
              <w:rPr>
                <w:sz w:val="18"/>
              </w:rPr>
            </w:pPr>
            <w:r>
              <w:rPr>
                <w:w w:val="110"/>
                <w:sz w:val="18"/>
              </w:rPr>
              <w:t>13,911</w:t>
            </w:r>
          </w:p>
        </w:tc>
        <w:tc>
          <w:tcPr>
            <w:tcW w:w="1817" w:type="dxa"/>
            <w:tcBorders>
              <w:top w:val="single" w:sz="6" w:space="0" w:color="69BD28"/>
            </w:tcBorders>
          </w:tcPr>
          <w:p>
            <w:pPr>
              <w:pStyle w:val="TableParagraph"/>
              <w:jc w:val="left"/>
              <w:rPr>
                <w:rFonts w:ascii="Times New Roman"/>
                <w:sz w:val="20"/>
              </w:rPr>
            </w:pPr>
          </w:p>
        </w:tc>
        <w:tc>
          <w:tcPr>
            <w:tcW w:w="2142" w:type="dxa"/>
            <w:tcBorders>
              <w:top w:val="single" w:sz="6" w:space="0" w:color="69BD28"/>
            </w:tcBorders>
          </w:tcPr>
          <w:p>
            <w:pPr>
              <w:pStyle w:val="TableParagraph"/>
              <w:spacing w:before="80"/>
              <w:ind w:left="388"/>
              <w:jc w:val="left"/>
              <w:rPr>
                <w:sz w:val="18"/>
              </w:rPr>
            </w:pPr>
            <w:r>
              <w:rPr>
                <w:w w:val="110"/>
                <w:sz w:val="18"/>
              </w:rPr>
              <w:t>100.0%</w:t>
            </w:r>
          </w:p>
        </w:tc>
      </w:tr>
      <w:tr>
        <w:trPr>
          <w:trHeight w:val="396" w:hRule="atLeast"/>
        </w:trPr>
        <w:tc>
          <w:tcPr>
            <w:tcW w:w="3438" w:type="dxa"/>
            <w:shd w:val="clear" w:color="auto" w:fill="69BD28"/>
          </w:tcPr>
          <w:p>
            <w:pPr>
              <w:pStyle w:val="TableParagraph"/>
              <w:spacing w:before="95"/>
              <w:ind w:left="1275" w:right="1203"/>
              <w:rPr>
                <w:b/>
                <w:sz w:val="18"/>
              </w:rPr>
            </w:pPr>
            <w:r>
              <w:rPr>
                <w:b/>
                <w:color w:val="FFFFFF"/>
                <w:sz w:val="18"/>
              </w:rPr>
              <w:t>FIFC</w:t>
            </w:r>
          </w:p>
        </w:tc>
        <w:tc>
          <w:tcPr>
            <w:tcW w:w="2493" w:type="dxa"/>
            <w:shd w:val="clear" w:color="auto" w:fill="69BD28"/>
          </w:tcPr>
          <w:p>
            <w:pPr>
              <w:pStyle w:val="TableParagraph"/>
              <w:jc w:val="left"/>
              <w:rPr>
                <w:rFonts w:ascii="Times New Roman"/>
                <w:sz w:val="20"/>
              </w:rPr>
            </w:pPr>
          </w:p>
        </w:tc>
        <w:tc>
          <w:tcPr>
            <w:tcW w:w="1817" w:type="dxa"/>
            <w:shd w:val="clear" w:color="auto" w:fill="69BD28"/>
          </w:tcPr>
          <w:p>
            <w:pPr>
              <w:pStyle w:val="TableParagraph"/>
              <w:spacing w:before="95"/>
              <w:ind w:left="90"/>
              <w:jc w:val="left"/>
              <w:rPr>
                <w:b/>
                <w:sz w:val="18"/>
              </w:rPr>
            </w:pPr>
            <w:r>
              <w:rPr>
                <w:b/>
                <w:color w:val="FFFFFF"/>
                <w:w w:val="110"/>
                <w:sz w:val="18"/>
              </w:rPr>
              <w:t>INR 13,911 Mn</w:t>
            </w:r>
          </w:p>
        </w:tc>
        <w:tc>
          <w:tcPr>
            <w:tcW w:w="2142" w:type="dxa"/>
            <w:shd w:val="clear" w:color="auto" w:fill="69BD28"/>
          </w:tcPr>
          <w:p>
            <w:pPr>
              <w:pStyle w:val="TableParagraph"/>
              <w:jc w:val="left"/>
              <w:rPr>
                <w:rFonts w:ascii="Times New Roman"/>
                <w:sz w:val="20"/>
              </w:rPr>
            </w:pPr>
          </w:p>
        </w:tc>
      </w:tr>
    </w:tbl>
    <w:p>
      <w:pPr>
        <w:spacing w:after="0"/>
        <w:jc w:val="left"/>
        <w:rPr>
          <w:rFonts w:ascii="Times New Roman"/>
          <w:sz w:val="20"/>
        </w:rPr>
        <w:sectPr>
          <w:pgSz w:w="11910" w:h="16840"/>
          <w:pgMar w:header="720" w:footer="933" w:top="1660" w:bottom="1120" w:left="600" w:right="520"/>
        </w:sectPr>
      </w:pPr>
    </w:p>
    <w:p>
      <w:pPr>
        <w:pStyle w:val="BodyText"/>
        <w:spacing w:before="7"/>
        <w:rPr>
          <w:sz w:val="9"/>
        </w:rPr>
      </w:pPr>
    </w:p>
    <w:p>
      <w:pPr>
        <w:pStyle w:val="Heading5"/>
        <w:numPr>
          <w:ilvl w:val="0"/>
          <w:numId w:val="14"/>
        </w:numPr>
        <w:tabs>
          <w:tab w:pos="552" w:val="left" w:leader="none"/>
          <w:tab w:pos="553" w:val="left" w:leader="none"/>
        </w:tabs>
        <w:spacing w:line="240" w:lineRule="auto" w:before="106" w:after="0"/>
        <w:ind w:left="552" w:right="0" w:hanging="433"/>
        <w:jc w:val="left"/>
        <w:rPr>
          <w:rFonts w:ascii="Arial"/>
        </w:rPr>
      </w:pPr>
      <w:bookmarkStart w:name="_bookmark156" w:id="305"/>
      <w:bookmarkEnd w:id="305"/>
      <w:r>
        <w:rPr>
          <w:b w:val="0"/>
        </w:rPr>
      </w:r>
      <w:bookmarkStart w:name="_bookmark156" w:id="306"/>
      <w:bookmarkEnd w:id="306"/>
      <w:r>
        <w:rPr>
          <w:rFonts w:ascii="Arial"/>
          <w:color w:val="1F664D"/>
        </w:rPr>
        <w:t>E</w:t>
      </w:r>
      <w:r>
        <w:rPr>
          <w:rFonts w:ascii="Arial"/>
          <w:color w:val="1F664D"/>
        </w:rPr>
        <w:t>mbassy</w:t>
      </w:r>
      <w:r>
        <w:rPr>
          <w:rFonts w:ascii="Arial"/>
          <w:color w:val="1F664D"/>
          <w:spacing w:val="4"/>
        </w:rPr>
        <w:t> </w:t>
      </w:r>
      <w:r>
        <w:rPr>
          <w:rFonts w:ascii="Arial"/>
          <w:color w:val="1F664D"/>
        </w:rPr>
        <w:t>TechZone</w:t>
      </w:r>
    </w:p>
    <w:p>
      <w:pPr>
        <w:pStyle w:val="BodyText"/>
        <w:spacing w:before="8"/>
        <w:rPr>
          <w:rFonts w:ascii="Arial"/>
          <w:b/>
          <w:sz w:val="28"/>
        </w:rPr>
      </w:pPr>
    </w:p>
    <w:p>
      <w:pPr>
        <w:pStyle w:val="ListParagraph"/>
        <w:numPr>
          <w:ilvl w:val="1"/>
          <w:numId w:val="14"/>
        </w:numPr>
        <w:tabs>
          <w:tab w:pos="696" w:val="left" w:leader="none"/>
          <w:tab w:pos="697" w:val="left" w:leader="none"/>
        </w:tabs>
        <w:spacing w:line="240" w:lineRule="auto" w:before="1" w:after="0"/>
        <w:ind w:left="696" w:right="0" w:hanging="577"/>
        <w:jc w:val="left"/>
        <w:rPr>
          <w:color w:val="1F6647"/>
          <w:sz w:val="22"/>
        </w:rPr>
      </w:pPr>
      <w:bookmarkStart w:name="_bookmark157" w:id="307"/>
      <w:bookmarkEnd w:id="307"/>
      <w:r>
        <w:rPr/>
      </w:r>
      <w:bookmarkStart w:name="_bookmark157" w:id="308"/>
      <w:bookmarkEnd w:id="308"/>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5"/>
        <w:rPr>
          <w:sz w:val="17"/>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50"/>
        <w:gridCol w:w="7036"/>
      </w:tblGrid>
      <w:tr>
        <w:trPr>
          <w:trHeight w:val="251" w:hRule="atLeast"/>
        </w:trPr>
        <w:tc>
          <w:tcPr>
            <w:tcW w:w="10486" w:type="dxa"/>
            <w:gridSpan w:val="2"/>
            <w:tcBorders>
              <w:top w:val="single" w:sz="12" w:space="0" w:color="1F6B16"/>
              <w:bottom w:val="single" w:sz="6" w:space="0" w:color="69BD28"/>
            </w:tcBorders>
            <w:shd w:val="clear" w:color="auto" w:fill="006A4D"/>
          </w:tcPr>
          <w:p>
            <w:pPr>
              <w:pStyle w:val="TableParagraph"/>
              <w:spacing w:line="209" w:lineRule="exact" w:before="22"/>
              <w:ind w:left="142" w:right="130"/>
              <w:rPr>
                <w:b/>
                <w:sz w:val="18"/>
              </w:rPr>
            </w:pPr>
            <w:r>
              <w:rPr>
                <w:b/>
                <w:color w:val="FFFFFF"/>
                <w:w w:val="105"/>
                <w:sz w:val="18"/>
              </w:rPr>
              <w:t>Brief Description</w:t>
            </w:r>
          </w:p>
        </w:tc>
      </w:tr>
      <w:tr>
        <w:trPr>
          <w:trHeight w:val="253" w:hRule="atLeast"/>
        </w:trPr>
        <w:tc>
          <w:tcPr>
            <w:tcW w:w="3450" w:type="dxa"/>
            <w:tcBorders>
              <w:top w:val="single" w:sz="6" w:space="0" w:color="69BD28"/>
              <w:bottom w:val="single" w:sz="6" w:space="0" w:color="69BD28"/>
            </w:tcBorders>
            <w:shd w:val="clear" w:color="auto" w:fill="006A4D"/>
          </w:tcPr>
          <w:p>
            <w:pPr>
              <w:pStyle w:val="TableParagraph"/>
              <w:spacing w:line="223" w:lineRule="exact" w:before="11"/>
              <w:ind w:left="1007" w:right="1008"/>
              <w:rPr>
                <w:sz w:val="20"/>
              </w:rPr>
            </w:pPr>
            <w:r>
              <w:rPr>
                <w:color w:val="FFFFFF"/>
                <w:sz w:val="20"/>
              </w:rPr>
              <w:t>Particulars</w:t>
            </w:r>
          </w:p>
        </w:tc>
        <w:tc>
          <w:tcPr>
            <w:tcW w:w="7036" w:type="dxa"/>
            <w:tcBorders>
              <w:top w:val="single" w:sz="6" w:space="0" w:color="69BD28"/>
              <w:bottom w:val="single" w:sz="6" w:space="0" w:color="69BD28"/>
            </w:tcBorders>
            <w:shd w:val="clear" w:color="auto" w:fill="006A4D"/>
          </w:tcPr>
          <w:p>
            <w:pPr>
              <w:pStyle w:val="TableParagraph"/>
              <w:spacing w:before="22"/>
              <w:ind w:left="1231" w:right="1246"/>
              <w:rPr>
                <w:b/>
                <w:sz w:val="18"/>
              </w:rPr>
            </w:pPr>
            <w:r>
              <w:rPr>
                <w:b/>
                <w:color w:val="FFFFFF"/>
                <w:w w:val="110"/>
                <w:sz w:val="18"/>
              </w:rPr>
              <w:t>Details</w:t>
            </w:r>
          </w:p>
        </w:tc>
      </w:tr>
      <w:tr>
        <w:trPr>
          <w:trHeight w:val="637" w:hRule="atLeast"/>
        </w:trPr>
        <w:tc>
          <w:tcPr>
            <w:tcW w:w="3450" w:type="dxa"/>
            <w:shd w:val="clear" w:color="auto" w:fill="69BD28"/>
          </w:tcPr>
          <w:p>
            <w:pPr>
              <w:pStyle w:val="TableParagraph"/>
              <w:spacing w:before="5"/>
              <w:jc w:val="left"/>
              <w:rPr>
                <w:sz w:val="18"/>
              </w:rPr>
            </w:pPr>
          </w:p>
          <w:p>
            <w:pPr>
              <w:pStyle w:val="TableParagraph"/>
              <w:ind w:left="1008" w:right="1008"/>
              <w:rPr>
                <w:b/>
                <w:sz w:val="18"/>
              </w:rPr>
            </w:pPr>
            <w:r>
              <w:rPr>
                <w:b/>
                <w:color w:val="FFFFFF"/>
                <w:w w:val="110"/>
                <w:sz w:val="18"/>
              </w:rPr>
              <w:t>Property Name</w:t>
            </w:r>
          </w:p>
        </w:tc>
        <w:tc>
          <w:tcPr>
            <w:tcW w:w="7036" w:type="dxa"/>
            <w:tcBorders>
              <w:top w:val="single" w:sz="6" w:space="0" w:color="69BD28"/>
              <w:bottom w:val="single" w:sz="6" w:space="0" w:color="69BD28"/>
            </w:tcBorders>
          </w:tcPr>
          <w:p>
            <w:pPr>
              <w:pStyle w:val="TableParagraph"/>
              <w:spacing w:before="5"/>
              <w:jc w:val="left"/>
              <w:rPr>
                <w:sz w:val="18"/>
              </w:rPr>
            </w:pPr>
          </w:p>
          <w:p>
            <w:pPr>
              <w:pStyle w:val="TableParagraph"/>
              <w:ind w:left="1232" w:right="1246"/>
              <w:rPr>
                <w:sz w:val="18"/>
              </w:rPr>
            </w:pPr>
            <w:r>
              <w:rPr>
                <w:sz w:val="18"/>
              </w:rPr>
              <w:t>Embassy TechZone</w:t>
            </w:r>
          </w:p>
        </w:tc>
      </w:tr>
      <w:tr>
        <w:trPr>
          <w:trHeight w:val="563" w:hRule="atLeast"/>
        </w:trPr>
        <w:tc>
          <w:tcPr>
            <w:tcW w:w="3450" w:type="dxa"/>
            <w:shd w:val="clear" w:color="auto" w:fill="69BD28"/>
          </w:tcPr>
          <w:p>
            <w:pPr>
              <w:pStyle w:val="TableParagraph"/>
              <w:spacing w:before="178"/>
              <w:ind w:left="1009" w:right="1007"/>
              <w:rPr>
                <w:b/>
                <w:sz w:val="18"/>
              </w:rPr>
            </w:pPr>
            <w:r>
              <w:rPr>
                <w:b/>
                <w:color w:val="FFFFFF"/>
                <w:w w:val="110"/>
                <w:sz w:val="18"/>
              </w:rPr>
              <w:t>Address</w:t>
            </w:r>
          </w:p>
        </w:tc>
        <w:tc>
          <w:tcPr>
            <w:tcW w:w="7036" w:type="dxa"/>
            <w:tcBorders>
              <w:top w:val="single" w:sz="6" w:space="0" w:color="69BD28"/>
              <w:bottom w:val="single" w:sz="6" w:space="0" w:color="69BD28"/>
            </w:tcBorders>
          </w:tcPr>
          <w:p>
            <w:pPr>
              <w:pStyle w:val="TableParagraph"/>
              <w:spacing w:line="247" w:lineRule="auto" w:before="70"/>
              <w:ind w:left="1490" w:hanging="1386"/>
              <w:jc w:val="left"/>
              <w:rPr>
                <w:sz w:val="18"/>
              </w:rPr>
            </w:pPr>
            <w:r>
              <w:rPr>
                <w:sz w:val="18"/>
              </w:rPr>
              <w:t>Plot</w:t>
            </w:r>
            <w:r>
              <w:rPr>
                <w:spacing w:val="-20"/>
                <w:sz w:val="18"/>
              </w:rPr>
              <w:t> </w:t>
            </w:r>
            <w:r>
              <w:rPr>
                <w:sz w:val="18"/>
              </w:rPr>
              <w:t>No.</w:t>
            </w:r>
            <w:r>
              <w:rPr>
                <w:spacing w:val="-19"/>
                <w:sz w:val="18"/>
              </w:rPr>
              <w:t> </w:t>
            </w:r>
            <w:r>
              <w:rPr>
                <w:sz w:val="18"/>
              </w:rPr>
              <w:t>3/A</w:t>
            </w:r>
            <w:r>
              <w:rPr>
                <w:spacing w:val="-18"/>
                <w:sz w:val="18"/>
              </w:rPr>
              <w:t> </w:t>
            </w:r>
            <w:r>
              <w:rPr>
                <w:sz w:val="18"/>
              </w:rPr>
              <w:t>and</w:t>
            </w:r>
            <w:r>
              <w:rPr>
                <w:spacing w:val="-19"/>
                <w:sz w:val="18"/>
              </w:rPr>
              <w:t> </w:t>
            </w:r>
            <w:r>
              <w:rPr>
                <w:sz w:val="18"/>
              </w:rPr>
              <w:t>Plot</w:t>
            </w:r>
            <w:r>
              <w:rPr>
                <w:spacing w:val="-20"/>
                <w:sz w:val="18"/>
              </w:rPr>
              <w:t> </w:t>
            </w:r>
            <w:r>
              <w:rPr>
                <w:sz w:val="18"/>
              </w:rPr>
              <w:t>No.</w:t>
            </w:r>
            <w:r>
              <w:rPr>
                <w:spacing w:val="-18"/>
                <w:sz w:val="18"/>
              </w:rPr>
              <w:t> </w:t>
            </w:r>
            <w:r>
              <w:rPr>
                <w:sz w:val="18"/>
              </w:rPr>
              <w:t>3/B,</w:t>
            </w:r>
            <w:r>
              <w:rPr>
                <w:spacing w:val="-18"/>
                <w:sz w:val="18"/>
              </w:rPr>
              <w:t> </w:t>
            </w:r>
            <w:r>
              <w:rPr>
                <w:sz w:val="18"/>
              </w:rPr>
              <w:t>Rajiv</w:t>
            </w:r>
            <w:r>
              <w:rPr>
                <w:spacing w:val="-18"/>
                <w:sz w:val="18"/>
              </w:rPr>
              <w:t> </w:t>
            </w:r>
            <w:r>
              <w:rPr>
                <w:sz w:val="18"/>
              </w:rPr>
              <w:t>Gandhi</w:t>
            </w:r>
            <w:r>
              <w:rPr>
                <w:spacing w:val="-19"/>
                <w:sz w:val="18"/>
              </w:rPr>
              <w:t> </w:t>
            </w:r>
            <w:r>
              <w:rPr>
                <w:sz w:val="18"/>
              </w:rPr>
              <w:t>Infotech</w:t>
            </w:r>
            <w:r>
              <w:rPr>
                <w:spacing w:val="-18"/>
                <w:sz w:val="18"/>
              </w:rPr>
              <w:t> </w:t>
            </w:r>
            <w:r>
              <w:rPr>
                <w:sz w:val="18"/>
              </w:rPr>
              <w:t>Park,</w:t>
            </w:r>
            <w:r>
              <w:rPr>
                <w:spacing w:val="-18"/>
                <w:sz w:val="18"/>
              </w:rPr>
              <w:t> </w:t>
            </w:r>
            <w:r>
              <w:rPr>
                <w:sz w:val="18"/>
              </w:rPr>
              <w:t>Hinjewadi,</w:t>
            </w:r>
            <w:r>
              <w:rPr>
                <w:spacing w:val="-19"/>
                <w:sz w:val="18"/>
              </w:rPr>
              <w:t> </w:t>
            </w:r>
            <w:r>
              <w:rPr>
                <w:sz w:val="18"/>
              </w:rPr>
              <w:t>Phase-II,</w:t>
            </w:r>
            <w:r>
              <w:rPr>
                <w:spacing w:val="-19"/>
                <w:sz w:val="18"/>
              </w:rPr>
              <w:t> </w:t>
            </w:r>
            <w:r>
              <w:rPr>
                <w:sz w:val="18"/>
              </w:rPr>
              <w:t>Village Marunji, Taluka Mulshi, District Pune,</w:t>
            </w:r>
            <w:r>
              <w:rPr>
                <w:spacing w:val="-28"/>
                <w:sz w:val="18"/>
              </w:rPr>
              <w:t> </w:t>
            </w:r>
            <w:r>
              <w:rPr>
                <w:sz w:val="18"/>
              </w:rPr>
              <w:t>Maharashtra.</w:t>
            </w:r>
          </w:p>
        </w:tc>
      </w:tr>
      <w:tr>
        <w:trPr>
          <w:trHeight w:val="520" w:hRule="atLeast"/>
        </w:trPr>
        <w:tc>
          <w:tcPr>
            <w:tcW w:w="3450" w:type="dxa"/>
            <w:shd w:val="clear" w:color="auto" w:fill="69BD28"/>
          </w:tcPr>
          <w:p>
            <w:pPr>
              <w:pStyle w:val="TableParagraph"/>
              <w:spacing w:before="157"/>
              <w:ind w:left="1007" w:right="1008"/>
              <w:rPr>
                <w:b/>
                <w:sz w:val="18"/>
              </w:rPr>
            </w:pPr>
            <w:r>
              <w:rPr>
                <w:b/>
                <w:color w:val="FFFFFF"/>
                <w:w w:val="110"/>
                <w:sz w:val="18"/>
              </w:rPr>
              <w:t>Land Area</w:t>
            </w:r>
          </w:p>
        </w:tc>
        <w:tc>
          <w:tcPr>
            <w:tcW w:w="7036" w:type="dxa"/>
            <w:tcBorders>
              <w:top w:val="single" w:sz="6" w:space="0" w:color="69BD28"/>
              <w:bottom w:val="single" w:sz="6" w:space="0" w:color="69BD28"/>
            </w:tcBorders>
          </w:tcPr>
          <w:p>
            <w:pPr>
              <w:pStyle w:val="TableParagraph"/>
              <w:spacing w:before="157"/>
              <w:ind w:left="1229" w:right="1246"/>
              <w:rPr>
                <w:sz w:val="18"/>
              </w:rPr>
            </w:pPr>
            <w:r>
              <w:rPr>
                <w:sz w:val="18"/>
              </w:rPr>
              <w:t>Total 67.45 acres</w:t>
            </w:r>
          </w:p>
        </w:tc>
      </w:tr>
      <w:tr>
        <w:trPr>
          <w:trHeight w:val="318" w:hRule="atLeast"/>
        </w:trPr>
        <w:tc>
          <w:tcPr>
            <w:tcW w:w="3450" w:type="dxa"/>
            <w:shd w:val="clear" w:color="auto" w:fill="69BD28"/>
          </w:tcPr>
          <w:p>
            <w:pPr>
              <w:pStyle w:val="TableParagraph"/>
              <w:jc w:val="left"/>
              <w:rPr>
                <w:rFonts w:ascii="Times New Roman"/>
                <w:sz w:val="20"/>
              </w:rPr>
            </w:pPr>
          </w:p>
        </w:tc>
        <w:tc>
          <w:tcPr>
            <w:tcW w:w="7036" w:type="dxa"/>
            <w:tcBorders>
              <w:top w:val="single" w:sz="6" w:space="0" w:color="69BD28"/>
            </w:tcBorders>
          </w:tcPr>
          <w:p>
            <w:pPr>
              <w:pStyle w:val="TableParagraph"/>
              <w:spacing w:line="192" w:lineRule="exact" w:before="106"/>
              <w:ind w:left="1234" w:right="1246"/>
              <w:rPr>
                <w:sz w:val="18"/>
              </w:rPr>
            </w:pPr>
            <w:r>
              <w:rPr>
                <w:w w:val="105"/>
                <w:sz w:val="18"/>
              </w:rPr>
              <w:t>Total Completed Leasable Area </w:t>
            </w:r>
            <w:r>
              <w:rPr>
                <w:w w:val="130"/>
                <w:sz w:val="18"/>
              </w:rPr>
              <w:t>~ </w:t>
            </w:r>
            <w:r>
              <w:rPr>
                <w:w w:val="105"/>
                <w:sz w:val="18"/>
              </w:rPr>
              <w:t>2.16 mn sf</w:t>
            </w:r>
          </w:p>
        </w:tc>
      </w:tr>
      <w:tr>
        <w:trPr>
          <w:trHeight w:val="216" w:hRule="atLeast"/>
        </w:trPr>
        <w:tc>
          <w:tcPr>
            <w:tcW w:w="3450" w:type="dxa"/>
            <w:shd w:val="clear" w:color="auto" w:fill="69BD28"/>
          </w:tcPr>
          <w:p>
            <w:pPr>
              <w:pStyle w:val="TableParagraph"/>
              <w:spacing w:line="192" w:lineRule="exact" w:before="4"/>
              <w:ind w:left="1008" w:right="1008"/>
              <w:rPr>
                <w:b/>
                <w:sz w:val="18"/>
              </w:rPr>
            </w:pPr>
            <w:r>
              <w:rPr>
                <w:b/>
                <w:color w:val="FFFFFF"/>
                <w:w w:val="110"/>
                <w:sz w:val="18"/>
              </w:rPr>
              <w:t>Leasable Area</w:t>
            </w:r>
          </w:p>
        </w:tc>
        <w:tc>
          <w:tcPr>
            <w:tcW w:w="7036" w:type="dxa"/>
          </w:tcPr>
          <w:p>
            <w:pPr>
              <w:pStyle w:val="TableParagraph"/>
              <w:spacing w:line="192" w:lineRule="exact" w:before="4"/>
              <w:ind w:left="1237" w:right="1246"/>
              <w:rPr>
                <w:sz w:val="18"/>
              </w:rPr>
            </w:pPr>
            <w:r>
              <w:rPr>
                <w:w w:val="105"/>
                <w:sz w:val="18"/>
              </w:rPr>
              <w:t>Total Under Construction Leasable Area </w:t>
            </w:r>
            <w:r>
              <w:rPr>
                <w:w w:val="130"/>
                <w:sz w:val="18"/>
              </w:rPr>
              <w:t>~ </w:t>
            </w:r>
            <w:r>
              <w:rPr>
                <w:w w:val="105"/>
                <w:sz w:val="18"/>
              </w:rPr>
              <w:t>0.88 mn sf</w:t>
            </w:r>
          </w:p>
        </w:tc>
      </w:tr>
      <w:tr>
        <w:trPr>
          <w:trHeight w:val="319" w:hRule="atLeast"/>
        </w:trPr>
        <w:tc>
          <w:tcPr>
            <w:tcW w:w="3450" w:type="dxa"/>
            <w:shd w:val="clear" w:color="auto" w:fill="69BD28"/>
          </w:tcPr>
          <w:p>
            <w:pPr>
              <w:pStyle w:val="TableParagraph"/>
              <w:jc w:val="left"/>
              <w:rPr>
                <w:rFonts w:ascii="Times New Roman"/>
                <w:sz w:val="20"/>
              </w:rPr>
            </w:pPr>
          </w:p>
        </w:tc>
        <w:tc>
          <w:tcPr>
            <w:tcW w:w="7036" w:type="dxa"/>
            <w:tcBorders>
              <w:bottom w:val="single" w:sz="6" w:space="0" w:color="69BD28"/>
            </w:tcBorders>
          </w:tcPr>
          <w:p>
            <w:pPr>
              <w:pStyle w:val="TableParagraph"/>
              <w:spacing w:before="4"/>
              <w:ind w:left="1234" w:right="1246"/>
              <w:rPr>
                <w:sz w:val="18"/>
              </w:rPr>
            </w:pPr>
            <w:r>
              <w:rPr>
                <w:w w:val="105"/>
                <w:sz w:val="18"/>
              </w:rPr>
              <w:t>Total Proposed Leasable Area </w:t>
            </w:r>
            <w:r>
              <w:rPr>
                <w:w w:val="130"/>
                <w:sz w:val="18"/>
              </w:rPr>
              <w:t>~ </w:t>
            </w:r>
            <w:r>
              <w:rPr>
                <w:w w:val="105"/>
                <w:sz w:val="18"/>
              </w:rPr>
              <w:t>2.43 mn sf</w:t>
            </w:r>
          </w:p>
        </w:tc>
      </w:tr>
    </w:tbl>
    <w:p>
      <w:pPr>
        <w:spacing w:before="47"/>
        <w:ind w:left="120" w:right="0" w:firstLine="0"/>
        <w:jc w:val="left"/>
        <w:rPr>
          <w:i/>
          <w:sz w:val="18"/>
        </w:rPr>
      </w:pPr>
      <w:r>
        <w:rPr>
          <w:i/>
          <w:w w:val="90"/>
          <w:sz w:val="18"/>
        </w:rPr>
        <w:t>Source: Title Report, Architect</w:t>
      </w:r>
      <w:r>
        <w:rPr>
          <w:i/>
          <w:spacing w:val="-10"/>
          <w:w w:val="90"/>
          <w:sz w:val="18"/>
        </w:rPr>
        <w:t> </w:t>
      </w:r>
      <w:r>
        <w:rPr>
          <w:i/>
          <w:w w:val="90"/>
          <w:sz w:val="18"/>
        </w:rPr>
        <w:t>Certificate</w:t>
      </w:r>
    </w:p>
    <w:p>
      <w:pPr>
        <w:pStyle w:val="BodyText"/>
        <w:rPr>
          <w:i/>
          <w:sz w:val="24"/>
        </w:rPr>
      </w:pPr>
    </w:p>
    <w:p>
      <w:pPr>
        <w:pStyle w:val="ListParagraph"/>
        <w:numPr>
          <w:ilvl w:val="2"/>
          <w:numId w:val="14"/>
        </w:numPr>
        <w:tabs>
          <w:tab w:pos="907" w:val="left" w:leader="none"/>
          <w:tab w:pos="908" w:val="left" w:leader="none"/>
        </w:tabs>
        <w:spacing w:line="240" w:lineRule="auto" w:before="0" w:after="0"/>
        <w:ind w:left="907" w:right="0" w:hanging="788"/>
        <w:jc w:val="left"/>
        <w:rPr>
          <w:sz w:val="22"/>
        </w:rPr>
      </w:pPr>
      <w:bookmarkStart w:name="_bookmark158" w:id="309"/>
      <w:bookmarkEnd w:id="309"/>
      <w:r>
        <w:rPr>
          <w:color w:val="1F664D"/>
          <w:sz w:val="22"/>
        </w:rPr>
        <w:t>S</w:t>
      </w:r>
      <w:r>
        <w:rPr>
          <w:color w:val="1F664D"/>
          <w:sz w:val="22"/>
        </w:rPr>
        <w:t>ite</w:t>
      </w:r>
      <w:r>
        <w:rPr>
          <w:color w:val="1F664D"/>
          <w:spacing w:val="-3"/>
          <w:sz w:val="22"/>
        </w:rPr>
        <w:t> </w:t>
      </w:r>
      <w:r>
        <w:rPr>
          <w:color w:val="1F664D"/>
          <w:sz w:val="22"/>
        </w:rPr>
        <w:t>Details</w:t>
      </w:r>
    </w:p>
    <w:p>
      <w:pPr>
        <w:pStyle w:val="BodyText"/>
        <w:spacing w:before="2"/>
        <w:rPr>
          <w:sz w:val="28"/>
        </w:rPr>
      </w:pPr>
    </w:p>
    <w:p>
      <w:pPr>
        <w:pStyle w:val="BodyText"/>
        <w:tabs>
          <w:tab w:pos="2558" w:val="left" w:leader="none"/>
        </w:tabs>
        <w:spacing w:line="321" w:lineRule="auto" w:before="1"/>
        <w:ind w:left="2558" w:right="306" w:hanging="1810"/>
        <w:jc w:val="both"/>
      </w:pPr>
      <w:r>
        <w:rPr/>
        <w:t>Situation:</w:t>
        <w:tab/>
        <w:t>Embassy</w:t>
      </w:r>
      <w:r>
        <w:rPr>
          <w:spacing w:val="-26"/>
        </w:rPr>
        <w:t> </w:t>
      </w:r>
      <w:r>
        <w:rPr/>
        <w:t>TechZone</w:t>
      </w:r>
      <w:r>
        <w:rPr>
          <w:spacing w:val="-26"/>
        </w:rPr>
        <w:t> </w:t>
      </w:r>
      <w:r>
        <w:rPr/>
        <w:t>is</w:t>
      </w:r>
      <w:r>
        <w:rPr>
          <w:spacing w:val="-26"/>
        </w:rPr>
        <w:t> </w:t>
      </w:r>
      <w:r>
        <w:rPr/>
        <w:t>an</w:t>
      </w:r>
      <w:r>
        <w:rPr>
          <w:spacing w:val="-25"/>
        </w:rPr>
        <w:t> </w:t>
      </w:r>
      <w:r>
        <w:rPr/>
        <w:t>office</w:t>
      </w:r>
      <w:r>
        <w:rPr>
          <w:spacing w:val="-27"/>
        </w:rPr>
        <w:t> </w:t>
      </w:r>
      <w:r>
        <w:rPr/>
        <w:t>park</w:t>
      </w:r>
      <w:r>
        <w:rPr>
          <w:spacing w:val="-26"/>
        </w:rPr>
        <w:t> </w:t>
      </w:r>
      <w:r>
        <w:rPr/>
        <w:t>located</w:t>
      </w:r>
      <w:r>
        <w:rPr>
          <w:spacing w:val="-26"/>
        </w:rPr>
        <w:t> </w:t>
      </w:r>
      <w:r>
        <w:rPr/>
        <w:t>in</w:t>
      </w:r>
      <w:r>
        <w:rPr>
          <w:spacing w:val="-24"/>
        </w:rPr>
        <w:t> </w:t>
      </w:r>
      <w:r>
        <w:rPr/>
        <w:t>Phase</w:t>
      </w:r>
      <w:r>
        <w:rPr>
          <w:spacing w:val="-26"/>
        </w:rPr>
        <w:t> </w:t>
      </w:r>
      <w:r>
        <w:rPr/>
        <w:t>2,</w:t>
      </w:r>
      <w:r>
        <w:rPr>
          <w:spacing w:val="-27"/>
        </w:rPr>
        <w:t> </w:t>
      </w:r>
      <w:r>
        <w:rPr/>
        <w:t>Rajiv</w:t>
      </w:r>
      <w:r>
        <w:rPr>
          <w:spacing w:val="-25"/>
        </w:rPr>
        <w:t> </w:t>
      </w:r>
      <w:r>
        <w:rPr/>
        <w:t>Gandhi</w:t>
      </w:r>
      <w:r>
        <w:rPr>
          <w:spacing w:val="-27"/>
        </w:rPr>
        <w:t> </w:t>
      </w:r>
      <w:r>
        <w:rPr/>
        <w:t>Infotech</w:t>
      </w:r>
      <w:r>
        <w:rPr>
          <w:spacing w:val="-27"/>
        </w:rPr>
        <w:t> </w:t>
      </w:r>
      <w:r>
        <w:rPr/>
        <w:t>Park, Hinjewadi, Pune,</w:t>
      </w:r>
      <w:r>
        <w:rPr>
          <w:spacing w:val="-7"/>
        </w:rPr>
        <w:t> </w:t>
      </w:r>
      <w:r>
        <w:rPr/>
        <w:t>Maharashtra</w:t>
      </w:r>
    </w:p>
    <w:p>
      <w:pPr>
        <w:pStyle w:val="BodyText"/>
        <w:spacing w:before="3"/>
        <w:rPr>
          <w:sz w:val="27"/>
        </w:rPr>
      </w:pPr>
    </w:p>
    <w:p>
      <w:pPr>
        <w:pStyle w:val="BodyText"/>
        <w:tabs>
          <w:tab w:pos="2558" w:val="left" w:leader="none"/>
        </w:tabs>
        <w:spacing w:line="321" w:lineRule="auto"/>
        <w:ind w:left="2558" w:right="307" w:hanging="1810"/>
        <w:jc w:val="both"/>
      </w:pPr>
      <w:r>
        <w:rPr/>
        <w:t>Location:</w:t>
        <w:tab/>
        <w:t>The subject property is a high quality open campus office park and is one of</w:t>
      </w:r>
      <w:r>
        <w:rPr>
          <w:spacing w:val="-33"/>
        </w:rPr>
        <w:t> </w:t>
      </w:r>
      <w:r>
        <w:rPr/>
        <w:t>the largest</w:t>
      </w:r>
      <w:r>
        <w:rPr>
          <w:spacing w:val="-18"/>
        </w:rPr>
        <w:t> </w:t>
      </w:r>
      <w:r>
        <w:rPr/>
        <w:t>developments</w:t>
      </w:r>
      <w:r>
        <w:rPr>
          <w:spacing w:val="-18"/>
        </w:rPr>
        <w:t> </w:t>
      </w:r>
      <w:r>
        <w:rPr/>
        <w:t>in</w:t>
      </w:r>
      <w:r>
        <w:rPr>
          <w:spacing w:val="-19"/>
        </w:rPr>
        <w:t> </w:t>
      </w:r>
      <w:r>
        <w:rPr/>
        <w:t>its</w:t>
      </w:r>
      <w:r>
        <w:rPr>
          <w:spacing w:val="-19"/>
        </w:rPr>
        <w:t> </w:t>
      </w:r>
      <w:r>
        <w:rPr/>
        <w:t>submarket.</w:t>
      </w:r>
      <w:r>
        <w:rPr>
          <w:spacing w:val="-19"/>
        </w:rPr>
        <w:t> </w:t>
      </w:r>
      <w:r>
        <w:rPr/>
        <w:t>The</w:t>
      </w:r>
      <w:r>
        <w:rPr>
          <w:spacing w:val="-21"/>
        </w:rPr>
        <w:t> </w:t>
      </w:r>
      <w:r>
        <w:rPr/>
        <w:t>submarket</w:t>
      </w:r>
      <w:r>
        <w:rPr>
          <w:spacing w:val="-18"/>
        </w:rPr>
        <w:t> </w:t>
      </w:r>
      <w:r>
        <w:rPr/>
        <w:t>is</w:t>
      </w:r>
      <w:r>
        <w:rPr>
          <w:spacing w:val="-18"/>
        </w:rPr>
        <w:t> </w:t>
      </w:r>
      <w:r>
        <w:rPr/>
        <w:t>a</w:t>
      </w:r>
      <w:r>
        <w:rPr>
          <w:spacing w:val="-19"/>
        </w:rPr>
        <w:t> </w:t>
      </w:r>
      <w:r>
        <w:rPr/>
        <w:t>prominent</w:t>
      </w:r>
      <w:r>
        <w:rPr>
          <w:spacing w:val="-18"/>
        </w:rPr>
        <w:t> </w:t>
      </w:r>
      <w:r>
        <w:rPr/>
        <w:t>commercial technology hub of Pune city which has presence of major SEZ developments</w:t>
      </w:r>
      <w:r>
        <w:rPr>
          <w:spacing w:val="-40"/>
        </w:rPr>
        <w:t> </w:t>
      </w:r>
      <w:r>
        <w:rPr/>
        <w:t>like Embassy</w:t>
      </w:r>
      <w:r>
        <w:rPr>
          <w:spacing w:val="-46"/>
        </w:rPr>
        <w:t> </w:t>
      </w:r>
      <w:r>
        <w:rPr/>
        <w:t>TechZone</w:t>
      </w:r>
      <w:r>
        <w:rPr>
          <w:spacing w:val="-45"/>
        </w:rPr>
        <w:t> </w:t>
      </w:r>
      <w:r>
        <w:rPr/>
        <w:t>(subject</w:t>
      </w:r>
      <w:r>
        <w:rPr>
          <w:spacing w:val="-45"/>
        </w:rPr>
        <w:t> </w:t>
      </w:r>
      <w:r>
        <w:rPr/>
        <w:t>property),</w:t>
      </w:r>
      <w:r>
        <w:rPr>
          <w:spacing w:val="-46"/>
        </w:rPr>
        <w:t> </w:t>
      </w:r>
      <w:r>
        <w:rPr/>
        <w:t>Quadron,</w:t>
      </w:r>
      <w:r>
        <w:rPr>
          <w:spacing w:val="-45"/>
        </w:rPr>
        <w:t> </w:t>
      </w:r>
      <w:r>
        <w:rPr/>
        <w:t>Blue</w:t>
      </w:r>
      <w:r>
        <w:rPr>
          <w:spacing w:val="-45"/>
        </w:rPr>
        <w:t> </w:t>
      </w:r>
      <w:r>
        <w:rPr/>
        <w:t>Ridge,</w:t>
      </w:r>
      <w:r>
        <w:rPr>
          <w:spacing w:val="-46"/>
        </w:rPr>
        <w:t> </w:t>
      </w:r>
      <w:r>
        <w:rPr/>
        <w:t>Ascendas</w:t>
      </w:r>
      <w:r>
        <w:rPr>
          <w:spacing w:val="-46"/>
        </w:rPr>
        <w:t> </w:t>
      </w:r>
      <w:r>
        <w:rPr/>
        <w:t>International Tech Park, etc. Further, the submarket also has presence of IT parks like Pesh Infotech,</w:t>
      </w:r>
      <w:r>
        <w:rPr>
          <w:spacing w:val="-18"/>
        </w:rPr>
        <w:t> </w:t>
      </w:r>
      <w:r>
        <w:rPr/>
        <w:t>Indo</w:t>
      </w:r>
      <w:r>
        <w:rPr>
          <w:spacing w:val="-18"/>
        </w:rPr>
        <w:t> </w:t>
      </w:r>
      <w:r>
        <w:rPr/>
        <w:t>Global</w:t>
      </w:r>
      <w:r>
        <w:rPr>
          <w:spacing w:val="-18"/>
        </w:rPr>
        <w:t> </w:t>
      </w:r>
      <w:r>
        <w:rPr/>
        <w:t>Software</w:t>
      </w:r>
      <w:r>
        <w:rPr>
          <w:spacing w:val="-18"/>
        </w:rPr>
        <w:t> </w:t>
      </w:r>
      <w:r>
        <w:rPr/>
        <w:t>Tech</w:t>
      </w:r>
      <w:r>
        <w:rPr>
          <w:spacing w:val="-18"/>
        </w:rPr>
        <w:t> </w:t>
      </w:r>
      <w:r>
        <w:rPr/>
        <w:t>Park,</w:t>
      </w:r>
      <w:r>
        <w:rPr>
          <w:spacing w:val="-18"/>
        </w:rPr>
        <w:t> </w:t>
      </w:r>
      <w:r>
        <w:rPr/>
        <w:t>Radius</w:t>
      </w:r>
      <w:r>
        <w:rPr>
          <w:spacing w:val="-18"/>
        </w:rPr>
        <w:t> </w:t>
      </w:r>
      <w:r>
        <w:rPr/>
        <w:t>Tech</w:t>
      </w:r>
      <w:r>
        <w:rPr>
          <w:spacing w:val="-18"/>
        </w:rPr>
        <w:t> </w:t>
      </w:r>
      <w:r>
        <w:rPr/>
        <w:t>Park,</w:t>
      </w:r>
      <w:r>
        <w:rPr>
          <w:spacing w:val="-18"/>
        </w:rPr>
        <w:t> </w:t>
      </w:r>
      <w:r>
        <w:rPr/>
        <w:t>Panchshil</w:t>
      </w:r>
      <w:r>
        <w:rPr>
          <w:spacing w:val="-18"/>
        </w:rPr>
        <w:t> </w:t>
      </w:r>
      <w:r>
        <w:rPr/>
        <w:t>Tech</w:t>
      </w:r>
      <w:r>
        <w:rPr>
          <w:spacing w:val="-18"/>
        </w:rPr>
        <w:t> </w:t>
      </w:r>
      <w:r>
        <w:rPr/>
        <w:t>Park, etc.</w:t>
      </w:r>
      <w:r>
        <w:rPr>
          <w:spacing w:val="-31"/>
        </w:rPr>
        <w:t> </w:t>
      </w:r>
      <w:r>
        <w:rPr/>
        <w:t>In</w:t>
      </w:r>
      <w:r>
        <w:rPr>
          <w:spacing w:val="-30"/>
        </w:rPr>
        <w:t> </w:t>
      </w:r>
      <w:r>
        <w:rPr/>
        <w:t>addition,</w:t>
      </w:r>
      <w:r>
        <w:rPr>
          <w:spacing w:val="-30"/>
        </w:rPr>
        <w:t> </w:t>
      </w:r>
      <w:r>
        <w:rPr/>
        <w:t>some</w:t>
      </w:r>
      <w:r>
        <w:rPr>
          <w:spacing w:val="-30"/>
        </w:rPr>
        <w:t> </w:t>
      </w:r>
      <w:r>
        <w:rPr/>
        <w:t>of</w:t>
      </w:r>
      <w:r>
        <w:rPr>
          <w:spacing w:val="-29"/>
        </w:rPr>
        <w:t> </w:t>
      </w:r>
      <w:r>
        <w:rPr/>
        <w:t>the</w:t>
      </w:r>
      <w:r>
        <w:rPr>
          <w:spacing w:val="-30"/>
        </w:rPr>
        <w:t> </w:t>
      </w:r>
      <w:r>
        <w:rPr/>
        <w:t>campuses</w:t>
      </w:r>
      <w:r>
        <w:rPr>
          <w:spacing w:val="-30"/>
        </w:rPr>
        <w:t> </w:t>
      </w:r>
      <w:r>
        <w:rPr/>
        <w:t>of</w:t>
      </w:r>
      <w:r>
        <w:rPr>
          <w:spacing w:val="-31"/>
        </w:rPr>
        <w:t> </w:t>
      </w:r>
      <w:r>
        <w:rPr/>
        <w:t>IT</w:t>
      </w:r>
      <w:r>
        <w:rPr>
          <w:spacing w:val="-30"/>
        </w:rPr>
        <w:t> </w:t>
      </w:r>
      <w:r>
        <w:rPr/>
        <w:t>majors</w:t>
      </w:r>
      <w:r>
        <w:rPr>
          <w:spacing w:val="-31"/>
        </w:rPr>
        <w:t> </w:t>
      </w:r>
      <w:r>
        <w:rPr/>
        <w:t>such</w:t>
      </w:r>
      <w:r>
        <w:rPr>
          <w:spacing w:val="-30"/>
        </w:rPr>
        <w:t> </w:t>
      </w:r>
      <w:r>
        <w:rPr/>
        <w:t>as</w:t>
      </w:r>
      <w:r>
        <w:rPr>
          <w:spacing w:val="-31"/>
        </w:rPr>
        <w:t> </w:t>
      </w:r>
      <w:r>
        <w:rPr/>
        <w:t>Wipro,</w:t>
      </w:r>
      <w:r>
        <w:rPr>
          <w:spacing w:val="-30"/>
        </w:rPr>
        <w:t> </w:t>
      </w:r>
      <w:r>
        <w:rPr/>
        <w:t>Infosys,</w:t>
      </w:r>
      <w:r>
        <w:rPr>
          <w:spacing w:val="-30"/>
        </w:rPr>
        <w:t> </w:t>
      </w:r>
      <w:r>
        <w:rPr/>
        <w:t>Emerson Innovations,</w:t>
      </w:r>
      <w:r>
        <w:rPr>
          <w:spacing w:val="-7"/>
        </w:rPr>
        <w:t> </w:t>
      </w:r>
      <w:r>
        <w:rPr/>
        <w:t>HCL,</w:t>
      </w:r>
      <w:r>
        <w:rPr>
          <w:spacing w:val="-6"/>
        </w:rPr>
        <w:t> </w:t>
      </w:r>
      <w:r>
        <w:rPr/>
        <w:t>etc</w:t>
      </w:r>
      <w:r>
        <w:rPr>
          <w:spacing w:val="-6"/>
        </w:rPr>
        <w:t> </w:t>
      </w:r>
      <w:r>
        <w:rPr/>
        <w:t>are</w:t>
      </w:r>
      <w:r>
        <w:rPr>
          <w:spacing w:val="-7"/>
        </w:rPr>
        <w:t> </w:t>
      </w:r>
      <w:r>
        <w:rPr/>
        <w:t>also</w:t>
      </w:r>
      <w:r>
        <w:rPr>
          <w:spacing w:val="-6"/>
        </w:rPr>
        <w:t> </w:t>
      </w:r>
      <w:r>
        <w:rPr/>
        <w:t>located</w:t>
      </w:r>
      <w:r>
        <w:rPr>
          <w:spacing w:val="-6"/>
        </w:rPr>
        <w:t> </w:t>
      </w:r>
      <w:r>
        <w:rPr/>
        <w:t>in</w:t>
      </w:r>
      <w:r>
        <w:rPr>
          <w:spacing w:val="-8"/>
        </w:rPr>
        <w:t> </w:t>
      </w:r>
      <w:r>
        <w:rPr/>
        <w:t>the</w:t>
      </w:r>
      <w:r>
        <w:rPr>
          <w:spacing w:val="-7"/>
        </w:rPr>
        <w:t> </w:t>
      </w:r>
      <w:r>
        <w:rPr/>
        <w:t>submarket.</w:t>
      </w:r>
    </w:p>
    <w:p>
      <w:pPr>
        <w:pStyle w:val="BodyText"/>
        <w:spacing w:line="321" w:lineRule="auto" w:before="125"/>
        <w:ind w:left="2558" w:right="304"/>
        <w:jc w:val="both"/>
      </w:pPr>
      <w:r>
        <w:rPr/>
        <w:t>Apart</w:t>
      </w:r>
      <w:r>
        <w:rPr>
          <w:spacing w:val="-14"/>
        </w:rPr>
        <w:t> </w:t>
      </w:r>
      <w:r>
        <w:rPr/>
        <w:t>from</w:t>
      </w:r>
      <w:r>
        <w:rPr>
          <w:spacing w:val="-14"/>
        </w:rPr>
        <w:t> </w:t>
      </w:r>
      <w:r>
        <w:rPr/>
        <w:t>IT/ITeS</w:t>
      </w:r>
      <w:r>
        <w:rPr>
          <w:spacing w:val="-15"/>
        </w:rPr>
        <w:t> </w:t>
      </w:r>
      <w:r>
        <w:rPr/>
        <w:t>developments,</w:t>
      </w:r>
      <w:r>
        <w:rPr>
          <w:spacing w:val="-13"/>
        </w:rPr>
        <w:t> </w:t>
      </w:r>
      <w:r>
        <w:rPr/>
        <w:t>the</w:t>
      </w:r>
      <w:r>
        <w:rPr>
          <w:spacing w:val="-15"/>
        </w:rPr>
        <w:t> </w:t>
      </w:r>
      <w:r>
        <w:rPr/>
        <w:t>subject</w:t>
      </w:r>
      <w:r>
        <w:rPr>
          <w:spacing w:val="-14"/>
        </w:rPr>
        <w:t> </w:t>
      </w:r>
      <w:r>
        <w:rPr/>
        <w:t>micro-market</w:t>
      </w:r>
      <w:r>
        <w:rPr>
          <w:spacing w:val="-14"/>
        </w:rPr>
        <w:t> </w:t>
      </w:r>
      <w:r>
        <w:rPr/>
        <w:t>is</w:t>
      </w:r>
      <w:r>
        <w:rPr>
          <w:spacing w:val="-13"/>
        </w:rPr>
        <w:t> </w:t>
      </w:r>
      <w:r>
        <w:rPr/>
        <w:t>also</w:t>
      </w:r>
      <w:r>
        <w:rPr>
          <w:spacing w:val="-15"/>
        </w:rPr>
        <w:t> </w:t>
      </w:r>
      <w:r>
        <w:rPr/>
        <w:t>witnessing</w:t>
      </w:r>
      <w:r>
        <w:rPr>
          <w:spacing w:val="-13"/>
        </w:rPr>
        <w:t> </w:t>
      </w:r>
      <w:r>
        <w:rPr/>
        <w:t>an increasing</w:t>
      </w:r>
      <w:r>
        <w:rPr>
          <w:spacing w:val="-42"/>
        </w:rPr>
        <w:t> </w:t>
      </w:r>
      <w:r>
        <w:rPr/>
        <w:t>residential</w:t>
      </w:r>
      <w:r>
        <w:rPr>
          <w:spacing w:val="-42"/>
        </w:rPr>
        <w:t> </w:t>
      </w:r>
      <w:r>
        <w:rPr/>
        <w:t>activity</w:t>
      </w:r>
      <w:r>
        <w:rPr>
          <w:spacing w:val="-42"/>
        </w:rPr>
        <w:t> </w:t>
      </w:r>
      <w:r>
        <w:rPr/>
        <w:t>primarily</w:t>
      </w:r>
      <w:r>
        <w:rPr>
          <w:spacing w:val="-42"/>
        </w:rPr>
        <w:t> </w:t>
      </w:r>
      <w:r>
        <w:rPr/>
        <w:t>catering</w:t>
      </w:r>
      <w:r>
        <w:rPr>
          <w:spacing w:val="-41"/>
        </w:rPr>
        <w:t> </w:t>
      </w:r>
      <w:r>
        <w:rPr/>
        <w:t>to</w:t>
      </w:r>
      <w:r>
        <w:rPr>
          <w:spacing w:val="-42"/>
        </w:rPr>
        <w:t> </w:t>
      </w:r>
      <w:r>
        <w:rPr/>
        <w:t>demand</w:t>
      </w:r>
      <w:r>
        <w:rPr>
          <w:spacing w:val="-42"/>
        </w:rPr>
        <w:t> </w:t>
      </w:r>
      <w:r>
        <w:rPr/>
        <w:t>of</w:t>
      </w:r>
      <w:r>
        <w:rPr>
          <w:spacing w:val="-42"/>
        </w:rPr>
        <w:t> </w:t>
      </w:r>
      <w:r>
        <w:rPr/>
        <w:t>the</w:t>
      </w:r>
      <w:r>
        <w:rPr>
          <w:spacing w:val="-42"/>
        </w:rPr>
        <w:t> </w:t>
      </w:r>
      <w:r>
        <w:rPr/>
        <w:t>working</w:t>
      </w:r>
      <w:r>
        <w:rPr>
          <w:spacing w:val="-43"/>
        </w:rPr>
        <w:t> </w:t>
      </w:r>
      <w:r>
        <w:rPr/>
        <w:t>populace of</w:t>
      </w:r>
      <w:r>
        <w:rPr>
          <w:spacing w:val="-44"/>
        </w:rPr>
        <w:t> </w:t>
      </w:r>
      <w:r>
        <w:rPr/>
        <w:t>Hinjewadi</w:t>
      </w:r>
      <w:r>
        <w:rPr>
          <w:spacing w:val="-44"/>
        </w:rPr>
        <w:t> </w:t>
      </w:r>
      <w:r>
        <w:rPr/>
        <w:t>&amp;</w:t>
      </w:r>
      <w:r>
        <w:rPr>
          <w:spacing w:val="-43"/>
        </w:rPr>
        <w:t> </w:t>
      </w:r>
      <w:r>
        <w:rPr/>
        <w:t>nearby</w:t>
      </w:r>
      <w:r>
        <w:rPr>
          <w:spacing w:val="-44"/>
        </w:rPr>
        <w:t> </w:t>
      </w:r>
      <w:r>
        <w:rPr/>
        <w:t>micro-markets.</w:t>
      </w:r>
      <w:r>
        <w:rPr>
          <w:spacing w:val="-43"/>
        </w:rPr>
        <w:t> </w:t>
      </w:r>
      <w:r>
        <w:rPr/>
        <w:t>Key</w:t>
      </w:r>
      <w:r>
        <w:rPr>
          <w:spacing w:val="-44"/>
        </w:rPr>
        <w:t> </w:t>
      </w:r>
      <w:r>
        <w:rPr/>
        <w:t>residential</w:t>
      </w:r>
      <w:r>
        <w:rPr>
          <w:spacing w:val="-43"/>
        </w:rPr>
        <w:t> </w:t>
      </w:r>
      <w:r>
        <w:rPr/>
        <w:t>projects</w:t>
      </w:r>
      <w:r>
        <w:rPr>
          <w:spacing w:val="-43"/>
        </w:rPr>
        <w:t> </w:t>
      </w:r>
      <w:r>
        <w:rPr/>
        <w:t>in</w:t>
      </w:r>
      <w:r>
        <w:rPr>
          <w:spacing w:val="-45"/>
        </w:rPr>
        <w:t> </w:t>
      </w:r>
      <w:r>
        <w:rPr/>
        <w:t>the</w:t>
      </w:r>
      <w:r>
        <w:rPr>
          <w:spacing w:val="-44"/>
        </w:rPr>
        <w:t> </w:t>
      </w:r>
      <w:r>
        <w:rPr/>
        <w:t>micro-markets includes</w:t>
      </w:r>
      <w:r>
        <w:rPr>
          <w:spacing w:val="-20"/>
        </w:rPr>
        <w:t> </w:t>
      </w:r>
      <w:r>
        <w:rPr/>
        <w:t>developments</w:t>
      </w:r>
      <w:r>
        <w:rPr>
          <w:spacing w:val="-20"/>
        </w:rPr>
        <w:t> </w:t>
      </w:r>
      <w:r>
        <w:rPr/>
        <w:t>by</w:t>
      </w:r>
      <w:r>
        <w:rPr>
          <w:spacing w:val="-20"/>
        </w:rPr>
        <w:t> </w:t>
      </w:r>
      <w:r>
        <w:rPr/>
        <w:t>prominent</w:t>
      </w:r>
      <w:r>
        <w:rPr>
          <w:spacing w:val="-21"/>
        </w:rPr>
        <w:t> </w:t>
      </w:r>
      <w:r>
        <w:rPr/>
        <w:t>players</w:t>
      </w:r>
      <w:r>
        <w:rPr>
          <w:spacing w:val="-20"/>
        </w:rPr>
        <w:t> </w:t>
      </w:r>
      <w:r>
        <w:rPr/>
        <w:t>like</w:t>
      </w:r>
      <w:r>
        <w:rPr>
          <w:spacing w:val="-21"/>
        </w:rPr>
        <w:t> </w:t>
      </w:r>
      <w:r>
        <w:rPr/>
        <w:t>Kohinoor</w:t>
      </w:r>
      <w:r>
        <w:rPr>
          <w:spacing w:val="-20"/>
        </w:rPr>
        <w:t> </w:t>
      </w:r>
      <w:r>
        <w:rPr/>
        <w:t>Developers,</w:t>
      </w:r>
      <w:r>
        <w:rPr>
          <w:spacing w:val="-20"/>
        </w:rPr>
        <w:t> </w:t>
      </w:r>
      <w:r>
        <w:rPr/>
        <w:t>Paranjape Schemes,</w:t>
      </w:r>
      <w:r>
        <w:rPr>
          <w:spacing w:val="-46"/>
        </w:rPr>
        <w:t> </w:t>
      </w:r>
      <w:r>
        <w:rPr/>
        <w:t>TCG,</w:t>
      </w:r>
      <w:r>
        <w:rPr>
          <w:spacing w:val="-45"/>
        </w:rPr>
        <w:t> </w:t>
      </w:r>
      <w:r>
        <w:rPr/>
        <w:t>Xrbia,</w:t>
      </w:r>
      <w:r>
        <w:rPr>
          <w:spacing w:val="-46"/>
        </w:rPr>
        <w:t> </w:t>
      </w:r>
      <w:r>
        <w:rPr/>
        <w:t>Kolte</w:t>
      </w:r>
      <w:r>
        <w:rPr>
          <w:spacing w:val="-45"/>
        </w:rPr>
        <w:t> </w:t>
      </w:r>
      <w:r>
        <w:rPr/>
        <w:t>Patil,</w:t>
      </w:r>
      <w:r>
        <w:rPr>
          <w:spacing w:val="-46"/>
        </w:rPr>
        <w:t> </w:t>
      </w:r>
      <w:r>
        <w:rPr/>
        <w:t>Mittal</w:t>
      </w:r>
      <w:r>
        <w:rPr>
          <w:spacing w:val="-45"/>
        </w:rPr>
        <w:t> </w:t>
      </w:r>
      <w:r>
        <w:rPr/>
        <w:t>Brothers,</w:t>
      </w:r>
      <w:r>
        <w:rPr>
          <w:spacing w:val="-46"/>
        </w:rPr>
        <w:t> </w:t>
      </w:r>
      <w:r>
        <w:rPr/>
        <w:t>Shapoorji,</w:t>
      </w:r>
      <w:r>
        <w:rPr>
          <w:spacing w:val="-45"/>
        </w:rPr>
        <w:t> </w:t>
      </w:r>
      <w:r>
        <w:rPr/>
        <w:t>etc.</w:t>
      </w:r>
      <w:r>
        <w:rPr>
          <w:spacing w:val="-45"/>
        </w:rPr>
        <w:t> </w:t>
      </w:r>
      <w:r>
        <w:rPr/>
        <w:t>The</w:t>
      </w:r>
      <w:r>
        <w:rPr>
          <w:spacing w:val="-44"/>
        </w:rPr>
        <w:t> </w:t>
      </w:r>
      <w:r>
        <w:rPr/>
        <w:t>subject</w:t>
      </w:r>
      <w:r>
        <w:rPr>
          <w:spacing w:val="-45"/>
        </w:rPr>
        <w:t> </w:t>
      </w:r>
      <w:r>
        <w:rPr/>
        <w:t>micro- market</w:t>
      </w:r>
      <w:r>
        <w:rPr>
          <w:spacing w:val="-29"/>
        </w:rPr>
        <w:t> </w:t>
      </w:r>
      <w:r>
        <w:rPr/>
        <w:t>is</w:t>
      </w:r>
      <w:r>
        <w:rPr>
          <w:spacing w:val="-28"/>
        </w:rPr>
        <w:t> </w:t>
      </w:r>
      <w:r>
        <w:rPr/>
        <w:t>surrounded</w:t>
      </w:r>
      <w:r>
        <w:rPr>
          <w:spacing w:val="-28"/>
        </w:rPr>
        <w:t> </w:t>
      </w:r>
      <w:r>
        <w:rPr/>
        <w:t>by</w:t>
      </w:r>
      <w:r>
        <w:rPr>
          <w:spacing w:val="-29"/>
        </w:rPr>
        <w:t> </w:t>
      </w:r>
      <w:r>
        <w:rPr/>
        <w:t>other</w:t>
      </w:r>
      <w:r>
        <w:rPr>
          <w:spacing w:val="-29"/>
        </w:rPr>
        <w:t> </w:t>
      </w:r>
      <w:r>
        <w:rPr/>
        <w:t>notable</w:t>
      </w:r>
      <w:r>
        <w:rPr>
          <w:spacing w:val="-29"/>
        </w:rPr>
        <w:t> </w:t>
      </w:r>
      <w:r>
        <w:rPr/>
        <w:t>markets</w:t>
      </w:r>
      <w:r>
        <w:rPr>
          <w:spacing w:val="-28"/>
        </w:rPr>
        <w:t> </w:t>
      </w:r>
      <w:r>
        <w:rPr/>
        <w:t>like</w:t>
      </w:r>
      <w:r>
        <w:rPr>
          <w:spacing w:val="-29"/>
        </w:rPr>
        <w:t> </w:t>
      </w:r>
      <w:r>
        <w:rPr/>
        <w:t>Wakad,</w:t>
      </w:r>
      <w:r>
        <w:rPr>
          <w:spacing w:val="-29"/>
        </w:rPr>
        <w:t> </w:t>
      </w:r>
      <w:r>
        <w:rPr/>
        <w:t>Tathawade,</w:t>
      </w:r>
      <w:r>
        <w:rPr>
          <w:spacing w:val="-28"/>
        </w:rPr>
        <w:t> </w:t>
      </w:r>
      <w:r>
        <w:rPr/>
        <w:t>etc.</w:t>
      </w:r>
      <w:r>
        <w:rPr>
          <w:spacing w:val="-29"/>
        </w:rPr>
        <w:t> </w:t>
      </w:r>
      <w:r>
        <w:rPr/>
        <w:t>which are located along the Mumbai </w:t>
      </w:r>
      <w:r>
        <w:rPr>
          <w:w w:val="105"/>
        </w:rPr>
        <w:t>– </w:t>
      </w:r>
      <w:r>
        <w:rPr/>
        <w:t>Bengaluru Bypass Highway. Further, the micro- market</w:t>
      </w:r>
      <w:r>
        <w:rPr>
          <w:spacing w:val="-24"/>
        </w:rPr>
        <w:t> </w:t>
      </w:r>
      <w:r>
        <w:rPr/>
        <w:t>has</w:t>
      </w:r>
      <w:r>
        <w:rPr>
          <w:spacing w:val="-23"/>
        </w:rPr>
        <w:t> </w:t>
      </w:r>
      <w:r>
        <w:rPr/>
        <w:t>adequate</w:t>
      </w:r>
      <w:r>
        <w:rPr>
          <w:spacing w:val="-24"/>
        </w:rPr>
        <w:t> </w:t>
      </w:r>
      <w:r>
        <w:rPr/>
        <w:t>social</w:t>
      </w:r>
      <w:r>
        <w:rPr>
          <w:spacing w:val="-25"/>
        </w:rPr>
        <w:t> </w:t>
      </w:r>
      <w:r>
        <w:rPr/>
        <w:t>and</w:t>
      </w:r>
      <w:r>
        <w:rPr>
          <w:spacing w:val="-23"/>
        </w:rPr>
        <w:t> </w:t>
      </w:r>
      <w:r>
        <w:rPr/>
        <w:t>physical</w:t>
      </w:r>
      <w:r>
        <w:rPr>
          <w:spacing w:val="-25"/>
        </w:rPr>
        <w:t> </w:t>
      </w:r>
      <w:r>
        <w:rPr/>
        <w:t>infrastructure</w:t>
      </w:r>
      <w:r>
        <w:rPr>
          <w:spacing w:val="-24"/>
        </w:rPr>
        <w:t> </w:t>
      </w:r>
      <w:r>
        <w:rPr/>
        <w:t>to</w:t>
      </w:r>
      <w:r>
        <w:rPr>
          <w:spacing w:val="-24"/>
        </w:rPr>
        <w:t> </w:t>
      </w:r>
      <w:r>
        <w:rPr/>
        <w:t>support</w:t>
      </w:r>
      <w:r>
        <w:rPr>
          <w:spacing w:val="-24"/>
        </w:rPr>
        <w:t> </w:t>
      </w:r>
      <w:r>
        <w:rPr/>
        <w:t>the</w:t>
      </w:r>
      <w:r>
        <w:rPr>
          <w:spacing w:val="-25"/>
        </w:rPr>
        <w:t> </w:t>
      </w:r>
      <w:r>
        <w:rPr/>
        <w:t>working</w:t>
      </w:r>
      <w:r>
        <w:rPr>
          <w:spacing w:val="-23"/>
        </w:rPr>
        <w:t> </w:t>
      </w:r>
      <w:r>
        <w:rPr/>
        <w:t>and resident</w:t>
      </w:r>
      <w:r>
        <w:rPr>
          <w:spacing w:val="-13"/>
        </w:rPr>
        <w:t> </w:t>
      </w:r>
      <w:r>
        <w:rPr/>
        <w:t>population.</w:t>
      </w:r>
      <w:r>
        <w:rPr>
          <w:spacing w:val="-11"/>
        </w:rPr>
        <w:t> </w:t>
      </w:r>
      <w:r>
        <w:rPr/>
        <w:t>Some</w:t>
      </w:r>
      <w:r>
        <w:rPr>
          <w:spacing w:val="-11"/>
        </w:rPr>
        <w:t> </w:t>
      </w:r>
      <w:r>
        <w:rPr/>
        <w:t>of</w:t>
      </w:r>
      <w:r>
        <w:rPr>
          <w:spacing w:val="-10"/>
        </w:rPr>
        <w:t> </w:t>
      </w:r>
      <w:r>
        <w:rPr/>
        <w:t>the</w:t>
      </w:r>
      <w:r>
        <w:rPr>
          <w:spacing w:val="-13"/>
        </w:rPr>
        <w:t> </w:t>
      </w:r>
      <w:r>
        <w:rPr/>
        <w:t>social</w:t>
      </w:r>
      <w:r>
        <w:rPr>
          <w:spacing w:val="-11"/>
        </w:rPr>
        <w:t> </w:t>
      </w:r>
      <w:r>
        <w:rPr/>
        <w:t>infrastructure</w:t>
      </w:r>
      <w:r>
        <w:rPr>
          <w:spacing w:val="-11"/>
        </w:rPr>
        <w:t> </w:t>
      </w:r>
      <w:r>
        <w:rPr/>
        <w:t>development</w:t>
      </w:r>
      <w:r>
        <w:rPr>
          <w:spacing w:val="-11"/>
        </w:rPr>
        <w:t> </w:t>
      </w:r>
      <w:r>
        <w:rPr/>
        <w:t>in</w:t>
      </w:r>
      <w:r>
        <w:rPr>
          <w:spacing w:val="-11"/>
        </w:rPr>
        <w:t> </w:t>
      </w:r>
      <w:r>
        <w:rPr/>
        <w:t>the</w:t>
      </w:r>
      <w:r>
        <w:rPr>
          <w:spacing w:val="-11"/>
        </w:rPr>
        <w:t> </w:t>
      </w:r>
      <w:r>
        <w:rPr/>
        <w:t>micro- market</w:t>
      </w:r>
      <w:r>
        <w:rPr>
          <w:spacing w:val="-34"/>
        </w:rPr>
        <w:t> </w:t>
      </w:r>
      <w:r>
        <w:rPr/>
        <w:t>include</w:t>
      </w:r>
      <w:r>
        <w:rPr>
          <w:spacing w:val="-35"/>
        </w:rPr>
        <w:t> </w:t>
      </w:r>
      <w:r>
        <w:rPr/>
        <w:t>Blue</w:t>
      </w:r>
      <w:r>
        <w:rPr>
          <w:spacing w:val="-34"/>
        </w:rPr>
        <w:t> </w:t>
      </w:r>
      <w:r>
        <w:rPr/>
        <w:t>Ridge</w:t>
      </w:r>
      <w:r>
        <w:rPr>
          <w:spacing w:val="-35"/>
        </w:rPr>
        <w:t> </w:t>
      </w:r>
      <w:r>
        <w:rPr/>
        <w:t>Public</w:t>
      </w:r>
      <w:r>
        <w:rPr>
          <w:spacing w:val="-34"/>
        </w:rPr>
        <w:t> </w:t>
      </w:r>
      <w:r>
        <w:rPr/>
        <w:t>School,</w:t>
      </w:r>
      <w:r>
        <w:rPr>
          <w:spacing w:val="-35"/>
        </w:rPr>
        <w:t> </w:t>
      </w:r>
      <w:r>
        <w:rPr/>
        <w:t>Pawar</w:t>
      </w:r>
      <w:r>
        <w:rPr>
          <w:spacing w:val="-35"/>
        </w:rPr>
        <w:t> </w:t>
      </w:r>
      <w:r>
        <w:rPr/>
        <w:t>Public</w:t>
      </w:r>
      <w:r>
        <w:rPr>
          <w:spacing w:val="-35"/>
        </w:rPr>
        <w:t> </w:t>
      </w:r>
      <w:r>
        <w:rPr/>
        <w:t>School,</w:t>
      </w:r>
      <w:r>
        <w:rPr>
          <w:spacing w:val="-35"/>
        </w:rPr>
        <w:t> </w:t>
      </w:r>
      <w:r>
        <w:rPr/>
        <w:t>Sanjeevani</w:t>
      </w:r>
      <w:r>
        <w:rPr>
          <w:spacing w:val="-34"/>
        </w:rPr>
        <w:t> </w:t>
      </w:r>
      <w:r>
        <w:rPr/>
        <w:t>Hospital, Ruby Hall Clinic,</w:t>
      </w:r>
      <w:r>
        <w:rPr>
          <w:spacing w:val="-10"/>
        </w:rPr>
        <w:t> </w:t>
      </w:r>
      <w:r>
        <w:rPr/>
        <w:t>etc.</w:t>
      </w:r>
    </w:p>
    <w:p>
      <w:pPr>
        <w:spacing w:after="0" w:line="321" w:lineRule="auto"/>
        <w:jc w:val="both"/>
        <w:sectPr>
          <w:pgSz w:w="11910" w:h="16840"/>
          <w:pgMar w:header="720" w:footer="933" w:top="1660" w:bottom="1120" w:left="600" w:right="520"/>
        </w:sectPr>
      </w:pPr>
    </w:p>
    <w:p>
      <w:pPr>
        <w:pStyle w:val="BodyText"/>
        <w:spacing w:before="7"/>
        <w:rPr>
          <w:sz w:val="9"/>
        </w:rPr>
      </w:pPr>
    </w:p>
    <w:p>
      <w:pPr>
        <w:pStyle w:val="BodyText"/>
        <w:spacing w:before="106"/>
        <w:ind w:left="2558"/>
      </w:pPr>
      <w:r>
        <w:rPr/>
        <w:t>The</w:t>
      </w:r>
      <w:r>
        <w:rPr>
          <w:spacing w:val="-40"/>
        </w:rPr>
        <w:t> </w:t>
      </w:r>
      <w:r>
        <w:rPr/>
        <w:t>distances</w:t>
      </w:r>
      <w:r>
        <w:rPr>
          <w:spacing w:val="-37"/>
        </w:rPr>
        <w:t> </w:t>
      </w:r>
      <w:r>
        <w:rPr/>
        <w:t>from</w:t>
      </w:r>
      <w:r>
        <w:rPr>
          <w:spacing w:val="-38"/>
        </w:rPr>
        <w:t> </w:t>
      </w:r>
      <w:r>
        <w:rPr/>
        <w:t>key</w:t>
      </w:r>
      <w:r>
        <w:rPr>
          <w:spacing w:val="-38"/>
        </w:rPr>
        <w:t> </w:t>
      </w:r>
      <w:r>
        <w:rPr/>
        <w:t>hubs</w:t>
      </w:r>
      <w:r>
        <w:rPr>
          <w:spacing w:val="-39"/>
        </w:rPr>
        <w:t> </w:t>
      </w:r>
      <w:r>
        <w:rPr/>
        <w:t>to</w:t>
      </w:r>
      <w:r>
        <w:rPr>
          <w:spacing w:val="-39"/>
        </w:rPr>
        <w:t> </w:t>
      </w:r>
      <w:r>
        <w:rPr/>
        <w:t>the</w:t>
      </w:r>
      <w:r>
        <w:rPr>
          <w:spacing w:val="-39"/>
        </w:rPr>
        <w:t> </w:t>
      </w:r>
      <w:r>
        <w:rPr/>
        <w:t>subject</w:t>
      </w:r>
      <w:r>
        <w:rPr>
          <w:spacing w:val="-38"/>
        </w:rPr>
        <w:t> </w:t>
      </w:r>
      <w:r>
        <w:rPr/>
        <w:t>property</w:t>
      </w:r>
      <w:r>
        <w:rPr>
          <w:spacing w:val="-39"/>
        </w:rPr>
        <w:t> </w:t>
      </w:r>
      <w:r>
        <w:rPr/>
        <w:t>are</w:t>
      </w:r>
      <w:r>
        <w:rPr>
          <w:spacing w:val="-39"/>
        </w:rPr>
        <w:t> </w:t>
      </w:r>
      <w:r>
        <w:rPr/>
        <w:t>presented</w:t>
      </w:r>
      <w:r>
        <w:rPr>
          <w:spacing w:val="-38"/>
        </w:rPr>
        <w:t> </w:t>
      </w:r>
      <w:r>
        <w:rPr/>
        <w:t>in</w:t>
      </w:r>
      <w:r>
        <w:rPr>
          <w:spacing w:val="-36"/>
        </w:rPr>
        <w:t> </w:t>
      </w:r>
      <w:r>
        <w:rPr/>
        <w:t>the</w:t>
      </w:r>
      <w:r>
        <w:rPr>
          <w:spacing w:val="-39"/>
        </w:rPr>
        <w:t> </w:t>
      </w:r>
      <w:r>
        <w:rPr/>
        <w:t>table</w:t>
      </w:r>
      <w:r>
        <w:rPr>
          <w:spacing w:val="-39"/>
        </w:rPr>
        <w:t> </w:t>
      </w:r>
      <w:r>
        <w:rPr/>
        <w:t>below:</w:t>
      </w:r>
    </w:p>
    <w:p>
      <w:pPr>
        <w:pStyle w:val="BodyText"/>
        <w:spacing w:before="6"/>
        <w:rPr>
          <w:sz w:val="24"/>
        </w:rPr>
      </w:pPr>
      <w:r>
        <w:rPr/>
        <w:pict>
          <v:group style="position:absolute;margin-left:163.729996pt;margin-top:16.184435pt;width:389.85pt;height:14.05pt;mso-position-horizontal-relative:page;mso-position-vertical-relative:paragraph;z-index:-15409664;mso-wrap-distance-left:0;mso-wrap-distance-right:0" coordorigin="3275,324" coordsize="7797,281">
            <v:shape style="position:absolute;left:3274;top:338;width:7797;height:252" coordorigin="3275,338" coordsize="7797,252" path="m11071,338l8889,338,3275,338,3275,590,8889,590,11071,590,11071,338xe" filled="true" fillcolor="#006a4d" stroked="false">
              <v:path arrowok="t"/>
              <v:fill type="solid"/>
            </v:shape>
            <v:shape style="position:absolute;left:3274;top:323;width:7797;height:281" coordorigin="3275,324" coordsize="7797,281" path="m11071,590l8906,590,8892,590,3275,590,3275,604,8892,604,8906,604,11071,604,11071,590xm11071,324l8906,324,8892,324,3275,324,3275,338,8892,338,8906,338,11071,338,11071,324xe" filled="true" fillcolor="#69bd28" stroked="false">
              <v:path arrowok="t"/>
              <v:fill type="solid"/>
            </v:shape>
            <v:shape style="position:absolute;left:3274;top:338;width:7797;height:252" type="#_x0000_t202" filled="false" stroked="false">
              <v:textbox inset="0,0,0,0">
                <w:txbxContent>
                  <w:p>
                    <w:pPr>
                      <w:tabs>
                        <w:tab w:pos="6118" w:val="left" w:leader="none"/>
                      </w:tabs>
                      <w:spacing w:before="20"/>
                      <w:ind w:left="2359" w:right="0" w:firstLine="0"/>
                      <w:jc w:val="left"/>
                      <w:rPr>
                        <w:sz w:val="18"/>
                      </w:rPr>
                    </w:pPr>
                    <w:r>
                      <w:rPr>
                        <w:color w:val="FFFFFF"/>
                        <w:sz w:val="18"/>
                      </w:rPr>
                      <w:t>Landmark</w:t>
                      <w:tab/>
                      <w:t>Distance</w:t>
                    </w:r>
                    <w:r>
                      <w:rPr>
                        <w:color w:val="FFFFFF"/>
                        <w:spacing w:val="-7"/>
                        <w:sz w:val="18"/>
                      </w:rPr>
                      <w:t> </w:t>
                    </w:r>
                    <w:r>
                      <w:rPr>
                        <w:color w:val="FFFFFF"/>
                        <w:sz w:val="18"/>
                      </w:rPr>
                      <w:t>(km)</w:t>
                    </w:r>
                  </w:p>
                </w:txbxContent>
              </v:textbox>
              <w10:wrap type="none"/>
            </v:shape>
            <w10:wrap type="topAndBottom"/>
          </v:group>
        </w:pict>
      </w:r>
    </w:p>
    <w:p>
      <w:pPr>
        <w:tabs>
          <w:tab w:pos="9533" w:val="right" w:leader="none"/>
        </w:tabs>
        <w:spacing w:before="68"/>
        <w:ind w:left="3039" w:right="0" w:firstLine="0"/>
        <w:jc w:val="left"/>
        <w:rPr>
          <w:sz w:val="18"/>
        </w:rPr>
      </w:pPr>
      <w:r>
        <w:rPr>
          <w:w w:val="105"/>
          <w:sz w:val="18"/>
        </w:rPr>
        <w:t>National</w:t>
      </w:r>
      <w:r>
        <w:rPr>
          <w:spacing w:val="-24"/>
          <w:w w:val="105"/>
          <w:sz w:val="18"/>
        </w:rPr>
        <w:t> </w:t>
      </w:r>
      <w:r>
        <w:rPr>
          <w:w w:val="105"/>
          <w:sz w:val="18"/>
        </w:rPr>
        <w:t>Highway</w:t>
      </w:r>
      <w:r>
        <w:rPr>
          <w:spacing w:val="-23"/>
          <w:w w:val="105"/>
          <w:sz w:val="18"/>
        </w:rPr>
        <w:t> </w:t>
      </w:r>
      <w:r>
        <w:rPr>
          <w:w w:val="105"/>
          <w:sz w:val="18"/>
        </w:rPr>
        <w:t>48</w:t>
      </w:r>
      <w:r>
        <w:rPr>
          <w:spacing w:val="-24"/>
          <w:w w:val="105"/>
          <w:sz w:val="18"/>
        </w:rPr>
        <w:t> </w:t>
      </w:r>
      <w:r>
        <w:rPr>
          <w:w w:val="105"/>
          <w:sz w:val="18"/>
        </w:rPr>
        <w:t>(Mumbai</w:t>
      </w:r>
      <w:r>
        <w:rPr>
          <w:spacing w:val="-24"/>
          <w:w w:val="105"/>
          <w:sz w:val="18"/>
        </w:rPr>
        <w:t> </w:t>
      </w:r>
      <w:r>
        <w:rPr>
          <w:w w:val="105"/>
          <w:sz w:val="18"/>
        </w:rPr>
        <w:t>–</w:t>
      </w:r>
      <w:r>
        <w:rPr>
          <w:spacing w:val="-23"/>
          <w:w w:val="105"/>
          <w:sz w:val="18"/>
        </w:rPr>
        <w:t> </w:t>
      </w:r>
      <w:r>
        <w:rPr>
          <w:w w:val="105"/>
          <w:sz w:val="18"/>
        </w:rPr>
        <w:t>Bengaluru</w:t>
      </w:r>
      <w:r>
        <w:rPr>
          <w:spacing w:val="-23"/>
          <w:w w:val="105"/>
          <w:sz w:val="18"/>
        </w:rPr>
        <w:t> </w:t>
      </w:r>
      <w:r>
        <w:rPr>
          <w:w w:val="105"/>
          <w:sz w:val="18"/>
        </w:rPr>
        <w:t>bypass</w:t>
      </w:r>
      <w:r>
        <w:rPr>
          <w:spacing w:val="-23"/>
          <w:w w:val="105"/>
          <w:sz w:val="18"/>
        </w:rPr>
        <w:t> </w:t>
      </w:r>
      <w:r>
        <w:rPr>
          <w:w w:val="105"/>
          <w:sz w:val="18"/>
        </w:rPr>
        <w:t>highway)</w:t>
        <w:tab/>
        <w:t>5 –</w:t>
      </w:r>
      <w:r>
        <w:rPr>
          <w:spacing w:val="26"/>
          <w:w w:val="105"/>
          <w:sz w:val="18"/>
        </w:rPr>
        <w:t> </w:t>
      </w:r>
      <w:r>
        <w:rPr>
          <w:w w:val="105"/>
          <w:sz w:val="18"/>
        </w:rPr>
        <w:t>6</w:t>
      </w:r>
    </w:p>
    <w:p>
      <w:pPr>
        <w:tabs>
          <w:tab w:pos="9599" w:val="right" w:leader="none"/>
        </w:tabs>
        <w:spacing w:before="177"/>
        <w:ind w:left="4623" w:right="0" w:firstLine="0"/>
        <w:jc w:val="left"/>
        <w:rPr>
          <w:sz w:val="18"/>
        </w:rPr>
      </w:pPr>
      <w:r>
        <w:rPr/>
        <w:pict>
          <v:shape style="position:absolute;margin-left:163.730011pt;margin-top:4.820651pt;width:389.85pt;height:.75pt;mso-position-horizontal-relative:page;mso-position-vertical-relative:paragraph;z-index:16048640" coordorigin="3275,96" coordsize="7797,15" path="m11071,96l8906,96,8892,96,3275,96,3275,111,8892,111,8906,111,11071,111,11071,96xe" filled="true" fillcolor="#69bd28" stroked="false">
            <v:path arrowok="t"/>
            <v:fill type="solid"/>
            <w10:wrap type="none"/>
          </v:shape>
        </w:pict>
      </w:r>
      <w:r>
        <w:rPr>
          <w:sz w:val="18"/>
        </w:rPr>
        <w:t>Pune</w:t>
      </w:r>
      <w:r>
        <w:rPr>
          <w:spacing w:val="-23"/>
          <w:sz w:val="18"/>
        </w:rPr>
        <w:t> </w:t>
      </w:r>
      <w:r>
        <w:rPr>
          <w:sz w:val="18"/>
        </w:rPr>
        <w:t>Railway</w:t>
      </w:r>
      <w:r>
        <w:rPr>
          <w:spacing w:val="-25"/>
          <w:sz w:val="18"/>
        </w:rPr>
        <w:t> </w:t>
      </w:r>
      <w:r>
        <w:rPr>
          <w:sz w:val="18"/>
        </w:rPr>
        <w:t>Station</w:t>
        <w:tab/>
        <w:t>20</w:t>
      </w:r>
      <w:r>
        <w:rPr>
          <w:spacing w:val="42"/>
          <w:sz w:val="18"/>
        </w:rPr>
        <w:t> </w:t>
      </w:r>
      <w:r>
        <w:rPr>
          <w:sz w:val="18"/>
        </w:rPr>
        <w:t>-21</w:t>
      </w:r>
    </w:p>
    <w:p>
      <w:pPr>
        <w:tabs>
          <w:tab w:pos="9638" w:val="right" w:leader="none"/>
        </w:tabs>
        <w:spacing w:before="129"/>
        <w:ind w:left="4758" w:right="0" w:firstLine="0"/>
        <w:jc w:val="left"/>
        <w:rPr>
          <w:sz w:val="18"/>
        </w:rPr>
      </w:pPr>
      <w:r>
        <w:rPr/>
        <w:pict>
          <v:shape style="position:absolute;margin-left:163.730011pt;margin-top:3.280627pt;width:389.85pt;height:.75pt;mso-position-horizontal-relative:page;mso-position-vertical-relative:paragraph;z-index:16049152" coordorigin="3275,66" coordsize="7797,15" path="m11071,66l8906,66,8892,66,3275,66,3275,80,8892,80,8906,80,11071,80,11071,66xe" filled="true" fillcolor="#69bd28" stroked="false">
            <v:path arrowok="t"/>
            <v:fill type="solid"/>
            <w10:wrap type="none"/>
          </v:shape>
        </w:pict>
      </w:r>
      <w:r>
        <w:rPr>
          <w:w w:val="105"/>
          <w:sz w:val="18"/>
        </w:rPr>
        <w:t>CBD</w:t>
      </w:r>
      <w:r>
        <w:rPr>
          <w:spacing w:val="-27"/>
          <w:w w:val="105"/>
          <w:sz w:val="18"/>
        </w:rPr>
        <w:t> </w:t>
      </w:r>
      <w:r>
        <w:rPr>
          <w:w w:val="105"/>
          <w:sz w:val="18"/>
        </w:rPr>
        <w:t>(Peth</w:t>
      </w:r>
      <w:r>
        <w:rPr>
          <w:spacing w:val="-26"/>
          <w:w w:val="105"/>
          <w:sz w:val="18"/>
        </w:rPr>
        <w:t> </w:t>
      </w:r>
      <w:r>
        <w:rPr>
          <w:w w:val="105"/>
          <w:sz w:val="18"/>
        </w:rPr>
        <w:t>Areas)</w:t>
        <w:tab/>
      </w:r>
      <w:r>
        <w:rPr>
          <w:w w:val="105"/>
          <w:position w:val="1"/>
          <w:sz w:val="18"/>
        </w:rPr>
        <w:t>20 </w:t>
      </w:r>
      <w:r>
        <w:rPr>
          <w:w w:val="110"/>
          <w:position w:val="1"/>
          <w:sz w:val="18"/>
        </w:rPr>
        <w:t>–</w:t>
      </w:r>
      <w:r>
        <w:rPr>
          <w:spacing w:val="31"/>
          <w:w w:val="110"/>
          <w:position w:val="1"/>
          <w:sz w:val="18"/>
        </w:rPr>
        <w:t> </w:t>
      </w:r>
      <w:r>
        <w:rPr>
          <w:w w:val="105"/>
          <w:position w:val="1"/>
          <w:sz w:val="18"/>
        </w:rPr>
        <w:t>21</w:t>
      </w:r>
    </w:p>
    <w:p>
      <w:pPr>
        <w:tabs>
          <w:tab w:pos="9638" w:val="right" w:leader="none"/>
        </w:tabs>
        <w:spacing w:before="98"/>
        <w:ind w:left="4424" w:right="0" w:firstLine="0"/>
        <w:jc w:val="left"/>
        <w:rPr>
          <w:sz w:val="18"/>
        </w:rPr>
      </w:pPr>
      <w:r>
        <w:rPr/>
        <w:pict>
          <v:shape style="position:absolute;margin-left:163.730011pt;margin-top:17.450663pt;width:389.85pt;height:.75pt;mso-position-horizontal-relative:page;mso-position-vertical-relative:paragraph;z-index:-15409152;mso-wrap-distance-left:0;mso-wrap-distance-right:0" coordorigin="3275,349" coordsize="7797,15" path="m11071,349l8906,349,8892,349,3275,349,3275,363,8892,363,8906,363,11071,363,11071,349xe" filled="true" fillcolor="#69bd28" stroked="false">
            <v:path arrowok="t"/>
            <v:fill type="solid"/>
            <w10:wrap type="topAndBottom"/>
          </v:shape>
        </w:pict>
      </w:r>
      <w:r>
        <w:rPr/>
        <w:pict>
          <v:shape style="position:absolute;margin-left:163.730011pt;margin-top:2.930663pt;width:389.85pt;height:.75pt;mso-position-horizontal-relative:page;mso-position-vertical-relative:paragraph;z-index:16049664" coordorigin="3275,59" coordsize="7797,15" path="m11071,59l8906,59,8892,59,3275,59,3275,73,8892,73,8906,73,11071,73,11071,59xe" filled="true" fillcolor="#69bd28" stroked="false">
            <v:path arrowok="t"/>
            <v:fill type="solid"/>
            <w10:wrap type="none"/>
          </v:shape>
        </w:pict>
      </w:r>
      <w:r>
        <w:rPr>
          <w:sz w:val="18"/>
        </w:rPr>
        <w:t>Pune</w:t>
      </w:r>
      <w:r>
        <w:rPr>
          <w:spacing w:val="-29"/>
          <w:sz w:val="18"/>
        </w:rPr>
        <w:t> </w:t>
      </w:r>
      <w:r>
        <w:rPr>
          <w:sz w:val="18"/>
        </w:rPr>
        <w:t>International</w:t>
      </w:r>
      <w:r>
        <w:rPr>
          <w:spacing w:val="-29"/>
          <w:sz w:val="18"/>
        </w:rPr>
        <w:t> </w:t>
      </w:r>
      <w:r>
        <w:rPr>
          <w:sz w:val="18"/>
        </w:rPr>
        <w:t>Airport</w:t>
        <w:tab/>
      </w:r>
      <w:r>
        <w:rPr>
          <w:w w:val="105"/>
          <w:position w:val="1"/>
          <w:sz w:val="18"/>
        </w:rPr>
        <w:t>26 –</w:t>
      </w:r>
      <w:r>
        <w:rPr>
          <w:spacing w:val="38"/>
          <w:w w:val="105"/>
          <w:position w:val="1"/>
          <w:sz w:val="18"/>
        </w:rPr>
        <w:t> </w:t>
      </w:r>
      <w:r>
        <w:rPr>
          <w:w w:val="105"/>
          <w:position w:val="1"/>
          <w:sz w:val="18"/>
        </w:rPr>
        <w:t>27</w:t>
      </w:r>
    </w:p>
    <w:p>
      <w:pPr>
        <w:spacing w:before="20"/>
        <w:ind w:left="2681" w:right="0" w:firstLine="0"/>
        <w:jc w:val="left"/>
        <w:rPr>
          <w:i/>
          <w:sz w:val="18"/>
        </w:rPr>
      </w:pPr>
      <w:r>
        <w:rPr>
          <w:i/>
          <w:sz w:val="18"/>
        </w:rPr>
        <w:t>Source: Consultants’ Research</w:t>
      </w:r>
    </w:p>
    <w:p>
      <w:pPr>
        <w:pStyle w:val="BodyText"/>
        <w:tabs>
          <w:tab w:pos="2558" w:val="left" w:leader="none"/>
        </w:tabs>
        <w:spacing w:before="195"/>
        <w:ind w:left="749"/>
      </w:pPr>
      <w:r>
        <w:rPr>
          <w:position w:val="12"/>
        </w:rPr>
        <w:t>Surrounds:</w:t>
        <w:tab/>
      </w:r>
      <w:r>
        <w:rPr/>
        <w:t>The property is surrounded as</w:t>
      </w:r>
      <w:r>
        <w:rPr>
          <w:spacing w:val="-22"/>
        </w:rPr>
        <w:t> </w:t>
      </w:r>
      <w:r>
        <w:rPr/>
        <w:t>follows:</w:t>
      </w:r>
    </w:p>
    <w:p>
      <w:pPr>
        <w:pStyle w:val="BodyText"/>
        <w:spacing w:line="444" w:lineRule="auto" w:before="218"/>
        <w:ind w:left="2558" w:right="3467"/>
      </w:pPr>
      <w:r>
        <w:rPr>
          <w:w w:val="95"/>
        </w:rPr>
        <w:t>North: Air Castles (residential development) </w:t>
      </w:r>
      <w:r>
        <w:rPr/>
        <w:t>South: Wipro Phase II Campus</w:t>
      </w:r>
    </w:p>
    <w:p>
      <w:pPr>
        <w:pStyle w:val="BodyText"/>
        <w:spacing w:line="444" w:lineRule="auto" w:before="1"/>
        <w:ind w:left="2558" w:right="6423"/>
      </w:pPr>
      <w:r>
        <w:rPr/>
        <w:t>East: Vacant Land West: Vacant</w:t>
      </w:r>
      <w:r>
        <w:rPr>
          <w:spacing w:val="-55"/>
        </w:rPr>
        <w:t> </w:t>
      </w:r>
      <w:r>
        <w:rPr/>
        <w:t>Land</w:t>
      </w:r>
    </w:p>
    <w:p>
      <w:pPr>
        <w:spacing w:after="0" w:line="444" w:lineRule="auto"/>
        <w:sectPr>
          <w:pgSz w:w="11910" w:h="16840"/>
          <w:pgMar w:header="720" w:footer="933" w:top="1660" w:bottom="1120" w:left="600" w:right="520"/>
        </w:sectPr>
      </w:pPr>
    </w:p>
    <w:p>
      <w:pPr>
        <w:pStyle w:val="BodyText"/>
        <w:spacing w:line="321" w:lineRule="auto" w:before="108"/>
        <w:ind w:left="749"/>
      </w:pPr>
      <w:r>
        <w:rPr>
          <w:w w:val="95"/>
        </w:rPr>
        <w:t>Potential changes </w:t>
      </w:r>
      <w:r>
        <w:rPr/>
        <w:t>in surroundings:</w:t>
      </w:r>
    </w:p>
    <w:p>
      <w:pPr>
        <w:pStyle w:val="BodyText"/>
        <w:spacing w:line="321" w:lineRule="auto" w:before="108"/>
        <w:ind w:left="88" w:right="305"/>
        <w:jc w:val="both"/>
      </w:pPr>
      <w:r>
        <w:rPr/>
        <w:br w:type="column"/>
      </w:r>
      <w:r>
        <w:rPr/>
        <w:t>With</w:t>
      </w:r>
      <w:r>
        <w:rPr>
          <w:spacing w:val="-50"/>
        </w:rPr>
        <w:t> </w:t>
      </w:r>
      <w:r>
        <w:rPr/>
        <w:t>the</w:t>
      </w:r>
      <w:r>
        <w:rPr>
          <w:spacing w:val="-50"/>
        </w:rPr>
        <w:t> </w:t>
      </w:r>
      <w:r>
        <w:rPr/>
        <w:t>advent</w:t>
      </w:r>
      <w:r>
        <w:rPr>
          <w:spacing w:val="-50"/>
        </w:rPr>
        <w:t> </w:t>
      </w:r>
      <w:r>
        <w:rPr/>
        <w:t>of</w:t>
      </w:r>
      <w:r>
        <w:rPr>
          <w:spacing w:val="-49"/>
        </w:rPr>
        <w:t> </w:t>
      </w:r>
      <w:r>
        <w:rPr/>
        <w:t>IT</w:t>
      </w:r>
      <w:r>
        <w:rPr>
          <w:spacing w:val="-50"/>
        </w:rPr>
        <w:t> </w:t>
      </w:r>
      <w:r>
        <w:rPr/>
        <w:t>sector</w:t>
      </w:r>
      <w:r>
        <w:rPr>
          <w:spacing w:val="-49"/>
        </w:rPr>
        <w:t> </w:t>
      </w:r>
      <w:r>
        <w:rPr/>
        <w:t>in</w:t>
      </w:r>
      <w:r>
        <w:rPr>
          <w:spacing w:val="-50"/>
        </w:rPr>
        <w:t> </w:t>
      </w:r>
      <w:r>
        <w:rPr/>
        <w:t>the</w:t>
      </w:r>
      <w:r>
        <w:rPr>
          <w:spacing w:val="-50"/>
        </w:rPr>
        <w:t> </w:t>
      </w:r>
      <w:r>
        <w:rPr/>
        <w:t>country,</w:t>
      </w:r>
      <w:r>
        <w:rPr>
          <w:spacing w:val="-50"/>
        </w:rPr>
        <w:t> </w:t>
      </w:r>
      <w:r>
        <w:rPr/>
        <w:t>Hinjewadi</w:t>
      </w:r>
      <w:r>
        <w:rPr>
          <w:spacing w:val="-50"/>
        </w:rPr>
        <w:t> </w:t>
      </w:r>
      <w:r>
        <w:rPr/>
        <w:t>(the</w:t>
      </w:r>
      <w:r>
        <w:rPr>
          <w:spacing w:val="-50"/>
        </w:rPr>
        <w:t> </w:t>
      </w:r>
      <w:r>
        <w:rPr/>
        <w:t>submarket)</w:t>
      </w:r>
      <w:r>
        <w:rPr>
          <w:spacing w:val="-49"/>
        </w:rPr>
        <w:t> </w:t>
      </w:r>
      <w:r>
        <w:rPr/>
        <w:t>was</w:t>
      </w:r>
      <w:r>
        <w:rPr>
          <w:spacing w:val="-49"/>
        </w:rPr>
        <w:t> </w:t>
      </w:r>
      <w:r>
        <w:rPr/>
        <w:t>developed as</w:t>
      </w:r>
      <w:r>
        <w:rPr>
          <w:spacing w:val="-30"/>
        </w:rPr>
        <w:t> </w:t>
      </w:r>
      <w:r>
        <w:rPr/>
        <w:t>a</w:t>
      </w:r>
      <w:r>
        <w:rPr>
          <w:spacing w:val="-31"/>
        </w:rPr>
        <w:t> </w:t>
      </w:r>
      <w:r>
        <w:rPr/>
        <w:t>technology</w:t>
      </w:r>
      <w:r>
        <w:rPr>
          <w:spacing w:val="-30"/>
        </w:rPr>
        <w:t> </w:t>
      </w:r>
      <w:r>
        <w:rPr/>
        <w:t>hub</w:t>
      </w:r>
      <w:r>
        <w:rPr>
          <w:spacing w:val="-30"/>
        </w:rPr>
        <w:t> </w:t>
      </w:r>
      <w:r>
        <w:rPr/>
        <w:t>of</w:t>
      </w:r>
      <w:r>
        <w:rPr>
          <w:spacing w:val="-32"/>
        </w:rPr>
        <w:t> </w:t>
      </w:r>
      <w:r>
        <w:rPr/>
        <w:t>the</w:t>
      </w:r>
      <w:r>
        <w:rPr>
          <w:spacing w:val="-31"/>
        </w:rPr>
        <w:t> </w:t>
      </w:r>
      <w:r>
        <w:rPr/>
        <w:t>city.</w:t>
      </w:r>
      <w:r>
        <w:rPr>
          <w:spacing w:val="-30"/>
        </w:rPr>
        <w:t> </w:t>
      </w:r>
      <w:r>
        <w:rPr/>
        <w:t>Over</w:t>
      </w:r>
      <w:r>
        <w:rPr>
          <w:spacing w:val="-31"/>
        </w:rPr>
        <w:t> </w:t>
      </w:r>
      <w:r>
        <w:rPr/>
        <w:t>the</w:t>
      </w:r>
      <w:r>
        <w:rPr>
          <w:spacing w:val="-31"/>
        </w:rPr>
        <w:t> </w:t>
      </w:r>
      <w:r>
        <w:rPr/>
        <w:t>years,</w:t>
      </w:r>
      <w:r>
        <w:rPr>
          <w:spacing w:val="-31"/>
        </w:rPr>
        <w:t> </w:t>
      </w:r>
      <w:r>
        <w:rPr/>
        <w:t>Rajiv</w:t>
      </w:r>
      <w:r>
        <w:rPr>
          <w:spacing w:val="-31"/>
        </w:rPr>
        <w:t> </w:t>
      </w:r>
      <w:r>
        <w:rPr/>
        <w:t>Gandhi</w:t>
      </w:r>
      <w:r>
        <w:rPr>
          <w:spacing w:val="-31"/>
        </w:rPr>
        <w:t> </w:t>
      </w:r>
      <w:r>
        <w:rPr/>
        <w:t>Infotech</w:t>
      </w:r>
      <w:r>
        <w:rPr>
          <w:spacing w:val="-31"/>
        </w:rPr>
        <w:t> </w:t>
      </w:r>
      <w:r>
        <w:rPr/>
        <w:t>park</w:t>
      </w:r>
      <w:r>
        <w:rPr>
          <w:spacing w:val="-31"/>
        </w:rPr>
        <w:t> </w:t>
      </w:r>
      <w:r>
        <w:rPr/>
        <w:t>has</w:t>
      </w:r>
      <w:r>
        <w:rPr>
          <w:spacing w:val="-30"/>
        </w:rPr>
        <w:t> </w:t>
      </w:r>
      <w:r>
        <w:rPr/>
        <w:t>been developed across 3</w:t>
      </w:r>
      <w:r>
        <w:rPr>
          <w:spacing w:val="-8"/>
        </w:rPr>
        <w:t> </w:t>
      </w:r>
      <w:r>
        <w:rPr/>
        <w:t>phases.</w:t>
      </w:r>
    </w:p>
    <w:p>
      <w:pPr>
        <w:pStyle w:val="BodyText"/>
        <w:spacing w:line="321" w:lineRule="auto" w:before="123"/>
        <w:ind w:left="88" w:right="303"/>
        <w:jc w:val="both"/>
      </w:pPr>
      <w:r>
        <w:rPr/>
        <w:t>The boost in commercial real estate segment prompted the development of the submarket as a residential market to cater to the housing needs of the working populace.</w:t>
      </w:r>
    </w:p>
    <w:p>
      <w:pPr>
        <w:pStyle w:val="BodyText"/>
        <w:spacing w:line="321" w:lineRule="auto" w:before="120"/>
        <w:ind w:left="88" w:right="306"/>
        <w:jc w:val="both"/>
      </w:pPr>
      <w:r>
        <w:rPr/>
        <w:t>The</w:t>
      </w:r>
      <w:r>
        <w:rPr>
          <w:spacing w:val="-49"/>
        </w:rPr>
        <w:t> </w:t>
      </w:r>
      <w:r>
        <w:rPr/>
        <w:t>submarket</w:t>
      </w:r>
      <w:r>
        <w:rPr>
          <w:spacing w:val="-49"/>
        </w:rPr>
        <w:t> </w:t>
      </w:r>
      <w:r>
        <w:rPr/>
        <w:t>is</w:t>
      </w:r>
      <w:r>
        <w:rPr>
          <w:spacing w:val="-48"/>
        </w:rPr>
        <w:t> </w:t>
      </w:r>
      <w:r>
        <w:rPr/>
        <w:t>expected</w:t>
      </w:r>
      <w:r>
        <w:rPr>
          <w:spacing w:val="-49"/>
        </w:rPr>
        <w:t> </w:t>
      </w:r>
      <w:r>
        <w:rPr/>
        <w:t>to</w:t>
      </w:r>
      <w:r>
        <w:rPr>
          <w:spacing w:val="-48"/>
        </w:rPr>
        <w:t> </w:t>
      </w:r>
      <w:r>
        <w:rPr/>
        <w:t>witness</w:t>
      </w:r>
      <w:r>
        <w:rPr>
          <w:spacing w:val="-49"/>
        </w:rPr>
        <w:t> </w:t>
      </w:r>
      <w:r>
        <w:rPr/>
        <w:t>sustainable</w:t>
      </w:r>
      <w:r>
        <w:rPr>
          <w:spacing w:val="-49"/>
        </w:rPr>
        <w:t> </w:t>
      </w:r>
      <w:r>
        <w:rPr/>
        <w:t>growth</w:t>
      </w:r>
      <w:r>
        <w:rPr>
          <w:spacing w:val="-49"/>
        </w:rPr>
        <w:t> </w:t>
      </w:r>
      <w:r>
        <w:rPr/>
        <w:t>in</w:t>
      </w:r>
      <w:r>
        <w:rPr>
          <w:spacing w:val="-49"/>
        </w:rPr>
        <w:t> </w:t>
      </w:r>
      <w:r>
        <w:rPr/>
        <w:t>technology</w:t>
      </w:r>
      <w:r>
        <w:rPr>
          <w:spacing w:val="-48"/>
        </w:rPr>
        <w:t> </w:t>
      </w:r>
      <w:r>
        <w:rPr/>
        <w:t>segment</w:t>
      </w:r>
      <w:r>
        <w:rPr>
          <w:spacing w:val="-49"/>
        </w:rPr>
        <w:t> </w:t>
      </w:r>
      <w:r>
        <w:rPr/>
        <w:t>with development</w:t>
      </w:r>
      <w:r>
        <w:rPr>
          <w:spacing w:val="-29"/>
        </w:rPr>
        <w:t> </w:t>
      </w:r>
      <w:r>
        <w:rPr/>
        <w:t>of</w:t>
      </w:r>
      <w:r>
        <w:rPr>
          <w:spacing w:val="-30"/>
        </w:rPr>
        <w:t> </w:t>
      </w:r>
      <w:r>
        <w:rPr/>
        <w:t>further</w:t>
      </w:r>
      <w:r>
        <w:rPr>
          <w:spacing w:val="-29"/>
        </w:rPr>
        <w:t> </w:t>
      </w:r>
      <w:r>
        <w:rPr/>
        <w:t>phases</w:t>
      </w:r>
      <w:r>
        <w:rPr>
          <w:spacing w:val="-28"/>
        </w:rPr>
        <w:t> </w:t>
      </w:r>
      <w:r>
        <w:rPr/>
        <w:t>of</w:t>
      </w:r>
      <w:r>
        <w:rPr>
          <w:spacing w:val="-27"/>
        </w:rPr>
        <w:t> </w:t>
      </w:r>
      <w:r>
        <w:rPr/>
        <w:t>various</w:t>
      </w:r>
      <w:r>
        <w:rPr>
          <w:spacing w:val="-28"/>
        </w:rPr>
        <w:t> </w:t>
      </w:r>
      <w:r>
        <w:rPr/>
        <w:t>office</w:t>
      </w:r>
      <w:r>
        <w:rPr>
          <w:spacing w:val="-29"/>
        </w:rPr>
        <w:t> </w:t>
      </w:r>
      <w:r>
        <w:rPr/>
        <w:t>parks.</w:t>
      </w:r>
      <w:r>
        <w:rPr>
          <w:spacing w:val="-29"/>
        </w:rPr>
        <w:t> </w:t>
      </w:r>
      <w:r>
        <w:rPr/>
        <w:t>This</w:t>
      </w:r>
      <w:r>
        <w:rPr>
          <w:spacing w:val="-28"/>
        </w:rPr>
        <w:t> </w:t>
      </w:r>
      <w:r>
        <w:rPr/>
        <w:t>increase</w:t>
      </w:r>
      <w:r>
        <w:rPr>
          <w:spacing w:val="-29"/>
        </w:rPr>
        <w:t> </w:t>
      </w:r>
      <w:r>
        <w:rPr/>
        <w:t>of</w:t>
      </w:r>
      <w:r>
        <w:rPr>
          <w:spacing w:val="-28"/>
        </w:rPr>
        <w:t> </w:t>
      </w:r>
      <w:r>
        <w:rPr/>
        <w:t>commercial supply</w:t>
      </w:r>
      <w:r>
        <w:rPr>
          <w:spacing w:val="-36"/>
        </w:rPr>
        <w:t> </w:t>
      </w:r>
      <w:r>
        <w:rPr/>
        <w:t>will</w:t>
      </w:r>
      <w:r>
        <w:rPr>
          <w:spacing w:val="-34"/>
        </w:rPr>
        <w:t> </w:t>
      </w:r>
      <w:r>
        <w:rPr/>
        <w:t>be</w:t>
      </w:r>
      <w:r>
        <w:rPr>
          <w:spacing w:val="-36"/>
        </w:rPr>
        <w:t> </w:t>
      </w:r>
      <w:r>
        <w:rPr/>
        <w:t>proportionally</w:t>
      </w:r>
      <w:r>
        <w:rPr>
          <w:spacing w:val="-33"/>
        </w:rPr>
        <w:t> </w:t>
      </w:r>
      <w:r>
        <w:rPr/>
        <w:t>matched</w:t>
      </w:r>
      <w:r>
        <w:rPr>
          <w:spacing w:val="-35"/>
        </w:rPr>
        <w:t> </w:t>
      </w:r>
      <w:r>
        <w:rPr/>
        <w:t>by</w:t>
      </w:r>
      <w:r>
        <w:rPr>
          <w:spacing w:val="-34"/>
        </w:rPr>
        <w:t> </w:t>
      </w:r>
      <w:r>
        <w:rPr/>
        <w:t>residential</w:t>
      </w:r>
      <w:r>
        <w:rPr>
          <w:spacing w:val="-34"/>
        </w:rPr>
        <w:t> </w:t>
      </w:r>
      <w:r>
        <w:rPr/>
        <w:t>supply</w:t>
      </w:r>
      <w:r>
        <w:rPr>
          <w:spacing w:val="-36"/>
        </w:rPr>
        <w:t> </w:t>
      </w:r>
      <w:r>
        <w:rPr/>
        <w:t>from</w:t>
      </w:r>
      <w:r>
        <w:rPr>
          <w:spacing w:val="-35"/>
        </w:rPr>
        <w:t> </w:t>
      </w:r>
      <w:r>
        <w:rPr/>
        <w:t>developments</w:t>
      </w:r>
      <w:r>
        <w:rPr>
          <w:spacing w:val="-34"/>
        </w:rPr>
        <w:t> </w:t>
      </w:r>
      <w:r>
        <w:rPr/>
        <w:t>like Megapolis,</w:t>
      </w:r>
      <w:r>
        <w:rPr>
          <w:spacing w:val="-6"/>
        </w:rPr>
        <w:t> </w:t>
      </w:r>
      <w:r>
        <w:rPr/>
        <w:t>Life</w:t>
      </w:r>
      <w:r>
        <w:rPr>
          <w:spacing w:val="-6"/>
        </w:rPr>
        <w:t> </w:t>
      </w:r>
      <w:r>
        <w:rPr/>
        <w:t>Republic,</w:t>
      </w:r>
      <w:r>
        <w:rPr>
          <w:spacing w:val="-8"/>
        </w:rPr>
        <w:t> </w:t>
      </w:r>
      <w:r>
        <w:rPr/>
        <w:t>Blue</w:t>
      </w:r>
      <w:r>
        <w:rPr>
          <w:spacing w:val="-6"/>
        </w:rPr>
        <w:t> </w:t>
      </w:r>
      <w:r>
        <w:rPr/>
        <w:t>Ridge,</w:t>
      </w:r>
      <w:r>
        <w:rPr>
          <w:spacing w:val="-6"/>
        </w:rPr>
        <w:t> </w:t>
      </w:r>
      <w:r>
        <w:rPr/>
        <w:t>EON</w:t>
      </w:r>
      <w:r>
        <w:rPr>
          <w:spacing w:val="-7"/>
        </w:rPr>
        <w:t> </w:t>
      </w:r>
      <w:r>
        <w:rPr/>
        <w:t>homes,</w:t>
      </w:r>
      <w:r>
        <w:rPr>
          <w:spacing w:val="-7"/>
        </w:rPr>
        <w:t> </w:t>
      </w:r>
      <w:r>
        <w:rPr/>
        <w:t>Godrej</w:t>
      </w:r>
      <w:r>
        <w:rPr>
          <w:spacing w:val="-7"/>
        </w:rPr>
        <w:t> </w:t>
      </w:r>
      <w:r>
        <w:rPr/>
        <w:t>24,</w:t>
      </w:r>
      <w:r>
        <w:rPr>
          <w:spacing w:val="-6"/>
        </w:rPr>
        <w:t> </w:t>
      </w:r>
      <w:r>
        <w:rPr/>
        <w:t>etc.</w:t>
      </w:r>
    </w:p>
    <w:p>
      <w:pPr>
        <w:spacing w:after="0" w:line="321" w:lineRule="auto"/>
        <w:jc w:val="both"/>
        <w:sectPr>
          <w:type w:val="continuous"/>
          <w:pgSz w:w="11910" w:h="16840"/>
          <w:pgMar w:top="800" w:bottom="280" w:left="600" w:right="520"/>
          <w:cols w:num="2" w:equalWidth="0">
            <w:col w:w="2431" w:space="40"/>
            <w:col w:w="8319"/>
          </w:cols>
        </w:sectPr>
      </w:pPr>
    </w:p>
    <w:p>
      <w:pPr>
        <w:pStyle w:val="BodyText"/>
        <w:spacing w:before="10"/>
        <w:rPr>
          <w:sz w:val="11"/>
        </w:rPr>
      </w:pPr>
    </w:p>
    <w:p>
      <w:pPr>
        <w:spacing w:after="0"/>
        <w:rPr>
          <w:sz w:val="11"/>
        </w:rPr>
        <w:sectPr>
          <w:type w:val="continuous"/>
          <w:pgSz w:w="11910" w:h="16840"/>
          <w:pgMar w:top="800" w:bottom="280" w:left="600" w:right="520"/>
        </w:sectPr>
      </w:pPr>
    </w:p>
    <w:p>
      <w:pPr>
        <w:pStyle w:val="BodyText"/>
        <w:spacing w:line="324" w:lineRule="auto" w:before="106"/>
        <w:ind w:left="749" w:right="-14"/>
      </w:pPr>
      <w:r>
        <w:rPr>
          <w:w w:val="95"/>
        </w:rPr>
        <w:t>Suitability</w:t>
      </w:r>
      <w:r>
        <w:rPr>
          <w:spacing w:val="-39"/>
          <w:w w:val="95"/>
        </w:rPr>
        <w:t> </w:t>
      </w:r>
      <w:r>
        <w:rPr>
          <w:w w:val="95"/>
        </w:rPr>
        <w:t>of existing</w:t>
      </w:r>
      <w:r>
        <w:rPr>
          <w:spacing w:val="-5"/>
          <w:w w:val="95"/>
        </w:rPr>
        <w:t> use:</w:t>
      </w:r>
    </w:p>
    <w:p>
      <w:pPr>
        <w:pStyle w:val="BodyText"/>
        <w:spacing w:line="324" w:lineRule="auto" w:before="106"/>
        <w:ind w:left="599" w:right="305"/>
      </w:pPr>
      <w:r>
        <w:rPr/>
        <w:br w:type="column"/>
      </w:r>
      <w:r>
        <w:rPr/>
        <w:t>Considering</w:t>
      </w:r>
      <w:r>
        <w:rPr>
          <w:spacing w:val="-43"/>
        </w:rPr>
        <w:t> </w:t>
      </w:r>
      <w:r>
        <w:rPr/>
        <w:t>the</w:t>
      </w:r>
      <w:r>
        <w:rPr>
          <w:spacing w:val="-41"/>
        </w:rPr>
        <w:t> </w:t>
      </w:r>
      <w:r>
        <w:rPr/>
        <w:t>profile</w:t>
      </w:r>
      <w:r>
        <w:rPr>
          <w:spacing w:val="-42"/>
        </w:rPr>
        <w:t> </w:t>
      </w:r>
      <w:r>
        <w:rPr/>
        <w:t>of</w:t>
      </w:r>
      <w:r>
        <w:rPr>
          <w:spacing w:val="-42"/>
        </w:rPr>
        <w:t> </w:t>
      </w:r>
      <w:r>
        <w:rPr/>
        <w:t>surrounding</w:t>
      </w:r>
      <w:r>
        <w:rPr>
          <w:spacing w:val="-39"/>
        </w:rPr>
        <w:t> </w:t>
      </w:r>
      <w:r>
        <w:rPr/>
        <w:t>developments,</w:t>
      </w:r>
      <w:r>
        <w:rPr>
          <w:spacing w:val="-42"/>
        </w:rPr>
        <w:t> </w:t>
      </w:r>
      <w:r>
        <w:rPr/>
        <w:t>the</w:t>
      </w:r>
      <w:r>
        <w:rPr>
          <w:spacing w:val="-42"/>
        </w:rPr>
        <w:t> </w:t>
      </w:r>
      <w:r>
        <w:rPr/>
        <w:t>subject</w:t>
      </w:r>
      <w:r>
        <w:rPr>
          <w:spacing w:val="-41"/>
        </w:rPr>
        <w:t> </w:t>
      </w:r>
      <w:r>
        <w:rPr/>
        <w:t>property</w:t>
      </w:r>
      <w:r>
        <w:rPr>
          <w:spacing w:val="-41"/>
        </w:rPr>
        <w:t> </w:t>
      </w:r>
      <w:r>
        <w:rPr/>
        <w:t>is</w:t>
      </w:r>
      <w:r>
        <w:rPr>
          <w:spacing w:val="-42"/>
        </w:rPr>
        <w:t> </w:t>
      </w:r>
      <w:r>
        <w:rPr/>
        <w:t>opined to</w:t>
      </w:r>
      <w:r>
        <w:rPr>
          <w:spacing w:val="-7"/>
        </w:rPr>
        <w:t> </w:t>
      </w:r>
      <w:r>
        <w:rPr/>
        <w:t>be</w:t>
      </w:r>
      <w:r>
        <w:rPr>
          <w:spacing w:val="-7"/>
        </w:rPr>
        <w:t> </w:t>
      </w:r>
      <w:r>
        <w:rPr/>
        <w:t>suited</w:t>
      </w:r>
      <w:r>
        <w:rPr>
          <w:spacing w:val="-6"/>
        </w:rPr>
        <w:t> </w:t>
      </w:r>
      <w:r>
        <w:rPr/>
        <w:t>for</w:t>
      </w:r>
      <w:r>
        <w:rPr>
          <w:spacing w:val="-8"/>
        </w:rPr>
        <w:t> </w:t>
      </w:r>
      <w:r>
        <w:rPr/>
        <w:t>its</w:t>
      </w:r>
      <w:r>
        <w:rPr>
          <w:spacing w:val="-6"/>
        </w:rPr>
        <w:t> </w:t>
      </w:r>
      <w:r>
        <w:rPr/>
        <w:t>current</w:t>
      </w:r>
      <w:r>
        <w:rPr>
          <w:spacing w:val="-8"/>
        </w:rPr>
        <w:t> </w:t>
      </w:r>
      <w:r>
        <w:rPr/>
        <w:t>use</w:t>
      </w:r>
      <w:r>
        <w:rPr>
          <w:spacing w:val="-7"/>
        </w:rPr>
        <w:t> </w:t>
      </w:r>
      <w:r>
        <w:rPr/>
        <w:t>viz.</w:t>
      </w:r>
      <w:r>
        <w:rPr>
          <w:spacing w:val="-7"/>
        </w:rPr>
        <w:t> </w:t>
      </w:r>
      <w:r>
        <w:rPr/>
        <w:t>office</w:t>
      </w:r>
      <w:r>
        <w:rPr>
          <w:spacing w:val="-7"/>
        </w:rPr>
        <w:t> </w:t>
      </w:r>
      <w:r>
        <w:rPr/>
        <w:t>park.</w:t>
      </w:r>
    </w:p>
    <w:p>
      <w:pPr>
        <w:spacing w:after="0" w:line="324" w:lineRule="auto"/>
        <w:sectPr>
          <w:type w:val="continuous"/>
          <w:pgSz w:w="11910" w:h="16840"/>
          <w:pgMar w:top="800" w:bottom="280" w:left="600" w:right="520"/>
          <w:cols w:num="2" w:equalWidth="0">
            <w:col w:w="1919" w:space="40"/>
            <w:col w:w="8831"/>
          </w:cols>
        </w:sectPr>
      </w:pPr>
    </w:p>
    <w:p>
      <w:pPr>
        <w:pStyle w:val="BodyText"/>
        <w:spacing w:before="1"/>
        <w:rPr>
          <w:sz w:val="11"/>
        </w:rPr>
      </w:pPr>
    </w:p>
    <w:p>
      <w:pPr>
        <w:pStyle w:val="BodyText"/>
        <w:tabs>
          <w:tab w:pos="2558" w:val="left" w:leader="none"/>
        </w:tabs>
        <w:spacing w:line="321" w:lineRule="auto" w:before="106"/>
        <w:ind w:left="2558" w:right="310" w:hanging="1810"/>
        <w:jc w:val="both"/>
      </w:pPr>
      <w:r>
        <w:rPr/>
        <w:t>Shape:</w:t>
        <w:tab/>
        <w:t>Based</w:t>
      </w:r>
      <w:r>
        <w:rPr>
          <w:spacing w:val="-41"/>
        </w:rPr>
        <w:t> </w:t>
      </w:r>
      <w:r>
        <w:rPr/>
        <w:t>on</w:t>
      </w:r>
      <w:r>
        <w:rPr>
          <w:spacing w:val="-41"/>
        </w:rPr>
        <w:t> </w:t>
      </w:r>
      <w:r>
        <w:rPr/>
        <w:t>the</w:t>
      </w:r>
      <w:r>
        <w:rPr>
          <w:spacing w:val="-41"/>
        </w:rPr>
        <w:t> </w:t>
      </w:r>
      <w:r>
        <w:rPr/>
        <w:t>visual</w:t>
      </w:r>
      <w:r>
        <w:rPr>
          <w:spacing w:val="-41"/>
        </w:rPr>
        <w:t> </w:t>
      </w:r>
      <w:r>
        <w:rPr/>
        <w:t>inspection,</w:t>
      </w:r>
      <w:r>
        <w:rPr>
          <w:spacing w:val="-41"/>
        </w:rPr>
        <w:t> </w:t>
      </w:r>
      <w:r>
        <w:rPr/>
        <w:t>we</w:t>
      </w:r>
      <w:r>
        <w:rPr>
          <w:spacing w:val="-41"/>
        </w:rPr>
        <w:t> </w:t>
      </w:r>
      <w:r>
        <w:rPr/>
        <w:t>understand</w:t>
      </w:r>
      <w:r>
        <w:rPr>
          <w:spacing w:val="-41"/>
        </w:rPr>
        <w:t> </w:t>
      </w:r>
      <w:r>
        <w:rPr/>
        <w:t>that</w:t>
      </w:r>
      <w:r>
        <w:rPr>
          <w:spacing w:val="-42"/>
        </w:rPr>
        <w:t> </w:t>
      </w:r>
      <w:r>
        <w:rPr/>
        <w:t>the</w:t>
      </w:r>
      <w:r>
        <w:rPr>
          <w:spacing w:val="-41"/>
        </w:rPr>
        <w:t> </w:t>
      </w:r>
      <w:r>
        <w:rPr/>
        <w:t>subject</w:t>
      </w:r>
      <w:r>
        <w:rPr>
          <w:spacing w:val="-40"/>
        </w:rPr>
        <w:t> </w:t>
      </w:r>
      <w:r>
        <w:rPr/>
        <w:t>land</w:t>
      </w:r>
      <w:r>
        <w:rPr>
          <w:spacing w:val="-41"/>
        </w:rPr>
        <w:t> </w:t>
      </w:r>
      <w:r>
        <w:rPr/>
        <w:t>parcel</w:t>
      </w:r>
      <w:r>
        <w:rPr>
          <w:spacing w:val="-41"/>
        </w:rPr>
        <w:t> </w:t>
      </w:r>
      <w:r>
        <w:rPr/>
        <w:t>is</w:t>
      </w:r>
      <w:r>
        <w:rPr>
          <w:spacing w:val="-41"/>
        </w:rPr>
        <w:t> </w:t>
      </w:r>
      <w:r>
        <w:rPr/>
        <w:t>broadly rectangular in</w:t>
      </w:r>
      <w:r>
        <w:rPr>
          <w:spacing w:val="-7"/>
        </w:rPr>
        <w:t> </w:t>
      </w:r>
      <w:r>
        <w:rPr/>
        <w:t>shape.</w:t>
      </w:r>
    </w:p>
    <w:p>
      <w:pPr>
        <w:pStyle w:val="BodyText"/>
        <w:spacing w:before="10"/>
        <w:rPr>
          <w:sz w:val="20"/>
        </w:rPr>
      </w:pPr>
    </w:p>
    <w:p>
      <w:pPr>
        <w:pStyle w:val="BodyText"/>
        <w:spacing w:line="321" w:lineRule="auto"/>
        <w:ind w:left="2558" w:right="308" w:hanging="1810"/>
        <w:jc w:val="both"/>
      </w:pPr>
      <w:r>
        <w:rPr/>
        <w:t>Topography:</w:t>
      </w:r>
      <w:r>
        <w:rPr>
          <w:spacing w:val="57"/>
        </w:rPr>
        <w:t> </w:t>
      </w:r>
      <w:r>
        <w:rPr/>
        <w:t>Based</w:t>
      </w:r>
      <w:r>
        <w:rPr>
          <w:spacing w:val="-24"/>
        </w:rPr>
        <w:t> </w:t>
      </w:r>
      <w:r>
        <w:rPr/>
        <w:t>on</w:t>
      </w:r>
      <w:r>
        <w:rPr>
          <w:spacing w:val="-23"/>
        </w:rPr>
        <w:t> </w:t>
      </w:r>
      <w:r>
        <w:rPr/>
        <w:t>our</w:t>
      </w:r>
      <w:r>
        <w:rPr>
          <w:spacing w:val="-23"/>
        </w:rPr>
        <w:t> </w:t>
      </w:r>
      <w:r>
        <w:rPr/>
        <w:t>site</w:t>
      </w:r>
      <w:r>
        <w:rPr>
          <w:spacing w:val="-26"/>
        </w:rPr>
        <w:t> </w:t>
      </w:r>
      <w:r>
        <w:rPr/>
        <w:t>visit,</w:t>
      </w:r>
      <w:r>
        <w:rPr>
          <w:spacing w:val="-23"/>
        </w:rPr>
        <w:t> </w:t>
      </w:r>
      <w:r>
        <w:rPr/>
        <w:t>the</w:t>
      </w:r>
      <w:r>
        <w:rPr>
          <w:spacing w:val="-26"/>
        </w:rPr>
        <w:t> </w:t>
      </w:r>
      <w:r>
        <w:rPr/>
        <w:t>site</w:t>
      </w:r>
      <w:r>
        <w:rPr>
          <w:spacing w:val="-23"/>
        </w:rPr>
        <w:t> </w:t>
      </w:r>
      <w:r>
        <w:rPr/>
        <w:t>appears</w:t>
      </w:r>
      <w:r>
        <w:rPr>
          <w:spacing w:val="-25"/>
        </w:rPr>
        <w:t> </w:t>
      </w:r>
      <w:r>
        <w:rPr/>
        <w:t>to</w:t>
      </w:r>
      <w:r>
        <w:rPr>
          <w:spacing w:val="-24"/>
        </w:rPr>
        <w:t> </w:t>
      </w:r>
      <w:r>
        <w:rPr/>
        <w:t>be</w:t>
      </w:r>
      <w:r>
        <w:rPr>
          <w:spacing w:val="-24"/>
        </w:rPr>
        <w:t> </w:t>
      </w:r>
      <w:r>
        <w:rPr/>
        <w:t>even</w:t>
      </w:r>
      <w:r>
        <w:rPr>
          <w:spacing w:val="-23"/>
        </w:rPr>
        <w:t> </w:t>
      </w:r>
      <w:r>
        <w:rPr/>
        <w:t>and</w:t>
      </w:r>
      <w:r>
        <w:rPr>
          <w:spacing w:val="-23"/>
        </w:rPr>
        <w:t> </w:t>
      </w:r>
      <w:r>
        <w:rPr/>
        <w:t>on</w:t>
      </w:r>
      <w:r>
        <w:rPr>
          <w:spacing w:val="-23"/>
        </w:rPr>
        <w:t> </w:t>
      </w:r>
      <w:r>
        <w:rPr/>
        <w:t>the</w:t>
      </w:r>
      <w:r>
        <w:rPr>
          <w:spacing w:val="-26"/>
        </w:rPr>
        <w:t> </w:t>
      </w:r>
      <w:r>
        <w:rPr/>
        <w:t>same</w:t>
      </w:r>
      <w:r>
        <w:rPr>
          <w:spacing w:val="-23"/>
        </w:rPr>
        <w:t> </w:t>
      </w:r>
      <w:r>
        <w:rPr/>
        <w:t>level</w:t>
      </w:r>
      <w:r>
        <w:rPr>
          <w:spacing w:val="-23"/>
        </w:rPr>
        <w:t> </w:t>
      </w:r>
      <w:r>
        <w:rPr/>
        <w:t>as</w:t>
      </w:r>
      <w:r>
        <w:rPr>
          <w:spacing w:val="-23"/>
        </w:rPr>
        <w:t> </w:t>
      </w:r>
      <w:r>
        <w:rPr/>
        <w:t>abutting access</w:t>
      </w:r>
      <w:r>
        <w:rPr>
          <w:spacing w:val="-2"/>
        </w:rPr>
        <w:t> </w:t>
      </w:r>
      <w:r>
        <w:rPr/>
        <w:t>roads.</w:t>
      </w:r>
    </w:p>
    <w:p>
      <w:pPr>
        <w:pStyle w:val="BodyText"/>
        <w:spacing w:before="9"/>
        <w:rPr>
          <w:sz w:val="20"/>
        </w:rPr>
      </w:pPr>
    </w:p>
    <w:p>
      <w:pPr>
        <w:pStyle w:val="BodyText"/>
        <w:tabs>
          <w:tab w:pos="2558" w:val="left" w:leader="none"/>
        </w:tabs>
        <w:spacing w:line="321" w:lineRule="auto" w:before="1"/>
        <w:ind w:left="2558" w:right="300" w:hanging="1810"/>
        <w:jc w:val="both"/>
      </w:pPr>
      <w:r>
        <w:rPr/>
        <w:t>Frontage:</w:t>
        <w:tab/>
        <w:t>Based on visual inspection and measurements made on Google maps, we understand</w:t>
      </w:r>
      <w:r>
        <w:rPr>
          <w:spacing w:val="-14"/>
        </w:rPr>
        <w:t> </w:t>
      </w:r>
      <w:r>
        <w:rPr/>
        <w:t>that</w:t>
      </w:r>
      <w:r>
        <w:rPr>
          <w:spacing w:val="-13"/>
        </w:rPr>
        <w:t> </w:t>
      </w:r>
      <w:r>
        <w:rPr/>
        <w:t>subject</w:t>
      </w:r>
      <w:r>
        <w:rPr>
          <w:spacing w:val="-13"/>
        </w:rPr>
        <w:t> </w:t>
      </w:r>
      <w:r>
        <w:rPr/>
        <w:t>property</w:t>
      </w:r>
      <w:r>
        <w:rPr>
          <w:spacing w:val="-11"/>
        </w:rPr>
        <w:t> </w:t>
      </w:r>
      <w:r>
        <w:rPr/>
        <w:t>has</w:t>
      </w:r>
      <w:r>
        <w:rPr>
          <w:spacing w:val="-12"/>
        </w:rPr>
        <w:t> </w:t>
      </w:r>
      <w:r>
        <w:rPr/>
        <w:t>a</w:t>
      </w:r>
      <w:r>
        <w:rPr>
          <w:spacing w:val="-11"/>
        </w:rPr>
        <w:t> </w:t>
      </w:r>
      <w:r>
        <w:rPr/>
        <w:t>frontage</w:t>
      </w:r>
      <w:r>
        <w:rPr>
          <w:spacing w:val="-11"/>
        </w:rPr>
        <w:t> </w:t>
      </w:r>
      <w:r>
        <w:rPr/>
        <w:t>of</w:t>
      </w:r>
      <w:r>
        <w:rPr>
          <w:spacing w:val="-13"/>
        </w:rPr>
        <w:t> </w:t>
      </w:r>
      <w:r>
        <w:rPr/>
        <w:t>approximately</w:t>
      </w:r>
      <w:r>
        <w:rPr>
          <w:spacing w:val="-11"/>
        </w:rPr>
        <w:t> </w:t>
      </w:r>
      <w:r>
        <w:rPr/>
        <w:t>32</w:t>
      </w:r>
      <w:r>
        <w:rPr>
          <w:spacing w:val="-13"/>
        </w:rPr>
        <w:t> </w:t>
      </w:r>
      <w:r>
        <w:rPr/>
        <w:t>m</w:t>
      </w:r>
      <w:r>
        <w:rPr>
          <w:spacing w:val="-14"/>
        </w:rPr>
        <w:t> </w:t>
      </w:r>
      <w:r>
        <w:rPr/>
        <w:t>along</w:t>
      </w:r>
      <w:r>
        <w:rPr>
          <w:spacing w:val="-11"/>
        </w:rPr>
        <w:t> </w:t>
      </w:r>
      <w:r>
        <w:rPr/>
        <w:t>the internal road emanating from main Hinjewadi phase 2</w:t>
      </w:r>
      <w:r>
        <w:rPr>
          <w:spacing w:val="-36"/>
        </w:rPr>
        <w:t> </w:t>
      </w:r>
      <w:r>
        <w:rPr/>
        <w:t>road.</w:t>
      </w:r>
    </w:p>
    <w:p>
      <w:pPr>
        <w:spacing w:after="0" w:line="321" w:lineRule="auto"/>
        <w:jc w:val="both"/>
        <w:sectPr>
          <w:type w:val="continuous"/>
          <w:pgSz w:w="11910" w:h="16840"/>
          <w:pgMar w:top="800" w:bottom="280" w:left="600" w:right="520"/>
        </w:sectPr>
      </w:pPr>
    </w:p>
    <w:p>
      <w:pPr>
        <w:pStyle w:val="BodyText"/>
        <w:spacing w:before="7"/>
        <w:rPr>
          <w:sz w:val="9"/>
        </w:rPr>
      </w:pPr>
    </w:p>
    <w:p>
      <w:pPr>
        <w:pStyle w:val="BodyText"/>
        <w:spacing w:line="344" w:lineRule="exact" w:before="38"/>
        <w:ind w:left="2558" w:right="301" w:hanging="1810"/>
        <w:jc w:val="both"/>
      </w:pPr>
      <w:r>
        <w:rPr>
          <w:position w:val="-11"/>
        </w:rPr>
        <w:t>Accessibility:</w:t>
      </w:r>
      <w:r>
        <w:rPr>
          <w:spacing w:val="8"/>
          <w:position w:val="-11"/>
        </w:rPr>
        <w:t> </w:t>
      </w:r>
      <w:r>
        <w:rPr/>
        <w:t>As mentioned earlier, the subject site is located in Phase 2 of Rajiv Gandhi IT Park, Hinjewadi,</w:t>
      </w:r>
      <w:r>
        <w:rPr>
          <w:spacing w:val="-33"/>
        </w:rPr>
        <w:t> </w:t>
      </w:r>
      <w:r>
        <w:rPr/>
        <w:t>Pune.</w:t>
      </w:r>
      <w:r>
        <w:rPr>
          <w:spacing w:val="-32"/>
        </w:rPr>
        <w:t> </w:t>
      </w:r>
      <w:r>
        <w:rPr/>
        <w:t>The</w:t>
      </w:r>
      <w:r>
        <w:rPr>
          <w:spacing w:val="-33"/>
        </w:rPr>
        <w:t> </w:t>
      </w:r>
      <w:r>
        <w:rPr/>
        <w:t>property</w:t>
      </w:r>
      <w:r>
        <w:rPr>
          <w:spacing w:val="-31"/>
        </w:rPr>
        <w:t> </w:t>
      </w:r>
      <w:r>
        <w:rPr/>
        <w:t>has</w:t>
      </w:r>
      <w:r>
        <w:rPr>
          <w:spacing w:val="-31"/>
        </w:rPr>
        <w:t> </w:t>
      </w:r>
      <w:r>
        <w:rPr/>
        <w:t>access</w:t>
      </w:r>
      <w:r>
        <w:rPr>
          <w:spacing w:val="-32"/>
        </w:rPr>
        <w:t> </w:t>
      </w:r>
      <w:r>
        <w:rPr/>
        <w:t>through</w:t>
      </w:r>
      <w:r>
        <w:rPr>
          <w:spacing w:val="-30"/>
        </w:rPr>
        <w:t> </w:t>
      </w:r>
      <w:r>
        <w:rPr/>
        <w:t>an</w:t>
      </w:r>
      <w:r>
        <w:rPr>
          <w:spacing w:val="-32"/>
        </w:rPr>
        <w:t> </w:t>
      </w:r>
      <w:r>
        <w:rPr/>
        <w:t>internal</w:t>
      </w:r>
      <w:r>
        <w:rPr>
          <w:spacing w:val="-33"/>
        </w:rPr>
        <w:t> </w:t>
      </w:r>
      <w:r>
        <w:rPr/>
        <w:t>road</w:t>
      </w:r>
      <w:r>
        <w:rPr>
          <w:spacing w:val="-31"/>
        </w:rPr>
        <w:t> </w:t>
      </w:r>
      <w:r>
        <w:rPr/>
        <w:t>emanating</w:t>
      </w:r>
      <w:r>
        <w:rPr>
          <w:spacing w:val="-32"/>
        </w:rPr>
        <w:t> </w:t>
      </w:r>
      <w:r>
        <w:rPr/>
        <w:t>from Hinjewadi Phase 2</w:t>
      </w:r>
      <w:r>
        <w:rPr>
          <w:spacing w:val="-8"/>
        </w:rPr>
        <w:t> </w:t>
      </w:r>
      <w:r>
        <w:rPr/>
        <w:t>road.</w:t>
      </w:r>
    </w:p>
    <w:p>
      <w:pPr>
        <w:spacing w:after="0" w:line="344" w:lineRule="exact"/>
        <w:jc w:val="both"/>
        <w:sectPr>
          <w:pgSz w:w="11910" w:h="16840"/>
          <w:pgMar w:header="720" w:footer="933" w:top="1660" w:bottom="1120" w:left="600" w:right="520"/>
        </w:sectPr>
      </w:pPr>
    </w:p>
    <w:p>
      <w:pPr>
        <w:spacing w:before="75"/>
        <w:ind w:left="211" w:right="0" w:firstLine="0"/>
        <w:jc w:val="left"/>
        <w:rPr>
          <w:sz w:val="20"/>
        </w:rPr>
      </w:pPr>
      <w:r>
        <w:rPr/>
        <w:drawing>
          <wp:anchor distT="0" distB="0" distL="0" distR="0" allowOverlap="1" layoutInCell="1" locked="0" behindDoc="0" simplePos="0" relativeHeight="628">
            <wp:simplePos x="0" y="0"/>
            <wp:positionH relativeFrom="page">
              <wp:posOffset>832485</wp:posOffset>
            </wp:positionH>
            <wp:positionV relativeFrom="paragraph">
              <wp:posOffset>283078</wp:posOffset>
            </wp:positionV>
            <wp:extent cx="9725902" cy="79248"/>
            <wp:effectExtent l="0" t="0" r="0" b="0"/>
            <wp:wrapTopAndBottom/>
            <wp:docPr id="157" name="image78.png"/>
            <wp:cNvGraphicFramePr>
              <a:graphicFrameLocks noChangeAspect="1"/>
            </wp:cNvGraphicFramePr>
            <a:graphic>
              <a:graphicData uri="http://schemas.openxmlformats.org/drawingml/2006/picture">
                <pic:pic>
                  <pic:nvPicPr>
                    <pic:cNvPr id="158" name="image78.png"/>
                    <pic:cNvPicPr/>
                  </pic:nvPicPr>
                  <pic:blipFill>
                    <a:blip r:embed="rId106" cstate="print"/>
                    <a:stretch>
                      <a:fillRect/>
                    </a:stretch>
                  </pic:blipFill>
                  <pic:spPr>
                    <a:xfrm>
                      <a:off x="0" y="0"/>
                      <a:ext cx="9725902" cy="79248"/>
                    </a:xfrm>
                    <a:prstGeom prst="rect">
                      <a:avLst/>
                    </a:prstGeom>
                  </pic:spPr>
                </pic:pic>
              </a:graphicData>
            </a:graphic>
          </wp:anchor>
        </w:drawing>
      </w:r>
      <w:r>
        <w:rPr/>
        <w:drawing>
          <wp:anchor distT="0" distB="0" distL="0" distR="0" allowOverlap="1" layoutInCell="1" locked="0" behindDoc="0" simplePos="0" relativeHeight="16070656">
            <wp:simplePos x="0" y="0"/>
            <wp:positionH relativeFrom="page">
              <wp:posOffset>7620634</wp:posOffset>
            </wp:positionH>
            <wp:positionV relativeFrom="page">
              <wp:posOffset>6982561</wp:posOffset>
            </wp:positionV>
            <wp:extent cx="1079500" cy="300457"/>
            <wp:effectExtent l="0" t="0" r="0" b="0"/>
            <wp:wrapNone/>
            <wp:docPr id="159" name="image3.jpeg"/>
            <wp:cNvGraphicFramePr>
              <a:graphicFrameLocks noChangeAspect="1"/>
            </wp:cNvGraphicFramePr>
            <a:graphic>
              <a:graphicData uri="http://schemas.openxmlformats.org/drawingml/2006/picture">
                <pic:pic>
                  <pic:nvPicPr>
                    <pic:cNvPr id="160"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6071168">
            <wp:simplePos x="0" y="0"/>
            <wp:positionH relativeFrom="page">
              <wp:posOffset>8808902</wp:posOffset>
            </wp:positionH>
            <wp:positionV relativeFrom="page">
              <wp:posOffset>6849550</wp:posOffset>
            </wp:positionV>
            <wp:extent cx="909288" cy="433873"/>
            <wp:effectExtent l="0" t="0" r="0" b="0"/>
            <wp:wrapNone/>
            <wp:docPr id="161" name="image4.png"/>
            <wp:cNvGraphicFramePr>
              <a:graphicFrameLocks noChangeAspect="1"/>
            </wp:cNvGraphicFramePr>
            <a:graphic>
              <a:graphicData uri="http://schemas.openxmlformats.org/drawingml/2006/picture">
                <pic:pic>
                  <pic:nvPicPr>
                    <pic:cNvPr id="162"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BodyText"/>
        <w:rPr>
          <w:sz w:val="24"/>
        </w:rPr>
      </w:pPr>
    </w:p>
    <w:p>
      <w:pPr>
        <w:pStyle w:val="BodyText"/>
        <w:spacing w:before="179"/>
        <w:ind w:left="211"/>
      </w:pPr>
      <w:r>
        <w:rPr/>
        <w:t>The following map indicates the location of the subject property and surrounding developments:</w:t>
      </w:r>
    </w:p>
    <w:p>
      <w:pPr>
        <w:pStyle w:val="BodyText"/>
        <w:spacing w:before="8"/>
        <w:rPr>
          <w:sz w:val="19"/>
        </w:rPr>
      </w:pPr>
      <w:r>
        <w:rPr/>
        <w:pict>
          <v:group style="position:absolute;margin-left:70.559998pt;margin-top:13.403945pt;width:676.95pt;height:14.2pt;mso-position-horizontal-relative:page;mso-position-vertical-relative:paragraph;z-index:-15406080;mso-wrap-distance-left:0;mso-wrap-distance-right:0" coordorigin="1411,268" coordsize="13539,284">
            <v:rect style="position:absolute;left:1411;top:299;width:13539;height:252" filled="true" fillcolor="#006a4d" stroked="false">
              <v:fill type="solid"/>
            </v:rect>
            <v:rect style="position:absolute;left:1411;top:268;width:13539;height:29" filled="true" fillcolor="#1f6b16" stroked="false">
              <v:fill type="solid"/>
            </v:rect>
            <v:rect style="position:absolute;left:1411;top:296;width:13539;height:3" filled="true" fillcolor="#006a4d" stroked="false">
              <v:fill type="solid"/>
            </v:rect>
            <v:shape style="position:absolute;left:1411;top:296;width:13539;height:255" type="#_x0000_t202" filled="false" stroked="false">
              <v:textbox inset="0,0,0,0">
                <w:txbxContent>
                  <w:p>
                    <w:pPr>
                      <w:spacing w:before="25"/>
                      <w:ind w:left="5053" w:right="5054" w:firstLine="0"/>
                      <w:jc w:val="center"/>
                      <w:rPr>
                        <w:b/>
                        <w:sz w:val="18"/>
                      </w:rPr>
                    </w:pPr>
                    <w:r>
                      <w:rPr>
                        <w:b/>
                        <w:color w:val="FFFFFF"/>
                        <w:w w:val="105"/>
                        <w:sz w:val="18"/>
                      </w:rPr>
                      <w:t>Location Map for the Subject Property</w:t>
                    </w:r>
                  </w:p>
                </w:txbxContent>
              </v:textbox>
              <w10:wrap type="none"/>
            </v:shape>
            <w10:wrap type="topAndBottom"/>
          </v:group>
        </w:pict>
      </w:r>
      <w:r>
        <w:rPr/>
        <w:pict>
          <v:group style="position:absolute;margin-left:72.950584pt;margin-top:38.806477pt;width:674.1pt;height:331.85pt;mso-position-horizontal-relative:page;mso-position-vertical-relative:paragraph;z-index:-15387136;mso-wrap-distance-left:0;mso-wrap-distance-right:0" coordorigin="1459,776" coordsize="13482,6637">
            <v:shape style="position:absolute;left:1507;top:968;width:10289;height:5977" type="#_x0000_t75" stroked="false">
              <v:imagedata r:id="rId138" o:title=""/>
            </v:shape>
            <v:shape style="position:absolute;left:1459;top:965;width:10087;height:5936" type="#_x0000_t75" stroked="false">
              <v:imagedata r:id="rId139" o:title=""/>
            </v:shape>
            <v:shape style="position:absolute;left:4545;top:3427;width:1345;height:661" type="#_x0000_t75" stroked="false">
              <v:imagedata r:id="rId140" o:title=""/>
            </v:shape>
            <v:shape style="position:absolute;left:4589;top:3436;width:1239;height:679" type="#_x0000_t75" stroked="false">
              <v:imagedata r:id="rId141" o:title=""/>
            </v:shape>
            <v:shape style="position:absolute;left:10497;top:919;width:1372;height:3397" coordorigin="10497,919" coordsize="1372,3397" path="m10703,919l10497,992,11247,3109,11247,3108,11661,4316,11868,4245,11454,3037,10703,919xe" filled="true" fillcolor="#000000" stroked="false">
              <v:path arrowok="t"/>
              <v:fill type="solid"/>
            </v:shape>
            <v:shape style="position:absolute;left:10672;top:1256;width:892;height:2298" type="#_x0000_t75" stroked="false">
              <v:imagedata r:id="rId142" o:title=""/>
            </v:shape>
            <v:shape style="position:absolute;left:6900;top:1441;width:1476;height:477" type="#_x0000_t75" stroked="false">
              <v:imagedata r:id="rId143" o:title=""/>
            </v:shape>
            <v:shape style="position:absolute;left:6979;top:1449;width:1309;height:495" type="#_x0000_t75" stroked="false">
              <v:imagedata r:id="rId144" o:title=""/>
            </v:shape>
            <v:shape style="position:absolute;left:9081;top:3436;width:451;height:451" type="#_x0000_t75" stroked="false">
              <v:imagedata r:id="rId145" o:title=""/>
            </v:shape>
            <v:shape style="position:absolute;left:9159;top:3462;width:298;height:298" type="#_x0000_t75" stroked="false">
              <v:imagedata r:id="rId146" o:title=""/>
            </v:shape>
            <v:shape style="position:absolute;left:6379;top:3676;width:1401;height:508" type="#_x0000_t75" stroked="false">
              <v:imagedata r:id="rId147" o:title=""/>
            </v:shape>
            <v:rect style="position:absolute;left:6379;top:3676;width:1401;height:508" filled="false" stroked="true" strokeweight=".437967pt" strokecolor="#a4a4a4">
              <v:stroke dashstyle="solid"/>
            </v:rect>
            <v:shape style="position:absolute;left:4497;top:2162;width:1401;height:508" type="#_x0000_t75" stroked="false">
              <v:imagedata r:id="rId148" o:title=""/>
            </v:shape>
            <v:shape style="position:absolute;left:2028;top:3982;width:1401;height:508" type="#_x0000_t75" stroked="false">
              <v:imagedata r:id="rId149" o:title=""/>
            </v:shape>
            <v:shape style="position:absolute;left:8240;top:5684;width:1204;height:1046" type="#_x0000_t75" stroked="false">
              <v:imagedata r:id="rId150" o:title=""/>
            </v:shape>
            <v:shape style="position:absolute;left:8275;top:5711;width:1143;height:1020" type="#_x0000_t75" stroked="false">
              <v:imagedata r:id="rId151" o:title=""/>
            </v:shape>
            <v:shape style="position:absolute;left:8347;top:5759;width:996;height:848" coordorigin="8347,5759" coordsize="996,848" path="m9155,5759l8347,6350,8535,6606,9343,6016,9155,5759xe" filled="true" fillcolor="#5b9bd4" stroked="false">
              <v:path arrowok="t"/>
              <v:fill type="solid"/>
            </v:shape>
            <v:shape style="position:absolute;left:8347;top:5759;width:996;height:848" coordorigin="8347,5759" coordsize="996,848" path="m8347,6350l9155,5759,9343,6016,8535,6606,8347,6350xe" filled="false" stroked="true" strokeweight=".656429pt" strokecolor="#5b9bd4">
              <v:path arrowok="t"/>
              <v:stroke dashstyle="solid"/>
            </v:shape>
            <v:shape style="position:absolute;left:8526;top:5946;width:628;height:499" coordorigin="8526,5946" coordsize="628,499" path="m8526,6335l8577,6444,8590,6435,8556,6366,8579,6366,8526,6335xm8579,6366l8556,6366,8630,6411,8624,6386,8612,6386,8579,6366xm8590,6289l8612,6386,8624,6386,8610,6327,8631,6327,8590,6289xm8631,6327l8610,6327,8665,6379,8678,6370,8631,6327xm8666,6290l8653,6299,8678,6333,8684,6342,8691,6346,8707,6349,8715,6346,8733,6334,8733,6333,8706,6333,8702,6332,8697,6331,8692,6326,8687,6319,8666,6290xm8707,6260l8694,6269,8716,6299,8721,6305,8724,6312,8724,6320,8721,6325,8711,6332,8706,6333,8733,6333,8738,6327,8738,6326,8740,6311,8738,6303,8731,6294,8707,6260xm8717,6193l8704,6202,8775,6299,8787,6290,8717,6193xm8809,6190l8799,6191,8794,6193,8781,6203,8776,6211,8775,6220,8774,6229,8777,6239,8784,6248,8791,6257,8799,6263,8818,6267,8827,6265,8840,6256,8843,6251,8843,6251,8817,6251,8807,6249,8801,6245,8792,6232,8790,6227,8791,6221,8792,6216,8795,6211,8805,6203,8811,6202,8841,6202,8836,6195,8817,6195,8814,6192,8809,6190xm8841,6202l8811,6202,8822,6205,8827,6208,8832,6214,8836,6220,8838,6226,8837,6237,8834,6242,8828,6245,8823,6249,8817,6251,8843,6251,8845,6246,8847,6242,8847,6237,8845,6233,8863,6233,8841,6202xm8863,6233l8845,6233,8852,6243,8864,6234,8863,6233xm8886,6082l8883,6083,8879,6084,8876,6086,8871,6089,8843,6109,8910,6201,8923,6191,8892,6149,8891,6149,8892,6149,8942,6149,8905,6139,8906,6139,8884,6139,8864,6111,8871,6106,8879,6100,8885,6098,8915,6098,8911,6092,8907,6089,8898,6084,8894,6082,8886,6082xm8822,6176l8810,6185,8817,6195,8836,6195,8822,6176xm8942,6149l8892,6149,8892,6149,8955,6168,8970,6157,8942,6149xm8892,6149l8891,6149,8892,6149,8892,6149xm8957,6077l8945,6086,8987,6144,8999,6135,8957,6077xm8915,6098l8885,6098,8893,6098,8897,6101,8901,6106,8904,6111,8906,6115,8904,6123,8899,6128,8884,6139,8906,6139,8914,6133,8919,6126,8920,6119,8921,6112,8919,6104,8915,6098xm8983,6058l8970,6067,9044,6108,9039,6085,9027,6085,8983,6058xm9028,6025l9015,6035,9027,6085,9039,6085,9028,6025xm9076,5991l9067,5993,9059,6000,9050,6006,9045,6014,9044,6024,9043,6033,9045,6043,9052,6052,9059,6061,9067,6067,9087,6071,9096,6068,9111,6057,9112,6056,9087,6056,9076,6054,9071,6050,9067,6045,9068,6045,9081,6035,9060,6035,9058,6031,9057,6027,9058,6022,9059,6018,9062,6014,9066,6011,9071,6007,9075,6006,9106,6006,9102,6000,9094,5995,9076,5991xm8930,6046l8928,6046,8926,6048,8923,6050,8922,6052,8922,6053,8922,6055,8921,6058,8922,6060,8923,6062,8925,6065,8927,6066,8933,6067,8935,6066,8938,6064,8940,6063,8942,6061,8942,6056,8942,6054,8942,6053,8940,6050,8938,6048,8936,6047,8930,6046xm9120,6025l9106,6026,9107,6031,9107,6033,9106,6037,9104,6045,9101,6048,9093,6055,9087,6056,9112,6056,9115,6052,9120,6040,9121,6035,9121,6031,9120,6025xm9068,6045l9067,6045,9067,6045,9068,6045xm9106,6006l9075,6006,9084,6007,9088,6009,9091,6012,9060,6035,9081,6035,9111,6013,9109,6010,9106,6006xm9111,5965l9099,5973,9142,6031,9154,6022,9133,5994,9128,5987,9126,5981,9125,5976,9119,5976,9111,5965xm9136,5946l9133,5947,9132,5947,9130,5948,9129,5948,9128,5949,9127,5950,9122,5953,9119,5957,9118,5962,9116,5966,9117,5971,9119,5976,9125,5976,9125,5971,9127,5966,9132,5963,9133,5962,9135,5961,9137,5960,9140,5959,9136,5946xe" filled="true" fillcolor="#ffffff" stroked="false">
              <v:path arrowok="t"/>
              <v:fill type="solid"/>
            </v:shape>
            <v:shape style="position:absolute;left:6303;top:1016;width:5336;height:3432" coordorigin="6304,1017" coordsize="5336,3432" path="m6852,2893l6670,2669,6526,2502,6525,2500,6499,2471,6364,2349,6351,2337,6352,2329,6391,2097,6348,2089,6304,2354,6468,2501,6637,2697,6636,2696,6637,2697,6818,2921,6852,2893xm10608,1497l10468,1211,10539,1177,10538,1176,10329,1017,10327,1281,10397,1246,10537,1532,10608,1497xm11639,4185l11566,4214,11486,4012,11413,4041,11493,4243,11419,4272,11616,4448,11631,4279,11639,4185xe" filled="true" fillcolor="#000000" stroked="false">
              <v:path arrowok="t"/>
              <v:fill type="solid"/>
            </v:shape>
            <v:shape style="position:absolute;left:9046;top:2464;width:1371;height:661" type="#_x0000_t75" stroked="false">
              <v:imagedata r:id="rId152" o:title=""/>
            </v:shape>
            <v:shape style="position:absolute;left:9124;top:2473;width:1222;height:679" type="#_x0000_t75" stroked="false">
              <v:imagedata r:id="rId153" o:title=""/>
            </v:shape>
            <v:shape style="position:absolute;left:1826;top:6164;width:442;height:565" coordorigin="1827,6164" coordsize="442,565" path="m1876,6469l1827,6729,2064,6612,2043,6596,1977,6596,1915,6548,1938,6517,1876,6469xm1938,6517l1915,6548,1977,6596,2001,6564,1938,6517xm2001,6564l1977,6596,2043,6596,2001,6564xm2206,6164l1938,6517,2001,6564,2269,6212,2206,6164xe" filled="true" fillcolor="#000000" stroked="false">
              <v:path arrowok="t"/>
              <v:fill type="solid"/>
            </v:shape>
            <v:shape style="position:absolute;left:6200;top:1843;width:386;height:377" type="#_x0000_t75" stroked="false">
              <v:imagedata r:id="rId154" o:title=""/>
            </v:shape>
            <v:shape style="position:absolute;left:6147;top:1785;width:491;height:481" coordorigin="6148,1785" coordsize="491,481" path="m6299,2083l6241,2266,6296,2225,6291,2225,6263,2206,6307,2173,6333,2090,6309,2090,6299,2083xm6441,2145l6404,2145,6393,2153,6545,2266,6532,2225,6495,2225,6479,2173,6441,2145xm6307,2173l6263,2206,6291,2225,6307,2173xm6393,2109l6307,2173,6291,2225,6296,2225,6393,2153,6383,2145,6441,2145,6393,2109xm6479,2173l6495,2225,6523,2206,6479,2173xm6575,1973l6446,2070,6479,2173,6523,2206,6495,2225,6532,2225,6489,2090,6477,2090,6483,2071,6503,2071,6592,2005,6586,2005,6575,1973xm6404,2145l6383,2145,6393,2153,6404,2145xm6303,2071l6299,2083,6309,2090,6303,2071xm6340,2071l6303,2071,6309,2090,6333,2090,6340,2071xm6483,2071l6477,2090,6487,2083,6483,2071xm6487,2083l6477,2090,6489,2090,6487,2083xm6503,2071l6483,2071,6487,2083,6503,2071xm6335,1970l6148,1970,6299,2083,6303,2071,6340,2071,6340,2070,6253,2005,6200,2005,6211,1973,6334,1973,6335,1970xm6211,1973l6200,2005,6253,2005,6211,1973xm6334,1973l6211,1973,6253,2005,6360,2005,6368,1982,6331,1982,6334,1973xm6413,1849l6410,1849,6393,1902,6426,2005,6533,2005,6563,1982,6455,1982,6439,1970,6451,1970,6413,1849xm6634,1973l6575,1973,6586,2005,6592,2005,6634,1973xm6393,1785l6331,1982,6348,1970,6372,1970,6393,1902,6376,1849,6413,1849,6393,1785xm6372,1970l6348,1970,6331,1982,6368,1982,6372,1970xm6451,1970l6439,1970,6455,1982,6451,1970xm6638,1970l6451,1970,6455,1982,6563,1982,6575,1973,6634,1973,6638,1970xm6410,1849l6376,1849,6393,1902,6410,1849xe" filled="true" fillcolor="#ff0000" stroked="false">
              <v:path arrowok="t"/>
              <v:fill type="solid"/>
            </v:shape>
            <v:shape style="position:absolute;left:4895;top:2683;width:806;height:508" coordorigin="4896,2684" coordsize="806,508" path="m5299,2684l5206,2690,5121,2709,5047,2739,4984,2779,4937,2826,4906,2879,4896,2937,4906,2996,4937,3049,4984,3096,5047,3135,5121,3165,5206,3184,5299,3191,5391,3184,5476,3165,5550,3135,5613,3096,5660,3049,5691,2996,5701,2937,5691,2879,5660,2826,5613,2779,5550,2739,5476,2709,5391,2690,5299,2684xe" filled="true" fillcolor="#ffd966" stroked="false">
              <v:path arrowok="t"/>
              <v:fill opacity="28270f" type="solid"/>
            </v:shape>
            <v:shape style="position:absolute;left:4895;top:2683;width:806;height:508" coordorigin="4896,2684" coordsize="806,508" path="m4896,2937l4937,2826,4984,2779,5047,2739,5121,2709,5206,2690,5299,2684,5391,2690,5476,2709,5550,2739,5613,2779,5660,2826,5691,2879,5701,2937,5691,2996,5660,3049,5613,3096,5550,3135,5476,3165,5391,3184,5299,3191,5206,3184,5121,3165,5047,3135,4984,3096,4937,3049,4906,2996,4896,2937xe" filled="false" stroked="true" strokeweight=".875159pt" strokecolor="#000000">
              <v:path arrowok="t"/>
              <v:stroke dashstyle="shortdash"/>
            </v:shape>
            <v:shape style="position:absolute;left:2058;top:4564;width:806;height:517" coordorigin="2059,4565" coordsize="806,517" path="m2462,4565l2369,4572,2285,4591,2210,4622,2147,4662,2100,4709,2070,4764,2059,4823,2070,4882,2100,4936,2147,4984,2210,5024,2285,5055,2369,5074,2462,5081,2554,5074,2639,5055,2714,5024,2776,4984,2824,4936,2854,4882,2864,4823,2854,4764,2824,4709,2776,4662,2714,4622,2639,4591,2554,4572,2462,4565xe" filled="true" fillcolor="#ffd966" stroked="false">
              <v:path arrowok="t"/>
              <v:fill opacity="28270f" type="solid"/>
            </v:shape>
            <v:shape style="position:absolute;left:2058;top:4564;width:806;height:517" coordorigin="2059,4565" coordsize="806,517" path="m2059,4823l2070,4764,2100,4709,2147,4662,2210,4622,2285,4591,2369,4572,2462,4565,2554,4572,2639,4591,2714,4622,2776,4662,2824,4709,2854,4764,2864,4823,2854,4882,2824,4936,2776,4984,2714,5024,2639,5055,2554,5074,2462,5081,2369,5074,2285,5055,2210,5024,2147,4984,2100,4936,2070,4882,2059,4823xe" filled="false" stroked="true" strokeweight=".875163pt" strokecolor="#000000">
              <v:path arrowok="t"/>
              <v:stroke dashstyle="shortdash"/>
            </v:shape>
            <v:shape style="position:absolute;left:3118;top:4766;width:806;height:517" coordorigin="3118,4766" coordsize="806,517" path="m3521,4766l3429,4773,3344,4792,3269,4823,3207,4863,3159,4911,3129,4965,3118,5024,3129,5083,3159,5138,3207,5186,3269,5226,3344,5256,3429,5275,3521,5282,3613,5275,3698,5256,3773,5226,3835,5186,3883,5138,3913,5083,3924,5024,3913,4965,3883,4911,3835,4863,3773,4823,3698,4792,3613,4773,3521,4766xe" filled="true" fillcolor="#ffd966" stroked="false">
              <v:path arrowok="t"/>
              <v:fill opacity="28270f" type="solid"/>
            </v:shape>
            <v:shape style="position:absolute;left:3118;top:4766;width:806;height:517" coordorigin="3118,4766" coordsize="806,517" path="m3118,5024l3129,4965,3159,4911,3207,4863,3269,4823,3344,4792,3429,4773,3521,4766,3613,4773,3698,4792,3773,4823,3835,4863,3883,4911,3913,4965,3924,5024,3913,5083,3883,5138,3835,5186,3773,5226,3698,5256,3613,5275,3521,5282,3429,5275,3344,5256,3269,5226,3207,5186,3159,5138,3129,5083,3118,5024xe" filled="false" stroked="true" strokeweight=".875163pt" strokecolor="#000000">
              <v:path arrowok="t"/>
              <v:stroke dashstyle="shortdash"/>
            </v:shape>
            <v:shape style="position:absolute;left:5780;top:3077;width:806;height:517" coordorigin="5780,3077" coordsize="806,517" path="m6183,3077l6091,3084,6006,3104,5931,3134,5869,3174,5821,3222,5791,3276,5780,3335,5791,3395,5821,3449,5869,3497,5931,3537,6006,3567,6091,3587,6183,3594,6275,3587,6360,3567,6435,3537,6497,3497,6545,3449,6575,3395,6586,3335,6575,3276,6545,3222,6497,3174,6435,3134,6360,3104,6275,3084,6183,3077xe" filled="true" fillcolor="#ffd966" stroked="false">
              <v:path arrowok="t"/>
              <v:fill opacity="28270f" type="solid"/>
            </v:shape>
            <v:shape style="position:absolute;left:5780;top:3077;width:806;height:517" coordorigin="5780,3077" coordsize="806,517" path="m5780,3335l5791,3276,5821,3222,5869,3174,5931,3134,6006,3104,6091,3084,6183,3077,6275,3084,6360,3104,6435,3134,6497,3174,6545,3222,6575,3276,6586,3335,6575,3395,6545,3449,6497,3497,6435,3537,6360,3567,6275,3587,6183,3594,6091,3587,6006,3567,5931,3537,5869,3497,5821,3449,5791,3395,5780,3335xe" filled="false" stroked="true" strokeweight=".875163pt" strokecolor="#000000">
              <v:path arrowok="t"/>
              <v:stroke dashstyle="shortdash"/>
            </v:shape>
            <v:shape style="position:absolute;left:2128;top:5177;width:806;height:508" coordorigin="2129,5177" coordsize="806,508" path="m2532,5177l2439,5184,2355,5203,2280,5233,2217,5272,2170,5319,2140,5373,2129,5431,2140,5489,2170,5543,2217,5590,2280,5629,2355,5659,2439,5678,2532,5685,2624,5678,2709,5659,2784,5629,2846,5590,2894,5543,2924,5489,2935,5431,2924,5373,2894,5319,2846,5272,2784,5233,2709,5203,2624,5184,2532,5177xe" filled="true" fillcolor="#ffd966" stroked="false">
              <v:path arrowok="t"/>
              <v:fill opacity="28270f" type="solid"/>
            </v:shape>
            <v:shape style="position:absolute;left:2128;top:5177;width:806;height:508" coordorigin="2129,5177" coordsize="806,508" path="m2129,5431l2170,5319,2217,5272,2280,5233,2355,5203,2439,5184,2532,5177,2624,5184,2709,5203,2784,5233,2846,5272,2894,5319,2924,5373,2935,5431,2924,5489,2894,5543,2846,5590,2784,5629,2709,5659,2624,5678,2532,5685,2439,5678,2355,5659,2280,5629,2217,5590,2170,5543,2140,5489,2129,5431xe" filled="false" stroked="true" strokeweight=".875159pt" strokecolor="#000000">
              <v:path arrowok="t"/>
              <v:stroke dashstyle="shortdash"/>
            </v:shape>
            <v:shape style="position:absolute;left:8371;top:3637;width:727;height:455" coordorigin="8372,3637" coordsize="727,455" path="m8735,3637l8639,3645,8552,3668,8478,3704,8421,3750,8385,3804,8372,3865,8385,3925,8421,3980,8478,4026,8552,4061,8639,4084,8735,4092,8832,4084,8919,4061,8992,4026,9049,3980,9086,3925,9099,3865,9086,3804,9049,3750,8992,3704,8919,3668,8832,3645,8735,3637xe" filled="true" fillcolor="#ffd966" stroked="false">
              <v:path arrowok="t"/>
              <v:fill opacity="28270f" type="solid"/>
            </v:shape>
            <v:shape style="position:absolute;left:8371;top:3637;width:727;height:455" coordorigin="8372,3637" coordsize="727,455" path="m8372,3865l8385,3804,8421,3750,8478,3704,8552,3668,8639,3645,8735,3637,8832,3645,8919,3668,8992,3704,9049,3750,9086,3804,9099,3865,9086,3925,9049,3980,8992,4026,8919,4061,8832,4084,8735,4092,8639,4084,8552,4061,8478,4026,8421,3980,8385,3925,8372,3865xe" filled="false" stroked="true" strokeweight=".875158pt" strokecolor="#000000">
              <v:path arrowok="t"/>
              <v:stroke dashstyle="shortdash"/>
            </v:shape>
            <v:shape style="position:absolute;left:7680;top:3908;width:806;height:517" coordorigin="7680,3909" coordsize="806,517" path="m8083,3909l7991,3915,7906,3935,7831,3965,7769,4005,7721,4053,7691,4108,7680,4167,7691,4226,7721,4280,7769,4328,7831,4368,7906,4399,7991,4418,8083,4425,8175,4418,8260,4399,8335,4368,8397,4328,8445,4280,8475,4226,8486,4167,8475,4108,8445,4053,8397,4005,8335,3965,8260,3935,8175,3915,8083,3909xe" filled="true" fillcolor="#ffd966" stroked="false">
              <v:path arrowok="t"/>
              <v:fill opacity="28270f" type="solid"/>
            </v:shape>
            <v:shape style="position:absolute;left:7680;top:3908;width:806;height:517" coordorigin="7680,3909" coordsize="806,517" path="m7680,4167l7691,4108,7721,4053,7769,4005,7831,3965,7906,3935,7991,3915,8083,3909,8175,3915,8260,3935,8335,3965,8397,4005,8445,4053,8475,4108,8486,4167,8475,4226,8445,4280,8397,4328,8335,4368,8260,4399,8175,4418,8083,4425,7991,4418,7906,4399,7831,4368,7769,4328,7721,4280,7691,4226,7680,4167xe" filled="false" stroked="true" strokeweight=".875163pt" strokecolor="#000000">
              <v:path arrowok="t"/>
              <v:stroke dashstyle="shortdash"/>
            </v:shape>
            <v:rect style="position:absolute;left:5364;top:4236;width:1401;height:508" filled="false" stroked="true" strokeweight=".437967pt" strokecolor="#2e5496">
              <v:stroke dashstyle="solid"/>
            </v:rect>
            <v:shape style="position:absolute;left:5394;top:5221;width:1266;height:661" type="#_x0000_t75" stroked="false">
              <v:imagedata r:id="rId155" o:title=""/>
            </v:shape>
            <v:shape style="position:absolute;left:5517;top:5229;width:1073;height:679" type="#_x0000_t75" stroked="false">
              <v:imagedata r:id="rId156" o:title=""/>
            </v:shape>
            <v:shape style="position:absolute;left:6830;top:2491;width:806;height:517" coordorigin="6831,2491" coordsize="806,517" path="m7234,2491l7141,2498,7057,2517,6982,2548,6919,2588,6872,2636,6841,2690,6831,2749,6841,2808,6872,2863,6919,2911,6982,2951,7057,2981,7141,3001,7234,3007,7326,3001,7411,2981,7486,2951,7548,2911,7595,2863,7626,2808,7636,2749,7626,2690,7595,2636,7548,2588,7486,2548,7411,2517,7326,2498,7234,2491xe" filled="true" fillcolor="#ffd966" stroked="false">
              <v:path arrowok="t"/>
              <v:fill opacity="28270f" type="solid"/>
            </v:shape>
            <v:shape style="position:absolute;left:6830;top:2491;width:806;height:517" coordorigin="6831,2491" coordsize="806,517" path="m6831,2749l6841,2690,6872,2636,6919,2588,6982,2548,7057,2517,7141,2498,7234,2491,7326,2498,7411,2517,7486,2548,7548,2588,7595,2636,7626,2690,7636,2749,7626,2808,7595,2863,7548,2911,7486,2951,7411,2981,7326,3001,7234,3007,7141,3001,7057,2981,6982,2951,6919,2911,6872,2863,6841,2808,6831,2749xe" filled="false" stroked="true" strokeweight=".875163pt" strokecolor="#000000">
              <v:path arrowok="t"/>
              <v:stroke dashstyle="shortdash"/>
            </v:shape>
            <v:shape style="position:absolute;left:9203;top:5072;width:618;height:609" type="#_x0000_t75" stroked="false">
              <v:imagedata r:id="rId157" o:title=""/>
            </v:shape>
            <v:shape style="position:absolute;left:3906;top:3751;width:609;height:609" type="#_x0000_t75" stroked="false">
              <v:imagedata r:id="rId158" o:title=""/>
            </v:shape>
            <v:shape style="position:absolute;left:2584;top:3313;width:425;height:425" type="#_x0000_t75" stroked="false">
              <v:imagedata r:id="rId159" o:title=""/>
            </v:shape>
            <v:shape style="position:absolute;left:2584;top:3313;width:425;height:460" type="#_x0000_t75" stroked="false">
              <v:imagedata r:id="rId160" o:title=""/>
            </v:shape>
            <v:shape style="position:absolute;left:2671;top:3374;width:254;height:254" type="#_x0000_t75" stroked="false">
              <v:imagedata r:id="rId161" o:title=""/>
            </v:shape>
            <v:shape style="position:absolute;left:10114;top:3296;width:425;height:425" type="#_x0000_t75" stroked="false">
              <v:imagedata r:id="rId159" o:title=""/>
            </v:shape>
            <v:shape style="position:absolute;left:10114;top:3296;width:425;height:460" type="#_x0000_t75" stroked="false">
              <v:imagedata r:id="rId162" o:title=""/>
            </v:shape>
            <v:shape style="position:absolute;left:10201;top:3357;width:254;height:254" type="#_x0000_t75" stroked="false">
              <v:imagedata r:id="rId163" o:title=""/>
            </v:shape>
            <v:shape style="position:absolute;left:8967;top:4696;width:416;height:425" type="#_x0000_t75" stroked="false">
              <v:imagedata r:id="rId164" o:title=""/>
            </v:shape>
            <v:shape style="position:absolute;left:8967;top:4696;width:425;height:460" type="#_x0000_t75" stroked="false">
              <v:imagedata r:id="rId165" o:title=""/>
            </v:shape>
            <v:shape style="position:absolute;left:9054;top:4757;width:246;height:254" type="#_x0000_t75" stroked="false">
              <v:imagedata r:id="rId166" o:title=""/>
            </v:shape>
            <v:shape style="position:absolute;left:9518;top:5229;width:425;height:416" type="#_x0000_t75" stroked="false">
              <v:imagedata r:id="rId167" o:title=""/>
            </v:shape>
            <v:shape style="position:absolute;left:9518;top:5229;width:425;height:460" type="#_x0000_t75" stroked="false">
              <v:imagedata r:id="rId168" o:title=""/>
            </v:shape>
            <v:shape style="position:absolute;left:9606;top:5291;width:254;height:245" type="#_x0000_t75" stroked="false">
              <v:imagedata r:id="rId169" o:title=""/>
            </v:shape>
            <v:shape style="position:absolute;left:11804;top:1441;width:3137;height:1997" coordorigin="11805,1441" coordsize="3137,1997" path="m11906,2773l11805,2773,11805,3438,11906,3438,11906,2773xm11906,1441l11805,1441,11805,2107,11906,2107,11906,1441xm14941,2773l12784,2773,12784,2773,11906,2773,11906,3438,12784,3438,12784,3438,14941,3438,14941,2773xm14941,1441l12784,1441,12784,1441,11906,1441,11906,2107,12784,2107,12784,2107,14941,2107,14941,1441xe" filled="true" fillcolor="#eaeaea" stroked="false">
              <v:path arrowok="t"/>
              <v:fill type="solid"/>
            </v:shape>
            <v:shape style="position:absolute;left:12084;top:1659;width:377;height:377" type="#_x0000_t75" stroked="false">
              <v:imagedata r:id="rId170" o:title=""/>
            </v:shape>
            <v:shape style="position:absolute;left:12032;top:1600;width:481;height:483" coordorigin="12033,1601" coordsize="481,483" path="m12180,1899l12123,2083,12178,2041,12173,2041,12146,2022,12189,1989,12215,1906,12190,1906,12180,1899xm12320,1961l12283,1961,12273,1969,12422,2083,12409,2041,12372,2041,12356,1989,12320,1961xm12189,1989l12146,2022,12173,2041,12189,1989xm12273,1925l12189,1989,12173,2041,12178,2041,12273,1969,12262,1961,12320,1961,12273,1925xm12356,1989l12372,2041,12400,2022,12356,1989xm12450,1790l12324,1886,12356,1989,12400,2022,12372,2041,12409,2041,12367,1906,12355,1906,12361,1887,12380,1887,12467,1821,12461,1821,12450,1790xm12283,1961l12262,1961,12273,1969,12283,1961xm12184,1887l12180,1899,12190,1906,12184,1887xm12221,1887l12184,1887,12190,1906,12215,1906,12221,1887xm12361,1887l12355,1906,12365,1899,12361,1887xm12365,1899l12355,1906,12367,1906,12365,1899xm12215,1786l12033,1786,12180,1899,12184,1887,12221,1887,12221,1886,12136,1821,12084,1821,12095,1790,12214,1790,12215,1786xm12380,1887l12361,1887,12365,1899,12380,1887xm12095,1790l12084,1821,12136,1821,12095,1790xm12214,1790l12095,1790,12136,1821,12241,1821,12248,1798,12211,1798,12214,1790xm12293,1665l12289,1665,12273,1719,12304,1821,12409,1821,12439,1798,12334,1798,12317,1786,12330,1786,12293,1665xm12508,1790l12450,1790,12461,1821,12467,1821,12508,1790xm12273,1601l12211,1798,12228,1786,12252,1786,12273,1719,12256,1665,12293,1665,12273,1601xm12252,1786l12228,1786,12211,1798,12248,1798,12252,1786xm12330,1786l12317,1786,12334,1798,12330,1786xm12513,1786l12330,1786,12334,1798,12439,1798,12450,1790,12508,1790,12513,1786xm12289,1665l12256,1665,12273,1719,12289,1665xe" filled="true" fillcolor="#ff0000" stroked="false">
              <v:path arrowok="t"/>
              <v:fill type="solid"/>
            </v:shape>
            <v:shape style="position:absolute;left:12014;top:2246;width:618;height:609" type="#_x0000_t75" stroked="false">
              <v:imagedata r:id="rId171" o:title=""/>
            </v:shape>
            <v:shape style="position:absolute;left:12014;top:2884;width:618;height:609" type="#_x0000_t75" stroked="false">
              <v:imagedata r:id="rId172" o:title=""/>
            </v:shape>
            <v:shape style="position:absolute;left:5727;top:6944;width:539;height:469" type="#_x0000_t75" stroked="false">
              <v:imagedata r:id="rId173" o:title=""/>
            </v:shape>
            <v:shape style="position:absolute;left:8065;top:6944;width:539;height:469" type="#_x0000_t75" stroked="false">
              <v:imagedata r:id="rId174" o:title=""/>
            </v:shape>
            <v:shape style="position:absolute;left:10438;top:6944;width:539;height:469" type="#_x0000_t75" stroked="false">
              <v:imagedata r:id="rId175" o:title=""/>
            </v:shape>
            <v:shape style="position:absolute;left:9520;top:991;width:726;height:440" type="#_x0000_t202" filled="false" stroked="false">
              <v:textbox inset="0,0,0,0">
                <w:txbxContent>
                  <w:p>
                    <w:pPr>
                      <w:spacing w:before="8"/>
                      <w:ind w:left="0" w:right="0" w:firstLine="0"/>
                      <w:jc w:val="left"/>
                      <w:rPr>
                        <w:sz w:val="18"/>
                      </w:rPr>
                    </w:pPr>
                    <w:r>
                      <w:rPr>
                        <w:spacing w:val="3"/>
                        <w:sz w:val="18"/>
                      </w:rPr>
                      <w:t>Towards</w:t>
                    </w:r>
                  </w:p>
                  <w:p>
                    <w:pPr>
                      <w:spacing w:before="10"/>
                      <w:ind w:left="8" w:right="0" w:firstLine="0"/>
                      <w:jc w:val="left"/>
                      <w:rPr>
                        <w:sz w:val="18"/>
                      </w:rPr>
                    </w:pPr>
                    <w:r>
                      <w:rPr>
                        <w:spacing w:val="4"/>
                        <w:w w:val="105"/>
                        <w:sz w:val="18"/>
                      </w:rPr>
                      <w:t>Mumbai</w:t>
                    </w:r>
                  </w:p>
                </w:txbxContent>
              </v:textbox>
              <w10:wrap type="none"/>
            </v:shape>
            <v:shape style="position:absolute;left:6979;top:1532;width:1343;height:189" type="#_x0000_t202" filled="false" stroked="false">
              <v:textbox inset="0,0,0,0">
                <w:txbxContent>
                  <w:p>
                    <w:pPr>
                      <w:spacing w:before="11"/>
                      <w:ind w:left="0" w:right="0" w:firstLine="0"/>
                      <w:jc w:val="left"/>
                      <w:rPr>
                        <w:sz w:val="15"/>
                      </w:rPr>
                    </w:pPr>
                    <w:r>
                      <w:rPr>
                        <w:w w:val="102"/>
                        <w:sz w:val="15"/>
                        <w:shd w:fill="FFC000" w:color="auto" w:val="clear"/>
                      </w:rPr>
                      <w:t> </w:t>
                    </w:r>
                    <w:r>
                      <w:rPr>
                        <w:sz w:val="15"/>
                        <w:shd w:fill="FFC000" w:color="auto" w:val="clear"/>
                      </w:rPr>
                      <w:t>   </w:t>
                    </w:r>
                    <w:r>
                      <w:rPr>
                        <w:w w:val="105"/>
                        <w:sz w:val="15"/>
                        <w:shd w:fill="FFC000" w:color="auto" w:val="clear"/>
                      </w:rPr>
                      <w:t>Marunji Road</w:t>
                    </w:r>
                    <w:r>
                      <w:rPr>
                        <w:sz w:val="15"/>
                        <w:shd w:fill="FFC000" w:color="auto" w:val="clear"/>
                      </w:rPr>
                      <w:t> </w:t>
                    </w:r>
                  </w:p>
                </w:txbxContent>
              </v:textbox>
              <w10:wrap type="none"/>
            </v:shape>
            <v:shape style="position:absolute;left:12790;top:2334;width:1432;height:211" type="#_x0000_t202" filled="false" stroked="false">
              <v:textbox inset="0,0,0,0">
                <w:txbxContent>
                  <w:p>
                    <w:pPr>
                      <w:spacing w:before="9"/>
                      <w:ind w:left="0" w:right="0" w:firstLine="0"/>
                      <w:jc w:val="left"/>
                      <w:rPr>
                        <w:sz w:val="17"/>
                      </w:rPr>
                    </w:pPr>
                    <w:r>
                      <w:rPr>
                        <w:w w:val="105"/>
                        <w:sz w:val="17"/>
                      </w:rPr>
                      <w:t>Embassy Quadron</w:t>
                    </w:r>
                  </w:p>
                </w:txbxContent>
              </v:textbox>
              <w10:wrap type="none"/>
            </v:shape>
            <v:shape style="position:absolute;left:5081;top:2847;width:475;height:179" type="#_x0000_t202" filled="false" stroked="false">
              <v:textbox inset="0,0,0,0">
                <w:txbxContent>
                  <w:p>
                    <w:pPr>
                      <w:spacing w:before="3"/>
                      <w:ind w:left="0" w:right="0" w:firstLine="0"/>
                      <w:jc w:val="left"/>
                      <w:rPr>
                        <w:sz w:val="15"/>
                      </w:rPr>
                    </w:pPr>
                    <w:r>
                      <w:rPr>
                        <w:sz w:val="15"/>
                      </w:rPr>
                      <w:t>Infosys</w:t>
                    </w:r>
                  </w:p>
                </w:txbxContent>
              </v:textbox>
              <w10:wrap type="none"/>
            </v:shape>
            <v:shape style="position:absolute;left:6973;top:2558;width:582;height:354" type="#_x0000_t202" filled="false" stroked="false">
              <v:textbox inset="0,0,0,0">
                <w:txbxContent>
                  <w:p>
                    <w:pPr>
                      <w:spacing w:before="2"/>
                      <w:ind w:left="70" w:right="0" w:firstLine="0"/>
                      <w:jc w:val="left"/>
                      <w:rPr>
                        <w:sz w:val="15"/>
                      </w:rPr>
                    </w:pPr>
                    <w:r>
                      <w:rPr>
                        <w:sz w:val="15"/>
                      </w:rPr>
                      <w:t>Wipro</w:t>
                    </w:r>
                  </w:p>
                  <w:p>
                    <w:pPr>
                      <w:spacing w:before="1"/>
                      <w:ind w:left="0" w:right="0" w:firstLine="0"/>
                      <w:jc w:val="left"/>
                      <w:rPr>
                        <w:sz w:val="15"/>
                      </w:rPr>
                    </w:pPr>
                    <w:r>
                      <w:rPr>
                        <w:w w:val="105"/>
                        <w:sz w:val="15"/>
                      </w:rPr>
                      <w:t>Campus</w:t>
                    </w:r>
                  </w:p>
                </w:txbxContent>
              </v:textbox>
              <w10:wrap type="none"/>
            </v:shape>
            <v:shape style="position:absolute;left:12790;top:3000;width:1199;height:211" type="#_x0000_t202" filled="false" stroked="false">
              <v:textbox inset="0,0,0,0">
                <w:txbxContent>
                  <w:p>
                    <w:pPr>
                      <w:spacing w:before="9"/>
                      <w:ind w:left="0" w:right="0" w:firstLine="0"/>
                      <w:jc w:val="left"/>
                      <w:rPr>
                        <w:sz w:val="17"/>
                      </w:rPr>
                    </w:pPr>
                    <w:r>
                      <w:rPr>
                        <w:w w:val="105"/>
                        <w:sz w:val="17"/>
                      </w:rPr>
                      <w:t>Embassy Qubix</w:t>
                    </w:r>
                  </w:p>
                </w:txbxContent>
              </v:textbox>
              <w10:wrap type="none"/>
            </v:shape>
            <v:shape style="position:absolute;left:2756;top:3416;width:103;height:169" type="#_x0000_t202" filled="false" stroked="false">
              <v:textbox inset="0,0,0,0">
                <w:txbxContent>
                  <w:p>
                    <w:pPr>
                      <w:spacing w:before="3"/>
                      <w:ind w:left="0" w:right="0" w:firstLine="0"/>
                      <w:jc w:val="left"/>
                      <w:rPr>
                        <w:sz w:val="14"/>
                      </w:rPr>
                    </w:pPr>
                    <w:r>
                      <w:rPr>
                        <w:color w:val="FFFFFF"/>
                        <w:w w:val="112"/>
                        <w:sz w:val="14"/>
                      </w:rPr>
                      <w:t>1</w:t>
                    </w:r>
                  </w:p>
                </w:txbxContent>
              </v:textbox>
              <w10:wrap type="none"/>
            </v:shape>
            <v:shape style="position:absolute;left:5954;top:3137;width:508;height:529" type="#_x0000_t202" filled="false" stroked="false">
              <v:textbox inset="0,0,0,0">
                <w:txbxContent>
                  <w:p>
                    <w:pPr>
                      <w:spacing w:before="2"/>
                      <w:ind w:left="0" w:right="13" w:firstLine="0"/>
                      <w:jc w:val="center"/>
                      <w:rPr>
                        <w:sz w:val="15"/>
                      </w:rPr>
                    </w:pPr>
                    <w:r>
                      <w:rPr>
                        <w:w w:val="95"/>
                        <w:sz w:val="15"/>
                      </w:rPr>
                      <w:t>Int’l</w:t>
                    </w:r>
                  </w:p>
                  <w:p>
                    <w:pPr>
                      <w:spacing w:before="1"/>
                      <w:ind w:left="0" w:right="18" w:firstLine="0"/>
                      <w:jc w:val="center"/>
                      <w:rPr>
                        <w:sz w:val="15"/>
                      </w:rPr>
                    </w:pPr>
                    <w:r>
                      <w:rPr>
                        <w:w w:val="95"/>
                        <w:sz w:val="15"/>
                      </w:rPr>
                      <w:t>Biotech</w:t>
                    </w:r>
                  </w:p>
                  <w:p>
                    <w:pPr>
                      <w:spacing w:before="1"/>
                      <w:ind w:left="0" w:right="20" w:firstLine="0"/>
                      <w:jc w:val="center"/>
                      <w:rPr>
                        <w:sz w:val="15"/>
                      </w:rPr>
                    </w:pPr>
                    <w:r>
                      <w:rPr>
                        <w:sz w:val="15"/>
                      </w:rPr>
                      <w:t>Park</w:t>
                    </w:r>
                  </w:p>
                </w:txbxContent>
              </v:textbox>
              <w10:wrap type="none"/>
            </v:shape>
            <v:shape style="position:absolute;left:10288;top:3399;width:103;height:169" type="#_x0000_t202" filled="false" stroked="false">
              <v:textbox inset="0,0,0,0">
                <w:txbxContent>
                  <w:p>
                    <w:pPr>
                      <w:spacing w:before="3"/>
                      <w:ind w:left="0" w:right="0" w:firstLine="0"/>
                      <w:jc w:val="left"/>
                      <w:rPr>
                        <w:sz w:val="14"/>
                      </w:rPr>
                    </w:pPr>
                    <w:r>
                      <w:rPr>
                        <w:color w:val="FFFFFF"/>
                        <w:w w:val="112"/>
                        <w:sz w:val="14"/>
                      </w:rPr>
                      <w:t>2</w:t>
                    </w:r>
                  </w:p>
                </w:txbxContent>
              </v:textbox>
              <w10:wrap type="none"/>
            </v:shape>
            <v:shape style="position:absolute;left:6513;top:3735;width:1143;height:382" type="#_x0000_t202" filled="false" stroked="false">
              <v:textbox inset="0,0,0,0">
                <w:txbxContent>
                  <w:p>
                    <w:pPr>
                      <w:spacing w:before="11"/>
                      <w:ind w:left="0" w:right="18" w:firstLine="0"/>
                      <w:jc w:val="center"/>
                      <w:rPr>
                        <w:sz w:val="15"/>
                      </w:rPr>
                    </w:pPr>
                    <w:r>
                      <w:rPr>
                        <w:spacing w:val="-3"/>
                        <w:w w:val="105"/>
                        <w:sz w:val="15"/>
                      </w:rPr>
                      <w:t>Hinjewadi</w:t>
                    </w:r>
                    <w:r>
                      <w:rPr>
                        <w:spacing w:val="-21"/>
                        <w:w w:val="105"/>
                        <w:sz w:val="15"/>
                      </w:rPr>
                      <w:t> </w:t>
                    </w:r>
                    <w:r>
                      <w:rPr>
                        <w:w w:val="105"/>
                        <w:sz w:val="15"/>
                      </w:rPr>
                      <w:t>Phase</w:t>
                    </w:r>
                  </w:p>
                  <w:p>
                    <w:pPr>
                      <w:spacing w:before="18"/>
                      <w:ind w:left="0" w:right="13" w:firstLine="0"/>
                      <w:jc w:val="center"/>
                      <w:rPr>
                        <w:sz w:val="15"/>
                      </w:rPr>
                    </w:pPr>
                    <w:r>
                      <w:rPr>
                        <w:w w:val="118"/>
                        <w:sz w:val="15"/>
                      </w:rPr>
                      <w:t>1</w:t>
                    </w:r>
                  </w:p>
                </w:txbxContent>
              </v:textbox>
              <w10:wrap type="none"/>
            </v:shape>
            <v:shape style="position:absolute;left:8514;top:3790;width:475;height:179" type="#_x0000_t202" filled="false" stroked="false">
              <v:textbox inset="0,0,0,0">
                <w:txbxContent>
                  <w:p>
                    <w:pPr>
                      <w:spacing w:before="3"/>
                      <w:ind w:left="0" w:right="0" w:firstLine="0"/>
                      <w:jc w:val="left"/>
                      <w:rPr>
                        <w:sz w:val="15"/>
                      </w:rPr>
                    </w:pPr>
                    <w:r>
                      <w:rPr>
                        <w:sz w:val="15"/>
                      </w:rPr>
                      <w:t>Infosys</w:t>
                    </w:r>
                  </w:p>
                </w:txbxContent>
              </v:textbox>
              <w10:wrap type="none"/>
            </v:shape>
            <v:shape style="position:absolute;left:12299;top:3667;width:2279;height:211" type="#_x0000_t202" filled="false" stroked="false">
              <v:textbox inset="0,0,0,0">
                <w:txbxContent>
                  <w:p>
                    <w:pPr>
                      <w:tabs>
                        <w:tab w:pos="491" w:val="left" w:leader="none"/>
                      </w:tabs>
                      <w:spacing w:before="9"/>
                      <w:ind w:left="0" w:right="0" w:firstLine="0"/>
                      <w:jc w:val="left"/>
                      <w:rPr>
                        <w:sz w:val="17"/>
                      </w:rPr>
                    </w:pPr>
                    <w:r>
                      <w:rPr>
                        <w:sz w:val="17"/>
                      </w:rPr>
                      <w:t>1</w:t>
                      <w:tab/>
                    </w:r>
                    <w:r>
                      <w:rPr>
                        <w:spacing w:val="-3"/>
                        <w:sz w:val="17"/>
                      </w:rPr>
                      <w:t>International </w:t>
                    </w:r>
                    <w:r>
                      <w:rPr>
                        <w:sz w:val="17"/>
                      </w:rPr>
                      <w:t>Tech</w:t>
                    </w:r>
                    <w:r>
                      <w:rPr>
                        <w:spacing w:val="10"/>
                        <w:sz w:val="17"/>
                      </w:rPr>
                      <w:t> </w:t>
                    </w:r>
                    <w:r>
                      <w:rPr>
                        <w:sz w:val="17"/>
                      </w:rPr>
                      <w:t>Park</w:t>
                    </w:r>
                  </w:p>
                </w:txbxContent>
              </v:textbox>
              <w10:wrap type="none"/>
            </v:shape>
            <v:shape style="position:absolute;left:7820;top:4002;width:580;height:355" type="#_x0000_t202" filled="false" stroked="false">
              <v:textbox inset="0,0,0,0">
                <w:txbxContent>
                  <w:p>
                    <w:pPr>
                      <w:spacing w:before="3"/>
                      <w:ind w:left="70" w:right="0" w:firstLine="0"/>
                      <w:jc w:val="left"/>
                      <w:rPr>
                        <w:sz w:val="15"/>
                      </w:rPr>
                    </w:pPr>
                    <w:r>
                      <w:rPr>
                        <w:sz w:val="15"/>
                      </w:rPr>
                      <w:t>Wipro</w:t>
                    </w:r>
                  </w:p>
                  <w:p>
                    <w:pPr>
                      <w:spacing w:before="1"/>
                      <w:ind w:left="0" w:right="0" w:firstLine="0"/>
                      <w:jc w:val="left"/>
                      <w:rPr>
                        <w:sz w:val="15"/>
                      </w:rPr>
                    </w:pPr>
                    <w:r>
                      <w:rPr>
                        <w:w w:val="105"/>
                        <w:sz w:val="15"/>
                      </w:rPr>
                      <w:t>Campus</w:t>
                    </w:r>
                  </w:p>
                </w:txbxContent>
              </v:textbox>
              <w10:wrap type="none"/>
            </v:shape>
            <v:shape style="position:absolute;left:9395;top:3780;width:527;height:383" type="#_x0000_t202" filled="false" stroked="false">
              <v:textbox inset="0,0,0,0">
                <w:txbxContent>
                  <w:p>
                    <w:pPr>
                      <w:spacing w:line="266" w:lineRule="auto" w:before="11"/>
                      <w:ind w:left="0" w:right="11" w:firstLine="26"/>
                      <w:jc w:val="left"/>
                      <w:rPr>
                        <w:sz w:val="15"/>
                      </w:rPr>
                    </w:pPr>
                    <w:r>
                      <w:rPr>
                        <w:sz w:val="15"/>
                      </w:rPr>
                      <w:t>Shivaji </w:t>
                    </w:r>
                    <w:r>
                      <w:rPr>
                        <w:w w:val="105"/>
                        <w:sz w:val="15"/>
                      </w:rPr>
                      <w:t>Chowk</w:t>
                    </w:r>
                  </w:p>
                </w:txbxContent>
              </v:textbox>
              <w10:wrap type="none"/>
            </v:shape>
            <v:shape style="position:absolute;left:10720;top:4058;width:725;height:440" type="#_x0000_t202" filled="false" stroked="false">
              <v:textbox inset="0,0,0,0">
                <w:txbxContent>
                  <w:p>
                    <w:pPr>
                      <w:spacing w:line="252" w:lineRule="auto" w:before="8"/>
                      <w:ind w:left="140" w:right="0" w:hanging="141"/>
                      <w:jc w:val="left"/>
                      <w:rPr>
                        <w:sz w:val="18"/>
                      </w:rPr>
                    </w:pPr>
                    <w:r>
                      <w:rPr>
                        <w:sz w:val="18"/>
                      </w:rPr>
                      <w:t>Towards Pune</w:t>
                    </w:r>
                  </w:p>
                </w:txbxContent>
              </v:textbox>
              <w10:wrap type="none"/>
            </v:shape>
            <v:shape style="position:absolute;left:2328;top:4737;width:298;height:179" type="#_x0000_t202" filled="false" stroked="false">
              <v:textbox inset="0,0,0,0">
                <w:txbxContent>
                  <w:p>
                    <w:pPr>
                      <w:spacing w:before="3"/>
                      <w:ind w:left="0" w:right="0" w:firstLine="0"/>
                      <w:jc w:val="left"/>
                      <w:rPr>
                        <w:sz w:val="15"/>
                      </w:rPr>
                    </w:pPr>
                    <w:r>
                      <w:rPr>
                        <w:w w:val="105"/>
                        <w:sz w:val="15"/>
                      </w:rPr>
                      <w:t>TCS</w:t>
                    </w:r>
                  </w:p>
                </w:txbxContent>
              </v:textbox>
              <w10:wrap type="none"/>
            </v:shape>
            <v:shape style="position:absolute;left:3204;top:4807;width:666;height:355" type="#_x0000_t202" filled="false" stroked="false">
              <v:textbox inset="0,0,0,0">
                <w:txbxContent>
                  <w:p>
                    <w:pPr>
                      <w:spacing w:before="3"/>
                      <w:ind w:left="0" w:right="27" w:firstLine="0"/>
                      <w:jc w:val="center"/>
                      <w:rPr>
                        <w:sz w:val="15"/>
                      </w:rPr>
                    </w:pPr>
                    <w:r>
                      <w:rPr>
                        <w:sz w:val="15"/>
                      </w:rPr>
                      <w:t>Tech</w:t>
                    </w:r>
                  </w:p>
                  <w:p>
                    <w:pPr>
                      <w:spacing w:before="1"/>
                      <w:ind w:left="0" w:right="18" w:firstLine="0"/>
                      <w:jc w:val="center"/>
                      <w:rPr>
                        <w:sz w:val="15"/>
                      </w:rPr>
                    </w:pPr>
                    <w:r>
                      <w:rPr>
                        <w:sz w:val="15"/>
                      </w:rPr>
                      <w:t>Mahindra</w:t>
                    </w:r>
                  </w:p>
                </w:txbxContent>
              </v:textbox>
              <w10:wrap type="none"/>
            </v:shape>
            <v:shape style="position:absolute;left:9140;top:4801;width:103;height:169" type="#_x0000_t202" filled="false" stroked="false">
              <v:textbox inset="0,0,0,0">
                <w:txbxContent>
                  <w:p>
                    <w:pPr>
                      <w:spacing w:before="3"/>
                      <w:ind w:left="0" w:right="0" w:firstLine="0"/>
                      <w:jc w:val="left"/>
                      <w:rPr>
                        <w:sz w:val="14"/>
                      </w:rPr>
                    </w:pPr>
                    <w:r>
                      <w:rPr>
                        <w:color w:val="FFFFFF"/>
                        <w:w w:val="112"/>
                        <w:sz w:val="14"/>
                      </w:rPr>
                      <w:t>3</w:t>
                    </w:r>
                  </w:p>
                </w:txbxContent>
              </v:textbox>
              <w10:wrap type="none"/>
            </v:shape>
            <v:shape style="position:absolute;left:12299;top:5000;width:1814;height:210" type="#_x0000_t202" filled="false" stroked="false">
              <v:textbox inset="0,0,0,0">
                <w:txbxContent>
                  <w:p>
                    <w:pPr>
                      <w:tabs>
                        <w:tab w:pos="491" w:val="left" w:leader="none"/>
                      </w:tabs>
                      <w:spacing w:before="9"/>
                      <w:ind w:left="0" w:right="0" w:firstLine="0"/>
                      <w:jc w:val="left"/>
                      <w:rPr>
                        <w:sz w:val="17"/>
                      </w:rPr>
                    </w:pPr>
                    <w:r>
                      <w:rPr>
                        <w:sz w:val="17"/>
                      </w:rPr>
                      <w:t>3</w:t>
                      <w:tab/>
                      <w:t>Radius Tech</w:t>
                    </w:r>
                    <w:r>
                      <w:rPr>
                        <w:spacing w:val="-2"/>
                        <w:sz w:val="17"/>
                      </w:rPr>
                      <w:t> </w:t>
                    </w:r>
                    <w:r>
                      <w:rPr>
                        <w:sz w:val="17"/>
                      </w:rPr>
                      <w:t>Park</w:t>
                    </w:r>
                  </w:p>
                </w:txbxContent>
              </v:textbox>
              <w10:wrap type="none"/>
            </v:shape>
            <v:shape style="position:absolute;left:2195;top:5344;width:702;height:179" type="#_x0000_t202" filled="false" stroked="false">
              <v:textbox inset="0,0,0,0">
                <w:txbxContent>
                  <w:p>
                    <w:pPr>
                      <w:spacing w:before="2"/>
                      <w:ind w:left="0" w:right="0" w:firstLine="0"/>
                      <w:jc w:val="left"/>
                      <w:rPr>
                        <w:sz w:val="15"/>
                      </w:rPr>
                    </w:pPr>
                    <w:r>
                      <w:rPr>
                        <w:sz w:val="15"/>
                      </w:rPr>
                      <w:t>Megapolis</w:t>
                    </w:r>
                  </w:p>
                </w:txbxContent>
              </v:textbox>
              <w10:wrap type="none"/>
            </v:shape>
            <v:shape style="position:absolute;left:8271;top:5236;width:766;height:382" type="#_x0000_t202" filled="false" stroked="false">
              <v:textbox inset="0,0,0,0">
                <w:txbxContent>
                  <w:p>
                    <w:pPr>
                      <w:spacing w:before="11"/>
                      <w:ind w:left="0" w:right="0" w:firstLine="0"/>
                      <w:jc w:val="left"/>
                      <w:rPr>
                        <w:sz w:val="15"/>
                      </w:rPr>
                    </w:pPr>
                    <w:r>
                      <w:rPr>
                        <w:spacing w:val="5"/>
                        <w:sz w:val="15"/>
                      </w:rPr>
                      <w:t>Blue</w:t>
                    </w:r>
                    <w:r>
                      <w:rPr>
                        <w:spacing w:val="11"/>
                        <w:sz w:val="15"/>
                      </w:rPr>
                      <w:t> </w:t>
                    </w:r>
                    <w:r>
                      <w:rPr>
                        <w:sz w:val="15"/>
                      </w:rPr>
                      <w:t>Ridge</w:t>
                    </w:r>
                  </w:p>
                  <w:p>
                    <w:pPr>
                      <w:spacing w:before="18"/>
                      <w:ind w:left="43" w:right="0" w:firstLine="0"/>
                      <w:jc w:val="left"/>
                      <w:rPr>
                        <w:sz w:val="15"/>
                      </w:rPr>
                    </w:pPr>
                    <w:r>
                      <w:rPr>
                        <w:spacing w:val="3"/>
                        <w:w w:val="105"/>
                        <w:sz w:val="15"/>
                      </w:rPr>
                      <w:t>Township</w:t>
                    </w:r>
                  </w:p>
                </w:txbxContent>
              </v:textbox>
              <w10:wrap type="none"/>
            </v:shape>
            <v:shape style="position:absolute;left:9695;top:5332;width:103;height:168" type="#_x0000_t202" filled="false" stroked="false">
              <v:textbox inset="0,0,0,0">
                <w:txbxContent>
                  <w:p>
                    <w:pPr>
                      <w:spacing w:before="3"/>
                      <w:ind w:left="0" w:right="0" w:firstLine="0"/>
                      <w:jc w:val="left"/>
                      <w:rPr>
                        <w:sz w:val="14"/>
                      </w:rPr>
                    </w:pPr>
                    <w:r>
                      <w:rPr>
                        <w:color w:val="FFFFFF"/>
                        <w:w w:val="112"/>
                        <w:sz w:val="14"/>
                      </w:rPr>
                      <w:t>4</w:t>
                    </w:r>
                  </w:p>
                </w:txbxContent>
              </v:textbox>
              <w10:wrap type="none"/>
            </v:shape>
            <v:shape style="position:absolute;left:1533;top:6265;width:4262;height:967" type="#_x0000_t202" filled="false" stroked="false">
              <v:textbox inset="0,0,0,0">
                <w:txbxContent>
                  <w:p>
                    <w:pPr>
                      <w:spacing w:before="8"/>
                      <w:ind w:left="732" w:right="0" w:firstLine="0"/>
                      <w:jc w:val="left"/>
                      <w:rPr>
                        <w:sz w:val="18"/>
                      </w:rPr>
                    </w:pPr>
                    <w:r>
                      <w:rPr>
                        <w:spacing w:val="4"/>
                        <w:sz w:val="18"/>
                      </w:rPr>
                      <w:t>Towards</w:t>
                    </w:r>
                  </w:p>
                  <w:p>
                    <w:pPr>
                      <w:spacing w:before="9"/>
                      <w:ind w:left="741" w:right="0" w:firstLine="0"/>
                      <w:jc w:val="left"/>
                      <w:rPr>
                        <w:sz w:val="18"/>
                      </w:rPr>
                    </w:pPr>
                    <w:r>
                      <w:rPr>
                        <w:spacing w:val="3"/>
                        <w:sz w:val="18"/>
                      </w:rPr>
                      <w:t>Pirangut</w:t>
                    </w:r>
                  </w:p>
                  <w:p>
                    <w:pPr>
                      <w:spacing w:line="240" w:lineRule="auto" w:before="5"/>
                      <w:rPr>
                        <w:sz w:val="27"/>
                      </w:rPr>
                    </w:pPr>
                  </w:p>
                  <w:p>
                    <w:pPr>
                      <w:spacing w:before="0"/>
                      <w:ind w:left="0" w:right="0" w:firstLine="0"/>
                      <w:jc w:val="left"/>
                      <w:rPr>
                        <w:i/>
                        <w:sz w:val="18"/>
                      </w:rPr>
                    </w:pPr>
                    <w:r>
                      <w:rPr>
                        <w:i/>
                        <w:sz w:val="18"/>
                        <w:u w:val="single"/>
                      </w:rPr>
                      <w:t>Map</w:t>
                    </w:r>
                    <w:r>
                      <w:rPr>
                        <w:i/>
                        <w:spacing w:val="-7"/>
                        <w:sz w:val="18"/>
                        <w:u w:val="single"/>
                      </w:rPr>
                      <w:t> </w:t>
                    </w:r>
                    <w:r>
                      <w:rPr>
                        <w:i/>
                        <w:sz w:val="18"/>
                        <w:u w:val="single"/>
                      </w:rPr>
                      <w:t>Not</w:t>
                    </w:r>
                    <w:r>
                      <w:rPr>
                        <w:i/>
                        <w:spacing w:val="-8"/>
                        <w:sz w:val="18"/>
                        <w:u w:val="single"/>
                      </w:rPr>
                      <w:t> </w:t>
                    </w:r>
                    <w:r>
                      <w:rPr>
                        <w:i/>
                        <w:sz w:val="18"/>
                        <w:u w:val="single"/>
                      </w:rPr>
                      <w:t>to</w:t>
                    </w:r>
                    <w:r>
                      <w:rPr>
                        <w:i/>
                        <w:spacing w:val="-13"/>
                        <w:sz w:val="18"/>
                        <w:u w:val="single"/>
                      </w:rPr>
                      <w:t> </w:t>
                    </w:r>
                    <w:r>
                      <w:rPr>
                        <w:i/>
                        <w:sz w:val="18"/>
                        <w:u w:val="single"/>
                      </w:rPr>
                      <w:t>Scale</w:t>
                    </w:r>
                    <w:r>
                      <w:rPr>
                        <w:i/>
                        <w:spacing w:val="-13"/>
                        <w:sz w:val="18"/>
                        <w:u w:val="single"/>
                      </w:rPr>
                      <w:t> </w:t>
                    </w:r>
                    <w:r>
                      <w:rPr>
                        <w:i/>
                        <w:sz w:val="18"/>
                        <w:u w:val="single"/>
                      </w:rPr>
                      <w:t>(For</w:t>
                    </w:r>
                    <w:r>
                      <w:rPr>
                        <w:i/>
                        <w:spacing w:val="-8"/>
                        <w:sz w:val="18"/>
                        <w:u w:val="single"/>
                      </w:rPr>
                      <w:t> </w:t>
                    </w:r>
                    <w:r>
                      <w:rPr>
                        <w:i/>
                        <w:sz w:val="18"/>
                        <w:u w:val="single"/>
                      </w:rPr>
                      <w:t>Representation</w:t>
                    </w:r>
                    <w:r>
                      <w:rPr>
                        <w:i/>
                        <w:spacing w:val="-10"/>
                        <w:sz w:val="18"/>
                        <w:u w:val="single"/>
                      </w:rPr>
                      <w:t> </w:t>
                    </w:r>
                    <w:r>
                      <w:rPr>
                        <w:i/>
                        <w:sz w:val="18"/>
                        <w:u w:val="single"/>
                      </w:rPr>
                      <w:t>Purposes</w:t>
                    </w:r>
                    <w:r>
                      <w:rPr>
                        <w:i/>
                        <w:spacing w:val="-21"/>
                        <w:sz w:val="18"/>
                        <w:u w:val="single"/>
                      </w:rPr>
                      <w:t> </w:t>
                    </w:r>
                    <w:r>
                      <w:rPr>
                        <w:i/>
                        <w:sz w:val="18"/>
                        <w:u w:val="single"/>
                      </w:rPr>
                      <w:t>Only)</w:t>
                    </w:r>
                  </w:p>
                </w:txbxContent>
              </v:textbox>
              <w10:wrap type="none"/>
            </v:shape>
            <v:shape style="position:absolute;left:6227;top:7025;width:1832;height:253" type="#_x0000_t202" filled="false" stroked="false">
              <v:textbox inset="0,0,0,0">
                <w:txbxContent>
                  <w:p>
                    <w:pPr>
                      <w:spacing w:before="5"/>
                      <w:ind w:left="0" w:right="0" w:firstLine="0"/>
                      <w:jc w:val="left"/>
                      <w:rPr>
                        <w:sz w:val="21"/>
                      </w:rPr>
                    </w:pPr>
                    <w:r>
                      <w:rPr>
                        <w:sz w:val="21"/>
                      </w:rPr>
                      <w:t>Embassy Tech Zone</w:t>
                    </w:r>
                  </w:p>
                </w:txbxContent>
              </v:textbox>
              <w10:wrap type="none"/>
            </v:shape>
            <v:shape style="position:absolute;left:8556;top:7020;width:1722;height:253" type="#_x0000_t202" filled="false" stroked="false">
              <v:textbox inset="0,0,0,0">
                <w:txbxContent>
                  <w:p>
                    <w:pPr>
                      <w:spacing w:before="5"/>
                      <w:ind w:left="0" w:right="0" w:firstLine="0"/>
                      <w:jc w:val="left"/>
                      <w:rPr>
                        <w:sz w:val="21"/>
                      </w:rPr>
                    </w:pPr>
                    <w:r>
                      <w:rPr>
                        <w:w w:val="105"/>
                        <w:sz w:val="21"/>
                      </w:rPr>
                      <w:t>Embassy</w:t>
                    </w:r>
                    <w:r>
                      <w:rPr>
                        <w:spacing w:val="-27"/>
                        <w:w w:val="105"/>
                        <w:sz w:val="21"/>
                      </w:rPr>
                      <w:t> </w:t>
                    </w:r>
                    <w:r>
                      <w:rPr>
                        <w:w w:val="105"/>
                        <w:sz w:val="21"/>
                      </w:rPr>
                      <w:t>Quadron</w:t>
                    </w:r>
                  </w:p>
                </w:txbxContent>
              </v:textbox>
              <w10:wrap type="none"/>
            </v:shape>
            <v:shape style="position:absolute;left:10946;top:7020;width:1433;height:253" type="#_x0000_t202" filled="false" stroked="false">
              <v:textbox inset="0,0,0,0">
                <w:txbxContent>
                  <w:p>
                    <w:pPr>
                      <w:spacing w:before="5"/>
                      <w:ind w:left="0" w:right="0" w:firstLine="0"/>
                      <w:jc w:val="left"/>
                      <w:rPr>
                        <w:sz w:val="21"/>
                      </w:rPr>
                    </w:pPr>
                    <w:r>
                      <w:rPr>
                        <w:sz w:val="21"/>
                      </w:rPr>
                      <w:t>Embassy Qubix</w:t>
                    </w:r>
                  </w:p>
                </w:txbxContent>
              </v:textbox>
              <w10:wrap type="none"/>
            </v:shape>
            <v:shape style="position:absolute;left:5368;top:4214;width:1393;height:525" type="#_x0000_t202" filled="true" fillcolor="#dae2f3" stroked="false">
              <v:textbox inset="0,0,0,0">
                <w:txbxContent>
                  <w:p>
                    <w:pPr>
                      <w:spacing w:before="93"/>
                      <w:ind w:left="254" w:right="0" w:firstLine="0"/>
                      <w:jc w:val="left"/>
                      <w:rPr>
                        <w:sz w:val="15"/>
                      </w:rPr>
                    </w:pPr>
                    <w:r>
                      <w:rPr>
                        <w:w w:val="105"/>
                        <w:sz w:val="15"/>
                      </w:rPr>
                      <w:t>Rajiv</w:t>
                    </w:r>
                    <w:r>
                      <w:rPr>
                        <w:spacing w:val="-17"/>
                        <w:w w:val="105"/>
                        <w:sz w:val="15"/>
                      </w:rPr>
                      <w:t> </w:t>
                    </w:r>
                    <w:r>
                      <w:rPr>
                        <w:w w:val="105"/>
                        <w:sz w:val="15"/>
                      </w:rPr>
                      <w:t>Gandhi</w:t>
                    </w:r>
                  </w:p>
                  <w:p>
                    <w:pPr>
                      <w:spacing w:before="18"/>
                      <w:ind w:left="246" w:right="0" w:firstLine="0"/>
                      <w:jc w:val="left"/>
                      <w:rPr>
                        <w:sz w:val="15"/>
                      </w:rPr>
                    </w:pPr>
                    <w:r>
                      <w:rPr>
                        <w:sz w:val="15"/>
                      </w:rPr>
                      <w:t>Infotech</w:t>
                    </w:r>
                    <w:r>
                      <w:rPr>
                        <w:spacing w:val="-3"/>
                        <w:sz w:val="15"/>
                      </w:rPr>
                      <w:t> Park</w:t>
                    </w:r>
                  </w:p>
                </w:txbxContent>
              </v:textbox>
              <v:fill type="solid"/>
              <w10:wrap type="none"/>
            </v:shape>
            <v:shape style="position:absolute;left:11804;top:1441;width:3137;height:666" type="#_x0000_t202" filled="false" stroked="false">
              <v:textbox inset="0,0,0,0">
                <w:txbxContent>
                  <w:p>
                    <w:pPr>
                      <w:spacing w:line="240" w:lineRule="auto" w:before="3"/>
                      <w:rPr>
                        <w:sz w:val="20"/>
                      </w:rPr>
                    </w:pPr>
                  </w:p>
                  <w:p>
                    <w:pPr>
                      <w:spacing w:before="0"/>
                      <w:ind w:left="986" w:right="0" w:firstLine="0"/>
                      <w:jc w:val="left"/>
                      <w:rPr>
                        <w:sz w:val="17"/>
                      </w:rPr>
                    </w:pPr>
                    <w:r>
                      <w:rPr>
                        <w:sz w:val="17"/>
                      </w:rPr>
                      <w:t>Embassy Techzone</w:t>
                    </w:r>
                  </w:p>
                </w:txbxContent>
              </v:textbox>
              <w10:wrap type="none"/>
            </v:shape>
            <v:shape style="position:absolute;left:11804;top:5434;width:3137;height:666" type="#_x0000_t202" filled="true" fillcolor="#eaeaea" stroked="false">
              <v:textbox inset="0,0,0,0">
                <w:txbxContent>
                  <w:p>
                    <w:pPr>
                      <w:spacing w:line="240" w:lineRule="auto" w:before="9"/>
                      <w:rPr>
                        <w:sz w:val="20"/>
                      </w:rPr>
                    </w:pPr>
                  </w:p>
                  <w:p>
                    <w:pPr>
                      <w:tabs>
                        <w:tab w:pos="986" w:val="left" w:leader="none"/>
                      </w:tabs>
                      <w:spacing w:before="0"/>
                      <w:ind w:left="495" w:right="0" w:firstLine="0"/>
                      <w:jc w:val="left"/>
                      <w:rPr>
                        <w:sz w:val="17"/>
                      </w:rPr>
                    </w:pPr>
                    <w:r>
                      <w:rPr>
                        <w:w w:val="105"/>
                        <w:sz w:val="17"/>
                      </w:rPr>
                      <w:t>4</w:t>
                      <w:tab/>
                      <w:t>Blue Ridge -</w:t>
                    </w:r>
                    <w:r>
                      <w:rPr>
                        <w:spacing w:val="-20"/>
                        <w:w w:val="105"/>
                        <w:sz w:val="17"/>
                      </w:rPr>
                      <w:t> </w:t>
                    </w:r>
                    <w:r>
                      <w:rPr>
                        <w:w w:val="105"/>
                        <w:sz w:val="17"/>
                      </w:rPr>
                      <w:t>Ascendas</w:t>
                    </w:r>
                  </w:p>
                </w:txbxContent>
              </v:textbox>
              <v:fill type="solid"/>
              <w10:wrap type="none"/>
            </v:shape>
            <v:shape style="position:absolute;left:5473;top:5247;width:1112;height:508" type="#_x0000_t202" filled="true" fillcolor="#ffc000" stroked="false">
              <v:textbox inset="0,0,0,0">
                <w:txbxContent>
                  <w:p>
                    <w:pPr>
                      <w:spacing w:line="266" w:lineRule="auto" w:before="77"/>
                      <w:ind w:left="381" w:right="0" w:hanging="158"/>
                      <w:jc w:val="left"/>
                      <w:rPr>
                        <w:sz w:val="15"/>
                      </w:rPr>
                    </w:pPr>
                    <w:r>
                      <w:rPr>
                        <w:sz w:val="15"/>
                      </w:rPr>
                      <w:t>Hinjewadi </w:t>
                    </w:r>
                    <w:r>
                      <w:rPr>
                        <w:w w:val="105"/>
                        <w:sz w:val="15"/>
                      </w:rPr>
                      <w:t>Road</w:t>
                    </w:r>
                  </w:p>
                </w:txbxContent>
              </v:textbox>
              <v:fill type="solid"/>
              <w10:wrap type="none"/>
            </v:shape>
            <v:shape style="position:absolute;left:11804;top:4103;width:3137;height:666" type="#_x0000_t202" filled="true" fillcolor="#eaeaea" stroked="false">
              <v:textbox inset="0,0,0,0">
                <w:txbxContent>
                  <w:p>
                    <w:pPr>
                      <w:spacing w:line="240" w:lineRule="auto" w:before="7"/>
                      <w:rPr>
                        <w:sz w:val="20"/>
                      </w:rPr>
                    </w:pPr>
                  </w:p>
                  <w:p>
                    <w:pPr>
                      <w:tabs>
                        <w:tab w:pos="986" w:val="left" w:leader="none"/>
                      </w:tabs>
                      <w:spacing w:before="0"/>
                      <w:ind w:left="495" w:right="0" w:firstLine="0"/>
                      <w:jc w:val="left"/>
                      <w:rPr>
                        <w:sz w:val="17"/>
                      </w:rPr>
                    </w:pPr>
                    <w:r>
                      <w:rPr>
                        <w:sz w:val="17"/>
                      </w:rPr>
                      <w:t>2</w:t>
                      <w:tab/>
                      <w:t>Panchshil Tech</w:t>
                    </w:r>
                    <w:r>
                      <w:rPr>
                        <w:spacing w:val="15"/>
                        <w:sz w:val="17"/>
                      </w:rPr>
                      <w:t> </w:t>
                    </w:r>
                    <w:r>
                      <w:rPr>
                        <w:sz w:val="17"/>
                      </w:rPr>
                      <w:t>Park</w:t>
                    </w:r>
                  </w:p>
                </w:txbxContent>
              </v:textbox>
              <v:fill type="solid"/>
              <w10:wrap type="none"/>
            </v:shape>
            <v:shape style="position:absolute;left:2028;top:3982;width:1401;height:508" type="#_x0000_t202" filled="false" stroked="true" strokeweight=".437967pt" strokecolor="#a4a4a4">
              <v:textbox inset="0,0,0,0">
                <w:txbxContent>
                  <w:p>
                    <w:pPr>
                      <w:spacing w:before="65"/>
                      <w:ind w:left="90" w:right="96" w:firstLine="0"/>
                      <w:jc w:val="center"/>
                      <w:rPr>
                        <w:sz w:val="15"/>
                      </w:rPr>
                    </w:pPr>
                    <w:r>
                      <w:rPr>
                        <w:w w:val="105"/>
                        <w:sz w:val="15"/>
                      </w:rPr>
                      <w:t>Hinjewadi Phase</w:t>
                    </w:r>
                  </w:p>
                  <w:p>
                    <w:pPr>
                      <w:spacing w:before="19"/>
                      <w:ind w:left="0" w:right="3" w:firstLine="0"/>
                      <w:jc w:val="center"/>
                      <w:rPr>
                        <w:sz w:val="15"/>
                      </w:rPr>
                    </w:pPr>
                    <w:r>
                      <w:rPr>
                        <w:w w:val="118"/>
                        <w:sz w:val="15"/>
                      </w:rPr>
                      <w:t>3</w:t>
                    </w:r>
                  </w:p>
                </w:txbxContent>
              </v:textbox>
              <v:stroke dashstyle="solid"/>
              <w10:wrap type="none"/>
            </v:shape>
            <v:shape style="position:absolute;left:4624;top:3453;width:1191;height:508" type="#_x0000_t202" filled="true" fillcolor="#ffc000" stroked="false">
              <v:textbox inset="0,0,0,0">
                <w:txbxContent>
                  <w:p>
                    <w:pPr>
                      <w:spacing w:before="74"/>
                      <w:ind w:left="127" w:right="135" w:firstLine="0"/>
                      <w:jc w:val="center"/>
                      <w:rPr>
                        <w:sz w:val="15"/>
                      </w:rPr>
                    </w:pPr>
                    <w:r>
                      <w:rPr>
                        <w:sz w:val="15"/>
                      </w:rPr>
                      <w:t>Hinjewadi Ph</w:t>
                    </w:r>
                  </w:p>
                  <w:p>
                    <w:pPr>
                      <w:spacing w:before="18"/>
                      <w:ind w:left="127" w:right="132" w:firstLine="0"/>
                      <w:jc w:val="center"/>
                      <w:rPr>
                        <w:sz w:val="15"/>
                      </w:rPr>
                    </w:pPr>
                    <w:r>
                      <w:rPr>
                        <w:w w:val="110"/>
                        <w:sz w:val="15"/>
                      </w:rPr>
                      <w:t>2 Road</w:t>
                    </w:r>
                  </w:p>
                </w:txbxContent>
              </v:textbox>
              <v:fill type="solid"/>
              <w10:wrap type="none"/>
            </v:shape>
            <v:shape style="position:absolute;left:9124;top:2491;width:1218;height:508" type="#_x0000_t202" filled="true" fillcolor="#ffc000" stroked="false">
              <v:textbox inset="0,0,0,0">
                <w:txbxContent>
                  <w:p>
                    <w:pPr>
                      <w:spacing w:before="75"/>
                      <w:ind w:left="148" w:right="132" w:firstLine="0"/>
                      <w:jc w:val="center"/>
                      <w:rPr>
                        <w:sz w:val="15"/>
                      </w:rPr>
                    </w:pPr>
                    <w:r>
                      <w:rPr>
                        <w:w w:val="115"/>
                        <w:sz w:val="15"/>
                      </w:rPr>
                      <w:t>Dange</w:t>
                    </w:r>
                  </w:p>
                  <w:p>
                    <w:pPr>
                      <w:spacing w:before="18"/>
                      <w:ind w:left="148" w:right="132" w:firstLine="0"/>
                      <w:jc w:val="center"/>
                      <w:rPr>
                        <w:sz w:val="15"/>
                      </w:rPr>
                    </w:pPr>
                    <w:r>
                      <w:rPr>
                        <w:w w:val="110"/>
                        <w:sz w:val="15"/>
                      </w:rPr>
                      <w:t>Chowk Road</w:t>
                    </w:r>
                  </w:p>
                </w:txbxContent>
              </v:textbox>
              <v:fill type="solid"/>
              <w10:wrap type="none"/>
            </v:shape>
            <v:shape style="position:absolute;left:4497;top:2162;width:1401;height:508" type="#_x0000_t202" filled="false" stroked="true" strokeweight=".437967pt" strokecolor="#a4a4a4">
              <v:textbox inset="0,0,0,0">
                <w:txbxContent>
                  <w:p>
                    <w:pPr>
                      <w:spacing w:before="64"/>
                      <w:ind w:left="89" w:right="97" w:firstLine="0"/>
                      <w:jc w:val="center"/>
                      <w:rPr>
                        <w:sz w:val="15"/>
                      </w:rPr>
                    </w:pPr>
                    <w:r>
                      <w:rPr>
                        <w:w w:val="105"/>
                        <w:sz w:val="15"/>
                      </w:rPr>
                      <w:t>Hinjewadi Phase</w:t>
                    </w:r>
                  </w:p>
                  <w:p>
                    <w:pPr>
                      <w:spacing w:before="18"/>
                      <w:ind w:left="0" w:right="5" w:firstLine="0"/>
                      <w:jc w:val="center"/>
                      <w:rPr>
                        <w:sz w:val="15"/>
                      </w:rPr>
                    </w:pPr>
                    <w:r>
                      <w:rPr>
                        <w:w w:val="118"/>
                        <w:sz w:val="15"/>
                      </w:rPr>
                      <w:t>2</w:t>
                    </w:r>
                  </w:p>
                </w:txbxContent>
              </v:textbox>
              <v:stroke dashstyle="solid"/>
              <w10:wrap type="none"/>
            </v:shape>
            <v:shape style="position:absolute;left:11906;top:776;width:3035;height:666" type="#_x0000_t202" filled="true" fillcolor="#006a4d" stroked="false">
              <v:textbox inset="0,0,0,0">
                <w:txbxContent>
                  <w:p>
                    <w:pPr>
                      <w:spacing w:line="240" w:lineRule="auto" w:before="1"/>
                      <w:rPr>
                        <w:sz w:val="21"/>
                      </w:rPr>
                    </w:pPr>
                  </w:p>
                  <w:p>
                    <w:pPr>
                      <w:tabs>
                        <w:tab w:pos="981" w:val="left" w:leader="none"/>
                      </w:tabs>
                      <w:spacing w:before="0"/>
                      <w:ind w:left="375" w:right="0" w:firstLine="0"/>
                      <w:jc w:val="left"/>
                      <w:rPr>
                        <w:sz w:val="17"/>
                      </w:rPr>
                    </w:pPr>
                    <w:r>
                      <w:rPr>
                        <w:color w:val="FFFFFF"/>
                        <w:w w:val="120"/>
                        <w:sz w:val="17"/>
                      </w:rPr>
                      <w:t>#</w:t>
                      <w:tab/>
                    </w:r>
                    <w:r>
                      <w:rPr>
                        <w:color w:val="FFFFFF"/>
                        <w:spacing w:val="5"/>
                        <w:w w:val="105"/>
                        <w:sz w:val="17"/>
                      </w:rPr>
                      <w:t>Key</w:t>
                    </w:r>
                    <w:r>
                      <w:rPr>
                        <w:color w:val="FFFFFF"/>
                        <w:spacing w:val="-26"/>
                        <w:w w:val="105"/>
                        <w:sz w:val="17"/>
                      </w:rPr>
                      <w:t> </w:t>
                    </w:r>
                    <w:r>
                      <w:rPr>
                        <w:color w:val="FFFFFF"/>
                        <w:spacing w:val="2"/>
                        <w:w w:val="105"/>
                        <w:sz w:val="17"/>
                      </w:rPr>
                      <w:t>Office</w:t>
                    </w:r>
                    <w:r>
                      <w:rPr>
                        <w:color w:val="FFFFFF"/>
                        <w:spacing w:val="-34"/>
                        <w:w w:val="105"/>
                        <w:sz w:val="17"/>
                      </w:rPr>
                      <w:t> </w:t>
                    </w:r>
                    <w:r>
                      <w:rPr>
                        <w:color w:val="FFFFFF"/>
                        <w:w w:val="105"/>
                        <w:sz w:val="17"/>
                      </w:rPr>
                      <w:t>Developments</w:t>
                    </w:r>
                  </w:p>
                </w:txbxContent>
              </v:textbox>
              <v:fill type="solid"/>
              <w10:wrap type="none"/>
            </v:shape>
            <w10:wrap type="topAndBottom"/>
          </v:group>
        </w:pict>
      </w:r>
    </w:p>
    <w:p>
      <w:pPr>
        <w:pStyle w:val="BodyText"/>
        <w:spacing w:before="5"/>
        <w:rPr>
          <w:sz w:val="13"/>
        </w:rPr>
      </w:pPr>
    </w:p>
    <w:p>
      <w:pPr>
        <w:spacing w:line="190" w:lineRule="exact" w:before="0"/>
        <w:ind w:left="211" w:right="0" w:firstLine="0"/>
        <w:jc w:val="left"/>
        <w:rPr>
          <w:i/>
          <w:sz w:val="18"/>
        </w:rPr>
      </w:pPr>
      <w:r>
        <w:rPr>
          <w:i/>
          <w:sz w:val="18"/>
        </w:rPr>
        <w:t>Source: Consultants’ Research</w:t>
      </w:r>
    </w:p>
    <w:p>
      <w:pPr>
        <w:spacing w:after="0" w:line="190" w:lineRule="exact"/>
        <w:jc w:val="left"/>
        <w:rPr>
          <w:sz w:val="18"/>
        </w:rPr>
        <w:sectPr>
          <w:headerReference w:type="default" r:id="rId136"/>
          <w:footerReference w:type="default" r:id="rId137"/>
          <w:pgSz w:w="16840" w:h="11910" w:orient="landscape"/>
          <w:pgMar w:header="0" w:footer="504" w:top="640" w:bottom="700" w:left="1200" w:right="200"/>
        </w:sectPr>
      </w:pPr>
    </w:p>
    <w:p>
      <w:pPr>
        <w:pStyle w:val="BodyText"/>
        <w:spacing w:before="7"/>
        <w:rPr>
          <w:i/>
          <w:sz w:val="9"/>
        </w:rPr>
      </w:pPr>
    </w:p>
    <w:p>
      <w:pPr>
        <w:pStyle w:val="ListParagraph"/>
        <w:numPr>
          <w:ilvl w:val="2"/>
          <w:numId w:val="14"/>
        </w:numPr>
        <w:tabs>
          <w:tab w:pos="821" w:val="left" w:leader="none"/>
        </w:tabs>
        <w:spacing w:line="240" w:lineRule="auto" w:before="106" w:after="0"/>
        <w:ind w:left="820" w:right="0" w:hanging="721"/>
        <w:jc w:val="left"/>
        <w:rPr>
          <w:sz w:val="22"/>
        </w:rPr>
      </w:pPr>
      <w:bookmarkStart w:name="_bookmark159" w:id="310"/>
      <w:bookmarkEnd w:id="310"/>
      <w:r>
        <w:rPr/>
      </w:r>
      <w:bookmarkStart w:name="_bookmark159" w:id="311"/>
      <w:bookmarkEnd w:id="311"/>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8"/>
        <w:ind w:left="666" w:right="115"/>
        <w:jc w:val="both"/>
      </w:pPr>
      <w:r>
        <w:rPr/>
        <w:t>As per the title due diligence undertaken by King and Partridge and as provided by the Client, we understand</w:t>
      </w:r>
      <w:r>
        <w:rPr>
          <w:spacing w:val="-29"/>
        </w:rPr>
        <w:t> </w:t>
      </w:r>
      <w:r>
        <w:rPr/>
        <w:t>that</w:t>
      </w:r>
      <w:r>
        <w:rPr>
          <w:spacing w:val="-28"/>
        </w:rPr>
        <w:t> </w:t>
      </w:r>
      <w:r>
        <w:rPr/>
        <w:t>the</w:t>
      </w:r>
      <w:r>
        <w:rPr>
          <w:spacing w:val="-28"/>
        </w:rPr>
        <w:t> </w:t>
      </w:r>
      <w:r>
        <w:rPr/>
        <w:t>exact</w:t>
      </w:r>
      <w:r>
        <w:rPr>
          <w:spacing w:val="-28"/>
        </w:rPr>
        <w:t> </w:t>
      </w:r>
      <w:r>
        <w:rPr/>
        <w:t>address</w:t>
      </w:r>
      <w:r>
        <w:rPr>
          <w:spacing w:val="-27"/>
        </w:rPr>
        <w:t> </w:t>
      </w:r>
      <w:r>
        <w:rPr/>
        <w:t>of</w:t>
      </w:r>
      <w:r>
        <w:rPr>
          <w:spacing w:val="-28"/>
        </w:rPr>
        <w:t> </w:t>
      </w:r>
      <w:r>
        <w:rPr/>
        <w:t>the</w:t>
      </w:r>
      <w:r>
        <w:rPr>
          <w:spacing w:val="-30"/>
        </w:rPr>
        <w:t> </w:t>
      </w:r>
      <w:r>
        <w:rPr/>
        <w:t>subject</w:t>
      </w:r>
      <w:r>
        <w:rPr>
          <w:spacing w:val="-27"/>
        </w:rPr>
        <w:t> </w:t>
      </w:r>
      <w:r>
        <w:rPr/>
        <w:t>property</w:t>
      </w:r>
      <w:r>
        <w:rPr>
          <w:spacing w:val="-27"/>
        </w:rPr>
        <w:t> </w:t>
      </w:r>
      <w:r>
        <w:rPr/>
        <w:t>is</w:t>
      </w:r>
      <w:r>
        <w:rPr>
          <w:spacing w:val="-27"/>
        </w:rPr>
        <w:t> </w:t>
      </w:r>
      <w:r>
        <w:rPr/>
        <w:t>Plot</w:t>
      </w:r>
      <w:r>
        <w:rPr>
          <w:spacing w:val="-27"/>
        </w:rPr>
        <w:t> </w:t>
      </w:r>
      <w:r>
        <w:rPr/>
        <w:t>No.</w:t>
      </w:r>
      <w:r>
        <w:rPr>
          <w:spacing w:val="-28"/>
        </w:rPr>
        <w:t> </w:t>
      </w:r>
      <w:r>
        <w:rPr/>
        <w:t>3/A</w:t>
      </w:r>
      <w:r>
        <w:rPr>
          <w:spacing w:val="-28"/>
        </w:rPr>
        <w:t> </w:t>
      </w:r>
      <w:r>
        <w:rPr/>
        <w:t>and</w:t>
      </w:r>
      <w:r>
        <w:rPr>
          <w:spacing w:val="-28"/>
        </w:rPr>
        <w:t> </w:t>
      </w:r>
      <w:r>
        <w:rPr/>
        <w:t>Plot</w:t>
      </w:r>
      <w:r>
        <w:rPr>
          <w:spacing w:val="-27"/>
        </w:rPr>
        <w:t> </w:t>
      </w:r>
      <w:r>
        <w:rPr/>
        <w:t>No.</w:t>
      </w:r>
      <w:r>
        <w:rPr>
          <w:spacing w:val="-28"/>
        </w:rPr>
        <w:t> </w:t>
      </w:r>
      <w:r>
        <w:rPr/>
        <w:t>3/B,</w:t>
      </w:r>
      <w:r>
        <w:rPr>
          <w:spacing w:val="-28"/>
        </w:rPr>
        <w:t> </w:t>
      </w:r>
      <w:r>
        <w:rPr/>
        <w:t>Rajiv</w:t>
      </w:r>
      <w:r>
        <w:rPr>
          <w:spacing w:val="-28"/>
        </w:rPr>
        <w:t> </w:t>
      </w:r>
      <w:r>
        <w:rPr/>
        <w:t>Gandhi Infotech Park, Hinjewadi, Phase-II, Village Marunji, Taluka Mulshi, District Pune, Maharashtra. Additionally,</w:t>
      </w:r>
      <w:r>
        <w:rPr>
          <w:spacing w:val="-34"/>
        </w:rPr>
        <w:t> </w:t>
      </w:r>
      <w:r>
        <w:rPr/>
        <w:t>it</w:t>
      </w:r>
      <w:r>
        <w:rPr>
          <w:spacing w:val="-33"/>
        </w:rPr>
        <w:t> </w:t>
      </w:r>
      <w:r>
        <w:rPr/>
        <w:t>is</w:t>
      </w:r>
      <w:r>
        <w:rPr>
          <w:spacing w:val="-33"/>
        </w:rPr>
        <w:t> </w:t>
      </w:r>
      <w:r>
        <w:rPr/>
        <w:t>understood</w:t>
      </w:r>
      <w:r>
        <w:rPr>
          <w:spacing w:val="-33"/>
        </w:rPr>
        <w:t> </w:t>
      </w:r>
      <w:r>
        <w:rPr/>
        <w:t>that</w:t>
      </w:r>
      <w:r>
        <w:rPr>
          <w:spacing w:val="-33"/>
        </w:rPr>
        <w:t> </w:t>
      </w:r>
      <w:r>
        <w:rPr/>
        <w:t>the</w:t>
      </w:r>
      <w:r>
        <w:rPr>
          <w:spacing w:val="-33"/>
        </w:rPr>
        <w:t> </w:t>
      </w:r>
      <w:r>
        <w:rPr/>
        <w:t>subject</w:t>
      </w:r>
      <w:r>
        <w:rPr>
          <w:spacing w:val="-33"/>
        </w:rPr>
        <w:t> </w:t>
      </w:r>
      <w:r>
        <w:rPr/>
        <w:t>property</w:t>
      </w:r>
      <w:r>
        <w:rPr>
          <w:spacing w:val="-33"/>
        </w:rPr>
        <w:t> </w:t>
      </w:r>
      <w:r>
        <w:rPr/>
        <w:t>is</w:t>
      </w:r>
      <w:r>
        <w:rPr>
          <w:spacing w:val="-33"/>
        </w:rPr>
        <w:t> </w:t>
      </w:r>
      <w:r>
        <w:rPr/>
        <w:t>leasehold</w:t>
      </w:r>
      <w:r>
        <w:rPr>
          <w:spacing w:val="-32"/>
        </w:rPr>
        <w:t> </w:t>
      </w:r>
      <w:r>
        <w:rPr/>
        <w:t>in</w:t>
      </w:r>
      <w:r>
        <w:rPr>
          <w:spacing w:val="-34"/>
        </w:rPr>
        <w:t> </w:t>
      </w:r>
      <w:r>
        <w:rPr/>
        <w:t>nature,</w:t>
      </w:r>
      <w:r>
        <w:rPr>
          <w:spacing w:val="-34"/>
        </w:rPr>
        <w:t> </w:t>
      </w:r>
      <w:r>
        <w:rPr/>
        <w:t>with</w:t>
      </w:r>
      <w:r>
        <w:rPr>
          <w:spacing w:val="-33"/>
        </w:rPr>
        <w:t> </w:t>
      </w:r>
      <w:r>
        <w:rPr/>
        <w:t>remaining</w:t>
      </w:r>
      <w:r>
        <w:rPr>
          <w:spacing w:val="-33"/>
        </w:rPr>
        <w:t> </w:t>
      </w:r>
      <w:r>
        <w:rPr/>
        <w:t>lease</w:t>
      </w:r>
      <w:r>
        <w:rPr>
          <w:spacing w:val="-33"/>
        </w:rPr>
        <w:t> </w:t>
      </w:r>
      <w:r>
        <w:rPr/>
        <w:t>term of approx. 80</w:t>
      </w:r>
      <w:r>
        <w:rPr>
          <w:spacing w:val="-8"/>
        </w:rPr>
        <w:t> </w:t>
      </w:r>
      <w:r>
        <w:rPr/>
        <w:t>years.</w:t>
      </w:r>
    </w:p>
    <w:p>
      <w:pPr>
        <w:pStyle w:val="BodyText"/>
        <w:spacing w:before="10"/>
        <w:rPr>
          <w:sz w:val="20"/>
        </w:rPr>
      </w:pPr>
    </w:p>
    <w:p>
      <w:pPr>
        <w:pStyle w:val="BodyText"/>
        <w:spacing w:line="321" w:lineRule="auto"/>
        <w:ind w:left="666" w:right="117"/>
        <w:jc w:val="both"/>
      </w:pPr>
      <w:r>
        <w:rPr/>
        <w:t>Further,</w:t>
      </w:r>
      <w:r>
        <w:rPr>
          <w:spacing w:val="-26"/>
        </w:rPr>
        <w:t> </w:t>
      </w:r>
      <w:r>
        <w:rPr/>
        <w:t>this</w:t>
      </w:r>
      <w:r>
        <w:rPr>
          <w:spacing w:val="-25"/>
        </w:rPr>
        <w:t> </w:t>
      </w:r>
      <w:r>
        <w:rPr/>
        <w:t>valuation</w:t>
      </w:r>
      <w:r>
        <w:rPr>
          <w:spacing w:val="-26"/>
        </w:rPr>
        <w:t> </w:t>
      </w:r>
      <w:r>
        <w:rPr/>
        <w:t>exercise</w:t>
      </w:r>
      <w:r>
        <w:rPr>
          <w:spacing w:val="-26"/>
        </w:rPr>
        <w:t> </w:t>
      </w:r>
      <w:r>
        <w:rPr/>
        <w:t>is</w:t>
      </w:r>
      <w:r>
        <w:rPr>
          <w:spacing w:val="-26"/>
        </w:rPr>
        <w:t> </w:t>
      </w:r>
      <w:r>
        <w:rPr/>
        <w:t>based</w:t>
      </w:r>
      <w:r>
        <w:rPr>
          <w:spacing w:val="-24"/>
        </w:rPr>
        <w:t> </w:t>
      </w:r>
      <w:r>
        <w:rPr/>
        <w:t>on</w:t>
      </w:r>
      <w:r>
        <w:rPr>
          <w:spacing w:val="-27"/>
        </w:rPr>
        <w:t> </w:t>
      </w:r>
      <w:r>
        <w:rPr/>
        <w:t>the</w:t>
      </w:r>
      <w:r>
        <w:rPr>
          <w:spacing w:val="-27"/>
        </w:rPr>
        <w:t> </w:t>
      </w:r>
      <w:r>
        <w:rPr/>
        <w:t>premise</w:t>
      </w:r>
      <w:r>
        <w:rPr>
          <w:spacing w:val="-26"/>
        </w:rPr>
        <w:t> </w:t>
      </w:r>
      <w:r>
        <w:rPr/>
        <w:t>that</w:t>
      </w:r>
      <w:r>
        <w:rPr>
          <w:spacing w:val="-26"/>
        </w:rPr>
        <w:t> </w:t>
      </w:r>
      <w:r>
        <w:rPr/>
        <w:t>the</w:t>
      </w:r>
      <w:r>
        <w:rPr>
          <w:spacing w:val="-27"/>
        </w:rPr>
        <w:t> </w:t>
      </w:r>
      <w:r>
        <w:rPr/>
        <w:t>subject</w:t>
      </w:r>
      <w:r>
        <w:rPr>
          <w:spacing w:val="-27"/>
        </w:rPr>
        <w:t> </w:t>
      </w:r>
      <w:r>
        <w:rPr/>
        <w:t>property</w:t>
      </w:r>
      <w:r>
        <w:rPr>
          <w:spacing w:val="-25"/>
        </w:rPr>
        <w:t> </w:t>
      </w:r>
      <w:r>
        <w:rPr/>
        <w:t>has</w:t>
      </w:r>
      <w:r>
        <w:rPr>
          <w:spacing w:val="-25"/>
        </w:rPr>
        <w:t> </w:t>
      </w:r>
      <w:r>
        <w:rPr/>
        <w:t>a</w:t>
      </w:r>
      <w:r>
        <w:rPr>
          <w:spacing w:val="-27"/>
        </w:rPr>
        <w:t> </w:t>
      </w:r>
      <w:r>
        <w:rPr/>
        <w:t>clear</w:t>
      </w:r>
      <w:r>
        <w:rPr>
          <w:spacing w:val="-26"/>
        </w:rPr>
        <w:t> </w:t>
      </w:r>
      <w:r>
        <w:rPr/>
        <w:t>title</w:t>
      </w:r>
      <w:r>
        <w:rPr>
          <w:spacing w:val="-26"/>
        </w:rPr>
        <w:t> </w:t>
      </w:r>
      <w:r>
        <w:rPr/>
        <w:t>and</w:t>
      </w:r>
      <w:r>
        <w:rPr>
          <w:spacing w:val="-26"/>
        </w:rPr>
        <w:t> </w:t>
      </w:r>
      <w:r>
        <w:rPr/>
        <w:t>is free</w:t>
      </w:r>
      <w:r>
        <w:rPr>
          <w:spacing w:val="-14"/>
        </w:rPr>
        <w:t> </w:t>
      </w:r>
      <w:r>
        <w:rPr/>
        <w:t>from</w:t>
      </w:r>
      <w:r>
        <w:rPr>
          <w:spacing w:val="-13"/>
        </w:rPr>
        <w:t> </w:t>
      </w:r>
      <w:r>
        <w:rPr/>
        <w:t>any</w:t>
      </w:r>
      <w:r>
        <w:rPr>
          <w:spacing w:val="-13"/>
        </w:rPr>
        <w:t> </w:t>
      </w:r>
      <w:r>
        <w:rPr/>
        <w:t>encumbrances,</w:t>
      </w:r>
      <w:r>
        <w:rPr>
          <w:spacing w:val="-13"/>
        </w:rPr>
        <w:t> </w:t>
      </w:r>
      <w:r>
        <w:rPr/>
        <w:t>disputes,</w:t>
      </w:r>
      <w:r>
        <w:rPr>
          <w:spacing w:val="-14"/>
        </w:rPr>
        <w:t> </w:t>
      </w:r>
      <w:r>
        <w:rPr/>
        <w:t>claims,</w:t>
      </w:r>
      <w:r>
        <w:rPr>
          <w:spacing w:val="-13"/>
        </w:rPr>
        <w:t> </w:t>
      </w:r>
      <w:r>
        <w:rPr/>
        <w:t>etc.</w:t>
      </w:r>
      <w:r>
        <w:rPr>
          <w:spacing w:val="-11"/>
        </w:rPr>
        <w:t> </w:t>
      </w:r>
      <w:r>
        <w:rPr/>
        <w:t>We</w:t>
      </w:r>
      <w:r>
        <w:rPr>
          <w:spacing w:val="-13"/>
        </w:rPr>
        <w:t> </w:t>
      </w:r>
      <w:r>
        <w:rPr/>
        <w:t>has</w:t>
      </w:r>
      <w:r>
        <w:rPr>
          <w:spacing w:val="-12"/>
        </w:rPr>
        <w:t> </w:t>
      </w:r>
      <w:r>
        <w:rPr/>
        <w:t>not</w:t>
      </w:r>
      <w:r>
        <w:rPr>
          <w:spacing w:val="-11"/>
        </w:rPr>
        <w:t> </w:t>
      </w:r>
      <w:r>
        <w:rPr/>
        <w:t>made</w:t>
      </w:r>
      <w:r>
        <w:rPr>
          <w:spacing w:val="-14"/>
        </w:rPr>
        <w:t> </w:t>
      </w:r>
      <w:r>
        <w:rPr/>
        <w:t>any</w:t>
      </w:r>
      <w:r>
        <w:rPr>
          <w:spacing w:val="-12"/>
        </w:rPr>
        <w:t> </w:t>
      </w:r>
      <w:r>
        <w:rPr/>
        <w:t>inquiries</w:t>
      </w:r>
      <w:r>
        <w:rPr>
          <w:spacing w:val="-13"/>
        </w:rPr>
        <w:t> </w:t>
      </w:r>
      <w:r>
        <w:rPr/>
        <w:t>in</w:t>
      </w:r>
      <w:r>
        <w:rPr>
          <w:spacing w:val="-12"/>
        </w:rPr>
        <w:t> </w:t>
      </w:r>
      <w:r>
        <w:rPr/>
        <w:t>this</w:t>
      </w:r>
      <w:r>
        <w:rPr>
          <w:spacing w:val="-12"/>
        </w:rPr>
        <w:t> </w:t>
      </w:r>
      <w:r>
        <w:rPr/>
        <w:t>regard</w:t>
      </w:r>
      <w:r>
        <w:rPr>
          <w:spacing w:val="-12"/>
        </w:rPr>
        <w:t> </w:t>
      </w:r>
      <w:r>
        <w:rPr/>
        <w:t>with the relevant legal/ statutory</w:t>
      </w:r>
      <w:r>
        <w:rPr>
          <w:spacing w:val="-21"/>
        </w:rPr>
        <w:t> </w:t>
      </w:r>
      <w:r>
        <w:rPr/>
        <w:t>authorities.</w:t>
      </w:r>
    </w:p>
    <w:p>
      <w:pPr>
        <w:pStyle w:val="BodyText"/>
        <w:spacing w:before="8"/>
        <w:rPr>
          <w:sz w:val="20"/>
        </w:rPr>
      </w:pPr>
    </w:p>
    <w:p>
      <w:pPr>
        <w:pStyle w:val="ListParagraph"/>
        <w:numPr>
          <w:ilvl w:val="2"/>
          <w:numId w:val="14"/>
        </w:numPr>
        <w:tabs>
          <w:tab w:pos="821" w:val="left" w:leader="none"/>
        </w:tabs>
        <w:spacing w:line="240" w:lineRule="auto" w:before="1" w:after="0"/>
        <w:ind w:left="820" w:right="0" w:hanging="721"/>
        <w:jc w:val="left"/>
        <w:rPr>
          <w:sz w:val="22"/>
        </w:rPr>
      </w:pPr>
      <w:bookmarkStart w:name="_bookmark160" w:id="312"/>
      <w:bookmarkEnd w:id="312"/>
      <w:r>
        <w:rPr/>
      </w:r>
      <w:bookmarkStart w:name="_bookmark160" w:id="313"/>
      <w:bookmarkEnd w:id="313"/>
      <w:r>
        <w:rPr>
          <w:color w:val="1F664D"/>
          <w:w w:val="105"/>
          <w:sz w:val="22"/>
        </w:rPr>
        <w:t>Town</w:t>
      </w:r>
      <w:r>
        <w:rPr>
          <w:color w:val="1F664D"/>
          <w:spacing w:val="-4"/>
          <w:w w:val="105"/>
          <w:sz w:val="22"/>
        </w:rPr>
        <w:t> </w:t>
      </w:r>
      <w:r>
        <w:rPr>
          <w:color w:val="1F664D"/>
          <w:w w:val="105"/>
          <w:sz w:val="22"/>
        </w:rPr>
        <w:t>Planning</w:t>
      </w:r>
    </w:p>
    <w:p>
      <w:pPr>
        <w:pStyle w:val="BodyText"/>
        <w:spacing w:line="321" w:lineRule="auto" w:before="207"/>
        <w:ind w:left="2075" w:right="139" w:hanging="1347"/>
        <w:jc w:val="both"/>
      </w:pPr>
      <w:r>
        <w:rPr/>
        <w:t>Zoning</w:t>
      </w:r>
      <w:r>
        <w:rPr>
          <w:spacing w:val="58"/>
        </w:rPr>
        <w:t> </w:t>
      </w:r>
      <w:r>
        <w:rPr/>
        <w:t>As per the title due diligence report and Client inputs, it was identified that the subject property</w:t>
      </w:r>
      <w:r>
        <w:rPr>
          <w:spacing w:val="-17"/>
        </w:rPr>
        <w:t> </w:t>
      </w:r>
      <w:r>
        <w:rPr/>
        <w:t>is</w:t>
      </w:r>
      <w:r>
        <w:rPr>
          <w:spacing w:val="-17"/>
        </w:rPr>
        <w:t> </w:t>
      </w:r>
      <w:r>
        <w:rPr/>
        <w:t>a</w:t>
      </w:r>
      <w:r>
        <w:rPr>
          <w:spacing w:val="-17"/>
        </w:rPr>
        <w:t> </w:t>
      </w:r>
      <w:r>
        <w:rPr/>
        <w:t>commercial</w:t>
      </w:r>
      <w:r>
        <w:rPr>
          <w:spacing w:val="-17"/>
        </w:rPr>
        <w:t> </w:t>
      </w:r>
      <w:r>
        <w:rPr/>
        <w:t>zoned</w:t>
      </w:r>
      <w:r>
        <w:rPr>
          <w:spacing w:val="-16"/>
        </w:rPr>
        <w:t> </w:t>
      </w:r>
      <w:r>
        <w:rPr/>
        <w:t>land</w:t>
      </w:r>
      <w:r>
        <w:rPr>
          <w:spacing w:val="-17"/>
        </w:rPr>
        <w:t> </w:t>
      </w:r>
      <w:r>
        <w:rPr/>
        <w:t>parcel,</w:t>
      </w:r>
      <w:r>
        <w:rPr>
          <w:spacing w:val="-17"/>
        </w:rPr>
        <w:t> </w:t>
      </w:r>
      <w:r>
        <w:rPr/>
        <w:t>granted</w:t>
      </w:r>
      <w:r>
        <w:rPr>
          <w:spacing w:val="-16"/>
        </w:rPr>
        <w:t> </w:t>
      </w:r>
      <w:r>
        <w:rPr/>
        <w:t>on</w:t>
      </w:r>
      <w:r>
        <w:rPr>
          <w:spacing w:val="-16"/>
        </w:rPr>
        <w:t> </w:t>
      </w:r>
      <w:r>
        <w:rPr/>
        <w:t>lease</w:t>
      </w:r>
      <w:r>
        <w:rPr>
          <w:spacing w:val="-17"/>
        </w:rPr>
        <w:t> </w:t>
      </w:r>
      <w:r>
        <w:rPr/>
        <w:t>by</w:t>
      </w:r>
      <w:r>
        <w:rPr>
          <w:spacing w:val="-16"/>
        </w:rPr>
        <w:t> </w:t>
      </w:r>
      <w:r>
        <w:rPr/>
        <w:t>Maharashtra</w:t>
      </w:r>
      <w:r>
        <w:rPr>
          <w:spacing w:val="-17"/>
        </w:rPr>
        <w:t> </w:t>
      </w:r>
      <w:r>
        <w:rPr/>
        <w:t>Industrial Development Corporation (MIDC), and is approved for development of an office Park. The</w:t>
      </w:r>
      <w:r>
        <w:rPr>
          <w:spacing w:val="-8"/>
        </w:rPr>
        <w:t> </w:t>
      </w:r>
      <w:r>
        <w:rPr/>
        <w:t>same</w:t>
      </w:r>
      <w:r>
        <w:rPr>
          <w:spacing w:val="-7"/>
        </w:rPr>
        <w:t> </w:t>
      </w:r>
      <w:r>
        <w:rPr/>
        <w:t>has</w:t>
      </w:r>
      <w:r>
        <w:rPr>
          <w:spacing w:val="-7"/>
        </w:rPr>
        <w:t> </w:t>
      </w:r>
      <w:r>
        <w:rPr/>
        <w:t>been</w:t>
      </w:r>
      <w:r>
        <w:rPr>
          <w:spacing w:val="-7"/>
        </w:rPr>
        <w:t> </w:t>
      </w:r>
      <w:r>
        <w:rPr/>
        <w:t>considered</w:t>
      </w:r>
      <w:r>
        <w:rPr>
          <w:spacing w:val="-6"/>
        </w:rPr>
        <w:t> </w:t>
      </w:r>
      <w:r>
        <w:rPr/>
        <w:t>for</w:t>
      </w:r>
      <w:r>
        <w:rPr>
          <w:spacing w:val="-7"/>
        </w:rPr>
        <w:t> </w:t>
      </w:r>
      <w:r>
        <w:rPr/>
        <w:t>the</w:t>
      </w:r>
      <w:r>
        <w:rPr>
          <w:spacing w:val="-7"/>
        </w:rPr>
        <w:t> </w:t>
      </w:r>
      <w:r>
        <w:rPr/>
        <w:t>purpose</w:t>
      </w:r>
      <w:r>
        <w:rPr>
          <w:spacing w:val="-7"/>
        </w:rPr>
        <w:t> </w:t>
      </w:r>
      <w:r>
        <w:rPr/>
        <w:t>of</w:t>
      </w:r>
      <w:r>
        <w:rPr>
          <w:spacing w:val="-8"/>
        </w:rPr>
        <w:t> </w:t>
      </w:r>
      <w:r>
        <w:rPr/>
        <w:t>this</w:t>
      </w:r>
      <w:r>
        <w:rPr>
          <w:spacing w:val="-6"/>
        </w:rPr>
        <w:t> </w:t>
      </w:r>
      <w:r>
        <w:rPr/>
        <w:t>valuation.</w:t>
      </w:r>
      <w:r>
        <w:rPr>
          <w:spacing w:val="-3"/>
        </w:rPr>
        <w:t> </w:t>
      </w:r>
      <w:r>
        <w:rPr/>
        <w:t>The</w:t>
      </w:r>
      <w:r>
        <w:rPr>
          <w:spacing w:val="-7"/>
        </w:rPr>
        <w:t> </w:t>
      </w:r>
      <w:r>
        <w:rPr/>
        <w:t>Consultants</w:t>
      </w:r>
      <w:r>
        <w:rPr>
          <w:spacing w:val="-4"/>
        </w:rPr>
        <w:t> </w:t>
      </w:r>
      <w:r>
        <w:rPr/>
        <w:t>have made</w:t>
      </w:r>
      <w:r>
        <w:rPr>
          <w:spacing w:val="-10"/>
        </w:rPr>
        <w:t> </w:t>
      </w:r>
      <w:r>
        <w:rPr/>
        <w:t>no</w:t>
      </w:r>
      <w:r>
        <w:rPr>
          <w:spacing w:val="-9"/>
        </w:rPr>
        <w:t> </w:t>
      </w:r>
      <w:r>
        <w:rPr/>
        <w:t>further</w:t>
      </w:r>
      <w:r>
        <w:rPr>
          <w:spacing w:val="-10"/>
        </w:rPr>
        <w:t> </w:t>
      </w:r>
      <w:r>
        <w:rPr/>
        <w:t>inquiries</w:t>
      </w:r>
      <w:r>
        <w:rPr>
          <w:spacing w:val="-8"/>
        </w:rPr>
        <w:t> </w:t>
      </w:r>
      <w:r>
        <w:rPr/>
        <w:t>with</w:t>
      </w:r>
      <w:r>
        <w:rPr>
          <w:spacing w:val="-9"/>
        </w:rPr>
        <w:t> </w:t>
      </w:r>
      <w:r>
        <w:rPr/>
        <w:t>the</w:t>
      </w:r>
      <w:r>
        <w:rPr>
          <w:spacing w:val="-10"/>
        </w:rPr>
        <w:t> </w:t>
      </w:r>
      <w:r>
        <w:rPr/>
        <w:t>local</w:t>
      </w:r>
      <w:r>
        <w:rPr>
          <w:spacing w:val="-10"/>
        </w:rPr>
        <w:t> </w:t>
      </w:r>
      <w:r>
        <w:rPr/>
        <w:t>authorities</w:t>
      </w:r>
      <w:r>
        <w:rPr>
          <w:spacing w:val="-8"/>
        </w:rPr>
        <w:t> </w:t>
      </w:r>
      <w:r>
        <w:rPr/>
        <w:t>in</w:t>
      </w:r>
      <w:r>
        <w:rPr>
          <w:spacing w:val="-11"/>
        </w:rPr>
        <w:t> </w:t>
      </w:r>
      <w:r>
        <w:rPr/>
        <w:t>this</w:t>
      </w:r>
      <w:r>
        <w:rPr>
          <w:spacing w:val="-8"/>
        </w:rPr>
        <w:t> </w:t>
      </w:r>
      <w:r>
        <w:rPr/>
        <w:t>regard.</w:t>
      </w:r>
    </w:p>
    <w:p>
      <w:pPr>
        <w:pStyle w:val="BodyText"/>
        <w:spacing w:before="1"/>
        <w:rPr>
          <w:sz w:val="21"/>
        </w:rPr>
      </w:pPr>
    </w:p>
    <w:p>
      <w:pPr>
        <w:pStyle w:val="BodyText"/>
        <w:spacing w:line="321" w:lineRule="auto"/>
        <w:ind w:left="2075" w:right="138"/>
        <w:jc w:val="both"/>
      </w:pPr>
      <w:r>
        <w:rPr/>
        <w:t>The</w:t>
      </w:r>
      <w:r>
        <w:rPr>
          <w:spacing w:val="-14"/>
        </w:rPr>
        <w:t> </w:t>
      </w:r>
      <w:r>
        <w:rPr/>
        <w:t>permissible</w:t>
      </w:r>
      <w:r>
        <w:rPr>
          <w:spacing w:val="-14"/>
        </w:rPr>
        <w:t> </w:t>
      </w:r>
      <w:r>
        <w:rPr/>
        <w:t>land</w:t>
      </w:r>
      <w:r>
        <w:rPr>
          <w:spacing w:val="-13"/>
        </w:rPr>
        <w:t> </w:t>
      </w:r>
      <w:r>
        <w:rPr/>
        <w:t>use</w:t>
      </w:r>
      <w:r>
        <w:rPr>
          <w:spacing w:val="-13"/>
        </w:rPr>
        <w:t> </w:t>
      </w:r>
      <w:r>
        <w:rPr/>
        <w:t>adopted</w:t>
      </w:r>
      <w:r>
        <w:rPr>
          <w:spacing w:val="-12"/>
        </w:rPr>
        <w:t> </w:t>
      </w:r>
      <w:r>
        <w:rPr/>
        <w:t>by</w:t>
      </w:r>
      <w:r>
        <w:rPr>
          <w:spacing w:val="-9"/>
        </w:rPr>
        <w:t> </w:t>
      </w:r>
      <w:r>
        <w:rPr/>
        <w:t>the</w:t>
      </w:r>
      <w:r>
        <w:rPr>
          <w:spacing w:val="-13"/>
        </w:rPr>
        <w:t> </w:t>
      </w:r>
      <w:r>
        <w:rPr/>
        <w:t>Consultants</w:t>
      </w:r>
      <w:r>
        <w:rPr>
          <w:spacing w:val="-11"/>
        </w:rPr>
        <w:t> </w:t>
      </w:r>
      <w:r>
        <w:rPr/>
        <w:t>for</w:t>
      </w:r>
      <w:r>
        <w:rPr>
          <w:spacing w:val="-13"/>
        </w:rPr>
        <w:t> </w:t>
      </w:r>
      <w:r>
        <w:rPr/>
        <w:t>the</w:t>
      </w:r>
      <w:r>
        <w:rPr>
          <w:spacing w:val="-14"/>
        </w:rPr>
        <w:t> </w:t>
      </w:r>
      <w:r>
        <w:rPr/>
        <w:t>subject</w:t>
      </w:r>
      <w:r>
        <w:rPr>
          <w:spacing w:val="-12"/>
        </w:rPr>
        <w:t> </w:t>
      </w:r>
      <w:r>
        <w:rPr/>
        <w:t>property</w:t>
      </w:r>
      <w:r>
        <w:rPr>
          <w:spacing w:val="-12"/>
        </w:rPr>
        <w:t> </w:t>
      </w:r>
      <w:r>
        <w:rPr/>
        <w:t>has</w:t>
      </w:r>
      <w:r>
        <w:rPr>
          <w:spacing w:val="-13"/>
        </w:rPr>
        <w:t> </w:t>
      </w:r>
      <w:r>
        <w:rPr/>
        <w:t>been based on information/review of various documents provided by the Client. It must be noted</w:t>
      </w:r>
      <w:r>
        <w:rPr>
          <w:spacing w:val="-12"/>
        </w:rPr>
        <w:t> </w:t>
      </w:r>
      <w:r>
        <w:rPr/>
        <w:t>that</w:t>
      </w:r>
      <w:r>
        <w:rPr>
          <w:spacing w:val="-13"/>
        </w:rPr>
        <w:t> </w:t>
      </w:r>
      <w:r>
        <w:rPr/>
        <w:t>all</w:t>
      </w:r>
      <w:r>
        <w:rPr>
          <w:spacing w:val="-13"/>
        </w:rPr>
        <w:t> </w:t>
      </w:r>
      <w:r>
        <w:rPr/>
        <w:t>factual</w:t>
      </w:r>
      <w:r>
        <w:rPr>
          <w:spacing w:val="-13"/>
        </w:rPr>
        <w:t> </w:t>
      </w:r>
      <w:r>
        <w:rPr/>
        <w:t>data</w:t>
      </w:r>
      <w:r>
        <w:rPr>
          <w:spacing w:val="-13"/>
        </w:rPr>
        <w:t> </w:t>
      </w:r>
      <w:r>
        <w:rPr/>
        <w:t>viz.</w:t>
      </w:r>
      <w:r>
        <w:rPr>
          <w:spacing w:val="-11"/>
        </w:rPr>
        <w:t> </w:t>
      </w:r>
      <w:r>
        <w:rPr/>
        <w:t>permissible</w:t>
      </w:r>
      <w:r>
        <w:rPr>
          <w:spacing w:val="-13"/>
        </w:rPr>
        <w:t> </w:t>
      </w:r>
      <w:r>
        <w:rPr/>
        <w:t>development</w:t>
      </w:r>
      <w:r>
        <w:rPr>
          <w:spacing w:val="-13"/>
        </w:rPr>
        <w:t> </w:t>
      </w:r>
      <w:r>
        <w:rPr/>
        <w:t>control</w:t>
      </w:r>
      <w:r>
        <w:rPr>
          <w:spacing w:val="-13"/>
        </w:rPr>
        <w:t> </w:t>
      </w:r>
      <w:r>
        <w:rPr/>
        <w:t>regulations,</w:t>
      </w:r>
      <w:r>
        <w:rPr>
          <w:spacing w:val="-12"/>
        </w:rPr>
        <w:t> </w:t>
      </w:r>
      <w:r>
        <w:rPr/>
        <w:t>land</w:t>
      </w:r>
      <w:r>
        <w:rPr>
          <w:spacing w:val="-12"/>
        </w:rPr>
        <w:t> </w:t>
      </w:r>
      <w:r>
        <w:rPr/>
        <w:t>area and achievable FSI have also been based on information/review of various documents (such</w:t>
      </w:r>
      <w:r>
        <w:rPr>
          <w:spacing w:val="-36"/>
        </w:rPr>
        <w:t> </w:t>
      </w:r>
      <w:r>
        <w:rPr/>
        <w:t>as</w:t>
      </w:r>
      <w:r>
        <w:rPr>
          <w:spacing w:val="-35"/>
        </w:rPr>
        <w:t> </w:t>
      </w:r>
      <w:r>
        <w:rPr/>
        <w:t>title</w:t>
      </w:r>
      <w:r>
        <w:rPr>
          <w:spacing w:val="-36"/>
        </w:rPr>
        <w:t> </w:t>
      </w:r>
      <w:r>
        <w:rPr/>
        <w:t>deed,</w:t>
      </w:r>
      <w:r>
        <w:rPr>
          <w:spacing w:val="-35"/>
        </w:rPr>
        <w:t> </w:t>
      </w:r>
      <w:r>
        <w:rPr/>
        <w:t>plan</w:t>
      </w:r>
      <w:r>
        <w:rPr>
          <w:spacing w:val="-36"/>
        </w:rPr>
        <w:t> </w:t>
      </w:r>
      <w:r>
        <w:rPr/>
        <w:t>sanction</w:t>
      </w:r>
      <w:r>
        <w:rPr>
          <w:spacing w:val="-36"/>
        </w:rPr>
        <w:t> </w:t>
      </w:r>
      <w:r>
        <w:rPr/>
        <w:t>letter,</w:t>
      </w:r>
      <w:r>
        <w:rPr>
          <w:spacing w:val="-34"/>
        </w:rPr>
        <w:t> </w:t>
      </w:r>
      <w:r>
        <w:rPr/>
        <w:t>site</w:t>
      </w:r>
      <w:r>
        <w:rPr>
          <w:spacing w:val="-36"/>
        </w:rPr>
        <w:t> </w:t>
      </w:r>
      <w:r>
        <w:rPr/>
        <w:t>plan,</w:t>
      </w:r>
      <w:r>
        <w:rPr>
          <w:spacing w:val="-36"/>
        </w:rPr>
        <w:t> </w:t>
      </w:r>
      <w:r>
        <w:rPr/>
        <w:t>etc.)</w:t>
      </w:r>
      <w:r>
        <w:rPr>
          <w:spacing w:val="-34"/>
        </w:rPr>
        <w:t> </w:t>
      </w:r>
      <w:r>
        <w:rPr/>
        <w:t>provided</w:t>
      </w:r>
      <w:r>
        <w:rPr>
          <w:spacing w:val="-36"/>
        </w:rPr>
        <w:t> </w:t>
      </w:r>
      <w:r>
        <w:rPr/>
        <w:t>by</w:t>
      </w:r>
      <w:r>
        <w:rPr>
          <w:spacing w:val="-34"/>
        </w:rPr>
        <w:t> </w:t>
      </w:r>
      <w:r>
        <w:rPr/>
        <w:t>the</w:t>
      </w:r>
      <w:r>
        <w:rPr>
          <w:spacing w:val="-36"/>
        </w:rPr>
        <w:t> </w:t>
      </w:r>
      <w:r>
        <w:rPr/>
        <w:t>Client</w:t>
      </w:r>
      <w:r>
        <w:rPr>
          <w:spacing w:val="-36"/>
        </w:rPr>
        <w:t> </w:t>
      </w:r>
      <w:r>
        <w:rPr/>
        <w:t>or</w:t>
      </w:r>
      <w:r>
        <w:rPr>
          <w:spacing w:val="-36"/>
        </w:rPr>
        <w:t> </w:t>
      </w:r>
      <w:r>
        <w:rPr/>
        <w:t>assumed based on building regulations, and no physical verification/ measurement has been undertaken for the purpose of this valuation</w:t>
      </w:r>
      <w:r>
        <w:rPr>
          <w:spacing w:val="-47"/>
        </w:rPr>
        <w:t> </w:t>
      </w:r>
      <w:r>
        <w:rPr/>
        <w:t>exercise.</w:t>
      </w:r>
    </w:p>
    <w:p>
      <w:pPr>
        <w:pStyle w:val="BodyText"/>
        <w:rPr>
          <w:sz w:val="21"/>
        </w:rPr>
      </w:pPr>
    </w:p>
    <w:p>
      <w:pPr>
        <w:pStyle w:val="BodyText"/>
        <w:spacing w:line="321" w:lineRule="auto"/>
        <w:ind w:left="2075" w:right="138"/>
        <w:jc w:val="both"/>
      </w:pPr>
      <w:r>
        <w:rPr/>
        <w:t>For</w:t>
      </w:r>
      <w:r>
        <w:rPr>
          <w:spacing w:val="-11"/>
        </w:rPr>
        <w:t> </w:t>
      </w:r>
      <w:r>
        <w:rPr/>
        <w:t>the</w:t>
      </w:r>
      <w:r>
        <w:rPr>
          <w:spacing w:val="-10"/>
        </w:rPr>
        <w:t> </w:t>
      </w:r>
      <w:r>
        <w:rPr/>
        <w:t>purpose</w:t>
      </w:r>
      <w:r>
        <w:rPr>
          <w:spacing w:val="-10"/>
        </w:rPr>
        <w:t> </w:t>
      </w:r>
      <w:r>
        <w:rPr/>
        <w:t>of</w:t>
      </w:r>
      <w:r>
        <w:rPr>
          <w:spacing w:val="-11"/>
        </w:rPr>
        <w:t> </w:t>
      </w:r>
      <w:r>
        <w:rPr/>
        <w:t>this</w:t>
      </w:r>
      <w:r>
        <w:rPr>
          <w:spacing w:val="-11"/>
        </w:rPr>
        <w:t> </w:t>
      </w:r>
      <w:r>
        <w:rPr/>
        <w:t>exercise,</w:t>
      </w:r>
      <w:r>
        <w:rPr>
          <w:spacing w:val="-10"/>
        </w:rPr>
        <w:t> </w:t>
      </w:r>
      <w:r>
        <w:rPr/>
        <w:t>it</w:t>
      </w:r>
      <w:r>
        <w:rPr>
          <w:spacing w:val="-8"/>
        </w:rPr>
        <w:t> </w:t>
      </w:r>
      <w:r>
        <w:rPr/>
        <w:t>has</w:t>
      </w:r>
      <w:r>
        <w:rPr>
          <w:spacing w:val="-11"/>
        </w:rPr>
        <w:t> </w:t>
      </w:r>
      <w:r>
        <w:rPr/>
        <w:t>been</w:t>
      </w:r>
      <w:r>
        <w:rPr>
          <w:spacing w:val="-10"/>
        </w:rPr>
        <w:t> </w:t>
      </w:r>
      <w:r>
        <w:rPr/>
        <w:t>assumed</w:t>
      </w:r>
      <w:r>
        <w:rPr>
          <w:spacing w:val="-9"/>
        </w:rPr>
        <w:t> </w:t>
      </w:r>
      <w:r>
        <w:rPr/>
        <w:t>that</w:t>
      </w:r>
      <w:r>
        <w:rPr>
          <w:spacing w:val="-10"/>
        </w:rPr>
        <w:t> </w:t>
      </w:r>
      <w:r>
        <w:rPr/>
        <w:t>all</w:t>
      </w:r>
      <w:r>
        <w:rPr>
          <w:spacing w:val="-12"/>
        </w:rPr>
        <w:t> </w:t>
      </w:r>
      <w:r>
        <w:rPr/>
        <w:t>developments</w:t>
      </w:r>
      <w:r>
        <w:rPr>
          <w:spacing w:val="-11"/>
        </w:rPr>
        <w:t> </w:t>
      </w:r>
      <w:r>
        <w:rPr/>
        <w:t>(existing</w:t>
      </w:r>
      <w:r>
        <w:rPr>
          <w:spacing w:val="-11"/>
        </w:rPr>
        <w:t> </w:t>
      </w:r>
      <w:r>
        <w:rPr/>
        <w:t>/ under construction / proposed) adhere to building regulations as prescribed by the relevant</w:t>
      </w:r>
      <w:r>
        <w:rPr>
          <w:spacing w:val="-34"/>
        </w:rPr>
        <w:t> </w:t>
      </w:r>
      <w:r>
        <w:rPr/>
        <w:t>authorities.</w:t>
      </w:r>
      <w:r>
        <w:rPr>
          <w:spacing w:val="-32"/>
        </w:rPr>
        <w:t> </w:t>
      </w:r>
      <w:r>
        <w:rPr/>
        <w:t>The</w:t>
      </w:r>
      <w:r>
        <w:rPr>
          <w:spacing w:val="-33"/>
        </w:rPr>
        <w:t> </w:t>
      </w:r>
      <w:r>
        <w:rPr/>
        <w:t>Consultants</w:t>
      </w:r>
      <w:r>
        <w:rPr>
          <w:spacing w:val="-31"/>
        </w:rPr>
        <w:t> </w:t>
      </w:r>
      <w:r>
        <w:rPr/>
        <w:t>have</w:t>
      </w:r>
      <w:r>
        <w:rPr>
          <w:spacing w:val="-34"/>
        </w:rPr>
        <w:t> </w:t>
      </w:r>
      <w:r>
        <w:rPr/>
        <w:t>not</w:t>
      </w:r>
      <w:r>
        <w:rPr>
          <w:spacing w:val="-33"/>
        </w:rPr>
        <w:t> </w:t>
      </w:r>
      <w:r>
        <w:rPr/>
        <w:t>validated</w:t>
      </w:r>
      <w:r>
        <w:rPr>
          <w:spacing w:val="-33"/>
        </w:rPr>
        <w:t> </w:t>
      </w:r>
      <w:r>
        <w:rPr/>
        <w:t>the</w:t>
      </w:r>
      <w:r>
        <w:rPr>
          <w:spacing w:val="-34"/>
        </w:rPr>
        <w:t> </w:t>
      </w:r>
      <w:r>
        <w:rPr/>
        <w:t>information</w:t>
      </w:r>
      <w:r>
        <w:rPr>
          <w:spacing w:val="-34"/>
        </w:rPr>
        <w:t> </w:t>
      </w:r>
      <w:r>
        <w:rPr/>
        <w:t>provided</w:t>
      </w:r>
      <w:r>
        <w:rPr>
          <w:spacing w:val="-33"/>
        </w:rPr>
        <w:t> </w:t>
      </w:r>
      <w:r>
        <w:rPr/>
        <w:t>by</w:t>
      </w:r>
      <w:r>
        <w:rPr>
          <w:spacing w:val="-32"/>
        </w:rPr>
        <w:t> </w:t>
      </w:r>
      <w:r>
        <w:rPr/>
        <w:t>the Client with the relevant development</w:t>
      </w:r>
      <w:r>
        <w:rPr>
          <w:spacing w:val="-36"/>
        </w:rPr>
        <w:t> </w:t>
      </w:r>
      <w:r>
        <w:rPr/>
        <w:t>authorities.</w:t>
      </w:r>
    </w:p>
    <w:p>
      <w:pPr>
        <w:pStyle w:val="BodyText"/>
        <w:spacing w:before="8"/>
        <w:rPr>
          <w:sz w:val="11"/>
        </w:rPr>
      </w:pPr>
    </w:p>
    <w:p>
      <w:pPr>
        <w:spacing w:after="0"/>
        <w:rPr>
          <w:sz w:val="11"/>
        </w:rPr>
        <w:sectPr>
          <w:headerReference w:type="default" r:id="rId176"/>
          <w:footerReference w:type="default" r:id="rId177"/>
          <w:pgSz w:w="11910" w:h="16840"/>
          <w:pgMar w:header="720" w:footer="933" w:top="1660" w:bottom="1120" w:left="620" w:right="600"/>
          <w:pgNumType w:start="153"/>
        </w:sectPr>
      </w:pPr>
    </w:p>
    <w:p>
      <w:pPr>
        <w:pStyle w:val="BodyText"/>
        <w:spacing w:line="321" w:lineRule="auto" w:before="106"/>
        <w:ind w:left="729" w:right="-18"/>
      </w:pPr>
      <w:r>
        <w:rPr/>
        <w:t>Approved Usage:</w:t>
      </w:r>
    </w:p>
    <w:p>
      <w:pPr>
        <w:pStyle w:val="BodyText"/>
        <w:spacing w:line="321" w:lineRule="auto" w:before="106"/>
        <w:ind w:left="376" w:right="137"/>
        <w:jc w:val="both"/>
      </w:pPr>
      <w:r>
        <w:rPr/>
        <w:br w:type="column"/>
      </w:r>
      <w:r>
        <w:rPr/>
        <w:t>Based</w:t>
      </w:r>
      <w:r>
        <w:rPr>
          <w:spacing w:val="-16"/>
        </w:rPr>
        <w:t> </w:t>
      </w:r>
      <w:r>
        <w:rPr/>
        <w:t>on</w:t>
      </w:r>
      <w:r>
        <w:rPr>
          <w:spacing w:val="-17"/>
        </w:rPr>
        <w:t> </w:t>
      </w:r>
      <w:r>
        <w:rPr/>
        <w:t>occupancy</w:t>
      </w:r>
      <w:r>
        <w:rPr>
          <w:spacing w:val="-15"/>
        </w:rPr>
        <w:t> </w:t>
      </w:r>
      <w:r>
        <w:rPr/>
        <w:t>certificates</w:t>
      </w:r>
      <w:r>
        <w:rPr>
          <w:spacing w:val="-16"/>
        </w:rPr>
        <w:t> </w:t>
      </w:r>
      <w:r>
        <w:rPr/>
        <w:t>provided</w:t>
      </w:r>
      <w:r>
        <w:rPr>
          <w:spacing w:val="-16"/>
        </w:rPr>
        <w:t> </w:t>
      </w:r>
      <w:r>
        <w:rPr/>
        <w:t>by</w:t>
      </w:r>
      <w:r>
        <w:rPr>
          <w:spacing w:val="-15"/>
        </w:rPr>
        <w:t> </w:t>
      </w:r>
      <w:r>
        <w:rPr/>
        <w:t>the</w:t>
      </w:r>
      <w:r>
        <w:rPr>
          <w:spacing w:val="-19"/>
        </w:rPr>
        <w:t> </w:t>
      </w:r>
      <w:r>
        <w:rPr/>
        <w:t>Client</w:t>
      </w:r>
      <w:r>
        <w:rPr>
          <w:spacing w:val="-16"/>
        </w:rPr>
        <w:t> </w:t>
      </w:r>
      <w:r>
        <w:rPr/>
        <w:t>and</w:t>
      </w:r>
      <w:r>
        <w:rPr>
          <w:spacing w:val="-16"/>
        </w:rPr>
        <w:t> </w:t>
      </w:r>
      <w:r>
        <w:rPr/>
        <w:t>visual</w:t>
      </w:r>
      <w:r>
        <w:rPr>
          <w:spacing w:val="-17"/>
        </w:rPr>
        <w:t> </w:t>
      </w:r>
      <w:r>
        <w:rPr/>
        <w:t>inspection</w:t>
      </w:r>
      <w:r>
        <w:rPr>
          <w:spacing w:val="-16"/>
        </w:rPr>
        <w:t> </w:t>
      </w:r>
      <w:r>
        <w:rPr/>
        <w:t>during</w:t>
      </w:r>
      <w:r>
        <w:rPr>
          <w:spacing w:val="-16"/>
        </w:rPr>
        <w:t> </w:t>
      </w:r>
      <w:r>
        <w:rPr/>
        <w:t>our site visit, we understand that the subject property is an office park, comprising of 6 operational</w:t>
      </w:r>
      <w:r>
        <w:rPr>
          <w:spacing w:val="-46"/>
        </w:rPr>
        <w:t> </w:t>
      </w:r>
      <w:r>
        <w:rPr/>
        <w:t>blocks.</w:t>
      </w:r>
      <w:r>
        <w:rPr>
          <w:spacing w:val="-46"/>
        </w:rPr>
        <w:t> </w:t>
      </w:r>
      <w:r>
        <w:rPr/>
        <w:t>The</w:t>
      </w:r>
      <w:r>
        <w:rPr>
          <w:spacing w:val="-46"/>
        </w:rPr>
        <w:t> </w:t>
      </w:r>
      <w:r>
        <w:rPr/>
        <w:t>current</w:t>
      </w:r>
      <w:r>
        <w:rPr>
          <w:spacing w:val="-46"/>
        </w:rPr>
        <w:t> </w:t>
      </w:r>
      <w:r>
        <w:rPr/>
        <w:t>use</w:t>
      </w:r>
      <w:r>
        <w:rPr>
          <w:spacing w:val="-46"/>
        </w:rPr>
        <w:t> </w:t>
      </w:r>
      <w:r>
        <w:rPr/>
        <w:t>of</w:t>
      </w:r>
      <w:r>
        <w:rPr>
          <w:spacing w:val="-46"/>
        </w:rPr>
        <w:t> </w:t>
      </w:r>
      <w:r>
        <w:rPr/>
        <w:t>the</w:t>
      </w:r>
      <w:r>
        <w:rPr>
          <w:spacing w:val="-45"/>
        </w:rPr>
        <w:t> </w:t>
      </w:r>
      <w:r>
        <w:rPr/>
        <w:t>subject</w:t>
      </w:r>
      <w:r>
        <w:rPr>
          <w:spacing w:val="-45"/>
        </w:rPr>
        <w:t> </w:t>
      </w:r>
      <w:r>
        <w:rPr/>
        <w:t>property</w:t>
      </w:r>
      <w:r>
        <w:rPr>
          <w:spacing w:val="-45"/>
        </w:rPr>
        <w:t> </w:t>
      </w:r>
      <w:r>
        <w:rPr/>
        <w:t>has</w:t>
      </w:r>
      <w:r>
        <w:rPr>
          <w:spacing w:val="-46"/>
        </w:rPr>
        <w:t> </w:t>
      </w:r>
      <w:r>
        <w:rPr/>
        <w:t>been</w:t>
      </w:r>
      <w:r>
        <w:rPr>
          <w:spacing w:val="-46"/>
        </w:rPr>
        <w:t> </w:t>
      </w:r>
      <w:r>
        <w:rPr/>
        <w:t>provided</w:t>
      </w:r>
      <w:r>
        <w:rPr>
          <w:spacing w:val="-45"/>
        </w:rPr>
        <w:t> </w:t>
      </w:r>
      <w:r>
        <w:rPr/>
        <w:t>by</w:t>
      </w:r>
      <w:r>
        <w:rPr>
          <w:spacing w:val="-46"/>
        </w:rPr>
        <w:t> </w:t>
      </w:r>
      <w:r>
        <w:rPr/>
        <w:t>the</w:t>
      </w:r>
      <w:r>
        <w:rPr>
          <w:spacing w:val="-45"/>
        </w:rPr>
        <w:t> </w:t>
      </w:r>
      <w:r>
        <w:rPr/>
        <w:t>Client and is broadly in agreement with the rules and regulations prescribed by the local development</w:t>
      </w:r>
      <w:r>
        <w:rPr>
          <w:spacing w:val="-42"/>
        </w:rPr>
        <w:t> </w:t>
      </w:r>
      <w:r>
        <w:rPr/>
        <w:t>authorities.</w:t>
      </w:r>
      <w:r>
        <w:rPr>
          <w:spacing w:val="-42"/>
        </w:rPr>
        <w:t> </w:t>
      </w:r>
      <w:r>
        <w:rPr/>
        <w:t>However,</w:t>
      </w:r>
      <w:r>
        <w:rPr>
          <w:spacing w:val="-40"/>
        </w:rPr>
        <w:t> </w:t>
      </w:r>
      <w:r>
        <w:rPr/>
        <w:t>the</w:t>
      </w:r>
      <w:r>
        <w:rPr>
          <w:spacing w:val="-42"/>
        </w:rPr>
        <w:t> </w:t>
      </w:r>
      <w:r>
        <w:rPr/>
        <w:t>Consultants</w:t>
      </w:r>
      <w:r>
        <w:rPr>
          <w:spacing w:val="-41"/>
        </w:rPr>
        <w:t> </w:t>
      </w:r>
      <w:r>
        <w:rPr/>
        <w:t>have</w:t>
      </w:r>
      <w:r>
        <w:rPr>
          <w:spacing w:val="-41"/>
        </w:rPr>
        <w:t> </w:t>
      </w:r>
      <w:r>
        <w:rPr/>
        <w:t>not</w:t>
      </w:r>
      <w:r>
        <w:rPr>
          <w:spacing w:val="-41"/>
        </w:rPr>
        <w:t> </w:t>
      </w:r>
      <w:r>
        <w:rPr/>
        <w:t>made</w:t>
      </w:r>
      <w:r>
        <w:rPr>
          <w:spacing w:val="-41"/>
        </w:rPr>
        <w:t> </w:t>
      </w:r>
      <w:r>
        <w:rPr/>
        <w:t>any</w:t>
      </w:r>
      <w:r>
        <w:rPr>
          <w:spacing w:val="-42"/>
        </w:rPr>
        <w:t> </w:t>
      </w:r>
      <w:r>
        <w:rPr/>
        <w:t>enquiries</w:t>
      </w:r>
      <w:r>
        <w:rPr>
          <w:spacing w:val="-41"/>
        </w:rPr>
        <w:t> </w:t>
      </w:r>
      <w:r>
        <w:rPr/>
        <w:t>with</w:t>
      </w:r>
      <w:r>
        <w:rPr>
          <w:spacing w:val="-41"/>
        </w:rPr>
        <w:t> </w:t>
      </w:r>
      <w:r>
        <w:rPr/>
        <w:t>the relevant</w:t>
      </w:r>
      <w:r>
        <w:rPr>
          <w:spacing w:val="-28"/>
        </w:rPr>
        <w:t> </w:t>
      </w:r>
      <w:r>
        <w:rPr/>
        <w:t>local</w:t>
      </w:r>
      <w:r>
        <w:rPr>
          <w:spacing w:val="-29"/>
        </w:rPr>
        <w:t> </w:t>
      </w:r>
      <w:r>
        <w:rPr/>
        <w:t>authorities</w:t>
      </w:r>
      <w:r>
        <w:rPr>
          <w:spacing w:val="-26"/>
        </w:rPr>
        <w:t> </w:t>
      </w:r>
      <w:r>
        <w:rPr/>
        <w:t>to</w:t>
      </w:r>
      <w:r>
        <w:rPr>
          <w:spacing w:val="-28"/>
        </w:rPr>
        <w:t> </w:t>
      </w:r>
      <w:r>
        <w:rPr/>
        <w:t>validate</w:t>
      </w:r>
      <w:r>
        <w:rPr>
          <w:spacing w:val="-30"/>
        </w:rPr>
        <w:t> </w:t>
      </w:r>
      <w:r>
        <w:rPr/>
        <w:t>the</w:t>
      </w:r>
      <w:r>
        <w:rPr>
          <w:spacing w:val="-28"/>
        </w:rPr>
        <w:t> </w:t>
      </w:r>
      <w:r>
        <w:rPr/>
        <w:t>same</w:t>
      </w:r>
      <w:r>
        <w:rPr>
          <w:spacing w:val="-28"/>
        </w:rPr>
        <w:t> </w:t>
      </w:r>
      <w:r>
        <w:rPr/>
        <w:t>for</w:t>
      </w:r>
      <w:r>
        <w:rPr>
          <w:spacing w:val="-30"/>
        </w:rPr>
        <w:t> </w:t>
      </w:r>
      <w:r>
        <w:rPr/>
        <w:t>its</w:t>
      </w:r>
      <w:r>
        <w:rPr>
          <w:spacing w:val="-28"/>
        </w:rPr>
        <w:t> </w:t>
      </w:r>
      <w:r>
        <w:rPr/>
        <w:t>specific</w:t>
      </w:r>
      <w:r>
        <w:rPr>
          <w:spacing w:val="-28"/>
        </w:rPr>
        <w:t> </w:t>
      </w:r>
      <w:r>
        <w:rPr/>
        <w:t>applicability</w:t>
      </w:r>
      <w:r>
        <w:rPr>
          <w:spacing w:val="-29"/>
        </w:rPr>
        <w:t> </w:t>
      </w:r>
      <w:r>
        <w:rPr/>
        <w:t>to</w:t>
      </w:r>
      <w:r>
        <w:rPr>
          <w:spacing w:val="-28"/>
        </w:rPr>
        <w:t> </w:t>
      </w:r>
      <w:r>
        <w:rPr/>
        <w:t>the</w:t>
      </w:r>
      <w:r>
        <w:rPr>
          <w:spacing w:val="-29"/>
        </w:rPr>
        <w:t> </w:t>
      </w:r>
      <w:r>
        <w:rPr/>
        <w:t>subject property.</w:t>
      </w:r>
    </w:p>
    <w:p>
      <w:pPr>
        <w:spacing w:after="0" w:line="321" w:lineRule="auto"/>
        <w:jc w:val="both"/>
        <w:sectPr>
          <w:type w:val="continuous"/>
          <w:pgSz w:w="11910" w:h="16840"/>
          <w:pgMar w:top="800" w:bottom="280" w:left="620" w:right="600"/>
          <w:cols w:num="2" w:equalWidth="0">
            <w:col w:w="1660" w:space="40"/>
            <w:col w:w="8990"/>
          </w:cols>
        </w:sectPr>
      </w:pPr>
    </w:p>
    <w:p>
      <w:pPr>
        <w:pStyle w:val="BodyText"/>
        <w:spacing w:before="7"/>
        <w:rPr>
          <w:sz w:val="9"/>
        </w:rPr>
      </w:pPr>
    </w:p>
    <w:p>
      <w:pPr>
        <w:pStyle w:val="BodyText"/>
        <w:tabs>
          <w:tab w:pos="2075" w:val="left" w:leader="none"/>
        </w:tabs>
        <w:spacing w:line="321" w:lineRule="auto" w:before="106"/>
        <w:ind w:left="2075" w:right="142" w:hanging="1347"/>
      </w:pPr>
      <w:r>
        <w:rPr>
          <w:w w:val="95"/>
        </w:rPr>
        <w:t>Restrictions:</w:t>
        <w:tab/>
      </w:r>
      <w:r>
        <w:rPr/>
        <w:t>As</w:t>
      </w:r>
      <w:r>
        <w:rPr>
          <w:spacing w:val="-23"/>
        </w:rPr>
        <w:t> </w:t>
      </w:r>
      <w:r>
        <w:rPr/>
        <w:t>per</w:t>
      </w:r>
      <w:r>
        <w:rPr>
          <w:spacing w:val="-22"/>
        </w:rPr>
        <w:t> </w:t>
      </w:r>
      <w:r>
        <w:rPr/>
        <w:t>feedback</w:t>
      </w:r>
      <w:r>
        <w:rPr>
          <w:spacing w:val="-22"/>
        </w:rPr>
        <w:t> </w:t>
      </w:r>
      <w:r>
        <w:rPr/>
        <w:t>received</w:t>
      </w:r>
      <w:r>
        <w:rPr>
          <w:spacing w:val="-20"/>
        </w:rPr>
        <w:t> </w:t>
      </w:r>
      <w:r>
        <w:rPr/>
        <w:t>from</w:t>
      </w:r>
      <w:r>
        <w:rPr>
          <w:spacing w:val="-22"/>
        </w:rPr>
        <w:t> </w:t>
      </w:r>
      <w:r>
        <w:rPr/>
        <w:t>the</w:t>
      </w:r>
      <w:r>
        <w:rPr>
          <w:spacing w:val="-22"/>
        </w:rPr>
        <w:t> </w:t>
      </w:r>
      <w:r>
        <w:rPr/>
        <w:t>Client,</w:t>
      </w:r>
      <w:r>
        <w:rPr>
          <w:spacing w:val="-22"/>
        </w:rPr>
        <w:t> </w:t>
      </w:r>
      <w:r>
        <w:rPr/>
        <w:t>there</w:t>
      </w:r>
      <w:r>
        <w:rPr>
          <w:spacing w:val="-23"/>
        </w:rPr>
        <w:t> </w:t>
      </w:r>
      <w:r>
        <w:rPr/>
        <w:t>are</w:t>
      </w:r>
      <w:r>
        <w:rPr>
          <w:spacing w:val="-22"/>
        </w:rPr>
        <w:t> </w:t>
      </w:r>
      <w:r>
        <w:rPr/>
        <w:t>no</w:t>
      </w:r>
      <w:r>
        <w:rPr>
          <w:spacing w:val="-22"/>
        </w:rPr>
        <w:t> </w:t>
      </w:r>
      <w:r>
        <w:rPr/>
        <w:t>restrictions</w:t>
      </w:r>
      <w:r>
        <w:rPr>
          <w:spacing w:val="-22"/>
        </w:rPr>
        <w:t> </w:t>
      </w:r>
      <w:r>
        <w:rPr/>
        <w:t>on</w:t>
      </w:r>
      <w:r>
        <w:rPr>
          <w:spacing w:val="-22"/>
        </w:rPr>
        <w:t> </w:t>
      </w:r>
      <w:r>
        <w:rPr/>
        <w:t>the</w:t>
      </w:r>
      <w:r>
        <w:rPr>
          <w:spacing w:val="-22"/>
        </w:rPr>
        <w:t> </w:t>
      </w:r>
      <w:r>
        <w:rPr/>
        <w:t>current</w:t>
      </w:r>
      <w:r>
        <w:rPr>
          <w:spacing w:val="-22"/>
        </w:rPr>
        <w:t> </w:t>
      </w:r>
      <w:r>
        <w:rPr/>
        <w:t>use</w:t>
      </w:r>
      <w:r>
        <w:rPr>
          <w:spacing w:val="-22"/>
        </w:rPr>
        <w:t> </w:t>
      </w:r>
      <w:r>
        <w:rPr/>
        <w:t>of the</w:t>
      </w:r>
      <w:r>
        <w:rPr>
          <w:spacing w:val="-3"/>
        </w:rPr>
        <w:t> </w:t>
      </w:r>
      <w:r>
        <w:rPr/>
        <w:t>property.</w:t>
      </w:r>
    </w:p>
    <w:p>
      <w:pPr>
        <w:spacing w:after="0" w:line="321" w:lineRule="auto"/>
        <w:sectPr>
          <w:pgSz w:w="11910" w:h="16840"/>
          <w:pgMar w:header="720" w:footer="933" w:top="1660" w:bottom="1120" w:left="620" w:right="600"/>
        </w:sectPr>
      </w:pPr>
    </w:p>
    <w:p>
      <w:pPr>
        <w:pStyle w:val="BodyText"/>
        <w:spacing w:line="321" w:lineRule="auto" w:before="122"/>
        <w:ind w:left="765" w:right="-5"/>
      </w:pPr>
      <w:r>
        <w:rPr/>
        <w:t>Natural </w:t>
      </w:r>
      <w:r>
        <w:rPr>
          <w:spacing w:val="-10"/>
        </w:rPr>
        <w:t>or </w:t>
      </w:r>
      <w:r>
        <w:rPr/>
        <w:t>induced hazards:</w:t>
      </w:r>
    </w:p>
    <w:p>
      <w:pPr>
        <w:pStyle w:val="BodyText"/>
        <w:spacing w:before="2"/>
        <w:rPr>
          <w:sz w:val="25"/>
        </w:rPr>
      </w:pPr>
      <w:r>
        <w:rPr/>
        <w:br w:type="column"/>
      </w:r>
      <w:r>
        <w:rPr>
          <w:sz w:val="25"/>
        </w:rPr>
      </w:r>
    </w:p>
    <w:p>
      <w:pPr>
        <w:pStyle w:val="BodyText"/>
        <w:spacing w:line="321" w:lineRule="auto"/>
        <w:ind w:left="276"/>
      </w:pPr>
      <w:r>
        <w:rPr/>
        <w:t>We</w:t>
      </w:r>
      <w:r>
        <w:rPr>
          <w:spacing w:val="-19"/>
        </w:rPr>
        <w:t> </w:t>
      </w:r>
      <w:r>
        <w:rPr/>
        <w:t>are</w:t>
      </w:r>
      <w:r>
        <w:rPr>
          <w:spacing w:val="-19"/>
        </w:rPr>
        <w:t> </w:t>
      </w:r>
      <w:r>
        <w:rPr/>
        <w:t>of</w:t>
      </w:r>
      <w:r>
        <w:rPr>
          <w:spacing w:val="-17"/>
        </w:rPr>
        <w:t> </w:t>
      </w:r>
      <w:r>
        <w:rPr/>
        <w:t>the</w:t>
      </w:r>
      <w:r>
        <w:rPr>
          <w:spacing w:val="-18"/>
        </w:rPr>
        <w:t> </w:t>
      </w:r>
      <w:r>
        <w:rPr/>
        <w:t>opinion</w:t>
      </w:r>
      <w:r>
        <w:rPr>
          <w:spacing w:val="-18"/>
        </w:rPr>
        <w:t> </w:t>
      </w:r>
      <w:r>
        <w:rPr/>
        <w:t>that</w:t>
      </w:r>
      <w:r>
        <w:rPr>
          <w:spacing w:val="-18"/>
        </w:rPr>
        <w:t> </w:t>
      </w:r>
      <w:r>
        <w:rPr/>
        <w:t>the</w:t>
      </w:r>
      <w:r>
        <w:rPr>
          <w:spacing w:val="-19"/>
        </w:rPr>
        <w:t> </w:t>
      </w:r>
      <w:r>
        <w:rPr/>
        <w:t>project/</w:t>
      </w:r>
      <w:r>
        <w:rPr>
          <w:spacing w:val="-18"/>
        </w:rPr>
        <w:t> </w:t>
      </w:r>
      <w:r>
        <w:rPr/>
        <w:t>site</w:t>
      </w:r>
      <w:r>
        <w:rPr>
          <w:spacing w:val="-19"/>
        </w:rPr>
        <w:t> </w:t>
      </w:r>
      <w:r>
        <w:rPr/>
        <w:t>has</w:t>
      </w:r>
      <w:r>
        <w:rPr>
          <w:spacing w:val="-17"/>
        </w:rPr>
        <w:t> </w:t>
      </w:r>
      <w:r>
        <w:rPr/>
        <w:t>been</w:t>
      </w:r>
      <w:r>
        <w:rPr>
          <w:spacing w:val="-18"/>
        </w:rPr>
        <w:t> </w:t>
      </w:r>
      <w:r>
        <w:rPr/>
        <w:t>developed</w:t>
      </w:r>
      <w:r>
        <w:rPr>
          <w:spacing w:val="-18"/>
        </w:rPr>
        <w:t> </w:t>
      </w:r>
      <w:r>
        <w:rPr/>
        <w:t>to</w:t>
      </w:r>
      <w:r>
        <w:rPr>
          <w:spacing w:val="-19"/>
        </w:rPr>
        <w:t> </w:t>
      </w:r>
      <w:r>
        <w:rPr/>
        <w:t>withstand</w:t>
      </w:r>
      <w:r>
        <w:rPr>
          <w:spacing w:val="-18"/>
        </w:rPr>
        <w:t> </w:t>
      </w:r>
      <w:r>
        <w:rPr/>
        <w:t>natural</w:t>
      </w:r>
      <w:r>
        <w:rPr>
          <w:spacing w:val="-18"/>
        </w:rPr>
        <w:t> </w:t>
      </w:r>
      <w:r>
        <w:rPr/>
        <w:t>or induced</w:t>
      </w:r>
      <w:r>
        <w:rPr>
          <w:spacing w:val="-16"/>
        </w:rPr>
        <w:t> </w:t>
      </w:r>
      <w:r>
        <w:rPr/>
        <w:t>hazards</w:t>
      </w:r>
      <w:r>
        <w:rPr>
          <w:spacing w:val="-16"/>
        </w:rPr>
        <w:t> </w:t>
      </w:r>
      <w:r>
        <w:rPr/>
        <w:t>(with</w:t>
      </w:r>
      <w:r>
        <w:rPr>
          <w:spacing w:val="-18"/>
        </w:rPr>
        <w:t> </w:t>
      </w:r>
      <w:r>
        <w:rPr/>
        <w:t>the</w:t>
      </w:r>
      <w:r>
        <w:rPr>
          <w:spacing w:val="-19"/>
        </w:rPr>
        <w:t> </w:t>
      </w:r>
      <w:r>
        <w:rPr/>
        <w:t>exception</w:t>
      </w:r>
      <w:r>
        <w:rPr>
          <w:spacing w:val="-17"/>
        </w:rPr>
        <w:t> </w:t>
      </w:r>
      <w:r>
        <w:rPr/>
        <w:t>of</w:t>
      </w:r>
      <w:r>
        <w:rPr>
          <w:spacing w:val="-16"/>
        </w:rPr>
        <w:t> </w:t>
      </w:r>
      <w:r>
        <w:rPr/>
        <w:t>extreme/</w:t>
      </w:r>
      <w:r>
        <w:rPr>
          <w:spacing w:val="-18"/>
        </w:rPr>
        <w:t> </w:t>
      </w:r>
      <w:r>
        <w:rPr/>
        <w:t>out</w:t>
      </w:r>
      <w:r>
        <w:rPr>
          <w:spacing w:val="-17"/>
        </w:rPr>
        <w:t> </w:t>
      </w:r>
      <w:r>
        <w:rPr/>
        <w:t>of</w:t>
      </w:r>
      <w:r>
        <w:rPr>
          <w:spacing w:val="-16"/>
        </w:rPr>
        <w:t> </w:t>
      </w:r>
      <w:r>
        <w:rPr/>
        <w:t>the</w:t>
      </w:r>
      <w:r>
        <w:rPr>
          <w:spacing w:val="-17"/>
        </w:rPr>
        <w:t> </w:t>
      </w:r>
      <w:r>
        <w:rPr/>
        <w:t>ordinary</w:t>
      </w:r>
      <w:r>
        <w:rPr>
          <w:spacing w:val="-16"/>
        </w:rPr>
        <w:t> </w:t>
      </w:r>
      <w:r>
        <w:rPr/>
        <w:t>hazards).</w:t>
      </w:r>
    </w:p>
    <w:p>
      <w:pPr>
        <w:spacing w:after="0" w:line="321" w:lineRule="auto"/>
        <w:sectPr>
          <w:type w:val="continuous"/>
          <w:pgSz w:w="11910" w:h="16840"/>
          <w:pgMar w:top="800" w:bottom="280" w:left="620" w:right="600"/>
          <w:cols w:num="2" w:equalWidth="0">
            <w:col w:w="1760" w:space="40"/>
            <w:col w:w="8890"/>
          </w:cols>
        </w:sectPr>
      </w:pPr>
    </w:p>
    <w:p>
      <w:pPr>
        <w:pStyle w:val="BodyText"/>
        <w:spacing w:before="10"/>
        <w:rPr>
          <w:sz w:val="21"/>
        </w:rPr>
      </w:pPr>
    </w:p>
    <w:p>
      <w:pPr>
        <w:pStyle w:val="ListParagraph"/>
        <w:numPr>
          <w:ilvl w:val="2"/>
          <w:numId w:val="14"/>
        </w:numPr>
        <w:tabs>
          <w:tab w:pos="821" w:val="left" w:leader="none"/>
        </w:tabs>
        <w:spacing w:line="240" w:lineRule="auto" w:before="107" w:after="0"/>
        <w:ind w:left="820" w:right="0" w:hanging="721"/>
        <w:jc w:val="left"/>
        <w:rPr>
          <w:sz w:val="22"/>
        </w:rPr>
      </w:pPr>
      <w:bookmarkStart w:name="_bookmark161" w:id="314"/>
      <w:bookmarkEnd w:id="314"/>
      <w:r>
        <w:rPr>
          <w:color w:val="1F664D"/>
          <w:sz w:val="22"/>
        </w:rPr>
        <w:t>S</w:t>
      </w:r>
      <w:r>
        <w:rPr>
          <w:color w:val="1F664D"/>
          <w:sz w:val="22"/>
        </w:rPr>
        <w:t>tatutory Approvals, One Time Sanctions &amp; Periodic</w:t>
      </w:r>
      <w:r>
        <w:rPr>
          <w:color w:val="1F664D"/>
          <w:spacing w:val="1"/>
          <w:sz w:val="22"/>
        </w:rPr>
        <w:t> </w:t>
      </w:r>
      <w:r>
        <w:rPr>
          <w:color w:val="1F664D"/>
          <w:sz w:val="22"/>
        </w:rPr>
        <w:t>Clearances</w:t>
      </w:r>
    </w:p>
    <w:p>
      <w:pPr>
        <w:pStyle w:val="BodyText"/>
        <w:spacing w:before="207"/>
        <w:ind w:left="666"/>
      </w:pPr>
      <w:r>
        <w:rPr/>
        <w:t>Please refer section 18.3 on Statutory Approvals, One time Sanctions &amp; Periodic Clearances</w:t>
      </w:r>
    </w:p>
    <w:p>
      <w:pPr>
        <w:spacing w:after="0"/>
        <w:sectPr>
          <w:type w:val="continuous"/>
          <w:pgSz w:w="11910" w:h="16840"/>
          <w:pgMar w:top="800" w:bottom="280" w:left="620" w:right="600"/>
        </w:sectPr>
      </w:pPr>
    </w:p>
    <w:p>
      <w:pPr>
        <w:spacing w:before="75"/>
        <w:ind w:left="211" w:right="0" w:firstLine="0"/>
        <w:jc w:val="left"/>
        <w:rPr>
          <w:sz w:val="20"/>
        </w:rPr>
      </w:pPr>
      <w:r>
        <w:rPr/>
        <w:drawing>
          <wp:anchor distT="0" distB="0" distL="0" distR="0" allowOverlap="1" layoutInCell="1" locked="0" behindDoc="0" simplePos="0" relativeHeight="670">
            <wp:simplePos x="0" y="0"/>
            <wp:positionH relativeFrom="page">
              <wp:posOffset>832485</wp:posOffset>
            </wp:positionH>
            <wp:positionV relativeFrom="paragraph">
              <wp:posOffset>283078</wp:posOffset>
            </wp:positionV>
            <wp:extent cx="9725902" cy="79248"/>
            <wp:effectExtent l="0" t="0" r="0" b="0"/>
            <wp:wrapTopAndBottom/>
            <wp:docPr id="169" name="image78.png"/>
            <wp:cNvGraphicFramePr>
              <a:graphicFrameLocks noChangeAspect="1"/>
            </wp:cNvGraphicFramePr>
            <a:graphic>
              <a:graphicData uri="http://schemas.openxmlformats.org/drawingml/2006/picture">
                <pic:pic>
                  <pic:nvPicPr>
                    <pic:cNvPr id="170" name="image78.png"/>
                    <pic:cNvPicPr/>
                  </pic:nvPicPr>
                  <pic:blipFill>
                    <a:blip r:embed="rId106" cstate="print"/>
                    <a:stretch>
                      <a:fillRect/>
                    </a:stretch>
                  </pic:blipFill>
                  <pic:spPr>
                    <a:xfrm>
                      <a:off x="0" y="0"/>
                      <a:ext cx="9725902" cy="79248"/>
                    </a:xfrm>
                    <a:prstGeom prst="rect">
                      <a:avLst/>
                    </a:prstGeom>
                  </pic:spPr>
                </pic:pic>
              </a:graphicData>
            </a:graphic>
          </wp:anchor>
        </w:drawing>
      </w:r>
      <w:r>
        <w:rPr/>
        <w:drawing>
          <wp:anchor distT="0" distB="0" distL="0" distR="0" allowOverlap="1" layoutInCell="1" locked="0" behindDoc="0" simplePos="0" relativeHeight="16076288">
            <wp:simplePos x="0" y="0"/>
            <wp:positionH relativeFrom="page">
              <wp:posOffset>7687944</wp:posOffset>
            </wp:positionH>
            <wp:positionV relativeFrom="page">
              <wp:posOffset>7042251</wp:posOffset>
            </wp:positionV>
            <wp:extent cx="1079500" cy="300457"/>
            <wp:effectExtent l="0" t="0" r="0" b="0"/>
            <wp:wrapNone/>
            <wp:docPr id="171" name="image3.jpeg"/>
            <wp:cNvGraphicFramePr>
              <a:graphicFrameLocks noChangeAspect="1"/>
            </wp:cNvGraphicFramePr>
            <a:graphic>
              <a:graphicData uri="http://schemas.openxmlformats.org/drawingml/2006/picture">
                <pic:pic>
                  <pic:nvPicPr>
                    <pic:cNvPr id="172"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6076800">
            <wp:simplePos x="0" y="0"/>
            <wp:positionH relativeFrom="page">
              <wp:posOffset>8856527</wp:posOffset>
            </wp:positionH>
            <wp:positionV relativeFrom="page">
              <wp:posOffset>6908605</wp:posOffset>
            </wp:positionV>
            <wp:extent cx="909288" cy="433873"/>
            <wp:effectExtent l="0" t="0" r="0" b="0"/>
            <wp:wrapNone/>
            <wp:docPr id="173" name="image4.png"/>
            <wp:cNvGraphicFramePr>
              <a:graphicFrameLocks noChangeAspect="1"/>
            </wp:cNvGraphicFramePr>
            <a:graphic>
              <a:graphicData uri="http://schemas.openxmlformats.org/drawingml/2006/picture">
                <pic:pic>
                  <pic:nvPicPr>
                    <pic:cNvPr id="174"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ListParagraph"/>
        <w:numPr>
          <w:ilvl w:val="2"/>
          <w:numId w:val="14"/>
        </w:numPr>
        <w:tabs>
          <w:tab w:pos="932" w:val="left" w:leader="none"/>
        </w:tabs>
        <w:spacing w:line="240" w:lineRule="auto" w:before="196" w:after="0"/>
        <w:ind w:left="931" w:right="0" w:hanging="721"/>
        <w:jc w:val="left"/>
        <w:rPr>
          <w:sz w:val="22"/>
        </w:rPr>
      </w:pPr>
      <w:bookmarkStart w:name="_bookmark162" w:id="315"/>
      <w:bookmarkEnd w:id="315"/>
      <w:r>
        <w:rPr/>
      </w:r>
      <w:bookmarkStart w:name="_bookmark162" w:id="316"/>
      <w:bookmarkEnd w:id="316"/>
      <w:r>
        <w:rPr>
          <w:color w:val="1F664D"/>
          <w:sz w:val="22"/>
        </w:rPr>
        <w:t>Are</w:t>
      </w:r>
      <w:r>
        <w:rPr>
          <w:color w:val="1F664D"/>
          <w:sz w:val="22"/>
        </w:rPr>
        <w:t>a Details, Type and Age of Existing</w:t>
      </w:r>
      <w:r>
        <w:rPr>
          <w:color w:val="1F664D"/>
          <w:spacing w:val="-7"/>
          <w:sz w:val="22"/>
        </w:rPr>
        <w:t> </w:t>
      </w:r>
      <w:r>
        <w:rPr>
          <w:color w:val="1F664D"/>
          <w:sz w:val="22"/>
        </w:rPr>
        <w:t>Structures</w:t>
      </w:r>
    </w:p>
    <w:p>
      <w:pPr>
        <w:pStyle w:val="BodyText"/>
        <w:spacing w:before="208"/>
        <w:ind w:left="751"/>
      </w:pPr>
      <w:r>
        <w:rPr/>
        <w:t>The table below highlights the detailed area break-up of the subject development:</w:t>
      </w:r>
    </w:p>
    <w:p>
      <w:pPr>
        <w:pStyle w:val="BodyText"/>
        <w:spacing w:before="10"/>
        <w:rPr>
          <w:sz w:val="13"/>
        </w:rPr>
      </w:pPr>
      <w:r>
        <w:rPr/>
        <w:pict>
          <v:group style="position:absolute;margin-left:70.559998pt;margin-top:10.035078pt;width:676.95pt;height:23.9pt;mso-position-horizontal-relative:page;mso-position-vertical-relative:paragraph;z-index:-15382016;mso-wrap-distance-left:0;mso-wrap-distance-right:0" coordorigin="1411,201" coordsize="13539,478">
            <v:shape style="position:absolute;left:1411;top:231;width:13539;height:432" coordorigin="1411,232" coordsize="13539,432" path="m6169,232l4016,232,1411,232,1411,664,4016,664,6169,664,6169,232xm12635,232l10319,232,8375,232,6169,232,6169,664,8375,664,10319,664,12635,664,12635,232xm14950,232l12636,232,12636,664,14950,664,14950,232xe" filled="true" fillcolor="#006a4d" stroked="false">
              <v:path arrowok="t"/>
              <v:fill type="solid"/>
            </v:shape>
            <v:rect style="position:absolute;left:1411;top:200;width:2605;height:29" filled="true" fillcolor="#1f6b16" stroked="false">
              <v:fill type="solid"/>
            </v:rect>
            <v:shape style="position:absolute;left:1411;top:229;width:2634;height:3" coordorigin="1411,230" coordsize="2634,3" path="m4044,230l4016,230,1411,230,1411,232,4016,232,4044,232,4044,230xe" filled="true" fillcolor="#006a4d" stroked="false">
              <v:path arrowok="t"/>
              <v:fill type="solid"/>
            </v:shape>
            <v:shape style="position:absolute;left:4015;top:200;width:2154;height:29" coordorigin="4016,201" coordsize="2154,29" path="m6169,201l4044,201,4016,201,4016,230,4044,230,6169,230,6169,201xe" filled="true" fillcolor="#1f6b16" stroked="false">
              <v:path arrowok="t"/>
              <v:fill type="solid"/>
            </v:shape>
            <v:shape style="position:absolute;left:4044;top:229;width:2154;height:3" coordorigin="4044,230" coordsize="2154,3" path="m6169,230l4044,230,4044,232,6169,232,6169,230xm6198,230l6169,230,6169,232,6198,232,6198,230xe" filled="true" fillcolor="#006a4d" stroked="false">
              <v:path arrowok="t"/>
              <v:fill type="solid"/>
            </v:shape>
            <v:shape style="position:absolute;left:6169;top:200;width:2206;height:29" coordorigin="6169,201" coordsize="2206,29" path="m8375,201l6198,201,6169,201,6169,230,6198,230,8375,230,8375,201xe" filled="true" fillcolor="#1f6b16" stroked="false">
              <v:path arrowok="t"/>
              <v:fill type="solid"/>
            </v:shape>
            <v:shape style="position:absolute;left:6197;top:229;width:2206;height:3" coordorigin="6198,230" coordsize="2206,3" path="m8404,230l8375,230,6198,230,6198,232,8375,232,8404,232,8404,230xe" filled="true" fillcolor="#006a4d" stroked="false">
              <v:path arrowok="t"/>
              <v:fill type="solid"/>
            </v:shape>
            <v:shape style="position:absolute;left:8375;top:200;width:1944;height:29" coordorigin="8375,201" coordsize="1944,29" path="m10319,201l8404,201,8375,201,8375,230,8404,230,10319,230,10319,201xe" filled="true" fillcolor="#1f6b16" stroked="false">
              <v:path arrowok="t"/>
              <v:fill type="solid"/>
            </v:shape>
            <v:shape style="position:absolute;left:8403;top:229;width:1944;height:3" coordorigin="8404,230" coordsize="1944,3" path="m10348,230l10319,230,8404,230,8404,232,10319,232,10348,232,10348,230xe" filled="true" fillcolor="#006a4d" stroked="false">
              <v:path arrowok="t"/>
              <v:fill type="solid"/>
            </v:shape>
            <v:shape style="position:absolute;left:10319;top:200;width:2317;height:29" coordorigin="10319,201" coordsize="2317,29" path="m12635,201l10348,201,10319,201,10319,230,10348,230,12635,230,12635,201xe" filled="true" fillcolor="#1f6b16" stroked="false">
              <v:path arrowok="t"/>
              <v:fill type="solid"/>
            </v:shape>
            <v:shape style="position:absolute;left:10347;top:229;width:2317;height:3" coordorigin="10348,230" coordsize="2317,3" path="m12635,230l10348,230,10348,232,12635,232,12635,230xm12664,230l12636,230,12636,232,12664,232,12664,230xe" filled="true" fillcolor="#006a4d" stroked="false">
              <v:path arrowok="t"/>
              <v:fill type="solid"/>
            </v:shape>
            <v:shape style="position:absolute;left:12635;top:200;width:2314;height:29" coordorigin="12636,201" coordsize="2314,29" path="m14950,201l12664,201,12636,201,12636,230,12664,230,14950,230,14950,201xe" filled="true" fillcolor="#1f6b16" stroked="false">
              <v:path arrowok="t"/>
              <v:fill type="solid"/>
            </v:shape>
            <v:rect style="position:absolute;left:12664;top:229;width:2286;height:3" filled="true" fillcolor="#006a4d" stroked="false">
              <v:fill type="solid"/>
            </v:rect>
            <v:shape style="position:absolute;left:1411;top:663;width:13539;height:15" coordorigin="1411,664" coordsize="13539,15" path="m6169,664l4030,664,4016,664,1411,664,1411,678,4016,678,4030,678,6169,678,6169,664xm12635,664l10333,664,10319,664,8389,664,8375,664,8375,664,6445,664,6431,664,6183,664,6169,664,6169,678,6183,678,6431,678,6445,678,8375,678,8375,678,8389,678,10319,678,10333,678,12635,678,12635,664xm14950,664l12650,664,12636,664,12636,678,12650,678,14950,678,14950,664xe" filled="true" fillcolor="#69bd28" stroked="false">
              <v:path arrowok="t"/>
              <v:fill type="solid"/>
            </v:shape>
            <v:shape style="position:absolute;left:1805;top:339;width:1838;height:216" type="#_x0000_t202" filled="false" stroked="false">
              <v:textbox inset="0,0,0,0">
                <w:txbxContent>
                  <w:p>
                    <w:pPr>
                      <w:spacing w:before="4"/>
                      <w:ind w:left="0" w:right="0" w:firstLine="0"/>
                      <w:jc w:val="left"/>
                      <w:rPr>
                        <w:b/>
                        <w:sz w:val="18"/>
                      </w:rPr>
                    </w:pPr>
                    <w:r>
                      <w:rPr>
                        <w:b/>
                        <w:color w:val="FFFFFF"/>
                        <w:w w:val="110"/>
                        <w:sz w:val="18"/>
                      </w:rPr>
                      <w:t>Development Name</w:t>
                    </w:r>
                  </w:p>
                </w:txbxContent>
              </v:textbox>
              <w10:wrap type="none"/>
            </v:shape>
            <v:shape style="position:absolute;left:4267;top:231;width:1667;height:432" type="#_x0000_t202" filled="false" stroked="false">
              <v:textbox inset="0,0,0,0">
                <w:txbxContent>
                  <w:p>
                    <w:pPr>
                      <w:spacing w:line="247" w:lineRule="auto" w:before="4"/>
                      <w:ind w:left="674" w:right="0" w:hanging="675"/>
                      <w:jc w:val="left"/>
                      <w:rPr>
                        <w:b/>
                        <w:sz w:val="18"/>
                      </w:rPr>
                    </w:pPr>
                    <w:r>
                      <w:rPr>
                        <w:b/>
                        <w:color w:val="FFFFFF"/>
                        <w:w w:val="110"/>
                        <w:sz w:val="18"/>
                      </w:rPr>
                      <w:t>Developable Area (Sf)</w:t>
                    </w:r>
                  </w:p>
                </w:txbxContent>
              </v:textbox>
              <w10:wrap type="none"/>
            </v:shape>
            <v:shape style="position:absolute;left:6363;top:231;width:1837;height:432" type="#_x0000_t202" filled="false" stroked="false">
              <v:textbox inset="0,0,0,0">
                <w:txbxContent>
                  <w:p>
                    <w:pPr>
                      <w:spacing w:line="247" w:lineRule="auto" w:before="4"/>
                      <w:ind w:left="760" w:right="-13" w:hanging="761"/>
                      <w:jc w:val="left"/>
                      <w:rPr>
                        <w:b/>
                        <w:sz w:val="18"/>
                      </w:rPr>
                    </w:pPr>
                    <w:r>
                      <w:rPr>
                        <w:b/>
                        <w:color w:val="FFFFFF"/>
                        <w:w w:val="110"/>
                        <w:sz w:val="18"/>
                      </w:rPr>
                      <w:t>Total Leasable Area (Sf)</w:t>
                    </w:r>
                  </w:p>
                </w:txbxContent>
              </v:textbox>
              <w10:wrap type="none"/>
            </v:shape>
            <v:shape style="position:absolute;left:8514;top:231;width:1688;height:432" type="#_x0000_t202" filled="false" stroked="false">
              <v:textbox inset="0,0,0,0">
                <w:txbxContent>
                  <w:p>
                    <w:pPr>
                      <w:spacing w:line="247" w:lineRule="auto" w:before="4"/>
                      <w:ind w:left="0" w:right="-8" w:firstLine="345"/>
                      <w:jc w:val="left"/>
                      <w:rPr>
                        <w:b/>
                        <w:sz w:val="18"/>
                      </w:rPr>
                    </w:pPr>
                    <w:r>
                      <w:rPr>
                        <w:b/>
                        <w:color w:val="FFFFFF"/>
                        <w:w w:val="110"/>
                        <w:sz w:val="18"/>
                      </w:rPr>
                      <w:t>Completed Leasable Area (Sf)</w:t>
                    </w:r>
                  </w:p>
                </w:txbxContent>
              </v:textbox>
              <w10:wrap type="none"/>
            </v:shape>
            <v:shape style="position:absolute;left:10561;top:339;width:1852;height:216" type="#_x0000_t202" filled="false" stroked="false">
              <v:textbox inset="0,0,0,0">
                <w:txbxContent>
                  <w:p>
                    <w:pPr>
                      <w:spacing w:before="4"/>
                      <w:ind w:left="0" w:right="0" w:firstLine="0"/>
                      <w:jc w:val="left"/>
                      <w:rPr>
                        <w:b/>
                        <w:sz w:val="18"/>
                      </w:rPr>
                    </w:pPr>
                    <w:r>
                      <w:rPr>
                        <w:b/>
                        <w:color w:val="FFFFFF"/>
                        <w:w w:val="105"/>
                        <w:sz w:val="18"/>
                      </w:rPr>
                      <w:t>Committed Area (Sf)</w:t>
                    </w:r>
                  </w:p>
                </w:txbxContent>
              </v:textbox>
              <w10:wrap type="none"/>
            </v:shape>
            <v:shape style="position:absolute;left:12950;top:339;width:1710;height:216" type="#_x0000_t202" filled="false" stroked="false">
              <v:textbox inset="0,0,0,0">
                <w:txbxContent>
                  <w:p>
                    <w:pPr>
                      <w:spacing w:before="4"/>
                      <w:ind w:left="0" w:right="0" w:firstLine="0"/>
                      <w:jc w:val="left"/>
                      <w:rPr>
                        <w:b/>
                        <w:sz w:val="18"/>
                      </w:rPr>
                    </w:pPr>
                    <w:r>
                      <w:rPr>
                        <w:b/>
                        <w:color w:val="FFFFFF"/>
                        <w:w w:val="105"/>
                        <w:sz w:val="18"/>
                      </w:rPr>
                      <w:t>Occupied Area (Sf)</w:t>
                    </w:r>
                  </w:p>
                </w:txbxContent>
              </v:textbox>
              <w10:wrap type="none"/>
            </v:shape>
            <w10:wrap type="topAndBottom"/>
          </v:group>
        </w:pict>
      </w:r>
    </w:p>
    <w:p>
      <w:pPr>
        <w:tabs>
          <w:tab w:pos="3597" w:val="left" w:leader="none"/>
          <w:tab w:pos="5777" w:val="left" w:leader="none"/>
          <w:tab w:pos="7722" w:val="left" w:leader="none"/>
          <w:tab w:pos="9850" w:val="left" w:leader="none"/>
          <w:tab w:pos="12167" w:val="left" w:leader="none"/>
        </w:tabs>
        <w:spacing w:line="203" w:lineRule="exact" w:before="0" w:after="25"/>
        <w:ind w:left="766" w:right="0" w:firstLine="0"/>
        <w:jc w:val="left"/>
        <w:rPr>
          <w:sz w:val="18"/>
        </w:rPr>
      </w:pPr>
      <w:r>
        <w:rPr>
          <w:w w:val="105"/>
          <w:sz w:val="18"/>
        </w:rPr>
        <w:t>Embassy</w:t>
      </w:r>
      <w:r>
        <w:rPr>
          <w:spacing w:val="-37"/>
          <w:w w:val="105"/>
          <w:sz w:val="18"/>
        </w:rPr>
        <w:t> </w:t>
      </w:r>
      <w:r>
        <w:rPr>
          <w:w w:val="105"/>
          <w:sz w:val="18"/>
        </w:rPr>
        <w:t>TechZone</w:t>
        <w:tab/>
        <w:t>9,484,366</w:t>
        <w:tab/>
        <w:t>5,472,946</w:t>
        <w:tab/>
        <w:t>2,160,055</w:t>
        <w:tab/>
        <w:t>2,028,651</w:t>
        <w:tab/>
        <w:t>2,028,651</w:t>
      </w:r>
    </w:p>
    <w:p>
      <w:pPr>
        <w:pStyle w:val="BodyText"/>
        <w:spacing w:line="20" w:lineRule="exact"/>
        <w:ind w:left="196"/>
        <w:rPr>
          <w:sz w:val="2"/>
        </w:rPr>
      </w:pPr>
      <w:r>
        <w:rPr>
          <w:sz w:val="2"/>
        </w:rPr>
        <w:pict>
          <v:group style="width:677.65pt;height:.75pt;mso-position-horizontal-relative:char;mso-position-vertical-relative:line" coordorigin="0,0" coordsize="13553,15">
            <v:shape style="position:absolute;left:0;top:0;width:13553;height:15" coordorigin="0,0" coordsize="13553,15" path="m11239,0l11239,0,11224,0,8922,0,8908,0,6978,0,6978,0,6964,0,5034,0,5034,0,5019,0,2619,0,2604,0,0,0,0,14,2604,14,2619,14,5019,14,5034,14,5034,14,6964,14,6978,14,6978,14,8908,14,8922,14,11224,14,11239,14,11239,14,11239,0xm13553,0l11239,0,11239,14,13553,14,13553,0xe" filled="true" fillcolor="#69bd28" stroked="false">
              <v:path arrowok="t"/>
              <v:fill type="solid"/>
            </v:shape>
          </v:group>
        </w:pict>
      </w:r>
      <w:r>
        <w:rPr>
          <w:sz w:val="2"/>
        </w:rPr>
      </w:r>
    </w:p>
    <w:p>
      <w:pPr>
        <w:spacing w:before="0"/>
        <w:ind w:left="751" w:right="0" w:firstLine="0"/>
        <w:jc w:val="left"/>
        <w:rPr>
          <w:i/>
          <w:sz w:val="18"/>
        </w:rPr>
      </w:pPr>
      <w:r>
        <w:rPr/>
        <w:pict>
          <v:group style="position:absolute;margin-left:70.559998pt;margin-top:19.730669pt;width:676.95pt;height:35.4pt;mso-position-horizontal-relative:page;mso-position-vertical-relative:paragraph;z-index:-34550784" coordorigin="1411,395" coordsize="13539,708">
            <v:shape style="position:absolute;left:1411;top:425;width:13539;height:432" coordorigin="1411,426" coordsize="13539,432" path="m7081,426l4512,426,1411,426,1411,858,4512,858,7081,858,7081,426xm11978,426l9724,426,7081,426,7081,858,9724,858,11978,858,11978,426xm14950,426l11978,426,11978,858,14950,858,14950,426xe" filled="true" fillcolor="#006a4d" stroked="false">
              <v:path arrowok="t"/>
              <v:fill type="solid"/>
            </v:shape>
            <v:rect style="position:absolute;left:1411;top:394;width:3104;height:29" filled="true" fillcolor="#1f6b16" stroked="false">
              <v:fill type="solid"/>
            </v:rect>
            <v:shape style="position:absolute;left:1411;top:423;width:3133;height:3" coordorigin="1411,423" coordsize="3133,3" path="m4544,423l4515,423,1411,423,1411,426,4515,426,4544,426,4544,423xe" filled="true" fillcolor="#006a4d" stroked="false">
              <v:path arrowok="t"/>
              <v:fill type="solid"/>
            </v:shape>
            <v:shape style="position:absolute;left:4514;top:394;width:2566;height:29" coordorigin="4515,395" coordsize="2566,29" path="m7081,395l4544,395,4515,395,4515,423,4544,423,7081,423,7081,395xe" filled="true" fillcolor="#1f6b16" stroked="false">
              <v:path arrowok="t"/>
              <v:fill type="solid"/>
            </v:shape>
            <v:shape style="position:absolute;left:4543;top:423;width:2567;height:3" coordorigin="4544,423" coordsize="2567,3" path="m7081,423l4544,423,4544,426,7081,426,7081,423xm7110,423l7081,423,7081,426,7110,426,7110,423xe" filled="true" fillcolor="#006a4d" stroked="false">
              <v:path arrowok="t"/>
              <v:fill type="solid"/>
            </v:shape>
            <v:shape style="position:absolute;left:7081;top:394;width:2643;height:29" coordorigin="7081,395" coordsize="2643,29" path="m9724,395l7110,395,7081,395,7081,423,7110,423,9724,423,9724,395xe" filled="true" fillcolor="#1f6b16" stroked="false">
              <v:path arrowok="t"/>
              <v:fill type="solid"/>
            </v:shape>
            <v:shape style="position:absolute;left:7109;top:423;width:2643;height:3" coordorigin="7110,423" coordsize="2643,3" path="m9753,423l9724,423,7110,423,7110,426,9724,426,9753,426,9753,423xe" filled="true" fillcolor="#006a4d" stroked="false">
              <v:path arrowok="t"/>
              <v:fill type="solid"/>
            </v:shape>
            <v:shape style="position:absolute;left:9723;top:394;width:2254;height:29" coordorigin="9724,395" coordsize="2254,29" path="m11978,395l9753,395,9724,395,9724,423,9753,423,11978,423,11978,395xe" filled="true" fillcolor="#1f6b16" stroked="false">
              <v:path arrowok="t"/>
              <v:fill type="solid"/>
            </v:shape>
            <v:shape style="position:absolute;left:9752;top:423;width:2255;height:3" coordorigin="9753,423" coordsize="2255,3" path="m11978,423l9753,423,9753,426,11978,426,11978,423xm12007,423l11978,423,11978,426,12007,426,12007,423xe" filled="true" fillcolor="#006a4d" stroked="false">
              <v:path arrowok="t"/>
              <v:fill type="solid"/>
            </v:shape>
            <v:shape style="position:absolute;left:11978;top:394;width:2972;height:29" coordorigin="11978,395" coordsize="2972,29" path="m14950,395l12007,395,11978,395,11978,423,12007,423,14950,423,14950,395xe" filled="true" fillcolor="#1f6b16" stroked="false">
              <v:path arrowok="t"/>
              <v:fill type="solid"/>
            </v:shape>
            <v:rect style="position:absolute;left:12006;top:423;width:2943;height:3" filled="true" fillcolor="#006a4d" stroked="false">
              <v:fill type="solid"/>
            </v:rect>
            <v:shape style="position:absolute;left:1411;top:857;width:13539;height:245" coordorigin="1411,858" coordsize="13539,245" path="m14950,858l11992,858,11978,858,11978,872,11978,872,11978,858,9738,858,9724,858,9724,872,9724,858,7095,858,7081,858,7081,872,7081,872,7081,858,4529,858,4515,858,1411,858,1411,872,1411,1088,1411,1103,4515,1103,4529,1103,7398,1103,7398,1088,7398,1088,7398,1103,7412,1103,9724,1103,9738,1103,11978,1103,11978,1088,11978,1088,11978,1103,11992,1103,14950,1103,14950,1088,14950,872,14950,858xe" filled="true" fillcolor="#69bd28" stroked="false">
              <v:path arrowok="t"/>
              <v:fill type="solid"/>
            </v:shape>
            <w10:wrap type="none"/>
          </v:group>
        </w:pict>
      </w:r>
      <w:r>
        <w:rPr>
          <w:i/>
          <w:sz w:val="18"/>
        </w:rPr>
        <w:t>Source: Rent roll, lease deeds, Architect Certificate provided by Client</w:t>
      </w:r>
    </w:p>
    <w:p>
      <w:pPr>
        <w:pStyle w:val="BodyText"/>
        <w:spacing w:before="2"/>
        <w:rPr>
          <w:i/>
          <w:sz w:val="17"/>
        </w:rPr>
      </w:pPr>
    </w:p>
    <w:tbl>
      <w:tblPr>
        <w:tblW w:w="0" w:type="auto"/>
        <w:jc w:val="left"/>
        <w:tblInd w:w="2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09"/>
        <w:gridCol w:w="2500"/>
        <w:gridCol w:w="2981"/>
        <w:gridCol w:w="2118"/>
        <w:gridCol w:w="2941"/>
      </w:tblGrid>
      <w:tr>
        <w:trPr>
          <w:trHeight w:val="693" w:hRule="atLeast"/>
        </w:trPr>
        <w:tc>
          <w:tcPr>
            <w:tcW w:w="13549" w:type="dxa"/>
            <w:gridSpan w:val="5"/>
          </w:tcPr>
          <w:p>
            <w:pPr>
              <w:pStyle w:val="TableParagraph"/>
              <w:tabs>
                <w:tab w:pos="3572" w:val="left" w:leader="none"/>
                <w:tab w:pos="6401" w:val="left" w:leader="none"/>
                <w:tab w:pos="8929" w:val="left" w:leader="none"/>
                <w:tab w:pos="11243" w:val="left" w:leader="none"/>
              </w:tabs>
              <w:spacing w:line="124" w:lineRule="auto" w:before="99"/>
              <w:ind w:left="1289" w:right="654" w:firstLine="31"/>
              <w:jc w:val="left"/>
              <w:rPr>
                <w:b/>
                <w:sz w:val="18"/>
              </w:rPr>
            </w:pPr>
            <w:r>
              <w:rPr>
                <w:b/>
                <w:color w:val="FFFFFF"/>
                <w:w w:val="115"/>
                <w:position w:val="11"/>
                <w:sz w:val="18"/>
              </w:rPr>
              <w:t>Block</w:t>
              <w:tab/>
            </w:r>
            <w:r>
              <w:rPr>
                <w:b/>
                <w:color w:val="FFFFFF"/>
                <w:w w:val="115"/>
                <w:sz w:val="18"/>
              </w:rPr>
              <w:t>Building</w:t>
            </w:r>
            <w:r>
              <w:rPr>
                <w:b/>
                <w:color w:val="FFFFFF"/>
                <w:spacing w:val="-28"/>
                <w:w w:val="115"/>
                <w:sz w:val="18"/>
              </w:rPr>
              <w:t> </w:t>
            </w:r>
            <w:r>
              <w:rPr>
                <w:b/>
                <w:color w:val="FFFFFF"/>
                <w:w w:val="115"/>
                <w:sz w:val="18"/>
              </w:rPr>
              <w:t>Elevation</w:t>
              <w:tab/>
              <w:t>SEZ/Non-SEZ</w:t>
              <w:tab/>
              <w:t>Age</w:t>
            </w:r>
            <w:r>
              <w:rPr>
                <w:b/>
                <w:color w:val="FFFFFF"/>
                <w:spacing w:val="-18"/>
                <w:w w:val="115"/>
                <w:sz w:val="18"/>
              </w:rPr>
              <w:t> </w:t>
            </w:r>
            <w:r>
              <w:rPr>
                <w:b/>
                <w:color w:val="FFFFFF"/>
                <w:w w:val="115"/>
                <w:sz w:val="18"/>
              </w:rPr>
              <w:t>(Years)</w:t>
              <w:tab/>
              <w:t>Leasable</w:t>
            </w:r>
            <w:r>
              <w:rPr>
                <w:b/>
                <w:color w:val="FFFFFF"/>
                <w:spacing w:val="-38"/>
                <w:w w:val="115"/>
                <w:sz w:val="18"/>
              </w:rPr>
              <w:t> </w:t>
            </w:r>
            <w:r>
              <w:rPr>
                <w:b/>
                <w:color w:val="FFFFFF"/>
                <w:w w:val="115"/>
                <w:sz w:val="18"/>
              </w:rPr>
              <w:t>Area</w:t>
            </w:r>
            <w:r>
              <w:rPr>
                <w:b/>
                <w:color w:val="FFFFFF"/>
                <w:spacing w:val="-37"/>
                <w:w w:val="115"/>
                <w:sz w:val="18"/>
              </w:rPr>
              <w:t> </w:t>
            </w:r>
            <w:r>
              <w:rPr>
                <w:b/>
                <w:color w:val="FFFFFF"/>
                <w:spacing w:val="-4"/>
                <w:w w:val="115"/>
                <w:sz w:val="18"/>
              </w:rPr>
              <w:t>(sf) </w:t>
            </w:r>
            <w:r>
              <w:rPr>
                <w:b/>
                <w:color w:val="FFFFFF"/>
                <w:w w:val="115"/>
                <w:sz w:val="18"/>
              </w:rPr>
              <w:t>Name</w:t>
            </w:r>
          </w:p>
          <w:p>
            <w:pPr>
              <w:pStyle w:val="TableParagraph"/>
              <w:spacing w:line="207" w:lineRule="exact" w:before="40"/>
              <w:ind w:left="5942" w:right="5924"/>
              <w:rPr>
                <w:b/>
                <w:sz w:val="18"/>
              </w:rPr>
            </w:pPr>
            <w:r>
              <w:rPr>
                <w:b/>
                <w:color w:val="FFFFFF"/>
                <w:w w:val="110"/>
                <w:sz w:val="18"/>
              </w:rPr>
              <w:t>Completed Blocks</w:t>
            </w:r>
          </w:p>
        </w:tc>
      </w:tr>
      <w:tr>
        <w:trPr>
          <w:trHeight w:val="256" w:hRule="atLeast"/>
        </w:trPr>
        <w:tc>
          <w:tcPr>
            <w:tcW w:w="3009" w:type="dxa"/>
            <w:tcBorders>
              <w:bottom w:val="single" w:sz="6" w:space="0" w:color="69BD28"/>
            </w:tcBorders>
          </w:tcPr>
          <w:p>
            <w:pPr>
              <w:pStyle w:val="TableParagraph"/>
              <w:spacing w:before="23"/>
              <w:ind w:left="1169" w:right="1047"/>
              <w:rPr>
                <w:sz w:val="18"/>
              </w:rPr>
            </w:pPr>
            <w:r>
              <w:rPr>
                <w:w w:val="105"/>
                <w:sz w:val="18"/>
              </w:rPr>
              <w:t>Colorado</w:t>
            </w:r>
          </w:p>
        </w:tc>
        <w:tc>
          <w:tcPr>
            <w:tcW w:w="2500" w:type="dxa"/>
            <w:tcBorders>
              <w:bottom w:val="single" w:sz="6" w:space="0" w:color="69BD28"/>
            </w:tcBorders>
          </w:tcPr>
          <w:p>
            <w:pPr>
              <w:pStyle w:val="TableParagraph"/>
              <w:spacing w:before="23"/>
              <w:ind w:left="968" w:right="372"/>
              <w:rPr>
                <w:sz w:val="18"/>
              </w:rPr>
            </w:pPr>
            <w:r>
              <w:rPr>
                <w:w w:val="130"/>
                <w:sz w:val="18"/>
              </w:rPr>
              <w:t>S2+S1+G+5</w:t>
            </w:r>
          </w:p>
        </w:tc>
        <w:tc>
          <w:tcPr>
            <w:tcW w:w="2981" w:type="dxa"/>
            <w:tcBorders>
              <w:bottom w:val="single" w:sz="6" w:space="0" w:color="69BD28"/>
            </w:tcBorders>
          </w:tcPr>
          <w:p>
            <w:pPr>
              <w:pStyle w:val="TableParagraph"/>
              <w:spacing w:before="23"/>
              <w:ind w:left="1493" w:right="1165"/>
              <w:rPr>
                <w:sz w:val="18"/>
              </w:rPr>
            </w:pPr>
            <w:r>
              <w:rPr>
                <w:sz w:val="18"/>
              </w:rPr>
              <w:t>SEZ</w:t>
            </w:r>
          </w:p>
        </w:tc>
        <w:tc>
          <w:tcPr>
            <w:tcW w:w="2118" w:type="dxa"/>
            <w:tcBorders>
              <w:bottom w:val="single" w:sz="6" w:space="0" w:color="69BD28"/>
            </w:tcBorders>
          </w:tcPr>
          <w:p>
            <w:pPr>
              <w:pStyle w:val="TableParagraph"/>
              <w:spacing w:before="23"/>
              <w:ind w:left="857"/>
              <w:jc w:val="left"/>
              <w:rPr>
                <w:sz w:val="18"/>
              </w:rPr>
            </w:pPr>
            <w:r>
              <w:rPr>
                <w:w w:val="110"/>
                <w:sz w:val="18"/>
              </w:rPr>
              <w:t>11</w:t>
            </w:r>
          </w:p>
        </w:tc>
        <w:tc>
          <w:tcPr>
            <w:tcW w:w="2941" w:type="dxa"/>
            <w:tcBorders>
              <w:bottom w:val="single" w:sz="6" w:space="0" w:color="69BD28"/>
            </w:tcBorders>
          </w:tcPr>
          <w:p>
            <w:pPr>
              <w:pStyle w:val="TableParagraph"/>
              <w:spacing w:before="23"/>
              <w:ind w:left="1021" w:right="1044"/>
              <w:rPr>
                <w:sz w:val="18"/>
              </w:rPr>
            </w:pPr>
            <w:r>
              <w:rPr>
                <w:w w:val="110"/>
                <w:sz w:val="18"/>
              </w:rPr>
              <w:t>263,424</w:t>
            </w:r>
          </w:p>
        </w:tc>
      </w:tr>
      <w:tr>
        <w:trPr>
          <w:trHeight w:val="253" w:hRule="atLeast"/>
        </w:trPr>
        <w:tc>
          <w:tcPr>
            <w:tcW w:w="3009" w:type="dxa"/>
            <w:tcBorders>
              <w:top w:val="single" w:sz="6" w:space="0" w:color="69BD28"/>
              <w:bottom w:val="single" w:sz="6" w:space="0" w:color="69BD28"/>
            </w:tcBorders>
          </w:tcPr>
          <w:p>
            <w:pPr>
              <w:pStyle w:val="TableParagraph"/>
              <w:spacing w:before="22"/>
              <w:ind w:right="1029"/>
              <w:jc w:val="right"/>
              <w:rPr>
                <w:sz w:val="18"/>
              </w:rPr>
            </w:pPr>
            <w:r>
              <w:rPr>
                <w:sz w:val="18"/>
              </w:rPr>
              <w:t>Mississippi</w:t>
            </w:r>
          </w:p>
        </w:tc>
        <w:tc>
          <w:tcPr>
            <w:tcW w:w="2500" w:type="dxa"/>
            <w:tcBorders>
              <w:top w:val="single" w:sz="6" w:space="0" w:color="69BD28"/>
              <w:bottom w:val="single" w:sz="6" w:space="0" w:color="69BD28"/>
            </w:tcBorders>
          </w:tcPr>
          <w:p>
            <w:pPr>
              <w:pStyle w:val="TableParagraph"/>
              <w:spacing w:before="22"/>
              <w:ind w:left="968" w:right="372"/>
              <w:rPr>
                <w:sz w:val="18"/>
              </w:rPr>
            </w:pPr>
            <w:r>
              <w:rPr>
                <w:w w:val="130"/>
                <w:sz w:val="18"/>
              </w:rPr>
              <w:t>S2+S1+G+5</w:t>
            </w:r>
          </w:p>
        </w:tc>
        <w:tc>
          <w:tcPr>
            <w:tcW w:w="2981" w:type="dxa"/>
            <w:tcBorders>
              <w:top w:val="single" w:sz="6" w:space="0" w:color="69BD28"/>
              <w:bottom w:val="single" w:sz="6" w:space="0" w:color="69BD28"/>
            </w:tcBorders>
          </w:tcPr>
          <w:p>
            <w:pPr>
              <w:pStyle w:val="TableParagraph"/>
              <w:spacing w:before="22"/>
              <w:ind w:left="1493" w:right="1165"/>
              <w:rPr>
                <w:sz w:val="18"/>
              </w:rPr>
            </w:pPr>
            <w:r>
              <w:rPr>
                <w:sz w:val="18"/>
              </w:rPr>
              <w:t>SEZ</w:t>
            </w:r>
          </w:p>
        </w:tc>
        <w:tc>
          <w:tcPr>
            <w:tcW w:w="2118" w:type="dxa"/>
            <w:tcBorders>
              <w:top w:val="single" w:sz="6" w:space="0" w:color="69BD28"/>
              <w:bottom w:val="single" w:sz="6" w:space="0" w:color="69BD28"/>
            </w:tcBorders>
          </w:tcPr>
          <w:p>
            <w:pPr>
              <w:pStyle w:val="TableParagraph"/>
              <w:spacing w:before="22"/>
              <w:ind w:left="857"/>
              <w:jc w:val="left"/>
              <w:rPr>
                <w:sz w:val="18"/>
              </w:rPr>
            </w:pPr>
            <w:r>
              <w:rPr>
                <w:w w:val="110"/>
                <w:sz w:val="18"/>
              </w:rPr>
              <w:t>11</w:t>
            </w:r>
          </w:p>
        </w:tc>
        <w:tc>
          <w:tcPr>
            <w:tcW w:w="2941" w:type="dxa"/>
            <w:tcBorders>
              <w:top w:val="single" w:sz="6" w:space="0" w:color="69BD28"/>
              <w:bottom w:val="single" w:sz="6" w:space="0" w:color="69BD28"/>
            </w:tcBorders>
          </w:tcPr>
          <w:p>
            <w:pPr>
              <w:pStyle w:val="TableParagraph"/>
              <w:spacing w:before="22"/>
              <w:ind w:left="1021" w:right="1044"/>
              <w:rPr>
                <w:sz w:val="18"/>
              </w:rPr>
            </w:pPr>
            <w:r>
              <w:rPr>
                <w:w w:val="110"/>
                <w:sz w:val="18"/>
              </w:rPr>
              <w:t>264,783</w:t>
            </w:r>
          </w:p>
        </w:tc>
      </w:tr>
      <w:tr>
        <w:trPr>
          <w:trHeight w:val="256" w:hRule="atLeast"/>
        </w:trPr>
        <w:tc>
          <w:tcPr>
            <w:tcW w:w="3009" w:type="dxa"/>
            <w:tcBorders>
              <w:top w:val="single" w:sz="6" w:space="0" w:color="69BD28"/>
              <w:bottom w:val="single" w:sz="6" w:space="0" w:color="69BD28"/>
            </w:tcBorders>
          </w:tcPr>
          <w:p>
            <w:pPr>
              <w:pStyle w:val="TableParagraph"/>
              <w:spacing w:before="22"/>
              <w:ind w:left="1169" w:right="1047"/>
              <w:rPr>
                <w:sz w:val="18"/>
              </w:rPr>
            </w:pPr>
            <w:r>
              <w:rPr>
                <w:w w:val="110"/>
                <w:sz w:val="18"/>
              </w:rPr>
              <w:t>Congo</w:t>
            </w:r>
          </w:p>
        </w:tc>
        <w:tc>
          <w:tcPr>
            <w:tcW w:w="2500" w:type="dxa"/>
            <w:tcBorders>
              <w:top w:val="single" w:sz="6" w:space="0" w:color="69BD28"/>
              <w:bottom w:val="single" w:sz="6" w:space="0" w:color="69BD28"/>
            </w:tcBorders>
          </w:tcPr>
          <w:p>
            <w:pPr>
              <w:pStyle w:val="TableParagraph"/>
              <w:spacing w:before="22"/>
              <w:ind w:left="966" w:right="372"/>
              <w:rPr>
                <w:sz w:val="18"/>
              </w:rPr>
            </w:pPr>
            <w:r>
              <w:rPr>
                <w:w w:val="125"/>
                <w:sz w:val="18"/>
              </w:rPr>
              <w:t>G+10</w:t>
            </w:r>
          </w:p>
        </w:tc>
        <w:tc>
          <w:tcPr>
            <w:tcW w:w="2981" w:type="dxa"/>
            <w:tcBorders>
              <w:top w:val="single" w:sz="6" w:space="0" w:color="69BD28"/>
              <w:bottom w:val="single" w:sz="6" w:space="0" w:color="69BD28"/>
            </w:tcBorders>
          </w:tcPr>
          <w:p>
            <w:pPr>
              <w:pStyle w:val="TableParagraph"/>
              <w:spacing w:before="22"/>
              <w:ind w:left="1493" w:right="1165"/>
              <w:rPr>
                <w:sz w:val="18"/>
              </w:rPr>
            </w:pPr>
            <w:r>
              <w:rPr>
                <w:sz w:val="18"/>
              </w:rPr>
              <w:t>SEZ</w:t>
            </w:r>
          </w:p>
        </w:tc>
        <w:tc>
          <w:tcPr>
            <w:tcW w:w="2118" w:type="dxa"/>
            <w:tcBorders>
              <w:top w:val="single" w:sz="6" w:space="0" w:color="69BD28"/>
              <w:bottom w:val="single" w:sz="6" w:space="0" w:color="69BD28"/>
            </w:tcBorders>
          </w:tcPr>
          <w:p>
            <w:pPr>
              <w:pStyle w:val="TableParagraph"/>
              <w:spacing w:before="22"/>
              <w:ind w:left="909"/>
              <w:jc w:val="left"/>
              <w:rPr>
                <w:sz w:val="18"/>
              </w:rPr>
            </w:pPr>
            <w:r>
              <w:rPr>
                <w:w w:val="112"/>
                <w:sz w:val="18"/>
              </w:rPr>
              <w:t>8</w:t>
            </w:r>
          </w:p>
        </w:tc>
        <w:tc>
          <w:tcPr>
            <w:tcW w:w="2941" w:type="dxa"/>
            <w:tcBorders>
              <w:top w:val="single" w:sz="6" w:space="0" w:color="69BD28"/>
              <w:bottom w:val="single" w:sz="6" w:space="0" w:color="69BD28"/>
            </w:tcBorders>
          </w:tcPr>
          <w:p>
            <w:pPr>
              <w:pStyle w:val="TableParagraph"/>
              <w:spacing w:before="22"/>
              <w:ind w:left="1021" w:right="1044"/>
              <w:rPr>
                <w:sz w:val="18"/>
              </w:rPr>
            </w:pPr>
            <w:r>
              <w:rPr>
                <w:w w:val="110"/>
                <w:sz w:val="18"/>
              </w:rPr>
              <w:t>514,533</w:t>
            </w:r>
          </w:p>
        </w:tc>
      </w:tr>
      <w:tr>
        <w:trPr>
          <w:trHeight w:val="253" w:hRule="atLeast"/>
        </w:trPr>
        <w:tc>
          <w:tcPr>
            <w:tcW w:w="3009" w:type="dxa"/>
            <w:tcBorders>
              <w:top w:val="single" w:sz="6" w:space="0" w:color="69BD28"/>
              <w:bottom w:val="single" w:sz="6" w:space="0" w:color="69BD28"/>
            </w:tcBorders>
          </w:tcPr>
          <w:p>
            <w:pPr>
              <w:pStyle w:val="TableParagraph"/>
              <w:spacing w:before="22"/>
              <w:ind w:left="1169" w:right="1047"/>
              <w:rPr>
                <w:sz w:val="18"/>
              </w:rPr>
            </w:pPr>
            <w:r>
              <w:rPr>
                <w:sz w:val="18"/>
              </w:rPr>
              <w:t>Rhine</w:t>
            </w:r>
          </w:p>
        </w:tc>
        <w:tc>
          <w:tcPr>
            <w:tcW w:w="2500" w:type="dxa"/>
            <w:tcBorders>
              <w:top w:val="single" w:sz="6" w:space="0" w:color="69BD28"/>
              <w:bottom w:val="single" w:sz="6" w:space="0" w:color="69BD28"/>
            </w:tcBorders>
          </w:tcPr>
          <w:p>
            <w:pPr>
              <w:pStyle w:val="TableParagraph"/>
              <w:spacing w:before="22"/>
              <w:ind w:left="966" w:right="372"/>
              <w:rPr>
                <w:sz w:val="18"/>
              </w:rPr>
            </w:pPr>
            <w:r>
              <w:rPr>
                <w:w w:val="130"/>
                <w:sz w:val="18"/>
              </w:rPr>
              <w:t>G+8</w:t>
            </w:r>
          </w:p>
        </w:tc>
        <w:tc>
          <w:tcPr>
            <w:tcW w:w="2981" w:type="dxa"/>
            <w:tcBorders>
              <w:top w:val="single" w:sz="6" w:space="0" w:color="69BD28"/>
              <w:bottom w:val="single" w:sz="6" w:space="0" w:color="69BD28"/>
            </w:tcBorders>
          </w:tcPr>
          <w:p>
            <w:pPr>
              <w:pStyle w:val="TableParagraph"/>
              <w:spacing w:before="22"/>
              <w:ind w:left="1493" w:right="1165"/>
              <w:rPr>
                <w:sz w:val="18"/>
              </w:rPr>
            </w:pPr>
            <w:r>
              <w:rPr>
                <w:sz w:val="18"/>
              </w:rPr>
              <w:t>SEZ</w:t>
            </w:r>
          </w:p>
        </w:tc>
        <w:tc>
          <w:tcPr>
            <w:tcW w:w="2118" w:type="dxa"/>
            <w:tcBorders>
              <w:top w:val="single" w:sz="6" w:space="0" w:color="69BD28"/>
              <w:bottom w:val="single" w:sz="6" w:space="0" w:color="69BD28"/>
            </w:tcBorders>
          </w:tcPr>
          <w:p>
            <w:pPr>
              <w:pStyle w:val="TableParagraph"/>
              <w:spacing w:before="22"/>
              <w:ind w:left="909"/>
              <w:jc w:val="left"/>
              <w:rPr>
                <w:sz w:val="18"/>
              </w:rPr>
            </w:pPr>
            <w:r>
              <w:rPr>
                <w:w w:val="112"/>
                <w:sz w:val="18"/>
              </w:rPr>
              <w:t>8</w:t>
            </w:r>
          </w:p>
        </w:tc>
        <w:tc>
          <w:tcPr>
            <w:tcW w:w="2941" w:type="dxa"/>
            <w:tcBorders>
              <w:top w:val="single" w:sz="6" w:space="0" w:color="69BD28"/>
              <w:bottom w:val="single" w:sz="6" w:space="0" w:color="69BD28"/>
            </w:tcBorders>
          </w:tcPr>
          <w:p>
            <w:pPr>
              <w:pStyle w:val="TableParagraph"/>
              <w:spacing w:before="22"/>
              <w:ind w:left="1021" w:right="1044"/>
              <w:rPr>
                <w:sz w:val="18"/>
              </w:rPr>
            </w:pPr>
            <w:r>
              <w:rPr>
                <w:w w:val="110"/>
                <w:sz w:val="18"/>
              </w:rPr>
              <w:t>508,504</w:t>
            </w:r>
          </w:p>
        </w:tc>
      </w:tr>
      <w:tr>
        <w:trPr>
          <w:trHeight w:val="256" w:hRule="atLeast"/>
        </w:trPr>
        <w:tc>
          <w:tcPr>
            <w:tcW w:w="3009" w:type="dxa"/>
            <w:tcBorders>
              <w:top w:val="single" w:sz="6" w:space="0" w:color="69BD28"/>
              <w:bottom w:val="single" w:sz="6" w:space="0" w:color="69BD28"/>
            </w:tcBorders>
          </w:tcPr>
          <w:p>
            <w:pPr>
              <w:pStyle w:val="TableParagraph"/>
              <w:spacing w:before="23"/>
              <w:ind w:left="1169" w:right="1047"/>
              <w:rPr>
                <w:sz w:val="18"/>
              </w:rPr>
            </w:pPr>
            <w:r>
              <w:rPr>
                <w:w w:val="105"/>
                <w:sz w:val="18"/>
              </w:rPr>
              <w:t>Mekong</w:t>
            </w:r>
          </w:p>
        </w:tc>
        <w:tc>
          <w:tcPr>
            <w:tcW w:w="2500" w:type="dxa"/>
            <w:tcBorders>
              <w:top w:val="single" w:sz="6" w:space="0" w:color="69BD28"/>
              <w:bottom w:val="single" w:sz="6" w:space="0" w:color="69BD28"/>
            </w:tcBorders>
          </w:tcPr>
          <w:p>
            <w:pPr>
              <w:pStyle w:val="TableParagraph"/>
              <w:spacing w:before="23"/>
              <w:ind w:left="966" w:right="372"/>
              <w:rPr>
                <w:sz w:val="18"/>
              </w:rPr>
            </w:pPr>
            <w:r>
              <w:rPr>
                <w:w w:val="130"/>
                <w:sz w:val="18"/>
              </w:rPr>
              <w:t>G+9</w:t>
            </w:r>
          </w:p>
        </w:tc>
        <w:tc>
          <w:tcPr>
            <w:tcW w:w="2981" w:type="dxa"/>
            <w:tcBorders>
              <w:top w:val="single" w:sz="6" w:space="0" w:color="69BD28"/>
              <w:bottom w:val="single" w:sz="6" w:space="0" w:color="69BD28"/>
            </w:tcBorders>
          </w:tcPr>
          <w:p>
            <w:pPr>
              <w:pStyle w:val="TableParagraph"/>
              <w:spacing w:before="23"/>
              <w:ind w:left="1493" w:right="1165"/>
              <w:rPr>
                <w:sz w:val="18"/>
              </w:rPr>
            </w:pPr>
            <w:r>
              <w:rPr>
                <w:sz w:val="18"/>
              </w:rPr>
              <w:t>SEZ</w:t>
            </w:r>
          </w:p>
        </w:tc>
        <w:tc>
          <w:tcPr>
            <w:tcW w:w="2118" w:type="dxa"/>
            <w:tcBorders>
              <w:top w:val="single" w:sz="6" w:space="0" w:color="69BD28"/>
              <w:bottom w:val="single" w:sz="6" w:space="0" w:color="69BD28"/>
            </w:tcBorders>
          </w:tcPr>
          <w:p>
            <w:pPr>
              <w:pStyle w:val="TableParagraph"/>
              <w:spacing w:before="23"/>
              <w:ind w:left="909"/>
              <w:jc w:val="left"/>
              <w:rPr>
                <w:sz w:val="18"/>
              </w:rPr>
            </w:pPr>
            <w:r>
              <w:rPr>
                <w:w w:val="112"/>
                <w:sz w:val="18"/>
              </w:rPr>
              <w:t>7</w:t>
            </w:r>
          </w:p>
        </w:tc>
        <w:tc>
          <w:tcPr>
            <w:tcW w:w="2941" w:type="dxa"/>
            <w:tcBorders>
              <w:top w:val="single" w:sz="6" w:space="0" w:color="69BD28"/>
              <w:bottom w:val="single" w:sz="6" w:space="0" w:color="69BD28"/>
            </w:tcBorders>
          </w:tcPr>
          <w:p>
            <w:pPr>
              <w:pStyle w:val="TableParagraph"/>
              <w:spacing w:before="23"/>
              <w:ind w:left="1021" w:right="1044"/>
              <w:rPr>
                <w:sz w:val="18"/>
              </w:rPr>
            </w:pPr>
            <w:r>
              <w:rPr>
                <w:w w:val="110"/>
                <w:sz w:val="18"/>
              </w:rPr>
              <w:t>301,419</w:t>
            </w:r>
          </w:p>
        </w:tc>
      </w:tr>
      <w:tr>
        <w:trPr>
          <w:trHeight w:val="253" w:hRule="atLeast"/>
        </w:trPr>
        <w:tc>
          <w:tcPr>
            <w:tcW w:w="3009" w:type="dxa"/>
            <w:tcBorders>
              <w:top w:val="single" w:sz="6" w:space="0" w:color="69BD28"/>
              <w:bottom w:val="single" w:sz="6" w:space="0" w:color="69BD28"/>
            </w:tcBorders>
          </w:tcPr>
          <w:p>
            <w:pPr>
              <w:pStyle w:val="TableParagraph"/>
              <w:spacing w:before="22"/>
              <w:ind w:left="1169" w:right="1047"/>
              <w:rPr>
                <w:sz w:val="18"/>
              </w:rPr>
            </w:pPr>
            <w:r>
              <w:rPr>
                <w:sz w:val="18"/>
              </w:rPr>
              <w:t>Nile</w:t>
            </w:r>
          </w:p>
        </w:tc>
        <w:tc>
          <w:tcPr>
            <w:tcW w:w="2500" w:type="dxa"/>
            <w:tcBorders>
              <w:top w:val="single" w:sz="6" w:space="0" w:color="69BD28"/>
              <w:bottom w:val="single" w:sz="6" w:space="0" w:color="69BD28"/>
            </w:tcBorders>
          </w:tcPr>
          <w:p>
            <w:pPr>
              <w:pStyle w:val="TableParagraph"/>
              <w:spacing w:before="22"/>
              <w:ind w:left="968" w:right="372"/>
              <w:rPr>
                <w:sz w:val="18"/>
              </w:rPr>
            </w:pPr>
            <w:r>
              <w:rPr>
                <w:w w:val="130"/>
                <w:sz w:val="18"/>
              </w:rPr>
              <w:t>B+G+7</w:t>
            </w:r>
          </w:p>
        </w:tc>
        <w:tc>
          <w:tcPr>
            <w:tcW w:w="2981" w:type="dxa"/>
            <w:tcBorders>
              <w:top w:val="single" w:sz="6" w:space="0" w:color="69BD28"/>
              <w:bottom w:val="single" w:sz="6" w:space="0" w:color="69BD28"/>
            </w:tcBorders>
          </w:tcPr>
          <w:p>
            <w:pPr>
              <w:pStyle w:val="TableParagraph"/>
              <w:spacing w:before="22"/>
              <w:ind w:left="1493" w:right="1165"/>
              <w:rPr>
                <w:sz w:val="18"/>
              </w:rPr>
            </w:pPr>
            <w:r>
              <w:rPr>
                <w:sz w:val="18"/>
              </w:rPr>
              <w:t>SEZ</w:t>
            </w:r>
          </w:p>
        </w:tc>
        <w:tc>
          <w:tcPr>
            <w:tcW w:w="2118" w:type="dxa"/>
            <w:tcBorders>
              <w:top w:val="single" w:sz="6" w:space="0" w:color="69BD28"/>
              <w:bottom w:val="single" w:sz="6" w:space="0" w:color="69BD28"/>
            </w:tcBorders>
          </w:tcPr>
          <w:p>
            <w:pPr>
              <w:pStyle w:val="TableParagraph"/>
              <w:spacing w:before="22"/>
              <w:ind w:left="857"/>
              <w:jc w:val="left"/>
              <w:rPr>
                <w:sz w:val="18"/>
              </w:rPr>
            </w:pPr>
            <w:r>
              <w:rPr>
                <w:w w:val="110"/>
                <w:sz w:val="18"/>
              </w:rPr>
              <w:t>10</w:t>
            </w:r>
          </w:p>
        </w:tc>
        <w:tc>
          <w:tcPr>
            <w:tcW w:w="2941" w:type="dxa"/>
            <w:tcBorders>
              <w:top w:val="single" w:sz="6" w:space="0" w:color="69BD28"/>
              <w:bottom w:val="single" w:sz="6" w:space="0" w:color="69BD28"/>
            </w:tcBorders>
          </w:tcPr>
          <w:p>
            <w:pPr>
              <w:pStyle w:val="TableParagraph"/>
              <w:spacing w:before="22"/>
              <w:ind w:left="1021" w:right="1044"/>
              <w:rPr>
                <w:sz w:val="18"/>
              </w:rPr>
            </w:pPr>
            <w:r>
              <w:rPr>
                <w:w w:val="110"/>
                <w:sz w:val="18"/>
              </w:rPr>
              <w:t>298,967</w:t>
            </w:r>
          </w:p>
        </w:tc>
      </w:tr>
      <w:tr>
        <w:trPr>
          <w:trHeight w:val="256" w:hRule="atLeast"/>
        </w:trPr>
        <w:tc>
          <w:tcPr>
            <w:tcW w:w="3009" w:type="dxa"/>
            <w:tcBorders>
              <w:top w:val="single" w:sz="6" w:space="0" w:color="69BD28"/>
              <w:bottom w:val="single" w:sz="6" w:space="0" w:color="69BD28"/>
            </w:tcBorders>
          </w:tcPr>
          <w:p>
            <w:pPr>
              <w:pStyle w:val="TableParagraph"/>
              <w:spacing w:before="22"/>
              <w:ind w:right="996"/>
              <w:jc w:val="right"/>
              <w:rPr>
                <w:sz w:val="18"/>
              </w:rPr>
            </w:pPr>
            <w:r>
              <w:rPr>
                <w:sz w:val="18"/>
              </w:rPr>
              <w:t>Food Court</w:t>
            </w:r>
          </w:p>
        </w:tc>
        <w:tc>
          <w:tcPr>
            <w:tcW w:w="2500" w:type="dxa"/>
            <w:tcBorders>
              <w:top w:val="single" w:sz="6" w:space="0" w:color="69BD28"/>
              <w:bottom w:val="single" w:sz="6" w:space="0" w:color="69BD28"/>
            </w:tcBorders>
          </w:tcPr>
          <w:p>
            <w:pPr>
              <w:pStyle w:val="TableParagraph"/>
              <w:spacing w:before="22"/>
              <w:ind w:left="966" w:right="372"/>
              <w:rPr>
                <w:sz w:val="18"/>
              </w:rPr>
            </w:pPr>
            <w:r>
              <w:rPr>
                <w:w w:val="130"/>
                <w:sz w:val="18"/>
              </w:rPr>
              <w:t>G+1</w:t>
            </w:r>
          </w:p>
        </w:tc>
        <w:tc>
          <w:tcPr>
            <w:tcW w:w="2981" w:type="dxa"/>
            <w:tcBorders>
              <w:top w:val="single" w:sz="6" w:space="0" w:color="69BD28"/>
              <w:bottom w:val="single" w:sz="6" w:space="0" w:color="69BD28"/>
            </w:tcBorders>
          </w:tcPr>
          <w:p>
            <w:pPr>
              <w:pStyle w:val="TableParagraph"/>
              <w:spacing w:before="22"/>
              <w:ind w:left="330"/>
              <w:rPr>
                <w:sz w:val="18"/>
              </w:rPr>
            </w:pPr>
            <w:r>
              <w:rPr>
                <w:w w:val="99"/>
                <w:sz w:val="18"/>
              </w:rPr>
              <w:t>-</w:t>
            </w:r>
          </w:p>
        </w:tc>
        <w:tc>
          <w:tcPr>
            <w:tcW w:w="2118" w:type="dxa"/>
            <w:tcBorders>
              <w:top w:val="single" w:sz="6" w:space="0" w:color="69BD28"/>
              <w:bottom w:val="single" w:sz="6" w:space="0" w:color="69BD28"/>
            </w:tcBorders>
          </w:tcPr>
          <w:p>
            <w:pPr>
              <w:pStyle w:val="TableParagraph"/>
              <w:spacing w:before="22"/>
              <w:ind w:right="187"/>
              <w:rPr>
                <w:sz w:val="18"/>
              </w:rPr>
            </w:pPr>
            <w:r>
              <w:rPr>
                <w:w w:val="99"/>
                <w:sz w:val="18"/>
              </w:rPr>
              <w:t>-</w:t>
            </w:r>
          </w:p>
        </w:tc>
        <w:tc>
          <w:tcPr>
            <w:tcW w:w="2941" w:type="dxa"/>
            <w:tcBorders>
              <w:top w:val="single" w:sz="6" w:space="0" w:color="69BD28"/>
              <w:bottom w:val="single" w:sz="6" w:space="0" w:color="69BD28"/>
            </w:tcBorders>
          </w:tcPr>
          <w:p>
            <w:pPr>
              <w:pStyle w:val="TableParagraph"/>
              <w:spacing w:before="22"/>
              <w:ind w:left="1024" w:right="1044"/>
              <w:rPr>
                <w:sz w:val="18"/>
              </w:rPr>
            </w:pPr>
            <w:r>
              <w:rPr>
                <w:w w:val="105"/>
                <w:sz w:val="18"/>
              </w:rPr>
              <w:t>8,425</w:t>
            </w:r>
          </w:p>
        </w:tc>
      </w:tr>
      <w:tr>
        <w:trPr>
          <w:trHeight w:val="253" w:hRule="atLeast"/>
        </w:trPr>
        <w:tc>
          <w:tcPr>
            <w:tcW w:w="3009" w:type="dxa"/>
            <w:tcBorders>
              <w:top w:val="single" w:sz="6" w:space="0" w:color="69BD28"/>
              <w:bottom w:val="single" w:sz="6" w:space="0" w:color="69BD28"/>
            </w:tcBorders>
          </w:tcPr>
          <w:p>
            <w:pPr>
              <w:pStyle w:val="TableParagraph"/>
              <w:spacing w:before="22"/>
              <w:ind w:left="1169" w:right="1046"/>
              <w:rPr>
                <w:sz w:val="18"/>
              </w:rPr>
            </w:pPr>
            <w:r>
              <w:rPr>
                <w:sz w:val="18"/>
              </w:rPr>
              <w:t>Total</w:t>
            </w:r>
          </w:p>
        </w:tc>
        <w:tc>
          <w:tcPr>
            <w:tcW w:w="2500" w:type="dxa"/>
            <w:tcBorders>
              <w:top w:val="single" w:sz="6" w:space="0" w:color="69BD28"/>
              <w:bottom w:val="single" w:sz="6" w:space="0" w:color="69BD28"/>
            </w:tcBorders>
          </w:tcPr>
          <w:p>
            <w:pPr>
              <w:pStyle w:val="TableParagraph"/>
              <w:jc w:val="left"/>
              <w:rPr>
                <w:rFonts w:ascii="Times New Roman"/>
                <w:sz w:val="18"/>
              </w:rPr>
            </w:pPr>
          </w:p>
        </w:tc>
        <w:tc>
          <w:tcPr>
            <w:tcW w:w="2981" w:type="dxa"/>
            <w:tcBorders>
              <w:top w:val="single" w:sz="6" w:space="0" w:color="69BD28"/>
              <w:bottom w:val="single" w:sz="6" w:space="0" w:color="69BD28"/>
            </w:tcBorders>
          </w:tcPr>
          <w:p>
            <w:pPr>
              <w:pStyle w:val="TableParagraph"/>
              <w:jc w:val="left"/>
              <w:rPr>
                <w:rFonts w:ascii="Times New Roman"/>
                <w:sz w:val="18"/>
              </w:rPr>
            </w:pPr>
          </w:p>
        </w:tc>
        <w:tc>
          <w:tcPr>
            <w:tcW w:w="2118" w:type="dxa"/>
            <w:tcBorders>
              <w:top w:val="single" w:sz="6" w:space="0" w:color="69BD28"/>
              <w:bottom w:val="single" w:sz="6" w:space="0" w:color="69BD28"/>
            </w:tcBorders>
          </w:tcPr>
          <w:p>
            <w:pPr>
              <w:pStyle w:val="TableParagraph"/>
              <w:jc w:val="left"/>
              <w:rPr>
                <w:rFonts w:ascii="Times New Roman"/>
                <w:sz w:val="18"/>
              </w:rPr>
            </w:pPr>
          </w:p>
        </w:tc>
        <w:tc>
          <w:tcPr>
            <w:tcW w:w="2941" w:type="dxa"/>
            <w:tcBorders>
              <w:top w:val="single" w:sz="6" w:space="0" w:color="69BD28"/>
              <w:bottom w:val="single" w:sz="6" w:space="0" w:color="69BD28"/>
            </w:tcBorders>
          </w:tcPr>
          <w:p>
            <w:pPr>
              <w:pStyle w:val="TableParagraph"/>
              <w:spacing w:before="22"/>
              <w:ind w:left="1024" w:right="1044"/>
              <w:rPr>
                <w:sz w:val="18"/>
              </w:rPr>
            </w:pPr>
            <w:r>
              <w:rPr>
                <w:w w:val="105"/>
                <w:sz w:val="18"/>
              </w:rPr>
              <w:t>2,160,055</w:t>
            </w:r>
          </w:p>
        </w:tc>
      </w:tr>
      <w:tr>
        <w:trPr>
          <w:trHeight w:val="270" w:hRule="atLeast"/>
        </w:trPr>
        <w:tc>
          <w:tcPr>
            <w:tcW w:w="3009" w:type="dxa"/>
            <w:shd w:val="clear" w:color="auto" w:fill="69BD28"/>
          </w:tcPr>
          <w:p>
            <w:pPr>
              <w:pStyle w:val="TableParagraph"/>
              <w:jc w:val="left"/>
              <w:rPr>
                <w:rFonts w:ascii="Times New Roman"/>
                <w:sz w:val="18"/>
              </w:rPr>
            </w:pPr>
          </w:p>
        </w:tc>
        <w:tc>
          <w:tcPr>
            <w:tcW w:w="2500" w:type="dxa"/>
            <w:shd w:val="clear" w:color="auto" w:fill="69BD28"/>
          </w:tcPr>
          <w:p>
            <w:pPr>
              <w:pStyle w:val="TableParagraph"/>
              <w:jc w:val="left"/>
              <w:rPr>
                <w:rFonts w:ascii="Times New Roman"/>
                <w:sz w:val="18"/>
              </w:rPr>
            </w:pPr>
          </w:p>
        </w:tc>
        <w:tc>
          <w:tcPr>
            <w:tcW w:w="2981" w:type="dxa"/>
            <w:shd w:val="clear" w:color="auto" w:fill="69BD28"/>
          </w:tcPr>
          <w:p>
            <w:pPr>
              <w:pStyle w:val="TableParagraph"/>
              <w:spacing w:before="25"/>
              <w:ind w:left="403"/>
              <w:jc w:val="left"/>
              <w:rPr>
                <w:b/>
                <w:sz w:val="18"/>
              </w:rPr>
            </w:pPr>
            <w:r>
              <w:rPr>
                <w:b/>
                <w:color w:val="FFFFFF"/>
                <w:w w:val="105"/>
                <w:sz w:val="18"/>
              </w:rPr>
              <w:t>Under Construction</w:t>
            </w:r>
          </w:p>
        </w:tc>
        <w:tc>
          <w:tcPr>
            <w:tcW w:w="2118" w:type="dxa"/>
            <w:shd w:val="clear" w:color="auto" w:fill="69BD28"/>
          </w:tcPr>
          <w:p>
            <w:pPr>
              <w:pStyle w:val="TableParagraph"/>
              <w:jc w:val="left"/>
              <w:rPr>
                <w:rFonts w:ascii="Times New Roman"/>
                <w:sz w:val="18"/>
              </w:rPr>
            </w:pPr>
          </w:p>
        </w:tc>
        <w:tc>
          <w:tcPr>
            <w:tcW w:w="2941" w:type="dxa"/>
            <w:shd w:val="clear" w:color="auto" w:fill="69BD28"/>
          </w:tcPr>
          <w:p>
            <w:pPr>
              <w:pStyle w:val="TableParagraph"/>
              <w:jc w:val="left"/>
              <w:rPr>
                <w:rFonts w:ascii="Times New Roman"/>
                <w:sz w:val="18"/>
              </w:rPr>
            </w:pPr>
          </w:p>
        </w:tc>
      </w:tr>
      <w:tr>
        <w:trPr>
          <w:trHeight w:val="254" w:hRule="atLeast"/>
        </w:trPr>
        <w:tc>
          <w:tcPr>
            <w:tcW w:w="3009" w:type="dxa"/>
            <w:tcBorders>
              <w:bottom w:val="single" w:sz="6" w:space="0" w:color="69BD28"/>
            </w:tcBorders>
          </w:tcPr>
          <w:p>
            <w:pPr>
              <w:pStyle w:val="TableParagraph"/>
              <w:spacing w:before="23"/>
              <w:ind w:left="1169" w:right="1044"/>
              <w:rPr>
                <w:sz w:val="18"/>
              </w:rPr>
            </w:pPr>
            <w:r>
              <w:rPr>
                <w:w w:val="105"/>
                <w:sz w:val="18"/>
              </w:rPr>
              <w:t>Hudson</w:t>
            </w:r>
          </w:p>
        </w:tc>
        <w:tc>
          <w:tcPr>
            <w:tcW w:w="2500" w:type="dxa"/>
            <w:tcBorders>
              <w:bottom w:val="single" w:sz="6" w:space="0" w:color="69BD28"/>
            </w:tcBorders>
          </w:tcPr>
          <w:p>
            <w:pPr>
              <w:pStyle w:val="TableParagraph"/>
              <w:spacing w:before="23"/>
              <w:ind w:left="968" w:right="372"/>
              <w:rPr>
                <w:sz w:val="18"/>
              </w:rPr>
            </w:pPr>
            <w:r>
              <w:rPr>
                <w:w w:val="115"/>
                <w:sz w:val="18"/>
              </w:rPr>
              <w:t>NA</w:t>
            </w:r>
          </w:p>
        </w:tc>
        <w:tc>
          <w:tcPr>
            <w:tcW w:w="2981" w:type="dxa"/>
            <w:tcBorders>
              <w:bottom w:val="single" w:sz="6" w:space="0" w:color="69BD28"/>
            </w:tcBorders>
          </w:tcPr>
          <w:p>
            <w:pPr>
              <w:pStyle w:val="TableParagraph"/>
              <w:spacing w:before="23"/>
              <w:ind w:left="1493" w:right="1165"/>
              <w:rPr>
                <w:sz w:val="18"/>
              </w:rPr>
            </w:pPr>
            <w:r>
              <w:rPr>
                <w:sz w:val="18"/>
              </w:rPr>
              <w:t>SEZ</w:t>
            </w:r>
          </w:p>
        </w:tc>
        <w:tc>
          <w:tcPr>
            <w:tcW w:w="2118" w:type="dxa"/>
            <w:tcBorders>
              <w:bottom w:val="single" w:sz="6" w:space="0" w:color="69BD28"/>
            </w:tcBorders>
          </w:tcPr>
          <w:p>
            <w:pPr>
              <w:pStyle w:val="TableParagraph"/>
              <w:spacing w:before="3"/>
              <w:ind w:left="837"/>
              <w:jc w:val="left"/>
              <w:rPr>
                <w:sz w:val="18"/>
              </w:rPr>
            </w:pPr>
            <w:r>
              <w:rPr>
                <w:w w:val="115"/>
                <w:sz w:val="18"/>
              </w:rPr>
              <w:t>NA</w:t>
            </w:r>
          </w:p>
        </w:tc>
        <w:tc>
          <w:tcPr>
            <w:tcW w:w="2941" w:type="dxa"/>
            <w:tcBorders>
              <w:bottom w:val="single" w:sz="6" w:space="0" w:color="69BD28"/>
            </w:tcBorders>
          </w:tcPr>
          <w:p>
            <w:pPr>
              <w:pStyle w:val="TableParagraph"/>
              <w:spacing w:before="23"/>
              <w:ind w:left="1021" w:right="1044"/>
              <w:rPr>
                <w:sz w:val="18"/>
              </w:rPr>
            </w:pPr>
            <w:r>
              <w:rPr>
                <w:w w:val="110"/>
                <w:sz w:val="18"/>
              </w:rPr>
              <w:t>458,177</w:t>
            </w:r>
          </w:p>
        </w:tc>
      </w:tr>
      <w:tr>
        <w:trPr>
          <w:trHeight w:val="256" w:hRule="atLeast"/>
        </w:trPr>
        <w:tc>
          <w:tcPr>
            <w:tcW w:w="3009" w:type="dxa"/>
            <w:tcBorders>
              <w:top w:val="single" w:sz="6" w:space="0" w:color="69BD28"/>
              <w:bottom w:val="single" w:sz="6" w:space="0" w:color="69BD28"/>
            </w:tcBorders>
          </w:tcPr>
          <w:p>
            <w:pPr>
              <w:pStyle w:val="TableParagraph"/>
              <w:spacing w:before="22"/>
              <w:ind w:left="1169" w:right="1045"/>
              <w:rPr>
                <w:sz w:val="18"/>
              </w:rPr>
            </w:pPr>
            <w:r>
              <w:rPr>
                <w:w w:val="105"/>
                <w:sz w:val="18"/>
              </w:rPr>
              <w:t>Ganges</w:t>
            </w:r>
          </w:p>
        </w:tc>
        <w:tc>
          <w:tcPr>
            <w:tcW w:w="2500" w:type="dxa"/>
            <w:tcBorders>
              <w:top w:val="single" w:sz="6" w:space="0" w:color="69BD28"/>
              <w:bottom w:val="single" w:sz="6" w:space="0" w:color="69BD28"/>
            </w:tcBorders>
          </w:tcPr>
          <w:p>
            <w:pPr>
              <w:pStyle w:val="TableParagraph"/>
              <w:spacing w:before="3"/>
              <w:ind w:left="968" w:right="372"/>
              <w:rPr>
                <w:sz w:val="18"/>
              </w:rPr>
            </w:pPr>
            <w:r>
              <w:rPr>
                <w:w w:val="115"/>
                <w:sz w:val="18"/>
              </w:rPr>
              <w:t>NA</w:t>
            </w:r>
          </w:p>
        </w:tc>
        <w:tc>
          <w:tcPr>
            <w:tcW w:w="2981" w:type="dxa"/>
            <w:tcBorders>
              <w:top w:val="single" w:sz="6" w:space="0" w:color="69BD28"/>
              <w:bottom w:val="single" w:sz="6" w:space="0" w:color="69BD28"/>
            </w:tcBorders>
          </w:tcPr>
          <w:p>
            <w:pPr>
              <w:pStyle w:val="TableParagraph"/>
              <w:spacing w:before="22"/>
              <w:ind w:left="1493" w:right="1165"/>
              <w:rPr>
                <w:sz w:val="18"/>
              </w:rPr>
            </w:pPr>
            <w:r>
              <w:rPr>
                <w:sz w:val="18"/>
              </w:rPr>
              <w:t>SEZ</w:t>
            </w:r>
          </w:p>
        </w:tc>
        <w:tc>
          <w:tcPr>
            <w:tcW w:w="2118" w:type="dxa"/>
            <w:tcBorders>
              <w:top w:val="single" w:sz="6" w:space="0" w:color="69BD28"/>
              <w:bottom w:val="single" w:sz="6" w:space="0" w:color="69BD28"/>
            </w:tcBorders>
          </w:tcPr>
          <w:p>
            <w:pPr>
              <w:pStyle w:val="TableParagraph"/>
              <w:spacing w:before="3"/>
              <w:ind w:left="837"/>
              <w:jc w:val="left"/>
              <w:rPr>
                <w:sz w:val="18"/>
              </w:rPr>
            </w:pPr>
            <w:r>
              <w:rPr>
                <w:w w:val="115"/>
                <w:sz w:val="18"/>
              </w:rPr>
              <w:t>NA</w:t>
            </w:r>
          </w:p>
        </w:tc>
        <w:tc>
          <w:tcPr>
            <w:tcW w:w="2941" w:type="dxa"/>
            <w:tcBorders>
              <w:top w:val="single" w:sz="6" w:space="0" w:color="69BD28"/>
              <w:bottom w:val="single" w:sz="6" w:space="0" w:color="69BD28"/>
            </w:tcBorders>
          </w:tcPr>
          <w:p>
            <w:pPr>
              <w:pStyle w:val="TableParagraph"/>
              <w:spacing w:before="22"/>
              <w:ind w:left="1021" w:right="1044"/>
              <w:rPr>
                <w:sz w:val="18"/>
              </w:rPr>
            </w:pPr>
            <w:r>
              <w:rPr>
                <w:w w:val="110"/>
                <w:sz w:val="18"/>
              </w:rPr>
              <w:t>422,438</w:t>
            </w:r>
          </w:p>
        </w:tc>
      </w:tr>
      <w:tr>
        <w:trPr>
          <w:trHeight w:val="253" w:hRule="atLeast"/>
        </w:trPr>
        <w:tc>
          <w:tcPr>
            <w:tcW w:w="3009" w:type="dxa"/>
            <w:tcBorders>
              <w:top w:val="single" w:sz="6" w:space="0" w:color="69BD28"/>
              <w:bottom w:val="single" w:sz="6" w:space="0" w:color="69BD28"/>
            </w:tcBorders>
          </w:tcPr>
          <w:p>
            <w:pPr>
              <w:pStyle w:val="TableParagraph"/>
              <w:spacing w:before="22"/>
              <w:ind w:left="1169" w:right="1046"/>
              <w:rPr>
                <w:sz w:val="18"/>
              </w:rPr>
            </w:pPr>
            <w:r>
              <w:rPr>
                <w:sz w:val="18"/>
              </w:rPr>
              <w:t>Total</w:t>
            </w:r>
          </w:p>
        </w:tc>
        <w:tc>
          <w:tcPr>
            <w:tcW w:w="2500" w:type="dxa"/>
            <w:tcBorders>
              <w:top w:val="single" w:sz="6" w:space="0" w:color="69BD28"/>
              <w:bottom w:val="single" w:sz="6" w:space="0" w:color="69BD28"/>
            </w:tcBorders>
          </w:tcPr>
          <w:p>
            <w:pPr>
              <w:pStyle w:val="TableParagraph"/>
              <w:jc w:val="left"/>
              <w:rPr>
                <w:rFonts w:ascii="Times New Roman"/>
                <w:sz w:val="18"/>
              </w:rPr>
            </w:pPr>
          </w:p>
        </w:tc>
        <w:tc>
          <w:tcPr>
            <w:tcW w:w="2981" w:type="dxa"/>
            <w:tcBorders>
              <w:top w:val="single" w:sz="6" w:space="0" w:color="69BD28"/>
              <w:bottom w:val="single" w:sz="6" w:space="0" w:color="69BD28"/>
            </w:tcBorders>
          </w:tcPr>
          <w:p>
            <w:pPr>
              <w:pStyle w:val="TableParagraph"/>
              <w:jc w:val="left"/>
              <w:rPr>
                <w:rFonts w:ascii="Times New Roman"/>
                <w:sz w:val="18"/>
              </w:rPr>
            </w:pPr>
          </w:p>
        </w:tc>
        <w:tc>
          <w:tcPr>
            <w:tcW w:w="2118" w:type="dxa"/>
            <w:tcBorders>
              <w:top w:val="single" w:sz="6" w:space="0" w:color="69BD28"/>
              <w:bottom w:val="single" w:sz="6" w:space="0" w:color="69BD28"/>
            </w:tcBorders>
          </w:tcPr>
          <w:p>
            <w:pPr>
              <w:pStyle w:val="TableParagraph"/>
              <w:jc w:val="left"/>
              <w:rPr>
                <w:rFonts w:ascii="Times New Roman"/>
                <w:sz w:val="18"/>
              </w:rPr>
            </w:pPr>
          </w:p>
        </w:tc>
        <w:tc>
          <w:tcPr>
            <w:tcW w:w="2941" w:type="dxa"/>
            <w:tcBorders>
              <w:top w:val="single" w:sz="6" w:space="0" w:color="69BD28"/>
              <w:bottom w:val="single" w:sz="6" w:space="0" w:color="69BD28"/>
            </w:tcBorders>
          </w:tcPr>
          <w:p>
            <w:pPr>
              <w:pStyle w:val="TableParagraph"/>
              <w:spacing w:before="22"/>
              <w:ind w:left="1023" w:right="1044"/>
              <w:rPr>
                <w:sz w:val="18"/>
              </w:rPr>
            </w:pPr>
            <w:r>
              <w:rPr>
                <w:w w:val="110"/>
                <w:sz w:val="18"/>
              </w:rPr>
              <w:t>880,615</w:t>
            </w:r>
          </w:p>
        </w:tc>
      </w:tr>
      <w:tr>
        <w:trPr>
          <w:trHeight w:val="216" w:hRule="atLeast"/>
        </w:trPr>
        <w:tc>
          <w:tcPr>
            <w:tcW w:w="3009" w:type="dxa"/>
            <w:shd w:val="clear" w:color="auto" w:fill="69BD28"/>
          </w:tcPr>
          <w:p>
            <w:pPr>
              <w:pStyle w:val="TableParagraph"/>
              <w:jc w:val="left"/>
              <w:rPr>
                <w:rFonts w:ascii="Times New Roman"/>
                <w:sz w:val="14"/>
              </w:rPr>
            </w:pPr>
          </w:p>
        </w:tc>
        <w:tc>
          <w:tcPr>
            <w:tcW w:w="2500" w:type="dxa"/>
            <w:shd w:val="clear" w:color="auto" w:fill="69BD28"/>
          </w:tcPr>
          <w:p>
            <w:pPr>
              <w:pStyle w:val="TableParagraph"/>
              <w:jc w:val="left"/>
              <w:rPr>
                <w:rFonts w:ascii="Times New Roman"/>
                <w:sz w:val="14"/>
              </w:rPr>
            </w:pPr>
          </w:p>
        </w:tc>
        <w:tc>
          <w:tcPr>
            <w:tcW w:w="2981" w:type="dxa"/>
            <w:shd w:val="clear" w:color="auto" w:fill="69BD28"/>
          </w:tcPr>
          <w:p>
            <w:pPr>
              <w:pStyle w:val="TableParagraph"/>
              <w:spacing w:line="192" w:lineRule="exact" w:before="4"/>
              <w:ind w:left="847"/>
              <w:jc w:val="left"/>
              <w:rPr>
                <w:b/>
                <w:sz w:val="18"/>
              </w:rPr>
            </w:pPr>
            <w:r>
              <w:rPr>
                <w:b/>
                <w:color w:val="FFFFFF"/>
                <w:w w:val="110"/>
                <w:sz w:val="18"/>
              </w:rPr>
              <w:t>Proposed</w:t>
            </w:r>
          </w:p>
        </w:tc>
        <w:tc>
          <w:tcPr>
            <w:tcW w:w="2118" w:type="dxa"/>
            <w:shd w:val="clear" w:color="auto" w:fill="69BD28"/>
          </w:tcPr>
          <w:p>
            <w:pPr>
              <w:pStyle w:val="TableParagraph"/>
              <w:jc w:val="left"/>
              <w:rPr>
                <w:rFonts w:ascii="Times New Roman"/>
                <w:sz w:val="14"/>
              </w:rPr>
            </w:pPr>
          </w:p>
        </w:tc>
        <w:tc>
          <w:tcPr>
            <w:tcW w:w="2941" w:type="dxa"/>
            <w:shd w:val="clear" w:color="auto" w:fill="69BD28"/>
          </w:tcPr>
          <w:p>
            <w:pPr>
              <w:pStyle w:val="TableParagraph"/>
              <w:jc w:val="left"/>
              <w:rPr>
                <w:rFonts w:ascii="Times New Roman"/>
                <w:sz w:val="14"/>
              </w:rPr>
            </w:pPr>
          </w:p>
        </w:tc>
      </w:tr>
      <w:tr>
        <w:trPr>
          <w:trHeight w:val="256" w:hRule="atLeast"/>
        </w:trPr>
        <w:tc>
          <w:tcPr>
            <w:tcW w:w="3009" w:type="dxa"/>
            <w:tcBorders>
              <w:top w:val="single" w:sz="6" w:space="0" w:color="69BD28"/>
              <w:bottom w:val="single" w:sz="6" w:space="0" w:color="69BD28"/>
            </w:tcBorders>
          </w:tcPr>
          <w:p>
            <w:pPr>
              <w:pStyle w:val="TableParagraph"/>
              <w:spacing w:before="25"/>
              <w:ind w:left="1168" w:right="1047"/>
              <w:rPr>
                <w:sz w:val="18"/>
              </w:rPr>
            </w:pPr>
            <w:r>
              <w:rPr>
                <w:w w:val="105"/>
                <w:sz w:val="18"/>
              </w:rPr>
              <w:t>Block 4</w:t>
            </w:r>
          </w:p>
        </w:tc>
        <w:tc>
          <w:tcPr>
            <w:tcW w:w="2500" w:type="dxa"/>
            <w:tcBorders>
              <w:top w:val="single" w:sz="6" w:space="0" w:color="69BD28"/>
              <w:bottom w:val="single" w:sz="6" w:space="0" w:color="69BD28"/>
            </w:tcBorders>
          </w:tcPr>
          <w:p>
            <w:pPr>
              <w:pStyle w:val="TableParagraph"/>
              <w:spacing w:before="6"/>
              <w:ind w:left="968" w:right="372"/>
              <w:rPr>
                <w:sz w:val="18"/>
              </w:rPr>
            </w:pPr>
            <w:r>
              <w:rPr>
                <w:w w:val="115"/>
                <w:sz w:val="18"/>
              </w:rPr>
              <w:t>NA</w:t>
            </w:r>
          </w:p>
        </w:tc>
        <w:tc>
          <w:tcPr>
            <w:tcW w:w="2981" w:type="dxa"/>
            <w:tcBorders>
              <w:top w:val="single" w:sz="6" w:space="0" w:color="69BD28"/>
              <w:bottom w:val="single" w:sz="6" w:space="0" w:color="69BD28"/>
            </w:tcBorders>
          </w:tcPr>
          <w:p>
            <w:pPr>
              <w:pStyle w:val="TableParagraph"/>
              <w:spacing w:before="25"/>
              <w:ind w:left="1493" w:right="1165"/>
              <w:rPr>
                <w:sz w:val="18"/>
              </w:rPr>
            </w:pPr>
            <w:r>
              <w:rPr>
                <w:sz w:val="18"/>
              </w:rPr>
              <w:t>SEZ</w:t>
            </w:r>
          </w:p>
        </w:tc>
        <w:tc>
          <w:tcPr>
            <w:tcW w:w="2118" w:type="dxa"/>
            <w:tcBorders>
              <w:top w:val="single" w:sz="6" w:space="0" w:color="69BD28"/>
              <w:bottom w:val="single" w:sz="6" w:space="0" w:color="69BD28"/>
            </w:tcBorders>
          </w:tcPr>
          <w:p>
            <w:pPr>
              <w:pStyle w:val="TableParagraph"/>
              <w:spacing w:before="6"/>
              <w:ind w:left="837"/>
              <w:jc w:val="left"/>
              <w:rPr>
                <w:sz w:val="18"/>
              </w:rPr>
            </w:pPr>
            <w:r>
              <w:rPr>
                <w:w w:val="115"/>
                <w:sz w:val="18"/>
              </w:rPr>
              <w:t>NA</w:t>
            </w:r>
          </w:p>
        </w:tc>
        <w:tc>
          <w:tcPr>
            <w:tcW w:w="2941" w:type="dxa"/>
            <w:tcBorders>
              <w:top w:val="single" w:sz="6" w:space="0" w:color="69BD28"/>
              <w:bottom w:val="single" w:sz="6" w:space="0" w:color="69BD28"/>
            </w:tcBorders>
          </w:tcPr>
          <w:p>
            <w:pPr>
              <w:pStyle w:val="TableParagraph"/>
              <w:spacing w:before="25"/>
              <w:ind w:left="1021" w:right="1044"/>
              <w:rPr>
                <w:sz w:val="18"/>
              </w:rPr>
            </w:pPr>
            <w:r>
              <w:rPr>
                <w:w w:val="110"/>
                <w:sz w:val="18"/>
              </w:rPr>
              <w:t>472,316</w:t>
            </w:r>
          </w:p>
        </w:tc>
      </w:tr>
      <w:tr>
        <w:trPr>
          <w:trHeight w:val="253" w:hRule="atLeast"/>
        </w:trPr>
        <w:tc>
          <w:tcPr>
            <w:tcW w:w="3009" w:type="dxa"/>
            <w:tcBorders>
              <w:top w:val="single" w:sz="6" w:space="0" w:color="69BD28"/>
              <w:bottom w:val="single" w:sz="6" w:space="0" w:color="69BD28"/>
            </w:tcBorders>
          </w:tcPr>
          <w:p>
            <w:pPr>
              <w:pStyle w:val="TableParagraph"/>
              <w:spacing w:before="22"/>
              <w:ind w:left="1168" w:right="1047"/>
              <w:rPr>
                <w:sz w:val="18"/>
              </w:rPr>
            </w:pPr>
            <w:r>
              <w:rPr>
                <w:w w:val="105"/>
                <w:sz w:val="18"/>
              </w:rPr>
              <w:t>Block 9</w:t>
            </w:r>
          </w:p>
        </w:tc>
        <w:tc>
          <w:tcPr>
            <w:tcW w:w="2500" w:type="dxa"/>
            <w:tcBorders>
              <w:top w:val="single" w:sz="6" w:space="0" w:color="69BD28"/>
              <w:bottom w:val="single" w:sz="6" w:space="0" w:color="69BD28"/>
            </w:tcBorders>
          </w:tcPr>
          <w:p>
            <w:pPr>
              <w:pStyle w:val="TableParagraph"/>
              <w:spacing w:before="3"/>
              <w:ind w:left="968" w:right="372"/>
              <w:rPr>
                <w:sz w:val="18"/>
              </w:rPr>
            </w:pPr>
            <w:r>
              <w:rPr>
                <w:w w:val="115"/>
                <w:sz w:val="18"/>
              </w:rPr>
              <w:t>NA</w:t>
            </w:r>
          </w:p>
        </w:tc>
        <w:tc>
          <w:tcPr>
            <w:tcW w:w="2981" w:type="dxa"/>
            <w:tcBorders>
              <w:top w:val="single" w:sz="6" w:space="0" w:color="69BD28"/>
              <w:bottom w:val="single" w:sz="6" w:space="0" w:color="69BD28"/>
            </w:tcBorders>
          </w:tcPr>
          <w:p>
            <w:pPr>
              <w:pStyle w:val="TableParagraph"/>
              <w:spacing w:before="22"/>
              <w:ind w:left="1493" w:right="1165"/>
              <w:rPr>
                <w:sz w:val="18"/>
              </w:rPr>
            </w:pPr>
            <w:r>
              <w:rPr>
                <w:sz w:val="18"/>
              </w:rPr>
              <w:t>SEZ</w:t>
            </w:r>
          </w:p>
        </w:tc>
        <w:tc>
          <w:tcPr>
            <w:tcW w:w="2118" w:type="dxa"/>
            <w:tcBorders>
              <w:top w:val="single" w:sz="6" w:space="0" w:color="69BD28"/>
              <w:bottom w:val="single" w:sz="6" w:space="0" w:color="69BD28"/>
            </w:tcBorders>
          </w:tcPr>
          <w:p>
            <w:pPr>
              <w:pStyle w:val="TableParagraph"/>
              <w:spacing w:before="3"/>
              <w:ind w:left="837"/>
              <w:jc w:val="left"/>
              <w:rPr>
                <w:sz w:val="18"/>
              </w:rPr>
            </w:pPr>
            <w:r>
              <w:rPr>
                <w:w w:val="115"/>
                <w:sz w:val="18"/>
              </w:rPr>
              <w:t>NA</w:t>
            </w:r>
          </w:p>
        </w:tc>
        <w:tc>
          <w:tcPr>
            <w:tcW w:w="2941" w:type="dxa"/>
            <w:tcBorders>
              <w:top w:val="single" w:sz="6" w:space="0" w:color="69BD28"/>
              <w:bottom w:val="single" w:sz="6" w:space="0" w:color="69BD28"/>
            </w:tcBorders>
          </w:tcPr>
          <w:p>
            <w:pPr>
              <w:pStyle w:val="TableParagraph"/>
              <w:spacing w:before="22"/>
              <w:ind w:left="1021" w:right="1044"/>
              <w:rPr>
                <w:sz w:val="18"/>
              </w:rPr>
            </w:pPr>
            <w:r>
              <w:rPr>
                <w:w w:val="110"/>
                <w:sz w:val="18"/>
              </w:rPr>
              <w:t>978,517</w:t>
            </w:r>
          </w:p>
        </w:tc>
      </w:tr>
      <w:tr>
        <w:trPr>
          <w:trHeight w:val="256" w:hRule="atLeast"/>
        </w:trPr>
        <w:tc>
          <w:tcPr>
            <w:tcW w:w="3009" w:type="dxa"/>
            <w:tcBorders>
              <w:top w:val="single" w:sz="6" w:space="0" w:color="69BD28"/>
              <w:bottom w:val="single" w:sz="6" w:space="0" w:color="69BD28"/>
            </w:tcBorders>
          </w:tcPr>
          <w:p>
            <w:pPr>
              <w:pStyle w:val="TableParagraph"/>
              <w:spacing w:before="25"/>
              <w:ind w:left="1168" w:right="1047"/>
              <w:rPr>
                <w:sz w:val="18"/>
              </w:rPr>
            </w:pPr>
            <w:r>
              <w:rPr>
                <w:w w:val="105"/>
                <w:sz w:val="18"/>
              </w:rPr>
              <w:t>Block 10</w:t>
            </w:r>
          </w:p>
        </w:tc>
        <w:tc>
          <w:tcPr>
            <w:tcW w:w="2500" w:type="dxa"/>
            <w:tcBorders>
              <w:top w:val="single" w:sz="6" w:space="0" w:color="69BD28"/>
              <w:bottom w:val="single" w:sz="6" w:space="0" w:color="69BD28"/>
            </w:tcBorders>
          </w:tcPr>
          <w:p>
            <w:pPr>
              <w:pStyle w:val="TableParagraph"/>
              <w:spacing w:before="6"/>
              <w:ind w:left="968" w:right="372"/>
              <w:rPr>
                <w:sz w:val="18"/>
              </w:rPr>
            </w:pPr>
            <w:r>
              <w:rPr>
                <w:w w:val="115"/>
                <w:sz w:val="18"/>
              </w:rPr>
              <w:t>NA</w:t>
            </w:r>
          </w:p>
        </w:tc>
        <w:tc>
          <w:tcPr>
            <w:tcW w:w="2981" w:type="dxa"/>
            <w:tcBorders>
              <w:top w:val="single" w:sz="6" w:space="0" w:color="69BD28"/>
              <w:bottom w:val="single" w:sz="6" w:space="0" w:color="69BD28"/>
            </w:tcBorders>
          </w:tcPr>
          <w:p>
            <w:pPr>
              <w:pStyle w:val="TableParagraph"/>
              <w:spacing w:before="25"/>
              <w:ind w:left="1493" w:right="1165"/>
              <w:rPr>
                <w:sz w:val="18"/>
              </w:rPr>
            </w:pPr>
            <w:r>
              <w:rPr>
                <w:sz w:val="18"/>
              </w:rPr>
              <w:t>SEZ</w:t>
            </w:r>
          </w:p>
        </w:tc>
        <w:tc>
          <w:tcPr>
            <w:tcW w:w="2118" w:type="dxa"/>
            <w:tcBorders>
              <w:top w:val="single" w:sz="6" w:space="0" w:color="69BD28"/>
              <w:bottom w:val="single" w:sz="6" w:space="0" w:color="69BD28"/>
            </w:tcBorders>
          </w:tcPr>
          <w:p>
            <w:pPr>
              <w:pStyle w:val="TableParagraph"/>
              <w:spacing w:before="6"/>
              <w:ind w:left="837"/>
              <w:jc w:val="left"/>
              <w:rPr>
                <w:sz w:val="18"/>
              </w:rPr>
            </w:pPr>
            <w:r>
              <w:rPr>
                <w:w w:val="115"/>
                <w:sz w:val="18"/>
              </w:rPr>
              <w:t>NA</w:t>
            </w:r>
          </w:p>
        </w:tc>
        <w:tc>
          <w:tcPr>
            <w:tcW w:w="2941" w:type="dxa"/>
            <w:tcBorders>
              <w:top w:val="single" w:sz="6" w:space="0" w:color="69BD28"/>
              <w:bottom w:val="single" w:sz="6" w:space="0" w:color="69BD28"/>
            </w:tcBorders>
          </w:tcPr>
          <w:p>
            <w:pPr>
              <w:pStyle w:val="TableParagraph"/>
              <w:spacing w:before="25"/>
              <w:ind w:left="1021" w:right="1044"/>
              <w:rPr>
                <w:sz w:val="18"/>
              </w:rPr>
            </w:pPr>
            <w:r>
              <w:rPr>
                <w:w w:val="110"/>
                <w:sz w:val="18"/>
              </w:rPr>
              <w:t>941,754</w:t>
            </w:r>
          </w:p>
        </w:tc>
      </w:tr>
      <w:tr>
        <w:trPr>
          <w:trHeight w:val="253" w:hRule="atLeast"/>
        </w:trPr>
        <w:tc>
          <w:tcPr>
            <w:tcW w:w="3009" w:type="dxa"/>
            <w:tcBorders>
              <w:top w:val="single" w:sz="6" w:space="0" w:color="69BD28"/>
              <w:bottom w:val="single" w:sz="6" w:space="0" w:color="69BD28"/>
            </w:tcBorders>
          </w:tcPr>
          <w:p>
            <w:pPr>
              <w:pStyle w:val="TableParagraph"/>
              <w:spacing w:before="22"/>
              <w:ind w:left="1169" w:right="1047"/>
              <w:rPr>
                <w:sz w:val="18"/>
              </w:rPr>
            </w:pPr>
            <w:r>
              <w:rPr>
                <w:w w:val="105"/>
                <w:sz w:val="18"/>
              </w:rPr>
              <w:t>Volga</w:t>
            </w:r>
          </w:p>
        </w:tc>
        <w:tc>
          <w:tcPr>
            <w:tcW w:w="2500" w:type="dxa"/>
            <w:tcBorders>
              <w:top w:val="single" w:sz="6" w:space="0" w:color="69BD28"/>
              <w:bottom w:val="single" w:sz="6" w:space="0" w:color="69BD28"/>
            </w:tcBorders>
          </w:tcPr>
          <w:p>
            <w:pPr>
              <w:pStyle w:val="TableParagraph"/>
              <w:spacing w:before="22"/>
              <w:ind w:left="968" w:right="372"/>
              <w:rPr>
                <w:sz w:val="18"/>
              </w:rPr>
            </w:pPr>
            <w:r>
              <w:rPr>
                <w:w w:val="115"/>
                <w:sz w:val="18"/>
              </w:rPr>
              <w:t>NA</w:t>
            </w:r>
          </w:p>
        </w:tc>
        <w:tc>
          <w:tcPr>
            <w:tcW w:w="2981" w:type="dxa"/>
            <w:tcBorders>
              <w:top w:val="single" w:sz="6" w:space="0" w:color="69BD28"/>
              <w:bottom w:val="single" w:sz="6" w:space="0" w:color="69BD28"/>
            </w:tcBorders>
          </w:tcPr>
          <w:p>
            <w:pPr>
              <w:pStyle w:val="TableParagraph"/>
              <w:spacing w:before="22"/>
              <w:ind w:left="1493" w:right="1165"/>
              <w:rPr>
                <w:sz w:val="18"/>
              </w:rPr>
            </w:pPr>
            <w:r>
              <w:rPr>
                <w:sz w:val="18"/>
              </w:rPr>
              <w:t>SEZ</w:t>
            </w:r>
          </w:p>
        </w:tc>
        <w:tc>
          <w:tcPr>
            <w:tcW w:w="2118" w:type="dxa"/>
            <w:tcBorders>
              <w:top w:val="single" w:sz="6" w:space="0" w:color="69BD28"/>
              <w:bottom w:val="single" w:sz="6" w:space="0" w:color="69BD28"/>
            </w:tcBorders>
          </w:tcPr>
          <w:p>
            <w:pPr>
              <w:pStyle w:val="TableParagraph"/>
              <w:spacing w:before="3"/>
              <w:ind w:left="837"/>
              <w:jc w:val="left"/>
              <w:rPr>
                <w:sz w:val="18"/>
              </w:rPr>
            </w:pPr>
            <w:r>
              <w:rPr>
                <w:w w:val="115"/>
                <w:sz w:val="18"/>
              </w:rPr>
              <w:t>NA</w:t>
            </w:r>
          </w:p>
        </w:tc>
        <w:tc>
          <w:tcPr>
            <w:tcW w:w="2941" w:type="dxa"/>
            <w:tcBorders>
              <w:top w:val="single" w:sz="6" w:space="0" w:color="69BD28"/>
              <w:bottom w:val="single" w:sz="6" w:space="0" w:color="69BD28"/>
            </w:tcBorders>
          </w:tcPr>
          <w:p>
            <w:pPr>
              <w:pStyle w:val="TableParagraph"/>
              <w:spacing w:before="22"/>
              <w:ind w:left="1024" w:right="1044"/>
              <w:rPr>
                <w:sz w:val="18"/>
              </w:rPr>
            </w:pPr>
            <w:r>
              <w:rPr>
                <w:w w:val="110"/>
                <w:sz w:val="18"/>
              </w:rPr>
              <w:t>39,689</w:t>
            </w:r>
          </w:p>
        </w:tc>
      </w:tr>
      <w:tr>
        <w:trPr>
          <w:trHeight w:val="256" w:hRule="atLeast"/>
        </w:trPr>
        <w:tc>
          <w:tcPr>
            <w:tcW w:w="3009" w:type="dxa"/>
            <w:tcBorders>
              <w:top w:val="single" w:sz="6" w:space="0" w:color="69BD28"/>
              <w:bottom w:val="single" w:sz="6" w:space="0" w:color="69BD28"/>
            </w:tcBorders>
          </w:tcPr>
          <w:p>
            <w:pPr>
              <w:pStyle w:val="TableParagraph"/>
              <w:spacing w:before="25"/>
              <w:ind w:left="1169" w:right="1046"/>
              <w:rPr>
                <w:sz w:val="18"/>
              </w:rPr>
            </w:pPr>
            <w:r>
              <w:rPr>
                <w:sz w:val="18"/>
              </w:rPr>
              <w:t>Total</w:t>
            </w:r>
          </w:p>
        </w:tc>
        <w:tc>
          <w:tcPr>
            <w:tcW w:w="2500" w:type="dxa"/>
            <w:tcBorders>
              <w:top w:val="single" w:sz="6" w:space="0" w:color="69BD28"/>
              <w:bottom w:val="single" w:sz="6" w:space="0" w:color="69BD28"/>
            </w:tcBorders>
          </w:tcPr>
          <w:p>
            <w:pPr>
              <w:pStyle w:val="TableParagraph"/>
              <w:jc w:val="left"/>
              <w:rPr>
                <w:rFonts w:ascii="Times New Roman"/>
                <w:sz w:val="18"/>
              </w:rPr>
            </w:pPr>
          </w:p>
        </w:tc>
        <w:tc>
          <w:tcPr>
            <w:tcW w:w="2981" w:type="dxa"/>
            <w:tcBorders>
              <w:top w:val="single" w:sz="6" w:space="0" w:color="69BD28"/>
              <w:bottom w:val="single" w:sz="6" w:space="0" w:color="69BD28"/>
            </w:tcBorders>
          </w:tcPr>
          <w:p>
            <w:pPr>
              <w:pStyle w:val="TableParagraph"/>
              <w:jc w:val="left"/>
              <w:rPr>
                <w:rFonts w:ascii="Times New Roman"/>
                <w:sz w:val="18"/>
              </w:rPr>
            </w:pPr>
          </w:p>
        </w:tc>
        <w:tc>
          <w:tcPr>
            <w:tcW w:w="2118" w:type="dxa"/>
            <w:tcBorders>
              <w:top w:val="single" w:sz="6" w:space="0" w:color="69BD28"/>
              <w:bottom w:val="single" w:sz="6" w:space="0" w:color="69BD28"/>
            </w:tcBorders>
          </w:tcPr>
          <w:p>
            <w:pPr>
              <w:pStyle w:val="TableParagraph"/>
              <w:jc w:val="left"/>
              <w:rPr>
                <w:rFonts w:ascii="Times New Roman"/>
                <w:sz w:val="18"/>
              </w:rPr>
            </w:pPr>
          </w:p>
        </w:tc>
        <w:tc>
          <w:tcPr>
            <w:tcW w:w="2941" w:type="dxa"/>
            <w:tcBorders>
              <w:top w:val="single" w:sz="6" w:space="0" w:color="69BD28"/>
              <w:bottom w:val="single" w:sz="6" w:space="0" w:color="69BD28"/>
            </w:tcBorders>
          </w:tcPr>
          <w:p>
            <w:pPr>
              <w:pStyle w:val="TableParagraph"/>
              <w:spacing w:before="25"/>
              <w:ind w:left="1024" w:right="1044"/>
              <w:rPr>
                <w:sz w:val="18"/>
              </w:rPr>
            </w:pPr>
            <w:r>
              <w:rPr>
                <w:w w:val="105"/>
                <w:sz w:val="18"/>
              </w:rPr>
              <w:t>2,432,276</w:t>
            </w:r>
          </w:p>
        </w:tc>
      </w:tr>
    </w:tbl>
    <w:p>
      <w:pPr>
        <w:spacing w:before="0"/>
        <w:ind w:left="211" w:right="0" w:firstLine="0"/>
        <w:jc w:val="left"/>
        <w:rPr>
          <w:i/>
          <w:sz w:val="18"/>
        </w:rPr>
      </w:pPr>
      <w:r>
        <w:rPr>
          <w:i/>
          <w:sz w:val="18"/>
        </w:rPr>
        <w:t>Source: Rent roll, Architect Certificate, Occupancy Certificate provided by Client</w:t>
      </w:r>
    </w:p>
    <w:p>
      <w:pPr>
        <w:spacing w:after="0"/>
        <w:jc w:val="left"/>
        <w:rPr>
          <w:sz w:val="18"/>
        </w:rPr>
        <w:sectPr>
          <w:headerReference w:type="default" r:id="rId178"/>
          <w:footerReference w:type="default" r:id="rId179"/>
          <w:pgSz w:w="16840" w:h="11910" w:orient="landscape"/>
          <w:pgMar w:header="0" w:footer="504" w:top="640" w:bottom="700" w:left="1200" w:right="200"/>
        </w:sectPr>
      </w:pPr>
    </w:p>
    <w:p>
      <w:pPr>
        <w:pStyle w:val="BodyText"/>
        <w:spacing w:before="6"/>
        <w:rPr>
          <w:i/>
          <w:sz w:val="17"/>
        </w:rPr>
      </w:pPr>
    </w:p>
    <w:p>
      <w:pPr>
        <w:pStyle w:val="BodyText"/>
        <w:ind w:left="212"/>
        <w:rPr>
          <w:sz w:val="20"/>
        </w:rPr>
      </w:pPr>
      <w:r>
        <w:rPr>
          <w:sz w:val="20"/>
        </w:rPr>
        <w:pict>
          <v:group style="width:523.6pt;height:23.05pt;mso-position-horizontal-relative:char;mso-position-vertical-relative:line" coordorigin="0,0" coordsize="10472,461">
            <v:shape style="position:absolute;left:0;top:14;width:10472;height:432" coordorigin="0,14" coordsize="10472,432" path="m7991,14l5512,14,3032,14,0,14,0,446,3032,446,5512,446,7991,446,7991,14xm10471,14l7992,14,7992,446,10471,446,10471,14xe" filled="true" fillcolor="#006a4d" stroked="false">
              <v:path arrowok="t"/>
              <v:fill type="solid"/>
            </v:shape>
            <v:shape style="position:absolute;left:0;top:0;width:10472;height:461" coordorigin="0,0" coordsize="10472,461" path="m7991,446l5526,446,5512,446,3047,446,3032,446,0,446,0,461,3032,461,3047,461,5512,461,5526,461,7991,461,7991,446xm7991,0l5526,0,5512,0,3047,0,3032,0,0,0,0,14,3032,14,3047,14,5512,14,5526,14,7991,14,7991,0xm10471,446l8006,446,7992,446,7992,461,8006,461,10471,461,10471,446xm10471,0l8006,0,7992,0,7992,14,8006,14,10471,14,10471,0xe" filled="true" fillcolor="#69bd28" stroked="false">
              <v:path arrowok="t"/>
              <v:fill type="solid"/>
            </v:shape>
            <v:shape style="position:absolute;left:1200;top:121;width:650;height:216" type="#_x0000_t202" filled="false" stroked="false">
              <v:textbox inset="0,0,0,0">
                <w:txbxContent>
                  <w:p>
                    <w:pPr>
                      <w:spacing w:before="4"/>
                      <w:ind w:left="0" w:right="0" w:firstLine="0"/>
                      <w:jc w:val="left"/>
                      <w:rPr>
                        <w:b/>
                        <w:sz w:val="18"/>
                      </w:rPr>
                    </w:pPr>
                    <w:r>
                      <w:rPr>
                        <w:b/>
                        <w:color w:val="FFFFFF"/>
                        <w:w w:val="110"/>
                        <w:sz w:val="18"/>
                      </w:rPr>
                      <w:t>Details</w:t>
                    </w:r>
                  </w:p>
                </w:txbxContent>
              </v:textbox>
              <w10:wrap type="none"/>
            </v:shape>
            <v:shape style="position:absolute;left:3469;top:121;width:1629;height:216" type="#_x0000_t202" filled="false" stroked="false">
              <v:textbox inset="0,0,0,0">
                <w:txbxContent>
                  <w:p>
                    <w:pPr>
                      <w:spacing w:before="4"/>
                      <w:ind w:left="0" w:right="0" w:firstLine="0"/>
                      <w:jc w:val="left"/>
                      <w:rPr>
                        <w:b/>
                        <w:sz w:val="18"/>
                      </w:rPr>
                    </w:pPr>
                    <w:r>
                      <w:rPr>
                        <w:b/>
                        <w:color w:val="FFFFFF"/>
                        <w:w w:val="110"/>
                        <w:sz w:val="18"/>
                      </w:rPr>
                      <w:t>Completed</w:t>
                    </w:r>
                    <w:r>
                      <w:rPr>
                        <w:b/>
                        <w:color w:val="FFFFFF"/>
                        <w:spacing w:val="-28"/>
                        <w:w w:val="110"/>
                        <w:sz w:val="18"/>
                      </w:rPr>
                      <w:t> </w:t>
                    </w:r>
                    <w:r>
                      <w:rPr>
                        <w:b/>
                        <w:color w:val="FFFFFF"/>
                        <w:w w:val="110"/>
                        <w:sz w:val="18"/>
                      </w:rPr>
                      <w:t>Blocks</w:t>
                    </w:r>
                  </w:p>
                </w:txbxContent>
              </v:textbox>
              <w10:wrap type="none"/>
            </v:shape>
            <v:shape style="position:absolute;left:5879;top:13;width:1764;height:432" type="#_x0000_t202" filled="false" stroked="false">
              <v:textbox inset="0,0,0,0">
                <w:txbxContent>
                  <w:p>
                    <w:pPr>
                      <w:spacing w:line="247" w:lineRule="auto" w:before="4"/>
                      <w:ind w:left="583" w:right="-17" w:hanging="584"/>
                      <w:jc w:val="left"/>
                      <w:rPr>
                        <w:b/>
                        <w:sz w:val="18"/>
                      </w:rPr>
                    </w:pPr>
                    <w:r>
                      <w:rPr>
                        <w:b/>
                        <w:color w:val="FFFFFF"/>
                        <w:w w:val="105"/>
                        <w:sz w:val="18"/>
                      </w:rPr>
                      <w:t>Under Construction Blocks</w:t>
                    </w:r>
                  </w:p>
                </w:txbxContent>
              </v:textbox>
              <w10:wrap type="none"/>
            </v:shape>
            <v:shape style="position:absolute;left:8402;top:121;width:1676;height:216" type="#_x0000_t202" filled="false" stroked="false">
              <v:textbox inset="0,0,0,0">
                <w:txbxContent>
                  <w:p>
                    <w:pPr>
                      <w:spacing w:before="4"/>
                      <w:ind w:left="0" w:right="0" w:firstLine="0"/>
                      <w:jc w:val="left"/>
                      <w:rPr>
                        <w:b/>
                        <w:sz w:val="18"/>
                      </w:rPr>
                    </w:pPr>
                    <w:r>
                      <w:rPr>
                        <w:b/>
                        <w:color w:val="FFFFFF"/>
                        <w:w w:val="110"/>
                        <w:sz w:val="18"/>
                      </w:rPr>
                      <w:t>Land Stage Blocks</w:t>
                    </w:r>
                  </w:p>
                </w:txbxContent>
              </v:textbox>
              <w10:wrap type="none"/>
            </v:shape>
          </v:group>
        </w:pict>
      </w:r>
      <w:r>
        <w:rPr>
          <w:sz w:val="20"/>
        </w:rPr>
      </w:r>
    </w:p>
    <w:p>
      <w:pPr>
        <w:tabs>
          <w:tab w:pos="3266" w:val="left" w:leader="none"/>
          <w:tab w:pos="6051" w:val="left" w:leader="none"/>
          <w:tab w:pos="8531" w:val="left" w:leader="none"/>
        </w:tabs>
        <w:spacing w:before="10"/>
        <w:ind w:left="0" w:right="1448" w:firstLine="0"/>
        <w:jc w:val="right"/>
        <w:rPr>
          <w:sz w:val="18"/>
        </w:rPr>
      </w:pPr>
      <w:r>
        <w:rPr/>
        <w:pict>
          <v:shape style="position:absolute;margin-left:35.640003pt;margin-top:12.910677pt;width:523.6pt;height:.75pt;mso-position-horizontal-relative:page;mso-position-vertical-relative:paragraph;z-index:-15376896;mso-wrap-distance-left:0;mso-wrap-distance-right:0" coordorigin="713,258" coordsize="10472,15" path="m8704,258l6239,258,6225,258,3759,258,3745,258,713,258,713,273,3745,273,3759,273,6225,273,6239,273,8704,273,8704,258xm11184,258l8719,258,8704,258,8704,273,8719,273,11184,273,11184,258xe" filled="true" fillcolor="#69bd28" stroked="false">
            <v:path arrowok="t"/>
            <v:fill type="solid"/>
            <w10:wrap type="topAndBottom"/>
          </v:shape>
        </w:pict>
      </w:r>
      <w:r>
        <w:rPr>
          <w:sz w:val="18"/>
        </w:rPr>
        <w:t>Grade of</w:t>
      </w:r>
      <w:r>
        <w:rPr>
          <w:spacing w:val="-13"/>
          <w:sz w:val="18"/>
        </w:rPr>
        <w:t> </w:t>
      </w:r>
      <w:r>
        <w:rPr>
          <w:sz w:val="18"/>
        </w:rPr>
        <w:t>the</w:t>
      </w:r>
      <w:r>
        <w:rPr>
          <w:spacing w:val="-6"/>
          <w:sz w:val="18"/>
        </w:rPr>
        <w:t> </w:t>
      </w:r>
      <w:r>
        <w:rPr>
          <w:sz w:val="18"/>
        </w:rPr>
        <w:t>Building</w:t>
        <w:tab/>
        <w:t>Grade</w:t>
      </w:r>
      <w:r>
        <w:rPr>
          <w:spacing w:val="9"/>
          <w:sz w:val="18"/>
        </w:rPr>
        <w:t> </w:t>
      </w:r>
      <w:r>
        <w:rPr>
          <w:sz w:val="18"/>
        </w:rPr>
        <w:t>A</w:t>
        <w:tab/>
        <w:t>-</w:t>
        <w:tab/>
      </w:r>
      <w:r>
        <w:rPr>
          <w:w w:val="95"/>
          <w:sz w:val="18"/>
        </w:rPr>
        <w:t>-</w:t>
      </w:r>
    </w:p>
    <w:p>
      <w:pPr>
        <w:tabs>
          <w:tab w:pos="2503" w:val="left" w:leader="none"/>
          <w:tab w:pos="5940" w:val="left" w:leader="none"/>
          <w:tab w:pos="8421" w:val="left" w:leader="none"/>
        </w:tabs>
        <w:spacing w:before="10" w:after="39"/>
        <w:ind w:left="0" w:right="1448" w:firstLine="0"/>
        <w:jc w:val="right"/>
        <w:rPr>
          <w:sz w:val="18"/>
        </w:rPr>
      </w:pPr>
      <w:r>
        <w:rPr>
          <w:sz w:val="18"/>
        </w:rPr>
        <w:t>LEED</w:t>
      </w:r>
      <w:r>
        <w:rPr>
          <w:spacing w:val="-25"/>
          <w:sz w:val="18"/>
        </w:rPr>
        <w:t> </w:t>
      </w:r>
      <w:r>
        <w:rPr>
          <w:sz w:val="18"/>
        </w:rPr>
        <w:t>Certification*</w:t>
        <w:tab/>
        <w:t>Gold (Mekong</w:t>
      </w:r>
      <w:r>
        <w:rPr>
          <w:spacing w:val="3"/>
          <w:sz w:val="18"/>
        </w:rPr>
        <w:t> </w:t>
      </w:r>
      <w:r>
        <w:rPr>
          <w:sz w:val="18"/>
        </w:rPr>
        <w:t>Block</w:t>
      </w:r>
      <w:r>
        <w:rPr>
          <w:spacing w:val="2"/>
          <w:sz w:val="18"/>
        </w:rPr>
        <w:t> </w:t>
      </w:r>
      <w:r>
        <w:rPr>
          <w:sz w:val="18"/>
        </w:rPr>
        <w:t>1.6)</w:t>
        <w:tab/>
        <w:t>-</w:t>
        <w:tab/>
      </w:r>
      <w:r>
        <w:rPr>
          <w:w w:val="95"/>
          <w:sz w:val="18"/>
        </w:rPr>
        <w:t>-</w:t>
      </w:r>
    </w:p>
    <w:p>
      <w:pPr>
        <w:pStyle w:val="BodyText"/>
        <w:spacing w:line="20" w:lineRule="exact"/>
        <w:ind w:left="212"/>
        <w:rPr>
          <w:sz w:val="2"/>
        </w:rPr>
      </w:pPr>
      <w:r>
        <w:rPr>
          <w:sz w:val="2"/>
        </w:rPr>
        <w:pict>
          <v:group style="width:523.6pt;height:.75pt;mso-position-horizontal-relative:char;mso-position-vertical-relative:line" coordorigin="0,0" coordsize="10472,15">
            <v:shape style="position:absolute;left:0;top:0;width:10472;height:15" coordorigin="0,0" coordsize="10472,15" path="m7991,0l5526,0,5512,0,3047,0,3032,0,0,0,0,14,3032,14,3047,14,5512,14,5526,14,7991,14,7991,0xm10471,0l8006,0,7992,0,7992,14,8006,14,10471,14,10471,0xe" filled="true" fillcolor="#69bd28" stroked="false">
              <v:path arrowok="t"/>
              <v:fill type="solid"/>
            </v:shape>
          </v:group>
        </w:pict>
      </w:r>
      <w:r>
        <w:rPr>
          <w:sz w:val="2"/>
        </w:rPr>
      </w:r>
    </w:p>
    <w:p>
      <w:pPr>
        <w:tabs>
          <w:tab w:pos="3170" w:val="left" w:leader="none"/>
          <w:tab w:pos="5957" w:val="left" w:leader="none"/>
          <w:tab w:pos="8437" w:val="left" w:leader="none"/>
        </w:tabs>
        <w:spacing w:before="36"/>
        <w:ind w:left="0" w:right="1448" w:firstLine="0"/>
        <w:jc w:val="right"/>
        <w:rPr>
          <w:sz w:val="18"/>
        </w:rPr>
      </w:pPr>
      <w:r>
        <w:rPr/>
        <w:pict>
          <v:shape style="position:absolute;margin-left:35.640003pt;margin-top:14.210631pt;width:523.6pt;height:.75pt;mso-position-horizontal-relative:page;mso-position-vertical-relative:paragraph;z-index:-15375872;mso-wrap-distance-left:0;mso-wrap-distance-right:0" coordorigin="713,284" coordsize="10472,15" path="m8704,284l6239,284,6225,284,3759,284,3745,284,713,284,713,299,3745,299,3759,299,6225,299,6239,299,8704,299,8704,284xm11184,284l8719,284,8704,284,8704,299,8719,299,11184,299,11184,284xe" filled="true" fillcolor="#69bd28" stroked="false">
            <v:path arrowok="t"/>
            <v:fill type="solid"/>
            <w10:wrap type="topAndBottom"/>
          </v:shape>
        </w:pict>
      </w:r>
      <w:r>
        <w:rPr/>
        <w:pict>
          <v:shape style="position:absolute;margin-left:371.589996pt;margin-top:20.304649pt;width:127.35pt;height:10.8pt;mso-position-horizontal-relative:page;mso-position-vertical-relative:paragraph;z-index:16092160" type="#_x0000_t202" filled="false" stroked="false">
            <v:textbox inset="0,0,0,0">
              <w:txbxContent>
                <w:p>
                  <w:pPr>
                    <w:tabs>
                      <w:tab w:pos="2480" w:val="left" w:leader="none"/>
                    </w:tabs>
                    <w:spacing w:before="4"/>
                    <w:ind w:left="0" w:right="0" w:firstLine="0"/>
                    <w:jc w:val="left"/>
                    <w:rPr>
                      <w:sz w:val="18"/>
                    </w:rPr>
                  </w:pPr>
                  <w:r>
                    <w:rPr>
                      <w:sz w:val="18"/>
                    </w:rPr>
                    <w:t>-</w:t>
                    <w:tab/>
                  </w:r>
                  <w:r>
                    <w:rPr>
                      <w:spacing w:val="-20"/>
                      <w:sz w:val="18"/>
                    </w:rPr>
                    <w:t>-</w:t>
                  </w:r>
                </w:p>
              </w:txbxContent>
            </v:textbox>
            <w10:wrap type="none"/>
          </v:shape>
        </w:pict>
      </w:r>
      <w:r>
        <w:rPr>
          <w:spacing w:val="-2"/>
          <w:w w:val="92"/>
          <w:sz w:val="18"/>
        </w:rPr>
        <w:t>I</w:t>
      </w:r>
      <w:r>
        <w:rPr>
          <w:w w:val="114"/>
          <w:sz w:val="18"/>
        </w:rPr>
        <w:t>GBC</w:t>
      </w:r>
      <w:r>
        <w:rPr>
          <w:spacing w:val="-1"/>
          <w:sz w:val="18"/>
        </w:rPr>
        <w:t> </w:t>
      </w:r>
      <w:r>
        <w:rPr>
          <w:spacing w:val="-1"/>
          <w:w w:val="121"/>
          <w:sz w:val="18"/>
        </w:rPr>
        <w:t>C</w:t>
      </w:r>
      <w:r>
        <w:rPr>
          <w:w w:val="94"/>
          <w:sz w:val="18"/>
        </w:rPr>
        <w:t>e</w:t>
      </w:r>
      <w:r>
        <w:rPr>
          <w:spacing w:val="-1"/>
          <w:w w:val="90"/>
          <w:sz w:val="18"/>
        </w:rPr>
        <w:t>r</w:t>
      </w:r>
      <w:r>
        <w:rPr>
          <w:spacing w:val="-2"/>
          <w:w w:val="65"/>
          <w:sz w:val="18"/>
        </w:rPr>
        <w:t>t</w:t>
      </w:r>
      <w:r>
        <w:rPr>
          <w:spacing w:val="-1"/>
          <w:w w:val="85"/>
          <w:sz w:val="18"/>
        </w:rPr>
        <w:t>ifi</w:t>
      </w:r>
      <w:r>
        <w:rPr>
          <w:w w:val="85"/>
          <w:sz w:val="18"/>
        </w:rPr>
        <w:t>c</w:t>
      </w:r>
      <w:r>
        <w:rPr>
          <w:w w:val="108"/>
          <w:sz w:val="18"/>
        </w:rPr>
        <w:t>a</w:t>
      </w:r>
      <w:r>
        <w:rPr>
          <w:spacing w:val="-2"/>
          <w:w w:val="65"/>
          <w:sz w:val="18"/>
        </w:rPr>
        <w:t>t</w:t>
      </w:r>
      <w:r>
        <w:rPr>
          <w:spacing w:val="-1"/>
          <w:sz w:val="18"/>
        </w:rPr>
        <w:t>io</w:t>
      </w:r>
      <w:r>
        <w:rPr>
          <w:spacing w:val="1"/>
          <w:sz w:val="18"/>
        </w:rPr>
        <w:t>n</w:t>
      </w:r>
      <w:r>
        <w:rPr>
          <w:w w:val="147"/>
          <w:position w:val="6"/>
          <w:sz w:val="11"/>
        </w:rPr>
        <w:t>#</w:t>
      </w:r>
      <w:r>
        <w:rPr>
          <w:position w:val="6"/>
          <w:sz w:val="11"/>
        </w:rPr>
        <w:tab/>
      </w:r>
      <w:r>
        <w:rPr>
          <w:w w:val="87"/>
          <w:sz w:val="18"/>
        </w:rPr>
        <w:t>P</w:t>
      </w:r>
      <w:r>
        <w:rPr>
          <w:spacing w:val="-1"/>
          <w:w w:val="87"/>
          <w:sz w:val="18"/>
        </w:rPr>
        <w:t>l</w:t>
      </w:r>
      <w:r>
        <w:rPr>
          <w:w w:val="108"/>
          <w:sz w:val="18"/>
        </w:rPr>
        <w:t>a</w:t>
      </w:r>
      <w:r>
        <w:rPr>
          <w:spacing w:val="-2"/>
          <w:w w:val="65"/>
          <w:sz w:val="18"/>
        </w:rPr>
        <w:t>t</w:t>
      </w:r>
      <w:r>
        <w:rPr>
          <w:spacing w:val="-1"/>
          <w:w w:val="99"/>
          <w:sz w:val="18"/>
        </w:rPr>
        <w:t>inu</w:t>
      </w:r>
      <w:r>
        <w:rPr>
          <w:w w:val="99"/>
          <w:sz w:val="18"/>
        </w:rPr>
        <w:t>m</w:t>
      </w:r>
      <w:r>
        <w:rPr>
          <w:sz w:val="18"/>
        </w:rPr>
        <w:tab/>
      </w:r>
      <w:r>
        <w:rPr>
          <w:w w:val="99"/>
          <w:sz w:val="18"/>
        </w:rPr>
        <w:t>-</w:t>
      </w:r>
      <w:r>
        <w:rPr>
          <w:sz w:val="18"/>
        </w:rPr>
        <w:tab/>
      </w:r>
      <w:r>
        <w:rPr>
          <w:w w:val="99"/>
          <w:sz w:val="18"/>
        </w:rPr>
        <w:t>-</w:t>
      </w:r>
    </w:p>
    <w:p>
      <w:pPr>
        <w:tabs>
          <w:tab w:pos="3451" w:val="left" w:leader="none"/>
        </w:tabs>
        <w:spacing w:line="163" w:lineRule="auto" w:before="0" w:after="15"/>
        <w:ind w:left="3984" w:right="5409" w:hanging="2922"/>
        <w:jc w:val="left"/>
        <w:rPr>
          <w:sz w:val="18"/>
        </w:rPr>
      </w:pPr>
      <w:r>
        <w:rPr>
          <w:position w:val="-10"/>
          <w:sz w:val="18"/>
        </w:rPr>
        <w:t>Structural</w:t>
      </w:r>
      <w:r>
        <w:rPr>
          <w:spacing w:val="-16"/>
          <w:position w:val="-10"/>
          <w:sz w:val="18"/>
        </w:rPr>
        <w:t> </w:t>
      </w:r>
      <w:r>
        <w:rPr>
          <w:position w:val="-10"/>
          <w:sz w:val="18"/>
        </w:rPr>
        <w:t>Design</w:t>
        <w:tab/>
      </w:r>
      <w:r>
        <w:rPr>
          <w:sz w:val="18"/>
        </w:rPr>
        <w:t>Varied (S </w:t>
      </w:r>
      <w:r>
        <w:rPr>
          <w:w w:val="130"/>
          <w:sz w:val="18"/>
        </w:rPr>
        <w:t>+ </w:t>
      </w:r>
      <w:r>
        <w:rPr>
          <w:sz w:val="18"/>
        </w:rPr>
        <w:t>G </w:t>
      </w:r>
      <w:r>
        <w:rPr>
          <w:w w:val="130"/>
          <w:sz w:val="18"/>
        </w:rPr>
        <w:t>+ </w:t>
      </w:r>
      <w:r>
        <w:rPr>
          <w:sz w:val="18"/>
        </w:rPr>
        <w:t>Up to 10 upper</w:t>
      </w:r>
      <w:r>
        <w:rPr>
          <w:spacing w:val="-6"/>
          <w:sz w:val="18"/>
        </w:rPr>
        <w:t> </w:t>
      </w:r>
      <w:r>
        <w:rPr>
          <w:sz w:val="18"/>
        </w:rPr>
        <w:t>floors)</w:t>
      </w:r>
    </w:p>
    <w:p>
      <w:pPr>
        <w:pStyle w:val="BodyText"/>
        <w:spacing w:line="20" w:lineRule="exact"/>
        <w:ind w:left="212"/>
        <w:rPr>
          <w:sz w:val="2"/>
        </w:rPr>
      </w:pPr>
      <w:r>
        <w:rPr>
          <w:sz w:val="2"/>
        </w:rPr>
        <w:pict>
          <v:group style="width:523.6pt;height:.75pt;mso-position-horizontal-relative:char;mso-position-vertical-relative:line" coordorigin="0,0" coordsize="10472,15">
            <v:shape style="position:absolute;left:0;top:0;width:10472;height:15" coordorigin="0,0" coordsize="10472,15" path="m7991,0l5526,0,5512,0,3047,0,3032,0,0,0,0,14,3032,14,3047,14,5512,14,5526,14,7991,14,7991,0xm10471,0l8006,0,7992,0,7992,14,8006,14,10471,14,10471,0xe" filled="true" fillcolor="#69bd28" stroked="false">
              <v:path arrowok="t"/>
              <v:fill type="solid"/>
            </v:shape>
          </v:group>
        </w:pict>
      </w:r>
      <w:r>
        <w:rPr>
          <w:sz w:val="2"/>
        </w:rPr>
      </w:r>
    </w:p>
    <w:p>
      <w:pPr>
        <w:tabs>
          <w:tab w:pos="4029" w:val="left" w:leader="none"/>
          <w:tab w:pos="6931" w:val="left" w:leader="none"/>
          <w:tab w:pos="9411" w:val="left" w:leader="none"/>
        </w:tabs>
        <w:spacing w:before="34"/>
        <w:ind w:left="1019" w:right="0" w:firstLine="0"/>
        <w:jc w:val="left"/>
        <w:rPr>
          <w:sz w:val="18"/>
        </w:rPr>
      </w:pPr>
      <w:r>
        <w:rPr/>
        <w:pict>
          <v:shape style="position:absolute;margin-left:35.640003pt;margin-top:14.110631pt;width:523.6pt;height:.75pt;mso-position-horizontal-relative:page;mso-position-vertical-relative:paragraph;z-index:-15374848;mso-wrap-distance-left:0;mso-wrap-distance-right:0" coordorigin="713,282" coordsize="10472,15" path="m8704,282l6239,282,6225,282,3759,282,3745,282,713,282,713,297,3745,297,3759,297,6225,297,6239,297,8704,297,8704,282xm11184,282l8719,282,8704,282,8704,297,8719,297,11184,297,11184,282xe" filled="true" fillcolor="#69bd28" stroked="false">
            <v:path arrowok="t"/>
            <v:fill type="solid"/>
            <w10:wrap type="topAndBottom"/>
          </v:shape>
        </w:pict>
      </w:r>
      <w:r>
        <w:rPr>
          <w:sz w:val="18"/>
        </w:rPr>
        <w:t>Status</w:t>
      </w:r>
      <w:r>
        <w:rPr>
          <w:spacing w:val="-17"/>
          <w:sz w:val="18"/>
        </w:rPr>
        <w:t> </w:t>
      </w:r>
      <w:r>
        <w:rPr>
          <w:sz w:val="18"/>
        </w:rPr>
        <w:t>of</w:t>
      </w:r>
      <w:r>
        <w:rPr>
          <w:spacing w:val="-17"/>
          <w:sz w:val="18"/>
        </w:rPr>
        <w:t> </w:t>
      </w:r>
      <w:r>
        <w:rPr>
          <w:sz w:val="18"/>
        </w:rPr>
        <w:t>Finishing</w:t>
        <w:tab/>
        <w:t>Warm</w:t>
      </w:r>
      <w:r>
        <w:rPr>
          <w:spacing w:val="-2"/>
          <w:sz w:val="18"/>
        </w:rPr>
        <w:t> </w:t>
      </w:r>
      <w:r>
        <w:rPr>
          <w:sz w:val="18"/>
        </w:rPr>
        <w:t>Shell</w:t>
        <w:tab/>
        <w:t>-</w:t>
        <w:tab/>
        <w:t>-</w:t>
      </w:r>
    </w:p>
    <w:p>
      <w:pPr>
        <w:tabs>
          <w:tab w:pos="3372" w:val="left" w:leader="none"/>
        </w:tabs>
        <w:spacing w:line="156" w:lineRule="auto" w:before="0"/>
        <w:ind w:left="602" w:right="0" w:firstLine="0"/>
        <w:jc w:val="left"/>
        <w:rPr>
          <w:sz w:val="18"/>
        </w:rPr>
      </w:pPr>
      <w:r>
        <w:rPr>
          <w:position w:val="-10"/>
          <w:sz w:val="18"/>
        </w:rPr>
        <w:t>Comments</w:t>
      </w:r>
      <w:r>
        <w:rPr>
          <w:spacing w:val="-1"/>
          <w:position w:val="-10"/>
          <w:sz w:val="18"/>
        </w:rPr>
        <w:t> </w:t>
      </w:r>
      <w:r>
        <w:rPr>
          <w:position w:val="-10"/>
          <w:sz w:val="18"/>
        </w:rPr>
        <w:t>on</w:t>
      </w:r>
      <w:r>
        <w:rPr>
          <w:spacing w:val="1"/>
          <w:position w:val="-10"/>
          <w:sz w:val="18"/>
        </w:rPr>
        <w:t> </w:t>
      </w:r>
      <w:r>
        <w:rPr>
          <w:position w:val="-10"/>
          <w:sz w:val="18"/>
        </w:rPr>
        <w:t>Obsolescence</w:t>
        <w:tab/>
      </w:r>
      <w:r>
        <w:rPr>
          <w:sz w:val="18"/>
        </w:rPr>
        <w:t>The building is currently</w:t>
      </w:r>
      <w:r>
        <w:rPr>
          <w:spacing w:val="-9"/>
          <w:sz w:val="18"/>
        </w:rPr>
        <w:t> </w:t>
      </w:r>
      <w:r>
        <w:rPr>
          <w:sz w:val="18"/>
        </w:rPr>
        <w:t>well</w:t>
      </w:r>
    </w:p>
    <w:p>
      <w:pPr>
        <w:spacing w:line="157" w:lineRule="exact" w:before="0" w:after="3"/>
        <w:ind w:left="0" w:right="1958" w:firstLine="0"/>
        <w:jc w:val="center"/>
        <w:rPr>
          <w:sz w:val="18"/>
        </w:rPr>
      </w:pPr>
      <w:r>
        <w:rPr/>
        <w:pict>
          <v:shape style="position:absolute;margin-left:371.589996pt;margin-top:-8.215723pt;width:127.35pt;height:10.8pt;mso-position-horizontal-relative:page;mso-position-vertical-relative:paragraph;z-index:16092672" type="#_x0000_t202" filled="false" stroked="false">
            <v:textbox inset="0,0,0,0">
              <w:txbxContent>
                <w:p>
                  <w:pPr>
                    <w:tabs>
                      <w:tab w:pos="2480" w:val="left" w:leader="none"/>
                    </w:tabs>
                    <w:spacing w:before="4"/>
                    <w:ind w:left="0" w:right="0" w:firstLine="0"/>
                    <w:jc w:val="left"/>
                    <w:rPr>
                      <w:sz w:val="18"/>
                    </w:rPr>
                  </w:pPr>
                  <w:r>
                    <w:rPr>
                      <w:sz w:val="18"/>
                    </w:rPr>
                    <w:t>-</w:t>
                    <w:tab/>
                  </w:r>
                  <w:r>
                    <w:rPr>
                      <w:spacing w:val="-20"/>
                      <w:sz w:val="18"/>
                    </w:rPr>
                    <w:t>-</w:t>
                  </w:r>
                </w:p>
              </w:txbxContent>
            </v:textbox>
            <w10:wrap type="none"/>
          </v:shape>
        </w:pict>
      </w:r>
      <w:r>
        <w:rPr>
          <w:sz w:val="18"/>
        </w:rPr>
        <w:t>maintained</w:t>
      </w:r>
    </w:p>
    <w:p>
      <w:pPr>
        <w:pStyle w:val="BodyText"/>
        <w:spacing w:line="20" w:lineRule="exact"/>
        <w:ind w:left="198"/>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line="207" w:lineRule="exact" w:before="0"/>
        <w:ind w:left="220" w:right="0" w:firstLine="0"/>
        <w:jc w:val="left"/>
        <w:rPr>
          <w:i/>
          <w:sz w:val="18"/>
        </w:rPr>
      </w:pPr>
      <w:r>
        <w:rPr>
          <w:sz w:val="18"/>
        </w:rPr>
        <w:t>Source: Client, </w:t>
      </w:r>
      <w:r>
        <w:rPr>
          <w:i/>
          <w:sz w:val="18"/>
        </w:rPr>
        <w:t>*U.S. Green Building Council certificate, </w:t>
      </w:r>
      <w:r>
        <w:rPr>
          <w:i/>
          <w:position w:val="6"/>
          <w:sz w:val="11"/>
        </w:rPr>
        <w:t>#</w:t>
      </w:r>
      <w:r>
        <w:rPr>
          <w:i/>
          <w:sz w:val="18"/>
        </w:rPr>
        <w:t>Indian Green Building Council</w:t>
      </w:r>
    </w:p>
    <w:p>
      <w:pPr>
        <w:pStyle w:val="BodyText"/>
        <w:spacing w:before="4"/>
        <w:rPr>
          <w:i/>
          <w:sz w:val="21"/>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163" w:id="317"/>
      <w:bookmarkEnd w:id="317"/>
      <w:r>
        <w:rPr/>
      </w:r>
      <w:bookmarkStart w:name="_bookmark163" w:id="318"/>
      <w:bookmarkEnd w:id="318"/>
      <w:r>
        <w:rPr>
          <w:color w:val="1F664D"/>
          <w:sz w:val="22"/>
        </w:rPr>
        <w:t>S</w:t>
      </w:r>
      <w:r>
        <w:rPr>
          <w:color w:val="1F664D"/>
          <w:sz w:val="22"/>
        </w:rPr>
        <w:t>ite Services and</w:t>
      </w:r>
      <w:r>
        <w:rPr>
          <w:color w:val="1F664D"/>
          <w:spacing w:val="-3"/>
          <w:sz w:val="22"/>
        </w:rPr>
        <w:t> </w:t>
      </w:r>
      <w:r>
        <w:rPr>
          <w:color w:val="1F664D"/>
          <w:sz w:val="22"/>
        </w:rPr>
        <w:t>Finishes</w:t>
      </w:r>
    </w:p>
    <w:p>
      <w:pPr>
        <w:pStyle w:val="BodyText"/>
        <w:spacing w:before="2"/>
        <w:rPr>
          <w:sz w:val="14"/>
        </w:rPr>
      </w:pPr>
      <w:r>
        <w:rPr/>
        <w:pict>
          <v:group style="position:absolute;margin-left:34.919998pt;margin-top:10.186157pt;width:524.65pt;height:15.85pt;mso-position-horizontal-relative:page;mso-position-vertical-relative:paragraph;z-index:-15373312;mso-wrap-distance-left:0;mso-wrap-distance-right:0" coordorigin="698,204" coordsize="10493,317">
            <v:shape style="position:absolute;left:720;top:218;width:10472;height:288" coordorigin="720,218" coordsize="10472,288" path="m11191,218l6249,218,720,218,720,506,6249,506,11191,506,11191,218xe" filled="true" fillcolor="#006a4d" stroked="false">
              <v:path arrowok="t"/>
              <v:fill type="solid"/>
            </v:shape>
            <v:shape style="position:absolute;left:720;top:203;width:10472;height:317" coordorigin="720,204" coordsize="10472,317" path="m11191,506l6263,506,6249,506,720,506,720,521,6249,521,6263,521,11191,521,11191,506xm11191,204l6263,204,6249,204,720,204,720,218,6249,218,6263,218,11191,218,11191,204xe" filled="true" fillcolor="#69bd28" stroked="false">
              <v:path arrowok="t"/>
              <v:fill type="solid"/>
            </v:shape>
            <v:shape style="position:absolute;left:698;top:218;width:10493;height:288" type="#_x0000_t202" filled="false" stroked="false">
              <v:textbox inset="0,0,0,0">
                <w:txbxContent>
                  <w:p>
                    <w:pPr>
                      <w:tabs>
                        <w:tab w:pos="5548" w:val="left" w:leader="none"/>
                      </w:tabs>
                      <w:spacing w:before="39"/>
                      <w:ind w:left="142" w:right="0" w:firstLine="0"/>
                      <w:jc w:val="center"/>
                      <w:rPr>
                        <w:b/>
                        <w:sz w:val="18"/>
                      </w:rPr>
                    </w:pPr>
                    <w:r>
                      <w:rPr>
                        <w:b/>
                        <w:color w:val="FFFFFF"/>
                        <w:w w:val="110"/>
                        <w:sz w:val="18"/>
                      </w:rPr>
                      <w:t>Particulars</w:t>
                      <w:tab/>
                      <w:t>Details</w:t>
                    </w:r>
                  </w:p>
                </w:txbxContent>
              </v:textbox>
              <w10:wrap type="none"/>
            </v:shape>
            <w10:wrap type="topAndBottom"/>
          </v:group>
        </w:pict>
      </w:r>
    </w:p>
    <w:p>
      <w:pPr>
        <w:tabs>
          <w:tab w:pos="7765" w:val="left" w:leader="none"/>
        </w:tabs>
        <w:spacing w:before="10" w:after="39"/>
        <w:ind w:left="2207" w:right="0" w:firstLine="0"/>
        <w:jc w:val="left"/>
        <w:rPr>
          <w:sz w:val="18"/>
        </w:rPr>
      </w:pPr>
      <w:r>
        <w:rPr>
          <w:sz w:val="18"/>
        </w:rPr>
        <w:t>Handover</w:t>
      </w:r>
      <w:r>
        <w:rPr>
          <w:spacing w:val="-12"/>
          <w:sz w:val="18"/>
        </w:rPr>
        <w:t> </w:t>
      </w:r>
      <w:r>
        <w:rPr>
          <w:sz w:val="18"/>
        </w:rPr>
        <w:t>condition</w:t>
        <w:tab/>
        <w:t>Warm</w:t>
      </w:r>
      <w:r>
        <w:rPr>
          <w:spacing w:val="-1"/>
          <w:sz w:val="18"/>
        </w:rPr>
        <w:t> </w:t>
      </w:r>
      <w:r>
        <w:rPr>
          <w:sz w:val="18"/>
        </w:rPr>
        <w:t>Shell</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43,0,5529,0,0,0,0,14,5529,14,5543,14,10471,14,10471,0xe" filled="true" fillcolor="#69bd28" stroked="false">
              <v:path arrowok="t"/>
              <v:fill type="solid"/>
            </v:shape>
          </v:group>
        </w:pict>
      </w:r>
      <w:r>
        <w:rPr>
          <w:sz w:val="2"/>
        </w:rPr>
      </w:r>
    </w:p>
    <w:p>
      <w:pPr>
        <w:tabs>
          <w:tab w:pos="7877" w:val="left" w:leader="none"/>
        </w:tabs>
        <w:spacing w:before="36"/>
        <w:ind w:left="2212" w:right="0" w:firstLine="0"/>
        <w:jc w:val="left"/>
        <w:rPr>
          <w:sz w:val="18"/>
        </w:rPr>
      </w:pPr>
      <w:r>
        <w:rPr/>
        <w:pict>
          <v:shape style="position:absolute;margin-left:36pt;margin-top:14.210688pt;width:523.6pt;height:.75pt;mso-position-horizontal-relative:page;mso-position-vertical-relative:paragraph;z-index:-15372288;mso-wrap-distance-left:0;mso-wrap-distance-right:0" coordorigin="720,284" coordsize="10472,15" path="m11191,284l6263,284,6249,284,720,284,720,299,6249,299,6263,299,11191,299,11191,284xe" filled="true" fillcolor="#69bd28" stroked="false">
            <v:path arrowok="t"/>
            <v:fill type="solid"/>
            <w10:wrap type="topAndBottom"/>
          </v:shape>
        </w:pict>
      </w:r>
      <w:r>
        <w:rPr>
          <w:sz w:val="18"/>
        </w:rPr>
        <w:t>Passenger</w:t>
      </w:r>
      <w:r>
        <w:rPr>
          <w:spacing w:val="-21"/>
          <w:sz w:val="18"/>
        </w:rPr>
        <w:t> </w:t>
      </w:r>
      <w:r>
        <w:rPr>
          <w:sz w:val="18"/>
        </w:rPr>
        <w:t>elevators</w:t>
        <w:tab/>
        <w:t>Provided</w:t>
      </w:r>
    </w:p>
    <w:p>
      <w:pPr>
        <w:tabs>
          <w:tab w:pos="5543" w:val="left" w:leader="none"/>
        </w:tabs>
        <w:spacing w:before="10" w:after="39"/>
        <w:ind w:left="0" w:right="2368" w:firstLine="0"/>
        <w:jc w:val="right"/>
        <w:rPr>
          <w:sz w:val="18"/>
        </w:rPr>
      </w:pPr>
      <w:r>
        <w:rPr>
          <w:sz w:val="18"/>
        </w:rPr>
        <w:t>Service</w:t>
      </w:r>
      <w:r>
        <w:rPr>
          <w:spacing w:val="-33"/>
          <w:sz w:val="18"/>
        </w:rPr>
        <w:t> </w:t>
      </w:r>
      <w:r>
        <w:rPr>
          <w:sz w:val="18"/>
        </w:rPr>
        <w:t>elevators</w:t>
        <w:tab/>
      </w:r>
      <w:r>
        <w:rPr>
          <w:spacing w:val="-1"/>
          <w:w w:val="95"/>
          <w:sz w:val="18"/>
        </w:rPr>
        <w:t>Provided</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43,0,5529,0,0,0,0,14,5529,14,5543,14,10471,14,10471,0xe" filled="true" fillcolor="#69bd28" stroked="false">
              <v:path arrowok="t"/>
              <v:fill type="solid"/>
            </v:shape>
          </v:group>
        </w:pict>
      </w:r>
      <w:r>
        <w:rPr>
          <w:sz w:val="2"/>
        </w:rPr>
      </w:r>
    </w:p>
    <w:p>
      <w:pPr>
        <w:tabs>
          <w:tab w:pos="5478" w:val="left" w:leader="none"/>
        </w:tabs>
        <w:spacing w:before="34"/>
        <w:ind w:left="0" w:right="2368" w:firstLine="0"/>
        <w:jc w:val="right"/>
        <w:rPr>
          <w:sz w:val="18"/>
        </w:rPr>
      </w:pPr>
      <w:r>
        <w:rPr/>
        <w:pict>
          <v:shape style="position:absolute;margin-left:36pt;margin-top:14.110668pt;width:523.6pt;height:.75pt;mso-position-horizontal-relative:page;mso-position-vertical-relative:paragraph;z-index:-15371264;mso-wrap-distance-left:0;mso-wrap-distance-right:0" coordorigin="720,282" coordsize="10472,15" path="m11191,282l6263,282,6249,282,720,282,720,297,6249,297,6263,297,11191,297,11191,282xe" filled="true" fillcolor="#69bd28" stroked="false">
            <v:path arrowok="t"/>
            <v:fill type="solid"/>
            <w10:wrap type="topAndBottom"/>
          </v:shape>
        </w:pict>
      </w:r>
      <w:r>
        <w:rPr>
          <w:sz w:val="18"/>
        </w:rPr>
        <w:t>Power</w:t>
      </w:r>
      <w:r>
        <w:rPr>
          <w:spacing w:val="-11"/>
          <w:sz w:val="18"/>
        </w:rPr>
        <w:t> </w:t>
      </w:r>
      <w:r>
        <w:rPr>
          <w:sz w:val="18"/>
        </w:rPr>
        <w:t>back-up</w:t>
        <w:tab/>
      </w:r>
      <w:r>
        <w:rPr>
          <w:spacing w:val="-1"/>
          <w:w w:val="95"/>
          <w:sz w:val="18"/>
        </w:rPr>
        <w:t>Provided</w:t>
      </w:r>
    </w:p>
    <w:p>
      <w:pPr>
        <w:tabs>
          <w:tab w:pos="6047" w:val="left" w:leader="none"/>
        </w:tabs>
        <w:spacing w:before="10" w:after="39"/>
        <w:ind w:left="0" w:right="2368" w:firstLine="0"/>
        <w:jc w:val="right"/>
        <w:rPr>
          <w:sz w:val="18"/>
        </w:rPr>
      </w:pPr>
      <w:r>
        <w:rPr>
          <w:sz w:val="18"/>
        </w:rPr>
        <w:t>Building</w:t>
      </w:r>
      <w:r>
        <w:rPr>
          <w:spacing w:val="-15"/>
          <w:sz w:val="18"/>
        </w:rPr>
        <w:t> </w:t>
      </w:r>
      <w:r>
        <w:rPr>
          <w:sz w:val="18"/>
        </w:rPr>
        <w:t>management</w:t>
      </w:r>
      <w:r>
        <w:rPr>
          <w:spacing w:val="-16"/>
          <w:sz w:val="18"/>
        </w:rPr>
        <w:t> </w:t>
      </w:r>
      <w:r>
        <w:rPr>
          <w:sz w:val="18"/>
        </w:rPr>
        <w:t>system</w:t>
        <w:tab/>
      </w:r>
      <w:r>
        <w:rPr>
          <w:spacing w:val="-1"/>
          <w:w w:val="95"/>
          <w:sz w:val="18"/>
        </w:rPr>
        <w:t>Provided</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43,0,5529,0,0,0,0,14,5529,14,5543,14,10471,14,10471,0xe" filled="true" fillcolor="#69bd28" stroked="false">
              <v:path arrowok="t"/>
              <v:fill type="solid"/>
            </v:shape>
          </v:group>
        </w:pict>
      </w:r>
      <w:r>
        <w:rPr>
          <w:sz w:val="2"/>
        </w:rPr>
      </w:r>
    </w:p>
    <w:p>
      <w:pPr>
        <w:tabs>
          <w:tab w:pos="5514" w:val="left" w:leader="none"/>
        </w:tabs>
        <w:spacing w:before="36"/>
        <w:ind w:left="0" w:right="2368" w:firstLine="0"/>
        <w:jc w:val="right"/>
        <w:rPr>
          <w:sz w:val="18"/>
        </w:rPr>
      </w:pPr>
      <w:r>
        <w:rPr/>
        <w:pict>
          <v:shape style="position:absolute;margin-left:36pt;margin-top:14.210654pt;width:523.6pt;height:.75pt;mso-position-horizontal-relative:page;mso-position-vertical-relative:paragraph;z-index:-15370240;mso-wrap-distance-left:0;mso-wrap-distance-right:0" coordorigin="720,284" coordsize="10472,15" path="m11191,284l6263,284,6249,284,720,284,720,299,6249,299,6263,299,11191,299,11191,284xe" filled="true" fillcolor="#69bd28" stroked="false">
            <v:path arrowok="t"/>
            <v:fill type="solid"/>
            <w10:wrap type="topAndBottom"/>
          </v:shape>
        </w:pict>
      </w:r>
      <w:r>
        <w:rPr>
          <w:sz w:val="18"/>
        </w:rPr>
        <w:t>Security</w:t>
      </w:r>
      <w:r>
        <w:rPr>
          <w:spacing w:val="-36"/>
          <w:sz w:val="18"/>
        </w:rPr>
        <w:t> </w:t>
      </w:r>
      <w:r>
        <w:rPr>
          <w:sz w:val="18"/>
        </w:rPr>
        <w:t>systems</w:t>
        <w:tab/>
      </w:r>
      <w:r>
        <w:rPr>
          <w:spacing w:val="-1"/>
          <w:w w:val="95"/>
          <w:sz w:val="18"/>
        </w:rPr>
        <w:t>Provided</w:t>
      </w:r>
    </w:p>
    <w:p>
      <w:pPr>
        <w:tabs>
          <w:tab w:pos="5514" w:val="left" w:leader="none"/>
        </w:tabs>
        <w:spacing w:before="10" w:after="39"/>
        <w:ind w:left="0" w:right="2368" w:firstLine="0"/>
        <w:jc w:val="right"/>
        <w:rPr>
          <w:sz w:val="18"/>
        </w:rPr>
      </w:pPr>
      <w:r>
        <w:rPr>
          <w:sz w:val="18"/>
        </w:rPr>
        <w:t>Air</w:t>
      </w:r>
      <w:r>
        <w:rPr>
          <w:spacing w:val="-16"/>
          <w:sz w:val="18"/>
        </w:rPr>
        <w:t> </w:t>
      </w:r>
      <w:r>
        <w:rPr>
          <w:sz w:val="18"/>
        </w:rPr>
        <w:t>conditioning</w:t>
        <w:tab/>
      </w:r>
      <w:r>
        <w:rPr>
          <w:spacing w:val="-1"/>
          <w:w w:val="95"/>
          <w:sz w:val="18"/>
        </w:rPr>
        <w:t>Provided</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43,0,5529,0,0,0,0,14,5529,14,5543,14,10471,14,10471,0xe" filled="true" fillcolor="#69bd28" stroked="false">
              <v:path arrowok="t"/>
              <v:fill type="solid"/>
            </v:shape>
          </v:group>
        </w:pict>
      </w:r>
      <w:r>
        <w:rPr>
          <w:sz w:val="2"/>
        </w:rPr>
      </w:r>
    </w:p>
    <w:p>
      <w:pPr>
        <w:tabs>
          <w:tab w:pos="5663" w:val="left" w:leader="none"/>
        </w:tabs>
        <w:spacing w:before="34"/>
        <w:ind w:left="0" w:right="2368" w:firstLine="0"/>
        <w:jc w:val="right"/>
        <w:rPr>
          <w:sz w:val="18"/>
        </w:rPr>
      </w:pPr>
      <w:r>
        <w:rPr/>
        <w:pict>
          <v:shape style="position:absolute;margin-left:36pt;margin-top:14.110665pt;width:523.6pt;height:.75pt;mso-position-horizontal-relative:page;mso-position-vertical-relative:paragraph;z-index:-15369216;mso-wrap-distance-left:0;mso-wrap-distance-right:0" coordorigin="720,282" coordsize="10472,15" path="m11191,282l6263,282,6249,282,720,282,720,297,6249,297,6263,297,11191,297,11191,282xe" filled="true" fillcolor="#69bd28" stroked="false">
            <v:path arrowok="t"/>
            <v:fill type="solid"/>
            <w10:wrap type="topAndBottom"/>
          </v:shape>
        </w:pict>
      </w:r>
      <w:r>
        <w:rPr>
          <w:sz w:val="18"/>
        </w:rPr>
        <w:t>Firefighting</w:t>
      </w:r>
      <w:r>
        <w:rPr>
          <w:spacing w:val="-36"/>
          <w:sz w:val="18"/>
        </w:rPr>
        <w:t> </w:t>
      </w:r>
      <w:r>
        <w:rPr>
          <w:sz w:val="18"/>
        </w:rPr>
        <w:t>services</w:t>
        <w:tab/>
      </w:r>
      <w:r>
        <w:rPr>
          <w:spacing w:val="-1"/>
          <w:w w:val="95"/>
          <w:sz w:val="18"/>
        </w:rPr>
        <w:t>Provided</w:t>
      </w:r>
    </w:p>
    <w:p>
      <w:pPr>
        <w:tabs>
          <w:tab w:pos="7256" w:val="left" w:leader="none"/>
        </w:tabs>
        <w:spacing w:before="11" w:after="39"/>
        <w:ind w:left="2222" w:right="0" w:firstLine="0"/>
        <w:jc w:val="left"/>
        <w:rPr>
          <w:sz w:val="18"/>
        </w:rPr>
      </w:pPr>
      <w:r>
        <w:rPr>
          <w:sz w:val="18"/>
        </w:rPr>
        <w:t>Car</w:t>
      </w:r>
      <w:r>
        <w:rPr>
          <w:spacing w:val="-1"/>
          <w:sz w:val="18"/>
        </w:rPr>
        <w:t> </w:t>
      </w:r>
      <w:r>
        <w:rPr>
          <w:sz w:val="18"/>
        </w:rPr>
        <w:t>parks</w:t>
      </w:r>
      <w:r>
        <w:rPr>
          <w:spacing w:val="1"/>
          <w:sz w:val="18"/>
        </w:rPr>
        <w:t> </w:t>
      </w:r>
      <w:r>
        <w:rPr>
          <w:sz w:val="18"/>
        </w:rPr>
        <w:t>provided</w:t>
        <w:tab/>
        <w:t>Covered/open car</w:t>
      </w:r>
      <w:r>
        <w:rPr>
          <w:spacing w:val="-4"/>
          <w:sz w:val="18"/>
        </w:rPr>
        <w:t> </w:t>
      </w:r>
      <w:r>
        <w:rPr>
          <w:sz w:val="18"/>
        </w:rPr>
        <w:t>parks</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382,0l10368,0,5543,0,5529,0,0,0,0,14,5529,14,5543,14,10368,14,10382,14,10382,0xm10471,0l10397,0,10382,0,10382,14,10397,14,10471,14,10471,0xe" filled="true" fillcolor="#69bd28" stroked="false">
              <v:path arrowok="t"/>
              <v:fill type="solid"/>
            </v:shape>
          </v:group>
        </w:pict>
      </w:r>
      <w:r>
        <w:rPr>
          <w:sz w:val="2"/>
        </w:rPr>
      </w:r>
    </w:p>
    <w:p>
      <w:pPr>
        <w:spacing w:before="0"/>
        <w:ind w:left="328" w:right="0" w:firstLine="0"/>
        <w:jc w:val="left"/>
        <w:rPr>
          <w:i/>
          <w:sz w:val="18"/>
        </w:rPr>
      </w:pPr>
      <w:r>
        <w:rPr>
          <w:i/>
          <w:sz w:val="18"/>
        </w:rPr>
        <w:t>Source: Information provided by Client, site visit, lease deeds</w:t>
      </w:r>
    </w:p>
    <w:p>
      <w:pPr>
        <w:pStyle w:val="BodyText"/>
        <w:spacing w:before="3"/>
        <w:rPr>
          <w:i/>
          <w:sz w:val="19"/>
        </w:rPr>
      </w:pPr>
    </w:p>
    <w:p>
      <w:pPr>
        <w:pStyle w:val="BodyText"/>
        <w:spacing w:line="321" w:lineRule="auto" w:before="1"/>
        <w:ind w:left="868" w:right="446"/>
        <w:jc w:val="both"/>
      </w:pPr>
      <w:r>
        <w:rPr/>
        <w:t>Additionally, based on inputs provided by the Client coupled with visual inspection, Embassy </w:t>
      </w:r>
      <w:r>
        <w:rPr>
          <w:w w:val="95"/>
        </w:rPr>
        <w:t>TechZone</w:t>
      </w:r>
      <w:r>
        <w:rPr>
          <w:spacing w:val="-13"/>
          <w:w w:val="95"/>
        </w:rPr>
        <w:t> </w:t>
      </w:r>
      <w:r>
        <w:rPr>
          <w:w w:val="95"/>
        </w:rPr>
        <w:t>offers</w:t>
      </w:r>
      <w:r>
        <w:rPr>
          <w:spacing w:val="-11"/>
          <w:w w:val="95"/>
        </w:rPr>
        <w:t> </w:t>
      </w:r>
      <w:r>
        <w:rPr>
          <w:w w:val="95"/>
        </w:rPr>
        <w:t>various</w:t>
      </w:r>
      <w:r>
        <w:rPr>
          <w:spacing w:val="-10"/>
          <w:w w:val="95"/>
        </w:rPr>
        <w:t> </w:t>
      </w:r>
      <w:r>
        <w:rPr>
          <w:w w:val="95"/>
        </w:rPr>
        <w:t>on-site</w:t>
      </w:r>
      <w:r>
        <w:rPr>
          <w:spacing w:val="-12"/>
          <w:w w:val="95"/>
        </w:rPr>
        <w:t> </w:t>
      </w:r>
      <w:r>
        <w:rPr>
          <w:w w:val="95"/>
        </w:rPr>
        <w:t>facilities</w:t>
      </w:r>
      <w:r>
        <w:rPr>
          <w:spacing w:val="-10"/>
          <w:w w:val="95"/>
        </w:rPr>
        <w:t> </w:t>
      </w:r>
      <w:r>
        <w:rPr>
          <w:w w:val="95"/>
        </w:rPr>
        <w:t>and</w:t>
      </w:r>
      <w:r>
        <w:rPr>
          <w:spacing w:val="-11"/>
          <w:w w:val="95"/>
        </w:rPr>
        <w:t> </w:t>
      </w:r>
      <w:r>
        <w:rPr>
          <w:w w:val="95"/>
        </w:rPr>
        <w:t>amenities,</w:t>
      </w:r>
      <w:r>
        <w:rPr>
          <w:spacing w:val="-12"/>
          <w:w w:val="95"/>
        </w:rPr>
        <w:t> </w:t>
      </w:r>
      <w:r>
        <w:rPr>
          <w:w w:val="95"/>
        </w:rPr>
        <w:t>including</w:t>
      </w:r>
      <w:r>
        <w:rPr>
          <w:spacing w:val="-10"/>
          <w:w w:val="95"/>
        </w:rPr>
        <w:t> </w:t>
      </w:r>
      <w:r>
        <w:rPr>
          <w:w w:val="95"/>
        </w:rPr>
        <w:t>intra-park</w:t>
      </w:r>
      <w:r>
        <w:rPr>
          <w:spacing w:val="-12"/>
          <w:w w:val="95"/>
        </w:rPr>
        <w:t> </w:t>
      </w:r>
      <w:r>
        <w:rPr>
          <w:w w:val="95"/>
        </w:rPr>
        <w:t>shuttle</w:t>
      </w:r>
      <w:r>
        <w:rPr>
          <w:spacing w:val="-12"/>
          <w:w w:val="95"/>
        </w:rPr>
        <w:t> </w:t>
      </w:r>
      <w:r>
        <w:rPr>
          <w:w w:val="95"/>
        </w:rPr>
        <w:t>services,</w:t>
      </w:r>
      <w:r>
        <w:rPr>
          <w:spacing w:val="-12"/>
          <w:w w:val="95"/>
        </w:rPr>
        <w:t> </w:t>
      </w:r>
      <w:r>
        <w:rPr>
          <w:w w:val="95"/>
        </w:rPr>
        <w:t>breakout </w:t>
      </w:r>
      <w:r>
        <w:rPr/>
        <w:t>zone,</w:t>
      </w:r>
      <w:r>
        <w:rPr>
          <w:spacing w:val="-9"/>
        </w:rPr>
        <w:t> </w:t>
      </w:r>
      <w:r>
        <w:rPr/>
        <w:t>sports</w:t>
      </w:r>
      <w:r>
        <w:rPr>
          <w:spacing w:val="-9"/>
        </w:rPr>
        <w:t> </w:t>
      </w:r>
      <w:r>
        <w:rPr/>
        <w:t>ground,</w:t>
      </w:r>
      <w:r>
        <w:rPr>
          <w:spacing w:val="-9"/>
        </w:rPr>
        <w:t> </w:t>
      </w:r>
      <w:r>
        <w:rPr/>
        <w:t>fitness</w:t>
      </w:r>
      <w:r>
        <w:rPr>
          <w:spacing w:val="-7"/>
        </w:rPr>
        <w:t> </w:t>
      </w:r>
      <w:r>
        <w:rPr/>
        <w:t>centre,</w:t>
      </w:r>
      <w:r>
        <w:rPr>
          <w:spacing w:val="-9"/>
        </w:rPr>
        <w:t> </w:t>
      </w:r>
      <w:r>
        <w:rPr/>
        <w:t>training</w:t>
      </w:r>
      <w:r>
        <w:rPr>
          <w:spacing w:val="-7"/>
        </w:rPr>
        <w:t> </w:t>
      </w:r>
      <w:r>
        <w:rPr/>
        <w:t>centre</w:t>
      </w:r>
      <w:r>
        <w:rPr>
          <w:spacing w:val="-8"/>
        </w:rPr>
        <w:t> </w:t>
      </w:r>
      <w:r>
        <w:rPr/>
        <w:t>and</w:t>
      </w:r>
      <w:r>
        <w:rPr>
          <w:spacing w:val="-5"/>
        </w:rPr>
        <w:t> </w:t>
      </w:r>
      <w:r>
        <w:rPr/>
        <w:t>an</w:t>
      </w:r>
      <w:r>
        <w:rPr>
          <w:spacing w:val="-10"/>
        </w:rPr>
        <w:t> </w:t>
      </w:r>
      <w:r>
        <w:rPr/>
        <w:t>amphitheatre</w:t>
      </w:r>
    </w:p>
    <w:p>
      <w:pPr>
        <w:pStyle w:val="BodyText"/>
        <w:rPr>
          <w:sz w:val="20"/>
        </w:rPr>
      </w:pPr>
    </w:p>
    <w:p>
      <w:pPr>
        <w:pStyle w:val="BodyText"/>
        <w:spacing w:before="4"/>
        <w:rPr>
          <w:sz w:val="21"/>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164" w:id="319"/>
      <w:bookmarkEnd w:id="319"/>
      <w:r>
        <w:rPr/>
      </w:r>
      <w:bookmarkStart w:name="_bookmark164" w:id="320"/>
      <w:bookmarkEnd w:id="320"/>
      <w:r>
        <w:rPr>
          <w:color w:val="1F664D"/>
          <w:sz w:val="22"/>
        </w:rPr>
        <w:t>Condition</w:t>
      </w:r>
      <w:r>
        <w:rPr>
          <w:color w:val="1F664D"/>
          <w:sz w:val="22"/>
        </w:rPr>
        <w:t> &amp;</w:t>
      </w:r>
      <w:r>
        <w:rPr>
          <w:color w:val="1F664D"/>
          <w:spacing w:val="-4"/>
          <w:sz w:val="22"/>
        </w:rPr>
        <w:t> </w:t>
      </w:r>
      <w:r>
        <w:rPr>
          <w:color w:val="1F664D"/>
          <w:sz w:val="22"/>
        </w:rPr>
        <w:t>Repair</w:t>
      </w:r>
    </w:p>
    <w:p>
      <w:pPr>
        <w:pStyle w:val="BodyText"/>
        <w:spacing w:line="321" w:lineRule="auto" w:before="207"/>
        <w:ind w:left="767" w:right="232"/>
        <w:jc w:val="both"/>
      </w:pPr>
      <w:r>
        <w:rPr/>
        <w:pict>
          <v:group style="position:absolute;margin-left:36pt;margin-top:112.988617pt;width:523.6pt;height:23.65pt;mso-position-horizontal-relative:page;mso-position-vertical-relative:paragraph;z-index:-34536448" coordorigin="720,2260" coordsize="10472,473">
            <v:shape style="position:absolute;left:720;top:2722;width:10472;height:10" coordorigin="720,2723" coordsize="10472,10" path="m7559,2723l5857,2723,5848,2723,5848,2723,4055,2723,4045,2723,720,2723,720,2733,4045,2733,4055,2733,5848,2733,5848,2733,5857,2733,7559,2733,7559,2723xm7569,2723l7560,2723,7560,2733,7569,2733,7569,2723xm9451,2723l7569,2723,7569,2733,9451,2733,9451,2723xm9460,2723l9451,2723,9451,2733,9460,2733,9460,2723xm11191,2723l9460,2723,9460,2733,11191,2733,11191,2723xe" filled="true" fillcolor="#92d050" stroked="false">
              <v:path arrowok="t"/>
              <v:fill type="solid"/>
            </v:shape>
            <v:shape style="position:absolute;left:720;top:2290;width:10472;height:432" coordorigin="720,2291" coordsize="10472,432" path="m7559,2291l5848,2291,5848,2291,4045,2291,720,2291,720,2723,4045,2723,5848,2723,5848,2723,7559,2723,7559,2291xm11191,2291l9451,2291,7560,2291,7560,2723,9451,2723,11191,2723,11191,2291xe" filled="true" fillcolor="#006a4d" stroked="false">
              <v:path arrowok="t"/>
              <v:fill type="solid"/>
            </v:shape>
            <v:rect style="position:absolute;left:720;top:2259;width:3325;height:29" filled="true" fillcolor="#1f664d" stroked="false">
              <v:fill type="solid"/>
            </v:rect>
            <v:shape style="position:absolute;left:720;top:2288;width:3354;height:3" coordorigin="720,2289" coordsize="3354,3" path="m4074,2289l4045,2289,720,2289,720,2291,4045,2291,4074,2291,4074,2289xe" filled="true" fillcolor="#006a4d" stroked="false">
              <v:path arrowok="t"/>
              <v:fill type="solid"/>
            </v:shape>
            <v:shape style="position:absolute;left:4045;top:2259;width:1803;height:29" coordorigin="4045,2260" coordsize="1803,29" path="m5848,2260l4074,2260,4045,2260,4045,2289,4074,2289,5848,2289,5848,2260xe" filled="true" fillcolor="#1f664d" stroked="false">
              <v:path arrowok="t"/>
              <v:fill type="solid"/>
            </v:shape>
            <v:shape style="position:absolute;left:4073;top:2288;width:1803;height:3" coordorigin="4074,2289" coordsize="1803,3" path="m5877,2289l5848,2289,4074,2289,4074,2291,5848,2291,5877,2291,5877,2289xe" filled="true" fillcolor="#006a4d" stroked="false">
              <v:path arrowok="t"/>
              <v:fill type="solid"/>
            </v:shape>
            <v:shape style="position:absolute;left:5847;top:2259;width:1712;height:29" coordorigin="5848,2260" coordsize="1712,29" path="m7559,2260l5877,2260,5848,2260,5848,2289,5877,2289,7559,2289,7559,2260xe" filled="true" fillcolor="#1f664d" stroked="false">
              <v:path arrowok="t"/>
              <v:fill type="solid"/>
            </v:shape>
            <v:shape style="position:absolute;left:5876;top:2288;width:1712;height:3" coordorigin="5877,2289" coordsize="1712,3" path="m7559,2289l5877,2289,5877,2291,7559,2291,7559,2289xm7588,2289l7560,2289,7560,2291,7588,2291,7588,2289xe" filled="true" fillcolor="#006a4d" stroked="false">
              <v:path arrowok="t"/>
              <v:fill type="solid"/>
            </v:shape>
            <v:shape style="position:absolute;left:7559;top:2259;width:1892;height:29" coordorigin="7560,2260" coordsize="1892,29" path="m9451,2260l7588,2260,7560,2260,7560,2289,7588,2289,9451,2289,9451,2260xe" filled="true" fillcolor="#1f664d" stroked="false">
              <v:path arrowok="t"/>
              <v:fill type="solid"/>
            </v:shape>
            <v:shape style="position:absolute;left:7588;top:2288;width:1892;height:3" coordorigin="7588,2289" coordsize="1892,3" path="m9480,2289l9451,2289,7588,2289,7588,2291,9451,2291,9480,2291,9480,2289xe" filled="true" fillcolor="#006a4d" stroked="false">
              <v:path arrowok="t"/>
              <v:fill type="solid"/>
            </v:shape>
            <v:shape style="position:absolute;left:9450;top:2259;width:1741;height:29" coordorigin="9451,2260" coordsize="1741,29" path="m11191,2260l9480,2260,9451,2260,9451,2289,9480,2289,11191,2289,11191,2260xe" filled="true" fillcolor="#1f664d" stroked="false">
              <v:path arrowok="t"/>
              <v:fill type="solid"/>
            </v:shape>
            <v:rect style="position:absolute;left:9479;top:2288;width:1712;height:3" filled="true" fillcolor="#006a4d" stroked="false">
              <v:fill type="solid"/>
            </v:rect>
            <v:shape style="position:absolute;left:1788;top:2398;width:1209;height:216" type="#_x0000_t202" filled="false" stroked="false">
              <v:textbox inset="0,0,0,0">
                <w:txbxContent>
                  <w:p>
                    <w:pPr>
                      <w:spacing w:before="4"/>
                      <w:ind w:left="0" w:right="0" w:firstLine="0"/>
                      <w:jc w:val="left"/>
                      <w:rPr>
                        <w:sz w:val="18"/>
                      </w:rPr>
                    </w:pPr>
                    <w:r>
                      <w:rPr>
                        <w:color w:val="FFFFFF"/>
                        <w:sz w:val="18"/>
                      </w:rPr>
                      <w:t>Expense Heads</w:t>
                    </w:r>
                  </w:p>
                </w:txbxContent>
              </v:textbox>
              <w10:wrap type="none"/>
            </v:shape>
            <v:shape style="position:absolute;left:4177;top:2398;width:1557;height:216" type="#_x0000_t202" filled="false" stroked="false">
              <v:textbox inset="0,0,0,0">
                <w:txbxContent>
                  <w:p>
                    <w:pPr>
                      <w:spacing w:before="4"/>
                      <w:ind w:left="0" w:right="0" w:firstLine="0"/>
                      <w:jc w:val="left"/>
                      <w:rPr>
                        <w:sz w:val="18"/>
                      </w:rPr>
                    </w:pPr>
                    <w:r>
                      <w:rPr>
                        <w:color w:val="FFFFFF"/>
                        <w:sz w:val="18"/>
                      </w:rPr>
                      <w:t>Total Cost (INR</w:t>
                    </w:r>
                    <w:r>
                      <w:rPr>
                        <w:color w:val="FFFFFF"/>
                        <w:spacing w:val="-27"/>
                        <w:sz w:val="18"/>
                      </w:rPr>
                      <w:t> </w:t>
                    </w:r>
                    <w:r>
                      <w:rPr>
                        <w:color w:val="FFFFFF"/>
                        <w:sz w:val="18"/>
                      </w:rPr>
                      <w:t>Mn)</w:t>
                    </w:r>
                  </w:p>
                </w:txbxContent>
              </v:textbox>
              <w10:wrap type="none"/>
            </v:shape>
            <v:shape style="position:absolute;left:6306;top:2290;width:815;height:216" type="#_x0000_t202" filled="false" stroked="false">
              <v:textbox inset="0,0,0,0">
                <w:txbxContent>
                  <w:p>
                    <w:pPr>
                      <w:spacing w:before="4"/>
                      <w:ind w:left="0" w:right="0" w:firstLine="0"/>
                      <w:jc w:val="left"/>
                      <w:rPr>
                        <w:sz w:val="18"/>
                      </w:rPr>
                    </w:pPr>
                    <w:r>
                      <w:rPr>
                        <w:color w:val="FFFFFF"/>
                        <w:sz w:val="18"/>
                      </w:rPr>
                      <w:t>Total</w:t>
                    </w:r>
                    <w:r>
                      <w:rPr>
                        <w:color w:val="FFFFFF"/>
                        <w:spacing w:val="-23"/>
                        <w:sz w:val="18"/>
                      </w:rPr>
                      <w:t> </w:t>
                    </w:r>
                    <w:r>
                      <w:rPr>
                        <w:color w:val="FFFFFF"/>
                        <w:sz w:val="18"/>
                      </w:rPr>
                      <w:t>Cost</w:t>
                    </w:r>
                  </w:p>
                </w:txbxContent>
              </v:textbox>
              <w10:wrap type="none"/>
            </v:shape>
            <v:shape style="position:absolute;left:7763;top:2290;width:1501;height:216" type="#_x0000_t202" filled="false" stroked="false">
              <v:textbox inset="0,0,0,0">
                <w:txbxContent>
                  <w:p>
                    <w:pPr>
                      <w:spacing w:before="4"/>
                      <w:ind w:left="0" w:right="0" w:firstLine="0"/>
                      <w:jc w:val="left"/>
                      <w:rPr>
                        <w:sz w:val="18"/>
                      </w:rPr>
                    </w:pPr>
                    <w:r>
                      <w:rPr>
                        <w:color w:val="FFFFFF"/>
                        <w:sz w:val="18"/>
                      </w:rPr>
                      <w:t>Total Pending</w:t>
                    </w:r>
                    <w:r>
                      <w:rPr>
                        <w:color w:val="FFFFFF"/>
                        <w:spacing w:val="-33"/>
                        <w:sz w:val="18"/>
                      </w:rPr>
                      <w:t> </w:t>
                    </w:r>
                    <w:r>
                      <w:rPr>
                        <w:color w:val="FFFFFF"/>
                        <w:sz w:val="18"/>
                      </w:rPr>
                      <w:t>Cost</w:t>
                    </w:r>
                  </w:p>
                </w:txbxContent>
              </v:textbox>
              <w10:wrap type="none"/>
            </v:shape>
            <v:shape style="position:absolute;left:9780;top:2290;width:1099;height:216" type="#_x0000_t202" filled="false" stroked="false">
              <v:textbox inset="0,0,0,0">
                <w:txbxContent>
                  <w:p>
                    <w:pPr>
                      <w:spacing w:before="4"/>
                      <w:ind w:left="0" w:right="0" w:firstLine="0"/>
                      <w:jc w:val="left"/>
                      <w:rPr>
                        <w:sz w:val="18"/>
                      </w:rPr>
                    </w:pPr>
                    <w:r>
                      <w:rPr>
                        <w:color w:val="FFFFFF"/>
                        <w:sz w:val="18"/>
                      </w:rPr>
                      <w:t>FY Quarter of</w:t>
                    </w:r>
                  </w:p>
                </w:txbxContent>
              </v:textbox>
              <w10:wrap type="none"/>
            </v:shape>
            <w10:wrap type="none"/>
          </v:group>
        </w:pict>
      </w:r>
      <w:r>
        <w:rPr/>
        <w:t>Subject property is developed and managed to international standards offering best-in-class asset management</w:t>
      </w:r>
      <w:r>
        <w:rPr>
          <w:spacing w:val="-33"/>
        </w:rPr>
        <w:t> </w:t>
      </w:r>
      <w:r>
        <w:rPr/>
        <w:t>and</w:t>
      </w:r>
      <w:r>
        <w:rPr>
          <w:spacing w:val="-33"/>
        </w:rPr>
        <w:t> </w:t>
      </w:r>
      <w:r>
        <w:rPr/>
        <w:t>environment</w:t>
      </w:r>
      <w:r>
        <w:rPr>
          <w:spacing w:val="-32"/>
        </w:rPr>
        <w:t> </w:t>
      </w:r>
      <w:r>
        <w:rPr/>
        <w:t>friendly</w:t>
      </w:r>
      <w:r>
        <w:rPr>
          <w:spacing w:val="-33"/>
        </w:rPr>
        <w:t> </w:t>
      </w:r>
      <w:r>
        <w:rPr/>
        <w:t>green</w:t>
      </w:r>
      <w:r>
        <w:rPr>
          <w:spacing w:val="-32"/>
        </w:rPr>
        <w:t> </w:t>
      </w:r>
      <w:r>
        <w:rPr/>
        <w:t>initiatives,</w:t>
      </w:r>
      <w:r>
        <w:rPr>
          <w:spacing w:val="-32"/>
        </w:rPr>
        <w:t> </w:t>
      </w:r>
      <w:r>
        <w:rPr/>
        <w:t>which</w:t>
      </w:r>
      <w:r>
        <w:rPr>
          <w:spacing w:val="-32"/>
        </w:rPr>
        <w:t> </w:t>
      </w:r>
      <w:r>
        <w:rPr/>
        <w:t>makes</w:t>
      </w:r>
      <w:r>
        <w:rPr>
          <w:spacing w:val="-33"/>
        </w:rPr>
        <w:t> </w:t>
      </w:r>
      <w:r>
        <w:rPr/>
        <w:t>it</w:t>
      </w:r>
      <w:r>
        <w:rPr>
          <w:spacing w:val="-32"/>
        </w:rPr>
        <w:t> </w:t>
      </w:r>
      <w:r>
        <w:rPr/>
        <w:t>a</w:t>
      </w:r>
      <w:r>
        <w:rPr>
          <w:spacing w:val="-34"/>
        </w:rPr>
        <w:t> </w:t>
      </w:r>
      <w:r>
        <w:rPr/>
        <w:t>preferred</w:t>
      </w:r>
      <w:r>
        <w:rPr>
          <w:spacing w:val="-31"/>
        </w:rPr>
        <w:t> </w:t>
      </w:r>
      <w:r>
        <w:rPr/>
        <w:t>option</w:t>
      </w:r>
      <w:r>
        <w:rPr>
          <w:spacing w:val="-32"/>
        </w:rPr>
        <w:t> </w:t>
      </w:r>
      <w:r>
        <w:rPr/>
        <w:t>for</w:t>
      </w:r>
      <w:r>
        <w:rPr>
          <w:spacing w:val="-34"/>
        </w:rPr>
        <w:t> </w:t>
      </w:r>
      <w:r>
        <w:rPr/>
        <w:t>domestic as wells as Multinational Corporations (MNCs). Based on information provided by the Client and site visit,</w:t>
      </w:r>
      <w:r>
        <w:rPr>
          <w:spacing w:val="-12"/>
        </w:rPr>
        <w:t> </w:t>
      </w:r>
      <w:r>
        <w:rPr/>
        <w:t>it</w:t>
      </w:r>
      <w:r>
        <w:rPr>
          <w:spacing w:val="-12"/>
        </w:rPr>
        <w:t> </w:t>
      </w:r>
      <w:r>
        <w:rPr/>
        <w:t>is</w:t>
      </w:r>
      <w:r>
        <w:rPr>
          <w:spacing w:val="-11"/>
        </w:rPr>
        <w:t> </w:t>
      </w:r>
      <w:r>
        <w:rPr/>
        <w:t>understood</w:t>
      </w:r>
      <w:r>
        <w:rPr>
          <w:spacing w:val="-11"/>
        </w:rPr>
        <w:t> </w:t>
      </w:r>
      <w:r>
        <w:rPr/>
        <w:t>that</w:t>
      </w:r>
      <w:r>
        <w:rPr>
          <w:spacing w:val="-12"/>
        </w:rPr>
        <w:t> </w:t>
      </w:r>
      <w:r>
        <w:rPr/>
        <w:t>the</w:t>
      </w:r>
      <w:r>
        <w:rPr>
          <w:spacing w:val="-12"/>
        </w:rPr>
        <w:t> </w:t>
      </w:r>
      <w:r>
        <w:rPr/>
        <w:t>subject</w:t>
      </w:r>
      <w:r>
        <w:rPr>
          <w:spacing w:val="-11"/>
        </w:rPr>
        <w:t> </w:t>
      </w:r>
      <w:r>
        <w:rPr/>
        <w:t>property</w:t>
      </w:r>
      <w:r>
        <w:rPr>
          <w:spacing w:val="-10"/>
        </w:rPr>
        <w:t> </w:t>
      </w:r>
      <w:r>
        <w:rPr/>
        <w:t>is</w:t>
      </w:r>
      <w:r>
        <w:rPr>
          <w:spacing w:val="-11"/>
        </w:rPr>
        <w:t> </w:t>
      </w:r>
      <w:r>
        <w:rPr/>
        <w:t>in</w:t>
      </w:r>
      <w:r>
        <w:rPr>
          <w:spacing w:val="-12"/>
        </w:rPr>
        <w:t> </w:t>
      </w:r>
      <w:r>
        <w:rPr/>
        <w:t>good</w:t>
      </w:r>
      <w:r>
        <w:rPr>
          <w:spacing w:val="-11"/>
        </w:rPr>
        <w:t> </w:t>
      </w:r>
      <w:r>
        <w:rPr/>
        <w:t>condition</w:t>
      </w:r>
      <w:r>
        <w:rPr>
          <w:spacing w:val="-12"/>
        </w:rPr>
        <w:t> </w:t>
      </w:r>
      <w:r>
        <w:rPr/>
        <w:t>and</w:t>
      </w:r>
      <w:r>
        <w:rPr>
          <w:spacing w:val="-11"/>
        </w:rPr>
        <w:t> </w:t>
      </w:r>
      <w:r>
        <w:rPr/>
        <w:t>is</w:t>
      </w:r>
      <w:r>
        <w:rPr>
          <w:spacing w:val="-12"/>
        </w:rPr>
        <w:t> </w:t>
      </w:r>
      <w:r>
        <w:rPr/>
        <w:t>being</w:t>
      </w:r>
      <w:r>
        <w:rPr>
          <w:spacing w:val="-11"/>
        </w:rPr>
        <w:t> </w:t>
      </w:r>
      <w:r>
        <w:rPr/>
        <w:t>maintained</w:t>
      </w:r>
      <w:r>
        <w:rPr>
          <w:spacing w:val="-11"/>
        </w:rPr>
        <w:t> </w:t>
      </w:r>
      <w:r>
        <w:rPr/>
        <w:t>well.</w:t>
      </w:r>
      <w:r>
        <w:rPr>
          <w:spacing w:val="-11"/>
        </w:rPr>
        <w:t> </w:t>
      </w:r>
      <w:r>
        <w:rPr/>
        <w:t>The table below highlights the major repairs and maintenance work/ infrastructure upgrade works to be undertaken in next few</w:t>
      </w:r>
      <w:r>
        <w:rPr>
          <w:spacing w:val="-13"/>
        </w:rPr>
        <w:t> </w:t>
      </w:r>
      <w:r>
        <w:rPr/>
        <w:t>years:</w:t>
      </w:r>
    </w:p>
    <w:p>
      <w:pPr>
        <w:pStyle w:val="BodyText"/>
        <w:spacing w:before="2"/>
        <w:rPr>
          <w:sz w:val="21"/>
        </w:rPr>
      </w:pPr>
    </w:p>
    <w:tbl>
      <w:tblPr>
        <w:tblW w:w="0" w:type="auto"/>
        <w:jc w:val="left"/>
        <w:tblInd w:w="2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94"/>
        <w:gridCol w:w="1383"/>
        <w:gridCol w:w="2051"/>
        <w:gridCol w:w="1630"/>
        <w:gridCol w:w="1834"/>
      </w:tblGrid>
      <w:tr>
        <w:trPr>
          <w:trHeight w:val="540" w:hRule="atLeast"/>
        </w:trPr>
        <w:tc>
          <w:tcPr>
            <w:tcW w:w="3594" w:type="dxa"/>
            <w:tcBorders>
              <w:bottom w:val="single" w:sz="4" w:space="0" w:color="92D050"/>
            </w:tcBorders>
          </w:tcPr>
          <w:p>
            <w:pPr>
              <w:pStyle w:val="TableParagraph"/>
              <w:spacing w:before="1"/>
              <w:jc w:val="left"/>
              <w:rPr>
                <w:sz w:val="24"/>
              </w:rPr>
            </w:pPr>
          </w:p>
          <w:p>
            <w:pPr>
              <w:pStyle w:val="TableParagraph"/>
              <w:ind w:left="67" w:right="293"/>
              <w:rPr>
                <w:sz w:val="18"/>
              </w:rPr>
            </w:pPr>
            <w:r>
              <w:rPr>
                <w:sz w:val="18"/>
              </w:rPr>
              <w:t>Electrical Power Upgradation</w:t>
            </w:r>
          </w:p>
        </w:tc>
        <w:tc>
          <w:tcPr>
            <w:tcW w:w="1383" w:type="dxa"/>
            <w:tcBorders>
              <w:bottom w:val="single" w:sz="4" w:space="0" w:color="92D050"/>
            </w:tcBorders>
          </w:tcPr>
          <w:p>
            <w:pPr>
              <w:pStyle w:val="TableParagraph"/>
              <w:spacing w:before="1"/>
              <w:jc w:val="left"/>
              <w:rPr>
                <w:sz w:val="24"/>
              </w:rPr>
            </w:pPr>
          </w:p>
          <w:p>
            <w:pPr>
              <w:pStyle w:val="TableParagraph"/>
              <w:ind w:left="338" w:right="413"/>
              <w:rPr>
                <w:sz w:val="18"/>
              </w:rPr>
            </w:pPr>
            <w:r>
              <w:rPr>
                <w:w w:val="110"/>
                <w:sz w:val="18"/>
              </w:rPr>
              <w:t>141.46</w:t>
            </w:r>
          </w:p>
        </w:tc>
        <w:tc>
          <w:tcPr>
            <w:tcW w:w="2051" w:type="dxa"/>
            <w:tcBorders>
              <w:bottom w:val="single" w:sz="4" w:space="0" w:color="92D050"/>
            </w:tcBorders>
          </w:tcPr>
          <w:p>
            <w:pPr>
              <w:pStyle w:val="TableParagraph"/>
              <w:spacing w:before="4"/>
              <w:ind w:left="411" w:right="406"/>
              <w:rPr>
                <w:sz w:val="18"/>
              </w:rPr>
            </w:pPr>
            <w:r>
              <w:rPr>
                <w:color w:val="FFFFFF"/>
                <w:sz w:val="18"/>
              </w:rPr>
              <w:t>Spent (INR Mn)</w:t>
            </w:r>
          </w:p>
          <w:p>
            <w:pPr>
              <w:pStyle w:val="TableParagraph"/>
              <w:spacing w:before="67"/>
              <w:ind w:left="409" w:right="406"/>
              <w:rPr>
                <w:sz w:val="18"/>
              </w:rPr>
            </w:pPr>
            <w:r>
              <w:rPr>
                <w:w w:val="105"/>
                <w:sz w:val="18"/>
              </w:rPr>
              <w:t>92.94</w:t>
            </w:r>
          </w:p>
        </w:tc>
        <w:tc>
          <w:tcPr>
            <w:tcW w:w="1630" w:type="dxa"/>
            <w:tcBorders>
              <w:bottom w:val="single" w:sz="4" w:space="0" w:color="92D050"/>
            </w:tcBorders>
          </w:tcPr>
          <w:p>
            <w:pPr>
              <w:pStyle w:val="TableParagraph"/>
              <w:spacing w:before="4"/>
              <w:ind w:left="433"/>
              <w:jc w:val="left"/>
              <w:rPr>
                <w:sz w:val="18"/>
              </w:rPr>
            </w:pPr>
            <w:r>
              <w:rPr>
                <w:color w:val="FFFFFF"/>
                <w:sz w:val="18"/>
              </w:rPr>
              <w:t>(INR Mn)</w:t>
            </w:r>
          </w:p>
          <w:p>
            <w:pPr>
              <w:pStyle w:val="TableParagraph"/>
              <w:spacing w:before="67"/>
              <w:ind w:left="538"/>
              <w:jc w:val="left"/>
              <w:rPr>
                <w:sz w:val="18"/>
              </w:rPr>
            </w:pPr>
            <w:r>
              <w:rPr>
                <w:w w:val="105"/>
                <w:sz w:val="18"/>
              </w:rPr>
              <w:t>48.52</w:t>
            </w:r>
          </w:p>
        </w:tc>
        <w:tc>
          <w:tcPr>
            <w:tcW w:w="1834" w:type="dxa"/>
            <w:tcBorders>
              <w:bottom w:val="single" w:sz="4" w:space="0" w:color="92D050"/>
            </w:tcBorders>
          </w:tcPr>
          <w:p>
            <w:pPr>
              <w:pStyle w:val="TableParagraph"/>
              <w:spacing w:before="4"/>
              <w:ind w:left="505"/>
              <w:jc w:val="left"/>
              <w:rPr>
                <w:sz w:val="18"/>
              </w:rPr>
            </w:pPr>
            <w:r>
              <w:rPr>
                <w:color w:val="FFFFFF"/>
                <w:sz w:val="18"/>
              </w:rPr>
              <w:t>Completion</w:t>
            </w:r>
          </w:p>
          <w:p>
            <w:pPr>
              <w:pStyle w:val="TableParagraph"/>
              <w:spacing w:before="67"/>
              <w:ind w:left="567"/>
              <w:jc w:val="left"/>
              <w:rPr>
                <w:sz w:val="18"/>
              </w:rPr>
            </w:pPr>
            <w:r>
              <w:rPr>
                <w:w w:val="110"/>
                <w:sz w:val="18"/>
              </w:rPr>
              <w:t>Q3, 2023</w:t>
            </w:r>
          </w:p>
        </w:tc>
      </w:tr>
      <w:tr>
        <w:trPr>
          <w:trHeight w:val="316" w:hRule="atLeast"/>
        </w:trPr>
        <w:tc>
          <w:tcPr>
            <w:tcW w:w="3594" w:type="dxa"/>
            <w:tcBorders>
              <w:top w:val="single" w:sz="4" w:space="0" w:color="92D050"/>
              <w:bottom w:val="single" w:sz="4" w:space="0" w:color="92D050"/>
            </w:tcBorders>
          </w:tcPr>
          <w:p>
            <w:pPr>
              <w:pStyle w:val="TableParagraph"/>
              <w:spacing w:before="54"/>
              <w:ind w:left="63" w:right="293"/>
              <w:rPr>
                <w:sz w:val="18"/>
              </w:rPr>
            </w:pPr>
            <w:r>
              <w:rPr>
                <w:sz w:val="18"/>
              </w:rPr>
              <w:t>Land Scape Development &amp; lighting</w:t>
            </w:r>
          </w:p>
        </w:tc>
        <w:tc>
          <w:tcPr>
            <w:tcW w:w="1383" w:type="dxa"/>
            <w:tcBorders>
              <w:top w:val="single" w:sz="4" w:space="0" w:color="92D050"/>
              <w:bottom w:val="single" w:sz="4" w:space="0" w:color="92D050"/>
            </w:tcBorders>
          </w:tcPr>
          <w:p>
            <w:pPr>
              <w:pStyle w:val="TableParagraph"/>
              <w:spacing w:before="54"/>
              <w:ind w:left="338" w:right="413"/>
              <w:rPr>
                <w:sz w:val="18"/>
              </w:rPr>
            </w:pPr>
            <w:r>
              <w:rPr>
                <w:w w:val="105"/>
                <w:sz w:val="18"/>
              </w:rPr>
              <w:t>1.79</w:t>
            </w:r>
          </w:p>
        </w:tc>
        <w:tc>
          <w:tcPr>
            <w:tcW w:w="2051" w:type="dxa"/>
            <w:tcBorders>
              <w:top w:val="single" w:sz="4" w:space="0" w:color="92D050"/>
              <w:bottom w:val="single" w:sz="4" w:space="0" w:color="92D050"/>
            </w:tcBorders>
          </w:tcPr>
          <w:p>
            <w:pPr>
              <w:pStyle w:val="TableParagraph"/>
              <w:spacing w:before="54"/>
              <w:ind w:left="409" w:right="406"/>
              <w:rPr>
                <w:sz w:val="18"/>
              </w:rPr>
            </w:pPr>
            <w:r>
              <w:rPr>
                <w:w w:val="105"/>
                <w:sz w:val="18"/>
              </w:rPr>
              <w:t>0.80</w:t>
            </w:r>
          </w:p>
        </w:tc>
        <w:tc>
          <w:tcPr>
            <w:tcW w:w="1630" w:type="dxa"/>
            <w:tcBorders>
              <w:top w:val="single" w:sz="4" w:space="0" w:color="92D050"/>
              <w:bottom w:val="single" w:sz="4" w:space="0" w:color="92D050"/>
            </w:tcBorders>
          </w:tcPr>
          <w:p>
            <w:pPr>
              <w:pStyle w:val="TableParagraph"/>
              <w:spacing w:before="54"/>
              <w:ind w:left="591"/>
              <w:jc w:val="left"/>
              <w:rPr>
                <w:sz w:val="18"/>
              </w:rPr>
            </w:pPr>
            <w:r>
              <w:rPr>
                <w:w w:val="105"/>
                <w:sz w:val="18"/>
              </w:rPr>
              <w:t>0.99</w:t>
            </w:r>
          </w:p>
        </w:tc>
        <w:tc>
          <w:tcPr>
            <w:tcW w:w="1834" w:type="dxa"/>
            <w:tcBorders>
              <w:top w:val="single" w:sz="4" w:space="0" w:color="92D050"/>
              <w:bottom w:val="single" w:sz="4" w:space="0" w:color="92D050"/>
            </w:tcBorders>
          </w:tcPr>
          <w:p>
            <w:pPr>
              <w:pStyle w:val="TableParagraph"/>
              <w:spacing w:before="54"/>
              <w:ind w:right="471"/>
              <w:jc w:val="right"/>
              <w:rPr>
                <w:sz w:val="18"/>
              </w:rPr>
            </w:pPr>
            <w:r>
              <w:rPr>
                <w:w w:val="110"/>
                <w:sz w:val="18"/>
              </w:rPr>
              <w:t>Q1, 2022</w:t>
            </w:r>
          </w:p>
        </w:tc>
      </w:tr>
      <w:tr>
        <w:trPr>
          <w:trHeight w:val="313" w:hRule="atLeast"/>
        </w:trPr>
        <w:tc>
          <w:tcPr>
            <w:tcW w:w="3594" w:type="dxa"/>
            <w:tcBorders>
              <w:top w:val="single" w:sz="4" w:space="0" w:color="92D050"/>
              <w:bottom w:val="single" w:sz="4" w:space="0" w:color="92D050"/>
            </w:tcBorders>
          </w:tcPr>
          <w:p>
            <w:pPr>
              <w:pStyle w:val="TableParagraph"/>
              <w:spacing w:before="54"/>
              <w:ind w:left="67" w:right="292"/>
              <w:rPr>
                <w:sz w:val="18"/>
              </w:rPr>
            </w:pPr>
            <w:r>
              <w:rPr>
                <w:sz w:val="18"/>
              </w:rPr>
              <w:t>Park Lobby Upgrade</w:t>
            </w:r>
          </w:p>
        </w:tc>
        <w:tc>
          <w:tcPr>
            <w:tcW w:w="1383" w:type="dxa"/>
            <w:tcBorders>
              <w:top w:val="single" w:sz="4" w:space="0" w:color="92D050"/>
              <w:bottom w:val="single" w:sz="4" w:space="0" w:color="92D050"/>
            </w:tcBorders>
          </w:tcPr>
          <w:p>
            <w:pPr>
              <w:pStyle w:val="TableParagraph"/>
              <w:spacing w:before="54"/>
              <w:ind w:left="338" w:right="413"/>
              <w:rPr>
                <w:sz w:val="18"/>
              </w:rPr>
            </w:pPr>
            <w:r>
              <w:rPr>
                <w:w w:val="105"/>
                <w:sz w:val="18"/>
              </w:rPr>
              <w:t>29.44</w:t>
            </w:r>
          </w:p>
        </w:tc>
        <w:tc>
          <w:tcPr>
            <w:tcW w:w="2051" w:type="dxa"/>
            <w:tcBorders>
              <w:top w:val="single" w:sz="4" w:space="0" w:color="92D050"/>
              <w:bottom w:val="single" w:sz="4" w:space="0" w:color="92D050"/>
            </w:tcBorders>
          </w:tcPr>
          <w:p>
            <w:pPr>
              <w:pStyle w:val="TableParagraph"/>
              <w:spacing w:before="54"/>
              <w:ind w:left="409" w:right="406"/>
              <w:rPr>
                <w:sz w:val="18"/>
              </w:rPr>
            </w:pPr>
            <w:r>
              <w:rPr>
                <w:w w:val="105"/>
                <w:sz w:val="18"/>
              </w:rPr>
              <w:t>18.04</w:t>
            </w:r>
          </w:p>
        </w:tc>
        <w:tc>
          <w:tcPr>
            <w:tcW w:w="1630" w:type="dxa"/>
            <w:tcBorders>
              <w:top w:val="single" w:sz="4" w:space="0" w:color="92D050"/>
              <w:bottom w:val="single" w:sz="4" w:space="0" w:color="92D050"/>
            </w:tcBorders>
          </w:tcPr>
          <w:p>
            <w:pPr>
              <w:pStyle w:val="TableParagraph"/>
              <w:spacing w:before="54"/>
              <w:ind w:left="538"/>
              <w:jc w:val="left"/>
              <w:rPr>
                <w:sz w:val="18"/>
              </w:rPr>
            </w:pPr>
            <w:r>
              <w:rPr>
                <w:w w:val="105"/>
                <w:sz w:val="18"/>
              </w:rPr>
              <w:t>11.40</w:t>
            </w:r>
          </w:p>
        </w:tc>
        <w:tc>
          <w:tcPr>
            <w:tcW w:w="1834" w:type="dxa"/>
            <w:tcBorders>
              <w:top w:val="single" w:sz="4" w:space="0" w:color="92D050"/>
              <w:bottom w:val="single" w:sz="4" w:space="0" w:color="92D050"/>
            </w:tcBorders>
          </w:tcPr>
          <w:p>
            <w:pPr>
              <w:pStyle w:val="TableParagraph"/>
              <w:spacing w:before="54"/>
              <w:ind w:right="471"/>
              <w:jc w:val="right"/>
              <w:rPr>
                <w:sz w:val="18"/>
              </w:rPr>
            </w:pPr>
            <w:r>
              <w:rPr>
                <w:w w:val="110"/>
                <w:sz w:val="18"/>
              </w:rPr>
              <w:t>Q3, 2023</w:t>
            </w:r>
          </w:p>
        </w:tc>
      </w:tr>
      <w:tr>
        <w:trPr>
          <w:trHeight w:val="316" w:hRule="atLeast"/>
        </w:trPr>
        <w:tc>
          <w:tcPr>
            <w:tcW w:w="3594" w:type="dxa"/>
            <w:tcBorders>
              <w:top w:val="single" w:sz="4" w:space="0" w:color="92D050"/>
              <w:bottom w:val="single" w:sz="4" w:space="0" w:color="92D050"/>
            </w:tcBorders>
          </w:tcPr>
          <w:p>
            <w:pPr>
              <w:pStyle w:val="TableParagraph"/>
              <w:spacing w:before="54"/>
              <w:ind w:left="67" w:right="293"/>
              <w:rPr>
                <w:sz w:val="18"/>
              </w:rPr>
            </w:pPr>
            <w:r>
              <w:rPr>
                <w:sz w:val="18"/>
              </w:rPr>
              <w:t>Boundary Wall Construction (West side)</w:t>
            </w:r>
          </w:p>
        </w:tc>
        <w:tc>
          <w:tcPr>
            <w:tcW w:w="1383" w:type="dxa"/>
            <w:tcBorders>
              <w:top w:val="single" w:sz="4" w:space="0" w:color="92D050"/>
              <w:bottom w:val="single" w:sz="4" w:space="0" w:color="92D050"/>
            </w:tcBorders>
          </w:tcPr>
          <w:p>
            <w:pPr>
              <w:pStyle w:val="TableParagraph"/>
              <w:spacing w:before="54"/>
              <w:ind w:left="338" w:right="413"/>
              <w:rPr>
                <w:sz w:val="18"/>
              </w:rPr>
            </w:pPr>
            <w:r>
              <w:rPr>
                <w:w w:val="105"/>
                <w:sz w:val="18"/>
              </w:rPr>
              <w:t>41.23</w:t>
            </w:r>
          </w:p>
        </w:tc>
        <w:tc>
          <w:tcPr>
            <w:tcW w:w="2051" w:type="dxa"/>
            <w:tcBorders>
              <w:top w:val="single" w:sz="4" w:space="0" w:color="92D050"/>
              <w:bottom w:val="single" w:sz="4" w:space="0" w:color="92D050"/>
            </w:tcBorders>
          </w:tcPr>
          <w:p>
            <w:pPr>
              <w:pStyle w:val="TableParagraph"/>
              <w:spacing w:before="54"/>
              <w:ind w:left="6"/>
              <w:rPr>
                <w:sz w:val="18"/>
              </w:rPr>
            </w:pPr>
            <w:r>
              <w:rPr>
                <w:w w:val="99"/>
                <w:sz w:val="18"/>
              </w:rPr>
              <w:t>-</w:t>
            </w:r>
          </w:p>
        </w:tc>
        <w:tc>
          <w:tcPr>
            <w:tcW w:w="1630" w:type="dxa"/>
            <w:tcBorders>
              <w:top w:val="single" w:sz="4" w:space="0" w:color="92D050"/>
              <w:bottom w:val="single" w:sz="4" w:space="0" w:color="92D050"/>
            </w:tcBorders>
          </w:tcPr>
          <w:p>
            <w:pPr>
              <w:pStyle w:val="TableParagraph"/>
              <w:spacing w:before="54"/>
              <w:ind w:left="538"/>
              <w:jc w:val="left"/>
              <w:rPr>
                <w:sz w:val="18"/>
              </w:rPr>
            </w:pPr>
            <w:r>
              <w:rPr>
                <w:w w:val="105"/>
                <w:sz w:val="18"/>
              </w:rPr>
              <w:t>41.23</w:t>
            </w:r>
          </w:p>
        </w:tc>
        <w:tc>
          <w:tcPr>
            <w:tcW w:w="1834" w:type="dxa"/>
            <w:tcBorders>
              <w:top w:val="single" w:sz="4" w:space="0" w:color="92D050"/>
              <w:bottom w:val="single" w:sz="4" w:space="0" w:color="92D050"/>
            </w:tcBorders>
          </w:tcPr>
          <w:p>
            <w:pPr>
              <w:pStyle w:val="TableParagraph"/>
              <w:spacing w:before="54"/>
              <w:ind w:right="471"/>
              <w:jc w:val="right"/>
              <w:rPr>
                <w:sz w:val="18"/>
              </w:rPr>
            </w:pPr>
            <w:r>
              <w:rPr>
                <w:w w:val="110"/>
                <w:sz w:val="18"/>
              </w:rPr>
              <w:t>Q3, 2023</w:t>
            </w:r>
          </w:p>
        </w:tc>
      </w:tr>
      <w:tr>
        <w:trPr>
          <w:trHeight w:val="314" w:hRule="atLeast"/>
        </w:trPr>
        <w:tc>
          <w:tcPr>
            <w:tcW w:w="3594" w:type="dxa"/>
            <w:tcBorders>
              <w:top w:val="single" w:sz="4" w:space="0" w:color="92D050"/>
              <w:bottom w:val="single" w:sz="4" w:space="0" w:color="92D050"/>
            </w:tcBorders>
          </w:tcPr>
          <w:p>
            <w:pPr>
              <w:pStyle w:val="TableParagraph"/>
              <w:spacing w:before="51"/>
              <w:ind w:left="67" w:right="293"/>
              <w:rPr>
                <w:sz w:val="18"/>
              </w:rPr>
            </w:pPr>
            <w:r>
              <w:rPr>
                <w:sz w:val="18"/>
              </w:rPr>
              <w:t>Entrance Gateway Scheme</w:t>
            </w:r>
          </w:p>
        </w:tc>
        <w:tc>
          <w:tcPr>
            <w:tcW w:w="1383" w:type="dxa"/>
            <w:tcBorders>
              <w:top w:val="single" w:sz="4" w:space="0" w:color="92D050"/>
              <w:bottom w:val="single" w:sz="4" w:space="0" w:color="92D050"/>
            </w:tcBorders>
          </w:tcPr>
          <w:p>
            <w:pPr>
              <w:pStyle w:val="TableParagraph"/>
              <w:spacing w:before="51"/>
              <w:ind w:left="338" w:right="413"/>
              <w:rPr>
                <w:sz w:val="18"/>
              </w:rPr>
            </w:pPr>
            <w:r>
              <w:rPr>
                <w:w w:val="105"/>
                <w:sz w:val="18"/>
              </w:rPr>
              <w:t>83.27</w:t>
            </w:r>
          </w:p>
        </w:tc>
        <w:tc>
          <w:tcPr>
            <w:tcW w:w="2051" w:type="dxa"/>
            <w:tcBorders>
              <w:top w:val="single" w:sz="4" w:space="0" w:color="92D050"/>
              <w:bottom w:val="single" w:sz="4" w:space="0" w:color="92D050"/>
            </w:tcBorders>
          </w:tcPr>
          <w:p>
            <w:pPr>
              <w:pStyle w:val="TableParagraph"/>
              <w:spacing w:before="51"/>
              <w:ind w:left="409" w:right="406"/>
              <w:rPr>
                <w:sz w:val="18"/>
              </w:rPr>
            </w:pPr>
            <w:r>
              <w:rPr>
                <w:w w:val="105"/>
                <w:sz w:val="18"/>
              </w:rPr>
              <w:t>45.33</w:t>
            </w:r>
          </w:p>
        </w:tc>
        <w:tc>
          <w:tcPr>
            <w:tcW w:w="1630" w:type="dxa"/>
            <w:tcBorders>
              <w:top w:val="single" w:sz="4" w:space="0" w:color="92D050"/>
              <w:bottom w:val="single" w:sz="4" w:space="0" w:color="92D050"/>
            </w:tcBorders>
          </w:tcPr>
          <w:p>
            <w:pPr>
              <w:pStyle w:val="TableParagraph"/>
              <w:spacing w:before="51"/>
              <w:ind w:left="538"/>
              <w:jc w:val="left"/>
              <w:rPr>
                <w:sz w:val="18"/>
              </w:rPr>
            </w:pPr>
            <w:r>
              <w:rPr>
                <w:w w:val="105"/>
                <w:sz w:val="18"/>
              </w:rPr>
              <w:t>37.94</w:t>
            </w:r>
          </w:p>
        </w:tc>
        <w:tc>
          <w:tcPr>
            <w:tcW w:w="1834" w:type="dxa"/>
            <w:tcBorders>
              <w:top w:val="single" w:sz="4" w:space="0" w:color="92D050"/>
              <w:bottom w:val="single" w:sz="4" w:space="0" w:color="92D050"/>
            </w:tcBorders>
          </w:tcPr>
          <w:p>
            <w:pPr>
              <w:pStyle w:val="TableParagraph"/>
              <w:spacing w:before="51"/>
              <w:ind w:right="471"/>
              <w:jc w:val="right"/>
              <w:rPr>
                <w:sz w:val="18"/>
              </w:rPr>
            </w:pPr>
            <w:r>
              <w:rPr>
                <w:w w:val="110"/>
                <w:sz w:val="18"/>
              </w:rPr>
              <w:t>Q3, 2023</w:t>
            </w:r>
          </w:p>
        </w:tc>
      </w:tr>
      <w:tr>
        <w:trPr>
          <w:trHeight w:val="316" w:hRule="atLeast"/>
        </w:trPr>
        <w:tc>
          <w:tcPr>
            <w:tcW w:w="3594" w:type="dxa"/>
            <w:tcBorders>
              <w:top w:val="single" w:sz="4" w:space="0" w:color="92D050"/>
              <w:bottom w:val="single" w:sz="4" w:space="0" w:color="92D050"/>
            </w:tcBorders>
          </w:tcPr>
          <w:p>
            <w:pPr>
              <w:pStyle w:val="TableParagraph"/>
              <w:spacing w:before="54"/>
              <w:ind w:left="67" w:right="293"/>
              <w:rPr>
                <w:sz w:val="18"/>
              </w:rPr>
            </w:pPr>
            <w:r>
              <w:rPr>
                <w:sz w:val="18"/>
              </w:rPr>
              <w:t>Sports Facility</w:t>
            </w:r>
          </w:p>
        </w:tc>
        <w:tc>
          <w:tcPr>
            <w:tcW w:w="1383" w:type="dxa"/>
            <w:tcBorders>
              <w:top w:val="single" w:sz="4" w:space="0" w:color="92D050"/>
              <w:bottom w:val="single" w:sz="4" w:space="0" w:color="92D050"/>
            </w:tcBorders>
          </w:tcPr>
          <w:p>
            <w:pPr>
              <w:pStyle w:val="TableParagraph"/>
              <w:spacing w:before="54"/>
              <w:ind w:left="338" w:right="413"/>
              <w:rPr>
                <w:sz w:val="18"/>
              </w:rPr>
            </w:pPr>
            <w:r>
              <w:rPr>
                <w:w w:val="105"/>
                <w:sz w:val="18"/>
              </w:rPr>
              <w:t>15.99</w:t>
            </w:r>
          </w:p>
        </w:tc>
        <w:tc>
          <w:tcPr>
            <w:tcW w:w="2051" w:type="dxa"/>
            <w:tcBorders>
              <w:top w:val="single" w:sz="4" w:space="0" w:color="92D050"/>
              <w:bottom w:val="single" w:sz="4" w:space="0" w:color="92D050"/>
            </w:tcBorders>
          </w:tcPr>
          <w:p>
            <w:pPr>
              <w:pStyle w:val="TableParagraph"/>
              <w:spacing w:before="54"/>
              <w:ind w:left="6"/>
              <w:rPr>
                <w:sz w:val="18"/>
              </w:rPr>
            </w:pPr>
            <w:r>
              <w:rPr>
                <w:w w:val="99"/>
                <w:sz w:val="18"/>
              </w:rPr>
              <w:t>-</w:t>
            </w:r>
          </w:p>
        </w:tc>
        <w:tc>
          <w:tcPr>
            <w:tcW w:w="1630" w:type="dxa"/>
            <w:tcBorders>
              <w:top w:val="single" w:sz="4" w:space="0" w:color="92D050"/>
              <w:bottom w:val="single" w:sz="4" w:space="0" w:color="92D050"/>
            </w:tcBorders>
          </w:tcPr>
          <w:p>
            <w:pPr>
              <w:pStyle w:val="TableParagraph"/>
              <w:spacing w:before="54"/>
              <w:ind w:left="538"/>
              <w:jc w:val="left"/>
              <w:rPr>
                <w:sz w:val="18"/>
              </w:rPr>
            </w:pPr>
            <w:r>
              <w:rPr>
                <w:w w:val="105"/>
                <w:sz w:val="18"/>
              </w:rPr>
              <w:t>15.99</w:t>
            </w:r>
          </w:p>
        </w:tc>
        <w:tc>
          <w:tcPr>
            <w:tcW w:w="1834" w:type="dxa"/>
            <w:tcBorders>
              <w:top w:val="single" w:sz="4" w:space="0" w:color="92D050"/>
              <w:bottom w:val="single" w:sz="4" w:space="0" w:color="92D050"/>
            </w:tcBorders>
          </w:tcPr>
          <w:p>
            <w:pPr>
              <w:pStyle w:val="TableParagraph"/>
              <w:spacing w:before="54"/>
              <w:ind w:right="471"/>
              <w:jc w:val="right"/>
              <w:rPr>
                <w:sz w:val="18"/>
              </w:rPr>
            </w:pPr>
            <w:r>
              <w:rPr>
                <w:w w:val="110"/>
                <w:sz w:val="18"/>
              </w:rPr>
              <w:t>Q4, 2021</w:t>
            </w:r>
          </w:p>
        </w:tc>
      </w:tr>
    </w:tbl>
    <w:p>
      <w:pPr>
        <w:spacing w:after="0"/>
        <w:jc w:val="right"/>
        <w:rPr>
          <w:sz w:val="18"/>
        </w:rPr>
        <w:sectPr>
          <w:headerReference w:type="default" r:id="rId180"/>
          <w:footerReference w:type="default" r:id="rId181"/>
          <w:pgSz w:w="11910" w:h="16840"/>
          <w:pgMar w:header="720" w:footer="921" w:top="1660" w:bottom="1120" w:left="500" w:right="480"/>
          <w:pgNumType w:start="156"/>
        </w:sectPr>
      </w:pPr>
    </w:p>
    <w:p>
      <w:pPr>
        <w:pStyle w:val="BodyText"/>
        <w:spacing w:before="1" w:after="1"/>
        <w:rPr>
          <w:sz w:val="19"/>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31"/>
        <w:gridCol w:w="1839"/>
        <w:gridCol w:w="2051"/>
        <w:gridCol w:w="1630"/>
        <w:gridCol w:w="1834"/>
      </w:tblGrid>
      <w:tr>
        <w:trPr>
          <w:trHeight w:val="453" w:hRule="atLeast"/>
        </w:trPr>
        <w:tc>
          <w:tcPr>
            <w:tcW w:w="3131" w:type="dxa"/>
            <w:shd w:val="clear" w:color="auto" w:fill="006A4D"/>
          </w:tcPr>
          <w:p>
            <w:pPr>
              <w:pStyle w:val="TableParagraph"/>
              <w:spacing w:before="131"/>
              <w:ind w:left="315" w:right="93"/>
              <w:rPr>
                <w:sz w:val="18"/>
              </w:rPr>
            </w:pPr>
            <w:r>
              <w:rPr>
                <w:color w:val="FFFFFF"/>
                <w:sz w:val="18"/>
              </w:rPr>
              <w:t>Expense Heads</w:t>
            </w:r>
          </w:p>
        </w:tc>
        <w:tc>
          <w:tcPr>
            <w:tcW w:w="1839" w:type="dxa"/>
            <w:shd w:val="clear" w:color="auto" w:fill="006A4D"/>
          </w:tcPr>
          <w:p>
            <w:pPr>
              <w:pStyle w:val="TableParagraph"/>
              <w:spacing w:before="131"/>
              <w:ind w:left="325"/>
              <w:rPr>
                <w:sz w:val="18"/>
              </w:rPr>
            </w:pPr>
            <w:r>
              <w:rPr>
                <w:color w:val="FFFFFF"/>
                <w:sz w:val="18"/>
              </w:rPr>
              <w:t>Total Cost (INR Mn</w:t>
            </w:r>
          </w:p>
        </w:tc>
        <w:tc>
          <w:tcPr>
            <w:tcW w:w="2051" w:type="dxa"/>
            <w:shd w:val="clear" w:color="auto" w:fill="006A4D"/>
          </w:tcPr>
          <w:p>
            <w:pPr>
              <w:pStyle w:val="TableParagraph"/>
              <w:tabs>
                <w:tab w:pos="438" w:val="left" w:leader="none"/>
              </w:tabs>
              <w:spacing w:line="122" w:lineRule="auto" w:before="6"/>
              <w:ind w:left="532" w:right="431" w:hanging="547"/>
              <w:jc w:val="left"/>
              <w:rPr>
                <w:sz w:val="18"/>
              </w:rPr>
            </w:pPr>
            <w:r>
              <w:rPr>
                <w:color w:val="FFFFFF"/>
                <w:position w:val="-10"/>
                <w:sz w:val="18"/>
              </w:rPr>
              <w:t>)</w:t>
              <w:tab/>
            </w:r>
            <w:r>
              <w:rPr>
                <w:color w:val="FFFFFF"/>
                <w:position w:val="-20"/>
                <w:sz w:val="18"/>
              </w:rPr>
              <w:t>S </w:t>
            </w:r>
            <w:r>
              <w:rPr>
                <w:color w:val="FFFFFF"/>
                <w:sz w:val="18"/>
              </w:rPr>
              <w:t>Total Cost </w:t>
            </w:r>
            <w:r>
              <w:rPr>
                <w:color w:val="FFFFFF"/>
                <w:spacing w:val="-13"/>
                <w:position w:val="-20"/>
                <w:sz w:val="18"/>
              </w:rPr>
              <w:t>) </w:t>
            </w:r>
            <w:r>
              <w:rPr>
                <w:color w:val="FFFFFF"/>
                <w:sz w:val="18"/>
              </w:rPr>
              <w:t>pent (INR</w:t>
            </w:r>
            <w:r>
              <w:rPr>
                <w:color w:val="FFFFFF"/>
                <w:spacing w:val="-8"/>
                <w:sz w:val="18"/>
              </w:rPr>
              <w:t> </w:t>
            </w:r>
            <w:r>
              <w:rPr>
                <w:color w:val="FFFFFF"/>
                <w:sz w:val="18"/>
              </w:rPr>
              <w:t>Mn</w:t>
            </w:r>
          </w:p>
        </w:tc>
        <w:tc>
          <w:tcPr>
            <w:tcW w:w="1630" w:type="dxa"/>
            <w:shd w:val="clear" w:color="auto" w:fill="006A4D"/>
          </w:tcPr>
          <w:p>
            <w:pPr>
              <w:pStyle w:val="TableParagraph"/>
              <w:spacing w:line="210" w:lineRule="atLeast" w:before="25"/>
              <w:ind w:left="432" w:hanging="396"/>
              <w:jc w:val="left"/>
              <w:rPr>
                <w:sz w:val="18"/>
              </w:rPr>
            </w:pPr>
            <w:r>
              <w:rPr>
                <w:color w:val="FFFFFF"/>
                <w:sz w:val="18"/>
              </w:rPr>
              <w:t>Total Pending Cost (INR Mn)</w:t>
            </w:r>
          </w:p>
        </w:tc>
        <w:tc>
          <w:tcPr>
            <w:tcW w:w="1834" w:type="dxa"/>
            <w:shd w:val="clear" w:color="auto" w:fill="006A4D"/>
          </w:tcPr>
          <w:p>
            <w:pPr>
              <w:pStyle w:val="TableParagraph"/>
              <w:spacing w:line="210" w:lineRule="atLeast" w:before="25"/>
              <w:ind w:left="504" w:hanging="82"/>
              <w:jc w:val="left"/>
              <w:rPr>
                <w:sz w:val="18"/>
              </w:rPr>
            </w:pPr>
            <w:r>
              <w:rPr>
                <w:color w:val="FFFFFF"/>
                <w:sz w:val="18"/>
              </w:rPr>
              <w:t>FY Quarter of Completion</w:t>
            </w:r>
          </w:p>
        </w:tc>
      </w:tr>
      <w:tr>
        <w:trPr>
          <w:trHeight w:val="318" w:hRule="atLeast"/>
        </w:trPr>
        <w:tc>
          <w:tcPr>
            <w:tcW w:w="3131" w:type="dxa"/>
            <w:tcBorders>
              <w:bottom w:val="single" w:sz="4" w:space="0" w:color="92D050"/>
            </w:tcBorders>
          </w:tcPr>
          <w:p>
            <w:pPr>
              <w:pStyle w:val="TableParagraph"/>
              <w:spacing w:before="62"/>
              <w:ind w:left="315" w:right="96"/>
              <w:rPr>
                <w:sz w:val="18"/>
              </w:rPr>
            </w:pPr>
            <w:r>
              <w:rPr>
                <w:w w:val="110"/>
                <w:sz w:val="18"/>
              </w:rPr>
              <w:t>HSD Yard</w:t>
            </w:r>
          </w:p>
        </w:tc>
        <w:tc>
          <w:tcPr>
            <w:tcW w:w="1839" w:type="dxa"/>
            <w:tcBorders>
              <w:bottom w:val="single" w:sz="4" w:space="0" w:color="92D050"/>
            </w:tcBorders>
          </w:tcPr>
          <w:p>
            <w:pPr>
              <w:pStyle w:val="TableParagraph"/>
              <w:spacing w:before="62"/>
              <w:ind w:left="378"/>
              <w:rPr>
                <w:sz w:val="18"/>
              </w:rPr>
            </w:pPr>
            <w:r>
              <w:rPr>
                <w:w w:val="105"/>
                <w:sz w:val="18"/>
              </w:rPr>
              <w:t>12.50</w:t>
            </w:r>
          </w:p>
        </w:tc>
        <w:tc>
          <w:tcPr>
            <w:tcW w:w="2051" w:type="dxa"/>
            <w:tcBorders>
              <w:bottom w:val="single" w:sz="4" w:space="0" w:color="92D050"/>
            </w:tcBorders>
          </w:tcPr>
          <w:p>
            <w:pPr>
              <w:pStyle w:val="TableParagraph"/>
              <w:spacing w:before="62"/>
              <w:ind w:left="841"/>
              <w:jc w:val="left"/>
              <w:rPr>
                <w:sz w:val="18"/>
              </w:rPr>
            </w:pPr>
            <w:r>
              <w:rPr>
                <w:w w:val="105"/>
                <w:sz w:val="18"/>
              </w:rPr>
              <w:t>4.64</w:t>
            </w:r>
          </w:p>
        </w:tc>
        <w:tc>
          <w:tcPr>
            <w:tcW w:w="1630" w:type="dxa"/>
            <w:tcBorders>
              <w:bottom w:val="single" w:sz="4" w:space="0" w:color="92D050"/>
            </w:tcBorders>
          </w:tcPr>
          <w:p>
            <w:pPr>
              <w:pStyle w:val="TableParagraph"/>
              <w:spacing w:before="62"/>
              <w:ind w:left="591"/>
              <w:jc w:val="left"/>
              <w:rPr>
                <w:sz w:val="18"/>
              </w:rPr>
            </w:pPr>
            <w:r>
              <w:rPr>
                <w:w w:val="105"/>
                <w:sz w:val="18"/>
              </w:rPr>
              <w:t>7.86</w:t>
            </w:r>
          </w:p>
        </w:tc>
        <w:tc>
          <w:tcPr>
            <w:tcW w:w="1834" w:type="dxa"/>
            <w:tcBorders>
              <w:bottom w:val="single" w:sz="4" w:space="0" w:color="92D050"/>
            </w:tcBorders>
          </w:tcPr>
          <w:p>
            <w:pPr>
              <w:pStyle w:val="TableParagraph"/>
              <w:spacing w:before="62"/>
              <w:ind w:right="471"/>
              <w:jc w:val="right"/>
              <w:rPr>
                <w:sz w:val="18"/>
              </w:rPr>
            </w:pPr>
            <w:r>
              <w:rPr>
                <w:w w:val="110"/>
                <w:sz w:val="18"/>
              </w:rPr>
              <w:t>Q2, 2021</w:t>
            </w:r>
          </w:p>
        </w:tc>
      </w:tr>
      <w:tr>
        <w:trPr>
          <w:trHeight w:val="316" w:hRule="atLeast"/>
        </w:trPr>
        <w:tc>
          <w:tcPr>
            <w:tcW w:w="3131" w:type="dxa"/>
            <w:tcBorders>
              <w:top w:val="single" w:sz="4" w:space="0" w:color="92D050"/>
              <w:bottom w:val="single" w:sz="4" w:space="0" w:color="92D050"/>
            </w:tcBorders>
          </w:tcPr>
          <w:p>
            <w:pPr>
              <w:pStyle w:val="TableParagraph"/>
              <w:spacing w:before="59"/>
              <w:ind w:left="315" w:right="95"/>
              <w:rPr>
                <w:sz w:val="18"/>
              </w:rPr>
            </w:pPr>
            <w:r>
              <w:rPr>
                <w:w w:val="105"/>
                <w:sz w:val="18"/>
              </w:rPr>
              <w:t>Signages</w:t>
            </w:r>
          </w:p>
        </w:tc>
        <w:tc>
          <w:tcPr>
            <w:tcW w:w="1839" w:type="dxa"/>
            <w:tcBorders>
              <w:top w:val="single" w:sz="4" w:space="0" w:color="92D050"/>
              <w:bottom w:val="single" w:sz="4" w:space="0" w:color="92D050"/>
            </w:tcBorders>
          </w:tcPr>
          <w:p>
            <w:pPr>
              <w:pStyle w:val="TableParagraph"/>
              <w:spacing w:before="59"/>
              <w:ind w:left="378"/>
              <w:rPr>
                <w:sz w:val="18"/>
              </w:rPr>
            </w:pPr>
            <w:r>
              <w:rPr>
                <w:w w:val="105"/>
                <w:sz w:val="18"/>
              </w:rPr>
              <w:t>5.78</w:t>
            </w:r>
          </w:p>
        </w:tc>
        <w:tc>
          <w:tcPr>
            <w:tcW w:w="2051" w:type="dxa"/>
            <w:tcBorders>
              <w:top w:val="single" w:sz="4" w:space="0" w:color="92D050"/>
              <w:bottom w:val="single" w:sz="4" w:space="0" w:color="92D050"/>
            </w:tcBorders>
          </w:tcPr>
          <w:p>
            <w:pPr>
              <w:pStyle w:val="TableParagraph"/>
              <w:spacing w:before="59"/>
              <w:ind w:left="841"/>
              <w:jc w:val="left"/>
              <w:rPr>
                <w:sz w:val="18"/>
              </w:rPr>
            </w:pPr>
            <w:r>
              <w:rPr>
                <w:w w:val="105"/>
                <w:sz w:val="18"/>
              </w:rPr>
              <w:t>1.30</w:t>
            </w:r>
          </w:p>
        </w:tc>
        <w:tc>
          <w:tcPr>
            <w:tcW w:w="1630" w:type="dxa"/>
            <w:tcBorders>
              <w:top w:val="single" w:sz="4" w:space="0" w:color="92D050"/>
              <w:bottom w:val="single" w:sz="4" w:space="0" w:color="92D050"/>
            </w:tcBorders>
          </w:tcPr>
          <w:p>
            <w:pPr>
              <w:pStyle w:val="TableParagraph"/>
              <w:spacing w:before="59"/>
              <w:ind w:left="591"/>
              <w:jc w:val="left"/>
              <w:rPr>
                <w:sz w:val="18"/>
              </w:rPr>
            </w:pPr>
            <w:r>
              <w:rPr>
                <w:w w:val="105"/>
                <w:sz w:val="18"/>
              </w:rPr>
              <w:t>4.48</w:t>
            </w:r>
          </w:p>
        </w:tc>
        <w:tc>
          <w:tcPr>
            <w:tcW w:w="1834" w:type="dxa"/>
            <w:tcBorders>
              <w:top w:val="single" w:sz="4" w:space="0" w:color="92D050"/>
              <w:bottom w:val="single" w:sz="4" w:space="0" w:color="92D050"/>
            </w:tcBorders>
          </w:tcPr>
          <w:p>
            <w:pPr>
              <w:pStyle w:val="TableParagraph"/>
              <w:spacing w:before="59"/>
              <w:ind w:right="471"/>
              <w:jc w:val="right"/>
              <w:rPr>
                <w:sz w:val="18"/>
              </w:rPr>
            </w:pPr>
            <w:r>
              <w:rPr>
                <w:w w:val="110"/>
                <w:sz w:val="18"/>
              </w:rPr>
              <w:t>Q2, 2021</w:t>
            </w:r>
          </w:p>
        </w:tc>
      </w:tr>
      <w:tr>
        <w:trPr>
          <w:trHeight w:val="313" w:hRule="atLeast"/>
        </w:trPr>
        <w:tc>
          <w:tcPr>
            <w:tcW w:w="3131" w:type="dxa"/>
            <w:tcBorders>
              <w:top w:val="single" w:sz="4" w:space="0" w:color="92D050"/>
              <w:bottom w:val="single" w:sz="4" w:space="0" w:color="92D050"/>
            </w:tcBorders>
          </w:tcPr>
          <w:p>
            <w:pPr>
              <w:pStyle w:val="TableParagraph"/>
              <w:spacing w:before="57"/>
              <w:ind w:left="315" w:right="93"/>
              <w:rPr>
                <w:sz w:val="18"/>
              </w:rPr>
            </w:pPr>
            <w:r>
              <w:rPr>
                <w:sz w:val="18"/>
              </w:rPr>
              <w:t>Phase III Capex</w:t>
            </w:r>
          </w:p>
        </w:tc>
        <w:tc>
          <w:tcPr>
            <w:tcW w:w="1839" w:type="dxa"/>
            <w:tcBorders>
              <w:top w:val="single" w:sz="4" w:space="0" w:color="92D050"/>
              <w:bottom w:val="single" w:sz="4" w:space="0" w:color="92D050"/>
            </w:tcBorders>
          </w:tcPr>
          <w:p>
            <w:pPr>
              <w:pStyle w:val="TableParagraph"/>
              <w:spacing w:before="57"/>
              <w:ind w:left="378"/>
              <w:rPr>
                <w:sz w:val="18"/>
              </w:rPr>
            </w:pPr>
            <w:r>
              <w:rPr>
                <w:w w:val="105"/>
                <w:sz w:val="18"/>
              </w:rPr>
              <w:t>40.40</w:t>
            </w:r>
          </w:p>
        </w:tc>
        <w:tc>
          <w:tcPr>
            <w:tcW w:w="2051" w:type="dxa"/>
            <w:tcBorders>
              <w:top w:val="single" w:sz="4" w:space="0" w:color="92D050"/>
              <w:bottom w:val="single" w:sz="4" w:space="0" w:color="92D050"/>
            </w:tcBorders>
          </w:tcPr>
          <w:p>
            <w:pPr>
              <w:pStyle w:val="TableParagraph"/>
              <w:spacing w:before="57"/>
              <w:ind w:left="841"/>
              <w:jc w:val="left"/>
              <w:rPr>
                <w:sz w:val="18"/>
              </w:rPr>
            </w:pPr>
            <w:r>
              <w:rPr>
                <w:w w:val="105"/>
                <w:sz w:val="18"/>
              </w:rPr>
              <w:t>0.00</w:t>
            </w:r>
          </w:p>
        </w:tc>
        <w:tc>
          <w:tcPr>
            <w:tcW w:w="1630" w:type="dxa"/>
            <w:tcBorders>
              <w:top w:val="single" w:sz="4" w:space="0" w:color="92D050"/>
              <w:bottom w:val="single" w:sz="4" w:space="0" w:color="92D050"/>
            </w:tcBorders>
          </w:tcPr>
          <w:p>
            <w:pPr>
              <w:pStyle w:val="TableParagraph"/>
              <w:spacing w:before="57"/>
              <w:ind w:left="538"/>
              <w:jc w:val="left"/>
              <w:rPr>
                <w:sz w:val="18"/>
              </w:rPr>
            </w:pPr>
            <w:r>
              <w:rPr>
                <w:w w:val="105"/>
                <w:sz w:val="18"/>
              </w:rPr>
              <w:t>40.40</w:t>
            </w:r>
          </w:p>
        </w:tc>
        <w:tc>
          <w:tcPr>
            <w:tcW w:w="1834" w:type="dxa"/>
            <w:tcBorders>
              <w:top w:val="single" w:sz="4" w:space="0" w:color="92D050"/>
              <w:bottom w:val="single" w:sz="4" w:space="0" w:color="92D050"/>
            </w:tcBorders>
          </w:tcPr>
          <w:p>
            <w:pPr>
              <w:pStyle w:val="TableParagraph"/>
              <w:spacing w:before="57"/>
              <w:ind w:right="471"/>
              <w:jc w:val="right"/>
              <w:rPr>
                <w:sz w:val="18"/>
              </w:rPr>
            </w:pPr>
            <w:r>
              <w:rPr>
                <w:w w:val="110"/>
                <w:sz w:val="18"/>
              </w:rPr>
              <w:t>Q4, 2021</w:t>
            </w:r>
          </w:p>
        </w:tc>
      </w:tr>
      <w:tr>
        <w:trPr>
          <w:trHeight w:val="313" w:hRule="atLeast"/>
        </w:trPr>
        <w:tc>
          <w:tcPr>
            <w:tcW w:w="3131" w:type="dxa"/>
            <w:tcBorders>
              <w:top w:val="single" w:sz="4" w:space="0" w:color="92D050"/>
              <w:bottom w:val="single" w:sz="4" w:space="0" w:color="92D050"/>
            </w:tcBorders>
          </w:tcPr>
          <w:p>
            <w:pPr>
              <w:pStyle w:val="TableParagraph"/>
              <w:spacing w:before="59"/>
              <w:ind w:left="315" w:right="97"/>
              <w:rPr>
                <w:sz w:val="18"/>
              </w:rPr>
            </w:pPr>
            <w:r>
              <w:rPr>
                <w:sz w:val="18"/>
              </w:rPr>
              <w:t>Others</w:t>
            </w:r>
          </w:p>
        </w:tc>
        <w:tc>
          <w:tcPr>
            <w:tcW w:w="1839" w:type="dxa"/>
            <w:tcBorders>
              <w:top w:val="single" w:sz="4" w:space="0" w:color="92D050"/>
              <w:bottom w:val="single" w:sz="4" w:space="0" w:color="92D050"/>
            </w:tcBorders>
          </w:tcPr>
          <w:p>
            <w:pPr>
              <w:pStyle w:val="TableParagraph"/>
              <w:spacing w:before="59"/>
              <w:ind w:left="378"/>
              <w:rPr>
                <w:sz w:val="18"/>
              </w:rPr>
            </w:pPr>
            <w:r>
              <w:rPr>
                <w:w w:val="105"/>
                <w:sz w:val="18"/>
              </w:rPr>
              <w:t>44.00</w:t>
            </w:r>
          </w:p>
        </w:tc>
        <w:tc>
          <w:tcPr>
            <w:tcW w:w="2051" w:type="dxa"/>
            <w:tcBorders>
              <w:top w:val="single" w:sz="4" w:space="0" w:color="92D050"/>
              <w:bottom w:val="single" w:sz="4" w:space="0" w:color="92D050"/>
            </w:tcBorders>
          </w:tcPr>
          <w:p>
            <w:pPr>
              <w:pStyle w:val="TableParagraph"/>
              <w:spacing w:before="59"/>
              <w:ind w:left="788"/>
              <w:jc w:val="left"/>
              <w:rPr>
                <w:sz w:val="18"/>
              </w:rPr>
            </w:pPr>
            <w:r>
              <w:rPr>
                <w:w w:val="105"/>
                <w:sz w:val="18"/>
              </w:rPr>
              <w:t>14.14</w:t>
            </w:r>
          </w:p>
        </w:tc>
        <w:tc>
          <w:tcPr>
            <w:tcW w:w="1630" w:type="dxa"/>
            <w:tcBorders>
              <w:top w:val="single" w:sz="4" w:space="0" w:color="92D050"/>
              <w:bottom w:val="single" w:sz="4" w:space="0" w:color="92D050"/>
            </w:tcBorders>
          </w:tcPr>
          <w:p>
            <w:pPr>
              <w:pStyle w:val="TableParagraph"/>
              <w:spacing w:before="59"/>
              <w:ind w:left="538"/>
              <w:jc w:val="left"/>
              <w:rPr>
                <w:sz w:val="18"/>
              </w:rPr>
            </w:pPr>
            <w:r>
              <w:rPr>
                <w:w w:val="105"/>
                <w:sz w:val="18"/>
              </w:rPr>
              <w:t>29.85</w:t>
            </w:r>
          </w:p>
        </w:tc>
        <w:tc>
          <w:tcPr>
            <w:tcW w:w="1834" w:type="dxa"/>
            <w:tcBorders>
              <w:top w:val="single" w:sz="4" w:space="0" w:color="92D050"/>
              <w:bottom w:val="single" w:sz="4" w:space="0" w:color="92D050"/>
            </w:tcBorders>
          </w:tcPr>
          <w:p>
            <w:pPr>
              <w:pStyle w:val="TableParagraph"/>
              <w:spacing w:before="59"/>
              <w:ind w:right="471"/>
              <w:jc w:val="right"/>
              <w:rPr>
                <w:sz w:val="18"/>
              </w:rPr>
            </w:pPr>
            <w:r>
              <w:rPr>
                <w:w w:val="110"/>
                <w:sz w:val="18"/>
              </w:rPr>
              <w:t>Q4, 2021</w:t>
            </w:r>
          </w:p>
        </w:tc>
      </w:tr>
      <w:tr>
        <w:trPr>
          <w:trHeight w:val="316" w:hRule="atLeast"/>
        </w:trPr>
        <w:tc>
          <w:tcPr>
            <w:tcW w:w="3131" w:type="dxa"/>
            <w:tcBorders>
              <w:top w:val="single" w:sz="4" w:space="0" w:color="92D050"/>
              <w:bottom w:val="single" w:sz="4" w:space="0" w:color="92D050"/>
            </w:tcBorders>
          </w:tcPr>
          <w:p>
            <w:pPr>
              <w:pStyle w:val="TableParagraph"/>
              <w:spacing w:before="59"/>
              <w:ind w:left="315" w:right="90"/>
              <w:rPr>
                <w:sz w:val="18"/>
              </w:rPr>
            </w:pPr>
            <w:r>
              <w:rPr>
                <w:sz w:val="18"/>
              </w:rPr>
              <w:t>Works by ESPL</w:t>
            </w:r>
          </w:p>
        </w:tc>
        <w:tc>
          <w:tcPr>
            <w:tcW w:w="1839" w:type="dxa"/>
            <w:tcBorders>
              <w:top w:val="single" w:sz="4" w:space="0" w:color="92D050"/>
              <w:bottom w:val="single" w:sz="4" w:space="0" w:color="92D050"/>
            </w:tcBorders>
          </w:tcPr>
          <w:p>
            <w:pPr>
              <w:pStyle w:val="TableParagraph"/>
              <w:spacing w:before="59"/>
              <w:ind w:left="378"/>
              <w:rPr>
                <w:sz w:val="18"/>
              </w:rPr>
            </w:pPr>
            <w:r>
              <w:rPr>
                <w:w w:val="105"/>
                <w:sz w:val="18"/>
              </w:rPr>
              <w:t>84.29</w:t>
            </w:r>
          </w:p>
        </w:tc>
        <w:tc>
          <w:tcPr>
            <w:tcW w:w="2051" w:type="dxa"/>
            <w:tcBorders>
              <w:top w:val="single" w:sz="4" w:space="0" w:color="92D050"/>
              <w:bottom w:val="single" w:sz="4" w:space="0" w:color="92D050"/>
            </w:tcBorders>
          </w:tcPr>
          <w:p>
            <w:pPr>
              <w:pStyle w:val="TableParagraph"/>
              <w:spacing w:before="59"/>
              <w:ind w:left="788"/>
              <w:jc w:val="left"/>
              <w:rPr>
                <w:sz w:val="18"/>
              </w:rPr>
            </w:pPr>
            <w:r>
              <w:rPr>
                <w:w w:val="105"/>
                <w:sz w:val="18"/>
              </w:rPr>
              <w:t>32.58</w:t>
            </w:r>
          </w:p>
        </w:tc>
        <w:tc>
          <w:tcPr>
            <w:tcW w:w="1630" w:type="dxa"/>
            <w:tcBorders>
              <w:top w:val="single" w:sz="4" w:space="0" w:color="92D050"/>
              <w:bottom w:val="single" w:sz="4" w:space="0" w:color="92D050"/>
            </w:tcBorders>
          </w:tcPr>
          <w:p>
            <w:pPr>
              <w:pStyle w:val="TableParagraph"/>
              <w:spacing w:before="59"/>
              <w:ind w:left="538"/>
              <w:jc w:val="left"/>
              <w:rPr>
                <w:sz w:val="18"/>
              </w:rPr>
            </w:pPr>
            <w:r>
              <w:rPr>
                <w:w w:val="105"/>
                <w:sz w:val="18"/>
              </w:rPr>
              <w:t>51.71</w:t>
            </w:r>
          </w:p>
        </w:tc>
        <w:tc>
          <w:tcPr>
            <w:tcW w:w="1834" w:type="dxa"/>
            <w:tcBorders>
              <w:top w:val="single" w:sz="4" w:space="0" w:color="92D050"/>
              <w:bottom w:val="single" w:sz="4" w:space="0" w:color="92D050"/>
            </w:tcBorders>
          </w:tcPr>
          <w:p>
            <w:pPr>
              <w:pStyle w:val="TableParagraph"/>
              <w:spacing w:before="59"/>
              <w:ind w:right="471"/>
              <w:jc w:val="right"/>
              <w:rPr>
                <w:sz w:val="18"/>
              </w:rPr>
            </w:pPr>
            <w:r>
              <w:rPr>
                <w:w w:val="110"/>
                <w:sz w:val="18"/>
              </w:rPr>
              <w:t>Q4, 2021</w:t>
            </w:r>
          </w:p>
        </w:tc>
      </w:tr>
      <w:tr>
        <w:trPr>
          <w:trHeight w:val="314" w:hRule="atLeast"/>
        </w:trPr>
        <w:tc>
          <w:tcPr>
            <w:tcW w:w="3131" w:type="dxa"/>
            <w:tcBorders>
              <w:top w:val="single" w:sz="4" w:space="0" w:color="92D050"/>
              <w:bottom w:val="single" w:sz="4" w:space="0" w:color="92D050"/>
            </w:tcBorders>
          </w:tcPr>
          <w:p>
            <w:pPr>
              <w:pStyle w:val="TableParagraph"/>
              <w:spacing w:before="59"/>
              <w:ind w:left="315" w:right="92"/>
              <w:rPr>
                <w:sz w:val="18"/>
              </w:rPr>
            </w:pPr>
            <w:r>
              <w:rPr>
                <w:sz w:val="18"/>
              </w:rPr>
              <w:t>Works by EPDPL</w:t>
            </w:r>
          </w:p>
        </w:tc>
        <w:tc>
          <w:tcPr>
            <w:tcW w:w="1839" w:type="dxa"/>
            <w:tcBorders>
              <w:top w:val="single" w:sz="4" w:space="0" w:color="92D050"/>
              <w:bottom w:val="single" w:sz="4" w:space="0" w:color="92D050"/>
            </w:tcBorders>
          </w:tcPr>
          <w:p>
            <w:pPr>
              <w:pStyle w:val="TableParagraph"/>
              <w:spacing w:before="59"/>
              <w:ind w:left="378"/>
              <w:rPr>
                <w:sz w:val="18"/>
              </w:rPr>
            </w:pPr>
            <w:r>
              <w:rPr>
                <w:w w:val="110"/>
                <w:sz w:val="18"/>
              </w:rPr>
              <w:t>209.54</w:t>
            </w:r>
          </w:p>
        </w:tc>
        <w:tc>
          <w:tcPr>
            <w:tcW w:w="2051" w:type="dxa"/>
            <w:tcBorders>
              <w:top w:val="single" w:sz="4" w:space="0" w:color="92D050"/>
              <w:bottom w:val="single" w:sz="4" w:space="0" w:color="92D050"/>
            </w:tcBorders>
          </w:tcPr>
          <w:p>
            <w:pPr>
              <w:pStyle w:val="TableParagraph"/>
              <w:spacing w:before="59"/>
              <w:ind w:left="788"/>
              <w:jc w:val="left"/>
              <w:rPr>
                <w:sz w:val="18"/>
              </w:rPr>
            </w:pPr>
            <w:r>
              <w:rPr>
                <w:w w:val="105"/>
                <w:sz w:val="18"/>
              </w:rPr>
              <w:t>70.69</w:t>
            </w:r>
          </w:p>
        </w:tc>
        <w:tc>
          <w:tcPr>
            <w:tcW w:w="1630" w:type="dxa"/>
            <w:tcBorders>
              <w:top w:val="single" w:sz="4" w:space="0" w:color="92D050"/>
              <w:bottom w:val="single" w:sz="4" w:space="0" w:color="92D050"/>
            </w:tcBorders>
          </w:tcPr>
          <w:p>
            <w:pPr>
              <w:pStyle w:val="TableParagraph"/>
              <w:spacing w:before="59"/>
              <w:ind w:left="485"/>
              <w:jc w:val="left"/>
              <w:rPr>
                <w:sz w:val="18"/>
              </w:rPr>
            </w:pPr>
            <w:r>
              <w:rPr>
                <w:w w:val="110"/>
                <w:sz w:val="18"/>
              </w:rPr>
              <w:t>138.85</w:t>
            </w:r>
          </w:p>
        </w:tc>
        <w:tc>
          <w:tcPr>
            <w:tcW w:w="1834" w:type="dxa"/>
            <w:tcBorders>
              <w:top w:val="single" w:sz="4" w:space="0" w:color="92D050"/>
              <w:bottom w:val="single" w:sz="4" w:space="0" w:color="92D050"/>
            </w:tcBorders>
          </w:tcPr>
          <w:p>
            <w:pPr>
              <w:pStyle w:val="TableParagraph"/>
              <w:spacing w:before="59"/>
              <w:ind w:right="471"/>
              <w:jc w:val="right"/>
              <w:rPr>
                <w:sz w:val="18"/>
              </w:rPr>
            </w:pPr>
            <w:r>
              <w:rPr>
                <w:w w:val="110"/>
                <w:sz w:val="18"/>
              </w:rPr>
              <w:t>Q1, 2022</w:t>
            </w:r>
          </w:p>
        </w:tc>
      </w:tr>
    </w:tbl>
    <w:p>
      <w:pPr>
        <w:spacing w:before="4"/>
        <w:ind w:left="220" w:right="0" w:firstLine="0"/>
        <w:jc w:val="left"/>
        <w:rPr>
          <w:i/>
          <w:sz w:val="18"/>
        </w:rPr>
      </w:pPr>
      <w:r>
        <w:rPr/>
        <w:pict>
          <v:group style="position:absolute;margin-left:36pt;margin-top:-121.069321pt;width:523.6pt;height:23.65pt;mso-position-horizontal-relative:page;mso-position-vertical-relative:paragraph;z-index:-34532352" coordorigin="720,-2421" coordsize="10472,473">
            <v:shape style="position:absolute;left:720;top:-2393;width:10472;height:435" coordorigin="720,-2393" coordsize="10472,435" path="m7559,-2393l5848,-2393,5848,-2393,4045,-2393,720,-2393,720,-1958,4045,-1958,5848,-1958,5848,-1958,7559,-1958,7559,-2393xm11191,-2393l9451,-2393,7560,-2393,7560,-1958,9451,-1958,11191,-1958,11191,-2393xe" filled="true" fillcolor="#006a4d" stroked="false">
              <v:path arrowok="t"/>
              <v:fill type="solid"/>
            </v:shape>
            <v:rect style="position:absolute;left:720;top:-2422;width:3325;height:29" filled="true" fillcolor="#1f664d" stroked="false">
              <v:fill type="solid"/>
            </v:rect>
            <v:shape style="position:absolute;left:720;top:-2393;width:3354;height:3" coordorigin="720,-2393" coordsize="3354,3" path="m4074,-2393l4045,-2393,720,-2393,720,-2390,4045,-2390,4074,-2390,4074,-2393xe" filled="true" fillcolor="#006a4d" stroked="false">
              <v:path arrowok="t"/>
              <v:fill type="solid"/>
            </v:shape>
            <v:shape style="position:absolute;left:4045;top:-2422;width:1803;height:29" coordorigin="4045,-2421" coordsize="1803,29" path="m5848,-2421l4074,-2421,4045,-2421,4045,-2393,4074,-2393,5848,-2393,5848,-2421xe" filled="true" fillcolor="#1f664d" stroked="false">
              <v:path arrowok="t"/>
              <v:fill type="solid"/>
            </v:shape>
            <v:shape style="position:absolute;left:4073;top:-2393;width:1803;height:3" coordorigin="4074,-2393" coordsize="1803,3" path="m5877,-2393l5848,-2393,4074,-2393,4074,-2390,5848,-2390,5877,-2390,5877,-2393xe" filled="true" fillcolor="#006a4d" stroked="false">
              <v:path arrowok="t"/>
              <v:fill type="solid"/>
            </v:shape>
            <v:shape style="position:absolute;left:5847;top:-2422;width:1712;height:29" coordorigin="5848,-2421" coordsize="1712,29" path="m7559,-2421l5877,-2421,5848,-2421,5848,-2393,5877,-2393,7559,-2393,7559,-2421xe" filled="true" fillcolor="#1f664d" stroked="false">
              <v:path arrowok="t"/>
              <v:fill type="solid"/>
            </v:shape>
            <v:shape style="position:absolute;left:5876;top:-2393;width:1712;height:3" coordorigin="5877,-2393" coordsize="1712,3" path="m7559,-2393l5877,-2393,5877,-2390,7559,-2390,7559,-2393xm7588,-2393l7560,-2393,7560,-2390,7588,-2390,7588,-2393xe" filled="true" fillcolor="#006a4d" stroked="false">
              <v:path arrowok="t"/>
              <v:fill type="solid"/>
            </v:shape>
            <v:shape style="position:absolute;left:7559;top:-2422;width:1892;height:29" coordorigin="7560,-2421" coordsize="1892,29" path="m9451,-2421l7588,-2421,7560,-2421,7560,-2393,7588,-2393,9451,-2393,9451,-2421xe" filled="true" fillcolor="#1f664d" stroked="false">
              <v:path arrowok="t"/>
              <v:fill type="solid"/>
            </v:shape>
            <v:shape style="position:absolute;left:7588;top:-2393;width:1892;height:3" coordorigin="7588,-2393" coordsize="1892,3" path="m9480,-2393l9451,-2393,7588,-2393,7588,-2390,9451,-2390,9480,-2390,9480,-2393xe" filled="true" fillcolor="#006a4d" stroked="false">
              <v:path arrowok="t"/>
              <v:fill type="solid"/>
            </v:shape>
            <v:shape style="position:absolute;left:9450;top:-2422;width:1741;height:29" coordorigin="9451,-2421" coordsize="1741,29" path="m11191,-2421l9480,-2421,9451,-2421,9451,-2393,9480,-2393,11191,-2393,11191,-2421xe" filled="true" fillcolor="#1f664d" stroked="false">
              <v:path arrowok="t"/>
              <v:fill type="solid"/>
            </v:shape>
            <v:rect style="position:absolute;left:9479;top:-2393;width:1712;height:3" filled="true" fillcolor="#006a4d" stroked="false">
              <v:fill type="solid"/>
            </v:rect>
            <v:shape style="position:absolute;left:720;top:-1959;width:10472;height:10" coordorigin="720,-1958" coordsize="10472,10" path="m7559,-1958l5857,-1958,5848,-1958,5848,-1958,4055,-1958,4045,-1958,720,-1958,720,-1949,4045,-1949,4055,-1949,5848,-1949,5848,-1949,5857,-1949,7559,-1949,7559,-1958xm7569,-1958l7560,-1958,7560,-1949,7569,-1949,7569,-1958xm9451,-1958l7569,-1958,7569,-1949,9451,-1949,9451,-1958xm9460,-1958l9451,-1958,9451,-1949,9460,-1949,9460,-1958xm11191,-1958l9460,-1958,9460,-1949,11191,-1949,11191,-1958xe" filled="true" fillcolor="#92d050" stroked="false">
              <v:path arrowok="t"/>
              <v:fill type="solid"/>
            </v:shape>
            <w10:wrap type="none"/>
          </v:group>
        </w:pict>
      </w:r>
      <w:r>
        <w:rPr>
          <w:i/>
          <w:sz w:val="18"/>
        </w:rPr>
        <w:t>Source: Information provided by Client</w:t>
      </w:r>
    </w:p>
    <w:p>
      <w:pPr>
        <w:pStyle w:val="BodyText"/>
        <w:rPr>
          <w:i/>
          <w:sz w:val="27"/>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165" w:id="321"/>
      <w:bookmarkEnd w:id="321"/>
      <w:r>
        <w:rPr/>
      </w:r>
      <w:bookmarkStart w:name="_bookmark165" w:id="322"/>
      <w:bookmarkEnd w:id="322"/>
      <w:r>
        <w:rPr>
          <w:color w:val="1F664D"/>
          <w:sz w:val="22"/>
        </w:rPr>
        <w:t>Pro</w:t>
      </w:r>
      <w:r>
        <w:rPr>
          <w:color w:val="1F664D"/>
          <w:sz w:val="22"/>
        </w:rPr>
        <w:t>perty Photographs</w:t>
      </w:r>
    </w:p>
    <w:p>
      <w:pPr>
        <w:pStyle w:val="BodyText"/>
        <w:spacing w:before="207"/>
        <w:ind w:left="767"/>
      </w:pPr>
      <w:r>
        <w:rPr/>
        <w:t>Please refer to the property photographs highlighted below:</w:t>
      </w:r>
    </w:p>
    <w:p>
      <w:pPr>
        <w:pStyle w:val="BodyText"/>
        <w:spacing w:before="10"/>
        <w:rPr>
          <w:sz w:val="27"/>
        </w:rPr>
      </w:pPr>
    </w:p>
    <w:tbl>
      <w:tblPr>
        <w:tblW w:w="0" w:type="auto"/>
        <w:jc w:val="left"/>
        <w:tblInd w:w="1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52"/>
        <w:gridCol w:w="610"/>
        <w:gridCol w:w="3577"/>
      </w:tblGrid>
      <w:tr>
        <w:trPr>
          <w:trHeight w:val="232" w:hRule="atLeast"/>
        </w:trPr>
        <w:tc>
          <w:tcPr>
            <w:tcW w:w="7639" w:type="dxa"/>
            <w:gridSpan w:val="3"/>
            <w:tcBorders>
              <w:left w:val="nil"/>
              <w:bottom w:val="nil"/>
              <w:right w:val="nil"/>
            </w:tcBorders>
            <w:shd w:val="clear" w:color="auto" w:fill="006A4D"/>
          </w:tcPr>
          <w:p>
            <w:pPr>
              <w:pStyle w:val="TableParagraph"/>
              <w:spacing w:line="208" w:lineRule="exact" w:before="4"/>
              <w:ind w:left="2962" w:right="2956"/>
              <w:rPr>
                <w:sz w:val="20"/>
              </w:rPr>
            </w:pPr>
            <w:r>
              <w:rPr>
                <w:color w:val="FFFFFF"/>
                <w:sz w:val="20"/>
              </w:rPr>
              <w:t>Embassy TechZone</w:t>
            </w:r>
          </w:p>
        </w:tc>
      </w:tr>
      <w:tr>
        <w:trPr>
          <w:trHeight w:val="2478" w:hRule="atLeast"/>
        </w:trPr>
        <w:tc>
          <w:tcPr>
            <w:tcW w:w="3452" w:type="dxa"/>
          </w:tcPr>
          <w:p>
            <w:pPr>
              <w:pStyle w:val="TableParagraph"/>
              <w:spacing w:before="2"/>
              <w:jc w:val="left"/>
              <w:rPr>
                <w:sz w:val="6"/>
              </w:rPr>
            </w:pPr>
          </w:p>
          <w:p>
            <w:pPr>
              <w:pStyle w:val="TableParagraph"/>
              <w:ind w:left="150"/>
              <w:jc w:val="left"/>
              <w:rPr>
                <w:sz w:val="20"/>
              </w:rPr>
            </w:pPr>
            <w:r>
              <w:rPr>
                <w:sz w:val="20"/>
              </w:rPr>
              <w:drawing>
                <wp:inline distT="0" distB="0" distL="0" distR="0">
                  <wp:extent cx="1999086" cy="1472184"/>
                  <wp:effectExtent l="0" t="0" r="0" b="0"/>
                  <wp:docPr id="181" name="image139.jpeg"/>
                  <wp:cNvGraphicFramePr>
                    <a:graphicFrameLocks noChangeAspect="1"/>
                  </wp:cNvGraphicFramePr>
                  <a:graphic>
                    <a:graphicData uri="http://schemas.openxmlformats.org/drawingml/2006/picture">
                      <pic:pic>
                        <pic:nvPicPr>
                          <pic:cNvPr id="182" name="image139.jpeg"/>
                          <pic:cNvPicPr/>
                        </pic:nvPicPr>
                        <pic:blipFill>
                          <a:blip r:embed="rId182" cstate="print"/>
                          <a:stretch>
                            <a:fillRect/>
                          </a:stretch>
                        </pic:blipFill>
                        <pic:spPr>
                          <a:xfrm>
                            <a:off x="0" y="0"/>
                            <a:ext cx="1999086" cy="1472184"/>
                          </a:xfrm>
                          <a:prstGeom prst="rect">
                            <a:avLst/>
                          </a:prstGeom>
                        </pic:spPr>
                      </pic:pic>
                    </a:graphicData>
                  </a:graphic>
                </wp:inline>
              </w:drawing>
            </w:r>
            <w:r>
              <w:rPr>
                <w:sz w:val="20"/>
              </w:rPr>
            </w:r>
          </w:p>
        </w:tc>
        <w:tc>
          <w:tcPr>
            <w:tcW w:w="610" w:type="dxa"/>
            <w:tcBorders>
              <w:top w:val="nil"/>
              <w:bottom w:val="nil"/>
            </w:tcBorders>
          </w:tcPr>
          <w:p>
            <w:pPr>
              <w:pStyle w:val="TableParagraph"/>
              <w:jc w:val="left"/>
              <w:rPr>
                <w:rFonts w:ascii="Times New Roman"/>
                <w:sz w:val="18"/>
              </w:rPr>
            </w:pPr>
          </w:p>
        </w:tc>
        <w:tc>
          <w:tcPr>
            <w:tcW w:w="3577" w:type="dxa"/>
          </w:tcPr>
          <w:p>
            <w:pPr>
              <w:pStyle w:val="TableParagraph"/>
              <w:spacing w:before="1"/>
              <w:jc w:val="left"/>
              <w:rPr>
                <w:sz w:val="7"/>
              </w:rPr>
            </w:pPr>
          </w:p>
          <w:p>
            <w:pPr>
              <w:pStyle w:val="TableParagraph"/>
              <w:ind w:left="149"/>
              <w:jc w:val="left"/>
              <w:rPr>
                <w:sz w:val="20"/>
              </w:rPr>
            </w:pPr>
            <w:r>
              <w:rPr>
                <w:sz w:val="20"/>
              </w:rPr>
              <w:drawing>
                <wp:inline distT="0" distB="0" distL="0" distR="0">
                  <wp:extent cx="2077382" cy="1481327"/>
                  <wp:effectExtent l="0" t="0" r="0" b="0"/>
                  <wp:docPr id="183" name="image140.jpeg"/>
                  <wp:cNvGraphicFramePr>
                    <a:graphicFrameLocks noChangeAspect="1"/>
                  </wp:cNvGraphicFramePr>
                  <a:graphic>
                    <a:graphicData uri="http://schemas.openxmlformats.org/drawingml/2006/picture">
                      <pic:pic>
                        <pic:nvPicPr>
                          <pic:cNvPr id="184" name="image140.jpeg"/>
                          <pic:cNvPicPr/>
                        </pic:nvPicPr>
                        <pic:blipFill>
                          <a:blip r:embed="rId183" cstate="print"/>
                          <a:stretch>
                            <a:fillRect/>
                          </a:stretch>
                        </pic:blipFill>
                        <pic:spPr>
                          <a:xfrm>
                            <a:off x="0" y="0"/>
                            <a:ext cx="2077382" cy="1481327"/>
                          </a:xfrm>
                          <a:prstGeom prst="rect">
                            <a:avLst/>
                          </a:prstGeom>
                        </pic:spPr>
                      </pic:pic>
                    </a:graphicData>
                  </a:graphic>
                </wp:inline>
              </w:drawing>
            </w:r>
            <w:r>
              <w:rPr>
                <w:sz w:val="20"/>
              </w:rPr>
            </w:r>
          </w:p>
        </w:tc>
      </w:tr>
    </w:tbl>
    <w:p>
      <w:pPr>
        <w:pStyle w:val="BodyText"/>
        <w:rPr>
          <w:sz w:val="6"/>
        </w:rPr>
      </w:pPr>
    </w:p>
    <w:p>
      <w:pPr>
        <w:spacing w:after="0"/>
        <w:rPr>
          <w:sz w:val="6"/>
        </w:rPr>
        <w:sectPr>
          <w:pgSz w:w="11910" w:h="16840"/>
          <w:pgMar w:header="720" w:footer="921" w:top="1660" w:bottom="1120" w:left="500" w:right="480"/>
        </w:sectPr>
      </w:pPr>
    </w:p>
    <w:p>
      <w:pPr>
        <w:spacing w:line="247" w:lineRule="auto" w:before="75"/>
        <w:ind w:left="3120" w:right="-13" w:hanging="1230"/>
        <w:jc w:val="left"/>
        <w:rPr>
          <w:sz w:val="18"/>
        </w:rPr>
      </w:pPr>
      <w:r>
        <w:rPr>
          <w:sz w:val="18"/>
        </w:rPr>
        <w:t>External</w:t>
      </w:r>
      <w:r>
        <w:rPr>
          <w:spacing w:val="-35"/>
          <w:sz w:val="18"/>
        </w:rPr>
        <w:t> </w:t>
      </w:r>
      <w:r>
        <w:rPr>
          <w:sz w:val="18"/>
        </w:rPr>
        <w:t>view</w:t>
      </w:r>
      <w:r>
        <w:rPr>
          <w:spacing w:val="-34"/>
          <w:sz w:val="18"/>
        </w:rPr>
        <w:t> </w:t>
      </w:r>
      <w:r>
        <w:rPr>
          <w:sz w:val="18"/>
        </w:rPr>
        <w:t>of</w:t>
      </w:r>
      <w:r>
        <w:rPr>
          <w:spacing w:val="-33"/>
          <w:sz w:val="18"/>
        </w:rPr>
        <w:t> </w:t>
      </w:r>
      <w:r>
        <w:rPr>
          <w:sz w:val="18"/>
        </w:rPr>
        <w:t>the</w:t>
      </w:r>
      <w:r>
        <w:rPr>
          <w:spacing w:val="-34"/>
          <w:sz w:val="18"/>
        </w:rPr>
        <w:t> </w:t>
      </w:r>
      <w:r>
        <w:rPr>
          <w:sz w:val="18"/>
        </w:rPr>
        <w:t>subject</w:t>
      </w:r>
      <w:r>
        <w:rPr>
          <w:spacing w:val="-34"/>
          <w:sz w:val="18"/>
        </w:rPr>
        <w:t> </w:t>
      </w:r>
      <w:r>
        <w:rPr>
          <w:sz w:val="18"/>
        </w:rPr>
        <w:t>property</w:t>
      </w:r>
      <w:r>
        <w:rPr>
          <w:spacing w:val="-34"/>
          <w:sz w:val="18"/>
        </w:rPr>
        <w:t> </w:t>
      </w:r>
      <w:r>
        <w:rPr>
          <w:sz w:val="18"/>
        </w:rPr>
        <w:t>(SP)</w:t>
      </w:r>
      <w:r>
        <w:rPr>
          <w:spacing w:val="-34"/>
          <w:sz w:val="18"/>
        </w:rPr>
        <w:t> </w:t>
      </w:r>
      <w:r>
        <w:rPr>
          <w:w w:val="130"/>
          <w:sz w:val="18"/>
        </w:rPr>
        <w:t>~ </w:t>
      </w:r>
      <w:r>
        <w:rPr>
          <w:sz w:val="18"/>
        </w:rPr>
        <w:t>Rhine</w:t>
      </w:r>
      <w:r>
        <w:rPr>
          <w:spacing w:val="-2"/>
          <w:sz w:val="18"/>
        </w:rPr>
        <w:t> </w:t>
      </w:r>
      <w:r>
        <w:rPr>
          <w:sz w:val="18"/>
        </w:rPr>
        <w:t>Block</w:t>
      </w:r>
    </w:p>
    <w:p>
      <w:pPr>
        <w:spacing w:before="75"/>
        <w:ind w:left="514" w:right="0" w:firstLine="0"/>
        <w:jc w:val="left"/>
        <w:rPr>
          <w:sz w:val="18"/>
        </w:rPr>
      </w:pPr>
      <w:r>
        <w:rPr/>
        <w:br w:type="column"/>
      </w:r>
      <w:r>
        <w:rPr>
          <w:w w:val="105"/>
          <w:sz w:val="18"/>
        </w:rPr>
        <w:t>External view of the SP </w:t>
      </w:r>
      <w:r>
        <w:rPr>
          <w:w w:val="130"/>
          <w:sz w:val="18"/>
        </w:rPr>
        <w:t>~ </w:t>
      </w:r>
      <w:r>
        <w:rPr>
          <w:w w:val="105"/>
          <w:sz w:val="18"/>
        </w:rPr>
        <w:t>Mississippi Block</w:t>
      </w:r>
    </w:p>
    <w:p>
      <w:pPr>
        <w:spacing w:after="0"/>
        <w:jc w:val="left"/>
        <w:rPr>
          <w:sz w:val="18"/>
        </w:rPr>
        <w:sectPr>
          <w:type w:val="continuous"/>
          <w:pgSz w:w="11910" w:h="16840"/>
          <w:pgMar w:top="800" w:bottom="280" w:left="500" w:right="480"/>
          <w:cols w:num="2" w:equalWidth="0">
            <w:col w:w="5247" w:space="40"/>
            <w:col w:w="5643"/>
          </w:cols>
        </w:sectPr>
      </w:pPr>
    </w:p>
    <w:p>
      <w:pPr>
        <w:tabs>
          <w:tab w:pos="5805" w:val="left" w:leader="none"/>
        </w:tabs>
        <w:spacing w:line="240" w:lineRule="auto"/>
        <w:ind w:left="1745" w:right="0" w:firstLine="0"/>
        <w:rPr>
          <w:sz w:val="20"/>
        </w:rPr>
      </w:pPr>
      <w:r>
        <w:rPr>
          <w:sz w:val="20"/>
        </w:rPr>
        <w:pict>
          <v:group style="width:176pt;height:126.1pt;mso-position-horizontal-relative:char;mso-position-vertical-relative:line" coordorigin="0,0" coordsize="3520,2522">
            <v:rect style="position:absolute;left:5;top:5;width:3510;height:2512" filled="false" stroked="true" strokeweight=".5pt" strokecolor="#000000">
              <v:stroke dashstyle="solid"/>
            </v:rect>
            <v:shape style="position:absolute;left:155;top:82;width:3212;height:2359" type="#_x0000_t75" stroked="false">
              <v:imagedata r:id="rId184" o:title=""/>
            </v:shape>
          </v:group>
        </w:pict>
      </w:r>
      <w:r>
        <w:rPr>
          <w:sz w:val="20"/>
        </w:rPr>
      </w:r>
      <w:r>
        <w:rPr>
          <w:sz w:val="20"/>
        </w:rPr>
        <w:tab/>
      </w:r>
      <w:r>
        <w:rPr>
          <w:sz w:val="20"/>
        </w:rPr>
        <w:pict>
          <v:group style="width:176pt;height:126.1pt;mso-position-horizontal-relative:char;mso-position-vertical-relative:line" coordorigin="0,0" coordsize="3520,2522">
            <v:rect style="position:absolute;left:5;top:5;width:3510;height:2512" filled="false" stroked="true" strokeweight=".5pt" strokecolor="#000000">
              <v:stroke dashstyle="solid"/>
            </v:rect>
            <v:shape style="position:absolute;left:154;top:82;width:3212;height:2359" type="#_x0000_t75" stroked="false">
              <v:imagedata r:id="rId185" o:title=""/>
            </v:shape>
          </v:group>
        </w:pict>
      </w:r>
      <w:r>
        <w:rPr>
          <w:sz w:val="20"/>
        </w:rPr>
      </w:r>
    </w:p>
    <w:p>
      <w:pPr>
        <w:spacing w:after="0" w:line="240" w:lineRule="auto"/>
        <w:rPr>
          <w:sz w:val="20"/>
        </w:rPr>
        <w:sectPr>
          <w:type w:val="continuous"/>
          <w:pgSz w:w="11910" w:h="16840"/>
          <w:pgMar w:top="800" w:bottom="280" w:left="500" w:right="480"/>
        </w:sectPr>
      </w:pPr>
    </w:p>
    <w:p>
      <w:pPr>
        <w:spacing w:line="247" w:lineRule="auto" w:before="14"/>
        <w:ind w:left="2846" w:right="-14" w:hanging="728"/>
        <w:jc w:val="left"/>
        <w:rPr>
          <w:sz w:val="18"/>
        </w:rPr>
      </w:pPr>
      <w:r>
        <w:rPr>
          <w:w w:val="105"/>
          <w:sz w:val="18"/>
        </w:rPr>
        <w:t>View</w:t>
      </w:r>
      <w:r>
        <w:rPr>
          <w:spacing w:val="-40"/>
          <w:w w:val="105"/>
          <w:sz w:val="18"/>
        </w:rPr>
        <w:t> </w:t>
      </w:r>
      <w:r>
        <w:rPr>
          <w:w w:val="105"/>
          <w:sz w:val="18"/>
        </w:rPr>
        <w:t>of</w:t>
      </w:r>
      <w:r>
        <w:rPr>
          <w:spacing w:val="-39"/>
          <w:w w:val="105"/>
          <w:sz w:val="18"/>
        </w:rPr>
        <w:t> </w:t>
      </w:r>
      <w:r>
        <w:rPr>
          <w:w w:val="105"/>
          <w:sz w:val="18"/>
        </w:rPr>
        <w:t>Under</w:t>
      </w:r>
      <w:r>
        <w:rPr>
          <w:spacing w:val="-39"/>
          <w:w w:val="105"/>
          <w:sz w:val="18"/>
        </w:rPr>
        <w:t> </w:t>
      </w:r>
      <w:r>
        <w:rPr>
          <w:w w:val="105"/>
          <w:sz w:val="18"/>
        </w:rPr>
        <w:t>Construction</w:t>
      </w:r>
      <w:r>
        <w:rPr>
          <w:spacing w:val="-39"/>
          <w:w w:val="105"/>
          <w:sz w:val="18"/>
        </w:rPr>
        <w:t> </w:t>
      </w:r>
      <w:r>
        <w:rPr>
          <w:w w:val="105"/>
          <w:sz w:val="18"/>
        </w:rPr>
        <w:t>Blocks</w:t>
      </w:r>
      <w:r>
        <w:rPr>
          <w:spacing w:val="-39"/>
          <w:w w:val="105"/>
          <w:sz w:val="18"/>
        </w:rPr>
        <w:t> </w:t>
      </w:r>
      <w:r>
        <w:rPr>
          <w:w w:val="125"/>
          <w:sz w:val="18"/>
        </w:rPr>
        <w:t>~ </w:t>
      </w:r>
      <w:r>
        <w:rPr>
          <w:w w:val="105"/>
          <w:sz w:val="18"/>
        </w:rPr>
        <w:t>Hudson &amp;</w:t>
      </w:r>
      <w:r>
        <w:rPr>
          <w:spacing w:val="-10"/>
          <w:w w:val="105"/>
          <w:sz w:val="18"/>
        </w:rPr>
        <w:t> </w:t>
      </w:r>
      <w:r>
        <w:rPr>
          <w:w w:val="105"/>
          <w:sz w:val="18"/>
        </w:rPr>
        <w:t>Ganges</w:t>
      </w:r>
    </w:p>
    <w:p>
      <w:pPr>
        <w:spacing w:before="14"/>
        <w:ind w:left="891" w:right="0" w:firstLine="0"/>
        <w:jc w:val="left"/>
        <w:rPr>
          <w:sz w:val="18"/>
        </w:rPr>
      </w:pPr>
      <w:r>
        <w:rPr/>
        <w:br w:type="column"/>
      </w:r>
      <w:r>
        <w:rPr>
          <w:sz w:val="18"/>
        </w:rPr>
        <w:t>View of one of the vacant spaces in SP</w:t>
      </w:r>
    </w:p>
    <w:p>
      <w:pPr>
        <w:spacing w:after="0"/>
        <w:jc w:val="left"/>
        <w:rPr>
          <w:sz w:val="18"/>
        </w:rPr>
        <w:sectPr>
          <w:type w:val="continuous"/>
          <w:pgSz w:w="11910" w:h="16840"/>
          <w:pgMar w:top="800" w:bottom="280" w:left="500" w:right="480"/>
          <w:cols w:num="2" w:equalWidth="0">
            <w:col w:w="5021" w:space="40"/>
            <w:col w:w="5869"/>
          </w:cols>
        </w:sectPr>
      </w:pPr>
    </w:p>
    <w:p>
      <w:pPr>
        <w:tabs>
          <w:tab w:pos="5824" w:val="left" w:leader="none"/>
        </w:tabs>
        <w:spacing w:line="240" w:lineRule="auto"/>
        <w:ind w:left="1730" w:right="0" w:firstLine="0"/>
        <w:rPr>
          <w:sz w:val="20"/>
        </w:rPr>
      </w:pPr>
      <w:r>
        <w:rPr>
          <w:sz w:val="20"/>
        </w:rPr>
        <w:pict>
          <v:group style="width:176.75pt;height:120.15pt;mso-position-horizontal-relative:char;mso-position-vertical-relative:line" coordorigin="0,0" coordsize="3535,2403">
            <v:rect style="position:absolute;left:5;top:5;width:3525;height:2393" filled="false" stroked="true" strokeweight=".5pt" strokecolor="#000000">
              <v:stroke dashstyle="solid"/>
            </v:rect>
            <v:shape style="position:absolute;left:154;top:82;width:3228;height:2239" type="#_x0000_t75" stroked="false">
              <v:imagedata r:id="rId186" o:title=""/>
            </v:shape>
          </v:group>
        </w:pict>
      </w:r>
      <w:r>
        <w:rPr>
          <w:sz w:val="20"/>
        </w:rPr>
      </w:r>
      <w:r>
        <w:rPr>
          <w:sz w:val="20"/>
        </w:rPr>
        <w:tab/>
      </w:r>
      <w:r>
        <w:rPr>
          <w:position w:val="23"/>
          <w:sz w:val="20"/>
        </w:rPr>
        <w:pict>
          <v:group style="width:174.85pt;height:119.4pt;mso-position-horizontal-relative:char;mso-position-vertical-relative:line" coordorigin="0,0" coordsize="3497,2388">
            <v:rect style="position:absolute;left:5;top:5;width:3487;height:2378" filled="false" stroked="true" strokeweight=".5pt" strokecolor="#000000">
              <v:stroke dashstyle="solid"/>
            </v:rect>
            <v:shape style="position:absolute;left:154;top:83;width:3190;height:2223" type="#_x0000_t75" stroked="false">
              <v:imagedata r:id="rId187" o:title=""/>
            </v:shape>
          </v:group>
        </w:pict>
      </w:r>
      <w:r>
        <w:rPr>
          <w:position w:val="23"/>
          <w:sz w:val="20"/>
        </w:rPr>
      </w:r>
    </w:p>
    <w:p>
      <w:pPr>
        <w:tabs>
          <w:tab w:pos="4119" w:val="left" w:leader="none"/>
        </w:tabs>
        <w:spacing w:before="57" w:after="4"/>
        <w:ind w:left="0" w:right="141" w:firstLine="0"/>
        <w:jc w:val="center"/>
        <w:rPr>
          <w:sz w:val="18"/>
        </w:rPr>
      </w:pPr>
      <w:r>
        <w:rPr>
          <w:sz w:val="18"/>
        </w:rPr>
        <w:t>View</w:t>
      </w:r>
      <w:r>
        <w:rPr>
          <w:spacing w:val="-18"/>
          <w:sz w:val="18"/>
        </w:rPr>
        <w:t> </w:t>
      </w:r>
      <w:r>
        <w:rPr>
          <w:sz w:val="18"/>
        </w:rPr>
        <w:t>of</w:t>
      </w:r>
      <w:r>
        <w:rPr>
          <w:spacing w:val="-16"/>
          <w:sz w:val="18"/>
        </w:rPr>
        <w:t> </w:t>
      </w:r>
      <w:r>
        <w:rPr>
          <w:sz w:val="18"/>
        </w:rPr>
        <w:t>internal</w:t>
      </w:r>
      <w:r>
        <w:rPr>
          <w:spacing w:val="-17"/>
          <w:sz w:val="18"/>
        </w:rPr>
        <w:t> </w:t>
      </w:r>
      <w:r>
        <w:rPr>
          <w:sz w:val="18"/>
        </w:rPr>
        <w:t>access</w:t>
      </w:r>
      <w:r>
        <w:rPr>
          <w:spacing w:val="-17"/>
          <w:sz w:val="18"/>
        </w:rPr>
        <w:t> </w:t>
      </w:r>
      <w:r>
        <w:rPr>
          <w:sz w:val="18"/>
        </w:rPr>
        <w:t>road</w:t>
        <w:tab/>
        <w:t>View of the food</w:t>
      </w:r>
      <w:r>
        <w:rPr>
          <w:spacing w:val="-15"/>
          <w:sz w:val="18"/>
        </w:rPr>
        <w:t> </w:t>
      </w:r>
      <w:r>
        <w:rPr>
          <w:sz w:val="18"/>
        </w:rPr>
        <w:t>court</w:t>
      </w:r>
    </w:p>
    <w:p>
      <w:pPr>
        <w:pStyle w:val="BodyText"/>
        <w:spacing w:line="20" w:lineRule="exact"/>
        <w:ind w:left="1665"/>
        <w:rPr>
          <w:sz w:val="2"/>
        </w:rPr>
      </w:pPr>
      <w:r>
        <w:rPr>
          <w:sz w:val="2"/>
        </w:rPr>
        <w:pict>
          <v:group style="width:388.7pt;height:.5pt;mso-position-horizontal-relative:char;mso-position-vertical-relative:line" coordorigin="0,0" coordsize="7774,10">
            <v:shape style="position:absolute;left:0;top:0;width:7774;height:10" coordorigin="0,0" coordsize="7774,10" path="m7773,0l3803,0,3798,0,3788,0,0,0,0,10,3788,10,3798,10,3803,10,7773,10,7773,0xe" filled="true" fillcolor="#92d050" stroked="false">
              <v:path arrowok="t"/>
              <v:fill type="solid"/>
            </v:shape>
          </v:group>
        </w:pict>
      </w:r>
      <w:r>
        <w:rPr>
          <w:sz w:val="2"/>
        </w:rPr>
      </w:r>
    </w:p>
    <w:p>
      <w:pPr>
        <w:spacing w:after="0" w:line="20" w:lineRule="exact"/>
        <w:rPr>
          <w:sz w:val="2"/>
        </w:rPr>
        <w:sectPr>
          <w:type w:val="continuous"/>
          <w:pgSz w:w="11910" w:h="16840"/>
          <w:pgMar w:top="800" w:bottom="280" w:left="500" w:right="480"/>
        </w:sectPr>
      </w:pPr>
    </w:p>
    <w:p>
      <w:pPr>
        <w:pStyle w:val="BodyText"/>
        <w:spacing w:before="7"/>
        <w:rPr>
          <w:sz w:val="9"/>
        </w:rPr>
      </w:pPr>
    </w:p>
    <w:p>
      <w:pPr>
        <w:pStyle w:val="ListParagraph"/>
        <w:numPr>
          <w:ilvl w:val="1"/>
          <w:numId w:val="14"/>
        </w:numPr>
        <w:tabs>
          <w:tab w:pos="796" w:val="left" w:leader="none"/>
          <w:tab w:pos="797" w:val="left" w:leader="none"/>
        </w:tabs>
        <w:spacing w:line="240" w:lineRule="auto" w:before="106" w:after="0"/>
        <w:ind w:left="796" w:right="0" w:hanging="577"/>
        <w:jc w:val="left"/>
        <w:rPr>
          <w:color w:val="1F6647"/>
          <w:sz w:val="22"/>
        </w:rPr>
      </w:pPr>
      <w:bookmarkStart w:name="_bookmark166" w:id="323"/>
      <w:bookmarkEnd w:id="323"/>
      <w:r>
        <w:rPr/>
      </w:r>
      <w:bookmarkStart w:name="_bookmark166" w:id="324"/>
      <w:bookmarkEnd w:id="324"/>
      <w:r>
        <w:rPr>
          <w:color w:val="1F6647"/>
          <w:sz w:val="22"/>
        </w:rPr>
        <w:t>Tena</w:t>
      </w:r>
      <w:r>
        <w:rPr>
          <w:color w:val="1F6647"/>
          <w:sz w:val="22"/>
        </w:rPr>
        <w:t>ncy Analysis</w:t>
      </w:r>
    </w:p>
    <w:p>
      <w:pPr>
        <w:pStyle w:val="BodyText"/>
        <w:spacing w:before="3"/>
        <w:rPr>
          <w:sz w:val="28"/>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167" w:id="325"/>
      <w:bookmarkEnd w:id="325"/>
      <w:r>
        <w:rPr/>
      </w:r>
      <w:bookmarkStart w:name="_bookmark167" w:id="326"/>
      <w:bookmarkEnd w:id="326"/>
      <w:r>
        <w:rPr>
          <w:color w:val="1F664D"/>
          <w:sz w:val="22"/>
        </w:rPr>
        <w:t>Histori</w:t>
      </w:r>
      <w:r>
        <w:rPr>
          <w:color w:val="1F664D"/>
          <w:sz w:val="22"/>
        </w:rPr>
        <w:t>cal Committed Occupancy</w:t>
      </w:r>
      <w:r>
        <w:rPr>
          <w:color w:val="1F664D"/>
          <w:spacing w:val="1"/>
          <w:sz w:val="22"/>
        </w:rPr>
        <w:t> </w:t>
      </w:r>
      <w:r>
        <w:rPr>
          <w:color w:val="1F664D"/>
          <w:sz w:val="22"/>
        </w:rPr>
        <w:t>Rates</w:t>
      </w:r>
    </w:p>
    <w:p>
      <w:pPr>
        <w:pStyle w:val="BodyText"/>
        <w:spacing w:before="208"/>
        <w:ind w:left="760"/>
      </w:pPr>
      <w:r>
        <w:rPr/>
        <w:t>The table below highlights the historical occupancy rates at the subject development:</w:t>
      </w:r>
    </w:p>
    <w:p>
      <w:pPr>
        <w:pStyle w:val="BodyText"/>
        <w:spacing w:before="2"/>
        <w:rPr>
          <w:sz w:val="28"/>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6"/>
        <w:gridCol w:w="2619"/>
        <w:gridCol w:w="2616"/>
        <w:gridCol w:w="2615"/>
      </w:tblGrid>
      <w:tr>
        <w:trPr>
          <w:trHeight w:val="260" w:hRule="atLeast"/>
        </w:trPr>
        <w:tc>
          <w:tcPr>
            <w:tcW w:w="2636" w:type="dxa"/>
            <w:tcBorders>
              <w:top w:val="single" w:sz="6" w:space="0" w:color="69BD28"/>
              <w:bottom w:val="single" w:sz="6" w:space="0" w:color="69BD28"/>
            </w:tcBorders>
            <w:shd w:val="clear" w:color="auto" w:fill="006A4D"/>
          </w:tcPr>
          <w:p>
            <w:pPr>
              <w:pStyle w:val="TableParagraph"/>
              <w:spacing w:before="27"/>
              <w:ind w:left="583" w:right="568"/>
              <w:rPr>
                <w:b/>
                <w:sz w:val="18"/>
              </w:rPr>
            </w:pPr>
            <w:r>
              <w:rPr>
                <w:b/>
                <w:color w:val="FFFFFF"/>
                <w:w w:val="110"/>
                <w:sz w:val="18"/>
              </w:rPr>
              <w:t>March 31, 2017</w:t>
            </w:r>
          </w:p>
        </w:tc>
        <w:tc>
          <w:tcPr>
            <w:tcW w:w="2619" w:type="dxa"/>
            <w:tcBorders>
              <w:top w:val="single" w:sz="6" w:space="0" w:color="69BD28"/>
              <w:bottom w:val="single" w:sz="6" w:space="0" w:color="69BD28"/>
            </w:tcBorders>
            <w:shd w:val="clear" w:color="auto" w:fill="006A4D"/>
          </w:tcPr>
          <w:p>
            <w:pPr>
              <w:pStyle w:val="TableParagraph"/>
              <w:spacing w:before="27"/>
              <w:ind w:left="536" w:right="534"/>
              <w:rPr>
                <w:b/>
                <w:sz w:val="18"/>
              </w:rPr>
            </w:pPr>
            <w:r>
              <w:rPr>
                <w:b/>
                <w:color w:val="FFFFFF"/>
                <w:w w:val="110"/>
                <w:sz w:val="18"/>
              </w:rPr>
              <w:t>March 31, 2018</w:t>
            </w:r>
          </w:p>
        </w:tc>
        <w:tc>
          <w:tcPr>
            <w:tcW w:w="2616" w:type="dxa"/>
            <w:tcBorders>
              <w:top w:val="single" w:sz="6" w:space="0" w:color="69BD28"/>
              <w:bottom w:val="single" w:sz="6" w:space="0" w:color="69BD28"/>
            </w:tcBorders>
            <w:shd w:val="clear" w:color="auto" w:fill="006A4D"/>
          </w:tcPr>
          <w:p>
            <w:pPr>
              <w:pStyle w:val="TableParagraph"/>
              <w:spacing w:before="27"/>
              <w:ind w:left="564" w:right="563"/>
              <w:rPr>
                <w:b/>
                <w:sz w:val="18"/>
              </w:rPr>
            </w:pPr>
            <w:r>
              <w:rPr>
                <w:b/>
                <w:color w:val="FFFFFF"/>
                <w:w w:val="110"/>
                <w:sz w:val="18"/>
              </w:rPr>
              <w:t>March 31, 2019</w:t>
            </w:r>
          </w:p>
        </w:tc>
        <w:tc>
          <w:tcPr>
            <w:tcW w:w="2615" w:type="dxa"/>
            <w:tcBorders>
              <w:top w:val="single" w:sz="6" w:space="0" w:color="69BD28"/>
              <w:bottom w:val="single" w:sz="6" w:space="0" w:color="69BD28"/>
            </w:tcBorders>
            <w:shd w:val="clear" w:color="auto" w:fill="006A4D"/>
          </w:tcPr>
          <w:p>
            <w:pPr>
              <w:pStyle w:val="TableParagraph"/>
              <w:spacing w:before="27"/>
              <w:ind w:left="178" w:right="178"/>
              <w:rPr>
                <w:b/>
                <w:sz w:val="18"/>
              </w:rPr>
            </w:pPr>
            <w:r>
              <w:rPr>
                <w:b/>
                <w:color w:val="FFFFFF"/>
                <w:w w:val="110"/>
                <w:sz w:val="18"/>
              </w:rPr>
              <w:t>March 31, 2020</w:t>
            </w:r>
          </w:p>
        </w:tc>
      </w:tr>
      <w:tr>
        <w:trPr>
          <w:trHeight w:val="261" w:hRule="atLeast"/>
        </w:trPr>
        <w:tc>
          <w:tcPr>
            <w:tcW w:w="2636" w:type="dxa"/>
            <w:tcBorders>
              <w:top w:val="single" w:sz="6" w:space="0" w:color="69BD28"/>
              <w:bottom w:val="single" w:sz="6" w:space="0" w:color="69BD28"/>
            </w:tcBorders>
          </w:tcPr>
          <w:p>
            <w:pPr>
              <w:pStyle w:val="TableParagraph"/>
              <w:spacing w:line="227" w:lineRule="exact" w:before="13"/>
              <w:ind w:left="581" w:right="568"/>
              <w:rPr>
                <w:sz w:val="20"/>
              </w:rPr>
            </w:pPr>
            <w:r>
              <w:rPr>
                <w:w w:val="110"/>
                <w:sz w:val="20"/>
              </w:rPr>
              <w:t>77.9%</w:t>
            </w:r>
          </w:p>
        </w:tc>
        <w:tc>
          <w:tcPr>
            <w:tcW w:w="2619" w:type="dxa"/>
            <w:tcBorders>
              <w:top w:val="single" w:sz="6" w:space="0" w:color="69BD28"/>
              <w:bottom w:val="single" w:sz="6" w:space="0" w:color="69BD28"/>
            </w:tcBorders>
          </w:tcPr>
          <w:p>
            <w:pPr>
              <w:pStyle w:val="TableParagraph"/>
              <w:spacing w:line="227" w:lineRule="exact" w:before="13"/>
              <w:ind w:left="536" w:right="536"/>
              <w:rPr>
                <w:sz w:val="20"/>
              </w:rPr>
            </w:pPr>
            <w:r>
              <w:rPr>
                <w:w w:val="110"/>
                <w:sz w:val="20"/>
              </w:rPr>
              <w:t>86.8%</w:t>
            </w:r>
          </w:p>
        </w:tc>
        <w:tc>
          <w:tcPr>
            <w:tcW w:w="2616" w:type="dxa"/>
            <w:tcBorders>
              <w:top w:val="single" w:sz="6" w:space="0" w:color="69BD28"/>
              <w:bottom w:val="single" w:sz="6" w:space="0" w:color="69BD28"/>
            </w:tcBorders>
          </w:tcPr>
          <w:p>
            <w:pPr>
              <w:pStyle w:val="TableParagraph"/>
              <w:spacing w:line="227" w:lineRule="exact" w:before="13"/>
              <w:ind w:left="562" w:right="563"/>
              <w:rPr>
                <w:sz w:val="20"/>
              </w:rPr>
            </w:pPr>
            <w:r>
              <w:rPr>
                <w:w w:val="110"/>
                <w:sz w:val="20"/>
              </w:rPr>
              <w:t>84.9%</w:t>
            </w:r>
          </w:p>
        </w:tc>
        <w:tc>
          <w:tcPr>
            <w:tcW w:w="2615" w:type="dxa"/>
            <w:tcBorders>
              <w:top w:val="single" w:sz="6" w:space="0" w:color="69BD28"/>
              <w:bottom w:val="single" w:sz="6" w:space="0" w:color="69BD28"/>
            </w:tcBorders>
          </w:tcPr>
          <w:p>
            <w:pPr>
              <w:pStyle w:val="TableParagraph"/>
              <w:spacing w:line="227" w:lineRule="exact" w:before="13"/>
              <w:ind w:left="178" w:right="180"/>
              <w:rPr>
                <w:sz w:val="20"/>
              </w:rPr>
            </w:pPr>
            <w:r>
              <w:rPr>
                <w:w w:val="110"/>
                <w:sz w:val="20"/>
              </w:rPr>
              <w:t>93.9%</w:t>
            </w:r>
          </w:p>
        </w:tc>
      </w:tr>
    </w:tbl>
    <w:p>
      <w:pPr>
        <w:spacing w:before="0"/>
        <w:ind w:left="311" w:right="0" w:firstLine="0"/>
        <w:jc w:val="left"/>
        <w:rPr>
          <w:i/>
          <w:sz w:val="18"/>
        </w:rPr>
      </w:pPr>
      <w:r>
        <w:rPr>
          <w:i/>
          <w:sz w:val="18"/>
        </w:rPr>
        <w:t>Source: Rent rolls provided by the Client, Indicative of committed occupancy</w:t>
      </w:r>
    </w:p>
    <w:p>
      <w:pPr>
        <w:pStyle w:val="BodyText"/>
        <w:spacing w:before="10"/>
        <w:rPr>
          <w:i/>
          <w:sz w:val="26"/>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168" w:id="327"/>
      <w:bookmarkEnd w:id="327"/>
      <w:r>
        <w:rPr/>
      </w:r>
      <w:bookmarkStart w:name="_bookmark168" w:id="328"/>
      <w:bookmarkEnd w:id="328"/>
      <w:r>
        <w:rPr>
          <w:color w:val="1F664D"/>
          <w:sz w:val="22"/>
        </w:rPr>
        <w:t>Le</w:t>
      </w:r>
      <w:r>
        <w:rPr>
          <w:color w:val="1F664D"/>
          <w:sz w:val="22"/>
        </w:rPr>
        <w:t>ase Expiry</w:t>
      </w:r>
      <w:r>
        <w:rPr>
          <w:color w:val="1F664D"/>
          <w:spacing w:val="-4"/>
          <w:sz w:val="22"/>
        </w:rPr>
        <w:t> </w:t>
      </w:r>
      <w:r>
        <w:rPr>
          <w:color w:val="1F664D"/>
          <w:sz w:val="22"/>
        </w:rPr>
        <w:t>Analysis</w:t>
      </w:r>
    </w:p>
    <w:p>
      <w:pPr>
        <w:pStyle w:val="BodyText"/>
        <w:spacing w:before="209"/>
        <w:ind w:left="760"/>
      </w:pPr>
      <w:r>
        <w:rPr/>
        <w:pict>
          <v:group style="position:absolute;margin-left:35.279999pt;margin-top:27.258608pt;width:524.3pt;height:14.2pt;mso-position-horizontal-relative:page;mso-position-vertical-relative:paragraph;z-index:-15360512;mso-wrap-distance-left:0;mso-wrap-distance-right:0" coordorigin="706,545" coordsize="10486,284">
            <v:rect style="position:absolute;left:720;top:576;width:10472;height:252" filled="true" fillcolor="#006a4d" stroked="false">
              <v:fill type="solid"/>
            </v:rect>
            <v:rect style="position:absolute;left:720;top:545;width:10472;height:29" filled="true" fillcolor="#1f6b16" stroked="false">
              <v:fill type="solid"/>
            </v:rect>
            <v:rect style="position:absolute;left:720;top:573;width:10472;height:3" filled="true" fillcolor="#006a4d" stroked="false">
              <v:fill type="solid"/>
            </v:rect>
            <v:shape style="position:absolute;left:705;top:573;width:10486;height:255" type="#_x0000_t202" filled="false" stroked="false">
              <v:textbox inset="0,0,0,0">
                <w:txbxContent>
                  <w:p>
                    <w:pPr>
                      <w:spacing w:before="25"/>
                      <w:ind w:left="142" w:right="129" w:firstLine="0"/>
                      <w:jc w:val="center"/>
                      <w:rPr>
                        <w:b/>
                        <w:sz w:val="18"/>
                      </w:rPr>
                    </w:pPr>
                    <w:r>
                      <w:rPr>
                        <w:b/>
                        <w:color w:val="FFFFFF"/>
                        <w:w w:val="105"/>
                        <w:sz w:val="18"/>
                      </w:rPr>
                      <w:t>Lease Expiry</w:t>
                    </w:r>
                  </w:p>
                </w:txbxContent>
              </v:textbox>
              <w10:wrap type="none"/>
            </v:shape>
            <w10:wrap type="topAndBottom"/>
          </v:group>
        </w:pict>
      </w:r>
      <w:r>
        <w:rPr/>
        <w:t>The graph below highlights the area/leases due for expiry in the coming years:</w:t>
      </w:r>
    </w:p>
    <w:p>
      <w:pPr>
        <w:pStyle w:val="BodyText"/>
        <w:rPr>
          <w:sz w:val="20"/>
        </w:rPr>
      </w:pPr>
    </w:p>
    <w:p>
      <w:pPr>
        <w:pStyle w:val="BodyText"/>
        <w:spacing w:before="3"/>
        <w:rPr>
          <w:sz w:val="12"/>
        </w:rPr>
      </w:pPr>
      <w:r>
        <w:rPr/>
        <w:drawing>
          <wp:anchor distT="0" distB="0" distL="0" distR="0" allowOverlap="1" layoutInCell="1" locked="0" behindDoc="0" simplePos="0" relativeHeight="720">
            <wp:simplePos x="0" y="0"/>
            <wp:positionH relativeFrom="page">
              <wp:posOffset>910064</wp:posOffset>
            </wp:positionH>
            <wp:positionV relativeFrom="paragraph">
              <wp:posOffset>115572</wp:posOffset>
            </wp:positionV>
            <wp:extent cx="5005135" cy="2020062"/>
            <wp:effectExtent l="0" t="0" r="0" b="0"/>
            <wp:wrapTopAndBottom/>
            <wp:docPr id="185" name="image145.jpeg"/>
            <wp:cNvGraphicFramePr>
              <a:graphicFrameLocks noChangeAspect="1"/>
            </wp:cNvGraphicFramePr>
            <a:graphic>
              <a:graphicData uri="http://schemas.openxmlformats.org/drawingml/2006/picture">
                <pic:pic>
                  <pic:nvPicPr>
                    <pic:cNvPr id="186" name="image145.jpeg"/>
                    <pic:cNvPicPr/>
                  </pic:nvPicPr>
                  <pic:blipFill>
                    <a:blip r:embed="rId188" cstate="print"/>
                    <a:stretch>
                      <a:fillRect/>
                    </a:stretch>
                  </pic:blipFill>
                  <pic:spPr>
                    <a:xfrm>
                      <a:off x="0" y="0"/>
                      <a:ext cx="5005135" cy="2020062"/>
                    </a:xfrm>
                    <a:prstGeom prst="rect">
                      <a:avLst/>
                    </a:prstGeom>
                  </pic:spPr>
                </pic:pic>
              </a:graphicData>
            </a:graphic>
          </wp:anchor>
        </w:drawing>
      </w:r>
    </w:p>
    <w:p>
      <w:pPr>
        <w:pStyle w:val="BodyText"/>
        <w:rPr>
          <w:sz w:val="26"/>
        </w:rPr>
      </w:pPr>
    </w:p>
    <w:p>
      <w:pPr>
        <w:spacing w:before="169"/>
        <w:ind w:left="760" w:right="0" w:firstLine="0"/>
        <w:jc w:val="left"/>
        <w:rPr>
          <w:i/>
          <w:sz w:val="18"/>
        </w:rPr>
      </w:pPr>
      <w:r>
        <w:rPr>
          <w:i/>
          <w:w w:val="95"/>
          <w:sz w:val="18"/>
        </w:rPr>
        <w:t>Source:</w:t>
      </w:r>
      <w:r>
        <w:rPr>
          <w:i/>
          <w:spacing w:val="-19"/>
          <w:w w:val="95"/>
          <w:sz w:val="18"/>
        </w:rPr>
        <w:t> </w:t>
      </w:r>
      <w:r>
        <w:rPr>
          <w:i/>
          <w:w w:val="95"/>
          <w:sz w:val="18"/>
        </w:rPr>
        <w:t>Rent</w:t>
      </w:r>
      <w:r>
        <w:rPr>
          <w:i/>
          <w:spacing w:val="-19"/>
          <w:w w:val="95"/>
          <w:sz w:val="18"/>
        </w:rPr>
        <w:t> </w:t>
      </w:r>
      <w:r>
        <w:rPr>
          <w:i/>
          <w:w w:val="95"/>
          <w:sz w:val="18"/>
        </w:rPr>
        <w:t>Roll</w:t>
      </w:r>
      <w:r>
        <w:rPr>
          <w:i/>
          <w:spacing w:val="-19"/>
          <w:w w:val="95"/>
          <w:sz w:val="18"/>
        </w:rPr>
        <w:t> </w:t>
      </w:r>
      <w:r>
        <w:rPr>
          <w:i/>
          <w:w w:val="95"/>
          <w:sz w:val="18"/>
        </w:rPr>
        <w:t>(representative</w:t>
      </w:r>
      <w:r>
        <w:rPr>
          <w:i/>
          <w:spacing w:val="-19"/>
          <w:w w:val="95"/>
          <w:sz w:val="18"/>
        </w:rPr>
        <w:t> </w:t>
      </w:r>
      <w:r>
        <w:rPr>
          <w:i/>
          <w:w w:val="95"/>
          <w:sz w:val="18"/>
        </w:rPr>
        <w:t>of</w:t>
      </w:r>
      <w:r>
        <w:rPr>
          <w:i/>
          <w:spacing w:val="-20"/>
          <w:w w:val="95"/>
          <w:sz w:val="18"/>
        </w:rPr>
        <w:t> </w:t>
      </w:r>
      <w:r>
        <w:rPr>
          <w:i/>
          <w:w w:val="95"/>
          <w:sz w:val="18"/>
        </w:rPr>
        <w:t>financial</w:t>
      </w:r>
      <w:r>
        <w:rPr>
          <w:i/>
          <w:spacing w:val="-19"/>
          <w:w w:val="95"/>
          <w:sz w:val="18"/>
        </w:rPr>
        <w:t> </w:t>
      </w:r>
      <w:r>
        <w:rPr>
          <w:i/>
          <w:w w:val="95"/>
          <w:sz w:val="18"/>
        </w:rPr>
        <w:t>years)</w:t>
      </w:r>
    </w:p>
    <w:p>
      <w:pPr>
        <w:pStyle w:val="BodyText"/>
        <w:spacing w:before="11"/>
        <w:rPr>
          <w:i/>
          <w:sz w:val="26"/>
        </w:rPr>
      </w:pPr>
    </w:p>
    <w:p>
      <w:pPr>
        <w:pStyle w:val="BodyText"/>
        <w:spacing w:line="321" w:lineRule="auto"/>
        <w:ind w:left="760" w:right="236"/>
        <w:jc w:val="both"/>
      </w:pPr>
      <w:r>
        <w:rPr/>
        <w:t>Consultants</w:t>
      </w:r>
      <w:r>
        <w:rPr>
          <w:spacing w:val="-17"/>
        </w:rPr>
        <w:t> </w:t>
      </w:r>
      <w:r>
        <w:rPr/>
        <w:t>have</w:t>
      </w:r>
      <w:r>
        <w:rPr>
          <w:spacing w:val="-18"/>
        </w:rPr>
        <w:t> </w:t>
      </w:r>
      <w:r>
        <w:rPr/>
        <w:t>undertaken</w:t>
      </w:r>
      <w:r>
        <w:rPr>
          <w:spacing w:val="-19"/>
        </w:rPr>
        <w:t> </w:t>
      </w:r>
      <w:r>
        <w:rPr/>
        <w:t>an</w:t>
      </w:r>
      <w:r>
        <w:rPr>
          <w:spacing w:val="-16"/>
        </w:rPr>
        <w:t> </w:t>
      </w:r>
      <w:r>
        <w:rPr/>
        <w:t>in-depth</w:t>
      </w:r>
      <w:r>
        <w:rPr>
          <w:spacing w:val="-19"/>
        </w:rPr>
        <w:t> </w:t>
      </w:r>
      <w:r>
        <w:rPr/>
        <w:t>analysis</w:t>
      </w:r>
      <w:r>
        <w:rPr>
          <w:spacing w:val="-17"/>
        </w:rPr>
        <w:t> </w:t>
      </w:r>
      <w:r>
        <w:rPr/>
        <w:t>of</w:t>
      </w:r>
      <w:r>
        <w:rPr>
          <w:spacing w:val="-18"/>
        </w:rPr>
        <w:t> </w:t>
      </w:r>
      <w:r>
        <w:rPr/>
        <w:t>the</w:t>
      </w:r>
      <w:r>
        <w:rPr>
          <w:spacing w:val="-18"/>
        </w:rPr>
        <w:t> </w:t>
      </w:r>
      <w:r>
        <w:rPr/>
        <w:t>rent</w:t>
      </w:r>
      <w:r>
        <w:rPr>
          <w:spacing w:val="-19"/>
        </w:rPr>
        <w:t> </w:t>
      </w:r>
      <w:r>
        <w:rPr/>
        <w:t>roll/</w:t>
      </w:r>
      <w:r>
        <w:rPr>
          <w:spacing w:val="-16"/>
        </w:rPr>
        <w:t> </w:t>
      </w:r>
      <w:r>
        <w:rPr/>
        <w:t>lease</w:t>
      </w:r>
      <w:r>
        <w:rPr>
          <w:spacing w:val="-19"/>
        </w:rPr>
        <w:t> </w:t>
      </w:r>
      <w:r>
        <w:rPr/>
        <w:t>deeds</w:t>
      </w:r>
      <w:r>
        <w:rPr>
          <w:spacing w:val="-18"/>
        </w:rPr>
        <w:t> </w:t>
      </w:r>
      <w:r>
        <w:rPr/>
        <w:t>shared</w:t>
      </w:r>
      <w:r>
        <w:rPr>
          <w:spacing w:val="-17"/>
        </w:rPr>
        <w:t> </w:t>
      </w:r>
      <w:r>
        <w:rPr/>
        <w:t>by</w:t>
      </w:r>
      <w:r>
        <w:rPr>
          <w:spacing w:val="-18"/>
        </w:rPr>
        <w:t> </w:t>
      </w:r>
      <w:r>
        <w:rPr/>
        <w:t>the</w:t>
      </w:r>
      <w:r>
        <w:rPr>
          <w:spacing w:val="-18"/>
        </w:rPr>
        <w:t> </w:t>
      </w:r>
      <w:r>
        <w:rPr/>
        <w:t>Client,</w:t>
      </w:r>
      <w:r>
        <w:rPr>
          <w:spacing w:val="-19"/>
        </w:rPr>
        <w:t> </w:t>
      </w:r>
      <w:r>
        <w:rPr/>
        <w:t>to understand</w:t>
      </w:r>
      <w:r>
        <w:rPr>
          <w:spacing w:val="-28"/>
        </w:rPr>
        <w:t> </w:t>
      </w:r>
      <w:r>
        <w:rPr/>
        <w:t>the</w:t>
      </w:r>
      <w:r>
        <w:rPr>
          <w:spacing w:val="-26"/>
        </w:rPr>
        <w:t> </w:t>
      </w:r>
      <w:r>
        <w:rPr/>
        <w:t>lease</w:t>
      </w:r>
      <w:r>
        <w:rPr>
          <w:spacing w:val="-27"/>
        </w:rPr>
        <w:t> </w:t>
      </w:r>
      <w:r>
        <w:rPr/>
        <w:t>expiry</w:t>
      </w:r>
      <w:r>
        <w:rPr>
          <w:spacing w:val="-25"/>
        </w:rPr>
        <w:t> </w:t>
      </w:r>
      <w:r>
        <w:rPr/>
        <w:t>schedule</w:t>
      </w:r>
      <w:r>
        <w:rPr>
          <w:spacing w:val="-27"/>
        </w:rPr>
        <w:t> </w:t>
      </w:r>
      <w:r>
        <w:rPr/>
        <w:t>of</w:t>
      </w:r>
      <w:r>
        <w:rPr>
          <w:spacing w:val="-27"/>
        </w:rPr>
        <w:t> </w:t>
      </w:r>
      <w:r>
        <w:rPr/>
        <w:t>top</w:t>
      </w:r>
      <w:r>
        <w:rPr>
          <w:spacing w:val="-27"/>
        </w:rPr>
        <w:t> </w:t>
      </w:r>
      <w:r>
        <w:rPr/>
        <w:t>tenants</w:t>
      </w:r>
      <w:r>
        <w:rPr>
          <w:spacing w:val="-26"/>
        </w:rPr>
        <w:t> </w:t>
      </w:r>
      <w:r>
        <w:rPr/>
        <w:t>at</w:t>
      </w:r>
      <w:r>
        <w:rPr>
          <w:spacing w:val="-26"/>
        </w:rPr>
        <w:t> </w:t>
      </w:r>
      <w:r>
        <w:rPr/>
        <w:t>the</w:t>
      </w:r>
      <w:r>
        <w:rPr>
          <w:spacing w:val="-28"/>
        </w:rPr>
        <w:t> </w:t>
      </w:r>
      <w:r>
        <w:rPr/>
        <w:t>subject</w:t>
      </w:r>
      <w:r>
        <w:rPr>
          <w:spacing w:val="-24"/>
        </w:rPr>
        <w:t> </w:t>
      </w:r>
      <w:r>
        <w:rPr/>
        <w:t>property</w:t>
      </w:r>
      <w:r>
        <w:rPr>
          <w:spacing w:val="-27"/>
        </w:rPr>
        <w:t> </w:t>
      </w:r>
      <w:r>
        <w:rPr/>
        <w:t>and</w:t>
      </w:r>
      <w:r>
        <w:rPr>
          <w:spacing w:val="-26"/>
        </w:rPr>
        <w:t> </w:t>
      </w:r>
      <w:r>
        <w:rPr/>
        <w:t>rent</w:t>
      </w:r>
      <w:r>
        <w:rPr>
          <w:spacing w:val="-25"/>
        </w:rPr>
        <w:t> </w:t>
      </w:r>
      <w:r>
        <w:rPr/>
        <w:t>for</w:t>
      </w:r>
      <w:r>
        <w:rPr>
          <w:spacing w:val="-26"/>
        </w:rPr>
        <w:t> </w:t>
      </w:r>
      <w:r>
        <w:rPr/>
        <w:t>those</w:t>
      </w:r>
      <w:r>
        <w:rPr>
          <w:spacing w:val="-27"/>
        </w:rPr>
        <w:t> </w:t>
      </w:r>
      <w:r>
        <w:rPr/>
        <w:t>spaces</w:t>
      </w:r>
      <w:r>
        <w:rPr>
          <w:spacing w:val="-27"/>
        </w:rPr>
        <w:t> </w:t>
      </w:r>
      <w:r>
        <w:rPr/>
        <w:t>as of</w:t>
      </w:r>
      <w:r>
        <w:rPr>
          <w:spacing w:val="-26"/>
        </w:rPr>
        <w:t> </w:t>
      </w:r>
      <w:r>
        <w:rPr/>
        <w:t>date</w:t>
      </w:r>
      <w:r>
        <w:rPr>
          <w:spacing w:val="-25"/>
        </w:rPr>
        <w:t> </w:t>
      </w:r>
      <w:r>
        <w:rPr/>
        <w:t>of</w:t>
      </w:r>
      <w:r>
        <w:rPr>
          <w:spacing w:val="-25"/>
        </w:rPr>
        <w:t> </w:t>
      </w:r>
      <w:r>
        <w:rPr/>
        <w:t>valuation.</w:t>
      </w:r>
      <w:r>
        <w:rPr>
          <w:spacing w:val="-26"/>
        </w:rPr>
        <w:t> </w:t>
      </w:r>
      <w:r>
        <w:rPr/>
        <w:t>The</w:t>
      </w:r>
      <w:r>
        <w:rPr>
          <w:spacing w:val="-24"/>
        </w:rPr>
        <w:t> </w:t>
      </w:r>
      <w:r>
        <w:rPr/>
        <w:t>intent</w:t>
      </w:r>
      <w:r>
        <w:rPr>
          <w:spacing w:val="-26"/>
        </w:rPr>
        <w:t> </w:t>
      </w:r>
      <w:r>
        <w:rPr/>
        <w:t>of</w:t>
      </w:r>
      <w:r>
        <w:rPr>
          <w:spacing w:val="-25"/>
        </w:rPr>
        <w:t> </w:t>
      </w:r>
      <w:r>
        <w:rPr/>
        <w:t>the</w:t>
      </w:r>
      <w:r>
        <w:rPr>
          <w:spacing w:val="-26"/>
        </w:rPr>
        <w:t> </w:t>
      </w:r>
      <w:r>
        <w:rPr/>
        <w:t>same</w:t>
      </w:r>
      <w:r>
        <w:rPr>
          <w:spacing w:val="-25"/>
        </w:rPr>
        <w:t> </w:t>
      </w:r>
      <w:r>
        <w:rPr/>
        <w:t>is</w:t>
      </w:r>
      <w:r>
        <w:rPr>
          <w:spacing w:val="-25"/>
        </w:rPr>
        <w:t> </w:t>
      </w:r>
      <w:r>
        <w:rPr/>
        <w:t>to</w:t>
      </w:r>
      <w:r>
        <w:rPr>
          <w:spacing w:val="-26"/>
        </w:rPr>
        <w:t> </w:t>
      </w:r>
      <w:r>
        <w:rPr/>
        <w:t>analyse</w:t>
      </w:r>
      <w:r>
        <w:rPr>
          <w:spacing w:val="-26"/>
        </w:rPr>
        <w:t> </w:t>
      </w:r>
      <w:r>
        <w:rPr/>
        <w:t>the</w:t>
      </w:r>
      <w:r>
        <w:rPr>
          <w:spacing w:val="-24"/>
        </w:rPr>
        <w:t> </w:t>
      </w:r>
      <w:r>
        <w:rPr/>
        <w:t>risk</w:t>
      </w:r>
      <w:r>
        <w:rPr>
          <w:spacing w:val="-26"/>
        </w:rPr>
        <w:t> </w:t>
      </w:r>
      <w:r>
        <w:rPr/>
        <w:t>of</w:t>
      </w:r>
      <w:r>
        <w:rPr>
          <w:spacing w:val="-25"/>
        </w:rPr>
        <w:t> </w:t>
      </w:r>
      <w:r>
        <w:rPr/>
        <w:t>tenant</w:t>
      </w:r>
      <w:r>
        <w:rPr>
          <w:spacing w:val="-25"/>
        </w:rPr>
        <w:t> </w:t>
      </w:r>
      <w:r>
        <w:rPr/>
        <w:t>churn</w:t>
      </w:r>
      <w:r>
        <w:rPr>
          <w:spacing w:val="-26"/>
        </w:rPr>
        <w:t> </w:t>
      </w:r>
      <w:r>
        <w:rPr/>
        <w:t>as</w:t>
      </w:r>
      <w:r>
        <w:rPr>
          <w:spacing w:val="-24"/>
        </w:rPr>
        <w:t> </w:t>
      </w:r>
      <w:r>
        <w:rPr/>
        <w:t>well</w:t>
      </w:r>
      <w:r>
        <w:rPr>
          <w:spacing w:val="-27"/>
        </w:rPr>
        <w:t> </w:t>
      </w:r>
      <w:r>
        <w:rPr/>
        <w:t>as</w:t>
      </w:r>
      <w:r>
        <w:rPr>
          <w:spacing w:val="-24"/>
        </w:rPr>
        <w:t> </w:t>
      </w:r>
      <w:r>
        <w:rPr/>
        <w:t>assessing</w:t>
      </w:r>
      <w:r>
        <w:rPr>
          <w:spacing w:val="-26"/>
        </w:rPr>
        <w:t> </w:t>
      </w:r>
      <w:r>
        <w:rPr/>
        <w:t>the re-leasing risk for the property along with opining on the timeframe to lease-up the spaces in case</w:t>
      </w:r>
      <w:r>
        <w:rPr>
          <w:spacing w:val="-31"/>
        </w:rPr>
        <w:t> </w:t>
      </w:r>
      <w:r>
        <w:rPr/>
        <w:t>a significant vacancy arises at the</w:t>
      </w:r>
      <w:r>
        <w:rPr>
          <w:spacing w:val="-22"/>
        </w:rPr>
        <w:t> </w:t>
      </w:r>
      <w:r>
        <w:rPr/>
        <w:t>property.</w:t>
      </w:r>
    </w:p>
    <w:p>
      <w:pPr>
        <w:pStyle w:val="BodyText"/>
        <w:spacing w:before="10"/>
        <w:rPr>
          <w:sz w:val="20"/>
        </w:rPr>
      </w:pPr>
    </w:p>
    <w:p>
      <w:pPr>
        <w:pStyle w:val="ListParagraph"/>
        <w:numPr>
          <w:ilvl w:val="2"/>
          <w:numId w:val="14"/>
        </w:numPr>
        <w:tabs>
          <w:tab w:pos="941" w:val="left" w:leader="none"/>
        </w:tabs>
        <w:spacing w:line="240" w:lineRule="auto" w:before="1" w:after="0"/>
        <w:ind w:left="940" w:right="0" w:hanging="721"/>
        <w:jc w:val="left"/>
        <w:rPr>
          <w:sz w:val="22"/>
        </w:rPr>
      </w:pPr>
      <w:bookmarkStart w:name="_bookmark169" w:id="329"/>
      <w:bookmarkEnd w:id="329"/>
      <w:r>
        <w:rPr/>
      </w:r>
      <w:bookmarkStart w:name="_bookmark169" w:id="330"/>
      <w:bookmarkEnd w:id="330"/>
      <w:r>
        <w:rPr>
          <w:color w:val="1F664D"/>
          <w:sz w:val="22"/>
        </w:rPr>
        <w:t>E</w:t>
      </w:r>
      <w:r>
        <w:rPr>
          <w:color w:val="1F664D"/>
          <w:sz w:val="22"/>
        </w:rPr>
        <w:t>scalation</w:t>
      </w:r>
      <w:r>
        <w:rPr>
          <w:color w:val="1F664D"/>
          <w:spacing w:val="-3"/>
          <w:sz w:val="22"/>
        </w:rPr>
        <w:t> </w:t>
      </w:r>
      <w:r>
        <w:rPr>
          <w:color w:val="1F664D"/>
          <w:sz w:val="22"/>
        </w:rPr>
        <w:t>Analysis</w:t>
      </w:r>
    </w:p>
    <w:p>
      <w:pPr>
        <w:pStyle w:val="BodyText"/>
        <w:spacing w:line="321" w:lineRule="auto" w:before="207"/>
        <w:ind w:left="760" w:right="236"/>
        <w:jc w:val="both"/>
      </w:pPr>
      <w:r>
        <w:rPr/>
        <w:t>As</w:t>
      </w:r>
      <w:r>
        <w:rPr>
          <w:spacing w:val="-7"/>
        </w:rPr>
        <w:t> </w:t>
      </w:r>
      <w:r>
        <w:rPr/>
        <w:t>per</w:t>
      </w:r>
      <w:r>
        <w:rPr>
          <w:spacing w:val="-6"/>
        </w:rPr>
        <w:t> </w:t>
      </w:r>
      <w:r>
        <w:rPr/>
        <w:t>the</w:t>
      </w:r>
      <w:r>
        <w:rPr>
          <w:spacing w:val="-6"/>
        </w:rPr>
        <w:t> </w:t>
      </w:r>
      <w:r>
        <w:rPr/>
        <w:t>review</w:t>
      </w:r>
      <w:r>
        <w:rPr>
          <w:spacing w:val="-6"/>
        </w:rPr>
        <w:t> </w:t>
      </w:r>
      <w:r>
        <w:rPr/>
        <w:t>of</w:t>
      </w:r>
      <w:r>
        <w:rPr>
          <w:spacing w:val="-4"/>
        </w:rPr>
        <w:t> </w:t>
      </w:r>
      <w:r>
        <w:rPr/>
        <w:t>recently</w:t>
      </w:r>
      <w:r>
        <w:rPr>
          <w:spacing w:val="-5"/>
        </w:rPr>
        <w:t> </w:t>
      </w:r>
      <w:r>
        <w:rPr/>
        <w:t>executed</w:t>
      </w:r>
      <w:r>
        <w:rPr>
          <w:spacing w:val="-5"/>
        </w:rPr>
        <w:t> </w:t>
      </w:r>
      <w:r>
        <w:rPr/>
        <w:t>lease</w:t>
      </w:r>
      <w:r>
        <w:rPr>
          <w:spacing w:val="-5"/>
        </w:rPr>
        <w:t> </w:t>
      </w:r>
      <w:r>
        <w:rPr/>
        <w:t>deeds</w:t>
      </w:r>
      <w:r>
        <w:rPr>
          <w:spacing w:val="-5"/>
        </w:rPr>
        <w:t> </w:t>
      </w:r>
      <w:r>
        <w:rPr/>
        <w:t>at</w:t>
      </w:r>
      <w:r>
        <w:rPr>
          <w:spacing w:val="-6"/>
        </w:rPr>
        <w:t> </w:t>
      </w:r>
      <w:r>
        <w:rPr/>
        <w:t>the</w:t>
      </w:r>
      <w:r>
        <w:rPr>
          <w:spacing w:val="-6"/>
        </w:rPr>
        <w:t> </w:t>
      </w:r>
      <w:r>
        <w:rPr/>
        <w:t>subject</w:t>
      </w:r>
      <w:r>
        <w:rPr>
          <w:spacing w:val="-5"/>
        </w:rPr>
        <w:t> </w:t>
      </w:r>
      <w:r>
        <w:rPr/>
        <w:t>property,</w:t>
      </w:r>
      <w:r>
        <w:rPr>
          <w:spacing w:val="-6"/>
        </w:rPr>
        <w:t> </w:t>
      </w:r>
      <w:r>
        <w:rPr/>
        <w:t>it</w:t>
      </w:r>
      <w:r>
        <w:rPr>
          <w:spacing w:val="-6"/>
        </w:rPr>
        <w:t> </w:t>
      </w:r>
      <w:r>
        <w:rPr/>
        <w:t>is</w:t>
      </w:r>
      <w:r>
        <w:rPr>
          <w:spacing w:val="-6"/>
        </w:rPr>
        <w:t> </w:t>
      </w:r>
      <w:r>
        <w:rPr/>
        <w:t>understood</w:t>
      </w:r>
      <w:r>
        <w:rPr>
          <w:spacing w:val="-5"/>
        </w:rPr>
        <w:t> </w:t>
      </w:r>
      <w:r>
        <w:rPr/>
        <w:t>that</w:t>
      </w:r>
      <w:r>
        <w:rPr>
          <w:spacing w:val="-6"/>
        </w:rPr>
        <w:t> </w:t>
      </w:r>
      <w:r>
        <w:rPr/>
        <w:t>the contracted</w:t>
      </w:r>
      <w:r>
        <w:rPr>
          <w:spacing w:val="-9"/>
        </w:rPr>
        <w:t> </w:t>
      </w:r>
      <w:r>
        <w:rPr/>
        <w:t>escalation</w:t>
      </w:r>
      <w:r>
        <w:rPr>
          <w:spacing w:val="-10"/>
        </w:rPr>
        <w:t> </w:t>
      </w:r>
      <w:r>
        <w:rPr/>
        <w:t>terms</w:t>
      </w:r>
      <w:r>
        <w:rPr>
          <w:spacing w:val="-10"/>
        </w:rPr>
        <w:t> </w:t>
      </w:r>
      <w:r>
        <w:rPr/>
        <w:t>for</w:t>
      </w:r>
      <w:r>
        <w:rPr>
          <w:spacing w:val="-11"/>
        </w:rPr>
        <w:t> </w:t>
      </w:r>
      <w:r>
        <w:rPr/>
        <w:t>these</w:t>
      </w:r>
      <w:r>
        <w:rPr>
          <w:spacing w:val="-10"/>
        </w:rPr>
        <w:t> </w:t>
      </w:r>
      <w:r>
        <w:rPr/>
        <w:t>leases</w:t>
      </w:r>
      <w:r>
        <w:rPr>
          <w:spacing w:val="-8"/>
        </w:rPr>
        <w:t> </w:t>
      </w:r>
      <w:r>
        <w:rPr/>
        <w:t>are</w:t>
      </w:r>
      <w:r>
        <w:rPr>
          <w:spacing w:val="-10"/>
        </w:rPr>
        <w:t> </w:t>
      </w:r>
      <w:r>
        <w:rPr/>
        <w:t>in</w:t>
      </w:r>
      <w:r>
        <w:rPr>
          <w:spacing w:val="-11"/>
        </w:rPr>
        <w:t> </w:t>
      </w:r>
      <w:r>
        <w:rPr/>
        <w:t>the</w:t>
      </w:r>
      <w:r>
        <w:rPr>
          <w:spacing w:val="-10"/>
        </w:rPr>
        <w:t> </w:t>
      </w:r>
      <w:r>
        <w:rPr/>
        <w:t>range</w:t>
      </w:r>
      <w:r>
        <w:rPr>
          <w:spacing w:val="-9"/>
        </w:rPr>
        <w:t> </w:t>
      </w:r>
      <w:r>
        <w:rPr/>
        <w:t>of</w:t>
      </w:r>
      <w:r>
        <w:rPr>
          <w:spacing w:val="-9"/>
        </w:rPr>
        <w:t> </w:t>
      </w:r>
      <w:r>
        <w:rPr/>
        <w:t>12%</w:t>
      </w:r>
      <w:r>
        <w:rPr>
          <w:spacing w:val="-9"/>
        </w:rPr>
        <w:t> </w:t>
      </w:r>
      <w:r>
        <w:rPr/>
        <w:t>to</w:t>
      </w:r>
      <w:r>
        <w:rPr>
          <w:spacing w:val="-9"/>
        </w:rPr>
        <w:t> </w:t>
      </w:r>
      <w:r>
        <w:rPr/>
        <w:t>15%</w:t>
      </w:r>
      <w:r>
        <w:rPr>
          <w:spacing w:val="-10"/>
        </w:rPr>
        <w:t> </w:t>
      </w:r>
      <w:r>
        <w:rPr/>
        <w:t>every</w:t>
      </w:r>
      <w:r>
        <w:rPr>
          <w:spacing w:val="-8"/>
        </w:rPr>
        <w:t> </w:t>
      </w:r>
      <w:r>
        <w:rPr/>
        <w:t>3</w:t>
      </w:r>
      <w:r>
        <w:rPr>
          <w:spacing w:val="-10"/>
        </w:rPr>
        <w:t> </w:t>
      </w:r>
      <w:r>
        <w:rPr/>
        <w:t>years</w:t>
      </w:r>
      <w:r>
        <w:rPr>
          <w:spacing w:val="-11"/>
        </w:rPr>
        <w:t> </w:t>
      </w:r>
      <w:r>
        <w:rPr/>
        <w:t>which</w:t>
      </w:r>
      <w:r>
        <w:rPr>
          <w:spacing w:val="-11"/>
        </w:rPr>
        <w:t> </w:t>
      </w:r>
      <w:r>
        <w:rPr/>
        <w:t>are</w:t>
      </w:r>
      <w:r>
        <w:rPr>
          <w:spacing w:val="-11"/>
        </w:rPr>
        <w:t> </w:t>
      </w:r>
      <w:r>
        <w:rPr/>
        <w:t>in line</w:t>
      </w:r>
      <w:r>
        <w:rPr>
          <w:spacing w:val="-12"/>
        </w:rPr>
        <w:t> </w:t>
      </w:r>
      <w:r>
        <w:rPr/>
        <w:t>with</w:t>
      </w:r>
      <w:r>
        <w:rPr>
          <w:spacing w:val="-11"/>
        </w:rPr>
        <w:t> </w:t>
      </w:r>
      <w:r>
        <w:rPr/>
        <w:t>the</w:t>
      </w:r>
      <w:r>
        <w:rPr>
          <w:spacing w:val="-11"/>
        </w:rPr>
        <w:t> </w:t>
      </w:r>
      <w:r>
        <w:rPr/>
        <w:t>prevailing</w:t>
      </w:r>
      <w:r>
        <w:rPr>
          <w:spacing w:val="-9"/>
        </w:rPr>
        <w:t> </w:t>
      </w:r>
      <w:r>
        <w:rPr/>
        <w:t>market</w:t>
      </w:r>
      <w:r>
        <w:rPr>
          <w:spacing w:val="-10"/>
        </w:rPr>
        <w:t> </w:t>
      </w:r>
      <w:r>
        <w:rPr/>
        <w:t>practice</w:t>
      </w:r>
      <w:r>
        <w:rPr>
          <w:spacing w:val="-11"/>
        </w:rPr>
        <w:t> </w:t>
      </w:r>
      <w:r>
        <w:rPr/>
        <w:t>witnessed</w:t>
      </w:r>
      <w:r>
        <w:rPr>
          <w:spacing w:val="-13"/>
        </w:rPr>
        <w:t> </w:t>
      </w:r>
      <w:r>
        <w:rPr/>
        <w:t>across</w:t>
      </w:r>
      <w:r>
        <w:rPr>
          <w:spacing w:val="-9"/>
        </w:rPr>
        <w:t> </w:t>
      </w:r>
      <w:r>
        <w:rPr/>
        <w:t>the</w:t>
      </w:r>
      <w:r>
        <w:rPr>
          <w:spacing w:val="-11"/>
        </w:rPr>
        <w:t> </w:t>
      </w:r>
      <w:r>
        <w:rPr/>
        <w:t>submarket</w:t>
      </w:r>
      <w:r>
        <w:rPr>
          <w:spacing w:val="-9"/>
        </w:rPr>
        <w:t> </w:t>
      </w:r>
      <w:r>
        <w:rPr/>
        <w:t>and</w:t>
      </w:r>
      <w:r>
        <w:rPr>
          <w:spacing w:val="-11"/>
        </w:rPr>
        <w:t> </w:t>
      </w:r>
      <w:r>
        <w:rPr/>
        <w:t>Pune.</w:t>
      </w:r>
    </w:p>
    <w:p>
      <w:pPr>
        <w:pStyle w:val="BodyText"/>
        <w:spacing w:before="8"/>
        <w:rPr>
          <w:sz w:val="20"/>
        </w:rPr>
      </w:pPr>
    </w:p>
    <w:p>
      <w:pPr>
        <w:pStyle w:val="ListParagraph"/>
        <w:numPr>
          <w:ilvl w:val="1"/>
          <w:numId w:val="14"/>
        </w:numPr>
        <w:tabs>
          <w:tab w:pos="796" w:val="left" w:leader="none"/>
          <w:tab w:pos="797" w:val="left" w:leader="none"/>
        </w:tabs>
        <w:spacing w:line="240" w:lineRule="auto" w:before="0" w:after="0"/>
        <w:ind w:left="796" w:right="0" w:hanging="577"/>
        <w:jc w:val="left"/>
        <w:rPr>
          <w:color w:val="1F6647"/>
          <w:sz w:val="22"/>
        </w:rPr>
      </w:pPr>
      <w:bookmarkStart w:name="_bookmark170" w:id="331"/>
      <w:bookmarkEnd w:id="331"/>
      <w:r>
        <w:rPr/>
      </w:r>
      <w:bookmarkStart w:name="_bookmark170" w:id="332"/>
      <w:bookmarkEnd w:id="332"/>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line="324" w:lineRule="auto" w:before="208"/>
        <w:ind w:left="760" w:right="235"/>
        <w:jc w:val="both"/>
      </w:pPr>
      <w:r>
        <w:rPr/>
        <w:t>As</w:t>
      </w:r>
      <w:r>
        <w:rPr>
          <w:spacing w:val="-31"/>
        </w:rPr>
        <w:t> </w:t>
      </w:r>
      <w:r>
        <w:rPr/>
        <w:t>highlighted</w:t>
      </w:r>
      <w:r>
        <w:rPr>
          <w:spacing w:val="-30"/>
        </w:rPr>
        <w:t> </w:t>
      </w:r>
      <w:r>
        <w:rPr/>
        <w:t>earlier,</w:t>
      </w:r>
      <w:r>
        <w:rPr>
          <w:spacing w:val="-31"/>
        </w:rPr>
        <w:t> </w:t>
      </w:r>
      <w:r>
        <w:rPr/>
        <w:t>the</w:t>
      </w:r>
      <w:r>
        <w:rPr>
          <w:spacing w:val="-32"/>
        </w:rPr>
        <w:t> </w:t>
      </w:r>
      <w:r>
        <w:rPr/>
        <w:t>subject</w:t>
      </w:r>
      <w:r>
        <w:rPr>
          <w:spacing w:val="-30"/>
        </w:rPr>
        <w:t> </w:t>
      </w:r>
      <w:r>
        <w:rPr/>
        <w:t>property</w:t>
      </w:r>
      <w:r>
        <w:rPr>
          <w:spacing w:val="-30"/>
        </w:rPr>
        <w:t> </w:t>
      </w:r>
      <w:r>
        <w:rPr/>
        <w:t>is</w:t>
      </w:r>
      <w:r>
        <w:rPr>
          <w:spacing w:val="-31"/>
        </w:rPr>
        <w:t> </w:t>
      </w:r>
      <w:r>
        <w:rPr/>
        <w:t>a</w:t>
      </w:r>
      <w:r>
        <w:rPr>
          <w:spacing w:val="-31"/>
        </w:rPr>
        <w:t> </w:t>
      </w:r>
      <w:r>
        <w:rPr/>
        <w:t>commercial</w:t>
      </w:r>
      <w:r>
        <w:rPr>
          <w:spacing w:val="-31"/>
        </w:rPr>
        <w:t> </w:t>
      </w:r>
      <w:r>
        <w:rPr/>
        <w:t>development</w:t>
      </w:r>
      <w:r>
        <w:rPr>
          <w:spacing w:val="-31"/>
        </w:rPr>
        <w:t> </w:t>
      </w:r>
      <w:r>
        <w:rPr/>
        <w:t>situated</w:t>
      </w:r>
      <w:r>
        <w:rPr>
          <w:spacing w:val="-31"/>
        </w:rPr>
        <w:t> </w:t>
      </w:r>
      <w:r>
        <w:rPr/>
        <w:t>within</w:t>
      </w:r>
      <w:r>
        <w:rPr>
          <w:spacing w:val="-32"/>
        </w:rPr>
        <w:t> </w:t>
      </w:r>
      <w:r>
        <w:rPr/>
        <w:t>the</w:t>
      </w:r>
      <w:r>
        <w:rPr>
          <w:spacing w:val="-31"/>
        </w:rPr>
        <w:t> </w:t>
      </w:r>
      <w:r>
        <w:rPr/>
        <w:t>submarket of</w:t>
      </w:r>
      <w:r>
        <w:rPr>
          <w:spacing w:val="-35"/>
        </w:rPr>
        <w:t> </w:t>
      </w:r>
      <w:r>
        <w:rPr/>
        <w:t>Hinjewadi</w:t>
      </w:r>
      <w:r>
        <w:rPr>
          <w:spacing w:val="-35"/>
        </w:rPr>
        <w:t> </w:t>
      </w:r>
      <w:r>
        <w:rPr/>
        <w:t>which</w:t>
      </w:r>
      <w:r>
        <w:rPr>
          <w:spacing w:val="-35"/>
        </w:rPr>
        <w:t> </w:t>
      </w:r>
      <w:r>
        <w:rPr/>
        <w:t>lies</w:t>
      </w:r>
      <w:r>
        <w:rPr>
          <w:spacing w:val="-33"/>
        </w:rPr>
        <w:t> </w:t>
      </w:r>
      <w:r>
        <w:rPr/>
        <w:t>in</w:t>
      </w:r>
      <w:r>
        <w:rPr>
          <w:spacing w:val="-36"/>
        </w:rPr>
        <w:t> </w:t>
      </w:r>
      <w:r>
        <w:rPr/>
        <w:t>the</w:t>
      </w:r>
      <w:r>
        <w:rPr>
          <w:spacing w:val="-35"/>
        </w:rPr>
        <w:t> </w:t>
      </w:r>
      <w:r>
        <w:rPr/>
        <w:t>western</w:t>
      </w:r>
      <w:r>
        <w:rPr>
          <w:spacing w:val="-35"/>
        </w:rPr>
        <w:t> </w:t>
      </w:r>
      <w:r>
        <w:rPr/>
        <w:t>periphery</w:t>
      </w:r>
      <w:r>
        <w:rPr>
          <w:spacing w:val="-34"/>
        </w:rPr>
        <w:t> </w:t>
      </w:r>
      <w:r>
        <w:rPr/>
        <w:t>of</w:t>
      </w:r>
      <w:r>
        <w:rPr>
          <w:spacing w:val="-35"/>
        </w:rPr>
        <w:t> </w:t>
      </w:r>
      <w:r>
        <w:rPr/>
        <w:t>Pune</w:t>
      </w:r>
      <w:r>
        <w:rPr>
          <w:spacing w:val="-35"/>
        </w:rPr>
        <w:t> </w:t>
      </w:r>
      <w:r>
        <w:rPr/>
        <w:t>city.</w:t>
      </w:r>
      <w:r>
        <w:rPr>
          <w:spacing w:val="-35"/>
        </w:rPr>
        <w:t> </w:t>
      </w:r>
      <w:r>
        <w:rPr/>
        <w:t>The</w:t>
      </w:r>
      <w:r>
        <w:rPr>
          <w:spacing w:val="-35"/>
        </w:rPr>
        <w:t> </w:t>
      </w:r>
      <w:r>
        <w:rPr/>
        <w:t>submarket</w:t>
      </w:r>
      <w:r>
        <w:rPr>
          <w:spacing w:val="-35"/>
        </w:rPr>
        <w:t> </w:t>
      </w:r>
      <w:r>
        <w:rPr/>
        <w:t>has</w:t>
      </w:r>
      <w:r>
        <w:rPr>
          <w:spacing w:val="-32"/>
        </w:rPr>
        <w:t> </w:t>
      </w:r>
      <w:r>
        <w:rPr/>
        <w:t>presence</w:t>
      </w:r>
      <w:r>
        <w:rPr>
          <w:spacing w:val="-35"/>
        </w:rPr>
        <w:t> </w:t>
      </w:r>
      <w:r>
        <w:rPr/>
        <w:t>of</w:t>
      </w:r>
      <w:r>
        <w:rPr>
          <w:spacing w:val="-35"/>
        </w:rPr>
        <w:t> </w:t>
      </w:r>
      <w:r>
        <w:rPr/>
        <w:t>established</w:t>
      </w:r>
    </w:p>
    <w:p>
      <w:pPr>
        <w:spacing w:after="0" w:line="324" w:lineRule="auto"/>
        <w:jc w:val="both"/>
        <w:sectPr>
          <w:pgSz w:w="11910" w:h="16840"/>
          <w:pgMar w:header="720" w:footer="921" w:top="1660" w:bottom="1120" w:left="500" w:right="480"/>
        </w:sectPr>
      </w:pPr>
    </w:p>
    <w:p>
      <w:pPr>
        <w:pStyle w:val="BodyText"/>
        <w:spacing w:before="7"/>
        <w:rPr>
          <w:sz w:val="9"/>
        </w:rPr>
      </w:pPr>
    </w:p>
    <w:p>
      <w:pPr>
        <w:pStyle w:val="BodyText"/>
        <w:spacing w:line="321" w:lineRule="auto" w:before="106"/>
        <w:ind w:left="760" w:right="235"/>
        <w:jc w:val="both"/>
      </w:pPr>
      <w:r>
        <w:rPr/>
        <w:t>technology</w:t>
      </w:r>
      <w:r>
        <w:rPr>
          <w:spacing w:val="-33"/>
        </w:rPr>
        <w:t> </w:t>
      </w:r>
      <w:r>
        <w:rPr/>
        <w:t>parks</w:t>
      </w:r>
      <w:r>
        <w:rPr>
          <w:spacing w:val="-33"/>
        </w:rPr>
        <w:t> </w:t>
      </w:r>
      <w:r>
        <w:rPr/>
        <w:t>under</w:t>
      </w:r>
      <w:r>
        <w:rPr>
          <w:spacing w:val="-34"/>
        </w:rPr>
        <w:t> </w:t>
      </w:r>
      <w:r>
        <w:rPr/>
        <w:t>the</w:t>
      </w:r>
      <w:r>
        <w:rPr>
          <w:spacing w:val="-34"/>
        </w:rPr>
        <w:t> </w:t>
      </w:r>
      <w:r>
        <w:rPr/>
        <w:t>3</w:t>
      </w:r>
      <w:r>
        <w:rPr>
          <w:spacing w:val="-34"/>
        </w:rPr>
        <w:t> </w:t>
      </w:r>
      <w:r>
        <w:rPr/>
        <w:t>phases</w:t>
      </w:r>
      <w:r>
        <w:rPr>
          <w:spacing w:val="-33"/>
        </w:rPr>
        <w:t> </w:t>
      </w:r>
      <w:r>
        <w:rPr/>
        <w:t>of</w:t>
      </w:r>
      <w:r>
        <w:rPr>
          <w:spacing w:val="-31"/>
        </w:rPr>
        <w:t> </w:t>
      </w:r>
      <w:r>
        <w:rPr/>
        <w:t>Rajiv</w:t>
      </w:r>
      <w:r>
        <w:rPr>
          <w:spacing w:val="-33"/>
        </w:rPr>
        <w:t> </w:t>
      </w:r>
      <w:r>
        <w:rPr/>
        <w:t>Gandhi</w:t>
      </w:r>
      <w:r>
        <w:rPr>
          <w:spacing w:val="-34"/>
        </w:rPr>
        <w:t> </w:t>
      </w:r>
      <w:r>
        <w:rPr/>
        <w:t>Infotech</w:t>
      </w:r>
      <w:r>
        <w:rPr>
          <w:spacing w:val="-34"/>
        </w:rPr>
        <w:t> </w:t>
      </w:r>
      <w:r>
        <w:rPr/>
        <w:t>Park.</w:t>
      </w:r>
      <w:r>
        <w:rPr>
          <w:spacing w:val="-34"/>
        </w:rPr>
        <w:t> </w:t>
      </w:r>
      <w:r>
        <w:rPr/>
        <w:t>The</w:t>
      </w:r>
      <w:r>
        <w:rPr>
          <w:spacing w:val="-34"/>
        </w:rPr>
        <w:t> </w:t>
      </w:r>
      <w:r>
        <w:rPr/>
        <w:t>region</w:t>
      </w:r>
      <w:r>
        <w:rPr>
          <w:spacing w:val="-34"/>
        </w:rPr>
        <w:t> </w:t>
      </w:r>
      <w:r>
        <w:rPr/>
        <w:t>is</w:t>
      </w:r>
      <w:r>
        <w:rPr>
          <w:spacing w:val="-33"/>
        </w:rPr>
        <w:t> </w:t>
      </w:r>
      <w:r>
        <w:rPr/>
        <w:t>characterised</w:t>
      </w:r>
      <w:r>
        <w:rPr>
          <w:spacing w:val="-33"/>
        </w:rPr>
        <w:t> </w:t>
      </w:r>
      <w:r>
        <w:rPr/>
        <w:t>by</w:t>
      </w:r>
      <w:r>
        <w:rPr>
          <w:spacing w:val="-33"/>
        </w:rPr>
        <w:t> </w:t>
      </w:r>
      <w:r>
        <w:rPr/>
        <w:t>quality grade</w:t>
      </w:r>
      <w:r>
        <w:rPr>
          <w:spacing w:val="-31"/>
        </w:rPr>
        <w:t> </w:t>
      </w:r>
      <w:r>
        <w:rPr/>
        <w:t>commercial</w:t>
      </w:r>
      <w:r>
        <w:rPr>
          <w:spacing w:val="-31"/>
        </w:rPr>
        <w:t> </w:t>
      </w:r>
      <w:r>
        <w:rPr/>
        <w:t>space,</w:t>
      </w:r>
      <w:r>
        <w:rPr>
          <w:spacing w:val="-31"/>
        </w:rPr>
        <w:t> </w:t>
      </w:r>
      <w:r>
        <w:rPr/>
        <w:t>well</w:t>
      </w:r>
      <w:r>
        <w:rPr>
          <w:spacing w:val="-31"/>
        </w:rPr>
        <w:t> </w:t>
      </w:r>
      <w:r>
        <w:rPr/>
        <w:t>laid</w:t>
      </w:r>
      <w:r>
        <w:rPr>
          <w:spacing w:val="-31"/>
        </w:rPr>
        <w:t> </w:t>
      </w:r>
      <w:r>
        <w:rPr/>
        <w:t>physical</w:t>
      </w:r>
      <w:r>
        <w:rPr>
          <w:spacing w:val="-31"/>
        </w:rPr>
        <w:t> </w:t>
      </w:r>
      <w:r>
        <w:rPr/>
        <w:t>infrastructure</w:t>
      </w:r>
      <w:r>
        <w:rPr>
          <w:spacing w:val="-30"/>
        </w:rPr>
        <w:t> </w:t>
      </w:r>
      <w:r>
        <w:rPr/>
        <w:t>along</w:t>
      </w:r>
      <w:r>
        <w:rPr>
          <w:spacing w:val="-31"/>
        </w:rPr>
        <w:t> </w:t>
      </w:r>
      <w:r>
        <w:rPr/>
        <w:t>with</w:t>
      </w:r>
      <w:r>
        <w:rPr>
          <w:spacing w:val="-31"/>
        </w:rPr>
        <w:t> </w:t>
      </w:r>
      <w:r>
        <w:rPr/>
        <w:t>increasing</w:t>
      </w:r>
      <w:r>
        <w:rPr>
          <w:spacing w:val="-30"/>
        </w:rPr>
        <w:t> </w:t>
      </w:r>
      <w:r>
        <w:rPr/>
        <w:t>residential</w:t>
      </w:r>
      <w:r>
        <w:rPr>
          <w:spacing w:val="-30"/>
        </w:rPr>
        <w:t> </w:t>
      </w:r>
      <w:r>
        <w:rPr/>
        <w:t>activity.</w:t>
      </w:r>
      <w:r>
        <w:rPr>
          <w:spacing w:val="-31"/>
        </w:rPr>
        <w:t> </w:t>
      </w:r>
      <w:r>
        <w:rPr/>
        <w:t>The connectivity</w:t>
      </w:r>
      <w:r>
        <w:rPr>
          <w:spacing w:val="-45"/>
        </w:rPr>
        <w:t> </w:t>
      </w:r>
      <w:r>
        <w:rPr/>
        <w:t>of</w:t>
      </w:r>
      <w:r>
        <w:rPr>
          <w:spacing w:val="-44"/>
        </w:rPr>
        <w:t> </w:t>
      </w:r>
      <w:r>
        <w:rPr/>
        <w:t>the</w:t>
      </w:r>
      <w:r>
        <w:rPr>
          <w:spacing w:val="-45"/>
        </w:rPr>
        <w:t> </w:t>
      </w:r>
      <w:r>
        <w:rPr/>
        <w:t>subject</w:t>
      </w:r>
      <w:r>
        <w:rPr>
          <w:spacing w:val="-43"/>
        </w:rPr>
        <w:t> </w:t>
      </w:r>
      <w:r>
        <w:rPr/>
        <w:t>submarket</w:t>
      </w:r>
      <w:r>
        <w:rPr>
          <w:spacing w:val="-45"/>
        </w:rPr>
        <w:t> </w:t>
      </w:r>
      <w:r>
        <w:rPr/>
        <w:t>to</w:t>
      </w:r>
      <w:r>
        <w:rPr>
          <w:spacing w:val="-44"/>
        </w:rPr>
        <w:t> </w:t>
      </w:r>
      <w:r>
        <w:rPr/>
        <w:t>the</w:t>
      </w:r>
      <w:r>
        <w:rPr>
          <w:spacing w:val="-45"/>
        </w:rPr>
        <w:t> </w:t>
      </w:r>
      <w:r>
        <w:rPr/>
        <w:t>rest</w:t>
      </w:r>
      <w:r>
        <w:rPr>
          <w:spacing w:val="-44"/>
        </w:rPr>
        <w:t> </w:t>
      </w:r>
      <w:r>
        <w:rPr/>
        <w:t>of</w:t>
      </w:r>
      <w:r>
        <w:rPr>
          <w:spacing w:val="-45"/>
        </w:rPr>
        <w:t> </w:t>
      </w:r>
      <w:r>
        <w:rPr/>
        <w:t>the</w:t>
      </w:r>
      <w:r>
        <w:rPr>
          <w:spacing w:val="-45"/>
        </w:rPr>
        <w:t> </w:t>
      </w:r>
      <w:r>
        <w:rPr/>
        <w:t>city</w:t>
      </w:r>
      <w:r>
        <w:rPr>
          <w:spacing w:val="-44"/>
        </w:rPr>
        <w:t> </w:t>
      </w:r>
      <w:r>
        <w:rPr/>
        <w:t>is</w:t>
      </w:r>
      <w:r>
        <w:rPr>
          <w:spacing w:val="-45"/>
        </w:rPr>
        <w:t> </w:t>
      </w:r>
      <w:r>
        <w:rPr/>
        <w:t>facilitated</w:t>
      </w:r>
      <w:r>
        <w:rPr>
          <w:spacing w:val="-44"/>
        </w:rPr>
        <w:t> </w:t>
      </w:r>
      <w:r>
        <w:rPr/>
        <w:t>by</w:t>
      </w:r>
      <w:r>
        <w:rPr>
          <w:spacing w:val="-44"/>
        </w:rPr>
        <w:t> </w:t>
      </w:r>
      <w:r>
        <w:rPr/>
        <w:t>the</w:t>
      </w:r>
      <w:r>
        <w:rPr>
          <w:spacing w:val="-45"/>
        </w:rPr>
        <w:t> </w:t>
      </w:r>
      <w:r>
        <w:rPr/>
        <w:t>Mumbai</w:t>
      </w:r>
      <w:r>
        <w:rPr>
          <w:spacing w:val="-45"/>
        </w:rPr>
        <w:t> </w:t>
      </w:r>
      <w:r>
        <w:rPr>
          <w:w w:val="105"/>
        </w:rPr>
        <w:t>–</w:t>
      </w:r>
      <w:r>
        <w:rPr>
          <w:spacing w:val="-48"/>
          <w:w w:val="105"/>
        </w:rPr>
        <w:t> </w:t>
      </w:r>
      <w:r>
        <w:rPr/>
        <w:t>Bengaluru</w:t>
      </w:r>
      <w:r>
        <w:rPr>
          <w:spacing w:val="-45"/>
        </w:rPr>
        <w:t> </w:t>
      </w:r>
      <w:r>
        <w:rPr/>
        <w:t>Bypass Highway.</w:t>
      </w:r>
    </w:p>
    <w:p>
      <w:pPr>
        <w:pStyle w:val="BodyText"/>
        <w:spacing w:before="9"/>
        <w:rPr>
          <w:sz w:val="20"/>
        </w:rPr>
      </w:pPr>
    </w:p>
    <w:p>
      <w:pPr>
        <w:pStyle w:val="BodyText"/>
        <w:spacing w:line="321" w:lineRule="auto"/>
        <w:ind w:left="760" w:right="233"/>
        <w:jc w:val="both"/>
      </w:pPr>
      <w:r>
        <w:rPr/>
        <w:t>Considering</w:t>
      </w:r>
      <w:r>
        <w:rPr>
          <w:spacing w:val="-17"/>
        </w:rPr>
        <w:t> </w:t>
      </w:r>
      <w:r>
        <w:rPr/>
        <w:t>the</w:t>
      </w:r>
      <w:r>
        <w:rPr>
          <w:spacing w:val="-15"/>
        </w:rPr>
        <w:t> </w:t>
      </w:r>
      <w:r>
        <w:rPr/>
        <w:t>growth</w:t>
      </w:r>
      <w:r>
        <w:rPr>
          <w:spacing w:val="-17"/>
        </w:rPr>
        <w:t> </w:t>
      </w:r>
      <w:r>
        <w:rPr/>
        <w:t>of</w:t>
      </w:r>
      <w:r>
        <w:rPr>
          <w:spacing w:val="-15"/>
        </w:rPr>
        <w:t> </w:t>
      </w:r>
      <w:r>
        <w:rPr/>
        <w:t>the</w:t>
      </w:r>
      <w:r>
        <w:rPr>
          <w:spacing w:val="-15"/>
        </w:rPr>
        <w:t> </w:t>
      </w:r>
      <w:r>
        <w:rPr/>
        <w:t>subject</w:t>
      </w:r>
      <w:r>
        <w:rPr>
          <w:spacing w:val="-13"/>
        </w:rPr>
        <w:t> </w:t>
      </w:r>
      <w:r>
        <w:rPr/>
        <w:t>submarket</w:t>
      </w:r>
      <w:r>
        <w:rPr>
          <w:spacing w:val="-14"/>
        </w:rPr>
        <w:t> </w:t>
      </w:r>
      <w:r>
        <w:rPr/>
        <w:t>as</w:t>
      </w:r>
      <w:r>
        <w:rPr>
          <w:spacing w:val="-15"/>
        </w:rPr>
        <w:t> </w:t>
      </w:r>
      <w:r>
        <w:rPr/>
        <w:t>one</w:t>
      </w:r>
      <w:r>
        <w:rPr>
          <w:spacing w:val="-16"/>
        </w:rPr>
        <w:t> </w:t>
      </w:r>
      <w:r>
        <w:rPr/>
        <w:t>of</w:t>
      </w:r>
      <w:r>
        <w:rPr>
          <w:spacing w:val="-15"/>
        </w:rPr>
        <w:t> </w:t>
      </w:r>
      <w:r>
        <w:rPr/>
        <w:t>the</w:t>
      </w:r>
      <w:r>
        <w:rPr>
          <w:spacing w:val="-16"/>
        </w:rPr>
        <w:t> </w:t>
      </w:r>
      <w:r>
        <w:rPr/>
        <w:t>most</w:t>
      </w:r>
      <w:r>
        <w:rPr>
          <w:spacing w:val="-15"/>
        </w:rPr>
        <w:t> </w:t>
      </w:r>
      <w:r>
        <w:rPr/>
        <w:t>prominent</w:t>
      </w:r>
      <w:r>
        <w:rPr>
          <w:spacing w:val="-13"/>
        </w:rPr>
        <w:t> </w:t>
      </w:r>
      <w:r>
        <w:rPr/>
        <w:t>technology</w:t>
      </w:r>
      <w:r>
        <w:rPr>
          <w:spacing w:val="-13"/>
        </w:rPr>
        <w:t> </w:t>
      </w:r>
      <w:r>
        <w:rPr/>
        <w:t>hubs</w:t>
      </w:r>
      <w:r>
        <w:rPr>
          <w:spacing w:val="-15"/>
        </w:rPr>
        <w:t> </w:t>
      </w:r>
      <w:r>
        <w:rPr/>
        <w:t>of</w:t>
      </w:r>
      <w:r>
        <w:rPr>
          <w:spacing w:val="-17"/>
        </w:rPr>
        <w:t> </w:t>
      </w:r>
      <w:r>
        <w:rPr/>
        <w:t>the city,</w:t>
      </w:r>
      <w:r>
        <w:rPr>
          <w:spacing w:val="-44"/>
        </w:rPr>
        <w:t> </w:t>
      </w:r>
      <w:r>
        <w:rPr/>
        <w:t>the</w:t>
      </w:r>
      <w:r>
        <w:rPr>
          <w:spacing w:val="-44"/>
        </w:rPr>
        <w:t> </w:t>
      </w:r>
      <w:r>
        <w:rPr/>
        <w:t>locality</w:t>
      </w:r>
      <w:r>
        <w:rPr>
          <w:spacing w:val="-43"/>
        </w:rPr>
        <w:t> </w:t>
      </w:r>
      <w:r>
        <w:rPr/>
        <w:t>has</w:t>
      </w:r>
      <w:r>
        <w:rPr>
          <w:spacing w:val="-44"/>
        </w:rPr>
        <w:t> </w:t>
      </w:r>
      <w:r>
        <w:rPr/>
        <w:t>witnessed</w:t>
      </w:r>
      <w:r>
        <w:rPr>
          <w:spacing w:val="-43"/>
        </w:rPr>
        <w:t> </w:t>
      </w:r>
      <w:r>
        <w:rPr/>
        <w:t>a</w:t>
      </w:r>
      <w:r>
        <w:rPr>
          <w:spacing w:val="-44"/>
        </w:rPr>
        <w:t> </w:t>
      </w:r>
      <w:r>
        <w:rPr/>
        <w:t>steady</w:t>
      </w:r>
      <w:r>
        <w:rPr>
          <w:spacing w:val="-43"/>
        </w:rPr>
        <w:t> </w:t>
      </w:r>
      <w:r>
        <w:rPr/>
        <w:t>and</w:t>
      </w:r>
      <w:r>
        <w:rPr>
          <w:spacing w:val="-44"/>
        </w:rPr>
        <w:t> </w:t>
      </w:r>
      <w:r>
        <w:rPr/>
        <w:t>sustainable</w:t>
      </w:r>
      <w:r>
        <w:rPr>
          <w:spacing w:val="-43"/>
        </w:rPr>
        <w:t> </w:t>
      </w:r>
      <w:r>
        <w:rPr/>
        <w:t>supply</w:t>
      </w:r>
      <w:r>
        <w:rPr>
          <w:spacing w:val="-43"/>
        </w:rPr>
        <w:t> </w:t>
      </w:r>
      <w:r>
        <w:rPr/>
        <w:t>of</w:t>
      </w:r>
      <w:r>
        <w:rPr>
          <w:spacing w:val="-44"/>
        </w:rPr>
        <w:t> </w:t>
      </w:r>
      <w:r>
        <w:rPr/>
        <w:t>residential</w:t>
      </w:r>
      <w:r>
        <w:rPr>
          <w:spacing w:val="-45"/>
        </w:rPr>
        <w:t> </w:t>
      </w:r>
      <w:r>
        <w:rPr/>
        <w:t>development</w:t>
      </w:r>
      <w:r>
        <w:rPr>
          <w:spacing w:val="-44"/>
        </w:rPr>
        <w:t> </w:t>
      </w:r>
      <w:r>
        <w:rPr/>
        <w:t>for</w:t>
      </w:r>
      <w:r>
        <w:rPr>
          <w:spacing w:val="-43"/>
        </w:rPr>
        <w:t> </w:t>
      </w:r>
      <w:r>
        <w:rPr/>
        <w:t>the</w:t>
      </w:r>
      <w:r>
        <w:rPr>
          <w:spacing w:val="-45"/>
        </w:rPr>
        <w:t> </w:t>
      </w:r>
      <w:r>
        <w:rPr/>
        <w:t>working populace.</w:t>
      </w:r>
      <w:r>
        <w:rPr>
          <w:spacing w:val="-22"/>
        </w:rPr>
        <w:t> </w:t>
      </w:r>
      <w:r>
        <w:rPr/>
        <w:t>Going</w:t>
      </w:r>
      <w:r>
        <w:rPr>
          <w:spacing w:val="-23"/>
        </w:rPr>
        <w:t> </w:t>
      </w:r>
      <w:r>
        <w:rPr/>
        <w:t>forward,</w:t>
      </w:r>
      <w:r>
        <w:rPr>
          <w:spacing w:val="-23"/>
        </w:rPr>
        <w:t> </w:t>
      </w:r>
      <w:r>
        <w:rPr/>
        <w:t>the</w:t>
      </w:r>
      <w:r>
        <w:rPr>
          <w:spacing w:val="-23"/>
        </w:rPr>
        <w:t> </w:t>
      </w:r>
      <w:r>
        <w:rPr/>
        <w:t>profile</w:t>
      </w:r>
      <w:r>
        <w:rPr>
          <w:spacing w:val="-23"/>
        </w:rPr>
        <w:t> </w:t>
      </w:r>
      <w:r>
        <w:rPr/>
        <w:t>of</w:t>
      </w:r>
      <w:r>
        <w:rPr>
          <w:spacing w:val="-21"/>
        </w:rPr>
        <w:t> </w:t>
      </w:r>
      <w:r>
        <w:rPr/>
        <w:t>the</w:t>
      </w:r>
      <w:r>
        <w:rPr>
          <w:spacing w:val="-24"/>
        </w:rPr>
        <w:t> </w:t>
      </w:r>
      <w:r>
        <w:rPr/>
        <w:t>submarket</w:t>
      </w:r>
      <w:r>
        <w:rPr>
          <w:spacing w:val="-22"/>
        </w:rPr>
        <w:t> </w:t>
      </w:r>
      <w:r>
        <w:rPr/>
        <w:t>is</w:t>
      </w:r>
      <w:r>
        <w:rPr>
          <w:spacing w:val="-21"/>
        </w:rPr>
        <w:t> </w:t>
      </w:r>
      <w:r>
        <w:rPr/>
        <w:t>expected</w:t>
      </w:r>
      <w:r>
        <w:rPr>
          <w:spacing w:val="-22"/>
        </w:rPr>
        <w:t> </w:t>
      </w:r>
      <w:r>
        <w:rPr/>
        <w:t>to</w:t>
      </w:r>
      <w:r>
        <w:rPr>
          <w:spacing w:val="-22"/>
        </w:rPr>
        <w:t> </w:t>
      </w:r>
      <w:r>
        <w:rPr/>
        <w:t>be</w:t>
      </w:r>
      <w:r>
        <w:rPr>
          <w:spacing w:val="-23"/>
        </w:rPr>
        <w:t> </w:t>
      </w:r>
      <w:r>
        <w:rPr/>
        <w:t>cemented</w:t>
      </w:r>
      <w:r>
        <w:rPr>
          <w:spacing w:val="-22"/>
        </w:rPr>
        <w:t> </w:t>
      </w:r>
      <w:r>
        <w:rPr/>
        <w:t>as</w:t>
      </w:r>
      <w:r>
        <w:rPr>
          <w:spacing w:val="-22"/>
        </w:rPr>
        <w:t> </w:t>
      </w:r>
      <w:r>
        <w:rPr/>
        <w:t>one</w:t>
      </w:r>
      <w:r>
        <w:rPr>
          <w:spacing w:val="-23"/>
        </w:rPr>
        <w:t> </w:t>
      </w:r>
      <w:r>
        <w:rPr/>
        <w:t>of</w:t>
      </w:r>
      <w:r>
        <w:rPr>
          <w:spacing w:val="-21"/>
        </w:rPr>
        <w:t> </w:t>
      </w:r>
      <w:r>
        <w:rPr/>
        <w:t>the</w:t>
      </w:r>
      <w:r>
        <w:rPr>
          <w:spacing w:val="-24"/>
        </w:rPr>
        <w:t> </w:t>
      </w:r>
      <w:r>
        <w:rPr/>
        <w:t>sought out technology destination of the city along with residential developments to support the working populace.</w:t>
      </w:r>
    </w:p>
    <w:p>
      <w:pPr>
        <w:pStyle w:val="BodyText"/>
        <w:spacing w:before="11"/>
        <w:rPr>
          <w:sz w:val="2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171" w:id="333"/>
      <w:bookmarkEnd w:id="333"/>
      <w:r>
        <w:rPr/>
      </w:r>
      <w:bookmarkStart w:name="_bookmark171" w:id="334"/>
      <w:bookmarkEnd w:id="334"/>
      <w:r>
        <w:rPr>
          <w:color w:val="1F664D"/>
          <w:w w:val="105"/>
          <w:sz w:val="22"/>
        </w:rPr>
        <w:t>De</w:t>
      </w:r>
      <w:r>
        <w:rPr>
          <w:color w:val="1F664D"/>
          <w:w w:val="105"/>
          <w:sz w:val="22"/>
        </w:rPr>
        <w:t>mand and Supply</w:t>
      </w:r>
      <w:r>
        <w:rPr>
          <w:color w:val="1F664D"/>
          <w:spacing w:val="-17"/>
          <w:w w:val="105"/>
          <w:sz w:val="22"/>
        </w:rPr>
        <w:t> </w:t>
      </w:r>
      <w:r>
        <w:rPr>
          <w:color w:val="1F664D"/>
          <w:w w:val="105"/>
          <w:sz w:val="22"/>
        </w:rPr>
        <w:t>Dynamics</w:t>
      </w:r>
    </w:p>
    <w:p>
      <w:pPr>
        <w:pStyle w:val="BodyText"/>
        <w:spacing w:before="6"/>
        <w:rPr>
          <w:sz w:val="25"/>
        </w:rPr>
      </w:pPr>
    </w:p>
    <w:p>
      <w:pPr>
        <w:spacing w:before="0"/>
        <w:ind w:left="220" w:right="0" w:firstLine="0"/>
        <w:jc w:val="left"/>
        <w:rPr>
          <w:i/>
          <w:sz w:val="20"/>
        </w:rPr>
      </w:pPr>
      <w:r>
        <w:rPr>
          <w:i/>
          <w:color w:val="008000"/>
          <w:sz w:val="22"/>
        </w:rPr>
        <w:t>9.3.1.1 </w:t>
      </w:r>
      <w:r>
        <w:rPr>
          <w:i/>
          <w:color w:val="008000"/>
          <w:sz w:val="20"/>
        </w:rPr>
        <w:t>Demand, Supply and Vacancy Trends </w:t>
      </w:r>
      <w:r>
        <w:rPr>
          <w:i/>
          <w:color w:val="008000"/>
          <w:w w:val="105"/>
          <w:sz w:val="20"/>
        </w:rPr>
        <w:t>– </w:t>
      </w:r>
      <w:r>
        <w:rPr>
          <w:i/>
          <w:color w:val="008000"/>
          <w:sz w:val="20"/>
        </w:rPr>
        <w:t>Pune and West Pune submarket</w:t>
      </w:r>
    </w:p>
    <w:p>
      <w:pPr>
        <w:pStyle w:val="BodyText"/>
        <w:spacing w:before="6"/>
        <w:rPr>
          <w:i/>
          <w:sz w:val="24"/>
        </w:rPr>
      </w:pPr>
    </w:p>
    <w:p>
      <w:pPr>
        <w:pStyle w:val="BodyText"/>
        <w:spacing w:line="280" w:lineRule="auto"/>
        <w:ind w:left="760" w:right="237"/>
        <w:jc w:val="both"/>
      </w:pPr>
      <w:r>
        <w:rPr/>
        <w:t>Total</w:t>
      </w:r>
      <w:r>
        <w:rPr>
          <w:spacing w:val="-27"/>
        </w:rPr>
        <w:t> </w:t>
      </w:r>
      <w:r>
        <w:rPr/>
        <w:t>completed</w:t>
      </w:r>
      <w:r>
        <w:rPr>
          <w:spacing w:val="-27"/>
        </w:rPr>
        <w:t> </w:t>
      </w:r>
      <w:r>
        <w:rPr/>
        <w:t>stock</w:t>
      </w:r>
      <w:r>
        <w:rPr>
          <w:spacing w:val="-27"/>
        </w:rPr>
        <w:t> </w:t>
      </w:r>
      <w:r>
        <w:rPr/>
        <w:t>in</w:t>
      </w:r>
      <w:r>
        <w:rPr>
          <w:spacing w:val="-26"/>
        </w:rPr>
        <w:t> </w:t>
      </w:r>
      <w:r>
        <w:rPr/>
        <w:t>Pune</w:t>
      </w:r>
      <w:r>
        <w:rPr>
          <w:spacing w:val="-27"/>
        </w:rPr>
        <w:t> </w:t>
      </w:r>
      <w:r>
        <w:rPr/>
        <w:t>as</w:t>
      </w:r>
      <w:r>
        <w:rPr>
          <w:spacing w:val="-25"/>
        </w:rPr>
        <w:t> </w:t>
      </w:r>
      <w:r>
        <w:rPr/>
        <w:t>of</w:t>
      </w:r>
      <w:r>
        <w:rPr>
          <w:spacing w:val="-26"/>
        </w:rPr>
        <w:t> </w:t>
      </w:r>
      <w:r>
        <w:rPr/>
        <w:t>Q4,</w:t>
      </w:r>
      <w:r>
        <w:rPr>
          <w:spacing w:val="-26"/>
        </w:rPr>
        <w:t> </w:t>
      </w:r>
      <w:r>
        <w:rPr/>
        <w:t>2019</w:t>
      </w:r>
      <w:r>
        <w:rPr>
          <w:spacing w:val="-27"/>
        </w:rPr>
        <w:t> </w:t>
      </w:r>
      <w:r>
        <w:rPr/>
        <w:t>is</w:t>
      </w:r>
      <w:r>
        <w:rPr>
          <w:spacing w:val="-25"/>
        </w:rPr>
        <w:t> </w:t>
      </w:r>
      <w:r>
        <w:rPr/>
        <w:t>53.52</w:t>
      </w:r>
      <w:r>
        <w:rPr>
          <w:spacing w:val="-25"/>
        </w:rPr>
        <w:t> </w:t>
      </w:r>
      <w:r>
        <w:rPr/>
        <w:t>mn</w:t>
      </w:r>
      <w:r>
        <w:rPr>
          <w:spacing w:val="-26"/>
        </w:rPr>
        <w:t> </w:t>
      </w:r>
      <w:r>
        <w:rPr/>
        <w:t>sf,</w:t>
      </w:r>
      <w:r>
        <w:rPr>
          <w:spacing w:val="-26"/>
        </w:rPr>
        <w:t> </w:t>
      </w:r>
      <w:r>
        <w:rPr/>
        <w:t>out</w:t>
      </w:r>
      <w:r>
        <w:rPr>
          <w:spacing w:val="-27"/>
        </w:rPr>
        <w:t> </w:t>
      </w:r>
      <w:r>
        <w:rPr/>
        <w:t>of</w:t>
      </w:r>
      <w:r>
        <w:rPr>
          <w:spacing w:val="-27"/>
        </w:rPr>
        <w:t> </w:t>
      </w:r>
      <w:r>
        <w:rPr/>
        <w:t>which</w:t>
      </w:r>
      <w:r>
        <w:rPr>
          <w:spacing w:val="-25"/>
        </w:rPr>
        <w:t> </w:t>
      </w:r>
      <w:r>
        <w:rPr/>
        <w:t>West</w:t>
      </w:r>
      <w:r>
        <w:rPr>
          <w:spacing w:val="-28"/>
        </w:rPr>
        <w:t> </w:t>
      </w:r>
      <w:r>
        <w:rPr/>
        <w:t>Pune</w:t>
      </w:r>
      <w:r>
        <w:rPr>
          <w:spacing w:val="-26"/>
        </w:rPr>
        <w:t> </w:t>
      </w:r>
      <w:r>
        <w:rPr/>
        <w:t>account</w:t>
      </w:r>
      <w:r>
        <w:rPr>
          <w:spacing w:val="-26"/>
        </w:rPr>
        <w:t> </w:t>
      </w:r>
      <w:r>
        <w:rPr/>
        <w:t>for</w:t>
      </w:r>
      <w:r>
        <w:rPr>
          <w:spacing w:val="-28"/>
        </w:rPr>
        <w:t> </w:t>
      </w:r>
      <w:r>
        <w:rPr/>
        <w:t>Approx. 19%.</w:t>
      </w:r>
    </w:p>
    <w:p>
      <w:pPr>
        <w:pStyle w:val="BodyText"/>
        <w:spacing w:before="7"/>
        <w:rPr>
          <w:sz w:val="7"/>
        </w:rPr>
      </w:pPr>
    </w:p>
    <w:tbl>
      <w:tblPr>
        <w:tblW w:w="0" w:type="auto"/>
        <w:jc w:val="left"/>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44"/>
        <w:gridCol w:w="3040"/>
        <w:gridCol w:w="3089"/>
      </w:tblGrid>
      <w:tr>
        <w:trPr>
          <w:trHeight w:val="457" w:hRule="atLeast"/>
        </w:trPr>
        <w:tc>
          <w:tcPr>
            <w:tcW w:w="4244" w:type="dxa"/>
            <w:tcBorders>
              <w:top w:val="single" w:sz="12" w:space="0" w:color="1F6B16"/>
            </w:tcBorders>
            <w:shd w:val="clear" w:color="auto" w:fill="006A4D"/>
          </w:tcPr>
          <w:p>
            <w:pPr>
              <w:pStyle w:val="TableParagraph"/>
              <w:spacing w:before="125"/>
              <w:ind w:left="94" w:right="108"/>
              <w:rPr>
                <w:b/>
                <w:sz w:val="18"/>
              </w:rPr>
            </w:pPr>
            <w:r>
              <w:rPr>
                <w:b/>
                <w:color w:val="FFFFFF"/>
                <w:w w:val="105"/>
                <w:sz w:val="18"/>
              </w:rPr>
              <w:t>Particular</w:t>
            </w:r>
          </w:p>
        </w:tc>
        <w:tc>
          <w:tcPr>
            <w:tcW w:w="3040" w:type="dxa"/>
            <w:tcBorders>
              <w:top w:val="single" w:sz="12" w:space="0" w:color="1F6B16"/>
              <w:bottom w:val="single" w:sz="6" w:space="0" w:color="69BD28"/>
            </w:tcBorders>
            <w:shd w:val="clear" w:color="auto" w:fill="006A4D"/>
          </w:tcPr>
          <w:p>
            <w:pPr>
              <w:pStyle w:val="TableParagraph"/>
              <w:spacing w:before="125"/>
              <w:ind w:left="395" w:right="427"/>
              <w:rPr>
                <w:b/>
                <w:sz w:val="18"/>
              </w:rPr>
            </w:pPr>
            <w:r>
              <w:rPr>
                <w:b/>
                <w:color w:val="FFFFFF"/>
                <w:w w:val="110"/>
                <w:sz w:val="18"/>
              </w:rPr>
              <w:t>Pune</w:t>
            </w:r>
          </w:p>
        </w:tc>
        <w:tc>
          <w:tcPr>
            <w:tcW w:w="3089" w:type="dxa"/>
            <w:tcBorders>
              <w:top w:val="single" w:sz="12" w:space="0" w:color="1F6B16"/>
              <w:bottom w:val="single" w:sz="6" w:space="0" w:color="69BD28"/>
            </w:tcBorders>
            <w:shd w:val="clear" w:color="auto" w:fill="006A4D"/>
          </w:tcPr>
          <w:p>
            <w:pPr>
              <w:pStyle w:val="TableParagraph"/>
              <w:spacing w:before="125"/>
              <w:ind w:left="827" w:right="841"/>
              <w:rPr>
                <w:b/>
                <w:sz w:val="18"/>
              </w:rPr>
            </w:pPr>
            <w:r>
              <w:rPr>
                <w:b/>
                <w:color w:val="FFFFFF"/>
                <w:w w:val="105"/>
                <w:sz w:val="18"/>
              </w:rPr>
              <w:t>West Pune</w:t>
            </w:r>
          </w:p>
        </w:tc>
      </w:tr>
      <w:tr>
        <w:trPr>
          <w:trHeight w:val="520" w:hRule="atLeast"/>
        </w:trPr>
        <w:tc>
          <w:tcPr>
            <w:tcW w:w="4244" w:type="dxa"/>
            <w:vMerge w:val="restart"/>
            <w:shd w:val="clear" w:color="auto" w:fill="69BD28"/>
          </w:tcPr>
          <w:p>
            <w:pPr>
              <w:pStyle w:val="TableParagraph"/>
              <w:spacing w:line="619" w:lineRule="auto" w:before="123"/>
              <w:ind w:left="367" w:right="291"/>
              <w:rPr>
                <w:sz w:val="18"/>
              </w:rPr>
            </w:pPr>
            <w:r>
              <w:rPr>
                <w:color w:val="FFFFFF"/>
                <w:sz w:val="18"/>
              </w:rPr>
              <w:t>Cumulative</w:t>
            </w:r>
            <w:r>
              <w:rPr>
                <w:color w:val="FFFFFF"/>
                <w:spacing w:val="-17"/>
                <w:sz w:val="18"/>
              </w:rPr>
              <w:t> </w:t>
            </w:r>
            <w:r>
              <w:rPr>
                <w:color w:val="FFFFFF"/>
                <w:sz w:val="18"/>
              </w:rPr>
              <w:t>completed</w:t>
            </w:r>
            <w:r>
              <w:rPr>
                <w:color w:val="FFFFFF"/>
                <w:spacing w:val="-18"/>
                <w:sz w:val="18"/>
              </w:rPr>
              <w:t> </w:t>
            </w:r>
            <w:r>
              <w:rPr>
                <w:color w:val="FFFFFF"/>
                <w:sz w:val="18"/>
              </w:rPr>
              <w:t>office</w:t>
            </w:r>
            <w:r>
              <w:rPr>
                <w:color w:val="FFFFFF"/>
                <w:spacing w:val="-16"/>
                <w:sz w:val="18"/>
              </w:rPr>
              <w:t> </w:t>
            </w:r>
            <w:r>
              <w:rPr>
                <w:color w:val="FFFFFF"/>
                <w:sz w:val="18"/>
              </w:rPr>
              <w:t>stock</w:t>
            </w:r>
            <w:r>
              <w:rPr>
                <w:color w:val="FFFFFF"/>
                <w:spacing w:val="-18"/>
                <w:sz w:val="18"/>
              </w:rPr>
              <w:t> </w:t>
            </w:r>
            <w:r>
              <w:rPr>
                <w:color w:val="FFFFFF"/>
                <w:sz w:val="18"/>
              </w:rPr>
              <w:t>(Q4</w:t>
            </w:r>
            <w:r>
              <w:rPr>
                <w:color w:val="FFFFFF"/>
                <w:spacing w:val="-18"/>
                <w:sz w:val="18"/>
              </w:rPr>
              <w:t> </w:t>
            </w:r>
            <w:r>
              <w:rPr>
                <w:color w:val="FFFFFF"/>
                <w:sz w:val="18"/>
              </w:rPr>
              <w:t>2019) Cumulative occupied stock (Q4 2019) Current Vacancy (Q4 2019)</w:t>
            </w:r>
          </w:p>
          <w:p>
            <w:pPr>
              <w:pStyle w:val="TableParagraph"/>
              <w:spacing w:before="5"/>
              <w:ind w:left="185" w:right="107"/>
              <w:rPr>
                <w:sz w:val="18"/>
              </w:rPr>
            </w:pPr>
            <w:r>
              <w:rPr>
                <w:color w:val="FFFFFF"/>
                <w:w w:val="110"/>
                <w:sz w:val="18"/>
              </w:rPr>
              <w:t>Average Absorption (2014 – 2019)</w:t>
            </w:r>
          </w:p>
        </w:tc>
        <w:tc>
          <w:tcPr>
            <w:tcW w:w="3040" w:type="dxa"/>
            <w:tcBorders>
              <w:top w:val="single" w:sz="6" w:space="0" w:color="69BD28"/>
              <w:bottom w:val="single" w:sz="6" w:space="0" w:color="69BD28"/>
            </w:tcBorders>
          </w:tcPr>
          <w:p>
            <w:pPr>
              <w:pStyle w:val="TableParagraph"/>
              <w:spacing w:before="123"/>
              <w:ind w:left="400" w:right="427"/>
              <w:rPr>
                <w:sz w:val="18"/>
              </w:rPr>
            </w:pPr>
            <w:r>
              <w:rPr>
                <w:sz w:val="18"/>
              </w:rPr>
              <w:t>Approx. 53.5 msf</w:t>
            </w:r>
          </w:p>
        </w:tc>
        <w:tc>
          <w:tcPr>
            <w:tcW w:w="3089" w:type="dxa"/>
            <w:tcBorders>
              <w:top w:val="single" w:sz="6" w:space="0" w:color="69BD28"/>
              <w:bottom w:val="single" w:sz="6" w:space="0" w:color="69BD28"/>
            </w:tcBorders>
          </w:tcPr>
          <w:p>
            <w:pPr>
              <w:pStyle w:val="TableParagraph"/>
              <w:spacing w:before="123"/>
              <w:ind w:left="827" w:right="842"/>
              <w:rPr>
                <w:sz w:val="18"/>
              </w:rPr>
            </w:pPr>
            <w:r>
              <w:rPr>
                <w:sz w:val="18"/>
              </w:rPr>
              <w:t>Approx. 10.0 msf</w:t>
            </w:r>
          </w:p>
        </w:tc>
      </w:tr>
      <w:tr>
        <w:trPr>
          <w:trHeight w:val="525" w:hRule="atLeast"/>
        </w:trPr>
        <w:tc>
          <w:tcPr>
            <w:tcW w:w="4244" w:type="dxa"/>
            <w:vMerge/>
            <w:tcBorders>
              <w:top w:val="nil"/>
            </w:tcBorders>
            <w:shd w:val="clear" w:color="auto" w:fill="69BD28"/>
          </w:tcPr>
          <w:p>
            <w:pPr>
              <w:rPr>
                <w:sz w:val="2"/>
                <w:szCs w:val="2"/>
              </w:rPr>
            </w:pPr>
          </w:p>
        </w:tc>
        <w:tc>
          <w:tcPr>
            <w:tcW w:w="3040" w:type="dxa"/>
            <w:tcBorders>
              <w:top w:val="single" w:sz="6" w:space="0" w:color="69BD28"/>
              <w:bottom w:val="single" w:sz="6" w:space="0" w:color="69BD28"/>
            </w:tcBorders>
          </w:tcPr>
          <w:p>
            <w:pPr>
              <w:pStyle w:val="TableParagraph"/>
              <w:spacing w:before="128"/>
              <w:ind w:left="400" w:right="427"/>
              <w:rPr>
                <w:sz w:val="18"/>
              </w:rPr>
            </w:pPr>
            <w:r>
              <w:rPr>
                <w:sz w:val="18"/>
              </w:rPr>
              <w:t>Approx. 50.5 msf</w:t>
            </w:r>
          </w:p>
        </w:tc>
        <w:tc>
          <w:tcPr>
            <w:tcW w:w="3089" w:type="dxa"/>
            <w:tcBorders>
              <w:top w:val="single" w:sz="6" w:space="0" w:color="69BD28"/>
              <w:bottom w:val="single" w:sz="6" w:space="0" w:color="69BD28"/>
            </w:tcBorders>
          </w:tcPr>
          <w:p>
            <w:pPr>
              <w:pStyle w:val="TableParagraph"/>
              <w:spacing w:before="128"/>
              <w:ind w:left="827" w:right="843"/>
              <w:rPr>
                <w:sz w:val="18"/>
              </w:rPr>
            </w:pPr>
            <w:r>
              <w:rPr>
                <w:sz w:val="18"/>
              </w:rPr>
              <w:t>Approx. 9.6 msf</w:t>
            </w:r>
          </w:p>
        </w:tc>
      </w:tr>
      <w:tr>
        <w:trPr>
          <w:trHeight w:val="525" w:hRule="atLeast"/>
        </w:trPr>
        <w:tc>
          <w:tcPr>
            <w:tcW w:w="4244" w:type="dxa"/>
            <w:vMerge/>
            <w:tcBorders>
              <w:top w:val="nil"/>
            </w:tcBorders>
            <w:shd w:val="clear" w:color="auto" w:fill="69BD28"/>
          </w:tcPr>
          <w:p>
            <w:pPr>
              <w:rPr>
                <w:sz w:val="2"/>
                <w:szCs w:val="2"/>
              </w:rPr>
            </w:pPr>
          </w:p>
        </w:tc>
        <w:tc>
          <w:tcPr>
            <w:tcW w:w="3040" w:type="dxa"/>
            <w:tcBorders>
              <w:top w:val="single" w:sz="6" w:space="0" w:color="69BD28"/>
              <w:bottom w:val="single" w:sz="6" w:space="0" w:color="69BD28"/>
            </w:tcBorders>
          </w:tcPr>
          <w:p>
            <w:pPr>
              <w:pStyle w:val="TableParagraph"/>
              <w:spacing w:before="128"/>
              <w:ind w:left="397" w:right="427"/>
              <w:rPr>
                <w:sz w:val="18"/>
              </w:rPr>
            </w:pPr>
            <w:r>
              <w:rPr>
                <w:w w:val="105"/>
                <w:sz w:val="18"/>
              </w:rPr>
              <w:t>Approx. 5.6%</w:t>
            </w:r>
          </w:p>
        </w:tc>
        <w:tc>
          <w:tcPr>
            <w:tcW w:w="3089" w:type="dxa"/>
            <w:tcBorders>
              <w:top w:val="single" w:sz="6" w:space="0" w:color="69BD28"/>
              <w:bottom w:val="single" w:sz="6" w:space="0" w:color="69BD28"/>
            </w:tcBorders>
          </w:tcPr>
          <w:p>
            <w:pPr>
              <w:pStyle w:val="TableParagraph"/>
              <w:spacing w:before="128"/>
              <w:ind w:left="825" w:right="843"/>
              <w:rPr>
                <w:sz w:val="18"/>
              </w:rPr>
            </w:pPr>
            <w:r>
              <w:rPr>
                <w:w w:val="105"/>
                <w:sz w:val="18"/>
              </w:rPr>
              <w:t>Approx. 3.5%</w:t>
            </w:r>
          </w:p>
        </w:tc>
      </w:tr>
      <w:tr>
        <w:trPr>
          <w:trHeight w:val="527" w:hRule="atLeast"/>
        </w:trPr>
        <w:tc>
          <w:tcPr>
            <w:tcW w:w="4244" w:type="dxa"/>
            <w:vMerge/>
            <w:tcBorders>
              <w:top w:val="nil"/>
            </w:tcBorders>
            <w:shd w:val="clear" w:color="auto" w:fill="69BD28"/>
          </w:tcPr>
          <w:p>
            <w:pPr>
              <w:rPr>
                <w:sz w:val="2"/>
                <w:szCs w:val="2"/>
              </w:rPr>
            </w:pPr>
          </w:p>
        </w:tc>
        <w:tc>
          <w:tcPr>
            <w:tcW w:w="3040" w:type="dxa"/>
            <w:tcBorders>
              <w:top w:val="single" w:sz="6" w:space="0" w:color="69BD28"/>
              <w:bottom w:val="single" w:sz="6" w:space="0" w:color="69BD28"/>
            </w:tcBorders>
          </w:tcPr>
          <w:p>
            <w:pPr>
              <w:pStyle w:val="TableParagraph"/>
              <w:spacing w:before="130"/>
              <w:ind w:left="399" w:right="427"/>
              <w:rPr>
                <w:sz w:val="18"/>
              </w:rPr>
            </w:pPr>
            <w:r>
              <w:rPr>
                <w:sz w:val="18"/>
              </w:rPr>
              <w:t>Approx. 3.68 msf</w:t>
            </w:r>
          </w:p>
        </w:tc>
        <w:tc>
          <w:tcPr>
            <w:tcW w:w="3089" w:type="dxa"/>
            <w:tcBorders>
              <w:top w:val="single" w:sz="6" w:space="0" w:color="69BD28"/>
              <w:bottom w:val="single" w:sz="6" w:space="0" w:color="69BD28"/>
            </w:tcBorders>
          </w:tcPr>
          <w:p>
            <w:pPr>
              <w:pStyle w:val="TableParagraph"/>
              <w:spacing w:before="130"/>
              <w:ind w:left="826" w:right="843"/>
              <w:rPr>
                <w:sz w:val="18"/>
              </w:rPr>
            </w:pPr>
            <w:r>
              <w:rPr>
                <w:sz w:val="18"/>
              </w:rPr>
              <w:t>Approx. 0.58 msf</w:t>
            </w:r>
          </w:p>
        </w:tc>
      </w:tr>
    </w:tbl>
    <w:p>
      <w:pPr>
        <w:spacing w:before="9"/>
        <w:ind w:left="786" w:right="0" w:firstLine="0"/>
        <w:jc w:val="both"/>
        <w:rPr>
          <w:i/>
          <w:sz w:val="18"/>
        </w:rPr>
      </w:pPr>
      <w:r>
        <w:rPr>
          <w:i/>
          <w:sz w:val="18"/>
        </w:rPr>
        <w:t>Source: CBRE Research</w:t>
      </w:r>
    </w:p>
    <w:p>
      <w:pPr>
        <w:spacing w:after="0"/>
        <w:jc w:val="both"/>
        <w:rPr>
          <w:sz w:val="18"/>
        </w:rPr>
        <w:sectPr>
          <w:pgSz w:w="11910" w:h="16840"/>
          <w:pgMar w:header="720" w:footer="921" w:top="1660" w:bottom="1120" w:left="500" w:right="480"/>
        </w:sectPr>
      </w:pPr>
    </w:p>
    <w:p>
      <w:pPr>
        <w:pStyle w:val="BodyText"/>
        <w:spacing w:before="4"/>
        <w:rPr>
          <w:i/>
          <w:sz w:val="18"/>
        </w:rPr>
      </w:pPr>
    </w:p>
    <w:p>
      <w:pPr>
        <w:pStyle w:val="BodyText"/>
        <w:ind w:left="102"/>
        <w:rPr>
          <w:sz w:val="20"/>
        </w:rPr>
      </w:pPr>
      <w:r>
        <w:rPr>
          <w:sz w:val="20"/>
        </w:rPr>
        <w:pict>
          <v:group style="width:535.450pt;height:15.5pt;mso-position-horizontal-relative:char;mso-position-vertical-relative:line" coordorigin="0,0" coordsize="10709,310">
            <v:rect style="position:absolute;left:0;top:28;width:10707;height:281" filled="true" fillcolor="#006a4d" stroked="false">
              <v:fill type="solid"/>
            </v:rect>
            <v:rect style="position:absolute;left:0;top:0;width:10709;height:29" filled="true" fillcolor="#1f6b16" stroked="false">
              <v:fill type="solid"/>
            </v:rect>
            <v:rect style="position:absolute;left:0;top:28;width:10709;height:3" filled="true" fillcolor="#006a4d" stroked="false">
              <v:fill type="solid"/>
            </v:rect>
            <v:shape style="position:absolute;left:0;top:28;width:10709;height:281" type="#_x0000_t202" filled="false" stroked="false">
              <v:textbox inset="0,0,0,0">
                <w:txbxContent>
                  <w:p>
                    <w:pPr>
                      <w:spacing w:before="37"/>
                      <w:ind w:left="3686" w:right="3686" w:firstLine="0"/>
                      <w:jc w:val="center"/>
                      <w:rPr>
                        <w:b/>
                        <w:sz w:val="18"/>
                      </w:rPr>
                    </w:pPr>
                    <w:r>
                      <w:rPr>
                        <w:b/>
                        <w:color w:val="FFFFFF"/>
                        <w:w w:val="115"/>
                        <w:sz w:val="18"/>
                      </w:rPr>
                      <w:t>Demand – Supply Dynamics (Pune)</w:t>
                    </w:r>
                  </w:p>
                </w:txbxContent>
              </v:textbox>
              <w10:wrap type="none"/>
            </v:shape>
          </v:group>
        </w:pict>
      </w:r>
      <w:r>
        <w:rPr>
          <w:sz w:val="20"/>
        </w:rPr>
      </w:r>
    </w:p>
    <w:p>
      <w:pPr>
        <w:pStyle w:val="BodyText"/>
        <w:rPr>
          <w:i/>
          <w:sz w:val="20"/>
        </w:rPr>
      </w:pPr>
    </w:p>
    <w:p>
      <w:pPr>
        <w:pStyle w:val="BodyText"/>
        <w:spacing w:before="3"/>
        <w:rPr>
          <w:i/>
          <w:sz w:val="21"/>
        </w:rPr>
      </w:pPr>
    </w:p>
    <w:p>
      <w:pPr>
        <w:spacing w:after="0"/>
        <w:rPr>
          <w:sz w:val="21"/>
        </w:rPr>
        <w:sectPr>
          <w:pgSz w:w="11910" w:h="16840"/>
          <w:pgMar w:header="720" w:footer="921" w:top="1660" w:bottom="1120" w:left="500" w:right="480"/>
        </w:sectPr>
      </w:pPr>
    </w:p>
    <w:p>
      <w:pPr>
        <w:spacing w:before="93"/>
        <w:ind w:left="897" w:right="0" w:firstLine="0"/>
        <w:jc w:val="left"/>
        <w:rPr>
          <w:rFonts w:ascii="Times New Roman"/>
          <w:sz w:val="18"/>
        </w:rPr>
      </w:pPr>
      <w:r>
        <w:rPr>
          <w:rFonts w:ascii="Times New Roman"/>
          <w:sz w:val="18"/>
        </w:rPr>
        <w:t>5.0</w:t>
      </w:r>
    </w:p>
    <w:p>
      <w:pPr>
        <w:spacing w:before="103"/>
        <w:ind w:left="897" w:right="0" w:firstLine="0"/>
        <w:jc w:val="left"/>
        <w:rPr>
          <w:rFonts w:ascii="Times New Roman"/>
          <w:sz w:val="18"/>
        </w:rPr>
      </w:pPr>
      <w:r>
        <w:rPr>
          <w:rFonts w:ascii="Times New Roman"/>
          <w:sz w:val="18"/>
        </w:rPr>
        <w:t>4.5</w:t>
      </w:r>
    </w:p>
    <w:p>
      <w:pPr>
        <w:spacing w:before="103"/>
        <w:ind w:left="0" w:right="0" w:firstLine="0"/>
        <w:jc w:val="right"/>
        <w:rPr>
          <w:rFonts w:ascii="Times New Roman"/>
          <w:sz w:val="18"/>
        </w:rPr>
      </w:pPr>
      <w:r>
        <w:rPr/>
        <w:pict>
          <v:shape style="position:absolute;margin-left:48.675976pt;margin-top:17.102919pt;width:12pt;height:71.55pt;mso-position-horizontal-relative:page;mso-position-vertical-relative:paragraph;z-index:16120832" type="#_x0000_t202" filled="false" stroked="false">
            <v:textbox inset="0,0,0,0" style="layout-flow:vertical;mso-layout-flow-alt:bottom-to-top">
              <w:txbxContent>
                <w:p>
                  <w:pPr>
                    <w:spacing w:before="12"/>
                    <w:ind w:left="20" w:right="0" w:firstLine="0"/>
                    <w:jc w:val="left"/>
                    <w:rPr>
                      <w:rFonts w:ascii="Times New Roman"/>
                      <w:sz w:val="18"/>
                    </w:rPr>
                  </w:pPr>
                  <w:r>
                    <w:rPr>
                      <w:rFonts w:ascii="Times New Roman"/>
                      <w:sz w:val="18"/>
                    </w:rPr>
                    <w:t>Area (million sq ft)</w:t>
                  </w:r>
                </w:p>
              </w:txbxContent>
            </v:textbox>
            <w10:wrap type="none"/>
          </v:shape>
        </w:pict>
      </w:r>
      <w:r>
        <w:rPr>
          <w:rFonts w:ascii="Times New Roman"/>
          <w:spacing w:val="-1"/>
          <w:sz w:val="18"/>
        </w:rPr>
        <w:t>4.0</w:t>
      </w:r>
    </w:p>
    <w:p>
      <w:pPr>
        <w:spacing w:before="103"/>
        <w:ind w:left="0" w:right="0" w:firstLine="0"/>
        <w:jc w:val="right"/>
        <w:rPr>
          <w:rFonts w:ascii="Times New Roman"/>
          <w:sz w:val="18"/>
        </w:rPr>
      </w:pPr>
      <w:r>
        <w:rPr>
          <w:rFonts w:ascii="Times New Roman"/>
          <w:spacing w:val="-1"/>
          <w:sz w:val="18"/>
        </w:rPr>
        <w:t>3.5</w:t>
      </w:r>
    </w:p>
    <w:p>
      <w:pPr>
        <w:spacing w:before="103"/>
        <w:ind w:left="0" w:right="0" w:firstLine="0"/>
        <w:jc w:val="right"/>
        <w:rPr>
          <w:rFonts w:ascii="Times New Roman"/>
          <w:sz w:val="18"/>
        </w:rPr>
      </w:pPr>
      <w:r>
        <w:rPr>
          <w:rFonts w:ascii="Times New Roman"/>
          <w:spacing w:val="-1"/>
          <w:sz w:val="18"/>
        </w:rPr>
        <w:t>3.0</w:t>
      </w:r>
    </w:p>
    <w:p>
      <w:pPr>
        <w:spacing w:before="104"/>
        <w:ind w:left="897" w:right="0" w:firstLine="0"/>
        <w:jc w:val="left"/>
        <w:rPr>
          <w:rFonts w:ascii="Times New Roman"/>
          <w:sz w:val="18"/>
        </w:rPr>
      </w:pPr>
      <w:r>
        <w:rPr>
          <w:rFonts w:ascii="Times New Roman"/>
          <w:sz w:val="18"/>
        </w:rPr>
        <w:t>2.5</w:t>
      </w:r>
    </w:p>
    <w:p>
      <w:pPr>
        <w:spacing w:before="103"/>
        <w:ind w:left="897" w:right="0" w:firstLine="0"/>
        <w:jc w:val="left"/>
        <w:rPr>
          <w:rFonts w:ascii="Times New Roman"/>
          <w:sz w:val="18"/>
        </w:rPr>
      </w:pPr>
      <w:r>
        <w:rPr>
          <w:rFonts w:ascii="Times New Roman"/>
          <w:sz w:val="18"/>
        </w:rPr>
        <w:t>2.0</w:t>
      </w:r>
    </w:p>
    <w:p>
      <w:pPr>
        <w:spacing w:before="104"/>
        <w:ind w:left="897" w:right="0" w:firstLine="0"/>
        <w:jc w:val="left"/>
        <w:rPr>
          <w:rFonts w:ascii="Times New Roman"/>
          <w:sz w:val="18"/>
        </w:rPr>
      </w:pPr>
      <w:r>
        <w:rPr>
          <w:rFonts w:ascii="Times New Roman"/>
          <w:sz w:val="18"/>
        </w:rPr>
        <w:t>1.5</w:t>
      </w:r>
    </w:p>
    <w:p>
      <w:pPr>
        <w:spacing w:before="103"/>
        <w:ind w:left="897" w:right="0" w:firstLine="0"/>
        <w:jc w:val="left"/>
        <w:rPr>
          <w:rFonts w:ascii="Times New Roman"/>
          <w:sz w:val="18"/>
        </w:rPr>
      </w:pPr>
      <w:r>
        <w:rPr>
          <w:rFonts w:ascii="Times New Roman"/>
          <w:sz w:val="18"/>
        </w:rPr>
        <w:t>1.0</w:t>
      </w:r>
    </w:p>
    <w:p>
      <w:pPr>
        <w:spacing w:before="104"/>
        <w:ind w:left="897" w:right="0" w:firstLine="0"/>
        <w:jc w:val="left"/>
        <w:rPr>
          <w:rFonts w:ascii="Times New Roman"/>
          <w:sz w:val="18"/>
        </w:rPr>
      </w:pPr>
      <w:r>
        <w:rPr>
          <w:rFonts w:ascii="Times New Roman"/>
          <w:sz w:val="18"/>
        </w:rPr>
        <w:t>0.5</w:t>
      </w:r>
    </w:p>
    <w:p>
      <w:pPr>
        <w:spacing w:before="103"/>
        <w:ind w:left="897" w:right="0" w:firstLine="0"/>
        <w:jc w:val="left"/>
        <w:rPr>
          <w:rFonts w:ascii="Times New Roman"/>
          <w:sz w:val="18"/>
        </w:rPr>
      </w:pPr>
      <w:r>
        <w:rPr>
          <w:rFonts w:ascii="Times New Roman"/>
          <w:sz w:val="18"/>
        </w:rPr>
        <w:t>0.0</w:t>
      </w:r>
    </w:p>
    <w:p>
      <w:pPr>
        <w:pStyle w:val="BodyText"/>
        <w:rPr>
          <w:rFonts w:ascii="Times New Roman"/>
          <w:sz w:val="20"/>
        </w:rPr>
      </w:pPr>
      <w:r>
        <w:rPr/>
        <w:br w:type="column"/>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16"/>
        </w:rPr>
      </w:pPr>
    </w:p>
    <w:p>
      <w:pPr>
        <w:tabs>
          <w:tab w:pos="1952" w:val="left" w:leader="none"/>
          <w:tab w:pos="3298" w:val="left" w:leader="none"/>
          <w:tab w:pos="4644" w:val="left" w:leader="none"/>
          <w:tab w:pos="5990" w:val="left" w:leader="none"/>
          <w:tab w:pos="7335" w:val="left" w:leader="none"/>
        </w:tabs>
        <w:spacing w:before="0"/>
        <w:ind w:left="606" w:right="0" w:firstLine="0"/>
        <w:jc w:val="left"/>
        <w:rPr>
          <w:rFonts w:ascii="Times New Roman"/>
          <w:sz w:val="18"/>
        </w:rPr>
      </w:pPr>
      <w:r>
        <w:rPr>
          <w:rFonts w:ascii="Times New Roman"/>
          <w:sz w:val="18"/>
        </w:rPr>
        <w:t>2014</w:t>
        <w:tab/>
        <w:t>2015</w:t>
        <w:tab/>
        <w:t>2016</w:t>
        <w:tab/>
        <w:t>2017</w:t>
        <w:tab/>
        <w:t>2018</w:t>
        <w:tab/>
      </w:r>
      <w:r>
        <w:rPr>
          <w:rFonts w:ascii="Times New Roman"/>
          <w:spacing w:val="-5"/>
          <w:sz w:val="18"/>
        </w:rPr>
        <w:t>2019</w:t>
      </w:r>
    </w:p>
    <w:p>
      <w:pPr>
        <w:tabs>
          <w:tab w:pos="3798" w:val="left" w:leader="none"/>
          <w:tab w:pos="5361" w:val="left" w:leader="none"/>
        </w:tabs>
        <w:spacing w:before="146"/>
        <w:ind w:left="2535" w:right="0" w:firstLine="0"/>
        <w:jc w:val="left"/>
        <w:rPr>
          <w:rFonts w:ascii="Times New Roman"/>
          <w:sz w:val="18"/>
        </w:rPr>
      </w:pPr>
      <w:r>
        <w:rPr/>
        <w:pict>
          <v:rect style="position:absolute;margin-left:188.589996pt;margin-top:10.588055pt;width:19.2pt;height:4.4843pt;mso-position-horizontal-relative:page;mso-position-vertical-relative:paragraph;z-index:16118272" filled="true" fillcolor="#006a4d" stroked="false">
            <v:fill type="solid"/>
            <w10:wrap type="none"/>
          </v:rect>
        </w:pict>
      </w:r>
      <w:r>
        <w:rPr/>
        <w:pict>
          <v:rect style="position:absolute;margin-left:251.740005pt;margin-top:10.588055pt;width:19.2pt;height:4.4843pt;mso-position-horizontal-relative:page;mso-position-vertical-relative:paragraph;z-index:-34509312" filled="true" fillcolor="#9bba58" stroked="false">
            <v:fill type="solid"/>
            <w10:wrap type="none"/>
          </v:rect>
        </w:pict>
      </w:r>
      <w:r>
        <w:rPr/>
        <w:pict>
          <v:group style="position:absolute;margin-left:329.890015pt;margin-top:9.907354pt;width:19.2pt;height:5.8pt;mso-position-horizontal-relative:page;mso-position-vertical-relative:paragraph;z-index:-34508800" coordorigin="6598,198" coordsize="384,116">
            <v:shape style="position:absolute;left:6597;top:256;width:384;height:2" coordorigin="6598,257" coordsize="384,0" path="m6598,257l6739,257m6840,257l6982,257e" filled="false" stroked="true" strokeweight="2.25pt" strokecolor="#92d050">
              <v:path arrowok="t"/>
              <v:stroke dashstyle="solid"/>
            </v:shape>
            <v:rect style="position:absolute;left:6739;top:205;width:101;height:101" filled="true" fillcolor="#00af50" stroked="false">
              <v:fill type="solid"/>
            </v:rect>
            <v:rect style="position:absolute;left:6739;top:205;width:101;height:101" filled="false" stroked="true" strokeweight=".75pt" strokecolor="#9bba58">
              <v:stroke dashstyle="solid"/>
            </v:rect>
            <w10:wrap type="none"/>
          </v:group>
        </w:pict>
      </w:r>
      <w:r>
        <w:rPr>
          <w:rFonts w:ascii="Times New Roman"/>
          <w:sz w:val="18"/>
        </w:rPr>
        <w:t>Supply</w:t>
        <w:tab/>
        <w:t>Absorption</w:t>
        <w:tab/>
        <w:t>Vacancy</w:t>
      </w:r>
      <w:r>
        <w:rPr>
          <w:rFonts w:ascii="Times New Roman"/>
          <w:spacing w:val="-2"/>
          <w:sz w:val="18"/>
        </w:rPr>
        <w:t> </w:t>
      </w:r>
      <w:r>
        <w:rPr>
          <w:rFonts w:ascii="Times New Roman"/>
          <w:sz w:val="18"/>
        </w:rPr>
        <w:t>(%)</w:t>
      </w:r>
    </w:p>
    <w:p>
      <w:pPr>
        <w:spacing w:before="93"/>
        <w:ind w:left="605" w:right="0" w:firstLine="0"/>
        <w:jc w:val="left"/>
        <w:rPr>
          <w:rFonts w:ascii="Times New Roman"/>
          <w:sz w:val="18"/>
        </w:rPr>
      </w:pPr>
      <w:r>
        <w:rPr/>
        <w:br w:type="column"/>
      </w:r>
      <w:r>
        <w:rPr>
          <w:rFonts w:ascii="Times New Roman"/>
          <w:sz w:val="18"/>
        </w:rPr>
        <w:t>14%</w:t>
      </w:r>
    </w:p>
    <w:p>
      <w:pPr>
        <w:pStyle w:val="BodyText"/>
        <w:spacing w:before="6"/>
        <w:rPr>
          <w:rFonts w:ascii="Times New Roman"/>
          <w:sz w:val="20"/>
        </w:rPr>
      </w:pPr>
    </w:p>
    <w:p>
      <w:pPr>
        <w:spacing w:before="0"/>
        <w:ind w:left="605" w:right="0" w:firstLine="0"/>
        <w:jc w:val="left"/>
        <w:rPr>
          <w:rFonts w:ascii="Times New Roman"/>
          <w:sz w:val="18"/>
        </w:rPr>
      </w:pPr>
      <w:r>
        <w:rPr/>
        <w:pict>
          <v:group style="position:absolute;margin-left:86.096001pt;margin-top:-20.767683pt;width:409.05pt;height:159.8pt;mso-position-horizontal-relative:page;mso-position-vertical-relative:paragraph;z-index:16117760" coordorigin="1722,-415" coordsize="8181,3196">
            <v:rect style="position:absolute;left:1886;top:1375;width:562;height:1395" filled="true" fillcolor="#006a4d" stroked="false">
              <v:fill type="solid"/>
            </v:rect>
            <v:rect style="position:absolute;left:2448;top:540;width:562;height:2231" filled="true" fillcolor="#9bba58" stroked="false">
              <v:fill type="solid"/>
            </v:rect>
            <v:rect style="position:absolute;left:3232;top:581;width:562;height:2190" filled="true" fillcolor="#006a4d" stroked="false">
              <v:fill type="solid"/>
            </v:rect>
            <v:rect style="position:absolute;left:3794;top:55;width:560;height:2715" filled="true" fillcolor="#9bba58" stroked="false">
              <v:fill type="solid"/>
            </v:rect>
            <v:rect style="position:absolute;left:4579;top:799;width:560;height:1971" filled="true" fillcolor="#006a4d" stroked="false">
              <v:fill type="solid"/>
            </v:rect>
            <v:rect style="position:absolute;left:5138;top:250;width:562;height:2521" filled="true" fillcolor="#9bba58" stroked="false">
              <v:fill type="solid"/>
            </v:rect>
            <v:rect style="position:absolute;left:5923;top:1349;width:562;height:1422" filled="true" fillcolor="#006a4d" stroked="false">
              <v:fill type="solid"/>
            </v:rect>
            <v:rect style="position:absolute;left:6484;top:756;width:562;height:2015" filled="true" fillcolor="#9bba58" stroked="false">
              <v:fill type="solid"/>
            </v:rect>
            <v:rect style="position:absolute;left:7269;top:698;width:562;height:2072" filled="true" fillcolor="#006a4d" stroked="false">
              <v:fill type="solid"/>
            </v:rect>
            <v:rect style="position:absolute;left:7831;top:1099;width:560;height:1671" filled="true" fillcolor="#9bba58" stroked="false">
              <v:fill type="solid"/>
            </v:rect>
            <v:rect style="position:absolute;left:8616;top:-31;width:560;height:2802" filled="true" fillcolor="#006a4d" stroked="false">
              <v:fill type="solid"/>
            </v:rect>
            <v:rect style="position:absolute;left:9175;top:206;width:562;height:2564" filled="true" fillcolor="#9bba58" stroked="false">
              <v:fill type="solid"/>
            </v:rect>
            <v:shape style="position:absolute;left:9848;top:-333;width:54;height:3103" coordorigin="9849,-332" coordsize="54,3103" path="m9849,2771l9849,-332m9849,2771l9902,2771m9849,2328l9902,2328m9849,1884l9902,1884m9849,1440l9902,1440m9849,996l9902,996m9849,555l9902,555m9849,111l9902,111m9849,-332l9902,-332e" filled="false" stroked="true" strokeweight=".75pt" strokecolor="#858585">
              <v:path arrowok="t"/>
              <v:stroke dashstyle="solid"/>
            </v:shape>
            <v:shape style="position:absolute;left:1721;top:-333;width:54;height:3103" coordorigin="1722,-332" coordsize="54,3103" path="m1775,2771l1775,-332m1722,2771l1775,2771m1722,2460l1775,2460m1722,2151l1775,2151m1722,1839l1775,1839m1722,1529l1775,1529m1722,1220l1775,1220m1722,910l1775,910m1722,598l1775,598m1722,288l1775,288m1722,-21l1775,-21m1722,-332l1775,-332e" filled="false" stroked="true" strokeweight=".5pt" strokecolor="#000000">
              <v:path arrowok="t"/>
              <v:stroke dashstyle="solid"/>
            </v:shape>
            <v:line style="position:absolute" from="1775,2771" to="9849,2771" stroked="true" strokeweight="1pt" strokecolor="#000000">
              <v:stroke dashstyle="solid"/>
            </v:line>
            <v:shape style="position:absolute;left:2448;top:-57;width:6728;height:1863" coordorigin="2448,-57" coordsize="6728,1863" path="m2448,-57l3794,658,5138,1265,6485,1806,7831,1580,9176,1522e" filled="false" stroked="true" strokeweight="2.25pt" strokecolor="#92d050">
              <v:path arrowok="t"/>
              <v:stroke dashstyle="solid"/>
            </v:shape>
            <v:rect style="position:absolute;left:2377;top:-127;width:140;height:140" filled="true" fillcolor="#00af50" stroked="false">
              <v:fill type="solid"/>
            </v:rect>
            <v:rect style="position:absolute;left:2377;top:-127;width:140;height:140" filled="false" stroked="true" strokeweight=".72pt" strokecolor="#9bba58">
              <v:stroke dashstyle="solid"/>
            </v:rect>
            <v:rect style="position:absolute;left:3723;top:588;width:140;height:140" filled="true" fillcolor="#00af50" stroked="false">
              <v:fill type="solid"/>
            </v:rect>
            <v:rect style="position:absolute;left:3723;top:588;width:140;height:140" filled="false" stroked="true" strokeweight=".72pt" strokecolor="#9bba58">
              <v:stroke dashstyle="solid"/>
            </v:rect>
            <v:rect style="position:absolute;left:5067;top:1195;width:140;height:140" filled="true" fillcolor="#00af50" stroked="false">
              <v:fill type="solid"/>
            </v:rect>
            <v:rect style="position:absolute;left:5067;top:1195;width:140;height:140" filled="false" stroked="true" strokeweight=".72pt" strokecolor="#9bba58">
              <v:stroke dashstyle="solid"/>
            </v:rect>
            <v:rect style="position:absolute;left:6414;top:1735;width:140;height:140" filled="true" fillcolor="#00af50" stroked="false">
              <v:fill type="solid"/>
            </v:rect>
            <v:rect style="position:absolute;left:6414;top:1735;width:140;height:140" filled="false" stroked="true" strokeweight=".72pt" strokecolor="#9bba58">
              <v:stroke dashstyle="solid"/>
            </v:rect>
            <v:rect style="position:absolute;left:7760;top:1510;width:140;height:140" filled="true" fillcolor="#00af50" stroked="false">
              <v:fill type="solid"/>
            </v:rect>
            <v:rect style="position:absolute;left:7760;top:1510;width:140;height:140" filled="false" stroked="true" strokeweight=".72pt" strokecolor="#9bba58">
              <v:stroke dashstyle="solid"/>
            </v:rect>
            <v:rect style="position:absolute;left:9104;top:1452;width:140;height:140" filled="true" fillcolor="#00af50" stroked="false">
              <v:fill type="solid"/>
            </v:rect>
            <v:rect style="position:absolute;left:9104;top:1452;width:140;height:140" filled="false" stroked="true" strokeweight=".72pt" strokecolor="#9bba58">
              <v:stroke dashstyle="solid"/>
            </v:rect>
            <v:line style="position:absolute" from="3794,658" to="3914,548" stroked="true" strokeweight=".75pt" strokecolor="#000000">
              <v:stroke dashstyle="solid"/>
            </v:line>
            <v:shape style="position:absolute;left:2212;top:-416;width:489;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12.8%</w:t>
                    </w:r>
                  </w:p>
                </w:txbxContent>
              </v:textbox>
              <w10:wrap type="none"/>
            </v:shape>
            <v:shape style="position:absolute;left:3959;top:-232;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4.4</w:t>
                    </w:r>
                  </w:p>
                </w:txbxContent>
              </v:textbox>
              <w10:wrap type="none"/>
            </v:shape>
            <v:shape style="position:absolute;left:8782;top:-319;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4.5</w:t>
                    </w:r>
                  </w:p>
                </w:txbxContent>
              </v:textbox>
              <w10:wrap type="none"/>
            </v:shape>
            <v:shape style="position:absolute;left:5305;top:-39;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4.1</w:t>
                    </w:r>
                  </w:p>
                </w:txbxContent>
              </v:textbox>
              <w10:wrap type="none"/>
            </v:shape>
            <v:shape style="position:absolute;left:9342;top:-83;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4.1</w:t>
                    </w:r>
                  </w:p>
                </w:txbxContent>
              </v:textbox>
              <w10:wrap type="none"/>
            </v:shape>
            <v:shape style="position:absolute;left:2613;top:252;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3.6</w:t>
                    </w:r>
                  </w:p>
                </w:txbxContent>
              </v:textbox>
              <w10:wrap type="none"/>
            </v:shape>
            <v:shape style="position:absolute;left:3398;top:293;width:724;height:226" type="#_x0000_t202" filled="false" stroked="false">
              <v:textbox inset="0,0,0,0">
                <w:txbxContent>
                  <w:p>
                    <w:pPr>
                      <w:spacing w:line="225" w:lineRule="exact" w:before="0"/>
                      <w:ind w:left="0" w:right="0" w:firstLine="0"/>
                      <w:jc w:val="left"/>
                      <w:rPr>
                        <w:rFonts w:ascii="Times New Roman"/>
                        <w:sz w:val="18"/>
                      </w:rPr>
                    </w:pPr>
                    <w:r>
                      <w:rPr>
                        <w:rFonts w:ascii="Times New Roman"/>
                        <w:position w:val="3"/>
                        <w:sz w:val="18"/>
                      </w:rPr>
                      <w:t>3.5 </w:t>
                    </w:r>
                    <w:r>
                      <w:rPr>
                        <w:rFonts w:ascii="Times New Roman"/>
                        <w:sz w:val="18"/>
                      </w:rPr>
                      <w:t>9.5%</w:t>
                    </w:r>
                  </w:p>
                </w:txbxContent>
              </v:textbox>
              <w10:wrap type="none"/>
            </v:shape>
            <v:shape style="position:absolute;left:4744;top:511;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3.2</w:t>
                    </w:r>
                  </w:p>
                </w:txbxContent>
              </v:textbox>
              <w10:wrap type="none"/>
            </v:shape>
            <v:shape style="position:absolute;left:6650;top:466;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3.2</w:t>
                    </w:r>
                  </w:p>
                </w:txbxContent>
              </v:textbox>
              <w10:wrap type="none"/>
            </v:shape>
            <v:shape style="position:absolute;left:7436;top:409;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3.3</w:t>
                    </w:r>
                  </w:p>
                </w:txbxContent>
              </v:textbox>
              <w10:wrap type="none"/>
            </v:shape>
            <v:shape style="position:absolute;left:4950;top:907;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6.8%</w:t>
                    </w:r>
                  </w:p>
                </w:txbxContent>
              </v:textbox>
              <w10:wrap type="none"/>
            </v:shape>
            <v:shape style="position:absolute;left:7996;top:810;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2.7</w:t>
                    </w:r>
                  </w:p>
                </w:txbxContent>
              </v:textbox>
              <w10:wrap type="none"/>
            </v:shape>
            <v:shape style="position:absolute;left:2052;top:1087;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2.2</w:t>
                    </w:r>
                  </w:p>
                </w:txbxContent>
              </v:textbox>
              <w10:wrap type="none"/>
            </v:shape>
            <v:shape style="position:absolute;left:6090;top:1061;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2.3</w:t>
                    </w:r>
                  </w:p>
                </w:txbxContent>
              </v:textbox>
              <w10:wrap type="none"/>
            </v:shape>
            <v:shape style="position:absolute;left:7642;top:1220;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5.4%</w:t>
                    </w:r>
                  </w:p>
                </w:txbxContent>
              </v:textbox>
              <w10:wrap type="none"/>
            </v:shape>
            <v:shape style="position:absolute;left:8988;top:1163;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5.6%</w:t>
                    </w:r>
                  </w:p>
                </w:txbxContent>
              </v:textbox>
              <w10:wrap type="none"/>
            </v:shape>
            <v:shape style="position:absolute;left:6296;top:1447;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4.4%</w:t>
                    </w:r>
                  </w:p>
                </w:txbxContent>
              </v:textbox>
              <w10:wrap type="none"/>
            </v:shape>
            <w10:wrap type="none"/>
          </v:group>
        </w:pict>
      </w:r>
      <w:r>
        <w:rPr>
          <w:rFonts w:ascii="Times New Roman"/>
          <w:sz w:val="18"/>
        </w:rPr>
        <w:t>12%</w:t>
      </w:r>
    </w:p>
    <w:p>
      <w:pPr>
        <w:pStyle w:val="BodyText"/>
        <w:spacing w:before="6"/>
        <w:rPr>
          <w:rFonts w:ascii="Times New Roman"/>
          <w:sz w:val="20"/>
        </w:rPr>
      </w:pPr>
    </w:p>
    <w:p>
      <w:pPr>
        <w:spacing w:before="0"/>
        <w:ind w:left="605" w:right="0" w:firstLine="0"/>
        <w:jc w:val="left"/>
        <w:rPr>
          <w:rFonts w:ascii="Times New Roman"/>
          <w:sz w:val="18"/>
        </w:rPr>
      </w:pPr>
      <w:r>
        <w:rPr>
          <w:rFonts w:ascii="Times New Roman"/>
          <w:sz w:val="18"/>
        </w:rPr>
        <w:t>10%</w:t>
      </w:r>
    </w:p>
    <w:p>
      <w:pPr>
        <w:pStyle w:val="BodyText"/>
        <w:spacing w:before="6"/>
        <w:rPr>
          <w:rFonts w:ascii="Times New Roman"/>
          <w:sz w:val="20"/>
        </w:rPr>
      </w:pPr>
    </w:p>
    <w:p>
      <w:pPr>
        <w:spacing w:before="0"/>
        <w:ind w:left="605" w:right="0" w:firstLine="0"/>
        <w:jc w:val="left"/>
        <w:rPr>
          <w:rFonts w:ascii="Times New Roman"/>
          <w:sz w:val="18"/>
        </w:rPr>
      </w:pPr>
      <w:r>
        <w:rPr/>
        <w:pict>
          <v:shape style="position:absolute;margin-left:531.768005pt;margin-top:-4.427671pt;width:12pt;height:49.15pt;mso-position-horizontal-relative:page;mso-position-vertical-relative:paragraph;z-index:16120320" type="#_x0000_t202" filled="false" stroked="false">
            <v:textbox inset="0,0,0,0" style="layout-flow:vertical">
              <w:txbxContent>
                <w:p>
                  <w:pPr>
                    <w:spacing w:before="12"/>
                    <w:ind w:left="20" w:right="0" w:firstLine="0"/>
                    <w:jc w:val="left"/>
                    <w:rPr>
                      <w:rFonts w:ascii="Times New Roman"/>
                      <w:sz w:val="18"/>
                    </w:rPr>
                  </w:pPr>
                  <w:r>
                    <w:rPr>
                      <w:rFonts w:ascii="Times New Roman"/>
                      <w:sz w:val="18"/>
                    </w:rPr>
                    <w:t>Vacancy (%)</w:t>
                  </w:r>
                </w:p>
              </w:txbxContent>
            </v:textbox>
            <w10:wrap type="none"/>
          </v:shape>
        </w:pict>
      </w:r>
      <w:r>
        <w:rPr>
          <w:rFonts w:ascii="Times New Roman"/>
          <w:sz w:val="18"/>
        </w:rPr>
        <w:t>8%</w:t>
      </w:r>
    </w:p>
    <w:p>
      <w:pPr>
        <w:pStyle w:val="BodyText"/>
        <w:spacing w:before="7"/>
        <w:rPr>
          <w:rFonts w:ascii="Times New Roman"/>
          <w:sz w:val="20"/>
        </w:rPr>
      </w:pPr>
    </w:p>
    <w:p>
      <w:pPr>
        <w:spacing w:before="0"/>
        <w:ind w:left="605" w:right="0" w:firstLine="0"/>
        <w:jc w:val="left"/>
        <w:rPr>
          <w:rFonts w:ascii="Times New Roman"/>
          <w:sz w:val="18"/>
        </w:rPr>
      </w:pPr>
      <w:r>
        <w:rPr>
          <w:rFonts w:ascii="Times New Roman"/>
          <w:sz w:val="18"/>
        </w:rPr>
        <w:t>6%</w:t>
      </w:r>
    </w:p>
    <w:p>
      <w:pPr>
        <w:pStyle w:val="BodyText"/>
        <w:spacing w:before="6"/>
        <w:rPr>
          <w:rFonts w:ascii="Times New Roman"/>
          <w:sz w:val="20"/>
        </w:rPr>
      </w:pPr>
    </w:p>
    <w:p>
      <w:pPr>
        <w:spacing w:before="0"/>
        <w:ind w:left="605" w:right="0" w:firstLine="0"/>
        <w:jc w:val="left"/>
        <w:rPr>
          <w:rFonts w:ascii="Times New Roman"/>
          <w:sz w:val="18"/>
        </w:rPr>
      </w:pPr>
      <w:r>
        <w:rPr>
          <w:rFonts w:ascii="Times New Roman"/>
          <w:sz w:val="18"/>
        </w:rPr>
        <w:t>4%</w:t>
      </w:r>
    </w:p>
    <w:p>
      <w:pPr>
        <w:pStyle w:val="BodyText"/>
        <w:spacing w:before="6"/>
        <w:rPr>
          <w:rFonts w:ascii="Times New Roman"/>
          <w:sz w:val="20"/>
        </w:rPr>
      </w:pPr>
    </w:p>
    <w:p>
      <w:pPr>
        <w:spacing w:before="1"/>
        <w:ind w:left="605" w:right="0" w:firstLine="0"/>
        <w:jc w:val="left"/>
        <w:rPr>
          <w:rFonts w:ascii="Times New Roman"/>
          <w:sz w:val="18"/>
        </w:rPr>
      </w:pPr>
      <w:r>
        <w:rPr>
          <w:rFonts w:ascii="Times New Roman"/>
          <w:sz w:val="18"/>
        </w:rPr>
        <w:t>2%</w:t>
      </w:r>
    </w:p>
    <w:p>
      <w:pPr>
        <w:pStyle w:val="BodyText"/>
        <w:spacing w:before="5"/>
        <w:rPr>
          <w:rFonts w:ascii="Times New Roman"/>
          <w:sz w:val="20"/>
        </w:rPr>
      </w:pPr>
    </w:p>
    <w:p>
      <w:pPr>
        <w:spacing w:before="1"/>
        <w:ind w:left="605" w:right="0" w:firstLine="0"/>
        <w:jc w:val="left"/>
        <w:rPr>
          <w:rFonts w:ascii="Times New Roman"/>
          <w:sz w:val="18"/>
        </w:rPr>
      </w:pPr>
      <w:r>
        <w:rPr>
          <w:rFonts w:ascii="Times New Roman"/>
          <w:sz w:val="18"/>
        </w:rPr>
        <w:t>0%</w:t>
      </w:r>
    </w:p>
    <w:p>
      <w:pPr>
        <w:spacing w:after="0"/>
        <w:jc w:val="left"/>
        <w:rPr>
          <w:rFonts w:ascii="Times New Roman"/>
          <w:sz w:val="18"/>
        </w:rPr>
        <w:sectPr>
          <w:type w:val="continuous"/>
          <w:pgSz w:w="11910" w:h="16840"/>
          <w:pgMar w:top="800" w:bottom="280" w:left="500" w:right="480"/>
          <w:cols w:num="3" w:equalWidth="0">
            <w:col w:w="1123" w:space="40"/>
            <w:col w:w="7697" w:space="39"/>
            <w:col w:w="2031"/>
          </w:cols>
        </w:sectPr>
      </w:pPr>
    </w:p>
    <w:p>
      <w:pPr>
        <w:tabs>
          <w:tab w:pos="3633" w:val="left" w:leader="none"/>
          <w:tab w:pos="10808" w:val="left" w:leader="none"/>
        </w:tabs>
        <w:spacing w:before="117"/>
        <w:ind w:left="102" w:right="0" w:firstLine="0"/>
        <w:jc w:val="left"/>
        <w:rPr>
          <w:b/>
          <w:sz w:val="18"/>
        </w:rPr>
      </w:pPr>
      <w:r>
        <w:rPr>
          <w:b/>
          <w:color w:val="FFFFFF"/>
          <w:w w:val="103"/>
          <w:sz w:val="18"/>
          <w:shd w:fill="006A4D" w:color="auto" w:val="clear"/>
        </w:rPr>
        <w:t> </w:t>
      </w:r>
      <w:r>
        <w:rPr>
          <w:b/>
          <w:color w:val="FFFFFF"/>
          <w:sz w:val="18"/>
          <w:shd w:fill="006A4D" w:color="auto" w:val="clear"/>
        </w:rPr>
        <w:tab/>
      </w:r>
      <w:r>
        <w:rPr>
          <w:b/>
          <w:color w:val="FFFFFF"/>
          <w:w w:val="115"/>
          <w:sz w:val="18"/>
          <w:shd w:fill="006A4D" w:color="auto" w:val="clear"/>
        </w:rPr>
        <w:t>Demand</w:t>
      </w:r>
      <w:r>
        <w:rPr>
          <w:b/>
          <w:color w:val="FFFFFF"/>
          <w:spacing w:val="-40"/>
          <w:w w:val="115"/>
          <w:sz w:val="18"/>
          <w:shd w:fill="006A4D" w:color="auto" w:val="clear"/>
        </w:rPr>
        <w:t> </w:t>
      </w:r>
      <w:r>
        <w:rPr>
          <w:b/>
          <w:color w:val="FFFFFF"/>
          <w:w w:val="115"/>
          <w:sz w:val="18"/>
          <w:shd w:fill="006A4D" w:color="auto" w:val="clear"/>
        </w:rPr>
        <w:t>–</w:t>
      </w:r>
      <w:r>
        <w:rPr>
          <w:b/>
          <w:color w:val="FFFFFF"/>
          <w:spacing w:val="-40"/>
          <w:w w:val="115"/>
          <w:sz w:val="18"/>
          <w:shd w:fill="006A4D" w:color="auto" w:val="clear"/>
        </w:rPr>
        <w:t> </w:t>
      </w:r>
      <w:r>
        <w:rPr>
          <w:b/>
          <w:color w:val="FFFFFF"/>
          <w:w w:val="115"/>
          <w:sz w:val="18"/>
          <w:shd w:fill="006A4D" w:color="auto" w:val="clear"/>
        </w:rPr>
        <w:t>Supply</w:t>
      </w:r>
      <w:r>
        <w:rPr>
          <w:b/>
          <w:color w:val="FFFFFF"/>
          <w:spacing w:val="-40"/>
          <w:w w:val="115"/>
          <w:sz w:val="18"/>
          <w:shd w:fill="006A4D" w:color="auto" w:val="clear"/>
        </w:rPr>
        <w:t> </w:t>
      </w:r>
      <w:r>
        <w:rPr>
          <w:b/>
          <w:color w:val="FFFFFF"/>
          <w:w w:val="115"/>
          <w:sz w:val="18"/>
          <w:shd w:fill="006A4D" w:color="auto" w:val="clear"/>
        </w:rPr>
        <w:t>Dynamics</w:t>
      </w:r>
      <w:r>
        <w:rPr>
          <w:b/>
          <w:color w:val="FFFFFF"/>
          <w:spacing w:val="-40"/>
          <w:w w:val="115"/>
          <w:sz w:val="18"/>
          <w:shd w:fill="006A4D" w:color="auto" w:val="clear"/>
        </w:rPr>
        <w:t> </w:t>
      </w:r>
      <w:r>
        <w:rPr>
          <w:b/>
          <w:color w:val="FFFFFF"/>
          <w:w w:val="115"/>
          <w:sz w:val="18"/>
          <w:shd w:fill="006A4D" w:color="auto" w:val="clear"/>
        </w:rPr>
        <w:t>(West</w:t>
      </w:r>
      <w:r>
        <w:rPr>
          <w:b/>
          <w:color w:val="FFFFFF"/>
          <w:spacing w:val="-40"/>
          <w:w w:val="115"/>
          <w:sz w:val="18"/>
          <w:shd w:fill="006A4D" w:color="auto" w:val="clear"/>
        </w:rPr>
        <w:t> </w:t>
      </w:r>
      <w:r>
        <w:rPr>
          <w:b/>
          <w:color w:val="FFFFFF"/>
          <w:w w:val="115"/>
          <w:sz w:val="18"/>
          <w:shd w:fill="006A4D" w:color="auto" w:val="clear"/>
        </w:rPr>
        <w:t>Pune)</w:t>
      </w:r>
      <w:r>
        <w:rPr>
          <w:b/>
          <w:color w:val="FFFFFF"/>
          <w:sz w:val="18"/>
          <w:shd w:fill="006A4D" w:color="auto" w:val="clear"/>
        </w:rPr>
        <w:tab/>
      </w:r>
    </w:p>
    <w:p>
      <w:pPr>
        <w:pStyle w:val="BodyText"/>
        <w:spacing w:before="2"/>
        <w:rPr>
          <w:b/>
          <w:sz w:val="25"/>
        </w:rPr>
      </w:pPr>
    </w:p>
    <w:p>
      <w:pPr>
        <w:spacing w:after="0"/>
        <w:rPr>
          <w:sz w:val="25"/>
        </w:rPr>
        <w:sectPr>
          <w:type w:val="continuous"/>
          <w:pgSz w:w="11910" w:h="16840"/>
          <w:pgMar w:top="800" w:bottom="280" w:left="500" w:right="480"/>
        </w:sectPr>
      </w:pPr>
    </w:p>
    <w:p>
      <w:pPr>
        <w:spacing w:before="92"/>
        <w:ind w:left="0" w:right="0" w:firstLine="0"/>
        <w:jc w:val="right"/>
        <w:rPr>
          <w:rFonts w:ascii="Times New Roman"/>
          <w:sz w:val="18"/>
        </w:rPr>
      </w:pPr>
      <w:r>
        <w:rPr>
          <w:rFonts w:ascii="Times New Roman"/>
          <w:spacing w:val="-1"/>
          <w:sz w:val="18"/>
        </w:rPr>
        <w:t>1.6</w:t>
      </w:r>
    </w:p>
    <w:p>
      <w:pPr>
        <w:spacing w:before="174"/>
        <w:ind w:left="0" w:right="0" w:firstLine="0"/>
        <w:jc w:val="right"/>
        <w:rPr>
          <w:rFonts w:ascii="Times New Roman"/>
          <w:sz w:val="18"/>
        </w:rPr>
      </w:pPr>
      <w:r>
        <w:rPr>
          <w:rFonts w:ascii="Times New Roman"/>
          <w:spacing w:val="-1"/>
          <w:sz w:val="18"/>
        </w:rPr>
        <w:t>1.4</w:t>
      </w:r>
    </w:p>
    <w:p>
      <w:pPr>
        <w:spacing w:before="174"/>
        <w:ind w:left="0" w:right="0" w:firstLine="0"/>
        <w:jc w:val="right"/>
        <w:rPr>
          <w:rFonts w:ascii="Times New Roman"/>
          <w:sz w:val="18"/>
        </w:rPr>
      </w:pPr>
      <w:r>
        <w:rPr/>
        <w:pict>
          <v:shape style="position:absolute;margin-left:54.603977pt;margin-top:13.002932pt;width:12pt;height:71.55pt;mso-position-horizontal-relative:page;mso-position-vertical-relative:paragraph;z-index:16121344" type="#_x0000_t202" filled="false" stroked="false">
            <v:textbox inset="0,0,0,0" style="layout-flow:vertical;mso-layout-flow-alt:bottom-to-top">
              <w:txbxContent>
                <w:p>
                  <w:pPr>
                    <w:spacing w:before="12"/>
                    <w:ind w:left="20" w:right="0" w:firstLine="0"/>
                    <w:jc w:val="left"/>
                    <w:rPr>
                      <w:rFonts w:ascii="Times New Roman"/>
                      <w:sz w:val="18"/>
                    </w:rPr>
                  </w:pPr>
                  <w:r>
                    <w:rPr>
                      <w:rFonts w:ascii="Times New Roman"/>
                      <w:sz w:val="18"/>
                    </w:rPr>
                    <w:t>Area (million sq ft)</w:t>
                  </w:r>
                </w:p>
              </w:txbxContent>
            </v:textbox>
            <w10:wrap type="none"/>
          </v:shape>
        </w:pict>
      </w:r>
      <w:r>
        <w:rPr>
          <w:rFonts w:ascii="Times New Roman"/>
          <w:spacing w:val="-1"/>
          <w:sz w:val="18"/>
        </w:rPr>
        <w:t>1.2</w:t>
      </w:r>
    </w:p>
    <w:p>
      <w:pPr>
        <w:spacing w:before="175"/>
        <w:ind w:left="0" w:right="0" w:firstLine="0"/>
        <w:jc w:val="right"/>
        <w:rPr>
          <w:rFonts w:ascii="Times New Roman"/>
          <w:sz w:val="18"/>
        </w:rPr>
      </w:pPr>
      <w:r>
        <w:rPr>
          <w:rFonts w:ascii="Times New Roman"/>
          <w:spacing w:val="-1"/>
          <w:sz w:val="18"/>
        </w:rPr>
        <w:t>1.0</w:t>
      </w:r>
    </w:p>
    <w:p>
      <w:pPr>
        <w:spacing w:before="174"/>
        <w:ind w:left="0" w:right="0" w:firstLine="0"/>
        <w:jc w:val="right"/>
        <w:rPr>
          <w:rFonts w:ascii="Times New Roman"/>
          <w:sz w:val="18"/>
        </w:rPr>
      </w:pPr>
      <w:r>
        <w:rPr>
          <w:rFonts w:ascii="Times New Roman"/>
          <w:spacing w:val="-1"/>
          <w:sz w:val="18"/>
        </w:rPr>
        <w:t>0.8</w:t>
      </w:r>
    </w:p>
    <w:p>
      <w:pPr>
        <w:spacing w:before="174"/>
        <w:ind w:left="0" w:right="0" w:firstLine="0"/>
        <w:jc w:val="right"/>
        <w:rPr>
          <w:rFonts w:ascii="Times New Roman"/>
          <w:sz w:val="18"/>
        </w:rPr>
      </w:pPr>
      <w:r>
        <w:rPr>
          <w:rFonts w:ascii="Times New Roman"/>
          <w:spacing w:val="-1"/>
          <w:sz w:val="18"/>
        </w:rPr>
        <w:t>0.6</w:t>
      </w:r>
    </w:p>
    <w:p>
      <w:pPr>
        <w:spacing w:before="175"/>
        <w:ind w:left="0" w:right="0" w:firstLine="0"/>
        <w:jc w:val="right"/>
        <w:rPr>
          <w:rFonts w:ascii="Times New Roman"/>
          <w:sz w:val="18"/>
        </w:rPr>
      </w:pPr>
      <w:r>
        <w:rPr>
          <w:rFonts w:ascii="Times New Roman"/>
          <w:spacing w:val="-1"/>
          <w:sz w:val="18"/>
        </w:rPr>
        <w:t>0.4</w:t>
      </w:r>
    </w:p>
    <w:p>
      <w:pPr>
        <w:spacing w:before="174"/>
        <w:ind w:left="0" w:right="0" w:firstLine="0"/>
        <w:jc w:val="right"/>
        <w:rPr>
          <w:rFonts w:ascii="Times New Roman"/>
          <w:sz w:val="18"/>
        </w:rPr>
      </w:pPr>
      <w:r>
        <w:rPr>
          <w:rFonts w:ascii="Times New Roman"/>
          <w:spacing w:val="-1"/>
          <w:sz w:val="18"/>
        </w:rPr>
        <w:t>0.2</w:t>
      </w:r>
    </w:p>
    <w:p>
      <w:pPr>
        <w:spacing w:before="174"/>
        <w:ind w:left="0" w:right="0" w:firstLine="0"/>
        <w:jc w:val="right"/>
        <w:rPr>
          <w:rFonts w:ascii="Times New Roman"/>
          <w:sz w:val="18"/>
        </w:rPr>
      </w:pPr>
      <w:r>
        <w:rPr>
          <w:rFonts w:ascii="Times New Roman"/>
          <w:spacing w:val="-1"/>
          <w:sz w:val="18"/>
        </w:rPr>
        <w:t>0.0</w:t>
      </w:r>
    </w:p>
    <w:p>
      <w:pPr>
        <w:pStyle w:val="BodyText"/>
        <w:rPr>
          <w:rFonts w:ascii="Times New Roman"/>
          <w:sz w:val="20"/>
        </w:rPr>
      </w:pPr>
      <w:r>
        <w:rPr/>
        <w:br w:type="column"/>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tabs>
          <w:tab w:pos="1952" w:val="left" w:leader="none"/>
          <w:tab w:pos="3298" w:val="left" w:leader="none"/>
          <w:tab w:pos="4644" w:val="left" w:leader="none"/>
          <w:tab w:pos="5990" w:val="left" w:leader="none"/>
          <w:tab w:pos="7335" w:val="left" w:leader="none"/>
        </w:tabs>
        <w:spacing w:before="133"/>
        <w:ind w:left="606" w:right="0" w:firstLine="0"/>
        <w:jc w:val="left"/>
        <w:rPr>
          <w:rFonts w:ascii="Times New Roman"/>
          <w:sz w:val="18"/>
        </w:rPr>
      </w:pPr>
      <w:r>
        <w:rPr>
          <w:rFonts w:ascii="Times New Roman"/>
          <w:sz w:val="18"/>
        </w:rPr>
        <w:t>2014</w:t>
        <w:tab/>
        <w:t>2015</w:t>
        <w:tab/>
        <w:t>2016</w:t>
        <w:tab/>
        <w:t>2017</w:t>
        <w:tab/>
        <w:t>2018</w:t>
        <w:tab/>
      </w:r>
      <w:r>
        <w:rPr>
          <w:rFonts w:ascii="Times New Roman"/>
          <w:spacing w:val="-5"/>
          <w:sz w:val="18"/>
        </w:rPr>
        <w:t>2019</w:t>
      </w:r>
    </w:p>
    <w:p>
      <w:pPr>
        <w:tabs>
          <w:tab w:pos="3798" w:val="left" w:leader="none"/>
          <w:tab w:pos="5361" w:val="left" w:leader="none"/>
        </w:tabs>
        <w:spacing w:before="136"/>
        <w:ind w:left="2534" w:right="0" w:firstLine="0"/>
        <w:jc w:val="left"/>
        <w:rPr>
          <w:rFonts w:ascii="Times New Roman"/>
          <w:sz w:val="18"/>
        </w:rPr>
      </w:pPr>
      <w:r>
        <w:rPr/>
        <w:pict>
          <v:rect style="position:absolute;margin-left:194.509995pt;margin-top:10.058057pt;width:19.2pt;height:4.4843pt;mso-position-horizontal-relative:page;mso-position-vertical-relative:paragraph;z-index:16107520" filled="true" fillcolor="#006a4d" stroked="false">
            <v:fill type="solid"/>
            <w10:wrap type="none"/>
          </v:rect>
        </w:pict>
      </w:r>
      <w:r>
        <w:rPr/>
        <w:pict>
          <v:rect style="position:absolute;margin-left:257.670013pt;margin-top:10.058057pt;width:19.2pt;height:4.4843pt;mso-position-horizontal-relative:page;mso-position-vertical-relative:paragraph;z-index:-34520064" filled="true" fillcolor="#9bba58" stroked="false">
            <v:fill type="solid"/>
            <w10:wrap type="none"/>
          </v:rect>
        </w:pict>
      </w:r>
      <w:r>
        <w:rPr/>
        <w:pict>
          <v:group style="position:absolute;margin-left:335.820007pt;margin-top:9.307357pt;width:19.2pt;height:5.8pt;mso-position-horizontal-relative:page;mso-position-vertical-relative:paragraph;z-index:-34519552" coordorigin="6716,186" coordsize="384,116">
            <v:shape style="position:absolute;left:6716;top:246;width:384;height:2" coordorigin="6716,246" coordsize="384,0" path="m6716,246l6857,246m6958,246l7100,246e" filled="false" stroked="true" strokeweight="2.25pt" strokecolor="#92d050">
              <v:path arrowok="t"/>
              <v:stroke dashstyle="solid"/>
            </v:shape>
            <v:rect style="position:absolute;left:6856;top:193;width:101;height:101" filled="true" fillcolor="#00af50" stroked="false">
              <v:fill type="solid"/>
            </v:rect>
            <v:rect style="position:absolute;left:6856;top:193;width:101;height:101" filled="false" stroked="true" strokeweight=".75pt" strokecolor="#9bba58">
              <v:stroke dashstyle="solid"/>
            </v:rect>
            <w10:wrap type="none"/>
          </v:group>
        </w:pict>
      </w:r>
      <w:r>
        <w:rPr>
          <w:rFonts w:ascii="Times New Roman"/>
          <w:sz w:val="18"/>
        </w:rPr>
        <w:t>Supply</w:t>
        <w:tab/>
        <w:t>Absorption</w:t>
        <w:tab/>
        <w:t>Vacancy</w:t>
      </w:r>
      <w:r>
        <w:rPr>
          <w:rFonts w:ascii="Times New Roman"/>
          <w:spacing w:val="-2"/>
          <w:sz w:val="18"/>
        </w:rPr>
        <w:t> </w:t>
      </w:r>
      <w:r>
        <w:rPr>
          <w:rFonts w:ascii="Times New Roman"/>
          <w:sz w:val="18"/>
        </w:rPr>
        <w:t>(%)</w:t>
      </w:r>
    </w:p>
    <w:p>
      <w:pPr>
        <w:spacing w:before="92"/>
        <w:ind w:left="605" w:right="0" w:firstLine="0"/>
        <w:jc w:val="left"/>
        <w:rPr>
          <w:rFonts w:ascii="Times New Roman"/>
          <w:sz w:val="18"/>
        </w:rPr>
      </w:pPr>
      <w:r>
        <w:rPr/>
        <w:br w:type="column"/>
      </w:r>
      <w:r>
        <w:rPr>
          <w:rFonts w:ascii="Times New Roman"/>
          <w:sz w:val="18"/>
        </w:rPr>
        <w:t>16%</w:t>
      </w:r>
    </w:p>
    <w:p>
      <w:pPr>
        <w:spacing w:before="174"/>
        <w:ind w:left="605" w:right="0" w:firstLine="0"/>
        <w:jc w:val="left"/>
        <w:rPr>
          <w:rFonts w:ascii="Times New Roman"/>
          <w:sz w:val="18"/>
        </w:rPr>
      </w:pPr>
      <w:r>
        <w:rPr/>
        <w:pict>
          <v:group style="position:absolute;margin-left:92.021004pt;margin-top:-9.707678pt;width:409.05pt;height:157.85pt;mso-position-horizontal-relative:page;mso-position-vertical-relative:paragraph;z-index:16107008" coordorigin="1840,-194" coordsize="8181,3157">
            <v:rect style="position:absolute;left:3350;top:94;width:562;height:2858" filled="true" fillcolor="#006a4d" stroked="false">
              <v:fill type="solid"/>
            </v:rect>
            <v:rect style="position:absolute;left:3912;top:783;width:562;height:2170" filled="true" fillcolor="#9bba58" stroked="false">
              <v:fill type="solid"/>
            </v:rect>
            <v:rect style="position:absolute;left:4696;top:1781;width:562;height:1171" filled="true" fillcolor="#006a4d" stroked="false">
              <v:fill type="solid"/>
            </v:rect>
            <v:rect style="position:absolute;left:5258;top:1438;width:560;height:1514" filled="true" fillcolor="#9bba58" stroked="false">
              <v:fill type="solid"/>
            </v:rect>
            <v:rect style="position:absolute;left:7387;top:1798;width:562;height:1154" filled="true" fillcolor="#006a4d" stroked="false">
              <v:fill type="solid"/>
            </v:rect>
            <v:shape style="position:absolute;left:2565;top:1152;width:7289;height:1800" coordorigin="2566,1153" coordsize="7289,1800" path="m3127,2480l2566,2480,2566,2952,3127,2952,3127,2480xm7164,2415l6602,2415,6602,2952,7164,2952,7164,2415xm8510,1153l7949,1153,7949,2952,8510,2952,8510,1153xm9854,2744l9295,2744,9295,2952,9854,2952,9854,2744xe" filled="true" fillcolor="#9bba58" stroked="false">
              <v:path arrowok="t"/>
              <v:fill type="solid"/>
            </v:shape>
            <v:shape style="position:absolute;left:9967;top:-97;width:54;height:3049" coordorigin="9967,-96" coordsize="54,3049" path="m9967,2952l9967,-96m9967,2952l10021,2952m9967,2571l10021,2571m9967,2190l10021,2190m9967,1808l10021,1808m9967,1429l10021,1429m9967,1047l10021,1047m9967,666l10021,666m9967,284l10021,284m9967,-96l10021,-96e" filled="false" stroked="true" strokeweight=".75pt" strokecolor="#858585">
              <v:path arrowok="t"/>
              <v:stroke dashstyle="solid"/>
            </v:shape>
            <v:shape style="position:absolute;left:1840;top:-97;width:54;height:3049" coordorigin="1840,-96" coordsize="54,3049" path="m1894,2952l1894,-96m1840,2952l1894,2952m1840,2571l1894,2571m1840,2190l1894,2190m1840,1808l1894,1808m1840,1429l1894,1429m1840,1047l1894,1047m1840,666l1894,666m1840,284l1894,284m1840,-96l1894,-96e" filled="false" stroked="true" strokeweight=".5pt" strokecolor="#000000">
              <v:path arrowok="t"/>
              <v:stroke dashstyle="solid"/>
            </v:shape>
            <v:line style="position:absolute" from="1894,2952" to="9967,2952" stroked="true" strokeweight="1pt" strokecolor="#000000">
              <v:stroke dashstyle="solid"/>
            </v:line>
            <v:shape style="position:absolute;left:2566;top:215;width:6728;height:2074" coordorigin="2567,215" coordsize="6728,2074" path="m2567,601l3912,215,5258,759,6602,1333,7949,2079,9294,2289e" filled="false" stroked="true" strokeweight="2.25pt" strokecolor="#92d050">
              <v:path arrowok="t"/>
              <v:stroke dashstyle="solid"/>
            </v:shape>
            <v:rect style="position:absolute;left:2496;top:532;width:140;height:140" filled="true" fillcolor="#00af50" stroked="false">
              <v:fill type="solid"/>
            </v:rect>
            <v:rect style="position:absolute;left:2496;top:532;width:140;height:140" filled="false" stroked="true" strokeweight=".72pt" strokecolor="#9bba58">
              <v:stroke dashstyle="solid"/>
            </v:rect>
            <v:rect style="position:absolute;left:3842;top:146;width:140;height:140" filled="true" fillcolor="#00af50" stroked="false">
              <v:fill type="solid"/>
            </v:rect>
            <v:rect style="position:absolute;left:3842;top:146;width:140;height:140" filled="false" stroked="true" strokeweight=".72pt" strokecolor="#9bba58">
              <v:stroke dashstyle="solid"/>
            </v:rect>
            <v:rect style="position:absolute;left:5188;top:690;width:140;height:140" filled="true" fillcolor="#00af50" stroked="false">
              <v:fill type="solid"/>
            </v:rect>
            <v:rect style="position:absolute;left:5188;top:690;width:140;height:140" filled="false" stroked="true" strokeweight=".72pt" strokecolor="#9bba58">
              <v:stroke dashstyle="solid"/>
            </v:rect>
            <v:rect style="position:absolute;left:6532;top:1264;width:140;height:140" filled="true" fillcolor="#00af50" stroked="false">
              <v:fill type="solid"/>
            </v:rect>
            <v:rect style="position:absolute;left:6532;top:1264;width:140;height:140" filled="false" stroked="true" strokeweight=".72pt" strokecolor="#9bba58">
              <v:stroke dashstyle="solid"/>
            </v:rect>
            <v:rect style="position:absolute;left:7879;top:2010;width:140;height:140" filled="true" fillcolor="#00af50" stroked="false">
              <v:fill type="solid"/>
            </v:rect>
            <v:rect style="position:absolute;left:7879;top:2010;width:140;height:140" filled="false" stroked="true" strokeweight=".72pt" strokecolor="#9bba58">
              <v:stroke dashstyle="solid"/>
            </v:rect>
            <v:rect style="position:absolute;left:9225;top:2222;width:140;height:140" filled="true" fillcolor="#00af50" stroked="false">
              <v:fill type="solid"/>
            </v:rect>
            <v:rect style="position:absolute;left:9225;top:2222;width:140;height:140" filled="false" stroked="true" strokeweight=".72pt" strokecolor="#9bba58">
              <v:stroke dashstyle="solid"/>
            </v:rect>
            <v:line style="position:absolute" from="3912,215" to="4072,105" stroked="true" strokeweight=".75pt" strokecolor="#000000">
              <v:stroke dashstyle="solid"/>
            </v:line>
            <v:shape style="position:absolute;left:3517;top:-195;width:810;height:271" type="#_x0000_t202" filled="false" stroked="false">
              <v:textbox inset="0,0,0,0">
                <w:txbxContent>
                  <w:p>
                    <w:pPr>
                      <w:spacing w:line="270" w:lineRule="exact" w:before="0"/>
                      <w:ind w:left="0" w:right="0" w:firstLine="0"/>
                      <w:jc w:val="left"/>
                      <w:rPr>
                        <w:rFonts w:ascii="Times New Roman"/>
                        <w:sz w:val="18"/>
                      </w:rPr>
                    </w:pPr>
                    <w:r>
                      <w:rPr>
                        <w:rFonts w:ascii="Times New Roman"/>
                        <w:position w:val="7"/>
                        <w:sz w:val="18"/>
                      </w:rPr>
                      <w:t>1.5 </w:t>
                    </w:r>
                    <w:r>
                      <w:rPr>
                        <w:rFonts w:ascii="Times New Roman"/>
                        <w:sz w:val="18"/>
                      </w:rPr>
                      <w:t>14.4%</w:t>
                    </w:r>
                  </w:p>
                </w:txbxContent>
              </v:textbox>
              <w10:wrap type="none"/>
            </v:shape>
            <v:shape style="position:absolute;left:2331;top:242;width:489;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12.3%</w:t>
                    </w:r>
                  </w:p>
                </w:txbxContent>
              </v:textbox>
              <w10:wrap type="none"/>
            </v:shape>
            <v:shape style="position:absolute;left:4077;top:495;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1.1</w:t>
                    </w:r>
                  </w:p>
                </w:txbxContent>
              </v:textbox>
              <w10:wrap type="none"/>
            </v:shape>
            <v:shape style="position:absolute;left:5023;top:401;width:489;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11.5%</w:t>
                    </w:r>
                  </w:p>
                </w:txbxContent>
              </v:textbox>
              <w10:wrap type="none"/>
            </v:shape>
            <v:shape style="position:absolute;left:6414;top:974;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8.5%</w:t>
                    </w:r>
                  </w:p>
                </w:txbxContent>
              </v:textbox>
              <w10:wrap type="none"/>
            </v:shape>
            <v:shape style="position:absolute;left:8115;top:863;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0.9</w:t>
                    </w:r>
                  </w:p>
                </w:txbxContent>
              </v:textbox>
              <w10:wrap type="none"/>
            </v:shape>
            <v:shape style="position:absolute;left:5423;top:1151;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0.8</w:t>
                    </w:r>
                  </w:p>
                </w:txbxContent>
              </v:textbox>
              <w10:wrap type="none"/>
            </v:shape>
            <v:shape style="position:absolute;left:4862;top:1492;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0.6</w:t>
                    </w:r>
                  </w:p>
                </w:txbxContent>
              </v:textbox>
              <w10:wrap type="none"/>
            </v:shape>
            <v:shape style="position:absolute;left:7554;top:1509;width:604;height:411"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0.6</w:t>
                    </w:r>
                  </w:p>
                  <w:p>
                    <w:pPr>
                      <w:spacing w:before="4"/>
                      <w:ind w:left="205" w:right="0" w:firstLine="0"/>
                      <w:jc w:val="left"/>
                      <w:rPr>
                        <w:rFonts w:ascii="Times New Roman"/>
                        <w:sz w:val="18"/>
                      </w:rPr>
                    </w:pPr>
                    <w:r>
                      <w:rPr>
                        <w:rFonts w:ascii="Times New Roman"/>
                        <w:sz w:val="18"/>
                      </w:rPr>
                      <w:t>4.6%</w:t>
                    </w:r>
                  </w:p>
                </w:txbxContent>
              </v:textbox>
              <w10:wrap type="none"/>
            </v:shape>
            <v:shape style="position:absolute;left:9106;top:1931;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3.5%</w:t>
                    </w:r>
                  </w:p>
                </w:txbxContent>
              </v:textbox>
              <w10:wrap type="none"/>
            </v:shape>
            <v:shape style="position:absolute;left:2732;top:2191;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0.2</w:t>
                    </w:r>
                  </w:p>
                </w:txbxContent>
              </v:textbox>
              <w10:wrap type="none"/>
            </v:shape>
            <v:shape style="position:absolute;left:6769;top:2128;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0.3</w:t>
                    </w:r>
                  </w:p>
                </w:txbxContent>
              </v:textbox>
              <w10:wrap type="none"/>
            </v:shape>
            <v:shape style="position:absolute;left:9461;top:2455;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0.1</w:t>
                    </w:r>
                  </w:p>
                </w:txbxContent>
              </v:textbox>
              <w10:wrap type="none"/>
            </v:shape>
            <v:shape style="position:absolute;left:2171;top:2664;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0.0</w:t>
                    </w:r>
                  </w:p>
                </w:txbxContent>
              </v:textbox>
              <w10:wrap type="none"/>
            </v:shape>
            <v:shape style="position:absolute;left:6208;top:2664;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0.0</w:t>
                    </w:r>
                  </w:p>
                </w:txbxContent>
              </v:textbox>
              <w10:wrap type="none"/>
            </v:shape>
            <v:shape style="position:absolute;left:8900;top:2664;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0.0</w:t>
                    </w:r>
                  </w:p>
                </w:txbxContent>
              </v:textbox>
              <w10:wrap type="none"/>
            </v:shape>
            <w10:wrap type="none"/>
          </v:group>
        </w:pict>
      </w:r>
      <w:r>
        <w:rPr>
          <w:rFonts w:ascii="Times New Roman"/>
          <w:sz w:val="18"/>
        </w:rPr>
        <w:t>14%</w:t>
      </w:r>
    </w:p>
    <w:p>
      <w:pPr>
        <w:spacing w:before="174"/>
        <w:ind w:left="605" w:right="0" w:firstLine="0"/>
        <w:jc w:val="left"/>
        <w:rPr>
          <w:rFonts w:ascii="Times New Roman"/>
          <w:sz w:val="18"/>
        </w:rPr>
      </w:pPr>
      <w:r>
        <w:rPr>
          <w:rFonts w:ascii="Times New Roman"/>
          <w:sz w:val="18"/>
        </w:rPr>
        <w:t>12%</w:t>
      </w:r>
    </w:p>
    <w:p>
      <w:pPr>
        <w:spacing w:before="175"/>
        <w:ind w:left="605" w:right="0" w:firstLine="0"/>
        <w:jc w:val="left"/>
        <w:rPr>
          <w:rFonts w:ascii="Times New Roman"/>
          <w:sz w:val="18"/>
        </w:rPr>
      </w:pPr>
      <w:r>
        <w:rPr/>
        <w:pict>
          <v:shape style="position:absolute;margin-left:537.673218pt;margin-top:12.672346pt;width:12pt;height:49.15pt;mso-position-horizontal-relative:page;mso-position-vertical-relative:paragraph;z-index:16119808" type="#_x0000_t202" filled="false" stroked="false">
            <v:textbox inset="0,0,0,0" style="layout-flow:vertical">
              <w:txbxContent>
                <w:p>
                  <w:pPr>
                    <w:spacing w:before="12"/>
                    <w:ind w:left="20" w:right="0" w:firstLine="0"/>
                    <w:jc w:val="left"/>
                    <w:rPr>
                      <w:rFonts w:ascii="Times New Roman"/>
                      <w:sz w:val="18"/>
                    </w:rPr>
                  </w:pPr>
                  <w:r>
                    <w:rPr>
                      <w:rFonts w:ascii="Times New Roman"/>
                      <w:sz w:val="18"/>
                    </w:rPr>
                    <w:t>Vacancy (%)</w:t>
                  </w:r>
                </w:p>
              </w:txbxContent>
            </v:textbox>
            <w10:wrap type="none"/>
          </v:shape>
        </w:pict>
      </w:r>
      <w:r>
        <w:rPr>
          <w:rFonts w:ascii="Times New Roman"/>
          <w:sz w:val="18"/>
        </w:rPr>
        <w:t>10%</w:t>
      </w:r>
    </w:p>
    <w:p>
      <w:pPr>
        <w:spacing w:before="174"/>
        <w:ind w:left="605" w:right="0" w:firstLine="0"/>
        <w:jc w:val="left"/>
        <w:rPr>
          <w:rFonts w:ascii="Times New Roman"/>
          <w:sz w:val="18"/>
        </w:rPr>
      </w:pPr>
      <w:r>
        <w:rPr>
          <w:rFonts w:ascii="Times New Roman"/>
          <w:sz w:val="18"/>
        </w:rPr>
        <w:t>8%</w:t>
      </w:r>
    </w:p>
    <w:p>
      <w:pPr>
        <w:spacing w:before="174"/>
        <w:ind w:left="605" w:right="0" w:firstLine="0"/>
        <w:jc w:val="left"/>
        <w:rPr>
          <w:rFonts w:ascii="Times New Roman"/>
          <w:sz w:val="18"/>
        </w:rPr>
      </w:pPr>
      <w:r>
        <w:rPr>
          <w:rFonts w:ascii="Times New Roman"/>
          <w:sz w:val="18"/>
        </w:rPr>
        <w:t>6%</w:t>
      </w:r>
    </w:p>
    <w:p>
      <w:pPr>
        <w:spacing w:before="175"/>
        <w:ind w:left="605" w:right="0" w:firstLine="0"/>
        <w:jc w:val="left"/>
        <w:rPr>
          <w:rFonts w:ascii="Times New Roman"/>
          <w:sz w:val="18"/>
        </w:rPr>
      </w:pPr>
      <w:r>
        <w:rPr>
          <w:rFonts w:ascii="Times New Roman"/>
          <w:sz w:val="18"/>
        </w:rPr>
        <w:t>4%</w:t>
      </w:r>
    </w:p>
    <w:p>
      <w:pPr>
        <w:spacing w:before="174"/>
        <w:ind w:left="605" w:right="0" w:firstLine="0"/>
        <w:jc w:val="left"/>
        <w:rPr>
          <w:rFonts w:ascii="Times New Roman"/>
          <w:sz w:val="18"/>
        </w:rPr>
      </w:pPr>
      <w:r>
        <w:rPr>
          <w:rFonts w:ascii="Times New Roman"/>
          <w:sz w:val="18"/>
        </w:rPr>
        <w:t>2%</w:t>
      </w:r>
    </w:p>
    <w:p>
      <w:pPr>
        <w:spacing w:before="174"/>
        <w:ind w:left="605" w:right="0" w:firstLine="0"/>
        <w:jc w:val="left"/>
        <w:rPr>
          <w:rFonts w:ascii="Times New Roman"/>
          <w:sz w:val="18"/>
        </w:rPr>
      </w:pPr>
      <w:r>
        <w:rPr>
          <w:rFonts w:ascii="Times New Roman"/>
          <w:sz w:val="18"/>
        </w:rPr>
        <w:t>0%</w:t>
      </w:r>
    </w:p>
    <w:p>
      <w:pPr>
        <w:spacing w:after="0"/>
        <w:jc w:val="left"/>
        <w:rPr>
          <w:rFonts w:ascii="Times New Roman"/>
          <w:sz w:val="18"/>
        </w:rPr>
        <w:sectPr>
          <w:type w:val="continuous"/>
          <w:pgSz w:w="11910" w:h="16840"/>
          <w:pgMar w:top="800" w:bottom="280" w:left="500" w:right="480"/>
          <w:cols w:num="3" w:equalWidth="0">
            <w:col w:w="1241" w:space="40"/>
            <w:col w:w="7697" w:space="39"/>
            <w:col w:w="1913"/>
          </w:cols>
        </w:sectPr>
      </w:pPr>
    </w:p>
    <w:p>
      <w:pPr>
        <w:pStyle w:val="BodyText"/>
        <w:rPr>
          <w:rFonts w:ascii="Times New Roman"/>
          <w:sz w:val="20"/>
        </w:rPr>
      </w:pPr>
    </w:p>
    <w:p>
      <w:pPr>
        <w:pStyle w:val="BodyText"/>
        <w:spacing w:before="5"/>
        <w:rPr>
          <w:rFonts w:ascii="Times New Roman"/>
          <w:sz w:val="29"/>
        </w:rPr>
      </w:pPr>
    </w:p>
    <w:p>
      <w:pPr>
        <w:spacing w:line="321" w:lineRule="auto" w:before="104"/>
        <w:ind w:left="767" w:right="234" w:firstLine="0"/>
        <w:jc w:val="both"/>
        <w:rPr>
          <w:i/>
          <w:sz w:val="18"/>
        </w:rPr>
      </w:pPr>
      <w:r>
        <w:rPr>
          <w:i/>
          <w:sz w:val="18"/>
        </w:rPr>
        <w:t>Source:</w:t>
      </w:r>
      <w:r>
        <w:rPr>
          <w:i/>
          <w:spacing w:val="-28"/>
          <w:sz w:val="18"/>
        </w:rPr>
        <w:t> </w:t>
      </w:r>
      <w:r>
        <w:rPr>
          <w:i/>
          <w:sz w:val="18"/>
        </w:rPr>
        <w:t>CBRE</w:t>
      </w:r>
      <w:r>
        <w:rPr>
          <w:i/>
          <w:spacing w:val="-27"/>
          <w:sz w:val="18"/>
        </w:rPr>
        <w:t> </w:t>
      </w:r>
      <w:r>
        <w:rPr>
          <w:i/>
          <w:sz w:val="18"/>
        </w:rPr>
        <w:t>Research;</w:t>
      </w:r>
      <w:r>
        <w:rPr>
          <w:i/>
          <w:spacing w:val="-29"/>
          <w:sz w:val="18"/>
        </w:rPr>
        <w:t> </w:t>
      </w:r>
      <w:r>
        <w:rPr>
          <w:i/>
          <w:sz w:val="18"/>
        </w:rPr>
        <w:t>Note:</w:t>
      </w:r>
      <w:r>
        <w:rPr>
          <w:i/>
          <w:spacing w:val="-28"/>
          <w:sz w:val="18"/>
        </w:rPr>
        <w:t> </w:t>
      </w:r>
      <w:r>
        <w:rPr>
          <w:i/>
          <w:sz w:val="18"/>
        </w:rPr>
        <w:t>Supply</w:t>
      </w:r>
      <w:r>
        <w:rPr>
          <w:i/>
          <w:spacing w:val="-28"/>
          <w:sz w:val="18"/>
        </w:rPr>
        <w:t> </w:t>
      </w:r>
      <w:r>
        <w:rPr>
          <w:i/>
          <w:w w:val="105"/>
          <w:sz w:val="18"/>
        </w:rPr>
        <w:t>–</w:t>
      </w:r>
      <w:r>
        <w:rPr>
          <w:i/>
          <w:spacing w:val="-30"/>
          <w:w w:val="105"/>
          <w:sz w:val="18"/>
        </w:rPr>
        <w:t> </w:t>
      </w:r>
      <w:r>
        <w:rPr>
          <w:i/>
          <w:sz w:val="18"/>
        </w:rPr>
        <w:t>refers</w:t>
      </w:r>
      <w:r>
        <w:rPr>
          <w:i/>
          <w:spacing w:val="-27"/>
          <w:sz w:val="18"/>
        </w:rPr>
        <w:t> </w:t>
      </w:r>
      <w:r>
        <w:rPr>
          <w:i/>
          <w:sz w:val="18"/>
        </w:rPr>
        <w:t>to</w:t>
      </w:r>
      <w:r>
        <w:rPr>
          <w:i/>
          <w:spacing w:val="-28"/>
          <w:sz w:val="18"/>
        </w:rPr>
        <w:t> </w:t>
      </w:r>
      <w:r>
        <w:rPr>
          <w:i/>
          <w:sz w:val="18"/>
        </w:rPr>
        <w:t>fresh</w:t>
      </w:r>
      <w:r>
        <w:rPr>
          <w:i/>
          <w:spacing w:val="-28"/>
          <w:sz w:val="18"/>
        </w:rPr>
        <w:t> </w:t>
      </w:r>
      <w:r>
        <w:rPr>
          <w:i/>
          <w:sz w:val="18"/>
        </w:rPr>
        <w:t>completed</w:t>
      </w:r>
      <w:r>
        <w:rPr>
          <w:i/>
          <w:spacing w:val="-26"/>
          <w:sz w:val="18"/>
        </w:rPr>
        <w:t> </w:t>
      </w:r>
      <w:r>
        <w:rPr>
          <w:i/>
          <w:sz w:val="18"/>
        </w:rPr>
        <w:t>supply</w:t>
      </w:r>
      <w:r>
        <w:rPr>
          <w:i/>
          <w:spacing w:val="-29"/>
          <w:sz w:val="18"/>
        </w:rPr>
        <w:t> </w:t>
      </w:r>
      <w:r>
        <w:rPr>
          <w:i/>
          <w:sz w:val="18"/>
        </w:rPr>
        <w:t>added</w:t>
      </w:r>
      <w:r>
        <w:rPr>
          <w:i/>
          <w:spacing w:val="-27"/>
          <w:sz w:val="18"/>
        </w:rPr>
        <w:t> </w:t>
      </w:r>
      <w:r>
        <w:rPr>
          <w:i/>
          <w:sz w:val="18"/>
        </w:rPr>
        <w:t>each</w:t>
      </w:r>
      <w:r>
        <w:rPr>
          <w:i/>
          <w:spacing w:val="-28"/>
          <w:sz w:val="18"/>
        </w:rPr>
        <w:t> </w:t>
      </w:r>
      <w:r>
        <w:rPr>
          <w:i/>
          <w:sz w:val="18"/>
        </w:rPr>
        <w:t>year;</w:t>
      </w:r>
      <w:r>
        <w:rPr>
          <w:i/>
          <w:spacing w:val="-24"/>
          <w:sz w:val="18"/>
        </w:rPr>
        <w:t> </w:t>
      </w:r>
      <w:r>
        <w:rPr>
          <w:i/>
          <w:sz w:val="18"/>
        </w:rPr>
        <w:t>Absorption</w:t>
      </w:r>
      <w:r>
        <w:rPr>
          <w:i/>
          <w:spacing w:val="-28"/>
          <w:sz w:val="18"/>
        </w:rPr>
        <w:t> </w:t>
      </w:r>
      <w:r>
        <w:rPr>
          <w:i/>
          <w:w w:val="105"/>
          <w:sz w:val="18"/>
        </w:rPr>
        <w:t>–</w:t>
      </w:r>
      <w:r>
        <w:rPr>
          <w:i/>
          <w:spacing w:val="-29"/>
          <w:w w:val="105"/>
          <w:sz w:val="18"/>
        </w:rPr>
        <w:t> </w:t>
      </w:r>
      <w:r>
        <w:rPr>
          <w:i/>
          <w:sz w:val="18"/>
        </w:rPr>
        <w:t>refers</w:t>
      </w:r>
      <w:r>
        <w:rPr>
          <w:i/>
          <w:spacing w:val="-29"/>
          <w:sz w:val="18"/>
        </w:rPr>
        <w:t> </w:t>
      </w:r>
      <w:r>
        <w:rPr>
          <w:i/>
          <w:sz w:val="18"/>
        </w:rPr>
        <w:t>to</w:t>
      </w:r>
      <w:r>
        <w:rPr>
          <w:i/>
          <w:spacing w:val="-28"/>
          <w:sz w:val="18"/>
        </w:rPr>
        <w:t> </w:t>
      </w:r>
      <w:r>
        <w:rPr>
          <w:i/>
          <w:sz w:val="18"/>
        </w:rPr>
        <w:t>the</w:t>
      </w:r>
      <w:r>
        <w:rPr>
          <w:i/>
          <w:spacing w:val="-29"/>
          <w:sz w:val="18"/>
        </w:rPr>
        <w:t> </w:t>
      </w:r>
      <w:r>
        <w:rPr>
          <w:i/>
          <w:sz w:val="18"/>
        </w:rPr>
        <w:t>quantum</w:t>
      </w:r>
      <w:r>
        <w:rPr>
          <w:i/>
          <w:spacing w:val="-27"/>
          <w:sz w:val="18"/>
        </w:rPr>
        <w:t> </w:t>
      </w:r>
      <w:r>
        <w:rPr>
          <w:i/>
          <w:sz w:val="18"/>
        </w:rPr>
        <w:t>of </w:t>
      </w:r>
      <w:r>
        <w:rPr>
          <w:i/>
          <w:sz w:val="18"/>
        </w:rPr>
        <w:t>leasing</w:t>
      </w:r>
      <w:r>
        <w:rPr>
          <w:i/>
          <w:spacing w:val="-19"/>
          <w:sz w:val="18"/>
        </w:rPr>
        <w:t> </w:t>
      </w:r>
      <w:r>
        <w:rPr>
          <w:i/>
          <w:sz w:val="18"/>
        </w:rPr>
        <w:t>witnessed</w:t>
      </w:r>
      <w:r>
        <w:rPr>
          <w:i/>
          <w:spacing w:val="-17"/>
          <w:sz w:val="18"/>
        </w:rPr>
        <w:t> </w:t>
      </w:r>
      <w:r>
        <w:rPr>
          <w:i/>
          <w:sz w:val="18"/>
        </w:rPr>
        <w:t>in</w:t>
      </w:r>
      <w:r>
        <w:rPr>
          <w:i/>
          <w:spacing w:val="-18"/>
          <w:sz w:val="18"/>
        </w:rPr>
        <w:t> </w:t>
      </w:r>
      <w:r>
        <w:rPr>
          <w:i/>
          <w:sz w:val="18"/>
        </w:rPr>
        <w:t>each</w:t>
      </w:r>
      <w:r>
        <w:rPr>
          <w:i/>
          <w:spacing w:val="-17"/>
          <w:sz w:val="18"/>
        </w:rPr>
        <w:t> </w:t>
      </w:r>
      <w:r>
        <w:rPr>
          <w:i/>
          <w:sz w:val="18"/>
        </w:rPr>
        <w:t>year</w:t>
      </w:r>
      <w:r>
        <w:rPr>
          <w:i/>
          <w:spacing w:val="-18"/>
          <w:sz w:val="18"/>
        </w:rPr>
        <w:t> </w:t>
      </w:r>
      <w:r>
        <w:rPr>
          <w:i/>
          <w:sz w:val="18"/>
        </w:rPr>
        <w:t>as</w:t>
      </w:r>
      <w:r>
        <w:rPr>
          <w:i/>
          <w:spacing w:val="-19"/>
          <w:sz w:val="18"/>
        </w:rPr>
        <w:t> </w:t>
      </w:r>
      <w:r>
        <w:rPr>
          <w:i/>
          <w:sz w:val="18"/>
        </w:rPr>
        <w:t>part</w:t>
      </w:r>
      <w:r>
        <w:rPr>
          <w:i/>
          <w:spacing w:val="-17"/>
          <w:sz w:val="18"/>
        </w:rPr>
        <w:t> </w:t>
      </w:r>
      <w:r>
        <w:rPr>
          <w:i/>
          <w:sz w:val="18"/>
        </w:rPr>
        <w:t>of</w:t>
      </w:r>
      <w:r>
        <w:rPr>
          <w:i/>
          <w:spacing w:val="-18"/>
          <w:sz w:val="18"/>
        </w:rPr>
        <w:t> </w:t>
      </w:r>
      <w:r>
        <w:rPr>
          <w:i/>
          <w:sz w:val="18"/>
        </w:rPr>
        <w:t>completed</w:t>
      </w:r>
      <w:r>
        <w:rPr>
          <w:i/>
          <w:spacing w:val="-19"/>
          <w:sz w:val="18"/>
        </w:rPr>
        <w:t> </w:t>
      </w:r>
      <w:r>
        <w:rPr>
          <w:i/>
          <w:sz w:val="18"/>
        </w:rPr>
        <w:t>space;</w:t>
      </w:r>
      <w:r>
        <w:rPr>
          <w:i/>
          <w:spacing w:val="-18"/>
          <w:sz w:val="18"/>
        </w:rPr>
        <w:t> </w:t>
      </w:r>
      <w:r>
        <w:rPr>
          <w:i/>
          <w:sz w:val="18"/>
        </w:rPr>
        <w:t>the</w:t>
      </w:r>
      <w:r>
        <w:rPr>
          <w:i/>
          <w:spacing w:val="-18"/>
          <w:sz w:val="18"/>
        </w:rPr>
        <w:t> </w:t>
      </w:r>
      <w:r>
        <w:rPr>
          <w:i/>
          <w:sz w:val="18"/>
        </w:rPr>
        <w:t>vacancy</w:t>
      </w:r>
      <w:r>
        <w:rPr>
          <w:i/>
          <w:spacing w:val="-19"/>
          <w:sz w:val="18"/>
        </w:rPr>
        <w:t> </w:t>
      </w:r>
      <w:r>
        <w:rPr>
          <w:i/>
          <w:sz w:val="18"/>
        </w:rPr>
        <w:t>in</w:t>
      </w:r>
      <w:r>
        <w:rPr>
          <w:i/>
          <w:spacing w:val="-18"/>
          <w:sz w:val="18"/>
        </w:rPr>
        <w:t> </w:t>
      </w:r>
      <w:r>
        <w:rPr>
          <w:i/>
          <w:sz w:val="18"/>
        </w:rPr>
        <w:t>the</w:t>
      </w:r>
      <w:r>
        <w:rPr>
          <w:i/>
          <w:spacing w:val="-19"/>
          <w:sz w:val="18"/>
        </w:rPr>
        <w:t> </w:t>
      </w:r>
      <w:r>
        <w:rPr>
          <w:i/>
          <w:sz w:val="18"/>
        </w:rPr>
        <w:t>chart</w:t>
      </w:r>
      <w:r>
        <w:rPr>
          <w:i/>
          <w:spacing w:val="-18"/>
          <w:sz w:val="18"/>
        </w:rPr>
        <w:t> </w:t>
      </w:r>
      <w:r>
        <w:rPr>
          <w:i/>
          <w:sz w:val="18"/>
        </w:rPr>
        <w:t>accounts</w:t>
      </w:r>
      <w:r>
        <w:rPr>
          <w:i/>
          <w:spacing w:val="-17"/>
          <w:sz w:val="18"/>
        </w:rPr>
        <w:t> </w:t>
      </w:r>
      <w:r>
        <w:rPr>
          <w:i/>
          <w:sz w:val="18"/>
        </w:rPr>
        <w:t>for</w:t>
      </w:r>
      <w:r>
        <w:rPr>
          <w:i/>
          <w:spacing w:val="-18"/>
          <w:sz w:val="18"/>
        </w:rPr>
        <w:t> </w:t>
      </w:r>
      <w:r>
        <w:rPr>
          <w:i/>
          <w:sz w:val="18"/>
        </w:rPr>
        <w:t>the</w:t>
      </w:r>
      <w:r>
        <w:rPr>
          <w:i/>
          <w:spacing w:val="-19"/>
          <w:sz w:val="18"/>
        </w:rPr>
        <w:t> </w:t>
      </w:r>
      <w:r>
        <w:rPr>
          <w:i/>
          <w:sz w:val="18"/>
        </w:rPr>
        <w:t>gap</w:t>
      </w:r>
      <w:r>
        <w:rPr>
          <w:i/>
          <w:spacing w:val="-19"/>
          <w:sz w:val="18"/>
        </w:rPr>
        <w:t> </w:t>
      </w:r>
      <w:r>
        <w:rPr>
          <w:i/>
          <w:sz w:val="18"/>
        </w:rPr>
        <w:t>between</w:t>
      </w:r>
      <w:r>
        <w:rPr>
          <w:i/>
          <w:spacing w:val="-17"/>
          <w:sz w:val="18"/>
        </w:rPr>
        <w:t> </w:t>
      </w:r>
      <w:r>
        <w:rPr>
          <w:i/>
          <w:sz w:val="18"/>
        </w:rPr>
        <w:t>cumulative stock and demand in the city in any</w:t>
      </w:r>
      <w:r>
        <w:rPr>
          <w:i/>
          <w:spacing w:val="-40"/>
          <w:sz w:val="18"/>
        </w:rPr>
        <w:t> </w:t>
      </w:r>
      <w:r>
        <w:rPr>
          <w:i/>
          <w:sz w:val="18"/>
        </w:rPr>
        <w:t>given year.</w:t>
      </w:r>
    </w:p>
    <w:p>
      <w:pPr>
        <w:pStyle w:val="BodyText"/>
        <w:spacing w:before="9"/>
        <w:rPr>
          <w:i/>
          <w:sz w:val="20"/>
        </w:rPr>
      </w:pPr>
    </w:p>
    <w:p>
      <w:pPr>
        <w:pStyle w:val="BodyText"/>
        <w:spacing w:line="321" w:lineRule="auto"/>
        <w:ind w:left="760" w:right="236"/>
        <w:jc w:val="both"/>
      </w:pPr>
      <w:r>
        <w:rPr/>
        <w:t>Rajiv Gandhi Infotech Park developed by Maharashtra Industrial Development Corporation (MIDC), located</w:t>
      </w:r>
      <w:r>
        <w:rPr>
          <w:spacing w:val="-11"/>
        </w:rPr>
        <w:t> </w:t>
      </w:r>
      <w:r>
        <w:rPr/>
        <w:t>within</w:t>
      </w:r>
      <w:r>
        <w:rPr>
          <w:spacing w:val="-12"/>
        </w:rPr>
        <w:t> </w:t>
      </w:r>
      <w:r>
        <w:rPr/>
        <w:t>Hinjewadi</w:t>
      </w:r>
      <w:r>
        <w:rPr>
          <w:spacing w:val="-13"/>
        </w:rPr>
        <w:t> </w:t>
      </w:r>
      <w:r>
        <w:rPr/>
        <w:t>and</w:t>
      </w:r>
      <w:r>
        <w:rPr>
          <w:spacing w:val="-11"/>
        </w:rPr>
        <w:t> </w:t>
      </w:r>
      <w:r>
        <w:rPr/>
        <w:t>has</w:t>
      </w:r>
      <w:r>
        <w:rPr>
          <w:spacing w:val="-12"/>
        </w:rPr>
        <w:t> </w:t>
      </w:r>
      <w:r>
        <w:rPr/>
        <w:t>developed</w:t>
      </w:r>
      <w:r>
        <w:rPr>
          <w:spacing w:val="-10"/>
        </w:rPr>
        <w:t> </w:t>
      </w:r>
      <w:r>
        <w:rPr/>
        <w:t>as</w:t>
      </w:r>
      <w:r>
        <w:rPr>
          <w:spacing w:val="-13"/>
        </w:rPr>
        <w:t> </w:t>
      </w:r>
      <w:r>
        <w:rPr/>
        <w:t>a</w:t>
      </w:r>
      <w:r>
        <w:rPr>
          <w:spacing w:val="-12"/>
        </w:rPr>
        <w:t> </w:t>
      </w:r>
      <w:r>
        <w:rPr/>
        <w:t>prominent</w:t>
      </w:r>
      <w:r>
        <w:rPr>
          <w:spacing w:val="-11"/>
        </w:rPr>
        <w:t> </w:t>
      </w:r>
      <w:r>
        <w:rPr/>
        <w:t>commercial</w:t>
      </w:r>
      <w:r>
        <w:rPr>
          <w:spacing w:val="-12"/>
        </w:rPr>
        <w:t> </w:t>
      </w:r>
      <w:r>
        <w:rPr/>
        <w:t>destination</w:t>
      </w:r>
      <w:r>
        <w:rPr>
          <w:spacing w:val="-12"/>
        </w:rPr>
        <w:t> </w:t>
      </w:r>
      <w:r>
        <w:rPr/>
        <w:t>within</w:t>
      </w:r>
      <w:r>
        <w:rPr>
          <w:spacing w:val="-13"/>
        </w:rPr>
        <w:t> </w:t>
      </w:r>
      <w:r>
        <w:rPr/>
        <w:t>Pune.</w:t>
      </w:r>
      <w:r>
        <w:rPr>
          <w:spacing w:val="-11"/>
        </w:rPr>
        <w:t> </w:t>
      </w:r>
      <w:r>
        <w:rPr/>
        <w:t>The Infotech</w:t>
      </w:r>
      <w:r>
        <w:rPr>
          <w:spacing w:val="-38"/>
        </w:rPr>
        <w:t> </w:t>
      </w:r>
      <w:r>
        <w:rPr/>
        <w:t>Park</w:t>
      </w:r>
      <w:r>
        <w:rPr>
          <w:spacing w:val="-37"/>
        </w:rPr>
        <w:t> </w:t>
      </w:r>
      <w:r>
        <w:rPr/>
        <w:t>commenced</w:t>
      </w:r>
      <w:r>
        <w:rPr>
          <w:spacing w:val="-38"/>
        </w:rPr>
        <w:t> </w:t>
      </w:r>
      <w:r>
        <w:rPr/>
        <w:t>its</w:t>
      </w:r>
      <w:r>
        <w:rPr>
          <w:spacing w:val="-38"/>
        </w:rPr>
        <w:t> </w:t>
      </w:r>
      <w:r>
        <w:rPr/>
        <w:t>development</w:t>
      </w:r>
      <w:r>
        <w:rPr>
          <w:spacing w:val="-37"/>
        </w:rPr>
        <w:t> </w:t>
      </w:r>
      <w:r>
        <w:rPr/>
        <w:t>activities</w:t>
      </w:r>
      <w:r>
        <w:rPr>
          <w:spacing w:val="-39"/>
        </w:rPr>
        <w:t> </w:t>
      </w:r>
      <w:r>
        <w:rPr/>
        <w:t>during</w:t>
      </w:r>
      <w:r>
        <w:rPr>
          <w:spacing w:val="-37"/>
        </w:rPr>
        <w:t> </w:t>
      </w:r>
      <w:r>
        <w:rPr/>
        <w:t>1998</w:t>
      </w:r>
      <w:r>
        <w:rPr>
          <w:spacing w:val="-36"/>
        </w:rPr>
        <w:t> </w:t>
      </w:r>
      <w:r>
        <w:rPr/>
        <w:t>and</w:t>
      </w:r>
      <w:r>
        <w:rPr>
          <w:spacing w:val="-38"/>
        </w:rPr>
        <w:t> </w:t>
      </w:r>
      <w:r>
        <w:rPr/>
        <w:t>has</w:t>
      </w:r>
      <w:r>
        <w:rPr>
          <w:spacing w:val="-38"/>
        </w:rPr>
        <w:t> </w:t>
      </w:r>
      <w:r>
        <w:rPr/>
        <w:t>been</w:t>
      </w:r>
      <w:r>
        <w:rPr>
          <w:spacing w:val="-37"/>
        </w:rPr>
        <w:t> </w:t>
      </w:r>
      <w:r>
        <w:rPr/>
        <w:t>developed</w:t>
      </w:r>
      <w:r>
        <w:rPr>
          <w:spacing w:val="-37"/>
        </w:rPr>
        <w:t> </w:t>
      </w:r>
      <w:r>
        <w:rPr/>
        <w:t>in</w:t>
      </w:r>
      <w:r>
        <w:rPr>
          <w:spacing w:val="-39"/>
        </w:rPr>
        <w:t> </w:t>
      </w:r>
      <w:r>
        <w:rPr/>
        <w:t>three</w:t>
      </w:r>
      <w:r>
        <w:rPr>
          <w:spacing w:val="-37"/>
        </w:rPr>
        <w:t> </w:t>
      </w:r>
      <w:r>
        <w:rPr/>
        <w:t>phases I,</w:t>
      </w:r>
      <w:r>
        <w:rPr>
          <w:spacing w:val="-29"/>
        </w:rPr>
        <w:t> </w:t>
      </w:r>
      <w:r>
        <w:rPr/>
        <w:t>II</w:t>
      </w:r>
      <w:r>
        <w:rPr>
          <w:spacing w:val="-29"/>
        </w:rPr>
        <w:t> </w:t>
      </w:r>
      <w:r>
        <w:rPr/>
        <w:t>and</w:t>
      </w:r>
      <w:r>
        <w:rPr>
          <w:spacing w:val="-28"/>
        </w:rPr>
        <w:t> </w:t>
      </w:r>
      <w:r>
        <w:rPr/>
        <w:t>III</w:t>
      </w:r>
      <w:r>
        <w:rPr>
          <w:spacing w:val="-29"/>
        </w:rPr>
        <w:t> </w:t>
      </w:r>
      <w:r>
        <w:rPr/>
        <w:t>over</w:t>
      </w:r>
      <w:r>
        <w:rPr>
          <w:spacing w:val="-29"/>
        </w:rPr>
        <w:t> </w:t>
      </w:r>
      <w:r>
        <w:rPr/>
        <w:t>the</w:t>
      </w:r>
      <w:r>
        <w:rPr>
          <w:spacing w:val="-30"/>
        </w:rPr>
        <w:t> </w:t>
      </w:r>
      <w:r>
        <w:rPr/>
        <w:t>years.</w:t>
      </w:r>
      <w:r>
        <w:rPr>
          <w:spacing w:val="-29"/>
        </w:rPr>
        <w:t> </w:t>
      </w:r>
      <w:r>
        <w:rPr/>
        <w:t>Additionally,</w:t>
      </w:r>
      <w:r>
        <w:rPr>
          <w:spacing w:val="-29"/>
        </w:rPr>
        <w:t> </w:t>
      </w:r>
      <w:r>
        <w:rPr/>
        <w:t>by</w:t>
      </w:r>
      <w:r>
        <w:rPr>
          <w:spacing w:val="-28"/>
        </w:rPr>
        <w:t> </w:t>
      </w:r>
      <w:r>
        <w:rPr/>
        <w:t>the</w:t>
      </w:r>
      <w:r>
        <w:rPr>
          <w:spacing w:val="-30"/>
        </w:rPr>
        <w:t> </w:t>
      </w:r>
      <w:r>
        <w:rPr/>
        <w:t>virtue</w:t>
      </w:r>
      <w:r>
        <w:rPr>
          <w:spacing w:val="-30"/>
        </w:rPr>
        <w:t> </w:t>
      </w:r>
      <w:r>
        <w:rPr/>
        <w:t>of</w:t>
      </w:r>
      <w:r>
        <w:rPr>
          <w:spacing w:val="-28"/>
        </w:rPr>
        <w:t> </w:t>
      </w:r>
      <w:r>
        <w:rPr/>
        <w:t>ease</w:t>
      </w:r>
      <w:r>
        <w:rPr>
          <w:spacing w:val="-27"/>
        </w:rPr>
        <w:t> </w:t>
      </w:r>
      <w:r>
        <w:rPr/>
        <w:t>of</w:t>
      </w:r>
      <w:r>
        <w:rPr>
          <w:spacing w:val="-29"/>
        </w:rPr>
        <w:t> </w:t>
      </w:r>
      <w:r>
        <w:rPr/>
        <w:t>access</w:t>
      </w:r>
      <w:r>
        <w:rPr>
          <w:spacing w:val="-29"/>
        </w:rPr>
        <w:t> </w:t>
      </w:r>
      <w:r>
        <w:rPr/>
        <w:t>through</w:t>
      </w:r>
      <w:r>
        <w:rPr>
          <w:spacing w:val="-31"/>
        </w:rPr>
        <w:t> </w:t>
      </w:r>
      <w:r>
        <w:rPr/>
        <w:t>Mumbai-Bengaluru</w:t>
      </w:r>
      <w:r>
        <w:rPr>
          <w:spacing w:val="-29"/>
        </w:rPr>
        <w:t> </w:t>
      </w:r>
      <w:r>
        <w:rPr/>
        <w:t>bypass road,</w:t>
      </w:r>
      <w:r>
        <w:rPr>
          <w:spacing w:val="-43"/>
        </w:rPr>
        <w:t> </w:t>
      </w:r>
      <w:r>
        <w:rPr/>
        <w:t>the</w:t>
      </w:r>
      <w:r>
        <w:rPr>
          <w:spacing w:val="-42"/>
        </w:rPr>
        <w:t> </w:t>
      </w:r>
      <w:r>
        <w:rPr/>
        <w:t>region</w:t>
      </w:r>
      <w:r>
        <w:rPr>
          <w:spacing w:val="-43"/>
        </w:rPr>
        <w:t> </w:t>
      </w:r>
      <w:r>
        <w:rPr/>
        <w:t>has</w:t>
      </w:r>
      <w:r>
        <w:rPr>
          <w:spacing w:val="-42"/>
        </w:rPr>
        <w:t> </w:t>
      </w:r>
      <w:r>
        <w:rPr/>
        <w:t>evinced</w:t>
      </w:r>
      <w:r>
        <w:rPr>
          <w:spacing w:val="-42"/>
        </w:rPr>
        <w:t> </w:t>
      </w:r>
      <w:r>
        <w:rPr/>
        <w:t>considerable</w:t>
      </w:r>
      <w:r>
        <w:rPr>
          <w:spacing w:val="-43"/>
        </w:rPr>
        <w:t> </w:t>
      </w:r>
      <w:r>
        <w:rPr/>
        <w:t>interest</w:t>
      </w:r>
      <w:r>
        <w:rPr>
          <w:spacing w:val="-43"/>
        </w:rPr>
        <w:t> </w:t>
      </w:r>
      <w:r>
        <w:rPr/>
        <w:t>from</w:t>
      </w:r>
      <w:r>
        <w:rPr>
          <w:spacing w:val="-42"/>
        </w:rPr>
        <w:t> </w:t>
      </w:r>
      <w:r>
        <w:rPr/>
        <w:t>tenants.</w:t>
      </w:r>
      <w:r>
        <w:rPr>
          <w:spacing w:val="-43"/>
        </w:rPr>
        <w:t> </w:t>
      </w:r>
      <w:r>
        <w:rPr/>
        <w:t>Further,</w:t>
      </w:r>
      <w:r>
        <w:rPr>
          <w:spacing w:val="-43"/>
        </w:rPr>
        <w:t> </w:t>
      </w:r>
      <w:r>
        <w:rPr/>
        <w:t>owing</w:t>
      </w:r>
      <w:r>
        <w:rPr>
          <w:spacing w:val="-42"/>
        </w:rPr>
        <w:t> </w:t>
      </w:r>
      <w:r>
        <w:rPr/>
        <w:t>to</w:t>
      </w:r>
      <w:r>
        <w:rPr>
          <w:spacing w:val="-42"/>
        </w:rPr>
        <w:t> </w:t>
      </w:r>
      <w:r>
        <w:rPr/>
        <w:t>demand</w:t>
      </w:r>
      <w:r>
        <w:rPr>
          <w:spacing w:val="-42"/>
        </w:rPr>
        <w:t> </w:t>
      </w:r>
      <w:r>
        <w:rPr/>
        <w:t>for</w:t>
      </w:r>
      <w:r>
        <w:rPr>
          <w:spacing w:val="-43"/>
        </w:rPr>
        <w:t> </w:t>
      </w:r>
      <w:r>
        <w:rPr/>
        <w:t>residential developments</w:t>
      </w:r>
      <w:r>
        <w:rPr>
          <w:spacing w:val="15"/>
        </w:rPr>
        <w:t> </w:t>
      </w:r>
      <w:r>
        <w:rPr/>
        <w:t>from</w:t>
      </w:r>
      <w:r>
        <w:rPr>
          <w:spacing w:val="15"/>
        </w:rPr>
        <w:t> </w:t>
      </w:r>
      <w:r>
        <w:rPr/>
        <w:t>the</w:t>
      </w:r>
      <w:r>
        <w:rPr>
          <w:spacing w:val="12"/>
        </w:rPr>
        <w:t> </w:t>
      </w:r>
      <w:r>
        <w:rPr/>
        <w:t>IT</w:t>
      </w:r>
      <w:r>
        <w:rPr>
          <w:spacing w:val="15"/>
        </w:rPr>
        <w:t> </w:t>
      </w:r>
      <w:r>
        <w:rPr/>
        <w:t>populace,</w:t>
      </w:r>
      <w:r>
        <w:rPr>
          <w:spacing w:val="15"/>
        </w:rPr>
        <w:t> </w:t>
      </w:r>
      <w:r>
        <w:rPr/>
        <w:t>local</w:t>
      </w:r>
      <w:r>
        <w:rPr>
          <w:spacing w:val="14"/>
        </w:rPr>
        <w:t> </w:t>
      </w:r>
      <w:r>
        <w:rPr/>
        <w:t>and</w:t>
      </w:r>
      <w:r>
        <w:rPr>
          <w:spacing w:val="17"/>
        </w:rPr>
        <w:t> </w:t>
      </w:r>
      <w:r>
        <w:rPr/>
        <w:t>national</w:t>
      </w:r>
      <w:r>
        <w:rPr>
          <w:spacing w:val="14"/>
        </w:rPr>
        <w:t> </w:t>
      </w:r>
      <w:r>
        <w:rPr/>
        <w:t>level</w:t>
      </w:r>
      <w:r>
        <w:rPr>
          <w:spacing w:val="13"/>
        </w:rPr>
        <w:t> </w:t>
      </w:r>
      <w:r>
        <w:rPr/>
        <w:t>developers</w:t>
      </w:r>
      <w:r>
        <w:rPr>
          <w:spacing w:val="16"/>
        </w:rPr>
        <w:t> </w:t>
      </w:r>
      <w:r>
        <w:rPr/>
        <w:t>have</w:t>
      </w:r>
      <w:r>
        <w:rPr>
          <w:spacing w:val="14"/>
        </w:rPr>
        <w:t> </w:t>
      </w:r>
      <w:r>
        <w:rPr/>
        <w:t>launched</w:t>
      </w:r>
      <w:r>
        <w:rPr>
          <w:spacing w:val="15"/>
        </w:rPr>
        <w:t> </w:t>
      </w:r>
      <w:r>
        <w:rPr/>
        <w:t>residential</w:t>
      </w:r>
    </w:p>
    <w:p>
      <w:pPr>
        <w:spacing w:after="0" w:line="321" w:lineRule="auto"/>
        <w:jc w:val="both"/>
        <w:sectPr>
          <w:type w:val="continuous"/>
          <w:pgSz w:w="11910" w:h="16840"/>
          <w:pgMar w:top="800" w:bottom="280" w:left="500" w:right="480"/>
        </w:sectPr>
      </w:pPr>
    </w:p>
    <w:p>
      <w:pPr>
        <w:pStyle w:val="BodyText"/>
        <w:spacing w:before="7"/>
        <w:rPr>
          <w:sz w:val="9"/>
        </w:rPr>
      </w:pPr>
    </w:p>
    <w:p>
      <w:pPr>
        <w:pStyle w:val="BodyText"/>
        <w:spacing w:line="321" w:lineRule="auto" w:before="106"/>
        <w:ind w:left="760"/>
      </w:pPr>
      <w:r>
        <w:rPr/>
        <w:t>townships in the region. Infrastructure initiatives developed (and planned) by the state government augment the overall attractiveness of the region.</w:t>
      </w:r>
    </w:p>
    <w:p>
      <w:pPr>
        <w:pStyle w:val="BodyText"/>
        <w:spacing w:before="4"/>
        <w:rPr>
          <w:sz w:val="23"/>
        </w:rPr>
      </w:pPr>
    </w:p>
    <w:p>
      <w:pPr>
        <w:spacing w:before="0"/>
        <w:ind w:left="220" w:right="0" w:firstLine="0"/>
        <w:jc w:val="left"/>
        <w:rPr>
          <w:i/>
          <w:sz w:val="20"/>
        </w:rPr>
      </w:pPr>
      <w:r>
        <w:rPr>
          <w:i/>
          <w:color w:val="008000"/>
          <w:sz w:val="22"/>
        </w:rPr>
        <w:t>9.3.1.2 </w:t>
      </w:r>
      <w:r>
        <w:rPr>
          <w:i/>
          <w:color w:val="008000"/>
          <w:sz w:val="20"/>
        </w:rPr>
        <w:t>Key Developments in submarket</w:t>
      </w:r>
    </w:p>
    <w:p>
      <w:pPr>
        <w:pStyle w:val="BodyText"/>
        <w:spacing w:before="76"/>
        <w:ind w:left="786"/>
      </w:pPr>
      <w:r>
        <w:rPr/>
        <w:pict>
          <v:group style="position:absolute;margin-left:36pt;margin-top:29.608635pt;width:523.6pt;height:34.7pt;mso-position-horizontal-relative:page;mso-position-vertical-relative:paragraph;z-index:-34503680" coordorigin="720,592" coordsize="10472,694">
            <v:shape style="position:absolute;left:720;top:1271;width:10472;height:15" coordorigin="720,1271" coordsize="10472,15" path="m8623,1271l6695,1271,6681,1271,6681,1271,5298,1271,5283,1271,3431,1271,3416,1271,720,1271,720,1286,3416,1286,3431,1286,5283,1286,5298,1286,6681,1286,6681,1286,6695,1286,8623,1286,8623,1271xm11191,1271l8637,1271,8623,1271,8623,1286,8637,1286,11191,1286,11191,1271xe" filled="true" fillcolor="#69bd28" stroked="false">
              <v:path arrowok="t"/>
              <v:fill type="solid"/>
            </v:shape>
            <v:shape style="position:absolute;left:720;top:623;width:10472;height:648" coordorigin="720,623" coordsize="10472,648" path="m8623,623l6681,623,6681,623,5283,623,3416,623,720,623,720,1271,3416,1271,5283,1271,6681,1271,6681,1271,8623,1271,8623,623xm11191,623l8623,623,8623,1271,11191,1271,11191,623xe" filled="true" fillcolor="#006a4d" stroked="false">
              <v:path arrowok="t"/>
              <v:fill type="solid"/>
            </v:shape>
            <v:rect style="position:absolute;left:720;top:592;width:2697;height:29" filled="true" fillcolor="#1f6b16" stroked="false">
              <v:fill type="solid"/>
            </v:rect>
            <v:shape style="position:absolute;left:720;top:620;width:2725;height:3" coordorigin="720,621" coordsize="2725,3" path="m3445,621l3416,621,720,621,720,623,3416,623,3445,623,3445,621xe" filled="true" fillcolor="#006a4d" stroked="false">
              <v:path arrowok="t"/>
              <v:fill type="solid"/>
            </v:shape>
            <v:shape style="position:absolute;left:3416;top:592;width:1868;height:29" coordorigin="3416,592" coordsize="1868,29" path="m5283,592l3445,592,3416,592,3416,621,3445,621,5283,621,5283,592xe" filled="true" fillcolor="#1f6b16" stroked="false">
              <v:path arrowok="t"/>
              <v:fill type="solid"/>
            </v:shape>
            <v:shape style="position:absolute;left:3445;top:620;width:1868;height:3" coordorigin="3445,621" coordsize="1868,3" path="m5312,621l5283,621,3445,621,3445,623,5283,623,5312,623,5312,621xe" filled="true" fillcolor="#006a4d" stroked="false">
              <v:path arrowok="t"/>
              <v:fill type="solid"/>
            </v:shape>
            <v:shape style="position:absolute;left:5283;top:592;width:1398;height:29" coordorigin="5283,592" coordsize="1398,29" path="m6681,592l5312,592,5283,592,5283,621,5312,621,6681,621,6681,592xe" filled="true" fillcolor="#1f6b16" stroked="false">
              <v:path arrowok="t"/>
              <v:fill type="solid"/>
            </v:shape>
            <v:shape style="position:absolute;left:5312;top:620;width:1398;height:3" coordorigin="5312,621" coordsize="1398,3" path="m6709,621l6681,621,5312,621,5312,623,6681,623,6709,623,6709,621xe" filled="true" fillcolor="#006a4d" stroked="false">
              <v:path arrowok="t"/>
              <v:fill type="solid"/>
            </v:shape>
            <v:shape style="position:absolute;left:6680;top:592;width:1943;height:29" coordorigin="6681,592" coordsize="1943,29" path="m6709,592l6681,592,6681,621,6709,621,6709,592xm8623,592l6709,592,6709,621,8623,621,8623,592xe" filled="true" fillcolor="#1f6b16" stroked="false">
              <v:path arrowok="t"/>
              <v:fill type="solid"/>
            </v:shape>
            <v:shape style="position:absolute;left:6709;top:620;width:1943;height:3" coordorigin="6709,621" coordsize="1943,3" path="m8623,621l6709,621,6709,623,8623,623,8623,621xm8652,621l8623,621,8623,623,8652,623,8652,621xe" filled="true" fillcolor="#006a4d" stroked="false">
              <v:path arrowok="t"/>
              <v:fill type="solid"/>
            </v:shape>
            <v:shape style="position:absolute;left:8622;top:592;width:2569;height:29" coordorigin="8623,592" coordsize="2569,29" path="m11191,592l8652,592,8623,592,8623,621,8652,621,11191,621,11191,592xe" filled="true" fillcolor="#1f6b16" stroked="false">
              <v:path arrowok="t"/>
              <v:fill type="solid"/>
            </v:shape>
            <v:rect style="position:absolute;left:8651;top:620;width:2540;height:3" filled="true" fillcolor="#006a4d" stroked="false">
              <v:fill type="solid"/>
            </v:rect>
            <v:shape style="position:absolute;left:1382;top:838;width:1390;height:216" type="#_x0000_t202" filled="false" stroked="false">
              <v:textbox inset="0,0,0,0">
                <w:txbxContent>
                  <w:p>
                    <w:pPr>
                      <w:spacing w:before="4"/>
                      <w:ind w:left="0" w:right="0" w:firstLine="0"/>
                      <w:jc w:val="left"/>
                      <w:rPr>
                        <w:b/>
                        <w:sz w:val="18"/>
                      </w:rPr>
                    </w:pPr>
                    <w:r>
                      <w:rPr>
                        <w:b/>
                        <w:color w:val="FFFFFF"/>
                        <w:w w:val="115"/>
                        <w:sz w:val="18"/>
                      </w:rPr>
                      <w:t>Building Name</w:t>
                    </w:r>
                  </w:p>
                </w:txbxContent>
              </v:textbox>
              <w10:wrap type="none"/>
            </v:shape>
            <v:shape style="position:absolute;left:3745;top:730;width:1228;height:432" type="#_x0000_t202" filled="false" stroked="false">
              <v:textbox inset="0,0,0,0">
                <w:txbxContent>
                  <w:p>
                    <w:pPr>
                      <w:spacing w:line="247" w:lineRule="auto" w:before="4"/>
                      <w:ind w:left="391" w:right="0" w:hanging="392"/>
                      <w:jc w:val="left"/>
                      <w:rPr>
                        <w:b/>
                        <w:sz w:val="18"/>
                      </w:rPr>
                    </w:pPr>
                    <w:r>
                      <w:rPr>
                        <w:b/>
                        <w:color w:val="FFFFFF"/>
                        <w:w w:val="105"/>
                        <w:sz w:val="18"/>
                      </w:rPr>
                      <w:t>Development Type</w:t>
                    </w:r>
                  </w:p>
                </w:txbxContent>
              </v:textbox>
              <w10:wrap type="none"/>
            </v:shape>
            <v:shape style="position:absolute;left:5574;top:622;width:838;height:432" type="#_x0000_t202" filled="false" stroked="false">
              <v:textbox inset="0,0,0,0">
                <w:txbxContent>
                  <w:p>
                    <w:pPr>
                      <w:spacing w:line="247" w:lineRule="auto" w:before="4"/>
                      <w:ind w:left="187" w:right="12" w:hanging="188"/>
                      <w:jc w:val="left"/>
                      <w:rPr>
                        <w:b/>
                        <w:sz w:val="18"/>
                      </w:rPr>
                    </w:pPr>
                    <w:r>
                      <w:rPr>
                        <w:b/>
                        <w:color w:val="FFFFFF"/>
                        <w:w w:val="110"/>
                        <w:sz w:val="18"/>
                      </w:rPr>
                      <w:t>Leasable Area</w:t>
                    </w:r>
                  </w:p>
                </w:txbxContent>
              </v:textbox>
              <w10:wrap type="none"/>
            </v:shape>
            <v:shape style="position:absolute;left:6971;top:730;width:1382;height:432" type="#_x0000_t202" filled="false" stroked="false">
              <v:textbox inset="0,0,0,0">
                <w:txbxContent>
                  <w:p>
                    <w:pPr>
                      <w:spacing w:line="247" w:lineRule="auto" w:before="4"/>
                      <w:ind w:left="0" w:right="0" w:firstLine="432"/>
                      <w:jc w:val="left"/>
                      <w:rPr>
                        <w:b/>
                        <w:sz w:val="18"/>
                      </w:rPr>
                    </w:pPr>
                    <w:r>
                      <w:rPr>
                        <w:b/>
                        <w:color w:val="FFFFFF"/>
                        <w:w w:val="110"/>
                        <w:sz w:val="18"/>
                      </w:rPr>
                      <w:t>Rents (INR/sf/month)</w:t>
                    </w:r>
                  </w:p>
                </w:txbxContent>
              </v:textbox>
              <w10:wrap type="none"/>
            </v:shape>
            <v:shape style="position:absolute;left:8975;top:838;width:1885;height:216" type="#_x0000_t202" filled="false" stroked="false">
              <v:textbox inset="0,0,0,0">
                <w:txbxContent>
                  <w:p>
                    <w:pPr>
                      <w:spacing w:before="4"/>
                      <w:ind w:left="0" w:right="0" w:firstLine="0"/>
                      <w:jc w:val="left"/>
                      <w:rPr>
                        <w:b/>
                        <w:sz w:val="18"/>
                      </w:rPr>
                    </w:pPr>
                    <w:r>
                      <w:rPr>
                        <w:b/>
                        <w:color w:val="FFFFFF"/>
                        <w:w w:val="110"/>
                        <w:sz w:val="18"/>
                      </w:rPr>
                      <w:t>Approx. Vacancy</w:t>
                    </w:r>
                    <w:r>
                      <w:rPr>
                        <w:b/>
                        <w:color w:val="FFFFFF"/>
                        <w:spacing w:val="-31"/>
                        <w:w w:val="110"/>
                        <w:sz w:val="18"/>
                      </w:rPr>
                      <w:t> </w:t>
                    </w:r>
                    <w:r>
                      <w:rPr>
                        <w:b/>
                        <w:color w:val="FFFFFF"/>
                        <w:w w:val="110"/>
                        <w:sz w:val="18"/>
                      </w:rPr>
                      <w:t>(%)</w:t>
                    </w:r>
                  </w:p>
                </w:txbxContent>
              </v:textbox>
              <w10:wrap type="none"/>
            </v:shape>
            <w10:wrap type="none"/>
          </v:group>
        </w:pict>
      </w:r>
      <w:r>
        <w:rPr/>
        <w:t>The table below highlights the prominent competing developments in the submarket:</w:t>
      </w:r>
    </w:p>
    <w:p>
      <w:pPr>
        <w:pStyle w:val="BodyText"/>
        <w:rPr>
          <w:sz w:val="20"/>
        </w:rPr>
      </w:pPr>
    </w:p>
    <w:p>
      <w:pPr>
        <w:pStyle w:val="BodyText"/>
        <w:rPr>
          <w:sz w:val="20"/>
        </w:rPr>
      </w:pPr>
    </w:p>
    <w:p>
      <w:pPr>
        <w:pStyle w:val="BodyText"/>
        <w:spacing w:before="6"/>
        <w:rPr>
          <w:sz w:val="21"/>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83"/>
        <w:gridCol w:w="1768"/>
        <w:gridCol w:w="1630"/>
        <w:gridCol w:w="1876"/>
        <w:gridCol w:w="2525"/>
      </w:tblGrid>
      <w:tr>
        <w:trPr>
          <w:trHeight w:val="242" w:hRule="atLeast"/>
        </w:trPr>
        <w:tc>
          <w:tcPr>
            <w:tcW w:w="4451" w:type="dxa"/>
            <w:gridSpan w:val="2"/>
            <w:shd w:val="clear" w:color="auto" w:fill="006A4D"/>
          </w:tcPr>
          <w:p>
            <w:pPr>
              <w:pStyle w:val="TableParagraph"/>
              <w:jc w:val="left"/>
              <w:rPr>
                <w:rFonts w:ascii="Times New Roman"/>
                <w:sz w:val="16"/>
              </w:rPr>
            </w:pPr>
          </w:p>
        </w:tc>
        <w:tc>
          <w:tcPr>
            <w:tcW w:w="1630" w:type="dxa"/>
            <w:shd w:val="clear" w:color="auto" w:fill="006A4D"/>
          </w:tcPr>
          <w:p>
            <w:pPr>
              <w:pStyle w:val="TableParagraph"/>
              <w:spacing w:before="12"/>
              <w:ind w:left="545" w:right="529"/>
              <w:rPr>
                <w:b/>
                <w:sz w:val="18"/>
              </w:rPr>
            </w:pPr>
            <w:r>
              <w:rPr>
                <w:b/>
                <w:color w:val="FFFFFF"/>
                <w:w w:val="105"/>
                <w:sz w:val="18"/>
              </w:rPr>
              <w:t>(in sf)</w:t>
            </w:r>
          </w:p>
        </w:tc>
        <w:tc>
          <w:tcPr>
            <w:tcW w:w="4401" w:type="dxa"/>
            <w:gridSpan w:val="2"/>
            <w:shd w:val="clear" w:color="auto" w:fill="006A4D"/>
          </w:tcPr>
          <w:p>
            <w:pPr>
              <w:pStyle w:val="TableParagraph"/>
              <w:jc w:val="left"/>
              <w:rPr>
                <w:rFonts w:ascii="Times New Roman"/>
                <w:sz w:val="16"/>
              </w:rPr>
            </w:pPr>
          </w:p>
        </w:tc>
      </w:tr>
      <w:tr>
        <w:trPr>
          <w:trHeight w:val="348" w:hRule="atLeast"/>
        </w:trPr>
        <w:tc>
          <w:tcPr>
            <w:tcW w:w="2683" w:type="dxa"/>
            <w:tcBorders>
              <w:bottom w:val="single" w:sz="6" w:space="0" w:color="69BD28"/>
            </w:tcBorders>
          </w:tcPr>
          <w:p>
            <w:pPr>
              <w:pStyle w:val="TableParagraph"/>
              <w:spacing w:before="72"/>
              <w:ind w:left="705" w:right="664"/>
              <w:rPr>
                <w:sz w:val="18"/>
              </w:rPr>
            </w:pPr>
            <w:r>
              <w:rPr>
                <w:w w:val="105"/>
                <w:sz w:val="18"/>
              </w:rPr>
              <w:t>Development 1</w:t>
            </w:r>
          </w:p>
        </w:tc>
        <w:tc>
          <w:tcPr>
            <w:tcW w:w="1768" w:type="dxa"/>
            <w:tcBorders>
              <w:bottom w:val="single" w:sz="6" w:space="0" w:color="69BD28"/>
            </w:tcBorders>
          </w:tcPr>
          <w:p>
            <w:pPr>
              <w:pStyle w:val="TableParagraph"/>
              <w:spacing w:before="39"/>
              <w:ind w:left="695" w:right="542"/>
              <w:rPr>
                <w:sz w:val="18"/>
              </w:rPr>
            </w:pPr>
            <w:r>
              <w:rPr>
                <w:sz w:val="18"/>
              </w:rPr>
              <w:t>IT SEZ</w:t>
            </w:r>
          </w:p>
        </w:tc>
        <w:tc>
          <w:tcPr>
            <w:tcW w:w="1630" w:type="dxa"/>
            <w:tcBorders>
              <w:bottom w:val="single" w:sz="6" w:space="0" w:color="69BD28"/>
            </w:tcBorders>
          </w:tcPr>
          <w:p>
            <w:pPr>
              <w:pStyle w:val="TableParagraph"/>
              <w:spacing w:before="39"/>
              <w:ind w:left="545" w:right="523"/>
              <w:rPr>
                <w:sz w:val="18"/>
              </w:rPr>
            </w:pPr>
            <w:r>
              <w:rPr>
                <w:w w:val="105"/>
                <w:sz w:val="18"/>
              </w:rPr>
              <w:t>1.5</w:t>
            </w:r>
          </w:p>
        </w:tc>
        <w:tc>
          <w:tcPr>
            <w:tcW w:w="1876" w:type="dxa"/>
            <w:tcBorders>
              <w:bottom w:val="single" w:sz="6" w:space="0" w:color="69BD28"/>
            </w:tcBorders>
          </w:tcPr>
          <w:p>
            <w:pPr>
              <w:pStyle w:val="TableParagraph"/>
              <w:spacing w:before="39"/>
              <w:ind w:left="553"/>
              <w:jc w:val="left"/>
              <w:rPr>
                <w:sz w:val="18"/>
              </w:rPr>
            </w:pPr>
            <w:r>
              <w:rPr>
                <w:w w:val="120"/>
                <w:sz w:val="18"/>
              </w:rPr>
              <w:t>45 – 50</w:t>
            </w:r>
          </w:p>
        </w:tc>
        <w:tc>
          <w:tcPr>
            <w:tcW w:w="2525" w:type="dxa"/>
            <w:tcBorders>
              <w:bottom w:val="single" w:sz="6" w:space="0" w:color="69BD28"/>
            </w:tcBorders>
          </w:tcPr>
          <w:p>
            <w:pPr>
              <w:pStyle w:val="TableParagraph"/>
              <w:spacing w:before="39"/>
              <w:ind w:left="658" w:right="693"/>
              <w:rPr>
                <w:sz w:val="18"/>
              </w:rPr>
            </w:pPr>
            <w:r>
              <w:rPr>
                <w:w w:val="105"/>
                <w:sz w:val="18"/>
              </w:rPr>
              <w:t>4.0 - 6.0%</w:t>
            </w:r>
          </w:p>
        </w:tc>
      </w:tr>
      <w:tr>
        <w:trPr>
          <w:trHeight w:val="360" w:hRule="atLeast"/>
        </w:trPr>
        <w:tc>
          <w:tcPr>
            <w:tcW w:w="2683" w:type="dxa"/>
            <w:tcBorders>
              <w:top w:val="single" w:sz="6" w:space="0" w:color="69BD28"/>
              <w:bottom w:val="single" w:sz="6" w:space="0" w:color="69BD28"/>
            </w:tcBorders>
          </w:tcPr>
          <w:p>
            <w:pPr>
              <w:pStyle w:val="TableParagraph"/>
              <w:spacing w:before="84"/>
              <w:ind w:left="706" w:right="664"/>
              <w:rPr>
                <w:sz w:val="18"/>
              </w:rPr>
            </w:pPr>
            <w:r>
              <w:rPr>
                <w:w w:val="105"/>
                <w:sz w:val="18"/>
              </w:rPr>
              <w:t>Development 2</w:t>
            </w:r>
          </w:p>
        </w:tc>
        <w:tc>
          <w:tcPr>
            <w:tcW w:w="1768" w:type="dxa"/>
            <w:tcBorders>
              <w:top w:val="single" w:sz="6" w:space="0" w:color="69BD28"/>
              <w:bottom w:val="single" w:sz="6" w:space="0" w:color="69BD28"/>
            </w:tcBorders>
          </w:tcPr>
          <w:p>
            <w:pPr>
              <w:pStyle w:val="TableParagraph"/>
              <w:spacing w:before="53"/>
              <w:ind w:left="693" w:right="542"/>
              <w:rPr>
                <w:sz w:val="18"/>
              </w:rPr>
            </w:pPr>
            <w:r>
              <w:rPr>
                <w:sz w:val="18"/>
              </w:rPr>
              <w:t>IT</w:t>
            </w:r>
          </w:p>
        </w:tc>
        <w:tc>
          <w:tcPr>
            <w:tcW w:w="1630" w:type="dxa"/>
            <w:tcBorders>
              <w:top w:val="single" w:sz="6" w:space="0" w:color="69BD28"/>
              <w:bottom w:val="single" w:sz="6" w:space="0" w:color="69BD28"/>
            </w:tcBorders>
          </w:tcPr>
          <w:p>
            <w:pPr>
              <w:pStyle w:val="TableParagraph"/>
              <w:spacing w:before="53"/>
              <w:ind w:left="545" w:right="528"/>
              <w:rPr>
                <w:sz w:val="18"/>
              </w:rPr>
            </w:pPr>
            <w:r>
              <w:rPr>
                <w:w w:val="105"/>
                <w:sz w:val="18"/>
              </w:rPr>
              <w:t>0.2</w:t>
            </w:r>
          </w:p>
        </w:tc>
        <w:tc>
          <w:tcPr>
            <w:tcW w:w="1876" w:type="dxa"/>
            <w:tcBorders>
              <w:top w:val="single" w:sz="6" w:space="0" w:color="69BD28"/>
              <w:bottom w:val="single" w:sz="6" w:space="0" w:color="69BD28"/>
            </w:tcBorders>
          </w:tcPr>
          <w:p>
            <w:pPr>
              <w:pStyle w:val="TableParagraph"/>
              <w:spacing w:before="53"/>
              <w:ind w:left="553"/>
              <w:jc w:val="left"/>
              <w:rPr>
                <w:sz w:val="18"/>
              </w:rPr>
            </w:pPr>
            <w:r>
              <w:rPr>
                <w:w w:val="120"/>
                <w:sz w:val="18"/>
              </w:rPr>
              <w:t>40 – 45</w:t>
            </w:r>
          </w:p>
        </w:tc>
        <w:tc>
          <w:tcPr>
            <w:tcW w:w="2525" w:type="dxa"/>
            <w:tcBorders>
              <w:top w:val="single" w:sz="6" w:space="0" w:color="69BD28"/>
              <w:bottom w:val="single" w:sz="6" w:space="0" w:color="69BD28"/>
            </w:tcBorders>
          </w:tcPr>
          <w:p>
            <w:pPr>
              <w:pStyle w:val="TableParagraph"/>
              <w:spacing w:before="53"/>
              <w:ind w:left="658" w:right="692"/>
              <w:rPr>
                <w:sz w:val="18"/>
              </w:rPr>
            </w:pPr>
            <w:r>
              <w:rPr>
                <w:sz w:val="18"/>
              </w:rPr>
              <w:t>Minimal</w:t>
            </w:r>
          </w:p>
        </w:tc>
      </w:tr>
      <w:tr>
        <w:trPr>
          <w:trHeight w:val="361" w:hRule="atLeast"/>
        </w:trPr>
        <w:tc>
          <w:tcPr>
            <w:tcW w:w="2683" w:type="dxa"/>
            <w:tcBorders>
              <w:top w:val="single" w:sz="6" w:space="0" w:color="69BD28"/>
              <w:bottom w:val="single" w:sz="6" w:space="0" w:color="69BD28"/>
            </w:tcBorders>
          </w:tcPr>
          <w:p>
            <w:pPr>
              <w:pStyle w:val="TableParagraph"/>
              <w:spacing w:before="86"/>
              <w:ind w:left="706" w:right="664"/>
              <w:rPr>
                <w:sz w:val="18"/>
              </w:rPr>
            </w:pPr>
            <w:r>
              <w:rPr>
                <w:w w:val="105"/>
                <w:sz w:val="18"/>
              </w:rPr>
              <w:t>Development 3</w:t>
            </w:r>
          </w:p>
        </w:tc>
        <w:tc>
          <w:tcPr>
            <w:tcW w:w="1768" w:type="dxa"/>
            <w:tcBorders>
              <w:top w:val="single" w:sz="6" w:space="0" w:color="69BD28"/>
              <w:bottom w:val="single" w:sz="6" w:space="0" w:color="69BD28"/>
            </w:tcBorders>
          </w:tcPr>
          <w:p>
            <w:pPr>
              <w:pStyle w:val="TableParagraph"/>
              <w:spacing w:before="52"/>
              <w:ind w:left="693" w:right="542"/>
              <w:rPr>
                <w:sz w:val="18"/>
              </w:rPr>
            </w:pPr>
            <w:r>
              <w:rPr>
                <w:sz w:val="18"/>
              </w:rPr>
              <w:t>IT</w:t>
            </w:r>
          </w:p>
        </w:tc>
        <w:tc>
          <w:tcPr>
            <w:tcW w:w="1630" w:type="dxa"/>
            <w:tcBorders>
              <w:top w:val="single" w:sz="6" w:space="0" w:color="69BD28"/>
              <w:bottom w:val="single" w:sz="6" w:space="0" w:color="69BD28"/>
            </w:tcBorders>
          </w:tcPr>
          <w:p>
            <w:pPr>
              <w:pStyle w:val="TableParagraph"/>
              <w:spacing w:before="52"/>
              <w:ind w:left="545" w:right="523"/>
              <w:rPr>
                <w:sz w:val="18"/>
              </w:rPr>
            </w:pPr>
            <w:r>
              <w:rPr>
                <w:w w:val="105"/>
                <w:sz w:val="18"/>
              </w:rPr>
              <w:t>0.4</w:t>
            </w:r>
          </w:p>
        </w:tc>
        <w:tc>
          <w:tcPr>
            <w:tcW w:w="1876" w:type="dxa"/>
            <w:tcBorders>
              <w:top w:val="single" w:sz="6" w:space="0" w:color="69BD28"/>
              <w:bottom w:val="single" w:sz="6" w:space="0" w:color="69BD28"/>
            </w:tcBorders>
          </w:tcPr>
          <w:p>
            <w:pPr>
              <w:pStyle w:val="TableParagraph"/>
              <w:spacing w:before="52"/>
              <w:ind w:left="553"/>
              <w:jc w:val="left"/>
              <w:rPr>
                <w:sz w:val="18"/>
              </w:rPr>
            </w:pPr>
            <w:r>
              <w:rPr>
                <w:w w:val="120"/>
                <w:sz w:val="18"/>
              </w:rPr>
              <w:t>50 – 55</w:t>
            </w:r>
          </w:p>
        </w:tc>
        <w:tc>
          <w:tcPr>
            <w:tcW w:w="2525" w:type="dxa"/>
            <w:tcBorders>
              <w:top w:val="single" w:sz="6" w:space="0" w:color="69BD28"/>
              <w:bottom w:val="single" w:sz="6" w:space="0" w:color="69BD28"/>
            </w:tcBorders>
          </w:tcPr>
          <w:p>
            <w:pPr>
              <w:pStyle w:val="TableParagraph"/>
              <w:spacing w:before="52"/>
              <w:ind w:left="658" w:right="698"/>
              <w:rPr>
                <w:sz w:val="18"/>
              </w:rPr>
            </w:pPr>
            <w:r>
              <w:rPr>
                <w:w w:val="115"/>
                <w:sz w:val="18"/>
              </w:rPr>
              <w:t>25.0 – 30.0%</w:t>
            </w:r>
          </w:p>
        </w:tc>
      </w:tr>
      <w:tr>
        <w:trPr>
          <w:trHeight w:val="359" w:hRule="atLeast"/>
        </w:trPr>
        <w:tc>
          <w:tcPr>
            <w:tcW w:w="2683" w:type="dxa"/>
            <w:tcBorders>
              <w:top w:val="single" w:sz="6" w:space="0" w:color="69BD28"/>
              <w:bottom w:val="single" w:sz="6" w:space="0" w:color="69BD28"/>
            </w:tcBorders>
          </w:tcPr>
          <w:p>
            <w:pPr>
              <w:pStyle w:val="TableParagraph"/>
              <w:spacing w:before="84"/>
              <w:ind w:left="706" w:right="664"/>
              <w:rPr>
                <w:sz w:val="18"/>
              </w:rPr>
            </w:pPr>
            <w:r>
              <w:rPr>
                <w:w w:val="105"/>
                <w:sz w:val="18"/>
              </w:rPr>
              <w:t>Development 4</w:t>
            </w:r>
          </w:p>
        </w:tc>
        <w:tc>
          <w:tcPr>
            <w:tcW w:w="1768" w:type="dxa"/>
            <w:tcBorders>
              <w:top w:val="single" w:sz="6" w:space="0" w:color="69BD28"/>
              <w:bottom w:val="single" w:sz="6" w:space="0" w:color="69BD28"/>
            </w:tcBorders>
          </w:tcPr>
          <w:p>
            <w:pPr>
              <w:pStyle w:val="TableParagraph"/>
              <w:spacing w:before="50"/>
              <w:ind w:left="695" w:right="542"/>
              <w:rPr>
                <w:sz w:val="18"/>
              </w:rPr>
            </w:pPr>
            <w:r>
              <w:rPr>
                <w:sz w:val="18"/>
              </w:rPr>
              <w:t>IT SEZ</w:t>
            </w:r>
          </w:p>
        </w:tc>
        <w:tc>
          <w:tcPr>
            <w:tcW w:w="1630" w:type="dxa"/>
            <w:tcBorders>
              <w:top w:val="single" w:sz="6" w:space="0" w:color="69BD28"/>
              <w:bottom w:val="single" w:sz="6" w:space="0" w:color="69BD28"/>
            </w:tcBorders>
          </w:tcPr>
          <w:p>
            <w:pPr>
              <w:pStyle w:val="TableParagraph"/>
              <w:spacing w:before="50"/>
              <w:ind w:left="545" w:right="523"/>
              <w:rPr>
                <w:sz w:val="18"/>
              </w:rPr>
            </w:pPr>
            <w:r>
              <w:rPr>
                <w:w w:val="105"/>
                <w:sz w:val="18"/>
              </w:rPr>
              <w:t>1.9</w:t>
            </w:r>
          </w:p>
        </w:tc>
        <w:tc>
          <w:tcPr>
            <w:tcW w:w="1876" w:type="dxa"/>
            <w:tcBorders>
              <w:top w:val="single" w:sz="6" w:space="0" w:color="69BD28"/>
              <w:bottom w:val="single" w:sz="6" w:space="0" w:color="69BD28"/>
            </w:tcBorders>
          </w:tcPr>
          <w:p>
            <w:pPr>
              <w:pStyle w:val="TableParagraph"/>
              <w:spacing w:before="50"/>
              <w:ind w:left="553"/>
              <w:jc w:val="left"/>
              <w:rPr>
                <w:sz w:val="18"/>
              </w:rPr>
            </w:pPr>
            <w:r>
              <w:rPr>
                <w:w w:val="120"/>
                <w:sz w:val="18"/>
              </w:rPr>
              <w:t>45 – 50</w:t>
            </w:r>
          </w:p>
        </w:tc>
        <w:tc>
          <w:tcPr>
            <w:tcW w:w="2525" w:type="dxa"/>
            <w:tcBorders>
              <w:top w:val="single" w:sz="6" w:space="0" w:color="69BD28"/>
              <w:bottom w:val="single" w:sz="6" w:space="0" w:color="69BD28"/>
            </w:tcBorders>
          </w:tcPr>
          <w:p>
            <w:pPr>
              <w:pStyle w:val="TableParagraph"/>
              <w:spacing w:before="50"/>
              <w:ind w:left="658" w:right="692"/>
              <w:rPr>
                <w:sz w:val="18"/>
              </w:rPr>
            </w:pPr>
            <w:r>
              <w:rPr>
                <w:sz w:val="18"/>
              </w:rPr>
              <w:t>Minimal</w:t>
            </w:r>
          </w:p>
        </w:tc>
      </w:tr>
      <w:tr>
        <w:trPr>
          <w:trHeight w:val="359" w:hRule="atLeast"/>
        </w:trPr>
        <w:tc>
          <w:tcPr>
            <w:tcW w:w="2683" w:type="dxa"/>
            <w:tcBorders>
              <w:top w:val="single" w:sz="6" w:space="0" w:color="69BD28"/>
              <w:bottom w:val="single" w:sz="6" w:space="0" w:color="69BD28"/>
            </w:tcBorders>
          </w:tcPr>
          <w:p>
            <w:pPr>
              <w:pStyle w:val="TableParagraph"/>
              <w:spacing w:before="84"/>
              <w:ind w:left="706" w:right="664"/>
              <w:rPr>
                <w:sz w:val="18"/>
              </w:rPr>
            </w:pPr>
            <w:r>
              <w:rPr>
                <w:w w:val="105"/>
                <w:sz w:val="18"/>
              </w:rPr>
              <w:t>Development 5</w:t>
            </w:r>
          </w:p>
        </w:tc>
        <w:tc>
          <w:tcPr>
            <w:tcW w:w="1768" w:type="dxa"/>
            <w:tcBorders>
              <w:top w:val="single" w:sz="6" w:space="0" w:color="69BD28"/>
              <w:bottom w:val="single" w:sz="6" w:space="0" w:color="69BD28"/>
            </w:tcBorders>
          </w:tcPr>
          <w:p>
            <w:pPr>
              <w:pStyle w:val="TableParagraph"/>
              <w:spacing w:before="50"/>
              <w:ind w:left="693" w:right="542"/>
              <w:rPr>
                <w:sz w:val="18"/>
              </w:rPr>
            </w:pPr>
            <w:r>
              <w:rPr>
                <w:sz w:val="18"/>
              </w:rPr>
              <w:t>IT</w:t>
            </w:r>
          </w:p>
        </w:tc>
        <w:tc>
          <w:tcPr>
            <w:tcW w:w="1630" w:type="dxa"/>
            <w:tcBorders>
              <w:top w:val="single" w:sz="6" w:space="0" w:color="69BD28"/>
              <w:bottom w:val="single" w:sz="6" w:space="0" w:color="69BD28"/>
            </w:tcBorders>
          </w:tcPr>
          <w:p>
            <w:pPr>
              <w:pStyle w:val="TableParagraph"/>
              <w:spacing w:before="50"/>
              <w:ind w:left="545" w:right="528"/>
              <w:rPr>
                <w:sz w:val="18"/>
              </w:rPr>
            </w:pPr>
            <w:r>
              <w:rPr>
                <w:w w:val="105"/>
                <w:sz w:val="18"/>
              </w:rPr>
              <w:t>0.2</w:t>
            </w:r>
          </w:p>
        </w:tc>
        <w:tc>
          <w:tcPr>
            <w:tcW w:w="1876" w:type="dxa"/>
            <w:tcBorders>
              <w:top w:val="single" w:sz="6" w:space="0" w:color="69BD28"/>
              <w:bottom w:val="single" w:sz="6" w:space="0" w:color="69BD28"/>
            </w:tcBorders>
          </w:tcPr>
          <w:p>
            <w:pPr>
              <w:pStyle w:val="TableParagraph"/>
              <w:spacing w:before="50"/>
              <w:ind w:left="553"/>
              <w:jc w:val="left"/>
              <w:rPr>
                <w:sz w:val="18"/>
              </w:rPr>
            </w:pPr>
            <w:r>
              <w:rPr>
                <w:w w:val="120"/>
                <w:sz w:val="18"/>
              </w:rPr>
              <w:t>60 – 65</w:t>
            </w:r>
          </w:p>
        </w:tc>
        <w:tc>
          <w:tcPr>
            <w:tcW w:w="2525" w:type="dxa"/>
            <w:tcBorders>
              <w:top w:val="single" w:sz="6" w:space="0" w:color="69BD28"/>
              <w:bottom w:val="single" w:sz="6" w:space="0" w:color="69BD28"/>
            </w:tcBorders>
          </w:tcPr>
          <w:p>
            <w:pPr>
              <w:pStyle w:val="TableParagraph"/>
              <w:spacing w:before="50"/>
              <w:ind w:left="658" w:right="698"/>
              <w:rPr>
                <w:sz w:val="18"/>
              </w:rPr>
            </w:pPr>
            <w:r>
              <w:rPr>
                <w:w w:val="115"/>
                <w:sz w:val="18"/>
              </w:rPr>
              <w:t>20.0 – 25.0%</w:t>
            </w:r>
          </w:p>
        </w:tc>
      </w:tr>
      <w:tr>
        <w:trPr>
          <w:trHeight w:val="359" w:hRule="atLeast"/>
        </w:trPr>
        <w:tc>
          <w:tcPr>
            <w:tcW w:w="2683" w:type="dxa"/>
            <w:tcBorders>
              <w:top w:val="single" w:sz="6" w:space="0" w:color="69BD28"/>
              <w:bottom w:val="single" w:sz="6" w:space="0" w:color="69BD28"/>
            </w:tcBorders>
          </w:tcPr>
          <w:p>
            <w:pPr>
              <w:pStyle w:val="TableParagraph"/>
              <w:spacing w:before="84"/>
              <w:ind w:left="706" w:right="664"/>
              <w:rPr>
                <w:sz w:val="18"/>
              </w:rPr>
            </w:pPr>
            <w:r>
              <w:rPr>
                <w:w w:val="105"/>
                <w:sz w:val="18"/>
              </w:rPr>
              <w:t>Development 6</w:t>
            </w:r>
          </w:p>
        </w:tc>
        <w:tc>
          <w:tcPr>
            <w:tcW w:w="1768" w:type="dxa"/>
            <w:tcBorders>
              <w:top w:val="single" w:sz="6" w:space="0" w:color="69BD28"/>
              <w:bottom w:val="single" w:sz="6" w:space="0" w:color="69BD28"/>
            </w:tcBorders>
          </w:tcPr>
          <w:p>
            <w:pPr>
              <w:pStyle w:val="TableParagraph"/>
              <w:spacing w:before="52"/>
              <w:ind w:left="695" w:right="542"/>
              <w:rPr>
                <w:sz w:val="18"/>
              </w:rPr>
            </w:pPr>
            <w:r>
              <w:rPr>
                <w:sz w:val="18"/>
              </w:rPr>
              <w:t>IT SEZ</w:t>
            </w:r>
          </w:p>
        </w:tc>
        <w:tc>
          <w:tcPr>
            <w:tcW w:w="1630" w:type="dxa"/>
            <w:tcBorders>
              <w:top w:val="single" w:sz="6" w:space="0" w:color="69BD28"/>
              <w:bottom w:val="single" w:sz="6" w:space="0" w:color="69BD28"/>
            </w:tcBorders>
          </w:tcPr>
          <w:p>
            <w:pPr>
              <w:pStyle w:val="TableParagraph"/>
              <w:spacing w:before="52"/>
              <w:ind w:left="545" w:right="523"/>
              <w:rPr>
                <w:sz w:val="18"/>
              </w:rPr>
            </w:pPr>
            <w:r>
              <w:rPr>
                <w:w w:val="105"/>
                <w:sz w:val="18"/>
              </w:rPr>
              <w:t>1.5</w:t>
            </w:r>
          </w:p>
        </w:tc>
        <w:tc>
          <w:tcPr>
            <w:tcW w:w="1876" w:type="dxa"/>
            <w:tcBorders>
              <w:top w:val="single" w:sz="6" w:space="0" w:color="69BD28"/>
              <w:bottom w:val="single" w:sz="6" w:space="0" w:color="69BD28"/>
            </w:tcBorders>
          </w:tcPr>
          <w:p>
            <w:pPr>
              <w:pStyle w:val="TableParagraph"/>
              <w:spacing w:before="52"/>
              <w:ind w:left="553"/>
              <w:jc w:val="left"/>
              <w:rPr>
                <w:sz w:val="18"/>
              </w:rPr>
            </w:pPr>
            <w:r>
              <w:rPr>
                <w:w w:val="120"/>
                <w:sz w:val="18"/>
              </w:rPr>
              <w:t>45 – 50</w:t>
            </w:r>
          </w:p>
        </w:tc>
        <w:tc>
          <w:tcPr>
            <w:tcW w:w="2525" w:type="dxa"/>
            <w:tcBorders>
              <w:top w:val="single" w:sz="6" w:space="0" w:color="69BD28"/>
              <w:bottom w:val="single" w:sz="6" w:space="0" w:color="69BD28"/>
            </w:tcBorders>
          </w:tcPr>
          <w:p>
            <w:pPr>
              <w:pStyle w:val="TableParagraph"/>
              <w:spacing w:before="52"/>
              <w:ind w:left="658" w:right="692"/>
              <w:rPr>
                <w:sz w:val="18"/>
              </w:rPr>
            </w:pPr>
            <w:r>
              <w:rPr>
                <w:sz w:val="18"/>
              </w:rPr>
              <w:t>Minimal</w:t>
            </w:r>
          </w:p>
        </w:tc>
      </w:tr>
      <w:tr>
        <w:trPr>
          <w:trHeight w:val="361" w:hRule="atLeast"/>
        </w:trPr>
        <w:tc>
          <w:tcPr>
            <w:tcW w:w="2683" w:type="dxa"/>
            <w:tcBorders>
              <w:top w:val="single" w:sz="6" w:space="0" w:color="69BD28"/>
              <w:bottom w:val="single" w:sz="6" w:space="0" w:color="69BD28"/>
            </w:tcBorders>
          </w:tcPr>
          <w:p>
            <w:pPr>
              <w:pStyle w:val="TableParagraph"/>
              <w:spacing w:before="86"/>
              <w:ind w:left="706" w:right="664"/>
              <w:rPr>
                <w:sz w:val="18"/>
              </w:rPr>
            </w:pPr>
            <w:r>
              <w:rPr>
                <w:w w:val="105"/>
                <w:sz w:val="18"/>
              </w:rPr>
              <w:t>Development 7</w:t>
            </w:r>
          </w:p>
        </w:tc>
        <w:tc>
          <w:tcPr>
            <w:tcW w:w="1768" w:type="dxa"/>
            <w:tcBorders>
              <w:top w:val="single" w:sz="6" w:space="0" w:color="69BD28"/>
              <w:bottom w:val="single" w:sz="6" w:space="0" w:color="69BD28"/>
            </w:tcBorders>
          </w:tcPr>
          <w:p>
            <w:pPr>
              <w:pStyle w:val="TableParagraph"/>
              <w:spacing w:before="52"/>
              <w:ind w:left="695" w:right="542"/>
              <w:rPr>
                <w:sz w:val="18"/>
              </w:rPr>
            </w:pPr>
            <w:r>
              <w:rPr>
                <w:sz w:val="18"/>
              </w:rPr>
              <w:t>IT SEZ</w:t>
            </w:r>
          </w:p>
        </w:tc>
        <w:tc>
          <w:tcPr>
            <w:tcW w:w="1630" w:type="dxa"/>
            <w:tcBorders>
              <w:top w:val="single" w:sz="6" w:space="0" w:color="69BD28"/>
              <w:bottom w:val="single" w:sz="6" w:space="0" w:color="69BD28"/>
            </w:tcBorders>
          </w:tcPr>
          <w:p>
            <w:pPr>
              <w:pStyle w:val="TableParagraph"/>
              <w:spacing w:before="52"/>
              <w:ind w:left="545" w:right="528"/>
              <w:rPr>
                <w:sz w:val="18"/>
              </w:rPr>
            </w:pPr>
            <w:r>
              <w:rPr>
                <w:w w:val="105"/>
                <w:sz w:val="18"/>
              </w:rPr>
              <w:t>1.9</w:t>
            </w:r>
          </w:p>
        </w:tc>
        <w:tc>
          <w:tcPr>
            <w:tcW w:w="1876" w:type="dxa"/>
            <w:tcBorders>
              <w:top w:val="single" w:sz="6" w:space="0" w:color="69BD28"/>
              <w:bottom w:val="single" w:sz="6" w:space="0" w:color="69BD28"/>
            </w:tcBorders>
          </w:tcPr>
          <w:p>
            <w:pPr>
              <w:pStyle w:val="TableParagraph"/>
              <w:spacing w:before="52"/>
              <w:ind w:left="553"/>
              <w:jc w:val="left"/>
              <w:rPr>
                <w:sz w:val="18"/>
              </w:rPr>
            </w:pPr>
            <w:r>
              <w:rPr>
                <w:w w:val="120"/>
                <w:sz w:val="18"/>
              </w:rPr>
              <w:t>45 – 50</w:t>
            </w:r>
          </w:p>
        </w:tc>
        <w:tc>
          <w:tcPr>
            <w:tcW w:w="2525" w:type="dxa"/>
            <w:tcBorders>
              <w:top w:val="single" w:sz="6" w:space="0" w:color="69BD28"/>
              <w:bottom w:val="single" w:sz="6" w:space="0" w:color="69BD28"/>
            </w:tcBorders>
          </w:tcPr>
          <w:p>
            <w:pPr>
              <w:pStyle w:val="TableParagraph"/>
              <w:spacing w:before="52"/>
              <w:ind w:left="658" w:right="698"/>
              <w:rPr>
                <w:sz w:val="18"/>
              </w:rPr>
            </w:pPr>
            <w:r>
              <w:rPr>
                <w:w w:val="105"/>
                <w:sz w:val="18"/>
              </w:rPr>
              <w:t>18.0 - 22.0%</w:t>
            </w:r>
          </w:p>
        </w:tc>
      </w:tr>
    </w:tbl>
    <w:p>
      <w:pPr>
        <w:spacing w:before="4"/>
        <w:ind w:left="220" w:right="0" w:firstLine="0"/>
        <w:jc w:val="left"/>
        <w:rPr>
          <w:i/>
          <w:sz w:val="16"/>
        </w:rPr>
      </w:pPr>
      <w:r>
        <w:rPr>
          <w:i/>
          <w:sz w:val="16"/>
        </w:rPr>
        <w:t>Source: CBRE Research</w:t>
      </w:r>
    </w:p>
    <w:p>
      <w:pPr>
        <w:pStyle w:val="BodyText"/>
        <w:spacing w:before="4"/>
        <w:rPr>
          <w:i/>
          <w:sz w:val="21"/>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172" w:id="335"/>
      <w:bookmarkEnd w:id="335"/>
      <w:r>
        <w:rPr/>
      </w:r>
      <w:bookmarkStart w:name="_bookmark172" w:id="336"/>
      <w:bookmarkEnd w:id="336"/>
      <w:r>
        <w:rPr>
          <w:color w:val="1F664D"/>
          <w:sz w:val="22"/>
        </w:rPr>
        <w:t>Le</w:t>
      </w:r>
      <w:r>
        <w:rPr>
          <w:color w:val="1F664D"/>
          <w:sz w:val="22"/>
        </w:rPr>
        <w:t>ase Rent</w:t>
      </w:r>
      <w:r>
        <w:rPr>
          <w:color w:val="1F664D"/>
          <w:spacing w:val="-3"/>
          <w:sz w:val="22"/>
        </w:rPr>
        <w:t> </w:t>
      </w:r>
      <w:r>
        <w:rPr>
          <w:color w:val="1F664D"/>
          <w:sz w:val="22"/>
        </w:rPr>
        <w:t>Analysis</w:t>
      </w:r>
    </w:p>
    <w:p>
      <w:pPr>
        <w:pStyle w:val="BodyText"/>
        <w:spacing w:line="321" w:lineRule="auto" w:before="208"/>
        <w:ind w:left="782" w:right="235"/>
        <w:jc w:val="both"/>
      </w:pPr>
      <w:r>
        <w:rPr>
          <w:w w:val="105"/>
        </w:rPr>
        <w:t>As</w:t>
      </w:r>
      <w:r>
        <w:rPr>
          <w:spacing w:val="-48"/>
          <w:w w:val="105"/>
        </w:rPr>
        <w:t> </w:t>
      </w:r>
      <w:r>
        <w:rPr>
          <w:w w:val="105"/>
        </w:rPr>
        <w:t>highlighted</w:t>
      </w:r>
      <w:r>
        <w:rPr>
          <w:spacing w:val="-48"/>
          <w:w w:val="105"/>
        </w:rPr>
        <w:t> </w:t>
      </w:r>
      <w:r>
        <w:rPr>
          <w:w w:val="105"/>
        </w:rPr>
        <w:t>earlier,</w:t>
      </w:r>
      <w:r>
        <w:rPr>
          <w:spacing w:val="-48"/>
          <w:w w:val="105"/>
        </w:rPr>
        <w:t> </w:t>
      </w:r>
      <w:r>
        <w:rPr>
          <w:w w:val="105"/>
        </w:rPr>
        <w:t>the</w:t>
      </w:r>
      <w:r>
        <w:rPr>
          <w:spacing w:val="-48"/>
          <w:w w:val="105"/>
        </w:rPr>
        <w:t> </w:t>
      </w:r>
      <w:r>
        <w:rPr>
          <w:w w:val="105"/>
        </w:rPr>
        <w:t>current</w:t>
      </w:r>
      <w:r>
        <w:rPr>
          <w:spacing w:val="-48"/>
          <w:w w:val="105"/>
        </w:rPr>
        <w:t> </w:t>
      </w:r>
      <w:r>
        <w:rPr>
          <w:w w:val="105"/>
        </w:rPr>
        <w:t>rents</w:t>
      </w:r>
      <w:r>
        <w:rPr>
          <w:spacing w:val="-48"/>
          <w:w w:val="105"/>
        </w:rPr>
        <w:t> </w:t>
      </w:r>
      <w:r>
        <w:rPr>
          <w:w w:val="105"/>
        </w:rPr>
        <w:t>in</w:t>
      </w:r>
      <w:r>
        <w:rPr>
          <w:spacing w:val="-49"/>
          <w:w w:val="105"/>
        </w:rPr>
        <w:t> </w:t>
      </w:r>
      <w:r>
        <w:rPr>
          <w:w w:val="105"/>
        </w:rPr>
        <w:t>submarket</w:t>
      </w:r>
      <w:r>
        <w:rPr>
          <w:spacing w:val="-47"/>
          <w:w w:val="105"/>
        </w:rPr>
        <w:t> </w:t>
      </w:r>
      <w:r>
        <w:rPr>
          <w:w w:val="105"/>
        </w:rPr>
        <w:t>vary</w:t>
      </w:r>
      <w:r>
        <w:rPr>
          <w:spacing w:val="-48"/>
          <w:w w:val="105"/>
        </w:rPr>
        <w:t> </w:t>
      </w:r>
      <w:r>
        <w:rPr>
          <w:w w:val="105"/>
        </w:rPr>
        <w:t>between</w:t>
      </w:r>
      <w:r>
        <w:rPr>
          <w:spacing w:val="-48"/>
          <w:w w:val="105"/>
        </w:rPr>
        <w:t> </w:t>
      </w:r>
      <w:r>
        <w:rPr>
          <w:w w:val="105"/>
        </w:rPr>
        <w:t>INR</w:t>
      </w:r>
      <w:r>
        <w:rPr>
          <w:spacing w:val="-49"/>
          <w:w w:val="105"/>
        </w:rPr>
        <w:t> </w:t>
      </w:r>
      <w:r>
        <w:rPr>
          <w:w w:val="105"/>
        </w:rPr>
        <w:t>40</w:t>
      </w:r>
      <w:r>
        <w:rPr>
          <w:spacing w:val="-48"/>
          <w:w w:val="105"/>
        </w:rPr>
        <w:t> </w:t>
      </w:r>
      <w:r>
        <w:rPr>
          <w:w w:val="105"/>
        </w:rPr>
        <w:t>–</w:t>
      </w:r>
      <w:r>
        <w:rPr>
          <w:spacing w:val="-49"/>
          <w:w w:val="105"/>
        </w:rPr>
        <w:t> </w:t>
      </w:r>
      <w:r>
        <w:rPr>
          <w:w w:val="105"/>
        </w:rPr>
        <w:t>50</w:t>
      </w:r>
      <w:r>
        <w:rPr>
          <w:spacing w:val="-48"/>
          <w:w w:val="105"/>
        </w:rPr>
        <w:t> </w:t>
      </w:r>
      <w:r>
        <w:rPr>
          <w:w w:val="105"/>
        </w:rPr>
        <w:t>psf</w:t>
      </w:r>
      <w:r>
        <w:rPr>
          <w:spacing w:val="-48"/>
          <w:w w:val="105"/>
        </w:rPr>
        <w:t> </w:t>
      </w:r>
      <w:r>
        <w:rPr>
          <w:w w:val="105"/>
        </w:rPr>
        <w:t>pm</w:t>
      </w:r>
      <w:r>
        <w:rPr>
          <w:spacing w:val="-48"/>
          <w:w w:val="105"/>
        </w:rPr>
        <w:t> </w:t>
      </w:r>
      <w:r>
        <w:rPr>
          <w:w w:val="105"/>
        </w:rPr>
        <w:t>on</w:t>
      </w:r>
      <w:r>
        <w:rPr>
          <w:spacing w:val="-48"/>
          <w:w w:val="105"/>
        </w:rPr>
        <w:t> </w:t>
      </w:r>
      <w:r>
        <w:rPr>
          <w:w w:val="105"/>
        </w:rPr>
        <w:t>leasable</w:t>
      </w:r>
      <w:r>
        <w:rPr>
          <w:spacing w:val="-49"/>
          <w:w w:val="105"/>
        </w:rPr>
        <w:t> </w:t>
      </w:r>
      <w:r>
        <w:rPr>
          <w:w w:val="105"/>
        </w:rPr>
        <w:t>area depending</w:t>
      </w:r>
      <w:r>
        <w:rPr>
          <w:spacing w:val="-10"/>
          <w:w w:val="105"/>
        </w:rPr>
        <w:t> </w:t>
      </w:r>
      <w:r>
        <w:rPr>
          <w:w w:val="105"/>
        </w:rPr>
        <w:t>upon</w:t>
      </w:r>
      <w:r>
        <w:rPr>
          <w:spacing w:val="-11"/>
          <w:w w:val="105"/>
        </w:rPr>
        <w:t> </w:t>
      </w:r>
      <w:r>
        <w:rPr>
          <w:w w:val="105"/>
        </w:rPr>
        <w:t>specifications</w:t>
      </w:r>
      <w:r>
        <w:rPr>
          <w:spacing w:val="-9"/>
          <w:w w:val="105"/>
        </w:rPr>
        <w:t> </w:t>
      </w:r>
      <w:r>
        <w:rPr>
          <w:w w:val="105"/>
        </w:rPr>
        <w:t>offered,</w:t>
      </w:r>
      <w:r>
        <w:rPr>
          <w:spacing w:val="-10"/>
          <w:w w:val="105"/>
        </w:rPr>
        <w:t> </w:t>
      </w:r>
      <w:r>
        <w:rPr>
          <w:w w:val="105"/>
        </w:rPr>
        <w:t>location</w:t>
      </w:r>
      <w:r>
        <w:rPr>
          <w:spacing w:val="-11"/>
          <w:w w:val="105"/>
        </w:rPr>
        <w:t> </w:t>
      </w:r>
      <w:r>
        <w:rPr>
          <w:w w:val="105"/>
        </w:rPr>
        <w:t>and</w:t>
      </w:r>
      <w:r>
        <w:rPr>
          <w:spacing w:val="-9"/>
          <w:w w:val="105"/>
        </w:rPr>
        <w:t> </w:t>
      </w:r>
      <w:r>
        <w:rPr>
          <w:w w:val="105"/>
        </w:rPr>
        <w:t>accessibility</w:t>
      </w:r>
      <w:r>
        <w:rPr>
          <w:spacing w:val="-10"/>
          <w:w w:val="105"/>
        </w:rPr>
        <w:t> </w:t>
      </w:r>
      <w:r>
        <w:rPr>
          <w:w w:val="105"/>
        </w:rPr>
        <w:t>of</w:t>
      </w:r>
      <w:r>
        <w:rPr>
          <w:spacing w:val="-10"/>
          <w:w w:val="105"/>
        </w:rPr>
        <w:t> </w:t>
      </w:r>
      <w:r>
        <w:rPr>
          <w:w w:val="105"/>
        </w:rPr>
        <w:t>the</w:t>
      </w:r>
      <w:r>
        <w:rPr>
          <w:spacing w:val="-10"/>
          <w:w w:val="105"/>
        </w:rPr>
        <w:t> </w:t>
      </w:r>
      <w:r>
        <w:rPr>
          <w:w w:val="105"/>
        </w:rPr>
        <w:t>development,</w:t>
      </w:r>
      <w:r>
        <w:rPr>
          <w:spacing w:val="-10"/>
          <w:w w:val="105"/>
        </w:rPr>
        <w:t> </w:t>
      </w:r>
      <w:r>
        <w:rPr>
          <w:w w:val="105"/>
        </w:rPr>
        <w:t>quality</w:t>
      </w:r>
      <w:r>
        <w:rPr>
          <w:spacing w:val="-10"/>
          <w:w w:val="105"/>
        </w:rPr>
        <w:t> </w:t>
      </w:r>
      <w:r>
        <w:rPr>
          <w:w w:val="105"/>
        </w:rPr>
        <w:t>of </w:t>
      </w:r>
      <w:r>
        <w:rPr/>
        <w:t>construction,</w:t>
      </w:r>
      <w:r>
        <w:rPr>
          <w:spacing w:val="-15"/>
        </w:rPr>
        <w:t> </w:t>
      </w:r>
      <w:r>
        <w:rPr/>
        <w:t>developer</w:t>
      </w:r>
      <w:r>
        <w:rPr>
          <w:spacing w:val="-14"/>
        </w:rPr>
        <w:t> </w:t>
      </w:r>
      <w:r>
        <w:rPr/>
        <w:t>brand,</w:t>
      </w:r>
      <w:r>
        <w:rPr>
          <w:spacing w:val="-13"/>
        </w:rPr>
        <w:t> </w:t>
      </w:r>
      <w:r>
        <w:rPr/>
        <w:t>amenities</w:t>
      </w:r>
      <w:r>
        <w:rPr>
          <w:spacing w:val="-13"/>
        </w:rPr>
        <w:t> </w:t>
      </w:r>
      <w:r>
        <w:rPr/>
        <w:t>offered,</w:t>
      </w:r>
      <w:r>
        <w:rPr>
          <w:spacing w:val="-14"/>
        </w:rPr>
        <w:t> </w:t>
      </w:r>
      <w:r>
        <w:rPr/>
        <w:t>etc.</w:t>
      </w:r>
      <w:r>
        <w:rPr>
          <w:spacing w:val="-15"/>
        </w:rPr>
        <w:t> </w:t>
      </w:r>
      <w:r>
        <w:rPr/>
        <w:t>In</w:t>
      </w:r>
      <w:r>
        <w:rPr>
          <w:spacing w:val="-13"/>
        </w:rPr>
        <w:t> </w:t>
      </w:r>
      <w:r>
        <w:rPr/>
        <w:t>addition,</w:t>
      </w:r>
      <w:r>
        <w:rPr>
          <w:spacing w:val="-14"/>
        </w:rPr>
        <w:t> </w:t>
      </w:r>
      <w:r>
        <w:rPr/>
        <w:t>the</w:t>
      </w:r>
      <w:r>
        <w:rPr>
          <w:spacing w:val="-14"/>
        </w:rPr>
        <w:t> </w:t>
      </w:r>
      <w:r>
        <w:rPr/>
        <w:t>maintenance</w:t>
      </w:r>
      <w:r>
        <w:rPr>
          <w:spacing w:val="-14"/>
        </w:rPr>
        <w:t> </w:t>
      </w:r>
      <w:r>
        <w:rPr/>
        <w:t>charge</w:t>
      </w:r>
      <w:r>
        <w:rPr>
          <w:spacing w:val="-15"/>
        </w:rPr>
        <w:t> </w:t>
      </w:r>
      <w:r>
        <w:rPr/>
        <w:t>for</w:t>
      </w:r>
      <w:r>
        <w:rPr>
          <w:spacing w:val="-14"/>
        </w:rPr>
        <w:t> </w:t>
      </w:r>
      <w:r>
        <w:rPr/>
        <w:t>these </w:t>
      </w:r>
      <w:r>
        <w:rPr>
          <w:w w:val="105"/>
        </w:rPr>
        <w:t>developments</w:t>
      </w:r>
      <w:r>
        <w:rPr>
          <w:spacing w:val="-48"/>
          <w:w w:val="105"/>
        </w:rPr>
        <w:t> </w:t>
      </w:r>
      <w:r>
        <w:rPr>
          <w:w w:val="105"/>
        </w:rPr>
        <w:t>varies</w:t>
      </w:r>
      <w:r>
        <w:rPr>
          <w:spacing w:val="-47"/>
          <w:w w:val="105"/>
        </w:rPr>
        <w:t> </w:t>
      </w:r>
      <w:r>
        <w:rPr>
          <w:w w:val="105"/>
        </w:rPr>
        <w:t>in</w:t>
      </w:r>
      <w:r>
        <w:rPr>
          <w:spacing w:val="-48"/>
          <w:w w:val="105"/>
        </w:rPr>
        <w:t> </w:t>
      </w:r>
      <w:r>
        <w:rPr>
          <w:w w:val="105"/>
        </w:rPr>
        <w:t>the</w:t>
      </w:r>
      <w:r>
        <w:rPr>
          <w:spacing w:val="-48"/>
          <w:w w:val="105"/>
        </w:rPr>
        <w:t> </w:t>
      </w:r>
      <w:r>
        <w:rPr>
          <w:w w:val="105"/>
        </w:rPr>
        <w:t>range</w:t>
      </w:r>
      <w:r>
        <w:rPr>
          <w:spacing w:val="-48"/>
          <w:w w:val="105"/>
        </w:rPr>
        <w:t> </w:t>
      </w:r>
      <w:r>
        <w:rPr>
          <w:w w:val="105"/>
        </w:rPr>
        <w:t>of</w:t>
      </w:r>
      <w:r>
        <w:rPr>
          <w:spacing w:val="-47"/>
          <w:w w:val="105"/>
        </w:rPr>
        <w:t> </w:t>
      </w:r>
      <w:r>
        <w:rPr>
          <w:w w:val="105"/>
        </w:rPr>
        <w:t>INR</w:t>
      </w:r>
      <w:r>
        <w:rPr>
          <w:spacing w:val="-47"/>
          <w:w w:val="105"/>
        </w:rPr>
        <w:t> </w:t>
      </w:r>
      <w:r>
        <w:rPr>
          <w:w w:val="105"/>
        </w:rPr>
        <w:t>8</w:t>
      </w:r>
      <w:r>
        <w:rPr>
          <w:spacing w:val="-49"/>
          <w:w w:val="105"/>
        </w:rPr>
        <w:t> </w:t>
      </w:r>
      <w:r>
        <w:rPr>
          <w:w w:val="105"/>
        </w:rPr>
        <w:t>–</w:t>
      </w:r>
      <w:r>
        <w:rPr>
          <w:spacing w:val="-46"/>
          <w:w w:val="105"/>
        </w:rPr>
        <w:t> </w:t>
      </w:r>
      <w:r>
        <w:rPr>
          <w:w w:val="105"/>
        </w:rPr>
        <w:t>12</w:t>
      </w:r>
      <w:r>
        <w:rPr>
          <w:spacing w:val="-48"/>
          <w:w w:val="105"/>
        </w:rPr>
        <w:t> </w:t>
      </w:r>
      <w:r>
        <w:rPr>
          <w:w w:val="105"/>
        </w:rPr>
        <w:t>psf</w:t>
      </w:r>
      <w:r>
        <w:rPr>
          <w:spacing w:val="-47"/>
          <w:w w:val="105"/>
        </w:rPr>
        <w:t> </w:t>
      </w:r>
      <w:r>
        <w:rPr>
          <w:w w:val="105"/>
        </w:rPr>
        <w:t>pm.</w:t>
      </w:r>
      <w:r>
        <w:rPr>
          <w:spacing w:val="-48"/>
          <w:w w:val="105"/>
        </w:rPr>
        <w:t> </w:t>
      </w:r>
      <w:r>
        <w:rPr>
          <w:w w:val="105"/>
        </w:rPr>
        <w:t>The</w:t>
      </w:r>
      <w:r>
        <w:rPr>
          <w:spacing w:val="-48"/>
          <w:w w:val="105"/>
        </w:rPr>
        <w:t> </w:t>
      </w:r>
      <w:r>
        <w:rPr>
          <w:w w:val="105"/>
        </w:rPr>
        <w:t>parking</w:t>
      </w:r>
      <w:r>
        <w:rPr>
          <w:spacing w:val="-48"/>
          <w:w w:val="105"/>
        </w:rPr>
        <w:t> </w:t>
      </w:r>
      <w:r>
        <w:rPr>
          <w:w w:val="105"/>
        </w:rPr>
        <w:t>charges</w:t>
      </w:r>
      <w:r>
        <w:rPr>
          <w:spacing w:val="-47"/>
          <w:w w:val="105"/>
        </w:rPr>
        <w:t> </w:t>
      </w:r>
      <w:r>
        <w:rPr>
          <w:w w:val="105"/>
        </w:rPr>
        <w:t>in</w:t>
      </w:r>
      <w:r>
        <w:rPr>
          <w:spacing w:val="-48"/>
          <w:w w:val="105"/>
        </w:rPr>
        <w:t> </w:t>
      </w:r>
      <w:r>
        <w:rPr>
          <w:w w:val="105"/>
        </w:rPr>
        <w:t>such</w:t>
      </w:r>
      <w:r>
        <w:rPr>
          <w:spacing w:val="-48"/>
          <w:w w:val="105"/>
        </w:rPr>
        <w:t> </w:t>
      </w:r>
      <w:r>
        <w:rPr>
          <w:w w:val="105"/>
        </w:rPr>
        <w:t>developments</w:t>
      </w:r>
      <w:r>
        <w:rPr>
          <w:spacing w:val="-48"/>
          <w:w w:val="105"/>
        </w:rPr>
        <w:t> </w:t>
      </w:r>
      <w:r>
        <w:rPr>
          <w:w w:val="105"/>
        </w:rPr>
        <w:t>range between</w:t>
      </w:r>
      <w:r>
        <w:rPr>
          <w:spacing w:val="-15"/>
          <w:w w:val="105"/>
        </w:rPr>
        <w:t> </w:t>
      </w:r>
      <w:r>
        <w:rPr>
          <w:w w:val="105"/>
        </w:rPr>
        <w:t>INR</w:t>
      </w:r>
      <w:r>
        <w:rPr>
          <w:spacing w:val="-14"/>
          <w:w w:val="105"/>
        </w:rPr>
        <w:t> </w:t>
      </w:r>
      <w:r>
        <w:rPr>
          <w:w w:val="105"/>
        </w:rPr>
        <w:t>2,500</w:t>
      </w:r>
      <w:r>
        <w:rPr>
          <w:spacing w:val="-14"/>
          <w:w w:val="105"/>
        </w:rPr>
        <w:t> </w:t>
      </w:r>
      <w:r>
        <w:rPr>
          <w:w w:val="105"/>
        </w:rPr>
        <w:t>–</w:t>
      </w:r>
      <w:r>
        <w:rPr>
          <w:spacing w:val="-16"/>
          <w:w w:val="105"/>
        </w:rPr>
        <w:t> </w:t>
      </w:r>
      <w:r>
        <w:rPr>
          <w:w w:val="105"/>
        </w:rPr>
        <w:t>3,500</w:t>
      </w:r>
      <w:r>
        <w:rPr>
          <w:spacing w:val="-15"/>
          <w:w w:val="105"/>
        </w:rPr>
        <w:t> </w:t>
      </w:r>
      <w:r>
        <w:rPr>
          <w:w w:val="105"/>
        </w:rPr>
        <w:t>per</w:t>
      </w:r>
      <w:r>
        <w:rPr>
          <w:spacing w:val="-14"/>
          <w:w w:val="105"/>
        </w:rPr>
        <w:t> </w:t>
      </w:r>
      <w:r>
        <w:rPr>
          <w:w w:val="105"/>
        </w:rPr>
        <w:t>bay</w:t>
      </w:r>
      <w:r>
        <w:rPr>
          <w:spacing w:val="-15"/>
          <w:w w:val="105"/>
        </w:rPr>
        <w:t> </w:t>
      </w:r>
      <w:r>
        <w:rPr>
          <w:w w:val="105"/>
        </w:rPr>
        <w:t>per</w:t>
      </w:r>
      <w:r>
        <w:rPr>
          <w:spacing w:val="-15"/>
          <w:w w:val="105"/>
        </w:rPr>
        <w:t> </w:t>
      </w:r>
      <w:r>
        <w:rPr>
          <w:w w:val="105"/>
        </w:rPr>
        <w:t>month</w:t>
      </w:r>
      <w:r>
        <w:rPr>
          <w:spacing w:val="-16"/>
          <w:w w:val="105"/>
        </w:rPr>
        <w:t> </w:t>
      </w:r>
      <w:r>
        <w:rPr>
          <w:w w:val="105"/>
        </w:rPr>
        <w:t>for</w:t>
      </w:r>
      <w:r>
        <w:rPr>
          <w:spacing w:val="-15"/>
          <w:w w:val="105"/>
        </w:rPr>
        <w:t> </w:t>
      </w:r>
      <w:r>
        <w:rPr>
          <w:w w:val="105"/>
        </w:rPr>
        <w:t>covered</w:t>
      </w:r>
      <w:r>
        <w:rPr>
          <w:spacing w:val="-13"/>
          <w:w w:val="105"/>
        </w:rPr>
        <w:t> </w:t>
      </w:r>
      <w:r>
        <w:rPr>
          <w:w w:val="105"/>
        </w:rPr>
        <w:t>car</w:t>
      </w:r>
      <w:r>
        <w:rPr>
          <w:spacing w:val="-15"/>
          <w:w w:val="105"/>
        </w:rPr>
        <w:t> </w:t>
      </w:r>
      <w:r>
        <w:rPr>
          <w:w w:val="105"/>
        </w:rPr>
        <w:t>parks.</w:t>
      </w:r>
      <w:r>
        <w:rPr>
          <w:spacing w:val="-11"/>
          <w:w w:val="105"/>
        </w:rPr>
        <w:t> </w:t>
      </w:r>
      <w:r>
        <w:rPr>
          <w:w w:val="105"/>
        </w:rPr>
        <w:t>The</w:t>
      </w:r>
      <w:r>
        <w:rPr>
          <w:spacing w:val="-15"/>
          <w:w w:val="105"/>
        </w:rPr>
        <w:t> </w:t>
      </w:r>
      <w:r>
        <w:rPr>
          <w:w w:val="105"/>
        </w:rPr>
        <w:t>number</w:t>
      </w:r>
      <w:r>
        <w:rPr>
          <w:spacing w:val="-15"/>
          <w:w w:val="105"/>
        </w:rPr>
        <w:t> </w:t>
      </w:r>
      <w:r>
        <w:rPr>
          <w:w w:val="105"/>
        </w:rPr>
        <w:t>of</w:t>
      </w:r>
      <w:r>
        <w:rPr>
          <w:spacing w:val="-14"/>
          <w:w w:val="105"/>
        </w:rPr>
        <w:t> </w:t>
      </w:r>
      <w:r>
        <w:rPr>
          <w:w w:val="105"/>
        </w:rPr>
        <w:t>car</w:t>
      </w:r>
      <w:r>
        <w:rPr>
          <w:spacing w:val="-14"/>
          <w:w w:val="105"/>
        </w:rPr>
        <w:t> </w:t>
      </w:r>
      <w:r>
        <w:rPr>
          <w:w w:val="105"/>
        </w:rPr>
        <w:t>park</w:t>
      </w:r>
      <w:r>
        <w:rPr>
          <w:spacing w:val="-15"/>
          <w:w w:val="105"/>
        </w:rPr>
        <w:t> </w:t>
      </w:r>
      <w:r>
        <w:rPr>
          <w:w w:val="105"/>
        </w:rPr>
        <w:t>slots available</w:t>
      </w:r>
      <w:r>
        <w:rPr>
          <w:spacing w:val="-15"/>
          <w:w w:val="105"/>
        </w:rPr>
        <w:t> </w:t>
      </w:r>
      <w:r>
        <w:rPr>
          <w:w w:val="105"/>
        </w:rPr>
        <w:t>to</w:t>
      </w:r>
      <w:r>
        <w:rPr>
          <w:spacing w:val="-14"/>
          <w:w w:val="105"/>
        </w:rPr>
        <w:t> </w:t>
      </w:r>
      <w:r>
        <w:rPr>
          <w:w w:val="105"/>
        </w:rPr>
        <w:t>every</w:t>
      </w:r>
      <w:r>
        <w:rPr>
          <w:spacing w:val="-12"/>
          <w:w w:val="105"/>
        </w:rPr>
        <w:t> </w:t>
      </w:r>
      <w:r>
        <w:rPr>
          <w:w w:val="105"/>
        </w:rPr>
        <w:t>tenant</w:t>
      </w:r>
      <w:r>
        <w:rPr>
          <w:spacing w:val="-12"/>
          <w:w w:val="105"/>
        </w:rPr>
        <w:t> </w:t>
      </w:r>
      <w:r>
        <w:rPr>
          <w:w w:val="105"/>
        </w:rPr>
        <w:t>is</w:t>
      </w:r>
      <w:r>
        <w:rPr>
          <w:spacing w:val="-13"/>
          <w:w w:val="105"/>
        </w:rPr>
        <w:t> </w:t>
      </w:r>
      <w:r>
        <w:rPr>
          <w:w w:val="105"/>
        </w:rPr>
        <w:t>1</w:t>
      </w:r>
      <w:r>
        <w:rPr>
          <w:spacing w:val="-15"/>
          <w:w w:val="105"/>
        </w:rPr>
        <w:t> </w:t>
      </w:r>
      <w:r>
        <w:rPr>
          <w:w w:val="105"/>
        </w:rPr>
        <w:t>car</w:t>
      </w:r>
      <w:r>
        <w:rPr>
          <w:spacing w:val="-13"/>
          <w:w w:val="105"/>
        </w:rPr>
        <w:t> </w:t>
      </w:r>
      <w:r>
        <w:rPr>
          <w:w w:val="105"/>
        </w:rPr>
        <w:t>park</w:t>
      </w:r>
      <w:r>
        <w:rPr>
          <w:spacing w:val="-15"/>
          <w:w w:val="105"/>
        </w:rPr>
        <w:t> </w:t>
      </w:r>
      <w:r>
        <w:rPr>
          <w:w w:val="105"/>
        </w:rPr>
        <w:t>slot</w:t>
      </w:r>
      <w:r>
        <w:rPr>
          <w:spacing w:val="-14"/>
          <w:w w:val="105"/>
        </w:rPr>
        <w:t> </w:t>
      </w:r>
      <w:r>
        <w:rPr>
          <w:w w:val="105"/>
        </w:rPr>
        <w:t>for</w:t>
      </w:r>
      <w:r>
        <w:rPr>
          <w:spacing w:val="-13"/>
          <w:w w:val="105"/>
        </w:rPr>
        <w:t> </w:t>
      </w:r>
      <w:r>
        <w:rPr>
          <w:w w:val="105"/>
        </w:rPr>
        <w:t>every</w:t>
      </w:r>
      <w:r>
        <w:rPr>
          <w:spacing w:val="-13"/>
          <w:w w:val="105"/>
        </w:rPr>
        <w:t> </w:t>
      </w:r>
      <w:r>
        <w:rPr>
          <w:w w:val="105"/>
        </w:rPr>
        <w:t>1,000</w:t>
      </w:r>
      <w:r>
        <w:rPr>
          <w:spacing w:val="-14"/>
          <w:w w:val="105"/>
        </w:rPr>
        <w:t> </w:t>
      </w:r>
      <w:r>
        <w:rPr>
          <w:w w:val="105"/>
        </w:rPr>
        <w:t>sf</w:t>
      </w:r>
      <w:r>
        <w:rPr>
          <w:spacing w:val="-12"/>
          <w:w w:val="105"/>
        </w:rPr>
        <w:t> </w:t>
      </w:r>
      <w:r>
        <w:rPr>
          <w:w w:val="105"/>
        </w:rPr>
        <w:t>leased.</w:t>
      </w:r>
    </w:p>
    <w:p>
      <w:pPr>
        <w:pStyle w:val="BodyText"/>
        <w:spacing w:before="11"/>
        <w:rPr>
          <w:sz w:val="20"/>
        </w:rPr>
      </w:pPr>
    </w:p>
    <w:p>
      <w:pPr>
        <w:pStyle w:val="BodyText"/>
        <w:spacing w:line="321" w:lineRule="auto"/>
        <w:ind w:left="782" w:right="235"/>
        <w:jc w:val="both"/>
      </w:pPr>
      <w:r>
        <w:rPr/>
        <w:t>Based</w:t>
      </w:r>
      <w:r>
        <w:rPr>
          <w:spacing w:val="-5"/>
        </w:rPr>
        <w:t> </w:t>
      </w:r>
      <w:r>
        <w:rPr/>
        <w:t>on</w:t>
      </w:r>
      <w:r>
        <w:rPr>
          <w:spacing w:val="-5"/>
        </w:rPr>
        <w:t> </w:t>
      </w:r>
      <w:r>
        <w:rPr/>
        <w:t>our</w:t>
      </w:r>
      <w:r>
        <w:rPr>
          <w:spacing w:val="-5"/>
        </w:rPr>
        <w:t> </w:t>
      </w:r>
      <w:r>
        <w:rPr/>
        <w:t>market</w:t>
      </w:r>
      <w:r>
        <w:rPr>
          <w:spacing w:val="-4"/>
        </w:rPr>
        <w:t> </w:t>
      </w:r>
      <w:r>
        <w:rPr/>
        <w:t>research,</w:t>
      </w:r>
      <w:r>
        <w:rPr>
          <w:spacing w:val="-6"/>
        </w:rPr>
        <w:t> </w:t>
      </w:r>
      <w:r>
        <w:rPr/>
        <w:t>we</w:t>
      </w:r>
      <w:r>
        <w:rPr>
          <w:spacing w:val="-6"/>
        </w:rPr>
        <w:t> </w:t>
      </w:r>
      <w:r>
        <w:rPr/>
        <w:t>understand</w:t>
      </w:r>
      <w:r>
        <w:rPr>
          <w:spacing w:val="-4"/>
        </w:rPr>
        <w:t> </w:t>
      </w:r>
      <w:r>
        <w:rPr/>
        <w:t>that</w:t>
      </w:r>
      <w:r>
        <w:rPr>
          <w:spacing w:val="-5"/>
        </w:rPr>
        <w:t> </w:t>
      </w:r>
      <w:r>
        <w:rPr/>
        <w:t>rent</w:t>
      </w:r>
      <w:r>
        <w:rPr>
          <w:spacing w:val="-3"/>
        </w:rPr>
        <w:t> </w:t>
      </w:r>
      <w:r>
        <w:rPr/>
        <w:t>in</w:t>
      </w:r>
      <w:r>
        <w:rPr>
          <w:spacing w:val="-6"/>
        </w:rPr>
        <w:t> </w:t>
      </w:r>
      <w:r>
        <w:rPr/>
        <w:t>the</w:t>
      </w:r>
      <w:r>
        <w:rPr>
          <w:spacing w:val="-5"/>
        </w:rPr>
        <w:t> </w:t>
      </w:r>
      <w:r>
        <w:rPr/>
        <w:t>submarket</w:t>
      </w:r>
      <w:r>
        <w:rPr>
          <w:spacing w:val="-5"/>
        </w:rPr>
        <w:t> </w:t>
      </w:r>
      <w:r>
        <w:rPr/>
        <w:t>have</w:t>
      </w:r>
      <w:r>
        <w:rPr>
          <w:spacing w:val="-6"/>
        </w:rPr>
        <w:t> </w:t>
      </w:r>
      <w:r>
        <w:rPr/>
        <w:t>witnessed</w:t>
      </w:r>
      <w:r>
        <w:rPr>
          <w:spacing w:val="-2"/>
        </w:rPr>
        <w:t> </w:t>
      </w:r>
      <w:r>
        <w:rPr/>
        <w:t>an</w:t>
      </w:r>
      <w:r>
        <w:rPr>
          <w:spacing w:val="-6"/>
        </w:rPr>
        <w:t> </w:t>
      </w:r>
      <w:r>
        <w:rPr/>
        <w:t>average appreciation of approx. 6.7% between 2014 &amp;</w:t>
      </w:r>
      <w:r>
        <w:rPr>
          <w:spacing w:val="-15"/>
        </w:rPr>
        <w:t> </w:t>
      </w:r>
      <w:r>
        <w:rPr/>
        <w:t>2019.</w:t>
      </w:r>
    </w:p>
    <w:p>
      <w:pPr>
        <w:pStyle w:val="BodyText"/>
        <w:spacing w:before="7"/>
        <w:rPr>
          <w:sz w:val="20"/>
        </w:rPr>
      </w:pPr>
    </w:p>
    <w:p>
      <w:pPr>
        <w:pStyle w:val="BodyText"/>
        <w:spacing w:line="324" w:lineRule="auto"/>
        <w:ind w:left="782" w:right="244"/>
        <w:jc w:val="both"/>
      </w:pPr>
      <w:r>
        <w:rPr/>
        <w:t>The</w:t>
      </w:r>
      <w:r>
        <w:rPr>
          <w:spacing w:val="-17"/>
        </w:rPr>
        <w:t> </w:t>
      </w:r>
      <w:r>
        <w:rPr/>
        <w:t>table</w:t>
      </w:r>
      <w:r>
        <w:rPr>
          <w:spacing w:val="-16"/>
        </w:rPr>
        <w:t> </w:t>
      </w:r>
      <w:r>
        <w:rPr/>
        <w:t>below</w:t>
      </w:r>
      <w:r>
        <w:rPr>
          <w:spacing w:val="-14"/>
        </w:rPr>
        <w:t> </w:t>
      </w:r>
      <w:r>
        <w:rPr/>
        <w:t>highlights</w:t>
      </w:r>
      <w:r>
        <w:rPr>
          <w:spacing w:val="-15"/>
        </w:rPr>
        <w:t> </w:t>
      </w:r>
      <w:r>
        <w:rPr/>
        <w:t>some</w:t>
      </w:r>
      <w:r>
        <w:rPr>
          <w:spacing w:val="-16"/>
        </w:rPr>
        <w:t> </w:t>
      </w:r>
      <w:r>
        <w:rPr/>
        <w:t>of</w:t>
      </w:r>
      <w:r>
        <w:rPr>
          <w:spacing w:val="-15"/>
        </w:rPr>
        <w:t> </w:t>
      </w:r>
      <w:r>
        <w:rPr/>
        <w:t>the</w:t>
      </w:r>
      <w:r>
        <w:rPr>
          <w:spacing w:val="-16"/>
        </w:rPr>
        <w:t> </w:t>
      </w:r>
      <w:r>
        <w:rPr/>
        <w:t>recently</w:t>
      </w:r>
      <w:r>
        <w:rPr>
          <w:spacing w:val="-14"/>
        </w:rPr>
        <w:t> </w:t>
      </w:r>
      <w:r>
        <w:rPr/>
        <w:t>transacted</w:t>
      </w:r>
      <w:r>
        <w:rPr>
          <w:spacing w:val="-15"/>
        </w:rPr>
        <w:t> </w:t>
      </w:r>
      <w:r>
        <w:rPr/>
        <w:t>leases</w:t>
      </w:r>
      <w:r>
        <w:rPr>
          <w:spacing w:val="-15"/>
        </w:rPr>
        <w:t> </w:t>
      </w:r>
      <w:r>
        <w:rPr/>
        <w:t>for</w:t>
      </w:r>
      <w:r>
        <w:rPr>
          <w:spacing w:val="-16"/>
        </w:rPr>
        <w:t> </w:t>
      </w:r>
      <w:r>
        <w:rPr/>
        <w:t>technology</w:t>
      </w:r>
      <w:r>
        <w:rPr>
          <w:spacing w:val="-15"/>
        </w:rPr>
        <w:t> </w:t>
      </w:r>
      <w:r>
        <w:rPr/>
        <w:t>developments</w:t>
      </w:r>
      <w:r>
        <w:rPr>
          <w:spacing w:val="-15"/>
        </w:rPr>
        <w:t> </w:t>
      </w:r>
      <w:r>
        <w:rPr/>
        <w:t>in</w:t>
      </w:r>
      <w:r>
        <w:rPr>
          <w:spacing w:val="-16"/>
        </w:rPr>
        <w:t> </w:t>
      </w:r>
      <w:r>
        <w:rPr/>
        <w:t>the influence region of the subject</w:t>
      </w:r>
      <w:r>
        <w:rPr>
          <w:spacing w:val="-21"/>
        </w:rPr>
        <w:t> </w:t>
      </w:r>
      <w:r>
        <w:rPr/>
        <w:t>property:</w:t>
      </w:r>
    </w:p>
    <w:p>
      <w:pPr>
        <w:pStyle w:val="BodyText"/>
        <w:spacing w:before="7" w:after="1"/>
        <w:rPr>
          <w:sz w:val="20"/>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51"/>
        <w:gridCol w:w="1930"/>
        <w:gridCol w:w="1744"/>
        <w:gridCol w:w="3960"/>
      </w:tblGrid>
      <w:tr>
        <w:trPr>
          <w:trHeight w:val="308" w:hRule="atLeast"/>
        </w:trPr>
        <w:tc>
          <w:tcPr>
            <w:tcW w:w="2851" w:type="dxa"/>
            <w:tcBorders>
              <w:top w:val="single" w:sz="6" w:space="0" w:color="69BD28"/>
              <w:bottom w:val="single" w:sz="6" w:space="0" w:color="69BD28"/>
            </w:tcBorders>
            <w:shd w:val="clear" w:color="auto" w:fill="006A4D"/>
          </w:tcPr>
          <w:p>
            <w:pPr>
              <w:pStyle w:val="TableParagraph"/>
              <w:spacing w:before="51"/>
              <w:ind w:left="538" w:right="538"/>
              <w:rPr>
                <w:b/>
                <w:sz w:val="18"/>
              </w:rPr>
            </w:pPr>
            <w:r>
              <w:rPr>
                <w:b/>
                <w:color w:val="FFFFFF"/>
                <w:w w:val="105"/>
                <w:sz w:val="18"/>
              </w:rPr>
              <w:t>Date of Transaction</w:t>
            </w:r>
          </w:p>
        </w:tc>
        <w:tc>
          <w:tcPr>
            <w:tcW w:w="1930" w:type="dxa"/>
            <w:tcBorders>
              <w:top w:val="single" w:sz="6" w:space="0" w:color="69BD28"/>
              <w:bottom w:val="single" w:sz="6" w:space="0" w:color="69BD28"/>
            </w:tcBorders>
            <w:shd w:val="clear" w:color="auto" w:fill="006A4D"/>
          </w:tcPr>
          <w:p>
            <w:pPr>
              <w:pStyle w:val="TableParagraph"/>
              <w:spacing w:before="51"/>
              <w:ind w:left="511" w:right="585"/>
              <w:rPr>
                <w:b/>
                <w:sz w:val="18"/>
              </w:rPr>
            </w:pPr>
            <w:r>
              <w:rPr>
                <w:b/>
                <w:color w:val="FFFFFF"/>
                <w:w w:val="110"/>
                <w:sz w:val="18"/>
              </w:rPr>
              <w:t>Area (sf)</w:t>
            </w:r>
          </w:p>
        </w:tc>
        <w:tc>
          <w:tcPr>
            <w:tcW w:w="1744" w:type="dxa"/>
            <w:tcBorders>
              <w:top w:val="single" w:sz="6" w:space="0" w:color="69BD28"/>
              <w:bottom w:val="single" w:sz="6" w:space="0" w:color="69BD28"/>
            </w:tcBorders>
            <w:shd w:val="clear" w:color="auto" w:fill="006A4D"/>
          </w:tcPr>
          <w:p>
            <w:pPr>
              <w:pStyle w:val="TableParagraph"/>
              <w:spacing w:before="51"/>
              <w:ind w:right="465"/>
              <w:jc w:val="right"/>
              <w:rPr>
                <w:b/>
                <w:sz w:val="18"/>
              </w:rPr>
            </w:pPr>
            <w:r>
              <w:rPr>
                <w:b/>
                <w:color w:val="FFFFFF"/>
                <w:w w:val="105"/>
                <w:sz w:val="18"/>
              </w:rPr>
              <w:t>Tenant</w:t>
            </w:r>
          </w:p>
        </w:tc>
        <w:tc>
          <w:tcPr>
            <w:tcW w:w="3960" w:type="dxa"/>
            <w:tcBorders>
              <w:top w:val="single" w:sz="6" w:space="0" w:color="69BD28"/>
              <w:bottom w:val="single" w:sz="6" w:space="0" w:color="69BD28"/>
            </w:tcBorders>
            <w:shd w:val="clear" w:color="auto" w:fill="006A4D"/>
          </w:tcPr>
          <w:p>
            <w:pPr>
              <w:pStyle w:val="TableParagraph"/>
              <w:spacing w:before="51"/>
              <w:ind w:left="394" w:right="154"/>
              <w:rPr>
                <w:b/>
                <w:sz w:val="18"/>
              </w:rPr>
            </w:pPr>
            <w:r>
              <w:rPr>
                <w:b/>
                <w:color w:val="FFFFFF"/>
                <w:w w:val="110"/>
                <w:sz w:val="18"/>
              </w:rPr>
              <w:t>Transacted Rent Value (INR psf pm)*</w:t>
            </w:r>
          </w:p>
        </w:tc>
      </w:tr>
      <w:tr>
        <w:trPr>
          <w:trHeight w:val="308" w:hRule="atLeast"/>
        </w:trPr>
        <w:tc>
          <w:tcPr>
            <w:tcW w:w="2851" w:type="dxa"/>
            <w:tcBorders>
              <w:top w:val="single" w:sz="6" w:space="0" w:color="69BD28"/>
              <w:bottom w:val="single" w:sz="6" w:space="0" w:color="69BD28"/>
            </w:tcBorders>
          </w:tcPr>
          <w:p>
            <w:pPr>
              <w:pStyle w:val="TableParagraph"/>
              <w:spacing w:before="51"/>
              <w:ind w:left="538" w:right="538"/>
              <w:rPr>
                <w:sz w:val="18"/>
              </w:rPr>
            </w:pPr>
            <w:r>
              <w:rPr>
                <w:w w:val="110"/>
                <w:sz w:val="18"/>
              </w:rPr>
              <w:t>Q4, 2019</w:t>
            </w:r>
          </w:p>
        </w:tc>
        <w:tc>
          <w:tcPr>
            <w:tcW w:w="1930" w:type="dxa"/>
            <w:tcBorders>
              <w:top w:val="single" w:sz="6" w:space="0" w:color="69BD28"/>
              <w:bottom w:val="single" w:sz="6" w:space="0" w:color="69BD28"/>
            </w:tcBorders>
          </w:tcPr>
          <w:p>
            <w:pPr>
              <w:pStyle w:val="TableParagraph"/>
              <w:spacing w:before="51"/>
              <w:ind w:left="509" w:right="585"/>
              <w:rPr>
                <w:sz w:val="18"/>
              </w:rPr>
            </w:pPr>
            <w:r>
              <w:rPr>
                <w:w w:val="110"/>
                <w:sz w:val="18"/>
              </w:rPr>
              <w:t>80,000</w:t>
            </w:r>
          </w:p>
        </w:tc>
        <w:tc>
          <w:tcPr>
            <w:tcW w:w="1744" w:type="dxa"/>
            <w:tcBorders>
              <w:top w:val="single" w:sz="6" w:space="0" w:color="69BD28"/>
              <w:bottom w:val="single" w:sz="6" w:space="0" w:color="69BD28"/>
            </w:tcBorders>
          </w:tcPr>
          <w:p>
            <w:pPr>
              <w:pStyle w:val="TableParagraph"/>
              <w:spacing w:before="51"/>
              <w:ind w:right="432"/>
              <w:jc w:val="right"/>
              <w:rPr>
                <w:sz w:val="18"/>
              </w:rPr>
            </w:pPr>
            <w:r>
              <w:rPr>
                <w:sz w:val="18"/>
              </w:rPr>
              <w:t>Tenant 1</w:t>
            </w:r>
          </w:p>
        </w:tc>
        <w:tc>
          <w:tcPr>
            <w:tcW w:w="3960" w:type="dxa"/>
            <w:tcBorders>
              <w:top w:val="single" w:sz="6" w:space="0" w:color="69BD28"/>
              <w:bottom w:val="single" w:sz="6" w:space="0" w:color="69BD28"/>
            </w:tcBorders>
          </w:tcPr>
          <w:p>
            <w:pPr>
              <w:pStyle w:val="TableParagraph"/>
              <w:spacing w:before="51"/>
              <w:ind w:left="394" w:right="153"/>
              <w:rPr>
                <w:sz w:val="18"/>
              </w:rPr>
            </w:pPr>
            <w:r>
              <w:rPr>
                <w:w w:val="105"/>
                <w:sz w:val="18"/>
              </w:rPr>
              <w:t>48.00 - 52.00 (WS)</w:t>
            </w:r>
          </w:p>
        </w:tc>
      </w:tr>
      <w:tr>
        <w:trPr>
          <w:trHeight w:val="308" w:hRule="atLeast"/>
        </w:trPr>
        <w:tc>
          <w:tcPr>
            <w:tcW w:w="2851" w:type="dxa"/>
            <w:tcBorders>
              <w:top w:val="single" w:sz="6" w:space="0" w:color="69BD28"/>
              <w:bottom w:val="single" w:sz="6" w:space="0" w:color="69BD28"/>
            </w:tcBorders>
          </w:tcPr>
          <w:p>
            <w:pPr>
              <w:pStyle w:val="TableParagraph"/>
              <w:spacing w:before="51"/>
              <w:ind w:left="538" w:right="538"/>
              <w:rPr>
                <w:sz w:val="18"/>
              </w:rPr>
            </w:pPr>
            <w:r>
              <w:rPr>
                <w:w w:val="110"/>
                <w:sz w:val="18"/>
              </w:rPr>
              <w:t>Q1, 2019</w:t>
            </w:r>
          </w:p>
        </w:tc>
        <w:tc>
          <w:tcPr>
            <w:tcW w:w="1930" w:type="dxa"/>
            <w:tcBorders>
              <w:top w:val="single" w:sz="6" w:space="0" w:color="69BD28"/>
              <w:bottom w:val="single" w:sz="6" w:space="0" w:color="69BD28"/>
            </w:tcBorders>
          </w:tcPr>
          <w:p>
            <w:pPr>
              <w:pStyle w:val="TableParagraph"/>
              <w:spacing w:before="51"/>
              <w:ind w:left="509" w:right="585"/>
              <w:rPr>
                <w:sz w:val="18"/>
              </w:rPr>
            </w:pPr>
            <w:r>
              <w:rPr>
                <w:w w:val="110"/>
                <w:sz w:val="18"/>
              </w:rPr>
              <w:t>11,000</w:t>
            </w:r>
          </w:p>
        </w:tc>
        <w:tc>
          <w:tcPr>
            <w:tcW w:w="1744" w:type="dxa"/>
            <w:tcBorders>
              <w:top w:val="single" w:sz="6" w:space="0" w:color="69BD28"/>
              <w:bottom w:val="single" w:sz="6" w:space="0" w:color="69BD28"/>
            </w:tcBorders>
          </w:tcPr>
          <w:p>
            <w:pPr>
              <w:pStyle w:val="TableParagraph"/>
              <w:spacing w:before="51"/>
              <w:ind w:right="432"/>
              <w:jc w:val="right"/>
              <w:rPr>
                <w:sz w:val="18"/>
              </w:rPr>
            </w:pPr>
            <w:r>
              <w:rPr>
                <w:sz w:val="18"/>
              </w:rPr>
              <w:t>Tenant 2</w:t>
            </w:r>
          </w:p>
        </w:tc>
        <w:tc>
          <w:tcPr>
            <w:tcW w:w="3960" w:type="dxa"/>
            <w:tcBorders>
              <w:top w:val="single" w:sz="6" w:space="0" w:color="69BD28"/>
              <w:bottom w:val="single" w:sz="6" w:space="0" w:color="69BD28"/>
            </w:tcBorders>
          </w:tcPr>
          <w:p>
            <w:pPr>
              <w:pStyle w:val="TableParagraph"/>
              <w:spacing w:before="51"/>
              <w:ind w:left="391" w:right="154"/>
              <w:rPr>
                <w:sz w:val="18"/>
              </w:rPr>
            </w:pPr>
            <w:r>
              <w:rPr>
                <w:w w:val="105"/>
                <w:sz w:val="18"/>
              </w:rPr>
              <w:t>60.00 - 65.00 (FF)</w:t>
            </w:r>
          </w:p>
        </w:tc>
      </w:tr>
      <w:tr>
        <w:trPr>
          <w:trHeight w:val="309" w:hRule="atLeast"/>
        </w:trPr>
        <w:tc>
          <w:tcPr>
            <w:tcW w:w="2851" w:type="dxa"/>
            <w:tcBorders>
              <w:top w:val="single" w:sz="6" w:space="0" w:color="69BD28"/>
              <w:bottom w:val="single" w:sz="6" w:space="0" w:color="69BD28"/>
            </w:tcBorders>
          </w:tcPr>
          <w:p>
            <w:pPr>
              <w:pStyle w:val="TableParagraph"/>
              <w:spacing w:before="51"/>
              <w:ind w:left="538" w:right="538"/>
              <w:rPr>
                <w:sz w:val="18"/>
              </w:rPr>
            </w:pPr>
            <w:r>
              <w:rPr>
                <w:w w:val="110"/>
                <w:sz w:val="18"/>
              </w:rPr>
              <w:t>Q1, 2019</w:t>
            </w:r>
          </w:p>
        </w:tc>
        <w:tc>
          <w:tcPr>
            <w:tcW w:w="1930" w:type="dxa"/>
            <w:tcBorders>
              <w:top w:val="single" w:sz="6" w:space="0" w:color="69BD28"/>
              <w:bottom w:val="single" w:sz="6" w:space="0" w:color="69BD28"/>
            </w:tcBorders>
          </w:tcPr>
          <w:p>
            <w:pPr>
              <w:pStyle w:val="TableParagraph"/>
              <w:spacing w:before="51"/>
              <w:ind w:left="509" w:right="585"/>
              <w:rPr>
                <w:sz w:val="18"/>
              </w:rPr>
            </w:pPr>
            <w:r>
              <w:rPr>
                <w:w w:val="110"/>
                <w:sz w:val="18"/>
              </w:rPr>
              <w:t>15,000</w:t>
            </w:r>
          </w:p>
        </w:tc>
        <w:tc>
          <w:tcPr>
            <w:tcW w:w="1744" w:type="dxa"/>
            <w:tcBorders>
              <w:top w:val="single" w:sz="6" w:space="0" w:color="69BD28"/>
              <w:bottom w:val="single" w:sz="6" w:space="0" w:color="69BD28"/>
            </w:tcBorders>
          </w:tcPr>
          <w:p>
            <w:pPr>
              <w:pStyle w:val="TableParagraph"/>
              <w:spacing w:before="51"/>
              <w:ind w:right="432"/>
              <w:jc w:val="right"/>
              <w:rPr>
                <w:sz w:val="18"/>
              </w:rPr>
            </w:pPr>
            <w:r>
              <w:rPr>
                <w:sz w:val="18"/>
              </w:rPr>
              <w:t>Tenant 3</w:t>
            </w:r>
          </w:p>
        </w:tc>
        <w:tc>
          <w:tcPr>
            <w:tcW w:w="3960" w:type="dxa"/>
            <w:tcBorders>
              <w:top w:val="single" w:sz="6" w:space="0" w:color="69BD28"/>
              <w:bottom w:val="single" w:sz="6" w:space="0" w:color="69BD28"/>
            </w:tcBorders>
          </w:tcPr>
          <w:p>
            <w:pPr>
              <w:pStyle w:val="TableParagraph"/>
              <w:spacing w:before="51"/>
              <w:ind w:left="394" w:right="153"/>
              <w:rPr>
                <w:sz w:val="18"/>
              </w:rPr>
            </w:pPr>
            <w:r>
              <w:rPr>
                <w:w w:val="105"/>
                <w:sz w:val="18"/>
              </w:rPr>
              <w:t>38.00 - 42.00 (WS)</w:t>
            </w:r>
          </w:p>
        </w:tc>
      </w:tr>
    </w:tbl>
    <w:p>
      <w:pPr>
        <w:spacing w:line="321" w:lineRule="auto" w:before="116"/>
        <w:ind w:left="220" w:right="93" w:firstLine="0"/>
        <w:jc w:val="left"/>
        <w:rPr>
          <w:i/>
          <w:sz w:val="18"/>
        </w:rPr>
      </w:pPr>
      <w:r>
        <w:rPr>
          <w:i/>
          <w:sz w:val="18"/>
        </w:rPr>
        <w:t>Source:</w:t>
      </w:r>
      <w:r>
        <w:rPr>
          <w:i/>
          <w:spacing w:val="-30"/>
          <w:sz w:val="18"/>
        </w:rPr>
        <w:t> </w:t>
      </w:r>
      <w:r>
        <w:rPr>
          <w:i/>
          <w:sz w:val="18"/>
        </w:rPr>
        <w:t>CBRE</w:t>
      </w:r>
      <w:r>
        <w:rPr>
          <w:i/>
          <w:spacing w:val="-30"/>
          <w:sz w:val="18"/>
        </w:rPr>
        <w:t> </w:t>
      </w:r>
      <w:r>
        <w:rPr>
          <w:i/>
          <w:sz w:val="18"/>
        </w:rPr>
        <w:t>Research*</w:t>
      </w:r>
      <w:r>
        <w:rPr>
          <w:i/>
          <w:spacing w:val="-31"/>
          <w:sz w:val="18"/>
        </w:rPr>
        <w:t> </w:t>
      </w:r>
      <w:r>
        <w:rPr>
          <w:i/>
          <w:sz w:val="18"/>
        </w:rPr>
        <w:t>Rents</w:t>
      </w:r>
      <w:r>
        <w:rPr>
          <w:i/>
          <w:spacing w:val="-31"/>
          <w:sz w:val="18"/>
        </w:rPr>
        <w:t> </w:t>
      </w:r>
      <w:r>
        <w:rPr>
          <w:i/>
          <w:sz w:val="18"/>
        </w:rPr>
        <w:t>are</w:t>
      </w:r>
      <w:r>
        <w:rPr>
          <w:i/>
          <w:spacing w:val="-29"/>
          <w:sz w:val="18"/>
        </w:rPr>
        <w:t> </w:t>
      </w:r>
      <w:r>
        <w:rPr>
          <w:i/>
          <w:sz w:val="18"/>
        </w:rPr>
        <w:t>gross</w:t>
      </w:r>
      <w:r>
        <w:rPr>
          <w:i/>
          <w:spacing w:val="-30"/>
          <w:sz w:val="18"/>
        </w:rPr>
        <w:t> </w:t>
      </w:r>
      <w:r>
        <w:rPr>
          <w:i/>
          <w:sz w:val="18"/>
        </w:rPr>
        <w:t>rents</w:t>
      </w:r>
      <w:r>
        <w:rPr>
          <w:i/>
          <w:spacing w:val="-31"/>
          <w:sz w:val="18"/>
        </w:rPr>
        <w:t> </w:t>
      </w:r>
      <w:r>
        <w:rPr>
          <w:i/>
          <w:sz w:val="18"/>
        </w:rPr>
        <w:t>(viz.</w:t>
      </w:r>
      <w:r>
        <w:rPr>
          <w:i/>
          <w:spacing w:val="-29"/>
          <w:sz w:val="18"/>
        </w:rPr>
        <w:t> </w:t>
      </w:r>
      <w:r>
        <w:rPr>
          <w:i/>
          <w:sz w:val="18"/>
        </w:rPr>
        <w:t>exclusive</w:t>
      </w:r>
      <w:r>
        <w:rPr>
          <w:i/>
          <w:spacing w:val="-30"/>
          <w:sz w:val="18"/>
        </w:rPr>
        <w:t> </w:t>
      </w:r>
      <w:r>
        <w:rPr>
          <w:i/>
          <w:sz w:val="18"/>
        </w:rPr>
        <w:t>of</w:t>
      </w:r>
      <w:r>
        <w:rPr>
          <w:i/>
          <w:spacing w:val="-31"/>
          <w:sz w:val="18"/>
        </w:rPr>
        <w:t> </w:t>
      </w:r>
      <w:r>
        <w:rPr>
          <w:i/>
          <w:sz w:val="18"/>
        </w:rPr>
        <w:t>property</w:t>
      </w:r>
      <w:r>
        <w:rPr>
          <w:i/>
          <w:spacing w:val="-31"/>
          <w:sz w:val="18"/>
        </w:rPr>
        <w:t> </w:t>
      </w:r>
      <w:r>
        <w:rPr>
          <w:i/>
          <w:sz w:val="18"/>
        </w:rPr>
        <w:t>tax</w:t>
      </w:r>
      <w:r>
        <w:rPr>
          <w:i/>
          <w:spacing w:val="-31"/>
          <w:sz w:val="18"/>
        </w:rPr>
        <w:t> </w:t>
      </w:r>
      <w:r>
        <w:rPr>
          <w:i/>
          <w:sz w:val="18"/>
        </w:rPr>
        <w:t>&amp;</w:t>
      </w:r>
      <w:r>
        <w:rPr>
          <w:i/>
          <w:spacing w:val="-30"/>
          <w:sz w:val="18"/>
        </w:rPr>
        <w:t> </w:t>
      </w:r>
      <w:r>
        <w:rPr>
          <w:i/>
          <w:sz w:val="18"/>
        </w:rPr>
        <w:t>insurance)</w:t>
      </w:r>
      <w:r>
        <w:rPr>
          <w:i/>
          <w:spacing w:val="-31"/>
          <w:sz w:val="18"/>
        </w:rPr>
        <w:t> </w:t>
      </w:r>
      <w:r>
        <w:rPr>
          <w:i/>
          <w:sz w:val="18"/>
        </w:rPr>
        <w:t>on</w:t>
      </w:r>
      <w:r>
        <w:rPr>
          <w:i/>
          <w:spacing w:val="-30"/>
          <w:sz w:val="18"/>
        </w:rPr>
        <w:t> </w:t>
      </w:r>
      <w:r>
        <w:rPr>
          <w:i/>
          <w:sz w:val="18"/>
        </w:rPr>
        <w:t>leasable</w:t>
      </w:r>
      <w:r>
        <w:rPr>
          <w:i/>
          <w:spacing w:val="-31"/>
          <w:sz w:val="18"/>
        </w:rPr>
        <w:t> </w:t>
      </w:r>
      <w:r>
        <w:rPr>
          <w:i/>
          <w:sz w:val="18"/>
        </w:rPr>
        <w:t>area</w:t>
      </w:r>
      <w:r>
        <w:rPr>
          <w:i/>
          <w:spacing w:val="-31"/>
          <w:sz w:val="18"/>
        </w:rPr>
        <w:t> </w:t>
      </w:r>
      <w:r>
        <w:rPr>
          <w:i/>
          <w:sz w:val="18"/>
        </w:rPr>
        <w:t>basis;</w:t>
      </w:r>
      <w:r>
        <w:rPr>
          <w:i/>
          <w:spacing w:val="-27"/>
          <w:sz w:val="18"/>
        </w:rPr>
        <w:t> </w:t>
      </w:r>
      <w:r>
        <w:rPr>
          <w:i/>
          <w:sz w:val="18"/>
        </w:rPr>
        <w:t>Note:</w:t>
      </w:r>
      <w:r>
        <w:rPr>
          <w:i/>
          <w:spacing w:val="-31"/>
          <w:sz w:val="18"/>
        </w:rPr>
        <w:t> </w:t>
      </w:r>
      <w:r>
        <w:rPr>
          <w:i/>
          <w:sz w:val="18"/>
        </w:rPr>
        <w:t>WS</w:t>
      </w:r>
      <w:r>
        <w:rPr>
          <w:i/>
          <w:spacing w:val="-31"/>
          <w:sz w:val="18"/>
        </w:rPr>
        <w:t> </w:t>
      </w:r>
      <w:r>
        <w:rPr>
          <w:i/>
          <w:w w:val="105"/>
          <w:sz w:val="18"/>
        </w:rPr>
        <w:t>–</w:t>
      </w:r>
      <w:r>
        <w:rPr>
          <w:i/>
          <w:spacing w:val="-34"/>
          <w:w w:val="105"/>
          <w:sz w:val="18"/>
        </w:rPr>
        <w:t> </w:t>
      </w:r>
      <w:r>
        <w:rPr>
          <w:i/>
          <w:sz w:val="18"/>
        </w:rPr>
        <w:t>Warm</w:t>
      </w:r>
      <w:r>
        <w:rPr>
          <w:i/>
          <w:spacing w:val="-30"/>
          <w:sz w:val="18"/>
        </w:rPr>
        <w:t> </w:t>
      </w:r>
      <w:r>
        <w:rPr>
          <w:i/>
          <w:sz w:val="18"/>
        </w:rPr>
        <w:t>shell; </w:t>
      </w:r>
      <w:r>
        <w:rPr>
          <w:i/>
          <w:sz w:val="18"/>
        </w:rPr>
        <w:t>FF </w:t>
      </w:r>
      <w:r>
        <w:rPr>
          <w:i/>
          <w:w w:val="105"/>
          <w:sz w:val="18"/>
        </w:rPr>
        <w:t>– </w:t>
      </w:r>
      <w:r>
        <w:rPr>
          <w:i/>
          <w:sz w:val="18"/>
        </w:rPr>
        <w:t>Fully</w:t>
      </w:r>
      <w:r>
        <w:rPr>
          <w:i/>
          <w:spacing w:val="-11"/>
          <w:sz w:val="18"/>
        </w:rPr>
        <w:t> </w:t>
      </w:r>
      <w:r>
        <w:rPr>
          <w:i/>
          <w:sz w:val="18"/>
        </w:rPr>
        <w:t>Fitted-out</w:t>
      </w:r>
    </w:p>
    <w:p>
      <w:pPr>
        <w:pStyle w:val="BodyText"/>
        <w:spacing w:before="10"/>
        <w:rPr>
          <w:i/>
          <w:sz w:val="20"/>
        </w:rPr>
      </w:pPr>
    </w:p>
    <w:p>
      <w:pPr>
        <w:pStyle w:val="BodyText"/>
        <w:spacing w:line="321" w:lineRule="auto"/>
        <w:ind w:left="782" w:right="234"/>
        <w:jc w:val="both"/>
      </w:pPr>
      <w:r>
        <w:rPr/>
        <w:t>Given the attributes such as location, connectivity, support infrastructure (residential &amp; social </w:t>
      </w:r>
      <w:r>
        <w:rPr>
          <w:w w:val="95"/>
        </w:rPr>
        <w:t>developments),</w:t>
      </w:r>
      <w:r>
        <w:rPr>
          <w:spacing w:val="-8"/>
          <w:w w:val="95"/>
        </w:rPr>
        <w:t> </w:t>
      </w:r>
      <w:r>
        <w:rPr>
          <w:w w:val="95"/>
        </w:rPr>
        <w:t>planned</w:t>
      </w:r>
      <w:r>
        <w:rPr>
          <w:spacing w:val="-6"/>
          <w:w w:val="95"/>
        </w:rPr>
        <w:t> </w:t>
      </w:r>
      <w:r>
        <w:rPr>
          <w:w w:val="95"/>
        </w:rPr>
        <w:t>infrastructure</w:t>
      </w:r>
      <w:r>
        <w:rPr>
          <w:spacing w:val="-8"/>
          <w:w w:val="95"/>
        </w:rPr>
        <w:t> </w:t>
      </w:r>
      <w:r>
        <w:rPr>
          <w:w w:val="95"/>
        </w:rPr>
        <w:t>initiatives,</w:t>
      </w:r>
      <w:r>
        <w:rPr>
          <w:spacing w:val="-7"/>
          <w:w w:val="95"/>
        </w:rPr>
        <w:t> </w:t>
      </w:r>
      <w:r>
        <w:rPr>
          <w:w w:val="95"/>
        </w:rPr>
        <w:t>strong</w:t>
      </w:r>
      <w:r>
        <w:rPr>
          <w:spacing w:val="-8"/>
          <w:w w:val="95"/>
        </w:rPr>
        <w:t> </w:t>
      </w:r>
      <w:r>
        <w:rPr>
          <w:w w:val="95"/>
        </w:rPr>
        <w:t>investor</w:t>
      </w:r>
      <w:r>
        <w:rPr>
          <w:spacing w:val="-8"/>
          <w:w w:val="95"/>
        </w:rPr>
        <w:t> </w:t>
      </w:r>
      <w:r>
        <w:rPr>
          <w:w w:val="95"/>
        </w:rPr>
        <w:t>and</w:t>
      </w:r>
      <w:r>
        <w:rPr>
          <w:spacing w:val="-7"/>
          <w:w w:val="95"/>
        </w:rPr>
        <w:t> </w:t>
      </w:r>
      <w:r>
        <w:rPr>
          <w:w w:val="95"/>
        </w:rPr>
        <w:t>corporates</w:t>
      </w:r>
      <w:r>
        <w:rPr>
          <w:spacing w:val="-7"/>
          <w:w w:val="95"/>
        </w:rPr>
        <w:t> </w:t>
      </w:r>
      <w:r>
        <w:rPr>
          <w:w w:val="95"/>
        </w:rPr>
        <w:t>interest,</w:t>
      </w:r>
      <w:r>
        <w:rPr>
          <w:spacing w:val="-7"/>
          <w:w w:val="95"/>
        </w:rPr>
        <w:t> </w:t>
      </w:r>
      <w:r>
        <w:rPr>
          <w:w w:val="95"/>
        </w:rPr>
        <w:t>and</w:t>
      </w:r>
      <w:r>
        <w:rPr>
          <w:spacing w:val="-7"/>
          <w:w w:val="95"/>
        </w:rPr>
        <w:t> </w:t>
      </w:r>
      <w:r>
        <w:rPr>
          <w:w w:val="95"/>
        </w:rPr>
        <w:t>the</w:t>
      </w:r>
      <w:r>
        <w:rPr>
          <w:spacing w:val="-8"/>
          <w:w w:val="95"/>
        </w:rPr>
        <w:t> </w:t>
      </w:r>
      <w:r>
        <w:rPr>
          <w:w w:val="95"/>
        </w:rPr>
        <w:t>nature </w:t>
      </w:r>
      <w:r>
        <w:rPr/>
        <w:t>of</w:t>
      </w:r>
      <w:r>
        <w:rPr>
          <w:spacing w:val="-11"/>
        </w:rPr>
        <w:t> </w:t>
      </w:r>
      <w:r>
        <w:rPr/>
        <w:t>operations,</w:t>
      </w:r>
      <w:r>
        <w:rPr>
          <w:spacing w:val="-11"/>
        </w:rPr>
        <w:t> </w:t>
      </w:r>
      <w:r>
        <w:rPr/>
        <w:t>demand</w:t>
      </w:r>
      <w:r>
        <w:rPr>
          <w:spacing w:val="-11"/>
        </w:rPr>
        <w:t> </w:t>
      </w:r>
      <w:r>
        <w:rPr/>
        <w:t>for</w:t>
      </w:r>
      <w:r>
        <w:rPr>
          <w:spacing w:val="-12"/>
        </w:rPr>
        <w:t> </w:t>
      </w:r>
      <w:r>
        <w:rPr/>
        <w:t>commercial</w:t>
      </w:r>
      <w:r>
        <w:rPr>
          <w:spacing w:val="-11"/>
        </w:rPr>
        <w:t> </w:t>
      </w:r>
      <w:r>
        <w:rPr/>
        <w:t>real</w:t>
      </w:r>
      <w:r>
        <w:rPr>
          <w:spacing w:val="-12"/>
        </w:rPr>
        <w:t> </w:t>
      </w:r>
      <w:r>
        <w:rPr/>
        <w:t>estate</w:t>
      </w:r>
      <w:r>
        <w:rPr>
          <w:spacing w:val="-12"/>
        </w:rPr>
        <w:t> </w:t>
      </w:r>
      <w:r>
        <w:rPr/>
        <w:t>is</w:t>
      </w:r>
      <w:r>
        <w:rPr>
          <w:spacing w:val="-7"/>
        </w:rPr>
        <w:t> </w:t>
      </w:r>
      <w:r>
        <w:rPr/>
        <w:t>expected</w:t>
      </w:r>
      <w:r>
        <w:rPr>
          <w:spacing w:val="-11"/>
        </w:rPr>
        <w:t> </w:t>
      </w:r>
      <w:r>
        <w:rPr/>
        <w:t>to</w:t>
      </w:r>
      <w:r>
        <w:rPr>
          <w:spacing w:val="-11"/>
        </w:rPr>
        <w:t> </w:t>
      </w:r>
      <w:r>
        <w:rPr/>
        <w:t>remain</w:t>
      </w:r>
      <w:r>
        <w:rPr>
          <w:spacing w:val="-10"/>
        </w:rPr>
        <w:t> </w:t>
      </w:r>
      <w:r>
        <w:rPr/>
        <w:t>stable</w:t>
      </w:r>
      <w:r>
        <w:rPr>
          <w:spacing w:val="-12"/>
        </w:rPr>
        <w:t> </w:t>
      </w:r>
      <w:r>
        <w:rPr/>
        <w:t>in</w:t>
      </w:r>
      <w:r>
        <w:rPr>
          <w:spacing w:val="-12"/>
        </w:rPr>
        <w:t> </w:t>
      </w:r>
      <w:r>
        <w:rPr/>
        <w:t>the</w:t>
      </w:r>
      <w:r>
        <w:rPr>
          <w:spacing w:val="-9"/>
        </w:rPr>
        <w:t> </w:t>
      </w:r>
      <w:r>
        <w:rPr/>
        <w:t>western</w:t>
      </w:r>
      <w:r>
        <w:rPr>
          <w:spacing w:val="-12"/>
        </w:rPr>
        <w:t> </w:t>
      </w:r>
      <w:r>
        <w:rPr/>
        <w:t>part</w:t>
      </w:r>
      <w:r>
        <w:rPr>
          <w:spacing w:val="-11"/>
        </w:rPr>
        <w:t> </w:t>
      </w:r>
      <w:r>
        <w:rPr/>
        <w:t>of</w:t>
      </w:r>
    </w:p>
    <w:p>
      <w:pPr>
        <w:spacing w:after="0" w:line="321" w:lineRule="auto"/>
        <w:jc w:val="both"/>
        <w:sectPr>
          <w:pgSz w:w="11910" w:h="16840"/>
          <w:pgMar w:header="720" w:footer="921" w:top="1660" w:bottom="1120" w:left="500" w:right="480"/>
        </w:sectPr>
      </w:pPr>
    </w:p>
    <w:p>
      <w:pPr>
        <w:pStyle w:val="BodyText"/>
        <w:spacing w:before="7"/>
        <w:rPr>
          <w:sz w:val="9"/>
        </w:rPr>
      </w:pPr>
    </w:p>
    <w:p>
      <w:pPr>
        <w:pStyle w:val="BodyText"/>
        <w:spacing w:line="321" w:lineRule="auto" w:before="106"/>
        <w:ind w:left="782" w:right="233"/>
        <w:jc w:val="both"/>
      </w:pPr>
      <w:r>
        <w:rPr/>
        <w:t>Pune.</w:t>
      </w:r>
      <w:r>
        <w:rPr>
          <w:spacing w:val="-35"/>
        </w:rPr>
        <w:t> </w:t>
      </w:r>
      <w:r>
        <w:rPr/>
        <w:t>Further,</w:t>
      </w:r>
      <w:r>
        <w:rPr>
          <w:spacing w:val="-34"/>
        </w:rPr>
        <w:t> </w:t>
      </w:r>
      <w:r>
        <w:rPr/>
        <w:t>due</w:t>
      </w:r>
      <w:r>
        <w:rPr>
          <w:spacing w:val="-34"/>
        </w:rPr>
        <w:t> </w:t>
      </w:r>
      <w:r>
        <w:rPr/>
        <w:t>to</w:t>
      </w:r>
      <w:r>
        <w:rPr>
          <w:spacing w:val="-34"/>
        </w:rPr>
        <w:t> </w:t>
      </w:r>
      <w:r>
        <w:rPr/>
        <w:t>availability</w:t>
      </w:r>
      <w:r>
        <w:rPr>
          <w:spacing w:val="-34"/>
        </w:rPr>
        <w:t> </w:t>
      </w:r>
      <w:r>
        <w:rPr/>
        <w:t>of</w:t>
      </w:r>
      <w:r>
        <w:rPr>
          <w:spacing w:val="-33"/>
        </w:rPr>
        <w:t> </w:t>
      </w:r>
      <w:r>
        <w:rPr/>
        <w:t>larger</w:t>
      </w:r>
      <w:r>
        <w:rPr>
          <w:spacing w:val="-34"/>
        </w:rPr>
        <w:t> </w:t>
      </w:r>
      <w:r>
        <w:rPr/>
        <w:t>sized</w:t>
      </w:r>
      <w:r>
        <w:rPr>
          <w:spacing w:val="-34"/>
        </w:rPr>
        <w:t> </w:t>
      </w:r>
      <w:r>
        <w:rPr/>
        <w:t>land</w:t>
      </w:r>
      <w:r>
        <w:rPr>
          <w:spacing w:val="-34"/>
        </w:rPr>
        <w:t> </w:t>
      </w:r>
      <w:r>
        <w:rPr/>
        <w:t>parcels,</w:t>
      </w:r>
      <w:r>
        <w:rPr>
          <w:spacing w:val="-34"/>
        </w:rPr>
        <w:t> </w:t>
      </w:r>
      <w:r>
        <w:rPr/>
        <w:t>and</w:t>
      </w:r>
      <w:r>
        <w:rPr>
          <w:spacing w:val="-34"/>
        </w:rPr>
        <w:t> </w:t>
      </w:r>
      <w:r>
        <w:rPr/>
        <w:t>competitive</w:t>
      </w:r>
      <w:r>
        <w:rPr>
          <w:spacing w:val="-34"/>
        </w:rPr>
        <w:t> </w:t>
      </w:r>
      <w:r>
        <w:rPr/>
        <w:t>capital</w:t>
      </w:r>
      <w:r>
        <w:rPr>
          <w:spacing w:val="-34"/>
        </w:rPr>
        <w:t> </w:t>
      </w:r>
      <w:r>
        <w:rPr/>
        <w:t>and</w:t>
      </w:r>
      <w:r>
        <w:rPr>
          <w:spacing w:val="-32"/>
        </w:rPr>
        <w:t> </w:t>
      </w:r>
      <w:r>
        <w:rPr/>
        <w:t>rentals</w:t>
      </w:r>
      <w:r>
        <w:rPr>
          <w:spacing w:val="-34"/>
        </w:rPr>
        <w:t> </w:t>
      </w:r>
      <w:r>
        <w:rPr/>
        <w:t>values vis-à-vis</w:t>
      </w:r>
      <w:r>
        <w:rPr>
          <w:spacing w:val="-13"/>
        </w:rPr>
        <w:t> </w:t>
      </w:r>
      <w:r>
        <w:rPr/>
        <w:t>other</w:t>
      </w:r>
      <w:r>
        <w:rPr>
          <w:spacing w:val="-13"/>
        </w:rPr>
        <w:t> </w:t>
      </w:r>
      <w:r>
        <w:rPr/>
        <w:t>peripheral</w:t>
      </w:r>
      <w:r>
        <w:rPr>
          <w:spacing w:val="-15"/>
        </w:rPr>
        <w:t> </w:t>
      </w:r>
      <w:r>
        <w:rPr/>
        <w:t>locations</w:t>
      </w:r>
      <w:r>
        <w:rPr>
          <w:spacing w:val="-12"/>
        </w:rPr>
        <w:t> </w:t>
      </w:r>
      <w:r>
        <w:rPr/>
        <w:t>such</w:t>
      </w:r>
      <w:r>
        <w:rPr>
          <w:spacing w:val="-13"/>
        </w:rPr>
        <w:t> </w:t>
      </w:r>
      <w:r>
        <w:rPr/>
        <w:t>as</w:t>
      </w:r>
      <w:r>
        <w:rPr>
          <w:spacing w:val="-12"/>
        </w:rPr>
        <w:t> </w:t>
      </w:r>
      <w:r>
        <w:rPr/>
        <w:t>East</w:t>
      </w:r>
      <w:r>
        <w:rPr>
          <w:spacing w:val="-13"/>
        </w:rPr>
        <w:t> </w:t>
      </w:r>
      <w:r>
        <w:rPr/>
        <w:t>Pune,</w:t>
      </w:r>
      <w:r>
        <w:rPr>
          <w:spacing w:val="-12"/>
        </w:rPr>
        <w:t> </w:t>
      </w:r>
      <w:r>
        <w:rPr/>
        <w:t>sustained</w:t>
      </w:r>
      <w:r>
        <w:rPr>
          <w:spacing w:val="-12"/>
        </w:rPr>
        <w:t> </w:t>
      </w:r>
      <w:r>
        <w:rPr/>
        <w:t>occupier</w:t>
      </w:r>
      <w:r>
        <w:rPr>
          <w:spacing w:val="-14"/>
        </w:rPr>
        <w:t> </w:t>
      </w:r>
      <w:r>
        <w:rPr/>
        <w:t>interest</w:t>
      </w:r>
      <w:r>
        <w:rPr>
          <w:spacing w:val="-12"/>
        </w:rPr>
        <w:t> </w:t>
      </w:r>
      <w:r>
        <w:rPr/>
        <w:t>is</w:t>
      </w:r>
      <w:r>
        <w:rPr>
          <w:spacing w:val="-13"/>
        </w:rPr>
        <w:t> </w:t>
      </w:r>
      <w:r>
        <w:rPr/>
        <w:t>envisaged</w:t>
      </w:r>
      <w:r>
        <w:rPr>
          <w:spacing w:val="-12"/>
        </w:rPr>
        <w:t> </w:t>
      </w:r>
      <w:r>
        <w:rPr>
          <w:spacing w:val="3"/>
        </w:rPr>
        <w:t>for</w:t>
      </w:r>
      <w:r>
        <w:rPr>
          <w:spacing w:val="-13"/>
        </w:rPr>
        <w:t> </w:t>
      </w:r>
      <w:r>
        <w:rPr/>
        <w:t>the larger</w:t>
      </w:r>
      <w:r>
        <w:rPr>
          <w:spacing w:val="-35"/>
        </w:rPr>
        <w:t> </w:t>
      </w:r>
      <w:r>
        <w:rPr/>
        <w:t>market.</w:t>
      </w:r>
      <w:r>
        <w:rPr>
          <w:spacing w:val="-34"/>
        </w:rPr>
        <w:t> </w:t>
      </w:r>
      <w:r>
        <w:rPr/>
        <w:t>A</w:t>
      </w:r>
      <w:r>
        <w:rPr>
          <w:spacing w:val="-34"/>
        </w:rPr>
        <w:t> </w:t>
      </w:r>
      <w:r>
        <w:rPr/>
        <w:t>stable</w:t>
      </w:r>
      <w:r>
        <w:rPr>
          <w:spacing w:val="-35"/>
        </w:rPr>
        <w:t> </w:t>
      </w:r>
      <w:r>
        <w:rPr/>
        <w:t>demand</w:t>
      </w:r>
      <w:r>
        <w:rPr>
          <w:spacing w:val="-34"/>
        </w:rPr>
        <w:t> </w:t>
      </w:r>
      <w:r>
        <w:rPr/>
        <w:t>pipeline</w:t>
      </w:r>
      <w:r>
        <w:rPr>
          <w:spacing w:val="-34"/>
        </w:rPr>
        <w:t> </w:t>
      </w:r>
      <w:r>
        <w:rPr/>
        <w:t>for</w:t>
      </w:r>
      <w:r>
        <w:rPr>
          <w:spacing w:val="-35"/>
        </w:rPr>
        <w:t> </w:t>
      </w:r>
      <w:r>
        <w:rPr/>
        <w:t>the</w:t>
      </w:r>
      <w:r>
        <w:rPr>
          <w:spacing w:val="-35"/>
        </w:rPr>
        <w:t> </w:t>
      </w:r>
      <w:r>
        <w:rPr/>
        <w:t>under</w:t>
      </w:r>
      <w:r>
        <w:rPr>
          <w:spacing w:val="-34"/>
        </w:rPr>
        <w:t> </w:t>
      </w:r>
      <w:r>
        <w:rPr/>
        <w:t>construction/land</w:t>
      </w:r>
      <w:r>
        <w:rPr>
          <w:spacing w:val="-34"/>
        </w:rPr>
        <w:t> </w:t>
      </w:r>
      <w:r>
        <w:rPr/>
        <w:t>stage</w:t>
      </w:r>
      <w:r>
        <w:rPr>
          <w:spacing w:val="-35"/>
        </w:rPr>
        <w:t> </w:t>
      </w:r>
      <w:r>
        <w:rPr/>
        <w:t>buildings</w:t>
      </w:r>
      <w:r>
        <w:rPr>
          <w:spacing w:val="-31"/>
        </w:rPr>
        <w:t> </w:t>
      </w:r>
      <w:r>
        <w:rPr/>
        <w:t>is</w:t>
      </w:r>
      <w:r>
        <w:rPr>
          <w:spacing w:val="-34"/>
        </w:rPr>
        <w:t> </w:t>
      </w:r>
      <w:r>
        <w:rPr/>
        <w:t>expected</w:t>
      </w:r>
      <w:r>
        <w:rPr>
          <w:spacing w:val="-35"/>
        </w:rPr>
        <w:t> </w:t>
      </w:r>
      <w:r>
        <w:rPr/>
        <w:t>and thus</w:t>
      </w:r>
      <w:r>
        <w:rPr>
          <w:spacing w:val="-38"/>
        </w:rPr>
        <w:t> </w:t>
      </w:r>
      <w:r>
        <w:rPr/>
        <w:t>rentals</w:t>
      </w:r>
      <w:r>
        <w:rPr>
          <w:spacing w:val="-37"/>
        </w:rPr>
        <w:t> </w:t>
      </w:r>
      <w:r>
        <w:rPr/>
        <w:t>will</w:t>
      </w:r>
      <w:r>
        <w:rPr>
          <w:spacing w:val="-39"/>
        </w:rPr>
        <w:t> </w:t>
      </w:r>
      <w:r>
        <w:rPr/>
        <w:t>continue</w:t>
      </w:r>
      <w:r>
        <w:rPr>
          <w:spacing w:val="-37"/>
        </w:rPr>
        <w:t> </w:t>
      </w:r>
      <w:r>
        <w:rPr/>
        <w:t>to</w:t>
      </w:r>
      <w:r>
        <w:rPr>
          <w:spacing w:val="-37"/>
        </w:rPr>
        <w:t> </w:t>
      </w:r>
      <w:r>
        <w:rPr/>
        <w:t>witness</w:t>
      </w:r>
      <w:r>
        <w:rPr>
          <w:spacing w:val="-38"/>
        </w:rPr>
        <w:t> </w:t>
      </w:r>
      <w:r>
        <w:rPr/>
        <w:t>stable</w:t>
      </w:r>
      <w:r>
        <w:rPr>
          <w:spacing w:val="-38"/>
        </w:rPr>
        <w:t> </w:t>
      </w:r>
      <w:r>
        <w:rPr/>
        <w:t>appreciation.</w:t>
      </w:r>
      <w:r>
        <w:rPr>
          <w:spacing w:val="-38"/>
        </w:rPr>
        <w:t> </w:t>
      </w:r>
      <w:r>
        <w:rPr/>
        <w:t>It</w:t>
      </w:r>
      <w:r>
        <w:rPr>
          <w:spacing w:val="-37"/>
        </w:rPr>
        <w:t> </w:t>
      </w:r>
      <w:r>
        <w:rPr/>
        <w:t>is</w:t>
      </w:r>
      <w:r>
        <w:rPr>
          <w:spacing w:val="-38"/>
        </w:rPr>
        <w:t> </w:t>
      </w:r>
      <w:r>
        <w:rPr/>
        <w:t>envisaged</w:t>
      </w:r>
      <w:r>
        <w:rPr>
          <w:spacing w:val="-37"/>
        </w:rPr>
        <w:t> </w:t>
      </w:r>
      <w:r>
        <w:rPr/>
        <w:t>that</w:t>
      </w:r>
      <w:r>
        <w:rPr>
          <w:spacing w:val="-38"/>
        </w:rPr>
        <w:t> </w:t>
      </w:r>
      <w:r>
        <w:rPr/>
        <w:t>prominent</w:t>
      </w:r>
      <w:r>
        <w:rPr>
          <w:spacing w:val="-37"/>
        </w:rPr>
        <w:t> </w:t>
      </w:r>
      <w:r>
        <w:rPr/>
        <w:t>tenants</w:t>
      </w:r>
      <w:r>
        <w:rPr>
          <w:spacing w:val="-38"/>
        </w:rPr>
        <w:t> </w:t>
      </w:r>
      <w:r>
        <w:rPr/>
        <w:t>are</w:t>
      </w:r>
      <w:r>
        <w:rPr>
          <w:spacing w:val="-37"/>
        </w:rPr>
        <w:t> </w:t>
      </w:r>
      <w:r>
        <w:rPr/>
        <w:t>likely to</w:t>
      </w:r>
      <w:r>
        <w:rPr>
          <w:spacing w:val="-32"/>
        </w:rPr>
        <w:t> </w:t>
      </w:r>
      <w:r>
        <w:rPr/>
        <w:t>continue</w:t>
      </w:r>
      <w:r>
        <w:rPr>
          <w:spacing w:val="-32"/>
        </w:rPr>
        <w:t> </w:t>
      </w:r>
      <w:r>
        <w:rPr/>
        <w:t>their</w:t>
      </w:r>
      <w:r>
        <w:rPr>
          <w:spacing w:val="-30"/>
        </w:rPr>
        <w:t> </w:t>
      </w:r>
      <w:r>
        <w:rPr/>
        <w:t>operations</w:t>
      </w:r>
      <w:r>
        <w:rPr>
          <w:spacing w:val="-31"/>
        </w:rPr>
        <w:t> </w:t>
      </w:r>
      <w:r>
        <w:rPr/>
        <w:t>in</w:t>
      </w:r>
      <w:r>
        <w:rPr>
          <w:spacing w:val="-31"/>
        </w:rPr>
        <w:t> </w:t>
      </w:r>
      <w:r>
        <w:rPr/>
        <w:t>West</w:t>
      </w:r>
      <w:r>
        <w:rPr>
          <w:spacing w:val="-32"/>
        </w:rPr>
        <w:t> </w:t>
      </w:r>
      <w:r>
        <w:rPr/>
        <w:t>Pune</w:t>
      </w:r>
      <w:r>
        <w:rPr>
          <w:spacing w:val="-32"/>
        </w:rPr>
        <w:t> </w:t>
      </w:r>
      <w:r>
        <w:rPr/>
        <w:t>submarket</w:t>
      </w:r>
      <w:r>
        <w:rPr>
          <w:spacing w:val="-30"/>
        </w:rPr>
        <w:t> </w:t>
      </w:r>
      <w:r>
        <w:rPr/>
        <w:t>resulting</w:t>
      </w:r>
      <w:r>
        <w:rPr>
          <w:spacing w:val="-31"/>
        </w:rPr>
        <w:t> </w:t>
      </w:r>
      <w:r>
        <w:rPr/>
        <w:t>in</w:t>
      </w:r>
      <w:r>
        <w:rPr>
          <w:spacing w:val="-33"/>
        </w:rPr>
        <w:t> </w:t>
      </w:r>
      <w:r>
        <w:rPr/>
        <w:t>limited</w:t>
      </w:r>
      <w:r>
        <w:rPr>
          <w:spacing w:val="-30"/>
        </w:rPr>
        <w:t> </w:t>
      </w:r>
      <w:r>
        <w:rPr/>
        <w:t>churn</w:t>
      </w:r>
      <w:r>
        <w:rPr>
          <w:spacing w:val="-32"/>
        </w:rPr>
        <w:t> </w:t>
      </w:r>
      <w:r>
        <w:rPr/>
        <w:t>and</w:t>
      </w:r>
      <w:r>
        <w:rPr>
          <w:spacing w:val="-31"/>
        </w:rPr>
        <w:t> </w:t>
      </w:r>
      <w:r>
        <w:rPr/>
        <w:t>range</w:t>
      </w:r>
      <w:r>
        <w:rPr>
          <w:spacing w:val="-32"/>
        </w:rPr>
        <w:t> </w:t>
      </w:r>
      <w:r>
        <w:rPr/>
        <w:t>bound</w:t>
      </w:r>
      <w:r>
        <w:rPr>
          <w:spacing w:val="-31"/>
        </w:rPr>
        <w:t> </w:t>
      </w:r>
      <w:r>
        <w:rPr/>
        <w:t>vacancy pressures over medium to long</w:t>
      </w:r>
      <w:r>
        <w:rPr>
          <w:spacing w:val="-16"/>
        </w:rPr>
        <w:t> </w:t>
      </w:r>
      <w:r>
        <w:rPr/>
        <w:t>term.</w:t>
      </w:r>
    </w:p>
    <w:p>
      <w:pPr>
        <w:pStyle w:val="BodyText"/>
        <w:spacing w:before="11"/>
        <w:rPr>
          <w:sz w:val="20"/>
        </w:rPr>
      </w:pPr>
    </w:p>
    <w:p>
      <w:pPr>
        <w:pStyle w:val="BodyText"/>
        <w:spacing w:line="321" w:lineRule="auto"/>
        <w:ind w:left="782" w:right="233"/>
        <w:jc w:val="both"/>
      </w:pPr>
      <w:r>
        <w:rPr/>
        <w:t>Subject</w:t>
      </w:r>
      <w:r>
        <w:rPr>
          <w:spacing w:val="-35"/>
        </w:rPr>
        <w:t> </w:t>
      </w:r>
      <w:r>
        <w:rPr/>
        <w:t>property</w:t>
      </w:r>
      <w:r>
        <w:rPr>
          <w:spacing w:val="-35"/>
        </w:rPr>
        <w:t> </w:t>
      </w:r>
      <w:r>
        <w:rPr/>
        <w:t>with</w:t>
      </w:r>
      <w:r>
        <w:rPr>
          <w:spacing w:val="-35"/>
        </w:rPr>
        <w:t> </w:t>
      </w:r>
      <w:r>
        <w:rPr/>
        <w:t>its</w:t>
      </w:r>
      <w:r>
        <w:rPr>
          <w:spacing w:val="-34"/>
        </w:rPr>
        <w:t> </w:t>
      </w:r>
      <w:r>
        <w:rPr/>
        <w:t>prominent</w:t>
      </w:r>
      <w:r>
        <w:rPr>
          <w:spacing w:val="-36"/>
        </w:rPr>
        <w:t> </w:t>
      </w:r>
      <w:r>
        <w:rPr/>
        <w:t>share</w:t>
      </w:r>
      <w:r>
        <w:rPr>
          <w:spacing w:val="-35"/>
        </w:rPr>
        <w:t> </w:t>
      </w:r>
      <w:r>
        <w:rPr/>
        <w:t>in</w:t>
      </w:r>
      <w:r>
        <w:rPr>
          <w:spacing w:val="-35"/>
        </w:rPr>
        <w:t> </w:t>
      </w:r>
      <w:r>
        <w:rPr/>
        <w:t>the</w:t>
      </w:r>
      <w:r>
        <w:rPr>
          <w:spacing w:val="-34"/>
        </w:rPr>
        <w:t> </w:t>
      </w:r>
      <w:r>
        <w:rPr/>
        <w:t>operational</w:t>
      </w:r>
      <w:r>
        <w:rPr>
          <w:spacing w:val="-35"/>
        </w:rPr>
        <w:t> </w:t>
      </w:r>
      <w:r>
        <w:rPr/>
        <w:t>stock</w:t>
      </w:r>
      <w:r>
        <w:rPr>
          <w:spacing w:val="-35"/>
        </w:rPr>
        <w:t> </w:t>
      </w:r>
      <w:r>
        <w:rPr/>
        <w:t>as</w:t>
      </w:r>
      <w:r>
        <w:rPr>
          <w:spacing w:val="-34"/>
        </w:rPr>
        <w:t> </w:t>
      </w:r>
      <w:r>
        <w:rPr/>
        <w:t>well</w:t>
      </w:r>
      <w:r>
        <w:rPr>
          <w:spacing w:val="-36"/>
        </w:rPr>
        <w:t> </w:t>
      </w:r>
      <w:r>
        <w:rPr/>
        <w:t>as</w:t>
      </w:r>
      <w:r>
        <w:rPr>
          <w:spacing w:val="-33"/>
        </w:rPr>
        <w:t> </w:t>
      </w:r>
      <w:r>
        <w:rPr/>
        <w:t>in</w:t>
      </w:r>
      <w:r>
        <w:rPr>
          <w:spacing w:val="-36"/>
        </w:rPr>
        <w:t> </w:t>
      </w:r>
      <w:r>
        <w:rPr/>
        <w:t>the</w:t>
      </w:r>
      <w:r>
        <w:rPr>
          <w:spacing w:val="-35"/>
        </w:rPr>
        <w:t> </w:t>
      </w:r>
      <w:r>
        <w:rPr/>
        <w:t>development</w:t>
      </w:r>
      <w:r>
        <w:rPr>
          <w:spacing w:val="-36"/>
        </w:rPr>
        <w:t> </w:t>
      </w:r>
      <w:r>
        <w:rPr/>
        <w:t>pipeline of</w:t>
      </w:r>
      <w:r>
        <w:rPr>
          <w:spacing w:val="-15"/>
        </w:rPr>
        <w:t> </w:t>
      </w:r>
      <w:r>
        <w:rPr/>
        <w:t>Grade</w:t>
      </w:r>
      <w:r>
        <w:rPr>
          <w:spacing w:val="-16"/>
        </w:rPr>
        <w:t> </w:t>
      </w:r>
      <w:r>
        <w:rPr/>
        <w:t>A</w:t>
      </w:r>
      <w:r>
        <w:rPr>
          <w:spacing w:val="-15"/>
        </w:rPr>
        <w:t> </w:t>
      </w:r>
      <w:r>
        <w:rPr/>
        <w:t>SEZ</w:t>
      </w:r>
      <w:r>
        <w:rPr>
          <w:spacing w:val="-17"/>
        </w:rPr>
        <w:t> </w:t>
      </w:r>
      <w:r>
        <w:rPr/>
        <w:t>space</w:t>
      </w:r>
      <w:r>
        <w:rPr>
          <w:spacing w:val="-13"/>
        </w:rPr>
        <w:t> </w:t>
      </w:r>
      <w:r>
        <w:rPr/>
        <w:t>over</w:t>
      </w:r>
      <w:r>
        <w:rPr>
          <w:spacing w:val="-16"/>
        </w:rPr>
        <w:t> </w:t>
      </w:r>
      <w:r>
        <w:rPr/>
        <w:t>the</w:t>
      </w:r>
      <w:r>
        <w:rPr>
          <w:spacing w:val="-16"/>
        </w:rPr>
        <w:t> </w:t>
      </w:r>
      <w:r>
        <w:rPr/>
        <w:t>next</w:t>
      </w:r>
      <w:r>
        <w:rPr>
          <w:spacing w:val="-14"/>
        </w:rPr>
        <w:t> </w:t>
      </w:r>
      <w:r>
        <w:rPr/>
        <w:t>3-4</w:t>
      </w:r>
      <w:r>
        <w:rPr>
          <w:spacing w:val="-16"/>
        </w:rPr>
        <w:t> </w:t>
      </w:r>
      <w:r>
        <w:rPr/>
        <w:t>years,</w:t>
      </w:r>
      <w:r>
        <w:rPr>
          <w:spacing w:val="-14"/>
        </w:rPr>
        <w:t> </w:t>
      </w:r>
      <w:r>
        <w:rPr/>
        <w:t>is</w:t>
      </w:r>
      <w:r>
        <w:rPr>
          <w:spacing w:val="-14"/>
        </w:rPr>
        <w:t> </w:t>
      </w:r>
      <w:r>
        <w:rPr/>
        <w:t>expected</w:t>
      </w:r>
      <w:r>
        <w:rPr>
          <w:spacing w:val="-15"/>
        </w:rPr>
        <w:t> </w:t>
      </w:r>
      <w:r>
        <w:rPr/>
        <w:t>to</w:t>
      </w:r>
      <w:r>
        <w:rPr>
          <w:spacing w:val="-15"/>
        </w:rPr>
        <w:t> </w:t>
      </w:r>
      <w:r>
        <w:rPr/>
        <w:t>continue</w:t>
      </w:r>
      <w:r>
        <w:rPr>
          <w:spacing w:val="-16"/>
        </w:rPr>
        <w:t> </w:t>
      </w:r>
      <w:r>
        <w:rPr/>
        <w:t>being</w:t>
      </w:r>
      <w:r>
        <w:rPr>
          <w:spacing w:val="-13"/>
        </w:rPr>
        <w:t> </w:t>
      </w:r>
      <w:r>
        <w:rPr/>
        <w:t>a</w:t>
      </w:r>
      <w:r>
        <w:rPr>
          <w:spacing w:val="-16"/>
        </w:rPr>
        <w:t> </w:t>
      </w:r>
      <w:r>
        <w:rPr/>
        <w:t>prominent</w:t>
      </w:r>
      <w:r>
        <w:rPr>
          <w:spacing w:val="-15"/>
        </w:rPr>
        <w:t> </w:t>
      </w:r>
      <w:r>
        <w:rPr/>
        <w:t>development in the West Pune</w:t>
      </w:r>
      <w:r>
        <w:rPr>
          <w:spacing w:val="-18"/>
        </w:rPr>
        <w:t> </w:t>
      </w:r>
      <w:r>
        <w:rPr/>
        <w:t>submarket.</w:t>
      </w:r>
    </w:p>
    <w:p>
      <w:pPr>
        <w:spacing w:after="0" w:line="321" w:lineRule="auto"/>
        <w:jc w:val="both"/>
        <w:sectPr>
          <w:pgSz w:w="11910" w:h="16840"/>
          <w:pgMar w:header="720" w:footer="921" w:top="1660" w:bottom="1120" w:left="500" w:right="480"/>
        </w:sectPr>
      </w:pPr>
    </w:p>
    <w:p>
      <w:pPr>
        <w:pStyle w:val="BodyText"/>
        <w:spacing w:before="7"/>
        <w:rPr>
          <w:sz w:val="9"/>
        </w:rPr>
      </w:pPr>
    </w:p>
    <w:p>
      <w:pPr>
        <w:pStyle w:val="ListParagraph"/>
        <w:numPr>
          <w:ilvl w:val="1"/>
          <w:numId w:val="14"/>
        </w:numPr>
        <w:tabs>
          <w:tab w:pos="796" w:val="left" w:leader="none"/>
          <w:tab w:pos="797" w:val="left" w:leader="none"/>
        </w:tabs>
        <w:spacing w:line="240" w:lineRule="auto" w:before="106" w:after="0"/>
        <w:ind w:left="796" w:right="0" w:hanging="577"/>
        <w:jc w:val="left"/>
        <w:rPr>
          <w:color w:val="1F6647"/>
          <w:sz w:val="22"/>
        </w:rPr>
      </w:pPr>
      <w:bookmarkStart w:name="_bookmark173" w:id="337"/>
      <w:bookmarkEnd w:id="337"/>
      <w:r>
        <w:rPr/>
      </w:r>
      <w:bookmarkStart w:name="_bookmark173" w:id="338"/>
      <w:bookmarkEnd w:id="338"/>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BodyText"/>
        <w:spacing w:before="3"/>
        <w:rPr>
          <w:sz w:val="28"/>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174" w:id="339"/>
      <w:bookmarkEnd w:id="339"/>
      <w:r>
        <w:rPr/>
      </w:r>
      <w:bookmarkStart w:name="_bookmark174" w:id="340"/>
      <w:bookmarkEnd w:id="340"/>
      <w:r>
        <w:rPr>
          <w:color w:val="1F664D"/>
          <w:w w:val="105"/>
          <w:sz w:val="22"/>
        </w:rPr>
        <w:t>A</w:t>
      </w:r>
      <w:r>
        <w:rPr>
          <w:color w:val="1F664D"/>
          <w:w w:val="105"/>
          <w:sz w:val="22"/>
        </w:rPr>
        <w:t>dopted</w:t>
      </w:r>
      <w:r>
        <w:rPr>
          <w:color w:val="1F664D"/>
          <w:spacing w:val="-3"/>
          <w:w w:val="105"/>
          <w:sz w:val="22"/>
        </w:rPr>
        <w:t> </w:t>
      </w:r>
      <w:r>
        <w:rPr>
          <w:color w:val="1F664D"/>
          <w:w w:val="105"/>
          <w:sz w:val="22"/>
        </w:rPr>
        <w:t>Methodology</w:t>
      </w:r>
    </w:p>
    <w:p>
      <w:pPr>
        <w:pStyle w:val="BodyText"/>
        <w:spacing w:line="321" w:lineRule="auto" w:before="208"/>
        <w:ind w:left="760" w:right="236"/>
        <w:jc w:val="both"/>
      </w:pPr>
      <w:r>
        <w:rPr/>
        <w:t>We</w:t>
      </w:r>
      <w:r>
        <w:rPr>
          <w:spacing w:val="-28"/>
        </w:rPr>
        <w:t> </w:t>
      </w:r>
      <w:r>
        <w:rPr/>
        <w:t>acknowledge</w:t>
      </w:r>
      <w:r>
        <w:rPr>
          <w:spacing w:val="-26"/>
        </w:rPr>
        <w:t> </w:t>
      </w:r>
      <w:r>
        <w:rPr/>
        <w:t>that</w:t>
      </w:r>
      <w:r>
        <w:rPr>
          <w:spacing w:val="-27"/>
        </w:rPr>
        <w:t> </w:t>
      </w:r>
      <w:r>
        <w:rPr/>
        <w:t>the</w:t>
      </w:r>
      <w:r>
        <w:rPr>
          <w:spacing w:val="-26"/>
        </w:rPr>
        <w:t> </w:t>
      </w:r>
      <w:r>
        <w:rPr/>
        <w:t>approaches</w:t>
      </w:r>
      <w:r>
        <w:rPr>
          <w:spacing w:val="-26"/>
        </w:rPr>
        <w:t> </w:t>
      </w:r>
      <w:r>
        <w:rPr/>
        <w:t>to</w:t>
      </w:r>
      <w:r>
        <w:rPr>
          <w:spacing w:val="-26"/>
        </w:rPr>
        <w:t> </w:t>
      </w:r>
      <w:r>
        <w:rPr/>
        <w:t>valuation</w:t>
      </w:r>
      <w:r>
        <w:rPr>
          <w:spacing w:val="-24"/>
        </w:rPr>
        <w:t> </w:t>
      </w:r>
      <w:r>
        <w:rPr/>
        <w:t>differ</w:t>
      </w:r>
      <w:r>
        <w:rPr>
          <w:spacing w:val="-27"/>
        </w:rPr>
        <w:t> </w:t>
      </w:r>
      <w:r>
        <w:rPr/>
        <w:t>considerably</w:t>
      </w:r>
      <w:r>
        <w:rPr>
          <w:spacing w:val="-26"/>
        </w:rPr>
        <w:t> </w:t>
      </w:r>
      <w:r>
        <w:rPr/>
        <w:t>and</w:t>
      </w:r>
      <w:r>
        <w:rPr>
          <w:spacing w:val="-26"/>
        </w:rPr>
        <w:t> </w:t>
      </w:r>
      <w:r>
        <w:rPr/>
        <w:t>that</w:t>
      </w:r>
      <w:r>
        <w:rPr>
          <w:spacing w:val="-27"/>
        </w:rPr>
        <w:t> </w:t>
      </w:r>
      <w:r>
        <w:rPr/>
        <w:t>for</w:t>
      </w:r>
      <w:r>
        <w:rPr>
          <w:spacing w:val="-26"/>
        </w:rPr>
        <w:t> </w:t>
      </w:r>
      <w:r>
        <w:rPr/>
        <w:t>a</w:t>
      </w:r>
      <w:r>
        <w:rPr>
          <w:spacing w:val="-27"/>
        </w:rPr>
        <w:t> </w:t>
      </w:r>
      <w:r>
        <w:rPr/>
        <w:t>particular</w:t>
      </w:r>
      <w:r>
        <w:rPr>
          <w:spacing w:val="-27"/>
        </w:rPr>
        <w:t> </w:t>
      </w:r>
      <w:r>
        <w:rPr/>
        <w:t>purpose, alternative</w:t>
      </w:r>
      <w:r>
        <w:rPr>
          <w:spacing w:val="-19"/>
        </w:rPr>
        <w:t> </w:t>
      </w:r>
      <w:r>
        <w:rPr/>
        <w:t>approaches</w:t>
      </w:r>
      <w:r>
        <w:rPr>
          <w:spacing w:val="-18"/>
        </w:rPr>
        <w:t> </w:t>
      </w:r>
      <w:r>
        <w:rPr/>
        <w:t>to</w:t>
      </w:r>
      <w:r>
        <w:rPr>
          <w:spacing w:val="-19"/>
        </w:rPr>
        <w:t> </w:t>
      </w:r>
      <w:r>
        <w:rPr/>
        <w:t>the</w:t>
      </w:r>
      <w:r>
        <w:rPr>
          <w:spacing w:val="-18"/>
        </w:rPr>
        <w:t> </w:t>
      </w:r>
      <w:r>
        <w:rPr/>
        <w:t>valuation</w:t>
      </w:r>
      <w:r>
        <w:rPr>
          <w:spacing w:val="-19"/>
        </w:rPr>
        <w:t> </w:t>
      </w:r>
      <w:r>
        <w:rPr/>
        <w:t>can</w:t>
      </w:r>
      <w:r>
        <w:rPr>
          <w:spacing w:val="-18"/>
        </w:rPr>
        <w:t> </w:t>
      </w:r>
      <w:r>
        <w:rPr/>
        <w:t>be</w:t>
      </w:r>
      <w:r>
        <w:rPr>
          <w:spacing w:val="-19"/>
        </w:rPr>
        <w:t> </w:t>
      </w:r>
      <w:r>
        <w:rPr/>
        <w:t>utilized</w:t>
      </w:r>
      <w:r>
        <w:rPr>
          <w:spacing w:val="-18"/>
        </w:rPr>
        <w:t> </w:t>
      </w:r>
      <w:r>
        <w:rPr/>
        <w:t>subject</w:t>
      </w:r>
      <w:r>
        <w:rPr>
          <w:spacing w:val="-19"/>
        </w:rPr>
        <w:t> </w:t>
      </w:r>
      <w:r>
        <w:rPr/>
        <w:t>to</w:t>
      </w:r>
      <w:r>
        <w:rPr>
          <w:spacing w:val="-18"/>
        </w:rPr>
        <w:t> </w:t>
      </w:r>
      <w:r>
        <w:rPr/>
        <w:t>the</w:t>
      </w:r>
      <w:r>
        <w:rPr>
          <w:spacing w:val="-19"/>
        </w:rPr>
        <w:t> </w:t>
      </w:r>
      <w:r>
        <w:rPr/>
        <w:t>Client’s</w:t>
      </w:r>
      <w:r>
        <w:rPr>
          <w:spacing w:val="-18"/>
        </w:rPr>
        <w:t> </w:t>
      </w:r>
      <w:r>
        <w:rPr/>
        <w:t>consultations</w:t>
      </w:r>
      <w:r>
        <w:rPr>
          <w:spacing w:val="-18"/>
        </w:rPr>
        <w:t> </w:t>
      </w:r>
      <w:r>
        <w:rPr/>
        <w:t>and</w:t>
      </w:r>
      <w:r>
        <w:rPr>
          <w:spacing w:val="-19"/>
        </w:rPr>
        <w:t> </w:t>
      </w:r>
      <w:r>
        <w:rPr/>
        <w:t>giving due</w:t>
      </w:r>
      <w:r>
        <w:rPr>
          <w:spacing w:val="-37"/>
        </w:rPr>
        <w:t> </w:t>
      </w:r>
      <w:r>
        <w:rPr/>
        <w:t>consideration</w:t>
      </w:r>
      <w:r>
        <w:rPr>
          <w:spacing w:val="-36"/>
        </w:rPr>
        <w:t> </w:t>
      </w:r>
      <w:r>
        <w:rPr/>
        <w:t>to</w:t>
      </w:r>
      <w:r>
        <w:rPr>
          <w:spacing w:val="-36"/>
        </w:rPr>
        <w:t> </w:t>
      </w:r>
      <w:r>
        <w:rPr/>
        <w:t>the</w:t>
      </w:r>
      <w:r>
        <w:rPr>
          <w:spacing w:val="-36"/>
        </w:rPr>
        <w:t> </w:t>
      </w:r>
      <w:r>
        <w:rPr/>
        <w:t>Client’s</w:t>
      </w:r>
      <w:r>
        <w:rPr>
          <w:spacing w:val="-36"/>
        </w:rPr>
        <w:t> </w:t>
      </w:r>
      <w:r>
        <w:rPr/>
        <w:t>requirements.</w:t>
      </w:r>
      <w:r>
        <w:rPr>
          <w:spacing w:val="-36"/>
        </w:rPr>
        <w:t> </w:t>
      </w:r>
      <w:r>
        <w:rPr/>
        <w:t>Considering</w:t>
      </w:r>
      <w:r>
        <w:rPr>
          <w:spacing w:val="-36"/>
        </w:rPr>
        <w:t> </w:t>
      </w:r>
      <w:r>
        <w:rPr/>
        <w:t>the</w:t>
      </w:r>
      <w:r>
        <w:rPr>
          <w:spacing w:val="-36"/>
        </w:rPr>
        <w:t> </w:t>
      </w:r>
      <w:r>
        <w:rPr/>
        <w:t>objective</w:t>
      </w:r>
      <w:r>
        <w:rPr>
          <w:spacing w:val="-37"/>
        </w:rPr>
        <w:t> </w:t>
      </w:r>
      <w:r>
        <w:rPr/>
        <w:t>of</w:t>
      </w:r>
      <w:r>
        <w:rPr>
          <w:spacing w:val="-36"/>
        </w:rPr>
        <w:t> </w:t>
      </w:r>
      <w:r>
        <w:rPr/>
        <w:t>this</w:t>
      </w:r>
      <w:r>
        <w:rPr>
          <w:spacing w:val="-35"/>
        </w:rPr>
        <w:t> </w:t>
      </w:r>
      <w:r>
        <w:rPr/>
        <w:t>exercise</w:t>
      </w:r>
      <w:r>
        <w:rPr>
          <w:spacing w:val="-37"/>
        </w:rPr>
        <w:t> </w:t>
      </w:r>
      <w:r>
        <w:rPr/>
        <w:t>and</w:t>
      </w:r>
      <w:r>
        <w:rPr>
          <w:spacing w:val="-35"/>
        </w:rPr>
        <w:t> </w:t>
      </w:r>
      <w:r>
        <w:rPr/>
        <w:t>the</w:t>
      </w:r>
      <w:r>
        <w:rPr>
          <w:spacing w:val="-36"/>
        </w:rPr>
        <w:t> </w:t>
      </w:r>
      <w:r>
        <w:rPr/>
        <w:t>nature of</w:t>
      </w:r>
      <w:r>
        <w:rPr>
          <w:spacing w:val="-34"/>
        </w:rPr>
        <w:t> </w:t>
      </w:r>
      <w:r>
        <w:rPr/>
        <w:t>asset</w:t>
      </w:r>
      <w:r>
        <w:rPr>
          <w:spacing w:val="-33"/>
        </w:rPr>
        <w:t> </w:t>
      </w:r>
      <w:r>
        <w:rPr/>
        <w:t>involved,</w:t>
      </w:r>
      <w:r>
        <w:rPr>
          <w:spacing w:val="-33"/>
        </w:rPr>
        <w:t> </w:t>
      </w:r>
      <w:r>
        <w:rPr/>
        <w:t>the</w:t>
      </w:r>
      <w:r>
        <w:rPr>
          <w:spacing w:val="-34"/>
        </w:rPr>
        <w:t> </w:t>
      </w:r>
      <w:r>
        <w:rPr/>
        <w:t>value</w:t>
      </w:r>
      <w:r>
        <w:rPr>
          <w:spacing w:val="-34"/>
        </w:rPr>
        <w:t> </w:t>
      </w:r>
      <w:r>
        <w:rPr/>
        <w:t>of</w:t>
      </w:r>
      <w:r>
        <w:rPr>
          <w:spacing w:val="-33"/>
        </w:rPr>
        <w:t> </w:t>
      </w:r>
      <w:r>
        <w:rPr/>
        <w:t>the</w:t>
      </w:r>
      <w:r>
        <w:rPr>
          <w:spacing w:val="-34"/>
        </w:rPr>
        <w:t> </w:t>
      </w:r>
      <w:r>
        <w:rPr/>
        <w:t>subject</w:t>
      </w:r>
      <w:r>
        <w:rPr>
          <w:spacing w:val="-33"/>
        </w:rPr>
        <w:t> </w:t>
      </w:r>
      <w:r>
        <w:rPr/>
        <w:t>property</w:t>
      </w:r>
      <w:r>
        <w:rPr>
          <w:spacing w:val="-34"/>
        </w:rPr>
        <w:t> </w:t>
      </w:r>
      <w:r>
        <w:rPr/>
        <w:t>has</w:t>
      </w:r>
      <w:r>
        <w:rPr>
          <w:spacing w:val="-33"/>
        </w:rPr>
        <w:t> </w:t>
      </w:r>
      <w:r>
        <w:rPr/>
        <w:t>been</w:t>
      </w:r>
      <w:r>
        <w:rPr>
          <w:spacing w:val="-34"/>
        </w:rPr>
        <w:t> </w:t>
      </w:r>
      <w:r>
        <w:rPr/>
        <w:t>assessed</w:t>
      </w:r>
      <w:r>
        <w:rPr>
          <w:spacing w:val="-33"/>
        </w:rPr>
        <w:t> </w:t>
      </w:r>
      <w:r>
        <w:rPr/>
        <w:t>through</w:t>
      </w:r>
      <w:r>
        <w:rPr>
          <w:spacing w:val="-34"/>
        </w:rPr>
        <w:t> </w:t>
      </w:r>
      <w:r>
        <w:rPr/>
        <w:t>the</w:t>
      </w:r>
      <w:r>
        <w:rPr>
          <w:spacing w:val="-34"/>
        </w:rPr>
        <w:t> </w:t>
      </w:r>
      <w:r>
        <w:rPr/>
        <w:t>following</w:t>
      </w:r>
      <w:r>
        <w:rPr>
          <w:spacing w:val="-33"/>
        </w:rPr>
        <w:t> </w:t>
      </w:r>
      <w:r>
        <w:rPr/>
        <w:t>approaches:</w:t>
      </w:r>
    </w:p>
    <w:p>
      <w:pPr>
        <w:pStyle w:val="BodyText"/>
        <w:spacing w:before="4"/>
        <w:rPr>
          <w:sz w:val="20"/>
        </w:rPr>
      </w:pPr>
    </w:p>
    <w:tbl>
      <w:tblPr>
        <w:tblW w:w="0" w:type="auto"/>
        <w:jc w:val="left"/>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7"/>
        <w:gridCol w:w="6954"/>
      </w:tblGrid>
      <w:tr>
        <w:trPr>
          <w:trHeight w:val="432" w:hRule="atLeast"/>
        </w:trPr>
        <w:tc>
          <w:tcPr>
            <w:tcW w:w="10471" w:type="dxa"/>
            <w:gridSpan w:val="2"/>
            <w:tcBorders>
              <w:top w:val="single" w:sz="6" w:space="0" w:color="69BD28"/>
            </w:tcBorders>
            <w:shd w:val="clear" w:color="auto" w:fill="006A4D"/>
          </w:tcPr>
          <w:p>
            <w:pPr>
              <w:pStyle w:val="TableParagraph"/>
              <w:tabs>
                <w:tab w:pos="4440" w:val="left" w:leader="none"/>
                <w:tab w:pos="7273" w:val="left" w:leader="none"/>
              </w:tabs>
              <w:spacing w:line="156" w:lineRule="auto" w:before="23"/>
              <w:ind w:left="1265"/>
              <w:jc w:val="left"/>
              <w:rPr>
                <w:b/>
                <w:sz w:val="18"/>
              </w:rPr>
            </w:pPr>
            <w:r>
              <w:rPr>
                <w:b/>
                <w:color w:val="FFFFFF"/>
                <w:w w:val="110"/>
                <w:position w:val="-10"/>
                <w:sz w:val="18"/>
              </w:rPr>
              <w:t>Particulars</w:t>
              <w:tab/>
              <w:t>Completed</w:t>
            </w:r>
            <w:r>
              <w:rPr>
                <w:b/>
                <w:color w:val="FFFFFF"/>
                <w:spacing w:val="-13"/>
                <w:w w:val="110"/>
                <w:position w:val="-10"/>
                <w:sz w:val="18"/>
              </w:rPr>
              <w:t> </w:t>
            </w:r>
            <w:r>
              <w:rPr>
                <w:b/>
                <w:color w:val="FFFFFF"/>
                <w:w w:val="110"/>
                <w:position w:val="-10"/>
                <w:sz w:val="18"/>
              </w:rPr>
              <w:t>Blocks</w:t>
              <w:tab/>
            </w:r>
            <w:r>
              <w:rPr>
                <w:b/>
                <w:color w:val="FFFFFF"/>
                <w:w w:val="110"/>
                <w:sz w:val="18"/>
              </w:rPr>
              <w:t>Under Construction/ Land</w:t>
            </w:r>
            <w:r>
              <w:rPr>
                <w:b/>
                <w:color w:val="FFFFFF"/>
                <w:spacing w:val="-23"/>
                <w:w w:val="110"/>
                <w:sz w:val="18"/>
              </w:rPr>
              <w:t> </w:t>
            </w:r>
            <w:r>
              <w:rPr>
                <w:b/>
                <w:color w:val="FFFFFF"/>
                <w:w w:val="110"/>
                <w:sz w:val="18"/>
              </w:rPr>
              <w:t>Stage</w:t>
            </w:r>
          </w:p>
          <w:p>
            <w:pPr>
              <w:pStyle w:val="TableParagraph"/>
              <w:spacing w:line="141" w:lineRule="exact"/>
              <w:ind w:right="1451"/>
              <w:jc w:val="right"/>
              <w:rPr>
                <w:b/>
                <w:sz w:val="18"/>
              </w:rPr>
            </w:pPr>
            <w:r>
              <w:rPr>
                <w:b/>
                <w:color w:val="FFFFFF"/>
                <w:w w:val="105"/>
                <w:sz w:val="18"/>
              </w:rPr>
              <w:t>Blocks</w:t>
            </w:r>
          </w:p>
        </w:tc>
      </w:tr>
      <w:tr>
        <w:trPr>
          <w:trHeight w:val="457" w:hRule="atLeast"/>
        </w:trPr>
        <w:tc>
          <w:tcPr>
            <w:tcW w:w="3517" w:type="dxa"/>
            <w:shd w:val="clear" w:color="auto" w:fill="69BD28"/>
          </w:tcPr>
          <w:p>
            <w:pPr>
              <w:pStyle w:val="TableParagraph"/>
              <w:spacing w:before="123"/>
              <w:ind w:left="689"/>
              <w:jc w:val="left"/>
              <w:rPr>
                <w:b/>
                <w:sz w:val="18"/>
              </w:rPr>
            </w:pPr>
            <w:r>
              <w:rPr>
                <w:b/>
                <w:color w:val="FFFFFF"/>
                <w:w w:val="110"/>
                <w:sz w:val="18"/>
              </w:rPr>
              <w:t>Valuation Methodology</w:t>
            </w:r>
          </w:p>
        </w:tc>
        <w:tc>
          <w:tcPr>
            <w:tcW w:w="6954" w:type="dxa"/>
            <w:tcBorders>
              <w:top w:val="single" w:sz="6" w:space="0" w:color="69BD28"/>
              <w:bottom w:val="single" w:sz="6" w:space="0" w:color="69BD28"/>
            </w:tcBorders>
          </w:tcPr>
          <w:p>
            <w:pPr>
              <w:pStyle w:val="TableParagraph"/>
              <w:spacing w:before="123"/>
              <w:ind w:left="885" w:right="899"/>
              <w:rPr>
                <w:sz w:val="18"/>
              </w:rPr>
            </w:pPr>
            <w:r>
              <w:rPr>
                <w:sz w:val="18"/>
              </w:rPr>
              <w:t>Discounted Cash Flow Method (using rent reversion approach)</w:t>
            </w:r>
          </w:p>
        </w:tc>
      </w:tr>
    </w:tbl>
    <w:p>
      <w:pPr>
        <w:pStyle w:val="BodyText"/>
        <w:rPr>
          <w:sz w:val="21"/>
        </w:rPr>
      </w:pPr>
    </w:p>
    <w:p>
      <w:pPr>
        <w:pStyle w:val="BodyText"/>
        <w:spacing w:line="319" w:lineRule="auto"/>
        <w:ind w:left="760" w:right="235"/>
        <w:jc w:val="both"/>
      </w:pPr>
      <w:r>
        <w:rPr/>
        <w:t>The</w:t>
      </w:r>
      <w:r>
        <w:rPr>
          <w:spacing w:val="-23"/>
        </w:rPr>
        <w:t> </w:t>
      </w:r>
      <w:r>
        <w:rPr/>
        <w:t>sections</w:t>
      </w:r>
      <w:r>
        <w:rPr>
          <w:spacing w:val="-22"/>
        </w:rPr>
        <w:t> </w:t>
      </w:r>
      <w:r>
        <w:rPr/>
        <w:t>below</w:t>
      </w:r>
      <w:r>
        <w:rPr>
          <w:spacing w:val="-21"/>
        </w:rPr>
        <w:t> </w:t>
      </w:r>
      <w:r>
        <w:rPr/>
        <w:t>highlight</w:t>
      </w:r>
      <w:r>
        <w:rPr>
          <w:spacing w:val="-23"/>
        </w:rPr>
        <w:t> </w:t>
      </w:r>
      <w:r>
        <w:rPr/>
        <w:t>detailed</w:t>
      </w:r>
      <w:r>
        <w:rPr>
          <w:spacing w:val="-21"/>
        </w:rPr>
        <w:t> </w:t>
      </w:r>
      <w:r>
        <w:rPr/>
        <w:t>valuation</w:t>
      </w:r>
      <w:r>
        <w:rPr>
          <w:spacing w:val="-22"/>
        </w:rPr>
        <w:t> </w:t>
      </w:r>
      <w:r>
        <w:rPr/>
        <w:t>workings</w:t>
      </w:r>
      <w:r>
        <w:rPr>
          <w:spacing w:val="-21"/>
        </w:rPr>
        <w:t> </w:t>
      </w:r>
      <w:r>
        <w:rPr/>
        <w:t>for</w:t>
      </w:r>
      <w:r>
        <w:rPr>
          <w:spacing w:val="-22"/>
        </w:rPr>
        <w:t> </w:t>
      </w:r>
      <w:r>
        <w:rPr/>
        <w:t>the</w:t>
      </w:r>
      <w:r>
        <w:rPr>
          <w:spacing w:val="-23"/>
        </w:rPr>
        <w:t> </w:t>
      </w:r>
      <w:r>
        <w:rPr/>
        <w:t>subject</w:t>
      </w:r>
      <w:r>
        <w:rPr>
          <w:spacing w:val="-23"/>
        </w:rPr>
        <w:t> </w:t>
      </w:r>
      <w:r>
        <w:rPr/>
        <w:t>property.</w:t>
      </w:r>
      <w:r>
        <w:rPr>
          <w:spacing w:val="-18"/>
        </w:rPr>
        <w:t> </w:t>
      </w:r>
      <w:r>
        <w:rPr/>
        <w:t>Please</w:t>
      </w:r>
      <w:r>
        <w:rPr>
          <w:spacing w:val="-23"/>
        </w:rPr>
        <w:t> </w:t>
      </w:r>
      <w:r>
        <w:rPr/>
        <w:t>note</w:t>
      </w:r>
      <w:r>
        <w:rPr>
          <w:spacing w:val="-21"/>
        </w:rPr>
        <w:t> </w:t>
      </w:r>
      <w:r>
        <w:rPr/>
        <w:t>that</w:t>
      </w:r>
      <w:r>
        <w:rPr>
          <w:spacing w:val="-23"/>
        </w:rPr>
        <w:t> </w:t>
      </w:r>
      <w:r>
        <w:rPr/>
        <w:t>the assumptions/</w:t>
      </w:r>
      <w:r>
        <w:rPr>
          <w:spacing w:val="-30"/>
        </w:rPr>
        <w:t> </w:t>
      </w:r>
      <w:r>
        <w:rPr/>
        <w:t>opinions</w:t>
      </w:r>
      <w:r>
        <w:rPr>
          <w:spacing w:val="-29"/>
        </w:rPr>
        <w:t> </w:t>
      </w:r>
      <w:r>
        <w:rPr/>
        <w:t>highlighted</w:t>
      </w:r>
      <w:r>
        <w:rPr>
          <w:spacing w:val="-28"/>
        </w:rPr>
        <w:t> </w:t>
      </w:r>
      <w:r>
        <w:rPr/>
        <w:t>in</w:t>
      </w:r>
      <w:r>
        <w:rPr>
          <w:spacing w:val="-30"/>
        </w:rPr>
        <w:t> </w:t>
      </w:r>
      <w:r>
        <w:rPr/>
        <w:t>the</w:t>
      </w:r>
      <w:r>
        <w:rPr>
          <w:spacing w:val="-29"/>
        </w:rPr>
        <w:t> </w:t>
      </w:r>
      <w:r>
        <w:rPr/>
        <w:t>subsequent</w:t>
      </w:r>
      <w:r>
        <w:rPr>
          <w:spacing w:val="-29"/>
        </w:rPr>
        <w:t> </w:t>
      </w:r>
      <w:r>
        <w:rPr/>
        <w:t>sections</w:t>
      </w:r>
      <w:r>
        <w:rPr>
          <w:spacing w:val="-29"/>
        </w:rPr>
        <w:t> </w:t>
      </w:r>
      <w:r>
        <w:rPr/>
        <w:t>are</w:t>
      </w:r>
      <w:r>
        <w:rPr>
          <w:spacing w:val="-29"/>
        </w:rPr>
        <w:t> </w:t>
      </w:r>
      <w:r>
        <w:rPr/>
        <w:t>to</w:t>
      </w:r>
      <w:r>
        <w:rPr>
          <w:spacing w:val="-29"/>
        </w:rPr>
        <w:t> </w:t>
      </w:r>
      <w:r>
        <w:rPr/>
        <w:t>be</w:t>
      </w:r>
      <w:r>
        <w:rPr>
          <w:spacing w:val="-30"/>
        </w:rPr>
        <w:t> </w:t>
      </w:r>
      <w:r>
        <w:rPr/>
        <w:t>read</w:t>
      </w:r>
      <w:r>
        <w:rPr>
          <w:spacing w:val="-28"/>
        </w:rPr>
        <w:t> </w:t>
      </w:r>
      <w:r>
        <w:rPr/>
        <w:t>in</w:t>
      </w:r>
      <w:r>
        <w:rPr>
          <w:spacing w:val="-30"/>
        </w:rPr>
        <w:t> </w:t>
      </w:r>
      <w:r>
        <w:rPr/>
        <w:t>conjunction</w:t>
      </w:r>
      <w:r>
        <w:rPr>
          <w:spacing w:val="-29"/>
        </w:rPr>
        <w:t> </w:t>
      </w:r>
      <w:r>
        <w:rPr/>
        <w:t>with</w:t>
      </w:r>
      <w:r>
        <w:rPr>
          <w:spacing w:val="-23"/>
        </w:rPr>
        <w:t> </w:t>
      </w:r>
      <w:r>
        <w:rPr/>
        <w:t>Section</w:t>
      </w:r>
    </w:p>
    <w:p>
      <w:pPr>
        <w:pStyle w:val="BodyText"/>
        <w:spacing w:before="5"/>
        <w:ind w:left="760"/>
      </w:pPr>
      <w:r>
        <w:rPr/>
        <w:t>1.11 and the following:</w:t>
      </w:r>
    </w:p>
    <w:p>
      <w:pPr>
        <w:pStyle w:val="BodyText"/>
        <w:spacing w:before="2"/>
        <w:rPr>
          <w:sz w:val="28"/>
        </w:rPr>
      </w:pPr>
    </w:p>
    <w:p>
      <w:pPr>
        <w:spacing w:line="321" w:lineRule="auto" w:before="1"/>
        <w:ind w:left="760" w:right="23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rPr>
          <w:i/>
          <w:sz w:val="21"/>
        </w:rPr>
      </w:pPr>
    </w:p>
    <w:p>
      <w:pPr>
        <w:pStyle w:val="ListParagraph"/>
        <w:numPr>
          <w:ilvl w:val="0"/>
          <w:numId w:val="51"/>
        </w:numPr>
        <w:tabs>
          <w:tab w:pos="1665" w:val="left" w:leader="none"/>
          <w:tab w:pos="1666" w:val="left" w:leader="none"/>
        </w:tabs>
        <w:spacing w:line="240" w:lineRule="auto" w:before="0" w:after="0"/>
        <w:ind w:left="1665" w:right="0" w:hanging="361"/>
        <w:jc w:val="left"/>
        <w:rPr>
          <w:i/>
          <w:sz w:val="22"/>
        </w:rPr>
      </w:pPr>
      <w:r>
        <w:rPr>
          <w:i/>
          <w:sz w:val="22"/>
        </w:rPr>
        <w:t>Limited/</w:t>
      </w:r>
      <w:r>
        <w:rPr>
          <w:i/>
          <w:spacing w:val="-13"/>
          <w:sz w:val="22"/>
        </w:rPr>
        <w:t> </w:t>
      </w:r>
      <w:r>
        <w:rPr>
          <w:i/>
          <w:sz w:val="22"/>
        </w:rPr>
        <w:t>no</w:t>
      </w:r>
      <w:r>
        <w:rPr>
          <w:i/>
          <w:spacing w:val="-12"/>
          <w:sz w:val="22"/>
        </w:rPr>
        <w:t> </w:t>
      </w:r>
      <w:r>
        <w:rPr>
          <w:i/>
          <w:sz w:val="22"/>
        </w:rPr>
        <w:t>growth</w:t>
      </w:r>
      <w:r>
        <w:rPr>
          <w:i/>
          <w:spacing w:val="-14"/>
          <w:sz w:val="22"/>
        </w:rPr>
        <w:t> </w:t>
      </w:r>
      <w:r>
        <w:rPr>
          <w:i/>
          <w:sz w:val="22"/>
        </w:rPr>
        <w:t>in</w:t>
      </w:r>
      <w:r>
        <w:rPr>
          <w:i/>
          <w:spacing w:val="-15"/>
          <w:sz w:val="22"/>
        </w:rPr>
        <w:t> </w:t>
      </w:r>
      <w:r>
        <w:rPr>
          <w:i/>
          <w:sz w:val="22"/>
        </w:rPr>
        <w:t>rent</w:t>
      </w:r>
      <w:r>
        <w:rPr>
          <w:i/>
          <w:spacing w:val="-12"/>
          <w:sz w:val="22"/>
        </w:rPr>
        <w:t> </w:t>
      </w:r>
      <w:r>
        <w:rPr>
          <w:i/>
          <w:sz w:val="22"/>
        </w:rPr>
        <w:t>has</w:t>
      </w:r>
      <w:r>
        <w:rPr>
          <w:i/>
          <w:spacing w:val="-14"/>
          <w:sz w:val="22"/>
        </w:rPr>
        <w:t> </w:t>
      </w:r>
      <w:r>
        <w:rPr>
          <w:i/>
          <w:sz w:val="22"/>
        </w:rPr>
        <w:t>been</w:t>
      </w:r>
      <w:r>
        <w:rPr>
          <w:i/>
          <w:spacing w:val="-14"/>
          <w:sz w:val="22"/>
        </w:rPr>
        <w:t> </w:t>
      </w:r>
      <w:r>
        <w:rPr>
          <w:i/>
          <w:sz w:val="22"/>
        </w:rPr>
        <w:t>considered</w:t>
      </w:r>
      <w:r>
        <w:rPr>
          <w:i/>
          <w:spacing w:val="-13"/>
          <w:sz w:val="22"/>
        </w:rPr>
        <w:t> </w:t>
      </w:r>
      <w:r>
        <w:rPr>
          <w:i/>
          <w:sz w:val="22"/>
        </w:rPr>
        <w:t>over</w:t>
      </w:r>
      <w:r>
        <w:rPr>
          <w:i/>
          <w:spacing w:val="-12"/>
          <w:sz w:val="22"/>
        </w:rPr>
        <w:t> </w:t>
      </w:r>
      <w:r>
        <w:rPr>
          <w:i/>
          <w:sz w:val="22"/>
        </w:rPr>
        <w:t>the</w:t>
      </w:r>
      <w:r>
        <w:rPr>
          <w:i/>
          <w:spacing w:val="-13"/>
          <w:sz w:val="22"/>
        </w:rPr>
        <w:t> </w:t>
      </w:r>
      <w:r>
        <w:rPr>
          <w:i/>
          <w:sz w:val="22"/>
        </w:rPr>
        <w:t>next</w:t>
      </w:r>
      <w:r>
        <w:rPr>
          <w:i/>
          <w:spacing w:val="-15"/>
          <w:sz w:val="22"/>
        </w:rPr>
        <w:t> </w:t>
      </w:r>
      <w:r>
        <w:rPr>
          <w:i/>
          <w:sz w:val="22"/>
        </w:rPr>
        <w:t>few</w:t>
      </w:r>
      <w:r>
        <w:rPr>
          <w:i/>
          <w:spacing w:val="-14"/>
          <w:sz w:val="22"/>
        </w:rPr>
        <w:t> </w:t>
      </w:r>
      <w:r>
        <w:rPr>
          <w:i/>
          <w:sz w:val="22"/>
        </w:rPr>
        <w:t>quarters</w:t>
      </w:r>
    </w:p>
    <w:p>
      <w:pPr>
        <w:pStyle w:val="ListParagraph"/>
        <w:numPr>
          <w:ilvl w:val="0"/>
          <w:numId w:val="51"/>
        </w:numPr>
        <w:tabs>
          <w:tab w:pos="1665" w:val="left" w:leader="none"/>
          <w:tab w:pos="1666" w:val="left" w:leader="none"/>
        </w:tabs>
        <w:spacing w:line="240" w:lineRule="auto" w:before="28" w:after="0"/>
        <w:ind w:left="1665" w:right="0" w:hanging="361"/>
        <w:jc w:val="left"/>
        <w:rPr>
          <w:i/>
          <w:sz w:val="22"/>
        </w:rPr>
      </w:pPr>
      <w:r>
        <w:rPr>
          <w:i/>
          <w:sz w:val="22"/>
        </w:rPr>
        <w:t>Construction</w:t>
      </w:r>
      <w:r>
        <w:rPr>
          <w:i/>
          <w:spacing w:val="-12"/>
          <w:sz w:val="22"/>
        </w:rPr>
        <w:t> </w:t>
      </w:r>
      <w:r>
        <w:rPr>
          <w:i/>
          <w:sz w:val="22"/>
        </w:rPr>
        <w:t>timelines</w:t>
      </w:r>
      <w:r>
        <w:rPr>
          <w:i/>
          <w:spacing w:val="-13"/>
          <w:sz w:val="22"/>
        </w:rPr>
        <w:t> </w:t>
      </w:r>
      <w:r>
        <w:rPr>
          <w:i/>
          <w:sz w:val="22"/>
        </w:rPr>
        <w:t>have</w:t>
      </w:r>
      <w:r>
        <w:rPr>
          <w:i/>
          <w:spacing w:val="-10"/>
          <w:sz w:val="22"/>
        </w:rPr>
        <w:t> </w:t>
      </w:r>
      <w:r>
        <w:rPr>
          <w:i/>
          <w:sz w:val="22"/>
        </w:rPr>
        <w:t>been</w:t>
      </w:r>
      <w:r>
        <w:rPr>
          <w:i/>
          <w:spacing w:val="-13"/>
          <w:sz w:val="22"/>
        </w:rPr>
        <w:t> </w:t>
      </w:r>
      <w:r>
        <w:rPr>
          <w:i/>
          <w:sz w:val="22"/>
        </w:rPr>
        <w:t>delayed</w:t>
      </w:r>
      <w:r>
        <w:rPr>
          <w:i/>
          <w:spacing w:val="-12"/>
          <w:sz w:val="22"/>
        </w:rPr>
        <w:t> </w:t>
      </w:r>
      <w:r>
        <w:rPr>
          <w:i/>
          <w:sz w:val="22"/>
        </w:rPr>
        <w:t>from</w:t>
      </w:r>
      <w:r>
        <w:rPr>
          <w:i/>
          <w:spacing w:val="-11"/>
          <w:sz w:val="22"/>
        </w:rPr>
        <w:t> </w:t>
      </w:r>
      <w:r>
        <w:rPr>
          <w:i/>
          <w:sz w:val="22"/>
        </w:rPr>
        <w:t>the</w:t>
      </w:r>
      <w:r>
        <w:rPr>
          <w:i/>
          <w:spacing w:val="-13"/>
          <w:sz w:val="22"/>
        </w:rPr>
        <w:t> </w:t>
      </w:r>
      <w:r>
        <w:rPr>
          <w:i/>
          <w:sz w:val="22"/>
        </w:rPr>
        <w:t>earlier</w:t>
      </w:r>
      <w:r>
        <w:rPr>
          <w:i/>
          <w:spacing w:val="-12"/>
          <w:sz w:val="22"/>
        </w:rPr>
        <w:t> </w:t>
      </w:r>
      <w:r>
        <w:rPr>
          <w:i/>
          <w:sz w:val="22"/>
        </w:rPr>
        <w:t>estimates</w:t>
      </w:r>
    </w:p>
    <w:p>
      <w:pPr>
        <w:pStyle w:val="ListParagraph"/>
        <w:numPr>
          <w:ilvl w:val="0"/>
          <w:numId w:val="51"/>
        </w:numPr>
        <w:tabs>
          <w:tab w:pos="1665" w:val="left" w:leader="none"/>
          <w:tab w:pos="1666" w:val="left" w:leader="none"/>
        </w:tabs>
        <w:spacing w:line="266" w:lineRule="auto" w:before="30" w:after="0"/>
        <w:ind w:left="1665" w:right="232" w:hanging="360"/>
        <w:jc w:val="left"/>
        <w:rPr>
          <w:i/>
          <w:sz w:val="22"/>
        </w:rPr>
      </w:pPr>
      <w:r>
        <w:rPr>
          <w:i/>
          <w:sz w:val="22"/>
        </w:rPr>
        <w:t>Considering</w:t>
      </w:r>
      <w:r>
        <w:rPr>
          <w:i/>
          <w:spacing w:val="-44"/>
          <w:sz w:val="22"/>
        </w:rPr>
        <w:t> </w:t>
      </w:r>
      <w:r>
        <w:rPr>
          <w:i/>
          <w:sz w:val="22"/>
        </w:rPr>
        <w:t>challenges</w:t>
      </w:r>
      <w:r>
        <w:rPr>
          <w:i/>
          <w:spacing w:val="-42"/>
          <w:sz w:val="22"/>
        </w:rPr>
        <w:t> </w:t>
      </w:r>
      <w:r>
        <w:rPr>
          <w:i/>
          <w:sz w:val="22"/>
        </w:rPr>
        <w:t>in</w:t>
      </w:r>
      <w:r>
        <w:rPr>
          <w:i/>
          <w:spacing w:val="-43"/>
          <w:sz w:val="22"/>
        </w:rPr>
        <w:t> </w:t>
      </w:r>
      <w:r>
        <w:rPr>
          <w:i/>
          <w:sz w:val="22"/>
        </w:rPr>
        <w:t>the</w:t>
      </w:r>
      <w:r>
        <w:rPr>
          <w:i/>
          <w:spacing w:val="-42"/>
          <w:sz w:val="22"/>
        </w:rPr>
        <w:t> </w:t>
      </w:r>
      <w:r>
        <w:rPr>
          <w:i/>
          <w:sz w:val="22"/>
        </w:rPr>
        <w:t>short</w:t>
      </w:r>
      <w:r>
        <w:rPr>
          <w:i/>
          <w:spacing w:val="-43"/>
          <w:sz w:val="22"/>
        </w:rPr>
        <w:t> </w:t>
      </w:r>
      <w:r>
        <w:rPr>
          <w:i/>
          <w:sz w:val="22"/>
        </w:rPr>
        <w:t>term,</w:t>
      </w:r>
      <w:r>
        <w:rPr>
          <w:i/>
          <w:spacing w:val="-41"/>
          <w:sz w:val="22"/>
        </w:rPr>
        <w:t> </w:t>
      </w:r>
      <w:r>
        <w:rPr>
          <w:i/>
          <w:sz w:val="22"/>
        </w:rPr>
        <w:t>timelines</w:t>
      </w:r>
      <w:r>
        <w:rPr>
          <w:i/>
          <w:spacing w:val="-44"/>
          <w:sz w:val="22"/>
        </w:rPr>
        <w:t> </w:t>
      </w:r>
      <w:r>
        <w:rPr>
          <w:i/>
          <w:sz w:val="22"/>
        </w:rPr>
        <w:t>have</w:t>
      </w:r>
      <w:r>
        <w:rPr>
          <w:i/>
          <w:spacing w:val="-41"/>
          <w:sz w:val="22"/>
        </w:rPr>
        <w:t> </w:t>
      </w:r>
      <w:r>
        <w:rPr>
          <w:i/>
          <w:sz w:val="22"/>
        </w:rPr>
        <w:t>been</w:t>
      </w:r>
      <w:r>
        <w:rPr>
          <w:i/>
          <w:spacing w:val="-43"/>
          <w:sz w:val="22"/>
        </w:rPr>
        <w:t> </w:t>
      </w:r>
      <w:r>
        <w:rPr>
          <w:i/>
          <w:sz w:val="22"/>
        </w:rPr>
        <w:t>extended</w:t>
      </w:r>
      <w:r>
        <w:rPr>
          <w:i/>
          <w:spacing w:val="-42"/>
          <w:sz w:val="22"/>
        </w:rPr>
        <w:t> </w:t>
      </w:r>
      <w:r>
        <w:rPr>
          <w:i/>
          <w:sz w:val="22"/>
        </w:rPr>
        <w:t>for</w:t>
      </w:r>
      <w:r>
        <w:rPr>
          <w:i/>
          <w:spacing w:val="-43"/>
          <w:sz w:val="22"/>
        </w:rPr>
        <w:t> </w:t>
      </w:r>
      <w:r>
        <w:rPr>
          <w:i/>
          <w:sz w:val="22"/>
        </w:rPr>
        <w:t>new</w:t>
      </w:r>
      <w:r>
        <w:rPr>
          <w:i/>
          <w:spacing w:val="-42"/>
          <w:sz w:val="22"/>
        </w:rPr>
        <w:t> </w:t>
      </w:r>
      <w:r>
        <w:rPr>
          <w:i/>
          <w:sz w:val="22"/>
        </w:rPr>
        <w:t>space</w:t>
      </w:r>
      <w:r>
        <w:rPr>
          <w:i/>
          <w:spacing w:val="-43"/>
          <w:sz w:val="22"/>
        </w:rPr>
        <w:t> </w:t>
      </w:r>
      <w:r>
        <w:rPr>
          <w:i/>
          <w:sz w:val="22"/>
        </w:rPr>
        <w:t>take-up/ </w:t>
      </w:r>
      <w:r>
        <w:rPr>
          <w:i/>
          <w:sz w:val="22"/>
        </w:rPr>
        <w:t>future</w:t>
      </w:r>
      <w:r>
        <w:rPr>
          <w:i/>
          <w:spacing w:val="-3"/>
          <w:sz w:val="22"/>
        </w:rPr>
        <w:t> </w:t>
      </w:r>
      <w:r>
        <w:rPr>
          <w:i/>
          <w:sz w:val="22"/>
        </w:rPr>
        <w:t>leasing</w:t>
      </w:r>
    </w:p>
    <w:p>
      <w:pPr>
        <w:pStyle w:val="ListParagraph"/>
        <w:numPr>
          <w:ilvl w:val="0"/>
          <w:numId w:val="51"/>
        </w:numPr>
        <w:tabs>
          <w:tab w:pos="1665" w:val="left" w:leader="none"/>
          <w:tab w:pos="1666" w:val="left" w:leader="none"/>
        </w:tabs>
        <w:spacing w:line="266" w:lineRule="auto" w:before="1" w:after="0"/>
        <w:ind w:left="1665" w:right="231" w:hanging="360"/>
        <w:jc w:val="left"/>
        <w:rPr>
          <w:i/>
          <w:sz w:val="22"/>
        </w:rPr>
      </w:pPr>
      <w:r>
        <w:rPr>
          <w:i/>
          <w:sz w:val="22"/>
        </w:rPr>
        <w:t>Additional</w:t>
      </w:r>
      <w:r>
        <w:rPr>
          <w:i/>
          <w:spacing w:val="-28"/>
          <w:sz w:val="22"/>
        </w:rPr>
        <w:t> </w:t>
      </w:r>
      <w:r>
        <w:rPr>
          <w:i/>
          <w:sz w:val="22"/>
        </w:rPr>
        <w:t>fit-out</w:t>
      </w:r>
      <w:r>
        <w:rPr>
          <w:i/>
          <w:spacing w:val="-27"/>
          <w:sz w:val="22"/>
        </w:rPr>
        <w:t> </w:t>
      </w:r>
      <w:r>
        <w:rPr>
          <w:i/>
          <w:sz w:val="22"/>
        </w:rPr>
        <w:t>period/</w:t>
      </w:r>
      <w:r>
        <w:rPr>
          <w:i/>
          <w:spacing w:val="-27"/>
          <w:sz w:val="22"/>
        </w:rPr>
        <w:t> </w:t>
      </w:r>
      <w:r>
        <w:rPr>
          <w:i/>
          <w:sz w:val="22"/>
        </w:rPr>
        <w:t>rent</w:t>
      </w:r>
      <w:r>
        <w:rPr>
          <w:i/>
          <w:spacing w:val="-28"/>
          <w:sz w:val="22"/>
        </w:rPr>
        <w:t> </w:t>
      </w:r>
      <w:r>
        <w:rPr>
          <w:i/>
          <w:sz w:val="22"/>
        </w:rPr>
        <w:t>free</w:t>
      </w:r>
      <w:r>
        <w:rPr>
          <w:i/>
          <w:spacing w:val="-27"/>
          <w:sz w:val="22"/>
        </w:rPr>
        <w:t> </w:t>
      </w:r>
      <w:r>
        <w:rPr>
          <w:i/>
          <w:sz w:val="22"/>
        </w:rPr>
        <w:t>months</w:t>
      </w:r>
      <w:r>
        <w:rPr>
          <w:i/>
          <w:spacing w:val="-26"/>
          <w:sz w:val="22"/>
        </w:rPr>
        <w:t> </w:t>
      </w:r>
      <w:r>
        <w:rPr>
          <w:i/>
          <w:sz w:val="22"/>
        </w:rPr>
        <w:t>have</w:t>
      </w:r>
      <w:r>
        <w:rPr>
          <w:i/>
          <w:spacing w:val="-27"/>
          <w:sz w:val="22"/>
        </w:rPr>
        <w:t> </w:t>
      </w:r>
      <w:r>
        <w:rPr>
          <w:i/>
          <w:sz w:val="22"/>
        </w:rPr>
        <w:t>been</w:t>
      </w:r>
      <w:r>
        <w:rPr>
          <w:i/>
          <w:spacing w:val="-27"/>
          <w:sz w:val="22"/>
        </w:rPr>
        <w:t> </w:t>
      </w:r>
      <w:r>
        <w:rPr>
          <w:i/>
          <w:sz w:val="22"/>
        </w:rPr>
        <w:t>incorporated</w:t>
      </w:r>
      <w:r>
        <w:rPr>
          <w:i/>
          <w:spacing w:val="-28"/>
          <w:sz w:val="22"/>
        </w:rPr>
        <w:t> </w:t>
      </w:r>
      <w:r>
        <w:rPr>
          <w:i/>
          <w:sz w:val="22"/>
        </w:rPr>
        <w:t>where</w:t>
      </w:r>
      <w:r>
        <w:rPr>
          <w:i/>
          <w:spacing w:val="-27"/>
          <w:sz w:val="22"/>
        </w:rPr>
        <w:t> </w:t>
      </w:r>
      <w:r>
        <w:rPr>
          <w:i/>
          <w:sz w:val="22"/>
        </w:rPr>
        <w:t>fit-out</w:t>
      </w:r>
      <w:r>
        <w:rPr>
          <w:i/>
          <w:spacing w:val="-28"/>
          <w:sz w:val="22"/>
        </w:rPr>
        <w:t> </w:t>
      </w:r>
      <w:r>
        <w:rPr>
          <w:i/>
          <w:sz w:val="22"/>
        </w:rPr>
        <w:t>works</w:t>
      </w:r>
      <w:r>
        <w:rPr>
          <w:i/>
          <w:spacing w:val="-27"/>
          <w:sz w:val="22"/>
        </w:rPr>
        <w:t> </w:t>
      </w:r>
      <w:r>
        <w:rPr>
          <w:i/>
          <w:sz w:val="22"/>
        </w:rPr>
        <w:t>have </w:t>
      </w:r>
      <w:r>
        <w:rPr>
          <w:i/>
          <w:sz w:val="22"/>
        </w:rPr>
        <w:t>commenced”</w:t>
      </w:r>
    </w:p>
    <w:p>
      <w:pPr>
        <w:pStyle w:val="BodyText"/>
        <w:spacing w:before="10"/>
        <w:rPr>
          <w:i/>
          <w:sz w:val="2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175" w:id="341"/>
      <w:bookmarkEnd w:id="341"/>
      <w:r>
        <w:rPr/>
      </w:r>
      <w:bookmarkStart w:name="_bookmark175" w:id="342"/>
      <w:bookmarkEnd w:id="342"/>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8"/>
        <w:ind w:left="786" w:right="236"/>
        <w:jc w:val="both"/>
      </w:pPr>
      <w:r>
        <w:rPr/>
        <w:pict>
          <v:group style="position:absolute;margin-left:36pt;margin-top:56.518623pt;width:523.6pt;height:34.6pt;mso-position-horizontal-relative:page;mso-position-vertical-relative:paragraph;z-index:-34501632" coordorigin="720,1130" coordsize="10472,692">
            <v:shape style="position:absolute;left:720;top:1807;width:10472;height:15" coordorigin="720,1807" coordsize="10472,15" path="m7353,1807l7338,1807,4964,1807,4950,1807,720,1807,720,1822,4950,1822,4964,1822,7338,1822,7353,1822,7353,1807xm8983,1807l7353,1807,7353,1822,8983,1822,8983,1807xm11191,1807l8997,1807,8983,1807,8983,1822,8997,1822,11191,1822,11191,1807xe" filled="true" fillcolor="#69bd28" stroked="false">
              <v:path arrowok="t"/>
              <v:fill type="solid"/>
            </v:shape>
            <v:shape style="position:absolute;left:720;top:1159;width:10472;height:648" coordorigin="720,1159" coordsize="10472,648" path="m8983,1159l7338,1159,4950,1159,720,1159,720,1807,4950,1807,7338,1807,8983,1807,8983,1159xm11191,1159l8983,1159,8983,1807,11191,1807,11191,1159xe" filled="true" fillcolor="#006a4d" stroked="false">
              <v:path arrowok="t"/>
              <v:fill type="solid"/>
            </v:shape>
            <v:rect style="position:absolute;left:720;top:1130;width:4230;height:29" filled="true" fillcolor="#1f6b16" stroked="false">
              <v:fill type="solid"/>
            </v:rect>
            <v:shape style="position:absolute;left:720;top:1159;width:4259;height:3" coordorigin="720,1159" coordsize="4259,3" path="m4979,1159l4950,1159,720,1159,720,1162,4950,1162,4979,1162,4979,1159xe" filled="true" fillcolor="#006a4d" stroked="false">
              <v:path arrowok="t"/>
              <v:fill type="solid"/>
            </v:shape>
            <v:shape style="position:absolute;left:4949;top:1130;width:2389;height:29" coordorigin="4950,1130" coordsize="2389,29" path="m7338,1130l4979,1130,4950,1130,4950,1159,4979,1159,7338,1159,7338,1130xe" filled="true" fillcolor="#1f6b16" stroked="false">
              <v:path arrowok="t"/>
              <v:fill type="solid"/>
            </v:shape>
            <v:shape style="position:absolute;left:4978;top:1159;width:2389;height:3" coordorigin="4979,1159" coordsize="2389,3" path="m7367,1159l7338,1159,4979,1159,4979,1162,7338,1162,7367,1162,7367,1159xe" filled="true" fillcolor="#006a4d" stroked="false">
              <v:path arrowok="t"/>
              <v:fill type="solid"/>
            </v:shape>
            <v:shape style="position:absolute;left:7338;top:1130;width:1645;height:29" coordorigin="7338,1130" coordsize="1645,29" path="m8983,1130l7367,1130,7338,1130,7338,1159,7367,1159,8983,1159,8983,1130xe" filled="true" fillcolor="#1f6b16" stroked="false">
              <v:path arrowok="t"/>
              <v:fill type="solid"/>
            </v:shape>
            <v:shape style="position:absolute;left:7367;top:1159;width:1645;height:3" coordorigin="7367,1159" coordsize="1645,3" path="m8983,1159l7367,1159,7367,1162,8983,1162,8983,1159xm9012,1159l8983,1159,8983,1162,9012,1162,9012,1159xe" filled="true" fillcolor="#006a4d" stroked="false">
              <v:path arrowok="t"/>
              <v:fill type="solid"/>
            </v:shape>
            <v:shape style="position:absolute;left:8982;top:1130;width:2209;height:29" coordorigin="8983,1130" coordsize="2209,29" path="m11191,1130l9012,1130,8983,1130,8983,1159,9012,1159,11191,1159,11191,1130xe" filled="true" fillcolor="#1f6b16" stroked="false">
              <v:path arrowok="t"/>
              <v:fill type="solid"/>
            </v:shape>
            <v:rect style="position:absolute;left:9011;top:1159;width:2180;height:3" filled="true" fillcolor="#006a4d" stroked="false">
              <v:fill type="solid"/>
            </v:rect>
            <v:shape style="position:absolute;left:2316;top:1374;width:1056;height:216" type="#_x0000_t202" filled="false" stroked="false">
              <v:textbox inset="0,0,0,0">
                <w:txbxContent>
                  <w:p>
                    <w:pPr>
                      <w:spacing w:before="4"/>
                      <w:ind w:left="0" w:right="0" w:firstLine="0"/>
                      <w:jc w:val="left"/>
                      <w:rPr>
                        <w:b/>
                        <w:sz w:val="18"/>
                      </w:rPr>
                    </w:pPr>
                    <w:r>
                      <w:rPr>
                        <w:b/>
                        <w:color w:val="FFFFFF"/>
                        <w:w w:val="105"/>
                        <w:sz w:val="18"/>
                      </w:rPr>
                      <w:t>Component</w:t>
                    </w:r>
                  </w:p>
                </w:txbxContent>
              </v:textbox>
              <w10:wrap type="none"/>
            </v:shape>
            <v:shape style="position:absolute;left:5221;top:1266;width:1867;height:432" type="#_x0000_t202" filled="false" stroked="false">
              <v:textbox inset="0,0,0,0">
                <w:txbxContent>
                  <w:p>
                    <w:pPr>
                      <w:spacing w:line="247" w:lineRule="auto" w:before="4"/>
                      <w:ind w:left="425" w:right="0" w:hanging="426"/>
                      <w:jc w:val="left"/>
                      <w:rPr>
                        <w:b/>
                        <w:sz w:val="18"/>
                      </w:rPr>
                    </w:pPr>
                    <w:r>
                      <w:rPr>
                        <w:b/>
                        <w:color w:val="FFFFFF"/>
                        <w:w w:val="105"/>
                        <w:sz w:val="18"/>
                      </w:rPr>
                      <w:t>Completed Leasable area (in sf)</w:t>
                    </w:r>
                  </w:p>
                </w:txbxContent>
              </v:textbox>
              <w10:wrap type="none"/>
            </v:shape>
            <v:shape style="position:absolute;left:7600;top:1158;width:3501;height:432" type="#_x0000_t202" filled="false" stroked="false">
              <v:textbox inset="0,0,0,0">
                <w:txbxContent>
                  <w:p>
                    <w:pPr>
                      <w:tabs>
                        <w:tab w:pos="1490" w:val="left" w:leader="none"/>
                        <w:tab w:pos="2059" w:val="left" w:leader="none"/>
                      </w:tabs>
                      <w:spacing w:line="247" w:lineRule="auto" w:before="4"/>
                      <w:ind w:left="0" w:right="18" w:firstLine="276"/>
                      <w:jc w:val="left"/>
                      <w:rPr>
                        <w:b/>
                        <w:sz w:val="18"/>
                      </w:rPr>
                    </w:pPr>
                    <w:r>
                      <w:rPr>
                        <w:b/>
                        <w:color w:val="FFFFFF"/>
                        <w:w w:val="110"/>
                        <w:sz w:val="18"/>
                      </w:rPr>
                      <w:t>Under</w:t>
                      <w:tab/>
                      <w:tab/>
                      <w:t>Proposed Construction</w:t>
                      <w:tab/>
                      <w:t>Development area</w:t>
                    </w:r>
                    <w:r>
                      <w:rPr>
                        <w:b/>
                        <w:color w:val="FFFFFF"/>
                        <w:spacing w:val="-13"/>
                        <w:w w:val="110"/>
                        <w:sz w:val="18"/>
                      </w:rPr>
                      <w:t> </w:t>
                    </w:r>
                    <w:r>
                      <w:rPr>
                        <w:b/>
                        <w:color w:val="FFFFFF"/>
                        <w:spacing w:val="-5"/>
                        <w:w w:val="110"/>
                        <w:sz w:val="18"/>
                      </w:rPr>
                      <w:t>(in</w:t>
                    </w:r>
                  </w:p>
                </w:txbxContent>
              </v:textbox>
              <w10:wrap type="none"/>
            </v:shape>
            <w10:wrap type="none"/>
          </v:group>
        </w:pict>
      </w:r>
      <w:r>
        <w:rPr/>
        <w:t>Based on information/rent roll provided by the Client, we understand that subject property is a </w:t>
      </w:r>
      <w:r>
        <w:rPr>
          <w:w w:val="95"/>
        </w:rPr>
        <w:t>commercial</w:t>
      </w:r>
      <w:r>
        <w:rPr>
          <w:spacing w:val="-17"/>
          <w:w w:val="95"/>
        </w:rPr>
        <w:t> </w:t>
      </w:r>
      <w:r>
        <w:rPr>
          <w:w w:val="95"/>
        </w:rPr>
        <w:t>office</w:t>
      </w:r>
      <w:r>
        <w:rPr>
          <w:spacing w:val="-17"/>
          <w:w w:val="95"/>
        </w:rPr>
        <w:t> </w:t>
      </w:r>
      <w:r>
        <w:rPr>
          <w:w w:val="95"/>
        </w:rPr>
        <w:t>park.</w:t>
      </w:r>
      <w:r>
        <w:rPr>
          <w:spacing w:val="-15"/>
          <w:w w:val="95"/>
        </w:rPr>
        <w:t> </w:t>
      </w:r>
      <w:r>
        <w:rPr>
          <w:w w:val="95"/>
        </w:rPr>
        <w:t>Further,</w:t>
      </w:r>
      <w:r>
        <w:rPr>
          <w:spacing w:val="-16"/>
          <w:w w:val="95"/>
        </w:rPr>
        <w:t> </w:t>
      </w:r>
      <w:r>
        <w:rPr>
          <w:w w:val="95"/>
        </w:rPr>
        <w:t>the</w:t>
      </w:r>
      <w:r>
        <w:rPr>
          <w:spacing w:val="-17"/>
          <w:w w:val="95"/>
        </w:rPr>
        <w:t> </w:t>
      </w:r>
      <w:r>
        <w:rPr>
          <w:w w:val="95"/>
        </w:rPr>
        <w:t>table</w:t>
      </w:r>
      <w:r>
        <w:rPr>
          <w:spacing w:val="-16"/>
          <w:w w:val="95"/>
        </w:rPr>
        <w:t> </w:t>
      </w:r>
      <w:r>
        <w:rPr>
          <w:w w:val="95"/>
        </w:rPr>
        <w:t>below</w:t>
      </w:r>
      <w:r>
        <w:rPr>
          <w:spacing w:val="-15"/>
          <w:w w:val="95"/>
        </w:rPr>
        <w:t> </w:t>
      </w:r>
      <w:r>
        <w:rPr>
          <w:w w:val="95"/>
        </w:rPr>
        <w:t>highlights</w:t>
      </w:r>
      <w:r>
        <w:rPr>
          <w:spacing w:val="-15"/>
          <w:w w:val="95"/>
        </w:rPr>
        <w:t> </w:t>
      </w:r>
      <w:r>
        <w:rPr>
          <w:w w:val="95"/>
        </w:rPr>
        <w:t>the</w:t>
      </w:r>
      <w:r>
        <w:rPr>
          <w:spacing w:val="-16"/>
          <w:w w:val="95"/>
        </w:rPr>
        <w:t> </w:t>
      </w:r>
      <w:r>
        <w:rPr>
          <w:w w:val="95"/>
        </w:rPr>
        <w:t>area</w:t>
      </w:r>
      <w:r>
        <w:rPr>
          <w:spacing w:val="-17"/>
          <w:w w:val="95"/>
        </w:rPr>
        <w:t> </w:t>
      </w:r>
      <w:r>
        <w:rPr>
          <w:w w:val="95"/>
        </w:rPr>
        <w:t>configuration</w:t>
      </w:r>
      <w:r>
        <w:rPr>
          <w:spacing w:val="-13"/>
          <w:w w:val="95"/>
        </w:rPr>
        <w:t> </w:t>
      </w:r>
      <w:r>
        <w:rPr>
          <w:w w:val="95"/>
        </w:rPr>
        <w:t>of</w:t>
      </w:r>
      <w:r>
        <w:rPr>
          <w:spacing w:val="-15"/>
          <w:w w:val="95"/>
        </w:rPr>
        <w:t> </w:t>
      </w:r>
      <w:r>
        <w:rPr>
          <w:w w:val="95"/>
        </w:rPr>
        <w:t>the</w:t>
      </w:r>
      <w:r>
        <w:rPr>
          <w:spacing w:val="-16"/>
          <w:w w:val="95"/>
        </w:rPr>
        <w:t> </w:t>
      </w:r>
      <w:r>
        <w:rPr>
          <w:w w:val="95"/>
        </w:rPr>
        <w:t>subject</w:t>
      </w:r>
      <w:r>
        <w:rPr>
          <w:spacing w:val="-15"/>
          <w:w w:val="95"/>
        </w:rPr>
        <w:t> </w:t>
      </w:r>
      <w:r>
        <w:rPr>
          <w:w w:val="95"/>
        </w:rPr>
        <w:t>property:</w:t>
      </w:r>
    </w:p>
    <w:p>
      <w:pPr>
        <w:pStyle w:val="BodyText"/>
        <w:rPr>
          <w:sz w:val="20"/>
        </w:rPr>
      </w:pPr>
    </w:p>
    <w:p>
      <w:pPr>
        <w:pStyle w:val="BodyText"/>
        <w:rPr>
          <w:sz w:val="20"/>
        </w:rPr>
      </w:pPr>
    </w:p>
    <w:p>
      <w:pPr>
        <w:pStyle w:val="BodyText"/>
        <w:spacing w:before="5"/>
        <w:rPr>
          <w:sz w:val="19"/>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64"/>
        <w:gridCol w:w="2046"/>
        <w:gridCol w:w="2045"/>
        <w:gridCol w:w="2030"/>
      </w:tblGrid>
      <w:tr>
        <w:trPr>
          <w:trHeight w:val="283" w:hRule="atLeast"/>
        </w:trPr>
        <w:tc>
          <w:tcPr>
            <w:tcW w:w="6410" w:type="dxa"/>
            <w:gridSpan w:val="2"/>
          </w:tcPr>
          <w:p>
            <w:pPr>
              <w:pStyle w:val="TableParagraph"/>
              <w:jc w:val="left"/>
              <w:rPr>
                <w:rFonts w:ascii="Times New Roman"/>
                <w:sz w:val="20"/>
              </w:rPr>
            </w:pPr>
          </w:p>
        </w:tc>
        <w:tc>
          <w:tcPr>
            <w:tcW w:w="2045" w:type="dxa"/>
          </w:tcPr>
          <w:p>
            <w:pPr>
              <w:pStyle w:val="TableParagraph"/>
              <w:spacing w:before="12"/>
              <w:ind w:left="543" w:right="498"/>
              <w:rPr>
                <w:b/>
                <w:sz w:val="18"/>
              </w:rPr>
            </w:pPr>
            <w:r>
              <w:rPr>
                <w:b/>
                <w:color w:val="FFFFFF"/>
                <w:w w:val="105"/>
                <w:sz w:val="18"/>
              </w:rPr>
              <w:t>area (in sf)</w:t>
            </w:r>
          </w:p>
        </w:tc>
        <w:tc>
          <w:tcPr>
            <w:tcW w:w="2030" w:type="dxa"/>
          </w:tcPr>
          <w:p>
            <w:pPr>
              <w:pStyle w:val="TableParagraph"/>
              <w:spacing w:before="12"/>
              <w:ind w:left="489" w:right="665"/>
              <w:rPr>
                <w:b/>
                <w:sz w:val="18"/>
              </w:rPr>
            </w:pPr>
            <w:r>
              <w:rPr>
                <w:b/>
                <w:color w:val="FFFFFF"/>
                <w:sz w:val="18"/>
              </w:rPr>
              <w:t>sf)</w:t>
            </w:r>
          </w:p>
        </w:tc>
      </w:tr>
      <w:tr>
        <w:trPr>
          <w:trHeight w:val="348" w:hRule="atLeast"/>
        </w:trPr>
        <w:tc>
          <w:tcPr>
            <w:tcW w:w="4364" w:type="dxa"/>
            <w:tcBorders>
              <w:bottom w:val="single" w:sz="6" w:space="0" w:color="69BD28"/>
            </w:tcBorders>
          </w:tcPr>
          <w:p>
            <w:pPr>
              <w:pStyle w:val="TableParagraph"/>
              <w:spacing w:before="79"/>
              <w:ind w:left="437" w:right="542"/>
              <w:rPr>
                <w:sz w:val="18"/>
              </w:rPr>
            </w:pPr>
            <w:r>
              <w:rPr>
                <w:sz w:val="18"/>
              </w:rPr>
              <w:t>Office</w:t>
            </w:r>
          </w:p>
        </w:tc>
        <w:tc>
          <w:tcPr>
            <w:tcW w:w="2046" w:type="dxa"/>
            <w:tcBorders>
              <w:bottom w:val="single" w:sz="6" w:space="0" w:color="69BD28"/>
            </w:tcBorders>
          </w:tcPr>
          <w:p>
            <w:pPr>
              <w:pStyle w:val="TableParagraph"/>
              <w:spacing w:before="79"/>
              <w:ind w:left="634" w:right="536"/>
              <w:rPr>
                <w:sz w:val="18"/>
              </w:rPr>
            </w:pPr>
            <w:r>
              <w:rPr>
                <w:w w:val="105"/>
                <w:sz w:val="18"/>
              </w:rPr>
              <w:t>2,151,630</w:t>
            </w:r>
          </w:p>
        </w:tc>
        <w:tc>
          <w:tcPr>
            <w:tcW w:w="2045" w:type="dxa"/>
            <w:tcBorders>
              <w:bottom w:val="single" w:sz="6" w:space="0" w:color="69BD28"/>
            </w:tcBorders>
          </w:tcPr>
          <w:p>
            <w:pPr>
              <w:pStyle w:val="TableParagraph"/>
              <w:spacing w:before="79"/>
              <w:ind w:left="539" w:right="498"/>
              <w:rPr>
                <w:sz w:val="18"/>
              </w:rPr>
            </w:pPr>
            <w:r>
              <w:rPr>
                <w:w w:val="110"/>
                <w:sz w:val="18"/>
              </w:rPr>
              <w:t>880,615</w:t>
            </w:r>
          </w:p>
        </w:tc>
        <w:tc>
          <w:tcPr>
            <w:tcW w:w="2030" w:type="dxa"/>
            <w:tcBorders>
              <w:bottom w:val="single" w:sz="6" w:space="0" w:color="69BD28"/>
            </w:tcBorders>
          </w:tcPr>
          <w:p>
            <w:pPr>
              <w:pStyle w:val="TableParagraph"/>
              <w:spacing w:before="79"/>
              <w:ind w:left="489" w:right="665"/>
              <w:rPr>
                <w:sz w:val="18"/>
              </w:rPr>
            </w:pPr>
            <w:r>
              <w:rPr>
                <w:w w:val="105"/>
                <w:sz w:val="18"/>
              </w:rPr>
              <w:t>2,392,587</w:t>
            </w:r>
          </w:p>
        </w:tc>
      </w:tr>
      <w:tr>
        <w:trPr>
          <w:trHeight w:val="400" w:hRule="atLeast"/>
        </w:trPr>
        <w:tc>
          <w:tcPr>
            <w:tcW w:w="4364" w:type="dxa"/>
            <w:tcBorders>
              <w:top w:val="single" w:sz="6" w:space="0" w:color="69BD28"/>
              <w:bottom w:val="single" w:sz="6" w:space="0" w:color="69BD28"/>
            </w:tcBorders>
          </w:tcPr>
          <w:p>
            <w:pPr>
              <w:pStyle w:val="TableParagraph"/>
              <w:spacing w:before="131"/>
              <w:ind w:left="437" w:right="542"/>
              <w:rPr>
                <w:sz w:val="18"/>
              </w:rPr>
            </w:pPr>
            <w:r>
              <w:rPr>
                <w:sz w:val="18"/>
              </w:rPr>
              <w:t>Other </w:t>
            </w:r>
            <w:r>
              <w:rPr>
                <w:w w:val="130"/>
                <w:sz w:val="18"/>
              </w:rPr>
              <w:t>~ </w:t>
            </w:r>
            <w:r>
              <w:rPr>
                <w:sz w:val="18"/>
              </w:rPr>
              <w:t>Food court, training centre, etc.</w:t>
            </w:r>
          </w:p>
        </w:tc>
        <w:tc>
          <w:tcPr>
            <w:tcW w:w="2046" w:type="dxa"/>
            <w:tcBorders>
              <w:top w:val="single" w:sz="6" w:space="0" w:color="69BD28"/>
              <w:bottom w:val="single" w:sz="6" w:space="0" w:color="69BD28"/>
            </w:tcBorders>
          </w:tcPr>
          <w:p>
            <w:pPr>
              <w:pStyle w:val="TableParagraph"/>
              <w:spacing w:before="131"/>
              <w:ind w:left="635" w:right="534"/>
              <w:rPr>
                <w:sz w:val="18"/>
              </w:rPr>
            </w:pPr>
            <w:r>
              <w:rPr>
                <w:w w:val="105"/>
                <w:sz w:val="18"/>
              </w:rPr>
              <w:t>8,425</w:t>
            </w:r>
          </w:p>
        </w:tc>
        <w:tc>
          <w:tcPr>
            <w:tcW w:w="2045" w:type="dxa"/>
            <w:tcBorders>
              <w:top w:val="single" w:sz="6" w:space="0" w:color="69BD28"/>
              <w:bottom w:val="single" w:sz="6" w:space="0" w:color="69BD28"/>
            </w:tcBorders>
          </w:tcPr>
          <w:p>
            <w:pPr>
              <w:pStyle w:val="TableParagraph"/>
              <w:spacing w:before="131"/>
              <w:ind w:left="46"/>
              <w:rPr>
                <w:sz w:val="18"/>
              </w:rPr>
            </w:pPr>
            <w:r>
              <w:rPr>
                <w:w w:val="99"/>
                <w:sz w:val="18"/>
              </w:rPr>
              <w:t>-</w:t>
            </w:r>
          </w:p>
        </w:tc>
        <w:tc>
          <w:tcPr>
            <w:tcW w:w="2030" w:type="dxa"/>
            <w:tcBorders>
              <w:top w:val="single" w:sz="6" w:space="0" w:color="69BD28"/>
              <w:bottom w:val="single" w:sz="6" w:space="0" w:color="69BD28"/>
            </w:tcBorders>
          </w:tcPr>
          <w:p>
            <w:pPr>
              <w:pStyle w:val="TableParagraph"/>
              <w:spacing w:before="131"/>
              <w:ind w:left="487" w:right="665"/>
              <w:rPr>
                <w:sz w:val="18"/>
              </w:rPr>
            </w:pPr>
            <w:r>
              <w:rPr>
                <w:w w:val="110"/>
                <w:sz w:val="18"/>
              </w:rPr>
              <w:t>39,689</w:t>
            </w:r>
          </w:p>
        </w:tc>
      </w:tr>
      <w:tr>
        <w:trPr>
          <w:trHeight w:val="421" w:hRule="atLeast"/>
        </w:trPr>
        <w:tc>
          <w:tcPr>
            <w:tcW w:w="4364" w:type="dxa"/>
            <w:tcBorders>
              <w:top w:val="single" w:sz="6" w:space="0" w:color="69BD28"/>
              <w:bottom w:val="single" w:sz="6" w:space="0" w:color="69BD28"/>
            </w:tcBorders>
          </w:tcPr>
          <w:p>
            <w:pPr>
              <w:pStyle w:val="TableParagraph"/>
              <w:spacing w:before="83"/>
              <w:ind w:left="436" w:right="542"/>
              <w:rPr>
                <w:sz w:val="18"/>
              </w:rPr>
            </w:pPr>
            <w:r>
              <w:rPr>
                <w:sz w:val="18"/>
              </w:rPr>
              <w:t>Total</w:t>
            </w:r>
          </w:p>
        </w:tc>
        <w:tc>
          <w:tcPr>
            <w:tcW w:w="2046" w:type="dxa"/>
            <w:tcBorders>
              <w:top w:val="single" w:sz="6" w:space="0" w:color="69BD28"/>
              <w:bottom w:val="single" w:sz="6" w:space="0" w:color="69BD28"/>
            </w:tcBorders>
          </w:tcPr>
          <w:p>
            <w:pPr>
              <w:pStyle w:val="TableParagraph"/>
              <w:spacing w:before="83"/>
              <w:ind w:left="635" w:right="534"/>
              <w:rPr>
                <w:sz w:val="18"/>
              </w:rPr>
            </w:pPr>
            <w:r>
              <w:rPr>
                <w:w w:val="105"/>
                <w:sz w:val="18"/>
              </w:rPr>
              <w:t>2,160,055</w:t>
            </w:r>
          </w:p>
        </w:tc>
        <w:tc>
          <w:tcPr>
            <w:tcW w:w="2045" w:type="dxa"/>
            <w:tcBorders>
              <w:top w:val="single" w:sz="6" w:space="0" w:color="69BD28"/>
              <w:bottom w:val="single" w:sz="6" w:space="0" w:color="69BD28"/>
            </w:tcBorders>
          </w:tcPr>
          <w:p>
            <w:pPr>
              <w:pStyle w:val="TableParagraph"/>
              <w:spacing w:before="83"/>
              <w:ind w:left="541" w:right="498"/>
              <w:rPr>
                <w:sz w:val="18"/>
              </w:rPr>
            </w:pPr>
            <w:r>
              <w:rPr>
                <w:w w:val="110"/>
                <w:sz w:val="18"/>
              </w:rPr>
              <w:t>880,615</w:t>
            </w:r>
          </w:p>
        </w:tc>
        <w:tc>
          <w:tcPr>
            <w:tcW w:w="2030" w:type="dxa"/>
            <w:tcBorders>
              <w:top w:val="single" w:sz="6" w:space="0" w:color="69BD28"/>
              <w:bottom w:val="single" w:sz="6" w:space="0" w:color="69BD28"/>
            </w:tcBorders>
          </w:tcPr>
          <w:p>
            <w:pPr>
              <w:pStyle w:val="TableParagraph"/>
              <w:spacing w:before="83"/>
              <w:ind w:left="490" w:right="664"/>
              <w:rPr>
                <w:sz w:val="18"/>
              </w:rPr>
            </w:pPr>
            <w:r>
              <w:rPr>
                <w:w w:val="105"/>
                <w:sz w:val="18"/>
              </w:rPr>
              <w:t>2,432,276</w:t>
            </w:r>
          </w:p>
        </w:tc>
      </w:tr>
    </w:tbl>
    <w:p>
      <w:pPr>
        <w:spacing w:before="4"/>
        <w:ind w:left="220" w:right="0" w:firstLine="0"/>
        <w:jc w:val="left"/>
        <w:rPr>
          <w:i/>
          <w:sz w:val="18"/>
        </w:rPr>
      </w:pPr>
      <w:r>
        <w:rPr>
          <w:i/>
          <w:sz w:val="18"/>
        </w:rPr>
        <w:t>Source: Rent roll provided by Client / Architect Certificate</w:t>
      </w:r>
    </w:p>
    <w:p>
      <w:pPr>
        <w:spacing w:after="0"/>
        <w:jc w:val="left"/>
        <w:rPr>
          <w:sz w:val="18"/>
        </w:rPr>
        <w:sectPr>
          <w:pgSz w:w="11910" w:h="16840"/>
          <w:pgMar w:header="720" w:footer="921" w:top="1660" w:bottom="1120" w:left="500" w:right="480"/>
        </w:sectPr>
      </w:pPr>
    </w:p>
    <w:p>
      <w:pPr>
        <w:pStyle w:val="BodyText"/>
        <w:spacing w:before="7"/>
        <w:rPr>
          <w:i/>
          <w:sz w:val="9"/>
        </w:rPr>
      </w:pPr>
    </w:p>
    <w:p>
      <w:pPr>
        <w:pStyle w:val="ListParagraph"/>
        <w:numPr>
          <w:ilvl w:val="2"/>
          <w:numId w:val="14"/>
        </w:numPr>
        <w:tabs>
          <w:tab w:pos="941" w:val="left" w:leader="none"/>
        </w:tabs>
        <w:spacing w:line="240" w:lineRule="auto" w:before="106" w:after="0"/>
        <w:ind w:left="940" w:right="0" w:hanging="721"/>
        <w:jc w:val="left"/>
        <w:rPr>
          <w:sz w:val="22"/>
        </w:rPr>
      </w:pPr>
      <w:bookmarkStart w:name="_bookmark176" w:id="343"/>
      <w:bookmarkEnd w:id="343"/>
      <w:r>
        <w:rPr/>
      </w:r>
      <w:bookmarkStart w:name="_bookmark176" w:id="344"/>
      <w:bookmarkEnd w:id="344"/>
      <w:r>
        <w:rPr>
          <w:color w:val="1F664D"/>
          <w:sz w:val="22"/>
        </w:rPr>
        <w:t>Con</w:t>
      </w:r>
      <w:r>
        <w:rPr>
          <w:color w:val="1F664D"/>
          <w:sz w:val="22"/>
        </w:rPr>
        <w:t>struction Timelines</w:t>
      </w:r>
    </w:p>
    <w:p>
      <w:pPr>
        <w:pStyle w:val="BodyText"/>
        <w:spacing w:before="6"/>
        <w:rPr>
          <w:sz w:val="25"/>
        </w:rPr>
      </w:pPr>
    </w:p>
    <w:p>
      <w:pPr>
        <w:pStyle w:val="ListParagraph"/>
        <w:numPr>
          <w:ilvl w:val="3"/>
          <w:numId w:val="52"/>
        </w:numPr>
        <w:tabs>
          <w:tab w:pos="1085" w:val="left" w:leader="none"/>
        </w:tabs>
        <w:spacing w:line="240" w:lineRule="auto" w:before="1" w:after="0"/>
        <w:ind w:left="1084" w:right="0" w:hanging="865"/>
        <w:jc w:val="left"/>
        <w:rPr>
          <w:i/>
          <w:sz w:val="20"/>
        </w:rPr>
      </w:pPr>
      <w:r>
        <w:rPr>
          <w:i/>
          <w:color w:val="008000"/>
          <w:sz w:val="20"/>
        </w:rPr>
        <w:t>Completed</w:t>
      </w:r>
      <w:r>
        <w:rPr>
          <w:i/>
          <w:color w:val="008000"/>
          <w:spacing w:val="-3"/>
          <w:sz w:val="20"/>
        </w:rPr>
        <w:t> </w:t>
      </w:r>
      <w:r>
        <w:rPr>
          <w:i/>
          <w:color w:val="008000"/>
          <w:sz w:val="20"/>
        </w:rPr>
        <w:t>Blocks</w:t>
      </w:r>
    </w:p>
    <w:p>
      <w:pPr>
        <w:pStyle w:val="BodyText"/>
        <w:spacing w:line="321" w:lineRule="auto" w:before="75"/>
        <w:ind w:left="786"/>
      </w:pPr>
      <w:r>
        <w:rPr/>
        <w:t>As</w:t>
      </w:r>
      <w:r>
        <w:rPr>
          <w:spacing w:val="-15"/>
        </w:rPr>
        <w:t> </w:t>
      </w:r>
      <w:r>
        <w:rPr/>
        <w:t>highlighted</w:t>
      </w:r>
      <w:r>
        <w:rPr>
          <w:spacing w:val="-15"/>
        </w:rPr>
        <w:t> </w:t>
      </w:r>
      <w:r>
        <w:rPr/>
        <w:t>earlier,</w:t>
      </w:r>
      <w:r>
        <w:rPr>
          <w:spacing w:val="-14"/>
        </w:rPr>
        <w:t> </w:t>
      </w:r>
      <w:r>
        <w:rPr/>
        <w:t>the</w:t>
      </w:r>
      <w:r>
        <w:rPr>
          <w:spacing w:val="-16"/>
        </w:rPr>
        <w:t> </w:t>
      </w:r>
      <w:r>
        <w:rPr/>
        <w:t>subject</w:t>
      </w:r>
      <w:r>
        <w:rPr>
          <w:spacing w:val="-14"/>
        </w:rPr>
        <w:t> </w:t>
      </w:r>
      <w:r>
        <w:rPr/>
        <w:t>property</w:t>
      </w:r>
      <w:r>
        <w:rPr>
          <w:spacing w:val="-14"/>
        </w:rPr>
        <w:t> </w:t>
      </w:r>
      <w:r>
        <w:rPr/>
        <w:t>has</w:t>
      </w:r>
      <w:r>
        <w:rPr>
          <w:spacing w:val="-15"/>
        </w:rPr>
        <w:t> </w:t>
      </w:r>
      <w:r>
        <w:rPr/>
        <w:t>2.16</w:t>
      </w:r>
      <w:r>
        <w:rPr>
          <w:spacing w:val="-12"/>
        </w:rPr>
        <w:t> </w:t>
      </w:r>
      <w:r>
        <w:rPr/>
        <w:t>mn</w:t>
      </w:r>
      <w:r>
        <w:rPr>
          <w:spacing w:val="-15"/>
        </w:rPr>
        <w:t> </w:t>
      </w:r>
      <w:r>
        <w:rPr/>
        <w:t>sf</w:t>
      </w:r>
      <w:r>
        <w:rPr>
          <w:spacing w:val="-14"/>
        </w:rPr>
        <w:t> </w:t>
      </w:r>
      <w:r>
        <w:rPr/>
        <w:t>of</w:t>
      </w:r>
      <w:r>
        <w:rPr>
          <w:spacing w:val="-14"/>
        </w:rPr>
        <w:t> </w:t>
      </w:r>
      <w:r>
        <w:rPr/>
        <w:t>completed</w:t>
      </w:r>
      <w:r>
        <w:rPr>
          <w:spacing w:val="-16"/>
        </w:rPr>
        <w:t> </w:t>
      </w:r>
      <w:r>
        <w:rPr/>
        <w:t>development</w:t>
      </w:r>
      <w:r>
        <w:rPr>
          <w:spacing w:val="-15"/>
        </w:rPr>
        <w:t> </w:t>
      </w:r>
      <w:r>
        <w:rPr/>
        <w:t>and</w:t>
      </w:r>
      <w:r>
        <w:rPr>
          <w:spacing w:val="-15"/>
        </w:rPr>
        <w:t> </w:t>
      </w:r>
      <w:r>
        <w:rPr/>
        <w:t>no</w:t>
      </w:r>
      <w:r>
        <w:rPr>
          <w:spacing w:val="-16"/>
        </w:rPr>
        <w:t> </w:t>
      </w:r>
      <w:r>
        <w:rPr/>
        <w:t>pending cost</w:t>
      </w:r>
      <w:r>
        <w:rPr>
          <w:spacing w:val="-9"/>
        </w:rPr>
        <w:t> </w:t>
      </w:r>
      <w:r>
        <w:rPr/>
        <w:t>to</w:t>
      </w:r>
      <w:r>
        <w:rPr>
          <w:spacing w:val="-9"/>
        </w:rPr>
        <w:t> </w:t>
      </w:r>
      <w:r>
        <w:rPr/>
        <w:t>complete</w:t>
      </w:r>
      <w:r>
        <w:rPr>
          <w:spacing w:val="-9"/>
        </w:rPr>
        <w:t> </w:t>
      </w:r>
      <w:r>
        <w:rPr/>
        <w:t>is</w:t>
      </w:r>
      <w:r>
        <w:rPr>
          <w:spacing w:val="-7"/>
        </w:rPr>
        <w:t> </w:t>
      </w:r>
      <w:r>
        <w:rPr/>
        <w:t>remaining</w:t>
      </w:r>
      <w:r>
        <w:rPr>
          <w:spacing w:val="-9"/>
        </w:rPr>
        <w:t> </w:t>
      </w:r>
      <w:r>
        <w:rPr/>
        <w:t>as</w:t>
      </w:r>
      <w:r>
        <w:rPr>
          <w:spacing w:val="-8"/>
        </w:rPr>
        <w:t> </w:t>
      </w:r>
      <w:r>
        <w:rPr/>
        <w:t>of</w:t>
      </w:r>
      <w:r>
        <w:rPr>
          <w:spacing w:val="-10"/>
        </w:rPr>
        <w:t> </w:t>
      </w:r>
      <w:r>
        <w:rPr/>
        <w:t>date</w:t>
      </w:r>
      <w:r>
        <w:rPr>
          <w:spacing w:val="-9"/>
        </w:rPr>
        <w:t> </w:t>
      </w:r>
      <w:r>
        <w:rPr/>
        <w:t>of</w:t>
      </w:r>
      <w:r>
        <w:rPr>
          <w:spacing w:val="-8"/>
        </w:rPr>
        <w:t> </w:t>
      </w:r>
      <w:r>
        <w:rPr/>
        <w:t>valuation</w:t>
      </w:r>
      <w:r>
        <w:rPr>
          <w:spacing w:val="-9"/>
        </w:rPr>
        <w:t> </w:t>
      </w:r>
      <w:r>
        <w:rPr/>
        <w:t>for</w:t>
      </w:r>
      <w:r>
        <w:rPr>
          <w:spacing w:val="-9"/>
        </w:rPr>
        <w:t> </w:t>
      </w:r>
      <w:r>
        <w:rPr/>
        <w:t>the</w:t>
      </w:r>
      <w:r>
        <w:rPr>
          <w:spacing w:val="-10"/>
        </w:rPr>
        <w:t> </w:t>
      </w:r>
      <w:r>
        <w:rPr/>
        <w:t>completed</w:t>
      </w:r>
      <w:r>
        <w:rPr>
          <w:spacing w:val="-8"/>
        </w:rPr>
        <w:t> </w:t>
      </w:r>
      <w:r>
        <w:rPr/>
        <w:t>blocks.</w:t>
      </w:r>
    </w:p>
    <w:p>
      <w:pPr>
        <w:pStyle w:val="BodyText"/>
        <w:spacing w:before="1"/>
        <w:rPr>
          <w:sz w:val="23"/>
        </w:rPr>
      </w:pPr>
    </w:p>
    <w:p>
      <w:pPr>
        <w:pStyle w:val="ListParagraph"/>
        <w:numPr>
          <w:ilvl w:val="3"/>
          <w:numId w:val="52"/>
        </w:numPr>
        <w:tabs>
          <w:tab w:pos="1085" w:val="left" w:leader="none"/>
        </w:tabs>
        <w:spacing w:line="240" w:lineRule="auto" w:before="0" w:after="0"/>
        <w:ind w:left="1084" w:right="0" w:hanging="865"/>
        <w:jc w:val="left"/>
        <w:rPr>
          <w:i/>
          <w:sz w:val="20"/>
        </w:rPr>
      </w:pPr>
      <w:r>
        <w:rPr>
          <w:i/>
          <w:color w:val="008000"/>
          <w:sz w:val="20"/>
        </w:rPr>
        <w:t>Under-Construction/ Proposed</w:t>
      </w:r>
      <w:r>
        <w:rPr>
          <w:i/>
          <w:color w:val="008000"/>
          <w:spacing w:val="-9"/>
          <w:sz w:val="20"/>
        </w:rPr>
        <w:t> </w:t>
      </w:r>
      <w:r>
        <w:rPr>
          <w:i/>
          <w:color w:val="008000"/>
          <w:sz w:val="20"/>
        </w:rPr>
        <w:t>Blocks</w:t>
      </w:r>
    </w:p>
    <w:p>
      <w:pPr>
        <w:pStyle w:val="BodyText"/>
        <w:spacing w:line="321" w:lineRule="auto" w:before="76"/>
        <w:ind w:left="786"/>
      </w:pPr>
      <w:r>
        <w:rPr/>
        <w:pict>
          <v:group style="position:absolute;margin-left:36pt;margin-top:49.918594pt;width:523.6pt;height:23.9pt;mso-position-horizontal-relative:page;mso-position-vertical-relative:paragraph;z-index:-34499072" coordorigin="720,998" coordsize="10472,478">
            <v:shape style="position:absolute;left:720;top:1461;width:10472;height:15" coordorigin="720,1462" coordsize="10472,15" path="m8464,1462l5747,1462,5733,1462,5733,1462,4127,1462,4112,1462,720,1462,720,1476,4112,1476,4127,1476,5733,1476,5733,1476,5747,1476,8464,1476,8464,1462xm11191,1462l8479,1462,8464,1462,8464,1476,8479,1476,11191,1476,11191,1462xe" filled="true" fillcolor="#69bd28" stroked="false">
              <v:path arrowok="t"/>
              <v:fill type="solid"/>
            </v:shape>
            <v:shape style="position:absolute;left:720;top:1029;width:10472;height:432" coordorigin="720,1030" coordsize="10472,432" path="m8464,1030l5733,1030,5733,1030,4112,1030,720,1030,720,1462,4112,1462,5733,1462,5733,1462,8464,1462,8464,1030xm11191,1030l8464,1030,8464,1462,11191,1462,11191,1030xe" filled="true" fillcolor="#006a4d" stroked="false">
              <v:path arrowok="t"/>
              <v:fill type="solid"/>
            </v:shape>
            <v:rect style="position:absolute;left:720;top:998;width:3393;height:29" filled="true" fillcolor="#1b6b22" stroked="false">
              <v:fill type="solid"/>
            </v:rect>
            <v:shape style="position:absolute;left:720;top:1027;width:3421;height:3" coordorigin="720,1027" coordsize="3421,3" path="m4141,1027l4112,1027,720,1027,720,1030,4112,1030,4141,1030,4141,1027xe" filled="true" fillcolor="#006a4d" stroked="false">
              <v:path arrowok="t"/>
              <v:fill type="solid"/>
            </v:shape>
            <v:shape style="position:absolute;left:4112;top:998;width:1621;height:29" coordorigin="4112,998" coordsize="1621,29" path="m5733,998l4141,998,4112,998,4112,1027,4141,1027,5733,1027,5733,998xe" filled="true" fillcolor="#1b6b22" stroked="false">
              <v:path arrowok="t"/>
              <v:fill type="solid"/>
            </v:shape>
            <v:shape style="position:absolute;left:4141;top:1027;width:1621;height:3" coordorigin="4141,1027" coordsize="1621,3" path="m5761,1027l5733,1027,4141,1027,4141,1030,5733,1030,5761,1030,5761,1027xe" filled="true" fillcolor="#006a4d" stroked="false">
              <v:path arrowok="t"/>
              <v:fill type="solid"/>
            </v:shape>
            <v:shape style="position:absolute;left:5732;top:998;width:2732;height:29" coordorigin="5733,998" coordsize="2732,29" path="m8464,998l5761,998,5733,998,5733,1027,5761,1027,8464,1027,8464,998xe" filled="true" fillcolor="#1b6b22" stroked="false">
              <v:path arrowok="t"/>
              <v:fill type="solid"/>
            </v:shape>
            <v:shape style="position:absolute;left:5761;top:1027;width:2732;height:3" coordorigin="5761,1027" coordsize="2732,3" path="m8464,1027l5761,1027,5761,1030,8464,1030,8464,1027xm8493,1027l8464,1027,8464,1030,8493,1030,8493,1027xe" filled="true" fillcolor="#006a4d" stroked="false">
              <v:path arrowok="t"/>
              <v:fill type="solid"/>
            </v:shape>
            <v:shape style="position:absolute;left:8464;top:998;width:2727;height:29" coordorigin="8464,998" coordsize="2727,29" path="m11191,998l8493,998,8464,998,8464,1027,8493,1027,11191,1027,11191,998xe" filled="true" fillcolor="#1b6b22" stroked="false">
              <v:path arrowok="t"/>
              <v:fill type="solid"/>
            </v:shape>
            <v:rect style="position:absolute;left:8493;top:1027;width:2698;height:3" filled="true" fillcolor="#006a4d" stroked="false">
              <v:fill type="solid"/>
            </v:rect>
            <v:shape style="position:absolute;left:2170;top:1137;width:510;height:216" type="#_x0000_t202" filled="false" stroked="false">
              <v:textbox inset="0,0,0,0">
                <w:txbxContent>
                  <w:p>
                    <w:pPr>
                      <w:spacing w:before="4"/>
                      <w:ind w:left="0" w:right="0" w:firstLine="0"/>
                      <w:jc w:val="left"/>
                      <w:rPr>
                        <w:b/>
                        <w:sz w:val="18"/>
                      </w:rPr>
                    </w:pPr>
                    <w:r>
                      <w:rPr>
                        <w:b/>
                        <w:color w:val="FFFFFF"/>
                        <w:w w:val="110"/>
                        <w:sz w:val="18"/>
                      </w:rPr>
                      <w:t>Block</w:t>
                    </w:r>
                  </w:p>
                </w:txbxContent>
              </v:textbox>
              <w10:wrap type="none"/>
            </v:shape>
            <v:shape style="position:absolute;left:4265;top:1029;width:1331;height:216" type="#_x0000_t202" filled="false" stroked="false">
              <v:textbox inset="0,0,0,0">
                <w:txbxContent>
                  <w:p>
                    <w:pPr>
                      <w:spacing w:before="4"/>
                      <w:ind w:left="0" w:right="0" w:firstLine="0"/>
                      <w:jc w:val="left"/>
                      <w:rPr>
                        <w:b/>
                        <w:sz w:val="18"/>
                      </w:rPr>
                    </w:pPr>
                    <w:r>
                      <w:rPr>
                        <w:b/>
                        <w:color w:val="FFFFFF"/>
                        <w:w w:val="110"/>
                        <w:sz w:val="18"/>
                      </w:rPr>
                      <w:t>Leasable Area</w:t>
                    </w:r>
                  </w:p>
                </w:txbxContent>
              </v:textbox>
              <w10:wrap type="none"/>
            </v:shape>
            <v:shape style="position:absolute;left:6536;top:1029;width:1141;height:216" type="#_x0000_t202" filled="false" stroked="false">
              <v:textbox inset="0,0,0,0">
                <w:txbxContent>
                  <w:p>
                    <w:pPr>
                      <w:spacing w:before="4"/>
                      <w:ind w:left="0" w:right="0" w:firstLine="0"/>
                      <w:jc w:val="left"/>
                      <w:rPr>
                        <w:b/>
                        <w:sz w:val="18"/>
                      </w:rPr>
                    </w:pPr>
                    <w:r>
                      <w:rPr>
                        <w:b/>
                        <w:color w:val="FFFFFF"/>
                        <w:w w:val="105"/>
                        <w:sz w:val="18"/>
                      </w:rPr>
                      <w:t>Construction</w:t>
                    </w:r>
                  </w:p>
                </w:txbxContent>
              </v:textbox>
              <w10:wrap type="none"/>
            </v:shape>
            <v:shape style="position:absolute;left:8723;top:1137;width:2227;height:216" type="#_x0000_t202" filled="false" stroked="false">
              <v:textbox inset="0,0,0,0">
                <w:txbxContent>
                  <w:p>
                    <w:pPr>
                      <w:spacing w:before="4"/>
                      <w:ind w:left="0" w:right="0" w:firstLine="0"/>
                      <w:jc w:val="left"/>
                      <w:rPr>
                        <w:b/>
                        <w:sz w:val="18"/>
                      </w:rPr>
                    </w:pPr>
                    <w:r>
                      <w:rPr>
                        <w:b/>
                        <w:color w:val="FFFFFF"/>
                        <w:w w:val="105"/>
                        <w:sz w:val="18"/>
                      </w:rPr>
                      <w:t>Construction Completion</w:t>
                    </w:r>
                  </w:p>
                </w:txbxContent>
              </v:textbox>
              <w10:wrap type="none"/>
            </v:shape>
            <w10:wrap type="none"/>
          </v:group>
        </w:pict>
      </w:r>
      <w:r>
        <w:rPr/>
        <w:t>Based</w:t>
      </w:r>
      <w:r>
        <w:rPr>
          <w:spacing w:val="-36"/>
        </w:rPr>
        <w:t> </w:t>
      </w:r>
      <w:r>
        <w:rPr/>
        <w:t>on</w:t>
      </w:r>
      <w:r>
        <w:rPr>
          <w:spacing w:val="-36"/>
        </w:rPr>
        <w:t> </w:t>
      </w:r>
      <w:r>
        <w:rPr/>
        <w:t>information</w:t>
      </w:r>
      <w:r>
        <w:rPr>
          <w:spacing w:val="-37"/>
        </w:rPr>
        <w:t> </w:t>
      </w:r>
      <w:r>
        <w:rPr/>
        <w:t>provided</w:t>
      </w:r>
      <w:r>
        <w:rPr>
          <w:spacing w:val="-36"/>
        </w:rPr>
        <w:t> </w:t>
      </w:r>
      <w:r>
        <w:rPr/>
        <w:t>by</w:t>
      </w:r>
      <w:r>
        <w:rPr>
          <w:spacing w:val="-36"/>
        </w:rPr>
        <w:t> </w:t>
      </w:r>
      <w:r>
        <w:rPr/>
        <w:t>the</w:t>
      </w:r>
      <w:r>
        <w:rPr>
          <w:spacing w:val="-37"/>
        </w:rPr>
        <w:t> </w:t>
      </w:r>
      <w:r>
        <w:rPr/>
        <w:t>Client,</w:t>
      </w:r>
      <w:r>
        <w:rPr>
          <w:spacing w:val="-35"/>
        </w:rPr>
        <w:t> </w:t>
      </w:r>
      <w:r>
        <w:rPr/>
        <w:t>the</w:t>
      </w:r>
      <w:r>
        <w:rPr>
          <w:spacing w:val="-36"/>
        </w:rPr>
        <w:t> </w:t>
      </w:r>
      <w:r>
        <w:rPr/>
        <w:t>following</w:t>
      </w:r>
      <w:r>
        <w:rPr>
          <w:spacing w:val="-35"/>
        </w:rPr>
        <w:t> </w:t>
      </w:r>
      <w:r>
        <w:rPr/>
        <w:t>timelines</w:t>
      </w:r>
      <w:r>
        <w:rPr>
          <w:spacing w:val="-36"/>
        </w:rPr>
        <w:t> </w:t>
      </w:r>
      <w:r>
        <w:rPr/>
        <w:t>for</w:t>
      </w:r>
      <w:r>
        <w:rPr>
          <w:spacing w:val="-35"/>
        </w:rPr>
        <w:t> </w:t>
      </w:r>
      <w:r>
        <w:rPr/>
        <w:t>construction</w:t>
      </w:r>
      <w:r>
        <w:rPr>
          <w:spacing w:val="-35"/>
        </w:rPr>
        <w:t> </w:t>
      </w:r>
      <w:r>
        <w:rPr/>
        <w:t>have</w:t>
      </w:r>
      <w:r>
        <w:rPr>
          <w:spacing w:val="-36"/>
        </w:rPr>
        <w:t> </w:t>
      </w:r>
      <w:r>
        <w:rPr/>
        <w:t>been</w:t>
      </w:r>
      <w:r>
        <w:rPr>
          <w:spacing w:val="-35"/>
        </w:rPr>
        <w:t> </w:t>
      </w:r>
      <w:r>
        <w:rPr/>
        <w:t>adopted for the purpose of this valuation</w:t>
      </w:r>
      <w:r>
        <w:rPr>
          <w:spacing w:val="-26"/>
        </w:rPr>
        <w:t> </w:t>
      </w:r>
      <w:r>
        <w:rPr/>
        <w:t>exercise:</w:t>
      </w:r>
    </w:p>
    <w:p>
      <w:pPr>
        <w:pStyle w:val="BodyText"/>
        <w:rPr>
          <w:sz w:val="20"/>
        </w:rPr>
      </w:pPr>
    </w:p>
    <w:p>
      <w:pPr>
        <w:pStyle w:val="BodyText"/>
        <w:spacing w:before="1"/>
        <w:rPr>
          <w:sz w:val="21"/>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84"/>
        <w:gridCol w:w="1970"/>
        <w:gridCol w:w="2798"/>
        <w:gridCol w:w="2534"/>
      </w:tblGrid>
      <w:tr>
        <w:trPr>
          <w:trHeight w:val="250" w:hRule="atLeast"/>
        </w:trPr>
        <w:tc>
          <w:tcPr>
            <w:tcW w:w="3184" w:type="dxa"/>
            <w:shd w:val="clear" w:color="auto" w:fill="006A4D"/>
          </w:tcPr>
          <w:p>
            <w:pPr>
              <w:pStyle w:val="TableParagraph"/>
              <w:jc w:val="left"/>
              <w:rPr>
                <w:rFonts w:ascii="Times New Roman"/>
                <w:sz w:val="18"/>
              </w:rPr>
            </w:pPr>
          </w:p>
        </w:tc>
        <w:tc>
          <w:tcPr>
            <w:tcW w:w="1970" w:type="dxa"/>
            <w:shd w:val="clear" w:color="auto" w:fill="006A4D"/>
          </w:tcPr>
          <w:p>
            <w:pPr>
              <w:pStyle w:val="TableParagraph"/>
              <w:spacing w:before="12"/>
              <w:ind w:left="595" w:right="502"/>
              <w:rPr>
                <w:b/>
                <w:sz w:val="18"/>
              </w:rPr>
            </w:pPr>
            <w:r>
              <w:rPr>
                <w:b/>
                <w:color w:val="FFFFFF"/>
                <w:sz w:val="18"/>
              </w:rPr>
              <w:t>(sf)</w:t>
            </w:r>
          </w:p>
        </w:tc>
        <w:tc>
          <w:tcPr>
            <w:tcW w:w="2798" w:type="dxa"/>
            <w:shd w:val="clear" w:color="auto" w:fill="006A4D"/>
          </w:tcPr>
          <w:p>
            <w:pPr>
              <w:pStyle w:val="TableParagraph"/>
              <w:spacing w:before="12"/>
              <w:ind w:left="505" w:right="822"/>
              <w:rPr>
                <w:b/>
                <w:sz w:val="18"/>
              </w:rPr>
            </w:pPr>
            <w:r>
              <w:rPr>
                <w:b/>
                <w:color w:val="FFFFFF"/>
                <w:w w:val="105"/>
                <w:sz w:val="18"/>
              </w:rPr>
              <w:t>Commencement</w:t>
            </w:r>
          </w:p>
        </w:tc>
        <w:tc>
          <w:tcPr>
            <w:tcW w:w="2534" w:type="dxa"/>
            <w:shd w:val="clear" w:color="auto" w:fill="006A4D"/>
          </w:tcPr>
          <w:p>
            <w:pPr>
              <w:pStyle w:val="TableParagraph"/>
              <w:jc w:val="left"/>
              <w:rPr>
                <w:rFonts w:ascii="Times New Roman"/>
                <w:sz w:val="18"/>
              </w:rPr>
            </w:pPr>
          </w:p>
        </w:tc>
      </w:tr>
      <w:tr>
        <w:trPr>
          <w:trHeight w:val="306" w:hRule="atLeast"/>
        </w:trPr>
        <w:tc>
          <w:tcPr>
            <w:tcW w:w="3184" w:type="dxa"/>
            <w:tcBorders>
              <w:bottom w:val="single" w:sz="6" w:space="0" w:color="69BD28"/>
            </w:tcBorders>
          </w:tcPr>
          <w:p>
            <w:pPr>
              <w:pStyle w:val="TableParagraph"/>
              <w:spacing w:before="47"/>
              <w:ind w:left="814" w:right="576"/>
              <w:rPr>
                <w:sz w:val="18"/>
              </w:rPr>
            </w:pPr>
            <w:r>
              <w:rPr>
                <w:w w:val="105"/>
                <w:sz w:val="18"/>
              </w:rPr>
              <w:t>Hudson</w:t>
            </w:r>
          </w:p>
        </w:tc>
        <w:tc>
          <w:tcPr>
            <w:tcW w:w="1970" w:type="dxa"/>
            <w:tcBorders>
              <w:bottom w:val="single" w:sz="6" w:space="0" w:color="69BD28"/>
            </w:tcBorders>
          </w:tcPr>
          <w:p>
            <w:pPr>
              <w:pStyle w:val="TableParagraph"/>
              <w:spacing w:before="47"/>
              <w:ind w:left="592" w:right="502"/>
              <w:rPr>
                <w:sz w:val="18"/>
              </w:rPr>
            </w:pPr>
            <w:r>
              <w:rPr>
                <w:w w:val="110"/>
                <w:sz w:val="18"/>
              </w:rPr>
              <w:t>458,177</w:t>
            </w:r>
          </w:p>
        </w:tc>
        <w:tc>
          <w:tcPr>
            <w:tcW w:w="2798" w:type="dxa"/>
            <w:tcBorders>
              <w:bottom w:val="single" w:sz="6" w:space="0" w:color="69BD28"/>
            </w:tcBorders>
          </w:tcPr>
          <w:p>
            <w:pPr>
              <w:pStyle w:val="TableParagraph"/>
              <w:spacing w:before="47"/>
              <w:ind w:left="503" w:right="822"/>
              <w:rPr>
                <w:sz w:val="18"/>
              </w:rPr>
            </w:pPr>
            <w:r>
              <w:rPr>
                <w:w w:val="110"/>
                <w:sz w:val="18"/>
              </w:rPr>
              <w:t>Ongoing</w:t>
            </w:r>
          </w:p>
        </w:tc>
        <w:tc>
          <w:tcPr>
            <w:tcW w:w="2534" w:type="dxa"/>
            <w:tcBorders>
              <w:bottom w:val="single" w:sz="6" w:space="0" w:color="69BD28"/>
            </w:tcBorders>
          </w:tcPr>
          <w:p>
            <w:pPr>
              <w:pStyle w:val="TableParagraph"/>
              <w:spacing w:before="47"/>
              <w:ind w:left="833"/>
              <w:jc w:val="left"/>
              <w:rPr>
                <w:sz w:val="18"/>
              </w:rPr>
            </w:pPr>
            <w:r>
              <w:rPr>
                <w:w w:val="110"/>
                <w:sz w:val="18"/>
              </w:rPr>
              <w:t>FY 2023</w:t>
            </w:r>
          </w:p>
        </w:tc>
      </w:tr>
      <w:tr>
        <w:trPr>
          <w:trHeight w:val="325" w:hRule="atLeast"/>
        </w:trPr>
        <w:tc>
          <w:tcPr>
            <w:tcW w:w="3184" w:type="dxa"/>
            <w:tcBorders>
              <w:top w:val="single" w:sz="6" w:space="0" w:color="69BD28"/>
              <w:bottom w:val="single" w:sz="6" w:space="0" w:color="69BD28"/>
            </w:tcBorders>
          </w:tcPr>
          <w:p>
            <w:pPr>
              <w:pStyle w:val="TableParagraph"/>
              <w:spacing w:before="66"/>
              <w:ind w:left="814" w:right="577"/>
              <w:rPr>
                <w:sz w:val="18"/>
              </w:rPr>
            </w:pPr>
            <w:r>
              <w:rPr>
                <w:w w:val="105"/>
                <w:sz w:val="18"/>
              </w:rPr>
              <w:t>Ganges</w:t>
            </w:r>
          </w:p>
        </w:tc>
        <w:tc>
          <w:tcPr>
            <w:tcW w:w="1970" w:type="dxa"/>
            <w:tcBorders>
              <w:top w:val="single" w:sz="6" w:space="0" w:color="69BD28"/>
              <w:bottom w:val="single" w:sz="6" w:space="0" w:color="69BD28"/>
            </w:tcBorders>
          </w:tcPr>
          <w:p>
            <w:pPr>
              <w:pStyle w:val="TableParagraph"/>
              <w:spacing w:before="66"/>
              <w:ind w:left="592" w:right="502"/>
              <w:rPr>
                <w:sz w:val="18"/>
              </w:rPr>
            </w:pPr>
            <w:r>
              <w:rPr>
                <w:w w:val="110"/>
                <w:sz w:val="18"/>
              </w:rPr>
              <w:t>422,438</w:t>
            </w:r>
          </w:p>
        </w:tc>
        <w:tc>
          <w:tcPr>
            <w:tcW w:w="2798" w:type="dxa"/>
            <w:tcBorders>
              <w:top w:val="single" w:sz="6" w:space="0" w:color="69BD28"/>
              <w:bottom w:val="single" w:sz="6" w:space="0" w:color="69BD28"/>
            </w:tcBorders>
          </w:tcPr>
          <w:p>
            <w:pPr>
              <w:pStyle w:val="TableParagraph"/>
              <w:spacing w:before="66"/>
              <w:ind w:left="503" w:right="822"/>
              <w:rPr>
                <w:sz w:val="18"/>
              </w:rPr>
            </w:pPr>
            <w:r>
              <w:rPr>
                <w:w w:val="110"/>
                <w:sz w:val="18"/>
              </w:rPr>
              <w:t>Ongoing</w:t>
            </w:r>
          </w:p>
        </w:tc>
        <w:tc>
          <w:tcPr>
            <w:tcW w:w="2534" w:type="dxa"/>
            <w:tcBorders>
              <w:top w:val="single" w:sz="6" w:space="0" w:color="69BD28"/>
              <w:bottom w:val="single" w:sz="6" w:space="0" w:color="69BD28"/>
            </w:tcBorders>
          </w:tcPr>
          <w:p>
            <w:pPr>
              <w:pStyle w:val="TableParagraph"/>
              <w:spacing w:before="66"/>
              <w:ind w:left="833"/>
              <w:jc w:val="left"/>
              <w:rPr>
                <w:sz w:val="18"/>
              </w:rPr>
            </w:pPr>
            <w:r>
              <w:rPr>
                <w:w w:val="110"/>
                <w:sz w:val="18"/>
              </w:rPr>
              <w:t>FY 2023</w:t>
            </w:r>
          </w:p>
        </w:tc>
      </w:tr>
      <w:tr>
        <w:trPr>
          <w:trHeight w:val="325" w:hRule="atLeast"/>
        </w:trPr>
        <w:tc>
          <w:tcPr>
            <w:tcW w:w="3184" w:type="dxa"/>
            <w:tcBorders>
              <w:top w:val="single" w:sz="6" w:space="0" w:color="69BD28"/>
              <w:bottom w:val="single" w:sz="6" w:space="0" w:color="69BD28"/>
            </w:tcBorders>
          </w:tcPr>
          <w:p>
            <w:pPr>
              <w:pStyle w:val="TableParagraph"/>
              <w:spacing w:before="66"/>
              <w:ind w:left="812" w:right="578"/>
              <w:rPr>
                <w:sz w:val="18"/>
              </w:rPr>
            </w:pPr>
            <w:r>
              <w:rPr>
                <w:w w:val="105"/>
                <w:sz w:val="18"/>
              </w:rPr>
              <w:t>Block 4</w:t>
            </w:r>
          </w:p>
        </w:tc>
        <w:tc>
          <w:tcPr>
            <w:tcW w:w="1970" w:type="dxa"/>
            <w:tcBorders>
              <w:top w:val="single" w:sz="6" w:space="0" w:color="69BD28"/>
              <w:bottom w:val="single" w:sz="6" w:space="0" w:color="69BD28"/>
            </w:tcBorders>
          </w:tcPr>
          <w:p>
            <w:pPr>
              <w:pStyle w:val="TableParagraph"/>
              <w:spacing w:before="66"/>
              <w:ind w:left="592" w:right="502"/>
              <w:rPr>
                <w:sz w:val="18"/>
              </w:rPr>
            </w:pPr>
            <w:r>
              <w:rPr>
                <w:w w:val="110"/>
                <w:sz w:val="18"/>
              </w:rPr>
              <w:t>472,316</w:t>
            </w:r>
          </w:p>
        </w:tc>
        <w:tc>
          <w:tcPr>
            <w:tcW w:w="2798" w:type="dxa"/>
            <w:tcBorders>
              <w:top w:val="single" w:sz="6" w:space="0" w:color="69BD28"/>
              <w:bottom w:val="single" w:sz="6" w:space="0" w:color="69BD28"/>
            </w:tcBorders>
          </w:tcPr>
          <w:p>
            <w:pPr>
              <w:pStyle w:val="TableParagraph"/>
              <w:spacing w:before="66"/>
              <w:ind w:left="502" w:right="822"/>
              <w:rPr>
                <w:sz w:val="18"/>
              </w:rPr>
            </w:pPr>
            <w:r>
              <w:rPr>
                <w:w w:val="110"/>
                <w:sz w:val="18"/>
              </w:rPr>
              <w:t>FY 2023</w:t>
            </w:r>
          </w:p>
        </w:tc>
        <w:tc>
          <w:tcPr>
            <w:tcW w:w="2534" w:type="dxa"/>
            <w:tcBorders>
              <w:top w:val="single" w:sz="6" w:space="0" w:color="69BD28"/>
              <w:bottom w:val="single" w:sz="6" w:space="0" w:color="69BD28"/>
            </w:tcBorders>
          </w:tcPr>
          <w:p>
            <w:pPr>
              <w:pStyle w:val="TableParagraph"/>
              <w:spacing w:before="66"/>
              <w:ind w:left="833"/>
              <w:jc w:val="left"/>
              <w:rPr>
                <w:sz w:val="18"/>
              </w:rPr>
            </w:pPr>
            <w:r>
              <w:rPr>
                <w:w w:val="110"/>
                <w:sz w:val="18"/>
              </w:rPr>
              <w:t>FY 2024</w:t>
            </w:r>
          </w:p>
        </w:tc>
      </w:tr>
      <w:tr>
        <w:trPr>
          <w:trHeight w:val="325" w:hRule="atLeast"/>
        </w:trPr>
        <w:tc>
          <w:tcPr>
            <w:tcW w:w="3184" w:type="dxa"/>
            <w:tcBorders>
              <w:top w:val="single" w:sz="6" w:space="0" w:color="69BD28"/>
              <w:bottom w:val="single" w:sz="6" w:space="0" w:color="69BD28"/>
            </w:tcBorders>
          </w:tcPr>
          <w:p>
            <w:pPr>
              <w:pStyle w:val="TableParagraph"/>
              <w:spacing w:before="66"/>
              <w:ind w:left="812" w:right="578"/>
              <w:rPr>
                <w:sz w:val="18"/>
              </w:rPr>
            </w:pPr>
            <w:r>
              <w:rPr>
                <w:w w:val="105"/>
                <w:sz w:val="18"/>
              </w:rPr>
              <w:t>Block 9</w:t>
            </w:r>
          </w:p>
        </w:tc>
        <w:tc>
          <w:tcPr>
            <w:tcW w:w="1970" w:type="dxa"/>
            <w:tcBorders>
              <w:top w:val="single" w:sz="6" w:space="0" w:color="69BD28"/>
              <w:bottom w:val="single" w:sz="6" w:space="0" w:color="69BD28"/>
            </w:tcBorders>
          </w:tcPr>
          <w:p>
            <w:pPr>
              <w:pStyle w:val="TableParagraph"/>
              <w:spacing w:before="66"/>
              <w:ind w:left="592" w:right="502"/>
              <w:rPr>
                <w:sz w:val="18"/>
              </w:rPr>
            </w:pPr>
            <w:r>
              <w:rPr>
                <w:w w:val="110"/>
                <w:sz w:val="18"/>
              </w:rPr>
              <w:t>978,517</w:t>
            </w:r>
          </w:p>
        </w:tc>
        <w:tc>
          <w:tcPr>
            <w:tcW w:w="2798" w:type="dxa"/>
            <w:tcBorders>
              <w:top w:val="single" w:sz="6" w:space="0" w:color="69BD28"/>
              <w:bottom w:val="single" w:sz="6" w:space="0" w:color="69BD28"/>
            </w:tcBorders>
          </w:tcPr>
          <w:p>
            <w:pPr>
              <w:pStyle w:val="TableParagraph"/>
              <w:spacing w:before="66"/>
              <w:ind w:left="502" w:right="822"/>
              <w:rPr>
                <w:sz w:val="18"/>
              </w:rPr>
            </w:pPr>
            <w:r>
              <w:rPr>
                <w:w w:val="110"/>
                <w:sz w:val="18"/>
              </w:rPr>
              <w:t>FY 2024</w:t>
            </w:r>
          </w:p>
        </w:tc>
        <w:tc>
          <w:tcPr>
            <w:tcW w:w="2534" w:type="dxa"/>
            <w:tcBorders>
              <w:top w:val="single" w:sz="6" w:space="0" w:color="69BD28"/>
              <w:bottom w:val="single" w:sz="6" w:space="0" w:color="69BD28"/>
            </w:tcBorders>
          </w:tcPr>
          <w:p>
            <w:pPr>
              <w:pStyle w:val="TableParagraph"/>
              <w:spacing w:before="66"/>
              <w:ind w:left="833"/>
              <w:jc w:val="left"/>
              <w:rPr>
                <w:sz w:val="18"/>
              </w:rPr>
            </w:pPr>
            <w:r>
              <w:rPr>
                <w:w w:val="110"/>
                <w:sz w:val="18"/>
              </w:rPr>
              <w:t>FY 2025</w:t>
            </w:r>
          </w:p>
        </w:tc>
      </w:tr>
      <w:tr>
        <w:trPr>
          <w:trHeight w:val="325" w:hRule="atLeast"/>
        </w:trPr>
        <w:tc>
          <w:tcPr>
            <w:tcW w:w="3184" w:type="dxa"/>
            <w:tcBorders>
              <w:top w:val="single" w:sz="6" w:space="0" w:color="69BD28"/>
              <w:bottom w:val="single" w:sz="6" w:space="0" w:color="69BD28"/>
            </w:tcBorders>
          </w:tcPr>
          <w:p>
            <w:pPr>
              <w:pStyle w:val="TableParagraph"/>
              <w:spacing w:before="66"/>
              <w:ind w:left="812" w:right="578"/>
              <w:rPr>
                <w:sz w:val="18"/>
              </w:rPr>
            </w:pPr>
            <w:r>
              <w:rPr>
                <w:w w:val="105"/>
                <w:sz w:val="18"/>
              </w:rPr>
              <w:t>Block 10</w:t>
            </w:r>
          </w:p>
        </w:tc>
        <w:tc>
          <w:tcPr>
            <w:tcW w:w="1970" w:type="dxa"/>
            <w:tcBorders>
              <w:top w:val="single" w:sz="6" w:space="0" w:color="69BD28"/>
              <w:bottom w:val="single" w:sz="6" w:space="0" w:color="69BD28"/>
            </w:tcBorders>
          </w:tcPr>
          <w:p>
            <w:pPr>
              <w:pStyle w:val="TableParagraph"/>
              <w:spacing w:before="66"/>
              <w:ind w:left="592" w:right="502"/>
              <w:rPr>
                <w:sz w:val="18"/>
              </w:rPr>
            </w:pPr>
            <w:r>
              <w:rPr>
                <w:w w:val="110"/>
                <w:sz w:val="18"/>
              </w:rPr>
              <w:t>941,754</w:t>
            </w:r>
          </w:p>
        </w:tc>
        <w:tc>
          <w:tcPr>
            <w:tcW w:w="2798" w:type="dxa"/>
            <w:tcBorders>
              <w:top w:val="single" w:sz="6" w:space="0" w:color="69BD28"/>
              <w:bottom w:val="single" w:sz="6" w:space="0" w:color="69BD28"/>
            </w:tcBorders>
          </w:tcPr>
          <w:p>
            <w:pPr>
              <w:pStyle w:val="TableParagraph"/>
              <w:spacing w:before="66"/>
              <w:ind w:left="502" w:right="822"/>
              <w:rPr>
                <w:sz w:val="18"/>
              </w:rPr>
            </w:pPr>
            <w:r>
              <w:rPr>
                <w:w w:val="110"/>
                <w:sz w:val="18"/>
              </w:rPr>
              <w:t>FY 2025</w:t>
            </w:r>
          </w:p>
        </w:tc>
        <w:tc>
          <w:tcPr>
            <w:tcW w:w="2534" w:type="dxa"/>
            <w:tcBorders>
              <w:top w:val="single" w:sz="6" w:space="0" w:color="69BD28"/>
              <w:bottom w:val="single" w:sz="6" w:space="0" w:color="69BD28"/>
            </w:tcBorders>
          </w:tcPr>
          <w:p>
            <w:pPr>
              <w:pStyle w:val="TableParagraph"/>
              <w:spacing w:before="66"/>
              <w:ind w:left="833"/>
              <w:jc w:val="left"/>
              <w:rPr>
                <w:sz w:val="18"/>
              </w:rPr>
            </w:pPr>
            <w:r>
              <w:rPr>
                <w:w w:val="110"/>
                <w:sz w:val="18"/>
              </w:rPr>
              <w:t>FY 2026</w:t>
            </w:r>
          </w:p>
        </w:tc>
      </w:tr>
      <w:tr>
        <w:trPr>
          <w:trHeight w:val="325" w:hRule="atLeast"/>
        </w:trPr>
        <w:tc>
          <w:tcPr>
            <w:tcW w:w="3184" w:type="dxa"/>
            <w:tcBorders>
              <w:top w:val="single" w:sz="6" w:space="0" w:color="69BD28"/>
              <w:bottom w:val="single" w:sz="6" w:space="0" w:color="69BD28"/>
            </w:tcBorders>
          </w:tcPr>
          <w:p>
            <w:pPr>
              <w:pStyle w:val="TableParagraph"/>
              <w:spacing w:before="66"/>
              <w:ind w:left="814" w:right="578"/>
              <w:rPr>
                <w:sz w:val="18"/>
              </w:rPr>
            </w:pPr>
            <w:r>
              <w:rPr>
                <w:sz w:val="18"/>
              </w:rPr>
              <w:t>Volga Training Centre</w:t>
            </w:r>
          </w:p>
        </w:tc>
        <w:tc>
          <w:tcPr>
            <w:tcW w:w="1970" w:type="dxa"/>
            <w:tcBorders>
              <w:top w:val="single" w:sz="6" w:space="0" w:color="69BD28"/>
              <w:bottom w:val="single" w:sz="6" w:space="0" w:color="69BD28"/>
            </w:tcBorders>
          </w:tcPr>
          <w:p>
            <w:pPr>
              <w:pStyle w:val="TableParagraph"/>
              <w:spacing w:before="66"/>
              <w:ind w:left="595" w:right="502"/>
              <w:rPr>
                <w:sz w:val="18"/>
              </w:rPr>
            </w:pPr>
            <w:r>
              <w:rPr>
                <w:w w:val="110"/>
                <w:sz w:val="18"/>
              </w:rPr>
              <w:t>39,689</w:t>
            </w:r>
          </w:p>
        </w:tc>
        <w:tc>
          <w:tcPr>
            <w:tcW w:w="2798" w:type="dxa"/>
            <w:tcBorders>
              <w:top w:val="single" w:sz="6" w:space="0" w:color="69BD28"/>
              <w:bottom w:val="single" w:sz="6" w:space="0" w:color="69BD28"/>
            </w:tcBorders>
          </w:tcPr>
          <w:p>
            <w:pPr>
              <w:pStyle w:val="TableParagraph"/>
              <w:spacing w:before="66"/>
              <w:ind w:left="502" w:right="822"/>
              <w:rPr>
                <w:sz w:val="18"/>
              </w:rPr>
            </w:pPr>
            <w:r>
              <w:rPr>
                <w:w w:val="110"/>
                <w:sz w:val="18"/>
              </w:rPr>
              <w:t>FY 2021</w:t>
            </w:r>
          </w:p>
        </w:tc>
        <w:tc>
          <w:tcPr>
            <w:tcW w:w="2534" w:type="dxa"/>
            <w:tcBorders>
              <w:top w:val="single" w:sz="6" w:space="0" w:color="69BD28"/>
              <w:bottom w:val="single" w:sz="6" w:space="0" w:color="69BD28"/>
            </w:tcBorders>
          </w:tcPr>
          <w:p>
            <w:pPr>
              <w:pStyle w:val="TableParagraph"/>
              <w:spacing w:before="66"/>
              <w:ind w:left="833"/>
              <w:jc w:val="left"/>
              <w:rPr>
                <w:sz w:val="18"/>
              </w:rPr>
            </w:pPr>
            <w:r>
              <w:rPr>
                <w:w w:val="110"/>
                <w:sz w:val="18"/>
              </w:rPr>
              <w:t>FY 2022</w:t>
            </w:r>
          </w:p>
        </w:tc>
      </w:tr>
      <w:tr>
        <w:trPr>
          <w:trHeight w:val="325" w:hRule="atLeast"/>
        </w:trPr>
        <w:tc>
          <w:tcPr>
            <w:tcW w:w="3184" w:type="dxa"/>
            <w:tcBorders>
              <w:top w:val="single" w:sz="6" w:space="0" w:color="69BD28"/>
              <w:bottom w:val="single" w:sz="6" w:space="0" w:color="69BD28"/>
            </w:tcBorders>
          </w:tcPr>
          <w:p>
            <w:pPr>
              <w:pStyle w:val="TableParagraph"/>
              <w:spacing w:before="66"/>
              <w:ind w:left="814" w:right="578"/>
              <w:rPr>
                <w:sz w:val="18"/>
              </w:rPr>
            </w:pPr>
            <w:r>
              <w:rPr>
                <w:sz w:val="18"/>
              </w:rPr>
              <w:t>Total</w:t>
            </w:r>
          </w:p>
        </w:tc>
        <w:tc>
          <w:tcPr>
            <w:tcW w:w="1970" w:type="dxa"/>
            <w:tcBorders>
              <w:top w:val="single" w:sz="6" w:space="0" w:color="69BD28"/>
              <w:bottom w:val="single" w:sz="6" w:space="0" w:color="69BD28"/>
            </w:tcBorders>
          </w:tcPr>
          <w:p>
            <w:pPr>
              <w:pStyle w:val="TableParagraph"/>
              <w:spacing w:before="66"/>
              <w:ind w:left="595" w:right="502"/>
              <w:rPr>
                <w:sz w:val="18"/>
              </w:rPr>
            </w:pPr>
            <w:r>
              <w:rPr>
                <w:w w:val="105"/>
                <w:sz w:val="18"/>
              </w:rPr>
              <w:t>3,312,891</w:t>
            </w:r>
          </w:p>
        </w:tc>
        <w:tc>
          <w:tcPr>
            <w:tcW w:w="2798" w:type="dxa"/>
            <w:tcBorders>
              <w:top w:val="single" w:sz="6" w:space="0" w:color="69BD28"/>
              <w:bottom w:val="single" w:sz="6" w:space="0" w:color="69BD28"/>
            </w:tcBorders>
          </w:tcPr>
          <w:p>
            <w:pPr>
              <w:pStyle w:val="TableParagraph"/>
              <w:jc w:val="left"/>
              <w:rPr>
                <w:rFonts w:ascii="Times New Roman"/>
                <w:sz w:val="20"/>
              </w:rPr>
            </w:pPr>
          </w:p>
        </w:tc>
        <w:tc>
          <w:tcPr>
            <w:tcW w:w="2534" w:type="dxa"/>
            <w:tcBorders>
              <w:top w:val="single" w:sz="6" w:space="0" w:color="69BD28"/>
              <w:bottom w:val="single" w:sz="6" w:space="0" w:color="69BD28"/>
            </w:tcBorders>
          </w:tcPr>
          <w:p>
            <w:pPr>
              <w:pStyle w:val="TableParagraph"/>
              <w:jc w:val="left"/>
              <w:rPr>
                <w:rFonts w:ascii="Times New Roman"/>
                <w:sz w:val="20"/>
              </w:rPr>
            </w:pPr>
          </w:p>
        </w:tc>
      </w:tr>
    </w:tbl>
    <w:p>
      <w:pPr>
        <w:spacing w:before="4"/>
        <w:ind w:left="786" w:right="0" w:firstLine="0"/>
        <w:jc w:val="both"/>
        <w:rPr>
          <w:i/>
          <w:sz w:val="18"/>
        </w:rPr>
      </w:pPr>
      <w:r>
        <w:rPr>
          <w:i/>
          <w:sz w:val="18"/>
        </w:rPr>
        <w:t>Source: Client’s inputs; *The timelines are mentioned as per Financial year beginning April to March</w:t>
      </w:r>
    </w:p>
    <w:p>
      <w:pPr>
        <w:pStyle w:val="BodyText"/>
        <w:spacing w:before="11"/>
        <w:rPr>
          <w:i/>
          <w:sz w:val="26"/>
        </w:rPr>
      </w:pPr>
    </w:p>
    <w:p>
      <w:pPr>
        <w:pStyle w:val="ListParagraph"/>
        <w:numPr>
          <w:ilvl w:val="2"/>
          <w:numId w:val="14"/>
        </w:numPr>
        <w:tabs>
          <w:tab w:pos="941" w:val="left" w:leader="none"/>
        </w:tabs>
        <w:spacing w:line="240" w:lineRule="auto" w:before="0" w:after="0"/>
        <w:ind w:left="940" w:right="0" w:hanging="721"/>
        <w:jc w:val="both"/>
        <w:rPr>
          <w:sz w:val="22"/>
        </w:rPr>
      </w:pPr>
      <w:bookmarkStart w:name="_bookmark177" w:id="345"/>
      <w:bookmarkEnd w:id="345"/>
      <w:r>
        <w:rPr/>
      </w:r>
      <w:bookmarkStart w:name="_bookmark177" w:id="346"/>
      <w:bookmarkEnd w:id="346"/>
      <w:r>
        <w:rPr>
          <w:color w:val="1F664D"/>
          <w:sz w:val="22"/>
        </w:rPr>
        <w:t>A</w:t>
      </w:r>
      <w:r>
        <w:rPr>
          <w:color w:val="1F664D"/>
          <w:sz w:val="22"/>
        </w:rPr>
        <w:t>bsorption/ Leasing Velocity and Occupancy</w:t>
      </w:r>
      <w:r>
        <w:rPr>
          <w:color w:val="1F664D"/>
          <w:spacing w:val="3"/>
          <w:sz w:val="22"/>
        </w:rPr>
        <w:t> </w:t>
      </w:r>
      <w:r>
        <w:rPr>
          <w:color w:val="1F664D"/>
          <w:sz w:val="22"/>
        </w:rPr>
        <w:t>Profile</w:t>
      </w:r>
    </w:p>
    <w:p>
      <w:pPr>
        <w:pStyle w:val="BodyText"/>
        <w:spacing w:before="6"/>
        <w:rPr>
          <w:sz w:val="25"/>
        </w:rPr>
      </w:pPr>
    </w:p>
    <w:p>
      <w:pPr>
        <w:pStyle w:val="ListParagraph"/>
        <w:numPr>
          <w:ilvl w:val="3"/>
          <w:numId w:val="53"/>
        </w:numPr>
        <w:tabs>
          <w:tab w:pos="1085" w:val="left" w:leader="none"/>
        </w:tabs>
        <w:spacing w:line="240" w:lineRule="auto" w:before="0" w:after="0"/>
        <w:ind w:left="1084" w:right="0" w:hanging="865"/>
        <w:jc w:val="both"/>
        <w:rPr>
          <w:i/>
          <w:sz w:val="20"/>
        </w:rPr>
      </w:pPr>
      <w:r>
        <w:rPr>
          <w:i/>
          <w:color w:val="008000"/>
          <w:sz w:val="20"/>
        </w:rPr>
        <w:t>Completed</w:t>
      </w:r>
      <w:r>
        <w:rPr>
          <w:i/>
          <w:color w:val="008000"/>
          <w:spacing w:val="-3"/>
          <w:sz w:val="20"/>
        </w:rPr>
        <w:t> </w:t>
      </w:r>
      <w:r>
        <w:rPr>
          <w:i/>
          <w:color w:val="008000"/>
          <w:sz w:val="20"/>
        </w:rPr>
        <w:t>Blocks</w:t>
      </w:r>
    </w:p>
    <w:p>
      <w:pPr>
        <w:pStyle w:val="BodyText"/>
        <w:spacing w:line="321" w:lineRule="auto" w:before="76"/>
        <w:ind w:left="786" w:right="238"/>
        <w:jc w:val="both"/>
      </w:pPr>
      <w:r>
        <w:rPr/>
        <w:t>In</w:t>
      </w:r>
      <w:r>
        <w:rPr>
          <w:spacing w:val="-31"/>
        </w:rPr>
        <w:t> </w:t>
      </w:r>
      <w:r>
        <w:rPr/>
        <w:t>order</w:t>
      </w:r>
      <w:r>
        <w:rPr>
          <w:spacing w:val="-31"/>
        </w:rPr>
        <w:t> </w:t>
      </w:r>
      <w:r>
        <w:rPr/>
        <w:t>to</w:t>
      </w:r>
      <w:r>
        <w:rPr>
          <w:spacing w:val="-31"/>
        </w:rPr>
        <w:t> </w:t>
      </w:r>
      <w:r>
        <w:rPr/>
        <w:t>arrive</w:t>
      </w:r>
      <w:r>
        <w:rPr>
          <w:spacing w:val="-31"/>
        </w:rPr>
        <w:t> </w:t>
      </w:r>
      <w:r>
        <w:rPr/>
        <w:t>at</w:t>
      </w:r>
      <w:r>
        <w:rPr>
          <w:spacing w:val="-30"/>
        </w:rPr>
        <w:t> </w:t>
      </w:r>
      <w:r>
        <w:rPr/>
        <w:t>the</w:t>
      </w:r>
      <w:r>
        <w:rPr>
          <w:spacing w:val="-31"/>
        </w:rPr>
        <w:t> </w:t>
      </w:r>
      <w:r>
        <w:rPr/>
        <w:t>future</w:t>
      </w:r>
      <w:r>
        <w:rPr>
          <w:spacing w:val="-31"/>
        </w:rPr>
        <w:t> </w:t>
      </w:r>
      <w:r>
        <w:rPr/>
        <w:t>absorption</w:t>
      </w:r>
      <w:r>
        <w:rPr>
          <w:spacing w:val="-31"/>
        </w:rPr>
        <w:t> </w:t>
      </w:r>
      <w:r>
        <w:rPr/>
        <w:t>levels</w:t>
      </w:r>
      <w:r>
        <w:rPr>
          <w:spacing w:val="-30"/>
        </w:rPr>
        <w:t> </w:t>
      </w:r>
      <w:r>
        <w:rPr/>
        <w:t>at</w:t>
      </w:r>
      <w:r>
        <w:rPr>
          <w:spacing w:val="-32"/>
        </w:rPr>
        <w:t> </w:t>
      </w:r>
      <w:r>
        <w:rPr/>
        <w:t>the</w:t>
      </w:r>
      <w:r>
        <w:rPr>
          <w:spacing w:val="-30"/>
        </w:rPr>
        <w:t> </w:t>
      </w:r>
      <w:r>
        <w:rPr/>
        <w:t>subject</w:t>
      </w:r>
      <w:r>
        <w:rPr>
          <w:spacing w:val="-32"/>
        </w:rPr>
        <w:t> </w:t>
      </w:r>
      <w:r>
        <w:rPr/>
        <w:t>property,</w:t>
      </w:r>
      <w:r>
        <w:rPr>
          <w:spacing w:val="-32"/>
        </w:rPr>
        <w:t> </w:t>
      </w:r>
      <w:r>
        <w:rPr/>
        <w:t>we</w:t>
      </w:r>
      <w:r>
        <w:rPr>
          <w:spacing w:val="-32"/>
        </w:rPr>
        <w:t> </w:t>
      </w:r>
      <w:r>
        <w:rPr/>
        <w:t>have</w:t>
      </w:r>
      <w:r>
        <w:rPr>
          <w:spacing w:val="-31"/>
        </w:rPr>
        <w:t> </w:t>
      </w:r>
      <w:r>
        <w:rPr/>
        <w:t>analysed</w:t>
      </w:r>
      <w:r>
        <w:rPr>
          <w:spacing w:val="-30"/>
        </w:rPr>
        <w:t> </w:t>
      </w:r>
      <w:r>
        <w:rPr/>
        <w:t>the</w:t>
      </w:r>
      <w:r>
        <w:rPr>
          <w:spacing w:val="-31"/>
        </w:rPr>
        <w:t> </w:t>
      </w:r>
      <w:r>
        <w:rPr/>
        <w:t>historical demand</w:t>
      </w:r>
      <w:r>
        <w:rPr>
          <w:spacing w:val="-34"/>
        </w:rPr>
        <w:t> </w:t>
      </w:r>
      <w:r>
        <w:rPr/>
        <w:t>and</w:t>
      </w:r>
      <w:r>
        <w:rPr>
          <w:spacing w:val="-33"/>
        </w:rPr>
        <w:t> </w:t>
      </w:r>
      <w:r>
        <w:rPr/>
        <w:t>supply</w:t>
      </w:r>
      <w:r>
        <w:rPr>
          <w:spacing w:val="-33"/>
        </w:rPr>
        <w:t> </w:t>
      </w:r>
      <w:r>
        <w:rPr/>
        <w:t>trends</w:t>
      </w:r>
      <w:r>
        <w:rPr>
          <w:spacing w:val="-33"/>
        </w:rPr>
        <w:t> </w:t>
      </w:r>
      <w:r>
        <w:rPr/>
        <w:t>coupled</w:t>
      </w:r>
      <w:r>
        <w:rPr>
          <w:spacing w:val="-33"/>
        </w:rPr>
        <w:t> </w:t>
      </w:r>
      <w:r>
        <w:rPr/>
        <w:t>with</w:t>
      </w:r>
      <w:r>
        <w:rPr>
          <w:spacing w:val="-34"/>
        </w:rPr>
        <w:t> </w:t>
      </w:r>
      <w:r>
        <w:rPr/>
        <w:t>the</w:t>
      </w:r>
      <w:r>
        <w:rPr>
          <w:spacing w:val="-32"/>
        </w:rPr>
        <w:t> </w:t>
      </w:r>
      <w:r>
        <w:rPr/>
        <w:t>estimation</w:t>
      </w:r>
      <w:r>
        <w:rPr>
          <w:spacing w:val="-33"/>
        </w:rPr>
        <w:t> </w:t>
      </w:r>
      <w:r>
        <w:rPr/>
        <w:t>of</w:t>
      </w:r>
      <w:r>
        <w:rPr>
          <w:spacing w:val="-31"/>
        </w:rPr>
        <w:t> </w:t>
      </w:r>
      <w:r>
        <w:rPr/>
        <w:t>future</w:t>
      </w:r>
      <w:r>
        <w:rPr>
          <w:spacing w:val="-32"/>
        </w:rPr>
        <w:t> </w:t>
      </w:r>
      <w:r>
        <w:rPr/>
        <w:t>supply</w:t>
      </w:r>
      <w:r>
        <w:rPr>
          <w:spacing w:val="-33"/>
        </w:rPr>
        <w:t> </w:t>
      </w:r>
      <w:r>
        <w:rPr/>
        <w:t>proposed</w:t>
      </w:r>
      <w:r>
        <w:rPr>
          <w:spacing w:val="-32"/>
        </w:rPr>
        <w:t> </w:t>
      </w:r>
      <w:r>
        <w:rPr/>
        <w:t>to</w:t>
      </w:r>
      <w:r>
        <w:rPr>
          <w:spacing w:val="-34"/>
        </w:rPr>
        <w:t> </w:t>
      </w:r>
      <w:r>
        <w:rPr/>
        <w:t>be</w:t>
      </w:r>
      <w:r>
        <w:rPr>
          <w:spacing w:val="-32"/>
        </w:rPr>
        <w:t> </w:t>
      </w:r>
      <w:r>
        <w:rPr/>
        <w:t>introduced</w:t>
      </w:r>
      <w:r>
        <w:rPr>
          <w:spacing w:val="-31"/>
        </w:rPr>
        <w:t> </w:t>
      </w:r>
      <w:r>
        <w:rPr/>
        <w:t>in</w:t>
      </w:r>
      <w:r>
        <w:rPr>
          <w:spacing w:val="-34"/>
        </w:rPr>
        <w:t> </w:t>
      </w:r>
      <w:r>
        <w:rPr/>
        <w:t>the submarket.</w:t>
      </w:r>
    </w:p>
    <w:p>
      <w:pPr>
        <w:pStyle w:val="BodyText"/>
        <w:spacing w:before="10"/>
        <w:rPr>
          <w:sz w:val="20"/>
        </w:rPr>
      </w:pPr>
    </w:p>
    <w:p>
      <w:pPr>
        <w:pStyle w:val="BodyText"/>
        <w:spacing w:line="319" w:lineRule="auto" w:before="1"/>
        <w:ind w:left="786" w:right="237"/>
        <w:jc w:val="both"/>
      </w:pPr>
      <w:r>
        <w:rPr/>
        <w:t>Keeping</w:t>
      </w:r>
      <w:r>
        <w:rPr>
          <w:spacing w:val="-41"/>
        </w:rPr>
        <w:t> </w:t>
      </w:r>
      <w:r>
        <w:rPr/>
        <w:t>the</w:t>
      </w:r>
      <w:r>
        <w:rPr>
          <w:spacing w:val="-42"/>
        </w:rPr>
        <w:t> </w:t>
      </w:r>
      <w:r>
        <w:rPr/>
        <w:t>same</w:t>
      </w:r>
      <w:r>
        <w:rPr>
          <w:spacing w:val="-42"/>
        </w:rPr>
        <w:t> </w:t>
      </w:r>
      <w:r>
        <w:rPr/>
        <w:t>in</w:t>
      </w:r>
      <w:r>
        <w:rPr>
          <w:spacing w:val="-43"/>
        </w:rPr>
        <w:t> </w:t>
      </w:r>
      <w:r>
        <w:rPr/>
        <w:t>perspective,</w:t>
      </w:r>
      <w:r>
        <w:rPr>
          <w:spacing w:val="-41"/>
        </w:rPr>
        <w:t> </w:t>
      </w:r>
      <w:r>
        <w:rPr/>
        <w:t>we</w:t>
      </w:r>
      <w:r>
        <w:rPr>
          <w:spacing w:val="-42"/>
        </w:rPr>
        <w:t> </w:t>
      </w:r>
      <w:r>
        <w:rPr/>
        <w:t>opine</w:t>
      </w:r>
      <w:r>
        <w:rPr>
          <w:spacing w:val="-42"/>
        </w:rPr>
        <w:t> </w:t>
      </w:r>
      <w:r>
        <w:rPr/>
        <w:t>that</w:t>
      </w:r>
      <w:r>
        <w:rPr>
          <w:spacing w:val="-41"/>
        </w:rPr>
        <w:t> </w:t>
      </w:r>
      <w:r>
        <w:rPr/>
        <w:t>the</w:t>
      </w:r>
      <w:r>
        <w:rPr>
          <w:spacing w:val="-42"/>
        </w:rPr>
        <w:t> </w:t>
      </w:r>
      <w:r>
        <w:rPr/>
        <w:t>vacant</w:t>
      </w:r>
      <w:r>
        <w:rPr>
          <w:spacing w:val="-41"/>
        </w:rPr>
        <w:t> </w:t>
      </w:r>
      <w:r>
        <w:rPr/>
        <w:t>space</w:t>
      </w:r>
      <w:r>
        <w:rPr>
          <w:spacing w:val="-41"/>
        </w:rPr>
        <w:t> </w:t>
      </w:r>
      <w:r>
        <w:rPr/>
        <w:t>at</w:t>
      </w:r>
      <w:r>
        <w:rPr>
          <w:spacing w:val="-42"/>
        </w:rPr>
        <w:t> </w:t>
      </w:r>
      <w:r>
        <w:rPr/>
        <w:t>the</w:t>
      </w:r>
      <w:r>
        <w:rPr>
          <w:spacing w:val="-42"/>
        </w:rPr>
        <w:t> </w:t>
      </w:r>
      <w:r>
        <w:rPr/>
        <w:t>subject</w:t>
      </w:r>
      <w:r>
        <w:rPr>
          <w:spacing w:val="-41"/>
        </w:rPr>
        <w:t> </w:t>
      </w:r>
      <w:r>
        <w:rPr/>
        <w:t>property</w:t>
      </w:r>
      <w:r>
        <w:rPr>
          <w:spacing w:val="-41"/>
        </w:rPr>
        <w:t> </w:t>
      </w:r>
      <w:r>
        <w:rPr/>
        <w:t>in</w:t>
      </w:r>
      <w:r>
        <w:rPr>
          <w:spacing w:val="-42"/>
        </w:rPr>
        <w:t> </w:t>
      </w:r>
      <w:r>
        <w:rPr/>
        <w:t>the</w:t>
      </w:r>
      <w:r>
        <w:rPr>
          <w:spacing w:val="-41"/>
        </w:rPr>
        <w:t> </w:t>
      </w:r>
      <w:r>
        <w:rPr/>
        <w:t>completed blocks would be leased by end of FY</w:t>
      </w:r>
      <w:r>
        <w:rPr>
          <w:spacing w:val="-20"/>
        </w:rPr>
        <w:t> </w:t>
      </w:r>
      <w:r>
        <w:rPr/>
        <w:t>2021.</w:t>
      </w:r>
    </w:p>
    <w:p>
      <w:pPr>
        <w:spacing w:after="0" w:line="319" w:lineRule="auto"/>
        <w:jc w:val="both"/>
        <w:sectPr>
          <w:pgSz w:w="11910" w:h="16840"/>
          <w:pgMar w:header="720" w:footer="921" w:top="1660" w:bottom="1120" w:left="500" w:right="480"/>
        </w:sectPr>
      </w:pPr>
    </w:p>
    <w:p>
      <w:pPr>
        <w:spacing w:before="75"/>
        <w:ind w:left="211" w:right="0" w:firstLine="0"/>
        <w:jc w:val="left"/>
        <w:rPr>
          <w:sz w:val="20"/>
        </w:rPr>
      </w:pPr>
      <w:r>
        <w:rPr/>
        <w:drawing>
          <wp:anchor distT="0" distB="0" distL="0" distR="0" allowOverlap="1" layoutInCell="1" locked="0" behindDoc="0" simplePos="0" relativeHeight="783">
            <wp:simplePos x="0" y="0"/>
            <wp:positionH relativeFrom="page">
              <wp:posOffset>832485</wp:posOffset>
            </wp:positionH>
            <wp:positionV relativeFrom="paragraph">
              <wp:posOffset>283078</wp:posOffset>
            </wp:positionV>
            <wp:extent cx="9725902" cy="79248"/>
            <wp:effectExtent l="0" t="0" r="0" b="0"/>
            <wp:wrapTopAndBottom/>
            <wp:docPr id="187" name="image78.png"/>
            <wp:cNvGraphicFramePr>
              <a:graphicFrameLocks noChangeAspect="1"/>
            </wp:cNvGraphicFramePr>
            <a:graphic>
              <a:graphicData uri="http://schemas.openxmlformats.org/drawingml/2006/picture">
                <pic:pic>
                  <pic:nvPicPr>
                    <pic:cNvPr id="188" name="image78.png"/>
                    <pic:cNvPicPr/>
                  </pic:nvPicPr>
                  <pic:blipFill>
                    <a:blip r:embed="rId106" cstate="print"/>
                    <a:stretch>
                      <a:fillRect/>
                    </a:stretch>
                  </pic:blipFill>
                  <pic:spPr>
                    <a:xfrm>
                      <a:off x="0" y="0"/>
                      <a:ext cx="9725902" cy="79248"/>
                    </a:xfrm>
                    <a:prstGeom prst="rect">
                      <a:avLst/>
                    </a:prstGeom>
                  </pic:spPr>
                </pic:pic>
              </a:graphicData>
            </a:graphic>
          </wp:anchor>
        </w:drawing>
      </w:r>
      <w:r>
        <w:rPr>
          <w:color w:val="BEBEBE"/>
          <w:sz w:val="20"/>
        </w:rPr>
        <w:t>EMBASSY OFFICE PARKS MANAGEMENT SERVICES PRIVATE LIMITED | EMBASSY OFFICE PARKS REIT</w:t>
      </w:r>
    </w:p>
    <w:p>
      <w:pPr>
        <w:pStyle w:val="BodyText"/>
        <w:spacing w:before="8"/>
        <w:rPr>
          <w:sz w:val="29"/>
        </w:rPr>
      </w:pPr>
    </w:p>
    <w:p>
      <w:pPr>
        <w:pStyle w:val="ListParagraph"/>
        <w:numPr>
          <w:ilvl w:val="3"/>
          <w:numId w:val="53"/>
        </w:numPr>
        <w:tabs>
          <w:tab w:pos="1076" w:val="left" w:leader="none"/>
        </w:tabs>
        <w:spacing w:line="240" w:lineRule="auto" w:before="0" w:after="0"/>
        <w:ind w:left="1075" w:right="0" w:hanging="865"/>
        <w:jc w:val="both"/>
        <w:rPr>
          <w:i/>
          <w:sz w:val="20"/>
        </w:rPr>
      </w:pPr>
      <w:r>
        <w:rPr>
          <w:i/>
          <w:color w:val="008000"/>
          <w:sz w:val="20"/>
        </w:rPr>
        <w:t>Under-Construction/ Proposed</w:t>
      </w:r>
      <w:r>
        <w:rPr>
          <w:i/>
          <w:color w:val="008000"/>
          <w:spacing w:val="-8"/>
          <w:sz w:val="20"/>
        </w:rPr>
        <w:t> </w:t>
      </w:r>
      <w:r>
        <w:rPr>
          <w:i/>
          <w:color w:val="008000"/>
          <w:sz w:val="20"/>
        </w:rPr>
        <w:t>Blocks</w:t>
      </w:r>
    </w:p>
    <w:p>
      <w:pPr>
        <w:pStyle w:val="BodyText"/>
        <w:spacing w:line="321" w:lineRule="auto" w:before="76"/>
        <w:ind w:left="778" w:right="1679"/>
        <w:jc w:val="both"/>
      </w:pPr>
      <w:r>
        <w:rPr/>
        <w:t>The</w:t>
      </w:r>
      <w:r>
        <w:rPr>
          <w:spacing w:val="-13"/>
        </w:rPr>
        <w:t> </w:t>
      </w:r>
      <w:r>
        <w:rPr/>
        <w:t>absorption</w:t>
      </w:r>
      <w:r>
        <w:rPr>
          <w:spacing w:val="-12"/>
        </w:rPr>
        <w:t> </w:t>
      </w:r>
      <w:r>
        <w:rPr/>
        <w:t>period</w:t>
      </w:r>
      <w:r>
        <w:rPr>
          <w:spacing w:val="-11"/>
        </w:rPr>
        <w:t> </w:t>
      </w:r>
      <w:r>
        <w:rPr/>
        <w:t>assumed</w:t>
      </w:r>
      <w:r>
        <w:rPr>
          <w:spacing w:val="-13"/>
        </w:rPr>
        <w:t> </w:t>
      </w:r>
      <w:r>
        <w:rPr/>
        <w:t>for</w:t>
      </w:r>
      <w:r>
        <w:rPr>
          <w:spacing w:val="-12"/>
        </w:rPr>
        <w:t> </w:t>
      </w:r>
      <w:r>
        <w:rPr/>
        <w:t>the</w:t>
      </w:r>
      <w:r>
        <w:rPr>
          <w:spacing w:val="-12"/>
        </w:rPr>
        <w:t> </w:t>
      </w:r>
      <w:r>
        <w:rPr/>
        <w:t>subject</w:t>
      </w:r>
      <w:r>
        <w:rPr>
          <w:spacing w:val="-11"/>
        </w:rPr>
        <w:t> </w:t>
      </w:r>
      <w:r>
        <w:rPr/>
        <w:t>development</w:t>
      </w:r>
      <w:r>
        <w:rPr>
          <w:spacing w:val="-12"/>
        </w:rPr>
        <w:t> </w:t>
      </w:r>
      <w:r>
        <w:rPr/>
        <w:t>is</w:t>
      </w:r>
      <w:r>
        <w:rPr>
          <w:spacing w:val="-11"/>
        </w:rPr>
        <w:t> </w:t>
      </w:r>
      <w:r>
        <w:rPr/>
        <w:t>based</w:t>
      </w:r>
      <w:r>
        <w:rPr>
          <w:spacing w:val="-11"/>
        </w:rPr>
        <w:t> </w:t>
      </w:r>
      <w:r>
        <w:rPr/>
        <w:t>on</w:t>
      </w:r>
      <w:r>
        <w:rPr>
          <w:spacing w:val="-13"/>
        </w:rPr>
        <w:t> </w:t>
      </w:r>
      <w:r>
        <w:rPr/>
        <w:t>market</w:t>
      </w:r>
      <w:r>
        <w:rPr>
          <w:spacing w:val="-12"/>
        </w:rPr>
        <w:t> </w:t>
      </w:r>
      <w:r>
        <w:rPr/>
        <w:t>dynamics</w:t>
      </w:r>
      <w:r>
        <w:rPr>
          <w:spacing w:val="-10"/>
        </w:rPr>
        <w:t> </w:t>
      </w:r>
      <w:r>
        <w:rPr/>
        <w:t>and</w:t>
      </w:r>
      <w:r>
        <w:rPr>
          <w:spacing w:val="-12"/>
        </w:rPr>
        <w:t> </w:t>
      </w:r>
      <w:r>
        <w:rPr/>
        <w:t>extent</w:t>
      </w:r>
      <w:r>
        <w:rPr>
          <w:spacing w:val="-11"/>
        </w:rPr>
        <w:t> </w:t>
      </w:r>
      <w:r>
        <w:rPr/>
        <w:t>of</w:t>
      </w:r>
      <w:r>
        <w:rPr>
          <w:spacing w:val="-12"/>
        </w:rPr>
        <w:t> </w:t>
      </w:r>
      <w:r>
        <w:rPr/>
        <w:t>development</w:t>
      </w:r>
      <w:r>
        <w:rPr>
          <w:spacing w:val="-12"/>
        </w:rPr>
        <w:t> </w:t>
      </w:r>
      <w:r>
        <w:rPr/>
        <w:t>in</w:t>
      </w:r>
      <w:r>
        <w:rPr>
          <w:spacing w:val="-12"/>
        </w:rPr>
        <w:t> </w:t>
      </w:r>
      <w:r>
        <w:rPr/>
        <w:t>the</w:t>
      </w:r>
      <w:r>
        <w:rPr>
          <w:spacing w:val="-12"/>
        </w:rPr>
        <w:t> </w:t>
      </w:r>
      <w:r>
        <w:rPr/>
        <w:t>relevant submarket,</w:t>
      </w:r>
      <w:r>
        <w:rPr>
          <w:spacing w:val="-29"/>
        </w:rPr>
        <w:t> </w:t>
      </w:r>
      <w:r>
        <w:rPr/>
        <w:t>nature</w:t>
      </w:r>
      <w:r>
        <w:rPr>
          <w:spacing w:val="-28"/>
        </w:rPr>
        <w:t> </w:t>
      </w:r>
      <w:r>
        <w:rPr/>
        <w:t>of</w:t>
      </w:r>
      <w:r>
        <w:rPr>
          <w:spacing w:val="-28"/>
        </w:rPr>
        <w:t> </w:t>
      </w:r>
      <w:r>
        <w:rPr/>
        <w:t>subject</w:t>
      </w:r>
      <w:r>
        <w:rPr>
          <w:spacing w:val="-28"/>
        </w:rPr>
        <w:t> </w:t>
      </w:r>
      <w:r>
        <w:rPr/>
        <w:t>development,</w:t>
      </w:r>
      <w:r>
        <w:rPr>
          <w:spacing w:val="-28"/>
        </w:rPr>
        <w:t> </w:t>
      </w:r>
      <w:r>
        <w:rPr/>
        <w:t>competing</w:t>
      </w:r>
      <w:r>
        <w:rPr>
          <w:spacing w:val="-27"/>
        </w:rPr>
        <w:t> </w:t>
      </w:r>
      <w:r>
        <w:rPr/>
        <w:t>supply</w:t>
      </w:r>
      <w:r>
        <w:rPr>
          <w:spacing w:val="-28"/>
        </w:rPr>
        <w:t> </w:t>
      </w:r>
      <w:r>
        <w:rPr/>
        <w:t>of</w:t>
      </w:r>
      <w:r>
        <w:rPr>
          <w:spacing w:val="-29"/>
        </w:rPr>
        <w:t> </w:t>
      </w:r>
      <w:r>
        <w:rPr/>
        <w:t>same</w:t>
      </w:r>
      <w:r>
        <w:rPr>
          <w:spacing w:val="-29"/>
        </w:rPr>
        <w:t> </w:t>
      </w:r>
      <w:r>
        <w:rPr/>
        <w:t>nature,</w:t>
      </w:r>
      <w:r>
        <w:rPr>
          <w:spacing w:val="-28"/>
        </w:rPr>
        <w:t> </w:t>
      </w:r>
      <w:r>
        <w:rPr/>
        <w:t>location</w:t>
      </w:r>
      <w:r>
        <w:rPr>
          <w:spacing w:val="-28"/>
        </w:rPr>
        <w:t> </w:t>
      </w:r>
      <w:r>
        <w:rPr/>
        <w:t>within</w:t>
      </w:r>
      <w:r>
        <w:rPr>
          <w:spacing w:val="-29"/>
        </w:rPr>
        <w:t> </w:t>
      </w:r>
      <w:r>
        <w:rPr/>
        <w:t>the</w:t>
      </w:r>
      <w:r>
        <w:rPr>
          <w:spacing w:val="-29"/>
        </w:rPr>
        <w:t> </w:t>
      </w:r>
      <w:r>
        <w:rPr/>
        <w:t>respective</w:t>
      </w:r>
      <w:r>
        <w:rPr>
          <w:spacing w:val="-27"/>
        </w:rPr>
        <w:t> </w:t>
      </w:r>
      <w:r>
        <w:rPr/>
        <w:t>submarket,</w:t>
      </w:r>
      <w:r>
        <w:rPr>
          <w:spacing w:val="-28"/>
        </w:rPr>
        <w:t> </w:t>
      </w:r>
      <w:r>
        <w:rPr/>
        <w:t>etc.</w:t>
      </w:r>
      <w:r>
        <w:rPr>
          <w:spacing w:val="-27"/>
        </w:rPr>
        <w:t> </w:t>
      </w:r>
      <w:r>
        <w:rPr/>
        <w:t>The</w:t>
      </w:r>
      <w:r>
        <w:rPr>
          <w:spacing w:val="-29"/>
        </w:rPr>
        <w:t> </w:t>
      </w:r>
      <w:r>
        <w:rPr/>
        <w:t>table below</w:t>
      </w:r>
      <w:r>
        <w:rPr>
          <w:spacing w:val="-5"/>
        </w:rPr>
        <w:t> </w:t>
      </w:r>
      <w:r>
        <w:rPr/>
        <w:t>highlights</w:t>
      </w:r>
      <w:r>
        <w:rPr>
          <w:spacing w:val="-5"/>
        </w:rPr>
        <w:t> </w:t>
      </w:r>
      <w:r>
        <w:rPr/>
        <w:t>the</w:t>
      </w:r>
      <w:r>
        <w:rPr>
          <w:spacing w:val="-7"/>
        </w:rPr>
        <w:t> </w:t>
      </w:r>
      <w:r>
        <w:rPr/>
        <w:t>absorption</w:t>
      </w:r>
      <w:r>
        <w:rPr>
          <w:spacing w:val="-7"/>
        </w:rPr>
        <w:t> </w:t>
      </w:r>
      <w:r>
        <w:rPr/>
        <w:t>assumptions</w:t>
      </w:r>
      <w:r>
        <w:rPr>
          <w:spacing w:val="-5"/>
        </w:rPr>
        <w:t> </w:t>
      </w:r>
      <w:r>
        <w:rPr/>
        <w:t>adopted</w:t>
      </w:r>
      <w:r>
        <w:rPr>
          <w:spacing w:val="-5"/>
        </w:rPr>
        <w:t> </w:t>
      </w:r>
      <w:r>
        <w:rPr/>
        <w:t>for</w:t>
      </w:r>
      <w:r>
        <w:rPr>
          <w:spacing w:val="-6"/>
        </w:rPr>
        <w:t> </w:t>
      </w:r>
      <w:r>
        <w:rPr/>
        <w:t>the</w:t>
      </w:r>
      <w:r>
        <w:rPr>
          <w:spacing w:val="-7"/>
        </w:rPr>
        <w:t> </w:t>
      </w:r>
      <w:r>
        <w:rPr/>
        <w:t>subject</w:t>
      </w:r>
      <w:r>
        <w:rPr>
          <w:spacing w:val="-6"/>
        </w:rPr>
        <w:t> </w:t>
      </w:r>
      <w:r>
        <w:rPr/>
        <w:t>development:</w:t>
      </w:r>
    </w:p>
    <w:p>
      <w:pPr>
        <w:pStyle w:val="BodyText"/>
        <w:spacing w:before="3"/>
        <w:rPr>
          <w:sz w:val="20"/>
        </w:rPr>
      </w:pPr>
    </w:p>
    <w:p>
      <w:pPr>
        <w:pStyle w:val="BodyText"/>
        <w:ind w:left="211"/>
        <w:rPr>
          <w:sz w:val="20"/>
        </w:rPr>
      </w:pPr>
      <w:r>
        <w:rPr>
          <w:sz w:val="20"/>
        </w:rPr>
        <w:pict>
          <v:group style="width:676.95pt;height:27.05pt;mso-position-horizontal-relative:char;mso-position-vertical-relative:line" coordorigin="0,0" coordsize="13539,541">
            <v:shape style="position:absolute;left:0;top:0;width:13539;height:531" coordorigin="0,0" coordsize="13539,531" path="m3970,32l2928,32,1212,32,1212,32,0,32,0,531,1212,531,1212,531,2928,531,3970,531,3970,32xm3970,0l2957,0,2928,0,1241,0,1212,0,1212,0,0,0,0,29,0,32,1212,32,1212,32,1241,32,2928,32,2957,32,3970,32,3970,29,3970,0xm5012,32l3971,32,3971,531,5012,531,5012,32xm5012,0l3999,0,3971,0,3971,29,3971,32,3999,32,5012,32,5012,29,5012,0xm11035,32l9779,32,8526,32,7271,32,7271,32,6143,32,5012,32,5012,531,6143,531,7271,531,7271,531,8526,531,9779,531,11035,531,11035,32xm11035,0l9808,0,9779,0,8555,0,8526,0,7300,0,7271,0,7271,0,6171,0,6143,0,5041,0,5012,0,5012,29,5012,32,5041,32,6143,32,6171,32,7271,32,7271,32,7300,32,8526,32,8555,32,9779,32,9808,32,11035,32,11035,29,11035,0xm12288,32l11035,32,11035,531,12288,531,12288,32xm12316,0l12288,0,11064,0,11035,0,11035,29,11035,32,11064,32,12288,32,12316,32,12316,29,12316,0xm13538,32l12288,32,12288,531,13538,531,13538,32xm13538,0l12316,0,12316,29,12316,32,13538,32,13538,29,13538,0xe" filled="true" fillcolor="#006a4d" stroked="false">
              <v:path arrowok="t"/>
              <v:fill type="solid"/>
            </v:shape>
            <v:shape style="position:absolute;left:0;top:530;width:13539;height:10" coordorigin="0,531" coordsize="13539,10" path="m2938,531l2928,531,1222,531,1212,531,1212,531,0,531,0,540,1212,540,1212,540,1222,540,2928,540,2938,540,2938,531xm3970,531l2938,531,2938,540,3970,540,3970,531xm3980,531l3971,531,3971,540,3980,540,3980,531xm8536,531l8526,531,7281,531,7271,531,7271,531,6152,531,6143,531,5022,531,5012,531,3980,531,3980,540,5012,540,5022,540,6143,540,6152,540,7271,540,7271,540,7281,540,8526,540,8536,540,8536,531xm9789,531l9779,531,8536,531,8536,540,9779,540,9789,540,9789,531xm11035,531l9789,531,9789,540,11035,540,11035,531xm11044,531l11035,531,11035,540,11044,540,11044,531xm12288,531l11044,531,11044,540,12288,540,12288,531xm12297,531l12288,531,12288,540,12297,540,12297,531xm13538,531l12297,531,12297,540,13538,540,13538,531xe" filled="true" fillcolor="#92d050" stroked="false">
              <v:path arrowok="t"/>
              <v:fill type="solid"/>
            </v:shape>
            <v:shape style="position:absolute;left:196;top:170;width:837;height:219" type="#_x0000_t202" filled="false" stroked="false">
              <v:textbox inset="0,0,0,0">
                <w:txbxContent>
                  <w:p>
                    <w:pPr>
                      <w:spacing w:line="211" w:lineRule="exact" w:before="0"/>
                      <w:ind w:left="0" w:right="0" w:firstLine="0"/>
                      <w:jc w:val="left"/>
                      <w:rPr>
                        <w:rFonts w:ascii="Verdana"/>
                        <w:b/>
                        <w:i/>
                        <w:sz w:val="18"/>
                      </w:rPr>
                    </w:pPr>
                    <w:r>
                      <w:rPr>
                        <w:rFonts w:ascii="Verdana"/>
                        <w:b/>
                        <w:i/>
                        <w:color w:val="FFFFFF"/>
                        <w:w w:val="77"/>
                        <w:sz w:val="18"/>
                      </w:rPr>
                      <w:t>P</w:t>
                    </w:r>
                    <w:r>
                      <w:rPr>
                        <w:rFonts w:ascii="Verdana"/>
                        <w:b/>
                        <w:i/>
                        <w:color w:val="FFFFFF"/>
                        <w:w w:val="89"/>
                        <w:sz w:val="18"/>
                      </w:rPr>
                      <w:t>a</w:t>
                    </w:r>
                    <w:r>
                      <w:rPr>
                        <w:rFonts w:ascii="Verdana"/>
                        <w:b/>
                        <w:i/>
                        <w:color w:val="FFFFFF"/>
                        <w:w w:val="79"/>
                        <w:sz w:val="18"/>
                      </w:rPr>
                      <w:t>r</w:t>
                    </w:r>
                    <w:r>
                      <w:rPr>
                        <w:rFonts w:ascii="Verdana"/>
                        <w:b/>
                        <w:i/>
                        <w:color w:val="FFFFFF"/>
                        <w:spacing w:val="-1"/>
                        <w:w w:val="74"/>
                        <w:sz w:val="18"/>
                      </w:rPr>
                      <w:t>t</w:t>
                    </w:r>
                    <w:r>
                      <w:rPr>
                        <w:rFonts w:ascii="Verdana"/>
                        <w:b/>
                        <w:i/>
                        <w:color w:val="FFFFFF"/>
                        <w:w w:val="80"/>
                        <w:sz w:val="18"/>
                      </w:rPr>
                      <w:t>i</w:t>
                    </w:r>
                    <w:r>
                      <w:rPr>
                        <w:rFonts w:ascii="Verdana"/>
                        <w:b/>
                        <w:i/>
                        <w:color w:val="FFFFFF"/>
                        <w:spacing w:val="1"/>
                        <w:w w:val="80"/>
                        <w:sz w:val="18"/>
                      </w:rPr>
                      <w:t>c</w:t>
                    </w:r>
                    <w:r>
                      <w:rPr>
                        <w:rFonts w:ascii="Verdana"/>
                        <w:b/>
                        <w:i/>
                        <w:smallCaps/>
                        <w:color w:val="FFFFFF"/>
                        <w:spacing w:val="-1"/>
                        <w:w w:val="93"/>
                        <w:sz w:val="18"/>
                      </w:rPr>
                      <w:t>u</w:t>
                    </w:r>
                    <w:r>
                      <w:rPr>
                        <w:rFonts w:ascii="Verdana"/>
                        <w:b/>
                        <w:i/>
                        <w:smallCaps w:val="0"/>
                        <w:color w:val="FFFFFF"/>
                        <w:w w:val="86"/>
                        <w:sz w:val="18"/>
                      </w:rPr>
                      <w:t>la</w:t>
                    </w:r>
                    <w:r>
                      <w:rPr>
                        <w:rFonts w:ascii="Verdana"/>
                        <w:b/>
                        <w:i/>
                        <w:smallCaps w:val="0"/>
                        <w:color w:val="FFFFFF"/>
                        <w:w w:val="79"/>
                        <w:sz w:val="18"/>
                      </w:rPr>
                      <w:t>r</w:t>
                    </w:r>
                  </w:p>
                </w:txbxContent>
              </v:textbox>
              <w10:wrap type="none"/>
            </v:shape>
            <v:shape style="position:absolute;left:1603;top:62;width:951;height:437" type="#_x0000_t202" filled="false" stroked="false">
              <v:textbox inset="0,0,0,0">
                <w:txbxContent>
                  <w:p>
                    <w:pPr>
                      <w:spacing w:line="240" w:lineRule="auto" w:before="0"/>
                      <w:ind w:left="86" w:right="6" w:hanging="87"/>
                      <w:jc w:val="left"/>
                      <w:rPr>
                        <w:rFonts w:ascii="Verdana"/>
                        <w:b/>
                        <w:i/>
                        <w:sz w:val="18"/>
                      </w:rPr>
                    </w:pPr>
                    <w:r>
                      <w:rPr>
                        <w:rFonts w:ascii="Verdana"/>
                        <w:b/>
                        <w:i/>
                        <w:color w:val="FFFFFF"/>
                        <w:w w:val="89"/>
                        <w:sz w:val="18"/>
                      </w:rPr>
                      <w:t>Ab</w:t>
                    </w:r>
                    <w:r>
                      <w:rPr>
                        <w:rFonts w:ascii="Verdana"/>
                        <w:b/>
                        <w:i/>
                        <w:color w:val="FFFFFF"/>
                        <w:spacing w:val="-1"/>
                        <w:w w:val="82"/>
                        <w:sz w:val="18"/>
                      </w:rPr>
                      <w:t>sor</w:t>
                    </w:r>
                    <w:r>
                      <w:rPr>
                        <w:rFonts w:ascii="Verdana"/>
                        <w:b/>
                        <w:i/>
                        <w:color w:val="FFFFFF"/>
                        <w:w w:val="82"/>
                        <w:sz w:val="18"/>
                      </w:rPr>
                      <w:t>p</w:t>
                    </w:r>
                    <w:r>
                      <w:rPr>
                        <w:rFonts w:ascii="Verdana"/>
                        <w:b/>
                        <w:i/>
                        <w:color w:val="FFFFFF"/>
                        <w:spacing w:val="-1"/>
                        <w:w w:val="74"/>
                        <w:sz w:val="18"/>
                      </w:rPr>
                      <w:t>t</w:t>
                    </w:r>
                    <w:r>
                      <w:rPr>
                        <w:rFonts w:ascii="Verdana"/>
                        <w:b/>
                        <w:i/>
                        <w:color w:val="FFFFFF"/>
                        <w:w w:val="84"/>
                        <w:sz w:val="18"/>
                      </w:rPr>
                      <w:t>ion</w:t>
                    </w:r>
                    <w:r>
                      <w:rPr>
                        <w:rFonts w:ascii="Verdana"/>
                        <w:b/>
                        <w:i/>
                        <w:color w:val="FFFFFF"/>
                        <w:w w:val="84"/>
                        <w:sz w:val="18"/>
                      </w:rPr>
                      <w:t> </w:t>
                    </w:r>
                    <w:r>
                      <w:rPr>
                        <w:rFonts w:ascii="Verdana"/>
                        <w:b/>
                        <w:i/>
                        <w:color w:val="FFFFFF"/>
                        <w:spacing w:val="-1"/>
                        <w:w w:val="72"/>
                        <w:sz w:val="18"/>
                      </w:rPr>
                      <w:t>S</w:t>
                    </w:r>
                    <w:r>
                      <w:rPr>
                        <w:rFonts w:ascii="Verdana"/>
                        <w:b/>
                        <w:i/>
                        <w:color w:val="FFFFFF"/>
                        <w:spacing w:val="1"/>
                        <w:w w:val="80"/>
                        <w:sz w:val="18"/>
                      </w:rPr>
                      <w:t>c</w:t>
                    </w:r>
                    <w:r>
                      <w:rPr>
                        <w:rFonts w:ascii="Verdana"/>
                        <w:b/>
                        <w:i/>
                        <w:color w:val="FFFFFF"/>
                        <w:w w:val="85"/>
                        <w:sz w:val="18"/>
                      </w:rPr>
                      <w:t>h</w:t>
                    </w:r>
                    <w:r>
                      <w:rPr>
                        <w:rFonts w:ascii="Verdana"/>
                        <w:b/>
                        <w:i/>
                        <w:color w:val="FFFFFF"/>
                        <w:w w:val="85"/>
                        <w:sz w:val="18"/>
                      </w:rPr>
                      <w:t>e</w:t>
                    </w:r>
                    <w:r>
                      <w:rPr>
                        <w:rFonts w:ascii="Verdana"/>
                        <w:b/>
                        <w:i/>
                        <w:color w:val="FFFFFF"/>
                        <w:w w:val="85"/>
                        <w:sz w:val="18"/>
                      </w:rPr>
                      <w:t>d</w:t>
                    </w:r>
                    <w:r>
                      <w:rPr>
                        <w:rFonts w:ascii="Verdana"/>
                        <w:b/>
                        <w:i/>
                        <w:smallCaps/>
                        <w:color w:val="FFFFFF"/>
                        <w:spacing w:val="-1"/>
                        <w:w w:val="93"/>
                        <w:sz w:val="18"/>
                      </w:rPr>
                      <w:t>u</w:t>
                    </w:r>
                    <w:r>
                      <w:rPr>
                        <w:rFonts w:ascii="Verdana"/>
                        <w:b/>
                        <w:i/>
                        <w:smallCaps w:val="0"/>
                        <w:color w:val="FFFFFF"/>
                        <w:w w:val="84"/>
                        <w:sz w:val="18"/>
                      </w:rPr>
                      <w:t>le</w:t>
                    </w:r>
                  </w:p>
                </w:txbxContent>
              </v:textbox>
              <w10:wrap type="none"/>
            </v:shape>
            <v:shape style="position:absolute;left:3106;top:170;width:2835;height:219" type="#_x0000_t202" filled="false" stroked="false">
              <v:textbox inset="0,0,0,0">
                <w:txbxContent>
                  <w:p>
                    <w:pPr>
                      <w:tabs>
                        <w:tab w:pos="1042" w:val="left" w:leader="none"/>
                        <w:tab w:pos="2126" w:val="left" w:leader="none"/>
                      </w:tabs>
                      <w:spacing w:line="211" w:lineRule="exact" w:before="0"/>
                      <w:ind w:left="0" w:right="0" w:firstLine="0"/>
                      <w:jc w:val="left"/>
                      <w:rPr>
                        <w:rFonts w:ascii="Verdana"/>
                        <w:b/>
                        <w:i/>
                        <w:sz w:val="18"/>
                      </w:rPr>
                    </w:pPr>
                    <w:r>
                      <w:rPr>
                        <w:rFonts w:ascii="Verdana"/>
                        <w:b/>
                        <w:i/>
                        <w:color w:val="FFFFFF"/>
                        <w:sz w:val="18"/>
                      </w:rPr>
                      <w:t>FY</w:t>
                    </w:r>
                    <w:r>
                      <w:rPr>
                        <w:rFonts w:ascii="Verdana"/>
                        <w:b/>
                        <w:i/>
                        <w:color w:val="FFFFFF"/>
                        <w:spacing w:val="-47"/>
                        <w:sz w:val="18"/>
                      </w:rPr>
                      <w:t> </w:t>
                    </w:r>
                    <w:r>
                      <w:rPr>
                        <w:rFonts w:ascii="Verdana"/>
                        <w:b/>
                        <w:i/>
                        <w:color w:val="FFFFFF"/>
                        <w:sz w:val="18"/>
                      </w:rPr>
                      <w:t>2020</w:t>
                      <w:tab/>
                      <w:t>FY</w:t>
                    </w:r>
                    <w:r>
                      <w:rPr>
                        <w:rFonts w:ascii="Verdana"/>
                        <w:b/>
                        <w:i/>
                        <w:color w:val="FFFFFF"/>
                        <w:spacing w:val="-45"/>
                        <w:sz w:val="18"/>
                      </w:rPr>
                      <w:t> </w:t>
                    </w:r>
                    <w:r>
                      <w:rPr>
                        <w:rFonts w:ascii="Verdana"/>
                        <w:b/>
                        <w:i/>
                        <w:color w:val="FFFFFF"/>
                        <w:sz w:val="18"/>
                      </w:rPr>
                      <w:t>2021</w:t>
                      <w:tab/>
                    </w:r>
                    <w:r>
                      <w:rPr>
                        <w:rFonts w:ascii="Verdana"/>
                        <w:b/>
                        <w:i/>
                        <w:color w:val="FFFFFF"/>
                        <w:w w:val="90"/>
                        <w:sz w:val="18"/>
                      </w:rPr>
                      <w:t>FY</w:t>
                    </w:r>
                    <w:r>
                      <w:rPr>
                        <w:rFonts w:ascii="Verdana"/>
                        <w:b/>
                        <w:i/>
                        <w:color w:val="FFFFFF"/>
                        <w:spacing w:val="-40"/>
                        <w:w w:val="90"/>
                        <w:sz w:val="18"/>
                      </w:rPr>
                      <w:t> </w:t>
                    </w:r>
                    <w:r>
                      <w:rPr>
                        <w:rFonts w:ascii="Verdana"/>
                        <w:b/>
                        <w:i/>
                        <w:color w:val="FFFFFF"/>
                        <w:w w:val="90"/>
                        <w:sz w:val="18"/>
                      </w:rPr>
                      <w:t>2022</w:t>
                    </w:r>
                  </w:p>
                </w:txbxContent>
              </v:textbox>
              <w10:wrap type="none"/>
            </v:shape>
            <v:shape style="position:absolute;left:6363;top:170;width:708;height:219" type="#_x0000_t202" filled="false" stroked="false">
              <v:textbox inset="0,0,0,0">
                <w:txbxContent>
                  <w:p>
                    <w:pPr>
                      <w:spacing w:line="211" w:lineRule="exact" w:before="0"/>
                      <w:ind w:left="0" w:right="0" w:firstLine="0"/>
                      <w:jc w:val="left"/>
                      <w:rPr>
                        <w:rFonts w:ascii="Verdana"/>
                        <w:b/>
                        <w:i/>
                        <w:sz w:val="18"/>
                      </w:rPr>
                    </w:pPr>
                    <w:r>
                      <w:rPr>
                        <w:rFonts w:ascii="Verdana"/>
                        <w:b/>
                        <w:i/>
                        <w:color w:val="FFFFFF"/>
                        <w:w w:val="90"/>
                        <w:sz w:val="18"/>
                      </w:rPr>
                      <w:t>FY</w:t>
                    </w:r>
                    <w:r>
                      <w:rPr>
                        <w:rFonts w:ascii="Verdana"/>
                        <w:b/>
                        <w:i/>
                        <w:color w:val="FFFFFF"/>
                        <w:spacing w:val="-36"/>
                        <w:w w:val="90"/>
                        <w:sz w:val="18"/>
                      </w:rPr>
                      <w:t> </w:t>
                    </w:r>
                    <w:r>
                      <w:rPr>
                        <w:rFonts w:ascii="Verdana"/>
                        <w:b/>
                        <w:i/>
                        <w:color w:val="FFFFFF"/>
                        <w:w w:val="90"/>
                        <w:sz w:val="18"/>
                      </w:rPr>
                      <w:t>2023</w:t>
                    </w:r>
                  </w:p>
                </w:txbxContent>
              </v:textbox>
              <w10:wrap type="none"/>
            </v:shape>
            <v:shape style="position:absolute;left:7554;top:170;width:708;height:219" type="#_x0000_t202" filled="false" stroked="false">
              <v:textbox inset="0,0,0,0">
                <w:txbxContent>
                  <w:p>
                    <w:pPr>
                      <w:spacing w:line="211" w:lineRule="exact" w:before="0"/>
                      <w:ind w:left="0" w:right="0" w:firstLine="0"/>
                      <w:jc w:val="left"/>
                      <w:rPr>
                        <w:rFonts w:ascii="Verdana"/>
                        <w:b/>
                        <w:i/>
                        <w:sz w:val="18"/>
                      </w:rPr>
                    </w:pPr>
                    <w:r>
                      <w:rPr>
                        <w:rFonts w:ascii="Verdana"/>
                        <w:b/>
                        <w:i/>
                        <w:color w:val="FFFFFF"/>
                        <w:w w:val="90"/>
                        <w:sz w:val="18"/>
                      </w:rPr>
                      <w:t>FY</w:t>
                    </w:r>
                    <w:r>
                      <w:rPr>
                        <w:rFonts w:ascii="Verdana"/>
                        <w:b/>
                        <w:i/>
                        <w:color w:val="FFFFFF"/>
                        <w:spacing w:val="-36"/>
                        <w:w w:val="90"/>
                        <w:sz w:val="18"/>
                      </w:rPr>
                      <w:t> </w:t>
                    </w:r>
                    <w:r>
                      <w:rPr>
                        <w:rFonts w:ascii="Verdana"/>
                        <w:b/>
                        <w:i/>
                        <w:color w:val="FFFFFF"/>
                        <w:w w:val="90"/>
                        <w:sz w:val="18"/>
                      </w:rPr>
                      <w:t>2024</w:t>
                    </w:r>
                  </w:p>
                </w:txbxContent>
              </v:textbox>
              <w10:wrap type="none"/>
            </v:shape>
            <v:shape style="position:absolute;left:8809;top:170;width:708;height:219" type="#_x0000_t202" filled="false" stroked="false">
              <v:textbox inset="0,0,0,0">
                <w:txbxContent>
                  <w:p>
                    <w:pPr>
                      <w:spacing w:line="211" w:lineRule="exact" w:before="0"/>
                      <w:ind w:left="0" w:right="0" w:firstLine="0"/>
                      <w:jc w:val="left"/>
                      <w:rPr>
                        <w:rFonts w:ascii="Verdana"/>
                        <w:b/>
                        <w:i/>
                        <w:sz w:val="18"/>
                      </w:rPr>
                    </w:pPr>
                    <w:r>
                      <w:rPr>
                        <w:rFonts w:ascii="Verdana"/>
                        <w:b/>
                        <w:i/>
                        <w:color w:val="FFFFFF"/>
                        <w:w w:val="90"/>
                        <w:sz w:val="18"/>
                      </w:rPr>
                      <w:t>FY</w:t>
                    </w:r>
                    <w:r>
                      <w:rPr>
                        <w:rFonts w:ascii="Verdana"/>
                        <w:b/>
                        <w:i/>
                        <w:color w:val="FFFFFF"/>
                        <w:spacing w:val="-36"/>
                        <w:w w:val="90"/>
                        <w:sz w:val="18"/>
                      </w:rPr>
                      <w:t> </w:t>
                    </w:r>
                    <w:r>
                      <w:rPr>
                        <w:rFonts w:ascii="Verdana"/>
                        <w:b/>
                        <w:i/>
                        <w:color w:val="FFFFFF"/>
                        <w:w w:val="90"/>
                        <w:sz w:val="18"/>
                      </w:rPr>
                      <w:t>2025</w:t>
                    </w:r>
                  </w:p>
                </w:txbxContent>
              </v:textbox>
              <w10:wrap type="none"/>
            </v:shape>
            <v:shape style="position:absolute;left:10062;top:170;width:708;height:219" type="#_x0000_t202" filled="false" stroked="false">
              <v:textbox inset="0,0,0,0">
                <w:txbxContent>
                  <w:p>
                    <w:pPr>
                      <w:spacing w:line="211" w:lineRule="exact" w:before="0"/>
                      <w:ind w:left="0" w:right="0" w:firstLine="0"/>
                      <w:jc w:val="left"/>
                      <w:rPr>
                        <w:rFonts w:ascii="Verdana"/>
                        <w:b/>
                        <w:i/>
                        <w:sz w:val="18"/>
                      </w:rPr>
                    </w:pPr>
                    <w:r>
                      <w:rPr>
                        <w:rFonts w:ascii="Verdana"/>
                        <w:b/>
                        <w:i/>
                        <w:color w:val="FFFFFF"/>
                        <w:w w:val="90"/>
                        <w:sz w:val="18"/>
                      </w:rPr>
                      <w:t>FY</w:t>
                    </w:r>
                    <w:r>
                      <w:rPr>
                        <w:rFonts w:ascii="Verdana"/>
                        <w:b/>
                        <w:i/>
                        <w:color w:val="FFFFFF"/>
                        <w:spacing w:val="-36"/>
                        <w:w w:val="90"/>
                        <w:sz w:val="18"/>
                      </w:rPr>
                      <w:t> </w:t>
                    </w:r>
                    <w:r>
                      <w:rPr>
                        <w:rFonts w:ascii="Verdana"/>
                        <w:b/>
                        <w:i/>
                        <w:color w:val="FFFFFF"/>
                        <w:w w:val="90"/>
                        <w:sz w:val="18"/>
                      </w:rPr>
                      <w:t>2026</w:t>
                    </w:r>
                  </w:p>
                </w:txbxContent>
              </v:textbox>
              <w10:wrap type="none"/>
            </v:shape>
            <v:shape style="position:absolute;left:11318;top:170;width:708;height:219" type="#_x0000_t202" filled="false" stroked="false">
              <v:textbox inset="0,0,0,0">
                <w:txbxContent>
                  <w:p>
                    <w:pPr>
                      <w:spacing w:line="211" w:lineRule="exact" w:before="0"/>
                      <w:ind w:left="0" w:right="0" w:firstLine="0"/>
                      <w:jc w:val="left"/>
                      <w:rPr>
                        <w:rFonts w:ascii="Verdana"/>
                        <w:b/>
                        <w:i/>
                        <w:sz w:val="18"/>
                      </w:rPr>
                    </w:pPr>
                    <w:r>
                      <w:rPr>
                        <w:rFonts w:ascii="Verdana"/>
                        <w:b/>
                        <w:i/>
                        <w:color w:val="FFFFFF"/>
                        <w:w w:val="90"/>
                        <w:sz w:val="18"/>
                      </w:rPr>
                      <w:t>FY</w:t>
                    </w:r>
                    <w:r>
                      <w:rPr>
                        <w:rFonts w:ascii="Verdana"/>
                        <w:b/>
                        <w:i/>
                        <w:color w:val="FFFFFF"/>
                        <w:spacing w:val="-36"/>
                        <w:w w:val="90"/>
                        <w:sz w:val="18"/>
                      </w:rPr>
                      <w:t> </w:t>
                    </w:r>
                    <w:r>
                      <w:rPr>
                        <w:rFonts w:ascii="Verdana"/>
                        <w:b/>
                        <w:i/>
                        <w:color w:val="FFFFFF"/>
                        <w:w w:val="90"/>
                        <w:sz w:val="18"/>
                      </w:rPr>
                      <w:t>2027</w:t>
                    </w:r>
                  </w:p>
                </w:txbxContent>
              </v:textbox>
              <w10:wrap type="none"/>
            </v:shape>
            <v:shape style="position:absolute;left:12702;top:170;width:440;height:219" type="#_x0000_t202" filled="false" stroked="false">
              <v:textbox inset="0,0,0,0">
                <w:txbxContent>
                  <w:p>
                    <w:pPr>
                      <w:spacing w:line="211" w:lineRule="exact" w:before="0"/>
                      <w:ind w:left="0" w:right="0" w:firstLine="0"/>
                      <w:jc w:val="left"/>
                      <w:rPr>
                        <w:rFonts w:ascii="Verdana"/>
                        <w:b/>
                        <w:i/>
                        <w:sz w:val="18"/>
                      </w:rPr>
                    </w:pPr>
                    <w:r>
                      <w:rPr>
                        <w:rFonts w:ascii="Verdana"/>
                        <w:b/>
                        <w:i/>
                        <w:color w:val="FFFFFF"/>
                        <w:w w:val="80"/>
                        <w:sz w:val="18"/>
                      </w:rPr>
                      <w:t>Total</w:t>
                    </w:r>
                  </w:p>
                </w:txbxContent>
              </v:textbox>
              <w10:wrap type="none"/>
            </v:shape>
          </v:group>
        </w:pict>
      </w:r>
      <w:r>
        <w:rPr>
          <w:sz w:val="20"/>
        </w:rPr>
      </w:r>
    </w:p>
    <w:p>
      <w:pPr>
        <w:spacing w:after="0"/>
        <w:rPr>
          <w:sz w:val="20"/>
        </w:rPr>
        <w:sectPr>
          <w:headerReference w:type="default" r:id="rId189"/>
          <w:footerReference w:type="default" r:id="rId190"/>
          <w:pgSz w:w="16840" w:h="11910" w:orient="landscape"/>
          <w:pgMar w:header="0" w:footer="504" w:top="640" w:bottom="700" w:left="1200" w:right="200"/>
        </w:sectPr>
      </w:pPr>
    </w:p>
    <w:p>
      <w:pPr>
        <w:spacing w:line="676" w:lineRule="auto" w:before="146"/>
        <w:ind w:left="509" w:right="28" w:firstLine="4"/>
        <w:jc w:val="both"/>
        <w:rPr>
          <w:sz w:val="18"/>
        </w:rPr>
      </w:pPr>
      <w:r>
        <w:rPr>
          <w:sz w:val="18"/>
        </w:rPr>
        <w:t>Hudson </w:t>
      </w:r>
      <w:r>
        <w:rPr>
          <w:w w:val="105"/>
          <w:sz w:val="18"/>
        </w:rPr>
        <w:t>Ganges Block</w:t>
      </w:r>
      <w:r>
        <w:rPr>
          <w:spacing w:val="-21"/>
          <w:w w:val="105"/>
          <w:sz w:val="18"/>
        </w:rPr>
        <w:t> </w:t>
      </w:r>
      <w:r>
        <w:rPr>
          <w:w w:val="105"/>
          <w:sz w:val="18"/>
        </w:rPr>
        <w:t>4</w:t>
      </w:r>
    </w:p>
    <w:p>
      <w:pPr>
        <w:spacing w:before="4"/>
        <w:ind w:left="528" w:right="0" w:firstLine="0"/>
        <w:jc w:val="both"/>
        <w:rPr>
          <w:sz w:val="18"/>
        </w:rPr>
      </w:pPr>
      <w:r>
        <w:rPr>
          <w:w w:val="105"/>
          <w:sz w:val="18"/>
        </w:rPr>
        <w:t>Block</w:t>
      </w:r>
      <w:r>
        <w:rPr>
          <w:spacing w:val="-35"/>
          <w:w w:val="105"/>
          <w:sz w:val="18"/>
        </w:rPr>
        <w:t> </w:t>
      </w:r>
      <w:r>
        <w:rPr>
          <w:w w:val="105"/>
          <w:sz w:val="18"/>
        </w:rPr>
        <w:t>9</w:t>
      </w:r>
    </w:p>
    <w:p>
      <w:pPr>
        <w:spacing w:line="596" w:lineRule="exact" w:before="71"/>
        <w:ind w:left="588" w:right="0" w:hanging="113"/>
        <w:jc w:val="both"/>
        <w:rPr>
          <w:sz w:val="18"/>
        </w:rPr>
      </w:pPr>
      <w:r>
        <w:rPr>
          <w:w w:val="105"/>
          <w:sz w:val="18"/>
        </w:rPr>
        <w:t>Block</w:t>
      </w:r>
      <w:r>
        <w:rPr>
          <w:spacing w:val="-20"/>
          <w:w w:val="105"/>
          <w:sz w:val="18"/>
        </w:rPr>
        <w:t> </w:t>
      </w:r>
      <w:r>
        <w:rPr>
          <w:spacing w:val="-10"/>
          <w:w w:val="105"/>
          <w:sz w:val="18"/>
        </w:rPr>
        <w:t>10 </w:t>
      </w:r>
      <w:r>
        <w:rPr>
          <w:w w:val="105"/>
          <w:sz w:val="18"/>
        </w:rPr>
        <w:t>Volga</w:t>
      </w:r>
    </w:p>
    <w:p>
      <w:pPr>
        <w:tabs>
          <w:tab w:pos="2309" w:val="left" w:leader="none"/>
          <w:tab w:pos="2429" w:val="left" w:leader="none"/>
          <w:tab w:pos="3351" w:val="left" w:leader="none"/>
          <w:tab w:pos="3471" w:val="left" w:leader="none"/>
          <w:tab w:pos="4436" w:val="left" w:leader="none"/>
          <w:tab w:pos="4556" w:val="left" w:leader="none"/>
          <w:tab w:pos="5374" w:val="left" w:leader="none"/>
          <w:tab w:pos="5427" w:val="left" w:leader="none"/>
          <w:tab w:pos="6618" w:val="left" w:leader="none"/>
          <w:tab w:pos="8012" w:val="left" w:leader="none"/>
          <w:tab w:pos="8132" w:val="left" w:leader="none"/>
          <w:tab w:pos="9266" w:val="left" w:leader="none"/>
          <w:tab w:pos="9386" w:val="left" w:leader="none"/>
          <w:tab w:pos="10521" w:val="left" w:leader="none"/>
          <w:tab w:pos="10641" w:val="left" w:leader="none"/>
          <w:tab w:pos="11579" w:val="left" w:leader="none"/>
        </w:tabs>
        <w:spacing w:line="331" w:lineRule="auto" w:before="2"/>
        <w:ind w:left="384" w:right="1965" w:firstLine="2"/>
        <w:jc w:val="center"/>
        <w:rPr>
          <w:sz w:val="18"/>
        </w:rPr>
      </w:pPr>
      <w:r>
        <w:rPr/>
        <w:br w:type="column"/>
      </w:r>
      <w:r>
        <w:rPr>
          <w:sz w:val="18"/>
        </w:rPr>
        <w:t>Percentage</w:t>
      </w:r>
      <w:r>
        <w:rPr>
          <w:spacing w:val="-20"/>
          <w:sz w:val="18"/>
        </w:rPr>
        <w:t> </w:t>
      </w:r>
      <w:r>
        <w:rPr>
          <w:sz w:val="18"/>
        </w:rPr>
        <w:t>(%)</w:t>
        <w:tab/>
        <w:t>-</w:t>
        <w:tab/>
        <w:tab/>
        <w:t>-</w:t>
        <w:tab/>
        <w:tab/>
        <w:t>-</w:t>
        <w:tab/>
        <w:tab/>
        <w:tab/>
        <w:t>80%</w:t>
        <w:tab/>
        <w:t>20%</w:t>
        <w:tab/>
        <w:t>-</w:t>
        <w:tab/>
        <w:tab/>
        <w:t>-</w:t>
        <w:tab/>
        <w:tab/>
        <w:t>-</w:t>
        <w:tab/>
        <w:tab/>
        <w:t>100% Leasable</w:t>
      </w:r>
      <w:r>
        <w:rPr>
          <w:spacing w:val="-17"/>
          <w:sz w:val="18"/>
        </w:rPr>
        <w:t> </w:t>
      </w:r>
      <w:r>
        <w:rPr>
          <w:sz w:val="18"/>
        </w:rPr>
        <w:t>Area</w:t>
      </w:r>
      <w:r>
        <w:rPr>
          <w:spacing w:val="-15"/>
          <w:sz w:val="18"/>
        </w:rPr>
        <w:t> </w:t>
      </w:r>
      <w:r>
        <w:rPr>
          <w:sz w:val="18"/>
        </w:rPr>
        <w:t>(sf)</w:t>
        <w:tab/>
        <w:tab/>
        <w:t>-</w:t>
        <w:tab/>
        <w:tab/>
        <w:t>-</w:t>
        <w:tab/>
        <w:tab/>
        <w:t>-</w:t>
        <w:tab/>
        <w:t>366,542</w:t>
        <w:tab/>
        <w:t>91,635</w:t>
        <w:tab/>
        <w:tab/>
        <w:t>-</w:t>
        <w:tab/>
        <w:tab/>
        <w:t>-</w:t>
        <w:tab/>
        <w:tab/>
        <w:t>-</w:t>
        <w:tab/>
      </w:r>
      <w:r>
        <w:rPr>
          <w:spacing w:val="-4"/>
          <w:sz w:val="18"/>
        </w:rPr>
        <w:t>458,177</w:t>
      </w:r>
    </w:p>
    <w:p>
      <w:pPr>
        <w:tabs>
          <w:tab w:pos="2309" w:val="left" w:leader="none"/>
          <w:tab w:pos="2429" w:val="left" w:leader="none"/>
          <w:tab w:pos="3351" w:val="left" w:leader="none"/>
          <w:tab w:pos="3471" w:val="left" w:leader="none"/>
          <w:tab w:pos="4297" w:val="left" w:leader="none"/>
          <w:tab w:pos="5374" w:val="left" w:leader="none"/>
          <w:tab w:pos="5427" w:val="left" w:leader="none"/>
          <w:tab w:pos="6757" w:val="left" w:leader="none"/>
          <w:tab w:pos="6877" w:val="left" w:leader="none"/>
          <w:tab w:pos="8012" w:val="left" w:leader="none"/>
          <w:tab w:pos="8132" w:val="left" w:leader="none"/>
          <w:tab w:pos="9266" w:val="left" w:leader="none"/>
          <w:tab w:pos="9386" w:val="left" w:leader="none"/>
          <w:tab w:pos="10521" w:val="left" w:leader="none"/>
          <w:tab w:pos="10641" w:val="left" w:leader="none"/>
          <w:tab w:pos="11579" w:val="left" w:leader="none"/>
        </w:tabs>
        <w:spacing w:line="333" w:lineRule="auto" w:before="12"/>
        <w:ind w:left="384" w:right="1965" w:firstLine="2"/>
        <w:jc w:val="center"/>
        <w:rPr>
          <w:sz w:val="18"/>
        </w:rPr>
      </w:pPr>
      <w:r>
        <w:rPr/>
        <w:pict>
          <v:shape style="position:absolute;margin-left:70.560005pt;margin-top:-1.869327pt;width:676.95pt;height:.5pt;mso-position-horizontal-relative:page;mso-position-vertical-relative:paragraph;z-index:-34490368" coordorigin="1411,-37" coordsize="13539,10" path="m4349,-37l4340,-37,2633,-37,2624,-37,2624,-37,1411,-37,1411,-28,2624,-28,2624,-28,2633,-28,4340,-28,4349,-28,4349,-37xm5382,-37l4349,-37,4349,-28,5382,-28,5382,-37xm5391,-37l5382,-37,5382,-28,5391,-28,5391,-37xm9947,-37l9937,-37,8692,-37,8682,-37,8682,-37,7563,-37,7554,-37,6433,-37,6423,-37,5391,-37,5391,-28,6423,-28,6433,-28,7554,-28,7563,-28,8682,-28,8682,-28,8692,-28,9937,-28,9947,-28,9947,-37xm11200,-37l11190,-37,9947,-37,9947,-28,11190,-28,11200,-28,11200,-37xm12446,-37l11200,-37,11200,-28,12446,-28,12446,-37xm12456,-37l12446,-37,12446,-28,12456,-28,12456,-37xm13699,-37l12456,-37,12456,-28,13699,-28,13699,-37xm13708,-37l13699,-37,13699,-28,13708,-28,13708,-37xm14950,-37l13708,-37,13708,-28,14950,-28,14950,-37xe" filled="true" fillcolor="#92d050" stroked="false">
            <v:path arrowok="t"/>
            <v:fill type="solid"/>
            <w10:wrap type="none"/>
          </v:shape>
        </w:pict>
      </w:r>
      <w:r>
        <w:rPr/>
        <w:pict>
          <v:shape style="position:absolute;margin-left:70.560005pt;margin-top:27.650675pt;width:676.95pt;height:.5pt;mso-position-horizontal-relative:page;mso-position-vertical-relative:paragraph;z-index:-34489856" coordorigin="1411,553" coordsize="13539,10" path="m4349,553l4340,553,2633,553,2624,553,2624,553,1411,553,1411,563,2624,563,2624,563,2633,563,4340,563,4349,563,4349,553xm5382,553l4349,553,4349,563,5382,563,5382,553xm5391,553l5382,553,5382,563,5391,563,5391,553xm9947,553l9937,553,8692,553,8682,553,8682,553,7563,553,7554,553,6433,553,6423,553,5391,553,5391,563,6423,563,6433,563,7554,563,7563,563,8682,563,8682,563,8692,563,9937,563,9947,563,9947,553xm11200,553l11190,553,9947,553,9947,563,11190,563,11200,563,11200,553xm12446,553l11200,553,11200,563,12446,563,12446,553xm12456,553l12446,553,12446,563,12456,563,12456,553xm13699,553l12456,553,12456,563,13699,563,13699,553xm13708,553l13699,553,13699,563,13708,563,13708,553xm14950,553l13708,553,13708,563,14950,563,14950,553xe" filled="true" fillcolor="#92d050" stroked="false">
            <v:path arrowok="t"/>
            <v:fill type="solid"/>
            <w10:wrap type="none"/>
          </v:shape>
        </w:pict>
      </w:r>
      <w:r>
        <w:rPr>
          <w:sz w:val="18"/>
        </w:rPr>
        <w:t>Percentage</w:t>
      </w:r>
      <w:r>
        <w:rPr>
          <w:spacing w:val="-20"/>
          <w:sz w:val="18"/>
        </w:rPr>
        <w:t> </w:t>
      </w:r>
      <w:r>
        <w:rPr>
          <w:sz w:val="18"/>
        </w:rPr>
        <w:t>(%)</w:t>
        <w:tab/>
        <w:t>-</w:t>
        <w:tab/>
        <w:tab/>
        <w:t>-</w:t>
        <w:tab/>
        <w:tab/>
        <w:t>20%</w:t>
        <w:tab/>
        <w:tab/>
        <w:t>80%</w:t>
        <w:tab/>
        <w:t>-</w:t>
        <w:tab/>
        <w:tab/>
        <w:t>-</w:t>
        <w:tab/>
        <w:tab/>
        <w:t>-</w:t>
        <w:tab/>
        <w:tab/>
        <w:t>-</w:t>
        <w:tab/>
        <w:tab/>
        <w:t>100% Leasable</w:t>
      </w:r>
      <w:r>
        <w:rPr>
          <w:spacing w:val="-17"/>
          <w:sz w:val="18"/>
        </w:rPr>
        <w:t> </w:t>
      </w:r>
      <w:r>
        <w:rPr>
          <w:sz w:val="18"/>
        </w:rPr>
        <w:t>Area</w:t>
      </w:r>
      <w:r>
        <w:rPr>
          <w:spacing w:val="-16"/>
          <w:sz w:val="18"/>
        </w:rPr>
        <w:t> </w:t>
      </w:r>
      <w:r>
        <w:rPr>
          <w:sz w:val="18"/>
        </w:rPr>
        <w:t>(sf)</w:t>
        <w:tab/>
        <w:tab/>
        <w:t>-</w:t>
        <w:tab/>
        <w:tab/>
        <w:t>-</w:t>
        <w:tab/>
        <w:t>84,488</w:t>
        <w:tab/>
        <w:t>337,950</w:t>
        <w:tab/>
        <w:tab/>
        <w:t>-</w:t>
        <w:tab/>
        <w:tab/>
        <w:t>-</w:t>
        <w:tab/>
        <w:tab/>
        <w:t>-</w:t>
        <w:tab/>
        <w:tab/>
        <w:t>-</w:t>
        <w:tab/>
      </w:r>
      <w:r>
        <w:rPr>
          <w:spacing w:val="-4"/>
          <w:sz w:val="18"/>
        </w:rPr>
        <w:t>422,438</w:t>
      </w:r>
    </w:p>
    <w:p>
      <w:pPr>
        <w:tabs>
          <w:tab w:pos="2306" w:val="left" w:leader="none"/>
          <w:tab w:pos="2429" w:val="left" w:leader="none"/>
          <w:tab w:pos="3349" w:val="left" w:leader="none"/>
          <w:tab w:pos="3471" w:val="left" w:leader="none"/>
          <w:tab w:pos="4433" w:val="left" w:leader="none"/>
          <w:tab w:pos="4556" w:val="left" w:leader="none"/>
          <w:tab w:pos="5564" w:val="left" w:leader="none"/>
          <w:tab w:pos="5686" w:val="left" w:leader="none"/>
          <w:tab w:pos="6565" w:val="left" w:leader="none"/>
          <w:tab w:pos="6755" w:val="left" w:leader="none"/>
          <w:tab w:pos="6877" w:val="left" w:leader="none"/>
          <w:tab w:pos="7871" w:val="left" w:leader="none"/>
          <w:tab w:pos="8012" w:val="left" w:leader="none"/>
          <w:tab w:pos="8132" w:val="left" w:leader="none"/>
          <w:tab w:pos="9124" w:val="left" w:leader="none"/>
          <w:tab w:pos="9266" w:val="left" w:leader="none"/>
          <w:tab w:pos="9386" w:val="left" w:leader="none"/>
          <w:tab w:pos="10518" w:val="left" w:leader="none"/>
          <w:tab w:pos="10641" w:val="left" w:leader="none"/>
          <w:tab w:pos="11577" w:val="left" w:leader="none"/>
        </w:tabs>
        <w:spacing w:line="338" w:lineRule="auto" w:before="9"/>
        <w:ind w:left="384" w:right="1965" w:firstLine="2"/>
        <w:jc w:val="center"/>
        <w:rPr>
          <w:sz w:val="18"/>
        </w:rPr>
      </w:pPr>
      <w:r>
        <w:rPr/>
        <w:pict>
          <v:shape style="position:absolute;margin-left:70.560005pt;margin-top:27.520657pt;width:676.95pt;height:.5pt;mso-position-horizontal-relative:page;mso-position-vertical-relative:paragraph;z-index:-34489344" coordorigin="1411,550" coordsize="13539,10" path="m4349,550l4340,550,2633,550,2624,550,2624,550,1411,550,1411,560,2624,560,2624,560,2633,560,4340,560,4349,560,4349,550xm5382,550l4349,550,4349,560,5382,560,5382,550xm5391,550l5382,550,5382,560,5391,560,5391,550xm9947,550l9937,550,8692,550,8682,550,8682,550,7563,550,7554,550,6433,550,6423,550,5391,550,5391,560,6423,560,6433,560,7554,560,7563,560,8682,560,8682,560,8692,560,9937,560,9947,560,9947,550xm11200,550l11190,550,9947,550,9947,560,11190,560,11200,560,11200,550xm12446,550l11200,550,11200,560,12446,560,12446,550xm12456,550l12446,550,12446,560,12456,560,12456,550xm13699,550l12456,550,12456,560,13699,560,13699,550xm13708,550l13699,550,13699,560,13708,560,13708,550xm14950,550l13708,550,13708,560,14950,560,14950,550xe" filled="true" fillcolor="#92d050" stroked="false">
            <v:path arrowok="t"/>
            <v:fill type="solid"/>
            <w10:wrap type="none"/>
          </v:shape>
        </w:pict>
      </w:r>
      <w:r>
        <w:rPr/>
        <w:pict>
          <v:shape style="position:absolute;margin-left:70.560005pt;margin-top:56.921658pt;width:676.95pt;height:.5pt;mso-position-horizontal-relative:page;mso-position-vertical-relative:paragraph;z-index:-34488832" coordorigin="1411,1138" coordsize="13539,10" path="m4349,1138l4340,1138,2633,1138,2624,1138,2624,1138,1411,1138,1411,1148,2624,1148,2624,1148,2633,1148,4340,1148,4349,1148,4349,1138xm5382,1138l4349,1138,4349,1148,5382,1148,5382,1138xm5391,1138l5382,1138,5382,1148,5391,1148,5391,1138xm9947,1138l9937,1138,8692,1138,8682,1138,8682,1138,7563,1138,7554,1138,6433,1138,6423,1138,5391,1138,5391,1148,6423,1148,6433,1148,7554,1148,7563,1148,8682,1148,8682,1148,8692,1148,9937,1148,9947,1148,9947,1138xm11200,1138l11190,1138,9947,1138,9947,1148,11190,1148,11200,1148,11200,1138xm12446,1138l11200,1138,11200,1148,12446,1148,12446,1138xm12456,1138l12446,1138,12446,1148,12456,1148,12456,1138xm13699,1138l12456,1138,12456,1148,13699,1148,13699,1138xm13708,1138l13699,1138,13699,1148,13708,1148,13708,1138xm14950,1138l13708,1138,13708,1148,14950,1148,14950,1138xe" filled="true" fillcolor="#92d050" stroked="false">
            <v:path arrowok="t"/>
            <v:fill type="solid"/>
            <w10:wrap type="none"/>
          </v:shape>
        </w:pict>
      </w:r>
      <w:r>
        <w:rPr>
          <w:sz w:val="18"/>
        </w:rPr>
        <w:t>Percentage</w:t>
      </w:r>
      <w:r>
        <w:rPr>
          <w:spacing w:val="-20"/>
          <w:sz w:val="18"/>
        </w:rPr>
        <w:t> </w:t>
      </w:r>
      <w:r>
        <w:rPr>
          <w:sz w:val="18"/>
        </w:rPr>
        <w:t>(%)</w:t>
        <w:tab/>
        <w:t>-</w:t>
        <w:tab/>
        <w:tab/>
        <w:t>-</w:t>
        <w:tab/>
        <w:tab/>
        <w:t>-</w:t>
        <w:tab/>
        <w:tab/>
        <w:t>-</w:t>
        <w:tab/>
        <w:tab/>
        <w:t>100%</w:t>
        <w:tab/>
        <w:tab/>
        <w:t>-</w:t>
        <w:tab/>
        <w:tab/>
        <w:tab/>
        <w:t>-</w:t>
        <w:tab/>
        <w:tab/>
        <w:t>-</w:t>
        <w:tab/>
        <w:tab/>
        <w:t>100% Leasable</w:t>
      </w:r>
      <w:r>
        <w:rPr>
          <w:spacing w:val="-17"/>
          <w:sz w:val="18"/>
        </w:rPr>
        <w:t> </w:t>
      </w:r>
      <w:r>
        <w:rPr>
          <w:sz w:val="18"/>
        </w:rPr>
        <w:t>Area</w:t>
      </w:r>
      <w:r>
        <w:rPr>
          <w:spacing w:val="-16"/>
          <w:sz w:val="18"/>
        </w:rPr>
        <w:t> </w:t>
      </w:r>
      <w:r>
        <w:rPr>
          <w:sz w:val="18"/>
        </w:rPr>
        <w:t>(sf)</w:t>
        <w:tab/>
        <w:tab/>
        <w:t>-</w:t>
        <w:tab/>
        <w:tab/>
        <w:t>-</w:t>
        <w:tab/>
        <w:tab/>
        <w:t>-</w:t>
        <w:tab/>
        <w:tab/>
        <w:t>-</w:t>
        <w:tab/>
        <w:t>472,316</w:t>
        <w:tab/>
        <w:tab/>
        <w:tab/>
        <w:t>-</w:t>
        <w:tab/>
        <w:tab/>
        <w:tab/>
        <w:t>-</w:t>
        <w:tab/>
        <w:tab/>
        <w:t>-</w:t>
        <w:tab/>
      </w:r>
      <w:r>
        <w:rPr>
          <w:spacing w:val="-4"/>
          <w:sz w:val="18"/>
        </w:rPr>
        <w:t>472,316 </w:t>
      </w:r>
      <w:r>
        <w:rPr>
          <w:sz w:val="18"/>
        </w:rPr>
        <w:t>Percentage</w:t>
      </w:r>
      <w:r>
        <w:rPr>
          <w:spacing w:val="-20"/>
          <w:sz w:val="18"/>
        </w:rPr>
        <w:t> </w:t>
      </w:r>
      <w:r>
        <w:rPr>
          <w:sz w:val="18"/>
        </w:rPr>
        <w:t>(%)</w:t>
        <w:tab/>
        <w:t>-</w:t>
        <w:tab/>
        <w:tab/>
        <w:t>-</w:t>
        <w:tab/>
        <w:tab/>
        <w:t>-</w:t>
        <w:tab/>
        <w:tab/>
        <w:t>-</w:t>
        <w:tab/>
        <w:tab/>
        <w:tab/>
        <w:t>-</w:t>
        <w:tab/>
        <w:tab/>
        <w:t>70%</w:t>
        <w:tab/>
        <w:t>30%</w:t>
        <w:tab/>
        <w:t>-</w:t>
        <w:tab/>
        <w:tab/>
        <w:t>100% Leasable</w:t>
      </w:r>
      <w:r>
        <w:rPr>
          <w:spacing w:val="-17"/>
          <w:sz w:val="18"/>
        </w:rPr>
        <w:t> </w:t>
      </w:r>
      <w:r>
        <w:rPr>
          <w:sz w:val="18"/>
        </w:rPr>
        <w:t>Area</w:t>
      </w:r>
      <w:r>
        <w:rPr>
          <w:spacing w:val="-16"/>
          <w:sz w:val="18"/>
        </w:rPr>
        <w:t> </w:t>
      </w:r>
      <w:r>
        <w:rPr>
          <w:sz w:val="18"/>
        </w:rPr>
        <w:t>(sf)</w:t>
        <w:tab/>
        <w:tab/>
        <w:t>-</w:t>
        <w:tab/>
        <w:tab/>
        <w:t>-</w:t>
        <w:tab/>
        <w:tab/>
        <w:t>-</w:t>
        <w:tab/>
        <w:tab/>
        <w:t>-</w:t>
        <w:tab/>
        <w:tab/>
        <w:tab/>
        <w:t>-                 684,962           293,555                 -               </w:t>
      </w:r>
      <w:r>
        <w:rPr>
          <w:spacing w:val="45"/>
          <w:sz w:val="18"/>
        </w:rPr>
        <w:t> </w:t>
      </w:r>
      <w:r>
        <w:rPr>
          <w:sz w:val="18"/>
        </w:rPr>
        <w:t>978,517</w:t>
      </w:r>
    </w:p>
    <w:p>
      <w:pPr>
        <w:tabs>
          <w:tab w:pos="2309" w:val="left" w:leader="none"/>
          <w:tab w:pos="2429" w:val="left" w:leader="none"/>
          <w:tab w:pos="3351" w:val="left" w:leader="none"/>
          <w:tab w:pos="3471" w:val="left" w:leader="none"/>
          <w:tab w:pos="4436" w:val="left" w:leader="none"/>
          <w:tab w:pos="4556" w:val="left" w:leader="none"/>
          <w:tab w:pos="5566" w:val="left" w:leader="none"/>
          <w:tab w:pos="5686" w:val="left" w:leader="none"/>
          <w:tab w:pos="6757" w:val="left" w:leader="none"/>
          <w:tab w:pos="6877" w:val="left" w:leader="none"/>
          <w:tab w:pos="8012" w:val="left" w:leader="none"/>
          <w:tab w:pos="8132" w:val="left" w:leader="none"/>
          <w:tab w:pos="9073" w:val="left" w:leader="none"/>
          <w:tab w:pos="9127" w:val="left" w:leader="none"/>
          <w:tab w:pos="10329" w:val="left" w:leader="none"/>
          <w:tab w:pos="10382" w:val="left" w:leader="none"/>
          <w:tab w:pos="11579" w:val="left" w:leader="none"/>
        </w:tabs>
        <w:spacing w:line="333" w:lineRule="auto" w:before="2"/>
        <w:ind w:left="384" w:right="1965" w:firstLine="2"/>
        <w:jc w:val="center"/>
        <w:rPr>
          <w:sz w:val="18"/>
        </w:rPr>
      </w:pPr>
      <w:r>
        <w:rPr/>
        <w:pict>
          <v:shape style="position:absolute;margin-left:70.560005pt;margin-top:27.030661pt;width:676.95pt;height:.5pt;mso-position-horizontal-relative:page;mso-position-vertical-relative:paragraph;z-index:-34488320" coordorigin="1411,541" coordsize="13539,10" path="m4349,541l4340,541,2633,541,2624,541,2624,541,1411,541,1411,550,2624,550,2624,550,2633,550,4340,550,4349,550,4349,541xm5382,541l4349,541,4349,550,5382,550,5382,541xm5391,541l5382,541,5382,550,5391,550,5391,541xm9947,541l9937,541,8692,541,8682,541,8682,541,7563,541,7554,541,6433,541,6423,541,5391,541,5391,550,6423,550,6433,550,7554,550,7563,550,8682,550,8682,550,8692,550,9937,550,9947,550,9947,541xm11200,541l11190,541,9947,541,9947,550,11190,550,11200,550,11200,541xm12446,541l11200,541,11200,550,12446,550,12446,541xm12456,541l12446,541,12446,550,12456,550,12456,541xm13699,541l12456,541,12456,550,13699,550,13699,541xm13708,541l13699,541,13699,550,13708,550,13708,541xm14950,541l13708,541,13708,550,14950,550,14950,541xe" filled="true" fillcolor="#92d050" stroked="false">
            <v:path arrowok="t"/>
            <v:fill type="solid"/>
            <w10:wrap type="none"/>
          </v:shape>
        </w:pict>
      </w:r>
      <w:r>
        <w:rPr>
          <w:sz w:val="18"/>
        </w:rPr>
        <w:t>Percentage</w:t>
      </w:r>
      <w:r>
        <w:rPr>
          <w:spacing w:val="-20"/>
          <w:sz w:val="18"/>
        </w:rPr>
        <w:t> </w:t>
      </w:r>
      <w:r>
        <w:rPr>
          <w:sz w:val="18"/>
        </w:rPr>
        <w:t>(%)</w:t>
        <w:tab/>
        <w:t>-</w:t>
        <w:tab/>
        <w:tab/>
        <w:t>-</w:t>
        <w:tab/>
        <w:tab/>
        <w:t>-</w:t>
        <w:tab/>
        <w:tab/>
        <w:t>-</w:t>
        <w:tab/>
        <w:tab/>
        <w:t>-</w:t>
        <w:tab/>
        <w:tab/>
        <w:t>-</w:t>
        <w:tab/>
        <w:tab/>
        <w:tab/>
        <w:t>70%</w:t>
        <w:tab/>
        <w:tab/>
        <w:t>30%</w:t>
        <w:tab/>
        <w:t>100% Leasable</w:t>
      </w:r>
      <w:r>
        <w:rPr>
          <w:spacing w:val="-17"/>
          <w:sz w:val="18"/>
        </w:rPr>
        <w:t> </w:t>
      </w:r>
      <w:r>
        <w:rPr>
          <w:sz w:val="18"/>
        </w:rPr>
        <w:t>Area</w:t>
      </w:r>
      <w:r>
        <w:rPr>
          <w:spacing w:val="-16"/>
          <w:sz w:val="18"/>
        </w:rPr>
        <w:t> </w:t>
      </w:r>
      <w:r>
        <w:rPr>
          <w:sz w:val="18"/>
        </w:rPr>
        <w:t>(sf)</w:t>
        <w:tab/>
        <w:tab/>
        <w:t>-</w:t>
        <w:tab/>
        <w:tab/>
        <w:t>-</w:t>
        <w:tab/>
        <w:tab/>
        <w:t>-</w:t>
        <w:tab/>
        <w:tab/>
        <w:t>-</w:t>
        <w:tab/>
        <w:tab/>
        <w:t>-</w:t>
        <w:tab/>
        <w:tab/>
        <w:t>-</w:t>
        <w:tab/>
        <w:t>659,228</w:t>
        <w:tab/>
        <w:t>282,526</w:t>
        <w:tab/>
      </w:r>
      <w:r>
        <w:rPr>
          <w:spacing w:val="-4"/>
          <w:sz w:val="18"/>
        </w:rPr>
        <w:t>941,754</w:t>
      </w:r>
    </w:p>
    <w:p>
      <w:pPr>
        <w:tabs>
          <w:tab w:pos="1922" w:val="left" w:leader="none"/>
          <w:tab w:pos="2964" w:val="left" w:leader="none"/>
          <w:tab w:pos="3857" w:val="left" w:leader="none"/>
          <w:tab w:pos="5179" w:val="left" w:leader="none"/>
          <w:tab w:pos="6370" w:val="left" w:leader="none"/>
          <w:tab w:pos="7625" w:val="left" w:leader="none"/>
          <w:tab w:pos="8879" w:val="left" w:leader="none"/>
          <w:tab w:pos="10134" w:val="left" w:leader="none"/>
          <w:tab w:pos="11192" w:val="left" w:leader="none"/>
        </w:tabs>
        <w:spacing w:before="10"/>
        <w:ind w:left="0" w:right="1577" w:firstLine="0"/>
        <w:jc w:val="center"/>
        <w:rPr>
          <w:sz w:val="18"/>
        </w:rPr>
      </w:pPr>
      <w:r>
        <w:rPr>
          <w:sz w:val="18"/>
        </w:rPr>
        <w:t>Percentage</w:t>
      </w:r>
      <w:r>
        <w:rPr>
          <w:spacing w:val="-20"/>
          <w:sz w:val="18"/>
        </w:rPr>
        <w:t> </w:t>
      </w:r>
      <w:r>
        <w:rPr>
          <w:sz w:val="18"/>
        </w:rPr>
        <w:t>(%)</w:t>
        <w:tab/>
        <w:t>-</w:t>
        <w:tab/>
        <w:t>-</w:t>
        <w:tab/>
        <w:t>100%</w:t>
        <w:tab/>
        <w:t>-</w:t>
        <w:tab/>
        <w:t>-</w:t>
        <w:tab/>
        <w:t>-</w:t>
        <w:tab/>
        <w:t>-</w:t>
        <w:tab/>
        <w:t>-</w:t>
        <w:tab/>
        <w:t>100%</w:t>
      </w:r>
    </w:p>
    <w:p>
      <w:pPr>
        <w:tabs>
          <w:tab w:pos="2044" w:val="left" w:leader="none"/>
          <w:tab w:pos="3086" w:val="left" w:leader="none"/>
          <w:tab w:pos="3912" w:val="left" w:leader="none"/>
          <w:tab w:pos="5302" w:val="left" w:leader="none"/>
          <w:tab w:pos="6492" w:val="left" w:leader="none"/>
          <w:tab w:pos="7748" w:val="left" w:leader="none"/>
          <w:tab w:pos="9001" w:val="left" w:leader="none"/>
          <w:tab w:pos="10256" w:val="left" w:leader="none"/>
          <w:tab w:pos="11250" w:val="left" w:leader="none"/>
        </w:tabs>
        <w:spacing w:before="86"/>
        <w:ind w:left="0" w:right="1632" w:firstLine="0"/>
        <w:jc w:val="center"/>
        <w:rPr>
          <w:sz w:val="18"/>
        </w:rPr>
      </w:pPr>
      <w:r>
        <w:rPr>
          <w:sz w:val="18"/>
        </w:rPr>
        <w:t>Leasable</w:t>
      </w:r>
      <w:r>
        <w:rPr>
          <w:spacing w:val="-17"/>
          <w:sz w:val="18"/>
        </w:rPr>
        <w:t> </w:t>
      </w:r>
      <w:r>
        <w:rPr>
          <w:sz w:val="18"/>
        </w:rPr>
        <w:t>Area</w:t>
      </w:r>
      <w:r>
        <w:rPr>
          <w:spacing w:val="-16"/>
          <w:sz w:val="18"/>
        </w:rPr>
        <w:t> </w:t>
      </w:r>
      <w:r>
        <w:rPr>
          <w:sz w:val="18"/>
        </w:rPr>
        <w:t>(sf)</w:t>
        <w:tab/>
        <w:t>-</w:t>
        <w:tab/>
        <w:t>-</w:t>
        <w:tab/>
        <w:t>39,689</w:t>
        <w:tab/>
        <w:t>-</w:t>
        <w:tab/>
        <w:t>-</w:t>
        <w:tab/>
        <w:t>-</w:t>
        <w:tab/>
        <w:t>-</w:t>
        <w:tab/>
        <w:t>-</w:t>
        <w:tab/>
        <w:t>39,689</w:t>
      </w:r>
    </w:p>
    <w:p>
      <w:pPr>
        <w:spacing w:after="0"/>
        <w:jc w:val="center"/>
        <w:rPr>
          <w:sz w:val="18"/>
        </w:rPr>
        <w:sectPr>
          <w:type w:val="continuous"/>
          <w:pgSz w:w="16840" w:h="11910" w:orient="landscape"/>
          <w:pgMar w:top="800" w:bottom="280" w:left="1200" w:right="200"/>
          <w:cols w:num="2" w:equalWidth="0">
            <w:col w:w="1158" w:space="40"/>
            <w:col w:w="14242"/>
          </w:cols>
        </w:sectPr>
      </w:pPr>
    </w:p>
    <w:p>
      <w:pPr>
        <w:pStyle w:val="BodyText"/>
        <w:spacing w:before="9"/>
        <w:rPr>
          <w:sz w:val="3"/>
        </w:rPr>
      </w:pPr>
      <w:r>
        <w:rPr/>
        <w:drawing>
          <wp:anchor distT="0" distB="0" distL="0" distR="0" allowOverlap="1" layoutInCell="1" locked="0" behindDoc="0" simplePos="0" relativeHeight="16136704">
            <wp:simplePos x="0" y="0"/>
            <wp:positionH relativeFrom="page">
              <wp:posOffset>7620634</wp:posOffset>
            </wp:positionH>
            <wp:positionV relativeFrom="page">
              <wp:posOffset>7067651</wp:posOffset>
            </wp:positionV>
            <wp:extent cx="1079500" cy="300457"/>
            <wp:effectExtent l="0" t="0" r="0" b="0"/>
            <wp:wrapNone/>
            <wp:docPr id="189" name="image3.jpeg"/>
            <wp:cNvGraphicFramePr>
              <a:graphicFrameLocks noChangeAspect="1"/>
            </wp:cNvGraphicFramePr>
            <a:graphic>
              <a:graphicData uri="http://schemas.openxmlformats.org/drawingml/2006/picture">
                <pic:pic>
                  <pic:nvPicPr>
                    <pic:cNvPr id="190"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6137216">
            <wp:simplePos x="0" y="0"/>
            <wp:positionH relativeFrom="page">
              <wp:posOffset>8820967</wp:posOffset>
            </wp:positionH>
            <wp:positionV relativeFrom="page">
              <wp:posOffset>6932735</wp:posOffset>
            </wp:positionV>
            <wp:extent cx="909288" cy="433873"/>
            <wp:effectExtent l="0" t="0" r="0" b="0"/>
            <wp:wrapNone/>
            <wp:docPr id="191" name="image4.png"/>
            <wp:cNvGraphicFramePr>
              <a:graphicFrameLocks noChangeAspect="1"/>
            </wp:cNvGraphicFramePr>
            <a:graphic>
              <a:graphicData uri="http://schemas.openxmlformats.org/drawingml/2006/picture">
                <pic:pic>
                  <pic:nvPicPr>
                    <pic:cNvPr id="192" name="image4.png"/>
                    <pic:cNvPicPr/>
                  </pic:nvPicPr>
                  <pic:blipFill>
                    <a:blip r:embed="rId8" cstate="print"/>
                    <a:stretch>
                      <a:fillRect/>
                    </a:stretch>
                  </pic:blipFill>
                  <pic:spPr>
                    <a:xfrm>
                      <a:off x="0" y="0"/>
                      <a:ext cx="909288" cy="433873"/>
                    </a:xfrm>
                    <a:prstGeom prst="rect">
                      <a:avLst/>
                    </a:prstGeom>
                  </pic:spPr>
                </pic:pic>
              </a:graphicData>
            </a:graphic>
          </wp:anchor>
        </w:drawing>
      </w:r>
    </w:p>
    <w:p>
      <w:pPr>
        <w:pStyle w:val="BodyText"/>
        <w:spacing w:line="20" w:lineRule="exact"/>
        <w:ind w:left="211"/>
        <w:rPr>
          <w:sz w:val="2"/>
        </w:rPr>
      </w:pPr>
      <w:r>
        <w:rPr>
          <w:sz w:val="2"/>
        </w:rPr>
        <w:pict>
          <v:group style="width:676.95pt;height:.5pt;mso-position-horizontal-relative:char;mso-position-vertical-relative:line" coordorigin="0,0" coordsize="13539,10">
            <v:shape style="position:absolute;left:0;top:0;width:13539;height:10" coordorigin="0,0" coordsize="13539,10" path="m2938,0l2928,0,1222,0,1212,0,1212,0,0,0,0,10,1212,10,1212,10,1222,10,2928,10,2938,10,2938,0xm3970,0l2938,0,2938,10,3970,10,3970,0xm3980,0l3971,0,3971,10,3980,10,3980,0xm8536,0l8526,0,7281,0,7271,0,7271,0,6152,0,6143,0,5022,0,5012,0,3980,0,3980,10,5012,10,5022,10,6143,10,6152,10,7271,10,7271,10,7281,10,8526,10,8536,10,8536,0xm9789,0l9779,0,8536,0,8536,10,9779,10,9789,10,9789,0xm11035,0l9789,0,9789,10,11035,10,11035,0xm11044,0l11035,0,11035,10,11044,10,11044,0xm12288,0l11044,0,11044,10,12288,10,12288,0xm12297,0l12288,0,12288,10,12297,10,12297,0xm13538,0l12297,0,12297,10,13538,10,13538,0xe" filled="true" fillcolor="#92d050" stroked="false">
              <v:path arrowok="t"/>
              <v:fill type="solid"/>
            </v:shape>
          </v:group>
        </w:pict>
      </w:r>
      <w:r>
        <w:rPr>
          <w:sz w:val="2"/>
        </w:rPr>
      </w:r>
    </w:p>
    <w:p>
      <w:pPr>
        <w:tabs>
          <w:tab w:pos="3540" w:val="left" w:leader="none"/>
          <w:tab w:pos="4582" w:val="left" w:leader="none"/>
          <w:tab w:pos="5667" w:val="left" w:leader="none"/>
          <w:tab w:pos="6744" w:val="left" w:leader="none"/>
          <w:tab w:pos="7935" w:val="left" w:leader="none"/>
          <w:tab w:pos="9190" w:val="left" w:leader="none"/>
          <w:tab w:pos="10444" w:val="left" w:leader="none"/>
          <w:tab w:pos="11646" w:val="left" w:leader="none"/>
          <w:tab w:pos="12897" w:val="left" w:leader="none"/>
        </w:tabs>
        <w:spacing w:before="37"/>
        <w:ind w:left="883" w:right="0" w:firstLine="0"/>
        <w:jc w:val="left"/>
        <w:rPr>
          <w:sz w:val="18"/>
        </w:rPr>
      </w:pPr>
      <w:r>
        <w:rPr/>
        <w:pict>
          <v:shape style="position:absolute;margin-left:70.560005pt;margin-top:14.50067pt;width:676.95pt;height:.5pt;mso-position-horizontal-relative:page;mso-position-vertical-relative:paragraph;z-index:-15321600;mso-wrap-distance-left:0;mso-wrap-distance-right:0" coordorigin="1411,290" coordsize="13539,10" path="m4349,290l4340,290,1411,290,1411,300,4340,300,4349,300,4349,290xm5382,290l4349,290,4349,300,5382,300,5382,290xm5391,290l5382,290,5382,300,5391,300,5391,290xm9947,290l9937,290,8692,290,8682,290,8682,290,7563,290,7554,290,6433,290,6423,290,5391,290,5391,300,6423,300,6433,300,7554,300,7563,300,8682,300,8682,300,8692,300,9937,300,9947,300,9947,290xm11200,290l11190,290,9947,290,9947,300,11190,300,11200,300,11200,290xm12446,290l11200,290,11200,300,12446,300,12446,290xm12456,290l12446,290,12446,300,12456,300,12456,290xm13699,290l12456,290,12456,300,13699,300,13699,290xm13708,290l13699,290,13699,300,13708,300,13708,290xm14950,290l13708,290,13708,300,14950,300,14950,290xe" filled="true" fillcolor="#92d050" stroked="false">
            <v:path arrowok="t"/>
            <v:fill type="solid"/>
            <w10:wrap type="topAndBottom"/>
          </v:shape>
        </w:pict>
      </w:r>
      <w:r>
        <w:rPr>
          <w:w w:val="105"/>
          <w:sz w:val="18"/>
        </w:rPr>
        <w:t>Total</w:t>
      </w:r>
      <w:r>
        <w:rPr>
          <w:spacing w:val="-38"/>
          <w:w w:val="105"/>
          <w:sz w:val="18"/>
        </w:rPr>
        <w:t> </w:t>
      </w:r>
      <w:r>
        <w:rPr>
          <w:w w:val="105"/>
          <w:sz w:val="18"/>
        </w:rPr>
        <w:t>Absorption</w:t>
      </w:r>
      <w:r>
        <w:rPr>
          <w:spacing w:val="-37"/>
          <w:w w:val="105"/>
          <w:sz w:val="18"/>
        </w:rPr>
        <w:t> </w:t>
      </w:r>
      <w:r>
        <w:rPr>
          <w:w w:val="105"/>
          <w:sz w:val="18"/>
        </w:rPr>
        <w:t>(%)</w:t>
        <w:tab/>
        <w:t>0%</w:t>
        <w:tab/>
        <w:t>0%</w:t>
        <w:tab/>
        <w:t>4%</w:t>
        <w:tab/>
        <w:t>25%</w:t>
        <w:tab/>
        <w:t>42%</w:t>
        <w:tab/>
        <w:t>63%</w:t>
        <w:tab/>
        <w:t>91%</w:t>
        <w:tab/>
        <w:t>100%</w:t>
        <w:tab/>
        <w:t>100%</w:t>
      </w:r>
    </w:p>
    <w:p>
      <w:pPr>
        <w:tabs>
          <w:tab w:pos="3607" w:val="left" w:leader="none"/>
          <w:tab w:pos="4649" w:val="left" w:leader="none"/>
          <w:tab w:pos="5441" w:val="left" w:leader="none"/>
          <w:tab w:pos="6572" w:val="left" w:leader="none"/>
          <w:tab w:pos="7683" w:val="left" w:leader="none"/>
          <w:tab w:pos="8938" w:val="left" w:leader="none"/>
          <w:tab w:pos="10191" w:val="left" w:leader="none"/>
          <w:tab w:pos="11447" w:val="left" w:leader="none"/>
          <w:tab w:pos="12697" w:val="left" w:leader="none"/>
        </w:tabs>
        <w:spacing w:before="18" w:after="46"/>
        <w:ind w:left="888" w:right="0" w:firstLine="0"/>
        <w:jc w:val="left"/>
        <w:rPr>
          <w:sz w:val="18"/>
        </w:rPr>
      </w:pPr>
      <w:r>
        <w:rPr>
          <w:sz w:val="18"/>
        </w:rPr>
        <w:t>Total</w:t>
      </w:r>
      <w:r>
        <w:rPr>
          <w:spacing w:val="-26"/>
          <w:sz w:val="18"/>
        </w:rPr>
        <w:t> </w:t>
      </w:r>
      <w:r>
        <w:rPr>
          <w:sz w:val="18"/>
        </w:rPr>
        <w:t>Absorption</w:t>
      </w:r>
      <w:r>
        <w:rPr>
          <w:spacing w:val="-26"/>
          <w:sz w:val="18"/>
        </w:rPr>
        <w:t> </w:t>
      </w:r>
      <w:r>
        <w:rPr>
          <w:sz w:val="18"/>
        </w:rPr>
        <w:t>(sf)</w:t>
        <w:tab/>
        <w:t>0</w:t>
        <w:tab/>
        <w:t>0</w:t>
        <w:tab/>
        <w:t>124,177</w:t>
        <w:tab/>
        <w:t>828,669</w:t>
        <w:tab/>
        <w:t>1,392,620</w:t>
        <w:tab/>
        <w:t>2,077,582</w:t>
        <w:tab/>
        <w:t>3,030,365</w:t>
        <w:tab/>
        <w:t>3,312,891</w:t>
        <w:tab/>
        <w:t>3,312,891</w:t>
      </w:r>
    </w:p>
    <w:p>
      <w:pPr>
        <w:pStyle w:val="BodyText"/>
        <w:spacing w:line="20" w:lineRule="exact"/>
        <w:ind w:left="196"/>
        <w:rPr>
          <w:sz w:val="2"/>
        </w:rPr>
      </w:pPr>
      <w:r>
        <w:rPr>
          <w:sz w:val="2"/>
        </w:rPr>
        <w:pict>
          <v:group style="width:677.65pt;height:.5pt;mso-position-horizontal-relative:char;mso-position-vertical-relative:line" coordorigin="0,0" coordsize="13553,10">
            <v:rect style="position:absolute;left:0;top:0;width:13553;height:10" filled="true" fillcolor="#92d050" stroked="false">
              <v:fill type="solid"/>
            </v:rect>
          </v:group>
        </w:pict>
      </w:r>
      <w:r>
        <w:rPr>
          <w:sz w:val="2"/>
        </w:rPr>
      </w:r>
    </w:p>
    <w:p>
      <w:pPr>
        <w:pStyle w:val="BodyText"/>
        <w:spacing w:before="7"/>
        <w:rPr>
          <w:sz w:val="14"/>
        </w:rPr>
      </w:pPr>
    </w:p>
    <w:p>
      <w:pPr>
        <w:spacing w:before="104"/>
        <w:ind w:left="211" w:right="0" w:firstLine="0"/>
        <w:jc w:val="left"/>
        <w:rPr>
          <w:i/>
          <w:sz w:val="18"/>
        </w:rPr>
      </w:pPr>
      <w:r>
        <w:rPr>
          <w:i/>
          <w:sz w:val="18"/>
        </w:rPr>
        <w:t>Source: Valuer’s assessment</w:t>
      </w:r>
    </w:p>
    <w:p>
      <w:pPr>
        <w:spacing w:after="0"/>
        <w:jc w:val="left"/>
        <w:rPr>
          <w:sz w:val="18"/>
        </w:rPr>
        <w:sectPr>
          <w:type w:val="continuous"/>
          <w:pgSz w:w="16840" w:h="11910" w:orient="landscape"/>
          <w:pgMar w:top="800" w:bottom="280" w:left="1200" w:right="200"/>
        </w:sectPr>
      </w:pPr>
    </w:p>
    <w:p>
      <w:pPr>
        <w:pStyle w:val="BodyText"/>
        <w:spacing w:before="7"/>
        <w:rPr>
          <w:i/>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178" w:id="347"/>
      <w:bookmarkEnd w:id="347"/>
      <w:r>
        <w:rPr/>
      </w:r>
      <w:bookmarkStart w:name="_bookmark178" w:id="348"/>
      <w:bookmarkEnd w:id="348"/>
      <w:r>
        <w:rPr>
          <w:color w:val="1F664D"/>
          <w:w w:val="105"/>
          <w:sz w:val="22"/>
        </w:rPr>
        <w:t>R</w:t>
      </w:r>
      <w:r>
        <w:rPr>
          <w:color w:val="1F664D"/>
          <w:w w:val="105"/>
          <w:sz w:val="22"/>
        </w:rPr>
        <w:t>evenue</w:t>
      </w:r>
      <w:r>
        <w:rPr>
          <w:color w:val="1F664D"/>
          <w:spacing w:val="-4"/>
          <w:w w:val="105"/>
          <w:sz w:val="22"/>
        </w:rPr>
        <w:t> </w:t>
      </w:r>
      <w:r>
        <w:rPr>
          <w:color w:val="1F664D"/>
          <w:w w:val="105"/>
          <w:sz w:val="22"/>
        </w:rPr>
        <w:t>Assumptions</w:t>
      </w:r>
    </w:p>
    <w:p>
      <w:pPr>
        <w:pStyle w:val="BodyText"/>
        <w:spacing w:before="6"/>
        <w:rPr>
          <w:sz w:val="25"/>
        </w:rPr>
      </w:pPr>
    </w:p>
    <w:p>
      <w:pPr>
        <w:pStyle w:val="ListParagraph"/>
        <w:numPr>
          <w:ilvl w:val="3"/>
          <w:numId w:val="54"/>
        </w:numPr>
        <w:tabs>
          <w:tab w:pos="985" w:val="left" w:leader="none"/>
        </w:tabs>
        <w:spacing w:line="240" w:lineRule="auto" w:before="1" w:after="0"/>
        <w:ind w:left="984" w:right="0" w:hanging="865"/>
        <w:jc w:val="left"/>
        <w:rPr>
          <w:i/>
          <w:sz w:val="20"/>
        </w:rPr>
      </w:pPr>
      <w:r>
        <w:rPr>
          <w:i/>
          <w:color w:val="008000"/>
          <w:sz w:val="20"/>
        </w:rPr>
        <w:t>Lease rent</w:t>
      </w:r>
      <w:r>
        <w:rPr>
          <w:i/>
          <w:color w:val="008000"/>
          <w:spacing w:val="-8"/>
          <w:sz w:val="20"/>
        </w:rPr>
        <w:t> </w:t>
      </w:r>
      <w:r>
        <w:rPr>
          <w:i/>
          <w:color w:val="008000"/>
          <w:sz w:val="20"/>
        </w:rPr>
        <w:t>assumptions</w:t>
      </w:r>
    </w:p>
    <w:p>
      <w:pPr>
        <w:pStyle w:val="BodyText"/>
        <w:rPr>
          <w:i/>
        </w:rPr>
      </w:pPr>
    </w:p>
    <w:p>
      <w:pPr>
        <w:pStyle w:val="BodyText"/>
        <w:spacing w:line="321" w:lineRule="auto"/>
        <w:ind w:left="682" w:right="216"/>
        <w:jc w:val="both"/>
      </w:pPr>
      <w:r>
        <w:rPr/>
        <w:t>For</w:t>
      </w:r>
      <w:r>
        <w:rPr>
          <w:spacing w:val="-15"/>
        </w:rPr>
        <w:t> </w:t>
      </w:r>
      <w:r>
        <w:rPr/>
        <w:t>the</w:t>
      </w:r>
      <w:r>
        <w:rPr>
          <w:spacing w:val="-14"/>
        </w:rPr>
        <w:t> </w:t>
      </w:r>
      <w:r>
        <w:rPr/>
        <w:t>purpose</w:t>
      </w:r>
      <w:r>
        <w:rPr>
          <w:spacing w:val="-14"/>
        </w:rPr>
        <w:t> </w:t>
      </w:r>
      <w:r>
        <w:rPr/>
        <w:t>of</w:t>
      </w:r>
      <w:r>
        <w:rPr>
          <w:spacing w:val="-15"/>
        </w:rPr>
        <w:t> </w:t>
      </w:r>
      <w:r>
        <w:rPr/>
        <w:t>this</w:t>
      </w:r>
      <w:r>
        <w:rPr>
          <w:spacing w:val="-10"/>
        </w:rPr>
        <w:t> </w:t>
      </w:r>
      <w:r>
        <w:rPr/>
        <w:t>valuation</w:t>
      </w:r>
      <w:r>
        <w:rPr>
          <w:spacing w:val="-14"/>
        </w:rPr>
        <w:t> </w:t>
      </w:r>
      <w:r>
        <w:rPr/>
        <w:t>exercise,</w:t>
      </w:r>
      <w:r>
        <w:rPr>
          <w:spacing w:val="-14"/>
        </w:rPr>
        <w:t> </w:t>
      </w:r>
      <w:r>
        <w:rPr/>
        <w:t>the</w:t>
      </w:r>
      <w:r>
        <w:rPr>
          <w:spacing w:val="-14"/>
        </w:rPr>
        <w:t> </w:t>
      </w:r>
      <w:r>
        <w:rPr/>
        <w:t>lease</w:t>
      </w:r>
      <w:r>
        <w:rPr>
          <w:spacing w:val="-13"/>
        </w:rPr>
        <w:t> </w:t>
      </w:r>
      <w:r>
        <w:rPr/>
        <w:t>rent</w:t>
      </w:r>
      <w:r>
        <w:rPr>
          <w:spacing w:val="-13"/>
        </w:rPr>
        <w:t> </w:t>
      </w:r>
      <w:r>
        <w:rPr/>
        <w:t>adopted</w:t>
      </w:r>
      <w:r>
        <w:rPr>
          <w:spacing w:val="-15"/>
        </w:rPr>
        <w:t> </w:t>
      </w:r>
      <w:r>
        <w:rPr/>
        <w:t>for</w:t>
      </w:r>
      <w:r>
        <w:rPr>
          <w:spacing w:val="-14"/>
        </w:rPr>
        <w:t> </w:t>
      </w:r>
      <w:r>
        <w:rPr/>
        <w:t>the</w:t>
      </w:r>
      <w:r>
        <w:rPr>
          <w:spacing w:val="-14"/>
        </w:rPr>
        <w:t> </w:t>
      </w:r>
      <w:r>
        <w:rPr/>
        <w:t>area</w:t>
      </w:r>
      <w:r>
        <w:rPr>
          <w:spacing w:val="-14"/>
        </w:rPr>
        <w:t> </w:t>
      </w:r>
      <w:r>
        <w:rPr/>
        <w:t>already</w:t>
      </w:r>
      <w:r>
        <w:rPr>
          <w:spacing w:val="-13"/>
        </w:rPr>
        <w:t> </w:t>
      </w:r>
      <w:r>
        <w:rPr/>
        <w:t>leased</w:t>
      </w:r>
      <w:r>
        <w:rPr>
          <w:spacing w:val="-12"/>
        </w:rPr>
        <w:t> </w:t>
      </w:r>
      <w:r>
        <w:rPr/>
        <w:t>is</w:t>
      </w:r>
      <w:r>
        <w:rPr>
          <w:spacing w:val="-15"/>
        </w:rPr>
        <w:t> </w:t>
      </w:r>
      <w:r>
        <w:rPr/>
        <w:t>based on</w:t>
      </w:r>
      <w:r>
        <w:rPr>
          <w:spacing w:val="-20"/>
        </w:rPr>
        <w:t> </w:t>
      </w:r>
      <w:r>
        <w:rPr/>
        <w:t>the</w:t>
      </w:r>
      <w:r>
        <w:rPr>
          <w:spacing w:val="-19"/>
        </w:rPr>
        <w:t> </w:t>
      </w:r>
      <w:r>
        <w:rPr/>
        <w:t>rent</w:t>
      </w:r>
      <w:r>
        <w:rPr>
          <w:spacing w:val="-19"/>
        </w:rPr>
        <w:t> </w:t>
      </w:r>
      <w:r>
        <w:rPr/>
        <w:t>rolls</w:t>
      </w:r>
      <w:r>
        <w:rPr>
          <w:spacing w:val="-18"/>
        </w:rPr>
        <w:t> </w:t>
      </w:r>
      <w:r>
        <w:rPr/>
        <w:t>shared</w:t>
      </w:r>
      <w:r>
        <w:rPr>
          <w:spacing w:val="-19"/>
        </w:rPr>
        <w:t> </w:t>
      </w:r>
      <w:r>
        <w:rPr/>
        <w:t>by</w:t>
      </w:r>
      <w:r>
        <w:rPr>
          <w:spacing w:val="-18"/>
        </w:rPr>
        <w:t> </w:t>
      </w:r>
      <w:r>
        <w:rPr/>
        <w:t>the</w:t>
      </w:r>
      <w:r>
        <w:rPr>
          <w:spacing w:val="-19"/>
        </w:rPr>
        <w:t> </w:t>
      </w:r>
      <w:r>
        <w:rPr/>
        <w:t>Client.</w:t>
      </w:r>
      <w:r>
        <w:rPr>
          <w:spacing w:val="-19"/>
        </w:rPr>
        <w:t> </w:t>
      </w:r>
      <w:r>
        <w:rPr/>
        <w:t>Further,</w:t>
      </w:r>
      <w:r>
        <w:rPr>
          <w:spacing w:val="-17"/>
        </w:rPr>
        <w:t> </w:t>
      </w:r>
      <w:r>
        <w:rPr/>
        <w:t>the</w:t>
      </w:r>
      <w:r>
        <w:rPr>
          <w:spacing w:val="-20"/>
        </w:rPr>
        <w:t> </w:t>
      </w:r>
      <w:r>
        <w:rPr/>
        <w:t>Valuer</w:t>
      </w:r>
      <w:r>
        <w:rPr>
          <w:spacing w:val="-17"/>
        </w:rPr>
        <w:t> </w:t>
      </w:r>
      <w:r>
        <w:rPr/>
        <w:t>has</w:t>
      </w:r>
      <w:r>
        <w:rPr>
          <w:spacing w:val="-19"/>
        </w:rPr>
        <w:t> </w:t>
      </w:r>
      <w:r>
        <w:rPr/>
        <w:t>undertaken</w:t>
      </w:r>
      <w:r>
        <w:rPr>
          <w:spacing w:val="-16"/>
        </w:rPr>
        <w:t> </w:t>
      </w:r>
      <w:r>
        <w:rPr/>
        <w:t>an</w:t>
      </w:r>
      <w:r>
        <w:rPr>
          <w:spacing w:val="-19"/>
        </w:rPr>
        <w:t> </w:t>
      </w:r>
      <w:r>
        <w:rPr/>
        <w:t>in-depth</w:t>
      </w:r>
      <w:r>
        <w:rPr>
          <w:spacing w:val="-20"/>
        </w:rPr>
        <w:t> </w:t>
      </w:r>
      <w:r>
        <w:rPr/>
        <w:t>market</w:t>
      </w:r>
      <w:r>
        <w:rPr>
          <w:spacing w:val="-18"/>
        </w:rPr>
        <w:t> </w:t>
      </w:r>
      <w:r>
        <w:rPr/>
        <w:t>research exercise</w:t>
      </w:r>
      <w:r>
        <w:rPr>
          <w:spacing w:val="-34"/>
        </w:rPr>
        <w:t> </w:t>
      </w:r>
      <w:r>
        <w:rPr/>
        <w:t>to</w:t>
      </w:r>
      <w:r>
        <w:rPr>
          <w:spacing w:val="-33"/>
        </w:rPr>
        <w:t> </w:t>
      </w:r>
      <w:r>
        <w:rPr/>
        <w:t>assess</w:t>
      </w:r>
      <w:r>
        <w:rPr>
          <w:spacing w:val="-32"/>
        </w:rPr>
        <w:t> </w:t>
      </w:r>
      <w:r>
        <w:rPr/>
        <w:t>the</w:t>
      </w:r>
      <w:r>
        <w:rPr>
          <w:spacing w:val="-35"/>
        </w:rPr>
        <w:t> </w:t>
      </w:r>
      <w:r>
        <w:rPr/>
        <w:t>prevailing</w:t>
      </w:r>
      <w:r>
        <w:rPr>
          <w:spacing w:val="-32"/>
        </w:rPr>
        <w:t> </w:t>
      </w:r>
      <w:r>
        <w:rPr/>
        <w:t>rent</w:t>
      </w:r>
      <w:r>
        <w:rPr>
          <w:spacing w:val="-33"/>
        </w:rPr>
        <w:t> </w:t>
      </w:r>
      <w:r>
        <w:rPr/>
        <w:t>values</w:t>
      </w:r>
      <w:r>
        <w:rPr>
          <w:spacing w:val="-32"/>
        </w:rPr>
        <w:t> </w:t>
      </w:r>
      <w:r>
        <w:rPr/>
        <w:t>in</w:t>
      </w:r>
      <w:r>
        <w:rPr>
          <w:spacing w:val="-34"/>
        </w:rPr>
        <w:t> </w:t>
      </w:r>
      <w:r>
        <w:rPr/>
        <w:t>the</w:t>
      </w:r>
      <w:r>
        <w:rPr>
          <w:spacing w:val="-33"/>
        </w:rPr>
        <w:t> </w:t>
      </w:r>
      <w:r>
        <w:rPr/>
        <w:t>submarket.</w:t>
      </w:r>
      <w:r>
        <w:rPr>
          <w:spacing w:val="-34"/>
        </w:rPr>
        <w:t> </w:t>
      </w:r>
      <w:r>
        <w:rPr/>
        <w:t>The</w:t>
      </w:r>
      <w:r>
        <w:rPr>
          <w:spacing w:val="-35"/>
        </w:rPr>
        <w:t> </w:t>
      </w:r>
      <w:r>
        <w:rPr/>
        <w:t>same</w:t>
      </w:r>
      <w:r>
        <w:rPr>
          <w:spacing w:val="-34"/>
        </w:rPr>
        <w:t> </w:t>
      </w:r>
      <w:r>
        <w:rPr/>
        <w:t>has</w:t>
      </w:r>
      <w:r>
        <w:rPr>
          <w:spacing w:val="-35"/>
        </w:rPr>
        <w:t> </w:t>
      </w:r>
      <w:r>
        <w:rPr/>
        <w:t>been</w:t>
      </w:r>
      <w:r>
        <w:rPr>
          <w:spacing w:val="-33"/>
        </w:rPr>
        <w:t> </w:t>
      </w:r>
      <w:r>
        <w:rPr/>
        <w:t>adopted</w:t>
      </w:r>
      <w:r>
        <w:rPr>
          <w:spacing w:val="-35"/>
        </w:rPr>
        <w:t> </w:t>
      </w:r>
      <w:r>
        <w:rPr/>
        <w:t>for</w:t>
      </w:r>
      <w:r>
        <w:rPr>
          <w:spacing w:val="-33"/>
        </w:rPr>
        <w:t> </w:t>
      </w:r>
      <w:r>
        <w:rPr/>
        <w:t>the</w:t>
      </w:r>
      <w:r>
        <w:rPr>
          <w:spacing w:val="-34"/>
        </w:rPr>
        <w:t> </w:t>
      </w:r>
      <w:r>
        <w:rPr/>
        <w:t>vacant space for the purpose of this valuation</w:t>
      </w:r>
      <w:r>
        <w:rPr>
          <w:spacing w:val="-36"/>
        </w:rPr>
        <w:t> </w:t>
      </w:r>
      <w:r>
        <w:rPr/>
        <w:t>exercise.</w:t>
      </w:r>
    </w:p>
    <w:p>
      <w:pPr>
        <w:pStyle w:val="BodyText"/>
        <w:spacing w:before="9"/>
        <w:rPr>
          <w:sz w:val="20"/>
        </w:rPr>
      </w:pPr>
    </w:p>
    <w:p>
      <w:pPr>
        <w:pStyle w:val="BodyText"/>
        <w:spacing w:line="324" w:lineRule="auto"/>
        <w:ind w:left="682" w:right="217"/>
        <w:jc w:val="both"/>
      </w:pPr>
      <w:r>
        <w:rPr/>
        <w:t>Based</w:t>
      </w:r>
      <w:r>
        <w:rPr>
          <w:spacing w:val="-17"/>
        </w:rPr>
        <w:t> </w:t>
      </w:r>
      <w:r>
        <w:rPr/>
        <w:t>on</w:t>
      </w:r>
      <w:r>
        <w:rPr>
          <w:spacing w:val="-16"/>
        </w:rPr>
        <w:t> </w:t>
      </w:r>
      <w:r>
        <w:rPr/>
        <w:t>our</w:t>
      </w:r>
      <w:r>
        <w:rPr>
          <w:spacing w:val="-17"/>
        </w:rPr>
        <w:t> </w:t>
      </w:r>
      <w:r>
        <w:rPr/>
        <w:t>market</w:t>
      </w:r>
      <w:r>
        <w:rPr>
          <w:spacing w:val="-15"/>
        </w:rPr>
        <w:t> </w:t>
      </w:r>
      <w:r>
        <w:rPr/>
        <w:t>study</w:t>
      </w:r>
      <w:r>
        <w:rPr>
          <w:spacing w:val="-15"/>
        </w:rPr>
        <w:t> </w:t>
      </w:r>
      <w:r>
        <w:rPr/>
        <w:t>and</w:t>
      </w:r>
      <w:r>
        <w:rPr>
          <w:spacing w:val="-16"/>
        </w:rPr>
        <w:t> </w:t>
      </w:r>
      <w:r>
        <w:rPr/>
        <w:t>based</w:t>
      </w:r>
      <w:r>
        <w:rPr>
          <w:spacing w:val="-17"/>
        </w:rPr>
        <w:t> </w:t>
      </w:r>
      <w:r>
        <w:rPr/>
        <w:t>on</w:t>
      </w:r>
      <w:r>
        <w:rPr>
          <w:spacing w:val="-16"/>
        </w:rPr>
        <w:t> </w:t>
      </w:r>
      <w:r>
        <w:rPr/>
        <w:t>the</w:t>
      </w:r>
      <w:r>
        <w:rPr>
          <w:spacing w:val="-16"/>
        </w:rPr>
        <w:t> </w:t>
      </w:r>
      <w:r>
        <w:rPr/>
        <w:t>analysis</w:t>
      </w:r>
      <w:r>
        <w:rPr>
          <w:spacing w:val="-15"/>
        </w:rPr>
        <w:t> </w:t>
      </w:r>
      <w:r>
        <w:rPr/>
        <w:t>of</w:t>
      </w:r>
      <w:r>
        <w:rPr>
          <w:spacing w:val="-17"/>
        </w:rPr>
        <w:t> </w:t>
      </w:r>
      <w:r>
        <w:rPr/>
        <w:t>the</w:t>
      </w:r>
      <w:r>
        <w:rPr>
          <w:spacing w:val="-16"/>
        </w:rPr>
        <w:t> </w:t>
      </w:r>
      <w:r>
        <w:rPr/>
        <w:t>rent</w:t>
      </w:r>
      <w:r>
        <w:rPr>
          <w:spacing w:val="-16"/>
        </w:rPr>
        <w:t> </w:t>
      </w:r>
      <w:r>
        <w:rPr/>
        <w:t>rolls</w:t>
      </w:r>
      <w:r>
        <w:rPr>
          <w:spacing w:val="-15"/>
        </w:rPr>
        <w:t> </w:t>
      </w:r>
      <w:r>
        <w:rPr/>
        <w:t>provided</w:t>
      </w:r>
      <w:r>
        <w:rPr>
          <w:spacing w:val="-17"/>
        </w:rPr>
        <w:t> </w:t>
      </w:r>
      <w:r>
        <w:rPr/>
        <w:t>by</w:t>
      </w:r>
      <w:r>
        <w:rPr>
          <w:spacing w:val="-16"/>
        </w:rPr>
        <w:t> </w:t>
      </w:r>
      <w:r>
        <w:rPr/>
        <w:t>the</w:t>
      </w:r>
      <w:r>
        <w:rPr>
          <w:spacing w:val="-17"/>
        </w:rPr>
        <w:t> </w:t>
      </w:r>
      <w:r>
        <w:rPr/>
        <w:t>Client,</w:t>
      </w:r>
      <w:r>
        <w:rPr>
          <w:spacing w:val="-16"/>
        </w:rPr>
        <w:t> </w:t>
      </w:r>
      <w:r>
        <w:rPr/>
        <w:t>following rents</w:t>
      </w:r>
      <w:r>
        <w:rPr>
          <w:spacing w:val="-11"/>
        </w:rPr>
        <w:t> </w:t>
      </w:r>
      <w:r>
        <w:rPr/>
        <w:t>have</w:t>
      </w:r>
      <w:r>
        <w:rPr>
          <w:spacing w:val="-11"/>
        </w:rPr>
        <w:t> </w:t>
      </w:r>
      <w:r>
        <w:rPr/>
        <w:t>been</w:t>
      </w:r>
      <w:r>
        <w:rPr>
          <w:spacing w:val="-12"/>
        </w:rPr>
        <w:t> </w:t>
      </w:r>
      <w:r>
        <w:rPr/>
        <w:t>adopted</w:t>
      </w:r>
      <w:r>
        <w:rPr>
          <w:spacing w:val="-13"/>
        </w:rPr>
        <w:t> </w:t>
      </w:r>
      <w:r>
        <w:rPr/>
        <w:t>for</w:t>
      </w:r>
      <w:r>
        <w:rPr>
          <w:spacing w:val="-11"/>
        </w:rPr>
        <w:t> </w:t>
      </w:r>
      <w:r>
        <w:rPr/>
        <w:t>the</w:t>
      </w:r>
      <w:r>
        <w:rPr>
          <w:spacing w:val="-12"/>
        </w:rPr>
        <w:t> </w:t>
      </w:r>
      <w:r>
        <w:rPr/>
        <w:t>purpose</w:t>
      </w:r>
      <w:r>
        <w:rPr>
          <w:spacing w:val="-11"/>
        </w:rPr>
        <w:t> </w:t>
      </w:r>
      <w:r>
        <w:rPr/>
        <w:t>of</w:t>
      </w:r>
      <w:r>
        <w:rPr>
          <w:spacing w:val="-10"/>
        </w:rPr>
        <w:t> </w:t>
      </w:r>
      <w:r>
        <w:rPr/>
        <w:t>value</w:t>
      </w:r>
      <w:r>
        <w:rPr>
          <w:spacing w:val="-12"/>
        </w:rPr>
        <w:t> </w:t>
      </w:r>
      <w:r>
        <w:rPr/>
        <w:t>assessment</w:t>
      </w:r>
      <w:r>
        <w:rPr>
          <w:spacing w:val="-11"/>
        </w:rPr>
        <w:t> </w:t>
      </w:r>
      <w:r>
        <w:rPr/>
        <w:t>of</w:t>
      </w:r>
      <w:r>
        <w:rPr>
          <w:spacing w:val="-10"/>
        </w:rPr>
        <w:t> </w:t>
      </w:r>
      <w:r>
        <w:rPr/>
        <w:t>the</w:t>
      </w:r>
      <w:r>
        <w:rPr>
          <w:spacing w:val="-14"/>
        </w:rPr>
        <w:t> </w:t>
      </w:r>
      <w:r>
        <w:rPr/>
        <w:t>subject</w:t>
      </w:r>
      <w:r>
        <w:rPr>
          <w:spacing w:val="-13"/>
        </w:rPr>
        <w:t> </w:t>
      </w:r>
      <w:r>
        <w:rPr/>
        <w:t>property.</w:t>
      </w:r>
    </w:p>
    <w:p>
      <w:pPr>
        <w:pStyle w:val="BodyText"/>
        <w:rPr>
          <w:sz w:val="20"/>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2"/>
        <w:gridCol w:w="1788"/>
        <w:gridCol w:w="1706"/>
        <w:gridCol w:w="3311"/>
        <w:gridCol w:w="2031"/>
      </w:tblGrid>
      <w:tr>
        <w:trPr>
          <w:trHeight w:val="431" w:hRule="atLeast"/>
        </w:trPr>
        <w:tc>
          <w:tcPr>
            <w:tcW w:w="1632" w:type="dxa"/>
            <w:tcBorders>
              <w:top w:val="single" w:sz="4" w:space="0" w:color="69BD28"/>
            </w:tcBorders>
            <w:shd w:val="clear" w:color="auto" w:fill="006A4D"/>
          </w:tcPr>
          <w:p>
            <w:pPr>
              <w:pStyle w:val="TableParagraph"/>
              <w:spacing w:before="111"/>
              <w:ind w:left="289" w:right="293"/>
              <w:rPr>
                <w:b/>
                <w:sz w:val="18"/>
              </w:rPr>
            </w:pPr>
            <w:r>
              <w:rPr>
                <w:b/>
                <w:color w:val="FFFFFF"/>
                <w:w w:val="105"/>
                <w:sz w:val="18"/>
              </w:rPr>
              <w:t>Component</w:t>
            </w:r>
          </w:p>
        </w:tc>
        <w:tc>
          <w:tcPr>
            <w:tcW w:w="1788" w:type="dxa"/>
            <w:tcBorders>
              <w:top w:val="single" w:sz="4" w:space="0" w:color="69BD28"/>
              <w:bottom w:val="single" w:sz="4" w:space="0" w:color="69BD28"/>
            </w:tcBorders>
            <w:shd w:val="clear" w:color="auto" w:fill="006A4D"/>
          </w:tcPr>
          <w:p>
            <w:pPr>
              <w:pStyle w:val="TableParagraph"/>
              <w:spacing w:before="111"/>
              <w:ind w:left="41" w:right="46"/>
              <w:rPr>
                <w:b/>
                <w:sz w:val="18"/>
              </w:rPr>
            </w:pPr>
            <w:r>
              <w:rPr>
                <w:b/>
                <w:color w:val="FFFFFF"/>
                <w:w w:val="110"/>
                <w:sz w:val="18"/>
              </w:rPr>
              <w:t>Leasable Area (sf)</w:t>
            </w:r>
          </w:p>
        </w:tc>
        <w:tc>
          <w:tcPr>
            <w:tcW w:w="1706" w:type="dxa"/>
            <w:tcBorders>
              <w:top w:val="single" w:sz="4" w:space="0" w:color="69BD28"/>
            </w:tcBorders>
            <w:shd w:val="clear" w:color="auto" w:fill="006A4D"/>
          </w:tcPr>
          <w:p>
            <w:pPr>
              <w:pStyle w:val="TableParagraph"/>
              <w:spacing w:before="111"/>
              <w:ind w:left="46" w:right="124"/>
              <w:rPr>
                <w:b/>
                <w:sz w:val="18"/>
              </w:rPr>
            </w:pPr>
            <w:r>
              <w:rPr>
                <w:b/>
                <w:color w:val="FFFFFF"/>
                <w:w w:val="110"/>
                <w:sz w:val="18"/>
              </w:rPr>
              <w:t>Leased Area (sf)</w:t>
            </w:r>
          </w:p>
        </w:tc>
        <w:tc>
          <w:tcPr>
            <w:tcW w:w="3311" w:type="dxa"/>
            <w:tcBorders>
              <w:top w:val="single" w:sz="4" w:space="0" w:color="69BD28"/>
            </w:tcBorders>
            <w:shd w:val="clear" w:color="auto" w:fill="006A4D"/>
          </w:tcPr>
          <w:p>
            <w:pPr>
              <w:pStyle w:val="TableParagraph"/>
              <w:spacing w:before="111"/>
              <w:ind w:left="72" w:right="72"/>
              <w:rPr>
                <w:b/>
                <w:sz w:val="18"/>
              </w:rPr>
            </w:pPr>
            <w:r>
              <w:rPr>
                <w:b/>
                <w:color w:val="FFFFFF"/>
                <w:w w:val="115"/>
                <w:sz w:val="18"/>
              </w:rPr>
              <w:t>Basis</w:t>
            </w:r>
          </w:p>
        </w:tc>
        <w:tc>
          <w:tcPr>
            <w:tcW w:w="2031" w:type="dxa"/>
            <w:tcBorders>
              <w:top w:val="single" w:sz="4" w:space="0" w:color="69BD28"/>
            </w:tcBorders>
            <w:shd w:val="clear" w:color="auto" w:fill="006A4D"/>
          </w:tcPr>
          <w:p>
            <w:pPr>
              <w:pStyle w:val="TableParagraph"/>
              <w:spacing w:before="3"/>
              <w:ind w:left="143" w:right="56"/>
              <w:rPr>
                <w:b/>
                <w:sz w:val="18"/>
              </w:rPr>
            </w:pPr>
            <w:r>
              <w:rPr>
                <w:b/>
                <w:color w:val="FFFFFF"/>
                <w:w w:val="110"/>
                <w:sz w:val="18"/>
              </w:rPr>
              <w:t>Rent Adopted* (INR</w:t>
            </w:r>
          </w:p>
          <w:p>
            <w:pPr>
              <w:pStyle w:val="TableParagraph"/>
              <w:spacing w:line="192" w:lineRule="exact" w:before="7"/>
              <w:ind w:left="143" w:right="54"/>
              <w:rPr>
                <w:b/>
                <w:sz w:val="18"/>
              </w:rPr>
            </w:pPr>
            <w:r>
              <w:rPr>
                <w:b/>
                <w:color w:val="FFFFFF"/>
                <w:w w:val="105"/>
                <w:sz w:val="18"/>
              </w:rPr>
              <w:t>psf pm)</w:t>
            </w:r>
          </w:p>
        </w:tc>
      </w:tr>
      <w:tr>
        <w:trPr>
          <w:trHeight w:val="488" w:hRule="atLeast"/>
        </w:trPr>
        <w:tc>
          <w:tcPr>
            <w:tcW w:w="1632" w:type="dxa"/>
            <w:shd w:val="clear" w:color="auto" w:fill="69BD28"/>
          </w:tcPr>
          <w:p>
            <w:pPr>
              <w:pStyle w:val="TableParagraph"/>
              <w:spacing w:before="5"/>
              <w:jc w:val="left"/>
              <w:rPr>
                <w:sz w:val="23"/>
              </w:rPr>
            </w:pPr>
          </w:p>
          <w:p>
            <w:pPr>
              <w:pStyle w:val="TableParagraph"/>
              <w:spacing w:line="196" w:lineRule="exact"/>
              <w:ind w:left="286" w:right="293"/>
              <w:rPr>
                <w:b/>
                <w:sz w:val="18"/>
              </w:rPr>
            </w:pPr>
            <w:r>
              <w:rPr>
                <w:b/>
                <w:color w:val="FFFFFF"/>
                <w:w w:val="105"/>
                <w:sz w:val="18"/>
              </w:rPr>
              <w:t>Office</w:t>
            </w:r>
          </w:p>
        </w:tc>
        <w:tc>
          <w:tcPr>
            <w:tcW w:w="1788" w:type="dxa"/>
            <w:tcBorders>
              <w:top w:val="single" w:sz="4" w:space="0" w:color="69BD28"/>
            </w:tcBorders>
          </w:tcPr>
          <w:p>
            <w:pPr>
              <w:pStyle w:val="TableParagraph"/>
              <w:spacing w:before="5"/>
              <w:jc w:val="left"/>
              <w:rPr>
                <w:sz w:val="23"/>
              </w:rPr>
            </w:pPr>
          </w:p>
          <w:p>
            <w:pPr>
              <w:pStyle w:val="TableParagraph"/>
              <w:spacing w:line="196" w:lineRule="exact"/>
              <w:ind w:left="40" w:right="46"/>
              <w:rPr>
                <w:sz w:val="18"/>
              </w:rPr>
            </w:pPr>
            <w:r>
              <w:rPr>
                <w:w w:val="105"/>
                <w:sz w:val="18"/>
              </w:rPr>
              <w:t>2,151,630</w:t>
            </w:r>
          </w:p>
        </w:tc>
        <w:tc>
          <w:tcPr>
            <w:tcW w:w="1706" w:type="dxa"/>
          </w:tcPr>
          <w:p>
            <w:pPr>
              <w:pStyle w:val="TableParagraph"/>
              <w:spacing w:before="5"/>
              <w:jc w:val="left"/>
              <w:rPr>
                <w:sz w:val="23"/>
              </w:rPr>
            </w:pPr>
          </w:p>
          <w:p>
            <w:pPr>
              <w:pStyle w:val="TableParagraph"/>
              <w:spacing w:line="196" w:lineRule="exact"/>
              <w:ind w:left="43" w:right="124"/>
              <w:rPr>
                <w:sz w:val="18"/>
              </w:rPr>
            </w:pPr>
            <w:r>
              <w:rPr>
                <w:w w:val="105"/>
                <w:sz w:val="18"/>
              </w:rPr>
              <w:t>2,028,651</w:t>
            </w:r>
          </w:p>
        </w:tc>
        <w:tc>
          <w:tcPr>
            <w:tcW w:w="3311" w:type="dxa"/>
          </w:tcPr>
          <w:p>
            <w:pPr>
              <w:pStyle w:val="TableParagraph"/>
              <w:spacing w:before="118"/>
              <w:ind w:left="72" w:right="68"/>
              <w:rPr>
                <w:sz w:val="18"/>
              </w:rPr>
            </w:pPr>
            <w:r>
              <w:rPr>
                <w:sz w:val="18"/>
              </w:rPr>
              <w:t>In place Rent</w:t>
            </w:r>
          </w:p>
        </w:tc>
        <w:tc>
          <w:tcPr>
            <w:tcW w:w="2031" w:type="dxa"/>
          </w:tcPr>
          <w:p>
            <w:pPr>
              <w:pStyle w:val="TableParagraph"/>
              <w:spacing w:before="118"/>
              <w:ind w:left="142" w:right="56"/>
              <w:rPr>
                <w:sz w:val="18"/>
              </w:rPr>
            </w:pPr>
            <w:r>
              <w:rPr>
                <w:w w:val="125"/>
                <w:sz w:val="18"/>
              </w:rPr>
              <w:t>49.6^</w:t>
            </w:r>
          </w:p>
        </w:tc>
      </w:tr>
      <w:tr>
        <w:trPr>
          <w:trHeight w:val="261" w:hRule="atLeast"/>
        </w:trPr>
        <w:tc>
          <w:tcPr>
            <w:tcW w:w="1632" w:type="dxa"/>
            <w:shd w:val="clear" w:color="auto" w:fill="69BD28"/>
          </w:tcPr>
          <w:p>
            <w:pPr>
              <w:pStyle w:val="TableParagraph"/>
              <w:jc w:val="left"/>
              <w:rPr>
                <w:rFonts w:ascii="Times New Roman"/>
                <w:sz w:val="18"/>
              </w:rPr>
            </w:pPr>
          </w:p>
        </w:tc>
        <w:tc>
          <w:tcPr>
            <w:tcW w:w="1788" w:type="dxa"/>
            <w:tcBorders>
              <w:bottom w:val="single" w:sz="4" w:space="0" w:color="69BD28"/>
            </w:tcBorders>
          </w:tcPr>
          <w:p>
            <w:pPr>
              <w:pStyle w:val="TableParagraph"/>
              <w:jc w:val="left"/>
              <w:rPr>
                <w:rFonts w:ascii="Times New Roman"/>
                <w:sz w:val="18"/>
              </w:rPr>
            </w:pPr>
          </w:p>
        </w:tc>
        <w:tc>
          <w:tcPr>
            <w:tcW w:w="1706" w:type="dxa"/>
            <w:tcBorders>
              <w:bottom w:val="single" w:sz="4" w:space="0" w:color="69BD28"/>
            </w:tcBorders>
          </w:tcPr>
          <w:p>
            <w:pPr>
              <w:pStyle w:val="TableParagraph"/>
              <w:jc w:val="left"/>
              <w:rPr>
                <w:rFonts w:ascii="Times New Roman"/>
                <w:sz w:val="18"/>
              </w:rPr>
            </w:pPr>
          </w:p>
        </w:tc>
        <w:tc>
          <w:tcPr>
            <w:tcW w:w="3311" w:type="dxa"/>
            <w:tcBorders>
              <w:bottom w:val="single" w:sz="4" w:space="0" w:color="69BD28"/>
            </w:tcBorders>
          </w:tcPr>
          <w:p>
            <w:pPr>
              <w:pStyle w:val="TableParagraph"/>
              <w:spacing w:before="9"/>
              <w:ind w:left="72" w:right="73"/>
              <w:rPr>
                <w:sz w:val="18"/>
              </w:rPr>
            </w:pPr>
            <w:r>
              <w:rPr>
                <w:sz w:val="18"/>
              </w:rPr>
              <w:t>Market rent for reversion/ vacant area</w:t>
            </w:r>
          </w:p>
        </w:tc>
        <w:tc>
          <w:tcPr>
            <w:tcW w:w="2031" w:type="dxa"/>
            <w:tcBorders>
              <w:bottom w:val="single" w:sz="4" w:space="0" w:color="69BD28"/>
            </w:tcBorders>
          </w:tcPr>
          <w:p>
            <w:pPr>
              <w:pStyle w:val="TableParagraph"/>
              <w:spacing w:before="9"/>
              <w:ind w:left="140" w:right="56"/>
              <w:rPr>
                <w:sz w:val="18"/>
              </w:rPr>
            </w:pPr>
            <w:r>
              <w:rPr>
                <w:w w:val="105"/>
                <w:sz w:val="18"/>
              </w:rPr>
              <w:t>48.0</w:t>
            </w:r>
          </w:p>
        </w:tc>
      </w:tr>
    </w:tbl>
    <w:p>
      <w:pPr>
        <w:spacing w:before="3"/>
        <w:ind w:left="120" w:right="0" w:firstLine="0"/>
        <w:jc w:val="left"/>
        <w:rPr>
          <w:i/>
          <w:sz w:val="18"/>
        </w:rPr>
      </w:pPr>
      <w:r>
        <w:rPr>
          <w:i/>
          <w:sz w:val="18"/>
        </w:rPr>
        <w:t>Source: Rent roll provided by the Client; Valuer Assessment</w:t>
      </w:r>
    </w:p>
    <w:p>
      <w:pPr>
        <w:spacing w:line="319" w:lineRule="auto" w:before="72"/>
        <w:ind w:left="120" w:right="0" w:firstLine="0"/>
        <w:jc w:val="left"/>
        <w:rPr>
          <w:i/>
          <w:sz w:val="18"/>
        </w:rPr>
      </w:pPr>
      <w:r>
        <w:rPr>
          <w:i/>
          <w:sz w:val="18"/>
        </w:rPr>
        <w:t>*</w:t>
      </w:r>
      <w:r>
        <w:rPr>
          <w:i/>
          <w:spacing w:val="-20"/>
          <w:sz w:val="18"/>
        </w:rPr>
        <w:t> </w:t>
      </w:r>
      <w:r>
        <w:rPr>
          <w:i/>
          <w:sz w:val="18"/>
        </w:rPr>
        <w:t>The</w:t>
      </w:r>
      <w:r>
        <w:rPr>
          <w:i/>
          <w:spacing w:val="-20"/>
          <w:sz w:val="18"/>
        </w:rPr>
        <w:t> </w:t>
      </w:r>
      <w:r>
        <w:rPr>
          <w:i/>
          <w:sz w:val="18"/>
        </w:rPr>
        <w:t>rents</w:t>
      </w:r>
      <w:r>
        <w:rPr>
          <w:i/>
          <w:spacing w:val="-20"/>
          <w:sz w:val="18"/>
        </w:rPr>
        <w:t> </w:t>
      </w:r>
      <w:r>
        <w:rPr>
          <w:i/>
          <w:sz w:val="18"/>
        </w:rPr>
        <w:t>mentioned</w:t>
      </w:r>
      <w:r>
        <w:rPr>
          <w:i/>
          <w:spacing w:val="-20"/>
          <w:sz w:val="18"/>
        </w:rPr>
        <w:t> </w:t>
      </w:r>
      <w:r>
        <w:rPr>
          <w:i/>
          <w:sz w:val="18"/>
        </w:rPr>
        <w:t>above</w:t>
      </w:r>
      <w:r>
        <w:rPr>
          <w:i/>
          <w:spacing w:val="-20"/>
          <w:sz w:val="18"/>
        </w:rPr>
        <w:t> </w:t>
      </w:r>
      <w:r>
        <w:rPr>
          <w:i/>
          <w:sz w:val="18"/>
        </w:rPr>
        <w:t>exclude</w:t>
      </w:r>
      <w:r>
        <w:rPr>
          <w:i/>
          <w:spacing w:val="-19"/>
          <w:sz w:val="18"/>
        </w:rPr>
        <w:t> </w:t>
      </w:r>
      <w:r>
        <w:rPr>
          <w:i/>
          <w:sz w:val="18"/>
        </w:rPr>
        <w:t>other</w:t>
      </w:r>
      <w:r>
        <w:rPr>
          <w:i/>
          <w:spacing w:val="-20"/>
          <w:sz w:val="18"/>
        </w:rPr>
        <w:t> </w:t>
      </w:r>
      <w:r>
        <w:rPr>
          <w:i/>
          <w:sz w:val="18"/>
        </w:rPr>
        <w:t>income</w:t>
      </w:r>
      <w:r>
        <w:rPr>
          <w:i/>
          <w:spacing w:val="-20"/>
          <w:sz w:val="18"/>
        </w:rPr>
        <w:t> </w:t>
      </w:r>
      <w:r>
        <w:rPr>
          <w:i/>
          <w:sz w:val="18"/>
        </w:rPr>
        <w:t>such</w:t>
      </w:r>
      <w:r>
        <w:rPr>
          <w:i/>
          <w:spacing w:val="-21"/>
          <w:sz w:val="18"/>
        </w:rPr>
        <w:t> </w:t>
      </w:r>
      <w:r>
        <w:rPr>
          <w:i/>
          <w:sz w:val="18"/>
        </w:rPr>
        <w:t>as</w:t>
      </w:r>
      <w:r>
        <w:rPr>
          <w:i/>
          <w:spacing w:val="-21"/>
          <w:sz w:val="18"/>
        </w:rPr>
        <w:t> </w:t>
      </w:r>
      <w:r>
        <w:rPr>
          <w:i/>
          <w:sz w:val="18"/>
        </w:rPr>
        <w:t>CAM</w:t>
      </w:r>
      <w:r>
        <w:rPr>
          <w:i/>
          <w:spacing w:val="-19"/>
          <w:sz w:val="18"/>
        </w:rPr>
        <w:t> </w:t>
      </w:r>
      <w:r>
        <w:rPr>
          <w:i/>
          <w:sz w:val="18"/>
        </w:rPr>
        <w:t>charges,</w:t>
      </w:r>
      <w:r>
        <w:rPr>
          <w:i/>
          <w:spacing w:val="-20"/>
          <w:sz w:val="18"/>
        </w:rPr>
        <w:t> </w:t>
      </w:r>
      <w:r>
        <w:rPr>
          <w:i/>
          <w:sz w:val="18"/>
        </w:rPr>
        <w:t>parking</w:t>
      </w:r>
      <w:r>
        <w:rPr>
          <w:i/>
          <w:spacing w:val="-20"/>
          <w:sz w:val="18"/>
        </w:rPr>
        <w:t> </w:t>
      </w:r>
      <w:r>
        <w:rPr>
          <w:i/>
          <w:sz w:val="18"/>
        </w:rPr>
        <w:t>income</w:t>
      </w:r>
      <w:r>
        <w:rPr>
          <w:i/>
          <w:spacing w:val="-20"/>
          <w:sz w:val="18"/>
        </w:rPr>
        <w:t> </w:t>
      </w:r>
      <w:r>
        <w:rPr>
          <w:i/>
          <w:sz w:val="18"/>
        </w:rPr>
        <w:t>received</w:t>
      </w:r>
      <w:r>
        <w:rPr>
          <w:i/>
          <w:spacing w:val="-20"/>
          <w:sz w:val="18"/>
        </w:rPr>
        <w:t> </w:t>
      </w:r>
      <w:r>
        <w:rPr>
          <w:i/>
          <w:sz w:val="18"/>
        </w:rPr>
        <w:t>from</w:t>
      </w:r>
      <w:r>
        <w:rPr>
          <w:i/>
          <w:spacing w:val="-19"/>
          <w:sz w:val="18"/>
        </w:rPr>
        <w:t> </w:t>
      </w:r>
      <w:r>
        <w:rPr>
          <w:i/>
          <w:sz w:val="18"/>
        </w:rPr>
        <w:t>the</w:t>
      </w:r>
      <w:r>
        <w:rPr>
          <w:i/>
          <w:spacing w:val="-21"/>
          <w:sz w:val="18"/>
        </w:rPr>
        <w:t> </w:t>
      </w:r>
      <w:r>
        <w:rPr>
          <w:i/>
          <w:sz w:val="18"/>
        </w:rPr>
        <w:t>tenants,</w:t>
      </w:r>
      <w:r>
        <w:rPr>
          <w:i/>
          <w:spacing w:val="-20"/>
          <w:sz w:val="18"/>
        </w:rPr>
        <w:t> </w:t>
      </w:r>
      <w:r>
        <w:rPr>
          <w:i/>
          <w:sz w:val="18"/>
        </w:rPr>
        <w:t>etc.;</w:t>
      </w:r>
      <w:r>
        <w:rPr>
          <w:i/>
          <w:spacing w:val="-22"/>
          <w:sz w:val="18"/>
        </w:rPr>
        <w:t> </w:t>
      </w:r>
      <w:r>
        <w:rPr>
          <w:i/>
          <w:sz w:val="18"/>
        </w:rPr>
        <w:t>^weighted </w:t>
      </w:r>
      <w:r>
        <w:rPr>
          <w:i/>
          <w:sz w:val="18"/>
        </w:rPr>
        <w:t>average</w:t>
      </w:r>
      <w:r>
        <w:rPr>
          <w:i/>
          <w:spacing w:val="-9"/>
          <w:sz w:val="18"/>
        </w:rPr>
        <w:t> </w:t>
      </w:r>
      <w:r>
        <w:rPr>
          <w:i/>
          <w:sz w:val="18"/>
        </w:rPr>
        <w:t>warm</w:t>
      </w:r>
      <w:r>
        <w:rPr>
          <w:i/>
          <w:spacing w:val="-6"/>
          <w:sz w:val="18"/>
        </w:rPr>
        <w:t> </w:t>
      </w:r>
      <w:r>
        <w:rPr>
          <w:i/>
          <w:sz w:val="18"/>
        </w:rPr>
        <w:t>shell</w:t>
      </w:r>
      <w:r>
        <w:rPr>
          <w:i/>
          <w:spacing w:val="-3"/>
          <w:sz w:val="18"/>
        </w:rPr>
        <w:t> </w:t>
      </w:r>
      <w:r>
        <w:rPr>
          <w:i/>
          <w:sz w:val="18"/>
        </w:rPr>
        <w:t>rent</w:t>
      </w:r>
      <w:r>
        <w:rPr>
          <w:i/>
          <w:spacing w:val="-5"/>
          <w:sz w:val="18"/>
        </w:rPr>
        <w:t> </w:t>
      </w:r>
      <w:r>
        <w:rPr>
          <w:i/>
          <w:sz w:val="18"/>
        </w:rPr>
        <w:t>for</w:t>
      </w:r>
      <w:r>
        <w:rPr>
          <w:i/>
          <w:spacing w:val="-7"/>
          <w:sz w:val="18"/>
        </w:rPr>
        <w:t> </w:t>
      </w:r>
      <w:r>
        <w:rPr>
          <w:i/>
          <w:sz w:val="18"/>
        </w:rPr>
        <w:t>area</w:t>
      </w:r>
      <w:r>
        <w:rPr>
          <w:i/>
          <w:spacing w:val="-4"/>
          <w:sz w:val="18"/>
        </w:rPr>
        <w:t> </w:t>
      </w:r>
      <w:r>
        <w:rPr>
          <w:i/>
          <w:sz w:val="18"/>
        </w:rPr>
        <w:t>already</w:t>
      </w:r>
      <w:r>
        <w:rPr>
          <w:i/>
          <w:spacing w:val="-6"/>
          <w:sz w:val="18"/>
        </w:rPr>
        <w:t> </w:t>
      </w:r>
      <w:r>
        <w:rPr>
          <w:i/>
          <w:sz w:val="18"/>
        </w:rPr>
        <w:t>leased</w:t>
      </w:r>
      <w:r>
        <w:rPr>
          <w:i/>
          <w:spacing w:val="-5"/>
          <w:sz w:val="18"/>
        </w:rPr>
        <w:t> </w:t>
      </w:r>
      <w:r>
        <w:rPr>
          <w:i/>
          <w:w w:val="105"/>
          <w:sz w:val="18"/>
        </w:rPr>
        <w:t>–</w:t>
      </w:r>
      <w:r>
        <w:rPr>
          <w:i/>
          <w:spacing w:val="-9"/>
          <w:w w:val="105"/>
          <w:sz w:val="18"/>
        </w:rPr>
        <w:t> </w:t>
      </w:r>
      <w:r>
        <w:rPr>
          <w:i/>
          <w:sz w:val="18"/>
        </w:rPr>
        <w:t>as</w:t>
      </w:r>
      <w:r>
        <w:rPr>
          <w:i/>
          <w:spacing w:val="-7"/>
          <w:sz w:val="18"/>
        </w:rPr>
        <w:t> </w:t>
      </w:r>
      <w:r>
        <w:rPr>
          <w:i/>
          <w:sz w:val="18"/>
        </w:rPr>
        <w:t>per</w:t>
      </w:r>
      <w:r>
        <w:rPr>
          <w:i/>
          <w:spacing w:val="-7"/>
          <w:sz w:val="18"/>
        </w:rPr>
        <w:t> </w:t>
      </w:r>
      <w:r>
        <w:rPr>
          <w:i/>
          <w:sz w:val="18"/>
        </w:rPr>
        <w:t>rent</w:t>
      </w:r>
      <w:r>
        <w:rPr>
          <w:i/>
          <w:spacing w:val="-6"/>
          <w:sz w:val="18"/>
        </w:rPr>
        <w:t> </w:t>
      </w:r>
      <w:r>
        <w:rPr>
          <w:i/>
          <w:sz w:val="18"/>
        </w:rPr>
        <w:t>roll</w:t>
      </w:r>
      <w:r>
        <w:rPr>
          <w:i/>
          <w:spacing w:val="-7"/>
          <w:sz w:val="18"/>
        </w:rPr>
        <w:t> </w:t>
      </w:r>
      <w:r>
        <w:rPr>
          <w:i/>
          <w:sz w:val="18"/>
        </w:rPr>
        <w:t>shared</w:t>
      </w:r>
      <w:r>
        <w:rPr>
          <w:i/>
          <w:spacing w:val="-7"/>
          <w:sz w:val="18"/>
        </w:rPr>
        <w:t> </w:t>
      </w:r>
      <w:r>
        <w:rPr>
          <w:i/>
          <w:sz w:val="18"/>
        </w:rPr>
        <w:t>by</w:t>
      </w:r>
      <w:r>
        <w:rPr>
          <w:i/>
          <w:spacing w:val="-6"/>
          <w:sz w:val="18"/>
        </w:rPr>
        <w:t> </w:t>
      </w:r>
      <w:r>
        <w:rPr>
          <w:i/>
          <w:sz w:val="18"/>
        </w:rPr>
        <w:t>Client</w:t>
      </w:r>
    </w:p>
    <w:p>
      <w:pPr>
        <w:pStyle w:val="BodyText"/>
        <w:rPr>
          <w:i/>
          <w:sz w:val="21"/>
        </w:rPr>
      </w:pPr>
    </w:p>
    <w:p>
      <w:pPr>
        <w:pStyle w:val="BodyText"/>
        <w:spacing w:line="321" w:lineRule="auto" w:before="1"/>
        <w:ind w:left="682" w:right="214"/>
        <w:jc w:val="both"/>
      </w:pPr>
      <w:r>
        <w:rPr/>
        <w:t>The above market rent assumption is adopted for the entire subject development. In addition to undertaking</w:t>
      </w:r>
      <w:r>
        <w:rPr>
          <w:spacing w:val="-4"/>
        </w:rPr>
        <w:t> </w:t>
      </w:r>
      <w:r>
        <w:rPr/>
        <w:t>an</w:t>
      </w:r>
      <w:r>
        <w:rPr>
          <w:spacing w:val="-4"/>
        </w:rPr>
        <w:t> </w:t>
      </w:r>
      <w:r>
        <w:rPr/>
        <w:t>in-depth</w:t>
      </w:r>
      <w:r>
        <w:rPr>
          <w:spacing w:val="-6"/>
        </w:rPr>
        <w:t> </w:t>
      </w:r>
      <w:r>
        <w:rPr/>
        <w:t>market</w:t>
      </w:r>
      <w:r>
        <w:rPr>
          <w:spacing w:val="-3"/>
        </w:rPr>
        <w:t> </w:t>
      </w:r>
      <w:r>
        <w:rPr/>
        <w:t>analysis,</w:t>
      </w:r>
      <w:r>
        <w:rPr>
          <w:spacing w:val="-5"/>
        </w:rPr>
        <w:t> </w:t>
      </w:r>
      <w:r>
        <w:rPr/>
        <w:t>a</w:t>
      </w:r>
      <w:r>
        <w:rPr>
          <w:spacing w:val="-6"/>
        </w:rPr>
        <w:t> </w:t>
      </w:r>
      <w:r>
        <w:rPr/>
        <w:t>detailed</w:t>
      </w:r>
      <w:r>
        <w:rPr>
          <w:spacing w:val="-3"/>
        </w:rPr>
        <w:t> </w:t>
      </w:r>
      <w:r>
        <w:rPr/>
        <w:t>analysis</w:t>
      </w:r>
      <w:r>
        <w:rPr>
          <w:spacing w:val="-4"/>
        </w:rPr>
        <w:t> </w:t>
      </w:r>
      <w:r>
        <w:rPr/>
        <w:t>of</w:t>
      </w:r>
      <w:r>
        <w:rPr>
          <w:spacing w:val="-3"/>
        </w:rPr>
        <w:t> </w:t>
      </w:r>
      <w:r>
        <w:rPr/>
        <w:t>the</w:t>
      </w:r>
      <w:r>
        <w:rPr>
          <w:spacing w:val="-5"/>
        </w:rPr>
        <w:t> </w:t>
      </w:r>
      <w:r>
        <w:rPr/>
        <w:t>rent</w:t>
      </w:r>
      <w:r>
        <w:rPr>
          <w:spacing w:val="-4"/>
        </w:rPr>
        <w:t> </w:t>
      </w:r>
      <w:r>
        <w:rPr/>
        <w:t>rolls</w:t>
      </w:r>
      <w:r>
        <w:rPr>
          <w:spacing w:val="-3"/>
        </w:rPr>
        <w:t> </w:t>
      </w:r>
      <w:r>
        <w:rPr/>
        <w:t>was</w:t>
      </w:r>
      <w:r>
        <w:rPr>
          <w:spacing w:val="-4"/>
        </w:rPr>
        <w:t> </w:t>
      </w:r>
      <w:r>
        <w:rPr/>
        <w:t>also</w:t>
      </w:r>
      <w:r>
        <w:rPr>
          <w:spacing w:val="-5"/>
        </w:rPr>
        <w:t> </w:t>
      </w:r>
      <w:r>
        <w:rPr/>
        <w:t>undertaken</w:t>
      </w:r>
      <w:r>
        <w:rPr>
          <w:spacing w:val="-4"/>
        </w:rPr>
        <w:t> </w:t>
      </w:r>
      <w:r>
        <w:rPr/>
        <w:t>to understand</w:t>
      </w:r>
      <w:r>
        <w:rPr>
          <w:spacing w:val="-37"/>
        </w:rPr>
        <w:t> </w:t>
      </w:r>
      <w:r>
        <w:rPr/>
        <w:t>aspects</w:t>
      </w:r>
      <w:r>
        <w:rPr>
          <w:spacing w:val="-36"/>
        </w:rPr>
        <w:t> </w:t>
      </w:r>
      <w:r>
        <w:rPr/>
        <w:t>such</w:t>
      </w:r>
      <w:r>
        <w:rPr>
          <w:spacing w:val="-39"/>
        </w:rPr>
        <w:t> </w:t>
      </w:r>
      <w:r>
        <w:rPr/>
        <w:t>as</w:t>
      </w:r>
      <w:r>
        <w:rPr>
          <w:spacing w:val="-36"/>
        </w:rPr>
        <w:t> </w:t>
      </w:r>
      <w:r>
        <w:rPr/>
        <w:t>area</w:t>
      </w:r>
      <w:r>
        <w:rPr>
          <w:spacing w:val="-37"/>
        </w:rPr>
        <w:t> </w:t>
      </w:r>
      <w:r>
        <w:rPr/>
        <w:t>occupied,</w:t>
      </w:r>
      <w:r>
        <w:rPr>
          <w:spacing w:val="-36"/>
        </w:rPr>
        <w:t> </w:t>
      </w:r>
      <w:r>
        <w:rPr/>
        <w:t>current</w:t>
      </w:r>
      <w:r>
        <w:rPr>
          <w:spacing w:val="-35"/>
        </w:rPr>
        <w:t> </w:t>
      </w:r>
      <w:r>
        <w:rPr/>
        <w:t>rent</w:t>
      </w:r>
      <w:r>
        <w:rPr>
          <w:spacing w:val="-37"/>
        </w:rPr>
        <w:t> </w:t>
      </w:r>
      <w:r>
        <w:rPr/>
        <w:t>and</w:t>
      </w:r>
      <w:r>
        <w:rPr>
          <w:spacing w:val="-36"/>
        </w:rPr>
        <w:t> </w:t>
      </w:r>
      <w:r>
        <w:rPr/>
        <w:t>expiry</w:t>
      </w:r>
      <w:r>
        <w:rPr>
          <w:spacing w:val="-35"/>
        </w:rPr>
        <w:t> </w:t>
      </w:r>
      <w:r>
        <w:rPr/>
        <w:t>analysis</w:t>
      </w:r>
      <w:r>
        <w:rPr>
          <w:spacing w:val="-38"/>
        </w:rPr>
        <w:t> </w:t>
      </w:r>
      <w:r>
        <w:rPr/>
        <w:t>of</w:t>
      </w:r>
      <w:r>
        <w:rPr>
          <w:spacing w:val="-36"/>
        </w:rPr>
        <w:t> </w:t>
      </w:r>
      <w:r>
        <w:rPr/>
        <w:t>the</w:t>
      </w:r>
      <w:r>
        <w:rPr>
          <w:spacing w:val="-37"/>
        </w:rPr>
        <w:t> </w:t>
      </w:r>
      <w:r>
        <w:rPr/>
        <w:t>key</w:t>
      </w:r>
      <w:r>
        <w:rPr>
          <w:spacing w:val="-36"/>
        </w:rPr>
        <w:t> </w:t>
      </w:r>
      <w:r>
        <w:rPr/>
        <w:t>tenants</w:t>
      </w:r>
      <w:r>
        <w:rPr>
          <w:spacing w:val="-36"/>
        </w:rPr>
        <w:t> </w:t>
      </w:r>
      <w:r>
        <w:rPr/>
        <w:t>in</w:t>
      </w:r>
      <w:r>
        <w:rPr>
          <w:spacing w:val="-37"/>
        </w:rPr>
        <w:t> </w:t>
      </w:r>
      <w:r>
        <w:rPr/>
        <w:t>the</w:t>
      </w:r>
      <w:r>
        <w:rPr>
          <w:spacing w:val="-39"/>
        </w:rPr>
        <w:t> </w:t>
      </w:r>
      <w:r>
        <w:rPr/>
        <w:t>park. Additionally, the Valuer has also analysed the historical occupancy pattern of the market/ subject development</w:t>
      </w:r>
      <w:r>
        <w:rPr>
          <w:spacing w:val="-19"/>
        </w:rPr>
        <w:t> </w:t>
      </w:r>
      <w:r>
        <w:rPr/>
        <w:t>and</w:t>
      </w:r>
      <w:r>
        <w:rPr>
          <w:spacing w:val="-18"/>
        </w:rPr>
        <w:t> </w:t>
      </w:r>
      <w:r>
        <w:rPr/>
        <w:t>lease-up</w:t>
      </w:r>
      <w:r>
        <w:rPr>
          <w:spacing w:val="-18"/>
        </w:rPr>
        <w:t> </w:t>
      </w:r>
      <w:r>
        <w:rPr/>
        <w:t>time</w:t>
      </w:r>
      <w:r>
        <w:rPr>
          <w:spacing w:val="-19"/>
        </w:rPr>
        <w:t> </w:t>
      </w:r>
      <w:r>
        <w:rPr/>
        <w:t>frame</w:t>
      </w:r>
      <w:r>
        <w:rPr>
          <w:spacing w:val="-18"/>
        </w:rPr>
        <w:t> </w:t>
      </w:r>
      <w:r>
        <w:rPr/>
        <w:t>for</w:t>
      </w:r>
      <w:r>
        <w:rPr>
          <w:spacing w:val="-21"/>
        </w:rPr>
        <w:t> </w:t>
      </w:r>
      <w:r>
        <w:rPr/>
        <w:t>spaces</w:t>
      </w:r>
      <w:r>
        <w:rPr>
          <w:spacing w:val="-17"/>
        </w:rPr>
        <w:t> </w:t>
      </w:r>
      <w:r>
        <w:rPr/>
        <w:t>being</w:t>
      </w:r>
      <w:r>
        <w:rPr>
          <w:spacing w:val="-16"/>
        </w:rPr>
        <w:t> </w:t>
      </w:r>
      <w:r>
        <w:rPr/>
        <w:t>vacated</w:t>
      </w:r>
      <w:r>
        <w:rPr>
          <w:spacing w:val="-18"/>
        </w:rPr>
        <w:t> </w:t>
      </w:r>
      <w:r>
        <w:rPr/>
        <w:t>by</w:t>
      </w:r>
      <w:r>
        <w:rPr>
          <w:spacing w:val="-17"/>
        </w:rPr>
        <w:t> </w:t>
      </w:r>
      <w:r>
        <w:rPr/>
        <w:t>tenants</w:t>
      </w:r>
      <w:r>
        <w:rPr>
          <w:spacing w:val="-19"/>
        </w:rPr>
        <w:t> </w:t>
      </w:r>
      <w:r>
        <w:rPr/>
        <w:t>during</w:t>
      </w:r>
      <w:r>
        <w:rPr>
          <w:spacing w:val="-18"/>
        </w:rPr>
        <w:t> </w:t>
      </w:r>
      <w:r>
        <w:rPr/>
        <w:t>the</w:t>
      </w:r>
      <w:r>
        <w:rPr>
          <w:spacing w:val="-19"/>
        </w:rPr>
        <w:t> </w:t>
      </w:r>
      <w:r>
        <w:rPr/>
        <w:t>last</w:t>
      </w:r>
      <w:r>
        <w:rPr>
          <w:spacing w:val="-18"/>
        </w:rPr>
        <w:t> </w:t>
      </w:r>
      <w:r>
        <w:rPr/>
        <w:t>3</w:t>
      </w:r>
      <w:r>
        <w:rPr>
          <w:spacing w:val="-20"/>
        </w:rPr>
        <w:t> </w:t>
      </w:r>
      <w:r>
        <w:rPr/>
        <w:t>years.</w:t>
      </w:r>
      <w:r>
        <w:rPr>
          <w:spacing w:val="-20"/>
        </w:rPr>
        <w:t> </w:t>
      </w:r>
      <w:r>
        <w:rPr/>
        <w:t>The lease-up</w:t>
      </w:r>
      <w:r>
        <w:rPr>
          <w:spacing w:val="-13"/>
        </w:rPr>
        <w:t> </w:t>
      </w:r>
      <w:r>
        <w:rPr/>
        <w:t>time</w:t>
      </w:r>
      <w:r>
        <w:rPr>
          <w:spacing w:val="-17"/>
        </w:rPr>
        <w:t> </w:t>
      </w:r>
      <w:r>
        <w:rPr/>
        <w:t>was</w:t>
      </w:r>
      <w:r>
        <w:rPr>
          <w:spacing w:val="-13"/>
        </w:rPr>
        <w:t> </w:t>
      </w:r>
      <w:r>
        <w:rPr/>
        <w:t>observed</w:t>
      </w:r>
      <w:r>
        <w:rPr>
          <w:spacing w:val="-13"/>
        </w:rPr>
        <w:t> </w:t>
      </w:r>
      <w:r>
        <w:rPr/>
        <w:t>to</w:t>
      </w:r>
      <w:r>
        <w:rPr>
          <w:spacing w:val="-14"/>
        </w:rPr>
        <w:t> </w:t>
      </w:r>
      <w:r>
        <w:rPr/>
        <w:t>be</w:t>
      </w:r>
      <w:r>
        <w:rPr>
          <w:spacing w:val="-13"/>
        </w:rPr>
        <w:t> </w:t>
      </w:r>
      <w:r>
        <w:rPr/>
        <w:t>3</w:t>
      </w:r>
      <w:r>
        <w:rPr>
          <w:spacing w:val="-14"/>
        </w:rPr>
        <w:t> </w:t>
      </w:r>
      <w:r>
        <w:rPr/>
        <w:t>-</w:t>
      </w:r>
      <w:r>
        <w:rPr>
          <w:spacing w:val="-13"/>
        </w:rPr>
        <w:t> </w:t>
      </w:r>
      <w:r>
        <w:rPr/>
        <w:t>9</w:t>
      </w:r>
      <w:r>
        <w:rPr>
          <w:spacing w:val="-15"/>
        </w:rPr>
        <w:t> </w:t>
      </w:r>
      <w:r>
        <w:rPr/>
        <w:t>months</w:t>
      </w:r>
      <w:r>
        <w:rPr>
          <w:spacing w:val="-14"/>
        </w:rPr>
        <w:t> </w:t>
      </w:r>
      <w:r>
        <w:rPr/>
        <w:t>based</w:t>
      </w:r>
      <w:r>
        <w:rPr>
          <w:spacing w:val="-13"/>
        </w:rPr>
        <w:t> </w:t>
      </w:r>
      <w:r>
        <w:rPr/>
        <w:t>on</w:t>
      </w:r>
      <w:r>
        <w:rPr>
          <w:spacing w:val="-15"/>
        </w:rPr>
        <w:t> </w:t>
      </w:r>
      <w:r>
        <w:rPr/>
        <w:t>quantum</w:t>
      </w:r>
      <w:r>
        <w:rPr>
          <w:spacing w:val="-12"/>
        </w:rPr>
        <w:t> </w:t>
      </w:r>
      <w:r>
        <w:rPr/>
        <w:t>of</w:t>
      </w:r>
      <w:r>
        <w:rPr>
          <w:spacing w:val="-13"/>
        </w:rPr>
        <w:t> </w:t>
      </w:r>
      <w:r>
        <w:rPr/>
        <w:t>space</w:t>
      </w:r>
      <w:r>
        <w:rPr>
          <w:spacing w:val="-16"/>
        </w:rPr>
        <w:t> </w:t>
      </w:r>
      <w:r>
        <w:rPr/>
        <w:t>being</w:t>
      </w:r>
      <w:r>
        <w:rPr>
          <w:spacing w:val="-14"/>
        </w:rPr>
        <w:t> </w:t>
      </w:r>
      <w:r>
        <w:rPr/>
        <w:t>renewed/</w:t>
      </w:r>
      <w:r>
        <w:rPr>
          <w:spacing w:val="-14"/>
        </w:rPr>
        <w:t> </w:t>
      </w:r>
      <w:r>
        <w:rPr/>
        <w:t>re-leased.</w:t>
      </w:r>
    </w:p>
    <w:p>
      <w:pPr>
        <w:pStyle w:val="BodyText"/>
        <w:spacing w:before="11"/>
        <w:rPr>
          <w:sz w:val="20"/>
        </w:rPr>
      </w:pPr>
    </w:p>
    <w:p>
      <w:pPr>
        <w:pStyle w:val="BodyText"/>
        <w:spacing w:line="321" w:lineRule="auto"/>
        <w:ind w:left="682" w:right="217"/>
        <w:jc w:val="both"/>
      </w:pPr>
      <w:r>
        <w:rPr/>
        <w:t>Based on the size and scale of operations of these tenants, we have adopted individual market rent assumptions for larger tenants in the subject development.</w:t>
      </w:r>
    </w:p>
    <w:p>
      <w:pPr>
        <w:pStyle w:val="BodyText"/>
        <w:rPr>
          <w:sz w:val="17"/>
        </w:rPr>
      </w:pPr>
      <w:r>
        <w:rPr/>
        <w:pict>
          <v:group style="position:absolute;margin-left:35.279999pt;margin-top:11.858281pt;width:524.3pt;height:16.7pt;mso-position-horizontal-relative:page;mso-position-vertical-relative:paragraph;z-index:-15316480;mso-wrap-distance-left:0;mso-wrap-distance-right:0" coordorigin="706,237" coordsize="10486,334">
            <v:shape style="position:absolute;left:720;top:268;width:10472;height:288" coordorigin="720,268" coordsize="10472,288" path="m11191,268l4122,268,720,268,720,556,4122,556,11191,556,11191,268xe" filled="true" fillcolor="#006a4d" stroked="false">
              <v:path arrowok="t"/>
              <v:fill type="solid"/>
            </v:shape>
            <v:rect style="position:absolute;left:720;top:237;width:3402;height:29" filled="true" fillcolor="#1b6b22" stroked="false">
              <v:fill type="solid"/>
            </v:rect>
            <v:shape style="position:absolute;left:720;top:265;width:3431;height:3" coordorigin="720,266" coordsize="3431,3" path="m4151,266l4122,266,720,266,720,268,4122,268,4151,268,4151,266xe" filled="true" fillcolor="#006a4d" stroked="false">
              <v:path arrowok="t"/>
              <v:fill type="solid"/>
            </v:shape>
            <v:shape style="position:absolute;left:4121;top:237;width:7070;height:29" coordorigin="4122,237" coordsize="7070,29" path="m11191,237l4151,237,4122,237,4122,266,4151,266,11191,266,11191,237xe" filled="true" fillcolor="#1b6b22" stroked="false">
              <v:path arrowok="t"/>
              <v:fill type="solid"/>
            </v:shape>
            <v:rect style="position:absolute;left:4150;top:265;width:7041;height:3" filled="true" fillcolor="#006a4d" stroked="false">
              <v:fill type="solid"/>
            </v:rect>
            <v:shape style="position:absolute;left:720;top:556;width:10472;height:15" coordorigin="720,556" coordsize="10472,15" path="m11191,556l4136,556,4122,556,720,556,720,571,4122,571,4136,571,11191,571,11191,556xe" filled="true" fillcolor="#69bd28" stroked="false">
              <v:path arrowok="t"/>
              <v:fill type="solid"/>
            </v:shape>
            <v:shape style="position:absolute;left:705;top:265;width:10486;height:291" type="#_x0000_t202" filled="false" stroked="false">
              <v:textbox inset="0,0,0,0">
                <w:txbxContent>
                  <w:p>
                    <w:pPr>
                      <w:tabs>
                        <w:tab w:pos="4068" w:val="left" w:leader="none"/>
                      </w:tabs>
                      <w:spacing w:before="42"/>
                      <w:ind w:left="1402" w:right="0" w:firstLine="0"/>
                      <w:jc w:val="left"/>
                      <w:rPr>
                        <w:b/>
                        <w:sz w:val="18"/>
                      </w:rPr>
                    </w:pPr>
                    <w:r>
                      <w:rPr>
                        <w:b/>
                        <w:color w:val="FFFFFF"/>
                        <w:w w:val="105"/>
                        <w:sz w:val="18"/>
                      </w:rPr>
                      <w:t>Tenant</w:t>
                      <w:tab/>
                      <w:t>Market Rent Strategy (Discount to Market Rent/ Lease-up</w:t>
                    </w:r>
                    <w:r>
                      <w:rPr>
                        <w:b/>
                        <w:color w:val="FFFFFF"/>
                        <w:spacing w:val="48"/>
                        <w:w w:val="105"/>
                        <w:sz w:val="18"/>
                      </w:rPr>
                      <w:t> </w:t>
                    </w:r>
                    <w:r>
                      <w:rPr>
                        <w:b/>
                        <w:color w:val="FFFFFF"/>
                        <w:w w:val="105"/>
                        <w:sz w:val="18"/>
                      </w:rPr>
                      <w:t>Time)</w:t>
                    </w:r>
                  </w:p>
                </w:txbxContent>
              </v:textbox>
              <w10:wrap type="none"/>
            </v:shape>
            <w10:wrap type="topAndBottom"/>
          </v:group>
        </w:pict>
      </w:r>
    </w:p>
    <w:p>
      <w:pPr>
        <w:tabs>
          <w:tab w:pos="6078" w:val="left" w:leader="none"/>
        </w:tabs>
        <w:spacing w:before="10" w:after="39"/>
        <w:ind w:left="1272" w:right="0" w:firstLine="0"/>
        <w:jc w:val="left"/>
        <w:rPr>
          <w:sz w:val="18"/>
        </w:rPr>
      </w:pPr>
      <w:r>
        <w:rPr>
          <w:sz w:val="18"/>
        </w:rPr>
        <w:t>Anchor</w:t>
      </w:r>
      <w:r>
        <w:rPr>
          <w:spacing w:val="-13"/>
          <w:sz w:val="18"/>
        </w:rPr>
        <w:t> </w:t>
      </w:r>
      <w:r>
        <w:rPr>
          <w:sz w:val="18"/>
        </w:rPr>
        <w:t>Tenant</w:t>
        <w:tab/>
        <w:t>Renewal at 15%</w:t>
      </w:r>
      <w:r>
        <w:rPr>
          <w:spacing w:val="-8"/>
          <w:sz w:val="18"/>
        </w:rPr>
        <w:t> </w:t>
      </w:r>
      <w:r>
        <w:rPr>
          <w:sz w:val="18"/>
        </w:rPr>
        <w:t>discount</w:t>
      </w:r>
    </w:p>
    <w:p>
      <w:pPr>
        <w:pStyle w:val="BodyText"/>
        <w:spacing w:line="20" w:lineRule="exact"/>
        <w:ind w:left="105"/>
        <w:rPr>
          <w:sz w:val="2"/>
        </w:rPr>
      </w:pPr>
      <w:r>
        <w:rPr>
          <w:sz w:val="2"/>
        </w:rPr>
        <w:pict>
          <v:group style="width:524.3pt;height:.75pt;mso-position-horizontal-relative:char;mso-position-vertical-relative:line" coordorigin="0,0" coordsize="10486,15">
            <v:shape style="position:absolute;left:0;top:0;width:10486;height:15" coordorigin="0,0" coordsize="10486,15" path="m10486,0l3416,0,3402,0,0,0,0,14,3402,14,3416,14,10486,14,10486,0xe" filled="true" fillcolor="#69bd28" stroked="false">
              <v:path arrowok="t"/>
              <v:fill type="solid"/>
            </v:shape>
          </v:group>
        </w:pict>
      </w:r>
      <w:r>
        <w:rPr>
          <w:sz w:val="2"/>
        </w:rPr>
      </w:r>
    </w:p>
    <w:p>
      <w:pPr>
        <w:spacing w:before="0"/>
        <w:ind w:left="120" w:right="0" w:firstLine="0"/>
        <w:jc w:val="left"/>
        <w:rPr>
          <w:i/>
          <w:sz w:val="18"/>
        </w:rPr>
      </w:pPr>
      <w:r>
        <w:rPr>
          <w:i/>
          <w:sz w:val="18"/>
        </w:rPr>
        <w:t>Source: Valuer Assessment</w:t>
      </w:r>
    </w:p>
    <w:p>
      <w:pPr>
        <w:pStyle w:val="BodyText"/>
        <w:spacing w:before="2"/>
        <w:rPr>
          <w:i/>
          <w:sz w:val="24"/>
        </w:rPr>
      </w:pPr>
    </w:p>
    <w:p>
      <w:pPr>
        <w:pStyle w:val="ListParagraph"/>
        <w:numPr>
          <w:ilvl w:val="3"/>
          <w:numId w:val="54"/>
        </w:numPr>
        <w:tabs>
          <w:tab w:pos="985" w:val="left" w:leader="none"/>
        </w:tabs>
        <w:spacing w:line="240" w:lineRule="auto" w:before="0" w:after="0"/>
        <w:ind w:left="984" w:right="0" w:hanging="865"/>
        <w:jc w:val="both"/>
        <w:rPr>
          <w:i/>
          <w:sz w:val="20"/>
        </w:rPr>
      </w:pPr>
      <w:r>
        <w:rPr>
          <w:i/>
          <w:color w:val="008000"/>
          <w:sz w:val="20"/>
        </w:rPr>
        <w:t>Rent</w:t>
      </w:r>
      <w:r>
        <w:rPr>
          <w:i/>
          <w:color w:val="008000"/>
          <w:spacing w:val="-4"/>
          <w:sz w:val="20"/>
        </w:rPr>
        <w:t> </w:t>
      </w:r>
      <w:r>
        <w:rPr>
          <w:i/>
          <w:color w:val="008000"/>
          <w:sz w:val="20"/>
        </w:rPr>
        <w:t>Escalation</w:t>
      </w:r>
    </w:p>
    <w:p>
      <w:pPr>
        <w:pStyle w:val="BodyText"/>
        <w:spacing w:line="321" w:lineRule="auto" w:before="136"/>
        <w:ind w:left="739" w:right="215"/>
        <w:jc w:val="both"/>
      </w:pPr>
      <w:r>
        <w:rPr/>
        <w:t>Based</w:t>
      </w:r>
      <w:r>
        <w:rPr>
          <w:spacing w:val="-31"/>
        </w:rPr>
        <w:t> </w:t>
      </w:r>
      <w:r>
        <w:rPr/>
        <w:t>on</w:t>
      </w:r>
      <w:r>
        <w:rPr>
          <w:spacing w:val="-31"/>
        </w:rPr>
        <w:t> </w:t>
      </w:r>
      <w:r>
        <w:rPr/>
        <w:t>analysis</w:t>
      </w:r>
      <w:r>
        <w:rPr>
          <w:spacing w:val="-30"/>
        </w:rPr>
        <w:t> </w:t>
      </w:r>
      <w:r>
        <w:rPr/>
        <w:t>of</w:t>
      </w:r>
      <w:r>
        <w:rPr>
          <w:spacing w:val="-30"/>
        </w:rPr>
        <w:t> </w:t>
      </w:r>
      <w:r>
        <w:rPr/>
        <w:t>existing</w:t>
      </w:r>
      <w:r>
        <w:rPr>
          <w:spacing w:val="-30"/>
        </w:rPr>
        <w:t> </w:t>
      </w:r>
      <w:r>
        <w:rPr/>
        <w:t>lease</w:t>
      </w:r>
      <w:r>
        <w:rPr>
          <w:spacing w:val="-31"/>
        </w:rPr>
        <w:t> </w:t>
      </w:r>
      <w:r>
        <w:rPr/>
        <w:t>rolls,</w:t>
      </w:r>
      <w:r>
        <w:rPr>
          <w:spacing w:val="-30"/>
        </w:rPr>
        <w:t> </w:t>
      </w:r>
      <w:r>
        <w:rPr/>
        <w:t>it</w:t>
      </w:r>
      <w:r>
        <w:rPr>
          <w:spacing w:val="-31"/>
        </w:rPr>
        <w:t> </w:t>
      </w:r>
      <w:r>
        <w:rPr/>
        <w:t>was</w:t>
      </w:r>
      <w:r>
        <w:rPr>
          <w:spacing w:val="-30"/>
        </w:rPr>
        <w:t> </w:t>
      </w:r>
      <w:r>
        <w:rPr/>
        <w:t>observed</w:t>
      </w:r>
      <w:r>
        <w:rPr>
          <w:spacing w:val="-30"/>
        </w:rPr>
        <w:t> </w:t>
      </w:r>
      <w:r>
        <w:rPr/>
        <w:t>that</w:t>
      </w:r>
      <w:r>
        <w:rPr>
          <w:spacing w:val="-31"/>
        </w:rPr>
        <w:t> </w:t>
      </w:r>
      <w:r>
        <w:rPr/>
        <w:t>the</w:t>
      </w:r>
      <w:r>
        <w:rPr>
          <w:spacing w:val="-30"/>
        </w:rPr>
        <w:t> </w:t>
      </w:r>
      <w:r>
        <w:rPr/>
        <w:t>typical</w:t>
      </w:r>
      <w:r>
        <w:rPr>
          <w:spacing w:val="-31"/>
        </w:rPr>
        <w:t> </w:t>
      </w:r>
      <w:r>
        <w:rPr/>
        <w:t>escalation</w:t>
      </w:r>
      <w:r>
        <w:rPr>
          <w:spacing w:val="-32"/>
        </w:rPr>
        <w:t> </w:t>
      </w:r>
      <w:r>
        <w:rPr/>
        <w:t>clause</w:t>
      </w:r>
      <w:r>
        <w:rPr>
          <w:spacing w:val="-30"/>
        </w:rPr>
        <w:t> </w:t>
      </w:r>
      <w:r>
        <w:rPr/>
        <w:t>in</w:t>
      </w:r>
      <w:r>
        <w:rPr>
          <w:spacing w:val="-31"/>
        </w:rPr>
        <w:t> </w:t>
      </w:r>
      <w:r>
        <w:rPr/>
        <w:t>the</w:t>
      </w:r>
      <w:r>
        <w:rPr>
          <w:spacing w:val="-31"/>
        </w:rPr>
        <w:t> </w:t>
      </w:r>
      <w:r>
        <w:rPr/>
        <w:t>subject property</w:t>
      </w:r>
      <w:r>
        <w:rPr>
          <w:spacing w:val="-24"/>
        </w:rPr>
        <w:t> </w:t>
      </w:r>
      <w:r>
        <w:rPr/>
        <w:t>is</w:t>
      </w:r>
      <w:r>
        <w:rPr>
          <w:spacing w:val="-23"/>
        </w:rPr>
        <w:t> </w:t>
      </w:r>
      <w:r>
        <w:rPr/>
        <w:t>approx.</w:t>
      </w:r>
      <w:r>
        <w:rPr>
          <w:spacing w:val="-25"/>
        </w:rPr>
        <w:t> </w:t>
      </w:r>
      <w:r>
        <w:rPr/>
        <w:t>15%</w:t>
      </w:r>
      <w:r>
        <w:rPr>
          <w:spacing w:val="-24"/>
        </w:rPr>
        <w:t> </w:t>
      </w:r>
      <w:r>
        <w:rPr/>
        <w:t>after</w:t>
      </w:r>
      <w:r>
        <w:rPr>
          <w:spacing w:val="-25"/>
        </w:rPr>
        <w:t> </w:t>
      </w:r>
      <w:r>
        <w:rPr/>
        <w:t>every</w:t>
      </w:r>
      <w:r>
        <w:rPr>
          <w:spacing w:val="-24"/>
        </w:rPr>
        <w:t> </w:t>
      </w:r>
      <w:r>
        <w:rPr/>
        <w:t>three</w:t>
      </w:r>
      <w:r>
        <w:rPr>
          <w:spacing w:val="-22"/>
        </w:rPr>
        <w:t> </w:t>
      </w:r>
      <w:r>
        <w:rPr/>
        <w:t>years,</w:t>
      </w:r>
      <w:r>
        <w:rPr>
          <w:spacing w:val="-25"/>
        </w:rPr>
        <w:t> </w:t>
      </w:r>
      <w:r>
        <w:rPr/>
        <w:t>which</w:t>
      </w:r>
      <w:r>
        <w:rPr>
          <w:spacing w:val="-25"/>
        </w:rPr>
        <w:t> </w:t>
      </w:r>
      <w:r>
        <w:rPr/>
        <w:t>is</w:t>
      </w:r>
      <w:r>
        <w:rPr>
          <w:spacing w:val="-24"/>
        </w:rPr>
        <w:t> </w:t>
      </w:r>
      <w:r>
        <w:rPr/>
        <w:t>in-line</w:t>
      </w:r>
      <w:r>
        <w:rPr>
          <w:spacing w:val="-25"/>
        </w:rPr>
        <w:t> </w:t>
      </w:r>
      <w:r>
        <w:rPr/>
        <w:t>with</w:t>
      </w:r>
      <w:r>
        <w:rPr>
          <w:spacing w:val="-25"/>
        </w:rPr>
        <w:t> </w:t>
      </w:r>
      <w:r>
        <w:rPr/>
        <w:t>the</w:t>
      </w:r>
      <w:r>
        <w:rPr>
          <w:spacing w:val="-25"/>
        </w:rPr>
        <w:t> </w:t>
      </w:r>
      <w:r>
        <w:rPr/>
        <w:t>trend</w:t>
      </w:r>
      <w:r>
        <w:rPr>
          <w:spacing w:val="-24"/>
        </w:rPr>
        <w:t> </w:t>
      </w:r>
      <w:r>
        <w:rPr/>
        <w:t>observed</w:t>
      </w:r>
      <w:r>
        <w:rPr>
          <w:spacing w:val="-24"/>
        </w:rPr>
        <w:t> </w:t>
      </w:r>
      <w:r>
        <w:rPr/>
        <w:t>in</w:t>
      </w:r>
      <w:r>
        <w:rPr>
          <w:spacing w:val="-25"/>
        </w:rPr>
        <w:t> </w:t>
      </w:r>
      <w:r>
        <w:rPr/>
        <w:t>the</w:t>
      </w:r>
      <w:r>
        <w:rPr>
          <w:spacing w:val="-25"/>
        </w:rPr>
        <w:t> </w:t>
      </w:r>
      <w:r>
        <w:rPr/>
        <w:t>market. The</w:t>
      </w:r>
      <w:r>
        <w:rPr>
          <w:spacing w:val="-15"/>
        </w:rPr>
        <w:t> </w:t>
      </w:r>
      <w:r>
        <w:rPr/>
        <w:t>same</w:t>
      </w:r>
      <w:r>
        <w:rPr>
          <w:spacing w:val="-14"/>
        </w:rPr>
        <w:t> </w:t>
      </w:r>
      <w:r>
        <w:rPr/>
        <w:t>has</w:t>
      </w:r>
      <w:r>
        <w:rPr>
          <w:spacing w:val="-14"/>
        </w:rPr>
        <w:t> </w:t>
      </w:r>
      <w:r>
        <w:rPr/>
        <w:t>been</w:t>
      </w:r>
      <w:r>
        <w:rPr>
          <w:spacing w:val="-15"/>
        </w:rPr>
        <w:t> </w:t>
      </w:r>
      <w:r>
        <w:rPr/>
        <w:t>adopted</w:t>
      </w:r>
      <w:r>
        <w:rPr>
          <w:spacing w:val="-13"/>
        </w:rPr>
        <w:t> </w:t>
      </w:r>
      <w:r>
        <w:rPr/>
        <w:t>by</w:t>
      </w:r>
      <w:r>
        <w:rPr>
          <w:spacing w:val="-12"/>
        </w:rPr>
        <w:t> </w:t>
      </w:r>
      <w:r>
        <w:rPr/>
        <w:t>Valuer</w:t>
      </w:r>
      <w:r>
        <w:rPr>
          <w:spacing w:val="-14"/>
        </w:rPr>
        <w:t> </w:t>
      </w:r>
      <w:r>
        <w:rPr/>
        <w:t>for</w:t>
      </w:r>
      <w:r>
        <w:rPr>
          <w:spacing w:val="-14"/>
        </w:rPr>
        <w:t> </w:t>
      </w:r>
      <w:r>
        <w:rPr/>
        <w:t>the</w:t>
      </w:r>
      <w:r>
        <w:rPr>
          <w:spacing w:val="-14"/>
        </w:rPr>
        <w:t> </w:t>
      </w:r>
      <w:r>
        <w:rPr/>
        <w:t>vacant</w:t>
      </w:r>
      <w:r>
        <w:rPr>
          <w:spacing w:val="-14"/>
        </w:rPr>
        <w:t> </w:t>
      </w:r>
      <w:r>
        <w:rPr/>
        <w:t>area</w:t>
      </w:r>
      <w:r>
        <w:rPr>
          <w:spacing w:val="-14"/>
        </w:rPr>
        <w:t> </w:t>
      </w:r>
      <w:r>
        <w:rPr/>
        <w:t>in</w:t>
      </w:r>
      <w:r>
        <w:rPr>
          <w:spacing w:val="-14"/>
        </w:rPr>
        <w:t> </w:t>
      </w:r>
      <w:r>
        <w:rPr/>
        <w:t>completed</w:t>
      </w:r>
      <w:r>
        <w:rPr>
          <w:spacing w:val="-14"/>
        </w:rPr>
        <w:t> </w:t>
      </w:r>
      <w:r>
        <w:rPr/>
        <w:t>blocks</w:t>
      </w:r>
      <w:r>
        <w:rPr>
          <w:spacing w:val="-13"/>
        </w:rPr>
        <w:t> </w:t>
      </w:r>
      <w:r>
        <w:rPr/>
        <w:t>and</w:t>
      </w:r>
      <w:r>
        <w:rPr>
          <w:spacing w:val="-13"/>
        </w:rPr>
        <w:t> </w:t>
      </w:r>
      <w:r>
        <w:rPr/>
        <w:t>proposed</w:t>
      </w:r>
      <w:r>
        <w:rPr>
          <w:spacing w:val="-16"/>
        </w:rPr>
        <w:t> </w:t>
      </w:r>
      <w:r>
        <w:rPr/>
        <w:t>blocks.</w:t>
      </w:r>
    </w:p>
    <w:p>
      <w:pPr>
        <w:pStyle w:val="ListParagraph"/>
        <w:numPr>
          <w:ilvl w:val="3"/>
          <w:numId w:val="54"/>
        </w:numPr>
        <w:tabs>
          <w:tab w:pos="985" w:val="left" w:leader="none"/>
        </w:tabs>
        <w:spacing w:line="240" w:lineRule="auto" w:before="209" w:after="0"/>
        <w:ind w:left="984" w:right="0" w:hanging="865"/>
        <w:jc w:val="both"/>
        <w:rPr>
          <w:i/>
          <w:sz w:val="20"/>
        </w:rPr>
      </w:pPr>
      <w:r>
        <w:rPr>
          <w:i/>
          <w:color w:val="008000"/>
          <w:sz w:val="20"/>
        </w:rPr>
        <w:t>Fit-out</w:t>
      </w:r>
      <w:r>
        <w:rPr>
          <w:i/>
          <w:color w:val="008000"/>
          <w:spacing w:val="-4"/>
          <w:sz w:val="20"/>
        </w:rPr>
        <w:t> </w:t>
      </w:r>
      <w:r>
        <w:rPr>
          <w:i/>
          <w:color w:val="008000"/>
          <w:sz w:val="20"/>
        </w:rPr>
        <w:t>Rentals</w:t>
      </w:r>
    </w:p>
    <w:p>
      <w:pPr>
        <w:pStyle w:val="BodyText"/>
        <w:spacing w:before="136"/>
        <w:ind w:left="682"/>
        <w:jc w:val="both"/>
      </w:pPr>
      <w:r>
        <w:rPr/>
        <w:t>As</w:t>
      </w:r>
      <w:r>
        <w:rPr>
          <w:spacing w:val="-44"/>
        </w:rPr>
        <w:t> </w:t>
      </w:r>
      <w:r>
        <w:rPr/>
        <w:t>per</w:t>
      </w:r>
      <w:r>
        <w:rPr>
          <w:spacing w:val="-44"/>
        </w:rPr>
        <w:t> </w:t>
      </w:r>
      <w:r>
        <w:rPr/>
        <w:t>the</w:t>
      </w:r>
      <w:r>
        <w:rPr>
          <w:spacing w:val="-43"/>
        </w:rPr>
        <w:t> </w:t>
      </w:r>
      <w:r>
        <w:rPr/>
        <w:t>information</w:t>
      </w:r>
      <w:r>
        <w:rPr>
          <w:spacing w:val="-44"/>
        </w:rPr>
        <w:t> </w:t>
      </w:r>
      <w:r>
        <w:rPr/>
        <w:t>(rent</w:t>
      </w:r>
      <w:r>
        <w:rPr>
          <w:spacing w:val="-44"/>
        </w:rPr>
        <w:t> </w:t>
      </w:r>
      <w:r>
        <w:rPr/>
        <w:t>rolls)</w:t>
      </w:r>
      <w:r>
        <w:rPr>
          <w:spacing w:val="-43"/>
        </w:rPr>
        <w:t> </w:t>
      </w:r>
      <w:r>
        <w:rPr/>
        <w:t>provided</w:t>
      </w:r>
      <w:r>
        <w:rPr>
          <w:spacing w:val="-44"/>
        </w:rPr>
        <w:t> </w:t>
      </w:r>
      <w:r>
        <w:rPr/>
        <w:t>by</w:t>
      </w:r>
      <w:r>
        <w:rPr>
          <w:spacing w:val="-43"/>
        </w:rPr>
        <w:t> </w:t>
      </w:r>
      <w:r>
        <w:rPr/>
        <w:t>the</w:t>
      </w:r>
      <w:r>
        <w:rPr>
          <w:spacing w:val="-44"/>
        </w:rPr>
        <w:t> </w:t>
      </w:r>
      <w:r>
        <w:rPr/>
        <w:t>Client’s</w:t>
      </w:r>
      <w:r>
        <w:rPr>
          <w:spacing w:val="-43"/>
        </w:rPr>
        <w:t> </w:t>
      </w:r>
      <w:r>
        <w:rPr/>
        <w:t>representative,</w:t>
      </w:r>
      <w:r>
        <w:rPr>
          <w:spacing w:val="-44"/>
        </w:rPr>
        <w:t> </w:t>
      </w:r>
      <w:r>
        <w:rPr/>
        <w:t>we</w:t>
      </w:r>
      <w:r>
        <w:rPr>
          <w:spacing w:val="-43"/>
        </w:rPr>
        <w:t> </w:t>
      </w:r>
      <w:r>
        <w:rPr/>
        <w:t>understand</w:t>
      </w:r>
      <w:r>
        <w:rPr>
          <w:spacing w:val="-43"/>
        </w:rPr>
        <w:t> </w:t>
      </w:r>
      <w:r>
        <w:rPr/>
        <w:t>that</w:t>
      </w:r>
      <w:r>
        <w:rPr>
          <w:spacing w:val="-44"/>
        </w:rPr>
        <w:t> </w:t>
      </w:r>
      <w:r>
        <w:rPr/>
        <w:t>in</w:t>
      </w:r>
      <w:r>
        <w:rPr>
          <w:spacing w:val="-43"/>
        </w:rPr>
        <w:t> </w:t>
      </w:r>
      <w:r>
        <w:rPr/>
        <w:t>addition</w:t>
      </w:r>
    </w:p>
    <w:p>
      <w:pPr>
        <w:pStyle w:val="BodyText"/>
        <w:spacing w:before="88"/>
        <w:ind w:left="682"/>
        <w:jc w:val="both"/>
      </w:pPr>
      <w:r>
        <w:rPr/>
        <w:t>to</w:t>
      </w:r>
      <w:r>
        <w:rPr>
          <w:spacing w:val="-24"/>
        </w:rPr>
        <w:t> </w:t>
      </w:r>
      <w:r>
        <w:rPr/>
        <w:t>the</w:t>
      </w:r>
      <w:r>
        <w:rPr>
          <w:spacing w:val="-23"/>
        </w:rPr>
        <w:t> </w:t>
      </w:r>
      <w:r>
        <w:rPr/>
        <w:t>lease</w:t>
      </w:r>
      <w:r>
        <w:rPr>
          <w:spacing w:val="-23"/>
        </w:rPr>
        <w:t> </w:t>
      </w:r>
      <w:r>
        <w:rPr/>
        <w:t>rents,</w:t>
      </w:r>
      <w:r>
        <w:rPr>
          <w:spacing w:val="-24"/>
        </w:rPr>
        <w:t> </w:t>
      </w:r>
      <w:r>
        <w:rPr/>
        <w:t>there</w:t>
      </w:r>
      <w:r>
        <w:rPr>
          <w:spacing w:val="-23"/>
        </w:rPr>
        <w:t> </w:t>
      </w:r>
      <w:r>
        <w:rPr/>
        <w:t>is</w:t>
      </w:r>
      <w:r>
        <w:rPr>
          <w:spacing w:val="-22"/>
        </w:rPr>
        <w:t> </w:t>
      </w:r>
      <w:r>
        <w:rPr/>
        <w:t>rent</w:t>
      </w:r>
      <w:r>
        <w:rPr>
          <w:spacing w:val="-23"/>
        </w:rPr>
        <w:t> </w:t>
      </w:r>
      <w:r>
        <w:rPr/>
        <w:t>towards</w:t>
      </w:r>
      <w:r>
        <w:rPr>
          <w:spacing w:val="-23"/>
        </w:rPr>
        <w:t> </w:t>
      </w:r>
      <w:r>
        <w:rPr/>
        <w:t>fit</w:t>
      </w:r>
      <w:r>
        <w:rPr>
          <w:spacing w:val="-23"/>
        </w:rPr>
        <w:t> </w:t>
      </w:r>
      <w:r>
        <w:rPr/>
        <w:t>outs</w:t>
      </w:r>
      <w:r>
        <w:rPr>
          <w:spacing w:val="-24"/>
        </w:rPr>
        <w:t> </w:t>
      </w:r>
      <w:r>
        <w:rPr/>
        <w:t>for</w:t>
      </w:r>
      <w:r>
        <w:rPr>
          <w:spacing w:val="-25"/>
        </w:rPr>
        <w:t> </w:t>
      </w:r>
      <w:r>
        <w:rPr/>
        <w:t>few</w:t>
      </w:r>
      <w:r>
        <w:rPr>
          <w:spacing w:val="-23"/>
        </w:rPr>
        <w:t> </w:t>
      </w:r>
      <w:r>
        <w:rPr/>
        <w:t>of</w:t>
      </w:r>
      <w:r>
        <w:rPr>
          <w:spacing w:val="-24"/>
        </w:rPr>
        <w:t> </w:t>
      </w:r>
      <w:r>
        <w:rPr/>
        <w:t>the</w:t>
      </w:r>
      <w:r>
        <w:rPr>
          <w:spacing w:val="-24"/>
        </w:rPr>
        <w:t> </w:t>
      </w:r>
      <w:r>
        <w:rPr/>
        <w:t>tenants.</w:t>
      </w:r>
      <w:r>
        <w:rPr>
          <w:spacing w:val="-25"/>
        </w:rPr>
        <w:t> </w:t>
      </w:r>
      <w:r>
        <w:rPr/>
        <w:t>The</w:t>
      </w:r>
      <w:r>
        <w:rPr>
          <w:spacing w:val="-20"/>
        </w:rPr>
        <w:t> </w:t>
      </w:r>
      <w:r>
        <w:rPr/>
        <w:t>rents</w:t>
      </w:r>
      <w:r>
        <w:rPr>
          <w:spacing w:val="-23"/>
        </w:rPr>
        <w:t> </w:t>
      </w:r>
      <w:r>
        <w:rPr/>
        <w:t>are</w:t>
      </w:r>
      <w:r>
        <w:rPr>
          <w:spacing w:val="-23"/>
        </w:rPr>
        <w:t> </w:t>
      </w:r>
      <w:r>
        <w:rPr/>
        <w:t>in</w:t>
      </w:r>
      <w:r>
        <w:rPr>
          <w:spacing w:val="-24"/>
        </w:rPr>
        <w:t> </w:t>
      </w:r>
      <w:r>
        <w:rPr/>
        <w:t>the</w:t>
      </w:r>
      <w:r>
        <w:rPr>
          <w:spacing w:val="-24"/>
        </w:rPr>
        <w:t> </w:t>
      </w:r>
      <w:r>
        <w:rPr/>
        <w:t>range</w:t>
      </w:r>
      <w:r>
        <w:rPr>
          <w:spacing w:val="-23"/>
        </w:rPr>
        <w:t> </w:t>
      </w:r>
      <w:r>
        <w:rPr/>
        <w:t>of</w:t>
      </w:r>
      <w:r>
        <w:rPr>
          <w:spacing w:val="-23"/>
        </w:rPr>
        <w:t> </w:t>
      </w:r>
      <w:r>
        <w:rPr/>
        <w:t>INR</w:t>
      </w:r>
    </w:p>
    <w:p>
      <w:pPr>
        <w:spacing w:after="0"/>
        <w:jc w:val="both"/>
        <w:sectPr>
          <w:headerReference w:type="default" r:id="rId191"/>
          <w:footerReference w:type="default" r:id="rId192"/>
          <w:pgSz w:w="11910" w:h="16840"/>
          <w:pgMar w:header="720" w:footer="921" w:top="1660" w:bottom="1120" w:left="600" w:right="500"/>
          <w:pgNumType w:start="166"/>
        </w:sectPr>
      </w:pPr>
    </w:p>
    <w:p>
      <w:pPr>
        <w:pStyle w:val="BodyText"/>
        <w:spacing w:before="7"/>
        <w:rPr>
          <w:sz w:val="9"/>
        </w:rPr>
      </w:pPr>
    </w:p>
    <w:p>
      <w:pPr>
        <w:pStyle w:val="BodyText"/>
        <w:spacing w:line="321" w:lineRule="auto" w:before="106"/>
        <w:ind w:left="682" w:right="215"/>
        <w:jc w:val="both"/>
      </w:pPr>
      <w:r>
        <w:rPr/>
        <w:t>18</w:t>
      </w:r>
      <w:r>
        <w:rPr>
          <w:spacing w:val="-9"/>
        </w:rPr>
        <w:t> </w:t>
      </w:r>
      <w:r>
        <w:rPr/>
        <w:t>to</w:t>
      </w:r>
      <w:r>
        <w:rPr>
          <w:spacing w:val="-9"/>
        </w:rPr>
        <w:t> </w:t>
      </w:r>
      <w:r>
        <w:rPr/>
        <w:t>40</w:t>
      </w:r>
      <w:r>
        <w:rPr>
          <w:spacing w:val="-9"/>
        </w:rPr>
        <w:t> </w:t>
      </w:r>
      <w:r>
        <w:rPr/>
        <w:t>psf</w:t>
      </w:r>
      <w:r>
        <w:rPr>
          <w:spacing w:val="-10"/>
        </w:rPr>
        <w:t> </w:t>
      </w:r>
      <w:r>
        <w:rPr/>
        <w:t>pm.</w:t>
      </w:r>
      <w:r>
        <w:rPr>
          <w:spacing w:val="-9"/>
        </w:rPr>
        <w:t> </w:t>
      </w:r>
      <w:r>
        <w:rPr/>
        <w:t>For</w:t>
      </w:r>
      <w:r>
        <w:rPr>
          <w:spacing w:val="-9"/>
        </w:rPr>
        <w:t> </w:t>
      </w:r>
      <w:r>
        <w:rPr/>
        <w:t>the</w:t>
      </w:r>
      <w:r>
        <w:rPr>
          <w:spacing w:val="-11"/>
        </w:rPr>
        <w:t> </w:t>
      </w:r>
      <w:r>
        <w:rPr/>
        <w:t>purpose</w:t>
      </w:r>
      <w:r>
        <w:rPr>
          <w:spacing w:val="-9"/>
        </w:rPr>
        <w:t> </w:t>
      </w:r>
      <w:r>
        <w:rPr/>
        <w:t>of</w:t>
      </w:r>
      <w:r>
        <w:rPr>
          <w:spacing w:val="-8"/>
        </w:rPr>
        <w:t> </w:t>
      </w:r>
      <w:r>
        <w:rPr/>
        <w:t>this</w:t>
      </w:r>
      <w:r>
        <w:rPr>
          <w:spacing w:val="-8"/>
        </w:rPr>
        <w:t> </w:t>
      </w:r>
      <w:r>
        <w:rPr/>
        <w:t>valuation,</w:t>
      </w:r>
      <w:r>
        <w:rPr>
          <w:spacing w:val="-10"/>
        </w:rPr>
        <w:t> </w:t>
      </w:r>
      <w:r>
        <w:rPr/>
        <w:t>we</w:t>
      </w:r>
      <w:r>
        <w:rPr>
          <w:spacing w:val="-8"/>
        </w:rPr>
        <w:t> </w:t>
      </w:r>
      <w:r>
        <w:rPr/>
        <w:t>have</w:t>
      </w:r>
      <w:r>
        <w:rPr>
          <w:spacing w:val="-9"/>
        </w:rPr>
        <w:t> </w:t>
      </w:r>
      <w:r>
        <w:rPr/>
        <w:t>adopted</w:t>
      </w:r>
      <w:r>
        <w:rPr>
          <w:spacing w:val="-8"/>
        </w:rPr>
        <w:t> </w:t>
      </w:r>
      <w:r>
        <w:rPr/>
        <w:t>the</w:t>
      </w:r>
      <w:r>
        <w:rPr>
          <w:spacing w:val="-10"/>
        </w:rPr>
        <w:t> </w:t>
      </w:r>
      <w:r>
        <w:rPr/>
        <w:t>tenant</w:t>
      </w:r>
      <w:r>
        <w:rPr>
          <w:spacing w:val="-8"/>
        </w:rPr>
        <w:t> </w:t>
      </w:r>
      <w:r>
        <w:rPr/>
        <w:t>wise</w:t>
      </w:r>
      <w:r>
        <w:rPr>
          <w:spacing w:val="-9"/>
        </w:rPr>
        <w:t> </w:t>
      </w:r>
      <w:r>
        <w:rPr/>
        <w:t>fit-out</w:t>
      </w:r>
      <w:r>
        <w:rPr>
          <w:spacing w:val="-10"/>
        </w:rPr>
        <w:t> </w:t>
      </w:r>
      <w:r>
        <w:rPr/>
        <w:t>details</w:t>
      </w:r>
      <w:r>
        <w:rPr>
          <w:spacing w:val="-11"/>
        </w:rPr>
        <w:t> </w:t>
      </w:r>
      <w:r>
        <w:rPr/>
        <w:t>as provided in the rent</w:t>
      </w:r>
      <w:r>
        <w:rPr>
          <w:spacing w:val="-15"/>
        </w:rPr>
        <w:t> </w:t>
      </w:r>
      <w:r>
        <w:rPr/>
        <w:t>roll.</w:t>
      </w:r>
    </w:p>
    <w:p>
      <w:pPr>
        <w:pStyle w:val="BodyText"/>
        <w:spacing w:line="319" w:lineRule="auto" w:before="122"/>
        <w:ind w:left="682" w:right="221"/>
        <w:jc w:val="both"/>
      </w:pPr>
      <w:r>
        <w:rPr/>
        <w:t>Moreover,</w:t>
      </w:r>
      <w:r>
        <w:rPr>
          <w:spacing w:val="-12"/>
        </w:rPr>
        <w:t> </w:t>
      </w:r>
      <w:r>
        <w:rPr/>
        <w:t>for</w:t>
      </w:r>
      <w:r>
        <w:rPr>
          <w:spacing w:val="-11"/>
        </w:rPr>
        <w:t> </w:t>
      </w:r>
      <w:r>
        <w:rPr/>
        <w:t>the</w:t>
      </w:r>
      <w:r>
        <w:rPr>
          <w:spacing w:val="-12"/>
        </w:rPr>
        <w:t> </w:t>
      </w:r>
      <w:r>
        <w:rPr/>
        <w:t>proposed</w:t>
      </w:r>
      <w:r>
        <w:rPr>
          <w:spacing w:val="-10"/>
        </w:rPr>
        <w:t> </w:t>
      </w:r>
      <w:r>
        <w:rPr/>
        <w:t>blocks,</w:t>
      </w:r>
      <w:r>
        <w:rPr>
          <w:spacing w:val="-13"/>
        </w:rPr>
        <w:t> </w:t>
      </w:r>
      <w:r>
        <w:rPr/>
        <w:t>we</w:t>
      </w:r>
      <w:r>
        <w:rPr>
          <w:spacing w:val="-12"/>
        </w:rPr>
        <w:t> </w:t>
      </w:r>
      <w:r>
        <w:rPr/>
        <w:t>have</w:t>
      </w:r>
      <w:r>
        <w:rPr>
          <w:spacing w:val="-11"/>
        </w:rPr>
        <w:t> </w:t>
      </w:r>
      <w:r>
        <w:rPr/>
        <w:t>assumed</w:t>
      </w:r>
      <w:r>
        <w:rPr>
          <w:spacing w:val="-11"/>
        </w:rPr>
        <w:t> </w:t>
      </w:r>
      <w:r>
        <w:rPr/>
        <w:t>that</w:t>
      </w:r>
      <w:r>
        <w:rPr>
          <w:spacing w:val="-12"/>
        </w:rPr>
        <w:t> </w:t>
      </w:r>
      <w:r>
        <w:rPr/>
        <w:t>the</w:t>
      </w:r>
      <w:r>
        <w:rPr>
          <w:spacing w:val="-12"/>
        </w:rPr>
        <w:t> </w:t>
      </w:r>
      <w:r>
        <w:rPr/>
        <w:t>development</w:t>
      </w:r>
      <w:r>
        <w:rPr>
          <w:spacing w:val="-11"/>
        </w:rPr>
        <w:t> </w:t>
      </w:r>
      <w:r>
        <w:rPr/>
        <w:t>would</w:t>
      </w:r>
      <w:r>
        <w:rPr>
          <w:spacing w:val="-13"/>
        </w:rPr>
        <w:t> </w:t>
      </w:r>
      <w:r>
        <w:rPr/>
        <w:t>be</w:t>
      </w:r>
      <w:r>
        <w:rPr>
          <w:spacing w:val="-11"/>
        </w:rPr>
        <w:t> </w:t>
      </w:r>
      <w:r>
        <w:rPr/>
        <w:t>leased</w:t>
      </w:r>
      <w:r>
        <w:rPr>
          <w:spacing w:val="-11"/>
        </w:rPr>
        <w:t> </w:t>
      </w:r>
      <w:r>
        <w:rPr/>
        <w:t>on</w:t>
      </w:r>
      <w:r>
        <w:rPr>
          <w:spacing w:val="-12"/>
        </w:rPr>
        <w:t> </w:t>
      </w:r>
      <w:r>
        <w:rPr/>
        <w:t>warm shell</w:t>
      </w:r>
      <w:r>
        <w:rPr>
          <w:spacing w:val="-8"/>
        </w:rPr>
        <w:t> </w:t>
      </w:r>
      <w:r>
        <w:rPr/>
        <w:t>specifications</w:t>
      </w:r>
      <w:r>
        <w:rPr>
          <w:spacing w:val="-9"/>
        </w:rPr>
        <w:t> </w:t>
      </w:r>
      <w:r>
        <w:rPr/>
        <w:t>with</w:t>
      </w:r>
      <w:r>
        <w:rPr>
          <w:spacing w:val="-8"/>
        </w:rPr>
        <w:t> </w:t>
      </w:r>
      <w:r>
        <w:rPr/>
        <w:t>no</w:t>
      </w:r>
      <w:r>
        <w:rPr>
          <w:spacing w:val="-7"/>
        </w:rPr>
        <w:t> </w:t>
      </w:r>
      <w:r>
        <w:rPr/>
        <w:t>applicable</w:t>
      </w:r>
      <w:r>
        <w:rPr>
          <w:spacing w:val="-7"/>
        </w:rPr>
        <w:t> </w:t>
      </w:r>
      <w:r>
        <w:rPr/>
        <w:t>fit-out</w:t>
      </w:r>
      <w:r>
        <w:rPr>
          <w:spacing w:val="-6"/>
        </w:rPr>
        <w:t> </w:t>
      </w:r>
      <w:r>
        <w:rPr/>
        <w:t>rents</w:t>
      </w:r>
      <w:r>
        <w:rPr>
          <w:spacing w:val="-8"/>
        </w:rPr>
        <w:t> </w:t>
      </w:r>
      <w:r>
        <w:rPr/>
        <w:t>on</w:t>
      </w:r>
      <w:r>
        <w:rPr>
          <w:spacing w:val="-8"/>
        </w:rPr>
        <w:t> </w:t>
      </w:r>
      <w:r>
        <w:rPr/>
        <w:t>any</w:t>
      </w:r>
      <w:r>
        <w:rPr>
          <w:spacing w:val="-6"/>
        </w:rPr>
        <w:t> </w:t>
      </w:r>
      <w:r>
        <w:rPr/>
        <w:t>lease.</w:t>
      </w:r>
    </w:p>
    <w:p>
      <w:pPr>
        <w:pStyle w:val="ListParagraph"/>
        <w:numPr>
          <w:ilvl w:val="3"/>
          <w:numId w:val="54"/>
        </w:numPr>
        <w:tabs>
          <w:tab w:pos="985" w:val="left" w:leader="none"/>
        </w:tabs>
        <w:spacing w:line="240" w:lineRule="auto" w:before="213" w:after="0"/>
        <w:ind w:left="984" w:right="0" w:hanging="865"/>
        <w:jc w:val="both"/>
        <w:rPr>
          <w:i/>
          <w:sz w:val="20"/>
        </w:rPr>
      </w:pPr>
      <w:r>
        <w:rPr>
          <w:i/>
          <w:color w:val="008000"/>
          <w:sz w:val="20"/>
        </w:rPr>
        <w:t>Parking</w:t>
      </w:r>
      <w:r>
        <w:rPr>
          <w:i/>
          <w:color w:val="008000"/>
          <w:spacing w:val="-2"/>
          <w:sz w:val="20"/>
        </w:rPr>
        <w:t> </w:t>
      </w:r>
      <w:r>
        <w:rPr>
          <w:i/>
          <w:color w:val="008000"/>
          <w:sz w:val="20"/>
        </w:rPr>
        <w:t>Assumptions</w:t>
      </w:r>
    </w:p>
    <w:p>
      <w:pPr>
        <w:pStyle w:val="BodyText"/>
        <w:spacing w:line="321" w:lineRule="auto" w:before="76"/>
        <w:ind w:left="682" w:right="216"/>
        <w:jc w:val="both"/>
      </w:pPr>
      <w:r>
        <w:rPr/>
        <w:t>Based</w:t>
      </w:r>
      <w:r>
        <w:rPr>
          <w:spacing w:val="-28"/>
        </w:rPr>
        <w:t> </w:t>
      </w:r>
      <w:r>
        <w:rPr/>
        <w:t>on</w:t>
      </w:r>
      <w:r>
        <w:rPr>
          <w:spacing w:val="-28"/>
        </w:rPr>
        <w:t> </w:t>
      </w:r>
      <w:r>
        <w:rPr/>
        <w:t>the</w:t>
      </w:r>
      <w:r>
        <w:rPr>
          <w:spacing w:val="-28"/>
        </w:rPr>
        <w:t> </w:t>
      </w:r>
      <w:r>
        <w:rPr/>
        <w:t>prevailing</w:t>
      </w:r>
      <w:r>
        <w:rPr>
          <w:spacing w:val="-28"/>
        </w:rPr>
        <w:t> </w:t>
      </w:r>
      <w:r>
        <w:rPr/>
        <w:t>car</w:t>
      </w:r>
      <w:r>
        <w:rPr>
          <w:spacing w:val="-28"/>
        </w:rPr>
        <w:t> </w:t>
      </w:r>
      <w:r>
        <w:rPr/>
        <w:t>parking</w:t>
      </w:r>
      <w:r>
        <w:rPr>
          <w:spacing w:val="-27"/>
        </w:rPr>
        <w:t> </w:t>
      </w:r>
      <w:r>
        <w:rPr/>
        <w:t>rate</w:t>
      </w:r>
      <w:r>
        <w:rPr>
          <w:spacing w:val="-28"/>
        </w:rPr>
        <w:t> </w:t>
      </w:r>
      <w:r>
        <w:rPr/>
        <w:t>in</w:t>
      </w:r>
      <w:r>
        <w:rPr>
          <w:spacing w:val="-27"/>
        </w:rPr>
        <w:t> </w:t>
      </w:r>
      <w:r>
        <w:rPr/>
        <w:t>the</w:t>
      </w:r>
      <w:r>
        <w:rPr>
          <w:spacing w:val="-29"/>
        </w:rPr>
        <w:t> </w:t>
      </w:r>
      <w:r>
        <w:rPr/>
        <w:t>subject</w:t>
      </w:r>
      <w:r>
        <w:rPr>
          <w:spacing w:val="-27"/>
        </w:rPr>
        <w:t> </w:t>
      </w:r>
      <w:r>
        <w:rPr/>
        <w:t>development</w:t>
      </w:r>
      <w:r>
        <w:rPr>
          <w:spacing w:val="-28"/>
        </w:rPr>
        <w:t> </w:t>
      </w:r>
      <w:r>
        <w:rPr/>
        <w:t>and</w:t>
      </w:r>
      <w:r>
        <w:rPr>
          <w:spacing w:val="-28"/>
        </w:rPr>
        <w:t> </w:t>
      </w:r>
      <w:r>
        <w:rPr/>
        <w:t>West</w:t>
      </w:r>
      <w:r>
        <w:rPr>
          <w:spacing w:val="-27"/>
        </w:rPr>
        <w:t> </w:t>
      </w:r>
      <w:r>
        <w:rPr/>
        <w:t>Pune</w:t>
      </w:r>
      <w:r>
        <w:rPr>
          <w:spacing w:val="-26"/>
        </w:rPr>
        <w:t> </w:t>
      </w:r>
      <w:r>
        <w:rPr/>
        <w:t>submarket,</w:t>
      </w:r>
      <w:r>
        <w:rPr>
          <w:spacing w:val="-28"/>
        </w:rPr>
        <w:t> </w:t>
      </w:r>
      <w:r>
        <w:rPr/>
        <w:t>we</w:t>
      </w:r>
      <w:r>
        <w:rPr>
          <w:spacing w:val="-28"/>
        </w:rPr>
        <w:t> </w:t>
      </w:r>
      <w:r>
        <w:rPr/>
        <w:t>have assumed</w:t>
      </w:r>
      <w:r>
        <w:rPr>
          <w:spacing w:val="-11"/>
        </w:rPr>
        <w:t> </w:t>
      </w:r>
      <w:r>
        <w:rPr/>
        <w:t>a</w:t>
      </w:r>
      <w:r>
        <w:rPr>
          <w:spacing w:val="-11"/>
        </w:rPr>
        <w:t> </w:t>
      </w:r>
      <w:r>
        <w:rPr/>
        <w:t>car</w:t>
      </w:r>
      <w:r>
        <w:rPr>
          <w:spacing w:val="-11"/>
        </w:rPr>
        <w:t> </w:t>
      </w:r>
      <w:r>
        <w:rPr/>
        <w:t>park</w:t>
      </w:r>
      <w:r>
        <w:rPr>
          <w:spacing w:val="-11"/>
        </w:rPr>
        <w:t> </w:t>
      </w:r>
      <w:r>
        <w:rPr/>
        <w:t>charge</w:t>
      </w:r>
      <w:r>
        <w:rPr>
          <w:spacing w:val="-11"/>
        </w:rPr>
        <w:t> </w:t>
      </w:r>
      <w:r>
        <w:rPr/>
        <w:t>of</w:t>
      </w:r>
      <w:r>
        <w:rPr>
          <w:spacing w:val="-12"/>
        </w:rPr>
        <w:t> </w:t>
      </w:r>
      <w:r>
        <w:rPr/>
        <w:t>INR</w:t>
      </w:r>
      <w:r>
        <w:rPr>
          <w:spacing w:val="-12"/>
        </w:rPr>
        <w:t> </w:t>
      </w:r>
      <w:r>
        <w:rPr/>
        <w:t>3,000</w:t>
      </w:r>
      <w:r>
        <w:rPr>
          <w:spacing w:val="-11"/>
        </w:rPr>
        <w:t> </w:t>
      </w:r>
      <w:r>
        <w:rPr/>
        <w:t>per</w:t>
      </w:r>
      <w:r>
        <w:rPr>
          <w:spacing w:val="-11"/>
        </w:rPr>
        <w:t> </w:t>
      </w:r>
      <w:r>
        <w:rPr/>
        <w:t>month</w:t>
      </w:r>
      <w:r>
        <w:rPr>
          <w:spacing w:val="-10"/>
        </w:rPr>
        <w:t> </w:t>
      </w:r>
      <w:r>
        <w:rPr/>
        <w:t>per</w:t>
      </w:r>
      <w:r>
        <w:rPr>
          <w:spacing w:val="-11"/>
        </w:rPr>
        <w:t> </w:t>
      </w:r>
      <w:r>
        <w:rPr/>
        <w:t>bay,</w:t>
      </w:r>
      <w:r>
        <w:rPr>
          <w:spacing w:val="-13"/>
        </w:rPr>
        <w:t> </w:t>
      </w:r>
      <w:r>
        <w:rPr/>
        <w:t>with</w:t>
      </w:r>
      <w:r>
        <w:rPr>
          <w:spacing w:val="-11"/>
        </w:rPr>
        <w:t> </w:t>
      </w:r>
      <w:r>
        <w:rPr/>
        <w:t>50%</w:t>
      </w:r>
      <w:r>
        <w:rPr>
          <w:spacing w:val="-11"/>
        </w:rPr>
        <w:t> </w:t>
      </w:r>
      <w:r>
        <w:rPr/>
        <w:t>of</w:t>
      </w:r>
      <w:r>
        <w:rPr>
          <w:spacing w:val="-11"/>
        </w:rPr>
        <w:t> </w:t>
      </w:r>
      <w:r>
        <w:rPr/>
        <w:t>car</w:t>
      </w:r>
      <w:r>
        <w:rPr>
          <w:spacing w:val="-11"/>
        </w:rPr>
        <w:t> </w:t>
      </w:r>
      <w:r>
        <w:rPr/>
        <w:t>park</w:t>
      </w:r>
      <w:r>
        <w:rPr>
          <w:spacing w:val="-11"/>
        </w:rPr>
        <w:t> </w:t>
      </w:r>
      <w:r>
        <w:rPr/>
        <w:t>allocated</w:t>
      </w:r>
      <w:r>
        <w:rPr>
          <w:spacing w:val="-10"/>
        </w:rPr>
        <w:t> </w:t>
      </w:r>
      <w:r>
        <w:rPr/>
        <w:t>to</w:t>
      </w:r>
      <w:r>
        <w:rPr>
          <w:spacing w:val="-11"/>
        </w:rPr>
        <w:t> </w:t>
      </w:r>
      <w:r>
        <w:rPr/>
        <w:t>a</w:t>
      </w:r>
      <w:r>
        <w:rPr>
          <w:spacing w:val="-11"/>
        </w:rPr>
        <w:t> </w:t>
      </w:r>
      <w:r>
        <w:rPr/>
        <w:t>tenant to</w:t>
      </w:r>
      <w:r>
        <w:rPr>
          <w:spacing w:val="-12"/>
        </w:rPr>
        <w:t> </w:t>
      </w:r>
      <w:r>
        <w:rPr/>
        <w:t>be</w:t>
      </w:r>
      <w:r>
        <w:rPr>
          <w:spacing w:val="-12"/>
        </w:rPr>
        <w:t> </w:t>
      </w:r>
      <w:r>
        <w:rPr/>
        <w:t>free</w:t>
      </w:r>
      <w:r>
        <w:rPr>
          <w:spacing w:val="-12"/>
        </w:rPr>
        <w:t> </w:t>
      </w:r>
      <w:r>
        <w:rPr/>
        <w:t>of</w:t>
      </w:r>
      <w:r>
        <w:rPr>
          <w:spacing w:val="-12"/>
        </w:rPr>
        <w:t> </w:t>
      </w:r>
      <w:r>
        <w:rPr/>
        <w:t>cost.</w:t>
      </w:r>
      <w:r>
        <w:rPr>
          <w:spacing w:val="-13"/>
        </w:rPr>
        <w:t> </w:t>
      </w:r>
      <w:r>
        <w:rPr/>
        <w:t>Effective</w:t>
      </w:r>
      <w:r>
        <w:rPr>
          <w:spacing w:val="-12"/>
        </w:rPr>
        <w:t> </w:t>
      </w:r>
      <w:r>
        <w:rPr/>
        <w:t>car</w:t>
      </w:r>
      <w:r>
        <w:rPr>
          <w:spacing w:val="-12"/>
        </w:rPr>
        <w:t> </w:t>
      </w:r>
      <w:r>
        <w:rPr/>
        <w:t>parking</w:t>
      </w:r>
      <w:r>
        <w:rPr>
          <w:spacing w:val="-11"/>
        </w:rPr>
        <w:t> </w:t>
      </w:r>
      <w:r>
        <w:rPr/>
        <w:t>charges</w:t>
      </w:r>
      <w:r>
        <w:rPr>
          <w:spacing w:val="-12"/>
        </w:rPr>
        <w:t> </w:t>
      </w:r>
      <w:r>
        <w:rPr/>
        <w:t>adopted</w:t>
      </w:r>
      <w:r>
        <w:rPr>
          <w:spacing w:val="-12"/>
        </w:rPr>
        <w:t> </w:t>
      </w:r>
      <w:r>
        <w:rPr/>
        <w:t>for</w:t>
      </w:r>
      <w:r>
        <w:rPr>
          <w:spacing w:val="-12"/>
        </w:rPr>
        <w:t> </w:t>
      </w:r>
      <w:r>
        <w:rPr/>
        <w:t>the</w:t>
      </w:r>
      <w:r>
        <w:rPr>
          <w:spacing w:val="-14"/>
        </w:rPr>
        <w:t> </w:t>
      </w:r>
      <w:r>
        <w:rPr/>
        <w:t>purpose</w:t>
      </w:r>
      <w:r>
        <w:rPr>
          <w:spacing w:val="-12"/>
        </w:rPr>
        <w:t> </w:t>
      </w:r>
      <w:r>
        <w:rPr/>
        <w:t>of</w:t>
      </w:r>
      <w:r>
        <w:rPr>
          <w:spacing w:val="-13"/>
        </w:rPr>
        <w:t> </w:t>
      </w:r>
      <w:r>
        <w:rPr/>
        <w:t>this</w:t>
      </w:r>
      <w:r>
        <w:rPr>
          <w:spacing w:val="-11"/>
        </w:rPr>
        <w:t> </w:t>
      </w:r>
      <w:r>
        <w:rPr/>
        <w:t>valuation</w:t>
      </w:r>
      <w:r>
        <w:rPr>
          <w:spacing w:val="-12"/>
        </w:rPr>
        <w:t> </w:t>
      </w:r>
      <w:r>
        <w:rPr/>
        <w:t>is</w:t>
      </w:r>
      <w:r>
        <w:rPr>
          <w:spacing w:val="-12"/>
        </w:rPr>
        <w:t> </w:t>
      </w:r>
      <w:r>
        <w:rPr/>
        <w:t>INR</w:t>
      </w:r>
      <w:r>
        <w:rPr>
          <w:spacing w:val="-12"/>
        </w:rPr>
        <w:t> </w:t>
      </w:r>
      <w:r>
        <w:rPr/>
        <w:t>1,500 per month per</w:t>
      </w:r>
      <w:r>
        <w:rPr>
          <w:spacing w:val="-8"/>
        </w:rPr>
        <w:t> </w:t>
      </w:r>
      <w:r>
        <w:rPr/>
        <w:t>bay.</w:t>
      </w:r>
    </w:p>
    <w:p>
      <w:pPr>
        <w:pStyle w:val="BodyText"/>
        <w:spacing w:before="6"/>
        <w:rPr>
          <w:sz w:val="23"/>
        </w:rPr>
      </w:pPr>
    </w:p>
    <w:p>
      <w:pPr>
        <w:pStyle w:val="ListParagraph"/>
        <w:numPr>
          <w:ilvl w:val="3"/>
          <w:numId w:val="54"/>
        </w:numPr>
        <w:tabs>
          <w:tab w:pos="985" w:val="left" w:leader="none"/>
        </w:tabs>
        <w:spacing w:line="240" w:lineRule="auto" w:before="0" w:after="0"/>
        <w:ind w:left="984" w:right="0" w:hanging="865"/>
        <w:jc w:val="both"/>
        <w:rPr>
          <w:i/>
          <w:sz w:val="20"/>
        </w:rPr>
      </w:pPr>
      <w:r>
        <w:rPr>
          <w:i/>
          <w:color w:val="008000"/>
          <w:sz w:val="20"/>
        </w:rPr>
        <w:t>Other</w:t>
      </w:r>
      <w:r>
        <w:rPr>
          <w:i/>
          <w:color w:val="008000"/>
          <w:spacing w:val="-4"/>
          <w:sz w:val="20"/>
        </w:rPr>
        <w:t> </w:t>
      </w:r>
      <w:r>
        <w:rPr>
          <w:i/>
          <w:color w:val="008000"/>
          <w:sz w:val="20"/>
        </w:rPr>
        <w:t>Revenues</w:t>
      </w:r>
    </w:p>
    <w:p>
      <w:pPr>
        <w:pStyle w:val="BodyText"/>
        <w:spacing w:line="321" w:lineRule="auto" w:before="136"/>
        <w:ind w:left="739" w:right="218"/>
        <w:jc w:val="both"/>
      </w:pPr>
      <w:r>
        <w:rPr/>
        <w:t>In</w:t>
      </w:r>
      <w:r>
        <w:rPr>
          <w:spacing w:val="-14"/>
        </w:rPr>
        <w:t> </w:t>
      </w:r>
      <w:r>
        <w:rPr/>
        <w:t>addition</w:t>
      </w:r>
      <w:r>
        <w:rPr>
          <w:spacing w:val="-15"/>
        </w:rPr>
        <w:t> </w:t>
      </w:r>
      <w:r>
        <w:rPr/>
        <w:t>to</w:t>
      </w:r>
      <w:r>
        <w:rPr>
          <w:spacing w:val="-14"/>
        </w:rPr>
        <w:t> </w:t>
      </w:r>
      <w:r>
        <w:rPr/>
        <w:t>lease</w:t>
      </w:r>
      <w:r>
        <w:rPr>
          <w:spacing w:val="-14"/>
        </w:rPr>
        <w:t> </w:t>
      </w:r>
      <w:r>
        <w:rPr/>
        <w:t>rent</w:t>
      </w:r>
      <w:r>
        <w:rPr>
          <w:spacing w:val="-13"/>
        </w:rPr>
        <w:t> </w:t>
      </w:r>
      <w:r>
        <w:rPr/>
        <w:t>revenues,</w:t>
      </w:r>
      <w:r>
        <w:rPr>
          <w:spacing w:val="-12"/>
        </w:rPr>
        <w:t> </w:t>
      </w:r>
      <w:r>
        <w:rPr/>
        <w:t>office</w:t>
      </w:r>
      <w:r>
        <w:rPr>
          <w:spacing w:val="-14"/>
        </w:rPr>
        <w:t> </w:t>
      </w:r>
      <w:r>
        <w:rPr/>
        <w:t>developments</w:t>
      </w:r>
      <w:r>
        <w:rPr>
          <w:spacing w:val="-14"/>
        </w:rPr>
        <w:t> </w:t>
      </w:r>
      <w:r>
        <w:rPr/>
        <w:t>typically</w:t>
      </w:r>
      <w:r>
        <w:rPr>
          <w:spacing w:val="-13"/>
        </w:rPr>
        <w:t> </w:t>
      </w:r>
      <w:r>
        <w:rPr/>
        <w:t>have</w:t>
      </w:r>
      <w:r>
        <w:rPr>
          <w:spacing w:val="-14"/>
        </w:rPr>
        <w:t> </w:t>
      </w:r>
      <w:r>
        <w:rPr/>
        <w:t>additional</w:t>
      </w:r>
      <w:r>
        <w:rPr>
          <w:spacing w:val="-14"/>
        </w:rPr>
        <w:t> </w:t>
      </w:r>
      <w:r>
        <w:rPr/>
        <w:t>sources</w:t>
      </w:r>
      <w:r>
        <w:rPr>
          <w:spacing w:val="-13"/>
        </w:rPr>
        <w:t> </w:t>
      </w:r>
      <w:r>
        <w:rPr/>
        <w:t>of</w:t>
      </w:r>
      <w:r>
        <w:rPr>
          <w:spacing w:val="-12"/>
        </w:rPr>
        <w:t> </w:t>
      </w:r>
      <w:r>
        <w:rPr/>
        <w:t>revenue. These</w:t>
      </w:r>
      <w:r>
        <w:rPr>
          <w:spacing w:val="-39"/>
        </w:rPr>
        <w:t> </w:t>
      </w:r>
      <w:r>
        <w:rPr/>
        <w:t>include</w:t>
      </w:r>
      <w:r>
        <w:rPr>
          <w:spacing w:val="-39"/>
        </w:rPr>
        <w:t> </w:t>
      </w:r>
      <w:r>
        <w:rPr/>
        <w:t>revenues</w:t>
      </w:r>
      <w:r>
        <w:rPr>
          <w:spacing w:val="-38"/>
        </w:rPr>
        <w:t> </w:t>
      </w:r>
      <w:r>
        <w:rPr/>
        <w:t>on</w:t>
      </w:r>
      <w:r>
        <w:rPr>
          <w:spacing w:val="-39"/>
        </w:rPr>
        <w:t> </w:t>
      </w:r>
      <w:r>
        <w:rPr/>
        <w:t>account</w:t>
      </w:r>
      <w:r>
        <w:rPr>
          <w:spacing w:val="-39"/>
        </w:rPr>
        <w:t> </w:t>
      </w:r>
      <w:r>
        <w:rPr/>
        <w:t>of</w:t>
      </w:r>
      <w:r>
        <w:rPr>
          <w:spacing w:val="-38"/>
        </w:rPr>
        <w:t> </w:t>
      </w:r>
      <w:r>
        <w:rPr/>
        <w:t>security</w:t>
      </w:r>
      <w:r>
        <w:rPr>
          <w:spacing w:val="-38"/>
        </w:rPr>
        <w:t> </w:t>
      </w:r>
      <w:r>
        <w:rPr/>
        <w:t>deposit</w:t>
      </w:r>
      <w:r>
        <w:rPr>
          <w:spacing w:val="-39"/>
        </w:rPr>
        <w:t> </w:t>
      </w:r>
      <w:r>
        <w:rPr/>
        <w:t>(refunded</w:t>
      </w:r>
      <w:r>
        <w:rPr>
          <w:spacing w:val="-38"/>
        </w:rPr>
        <w:t> </w:t>
      </w:r>
      <w:r>
        <w:rPr/>
        <w:t>at</w:t>
      </w:r>
      <w:r>
        <w:rPr>
          <w:spacing w:val="-39"/>
        </w:rPr>
        <w:t> </w:t>
      </w:r>
      <w:r>
        <w:rPr/>
        <w:t>the</w:t>
      </w:r>
      <w:r>
        <w:rPr>
          <w:spacing w:val="-39"/>
        </w:rPr>
        <w:t> </w:t>
      </w:r>
      <w:r>
        <w:rPr/>
        <w:t>time</w:t>
      </w:r>
      <w:r>
        <w:rPr>
          <w:spacing w:val="-40"/>
        </w:rPr>
        <w:t> </w:t>
      </w:r>
      <w:r>
        <w:rPr/>
        <w:t>of</w:t>
      </w:r>
      <w:r>
        <w:rPr>
          <w:spacing w:val="-38"/>
        </w:rPr>
        <w:t> </w:t>
      </w:r>
      <w:r>
        <w:rPr/>
        <w:t>lease</w:t>
      </w:r>
      <w:r>
        <w:rPr>
          <w:spacing w:val="-39"/>
        </w:rPr>
        <w:t> </w:t>
      </w:r>
      <w:r>
        <w:rPr/>
        <w:t>expiry</w:t>
      </w:r>
      <w:r>
        <w:rPr>
          <w:spacing w:val="-38"/>
        </w:rPr>
        <w:t> </w:t>
      </w:r>
      <w:r>
        <w:rPr/>
        <w:t>/</w:t>
      </w:r>
      <w:r>
        <w:rPr>
          <w:spacing w:val="-39"/>
        </w:rPr>
        <w:t> </w:t>
      </w:r>
      <w:r>
        <w:rPr/>
        <w:t>exit),</w:t>
      </w:r>
      <w:r>
        <w:rPr>
          <w:spacing w:val="-39"/>
        </w:rPr>
        <w:t> </w:t>
      </w:r>
      <w:r>
        <w:rPr/>
        <w:t>other miscellaneous</w:t>
      </w:r>
      <w:r>
        <w:rPr>
          <w:spacing w:val="-10"/>
        </w:rPr>
        <w:t> </w:t>
      </w:r>
      <w:r>
        <w:rPr/>
        <w:t>income</w:t>
      </w:r>
      <w:r>
        <w:rPr>
          <w:spacing w:val="-11"/>
        </w:rPr>
        <w:t> </w:t>
      </w:r>
      <w:r>
        <w:rPr/>
        <w:t>(such</w:t>
      </w:r>
      <w:r>
        <w:rPr>
          <w:spacing w:val="-11"/>
        </w:rPr>
        <w:t> </w:t>
      </w:r>
      <w:r>
        <w:rPr/>
        <w:t>as</w:t>
      </w:r>
      <w:r>
        <w:rPr>
          <w:spacing w:val="-10"/>
        </w:rPr>
        <w:t> </w:t>
      </w:r>
      <w:r>
        <w:rPr/>
        <w:t>cell</w:t>
      </w:r>
      <w:r>
        <w:rPr>
          <w:spacing w:val="-12"/>
        </w:rPr>
        <w:t> </w:t>
      </w:r>
      <w:r>
        <w:rPr/>
        <w:t>sites,</w:t>
      </w:r>
      <w:r>
        <w:rPr>
          <w:spacing w:val="-10"/>
        </w:rPr>
        <w:t> </w:t>
      </w:r>
      <w:r>
        <w:rPr/>
        <w:t>retail</w:t>
      </w:r>
      <w:r>
        <w:rPr>
          <w:spacing w:val="-12"/>
        </w:rPr>
        <w:t> </w:t>
      </w:r>
      <w:r>
        <w:rPr/>
        <w:t>areas,</w:t>
      </w:r>
      <w:r>
        <w:rPr>
          <w:spacing w:val="-11"/>
        </w:rPr>
        <w:t> </w:t>
      </w:r>
      <w:r>
        <w:rPr/>
        <w:t>food</w:t>
      </w:r>
      <w:r>
        <w:rPr>
          <w:spacing w:val="-9"/>
        </w:rPr>
        <w:t> </w:t>
      </w:r>
      <w:r>
        <w:rPr/>
        <w:t>court,</w:t>
      </w:r>
      <w:r>
        <w:rPr>
          <w:spacing w:val="-11"/>
        </w:rPr>
        <w:t> </w:t>
      </w:r>
      <w:r>
        <w:rPr/>
        <w:t>etc.),</w:t>
      </w:r>
      <w:r>
        <w:rPr>
          <w:spacing w:val="-11"/>
        </w:rPr>
        <w:t> </w:t>
      </w:r>
      <w:r>
        <w:rPr/>
        <w:t>etc.</w:t>
      </w:r>
    </w:p>
    <w:p>
      <w:pPr>
        <w:pStyle w:val="BodyText"/>
        <w:spacing w:line="321" w:lineRule="auto" w:before="120"/>
        <w:ind w:left="739" w:right="214"/>
        <w:jc w:val="both"/>
      </w:pPr>
      <w:r>
        <w:rPr/>
        <w:t>The</w:t>
      </w:r>
      <w:r>
        <w:rPr>
          <w:spacing w:val="-8"/>
        </w:rPr>
        <w:t> </w:t>
      </w:r>
      <w:r>
        <w:rPr/>
        <w:t>assumptions</w:t>
      </w:r>
      <w:r>
        <w:rPr>
          <w:spacing w:val="-6"/>
        </w:rPr>
        <w:t> </w:t>
      </w:r>
      <w:r>
        <w:rPr/>
        <w:t>considered</w:t>
      </w:r>
      <w:r>
        <w:rPr>
          <w:spacing w:val="-5"/>
        </w:rPr>
        <w:t> </w:t>
      </w:r>
      <w:r>
        <w:rPr/>
        <w:t>for</w:t>
      </w:r>
      <w:r>
        <w:rPr>
          <w:spacing w:val="-7"/>
        </w:rPr>
        <w:t> </w:t>
      </w:r>
      <w:r>
        <w:rPr/>
        <w:t>the</w:t>
      </w:r>
      <w:r>
        <w:rPr>
          <w:spacing w:val="-7"/>
        </w:rPr>
        <w:t> </w:t>
      </w:r>
      <w:r>
        <w:rPr/>
        <w:t>aforementioned</w:t>
      </w:r>
      <w:r>
        <w:rPr>
          <w:spacing w:val="-5"/>
        </w:rPr>
        <w:t> </w:t>
      </w:r>
      <w:r>
        <w:rPr/>
        <w:t>revenue</w:t>
      </w:r>
      <w:r>
        <w:rPr>
          <w:spacing w:val="-7"/>
        </w:rPr>
        <w:t> </w:t>
      </w:r>
      <w:r>
        <w:rPr/>
        <w:t>heads</w:t>
      </w:r>
      <w:r>
        <w:rPr>
          <w:spacing w:val="-6"/>
        </w:rPr>
        <w:t> </w:t>
      </w:r>
      <w:r>
        <w:rPr/>
        <w:t>for</w:t>
      </w:r>
      <w:r>
        <w:rPr>
          <w:spacing w:val="-6"/>
        </w:rPr>
        <w:t> </w:t>
      </w:r>
      <w:r>
        <w:rPr/>
        <w:t>the</w:t>
      </w:r>
      <w:r>
        <w:rPr>
          <w:spacing w:val="-7"/>
        </w:rPr>
        <w:t> </w:t>
      </w:r>
      <w:r>
        <w:rPr/>
        <w:t>purpose</w:t>
      </w:r>
      <w:r>
        <w:rPr>
          <w:spacing w:val="-7"/>
        </w:rPr>
        <w:t> </w:t>
      </w:r>
      <w:r>
        <w:rPr/>
        <w:t>of</w:t>
      </w:r>
      <w:r>
        <w:rPr>
          <w:spacing w:val="-5"/>
        </w:rPr>
        <w:t> </w:t>
      </w:r>
      <w:r>
        <w:rPr/>
        <w:t>this</w:t>
      </w:r>
      <w:r>
        <w:rPr>
          <w:spacing w:val="-6"/>
        </w:rPr>
        <w:t> </w:t>
      </w:r>
      <w:r>
        <w:rPr/>
        <w:t>valuation exercise</w:t>
      </w:r>
      <w:r>
        <w:rPr>
          <w:spacing w:val="-43"/>
        </w:rPr>
        <w:t> </w:t>
      </w:r>
      <w:r>
        <w:rPr/>
        <w:t>are</w:t>
      </w:r>
      <w:r>
        <w:rPr>
          <w:spacing w:val="-42"/>
        </w:rPr>
        <w:t> </w:t>
      </w:r>
      <w:r>
        <w:rPr/>
        <w:t>based</w:t>
      </w:r>
      <w:r>
        <w:rPr>
          <w:spacing w:val="-42"/>
        </w:rPr>
        <w:t> </w:t>
      </w:r>
      <w:r>
        <w:rPr/>
        <w:t>on</w:t>
      </w:r>
      <w:r>
        <w:rPr>
          <w:spacing w:val="-42"/>
        </w:rPr>
        <w:t> </w:t>
      </w:r>
      <w:r>
        <w:rPr/>
        <w:t>the</w:t>
      </w:r>
      <w:r>
        <w:rPr>
          <w:spacing w:val="-41"/>
        </w:rPr>
        <w:t> </w:t>
      </w:r>
      <w:r>
        <w:rPr/>
        <w:t>rent</w:t>
      </w:r>
      <w:r>
        <w:rPr>
          <w:spacing w:val="-42"/>
        </w:rPr>
        <w:t> </w:t>
      </w:r>
      <w:r>
        <w:rPr/>
        <w:t>roll/</w:t>
      </w:r>
      <w:r>
        <w:rPr>
          <w:spacing w:val="-41"/>
        </w:rPr>
        <w:t> </w:t>
      </w:r>
      <w:r>
        <w:rPr/>
        <w:t>information</w:t>
      </w:r>
      <w:r>
        <w:rPr>
          <w:spacing w:val="-42"/>
        </w:rPr>
        <w:t> </w:t>
      </w:r>
      <w:r>
        <w:rPr/>
        <w:t>provided</w:t>
      </w:r>
      <w:r>
        <w:rPr>
          <w:spacing w:val="-41"/>
        </w:rPr>
        <w:t> </w:t>
      </w:r>
      <w:r>
        <w:rPr/>
        <w:t>by</w:t>
      </w:r>
      <w:r>
        <w:rPr>
          <w:spacing w:val="-42"/>
        </w:rPr>
        <w:t> </w:t>
      </w:r>
      <w:r>
        <w:rPr/>
        <w:t>the</w:t>
      </w:r>
      <w:r>
        <w:rPr>
          <w:spacing w:val="-42"/>
        </w:rPr>
        <w:t> </w:t>
      </w:r>
      <w:r>
        <w:rPr/>
        <w:t>Client.</w:t>
      </w:r>
      <w:r>
        <w:rPr>
          <w:spacing w:val="-42"/>
        </w:rPr>
        <w:t> </w:t>
      </w:r>
      <w:r>
        <w:rPr/>
        <w:t>The</w:t>
      </w:r>
      <w:r>
        <w:rPr>
          <w:spacing w:val="-43"/>
        </w:rPr>
        <w:t> </w:t>
      </w:r>
      <w:r>
        <w:rPr/>
        <w:t>same</w:t>
      </w:r>
      <w:r>
        <w:rPr>
          <w:spacing w:val="-42"/>
        </w:rPr>
        <w:t> </w:t>
      </w:r>
      <w:r>
        <w:rPr/>
        <w:t>has</w:t>
      </w:r>
      <w:r>
        <w:rPr>
          <w:spacing w:val="-42"/>
        </w:rPr>
        <w:t> </w:t>
      </w:r>
      <w:r>
        <w:rPr/>
        <w:t>been</w:t>
      </w:r>
      <w:r>
        <w:rPr>
          <w:spacing w:val="-42"/>
        </w:rPr>
        <w:t> </w:t>
      </w:r>
      <w:r>
        <w:rPr/>
        <w:t>cross-checked with</w:t>
      </w:r>
      <w:r>
        <w:rPr>
          <w:spacing w:val="-14"/>
        </w:rPr>
        <w:t> </w:t>
      </w:r>
      <w:r>
        <w:rPr/>
        <w:t>the</w:t>
      </w:r>
      <w:r>
        <w:rPr>
          <w:spacing w:val="-13"/>
        </w:rPr>
        <w:t> </w:t>
      </w:r>
      <w:r>
        <w:rPr/>
        <w:t>prevailing</w:t>
      </w:r>
      <w:r>
        <w:rPr>
          <w:spacing w:val="-11"/>
        </w:rPr>
        <w:t> </w:t>
      </w:r>
      <w:r>
        <w:rPr/>
        <w:t>market</w:t>
      </w:r>
      <w:r>
        <w:rPr>
          <w:spacing w:val="-13"/>
        </w:rPr>
        <w:t> </w:t>
      </w:r>
      <w:r>
        <w:rPr/>
        <w:t>norms</w:t>
      </w:r>
      <w:r>
        <w:rPr>
          <w:spacing w:val="-11"/>
        </w:rPr>
        <w:t> </w:t>
      </w:r>
      <w:r>
        <w:rPr/>
        <w:t>for</w:t>
      </w:r>
      <w:r>
        <w:rPr>
          <w:spacing w:val="-13"/>
        </w:rPr>
        <w:t> </w:t>
      </w:r>
      <w:r>
        <w:rPr/>
        <w:t>other</w:t>
      </w:r>
      <w:r>
        <w:rPr>
          <w:spacing w:val="-12"/>
        </w:rPr>
        <w:t> </w:t>
      </w:r>
      <w:r>
        <w:rPr/>
        <w:t>revenues</w:t>
      </w:r>
      <w:r>
        <w:rPr>
          <w:spacing w:val="-12"/>
        </w:rPr>
        <w:t> </w:t>
      </w:r>
      <w:r>
        <w:rPr/>
        <w:t>and</w:t>
      </w:r>
      <w:r>
        <w:rPr>
          <w:spacing w:val="-14"/>
        </w:rPr>
        <w:t> </w:t>
      </w:r>
      <w:r>
        <w:rPr/>
        <w:t>were</w:t>
      </w:r>
      <w:r>
        <w:rPr>
          <w:spacing w:val="-12"/>
        </w:rPr>
        <w:t> </w:t>
      </w:r>
      <w:r>
        <w:rPr/>
        <w:t>found</w:t>
      </w:r>
      <w:r>
        <w:rPr>
          <w:spacing w:val="-13"/>
        </w:rPr>
        <w:t> </w:t>
      </w:r>
      <w:r>
        <w:rPr/>
        <w:t>to</w:t>
      </w:r>
      <w:r>
        <w:rPr>
          <w:spacing w:val="-12"/>
        </w:rPr>
        <w:t> </w:t>
      </w:r>
      <w:r>
        <w:rPr/>
        <w:t>be</w:t>
      </w:r>
      <w:r>
        <w:rPr>
          <w:spacing w:val="-15"/>
        </w:rPr>
        <w:t> </w:t>
      </w:r>
      <w:r>
        <w:rPr/>
        <w:t>broadly</w:t>
      </w:r>
      <w:r>
        <w:rPr>
          <w:spacing w:val="-12"/>
        </w:rPr>
        <w:t> </w:t>
      </w:r>
      <w:r>
        <w:rPr/>
        <w:t>in</w:t>
      </w:r>
      <w:r>
        <w:rPr>
          <w:spacing w:val="-13"/>
        </w:rPr>
        <w:t> </w:t>
      </w:r>
      <w:r>
        <w:rPr/>
        <w:t>line.</w:t>
      </w:r>
    </w:p>
    <w:p>
      <w:pPr>
        <w:pStyle w:val="BodyText"/>
        <w:spacing w:before="123"/>
        <w:ind w:left="739"/>
        <w:jc w:val="both"/>
      </w:pPr>
      <w:r>
        <w:rPr/>
        <w:t>The assumptions adopted for other revenues are as tabulated below:</w:t>
      </w:r>
    </w:p>
    <w:p>
      <w:pPr>
        <w:pStyle w:val="BodyText"/>
        <w:spacing w:before="6"/>
        <w:rPr>
          <w:sz w:val="17"/>
        </w:rPr>
      </w:pPr>
    </w:p>
    <w:tbl>
      <w:tblPr>
        <w:tblCellSpacing w:w="27" w:type="dxa"/>
        <w:tblW w:w="0" w:type="auto"/>
        <w:jc w:val="left"/>
        <w:tblInd w:w="17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3"/>
        <w:gridCol w:w="3491"/>
        <w:gridCol w:w="3460"/>
      </w:tblGrid>
      <w:tr>
        <w:trPr>
          <w:trHeight w:val="160" w:hRule="atLeast"/>
        </w:trPr>
        <w:tc>
          <w:tcPr>
            <w:tcW w:w="3463" w:type="dxa"/>
            <w:tcBorders>
              <w:left w:val="nil"/>
              <w:right w:val="nil"/>
            </w:tcBorders>
            <w:shd w:val="clear" w:color="auto" w:fill="006A4D"/>
          </w:tcPr>
          <w:p>
            <w:pPr>
              <w:pStyle w:val="TableParagraph"/>
              <w:spacing w:line="192" w:lineRule="exact" w:before="3"/>
              <w:ind w:left="931"/>
              <w:jc w:val="left"/>
              <w:rPr>
                <w:b/>
                <w:sz w:val="18"/>
              </w:rPr>
            </w:pPr>
            <w:r>
              <w:rPr>
                <w:b/>
                <w:color w:val="FFFFFF"/>
                <w:w w:val="105"/>
                <w:sz w:val="18"/>
              </w:rPr>
              <w:t>Nature of Income</w:t>
            </w:r>
          </w:p>
        </w:tc>
        <w:tc>
          <w:tcPr>
            <w:tcW w:w="3491" w:type="dxa"/>
            <w:tcBorders>
              <w:left w:val="nil"/>
              <w:right w:val="nil"/>
            </w:tcBorders>
            <w:shd w:val="clear" w:color="auto" w:fill="006A4D"/>
          </w:tcPr>
          <w:p>
            <w:pPr>
              <w:pStyle w:val="TableParagraph"/>
              <w:spacing w:line="192" w:lineRule="exact" w:before="3"/>
              <w:ind w:left="1240" w:right="1229"/>
              <w:rPr>
                <w:b/>
                <w:sz w:val="18"/>
              </w:rPr>
            </w:pPr>
            <w:r>
              <w:rPr>
                <w:b/>
                <w:color w:val="FFFFFF"/>
                <w:w w:val="110"/>
                <w:sz w:val="18"/>
              </w:rPr>
              <w:t>Details</w:t>
            </w:r>
          </w:p>
        </w:tc>
        <w:tc>
          <w:tcPr>
            <w:tcW w:w="3460" w:type="dxa"/>
            <w:tcBorders>
              <w:left w:val="nil"/>
              <w:right w:val="nil"/>
            </w:tcBorders>
            <w:shd w:val="clear" w:color="auto" w:fill="006A4D"/>
          </w:tcPr>
          <w:p>
            <w:pPr>
              <w:pStyle w:val="TableParagraph"/>
              <w:spacing w:line="192" w:lineRule="exact" w:before="3"/>
              <w:ind w:left="1455" w:right="1444"/>
              <w:rPr>
                <w:b/>
                <w:sz w:val="18"/>
              </w:rPr>
            </w:pPr>
            <w:r>
              <w:rPr>
                <w:b/>
                <w:color w:val="FFFFFF"/>
                <w:w w:val="105"/>
                <w:sz w:val="18"/>
              </w:rPr>
              <w:t>Units</w:t>
            </w:r>
          </w:p>
        </w:tc>
      </w:tr>
    </w:tbl>
    <w:p>
      <w:pPr>
        <w:spacing w:after="0" w:line="192" w:lineRule="exact"/>
        <w:rPr>
          <w:sz w:val="18"/>
        </w:rPr>
        <w:sectPr>
          <w:pgSz w:w="11910" w:h="16840"/>
          <w:pgMar w:header="720" w:footer="921" w:top="1660" w:bottom="1120" w:left="600" w:right="500"/>
        </w:sectPr>
      </w:pPr>
    </w:p>
    <w:p>
      <w:pPr>
        <w:spacing w:line="247" w:lineRule="auto" w:before="44"/>
        <w:ind w:left="1116" w:right="34" w:hanging="875"/>
        <w:jc w:val="left"/>
        <w:rPr>
          <w:sz w:val="18"/>
        </w:rPr>
      </w:pPr>
      <w:r>
        <w:rPr>
          <w:sz w:val="18"/>
        </w:rPr>
        <w:t>Miscellaneous</w:t>
      </w:r>
      <w:r>
        <w:rPr>
          <w:spacing w:val="-16"/>
          <w:sz w:val="18"/>
        </w:rPr>
        <w:t> </w:t>
      </w:r>
      <w:r>
        <w:rPr>
          <w:sz w:val="18"/>
        </w:rPr>
        <w:t>Income</w:t>
      </w:r>
      <w:r>
        <w:rPr>
          <w:spacing w:val="-16"/>
          <w:sz w:val="18"/>
        </w:rPr>
        <w:t> </w:t>
      </w:r>
      <w:r>
        <w:rPr>
          <w:sz w:val="18"/>
        </w:rPr>
        <w:t>(Income</w:t>
      </w:r>
      <w:r>
        <w:rPr>
          <w:spacing w:val="-18"/>
          <w:sz w:val="18"/>
        </w:rPr>
        <w:t> </w:t>
      </w:r>
      <w:r>
        <w:rPr>
          <w:sz w:val="18"/>
        </w:rPr>
        <w:t>from</w:t>
      </w:r>
      <w:r>
        <w:rPr>
          <w:spacing w:val="-15"/>
          <w:sz w:val="18"/>
        </w:rPr>
        <w:t> </w:t>
      </w:r>
      <w:r>
        <w:rPr>
          <w:sz w:val="18"/>
        </w:rPr>
        <w:t>food court and cell</w:t>
      </w:r>
      <w:r>
        <w:rPr>
          <w:spacing w:val="-24"/>
          <w:sz w:val="18"/>
        </w:rPr>
        <w:t> </w:t>
      </w:r>
      <w:r>
        <w:rPr>
          <w:sz w:val="18"/>
        </w:rPr>
        <w:t>sites)</w:t>
      </w:r>
    </w:p>
    <w:p>
      <w:pPr>
        <w:tabs>
          <w:tab w:pos="3322" w:val="left" w:leader="none"/>
        </w:tabs>
        <w:spacing w:before="152"/>
        <w:ind w:left="242" w:right="0" w:firstLine="0"/>
        <w:jc w:val="left"/>
        <w:rPr>
          <w:sz w:val="18"/>
        </w:rPr>
      </w:pPr>
      <w:r>
        <w:rPr/>
        <w:br w:type="column"/>
      </w:r>
      <w:r>
        <w:rPr>
          <w:w w:val="105"/>
          <w:sz w:val="18"/>
        </w:rPr>
        <w:t>0.93%</w:t>
        <w:tab/>
        <w:t>% of rent</w:t>
      </w:r>
      <w:r>
        <w:rPr>
          <w:spacing w:val="-24"/>
          <w:w w:val="105"/>
          <w:sz w:val="18"/>
        </w:rPr>
        <w:t> </w:t>
      </w:r>
      <w:r>
        <w:rPr>
          <w:w w:val="105"/>
          <w:sz w:val="18"/>
        </w:rPr>
        <w:t>income</w:t>
      </w:r>
    </w:p>
    <w:p>
      <w:pPr>
        <w:spacing w:after="0"/>
        <w:jc w:val="left"/>
        <w:rPr>
          <w:sz w:val="18"/>
        </w:rPr>
        <w:sectPr>
          <w:type w:val="continuous"/>
          <w:pgSz w:w="11910" w:h="16840"/>
          <w:pgMar w:top="800" w:bottom="280" w:left="600" w:right="500"/>
          <w:cols w:num="2" w:equalWidth="0">
            <w:col w:w="3524" w:space="1337"/>
            <w:col w:w="5949"/>
          </w:cols>
        </w:sectPr>
      </w:pPr>
    </w:p>
    <w:p>
      <w:pPr>
        <w:pStyle w:val="BodyText"/>
        <w:spacing w:before="1"/>
        <w:rPr>
          <w:sz w:val="3"/>
        </w:rPr>
      </w:pPr>
    </w:p>
    <w:p>
      <w:pPr>
        <w:pStyle w:val="BodyText"/>
        <w:spacing w:line="20" w:lineRule="exact"/>
        <w:ind w:left="120"/>
        <w:rPr>
          <w:sz w:val="2"/>
        </w:rPr>
      </w:pPr>
      <w:r>
        <w:rPr>
          <w:sz w:val="2"/>
        </w:rPr>
        <w:pict>
          <v:group style="width:523.6pt;height:.75pt;mso-position-horizontal-relative:char;mso-position-vertical-relative:line" coordorigin="0,0" coordsize="10472,15">
            <v:rect style="position:absolute;left:0;top:0;width:10472;height:15" filled="true" fillcolor="#69bd28" stroked="false">
              <v:fill type="solid"/>
            </v:rect>
          </v:group>
        </w:pict>
      </w:r>
      <w:r>
        <w:rPr>
          <w:sz w:val="2"/>
        </w:rPr>
      </w:r>
    </w:p>
    <w:p>
      <w:pPr>
        <w:tabs>
          <w:tab w:pos="4988" w:val="left" w:leader="none"/>
          <w:tab w:pos="7660" w:val="left" w:leader="none"/>
        </w:tabs>
        <w:spacing w:before="40"/>
        <w:ind w:left="737" w:right="0" w:firstLine="0"/>
        <w:jc w:val="left"/>
        <w:rPr>
          <w:sz w:val="18"/>
        </w:rPr>
      </w:pPr>
      <w:r>
        <w:rPr/>
        <w:pict>
          <v:rect style="position:absolute;margin-left:36pt;margin-top:14.65066pt;width:523.560025pt;height:.72pt;mso-position-horizontal-relative:page;mso-position-vertical-relative:paragraph;z-index:16146432" filled="true" fillcolor="#69bd28" stroked="false">
            <v:fill type="solid"/>
            <w10:wrap type="none"/>
          </v:rect>
        </w:pict>
      </w:r>
      <w:r>
        <w:rPr>
          <w:sz w:val="18"/>
        </w:rPr>
        <w:t>Warm shell</w:t>
      </w:r>
      <w:r>
        <w:rPr>
          <w:spacing w:val="-35"/>
          <w:sz w:val="18"/>
        </w:rPr>
        <w:t> </w:t>
      </w:r>
      <w:r>
        <w:rPr>
          <w:sz w:val="18"/>
        </w:rPr>
        <w:t>Security</w:t>
      </w:r>
      <w:r>
        <w:rPr>
          <w:spacing w:val="-18"/>
          <w:sz w:val="18"/>
        </w:rPr>
        <w:t> </w:t>
      </w:r>
      <w:r>
        <w:rPr>
          <w:sz w:val="18"/>
        </w:rPr>
        <w:t>Deposit*</w:t>
        <w:tab/>
        <w:t>6</w:t>
      </w:r>
      <w:r>
        <w:rPr>
          <w:spacing w:val="-2"/>
          <w:sz w:val="18"/>
        </w:rPr>
        <w:t> </w:t>
      </w:r>
      <w:r>
        <w:rPr>
          <w:sz w:val="18"/>
        </w:rPr>
        <w:t>months</w:t>
        <w:tab/>
        <w:t>No. of months’ warm shell</w:t>
      </w:r>
      <w:r>
        <w:rPr>
          <w:spacing w:val="-31"/>
          <w:sz w:val="18"/>
        </w:rPr>
        <w:t> </w:t>
      </w:r>
      <w:r>
        <w:rPr>
          <w:sz w:val="18"/>
        </w:rPr>
        <w:t>rent</w:t>
      </w:r>
    </w:p>
    <w:p>
      <w:pPr>
        <w:spacing w:after="0"/>
        <w:jc w:val="left"/>
        <w:rPr>
          <w:sz w:val="18"/>
        </w:rPr>
        <w:sectPr>
          <w:type w:val="continuous"/>
          <w:pgSz w:w="11910" w:h="16840"/>
          <w:pgMar w:top="800" w:bottom="280" w:left="600" w:right="500"/>
        </w:sectPr>
      </w:pPr>
    </w:p>
    <w:p>
      <w:pPr>
        <w:spacing w:line="247" w:lineRule="auto" w:before="100"/>
        <w:ind w:left="1334" w:right="10" w:hanging="879"/>
        <w:jc w:val="left"/>
        <w:rPr>
          <w:sz w:val="18"/>
        </w:rPr>
      </w:pPr>
      <w:r>
        <w:rPr>
          <w:sz w:val="18"/>
        </w:rPr>
        <w:t>Parking Income (For vacant and UC development)</w:t>
      </w:r>
    </w:p>
    <w:p>
      <w:pPr>
        <w:pStyle w:val="BodyText"/>
        <w:spacing w:before="1"/>
        <w:rPr>
          <w:sz w:val="18"/>
        </w:rPr>
      </w:pPr>
      <w:r>
        <w:rPr/>
        <w:br w:type="column"/>
      </w:r>
      <w:r>
        <w:rPr>
          <w:sz w:val="18"/>
        </w:rPr>
      </w:r>
    </w:p>
    <w:p>
      <w:pPr>
        <w:tabs>
          <w:tab w:pos="3958" w:val="left" w:leader="none"/>
        </w:tabs>
        <w:spacing w:before="0"/>
        <w:ind w:left="456" w:right="0" w:firstLine="0"/>
        <w:jc w:val="left"/>
        <w:rPr>
          <w:sz w:val="18"/>
        </w:rPr>
      </w:pPr>
      <w:r>
        <w:rPr>
          <w:w w:val="105"/>
          <w:sz w:val="18"/>
        </w:rPr>
        <w:t>INR</w:t>
      </w:r>
      <w:r>
        <w:rPr>
          <w:spacing w:val="14"/>
          <w:w w:val="105"/>
          <w:sz w:val="18"/>
        </w:rPr>
        <w:t> </w:t>
      </w:r>
      <w:r>
        <w:rPr>
          <w:w w:val="105"/>
          <w:sz w:val="18"/>
        </w:rPr>
        <w:t>1,500</w:t>
      </w:r>
      <w:r>
        <w:rPr>
          <w:w w:val="105"/>
          <w:position w:val="6"/>
          <w:sz w:val="11"/>
        </w:rPr>
        <w:t>^</w:t>
        <w:tab/>
      </w:r>
      <w:r>
        <w:rPr>
          <w:w w:val="105"/>
          <w:sz w:val="18"/>
        </w:rPr>
        <w:t>per car</w:t>
      </w:r>
      <w:r>
        <w:rPr>
          <w:spacing w:val="-14"/>
          <w:w w:val="105"/>
          <w:sz w:val="18"/>
        </w:rPr>
        <w:t> </w:t>
      </w:r>
      <w:r>
        <w:rPr>
          <w:w w:val="105"/>
          <w:sz w:val="18"/>
        </w:rPr>
        <w:t>park</w:t>
      </w:r>
    </w:p>
    <w:p>
      <w:pPr>
        <w:spacing w:after="0"/>
        <w:jc w:val="left"/>
        <w:rPr>
          <w:sz w:val="18"/>
        </w:rPr>
        <w:sectPr>
          <w:type w:val="continuous"/>
          <w:pgSz w:w="11910" w:h="16840"/>
          <w:pgMar w:top="800" w:bottom="280" w:left="600" w:right="500"/>
          <w:cols w:num="2" w:equalWidth="0">
            <w:col w:w="3315" w:space="1124"/>
            <w:col w:w="6371"/>
          </w:cols>
        </w:sectPr>
      </w:pPr>
    </w:p>
    <w:p>
      <w:pPr>
        <w:pStyle w:val="BodyText"/>
        <w:spacing w:before="4"/>
        <w:rPr>
          <w:sz w:val="3"/>
        </w:rPr>
      </w:pPr>
    </w:p>
    <w:p>
      <w:pPr>
        <w:pStyle w:val="BodyText"/>
        <w:spacing w:line="20" w:lineRule="exact"/>
        <w:ind w:left="120"/>
        <w:rPr>
          <w:sz w:val="2"/>
        </w:rPr>
      </w:pPr>
      <w:r>
        <w:rPr>
          <w:sz w:val="2"/>
        </w:rPr>
        <w:pict>
          <v:group style="width:523.6pt;height:.75pt;mso-position-horizontal-relative:char;mso-position-vertical-relative:line" coordorigin="0,0" coordsize="10472,15">
            <v:rect style="position:absolute;left:0;top:0;width:10472;height:15" filled="true" fillcolor="#69bd28" stroked="false">
              <v:fill type="solid"/>
            </v:rect>
          </v:group>
        </w:pict>
      </w:r>
      <w:r>
        <w:rPr>
          <w:sz w:val="2"/>
        </w:rPr>
      </w:r>
    </w:p>
    <w:p>
      <w:pPr>
        <w:tabs>
          <w:tab w:pos="5182" w:val="left" w:leader="none"/>
          <w:tab w:pos="8814" w:val="left" w:leader="none"/>
        </w:tabs>
        <w:spacing w:before="39"/>
        <w:ind w:left="518" w:right="0" w:firstLine="0"/>
        <w:jc w:val="left"/>
        <w:rPr>
          <w:sz w:val="18"/>
        </w:rPr>
      </w:pPr>
      <w:r>
        <w:rPr/>
        <w:pict>
          <v:rect style="position:absolute;margin-left:35.280003pt;margin-top:14.601657pt;width:524.280025pt;height:.719pt;mso-position-horizontal-relative:page;mso-position-vertical-relative:paragraph;z-index:-15314432;mso-wrap-distance-left:0;mso-wrap-distance-right:0" filled="true" fillcolor="#69bd28" stroked="false">
            <v:fill type="solid"/>
            <w10:wrap type="topAndBottom"/>
          </v:rect>
        </w:pict>
      </w:r>
      <w:r>
        <w:rPr>
          <w:w w:val="110"/>
          <w:sz w:val="18"/>
        </w:rPr>
        <w:t>Mark-Up</w:t>
      </w:r>
      <w:r>
        <w:rPr>
          <w:spacing w:val="-22"/>
          <w:w w:val="110"/>
          <w:sz w:val="18"/>
        </w:rPr>
        <w:t> </w:t>
      </w:r>
      <w:r>
        <w:rPr>
          <w:w w:val="110"/>
          <w:sz w:val="18"/>
        </w:rPr>
        <w:t>on</w:t>
      </w:r>
      <w:r>
        <w:rPr>
          <w:spacing w:val="-20"/>
          <w:w w:val="110"/>
          <w:sz w:val="18"/>
        </w:rPr>
        <w:t> </w:t>
      </w:r>
      <w:r>
        <w:rPr>
          <w:w w:val="110"/>
          <w:sz w:val="18"/>
        </w:rPr>
        <w:t>CAM/</w:t>
      </w:r>
      <w:r>
        <w:rPr>
          <w:spacing w:val="-21"/>
          <w:w w:val="110"/>
          <w:sz w:val="18"/>
        </w:rPr>
        <w:t> </w:t>
      </w:r>
      <w:r>
        <w:rPr>
          <w:w w:val="110"/>
          <w:sz w:val="18"/>
        </w:rPr>
        <w:t>CAM</w:t>
      </w:r>
      <w:r>
        <w:rPr>
          <w:spacing w:val="-20"/>
          <w:w w:val="110"/>
          <w:sz w:val="18"/>
        </w:rPr>
        <w:t> </w:t>
      </w:r>
      <w:r>
        <w:rPr>
          <w:w w:val="110"/>
          <w:sz w:val="18"/>
        </w:rPr>
        <w:t>margin**</w:t>
        <w:tab/>
        <w:t>20%</w:t>
        <w:tab/>
        <w:t>%</w:t>
      </w:r>
    </w:p>
    <w:p>
      <w:pPr>
        <w:spacing w:line="321" w:lineRule="auto" w:before="94"/>
        <w:ind w:left="120" w:right="215" w:firstLine="0"/>
        <w:jc w:val="both"/>
        <w:rPr>
          <w:i/>
          <w:sz w:val="18"/>
        </w:rPr>
      </w:pPr>
      <w:r>
        <w:rPr>
          <w:i/>
          <w:w w:val="103"/>
          <w:sz w:val="18"/>
        </w:rPr>
        <w:t>S</w:t>
      </w:r>
      <w:r>
        <w:rPr>
          <w:i/>
          <w:spacing w:val="-1"/>
          <w:w w:val="103"/>
          <w:sz w:val="18"/>
        </w:rPr>
        <w:t>o</w:t>
      </w:r>
      <w:r>
        <w:rPr>
          <w:i/>
          <w:spacing w:val="-1"/>
          <w:w w:val="92"/>
          <w:sz w:val="18"/>
        </w:rPr>
        <w:t>u</w:t>
      </w:r>
      <w:r>
        <w:rPr>
          <w:i/>
          <w:spacing w:val="-1"/>
          <w:w w:val="81"/>
          <w:sz w:val="18"/>
        </w:rPr>
        <w:t>r</w:t>
      </w:r>
      <w:r>
        <w:rPr>
          <w:i/>
          <w:w w:val="100"/>
          <w:sz w:val="18"/>
        </w:rPr>
        <w:t>c</w:t>
      </w:r>
      <w:r>
        <w:rPr>
          <w:i/>
          <w:w w:val="90"/>
          <w:sz w:val="18"/>
        </w:rPr>
        <w:t>e:</w:t>
      </w:r>
      <w:r>
        <w:rPr>
          <w:i/>
          <w:sz w:val="18"/>
        </w:rPr>
        <w:t> </w:t>
      </w:r>
      <w:r>
        <w:rPr>
          <w:i/>
          <w:spacing w:val="-1"/>
          <w:w w:val="112"/>
          <w:sz w:val="18"/>
        </w:rPr>
        <w:t>C</w:t>
      </w:r>
      <w:r>
        <w:rPr>
          <w:i/>
          <w:spacing w:val="-1"/>
          <w:w w:val="85"/>
          <w:sz w:val="18"/>
        </w:rPr>
        <w:t>lie</w:t>
      </w:r>
      <w:r>
        <w:rPr>
          <w:i/>
          <w:w w:val="99"/>
          <w:sz w:val="18"/>
        </w:rPr>
        <w:t>n</w:t>
      </w:r>
      <w:r>
        <w:rPr>
          <w:i/>
          <w:w w:val="68"/>
          <w:sz w:val="18"/>
        </w:rPr>
        <w:t>t</w:t>
      </w:r>
      <w:r>
        <w:rPr>
          <w:i/>
          <w:w w:val="78"/>
          <w:sz w:val="18"/>
        </w:rPr>
        <w:t>’</w:t>
      </w:r>
      <w:r>
        <w:rPr>
          <w:i/>
          <w:w w:val="101"/>
          <w:sz w:val="18"/>
        </w:rPr>
        <w:t>s</w:t>
      </w:r>
      <w:r>
        <w:rPr>
          <w:i/>
          <w:spacing w:val="1"/>
          <w:sz w:val="18"/>
        </w:rPr>
        <w:t> </w:t>
      </w:r>
      <w:r>
        <w:rPr>
          <w:i/>
          <w:spacing w:val="-1"/>
          <w:w w:val="81"/>
          <w:sz w:val="18"/>
        </w:rPr>
        <w:t>r</w:t>
      </w:r>
      <w:r>
        <w:rPr>
          <w:i/>
          <w:w w:val="98"/>
          <w:sz w:val="18"/>
        </w:rPr>
        <w:t>ep</w:t>
      </w:r>
      <w:r>
        <w:rPr>
          <w:i/>
          <w:spacing w:val="-1"/>
          <w:w w:val="81"/>
          <w:sz w:val="18"/>
        </w:rPr>
        <w:t>r</w:t>
      </w:r>
      <w:r>
        <w:rPr>
          <w:i/>
          <w:w w:val="97"/>
          <w:sz w:val="18"/>
        </w:rPr>
        <w:t>ese</w:t>
      </w:r>
      <w:r>
        <w:rPr>
          <w:i/>
          <w:spacing w:val="-2"/>
          <w:w w:val="97"/>
          <w:sz w:val="18"/>
        </w:rPr>
        <w:t>n</w:t>
      </w:r>
      <w:r>
        <w:rPr>
          <w:i/>
          <w:w w:val="68"/>
          <w:sz w:val="18"/>
        </w:rPr>
        <w:t>t</w:t>
      </w:r>
      <w:r>
        <w:rPr>
          <w:i/>
          <w:spacing w:val="-2"/>
          <w:w w:val="107"/>
          <w:sz w:val="18"/>
        </w:rPr>
        <w:t>a</w:t>
      </w:r>
      <w:r>
        <w:rPr>
          <w:i/>
          <w:w w:val="68"/>
          <w:sz w:val="18"/>
        </w:rPr>
        <w:t>t</w:t>
      </w:r>
      <w:r>
        <w:rPr>
          <w:i/>
          <w:spacing w:val="-1"/>
          <w:w w:val="86"/>
          <w:sz w:val="18"/>
        </w:rPr>
        <w:t>i</w:t>
      </w:r>
      <w:r>
        <w:rPr>
          <w:i/>
          <w:w w:val="86"/>
          <w:sz w:val="18"/>
        </w:rPr>
        <w:t>v</w:t>
      </w:r>
      <w:r>
        <w:rPr>
          <w:i/>
          <w:w w:val="94"/>
          <w:sz w:val="18"/>
        </w:rPr>
        <w:t>e</w:t>
      </w:r>
      <w:r>
        <w:rPr>
          <w:i/>
          <w:spacing w:val="-5"/>
          <w:sz w:val="18"/>
        </w:rPr>
        <w:t> </w:t>
      </w:r>
      <w:r>
        <w:rPr>
          <w:i/>
          <w:w w:val="88"/>
          <w:sz w:val="18"/>
        </w:rPr>
        <w:t>&amp;</w:t>
      </w:r>
      <w:r>
        <w:rPr>
          <w:i/>
          <w:spacing w:val="4"/>
          <w:sz w:val="18"/>
        </w:rPr>
        <w:t> </w:t>
      </w:r>
      <w:r>
        <w:rPr>
          <w:i/>
          <w:spacing w:val="-1"/>
          <w:w w:val="101"/>
          <w:sz w:val="18"/>
        </w:rPr>
        <w:t>V</w:t>
      </w:r>
      <w:r>
        <w:rPr>
          <w:i/>
          <w:w w:val="101"/>
          <w:sz w:val="18"/>
        </w:rPr>
        <w:t>a</w:t>
      </w:r>
      <w:r>
        <w:rPr>
          <w:i/>
          <w:spacing w:val="-1"/>
          <w:w w:val="85"/>
          <w:sz w:val="18"/>
        </w:rPr>
        <w:t>l</w:t>
      </w:r>
      <w:r>
        <w:rPr>
          <w:i/>
          <w:spacing w:val="-2"/>
          <w:w w:val="85"/>
          <w:sz w:val="18"/>
        </w:rPr>
        <w:t>u</w:t>
      </w:r>
      <w:r>
        <w:rPr>
          <w:i/>
          <w:w w:val="88"/>
          <w:sz w:val="18"/>
        </w:rPr>
        <w:t>er</w:t>
      </w:r>
      <w:r>
        <w:rPr>
          <w:i/>
          <w:spacing w:val="-3"/>
          <w:sz w:val="18"/>
        </w:rPr>
        <w:t> </w:t>
      </w:r>
      <w:r>
        <w:rPr>
          <w:i/>
          <w:w w:val="107"/>
          <w:sz w:val="18"/>
        </w:rPr>
        <w:t>a</w:t>
      </w:r>
      <w:r>
        <w:rPr>
          <w:i/>
          <w:w w:val="101"/>
          <w:sz w:val="18"/>
        </w:rPr>
        <w:t>ss</w:t>
      </w:r>
      <w:r>
        <w:rPr>
          <w:i/>
          <w:w w:val="98"/>
          <w:sz w:val="18"/>
        </w:rPr>
        <w:t>ess</w:t>
      </w:r>
      <w:r>
        <w:rPr>
          <w:i/>
          <w:spacing w:val="-1"/>
          <w:w w:val="94"/>
          <w:sz w:val="18"/>
        </w:rPr>
        <w:t>m</w:t>
      </w:r>
      <w:r>
        <w:rPr>
          <w:i/>
          <w:spacing w:val="-3"/>
          <w:w w:val="94"/>
          <w:sz w:val="18"/>
        </w:rPr>
        <w:t>e</w:t>
      </w:r>
      <w:r>
        <w:rPr>
          <w:i/>
          <w:w w:val="99"/>
          <w:sz w:val="18"/>
        </w:rPr>
        <w:t>n</w:t>
      </w:r>
      <w:r>
        <w:rPr>
          <w:i/>
          <w:w w:val="68"/>
          <w:sz w:val="18"/>
        </w:rPr>
        <w:t>t</w:t>
      </w:r>
      <w:r>
        <w:rPr>
          <w:i/>
          <w:w w:val="83"/>
          <w:sz w:val="18"/>
        </w:rPr>
        <w:t>;</w:t>
      </w:r>
      <w:r>
        <w:rPr>
          <w:i/>
          <w:spacing w:val="-2"/>
          <w:sz w:val="18"/>
        </w:rPr>
        <w:t> </w:t>
      </w:r>
      <w:r>
        <w:rPr>
          <w:i/>
          <w:w w:val="116"/>
          <w:sz w:val="18"/>
        </w:rPr>
        <w:t>*</w:t>
      </w:r>
      <w:r>
        <w:rPr>
          <w:i/>
          <w:sz w:val="18"/>
        </w:rPr>
        <w:t> </w:t>
      </w:r>
      <w:r>
        <w:rPr>
          <w:i/>
          <w:w w:val="89"/>
          <w:sz w:val="18"/>
        </w:rPr>
        <w:t>Re</w:t>
      </w:r>
      <w:r>
        <w:rPr>
          <w:i/>
          <w:spacing w:val="-1"/>
          <w:w w:val="89"/>
          <w:sz w:val="18"/>
        </w:rPr>
        <w:t>f</w:t>
      </w:r>
      <w:r>
        <w:rPr>
          <w:i/>
          <w:spacing w:val="-1"/>
          <w:w w:val="92"/>
          <w:sz w:val="18"/>
        </w:rPr>
        <w:t>u</w:t>
      </w:r>
      <w:r>
        <w:rPr>
          <w:i/>
          <w:w w:val="99"/>
          <w:sz w:val="18"/>
        </w:rPr>
        <w:t>n</w:t>
      </w:r>
      <w:r>
        <w:rPr>
          <w:i/>
          <w:w w:val="101"/>
          <w:sz w:val="18"/>
        </w:rPr>
        <w:t>d</w:t>
      </w:r>
      <w:r>
        <w:rPr>
          <w:i/>
          <w:spacing w:val="-3"/>
          <w:w w:val="94"/>
          <w:sz w:val="18"/>
        </w:rPr>
        <w:t>e</w:t>
      </w:r>
      <w:r>
        <w:rPr>
          <w:i/>
          <w:w w:val="101"/>
          <w:sz w:val="18"/>
        </w:rPr>
        <w:t>d</w:t>
      </w:r>
      <w:r>
        <w:rPr>
          <w:i/>
          <w:spacing w:val="-1"/>
          <w:sz w:val="18"/>
        </w:rPr>
        <w:t> </w:t>
      </w:r>
      <w:r>
        <w:rPr>
          <w:i/>
          <w:w w:val="107"/>
          <w:sz w:val="18"/>
        </w:rPr>
        <w:t>a</w:t>
      </w:r>
      <w:r>
        <w:rPr>
          <w:i/>
          <w:w w:val="68"/>
          <w:sz w:val="18"/>
        </w:rPr>
        <w:t>t</w:t>
      </w:r>
      <w:r>
        <w:rPr>
          <w:i/>
          <w:spacing w:val="-1"/>
          <w:sz w:val="18"/>
        </w:rPr>
        <w:t> </w:t>
      </w:r>
      <w:r>
        <w:rPr>
          <w:i/>
          <w:spacing w:val="-2"/>
          <w:w w:val="68"/>
          <w:sz w:val="18"/>
        </w:rPr>
        <w:t>t</w:t>
      </w:r>
      <w:r>
        <w:rPr>
          <w:i/>
          <w:w w:val="97"/>
          <w:sz w:val="18"/>
        </w:rPr>
        <w:t>h</w:t>
      </w:r>
      <w:r>
        <w:rPr>
          <w:i/>
          <w:w w:val="94"/>
          <w:sz w:val="18"/>
        </w:rPr>
        <w:t>e</w:t>
      </w:r>
      <w:r>
        <w:rPr>
          <w:i/>
          <w:spacing w:val="-2"/>
          <w:sz w:val="18"/>
        </w:rPr>
        <w:t> </w:t>
      </w:r>
      <w:r>
        <w:rPr>
          <w:i/>
          <w:w w:val="68"/>
          <w:sz w:val="18"/>
        </w:rPr>
        <w:t>t</w:t>
      </w:r>
      <w:r>
        <w:rPr>
          <w:i/>
          <w:spacing w:val="-1"/>
          <w:w w:val="91"/>
          <w:sz w:val="18"/>
        </w:rPr>
        <w:t>im</w:t>
      </w:r>
      <w:r>
        <w:rPr>
          <w:i/>
          <w:w w:val="91"/>
          <w:sz w:val="18"/>
        </w:rPr>
        <w:t>e</w:t>
      </w:r>
      <w:r>
        <w:rPr>
          <w:i/>
          <w:sz w:val="18"/>
        </w:rPr>
        <w:t> </w:t>
      </w:r>
      <w:r>
        <w:rPr>
          <w:i/>
          <w:spacing w:val="-1"/>
          <w:w w:val="102"/>
          <w:sz w:val="18"/>
        </w:rPr>
        <w:t>o</w:t>
      </w:r>
      <w:r>
        <w:rPr>
          <w:i/>
          <w:w w:val="77"/>
          <w:sz w:val="18"/>
        </w:rPr>
        <w:t>f</w:t>
      </w:r>
      <w:r>
        <w:rPr>
          <w:i/>
          <w:sz w:val="18"/>
        </w:rPr>
        <w:t> </w:t>
      </w:r>
      <w:r>
        <w:rPr>
          <w:i/>
          <w:spacing w:val="-1"/>
          <w:w w:val="87"/>
          <w:sz w:val="18"/>
        </w:rPr>
        <w:t>l</w:t>
      </w:r>
      <w:r>
        <w:rPr>
          <w:i/>
          <w:spacing w:val="-3"/>
          <w:w w:val="87"/>
          <w:sz w:val="18"/>
        </w:rPr>
        <w:t>e</w:t>
      </w:r>
      <w:r>
        <w:rPr>
          <w:i/>
          <w:w w:val="107"/>
          <w:sz w:val="18"/>
        </w:rPr>
        <w:t>a</w:t>
      </w:r>
      <w:r>
        <w:rPr>
          <w:i/>
          <w:w w:val="101"/>
          <w:sz w:val="18"/>
        </w:rPr>
        <w:t>s</w:t>
      </w:r>
      <w:r>
        <w:rPr>
          <w:i/>
          <w:w w:val="94"/>
          <w:sz w:val="18"/>
        </w:rPr>
        <w:t>e</w:t>
      </w:r>
      <w:r>
        <w:rPr>
          <w:i/>
          <w:spacing w:val="-2"/>
          <w:sz w:val="18"/>
        </w:rPr>
        <w:t> </w:t>
      </w:r>
      <w:r>
        <w:rPr>
          <w:i/>
          <w:w w:val="95"/>
          <w:sz w:val="18"/>
        </w:rPr>
        <w:t>exp</w:t>
      </w:r>
      <w:r>
        <w:rPr>
          <w:i/>
          <w:spacing w:val="-1"/>
          <w:w w:val="80"/>
          <w:sz w:val="18"/>
        </w:rPr>
        <w:t>i</w:t>
      </w:r>
      <w:r>
        <w:rPr>
          <w:i/>
          <w:spacing w:val="-2"/>
          <w:w w:val="80"/>
          <w:sz w:val="18"/>
        </w:rPr>
        <w:t>r</w:t>
      </w:r>
      <w:r>
        <w:rPr>
          <w:i/>
          <w:w w:val="89"/>
          <w:sz w:val="18"/>
        </w:rPr>
        <w:t>y/</w:t>
      </w:r>
      <w:r>
        <w:rPr>
          <w:i/>
          <w:spacing w:val="-1"/>
          <w:sz w:val="18"/>
        </w:rPr>
        <w:t> </w:t>
      </w:r>
      <w:r>
        <w:rPr>
          <w:i/>
          <w:spacing w:val="-3"/>
          <w:w w:val="94"/>
          <w:sz w:val="18"/>
        </w:rPr>
        <w:t>e</w:t>
      </w:r>
      <w:r>
        <w:rPr>
          <w:i/>
          <w:spacing w:val="-1"/>
          <w:w w:val="79"/>
          <w:sz w:val="18"/>
        </w:rPr>
        <w:t>xi</w:t>
      </w:r>
      <w:r>
        <w:rPr>
          <w:i/>
          <w:w w:val="79"/>
          <w:sz w:val="18"/>
        </w:rPr>
        <w:t>t</w:t>
      </w:r>
      <w:r>
        <w:rPr>
          <w:i/>
          <w:w w:val="83"/>
          <w:sz w:val="18"/>
        </w:rPr>
        <w:t>;</w:t>
      </w:r>
      <w:r>
        <w:rPr>
          <w:i/>
          <w:spacing w:val="6"/>
          <w:sz w:val="18"/>
        </w:rPr>
        <w:t> </w:t>
      </w:r>
      <w:r>
        <w:rPr>
          <w:i/>
          <w:spacing w:val="-3"/>
          <w:w w:val="191"/>
          <w:position w:val="6"/>
          <w:sz w:val="11"/>
        </w:rPr>
        <w:t>^</w:t>
      </w:r>
      <w:r>
        <w:rPr>
          <w:i/>
          <w:w w:val="97"/>
          <w:sz w:val="18"/>
        </w:rPr>
        <w:t>P</w:t>
      </w:r>
      <w:r>
        <w:rPr>
          <w:i/>
          <w:w w:val="107"/>
          <w:sz w:val="18"/>
        </w:rPr>
        <w:t>a</w:t>
      </w:r>
      <w:r>
        <w:rPr>
          <w:i/>
          <w:spacing w:val="-1"/>
          <w:w w:val="81"/>
          <w:sz w:val="18"/>
        </w:rPr>
        <w:t>r</w:t>
      </w:r>
      <w:r>
        <w:rPr>
          <w:i/>
          <w:spacing w:val="-1"/>
          <w:w w:val="93"/>
          <w:sz w:val="18"/>
        </w:rPr>
        <w:t>k</w:t>
      </w:r>
      <w:r>
        <w:rPr>
          <w:i/>
          <w:spacing w:val="-1"/>
          <w:w w:val="91"/>
          <w:sz w:val="18"/>
        </w:rPr>
        <w:t>i</w:t>
      </w:r>
      <w:r>
        <w:rPr>
          <w:i/>
          <w:w w:val="91"/>
          <w:sz w:val="18"/>
        </w:rPr>
        <w:t>n</w:t>
      </w:r>
      <w:r>
        <w:rPr>
          <w:i/>
          <w:w w:val="112"/>
          <w:sz w:val="18"/>
        </w:rPr>
        <w:t>g</w:t>
      </w:r>
      <w:r>
        <w:rPr>
          <w:i/>
          <w:spacing w:val="-1"/>
          <w:sz w:val="18"/>
        </w:rPr>
        <w:t> </w:t>
      </w:r>
      <w:r>
        <w:rPr>
          <w:i/>
          <w:spacing w:val="-1"/>
          <w:w w:val="81"/>
          <w:sz w:val="18"/>
        </w:rPr>
        <w:t>r</w:t>
      </w:r>
      <w:r>
        <w:rPr>
          <w:i/>
          <w:w w:val="107"/>
          <w:sz w:val="18"/>
        </w:rPr>
        <w:t>a</w:t>
      </w:r>
      <w:r>
        <w:rPr>
          <w:i/>
          <w:w w:val="68"/>
          <w:sz w:val="18"/>
        </w:rPr>
        <w:t>t</w:t>
      </w:r>
      <w:r>
        <w:rPr>
          <w:i/>
          <w:w w:val="97"/>
          <w:sz w:val="18"/>
        </w:rPr>
        <w:t>es</w:t>
      </w:r>
      <w:r>
        <w:rPr>
          <w:i/>
          <w:spacing w:val="-4"/>
          <w:sz w:val="18"/>
        </w:rPr>
        <w:t> </w:t>
      </w:r>
      <w:r>
        <w:rPr>
          <w:i/>
          <w:w w:val="107"/>
          <w:sz w:val="18"/>
        </w:rPr>
        <w:t>a</w:t>
      </w:r>
      <w:r>
        <w:rPr>
          <w:i/>
          <w:spacing w:val="-1"/>
          <w:w w:val="81"/>
          <w:sz w:val="18"/>
        </w:rPr>
        <w:t>r</w:t>
      </w:r>
      <w:r>
        <w:rPr>
          <w:i/>
          <w:w w:val="94"/>
          <w:sz w:val="18"/>
        </w:rPr>
        <w:t>e</w:t>
      </w:r>
      <w:r>
        <w:rPr>
          <w:i/>
          <w:sz w:val="18"/>
        </w:rPr>
        <w:t> </w:t>
      </w:r>
      <w:r>
        <w:rPr>
          <w:i/>
          <w:spacing w:val="-2"/>
          <w:w w:val="107"/>
          <w:sz w:val="18"/>
        </w:rPr>
        <w:t>a</w:t>
      </w:r>
      <w:r>
        <w:rPr>
          <w:i/>
          <w:w w:val="101"/>
          <w:sz w:val="18"/>
        </w:rPr>
        <w:t>pp</w:t>
      </w:r>
      <w:r>
        <w:rPr>
          <w:i/>
          <w:spacing w:val="-1"/>
          <w:w w:val="81"/>
          <w:sz w:val="18"/>
        </w:rPr>
        <w:t>r</w:t>
      </w:r>
      <w:r>
        <w:rPr>
          <w:i/>
          <w:spacing w:val="-1"/>
          <w:w w:val="102"/>
          <w:sz w:val="18"/>
        </w:rPr>
        <w:t>o</w:t>
      </w:r>
      <w:r>
        <w:rPr>
          <w:i/>
          <w:spacing w:val="-1"/>
          <w:w w:val="85"/>
          <w:sz w:val="18"/>
        </w:rPr>
        <w:t>x</w:t>
      </w:r>
      <w:r>
        <w:rPr>
          <w:i/>
          <w:w w:val="85"/>
          <w:sz w:val="18"/>
        </w:rPr>
        <w:t>.</w:t>
      </w:r>
      <w:r>
        <w:rPr>
          <w:i/>
          <w:spacing w:val="-4"/>
          <w:sz w:val="18"/>
        </w:rPr>
        <w:t> </w:t>
      </w:r>
      <w:r>
        <w:rPr>
          <w:i/>
          <w:spacing w:val="-1"/>
          <w:w w:val="104"/>
          <w:sz w:val="18"/>
        </w:rPr>
        <w:t>IN</w:t>
      </w:r>
      <w:r>
        <w:rPr>
          <w:i/>
          <w:w w:val="104"/>
          <w:sz w:val="18"/>
        </w:rPr>
        <w:t>R</w:t>
      </w:r>
      <w:r>
        <w:rPr>
          <w:i/>
          <w:sz w:val="18"/>
        </w:rPr>
        <w:t> </w:t>
      </w:r>
      <w:r>
        <w:rPr>
          <w:i/>
          <w:spacing w:val="-1"/>
          <w:w w:val="105"/>
          <w:sz w:val="18"/>
        </w:rPr>
        <w:t>3,000</w:t>
      </w:r>
      <w:r>
        <w:rPr>
          <w:i/>
          <w:spacing w:val="-1"/>
          <w:w w:val="105"/>
          <w:sz w:val="18"/>
        </w:rPr>
        <w:t> </w:t>
      </w:r>
      <w:r>
        <w:rPr>
          <w:i/>
          <w:sz w:val="18"/>
        </w:rPr>
        <w:t>per</w:t>
      </w:r>
      <w:r>
        <w:rPr>
          <w:i/>
          <w:spacing w:val="-14"/>
          <w:sz w:val="18"/>
        </w:rPr>
        <w:t> </w:t>
      </w:r>
      <w:r>
        <w:rPr>
          <w:i/>
          <w:sz w:val="18"/>
        </w:rPr>
        <w:t>bay</w:t>
      </w:r>
      <w:r>
        <w:rPr>
          <w:i/>
          <w:spacing w:val="-14"/>
          <w:sz w:val="18"/>
        </w:rPr>
        <w:t> </w:t>
      </w:r>
      <w:r>
        <w:rPr>
          <w:i/>
          <w:sz w:val="18"/>
        </w:rPr>
        <w:t>and</w:t>
      </w:r>
      <w:r>
        <w:rPr>
          <w:i/>
          <w:spacing w:val="-11"/>
          <w:sz w:val="18"/>
        </w:rPr>
        <w:t> </w:t>
      </w:r>
      <w:r>
        <w:rPr>
          <w:i/>
          <w:sz w:val="18"/>
        </w:rPr>
        <w:t>the</w:t>
      </w:r>
      <w:r>
        <w:rPr>
          <w:i/>
          <w:spacing w:val="-15"/>
          <w:sz w:val="18"/>
        </w:rPr>
        <w:t> </w:t>
      </w:r>
      <w:r>
        <w:rPr>
          <w:i/>
          <w:sz w:val="18"/>
        </w:rPr>
        <w:t>Valuer</w:t>
      </w:r>
      <w:r>
        <w:rPr>
          <w:i/>
          <w:spacing w:val="-13"/>
          <w:sz w:val="18"/>
        </w:rPr>
        <w:t> </w:t>
      </w:r>
      <w:r>
        <w:rPr>
          <w:i/>
          <w:sz w:val="18"/>
        </w:rPr>
        <w:t>has</w:t>
      </w:r>
      <w:r>
        <w:rPr>
          <w:i/>
          <w:spacing w:val="-13"/>
          <w:sz w:val="18"/>
        </w:rPr>
        <w:t> </w:t>
      </w:r>
      <w:r>
        <w:rPr>
          <w:i/>
          <w:sz w:val="18"/>
        </w:rPr>
        <w:t>assumed</w:t>
      </w:r>
      <w:r>
        <w:rPr>
          <w:i/>
          <w:spacing w:val="-12"/>
          <w:sz w:val="18"/>
        </w:rPr>
        <w:t> </w:t>
      </w:r>
      <w:r>
        <w:rPr>
          <w:i/>
          <w:sz w:val="18"/>
        </w:rPr>
        <w:t>that</w:t>
      </w:r>
      <w:r>
        <w:rPr>
          <w:i/>
          <w:spacing w:val="-13"/>
          <w:sz w:val="18"/>
        </w:rPr>
        <w:t> </w:t>
      </w:r>
      <w:r>
        <w:rPr>
          <w:i/>
          <w:sz w:val="18"/>
        </w:rPr>
        <w:t>50%</w:t>
      </w:r>
      <w:r>
        <w:rPr>
          <w:i/>
          <w:spacing w:val="-13"/>
          <w:sz w:val="18"/>
        </w:rPr>
        <w:t> </w:t>
      </w:r>
      <w:r>
        <w:rPr>
          <w:i/>
          <w:sz w:val="18"/>
        </w:rPr>
        <w:t>of</w:t>
      </w:r>
      <w:r>
        <w:rPr>
          <w:i/>
          <w:spacing w:val="-15"/>
          <w:sz w:val="18"/>
        </w:rPr>
        <w:t> </w:t>
      </w:r>
      <w:r>
        <w:rPr>
          <w:i/>
          <w:sz w:val="18"/>
        </w:rPr>
        <w:t>the</w:t>
      </w:r>
      <w:r>
        <w:rPr>
          <w:i/>
          <w:spacing w:val="-14"/>
          <w:sz w:val="18"/>
        </w:rPr>
        <w:t> </w:t>
      </w:r>
      <w:r>
        <w:rPr>
          <w:i/>
          <w:sz w:val="18"/>
        </w:rPr>
        <w:t>total</w:t>
      </w:r>
      <w:r>
        <w:rPr>
          <w:i/>
          <w:spacing w:val="-15"/>
          <w:sz w:val="18"/>
        </w:rPr>
        <w:t> </w:t>
      </w:r>
      <w:r>
        <w:rPr>
          <w:i/>
          <w:sz w:val="18"/>
        </w:rPr>
        <w:t>bays</w:t>
      </w:r>
      <w:r>
        <w:rPr>
          <w:i/>
          <w:spacing w:val="-12"/>
          <w:sz w:val="18"/>
        </w:rPr>
        <w:t> </w:t>
      </w:r>
      <w:r>
        <w:rPr>
          <w:i/>
          <w:sz w:val="18"/>
        </w:rPr>
        <w:t>are</w:t>
      </w:r>
      <w:r>
        <w:rPr>
          <w:i/>
          <w:spacing w:val="-15"/>
          <w:sz w:val="18"/>
        </w:rPr>
        <w:t> </w:t>
      </w:r>
      <w:r>
        <w:rPr>
          <w:i/>
          <w:sz w:val="18"/>
        </w:rPr>
        <w:t>chargeable</w:t>
      </w:r>
      <w:r>
        <w:rPr>
          <w:i/>
          <w:spacing w:val="-13"/>
          <w:sz w:val="18"/>
        </w:rPr>
        <w:t> </w:t>
      </w:r>
      <w:r>
        <w:rPr>
          <w:i/>
          <w:sz w:val="18"/>
        </w:rPr>
        <w:t>**</w:t>
      </w:r>
      <w:r>
        <w:rPr>
          <w:i/>
          <w:spacing w:val="-4"/>
          <w:sz w:val="18"/>
        </w:rPr>
        <w:t> </w:t>
      </w:r>
      <w:r>
        <w:rPr>
          <w:i/>
          <w:sz w:val="18"/>
        </w:rPr>
        <w:t>Additionally,</w:t>
      </w:r>
      <w:r>
        <w:rPr>
          <w:i/>
          <w:spacing w:val="-11"/>
          <w:sz w:val="18"/>
        </w:rPr>
        <w:t> </w:t>
      </w:r>
      <w:r>
        <w:rPr>
          <w:i/>
          <w:sz w:val="18"/>
        </w:rPr>
        <w:t>we</w:t>
      </w:r>
      <w:r>
        <w:rPr>
          <w:i/>
          <w:spacing w:val="-13"/>
          <w:sz w:val="18"/>
        </w:rPr>
        <w:t> </w:t>
      </w:r>
      <w:r>
        <w:rPr>
          <w:i/>
          <w:sz w:val="18"/>
        </w:rPr>
        <w:t>understand</w:t>
      </w:r>
      <w:r>
        <w:rPr>
          <w:i/>
          <w:spacing w:val="-13"/>
          <w:sz w:val="18"/>
        </w:rPr>
        <w:t> </w:t>
      </w:r>
      <w:r>
        <w:rPr>
          <w:i/>
          <w:sz w:val="18"/>
        </w:rPr>
        <w:t>that</w:t>
      </w:r>
      <w:r>
        <w:rPr>
          <w:i/>
          <w:spacing w:val="-13"/>
          <w:sz w:val="18"/>
        </w:rPr>
        <w:t> </w:t>
      </w:r>
      <w:r>
        <w:rPr>
          <w:i/>
          <w:sz w:val="18"/>
        </w:rPr>
        <w:t>the</w:t>
      </w:r>
      <w:r>
        <w:rPr>
          <w:i/>
          <w:spacing w:val="-15"/>
          <w:sz w:val="18"/>
        </w:rPr>
        <w:t> </w:t>
      </w:r>
      <w:r>
        <w:rPr>
          <w:i/>
          <w:sz w:val="18"/>
        </w:rPr>
        <w:t>CAM</w:t>
      </w:r>
      <w:r>
        <w:rPr>
          <w:i/>
          <w:spacing w:val="-12"/>
          <w:sz w:val="18"/>
        </w:rPr>
        <w:t> </w:t>
      </w:r>
      <w:r>
        <w:rPr>
          <w:i/>
          <w:sz w:val="18"/>
        </w:rPr>
        <w:t>is</w:t>
      </w:r>
      <w:r>
        <w:rPr>
          <w:i/>
          <w:spacing w:val="-14"/>
          <w:sz w:val="18"/>
        </w:rPr>
        <w:t> </w:t>
      </w:r>
      <w:r>
        <w:rPr>
          <w:i/>
          <w:sz w:val="18"/>
        </w:rPr>
        <w:t>being charged</w:t>
      </w:r>
      <w:r>
        <w:rPr>
          <w:i/>
          <w:spacing w:val="-13"/>
          <w:sz w:val="18"/>
        </w:rPr>
        <w:t> </w:t>
      </w:r>
      <w:r>
        <w:rPr>
          <w:i/>
          <w:sz w:val="18"/>
        </w:rPr>
        <w:t>by</w:t>
      </w:r>
      <w:r>
        <w:rPr>
          <w:i/>
          <w:spacing w:val="-12"/>
          <w:sz w:val="18"/>
        </w:rPr>
        <w:t> </w:t>
      </w:r>
      <w:r>
        <w:rPr>
          <w:i/>
          <w:sz w:val="18"/>
        </w:rPr>
        <w:t>an</w:t>
      </w:r>
      <w:r>
        <w:rPr>
          <w:i/>
          <w:spacing w:val="-12"/>
          <w:sz w:val="18"/>
        </w:rPr>
        <w:t> </w:t>
      </w:r>
      <w:r>
        <w:rPr>
          <w:i/>
          <w:sz w:val="18"/>
        </w:rPr>
        <w:t>agency</w:t>
      </w:r>
      <w:r>
        <w:rPr>
          <w:i/>
          <w:spacing w:val="-11"/>
          <w:sz w:val="18"/>
        </w:rPr>
        <w:t> </w:t>
      </w:r>
      <w:r>
        <w:rPr>
          <w:i/>
          <w:sz w:val="18"/>
        </w:rPr>
        <w:t>which</w:t>
      </w:r>
      <w:r>
        <w:rPr>
          <w:i/>
          <w:spacing w:val="-11"/>
          <w:sz w:val="18"/>
        </w:rPr>
        <w:t> </w:t>
      </w:r>
      <w:r>
        <w:rPr>
          <w:i/>
          <w:sz w:val="18"/>
        </w:rPr>
        <w:t>is</w:t>
      </w:r>
      <w:r>
        <w:rPr>
          <w:i/>
          <w:spacing w:val="-10"/>
          <w:sz w:val="18"/>
        </w:rPr>
        <w:t> </w:t>
      </w:r>
      <w:r>
        <w:rPr>
          <w:i/>
          <w:sz w:val="18"/>
        </w:rPr>
        <w:t>external</w:t>
      </w:r>
      <w:r>
        <w:rPr>
          <w:i/>
          <w:spacing w:val="-13"/>
          <w:sz w:val="18"/>
        </w:rPr>
        <w:t> </w:t>
      </w:r>
      <w:r>
        <w:rPr>
          <w:i/>
          <w:sz w:val="18"/>
        </w:rPr>
        <w:t>to</w:t>
      </w:r>
      <w:r>
        <w:rPr>
          <w:i/>
          <w:spacing w:val="-12"/>
          <w:sz w:val="18"/>
        </w:rPr>
        <w:t> </w:t>
      </w:r>
      <w:r>
        <w:rPr>
          <w:i/>
          <w:sz w:val="18"/>
        </w:rPr>
        <w:t>the</w:t>
      </w:r>
      <w:r>
        <w:rPr>
          <w:i/>
          <w:spacing w:val="-11"/>
          <w:sz w:val="18"/>
        </w:rPr>
        <w:t> </w:t>
      </w:r>
      <w:r>
        <w:rPr>
          <w:i/>
          <w:sz w:val="18"/>
        </w:rPr>
        <w:t>interests</w:t>
      </w:r>
      <w:r>
        <w:rPr>
          <w:i/>
          <w:spacing w:val="-12"/>
          <w:sz w:val="18"/>
        </w:rPr>
        <w:t> </w:t>
      </w:r>
      <w:r>
        <w:rPr>
          <w:i/>
          <w:sz w:val="18"/>
        </w:rPr>
        <w:t>of</w:t>
      </w:r>
      <w:r>
        <w:rPr>
          <w:i/>
          <w:spacing w:val="-12"/>
          <w:sz w:val="18"/>
        </w:rPr>
        <w:t> </w:t>
      </w:r>
      <w:r>
        <w:rPr>
          <w:i/>
          <w:sz w:val="18"/>
        </w:rPr>
        <w:t>Embassy</w:t>
      </w:r>
      <w:r>
        <w:rPr>
          <w:i/>
          <w:spacing w:val="-11"/>
          <w:sz w:val="18"/>
        </w:rPr>
        <w:t> </w:t>
      </w:r>
      <w:r>
        <w:rPr>
          <w:i/>
          <w:sz w:val="18"/>
        </w:rPr>
        <w:t>Office</w:t>
      </w:r>
      <w:r>
        <w:rPr>
          <w:i/>
          <w:spacing w:val="-12"/>
          <w:sz w:val="18"/>
        </w:rPr>
        <w:t> </w:t>
      </w:r>
      <w:r>
        <w:rPr>
          <w:i/>
          <w:sz w:val="18"/>
        </w:rPr>
        <w:t>Parks</w:t>
      </w:r>
      <w:r>
        <w:rPr>
          <w:i/>
          <w:spacing w:val="-5"/>
          <w:sz w:val="18"/>
        </w:rPr>
        <w:t> </w:t>
      </w:r>
      <w:r>
        <w:rPr>
          <w:i/>
          <w:sz w:val="18"/>
        </w:rPr>
        <w:t>REIT,</w:t>
      </w:r>
      <w:r>
        <w:rPr>
          <w:i/>
          <w:spacing w:val="-12"/>
          <w:sz w:val="18"/>
        </w:rPr>
        <w:t> </w:t>
      </w:r>
      <w:r>
        <w:rPr>
          <w:i/>
          <w:sz w:val="18"/>
        </w:rPr>
        <w:t>hence</w:t>
      </w:r>
      <w:r>
        <w:rPr>
          <w:i/>
          <w:spacing w:val="-11"/>
          <w:sz w:val="18"/>
        </w:rPr>
        <w:t> </w:t>
      </w:r>
      <w:r>
        <w:rPr>
          <w:i/>
          <w:sz w:val="18"/>
        </w:rPr>
        <w:t>we</w:t>
      </w:r>
      <w:r>
        <w:rPr>
          <w:i/>
          <w:spacing w:val="-11"/>
          <w:sz w:val="18"/>
        </w:rPr>
        <w:t> </w:t>
      </w:r>
      <w:r>
        <w:rPr>
          <w:i/>
          <w:sz w:val="18"/>
        </w:rPr>
        <w:t>have</w:t>
      </w:r>
      <w:r>
        <w:rPr>
          <w:i/>
          <w:spacing w:val="-13"/>
          <w:sz w:val="18"/>
        </w:rPr>
        <w:t> </w:t>
      </w:r>
      <w:r>
        <w:rPr>
          <w:i/>
          <w:sz w:val="18"/>
        </w:rPr>
        <w:t>not</w:t>
      </w:r>
      <w:r>
        <w:rPr>
          <w:i/>
          <w:spacing w:val="-12"/>
          <w:sz w:val="18"/>
        </w:rPr>
        <w:t> </w:t>
      </w:r>
      <w:r>
        <w:rPr>
          <w:i/>
          <w:sz w:val="18"/>
        </w:rPr>
        <w:t>considered</w:t>
      </w:r>
      <w:r>
        <w:rPr>
          <w:i/>
          <w:spacing w:val="-12"/>
          <w:sz w:val="18"/>
        </w:rPr>
        <w:t> </w:t>
      </w:r>
      <w:r>
        <w:rPr>
          <w:i/>
          <w:sz w:val="18"/>
        </w:rPr>
        <w:t>any</w:t>
      </w:r>
      <w:r>
        <w:rPr>
          <w:i/>
          <w:spacing w:val="-11"/>
          <w:sz w:val="18"/>
        </w:rPr>
        <w:t> </w:t>
      </w:r>
      <w:r>
        <w:rPr>
          <w:i/>
          <w:sz w:val="18"/>
        </w:rPr>
        <w:t>margin</w:t>
      </w:r>
      <w:r>
        <w:rPr>
          <w:i/>
          <w:spacing w:val="-10"/>
          <w:sz w:val="18"/>
        </w:rPr>
        <w:t> </w:t>
      </w:r>
      <w:r>
        <w:rPr>
          <w:i/>
          <w:sz w:val="18"/>
        </w:rPr>
        <w:t>on CAM</w:t>
      </w:r>
      <w:r>
        <w:rPr>
          <w:i/>
          <w:spacing w:val="-3"/>
          <w:sz w:val="18"/>
        </w:rPr>
        <w:t> </w:t>
      </w:r>
      <w:r>
        <w:rPr>
          <w:i/>
          <w:sz w:val="18"/>
        </w:rPr>
        <w:t>during</w:t>
      </w:r>
      <w:r>
        <w:rPr>
          <w:i/>
          <w:spacing w:val="-3"/>
          <w:sz w:val="18"/>
        </w:rPr>
        <w:t> </w:t>
      </w:r>
      <w:r>
        <w:rPr>
          <w:i/>
          <w:sz w:val="18"/>
        </w:rPr>
        <w:t>the</w:t>
      </w:r>
      <w:r>
        <w:rPr>
          <w:i/>
          <w:spacing w:val="-2"/>
          <w:sz w:val="18"/>
        </w:rPr>
        <w:t> </w:t>
      </w:r>
      <w:r>
        <w:rPr>
          <w:i/>
          <w:sz w:val="18"/>
        </w:rPr>
        <w:t>holding</w:t>
      </w:r>
      <w:r>
        <w:rPr>
          <w:i/>
          <w:spacing w:val="-3"/>
          <w:sz w:val="18"/>
        </w:rPr>
        <w:t> </w:t>
      </w:r>
      <w:r>
        <w:rPr>
          <w:i/>
          <w:sz w:val="18"/>
        </w:rPr>
        <w:t>period.</w:t>
      </w:r>
      <w:r>
        <w:rPr>
          <w:i/>
          <w:spacing w:val="-3"/>
          <w:sz w:val="18"/>
        </w:rPr>
        <w:t> </w:t>
      </w:r>
      <w:r>
        <w:rPr>
          <w:i/>
          <w:sz w:val="18"/>
        </w:rPr>
        <w:t>However,</w:t>
      </w:r>
      <w:r>
        <w:rPr>
          <w:i/>
          <w:spacing w:val="-2"/>
          <w:sz w:val="18"/>
        </w:rPr>
        <w:t> </w:t>
      </w:r>
      <w:r>
        <w:rPr>
          <w:i/>
          <w:sz w:val="18"/>
        </w:rPr>
        <w:t>at</w:t>
      </w:r>
      <w:r>
        <w:rPr>
          <w:i/>
          <w:spacing w:val="-2"/>
          <w:sz w:val="18"/>
        </w:rPr>
        <w:t> </w:t>
      </w:r>
      <w:r>
        <w:rPr>
          <w:i/>
          <w:sz w:val="18"/>
        </w:rPr>
        <w:t>the</w:t>
      </w:r>
      <w:r>
        <w:rPr>
          <w:i/>
          <w:spacing w:val="-6"/>
          <w:sz w:val="18"/>
        </w:rPr>
        <w:t> </w:t>
      </w:r>
      <w:r>
        <w:rPr>
          <w:i/>
          <w:sz w:val="18"/>
        </w:rPr>
        <w:t>time</w:t>
      </w:r>
      <w:r>
        <w:rPr>
          <w:i/>
          <w:spacing w:val="-2"/>
          <w:sz w:val="18"/>
        </w:rPr>
        <w:t> </w:t>
      </w:r>
      <w:r>
        <w:rPr>
          <w:i/>
          <w:sz w:val="18"/>
        </w:rPr>
        <w:t>of</w:t>
      </w:r>
      <w:r>
        <w:rPr>
          <w:i/>
          <w:spacing w:val="-4"/>
          <w:sz w:val="18"/>
        </w:rPr>
        <w:t> </w:t>
      </w:r>
      <w:r>
        <w:rPr>
          <w:i/>
          <w:sz w:val="18"/>
        </w:rPr>
        <w:t>notional</w:t>
      </w:r>
      <w:r>
        <w:rPr>
          <w:i/>
          <w:spacing w:val="-5"/>
          <w:sz w:val="18"/>
        </w:rPr>
        <w:t> </w:t>
      </w:r>
      <w:r>
        <w:rPr>
          <w:i/>
          <w:sz w:val="18"/>
        </w:rPr>
        <w:t>exit,</w:t>
      </w:r>
      <w:r>
        <w:rPr>
          <w:i/>
          <w:spacing w:val="-2"/>
          <w:sz w:val="18"/>
        </w:rPr>
        <w:t> </w:t>
      </w:r>
      <w:r>
        <w:rPr>
          <w:i/>
          <w:sz w:val="18"/>
        </w:rPr>
        <w:t>margin</w:t>
      </w:r>
      <w:r>
        <w:rPr>
          <w:i/>
          <w:spacing w:val="-4"/>
          <w:sz w:val="18"/>
        </w:rPr>
        <w:t> </w:t>
      </w:r>
      <w:r>
        <w:rPr>
          <w:i/>
          <w:sz w:val="18"/>
        </w:rPr>
        <w:t>on</w:t>
      </w:r>
      <w:r>
        <w:rPr>
          <w:i/>
          <w:spacing w:val="-1"/>
          <w:sz w:val="18"/>
        </w:rPr>
        <w:t> </w:t>
      </w:r>
      <w:r>
        <w:rPr>
          <w:i/>
          <w:sz w:val="18"/>
        </w:rPr>
        <w:t>CAM</w:t>
      </w:r>
      <w:r>
        <w:rPr>
          <w:i/>
          <w:spacing w:val="-4"/>
          <w:sz w:val="18"/>
        </w:rPr>
        <w:t> </w:t>
      </w:r>
      <w:r>
        <w:rPr>
          <w:i/>
          <w:sz w:val="18"/>
        </w:rPr>
        <w:t>is</w:t>
      </w:r>
      <w:r>
        <w:rPr>
          <w:i/>
          <w:spacing w:val="-3"/>
          <w:sz w:val="18"/>
        </w:rPr>
        <w:t> </w:t>
      </w:r>
      <w:r>
        <w:rPr>
          <w:i/>
          <w:sz w:val="18"/>
        </w:rPr>
        <w:t>included</w:t>
      </w:r>
      <w:r>
        <w:rPr>
          <w:i/>
          <w:spacing w:val="-2"/>
          <w:sz w:val="18"/>
        </w:rPr>
        <w:t> </w:t>
      </w:r>
      <w:r>
        <w:rPr>
          <w:i/>
          <w:sz w:val="18"/>
        </w:rPr>
        <w:t>in</w:t>
      </w:r>
      <w:r>
        <w:rPr>
          <w:i/>
          <w:spacing w:val="-3"/>
          <w:sz w:val="18"/>
        </w:rPr>
        <w:t> </w:t>
      </w:r>
      <w:r>
        <w:rPr>
          <w:i/>
          <w:sz w:val="18"/>
        </w:rPr>
        <w:t>the</w:t>
      </w:r>
      <w:r>
        <w:rPr>
          <w:i/>
          <w:spacing w:val="-5"/>
          <w:sz w:val="18"/>
        </w:rPr>
        <w:t> </w:t>
      </w:r>
      <w:r>
        <w:rPr>
          <w:i/>
          <w:sz w:val="18"/>
        </w:rPr>
        <w:t>financials</w:t>
      </w:r>
      <w:r>
        <w:rPr>
          <w:i/>
          <w:spacing w:val="-5"/>
          <w:sz w:val="18"/>
        </w:rPr>
        <w:t> </w:t>
      </w:r>
      <w:r>
        <w:rPr>
          <w:i/>
          <w:sz w:val="18"/>
        </w:rPr>
        <w:t>as</w:t>
      </w:r>
      <w:r>
        <w:rPr>
          <w:i/>
          <w:spacing w:val="-4"/>
          <w:sz w:val="18"/>
        </w:rPr>
        <w:t> </w:t>
      </w:r>
      <w:r>
        <w:rPr>
          <w:i/>
          <w:sz w:val="18"/>
        </w:rPr>
        <w:t>per</w:t>
      </w:r>
      <w:r>
        <w:rPr>
          <w:i/>
          <w:spacing w:val="-3"/>
          <w:sz w:val="18"/>
        </w:rPr>
        <w:t> </w:t>
      </w:r>
      <w:r>
        <w:rPr>
          <w:i/>
          <w:sz w:val="18"/>
        </w:rPr>
        <w:t>market benchmarks</w:t>
      </w:r>
    </w:p>
    <w:p>
      <w:pPr>
        <w:pStyle w:val="BodyText"/>
        <w:spacing w:before="11"/>
        <w:rPr>
          <w:i/>
          <w:sz w:val="20"/>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79" w:id="349"/>
      <w:bookmarkEnd w:id="349"/>
      <w:r>
        <w:rPr/>
      </w:r>
      <w:bookmarkStart w:name="_bookmark179" w:id="350"/>
      <w:bookmarkEnd w:id="350"/>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55"/>
        </w:numPr>
        <w:tabs>
          <w:tab w:pos="985" w:val="left" w:leader="none"/>
        </w:tabs>
        <w:spacing w:line="240" w:lineRule="auto" w:before="0" w:after="0"/>
        <w:ind w:left="984" w:right="0" w:hanging="865"/>
        <w:jc w:val="left"/>
        <w:rPr>
          <w:i/>
          <w:sz w:val="20"/>
        </w:rPr>
      </w:pPr>
      <w:r>
        <w:rPr>
          <w:i/>
          <w:color w:val="008000"/>
          <w:sz w:val="20"/>
        </w:rPr>
        <w:t>Development</w:t>
      </w:r>
      <w:r>
        <w:rPr>
          <w:i/>
          <w:color w:val="008000"/>
          <w:spacing w:val="-4"/>
          <w:sz w:val="20"/>
        </w:rPr>
        <w:t> </w:t>
      </w:r>
      <w:r>
        <w:rPr>
          <w:i/>
          <w:color w:val="008000"/>
          <w:sz w:val="20"/>
        </w:rPr>
        <w:t>Cost</w:t>
      </w:r>
    </w:p>
    <w:p>
      <w:pPr>
        <w:pStyle w:val="BodyText"/>
        <w:spacing w:line="321" w:lineRule="auto" w:before="76"/>
        <w:ind w:left="682"/>
      </w:pPr>
      <w:r>
        <w:rPr/>
        <w:t>The following table highlights the assumptions towards the development cost for the under- construction/proposed blocks at the subject development:</w:t>
      </w:r>
    </w:p>
    <w:p>
      <w:pPr>
        <w:pStyle w:val="BodyText"/>
        <w:spacing w:before="1"/>
        <w:rPr>
          <w:sz w:val="17"/>
        </w:rPr>
      </w:pPr>
      <w:r>
        <w:rPr/>
        <w:pict>
          <v:group style="position:absolute;margin-left:36pt;margin-top:11.873056pt;width:523.6pt;height:23.05pt;mso-position-horizontal-relative:page;mso-position-vertical-relative:paragraph;z-index:-15312384;mso-wrap-distance-left:0;mso-wrap-distance-right:0" coordorigin="720,237" coordsize="10472,461">
            <v:shape style="position:absolute;left:720;top:251;width:10472;height:432" coordorigin="720,252" coordsize="10472,432" path="m5956,252l3339,252,720,252,720,684,3339,684,5956,684,5956,252xm8575,252l5956,252,5956,684,8575,684,8575,252xm11191,252l8575,252,8575,684,11191,684,11191,252xe" filled="true" fillcolor="#006a4d" stroked="false">
              <v:path arrowok="t"/>
              <v:fill type="solid"/>
            </v:shape>
            <v:shape style="position:absolute;left:720;top:237;width:10472;height:461" coordorigin="720,237" coordsize="10472,461" path="m5956,684l3354,684,3339,684,720,684,720,698,3339,698,3354,698,5956,698,5956,684xm5956,237l3354,237,3339,237,720,237,720,252,3339,252,3354,252,5956,252,5956,237xm8575,684l5970,684,5956,684,5956,698,5970,698,8575,698,8575,684xm8575,237l5970,237,5956,237,5956,252,5970,252,8575,252,8575,237xm11191,684l8589,684,8575,684,8575,698,8589,698,11191,698,11191,684xm11191,237l8589,237,8575,237,8575,252,8589,252,11191,252,11191,237xe" filled="true" fillcolor="#69bd28" stroked="false">
              <v:path arrowok="t"/>
              <v:fill type="solid"/>
            </v:shape>
            <v:shape style="position:absolute;left:1786;top:359;width:511;height:216" type="#_x0000_t202" filled="false" stroked="false">
              <v:textbox inset="0,0,0,0">
                <w:txbxContent>
                  <w:p>
                    <w:pPr>
                      <w:spacing w:before="4"/>
                      <w:ind w:left="0" w:right="0" w:firstLine="0"/>
                      <w:jc w:val="left"/>
                      <w:rPr>
                        <w:b/>
                        <w:sz w:val="18"/>
                      </w:rPr>
                    </w:pPr>
                    <w:r>
                      <w:rPr>
                        <w:b/>
                        <w:color w:val="FFFFFF"/>
                        <w:w w:val="110"/>
                        <w:sz w:val="18"/>
                      </w:rPr>
                      <w:t>Block</w:t>
                    </w:r>
                  </w:p>
                </w:txbxContent>
              </v:textbox>
              <w10:wrap type="none"/>
            </v:shape>
            <v:shape style="position:absolute;left:3752;top:251;width:1804;height:432" type="#_x0000_t202" filled="false" stroked="false">
              <v:textbox inset="0,0,0,0">
                <w:txbxContent>
                  <w:p>
                    <w:pPr>
                      <w:spacing w:line="247" w:lineRule="auto" w:before="4"/>
                      <w:ind w:left="499" w:right="-15" w:hanging="500"/>
                      <w:jc w:val="left"/>
                      <w:rPr>
                        <w:b/>
                        <w:sz w:val="18"/>
                      </w:rPr>
                    </w:pPr>
                    <w:r>
                      <w:rPr>
                        <w:b/>
                        <w:color w:val="FFFFFF"/>
                        <w:w w:val="105"/>
                        <w:sz w:val="18"/>
                      </w:rPr>
                      <w:t>Cost of Construction (INR/sf)*</w:t>
                    </w:r>
                  </w:p>
                </w:txbxContent>
              </v:textbox>
              <w10:wrap type="none"/>
            </v:shape>
            <v:shape style="position:absolute;left:6119;top:251;width:4917;height:432" type="#_x0000_t202" filled="false" stroked="false">
              <v:textbox inset="0,0,0,0">
                <w:txbxContent>
                  <w:p>
                    <w:pPr>
                      <w:tabs>
                        <w:tab w:pos="2623" w:val="left" w:leader="none"/>
                        <w:tab w:pos="3360" w:val="left" w:leader="none"/>
                      </w:tabs>
                      <w:spacing w:line="247" w:lineRule="auto" w:before="4"/>
                      <w:ind w:left="743" w:right="18" w:hanging="744"/>
                      <w:jc w:val="left"/>
                      <w:rPr>
                        <w:b/>
                        <w:sz w:val="18"/>
                      </w:rPr>
                    </w:pPr>
                    <w:r>
                      <w:rPr>
                        <w:b/>
                        <w:color w:val="FFFFFF"/>
                        <w:w w:val="105"/>
                        <w:sz w:val="18"/>
                      </w:rPr>
                      <w:t>Total Cost</w:t>
                    </w:r>
                    <w:r>
                      <w:rPr>
                        <w:b/>
                        <w:color w:val="FFFFFF"/>
                        <w:spacing w:val="-12"/>
                        <w:w w:val="105"/>
                        <w:sz w:val="18"/>
                      </w:rPr>
                      <w:t> </w:t>
                    </w:r>
                    <w:r>
                      <w:rPr>
                        <w:b/>
                        <w:color w:val="FFFFFF"/>
                        <w:w w:val="105"/>
                        <w:sz w:val="18"/>
                      </w:rPr>
                      <w:t>of</w:t>
                    </w:r>
                    <w:r>
                      <w:rPr>
                        <w:b/>
                        <w:color w:val="FFFFFF"/>
                        <w:spacing w:val="-6"/>
                        <w:w w:val="105"/>
                        <w:sz w:val="18"/>
                      </w:rPr>
                      <w:t> </w:t>
                    </w:r>
                    <w:r>
                      <w:rPr>
                        <w:b/>
                        <w:color w:val="FFFFFF"/>
                        <w:w w:val="105"/>
                        <w:sz w:val="18"/>
                      </w:rPr>
                      <w:t>Construction</w:t>
                      <w:tab/>
                      <w:t>Pending Cost to be </w:t>
                    </w:r>
                    <w:r>
                      <w:rPr>
                        <w:b/>
                        <w:color w:val="FFFFFF"/>
                        <w:spacing w:val="-4"/>
                        <w:w w:val="105"/>
                        <w:sz w:val="18"/>
                      </w:rPr>
                      <w:t>Spent </w:t>
                    </w:r>
                    <w:r>
                      <w:rPr>
                        <w:b/>
                        <w:color w:val="FFFFFF"/>
                        <w:w w:val="105"/>
                        <w:sz w:val="18"/>
                      </w:rPr>
                      <w:t>(INR</w:t>
                    </w:r>
                    <w:r>
                      <w:rPr>
                        <w:b/>
                        <w:color w:val="FFFFFF"/>
                        <w:spacing w:val="20"/>
                        <w:w w:val="105"/>
                        <w:sz w:val="18"/>
                      </w:rPr>
                      <w:t> </w:t>
                    </w:r>
                    <w:r>
                      <w:rPr>
                        <w:b/>
                        <w:color w:val="FFFFFF"/>
                        <w:w w:val="105"/>
                        <w:sz w:val="18"/>
                      </w:rPr>
                      <w:t>Mn)</w:t>
                      <w:tab/>
                      <w:tab/>
                      <w:t>(INR</w:t>
                    </w:r>
                    <w:r>
                      <w:rPr>
                        <w:b/>
                        <w:color w:val="FFFFFF"/>
                        <w:spacing w:val="4"/>
                        <w:w w:val="105"/>
                        <w:sz w:val="18"/>
                      </w:rPr>
                      <w:t> </w:t>
                    </w:r>
                    <w:r>
                      <w:rPr>
                        <w:b/>
                        <w:color w:val="FFFFFF"/>
                        <w:w w:val="105"/>
                        <w:sz w:val="18"/>
                      </w:rPr>
                      <w:t>Mn)</w:t>
                    </w:r>
                  </w:p>
                </w:txbxContent>
              </v:textbox>
              <w10:wrap type="none"/>
            </v:shape>
            <w10:wrap type="topAndBottom"/>
          </v:group>
        </w:pict>
      </w:r>
    </w:p>
    <w:p>
      <w:pPr>
        <w:tabs>
          <w:tab w:pos="3807" w:val="left" w:leader="none"/>
          <w:tab w:pos="6318" w:val="left" w:leader="none"/>
          <w:tab w:pos="8908" w:val="left" w:leader="none"/>
        </w:tabs>
        <w:spacing w:before="15" w:after="43"/>
        <w:ind w:left="1126" w:right="0" w:firstLine="0"/>
        <w:jc w:val="left"/>
        <w:rPr>
          <w:sz w:val="18"/>
        </w:rPr>
      </w:pPr>
      <w:r>
        <w:rPr>
          <w:w w:val="105"/>
          <w:sz w:val="18"/>
        </w:rPr>
        <w:t>Hudson</w:t>
        <w:tab/>
        <w:t>4,106</w:t>
        <w:tab/>
        <w:t>1,881.47</w:t>
        <w:tab/>
        <w:t>1,545.65</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5236,0l2634,0,2619,0,0,0,0,14,2619,14,2634,14,5236,14,5236,0xm7855,0l5250,0,5236,0,5236,14,5250,14,7855,14,7855,0xm10471,0l7869,0,7855,0,7855,14,7869,14,10471,14,10471,0xe" filled="true" fillcolor="#69bd28" stroked="false">
              <v:path arrowok="t"/>
              <v:fill type="solid"/>
            </v:shape>
          </v:group>
        </w:pict>
      </w:r>
      <w:r>
        <w:rPr>
          <w:sz w:val="2"/>
        </w:rPr>
      </w:r>
    </w:p>
    <w:p>
      <w:pPr>
        <w:tabs>
          <w:tab w:pos="3807" w:val="left" w:leader="none"/>
          <w:tab w:pos="6327" w:val="left" w:leader="none"/>
          <w:tab w:pos="8944" w:val="left" w:leader="none"/>
        </w:tabs>
        <w:spacing w:before="41"/>
        <w:ind w:left="1121" w:right="0" w:firstLine="0"/>
        <w:jc w:val="left"/>
        <w:rPr>
          <w:sz w:val="18"/>
        </w:rPr>
      </w:pPr>
      <w:r>
        <w:rPr/>
        <w:pict>
          <v:rect style="position:absolute;margin-left:35.280003pt;margin-top:14.580677pt;width:524.280025pt;height:.72pt;mso-position-horizontal-relative:page;mso-position-vertical-relative:paragraph;z-index:-15311360;mso-wrap-distance-left:0;mso-wrap-distance-right:0" filled="true" fillcolor="#69bd28" stroked="false">
            <v:fill type="solid"/>
            <w10:wrap type="topAndBottom"/>
          </v:rect>
        </w:pict>
      </w:r>
      <w:r>
        <w:rPr>
          <w:w w:val="105"/>
          <w:sz w:val="18"/>
        </w:rPr>
        <w:t>Ganges</w:t>
        <w:tab/>
        <w:t>4,087</w:t>
        <w:tab/>
        <w:t>1,726.66</w:t>
        <w:tab/>
        <w:t>1,496.24</w:t>
      </w:r>
    </w:p>
    <w:p>
      <w:pPr>
        <w:spacing w:after="0"/>
        <w:jc w:val="left"/>
        <w:rPr>
          <w:sz w:val="18"/>
        </w:rPr>
        <w:sectPr>
          <w:type w:val="continuous"/>
          <w:pgSz w:w="11910" w:h="16840"/>
          <w:pgMar w:top="800" w:bottom="280" w:left="600" w:right="500"/>
        </w:sectPr>
      </w:pPr>
    </w:p>
    <w:p>
      <w:pPr>
        <w:pStyle w:val="BodyText"/>
        <w:spacing w:before="3" w:after="1"/>
        <w:rPr>
          <w:sz w:val="18"/>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69"/>
        <w:gridCol w:w="2377"/>
        <w:gridCol w:w="2625"/>
        <w:gridCol w:w="2617"/>
      </w:tblGrid>
      <w:tr>
        <w:trPr>
          <w:trHeight w:val="431" w:hRule="atLeast"/>
        </w:trPr>
        <w:tc>
          <w:tcPr>
            <w:tcW w:w="2869" w:type="dxa"/>
            <w:tcBorders>
              <w:top w:val="single" w:sz="6" w:space="0" w:color="69BD28"/>
              <w:bottom w:val="single" w:sz="6" w:space="0" w:color="69BD28"/>
            </w:tcBorders>
            <w:shd w:val="clear" w:color="auto" w:fill="006A4D"/>
          </w:tcPr>
          <w:p>
            <w:pPr>
              <w:pStyle w:val="TableParagraph"/>
              <w:spacing w:before="119"/>
              <w:ind w:left="429" w:right="644"/>
              <w:rPr>
                <w:b/>
                <w:sz w:val="18"/>
              </w:rPr>
            </w:pPr>
            <w:r>
              <w:rPr>
                <w:b/>
                <w:color w:val="FFFFFF"/>
                <w:w w:val="110"/>
                <w:sz w:val="18"/>
              </w:rPr>
              <w:t>Block</w:t>
            </w:r>
          </w:p>
        </w:tc>
        <w:tc>
          <w:tcPr>
            <w:tcW w:w="2377" w:type="dxa"/>
            <w:tcBorders>
              <w:top w:val="single" w:sz="6" w:space="0" w:color="69BD28"/>
              <w:bottom w:val="single" w:sz="6" w:space="0" w:color="69BD28"/>
            </w:tcBorders>
            <w:shd w:val="clear" w:color="auto" w:fill="006A4D"/>
          </w:tcPr>
          <w:p>
            <w:pPr>
              <w:pStyle w:val="TableParagraph"/>
              <w:spacing w:line="210" w:lineRule="atLeast" w:before="10"/>
              <w:ind w:left="676" w:hanging="500"/>
              <w:jc w:val="left"/>
              <w:rPr>
                <w:b/>
                <w:sz w:val="18"/>
              </w:rPr>
            </w:pPr>
            <w:r>
              <w:rPr>
                <w:b/>
                <w:color w:val="FFFFFF"/>
                <w:w w:val="105"/>
                <w:sz w:val="18"/>
              </w:rPr>
              <w:t>Cost of Construction (INR/sf)*</w:t>
            </w:r>
          </w:p>
        </w:tc>
        <w:tc>
          <w:tcPr>
            <w:tcW w:w="2625" w:type="dxa"/>
            <w:tcBorders>
              <w:top w:val="single" w:sz="6" w:space="0" w:color="69BD28"/>
              <w:bottom w:val="single" w:sz="6" w:space="0" w:color="69BD28"/>
            </w:tcBorders>
            <w:shd w:val="clear" w:color="auto" w:fill="006A4D"/>
          </w:tcPr>
          <w:p>
            <w:pPr>
              <w:pStyle w:val="TableParagraph"/>
              <w:spacing w:line="210" w:lineRule="atLeast" w:before="10"/>
              <w:ind w:left="911" w:hanging="744"/>
              <w:jc w:val="left"/>
              <w:rPr>
                <w:b/>
                <w:sz w:val="18"/>
              </w:rPr>
            </w:pPr>
            <w:r>
              <w:rPr>
                <w:b/>
                <w:color w:val="FFFFFF"/>
                <w:w w:val="105"/>
                <w:sz w:val="18"/>
              </w:rPr>
              <w:t>Total Cost of Construction (INR Mn)</w:t>
            </w:r>
          </w:p>
        </w:tc>
        <w:tc>
          <w:tcPr>
            <w:tcW w:w="2617" w:type="dxa"/>
            <w:tcBorders>
              <w:top w:val="single" w:sz="6" w:space="0" w:color="69BD28"/>
              <w:bottom w:val="single" w:sz="6" w:space="0" w:color="69BD28"/>
            </w:tcBorders>
            <w:shd w:val="clear" w:color="auto" w:fill="006A4D"/>
          </w:tcPr>
          <w:p>
            <w:pPr>
              <w:pStyle w:val="TableParagraph"/>
              <w:spacing w:line="210" w:lineRule="atLeast" w:before="10"/>
              <w:ind w:left="903" w:right="113" w:hanging="737"/>
              <w:jc w:val="left"/>
              <w:rPr>
                <w:b/>
                <w:sz w:val="18"/>
              </w:rPr>
            </w:pPr>
            <w:r>
              <w:rPr>
                <w:b/>
                <w:color w:val="FFFFFF"/>
                <w:w w:val="110"/>
                <w:sz w:val="18"/>
              </w:rPr>
              <w:t>Pending Cost to be Spent (INR Mn)</w:t>
            </w:r>
          </w:p>
        </w:tc>
      </w:tr>
      <w:tr>
        <w:trPr>
          <w:trHeight w:val="297" w:hRule="atLeast"/>
        </w:trPr>
        <w:tc>
          <w:tcPr>
            <w:tcW w:w="2869" w:type="dxa"/>
            <w:tcBorders>
              <w:top w:val="single" w:sz="6" w:space="0" w:color="69BD28"/>
              <w:bottom w:val="single" w:sz="6" w:space="0" w:color="69BD28"/>
            </w:tcBorders>
          </w:tcPr>
          <w:p>
            <w:pPr>
              <w:pStyle w:val="TableParagraph"/>
              <w:spacing w:before="52"/>
              <w:ind w:left="429" w:right="645"/>
              <w:rPr>
                <w:sz w:val="18"/>
              </w:rPr>
            </w:pPr>
            <w:r>
              <w:rPr>
                <w:w w:val="105"/>
                <w:sz w:val="18"/>
              </w:rPr>
              <w:t>Block 4</w:t>
            </w:r>
          </w:p>
        </w:tc>
        <w:tc>
          <w:tcPr>
            <w:tcW w:w="2377" w:type="dxa"/>
            <w:tcBorders>
              <w:top w:val="single" w:sz="6" w:space="0" w:color="69BD28"/>
              <w:bottom w:val="single" w:sz="6" w:space="0" w:color="69BD28"/>
            </w:tcBorders>
          </w:tcPr>
          <w:p>
            <w:pPr>
              <w:pStyle w:val="TableParagraph"/>
              <w:spacing w:before="52"/>
              <w:ind w:left="832"/>
              <w:jc w:val="left"/>
              <w:rPr>
                <w:sz w:val="18"/>
              </w:rPr>
            </w:pPr>
            <w:r>
              <w:rPr>
                <w:w w:val="105"/>
                <w:sz w:val="18"/>
              </w:rPr>
              <w:t>4,188</w:t>
            </w:r>
          </w:p>
        </w:tc>
        <w:tc>
          <w:tcPr>
            <w:tcW w:w="2625" w:type="dxa"/>
            <w:tcBorders>
              <w:top w:val="single" w:sz="6" w:space="0" w:color="69BD28"/>
              <w:bottom w:val="single" w:sz="6" w:space="0" w:color="69BD28"/>
            </w:tcBorders>
          </w:tcPr>
          <w:p>
            <w:pPr>
              <w:pStyle w:val="TableParagraph"/>
              <w:spacing w:before="52"/>
              <w:ind w:left="960" w:right="891"/>
              <w:rPr>
                <w:sz w:val="18"/>
              </w:rPr>
            </w:pPr>
            <w:r>
              <w:rPr>
                <w:w w:val="105"/>
                <w:sz w:val="18"/>
              </w:rPr>
              <w:t>1,978.04</w:t>
            </w:r>
          </w:p>
        </w:tc>
        <w:tc>
          <w:tcPr>
            <w:tcW w:w="2617" w:type="dxa"/>
            <w:tcBorders>
              <w:top w:val="single" w:sz="6" w:space="0" w:color="69BD28"/>
              <w:bottom w:val="single" w:sz="6" w:space="0" w:color="69BD28"/>
            </w:tcBorders>
          </w:tcPr>
          <w:p>
            <w:pPr>
              <w:pStyle w:val="TableParagraph"/>
              <w:spacing w:before="52"/>
              <w:ind w:left="566" w:right="506"/>
              <w:rPr>
                <w:sz w:val="18"/>
              </w:rPr>
            </w:pPr>
            <w:r>
              <w:rPr>
                <w:w w:val="105"/>
                <w:sz w:val="18"/>
              </w:rPr>
              <w:t>1,978.04</w:t>
            </w:r>
          </w:p>
        </w:tc>
      </w:tr>
      <w:tr>
        <w:trPr>
          <w:trHeight w:val="294" w:hRule="atLeast"/>
        </w:trPr>
        <w:tc>
          <w:tcPr>
            <w:tcW w:w="2869" w:type="dxa"/>
            <w:tcBorders>
              <w:top w:val="single" w:sz="6" w:space="0" w:color="69BD28"/>
              <w:bottom w:val="single" w:sz="6" w:space="0" w:color="69BD28"/>
            </w:tcBorders>
          </w:tcPr>
          <w:p>
            <w:pPr>
              <w:pStyle w:val="TableParagraph"/>
              <w:spacing w:before="52"/>
              <w:ind w:left="429" w:right="645"/>
              <w:rPr>
                <w:sz w:val="18"/>
              </w:rPr>
            </w:pPr>
            <w:r>
              <w:rPr>
                <w:w w:val="105"/>
                <w:sz w:val="18"/>
              </w:rPr>
              <w:t>Block 9</w:t>
            </w:r>
          </w:p>
        </w:tc>
        <w:tc>
          <w:tcPr>
            <w:tcW w:w="2377" w:type="dxa"/>
            <w:tcBorders>
              <w:top w:val="single" w:sz="6" w:space="0" w:color="69BD28"/>
              <w:bottom w:val="single" w:sz="6" w:space="0" w:color="69BD28"/>
            </w:tcBorders>
          </w:tcPr>
          <w:p>
            <w:pPr>
              <w:pStyle w:val="TableParagraph"/>
              <w:spacing w:before="52"/>
              <w:ind w:left="832"/>
              <w:jc w:val="left"/>
              <w:rPr>
                <w:sz w:val="18"/>
              </w:rPr>
            </w:pPr>
            <w:r>
              <w:rPr>
                <w:w w:val="105"/>
                <w:sz w:val="18"/>
              </w:rPr>
              <w:t>4,280</w:t>
            </w:r>
          </w:p>
        </w:tc>
        <w:tc>
          <w:tcPr>
            <w:tcW w:w="2625" w:type="dxa"/>
            <w:tcBorders>
              <w:top w:val="single" w:sz="6" w:space="0" w:color="69BD28"/>
              <w:bottom w:val="single" w:sz="6" w:space="0" w:color="69BD28"/>
            </w:tcBorders>
          </w:tcPr>
          <w:p>
            <w:pPr>
              <w:pStyle w:val="TableParagraph"/>
              <w:spacing w:before="52"/>
              <w:ind w:left="960" w:right="891"/>
              <w:rPr>
                <w:sz w:val="18"/>
              </w:rPr>
            </w:pPr>
            <w:r>
              <w:rPr>
                <w:w w:val="105"/>
                <w:sz w:val="18"/>
              </w:rPr>
              <w:t>4,188.40</w:t>
            </w:r>
          </w:p>
        </w:tc>
        <w:tc>
          <w:tcPr>
            <w:tcW w:w="2617" w:type="dxa"/>
            <w:tcBorders>
              <w:top w:val="single" w:sz="6" w:space="0" w:color="69BD28"/>
              <w:bottom w:val="single" w:sz="6" w:space="0" w:color="69BD28"/>
            </w:tcBorders>
          </w:tcPr>
          <w:p>
            <w:pPr>
              <w:pStyle w:val="TableParagraph"/>
              <w:spacing w:before="52"/>
              <w:ind w:left="566" w:right="506"/>
              <w:rPr>
                <w:sz w:val="18"/>
              </w:rPr>
            </w:pPr>
            <w:r>
              <w:rPr>
                <w:w w:val="105"/>
                <w:sz w:val="18"/>
              </w:rPr>
              <w:t>4,188.40</w:t>
            </w:r>
          </w:p>
        </w:tc>
      </w:tr>
      <w:tr>
        <w:trPr>
          <w:trHeight w:val="297" w:hRule="atLeast"/>
        </w:trPr>
        <w:tc>
          <w:tcPr>
            <w:tcW w:w="2869" w:type="dxa"/>
            <w:tcBorders>
              <w:top w:val="single" w:sz="6" w:space="0" w:color="69BD28"/>
              <w:bottom w:val="single" w:sz="6" w:space="0" w:color="69BD28"/>
            </w:tcBorders>
          </w:tcPr>
          <w:p>
            <w:pPr>
              <w:pStyle w:val="TableParagraph"/>
              <w:spacing w:before="52"/>
              <w:ind w:left="429" w:right="645"/>
              <w:rPr>
                <w:sz w:val="18"/>
              </w:rPr>
            </w:pPr>
            <w:r>
              <w:rPr>
                <w:w w:val="105"/>
                <w:sz w:val="18"/>
              </w:rPr>
              <w:t>Block 10</w:t>
            </w:r>
          </w:p>
        </w:tc>
        <w:tc>
          <w:tcPr>
            <w:tcW w:w="2377" w:type="dxa"/>
            <w:tcBorders>
              <w:top w:val="single" w:sz="6" w:space="0" w:color="69BD28"/>
              <w:bottom w:val="single" w:sz="6" w:space="0" w:color="69BD28"/>
            </w:tcBorders>
          </w:tcPr>
          <w:p>
            <w:pPr>
              <w:pStyle w:val="TableParagraph"/>
              <w:spacing w:before="52"/>
              <w:ind w:left="832"/>
              <w:jc w:val="left"/>
              <w:rPr>
                <w:sz w:val="18"/>
              </w:rPr>
            </w:pPr>
            <w:r>
              <w:rPr>
                <w:w w:val="105"/>
                <w:sz w:val="18"/>
              </w:rPr>
              <w:t>4,467</w:t>
            </w:r>
          </w:p>
        </w:tc>
        <w:tc>
          <w:tcPr>
            <w:tcW w:w="2625" w:type="dxa"/>
            <w:tcBorders>
              <w:top w:val="single" w:sz="6" w:space="0" w:color="69BD28"/>
              <w:bottom w:val="single" w:sz="6" w:space="0" w:color="69BD28"/>
            </w:tcBorders>
          </w:tcPr>
          <w:p>
            <w:pPr>
              <w:pStyle w:val="TableParagraph"/>
              <w:spacing w:before="52"/>
              <w:ind w:left="960" w:right="891"/>
              <w:rPr>
                <w:sz w:val="18"/>
              </w:rPr>
            </w:pPr>
            <w:r>
              <w:rPr>
                <w:w w:val="105"/>
                <w:sz w:val="18"/>
              </w:rPr>
              <w:t>4,206.49</w:t>
            </w:r>
          </w:p>
        </w:tc>
        <w:tc>
          <w:tcPr>
            <w:tcW w:w="2617" w:type="dxa"/>
            <w:tcBorders>
              <w:top w:val="single" w:sz="6" w:space="0" w:color="69BD28"/>
              <w:bottom w:val="single" w:sz="6" w:space="0" w:color="69BD28"/>
            </w:tcBorders>
          </w:tcPr>
          <w:p>
            <w:pPr>
              <w:pStyle w:val="TableParagraph"/>
              <w:spacing w:before="52"/>
              <w:ind w:left="566" w:right="506"/>
              <w:rPr>
                <w:sz w:val="18"/>
              </w:rPr>
            </w:pPr>
            <w:r>
              <w:rPr>
                <w:w w:val="105"/>
                <w:sz w:val="18"/>
              </w:rPr>
              <w:t>4,206.49</w:t>
            </w:r>
          </w:p>
        </w:tc>
      </w:tr>
      <w:tr>
        <w:trPr>
          <w:trHeight w:val="294" w:hRule="atLeast"/>
        </w:trPr>
        <w:tc>
          <w:tcPr>
            <w:tcW w:w="2869" w:type="dxa"/>
            <w:tcBorders>
              <w:top w:val="single" w:sz="6" w:space="0" w:color="69BD28"/>
              <w:bottom w:val="single" w:sz="6" w:space="0" w:color="69BD28"/>
            </w:tcBorders>
          </w:tcPr>
          <w:p>
            <w:pPr>
              <w:pStyle w:val="TableParagraph"/>
              <w:spacing w:before="52"/>
              <w:ind w:left="429" w:right="647"/>
              <w:rPr>
                <w:sz w:val="18"/>
              </w:rPr>
            </w:pPr>
            <w:r>
              <w:rPr>
                <w:sz w:val="18"/>
              </w:rPr>
              <w:t>Volga Training Centre</w:t>
            </w:r>
          </w:p>
        </w:tc>
        <w:tc>
          <w:tcPr>
            <w:tcW w:w="2377" w:type="dxa"/>
            <w:tcBorders>
              <w:top w:val="single" w:sz="6" w:space="0" w:color="69BD28"/>
              <w:bottom w:val="single" w:sz="6" w:space="0" w:color="69BD28"/>
            </w:tcBorders>
          </w:tcPr>
          <w:p>
            <w:pPr>
              <w:pStyle w:val="TableParagraph"/>
              <w:spacing w:before="52"/>
              <w:ind w:left="832"/>
              <w:jc w:val="left"/>
              <w:rPr>
                <w:sz w:val="18"/>
              </w:rPr>
            </w:pPr>
            <w:r>
              <w:rPr>
                <w:w w:val="105"/>
                <w:sz w:val="18"/>
              </w:rPr>
              <w:t>6,994</w:t>
            </w:r>
          </w:p>
        </w:tc>
        <w:tc>
          <w:tcPr>
            <w:tcW w:w="2625" w:type="dxa"/>
            <w:tcBorders>
              <w:top w:val="single" w:sz="6" w:space="0" w:color="69BD28"/>
              <w:bottom w:val="single" w:sz="6" w:space="0" w:color="69BD28"/>
            </w:tcBorders>
          </w:tcPr>
          <w:p>
            <w:pPr>
              <w:pStyle w:val="TableParagraph"/>
              <w:spacing w:before="52"/>
              <w:ind w:left="960" w:right="888"/>
              <w:rPr>
                <w:sz w:val="18"/>
              </w:rPr>
            </w:pPr>
            <w:r>
              <w:rPr>
                <w:w w:val="110"/>
                <w:sz w:val="18"/>
              </w:rPr>
              <w:t>277.60</w:t>
            </w:r>
          </w:p>
        </w:tc>
        <w:tc>
          <w:tcPr>
            <w:tcW w:w="2617" w:type="dxa"/>
            <w:tcBorders>
              <w:top w:val="single" w:sz="6" w:space="0" w:color="69BD28"/>
              <w:bottom w:val="single" w:sz="6" w:space="0" w:color="69BD28"/>
            </w:tcBorders>
          </w:tcPr>
          <w:p>
            <w:pPr>
              <w:pStyle w:val="TableParagraph"/>
              <w:spacing w:before="52"/>
              <w:ind w:left="566" w:right="502"/>
              <w:rPr>
                <w:sz w:val="18"/>
              </w:rPr>
            </w:pPr>
            <w:r>
              <w:rPr>
                <w:w w:val="110"/>
                <w:sz w:val="18"/>
              </w:rPr>
              <w:t>277.60</w:t>
            </w:r>
          </w:p>
        </w:tc>
      </w:tr>
    </w:tbl>
    <w:p>
      <w:pPr>
        <w:spacing w:before="4"/>
        <w:ind w:left="120" w:right="0" w:firstLine="0"/>
        <w:jc w:val="left"/>
        <w:rPr>
          <w:i/>
          <w:sz w:val="18"/>
        </w:rPr>
      </w:pPr>
      <w:r>
        <w:rPr>
          <w:i/>
          <w:sz w:val="18"/>
        </w:rPr>
        <w:t>Source: Client’s input</w:t>
      </w:r>
    </w:p>
    <w:p>
      <w:pPr>
        <w:pStyle w:val="BodyText"/>
        <w:spacing w:before="5"/>
        <w:rPr>
          <w:i/>
          <w:sz w:val="29"/>
        </w:rPr>
      </w:pPr>
    </w:p>
    <w:p>
      <w:pPr>
        <w:pStyle w:val="ListParagraph"/>
        <w:numPr>
          <w:ilvl w:val="3"/>
          <w:numId w:val="55"/>
        </w:numPr>
        <w:tabs>
          <w:tab w:pos="985" w:val="left" w:leader="none"/>
        </w:tabs>
        <w:spacing w:line="240" w:lineRule="auto" w:before="0" w:after="0"/>
        <w:ind w:left="984" w:right="0" w:hanging="865"/>
        <w:jc w:val="left"/>
        <w:rPr>
          <w:i/>
          <w:sz w:val="20"/>
        </w:rPr>
      </w:pPr>
      <w:r>
        <w:rPr>
          <w:i/>
          <w:color w:val="008000"/>
          <w:w w:val="95"/>
          <w:sz w:val="20"/>
        </w:rPr>
        <w:t>Major Repairs and</w:t>
      </w:r>
      <w:r>
        <w:rPr>
          <w:i/>
          <w:color w:val="008000"/>
          <w:spacing w:val="18"/>
          <w:w w:val="95"/>
          <w:sz w:val="20"/>
        </w:rPr>
        <w:t> </w:t>
      </w:r>
      <w:r>
        <w:rPr>
          <w:i/>
          <w:color w:val="008000"/>
          <w:w w:val="95"/>
          <w:sz w:val="20"/>
        </w:rPr>
        <w:t>Improvements</w:t>
      </w:r>
    </w:p>
    <w:p>
      <w:pPr>
        <w:pStyle w:val="BodyText"/>
        <w:spacing w:line="324" w:lineRule="auto" w:before="75"/>
        <w:ind w:left="682"/>
      </w:pPr>
      <w:r>
        <w:rPr/>
        <w:pict>
          <v:group style="position:absolute;margin-left:36pt;margin-top:49.868591pt;width:523.6pt;height:40.8pt;mso-position-horizontal-relative:page;mso-position-vertical-relative:paragraph;z-index:-34478592" coordorigin="720,997" coordsize="10472,816">
            <v:shape style="position:absolute;left:720;top:1803;width:10472;height:10" coordorigin="720,1804" coordsize="10472,10" path="m7559,1804l5857,1804,5848,1804,5848,1804,4055,1804,4045,1804,720,1804,720,1813,4045,1813,4055,1813,5848,1813,5848,1813,5857,1813,7559,1813,7559,1804xm7569,1804l7560,1804,7560,1813,7569,1813,7569,1804xm9451,1804l7569,1804,7569,1813,9451,1813,9451,1804xm9460,1804l9451,1804,9451,1813,9460,1813,9460,1804xm11191,1804l9460,1804,9460,1813,11191,1813,11191,1804xe" filled="true" fillcolor="#92d050" stroked="false">
              <v:path arrowok="t"/>
              <v:fill type="solid"/>
            </v:shape>
            <v:shape style="position:absolute;left:720;top:1026;width:10472;height:778" coordorigin="720,1026" coordsize="10472,778" path="m7559,1026l5848,1026,5848,1026,4045,1026,720,1026,720,1804,4045,1804,5848,1804,5848,1804,7559,1804,7559,1026xm11191,1026l9451,1026,7560,1026,7560,1804,9451,1804,11191,1804,11191,1026xe" filled="true" fillcolor="#006a4d" stroked="false">
              <v:path arrowok="t"/>
              <v:fill type="solid"/>
            </v:shape>
            <v:rect style="position:absolute;left:720;top:997;width:3325;height:29" filled="true" fillcolor="#1f664d" stroked="false">
              <v:fill type="solid"/>
            </v:rect>
            <v:shape style="position:absolute;left:720;top:1026;width:3354;height:3" coordorigin="720,1026" coordsize="3354,3" path="m4074,1026l4045,1026,720,1026,720,1029,4045,1029,4074,1029,4074,1026xe" filled="true" fillcolor="#006a4d" stroked="false">
              <v:path arrowok="t"/>
              <v:fill type="solid"/>
            </v:shape>
            <v:shape style="position:absolute;left:4045;top:997;width:1803;height:29" coordorigin="4045,997" coordsize="1803,29" path="m5848,997l4074,997,4045,997,4045,1026,4074,1026,5848,1026,5848,997xe" filled="true" fillcolor="#1f664d" stroked="false">
              <v:path arrowok="t"/>
              <v:fill type="solid"/>
            </v:shape>
            <v:shape style="position:absolute;left:4073;top:1026;width:1803;height:3" coordorigin="4074,1026" coordsize="1803,3" path="m5877,1026l5848,1026,4074,1026,4074,1029,5848,1029,5877,1029,5877,1026xe" filled="true" fillcolor="#006a4d" stroked="false">
              <v:path arrowok="t"/>
              <v:fill type="solid"/>
            </v:shape>
            <v:shape style="position:absolute;left:5847;top:997;width:1712;height:29" coordorigin="5848,997" coordsize="1712,29" path="m7559,997l5877,997,5848,997,5848,1026,5877,1026,7559,1026,7559,997xe" filled="true" fillcolor="#1f664d" stroked="false">
              <v:path arrowok="t"/>
              <v:fill type="solid"/>
            </v:shape>
            <v:shape style="position:absolute;left:5876;top:1026;width:1712;height:3" coordorigin="5877,1026" coordsize="1712,3" path="m7559,1026l5877,1026,5877,1029,7559,1029,7559,1026xm7588,1026l7560,1026,7560,1029,7588,1029,7588,1026xe" filled="true" fillcolor="#006a4d" stroked="false">
              <v:path arrowok="t"/>
              <v:fill type="solid"/>
            </v:shape>
            <v:shape style="position:absolute;left:7559;top:997;width:1892;height:29" coordorigin="7560,997" coordsize="1892,29" path="m9451,997l7588,997,7560,997,7560,1026,7588,1026,9451,1026,9451,997xe" filled="true" fillcolor="#1f664d" stroked="false">
              <v:path arrowok="t"/>
              <v:fill type="solid"/>
            </v:shape>
            <v:shape style="position:absolute;left:7588;top:1026;width:1892;height:3" coordorigin="7588,1026" coordsize="1892,3" path="m9480,1026l9451,1026,7588,1026,7588,1029,9451,1029,9480,1029,9480,1026xe" filled="true" fillcolor="#006a4d" stroked="false">
              <v:path arrowok="t"/>
              <v:fill type="solid"/>
            </v:shape>
            <v:shape style="position:absolute;left:9450;top:997;width:1741;height:29" coordorigin="9451,997" coordsize="1741,29" path="m11191,997l9480,997,9451,997,9451,1026,9480,1026,11191,1026,11191,997xe" filled="true" fillcolor="#1f664d" stroked="false">
              <v:path arrowok="t"/>
              <v:fill type="solid"/>
            </v:shape>
            <v:rect style="position:absolute;left:9479;top:1026;width:1712;height:3" filled="true" fillcolor="#006a4d" stroked="false">
              <v:fill type="solid"/>
            </v:rect>
            <v:shape style="position:absolute;left:1788;top:1306;width:1209;height:216" type="#_x0000_t202" filled="false" stroked="false">
              <v:textbox inset="0,0,0,0">
                <w:txbxContent>
                  <w:p>
                    <w:pPr>
                      <w:spacing w:before="4"/>
                      <w:ind w:left="0" w:right="0" w:firstLine="0"/>
                      <w:jc w:val="left"/>
                      <w:rPr>
                        <w:sz w:val="18"/>
                      </w:rPr>
                    </w:pPr>
                    <w:r>
                      <w:rPr>
                        <w:color w:val="FFFFFF"/>
                        <w:sz w:val="18"/>
                      </w:rPr>
                      <w:t>Expense Heads</w:t>
                    </w:r>
                  </w:p>
                </w:txbxContent>
              </v:textbox>
              <w10:wrap type="none"/>
            </v:shape>
            <v:shape style="position:absolute;left:4177;top:1306;width:1557;height:216" type="#_x0000_t202" filled="false" stroked="false">
              <v:textbox inset="0,0,0,0">
                <w:txbxContent>
                  <w:p>
                    <w:pPr>
                      <w:spacing w:before="4"/>
                      <w:ind w:left="0" w:right="0" w:firstLine="0"/>
                      <w:jc w:val="left"/>
                      <w:rPr>
                        <w:sz w:val="18"/>
                      </w:rPr>
                    </w:pPr>
                    <w:r>
                      <w:rPr>
                        <w:color w:val="FFFFFF"/>
                        <w:sz w:val="18"/>
                      </w:rPr>
                      <w:t>Total Cost (INR</w:t>
                    </w:r>
                    <w:r>
                      <w:rPr>
                        <w:color w:val="FFFFFF"/>
                        <w:spacing w:val="-27"/>
                        <w:sz w:val="18"/>
                      </w:rPr>
                      <w:t> </w:t>
                    </w:r>
                    <w:r>
                      <w:rPr>
                        <w:color w:val="FFFFFF"/>
                        <w:sz w:val="18"/>
                      </w:rPr>
                      <w:t>Mn)</w:t>
                    </w:r>
                  </w:p>
                </w:txbxContent>
              </v:textbox>
              <w10:wrap type="none"/>
            </v:shape>
            <v:shape style="position:absolute;left:6306;top:1198;width:815;height:216" type="#_x0000_t202" filled="false" stroked="false">
              <v:textbox inset="0,0,0,0">
                <w:txbxContent>
                  <w:p>
                    <w:pPr>
                      <w:spacing w:before="4"/>
                      <w:ind w:left="0" w:right="0" w:firstLine="0"/>
                      <w:jc w:val="left"/>
                      <w:rPr>
                        <w:sz w:val="18"/>
                      </w:rPr>
                    </w:pPr>
                    <w:r>
                      <w:rPr>
                        <w:color w:val="FFFFFF"/>
                        <w:sz w:val="18"/>
                      </w:rPr>
                      <w:t>Total</w:t>
                    </w:r>
                    <w:r>
                      <w:rPr>
                        <w:color w:val="FFFFFF"/>
                        <w:spacing w:val="-23"/>
                        <w:sz w:val="18"/>
                      </w:rPr>
                      <w:t> </w:t>
                    </w:r>
                    <w:r>
                      <w:rPr>
                        <w:color w:val="FFFFFF"/>
                        <w:sz w:val="18"/>
                      </w:rPr>
                      <w:t>Cost</w:t>
                    </w:r>
                  </w:p>
                </w:txbxContent>
              </v:textbox>
              <w10:wrap type="none"/>
            </v:shape>
            <v:shape style="position:absolute;left:7763;top:1198;width:1501;height:216" type="#_x0000_t202" filled="false" stroked="false">
              <v:textbox inset="0,0,0,0">
                <w:txbxContent>
                  <w:p>
                    <w:pPr>
                      <w:spacing w:before="4"/>
                      <w:ind w:left="0" w:right="0" w:firstLine="0"/>
                      <w:jc w:val="left"/>
                      <w:rPr>
                        <w:sz w:val="18"/>
                      </w:rPr>
                    </w:pPr>
                    <w:r>
                      <w:rPr>
                        <w:color w:val="FFFFFF"/>
                        <w:sz w:val="18"/>
                      </w:rPr>
                      <w:t>Total Pending</w:t>
                    </w:r>
                    <w:r>
                      <w:rPr>
                        <w:color w:val="FFFFFF"/>
                        <w:spacing w:val="-33"/>
                        <w:sz w:val="18"/>
                      </w:rPr>
                      <w:t> </w:t>
                    </w:r>
                    <w:r>
                      <w:rPr>
                        <w:color w:val="FFFFFF"/>
                        <w:sz w:val="18"/>
                      </w:rPr>
                      <w:t>Cost</w:t>
                    </w:r>
                  </w:p>
                </w:txbxContent>
              </v:textbox>
              <w10:wrap type="none"/>
            </v:shape>
            <v:shape style="position:absolute;left:9780;top:1198;width:1099;height:216" type="#_x0000_t202" filled="false" stroked="false">
              <v:textbox inset="0,0,0,0">
                <w:txbxContent>
                  <w:p>
                    <w:pPr>
                      <w:spacing w:before="4"/>
                      <w:ind w:left="0" w:right="0" w:firstLine="0"/>
                      <w:jc w:val="left"/>
                      <w:rPr>
                        <w:sz w:val="18"/>
                      </w:rPr>
                    </w:pPr>
                    <w:r>
                      <w:rPr>
                        <w:color w:val="FFFFFF"/>
                        <w:sz w:val="18"/>
                      </w:rPr>
                      <w:t>FY Quarter of</w:t>
                    </w:r>
                  </w:p>
                </w:txbxContent>
              </v:textbox>
              <w10:wrap type="none"/>
            </v:shape>
            <w10:wrap type="none"/>
          </v:group>
        </w:pict>
      </w:r>
      <w:r>
        <w:rPr/>
        <w:t>The following table highlights the assumptions towards the refurbishment expenses/ infrastructure upgrade works in the subject</w:t>
      </w:r>
      <w:r>
        <w:rPr>
          <w:spacing w:val="-23"/>
        </w:rPr>
        <w:t> </w:t>
      </w:r>
      <w:r>
        <w:rPr/>
        <w:t>development:</w:t>
      </w:r>
    </w:p>
    <w:p>
      <w:pPr>
        <w:pStyle w:val="BodyText"/>
        <w:rPr>
          <w:sz w:val="20"/>
        </w:rPr>
      </w:pPr>
    </w:p>
    <w:p>
      <w:pPr>
        <w:pStyle w:val="BodyText"/>
        <w:rPr>
          <w:sz w:val="20"/>
        </w:rPr>
      </w:pPr>
    </w:p>
    <w:p>
      <w:pPr>
        <w:pStyle w:val="BodyText"/>
        <w:rPr>
          <w:sz w:val="16"/>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87"/>
        <w:gridCol w:w="1382"/>
        <w:gridCol w:w="2051"/>
        <w:gridCol w:w="1630"/>
        <w:gridCol w:w="1834"/>
      </w:tblGrid>
      <w:tr>
        <w:trPr>
          <w:trHeight w:val="713" w:hRule="atLeast"/>
        </w:trPr>
        <w:tc>
          <w:tcPr>
            <w:tcW w:w="3587" w:type="dxa"/>
            <w:tcBorders>
              <w:bottom w:val="single" w:sz="4" w:space="0" w:color="92D050"/>
            </w:tcBorders>
          </w:tcPr>
          <w:p>
            <w:pPr>
              <w:pStyle w:val="TableParagraph"/>
              <w:jc w:val="left"/>
              <w:rPr>
                <w:sz w:val="22"/>
              </w:rPr>
            </w:pPr>
          </w:p>
          <w:p>
            <w:pPr>
              <w:pStyle w:val="TableParagraph"/>
              <w:spacing w:before="198"/>
              <w:ind w:left="59" w:right="293"/>
              <w:rPr>
                <w:sz w:val="18"/>
              </w:rPr>
            </w:pPr>
            <w:r>
              <w:rPr>
                <w:sz w:val="18"/>
              </w:rPr>
              <w:t>Electrical Power Upgradation</w:t>
            </w:r>
          </w:p>
        </w:tc>
        <w:tc>
          <w:tcPr>
            <w:tcW w:w="1382" w:type="dxa"/>
            <w:tcBorders>
              <w:bottom w:val="single" w:sz="4" w:space="0" w:color="92D050"/>
            </w:tcBorders>
          </w:tcPr>
          <w:p>
            <w:pPr>
              <w:pStyle w:val="TableParagraph"/>
              <w:jc w:val="left"/>
              <w:rPr>
                <w:sz w:val="22"/>
              </w:rPr>
            </w:pPr>
          </w:p>
          <w:p>
            <w:pPr>
              <w:pStyle w:val="TableParagraph"/>
              <w:spacing w:before="198"/>
              <w:ind w:left="338" w:right="412"/>
              <w:rPr>
                <w:sz w:val="18"/>
              </w:rPr>
            </w:pPr>
            <w:r>
              <w:rPr>
                <w:w w:val="110"/>
                <w:sz w:val="18"/>
              </w:rPr>
              <w:t>141.46</w:t>
            </w:r>
          </w:p>
        </w:tc>
        <w:tc>
          <w:tcPr>
            <w:tcW w:w="2051" w:type="dxa"/>
            <w:tcBorders>
              <w:bottom w:val="single" w:sz="4" w:space="0" w:color="92D050"/>
            </w:tcBorders>
          </w:tcPr>
          <w:p>
            <w:pPr>
              <w:pStyle w:val="TableParagraph"/>
              <w:spacing w:before="4"/>
              <w:ind w:left="412" w:right="405"/>
              <w:rPr>
                <w:sz w:val="18"/>
              </w:rPr>
            </w:pPr>
            <w:r>
              <w:rPr>
                <w:color w:val="FFFFFF"/>
                <w:sz w:val="18"/>
              </w:rPr>
              <w:t>Spent (INR Mn)</w:t>
            </w:r>
          </w:p>
          <w:p>
            <w:pPr>
              <w:pStyle w:val="TableParagraph"/>
              <w:spacing w:before="8"/>
              <w:jc w:val="left"/>
              <w:rPr>
                <w:sz w:val="20"/>
              </w:rPr>
            </w:pPr>
          </w:p>
          <w:p>
            <w:pPr>
              <w:pStyle w:val="TableParagraph"/>
              <w:ind w:left="410" w:right="406"/>
              <w:rPr>
                <w:sz w:val="18"/>
              </w:rPr>
            </w:pPr>
            <w:r>
              <w:rPr>
                <w:w w:val="105"/>
                <w:sz w:val="18"/>
              </w:rPr>
              <w:t>92.94</w:t>
            </w:r>
          </w:p>
        </w:tc>
        <w:tc>
          <w:tcPr>
            <w:tcW w:w="1630" w:type="dxa"/>
            <w:tcBorders>
              <w:bottom w:val="single" w:sz="4" w:space="0" w:color="92D050"/>
            </w:tcBorders>
          </w:tcPr>
          <w:p>
            <w:pPr>
              <w:pStyle w:val="TableParagraph"/>
              <w:spacing w:before="4"/>
              <w:ind w:left="433"/>
              <w:jc w:val="left"/>
              <w:rPr>
                <w:sz w:val="18"/>
              </w:rPr>
            </w:pPr>
            <w:r>
              <w:rPr>
                <w:color w:val="FFFFFF"/>
                <w:sz w:val="18"/>
              </w:rPr>
              <w:t>(INR Mn)</w:t>
            </w:r>
          </w:p>
          <w:p>
            <w:pPr>
              <w:pStyle w:val="TableParagraph"/>
              <w:spacing w:before="8"/>
              <w:jc w:val="left"/>
              <w:rPr>
                <w:sz w:val="20"/>
              </w:rPr>
            </w:pPr>
          </w:p>
          <w:p>
            <w:pPr>
              <w:pStyle w:val="TableParagraph"/>
              <w:ind w:left="539"/>
              <w:jc w:val="left"/>
              <w:rPr>
                <w:sz w:val="18"/>
              </w:rPr>
            </w:pPr>
            <w:r>
              <w:rPr>
                <w:w w:val="105"/>
                <w:sz w:val="18"/>
              </w:rPr>
              <w:t>48.52</w:t>
            </w:r>
          </w:p>
        </w:tc>
        <w:tc>
          <w:tcPr>
            <w:tcW w:w="1834" w:type="dxa"/>
            <w:tcBorders>
              <w:bottom w:val="single" w:sz="4" w:space="0" w:color="92D050"/>
            </w:tcBorders>
          </w:tcPr>
          <w:p>
            <w:pPr>
              <w:pStyle w:val="TableParagraph"/>
              <w:spacing w:before="4"/>
              <w:ind w:left="505"/>
              <w:jc w:val="left"/>
              <w:rPr>
                <w:sz w:val="18"/>
              </w:rPr>
            </w:pPr>
            <w:r>
              <w:rPr>
                <w:color w:val="FFFFFF"/>
                <w:sz w:val="18"/>
              </w:rPr>
              <w:t>Completion</w:t>
            </w:r>
          </w:p>
          <w:p>
            <w:pPr>
              <w:pStyle w:val="TableParagraph"/>
              <w:spacing w:before="8"/>
              <w:jc w:val="left"/>
              <w:rPr>
                <w:sz w:val="20"/>
              </w:rPr>
            </w:pPr>
          </w:p>
          <w:p>
            <w:pPr>
              <w:pStyle w:val="TableParagraph"/>
              <w:ind w:left="568"/>
              <w:jc w:val="left"/>
              <w:rPr>
                <w:sz w:val="18"/>
              </w:rPr>
            </w:pPr>
            <w:r>
              <w:rPr>
                <w:w w:val="110"/>
                <w:sz w:val="18"/>
              </w:rPr>
              <w:t>Q3, 2023</w:t>
            </w:r>
          </w:p>
        </w:tc>
      </w:tr>
      <w:tr>
        <w:trPr>
          <w:trHeight w:val="316" w:hRule="atLeast"/>
        </w:trPr>
        <w:tc>
          <w:tcPr>
            <w:tcW w:w="3587" w:type="dxa"/>
            <w:tcBorders>
              <w:top w:val="single" w:sz="4" w:space="0" w:color="92D050"/>
              <w:bottom w:val="single" w:sz="4" w:space="0" w:color="92D050"/>
            </w:tcBorders>
          </w:tcPr>
          <w:p>
            <w:pPr>
              <w:pStyle w:val="TableParagraph"/>
              <w:spacing w:before="54"/>
              <w:ind w:left="58" w:right="293"/>
              <w:rPr>
                <w:sz w:val="18"/>
              </w:rPr>
            </w:pPr>
            <w:r>
              <w:rPr>
                <w:sz w:val="18"/>
              </w:rPr>
              <w:t>Land Scape Development &amp; lighting</w:t>
            </w:r>
          </w:p>
        </w:tc>
        <w:tc>
          <w:tcPr>
            <w:tcW w:w="1382" w:type="dxa"/>
            <w:tcBorders>
              <w:top w:val="single" w:sz="4" w:space="0" w:color="92D050"/>
              <w:bottom w:val="single" w:sz="4" w:space="0" w:color="92D050"/>
            </w:tcBorders>
          </w:tcPr>
          <w:p>
            <w:pPr>
              <w:pStyle w:val="TableParagraph"/>
              <w:spacing w:before="54"/>
              <w:ind w:left="338" w:right="412"/>
              <w:rPr>
                <w:sz w:val="18"/>
              </w:rPr>
            </w:pPr>
            <w:r>
              <w:rPr>
                <w:w w:val="105"/>
                <w:sz w:val="18"/>
              </w:rPr>
              <w:t>1.79</w:t>
            </w:r>
          </w:p>
        </w:tc>
        <w:tc>
          <w:tcPr>
            <w:tcW w:w="2051" w:type="dxa"/>
            <w:tcBorders>
              <w:top w:val="single" w:sz="4" w:space="0" w:color="92D050"/>
              <w:bottom w:val="single" w:sz="4" w:space="0" w:color="92D050"/>
            </w:tcBorders>
          </w:tcPr>
          <w:p>
            <w:pPr>
              <w:pStyle w:val="TableParagraph"/>
              <w:spacing w:before="54"/>
              <w:ind w:left="410" w:right="406"/>
              <w:rPr>
                <w:sz w:val="18"/>
              </w:rPr>
            </w:pPr>
            <w:r>
              <w:rPr>
                <w:w w:val="105"/>
                <w:sz w:val="18"/>
              </w:rPr>
              <w:t>0.80</w:t>
            </w:r>
          </w:p>
        </w:tc>
        <w:tc>
          <w:tcPr>
            <w:tcW w:w="1630" w:type="dxa"/>
            <w:tcBorders>
              <w:top w:val="single" w:sz="4" w:space="0" w:color="92D050"/>
              <w:bottom w:val="single" w:sz="4" w:space="0" w:color="92D050"/>
            </w:tcBorders>
          </w:tcPr>
          <w:p>
            <w:pPr>
              <w:pStyle w:val="TableParagraph"/>
              <w:spacing w:before="54"/>
              <w:ind w:left="592"/>
              <w:jc w:val="left"/>
              <w:rPr>
                <w:sz w:val="18"/>
              </w:rPr>
            </w:pPr>
            <w:r>
              <w:rPr>
                <w:w w:val="105"/>
                <w:sz w:val="18"/>
              </w:rPr>
              <w:t>0.99</w:t>
            </w:r>
          </w:p>
        </w:tc>
        <w:tc>
          <w:tcPr>
            <w:tcW w:w="1834" w:type="dxa"/>
            <w:tcBorders>
              <w:top w:val="single" w:sz="4" w:space="0" w:color="92D050"/>
              <w:bottom w:val="single" w:sz="4" w:space="0" w:color="92D050"/>
            </w:tcBorders>
          </w:tcPr>
          <w:p>
            <w:pPr>
              <w:pStyle w:val="TableParagraph"/>
              <w:spacing w:before="54"/>
              <w:ind w:right="470"/>
              <w:jc w:val="right"/>
              <w:rPr>
                <w:sz w:val="18"/>
              </w:rPr>
            </w:pPr>
            <w:r>
              <w:rPr>
                <w:w w:val="110"/>
                <w:sz w:val="18"/>
              </w:rPr>
              <w:t>Q1, 2022</w:t>
            </w:r>
          </w:p>
        </w:tc>
      </w:tr>
      <w:tr>
        <w:trPr>
          <w:trHeight w:val="314" w:hRule="atLeast"/>
        </w:trPr>
        <w:tc>
          <w:tcPr>
            <w:tcW w:w="3587" w:type="dxa"/>
            <w:tcBorders>
              <w:top w:val="single" w:sz="4" w:space="0" w:color="92D050"/>
              <w:bottom w:val="single" w:sz="4" w:space="0" w:color="92D050"/>
            </w:tcBorders>
          </w:tcPr>
          <w:p>
            <w:pPr>
              <w:pStyle w:val="TableParagraph"/>
              <w:spacing w:before="54"/>
              <w:ind w:left="61" w:right="293"/>
              <w:rPr>
                <w:sz w:val="18"/>
              </w:rPr>
            </w:pPr>
            <w:r>
              <w:rPr>
                <w:sz w:val="18"/>
              </w:rPr>
              <w:t>Park Lobby Upgrade</w:t>
            </w:r>
          </w:p>
        </w:tc>
        <w:tc>
          <w:tcPr>
            <w:tcW w:w="1382" w:type="dxa"/>
            <w:tcBorders>
              <w:top w:val="single" w:sz="4" w:space="0" w:color="92D050"/>
              <w:bottom w:val="single" w:sz="4" w:space="0" w:color="92D050"/>
            </w:tcBorders>
          </w:tcPr>
          <w:p>
            <w:pPr>
              <w:pStyle w:val="TableParagraph"/>
              <w:spacing w:before="54"/>
              <w:ind w:left="338" w:right="412"/>
              <w:rPr>
                <w:sz w:val="18"/>
              </w:rPr>
            </w:pPr>
            <w:r>
              <w:rPr>
                <w:w w:val="105"/>
                <w:sz w:val="18"/>
              </w:rPr>
              <w:t>29.44</w:t>
            </w:r>
          </w:p>
        </w:tc>
        <w:tc>
          <w:tcPr>
            <w:tcW w:w="2051" w:type="dxa"/>
            <w:tcBorders>
              <w:top w:val="single" w:sz="4" w:space="0" w:color="92D050"/>
              <w:bottom w:val="single" w:sz="4" w:space="0" w:color="92D050"/>
            </w:tcBorders>
          </w:tcPr>
          <w:p>
            <w:pPr>
              <w:pStyle w:val="TableParagraph"/>
              <w:spacing w:before="54"/>
              <w:ind w:left="410" w:right="406"/>
              <w:rPr>
                <w:sz w:val="18"/>
              </w:rPr>
            </w:pPr>
            <w:r>
              <w:rPr>
                <w:w w:val="105"/>
                <w:sz w:val="18"/>
              </w:rPr>
              <w:t>18.04</w:t>
            </w:r>
          </w:p>
        </w:tc>
        <w:tc>
          <w:tcPr>
            <w:tcW w:w="1630" w:type="dxa"/>
            <w:tcBorders>
              <w:top w:val="single" w:sz="4" w:space="0" w:color="92D050"/>
              <w:bottom w:val="single" w:sz="4" w:space="0" w:color="92D050"/>
            </w:tcBorders>
          </w:tcPr>
          <w:p>
            <w:pPr>
              <w:pStyle w:val="TableParagraph"/>
              <w:spacing w:before="54"/>
              <w:ind w:left="539"/>
              <w:jc w:val="left"/>
              <w:rPr>
                <w:sz w:val="18"/>
              </w:rPr>
            </w:pPr>
            <w:r>
              <w:rPr>
                <w:w w:val="105"/>
                <w:sz w:val="18"/>
              </w:rPr>
              <w:t>11.40</w:t>
            </w:r>
          </w:p>
        </w:tc>
        <w:tc>
          <w:tcPr>
            <w:tcW w:w="1834" w:type="dxa"/>
            <w:tcBorders>
              <w:top w:val="single" w:sz="4" w:space="0" w:color="92D050"/>
              <w:bottom w:val="single" w:sz="4" w:space="0" w:color="92D050"/>
            </w:tcBorders>
          </w:tcPr>
          <w:p>
            <w:pPr>
              <w:pStyle w:val="TableParagraph"/>
              <w:spacing w:before="54"/>
              <w:ind w:right="470"/>
              <w:jc w:val="right"/>
              <w:rPr>
                <w:sz w:val="18"/>
              </w:rPr>
            </w:pPr>
            <w:r>
              <w:rPr>
                <w:w w:val="110"/>
                <w:sz w:val="18"/>
              </w:rPr>
              <w:t>Q3, 2023</w:t>
            </w:r>
          </w:p>
        </w:tc>
      </w:tr>
      <w:tr>
        <w:trPr>
          <w:trHeight w:val="316" w:hRule="atLeast"/>
        </w:trPr>
        <w:tc>
          <w:tcPr>
            <w:tcW w:w="3587" w:type="dxa"/>
            <w:tcBorders>
              <w:top w:val="single" w:sz="4" w:space="0" w:color="92D050"/>
              <w:bottom w:val="single" w:sz="4" w:space="0" w:color="92D050"/>
            </w:tcBorders>
          </w:tcPr>
          <w:p>
            <w:pPr>
              <w:pStyle w:val="TableParagraph"/>
              <w:spacing w:before="54"/>
              <w:ind w:left="61" w:right="293"/>
              <w:rPr>
                <w:sz w:val="18"/>
              </w:rPr>
            </w:pPr>
            <w:r>
              <w:rPr>
                <w:sz w:val="18"/>
              </w:rPr>
              <w:t>Boundary Wall Construction (West side)</w:t>
            </w:r>
          </w:p>
        </w:tc>
        <w:tc>
          <w:tcPr>
            <w:tcW w:w="1382" w:type="dxa"/>
            <w:tcBorders>
              <w:top w:val="single" w:sz="4" w:space="0" w:color="92D050"/>
              <w:bottom w:val="single" w:sz="4" w:space="0" w:color="92D050"/>
            </w:tcBorders>
          </w:tcPr>
          <w:p>
            <w:pPr>
              <w:pStyle w:val="TableParagraph"/>
              <w:spacing w:before="54"/>
              <w:ind w:left="338" w:right="412"/>
              <w:rPr>
                <w:sz w:val="18"/>
              </w:rPr>
            </w:pPr>
            <w:r>
              <w:rPr>
                <w:w w:val="105"/>
                <w:sz w:val="18"/>
              </w:rPr>
              <w:t>41.23</w:t>
            </w:r>
          </w:p>
        </w:tc>
        <w:tc>
          <w:tcPr>
            <w:tcW w:w="2051" w:type="dxa"/>
            <w:tcBorders>
              <w:top w:val="single" w:sz="4" w:space="0" w:color="92D050"/>
              <w:bottom w:val="single" w:sz="4" w:space="0" w:color="92D050"/>
            </w:tcBorders>
          </w:tcPr>
          <w:p>
            <w:pPr>
              <w:pStyle w:val="TableParagraph"/>
              <w:spacing w:before="54"/>
              <w:ind w:left="7"/>
              <w:rPr>
                <w:sz w:val="18"/>
              </w:rPr>
            </w:pPr>
            <w:r>
              <w:rPr>
                <w:w w:val="99"/>
                <w:sz w:val="18"/>
              </w:rPr>
              <w:t>-</w:t>
            </w:r>
          </w:p>
        </w:tc>
        <w:tc>
          <w:tcPr>
            <w:tcW w:w="1630" w:type="dxa"/>
            <w:tcBorders>
              <w:top w:val="single" w:sz="4" w:space="0" w:color="92D050"/>
              <w:bottom w:val="single" w:sz="4" w:space="0" w:color="92D050"/>
            </w:tcBorders>
          </w:tcPr>
          <w:p>
            <w:pPr>
              <w:pStyle w:val="TableParagraph"/>
              <w:spacing w:before="54"/>
              <w:ind w:left="539"/>
              <w:jc w:val="left"/>
              <w:rPr>
                <w:sz w:val="18"/>
              </w:rPr>
            </w:pPr>
            <w:r>
              <w:rPr>
                <w:w w:val="105"/>
                <w:sz w:val="18"/>
              </w:rPr>
              <w:t>41.23</w:t>
            </w:r>
          </w:p>
        </w:tc>
        <w:tc>
          <w:tcPr>
            <w:tcW w:w="1834" w:type="dxa"/>
            <w:tcBorders>
              <w:top w:val="single" w:sz="4" w:space="0" w:color="92D050"/>
              <w:bottom w:val="single" w:sz="4" w:space="0" w:color="92D050"/>
            </w:tcBorders>
          </w:tcPr>
          <w:p>
            <w:pPr>
              <w:pStyle w:val="TableParagraph"/>
              <w:spacing w:before="54"/>
              <w:ind w:right="470"/>
              <w:jc w:val="right"/>
              <w:rPr>
                <w:sz w:val="18"/>
              </w:rPr>
            </w:pPr>
            <w:r>
              <w:rPr>
                <w:w w:val="110"/>
                <w:sz w:val="18"/>
              </w:rPr>
              <w:t>Q3, 2023</w:t>
            </w:r>
          </w:p>
        </w:tc>
      </w:tr>
      <w:tr>
        <w:trPr>
          <w:trHeight w:val="314" w:hRule="atLeast"/>
        </w:trPr>
        <w:tc>
          <w:tcPr>
            <w:tcW w:w="3587" w:type="dxa"/>
            <w:tcBorders>
              <w:top w:val="single" w:sz="4" w:space="0" w:color="92D050"/>
              <w:bottom w:val="single" w:sz="4" w:space="0" w:color="92D050"/>
            </w:tcBorders>
          </w:tcPr>
          <w:p>
            <w:pPr>
              <w:pStyle w:val="TableParagraph"/>
              <w:spacing w:before="51"/>
              <w:ind w:left="59" w:right="293"/>
              <w:rPr>
                <w:sz w:val="18"/>
              </w:rPr>
            </w:pPr>
            <w:r>
              <w:rPr>
                <w:sz w:val="18"/>
              </w:rPr>
              <w:t>Entrance Gateway Scheme</w:t>
            </w:r>
          </w:p>
        </w:tc>
        <w:tc>
          <w:tcPr>
            <w:tcW w:w="1382" w:type="dxa"/>
            <w:tcBorders>
              <w:top w:val="single" w:sz="4" w:space="0" w:color="92D050"/>
              <w:bottom w:val="single" w:sz="4" w:space="0" w:color="92D050"/>
            </w:tcBorders>
          </w:tcPr>
          <w:p>
            <w:pPr>
              <w:pStyle w:val="TableParagraph"/>
              <w:spacing w:before="51"/>
              <w:ind w:left="338" w:right="412"/>
              <w:rPr>
                <w:sz w:val="18"/>
              </w:rPr>
            </w:pPr>
            <w:r>
              <w:rPr>
                <w:w w:val="105"/>
                <w:sz w:val="18"/>
              </w:rPr>
              <w:t>83.27</w:t>
            </w:r>
          </w:p>
        </w:tc>
        <w:tc>
          <w:tcPr>
            <w:tcW w:w="2051" w:type="dxa"/>
            <w:tcBorders>
              <w:top w:val="single" w:sz="4" w:space="0" w:color="92D050"/>
              <w:bottom w:val="single" w:sz="4" w:space="0" w:color="92D050"/>
            </w:tcBorders>
          </w:tcPr>
          <w:p>
            <w:pPr>
              <w:pStyle w:val="TableParagraph"/>
              <w:spacing w:before="51"/>
              <w:ind w:left="410" w:right="406"/>
              <w:rPr>
                <w:sz w:val="18"/>
              </w:rPr>
            </w:pPr>
            <w:r>
              <w:rPr>
                <w:w w:val="105"/>
                <w:sz w:val="18"/>
              </w:rPr>
              <w:t>45.33</w:t>
            </w:r>
          </w:p>
        </w:tc>
        <w:tc>
          <w:tcPr>
            <w:tcW w:w="1630" w:type="dxa"/>
            <w:tcBorders>
              <w:top w:val="single" w:sz="4" w:space="0" w:color="92D050"/>
              <w:bottom w:val="single" w:sz="4" w:space="0" w:color="92D050"/>
            </w:tcBorders>
          </w:tcPr>
          <w:p>
            <w:pPr>
              <w:pStyle w:val="TableParagraph"/>
              <w:spacing w:before="51"/>
              <w:ind w:left="539"/>
              <w:jc w:val="left"/>
              <w:rPr>
                <w:sz w:val="18"/>
              </w:rPr>
            </w:pPr>
            <w:r>
              <w:rPr>
                <w:w w:val="105"/>
                <w:sz w:val="18"/>
              </w:rPr>
              <w:t>37.94</w:t>
            </w:r>
          </w:p>
        </w:tc>
        <w:tc>
          <w:tcPr>
            <w:tcW w:w="1834" w:type="dxa"/>
            <w:tcBorders>
              <w:top w:val="single" w:sz="4" w:space="0" w:color="92D050"/>
              <w:bottom w:val="single" w:sz="4" w:space="0" w:color="92D050"/>
            </w:tcBorders>
          </w:tcPr>
          <w:p>
            <w:pPr>
              <w:pStyle w:val="TableParagraph"/>
              <w:spacing w:before="51"/>
              <w:ind w:right="470"/>
              <w:jc w:val="right"/>
              <w:rPr>
                <w:sz w:val="18"/>
              </w:rPr>
            </w:pPr>
            <w:r>
              <w:rPr>
                <w:w w:val="110"/>
                <w:sz w:val="18"/>
              </w:rPr>
              <w:t>Q3, 2023</w:t>
            </w:r>
          </w:p>
        </w:tc>
      </w:tr>
      <w:tr>
        <w:trPr>
          <w:trHeight w:val="316" w:hRule="atLeast"/>
        </w:trPr>
        <w:tc>
          <w:tcPr>
            <w:tcW w:w="3587" w:type="dxa"/>
            <w:tcBorders>
              <w:top w:val="single" w:sz="4" w:space="0" w:color="92D050"/>
              <w:bottom w:val="single" w:sz="4" w:space="0" w:color="92D050"/>
            </w:tcBorders>
          </w:tcPr>
          <w:p>
            <w:pPr>
              <w:pStyle w:val="TableParagraph"/>
              <w:spacing w:before="54"/>
              <w:ind w:left="59" w:right="293"/>
              <w:rPr>
                <w:sz w:val="18"/>
              </w:rPr>
            </w:pPr>
            <w:r>
              <w:rPr>
                <w:sz w:val="18"/>
              </w:rPr>
              <w:t>Sports Facility</w:t>
            </w:r>
          </w:p>
        </w:tc>
        <w:tc>
          <w:tcPr>
            <w:tcW w:w="1382" w:type="dxa"/>
            <w:tcBorders>
              <w:top w:val="single" w:sz="4" w:space="0" w:color="92D050"/>
              <w:bottom w:val="single" w:sz="4" w:space="0" w:color="92D050"/>
            </w:tcBorders>
          </w:tcPr>
          <w:p>
            <w:pPr>
              <w:pStyle w:val="TableParagraph"/>
              <w:spacing w:before="54"/>
              <w:ind w:left="338" w:right="412"/>
              <w:rPr>
                <w:sz w:val="18"/>
              </w:rPr>
            </w:pPr>
            <w:r>
              <w:rPr>
                <w:w w:val="105"/>
                <w:sz w:val="18"/>
              </w:rPr>
              <w:t>15.99</w:t>
            </w:r>
          </w:p>
        </w:tc>
        <w:tc>
          <w:tcPr>
            <w:tcW w:w="2051" w:type="dxa"/>
            <w:tcBorders>
              <w:top w:val="single" w:sz="4" w:space="0" w:color="92D050"/>
              <w:bottom w:val="single" w:sz="4" w:space="0" w:color="92D050"/>
            </w:tcBorders>
          </w:tcPr>
          <w:p>
            <w:pPr>
              <w:pStyle w:val="TableParagraph"/>
              <w:spacing w:before="54"/>
              <w:ind w:left="7"/>
              <w:rPr>
                <w:sz w:val="18"/>
              </w:rPr>
            </w:pPr>
            <w:r>
              <w:rPr>
                <w:w w:val="99"/>
                <w:sz w:val="18"/>
              </w:rPr>
              <w:t>-</w:t>
            </w:r>
          </w:p>
        </w:tc>
        <w:tc>
          <w:tcPr>
            <w:tcW w:w="1630" w:type="dxa"/>
            <w:tcBorders>
              <w:top w:val="single" w:sz="4" w:space="0" w:color="92D050"/>
              <w:bottom w:val="single" w:sz="4" w:space="0" w:color="92D050"/>
            </w:tcBorders>
          </w:tcPr>
          <w:p>
            <w:pPr>
              <w:pStyle w:val="TableParagraph"/>
              <w:spacing w:before="54"/>
              <w:ind w:left="539"/>
              <w:jc w:val="left"/>
              <w:rPr>
                <w:sz w:val="18"/>
              </w:rPr>
            </w:pPr>
            <w:r>
              <w:rPr>
                <w:w w:val="105"/>
                <w:sz w:val="18"/>
              </w:rPr>
              <w:t>15.99</w:t>
            </w:r>
          </w:p>
        </w:tc>
        <w:tc>
          <w:tcPr>
            <w:tcW w:w="1834" w:type="dxa"/>
            <w:tcBorders>
              <w:top w:val="single" w:sz="4" w:space="0" w:color="92D050"/>
              <w:bottom w:val="single" w:sz="4" w:space="0" w:color="92D050"/>
            </w:tcBorders>
          </w:tcPr>
          <w:p>
            <w:pPr>
              <w:pStyle w:val="TableParagraph"/>
              <w:spacing w:before="54"/>
              <w:ind w:right="470"/>
              <w:jc w:val="right"/>
              <w:rPr>
                <w:sz w:val="18"/>
              </w:rPr>
            </w:pPr>
            <w:r>
              <w:rPr>
                <w:w w:val="110"/>
                <w:sz w:val="18"/>
              </w:rPr>
              <w:t>Q4, 2021</w:t>
            </w:r>
          </w:p>
        </w:tc>
      </w:tr>
      <w:tr>
        <w:trPr>
          <w:trHeight w:val="314" w:hRule="atLeast"/>
        </w:trPr>
        <w:tc>
          <w:tcPr>
            <w:tcW w:w="3587" w:type="dxa"/>
            <w:tcBorders>
              <w:top w:val="single" w:sz="4" w:space="0" w:color="92D050"/>
              <w:bottom w:val="single" w:sz="4" w:space="0" w:color="92D050"/>
            </w:tcBorders>
          </w:tcPr>
          <w:p>
            <w:pPr>
              <w:pStyle w:val="TableParagraph"/>
              <w:spacing w:before="52"/>
              <w:ind w:left="59" w:right="293"/>
              <w:rPr>
                <w:sz w:val="18"/>
              </w:rPr>
            </w:pPr>
            <w:r>
              <w:rPr>
                <w:w w:val="110"/>
                <w:sz w:val="18"/>
              </w:rPr>
              <w:t>HSD Yard</w:t>
            </w:r>
          </w:p>
        </w:tc>
        <w:tc>
          <w:tcPr>
            <w:tcW w:w="1382" w:type="dxa"/>
            <w:tcBorders>
              <w:top w:val="single" w:sz="4" w:space="0" w:color="92D050"/>
              <w:bottom w:val="single" w:sz="4" w:space="0" w:color="92D050"/>
            </w:tcBorders>
          </w:tcPr>
          <w:p>
            <w:pPr>
              <w:pStyle w:val="TableParagraph"/>
              <w:spacing w:before="52"/>
              <w:ind w:left="338" w:right="412"/>
              <w:rPr>
                <w:sz w:val="18"/>
              </w:rPr>
            </w:pPr>
            <w:r>
              <w:rPr>
                <w:w w:val="105"/>
                <w:sz w:val="18"/>
              </w:rPr>
              <w:t>12.50</w:t>
            </w:r>
          </w:p>
        </w:tc>
        <w:tc>
          <w:tcPr>
            <w:tcW w:w="2051" w:type="dxa"/>
            <w:tcBorders>
              <w:top w:val="single" w:sz="4" w:space="0" w:color="92D050"/>
              <w:bottom w:val="single" w:sz="4" w:space="0" w:color="92D050"/>
            </w:tcBorders>
          </w:tcPr>
          <w:p>
            <w:pPr>
              <w:pStyle w:val="TableParagraph"/>
              <w:spacing w:before="52"/>
              <w:ind w:left="410" w:right="406"/>
              <w:rPr>
                <w:sz w:val="18"/>
              </w:rPr>
            </w:pPr>
            <w:r>
              <w:rPr>
                <w:w w:val="105"/>
                <w:sz w:val="18"/>
              </w:rPr>
              <w:t>4.64</w:t>
            </w:r>
          </w:p>
        </w:tc>
        <w:tc>
          <w:tcPr>
            <w:tcW w:w="1630" w:type="dxa"/>
            <w:tcBorders>
              <w:top w:val="single" w:sz="4" w:space="0" w:color="92D050"/>
              <w:bottom w:val="single" w:sz="4" w:space="0" w:color="92D050"/>
            </w:tcBorders>
          </w:tcPr>
          <w:p>
            <w:pPr>
              <w:pStyle w:val="TableParagraph"/>
              <w:spacing w:before="52"/>
              <w:ind w:left="592"/>
              <w:jc w:val="left"/>
              <w:rPr>
                <w:sz w:val="18"/>
              </w:rPr>
            </w:pPr>
            <w:r>
              <w:rPr>
                <w:w w:val="105"/>
                <w:sz w:val="18"/>
              </w:rPr>
              <w:t>7.86</w:t>
            </w:r>
          </w:p>
        </w:tc>
        <w:tc>
          <w:tcPr>
            <w:tcW w:w="1834" w:type="dxa"/>
            <w:tcBorders>
              <w:top w:val="single" w:sz="4" w:space="0" w:color="92D050"/>
              <w:bottom w:val="single" w:sz="4" w:space="0" w:color="92D050"/>
            </w:tcBorders>
          </w:tcPr>
          <w:p>
            <w:pPr>
              <w:pStyle w:val="TableParagraph"/>
              <w:spacing w:before="52"/>
              <w:ind w:right="470"/>
              <w:jc w:val="right"/>
              <w:rPr>
                <w:sz w:val="18"/>
              </w:rPr>
            </w:pPr>
            <w:r>
              <w:rPr>
                <w:w w:val="110"/>
                <w:sz w:val="18"/>
              </w:rPr>
              <w:t>Q2, 2021</w:t>
            </w:r>
          </w:p>
        </w:tc>
      </w:tr>
      <w:tr>
        <w:trPr>
          <w:trHeight w:val="313" w:hRule="atLeast"/>
        </w:trPr>
        <w:tc>
          <w:tcPr>
            <w:tcW w:w="3587" w:type="dxa"/>
            <w:tcBorders>
              <w:top w:val="single" w:sz="4" w:space="0" w:color="92D050"/>
              <w:bottom w:val="single" w:sz="4" w:space="0" w:color="92D050"/>
            </w:tcBorders>
          </w:tcPr>
          <w:p>
            <w:pPr>
              <w:pStyle w:val="TableParagraph"/>
              <w:spacing w:before="54"/>
              <w:ind w:left="60" w:right="293"/>
              <w:rPr>
                <w:sz w:val="18"/>
              </w:rPr>
            </w:pPr>
            <w:r>
              <w:rPr>
                <w:w w:val="105"/>
                <w:sz w:val="18"/>
              </w:rPr>
              <w:t>Signages</w:t>
            </w:r>
          </w:p>
        </w:tc>
        <w:tc>
          <w:tcPr>
            <w:tcW w:w="1382" w:type="dxa"/>
            <w:tcBorders>
              <w:top w:val="single" w:sz="4" w:space="0" w:color="92D050"/>
              <w:bottom w:val="single" w:sz="4" w:space="0" w:color="92D050"/>
            </w:tcBorders>
          </w:tcPr>
          <w:p>
            <w:pPr>
              <w:pStyle w:val="TableParagraph"/>
              <w:spacing w:before="54"/>
              <w:ind w:left="338" w:right="412"/>
              <w:rPr>
                <w:sz w:val="18"/>
              </w:rPr>
            </w:pPr>
            <w:r>
              <w:rPr>
                <w:w w:val="105"/>
                <w:sz w:val="18"/>
              </w:rPr>
              <w:t>5.78</w:t>
            </w:r>
          </w:p>
        </w:tc>
        <w:tc>
          <w:tcPr>
            <w:tcW w:w="2051" w:type="dxa"/>
            <w:tcBorders>
              <w:top w:val="single" w:sz="4" w:space="0" w:color="92D050"/>
              <w:bottom w:val="single" w:sz="4" w:space="0" w:color="92D050"/>
            </w:tcBorders>
          </w:tcPr>
          <w:p>
            <w:pPr>
              <w:pStyle w:val="TableParagraph"/>
              <w:spacing w:before="54"/>
              <w:ind w:left="410" w:right="406"/>
              <w:rPr>
                <w:sz w:val="18"/>
              </w:rPr>
            </w:pPr>
            <w:r>
              <w:rPr>
                <w:w w:val="105"/>
                <w:sz w:val="18"/>
              </w:rPr>
              <w:t>1.30</w:t>
            </w:r>
          </w:p>
        </w:tc>
        <w:tc>
          <w:tcPr>
            <w:tcW w:w="1630" w:type="dxa"/>
            <w:tcBorders>
              <w:top w:val="single" w:sz="4" w:space="0" w:color="92D050"/>
              <w:bottom w:val="single" w:sz="4" w:space="0" w:color="92D050"/>
            </w:tcBorders>
          </w:tcPr>
          <w:p>
            <w:pPr>
              <w:pStyle w:val="TableParagraph"/>
              <w:spacing w:before="54"/>
              <w:ind w:left="592"/>
              <w:jc w:val="left"/>
              <w:rPr>
                <w:sz w:val="18"/>
              </w:rPr>
            </w:pPr>
            <w:r>
              <w:rPr>
                <w:w w:val="105"/>
                <w:sz w:val="18"/>
              </w:rPr>
              <w:t>4.48</w:t>
            </w:r>
          </w:p>
        </w:tc>
        <w:tc>
          <w:tcPr>
            <w:tcW w:w="1834" w:type="dxa"/>
            <w:tcBorders>
              <w:top w:val="single" w:sz="4" w:space="0" w:color="92D050"/>
              <w:bottom w:val="single" w:sz="4" w:space="0" w:color="92D050"/>
            </w:tcBorders>
          </w:tcPr>
          <w:p>
            <w:pPr>
              <w:pStyle w:val="TableParagraph"/>
              <w:spacing w:before="54"/>
              <w:ind w:right="470"/>
              <w:jc w:val="right"/>
              <w:rPr>
                <w:sz w:val="18"/>
              </w:rPr>
            </w:pPr>
            <w:r>
              <w:rPr>
                <w:w w:val="110"/>
                <w:sz w:val="18"/>
              </w:rPr>
              <w:t>Q2, 2021</w:t>
            </w:r>
          </w:p>
        </w:tc>
      </w:tr>
      <w:tr>
        <w:trPr>
          <w:trHeight w:val="316" w:hRule="atLeast"/>
        </w:trPr>
        <w:tc>
          <w:tcPr>
            <w:tcW w:w="3587" w:type="dxa"/>
            <w:tcBorders>
              <w:top w:val="single" w:sz="4" w:space="0" w:color="92D050"/>
              <w:bottom w:val="single" w:sz="4" w:space="0" w:color="92D050"/>
            </w:tcBorders>
          </w:tcPr>
          <w:p>
            <w:pPr>
              <w:pStyle w:val="TableParagraph"/>
              <w:spacing w:before="54"/>
              <w:ind w:left="61" w:right="292"/>
              <w:rPr>
                <w:sz w:val="18"/>
              </w:rPr>
            </w:pPr>
            <w:r>
              <w:rPr>
                <w:sz w:val="18"/>
              </w:rPr>
              <w:t>Phase III Capex</w:t>
            </w:r>
          </w:p>
        </w:tc>
        <w:tc>
          <w:tcPr>
            <w:tcW w:w="1382" w:type="dxa"/>
            <w:tcBorders>
              <w:top w:val="single" w:sz="4" w:space="0" w:color="92D050"/>
              <w:bottom w:val="single" w:sz="4" w:space="0" w:color="92D050"/>
            </w:tcBorders>
          </w:tcPr>
          <w:p>
            <w:pPr>
              <w:pStyle w:val="TableParagraph"/>
              <w:spacing w:before="54"/>
              <w:ind w:left="338" w:right="412"/>
              <w:rPr>
                <w:sz w:val="18"/>
              </w:rPr>
            </w:pPr>
            <w:r>
              <w:rPr>
                <w:w w:val="105"/>
                <w:sz w:val="18"/>
              </w:rPr>
              <w:t>40.40</w:t>
            </w:r>
          </w:p>
        </w:tc>
        <w:tc>
          <w:tcPr>
            <w:tcW w:w="2051" w:type="dxa"/>
            <w:tcBorders>
              <w:top w:val="single" w:sz="4" w:space="0" w:color="92D050"/>
              <w:bottom w:val="single" w:sz="4" w:space="0" w:color="92D050"/>
            </w:tcBorders>
          </w:tcPr>
          <w:p>
            <w:pPr>
              <w:pStyle w:val="TableParagraph"/>
              <w:spacing w:before="54"/>
              <w:ind w:left="410" w:right="406"/>
              <w:rPr>
                <w:sz w:val="18"/>
              </w:rPr>
            </w:pPr>
            <w:r>
              <w:rPr>
                <w:w w:val="105"/>
                <w:sz w:val="18"/>
              </w:rPr>
              <w:t>0.00</w:t>
            </w:r>
          </w:p>
        </w:tc>
        <w:tc>
          <w:tcPr>
            <w:tcW w:w="1630" w:type="dxa"/>
            <w:tcBorders>
              <w:top w:val="single" w:sz="4" w:space="0" w:color="92D050"/>
              <w:bottom w:val="single" w:sz="4" w:space="0" w:color="92D050"/>
            </w:tcBorders>
          </w:tcPr>
          <w:p>
            <w:pPr>
              <w:pStyle w:val="TableParagraph"/>
              <w:spacing w:before="54"/>
              <w:ind w:left="539"/>
              <w:jc w:val="left"/>
              <w:rPr>
                <w:sz w:val="18"/>
              </w:rPr>
            </w:pPr>
            <w:r>
              <w:rPr>
                <w:w w:val="105"/>
                <w:sz w:val="18"/>
              </w:rPr>
              <w:t>40.40</w:t>
            </w:r>
          </w:p>
        </w:tc>
        <w:tc>
          <w:tcPr>
            <w:tcW w:w="1834" w:type="dxa"/>
            <w:tcBorders>
              <w:top w:val="single" w:sz="4" w:space="0" w:color="92D050"/>
              <w:bottom w:val="single" w:sz="4" w:space="0" w:color="92D050"/>
            </w:tcBorders>
          </w:tcPr>
          <w:p>
            <w:pPr>
              <w:pStyle w:val="TableParagraph"/>
              <w:spacing w:before="54"/>
              <w:ind w:right="470"/>
              <w:jc w:val="right"/>
              <w:rPr>
                <w:sz w:val="18"/>
              </w:rPr>
            </w:pPr>
            <w:r>
              <w:rPr>
                <w:w w:val="110"/>
                <w:sz w:val="18"/>
              </w:rPr>
              <w:t>Q4, 2021</w:t>
            </w:r>
          </w:p>
        </w:tc>
      </w:tr>
      <w:tr>
        <w:trPr>
          <w:trHeight w:val="314" w:hRule="atLeast"/>
        </w:trPr>
        <w:tc>
          <w:tcPr>
            <w:tcW w:w="3587" w:type="dxa"/>
            <w:tcBorders>
              <w:top w:val="single" w:sz="4" w:space="0" w:color="92D050"/>
              <w:bottom w:val="single" w:sz="4" w:space="0" w:color="92D050"/>
            </w:tcBorders>
          </w:tcPr>
          <w:p>
            <w:pPr>
              <w:pStyle w:val="TableParagraph"/>
              <w:spacing w:before="54"/>
              <w:ind w:left="58" w:right="293"/>
              <w:rPr>
                <w:sz w:val="18"/>
              </w:rPr>
            </w:pPr>
            <w:r>
              <w:rPr>
                <w:sz w:val="18"/>
              </w:rPr>
              <w:t>Others</w:t>
            </w:r>
          </w:p>
        </w:tc>
        <w:tc>
          <w:tcPr>
            <w:tcW w:w="1382" w:type="dxa"/>
            <w:tcBorders>
              <w:top w:val="single" w:sz="4" w:space="0" w:color="92D050"/>
              <w:bottom w:val="single" w:sz="4" w:space="0" w:color="92D050"/>
            </w:tcBorders>
          </w:tcPr>
          <w:p>
            <w:pPr>
              <w:pStyle w:val="TableParagraph"/>
              <w:spacing w:before="54"/>
              <w:ind w:left="338" w:right="412"/>
              <w:rPr>
                <w:sz w:val="18"/>
              </w:rPr>
            </w:pPr>
            <w:r>
              <w:rPr>
                <w:w w:val="105"/>
                <w:sz w:val="18"/>
              </w:rPr>
              <w:t>44.00</w:t>
            </w:r>
          </w:p>
        </w:tc>
        <w:tc>
          <w:tcPr>
            <w:tcW w:w="2051" w:type="dxa"/>
            <w:tcBorders>
              <w:top w:val="single" w:sz="4" w:space="0" w:color="92D050"/>
              <w:bottom w:val="single" w:sz="4" w:space="0" w:color="92D050"/>
            </w:tcBorders>
          </w:tcPr>
          <w:p>
            <w:pPr>
              <w:pStyle w:val="TableParagraph"/>
              <w:spacing w:before="54"/>
              <w:ind w:left="410" w:right="406"/>
              <w:rPr>
                <w:sz w:val="18"/>
              </w:rPr>
            </w:pPr>
            <w:r>
              <w:rPr>
                <w:w w:val="105"/>
                <w:sz w:val="18"/>
              </w:rPr>
              <w:t>14.14</w:t>
            </w:r>
          </w:p>
        </w:tc>
        <w:tc>
          <w:tcPr>
            <w:tcW w:w="1630" w:type="dxa"/>
            <w:tcBorders>
              <w:top w:val="single" w:sz="4" w:space="0" w:color="92D050"/>
              <w:bottom w:val="single" w:sz="4" w:space="0" w:color="92D050"/>
            </w:tcBorders>
          </w:tcPr>
          <w:p>
            <w:pPr>
              <w:pStyle w:val="TableParagraph"/>
              <w:spacing w:before="54"/>
              <w:ind w:left="539"/>
              <w:jc w:val="left"/>
              <w:rPr>
                <w:sz w:val="18"/>
              </w:rPr>
            </w:pPr>
            <w:r>
              <w:rPr>
                <w:w w:val="105"/>
                <w:sz w:val="18"/>
              </w:rPr>
              <w:t>29.85</w:t>
            </w:r>
          </w:p>
        </w:tc>
        <w:tc>
          <w:tcPr>
            <w:tcW w:w="1834" w:type="dxa"/>
            <w:tcBorders>
              <w:top w:val="single" w:sz="4" w:space="0" w:color="92D050"/>
              <w:bottom w:val="single" w:sz="4" w:space="0" w:color="92D050"/>
            </w:tcBorders>
          </w:tcPr>
          <w:p>
            <w:pPr>
              <w:pStyle w:val="TableParagraph"/>
              <w:spacing w:before="54"/>
              <w:ind w:right="470"/>
              <w:jc w:val="right"/>
              <w:rPr>
                <w:sz w:val="18"/>
              </w:rPr>
            </w:pPr>
            <w:r>
              <w:rPr>
                <w:w w:val="110"/>
                <w:sz w:val="18"/>
              </w:rPr>
              <w:t>Q4, 2021</w:t>
            </w:r>
          </w:p>
        </w:tc>
      </w:tr>
      <w:tr>
        <w:trPr>
          <w:trHeight w:val="316" w:hRule="atLeast"/>
        </w:trPr>
        <w:tc>
          <w:tcPr>
            <w:tcW w:w="3587" w:type="dxa"/>
            <w:tcBorders>
              <w:top w:val="single" w:sz="4" w:space="0" w:color="92D050"/>
              <w:bottom w:val="single" w:sz="4" w:space="0" w:color="92D050"/>
            </w:tcBorders>
          </w:tcPr>
          <w:p>
            <w:pPr>
              <w:pStyle w:val="TableParagraph"/>
              <w:spacing w:before="54"/>
              <w:ind w:left="61" w:right="289"/>
              <w:rPr>
                <w:sz w:val="18"/>
              </w:rPr>
            </w:pPr>
            <w:r>
              <w:rPr>
                <w:sz w:val="18"/>
              </w:rPr>
              <w:t>Works by ESPL</w:t>
            </w:r>
          </w:p>
        </w:tc>
        <w:tc>
          <w:tcPr>
            <w:tcW w:w="1382" w:type="dxa"/>
            <w:tcBorders>
              <w:top w:val="single" w:sz="4" w:space="0" w:color="92D050"/>
              <w:bottom w:val="single" w:sz="4" w:space="0" w:color="92D050"/>
            </w:tcBorders>
          </w:tcPr>
          <w:p>
            <w:pPr>
              <w:pStyle w:val="TableParagraph"/>
              <w:spacing w:before="54"/>
              <w:ind w:left="338" w:right="412"/>
              <w:rPr>
                <w:sz w:val="18"/>
              </w:rPr>
            </w:pPr>
            <w:r>
              <w:rPr>
                <w:w w:val="105"/>
                <w:sz w:val="18"/>
              </w:rPr>
              <w:t>84.29</w:t>
            </w:r>
          </w:p>
        </w:tc>
        <w:tc>
          <w:tcPr>
            <w:tcW w:w="2051" w:type="dxa"/>
            <w:tcBorders>
              <w:top w:val="single" w:sz="4" w:space="0" w:color="92D050"/>
              <w:bottom w:val="single" w:sz="4" w:space="0" w:color="92D050"/>
            </w:tcBorders>
          </w:tcPr>
          <w:p>
            <w:pPr>
              <w:pStyle w:val="TableParagraph"/>
              <w:spacing w:before="54"/>
              <w:ind w:left="410" w:right="406"/>
              <w:rPr>
                <w:sz w:val="18"/>
              </w:rPr>
            </w:pPr>
            <w:r>
              <w:rPr>
                <w:w w:val="105"/>
                <w:sz w:val="18"/>
              </w:rPr>
              <w:t>32.58</w:t>
            </w:r>
          </w:p>
        </w:tc>
        <w:tc>
          <w:tcPr>
            <w:tcW w:w="1630" w:type="dxa"/>
            <w:tcBorders>
              <w:top w:val="single" w:sz="4" w:space="0" w:color="92D050"/>
              <w:bottom w:val="single" w:sz="4" w:space="0" w:color="92D050"/>
            </w:tcBorders>
          </w:tcPr>
          <w:p>
            <w:pPr>
              <w:pStyle w:val="TableParagraph"/>
              <w:spacing w:before="54"/>
              <w:ind w:left="539"/>
              <w:jc w:val="left"/>
              <w:rPr>
                <w:sz w:val="18"/>
              </w:rPr>
            </w:pPr>
            <w:r>
              <w:rPr>
                <w:w w:val="105"/>
                <w:sz w:val="18"/>
              </w:rPr>
              <w:t>51.71</w:t>
            </w:r>
          </w:p>
        </w:tc>
        <w:tc>
          <w:tcPr>
            <w:tcW w:w="1834" w:type="dxa"/>
            <w:tcBorders>
              <w:top w:val="single" w:sz="4" w:space="0" w:color="92D050"/>
              <w:bottom w:val="single" w:sz="4" w:space="0" w:color="92D050"/>
            </w:tcBorders>
          </w:tcPr>
          <w:p>
            <w:pPr>
              <w:pStyle w:val="TableParagraph"/>
              <w:spacing w:before="54"/>
              <w:ind w:right="470"/>
              <w:jc w:val="right"/>
              <w:rPr>
                <w:sz w:val="18"/>
              </w:rPr>
            </w:pPr>
            <w:r>
              <w:rPr>
                <w:w w:val="110"/>
                <w:sz w:val="18"/>
              </w:rPr>
              <w:t>Q4, 2021</w:t>
            </w:r>
          </w:p>
        </w:tc>
      </w:tr>
      <w:tr>
        <w:trPr>
          <w:trHeight w:val="313" w:hRule="atLeast"/>
        </w:trPr>
        <w:tc>
          <w:tcPr>
            <w:tcW w:w="3587" w:type="dxa"/>
            <w:tcBorders>
              <w:top w:val="single" w:sz="4" w:space="0" w:color="92D050"/>
              <w:bottom w:val="single" w:sz="4" w:space="0" w:color="92D050"/>
            </w:tcBorders>
          </w:tcPr>
          <w:p>
            <w:pPr>
              <w:pStyle w:val="TableParagraph"/>
              <w:spacing w:before="51"/>
              <w:ind w:left="61" w:right="291"/>
              <w:rPr>
                <w:sz w:val="18"/>
              </w:rPr>
            </w:pPr>
            <w:r>
              <w:rPr>
                <w:sz w:val="18"/>
              </w:rPr>
              <w:t>Works by EPDPL</w:t>
            </w:r>
          </w:p>
        </w:tc>
        <w:tc>
          <w:tcPr>
            <w:tcW w:w="1382" w:type="dxa"/>
            <w:tcBorders>
              <w:top w:val="single" w:sz="4" w:space="0" w:color="92D050"/>
              <w:bottom w:val="single" w:sz="4" w:space="0" w:color="92D050"/>
            </w:tcBorders>
          </w:tcPr>
          <w:p>
            <w:pPr>
              <w:pStyle w:val="TableParagraph"/>
              <w:spacing w:before="51"/>
              <w:ind w:left="338" w:right="412"/>
              <w:rPr>
                <w:sz w:val="18"/>
              </w:rPr>
            </w:pPr>
            <w:r>
              <w:rPr>
                <w:w w:val="110"/>
                <w:sz w:val="18"/>
              </w:rPr>
              <w:t>209.54</w:t>
            </w:r>
          </w:p>
        </w:tc>
        <w:tc>
          <w:tcPr>
            <w:tcW w:w="2051" w:type="dxa"/>
            <w:tcBorders>
              <w:top w:val="single" w:sz="4" w:space="0" w:color="92D050"/>
              <w:bottom w:val="single" w:sz="4" w:space="0" w:color="92D050"/>
            </w:tcBorders>
          </w:tcPr>
          <w:p>
            <w:pPr>
              <w:pStyle w:val="TableParagraph"/>
              <w:spacing w:before="51"/>
              <w:ind w:left="410" w:right="406"/>
              <w:rPr>
                <w:sz w:val="18"/>
              </w:rPr>
            </w:pPr>
            <w:r>
              <w:rPr>
                <w:w w:val="105"/>
                <w:sz w:val="18"/>
              </w:rPr>
              <w:t>70.69</w:t>
            </w:r>
          </w:p>
        </w:tc>
        <w:tc>
          <w:tcPr>
            <w:tcW w:w="1630" w:type="dxa"/>
            <w:tcBorders>
              <w:top w:val="single" w:sz="4" w:space="0" w:color="92D050"/>
              <w:bottom w:val="single" w:sz="4" w:space="0" w:color="92D050"/>
            </w:tcBorders>
          </w:tcPr>
          <w:p>
            <w:pPr>
              <w:pStyle w:val="TableParagraph"/>
              <w:spacing w:before="51"/>
              <w:ind w:left="486"/>
              <w:jc w:val="left"/>
              <w:rPr>
                <w:sz w:val="18"/>
              </w:rPr>
            </w:pPr>
            <w:r>
              <w:rPr>
                <w:w w:val="110"/>
                <w:sz w:val="18"/>
              </w:rPr>
              <w:t>138.85</w:t>
            </w:r>
          </w:p>
        </w:tc>
        <w:tc>
          <w:tcPr>
            <w:tcW w:w="1834" w:type="dxa"/>
            <w:tcBorders>
              <w:top w:val="single" w:sz="4" w:space="0" w:color="92D050"/>
              <w:bottom w:val="single" w:sz="4" w:space="0" w:color="92D050"/>
            </w:tcBorders>
          </w:tcPr>
          <w:p>
            <w:pPr>
              <w:pStyle w:val="TableParagraph"/>
              <w:spacing w:before="51"/>
              <w:ind w:right="470"/>
              <w:jc w:val="right"/>
              <w:rPr>
                <w:sz w:val="18"/>
              </w:rPr>
            </w:pPr>
            <w:r>
              <w:rPr>
                <w:w w:val="110"/>
                <w:sz w:val="18"/>
              </w:rPr>
              <w:t>Q1, 2022</w:t>
            </w:r>
          </w:p>
        </w:tc>
      </w:tr>
    </w:tbl>
    <w:p>
      <w:pPr>
        <w:spacing w:line="321" w:lineRule="auto" w:before="119"/>
        <w:ind w:left="120" w:right="0" w:firstLine="0"/>
        <w:jc w:val="left"/>
        <w:rPr>
          <w:i/>
          <w:sz w:val="18"/>
        </w:rPr>
      </w:pPr>
      <w:r>
        <w:rPr>
          <w:i/>
          <w:sz w:val="18"/>
        </w:rPr>
        <w:t>Source</w:t>
      </w:r>
      <w:r>
        <w:rPr>
          <w:i/>
          <w:spacing w:val="-19"/>
          <w:sz w:val="18"/>
        </w:rPr>
        <w:t> </w:t>
      </w:r>
      <w:r>
        <w:rPr>
          <w:i/>
          <w:sz w:val="18"/>
        </w:rPr>
        <w:t>Client</w:t>
      </w:r>
      <w:r>
        <w:rPr>
          <w:i/>
          <w:spacing w:val="-18"/>
          <w:sz w:val="18"/>
        </w:rPr>
        <w:t> </w:t>
      </w:r>
      <w:r>
        <w:rPr>
          <w:i/>
          <w:sz w:val="18"/>
        </w:rPr>
        <w:t>Input;</w:t>
      </w:r>
      <w:r>
        <w:rPr>
          <w:i/>
          <w:spacing w:val="-19"/>
          <w:sz w:val="18"/>
        </w:rPr>
        <w:t> </w:t>
      </w:r>
      <w:r>
        <w:rPr>
          <w:i/>
          <w:sz w:val="18"/>
        </w:rPr>
        <w:t>Based</w:t>
      </w:r>
      <w:r>
        <w:rPr>
          <w:i/>
          <w:spacing w:val="-19"/>
          <w:sz w:val="18"/>
        </w:rPr>
        <w:t> </w:t>
      </w:r>
      <w:r>
        <w:rPr>
          <w:i/>
          <w:sz w:val="18"/>
        </w:rPr>
        <w:t>on</w:t>
      </w:r>
      <w:r>
        <w:rPr>
          <w:i/>
          <w:spacing w:val="-20"/>
          <w:sz w:val="18"/>
        </w:rPr>
        <w:t> </w:t>
      </w:r>
      <w:r>
        <w:rPr>
          <w:i/>
          <w:sz w:val="18"/>
        </w:rPr>
        <w:t>Valuer</w:t>
      </w:r>
      <w:r>
        <w:rPr>
          <w:i/>
          <w:spacing w:val="-18"/>
          <w:sz w:val="18"/>
        </w:rPr>
        <w:t> </w:t>
      </w:r>
      <w:r>
        <w:rPr>
          <w:i/>
          <w:sz w:val="18"/>
        </w:rPr>
        <w:t>Assessment,</w:t>
      </w:r>
      <w:r>
        <w:rPr>
          <w:i/>
          <w:spacing w:val="-20"/>
          <w:sz w:val="18"/>
        </w:rPr>
        <w:t> </w:t>
      </w:r>
      <w:r>
        <w:rPr>
          <w:i/>
          <w:sz w:val="18"/>
        </w:rPr>
        <w:t>the</w:t>
      </w:r>
      <w:r>
        <w:rPr>
          <w:i/>
          <w:spacing w:val="-19"/>
          <w:sz w:val="18"/>
        </w:rPr>
        <w:t> </w:t>
      </w:r>
      <w:r>
        <w:rPr>
          <w:i/>
          <w:sz w:val="18"/>
        </w:rPr>
        <w:t>pending</w:t>
      </w:r>
      <w:r>
        <w:rPr>
          <w:i/>
          <w:spacing w:val="-18"/>
          <w:sz w:val="18"/>
        </w:rPr>
        <w:t> </w:t>
      </w:r>
      <w:r>
        <w:rPr>
          <w:i/>
          <w:sz w:val="18"/>
        </w:rPr>
        <w:t>cost</w:t>
      </w:r>
      <w:r>
        <w:rPr>
          <w:i/>
          <w:spacing w:val="-20"/>
          <w:sz w:val="18"/>
        </w:rPr>
        <w:t> </w:t>
      </w:r>
      <w:r>
        <w:rPr>
          <w:i/>
          <w:sz w:val="18"/>
        </w:rPr>
        <w:t>towards</w:t>
      </w:r>
      <w:r>
        <w:rPr>
          <w:i/>
          <w:spacing w:val="-19"/>
          <w:sz w:val="18"/>
        </w:rPr>
        <w:t> </w:t>
      </w:r>
      <w:r>
        <w:rPr>
          <w:i/>
          <w:sz w:val="18"/>
        </w:rPr>
        <w:t>refurbishment</w:t>
      </w:r>
      <w:r>
        <w:rPr>
          <w:i/>
          <w:spacing w:val="-19"/>
          <w:sz w:val="18"/>
        </w:rPr>
        <w:t> </w:t>
      </w:r>
      <w:r>
        <w:rPr>
          <w:i/>
          <w:sz w:val="18"/>
        </w:rPr>
        <w:t>is</w:t>
      </w:r>
      <w:r>
        <w:rPr>
          <w:i/>
          <w:spacing w:val="-19"/>
          <w:sz w:val="18"/>
        </w:rPr>
        <w:t> </w:t>
      </w:r>
      <w:r>
        <w:rPr>
          <w:i/>
          <w:sz w:val="18"/>
        </w:rPr>
        <w:t>apportioned</w:t>
      </w:r>
      <w:r>
        <w:rPr>
          <w:i/>
          <w:spacing w:val="-19"/>
          <w:sz w:val="18"/>
        </w:rPr>
        <w:t> </w:t>
      </w:r>
      <w:r>
        <w:rPr>
          <w:i/>
          <w:sz w:val="18"/>
        </w:rPr>
        <w:t>in</w:t>
      </w:r>
      <w:r>
        <w:rPr>
          <w:i/>
          <w:spacing w:val="-20"/>
          <w:sz w:val="18"/>
        </w:rPr>
        <w:t> </w:t>
      </w:r>
      <w:r>
        <w:rPr>
          <w:i/>
          <w:sz w:val="18"/>
        </w:rPr>
        <w:t>equal</w:t>
      </w:r>
      <w:r>
        <w:rPr>
          <w:i/>
          <w:spacing w:val="-20"/>
          <w:sz w:val="18"/>
        </w:rPr>
        <w:t> </w:t>
      </w:r>
      <w:r>
        <w:rPr>
          <w:i/>
          <w:sz w:val="18"/>
        </w:rPr>
        <w:t>proportion</w:t>
      </w:r>
      <w:r>
        <w:rPr>
          <w:i/>
          <w:spacing w:val="-18"/>
          <w:sz w:val="18"/>
        </w:rPr>
        <w:t> </w:t>
      </w:r>
      <w:r>
        <w:rPr>
          <w:i/>
          <w:sz w:val="18"/>
        </w:rPr>
        <w:t>across </w:t>
      </w:r>
      <w:r>
        <w:rPr>
          <w:i/>
          <w:sz w:val="18"/>
        </w:rPr>
        <w:t>remaining quarters from the date of</w:t>
      </w:r>
      <w:r>
        <w:rPr>
          <w:i/>
          <w:spacing w:val="-26"/>
          <w:sz w:val="18"/>
        </w:rPr>
        <w:t> </w:t>
      </w:r>
      <w:r>
        <w:rPr>
          <w:i/>
          <w:sz w:val="18"/>
        </w:rPr>
        <w:t>valuation.</w:t>
      </w:r>
    </w:p>
    <w:p>
      <w:pPr>
        <w:pStyle w:val="BodyText"/>
        <w:spacing w:before="2"/>
        <w:rPr>
          <w:i/>
          <w:sz w:val="18"/>
        </w:rPr>
      </w:pPr>
    </w:p>
    <w:p>
      <w:pPr>
        <w:pStyle w:val="ListParagraph"/>
        <w:numPr>
          <w:ilvl w:val="3"/>
          <w:numId w:val="55"/>
        </w:numPr>
        <w:tabs>
          <w:tab w:pos="985" w:val="left" w:leader="none"/>
        </w:tabs>
        <w:spacing w:line="240" w:lineRule="auto" w:before="0" w:after="0"/>
        <w:ind w:left="984" w:right="0" w:hanging="865"/>
        <w:jc w:val="both"/>
        <w:rPr>
          <w:i/>
          <w:sz w:val="20"/>
        </w:rPr>
      </w:pPr>
      <w:r>
        <w:rPr>
          <w:i/>
          <w:color w:val="008000"/>
          <w:sz w:val="20"/>
        </w:rPr>
        <w:t>Operating</w:t>
      </w:r>
      <w:r>
        <w:rPr>
          <w:i/>
          <w:color w:val="008000"/>
          <w:spacing w:val="-4"/>
          <w:sz w:val="20"/>
        </w:rPr>
        <w:t> </w:t>
      </w:r>
      <w:r>
        <w:rPr>
          <w:i/>
          <w:color w:val="008000"/>
          <w:sz w:val="20"/>
        </w:rPr>
        <w:t>Cost</w:t>
      </w:r>
    </w:p>
    <w:p>
      <w:pPr>
        <w:pStyle w:val="BodyText"/>
        <w:spacing w:line="321" w:lineRule="auto" w:before="76"/>
        <w:ind w:left="682" w:right="213"/>
        <w:jc w:val="both"/>
      </w:pPr>
      <w:r>
        <w:rPr/>
        <w:t>In</w:t>
      </w:r>
      <w:r>
        <w:rPr>
          <w:spacing w:val="-49"/>
        </w:rPr>
        <w:t> </w:t>
      </w:r>
      <w:r>
        <w:rPr/>
        <w:t>addition</w:t>
      </w:r>
      <w:r>
        <w:rPr>
          <w:spacing w:val="-49"/>
        </w:rPr>
        <w:t> </w:t>
      </w:r>
      <w:r>
        <w:rPr/>
        <w:t>to</w:t>
      </w:r>
      <w:r>
        <w:rPr>
          <w:spacing w:val="-48"/>
        </w:rPr>
        <w:t> </w:t>
      </w:r>
      <w:r>
        <w:rPr/>
        <w:t>capital</w:t>
      </w:r>
      <w:r>
        <w:rPr>
          <w:spacing w:val="-49"/>
        </w:rPr>
        <w:t> </w:t>
      </w:r>
      <w:r>
        <w:rPr/>
        <w:t>expenditure,</w:t>
      </w:r>
      <w:r>
        <w:rPr>
          <w:spacing w:val="-48"/>
        </w:rPr>
        <w:t> </w:t>
      </w:r>
      <w:r>
        <w:rPr/>
        <w:t>a</w:t>
      </w:r>
      <w:r>
        <w:rPr>
          <w:spacing w:val="-49"/>
        </w:rPr>
        <w:t> </w:t>
      </w:r>
      <w:r>
        <w:rPr/>
        <w:t>development</w:t>
      </w:r>
      <w:r>
        <w:rPr>
          <w:spacing w:val="-47"/>
        </w:rPr>
        <w:t> </w:t>
      </w:r>
      <w:r>
        <w:rPr/>
        <w:t>typically</w:t>
      </w:r>
      <w:r>
        <w:rPr>
          <w:spacing w:val="-49"/>
        </w:rPr>
        <w:t> </w:t>
      </w:r>
      <w:r>
        <w:rPr/>
        <w:t>has</w:t>
      </w:r>
      <w:r>
        <w:rPr>
          <w:spacing w:val="-48"/>
        </w:rPr>
        <w:t> </w:t>
      </w:r>
      <w:r>
        <w:rPr/>
        <w:t>few</w:t>
      </w:r>
      <w:r>
        <w:rPr>
          <w:spacing w:val="-48"/>
        </w:rPr>
        <w:t> </w:t>
      </w:r>
      <w:r>
        <w:rPr/>
        <w:t>recurring</w:t>
      </w:r>
      <w:r>
        <w:rPr>
          <w:spacing w:val="-48"/>
        </w:rPr>
        <w:t> </w:t>
      </w:r>
      <w:r>
        <w:rPr/>
        <w:t>operation</w:t>
      </w:r>
      <w:r>
        <w:rPr>
          <w:spacing w:val="-49"/>
        </w:rPr>
        <w:t> </w:t>
      </w:r>
      <w:r>
        <w:rPr/>
        <w:t>expenses</w:t>
      </w:r>
      <w:r>
        <w:rPr>
          <w:spacing w:val="-48"/>
        </w:rPr>
        <w:t> </w:t>
      </w:r>
      <w:r>
        <w:rPr/>
        <w:t>required for</w:t>
      </w:r>
      <w:r>
        <w:rPr>
          <w:spacing w:val="-13"/>
        </w:rPr>
        <w:t> </w:t>
      </w:r>
      <w:r>
        <w:rPr/>
        <w:t>the</w:t>
      </w:r>
      <w:r>
        <w:rPr>
          <w:spacing w:val="-12"/>
        </w:rPr>
        <w:t> </w:t>
      </w:r>
      <w:r>
        <w:rPr/>
        <w:t>up-keep</w:t>
      </w:r>
      <w:r>
        <w:rPr>
          <w:spacing w:val="-11"/>
        </w:rPr>
        <w:t> </w:t>
      </w:r>
      <w:r>
        <w:rPr/>
        <w:t>running</w:t>
      </w:r>
      <w:r>
        <w:rPr>
          <w:spacing w:val="-13"/>
        </w:rPr>
        <w:t> </w:t>
      </w:r>
      <w:r>
        <w:rPr/>
        <w:t>of</w:t>
      </w:r>
      <w:r>
        <w:rPr>
          <w:spacing w:val="-12"/>
        </w:rPr>
        <w:t> </w:t>
      </w:r>
      <w:r>
        <w:rPr/>
        <w:t>the</w:t>
      </w:r>
      <w:r>
        <w:rPr>
          <w:spacing w:val="-13"/>
        </w:rPr>
        <w:t> </w:t>
      </w:r>
      <w:r>
        <w:rPr/>
        <w:t>development.</w:t>
      </w:r>
      <w:r>
        <w:rPr>
          <w:spacing w:val="-14"/>
        </w:rPr>
        <w:t> </w:t>
      </w:r>
      <w:r>
        <w:rPr/>
        <w:t>Based</w:t>
      </w:r>
      <w:r>
        <w:rPr>
          <w:spacing w:val="-11"/>
        </w:rPr>
        <w:t> </w:t>
      </w:r>
      <w:r>
        <w:rPr/>
        <w:t>on</w:t>
      </w:r>
      <w:r>
        <w:rPr>
          <w:spacing w:val="-12"/>
        </w:rPr>
        <w:t> </w:t>
      </w:r>
      <w:r>
        <w:rPr/>
        <w:t>information</w:t>
      </w:r>
      <w:r>
        <w:rPr>
          <w:spacing w:val="-14"/>
        </w:rPr>
        <w:t> </w:t>
      </w:r>
      <w:r>
        <w:rPr/>
        <w:t>provided</w:t>
      </w:r>
      <w:r>
        <w:rPr>
          <w:spacing w:val="-11"/>
        </w:rPr>
        <w:t> </w:t>
      </w:r>
      <w:r>
        <w:rPr/>
        <w:t>by</w:t>
      </w:r>
      <w:r>
        <w:rPr>
          <w:spacing w:val="-13"/>
        </w:rPr>
        <w:t> </w:t>
      </w:r>
      <w:r>
        <w:rPr/>
        <w:t>the</w:t>
      </w:r>
      <w:r>
        <w:rPr>
          <w:spacing w:val="-12"/>
        </w:rPr>
        <w:t> </w:t>
      </w:r>
      <w:r>
        <w:rPr/>
        <w:t>Client</w:t>
      </w:r>
      <w:r>
        <w:rPr>
          <w:spacing w:val="-12"/>
        </w:rPr>
        <w:t> </w:t>
      </w:r>
      <w:r>
        <w:rPr/>
        <w:t>and</w:t>
      </w:r>
      <w:r>
        <w:rPr>
          <w:spacing w:val="-10"/>
        </w:rPr>
        <w:t> </w:t>
      </w:r>
      <w:r>
        <w:rPr/>
        <w:t>market assessment, following recurring expense assumptions have been adopted for the purpose of this valuation</w:t>
      </w:r>
      <w:r>
        <w:rPr>
          <w:spacing w:val="-8"/>
        </w:rPr>
        <w:t> </w:t>
      </w:r>
      <w:r>
        <w:rPr/>
        <w:t>exercise</w:t>
      </w:r>
      <w:r>
        <w:rPr>
          <w:spacing w:val="-7"/>
        </w:rPr>
        <w:t> </w:t>
      </w:r>
      <w:r>
        <w:rPr/>
        <w:t>(applicable</w:t>
      </w:r>
      <w:r>
        <w:rPr>
          <w:spacing w:val="-7"/>
        </w:rPr>
        <w:t> </w:t>
      </w:r>
      <w:r>
        <w:rPr/>
        <w:t>to</w:t>
      </w:r>
      <w:r>
        <w:rPr>
          <w:spacing w:val="-7"/>
        </w:rPr>
        <w:t> </w:t>
      </w:r>
      <w:r>
        <w:rPr/>
        <w:t>both</w:t>
      </w:r>
      <w:r>
        <w:rPr>
          <w:spacing w:val="-6"/>
        </w:rPr>
        <w:t> </w:t>
      </w:r>
      <w:r>
        <w:rPr/>
        <w:t>completed</w:t>
      </w:r>
      <w:r>
        <w:rPr>
          <w:spacing w:val="-6"/>
        </w:rPr>
        <w:t> </w:t>
      </w:r>
      <w:r>
        <w:rPr/>
        <w:t>and</w:t>
      </w:r>
      <w:r>
        <w:rPr>
          <w:spacing w:val="-7"/>
        </w:rPr>
        <w:t> </w:t>
      </w:r>
      <w:r>
        <w:rPr/>
        <w:t>proposed</w:t>
      </w:r>
      <w:r>
        <w:rPr>
          <w:spacing w:val="-8"/>
        </w:rPr>
        <w:t> </w:t>
      </w:r>
      <w:r>
        <w:rPr/>
        <w:t>blocks):</w:t>
      </w:r>
    </w:p>
    <w:p>
      <w:pPr>
        <w:pStyle w:val="BodyText"/>
        <w:spacing w:before="8"/>
        <w:rPr>
          <w:sz w:val="10"/>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35"/>
        <w:gridCol w:w="2278"/>
        <w:gridCol w:w="3671"/>
      </w:tblGrid>
      <w:tr>
        <w:trPr>
          <w:trHeight w:val="289" w:hRule="atLeast"/>
        </w:trPr>
        <w:tc>
          <w:tcPr>
            <w:tcW w:w="4535" w:type="dxa"/>
            <w:tcBorders>
              <w:top w:val="single" w:sz="6" w:space="0" w:color="69BD28"/>
              <w:bottom w:val="single" w:sz="6" w:space="0" w:color="69BD28"/>
            </w:tcBorders>
            <w:shd w:val="clear" w:color="auto" w:fill="006A4D"/>
          </w:tcPr>
          <w:p>
            <w:pPr>
              <w:pStyle w:val="TableParagraph"/>
              <w:spacing w:before="30"/>
              <w:ind w:left="50" w:right="595"/>
              <w:rPr>
                <w:sz w:val="20"/>
              </w:rPr>
            </w:pPr>
            <w:r>
              <w:rPr>
                <w:color w:val="FFFFFF"/>
                <w:sz w:val="20"/>
              </w:rPr>
              <w:t>Nature of Expense</w:t>
            </w:r>
          </w:p>
        </w:tc>
        <w:tc>
          <w:tcPr>
            <w:tcW w:w="2278" w:type="dxa"/>
            <w:tcBorders>
              <w:top w:val="single" w:sz="6" w:space="0" w:color="69BD28"/>
              <w:bottom w:val="single" w:sz="6" w:space="0" w:color="69BD28"/>
            </w:tcBorders>
            <w:shd w:val="clear" w:color="auto" w:fill="006A4D"/>
          </w:tcPr>
          <w:p>
            <w:pPr>
              <w:pStyle w:val="TableParagraph"/>
              <w:spacing w:before="30"/>
              <w:ind w:left="655"/>
              <w:jc w:val="left"/>
              <w:rPr>
                <w:sz w:val="20"/>
              </w:rPr>
            </w:pPr>
            <w:r>
              <w:rPr>
                <w:color w:val="FFFFFF"/>
                <w:sz w:val="20"/>
              </w:rPr>
              <w:t>Details</w:t>
            </w:r>
          </w:p>
        </w:tc>
        <w:tc>
          <w:tcPr>
            <w:tcW w:w="3671" w:type="dxa"/>
            <w:tcBorders>
              <w:top w:val="single" w:sz="6" w:space="0" w:color="69BD28"/>
              <w:bottom w:val="single" w:sz="6" w:space="0" w:color="69BD28"/>
            </w:tcBorders>
            <w:shd w:val="clear" w:color="auto" w:fill="006A4D"/>
          </w:tcPr>
          <w:p>
            <w:pPr>
              <w:pStyle w:val="TableParagraph"/>
              <w:spacing w:before="6"/>
              <w:ind w:left="1002" w:right="817"/>
              <w:rPr>
                <w:sz w:val="20"/>
              </w:rPr>
            </w:pPr>
            <w:r>
              <w:rPr>
                <w:color w:val="FFFFFF"/>
                <w:sz w:val="20"/>
              </w:rPr>
              <w:t>Basis</w:t>
            </w:r>
          </w:p>
        </w:tc>
      </w:tr>
      <w:tr>
        <w:trPr>
          <w:trHeight w:val="294" w:hRule="atLeast"/>
        </w:trPr>
        <w:tc>
          <w:tcPr>
            <w:tcW w:w="4535" w:type="dxa"/>
            <w:tcBorders>
              <w:top w:val="single" w:sz="6" w:space="0" w:color="69BD28"/>
              <w:bottom w:val="single" w:sz="6" w:space="0" w:color="69BD28"/>
            </w:tcBorders>
          </w:tcPr>
          <w:p>
            <w:pPr>
              <w:pStyle w:val="TableParagraph"/>
              <w:spacing w:before="44"/>
              <w:ind w:left="50" w:right="597"/>
              <w:rPr>
                <w:sz w:val="18"/>
              </w:rPr>
            </w:pPr>
            <w:r>
              <w:rPr>
                <w:sz w:val="18"/>
              </w:rPr>
              <w:t>Insurance, Legal and other professional charges</w:t>
            </w:r>
          </w:p>
        </w:tc>
        <w:tc>
          <w:tcPr>
            <w:tcW w:w="2278" w:type="dxa"/>
            <w:tcBorders>
              <w:top w:val="single" w:sz="6" w:space="0" w:color="69BD28"/>
              <w:bottom w:val="single" w:sz="6" w:space="0" w:color="69BD28"/>
            </w:tcBorders>
          </w:tcPr>
          <w:p>
            <w:pPr>
              <w:pStyle w:val="TableParagraph"/>
              <w:spacing w:before="44"/>
              <w:ind w:left="698"/>
              <w:jc w:val="left"/>
              <w:rPr>
                <w:sz w:val="18"/>
              </w:rPr>
            </w:pPr>
            <w:r>
              <w:rPr>
                <w:w w:val="110"/>
                <w:sz w:val="18"/>
              </w:rPr>
              <w:t>0.21%</w:t>
            </w:r>
          </w:p>
        </w:tc>
        <w:tc>
          <w:tcPr>
            <w:tcW w:w="3671" w:type="dxa"/>
            <w:tcBorders>
              <w:top w:val="single" w:sz="6" w:space="0" w:color="69BD28"/>
              <w:bottom w:val="single" w:sz="6" w:space="0" w:color="69BD28"/>
            </w:tcBorders>
          </w:tcPr>
          <w:p>
            <w:pPr>
              <w:pStyle w:val="TableParagraph"/>
              <w:spacing w:before="44"/>
              <w:ind w:left="1002" w:right="817"/>
              <w:rPr>
                <w:sz w:val="18"/>
              </w:rPr>
            </w:pPr>
            <w:r>
              <w:rPr>
                <w:sz w:val="18"/>
              </w:rPr>
              <w:t>% of gross rent income</w:t>
            </w:r>
          </w:p>
        </w:tc>
      </w:tr>
      <w:tr>
        <w:trPr>
          <w:trHeight w:val="296" w:hRule="atLeast"/>
        </w:trPr>
        <w:tc>
          <w:tcPr>
            <w:tcW w:w="4535" w:type="dxa"/>
            <w:tcBorders>
              <w:top w:val="single" w:sz="6" w:space="0" w:color="69BD28"/>
              <w:bottom w:val="single" w:sz="6" w:space="0" w:color="69BD28"/>
            </w:tcBorders>
          </w:tcPr>
          <w:p>
            <w:pPr>
              <w:pStyle w:val="TableParagraph"/>
              <w:spacing w:before="44"/>
              <w:ind w:left="50" w:right="593"/>
              <w:rPr>
                <w:sz w:val="18"/>
              </w:rPr>
            </w:pPr>
            <w:r>
              <w:rPr>
                <w:sz w:val="18"/>
              </w:rPr>
              <w:t>Property Tax</w:t>
            </w:r>
          </w:p>
        </w:tc>
        <w:tc>
          <w:tcPr>
            <w:tcW w:w="2278" w:type="dxa"/>
            <w:tcBorders>
              <w:top w:val="single" w:sz="6" w:space="0" w:color="69BD28"/>
              <w:bottom w:val="single" w:sz="6" w:space="0" w:color="69BD28"/>
            </w:tcBorders>
          </w:tcPr>
          <w:p>
            <w:pPr>
              <w:pStyle w:val="TableParagraph"/>
              <w:spacing w:before="44"/>
              <w:ind w:left="662"/>
              <w:jc w:val="left"/>
              <w:rPr>
                <w:sz w:val="18"/>
              </w:rPr>
            </w:pPr>
            <w:r>
              <w:rPr>
                <w:w w:val="110"/>
                <w:sz w:val="18"/>
              </w:rPr>
              <w:t>1.04%*</w:t>
            </w:r>
          </w:p>
        </w:tc>
        <w:tc>
          <w:tcPr>
            <w:tcW w:w="3671" w:type="dxa"/>
            <w:tcBorders>
              <w:top w:val="single" w:sz="6" w:space="0" w:color="69BD28"/>
              <w:bottom w:val="single" w:sz="6" w:space="0" w:color="69BD28"/>
            </w:tcBorders>
          </w:tcPr>
          <w:p>
            <w:pPr>
              <w:pStyle w:val="TableParagraph"/>
              <w:spacing w:before="44"/>
              <w:ind w:left="1002" w:right="817"/>
              <w:rPr>
                <w:sz w:val="18"/>
              </w:rPr>
            </w:pPr>
            <w:r>
              <w:rPr>
                <w:sz w:val="18"/>
              </w:rPr>
              <w:t>% of gross rent income</w:t>
            </w:r>
          </w:p>
        </w:tc>
      </w:tr>
      <w:tr>
        <w:trPr>
          <w:trHeight w:val="294" w:hRule="atLeast"/>
        </w:trPr>
        <w:tc>
          <w:tcPr>
            <w:tcW w:w="4535" w:type="dxa"/>
            <w:tcBorders>
              <w:top w:val="single" w:sz="6" w:space="0" w:color="69BD28"/>
              <w:bottom w:val="single" w:sz="6" w:space="0" w:color="69BD28"/>
            </w:tcBorders>
          </w:tcPr>
          <w:p>
            <w:pPr>
              <w:pStyle w:val="TableParagraph"/>
              <w:spacing w:before="44"/>
              <w:ind w:left="50" w:right="591"/>
              <w:rPr>
                <w:sz w:val="18"/>
              </w:rPr>
            </w:pPr>
            <w:r>
              <w:rPr>
                <w:sz w:val="18"/>
              </w:rPr>
              <w:t>Repair and Maintenance Reserve</w:t>
            </w:r>
          </w:p>
        </w:tc>
        <w:tc>
          <w:tcPr>
            <w:tcW w:w="2278" w:type="dxa"/>
            <w:tcBorders>
              <w:top w:val="single" w:sz="6" w:space="0" w:color="69BD28"/>
              <w:bottom w:val="single" w:sz="6" w:space="0" w:color="69BD28"/>
            </w:tcBorders>
          </w:tcPr>
          <w:p>
            <w:pPr>
              <w:pStyle w:val="TableParagraph"/>
              <w:spacing w:before="44"/>
              <w:ind w:left="698"/>
              <w:jc w:val="left"/>
              <w:rPr>
                <w:sz w:val="18"/>
              </w:rPr>
            </w:pPr>
            <w:r>
              <w:rPr>
                <w:w w:val="110"/>
                <w:sz w:val="18"/>
              </w:rPr>
              <w:t>1.00%</w:t>
            </w:r>
          </w:p>
        </w:tc>
        <w:tc>
          <w:tcPr>
            <w:tcW w:w="3671" w:type="dxa"/>
            <w:tcBorders>
              <w:top w:val="single" w:sz="6" w:space="0" w:color="69BD28"/>
              <w:bottom w:val="single" w:sz="6" w:space="0" w:color="69BD28"/>
            </w:tcBorders>
          </w:tcPr>
          <w:p>
            <w:pPr>
              <w:pStyle w:val="TableParagraph"/>
              <w:spacing w:before="44"/>
              <w:ind w:left="1002" w:right="817"/>
              <w:rPr>
                <w:sz w:val="18"/>
              </w:rPr>
            </w:pPr>
            <w:r>
              <w:rPr>
                <w:sz w:val="18"/>
              </w:rPr>
              <w:t>% of gross rent income</w:t>
            </w:r>
          </w:p>
        </w:tc>
      </w:tr>
      <w:tr>
        <w:trPr>
          <w:trHeight w:val="296" w:hRule="atLeast"/>
        </w:trPr>
        <w:tc>
          <w:tcPr>
            <w:tcW w:w="4535" w:type="dxa"/>
            <w:tcBorders>
              <w:top w:val="single" w:sz="6" w:space="0" w:color="69BD28"/>
              <w:bottom w:val="single" w:sz="6" w:space="0" w:color="69BD28"/>
            </w:tcBorders>
          </w:tcPr>
          <w:p>
            <w:pPr>
              <w:pStyle w:val="TableParagraph"/>
              <w:spacing w:before="44"/>
              <w:ind w:left="50" w:right="590"/>
              <w:rPr>
                <w:sz w:val="18"/>
              </w:rPr>
            </w:pPr>
            <w:r>
              <w:rPr>
                <w:w w:val="103"/>
                <w:sz w:val="18"/>
              </w:rPr>
              <w:t>A</w:t>
            </w:r>
            <w:r>
              <w:rPr>
                <w:spacing w:val="1"/>
                <w:w w:val="103"/>
                <w:sz w:val="18"/>
              </w:rPr>
              <w:t>s</w:t>
            </w:r>
            <w:r>
              <w:rPr>
                <w:w w:val="100"/>
                <w:sz w:val="18"/>
              </w:rPr>
              <w:t>s</w:t>
            </w:r>
            <w:r>
              <w:rPr>
                <w:w w:val="94"/>
                <w:sz w:val="18"/>
              </w:rPr>
              <w:t>e</w:t>
            </w:r>
            <w:r>
              <w:rPr>
                <w:w w:val="65"/>
                <w:sz w:val="18"/>
              </w:rPr>
              <w:t>t</w:t>
            </w:r>
            <w:r>
              <w:rPr>
                <w:spacing w:val="-3"/>
                <w:sz w:val="18"/>
              </w:rPr>
              <w:t> </w:t>
            </w:r>
            <w:r>
              <w:rPr>
                <w:spacing w:val="-2"/>
                <w:w w:val="102"/>
                <w:sz w:val="18"/>
              </w:rPr>
              <w:t>m</w:t>
            </w:r>
            <w:r>
              <w:rPr>
                <w:w w:val="108"/>
                <w:sz w:val="18"/>
              </w:rPr>
              <w:t>a</w:t>
            </w:r>
            <w:r>
              <w:rPr>
                <w:w w:val="101"/>
                <w:sz w:val="18"/>
              </w:rPr>
              <w:t>n</w:t>
            </w:r>
            <w:r>
              <w:rPr>
                <w:w w:val="108"/>
                <w:sz w:val="18"/>
              </w:rPr>
              <w:t>a</w:t>
            </w:r>
            <w:r>
              <w:rPr>
                <w:spacing w:val="-2"/>
                <w:w w:val="113"/>
                <w:sz w:val="18"/>
              </w:rPr>
              <w:t>g</w:t>
            </w:r>
            <w:r>
              <w:rPr>
                <w:w w:val="94"/>
                <w:sz w:val="18"/>
              </w:rPr>
              <w:t>e</w:t>
            </w:r>
            <w:r>
              <w:rPr>
                <w:spacing w:val="-2"/>
                <w:w w:val="102"/>
                <w:sz w:val="18"/>
              </w:rPr>
              <w:t>m</w:t>
            </w:r>
            <w:r>
              <w:rPr>
                <w:w w:val="94"/>
                <w:sz w:val="18"/>
              </w:rPr>
              <w:t>e</w:t>
            </w:r>
            <w:r>
              <w:rPr>
                <w:w w:val="101"/>
                <w:sz w:val="18"/>
              </w:rPr>
              <w:t>n</w:t>
            </w:r>
            <w:r>
              <w:rPr>
                <w:w w:val="65"/>
                <w:sz w:val="18"/>
              </w:rPr>
              <w:t>t</w:t>
            </w:r>
            <w:r>
              <w:rPr>
                <w:spacing w:val="-3"/>
                <w:sz w:val="18"/>
              </w:rPr>
              <w:t> </w:t>
            </w:r>
            <w:r>
              <w:rPr>
                <w:w w:val="95"/>
                <w:sz w:val="18"/>
              </w:rPr>
              <w:t>Fe</w:t>
            </w:r>
            <w:r>
              <w:rPr>
                <w:spacing w:val="3"/>
                <w:w w:val="94"/>
                <w:sz w:val="18"/>
              </w:rPr>
              <w:t>e</w:t>
            </w:r>
            <w:r>
              <w:rPr>
                <w:w w:val="190"/>
                <w:sz w:val="18"/>
              </w:rPr>
              <w:t>^</w:t>
            </w:r>
          </w:p>
        </w:tc>
        <w:tc>
          <w:tcPr>
            <w:tcW w:w="2278" w:type="dxa"/>
            <w:tcBorders>
              <w:top w:val="single" w:sz="6" w:space="0" w:color="69BD28"/>
              <w:bottom w:val="single" w:sz="6" w:space="0" w:color="69BD28"/>
            </w:tcBorders>
          </w:tcPr>
          <w:p>
            <w:pPr>
              <w:pStyle w:val="TableParagraph"/>
              <w:spacing w:before="44"/>
              <w:ind w:left="698"/>
              <w:jc w:val="left"/>
              <w:rPr>
                <w:sz w:val="18"/>
              </w:rPr>
            </w:pPr>
            <w:r>
              <w:rPr>
                <w:w w:val="110"/>
                <w:sz w:val="18"/>
              </w:rPr>
              <w:t>3.00%</w:t>
            </w:r>
          </w:p>
        </w:tc>
        <w:tc>
          <w:tcPr>
            <w:tcW w:w="3671" w:type="dxa"/>
            <w:tcBorders>
              <w:top w:val="single" w:sz="6" w:space="0" w:color="69BD28"/>
              <w:bottom w:val="single" w:sz="6" w:space="0" w:color="69BD28"/>
            </w:tcBorders>
          </w:tcPr>
          <w:p>
            <w:pPr>
              <w:pStyle w:val="TableParagraph"/>
              <w:spacing w:before="44"/>
              <w:ind w:left="1002" w:right="816"/>
              <w:rPr>
                <w:sz w:val="18"/>
              </w:rPr>
            </w:pPr>
            <w:r>
              <w:rPr>
                <w:w w:val="105"/>
                <w:sz w:val="18"/>
              </w:rPr>
              <w:t>% of income</w:t>
            </w:r>
          </w:p>
        </w:tc>
      </w:tr>
      <w:tr>
        <w:trPr>
          <w:trHeight w:val="294" w:hRule="atLeast"/>
        </w:trPr>
        <w:tc>
          <w:tcPr>
            <w:tcW w:w="4535" w:type="dxa"/>
            <w:tcBorders>
              <w:top w:val="single" w:sz="6" w:space="0" w:color="69BD28"/>
              <w:bottom w:val="single" w:sz="6" w:space="0" w:color="69BD28"/>
            </w:tcBorders>
          </w:tcPr>
          <w:p>
            <w:pPr>
              <w:pStyle w:val="TableParagraph"/>
              <w:spacing w:before="44"/>
              <w:ind w:left="50" w:right="592"/>
              <w:rPr>
                <w:sz w:val="18"/>
              </w:rPr>
            </w:pPr>
            <w:r>
              <w:rPr>
                <w:sz w:val="18"/>
              </w:rPr>
              <w:t>Transaction cost (on exit)</w:t>
            </w:r>
          </w:p>
        </w:tc>
        <w:tc>
          <w:tcPr>
            <w:tcW w:w="2278" w:type="dxa"/>
            <w:tcBorders>
              <w:top w:val="single" w:sz="6" w:space="0" w:color="69BD28"/>
              <w:bottom w:val="single" w:sz="6" w:space="0" w:color="69BD28"/>
            </w:tcBorders>
          </w:tcPr>
          <w:p>
            <w:pPr>
              <w:pStyle w:val="TableParagraph"/>
              <w:spacing w:before="44"/>
              <w:ind w:left="698"/>
              <w:jc w:val="left"/>
              <w:rPr>
                <w:sz w:val="18"/>
              </w:rPr>
            </w:pPr>
            <w:r>
              <w:rPr>
                <w:w w:val="110"/>
                <w:sz w:val="18"/>
              </w:rPr>
              <w:t>1.00%</w:t>
            </w:r>
          </w:p>
        </w:tc>
        <w:tc>
          <w:tcPr>
            <w:tcW w:w="3671" w:type="dxa"/>
            <w:tcBorders>
              <w:top w:val="single" w:sz="6" w:space="0" w:color="69BD28"/>
              <w:bottom w:val="single" w:sz="6" w:space="0" w:color="69BD28"/>
            </w:tcBorders>
          </w:tcPr>
          <w:p>
            <w:pPr>
              <w:pStyle w:val="TableParagraph"/>
              <w:spacing w:before="44"/>
              <w:ind w:left="1002" w:right="816"/>
              <w:rPr>
                <w:sz w:val="18"/>
              </w:rPr>
            </w:pPr>
            <w:r>
              <w:rPr>
                <w:sz w:val="18"/>
              </w:rPr>
              <w:t>% of terminal value</w:t>
            </w:r>
          </w:p>
        </w:tc>
      </w:tr>
    </w:tbl>
    <w:p>
      <w:pPr>
        <w:spacing w:after="0"/>
        <w:rPr>
          <w:sz w:val="18"/>
        </w:rPr>
        <w:sectPr>
          <w:pgSz w:w="11910" w:h="16840"/>
          <w:pgMar w:header="720" w:footer="921" w:top="1660" w:bottom="1120" w:left="600" w:right="500"/>
        </w:sectPr>
      </w:pPr>
    </w:p>
    <w:p>
      <w:pPr>
        <w:pStyle w:val="BodyText"/>
        <w:spacing w:before="8"/>
        <w:rPr>
          <w:sz w:val="9"/>
        </w:rPr>
      </w:pPr>
    </w:p>
    <w:p>
      <w:pPr>
        <w:spacing w:line="321" w:lineRule="auto" w:before="104"/>
        <w:ind w:left="120" w:right="212" w:firstLine="0"/>
        <w:jc w:val="both"/>
        <w:rPr>
          <w:i/>
          <w:sz w:val="18"/>
        </w:rPr>
      </w:pPr>
      <w:r>
        <w:rPr>
          <w:i/>
          <w:sz w:val="18"/>
        </w:rPr>
        <w:t>Source:</w:t>
      </w:r>
      <w:r>
        <w:rPr>
          <w:i/>
          <w:spacing w:val="-30"/>
          <w:sz w:val="18"/>
        </w:rPr>
        <w:t> </w:t>
      </w:r>
      <w:r>
        <w:rPr>
          <w:i/>
          <w:sz w:val="18"/>
        </w:rPr>
        <w:t>Client</w:t>
      </w:r>
      <w:r>
        <w:rPr>
          <w:i/>
          <w:spacing w:val="-28"/>
          <w:sz w:val="18"/>
        </w:rPr>
        <w:t> </w:t>
      </w:r>
      <w:r>
        <w:rPr>
          <w:i/>
          <w:sz w:val="18"/>
        </w:rPr>
        <w:t>Input;</w:t>
      </w:r>
      <w:r>
        <w:rPr>
          <w:i/>
          <w:spacing w:val="-28"/>
          <w:sz w:val="18"/>
        </w:rPr>
        <w:t> </w:t>
      </w:r>
      <w:r>
        <w:rPr>
          <w:i/>
          <w:sz w:val="18"/>
        </w:rPr>
        <w:t>Valuer</w:t>
      </w:r>
      <w:r>
        <w:rPr>
          <w:i/>
          <w:spacing w:val="-29"/>
          <w:sz w:val="18"/>
        </w:rPr>
        <w:t> </w:t>
      </w:r>
      <w:r>
        <w:rPr>
          <w:i/>
          <w:sz w:val="18"/>
        </w:rPr>
        <w:t>assessment;</w:t>
      </w:r>
      <w:r>
        <w:rPr>
          <w:i/>
          <w:spacing w:val="-28"/>
          <w:sz w:val="18"/>
        </w:rPr>
        <w:t> </w:t>
      </w:r>
      <w:r>
        <w:rPr>
          <w:i/>
          <w:sz w:val="18"/>
        </w:rPr>
        <w:t>*Note</w:t>
      </w:r>
      <w:r>
        <w:rPr>
          <w:i/>
          <w:spacing w:val="-29"/>
          <w:sz w:val="18"/>
        </w:rPr>
        <w:t> </w:t>
      </w:r>
      <w:r>
        <w:rPr>
          <w:i/>
          <w:w w:val="115"/>
          <w:sz w:val="18"/>
        </w:rPr>
        <w:t>–</w:t>
      </w:r>
      <w:r>
        <w:rPr>
          <w:i/>
          <w:spacing w:val="-37"/>
          <w:w w:val="115"/>
          <w:sz w:val="18"/>
        </w:rPr>
        <w:t> </w:t>
      </w:r>
      <w:r>
        <w:rPr>
          <w:i/>
          <w:sz w:val="18"/>
        </w:rPr>
        <w:t>based</w:t>
      </w:r>
      <w:r>
        <w:rPr>
          <w:i/>
          <w:spacing w:val="-28"/>
          <w:sz w:val="18"/>
        </w:rPr>
        <w:t> </w:t>
      </w:r>
      <w:r>
        <w:rPr>
          <w:i/>
          <w:sz w:val="18"/>
        </w:rPr>
        <w:t>on</w:t>
      </w:r>
      <w:r>
        <w:rPr>
          <w:i/>
          <w:spacing w:val="-29"/>
          <w:sz w:val="18"/>
        </w:rPr>
        <w:t> </w:t>
      </w:r>
      <w:r>
        <w:rPr>
          <w:i/>
          <w:sz w:val="18"/>
        </w:rPr>
        <w:t>inputs</w:t>
      </w:r>
      <w:r>
        <w:rPr>
          <w:i/>
          <w:spacing w:val="-28"/>
          <w:sz w:val="18"/>
        </w:rPr>
        <w:t> </w:t>
      </w:r>
      <w:r>
        <w:rPr>
          <w:i/>
          <w:sz w:val="18"/>
        </w:rPr>
        <w:t>provided</w:t>
      </w:r>
      <w:r>
        <w:rPr>
          <w:i/>
          <w:spacing w:val="-30"/>
          <w:sz w:val="18"/>
        </w:rPr>
        <w:t> </w:t>
      </w:r>
      <w:r>
        <w:rPr>
          <w:i/>
          <w:sz w:val="18"/>
        </w:rPr>
        <w:t>by</w:t>
      </w:r>
      <w:r>
        <w:rPr>
          <w:i/>
          <w:spacing w:val="-29"/>
          <w:sz w:val="18"/>
        </w:rPr>
        <w:t> </w:t>
      </w:r>
      <w:r>
        <w:rPr>
          <w:i/>
          <w:sz w:val="18"/>
        </w:rPr>
        <w:t>the</w:t>
      </w:r>
      <w:r>
        <w:rPr>
          <w:i/>
          <w:spacing w:val="-29"/>
          <w:sz w:val="18"/>
        </w:rPr>
        <w:t> </w:t>
      </w:r>
      <w:r>
        <w:rPr>
          <w:i/>
          <w:sz w:val="18"/>
        </w:rPr>
        <w:t>Client,</w:t>
      </w:r>
      <w:r>
        <w:rPr>
          <w:i/>
          <w:spacing w:val="-28"/>
          <w:sz w:val="18"/>
        </w:rPr>
        <w:t> </w:t>
      </w:r>
      <w:r>
        <w:rPr>
          <w:i/>
          <w:sz w:val="18"/>
        </w:rPr>
        <w:t>we</w:t>
      </w:r>
      <w:r>
        <w:rPr>
          <w:i/>
          <w:spacing w:val="-28"/>
          <w:sz w:val="18"/>
        </w:rPr>
        <w:t> </w:t>
      </w:r>
      <w:r>
        <w:rPr>
          <w:i/>
          <w:sz w:val="18"/>
        </w:rPr>
        <w:t>understand</w:t>
      </w:r>
      <w:r>
        <w:rPr>
          <w:i/>
          <w:spacing w:val="-30"/>
          <w:sz w:val="18"/>
        </w:rPr>
        <w:t> </w:t>
      </w:r>
      <w:r>
        <w:rPr>
          <w:i/>
          <w:sz w:val="18"/>
        </w:rPr>
        <w:t>that</w:t>
      </w:r>
      <w:r>
        <w:rPr>
          <w:i/>
          <w:spacing w:val="-29"/>
          <w:sz w:val="18"/>
        </w:rPr>
        <w:t> </w:t>
      </w:r>
      <w:r>
        <w:rPr>
          <w:i/>
          <w:sz w:val="18"/>
        </w:rPr>
        <w:t>the</w:t>
      </w:r>
      <w:r>
        <w:rPr>
          <w:i/>
          <w:spacing w:val="-29"/>
          <w:sz w:val="18"/>
        </w:rPr>
        <w:t> </w:t>
      </w:r>
      <w:r>
        <w:rPr>
          <w:i/>
          <w:sz w:val="18"/>
        </w:rPr>
        <w:t>property</w:t>
      </w:r>
      <w:r>
        <w:rPr>
          <w:i/>
          <w:spacing w:val="-29"/>
          <w:sz w:val="18"/>
        </w:rPr>
        <w:t> </w:t>
      </w:r>
      <w:r>
        <w:rPr>
          <w:i/>
          <w:sz w:val="18"/>
        </w:rPr>
        <w:t>tax</w:t>
      </w:r>
      <w:r>
        <w:rPr>
          <w:i/>
          <w:spacing w:val="-31"/>
          <w:sz w:val="18"/>
        </w:rPr>
        <w:t> </w:t>
      </w:r>
      <w:r>
        <w:rPr>
          <w:i/>
          <w:sz w:val="18"/>
        </w:rPr>
        <w:t>is</w:t>
      </w:r>
      <w:r>
        <w:rPr>
          <w:i/>
          <w:spacing w:val="-23"/>
          <w:sz w:val="18"/>
        </w:rPr>
        <w:t> </w:t>
      </w:r>
      <w:r>
        <w:rPr>
          <w:i/>
          <w:sz w:val="18"/>
        </w:rPr>
        <w:t>paid</w:t>
      </w:r>
      <w:r>
        <w:rPr>
          <w:i/>
          <w:spacing w:val="-28"/>
          <w:sz w:val="18"/>
        </w:rPr>
        <w:t> </w:t>
      </w:r>
      <w:r>
        <w:rPr>
          <w:i/>
          <w:sz w:val="18"/>
        </w:rPr>
        <w:t>at </w:t>
      </w:r>
      <w:r>
        <w:rPr>
          <w:i/>
          <w:sz w:val="18"/>
        </w:rPr>
        <w:t>the</w:t>
      </w:r>
      <w:r>
        <w:rPr>
          <w:i/>
          <w:spacing w:val="-18"/>
          <w:sz w:val="18"/>
        </w:rPr>
        <w:t> </w:t>
      </w:r>
      <w:r>
        <w:rPr>
          <w:i/>
          <w:sz w:val="18"/>
        </w:rPr>
        <w:t>beginning</w:t>
      </w:r>
      <w:r>
        <w:rPr>
          <w:i/>
          <w:spacing w:val="-16"/>
          <w:sz w:val="18"/>
        </w:rPr>
        <w:t> </w:t>
      </w:r>
      <w:r>
        <w:rPr>
          <w:i/>
          <w:sz w:val="18"/>
        </w:rPr>
        <w:t>of</w:t>
      </w:r>
      <w:r>
        <w:rPr>
          <w:i/>
          <w:spacing w:val="-16"/>
          <w:sz w:val="18"/>
        </w:rPr>
        <w:t> </w:t>
      </w:r>
      <w:r>
        <w:rPr>
          <w:i/>
          <w:sz w:val="18"/>
        </w:rPr>
        <w:t>every</w:t>
      </w:r>
      <w:r>
        <w:rPr>
          <w:i/>
          <w:spacing w:val="-17"/>
          <w:sz w:val="18"/>
        </w:rPr>
        <w:t> </w:t>
      </w:r>
      <w:r>
        <w:rPr>
          <w:i/>
          <w:sz w:val="18"/>
        </w:rPr>
        <w:t>financial</w:t>
      </w:r>
      <w:r>
        <w:rPr>
          <w:i/>
          <w:spacing w:val="-16"/>
          <w:sz w:val="18"/>
        </w:rPr>
        <w:t> </w:t>
      </w:r>
      <w:r>
        <w:rPr>
          <w:i/>
          <w:sz w:val="18"/>
        </w:rPr>
        <w:t>year</w:t>
      </w:r>
      <w:r>
        <w:rPr>
          <w:i/>
          <w:spacing w:val="-16"/>
          <w:sz w:val="18"/>
        </w:rPr>
        <w:t> </w:t>
      </w:r>
      <w:r>
        <w:rPr>
          <w:i/>
          <w:sz w:val="18"/>
        </w:rPr>
        <w:t>wherein</w:t>
      </w:r>
      <w:r>
        <w:rPr>
          <w:i/>
          <w:spacing w:val="-16"/>
          <w:sz w:val="18"/>
        </w:rPr>
        <w:t> </w:t>
      </w:r>
      <w:r>
        <w:rPr>
          <w:i/>
          <w:sz w:val="18"/>
        </w:rPr>
        <w:t>a</w:t>
      </w:r>
      <w:r>
        <w:rPr>
          <w:i/>
          <w:spacing w:val="-15"/>
          <w:sz w:val="18"/>
        </w:rPr>
        <w:t> </w:t>
      </w:r>
      <w:r>
        <w:rPr>
          <w:i/>
          <w:sz w:val="18"/>
        </w:rPr>
        <w:t>5%</w:t>
      </w:r>
      <w:r>
        <w:rPr>
          <w:i/>
          <w:spacing w:val="-18"/>
          <w:sz w:val="18"/>
        </w:rPr>
        <w:t> </w:t>
      </w:r>
      <w:r>
        <w:rPr>
          <w:i/>
          <w:sz w:val="18"/>
        </w:rPr>
        <w:t>discount</w:t>
      </w:r>
      <w:r>
        <w:rPr>
          <w:i/>
          <w:spacing w:val="-16"/>
          <w:sz w:val="18"/>
        </w:rPr>
        <w:t> </w:t>
      </w:r>
      <w:r>
        <w:rPr>
          <w:i/>
          <w:sz w:val="18"/>
        </w:rPr>
        <w:t>gets</w:t>
      </w:r>
      <w:r>
        <w:rPr>
          <w:i/>
          <w:spacing w:val="-15"/>
          <w:sz w:val="18"/>
        </w:rPr>
        <w:t> </w:t>
      </w:r>
      <w:r>
        <w:rPr>
          <w:i/>
          <w:sz w:val="18"/>
        </w:rPr>
        <w:t>extended</w:t>
      </w:r>
      <w:r>
        <w:rPr>
          <w:i/>
          <w:spacing w:val="-17"/>
          <w:sz w:val="18"/>
        </w:rPr>
        <w:t> </w:t>
      </w:r>
      <w:r>
        <w:rPr>
          <w:i/>
          <w:sz w:val="18"/>
        </w:rPr>
        <w:t>vis-à-vis</w:t>
      </w:r>
      <w:r>
        <w:rPr>
          <w:i/>
          <w:spacing w:val="-17"/>
          <w:sz w:val="18"/>
        </w:rPr>
        <w:t> </w:t>
      </w:r>
      <w:r>
        <w:rPr>
          <w:i/>
          <w:sz w:val="18"/>
        </w:rPr>
        <w:t>pay-out</w:t>
      </w:r>
      <w:r>
        <w:rPr>
          <w:i/>
          <w:spacing w:val="-18"/>
          <w:sz w:val="18"/>
        </w:rPr>
        <w:t> </w:t>
      </w:r>
      <w:r>
        <w:rPr>
          <w:i/>
          <w:sz w:val="18"/>
        </w:rPr>
        <w:t>during</w:t>
      </w:r>
      <w:r>
        <w:rPr>
          <w:i/>
          <w:spacing w:val="-15"/>
          <w:sz w:val="18"/>
        </w:rPr>
        <w:t> </w:t>
      </w:r>
      <w:r>
        <w:rPr>
          <w:i/>
          <w:sz w:val="18"/>
        </w:rPr>
        <w:t>the</w:t>
      </w:r>
      <w:r>
        <w:rPr>
          <w:i/>
          <w:spacing w:val="-16"/>
          <w:sz w:val="18"/>
        </w:rPr>
        <w:t> </w:t>
      </w:r>
      <w:r>
        <w:rPr>
          <w:i/>
          <w:sz w:val="18"/>
        </w:rPr>
        <w:t>end</w:t>
      </w:r>
      <w:r>
        <w:rPr>
          <w:i/>
          <w:spacing w:val="-15"/>
          <w:sz w:val="18"/>
        </w:rPr>
        <w:t> </w:t>
      </w:r>
      <w:r>
        <w:rPr>
          <w:i/>
          <w:sz w:val="18"/>
        </w:rPr>
        <w:t>of</w:t>
      </w:r>
      <w:r>
        <w:rPr>
          <w:i/>
          <w:spacing w:val="-18"/>
          <w:sz w:val="18"/>
        </w:rPr>
        <w:t> </w:t>
      </w:r>
      <w:r>
        <w:rPr>
          <w:i/>
          <w:sz w:val="18"/>
        </w:rPr>
        <w:t>the</w:t>
      </w:r>
      <w:r>
        <w:rPr>
          <w:i/>
          <w:spacing w:val="-17"/>
          <w:sz w:val="18"/>
        </w:rPr>
        <w:t> </w:t>
      </w:r>
      <w:r>
        <w:rPr>
          <w:i/>
          <w:sz w:val="18"/>
        </w:rPr>
        <w:t>year</w:t>
      </w:r>
      <w:r>
        <w:rPr>
          <w:i/>
          <w:spacing w:val="-17"/>
          <w:sz w:val="18"/>
        </w:rPr>
        <w:t> </w:t>
      </w:r>
      <w:r>
        <w:rPr>
          <w:i/>
          <w:sz w:val="18"/>
        </w:rPr>
        <w:t>and</w:t>
      </w:r>
      <w:r>
        <w:rPr>
          <w:i/>
          <w:spacing w:val="-17"/>
          <w:sz w:val="18"/>
        </w:rPr>
        <w:t> </w:t>
      </w:r>
      <w:r>
        <w:rPr>
          <w:i/>
          <w:sz w:val="18"/>
        </w:rPr>
        <w:t>the</w:t>
      </w:r>
      <w:r>
        <w:rPr>
          <w:i/>
          <w:spacing w:val="-17"/>
          <w:sz w:val="18"/>
        </w:rPr>
        <w:t> </w:t>
      </w:r>
      <w:r>
        <w:rPr>
          <w:i/>
          <w:sz w:val="18"/>
        </w:rPr>
        <w:t>same has</w:t>
      </w:r>
      <w:r>
        <w:rPr>
          <w:i/>
          <w:spacing w:val="-15"/>
          <w:sz w:val="18"/>
        </w:rPr>
        <w:t> </w:t>
      </w:r>
      <w:r>
        <w:rPr>
          <w:i/>
          <w:sz w:val="18"/>
        </w:rPr>
        <w:t>been</w:t>
      </w:r>
      <w:r>
        <w:rPr>
          <w:i/>
          <w:spacing w:val="-15"/>
          <w:sz w:val="18"/>
        </w:rPr>
        <w:t> </w:t>
      </w:r>
      <w:r>
        <w:rPr>
          <w:i/>
          <w:sz w:val="18"/>
        </w:rPr>
        <w:t>adopted</w:t>
      </w:r>
      <w:r>
        <w:rPr>
          <w:i/>
          <w:spacing w:val="-15"/>
          <w:sz w:val="18"/>
        </w:rPr>
        <w:t> </w:t>
      </w:r>
      <w:r>
        <w:rPr>
          <w:i/>
          <w:sz w:val="18"/>
        </w:rPr>
        <w:t>for</w:t>
      </w:r>
      <w:r>
        <w:rPr>
          <w:i/>
          <w:spacing w:val="-15"/>
          <w:sz w:val="18"/>
        </w:rPr>
        <w:t> </w:t>
      </w:r>
      <w:r>
        <w:rPr>
          <w:i/>
          <w:sz w:val="18"/>
        </w:rPr>
        <w:t>the</w:t>
      </w:r>
      <w:r>
        <w:rPr>
          <w:i/>
          <w:spacing w:val="-15"/>
          <w:sz w:val="18"/>
        </w:rPr>
        <w:t> </w:t>
      </w:r>
      <w:r>
        <w:rPr>
          <w:i/>
          <w:sz w:val="18"/>
        </w:rPr>
        <w:t>purpose</w:t>
      </w:r>
      <w:r>
        <w:rPr>
          <w:i/>
          <w:spacing w:val="-13"/>
          <w:sz w:val="18"/>
        </w:rPr>
        <w:t> </w:t>
      </w:r>
      <w:r>
        <w:rPr>
          <w:i/>
          <w:sz w:val="18"/>
        </w:rPr>
        <w:t>of</w:t>
      </w:r>
      <w:r>
        <w:rPr>
          <w:i/>
          <w:spacing w:val="-14"/>
          <w:sz w:val="18"/>
        </w:rPr>
        <w:t> </w:t>
      </w:r>
      <w:r>
        <w:rPr>
          <w:i/>
          <w:sz w:val="18"/>
        </w:rPr>
        <w:t>our</w:t>
      </w:r>
      <w:r>
        <w:rPr>
          <w:i/>
          <w:spacing w:val="-14"/>
          <w:sz w:val="18"/>
        </w:rPr>
        <w:t> </w:t>
      </w:r>
      <w:r>
        <w:rPr>
          <w:i/>
          <w:sz w:val="18"/>
        </w:rPr>
        <w:t>valuation.</w:t>
      </w:r>
      <w:r>
        <w:rPr>
          <w:i/>
          <w:spacing w:val="-11"/>
          <w:sz w:val="18"/>
        </w:rPr>
        <w:t> </w:t>
      </w:r>
      <w:r>
        <w:rPr>
          <w:i/>
          <w:w w:val="160"/>
          <w:sz w:val="18"/>
        </w:rPr>
        <w:t>^</w:t>
      </w:r>
      <w:r>
        <w:rPr>
          <w:i/>
          <w:spacing w:val="-47"/>
          <w:w w:val="160"/>
          <w:sz w:val="18"/>
        </w:rPr>
        <w:t> </w:t>
      </w:r>
      <w:r>
        <w:rPr>
          <w:i/>
          <w:sz w:val="18"/>
        </w:rPr>
        <w:t>Asset</w:t>
      </w:r>
      <w:r>
        <w:rPr>
          <w:i/>
          <w:spacing w:val="-14"/>
          <w:sz w:val="18"/>
        </w:rPr>
        <w:t> </w:t>
      </w:r>
      <w:r>
        <w:rPr>
          <w:i/>
          <w:sz w:val="18"/>
        </w:rPr>
        <w:t>Management</w:t>
      </w:r>
      <w:r>
        <w:rPr>
          <w:i/>
          <w:spacing w:val="-15"/>
          <w:sz w:val="18"/>
        </w:rPr>
        <w:t> </w:t>
      </w:r>
      <w:r>
        <w:rPr>
          <w:i/>
          <w:sz w:val="18"/>
        </w:rPr>
        <w:t>fees</w:t>
      </w:r>
      <w:r>
        <w:rPr>
          <w:i/>
          <w:spacing w:val="-13"/>
          <w:sz w:val="18"/>
        </w:rPr>
        <w:t> </w:t>
      </w:r>
      <w:r>
        <w:rPr>
          <w:i/>
          <w:sz w:val="18"/>
        </w:rPr>
        <w:t>has</w:t>
      </w:r>
      <w:r>
        <w:rPr>
          <w:i/>
          <w:spacing w:val="-15"/>
          <w:sz w:val="18"/>
        </w:rPr>
        <w:t> </w:t>
      </w:r>
      <w:r>
        <w:rPr>
          <w:i/>
          <w:sz w:val="18"/>
        </w:rPr>
        <w:t>been</w:t>
      </w:r>
      <w:r>
        <w:rPr>
          <w:i/>
          <w:spacing w:val="-15"/>
          <w:sz w:val="18"/>
        </w:rPr>
        <w:t> </w:t>
      </w:r>
      <w:r>
        <w:rPr>
          <w:i/>
          <w:sz w:val="18"/>
        </w:rPr>
        <w:t>considered</w:t>
      </w:r>
      <w:r>
        <w:rPr>
          <w:i/>
          <w:spacing w:val="-15"/>
          <w:sz w:val="18"/>
        </w:rPr>
        <w:t> </w:t>
      </w:r>
      <w:r>
        <w:rPr>
          <w:i/>
          <w:sz w:val="18"/>
        </w:rPr>
        <w:t>a</w:t>
      </w:r>
      <w:r>
        <w:rPr>
          <w:i/>
          <w:spacing w:val="-14"/>
          <w:sz w:val="18"/>
        </w:rPr>
        <w:t> </w:t>
      </w:r>
      <w:r>
        <w:rPr>
          <w:i/>
          <w:sz w:val="18"/>
        </w:rPr>
        <w:t>below</w:t>
      </w:r>
      <w:r>
        <w:rPr>
          <w:i/>
          <w:spacing w:val="-14"/>
          <w:sz w:val="18"/>
        </w:rPr>
        <w:t> </w:t>
      </w:r>
      <w:r>
        <w:rPr>
          <w:i/>
          <w:sz w:val="18"/>
        </w:rPr>
        <w:t>the</w:t>
      </w:r>
      <w:r>
        <w:rPr>
          <w:i/>
          <w:spacing w:val="-14"/>
          <w:sz w:val="18"/>
        </w:rPr>
        <w:t> </w:t>
      </w:r>
      <w:r>
        <w:rPr>
          <w:i/>
          <w:sz w:val="18"/>
        </w:rPr>
        <w:t>NOI</w:t>
      </w:r>
      <w:r>
        <w:rPr>
          <w:i/>
          <w:spacing w:val="-13"/>
          <w:sz w:val="18"/>
        </w:rPr>
        <w:t> </w:t>
      </w:r>
      <w:r>
        <w:rPr>
          <w:i/>
          <w:sz w:val="18"/>
        </w:rPr>
        <w:t>line</w:t>
      </w:r>
      <w:r>
        <w:rPr>
          <w:i/>
          <w:spacing w:val="-15"/>
          <w:sz w:val="18"/>
        </w:rPr>
        <w:t> </w:t>
      </w:r>
      <w:r>
        <w:rPr>
          <w:i/>
          <w:sz w:val="18"/>
        </w:rPr>
        <w:t>item.</w:t>
      </w:r>
    </w:p>
    <w:p>
      <w:pPr>
        <w:pStyle w:val="BodyText"/>
        <w:spacing w:before="9"/>
        <w:rPr>
          <w:i/>
          <w:sz w:val="20"/>
        </w:rPr>
      </w:pPr>
    </w:p>
    <w:p>
      <w:pPr>
        <w:pStyle w:val="ListParagraph"/>
        <w:numPr>
          <w:ilvl w:val="2"/>
          <w:numId w:val="14"/>
        </w:numPr>
        <w:tabs>
          <w:tab w:pos="841" w:val="left" w:leader="none"/>
        </w:tabs>
        <w:spacing w:line="240" w:lineRule="auto" w:before="0" w:after="0"/>
        <w:ind w:left="840" w:right="0" w:hanging="721"/>
        <w:jc w:val="both"/>
        <w:rPr>
          <w:sz w:val="22"/>
        </w:rPr>
      </w:pPr>
      <w:bookmarkStart w:name="_bookmark180" w:id="351"/>
      <w:bookmarkEnd w:id="351"/>
      <w:r>
        <w:rPr/>
      </w:r>
      <w:bookmarkStart w:name="_bookmark180" w:id="352"/>
      <w:bookmarkEnd w:id="352"/>
      <w:r>
        <w:rPr>
          <w:color w:val="1F664D"/>
          <w:w w:val="105"/>
          <w:sz w:val="22"/>
        </w:rPr>
        <w:t>O</w:t>
      </w:r>
      <w:r>
        <w:rPr>
          <w:color w:val="1F664D"/>
          <w:w w:val="105"/>
          <w:sz w:val="22"/>
        </w:rPr>
        <w:t>ther</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56"/>
        </w:numPr>
        <w:tabs>
          <w:tab w:pos="985" w:val="left" w:leader="none"/>
        </w:tabs>
        <w:spacing w:line="240" w:lineRule="auto" w:before="0" w:after="0"/>
        <w:ind w:left="984" w:right="0" w:hanging="865"/>
        <w:jc w:val="both"/>
        <w:rPr>
          <w:i/>
          <w:sz w:val="20"/>
        </w:rPr>
      </w:pPr>
      <w:r>
        <w:rPr>
          <w:i/>
          <w:color w:val="008000"/>
          <w:sz w:val="20"/>
        </w:rPr>
        <w:t>Vacancy</w:t>
      </w:r>
      <w:r>
        <w:rPr>
          <w:i/>
          <w:color w:val="008000"/>
          <w:spacing w:val="-4"/>
          <w:sz w:val="20"/>
        </w:rPr>
        <w:t> </w:t>
      </w:r>
      <w:r>
        <w:rPr>
          <w:i/>
          <w:color w:val="008000"/>
          <w:sz w:val="20"/>
        </w:rPr>
        <w:t>provision</w:t>
      </w:r>
    </w:p>
    <w:p>
      <w:pPr>
        <w:pStyle w:val="BodyText"/>
        <w:spacing w:line="321" w:lineRule="auto" w:before="76"/>
        <w:ind w:left="660" w:right="215"/>
        <w:jc w:val="both"/>
      </w:pPr>
      <w:r>
        <w:rPr/>
        <w:t>Based</w:t>
      </w:r>
      <w:r>
        <w:rPr>
          <w:spacing w:val="-12"/>
        </w:rPr>
        <w:t> </w:t>
      </w:r>
      <w:r>
        <w:rPr/>
        <w:t>on</w:t>
      </w:r>
      <w:r>
        <w:rPr>
          <w:spacing w:val="-10"/>
        </w:rPr>
        <w:t> </w:t>
      </w:r>
      <w:r>
        <w:rPr/>
        <w:t>the</w:t>
      </w:r>
      <w:r>
        <w:rPr>
          <w:spacing w:val="-12"/>
        </w:rPr>
        <w:t> </w:t>
      </w:r>
      <w:r>
        <w:rPr/>
        <w:t>prevailing</w:t>
      </w:r>
      <w:r>
        <w:rPr>
          <w:spacing w:val="-11"/>
        </w:rPr>
        <w:t> </w:t>
      </w:r>
      <w:r>
        <w:rPr/>
        <w:t>market</w:t>
      </w:r>
      <w:r>
        <w:rPr>
          <w:spacing w:val="-10"/>
        </w:rPr>
        <w:t> </w:t>
      </w:r>
      <w:r>
        <w:rPr/>
        <w:t>benchmarks,</w:t>
      </w:r>
      <w:r>
        <w:rPr>
          <w:spacing w:val="-10"/>
        </w:rPr>
        <w:t> </w:t>
      </w:r>
      <w:r>
        <w:rPr/>
        <w:t>a</w:t>
      </w:r>
      <w:r>
        <w:rPr>
          <w:spacing w:val="-11"/>
        </w:rPr>
        <w:t> </w:t>
      </w:r>
      <w:r>
        <w:rPr/>
        <w:t>vacancy</w:t>
      </w:r>
      <w:r>
        <w:rPr>
          <w:spacing w:val="-10"/>
        </w:rPr>
        <w:t> </w:t>
      </w:r>
      <w:r>
        <w:rPr/>
        <w:t>provision</w:t>
      </w:r>
      <w:r>
        <w:rPr>
          <w:spacing w:val="-10"/>
        </w:rPr>
        <w:t> </w:t>
      </w:r>
      <w:r>
        <w:rPr/>
        <w:t>of</w:t>
      </w:r>
      <w:r>
        <w:rPr>
          <w:spacing w:val="-7"/>
        </w:rPr>
        <w:t> </w:t>
      </w:r>
      <w:r>
        <w:rPr/>
        <w:t>2.5%</w:t>
      </w:r>
      <w:r>
        <w:rPr>
          <w:spacing w:val="-12"/>
        </w:rPr>
        <w:t> </w:t>
      </w:r>
      <w:r>
        <w:rPr/>
        <w:t>has</w:t>
      </w:r>
      <w:r>
        <w:rPr>
          <w:spacing w:val="-10"/>
        </w:rPr>
        <w:t> </w:t>
      </w:r>
      <w:r>
        <w:rPr/>
        <w:t>been</w:t>
      </w:r>
      <w:r>
        <w:rPr>
          <w:spacing w:val="-10"/>
        </w:rPr>
        <w:t> </w:t>
      </w:r>
      <w:r>
        <w:rPr/>
        <w:t>adopted</w:t>
      </w:r>
      <w:r>
        <w:rPr>
          <w:spacing w:val="-10"/>
        </w:rPr>
        <w:t> </w:t>
      </w:r>
      <w:r>
        <w:rPr/>
        <w:t>during</w:t>
      </w:r>
      <w:r>
        <w:rPr>
          <w:spacing w:val="-12"/>
        </w:rPr>
        <w:t> </w:t>
      </w:r>
      <w:r>
        <w:rPr/>
        <w:t>the course of operation and upon assessment of terminal</w:t>
      </w:r>
      <w:r>
        <w:rPr>
          <w:spacing w:val="-32"/>
        </w:rPr>
        <w:t> </w:t>
      </w:r>
      <w:r>
        <w:rPr/>
        <w:t>value</w:t>
      </w:r>
    </w:p>
    <w:p>
      <w:pPr>
        <w:pStyle w:val="BodyText"/>
        <w:spacing w:before="4"/>
        <w:rPr>
          <w:sz w:val="23"/>
        </w:rPr>
      </w:pPr>
    </w:p>
    <w:p>
      <w:pPr>
        <w:pStyle w:val="ListParagraph"/>
        <w:numPr>
          <w:ilvl w:val="3"/>
          <w:numId w:val="56"/>
        </w:numPr>
        <w:tabs>
          <w:tab w:pos="985" w:val="left" w:leader="none"/>
        </w:tabs>
        <w:spacing w:line="240" w:lineRule="auto" w:before="0" w:after="0"/>
        <w:ind w:left="984" w:right="0" w:hanging="865"/>
        <w:jc w:val="both"/>
        <w:rPr>
          <w:i/>
          <w:sz w:val="20"/>
        </w:rPr>
      </w:pPr>
      <w:r>
        <w:rPr>
          <w:i/>
          <w:color w:val="008000"/>
          <w:sz w:val="20"/>
        </w:rPr>
        <w:t>Revenue</w:t>
      </w:r>
      <w:r>
        <w:rPr>
          <w:i/>
          <w:color w:val="008000"/>
          <w:spacing w:val="-4"/>
          <w:sz w:val="20"/>
        </w:rPr>
        <w:t> </w:t>
      </w:r>
      <w:r>
        <w:rPr>
          <w:i/>
          <w:color w:val="008000"/>
          <w:sz w:val="20"/>
        </w:rPr>
        <w:t>escalation</w:t>
      </w:r>
    </w:p>
    <w:p>
      <w:pPr>
        <w:pStyle w:val="BodyText"/>
        <w:spacing w:line="321" w:lineRule="auto" w:before="76"/>
        <w:ind w:left="660" w:right="216"/>
        <w:jc w:val="both"/>
      </w:pPr>
      <w:r>
        <w:rPr/>
        <w:t>Based</w:t>
      </w:r>
      <w:r>
        <w:rPr>
          <w:spacing w:val="-17"/>
        </w:rPr>
        <w:t> </w:t>
      </w:r>
      <w:r>
        <w:rPr/>
        <w:t>on</w:t>
      </w:r>
      <w:r>
        <w:rPr>
          <w:spacing w:val="-15"/>
        </w:rPr>
        <w:t> </w:t>
      </w:r>
      <w:r>
        <w:rPr/>
        <w:t>prevailing</w:t>
      </w:r>
      <w:r>
        <w:rPr>
          <w:spacing w:val="-14"/>
        </w:rPr>
        <w:t> </w:t>
      </w:r>
      <w:r>
        <w:rPr/>
        <w:t>market</w:t>
      </w:r>
      <w:r>
        <w:rPr>
          <w:spacing w:val="-16"/>
        </w:rPr>
        <w:t> </w:t>
      </w:r>
      <w:r>
        <w:rPr/>
        <w:t>condition,</w:t>
      </w:r>
      <w:r>
        <w:rPr>
          <w:spacing w:val="-15"/>
        </w:rPr>
        <w:t> </w:t>
      </w:r>
      <w:r>
        <w:rPr/>
        <w:t>historical</w:t>
      </w:r>
      <w:r>
        <w:rPr>
          <w:spacing w:val="-16"/>
        </w:rPr>
        <w:t> </w:t>
      </w:r>
      <w:r>
        <w:rPr/>
        <w:t>rent</w:t>
      </w:r>
      <w:r>
        <w:rPr>
          <w:spacing w:val="-16"/>
        </w:rPr>
        <w:t> </w:t>
      </w:r>
      <w:r>
        <w:rPr/>
        <w:t>growth</w:t>
      </w:r>
      <w:r>
        <w:rPr>
          <w:spacing w:val="-15"/>
        </w:rPr>
        <w:t> </w:t>
      </w:r>
      <w:r>
        <w:rPr/>
        <w:t>achieved</w:t>
      </w:r>
      <w:r>
        <w:rPr>
          <w:spacing w:val="-17"/>
        </w:rPr>
        <w:t> </w:t>
      </w:r>
      <w:r>
        <w:rPr/>
        <w:t>by</w:t>
      </w:r>
      <w:r>
        <w:rPr>
          <w:spacing w:val="-16"/>
        </w:rPr>
        <w:t> </w:t>
      </w:r>
      <w:r>
        <w:rPr/>
        <w:t>the</w:t>
      </w:r>
      <w:r>
        <w:rPr>
          <w:spacing w:val="-16"/>
        </w:rPr>
        <w:t> </w:t>
      </w:r>
      <w:r>
        <w:rPr/>
        <w:t>subject</w:t>
      </w:r>
      <w:r>
        <w:rPr>
          <w:spacing w:val="-17"/>
        </w:rPr>
        <w:t> </w:t>
      </w:r>
      <w:r>
        <w:rPr/>
        <w:t>property</w:t>
      </w:r>
      <w:r>
        <w:rPr>
          <w:spacing w:val="-16"/>
        </w:rPr>
        <w:t> </w:t>
      </w:r>
      <w:r>
        <w:rPr/>
        <w:t>and</w:t>
      </w:r>
      <w:r>
        <w:rPr>
          <w:spacing w:val="-17"/>
        </w:rPr>
        <w:t> </w:t>
      </w:r>
      <w:r>
        <w:rPr/>
        <w:t>our interactions</w:t>
      </w:r>
      <w:r>
        <w:rPr>
          <w:spacing w:val="-26"/>
        </w:rPr>
        <w:t> </w:t>
      </w:r>
      <w:r>
        <w:rPr/>
        <w:t>with</w:t>
      </w:r>
      <w:r>
        <w:rPr>
          <w:spacing w:val="-27"/>
        </w:rPr>
        <w:t> </w:t>
      </w:r>
      <w:r>
        <w:rPr/>
        <w:t>market</w:t>
      </w:r>
      <w:r>
        <w:rPr>
          <w:spacing w:val="-24"/>
        </w:rPr>
        <w:t> </w:t>
      </w:r>
      <w:r>
        <w:rPr/>
        <w:t>participants,</w:t>
      </w:r>
      <w:r>
        <w:rPr>
          <w:spacing w:val="-27"/>
        </w:rPr>
        <w:t> </w:t>
      </w:r>
      <w:r>
        <w:rPr/>
        <w:t>we</w:t>
      </w:r>
      <w:r>
        <w:rPr>
          <w:spacing w:val="-26"/>
        </w:rPr>
        <w:t> </w:t>
      </w:r>
      <w:r>
        <w:rPr/>
        <w:t>are</w:t>
      </w:r>
      <w:r>
        <w:rPr>
          <w:spacing w:val="-27"/>
        </w:rPr>
        <w:t> </w:t>
      </w:r>
      <w:r>
        <w:rPr/>
        <w:t>of</w:t>
      </w:r>
      <w:r>
        <w:rPr>
          <w:spacing w:val="-26"/>
        </w:rPr>
        <w:t> </w:t>
      </w:r>
      <w:r>
        <w:rPr/>
        <w:t>the</w:t>
      </w:r>
      <w:r>
        <w:rPr>
          <w:spacing w:val="-26"/>
        </w:rPr>
        <w:t> </w:t>
      </w:r>
      <w:r>
        <w:rPr/>
        <w:t>opinion</w:t>
      </w:r>
      <w:r>
        <w:rPr>
          <w:spacing w:val="-26"/>
        </w:rPr>
        <w:t> </w:t>
      </w:r>
      <w:r>
        <w:rPr/>
        <w:t>that</w:t>
      </w:r>
      <w:r>
        <w:rPr>
          <w:spacing w:val="-25"/>
        </w:rPr>
        <w:t> </w:t>
      </w:r>
      <w:r>
        <w:rPr/>
        <w:t>the</w:t>
      </w:r>
      <w:r>
        <w:rPr>
          <w:spacing w:val="-24"/>
        </w:rPr>
        <w:t> </w:t>
      </w:r>
      <w:r>
        <w:rPr/>
        <w:t>annual</w:t>
      </w:r>
      <w:r>
        <w:rPr>
          <w:spacing w:val="-26"/>
        </w:rPr>
        <w:t> </w:t>
      </w:r>
      <w:r>
        <w:rPr/>
        <w:t>rent</w:t>
      </w:r>
      <w:r>
        <w:rPr>
          <w:spacing w:val="-26"/>
        </w:rPr>
        <w:t> </w:t>
      </w:r>
      <w:r>
        <w:rPr/>
        <w:t>growth</w:t>
      </w:r>
      <w:r>
        <w:rPr>
          <w:spacing w:val="-26"/>
        </w:rPr>
        <w:t> </w:t>
      </w:r>
      <w:r>
        <w:rPr/>
        <w:t>for</w:t>
      </w:r>
      <w:r>
        <w:rPr>
          <w:spacing w:val="-25"/>
        </w:rPr>
        <w:t> </w:t>
      </w:r>
      <w:r>
        <w:rPr/>
        <w:t>the</w:t>
      </w:r>
      <w:r>
        <w:rPr>
          <w:spacing w:val="-26"/>
        </w:rPr>
        <w:t> </w:t>
      </w:r>
      <w:r>
        <w:rPr/>
        <w:t>subject property will be 5.0% from Q4, FY 2021</w:t>
      </w:r>
      <w:r>
        <w:rPr>
          <w:spacing w:val="-17"/>
        </w:rPr>
        <w:t> </w:t>
      </w:r>
      <w:r>
        <w:rPr/>
        <w:t>onwards</w:t>
      </w:r>
    </w:p>
    <w:p>
      <w:pPr>
        <w:pStyle w:val="BodyText"/>
        <w:spacing w:before="4"/>
        <w:rPr>
          <w:sz w:val="23"/>
        </w:rPr>
      </w:pPr>
    </w:p>
    <w:p>
      <w:pPr>
        <w:pStyle w:val="ListParagraph"/>
        <w:numPr>
          <w:ilvl w:val="3"/>
          <w:numId w:val="56"/>
        </w:numPr>
        <w:tabs>
          <w:tab w:pos="985" w:val="left" w:leader="none"/>
        </w:tabs>
        <w:spacing w:line="240" w:lineRule="auto" w:before="0" w:after="0"/>
        <w:ind w:left="984" w:right="0" w:hanging="865"/>
        <w:jc w:val="both"/>
        <w:rPr>
          <w:i/>
          <w:sz w:val="20"/>
        </w:rPr>
      </w:pPr>
      <w:r>
        <w:rPr>
          <w:i/>
          <w:color w:val="008000"/>
          <w:sz w:val="20"/>
        </w:rPr>
        <w:t>Rent </w:t>
      </w:r>
      <w:r>
        <w:rPr>
          <w:i/>
          <w:color w:val="008000"/>
          <w:w w:val="105"/>
          <w:sz w:val="20"/>
        </w:rPr>
        <w:t>– </w:t>
      </w:r>
      <w:r>
        <w:rPr>
          <w:i/>
          <w:color w:val="008000"/>
          <w:sz w:val="20"/>
        </w:rPr>
        <w:t>free</w:t>
      </w:r>
      <w:r>
        <w:rPr>
          <w:i/>
          <w:color w:val="008000"/>
          <w:spacing w:val="-13"/>
          <w:sz w:val="20"/>
        </w:rPr>
        <w:t> </w:t>
      </w:r>
      <w:r>
        <w:rPr>
          <w:i/>
          <w:color w:val="008000"/>
          <w:sz w:val="20"/>
        </w:rPr>
        <w:t>period</w:t>
      </w:r>
    </w:p>
    <w:p>
      <w:pPr>
        <w:pStyle w:val="BodyText"/>
        <w:spacing w:line="319" w:lineRule="auto" w:before="76"/>
        <w:ind w:left="660" w:right="217"/>
        <w:jc w:val="both"/>
      </w:pPr>
      <w:r>
        <w:rPr/>
        <w:t>Based</w:t>
      </w:r>
      <w:r>
        <w:rPr>
          <w:spacing w:val="-14"/>
        </w:rPr>
        <w:t> </w:t>
      </w:r>
      <w:r>
        <w:rPr/>
        <w:t>on</w:t>
      </w:r>
      <w:r>
        <w:rPr>
          <w:spacing w:val="-15"/>
        </w:rPr>
        <w:t> </w:t>
      </w:r>
      <w:r>
        <w:rPr/>
        <w:t>the</w:t>
      </w:r>
      <w:r>
        <w:rPr>
          <w:spacing w:val="-15"/>
        </w:rPr>
        <w:t> </w:t>
      </w:r>
      <w:r>
        <w:rPr/>
        <w:t>trend</w:t>
      </w:r>
      <w:r>
        <w:rPr>
          <w:spacing w:val="-16"/>
        </w:rPr>
        <w:t> </w:t>
      </w:r>
      <w:r>
        <w:rPr/>
        <w:t>prevalent</w:t>
      </w:r>
      <w:r>
        <w:rPr>
          <w:spacing w:val="-15"/>
        </w:rPr>
        <w:t> </w:t>
      </w:r>
      <w:r>
        <w:rPr/>
        <w:t>in</w:t>
      </w:r>
      <w:r>
        <w:rPr>
          <w:spacing w:val="-15"/>
        </w:rPr>
        <w:t> </w:t>
      </w:r>
      <w:r>
        <w:rPr/>
        <w:t>the</w:t>
      </w:r>
      <w:r>
        <w:rPr>
          <w:spacing w:val="-13"/>
        </w:rPr>
        <w:t> </w:t>
      </w:r>
      <w:r>
        <w:rPr/>
        <w:t>submarket,</w:t>
      </w:r>
      <w:r>
        <w:rPr>
          <w:spacing w:val="-15"/>
        </w:rPr>
        <w:t> </w:t>
      </w:r>
      <w:r>
        <w:rPr/>
        <w:t>we</w:t>
      </w:r>
      <w:r>
        <w:rPr>
          <w:spacing w:val="-15"/>
        </w:rPr>
        <w:t> </w:t>
      </w:r>
      <w:r>
        <w:rPr/>
        <w:t>have</w:t>
      </w:r>
      <w:r>
        <w:rPr>
          <w:spacing w:val="-14"/>
        </w:rPr>
        <w:t> </w:t>
      </w:r>
      <w:r>
        <w:rPr/>
        <w:t>considered</w:t>
      </w:r>
      <w:r>
        <w:rPr>
          <w:spacing w:val="-14"/>
        </w:rPr>
        <w:t> </w:t>
      </w:r>
      <w:r>
        <w:rPr/>
        <w:t>a</w:t>
      </w:r>
      <w:r>
        <w:rPr>
          <w:spacing w:val="-15"/>
        </w:rPr>
        <w:t> </w:t>
      </w:r>
      <w:r>
        <w:rPr/>
        <w:t>rent-free</w:t>
      </w:r>
      <w:r>
        <w:rPr>
          <w:spacing w:val="-14"/>
        </w:rPr>
        <w:t> </w:t>
      </w:r>
      <w:r>
        <w:rPr/>
        <w:t>period</w:t>
      </w:r>
      <w:r>
        <w:rPr>
          <w:spacing w:val="-14"/>
        </w:rPr>
        <w:t> </w:t>
      </w:r>
      <w:r>
        <w:rPr/>
        <w:t>of</w:t>
      </w:r>
      <w:r>
        <w:rPr>
          <w:spacing w:val="-14"/>
        </w:rPr>
        <w:t> </w:t>
      </w:r>
      <w:r>
        <w:rPr/>
        <w:t>3</w:t>
      </w:r>
      <w:r>
        <w:rPr>
          <w:spacing w:val="-15"/>
        </w:rPr>
        <w:t> </w:t>
      </w:r>
      <w:r>
        <w:rPr/>
        <w:t>months</w:t>
      </w:r>
      <w:r>
        <w:rPr>
          <w:spacing w:val="-14"/>
        </w:rPr>
        <w:t> </w:t>
      </w:r>
      <w:r>
        <w:rPr/>
        <w:t>for the</w:t>
      </w:r>
      <w:r>
        <w:rPr>
          <w:spacing w:val="-13"/>
        </w:rPr>
        <w:t> </w:t>
      </w:r>
      <w:r>
        <w:rPr/>
        <w:t>subject</w:t>
      </w:r>
      <w:r>
        <w:rPr>
          <w:spacing w:val="-12"/>
        </w:rPr>
        <w:t> </w:t>
      </w:r>
      <w:r>
        <w:rPr/>
        <w:t>property</w:t>
      </w:r>
      <w:r>
        <w:rPr>
          <w:spacing w:val="-13"/>
        </w:rPr>
        <w:t> </w:t>
      </w:r>
      <w:r>
        <w:rPr/>
        <w:t>from</w:t>
      </w:r>
      <w:r>
        <w:rPr>
          <w:spacing w:val="-14"/>
        </w:rPr>
        <w:t> </w:t>
      </w:r>
      <w:r>
        <w:rPr/>
        <w:t>the</w:t>
      </w:r>
      <w:r>
        <w:rPr>
          <w:spacing w:val="-13"/>
        </w:rPr>
        <w:t> </w:t>
      </w:r>
      <w:r>
        <w:rPr/>
        <w:t>lease</w:t>
      </w:r>
      <w:r>
        <w:rPr>
          <w:spacing w:val="-13"/>
        </w:rPr>
        <w:t> </w:t>
      </w:r>
      <w:r>
        <w:rPr/>
        <w:t>commencement</w:t>
      </w:r>
      <w:r>
        <w:rPr>
          <w:spacing w:val="-12"/>
        </w:rPr>
        <w:t> </w:t>
      </w:r>
      <w:r>
        <w:rPr/>
        <w:t>date</w:t>
      </w:r>
      <w:r>
        <w:rPr>
          <w:spacing w:val="-12"/>
        </w:rPr>
        <w:t> </w:t>
      </w:r>
      <w:r>
        <w:rPr/>
        <w:t>(for</w:t>
      </w:r>
      <w:r>
        <w:rPr>
          <w:spacing w:val="-13"/>
        </w:rPr>
        <w:t> </w:t>
      </w:r>
      <w:r>
        <w:rPr/>
        <w:t>future</w:t>
      </w:r>
      <w:r>
        <w:rPr>
          <w:spacing w:val="-12"/>
        </w:rPr>
        <w:t> </w:t>
      </w:r>
      <w:r>
        <w:rPr/>
        <w:t>/</w:t>
      </w:r>
      <w:r>
        <w:rPr>
          <w:spacing w:val="-13"/>
        </w:rPr>
        <w:t> </w:t>
      </w:r>
      <w:r>
        <w:rPr/>
        <w:t>new</w:t>
      </w:r>
      <w:r>
        <w:rPr>
          <w:spacing w:val="-12"/>
        </w:rPr>
        <w:t> </w:t>
      </w:r>
      <w:r>
        <w:rPr/>
        <w:t>leases)</w:t>
      </w:r>
    </w:p>
    <w:p>
      <w:pPr>
        <w:pStyle w:val="BodyText"/>
        <w:spacing w:before="6"/>
        <w:rPr>
          <w:sz w:val="23"/>
        </w:rPr>
      </w:pPr>
    </w:p>
    <w:p>
      <w:pPr>
        <w:pStyle w:val="ListParagraph"/>
        <w:numPr>
          <w:ilvl w:val="3"/>
          <w:numId w:val="56"/>
        </w:numPr>
        <w:tabs>
          <w:tab w:pos="985" w:val="left" w:leader="none"/>
        </w:tabs>
        <w:spacing w:line="240" w:lineRule="auto" w:before="0" w:after="0"/>
        <w:ind w:left="984" w:right="0" w:hanging="865"/>
        <w:jc w:val="both"/>
        <w:rPr>
          <w:i/>
          <w:sz w:val="20"/>
        </w:rPr>
      </w:pPr>
      <w:r>
        <w:rPr>
          <w:i/>
          <w:color w:val="008000"/>
          <w:sz w:val="20"/>
        </w:rPr>
        <w:t>Brokerage</w:t>
      </w:r>
    </w:p>
    <w:p>
      <w:pPr>
        <w:pStyle w:val="BodyText"/>
        <w:spacing w:line="324" w:lineRule="auto" w:before="76"/>
        <w:ind w:left="660" w:right="213"/>
        <w:jc w:val="both"/>
      </w:pPr>
      <w:r>
        <w:rPr/>
        <w:t>Based on prevalent market dynamics, we have considered brokerage equivalent to 2 month of rent income for future / new leases</w:t>
      </w:r>
    </w:p>
    <w:p>
      <w:pPr>
        <w:pStyle w:val="BodyText"/>
        <w:spacing w:before="10"/>
      </w:pPr>
    </w:p>
    <w:p>
      <w:pPr>
        <w:pStyle w:val="ListParagraph"/>
        <w:numPr>
          <w:ilvl w:val="3"/>
          <w:numId w:val="56"/>
        </w:numPr>
        <w:tabs>
          <w:tab w:pos="985" w:val="left" w:leader="none"/>
        </w:tabs>
        <w:spacing w:line="240" w:lineRule="auto" w:before="0" w:after="0"/>
        <w:ind w:left="984" w:right="0" w:hanging="865"/>
        <w:jc w:val="left"/>
        <w:rPr>
          <w:i/>
          <w:sz w:val="20"/>
        </w:rPr>
      </w:pPr>
      <w:r>
        <w:rPr>
          <w:i/>
          <w:color w:val="008000"/>
          <w:sz w:val="20"/>
        </w:rPr>
        <w:t>CAM under</w:t>
      </w:r>
      <w:r>
        <w:rPr>
          <w:i/>
          <w:color w:val="008000"/>
          <w:spacing w:val="-8"/>
          <w:sz w:val="20"/>
        </w:rPr>
        <w:t> </w:t>
      </w:r>
      <w:r>
        <w:rPr>
          <w:i/>
          <w:color w:val="008000"/>
          <w:sz w:val="20"/>
        </w:rPr>
        <w:t>recoveries</w:t>
      </w:r>
    </w:p>
    <w:p>
      <w:pPr>
        <w:pStyle w:val="BodyText"/>
        <w:spacing w:before="76"/>
        <w:ind w:left="660"/>
      </w:pPr>
      <w:r>
        <w:rPr/>
        <w:t>We have highlighted expense towards maintenance as CAM under recoveries for months when no rent</w:t>
      </w:r>
    </w:p>
    <w:p>
      <w:pPr>
        <w:pStyle w:val="BodyText"/>
        <w:spacing w:before="88"/>
        <w:ind w:left="660"/>
      </w:pPr>
      <w:r>
        <w:rPr/>
        <w:t>/ CAM income is received</w:t>
      </w:r>
    </w:p>
    <w:p>
      <w:pPr>
        <w:pStyle w:val="BodyText"/>
        <w:spacing w:before="2"/>
        <w:rPr>
          <w:sz w:val="28"/>
        </w:rPr>
      </w:pPr>
    </w:p>
    <w:p>
      <w:pPr>
        <w:pStyle w:val="ListParagraph"/>
        <w:numPr>
          <w:ilvl w:val="2"/>
          <w:numId w:val="14"/>
        </w:numPr>
        <w:tabs>
          <w:tab w:pos="841" w:val="left" w:leader="none"/>
        </w:tabs>
        <w:spacing w:line="240" w:lineRule="auto" w:before="1" w:after="0"/>
        <w:ind w:left="840" w:right="0" w:hanging="721"/>
        <w:jc w:val="left"/>
        <w:rPr>
          <w:sz w:val="22"/>
        </w:rPr>
      </w:pPr>
      <w:bookmarkStart w:name="_bookmark181" w:id="353"/>
      <w:bookmarkEnd w:id="353"/>
      <w:r>
        <w:rPr/>
      </w:r>
      <w:bookmarkStart w:name="_bookmark181" w:id="354"/>
      <w:bookmarkEnd w:id="354"/>
      <w:r>
        <w:rPr>
          <w:color w:val="1F664D"/>
          <w:sz w:val="22"/>
        </w:rPr>
        <w:t>Ca</w:t>
      </w:r>
      <w:r>
        <w:rPr>
          <w:color w:val="1F664D"/>
          <w:sz w:val="22"/>
        </w:rPr>
        <w:t>pitalization</w:t>
      </w:r>
      <w:r>
        <w:rPr>
          <w:color w:val="1F664D"/>
          <w:spacing w:val="-2"/>
          <w:sz w:val="22"/>
        </w:rPr>
        <w:t> </w:t>
      </w:r>
      <w:r>
        <w:rPr>
          <w:color w:val="1F664D"/>
          <w:sz w:val="22"/>
        </w:rPr>
        <w:t>Rates</w:t>
      </w:r>
    </w:p>
    <w:p>
      <w:pPr>
        <w:pStyle w:val="BodyText"/>
        <w:spacing w:before="205"/>
        <w:ind w:left="751"/>
      </w:pPr>
      <w:r>
        <w:rPr/>
        <w:t>As highlighted in section 3.3, the cap rate adopted for the office space is 8.25%.</w:t>
      </w:r>
    </w:p>
    <w:p>
      <w:pPr>
        <w:pStyle w:val="BodyText"/>
        <w:spacing w:before="2"/>
        <w:rPr>
          <w:sz w:val="28"/>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82" w:id="355"/>
      <w:bookmarkEnd w:id="355"/>
      <w:r>
        <w:rPr/>
      </w:r>
      <w:bookmarkStart w:name="_bookmark182" w:id="356"/>
      <w:bookmarkEnd w:id="356"/>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9"/>
        <w:ind w:left="751" w:right="215"/>
        <w:jc w:val="both"/>
      </w:pPr>
      <w:r>
        <w:rPr/>
        <w:t>For</w:t>
      </w:r>
      <w:r>
        <w:rPr>
          <w:spacing w:val="-6"/>
        </w:rPr>
        <w:t> </w:t>
      </w:r>
      <w:r>
        <w:rPr/>
        <w:t>discounting</w:t>
      </w:r>
      <w:r>
        <w:rPr>
          <w:spacing w:val="-5"/>
        </w:rPr>
        <w:t> </w:t>
      </w:r>
      <w:r>
        <w:rPr/>
        <w:t>the</w:t>
      </w:r>
      <w:r>
        <w:rPr>
          <w:spacing w:val="-6"/>
        </w:rPr>
        <w:t> </w:t>
      </w:r>
      <w:r>
        <w:rPr/>
        <w:t>cash</w:t>
      </w:r>
      <w:r>
        <w:rPr>
          <w:spacing w:val="-8"/>
        </w:rPr>
        <w:t> </w:t>
      </w:r>
      <w:r>
        <w:rPr/>
        <w:t>flows,</w:t>
      </w:r>
      <w:r>
        <w:rPr>
          <w:spacing w:val="-5"/>
        </w:rPr>
        <w:t> </w:t>
      </w:r>
      <w:r>
        <w:rPr/>
        <w:t>the</w:t>
      </w:r>
      <w:r>
        <w:rPr>
          <w:spacing w:val="-6"/>
        </w:rPr>
        <w:t> </w:t>
      </w:r>
      <w:r>
        <w:rPr/>
        <w:t>appropriate</w:t>
      </w:r>
      <w:r>
        <w:rPr>
          <w:spacing w:val="-5"/>
        </w:rPr>
        <w:t> </w:t>
      </w:r>
      <w:r>
        <w:rPr/>
        <w:t>discounting</w:t>
      </w:r>
      <w:r>
        <w:rPr>
          <w:spacing w:val="-5"/>
        </w:rPr>
        <w:t> </w:t>
      </w:r>
      <w:r>
        <w:rPr/>
        <w:t>rate</w:t>
      </w:r>
      <w:r>
        <w:rPr>
          <w:spacing w:val="-5"/>
        </w:rPr>
        <w:t> </w:t>
      </w:r>
      <w:r>
        <w:rPr/>
        <w:t>has</w:t>
      </w:r>
      <w:r>
        <w:rPr>
          <w:spacing w:val="-4"/>
        </w:rPr>
        <w:t> </w:t>
      </w:r>
      <w:r>
        <w:rPr/>
        <w:t>been</w:t>
      </w:r>
      <w:r>
        <w:rPr>
          <w:spacing w:val="-6"/>
        </w:rPr>
        <w:t> </w:t>
      </w:r>
      <w:r>
        <w:rPr/>
        <w:t>calculated</w:t>
      </w:r>
      <w:r>
        <w:rPr>
          <w:spacing w:val="-5"/>
        </w:rPr>
        <w:t> </w:t>
      </w:r>
      <w:r>
        <w:rPr/>
        <w:t>on</w:t>
      </w:r>
      <w:r>
        <w:rPr>
          <w:spacing w:val="-6"/>
        </w:rPr>
        <w:t> </w:t>
      </w:r>
      <w:r>
        <w:rPr/>
        <w:t>the</w:t>
      </w:r>
      <w:r>
        <w:rPr>
          <w:spacing w:val="-5"/>
        </w:rPr>
        <w:t> </w:t>
      </w:r>
      <w:r>
        <w:rPr/>
        <w:t>basis</w:t>
      </w:r>
      <w:r>
        <w:rPr>
          <w:spacing w:val="-6"/>
        </w:rPr>
        <w:t> </w:t>
      </w:r>
      <w:r>
        <w:rPr/>
        <w:t>of estimated ‘Weighted Average Cost of Capital’ (WACC). The detailed analysis of WACC rate adopted for</w:t>
      </w:r>
      <w:r>
        <w:rPr>
          <w:spacing w:val="-9"/>
        </w:rPr>
        <w:t> </w:t>
      </w:r>
      <w:r>
        <w:rPr/>
        <w:t>the</w:t>
      </w:r>
      <w:r>
        <w:rPr>
          <w:spacing w:val="-9"/>
        </w:rPr>
        <w:t> </w:t>
      </w:r>
      <w:r>
        <w:rPr/>
        <w:t>subject</w:t>
      </w:r>
      <w:r>
        <w:rPr>
          <w:spacing w:val="-10"/>
        </w:rPr>
        <w:t> </w:t>
      </w:r>
      <w:r>
        <w:rPr/>
        <w:t>property</w:t>
      </w:r>
      <w:r>
        <w:rPr>
          <w:spacing w:val="-6"/>
        </w:rPr>
        <w:t> </w:t>
      </w:r>
      <w:r>
        <w:rPr/>
        <w:t>has</w:t>
      </w:r>
      <w:r>
        <w:rPr>
          <w:spacing w:val="-7"/>
        </w:rPr>
        <w:t> </w:t>
      </w:r>
      <w:r>
        <w:rPr/>
        <w:t>been</w:t>
      </w:r>
      <w:r>
        <w:rPr>
          <w:spacing w:val="-9"/>
        </w:rPr>
        <w:t> </w:t>
      </w:r>
      <w:r>
        <w:rPr/>
        <w:t>detailed</w:t>
      </w:r>
      <w:r>
        <w:rPr>
          <w:spacing w:val="-7"/>
        </w:rPr>
        <w:t> </w:t>
      </w:r>
      <w:r>
        <w:rPr/>
        <w:t>in</w:t>
      </w:r>
      <w:r>
        <w:rPr>
          <w:spacing w:val="-9"/>
        </w:rPr>
        <w:t> </w:t>
      </w:r>
      <w:r>
        <w:rPr/>
        <w:t>Section</w:t>
      </w:r>
      <w:r>
        <w:rPr>
          <w:spacing w:val="-9"/>
        </w:rPr>
        <w:t> </w:t>
      </w:r>
      <w:r>
        <w:rPr/>
        <w:t>3.4</w:t>
      </w:r>
      <w:r>
        <w:rPr>
          <w:spacing w:val="-9"/>
        </w:rPr>
        <w:t> </w:t>
      </w:r>
      <w:r>
        <w:rPr/>
        <w:t>of</w:t>
      </w:r>
      <w:r>
        <w:rPr>
          <w:spacing w:val="-7"/>
        </w:rPr>
        <w:t> </w:t>
      </w:r>
      <w:r>
        <w:rPr/>
        <w:t>this</w:t>
      </w:r>
      <w:r>
        <w:rPr>
          <w:spacing w:val="-8"/>
        </w:rPr>
        <w:t> </w:t>
      </w:r>
      <w:r>
        <w:rPr/>
        <w:t>report.</w:t>
      </w:r>
    </w:p>
    <w:p>
      <w:pPr>
        <w:pStyle w:val="BodyText"/>
        <w:spacing w:before="10"/>
        <w:rPr>
          <w:sz w:val="20"/>
        </w:rPr>
      </w:pPr>
    </w:p>
    <w:p>
      <w:pPr>
        <w:pStyle w:val="BodyText"/>
        <w:tabs>
          <w:tab w:pos="696" w:val="left" w:leader="none"/>
        </w:tabs>
        <w:ind w:left="120"/>
      </w:pPr>
      <w:bookmarkStart w:name="_bookmark183" w:id="357"/>
      <w:bookmarkEnd w:id="357"/>
      <w:r>
        <w:rPr/>
      </w:r>
      <w:r>
        <w:rPr>
          <w:color w:val="1F6647"/>
        </w:rPr>
        <w:t>9.5</w:t>
        <w:tab/>
        <w:t>Value of the Subject</w:t>
      </w:r>
      <w:r>
        <w:rPr>
          <w:color w:val="1F6647"/>
          <w:spacing w:val="-9"/>
        </w:rPr>
        <w:t> </w:t>
      </w:r>
      <w:r>
        <w:rPr>
          <w:color w:val="1F6647"/>
        </w:rPr>
        <w:t>Property</w:t>
      </w:r>
    </w:p>
    <w:p>
      <w:pPr>
        <w:pStyle w:val="BodyText"/>
        <w:spacing w:before="208"/>
        <w:ind w:left="751"/>
      </w:pPr>
      <w:r>
        <w:rPr/>
        <w:t>Based on the above mentioned analysis, the value of the subject property is estimated as follows:</w:t>
      </w:r>
    </w:p>
    <w:p>
      <w:pPr>
        <w:pStyle w:val="BodyText"/>
        <w:spacing w:before="2"/>
        <w:rPr>
          <w:sz w:val="8"/>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08"/>
        <w:gridCol w:w="2204"/>
        <w:gridCol w:w="1916"/>
        <w:gridCol w:w="2457"/>
      </w:tblGrid>
      <w:tr>
        <w:trPr>
          <w:trHeight w:val="347" w:hRule="atLeast"/>
        </w:trPr>
        <w:tc>
          <w:tcPr>
            <w:tcW w:w="3908" w:type="dxa"/>
            <w:tcBorders>
              <w:top w:val="single" w:sz="12" w:space="0" w:color="1F6B16"/>
              <w:bottom w:val="single" w:sz="6" w:space="0" w:color="69BD28"/>
            </w:tcBorders>
            <w:shd w:val="clear" w:color="auto" w:fill="006A4D"/>
          </w:tcPr>
          <w:p>
            <w:pPr>
              <w:pStyle w:val="TableParagraph"/>
              <w:spacing w:before="59"/>
              <w:ind w:left="238" w:right="626"/>
              <w:rPr>
                <w:sz w:val="20"/>
              </w:rPr>
            </w:pPr>
            <w:r>
              <w:rPr>
                <w:color w:val="FFFFFF"/>
                <w:sz w:val="20"/>
              </w:rPr>
              <w:t>Component</w:t>
            </w:r>
          </w:p>
        </w:tc>
        <w:tc>
          <w:tcPr>
            <w:tcW w:w="2204" w:type="dxa"/>
            <w:tcBorders>
              <w:top w:val="single" w:sz="12" w:space="0" w:color="1F6B16"/>
              <w:bottom w:val="single" w:sz="6" w:space="0" w:color="69BD28"/>
            </w:tcBorders>
            <w:shd w:val="clear" w:color="auto" w:fill="006A4D"/>
          </w:tcPr>
          <w:p>
            <w:pPr>
              <w:pStyle w:val="TableParagraph"/>
              <w:spacing w:before="59"/>
              <w:ind w:left="660" w:right="185"/>
              <w:rPr>
                <w:sz w:val="20"/>
              </w:rPr>
            </w:pPr>
            <w:r>
              <w:rPr>
                <w:color w:val="FFFFFF"/>
                <w:sz w:val="20"/>
              </w:rPr>
              <w:t>Value (INR Mn)</w:t>
            </w:r>
          </w:p>
        </w:tc>
        <w:tc>
          <w:tcPr>
            <w:tcW w:w="1916" w:type="dxa"/>
            <w:tcBorders>
              <w:top w:val="single" w:sz="12" w:space="0" w:color="1F6B16"/>
              <w:bottom w:val="single" w:sz="6" w:space="0" w:color="69BD28"/>
            </w:tcBorders>
            <w:shd w:val="clear" w:color="auto" w:fill="006A4D"/>
          </w:tcPr>
          <w:p>
            <w:pPr>
              <w:pStyle w:val="TableParagraph"/>
              <w:jc w:val="left"/>
              <w:rPr>
                <w:rFonts w:ascii="Times New Roman"/>
                <w:sz w:val="20"/>
              </w:rPr>
            </w:pPr>
          </w:p>
        </w:tc>
        <w:tc>
          <w:tcPr>
            <w:tcW w:w="2457" w:type="dxa"/>
            <w:tcBorders>
              <w:top w:val="single" w:sz="12" w:space="0" w:color="1F6B16"/>
              <w:bottom w:val="single" w:sz="6" w:space="0" w:color="69BD28"/>
            </w:tcBorders>
            <w:shd w:val="clear" w:color="auto" w:fill="006A4D"/>
          </w:tcPr>
          <w:p>
            <w:pPr>
              <w:pStyle w:val="TableParagraph"/>
              <w:spacing w:before="59"/>
              <w:ind w:left="321" w:right="1349"/>
              <w:rPr>
                <w:sz w:val="20"/>
              </w:rPr>
            </w:pPr>
            <w:r>
              <w:rPr>
                <w:color w:val="FFFFFF"/>
                <w:w w:val="110"/>
                <w:sz w:val="20"/>
              </w:rPr>
              <w:t>% Share</w:t>
            </w:r>
          </w:p>
        </w:tc>
      </w:tr>
      <w:tr>
        <w:trPr>
          <w:trHeight w:val="364" w:hRule="atLeast"/>
        </w:trPr>
        <w:tc>
          <w:tcPr>
            <w:tcW w:w="3908" w:type="dxa"/>
            <w:tcBorders>
              <w:top w:val="single" w:sz="6" w:space="0" w:color="69BD28"/>
              <w:bottom w:val="single" w:sz="6" w:space="0" w:color="69BD28"/>
            </w:tcBorders>
          </w:tcPr>
          <w:p>
            <w:pPr>
              <w:pStyle w:val="TableParagraph"/>
              <w:spacing w:before="80"/>
              <w:ind w:left="238" w:right="624"/>
              <w:rPr>
                <w:sz w:val="18"/>
              </w:rPr>
            </w:pPr>
            <w:r>
              <w:rPr>
                <w:sz w:val="18"/>
              </w:rPr>
              <w:t>Operational Blocks</w:t>
            </w:r>
          </w:p>
        </w:tc>
        <w:tc>
          <w:tcPr>
            <w:tcW w:w="2204" w:type="dxa"/>
            <w:tcBorders>
              <w:top w:val="single" w:sz="6" w:space="0" w:color="69BD28"/>
              <w:bottom w:val="single" w:sz="6" w:space="0" w:color="69BD28"/>
            </w:tcBorders>
          </w:tcPr>
          <w:p>
            <w:pPr>
              <w:pStyle w:val="TableParagraph"/>
              <w:spacing w:before="80"/>
              <w:ind w:left="660" w:right="185"/>
              <w:rPr>
                <w:sz w:val="18"/>
              </w:rPr>
            </w:pPr>
            <w:r>
              <w:rPr>
                <w:w w:val="110"/>
                <w:sz w:val="18"/>
              </w:rPr>
              <w:t>14,929</w:t>
            </w:r>
          </w:p>
        </w:tc>
        <w:tc>
          <w:tcPr>
            <w:tcW w:w="1916" w:type="dxa"/>
            <w:tcBorders>
              <w:top w:val="single" w:sz="6" w:space="0" w:color="69BD28"/>
              <w:bottom w:val="single" w:sz="6" w:space="0" w:color="69BD28"/>
            </w:tcBorders>
          </w:tcPr>
          <w:p>
            <w:pPr>
              <w:pStyle w:val="TableParagraph"/>
              <w:jc w:val="left"/>
              <w:rPr>
                <w:rFonts w:ascii="Times New Roman"/>
                <w:sz w:val="20"/>
              </w:rPr>
            </w:pPr>
          </w:p>
        </w:tc>
        <w:tc>
          <w:tcPr>
            <w:tcW w:w="2457" w:type="dxa"/>
            <w:tcBorders>
              <w:top w:val="single" w:sz="6" w:space="0" w:color="69BD28"/>
              <w:bottom w:val="single" w:sz="6" w:space="0" w:color="69BD28"/>
            </w:tcBorders>
          </w:tcPr>
          <w:p>
            <w:pPr>
              <w:pStyle w:val="TableParagraph"/>
              <w:spacing w:before="80"/>
              <w:ind w:left="321" w:right="1349"/>
              <w:rPr>
                <w:sz w:val="18"/>
              </w:rPr>
            </w:pPr>
            <w:r>
              <w:rPr>
                <w:w w:val="115"/>
                <w:sz w:val="18"/>
              </w:rPr>
              <w:t>71%</w:t>
            </w:r>
          </w:p>
        </w:tc>
      </w:tr>
      <w:tr>
        <w:trPr>
          <w:trHeight w:val="364" w:hRule="atLeast"/>
        </w:trPr>
        <w:tc>
          <w:tcPr>
            <w:tcW w:w="3908" w:type="dxa"/>
            <w:tcBorders>
              <w:top w:val="single" w:sz="6" w:space="0" w:color="69BD28"/>
            </w:tcBorders>
          </w:tcPr>
          <w:p>
            <w:pPr>
              <w:pStyle w:val="TableParagraph"/>
              <w:spacing w:before="78"/>
              <w:ind w:left="238" w:right="627"/>
              <w:rPr>
                <w:sz w:val="18"/>
              </w:rPr>
            </w:pPr>
            <w:r>
              <w:rPr>
                <w:sz w:val="18"/>
              </w:rPr>
              <w:t>Under Construction/ Proposed Blocks</w:t>
            </w:r>
          </w:p>
        </w:tc>
        <w:tc>
          <w:tcPr>
            <w:tcW w:w="2204" w:type="dxa"/>
            <w:tcBorders>
              <w:top w:val="single" w:sz="6" w:space="0" w:color="69BD28"/>
            </w:tcBorders>
          </w:tcPr>
          <w:p>
            <w:pPr>
              <w:pStyle w:val="TableParagraph"/>
              <w:spacing w:before="78"/>
              <w:ind w:left="660" w:right="185"/>
              <w:rPr>
                <w:sz w:val="18"/>
              </w:rPr>
            </w:pPr>
            <w:r>
              <w:rPr>
                <w:w w:val="105"/>
                <w:sz w:val="18"/>
              </w:rPr>
              <w:t>6,103</w:t>
            </w:r>
          </w:p>
        </w:tc>
        <w:tc>
          <w:tcPr>
            <w:tcW w:w="1916" w:type="dxa"/>
            <w:tcBorders>
              <w:top w:val="single" w:sz="6" w:space="0" w:color="69BD28"/>
            </w:tcBorders>
          </w:tcPr>
          <w:p>
            <w:pPr>
              <w:pStyle w:val="TableParagraph"/>
              <w:jc w:val="left"/>
              <w:rPr>
                <w:rFonts w:ascii="Times New Roman"/>
                <w:sz w:val="20"/>
              </w:rPr>
            </w:pPr>
          </w:p>
        </w:tc>
        <w:tc>
          <w:tcPr>
            <w:tcW w:w="2457" w:type="dxa"/>
            <w:tcBorders>
              <w:top w:val="single" w:sz="6" w:space="0" w:color="69BD28"/>
            </w:tcBorders>
          </w:tcPr>
          <w:p>
            <w:pPr>
              <w:pStyle w:val="TableParagraph"/>
              <w:spacing w:before="78"/>
              <w:ind w:left="321" w:right="1349"/>
              <w:rPr>
                <w:sz w:val="18"/>
              </w:rPr>
            </w:pPr>
            <w:r>
              <w:rPr>
                <w:w w:val="115"/>
                <w:sz w:val="18"/>
              </w:rPr>
              <w:t>29%</w:t>
            </w:r>
          </w:p>
        </w:tc>
      </w:tr>
      <w:tr>
        <w:trPr>
          <w:trHeight w:val="393" w:hRule="atLeast"/>
        </w:trPr>
        <w:tc>
          <w:tcPr>
            <w:tcW w:w="3908" w:type="dxa"/>
            <w:shd w:val="clear" w:color="auto" w:fill="69BD28"/>
          </w:tcPr>
          <w:p>
            <w:pPr>
              <w:pStyle w:val="TableParagraph"/>
              <w:spacing w:before="92"/>
              <w:ind w:left="238" w:right="623"/>
              <w:rPr>
                <w:b/>
                <w:sz w:val="18"/>
              </w:rPr>
            </w:pPr>
            <w:r>
              <w:rPr>
                <w:b/>
                <w:color w:val="FFFFFF"/>
                <w:w w:val="110"/>
                <w:sz w:val="18"/>
              </w:rPr>
              <w:t>Embassy TechZone</w:t>
            </w:r>
          </w:p>
        </w:tc>
        <w:tc>
          <w:tcPr>
            <w:tcW w:w="2204" w:type="dxa"/>
            <w:shd w:val="clear" w:color="auto" w:fill="69BD28"/>
          </w:tcPr>
          <w:p>
            <w:pPr>
              <w:pStyle w:val="TableParagraph"/>
              <w:jc w:val="left"/>
              <w:rPr>
                <w:rFonts w:ascii="Times New Roman"/>
                <w:sz w:val="20"/>
              </w:rPr>
            </w:pPr>
          </w:p>
        </w:tc>
        <w:tc>
          <w:tcPr>
            <w:tcW w:w="1916" w:type="dxa"/>
            <w:shd w:val="clear" w:color="auto" w:fill="69BD28"/>
          </w:tcPr>
          <w:p>
            <w:pPr>
              <w:pStyle w:val="TableParagraph"/>
              <w:spacing w:before="92"/>
              <w:ind w:left="206"/>
              <w:jc w:val="left"/>
              <w:rPr>
                <w:b/>
                <w:sz w:val="18"/>
              </w:rPr>
            </w:pPr>
            <w:r>
              <w:rPr>
                <w:b/>
                <w:color w:val="FFFFFF"/>
                <w:w w:val="110"/>
                <w:sz w:val="18"/>
              </w:rPr>
              <w:t>INR 21,032 Mn</w:t>
            </w:r>
          </w:p>
        </w:tc>
        <w:tc>
          <w:tcPr>
            <w:tcW w:w="2457" w:type="dxa"/>
            <w:shd w:val="clear" w:color="auto" w:fill="69BD28"/>
          </w:tcPr>
          <w:p>
            <w:pPr>
              <w:pStyle w:val="TableParagraph"/>
              <w:jc w:val="left"/>
              <w:rPr>
                <w:rFonts w:ascii="Times New Roman"/>
                <w:sz w:val="20"/>
              </w:rPr>
            </w:pPr>
          </w:p>
        </w:tc>
      </w:tr>
    </w:tbl>
    <w:p>
      <w:pPr>
        <w:spacing w:after="0"/>
        <w:jc w:val="left"/>
        <w:rPr>
          <w:rFonts w:ascii="Times New Roman"/>
          <w:sz w:val="20"/>
        </w:rPr>
        <w:sectPr>
          <w:pgSz w:w="11910" w:h="16840"/>
          <w:pgMar w:header="720" w:footer="921" w:top="1660" w:bottom="1120" w:left="600" w:right="500"/>
        </w:sectPr>
      </w:pPr>
    </w:p>
    <w:p>
      <w:pPr>
        <w:pStyle w:val="BodyText"/>
        <w:spacing w:before="7"/>
        <w:rPr>
          <w:sz w:val="9"/>
        </w:rPr>
      </w:pPr>
    </w:p>
    <w:p>
      <w:pPr>
        <w:pStyle w:val="Heading5"/>
        <w:numPr>
          <w:ilvl w:val="0"/>
          <w:numId w:val="14"/>
        </w:numPr>
        <w:tabs>
          <w:tab w:pos="553" w:val="left" w:leader="none"/>
        </w:tabs>
        <w:spacing w:line="240" w:lineRule="auto" w:before="106" w:after="0"/>
        <w:ind w:left="552" w:right="0" w:hanging="433"/>
        <w:jc w:val="left"/>
        <w:rPr>
          <w:rFonts w:ascii="Arial"/>
        </w:rPr>
      </w:pPr>
      <w:bookmarkStart w:name="_bookmark184" w:id="358"/>
      <w:bookmarkEnd w:id="358"/>
      <w:r>
        <w:rPr>
          <w:b w:val="0"/>
        </w:rPr>
      </w:r>
      <w:bookmarkStart w:name="_bookmark184" w:id="359"/>
      <w:bookmarkEnd w:id="359"/>
      <w:r>
        <w:rPr>
          <w:rFonts w:ascii="Arial"/>
          <w:color w:val="1F664D"/>
        </w:rPr>
        <w:t>E</w:t>
      </w:r>
      <w:r>
        <w:rPr>
          <w:rFonts w:ascii="Arial"/>
          <w:color w:val="1F664D"/>
        </w:rPr>
        <w:t>mbassy</w:t>
      </w:r>
      <w:r>
        <w:rPr>
          <w:rFonts w:ascii="Arial"/>
          <w:color w:val="1F664D"/>
          <w:spacing w:val="4"/>
        </w:rPr>
        <w:t> </w:t>
      </w:r>
      <w:r>
        <w:rPr>
          <w:rFonts w:ascii="Arial"/>
          <w:color w:val="1F664D"/>
        </w:rPr>
        <w:t>Quadron</w:t>
      </w:r>
    </w:p>
    <w:p>
      <w:pPr>
        <w:pStyle w:val="BodyText"/>
        <w:spacing w:before="8"/>
        <w:rPr>
          <w:rFonts w:ascii="Arial"/>
          <w:b/>
          <w:sz w:val="28"/>
        </w:rPr>
      </w:pPr>
    </w:p>
    <w:p>
      <w:pPr>
        <w:pStyle w:val="ListParagraph"/>
        <w:numPr>
          <w:ilvl w:val="1"/>
          <w:numId w:val="14"/>
        </w:numPr>
        <w:tabs>
          <w:tab w:pos="697" w:val="left" w:leader="none"/>
        </w:tabs>
        <w:spacing w:line="240" w:lineRule="auto" w:before="1" w:after="0"/>
        <w:ind w:left="696" w:right="0" w:hanging="577"/>
        <w:jc w:val="left"/>
        <w:rPr>
          <w:color w:val="1F6647"/>
          <w:sz w:val="22"/>
        </w:rPr>
      </w:pPr>
      <w:bookmarkStart w:name="_bookmark185" w:id="360"/>
      <w:bookmarkEnd w:id="360"/>
      <w:r>
        <w:rPr/>
      </w:r>
      <w:bookmarkStart w:name="_bookmark185" w:id="361"/>
      <w:bookmarkEnd w:id="361"/>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5"/>
        <w:rPr>
          <w:sz w:val="17"/>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50"/>
        <w:gridCol w:w="7036"/>
      </w:tblGrid>
      <w:tr>
        <w:trPr>
          <w:trHeight w:val="251" w:hRule="atLeast"/>
        </w:trPr>
        <w:tc>
          <w:tcPr>
            <w:tcW w:w="10486" w:type="dxa"/>
            <w:gridSpan w:val="2"/>
            <w:tcBorders>
              <w:top w:val="single" w:sz="12" w:space="0" w:color="1F6B16"/>
              <w:bottom w:val="single" w:sz="6" w:space="0" w:color="69BD28"/>
            </w:tcBorders>
            <w:shd w:val="clear" w:color="auto" w:fill="006A4D"/>
          </w:tcPr>
          <w:p>
            <w:pPr>
              <w:pStyle w:val="TableParagraph"/>
              <w:spacing w:line="209" w:lineRule="exact" w:before="22"/>
              <w:ind w:left="142" w:right="130"/>
              <w:rPr>
                <w:b/>
                <w:sz w:val="18"/>
              </w:rPr>
            </w:pPr>
            <w:r>
              <w:rPr>
                <w:b/>
                <w:color w:val="FFFFFF"/>
                <w:w w:val="105"/>
                <w:sz w:val="18"/>
              </w:rPr>
              <w:t>Brief Description</w:t>
            </w:r>
          </w:p>
        </w:tc>
      </w:tr>
      <w:tr>
        <w:trPr>
          <w:trHeight w:val="253" w:hRule="atLeast"/>
        </w:trPr>
        <w:tc>
          <w:tcPr>
            <w:tcW w:w="3450" w:type="dxa"/>
            <w:tcBorders>
              <w:top w:val="single" w:sz="6" w:space="0" w:color="69BD28"/>
              <w:bottom w:val="single" w:sz="6" w:space="0" w:color="69BD28"/>
            </w:tcBorders>
            <w:shd w:val="clear" w:color="auto" w:fill="006A4D"/>
          </w:tcPr>
          <w:p>
            <w:pPr>
              <w:pStyle w:val="TableParagraph"/>
              <w:spacing w:line="223" w:lineRule="exact" w:before="11"/>
              <w:ind w:left="1007" w:right="1008"/>
              <w:rPr>
                <w:sz w:val="20"/>
              </w:rPr>
            </w:pPr>
            <w:r>
              <w:rPr>
                <w:color w:val="FFFFFF"/>
                <w:sz w:val="20"/>
              </w:rPr>
              <w:t>Particulars</w:t>
            </w:r>
          </w:p>
        </w:tc>
        <w:tc>
          <w:tcPr>
            <w:tcW w:w="7036" w:type="dxa"/>
            <w:tcBorders>
              <w:top w:val="single" w:sz="6" w:space="0" w:color="69BD28"/>
              <w:bottom w:val="single" w:sz="6" w:space="0" w:color="69BD28"/>
            </w:tcBorders>
            <w:shd w:val="clear" w:color="auto" w:fill="006A4D"/>
          </w:tcPr>
          <w:p>
            <w:pPr>
              <w:pStyle w:val="TableParagraph"/>
              <w:spacing w:before="22"/>
              <w:ind w:left="1231" w:right="1246"/>
              <w:rPr>
                <w:b/>
                <w:sz w:val="18"/>
              </w:rPr>
            </w:pPr>
            <w:r>
              <w:rPr>
                <w:b/>
                <w:color w:val="FFFFFF"/>
                <w:w w:val="110"/>
                <w:sz w:val="18"/>
              </w:rPr>
              <w:t>Details</w:t>
            </w:r>
          </w:p>
        </w:tc>
      </w:tr>
      <w:tr>
        <w:trPr>
          <w:trHeight w:val="637" w:hRule="atLeast"/>
        </w:trPr>
        <w:tc>
          <w:tcPr>
            <w:tcW w:w="3450" w:type="dxa"/>
            <w:shd w:val="clear" w:color="auto" w:fill="69BD28"/>
          </w:tcPr>
          <w:p>
            <w:pPr>
              <w:pStyle w:val="TableParagraph"/>
              <w:spacing w:before="5"/>
              <w:jc w:val="left"/>
              <w:rPr>
                <w:sz w:val="18"/>
              </w:rPr>
            </w:pPr>
          </w:p>
          <w:p>
            <w:pPr>
              <w:pStyle w:val="TableParagraph"/>
              <w:ind w:left="1009" w:right="1008"/>
              <w:rPr>
                <w:b/>
                <w:sz w:val="18"/>
              </w:rPr>
            </w:pPr>
            <w:r>
              <w:rPr>
                <w:b/>
                <w:color w:val="FFFFFF"/>
                <w:w w:val="110"/>
                <w:sz w:val="18"/>
              </w:rPr>
              <w:t>Property Name</w:t>
            </w:r>
          </w:p>
        </w:tc>
        <w:tc>
          <w:tcPr>
            <w:tcW w:w="7036" w:type="dxa"/>
            <w:tcBorders>
              <w:top w:val="single" w:sz="6" w:space="0" w:color="69BD28"/>
              <w:bottom w:val="single" w:sz="6" w:space="0" w:color="69BD28"/>
            </w:tcBorders>
          </w:tcPr>
          <w:p>
            <w:pPr>
              <w:pStyle w:val="TableParagraph"/>
              <w:spacing w:before="5"/>
              <w:jc w:val="left"/>
              <w:rPr>
                <w:sz w:val="18"/>
              </w:rPr>
            </w:pPr>
          </w:p>
          <w:p>
            <w:pPr>
              <w:pStyle w:val="TableParagraph"/>
              <w:ind w:left="1235" w:right="1246"/>
              <w:rPr>
                <w:sz w:val="18"/>
              </w:rPr>
            </w:pPr>
            <w:r>
              <w:rPr>
                <w:w w:val="105"/>
                <w:sz w:val="18"/>
              </w:rPr>
              <w:t>Embassy Quadron</w:t>
            </w:r>
          </w:p>
        </w:tc>
      </w:tr>
      <w:tr>
        <w:trPr>
          <w:trHeight w:val="563" w:hRule="atLeast"/>
        </w:trPr>
        <w:tc>
          <w:tcPr>
            <w:tcW w:w="3450" w:type="dxa"/>
            <w:shd w:val="clear" w:color="auto" w:fill="69BD28"/>
          </w:tcPr>
          <w:p>
            <w:pPr>
              <w:pStyle w:val="TableParagraph"/>
              <w:spacing w:before="178"/>
              <w:ind w:left="1009" w:right="1007"/>
              <w:rPr>
                <w:b/>
                <w:sz w:val="18"/>
              </w:rPr>
            </w:pPr>
            <w:r>
              <w:rPr>
                <w:b/>
                <w:color w:val="FFFFFF"/>
                <w:w w:val="110"/>
                <w:sz w:val="18"/>
              </w:rPr>
              <w:t>Address</w:t>
            </w:r>
          </w:p>
        </w:tc>
        <w:tc>
          <w:tcPr>
            <w:tcW w:w="7036" w:type="dxa"/>
            <w:tcBorders>
              <w:top w:val="single" w:sz="6" w:space="0" w:color="69BD28"/>
              <w:bottom w:val="single" w:sz="6" w:space="0" w:color="69BD28"/>
            </w:tcBorders>
          </w:tcPr>
          <w:p>
            <w:pPr>
              <w:pStyle w:val="TableParagraph"/>
              <w:spacing w:line="247" w:lineRule="auto" w:before="70"/>
              <w:ind w:left="2155" w:hanging="1801"/>
              <w:jc w:val="left"/>
              <w:rPr>
                <w:sz w:val="18"/>
              </w:rPr>
            </w:pPr>
            <w:r>
              <w:rPr>
                <w:sz w:val="18"/>
              </w:rPr>
              <w:t>Plot</w:t>
            </w:r>
            <w:r>
              <w:rPr>
                <w:spacing w:val="-15"/>
                <w:sz w:val="18"/>
              </w:rPr>
              <w:t> </w:t>
            </w:r>
            <w:r>
              <w:rPr>
                <w:sz w:val="18"/>
              </w:rPr>
              <w:t>No.</w:t>
            </w:r>
            <w:r>
              <w:rPr>
                <w:spacing w:val="-14"/>
                <w:sz w:val="18"/>
              </w:rPr>
              <w:t> </w:t>
            </w:r>
            <w:r>
              <w:rPr>
                <w:sz w:val="18"/>
              </w:rPr>
              <w:t>28,</w:t>
            </w:r>
            <w:r>
              <w:rPr>
                <w:spacing w:val="-14"/>
                <w:sz w:val="18"/>
              </w:rPr>
              <w:t> </w:t>
            </w:r>
            <w:r>
              <w:rPr>
                <w:sz w:val="18"/>
              </w:rPr>
              <w:t>Rajiv</w:t>
            </w:r>
            <w:r>
              <w:rPr>
                <w:spacing w:val="-14"/>
                <w:sz w:val="18"/>
              </w:rPr>
              <w:t> </w:t>
            </w:r>
            <w:r>
              <w:rPr>
                <w:sz w:val="18"/>
              </w:rPr>
              <w:t>Gandhi</w:t>
            </w:r>
            <w:r>
              <w:rPr>
                <w:spacing w:val="-13"/>
                <w:sz w:val="18"/>
              </w:rPr>
              <w:t> </w:t>
            </w:r>
            <w:r>
              <w:rPr>
                <w:sz w:val="18"/>
              </w:rPr>
              <w:t>Infotech</w:t>
            </w:r>
            <w:r>
              <w:rPr>
                <w:spacing w:val="-13"/>
                <w:sz w:val="18"/>
              </w:rPr>
              <w:t> </w:t>
            </w:r>
            <w:r>
              <w:rPr>
                <w:sz w:val="18"/>
              </w:rPr>
              <w:t>Park,</w:t>
            </w:r>
            <w:r>
              <w:rPr>
                <w:spacing w:val="-14"/>
                <w:sz w:val="18"/>
              </w:rPr>
              <w:t> </w:t>
            </w:r>
            <w:r>
              <w:rPr>
                <w:sz w:val="18"/>
              </w:rPr>
              <w:t>Hinjewadi</w:t>
            </w:r>
            <w:r>
              <w:rPr>
                <w:spacing w:val="-14"/>
                <w:sz w:val="18"/>
              </w:rPr>
              <w:t> </w:t>
            </w:r>
            <w:r>
              <w:rPr>
                <w:sz w:val="18"/>
              </w:rPr>
              <w:t>Phase</w:t>
            </w:r>
            <w:r>
              <w:rPr>
                <w:spacing w:val="-9"/>
                <w:sz w:val="18"/>
              </w:rPr>
              <w:t> </w:t>
            </w:r>
            <w:r>
              <w:rPr>
                <w:sz w:val="18"/>
              </w:rPr>
              <w:t>II,</w:t>
            </w:r>
            <w:r>
              <w:rPr>
                <w:spacing w:val="-14"/>
                <w:sz w:val="18"/>
              </w:rPr>
              <w:t> </w:t>
            </w:r>
            <w:r>
              <w:rPr>
                <w:sz w:val="18"/>
              </w:rPr>
              <w:t>Man</w:t>
            </w:r>
            <w:r>
              <w:rPr>
                <w:spacing w:val="-13"/>
                <w:sz w:val="18"/>
              </w:rPr>
              <w:t> </w:t>
            </w:r>
            <w:r>
              <w:rPr>
                <w:sz w:val="18"/>
              </w:rPr>
              <w:t>Village,</w:t>
            </w:r>
            <w:r>
              <w:rPr>
                <w:spacing w:val="-14"/>
                <w:sz w:val="18"/>
              </w:rPr>
              <w:t> </w:t>
            </w:r>
            <w:r>
              <w:rPr>
                <w:sz w:val="18"/>
              </w:rPr>
              <w:t>Mulshi Taluka, Pune District,</w:t>
            </w:r>
            <w:r>
              <w:rPr>
                <w:spacing w:val="-14"/>
                <w:sz w:val="18"/>
              </w:rPr>
              <w:t> </w:t>
            </w:r>
            <w:r>
              <w:rPr>
                <w:sz w:val="18"/>
              </w:rPr>
              <w:t>Maharashtra</w:t>
            </w:r>
          </w:p>
        </w:tc>
      </w:tr>
      <w:tr>
        <w:trPr>
          <w:trHeight w:val="520" w:hRule="atLeast"/>
        </w:trPr>
        <w:tc>
          <w:tcPr>
            <w:tcW w:w="3450" w:type="dxa"/>
            <w:shd w:val="clear" w:color="auto" w:fill="69BD28"/>
          </w:tcPr>
          <w:p>
            <w:pPr>
              <w:pStyle w:val="TableParagraph"/>
              <w:spacing w:before="157"/>
              <w:ind w:left="1007" w:right="1008"/>
              <w:rPr>
                <w:b/>
                <w:sz w:val="18"/>
              </w:rPr>
            </w:pPr>
            <w:r>
              <w:rPr>
                <w:b/>
                <w:color w:val="FFFFFF"/>
                <w:w w:val="110"/>
                <w:sz w:val="18"/>
              </w:rPr>
              <w:t>Land Area</w:t>
            </w:r>
          </w:p>
        </w:tc>
        <w:tc>
          <w:tcPr>
            <w:tcW w:w="7036" w:type="dxa"/>
            <w:tcBorders>
              <w:top w:val="single" w:sz="6" w:space="0" w:color="69BD28"/>
              <w:bottom w:val="single" w:sz="6" w:space="0" w:color="69BD28"/>
            </w:tcBorders>
          </w:tcPr>
          <w:p>
            <w:pPr>
              <w:pStyle w:val="TableParagraph"/>
              <w:spacing w:before="157"/>
              <w:ind w:left="1229" w:right="1246"/>
              <w:rPr>
                <w:sz w:val="18"/>
              </w:rPr>
            </w:pPr>
            <w:r>
              <w:rPr>
                <w:sz w:val="18"/>
              </w:rPr>
              <w:t>Total 25.52 acres</w:t>
            </w:r>
          </w:p>
        </w:tc>
      </w:tr>
      <w:tr>
        <w:trPr>
          <w:trHeight w:val="611" w:hRule="atLeast"/>
        </w:trPr>
        <w:tc>
          <w:tcPr>
            <w:tcW w:w="3450" w:type="dxa"/>
            <w:shd w:val="clear" w:color="auto" w:fill="69BD28"/>
          </w:tcPr>
          <w:p>
            <w:pPr>
              <w:pStyle w:val="TableParagraph"/>
              <w:spacing w:before="5"/>
              <w:jc w:val="left"/>
              <w:rPr>
                <w:sz w:val="17"/>
              </w:rPr>
            </w:pPr>
          </w:p>
          <w:p>
            <w:pPr>
              <w:pStyle w:val="TableParagraph"/>
              <w:ind w:left="1008" w:right="1008"/>
              <w:rPr>
                <w:b/>
                <w:sz w:val="18"/>
              </w:rPr>
            </w:pPr>
            <w:r>
              <w:rPr>
                <w:b/>
                <w:color w:val="FFFFFF"/>
                <w:w w:val="110"/>
                <w:sz w:val="18"/>
              </w:rPr>
              <w:t>Leasable Area</w:t>
            </w:r>
          </w:p>
        </w:tc>
        <w:tc>
          <w:tcPr>
            <w:tcW w:w="7036" w:type="dxa"/>
            <w:tcBorders>
              <w:top w:val="single" w:sz="6" w:space="0" w:color="69BD28"/>
              <w:bottom w:val="single" w:sz="6" w:space="0" w:color="69BD28"/>
            </w:tcBorders>
          </w:tcPr>
          <w:p>
            <w:pPr>
              <w:pStyle w:val="TableParagraph"/>
              <w:spacing w:before="5"/>
              <w:jc w:val="left"/>
              <w:rPr>
                <w:sz w:val="17"/>
              </w:rPr>
            </w:pPr>
          </w:p>
          <w:p>
            <w:pPr>
              <w:pStyle w:val="TableParagraph"/>
              <w:ind w:left="1236" w:right="1246"/>
              <w:rPr>
                <w:sz w:val="18"/>
              </w:rPr>
            </w:pPr>
            <w:r>
              <w:rPr>
                <w:w w:val="105"/>
                <w:sz w:val="18"/>
              </w:rPr>
              <w:t>Total Operational Area – 1.89 million sft</w:t>
            </w:r>
          </w:p>
        </w:tc>
      </w:tr>
    </w:tbl>
    <w:p>
      <w:pPr>
        <w:spacing w:before="47"/>
        <w:ind w:left="120" w:right="0" w:firstLine="0"/>
        <w:jc w:val="left"/>
        <w:rPr>
          <w:i/>
          <w:sz w:val="18"/>
        </w:rPr>
      </w:pPr>
      <w:r>
        <w:rPr>
          <w:i/>
          <w:sz w:val="18"/>
        </w:rPr>
        <w:t>Source: Title Report, Architect Certificate;</w:t>
      </w:r>
    </w:p>
    <w:p>
      <w:pPr>
        <w:pStyle w:val="BodyText"/>
        <w:spacing w:before="10"/>
        <w:rPr>
          <w:i/>
          <w:sz w:val="20"/>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186" w:id="362"/>
      <w:bookmarkEnd w:id="362"/>
      <w:r>
        <w:rPr/>
      </w:r>
      <w:bookmarkStart w:name="_bookmark186" w:id="363"/>
      <w:bookmarkEnd w:id="363"/>
      <w:r>
        <w:rPr>
          <w:color w:val="1F664D"/>
          <w:sz w:val="22"/>
        </w:rPr>
        <w:t>S</w:t>
      </w:r>
      <w:r>
        <w:rPr>
          <w:color w:val="1F664D"/>
          <w:sz w:val="22"/>
        </w:rPr>
        <w:t>ite Details</w:t>
      </w:r>
    </w:p>
    <w:p>
      <w:pPr>
        <w:pStyle w:val="BodyText"/>
        <w:spacing w:before="3"/>
        <w:rPr>
          <w:sz w:val="28"/>
        </w:rPr>
      </w:pPr>
    </w:p>
    <w:p>
      <w:pPr>
        <w:pStyle w:val="BodyText"/>
        <w:tabs>
          <w:tab w:pos="2669" w:val="left" w:leader="none"/>
        </w:tabs>
        <w:spacing w:line="321" w:lineRule="auto"/>
        <w:ind w:left="2669" w:right="121" w:hanging="1875"/>
        <w:jc w:val="both"/>
      </w:pPr>
      <w:r>
        <w:rPr/>
        <w:t>Situation:</w:t>
        <w:tab/>
        <w:t>‘Embassy</w:t>
      </w:r>
      <w:r>
        <w:rPr>
          <w:spacing w:val="-27"/>
        </w:rPr>
        <w:t> </w:t>
      </w:r>
      <w:r>
        <w:rPr/>
        <w:t>Quadron’</w:t>
      </w:r>
      <w:r>
        <w:rPr>
          <w:spacing w:val="-27"/>
        </w:rPr>
        <w:t> </w:t>
      </w:r>
      <w:r>
        <w:rPr/>
        <w:t>is</w:t>
      </w:r>
      <w:r>
        <w:rPr>
          <w:spacing w:val="-27"/>
        </w:rPr>
        <w:t> </w:t>
      </w:r>
      <w:r>
        <w:rPr/>
        <w:t>an</w:t>
      </w:r>
      <w:r>
        <w:rPr>
          <w:spacing w:val="-28"/>
        </w:rPr>
        <w:t> </w:t>
      </w:r>
      <w:r>
        <w:rPr/>
        <w:t>office</w:t>
      </w:r>
      <w:r>
        <w:rPr>
          <w:spacing w:val="-27"/>
        </w:rPr>
        <w:t> </w:t>
      </w:r>
      <w:r>
        <w:rPr/>
        <w:t>park</w:t>
      </w:r>
      <w:r>
        <w:rPr>
          <w:spacing w:val="-28"/>
        </w:rPr>
        <w:t> </w:t>
      </w:r>
      <w:r>
        <w:rPr/>
        <w:t>located</w:t>
      </w:r>
      <w:r>
        <w:rPr>
          <w:spacing w:val="-27"/>
        </w:rPr>
        <w:t> </w:t>
      </w:r>
      <w:r>
        <w:rPr/>
        <w:t>at</w:t>
      </w:r>
      <w:r>
        <w:rPr>
          <w:spacing w:val="-26"/>
        </w:rPr>
        <w:t> </w:t>
      </w:r>
      <w:r>
        <w:rPr/>
        <w:t>Plot</w:t>
      </w:r>
      <w:r>
        <w:rPr>
          <w:spacing w:val="-31"/>
        </w:rPr>
        <w:t> </w:t>
      </w:r>
      <w:r>
        <w:rPr/>
        <w:t>No.</w:t>
      </w:r>
      <w:r>
        <w:rPr>
          <w:spacing w:val="-27"/>
        </w:rPr>
        <w:t> </w:t>
      </w:r>
      <w:r>
        <w:rPr/>
        <w:t>28,</w:t>
      </w:r>
      <w:r>
        <w:rPr>
          <w:spacing w:val="-28"/>
        </w:rPr>
        <w:t> </w:t>
      </w:r>
      <w:r>
        <w:rPr/>
        <w:t>Hinjewadi</w:t>
      </w:r>
      <w:r>
        <w:rPr>
          <w:spacing w:val="-27"/>
        </w:rPr>
        <w:t> </w:t>
      </w:r>
      <w:r>
        <w:rPr/>
        <w:t>Phase</w:t>
      </w:r>
      <w:r>
        <w:rPr>
          <w:spacing w:val="-30"/>
        </w:rPr>
        <w:t> </w:t>
      </w:r>
      <w:r>
        <w:rPr/>
        <w:t>II,</w:t>
      </w:r>
      <w:r>
        <w:rPr>
          <w:spacing w:val="-27"/>
        </w:rPr>
        <w:t> </w:t>
      </w:r>
      <w:r>
        <w:rPr/>
        <w:t>Rajiv Gandhi Infotech Park, Pune,</w:t>
      </w:r>
      <w:r>
        <w:rPr>
          <w:spacing w:val="-14"/>
        </w:rPr>
        <w:t> </w:t>
      </w:r>
      <w:r>
        <w:rPr/>
        <w:t>Maharashtra</w:t>
      </w:r>
    </w:p>
    <w:p>
      <w:pPr>
        <w:pStyle w:val="BodyText"/>
        <w:spacing w:before="3"/>
        <w:rPr>
          <w:sz w:val="27"/>
        </w:rPr>
      </w:pPr>
    </w:p>
    <w:p>
      <w:pPr>
        <w:pStyle w:val="BodyText"/>
        <w:tabs>
          <w:tab w:pos="2669" w:val="left" w:leader="none"/>
        </w:tabs>
        <w:spacing w:line="321" w:lineRule="auto"/>
        <w:ind w:left="2669" w:right="114" w:hanging="1875"/>
        <w:jc w:val="both"/>
      </w:pPr>
      <w:r>
        <w:rPr/>
        <w:t>Location:</w:t>
        <w:tab/>
        <w:t>The</w:t>
      </w:r>
      <w:r>
        <w:rPr>
          <w:spacing w:val="-20"/>
        </w:rPr>
        <w:t> </w:t>
      </w:r>
      <w:r>
        <w:rPr/>
        <w:t>subject</w:t>
      </w:r>
      <w:r>
        <w:rPr>
          <w:spacing w:val="-18"/>
        </w:rPr>
        <w:t> </w:t>
      </w:r>
      <w:r>
        <w:rPr/>
        <w:t>property</w:t>
      </w:r>
      <w:r>
        <w:rPr>
          <w:spacing w:val="-18"/>
        </w:rPr>
        <w:t> </w:t>
      </w:r>
      <w:r>
        <w:rPr/>
        <w:t>is</w:t>
      </w:r>
      <w:r>
        <w:rPr>
          <w:spacing w:val="-18"/>
        </w:rPr>
        <w:t> </w:t>
      </w:r>
      <w:r>
        <w:rPr/>
        <w:t>located</w:t>
      </w:r>
      <w:r>
        <w:rPr>
          <w:spacing w:val="-18"/>
        </w:rPr>
        <w:t> </w:t>
      </w:r>
      <w:r>
        <w:rPr/>
        <w:t>in</w:t>
      </w:r>
      <w:r>
        <w:rPr>
          <w:spacing w:val="-19"/>
        </w:rPr>
        <w:t> </w:t>
      </w:r>
      <w:r>
        <w:rPr/>
        <w:t>a</w:t>
      </w:r>
      <w:r>
        <w:rPr>
          <w:spacing w:val="-19"/>
        </w:rPr>
        <w:t> </w:t>
      </w:r>
      <w:r>
        <w:rPr/>
        <w:t>prominent</w:t>
      </w:r>
      <w:r>
        <w:rPr>
          <w:spacing w:val="-18"/>
        </w:rPr>
        <w:t> </w:t>
      </w:r>
      <w:r>
        <w:rPr/>
        <w:t>commercial</w:t>
      </w:r>
      <w:r>
        <w:rPr>
          <w:spacing w:val="-19"/>
        </w:rPr>
        <w:t> </w:t>
      </w:r>
      <w:r>
        <w:rPr/>
        <w:t>technology</w:t>
      </w:r>
      <w:r>
        <w:rPr>
          <w:spacing w:val="-17"/>
        </w:rPr>
        <w:t> </w:t>
      </w:r>
      <w:r>
        <w:rPr/>
        <w:t>hub</w:t>
      </w:r>
      <w:r>
        <w:rPr>
          <w:spacing w:val="-20"/>
        </w:rPr>
        <w:t> </w:t>
      </w:r>
      <w:r>
        <w:rPr/>
        <w:t>of</w:t>
      </w:r>
      <w:r>
        <w:rPr>
          <w:spacing w:val="-18"/>
        </w:rPr>
        <w:t> </w:t>
      </w:r>
      <w:r>
        <w:rPr/>
        <w:t>Pune city which has presence of major SEZ developments such as Embassy TechZone, Embassy</w:t>
      </w:r>
      <w:r>
        <w:rPr>
          <w:spacing w:val="-33"/>
        </w:rPr>
        <w:t> </w:t>
      </w:r>
      <w:r>
        <w:rPr/>
        <w:t>Quadron</w:t>
      </w:r>
      <w:r>
        <w:rPr>
          <w:spacing w:val="-33"/>
        </w:rPr>
        <w:t> </w:t>
      </w:r>
      <w:r>
        <w:rPr/>
        <w:t>(Subject</w:t>
      </w:r>
      <w:r>
        <w:rPr>
          <w:spacing w:val="-32"/>
        </w:rPr>
        <w:t> </w:t>
      </w:r>
      <w:r>
        <w:rPr/>
        <w:t>Property),</w:t>
      </w:r>
      <w:r>
        <w:rPr>
          <w:spacing w:val="-33"/>
        </w:rPr>
        <w:t> </w:t>
      </w:r>
      <w:r>
        <w:rPr/>
        <w:t>Qubix,</w:t>
      </w:r>
      <w:r>
        <w:rPr>
          <w:spacing w:val="-32"/>
        </w:rPr>
        <w:t> </w:t>
      </w:r>
      <w:r>
        <w:rPr/>
        <w:t>Ascendas</w:t>
      </w:r>
      <w:r>
        <w:rPr>
          <w:spacing w:val="-33"/>
        </w:rPr>
        <w:t> </w:t>
      </w:r>
      <w:r>
        <w:rPr/>
        <w:t>International</w:t>
      </w:r>
      <w:r>
        <w:rPr>
          <w:spacing w:val="-33"/>
        </w:rPr>
        <w:t> </w:t>
      </w:r>
      <w:r>
        <w:rPr/>
        <w:t>Tech</w:t>
      </w:r>
      <w:r>
        <w:rPr>
          <w:spacing w:val="-33"/>
        </w:rPr>
        <w:t> </w:t>
      </w:r>
      <w:r>
        <w:rPr/>
        <w:t>Park,</w:t>
      </w:r>
      <w:r>
        <w:rPr>
          <w:spacing w:val="-33"/>
        </w:rPr>
        <w:t> </w:t>
      </w:r>
      <w:r>
        <w:rPr/>
        <w:t>etc. Further,</w:t>
      </w:r>
      <w:r>
        <w:rPr>
          <w:spacing w:val="-24"/>
        </w:rPr>
        <w:t> </w:t>
      </w:r>
      <w:r>
        <w:rPr/>
        <w:t>the</w:t>
      </w:r>
      <w:r>
        <w:rPr>
          <w:spacing w:val="-25"/>
        </w:rPr>
        <w:t> </w:t>
      </w:r>
      <w:r>
        <w:rPr/>
        <w:t>submarket</w:t>
      </w:r>
      <w:r>
        <w:rPr>
          <w:spacing w:val="-22"/>
        </w:rPr>
        <w:t> </w:t>
      </w:r>
      <w:r>
        <w:rPr/>
        <w:t>also</w:t>
      </w:r>
      <w:r>
        <w:rPr>
          <w:spacing w:val="-23"/>
        </w:rPr>
        <w:t> </w:t>
      </w:r>
      <w:r>
        <w:rPr/>
        <w:t>has</w:t>
      </w:r>
      <w:r>
        <w:rPr>
          <w:spacing w:val="-24"/>
        </w:rPr>
        <w:t> </w:t>
      </w:r>
      <w:r>
        <w:rPr/>
        <w:t>presence</w:t>
      </w:r>
      <w:r>
        <w:rPr>
          <w:spacing w:val="-23"/>
        </w:rPr>
        <w:t> </w:t>
      </w:r>
      <w:r>
        <w:rPr/>
        <w:t>of</w:t>
      </w:r>
      <w:r>
        <w:rPr>
          <w:spacing w:val="-24"/>
        </w:rPr>
        <w:t> </w:t>
      </w:r>
      <w:r>
        <w:rPr/>
        <w:t>IT</w:t>
      </w:r>
      <w:r>
        <w:rPr>
          <w:spacing w:val="-24"/>
        </w:rPr>
        <w:t> </w:t>
      </w:r>
      <w:r>
        <w:rPr/>
        <w:t>parks</w:t>
      </w:r>
      <w:r>
        <w:rPr>
          <w:spacing w:val="-22"/>
        </w:rPr>
        <w:t> </w:t>
      </w:r>
      <w:r>
        <w:rPr/>
        <w:t>like</w:t>
      </w:r>
      <w:r>
        <w:rPr>
          <w:spacing w:val="-23"/>
        </w:rPr>
        <w:t> </w:t>
      </w:r>
      <w:r>
        <w:rPr/>
        <w:t>Pesh</w:t>
      </w:r>
      <w:r>
        <w:rPr>
          <w:spacing w:val="-24"/>
        </w:rPr>
        <w:t> </w:t>
      </w:r>
      <w:r>
        <w:rPr/>
        <w:t>Infotech,</w:t>
      </w:r>
      <w:r>
        <w:rPr>
          <w:spacing w:val="-24"/>
        </w:rPr>
        <w:t> </w:t>
      </w:r>
      <w:r>
        <w:rPr/>
        <w:t>Indo</w:t>
      </w:r>
      <w:r>
        <w:rPr>
          <w:spacing w:val="-23"/>
        </w:rPr>
        <w:t> </w:t>
      </w:r>
      <w:r>
        <w:rPr/>
        <w:t>Global Software</w:t>
      </w:r>
      <w:r>
        <w:rPr>
          <w:spacing w:val="-35"/>
        </w:rPr>
        <w:t> </w:t>
      </w:r>
      <w:r>
        <w:rPr/>
        <w:t>Tech</w:t>
      </w:r>
      <w:r>
        <w:rPr>
          <w:spacing w:val="-35"/>
        </w:rPr>
        <w:t> </w:t>
      </w:r>
      <w:r>
        <w:rPr/>
        <w:t>Park,</w:t>
      </w:r>
      <w:r>
        <w:rPr>
          <w:spacing w:val="-35"/>
        </w:rPr>
        <w:t> </w:t>
      </w:r>
      <w:r>
        <w:rPr/>
        <w:t>Radius</w:t>
      </w:r>
      <w:r>
        <w:rPr>
          <w:spacing w:val="-34"/>
        </w:rPr>
        <w:t> </w:t>
      </w:r>
      <w:r>
        <w:rPr/>
        <w:t>Tech</w:t>
      </w:r>
      <w:r>
        <w:rPr>
          <w:spacing w:val="-35"/>
        </w:rPr>
        <w:t> </w:t>
      </w:r>
      <w:r>
        <w:rPr/>
        <w:t>Park,</w:t>
      </w:r>
      <w:r>
        <w:rPr>
          <w:spacing w:val="-35"/>
        </w:rPr>
        <w:t> </w:t>
      </w:r>
      <w:r>
        <w:rPr/>
        <w:t>Panchshil</w:t>
      </w:r>
      <w:r>
        <w:rPr>
          <w:spacing w:val="-34"/>
        </w:rPr>
        <w:t> </w:t>
      </w:r>
      <w:r>
        <w:rPr/>
        <w:t>Tech</w:t>
      </w:r>
      <w:r>
        <w:rPr>
          <w:spacing w:val="-35"/>
        </w:rPr>
        <w:t> </w:t>
      </w:r>
      <w:r>
        <w:rPr/>
        <w:t>Park,</w:t>
      </w:r>
      <w:r>
        <w:rPr>
          <w:spacing w:val="-35"/>
        </w:rPr>
        <w:t> </w:t>
      </w:r>
      <w:r>
        <w:rPr/>
        <w:t>etc.</w:t>
      </w:r>
      <w:r>
        <w:rPr>
          <w:spacing w:val="-34"/>
        </w:rPr>
        <w:t> </w:t>
      </w:r>
      <w:r>
        <w:rPr/>
        <w:t>In</w:t>
      </w:r>
      <w:r>
        <w:rPr>
          <w:spacing w:val="-34"/>
        </w:rPr>
        <w:t> </w:t>
      </w:r>
      <w:r>
        <w:rPr/>
        <w:t>addition,</w:t>
      </w:r>
      <w:r>
        <w:rPr>
          <w:spacing w:val="-36"/>
        </w:rPr>
        <w:t> </w:t>
      </w:r>
      <w:r>
        <w:rPr/>
        <w:t>some</w:t>
      </w:r>
      <w:r>
        <w:rPr>
          <w:spacing w:val="-34"/>
        </w:rPr>
        <w:t> </w:t>
      </w:r>
      <w:r>
        <w:rPr/>
        <w:t>of the campuses of IT majors such as Wipro, Infosys, Emerson Innovations, HCL, etc are also located in the same micro</w:t>
      </w:r>
      <w:r>
        <w:rPr>
          <w:spacing w:val="-32"/>
        </w:rPr>
        <w:t> </w:t>
      </w:r>
      <w:r>
        <w:rPr/>
        <w:t>market.</w:t>
      </w:r>
    </w:p>
    <w:p>
      <w:pPr>
        <w:pStyle w:val="BodyText"/>
        <w:spacing w:line="321" w:lineRule="auto" w:before="124"/>
        <w:ind w:left="2669" w:right="116"/>
        <w:jc w:val="both"/>
      </w:pPr>
      <w:r>
        <w:rPr/>
        <w:t>Apart from IT/ITeS developments, the subject micro-market is also witnessing</w:t>
      </w:r>
      <w:r>
        <w:rPr>
          <w:spacing w:val="-41"/>
        </w:rPr>
        <w:t> </w:t>
      </w:r>
      <w:r>
        <w:rPr/>
        <w:t>an increasing</w:t>
      </w:r>
      <w:r>
        <w:rPr>
          <w:spacing w:val="-33"/>
        </w:rPr>
        <w:t> </w:t>
      </w:r>
      <w:r>
        <w:rPr/>
        <w:t>residential</w:t>
      </w:r>
      <w:r>
        <w:rPr>
          <w:spacing w:val="-34"/>
        </w:rPr>
        <w:t> </w:t>
      </w:r>
      <w:r>
        <w:rPr/>
        <w:t>activity</w:t>
      </w:r>
      <w:r>
        <w:rPr>
          <w:spacing w:val="-32"/>
        </w:rPr>
        <w:t> </w:t>
      </w:r>
      <w:r>
        <w:rPr/>
        <w:t>primarily</w:t>
      </w:r>
      <w:r>
        <w:rPr>
          <w:spacing w:val="-33"/>
        </w:rPr>
        <w:t> </w:t>
      </w:r>
      <w:r>
        <w:rPr/>
        <w:t>catering</w:t>
      </w:r>
      <w:r>
        <w:rPr>
          <w:spacing w:val="-32"/>
        </w:rPr>
        <w:t> </w:t>
      </w:r>
      <w:r>
        <w:rPr/>
        <w:t>to</w:t>
      </w:r>
      <w:r>
        <w:rPr>
          <w:spacing w:val="-33"/>
        </w:rPr>
        <w:t> </w:t>
      </w:r>
      <w:r>
        <w:rPr/>
        <w:t>demand</w:t>
      </w:r>
      <w:r>
        <w:rPr>
          <w:spacing w:val="-33"/>
        </w:rPr>
        <w:t> </w:t>
      </w:r>
      <w:r>
        <w:rPr/>
        <w:t>of</w:t>
      </w:r>
      <w:r>
        <w:rPr>
          <w:spacing w:val="-33"/>
        </w:rPr>
        <w:t> </w:t>
      </w:r>
      <w:r>
        <w:rPr/>
        <w:t>the</w:t>
      </w:r>
      <w:r>
        <w:rPr>
          <w:spacing w:val="-33"/>
        </w:rPr>
        <w:t> </w:t>
      </w:r>
      <w:r>
        <w:rPr/>
        <w:t>working</w:t>
      </w:r>
      <w:r>
        <w:rPr>
          <w:spacing w:val="-34"/>
        </w:rPr>
        <w:t> </w:t>
      </w:r>
      <w:r>
        <w:rPr/>
        <w:t>populace of</w:t>
      </w:r>
      <w:r>
        <w:rPr>
          <w:spacing w:val="-34"/>
        </w:rPr>
        <w:t> </w:t>
      </w:r>
      <w:r>
        <w:rPr/>
        <w:t>Hinjewadi</w:t>
      </w:r>
      <w:r>
        <w:rPr>
          <w:spacing w:val="-36"/>
        </w:rPr>
        <w:t> </w:t>
      </w:r>
      <w:r>
        <w:rPr/>
        <w:t>&amp;</w:t>
      </w:r>
      <w:r>
        <w:rPr>
          <w:spacing w:val="-33"/>
        </w:rPr>
        <w:t> </w:t>
      </w:r>
      <w:r>
        <w:rPr/>
        <w:t>nearby</w:t>
      </w:r>
      <w:r>
        <w:rPr>
          <w:spacing w:val="-35"/>
        </w:rPr>
        <w:t> </w:t>
      </w:r>
      <w:r>
        <w:rPr/>
        <w:t>micro-markets.</w:t>
      </w:r>
      <w:r>
        <w:rPr>
          <w:spacing w:val="-34"/>
        </w:rPr>
        <w:t> </w:t>
      </w:r>
      <w:r>
        <w:rPr/>
        <w:t>Key</w:t>
      </w:r>
      <w:r>
        <w:rPr>
          <w:spacing w:val="-34"/>
        </w:rPr>
        <w:t> </w:t>
      </w:r>
      <w:r>
        <w:rPr/>
        <w:t>residential</w:t>
      </w:r>
      <w:r>
        <w:rPr>
          <w:spacing w:val="-34"/>
        </w:rPr>
        <w:t> </w:t>
      </w:r>
      <w:r>
        <w:rPr/>
        <w:t>projects</w:t>
      </w:r>
      <w:r>
        <w:rPr>
          <w:spacing w:val="-33"/>
        </w:rPr>
        <w:t> </w:t>
      </w:r>
      <w:r>
        <w:rPr/>
        <w:t>in</w:t>
      </w:r>
      <w:r>
        <w:rPr>
          <w:spacing w:val="-36"/>
        </w:rPr>
        <w:t> </w:t>
      </w:r>
      <w:r>
        <w:rPr/>
        <w:t>the</w:t>
      </w:r>
      <w:r>
        <w:rPr>
          <w:spacing w:val="-35"/>
        </w:rPr>
        <w:t> </w:t>
      </w:r>
      <w:r>
        <w:rPr/>
        <w:t>micro-markets includes</w:t>
      </w:r>
      <w:r>
        <w:rPr>
          <w:spacing w:val="-7"/>
        </w:rPr>
        <w:t> </w:t>
      </w:r>
      <w:r>
        <w:rPr/>
        <w:t>developments</w:t>
      </w:r>
      <w:r>
        <w:rPr>
          <w:spacing w:val="-7"/>
        </w:rPr>
        <w:t> </w:t>
      </w:r>
      <w:r>
        <w:rPr/>
        <w:t>by</w:t>
      </w:r>
      <w:r>
        <w:rPr>
          <w:spacing w:val="-7"/>
        </w:rPr>
        <w:t> </w:t>
      </w:r>
      <w:r>
        <w:rPr/>
        <w:t>prominent</w:t>
      </w:r>
      <w:r>
        <w:rPr>
          <w:spacing w:val="-9"/>
        </w:rPr>
        <w:t> </w:t>
      </w:r>
      <w:r>
        <w:rPr/>
        <w:t>players</w:t>
      </w:r>
      <w:r>
        <w:rPr>
          <w:spacing w:val="-7"/>
        </w:rPr>
        <w:t> </w:t>
      </w:r>
      <w:r>
        <w:rPr/>
        <w:t>like</w:t>
      </w:r>
      <w:r>
        <w:rPr>
          <w:spacing w:val="-10"/>
        </w:rPr>
        <w:t> </w:t>
      </w:r>
      <w:r>
        <w:rPr/>
        <w:t>Kohinoor</w:t>
      </w:r>
      <w:r>
        <w:rPr>
          <w:spacing w:val="-8"/>
        </w:rPr>
        <w:t> </w:t>
      </w:r>
      <w:r>
        <w:rPr/>
        <w:t>Developers,</w:t>
      </w:r>
      <w:r>
        <w:rPr>
          <w:spacing w:val="-8"/>
        </w:rPr>
        <w:t> </w:t>
      </w:r>
      <w:r>
        <w:rPr/>
        <w:t>Paranjape Schemes,</w:t>
      </w:r>
      <w:r>
        <w:rPr>
          <w:spacing w:val="-37"/>
        </w:rPr>
        <w:t> </w:t>
      </w:r>
      <w:r>
        <w:rPr/>
        <w:t>TCG,</w:t>
      </w:r>
      <w:r>
        <w:rPr>
          <w:spacing w:val="-37"/>
        </w:rPr>
        <w:t> </w:t>
      </w:r>
      <w:r>
        <w:rPr/>
        <w:t>Xrbia,</w:t>
      </w:r>
      <w:r>
        <w:rPr>
          <w:spacing w:val="-36"/>
        </w:rPr>
        <w:t> </w:t>
      </w:r>
      <w:r>
        <w:rPr/>
        <w:t>Kolte</w:t>
      </w:r>
      <w:r>
        <w:rPr>
          <w:spacing w:val="-37"/>
        </w:rPr>
        <w:t> </w:t>
      </w:r>
      <w:r>
        <w:rPr/>
        <w:t>Patil,</w:t>
      </w:r>
      <w:r>
        <w:rPr>
          <w:spacing w:val="-37"/>
        </w:rPr>
        <w:t> </w:t>
      </w:r>
      <w:r>
        <w:rPr/>
        <w:t>Mittal</w:t>
      </w:r>
      <w:r>
        <w:rPr>
          <w:spacing w:val="-37"/>
        </w:rPr>
        <w:t> </w:t>
      </w:r>
      <w:r>
        <w:rPr/>
        <w:t>Brothers,</w:t>
      </w:r>
      <w:r>
        <w:rPr>
          <w:spacing w:val="-37"/>
        </w:rPr>
        <w:t> </w:t>
      </w:r>
      <w:r>
        <w:rPr/>
        <w:t>Shapoorji,</w:t>
      </w:r>
      <w:r>
        <w:rPr>
          <w:spacing w:val="-36"/>
        </w:rPr>
        <w:t> </w:t>
      </w:r>
      <w:r>
        <w:rPr/>
        <w:t>etc.</w:t>
      </w:r>
      <w:r>
        <w:rPr>
          <w:spacing w:val="-37"/>
        </w:rPr>
        <w:t> </w:t>
      </w:r>
      <w:r>
        <w:rPr/>
        <w:t>The</w:t>
      </w:r>
      <w:r>
        <w:rPr>
          <w:spacing w:val="-37"/>
        </w:rPr>
        <w:t> </w:t>
      </w:r>
      <w:r>
        <w:rPr/>
        <w:t>subject</w:t>
      </w:r>
      <w:r>
        <w:rPr>
          <w:spacing w:val="-37"/>
        </w:rPr>
        <w:t> </w:t>
      </w:r>
      <w:r>
        <w:rPr/>
        <w:t>micro- market</w:t>
      </w:r>
      <w:r>
        <w:rPr>
          <w:spacing w:val="-20"/>
        </w:rPr>
        <w:t> </w:t>
      </w:r>
      <w:r>
        <w:rPr/>
        <w:t>is</w:t>
      </w:r>
      <w:r>
        <w:rPr>
          <w:spacing w:val="-20"/>
        </w:rPr>
        <w:t> </w:t>
      </w:r>
      <w:r>
        <w:rPr/>
        <w:t>surrounded</w:t>
      </w:r>
      <w:r>
        <w:rPr>
          <w:spacing w:val="-19"/>
        </w:rPr>
        <w:t> </w:t>
      </w:r>
      <w:r>
        <w:rPr/>
        <w:t>by</w:t>
      </w:r>
      <w:r>
        <w:rPr>
          <w:spacing w:val="-21"/>
        </w:rPr>
        <w:t> </w:t>
      </w:r>
      <w:r>
        <w:rPr/>
        <w:t>other</w:t>
      </w:r>
      <w:r>
        <w:rPr>
          <w:spacing w:val="-20"/>
        </w:rPr>
        <w:t> </w:t>
      </w:r>
      <w:r>
        <w:rPr/>
        <w:t>notable</w:t>
      </w:r>
      <w:r>
        <w:rPr>
          <w:spacing w:val="-21"/>
        </w:rPr>
        <w:t> </w:t>
      </w:r>
      <w:r>
        <w:rPr/>
        <w:t>markets</w:t>
      </w:r>
      <w:r>
        <w:rPr>
          <w:spacing w:val="-18"/>
        </w:rPr>
        <w:t> </w:t>
      </w:r>
      <w:r>
        <w:rPr/>
        <w:t>like</w:t>
      </w:r>
      <w:r>
        <w:rPr>
          <w:spacing w:val="-21"/>
        </w:rPr>
        <w:t> </w:t>
      </w:r>
      <w:r>
        <w:rPr/>
        <w:t>Wakad,</w:t>
      </w:r>
      <w:r>
        <w:rPr>
          <w:spacing w:val="-20"/>
        </w:rPr>
        <w:t> </w:t>
      </w:r>
      <w:r>
        <w:rPr/>
        <w:t>Tathawade,</w:t>
      </w:r>
      <w:r>
        <w:rPr>
          <w:spacing w:val="-20"/>
        </w:rPr>
        <w:t> </w:t>
      </w:r>
      <w:r>
        <w:rPr/>
        <w:t>etc.</w:t>
      </w:r>
      <w:r>
        <w:rPr>
          <w:spacing w:val="-20"/>
        </w:rPr>
        <w:t> </w:t>
      </w:r>
      <w:r>
        <w:rPr/>
        <w:t>which are located along the Mumbai </w:t>
      </w:r>
      <w:r>
        <w:rPr>
          <w:w w:val="105"/>
        </w:rPr>
        <w:t>– </w:t>
      </w:r>
      <w:r>
        <w:rPr/>
        <w:t>Bengaluru Bypass Highway. Further, the micro- market</w:t>
      </w:r>
      <w:r>
        <w:rPr>
          <w:spacing w:val="-16"/>
        </w:rPr>
        <w:t> </w:t>
      </w:r>
      <w:r>
        <w:rPr/>
        <w:t>has</w:t>
      </w:r>
      <w:r>
        <w:rPr>
          <w:spacing w:val="-14"/>
        </w:rPr>
        <w:t> </w:t>
      </w:r>
      <w:r>
        <w:rPr/>
        <w:t>adequate</w:t>
      </w:r>
      <w:r>
        <w:rPr>
          <w:spacing w:val="-15"/>
        </w:rPr>
        <w:t> </w:t>
      </w:r>
      <w:r>
        <w:rPr/>
        <w:t>social</w:t>
      </w:r>
      <w:r>
        <w:rPr>
          <w:spacing w:val="-16"/>
        </w:rPr>
        <w:t> </w:t>
      </w:r>
      <w:r>
        <w:rPr/>
        <w:t>and</w:t>
      </w:r>
      <w:r>
        <w:rPr>
          <w:spacing w:val="-15"/>
        </w:rPr>
        <w:t> </w:t>
      </w:r>
      <w:r>
        <w:rPr/>
        <w:t>physical</w:t>
      </w:r>
      <w:r>
        <w:rPr>
          <w:spacing w:val="-16"/>
        </w:rPr>
        <w:t> </w:t>
      </w:r>
      <w:r>
        <w:rPr/>
        <w:t>infrastructure</w:t>
      </w:r>
      <w:r>
        <w:rPr>
          <w:spacing w:val="-16"/>
        </w:rPr>
        <w:t> </w:t>
      </w:r>
      <w:r>
        <w:rPr/>
        <w:t>to</w:t>
      </w:r>
      <w:r>
        <w:rPr>
          <w:spacing w:val="-16"/>
        </w:rPr>
        <w:t> </w:t>
      </w:r>
      <w:r>
        <w:rPr/>
        <w:t>support</w:t>
      </w:r>
      <w:r>
        <w:rPr>
          <w:spacing w:val="-15"/>
        </w:rPr>
        <w:t> </w:t>
      </w:r>
      <w:r>
        <w:rPr/>
        <w:t>the</w:t>
      </w:r>
      <w:r>
        <w:rPr>
          <w:spacing w:val="-17"/>
        </w:rPr>
        <w:t> </w:t>
      </w:r>
      <w:r>
        <w:rPr/>
        <w:t>working</w:t>
      </w:r>
      <w:r>
        <w:rPr>
          <w:spacing w:val="-15"/>
        </w:rPr>
        <w:t> </w:t>
      </w:r>
      <w:r>
        <w:rPr/>
        <w:t>and resident population. Some of the social infrastructure development in the micro- market</w:t>
      </w:r>
      <w:r>
        <w:rPr>
          <w:spacing w:val="-25"/>
        </w:rPr>
        <w:t> </w:t>
      </w:r>
      <w:r>
        <w:rPr/>
        <w:t>include</w:t>
      </w:r>
      <w:r>
        <w:rPr>
          <w:spacing w:val="-26"/>
        </w:rPr>
        <w:t> </w:t>
      </w:r>
      <w:r>
        <w:rPr/>
        <w:t>Blue</w:t>
      </w:r>
      <w:r>
        <w:rPr>
          <w:spacing w:val="-26"/>
        </w:rPr>
        <w:t> </w:t>
      </w:r>
      <w:r>
        <w:rPr/>
        <w:t>Ridge</w:t>
      </w:r>
      <w:r>
        <w:rPr>
          <w:spacing w:val="-25"/>
        </w:rPr>
        <w:t> </w:t>
      </w:r>
      <w:r>
        <w:rPr/>
        <w:t>Public</w:t>
      </w:r>
      <w:r>
        <w:rPr>
          <w:spacing w:val="-26"/>
        </w:rPr>
        <w:t> </w:t>
      </w:r>
      <w:r>
        <w:rPr/>
        <w:t>School,</w:t>
      </w:r>
      <w:r>
        <w:rPr>
          <w:spacing w:val="-25"/>
        </w:rPr>
        <w:t> </w:t>
      </w:r>
      <w:r>
        <w:rPr/>
        <w:t>Pawar</w:t>
      </w:r>
      <w:r>
        <w:rPr>
          <w:spacing w:val="-26"/>
        </w:rPr>
        <w:t> </w:t>
      </w:r>
      <w:r>
        <w:rPr/>
        <w:t>Public</w:t>
      </w:r>
      <w:r>
        <w:rPr>
          <w:spacing w:val="-25"/>
        </w:rPr>
        <w:t> </w:t>
      </w:r>
      <w:r>
        <w:rPr/>
        <w:t>School,</w:t>
      </w:r>
      <w:r>
        <w:rPr>
          <w:spacing w:val="-25"/>
        </w:rPr>
        <w:t> </w:t>
      </w:r>
      <w:r>
        <w:rPr/>
        <w:t>Sanjeevani</w:t>
      </w:r>
      <w:r>
        <w:rPr>
          <w:spacing w:val="-24"/>
        </w:rPr>
        <w:t> </w:t>
      </w:r>
      <w:r>
        <w:rPr/>
        <w:t>Hospital, Ruby Hall Clinic,</w:t>
      </w:r>
      <w:r>
        <w:rPr>
          <w:spacing w:val="-10"/>
        </w:rPr>
        <w:t> </w:t>
      </w:r>
      <w:r>
        <w:rPr/>
        <w:t>etc.</w:t>
      </w:r>
    </w:p>
    <w:p>
      <w:pPr>
        <w:pStyle w:val="BodyText"/>
        <w:spacing w:before="2"/>
        <w:rPr>
          <w:sz w:val="21"/>
        </w:rPr>
      </w:pPr>
    </w:p>
    <w:p>
      <w:pPr>
        <w:pStyle w:val="BodyText"/>
        <w:ind w:left="2669"/>
        <w:jc w:val="both"/>
      </w:pPr>
      <w:r>
        <w:rPr/>
        <w:t>The</w:t>
      </w:r>
      <w:r>
        <w:rPr>
          <w:spacing w:val="-38"/>
        </w:rPr>
        <w:t> </w:t>
      </w:r>
      <w:r>
        <w:rPr/>
        <w:t>distances</w:t>
      </w:r>
      <w:r>
        <w:rPr>
          <w:spacing w:val="-37"/>
        </w:rPr>
        <w:t> </w:t>
      </w:r>
      <w:r>
        <w:rPr/>
        <w:t>from</w:t>
      </w:r>
      <w:r>
        <w:rPr>
          <w:spacing w:val="-37"/>
        </w:rPr>
        <w:t> </w:t>
      </w:r>
      <w:r>
        <w:rPr/>
        <w:t>key</w:t>
      </w:r>
      <w:r>
        <w:rPr>
          <w:spacing w:val="-36"/>
        </w:rPr>
        <w:t> </w:t>
      </w:r>
      <w:r>
        <w:rPr/>
        <w:t>hubs</w:t>
      </w:r>
      <w:r>
        <w:rPr>
          <w:spacing w:val="-38"/>
        </w:rPr>
        <w:t> </w:t>
      </w:r>
      <w:r>
        <w:rPr/>
        <w:t>to</w:t>
      </w:r>
      <w:r>
        <w:rPr>
          <w:spacing w:val="-37"/>
        </w:rPr>
        <w:t> </w:t>
      </w:r>
      <w:r>
        <w:rPr/>
        <w:t>the</w:t>
      </w:r>
      <w:r>
        <w:rPr>
          <w:spacing w:val="-37"/>
        </w:rPr>
        <w:t> </w:t>
      </w:r>
      <w:r>
        <w:rPr/>
        <w:t>subject</w:t>
      </w:r>
      <w:r>
        <w:rPr>
          <w:spacing w:val="-37"/>
        </w:rPr>
        <w:t> </w:t>
      </w:r>
      <w:r>
        <w:rPr/>
        <w:t>property</w:t>
      </w:r>
      <w:r>
        <w:rPr>
          <w:spacing w:val="-36"/>
        </w:rPr>
        <w:t> </w:t>
      </w:r>
      <w:r>
        <w:rPr/>
        <w:t>are</w:t>
      </w:r>
      <w:r>
        <w:rPr>
          <w:spacing w:val="-37"/>
        </w:rPr>
        <w:t> </w:t>
      </w:r>
      <w:r>
        <w:rPr/>
        <w:t>presented</w:t>
      </w:r>
      <w:r>
        <w:rPr>
          <w:spacing w:val="-36"/>
        </w:rPr>
        <w:t> </w:t>
      </w:r>
      <w:r>
        <w:rPr/>
        <w:t>in</w:t>
      </w:r>
      <w:r>
        <w:rPr>
          <w:spacing w:val="-38"/>
        </w:rPr>
        <w:t> </w:t>
      </w:r>
      <w:r>
        <w:rPr/>
        <w:t>the</w:t>
      </w:r>
      <w:r>
        <w:rPr>
          <w:spacing w:val="-38"/>
        </w:rPr>
        <w:t> </w:t>
      </w:r>
      <w:r>
        <w:rPr/>
        <w:t>table</w:t>
      </w:r>
      <w:r>
        <w:rPr>
          <w:spacing w:val="-38"/>
        </w:rPr>
        <w:t> </w:t>
      </w:r>
      <w:r>
        <w:rPr/>
        <w:t>below:</w:t>
      </w:r>
    </w:p>
    <w:p>
      <w:pPr>
        <w:spacing w:after="0"/>
        <w:jc w:val="both"/>
        <w:sectPr>
          <w:pgSz w:w="11910" w:h="16840"/>
          <w:pgMar w:header="720" w:footer="921" w:top="1660" w:bottom="1120" w:left="600" w:right="500"/>
        </w:sectPr>
      </w:pPr>
    </w:p>
    <w:p>
      <w:pPr>
        <w:pStyle w:val="BodyText"/>
        <w:spacing w:before="4"/>
        <w:rPr>
          <w:sz w:val="18"/>
        </w:rPr>
      </w:pPr>
    </w:p>
    <w:p>
      <w:pPr>
        <w:pStyle w:val="BodyText"/>
        <w:ind w:left="2835"/>
        <w:rPr>
          <w:sz w:val="20"/>
        </w:rPr>
      </w:pPr>
      <w:r>
        <w:rPr>
          <w:sz w:val="20"/>
        </w:rPr>
        <w:pict>
          <v:group style="width:389.85pt;height:14.05pt;mso-position-horizontal-relative:char;mso-position-vertical-relative:line" coordorigin="0,0" coordsize="7797,281">
            <v:shape style="position:absolute;left:0;top:14;width:7797;height:252" coordorigin="0,14" coordsize="7797,252" path="m7797,14l5615,14,0,14,0,266,5615,266,7797,266,7797,14xe" filled="true" fillcolor="#006a4d" stroked="false">
              <v:path arrowok="t"/>
              <v:fill type="solid"/>
            </v:shape>
            <v:shape style="position:absolute;left:0;top:0;width:7797;height:281" coordorigin="0,0" coordsize="7797,281" path="m7797,266l5631,266,5617,266,0,266,0,281,5617,281,5631,281,7797,281,7797,266xm7797,0l5631,0,5617,0,0,0,0,14,5617,14,5631,14,7797,14,7797,0xe" filled="true" fillcolor="#69bd28" stroked="false">
              <v:path arrowok="t"/>
              <v:fill type="solid"/>
            </v:shape>
            <v:shape style="position:absolute;left:0;top:14;width:7797;height:252" type="#_x0000_t202" filled="false" stroked="false">
              <v:textbox inset="0,0,0,0">
                <w:txbxContent>
                  <w:p>
                    <w:pPr>
                      <w:tabs>
                        <w:tab w:pos="6027" w:val="left" w:leader="none"/>
                      </w:tabs>
                      <w:spacing w:before="23"/>
                      <w:ind w:left="2287" w:right="0" w:firstLine="0"/>
                      <w:jc w:val="left"/>
                      <w:rPr>
                        <w:b/>
                        <w:sz w:val="18"/>
                      </w:rPr>
                    </w:pPr>
                    <w:r>
                      <w:rPr>
                        <w:b/>
                        <w:color w:val="FFFFFF"/>
                        <w:w w:val="110"/>
                        <w:sz w:val="18"/>
                      </w:rPr>
                      <w:t>Landmark</w:t>
                      <w:tab/>
                      <w:t>Distance</w:t>
                    </w:r>
                    <w:r>
                      <w:rPr>
                        <w:b/>
                        <w:color w:val="FFFFFF"/>
                        <w:spacing w:val="-5"/>
                        <w:w w:val="110"/>
                        <w:sz w:val="18"/>
                      </w:rPr>
                      <w:t> </w:t>
                    </w:r>
                    <w:r>
                      <w:rPr>
                        <w:b/>
                        <w:color w:val="FFFFFF"/>
                        <w:w w:val="110"/>
                        <w:sz w:val="18"/>
                      </w:rPr>
                      <w:t>(km)</w:t>
                    </w:r>
                  </w:p>
                </w:txbxContent>
              </v:textbox>
              <w10:wrap type="none"/>
            </v:shape>
          </v:group>
        </w:pict>
      </w:r>
      <w:r>
        <w:rPr>
          <w:sz w:val="20"/>
        </w:rPr>
      </w:r>
    </w:p>
    <w:p>
      <w:pPr>
        <w:tabs>
          <w:tab w:pos="9679" w:val="right" w:leader="none"/>
        </w:tabs>
        <w:spacing w:before="68"/>
        <w:ind w:left="3197" w:right="0" w:firstLine="0"/>
        <w:jc w:val="left"/>
        <w:rPr>
          <w:sz w:val="18"/>
        </w:rPr>
      </w:pPr>
      <w:r>
        <w:rPr>
          <w:w w:val="105"/>
          <w:sz w:val="18"/>
        </w:rPr>
        <w:t>National</w:t>
      </w:r>
      <w:r>
        <w:rPr>
          <w:spacing w:val="-24"/>
          <w:w w:val="105"/>
          <w:sz w:val="18"/>
        </w:rPr>
        <w:t> </w:t>
      </w:r>
      <w:r>
        <w:rPr>
          <w:w w:val="105"/>
          <w:sz w:val="18"/>
        </w:rPr>
        <w:t>Highway</w:t>
      </w:r>
      <w:r>
        <w:rPr>
          <w:spacing w:val="-23"/>
          <w:w w:val="105"/>
          <w:sz w:val="18"/>
        </w:rPr>
        <w:t> </w:t>
      </w:r>
      <w:r>
        <w:rPr>
          <w:w w:val="105"/>
          <w:sz w:val="18"/>
        </w:rPr>
        <w:t>48</w:t>
      </w:r>
      <w:r>
        <w:rPr>
          <w:spacing w:val="-23"/>
          <w:w w:val="105"/>
          <w:sz w:val="18"/>
        </w:rPr>
        <w:t> </w:t>
      </w:r>
      <w:r>
        <w:rPr>
          <w:w w:val="105"/>
          <w:sz w:val="18"/>
        </w:rPr>
        <w:t>(Mumbai</w:t>
      </w:r>
      <w:r>
        <w:rPr>
          <w:spacing w:val="-24"/>
          <w:w w:val="105"/>
          <w:sz w:val="18"/>
        </w:rPr>
        <w:t> </w:t>
      </w:r>
      <w:r>
        <w:rPr>
          <w:w w:val="105"/>
          <w:sz w:val="18"/>
        </w:rPr>
        <w:t>–</w:t>
      </w:r>
      <w:r>
        <w:rPr>
          <w:spacing w:val="-23"/>
          <w:w w:val="105"/>
          <w:sz w:val="18"/>
        </w:rPr>
        <w:t> </w:t>
      </w:r>
      <w:r>
        <w:rPr>
          <w:w w:val="105"/>
          <w:sz w:val="18"/>
        </w:rPr>
        <w:t>Bengaluru</w:t>
      </w:r>
      <w:r>
        <w:rPr>
          <w:spacing w:val="-23"/>
          <w:w w:val="105"/>
          <w:sz w:val="18"/>
        </w:rPr>
        <w:t> </w:t>
      </w:r>
      <w:r>
        <w:rPr>
          <w:w w:val="105"/>
          <w:sz w:val="18"/>
        </w:rPr>
        <w:t>bypass</w:t>
      </w:r>
      <w:r>
        <w:rPr>
          <w:spacing w:val="-22"/>
          <w:w w:val="105"/>
          <w:sz w:val="18"/>
        </w:rPr>
        <w:t> </w:t>
      </w:r>
      <w:r>
        <w:rPr>
          <w:w w:val="105"/>
          <w:sz w:val="18"/>
        </w:rPr>
        <w:t>highway)</w:t>
        <w:tab/>
        <w:t>7 -</w:t>
      </w:r>
      <w:r>
        <w:rPr>
          <w:spacing w:val="2"/>
          <w:w w:val="105"/>
          <w:sz w:val="18"/>
        </w:rPr>
        <w:t> </w:t>
      </w:r>
      <w:r>
        <w:rPr>
          <w:w w:val="105"/>
          <w:sz w:val="18"/>
        </w:rPr>
        <w:t>8</w:t>
      </w:r>
    </w:p>
    <w:p>
      <w:pPr>
        <w:tabs>
          <w:tab w:pos="9784" w:val="right" w:leader="none"/>
        </w:tabs>
        <w:spacing w:before="177"/>
        <w:ind w:left="4782" w:right="0" w:firstLine="0"/>
        <w:jc w:val="left"/>
        <w:rPr>
          <w:sz w:val="18"/>
        </w:rPr>
      </w:pPr>
      <w:r>
        <w:rPr/>
        <w:pict>
          <v:shape style="position:absolute;margin-left:171.770004pt;margin-top:4.820623pt;width:389.85pt;height:.75pt;mso-position-horizontal-relative:page;mso-position-vertical-relative:paragraph;z-index:16151040" coordorigin="3435,96" coordsize="7797,15" path="m11232,96l9067,96,9052,96,3435,96,3435,111,9052,111,9067,111,11232,111,11232,96xe" filled="true" fillcolor="#69bd28" stroked="false">
            <v:path arrowok="t"/>
            <v:fill type="solid"/>
            <w10:wrap type="none"/>
          </v:shape>
        </w:pict>
      </w:r>
      <w:r>
        <w:rPr/>
        <w:pict>
          <v:shape style="position:absolute;margin-left:171.770004pt;margin-top:22.580624pt;width:389.85pt;height:.75pt;mso-position-horizontal-relative:page;mso-position-vertical-relative:paragraph;z-index:16151552" coordorigin="3435,452" coordsize="7797,15" path="m11232,452l9067,452,9052,452,3435,452,3435,466,9052,466,9067,466,11232,466,11232,452xe" filled="true" fillcolor="#69bd28" stroked="false">
            <v:path arrowok="t"/>
            <v:fill type="solid"/>
            <w10:wrap type="none"/>
          </v:shape>
        </w:pict>
      </w:r>
      <w:r>
        <w:rPr>
          <w:sz w:val="18"/>
        </w:rPr>
        <w:t>Pune</w:t>
      </w:r>
      <w:r>
        <w:rPr>
          <w:spacing w:val="-24"/>
          <w:sz w:val="18"/>
        </w:rPr>
        <w:t> </w:t>
      </w:r>
      <w:r>
        <w:rPr>
          <w:sz w:val="18"/>
        </w:rPr>
        <w:t>Railway</w:t>
      </w:r>
      <w:r>
        <w:rPr>
          <w:spacing w:val="-23"/>
          <w:sz w:val="18"/>
        </w:rPr>
        <w:t> </w:t>
      </w:r>
      <w:r>
        <w:rPr>
          <w:sz w:val="18"/>
        </w:rPr>
        <w:t>Station</w:t>
        <w:tab/>
        <w:t>22 -</w:t>
      </w:r>
      <w:r>
        <w:rPr>
          <w:spacing w:val="40"/>
          <w:sz w:val="18"/>
        </w:rPr>
        <w:t> </w:t>
      </w:r>
      <w:r>
        <w:rPr>
          <w:sz w:val="18"/>
        </w:rPr>
        <w:t>23</w:t>
      </w:r>
    </w:p>
    <w:p>
      <w:pPr>
        <w:tabs>
          <w:tab w:pos="9796" w:val="right" w:leader="none"/>
        </w:tabs>
        <w:spacing w:before="139"/>
        <w:ind w:left="4916" w:right="0" w:firstLine="0"/>
        <w:jc w:val="left"/>
        <w:rPr>
          <w:sz w:val="18"/>
        </w:rPr>
      </w:pPr>
      <w:r>
        <w:rPr>
          <w:w w:val="105"/>
          <w:sz w:val="18"/>
        </w:rPr>
        <w:t>CBD</w:t>
      </w:r>
      <w:r>
        <w:rPr>
          <w:spacing w:val="-28"/>
          <w:w w:val="105"/>
          <w:sz w:val="18"/>
        </w:rPr>
        <w:t> </w:t>
      </w:r>
      <w:r>
        <w:rPr>
          <w:w w:val="105"/>
          <w:sz w:val="18"/>
        </w:rPr>
        <w:t>(Peth</w:t>
      </w:r>
      <w:r>
        <w:rPr>
          <w:spacing w:val="-26"/>
          <w:w w:val="105"/>
          <w:sz w:val="18"/>
        </w:rPr>
        <w:t> </w:t>
      </w:r>
      <w:r>
        <w:rPr>
          <w:w w:val="105"/>
          <w:sz w:val="18"/>
        </w:rPr>
        <w:t>Areas)</w:t>
        <w:tab/>
        <w:t>22 </w:t>
      </w:r>
      <w:r>
        <w:rPr>
          <w:w w:val="110"/>
          <w:sz w:val="18"/>
        </w:rPr>
        <w:t>–</w:t>
      </w:r>
      <w:r>
        <w:rPr>
          <w:spacing w:val="30"/>
          <w:w w:val="110"/>
          <w:sz w:val="18"/>
        </w:rPr>
        <w:t> </w:t>
      </w:r>
      <w:r>
        <w:rPr>
          <w:w w:val="105"/>
          <w:sz w:val="18"/>
        </w:rPr>
        <w:t>23</w:t>
      </w:r>
    </w:p>
    <w:p>
      <w:pPr>
        <w:tabs>
          <w:tab w:pos="9796" w:val="right" w:leader="none"/>
        </w:tabs>
        <w:spacing w:before="98"/>
        <w:ind w:left="4582" w:right="0" w:firstLine="0"/>
        <w:jc w:val="left"/>
        <w:rPr>
          <w:sz w:val="18"/>
        </w:rPr>
      </w:pPr>
      <w:r>
        <w:rPr/>
        <w:pict>
          <v:shape style="position:absolute;margin-left:171.770004pt;margin-top:2.930634pt;width:389.85pt;height:.75pt;mso-position-horizontal-relative:page;mso-position-vertical-relative:paragraph;z-index:16152064" coordorigin="3435,59" coordsize="7797,15" path="m11232,59l9067,59,9052,59,3435,59,3435,73,9052,73,9067,73,11232,73,11232,59xe" filled="true" fillcolor="#69bd28" stroked="false">
            <v:path arrowok="t"/>
            <v:fill type="solid"/>
            <w10:wrap type="none"/>
          </v:shape>
        </w:pict>
      </w:r>
      <w:r>
        <w:rPr/>
        <w:pict>
          <v:shape style="position:absolute;margin-left:171.770004pt;margin-top:17.571634pt;width:389.85pt;height:.75pt;mso-position-horizontal-relative:page;mso-position-vertical-relative:paragraph;z-index:16152576" coordorigin="3435,351" coordsize="7797,15" path="m11232,351l9067,351,9052,351,3435,351,3435,366,9052,366,9067,366,11232,366,11232,351xe" filled="true" fillcolor="#69bd28" stroked="false">
            <v:path arrowok="t"/>
            <v:fill type="solid"/>
            <w10:wrap type="none"/>
          </v:shape>
        </w:pict>
      </w:r>
      <w:r>
        <w:rPr>
          <w:sz w:val="18"/>
        </w:rPr>
        <w:t>Pune</w:t>
      </w:r>
      <w:r>
        <w:rPr>
          <w:spacing w:val="-29"/>
          <w:sz w:val="18"/>
        </w:rPr>
        <w:t> </w:t>
      </w:r>
      <w:r>
        <w:rPr>
          <w:sz w:val="18"/>
        </w:rPr>
        <w:t>International</w:t>
      </w:r>
      <w:r>
        <w:rPr>
          <w:spacing w:val="-29"/>
          <w:sz w:val="18"/>
        </w:rPr>
        <w:t> </w:t>
      </w:r>
      <w:r>
        <w:rPr>
          <w:sz w:val="18"/>
        </w:rPr>
        <w:t>Airport</w:t>
        <w:tab/>
      </w:r>
      <w:r>
        <w:rPr>
          <w:w w:val="105"/>
          <w:position w:val="1"/>
          <w:sz w:val="18"/>
        </w:rPr>
        <w:t>26 –</w:t>
      </w:r>
      <w:r>
        <w:rPr>
          <w:spacing w:val="36"/>
          <w:w w:val="105"/>
          <w:position w:val="1"/>
          <w:sz w:val="18"/>
        </w:rPr>
        <w:t> </w:t>
      </w:r>
      <w:r>
        <w:rPr>
          <w:w w:val="105"/>
          <w:position w:val="1"/>
          <w:sz w:val="18"/>
        </w:rPr>
        <w:t>27</w:t>
      </w:r>
    </w:p>
    <w:p>
      <w:pPr>
        <w:spacing w:before="96"/>
        <w:ind w:left="2837" w:right="0" w:firstLine="0"/>
        <w:jc w:val="left"/>
        <w:rPr>
          <w:i/>
          <w:sz w:val="18"/>
        </w:rPr>
      </w:pPr>
      <w:r>
        <w:rPr>
          <w:i/>
          <w:sz w:val="18"/>
        </w:rPr>
        <w:t>Source: Consultants’ Research</w:t>
      </w:r>
    </w:p>
    <w:p>
      <w:pPr>
        <w:pStyle w:val="BodyText"/>
        <w:tabs>
          <w:tab w:pos="2669" w:val="left" w:leader="none"/>
        </w:tabs>
        <w:spacing w:line="441" w:lineRule="auto" w:before="317"/>
        <w:ind w:left="2669" w:right="4478" w:hanging="1875"/>
      </w:pPr>
      <w:r>
        <w:rPr/>
        <w:t>Surrounds:</w:t>
        <w:tab/>
        <w:t>The</w:t>
      </w:r>
      <w:r>
        <w:rPr>
          <w:spacing w:val="-28"/>
        </w:rPr>
        <w:t> </w:t>
      </w:r>
      <w:r>
        <w:rPr/>
        <w:t>property</w:t>
      </w:r>
      <w:r>
        <w:rPr>
          <w:spacing w:val="-27"/>
        </w:rPr>
        <w:t> </w:t>
      </w:r>
      <w:r>
        <w:rPr/>
        <w:t>is</w:t>
      </w:r>
      <w:r>
        <w:rPr>
          <w:spacing w:val="-28"/>
        </w:rPr>
        <w:t> </w:t>
      </w:r>
      <w:r>
        <w:rPr/>
        <w:t>surrounded</w:t>
      </w:r>
      <w:r>
        <w:rPr>
          <w:spacing w:val="-27"/>
        </w:rPr>
        <w:t> </w:t>
      </w:r>
      <w:r>
        <w:rPr/>
        <w:t>as</w:t>
      </w:r>
      <w:r>
        <w:rPr>
          <w:spacing w:val="-29"/>
        </w:rPr>
        <w:t> </w:t>
      </w:r>
      <w:r>
        <w:rPr/>
        <w:t>follows: North: Vacant</w:t>
      </w:r>
      <w:r>
        <w:rPr>
          <w:spacing w:val="-5"/>
        </w:rPr>
        <w:t> </w:t>
      </w:r>
      <w:r>
        <w:rPr/>
        <w:t>Land</w:t>
      </w:r>
    </w:p>
    <w:p>
      <w:pPr>
        <w:pStyle w:val="BodyText"/>
        <w:spacing w:line="444" w:lineRule="auto" w:before="4"/>
        <w:ind w:left="2669" w:right="3822"/>
      </w:pPr>
      <w:r>
        <w:rPr/>
        <w:t>South:</w:t>
      </w:r>
      <w:r>
        <w:rPr>
          <w:spacing w:val="-24"/>
        </w:rPr>
        <w:t> </w:t>
      </w:r>
      <w:r>
        <w:rPr/>
        <w:t>Hinjewadi</w:t>
      </w:r>
      <w:r>
        <w:rPr>
          <w:spacing w:val="-26"/>
        </w:rPr>
        <w:t> </w:t>
      </w:r>
      <w:r>
        <w:rPr/>
        <w:t>Main</w:t>
      </w:r>
      <w:r>
        <w:rPr>
          <w:spacing w:val="-25"/>
        </w:rPr>
        <w:t> </w:t>
      </w:r>
      <w:r>
        <w:rPr/>
        <w:t>road</w:t>
      </w:r>
      <w:r>
        <w:rPr>
          <w:spacing w:val="-25"/>
        </w:rPr>
        <w:t> </w:t>
      </w:r>
      <w:r>
        <w:rPr/>
        <w:t>(Primary</w:t>
      </w:r>
      <w:r>
        <w:rPr>
          <w:spacing w:val="-24"/>
        </w:rPr>
        <w:t> </w:t>
      </w:r>
      <w:r>
        <w:rPr/>
        <w:t>Access) East:</w:t>
      </w:r>
      <w:r>
        <w:rPr>
          <w:spacing w:val="-42"/>
        </w:rPr>
        <w:t> </w:t>
      </w:r>
      <w:r>
        <w:rPr/>
        <w:t>Residential</w:t>
      </w:r>
      <w:r>
        <w:rPr>
          <w:spacing w:val="-41"/>
        </w:rPr>
        <w:t> </w:t>
      </w:r>
      <w:r>
        <w:rPr/>
        <w:t>Development</w:t>
      </w:r>
      <w:r>
        <w:rPr>
          <w:spacing w:val="-41"/>
        </w:rPr>
        <w:t> </w:t>
      </w:r>
      <w:r>
        <w:rPr/>
        <w:t>(Tinsel</w:t>
      </w:r>
      <w:r>
        <w:rPr>
          <w:spacing w:val="-41"/>
        </w:rPr>
        <w:t> </w:t>
      </w:r>
      <w:r>
        <w:rPr/>
        <w:t>Town) West: Vacant</w:t>
      </w:r>
      <w:r>
        <w:rPr>
          <w:spacing w:val="-7"/>
        </w:rPr>
        <w:t> </w:t>
      </w:r>
      <w:r>
        <w:rPr/>
        <w:t>Land</w:t>
      </w:r>
    </w:p>
    <w:p>
      <w:pPr>
        <w:spacing w:after="0" w:line="444" w:lineRule="auto"/>
        <w:sectPr>
          <w:pgSz w:w="11910" w:h="16840"/>
          <w:pgMar w:header="720" w:footer="921" w:top="1660" w:bottom="1120" w:left="600" w:right="500"/>
        </w:sectPr>
      </w:pPr>
    </w:p>
    <w:p>
      <w:pPr>
        <w:pStyle w:val="BodyText"/>
        <w:spacing w:line="321" w:lineRule="auto" w:before="109"/>
        <w:ind w:left="794" w:right="-3"/>
      </w:pPr>
      <w:r>
        <w:rPr/>
        <w:t>Potential changes in surroundings:</w:t>
      </w:r>
    </w:p>
    <w:p>
      <w:pPr>
        <w:pStyle w:val="BodyText"/>
        <w:spacing w:line="321" w:lineRule="auto" w:before="109"/>
        <w:ind w:left="72" w:right="116"/>
        <w:jc w:val="both"/>
      </w:pPr>
      <w:r>
        <w:rPr/>
        <w:br w:type="column"/>
      </w:r>
      <w:r>
        <w:rPr/>
        <w:t>With</w:t>
      </w:r>
      <w:r>
        <w:rPr>
          <w:spacing w:val="-44"/>
        </w:rPr>
        <w:t> </w:t>
      </w:r>
      <w:r>
        <w:rPr/>
        <w:t>the</w:t>
      </w:r>
      <w:r>
        <w:rPr>
          <w:spacing w:val="-44"/>
        </w:rPr>
        <w:t> </w:t>
      </w:r>
      <w:r>
        <w:rPr/>
        <w:t>advent</w:t>
      </w:r>
      <w:r>
        <w:rPr>
          <w:spacing w:val="-43"/>
        </w:rPr>
        <w:t> </w:t>
      </w:r>
      <w:r>
        <w:rPr/>
        <w:t>of</w:t>
      </w:r>
      <w:r>
        <w:rPr>
          <w:spacing w:val="-44"/>
        </w:rPr>
        <w:t> </w:t>
      </w:r>
      <w:r>
        <w:rPr/>
        <w:t>IT</w:t>
      </w:r>
      <w:r>
        <w:rPr>
          <w:spacing w:val="-44"/>
        </w:rPr>
        <w:t> </w:t>
      </w:r>
      <w:r>
        <w:rPr/>
        <w:t>sector</w:t>
      </w:r>
      <w:r>
        <w:rPr>
          <w:spacing w:val="-44"/>
        </w:rPr>
        <w:t> </w:t>
      </w:r>
      <w:r>
        <w:rPr/>
        <w:t>in</w:t>
      </w:r>
      <w:r>
        <w:rPr>
          <w:spacing w:val="-44"/>
        </w:rPr>
        <w:t> </w:t>
      </w:r>
      <w:r>
        <w:rPr/>
        <w:t>the</w:t>
      </w:r>
      <w:r>
        <w:rPr>
          <w:spacing w:val="-44"/>
        </w:rPr>
        <w:t> </w:t>
      </w:r>
      <w:r>
        <w:rPr/>
        <w:t>country,</w:t>
      </w:r>
      <w:r>
        <w:rPr>
          <w:spacing w:val="-43"/>
        </w:rPr>
        <w:t> </w:t>
      </w:r>
      <w:r>
        <w:rPr/>
        <w:t>Hinjewadi</w:t>
      </w:r>
      <w:r>
        <w:rPr>
          <w:spacing w:val="-44"/>
        </w:rPr>
        <w:t> </w:t>
      </w:r>
      <w:r>
        <w:rPr/>
        <w:t>(the</w:t>
      </w:r>
      <w:r>
        <w:rPr>
          <w:spacing w:val="-45"/>
        </w:rPr>
        <w:t> </w:t>
      </w:r>
      <w:r>
        <w:rPr/>
        <w:t>subject</w:t>
      </w:r>
      <w:r>
        <w:rPr>
          <w:spacing w:val="-43"/>
        </w:rPr>
        <w:t> </w:t>
      </w:r>
      <w:r>
        <w:rPr/>
        <w:t>micro-market)</w:t>
      </w:r>
      <w:r>
        <w:rPr>
          <w:spacing w:val="-43"/>
        </w:rPr>
        <w:t> </w:t>
      </w:r>
      <w:r>
        <w:rPr/>
        <w:t>was developed</w:t>
      </w:r>
      <w:r>
        <w:rPr>
          <w:spacing w:val="-19"/>
        </w:rPr>
        <w:t> </w:t>
      </w:r>
      <w:r>
        <w:rPr/>
        <w:t>as</w:t>
      </w:r>
      <w:r>
        <w:rPr>
          <w:spacing w:val="-20"/>
        </w:rPr>
        <w:t> </w:t>
      </w:r>
      <w:r>
        <w:rPr/>
        <w:t>an</w:t>
      </w:r>
      <w:r>
        <w:rPr>
          <w:spacing w:val="-20"/>
        </w:rPr>
        <w:t> </w:t>
      </w:r>
      <w:r>
        <w:rPr/>
        <w:t>IT/ITeS</w:t>
      </w:r>
      <w:r>
        <w:rPr>
          <w:spacing w:val="-21"/>
        </w:rPr>
        <w:t> </w:t>
      </w:r>
      <w:r>
        <w:rPr/>
        <w:t>hub</w:t>
      </w:r>
      <w:r>
        <w:rPr>
          <w:spacing w:val="-19"/>
        </w:rPr>
        <w:t> </w:t>
      </w:r>
      <w:r>
        <w:rPr/>
        <w:t>of</w:t>
      </w:r>
      <w:r>
        <w:rPr>
          <w:spacing w:val="-18"/>
        </w:rPr>
        <w:t> </w:t>
      </w:r>
      <w:r>
        <w:rPr/>
        <w:t>the</w:t>
      </w:r>
      <w:r>
        <w:rPr>
          <w:spacing w:val="-20"/>
        </w:rPr>
        <w:t> </w:t>
      </w:r>
      <w:r>
        <w:rPr/>
        <w:t>city.</w:t>
      </w:r>
      <w:r>
        <w:rPr>
          <w:spacing w:val="-19"/>
        </w:rPr>
        <w:t> </w:t>
      </w:r>
      <w:r>
        <w:rPr/>
        <w:t>Over</w:t>
      </w:r>
      <w:r>
        <w:rPr>
          <w:spacing w:val="-20"/>
        </w:rPr>
        <w:t> </w:t>
      </w:r>
      <w:r>
        <w:rPr/>
        <w:t>the</w:t>
      </w:r>
      <w:r>
        <w:rPr>
          <w:spacing w:val="-21"/>
        </w:rPr>
        <w:t> </w:t>
      </w:r>
      <w:r>
        <w:rPr/>
        <w:t>years,</w:t>
      </w:r>
      <w:r>
        <w:rPr>
          <w:spacing w:val="-19"/>
        </w:rPr>
        <w:t> </w:t>
      </w:r>
      <w:r>
        <w:rPr/>
        <w:t>Rajiv</w:t>
      </w:r>
      <w:r>
        <w:rPr>
          <w:spacing w:val="-20"/>
        </w:rPr>
        <w:t> </w:t>
      </w:r>
      <w:r>
        <w:rPr/>
        <w:t>Gandhi</w:t>
      </w:r>
      <w:r>
        <w:rPr>
          <w:spacing w:val="-20"/>
        </w:rPr>
        <w:t> </w:t>
      </w:r>
      <w:r>
        <w:rPr/>
        <w:t>Infotech</w:t>
      </w:r>
      <w:r>
        <w:rPr>
          <w:spacing w:val="-19"/>
        </w:rPr>
        <w:t> </w:t>
      </w:r>
      <w:r>
        <w:rPr/>
        <w:t>park has been developed across 3</w:t>
      </w:r>
      <w:r>
        <w:rPr>
          <w:spacing w:val="-13"/>
        </w:rPr>
        <w:t> </w:t>
      </w:r>
      <w:r>
        <w:rPr/>
        <w:t>phases.</w:t>
      </w:r>
    </w:p>
    <w:p>
      <w:pPr>
        <w:pStyle w:val="BodyText"/>
        <w:spacing w:line="321" w:lineRule="auto" w:before="122"/>
        <w:ind w:left="72" w:right="120"/>
        <w:jc w:val="both"/>
      </w:pPr>
      <w:r>
        <w:rPr/>
        <w:t>The</w:t>
      </w:r>
      <w:r>
        <w:rPr>
          <w:spacing w:val="-21"/>
        </w:rPr>
        <w:t> </w:t>
      </w:r>
      <w:r>
        <w:rPr/>
        <w:t>boost</w:t>
      </w:r>
      <w:r>
        <w:rPr>
          <w:spacing w:val="-19"/>
        </w:rPr>
        <w:t> </w:t>
      </w:r>
      <w:r>
        <w:rPr/>
        <w:t>in</w:t>
      </w:r>
      <w:r>
        <w:rPr>
          <w:spacing w:val="-21"/>
        </w:rPr>
        <w:t> </w:t>
      </w:r>
      <w:r>
        <w:rPr/>
        <w:t>commercial</w:t>
      </w:r>
      <w:r>
        <w:rPr>
          <w:spacing w:val="-17"/>
        </w:rPr>
        <w:t> </w:t>
      </w:r>
      <w:r>
        <w:rPr/>
        <w:t>real</w:t>
      </w:r>
      <w:r>
        <w:rPr>
          <w:spacing w:val="-20"/>
        </w:rPr>
        <w:t> </w:t>
      </w:r>
      <w:r>
        <w:rPr/>
        <w:t>estate</w:t>
      </w:r>
      <w:r>
        <w:rPr>
          <w:spacing w:val="-19"/>
        </w:rPr>
        <w:t> </w:t>
      </w:r>
      <w:r>
        <w:rPr/>
        <w:t>segment</w:t>
      </w:r>
      <w:r>
        <w:rPr>
          <w:spacing w:val="-20"/>
        </w:rPr>
        <w:t> </w:t>
      </w:r>
      <w:r>
        <w:rPr/>
        <w:t>also</w:t>
      </w:r>
      <w:r>
        <w:rPr>
          <w:spacing w:val="-21"/>
        </w:rPr>
        <w:t> </w:t>
      </w:r>
      <w:r>
        <w:rPr/>
        <w:t>prompted</w:t>
      </w:r>
      <w:r>
        <w:rPr>
          <w:spacing w:val="-20"/>
        </w:rPr>
        <w:t> </w:t>
      </w:r>
      <w:r>
        <w:rPr/>
        <w:t>to</w:t>
      </w:r>
      <w:r>
        <w:rPr>
          <w:spacing w:val="-19"/>
        </w:rPr>
        <w:t> </w:t>
      </w:r>
      <w:r>
        <w:rPr/>
        <w:t>the</w:t>
      </w:r>
      <w:r>
        <w:rPr>
          <w:spacing w:val="-20"/>
        </w:rPr>
        <w:t> </w:t>
      </w:r>
      <w:r>
        <w:rPr/>
        <w:t>development</w:t>
      </w:r>
      <w:r>
        <w:rPr>
          <w:spacing w:val="-20"/>
        </w:rPr>
        <w:t> </w:t>
      </w:r>
      <w:r>
        <w:rPr/>
        <w:t>of the</w:t>
      </w:r>
      <w:r>
        <w:rPr>
          <w:spacing w:val="-21"/>
        </w:rPr>
        <w:t> </w:t>
      </w:r>
      <w:r>
        <w:rPr/>
        <w:t>micro-market</w:t>
      </w:r>
      <w:r>
        <w:rPr>
          <w:spacing w:val="-20"/>
        </w:rPr>
        <w:t> </w:t>
      </w:r>
      <w:r>
        <w:rPr/>
        <w:t>as</w:t>
      </w:r>
      <w:r>
        <w:rPr>
          <w:spacing w:val="-20"/>
        </w:rPr>
        <w:t> </w:t>
      </w:r>
      <w:r>
        <w:rPr/>
        <w:t>a</w:t>
      </w:r>
      <w:r>
        <w:rPr>
          <w:spacing w:val="-21"/>
        </w:rPr>
        <w:t> </w:t>
      </w:r>
      <w:r>
        <w:rPr/>
        <w:t>residential</w:t>
      </w:r>
      <w:r>
        <w:rPr>
          <w:spacing w:val="-21"/>
        </w:rPr>
        <w:t> </w:t>
      </w:r>
      <w:r>
        <w:rPr/>
        <w:t>market</w:t>
      </w:r>
      <w:r>
        <w:rPr>
          <w:spacing w:val="-19"/>
        </w:rPr>
        <w:t> </w:t>
      </w:r>
      <w:r>
        <w:rPr/>
        <w:t>to</w:t>
      </w:r>
      <w:r>
        <w:rPr>
          <w:spacing w:val="-21"/>
        </w:rPr>
        <w:t> </w:t>
      </w:r>
      <w:r>
        <w:rPr/>
        <w:t>cater</w:t>
      </w:r>
      <w:r>
        <w:rPr>
          <w:spacing w:val="-22"/>
        </w:rPr>
        <w:t> </w:t>
      </w:r>
      <w:r>
        <w:rPr/>
        <w:t>the</w:t>
      </w:r>
      <w:r>
        <w:rPr>
          <w:spacing w:val="-21"/>
        </w:rPr>
        <w:t> </w:t>
      </w:r>
      <w:r>
        <w:rPr/>
        <w:t>housing</w:t>
      </w:r>
      <w:r>
        <w:rPr>
          <w:spacing w:val="-20"/>
        </w:rPr>
        <w:t> </w:t>
      </w:r>
      <w:r>
        <w:rPr/>
        <w:t>needs</w:t>
      </w:r>
      <w:r>
        <w:rPr>
          <w:spacing w:val="-19"/>
        </w:rPr>
        <w:t> </w:t>
      </w:r>
      <w:r>
        <w:rPr/>
        <w:t>of</w:t>
      </w:r>
      <w:r>
        <w:rPr>
          <w:spacing w:val="-20"/>
        </w:rPr>
        <w:t> </w:t>
      </w:r>
      <w:r>
        <w:rPr/>
        <w:t>the</w:t>
      </w:r>
      <w:r>
        <w:rPr>
          <w:spacing w:val="-22"/>
        </w:rPr>
        <w:t> </w:t>
      </w:r>
      <w:r>
        <w:rPr/>
        <w:t>working populace. This led to the development of various residential townships by major developers of Pune</w:t>
      </w:r>
      <w:r>
        <w:rPr>
          <w:spacing w:val="-9"/>
        </w:rPr>
        <w:t> </w:t>
      </w:r>
      <w:r>
        <w:rPr/>
        <w:t>city.</w:t>
      </w:r>
    </w:p>
    <w:p>
      <w:pPr>
        <w:pStyle w:val="BodyText"/>
        <w:spacing w:line="321" w:lineRule="auto" w:before="122"/>
        <w:ind w:left="69" w:right="116"/>
        <w:jc w:val="both"/>
      </w:pPr>
      <w:r>
        <w:rPr/>
        <w:t>The</w:t>
      </w:r>
      <w:r>
        <w:rPr>
          <w:spacing w:val="-36"/>
        </w:rPr>
        <w:t> </w:t>
      </w:r>
      <w:r>
        <w:rPr/>
        <w:t>micro-market</w:t>
      </w:r>
      <w:r>
        <w:rPr>
          <w:spacing w:val="-35"/>
        </w:rPr>
        <w:t> </w:t>
      </w:r>
      <w:r>
        <w:rPr/>
        <w:t>is</w:t>
      </w:r>
      <w:r>
        <w:rPr>
          <w:spacing w:val="-35"/>
        </w:rPr>
        <w:t> </w:t>
      </w:r>
      <w:r>
        <w:rPr/>
        <w:t>expected</w:t>
      </w:r>
      <w:r>
        <w:rPr>
          <w:spacing w:val="-34"/>
        </w:rPr>
        <w:t> </w:t>
      </w:r>
      <w:r>
        <w:rPr/>
        <w:t>to</w:t>
      </w:r>
      <w:r>
        <w:rPr>
          <w:spacing w:val="-37"/>
        </w:rPr>
        <w:t> </w:t>
      </w:r>
      <w:r>
        <w:rPr/>
        <w:t>witness</w:t>
      </w:r>
      <w:r>
        <w:rPr>
          <w:spacing w:val="-36"/>
        </w:rPr>
        <w:t> </w:t>
      </w:r>
      <w:r>
        <w:rPr/>
        <w:t>sustainable</w:t>
      </w:r>
      <w:r>
        <w:rPr>
          <w:spacing w:val="-35"/>
        </w:rPr>
        <w:t> </w:t>
      </w:r>
      <w:r>
        <w:rPr/>
        <w:t>growth</w:t>
      </w:r>
      <w:r>
        <w:rPr>
          <w:spacing w:val="-35"/>
        </w:rPr>
        <w:t> </w:t>
      </w:r>
      <w:r>
        <w:rPr/>
        <w:t>in</w:t>
      </w:r>
      <w:r>
        <w:rPr>
          <w:spacing w:val="-36"/>
        </w:rPr>
        <w:t> </w:t>
      </w:r>
      <w:r>
        <w:rPr/>
        <w:t>IT/ITeS</w:t>
      </w:r>
      <w:r>
        <w:rPr>
          <w:spacing w:val="-36"/>
        </w:rPr>
        <w:t> </w:t>
      </w:r>
      <w:r>
        <w:rPr/>
        <w:t>segment</w:t>
      </w:r>
      <w:r>
        <w:rPr>
          <w:spacing w:val="-36"/>
        </w:rPr>
        <w:t> </w:t>
      </w:r>
      <w:r>
        <w:rPr/>
        <w:t>with development</w:t>
      </w:r>
      <w:r>
        <w:rPr>
          <w:spacing w:val="-12"/>
        </w:rPr>
        <w:t> </w:t>
      </w:r>
      <w:r>
        <w:rPr/>
        <w:t>of</w:t>
      </w:r>
      <w:r>
        <w:rPr>
          <w:spacing w:val="-13"/>
        </w:rPr>
        <w:t> </w:t>
      </w:r>
      <w:r>
        <w:rPr/>
        <w:t>future</w:t>
      </w:r>
      <w:r>
        <w:rPr>
          <w:spacing w:val="-14"/>
        </w:rPr>
        <w:t> </w:t>
      </w:r>
      <w:r>
        <w:rPr/>
        <w:t>phases</w:t>
      </w:r>
      <w:r>
        <w:rPr>
          <w:spacing w:val="-11"/>
        </w:rPr>
        <w:t> </w:t>
      </w:r>
      <w:r>
        <w:rPr/>
        <w:t>of</w:t>
      </w:r>
      <w:r>
        <w:rPr>
          <w:spacing w:val="-10"/>
        </w:rPr>
        <w:t> </w:t>
      </w:r>
      <w:r>
        <w:rPr/>
        <w:t>various</w:t>
      </w:r>
      <w:r>
        <w:rPr>
          <w:spacing w:val="-11"/>
        </w:rPr>
        <w:t> </w:t>
      </w:r>
      <w:r>
        <w:rPr/>
        <w:t>office</w:t>
      </w:r>
      <w:r>
        <w:rPr>
          <w:spacing w:val="-13"/>
        </w:rPr>
        <w:t> </w:t>
      </w:r>
      <w:r>
        <w:rPr/>
        <w:t>parks.</w:t>
      </w:r>
      <w:r>
        <w:rPr>
          <w:spacing w:val="-12"/>
        </w:rPr>
        <w:t> </w:t>
      </w:r>
      <w:r>
        <w:rPr/>
        <w:t>This</w:t>
      </w:r>
      <w:r>
        <w:rPr>
          <w:spacing w:val="-13"/>
        </w:rPr>
        <w:t> </w:t>
      </w:r>
      <w:r>
        <w:rPr/>
        <w:t>increase</w:t>
      </w:r>
      <w:r>
        <w:rPr>
          <w:spacing w:val="-12"/>
        </w:rPr>
        <w:t> </w:t>
      </w:r>
      <w:r>
        <w:rPr/>
        <w:t>of</w:t>
      </w:r>
      <w:r>
        <w:rPr>
          <w:spacing w:val="-12"/>
        </w:rPr>
        <w:t> </w:t>
      </w:r>
      <w:r>
        <w:rPr/>
        <w:t>commercial supply</w:t>
      </w:r>
      <w:r>
        <w:rPr>
          <w:spacing w:val="-26"/>
        </w:rPr>
        <w:t> </w:t>
      </w:r>
      <w:r>
        <w:rPr/>
        <w:t>will</w:t>
      </w:r>
      <w:r>
        <w:rPr>
          <w:spacing w:val="-24"/>
        </w:rPr>
        <w:t> </w:t>
      </w:r>
      <w:r>
        <w:rPr/>
        <w:t>be</w:t>
      </w:r>
      <w:r>
        <w:rPr>
          <w:spacing w:val="-26"/>
        </w:rPr>
        <w:t> </w:t>
      </w:r>
      <w:r>
        <w:rPr/>
        <w:t>proportionally</w:t>
      </w:r>
      <w:r>
        <w:rPr>
          <w:spacing w:val="-24"/>
        </w:rPr>
        <w:t> </w:t>
      </w:r>
      <w:r>
        <w:rPr/>
        <w:t>matched</w:t>
      </w:r>
      <w:r>
        <w:rPr>
          <w:spacing w:val="-25"/>
        </w:rPr>
        <w:t> </w:t>
      </w:r>
      <w:r>
        <w:rPr/>
        <w:t>by</w:t>
      </w:r>
      <w:r>
        <w:rPr>
          <w:spacing w:val="-25"/>
        </w:rPr>
        <w:t> </w:t>
      </w:r>
      <w:r>
        <w:rPr/>
        <w:t>residential</w:t>
      </w:r>
      <w:r>
        <w:rPr>
          <w:spacing w:val="-24"/>
        </w:rPr>
        <w:t> </w:t>
      </w:r>
      <w:r>
        <w:rPr/>
        <w:t>supply</w:t>
      </w:r>
      <w:r>
        <w:rPr>
          <w:spacing w:val="-25"/>
        </w:rPr>
        <w:t> </w:t>
      </w:r>
      <w:r>
        <w:rPr/>
        <w:t>from</w:t>
      </w:r>
      <w:r>
        <w:rPr>
          <w:spacing w:val="-26"/>
        </w:rPr>
        <w:t> </w:t>
      </w:r>
      <w:r>
        <w:rPr/>
        <w:t>developments</w:t>
      </w:r>
      <w:r>
        <w:rPr>
          <w:spacing w:val="-24"/>
        </w:rPr>
        <w:t> </w:t>
      </w:r>
      <w:r>
        <w:rPr/>
        <w:t>like Megapolis,</w:t>
      </w:r>
      <w:r>
        <w:rPr>
          <w:spacing w:val="-6"/>
        </w:rPr>
        <w:t> </w:t>
      </w:r>
      <w:r>
        <w:rPr/>
        <w:t>Life</w:t>
      </w:r>
      <w:r>
        <w:rPr>
          <w:spacing w:val="-6"/>
        </w:rPr>
        <w:t> </w:t>
      </w:r>
      <w:r>
        <w:rPr/>
        <w:t>Republic,</w:t>
      </w:r>
      <w:r>
        <w:rPr>
          <w:spacing w:val="-7"/>
        </w:rPr>
        <w:t> </w:t>
      </w:r>
      <w:r>
        <w:rPr/>
        <w:t>Blue</w:t>
      </w:r>
      <w:r>
        <w:rPr>
          <w:spacing w:val="-6"/>
        </w:rPr>
        <w:t> </w:t>
      </w:r>
      <w:r>
        <w:rPr/>
        <w:t>Ridge,</w:t>
      </w:r>
      <w:r>
        <w:rPr>
          <w:spacing w:val="-6"/>
        </w:rPr>
        <w:t> </w:t>
      </w:r>
      <w:r>
        <w:rPr/>
        <w:t>EON</w:t>
      </w:r>
      <w:r>
        <w:rPr>
          <w:spacing w:val="-6"/>
        </w:rPr>
        <w:t> </w:t>
      </w:r>
      <w:r>
        <w:rPr/>
        <w:t>homes,</w:t>
      </w:r>
      <w:r>
        <w:rPr>
          <w:spacing w:val="-8"/>
        </w:rPr>
        <w:t> </w:t>
      </w:r>
      <w:r>
        <w:rPr/>
        <w:t>Godrej</w:t>
      </w:r>
      <w:r>
        <w:rPr>
          <w:spacing w:val="-6"/>
        </w:rPr>
        <w:t> </w:t>
      </w:r>
      <w:r>
        <w:rPr/>
        <w:t>24,</w:t>
      </w:r>
      <w:r>
        <w:rPr>
          <w:spacing w:val="-6"/>
        </w:rPr>
        <w:t> </w:t>
      </w:r>
      <w:r>
        <w:rPr/>
        <w:t>etc.</w:t>
      </w:r>
    </w:p>
    <w:p>
      <w:pPr>
        <w:spacing w:after="0" w:line="321" w:lineRule="auto"/>
        <w:jc w:val="both"/>
        <w:sectPr>
          <w:type w:val="continuous"/>
          <w:pgSz w:w="11910" w:h="16840"/>
          <w:pgMar w:top="800" w:bottom="280" w:left="600" w:right="500"/>
          <w:cols w:num="2" w:equalWidth="0">
            <w:col w:w="2561" w:space="40"/>
            <w:col w:w="8209"/>
          </w:cols>
        </w:sectPr>
      </w:pPr>
    </w:p>
    <w:p>
      <w:pPr>
        <w:pStyle w:val="BodyText"/>
        <w:spacing w:before="10"/>
        <w:rPr>
          <w:sz w:val="11"/>
        </w:rPr>
      </w:pPr>
    </w:p>
    <w:p>
      <w:pPr>
        <w:spacing w:after="0"/>
        <w:rPr>
          <w:sz w:val="11"/>
        </w:rPr>
        <w:sectPr>
          <w:type w:val="continuous"/>
          <w:pgSz w:w="11910" w:h="16840"/>
          <w:pgMar w:top="800" w:bottom="280" w:left="600" w:right="500"/>
        </w:sectPr>
      </w:pPr>
    </w:p>
    <w:p>
      <w:pPr>
        <w:pStyle w:val="BodyText"/>
        <w:tabs>
          <w:tab w:pos="2370" w:val="left" w:leader="none"/>
        </w:tabs>
        <w:spacing w:line="321" w:lineRule="auto" w:before="106"/>
        <w:ind w:left="794"/>
      </w:pPr>
      <w:r>
        <w:rPr>
          <w:w w:val="95"/>
        </w:rPr>
        <w:t>Suitability</w:t>
        <w:tab/>
      </w:r>
      <w:r>
        <w:rPr>
          <w:spacing w:val="-11"/>
        </w:rPr>
        <w:t>of </w:t>
      </w:r>
      <w:r>
        <w:rPr/>
        <w:t>existing</w:t>
      </w:r>
      <w:r>
        <w:rPr>
          <w:spacing w:val="-9"/>
        </w:rPr>
        <w:t> </w:t>
      </w:r>
      <w:r>
        <w:rPr/>
        <w:t>use:</w:t>
      </w:r>
    </w:p>
    <w:p>
      <w:pPr>
        <w:pStyle w:val="BodyText"/>
        <w:spacing w:line="321" w:lineRule="auto" w:before="106"/>
        <w:ind w:left="70"/>
      </w:pPr>
      <w:r>
        <w:rPr/>
        <w:br w:type="column"/>
      </w:r>
      <w:r>
        <w:rPr/>
        <w:t>Considering</w:t>
      </w:r>
      <w:r>
        <w:rPr>
          <w:spacing w:val="-33"/>
        </w:rPr>
        <w:t> </w:t>
      </w:r>
      <w:r>
        <w:rPr/>
        <w:t>the</w:t>
      </w:r>
      <w:r>
        <w:rPr>
          <w:spacing w:val="-33"/>
        </w:rPr>
        <w:t> </w:t>
      </w:r>
      <w:r>
        <w:rPr/>
        <w:t>profile</w:t>
      </w:r>
      <w:r>
        <w:rPr>
          <w:spacing w:val="-32"/>
        </w:rPr>
        <w:t> </w:t>
      </w:r>
      <w:r>
        <w:rPr/>
        <w:t>of</w:t>
      </w:r>
      <w:r>
        <w:rPr>
          <w:spacing w:val="-33"/>
        </w:rPr>
        <w:t> </w:t>
      </w:r>
      <w:r>
        <w:rPr/>
        <w:t>surrounding</w:t>
      </w:r>
      <w:r>
        <w:rPr>
          <w:spacing w:val="-32"/>
        </w:rPr>
        <w:t> </w:t>
      </w:r>
      <w:r>
        <w:rPr/>
        <w:t>developments,</w:t>
      </w:r>
      <w:r>
        <w:rPr>
          <w:spacing w:val="-33"/>
        </w:rPr>
        <w:t> </w:t>
      </w:r>
      <w:r>
        <w:rPr/>
        <w:t>the</w:t>
      </w:r>
      <w:r>
        <w:rPr>
          <w:spacing w:val="-32"/>
        </w:rPr>
        <w:t> </w:t>
      </w:r>
      <w:r>
        <w:rPr/>
        <w:t>subject</w:t>
      </w:r>
      <w:r>
        <w:rPr>
          <w:spacing w:val="-33"/>
        </w:rPr>
        <w:t> </w:t>
      </w:r>
      <w:r>
        <w:rPr/>
        <w:t>property</w:t>
      </w:r>
      <w:r>
        <w:rPr>
          <w:spacing w:val="-31"/>
        </w:rPr>
        <w:t> </w:t>
      </w:r>
      <w:r>
        <w:rPr/>
        <w:t>is</w:t>
      </w:r>
      <w:r>
        <w:rPr>
          <w:spacing w:val="-32"/>
        </w:rPr>
        <w:t> </w:t>
      </w:r>
      <w:r>
        <w:rPr/>
        <w:t>opined to</w:t>
      </w:r>
      <w:r>
        <w:rPr>
          <w:spacing w:val="-7"/>
        </w:rPr>
        <w:t> </w:t>
      </w:r>
      <w:r>
        <w:rPr/>
        <w:t>be</w:t>
      </w:r>
      <w:r>
        <w:rPr>
          <w:spacing w:val="-7"/>
        </w:rPr>
        <w:t> </w:t>
      </w:r>
      <w:r>
        <w:rPr/>
        <w:t>suited</w:t>
      </w:r>
      <w:r>
        <w:rPr>
          <w:spacing w:val="-6"/>
        </w:rPr>
        <w:t> </w:t>
      </w:r>
      <w:r>
        <w:rPr/>
        <w:t>for</w:t>
      </w:r>
      <w:r>
        <w:rPr>
          <w:spacing w:val="-8"/>
        </w:rPr>
        <w:t> </w:t>
      </w:r>
      <w:r>
        <w:rPr/>
        <w:t>its</w:t>
      </w:r>
      <w:r>
        <w:rPr>
          <w:spacing w:val="-5"/>
        </w:rPr>
        <w:t> </w:t>
      </w:r>
      <w:r>
        <w:rPr/>
        <w:t>current</w:t>
      </w:r>
      <w:r>
        <w:rPr>
          <w:spacing w:val="-9"/>
        </w:rPr>
        <w:t> </w:t>
      </w:r>
      <w:r>
        <w:rPr/>
        <w:t>use</w:t>
      </w:r>
      <w:r>
        <w:rPr>
          <w:spacing w:val="-6"/>
        </w:rPr>
        <w:t> </w:t>
      </w:r>
      <w:r>
        <w:rPr/>
        <w:t>viz.</w:t>
      </w:r>
      <w:r>
        <w:rPr>
          <w:spacing w:val="-6"/>
        </w:rPr>
        <w:t> </w:t>
      </w:r>
      <w:r>
        <w:rPr/>
        <w:t>office</w:t>
      </w:r>
      <w:r>
        <w:rPr>
          <w:spacing w:val="-7"/>
        </w:rPr>
        <w:t> </w:t>
      </w:r>
      <w:r>
        <w:rPr/>
        <w:t>park.</w:t>
      </w:r>
    </w:p>
    <w:p>
      <w:pPr>
        <w:spacing w:after="0" w:line="321" w:lineRule="auto"/>
        <w:sectPr>
          <w:type w:val="continuous"/>
          <w:pgSz w:w="11910" w:h="16840"/>
          <w:pgMar w:top="800" w:bottom="280" w:left="600" w:right="500"/>
          <w:cols w:num="2" w:equalWidth="0">
            <w:col w:w="2560" w:space="40"/>
            <w:col w:w="8210"/>
          </w:cols>
        </w:sectPr>
      </w:pPr>
    </w:p>
    <w:p>
      <w:pPr>
        <w:pStyle w:val="BodyText"/>
        <w:spacing w:before="6"/>
        <w:rPr>
          <w:sz w:val="11"/>
        </w:rPr>
      </w:pPr>
    </w:p>
    <w:p>
      <w:pPr>
        <w:pStyle w:val="BodyText"/>
        <w:tabs>
          <w:tab w:pos="2669" w:val="left" w:leader="none"/>
        </w:tabs>
        <w:spacing w:line="321" w:lineRule="auto" w:before="106"/>
        <w:ind w:left="2669" w:right="119" w:hanging="1875"/>
        <w:jc w:val="both"/>
      </w:pPr>
      <w:r>
        <w:rPr/>
        <w:t>Shape:</w:t>
        <w:tab/>
        <w:t>Based</w:t>
      </w:r>
      <w:r>
        <w:rPr>
          <w:spacing w:val="-42"/>
        </w:rPr>
        <w:t> </w:t>
      </w:r>
      <w:r>
        <w:rPr/>
        <w:t>on</w:t>
      </w:r>
      <w:r>
        <w:rPr>
          <w:spacing w:val="-42"/>
        </w:rPr>
        <w:t> </w:t>
      </w:r>
      <w:r>
        <w:rPr/>
        <w:t>the</w:t>
      </w:r>
      <w:r>
        <w:rPr>
          <w:spacing w:val="-42"/>
        </w:rPr>
        <w:t> </w:t>
      </w:r>
      <w:r>
        <w:rPr/>
        <w:t>visual</w:t>
      </w:r>
      <w:r>
        <w:rPr>
          <w:spacing w:val="-41"/>
        </w:rPr>
        <w:t> </w:t>
      </w:r>
      <w:r>
        <w:rPr/>
        <w:t>inspection,</w:t>
      </w:r>
      <w:r>
        <w:rPr>
          <w:spacing w:val="-43"/>
        </w:rPr>
        <w:t> </w:t>
      </w:r>
      <w:r>
        <w:rPr/>
        <w:t>we</w:t>
      </w:r>
      <w:r>
        <w:rPr>
          <w:spacing w:val="-42"/>
        </w:rPr>
        <w:t> </w:t>
      </w:r>
      <w:r>
        <w:rPr/>
        <w:t>understand</w:t>
      </w:r>
      <w:r>
        <w:rPr>
          <w:spacing w:val="-41"/>
        </w:rPr>
        <w:t> </w:t>
      </w:r>
      <w:r>
        <w:rPr/>
        <w:t>that</w:t>
      </w:r>
      <w:r>
        <w:rPr>
          <w:spacing w:val="-43"/>
        </w:rPr>
        <w:t> </w:t>
      </w:r>
      <w:r>
        <w:rPr/>
        <w:t>the</w:t>
      </w:r>
      <w:r>
        <w:rPr>
          <w:spacing w:val="-42"/>
        </w:rPr>
        <w:t> </w:t>
      </w:r>
      <w:r>
        <w:rPr/>
        <w:t>subject</w:t>
      </w:r>
      <w:r>
        <w:rPr>
          <w:spacing w:val="-41"/>
        </w:rPr>
        <w:t> </w:t>
      </w:r>
      <w:r>
        <w:rPr/>
        <w:t>land</w:t>
      </w:r>
      <w:r>
        <w:rPr>
          <w:spacing w:val="-42"/>
        </w:rPr>
        <w:t> </w:t>
      </w:r>
      <w:r>
        <w:rPr/>
        <w:t>parcel</w:t>
      </w:r>
      <w:r>
        <w:rPr>
          <w:spacing w:val="-42"/>
        </w:rPr>
        <w:t> </w:t>
      </w:r>
      <w:r>
        <w:rPr/>
        <w:t>is</w:t>
      </w:r>
      <w:r>
        <w:rPr>
          <w:spacing w:val="-42"/>
        </w:rPr>
        <w:t> </w:t>
      </w:r>
      <w:r>
        <w:rPr/>
        <w:t>irregular in</w:t>
      </w:r>
      <w:r>
        <w:rPr>
          <w:spacing w:val="-4"/>
        </w:rPr>
        <w:t> </w:t>
      </w:r>
      <w:r>
        <w:rPr/>
        <w:t>shape.</w:t>
      </w:r>
    </w:p>
    <w:p>
      <w:pPr>
        <w:pStyle w:val="BodyText"/>
        <w:spacing w:before="10"/>
        <w:rPr>
          <w:sz w:val="20"/>
        </w:rPr>
      </w:pPr>
    </w:p>
    <w:p>
      <w:pPr>
        <w:pStyle w:val="BodyText"/>
        <w:spacing w:line="321" w:lineRule="auto"/>
        <w:ind w:left="2669" w:right="118" w:hanging="1875"/>
        <w:jc w:val="both"/>
      </w:pPr>
      <w:r>
        <w:rPr/>
        <w:t>Topography: Based on the site plan and as corroborated with our site visit, the site appears to be even and on the same level as abutting access roads and adjoining properties</w:t>
      </w:r>
    </w:p>
    <w:p>
      <w:pPr>
        <w:pStyle w:val="BodyText"/>
        <w:spacing w:before="9"/>
        <w:rPr>
          <w:sz w:val="20"/>
        </w:rPr>
      </w:pPr>
    </w:p>
    <w:p>
      <w:pPr>
        <w:pStyle w:val="BodyText"/>
        <w:tabs>
          <w:tab w:pos="2669" w:val="left" w:leader="none"/>
        </w:tabs>
        <w:spacing w:line="321" w:lineRule="auto"/>
        <w:ind w:left="2669" w:right="118" w:hanging="1875"/>
        <w:jc w:val="both"/>
      </w:pPr>
      <w:r>
        <w:rPr/>
        <w:t>Frontage:</w:t>
        <w:tab/>
        <w:t>Based</w:t>
      </w:r>
      <w:r>
        <w:rPr>
          <w:spacing w:val="-13"/>
        </w:rPr>
        <w:t> </w:t>
      </w:r>
      <w:r>
        <w:rPr/>
        <w:t>on</w:t>
      </w:r>
      <w:r>
        <w:rPr>
          <w:spacing w:val="-13"/>
        </w:rPr>
        <w:t> </w:t>
      </w:r>
      <w:r>
        <w:rPr/>
        <w:t>review</w:t>
      </w:r>
      <w:r>
        <w:rPr>
          <w:spacing w:val="-11"/>
        </w:rPr>
        <w:t> </w:t>
      </w:r>
      <w:r>
        <w:rPr/>
        <w:t>of</w:t>
      </w:r>
      <w:r>
        <w:rPr>
          <w:spacing w:val="-12"/>
        </w:rPr>
        <w:t> </w:t>
      </w:r>
      <w:r>
        <w:rPr/>
        <w:t>site</w:t>
      </w:r>
      <w:r>
        <w:rPr>
          <w:spacing w:val="-15"/>
        </w:rPr>
        <w:t> </w:t>
      </w:r>
      <w:r>
        <w:rPr/>
        <w:t>plan,</w:t>
      </w:r>
      <w:r>
        <w:rPr>
          <w:spacing w:val="-12"/>
        </w:rPr>
        <w:t> </w:t>
      </w:r>
      <w:r>
        <w:rPr/>
        <w:t>visual</w:t>
      </w:r>
      <w:r>
        <w:rPr>
          <w:spacing w:val="-12"/>
        </w:rPr>
        <w:t> </w:t>
      </w:r>
      <w:r>
        <w:rPr/>
        <w:t>inspection</w:t>
      </w:r>
      <w:r>
        <w:rPr>
          <w:spacing w:val="-13"/>
        </w:rPr>
        <w:t> </w:t>
      </w:r>
      <w:r>
        <w:rPr/>
        <w:t>and</w:t>
      </w:r>
      <w:r>
        <w:rPr>
          <w:spacing w:val="-14"/>
        </w:rPr>
        <w:t> </w:t>
      </w:r>
      <w:r>
        <w:rPr/>
        <w:t>measurements</w:t>
      </w:r>
      <w:r>
        <w:rPr>
          <w:spacing w:val="-14"/>
        </w:rPr>
        <w:t> </w:t>
      </w:r>
      <w:r>
        <w:rPr/>
        <w:t>made</w:t>
      </w:r>
      <w:r>
        <w:rPr>
          <w:spacing w:val="-13"/>
        </w:rPr>
        <w:t> </w:t>
      </w:r>
      <w:r>
        <w:rPr/>
        <w:t>on</w:t>
      </w:r>
      <w:r>
        <w:rPr>
          <w:spacing w:val="-15"/>
        </w:rPr>
        <w:t> </w:t>
      </w:r>
      <w:r>
        <w:rPr/>
        <w:t>Google maps,</w:t>
      </w:r>
      <w:r>
        <w:rPr>
          <w:spacing w:val="-29"/>
        </w:rPr>
        <w:t> </w:t>
      </w:r>
      <w:r>
        <w:rPr/>
        <w:t>we</w:t>
      </w:r>
      <w:r>
        <w:rPr>
          <w:spacing w:val="-27"/>
        </w:rPr>
        <w:t> </w:t>
      </w:r>
      <w:r>
        <w:rPr/>
        <w:t>understand</w:t>
      </w:r>
      <w:r>
        <w:rPr>
          <w:spacing w:val="-27"/>
        </w:rPr>
        <w:t> </w:t>
      </w:r>
      <w:r>
        <w:rPr/>
        <w:t>that</w:t>
      </w:r>
      <w:r>
        <w:rPr>
          <w:spacing w:val="-26"/>
        </w:rPr>
        <w:t> </w:t>
      </w:r>
      <w:r>
        <w:rPr/>
        <w:t>the</w:t>
      </w:r>
      <w:r>
        <w:rPr>
          <w:spacing w:val="-28"/>
        </w:rPr>
        <w:t> </w:t>
      </w:r>
      <w:r>
        <w:rPr/>
        <w:t>frontage</w:t>
      </w:r>
      <w:r>
        <w:rPr>
          <w:spacing w:val="-28"/>
        </w:rPr>
        <w:t> </w:t>
      </w:r>
      <w:r>
        <w:rPr/>
        <w:t>of</w:t>
      </w:r>
      <w:r>
        <w:rPr>
          <w:spacing w:val="-26"/>
        </w:rPr>
        <w:t> </w:t>
      </w:r>
      <w:r>
        <w:rPr/>
        <w:t>the</w:t>
      </w:r>
      <w:r>
        <w:rPr>
          <w:spacing w:val="-28"/>
        </w:rPr>
        <w:t> </w:t>
      </w:r>
      <w:r>
        <w:rPr/>
        <w:t>property</w:t>
      </w:r>
      <w:r>
        <w:rPr>
          <w:spacing w:val="-23"/>
        </w:rPr>
        <w:t> </w:t>
      </w:r>
      <w:r>
        <w:rPr/>
        <w:t>is</w:t>
      </w:r>
      <w:r>
        <w:rPr>
          <w:spacing w:val="-26"/>
        </w:rPr>
        <w:t> </w:t>
      </w:r>
      <w:r>
        <w:rPr/>
        <w:t>approximately</w:t>
      </w:r>
      <w:r>
        <w:rPr>
          <w:spacing w:val="-27"/>
        </w:rPr>
        <w:t> </w:t>
      </w:r>
      <w:r>
        <w:rPr/>
        <w:t>320</w:t>
      </w:r>
      <w:r>
        <w:rPr>
          <w:spacing w:val="-29"/>
        </w:rPr>
        <w:t> </w:t>
      </w:r>
      <w:r>
        <w:rPr/>
        <w:t>meters along the Hinjewadi Phase 2</w:t>
      </w:r>
      <w:r>
        <w:rPr>
          <w:spacing w:val="-16"/>
        </w:rPr>
        <w:t> </w:t>
      </w:r>
      <w:r>
        <w:rPr/>
        <w:t>road.</w:t>
      </w:r>
    </w:p>
    <w:p>
      <w:pPr>
        <w:pStyle w:val="BodyText"/>
        <w:spacing w:before="9"/>
        <w:rPr>
          <w:sz w:val="20"/>
        </w:rPr>
      </w:pPr>
    </w:p>
    <w:p>
      <w:pPr>
        <w:pStyle w:val="BodyText"/>
        <w:tabs>
          <w:tab w:pos="2669" w:val="left" w:leader="none"/>
        </w:tabs>
        <w:ind w:left="794"/>
      </w:pPr>
      <w:r>
        <w:rPr>
          <w:w w:val="95"/>
        </w:rPr>
        <w:t>Accessibility:</w:t>
        <w:tab/>
      </w:r>
      <w:r>
        <w:rPr/>
        <w:t>The</w:t>
      </w:r>
      <w:r>
        <w:rPr>
          <w:spacing w:val="-10"/>
        </w:rPr>
        <w:t> </w:t>
      </w:r>
      <w:r>
        <w:rPr/>
        <w:t>subject</w:t>
      </w:r>
      <w:r>
        <w:rPr>
          <w:spacing w:val="-9"/>
        </w:rPr>
        <w:t> </w:t>
      </w:r>
      <w:r>
        <w:rPr/>
        <w:t>property</w:t>
      </w:r>
      <w:r>
        <w:rPr>
          <w:spacing w:val="-6"/>
        </w:rPr>
        <w:t> </w:t>
      </w:r>
      <w:r>
        <w:rPr/>
        <w:t>has</w:t>
      </w:r>
      <w:r>
        <w:rPr>
          <w:spacing w:val="-9"/>
        </w:rPr>
        <w:t> </w:t>
      </w:r>
      <w:r>
        <w:rPr/>
        <w:t>access</w:t>
      </w:r>
      <w:r>
        <w:rPr>
          <w:spacing w:val="-8"/>
        </w:rPr>
        <w:t> </w:t>
      </w:r>
      <w:r>
        <w:rPr/>
        <w:t>from</w:t>
      </w:r>
      <w:r>
        <w:rPr>
          <w:spacing w:val="-8"/>
        </w:rPr>
        <w:t> </w:t>
      </w:r>
      <w:r>
        <w:rPr/>
        <w:t>the</w:t>
      </w:r>
      <w:r>
        <w:rPr>
          <w:spacing w:val="-9"/>
        </w:rPr>
        <w:t> </w:t>
      </w:r>
      <w:r>
        <w:rPr/>
        <w:t>Hinjewadi</w:t>
      </w:r>
      <w:r>
        <w:rPr>
          <w:spacing w:val="-7"/>
        </w:rPr>
        <w:t> </w:t>
      </w:r>
      <w:r>
        <w:rPr/>
        <w:t>Phase</w:t>
      </w:r>
      <w:r>
        <w:rPr>
          <w:spacing w:val="-9"/>
        </w:rPr>
        <w:t> </w:t>
      </w:r>
      <w:r>
        <w:rPr/>
        <w:t>2</w:t>
      </w:r>
      <w:r>
        <w:rPr>
          <w:spacing w:val="-9"/>
        </w:rPr>
        <w:t> </w:t>
      </w:r>
      <w:r>
        <w:rPr/>
        <w:t>road.</w:t>
      </w:r>
    </w:p>
    <w:p>
      <w:pPr>
        <w:spacing w:after="0"/>
        <w:sectPr>
          <w:type w:val="continuous"/>
          <w:pgSz w:w="11910" w:h="16840"/>
          <w:pgMar w:top="800" w:bottom="280" w:left="600" w:right="500"/>
        </w:sectPr>
      </w:pPr>
    </w:p>
    <w:p>
      <w:pPr>
        <w:spacing w:before="75"/>
        <w:ind w:left="211" w:right="0" w:firstLine="0"/>
        <w:jc w:val="left"/>
        <w:rPr>
          <w:sz w:val="20"/>
        </w:rPr>
      </w:pPr>
      <w:r>
        <w:rPr/>
        <w:drawing>
          <wp:anchor distT="0" distB="0" distL="0" distR="0" allowOverlap="1" layoutInCell="1" locked="0" behindDoc="0" simplePos="0" relativeHeight="829">
            <wp:simplePos x="0" y="0"/>
            <wp:positionH relativeFrom="page">
              <wp:posOffset>832485</wp:posOffset>
            </wp:positionH>
            <wp:positionV relativeFrom="paragraph">
              <wp:posOffset>283078</wp:posOffset>
            </wp:positionV>
            <wp:extent cx="9725902" cy="79248"/>
            <wp:effectExtent l="0" t="0" r="0" b="0"/>
            <wp:wrapTopAndBottom/>
            <wp:docPr id="199" name="image78.png"/>
            <wp:cNvGraphicFramePr>
              <a:graphicFrameLocks noChangeAspect="1"/>
            </wp:cNvGraphicFramePr>
            <a:graphic>
              <a:graphicData uri="http://schemas.openxmlformats.org/drawingml/2006/picture">
                <pic:pic>
                  <pic:nvPicPr>
                    <pic:cNvPr id="200" name="image78.png"/>
                    <pic:cNvPicPr/>
                  </pic:nvPicPr>
                  <pic:blipFill>
                    <a:blip r:embed="rId106" cstate="print"/>
                    <a:stretch>
                      <a:fillRect/>
                    </a:stretch>
                  </pic:blipFill>
                  <pic:spPr>
                    <a:xfrm>
                      <a:off x="0" y="0"/>
                      <a:ext cx="9725902" cy="79248"/>
                    </a:xfrm>
                    <a:prstGeom prst="rect">
                      <a:avLst/>
                    </a:prstGeom>
                  </pic:spPr>
                </pic:pic>
              </a:graphicData>
            </a:graphic>
          </wp:anchor>
        </w:drawing>
      </w:r>
      <w:r>
        <w:rPr/>
        <w:drawing>
          <wp:anchor distT="0" distB="0" distL="0" distR="0" allowOverlap="1" layoutInCell="1" locked="0" behindDoc="0" simplePos="0" relativeHeight="16173568">
            <wp:simplePos x="0" y="0"/>
            <wp:positionH relativeFrom="page">
              <wp:posOffset>7726680</wp:posOffset>
            </wp:positionH>
            <wp:positionV relativeFrom="page">
              <wp:posOffset>7091781</wp:posOffset>
            </wp:positionV>
            <wp:extent cx="1079500" cy="300457"/>
            <wp:effectExtent l="0" t="0" r="0" b="0"/>
            <wp:wrapNone/>
            <wp:docPr id="201" name="image3.jpeg"/>
            <wp:cNvGraphicFramePr>
              <a:graphicFrameLocks noChangeAspect="1"/>
            </wp:cNvGraphicFramePr>
            <a:graphic>
              <a:graphicData uri="http://schemas.openxmlformats.org/drawingml/2006/picture">
                <pic:pic>
                  <pic:nvPicPr>
                    <pic:cNvPr id="202"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6174080">
            <wp:simplePos x="0" y="0"/>
            <wp:positionH relativeFrom="page">
              <wp:posOffset>8939712</wp:posOffset>
            </wp:positionH>
            <wp:positionV relativeFrom="page">
              <wp:posOffset>6956230</wp:posOffset>
            </wp:positionV>
            <wp:extent cx="909288" cy="433873"/>
            <wp:effectExtent l="0" t="0" r="0" b="0"/>
            <wp:wrapNone/>
            <wp:docPr id="203" name="image4.png"/>
            <wp:cNvGraphicFramePr>
              <a:graphicFrameLocks noChangeAspect="1"/>
            </wp:cNvGraphicFramePr>
            <a:graphic>
              <a:graphicData uri="http://schemas.openxmlformats.org/drawingml/2006/picture">
                <pic:pic>
                  <pic:nvPicPr>
                    <pic:cNvPr id="204"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BodyText"/>
        <w:spacing w:before="196"/>
        <w:ind w:left="211"/>
      </w:pPr>
      <w:r>
        <w:rPr/>
        <w:t>The following map indicates the location of the subject property and surrounding developments:</w:t>
      </w:r>
    </w:p>
    <w:p>
      <w:pPr>
        <w:pStyle w:val="BodyText"/>
        <w:spacing w:before="6"/>
        <w:rPr>
          <w:sz w:val="19"/>
        </w:rPr>
      </w:pPr>
      <w:r>
        <w:rPr/>
        <w:pict>
          <v:group style="position:absolute;margin-left:70.559998pt;margin-top:13.287539pt;width:676.95pt;height:14.2pt;mso-position-horizontal-relative:page;mso-position-vertical-relative:paragraph;z-index:-15303168;mso-wrap-distance-left:0;mso-wrap-distance-right:0" coordorigin="1411,266" coordsize="13539,284">
            <v:rect style="position:absolute;left:1411;top:296;width:13539;height:252" filled="true" fillcolor="#006a4d" stroked="false">
              <v:fill type="solid"/>
            </v:rect>
            <v:rect style="position:absolute;left:1411;top:265;width:13539;height:29" filled="true" fillcolor="#1f6b16" stroked="false">
              <v:fill type="solid"/>
            </v:rect>
            <v:rect style="position:absolute;left:1411;top:294;width:13539;height:3" filled="true" fillcolor="#006a4d" stroked="false">
              <v:fill type="solid"/>
            </v:rect>
            <v:shape style="position:absolute;left:1411;top:294;width:13539;height:255" type="#_x0000_t202" filled="false" stroked="false">
              <v:textbox inset="0,0,0,0">
                <w:txbxContent>
                  <w:p>
                    <w:pPr>
                      <w:spacing w:before="25"/>
                      <w:ind w:left="5053" w:right="5054" w:firstLine="0"/>
                      <w:jc w:val="center"/>
                      <w:rPr>
                        <w:b/>
                        <w:sz w:val="18"/>
                      </w:rPr>
                    </w:pPr>
                    <w:r>
                      <w:rPr>
                        <w:b/>
                        <w:color w:val="FFFFFF"/>
                        <w:w w:val="105"/>
                        <w:sz w:val="18"/>
                      </w:rPr>
                      <w:t>Location Map for the Subject Property</w:t>
                    </w:r>
                  </w:p>
                </w:txbxContent>
              </v:textbox>
              <w10:wrap type="none"/>
            </v:shape>
            <w10:wrap type="topAndBottom"/>
          </v:group>
        </w:pict>
      </w:r>
    </w:p>
    <w:p>
      <w:pPr>
        <w:pStyle w:val="BodyText"/>
        <w:spacing w:before="3"/>
        <w:rPr>
          <w:sz w:val="2"/>
        </w:rPr>
      </w:pPr>
    </w:p>
    <w:p>
      <w:pPr>
        <w:pStyle w:val="BodyText"/>
        <w:ind w:left="223"/>
        <w:rPr>
          <w:sz w:val="20"/>
        </w:rPr>
      </w:pPr>
      <w:r>
        <w:rPr>
          <w:sz w:val="20"/>
        </w:rPr>
        <w:pict>
          <v:group style="width:674.15pt;height:331.85pt;mso-position-horizontal-relative:char;mso-position-vertical-relative:line" coordorigin="0,0" coordsize="13483,6637">
            <v:shape style="position:absolute;left:48;top:192;width:10289;height:5977" type="#_x0000_t75" stroked="false">
              <v:imagedata r:id="rId138" o:title=""/>
            </v:shape>
            <v:shape style="position:absolute;left:0;top:188;width:10088;height:5936" type="#_x0000_t75" stroked="false">
              <v:imagedata r:id="rId195" o:title=""/>
            </v:shape>
            <v:shape style="position:absolute;left:3086;top:2651;width:1345;height:661" type="#_x0000_t75" stroked="false">
              <v:imagedata r:id="rId140" o:title=""/>
            </v:shape>
            <v:shape style="position:absolute;left:3130;top:2659;width:1239;height:679" type="#_x0000_t75" stroked="false">
              <v:imagedata r:id="rId141" o:title=""/>
            </v:shape>
            <v:shape style="position:absolute;left:9038;top:142;width:1372;height:3397" coordorigin="9038,143" coordsize="1372,3397" path="m9245,143l9038,216,9788,2333,9788,2332,10203,3540,10410,3469,9995,2261,9245,143xe" filled="true" fillcolor="#000000" stroked="false">
              <v:path arrowok="t"/>
              <v:fill type="solid"/>
            </v:shape>
            <v:shape style="position:absolute;left:9214;top:479;width:892;height:2298" type="#_x0000_t75" stroked="false">
              <v:imagedata r:id="rId142" o:title=""/>
            </v:shape>
            <v:shape style="position:absolute;left:5442;top:664;width:1476;height:477" type="#_x0000_t75" stroked="false">
              <v:imagedata r:id="rId143" o:title=""/>
            </v:shape>
            <v:shape style="position:absolute;left:5520;top:673;width:1310;height:495" type="#_x0000_t75" stroked="false">
              <v:imagedata r:id="rId144" o:title=""/>
            </v:shape>
            <v:shape style="position:absolute;left:7622;top:2659;width:451;height:451" type="#_x0000_t75" stroked="false">
              <v:imagedata r:id="rId145" o:title=""/>
            </v:shape>
            <v:shape style="position:absolute;left:7701;top:2686;width:298;height:298" type="#_x0000_t75" stroked="false">
              <v:imagedata r:id="rId196" o:title=""/>
            </v:shape>
            <v:shape style="position:absolute;left:4921;top:2900;width:1401;height:508" type="#_x0000_t75" stroked="false">
              <v:imagedata r:id="rId197" o:title=""/>
            </v:shape>
            <v:rect style="position:absolute;left:4921;top:2900;width:1401;height:508" filled="false" stroked="true" strokeweight=".437969pt" strokecolor="#a4a4a4">
              <v:stroke dashstyle="solid"/>
            </v:rect>
            <v:shape style="position:absolute;left:3038;top:1386;width:1401;height:508" type="#_x0000_t75" stroked="false">
              <v:imagedata r:id="rId198" o:title=""/>
            </v:shape>
            <v:shape style="position:absolute;left:569;top:3206;width:1401;height:508" type="#_x0000_t75" stroked="false">
              <v:imagedata r:id="rId147" o:title=""/>
            </v:shape>
            <v:shape style="position:absolute;left:6781;top:4908;width:1204;height:1046" type="#_x0000_t75" stroked="false">
              <v:imagedata r:id="rId150" o:title=""/>
            </v:shape>
            <v:shape style="position:absolute;left:6816;top:4934;width:1143;height:1020" type="#_x0000_t75" stroked="false">
              <v:imagedata r:id="rId151" o:title=""/>
            </v:shape>
            <v:shape style="position:absolute;left:6888;top:4982;width:996;height:848" coordorigin="6888,4983" coordsize="996,848" path="m7696,4983l6888,5574,7076,5830,7884,5240,7696,4983xe" filled="true" fillcolor="#5b9bd4" stroked="false">
              <v:path arrowok="t"/>
              <v:fill type="solid"/>
            </v:shape>
            <v:shape style="position:absolute;left:6888;top:4982;width:996;height:848" coordorigin="6888,4983" coordsize="996,848" path="m6888,5574l7696,4983,7884,5240,7076,5830,6888,5574xe" filled="false" stroked="true" strokeweight=".656438pt" strokecolor="#5b9bd4">
              <v:path arrowok="t"/>
              <v:stroke dashstyle="solid"/>
            </v:shape>
            <v:shape style="position:absolute;left:7067;top:5169;width:628;height:499" coordorigin="7068,5170" coordsize="628,499" path="m7068,5559l7118,5668,7131,5659,7097,5590,7120,5590,7068,5559xm7120,5590l7097,5590,7171,5634,7165,5610,7153,5610,7120,5590xm7131,5513l7153,5610,7165,5610,7151,5551,7172,5551,7131,5513xm7172,5551l7151,5551,7207,5603,7219,5594,7172,5551xm7207,5514l7194,5523,7219,5557,7225,5565,7233,5570,7248,5573,7257,5570,7274,5558,7274,5557,7247,5557,7243,5556,7238,5555,7234,5550,7228,5542,7207,5514xm7248,5484l7235,5493,7258,5523,7262,5529,7265,5535,7265,5544,7262,5548,7252,5556,7247,5557,7274,5557,7279,5551,7279,5550,7281,5535,7279,5526,7272,5518,7248,5484xm7258,5417l7245,5426,7316,5523,7328,5514,7258,5417xm7351,5414l7340,5415,7335,5417,7322,5427,7317,5434,7316,5444,7316,5453,7319,5462,7326,5472,7332,5481,7341,5487,7359,5491,7368,5489,7381,5479,7384,5475,7385,5475,7359,5475,7348,5472,7343,5469,7334,5456,7332,5450,7332,5445,7333,5440,7336,5435,7346,5427,7352,5426,7382,5426,7377,5419,7359,5419,7355,5416,7351,5414xm7382,5426l7352,5426,7363,5428,7368,5432,7373,5438,7377,5444,7379,5450,7378,5461,7375,5465,7370,5469,7364,5473,7359,5475,7385,5475,7386,5470,7388,5465,7388,5461,7386,5456,7404,5456,7382,5426xm7404,5456l7386,5456,7394,5467,7406,5458,7404,5456xm7427,5306l7424,5307,7420,5308,7417,5309,7412,5312,7384,5333,7451,5425,7464,5415,7433,5373,7432,5373,7433,5373,7483,5373,7446,5363,7447,5362,7425,5362,7405,5335,7412,5330,7420,5324,7426,5322,7456,5322,7452,5316,7448,5313,7440,5308,7435,5306,7427,5306xm7363,5400l7351,5409,7359,5419,7377,5419,7363,5400xm7483,5373l7433,5373,7433,5373,7496,5392,7511,5380,7483,5373xm7433,5373l7432,5373,7433,5373,7433,5373xm7498,5301l7486,5310,7528,5368,7540,5359,7498,5301xm7456,5322l7426,5322,7434,5322,7438,5325,7442,5330,7446,5335,7447,5339,7445,5347,7440,5352,7425,5362,7447,5362,7455,5356,7460,5350,7461,5343,7463,5335,7461,5328,7456,5322xm7524,5282l7511,5291,7585,5332,7581,5309,7568,5309,7524,5282xm7569,5249l7556,5259,7568,5309,7581,5309,7569,5249xm7617,5215l7608,5217,7600,5223,7591,5230,7586,5238,7585,5247,7584,5257,7587,5267,7593,5276,7600,5285,7608,5291,7628,5294,7637,5292,7652,5281,7653,5280,7628,5280,7617,5278,7612,5274,7608,5269,7609,5269,7623,5259,7601,5259,7599,5255,7598,5251,7599,5246,7600,5242,7603,5238,7607,5235,7612,5231,7617,5230,7647,5230,7643,5224,7635,5219,7617,5215xm7472,5270l7469,5270,7467,5272,7465,5274,7463,5276,7463,5276,7463,5279,7463,5282,7463,5284,7465,5286,7466,5288,7469,5290,7474,5291,7477,5290,7479,5288,7481,5287,7483,5284,7483,5280,7483,5278,7483,5276,7481,5274,7480,5272,7477,5271,7472,5270xm7661,5249l7648,5250,7648,5255,7648,5257,7648,5261,7645,5269,7642,5272,7634,5279,7628,5280,7653,5280,7656,5276,7662,5264,7662,5259,7662,5255,7661,5249xm7609,5269l7608,5269,7608,5269,7609,5269xm7647,5230l7617,5230,7625,5230,7629,5232,7632,5236,7601,5259,7623,5259,7653,5237,7650,5234,7647,5230xm7652,5189l7641,5197,7683,5255,7695,5246,7675,5218,7669,5211,7667,5205,7667,5200,7660,5200,7652,5189xm7677,5170l7675,5170,7673,5171,7672,5172,7670,5172,7669,5173,7668,5174,7663,5177,7661,5181,7659,5185,7658,5190,7658,5195,7660,5200,7667,5200,7666,5194,7669,5190,7673,5187,7674,5186,7676,5185,7679,5184,7681,5183,7677,5170xe" filled="true" fillcolor="#ffffff" stroked="false">
              <v:path arrowok="t"/>
              <v:fill type="solid"/>
            </v:shape>
            <v:shape style="position:absolute;left:4844;top:240;width:5336;height:3432" coordorigin="4845,241" coordsize="5336,3432" path="m5393,2117l5211,1892,5067,1726,5066,1724,5040,1695,4905,1573,4892,1561,4893,1553,4933,1321,4890,1313,4845,1578,5009,1725,5178,1921,5178,1920,5178,1921,5359,2144,5393,2117xm9149,721l9009,435,9080,401,9079,400,8870,241,8868,505,8939,470,9079,755,9149,721xm10180,3409l10107,3438,10027,3236,9954,3265,10034,3467,9961,3496,10158,3672,10172,3503,10180,3409xe" filled="true" fillcolor="#000000" stroked="false">
              <v:path arrowok="t"/>
              <v:fill type="solid"/>
            </v:shape>
            <v:shape style="position:absolute;left:7587;top:1688;width:1371;height:661" type="#_x0000_t75" stroked="false">
              <v:imagedata r:id="rId152" o:title=""/>
            </v:shape>
            <v:shape style="position:absolute;left:7666;top:1697;width:1222;height:679" type="#_x0000_t75" stroked="false">
              <v:imagedata r:id="rId153" o:title=""/>
            </v:shape>
            <v:shape style="position:absolute;left:367;top:5388;width:442;height:565" coordorigin="368,5388" coordsize="442,565" path="m417,5693l368,5953,605,5836,584,5820,518,5820,456,5772,479,5741,417,5693xm479,5741l456,5772,518,5820,542,5788,479,5741xm542,5788l518,5820,584,5820,542,5788xm747,5388l479,5741,542,5788,810,5436,747,5388xe" filled="true" fillcolor="#000000" stroked="false">
              <v:path arrowok="t"/>
              <v:fill type="solid"/>
            </v:shape>
            <v:shape style="position:absolute;left:4741;top:1067;width:386;height:377" type="#_x0000_t75" stroked="false">
              <v:imagedata r:id="rId154" o:title=""/>
            </v:shape>
            <v:shape style="position:absolute;left:4688;top:1009;width:491;height:481" coordorigin="4689,1009" coordsize="491,481" path="m4840,1307l4782,1490,4837,1449,4832,1449,4805,1430,4848,1397,4875,1314,4850,1314,4840,1307xm4982,1369l4945,1369,4934,1377,5086,1490,5073,1449,5036,1449,5020,1397,4982,1369xm4848,1397l4805,1430,4832,1449,4848,1397xm4934,1333l4848,1397,4832,1449,4837,1449,4934,1377,4924,1369,4982,1369,4934,1333xm5020,1397l5036,1449,5064,1430,5020,1397xm5116,1197l4987,1293,5020,1397,5064,1430,5036,1449,5073,1449,5030,1314,5018,1314,5024,1295,5044,1295,5133,1229,5127,1229,5116,1197xm4945,1369l4924,1369,4934,1377,4945,1369xm4844,1295l4840,1307,4850,1314,4844,1295xm4881,1295l4844,1295,4850,1314,4875,1314,4881,1295xm5024,1295l5018,1314,5028,1307,5024,1295xm5028,1307l5018,1314,5030,1314,5028,1307xm5044,1295l5024,1295,5028,1307,5044,1295xm4876,1194l4689,1194,4840,1307,4844,1295,4881,1295,4881,1293,4794,1229,4742,1229,4752,1197,4875,1197,4876,1194xm4752,1197l4742,1229,4794,1229,4752,1197xm4875,1197l4752,1197,4794,1229,4902,1229,4909,1206,4872,1206,4875,1197xm4954,1073l4951,1073,4934,1125,4967,1229,5074,1229,5105,1206,4996,1206,4980,1194,4992,1194,4954,1073xm5175,1197l5116,1197,5127,1229,5133,1229,5175,1197xm4934,1009l4872,1206,4889,1194,4913,1194,4934,1125,4918,1073,4954,1073,4934,1009xm4913,1194l4889,1194,4872,1206,4909,1206,4913,1194xm4992,1194l4980,1194,4996,1206,4992,1194xm5180,1194l4992,1194,4996,1206,5105,1206,5116,1197,5175,1197,5180,1194xm4951,1073l4918,1073,4934,1125,4951,1073xe" filled="true" fillcolor="#ff0000" stroked="false">
              <v:path arrowok="t"/>
              <v:fill type="solid"/>
            </v:shape>
            <v:shape style="position:absolute;left:3436;top:1907;width:806;height:508" coordorigin="3437,1907" coordsize="806,508" path="m3840,1907l3747,1914,3663,1933,3588,1963,3525,2002,3478,2050,3448,2103,3437,2161,3448,2219,3478,2273,3525,2320,3588,2359,3663,2389,3747,2408,3840,2415,3932,2408,4017,2389,4092,2359,4154,2320,4202,2273,4232,2219,4242,2161,4232,2103,4202,2050,4154,2002,4092,1963,4017,1933,3932,1914,3840,1907xe" filled="true" fillcolor="#ffd966" stroked="false">
              <v:path arrowok="t"/>
              <v:fill opacity="28270f" type="solid"/>
            </v:shape>
            <v:shape style="position:absolute;left:3436;top:1907;width:806;height:508" coordorigin="3437,1907" coordsize="806,508" path="m3437,2161l3478,2050,3525,2002,3588,1963,3663,1933,3747,1914,3840,1907,3932,1914,4017,1933,4092,1963,4154,2002,4202,2050,4232,2103,4242,2161,4232,2219,4202,2273,4154,2320,4092,2359,4017,2389,3932,2408,3840,2415,3747,2408,3663,2389,3588,2359,3525,2320,3478,2273,3448,2219,3437,2161xe" filled="false" stroked="true" strokeweight=".875167pt" strokecolor="#000000">
              <v:path arrowok="t"/>
              <v:stroke dashstyle="shortdash"/>
            </v:shape>
            <v:shape style="position:absolute;left:599;top:3788;width:806;height:517" coordorigin="600,3789" coordsize="806,517" path="m1003,3789l910,3796,826,3815,751,3845,688,3885,641,3933,611,3988,600,4047,611,4106,641,4160,688,4208,751,4248,826,4279,910,4298,1003,4305,1095,4298,1180,4279,1255,4248,1317,4208,1365,4160,1395,4106,1405,4047,1395,3988,1365,3933,1317,3885,1255,3845,1180,3815,1095,3796,1003,3789xe" filled="true" fillcolor="#ffd966" stroked="false">
              <v:path arrowok="t"/>
              <v:fill opacity="28270f" type="solid"/>
            </v:shape>
            <v:shape style="position:absolute;left:599;top:3788;width:806;height:517" coordorigin="600,3789" coordsize="806,517" path="m600,4047l611,3988,641,3933,688,3885,751,3845,826,3815,910,3796,1003,3789,1095,3796,1180,3815,1255,3845,1317,3885,1365,3933,1395,3988,1405,4047,1395,4106,1365,4160,1317,4208,1255,4248,1180,4279,1095,4298,1003,4305,910,4298,826,4279,751,4248,688,4208,641,4160,611,4106,600,4047xe" filled="false" stroked="true" strokeweight=".875171pt" strokecolor="#000000">
              <v:path arrowok="t"/>
              <v:stroke dashstyle="shortdash"/>
            </v:shape>
            <v:shape style="position:absolute;left:1659;top:3989;width:806;height:517" coordorigin="1659,3990" coordsize="806,517" path="m2062,3990l1970,3997,1885,4016,1810,4047,1748,4087,1700,4135,1670,4189,1659,4248,1670,4307,1700,4362,1748,4410,1810,4449,1885,4480,1970,4499,2062,4506,2155,4499,2239,4480,2314,4449,2376,4410,2424,4362,2454,4307,2465,4248,2454,4189,2424,4135,2376,4087,2314,4047,2239,4016,2155,3997,2062,3990xe" filled="true" fillcolor="#ffd966" stroked="false">
              <v:path arrowok="t"/>
              <v:fill opacity="28270f" type="solid"/>
            </v:shape>
            <v:shape style="position:absolute;left:1659;top:3989;width:806;height:517" coordorigin="1659,3990" coordsize="806,517" path="m1659,4248l1670,4189,1700,4135,1748,4087,1810,4047,1885,4016,1970,3997,2062,3990,2155,3997,2239,4016,2314,4047,2376,4087,2424,4135,2454,4189,2465,4248,2454,4307,2424,4362,2376,4410,2314,4449,2239,4480,2155,4499,2062,4506,1970,4499,1885,4480,1810,4449,1748,4410,1700,4362,1670,4307,1659,4248xe" filled="false" stroked="true" strokeweight=".875171pt" strokecolor="#000000">
              <v:path arrowok="t"/>
              <v:stroke dashstyle="shortdash"/>
            </v:shape>
            <v:shape style="position:absolute;left:4321;top:2301;width:806;height:517" coordorigin="4321,2301" coordsize="806,517" path="m4724,2301l4632,2308,4547,2327,4472,2358,4410,2398,4362,2446,4332,2500,4321,2559,4332,2619,4362,2673,4410,2721,4472,2761,4547,2791,4632,2811,4724,2817,4816,2811,4901,2791,4976,2761,5038,2721,5086,2673,5116,2619,5127,2559,5116,2500,5086,2446,5038,2398,4976,2358,4901,2327,4816,2308,4724,2301xe" filled="true" fillcolor="#ffd966" stroked="false">
              <v:path arrowok="t"/>
              <v:fill opacity="28270f" type="solid"/>
            </v:shape>
            <v:shape style="position:absolute;left:4321;top:2301;width:806;height:517" coordorigin="4321,2301" coordsize="806,517" path="m4321,2559l4332,2500,4362,2446,4410,2398,4472,2358,4547,2327,4632,2308,4724,2301,4816,2308,4901,2327,4976,2358,5038,2398,5086,2446,5116,2500,5127,2559,5116,2619,5086,2673,5038,2721,4976,2761,4901,2791,4816,2811,4724,2817,4632,2811,4547,2791,4472,2761,4410,2721,4362,2673,4332,2619,4321,2559xe" filled="false" stroked="true" strokeweight=".875171pt" strokecolor="#000000">
              <v:path arrowok="t"/>
              <v:stroke dashstyle="shortdash"/>
            </v:shape>
            <v:shape style="position:absolute;left:669;top:4401;width:806;height:508" coordorigin="670,4401" coordsize="806,508" path="m1073,4401l980,4408,896,4427,821,4457,758,4496,711,4543,681,4597,670,4655,681,4713,711,4767,758,4814,821,4853,896,4883,980,4902,1073,4909,1165,4902,1250,4883,1325,4853,1387,4814,1435,4767,1465,4713,1476,4655,1465,4597,1435,4543,1387,4496,1325,4457,1250,4427,1165,4408,1073,4401xe" filled="true" fillcolor="#ffd966" stroked="false">
              <v:path arrowok="t"/>
              <v:fill opacity="28270f" type="solid"/>
            </v:shape>
            <v:shape style="position:absolute;left:669;top:4401;width:806;height:508" coordorigin="670,4401" coordsize="806,508" path="m670,4655l711,4543,758,4496,821,4457,896,4427,980,4408,1073,4401,1165,4408,1250,4427,1325,4457,1387,4496,1435,4543,1465,4597,1476,4655,1465,4713,1435,4767,1387,4814,1325,4853,1250,4883,1165,4902,1073,4909,980,4902,896,4883,821,4853,758,4814,711,4767,681,4713,670,4655xe" filled="false" stroked="true" strokeweight=".875167pt" strokecolor="#000000">
              <v:path arrowok="t"/>
              <v:stroke dashstyle="shortdash"/>
            </v:shape>
            <v:shape style="position:absolute;left:6913;top:2861;width:727;height:455" coordorigin="6913,2861" coordsize="727,455" path="m7276,2861l7180,2869,7093,2892,7020,2928,6963,2974,6926,3028,6913,3089,6926,3149,6963,3204,7020,3250,7093,3285,7180,3308,7276,3316,7373,3308,7460,3285,7533,3250,7590,3204,7627,3149,7640,3089,7627,3028,7590,2974,7533,2928,7460,2892,7373,2869,7276,2861xe" filled="true" fillcolor="#ffd966" stroked="false">
              <v:path arrowok="t"/>
              <v:fill opacity="28270f" type="solid"/>
            </v:shape>
            <v:shape style="position:absolute;left:6913;top:2861;width:727;height:455" coordorigin="6913,2861" coordsize="727,455" path="m6913,3089l6926,3028,6963,2974,7020,2928,7093,2892,7180,2869,7276,2861,7373,2869,7460,2892,7533,2928,7590,2974,7627,3028,7640,3089,7627,3149,7590,3204,7533,3250,7460,3285,7373,3308,7276,3316,7180,3308,7093,3285,7020,3250,6963,3204,6926,3149,6913,3089xe" filled="false" stroked="true" strokeweight=".875165pt" strokecolor="#000000">
              <v:path arrowok="t"/>
              <v:stroke dashstyle="shortdash"/>
            </v:shape>
            <v:shape style="position:absolute;left:6221;top:3132;width:806;height:517" coordorigin="6221,3132" coordsize="806,517" path="m6624,3132l6532,3139,6447,3159,6372,3189,6310,3229,6262,3277,6232,3331,6221,3391,6232,3450,6262,3504,6310,3552,6372,3592,6447,3622,6532,3642,6624,3649,6716,3642,6801,3622,6876,3592,6938,3552,6986,3504,7016,3450,7027,3391,7016,3331,6986,3277,6938,3229,6876,3189,6801,3159,6716,3139,6624,3132xe" filled="true" fillcolor="#ffd966" stroked="false">
              <v:path arrowok="t"/>
              <v:fill opacity="28270f" type="solid"/>
            </v:shape>
            <v:shape style="position:absolute;left:6221;top:3132;width:806;height:517" coordorigin="6221,3132" coordsize="806,517" path="m6221,3391l6232,3331,6262,3277,6310,3229,6372,3189,6447,3159,6532,3139,6624,3132,6716,3139,6801,3159,6876,3189,6938,3229,6986,3277,7016,3331,7027,3391,7016,3450,6986,3504,6938,3552,6876,3592,6801,3622,6716,3642,6624,3649,6532,3642,6447,3622,6372,3592,6310,3552,6262,3504,6232,3450,6221,3391xe" filled="false" stroked="true" strokeweight=".875171pt" strokecolor="#000000">
              <v:path arrowok="t"/>
              <v:stroke dashstyle="shortdash"/>
            </v:shape>
            <v:rect style="position:absolute;left:3905;top:3460;width:1401;height:508" filled="false" stroked="true" strokeweight=".437969pt" strokecolor="#2e5496">
              <v:stroke dashstyle="solid"/>
            </v:rect>
            <v:shape style="position:absolute;left:3936;top:4444;width:1266;height:661" type="#_x0000_t75" stroked="false">
              <v:imagedata r:id="rId155" o:title=""/>
            </v:shape>
            <v:shape style="position:absolute;left:4058;top:4453;width:1073;height:679" type="#_x0000_t75" stroked="false">
              <v:imagedata r:id="rId156" o:title=""/>
            </v:shape>
            <v:shape style="position:absolute;left:5372;top:1714;width:806;height:517" coordorigin="5372,1715" coordsize="806,517" path="m5775,1715l5682,1722,5598,1741,5523,1772,5461,1812,5413,1860,5383,1914,5372,1973,5383,2032,5413,2087,5461,2135,5523,2175,5598,2205,5682,2224,5775,2231,5867,2224,5952,2205,6027,2175,6089,2135,6137,2087,6167,2032,6178,1973,6167,1914,6137,1860,6089,1812,6027,1772,5952,1741,5867,1722,5775,1715xe" filled="true" fillcolor="#ffd966" stroked="false">
              <v:path arrowok="t"/>
              <v:fill opacity="28270f" type="solid"/>
            </v:shape>
            <v:shape style="position:absolute;left:5372;top:1714;width:806;height:517" coordorigin="5372,1715" coordsize="806,517" path="m5372,1973l5383,1914,5413,1860,5461,1812,5523,1772,5598,1741,5682,1722,5775,1715,5867,1722,5952,1741,6027,1772,6089,1812,6137,1860,6167,1914,6178,1973,6167,2032,6137,2087,6089,2135,6027,2175,5952,2205,5867,2224,5775,2231,5682,2224,5598,2205,5523,2175,5461,2135,5413,2087,5383,2032,5372,1973xe" filled="false" stroked="true" strokeweight=".875171pt" strokecolor="#000000">
              <v:path arrowok="t"/>
              <v:stroke dashstyle="shortdash"/>
            </v:shape>
            <v:shape style="position:absolute;left:7744;top:4296;width:618;height:609" type="#_x0000_t75" stroked="false">
              <v:imagedata r:id="rId157" o:title=""/>
            </v:shape>
            <v:shape style="position:absolute;left:2447;top:2974;width:609;height:609" type="#_x0000_t75" stroked="false">
              <v:imagedata r:id="rId158" o:title=""/>
            </v:shape>
            <v:shape style="position:absolute;left:1125;top:2537;width:425;height:425" type="#_x0000_t75" stroked="false">
              <v:imagedata r:id="rId159" o:title=""/>
            </v:shape>
            <v:shape style="position:absolute;left:1125;top:2537;width:425;height:460" type="#_x0000_t75" stroked="false">
              <v:imagedata r:id="rId160" o:title=""/>
            </v:shape>
            <v:shape style="position:absolute;left:1212;top:2598;width:254;height:254" type="#_x0000_t75" stroked="false">
              <v:imagedata r:id="rId161" o:title=""/>
            </v:shape>
            <v:shape style="position:absolute;left:8655;top:2519;width:425;height:425" type="#_x0000_t75" stroked="false">
              <v:imagedata r:id="rId159" o:title=""/>
            </v:shape>
            <v:shape style="position:absolute;left:8655;top:2519;width:425;height:460" type="#_x0000_t75" stroked="false">
              <v:imagedata r:id="rId162" o:title=""/>
            </v:shape>
            <v:shape style="position:absolute;left:8743;top:2581;width:254;height:254" type="#_x0000_t75" stroked="false">
              <v:imagedata r:id="rId199" o:title=""/>
            </v:shape>
            <v:shape style="position:absolute;left:7508;top:3919;width:416;height:425" type="#_x0000_t75" stroked="false">
              <v:imagedata r:id="rId164" o:title=""/>
            </v:shape>
            <v:shape style="position:absolute;left:7508;top:3919;width:425;height:460" type="#_x0000_t75" stroked="false">
              <v:imagedata r:id="rId165" o:title=""/>
            </v:shape>
            <v:shape style="position:absolute;left:7596;top:3981;width:246;height:254" type="#_x0000_t75" stroked="false">
              <v:imagedata r:id="rId200" o:title=""/>
            </v:shape>
            <v:shape style="position:absolute;left:8060;top:4453;width:425;height:416" type="#_x0000_t75" stroked="false">
              <v:imagedata r:id="rId167" o:title=""/>
            </v:shape>
            <v:shape style="position:absolute;left:8060;top:4453;width:425;height:460" type="#_x0000_t75" stroked="false">
              <v:imagedata r:id="rId168" o:title=""/>
            </v:shape>
            <v:shape style="position:absolute;left:8147;top:4514;width:254;height:245" type="#_x0000_t75" stroked="false">
              <v:imagedata r:id="rId169" o:title=""/>
            </v:shape>
            <v:shape style="position:absolute;left:10345;top:665;width:3137;height:1997" coordorigin="10346,665" coordsize="3137,1997" path="m10448,1996l10346,1996,10346,2662,10448,2662,10448,1996xm10448,665l10346,665,10346,1331,10448,1331,10448,665xm13482,1996l11325,1996,11325,1996,10448,1996,10448,2662,11325,2662,11325,2662,13482,2662,13482,1996xm13482,665l11325,665,11325,665,10448,665,10448,1331,11325,1331,11325,1331,13482,1331,13482,665xe" filled="true" fillcolor="#eaeaea" stroked="false">
              <v:path arrowok="t"/>
              <v:fill type="solid"/>
            </v:shape>
            <v:shape style="position:absolute;left:10625;top:883;width:377;height:377" type="#_x0000_t75" stroked="false">
              <v:imagedata r:id="rId201" o:title=""/>
            </v:shape>
            <v:shape style="position:absolute;left:10573;top:824;width:481;height:483" coordorigin="10574,824" coordsize="481,483" path="m10722,1123l10665,1307,10720,1265,10714,1265,10687,1246,10730,1213,10756,1130,10731,1130,10722,1123xm10861,1185l10825,1185,10814,1193,10963,1307,10950,1265,10914,1265,10897,1213,10861,1185xm10730,1213l10687,1246,10714,1265,10730,1213xm10814,1149l10730,1213,10714,1265,10720,1265,10814,1193,10803,1185,10861,1185,10814,1149xm10897,1213l10914,1265,10941,1246,10897,1213xm10991,1014l10865,1110,10897,1213,10941,1246,10914,1265,10950,1265,10908,1130,10896,1130,10903,1111,10921,1111,11008,1045,11002,1045,10991,1014xm10825,1185l10803,1185,10814,1193,10825,1185xm10725,1111l10722,1123,10731,1130,10725,1111xm10762,1111l10725,1111,10731,1130,10756,1130,10762,1111xm10903,1111l10896,1130,10906,1123,10903,1111xm10906,1123l10896,1130,10908,1130,10906,1123xm10757,1010l10574,1010,10722,1123,10725,1111,10762,1111,10762,1110,10677,1045,10626,1045,10636,1014,10756,1014,10757,1010xm10921,1111l10903,1111,10906,1123,10921,1111xm10636,1014l10626,1045,10677,1045,10636,1014xm10756,1014l10636,1014,10677,1045,10782,1045,10789,1022,10753,1022,10756,1014xm10834,889l10831,889,10814,943,10845,1045,10950,1045,10980,1022,10875,1022,10858,1010,10871,1010,10834,889xm11049,1014l10991,1014,11002,1045,11008,1045,11049,1014xm10814,824l10753,1022,10769,1010,10793,1010,10814,943,10797,889,10834,889,10814,824xm10793,1010l10769,1010,10753,1022,10789,1022,10793,1010xm10871,1010l10858,1010,10875,1022,10871,1010xm11054,1010l10871,1010,10875,1022,10980,1022,10991,1014,11049,1014,11054,1010xm10831,889l10797,889,10814,943,10831,889xe" filled="true" fillcolor="#ff0000" stroked="false">
              <v:path arrowok="t"/>
              <v:fill type="solid"/>
            </v:shape>
            <v:shape style="position:absolute;left:10555;top:1469;width:618;height:609" type="#_x0000_t75" stroked="false">
              <v:imagedata r:id="rId171" o:title=""/>
            </v:shape>
            <v:shape style="position:absolute;left:10555;top:2108;width:618;height:609" type="#_x0000_t75" stroked="false">
              <v:imagedata r:id="rId172" o:title=""/>
            </v:shape>
            <v:shape style="position:absolute;left:4268;top:6168;width:539;height:469" type="#_x0000_t75" stroked="false">
              <v:imagedata r:id="rId173" o:title=""/>
            </v:shape>
            <v:shape style="position:absolute;left:6606;top:6168;width:539;height:469" type="#_x0000_t75" stroked="false">
              <v:imagedata r:id="rId174" o:title=""/>
            </v:shape>
            <v:shape style="position:absolute;left:8979;top:6168;width:539;height:469" type="#_x0000_t75" stroked="false">
              <v:imagedata r:id="rId175" o:title=""/>
            </v:shape>
            <v:shape style="position:absolute;left:8061;top:215;width:726;height:440" type="#_x0000_t202" filled="false" stroked="false">
              <v:textbox inset="0,0,0,0">
                <w:txbxContent>
                  <w:p>
                    <w:pPr>
                      <w:spacing w:before="8"/>
                      <w:ind w:left="0" w:right="0" w:firstLine="0"/>
                      <w:jc w:val="left"/>
                      <w:rPr>
                        <w:sz w:val="18"/>
                      </w:rPr>
                    </w:pPr>
                    <w:r>
                      <w:rPr>
                        <w:spacing w:val="3"/>
                        <w:sz w:val="18"/>
                      </w:rPr>
                      <w:t>Towards</w:t>
                    </w:r>
                  </w:p>
                  <w:p>
                    <w:pPr>
                      <w:spacing w:before="10"/>
                      <w:ind w:left="8" w:right="0" w:firstLine="0"/>
                      <w:jc w:val="left"/>
                      <w:rPr>
                        <w:sz w:val="18"/>
                      </w:rPr>
                    </w:pPr>
                    <w:r>
                      <w:rPr>
                        <w:spacing w:val="4"/>
                        <w:w w:val="105"/>
                        <w:sz w:val="18"/>
                      </w:rPr>
                      <w:t>Mumbai</w:t>
                    </w:r>
                  </w:p>
                </w:txbxContent>
              </v:textbox>
              <w10:wrap type="none"/>
            </v:shape>
            <v:shape style="position:absolute;left:5520;top:756;width:1343;height:189" type="#_x0000_t202" filled="false" stroked="false">
              <v:textbox inset="0,0,0,0">
                <w:txbxContent>
                  <w:p>
                    <w:pPr>
                      <w:spacing w:before="11"/>
                      <w:ind w:left="0" w:right="0" w:firstLine="0"/>
                      <w:jc w:val="left"/>
                      <w:rPr>
                        <w:sz w:val="15"/>
                      </w:rPr>
                    </w:pPr>
                    <w:r>
                      <w:rPr>
                        <w:w w:val="102"/>
                        <w:sz w:val="15"/>
                        <w:shd w:fill="FFC000" w:color="auto" w:val="clear"/>
                      </w:rPr>
                      <w:t> </w:t>
                    </w:r>
                    <w:r>
                      <w:rPr>
                        <w:sz w:val="15"/>
                        <w:shd w:fill="FFC000" w:color="auto" w:val="clear"/>
                      </w:rPr>
                      <w:t>   </w:t>
                    </w:r>
                    <w:r>
                      <w:rPr>
                        <w:w w:val="105"/>
                        <w:sz w:val="15"/>
                        <w:shd w:fill="FFC000" w:color="auto" w:val="clear"/>
                      </w:rPr>
                      <w:t>Marunji Road</w:t>
                    </w:r>
                    <w:r>
                      <w:rPr>
                        <w:sz w:val="15"/>
                        <w:shd w:fill="FFC000" w:color="auto" w:val="clear"/>
                      </w:rPr>
                      <w:t> </w:t>
                    </w:r>
                  </w:p>
                </w:txbxContent>
              </v:textbox>
              <w10:wrap type="none"/>
            </v:shape>
            <v:shape style="position:absolute;left:11332;top:1558;width:1432;height:211" type="#_x0000_t202" filled="false" stroked="false">
              <v:textbox inset="0,0,0,0">
                <w:txbxContent>
                  <w:p>
                    <w:pPr>
                      <w:spacing w:before="9"/>
                      <w:ind w:left="0" w:right="0" w:firstLine="0"/>
                      <w:jc w:val="left"/>
                      <w:rPr>
                        <w:sz w:val="17"/>
                      </w:rPr>
                    </w:pPr>
                    <w:r>
                      <w:rPr>
                        <w:w w:val="105"/>
                        <w:sz w:val="17"/>
                      </w:rPr>
                      <w:t>Embassy Quadron</w:t>
                    </w:r>
                  </w:p>
                </w:txbxContent>
              </v:textbox>
              <w10:wrap type="none"/>
            </v:shape>
            <v:shape style="position:absolute;left:3623;top:2070;width:475;height:179" type="#_x0000_t202" filled="false" stroked="false">
              <v:textbox inset="0,0,0,0">
                <w:txbxContent>
                  <w:p>
                    <w:pPr>
                      <w:spacing w:before="3"/>
                      <w:ind w:left="0" w:right="0" w:firstLine="0"/>
                      <w:jc w:val="left"/>
                      <w:rPr>
                        <w:sz w:val="15"/>
                      </w:rPr>
                    </w:pPr>
                    <w:r>
                      <w:rPr>
                        <w:sz w:val="15"/>
                      </w:rPr>
                      <w:t>Infosys</w:t>
                    </w:r>
                  </w:p>
                </w:txbxContent>
              </v:textbox>
              <w10:wrap type="none"/>
            </v:shape>
            <v:shape style="position:absolute;left:5514;top:1782;width:582;height:354" type="#_x0000_t202" filled="false" stroked="false">
              <v:textbox inset="0,0,0,0">
                <w:txbxContent>
                  <w:p>
                    <w:pPr>
                      <w:spacing w:before="2"/>
                      <w:ind w:left="70" w:right="0" w:firstLine="0"/>
                      <w:jc w:val="left"/>
                      <w:rPr>
                        <w:sz w:val="15"/>
                      </w:rPr>
                    </w:pPr>
                    <w:r>
                      <w:rPr>
                        <w:sz w:val="15"/>
                      </w:rPr>
                      <w:t>Wipro</w:t>
                    </w:r>
                  </w:p>
                  <w:p>
                    <w:pPr>
                      <w:spacing w:before="1"/>
                      <w:ind w:left="0" w:right="0" w:firstLine="0"/>
                      <w:jc w:val="left"/>
                      <w:rPr>
                        <w:sz w:val="15"/>
                      </w:rPr>
                    </w:pPr>
                    <w:r>
                      <w:rPr>
                        <w:w w:val="105"/>
                        <w:sz w:val="15"/>
                      </w:rPr>
                      <w:t>Campus</w:t>
                    </w:r>
                  </w:p>
                </w:txbxContent>
              </v:textbox>
              <w10:wrap type="none"/>
            </v:shape>
            <v:shape style="position:absolute;left:1297;top:2640;width:103;height:169" type="#_x0000_t202" filled="false" stroked="false">
              <v:textbox inset="0,0,0,0">
                <w:txbxContent>
                  <w:p>
                    <w:pPr>
                      <w:spacing w:before="3"/>
                      <w:ind w:left="0" w:right="0" w:firstLine="0"/>
                      <w:jc w:val="left"/>
                      <w:rPr>
                        <w:sz w:val="14"/>
                      </w:rPr>
                    </w:pPr>
                    <w:r>
                      <w:rPr>
                        <w:color w:val="FFFFFF"/>
                        <w:w w:val="112"/>
                        <w:sz w:val="14"/>
                      </w:rPr>
                      <w:t>1</w:t>
                    </w:r>
                  </w:p>
                </w:txbxContent>
              </v:textbox>
              <w10:wrap type="none"/>
            </v:shape>
            <v:shape style="position:absolute;left:4495;top:2361;width:508;height:529" type="#_x0000_t202" filled="false" stroked="false">
              <v:textbox inset="0,0,0,0">
                <w:txbxContent>
                  <w:p>
                    <w:pPr>
                      <w:spacing w:before="2"/>
                      <w:ind w:left="0" w:right="13" w:firstLine="0"/>
                      <w:jc w:val="center"/>
                      <w:rPr>
                        <w:sz w:val="15"/>
                      </w:rPr>
                    </w:pPr>
                    <w:r>
                      <w:rPr>
                        <w:sz w:val="15"/>
                      </w:rPr>
                      <w:t>Int’l</w:t>
                    </w:r>
                  </w:p>
                  <w:p>
                    <w:pPr>
                      <w:spacing w:before="1"/>
                      <w:ind w:left="-1" w:right="18" w:firstLine="0"/>
                      <w:jc w:val="center"/>
                      <w:rPr>
                        <w:sz w:val="15"/>
                      </w:rPr>
                    </w:pPr>
                    <w:r>
                      <w:rPr>
                        <w:w w:val="95"/>
                        <w:sz w:val="15"/>
                      </w:rPr>
                      <w:t>Biotech</w:t>
                    </w:r>
                  </w:p>
                  <w:p>
                    <w:pPr>
                      <w:spacing w:before="1"/>
                      <w:ind w:left="0" w:right="20" w:firstLine="0"/>
                      <w:jc w:val="center"/>
                      <w:rPr>
                        <w:sz w:val="15"/>
                      </w:rPr>
                    </w:pPr>
                    <w:r>
                      <w:rPr>
                        <w:sz w:val="15"/>
                      </w:rPr>
                      <w:t>Park</w:t>
                    </w:r>
                  </w:p>
                </w:txbxContent>
              </v:textbox>
              <w10:wrap type="none"/>
            </v:shape>
            <v:shape style="position:absolute;left:11332;top:2224;width:1199;height:211" type="#_x0000_t202" filled="false" stroked="false">
              <v:textbox inset="0,0,0,0">
                <w:txbxContent>
                  <w:p>
                    <w:pPr>
                      <w:spacing w:before="9"/>
                      <w:ind w:left="0" w:right="0" w:firstLine="0"/>
                      <w:jc w:val="left"/>
                      <w:rPr>
                        <w:sz w:val="17"/>
                      </w:rPr>
                    </w:pPr>
                    <w:r>
                      <w:rPr>
                        <w:w w:val="105"/>
                        <w:sz w:val="17"/>
                      </w:rPr>
                      <w:t>Embassy Qubix</w:t>
                    </w:r>
                  </w:p>
                </w:txbxContent>
              </v:textbox>
              <w10:wrap type="none"/>
            </v:shape>
            <v:shape style="position:absolute;left:8829;top:2623;width:103;height:169" type="#_x0000_t202" filled="false" stroked="false">
              <v:textbox inset="0,0,0,0">
                <w:txbxContent>
                  <w:p>
                    <w:pPr>
                      <w:spacing w:before="3"/>
                      <w:ind w:left="0" w:right="0" w:firstLine="0"/>
                      <w:jc w:val="left"/>
                      <w:rPr>
                        <w:sz w:val="14"/>
                      </w:rPr>
                    </w:pPr>
                    <w:r>
                      <w:rPr>
                        <w:color w:val="FFFFFF"/>
                        <w:w w:val="112"/>
                        <w:sz w:val="14"/>
                      </w:rPr>
                      <w:t>2</w:t>
                    </w:r>
                  </w:p>
                </w:txbxContent>
              </v:textbox>
              <w10:wrap type="none"/>
            </v:shape>
            <v:shape style="position:absolute;left:5054;top:2959;width:1143;height:382" type="#_x0000_t202" filled="false" stroked="false">
              <v:textbox inset="0,0,0,0">
                <w:txbxContent>
                  <w:p>
                    <w:pPr>
                      <w:spacing w:before="11"/>
                      <w:ind w:left="0" w:right="18" w:firstLine="0"/>
                      <w:jc w:val="center"/>
                      <w:rPr>
                        <w:sz w:val="15"/>
                      </w:rPr>
                    </w:pPr>
                    <w:r>
                      <w:rPr>
                        <w:spacing w:val="-3"/>
                        <w:w w:val="105"/>
                        <w:sz w:val="15"/>
                      </w:rPr>
                      <w:t>Hinjewadi</w:t>
                    </w:r>
                    <w:r>
                      <w:rPr>
                        <w:spacing w:val="-21"/>
                        <w:w w:val="105"/>
                        <w:sz w:val="15"/>
                      </w:rPr>
                      <w:t> </w:t>
                    </w:r>
                    <w:r>
                      <w:rPr>
                        <w:w w:val="105"/>
                        <w:sz w:val="15"/>
                      </w:rPr>
                      <w:t>Phase</w:t>
                    </w:r>
                  </w:p>
                  <w:p>
                    <w:pPr>
                      <w:spacing w:before="18"/>
                      <w:ind w:left="0" w:right="13" w:firstLine="0"/>
                      <w:jc w:val="center"/>
                      <w:rPr>
                        <w:sz w:val="15"/>
                      </w:rPr>
                    </w:pPr>
                    <w:r>
                      <w:rPr>
                        <w:w w:val="118"/>
                        <w:sz w:val="15"/>
                      </w:rPr>
                      <w:t>1</w:t>
                    </w:r>
                  </w:p>
                </w:txbxContent>
              </v:textbox>
              <w10:wrap type="none"/>
            </v:shape>
            <v:shape style="position:absolute;left:7055;top:3014;width:475;height:179" type="#_x0000_t202" filled="false" stroked="false">
              <v:textbox inset="0,0,0,0">
                <w:txbxContent>
                  <w:p>
                    <w:pPr>
                      <w:spacing w:before="3"/>
                      <w:ind w:left="0" w:right="0" w:firstLine="0"/>
                      <w:jc w:val="left"/>
                      <w:rPr>
                        <w:sz w:val="15"/>
                      </w:rPr>
                    </w:pPr>
                    <w:r>
                      <w:rPr>
                        <w:sz w:val="15"/>
                      </w:rPr>
                      <w:t>Infosys</w:t>
                    </w:r>
                  </w:p>
                </w:txbxContent>
              </v:textbox>
              <w10:wrap type="none"/>
            </v:shape>
            <v:shape style="position:absolute;left:10841;top:2890;width:2279;height:211" type="#_x0000_t202" filled="false" stroked="false">
              <v:textbox inset="0,0,0,0">
                <w:txbxContent>
                  <w:p>
                    <w:pPr>
                      <w:tabs>
                        <w:tab w:pos="491" w:val="left" w:leader="none"/>
                      </w:tabs>
                      <w:spacing w:before="9"/>
                      <w:ind w:left="0" w:right="0" w:firstLine="0"/>
                      <w:jc w:val="left"/>
                      <w:rPr>
                        <w:sz w:val="17"/>
                      </w:rPr>
                    </w:pPr>
                    <w:r>
                      <w:rPr>
                        <w:sz w:val="17"/>
                      </w:rPr>
                      <w:t>1</w:t>
                      <w:tab/>
                    </w:r>
                    <w:r>
                      <w:rPr>
                        <w:spacing w:val="-3"/>
                        <w:sz w:val="17"/>
                      </w:rPr>
                      <w:t>International </w:t>
                    </w:r>
                    <w:r>
                      <w:rPr>
                        <w:sz w:val="17"/>
                      </w:rPr>
                      <w:t>Tech</w:t>
                    </w:r>
                    <w:r>
                      <w:rPr>
                        <w:spacing w:val="10"/>
                        <w:sz w:val="17"/>
                      </w:rPr>
                      <w:t> </w:t>
                    </w:r>
                    <w:r>
                      <w:rPr>
                        <w:sz w:val="17"/>
                      </w:rPr>
                      <w:t>Park</w:t>
                    </w:r>
                  </w:p>
                </w:txbxContent>
              </v:textbox>
              <w10:wrap type="none"/>
            </v:shape>
            <v:shape style="position:absolute;left:6361;top:3225;width:580;height:355" type="#_x0000_t202" filled="false" stroked="false">
              <v:textbox inset="0,0,0,0">
                <w:txbxContent>
                  <w:p>
                    <w:pPr>
                      <w:spacing w:before="3"/>
                      <w:ind w:left="70" w:right="0" w:firstLine="0"/>
                      <w:jc w:val="left"/>
                      <w:rPr>
                        <w:sz w:val="15"/>
                      </w:rPr>
                    </w:pPr>
                    <w:r>
                      <w:rPr>
                        <w:sz w:val="15"/>
                      </w:rPr>
                      <w:t>Wipro</w:t>
                    </w:r>
                  </w:p>
                  <w:p>
                    <w:pPr>
                      <w:spacing w:before="1"/>
                      <w:ind w:left="0" w:right="0" w:firstLine="0"/>
                      <w:jc w:val="left"/>
                      <w:rPr>
                        <w:sz w:val="15"/>
                      </w:rPr>
                    </w:pPr>
                    <w:r>
                      <w:rPr>
                        <w:w w:val="105"/>
                        <w:sz w:val="15"/>
                      </w:rPr>
                      <w:t>Campus</w:t>
                    </w:r>
                  </w:p>
                </w:txbxContent>
              </v:textbox>
              <w10:wrap type="none"/>
            </v:shape>
            <v:shape style="position:absolute;left:7937;top:3004;width:527;height:383" type="#_x0000_t202" filled="false" stroked="false">
              <v:textbox inset="0,0,0,0">
                <w:txbxContent>
                  <w:p>
                    <w:pPr>
                      <w:spacing w:line="266" w:lineRule="auto" w:before="11"/>
                      <w:ind w:left="0" w:right="11" w:firstLine="26"/>
                      <w:jc w:val="left"/>
                      <w:rPr>
                        <w:sz w:val="15"/>
                      </w:rPr>
                    </w:pPr>
                    <w:r>
                      <w:rPr>
                        <w:w w:val="105"/>
                        <w:sz w:val="15"/>
                      </w:rPr>
                      <w:t>Shivaji Chowk</w:t>
                    </w:r>
                  </w:p>
                </w:txbxContent>
              </v:textbox>
              <w10:wrap type="none"/>
            </v:shape>
            <v:shape style="position:absolute;left:9262;top:3282;width:725;height:440" type="#_x0000_t202" filled="false" stroked="false">
              <v:textbox inset="0,0,0,0">
                <w:txbxContent>
                  <w:p>
                    <w:pPr>
                      <w:spacing w:line="252" w:lineRule="auto" w:before="8"/>
                      <w:ind w:left="140" w:right="0" w:hanging="141"/>
                      <w:jc w:val="left"/>
                      <w:rPr>
                        <w:sz w:val="18"/>
                      </w:rPr>
                    </w:pPr>
                    <w:r>
                      <w:rPr>
                        <w:sz w:val="18"/>
                      </w:rPr>
                      <w:t>Towards Pune</w:t>
                    </w:r>
                  </w:p>
                </w:txbxContent>
              </v:textbox>
              <w10:wrap type="none"/>
            </v:shape>
            <v:shape style="position:absolute;left:869;top:3960;width:298;height:179" type="#_x0000_t202" filled="false" stroked="false">
              <v:textbox inset="0,0,0,0">
                <w:txbxContent>
                  <w:p>
                    <w:pPr>
                      <w:spacing w:before="3"/>
                      <w:ind w:left="0" w:right="0" w:firstLine="0"/>
                      <w:jc w:val="left"/>
                      <w:rPr>
                        <w:sz w:val="15"/>
                      </w:rPr>
                    </w:pPr>
                    <w:r>
                      <w:rPr>
                        <w:w w:val="105"/>
                        <w:sz w:val="15"/>
                      </w:rPr>
                      <w:t>TCS</w:t>
                    </w:r>
                  </w:p>
                </w:txbxContent>
              </v:textbox>
              <w10:wrap type="none"/>
            </v:shape>
            <v:shape style="position:absolute;left:1745;top:4031;width:666;height:355" type="#_x0000_t202" filled="false" stroked="false">
              <v:textbox inset="0,0,0,0">
                <w:txbxContent>
                  <w:p>
                    <w:pPr>
                      <w:spacing w:before="3"/>
                      <w:ind w:left="0" w:right="27" w:firstLine="0"/>
                      <w:jc w:val="center"/>
                      <w:rPr>
                        <w:sz w:val="15"/>
                      </w:rPr>
                    </w:pPr>
                    <w:r>
                      <w:rPr>
                        <w:sz w:val="15"/>
                      </w:rPr>
                      <w:t>Tech</w:t>
                    </w:r>
                  </w:p>
                  <w:p>
                    <w:pPr>
                      <w:spacing w:before="1"/>
                      <w:ind w:left="0" w:right="18" w:firstLine="0"/>
                      <w:jc w:val="center"/>
                      <w:rPr>
                        <w:sz w:val="15"/>
                      </w:rPr>
                    </w:pPr>
                    <w:r>
                      <w:rPr>
                        <w:sz w:val="15"/>
                      </w:rPr>
                      <w:t>Mahindra</w:t>
                    </w:r>
                  </w:p>
                </w:txbxContent>
              </v:textbox>
              <w10:wrap type="none"/>
            </v:shape>
            <v:shape style="position:absolute;left:7681;top:4025;width:103;height:169" type="#_x0000_t202" filled="false" stroked="false">
              <v:textbox inset="0,0,0,0">
                <w:txbxContent>
                  <w:p>
                    <w:pPr>
                      <w:spacing w:before="3"/>
                      <w:ind w:left="0" w:right="0" w:firstLine="0"/>
                      <w:jc w:val="left"/>
                      <w:rPr>
                        <w:sz w:val="14"/>
                      </w:rPr>
                    </w:pPr>
                    <w:r>
                      <w:rPr>
                        <w:color w:val="FFFFFF"/>
                        <w:w w:val="112"/>
                        <w:sz w:val="14"/>
                      </w:rPr>
                      <w:t>3</w:t>
                    </w:r>
                  </w:p>
                </w:txbxContent>
              </v:textbox>
              <w10:wrap type="none"/>
            </v:shape>
            <v:shape style="position:absolute;left:10841;top:4224;width:1814;height:210" type="#_x0000_t202" filled="false" stroked="false">
              <v:textbox inset="0,0,0,0">
                <w:txbxContent>
                  <w:p>
                    <w:pPr>
                      <w:tabs>
                        <w:tab w:pos="491" w:val="left" w:leader="none"/>
                      </w:tabs>
                      <w:spacing w:before="9"/>
                      <w:ind w:left="0" w:right="0" w:firstLine="0"/>
                      <w:jc w:val="left"/>
                      <w:rPr>
                        <w:sz w:val="17"/>
                      </w:rPr>
                    </w:pPr>
                    <w:r>
                      <w:rPr>
                        <w:sz w:val="17"/>
                      </w:rPr>
                      <w:t>3</w:t>
                      <w:tab/>
                      <w:t>Radius Tech</w:t>
                    </w:r>
                    <w:r>
                      <w:rPr>
                        <w:spacing w:val="-2"/>
                        <w:sz w:val="17"/>
                      </w:rPr>
                      <w:t> </w:t>
                    </w:r>
                    <w:r>
                      <w:rPr>
                        <w:sz w:val="17"/>
                      </w:rPr>
                      <w:t>Park</w:t>
                    </w:r>
                  </w:p>
                </w:txbxContent>
              </v:textbox>
              <w10:wrap type="none"/>
            </v:shape>
            <v:shape style="position:absolute;left:736;top:4568;width:702;height:179" type="#_x0000_t202" filled="false" stroked="false">
              <v:textbox inset="0,0,0,0">
                <w:txbxContent>
                  <w:p>
                    <w:pPr>
                      <w:spacing w:before="2"/>
                      <w:ind w:left="0" w:right="0" w:firstLine="0"/>
                      <w:jc w:val="left"/>
                      <w:rPr>
                        <w:sz w:val="15"/>
                      </w:rPr>
                    </w:pPr>
                    <w:r>
                      <w:rPr>
                        <w:sz w:val="15"/>
                      </w:rPr>
                      <w:t>Megapolis</w:t>
                    </w:r>
                  </w:p>
                </w:txbxContent>
              </v:textbox>
              <w10:wrap type="none"/>
            </v:shape>
            <v:shape style="position:absolute;left:6812;top:4460;width:766;height:382" type="#_x0000_t202" filled="false" stroked="false">
              <v:textbox inset="0,0,0,0">
                <w:txbxContent>
                  <w:p>
                    <w:pPr>
                      <w:spacing w:before="11"/>
                      <w:ind w:left="0" w:right="0" w:firstLine="0"/>
                      <w:jc w:val="left"/>
                      <w:rPr>
                        <w:sz w:val="15"/>
                      </w:rPr>
                    </w:pPr>
                    <w:r>
                      <w:rPr>
                        <w:spacing w:val="5"/>
                        <w:sz w:val="15"/>
                      </w:rPr>
                      <w:t>Blue</w:t>
                    </w:r>
                    <w:r>
                      <w:rPr>
                        <w:spacing w:val="11"/>
                        <w:sz w:val="15"/>
                      </w:rPr>
                      <w:t> </w:t>
                    </w:r>
                    <w:r>
                      <w:rPr>
                        <w:sz w:val="15"/>
                      </w:rPr>
                      <w:t>Ridge</w:t>
                    </w:r>
                  </w:p>
                  <w:p>
                    <w:pPr>
                      <w:spacing w:before="18"/>
                      <w:ind w:left="43" w:right="0" w:firstLine="0"/>
                      <w:jc w:val="left"/>
                      <w:rPr>
                        <w:sz w:val="15"/>
                      </w:rPr>
                    </w:pPr>
                    <w:r>
                      <w:rPr>
                        <w:spacing w:val="3"/>
                        <w:w w:val="105"/>
                        <w:sz w:val="15"/>
                      </w:rPr>
                      <w:t>Township</w:t>
                    </w:r>
                  </w:p>
                </w:txbxContent>
              </v:textbox>
              <w10:wrap type="none"/>
            </v:shape>
            <v:shape style="position:absolute;left:8237;top:4556;width:103;height:168" type="#_x0000_t202" filled="false" stroked="false">
              <v:textbox inset="0,0,0,0">
                <w:txbxContent>
                  <w:p>
                    <w:pPr>
                      <w:spacing w:before="3"/>
                      <w:ind w:left="0" w:right="0" w:firstLine="0"/>
                      <w:jc w:val="left"/>
                      <w:rPr>
                        <w:sz w:val="14"/>
                      </w:rPr>
                    </w:pPr>
                    <w:r>
                      <w:rPr>
                        <w:color w:val="FFFFFF"/>
                        <w:w w:val="112"/>
                        <w:sz w:val="14"/>
                      </w:rPr>
                      <w:t>4</w:t>
                    </w:r>
                  </w:p>
                </w:txbxContent>
              </v:textbox>
              <w10:wrap type="none"/>
            </v:shape>
            <v:shape style="position:absolute;left:74;top:5489;width:4262;height:967" type="#_x0000_t202" filled="false" stroked="false">
              <v:textbox inset="0,0,0,0">
                <w:txbxContent>
                  <w:p>
                    <w:pPr>
                      <w:spacing w:before="8"/>
                      <w:ind w:left="732" w:right="0" w:firstLine="0"/>
                      <w:jc w:val="left"/>
                      <w:rPr>
                        <w:sz w:val="18"/>
                      </w:rPr>
                    </w:pPr>
                    <w:r>
                      <w:rPr>
                        <w:spacing w:val="4"/>
                        <w:sz w:val="18"/>
                      </w:rPr>
                      <w:t>Towards</w:t>
                    </w:r>
                  </w:p>
                  <w:p>
                    <w:pPr>
                      <w:spacing w:before="9"/>
                      <w:ind w:left="741" w:right="0" w:firstLine="0"/>
                      <w:jc w:val="left"/>
                      <w:rPr>
                        <w:sz w:val="18"/>
                      </w:rPr>
                    </w:pPr>
                    <w:r>
                      <w:rPr>
                        <w:spacing w:val="3"/>
                        <w:sz w:val="18"/>
                      </w:rPr>
                      <w:t>Pirangut</w:t>
                    </w:r>
                  </w:p>
                  <w:p>
                    <w:pPr>
                      <w:spacing w:line="240" w:lineRule="auto" w:before="5"/>
                      <w:rPr>
                        <w:sz w:val="27"/>
                      </w:rPr>
                    </w:pPr>
                  </w:p>
                  <w:p>
                    <w:pPr>
                      <w:spacing w:before="0"/>
                      <w:ind w:left="0" w:right="0" w:firstLine="0"/>
                      <w:jc w:val="left"/>
                      <w:rPr>
                        <w:i/>
                        <w:sz w:val="18"/>
                      </w:rPr>
                    </w:pPr>
                    <w:r>
                      <w:rPr>
                        <w:i/>
                        <w:sz w:val="18"/>
                        <w:u w:val="single"/>
                      </w:rPr>
                      <w:t>Map</w:t>
                    </w:r>
                    <w:r>
                      <w:rPr>
                        <w:i/>
                        <w:spacing w:val="-7"/>
                        <w:sz w:val="18"/>
                        <w:u w:val="single"/>
                      </w:rPr>
                      <w:t> </w:t>
                    </w:r>
                    <w:r>
                      <w:rPr>
                        <w:i/>
                        <w:sz w:val="18"/>
                        <w:u w:val="single"/>
                      </w:rPr>
                      <w:t>Not</w:t>
                    </w:r>
                    <w:r>
                      <w:rPr>
                        <w:i/>
                        <w:spacing w:val="-8"/>
                        <w:sz w:val="18"/>
                        <w:u w:val="single"/>
                      </w:rPr>
                      <w:t> </w:t>
                    </w:r>
                    <w:r>
                      <w:rPr>
                        <w:i/>
                        <w:sz w:val="18"/>
                        <w:u w:val="single"/>
                      </w:rPr>
                      <w:t>to</w:t>
                    </w:r>
                    <w:r>
                      <w:rPr>
                        <w:i/>
                        <w:spacing w:val="-13"/>
                        <w:sz w:val="18"/>
                        <w:u w:val="single"/>
                      </w:rPr>
                      <w:t> </w:t>
                    </w:r>
                    <w:r>
                      <w:rPr>
                        <w:i/>
                        <w:sz w:val="18"/>
                        <w:u w:val="single"/>
                      </w:rPr>
                      <w:t>Scale</w:t>
                    </w:r>
                    <w:r>
                      <w:rPr>
                        <w:i/>
                        <w:spacing w:val="-13"/>
                        <w:sz w:val="18"/>
                        <w:u w:val="single"/>
                      </w:rPr>
                      <w:t> </w:t>
                    </w:r>
                    <w:r>
                      <w:rPr>
                        <w:i/>
                        <w:sz w:val="18"/>
                        <w:u w:val="single"/>
                      </w:rPr>
                      <w:t>(For</w:t>
                    </w:r>
                    <w:r>
                      <w:rPr>
                        <w:i/>
                        <w:spacing w:val="-8"/>
                        <w:sz w:val="18"/>
                        <w:u w:val="single"/>
                      </w:rPr>
                      <w:t> </w:t>
                    </w:r>
                    <w:r>
                      <w:rPr>
                        <w:i/>
                        <w:sz w:val="18"/>
                        <w:u w:val="single"/>
                      </w:rPr>
                      <w:t>Representation</w:t>
                    </w:r>
                    <w:r>
                      <w:rPr>
                        <w:i/>
                        <w:spacing w:val="-10"/>
                        <w:sz w:val="18"/>
                        <w:u w:val="single"/>
                      </w:rPr>
                      <w:t> </w:t>
                    </w:r>
                    <w:r>
                      <w:rPr>
                        <w:i/>
                        <w:sz w:val="18"/>
                        <w:u w:val="single"/>
                      </w:rPr>
                      <w:t>Purposes</w:t>
                    </w:r>
                    <w:r>
                      <w:rPr>
                        <w:i/>
                        <w:spacing w:val="-21"/>
                        <w:sz w:val="18"/>
                        <w:u w:val="single"/>
                      </w:rPr>
                      <w:t> </w:t>
                    </w:r>
                    <w:r>
                      <w:rPr>
                        <w:i/>
                        <w:sz w:val="18"/>
                        <w:u w:val="single"/>
                      </w:rPr>
                      <w:t>Only)</w:t>
                    </w:r>
                  </w:p>
                </w:txbxContent>
              </v:textbox>
              <w10:wrap type="none"/>
            </v:shape>
            <v:shape style="position:absolute;left:4768;top:6249;width:1832;height:253" type="#_x0000_t202" filled="false" stroked="false">
              <v:textbox inset="0,0,0,0">
                <w:txbxContent>
                  <w:p>
                    <w:pPr>
                      <w:spacing w:before="5"/>
                      <w:ind w:left="0" w:right="0" w:firstLine="0"/>
                      <w:jc w:val="left"/>
                      <w:rPr>
                        <w:sz w:val="21"/>
                      </w:rPr>
                    </w:pPr>
                    <w:r>
                      <w:rPr>
                        <w:sz w:val="21"/>
                      </w:rPr>
                      <w:t>Embassy Tech Zone</w:t>
                    </w:r>
                  </w:p>
                </w:txbxContent>
              </v:textbox>
              <w10:wrap type="none"/>
            </v:shape>
            <v:shape style="position:absolute;left:7097;top:6243;width:1722;height:253" type="#_x0000_t202" filled="false" stroked="false">
              <v:textbox inset="0,0,0,0">
                <w:txbxContent>
                  <w:p>
                    <w:pPr>
                      <w:spacing w:before="5"/>
                      <w:ind w:left="0" w:right="0" w:firstLine="0"/>
                      <w:jc w:val="left"/>
                      <w:rPr>
                        <w:sz w:val="21"/>
                      </w:rPr>
                    </w:pPr>
                    <w:r>
                      <w:rPr>
                        <w:w w:val="105"/>
                        <w:sz w:val="21"/>
                      </w:rPr>
                      <w:t>Embassy</w:t>
                    </w:r>
                    <w:r>
                      <w:rPr>
                        <w:spacing w:val="-27"/>
                        <w:w w:val="105"/>
                        <w:sz w:val="21"/>
                      </w:rPr>
                      <w:t> </w:t>
                    </w:r>
                    <w:r>
                      <w:rPr>
                        <w:w w:val="105"/>
                        <w:sz w:val="21"/>
                      </w:rPr>
                      <w:t>Quadron</w:t>
                    </w:r>
                  </w:p>
                </w:txbxContent>
              </v:textbox>
              <w10:wrap type="none"/>
            </v:shape>
            <v:shape style="position:absolute;left:9487;top:6243;width:1434;height:253" type="#_x0000_t202" filled="false" stroked="false">
              <v:textbox inset="0,0,0,0">
                <w:txbxContent>
                  <w:p>
                    <w:pPr>
                      <w:spacing w:before="5"/>
                      <w:ind w:left="0" w:right="0" w:firstLine="0"/>
                      <w:jc w:val="left"/>
                      <w:rPr>
                        <w:sz w:val="21"/>
                      </w:rPr>
                    </w:pPr>
                    <w:r>
                      <w:rPr>
                        <w:sz w:val="21"/>
                      </w:rPr>
                      <w:t>Embassy Qubix</w:t>
                    </w:r>
                  </w:p>
                </w:txbxContent>
              </v:textbox>
              <w10:wrap type="none"/>
            </v:shape>
            <v:shape style="position:absolute;left:3909;top:3438;width:1393;height:525" type="#_x0000_t202" filled="true" fillcolor="#dae2f3" stroked="false">
              <v:textbox inset="0,0,0,0">
                <w:txbxContent>
                  <w:p>
                    <w:pPr>
                      <w:spacing w:before="93"/>
                      <w:ind w:left="254" w:right="0" w:firstLine="0"/>
                      <w:jc w:val="left"/>
                      <w:rPr>
                        <w:sz w:val="15"/>
                      </w:rPr>
                    </w:pPr>
                    <w:r>
                      <w:rPr>
                        <w:w w:val="105"/>
                        <w:sz w:val="15"/>
                      </w:rPr>
                      <w:t>Rajiv</w:t>
                    </w:r>
                    <w:r>
                      <w:rPr>
                        <w:spacing w:val="-17"/>
                        <w:w w:val="105"/>
                        <w:sz w:val="15"/>
                      </w:rPr>
                      <w:t> </w:t>
                    </w:r>
                    <w:r>
                      <w:rPr>
                        <w:w w:val="105"/>
                        <w:sz w:val="15"/>
                      </w:rPr>
                      <w:t>Gandhi</w:t>
                    </w:r>
                  </w:p>
                  <w:p>
                    <w:pPr>
                      <w:spacing w:before="18"/>
                      <w:ind w:left="246" w:right="0" w:firstLine="0"/>
                      <w:jc w:val="left"/>
                      <w:rPr>
                        <w:sz w:val="15"/>
                      </w:rPr>
                    </w:pPr>
                    <w:r>
                      <w:rPr>
                        <w:sz w:val="15"/>
                      </w:rPr>
                      <w:t>Infotech</w:t>
                    </w:r>
                    <w:r>
                      <w:rPr>
                        <w:spacing w:val="-3"/>
                        <w:sz w:val="15"/>
                      </w:rPr>
                      <w:t> Park</w:t>
                    </w:r>
                  </w:p>
                </w:txbxContent>
              </v:textbox>
              <v:fill type="solid"/>
              <w10:wrap type="none"/>
            </v:shape>
            <v:shape style="position:absolute;left:10346;top:665;width:3137;height:666" type="#_x0000_t202" filled="false" stroked="false">
              <v:textbox inset="0,0,0,0">
                <w:txbxContent>
                  <w:p>
                    <w:pPr>
                      <w:spacing w:line="240" w:lineRule="auto" w:before="3"/>
                      <w:rPr>
                        <w:sz w:val="20"/>
                      </w:rPr>
                    </w:pPr>
                  </w:p>
                  <w:p>
                    <w:pPr>
                      <w:spacing w:before="0"/>
                      <w:ind w:left="986" w:right="0" w:firstLine="0"/>
                      <w:jc w:val="left"/>
                      <w:rPr>
                        <w:sz w:val="17"/>
                      </w:rPr>
                    </w:pPr>
                    <w:r>
                      <w:rPr>
                        <w:sz w:val="17"/>
                      </w:rPr>
                      <w:t>Embassy Techzone</w:t>
                    </w:r>
                  </w:p>
                </w:txbxContent>
              </v:textbox>
              <w10:wrap type="none"/>
            </v:shape>
            <v:shape style="position:absolute;left:10346;top:4658;width:3137;height:666" type="#_x0000_t202" filled="true" fillcolor="#eaeaea" stroked="false">
              <v:textbox inset="0,0,0,0">
                <w:txbxContent>
                  <w:p>
                    <w:pPr>
                      <w:spacing w:line="240" w:lineRule="auto" w:before="9"/>
                      <w:rPr>
                        <w:sz w:val="20"/>
                      </w:rPr>
                    </w:pPr>
                  </w:p>
                  <w:p>
                    <w:pPr>
                      <w:tabs>
                        <w:tab w:pos="986" w:val="left" w:leader="none"/>
                      </w:tabs>
                      <w:spacing w:before="0"/>
                      <w:ind w:left="495" w:right="0" w:firstLine="0"/>
                      <w:jc w:val="left"/>
                      <w:rPr>
                        <w:sz w:val="17"/>
                      </w:rPr>
                    </w:pPr>
                    <w:r>
                      <w:rPr>
                        <w:w w:val="105"/>
                        <w:sz w:val="17"/>
                      </w:rPr>
                      <w:t>4</w:t>
                      <w:tab/>
                      <w:t>Blue Ridge -</w:t>
                    </w:r>
                    <w:r>
                      <w:rPr>
                        <w:spacing w:val="-20"/>
                        <w:w w:val="105"/>
                        <w:sz w:val="17"/>
                      </w:rPr>
                      <w:t> </w:t>
                    </w:r>
                    <w:r>
                      <w:rPr>
                        <w:w w:val="105"/>
                        <w:sz w:val="17"/>
                      </w:rPr>
                      <w:t>Ascendas</w:t>
                    </w:r>
                  </w:p>
                </w:txbxContent>
              </v:textbox>
              <v:fill type="solid"/>
              <w10:wrap type="none"/>
            </v:shape>
            <v:shape style="position:absolute;left:4014;top:4471;width:1113;height:508" type="#_x0000_t202" filled="true" fillcolor="#ffc000" stroked="false">
              <v:textbox inset="0,0,0,0">
                <w:txbxContent>
                  <w:p>
                    <w:pPr>
                      <w:spacing w:line="266" w:lineRule="auto" w:before="77"/>
                      <w:ind w:left="381" w:right="0" w:hanging="158"/>
                      <w:jc w:val="left"/>
                      <w:rPr>
                        <w:sz w:val="15"/>
                      </w:rPr>
                    </w:pPr>
                    <w:r>
                      <w:rPr>
                        <w:sz w:val="15"/>
                      </w:rPr>
                      <w:t>Hinjewadi </w:t>
                    </w:r>
                    <w:r>
                      <w:rPr>
                        <w:w w:val="105"/>
                        <w:sz w:val="15"/>
                      </w:rPr>
                      <w:t>Road</w:t>
                    </w:r>
                  </w:p>
                </w:txbxContent>
              </v:textbox>
              <v:fill type="solid"/>
              <w10:wrap type="none"/>
            </v:shape>
            <v:shape style="position:absolute;left:10346;top:3327;width:3137;height:666" type="#_x0000_t202" filled="true" fillcolor="#eaeaea" stroked="false">
              <v:textbox inset="0,0,0,0">
                <w:txbxContent>
                  <w:p>
                    <w:pPr>
                      <w:spacing w:line="240" w:lineRule="auto" w:before="7"/>
                      <w:rPr>
                        <w:sz w:val="20"/>
                      </w:rPr>
                    </w:pPr>
                  </w:p>
                  <w:p>
                    <w:pPr>
                      <w:tabs>
                        <w:tab w:pos="986" w:val="left" w:leader="none"/>
                      </w:tabs>
                      <w:spacing w:before="0"/>
                      <w:ind w:left="495" w:right="0" w:firstLine="0"/>
                      <w:jc w:val="left"/>
                      <w:rPr>
                        <w:sz w:val="17"/>
                      </w:rPr>
                    </w:pPr>
                    <w:r>
                      <w:rPr>
                        <w:sz w:val="17"/>
                      </w:rPr>
                      <w:t>2</w:t>
                      <w:tab/>
                      <w:t>Panchshil Tech</w:t>
                    </w:r>
                    <w:r>
                      <w:rPr>
                        <w:spacing w:val="15"/>
                        <w:sz w:val="17"/>
                      </w:rPr>
                      <w:t> </w:t>
                    </w:r>
                    <w:r>
                      <w:rPr>
                        <w:sz w:val="17"/>
                      </w:rPr>
                      <w:t>Park</w:t>
                    </w:r>
                  </w:p>
                </w:txbxContent>
              </v:textbox>
              <v:fill type="solid"/>
              <w10:wrap type="none"/>
            </v:shape>
            <v:shape style="position:absolute;left:569;top:3206;width:1401;height:508" type="#_x0000_t202" filled="false" stroked="true" strokeweight=".437969pt" strokecolor="#a4a4a4">
              <v:textbox inset="0,0,0,0">
                <w:txbxContent>
                  <w:p>
                    <w:pPr>
                      <w:spacing w:before="65"/>
                      <w:ind w:left="90" w:right="96" w:firstLine="0"/>
                      <w:jc w:val="center"/>
                      <w:rPr>
                        <w:sz w:val="15"/>
                      </w:rPr>
                    </w:pPr>
                    <w:r>
                      <w:rPr>
                        <w:w w:val="105"/>
                        <w:sz w:val="15"/>
                      </w:rPr>
                      <w:t>Hinjewadi Phase</w:t>
                    </w:r>
                  </w:p>
                  <w:p>
                    <w:pPr>
                      <w:spacing w:before="19"/>
                      <w:ind w:left="0" w:right="3" w:firstLine="0"/>
                      <w:jc w:val="center"/>
                      <w:rPr>
                        <w:sz w:val="15"/>
                      </w:rPr>
                    </w:pPr>
                    <w:r>
                      <w:rPr>
                        <w:w w:val="118"/>
                        <w:sz w:val="15"/>
                      </w:rPr>
                      <w:t>3</w:t>
                    </w:r>
                  </w:p>
                </w:txbxContent>
              </v:textbox>
              <v:stroke dashstyle="solid"/>
              <w10:wrap type="none"/>
            </v:shape>
            <v:shape style="position:absolute;left:3165;top:2677;width:1191;height:508" type="#_x0000_t202" filled="true" fillcolor="#ffc000" stroked="false">
              <v:textbox inset="0,0,0,0">
                <w:txbxContent>
                  <w:p>
                    <w:pPr>
                      <w:spacing w:before="74"/>
                      <w:ind w:left="127" w:right="135" w:firstLine="0"/>
                      <w:jc w:val="center"/>
                      <w:rPr>
                        <w:sz w:val="15"/>
                      </w:rPr>
                    </w:pPr>
                    <w:r>
                      <w:rPr>
                        <w:sz w:val="15"/>
                      </w:rPr>
                      <w:t>Hinjewadi Ph</w:t>
                    </w:r>
                  </w:p>
                  <w:p>
                    <w:pPr>
                      <w:spacing w:before="18"/>
                      <w:ind w:left="127" w:right="132" w:firstLine="0"/>
                      <w:jc w:val="center"/>
                      <w:rPr>
                        <w:sz w:val="15"/>
                      </w:rPr>
                    </w:pPr>
                    <w:r>
                      <w:rPr>
                        <w:w w:val="110"/>
                        <w:sz w:val="15"/>
                      </w:rPr>
                      <w:t>2 Road</w:t>
                    </w:r>
                  </w:p>
                </w:txbxContent>
              </v:textbox>
              <v:fill type="solid"/>
              <w10:wrap type="none"/>
            </v:shape>
            <v:shape style="position:absolute;left:7666;top:1714;width:1218;height:508" type="#_x0000_t202" filled="true" fillcolor="#ffc000" stroked="false">
              <v:textbox inset="0,0,0,0">
                <w:txbxContent>
                  <w:p>
                    <w:pPr>
                      <w:spacing w:before="75"/>
                      <w:ind w:left="148" w:right="132" w:firstLine="0"/>
                      <w:jc w:val="center"/>
                      <w:rPr>
                        <w:sz w:val="15"/>
                      </w:rPr>
                    </w:pPr>
                    <w:r>
                      <w:rPr>
                        <w:w w:val="115"/>
                        <w:sz w:val="15"/>
                      </w:rPr>
                      <w:t>Dange</w:t>
                    </w:r>
                  </w:p>
                  <w:p>
                    <w:pPr>
                      <w:spacing w:before="18"/>
                      <w:ind w:left="148" w:right="132" w:firstLine="0"/>
                      <w:jc w:val="center"/>
                      <w:rPr>
                        <w:sz w:val="15"/>
                      </w:rPr>
                    </w:pPr>
                    <w:r>
                      <w:rPr>
                        <w:w w:val="110"/>
                        <w:sz w:val="15"/>
                      </w:rPr>
                      <w:t>Chowk Road</w:t>
                    </w:r>
                  </w:p>
                </w:txbxContent>
              </v:textbox>
              <v:fill type="solid"/>
              <w10:wrap type="none"/>
            </v:shape>
            <v:shape style="position:absolute;left:3038;top:1386;width:1401;height:508" type="#_x0000_t202" filled="false" stroked="true" strokeweight=".437969pt" strokecolor="#a4a4a4">
              <v:textbox inset="0,0,0,0">
                <w:txbxContent>
                  <w:p>
                    <w:pPr>
                      <w:spacing w:before="64"/>
                      <w:ind w:left="89" w:right="97" w:firstLine="0"/>
                      <w:jc w:val="center"/>
                      <w:rPr>
                        <w:sz w:val="15"/>
                      </w:rPr>
                    </w:pPr>
                    <w:r>
                      <w:rPr>
                        <w:w w:val="105"/>
                        <w:sz w:val="15"/>
                      </w:rPr>
                      <w:t>Hinjewadi Phase</w:t>
                    </w:r>
                  </w:p>
                  <w:p>
                    <w:pPr>
                      <w:spacing w:before="18"/>
                      <w:ind w:left="0" w:right="5" w:firstLine="0"/>
                      <w:jc w:val="center"/>
                      <w:rPr>
                        <w:sz w:val="15"/>
                      </w:rPr>
                    </w:pPr>
                    <w:r>
                      <w:rPr>
                        <w:w w:val="118"/>
                        <w:sz w:val="15"/>
                      </w:rPr>
                      <w:t>2</w:t>
                    </w:r>
                  </w:p>
                </w:txbxContent>
              </v:textbox>
              <v:stroke dashstyle="solid"/>
              <w10:wrap type="none"/>
            </v:shape>
            <v:shape style="position:absolute;left:10447;top:0;width:3035;height:666" type="#_x0000_t202" filled="true" fillcolor="#006a4d" stroked="false">
              <v:textbox inset="0,0,0,0">
                <w:txbxContent>
                  <w:p>
                    <w:pPr>
                      <w:spacing w:line="240" w:lineRule="auto" w:before="1"/>
                      <w:rPr>
                        <w:sz w:val="21"/>
                      </w:rPr>
                    </w:pPr>
                  </w:p>
                  <w:p>
                    <w:pPr>
                      <w:tabs>
                        <w:tab w:pos="981" w:val="left" w:leader="none"/>
                      </w:tabs>
                      <w:spacing w:before="0"/>
                      <w:ind w:left="375" w:right="0" w:firstLine="0"/>
                      <w:jc w:val="left"/>
                      <w:rPr>
                        <w:sz w:val="17"/>
                      </w:rPr>
                    </w:pPr>
                    <w:r>
                      <w:rPr>
                        <w:color w:val="FFFFFF"/>
                        <w:w w:val="105"/>
                        <w:sz w:val="17"/>
                      </w:rPr>
                      <w:t>#</w:t>
                      <w:tab/>
                    </w:r>
                    <w:r>
                      <w:rPr>
                        <w:color w:val="FFFFFF"/>
                        <w:spacing w:val="5"/>
                        <w:w w:val="105"/>
                        <w:sz w:val="17"/>
                      </w:rPr>
                      <w:t>Key</w:t>
                    </w:r>
                    <w:r>
                      <w:rPr>
                        <w:color w:val="FFFFFF"/>
                        <w:spacing w:val="-26"/>
                        <w:w w:val="105"/>
                        <w:sz w:val="17"/>
                      </w:rPr>
                      <w:t> </w:t>
                    </w:r>
                    <w:r>
                      <w:rPr>
                        <w:color w:val="FFFFFF"/>
                        <w:spacing w:val="2"/>
                        <w:w w:val="105"/>
                        <w:sz w:val="17"/>
                      </w:rPr>
                      <w:t>Office</w:t>
                    </w:r>
                    <w:r>
                      <w:rPr>
                        <w:color w:val="FFFFFF"/>
                        <w:spacing w:val="-34"/>
                        <w:w w:val="105"/>
                        <w:sz w:val="17"/>
                      </w:rPr>
                      <w:t> </w:t>
                    </w:r>
                    <w:r>
                      <w:rPr>
                        <w:color w:val="FFFFFF"/>
                        <w:w w:val="105"/>
                        <w:sz w:val="17"/>
                      </w:rPr>
                      <w:t>Developments</w:t>
                    </w:r>
                  </w:p>
                </w:txbxContent>
              </v:textbox>
              <v:fill type="solid"/>
              <w10:wrap type="none"/>
            </v:shape>
          </v:group>
        </w:pict>
      </w:r>
      <w:r>
        <w:rPr>
          <w:sz w:val="20"/>
        </w:rPr>
      </w:r>
    </w:p>
    <w:p>
      <w:pPr>
        <w:spacing w:line="185" w:lineRule="exact" w:before="0"/>
        <w:ind w:left="391" w:right="0" w:firstLine="0"/>
        <w:jc w:val="left"/>
        <w:rPr>
          <w:i/>
          <w:sz w:val="18"/>
        </w:rPr>
      </w:pPr>
      <w:r>
        <w:rPr>
          <w:i/>
          <w:sz w:val="18"/>
        </w:rPr>
        <w:t>Source: Consultants’ Research</w:t>
      </w:r>
    </w:p>
    <w:p>
      <w:pPr>
        <w:spacing w:after="0" w:line="185" w:lineRule="exact"/>
        <w:jc w:val="left"/>
        <w:rPr>
          <w:sz w:val="18"/>
        </w:rPr>
        <w:sectPr>
          <w:headerReference w:type="default" r:id="rId193"/>
          <w:footerReference w:type="default" r:id="rId194"/>
          <w:pgSz w:w="16840" w:h="11910" w:orient="landscape"/>
          <w:pgMar w:header="0" w:footer="504" w:top="640" w:bottom="700" w:left="1200" w:right="200"/>
        </w:sectPr>
      </w:pPr>
    </w:p>
    <w:p>
      <w:pPr>
        <w:pStyle w:val="BodyText"/>
        <w:spacing w:before="11"/>
        <w:rPr>
          <w:i/>
          <w:sz w:val="19"/>
        </w:rPr>
      </w:pPr>
    </w:p>
    <w:p>
      <w:pPr>
        <w:pStyle w:val="ListParagraph"/>
        <w:numPr>
          <w:ilvl w:val="2"/>
          <w:numId w:val="14"/>
        </w:numPr>
        <w:tabs>
          <w:tab w:pos="981" w:val="left" w:leader="none"/>
        </w:tabs>
        <w:spacing w:line="240" w:lineRule="auto" w:before="106" w:after="0"/>
        <w:ind w:left="980" w:right="0" w:hanging="721"/>
        <w:jc w:val="left"/>
        <w:rPr>
          <w:sz w:val="22"/>
        </w:rPr>
      </w:pPr>
      <w:bookmarkStart w:name="_bookmark187" w:id="364"/>
      <w:bookmarkEnd w:id="364"/>
      <w:r>
        <w:rPr/>
      </w:r>
      <w:bookmarkStart w:name="_bookmark187" w:id="365"/>
      <w:bookmarkEnd w:id="365"/>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8"/>
        <w:ind w:left="826" w:right="234"/>
        <w:jc w:val="both"/>
      </w:pPr>
      <w:r>
        <w:rPr/>
        <w:t>As</w:t>
      </w:r>
      <w:r>
        <w:rPr>
          <w:spacing w:val="-21"/>
        </w:rPr>
        <w:t> </w:t>
      </w:r>
      <w:r>
        <w:rPr/>
        <w:t>per</w:t>
      </w:r>
      <w:r>
        <w:rPr>
          <w:spacing w:val="-19"/>
        </w:rPr>
        <w:t> </w:t>
      </w:r>
      <w:r>
        <w:rPr/>
        <w:t>the</w:t>
      </w:r>
      <w:r>
        <w:rPr>
          <w:spacing w:val="-20"/>
        </w:rPr>
        <w:t> </w:t>
      </w:r>
      <w:r>
        <w:rPr/>
        <w:t>title</w:t>
      </w:r>
      <w:r>
        <w:rPr>
          <w:spacing w:val="-19"/>
        </w:rPr>
        <w:t> </w:t>
      </w:r>
      <w:r>
        <w:rPr/>
        <w:t>due</w:t>
      </w:r>
      <w:r>
        <w:rPr>
          <w:spacing w:val="-21"/>
        </w:rPr>
        <w:t> </w:t>
      </w:r>
      <w:r>
        <w:rPr/>
        <w:t>diligence</w:t>
      </w:r>
      <w:r>
        <w:rPr>
          <w:spacing w:val="-20"/>
        </w:rPr>
        <w:t> </w:t>
      </w:r>
      <w:r>
        <w:rPr/>
        <w:t>undertaken</w:t>
      </w:r>
      <w:r>
        <w:rPr>
          <w:spacing w:val="-19"/>
        </w:rPr>
        <w:t> </w:t>
      </w:r>
      <w:r>
        <w:rPr/>
        <w:t>by</w:t>
      </w:r>
      <w:r>
        <w:rPr>
          <w:spacing w:val="-16"/>
        </w:rPr>
        <w:t> </w:t>
      </w:r>
      <w:r>
        <w:rPr/>
        <w:t>Cyril</w:t>
      </w:r>
      <w:r>
        <w:rPr>
          <w:spacing w:val="-21"/>
        </w:rPr>
        <w:t> </w:t>
      </w:r>
      <w:r>
        <w:rPr/>
        <w:t>Amarchand</w:t>
      </w:r>
      <w:r>
        <w:rPr>
          <w:spacing w:val="-18"/>
        </w:rPr>
        <w:t> </w:t>
      </w:r>
      <w:r>
        <w:rPr/>
        <w:t>Mangaldas</w:t>
      </w:r>
      <w:r>
        <w:rPr>
          <w:spacing w:val="-18"/>
        </w:rPr>
        <w:t> </w:t>
      </w:r>
      <w:r>
        <w:rPr/>
        <w:t>and</w:t>
      </w:r>
      <w:r>
        <w:rPr>
          <w:spacing w:val="-18"/>
        </w:rPr>
        <w:t> </w:t>
      </w:r>
      <w:r>
        <w:rPr/>
        <w:t>as</w:t>
      </w:r>
      <w:r>
        <w:rPr>
          <w:spacing w:val="-20"/>
        </w:rPr>
        <w:t> </w:t>
      </w:r>
      <w:r>
        <w:rPr/>
        <w:t>provided</w:t>
      </w:r>
      <w:r>
        <w:rPr>
          <w:spacing w:val="-21"/>
        </w:rPr>
        <w:t> </w:t>
      </w:r>
      <w:r>
        <w:rPr/>
        <w:t>by</w:t>
      </w:r>
      <w:r>
        <w:rPr>
          <w:spacing w:val="-20"/>
        </w:rPr>
        <w:t> </w:t>
      </w:r>
      <w:r>
        <w:rPr/>
        <w:t>the</w:t>
      </w:r>
      <w:r>
        <w:rPr>
          <w:spacing w:val="-19"/>
        </w:rPr>
        <w:t> </w:t>
      </w:r>
      <w:r>
        <w:rPr/>
        <w:t>Client, we</w:t>
      </w:r>
      <w:r>
        <w:rPr>
          <w:spacing w:val="-29"/>
        </w:rPr>
        <w:t> </w:t>
      </w:r>
      <w:r>
        <w:rPr/>
        <w:t>understand</w:t>
      </w:r>
      <w:r>
        <w:rPr>
          <w:spacing w:val="-29"/>
        </w:rPr>
        <w:t> </w:t>
      </w:r>
      <w:r>
        <w:rPr/>
        <w:t>that</w:t>
      </w:r>
      <w:r>
        <w:rPr>
          <w:spacing w:val="-27"/>
        </w:rPr>
        <w:t> </w:t>
      </w:r>
      <w:r>
        <w:rPr/>
        <w:t>the</w:t>
      </w:r>
      <w:r>
        <w:rPr>
          <w:spacing w:val="-29"/>
        </w:rPr>
        <w:t> </w:t>
      </w:r>
      <w:r>
        <w:rPr/>
        <w:t>exact</w:t>
      </w:r>
      <w:r>
        <w:rPr>
          <w:spacing w:val="-27"/>
        </w:rPr>
        <w:t> </w:t>
      </w:r>
      <w:r>
        <w:rPr/>
        <w:t>address</w:t>
      </w:r>
      <w:r>
        <w:rPr>
          <w:spacing w:val="-27"/>
        </w:rPr>
        <w:t> </w:t>
      </w:r>
      <w:r>
        <w:rPr/>
        <w:t>of</w:t>
      </w:r>
      <w:r>
        <w:rPr>
          <w:spacing w:val="-29"/>
        </w:rPr>
        <w:t> </w:t>
      </w:r>
      <w:r>
        <w:rPr/>
        <w:t>the</w:t>
      </w:r>
      <w:r>
        <w:rPr>
          <w:spacing w:val="-28"/>
        </w:rPr>
        <w:t> </w:t>
      </w:r>
      <w:r>
        <w:rPr/>
        <w:t>subject</w:t>
      </w:r>
      <w:r>
        <w:rPr>
          <w:spacing w:val="-28"/>
        </w:rPr>
        <w:t> </w:t>
      </w:r>
      <w:r>
        <w:rPr/>
        <w:t>property</w:t>
      </w:r>
      <w:r>
        <w:rPr>
          <w:spacing w:val="-27"/>
        </w:rPr>
        <w:t> </w:t>
      </w:r>
      <w:r>
        <w:rPr/>
        <w:t>is</w:t>
      </w:r>
      <w:r>
        <w:rPr>
          <w:spacing w:val="-28"/>
        </w:rPr>
        <w:t> </w:t>
      </w:r>
      <w:r>
        <w:rPr/>
        <w:t>Plot</w:t>
      </w:r>
      <w:r>
        <w:rPr>
          <w:spacing w:val="-27"/>
        </w:rPr>
        <w:t> </w:t>
      </w:r>
      <w:r>
        <w:rPr/>
        <w:t>No.</w:t>
      </w:r>
      <w:r>
        <w:rPr>
          <w:spacing w:val="-28"/>
        </w:rPr>
        <w:t> </w:t>
      </w:r>
      <w:r>
        <w:rPr/>
        <w:t>28,</w:t>
      </w:r>
      <w:r>
        <w:rPr>
          <w:spacing w:val="-28"/>
        </w:rPr>
        <w:t> </w:t>
      </w:r>
      <w:r>
        <w:rPr/>
        <w:t>Rajiv</w:t>
      </w:r>
      <w:r>
        <w:rPr>
          <w:spacing w:val="-24"/>
        </w:rPr>
        <w:t> </w:t>
      </w:r>
      <w:r>
        <w:rPr/>
        <w:t>Gandhi</w:t>
      </w:r>
      <w:r>
        <w:rPr>
          <w:spacing w:val="-29"/>
        </w:rPr>
        <w:t> </w:t>
      </w:r>
      <w:r>
        <w:rPr/>
        <w:t>Infotech</w:t>
      </w:r>
      <w:r>
        <w:rPr>
          <w:spacing w:val="-30"/>
        </w:rPr>
        <w:t> </w:t>
      </w:r>
      <w:r>
        <w:rPr/>
        <w:t>Park, Hinjewadi</w:t>
      </w:r>
      <w:r>
        <w:rPr>
          <w:spacing w:val="-37"/>
        </w:rPr>
        <w:t> </w:t>
      </w:r>
      <w:r>
        <w:rPr/>
        <w:t>Phase</w:t>
      </w:r>
      <w:r>
        <w:rPr>
          <w:spacing w:val="-36"/>
        </w:rPr>
        <w:t> </w:t>
      </w:r>
      <w:r>
        <w:rPr/>
        <w:t>II,</w:t>
      </w:r>
      <w:r>
        <w:rPr>
          <w:spacing w:val="-36"/>
        </w:rPr>
        <w:t> </w:t>
      </w:r>
      <w:r>
        <w:rPr/>
        <w:t>Man</w:t>
      </w:r>
      <w:r>
        <w:rPr>
          <w:spacing w:val="-37"/>
        </w:rPr>
        <w:t> </w:t>
      </w:r>
      <w:r>
        <w:rPr/>
        <w:t>Village,</w:t>
      </w:r>
      <w:r>
        <w:rPr>
          <w:spacing w:val="-37"/>
        </w:rPr>
        <w:t> </w:t>
      </w:r>
      <w:r>
        <w:rPr/>
        <w:t>Mulshi</w:t>
      </w:r>
      <w:r>
        <w:rPr>
          <w:spacing w:val="-36"/>
        </w:rPr>
        <w:t> </w:t>
      </w:r>
      <w:r>
        <w:rPr/>
        <w:t>Taluka,</w:t>
      </w:r>
      <w:r>
        <w:rPr>
          <w:spacing w:val="-36"/>
        </w:rPr>
        <w:t> </w:t>
      </w:r>
      <w:r>
        <w:rPr/>
        <w:t>Pune</w:t>
      </w:r>
      <w:r>
        <w:rPr>
          <w:spacing w:val="-37"/>
        </w:rPr>
        <w:t> </w:t>
      </w:r>
      <w:r>
        <w:rPr/>
        <w:t>District,</w:t>
      </w:r>
      <w:r>
        <w:rPr>
          <w:spacing w:val="-35"/>
        </w:rPr>
        <w:t> </w:t>
      </w:r>
      <w:r>
        <w:rPr/>
        <w:t>Maharashtra.</w:t>
      </w:r>
      <w:r>
        <w:rPr>
          <w:spacing w:val="-34"/>
        </w:rPr>
        <w:t> </w:t>
      </w:r>
      <w:r>
        <w:rPr/>
        <w:t>Additionally,</w:t>
      </w:r>
      <w:r>
        <w:rPr>
          <w:spacing w:val="-36"/>
        </w:rPr>
        <w:t> </w:t>
      </w:r>
      <w:r>
        <w:rPr/>
        <w:t>it</w:t>
      </w:r>
      <w:r>
        <w:rPr>
          <w:spacing w:val="-36"/>
        </w:rPr>
        <w:t> </w:t>
      </w:r>
      <w:r>
        <w:rPr/>
        <w:t>is</w:t>
      </w:r>
      <w:r>
        <w:rPr>
          <w:spacing w:val="-34"/>
        </w:rPr>
        <w:t> </w:t>
      </w:r>
      <w:r>
        <w:rPr/>
        <w:t>understood that</w:t>
      </w:r>
      <w:r>
        <w:rPr>
          <w:spacing w:val="-18"/>
        </w:rPr>
        <w:t> </w:t>
      </w:r>
      <w:r>
        <w:rPr/>
        <w:t>the</w:t>
      </w:r>
      <w:r>
        <w:rPr>
          <w:spacing w:val="-17"/>
        </w:rPr>
        <w:t> </w:t>
      </w:r>
      <w:r>
        <w:rPr/>
        <w:t>subject</w:t>
      </w:r>
      <w:r>
        <w:rPr>
          <w:spacing w:val="-19"/>
        </w:rPr>
        <w:t> </w:t>
      </w:r>
      <w:r>
        <w:rPr/>
        <w:t>property</w:t>
      </w:r>
      <w:r>
        <w:rPr>
          <w:spacing w:val="-17"/>
        </w:rPr>
        <w:t> </w:t>
      </w:r>
      <w:r>
        <w:rPr/>
        <w:t>is</w:t>
      </w:r>
      <w:r>
        <w:rPr>
          <w:spacing w:val="-17"/>
        </w:rPr>
        <w:t> </w:t>
      </w:r>
      <w:r>
        <w:rPr/>
        <w:t>leasehold</w:t>
      </w:r>
      <w:r>
        <w:rPr>
          <w:spacing w:val="-17"/>
        </w:rPr>
        <w:t> </w:t>
      </w:r>
      <w:r>
        <w:rPr/>
        <w:t>in</w:t>
      </w:r>
      <w:r>
        <w:rPr>
          <w:spacing w:val="-19"/>
        </w:rPr>
        <w:t> </w:t>
      </w:r>
      <w:r>
        <w:rPr/>
        <w:t>nature,</w:t>
      </w:r>
      <w:r>
        <w:rPr>
          <w:spacing w:val="-17"/>
        </w:rPr>
        <w:t> </w:t>
      </w:r>
      <w:r>
        <w:rPr/>
        <w:t>with</w:t>
      </w:r>
      <w:r>
        <w:rPr>
          <w:spacing w:val="-18"/>
        </w:rPr>
        <w:t> </w:t>
      </w:r>
      <w:r>
        <w:rPr/>
        <w:t>remaining</w:t>
      </w:r>
      <w:r>
        <w:rPr>
          <w:spacing w:val="-17"/>
        </w:rPr>
        <w:t> </w:t>
      </w:r>
      <w:r>
        <w:rPr/>
        <w:t>lease</w:t>
      </w:r>
      <w:r>
        <w:rPr>
          <w:spacing w:val="-18"/>
        </w:rPr>
        <w:t> </w:t>
      </w:r>
      <w:r>
        <w:rPr/>
        <w:t>term</w:t>
      </w:r>
      <w:r>
        <w:rPr>
          <w:spacing w:val="-17"/>
        </w:rPr>
        <w:t> </w:t>
      </w:r>
      <w:r>
        <w:rPr/>
        <w:t>of</w:t>
      </w:r>
      <w:r>
        <w:rPr>
          <w:spacing w:val="-17"/>
        </w:rPr>
        <w:t> </w:t>
      </w:r>
      <w:r>
        <w:rPr/>
        <w:t>approx.</w:t>
      </w:r>
      <w:r>
        <w:rPr>
          <w:spacing w:val="-14"/>
        </w:rPr>
        <w:t> </w:t>
      </w:r>
      <w:r>
        <w:rPr/>
        <w:t>80</w:t>
      </w:r>
      <w:r>
        <w:rPr>
          <w:spacing w:val="-20"/>
        </w:rPr>
        <w:t> </w:t>
      </w:r>
      <w:r>
        <w:rPr/>
        <w:t>years.</w:t>
      </w:r>
    </w:p>
    <w:p>
      <w:pPr>
        <w:pStyle w:val="BodyText"/>
        <w:spacing w:before="9"/>
        <w:rPr>
          <w:sz w:val="20"/>
        </w:rPr>
      </w:pPr>
    </w:p>
    <w:p>
      <w:pPr>
        <w:pStyle w:val="BodyText"/>
        <w:spacing w:line="321" w:lineRule="auto"/>
        <w:ind w:left="826" w:right="237"/>
        <w:jc w:val="both"/>
      </w:pPr>
      <w:r>
        <w:rPr/>
        <w:t>Further,</w:t>
      </w:r>
      <w:r>
        <w:rPr>
          <w:spacing w:val="-26"/>
        </w:rPr>
        <w:t> </w:t>
      </w:r>
      <w:r>
        <w:rPr/>
        <w:t>this</w:t>
      </w:r>
      <w:r>
        <w:rPr>
          <w:spacing w:val="-25"/>
        </w:rPr>
        <w:t> </w:t>
      </w:r>
      <w:r>
        <w:rPr/>
        <w:t>valuation</w:t>
      </w:r>
      <w:r>
        <w:rPr>
          <w:spacing w:val="-26"/>
        </w:rPr>
        <w:t> </w:t>
      </w:r>
      <w:r>
        <w:rPr/>
        <w:t>exercise</w:t>
      </w:r>
      <w:r>
        <w:rPr>
          <w:spacing w:val="-26"/>
        </w:rPr>
        <w:t> </w:t>
      </w:r>
      <w:r>
        <w:rPr/>
        <w:t>is</w:t>
      </w:r>
      <w:r>
        <w:rPr>
          <w:spacing w:val="-26"/>
        </w:rPr>
        <w:t> </w:t>
      </w:r>
      <w:r>
        <w:rPr/>
        <w:t>based</w:t>
      </w:r>
      <w:r>
        <w:rPr>
          <w:spacing w:val="-25"/>
        </w:rPr>
        <w:t> </w:t>
      </w:r>
      <w:r>
        <w:rPr/>
        <w:t>on</w:t>
      </w:r>
      <w:r>
        <w:rPr>
          <w:spacing w:val="-26"/>
        </w:rPr>
        <w:t> </w:t>
      </w:r>
      <w:r>
        <w:rPr/>
        <w:t>the</w:t>
      </w:r>
      <w:r>
        <w:rPr>
          <w:spacing w:val="-28"/>
        </w:rPr>
        <w:t> </w:t>
      </w:r>
      <w:r>
        <w:rPr/>
        <w:t>premise</w:t>
      </w:r>
      <w:r>
        <w:rPr>
          <w:spacing w:val="-26"/>
        </w:rPr>
        <w:t> </w:t>
      </w:r>
      <w:r>
        <w:rPr/>
        <w:t>that</w:t>
      </w:r>
      <w:r>
        <w:rPr>
          <w:spacing w:val="-26"/>
        </w:rPr>
        <w:t> </w:t>
      </w:r>
      <w:r>
        <w:rPr/>
        <w:t>the</w:t>
      </w:r>
      <w:r>
        <w:rPr>
          <w:spacing w:val="-27"/>
        </w:rPr>
        <w:t> </w:t>
      </w:r>
      <w:r>
        <w:rPr/>
        <w:t>subject</w:t>
      </w:r>
      <w:r>
        <w:rPr>
          <w:spacing w:val="-27"/>
        </w:rPr>
        <w:t> </w:t>
      </w:r>
      <w:r>
        <w:rPr/>
        <w:t>property</w:t>
      </w:r>
      <w:r>
        <w:rPr>
          <w:spacing w:val="-25"/>
        </w:rPr>
        <w:t> </w:t>
      </w:r>
      <w:r>
        <w:rPr/>
        <w:t>has</w:t>
      </w:r>
      <w:r>
        <w:rPr>
          <w:spacing w:val="-25"/>
        </w:rPr>
        <w:t> </w:t>
      </w:r>
      <w:r>
        <w:rPr/>
        <w:t>a</w:t>
      </w:r>
      <w:r>
        <w:rPr>
          <w:spacing w:val="-26"/>
        </w:rPr>
        <w:t> </w:t>
      </w:r>
      <w:r>
        <w:rPr/>
        <w:t>clear</w:t>
      </w:r>
      <w:r>
        <w:rPr>
          <w:spacing w:val="-27"/>
        </w:rPr>
        <w:t> </w:t>
      </w:r>
      <w:r>
        <w:rPr/>
        <w:t>title</w:t>
      </w:r>
      <w:r>
        <w:rPr>
          <w:spacing w:val="-26"/>
        </w:rPr>
        <w:t> </w:t>
      </w:r>
      <w:r>
        <w:rPr/>
        <w:t>and</w:t>
      </w:r>
      <w:r>
        <w:rPr>
          <w:spacing w:val="-26"/>
        </w:rPr>
        <w:t> </w:t>
      </w:r>
      <w:r>
        <w:rPr/>
        <w:t>is free</w:t>
      </w:r>
      <w:r>
        <w:rPr>
          <w:spacing w:val="-28"/>
        </w:rPr>
        <w:t> </w:t>
      </w:r>
      <w:r>
        <w:rPr/>
        <w:t>from</w:t>
      </w:r>
      <w:r>
        <w:rPr>
          <w:spacing w:val="-26"/>
        </w:rPr>
        <w:t> </w:t>
      </w:r>
      <w:r>
        <w:rPr/>
        <w:t>any</w:t>
      </w:r>
      <w:r>
        <w:rPr>
          <w:spacing w:val="-28"/>
        </w:rPr>
        <w:t> </w:t>
      </w:r>
      <w:r>
        <w:rPr/>
        <w:t>encumbrances,</w:t>
      </w:r>
      <w:r>
        <w:rPr>
          <w:spacing w:val="-26"/>
        </w:rPr>
        <w:t> </w:t>
      </w:r>
      <w:r>
        <w:rPr/>
        <w:t>disputes,</w:t>
      </w:r>
      <w:r>
        <w:rPr>
          <w:spacing w:val="-26"/>
        </w:rPr>
        <w:t> </w:t>
      </w:r>
      <w:r>
        <w:rPr/>
        <w:t>claims,</w:t>
      </w:r>
      <w:r>
        <w:rPr>
          <w:spacing w:val="-27"/>
        </w:rPr>
        <w:t> </w:t>
      </w:r>
      <w:r>
        <w:rPr/>
        <w:t>etc.</w:t>
      </w:r>
      <w:r>
        <w:rPr>
          <w:spacing w:val="-26"/>
        </w:rPr>
        <w:t> </w:t>
      </w:r>
      <w:r>
        <w:rPr/>
        <w:t>The</w:t>
      </w:r>
      <w:r>
        <w:rPr>
          <w:spacing w:val="-27"/>
        </w:rPr>
        <w:t> </w:t>
      </w:r>
      <w:r>
        <w:rPr/>
        <w:t>Consultants</w:t>
      </w:r>
      <w:r>
        <w:rPr>
          <w:spacing w:val="-24"/>
        </w:rPr>
        <w:t> </w:t>
      </w:r>
      <w:r>
        <w:rPr/>
        <w:t>have</w:t>
      </w:r>
      <w:r>
        <w:rPr>
          <w:spacing w:val="-28"/>
        </w:rPr>
        <w:t> </w:t>
      </w:r>
      <w:r>
        <w:rPr/>
        <w:t>not</w:t>
      </w:r>
      <w:r>
        <w:rPr>
          <w:spacing w:val="-26"/>
        </w:rPr>
        <w:t> </w:t>
      </w:r>
      <w:r>
        <w:rPr/>
        <w:t>made</w:t>
      </w:r>
      <w:r>
        <w:rPr>
          <w:spacing w:val="-27"/>
        </w:rPr>
        <w:t> </w:t>
      </w:r>
      <w:r>
        <w:rPr/>
        <w:t>any</w:t>
      </w:r>
      <w:r>
        <w:rPr>
          <w:spacing w:val="-26"/>
        </w:rPr>
        <w:t> </w:t>
      </w:r>
      <w:r>
        <w:rPr/>
        <w:t>inquiries</w:t>
      </w:r>
      <w:r>
        <w:rPr>
          <w:spacing w:val="-25"/>
        </w:rPr>
        <w:t> </w:t>
      </w:r>
      <w:r>
        <w:rPr/>
        <w:t>in</w:t>
      </w:r>
      <w:r>
        <w:rPr>
          <w:spacing w:val="-29"/>
        </w:rPr>
        <w:t> </w:t>
      </w:r>
      <w:r>
        <w:rPr/>
        <w:t>this regard with the relevant legal/ statutory</w:t>
      </w:r>
      <w:r>
        <w:rPr>
          <w:spacing w:val="-38"/>
        </w:rPr>
        <w:t> </w:t>
      </w:r>
      <w:r>
        <w:rPr/>
        <w:t>authorities.</w:t>
      </w:r>
    </w:p>
    <w:p>
      <w:pPr>
        <w:pStyle w:val="BodyText"/>
        <w:spacing w:before="11"/>
        <w:rPr>
          <w:sz w:val="20"/>
        </w:rPr>
      </w:pPr>
    </w:p>
    <w:p>
      <w:pPr>
        <w:pStyle w:val="ListParagraph"/>
        <w:numPr>
          <w:ilvl w:val="2"/>
          <w:numId w:val="14"/>
        </w:numPr>
        <w:tabs>
          <w:tab w:pos="981" w:val="left" w:leader="none"/>
        </w:tabs>
        <w:spacing w:line="240" w:lineRule="auto" w:before="0" w:after="0"/>
        <w:ind w:left="980" w:right="0" w:hanging="721"/>
        <w:jc w:val="left"/>
        <w:rPr>
          <w:sz w:val="22"/>
        </w:rPr>
      </w:pPr>
      <w:bookmarkStart w:name="_bookmark188" w:id="366"/>
      <w:bookmarkEnd w:id="366"/>
      <w:r>
        <w:rPr/>
      </w:r>
      <w:bookmarkStart w:name="_bookmark188" w:id="367"/>
      <w:bookmarkEnd w:id="367"/>
      <w:r>
        <w:rPr>
          <w:color w:val="1F664D"/>
          <w:w w:val="105"/>
          <w:sz w:val="22"/>
        </w:rPr>
        <w:t>Town</w:t>
      </w:r>
      <w:r>
        <w:rPr>
          <w:color w:val="1F664D"/>
          <w:spacing w:val="-4"/>
          <w:w w:val="105"/>
          <w:sz w:val="22"/>
        </w:rPr>
        <w:t> </w:t>
      </w:r>
      <w:r>
        <w:rPr>
          <w:color w:val="1F664D"/>
          <w:w w:val="105"/>
          <w:sz w:val="22"/>
        </w:rPr>
        <w:t>Planning</w:t>
      </w:r>
    </w:p>
    <w:p>
      <w:pPr>
        <w:pStyle w:val="BodyText"/>
        <w:spacing w:line="321" w:lineRule="auto" w:before="205"/>
        <w:ind w:left="2235" w:right="256" w:hanging="1311"/>
        <w:jc w:val="both"/>
      </w:pPr>
      <w:r>
        <w:rPr/>
        <w:t>Zoning As per the title due diligence report and Client inputs, it was identified that the</w:t>
      </w:r>
      <w:r>
        <w:rPr>
          <w:spacing w:val="-43"/>
        </w:rPr>
        <w:t> </w:t>
      </w:r>
      <w:r>
        <w:rPr/>
        <w:t>subject property</w:t>
      </w:r>
      <w:r>
        <w:rPr>
          <w:spacing w:val="-17"/>
        </w:rPr>
        <w:t> </w:t>
      </w:r>
      <w:r>
        <w:rPr/>
        <w:t>is</w:t>
      </w:r>
      <w:r>
        <w:rPr>
          <w:spacing w:val="-17"/>
        </w:rPr>
        <w:t> </w:t>
      </w:r>
      <w:r>
        <w:rPr/>
        <w:t>a</w:t>
      </w:r>
      <w:r>
        <w:rPr>
          <w:spacing w:val="-17"/>
        </w:rPr>
        <w:t> </w:t>
      </w:r>
      <w:r>
        <w:rPr/>
        <w:t>commercial</w:t>
      </w:r>
      <w:r>
        <w:rPr>
          <w:spacing w:val="-15"/>
        </w:rPr>
        <w:t> </w:t>
      </w:r>
      <w:r>
        <w:rPr/>
        <w:t>zoned</w:t>
      </w:r>
      <w:r>
        <w:rPr>
          <w:spacing w:val="-16"/>
        </w:rPr>
        <w:t> </w:t>
      </w:r>
      <w:r>
        <w:rPr/>
        <w:t>land</w:t>
      </w:r>
      <w:r>
        <w:rPr>
          <w:spacing w:val="-17"/>
        </w:rPr>
        <w:t> </w:t>
      </w:r>
      <w:r>
        <w:rPr/>
        <w:t>parcel,</w:t>
      </w:r>
      <w:r>
        <w:rPr>
          <w:spacing w:val="-17"/>
        </w:rPr>
        <w:t> </w:t>
      </w:r>
      <w:r>
        <w:rPr/>
        <w:t>granted</w:t>
      </w:r>
      <w:r>
        <w:rPr>
          <w:spacing w:val="-16"/>
        </w:rPr>
        <w:t> </w:t>
      </w:r>
      <w:r>
        <w:rPr/>
        <w:t>on</w:t>
      </w:r>
      <w:r>
        <w:rPr>
          <w:spacing w:val="-16"/>
        </w:rPr>
        <w:t> </w:t>
      </w:r>
      <w:r>
        <w:rPr/>
        <w:t>lease</w:t>
      </w:r>
      <w:r>
        <w:rPr>
          <w:spacing w:val="-18"/>
        </w:rPr>
        <w:t> </w:t>
      </w:r>
      <w:r>
        <w:rPr/>
        <w:t>by</w:t>
      </w:r>
      <w:r>
        <w:rPr>
          <w:spacing w:val="-15"/>
        </w:rPr>
        <w:t> </w:t>
      </w:r>
      <w:r>
        <w:rPr/>
        <w:t>Maharashtra</w:t>
      </w:r>
      <w:r>
        <w:rPr>
          <w:spacing w:val="-17"/>
        </w:rPr>
        <w:t> </w:t>
      </w:r>
      <w:r>
        <w:rPr/>
        <w:t>Industrial Development Corporation (MIDC), and is approved for development of an office park. The</w:t>
      </w:r>
      <w:r>
        <w:rPr>
          <w:spacing w:val="-8"/>
        </w:rPr>
        <w:t> </w:t>
      </w:r>
      <w:r>
        <w:rPr/>
        <w:t>same</w:t>
      </w:r>
      <w:r>
        <w:rPr>
          <w:spacing w:val="-7"/>
        </w:rPr>
        <w:t> </w:t>
      </w:r>
      <w:r>
        <w:rPr/>
        <w:t>has</w:t>
      </w:r>
      <w:r>
        <w:rPr>
          <w:spacing w:val="-7"/>
        </w:rPr>
        <w:t> </w:t>
      </w:r>
      <w:r>
        <w:rPr/>
        <w:t>been</w:t>
      </w:r>
      <w:r>
        <w:rPr>
          <w:spacing w:val="-7"/>
        </w:rPr>
        <w:t> </w:t>
      </w:r>
      <w:r>
        <w:rPr/>
        <w:t>considered</w:t>
      </w:r>
      <w:r>
        <w:rPr>
          <w:spacing w:val="-6"/>
        </w:rPr>
        <w:t> </w:t>
      </w:r>
      <w:r>
        <w:rPr/>
        <w:t>for</w:t>
      </w:r>
      <w:r>
        <w:rPr>
          <w:spacing w:val="-6"/>
        </w:rPr>
        <w:t> </w:t>
      </w:r>
      <w:r>
        <w:rPr/>
        <w:t>the</w:t>
      </w:r>
      <w:r>
        <w:rPr>
          <w:spacing w:val="-8"/>
        </w:rPr>
        <w:t> </w:t>
      </w:r>
      <w:r>
        <w:rPr/>
        <w:t>purpose</w:t>
      </w:r>
      <w:r>
        <w:rPr>
          <w:spacing w:val="-7"/>
        </w:rPr>
        <w:t> </w:t>
      </w:r>
      <w:r>
        <w:rPr/>
        <w:t>of</w:t>
      </w:r>
      <w:r>
        <w:rPr>
          <w:spacing w:val="-7"/>
        </w:rPr>
        <w:t> </w:t>
      </w:r>
      <w:r>
        <w:rPr/>
        <w:t>this</w:t>
      </w:r>
      <w:r>
        <w:rPr>
          <w:spacing w:val="-6"/>
        </w:rPr>
        <w:t> </w:t>
      </w:r>
      <w:r>
        <w:rPr/>
        <w:t>valuation.</w:t>
      </w:r>
      <w:r>
        <w:rPr>
          <w:spacing w:val="-7"/>
        </w:rPr>
        <w:t> </w:t>
      </w:r>
      <w:r>
        <w:rPr/>
        <w:t>The</w:t>
      </w:r>
      <w:r>
        <w:rPr>
          <w:spacing w:val="-8"/>
        </w:rPr>
        <w:t> </w:t>
      </w:r>
      <w:r>
        <w:rPr/>
        <w:t>Consultants</w:t>
      </w:r>
      <w:r>
        <w:rPr>
          <w:spacing w:val="-6"/>
        </w:rPr>
        <w:t> </w:t>
      </w:r>
      <w:r>
        <w:rPr/>
        <w:t>have made</w:t>
      </w:r>
      <w:r>
        <w:rPr>
          <w:spacing w:val="-10"/>
        </w:rPr>
        <w:t> </w:t>
      </w:r>
      <w:r>
        <w:rPr/>
        <w:t>no</w:t>
      </w:r>
      <w:r>
        <w:rPr>
          <w:spacing w:val="-9"/>
        </w:rPr>
        <w:t> </w:t>
      </w:r>
      <w:r>
        <w:rPr/>
        <w:t>further</w:t>
      </w:r>
      <w:r>
        <w:rPr>
          <w:spacing w:val="-10"/>
        </w:rPr>
        <w:t> </w:t>
      </w:r>
      <w:r>
        <w:rPr/>
        <w:t>inquiries</w:t>
      </w:r>
      <w:r>
        <w:rPr>
          <w:spacing w:val="-7"/>
        </w:rPr>
        <w:t> </w:t>
      </w:r>
      <w:r>
        <w:rPr/>
        <w:t>with</w:t>
      </w:r>
      <w:r>
        <w:rPr>
          <w:spacing w:val="-11"/>
        </w:rPr>
        <w:t> </w:t>
      </w:r>
      <w:r>
        <w:rPr/>
        <w:t>the</w:t>
      </w:r>
      <w:r>
        <w:rPr>
          <w:spacing w:val="-10"/>
        </w:rPr>
        <w:t> </w:t>
      </w:r>
      <w:r>
        <w:rPr/>
        <w:t>local</w:t>
      </w:r>
      <w:r>
        <w:rPr>
          <w:spacing w:val="-10"/>
        </w:rPr>
        <w:t> </w:t>
      </w:r>
      <w:r>
        <w:rPr/>
        <w:t>authorities</w:t>
      </w:r>
      <w:r>
        <w:rPr>
          <w:spacing w:val="-9"/>
        </w:rPr>
        <w:t> </w:t>
      </w:r>
      <w:r>
        <w:rPr/>
        <w:t>in</w:t>
      </w:r>
      <w:r>
        <w:rPr>
          <w:spacing w:val="-10"/>
        </w:rPr>
        <w:t> </w:t>
      </w:r>
      <w:r>
        <w:rPr/>
        <w:t>this</w:t>
      </w:r>
      <w:r>
        <w:rPr>
          <w:spacing w:val="-8"/>
        </w:rPr>
        <w:t> </w:t>
      </w:r>
      <w:r>
        <w:rPr/>
        <w:t>regard.</w:t>
      </w:r>
    </w:p>
    <w:p>
      <w:pPr>
        <w:pStyle w:val="BodyText"/>
        <w:spacing w:before="1"/>
        <w:rPr>
          <w:sz w:val="21"/>
        </w:rPr>
      </w:pPr>
    </w:p>
    <w:p>
      <w:pPr>
        <w:pStyle w:val="BodyText"/>
        <w:spacing w:line="321" w:lineRule="auto"/>
        <w:ind w:left="2235" w:right="260"/>
        <w:jc w:val="both"/>
      </w:pPr>
      <w:r>
        <w:rPr/>
        <w:t>The</w:t>
      </w:r>
      <w:r>
        <w:rPr>
          <w:spacing w:val="-14"/>
        </w:rPr>
        <w:t> </w:t>
      </w:r>
      <w:r>
        <w:rPr/>
        <w:t>permissible</w:t>
      </w:r>
      <w:r>
        <w:rPr>
          <w:spacing w:val="-14"/>
        </w:rPr>
        <w:t> </w:t>
      </w:r>
      <w:r>
        <w:rPr/>
        <w:t>land</w:t>
      </w:r>
      <w:r>
        <w:rPr>
          <w:spacing w:val="-13"/>
        </w:rPr>
        <w:t> </w:t>
      </w:r>
      <w:r>
        <w:rPr/>
        <w:t>use</w:t>
      </w:r>
      <w:r>
        <w:rPr>
          <w:spacing w:val="-13"/>
        </w:rPr>
        <w:t> </w:t>
      </w:r>
      <w:r>
        <w:rPr/>
        <w:t>adopted</w:t>
      </w:r>
      <w:r>
        <w:rPr>
          <w:spacing w:val="-12"/>
        </w:rPr>
        <w:t> </w:t>
      </w:r>
      <w:r>
        <w:rPr/>
        <w:t>by</w:t>
      </w:r>
      <w:r>
        <w:rPr>
          <w:spacing w:val="-12"/>
        </w:rPr>
        <w:t> </w:t>
      </w:r>
      <w:r>
        <w:rPr/>
        <w:t>the</w:t>
      </w:r>
      <w:r>
        <w:rPr>
          <w:spacing w:val="-14"/>
        </w:rPr>
        <w:t> </w:t>
      </w:r>
      <w:r>
        <w:rPr/>
        <w:t>Consultants</w:t>
      </w:r>
      <w:r>
        <w:rPr>
          <w:spacing w:val="-12"/>
        </w:rPr>
        <w:t> </w:t>
      </w:r>
      <w:r>
        <w:rPr/>
        <w:t>for</w:t>
      </w:r>
      <w:r>
        <w:rPr>
          <w:spacing w:val="-13"/>
        </w:rPr>
        <w:t> </w:t>
      </w:r>
      <w:r>
        <w:rPr/>
        <w:t>the</w:t>
      </w:r>
      <w:r>
        <w:rPr>
          <w:spacing w:val="-14"/>
        </w:rPr>
        <w:t> </w:t>
      </w:r>
      <w:r>
        <w:rPr/>
        <w:t>subject</w:t>
      </w:r>
      <w:r>
        <w:rPr>
          <w:spacing w:val="-12"/>
        </w:rPr>
        <w:t> </w:t>
      </w:r>
      <w:r>
        <w:rPr/>
        <w:t>property</w:t>
      </w:r>
      <w:r>
        <w:rPr>
          <w:spacing w:val="-12"/>
        </w:rPr>
        <w:t> </w:t>
      </w:r>
      <w:r>
        <w:rPr/>
        <w:t>has</w:t>
      </w:r>
      <w:r>
        <w:rPr>
          <w:spacing w:val="-14"/>
        </w:rPr>
        <w:t> </w:t>
      </w:r>
      <w:r>
        <w:rPr/>
        <w:t>been based on information/review of various documents provided by the Client. It must be noted</w:t>
      </w:r>
      <w:r>
        <w:rPr>
          <w:spacing w:val="-12"/>
        </w:rPr>
        <w:t> </w:t>
      </w:r>
      <w:r>
        <w:rPr/>
        <w:t>that</w:t>
      </w:r>
      <w:r>
        <w:rPr>
          <w:spacing w:val="-12"/>
        </w:rPr>
        <w:t> </w:t>
      </w:r>
      <w:r>
        <w:rPr/>
        <w:t>all</w:t>
      </w:r>
      <w:r>
        <w:rPr>
          <w:spacing w:val="-14"/>
        </w:rPr>
        <w:t> </w:t>
      </w:r>
      <w:r>
        <w:rPr/>
        <w:t>factual</w:t>
      </w:r>
      <w:r>
        <w:rPr>
          <w:spacing w:val="-13"/>
        </w:rPr>
        <w:t> </w:t>
      </w:r>
      <w:r>
        <w:rPr/>
        <w:t>data</w:t>
      </w:r>
      <w:r>
        <w:rPr>
          <w:spacing w:val="-12"/>
        </w:rPr>
        <w:t> </w:t>
      </w:r>
      <w:r>
        <w:rPr/>
        <w:t>viz.</w:t>
      </w:r>
      <w:r>
        <w:rPr>
          <w:spacing w:val="-13"/>
        </w:rPr>
        <w:t> </w:t>
      </w:r>
      <w:r>
        <w:rPr/>
        <w:t>permissible</w:t>
      </w:r>
      <w:r>
        <w:rPr>
          <w:spacing w:val="-13"/>
        </w:rPr>
        <w:t> </w:t>
      </w:r>
      <w:r>
        <w:rPr/>
        <w:t>development</w:t>
      </w:r>
      <w:r>
        <w:rPr>
          <w:spacing w:val="-13"/>
        </w:rPr>
        <w:t> </w:t>
      </w:r>
      <w:r>
        <w:rPr/>
        <w:t>control</w:t>
      </w:r>
      <w:r>
        <w:rPr>
          <w:spacing w:val="-13"/>
        </w:rPr>
        <w:t> </w:t>
      </w:r>
      <w:r>
        <w:rPr/>
        <w:t>regulations,</w:t>
      </w:r>
      <w:r>
        <w:rPr>
          <w:spacing w:val="-12"/>
        </w:rPr>
        <w:t> </w:t>
      </w:r>
      <w:r>
        <w:rPr/>
        <w:t>land</w:t>
      </w:r>
      <w:r>
        <w:rPr>
          <w:spacing w:val="-12"/>
        </w:rPr>
        <w:t> </w:t>
      </w:r>
      <w:r>
        <w:rPr/>
        <w:t>area and achievable FSI have also been based on information/review of various documents (such</w:t>
      </w:r>
      <w:r>
        <w:rPr>
          <w:spacing w:val="-36"/>
        </w:rPr>
        <w:t> </w:t>
      </w:r>
      <w:r>
        <w:rPr/>
        <w:t>as</w:t>
      </w:r>
      <w:r>
        <w:rPr>
          <w:spacing w:val="-35"/>
        </w:rPr>
        <w:t> </w:t>
      </w:r>
      <w:r>
        <w:rPr/>
        <w:t>title</w:t>
      </w:r>
      <w:r>
        <w:rPr>
          <w:spacing w:val="-36"/>
        </w:rPr>
        <w:t> </w:t>
      </w:r>
      <w:r>
        <w:rPr/>
        <w:t>deed,</w:t>
      </w:r>
      <w:r>
        <w:rPr>
          <w:spacing w:val="-35"/>
        </w:rPr>
        <w:t> </w:t>
      </w:r>
      <w:r>
        <w:rPr/>
        <w:t>plan</w:t>
      </w:r>
      <w:r>
        <w:rPr>
          <w:spacing w:val="-36"/>
        </w:rPr>
        <w:t> </w:t>
      </w:r>
      <w:r>
        <w:rPr/>
        <w:t>sanction</w:t>
      </w:r>
      <w:r>
        <w:rPr>
          <w:spacing w:val="-36"/>
        </w:rPr>
        <w:t> </w:t>
      </w:r>
      <w:r>
        <w:rPr/>
        <w:t>letter,</w:t>
      </w:r>
      <w:r>
        <w:rPr>
          <w:spacing w:val="-34"/>
        </w:rPr>
        <w:t> </w:t>
      </w:r>
      <w:r>
        <w:rPr/>
        <w:t>site</w:t>
      </w:r>
      <w:r>
        <w:rPr>
          <w:spacing w:val="-36"/>
        </w:rPr>
        <w:t> </w:t>
      </w:r>
      <w:r>
        <w:rPr/>
        <w:t>plan,</w:t>
      </w:r>
      <w:r>
        <w:rPr>
          <w:spacing w:val="-36"/>
        </w:rPr>
        <w:t> </w:t>
      </w:r>
      <w:r>
        <w:rPr/>
        <w:t>etc.)</w:t>
      </w:r>
      <w:r>
        <w:rPr>
          <w:spacing w:val="-35"/>
        </w:rPr>
        <w:t> </w:t>
      </w:r>
      <w:r>
        <w:rPr/>
        <w:t>provided</w:t>
      </w:r>
      <w:r>
        <w:rPr>
          <w:spacing w:val="-35"/>
        </w:rPr>
        <w:t> </w:t>
      </w:r>
      <w:r>
        <w:rPr/>
        <w:t>by</w:t>
      </w:r>
      <w:r>
        <w:rPr>
          <w:spacing w:val="-35"/>
        </w:rPr>
        <w:t> </w:t>
      </w:r>
      <w:r>
        <w:rPr/>
        <w:t>the</w:t>
      </w:r>
      <w:r>
        <w:rPr>
          <w:spacing w:val="-36"/>
        </w:rPr>
        <w:t> </w:t>
      </w:r>
      <w:r>
        <w:rPr/>
        <w:t>Client</w:t>
      </w:r>
      <w:r>
        <w:rPr>
          <w:spacing w:val="-36"/>
        </w:rPr>
        <w:t> </w:t>
      </w:r>
      <w:r>
        <w:rPr/>
        <w:t>or</w:t>
      </w:r>
      <w:r>
        <w:rPr>
          <w:spacing w:val="-36"/>
        </w:rPr>
        <w:t> </w:t>
      </w:r>
      <w:r>
        <w:rPr/>
        <w:t>assumed based on building regulations, and no physical verification/ measurement has been undertaken for the purpose of this valuation</w:t>
      </w:r>
      <w:r>
        <w:rPr>
          <w:spacing w:val="-47"/>
        </w:rPr>
        <w:t> </w:t>
      </w:r>
      <w:r>
        <w:rPr/>
        <w:t>exercise.</w:t>
      </w:r>
    </w:p>
    <w:p>
      <w:pPr>
        <w:pStyle w:val="BodyText"/>
        <w:rPr>
          <w:sz w:val="21"/>
        </w:rPr>
      </w:pPr>
    </w:p>
    <w:p>
      <w:pPr>
        <w:pStyle w:val="BodyText"/>
        <w:spacing w:line="321" w:lineRule="auto"/>
        <w:ind w:left="2235" w:right="257"/>
        <w:jc w:val="both"/>
      </w:pPr>
      <w:r>
        <w:rPr/>
        <w:t>For</w:t>
      </w:r>
      <w:r>
        <w:rPr>
          <w:spacing w:val="-11"/>
        </w:rPr>
        <w:t> </w:t>
      </w:r>
      <w:r>
        <w:rPr/>
        <w:t>the</w:t>
      </w:r>
      <w:r>
        <w:rPr>
          <w:spacing w:val="-10"/>
        </w:rPr>
        <w:t> </w:t>
      </w:r>
      <w:r>
        <w:rPr/>
        <w:t>purpose</w:t>
      </w:r>
      <w:r>
        <w:rPr>
          <w:spacing w:val="-10"/>
        </w:rPr>
        <w:t> </w:t>
      </w:r>
      <w:r>
        <w:rPr/>
        <w:t>of</w:t>
      </w:r>
      <w:r>
        <w:rPr>
          <w:spacing w:val="-11"/>
        </w:rPr>
        <w:t> </w:t>
      </w:r>
      <w:r>
        <w:rPr/>
        <w:t>this</w:t>
      </w:r>
      <w:r>
        <w:rPr>
          <w:spacing w:val="-11"/>
        </w:rPr>
        <w:t> </w:t>
      </w:r>
      <w:r>
        <w:rPr/>
        <w:t>exercise,</w:t>
      </w:r>
      <w:r>
        <w:rPr>
          <w:spacing w:val="-7"/>
        </w:rPr>
        <w:t> </w:t>
      </w:r>
      <w:r>
        <w:rPr/>
        <w:t>it</w:t>
      </w:r>
      <w:r>
        <w:rPr>
          <w:spacing w:val="-10"/>
        </w:rPr>
        <w:t> </w:t>
      </w:r>
      <w:r>
        <w:rPr/>
        <w:t>has</w:t>
      </w:r>
      <w:r>
        <w:rPr>
          <w:spacing w:val="-11"/>
        </w:rPr>
        <w:t> </w:t>
      </w:r>
      <w:r>
        <w:rPr/>
        <w:t>been</w:t>
      </w:r>
      <w:r>
        <w:rPr>
          <w:spacing w:val="-10"/>
        </w:rPr>
        <w:t> </w:t>
      </w:r>
      <w:r>
        <w:rPr/>
        <w:t>assumed</w:t>
      </w:r>
      <w:r>
        <w:rPr>
          <w:spacing w:val="-10"/>
        </w:rPr>
        <w:t> </w:t>
      </w:r>
      <w:r>
        <w:rPr/>
        <w:t>that</w:t>
      </w:r>
      <w:r>
        <w:rPr>
          <w:spacing w:val="-10"/>
        </w:rPr>
        <w:t> </w:t>
      </w:r>
      <w:r>
        <w:rPr/>
        <w:t>all</w:t>
      </w:r>
      <w:r>
        <w:rPr>
          <w:spacing w:val="-12"/>
        </w:rPr>
        <w:t> </w:t>
      </w:r>
      <w:r>
        <w:rPr/>
        <w:t>developments</w:t>
      </w:r>
      <w:r>
        <w:rPr>
          <w:spacing w:val="-11"/>
        </w:rPr>
        <w:t> </w:t>
      </w:r>
      <w:r>
        <w:rPr/>
        <w:t>(existing</w:t>
      </w:r>
      <w:r>
        <w:rPr>
          <w:spacing w:val="-10"/>
        </w:rPr>
        <w:t> </w:t>
      </w:r>
      <w:r>
        <w:rPr/>
        <w:t>/ under construction / proposed) adhere to building regulations as prescribed by the relevant</w:t>
      </w:r>
      <w:r>
        <w:rPr>
          <w:spacing w:val="-33"/>
        </w:rPr>
        <w:t> </w:t>
      </w:r>
      <w:r>
        <w:rPr/>
        <w:t>authorities.</w:t>
      </w:r>
      <w:r>
        <w:rPr>
          <w:spacing w:val="-34"/>
        </w:rPr>
        <w:t> </w:t>
      </w:r>
      <w:r>
        <w:rPr/>
        <w:t>The</w:t>
      </w:r>
      <w:r>
        <w:rPr>
          <w:spacing w:val="-32"/>
        </w:rPr>
        <w:t> </w:t>
      </w:r>
      <w:r>
        <w:rPr/>
        <w:t>Consultants</w:t>
      </w:r>
      <w:r>
        <w:rPr>
          <w:spacing w:val="-32"/>
        </w:rPr>
        <w:t> </w:t>
      </w:r>
      <w:r>
        <w:rPr/>
        <w:t>have</w:t>
      </w:r>
      <w:r>
        <w:rPr>
          <w:spacing w:val="-34"/>
        </w:rPr>
        <w:t> </w:t>
      </w:r>
      <w:r>
        <w:rPr/>
        <w:t>not</w:t>
      </w:r>
      <w:r>
        <w:rPr>
          <w:spacing w:val="-32"/>
        </w:rPr>
        <w:t> </w:t>
      </w:r>
      <w:r>
        <w:rPr/>
        <w:t>validated</w:t>
      </w:r>
      <w:r>
        <w:rPr>
          <w:spacing w:val="-33"/>
        </w:rPr>
        <w:t> </w:t>
      </w:r>
      <w:r>
        <w:rPr/>
        <w:t>the</w:t>
      </w:r>
      <w:r>
        <w:rPr>
          <w:spacing w:val="-34"/>
        </w:rPr>
        <w:t> </w:t>
      </w:r>
      <w:r>
        <w:rPr/>
        <w:t>information</w:t>
      </w:r>
      <w:r>
        <w:rPr>
          <w:spacing w:val="-33"/>
        </w:rPr>
        <w:t> </w:t>
      </w:r>
      <w:r>
        <w:rPr/>
        <w:t>provided</w:t>
      </w:r>
      <w:r>
        <w:rPr>
          <w:spacing w:val="-33"/>
        </w:rPr>
        <w:t> </w:t>
      </w:r>
      <w:r>
        <w:rPr/>
        <w:t>by</w:t>
      </w:r>
      <w:r>
        <w:rPr>
          <w:spacing w:val="-32"/>
        </w:rPr>
        <w:t> </w:t>
      </w:r>
      <w:r>
        <w:rPr/>
        <w:t>the Client with the relevant development</w:t>
      </w:r>
      <w:r>
        <w:rPr>
          <w:spacing w:val="-36"/>
        </w:rPr>
        <w:t> </w:t>
      </w:r>
      <w:r>
        <w:rPr/>
        <w:t>authorities.</w:t>
      </w:r>
    </w:p>
    <w:p>
      <w:pPr>
        <w:pStyle w:val="BodyText"/>
        <w:spacing w:before="8"/>
        <w:rPr>
          <w:sz w:val="11"/>
        </w:rPr>
      </w:pPr>
    </w:p>
    <w:p>
      <w:pPr>
        <w:spacing w:after="0"/>
        <w:rPr>
          <w:sz w:val="11"/>
        </w:rPr>
        <w:sectPr>
          <w:headerReference w:type="default" r:id="rId202"/>
          <w:footerReference w:type="default" r:id="rId203"/>
          <w:pgSz w:w="11910" w:h="16840"/>
          <w:pgMar w:header="720" w:footer="921" w:top="1660" w:bottom="1120" w:left="460" w:right="480"/>
          <w:pgNumType w:start="173"/>
        </w:sectPr>
      </w:pPr>
    </w:p>
    <w:p>
      <w:pPr>
        <w:pStyle w:val="BodyText"/>
        <w:spacing w:line="321" w:lineRule="auto" w:before="106"/>
        <w:ind w:left="925" w:right="-18"/>
      </w:pPr>
      <w:r>
        <w:rPr/>
        <w:t>Approved Usage:</w:t>
      </w:r>
    </w:p>
    <w:p>
      <w:pPr>
        <w:pStyle w:val="BodyText"/>
        <w:spacing w:line="321" w:lineRule="auto" w:before="106"/>
        <w:ind w:left="340" w:right="257"/>
        <w:jc w:val="both"/>
      </w:pPr>
      <w:r>
        <w:rPr/>
        <w:br w:type="column"/>
      </w:r>
      <w:r>
        <w:rPr/>
        <w:t>Based</w:t>
      </w:r>
      <w:r>
        <w:rPr>
          <w:spacing w:val="-16"/>
        </w:rPr>
        <w:t> </w:t>
      </w:r>
      <w:r>
        <w:rPr/>
        <w:t>on</w:t>
      </w:r>
      <w:r>
        <w:rPr>
          <w:spacing w:val="-17"/>
        </w:rPr>
        <w:t> </w:t>
      </w:r>
      <w:r>
        <w:rPr/>
        <w:t>occupancy</w:t>
      </w:r>
      <w:r>
        <w:rPr>
          <w:spacing w:val="-15"/>
        </w:rPr>
        <w:t> </w:t>
      </w:r>
      <w:r>
        <w:rPr/>
        <w:t>certificates</w:t>
      </w:r>
      <w:r>
        <w:rPr>
          <w:spacing w:val="-16"/>
        </w:rPr>
        <w:t> </w:t>
      </w:r>
      <w:r>
        <w:rPr/>
        <w:t>provided</w:t>
      </w:r>
      <w:r>
        <w:rPr>
          <w:spacing w:val="-15"/>
        </w:rPr>
        <w:t> </w:t>
      </w:r>
      <w:r>
        <w:rPr/>
        <w:t>by</w:t>
      </w:r>
      <w:r>
        <w:rPr>
          <w:spacing w:val="-15"/>
        </w:rPr>
        <w:t> </w:t>
      </w:r>
      <w:r>
        <w:rPr/>
        <w:t>the</w:t>
      </w:r>
      <w:r>
        <w:rPr>
          <w:spacing w:val="-19"/>
        </w:rPr>
        <w:t> </w:t>
      </w:r>
      <w:r>
        <w:rPr/>
        <w:t>Client</w:t>
      </w:r>
      <w:r>
        <w:rPr>
          <w:spacing w:val="-16"/>
        </w:rPr>
        <w:t> </w:t>
      </w:r>
      <w:r>
        <w:rPr/>
        <w:t>and</w:t>
      </w:r>
      <w:r>
        <w:rPr>
          <w:spacing w:val="-16"/>
        </w:rPr>
        <w:t> </w:t>
      </w:r>
      <w:r>
        <w:rPr/>
        <w:t>visual</w:t>
      </w:r>
      <w:r>
        <w:rPr>
          <w:spacing w:val="-17"/>
        </w:rPr>
        <w:t> </w:t>
      </w:r>
      <w:r>
        <w:rPr/>
        <w:t>inspection</w:t>
      </w:r>
      <w:r>
        <w:rPr>
          <w:spacing w:val="-16"/>
        </w:rPr>
        <w:t> </w:t>
      </w:r>
      <w:r>
        <w:rPr/>
        <w:t>during</w:t>
      </w:r>
      <w:r>
        <w:rPr>
          <w:spacing w:val="-16"/>
        </w:rPr>
        <w:t> </w:t>
      </w:r>
      <w:r>
        <w:rPr/>
        <w:t>our site</w:t>
      </w:r>
      <w:r>
        <w:rPr>
          <w:spacing w:val="-36"/>
        </w:rPr>
        <w:t> </w:t>
      </w:r>
      <w:r>
        <w:rPr/>
        <w:t>visit,</w:t>
      </w:r>
      <w:r>
        <w:rPr>
          <w:spacing w:val="-35"/>
        </w:rPr>
        <w:t> </w:t>
      </w:r>
      <w:r>
        <w:rPr/>
        <w:t>we</w:t>
      </w:r>
      <w:r>
        <w:rPr>
          <w:spacing w:val="-36"/>
        </w:rPr>
        <w:t> </w:t>
      </w:r>
      <w:r>
        <w:rPr/>
        <w:t>understand</w:t>
      </w:r>
      <w:r>
        <w:rPr>
          <w:spacing w:val="-34"/>
        </w:rPr>
        <w:t> </w:t>
      </w:r>
      <w:r>
        <w:rPr/>
        <w:t>that</w:t>
      </w:r>
      <w:r>
        <w:rPr>
          <w:spacing w:val="-35"/>
        </w:rPr>
        <w:t> </w:t>
      </w:r>
      <w:r>
        <w:rPr/>
        <w:t>the</w:t>
      </w:r>
      <w:r>
        <w:rPr>
          <w:spacing w:val="-35"/>
        </w:rPr>
        <w:t> </w:t>
      </w:r>
      <w:r>
        <w:rPr/>
        <w:t>subject</w:t>
      </w:r>
      <w:r>
        <w:rPr>
          <w:spacing w:val="-35"/>
        </w:rPr>
        <w:t> </w:t>
      </w:r>
      <w:r>
        <w:rPr/>
        <w:t>property</w:t>
      </w:r>
      <w:r>
        <w:rPr>
          <w:spacing w:val="-34"/>
        </w:rPr>
        <w:t> </w:t>
      </w:r>
      <w:r>
        <w:rPr/>
        <w:t>is</w:t>
      </w:r>
      <w:r>
        <w:rPr>
          <w:spacing w:val="-34"/>
        </w:rPr>
        <w:t> </w:t>
      </w:r>
      <w:r>
        <w:rPr/>
        <w:t>a</w:t>
      </w:r>
      <w:r>
        <w:rPr>
          <w:spacing w:val="-36"/>
        </w:rPr>
        <w:t> </w:t>
      </w:r>
      <w:r>
        <w:rPr/>
        <w:t>technology</w:t>
      </w:r>
      <w:r>
        <w:rPr>
          <w:spacing w:val="-35"/>
        </w:rPr>
        <w:t> </w:t>
      </w:r>
      <w:r>
        <w:rPr/>
        <w:t>office</w:t>
      </w:r>
      <w:r>
        <w:rPr>
          <w:spacing w:val="-36"/>
        </w:rPr>
        <w:t> </w:t>
      </w:r>
      <w:r>
        <w:rPr/>
        <w:t>park,</w:t>
      </w:r>
      <w:r>
        <w:rPr>
          <w:spacing w:val="-35"/>
        </w:rPr>
        <w:t> </w:t>
      </w:r>
      <w:r>
        <w:rPr/>
        <w:t>comprising of</w:t>
      </w:r>
      <w:r>
        <w:rPr>
          <w:spacing w:val="-29"/>
        </w:rPr>
        <w:t> </w:t>
      </w:r>
      <w:r>
        <w:rPr/>
        <w:t>4</w:t>
      </w:r>
      <w:r>
        <w:rPr>
          <w:spacing w:val="-30"/>
        </w:rPr>
        <w:t> </w:t>
      </w:r>
      <w:r>
        <w:rPr/>
        <w:t>operational</w:t>
      </w:r>
      <w:r>
        <w:rPr>
          <w:spacing w:val="-30"/>
        </w:rPr>
        <w:t> </w:t>
      </w:r>
      <w:r>
        <w:rPr/>
        <w:t>blocks.</w:t>
      </w:r>
      <w:r>
        <w:rPr>
          <w:spacing w:val="-29"/>
        </w:rPr>
        <w:t> </w:t>
      </w:r>
      <w:r>
        <w:rPr/>
        <w:t>The</w:t>
      </w:r>
      <w:r>
        <w:rPr>
          <w:spacing w:val="-29"/>
        </w:rPr>
        <w:t> </w:t>
      </w:r>
      <w:r>
        <w:rPr/>
        <w:t>current</w:t>
      </w:r>
      <w:r>
        <w:rPr>
          <w:spacing w:val="-30"/>
        </w:rPr>
        <w:t> </w:t>
      </w:r>
      <w:r>
        <w:rPr/>
        <w:t>use</w:t>
      </w:r>
      <w:r>
        <w:rPr>
          <w:spacing w:val="-29"/>
        </w:rPr>
        <w:t> </w:t>
      </w:r>
      <w:r>
        <w:rPr/>
        <w:t>of</w:t>
      </w:r>
      <w:r>
        <w:rPr>
          <w:spacing w:val="-29"/>
        </w:rPr>
        <w:t> </w:t>
      </w:r>
      <w:r>
        <w:rPr/>
        <w:t>the</w:t>
      </w:r>
      <w:r>
        <w:rPr>
          <w:spacing w:val="-30"/>
        </w:rPr>
        <w:t> </w:t>
      </w:r>
      <w:r>
        <w:rPr/>
        <w:t>subject</w:t>
      </w:r>
      <w:r>
        <w:rPr>
          <w:spacing w:val="-29"/>
        </w:rPr>
        <w:t> </w:t>
      </w:r>
      <w:r>
        <w:rPr/>
        <w:t>property</w:t>
      </w:r>
      <w:r>
        <w:rPr>
          <w:spacing w:val="-28"/>
        </w:rPr>
        <w:t> </w:t>
      </w:r>
      <w:r>
        <w:rPr/>
        <w:t>has</w:t>
      </w:r>
      <w:r>
        <w:rPr>
          <w:spacing w:val="-28"/>
        </w:rPr>
        <w:t> </w:t>
      </w:r>
      <w:r>
        <w:rPr/>
        <w:t>been</w:t>
      </w:r>
      <w:r>
        <w:rPr>
          <w:spacing w:val="-31"/>
        </w:rPr>
        <w:t> </w:t>
      </w:r>
      <w:r>
        <w:rPr/>
        <w:t>provided</w:t>
      </w:r>
      <w:r>
        <w:rPr>
          <w:spacing w:val="-29"/>
        </w:rPr>
        <w:t> </w:t>
      </w:r>
      <w:r>
        <w:rPr/>
        <w:t>by</w:t>
      </w:r>
      <w:r>
        <w:rPr>
          <w:spacing w:val="-28"/>
        </w:rPr>
        <w:t> </w:t>
      </w:r>
      <w:r>
        <w:rPr/>
        <w:t>the Client</w:t>
      </w:r>
      <w:r>
        <w:rPr>
          <w:spacing w:val="-24"/>
        </w:rPr>
        <w:t> </w:t>
      </w:r>
      <w:r>
        <w:rPr/>
        <w:t>and</w:t>
      </w:r>
      <w:r>
        <w:rPr>
          <w:spacing w:val="-23"/>
        </w:rPr>
        <w:t> </w:t>
      </w:r>
      <w:r>
        <w:rPr/>
        <w:t>is</w:t>
      </w:r>
      <w:r>
        <w:rPr>
          <w:spacing w:val="-22"/>
        </w:rPr>
        <w:t> </w:t>
      </w:r>
      <w:r>
        <w:rPr/>
        <w:t>broadly</w:t>
      </w:r>
      <w:r>
        <w:rPr>
          <w:spacing w:val="-23"/>
        </w:rPr>
        <w:t> </w:t>
      </w:r>
      <w:r>
        <w:rPr/>
        <w:t>in</w:t>
      </w:r>
      <w:r>
        <w:rPr>
          <w:spacing w:val="-24"/>
        </w:rPr>
        <w:t> </w:t>
      </w:r>
      <w:r>
        <w:rPr/>
        <w:t>agreement</w:t>
      </w:r>
      <w:r>
        <w:rPr>
          <w:spacing w:val="-23"/>
        </w:rPr>
        <w:t> </w:t>
      </w:r>
      <w:r>
        <w:rPr/>
        <w:t>with</w:t>
      </w:r>
      <w:r>
        <w:rPr>
          <w:spacing w:val="-23"/>
        </w:rPr>
        <w:t> </w:t>
      </w:r>
      <w:r>
        <w:rPr/>
        <w:t>the</w:t>
      </w:r>
      <w:r>
        <w:rPr>
          <w:spacing w:val="-24"/>
        </w:rPr>
        <w:t> </w:t>
      </w:r>
      <w:r>
        <w:rPr/>
        <w:t>rules</w:t>
      </w:r>
      <w:r>
        <w:rPr>
          <w:spacing w:val="-22"/>
        </w:rPr>
        <w:t> </w:t>
      </w:r>
      <w:r>
        <w:rPr/>
        <w:t>and</w:t>
      </w:r>
      <w:r>
        <w:rPr>
          <w:spacing w:val="-23"/>
        </w:rPr>
        <w:t> </w:t>
      </w:r>
      <w:r>
        <w:rPr/>
        <w:t>regulations</w:t>
      </w:r>
      <w:r>
        <w:rPr>
          <w:spacing w:val="-23"/>
        </w:rPr>
        <w:t> </w:t>
      </w:r>
      <w:r>
        <w:rPr/>
        <w:t>prescribed</w:t>
      </w:r>
      <w:r>
        <w:rPr>
          <w:spacing w:val="-23"/>
        </w:rPr>
        <w:t> </w:t>
      </w:r>
      <w:r>
        <w:rPr/>
        <w:t>by</w:t>
      </w:r>
      <w:r>
        <w:rPr>
          <w:spacing w:val="-22"/>
        </w:rPr>
        <w:t> </w:t>
      </w:r>
      <w:r>
        <w:rPr/>
        <w:t>the</w:t>
      </w:r>
      <w:r>
        <w:rPr>
          <w:spacing w:val="-24"/>
        </w:rPr>
        <w:t> </w:t>
      </w:r>
      <w:r>
        <w:rPr/>
        <w:t>local development</w:t>
      </w:r>
      <w:r>
        <w:rPr>
          <w:spacing w:val="-42"/>
        </w:rPr>
        <w:t> </w:t>
      </w:r>
      <w:r>
        <w:rPr/>
        <w:t>authorities.</w:t>
      </w:r>
      <w:r>
        <w:rPr>
          <w:spacing w:val="-42"/>
        </w:rPr>
        <w:t> </w:t>
      </w:r>
      <w:r>
        <w:rPr/>
        <w:t>However,</w:t>
      </w:r>
      <w:r>
        <w:rPr>
          <w:spacing w:val="-41"/>
        </w:rPr>
        <w:t> </w:t>
      </w:r>
      <w:r>
        <w:rPr/>
        <w:t>the</w:t>
      </w:r>
      <w:r>
        <w:rPr>
          <w:spacing w:val="-42"/>
        </w:rPr>
        <w:t> </w:t>
      </w:r>
      <w:r>
        <w:rPr/>
        <w:t>Consultants</w:t>
      </w:r>
      <w:r>
        <w:rPr>
          <w:spacing w:val="-42"/>
        </w:rPr>
        <w:t> </w:t>
      </w:r>
      <w:r>
        <w:rPr/>
        <w:t>have</w:t>
      </w:r>
      <w:r>
        <w:rPr>
          <w:spacing w:val="-41"/>
        </w:rPr>
        <w:t> </w:t>
      </w:r>
      <w:r>
        <w:rPr/>
        <w:t>not</w:t>
      </w:r>
      <w:r>
        <w:rPr>
          <w:spacing w:val="-41"/>
        </w:rPr>
        <w:t> </w:t>
      </w:r>
      <w:r>
        <w:rPr/>
        <w:t>made</w:t>
      </w:r>
      <w:r>
        <w:rPr>
          <w:spacing w:val="-41"/>
        </w:rPr>
        <w:t> </w:t>
      </w:r>
      <w:r>
        <w:rPr/>
        <w:t>any</w:t>
      </w:r>
      <w:r>
        <w:rPr>
          <w:spacing w:val="-42"/>
        </w:rPr>
        <w:t> </w:t>
      </w:r>
      <w:r>
        <w:rPr/>
        <w:t>enquiries</w:t>
      </w:r>
      <w:r>
        <w:rPr>
          <w:spacing w:val="-41"/>
        </w:rPr>
        <w:t> </w:t>
      </w:r>
      <w:r>
        <w:rPr/>
        <w:t>with</w:t>
      </w:r>
      <w:r>
        <w:rPr>
          <w:spacing w:val="-41"/>
        </w:rPr>
        <w:t> </w:t>
      </w:r>
      <w:r>
        <w:rPr/>
        <w:t>the relevant</w:t>
      </w:r>
      <w:r>
        <w:rPr>
          <w:spacing w:val="-28"/>
        </w:rPr>
        <w:t> </w:t>
      </w:r>
      <w:r>
        <w:rPr/>
        <w:t>local</w:t>
      </w:r>
      <w:r>
        <w:rPr>
          <w:spacing w:val="-29"/>
        </w:rPr>
        <w:t> </w:t>
      </w:r>
      <w:r>
        <w:rPr/>
        <w:t>authorities</w:t>
      </w:r>
      <w:r>
        <w:rPr>
          <w:spacing w:val="-26"/>
        </w:rPr>
        <w:t> </w:t>
      </w:r>
      <w:r>
        <w:rPr/>
        <w:t>to</w:t>
      </w:r>
      <w:r>
        <w:rPr>
          <w:spacing w:val="-28"/>
        </w:rPr>
        <w:t> </w:t>
      </w:r>
      <w:r>
        <w:rPr/>
        <w:t>validate</w:t>
      </w:r>
      <w:r>
        <w:rPr>
          <w:spacing w:val="-30"/>
        </w:rPr>
        <w:t> </w:t>
      </w:r>
      <w:r>
        <w:rPr/>
        <w:t>the</w:t>
      </w:r>
      <w:r>
        <w:rPr>
          <w:spacing w:val="-28"/>
        </w:rPr>
        <w:t> </w:t>
      </w:r>
      <w:r>
        <w:rPr/>
        <w:t>same</w:t>
      </w:r>
      <w:r>
        <w:rPr>
          <w:spacing w:val="-29"/>
        </w:rPr>
        <w:t> </w:t>
      </w:r>
      <w:r>
        <w:rPr/>
        <w:t>for</w:t>
      </w:r>
      <w:r>
        <w:rPr>
          <w:spacing w:val="-29"/>
        </w:rPr>
        <w:t> </w:t>
      </w:r>
      <w:r>
        <w:rPr/>
        <w:t>its</w:t>
      </w:r>
      <w:r>
        <w:rPr>
          <w:spacing w:val="-28"/>
        </w:rPr>
        <w:t> </w:t>
      </w:r>
      <w:r>
        <w:rPr/>
        <w:t>specific</w:t>
      </w:r>
      <w:r>
        <w:rPr>
          <w:spacing w:val="-29"/>
        </w:rPr>
        <w:t> </w:t>
      </w:r>
      <w:r>
        <w:rPr/>
        <w:t>applicability</w:t>
      </w:r>
      <w:r>
        <w:rPr>
          <w:spacing w:val="-28"/>
        </w:rPr>
        <w:t> </w:t>
      </w:r>
      <w:r>
        <w:rPr/>
        <w:t>to</w:t>
      </w:r>
      <w:r>
        <w:rPr>
          <w:spacing w:val="-29"/>
        </w:rPr>
        <w:t> </w:t>
      </w:r>
      <w:r>
        <w:rPr/>
        <w:t>the</w:t>
      </w:r>
      <w:r>
        <w:rPr>
          <w:spacing w:val="-28"/>
        </w:rPr>
        <w:t> </w:t>
      </w:r>
      <w:r>
        <w:rPr/>
        <w:t>subject property.</w:t>
      </w:r>
    </w:p>
    <w:p>
      <w:pPr>
        <w:spacing w:after="0" w:line="321" w:lineRule="auto"/>
        <w:jc w:val="both"/>
        <w:sectPr>
          <w:type w:val="continuous"/>
          <w:pgSz w:w="11910" w:h="16840"/>
          <w:pgMar w:top="800" w:bottom="280" w:left="460" w:right="480"/>
          <w:cols w:num="2" w:equalWidth="0">
            <w:col w:w="1856" w:space="40"/>
            <w:col w:w="9074"/>
          </w:cols>
        </w:sectPr>
      </w:pPr>
    </w:p>
    <w:p>
      <w:pPr>
        <w:pStyle w:val="BodyText"/>
        <w:tabs>
          <w:tab w:pos="2235" w:val="left" w:leader="none"/>
        </w:tabs>
        <w:spacing w:line="324" w:lineRule="auto" w:before="124"/>
        <w:ind w:left="2235" w:right="262" w:hanging="1342"/>
      </w:pPr>
      <w:r>
        <w:rPr>
          <w:w w:val="95"/>
        </w:rPr>
        <w:t>Restrictions:</w:t>
        <w:tab/>
      </w:r>
      <w:r>
        <w:rPr/>
        <w:t>As</w:t>
      </w:r>
      <w:r>
        <w:rPr>
          <w:spacing w:val="-23"/>
        </w:rPr>
        <w:t> </w:t>
      </w:r>
      <w:r>
        <w:rPr/>
        <w:t>per</w:t>
      </w:r>
      <w:r>
        <w:rPr>
          <w:spacing w:val="-22"/>
        </w:rPr>
        <w:t> </w:t>
      </w:r>
      <w:r>
        <w:rPr/>
        <w:t>feedback</w:t>
      </w:r>
      <w:r>
        <w:rPr>
          <w:spacing w:val="-22"/>
        </w:rPr>
        <w:t> </w:t>
      </w:r>
      <w:r>
        <w:rPr/>
        <w:t>received</w:t>
      </w:r>
      <w:r>
        <w:rPr>
          <w:spacing w:val="-20"/>
        </w:rPr>
        <w:t> </w:t>
      </w:r>
      <w:r>
        <w:rPr/>
        <w:t>from</w:t>
      </w:r>
      <w:r>
        <w:rPr>
          <w:spacing w:val="-22"/>
        </w:rPr>
        <w:t> </w:t>
      </w:r>
      <w:r>
        <w:rPr/>
        <w:t>the</w:t>
      </w:r>
      <w:r>
        <w:rPr>
          <w:spacing w:val="-22"/>
        </w:rPr>
        <w:t> </w:t>
      </w:r>
      <w:r>
        <w:rPr/>
        <w:t>Client,</w:t>
      </w:r>
      <w:r>
        <w:rPr>
          <w:spacing w:val="-22"/>
        </w:rPr>
        <w:t> </w:t>
      </w:r>
      <w:r>
        <w:rPr/>
        <w:t>there</w:t>
      </w:r>
      <w:r>
        <w:rPr>
          <w:spacing w:val="-23"/>
        </w:rPr>
        <w:t> </w:t>
      </w:r>
      <w:r>
        <w:rPr/>
        <w:t>are</w:t>
      </w:r>
      <w:r>
        <w:rPr>
          <w:spacing w:val="-22"/>
        </w:rPr>
        <w:t> </w:t>
      </w:r>
      <w:r>
        <w:rPr/>
        <w:t>no</w:t>
      </w:r>
      <w:r>
        <w:rPr>
          <w:spacing w:val="-22"/>
        </w:rPr>
        <w:t> </w:t>
      </w:r>
      <w:r>
        <w:rPr/>
        <w:t>restrictions</w:t>
      </w:r>
      <w:r>
        <w:rPr>
          <w:spacing w:val="-22"/>
        </w:rPr>
        <w:t> </w:t>
      </w:r>
      <w:r>
        <w:rPr/>
        <w:t>on</w:t>
      </w:r>
      <w:r>
        <w:rPr>
          <w:spacing w:val="-22"/>
        </w:rPr>
        <w:t> </w:t>
      </w:r>
      <w:r>
        <w:rPr/>
        <w:t>the</w:t>
      </w:r>
      <w:r>
        <w:rPr>
          <w:spacing w:val="-22"/>
        </w:rPr>
        <w:t> </w:t>
      </w:r>
      <w:r>
        <w:rPr/>
        <w:t>current</w:t>
      </w:r>
      <w:r>
        <w:rPr>
          <w:spacing w:val="-22"/>
        </w:rPr>
        <w:t> </w:t>
      </w:r>
      <w:r>
        <w:rPr/>
        <w:t>use</w:t>
      </w:r>
      <w:r>
        <w:rPr>
          <w:spacing w:val="-22"/>
        </w:rPr>
        <w:t> </w:t>
      </w:r>
      <w:r>
        <w:rPr/>
        <w:t>of the</w:t>
      </w:r>
      <w:r>
        <w:rPr>
          <w:spacing w:val="-3"/>
        </w:rPr>
        <w:t> </w:t>
      </w:r>
      <w:r>
        <w:rPr/>
        <w:t>property.</w:t>
      </w:r>
    </w:p>
    <w:p>
      <w:pPr>
        <w:spacing w:after="0" w:line="324" w:lineRule="auto"/>
        <w:sectPr>
          <w:type w:val="continuous"/>
          <w:pgSz w:w="11910" w:h="16840"/>
          <w:pgMar w:top="800" w:bottom="280" w:left="460" w:right="480"/>
        </w:sectPr>
      </w:pPr>
    </w:p>
    <w:p>
      <w:pPr>
        <w:pStyle w:val="BodyText"/>
        <w:spacing w:before="7"/>
        <w:rPr>
          <w:sz w:val="9"/>
        </w:rPr>
      </w:pPr>
    </w:p>
    <w:p>
      <w:pPr>
        <w:spacing w:after="0"/>
        <w:rPr>
          <w:sz w:val="9"/>
        </w:rPr>
        <w:sectPr>
          <w:pgSz w:w="11910" w:h="16840"/>
          <w:pgMar w:header="720" w:footer="921" w:top="1660" w:bottom="1120" w:left="460" w:right="480"/>
        </w:sectPr>
      </w:pPr>
    </w:p>
    <w:p>
      <w:pPr>
        <w:pStyle w:val="BodyText"/>
        <w:spacing w:line="321" w:lineRule="auto" w:before="106"/>
        <w:ind w:left="894" w:right="-5"/>
      </w:pPr>
      <w:r>
        <w:rPr/>
        <w:t>Natural </w:t>
      </w:r>
      <w:r>
        <w:rPr>
          <w:spacing w:val="-10"/>
        </w:rPr>
        <w:t>or </w:t>
      </w:r>
      <w:r>
        <w:rPr/>
        <w:t>induced hazards:</w:t>
      </w:r>
    </w:p>
    <w:p>
      <w:pPr>
        <w:pStyle w:val="BodyText"/>
        <w:spacing w:before="9"/>
        <w:rPr>
          <w:sz w:val="23"/>
        </w:rPr>
      </w:pPr>
      <w:r>
        <w:rPr/>
        <w:br w:type="column"/>
      </w:r>
      <w:r>
        <w:rPr>
          <w:sz w:val="23"/>
        </w:rPr>
      </w:r>
    </w:p>
    <w:p>
      <w:pPr>
        <w:pStyle w:val="BodyText"/>
        <w:spacing w:line="321" w:lineRule="auto" w:before="1"/>
        <w:ind w:left="388"/>
      </w:pPr>
      <w:r>
        <w:rPr/>
        <w:t>We</w:t>
      </w:r>
      <w:r>
        <w:rPr>
          <w:spacing w:val="-25"/>
        </w:rPr>
        <w:t> </w:t>
      </w:r>
      <w:r>
        <w:rPr/>
        <w:t>are</w:t>
      </w:r>
      <w:r>
        <w:rPr>
          <w:spacing w:val="-25"/>
        </w:rPr>
        <w:t> </w:t>
      </w:r>
      <w:r>
        <w:rPr/>
        <w:t>of</w:t>
      </w:r>
      <w:r>
        <w:rPr>
          <w:spacing w:val="-23"/>
        </w:rPr>
        <w:t> </w:t>
      </w:r>
      <w:r>
        <w:rPr/>
        <w:t>the</w:t>
      </w:r>
      <w:r>
        <w:rPr>
          <w:spacing w:val="-23"/>
        </w:rPr>
        <w:t> </w:t>
      </w:r>
      <w:r>
        <w:rPr/>
        <w:t>opinion</w:t>
      </w:r>
      <w:r>
        <w:rPr>
          <w:spacing w:val="-23"/>
        </w:rPr>
        <w:t> </w:t>
      </w:r>
      <w:r>
        <w:rPr/>
        <w:t>that</w:t>
      </w:r>
      <w:r>
        <w:rPr>
          <w:spacing w:val="-24"/>
        </w:rPr>
        <w:t> </w:t>
      </w:r>
      <w:r>
        <w:rPr/>
        <w:t>the</w:t>
      </w:r>
      <w:r>
        <w:rPr>
          <w:spacing w:val="-24"/>
        </w:rPr>
        <w:t> </w:t>
      </w:r>
      <w:r>
        <w:rPr/>
        <w:t>project/</w:t>
      </w:r>
      <w:r>
        <w:rPr>
          <w:spacing w:val="-24"/>
        </w:rPr>
        <w:t> </w:t>
      </w:r>
      <w:r>
        <w:rPr/>
        <w:t>site</w:t>
      </w:r>
      <w:r>
        <w:rPr>
          <w:spacing w:val="-24"/>
        </w:rPr>
        <w:t> </w:t>
      </w:r>
      <w:r>
        <w:rPr/>
        <w:t>has</w:t>
      </w:r>
      <w:r>
        <w:rPr>
          <w:spacing w:val="-23"/>
        </w:rPr>
        <w:t> </w:t>
      </w:r>
      <w:r>
        <w:rPr/>
        <w:t>been</w:t>
      </w:r>
      <w:r>
        <w:rPr>
          <w:spacing w:val="-25"/>
        </w:rPr>
        <w:t> </w:t>
      </w:r>
      <w:r>
        <w:rPr/>
        <w:t>developed</w:t>
      </w:r>
      <w:r>
        <w:rPr>
          <w:spacing w:val="-24"/>
        </w:rPr>
        <w:t> </w:t>
      </w:r>
      <w:r>
        <w:rPr/>
        <w:t>to</w:t>
      </w:r>
      <w:r>
        <w:rPr>
          <w:spacing w:val="-24"/>
        </w:rPr>
        <w:t> </w:t>
      </w:r>
      <w:r>
        <w:rPr/>
        <w:t>withstand</w:t>
      </w:r>
      <w:r>
        <w:rPr>
          <w:spacing w:val="-24"/>
        </w:rPr>
        <w:t> </w:t>
      </w:r>
      <w:r>
        <w:rPr/>
        <w:t>natural</w:t>
      </w:r>
      <w:r>
        <w:rPr>
          <w:spacing w:val="-25"/>
        </w:rPr>
        <w:t> </w:t>
      </w:r>
      <w:r>
        <w:rPr/>
        <w:t>or induced</w:t>
      </w:r>
      <w:r>
        <w:rPr>
          <w:spacing w:val="-17"/>
        </w:rPr>
        <w:t> </w:t>
      </w:r>
      <w:r>
        <w:rPr/>
        <w:t>hazards</w:t>
      </w:r>
      <w:r>
        <w:rPr>
          <w:spacing w:val="-17"/>
        </w:rPr>
        <w:t> </w:t>
      </w:r>
      <w:r>
        <w:rPr/>
        <w:t>(with</w:t>
      </w:r>
      <w:r>
        <w:rPr>
          <w:spacing w:val="-18"/>
        </w:rPr>
        <w:t> </w:t>
      </w:r>
      <w:r>
        <w:rPr/>
        <w:t>the</w:t>
      </w:r>
      <w:r>
        <w:rPr>
          <w:spacing w:val="-20"/>
        </w:rPr>
        <w:t> </w:t>
      </w:r>
      <w:r>
        <w:rPr/>
        <w:t>exception</w:t>
      </w:r>
      <w:r>
        <w:rPr>
          <w:spacing w:val="-18"/>
        </w:rPr>
        <w:t> </w:t>
      </w:r>
      <w:r>
        <w:rPr/>
        <w:t>of</w:t>
      </w:r>
      <w:r>
        <w:rPr>
          <w:spacing w:val="-17"/>
        </w:rPr>
        <w:t> </w:t>
      </w:r>
      <w:r>
        <w:rPr/>
        <w:t>extreme/</w:t>
      </w:r>
      <w:r>
        <w:rPr>
          <w:spacing w:val="-19"/>
        </w:rPr>
        <w:t> </w:t>
      </w:r>
      <w:r>
        <w:rPr/>
        <w:t>out</w:t>
      </w:r>
      <w:r>
        <w:rPr>
          <w:spacing w:val="-17"/>
        </w:rPr>
        <w:t> </w:t>
      </w:r>
      <w:r>
        <w:rPr/>
        <w:t>of</w:t>
      </w:r>
      <w:r>
        <w:rPr>
          <w:spacing w:val="-17"/>
        </w:rPr>
        <w:t> </w:t>
      </w:r>
      <w:r>
        <w:rPr/>
        <w:t>the</w:t>
      </w:r>
      <w:r>
        <w:rPr>
          <w:spacing w:val="-15"/>
        </w:rPr>
        <w:t> </w:t>
      </w:r>
      <w:r>
        <w:rPr/>
        <w:t>ordinary</w:t>
      </w:r>
      <w:r>
        <w:rPr>
          <w:spacing w:val="-17"/>
        </w:rPr>
        <w:t> </w:t>
      </w:r>
      <w:r>
        <w:rPr/>
        <w:t>hazards).</w:t>
      </w:r>
    </w:p>
    <w:p>
      <w:pPr>
        <w:spacing w:after="0" w:line="321" w:lineRule="auto"/>
        <w:sectPr>
          <w:type w:val="continuous"/>
          <w:pgSz w:w="11910" w:h="16840"/>
          <w:pgMar w:top="800" w:bottom="280" w:left="460" w:right="480"/>
          <w:cols w:num="2" w:equalWidth="0">
            <w:col w:w="1889" w:space="40"/>
            <w:col w:w="9041"/>
          </w:cols>
        </w:sectPr>
      </w:pPr>
    </w:p>
    <w:p>
      <w:pPr>
        <w:pStyle w:val="BodyText"/>
        <w:spacing w:before="10"/>
        <w:rPr>
          <w:sz w:val="21"/>
        </w:rPr>
      </w:pPr>
    </w:p>
    <w:p>
      <w:pPr>
        <w:pStyle w:val="ListParagraph"/>
        <w:numPr>
          <w:ilvl w:val="2"/>
          <w:numId w:val="14"/>
        </w:numPr>
        <w:tabs>
          <w:tab w:pos="981" w:val="left" w:leader="none"/>
        </w:tabs>
        <w:spacing w:line="240" w:lineRule="auto" w:before="107" w:after="0"/>
        <w:ind w:left="980" w:right="0" w:hanging="721"/>
        <w:jc w:val="left"/>
        <w:rPr>
          <w:sz w:val="22"/>
        </w:rPr>
      </w:pPr>
      <w:bookmarkStart w:name="_bookmark189" w:id="368"/>
      <w:bookmarkEnd w:id="368"/>
      <w:r>
        <w:rPr/>
      </w:r>
      <w:bookmarkStart w:name="_bookmark189" w:id="369"/>
      <w:bookmarkEnd w:id="369"/>
      <w:r>
        <w:rPr>
          <w:color w:val="1F664D"/>
          <w:sz w:val="22"/>
        </w:rPr>
        <w:t>S</w:t>
      </w:r>
      <w:r>
        <w:rPr>
          <w:color w:val="1F664D"/>
          <w:sz w:val="22"/>
        </w:rPr>
        <w:t>tatutory Approvals, One Time Sanctions &amp; Periodic Clearances</w:t>
      </w:r>
    </w:p>
    <w:p>
      <w:pPr>
        <w:pStyle w:val="BodyText"/>
        <w:spacing w:before="207"/>
        <w:ind w:left="826"/>
      </w:pPr>
      <w:r>
        <w:rPr/>
        <w:t>Please refer section 18.3 on Statutory Approvals, One time Sanctions &amp; Periodic Clearances</w:t>
      </w:r>
    </w:p>
    <w:p>
      <w:pPr>
        <w:pStyle w:val="BodyText"/>
        <w:spacing w:before="3"/>
        <w:rPr>
          <w:sz w:val="28"/>
        </w:rPr>
      </w:pPr>
    </w:p>
    <w:p>
      <w:pPr>
        <w:pStyle w:val="ListParagraph"/>
        <w:numPr>
          <w:ilvl w:val="2"/>
          <w:numId w:val="14"/>
        </w:numPr>
        <w:tabs>
          <w:tab w:pos="981" w:val="left" w:leader="none"/>
        </w:tabs>
        <w:spacing w:line="240" w:lineRule="auto" w:before="0" w:after="0"/>
        <w:ind w:left="980" w:right="0" w:hanging="721"/>
        <w:jc w:val="left"/>
        <w:rPr>
          <w:sz w:val="22"/>
        </w:rPr>
      </w:pPr>
      <w:bookmarkStart w:name="_bookmark190" w:id="370"/>
      <w:bookmarkEnd w:id="370"/>
      <w:r>
        <w:rPr/>
      </w:r>
      <w:bookmarkStart w:name="_bookmark190" w:id="371"/>
      <w:bookmarkEnd w:id="371"/>
      <w:r>
        <w:rPr>
          <w:color w:val="1F664D"/>
          <w:sz w:val="22"/>
        </w:rPr>
        <w:t>Are</w:t>
      </w:r>
      <w:r>
        <w:rPr>
          <w:color w:val="1F664D"/>
          <w:sz w:val="22"/>
        </w:rPr>
        <w:t>a Details, Type and Age of Existing</w:t>
      </w:r>
      <w:r>
        <w:rPr>
          <w:color w:val="1F664D"/>
          <w:spacing w:val="-6"/>
          <w:sz w:val="22"/>
        </w:rPr>
        <w:t> </w:t>
      </w:r>
      <w:r>
        <w:rPr>
          <w:color w:val="1F664D"/>
          <w:sz w:val="22"/>
        </w:rPr>
        <w:t>Structures</w:t>
      </w:r>
    </w:p>
    <w:p>
      <w:pPr>
        <w:pStyle w:val="BodyText"/>
        <w:spacing w:before="208"/>
        <w:ind w:left="800"/>
      </w:pPr>
      <w:r>
        <w:rPr/>
        <w:t>The table below highlights the detailed area break-up of the subject development:</w:t>
      </w:r>
    </w:p>
    <w:p>
      <w:pPr>
        <w:pStyle w:val="BodyText"/>
        <w:spacing w:before="2"/>
        <w:rPr>
          <w:sz w:val="14"/>
        </w:rPr>
      </w:pPr>
      <w:r>
        <w:rPr/>
        <w:pict>
          <v:group style="position:absolute;margin-left:36pt;margin-top:10.194005pt;width:523.6pt;height:23.8pt;mso-position-horizontal-relative:page;mso-position-vertical-relative:paragraph;z-index:-15280640;mso-wrap-distance-left:0;mso-wrap-distance-right:0" coordorigin="720,204" coordsize="10472,476">
            <v:shape style="position:absolute;left:720;top:232;width:10472;height:432" coordorigin="720,233" coordsize="10472,432" path="m5014,233l3068,233,720,233,720,665,3068,665,5014,665,5014,233xm9103,233l7201,233,5015,233,5015,665,7201,665,9103,665,9103,233xm11191,233l9103,233,9103,665,11191,665,11191,233xe" filled="true" fillcolor="#006a4d" stroked="false">
              <v:path arrowok="t"/>
              <v:fill type="solid"/>
            </v:shape>
            <v:rect style="position:absolute;left:720;top:203;width:2348;height:29" filled="true" fillcolor="#1f6b16" stroked="false">
              <v:fill type="solid"/>
            </v:rect>
            <v:shape style="position:absolute;left:720;top:232;width:2377;height:3" coordorigin="720,233" coordsize="2377,3" path="m3096,233l3068,233,720,233,720,235,3068,235,3096,235,3096,233xe" filled="true" fillcolor="#006a4d" stroked="false">
              <v:path arrowok="t"/>
              <v:fill type="solid"/>
            </v:shape>
            <v:shape style="position:absolute;left:3067;top:203;width:1947;height:29" coordorigin="3068,204" coordsize="1947,29" path="m5014,204l3096,204,3068,204,3068,233,3096,233,5014,233,5014,204xe" filled="true" fillcolor="#1f6b16" stroked="false">
              <v:path arrowok="t"/>
              <v:fill type="solid"/>
            </v:shape>
            <v:shape style="position:absolute;left:3096;top:232;width:1947;height:3" coordorigin="3096,233" coordsize="1947,3" path="m5014,233l3096,233,3096,235,5014,235,5014,233xm5043,233l5015,233,5015,235,5043,235,5043,233xe" filled="true" fillcolor="#006a4d" stroked="false">
              <v:path arrowok="t"/>
              <v:fill type="solid"/>
            </v:shape>
            <v:shape style="position:absolute;left:5014;top:203;width:2187;height:29" coordorigin="5015,204" coordsize="2187,29" path="m7201,204l5043,204,5015,204,5015,233,5043,233,7201,233,7201,204xe" filled="true" fillcolor="#1f6b16" stroked="false">
              <v:path arrowok="t"/>
              <v:fill type="solid"/>
            </v:shape>
            <v:shape style="position:absolute;left:5043;top:232;width:2187;height:3" coordorigin="5043,233" coordsize="2187,3" path="m7230,233l7201,233,5043,233,5043,235,7201,235,7230,235,7230,233xe" filled="true" fillcolor="#006a4d" stroked="false">
              <v:path arrowok="t"/>
              <v:fill type="solid"/>
            </v:shape>
            <v:shape style="position:absolute;left:7201;top:203;width:1902;height:29" coordorigin="7201,204" coordsize="1902,29" path="m9103,204l7230,204,7201,204,7201,233,7230,233,9103,233,9103,204xe" filled="true" fillcolor="#1f6b16" stroked="false">
              <v:path arrowok="t"/>
              <v:fill type="solid"/>
            </v:shape>
            <v:shape style="position:absolute;left:7230;top:232;width:1902;height:3" coordorigin="7230,233" coordsize="1902,3" path="m9103,233l7230,233,7230,235,9103,235,9103,233xm9132,233l9103,233,9103,235,9132,235,9132,233xe" filled="true" fillcolor="#006a4d" stroked="false">
              <v:path arrowok="t"/>
              <v:fill type="solid"/>
            </v:shape>
            <v:shape style="position:absolute;left:9102;top:203;width:2089;height:29" coordorigin="9103,204" coordsize="2089,29" path="m11191,204l9132,204,9103,204,9103,233,9132,233,11191,233,11191,204xe" filled="true" fillcolor="#1f6b16" stroked="false">
              <v:path arrowok="t"/>
              <v:fill type="solid"/>
            </v:shape>
            <v:rect style="position:absolute;left:9131;top:232;width:2060;height:3" filled="true" fillcolor="#006a4d" stroked="false">
              <v:fill type="solid"/>
            </v:rect>
            <v:shape style="position:absolute;left:720;top:664;width:10472;height:15" coordorigin="720,665" coordsize="10472,15" path="m5014,665l3082,665,3068,665,720,665,720,679,3068,679,3082,679,5014,679,5014,665xm9103,665l7216,665,7201,665,7024,665,7009,665,7009,665,5267,665,5252,665,5029,665,5015,665,5015,679,5029,679,5252,679,5267,679,7009,679,7009,679,7024,679,7201,679,7216,679,9103,679,9103,665xm11191,665l9117,665,9103,665,9103,679,9117,679,11191,679,11191,665xe" filled="true" fillcolor="#69bd28" stroked="false">
              <v:path arrowok="t"/>
              <v:fill type="solid"/>
            </v:shape>
            <v:shape style="position:absolute;left:984;top:340;width:1838;height:216" type="#_x0000_t202" filled="false" stroked="false">
              <v:textbox inset="0,0,0,0">
                <w:txbxContent>
                  <w:p>
                    <w:pPr>
                      <w:spacing w:before="4"/>
                      <w:ind w:left="0" w:right="0" w:firstLine="0"/>
                      <w:jc w:val="left"/>
                      <w:rPr>
                        <w:b/>
                        <w:sz w:val="18"/>
                      </w:rPr>
                    </w:pPr>
                    <w:r>
                      <w:rPr>
                        <w:b/>
                        <w:color w:val="FFFFFF"/>
                        <w:w w:val="110"/>
                        <w:sz w:val="18"/>
                      </w:rPr>
                      <w:t>Development Name</w:t>
                    </w:r>
                  </w:p>
                </w:txbxContent>
              </v:textbox>
              <w10:wrap type="none"/>
            </v:shape>
            <v:shape style="position:absolute;left:3217;top:232;width:3835;height:432" type="#_x0000_t202" filled="false" stroked="false">
              <v:textbox inset="0,0,0,0">
                <w:txbxContent>
                  <w:p>
                    <w:pPr>
                      <w:tabs>
                        <w:tab w:pos="1967" w:val="left" w:leader="none"/>
                        <w:tab w:pos="2462" w:val="left" w:leader="none"/>
                      </w:tabs>
                      <w:spacing w:line="247" w:lineRule="auto" w:before="4"/>
                      <w:ind w:left="595" w:right="18" w:hanging="596"/>
                      <w:jc w:val="left"/>
                      <w:rPr>
                        <w:b/>
                        <w:sz w:val="18"/>
                      </w:rPr>
                    </w:pPr>
                    <w:r>
                      <w:rPr>
                        <w:b/>
                        <w:color w:val="FFFFFF"/>
                        <w:w w:val="110"/>
                        <w:sz w:val="18"/>
                      </w:rPr>
                      <w:t>Developable</w:t>
                    </w:r>
                    <w:r>
                      <w:rPr>
                        <w:b/>
                        <w:color w:val="FFFFFF"/>
                        <w:spacing w:val="4"/>
                        <w:w w:val="110"/>
                        <w:sz w:val="18"/>
                      </w:rPr>
                      <w:t> </w:t>
                    </w:r>
                    <w:r>
                      <w:rPr>
                        <w:b/>
                        <w:color w:val="FFFFFF"/>
                        <w:w w:val="110"/>
                        <w:sz w:val="18"/>
                      </w:rPr>
                      <w:t>Area</w:t>
                      <w:tab/>
                      <w:t>Completed </w:t>
                    </w:r>
                    <w:r>
                      <w:rPr>
                        <w:b/>
                        <w:color w:val="FFFFFF"/>
                        <w:spacing w:val="-3"/>
                        <w:w w:val="110"/>
                        <w:sz w:val="18"/>
                      </w:rPr>
                      <w:t>Leasable </w:t>
                    </w:r>
                    <w:r>
                      <w:rPr>
                        <w:b/>
                        <w:color w:val="FFFFFF"/>
                        <w:w w:val="110"/>
                        <w:sz w:val="18"/>
                      </w:rPr>
                      <w:t>(Sft)*</w:t>
                      <w:tab/>
                      <w:tab/>
                      <w:t>Area</w:t>
                    </w:r>
                    <w:r>
                      <w:rPr>
                        <w:b/>
                        <w:color w:val="FFFFFF"/>
                        <w:spacing w:val="-7"/>
                        <w:w w:val="110"/>
                        <w:sz w:val="18"/>
                      </w:rPr>
                      <w:t> </w:t>
                    </w:r>
                    <w:r>
                      <w:rPr>
                        <w:b/>
                        <w:color w:val="FFFFFF"/>
                        <w:w w:val="110"/>
                        <w:sz w:val="18"/>
                      </w:rPr>
                      <w:t>(Sft)</w:t>
                    </w:r>
                  </w:p>
                </w:txbxContent>
              </v:textbox>
              <w10:wrap type="none"/>
            </v:shape>
            <v:shape style="position:absolute;left:7412;top:232;width:1495;height:432" type="#_x0000_t202" filled="false" stroked="false">
              <v:textbox inset="0,0,0,0">
                <w:txbxContent>
                  <w:p>
                    <w:pPr>
                      <w:spacing w:line="247" w:lineRule="auto" w:before="4"/>
                      <w:ind w:left="557" w:right="0" w:hanging="558"/>
                      <w:jc w:val="left"/>
                      <w:rPr>
                        <w:b/>
                        <w:sz w:val="18"/>
                      </w:rPr>
                    </w:pPr>
                    <w:r>
                      <w:rPr>
                        <w:b/>
                        <w:color w:val="FFFFFF"/>
                        <w:w w:val="105"/>
                        <w:sz w:val="18"/>
                      </w:rPr>
                      <w:t>Committed Area (Sft)</w:t>
                    </w:r>
                  </w:p>
                </w:txbxContent>
              </v:textbox>
              <w10:wrap type="none"/>
            </v:shape>
            <v:shape style="position:absolute;left:9270;top:340;width:1772;height:216" type="#_x0000_t202" filled="false" stroked="false">
              <v:textbox inset="0,0,0,0">
                <w:txbxContent>
                  <w:p>
                    <w:pPr>
                      <w:spacing w:before="4"/>
                      <w:ind w:left="0" w:right="0" w:firstLine="0"/>
                      <w:jc w:val="left"/>
                      <w:rPr>
                        <w:b/>
                        <w:sz w:val="18"/>
                      </w:rPr>
                    </w:pPr>
                    <w:r>
                      <w:rPr>
                        <w:b/>
                        <w:color w:val="FFFFFF"/>
                        <w:w w:val="105"/>
                        <w:sz w:val="18"/>
                      </w:rPr>
                      <w:t>Occupied Area (Sft)</w:t>
                    </w:r>
                  </w:p>
                </w:txbxContent>
              </v:textbox>
              <w10:wrap type="none"/>
            </v:shape>
            <w10:wrap type="topAndBottom"/>
          </v:group>
        </w:pict>
      </w:r>
    </w:p>
    <w:p>
      <w:pPr>
        <w:tabs>
          <w:tab w:pos="3275" w:val="left" w:leader="none"/>
          <w:tab w:pos="5243" w:val="left" w:leader="none"/>
          <w:tab w:pos="7171" w:val="left" w:leader="none"/>
          <w:tab w:pos="9262" w:val="left" w:leader="none"/>
        </w:tabs>
        <w:spacing w:before="10" w:after="39"/>
        <w:ind w:left="704" w:right="0" w:firstLine="0"/>
        <w:jc w:val="left"/>
        <w:rPr>
          <w:sz w:val="18"/>
        </w:rPr>
      </w:pPr>
      <w:r>
        <w:rPr>
          <w:w w:val="105"/>
          <w:sz w:val="18"/>
        </w:rPr>
        <w:t>Embassy</w:t>
      </w:r>
      <w:r>
        <w:rPr>
          <w:spacing w:val="-13"/>
          <w:w w:val="105"/>
          <w:sz w:val="18"/>
        </w:rPr>
        <w:t> </w:t>
      </w:r>
      <w:r>
        <w:rPr>
          <w:w w:val="105"/>
          <w:sz w:val="18"/>
        </w:rPr>
        <w:t>Quadron</w:t>
        <w:tab/>
        <w:t>1,564,050</w:t>
        <w:tab/>
        <w:t>1,894,674</w:t>
        <w:tab/>
        <w:t>1,496,150</w:t>
        <w:tab/>
        <w:t>1,485,278</w:t>
      </w:r>
    </w:p>
    <w:p>
      <w:pPr>
        <w:pStyle w:val="BodyText"/>
        <w:spacing w:line="20" w:lineRule="exact"/>
        <w:ind w:left="24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0"/>
        <w:ind w:left="260" w:right="0" w:firstLine="0"/>
        <w:jc w:val="left"/>
        <w:rPr>
          <w:i/>
          <w:sz w:val="18"/>
        </w:rPr>
      </w:pPr>
      <w:r>
        <w:rPr>
          <w:i/>
          <w:sz w:val="18"/>
        </w:rPr>
        <w:t>Source: Rent roll, lease deeds, Architect Certificate provided by Client; *represents achieved FSI area</w:t>
      </w:r>
    </w:p>
    <w:p>
      <w:pPr>
        <w:pStyle w:val="BodyText"/>
        <w:spacing w:before="5"/>
        <w:rPr>
          <w:i/>
          <w:sz w:val="17"/>
        </w:rPr>
      </w:pPr>
    </w:p>
    <w:tbl>
      <w:tblPr>
        <w:tblW w:w="0" w:type="auto"/>
        <w:jc w:val="left"/>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17"/>
        <w:gridCol w:w="1969"/>
        <w:gridCol w:w="2345"/>
        <w:gridCol w:w="1619"/>
        <w:gridCol w:w="2234"/>
      </w:tblGrid>
      <w:tr>
        <w:trPr>
          <w:trHeight w:val="431" w:hRule="atLeast"/>
        </w:trPr>
        <w:tc>
          <w:tcPr>
            <w:tcW w:w="10484" w:type="dxa"/>
            <w:gridSpan w:val="5"/>
            <w:tcBorders>
              <w:top w:val="single" w:sz="12" w:space="0" w:color="1F6B16"/>
            </w:tcBorders>
            <w:shd w:val="clear" w:color="auto" w:fill="006A4D"/>
          </w:tcPr>
          <w:p>
            <w:pPr>
              <w:pStyle w:val="TableParagraph"/>
              <w:tabs>
                <w:tab w:pos="2621" w:val="left" w:leader="none"/>
                <w:tab w:pos="4880" w:val="left" w:leader="none"/>
                <w:tab w:pos="6892" w:val="left" w:leader="none"/>
                <w:tab w:pos="8548" w:val="left" w:leader="none"/>
              </w:tabs>
              <w:spacing w:line="124" w:lineRule="auto" w:before="82"/>
              <w:ind w:left="953" w:right="220" w:firstLine="31"/>
              <w:jc w:val="left"/>
              <w:rPr>
                <w:b/>
                <w:sz w:val="18"/>
              </w:rPr>
            </w:pPr>
            <w:r>
              <w:rPr>
                <w:b/>
                <w:color w:val="FFFFFF"/>
                <w:w w:val="110"/>
                <w:position w:val="11"/>
                <w:sz w:val="18"/>
              </w:rPr>
              <w:t>Block</w:t>
              <w:tab/>
            </w:r>
            <w:r>
              <w:rPr>
                <w:b/>
                <w:color w:val="FFFFFF"/>
                <w:w w:val="110"/>
                <w:sz w:val="18"/>
              </w:rPr>
              <w:t>Building</w:t>
            </w:r>
            <w:r>
              <w:rPr>
                <w:b/>
                <w:color w:val="FFFFFF"/>
                <w:spacing w:val="-5"/>
                <w:w w:val="110"/>
                <w:sz w:val="18"/>
              </w:rPr>
              <w:t> </w:t>
            </w:r>
            <w:r>
              <w:rPr>
                <w:b/>
                <w:color w:val="FFFFFF"/>
                <w:w w:val="110"/>
                <w:sz w:val="18"/>
              </w:rPr>
              <w:t>Elevation</w:t>
              <w:tab/>
              <w:t>SEZ/Non-SEZ</w:t>
              <w:tab/>
              <w:t>Age</w:t>
            </w:r>
            <w:r>
              <w:rPr>
                <w:b/>
                <w:color w:val="FFFFFF"/>
                <w:spacing w:val="-4"/>
                <w:w w:val="110"/>
                <w:sz w:val="18"/>
              </w:rPr>
              <w:t> </w:t>
            </w:r>
            <w:r>
              <w:rPr>
                <w:b/>
                <w:color w:val="FFFFFF"/>
                <w:w w:val="110"/>
                <w:sz w:val="18"/>
              </w:rPr>
              <w:t>(Years)</w:t>
              <w:tab/>
              <w:t>Leasable Area</w:t>
            </w:r>
            <w:r>
              <w:rPr>
                <w:b/>
                <w:color w:val="FFFFFF"/>
                <w:spacing w:val="-19"/>
                <w:w w:val="110"/>
                <w:sz w:val="18"/>
              </w:rPr>
              <w:t> </w:t>
            </w:r>
            <w:r>
              <w:rPr>
                <w:b/>
                <w:color w:val="FFFFFF"/>
                <w:spacing w:val="-4"/>
                <w:w w:val="110"/>
                <w:sz w:val="18"/>
              </w:rPr>
              <w:t>(sft) </w:t>
            </w:r>
            <w:r>
              <w:rPr>
                <w:b/>
                <w:color w:val="FFFFFF"/>
                <w:w w:val="110"/>
                <w:sz w:val="18"/>
              </w:rPr>
              <w:t>Name</w:t>
            </w:r>
          </w:p>
        </w:tc>
      </w:tr>
      <w:tr>
        <w:trPr>
          <w:trHeight w:val="285" w:hRule="atLeast"/>
        </w:trPr>
        <w:tc>
          <w:tcPr>
            <w:tcW w:w="2317" w:type="dxa"/>
            <w:shd w:val="clear" w:color="auto" w:fill="69BD28"/>
          </w:tcPr>
          <w:p>
            <w:pPr>
              <w:pStyle w:val="TableParagraph"/>
              <w:jc w:val="left"/>
              <w:rPr>
                <w:rFonts w:ascii="Times New Roman"/>
                <w:sz w:val="18"/>
              </w:rPr>
            </w:pPr>
          </w:p>
        </w:tc>
        <w:tc>
          <w:tcPr>
            <w:tcW w:w="1969" w:type="dxa"/>
            <w:shd w:val="clear" w:color="auto" w:fill="69BD28"/>
          </w:tcPr>
          <w:p>
            <w:pPr>
              <w:pStyle w:val="TableParagraph"/>
              <w:jc w:val="left"/>
              <w:rPr>
                <w:rFonts w:ascii="Times New Roman"/>
                <w:sz w:val="18"/>
              </w:rPr>
            </w:pPr>
          </w:p>
        </w:tc>
        <w:tc>
          <w:tcPr>
            <w:tcW w:w="2345" w:type="dxa"/>
            <w:shd w:val="clear" w:color="auto" w:fill="69BD28"/>
          </w:tcPr>
          <w:p>
            <w:pPr>
              <w:pStyle w:val="TableParagraph"/>
              <w:spacing w:before="39"/>
              <w:ind w:left="258"/>
              <w:jc w:val="left"/>
              <w:rPr>
                <w:sz w:val="18"/>
              </w:rPr>
            </w:pPr>
            <w:r>
              <w:rPr>
                <w:color w:val="FFFFFF"/>
                <w:sz w:val="18"/>
              </w:rPr>
              <w:t>Completed Blocks</w:t>
            </w:r>
          </w:p>
        </w:tc>
        <w:tc>
          <w:tcPr>
            <w:tcW w:w="1619" w:type="dxa"/>
            <w:shd w:val="clear" w:color="auto" w:fill="69BD28"/>
          </w:tcPr>
          <w:p>
            <w:pPr>
              <w:pStyle w:val="TableParagraph"/>
              <w:jc w:val="left"/>
              <w:rPr>
                <w:rFonts w:ascii="Times New Roman"/>
                <w:sz w:val="18"/>
              </w:rPr>
            </w:pPr>
          </w:p>
        </w:tc>
        <w:tc>
          <w:tcPr>
            <w:tcW w:w="2234" w:type="dxa"/>
            <w:shd w:val="clear" w:color="auto" w:fill="69BD28"/>
          </w:tcPr>
          <w:p>
            <w:pPr>
              <w:pStyle w:val="TableParagraph"/>
              <w:jc w:val="left"/>
              <w:rPr>
                <w:rFonts w:ascii="Times New Roman"/>
                <w:sz w:val="18"/>
              </w:rPr>
            </w:pPr>
          </w:p>
        </w:tc>
      </w:tr>
      <w:tr>
        <w:trPr>
          <w:trHeight w:val="254" w:hRule="atLeast"/>
        </w:trPr>
        <w:tc>
          <w:tcPr>
            <w:tcW w:w="2317" w:type="dxa"/>
            <w:tcBorders>
              <w:bottom w:val="single" w:sz="6" w:space="0" w:color="69BD28"/>
            </w:tcBorders>
          </w:tcPr>
          <w:p>
            <w:pPr>
              <w:pStyle w:val="TableParagraph"/>
              <w:spacing w:before="23"/>
              <w:ind w:left="904" w:right="763"/>
              <w:rPr>
                <w:sz w:val="18"/>
              </w:rPr>
            </w:pPr>
            <w:r>
              <w:rPr>
                <w:w w:val="105"/>
                <w:sz w:val="18"/>
              </w:rPr>
              <w:t>Block 1</w:t>
            </w:r>
          </w:p>
        </w:tc>
        <w:tc>
          <w:tcPr>
            <w:tcW w:w="1969" w:type="dxa"/>
            <w:tcBorders>
              <w:bottom w:val="single" w:sz="6" w:space="0" w:color="69BD28"/>
            </w:tcBorders>
          </w:tcPr>
          <w:p>
            <w:pPr>
              <w:pStyle w:val="TableParagraph"/>
              <w:spacing w:before="23"/>
              <w:ind w:left="775" w:right="234"/>
              <w:rPr>
                <w:sz w:val="18"/>
              </w:rPr>
            </w:pPr>
            <w:r>
              <w:rPr>
                <w:w w:val="125"/>
                <w:sz w:val="18"/>
              </w:rPr>
              <w:t>LG+UG+5</w:t>
            </w:r>
          </w:p>
        </w:tc>
        <w:tc>
          <w:tcPr>
            <w:tcW w:w="2345" w:type="dxa"/>
            <w:tcBorders>
              <w:bottom w:val="single" w:sz="6" w:space="0" w:color="69BD28"/>
            </w:tcBorders>
          </w:tcPr>
          <w:p>
            <w:pPr>
              <w:pStyle w:val="TableParagraph"/>
              <w:spacing w:before="23"/>
              <w:ind w:left="1158" w:right="864"/>
              <w:rPr>
                <w:sz w:val="18"/>
              </w:rPr>
            </w:pPr>
            <w:r>
              <w:rPr>
                <w:sz w:val="18"/>
              </w:rPr>
              <w:t>SEZ</w:t>
            </w:r>
          </w:p>
        </w:tc>
        <w:tc>
          <w:tcPr>
            <w:tcW w:w="1619" w:type="dxa"/>
            <w:tcBorders>
              <w:bottom w:val="single" w:sz="6" w:space="0" w:color="69BD28"/>
            </w:tcBorders>
          </w:tcPr>
          <w:p>
            <w:pPr>
              <w:pStyle w:val="TableParagraph"/>
              <w:spacing w:before="23"/>
              <w:ind w:left="678"/>
              <w:jc w:val="left"/>
              <w:rPr>
                <w:sz w:val="18"/>
              </w:rPr>
            </w:pPr>
            <w:r>
              <w:rPr>
                <w:w w:val="110"/>
                <w:sz w:val="18"/>
              </w:rPr>
              <w:t>12</w:t>
            </w:r>
          </w:p>
        </w:tc>
        <w:tc>
          <w:tcPr>
            <w:tcW w:w="2234" w:type="dxa"/>
            <w:tcBorders>
              <w:bottom w:val="single" w:sz="6" w:space="0" w:color="69BD28"/>
            </w:tcBorders>
          </w:tcPr>
          <w:p>
            <w:pPr>
              <w:pStyle w:val="TableParagraph"/>
              <w:spacing w:before="23"/>
              <w:ind w:left="717" w:right="642"/>
              <w:rPr>
                <w:sz w:val="18"/>
              </w:rPr>
            </w:pPr>
            <w:r>
              <w:rPr>
                <w:w w:val="110"/>
                <w:sz w:val="18"/>
              </w:rPr>
              <w:t>439,124</w:t>
            </w:r>
          </w:p>
        </w:tc>
      </w:tr>
      <w:tr>
        <w:trPr>
          <w:trHeight w:val="256" w:hRule="atLeast"/>
        </w:trPr>
        <w:tc>
          <w:tcPr>
            <w:tcW w:w="2317" w:type="dxa"/>
            <w:tcBorders>
              <w:top w:val="single" w:sz="6" w:space="0" w:color="69BD28"/>
              <w:bottom w:val="single" w:sz="6" w:space="0" w:color="69BD28"/>
            </w:tcBorders>
          </w:tcPr>
          <w:p>
            <w:pPr>
              <w:pStyle w:val="TableParagraph"/>
              <w:spacing w:before="25"/>
              <w:ind w:left="904" w:right="763"/>
              <w:rPr>
                <w:sz w:val="18"/>
              </w:rPr>
            </w:pPr>
            <w:r>
              <w:rPr>
                <w:w w:val="105"/>
                <w:sz w:val="18"/>
              </w:rPr>
              <w:t>Block 2</w:t>
            </w:r>
          </w:p>
        </w:tc>
        <w:tc>
          <w:tcPr>
            <w:tcW w:w="1969" w:type="dxa"/>
            <w:tcBorders>
              <w:top w:val="single" w:sz="6" w:space="0" w:color="69BD28"/>
              <w:bottom w:val="single" w:sz="6" w:space="0" w:color="69BD28"/>
            </w:tcBorders>
          </w:tcPr>
          <w:p>
            <w:pPr>
              <w:pStyle w:val="TableParagraph"/>
              <w:spacing w:before="25"/>
              <w:ind w:left="775" w:right="234"/>
              <w:rPr>
                <w:sz w:val="18"/>
              </w:rPr>
            </w:pPr>
            <w:r>
              <w:rPr>
                <w:w w:val="125"/>
                <w:sz w:val="18"/>
              </w:rPr>
              <w:t>LG+UG+4</w:t>
            </w:r>
          </w:p>
        </w:tc>
        <w:tc>
          <w:tcPr>
            <w:tcW w:w="2345" w:type="dxa"/>
            <w:tcBorders>
              <w:top w:val="single" w:sz="6" w:space="0" w:color="69BD28"/>
              <w:bottom w:val="single" w:sz="6" w:space="0" w:color="69BD28"/>
            </w:tcBorders>
          </w:tcPr>
          <w:p>
            <w:pPr>
              <w:pStyle w:val="TableParagraph"/>
              <w:spacing w:before="25"/>
              <w:ind w:left="1158" w:right="864"/>
              <w:rPr>
                <w:sz w:val="18"/>
              </w:rPr>
            </w:pPr>
            <w:r>
              <w:rPr>
                <w:sz w:val="18"/>
              </w:rPr>
              <w:t>SEZ</w:t>
            </w:r>
          </w:p>
        </w:tc>
        <w:tc>
          <w:tcPr>
            <w:tcW w:w="1619" w:type="dxa"/>
            <w:tcBorders>
              <w:top w:val="single" w:sz="6" w:space="0" w:color="69BD28"/>
              <w:bottom w:val="single" w:sz="6" w:space="0" w:color="69BD28"/>
            </w:tcBorders>
          </w:tcPr>
          <w:p>
            <w:pPr>
              <w:pStyle w:val="TableParagraph"/>
              <w:spacing w:before="25"/>
              <w:ind w:left="678"/>
              <w:jc w:val="left"/>
              <w:rPr>
                <w:sz w:val="18"/>
              </w:rPr>
            </w:pPr>
            <w:r>
              <w:rPr>
                <w:w w:val="110"/>
                <w:sz w:val="18"/>
              </w:rPr>
              <w:t>12</w:t>
            </w:r>
          </w:p>
        </w:tc>
        <w:tc>
          <w:tcPr>
            <w:tcW w:w="2234" w:type="dxa"/>
            <w:tcBorders>
              <w:top w:val="single" w:sz="6" w:space="0" w:color="69BD28"/>
              <w:bottom w:val="single" w:sz="6" w:space="0" w:color="69BD28"/>
            </w:tcBorders>
          </w:tcPr>
          <w:p>
            <w:pPr>
              <w:pStyle w:val="TableParagraph"/>
              <w:spacing w:before="25"/>
              <w:ind w:left="717" w:right="642"/>
              <w:rPr>
                <w:sz w:val="18"/>
              </w:rPr>
            </w:pPr>
            <w:r>
              <w:rPr>
                <w:w w:val="110"/>
                <w:sz w:val="18"/>
              </w:rPr>
              <w:t>366,861</w:t>
            </w:r>
          </w:p>
        </w:tc>
      </w:tr>
      <w:tr>
        <w:trPr>
          <w:trHeight w:val="253" w:hRule="atLeast"/>
        </w:trPr>
        <w:tc>
          <w:tcPr>
            <w:tcW w:w="2317" w:type="dxa"/>
            <w:tcBorders>
              <w:top w:val="single" w:sz="6" w:space="0" w:color="69BD28"/>
              <w:bottom w:val="single" w:sz="6" w:space="0" w:color="69BD28"/>
            </w:tcBorders>
          </w:tcPr>
          <w:p>
            <w:pPr>
              <w:pStyle w:val="TableParagraph"/>
              <w:spacing w:before="22"/>
              <w:ind w:left="904" w:right="763"/>
              <w:rPr>
                <w:sz w:val="18"/>
              </w:rPr>
            </w:pPr>
            <w:r>
              <w:rPr>
                <w:w w:val="105"/>
                <w:sz w:val="18"/>
              </w:rPr>
              <w:t>Block 3</w:t>
            </w:r>
          </w:p>
        </w:tc>
        <w:tc>
          <w:tcPr>
            <w:tcW w:w="1969" w:type="dxa"/>
            <w:tcBorders>
              <w:top w:val="single" w:sz="6" w:space="0" w:color="69BD28"/>
              <w:bottom w:val="single" w:sz="6" w:space="0" w:color="69BD28"/>
            </w:tcBorders>
          </w:tcPr>
          <w:p>
            <w:pPr>
              <w:pStyle w:val="TableParagraph"/>
              <w:spacing w:before="22"/>
              <w:ind w:left="775" w:right="234"/>
              <w:rPr>
                <w:sz w:val="18"/>
              </w:rPr>
            </w:pPr>
            <w:r>
              <w:rPr>
                <w:w w:val="125"/>
                <w:sz w:val="18"/>
              </w:rPr>
              <w:t>LG+UG+5</w:t>
            </w:r>
          </w:p>
        </w:tc>
        <w:tc>
          <w:tcPr>
            <w:tcW w:w="2345" w:type="dxa"/>
            <w:tcBorders>
              <w:top w:val="single" w:sz="6" w:space="0" w:color="69BD28"/>
              <w:bottom w:val="single" w:sz="6" w:space="0" w:color="69BD28"/>
            </w:tcBorders>
          </w:tcPr>
          <w:p>
            <w:pPr>
              <w:pStyle w:val="TableParagraph"/>
              <w:spacing w:before="22"/>
              <w:ind w:left="1158" w:right="864"/>
              <w:rPr>
                <w:sz w:val="18"/>
              </w:rPr>
            </w:pPr>
            <w:r>
              <w:rPr>
                <w:sz w:val="18"/>
              </w:rPr>
              <w:t>SEZ</w:t>
            </w:r>
          </w:p>
        </w:tc>
        <w:tc>
          <w:tcPr>
            <w:tcW w:w="1619" w:type="dxa"/>
            <w:tcBorders>
              <w:top w:val="single" w:sz="6" w:space="0" w:color="69BD28"/>
              <w:bottom w:val="single" w:sz="6" w:space="0" w:color="69BD28"/>
            </w:tcBorders>
          </w:tcPr>
          <w:p>
            <w:pPr>
              <w:pStyle w:val="TableParagraph"/>
              <w:spacing w:before="22"/>
              <w:ind w:left="678"/>
              <w:jc w:val="left"/>
              <w:rPr>
                <w:sz w:val="18"/>
              </w:rPr>
            </w:pPr>
            <w:r>
              <w:rPr>
                <w:w w:val="110"/>
                <w:sz w:val="18"/>
              </w:rPr>
              <w:t>11</w:t>
            </w:r>
          </w:p>
        </w:tc>
        <w:tc>
          <w:tcPr>
            <w:tcW w:w="2234" w:type="dxa"/>
            <w:tcBorders>
              <w:top w:val="single" w:sz="6" w:space="0" w:color="69BD28"/>
              <w:bottom w:val="single" w:sz="6" w:space="0" w:color="69BD28"/>
            </w:tcBorders>
          </w:tcPr>
          <w:p>
            <w:pPr>
              <w:pStyle w:val="TableParagraph"/>
              <w:spacing w:before="22"/>
              <w:ind w:left="717" w:right="642"/>
              <w:rPr>
                <w:sz w:val="18"/>
              </w:rPr>
            </w:pPr>
            <w:r>
              <w:rPr>
                <w:w w:val="110"/>
                <w:sz w:val="18"/>
              </w:rPr>
              <w:t>471,893</w:t>
            </w:r>
          </w:p>
        </w:tc>
      </w:tr>
      <w:tr>
        <w:trPr>
          <w:trHeight w:val="256" w:hRule="atLeast"/>
        </w:trPr>
        <w:tc>
          <w:tcPr>
            <w:tcW w:w="2317" w:type="dxa"/>
            <w:tcBorders>
              <w:top w:val="single" w:sz="6" w:space="0" w:color="69BD28"/>
              <w:bottom w:val="single" w:sz="6" w:space="0" w:color="69BD28"/>
            </w:tcBorders>
          </w:tcPr>
          <w:p>
            <w:pPr>
              <w:pStyle w:val="TableParagraph"/>
              <w:spacing w:before="25"/>
              <w:ind w:left="904" w:right="763"/>
              <w:rPr>
                <w:sz w:val="18"/>
              </w:rPr>
            </w:pPr>
            <w:r>
              <w:rPr>
                <w:w w:val="105"/>
                <w:sz w:val="18"/>
              </w:rPr>
              <w:t>Block 4</w:t>
            </w:r>
          </w:p>
        </w:tc>
        <w:tc>
          <w:tcPr>
            <w:tcW w:w="1969" w:type="dxa"/>
            <w:tcBorders>
              <w:top w:val="single" w:sz="6" w:space="0" w:color="69BD28"/>
              <w:bottom w:val="single" w:sz="6" w:space="0" w:color="69BD28"/>
            </w:tcBorders>
          </w:tcPr>
          <w:p>
            <w:pPr>
              <w:pStyle w:val="TableParagraph"/>
              <w:spacing w:before="25"/>
              <w:ind w:left="775" w:right="234"/>
              <w:rPr>
                <w:sz w:val="18"/>
              </w:rPr>
            </w:pPr>
            <w:r>
              <w:rPr>
                <w:w w:val="120"/>
                <w:sz w:val="18"/>
              </w:rPr>
              <w:t>LG+10</w:t>
            </w:r>
          </w:p>
        </w:tc>
        <w:tc>
          <w:tcPr>
            <w:tcW w:w="2345" w:type="dxa"/>
            <w:tcBorders>
              <w:top w:val="single" w:sz="6" w:space="0" w:color="69BD28"/>
              <w:bottom w:val="single" w:sz="6" w:space="0" w:color="69BD28"/>
            </w:tcBorders>
          </w:tcPr>
          <w:p>
            <w:pPr>
              <w:pStyle w:val="TableParagraph"/>
              <w:spacing w:before="25"/>
              <w:ind w:left="1158" w:right="864"/>
              <w:rPr>
                <w:sz w:val="18"/>
              </w:rPr>
            </w:pPr>
            <w:r>
              <w:rPr>
                <w:sz w:val="18"/>
              </w:rPr>
              <w:t>SEZ</w:t>
            </w:r>
          </w:p>
        </w:tc>
        <w:tc>
          <w:tcPr>
            <w:tcW w:w="1619" w:type="dxa"/>
            <w:tcBorders>
              <w:top w:val="single" w:sz="6" w:space="0" w:color="69BD28"/>
              <w:bottom w:val="single" w:sz="6" w:space="0" w:color="69BD28"/>
            </w:tcBorders>
          </w:tcPr>
          <w:p>
            <w:pPr>
              <w:pStyle w:val="TableParagraph"/>
              <w:spacing w:before="25"/>
              <w:ind w:left="731"/>
              <w:jc w:val="left"/>
              <w:rPr>
                <w:sz w:val="18"/>
              </w:rPr>
            </w:pPr>
            <w:r>
              <w:rPr>
                <w:w w:val="112"/>
                <w:sz w:val="18"/>
              </w:rPr>
              <w:t>9</w:t>
            </w:r>
          </w:p>
        </w:tc>
        <w:tc>
          <w:tcPr>
            <w:tcW w:w="2234" w:type="dxa"/>
            <w:tcBorders>
              <w:top w:val="single" w:sz="6" w:space="0" w:color="69BD28"/>
              <w:bottom w:val="single" w:sz="6" w:space="0" w:color="69BD28"/>
            </w:tcBorders>
          </w:tcPr>
          <w:p>
            <w:pPr>
              <w:pStyle w:val="TableParagraph"/>
              <w:spacing w:before="25"/>
              <w:ind w:left="717" w:right="642"/>
              <w:rPr>
                <w:sz w:val="18"/>
              </w:rPr>
            </w:pPr>
            <w:r>
              <w:rPr>
                <w:w w:val="110"/>
                <w:sz w:val="18"/>
              </w:rPr>
              <w:t>616,796</w:t>
            </w:r>
          </w:p>
        </w:tc>
      </w:tr>
      <w:tr>
        <w:trPr>
          <w:trHeight w:val="254" w:hRule="atLeast"/>
        </w:trPr>
        <w:tc>
          <w:tcPr>
            <w:tcW w:w="2317" w:type="dxa"/>
            <w:tcBorders>
              <w:top w:val="single" w:sz="6" w:space="0" w:color="69BD28"/>
              <w:bottom w:val="single" w:sz="6" w:space="0" w:color="69BD28"/>
            </w:tcBorders>
          </w:tcPr>
          <w:p>
            <w:pPr>
              <w:pStyle w:val="TableParagraph"/>
              <w:spacing w:before="23"/>
              <w:ind w:left="902" w:right="763"/>
              <w:rPr>
                <w:sz w:val="18"/>
              </w:rPr>
            </w:pPr>
            <w:r>
              <w:rPr>
                <w:sz w:val="18"/>
              </w:rPr>
              <w:t>Total</w:t>
            </w:r>
          </w:p>
        </w:tc>
        <w:tc>
          <w:tcPr>
            <w:tcW w:w="1969" w:type="dxa"/>
            <w:tcBorders>
              <w:top w:val="single" w:sz="6" w:space="0" w:color="69BD28"/>
              <w:bottom w:val="single" w:sz="6" w:space="0" w:color="69BD28"/>
            </w:tcBorders>
          </w:tcPr>
          <w:p>
            <w:pPr>
              <w:pStyle w:val="TableParagraph"/>
              <w:jc w:val="left"/>
              <w:rPr>
                <w:rFonts w:ascii="Times New Roman"/>
                <w:sz w:val="18"/>
              </w:rPr>
            </w:pPr>
          </w:p>
        </w:tc>
        <w:tc>
          <w:tcPr>
            <w:tcW w:w="2345" w:type="dxa"/>
            <w:tcBorders>
              <w:top w:val="single" w:sz="6" w:space="0" w:color="69BD28"/>
              <w:bottom w:val="single" w:sz="6" w:space="0" w:color="69BD28"/>
            </w:tcBorders>
          </w:tcPr>
          <w:p>
            <w:pPr>
              <w:pStyle w:val="TableParagraph"/>
              <w:jc w:val="left"/>
              <w:rPr>
                <w:rFonts w:ascii="Times New Roman"/>
                <w:sz w:val="18"/>
              </w:rPr>
            </w:pPr>
          </w:p>
        </w:tc>
        <w:tc>
          <w:tcPr>
            <w:tcW w:w="1619" w:type="dxa"/>
            <w:tcBorders>
              <w:top w:val="single" w:sz="6" w:space="0" w:color="69BD28"/>
              <w:bottom w:val="single" w:sz="6" w:space="0" w:color="69BD28"/>
            </w:tcBorders>
          </w:tcPr>
          <w:p>
            <w:pPr>
              <w:pStyle w:val="TableParagraph"/>
              <w:jc w:val="left"/>
              <w:rPr>
                <w:rFonts w:ascii="Times New Roman"/>
                <w:sz w:val="18"/>
              </w:rPr>
            </w:pPr>
          </w:p>
        </w:tc>
        <w:tc>
          <w:tcPr>
            <w:tcW w:w="2234" w:type="dxa"/>
            <w:tcBorders>
              <w:top w:val="single" w:sz="6" w:space="0" w:color="69BD28"/>
              <w:bottom w:val="single" w:sz="6" w:space="0" w:color="69BD28"/>
            </w:tcBorders>
          </w:tcPr>
          <w:p>
            <w:pPr>
              <w:pStyle w:val="TableParagraph"/>
              <w:spacing w:before="23"/>
              <w:ind w:left="719" w:right="642"/>
              <w:rPr>
                <w:sz w:val="18"/>
              </w:rPr>
            </w:pPr>
            <w:r>
              <w:rPr>
                <w:w w:val="105"/>
                <w:sz w:val="18"/>
              </w:rPr>
              <w:t>1,894,674</w:t>
            </w:r>
          </w:p>
        </w:tc>
      </w:tr>
    </w:tbl>
    <w:p>
      <w:pPr>
        <w:spacing w:before="0"/>
        <w:ind w:left="260" w:right="0" w:firstLine="0"/>
        <w:jc w:val="left"/>
        <w:rPr>
          <w:i/>
          <w:sz w:val="18"/>
        </w:rPr>
      </w:pPr>
      <w:r>
        <w:rPr>
          <w:i/>
          <w:sz w:val="18"/>
        </w:rPr>
        <w:t>Source: Rent roll, Occupancy Certificate provided by Client;</w:t>
      </w:r>
    </w:p>
    <w:p>
      <w:pPr>
        <w:pStyle w:val="BodyText"/>
        <w:spacing w:before="1"/>
        <w:rPr>
          <w:i/>
          <w:sz w:val="23"/>
        </w:rPr>
      </w:pPr>
      <w:r>
        <w:rPr/>
        <w:pict>
          <v:group style="position:absolute;margin-left:36pt;margin-top:15.40049pt;width:523.6pt;height:23.2pt;mso-position-horizontal-relative:page;mso-position-vertical-relative:paragraph;z-index:-15277568;mso-wrap-distance-left:0;mso-wrap-distance-right:0" coordorigin="720,308" coordsize="10472,464">
            <v:shape style="position:absolute;left:720;top:324;width:10472;height:432" coordorigin="720,325" coordsize="10472,432" path="m8711,325l6232,325,3752,325,720,325,720,757,3752,757,6232,757,8711,757,8711,325xm11191,325l8712,325,8712,757,11191,757,11191,325xe" filled="true" fillcolor="#006a4d" stroked="false">
              <v:path arrowok="t"/>
              <v:fill type="solid"/>
            </v:shape>
            <v:shape style="position:absolute;left:720;top:308;width:10472;height:464" coordorigin="720,308" coordsize="10472,464" path="m8711,757l6246,757,6232,757,3767,757,3752,757,720,757,720,771,3752,771,3767,771,6232,771,6246,771,8711,771,8711,757xm8711,308l6246,308,6232,308,3767,308,3752,308,720,308,720,322,3752,322,3767,322,6232,322,6246,322,8711,322,8711,308xm11191,757l8726,757,8712,757,8712,771,8726,771,11191,771,11191,757xm11191,308l8726,308,8712,308,8712,322,8726,322,11191,322,11191,308xe" filled="true" fillcolor="#69bd28" stroked="false">
              <v:path arrowok="t"/>
              <v:fill type="solid"/>
            </v:shape>
            <v:shape style="position:absolute;left:1920;top:432;width:650;height:216" type="#_x0000_t202" filled="false" stroked="false">
              <v:textbox inset="0,0,0,0">
                <w:txbxContent>
                  <w:p>
                    <w:pPr>
                      <w:spacing w:before="4"/>
                      <w:ind w:left="0" w:right="0" w:firstLine="0"/>
                      <w:jc w:val="left"/>
                      <w:rPr>
                        <w:b/>
                        <w:sz w:val="18"/>
                      </w:rPr>
                    </w:pPr>
                    <w:r>
                      <w:rPr>
                        <w:b/>
                        <w:color w:val="FFFFFF"/>
                        <w:w w:val="110"/>
                        <w:sz w:val="18"/>
                      </w:rPr>
                      <w:t>Details</w:t>
                    </w:r>
                  </w:p>
                </w:txbxContent>
              </v:textbox>
              <w10:wrap type="none"/>
            </v:shape>
            <v:shape style="position:absolute;left:4189;top:432;width:1629;height:216" type="#_x0000_t202" filled="false" stroked="false">
              <v:textbox inset="0,0,0,0">
                <w:txbxContent>
                  <w:p>
                    <w:pPr>
                      <w:spacing w:before="4"/>
                      <w:ind w:left="0" w:right="0" w:firstLine="0"/>
                      <w:jc w:val="left"/>
                      <w:rPr>
                        <w:b/>
                        <w:sz w:val="18"/>
                      </w:rPr>
                    </w:pPr>
                    <w:r>
                      <w:rPr>
                        <w:b/>
                        <w:color w:val="FFFFFF"/>
                        <w:w w:val="110"/>
                        <w:sz w:val="18"/>
                      </w:rPr>
                      <w:t>Completed</w:t>
                    </w:r>
                    <w:r>
                      <w:rPr>
                        <w:b/>
                        <w:color w:val="FFFFFF"/>
                        <w:spacing w:val="-28"/>
                        <w:w w:val="110"/>
                        <w:sz w:val="18"/>
                      </w:rPr>
                      <w:t> </w:t>
                    </w:r>
                    <w:r>
                      <w:rPr>
                        <w:b/>
                        <w:color w:val="FFFFFF"/>
                        <w:w w:val="110"/>
                        <w:sz w:val="18"/>
                      </w:rPr>
                      <w:t>Blocks</w:t>
                    </w:r>
                  </w:p>
                </w:txbxContent>
              </v:textbox>
              <w10:wrap type="none"/>
            </v:shape>
            <v:shape style="position:absolute;left:6599;top:324;width:1764;height:432" type="#_x0000_t202" filled="false" stroked="false">
              <v:textbox inset="0,0,0,0">
                <w:txbxContent>
                  <w:p>
                    <w:pPr>
                      <w:spacing w:line="247" w:lineRule="auto" w:before="4"/>
                      <w:ind w:left="583" w:right="-17" w:hanging="584"/>
                      <w:jc w:val="left"/>
                      <w:rPr>
                        <w:b/>
                        <w:sz w:val="18"/>
                      </w:rPr>
                    </w:pPr>
                    <w:r>
                      <w:rPr>
                        <w:b/>
                        <w:color w:val="FFFFFF"/>
                        <w:w w:val="105"/>
                        <w:sz w:val="18"/>
                      </w:rPr>
                      <w:t>Under Construction Blocks</w:t>
                    </w:r>
                  </w:p>
                </w:txbxContent>
              </v:textbox>
              <w10:wrap type="none"/>
            </v:shape>
            <v:shape style="position:absolute;left:9122;top:432;width:1676;height:216" type="#_x0000_t202" filled="false" stroked="false">
              <v:textbox inset="0,0,0,0">
                <w:txbxContent>
                  <w:p>
                    <w:pPr>
                      <w:spacing w:before="4"/>
                      <w:ind w:left="0" w:right="0" w:firstLine="0"/>
                      <w:jc w:val="left"/>
                      <w:rPr>
                        <w:b/>
                        <w:sz w:val="18"/>
                      </w:rPr>
                    </w:pPr>
                    <w:r>
                      <w:rPr>
                        <w:b/>
                        <w:color w:val="FFFFFF"/>
                        <w:w w:val="110"/>
                        <w:sz w:val="18"/>
                      </w:rPr>
                      <w:t>Land Stage Blocks</w:t>
                    </w:r>
                  </w:p>
                </w:txbxContent>
              </v:textbox>
              <w10:wrap type="none"/>
            </v:shape>
            <w10:wrap type="topAndBottom"/>
          </v:group>
        </w:pict>
      </w:r>
    </w:p>
    <w:p>
      <w:pPr>
        <w:tabs>
          <w:tab w:pos="3266" w:val="left" w:leader="none"/>
          <w:tab w:pos="6051" w:val="left" w:leader="none"/>
          <w:tab w:pos="8531" w:val="left" w:leader="none"/>
        </w:tabs>
        <w:spacing w:before="10" w:after="39"/>
        <w:ind w:left="0" w:right="1441" w:firstLine="0"/>
        <w:jc w:val="right"/>
        <w:rPr>
          <w:sz w:val="18"/>
        </w:rPr>
      </w:pPr>
      <w:r>
        <w:rPr>
          <w:sz w:val="18"/>
        </w:rPr>
        <w:t>Grade of</w:t>
      </w:r>
      <w:r>
        <w:rPr>
          <w:spacing w:val="-13"/>
          <w:sz w:val="18"/>
        </w:rPr>
        <w:t> </w:t>
      </w:r>
      <w:r>
        <w:rPr>
          <w:sz w:val="18"/>
        </w:rPr>
        <w:t>the</w:t>
      </w:r>
      <w:r>
        <w:rPr>
          <w:spacing w:val="-6"/>
          <w:sz w:val="18"/>
        </w:rPr>
        <w:t> </w:t>
      </w:r>
      <w:r>
        <w:rPr>
          <w:sz w:val="18"/>
        </w:rPr>
        <w:t>Building</w:t>
        <w:tab/>
        <w:t>Grade</w:t>
      </w:r>
      <w:r>
        <w:rPr>
          <w:spacing w:val="9"/>
          <w:sz w:val="18"/>
        </w:rPr>
        <w:t> </w:t>
      </w:r>
      <w:r>
        <w:rPr>
          <w:sz w:val="18"/>
        </w:rPr>
        <w:t>A</w:t>
        <w:tab/>
        <w:t>-</w:t>
        <w:tab/>
      </w:r>
      <w:r>
        <w:rPr>
          <w:w w:val="95"/>
          <w:sz w:val="18"/>
        </w:rPr>
        <w:t>-</w:t>
      </w:r>
    </w:p>
    <w:p>
      <w:pPr>
        <w:pStyle w:val="BodyText"/>
        <w:spacing w:line="20" w:lineRule="exact"/>
        <w:ind w:left="260"/>
        <w:rPr>
          <w:sz w:val="2"/>
        </w:rPr>
      </w:pPr>
      <w:r>
        <w:rPr>
          <w:sz w:val="2"/>
        </w:rPr>
        <w:pict>
          <v:group style="width:523.6pt;height:.75pt;mso-position-horizontal-relative:char;mso-position-vertical-relative:line" coordorigin="0,0" coordsize="10472,15">
            <v:shape style="position:absolute;left:0;top:0;width:10472;height:15" coordorigin="0,0" coordsize="10472,15" path="m7991,0l5526,0,5512,0,3047,0,3032,0,0,0,0,14,3032,14,3047,14,5512,14,5526,14,7991,14,7991,0xm10471,0l8006,0,7992,0,7992,14,8006,14,10471,14,10471,0xe" filled="true" fillcolor="#69bd28" stroked="false">
              <v:path arrowok="t"/>
              <v:fill type="solid"/>
            </v:shape>
          </v:group>
        </w:pict>
      </w:r>
      <w:r>
        <w:rPr>
          <w:sz w:val="2"/>
        </w:rPr>
      </w:r>
    </w:p>
    <w:p>
      <w:pPr>
        <w:tabs>
          <w:tab w:pos="3295" w:val="left" w:leader="none"/>
          <w:tab w:pos="5940" w:val="left" w:leader="none"/>
          <w:tab w:pos="8421" w:val="left" w:leader="none"/>
        </w:tabs>
        <w:spacing w:before="34"/>
        <w:ind w:left="0" w:right="1441" w:firstLine="0"/>
        <w:jc w:val="right"/>
        <w:rPr>
          <w:sz w:val="18"/>
        </w:rPr>
      </w:pPr>
      <w:r>
        <w:rPr/>
        <w:pict>
          <v:shape style="position:absolute;margin-left:36pt;margin-top:14.110674pt;width:523.6pt;height:.75pt;mso-position-horizontal-relative:page;mso-position-vertical-relative:paragraph;z-index:-15276544;mso-wrap-distance-left:0;mso-wrap-distance-right:0" coordorigin="720,282" coordsize="10472,15" path="m8711,282l6246,282,6232,282,3767,282,3752,282,720,282,720,297,3752,297,3767,297,6232,297,6246,297,8711,297,8711,282xm11191,282l8726,282,8712,282,8712,297,8726,297,11191,297,11191,282xe" filled="true" fillcolor="#69bd28" stroked="false">
            <v:path arrowok="t"/>
            <v:fill type="solid"/>
            <w10:wrap type="topAndBottom"/>
          </v:shape>
        </w:pict>
      </w:r>
      <w:r>
        <w:rPr/>
        <w:pict>
          <v:shape style="position:absolute;margin-left:371.950012pt;margin-top:20.204674pt;width:127.35pt;height:10.8pt;mso-position-horizontal-relative:page;mso-position-vertical-relative:paragraph;z-index:16182784" type="#_x0000_t202" filled="false" stroked="false">
            <v:textbox inset="0,0,0,0">
              <w:txbxContent>
                <w:p>
                  <w:pPr>
                    <w:tabs>
                      <w:tab w:pos="2480" w:val="left" w:leader="none"/>
                    </w:tabs>
                    <w:spacing w:before="4"/>
                    <w:ind w:left="0" w:right="0" w:firstLine="0"/>
                    <w:jc w:val="left"/>
                    <w:rPr>
                      <w:sz w:val="18"/>
                    </w:rPr>
                  </w:pPr>
                  <w:r>
                    <w:rPr>
                      <w:sz w:val="18"/>
                    </w:rPr>
                    <w:t>-</w:t>
                    <w:tab/>
                  </w:r>
                  <w:r>
                    <w:rPr>
                      <w:spacing w:val="-20"/>
                      <w:sz w:val="18"/>
                    </w:rPr>
                    <w:t>-</w:t>
                  </w:r>
                </w:p>
              </w:txbxContent>
            </v:textbox>
            <w10:wrap type="none"/>
          </v:shape>
        </w:pict>
      </w:r>
      <w:r>
        <w:rPr>
          <w:sz w:val="18"/>
        </w:rPr>
        <w:t>LEED</w:t>
      </w:r>
      <w:r>
        <w:rPr>
          <w:spacing w:val="-25"/>
          <w:sz w:val="18"/>
        </w:rPr>
        <w:t> </w:t>
      </w:r>
      <w:r>
        <w:rPr>
          <w:sz w:val="18"/>
        </w:rPr>
        <w:t>Certification*</w:t>
        <w:tab/>
        <w:t>Gold</w:t>
        <w:tab/>
        <w:t>-</w:t>
        <w:tab/>
      </w:r>
      <w:r>
        <w:rPr>
          <w:w w:val="95"/>
          <w:sz w:val="18"/>
        </w:rPr>
        <w:t>-</w:t>
      </w:r>
    </w:p>
    <w:p>
      <w:pPr>
        <w:tabs>
          <w:tab w:pos="3496" w:val="left" w:leader="none"/>
        </w:tabs>
        <w:spacing w:line="163" w:lineRule="auto" w:before="0" w:after="15"/>
        <w:ind w:left="3897" w:right="5403" w:hanging="2787"/>
        <w:jc w:val="left"/>
        <w:rPr>
          <w:sz w:val="18"/>
        </w:rPr>
      </w:pPr>
      <w:r>
        <w:rPr>
          <w:position w:val="-10"/>
          <w:sz w:val="18"/>
        </w:rPr>
        <w:t>Structural</w:t>
      </w:r>
      <w:r>
        <w:rPr>
          <w:spacing w:val="-16"/>
          <w:position w:val="-10"/>
          <w:sz w:val="18"/>
        </w:rPr>
        <w:t> </w:t>
      </w:r>
      <w:r>
        <w:rPr>
          <w:position w:val="-10"/>
          <w:sz w:val="18"/>
        </w:rPr>
        <w:t>Design</w:t>
        <w:tab/>
      </w:r>
      <w:r>
        <w:rPr>
          <w:sz w:val="18"/>
        </w:rPr>
        <w:t>Varied (LG </w:t>
      </w:r>
      <w:r>
        <w:rPr>
          <w:w w:val="130"/>
          <w:sz w:val="18"/>
        </w:rPr>
        <w:t>+ </w:t>
      </w:r>
      <w:r>
        <w:rPr>
          <w:sz w:val="18"/>
        </w:rPr>
        <w:t>UG </w:t>
      </w:r>
      <w:r>
        <w:rPr>
          <w:w w:val="130"/>
          <w:sz w:val="18"/>
        </w:rPr>
        <w:t>+ </w:t>
      </w:r>
      <w:r>
        <w:rPr>
          <w:sz w:val="18"/>
        </w:rPr>
        <w:t>Up to 10 upper</w:t>
      </w:r>
      <w:r>
        <w:rPr>
          <w:spacing w:val="-9"/>
          <w:sz w:val="18"/>
        </w:rPr>
        <w:t> </w:t>
      </w:r>
      <w:r>
        <w:rPr>
          <w:sz w:val="18"/>
        </w:rPr>
        <w:t>floors)</w:t>
      </w:r>
    </w:p>
    <w:p>
      <w:pPr>
        <w:pStyle w:val="BodyText"/>
        <w:spacing w:line="20" w:lineRule="exact"/>
        <w:ind w:left="260"/>
        <w:rPr>
          <w:sz w:val="2"/>
        </w:rPr>
      </w:pPr>
      <w:r>
        <w:rPr>
          <w:sz w:val="2"/>
        </w:rPr>
        <w:pict>
          <v:group style="width:523.6pt;height:.75pt;mso-position-horizontal-relative:char;mso-position-vertical-relative:line" coordorigin="0,0" coordsize="10472,15">
            <v:shape style="position:absolute;left:0;top:0;width:10472;height:15" coordorigin="0,0" coordsize="10472,15" path="m7991,0l5526,0,5512,0,3047,0,3032,0,0,0,0,14,3032,14,3047,14,5512,14,5526,14,7991,14,7991,0xm10471,0l8006,0,7992,0,7992,14,8006,14,10471,14,10471,0xe" filled="true" fillcolor="#69bd28" stroked="false">
              <v:path arrowok="t"/>
              <v:fill type="solid"/>
            </v:shape>
          </v:group>
        </w:pict>
      </w:r>
      <w:r>
        <w:rPr>
          <w:sz w:val="2"/>
        </w:rPr>
      </w:r>
    </w:p>
    <w:p>
      <w:pPr>
        <w:tabs>
          <w:tab w:pos="4076" w:val="left" w:leader="none"/>
          <w:tab w:pos="6978" w:val="left" w:leader="none"/>
          <w:tab w:pos="9459" w:val="left" w:leader="none"/>
        </w:tabs>
        <w:spacing w:before="34"/>
        <w:ind w:left="1066" w:right="0" w:firstLine="0"/>
        <w:jc w:val="left"/>
        <w:rPr>
          <w:sz w:val="18"/>
        </w:rPr>
      </w:pPr>
      <w:r>
        <w:rPr/>
        <w:pict>
          <v:shape style="position:absolute;margin-left:36pt;margin-top:14.110673pt;width:523.6pt;height:.75pt;mso-position-horizontal-relative:page;mso-position-vertical-relative:paragraph;z-index:-15275520;mso-wrap-distance-left:0;mso-wrap-distance-right:0" coordorigin="720,282" coordsize="10472,15" path="m8711,282l6246,282,6232,282,3767,282,3752,282,720,282,720,297,3752,297,3767,297,6232,297,6246,297,8711,297,8711,282xm11191,282l8726,282,8712,282,8712,297,8726,297,11191,297,11191,282xe" filled="true" fillcolor="#69bd28" stroked="false">
            <v:path arrowok="t"/>
            <v:fill type="solid"/>
            <w10:wrap type="topAndBottom"/>
          </v:shape>
        </w:pict>
      </w:r>
      <w:r>
        <w:rPr>
          <w:sz w:val="18"/>
        </w:rPr>
        <w:t>Status</w:t>
      </w:r>
      <w:r>
        <w:rPr>
          <w:spacing w:val="-17"/>
          <w:sz w:val="18"/>
        </w:rPr>
        <w:t> </w:t>
      </w:r>
      <w:r>
        <w:rPr>
          <w:sz w:val="18"/>
        </w:rPr>
        <w:t>of</w:t>
      </w:r>
      <w:r>
        <w:rPr>
          <w:spacing w:val="-17"/>
          <w:sz w:val="18"/>
        </w:rPr>
        <w:t> </w:t>
      </w:r>
      <w:r>
        <w:rPr>
          <w:sz w:val="18"/>
        </w:rPr>
        <w:t>Finishing</w:t>
        <w:tab/>
        <w:t>Warm</w:t>
      </w:r>
      <w:r>
        <w:rPr>
          <w:spacing w:val="-2"/>
          <w:sz w:val="18"/>
        </w:rPr>
        <w:t> </w:t>
      </w:r>
      <w:r>
        <w:rPr>
          <w:sz w:val="18"/>
        </w:rPr>
        <w:t>Shell</w:t>
        <w:tab/>
        <w:t>-</w:t>
        <w:tab/>
        <w:t>-</w:t>
      </w:r>
    </w:p>
    <w:p>
      <w:pPr>
        <w:tabs>
          <w:tab w:pos="3419" w:val="left" w:leader="none"/>
        </w:tabs>
        <w:spacing w:line="153" w:lineRule="auto" w:before="0"/>
        <w:ind w:left="649" w:right="0" w:firstLine="0"/>
        <w:jc w:val="left"/>
        <w:rPr>
          <w:sz w:val="18"/>
        </w:rPr>
      </w:pPr>
      <w:r>
        <w:rPr>
          <w:position w:val="-10"/>
          <w:sz w:val="18"/>
        </w:rPr>
        <w:t>Comments</w:t>
      </w:r>
      <w:r>
        <w:rPr>
          <w:spacing w:val="-2"/>
          <w:position w:val="-10"/>
          <w:sz w:val="18"/>
        </w:rPr>
        <w:t> </w:t>
      </w:r>
      <w:r>
        <w:rPr>
          <w:position w:val="-10"/>
          <w:sz w:val="18"/>
        </w:rPr>
        <w:t>on</w:t>
      </w:r>
      <w:r>
        <w:rPr>
          <w:spacing w:val="2"/>
          <w:position w:val="-10"/>
          <w:sz w:val="18"/>
        </w:rPr>
        <w:t> </w:t>
      </w:r>
      <w:r>
        <w:rPr>
          <w:position w:val="-10"/>
          <w:sz w:val="18"/>
        </w:rPr>
        <w:t>Obsolescence</w:t>
        <w:tab/>
      </w:r>
      <w:r>
        <w:rPr>
          <w:sz w:val="18"/>
        </w:rPr>
        <w:t>The building is currently</w:t>
      </w:r>
      <w:r>
        <w:rPr>
          <w:spacing w:val="-10"/>
          <w:sz w:val="18"/>
        </w:rPr>
        <w:t> </w:t>
      </w:r>
      <w:r>
        <w:rPr>
          <w:sz w:val="18"/>
        </w:rPr>
        <w:t>well</w:t>
      </w:r>
    </w:p>
    <w:p>
      <w:pPr>
        <w:spacing w:line="156" w:lineRule="exact" w:before="0" w:after="6"/>
        <w:ind w:left="107" w:right="2011" w:firstLine="0"/>
        <w:jc w:val="center"/>
        <w:rPr>
          <w:sz w:val="18"/>
        </w:rPr>
      </w:pPr>
      <w:r>
        <w:rPr/>
        <w:pict>
          <v:shape style="position:absolute;margin-left:371.950012pt;margin-top:-8.260697pt;width:127.35pt;height:10.8pt;mso-position-horizontal-relative:page;mso-position-vertical-relative:paragraph;z-index:16183296" type="#_x0000_t202" filled="false" stroked="false">
            <v:textbox inset="0,0,0,0">
              <w:txbxContent>
                <w:p>
                  <w:pPr>
                    <w:tabs>
                      <w:tab w:pos="2480" w:val="left" w:leader="none"/>
                    </w:tabs>
                    <w:spacing w:before="4"/>
                    <w:ind w:left="0" w:right="0" w:firstLine="0"/>
                    <w:jc w:val="left"/>
                    <w:rPr>
                      <w:sz w:val="18"/>
                    </w:rPr>
                  </w:pPr>
                  <w:r>
                    <w:rPr>
                      <w:sz w:val="18"/>
                    </w:rPr>
                    <w:t>-</w:t>
                    <w:tab/>
                  </w:r>
                  <w:r>
                    <w:rPr>
                      <w:spacing w:val="-20"/>
                      <w:sz w:val="18"/>
                    </w:rPr>
                    <w:t>-</w:t>
                  </w:r>
                </w:p>
              </w:txbxContent>
            </v:textbox>
            <w10:wrap type="none"/>
          </v:shape>
        </w:pict>
      </w:r>
      <w:r>
        <w:rPr>
          <w:sz w:val="18"/>
        </w:rPr>
        <w:t>maintained</w:t>
      </w:r>
    </w:p>
    <w:p>
      <w:pPr>
        <w:pStyle w:val="BodyText"/>
        <w:spacing w:line="20" w:lineRule="exact"/>
        <w:ind w:left="245"/>
        <w:rPr>
          <w:sz w:val="2"/>
        </w:rPr>
      </w:pPr>
      <w:r>
        <w:rPr>
          <w:sz w:val="2"/>
        </w:rPr>
        <w:pict>
          <v:group style="width:524.3pt;height:.75pt;mso-position-horizontal-relative:char;mso-position-vertical-relative:line" coordorigin="0,0" coordsize="10486,15">
            <v:shape style="position:absolute;left:0;top:0;width:10486;height:15" coordorigin="0,0" coordsize="10486,15" path="m8006,0l8006,0,7992,0,5526,0,5512,0,3047,0,3047,0,3032,0,0,0,0,14,3032,14,3047,14,3047,14,5512,14,5526,14,7992,14,8006,14,8006,14,8006,0xm10486,0l8006,0,8006,14,10486,14,10486,0xe" filled="true" fillcolor="#69bd28" stroked="false">
              <v:path arrowok="t"/>
              <v:fill type="solid"/>
            </v:shape>
          </v:group>
        </w:pict>
      </w:r>
      <w:r>
        <w:rPr>
          <w:sz w:val="2"/>
        </w:rPr>
      </w:r>
    </w:p>
    <w:p>
      <w:pPr>
        <w:spacing w:before="0"/>
        <w:ind w:left="107" w:right="6326" w:firstLine="0"/>
        <w:jc w:val="center"/>
        <w:rPr>
          <w:i/>
          <w:sz w:val="18"/>
        </w:rPr>
      </w:pPr>
      <w:r>
        <w:rPr>
          <w:i/>
          <w:sz w:val="18"/>
        </w:rPr>
        <w:t>Source: Client, *U.S. Green Building Council certificate</w:t>
      </w:r>
    </w:p>
    <w:p>
      <w:pPr>
        <w:spacing w:after="0"/>
        <w:jc w:val="center"/>
        <w:rPr>
          <w:sz w:val="18"/>
        </w:rPr>
        <w:sectPr>
          <w:type w:val="continuous"/>
          <w:pgSz w:w="11910" w:h="16840"/>
          <w:pgMar w:top="800" w:bottom="280" w:left="460" w:right="480"/>
        </w:sectPr>
      </w:pPr>
    </w:p>
    <w:p>
      <w:pPr>
        <w:pStyle w:val="BodyText"/>
        <w:spacing w:before="7"/>
        <w:rPr>
          <w:i/>
          <w:sz w:val="9"/>
        </w:rPr>
      </w:pPr>
    </w:p>
    <w:p>
      <w:pPr>
        <w:pStyle w:val="ListParagraph"/>
        <w:numPr>
          <w:ilvl w:val="2"/>
          <w:numId w:val="14"/>
        </w:numPr>
        <w:tabs>
          <w:tab w:pos="981" w:val="left" w:leader="none"/>
        </w:tabs>
        <w:spacing w:line="240" w:lineRule="auto" w:before="106" w:after="0"/>
        <w:ind w:left="980" w:right="0" w:hanging="721"/>
        <w:jc w:val="left"/>
        <w:rPr>
          <w:sz w:val="22"/>
        </w:rPr>
      </w:pPr>
      <w:bookmarkStart w:name="_bookmark191" w:id="372"/>
      <w:bookmarkEnd w:id="372"/>
      <w:r>
        <w:rPr/>
      </w:r>
      <w:bookmarkStart w:name="_bookmark191" w:id="373"/>
      <w:bookmarkEnd w:id="373"/>
      <w:r>
        <w:rPr>
          <w:color w:val="1F664D"/>
          <w:sz w:val="22"/>
        </w:rPr>
        <w:t>S</w:t>
      </w:r>
      <w:r>
        <w:rPr>
          <w:color w:val="1F664D"/>
          <w:sz w:val="22"/>
        </w:rPr>
        <w:t>ite Services and</w:t>
      </w:r>
      <w:r>
        <w:rPr>
          <w:color w:val="1F664D"/>
          <w:spacing w:val="-4"/>
          <w:sz w:val="22"/>
        </w:rPr>
        <w:t> </w:t>
      </w:r>
      <w:r>
        <w:rPr>
          <w:color w:val="1F664D"/>
          <w:sz w:val="22"/>
        </w:rPr>
        <w:t>Finishes</w:t>
      </w:r>
    </w:p>
    <w:p>
      <w:pPr>
        <w:pStyle w:val="BodyText"/>
        <w:spacing w:before="2"/>
        <w:rPr>
          <w:sz w:val="14"/>
        </w:rPr>
      </w:pPr>
      <w:r>
        <w:rPr/>
        <w:pict>
          <v:group style="position:absolute;margin-left:35.279999pt;margin-top:10.184435pt;width:524.3pt;height:15.85pt;mso-position-horizontal-relative:page;mso-position-vertical-relative:paragraph;z-index:-15272960;mso-wrap-distance-left:0;mso-wrap-distance-right:0" coordorigin="706,204" coordsize="10486,317">
            <v:shape style="position:absolute;left:720;top:218;width:10472;height:288" coordorigin="720,218" coordsize="10472,288" path="m11191,218l6253,218,720,218,720,506,6253,506,11191,506,11191,218xe" filled="true" fillcolor="#006a4d" stroked="false">
              <v:path arrowok="t"/>
              <v:fill type="solid"/>
            </v:shape>
            <v:shape style="position:absolute;left:720;top:203;width:10472;height:317" coordorigin="720,204" coordsize="10472,317" path="m11191,506l6268,506,6253,506,720,506,720,520,6253,520,6268,520,11191,520,11191,506xm11191,204l6268,204,6253,204,720,204,720,218,6253,218,6268,218,11191,218,11191,204xe" filled="true" fillcolor="#69bd28" stroked="false">
              <v:path arrowok="t"/>
              <v:fill type="solid"/>
            </v:shape>
            <v:shape style="position:absolute;left:705;top:218;width:10486;height:288" type="#_x0000_t202" filled="false" stroked="false">
              <v:textbox inset="0,0,0,0">
                <w:txbxContent>
                  <w:p>
                    <w:pPr>
                      <w:tabs>
                        <w:tab w:pos="5550" w:val="left" w:leader="none"/>
                      </w:tabs>
                      <w:spacing w:before="39"/>
                      <w:ind w:left="142" w:right="0" w:firstLine="0"/>
                      <w:jc w:val="center"/>
                      <w:rPr>
                        <w:b/>
                        <w:sz w:val="18"/>
                      </w:rPr>
                    </w:pPr>
                    <w:r>
                      <w:rPr>
                        <w:b/>
                        <w:color w:val="FFFFFF"/>
                        <w:w w:val="110"/>
                        <w:sz w:val="18"/>
                      </w:rPr>
                      <w:t>Particulars</w:t>
                      <w:tab/>
                      <w:t>Details</w:t>
                    </w:r>
                  </w:p>
                </w:txbxContent>
              </v:textbox>
              <w10:wrap type="none"/>
            </v:shape>
            <w10:wrap type="topAndBottom"/>
          </v:group>
        </w:pict>
      </w:r>
    </w:p>
    <w:p>
      <w:pPr>
        <w:tabs>
          <w:tab w:pos="7809" w:val="left" w:leader="none"/>
        </w:tabs>
        <w:spacing w:before="10" w:after="39"/>
        <w:ind w:left="2250" w:right="0" w:firstLine="0"/>
        <w:jc w:val="left"/>
        <w:rPr>
          <w:sz w:val="18"/>
        </w:rPr>
      </w:pPr>
      <w:r>
        <w:rPr>
          <w:sz w:val="18"/>
        </w:rPr>
        <w:t>Handover</w:t>
      </w:r>
      <w:r>
        <w:rPr>
          <w:spacing w:val="-12"/>
          <w:sz w:val="18"/>
        </w:rPr>
        <w:t> </w:t>
      </w:r>
      <w:r>
        <w:rPr>
          <w:sz w:val="18"/>
        </w:rPr>
        <w:t>condition</w:t>
        <w:tab/>
        <w:t>Warm</w:t>
      </w:r>
      <w:r>
        <w:rPr>
          <w:spacing w:val="-1"/>
          <w:sz w:val="18"/>
        </w:rPr>
        <w:t> </w:t>
      </w:r>
      <w:r>
        <w:rPr>
          <w:sz w:val="18"/>
        </w:rPr>
        <w:t>Shell</w:t>
      </w:r>
    </w:p>
    <w:p>
      <w:pPr>
        <w:pStyle w:val="BodyText"/>
        <w:spacing w:line="20" w:lineRule="exact"/>
        <w:ind w:left="26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48,0,5533,0,0,0,0,14,5533,14,5548,14,10471,14,10471,0xe" filled="true" fillcolor="#69bd28" stroked="false">
              <v:path arrowok="t"/>
              <v:fill type="solid"/>
            </v:shape>
          </v:group>
        </w:pict>
      </w:r>
      <w:r>
        <w:rPr>
          <w:sz w:val="2"/>
        </w:rPr>
      </w:r>
    </w:p>
    <w:p>
      <w:pPr>
        <w:tabs>
          <w:tab w:pos="7922" w:val="left" w:leader="none"/>
        </w:tabs>
        <w:spacing w:before="34"/>
        <w:ind w:left="2254" w:right="0" w:firstLine="0"/>
        <w:jc w:val="left"/>
        <w:rPr>
          <w:sz w:val="18"/>
        </w:rPr>
      </w:pPr>
      <w:r>
        <w:rPr/>
        <w:pict>
          <v:shape style="position:absolute;margin-left:36pt;margin-top:14.110681pt;width:523.6pt;height:.75pt;mso-position-horizontal-relative:page;mso-position-vertical-relative:paragraph;z-index:-15271936;mso-wrap-distance-left:0;mso-wrap-distance-right:0" coordorigin="720,282" coordsize="10472,15" path="m11191,282l6268,282,6253,282,720,282,720,297,6253,297,6268,297,11191,297,11191,282xe" filled="true" fillcolor="#69bd28" stroked="false">
            <v:path arrowok="t"/>
            <v:fill type="solid"/>
            <w10:wrap type="topAndBottom"/>
          </v:shape>
        </w:pict>
      </w:r>
      <w:r>
        <w:rPr>
          <w:sz w:val="18"/>
        </w:rPr>
        <w:t>Passenger</w:t>
      </w:r>
      <w:r>
        <w:rPr>
          <w:spacing w:val="-21"/>
          <w:sz w:val="18"/>
        </w:rPr>
        <w:t> </w:t>
      </w:r>
      <w:r>
        <w:rPr>
          <w:sz w:val="18"/>
        </w:rPr>
        <w:t>elevators</w:t>
        <w:tab/>
        <w:t>Provided</w:t>
      </w:r>
    </w:p>
    <w:p>
      <w:pPr>
        <w:tabs>
          <w:tab w:pos="5545" w:val="left" w:leader="none"/>
        </w:tabs>
        <w:spacing w:before="13" w:after="39"/>
        <w:ind w:left="0" w:right="2363" w:firstLine="0"/>
        <w:jc w:val="right"/>
        <w:rPr>
          <w:sz w:val="18"/>
        </w:rPr>
      </w:pPr>
      <w:r>
        <w:rPr>
          <w:sz w:val="18"/>
        </w:rPr>
        <w:t>Service</w:t>
      </w:r>
      <w:r>
        <w:rPr>
          <w:spacing w:val="-33"/>
          <w:sz w:val="18"/>
        </w:rPr>
        <w:t> </w:t>
      </w:r>
      <w:r>
        <w:rPr>
          <w:sz w:val="18"/>
        </w:rPr>
        <w:t>elevators</w:t>
        <w:tab/>
      </w:r>
      <w:r>
        <w:rPr>
          <w:spacing w:val="-1"/>
          <w:w w:val="95"/>
          <w:sz w:val="18"/>
        </w:rPr>
        <w:t>Provided</w:t>
      </w:r>
    </w:p>
    <w:p>
      <w:pPr>
        <w:pStyle w:val="BodyText"/>
        <w:spacing w:line="20" w:lineRule="exact"/>
        <w:ind w:left="26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48,0,5533,0,0,0,0,14,5533,14,5548,14,10471,14,10471,0xe" filled="true" fillcolor="#69bd28" stroked="false">
              <v:path arrowok="t"/>
              <v:fill type="solid"/>
            </v:shape>
          </v:group>
        </w:pict>
      </w:r>
      <w:r>
        <w:rPr>
          <w:sz w:val="2"/>
        </w:rPr>
      </w:r>
    </w:p>
    <w:p>
      <w:pPr>
        <w:tabs>
          <w:tab w:pos="5480" w:val="left" w:leader="none"/>
        </w:tabs>
        <w:spacing w:before="34"/>
        <w:ind w:left="0" w:right="2363" w:firstLine="0"/>
        <w:jc w:val="right"/>
        <w:rPr>
          <w:sz w:val="18"/>
        </w:rPr>
      </w:pPr>
      <w:r>
        <w:rPr/>
        <w:pict>
          <v:shape style="position:absolute;margin-left:36pt;margin-top:14.110636pt;width:523.6pt;height:.75pt;mso-position-horizontal-relative:page;mso-position-vertical-relative:paragraph;z-index:-15270912;mso-wrap-distance-left:0;mso-wrap-distance-right:0" coordorigin="720,282" coordsize="10472,15" path="m11191,282l6268,282,6253,282,720,282,720,297,6253,297,6268,297,11191,297,11191,282xe" filled="true" fillcolor="#69bd28" stroked="false">
            <v:path arrowok="t"/>
            <v:fill type="solid"/>
            <w10:wrap type="topAndBottom"/>
          </v:shape>
        </w:pict>
      </w:r>
      <w:r>
        <w:rPr>
          <w:sz w:val="18"/>
        </w:rPr>
        <w:t>Power</w:t>
      </w:r>
      <w:r>
        <w:rPr>
          <w:spacing w:val="-11"/>
          <w:sz w:val="18"/>
        </w:rPr>
        <w:t> </w:t>
      </w:r>
      <w:r>
        <w:rPr>
          <w:sz w:val="18"/>
        </w:rPr>
        <w:t>back-up</w:t>
        <w:tab/>
      </w:r>
      <w:r>
        <w:rPr>
          <w:spacing w:val="-1"/>
          <w:w w:val="95"/>
          <w:sz w:val="18"/>
        </w:rPr>
        <w:t>Provided</w:t>
      </w:r>
    </w:p>
    <w:p>
      <w:pPr>
        <w:tabs>
          <w:tab w:pos="6049" w:val="left" w:leader="none"/>
        </w:tabs>
        <w:spacing w:before="10" w:after="39"/>
        <w:ind w:left="0" w:right="2363" w:firstLine="0"/>
        <w:jc w:val="right"/>
        <w:rPr>
          <w:sz w:val="18"/>
        </w:rPr>
      </w:pPr>
      <w:r>
        <w:rPr>
          <w:sz w:val="18"/>
        </w:rPr>
        <w:t>Building</w:t>
      </w:r>
      <w:r>
        <w:rPr>
          <w:spacing w:val="-16"/>
          <w:sz w:val="18"/>
        </w:rPr>
        <w:t> </w:t>
      </w:r>
      <w:r>
        <w:rPr>
          <w:sz w:val="18"/>
        </w:rPr>
        <w:t>management</w:t>
      </w:r>
      <w:r>
        <w:rPr>
          <w:spacing w:val="-16"/>
          <w:sz w:val="18"/>
        </w:rPr>
        <w:t> </w:t>
      </w:r>
      <w:r>
        <w:rPr>
          <w:sz w:val="18"/>
        </w:rPr>
        <w:t>system</w:t>
        <w:tab/>
      </w:r>
      <w:r>
        <w:rPr>
          <w:spacing w:val="-1"/>
          <w:w w:val="95"/>
          <w:sz w:val="18"/>
        </w:rPr>
        <w:t>Provided</w:t>
      </w:r>
    </w:p>
    <w:p>
      <w:pPr>
        <w:pStyle w:val="BodyText"/>
        <w:spacing w:line="20" w:lineRule="exact"/>
        <w:ind w:left="26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48,0,5533,0,0,0,0,14,5533,14,5548,14,10471,14,10471,0xe" filled="true" fillcolor="#69bd28" stroked="false">
              <v:path arrowok="t"/>
              <v:fill type="solid"/>
            </v:shape>
          </v:group>
        </w:pict>
      </w:r>
      <w:r>
        <w:rPr>
          <w:sz w:val="2"/>
        </w:rPr>
      </w:r>
    </w:p>
    <w:p>
      <w:pPr>
        <w:tabs>
          <w:tab w:pos="5516" w:val="left" w:leader="none"/>
        </w:tabs>
        <w:spacing w:before="34"/>
        <w:ind w:left="0" w:right="2363" w:firstLine="0"/>
        <w:jc w:val="right"/>
        <w:rPr>
          <w:sz w:val="18"/>
        </w:rPr>
      </w:pPr>
      <w:r>
        <w:rPr/>
        <w:pict>
          <v:shape style="position:absolute;margin-left:36pt;margin-top:14.110647pt;width:523.6pt;height:.75pt;mso-position-horizontal-relative:page;mso-position-vertical-relative:paragraph;z-index:-15269888;mso-wrap-distance-left:0;mso-wrap-distance-right:0" coordorigin="720,282" coordsize="10472,15" path="m11191,282l6268,282,6253,282,720,282,720,297,6253,297,6268,297,11191,297,11191,282xe" filled="true" fillcolor="#69bd28" stroked="false">
            <v:path arrowok="t"/>
            <v:fill type="solid"/>
            <w10:wrap type="topAndBottom"/>
          </v:shape>
        </w:pict>
      </w:r>
      <w:r>
        <w:rPr>
          <w:sz w:val="18"/>
        </w:rPr>
        <w:t>Security</w:t>
      </w:r>
      <w:r>
        <w:rPr>
          <w:spacing w:val="-36"/>
          <w:sz w:val="18"/>
        </w:rPr>
        <w:t> </w:t>
      </w:r>
      <w:r>
        <w:rPr>
          <w:sz w:val="18"/>
        </w:rPr>
        <w:t>systems</w:t>
        <w:tab/>
      </w:r>
      <w:r>
        <w:rPr>
          <w:spacing w:val="-1"/>
          <w:w w:val="95"/>
          <w:sz w:val="18"/>
        </w:rPr>
        <w:t>Provided</w:t>
      </w:r>
    </w:p>
    <w:p>
      <w:pPr>
        <w:tabs>
          <w:tab w:pos="5516" w:val="left" w:leader="none"/>
        </w:tabs>
        <w:spacing w:before="13" w:after="39"/>
        <w:ind w:left="0" w:right="2363" w:firstLine="0"/>
        <w:jc w:val="right"/>
        <w:rPr>
          <w:sz w:val="18"/>
        </w:rPr>
      </w:pPr>
      <w:r>
        <w:rPr>
          <w:sz w:val="18"/>
        </w:rPr>
        <w:t>Air</w:t>
      </w:r>
      <w:r>
        <w:rPr>
          <w:spacing w:val="-16"/>
          <w:sz w:val="18"/>
        </w:rPr>
        <w:t> </w:t>
      </w:r>
      <w:r>
        <w:rPr>
          <w:sz w:val="18"/>
        </w:rPr>
        <w:t>conditioning</w:t>
        <w:tab/>
      </w:r>
      <w:r>
        <w:rPr>
          <w:spacing w:val="-1"/>
          <w:w w:val="95"/>
          <w:sz w:val="18"/>
        </w:rPr>
        <w:t>Provided</w:t>
      </w:r>
    </w:p>
    <w:p>
      <w:pPr>
        <w:pStyle w:val="BodyText"/>
        <w:spacing w:line="20" w:lineRule="exact"/>
        <w:ind w:left="26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48,0,5533,0,0,0,0,14,5533,14,5548,14,10471,14,10471,0xe" filled="true" fillcolor="#69bd28" stroked="false">
              <v:path arrowok="t"/>
              <v:fill type="solid"/>
            </v:shape>
          </v:group>
        </w:pict>
      </w:r>
      <w:r>
        <w:rPr>
          <w:sz w:val="2"/>
        </w:rPr>
      </w:r>
    </w:p>
    <w:p>
      <w:pPr>
        <w:tabs>
          <w:tab w:pos="5665" w:val="left" w:leader="none"/>
        </w:tabs>
        <w:spacing w:before="34"/>
        <w:ind w:left="0" w:right="2363" w:firstLine="0"/>
        <w:jc w:val="right"/>
        <w:rPr>
          <w:sz w:val="18"/>
        </w:rPr>
      </w:pPr>
      <w:r>
        <w:rPr/>
        <w:pict>
          <v:shape style="position:absolute;margin-left:36pt;margin-top:14.110634pt;width:523.6pt;height:.75pt;mso-position-horizontal-relative:page;mso-position-vertical-relative:paragraph;z-index:-15268864;mso-wrap-distance-left:0;mso-wrap-distance-right:0" coordorigin="720,282" coordsize="10472,15" path="m11191,282l6268,282,6253,282,720,282,720,297,6253,297,6268,297,11191,297,11191,282xe" filled="true" fillcolor="#69bd28" stroked="false">
            <v:path arrowok="t"/>
            <v:fill type="solid"/>
            <w10:wrap type="topAndBottom"/>
          </v:shape>
        </w:pict>
      </w:r>
      <w:r>
        <w:rPr>
          <w:sz w:val="18"/>
        </w:rPr>
        <w:t>Firefighting</w:t>
      </w:r>
      <w:r>
        <w:rPr>
          <w:spacing w:val="-36"/>
          <w:sz w:val="18"/>
        </w:rPr>
        <w:t> </w:t>
      </w:r>
      <w:r>
        <w:rPr>
          <w:sz w:val="18"/>
        </w:rPr>
        <w:t>services</w:t>
        <w:tab/>
      </w:r>
      <w:r>
        <w:rPr>
          <w:spacing w:val="-1"/>
          <w:w w:val="95"/>
          <w:sz w:val="18"/>
        </w:rPr>
        <w:t>Provided</w:t>
      </w:r>
    </w:p>
    <w:p>
      <w:pPr>
        <w:tabs>
          <w:tab w:pos="7301" w:val="left" w:leader="none"/>
        </w:tabs>
        <w:spacing w:before="10" w:after="39"/>
        <w:ind w:left="2264" w:right="0" w:firstLine="0"/>
        <w:jc w:val="left"/>
        <w:rPr>
          <w:sz w:val="18"/>
        </w:rPr>
      </w:pPr>
      <w:r>
        <w:rPr>
          <w:sz w:val="18"/>
        </w:rPr>
        <w:t>Car</w:t>
      </w:r>
      <w:r>
        <w:rPr>
          <w:spacing w:val="-1"/>
          <w:sz w:val="18"/>
        </w:rPr>
        <w:t> </w:t>
      </w:r>
      <w:r>
        <w:rPr>
          <w:sz w:val="18"/>
        </w:rPr>
        <w:t>parks</w:t>
      </w:r>
      <w:r>
        <w:rPr>
          <w:spacing w:val="1"/>
          <w:sz w:val="18"/>
        </w:rPr>
        <w:t> </w:t>
      </w:r>
      <w:r>
        <w:rPr>
          <w:sz w:val="18"/>
        </w:rPr>
        <w:t>provided</w:t>
        <w:tab/>
        <w:t>Covered/open car</w:t>
      </w:r>
      <w:r>
        <w:rPr>
          <w:spacing w:val="-3"/>
          <w:sz w:val="18"/>
        </w:rPr>
        <w:t> </w:t>
      </w:r>
      <w:r>
        <w:rPr>
          <w:sz w:val="18"/>
        </w:rPr>
        <w:t>parks</w:t>
      </w:r>
    </w:p>
    <w:p>
      <w:pPr>
        <w:pStyle w:val="BodyText"/>
        <w:spacing w:line="20" w:lineRule="exact"/>
        <w:ind w:left="260"/>
        <w:rPr>
          <w:sz w:val="2"/>
        </w:rPr>
      </w:pPr>
      <w:r>
        <w:rPr>
          <w:sz w:val="2"/>
        </w:rPr>
        <w:pict>
          <v:group style="width:523.6pt;height:.75pt;mso-position-horizontal-relative:char;mso-position-vertical-relative:line" coordorigin="0,0" coordsize="10472,15">
            <v:shape style="position:absolute;left:0;top:0;width:10472;height:15" coordorigin="0,0" coordsize="10472,15" path="m10392,0l10378,0,5548,0,5533,0,0,0,0,14,5533,14,5548,14,10378,14,10392,14,10392,0xm10471,0l10406,0,10392,0,10392,14,10406,14,10471,14,10471,0xe" filled="true" fillcolor="#69bd28" stroked="false">
              <v:path arrowok="t"/>
              <v:fill type="solid"/>
            </v:shape>
          </v:group>
        </w:pict>
      </w:r>
      <w:r>
        <w:rPr>
          <w:sz w:val="2"/>
        </w:rPr>
      </w:r>
    </w:p>
    <w:p>
      <w:pPr>
        <w:spacing w:before="0"/>
        <w:ind w:left="368" w:right="0" w:firstLine="0"/>
        <w:jc w:val="left"/>
        <w:rPr>
          <w:i/>
          <w:sz w:val="18"/>
        </w:rPr>
      </w:pPr>
      <w:r>
        <w:rPr>
          <w:i/>
          <w:sz w:val="18"/>
        </w:rPr>
        <w:t>Source: Information provided by Client, Site Visit, lease deeds</w:t>
      </w:r>
    </w:p>
    <w:p>
      <w:pPr>
        <w:pStyle w:val="BodyText"/>
        <w:spacing w:before="3"/>
        <w:rPr>
          <w:i/>
          <w:sz w:val="19"/>
        </w:rPr>
      </w:pPr>
    </w:p>
    <w:p>
      <w:pPr>
        <w:pStyle w:val="BodyText"/>
        <w:spacing w:line="321" w:lineRule="auto"/>
        <w:ind w:left="908" w:right="438"/>
        <w:jc w:val="both"/>
      </w:pPr>
      <w:r>
        <w:rPr/>
        <w:t>Additionally,</w:t>
      </w:r>
      <w:r>
        <w:rPr>
          <w:spacing w:val="-36"/>
        </w:rPr>
        <w:t> </w:t>
      </w:r>
      <w:r>
        <w:rPr/>
        <w:t>based</w:t>
      </w:r>
      <w:r>
        <w:rPr>
          <w:spacing w:val="-35"/>
        </w:rPr>
        <w:t> </w:t>
      </w:r>
      <w:r>
        <w:rPr/>
        <w:t>on</w:t>
      </w:r>
      <w:r>
        <w:rPr>
          <w:spacing w:val="-36"/>
        </w:rPr>
        <w:t> </w:t>
      </w:r>
      <w:r>
        <w:rPr/>
        <w:t>inputs</w:t>
      </w:r>
      <w:r>
        <w:rPr>
          <w:spacing w:val="-36"/>
        </w:rPr>
        <w:t> </w:t>
      </w:r>
      <w:r>
        <w:rPr/>
        <w:t>provided</w:t>
      </w:r>
      <w:r>
        <w:rPr>
          <w:spacing w:val="-37"/>
        </w:rPr>
        <w:t> </w:t>
      </w:r>
      <w:r>
        <w:rPr/>
        <w:t>by</w:t>
      </w:r>
      <w:r>
        <w:rPr>
          <w:spacing w:val="-35"/>
        </w:rPr>
        <w:t> </w:t>
      </w:r>
      <w:r>
        <w:rPr/>
        <w:t>the</w:t>
      </w:r>
      <w:r>
        <w:rPr>
          <w:spacing w:val="-37"/>
        </w:rPr>
        <w:t> </w:t>
      </w:r>
      <w:r>
        <w:rPr/>
        <w:t>Client</w:t>
      </w:r>
      <w:r>
        <w:rPr>
          <w:spacing w:val="-36"/>
        </w:rPr>
        <w:t> </w:t>
      </w:r>
      <w:r>
        <w:rPr/>
        <w:t>coupled</w:t>
      </w:r>
      <w:r>
        <w:rPr>
          <w:spacing w:val="-35"/>
        </w:rPr>
        <w:t> </w:t>
      </w:r>
      <w:r>
        <w:rPr/>
        <w:t>with</w:t>
      </w:r>
      <w:r>
        <w:rPr>
          <w:spacing w:val="-37"/>
        </w:rPr>
        <w:t> </w:t>
      </w:r>
      <w:r>
        <w:rPr/>
        <w:t>visual</w:t>
      </w:r>
      <w:r>
        <w:rPr>
          <w:spacing w:val="-37"/>
        </w:rPr>
        <w:t> </w:t>
      </w:r>
      <w:r>
        <w:rPr/>
        <w:t>inspection,</w:t>
      </w:r>
      <w:r>
        <w:rPr>
          <w:spacing w:val="-32"/>
        </w:rPr>
        <w:t> </w:t>
      </w:r>
      <w:r>
        <w:rPr/>
        <w:t>Embassy</w:t>
      </w:r>
      <w:r>
        <w:rPr>
          <w:spacing w:val="-35"/>
        </w:rPr>
        <w:t> </w:t>
      </w:r>
      <w:r>
        <w:rPr/>
        <w:t>Quadron offers</w:t>
      </w:r>
      <w:r>
        <w:rPr>
          <w:spacing w:val="-19"/>
        </w:rPr>
        <w:t> </w:t>
      </w:r>
      <w:r>
        <w:rPr/>
        <w:t>its</w:t>
      </w:r>
      <w:r>
        <w:rPr>
          <w:spacing w:val="-18"/>
        </w:rPr>
        <w:t> </w:t>
      </w:r>
      <w:r>
        <w:rPr/>
        <w:t>occupiers</w:t>
      </w:r>
      <w:r>
        <w:rPr>
          <w:spacing w:val="-19"/>
        </w:rPr>
        <w:t> </w:t>
      </w:r>
      <w:r>
        <w:rPr/>
        <w:t>a</w:t>
      </w:r>
      <w:r>
        <w:rPr>
          <w:spacing w:val="-17"/>
        </w:rPr>
        <w:t> </w:t>
      </w:r>
      <w:r>
        <w:rPr/>
        <w:t>2,000+</w:t>
      </w:r>
      <w:r>
        <w:rPr>
          <w:spacing w:val="-19"/>
        </w:rPr>
        <w:t> </w:t>
      </w:r>
      <w:r>
        <w:rPr/>
        <w:t>seat</w:t>
      </w:r>
      <w:r>
        <w:rPr>
          <w:spacing w:val="-19"/>
        </w:rPr>
        <w:t> </w:t>
      </w:r>
      <w:r>
        <w:rPr/>
        <w:t>food</w:t>
      </w:r>
      <w:r>
        <w:rPr>
          <w:spacing w:val="-19"/>
        </w:rPr>
        <w:t> </w:t>
      </w:r>
      <w:r>
        <w:rPr/>
        <w:t>court</w:t>
      </w:r>
      <w:r>
        <w:rPr>
          <w:spacing w:val="-20"/>
        </w:rPr>
        <w:t> </w:t>
      </w:r>
      <w:r>
        <w:rPr/>
        <w:t>(including</w:t>
      </w:r>
      <w:r>
        <w:rPr>
          <w:spacing w:val="-19"/>
        </w:rPr>
        <w:t> </w:t>
      </w:r>
      <w:r>
        <w:rPr/>
        <w:t>alfresco</w:t>
      </w:r>
      <w:r>
        <w:rPr>
          <w:spacing w:val="-19"/>
        </w:rPr>
        <w:t> </w:t>
      </w:r>
      <w:r>
        <w:rPr/>
        <w:t>seating),</w:t>
      </w:r>
      <w:r>
        <w:rPr>
          <w:spacing w:val="-19"/>
        </w:rPr>
        <w:t> </w:t>
      </w:r>
      <w:r>
        <w:rPr/>
        <w:t>indoor</w:t>
      </w:r>
      <w:r>
        <w:rPr>
          <w:spacing w:val="-20"/>
        </w:rPr>
        <w:t> </w:t>
      </w:r>
      <w:r>
        <w:rPr/>
        <w:t>sports</w:t>
      </w:r>
      <w:r>
        <w:rPr>
          <w:spacing w:val="-20"/>
        </w:rPr>
        <w:t> </w:t>
      </w:r>
      <w:r>
        <w:rPr/>
        <w:t>zone,</w:t>
      </w:r>
      <w:r>
        <w:rPr>
          <w:spacing w:val="-20"/>
        </w:rPr>
        <w:t> </w:t>
      </w:r>
      <w:r>
        <w:rPr/>
        <w:t>fitness centre,</w:t>
      </w:r>
      <w:r>
        <w:rPr>
          <w:spacing w:val="-29"/>
        </w:rPr>
        <w:t> </w:t>
      </w:r>
      <w:r>
        <w:rPr/>
        <w:t>day-care</w:t>
      </w:r>
      <w:r>
        <w:rPr>
          <w:spacing w:val="-29"/>
        </w:rPr>
        <w:t> </w:t>
      </w:r>
      <w:r>
        <w:rPr/>
        <w:t>facilities,</w:t>
      </w:r>
      <w:r>
        <w:rPr>
          <w:spacing w:val="-29"/>
        </w:rPr>
        <w:t> </w:t>
      </w:r>
      <w:r>
        <w:rPr/>
        <w:t>refurbished</w:t>
      </w:r>
      <w:r>
        <w:rPr>
          <w:spacing w:val="-28"/>
        </w:rPr>
        <w:t> </w:t>
      </w:r>
      <w:r>
        <w:rPr/>
        <w:t>lobbies,</w:t>
      </w:r>
      <w:r>
        <w:rPr>
          <w:spacing w:val="-29"/>
        </w:rPr>
        <w:t> </w:t>
      </w:r>
      <w:r>
        <w:rPr/>
        <w:t>enhanced</w:t>
      </w:r>
      <w:r>
        <w:rPr>
          <w:spacing w:val="-29"/>
        </w:rPr>
        <w:t> </w:t>
      </w:r>
      <w:r>
        <w:rPr/>
        <w:t>landscaping</w:t>
      </w:r>
      <w:r>
        <w:rPr>
          <w:spacing w:val="-28"/>
        </w:rPr>
        <w:t> </w:t>
      </w:r>
      <w:r>
        <w:rPr>
          <w:spacing w:val="-2"/>
        </w:rPr>
        <w:t>and</w:t>
      </w:r>
      <w:r>
        <w:rPr>
          <w:spacing w:val="-28"/>
        </w:rPr>
        <w:t> </w:t>
      </w:r>
      <w:r>
        <w:rPr/>
        <w:t>various</w:t>
      </w:r>
      <w:r>
        <w:rPr>
          <w:spacing w:val="-28"/>
        </w:rPr>
        <w:t> </w:t>
      </w:r>
      <w:r>
        <w:rPr/>
        <w:t>retail</w:t>
      </w:r>
      <w:r>
        <w:rPr>
          <w:spacing w:val="-30"/>
        </w:rPr>
        <w:t> </w:t>
      </w:r>
      <w:r>
        <w:rPr/>
        <w:t>offerings.</w:t>
      </w:r>
    </w:p>
    <w:p>
      <w:pPr>
        <w:pStyle w:val="BodyText"/>
        <w:rPr>
          <w:sz w:val="20"/>
        </w:rPr>
      </w:pPr>
    </w:p>
    <w:p>
      <w:pPr>
        <w:pStyle w:val="BodyText"/>
        <w:spacing w:before="6"/>
        <w:rPr>
          <w:sz w:val="21"/>
        </w:rPr>
      </w:pPr>
    </w:p>
    <w:p>
      <w:pPr>
        <w:pStyle w:val="ListParagraph"/>
        <w:numPr>
          <w:ilvl w:val="2"/>
          <w:numId w:val="14"/>
        </w:numPr>
        <w:tabs>
          <w:tab w:pos="981" w:val="left" w:leader="none"/>
        </w:tabs>
        <w:spacing w:line="240" w:lineRule="auto" w:before="1" w:after="0"/>
        <w:ind w:left="980" w:right="0" w:hanging="721"/>
        <w:jc w:val="left"/>
        <w:rPr>
          <w:sz w:val="22"/>
        </w:rPr>
      </w:pPr>
      <w:bookmarkStart w:name="_bookmark192" w:id="374"/>
      <w:bookmarkEnd w:id="374"/>
      <w:r>
        <w:rPr/>
      </w:r>
      <w:bookmarkStart w:name="_bookmark192" w:id="375"/>
      <w:bookmarkEnd w:id="375"/>
      <w:r>
        <w:rPr>
          <w:color w:val="1F664D"/>
          <w:sz w:val="22"/>
        </w:rPr>
        <w:t>Condition</w:t>
      </w:r>
      <w:r>
        <w:rPr>
          <w:color w:val="1F664D"/>
          <w:sz w:val="22"/>
        </w:rPr>
        <w:t> &amp;</w:t>
      </w:r>
      <w:r>
        <w:rPr>
          <w:color w:val="1F664D"/>
          <w:spacing w:val="-4"/>
          <w:sz w:val="22"/>
        </w:rPr>
        <w:t> </w:t>
      </w:r>
      <w:r>
        <w:rPr>
          <w:color w:val="1F664D"/>
          <w:sz w:val="22"/>
        </w:rPr>
        <w:t>Repair</w:t>
      </w:r>
    </w:p>
    <w:p>
      <w:pPr>
        <w:pStyle w:val="BodyText"/>
        <w:spacing w:line="321" w:lineRule="auto" w:before="207"/>
        <w:ind w:left="807" w:right="234"/>
        <w:jc w:val="both"/>
      </w:pPr>
      <w:r>
        <w:rPr/>
        <w:t>Based</w:t>
      </w:r>
      <w:r>
        <w:rPr>
          <w:spacing w:val="-43"/>
        </w:rPr>
        <w:t> </w:t>
      </w:r>
      <w:r>
        <w:rPr/>
        <w:t>on</w:t>
      </w:r>
      <w:r>
        <w:rPr>
          <w:spacing w:val="-42"/>
        </w:rPr>
        <w:t> </w:t>
      </w:r>
      <w:r>
        <w:rPr/>
        <w:t>information</w:t>
      </w:r>
      <w:r>
        <w:rPr>
          <w:spacing w:val="-43"/>
        </w:rPr>
        <w:t> </w:t>
      </w:r>
      <w:r>
        <w:rPr/>
        <w:t>provided</w:t>
      </w:r>
      <w:r>
        <w:rPr>
          <w:spacing w:val="-41"/>
        </w:rPr>
        <w:t> </w:t>
      </w:r>
      <w:r>
        <w:rPr/>
        <w:t>by</w:t>
      </w:r>
      <w:r>
        <w:rPr>
          <w:spacing w:val="-42"/>
        </w:rPr>
        <w:t> </w:t>
      </w:r>
      <w:r>
        <w:rPr/>
        <w:t>the</w:t>
      </w:r>
      <w:r>
        <w:rPr>
          <w:spacing w:val="-43"/>
        </w:rPr>
        <w:t> </w:t>
      </w:r>
      <w:r>
        <w:rPr/>
        <w:t>Client,</w:t>
      </w:r>
      <w:r>
        <w:rPr>
          <w:spacing w:val="-42"/>
        </w:rPr>
        <w:t> </w:t>
      </w:r>
      <w:r>
        <w:rPr/>
        <w:t>it</w:t>
      </w:r>
      <w:r>
        <w:rPr>
          <w:spacing w:val="-43"/>
        </w:rPr>
        <w:t> </w:t>
      </w:r>
      <w:r>
        <w:rPr/>
        <w:t>is</w:t>
      </w:r>
      <w:r>
        <w:rPr>
          <w:spacing w:val="-41"/>
        </w:rPr>
        <w:t> </w:t>
      </w:r>
      <w:r>
        <w:rPr/>
        <w:t>understood</w:t>
      </w:r>
      <w:r>
        <w:rPr>
          <w:spacing w:val="-43"/>
        </w:rPr>
        <w:t> </w:t>
      </w:r>
      <w:r>
        <w:rPr/>
        <w:t>that</w:t>
      </w:r>
      <w:r>
        <w:rPr>
          <w:spacing w:val="-42"/>
        </w:rPr>
        <w:t> </w:t>
      </w:r>
      <w:r>
        <w:rPr/>
        <w:t>the</w:t>
      </w:r>
      <w:r>
        <w:rPr>
          <w:spacing w:val="-44"/>
        </w:rPr>
        <w:t> </w:t>
      </w:r>
      <w:r>
        <w:rPr/>
        <w:t>subject</w:t>
      </w:r>
      <w:r>
        <w:rPr>
          <w:spacing w:val="-42"/>
        </w:rPr>
        <w:t> </w:t>
      </w:r>
      <w:r>
        <w:rPr/>
        <w:t>property</w:t>
      </w:r>
      <w:r>
        <w:rPr>
          <w:spacing w:val="-42"/>
        </w:rPr>
        <w:t> </w:t>
      </w:r>
      <w:r>
        <w:rPr/>
        <w:t>is</w:t>
      </w:r>
      <w:r>
        <w:rPr>
          <w:spacing w:val="-42"/>
        </w:rPr>
        <w:t> </w:t>
      </w:r>
      <w:r>
        <w:rPr/>
        <w:t>in</w:t>
      </w:r>
      <w:r>
        <w:rPr>
          <w:spacing w:val="-44"/>
        </w:rPr>
        <w:t> </w:t>
      </w:r>
      <w:r>
        <w:rPr/>
        <w:t>good</w:t>
      </w:r>
      <w:r>
        <w:rPr>
          <w:spacing w:val="-42"/>
        </w:rPr>
        <w:t> </w:t>
      </w:r>
      <w:r>
        <w:rPr/>
        <w:t>condition and is being maintained well. The table below highlights the major repairs and maintenance work/ infrastructure</w:t>
      </w:r>
      <w:r>
        <w:rPr>
          <w:spacing w:val="-27"/>
        </w:rPr>
        <w:t> </w:t>
      </w:r>
      <w:r>
        <w:rPr/>
        <w:t>upgrade</w:t>
      </w:r>
      <w:r>
        <w:rPr>
          <w:spacing w:val="-26"/>
        </w:rPr>
        <w:t> </w:t>
      </w:r>
      <w:r>
        <w:rPr/>
        <w:t>works</w:t>
      </w:r>
      <w:r>
        <w:rPr>
          <w:spacing w:val="-23"/>
        </w:rPr>
        <w:t> </w:t>
      </w:r>
      <w:r>
        <w:rPr/>
        <w:t>undertaken</w:t>
      </w:r>
      <w:r>
        <w:rPr>
          <w:spacing w:val="-25"/>
        </w:rPr>
        <w:t> </w:t>
      </w:r>
      <w:r>
        <w:rPr/>
        <w:t>in</w:t>
      </w:r>
      <w:r>
        <w:rPr>
          <w:spacing w:val="-25"/>
        </w:rPr>
        <w:t> </w:t>
      </w:r>
      <w:r>
        <w:rPr/>
        <w:t>the</w:t>
      </w:r>
      <w:r>
        <w:rPr>
          <w:spacing w:val="-26"/>
        </w:rPr>
        <w:t> </w:t>
      </w:r>
      <w:r>
        <w:rPr/>
        <w:t>past</w:t>
      </w:r>
      <w:r>
        <w:rPr>
          <w:spacing w:val="-24"/>
        </w:rPr>
        <w:t> </w:t>
      </w:r>
      <w:r>
        <w:rPr/>
        <w:t>few</w:t>
      </w:r>
      <w:r>
        <w:rPr>
          <w:spacing w:val="-26"/>
        </w:rPr>
        <w:t> </w:t>
      </w:r>
      <w:r>
        <w:rPr/>
        <w:t>years</w:t>
      </w:r>
      <w:r>
        <w:rPr>
          <w:spacing w:val="-25"/>
        </w:rPr>
        <w:t> </w:t>
      </w:r>
      <w:r>
        <w:rPr/>
        <w:t>and</w:t>
      </w:r>
      <w:r>
        <w:rPr>
          <w:spacing w:val="-25"/>
        </w:rPr>
        <w:t> </w:t>
      </w:r>
      <w:r>
        <w:rPr/>
        <w:t>the</w:t>
      </w:r>
      <w:r>
        <w:rPr>
          <w:spacing w:val="-26"/>
        </w:rPr>
        <w:t> </w:t>
      </w:r>
      <w:r>
        <w:rPr/>
        <w:t>works</w:t>
      </w:r>
      <w:r>
        <w:rPr>
          <w:spacing w:val="-25"/>
        </w:rPr>
        <w:t> </w:t>
      </w:r>
      <w:r>
        <w:rPr/>
        <w:t>to</w:t>
      </w:r>
      <w:r>
        <w:rPr>
          <w:spacing w:val="-25"/>
        </w:rPr>
        <w:t> </w:t>
      </w:r>
      <w:r>
        <w:rPr/>
        <w:t>be</w:t>
      </w:r>
      <w:r>
        <w:rPr>
          <w:spacing w:val="-27"/>
        </w:rPr>
        <w:t> </w:t>
      </w:r>
      <w:r>
        <w:rPr/>
        <w:t>undertaken</w:t>
      </w:r>
      <w:r>
        <w:rPr>
          <w:spacing w:val="-25"/>
        </w:rPr>
        <w:t> </w:t>
      </w:r>
      <w:r>
        <w:rPr/>
        <w:t>over</w:t>
      </w:r>
      <w:r>
        <w:rPr>
          <w:spacing w:val="-26"/>
        </w:rPr>
        <w:t> </w:t>
      </w:r>
      <w:r>
        <w:rPr/>
        <w:t>the next few</w:t>
      </w:r>
      <w:r>
        <w:rPr>
          <w:spacing w:val="-6"/>
        </w:rPr>
        <w:t> </w:t>
      </w:r>
      <w:r>
        <w:rPr/>
        <w:t>years:</w:t>
      </w:r>
    </w:p>
    <w:p>
      <w:pPr>
        <w:pStyle w:val="BodyText"/>
        <w:spacing w:before="8"/>
        <w:rPr>
          <w:sz w:val="21"/>
        </w:rPr>
      </w:pPr>
    </w:p>
    <w:tbl>
      <w:tblPr>
        <w:tblW w:w="0" w:type="auto"/>
        <w:jc w:val="left"/>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86"/>
        <w:gridCol w:w="2777"/>
        <w:gridCol w:w="3022"/>
      </w:tblGrid>
      <w:tr>
        <w:trPr>
          <w:trHeight w:val="327" w:hRule="atLeast"/>
        </w:trPr>
        <w:tc>
          <w:tcPr>
            <w:tcW w:w="4686" w:type="dxa"/>
            <w:tcBorders>
              <w:top w:val="single" w:sz="12" w:space="0" w:color="1F664D"/>
              <w:bottom w:val="single" w:sz="4" w:space="0" w:color="92D050"/>
            </w:tcBorders>
            <w:shd w:val="clear" w:color="auto" w:fill="006A4D"/>
          </w:tcPr>
          <w:p>
            <w:pPr>
              <w:pStyle w:val="TableParagraph"/>
              <w:spacing w:before="60"/>
              <w:ind w:left="683" w:right="497"/>
              <w:rPr>
                <w:b/>
                <w:sz w:val="18"/>
              </w:rPr>
            </w:pPr>
            <w:r>
              <w:rPr>
                <w:b/>
                <w:color w:val="FFFFFF"/>
                <w:w w:val="110"/>
                <w:sz w:val="18"/>
              </w:rPr>
              <w:t>Expense Heads</w:t>
            </w:r>
          </w:p>
        </w:tc>
        <w:tc>
          <w:tcPr>
            <w:tcW w:w="2777" w:type="dxa"/>
            <w:tcBorders>
              <w:top w:val="single" w:sz="12" w:space="0" w:color="1F664D"/>
              <w:bottom w:val="single" w:sz="4" w:space="0" w:color="92D050"/>
            </w:tcBorders>
            <w:shd w:val="clear" w:color="auto" w:fill="006A4D"/>
          </w:tcPr>
          <w:p>
            <w:pPr>
              <w:pStyle w:val="TableParagraph"/>
              <w:spacing w:before="60"/>
              <w:ind w:left="509" w:right="457"/>
              <w:rPr>
                <w:b/>
                <w:sz w:val="18"/>
              </w:rPr>
            </w:pPr>
            <w:r>
              <w:rPr>
                <w:b/>
                <w:color w:val="FFFFFF"/>
                <w:w w:val="110"/>
                <w:sz w:val="18"/>
              </w:rPr>
              <w:t>Total Cost (INR Mn)</w:t>
            </w:r>
          </w:p>
        </w:tc>
        <w:tc>
          <w:tcPr>
            <w:tcW w:w="3022" w:type="dxa"/>
            <w:tcBorders>
              <w:top w:val="single" w:sz="12" w:space="0" w:color="1F664D"/>
              <w:bottom w:val="single" w:sz="4" w:space="0" w:color="92D050"/>
            </w:tcBorders>
            <w:shd w:val="clear" w:color="auto" w:fill="006A4D"/>
          </w:tcPr>
          <w:p>
            <w:pPr>
              <w:pStyle w:val="TableParagraph"/>
              <w:spacing w:before="46"/>
              <w:ind w:left="474" w:right="586"/>
              <w:rPr>
                <w:rFonts w:ascii="Verdana"/>
                <w:b/>
                <w:i/>
                <w:sz w:val="18"/>
              </w:rPr>
            </w:pPr>
            <w:r>
              <w:rPr>
                <w:rFonts w:ascii="Verdana"/>
                <w:b/>
                <w:i/>
                <w:smallCaps/>
                <w:color w:val="FFFFFF"/>
                <w:w w:val="97"/>
                <w:sz w:val="18"/>
              </w:rPr>
              <w:t>Q</w:t>
            </w:r>
            <w:r>
              <w:rPr>
                <w:rFonts w:ascii="Verdana"/>
                <w:b/>
                <w:i/>
                <w:smallCaps/>
                <w:color w:val="FFFFFF"/>
                <w:spacing w:val="-1"/>
                <w:w w:val="97"/>
                <w:sz w:val="18"/>
              </w:rPr>
              <w:t>u</w:t>
            </w:r>
            <w:r>
              <w:rPr>
                <w:rFonts w:ascii="Verdana"/>
                <w:b/>
                <w:i/>
                <w:smallCaps w:val="0"/>
                <w:color w:val="FFFFFF"/>
                <w:w w:val="89"/>
                <w:sz w:val="18"/>
              </w:rPr>
              <w:t>a</w:t>
            </w:r>
            <w:r>
              <w:rPr>
                <w:rFonts w:ascii="Verdana"/>
                <w:b/>
                <w:i/>
                <w:smallCaps w:val="0"/>
                <w:color w:val="FFFFFF"/>
                <w:w w:val="79"/>
                <w:sz w:val="18"/>
              </w:rPr>
              <w:t>r</w:t>
            </w:r>
            <w:r>
              <w:rPr>
                <w:rFonts w:ascii="Verdana"/>
                <w:b/>
                <w:i/>
                <w:smallCaps w:val="0"/>
                <w:color w:val="FFFFFF"/>
                <w:spacing w:val="-1"/>
                <w:w w:val="74"/>
                <w:sz w:val="18"/>
              </w:rPr>
              <w:t>t</w:t>
            </w:r>
            <w:r>
              <w:rPr>
                <w:rFonts w:ascii="Verdana"/>
                <w:b/>
                <w:i/>
                <w:smallCaps w:val="0"/>
                <w:color w:val="FFFFFF"/>
                <w:w w:val="85"/>
                <w:sz w:val="18"/>
              </w:rPr>
              <w:t>e</w:t>
            </w:r>
            <w:r>
              <w:rPr>
                <w:rFonts w:ascii="Verdana"/>
                <w:b/>
                <w:i/>
                <w:smallCaps w:val="0"/>
                <w:color w:val="FFFFFF"/>
                <w:w w:val="79"/>
                <w:sz w:val="18"/>
              </w:rPr>
              <w:t>r</w:t>
            </w:r>
            <w:r>
              <w:rPr>
                <w:rFonts w:ascii="Verdana"/>
                <w:b/>
                <w:i/>
                <w:smallCaps w:val="0"/>
                <w:color w:val="FFFFFF"/>
                <w:spacing w:val="-9"/>
                <w:sz w:val="18"/>
              </w:rPr>
              <w:t> </w:t>
            </w:r>
            <w:r>
              <w:rPr>
                <w:rFonts w:ascii="Verdana"/>
                <w:b/>
                <w:i/>
                <w:smallCaps w:val="0"/>
                <w:color w:val="FFFFFF"/>
                <w:spacing w:val="-1"/>
                <w:w w:val="86"/>
                <w:sz w:val="18"/>
              </w:rPr>
              <w:t>o</w:t>
            </w:r>
            <w:r>
              <w:rPr>
                <w:rFonts w:ascii="Verdana"/>
                <w:b/>
                <w:i/>
                <w:smallCaps w:val="0"/>
                <w:color w:val="FFFFFF"/>
                <w:w w:val="84"/>
                <w:sz w:val="18"/>
              </w:rPr>
              <w:t>f</w:t>
            </w:r>
            <w:r>
              <w:rPr>
                <w:rFonts w:ascii="Verdana"/>
                <w:b/>
                <w:i/>
                <w:smallCaps w:val="0"/>
                <w:color w:val="FFFFFF"/>
                <w:spacing w:val="-9"/>
                <w:sz w:val="18"/>
              </w:rPr>
              <w:t> </w:t>
            </w:r>
            <w:r>
              <w:rPr>
                <w:rFonts w:ascii="Verdana"/>
                <w:b/>
                <w:i/>
                <w:smallCaps w:val="0"/>
                <w:color w:val="FFFFFF"/>
                <w:w w:val="91"/>
                <w:sz w:val="18"/>
              </w:rPr>
              <w:t>C</w:t>
            </w:r>
            <w:r>
              <w:rPr>
                <w:rFonts w:ascii="Verdana"/>
                <w:b/>
                <w:i/>
                <w:smallCaps w:val="0"/>
                <w:color w:val="FFFFFF"/>
                <w:spacing w:val="1"/>
                <w:w w:val="91"/>
                <w:sz w:val="18"/>
              </w:rPr>
              <w:t>o</w:t>
            </w:r>
            <w:r>
              <w:rPr>
                <w:rFonts w:ascii="Verdana"/>
                <w:b/>
                <w:i/>
                <w:smallCaps w:val="0"/>
                <w:color w:val="FFFFFF"/>
                <w:w w:val="82"/>
                <w:sz w:val="18"/>
              </w:rPr>
              <w:t>mp</w:t>
            </w:r>
            <w:r>
              <w:rPr>
                <w:rFonts w:ascii="Verdana"/>
                <w:b/>
                <w:i/>
                <w:smallCaps w:val="0"/>
                <w:color w:val="FFFFFF"/>
                <w:w w:val="84"/>
                <w:sz w:val="18"/>
              </w:rPr>
              <w:t>le</w:t>
            </w:r>
            <w:r>
              <w:rPr>
                <w:rFonts w:ascii="Verdana"/>
                <w:b/>
                <w:i/>
                <w:smallCaps w:val="0"/>
                <w:color w:val="FFFFFF"/>
                <w:spacing w:val="-1"/>
                <w:w w:val="74"/>
                <w:sz w:val="18"/>
              </w:rPr>
              <w:t>t</w:t>
            </w:r>
            <w:r>
              <w:rPr>
                <w:rFonts w:ascii="Verdana"/>
                <w:b/>
                <w:i/>
                <w:smallCaps w:val="0"/>
                <w:color w:val="FFFFFF"/>
                <w:w w:val="84"/>
                <w:sz w:val="18"/>
              </w:rPr>
              <w:t>ion</w:t>
            </w:r>
          </w:p>
        </w:tc>
      </w:tr>
      <w:tr>
        <w:trPr>
          <w:trHeight w:val="347" w:hRule="atLeast"/>
        </w:trPr>
        <w:tc>
          <w:tcPr>
            <w:tcW w:w="4686" w:type="dxa"/>
            <w:tcBorders>
              <w:top w:val="single" w:sz="4" w:space="0" w:color="92D050"/>
              <w:bottom w:val="single" w:sz="4" w:space="0" w:color="92D050"/>
            </w:tcBorders>
          </w:tcPr>
          <w:p>
            <w:pPr>
              <w:pStyle w:val="TableParagraph"/>
              <w:spacing w:before="68"/>
              <w:ind w:left="683" w:right="500"/>
              <w:rPr>
                <w:sz w:val="18"/>
              </w:rPr>
            </w:pPr>
            <w:r>
              <w:rPr>
                <w:sz w:val="18"/>
              </w:rPr>
              <w:t>STP Revamp</w:t>
            </w:r>
          </w:p>
        </w:tc>
        <w:tc>
          <w:tcPr>
            <w:tcW w:w="2777" w:type="dxa"/>
            <w:tcBorders>
              <w:top w:val="single" w:sz="4" w:space="0" w:color="92D050"/>
              <w:bottom w:val="single" w:sz="4" w:space="0" w:color="92D050"/>
            </w:tcBorders>
          </w:tcPr>
          <w:p>
            <w:pPr>
              <w:pStyle w:val="TableParagraph"/>
              <w:spacing w:before="68"/>
              <w:ind w:left="503" w:right="457"/>
              <w:rPr>
                <w:sz w:val="18"/>
              </w:rPr>
            </w:pPr>
            <w:r>
              <w:rPr>
                <w:w w:val="105"/>
                <w:sz w:val="18"/>
              </w:rPr>
              <w:t>4.53</w:t>
            </w:r>
          </w:p>
        </w:tc>
        <w:tc>
          <w:tcPr>
            <w:tcW w:w="3022" w:type="dxa"/>
            <w:tcBorders>
              <w:top w:val="single" w:sz="4" w:space="0" w:color="92D050"/>
              <w:bottom w:val="single" w:sz="4" w:space="0" w:color="92D050"/>
            </w:tcBorders>
          </w:tcPr>
          <w:p>
            <w:pPr>
              <w:pStyle w:val="TableParagraph"/>
              <w:spacing w:before="70"/>
              <w:ind w:left="470" w:right="586"/>
              <w:rPr>
                <w:sz w:val="18"/>
              </w:rPr>
            </w:pPr>
            <w:r>
              <w:rPr>
                <w:w w:val="105"/>
                <w:sz w:val="18"/>
              </w:rPr>
              <w:t>Q1, FY 2017</w:t>
            </w:r>
          </w:p>
        </w:tc>
      </w:tr>
      <w:tr>
        <w:trPr>
          <w:trHeight w:val="345" w:hRule="atLeast"/>
        </w:trPr>
        <w:tc>
          <w:tcPr>
            <w:tcW w:w="4686" w:type="dxa"/>
            <w:tcBorders>
              <w:top w:val="single" w:sz="4" w:space="0" w:color="92D050"/>
              <w:bottom w:val="single" w:sz="4" w:space="0" w:color="92D050"/>
            </w:tcBorders>
          </w:tcPr>
          <w:p>
            <w:pPr>
              <w:pStyle w:val="TableParagraph"/>
              <w:spacing w:before="68"/>
              <w:ind w:left="683" w:right="501"/>
              <w:rPr>
                <w:sz w:val="18"/>
              </w:rPr>
            </w:pPr>
            <w:r>
              <w:rPr>
                <w:sz w:val="18"/>
              </w:rPr>
              <w:t>Food Court</w:t>
            </w:r>
          </w:p>
        </w:tc>
        <w:tc>
          <w:tcPr>
            <w:tcW w:w="2777" w:type="dxa"/>
            <w:tcBorders>
              <w:top w:val="single" w:sz="4" w:space="0" w:color="92D050"/>
              <w:bottom w:val="single" w:sz="4" w:space="0" w:color="92D050"/>
            </w:tcBorders>
          </w:tcPr>
          <w:p>
            <w:pPr>
              <w:pStyle w:val="TableParagraph"/>
              <w:spacing w:before="68"/>
              <w:ind w:left="503" w:right="457"/>
              <w:rPr>
                <w:sz w:val="18"/>
              </w:rPr>
            </w:pPr>
            <w:r>
              <w:rPr>
                <w:w w:val="105"/>
                <w:sz w:val="18"/>
              </w:rPr>
              <w:t>8.68</w:t>
            </w:r>
          </w:p>
        </w:tc>
        <w:tc>
          <w:tcPr>
            <w:tcW w:w="3022" w:type="dxa"/>
            <w:tcBorders>
              <w:top w:val="single" w:sz="4" w:space="0" w:color="92D050"/>
              <w:bottom w:val="single" w:sz="4" w:space="0" w:color="92D050"/>
            </w:tcBorders>
          </w:tcPr>
          <w:p>
            <w:pPr>
              <w:pStyle w:val="TableParagraph"/>
              <w:spacing w:before="68"/>
              <w:ind w:left="470" w:right="586"/>
              <w:rPr>
                <w:sz w:val="18"/>
              </w:rPr>
            </w:pPr>
            <w:r>
              <w:rPr>
                <w:w w:val="105"/>
                <w:sz w:val="18"/>
              </w:rPr>
              <w:t>Q2, FY 2017</w:t>
            </w:r>
          </w:p>
        </w:tc>
      </w:tr>
      <w:tr>
        <w:trPr>
          <w:trHeight w:val="345" w:hRule="atLeast"/>
        </w:trPr>
        <w:tc>
          <w:tcPr>
            <w:tcW w:w="4686" w:type="dxa"/>
            <w:tcBorders>
              <w:top w:val="single" w:sz="4" w:space="0" w:color="92D050"/>
              <w:bottom w:val="single" w:sz="4" w:space="0" w:color="92D050"/>
            </w:tcBorders>
          </w:tcPr>
          <w:p>
            <w:pPr>
              <w:pStyle w:val="TableParagraph"/>
              <w:spacing w:before="68"/>
              <w:ind w:left="683" w:right="499"/>
              <w:rPr>
                <w:sz w:val="18"/>
              </w:rPr>
            </w:pPr>
            <w:r>
              <w:rPr>
                <w:sz w:val="18"/>
              </w:rPr>
              <w:t>WTP</w:t>
            </w:r>
          </w:p>
        </w:tc>
        <w:tc>
          <w:tcPr>
            <w:tcW w:w="2777" w:type="dxa"/>
            <w:tcBorders>
              <w:top w:val="single" w:sz="4" w:space="0" w:color="92D050"/>
              <w:bottom w:val="single" w:sz="4" w:space="0" w:color="92D050"/>
            </w:tcBorders>
          </w:tcPr>
          <w:p>
            <w:pPr>
              <w:pStyle w:val="TableParagraph"/>
              <w:spacing w:before="68"/>
              <w:ind w:left="503" w:right="457"/>
              <w:rPr>
                <w:sz w:val="18"/>
              </w:rPr>
            </w:pPr>
            <w:r>
              <w:rPr>
                <w:w w:val="105"/>
                <w:sz w:val="18"/>
              </w:rPr>
              <w:t>2.29</w:t>
            </w:r>
          </w:p>
        </w:tc>
        <w:tc>
          <w:tcPr>
            <w:tcW w:w="3022" w:type="dxa"/>
            <w:tcBorders>
              <w:top w:val="single" w:sz="4" w:space="0" w:color="92D050"/>
              <w:bottom w:val="single" w:sz="4" w:space="0" w:color="92D050"/>
            </w:tcBorders>
          </w:tcPr>
          <w:p>
            <w:pPr>
              <w:pStyle w:val="TableParagraph"/>
              <w:spacing w:before="68"/>
              <w:ind w:left="470" w:right="586"/>
              <w:rPr>
                <w:sz w:val="18"/>
              </w:rPr>
            </w:pPr>
            <w:r>
              <w:rPr>
                <w:w w:val="105"/>
                <w:sz w:val="18"/>
              </w:rPr>
              <w:t>Q3, FY 2017</w:t>
            </w:r>
          </w:p>
        </w:tc>
      </w:tr>
      <w:tr>
        <w:trPr>
          <w:trHeight w:val="347" w:hRule="atLeast"/>
        </w:trPr>
        <w:tc>
          <w:tcPr>
            <w:tcW w:w="4686" w:type="dxa"/>
            <w:tcBorders>
              <w:top w:val="single" w:sz="4" w:space="0" w:color="92D050"/>
              <w:bottom w:val="single" w:sz="4" w:space="0" w:color="92D050"/>
            </w:tcBorders>
          </w:tcPr>
          <w:p>
            <w:pPr>
              <w:pStyle w:val="TableParagraph"/>
              <w:spacing w:before="68"/>
              <w:ind w:left="683" w:right="500"/>
              <w:rPr>
                <w:sz w:val="18"/>
              </w:rPr>
            </w:pPr>
            <w:r>
              <w:rPr>
                <w:sz w:val="18"/>
              </w:rPr>
              <w:t>Painting</w:t>
            </w:r>
          </w:p>
        </w:tc>
        <w:tc>
          <w:tcPr>
            <w:tcW w:w="2777" w:type="dxa"/>
            <w:tcBorders>
              <w:top w:val="single" w:sz="4" w:space="0" w:color="92D050"/>
              <w:bottom w:val="single" w:sz="4" w:space="0" w:color="92D050"/>
            </w:tcBorders>
          </w:tcPr>
          <w:p>
            <w:pPr>
              <w:pStyle w:val="TableParagraph"/>
              <w:spacing w:before="68"/>
              <w:ind w:left="503" w:right="457"/>
              <w:rPr>
                <w:sz w:val="18"/>
              </w:rPr>
            </w:pPr>
            <w:r>
              <w:rPr>
                <w:w w:val="105"/>
                <w:sz w:val="18"/>
              </w:rPr>
              <w:t>0.83</w:t>
            </w:r>
          </w:p>
        </w:tc>
        <w:tc>
          <w:tcPr>
            <w:tcW w:w="3022" w:type="dxa"/>
            <w:tcBorders>
              <w:top w:val="single" w:sz="4" w:space="0" w:color="92D050"/>
              <w:bottom w:val="single" w:sz="4" w:space="0" w:color="92D050"/>
            </w:tcBorders>
          </w:tcPr>
          <w:p>
            <w:pPr>
              <w:pStyle w:val="TableParagraph"/>
              <w:spacing w:before="70"/>
              <w:ind w:left="470" w:right="586"/>
              <w:rPr>
                <w:sz w:val="18"/>
              </w:rPr>
            </w:pPr>
            <w:r>
              <w:rPr>
                <w:w w:val="105"/>
                <w:sz w:val="18"/>
              </w:rPr>
              <w:t>Q4, FY 2017</w:t>
            </w:r>
          </w:p>
        </w:tc>
      </w:tr>
      <w:tr>
        <w:trPr>
          <w:trHeight w:val="345" w:hRule="atLeast"/>
        </w:trPr>
        <w:tc>
          <w:tcPr>
            <w:tcW w:w="4686" w:type="dxa"/>
            <w:tcBorders>
              <w:top w:val="single" w:sz="4" w:space="0" w:color="92D050"/>
              <w:bottom w:val="single" w:sz="4" w:space="0" w:color="92D050"/>
            </w:tcBorders>
          </w:tcPr>
          <w:p>
            <w:pPr>
              <w:pStyle w:val="TableParagraph"/>
              <w:spacing w:before="68"/>
              <w:ind w:left="683" w:right="499"/>
              <w:rPr>
                <w:sz w:val="18"/>
              </w:rPr>
            </w:pPr>
            <w:r>
              <w:rPr>
                <w:sz w:val="18"/>
              </w:rPr>
              <w:t>Expansion Joint and Waterproofing</w:t>
            </w:r>
          </w:p>
        </w:tc>
        <w:tc>
          <w:tcPr>
            <w:tcW w:w="2777" w:type="dxa"/>
            <w:tcBorders>
              <w:top w:val="single" w:sz="4" w:space="0" w:color="92D050"/>
              <w:bottom w:val="single" w:sz="4" w:space="0" w:color="92D050"/>
            </w:tcBorders>
          </w:tcPr>
          <w:p>
            <w:pPr>
              <w:pStyle w:val="TableParagraph"/>
              <w:spacing w:before="68"/>
              <w:ind w:left="503" w:right="457"/>
              <w:rPr>
                <w:sz w:val="18"/>
              </w:rPr>
            </w:pPr>
            <w:r>
              <w:rPr>
                <w:w w:val="105"/>
                <w:sz w:val="18"/>
              </w:rPr>
              <w:t>0.18</w:t>
            </w:r>
          </w:p>
        </w:tc>
        <w:tc>
          <w:tcPr>
            <w:tcW w:w="3022" w:type="dxa"/>
            <w:tcBorders>
              <w:top w:val="single" w:sz="4" w:space="0" w:color="92D050"/>
              <w:bottom w:val="single" w:sz="4" w:space="0" w:color="92D050"/>
            </w:tcBorders>
          </w:tcPr>
          <w:p>
            <w:pPr>
              <w:pStyle w:val="TableParagraph"/>
              <w:spacing w:before="68"/>
              <w:ind w:left="470" w:right="586"/>
              <w:rPr>
                <w:sz w:val="18"/>
              </w:rPr>
            </w:pPr>
            <w:r>
              <w:rPr>
                <w:w w:val="105"/>
                <w:sz w:val="18"/>
              </w:rPr>
              <w:t>Q4, FY 2017</w:t>
            </w:r>
          </w:p>
        </w:tc>
      </w:tr>
      <w:tr>
        <w:trPr>
          <w:trHeight w:val="345" w:hRule="atLeast"/>
        </w:trPr>
        <w:tc>
          <w:tcPr>
            <w:tcW w:w="4686" w:type="dxa"/>
            <w:tcBorders>
              <w:top w:val="single" w:sz="4" w:space="0" w:color="92D050"/>
              <w:bottom w:val="single" w:sz="4" w:space="0" w:color="92D050"/>
            </w:tcBorders>
          </w:tcPr>
          <w:p>
            <w:pPr>
              <w:pStyle w:val="TableParagraph"/>
              <w:spacing w:before="69"/>
              <w:ind w:left="683" w:right="498"/>
              <w:rPr>
                <w:sz w:val="18"/>
              </w:rPr>
            </w:pPr>
            <w:r>
              <w:rPr>
                <w:sz w:val="18"/>
              </w:rPr>
              <w:t>TCS Space Repair (Q1)</w:t>
            </w:r>
          </w:p>
        </w:tc>
        <w:tc>
          <w:tcPr>
            <w:tcW w:w="2777" w:type="dxa"/>
            <w:tcBorders>
              <w:top w:val="single" w:sz="4" w:space="0" w:color="92D050"/>
              <w:bottom w:val="single" w:sz="4" w:space="0" w:color="92D050"/>
            </w:tcBorders>
          </w:tcPr>
          <w:p>
            <w:pPr>
              <w:pStyle w:val="TableParagraph"/>
              <w:spacing w:before="69"/>
              <w:ind w:left="503" w:right="457"/>
              <w:rPr>
                <w:sz w:val="18"/>
              </w:rPr>
            </w:pPr>
            <w:r>
              <w:rPr>
                <w:w w:val="105"/>
                <w:sz w:val="18"/>
              </w:rPr>
              <w:t>63.26</w:t>
            </w:r>
          </w:p>
        </w:tc>
        <w:tc>
          <w:tcPr>
            <w:tcW w:w="3022" w:type="dxa"/>
            <w:tcBorders>
              <w:top w:val="single" w:sz="4" w:space="0" w:color="92D050"/>
              <w:bottom w:val="single" w:sz="4" w:space="0" w:color="92D050"/>
            </w:tcBorders>
          </w:tcPr>
          <w:p>
            <w:pPr>
              <w:pStyle w:val="TableParagraph"/>
              <w:spacing w:before="69"/>
              <w:ind w:left="470" w:right="586"/>
              <w:rPr>
                <w:sz w:val="18"/>
              </w:rPr>
            </w:pPr>
            <w:r>
              <w:rPr>
                <w:w w:val="105"/>
                <w:sz w:val="18"/>
              </w:rPr>
              <w:t>Q1, FY 2018</w:t>
            </w:r>
          </w:p>
        </w:tc>
      </w:tr>
      <w:tr>
        <w:trPr>
          <w:trHeight w:val="347" w:hRule="atLeast"/>
        </w:trPr>
        <w:tc>
          <w:tcPr>
            <w:tcW w:w="4686" w:type="dxa"/>
            <w:tcBorders>
              <w:top w:val="single" w:sz="4" w:space="0" w:color="92D050"/>
              <w:bottom w:val="single" w:sz="4" w:space="0" w:color="92D050"/>
            </w:tcBorders>
          </w:tcPr>
          <w:p>
            <w:pPr>
              <w:pStyle w:val="TableParagraph"/>
              <w:spacing w:before="68"/>
              <w:ind w:left="683" w:right="499"/>
              <w:rPr>
                <w:sz w:val="18"/>
              </w:rPr>
            </w:pPr>
            <w:r>
              <w:rPr>
                <w:sz w:val="18"/>
              </w:rPr>
              <w:t>ACP Sheet Replacement</w:t>
            </w:r>
          </w:p>
        </w:tc>
        <w:tc>
          <w:tcPr>
            <w:tcW w:w="2777" w:type="dxa"/>
            <w:tcBorders>
              <w:top w:val="single" w:sz="4" w:space="0" w:color="92D050"/>
              <w:bottom w:val="single" w:sz="4" w:space="0" w:color="92D050"/>
            </w:tcBorders>
          </w:tcPr>
          <w:p>
            <w:pPr>
              <w:pStyle w:val="TableParagraph"/>
              <w:spacing w:before="68"/>
              <w:ind w:left="503" w:right="457"/>
              <w:rPr>
                <w:sz w:val="18"/>
              </w:rPr>
            </w:pPr>
            <w:r>
              <w:rPr>
                <w:w w:val="105"/>
                <w:sz w:val="18"/>
              </w:rPr>
              <w:t>19.91</w:t>
            </w:r>
          </w:p>
        </w:tc>
        <w:tc>
          <w:tcPr>
            <w:tcW w:w="3022" w:type="dxa"/>
            <w:tcBorders>
              <w:top w:val="single" w:sz="4" w:space="0" w:color="92D050"/>
              <w:bottom w:val="single" w:sz="4" w:space="0" w:color="92D050"/>
            </w:tcBorders>
          </w:tcPr>
          <w:p>
            <w:pPr>
              <w:pStyle w:val="TableParagraph"/>
              <w:spacing w:before="70"/>
              <w:ind w:left="470" w:right="586"/>
              <w:rPr>
                <w:sz w:val="18"/>
              </w:rPr>
            </w:pPr>
            <w:r>
              <w:rPr>
                <w:w w:val="105"/>
                <w:sz w:val="18"/>
              </w:rPr>
              <w:t>Q1, FY 2018</w:t>
            </w:r>
          </w:p>
        </w:tc>
      </w:tr>
      <w:tr>
        <w:trPr>
          <w:trHeight w:val="345" w:hRule="atLeast"/>
        </w:trPr>
        <w:tc>
          <w:tcPr>
            <w:tcW w:w="4686" w:type="dxa"/>
            <w:tcBorders>
              <w:top w:val="single" w:sz="4" w:space="0" w:color="92D050"/>
              <w:bottom w:val="single" w:sz="4" w:space="0" w:color="92D050"/>
            </w:tcBorders>
          </w:tcPr>
          <w:p>
            <w:pPr>
              <w:pStyle w:val="TableParagraph"/>
              <w:spacing w:before="68"/>
              <w:ind w:left="682" w:right="503"/>
              <w:rPr>
                <w:sz w:val="18"/>
              </w:rPr>
            </w:pPr>
            <w:r>
              <w:rPr>
                <w:sz w:val="18"/>
              </w:rPr>
              <w:t>LED lights for basement parking</w:t>
            </w:r>
          </w:p>
        </w:tc>
        <w:tc>
          <w:tcPr>
            <w:tcW w:w="2777" w:type="dxa"/>
            <w:tcBorders>
              <w:top w:val="single" w:sz="4" w:space="0" w:color="92D050"/>
              <w:bottom w:val="single" w:sz="4" w:space="0" w:color="92D050"/>
            </w:tcBorders>
          </w:tcPr>
          <w:p>
            <w:pPr>
              <w:pStyle w:val="TableParagraph"/>
              <w:spacing w:before="68"/>
              <w:ind w:left="503" w:right="457"/>
              <w:rPr>
                <w:sz w:val="18"/>
              </w:rPr>
            </w:pPr>
            <w:r>
              <w:rPr>
                <w:w w:val="105"/>
                <w:sz w:val="18"/>
              </w:rPr>
              <w:t>0.30</w:t>
            </w:r>
          </w:p>
        </w:tc>
        <w:tc>
          <w:tcPr>
            <w:tcW w:w="3022" w:type="dxa"/>
            <w:tcBorders>
              <w:top w:val="single" w:sz="4" w:space="0" w:color="92D050"/>
              <w:bottom w:val="single" w:sz="4" w:space="0" w:color="92D050"/>
            </w:tcBorders>
          </w:tcPr>
          <w:p>
            <w:pPr>
              <w:pStyle w:val="TableParagraph"/>
              <w:spacing w:before="68"/>
              <w:ind w:left="470" w:right="586"/>
              <w:rPr>
                <w:sz w:val="18"/>
              </w:rPr>
            </w:pPr>
            <w:r>
              <w:rPr>
                <w:w w:val="105"/>
                <w:sz w:val="18"/>
              </w:rPr>
              <w:t>Q2, FY 2018</w:t>
            </w:r>
          </w:p>
        </w:tc>
      </w:tr>
      <w:tr>
        <w:trPr>
          <w:trHeight w:val="345" w:hRule="atLeast"/>
        </w:trPr>
        <w:tc>
          <w:tcPr>
            <w:tcW w:w="4686" w:type="dxa"/>
            <w:tcBorders>
              <w:top w:val="single" w:sz="4" w:space="0" w:color="92D050"/>
              <w:bottom w:val="single" w:sz="4" w:space="0" w:color="92D050"/>
            </w:tcBorders>
          </w:tcPr>
          <w:p>
            <w:pPr>
              <w:pStyle w:val="TableParagraph"/>
              <w:spacing w:before="68"/>
              <w:ind w:left="683" w:right="499"/>
              <w:rPr>
                <w:sz w:val="18"/>
              </w:rPr>
            </w:pPr>
            <w:r>
              <w:rPr>
                <w:sz w:val="18"/>
              </w:rPr>
              <w:t>Basement parking painting</w:t>
            </w:r>
          </w:p>
        </w:tc>
        <w:tc>
          <w:tcPr>
            <w:tcW w:w="2777" w:type="dxa"/>
            <w:tcBorders>
              <w:top w:val="single" w:sz="4" w:space="0" w:color="92D050"/>
              <w:bottom w:val="single" w:sz="4" w:space="0" w:color="92D050"/>
            </w:tcBorders>
          </w:tcPr>
          <w:p>
            <w:pPr>
              <w:pStyle w:val="TableParagraph"/>
              <w:spacing w:before="68"/>
              <w:ind w:left="503" w:right="457"/>
              <w:rPr>
                <w:sz w:val="18"/>
              </w:rPr>
            </w:pPr>
            <w:r>
              <w:rPr>
                <w:w w:val="105"/>
                <w:sz w:val="18"/>
              </w:rPr>
              <w:t>0.35</w:t>
            </w:r>
          </w:p>
        </w:tc>
        <w:tc>
          <w:tcPr>
            <w:tcW w:w="3022" w:type="dxa"/>
            <w:tcBorders>
              <w:top w:val="single" w:sz="4" w:space="0" w:color="92D050"/>
              <w:bottom w:val="single" w:sz="4" w:space="0" w:color="92D050"/>
            </w:tcBorders>
          </w:tcPr>
          <w:p>
            <w:pPr>
              <w:pStyle w:val="TableParagraph"/>
              <w:spacing w:before="68"/>
              <w:ind w:left="470" w:right="586"/>
              <w:rPr>
                <w:sz w:val="18"/>
              </w:rPr>
            </w:pPr>
            <w:r>
              <w:rPr>
                <w:w w:val="105"/>
                <w:sz w:val="18"/>
              </w:rPr>
              <w:t>Q2, FY 2018</w:t>
            </w:r>
          </w:p>
        </w:tc>
      </w:tr>
      <w:tr>
        <w:trPr>
          <w:trHeight w:val="347" w:hRule="atLeast"/>
        </w:trPr>
        <w:tc>
          <w:tcPr>
            <w:tcW w:w="4686" w:type="dxa"/>
            <w:tcBorders>
              <w:top w:val="single" w:sz="4" w:space="0" w:color="92D050"/>
              <w:bottom w:val="single" w:sz="4" w:space="0" w:color="92D050"/>
            </w:tcBorders>
          </w:tcPr>
          <w:p>
            <w:pPr>
              <w:pStyle w:val="TableParagraph"/>
              <w:spacing w:before="68"/>
              <w:ind w:left="683" w:right="501"/>
              <w:rPr>
                <w:sz w:val="18"/>
              </w:rPr>
            </w:pPr>
            <w:r>
              <w:rPr>
                <w:sz w:val="18"/>
              </w:rPr>
              <w:t>Signage Rebranding</w:t>
            </w:r>
          </w:p>
        </w:tc>
        <w:tc>
          <w:tcPr>
            <w:tcW w:w="2777" w:type="dxa"/>
            <w:tcBorders>
              <w:top w:val="single" w:sz="4" w:space="0" w:color="92D050"/>
              <w:bottom w:val="single" w:sz="4" w:space="0" w:color="92D050"/>
            </w:tcBorders>
          </w:tcPr>
          <w:p>
            <w:pPr>
              <w:pStyle w:val="TableParagraph"/>
              <w:spacing w:before="68"/>
              <w:ind w:left="503" w:right="457"/>
              <w:rPr>
                <w:sz w:val="18"/>
              </w:rPr>
            </w:pPr>
            <w:r>
              <w:rPr>
                <w:w w:val="105"/>
                <w:sz w:val="18"/>
              </w:rPr>
              <w:t>8.11</w:t>
            </w:r>
          </w:p>
        </w:tc>
        <w:tc>
          <w:tcPr>
            <w:tcW w:w="3022" w:type="dxa"/>
            <w:tcBorders>
              <w:top w:val="single" w:sz="4" w:space="0" w:color="92D050"/>
              <w:bottom w:val="single" w:sz="4" w:space="0" w:color="92D050"/>
            </w:tcBorders>
          </w:tcPr>
          <w:p>
            <w:pPr>
              <w:pStyle w:val="TableParagraph"/>
              <w:spacing w:before="70"/>
              <w:ind w:left="470" w:right="586"/>
              <w:rPr>
                <w:sz w:val="18"/>
              </w:rPr>
            </w:pPr>
            <w:r>
              <w:rPr>
                <w:w w:val="105"/>
                <w:sz w:val="18"/>
              </w:rPr>
              <w:t>Q2, FY 2021</w:t>
            </w:r>
          </w:p>
        </w:tc>
      </w:tr>
      <w:tr>
        <w:trPr>
          <w:trHeight w:val="345" w:hRule="atLeast"/>
        </w:trPr>
        <w:tc>
          <w:tcPr>
            <w:tcW w:w="4686" w:type="dxa"/>
            <w:tcBorders>
              <w:top w:val="single" w:sz="4" w:space="0" w:color="92D050"/>
              <w:bottom w:val="single" w:sz="4" w:space="0" w:color="92D050"/>
            </w:tcBorders>
          </w:tcPr>
          <w:p>
            <w:pPr>
              <w:pStyle w:val="TableParagraph"/>
              <w:spacing w:before="68"/>
              <w:ind w:left="683" w:right="502"/>
              <w:rPr>
                <w:sz w:val="18"/>
              </w:rPr>
            </w:pPr>
            <w:r>
              <w:rPr>
                <w:sz w:val="18"/>
              </w:rPr>
              <w:t>Fire Hydrant Line Upgrade</w:t>
            </w:r>
          </w:p>
        </w:tc>
        <w:tc>
          <w:tcPr>
            <w:tcW w:w="2777" w:type="dxa"/>
            <w:tcBorders>
              <w:top w:val="single" w:sz="4" w:space="0" w:color="92D050"/>
              <w:bottom w:val="single" w:sz="4" w:space="0" w:color="92D050"/>
            </w:tcBorders>
          </w:tcPr>
          <w:p>
            <w:pPr>
              <w:pStyle w:val="TableParagraph"/>
              <w:spacing w:before="68"/>
              <w:ind w:left="503" w:right="457"/>
              <w:rPr>
                <w:sz w:val="18"/>
              </w:rPr>
            </w:pPr>
            <w:r>
              <w:rPr>
                <w:w w:val="105"/>
                <w:sz w:val="18"/>
              </w:rPr>
              <w:t>25.00</w:t>
            </w:r>
          </w:p>
        </w:tc>
        <w:tc>
          <w:tcPr>
            <w:tcW w:w="3022" w:type="dxa"/>
            <w:tcBorders>
              <w:top w:val="single" w:sz="4" w:space="0" w:color="92D050"/>
              <w:bottom w:val="single" w:sz="4" w:space="0" w:color="92D050"/>
            </w:tcBorders>
          </w:tcPr>
          <w:p>
            <w:pPr>
              <w:pStyle w:val="TableParagraph"/>
              <w:spacing w:before="68"/>
              <w:ind w:left="470" w:right="586"/>
              <w:rPr>
                <w:sz w:val="18"/>
              </w:rPr>
            </w:pPr>
            <w:r>
              <w:rPr>
                <w:w w:val="105"/>
                <w:sz w:val="18"/>
              </w:rPr>
              <w:t>Q1, FY 2022</w:t>
            </w:r>
          </w:p>
        </w:tc>
      </w:tr>
      <w:tr>
        <w:trPr>
          <w:trHeight w:val="345" w:hRule="atLeast"/>
        </w:trPr>
        <w:tc>
          <w:tcPr>
            <w:tcW w:w="4686" w:type="dxa"/>
            <w:tcBorders>
              <w:top w:val="single" w:sz="4" w:space="0" w:color="92D050"/>
              <w:bottom w:val="single" w:sz="4" w:space="0" w:color="92D050"/>
            </w:tcBorders>
          </w:tcPr>
          <w:p>
            <w:pPr>
              <w:pStyle w:val="TableParagraph"/>
              <w:spacing w:before="68"/>
              <w:ind w:left="683" w:right="503"/>
              <w:rPr>
                <w:sz w:val="18"/>
              </w:rPr>
            </w:pPr>
            <w:r>
              <w:rPr>
                <w:sz w:val="18"/>
              </w:rPr>
              <w:t>Reinstatement works for Block Q4 and Q1B</w:t>
            </w:r>
          </w:p>
        </w:tc>
        <w:tc>
          <w:tcPr>
            <w:tcW w:w="2777" w:type="dxa"/>
            <w:tcBorders>
              <w:top w:val="single" w:sz="4" w:space="0" w:color="92D050"/>
              <w:bottom w:val="single" w:sz="4" w:space="0" w:color="92D050"/>
            </w:tcBorders>
          </w:tcPr>
          <w:p>
            <w:pPr>
              <w:pStyle w:val="TableParagraph"/>
              <w:spacing w:before="68"/>
              <w:ind w:left="503" w:right="457"/>
              <w:rPr>
                <w:sz w:val="18"/>
              </w:rPr>
            </w:pPr>
            <w:r>
              <w:rPr>
                <w:w w:val="105"/>
                <w:sz w:val="18"/>
              </w:rPr>
              <w:t>8.00</w:t>
            </w:r>
          </w:p>
        </w:tc>
        <w:tc>
          <w:tcPr>
            <w:tcW w:w="3022" w:type="dxa"/>
            <w:tcBorders>
              <w:top w:val="single" w:sz="4" w:space="0" w:color="92D050"/>
              <w:bottom w:val="single" w:sz="4" w:space="0" w:color="92D050"/>
            </w:tcBorders>
          </w:tcPr>
          <w:p>
            <w:pPr>
              <w:pStyle w:val="TableParagraph"/>
              <w:spacing w:before="68"/>
              <w:ind w:left="470" w:right="586"/>
              <w:rPr>
                <w:sz w:val="18"/>
              </w:rPr>
            </w:pPr>
            <w:r>
              <w:rPr>
                <w:w w:val="105"/>
                <w:sz w:val="18"/>
              </w:rPr>
              <w:t>Q2, FY 2021</w:t>
            </w:r>
          </w:p>
        </w:tc>
      </w:tr>
    </w:tbl>
    <w:p>
      <w:pPr>
        <w:spacing w:before="0"/>
        <w:ind w:left="807" w:right="0" w:firstLine="0"/>
        <w:jc w:val="both"/>
        <w:rPr>
          <w:i/>
          <w:sz w:val="18"/>
        </w:rPr>
      </w:pPr>
      <w:r>
        <w:rPr>
          <w:i/>
          <w:sz w:val="18"/>
        </w:rPr>
        <w:t>Source: Information provided by Client</w:t>
      </w:r>
    </w:p>
    <w:p>
      <w:pPr>
        <w:spacing w:after="0"/>
        <w:jc w:val="both"/>
        <w:rPr>
          <w:sz w:val="18"/>
        </w:rPr>
        <w:sectPr>
          <w:pgSz w:w="11910" w:h="16840"/>
          <w:pgMar w:header="720" w:footer="921" w:top="1660" w:bottom="1120" w:left="460" w:right="480"/>
        </w:sectPr>
      </w:pPr>
    </w:p>
    <w:p>
      <w:pPr>
        <w:pStyle w:val="BodyText"/>
        <w:spacing w:before="7"/>
        <w:rPr>
          <w:i/>
          <w:sz w:val="9"/>
        </w:rPr>
      </w:pPr>
    </w:p>
    <w:p>
      <w:pPr>
        <w:pStyle w:val="ListParagraph"/>
        <w:numPr>
          <w:ilvl w:val="2"/>
          <w:numId w:val="14"/>
        </w:numPr>
        <w:tabs>
          <w:tab w:pos="981" w:val="left" w:leader="none"/>
        </w:tabs>
        <w:spacing w:line="240" w:lineRule="auto" w:before="106" w:after="0"/>
        <w:ind w:left="980" w:right="0" w:hanging="721"/>
        <w:jc w:val="left"/>
        <w:rPr>
          <w:sz w:val="22"/>
        </w:rPr>
      </w:pPr>
      <w:bookmarkStart w:name="_bookmark193" w:id="376"/>
      <w:bookmarkEnd w:id="376"/>
      <w:r>
        <w:rPr/>
      </w:r>
      <w:bookmarkStart w:name="_bookmark193" w:id="377"/>
      <w:bookmarkEnd w:id="377"/>
      <w:r>
        <w:rPr>
          <w:color w:val="1F664D"/>
          <w:sz w:val="22"/>
        </w:rPr>
        <w:t>Pro</w:t>
      </w:r>
      <w:r>
        <w:rPr>
          <w:color w:val="1F664D"/>
          <w:sz w:val="22"/>
        </w:rPr>
        <w:t>perty Photographs</w:t>
      </w:r>
    </w:p>
    <w:p>
      <w:pPr>
        <w:pStyle w:val="BodyText"/>
        <w:spacing w:before="208"/>
        <w:ind w:left="807"/>
      </w:pPr>
      <w:r>
        <w:rPr/>
        <w:t>Please refer to the property photographs highlighted below:</w:t>
      </w:r>
    </w:p>
    <w:p>
      <w:pPr>
        <w:pStyle w:val="BodyText"/>
        <w:spacing w:before="5"/>
        <w:rPr>
          <w:sz w:val="24"/>
        </w:rPr>
      </w:pPr>
      <w:r>
        <w:rPr/>
        <w:pict>
          <v:group style="position:absolute;margin-left:108.860001pt;margin-top:16.171974pt;width:389.65pt;height:15pt;mso-position-horizontal-relative:page;mso-position-vertical-relative:paragraph;z-index:-15267328;mso-wrap-distance-left:0;mso-wrap-distance-right:0" coordorigin="2177,323" coordsize="7793,300">
            <v:rect style="position:absolute;left:2177;top:333;width:7793;height:291" filled="true" fillcolor="#006a4d" stroked="false">
              <v:fill type="solid"/>
            </v:rect>
            <v:rect style="position:absolute;left:2179;top:323;width:7790;height:10" filled="true" fillcolor="#000000" stroked="false">
              <v:fill type="solid"/>
            </v:rect>
            <v:shape style="position:absolute;left:2177;top:333;width:7793;height:291" type="#_x0000_t202" filled="false" stroked="false">
              <v:textbox inset="0,0,0,0">
                <w:txbxContent>
                  <w:p>
                    <w:pPr>
                      <w:spacing w:before="28"/>
                      <w:ind w:left="1917" w:right="1917" w:firstLine="0"/>
                      <w:jc w:val="center"/>
                      <w:rPr>
                        <w:sz w:val="20"/>
                      </w:rPr>
                    </w:pPr>
                    <w:r>
                      <w:rPr>
                        <w:color w:val="FFFFFF"/>
                        <w:sz w:val="20"/>
                      </w:rPr>
                      <w:t>Embassy Quadron</w:t>
                    </w:r>
                  </w:p>
                </w:txbxContent>
              </v:textbox>
              <w10:wrap type="none"/>
            </v:shape>
            <w10:wrap type="topAndBottom"/>
          </v:group>
        </w:pict>
      </w:r>
      <w:r>
        <w:rPr/>
        <w:pict>
          <v:group style="position:absolute;margin-left:111.699997pt;margin-top:39.791973pt;width:186.1pt;height:130.65pt;mso-position-horizontal-relative:page;mso-position-vertical-relative:paragraph;z-index:-15266816;mso-wrap-distance-left:0;mso-wrap-distance-right:0" coordorigin="2234,796" coordsize="3722,2613">
            <v:rect style="position:absolute;left:2239;top:800;width:3712;height:2603" filled="false" stroked="true" strokeweight=".5pt" strokecolor="#000000">
              <v:stroke dashstyle="solid"/>
            </v:rect>
            <v:shape style="position:absolute;left:2388;top:878;width:3162;height:2371" type="#_x0000_t75" stroked="false">
              <v:imagedata r:id="rId204" o:title=""/>
            </v:shape>
            <w10:wrap type="topAndBottom"/>
          </v:group>
        </w:pict>
      </w:r>
      <w:r>
        <w:rPr/>
        <w:pict>
          <v:group style="position:absolute;margin-left:309.350006pt;margin-top:39.041973pt;width:186.1pt;height:132.15pt;mso-position-horizontal-relative:page;mso-position-vertical-relative:paragraph;z-index:-15266304;mso-wrap-distance-left:0;mso-wrap-distance-right:0" coordorigin="6187,781" coordsize="3722,2643">
            <v:rect style="position:absolute;left:6192;top:785;width:3712;height:2633" filled="false" stroked="true" strokeweight=".5pt" strokecolor="#000000">
              <v:stroke dashstyle="solid"/>
            </v:rect>
            <v:shape style="position:absolute;left:6341;top:863;width:3222;height:2416" type="#_x0000_t75" stroked="false">
              <v:imagedata r:id="rId205" o:title=""/>
            </v:shape>
            <w10:wrap type="topAndBottom"/>
          </v:group>
        </w:pict>
      </w:r>
    </w:p>
    <w:p>
      <w:pPr>
        <w:pStyle w:val="BodyText"/>
        <w:spacing w:before="8"/>
        <w:rPr>
          <w:sz w:val="7"/>
        </w:rPr>
      </w:pPr>
    </w:p>
    <w:p>
      <w:pPr>
        <w:pStyle w:val="BodyText"/>
        <w:spacing w:before="11"/>
        <w:rPr>
          <w:sz w:val="7"/>
        </w:rPr>
      </w:pPr>
    </w:p>
    <w:p>
      <w:pPr>
        <w:spacing w:after="0"/>
        <w:rPr>
          <w:sz w:val="7"/>
        </w:rPr>
        <w:sectPr>
          <w:pgSz w:w="11910" w:h="16840"/>
          <w:pgMar w:header="720" w:footer="921" w:top="1660" w:bottom="1120" w:left="460" w:right="480"/>
        </w:sectPr>
      </w:pPr>
    </w:p>
    <w:p>
      <w:pPr>
        <w:spacing w:line="247" w:lineRule="auto" w:before="104"/>
        <w:ind w:left="3330" w:right="-13" w:hanging="1393"/>
        <w:jc w:val="left"/>
        <w:rPr>
          <w:sz w:val="18"/>
        </w:rPr>
      </w:pPr>
      <w:r>
        <w:rPr>
          <w:sz w:val="18"/>
        </w:rPr>
        <w:t>External</w:t>
      </w:r>
      <w:r>
        <w:rPr>
          <w:spacing w:val="-34"/>
          <w:sz w:val="18"/>
        </w:rPr>
        <w:t> </w:t>
      </w:r>
      <w:r>
        <w:rPr>
          <w:sz w:val="18"/>
        </w:rPr>
        <w:t>view</w:t>
      </w:r>
      <w:r>
        <w:rPr>
          <w:spacing w:val="-34"/>
          <w:sz w:val="18"/>
        </w:rPr>
        <w:t> </w:t>
      </w:r>
      <w:r>
        <w:rPr>
          <w:sz w:val="18"/>
        </w:rPr>
        <w:t>of</w:t>
      </w:r>
      <w:r>
        <w:rPr>
          <w:spacing w:val="-34"/>
          <w:sz w:val="18"/>
        </w:rPr>
        <w:t> </w:t>
      </w:r>
      <w:r>
        <w:rPr>
          <w:sz w:val="18"/>
        </w:rPr>
        <w:t>the</w:t>
      </w:r>
      <w:r>
        <w:rPr>
          <w:spacing w:val="-33"/>
          <w:sz w:val="18"/>
        </w:rPr>
        <w:t> </w:t>
      </w:r>
      <w:r>
        <w:rPr>
          <w:sz w:val="18"/>
        </w:rPr>
        <w:t>subject</w:t>
      </w:r>
      <w:r>
        <w:rPr>
          <w:spacing w:val="-33"/>
          <w:sz w:val="18"/>
        </w:rPr>
        <w:t> </w:t>
      </w:r>
      <w:r>
        <w:rPr>
          <w:sz w:val="18"/>
        </w:rPr>
        <w:t>property</w:t>
      </w:r>
      <w:r>
        <w:rPr>
          <w:spacing w:val="-34"/>
          <w:sz w:val="18"/>
        </w:rPr>
        <w:t> </w:t>
      </w:r>
      <w:r>
        <w:rPr>
          <w:sz w:val="18"/>
        </w:rPr>
        <w:t>(SP)</w:t>
      </w:r>
      <w:r>
        <w:rPr>
          <w:spacing w:val="-33"/>
          <w:sz w:val="18"/>
        </w:rPr>
        <w:t> </w:t>
      </w:r>
      <w:r>
        <w:rPr>
          <w:w w:val="130"/>
          <w:sz w:val="18"/>
        </w:rPr>
        <w:t>~ </w:t>
      </w:r>
      <w:r>
        <w:rPr>
          <w:sz w:val="18"/>
        </w:rPr>
        <w:t>Block</w:t>
      </w:r>
      <w:r>
        <w:rPr>
          <w:spacing w:val="-3"/>
          <w:sz w:val="18"/>
        </w:rPr>
        <w:t> </w:t>
      </w:r>
      <w:r>
        <w:rPr>
          <w:sz w:val="18"/>
        </w:rPr>
        <w:t>4</w:t>
      </w:r>
    </w:p>
    <w:p>
      <w:pPr>
        <w:spacing w:before="104"/>
        <w:ind w:left="1301" w:right="0" w:firstLine="0"/>
        <w:jc w:val="left"/>
        <w:rPr>
          <w:sz w:val="18"/>
        </w:rPr>
      </w:pPr>
      <w:r>
        <w:rPr/>
        <w:br w:type="column"/>
      </w:r>
      <w:r>
        <w:rPr>
          <w:sz w:val="18"/>
        </w:rPr>
        <w:t>External view of the SP</w:t>
      </w:r>
    </w:p>
    <w:p>
      <w:pPr>
        <w:spacing w:after="0"/>
        <w:jc w:val="left"/>
        <w:rPr>
          <w:sz w:val="18"/>
        </w:rPr>
        <w:sectPr>
          <w:type w:val="continuous"/>
          <w:pgSz w:w="11910" w:h="16840"/>
          <w:pgMar w:top="800" w:bottom="280" w:left="460" w:right="480"/>
          <w:cols w:num="2" w:equalWidth="0">
            <w:col w:w="5297" w:space="40"/>
            <w:col w:w="5633"/>
          </w:cols>
        </w:sectPr>
      </w:pPr>
    </w:p>
    <w:p>
      <w:pPr>
        <w:pStyle w:val="BodyText"/>
        <w:spacing w:before="8"/>
        <w:rPr>
          <w:sz w:val="18"/>
        </w:rPr>
      </w:pPr>
    </w:p>
    <w:p>
      <w:pPr>
        <w:spacing w:line="240" w:lineRule="auto"/>
        <w:ind w:left="1805" w:right="0" w:firstLine="0"/>
        <w:rPr>
          <w:sz w:val="20"/>
        </w:rPr>
      </w:pPr>
      <w:r>
        <w:rPr>
          <w:position w:val="2"/>
          <w:sz w:val="20"/>
        </w:rPr>
        <w:pict>
          <v:group style="width:186.1pt;height:130.65pt;mso-position-horizontal-relative:char;mso-position-vertical-relative:line" coordorigin="0,0" coordsize="3722,2613">
            <v:rect style="position:absolute;left:5;top:5;width:3712;height:2603" filled="false" stroked="true" strokeweight=".5pt" strokecolor="#000000">
              <v:stroke dashstyle="solid"/>
            </v:rect>
            <v:shape style="position:absolute;left:154;top:81;width:3287;height:2448" type="#_x0000_t75" stroked="false">
              <v:imagedata r:id="rId206" o:title=""/>
            </v:shape>
          </v:group>
        </w:pict>
      </w:r>
      <w:r>
        <w:rPr>
          <w:position w:val="2"/>
          <w:sz w:val="20"/>
        </w:rPr>
      </w:r>
      <w:r>
        <w:rPr>
          <w:rFonts w:ascii="Times New Roman"/>
          <w:spacing w:val="115"/>
          <w:position w:val="2"/>
          <w:sz w:val="20"/>
        </w:rPr>
        <w:t> </w:t>
      </w:r>
      <w:r>
        <w:rPr>
          <w:spacing w:val="115"/>
          <w:sz w:val="20"/>
        </w:rPr>
        <w:pict>
          <v:group style="width:186.1pt;height:130.65pt;mso-position-horizontal-relative:char;mso-position-vertical-relative:line" coordorigin="0,0" coordsize="3722,2613">
            <v:rect style="position:absolute;left:5;top:5;width:3712;height:2603" filled="false" stroked="true" strokeweight=".5pt" strokecolor="#000000">
              <v:stroke dashstyle="solid"/>
            </v:rect>
            <v:shape style="position:absolute;left:154;top:82;width:3250;height:2437" type="#_x0000_t75" stroked="false">
              <v:imagedata r:id="rId207" o:title=""/>
            </v:shape>
          </v:group>
        </w:pict>
      </w:r>
      <w:r>
        <w:rPr>
          <w:spacing w:val="115"/>
          <w:sz w:val="20"/>
        </w:rPr>
      </w:r>
    </w:p>
    <w:p>
      <w:pPr>
        <w:tabs>
          <w:tab w:pos="6652" w:val="left" w:leader="none"/>
        </w:tabs>
        <w:spacing w:before="73"/>
        <w:ind w:left="2742" w:right="0" w:firstLine="0"/>
        <w:jc w:val="left"/>
        <w:rPr>
          <w:sz w:val="18"/>
        </w:rPr>
      </w:pPr>
      <w:r>
        <w:rPr>
          <w:sz w:val="18"/>
        </w:rPr>
        <w:t>External</w:t>
      </w:r>
      <w:r>
        <w:rPr>
          <w:spacing w:val="-24"/>
          <w:sz w:val="18"/>
        </w:rPr>
        <w:t> </w:t>
      </w:r>
      <w:r>
        <w:rPr>
          <w:sz w:val="18"/>
        </w:rPr>
        <w:t>view</w:t>
      </w:r>
      <w:r>
        <w:rPr>
          <w:spacing w:val="-24"/>
          <w:sz w:val="18"/>
        </w:rPr>
        <w:t> </w:t>
      </w:r>
      <w:r>
        <w:rPr>
          <w:sz w:val="18"/>
        </w:rPr>
        <w:t>of</w:t>
      </w:r>
      <w:r>
        <w:rPr>
          <w:spacing w:val="-22"/>
          <w:sz w:val="18"/>
        </w:rPr>
        <w:t> </w:t>
      </w:r>
      <w:r>
        <w:rPr>
          <w:sz w:val="18"/>
        </w:rPr>
        <w:t>the</w:t>
      </w:r>
      <w:r>
        <w:rPr>
          <w:spacing w:val="-23"/>
          <w:sz w:val="18"/>
        </w:rPr>
        <w:t> </w:t>
      </w:r>
      <w:r>
        <w:rPr>
          <w:sz w:val="18"/>
        </w:rPr>
        <w:t>SP</w:t>
        <w:tab/>
        <w:t>View of the food</w:t>
      </w:r>
      <w:r>
        <w:rPr>
          <w:spacing w:val="-16"/>
          <w:sz w:val="18"/>
        </w:rPr>
        <w:t> </w:t>
      </w:r>
      <w:r>
        <w:rPr>
          <w:sz w:val="18"/>
        </w:rPr>
        <w:t>court</w:t>
      </w:r>
    </w:p>
    <w:p>
      <w:pPr>
        <w:pStyle w:val="BodyText"/>
        <w:spacing w:before="2"/>
        <w:rPr>
          <w:sz w:val="13"/>
        </w:rPr>
      </w:pPr>
      <w:r>
        <w:rPr/>
        <w:pict>
          <v:group style="position:absolute;margin-left:112.449997pt;margin-top:9.639805pt;width:186.1pt;height:130.65pt;mso-position-horizontal-relative:page;mso-position-vertical-relative:paragraph;z-index:-15264768;mso-wrap-distance-left:0;mso-wrap-distance-right:0" coordorigin="2249,193" coordsize="3722,2613">
            <v:rect style="position:absolute;left:2254;top:197;width:3712;height:2603" filled="false" stroked="true" strokeweight=".5pt" strokecolor="#000000">
              <v:stroke dashstyle="solid"/>
            </v:rect>
            <v:shape style="position:absolute;left:2403;top:274;width:3274;height:2450" type="#_x0000_t75" stroked="false">
              <v:imagedata r:id="rId208" o:title=""/>
            </v:shape>
            <w10:wrap type="topAndBottom"/>
          </v:group>
        </w:pict>
      </w:r>
      <w:r>
        <w:rPr/>
        <w:pict>
          <v:group style="position:absolute;margin-left:309.850006pt;margin-top:12.079804pt;width:186.1pt;height:130.65pt;mso-position-horizontal-relative:page;mso-position-vertical-relative:paragraph;z-index:-15264256;mso-wrap-distance-left:0;mso-wrap-distance-right:0" coordorigin="6197,242" coordsize="3722,2613">
            <v:rect style="position:absolute;left:6202;top:246;width:3712;height:2603" filled="false" stroked="true" strokeweight=".5pt" strokecolor="#000000">
              <v:stroke dashstyle="solid"/>
            </v:rect>
            <v:shape style="position:absolute;left:6351;top:324;width:3249;height:2437" type="#_x0000_t75" stroked="false">
              <v:imagedata r:id="rId209" o:title=""/>
            </v:shape>
            <w10:wrap type="topAndBottom"/>
          </v:group>
        </w:pict>
      </w:r>
    </w:p>
    <w:p>
      <w:pPr>
        <w:tabs>
          <w:tab w:pos="5886" w:val="left" w:leader="none"/>
        </w:tabs>
        <w:spacing w:before="170" w:after="4"/>
        <w:ind w:left="2646" w:right="0" w:firstLine="0"/>
        <w:jc w:val="left"/>
        <w:rPr>
          <w:sz w:val="18"/>
        </w:rPr>
      </w:pPr>
      <w:r>
        <w:rPr>
          <w:sz w:val="18"/>
        </w:rPr>
        <w:t>View of open</w:t>
      </w:r>
      <w:r>
        <w:rPr>
          <w:spacing w:val="-26"/>
          <w:sz w:val="18"/>
        </w:rPr>
        <w:t> </w:t>
      </w:r>
      <w:r>
        <w:rPr>
          <w:sz w:val="18"/>
        </w:rPr>
        <w:t>air</w:t>
      </w:r>
      <w:r>
        <w:rPr>
          <w:spacing w:val="-8"/>
          <w:sz w:val="18"/>
        </w:rPr>
        <w:t> </w:t>
      </w:r>
      <w:r>
        <w:rPr>
          <w:sz w:val="18"/>
        </w:rPr>
        <w:t>parking</w:t>
        <w:tab/>
        <w:t>Open parking at the subject</w:t>
      </w:r>
      <w:r>
        <w:rPr>
          <w:spacing w:val="-22"/>
          <w:sz w:val="18"/>
        </w:rPr>
        <w:t> </w:t>
      </w:r>
      <w:r>
        <w:rPr>
          <w:sz w:val="18"/>
        </w:rPr>
        <w:t>development</w:t>
      </w:r>
    </w:p>
    <w:p>
      <w:pPr>
        <w:pStyle w:val="BodyText"/>
        <w:spacing w:line="20" w:lineRule="exact"/>
        <w:ind w:left="1705"/>
        <w:rPr>
          <w:sz w:val="2"/>
        </w:rPr>
      </w:pPr>
      <w:r>
        <w:rPr>
          <w:sz w:val="2"/>
        </w:rPr>
        <w:pict>
          <v:group style="width:390.25pt;height:.5pt;mso-position-horizontal-relative:char;mso-position-vertical-relative:line" coordorigin="0,0" coordsize="7805,10">
            <v:shape style="position:absolute;left:0;top:0;width:7805;height:10" coordorigin="0,0" coordsize="7805,10" path="m7804,0l3819,0,3815,0,3805,0,0,0,0,10,3805,10,3815,10,3819,10,7804,10,7804,0xe" filled="true" fillcolor="#92d050" stroked="false">
              <v:path arrowok="t"/>
              <v:fill type="solid"/>
            </v:shape>
          </v:group>
        </w:pict>
      </w:r>
      <w:r>
        <w:rPr>
          <w:sz w:val="2"/>
        </w:rPr>
      </w:r>
    </w:p>
    <w:p>
      <w:pPr>
        <w:spacing w:after="0" w:line="20" w:lineRule="exact"/>
        <w:rPr>
          <w:sz w:val="2"/>
        </w:rPr>
        <w:sectPr>
          <w:type w:val="continuous"/>
          <w:pgSz w:w="11910" w:h="16840"/>
          <w:pgMar w:top="800" w:bottom="280" w:left="460" w:right="480"/>
        </w:sectPr>
      </w:pPr>
    </w:p>
    <w:p>
      <w:pPr>
        <w:pStyle w:val="BodyText"/>
        <w:spacing w:before="7"/>
        <w:rPr>
          <w:sz w:val="9"/>
        </w:rPr>
      </w:pPr>
    </w:p>
    <w:p>
      <w:pPr>
        <w:pStyle w:val="ListParagraph"/>
        <w:numPr>
          <w:ilvl w:val="1"/>
          <w:numId w:val="14"/>
        </w:numPr>
        <w:tabs>
          <w:tab w:pos="837" w:val="left" w:leader="none"/>
        </w:tabs>
        <w:spacing w:line="240" w:lineRule="auto" w:before="106" w:after="0"/>
        <w:ind w:left="836" w:right="0" w:hanging="577"/>
        <w:jc w:val="left"/>
        <w:rPr>
          <w:color w:val="1F6647"/>
          <w:sz w:val="22"/>
        </w:rPr>
      </w:pPr>
      <w:bookmarkStart w:name="_bookmark194" w:id="378"/>
      <w:bookmarkEnd w:id="378"/>
      <w:r>
        <w:rPr/>
      </w:r>
      <w:bookmarkStart w:name="_bookmark194" w:id="379"/>
      <w:bookmarkEnd w:id="379"/>
      <w:r>
        <w:rPr>
          <w:color w:val="1F6647"/>
          <w:sz w:val="22"/>
        </w:rPr>
        <w:t>Tena</w:t>
      </w:r>
      <w:r>
        <w:rPr>
          <w:color w:val="1F6647"/>
          <w:sz w:val="22"/>
        </w:rPr>
        <w:t>ncy Analysis</w:t>
      </w:r>
    </w:p>
    <w:p>
      <w:pPr>
        <w:pStyle w:val="BodyText"/>
        <w:spacing w:before="3"/>
        <w:rPr>
          <w:sz w:val="28"/>
        </w:rPr>
      </w:pPr>
    </w:p>
    <w:p>
      <w:pPr>
        <w:pStyle w:val="ListParagraph"/>
        <w:numPr>
          <w:ilvl w:val="2"/>
          <w:numId w:val="14"/>
        </w:numPr>
        <w:tabs>
          <w:tab w:pos="981" w:val="left" w:leader="none"/>
        </w:tabs>
        <w:spacing w:line="240" w:lineRule="auto" w:before="0" w:after="0"/>
        <w:ind w:left="980" w:right="0" w:hanging="721"/>
        <w:jc w:val="left"/>
        <w:rPr>
          <w:sz w:val="22"/>
        </w:rPr>
      </w:pPr>
      <w:bookmarkStart w:name="_bookmark195" w:id="380"/>
      <w:bookmarkEnd w:id="380"/>
      <w:r>
        <w:rPr/>
      </w:r>
      <w:bookmarkStart w:name="_bookmark195" w:id="381"/>
      <w:bookmarkEnd w:id="381"/>
      <w:r>
        <w:rPr>
          <w:color w:val="1F664D"/>
          <w:sz w:val="22"/>
        </w:rPr>
        <w:t>Histori</w:t>
      </w:r>
      <w:r>
        <w:rPr>
          <w:color w:val="1F664D"/>
          <w:sz w:val="22"/>
        </w:rPr>
        <w:t>cal Committed Occupancy</w:t>
      </w:r>
      <w:r>
        <w:rPr>
          <w:color w:val="1F664D"/>
          <w:spacing w:val="1"/>
          <w:sz w:val="22"/>
        </w:rPr>
        <w:t> </w:t>
      </w:r>
      <w:r>
        <w:rPr>
          <w:color w:val="1F664D"/>
          <w:sz w:val="22"/>
        </w:rPr>
        <w:t>Rates</w:t>
      </w:r>
    </w:p>
    <w:p>
      <w:pPr>
        <w:pStyle w:val="BodyText"/>
        <w:spacing w:before="208"/>
        <w:ind w:left="800"/>
      </w:pPr>
      <w:r>
        <w:rPr/>
        <w:t>The table below highlights the historical occupancy rates at the subject development:</w:t>
      </w:r>
    </w:p>
    <w:p>
      <w:pPr>
        <w:pStyle w:val="BodyText"/>
        <w:spacing w:before="2"/>
        <w:rPr>
          <w:sz w:val="28"/>
        </w:rPr>
      </w:pPr>
    </w:p>
    <w:tbl>
      <w:tblPr>
        <w:tblW w:w="0" w:type="auto"/>
        <w:jc w:val="left"/>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6"/>
        <w:gridCol w:w="2620"/>
        <w:gridCol w:w="2618"/>
        <w:gridCol w:w="2612"/>
      </w:tblGrid>
      <w:tr>
        <w:trPr>
          <w:trHeight w:val="260" w:hRule="atLeast"/>
        </w:trPr>
        <w:tc>
          <w:tcPr>
            <w:tcW w:w="2636" w:type="dxa"/>
            <w:tcBorders>
              <w:top w:val="single" w:sz="6" w:space="0" w:color="69BD28"/>
              <w:bottom w:val="single" w:sz="6" w:space="0" w:color="69BD28"/>
            </w:tcBorders>
            <w:shd w:val="clear" w:color="auto" w:fill="006A4D"/>
          </w:tcPr>
          <w:p>
            <w:pPr>
              <w:pStyle w:val="TableParagraph"/>
              <w:spacing w:before="27"/>
              <w:ind w:left="583" w:right="568"/>
              <w:rPr>
                <w:b/>
                <w:sz w:val="18"/>
              </w:rPr>
            </w:pPr>
            <w:r>
              <w:rPr>
                <w:b/>
                <w:color w:val="FFFFFF"/>
                <w:w w:val="110"/>
                <w:sz w:val="18"/>
              </w:rPr>
              <w:t>March 31, 2017</w:t>
            </w:r>
          </w:p>
        </w:tc>
        <w:tc>
          <w:tcPr>
            <w:tcW w:w="2620" w:type="dxa"/>
            <w:tcBorders>
              <w:top w:val="single" w:sz="6" w:space="0" w:color="69BD28"/>
              <w:bottom w:val="single" w:sz="6" w:space="0" w:color="69BD28"/>
            </w:tcBorders>
            <w:shd w:val="clear" w:color="auto" w:fill="006A4D"/>
          </w:tcPr>
          <w:p>
            <w:pPr>
              <w:pStyle w:val="TableParagraph"/>
              <w:spacing w:before="27"/>
              <w:ind w:left="568" w:right="567"/>
              <w:rPr>
                <w:b/>
                <w:sz w:val="18"/>
              </w:rPr>
            </w:pPr>
            <w:r>
              <w:rPr>
                <w:b/>
                <w:color w:val="FFFFFF"/>
                <w:w w:val="110"/>
                <w:sz w:val="18"/>
              </w:rPr>
              <w:t>March 31, 2018</w:t>
            </w:r>
          </w:p>
        </w:tc>
        <w:tc>
          <w:tcPr>
            <w:tcW w:w="2618" w:type="dxa"/>
            <w:tcBorders>
              <w:top w:val="single" w:sz="6" w:space="0" w:color="69BD28"/>
              <w:bottom w:val="single" w:sz="6" w:space="0" w:color="69BD28"/>
            </w:tcBorders>
            <w:shd w:val="clear" w:color="auto" w:fill="006A4D"/>
          </w:tcPr>
          <w:p>
            <w:pPr>
              <w:pStyle w:val="TableParagraph"/>
              <w:spacing w:before="27"/>
              <w:ind w:left="566" w:right="563"/>
              <w:rPr>
                <w:b/>
                <w:sz w:val="18"/>
              </w:rPr>
            </w:pPr>
            <w:r>
              <w:rPr>
                <w:b/>
                <w:color w:val="FFFFFF"/>
                <w:w w:val="110"/>
                <w:sz w:val="18"/>
              </w:rPr>
              <w:t>March 31, 2019</w:t>
            </w:r>
          </w:p>
        </w:tc>
        <w:tc>
          <w:tcPr>
            <w:tcW w:w="2612" w:type="dxa"/>
            <w:tcBorders>
              <w:top w:val="single" w:sz="6" w:space="0" w:color="69BD28"/>
              <w:bottom w:val="single" w:sz="6" w:space="0" w:color="69BD28"/>
            </w:tcBorders>
            <w:shd w:val="clear" w:color="auto" w:fill="006A4D"/>
          </w:tcPr>
          <w:p>
            <w:pPr>
              <w:pStyle w:val="TableParagraph"/>
              <w:spacing w:before="27"/>
              <w:ind w:left="564" w:right="562"/>
              <w:rPr>
                <w:b/>
                <w:sz w:val="18"/>
              </w:rPr>
            </w:pPr>
            <w:r>
              <w:rPr>
                <w:b/>
                <w:color w:val="FFFFFF"/>
                <w:w w:val="110"/>
                <w:sz w:val="18"/>
              </w:rPr>
              <w:t>March 31, 2020</w:t>
            </w:r>
          </w:p>
        </w:tc>
      </w:tr>
      <w:tr>
        <w:trPr>
          <w:trHeight w:val="261" w:hRule="atLeast"/>
        </w:trPr>
        <w:tc>
          <w:tcPr>
            <w:tcW w:w="2636" w:type="dxa"/>
            <w:tcBorders>
              <w:top w:val="single" w:sz="6" w:space="0" w:color="69BD28"/>
              <w:bottom w:val="single" w:sz="6" w:space="0" w:color="69BD28"/>
            </w:tcBorders>
          </w:tcPr>
          <w:p>
            <w:pPr>
              <w:pStyle w:val="TableParagraph"/>
              <w:spacing w:line="227" w:lineRule="exact" w:before="13"/>
              <w:ind w:left="581" w:right="568"/>
              <w:rPr>
                <w:sz w:val="20"/>
              </w:rPr>
            </w:pPr>
            <w:r>
              <w:rPr>
                <w:w w:val="110"/>
                <w:sz w:val="20"/>
              </w:rPr>
              <w:t>99.7%</w:t>
            </w:r>
          </w:p>
        </w:tc>
        <w:tc>
          <w:tcPr>
            <w:tcW w:w="2620" w:type="dxa"/>
            <w:tcBorders>
              <w:top w:val="single" w:sz="6" w:space="0" w:color="69BD28"/>
              <w:bottom w:val="single" w:sz="6" w:space="0" w:color="69BD28"/>
            </w:tcBorders>
          </w:tcPr>
          <w:p>
            <w:pPr>
              <w:pStyle w:val="TableParagraph"/>
              <w:spacing w:line="227" w:lineRule="exact" w:before="13"/>
              <w:ind w:left="567" w:right="567"/>
              <w:rPr>
                <w:sz w:val="20"/>
              </w:rPr>
            </w:pPr>
            <w:r>
              <w:rPr>
                <w:w w:val="110"/>
                <w:sz w:val="20"/>
              </w:rPr>
              <w:t>98.5%</w:t>
            </w:r>
          </w:p>
        </w:tc>
        <w:tc>
          <w:tcPr>
            <w:tcW w:w="2618" w:type="dxa"/>
            <w:tcBorders>
              <w:top w:val="single" w:sz="6" w:space="0" w:color="69BD28"/>
              <w:bottom w:val="single" w:sz="6" w:space="0" w:color="69BD28"/>
            </w:tcBorders>
          </w:tcPr>
          <w:p>
            <w:pPr>
              <w:pStyle w:val="TableParagraph"/>
              <w:spacing w:line="227" w:lineRule="exact" w:before="13"/>
              <w:ind w:left="565" w:right="565"/>
              <w:rPr>
                <w:sz w:val="20"/>
              </w:rPr>
            </w:pPr>
            <w:r>
              <w:rPr>
                <w:w w:val="110"/>
                <w:sz w:val="20"/>
              </w:rPr>
              <w:t>91.4%</w:t>
            </w:r>
          </w:p>
        </w:tc>
        <w:tc>
          <w:tcPr>
            <w:tcW w:w="2612" w:type="dxa"/>
            <w:tcBorders>
              <w:top w:val="single" w:sz="6" w:space="0" w:color="69BD28"/>
              <w:bottom w:val="single" w:sz="6" w:space="0" w:color="69BD28"/>
            </w:tcBorders>
          </w:tcPr>
          <w:p>
            <w:pPr>
              <w:pStyle w:val="TableParagraph"/>
              <w:spacing w:line="227" w:lineRule="exact" w:before="13"/>
              <w:ind w:left="561" w:right="562"/>
              <w:rPr>
                <w:sz w:val="20"/>
              </w:rPr>
            </w:pPr>
            <w:r>
              <w:rPr>
                <w:w w:val="110"/>
                <w:sz w:val="20"/>
              </w:rPr>
              <w:t>79.0%</w:t>
            </w:r>
          </w:p>
        </w:tc>
      </w:tr>
    </w:tbl>
    <w:p>
      <w:pPr>
        <w:spacing w:before="0"/>
        <w:ind w:left="260" w:right="0" w:firstLine="0"/>
        <w:jc w:val="left"/>
        <w:rPr>
          <w:i/>
          <w:sz w:val="18"/>
        </w:rPr>
      </w:pPr>
      <w:r>
        <w:rPr>
          <w:i/>
          <w:sz w:val="18"/>
        </w:rPr>
        <w:t>Source: Rent rolls provided by the Client; Indicative of committed occupancy</w:t>
      </w:r>
    </w:p>
    <w:p>
      <w:pPr>
        <w:pStyle w:val="BodyText"/>
        <w:spacing w:before="10"/>
        <w:rPr>
          <w:i/>
          <w:sz w:val="26"/>
        </w:rPr>
      </w:pPr>
    </w:p>
    <w:p>
      <w:pPr>
        <w:pStyle w:val="ListParagraph"/>
        <w:numPr>
          <w:ilvl w:val="2"/>
          <w:numId w:val="14"/>
        </w:numPr>
        <w:tabs>
          <w:tab w:pos="981" w:val="left" w:leader="none"/>
        </w:tabs>
        <w:spacing w:line="240" w:lineRule="auto" w:before="0" w:after="0"/>
        <w:ind w:left="980" w:right="0" w:hanging="721"/>
        <w:jc w:val="left"/>
        <w:rPr>
          <w:sz w:val="22"/>
        </w:rPr>
      </w:pPr>
      <w:bookmarkStart w:name="_bookmark196" w:id="382"/>
      <w:bookmarkEnd w:id="382"/>
      <w:r>
        <w:rPr/>
      </w:r>
      <w:bookmarkStart w:name="_bookmark196" w:id="383"/>
      <w:bookmarkEnd w:id="383"/>
      <w:r>
        <w:rPr>
          <w:color w:val="1F664D"/>
          <w:sz w:val="22"/>
        </w:rPr>
        <w:t>Le</w:t>
      </w:r>
      <w:r>
        <w:rPr>
          <w:color w:val="1F664D"/>
          <w:sz w:val="22"/>
        </w:rPr>
        <w:t>ase Expiry</w:t>
      </w:r>
      <w:r>
        <w:rPr>
          <w:color w:val="1F664D"/>
          <w:spacing w:val="-3"/>
          <w:sz w:val="22"/>
        </w:rPr>
        <w:t> </w:t>
      </w:r>
      <w:r>
        <w:rPr>
          <w:color w:val="1F664D"/>
          <w:sz w:val="22"/>
        </w:rPr>
        <w:t>Analysis</w:t>
      </w:r>
    </w:p>
    <w:p>
      <w:pPr>
        <w:pStyle w:val="BodyText"/>
        <w:spacing w:before="209"/>
        <w:ind w:left="800"/>
      </w:pPr>
      <w:r>
        <w:rPr/>
        <w:t>The graph below highlights the area/leases due for expiry in the coming years:</w:t>
      </w:r>
    </w:p>
    <w:p>
      <w:pPr>
        <w:pStyle w:val="BodyText"/>
        <w:spacing w:before="3"/>
        <w:rPr>
          <w:sz w:val="24"/>
        </w:rPr>
      </w:pPr>
      <w:r>
        <w:rPr/>
        <w:pict>
          <v:group style="position:absolute;margin-left:35.279999pt;margin-top:16.040859pt;width:524.3pt;height:14.2pt;mso-position-horizontal-relative:page;mso-position-vertical-relative:paragraph;z-index:-15262720;mso-wrap-distance-left:0;mso-wrap-distance-right:0" coordorigin="706,321" coordsize="10486,284">
            <v:rect style="position:absolute;left:720;top:352;width:10472;height:252" filled="true" fillcolor="#006a4d" stroked="false">
              <v:fill type="solid"/>
            </v:rect>
            <v:rect style="position:absolute;left:720;top:320;width:10472;height:29" filled="true" fillcolor="#1f6b16" stroked="false">
              <v:fill type="solid"/>
            </v:rect>
            <v:rect style="position:absolute;left:720;top:349;width:10472;height:3" filled="true" fillcolor="#006a4d" stroked="false">
              <v:fill type="solid"/>
            </v:rect>
            <v:shape style="position:absolute;left:705;top:349;width:10486;height:255" type="#_x0000_t202" filled="false" stroked="false">
              <v:textbox inset="0,0,0,0">
                <w:txbxContent>
                  <w:p>
                    <w:pPr>
                      <w:spacing w:before="25"/>
                      <w:ind w:left="142" w:right="129" w:firstLine="0"/>
                      <w:jc w:val="center"/>
                      <w:rPr>
                        <w:b/>
                        <w:sz w:val="18"/>
                      </w:rPr>
                    </w:pPr>
                    <w:r>
                      <w:rPr>
                        <w:b/>
                        <w:color w:val="FFFFFF"/>
                        <w:w w:val="105"/>
                        <w:sz w:val="18"/>
                      </w:rPr>
                      <w:t>Lease Expiry</w:t>
                    </w:r>
                  </w:p>
                </w:txbxContent>
              </v:textbox>
              <w10:wrap type="none"/>
            </v:shape>
            <w10:wrap type="topAndBottom"/>
          </v:group>
        </w:pict>
      </w:r>
    </w:p>
    <w:p>
      <w:pPr>
        <w:pStyle w:val="BodyText"/>
        <w:rPr>
          <w:sz w:val="20"/>
        </w:rPr>
      </w:pPr>
    </w:p>
    <w:p>
      <w:pPr>
        <w:pStyle w:val="BodyText"/>
        <w:spacing w:before="8"/>
      </w:pPr>
      <w:r>
        <w:rPr/>
        <w:drawing>
          <wp:anchor distT="0" distB="0" distL="0" distR="0" allowOverlap="1" layoutInCell="1" locked="0" behindDoc="0" simplePos="0" relativeHeight="911">
            <wp:simplePos x="0" y="0"/>
            <wp:positionH relativeFrom="page">
              <wp:posOffset>918624</wp:posOffset>
            </wp:positionH>
            <wp:positionV relativeFrom="paragraph">
              <wp:posOffset>192181</wp:posOffset>
            </wp:positionV>
            <wp:extent cx="4923697" cy="1988820"/>
            <wp:effectExtent l="0" t="0" r="0" b="0"/>
            <wp:wrapTopAndBottom/>
            <wp:docPr id="211" name="image159.jpeg"/>
            <wp:cNvGraphicFramePr>
              <a:graphicFrameLocks noChangeAspect="1"/>
            </wp:cNvGraphicFramePr>
            <a:graphic>
              <a:graphicData uri="http://schemas.openxmlformats.org/drawingml/2006/picture">
                <pic:pic>
                  <pic:nvPicPr>
                    <pic:cNvPr id="212" name="image159.jpeg"/>
                    <pic:cNvPicPr/>
                  </pic:nvPicPr>
                  <pic:blipFill>
                    <a:blip r:embed="rId210" cstate="print"/>
                    <a:stretch>
                      <a:fillRect/>
                    </a:stretch>
                  </pic:blipFill>
                  <pic:spPr>
                    <a:xfrm>
                      <a:off x="0" y="0"/>
                      <a:ext cx="4923697" cy="1988820"/>
                    </a:xfrm>
                    <a:prstGeom prst="rect">
                      <a:avLst/>
                    </a:prstGeom>
                  </pic:spPr>
                </pic:pic>
              </a:graphicData>
            </a:graphic>
          </wp:anchor>
        </w:drawing>
      </w:r>
    </w:p>
    <w:p>
      <w:pPr>
        <w:pStyle w:val="BodyText"/>
        <w:rPr>
          <w:sz w:val="20"/>
        </w:rPr>
      </w:pPr>
    </w:p>
    <w:p>
      <w:pPr>
        <w:pStyle w:val="BodyText"/>
        <w:spacing w:before="1"/>
        <w:rPr>
          <w:sz w:val="23"/>
        </w:rPr>
      </w:pPr>
    </w:p>
    <w:p>
      <w:pPr>
        <w:spacing w:before="0"/>
        <w:ind w:left="800" w:right="0" w:firstLine="0"/>
        <w:jc w:val="both"/>
        <w:rPr>
          <w:i/>
          <w:sz w:val="18"/>
        </w:rPr>
      </w:pPr>
      <w:r>
        <w:rPr>
          <w:i/>
          <w:w w:val="95"/>
          <w:sz w:val="18"/>
        </w:rPr>
        <w:t>Source:</w:t>
      </w:r>
      <w:r>
        <w:rPr>
          <w:i/>
          <w:spacing w:val="-20"/>
          <w:w w:val="95"/>
          <w:sz w:val="18"/>
        </w:rPr>
        <w:t> </w:t>
      </w:r>
      <w:r>
        <w:rPr>
          <w:i/>
          <w:w w:val="95"/>
          <w:sz w:val="18"/>
        </w:rPr>
        <w:t>Rent</w:t>
      </w:r>
      <w:r>
        <w:rPr>
          <w:i/>
          <w:spacing w:val="-18"/>
          <w:w w:val="95"/>
          <w:sz w:val="18"/>
        </w:rPr>
        <w:t> </w:t>
      </w:r>
      <w:r>
        <w:rPr>
          <w:i/>
          <w:w w:val="95"/>
          <w:sz w:val="18"/>
        </w:rPr>
        <w:t>Roll</w:t>
      </w:r>
      <w:r>
        <w:rPr>
          <w:i/>
          <w:spacing w:val="-19"/>
          <w:w w:val="95"/>
          <w:sz w:val="18"/>
        </w:rPr>
        <w:t> </w:t>
      </w:r>
      <w:r>
        <w:rPr>
          <w:i/>
          <w:w w:val="95"/>
          <w:sz w:val="18"/>
        </w:rPr>
        <w:t>(representative</w:t>
      </w:r>
      <w:r>
        <w:rPr>
          <w:i/>
          <w:spacing w:val="-19"/>
          <w:w w:val="95"/>
          <w:sz w:val="18"/>
        </w:rPr>
        <w:t> </w:t>
      </w:r>
      <w:r>
        <w:rPr>
          <w:i/>
          <w:w w:val="95"/>
          <w:sz w:val="18"/>
        </w:rPr>
        <w:t>of</w:t>
      </w:r>
      <w:r>
        <w:rPr>
          <w:i/>
          <w:spacing w:val="-20"/>
          <w:w w:val="95"/>
          <w:sz w:val="18"/>
        </w:rPr>
        <w:t> </w:t>
      </w:r>
      <w:r>
        <w:rPr>
          <w:i/>
          <w:w w:val="95"/>
          <w:sz w:val="18"/>
        </w:rPr>
        <w:t>financial</w:t>
      </w:r>
      <w:r>
        <w:rPr>
          <w:i/>
          <w:spacing w:val="-19"/>
          <w:w w:val="95"/>
          <w:sz w:val="18"/>
        </w:rPr>
        <w:t> </w:t>
      </w:r>
      <w:r>
        <w:rPr>
          <w:i/>
          <w:w w:val="95"/>
          <w:sz w:val="18"/>
        </w:rPr>
        <w:t>years)</w:t>
      </w:r>
    </w:p>
    <w:p>
      <w:pPr>
        <w:pStyle w:val="BodyText"/>
        <w:spacing w:before="11"/>
        <w:rPr>
          <w:i/>
          <w:sz w:val="26"/>
        </w:rPr>
      </w:pPr>
    </w:p>
    <w:p>
      <w:pPr>
        <w:pStyle w:val="BodyText"/>
        <w:spacing w:line="321" w:lineRule="auto"/>
        <w:ind w:left="800" w:right="236"/>
        <w:jc w:val="both"/>
      </w:pPr>
      <w:r>
        <w:rPr/>
        <w:t>Consultants</w:t>
      </w:r>
      <w:r>
        <w:rPr>
          <w:spacing w:val="-17"/>
        </w:rPr>
        <w:t> </w:t>
      </w:r>
      <w:r>
        <w:rPr/>
        <w:t>have</w:t>
      </w:r>
      <w:r>
        <w:rPr>
          <w:spacing w:val="-18"/>
        </w:rPr>
        <w:t> </w:t>
      </w:r>
      <w:r>
        <w:rPr/>
        <w:t>undertaken</w:t>
      </w:r>
      <w:r>
        <w:rPr>
          <w:spacing w:val="-19"/>
        </w:rPr>
        <w:t> </w:t>
      </w:r>
      <w:r>
        <w:rPr/>
        <w:t>an</w:t>
      </w:r>
      <w:r>
        <w:rPr>
          <w:spacing w:val="-16"/>
        </w:rPr>
        <w:t> </w:t>
      </w:r>
      <w:r>
        <w:rPr/>
        <w:t>in-depth</w:t>
      </w:r>
      <w:r>
        <w:rPr>
          <w:spacing w:val="-19"/>
        </w:rPr>
        <w:t> </w:t>
      </w:r>
      <w:r>
        <w:rPr/>
        <w:t>analysis</w:t>
      </w:r>
      <w:r>
        <w:rPr>
          <w:spacing w:val="-17"/>
        </w:rPr>
        <w:t> </w:t>
      </w:r>
      <w:r>
        <w:rPr/>
        <w:t>of</w:t>
      </w:r>
      <w:r>
        <w:rPr>
          <w:spacing w:val="-18"/>
        </w:rPr>
        <w:t> </w:t>
      </w:r>
      <w:r>
        <w:rPr/>
        <w:t>the</w:t>
      </w:r>
      <w:r>
        <w:rPr>
          <w:spacing w:val="-18"/>
        </w:rPr>
        <w:t> </w:t>
      </w:r>
      <w:r>
        <w:rPr/>
        <w:t>rent</w:t>
      </w:r>
      <w:r>
        <w:rPr>
          <w:spacing w:val="-19"/>
        </w:rPr>
        <w:t> </w:t>
      </w:r>
      <w:r>
        <w:rPr/>
        <w:t>roll/</w:t>
      </w:r>
      <w:r>
        <w:rPr>
          <w:spacing w:val="-16"/>
        </w:rPr>
        <w:t> </w:t>
      </w:r>
      <w:r>
        <w:rPr/>
        <w:t>lease</w:t>
      </w:r>
      <w:r>
        <w:rPr>
          <w:spacing w:val="-19"/>
        </w:rPr>
        <w:t> </w:t>
      </w:r>
      <w:r>
        <w:rPr/>
        <w:t>deeds</w:t>
      </w:r>
      <w:r>
        <w:rPr>
          <w:spacing w:val="-18"/>
        </w:rPr>
        <w:t> </w:t>
      </w:r>
      <w:r>
        <w:rPr/>
        <w:t>shared</w:t>
      </w:r>
      <w:r>
        <w:rPr>
          <w:spacing w:val="-17"/>
        </w:rPr>
        <w:t> </w:t>
      </w:r>
      <w:r>
        <w:rPr/>
        <w:t>by</w:t>
      </w:r>
      <w:r>
        <w:rPr>
          <w:spacing w:val="-18"/>
        </w:rPr>
        <w:t> </w:t>
      </w:r>
      <w:r>
        <w:rPr/>
        <w:t>the</w:t>
      </w:r>
      <w:r>
        <w:rPr>
          <w:spacing w:val="-18"/>
        </w:rPr>
        <w:t> </w:t>
      </w:r>
      <w:r>
        <w:rPr/>
        <w:t>Client,</w:t>
      </w:r>
      <w:r>
        <w:rPr>
          <w:spacing w:val="-19"/>
        </w:rPr>
        <w:t> </w:t>
      </w:r>
      <w:r>
        <w:rPr/>
        <w:t>to understand</w:t>
      </w:r>
      <w:r>
        <w:rPr>
          <w:spacing w:val="-28"/>
        </w:rPr>
        <w:t> </w:t>
      </w:r>
      <w:r>
        <w:rPr/>
        <w:t>the</w:t>
      </w:r>
      <w:r>
        <w:rPr>
          <w:spacing w:val="-26"/>
        </w:rPr>
        <w:t> </w:t>
      </w:r>
      <w:r>
        <w:rPr/>
        <w:t>lease</w:t>
      </w:r>
      <w:r>
        <w:rPr>
          <w:spacing w:val="-27"/>
        </w:rPr>
        <w:t> </w:t>
      </w:r>
      <w:r>
        <w:rPr/>
        <w:t>expiry</w:t>
      </w:r>
      <w:r>
        <w:rPr>
          <w:spacing w:val="-25"/>
        </w:rPr>
        <w:t> </w:t>
      </w:r>
      <w:r>
        <w:rPr/>
        <w:t>schedule</w:t>
      </w:r>
      <w:r>
        <w:rPr>
          <w:spacing w:val="-27"/>
        </w:rPr>
        <w:t> </w:t>
      </w:r>
      <w:r>
        <w:rPr/>
        <w:t>of</w:t>
      </w:r>
      <w:r>
        <w:rPr>
          <w:spacing w:val="-27"/>
        </w:rPr>
        <w:t> </w:t>
      </w:r>
      <w:r>
        <w:rPr/>
        <w:t>top</w:t>
      </w:r>
      <w:r>
        <w:rPr>
          <w:spacing w:val="-27"/>
        </w:rPr>
        <w:t> </w:t>
      </w:r>
      <w:r>
        <w:rPr/>
        <w:t>tenants</w:t>
      </w:r>
      <w:r>
        <w:rPr>
          <w:spacing w:val="-26"/>
        </w:rPr>
        <w:t> </w:t>
      </w:r>
      <w:r>
        <w:rPr/>
        <w:t>at</w:t>
      </w:r>
      <w:r>
        <w:rPr>
          <w:spacing w:val="-26"/>
        </w:rPr>
        <w:t> </w:t>
      </w:r>
      <w:r>
        <w:rPr/>
        <w:t>the</w:t>
      </w:r>
      <w:r>
        <w:rPr>
          <w:spacing w:val="-28"/>
        </w:rPr>
        <w:t> </w:t>
      </w:r>
      <w:r>
        <w:rPr/>
        <w:t>subject</w:t>
      </w:r>
      <w:r>
        <w:rPr>
          <w:spacing w:val="-24"/>
        </w:rPr>
        <w:t> </w:t>
      </w:r>
      <w:r>
        <w:rPr/>
        <w:t>property</w:t>
      </w:r>
      <w:r>
        <w:rPr>
          <w:spacing w:val="-27"/>
        </w:rPr>
        <w:t> </w:t>
      </w:r>
      <w:r>
        <w:rPr/>
        <w:t>and</w:t>
      </w:r>
      <w:r>
        <w:rPr>
          <w:spacing w:val="-26"/>
        </w:rPr>
        <w:t> </w:t>
      </w:r>
      <w:r>
        <w:rPr/>
        <w:t>rent</w:t>
      </w:r>
      <w:r>
        <w:rPr>
          <w:spacing w:val="-25"/>
        </w:rPr>
        <w:t> </w:t>
      </w:r>
      <w:r>
        <w:rPr/>
        <w:t>for</w:t>
      </w:r>
      <w:r>
        <w:rPr>
          <w:spacing w:val="-26"/>
        </w:rPr>
        <w:t> </w:t>
      </w:r>
      <w:r>
        <w:rPr/>
        <w:t>those</w:t>
      </w:r>
      <w:r>
        <w:rPr>
          <w:spacing w:val="-27"/>
        </w:rPr>
        <w:t> </w:t>
      </w:r>
      <w:r>
        <w:rPr/>
        <w:t>spaces</w:t>
      </w:r>
      <w:r>
        <w:rPr>
          <w:spacing w:val="-27"/>
        </w:rPr>
        <w:t> </w:t>
      </w:r>
      <w:r>
        <w:rPr/>
        <w:t>as of</w:t>
      </w:r>
      <w:r>
        <w:rPr>
          <w:spacing w:val="-26"/>
        </w:rPr>
        <w:t> </w:t>
      </w:r>
      <w:r>
        <w:rPr/>
        <w:t>date</w:t>
      </w:r>
      <w:r>
        <w:rPr>
          <w:spacing w:val="-25"/>
        </w:rPr>
        <w:t> </w:t>
      </w:r>
      <w:r>
        <w:rPr/>
        <w:t>of</w:t>
      </w:r>
      <w:r>
        <w:rPr>
          <w:spacing w:val="-25"/>
        </w:rPr>
        <w:t> </w:t>
      </w:r>
      <w:r>
        <w:rPr/>
        <w:t>valuation.</w:t>
      </w:r>
      <w:r>
        <w:rPr>
          <w:spacing w:val="-25"/>
        </w:rPr>
        <w:t> </w:t>
      </w:r>
      <w:r>
        <w:rPr/>
        <w:t>The</w:t>
      </w:r>
      <w:r>
        <w:rPr>
          <w:spacing w:val="-25"/>
        </w:rPr>
        <w:t> </w:t>
      </w:r>
      <w:r>
        <w:rPr/>
        <w:t>intent</w:t>
      </w:r>
      <w:r>
        <w:rPr>
          <w:spacing w:val="-25"/>
        </w:rPr>
        <w:t> </w:t>
      </w:r>
      <w:r>
        <w:rPr/>
        <w:t>of</w:t>
      </w:r>
      <w:r>
        <w:rPr>
          <w:spacing w:val="-25"/>
        </w:rPr>
        <w:t> </w:t>
      </w:r>
      <w:r>
        <w:rPr/>
        <w:t>the</w:t>
      </w:r>
      <w:r>
        <w:rPr>
          <w:spacing w:val="-26"/>
        </w:rPr>
        <w:t> </w:t>
      </w:r>
      <w:r>
        <w:rPr/>
        <w:t>same</w:t>
      </w:r>
      <w:r>
        <w:rPr>
          <w:spacing w:val="-26"/>
        </w:rPr>
        <w:t> </w:t>
      </w:r>
      <w:r>
        <w:rPr/>
        <w:t>is</w:t>
      </w:r>
      <w:r>
        <w:rPr>
          <w:spacing w:val="-25"/>
        </w:rPr>
        <w:t> </w:t>
      </w:r>
      <w:r>
        <w:rPr/>
        <w:t>to</w:t>
      </w:r>
      <w:r>
        <w:rPr>
          <w:spacing w:val="-25"/>
        </w:rPr>
        <w:t> </w:t>
      </w:r>
      <w:r>
        <w:rPr/>
        <w:t>analyse</w:t>
      </w:r>
      <w:r>
        <w:rPr>
          <w:spacing w:val="-26"/>
        </w:rPr>
        <w:t> </w:t>
      </w:r>
      <w:r>
        <w:rPr/>
        <w:t>the</w:t>
      </w:r>
      <w:r>
        <w:rPr>
          <w:spacing w:val="-25"/>
        </w:rPr>
        <w:t> </w:t>
      </w:r>
      <w:r>
        <w:rPr/>
        <w:t>risk</w:t>
      </w:r>
      <w:r>
        <w:rPr>
          <w:spacing w:val="-26"/>
        </w:rPr>
        <w:t> </w:t>
      </w:r>
      <w:r>
        <w:rPr/>
        <w:t>of</w:t>
      </w:r>
      <w:r>
        <w:rPr>
          <w:spacing w:val="-25"/>
        </w:rPr>
        <w:t> </w:t>
      </w:r>
      <w:r>
        <w:rPr/>
        <w:t>tenant</w:t>
      </w:r>
      <w:r>
        <w:rPr>
          <w:spacing w:val="-25"/>
        </w:rPr>
        <w:t> </w:t>
      </w:r>
      <w:r>
        <w:rPr/>
        <w:t>churn</w:t>
      </w:r>
      <w:r>
        <w:rPr>
          <w:spacing w:val="-26"/>
        </w:rPr>
        <w:t> </w:t>
      </w:r>
      <w:r>
        <w:rPr/>
        <w:t>as</w:t>
      </w:r>
      <w:r>
        <w:rPr>
          <w:spacing w:val="-24"/>
        </w:rPr>
        <w:t> </w:t>
      </w:r>
      <w:r>
        <w:rPr/>
        <w:t>well</w:t>
      </w:r>
      <w:r>
        <w:rPr>
          <w:spacing w:val="-27"/>
        </w:rPr>
        <w:t> </w:t>
      </w:r>
      <w:r>
        <w:rPr/>
        <w:t>as</w:t>
      </w:r>
      <w:r>
        <w:rPr>
          <w:spacing w:val="-24"/>
        </w:rPr>
        <w:t> </w:t>
      </w:r>
      <w:r>
        <w:rPr/>
        <w:t>assessing</w:t>
      </w:r>
      <w:r>
        <w:rPr>
          <w:spacing w:val="-26"/>
        </w:rPr>
        <w:t> </w:t>
      </w:r>
      <w:r>
        <w:rPr/>
        <w:t>the re-leasing risk for the property along with opining on the timeframe to lease-up the spaces in case</w:t>
      </w:r>
      <w:r>
        <w:rPr>
          <w:spacing w:val="-31"/>
        </w:rPr>
        <w:t> </w:t>
      </w:r>
      <w:r>
        <w:rPr/>
        <w:t>a significant vacancy arises at the</w:t>
      </w:r>
      <w:r>
        <w:rPr>
          <w:spacing w:val="-22"/>
        </w:rPr>
        <w:t> </w:t>
      </w:r>
      <w:r>
        <w:rPr/>
        <w:t>property.</w:t>
      </w:r>
    </w:p>
    <w:p>
      <w:pPr>
        <w:pStyle w:val="BodyText"/>
        <w:spacing w:before="10"/>
        <w:rPr>
          <w:sz w:val="20"/>
        </w:rPr>
      </w:pPr>
    </w:p>
    <w:p>
      <w:pPr>
        <w:pStyle w:val="ListParagraph"/>
        <w:numPr>
          <w:ilvl w:val="2"/>
          <w:numId w:val="14"/>
        </w:numPr>
        <w:tabs>
          <w:tab w:pos="981" w:val="left" w:leader="none"/>
        </w:tabs>
        <w:spacing w:line="240" w:lineRule="auto" w:before="1" w:after="0"/>
        <w:ind w:left="980" w:right="0" w:hanging="721"/>
        <w:jc w:val="left"/>
        <w:rPr>
          <w:sz w:val="22"/>
        </w:rPr>
      </w:pPr>
      <w:bookmarkStart w:name="_bookmark197" w:id="384"/>
      <w:bookmarkEnd w:id="384"/>
      <w:r>
        <w:rPr/>
      </w:r>
      <w:bookmarkStart w:name="_bookmark197" w:id="385"/>
      <w:bookmarkEnd w:id="385"/>
      <w:r>
        <w:rPr>
          <w:color w:val="1F664D"/>
          <w:sz w:val="22"/>
        </w:rPr>
        <w:t>Esc</w:t>
      </w:r>
      <w:r>
        <w:rPr>
          <w:color w:val="1F664D"/>
          <w:sz w:val="22"/>
        </w:rPr>
        <w:t>alation</w:t>
      </w:r>
      <w:r>
        <w:rPr>
          <w:color w:val="1F664D"/>
          <w:spacing w:val="-3"/>
          <w:sz w:val="22"/>
        </w:rPr>
        <w:t> </w:t>
      </w:r>
      <w:r>
        <w:rPr>
          <w:color w:val="1F664D"/>
          <w:sz w:val="22"/>
        </w:rPr>
        <w:t>Analysis</w:t>
      </w:r>
    </w:p>
    <w:p>
      <w:pPr>
        <w:pStyle w:val="BodyText"/>
        <w:spacing w:line="321" w:lineRule="auto" w:before="207"/>
        <w:ind w:left="800" w:right="235"/>
        <w:jc w:val="both"/>
      </w:pPr>
      <w:r>
        <w:rPr/>
        <w:t>As</w:t>
      </w:r>
      <w:r>
        <w:rPr>
          <w:spacing w:val="-25"/>
        </w:rPr>
        <w:t> </w:t>
      </w:r>
      <w:r>
        <w:rPr/>
        <w:t>per</w:t>
      </w:r>
      <w:r>
        <w:rPr>
          <w:spacing w:val="-26"/>
        </w:rPr>
        <w:t> </w:t>
      </w:r>
      <w:r>
        <w:rPr/>
        <w:t>the</w:t>
      </w:r>
      <w:r>
        <w:rPr>
          <w:spacing w:val="-25"/>
        </w:rPr>
        <w:t> </w:t>
      </w:r>
      <w:r>
        <w:rPr/>
        <w:t>review</w:t>
      </w:r>
      <w:r>
        <w:rPr>
          <w:spacing w:val="-25"/>
        </w:rPr>
        <w:t> </w:t>
      </w:r>
      <w:r>
        <w:rPr/>
        <w:t>of</w:t>
      </w:r>
      <w:r>
        <w:rPr>
          <w:spacing w:val="-24"/>
        </w:rPr>
        <w:t> </w:t>
      </w:r>
      <w:r>
        <w:rPr/>
        <w:t>recent</w:t>
      </w:r>
      <w:r>
        <w:rPr>
          <w:spacing w:val="-25"/>
        </w:rPr>
        <w:t> </w:t>
      </w:r>
      <w:r>
        <w:rPr/>
        <w:t>executed</w:t>
      </w:r>
      <w:r>
        <w:rPr>
          <w:spacing w:val="-24"/>
        </w:rPr>
        <w:t> </w:t>
      </w:r>
      <w:r>
        <w:rPr/>
        <w:t>leases</w:t>
      </w:r>
      <w:r>
        <w:rPr>
          <w:spacing w:val="-24"/>
        </w:rPr>
        <w:t> </w:t>
      </w:r>
      <w:r>
        <w:rPr/>
        <w:t>at</w:t>
      </w:r>
      <w:r>
        <w:rPr>
          <w:spacing w:val="-25"/>
        </w:rPr>
        <w:t> </w:t>
      </w:r>
      <w:r>
        <w:rPr/>
        <w:t>the</w:t>
      </w:r>
      <w:r>
        <w:rPr>
          <w:spacing w:val="-27"/>
        </w:rPr>
        <w:t> </w:t>
      </w:r>
      <w:r>
        <w:rPr/>
        <w:t>subject</w:t>
      </w:r>
      <w:r>
        <w:rPr>
          <w:spacing w:val="-25"/>
        </w:rPr>
        <w:t> </w:t>
      </w:r>
      <w:r>
        <w:rPr/>
        <w:t>property</w:t>
      </w:r>
      <w:r>
        <w:rPr>
          <w:spacing w:val="-24"/>
        </w:rPr>
        <w:t> </w:t>
      </w:r>
      <w:r>
        <w:rPr/>
        <w:t>it</w:t>
      </w:r>
      <w:r>
        <w:rPr>
          <w:spacing w:val="-26"/>
        </w:rPr>
        <w:t> </w:t>
      </w:r>
      <w:r>
        <w:rPr/>
        <w:t>is</w:t>
      </w:r>
      <w:r>
        <w:rPr>
          <w:spacing w:val="-24"/>
        </w:rPr>
        <w:t> </w:t>
      </w:r>
      <w:r>
        <w:rPr/>
        <w:t>understood</w:t>
      </w:r>
      <w:r>
        <w:rPr>
          <w:spacing w:val="-26"/>
        </w:rPr>
        <w:t> </w:t>
      </w:r>
      <w:r>
        <w:rPr/>
        <w:t>that</w:t>
      </w:r>
      <w:r>
        <w:rPr>
          <w:spacing w:val="-25"/>
        </w:rPr>
        <w:t> </w:t>
      </w:r>
      <w:r>
        <w:rPr/>
        <w:t>the</w:t>
      </w:r>
      <w:r>
        <w:rPr>
          <w:spacing w:val="-25"/>
        </w:rPr>
        <w:t> </w:t>
      </w:r>
      <w:r>
        <w:rPr/>
        <w:t>contracted escalation</w:t>
      </w:r>
      <w:r>
        <w:rPr>
          <w:spacing w:val="-19"/>
        </w:rPr>
        <w:t> </w:t>
      </w:r>
      <w:r>
        <w:rPr/>
        <w:t>terms</w:t>
      </w:r>
      <w:r>
        <w:rPr>
          <w:spacing w:val="-18"/>
        </w:rPr>
        <w:t> </w:t>
      </w:r>
      <w:r>
        <w:rPr/>
        <w:t>for</w:t>
      </w:r>
      <w:r>
        <w:rPr>
          <w:spacing w:val="-17"/>
        </w:rPr>
        <w:t> </w:t>
      </w:r>
      <w:r>
        <w:rPr/>
        <w:t>these</w:t>
      </w:r>
      <w:r>
        <w:rPr>
          <w:spacing w:val="-17"/>
        </w:rPr>
        <w:t> </w:t>
      </w:r>
      <w:r>
        <w:rPr/>
        <w:t>leases</w:t>
      </w:r>
      <w:r>
        <w:rPr>
          <w:spacing w:val="-17"/>
        </w:rPr>
        <w:t> </w:t>
      </w:r>
      <w:r>
        <w:rPr/>
        <w:t>are</w:t>
      </w:r>
      <w:r>
        <w:rPr>
          <w:spacing w:val="-17"/>
        </w:rPr>
        <w:t> </w:t>
      </w:r>
      <w:r>
        <w:rPr/>
        <w:t>in</w:t>
      </w:r>
      <w:r>
        <w:rPr>
          <w:spacing w:val="-20"/>
        </w:rPr>
        <w:t> </w:t>
      </w:r>
      <w:r>
        <w:rPr/>
        <w:t>the</w:t>
      </w:r>
      <w:r>
        <w:rPr>
          <w:spacing w:val="-17"/>
        </w:rPr>
        <w:t> </w:t>
      </w:r>
      <w:r>
        <w:rPr/>
        <w:t>range</w:t>
      </w:r>
      <w:r>
        <w:rPr>
          <w:spacing w:val="-18"/>
        </w:rPr>
        <w:t> </w:t>
      </w:r>
      <w:r>
        <w:rPr/>
        <w:t>of</w:t>
      </w:r>
      <w:r>
        <w:rPr>
          <w:spacing w:val="-16"/>
        </w:rPr>
        <w:t> </w:t>
      </w:r>
      <w:r>
        <w:rPr/>
        <w:t>10%</w:t>
      </w:r>
      <w:r>
        <w:rPr>
          <w:spacing w:val="-17"/>
        </w:rPr>
        <w:t> </w:t>
      </w:r>
      <w:r>
        <w:rPr/>
        <w:t>to</w:t>
      </w:r>
      <w:r>
        <w:rPr>
          <w:spacing w:val="-20"/>
        </w:rPr>
        <w:t> </w:t>
      </w:r>
      <w:r>
        <w:rPr/>
        <w:t>15%</w:t>
      </w:r>
      <w:r>
        <w:rPr>
          <w:spacing w:val="-17"/>
        </w:rPr>
        <w:t> </w:t>
      </w:r>
      <w:r>
        <w:rPr/>
        <w:t>every</w:t>
      </w:r>
      <w:r>
        <w:rPr>
          <w:spacing w:val="-17"/>
        </w:rPr>
        <w:t> </w:t>
      </w:r>
      <w:r>
        <w:rPr/>
        <w:t>3</w:t>
      </w:r>
      <w:r>
        <w:rPr>
          <w:spacing w:val="-20"/>
        </w:rPr>
        <w:t> </w:t>
      </w:r>
      <w:r>
        <w:rPr/>
        <w:t>years</w:t>
      </w:r>
      <w:r>
        <w:rPr>
          <w:spacing w:val="-16"/>
        </w:rPr>
        <w:t> </w:t>
      </w:r>
      <w:r>
        <w:rPr/>
        <w:t>which</w:t>
      </w:r>
      <w:r>
        <w:rPr>
          <w:spacing w:val="-18"/>
        </w:rPr>
        <w:t> </w:t>
      </w:r>
      <w:r>
        <w:rPr/>
        <w:t>are</w:t>
      </w:r>
      <w:r>
        <w:rPr>
          <w:spacing w:val="-18"/>
        </w:rPr>
        <w:t> </w:t>
      </w:r>
      <w:r>
        <w:rPr/>
        <w:t>in</w:t>
      </w:r>
      <w:r>
        <w:rPr>
          <w:spacing w:val="-18"/>
        </w:rPr>
        <w:t> </w:t>
      </w:r>
      <w:r>
        <w:rPr/>
        <w:t>line</w:t>
      </w:r>
      <w:r>
        <w:rPr>
          <w:spacing w:val="-20"/>
        </w:rPr>
        <w:t> </w:t>
      </w:r>
      <w:r>
        <w:rPr/>
        <w:t>with</w:t>
      </w:r>
      <w:r>
        <w:rPr>
          <w:spacing w:val="-18"/>
        </w:rPr>
        <w:t> </w:t>
      </w:r>
      <w:r>
        <w:rPr/>
        <w:t>the prevailing</w:t>
      </w:r>
      <w:r>
        <w:rPr>
          <w:spacing w:val="-6"/>
        </w:rPr>
        <w:t> </w:t>
      </w:r>
      <w:r>
        <w:rPr/>
        <w:t>market</w:t>
      </w:r>
      <w:r>
        <w:rPr>
          <w:spacing w:val="-7"/>
        </w:rPr>
        <w:t> </w:t>
      </w:r>
      <w:r>
        <w:rPr/>
        <w:t>practice</w:t>
      </w:r>
      <w:r>
        <w:rPr>
          <w:spacing w:val="-7"/>
        </w:rPr>
        <w:t> </w:t>
      </w:r>
      <w:r>
        <w:rPr/>
        <w:t>witnessed</w:t>
      </w:r>
      <w:r>
        <w:rPr>
          <w:spacing w:val="-4"/>
        </w:rPr>
        <w:t> </w:t>
      </w:r>
      <w:r>
        <w:rPr/>
        <w:t>across</w:t>
      </w:r>
      <w:r>
        <w:rPr>
          <w:spacing w:val="-6"/>
        </w:rPr>
        <w:t> </w:t>
      </w:r>
      <w:r>
        <w:rPr/>
        <w:t>the</w:t>
      </w:r>
      <w:r>
        <w:rPr>
          <w:spacing w:val="-8"/>
        </w:rPr>
        <w:t> </w:t>
      </w:r>
      <w:r>
        <w:rPr/>
        <w:t>submarket</w:t>
      </w:r>
      <w:r>
        <w:rPr>
          <w:spacing w:val="-6"/>
        </w:rPr>
        <w:t> </w:t>
      </w:r>
      <w:r>
        <w:rPr/>
        <w:t>and</w:t>
      </w:r>
      <w:r>
        <w:rPr>
          <w:spacing w:val="-6"/>
        </w:rPr>
        <w:t> </w:t>
      </w:r>
      <w:r>
        <w:rPr/>
        <w:t>Pune.</w:t>
      </w:r>
    </w:p>
    <w:p>
      <w:pPr>
        <w:spacing w:after="0" w:line="321" w:lineRule="auto"/>
        <w:jc w:val="both"/>
        <w:sectPr>
          <w:pgSz w:w="11910" w:h="16840"/>
          <w:pgMar w:header="720" w:footer="921" w:top="1660" w:bottom="1120" w:left="460" w:right="480"/>
        </w:sectPr>
      </w:pPr>
    </w:p>
    <w:p>
      <w:pPr>
        <w:pStyle w:val="BodyText"/>
        <w:spacing w:before="7"/>
        <w:rPr>
          <w:sz w:val="9"/>
        </w:rPr>
      </w:pPr>
    </w:p>
    <w:p>
      <w:pPr>
        <w:pStyle w:val="ListParagraph"/>
        <w:numPr>
          <w:ilvl w:val="1"/>
          <w:numId w:val="14"/>
        </w:numPr>
        <w:tabs>
          <w:tab w:pos="837" w:val="left" w:leader="none"/>
        </w:tabs>
        <w:spacing w:line="240" w:lineRule="auto" w:before="106" w:after="0"/>
        <w:ind w:left="836" w:right="0" w:hanging="577"/>
        <w:jc w:val="left"/>
        <w:rPr>
          <w:color w:val="1F6647"/>
          <w:sz w:val="22"/>
        </w:rPr>
      </w:pPr>
      <w:bookmarkStart w:name="_bookmark198" w:id="386"/>
      <w:bookmarkEnd w:id="386"/>
      <w:r>
        <w:rPr/>
      </w:r>
      <w:bookmarkStart w:name="_bookmark198" w:id="387"/>
      <w:bookmarkEnd w:id="387"/>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line="321" w:lineRule="auto" w:before="208"/>
        <w:ind w:left="800" w:right="234" w:firstLine="60"/>
        <w:jc w:val="both"/>
      </w:pPr>
      <w:r>
        <w:rPr/>
        <w:t>As</w:t>
      </w:r>
      <w:r>
        <w:rPr>
          <w:spacing w:val="-34"/>
        </w:rPr>
        <w:t> </w:t>
      </w:r>
      <w:r>
        <w:rPr/>
        <w:t>highlighted</w:t>
      </w:r>
      <w:r>
        <w:rPr>
          <w:spacing w:val="-36"/>
        </w:rPr>
        <w:t> </w:t>
      </w:r>
      <w:r>
        <w:rPr/>
        <w:t>earlier,</w:t>
      </w:r>
      <w:r>
        <w:rPr>
          <w:spacing w:val="-35"/>
        </w:rPr>
        <w:t> </w:t>
      </w:r>
      <w:r>
        <w:rPr/>
        <w:t>the</w:t>
      </w:r>
      <w:r>
        <w:rPr>
          <w:spacing w:val="-35"/>
        </w:rPr>
        <w:t> </w:t>
      </w:r>
      <w:r>
        <w:rPr/>
        <w:t>subject</w:t>
      </w:r>
      <w:r>
        <w:rPr>
          <w:spacing w:val="-36"/>
        </w:rPr>
        <w:t> </w:t>
      </w:r>
      <w:r>
        <w:rPr/>
        <w:t>property</w:t>
      </w:r>
      <w:r>
        <w:rPr>
          <w:spacing w:val="-34"/>
        </w:rPr>
        <w:t> </w:t>
      </w:r>
      <w:r>
        <w:rPr/>
        <w:t>is</w:t>
      </w:r>
      <w:r>
        <w:rPr>
          <w:spacing w:val="-35"/>
        </w:rPr>
        <w:t> </w:t>
      </w:r>
      <w:r>
        <w:rPr/>
        <w:t>a</w:t>
      </w:r>
      <w:r>
        <w:rPr>
          <w:spacing w:val="-35"/>
        </w:rPr>
        <w:t> </w:t>
      </w:r>
      <w:r>
        <w:rPr/>
        <w:t>commercial</w:t>
      </w:r>
      <w:r>
        <w:rPr>
          <w:spacing w:val="-35"/>
        </w:rPr>
        <w:t> </w:t>
      </w:r>
      <w:r>
        <w:rPr/>
        <w:t>development</w:t>
      </w:r>
      <w:r>
        <w:rPr>
          <w:spacing w:val="-36"/>
        </w:rPr>
        <w:t> </w:t>
      </w:r>
      <w:r>
        <w:rPr/>
        <w:t>situated</w:t>
      </w:r>
      <w:r>
        <w:rPr>
          <w:spacing w:val="-36"/>
        </w:rPr>
        <w:t> </w:t>
      </w:r>
      <w:r>
        <w:rPr/>
        <w:t>within</w:t>
      </w:r>
      <w:r>
        <w:rPr>
          <w:spacing w:val="-35"/>
        </w:rPr>
        <w:t> </w:t>
      </w:r>
      <w:r>
        <w:rPr/>
        <w:t>the</w:t>
      </w:r>
      <w:r>
        <w:rPr>
          <w:spacing w:val="-36"/>
        </w:rPr>
        <w:t> </w:t>
      </w:r>
      <w:r>
        <w:rPr/>
        <w:t>submarket of</w:t>
      </w:r>
      <w:r>
        <w:rPr>
          <w:spacing w:val="-35"/>
        </w:rPr>
        <w:t> </w:t>
      </w:r>
      <w:r>
        <w:rPr/>
        <w:t>Hinjewadi</w:t>
      </w:r>
      <w:r>
        <w:rPr>
          <w:spacing w:val="-34"/>
        </w:rPr>
        <w:t> </w:t>
      </w:r>
      <w:r>
        <w:rPr/>
        <w:t>which</w:t>
      </w:r>
      <w:r>
        <w:rPr>
          <w:spacing w:val="-35"/>
        </w:rPr>
        <w:t> </w:t>
      </w:r>
      <w:r>
        <w:rPr/>
        <w:t>lies</w:t>
      </w:r>
      <w:r>
        <w:rPr>
          <w:spacing w:val="-34"/>
        </w:rPr>
        <w:t> </w:t>
      </w:r>
      <w:r>
        <w:rPr/>
        <w:t>in</w:t>
      </w:r>
      <w:r>
        <w:rPr>
          <w:spacing w:val="-35"/>
        </w:rPr>
        <w:t> </w:t>
      </w:r>
      <w:r>
        <w:rPr/>
        <w:t>the</w:t>
      </w:r>
      <w:r>
        <w:rPr>
          <w:spacing w:val="-35"/>
        </w:rPr>
        <w:t> </w:t>
      </w:r>
      <w:r>
        <w:rPr/>
        <w:t>western</w:t>
      </w:r>
      <w:r>
        <w:rPr>
          <w:spacing w:val="-34"/>
        </w:rPr>
        <w:t> </w:t>
      </w:r>
      <w:r>
        <w:rPr/>
        <w:t>periphery</w:t>
      </w:r>
      <w:r>
        <w:rPr>
          <w:spacing w:val="-34"/>
        </w:rPr>
        <w:t> </w:t>
      </w:r>
      <w:r>
        <w:rPr/>
        <w:t>of</w:t>
      </w:r>
      <w:r>
        <w:rPr>
          <w:spacing w:val="-35"/>
        </w:rPr>
        <w:t> </w:t>
      </w:r>
      <w:r>
        <w:rPr/>
        <w:t>Pune</w:t>
      </w:r>
      <w:r>
        <w:rPr>
          <w:spacing w:val="-35"/>
        </w:rPr>
        <w:t> </w:t>
      </w:r>
      <w:r>
        <w:rPr/>
        <w:t>city.</w:t>
      </w:r>
      <w:r>
        <w:rPr>
          <w:spacing w:val="-35"/>
        </w:rPr>
        <w:t> </w:t>
      </w:r>
      <w:r>
        <w:rPr/>
        <w:t>The</w:t>
      </w:r>
      <w:r>
        <w:rPr>
          <w:spacing w:val="-35"/>
        </w:rPr>
        <w:t> </w:t>
      </w:r>
      <w:r>
        <w:rPr/>
        <w:t>submarket</w:t>
      </w:r>
      <w:r>
        <w:rPr>
          <w:spacing w:val="-35"/>
        </w:rPr>
        <w:t> </w:t>
      </w:r>
      <w:r>
        <w:rPr/>
        <w:t>has</w:t>
      </w:r>
      <w:r>
        <w:rPr>
          <w:spacing w:val="-34"/>
        </w:rPr>
        <w:t> </w:t>
      </w:r>
      <w:r>
        <w:rPr/>
        <w:t>presence</w:t>
      </w:r>
      <w:r>
        <w:rPr>
          <w:spacing w:val="-34"/>
        </w:rPr>
        <w:t> </w:t>
      </w:r>
      <w:r>
        <w:rPr/>
        <w:t>of</w:t>
      </w:r>
      <w:r>
        <w:rPr>
          <w:spacing w:val="-35"/>
        </w:rPr>
        <w:t> </w:t>
      </w:r>
      <w:r>
        <w:rPr/>
        <w:t>established technology</w:t>
      </w:r>
      <w:r>
        <w:rPr>
          <w:spacing w:val="-33"/>
        </w:rPr>
        <w:t> </w:t>
      </w:r>
      <w:r>
        <w:rPr/>
        <w:t>parks</w:t>
      </w:r>
      <w:r>
        <w:rPr>
          <w:spacing w:val="-33"/>
        </w:rPr>
        <w:t> </w:t>
      </w:r>
      <w:r>
        <w:rPr/>
        <w:t>under</w:t>
      </w:r>
      <w:r>
        <w:rPr>
          <w:spacing w:val="-34"/>
        </w:rPr>
        <w:t> </w:t>
      </w:r>
      <w:r>
        <w:rPr/>
        <w:t>the</w:t>
      </w:r>
      <w:r>
        <w:rPr>
          <w:spacing w:val="-33"/>
        </w:rPr>
        <w:t> </w:t>
      </w:r>
      <w:r>
        <w:rPr/>
        <w:t>3</w:t>
      </w:r>
      <w:r>
        <w:rPr>
          <w:spacing w:val="-34"/>
        </w:rPr>
        <w:t> </w:t>
      </w:r>
      <w:r>
        <w:rPr/>
        <w:t>phases</w:t>
      </w:r>
      <w:r>
        <w:rPr>
          <w:spacing w:val="-33"/>
        </w:rPr>
        <w:t> </w:t>
      </w:r>
      <w:r>
        <w:rPr/>
        <w:t>of</w:t>
      </w:r>
      <w:r>
        <w:rPr>
          <w:spacing w:val="-33"/>
        </w:rPr>
        <w:t> </w:t>
      </w:r>
      <w:r>
        <w:rPr/>
        <w:t>Rajiv</w:t>
      </w:r>
      <w:r>
        <w:rPr>
          <w:spacing w:val="-32"/>
        </w:rPr>
        <w:t> </w:t>
      </w:r>
      <w:r>
        <w:rPr/>
        <w:t>Gandhi</w:t>
      </w:r>
      <w:r>
        <w:rPr>
          <w:spacing w:val="-34"/>
        </w:rPr>
        <w:t> </w:t>
      </w:r>
      <w:r>
        <w:rPr/>
        <w:t>Infotech</w:t>
      </w:r>
      <w:r>
        <w:rPr>
          <w:spacing w:val="-34"/>
        </w:rPr>
        <w:t> </w:t>
      </w:r>
      <w:r>
        <w:rPr/>
        <w:t>Park.</w:t>
      </w:r>
      <w:r>
        <w:rPr>
          <w:spacing w:val="-33"/>
        </w:rPr>
        <w:t> </w:t>
      </w:r>
      <w:r>
        <w:rPr/>
        <w:t>The</w:t>
      </w:r>
      <w:r>
        <w:rPr>
          <w:spacing w:val="-34"/>
        </w:rPr>
        <w:t> </w:t>
      </w:r>
      <w:r>
        <w:rPr/>
        <w:t>region</w:t>
      </w:r>
      <w:r>
        <w:rPr>
          <w:spacing w:val="-34"/>
        </w:rPr>
        <w:t> </w:t>
      </w:r>
      <w:r>
        <w:rPr/>
        <w:t>is</w:t>
      </w:r>
      <w:r>
        <w:rPr>
          <w:spacing w:val="-33"/>
        </w:rPr>
        <w:t> </w:t>
      </w:r>
      <w:r>
        <w:rPr/>
        <w:t>characterised</w:t>
      </w:r>
      <w:r>
        <w:rPr>
          <w:spacing w:val="-33"/>
        </w:rPr>
        <w:t> </w:t>
      </w:r>
      <w:r>
        <w:rPr/>
        <w:t>by</w:t>
      </w:r>
      <w:r>
        <w:rPr>
          <w:spacing w:val="-32"/>
        </w:rPr>
        <w:t> </w:t>
      </w:r>
      <w:r>
        <w:rPr/>
        <w:t>quality grade</w:t>
      </w:r>
      <w:r>
        <w:rPr>
          <w:spacing w:val="-31"/>
        </w:rPr>
        <w:t> </w:t>
      </w:r>
      <w:r>
        <w:rPr/>
        <w:t>commercial</w:t>
      </w:r>
      <w:r>
        <w:rPr>
          <w:spacing w:val="-31"/>
        </w:rPr>
        <w:t> </w:t>
      </w:r>
      <w:r>
        <w:rPr/>
        <w:t>space,</w:t>
      </w:r>
      <w:r>
        <w:rPr>
          <w:spacing w:val="-31"/>
        </w:rPr>
        <w:t> </w:t>
      </w:r>
      <w:r>
        <w:rPr/>
        <w:t>well</w:t>
      </w:r>
      <w:r>
        <w:rPr>
          <w:spacing w:val="-31"/>
        </w:rPr>
        <w:t> </w:t>
      </w:r>
      <w:r>
        <w:rPr/>
        <w:t>laid</w:t>
      </w:r>
      <w:r>
        <w:rPr>
          <w:spacing w:val="-31"/>
        </w:rPr>
        <w:t> </w:t>
      </w:r>
      <w:r>
        <w:rPr/>
        <w:t>physical</w:t>
      </w:r>
      <w:r>
        <w:rPr>
          <w:spacing w:val="-30"/>
        </w:rPr>
        <w:t> </w:t>
      </w:r>
      <w:r>
        <w:rPr/>
        <w:t>infrastructure</w:t>
      </w:r>
      <w:r>
        <w:rPr>
          <w:spacing w:val="-31"/>
        </w:rPr>
        <w:t> </w:t>
      </w:r>
      <w:r>
        <w:rPr/>
        <w:t>along</w:t>
      </w:r>
      <w:r>
        <w:rPr>
          <w:spacing w:val="-30"/>
        </w:rPr>
        <w:t> </w:t>
      </w:r>
      <w:r>
        <w:rPr/>
        <w:t>with</w:t>
      </w:r>
      <w:r>
        <w:rPr>
          <w:spacing w:val="-31"/>
        </w:rPr>
        <w:t> </w:t>
      </w:r>
      <w:r>
        <w:rPr/>
        <w:t>increasing</w:t>
      </w:r>
      <w:r>
        <w:rPr>
          <w:spacing w:val="-30"/>
        </w:rPr>
        <w:t> </w:t>
      </w:r>
      <w:r>
        <w:rPr/>
        <w:t>residential</w:t>
      </w:r>
      <w:r>
        <w:rPr>
          <w:spacing w:val="-31"/>
        </w:rPr>
        <w:t> </w:t>
      </w:r>
      <w:r>
        <w:rPr/>
        <w:t>activity.</w:t>
      </w:r>
      <w:r>
        <w:rPr>
          <w:spacing w:val="-31"/>
        </w:rPr>
        <w:t> </w:t>
      </w:r>
      <w:r>
        <w:rPr/>
        <w:t>The connectivity</w:t>
      </w:r>
      <w:r>
        <w:rPr>
          <w:spacing w:val="-45"/>
        </w:rPr>
        <w:t> </w:t>
      </w:r>
      <w:r>
        <w:rPr/>
        <w:t>of</w:t>
      </w:r>
      <w:r>
        <w:rPr>
          <w:spacing w:val="-44"/>
        </w:rPr>
        <w:t> </w:t>
      </w:r>
      <w:r>
        <w:rPr/>
        <w:t>the</w:t>
      </w:r>
      <w:r>
        <w:rPr>
          <w:spacing w:val="-45"/>
        </w:rPr>
        <w:t> </w:t>
      </w:r>
      <w:r>
        <w:rPr/>
        <w:t>subject</w:t>
      </w:r>
      <w:r>
        <w:rPr>
          <w:spacing w:val="-43"/>
        </w:rPr>
        <w:t> </w:t>
      </w:r>
      <w:r>
        <w:rPr/>
        <w:t>submarket</w:t>
      </w:r>
      <w:r>
        <w:rPr>
          <w:spacing w:val="-44"/>
        </w:rPr>
        <w:t> </w:t>
      </w:r>
      <w:r>
        <w:rPr/>
        <w:t>to</w:t>
      </w:r>
      <w:r>
        <w:rPr>
          <w:spacing w:val="-45"/>
        </w:rPr>
        <w:t> </w:t>
      </w:r>
      <w:r>
        <w:rPr/>
        <w:t>the</w:t>
      </w:r>
      <w:r>
        <w:rPr>
          <w:spacing w:val="-45"/>
        </w:rPr>
        <w:t> </w:t>
      </w:r>
      <w:r>
        <w:rPr/>
        <w:t>rest</w:t>
      </w:r>
      <w:r>
        <w:rPr>
          <w:spacing w:val="-44"/>
        </w:rPr>
        <w:t> </w:t>
      </w:r>
      <w:r>
        <w:rPr/>
        <w:t>of</w:t>
      </w:r>
      <w:r>
        <w:rPr>
          <w:spacing w:val="-44"/>
        </w:rPr>
        <w:t> </w:t>
      </w:r>
      <w:r>
        <w:rPr/>
        <w:t>the</w:t>
      </w:r>
      <w:r>
        <w:rPr>
          <w:spacing w:val="-45"/>
        </w:rPr>
        <w:t> </w:t>
      </w:r>
      <w:r>
        <w:rPr/>
        <w:t>city</w:t>
      </w:r>
      <w:r>
        <w:rPr>
          <w:spacing w:val="-45"/>
        </w:rPr>
        <w:t> </w:t>
      </w:r>
      <w:r>
        <w:rPr/>
        <w:t>is</w:t>
      </w:r>
      <w:r>
        <w:rPr>
          <w:spacing w:val="-44"/>
        </w:rPr>
        <w:t> </w:t>
      </w:r>
      <w:r>
        <w:rPr/>
        <w:t>facilitated</w:t>
      </w:r>
      <w:r>
        <w:rPr>
          <w:spacing w:val="-44"/>
        </w:rPr>
        <w:t> </w:t>
      </w:r>
      <w:r>
        <w:rPr/>
        <w:t>by</w:t>
      </w:r>
      <w:r>
        <w:rPr>
          <w:spacing w:val="-45"/>
        </w:rPr>
        <w:t> </w:t>
      </w:r>
      <w:r>
        <w:rPr/>
        <w:t>the</w:t>
      </w:r>
      <w:r>
        <w:rPr>
          <w:spacing w:val="-45"/>
        </w:rPr>
        <w:t> </w:t>
      </w:r>
      <w:r>
        <w:rPr/>
        <w:t>Mumbai</w:t>
      </w:r>
      <w:r>
        <w:rPr>
          <w:spacing w:val="-44"/>
        </w:rPr>
        <w:t> </w:t>
      </w:r>
      <w:r>
        <w:rPr>
          <w:w w:val="105"/>
        </w:rPr>
        <w:t>–</w:t>
      </w:r>
      <w:r>
        <w:rPr>
          <w:spacing w:val="-48"/>
          <w:w w:val="105"/>
        </w:rPr>
        <w:t> </w:t>
      </w:r>
      <w:r>
        <w:rPr/>
        <w:t>Bengaluru</w:t>
      </w:r>
      <w:r>
        <w:rPr>
          <w:spacing w:val="-45"/>
        </w:rPr>
        <w:t> </w:t>
      </w:r>
      <w:r>
        <w:rPr/>
        <w:t>Bypass Highway.</w:t>
      </w:r>
    </w:p>
    <w:p>
      <w:pPr>
        <w:pStyle w:val="BodyText"/>
        <w:spacing w:before="11"/>
        <w:rPr>
          <w:sz w:val="20"/>
        </w:rPr>
      </w:pPr>
    </w:p>
    <w:p>
      <w:pPr>
        <w:pStyle w:val="BodyText"/>
        <w:spacing w:line="321" w:lineRule="auto"/>
        <w:ind w:left="800" w:right="233"/>
        <w:jc w:val="both"/>
      </w:pPr>
      <w:r>
        <w:rPr/>
        <w:t>Considering</w:t>
      </w:r>
      <w:r>
        <w:rPr>
          <w:spacing w:val="-17"/>
        </w:rPr>
        <w:t> </w:t>
      </w:r>
      <w:r>
        <w:rPr/>
        <w:t>the</w:t>
      </w:r>
      <w:r>
        <w:rPr>
          <w:spacing w:val="-15"/>
        </w:rPr>
        <w:t> </w:t>
      </w:r>
      <w:r>
        <w:rPr/>
        <w:t>growth</w:t>
      </w:r>
      <w:r>
        <w:rPr>
          <w:spacing w:val="-17"/>
        </w:rPr>
        <w:t> </w:t>
      </w:r>
      <w:r>
        <w:rPr/>
        <w:t>of</w:t>
      </w:r>
      <w:r>
        <w:rPr>
          <w:spacing w:val="-15"/>
        </w:rPr>
        <w:t> </w:t>
      </w:r>
      <w:r>
        <w:rPr/>
        <w:t>the</w:t>
      </w:r>
      <w:r>
        <w:rPr>
          <w:spacing w:val="-15"/>
        </w:rPr>
        <w:t> </w:t>
      </w:r>
      <w:r>
        <w:rPr/>
        <w:t>subject</w:t>
      </w:r>
      <w:r>
        <w:rPr>
          <w:spacing w:val="-13"/>
        </w:rPr>
        <w:t> </w:t>
      </w:r>
      <w:r>
        <w:rPr/>
        <w:t>submarket</w:t>
      </w:r>
      <w:r>
        <w:rPr>
          <w:spacing w:val="-14"/>
        </w:rPr>
        <w:t> </w:t>
      </w:r>
      <w:r>
        <w:rPr/>
        <w:t>as</w:t>
      </w:r>
      <w:r>
        <w:rPr>
          <w:spacing w:val="-15"/>
        </w:rPr>
        <w:t> </w:t>
      </w:r>
      <w:r>
        <w:rPr/>
        <w:t>one</w:t>
      </w:r>
      <w:r>
        <w:rPr>
          <w:spacing w:val="-16"/>
        </w:rPr>
        <w:t> </w:t>
      </w:r>
      <w:r>
        <w:rPr/>
        <w:t>of</w:t>
      </w:r>
      <w:r>
        <w:rPr>
          <w:spacing w:val="-15"/>
        </w:rPr>
        <w:t> </w:t>
      </w:r>
      <w:r>
        <w:rPr/>
        <w:t>the</w:t>
      </w:r>
      <w:r>
        <w:rPr>
          <w:spacing w:val="-16"/>
        </w:rPr>
        <w:t> </w:t>
      </w:r>
      <w:r>
        <w:rPr/>
        <w:t>most</w:t>
      </w:r>
      <w:r>
        <w:rPr>
          <w:spacing w:val="-15"/>
        </w:rPr>
        <w:t> </w:t>
      </w:r>
      <w:r>
        <w:rPr/>
        <w:t>prominent</w:t>
      </w:r>
      <w:r>
        <w:rPr>
          <w:spacing w:val="-13"/>
        </w:rPr>
        <w:t> </w:t>
      </w:r>
      <w:r>
        <w:rPr/>
        <w:t>technology</w:t>
      </w:r>
      <w:r>
        <w:rPr>
          <w:spacing w:val="-13"/>
        </w:rPr>
        <w:t> </w:t>
      </w:r>
      <w:r>
        <w:rPr/>
        <w:t>hubs</w:t>
      </w:r>
      <w:r>
        <w:rPr>
          <w:spacing w:val="-15"/>
        </w:rPr>
        <w:t> </w:t>
      </w:r>
      <w:r>
        <w:rPr/>
        <w:t>of</w:t>
      </w:r>
      <w:r>
        <w:rPr>
          <w:spacing w:val="-17"/>
        </w:rPr>
        <w:t> </w:t>
      </w:r>
      <w:r>
        <w:rPr/>
        <w:t>the city,</w:t>
      </w:r>
      <w:r>
        <w:rPr>
          <w:spacing w:val="-44"/>
        </w:rPr>
        <w:t> </w:t>
      </w:r>
      <w:r>
        <w:rPr/>
        <w:t>the</w:t>
      </w:r>
      <w:r>
        <w:rPr>
          <w:spacing w:val="-44"/>
        </w:rPr>
        <w:t> </w:t>
      </w:r>
      <w:r>
        <w:rPr/>
        <w:t>locality</w:t>
      </w:r>
      <w:r>
        <w:rPr>
          <w:spacing w:val="-43"/>
        </w:rPr>
        <w:t> </w:t>
      </w:r>
      <w:r>
        <w:rPr/>
        <w:t>has</w:t>
      </w:r>
      <w:r>
        <w:rPr>
          <w:spacing w:val="-43"/>
        </w:rPr>
        <w:t> </w:t>
      </w:r>
      <w:r>
        <w:rPr/>
        <w:t>witnessed</w:t>
      </w:r>
      <w:r>
        <w:rPr>
          <w:spacing w:val="-43"/>
        </w:rPr>
        <w:t> </w:t>
      </w:r>
      <w:r>
        <w:rPr/>
        <w:t>a</w:t>
      </w:r>
      <w:r>
        <w:rPr>
          <w:spacing w:val="-44"/>
        </w:rPr>
        <w:t> </w:t>
      </w:r>
      <w:r>
        <w:rPr/>
        <w:t>steady</w:t>
      </w:r>
      <w:r>
        <w:rPr>
          <w:spacing w:val="-43"/>
        </w:rPr>
        <w:t> </w:t>
      </w:r>
      <w:r>
        <w:rPr/>
        <w:t>and</w:t>
      </w:r>
      <w:r>
        <w:rPr>
          <w:spacing w:val="-44"/>
        </w:rPr>
        <w:t> </w:t>
      </w:r>
      <w:r>
        <w:rPr/>
        <w:t>sustainable</w:t>
      </w:r>
      <w:r>
        <w:rPr>
          <w:spacing w:val="-44"/>
        </w:rPr>
        <w:t> </w:t>
      </w:r>
      <w:r>
        <w:rPr/>
        <w:t>supply</w:t>
      </w:r>
      <w:r>
        <w:rPr>
          <w:spacing w:val="-43"/>
        </w:rPr>
        <w:t> </w:t>
      </w:r>
      <w:r>
        <w:rPr/>
        <w:t>of</w:t>
      </w:r>
      <w:r>
        <w:rPr>
          <w:spacing w:val="-44"/>
        </w:rPr>
        <w:t> </w:t>
      </w:r>
      <w:r>
        <w:rPr/>
        <w:t>residential</w:t>
      </w:r>
      <w:r>
        <w:rPr>
          <w:spacing w:val="-45"/>
        </w:rPr>
        <w:t> </w:t>
      </w:r>
      <w:r>
        <w:rPr/>
        <w:t>development</w:t>
      </w:r>
      <w:r>
        <w:rPr>
          <w:spacing w:val="-43"/>
        </w:rPr>
        <w:t> </w:t>
      </w:r>
      <w:r>
        <w:rPr/>
        <w:t>for</w:t>
      </w:r>
      <w:r>
        <w:rPr>
          <w:spacing w:val="-44"/>
        </w:rPr>
        <w:t> </w:t>
      </w:r>
      <w:r>
        <w:rPr/>
        <w:t>the</w:t>
      </w:r>
      <w:r>
        <w:rPr>
          <w:spacing w:val="-45"/>
        </w:rPr>
        <w:t> </w:t>
      </w:r>
      <w:r>
        <w:rPr/>
        <w:t>working populace.</w:t>
      </w:r>
      <w:r>
        <w:rPr>
          <w:spacing w:val="-22"/>
        </w:rPr>
        <w:t> </w:t>
      </w:r>
      <w:r>
        <w:rPr/>
        <w:t>Going</w:t>
      </w:r>
      <w:r>
        <w:rPr>
          <w:spacing w:val="-24"/>
        </w:rPr>
        <w:t> </w:t>
      </w:r>
      <w:r>
        <w:rPr/>
        <w:t>forward,</w:t>
      </w:r>
      <w:r>
        <w:rPr>
          <w:spacing w:val="-22"/>
        </w:rPr>
        <w:t> </w:t>
      </w:r>
      <w:r>
        <w:rPr/>
        <w:t>the</w:t>
      </w:r>
      <w:r>
        <w:rPr>
          <w:spacing w:val="-23"/>
        </w:rPr>
        <w:t> </w:t>
      </w:r>
      <w:r>
        <w:rPr/>
        <w:t>profile</w:t>
      </w:r>
      <w:r>
        <w:rPr>
          <w:spacing w:val="-23"/>
        </w:rPr>
        <w:t> </w:t>
      </w:r>
      <w:r>
        <w:rPr/>
        <w:t>of</w:t>
      </w:r>
      <w:r>
        <w:rPr>
          <w:spacing w:val="-21"/>
        </w:rPr>
        <w:t> </w:t>
      </w:r>
      <w:r>
        <w:rPr/>
        <w:t>the</w:t>
      </w:r>
      <w:r>
        <w:rPr>
          <w:spacing w:val="-24"/>
        </w:rPr>
        <w:t> </w:t>
      </w:r>
      <w:r>
        <w:rPr/>
        <w:t>submarket</w:t>
      </w:r>
      <w:r>
        <w:rPr>
          <w:spacing w:val="-21"/>
        </w:rPr>
        <w:t> </w:t>
      </w:r>
      <w:r>
        <w:rPr/>
        <w:t>is</w:t>
      </w:r>
      <w:r>
        <w:rPr>
          <w:spacing w:val="-22"/>
        </w:rPr>
        <w:t> </w:t>
      </w:r>
      <w:r>
        <w:rPr/>
        <w:t>expected</w:t>
      </w:r>
      <w:r>
        <w:rPr>
          <w:spacing w:val="-21"/>
        </w:rPr>
        <w:t> </w:t>
      </w:r>
      <w:r>
        <w:rPr/>
        <w:t>to</w:t>
      </w:r>
      <w:r>
        <w:rPr>
          <w:spacing w:val="-23"/>
        </w:rPr>
        <w:t> </w:t>
      </w:r>
      <w:r>
        <w:rPr/>
        <w:t>be</w:t>
      </w:r>
      <w:r>
        <w:rPr>
          <w:spacing w:val="-23"/>
        </w:rPr>
        <w:t> </w:t>
      </w:r>
      <w:r>
        <w:rPr/>
        <w:t>cemented</w:t>
      </w:r>
      <w:r>
        <w:rPr>
          <w:spacing w:val="-21"/>
        </w:rPr>
        <w:t> </w:t>
      </w:r>
      <w:r>
        <w:rPr/>
        <w:t>as</w:t>
      </w:r>
      <w:r>
        <w:rPr>
          <w:spacing w:val="-22"/>
        </w:rPr>
        <w:t> </w:t>
      </w:r>
      <w:r>
        <w:rPr/>
        <w:t>one</w:t>
      </w:r>
      <w:r>
        <w:rPr>
          <w:spacing w:val="-23"/>
        </w:rPr>
        <w:t> </w:t>
      </w:r>
      <w:r>
        <w:rPr/>
        <w:t>of</w:t>
      </w:r>
      <w:r>
        <w:rPr>
          <w:spacing w:val="-21"/>
        </w:rPr>
        <w:t> </w:t>
      </w:r>
      <w:r>
        <w:rPr/>
        <w:t>the</w:t>
      </w:r>
      <w:r>
        <w:rPr>
          <w:spacing w:val="-24"/>
        </w:rPr>
        <w:t> </w:t>
      </w:r>
      <w:r>
        <w:rPr/>
        <w:t>sought out technology destination of the city along with residential developments to support the working populace.</w:t>
      </w:r>
    </w:p>
    <w:p>
      <w:pPr>
        <w:pStyle w:val="BodyText"/>
        <w:spacing w:before="10"/>
        <w:rPr>
          <w:sz w:val="20"/>
        </w:rPr>
      </w:pPr>
    </w:p>
    <w:p>
      <w:pPr>
        <w:pStyle w:val="ListParagraph"/>
        <w:numPr>
          <w:ilvl w:val="2"/>
          <w:numId w:val="14"/>
        </w:numPr>
        <w:tabs>
          <w:tab w:pos="981" w:val="left" w:leader="none"/>
        </w:tabs>
        <w:spacing w:line="240" w:lineRule="auto" w:before="0" w:after="0"/>
        <w:ind w:left="980" w:right="0" w:hanging="721"/>
        <w:jc w:val="left"/>
        <w:rPr>
          <w:sz w:val="22"/>
        </w:rPr>
      </w:pPr>
      <w:bookmarkStart w:name="_bookmark199" w:id="388"/>
      <w:bookmarkEnd w:id="388"/>
      <w:r>
        <w:rPr/>
      </w:r>
      <w:bookmarkStart w:name="_bookmark199" w:id="389"/>
      <w:bookmarkEnd w:id="389"/>
      <w:r>
        <w:rPr>
          <w:color w:val="1F664D"/>
          <w:w w:val="105"/>
          <w:sz w:val="22"/>
        </w:rPr>
        <w:t>De</w:t>
      </w:r>
      <w:r>
        <w:rPr>
          <w:color w:val="1F664D"/>
          <w:w w:val="105"/>
          <w:sz w:val="22"/>
        </w:rPr>
        <w:t>mand and Supply</w:t>
      </w:r>
      <w:r>
        <w:rPr>
          <w:color w:val="1F664D"/>
          <w:spacing w:val="-17"/>
          <w:w w:val="105"/>
          <w:sz w:val="22"/>
        </w:rPr>
        <w:t> </w:t>
      </w:r>
      <w:r>
        <w:rPr>
          <w:color w:val="1F664D"/>
          <w:w w:val="105"/>
          <w:sz w:val="22"/>
        </w:rPr>
        <w:t>Dynamics</w:t>
      </w:r>
    </w:p>
    <w:p>
      <w:pPr>
        <w:pStyle w:val="BodyText"/>
        <w:spacing w:before="6"/>
        <w:rPr>
          <w:sz w:val="25"/>
        </w:rPr>
      </w:pPr>
    </w:p>
    <w:p>
      <w:pPr>
        <w:spacing w:before="1"/>
        <w:ind w:left="103" w:right="0" w:firstLine="0"/>
        <w:jc w:val="left"/>
        <w:rPr>
          <w:i/>
          <w:sz w:val="20"/>
        </w:rPr>
      </w:pPr>
      <w:r>
        <w:rPr>
          <w:i/>
          <w:color w:val="008000"/>
          <w:w w:val="105"/>
          <w:sz w:val="22"/>
        </w:rPr>
        <w:t>10.3.1.1 </w:t>
      </w:r>
      <w:r>
        <w:rPr>
          <w:i/>
          <w:color w:val="008000"/>
          <w:w w:val="105"/>
          <w:sz w:val="20"/>
        </w:rPr>
        <w:t>Demand, Supply and Vacancy Trends – Pune and West Pune submarket</w:t>
      </w:r>
    </w:p>
    <w:p>
      <w:pPr>
        <w:pStyle w:val="BodyText"/>
        <w:spacing w:before="5"/>
        <w:rPr>
          <w:i/>
          <w:sz w:val="24"/>
        </w:rPr>
      </w:pPr>
    </w:p>
    <w:p>
      <w:pPr>
        <w:pStyle w:val="BodyText"/>
        <w:spacing w:line="280" w:lineRule="auto"/>
        <w:ind w:left="800" w:right="237"/>
        <w:jc w:val="both"/>
      </w:pPr>
      <w:r>
        <w:rPr/>
        <w:t>Total</w:t>
      </w:r>
      <w:r>
        <w:rPr>
          <w:spacing w:val="-27"/>
        </w:rPr>
        <w:t> </w:t>
      </w:r>
      <w:r>
        <w:rPr/>
        <w:t>completed</w:t>
      </w:r>
      <w:r>
        <w:rPr>
          <w:spacing w:val="-27"/>
        </w:rPr>
        <w:t> </w:t>
      </w:r>
      <w:r>
        <w:rPr/>
        <w:t>stock</w:t>
      </w:r>
      <w:r>
        <w:rPr>
          <w:spacing w:val="-27"/>
        </w:rPr>
        <w:t> </w:t>
      </w:r>
      <w:r>
        <w:rPr/>
        <w:t>in</w:t>
      </w:r>
      <w:r>
        <w:rPr>
          <w:spacing w:val="-26"/>
        </w:rPr>
        <w:t> </w:t>
      </w:r>
      <w:r>
        <w:rPr/>
        <w:t>Pune</w:t>
      </w:r>
      <w:r>
        <w:rPr>
          <w:spacing w:val="-27"/>
        </w:rPr>
        <w:t> </w:t>
      </w:r>
      <w:r>
        <w:rPr/>
        <w:t>as</w:t>
      </w:r>
      <w:r>
        <w:rPr>
          <w:spacing w:val="-25"/>
        </w:rPr>
        <w:t> </w:t>
      </w:r>
      <w:r>
        <w:rPr/>
        <w:t>of</w:t>
      </w:r>
      <w:r>
        <w:rPr>
          <w:spacing w:val="-26"/>
        </w:rPr>
        <w:t> </w:t>
      </w:r>
      <w:r>
        <w:rPr/>
        <w:t>Q4,</w:t>
      </w:r>
      <w:r>
        <w:rPr>
          <w:spacing w:val="-26"/>
        </w:rPr>
        <w:t> </w:t>
      </w:r>
      <w:r>
        <w:rPr/>
        <w:t>2019</w:t>
      </w:r>
      <w:r>
        <w:rPr>
          <w:spacing w:val="-27"/>
        </w:rPr>
        <w:t> </w:t>
      </w:r>
      <w:r>
        <w:rPr/>
        <w:t>is</w:t>
      </w:r>
      <w:r>
        <w:rPr>
          <w:spacing w:val="-25"/>
        </w:rPr>
        <w:t> </w:t>
      </w:r>
      <w:r>
        <w:rPr/>
        <w:t>53.52</w:t>
      </w:r>
      <w:r>
        <w:rPr>
          <w:spacing w:val="-25"/>
        </w:rPr>
        <w:t> </w:t>
      </w:r>
      <w:r>
        <w:rPr/>
        <w:t>mn</w:t>
      </w:r>
      <w:r>
        <w:rPr>
          <w:spacing w:val="-26"/>
        </w:rPr>
        <w:t> </w:t>
      </w:r>
      <w:r>
        <w:rPr/>
        <w:t>sf,</w:t>
      </w:r>
      <w:r>
        <w:rPr>
          <w:spacing w:val="-26"/>
        </w:rPr>
        <w:t> </w:t>
      </w:r>
      <w:r>
        <w:rPr/>
        <w:t>out</w:t>
      </w:r>
      <w:r>
        <w:rPr>
          <w:spacing w:val="-27"/>
        </w:rPr>
        <w:t> </w:t>
      </w:r>
      <w:r>
        <w:rPr/>
        <w:t>of</w:t>
      </w:r>
      <w:r>
        <w:rPr>
          <w:spacing w:val="-27"/>
        </w:rPr>
        <w:t> </w:t>
      </w:r>
      <w:r>
        <w:rPr/>
        <w:t>which</w:t>
      </w:r>
      <w:r>
        <w:rPr>
          <w:spacing w:val="-25"/>
        </w:rPr>
        <w:t> </w:t>
      </w:r>
      <w:r>
        <w:rPr/>
        <w:t>West</w:t>
      </w:r>
      <w:r>
        <w:rPr>
          <w:spacing w:val="-28"/>
        </w:rPr>
        <w:t> </w:t>
      </w:r>
      <w:r>
        <w:rPr/>
        <w:t>Pune</w:t>
      </w:r>
      <w:r>
        <w:rPr>
          <w:spacing w:val="-26"/>
        </w:rPr>
        <w:t> </w:t>
      </w:r>
      <w:r>
        <w:rPr/>
        <w:t>account</w:t>
      </w:r>
      <w:r>
        <w:rPr>
          <w:spacing w:val="-26"/>
        </w:rPr>
        <w:t> </w:t>
      </w:r>
      <w:r>
        <w:rPr/>
        <w:t>for</w:t>
      </w:r>
      <w:r>
        <w:rPr>
          <w:spacing w:val="-28"/>
        </w:rPr>
        <w:t> </w:t>
      </w:r>
      <w:r>
        <w:rPr/>
        <w:t>Approx. 19%.</w:t>
      </w:r>
    </w:p>
    <w:p>
      <w:pPr>
        <w:pStyle w:val="BodyText"/>
        <w:spacing w:before="8"/>
        <w:rPr>
          <w:sz w:val="7"/>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30"/>
        <w:gridCol w:w="3054"/>
        <w:gridCol w:w="3089"/>
      </w:tblGrid>
      <w:tr>
        <w:trPr>
          <w:trHeight w:val="455" w:hRule="atLeast"/>
        </w:trPr>
        <w:tc>
          <w:tcPr>
            <w:tcW w:w="4230" w:type="dxa"/>
            <w:tcBorders>
              <w:top w:val="single" w:sz="12" w:space="0" w:color="1F6B16"/>
              <w:bottom w:val="single" w:sz="6" w:space="0" w:color="69BD28"/>
            </w:tcBorders>
            <w:shd w:val="clear" w:color="auto" w:fill="006A4D"/>
          </w:tcPr>
          <w:p>
            <w:pPr>
              <w:pStyle w:val="TableParagraph"/>
              <w:spacing w:before="123"/>
              <w:ind w:left="277" w:right="277"/>
              <w:rPr>
                <w:b/>
                <w:sz w:val="18"/>
              </w:rPr>
            </w:pPr>
            <w:r>
              <w:rPr>
                <w:b/>
                <w:color w:val="FFFFFF"/>
                <w:w w:val="105"/>
                <w:sz w:val="18"/>
              </w:rPr>
              <w:t>Particular</w:t>
            </w:r>
          </w:p>
        </w:tc>
        <w:tc>
          <w:tcPr>
            <w:tcW w:w="3054" w:type="dxa"/>
            <w:tcBorders>
              <w:top w:val="single" w:sz="12" w:space="0" w:color="1F6B16"/>
              <w:bottom w:val="single" w:sz="6" w:space="0" w:color="69BD28"/>
            </w:tcBorders>
            <w:shd w:val="clear" w:color="auto" w:fill="006A4D"/>
          </w:tcPr>
          <w:p>
            <w:pPr>
              <w:pStyle w:val="TableParagraph"/>
              <w:spacing w:before="123"/>
              <w:ind w:left="807" w:right="825"/>
              <w:rPr>
                <w:b/>
                <w:sz w:val="18"/>
              </w:rPr>
            </w:pPr>
            <w:r>
              <w:rPr>
                <w:b/>
                <w:color w:val="FFFFFF"/>
                <w:w w:val="110"/>
                <w:sz w:val="18"/>
              </w:rPr>
              <w:t>Pune</w:t>
            </w:r>
          </w:p>
        </w:tc>
        <w:tc>
          <w:tcPr>
            <w:tcW w:w="3089" w:type="dxa"/>
            <w:tcBorders>
              <w:top w:val="single" w:sz="12" w:space="0" w:color="1F6B16"/>
              <w:bottom w:val="single" w:sz="6" w:space="0" w:color="69BD28"/>
            </w:tcBorders>
            <w:shd w:val="clear" w:color="auto" w:fill="006A4D"/>
          </w:tcPr>
          <w:p>
            <w:pPr>
              <w:pStyle w:val="TableParagraph"/>
              <w:spacing w:before="123"/>
              <w:ind w:left="827" w:right="841"/>
              <w:rPr>
                <w:b/>
                <w:sz w:val="18"/>
              </w:rPr>
            </w:pPr>
            <w:r>
              <w:rPr>
                <w:b/>
                <w:color w:val="FFFFFF"/>
                <w:w w:val="105"/>
                <w:sz w:val="18"/>
              </w:rPr>
              <w:t>West Pune</w:t>
            </w:r>
          </w:p>
        </w:tc>
      </w:tr>
      <w:tr>
        <w:trPr>
          <w:trHeight w:val="520" w:hRule="atLeast"/>
        </w:trPr>
        <w:tc>
          <w:tcPr>
            <w:tcW w:w="4230" w:type="dxa"/>
            <w:vMerge w:val="restart"/>
            <w:shd w:val="clear" w:color="auto" w:fill="69BD28"/>
          </w:tcPr>
          <w:p>
            <w:pPr>
              <w:pStyle w:val="TableParagraph"/>
              <w:spacing w:line="619" w:lineRule="auto" w:before="126"/>
              <w:ind w:left="367" w:right="277"/>
              <w:rPr>
                <w:sz w:val="18"/>
              </w:rPr>
            </w:pPr>
            <w:r>
              <w:rPr>
                <w:color w:val="FFFFFF"/>
                <w:sz w:val="18"/>
              </w:rPr>
              <w:t>Cumulative</w:t>
            </w:r>
            <w:r>
              <w:rPr>
                <w:color w:val="FFFFFF"/>
                <w:spacing w:val="-17"/>
                <w:sz w:val="18"/>
              </w:rPr>
              <w:t> </w:t>
            </w:r>
            <w:r>
              <w:rPr>
                <w:color w:val="FFFFFF"/>
                <w:sz w:val="18"/>
              </w:rPr>
              <w:t>completed</w:t>
            </w:r>
            <w:r>
              <w:rPr>
                <w:color w:val="FFFFFF"/>
                <w:spacing w:val="-19"/>
                <w:sz w:val="18"/>
              </w:rPr>
              <w:t> </w:t>
            </w:r>
            <w:r>
              <w:rPr>
                <w:color w:val="FFFFFF"/>
                <w:sz w:val="18"/>
              </w:rPr>
              <w:t>office</w:t>
            </w:r>
            <w:r>
              <w:rPr>
                <w:color w:val="FFFFFF"/>
                <w:spacing w:val="-17"/>
                <w:sz w:val="18"/>
              </w:rPr>
              <w:t> </w:t>
            </w:r>
            <w:r>
              <w:rPr>
                <w:color w:val="FFFFFF"/>
                <w:sz w:val="18"/>
              </w:rPr>
              <w:t>stock</w:t>
            </w:r>
            <w:r>
              <w:rPr>
                <w:color w:val="FFFFFF"/>
                <w:spacing w:val="-18"/>
                <w:sz w:val="18"/>
              </w:rPr>
              <w:t> </w:t>
            </w:r>
            <w:r>
              <w:rPr>
                <w:color w:val="FFFFFF"/>
                <w:sz w:val="18"/>
              </w:rPr>
              <w:t>(Q4</w:t>
            </w:r>
            <w:r>
              <w:rPr>
                <w:color w:val="FFFFFF"/>
                <w:spacing w:val="-17"/>
                <w:sz w:val="18"/>
              </w:rPr>
              <w:t> </w:t>
            </w:r>
            <w:r>
              <w:rPr>
                <w:color w:val="FFFFFF"/>
                <w:sz w:val="18"/>
              </w:rPr>
              <w:t>2019) Cumulative occupied stock (Q4 2019) Current Vacancy (Q4 2019)</w:t>
            </w:r>
          </w:p>
          <w:p>
            <w:pPr>
              <w:pStyle w:val="TableParagraph"/>
              <w:spacing w:before="2"/>
              <w:ind w:left="367" w:right="275"/>
              <w:rPr>
                <w:sz w:val="18"/>
              </w:rPr>
            </w:pPr>
            <w:r>
              <w:rPr>
                <w:color w:val="FFFFFF"/>
                <w:w w:val="110"/>
                <w:sz w:val="18"/>
              </w:rPr>
              <w:t>Average Absorption (2014 – 2019)</w:t>
            </w:r>
          </w:p>
        </w:tc>
        <w:tc>
          <w:tcPr>
            <w:tcW w:w="3054" w:type="dxa"/>
            <w:tcBorders>
              <w:top w:val="single" w:sz="6" w:space="0" w:color="69BD28"/>
              <w:bottom w:val="single" w:sz="6" w:space="0" w:color="69BD28"/>
            </w:tcBorders>
          </w:tcPr>
          <w:p>
            <w:pPr>
              <w:pStyle w:val="TableParagraph"/>
              <w:spacing w:before="126"/>
              <w:ind w:left="811" w:right="824"/>
              <w:rPr>
                <w:sz w:val="18"/>
              </w:rPr>
            </w:pPr>
            <w:r>
              <w:rPr>
                <w:sz w:val="18"/>
              </w:rPr>
              <w:t>Approx. 53.5 msf</w:t>
            </w:r>
          </w:p>
        </w:tc>
        <w:tc>
          <w:tcPr>
            <w:tcW w:w="3089" w:type="dxa"/>
            <w:tcBorders>
              <w:top w:val="single" w:sz="6" w:space="0" w:color="69BD28"/>
              <w:bottom w:val="single" w:sz="6" w:space="0" w:color="69BD28"/>
            </w:tcBorders>
          </w:tcPr>
          <w:p>
            <w:pPr>
              <w:pStyle w:val="TableParagraph"/>
              <w:spacing w:before="126"/>
              <w:ind w:left="827" w:right="842"/>
              <w:rPr>
                <w:sz w:val="18"/>
              </w:rPr>
            </w:pPr>
            <w:r>
              <w:rPr>
                <w:sz w:val="18"/>
              </w:rPr>
              <w:t>Approx. 10.0 msf</w:t>
            </w:r>
          </w:p>
        </w:tc>
      </w:tr>
      <w:tr>
        <w:trPr>
          <w:trHeight w:val="527" w:hRule="atLeast"/>
        </w:trPr>
        <w:tc>
          <w:tcPr>
            <w:tcW w:w="4230" w:type="dxa"/>
            <w:vMerge/>
            <w:tcBorders>
              <w:top w:val="nil"/>
            </w:tcBorders>
            <w:shd w:val="clear" w:color="auto" w:fill="69BD28"/>
          </w:tcPr>
          <w:p>
            <w:pPr>
              <w:rPr>
                <w:sz w:val="2"/>
                <w:szCs w:val="2"/>
              </w:rPr>
            </w:pPr>
          </w:p>
        </w:tc>
        <w:tc>
          <w:tcPr>
            <w:tcW w:w="3054" w:type="dxa"/>
            <w:tcBorders>
              <w:top w:val="single" w:sz="6" w:space="0" w:color="69BD28"/>
              <w:bottom w:val="single" w:sz="6" w:space="0" w:color="69BD28"/>
            </w:tcBorders>
          </w:tcPr>
          <w:p>
            <w:pPr>
              <w:pStyle w:val="TableParagraph"/>
              <w:spacing w:before="130"/>
              <w:ind w:left="811" w:right="824"/>
              <w:rPr>
                <w:sz w:val="18"/>
              </w:rPr>
            </w:pPr>
            <w:r>
              <w:rPr>
                <w:sz w:val="18"/>
              </w:rPr>
              <w:t>Approx. 50.5 msf</w:t>
            </w:r>
          </w:p>
        </w:tc>
        <w:tc>
          <w:tcPr>
            <w:tcW w:w="3089" w:type="dxa"/>
            <w:tcBorders>
              <w:top w:val="single" w:sz="6" w:space="0" w:color="69BD28"/>
              <w:bottom w:val="single" w:sz="6" w:space="0" w:color="69BD28"/>
            </w:tcBorders>
          </w:tcPr>
          <w:p>
            <w:pPr>
              <w:pStyle w:val="TableParagraph"/>
              <w:spacing w:before="130"/>
              <w:ind w:left="827" w:right="843"/>
              <w:rPr>
                <w:sz w:val="18"/>
              </w:rPr>
            </w:pPr>
            <w:r>
              <w:rPr>
                <w:sz w:val="18"/>
              </w:rPr>
              <w:t>Approx. 9.6 msf</w:t>
            </w:r>
          </w:p>
        </w:tc>
      </w:tr>
      <w:tr>
        <w:trPr>
          <w:trHeight w:val="524" w:hRule="atLeast"/>
        </w:trPr>
        <w:tc>
          <w:tcPr>
            <w:tcW w:w="4230" w:type="dxa"/>
            <w:vMerge/>
            <w:tcBorders>
              <w:top w:val="nil"/>
            </w:tcBorders>
            <w:shd w:val="clear" w:color="auto" w:fill="69BD28"/>
          </w:tcPr>
          <w:p>
            <w:pPr>
              <w:rPr>
                <w:sz w:val="2"/>
                <w:szCs w:val="2"/>
              </w:rPr>
            </w:pPr>
          </w:p>
        </w:tc>
        <w:tc>
          <w:tcPr>
            <w:tcW w:w="3054" w:type="dxa"/>
            <w:tcBorders>
              <w:top w:val="single" w:sz="6" w:space="0" w:color="69BD28"/>
              <w:bottom w:val="single" w:sz="6" w:space="0" w:color="69BD28"/>
            </w:tcBorders>
          </w:tcPr>
          <w:p>
            <w:pPr>
              <w:pStyle w:val="TableParagraph"/>
              <w:spacing w:before="128"/>
              <w:ind w:left="809" w:right="825"/>
              <w:rPr>
                <w:sz w:val="18"/>
              </w:rPr>
            </w:pPr>
            <w:r>
              <w:rPr>
                <w:w w:val="105"/>
                <w:sz w:val="18"/>
              </w:rPr>
              <w:t>Approx. 5.6%</w:t>
            </w:r>
          </w:p>
        </w:tc>
        <w:tc>
          <w:tcPr>
            <w:tcW w:w="3089" w:type="dxa"/>
            <w:tcBorders>
              <w:top w:val="single" w:sz="6" w:space="0" w:color="69BD28"/>
              <w:bottom w:val="single" w:sz="6" w:space="0" w:color="69BD28"/>
            </w:tcBorders>
          </w:tcPr>
          <w:p>
            <w:pPr>
              <w:pStyle w:val="TableParagraph"/>
              <w:spacing w:before="128"/>
              <w:ind w:left="825" w:right="843"/>
              <w:rPr>
                <w:sz w:val="18"/>
              </w:rPr>
            </w:pPr>
            <w:r>
              <w:rPr>
                <w:w w:val="105"/>
                <w:sz w:val="18"/>
              </w:rPr>
              <w:t>Approx. 3.5%</w:t>
            </w:r>
          </w:p>
        </w:tc>
      </w:tr>
      <w:tr>
        <w:trPr>
          <w:trHeight w:val="525" w:hRule="atLeast"/>
        </w:trPr>
        <w:tc>
          <w:tcPr>
            <w:tcW w:w="4230" w:type="dxa"/>
            <w:vMerge/>
            <w:tcBorders>
              <w:top w:val="nil"/>
            </w:tcBorders>
            <w:shd w:val="clear" w:color="auto" w:fill="69BD28"/>
          </w:tcPr>
          <w:p>
            <w:pPr>
              <w:rPr>
                <w:sz w:val="2"/>
                <w:szCs w:val="2"/>
              </w:rPr>
            </w:pPr>
          </w:p>
        </w:tc>
        <w:tc>
          <w:tcPr>
            <w:tcW w:w="3054" w:type="dxa"/>
            <w:tcBorders>
              <w:top w:val="single" w:sz="6" w:space="0" w:color="69BD28"/>
              <w:bottom w:val="single" w:sz="6" w:space="0" w:color="69BD28"/>
            </w:tcBorders>
          </w:tcPr>
          <w:p>
            <w:pPr>
              <w:pStyle w:val="TableParagraph"/>
              <w:spacing w:before="128"/>
              <w:ind w:left="811" w:right="825"/>
              <w:rPr>
                <w:sz w:val="18"/>
              </w:rPr>
            </w:pPr>
            <w:r>
              <w:rPr>
                <w:sz w:val="18"/>
              </w:rPr>
              <w:t>Approx. 3.68 msf</w:t>
            </w:r>
          </w:p>
        </w:tc>
        <w:tc>
          <w:tcPr>
            <w:tcW w:w="3089" w:type="dxa"/>
            <w:tcBorders>
              <w:top w:val="single" w:sz="6" w:space="0" w:color="69BD28"/>
              <w:bottom w:val="single" w:sz="6" w:space="0" w:color="69BD28"/>
            </w:tcBorders>
          </w:tcPr>
          <w:p>
            <w:pPr>
              <w:pStyle w:val="TableParagraph"/>
              <w:spacing w:before="128"/>
              <w:ind w:left="826" w:right="843"/>
              <w:rPr>
                <w:sz w:val="18"/>
              </w:rPr>
            </w:pPr>
            <w:r>
              <w:rPr>
                <w:sz w:val="18"/>
              </w:rPr>
              <w:t>Approx. 0.58 msf</w:t>
            </w:r>
          </w:p>
        </w:tc>
      </w:tr>
    </w:tbl>
    <w:p>
      <w:pPr>
        <w:spacing w:before="9"/>
        <w:ind w:left="826" w:right="0" w:firstLine="0"/>
        <w:jc w:val="both"/>
        <w:rPr>
          <w:i/>
          <w:sz w:val="18"/>
        </w:rPr>
      </w:pPr>
      <w:r>
        <w:rPr>
          <w:i/>
          <w:sz w:val="18"/>
        </w:rPr>
        <w:t>Source: CBRE Research</w:t>
      </w:r>
    </w:p>
    <w:p>
      <w:pPr>
        <w:spacing w:after="0"/>
        <w:jc w:val="both"/>
        <w:rPr>
          <w:sz w:val="18"/>
        </w:rPr>
        <w:sectPr>
          <w:pgSz w:w="11910" w:h="16840"/>
          <w:pgMar w:header="720" w:footer="921" w:top="1660" w:bottom="1120" w:left="460" w:right="480"/>
        </w:sectPr>
      </w:pPr>
    </w:p>
    <w:p>
      <w:pPr>
        <w:pStyle w:val="BodyText"/>
        <w:spacing w:before="4"/>
        <w:rPr>
          <w:i/>
          <w:sz w:val="18"/>
        </w:rPr>
      </w:pPr>
    </w:p>
    <w:p>
      <w:pPr>
        <w:pStyle w:val="BodyText"/>
        <w:ind w:left="142"/>
        <w:rPr>
          <w:sz w:val="20"/>
        </w:rPr>
      </w:pPr>
      <w:r>
        <w:rPr>
          <w:sz w:val="20"/>
        </w:rPr>
        <w:pict>
          <v:group style="width:535.450pt;height:15.5pt;mso-position-horizontal-relative:char;mso-position-vertical-relative:line" coordorigin="0,0" coordsize="10709,310">
            <v:rect style="position:absolute;left:0;top:28;width:10707;height:281" filled="true" fillcolor="#006a4d" stroked="false">
              <v:fill type="solid"/>
            </v:rect>
            <v:rect style="position:absolute;left:0;top:0;width:10709;height:29" filled="true" fillcolor="#1f6b16" stroked="false">
              <v:fill type="solid"/>
            </v:rect>
            <v:rect style="position:absolute;left:0;top:28;width:10709;height:3" filled="true" fillcolor="#006a4d" stroked="false">
              <v:fill type="solid"/>
            </v:rect>
            <v:shape style="position:absolute;left:0;top:28;width:10709;height:281" type="#_x0000_t202" filled="false" stroked="false">
              <v:textbox inset="0,0,0,0">
                <w:txbxContent>
                  <w:p>
                    <w:pPr>
                      <w:spacing w:before="37"/>
                      <w:ind w:left="3686" w:right="3686" w:firstLine="0"/>
                      <w:jc w:val="center"/>
                      <w:rPr>
                        <w:b/>
                        <w:sz w:val="18"/>
                      </w:rPr>
                    </w:pPr>
                    <w:r>
                      <w:rPr>
                        <w:b/>
                        <w:color w:val="FFFFFF"/>
                        <w:w w:val="115"/>
                        <w:sz w:val="18"/>
                      </w:rPr>
                      <w:t>Demand – Supply Dynamics (Pune)</w:t>
                    </w:r>
                  </w:p>
                </w:txbxContent>
              </v:textbox>
              <w10:wrap type="none"/>
            </v:shape>
          </v:group>
        </w:pict>
      </w:r>
      <w:r>
        <w:rPr>
          <w:sz w:val="20"/>
        </w:rPr>
      </w:r>
    </w:p>
    <w:p>
      <w:pPr>
        <w:pStyle w:val="BodyText"/>
        <w:rPr>
          <w:i/>
          <w:sz w:val="20"/>
        </w:rPr>
      </w:pPr>
    </w:p>
    <w:p>
      <w:pPr>
        <w:pStyle w:val="BodyText"/>
        <w:spacing w:before="2"/>
        <w:rPr>
          <w:i/>
          <w:sz w:val="21"/>
        </w:rPr>
      </w:pPr>
    </w:p>
    <w:p>
      <w:pPr>
        <w:spacing w:after="0"/>
        <w:rPr>
          <w:sz w:val="21"/>
        </w:rPr>
        <w:sectPr>
          <w:pgSz w:w="11910" w:h="16840"/>
          <w:pgMar w:header="720" w:footer="921" w:top="1660" w:bottom="1120" w:left="460" w:right="480"/>
        </w:sectPr>
      </w:pPr>
    </w:p>
    <w:p>
      <w:pPr>
        <w:spacing w:before="92"/>
        <w:ind w:left="937" w:right="0" w:firstLine="0"/>
        <w:jc w:val="left"/>
        <w:rPr>
          <w:rFonts w:ascii="Times New Roman"/>
          <w:sz w:val="18"/>
        </w:rPr>
      </w:pPr>
      <w:r>
        <w:rPr>
          <w:rFonts w:ascii="Times New Roman"/>
          <w:sz w:val="18"/>
        </w:rPr>
        <w:t>5.0</w:t>
      </w:r>
    </w:p>
    <w:p>
      <w:pPr>
        <w:spacing w:before="104"/>
        <w:ind w:left="937" w:right="0" w:firstLine="0"/>
        <w:jc w:val="left"/>
        <w:rPr>
          <w:rFonts w:ascii="Times New Roman"/>
          <w:sz w:val="18"/>
        </w:rPr>
      </w:pPr>
      <w:r>
        <w:rPr>
          <w:rFonts w:ascii="Times New Roman"/>
          <w:sz w:val="18"/>
        </w:rPr>
        <w:t>4.5</w:t>
      </w:r>
    </w:p>
    <w:p>
      <w:pPr>
        <w:spacing w:before="103"/>
        <w:ind w:left="937" w:right="0" w:firstLine="0"/>
        <w:jc w:val="left"/>
        <w:rPr>
          <w:rFonts w:ascii="Times New Roman"/>
          <w:sz w:val="18"/>
        </w:rPr>
      </w:pPr>
      <w:r>
        <w:rPr/>
        <w:pict>
          <v:shape style="position:absolute;margin-left:48.675976pt;margin-top:17.112936pt;width:12pt;height:71.55pt;mso-position-horizontal-relative:page;mso-position-vertical-relative:paragraph;z-index:16218624" type="#_x0000_t202" filled="false" stroked="false">
            <v:textbox inset="0,0,0,0" style="layout-flow:vertical;mso-layout-flow-alt:bottom-to-top">
              <w:txbxContent>
                <w:p>
                  <w:pPr>
                    <w:spacing w:before="12"/>
                    <w:ind w:left="20" w:right="0" w:firstLine="0"/>
                    <w:jc w:val="left"/>
                    <w:rPr>
                      <w:rFonts w:ascii="Times New Roman"/>
                      <w:sz w:val="18"/>
                    </w:rPr>
                  </w:pPr>
                  <w:r>
                    <w:rPr>
                      <w:rFonts w:ascii="Times New Roman"/>
                      <w:sz w:val="18"/>
                    </w:rPr>
                    <w:t>Area (million sq ft)</w:t>
                  </w:r>
                </w:p>
              </w:txbxContent>
            </v:textbox>
            <w10:wrap type="none"/>
          </v:shape>
        </w:pict>
      </w:r>
      <w:r>
        <w:rPr>
          <w:rFonts w:ascii="Times New Roman"/>
          <w:sz w:val="18"/>
        </w:rPr>
        <w:t>4.0</w:t>
      </w:r>
    </w:p>
    <w:p>
      <w:pPr>
        <w:spacing w:before="103"/>
        <w:ind w:left="937" w:right="0" w:firstLine="0"/>
        <w:jc w:val="left"/>
        <w:rPr>
          <w:rFonts w:ascii="Times New Roman"/>
          <w:sz w:val="18"/>
        </w:rPr>
      </w:pPr>
      <w:r>
        <w:rPr>
          <w:rFonts w:ascii="Times New Roman"/>
          <w:sz w:val="18"/>
        </w:rPr>
        <w:t>3.5</w:t>
      </w:r>
    </w:p>
    <w:p>
      <w:pPr>
        <w:spacing w:before="104"/>
        <w:ind w:left="937" w:right="0" w:firstLine="0"/>
        <w:jc w:val="left"/>
        <w:rPr>
          <w:rFonts w:ascii="Times New Roman"/>
          <w:sz w:val="18"/>
        </w:rPr>
      </w:pPr>
      <w:r>
        <w:rPr>
          <w:rFonts w:ascii="Times New Roman"/>
          <w:sz w:val="18"/>
        </w:rPr>
        <w:t>3.0</w:t>
      </w:r>
    </w:p>
    <w:p>
      <w:pPr>
        <w:spacing w:before="103"/>
        <w:ind w:left="937" w:right="0" w:firstLine="0"/>
        <w:jc w:val="left"/>
        <w:rPr>
          <w:rFonts w:ascii="Times New Roman"/>
          <w:sz w:val="18"/>
        </w:rPr>
      </w:pPr>
      <w:r>
        <w:rPr>
          <w:rFonts w:ascii="Times New Roman"/>
          <w:sz w:val="18"/>
        </w:rPr>
        <w:t>2.5</w:t>
      </w:r>
    </w:p>
    <w:p>
      <w:pPr>
        <w:spacing w:before="103"/>
        <w:ind w:left="937" w:right="0" w:firstLine="0"/>
        <w:jc w:val="left"/>
        <w:rPr>
          <w:rFonts w:ascii="Times New Roman"/>
          <w:sz w:val="18"/>
        </w:rPr>
      </w:pPr>
      <w:r>
        <w:rPr>
          <w:rFonts w:ascii="Times New Roman"/>
          <w:sz w:val="18"/>
        </w:rPr>
        <w:t>2.0</w:t>
      </w:r>
    </w:p>
    <w:p>
      <w:pPr>
        <w:spacing w:before="104"/>
        <w:ind w:left="937" w:right="0" w:firstLine="0"/>
        <w:jc w:val="left"/>
        <w:rPr>
          <w:rFonts w:ascii="Times New Roman"/>
          <w:sz w:val="18"/>
        </w:rPr>
      </w:pPr>
      <w:r>
        <w:rPr>
          <w:rFonts w:ascii="Times New Roman"/>
          <w:sz w:val="18"/>
        </w:rPr>
        <w:t>1.5</w:t>
      </w:r>
    </w:p>
    <w:p>
      <w:pPr>
        <w:spacing w:before="103"/>
        <w:ind w:left="937" w:right="0" w:firstLine="0"/>
        <w:jc w:val="left"/>
        <w:rPr>
          <w:rFonts w:ascii="Times New Roman"/>
          <w:sz w:val="18"/>
        </w:rPr>
      </w:pPr>
      <w:r>
        <w:rPr>
          <w:rFonts w:ascii="Times New Roman"/>
          <w:sz w:val="18"/>
        </w:rPr>
        <w:t>1.0</w:t>
      </w:r>
    </w:p>
    <w:p>
      <w:pPr>
        <w:spacing w:before="104"/>
        <w:ind w:left="937" w:right="0" w:firstLine="0"/>
        <w:jc w:val="left"/>
        <w:rPr>
          <w:rFonts w:ascii="Times New Roman"/>
          <w:sz w:val="18"/>
        </w:rPr>
      </w:pPr>
      <w:r>
        <w:rPr>
          <w:rFonts w:ascii="Times New Roman"/>
          <w:sz w:val="18"/>
        </w:rPr>
        <w:t>0.5</w:t>
      </w:r>
    </w:p>
    <w:p>
      <w:pPr>
        <w:spacing w:before="103"/>
        <w:ind w:left="937" w:right="0" w:firstLine="0"/>
        <w:jc w:val="left"/>
        <w:rPr>
          <w:rFonts w:ascii="Times New Roman"/>
          <w:sz w:val="18"/>
        </w:rPr>
      </w:pPr>
      <w:r>
        <w:rPr>
          <w:rFonts w:ascii="Times New Roman"/>
          <w:sz w:val="18"/>
        </w:rPr>
        <w:t>0.0</w:t>
      </w:r>
    </w:p>
    <w:p>
      <w:pPr>
        <w:pStyle w:val="BodyText"/>
        <w:rPr>
          <w:rFonts w:ascii="Times New Roman"/>
          <w:sz w:val="20"/>
        </w:rPr>
      </w:pPr>
      <w:r>
        <w:rPr/>
        <w:br w:type="column"/>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16"/>
        </w:rPr>
      </w:pPr>
    </w:p>
    <w:p>
      <w:pPr>
        <w:tabs>
          <w:tab w:pos="1952" w:val="left" w:leader="none"/>
          <w:tab w:pos="3298" w:val="left" w:leader="none"/>
          <w:tab w:pos="4644" w:val="left" w:leader="none"/>
          <w:tab w:pos="5990" w:val="left" w:leader="none"/>
          <w:tab w:pos="7335" w:val="left" w:leader="none"/>
        </w:tabs>
        <w:spacing w:before="0"/>
        <w:ind w:left="606" w:right="0" w:firstLine="0"/>
        <w:jc w:val="left"/>
        <w:rPr>
          <w:rFonts w:ascii="Times New Roman"/>
          <w:sz w:val="18"/>
        </w:rPr>
      </w:pPr>
      <w:r>
        <w:rPr>
          <w:rFonts w:ascii="Times New Roman"/>
          <w:sz w:val="18"/>
        </w:rPr>
        <w:t>2014</w:t>
        <w:tab/>
        <w:t>2015</w:t>
        <w:tab/>
        <w:t>2016</w:t>
        <w:tab/>
        <w:t>2017</w:t>
        <w:tab/>
        <w:t>2018</w:t>
        <w:tab/>
      </w:r>
      <w:r>
        <w:rPr>
          <w:rFonts w:ascii="Times New Roman"/>
          <w:spacing w:val="-5"/>
          <w:sz w:val="18"/>
        </w:rPr>
        <w:t>2019</w:t>
      </w:r>
    </w:p>
    <w:p>
      <w:pPr>
        <w:tabs>
          <w:tab w:pos="3798" w:val="left" w:leader="none"/>
          <w:tab w:pos="5361" w:val="left" w:leader="none"/>
        </w:tabs>
        <w:spacing w:before="146"/>
        <w:ind w:left="2535" w:right="0" w:firstLine="0"/>
        <w:jc w:val="left"/>
        <w:rPr>
          <w:rFonts w:ascii="Times New Roman"/>
          <w:sz w:val="18"/>
        </w:rPr>
      </w:pPr>
      <w:r>
        <w:rPr/>
        <w:pict>
          <v:rect style="position:absolute;margin-left:188.589996pt;margin-top:10.578032pt;width:19.2pt;height:4.4843pt;mso-position-horizontal-relative:page;mso-position-vertical-relative:paragraph;z-index:16216064" filled="true" fillcolor="#006a4d" stroked="false">
            <v:fill type="solid"/>
            <w10:wrap type="none"/>
          </v:rect>
        </w:pict>
      </w:r>
      <w:r>
        <w:rPr/>
        <w:pict>
          <v:rect style="position:absolute;margin-left:251.740005pt;margin-top:10.578032pt;width:19.2pt;height:4.4843pt;mso-position-horizontal-relative:page;mso-position-vertical-relative:paragraph;z-index:-34411520" filled="true" fillcolor="#9bba58" stroked="false">
            <v:fill type="solid"/>
            <w10:wrap type="none"/>
          </v:rect>
        </w:pict>
      </w:r>
      <w:r>
        <w:rPr/>
        <w:pict>
          <v:group style="position:absolute;margin-left:329.890015pt;margin-top:9.827332pt;width:19.2pt;height:5.8pt;mso-position-horizontal-relative:page;mso-position-vertical-relative:paragraph;z-index:-34411008" coordorigin="6598,197" coordsize="384,116">
            <v:shape style="position:absolute;left:6597;top:256;width:384;height:2" coordorigin="6598,256" coordsize="384,0" path="m6598,256l6739,256m6840,256l6982,256e" filled="false" stroked="true" strokeweight="2.25pt" strokecolor="#92d050">
              <v:path arrowok="t"/>
              <v:stroke dashstyle="solid"/>
            </v:shape>
            <v:rect style="position:absolute;left:6739;top:204;width:101;height:101" filled="true" fillcolor="#00af50" stroked="false">
              <v:fill type="solid"/>
            </v:rect>
            <v:rect style="position:absolute;left:6739;top:204;width:101;height:101" filled="false" stroked="true" strokeweight=".75pt" strokecolor="#9bba58">
              <v:stroke dashstyle="solid"/>
            </v:rect>
            <w10:wrap type="none"/>
          </v:group>
        </w:pict>
      </w:r>
      <w:r>
        <w:rPr>
          <w:rFonts w:ascii="Times New Roman"/>
          <w:sz w:val="18"/>
        </w:rPr>
        <w:t>Supply</w:t>
        <w:tab/>
        <w:t>Absorption</w:t>
        <w:tab/>
        <w:t>Vacancy</w:t>
      </w:r>
      <w:r>
        <w:rPr>
          <w:rFonts w:ascii="Times New Roman"/>
          <w:spacing w:val="-2"/>
          <w:sz w:val="18"/>
        </w:rPr>
        <w:t> </w:t>
      </w:r>
      <w:r>
        <w:rPr>
          <w:rFonts w:ascii="Times New Roman"/>
          <w:sz w:val="18"/>
        </w:rPr>
        <w:t>(%)</w:t>
      </w:r>
    </w:p>
    <w:p>
      <w:pPr>
        <w:spacing w:before="92"/>
        <w:ind w:left="605" w:right="0" w:firstLine="0"/>
        <w:jc w:val="left"/>
        <w:rPr>
          <w:rFonts w:ascii="Times New Roman"/>
          <w:sz w:val="18"/>
        </w:rPr>
      </w:pPr>
      <w:r>
        <w:rPr/>
        <w:br w:type="column"/>
      </w:r>
      <w:r>
        <w:rPr>
          <w:rFonts w:ascii="Times New Roman"/>
          <w:sz w:val="18"/>
        </w:rPr>
        <w:t>14%</w:t>
      </w:r>
    </w:p>
    <w:p>
      <w:pPr>
        <w:pStyle w:val="BodyText"/>
        <w:spacing w:before="7"/>
        <w:rPr>
          <w:rFonts w:ascii="Times New Roman"/>
          <w:sz w:val="20"/>
        </w:rPr>
      </w:pPr>
    </w:p>
    <w:p>
      <w:pPr>
        <w:spacing w:before="0"/>
        <w:ind w:left="605" w:right="0" w:firstLine="0"/>
        <w:jc w:val="left"/>
        <w:rPr>
          <w:rFonts w:ascii="Times New Roman"/>
          <w:sz w:val="18"/>
        </w:rPr>
      </w:pPr>
      <w:r>
        <w:rPr/>
        <w:pict>
          <v:group style="position:absolute;margin-left:86.096001pt;margin-top:-20.767694pt;width:409.05pt;height:159.8pt;mso-position-horizontal-relative:page;mso-position-vertical-relative:paragraph;z-index:16215552" coordorigin="1722,-415" coordsize="8181,3196">
            <v:rect style="position:absolute;left:1886;top:1376;width:562;height:1394" filled="true" fillcolor="#006a4d" stroked="false">
              <v:fill type="solid"/>
            </v:rect>
            <v:rect style="position:absolute;left:2448;top:541;width:562;height:2230" filled="true" fillcolor="#9bba58" stroked="false">
              <v:fill type="solid"/>
            </v:rect>
            <v:rect style="position:absolute;left:3232;top:582;width:562;height:2189" filled="true" fillcolor="#006a4d" stroked="false">
              <v:fill type="solid"/>
            </v:rect>
            <v:rect style="position:absolute;left:3794;top:56;width:560;height:2714" filled="true" fillcolor="#9bba58" stroked="false">
              <v:fill type="solid"/>
            </v:rect>
            <v:rect style="position:absolute;left:4579;top:800;width:560;height:1970" filled="true" fillcolor="#006a4d" stroked="false">
              <v:fill type="solid"/>
            </v:rect>
            <v:rect style="position:absolute;left:5138;top:251;width:562;height:2520" filled="true" fillcolor="#9bba58" stroked="false">
              <v:fill type="solid"/>
            </v:rect>
            <v:rect style="position:absolute;left:5923;top:1350;width:562;height:1421" filled="true" fillcolor="#006a4d" stroked="false">
              <v:fill type="solid"/>
            </v:rect>
            <v:rect style="position:absolute;left:6484;top:755;width:562;height:2016" filled="true" fillcolor="#9bba58" stroked="false">
              <v:fill type="solid"/>
            </v:rect>
            <v:rect style="position:absolute;left:7269;top:697;width:562;height:2074" filled="true" fillcolor="#006a4d" stroked="false">
              <v:fill type="solid"/>
            </v:rect>
            <v:rect style="position:absolute;left:7831;top:1100;width:560;height:1670" filled="true" fillcolor="#9bba58" stroked="false">
              <v:fill type="solid"/>
            </v:rect>
            <v:rect style="position:absolute;left:8616;top:-30;width:560;height:2801" filled="true" fillcolor="#006a4d" stroked="false">
              <v:fill type="solid"/>
            </v:rect>
            <v:rect style="position:absolute;left:9175;top:205;width:562;height:2566" filled="true" fillcolor="#9bba58" stroked="false">
              <v:fill type="solid"/>
            </v:rect>
            <v:shape style="position:absolute;left:9848;top:-333;width:54;height:3103" coordorigin="9849,-332" coordsize="54,3103" path="m9849,2771l9849,-332m9849,2771l9902,2771m9849,2327l9902,2327m9849,1883l9902,1883m9849,1441l9902,1441m9849,997l9902,997m9849,553l9902,553m9849,112l9902,112m9849,-332l9902,-332e" filled="false" stroked="true" strokeweight=".75pt" strokecolor="#858585">
              <v:path arrowok="t"/>
              <v:stroke dashstyle="solid"/>
            </v:shape>
            <v:shape style="position:absolute;left:1721;top:-333;width:54;height:3103" coordorigin="1722,-332" coordsize="54,3103" path="m1775,2771l1775,-332m1722,2771l1775,2771m1722,2461l1775,2461m1722,2149l1775,2149m1722,1840l1775,1840m1722,1530l1775,1530m1722,1218l1775,1218m1722,909l1775,909m1722,599l1775,599m1722,289l1775,289m1722,-23l1775,-23m1722,-332l1775,-332e" filled="false" stroked="true" strokeweight=".5pt" strokecolor="#000000">
              <v:path arrowok="t"/>
              <v:stroke dashstyle="solid"/>
            </v:shape>
            <v:line style="position:absolute" from="1775,2771" to="9849,2771" stroked="true" strokeweight="1pt" strokecolor="#000000">
              <v:stroke dashstyle="solid"/>
            </v:line>
            <v:shape style="position:absolute;left:2448;top:-57;width:6728;height:1863" coordorigin="2448,-57" coordsize="6728,1863" path="m2448,-57l3794,659,5138,1266,6485,1806,7831,1578,9176,1523e" filled="false" stroked="true" strokeweight="2.25pt" strokecolor="#92d050">
              <v:path arrowok="t"/>
              <v:stroke dashstyle="solid"/>
            </v:shape>
            <v:rect style="position:absolute;left:2377;top:-127;width:140;height:140" filled="true" fillcolor="#00af50" stroked="false">
              <v:fill type="solid"/>
            </v:rect>
            <v:rect style="position:absolute;left:2377;top:-127;width:140;height:140" filled="false" stroked="true" strokeweight=".72pt" strokecolor="#9bba58">
              <v:stroke dashstyle="solid"/>
            </v:rect>
            <v:rect style="position:absolute;left:3723;top:588;width:140;height:140" filled="true" fillcolor="#00af50" stroked="false">
              <v:fill type="solid"/>
            </v:rect>
            <v:rect style="position:absolute;left:3723;top:588;width:140;height:140" filled="false" stroked="true" strokeweight=".72pt" strokecolor="#9bba58">
              <v:stroke dashstyle="solid"/>
            </v:rect>
            <v:rect style="position:absolute;left:5067;top:1195;width:140;height:140" filled="true" fillcolor="#00af50" stroked="false">
              <v:fill type="solid"/>
            </v:rect>
            <v:rect style="position:absolute;left:5067;top:1195;width:140;height:140" filled="false" stroked="true" strokeweight=".72pt" strokecolor="#9bba58">
              <v:stroke dashstyle="solid"/>
            </v:rect>
            <v:rect style="position:absolute;left:6414;top:1735;width:140;height:140" filled="true" fillcolor="#00af50" stroked="false">
              <v:fill type="solid"/>
            </v:rect>
            <v:rect style="position:absolute;left:6414;top:1735;width:140;height:140" filled="false" stroked="true" strokeweight=".72pt" strokecolor="#9bba58">
              <v:stroke dashstyle="solid"/>
            </v:rect>
            <v:rect style="position:absolute;left:7760;top:1507;width:140;height:140" filled="true" fillcolor="#00af50" stroked="false">
              <v:fill type="solid"/>
            </v:rect>
            <v:rect style="position:absolute;left:7760;top:1507;width:140;height:140" filled="false" stroked="true" strokeweight=".72pt" strokecolor="#9bba58">
              <v:stroke dashstyle="solid"/>
            </v:rect>
            <v:rect style="position:absolute;left:9104;top:1452;width:140;height:140" filled="true" fillcolor="#00af50" stroked="false">
              <v:fill type="solid"/>
            </v:rect>
            <v:rect style="position:absolute;left:9104;top:1452;width:140;height:140" filled="false" stroked="true" strokeweight=".72pt" strokecolor="#9bba58">
              <v:stroke dashstyle="solid"/>
            </v:rect>
            <v:line style="position:absolute" from="3794,658" to="3974,548" stroked="true" strokeweight=".75pt" strokecolor="#000000">
              <v:stroke dashstyle="solid"/>
            </v:line>
            <v:shape style="position:absolute;left:2212;top:-416;width:489;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12.8%</w:t>
                    </w:r>
                  </w:p>
                </w:txbxContent>
              </v:textbox>
              <w10:wrap type="none"/>
            </v:shape>
            <v:shape style="position:absolute;left:3959;top:-232;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4.4</w:t>
                    </w:r>
                  </w:p>
                </w:txbxContent>
              </v:textbox>
              <w10:wrap type="none"/>
            </v:shape>
            <v:shape style="position:absolute;left:8782;top:-319;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4.5</w:t>
                    </w:r>
                  </w:p>
                </w:txbxContent>
              </v:textbox>
              <w10:wrap type="none"/>
            </v:shape>
            <v:shape style="position:absolute;left:5305;top:-39;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4.1</w:t>
                    </w:r>
                  </w:p>
                </w:txbxContent>
              </v:textbox>
              <w10:wrap type="none"/>
            </v:shape>
            <v:shape style="position:absolute;left:9342;top:-83;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4.1</w:t>
                    </w:r>
                  </w:p>
                </w:txbxContent>
              </v:textbox>
              <w10:wrap type="none"/>
            </v:shape>
            <v:shape style="position:absolute;left:2613;top:252;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3.6</w:t>
                    </w:r>
                  </w:p>
                </w:txbxContent>
              </v:textbox>
              <w10:wrap type="none"/>
            </v:shape>
            <v:shape style="position:absolute;left:3398;top:293;width:784;height:226" type="#_x0000_t202" filled="false" stroked="false">
              <v:textbox inset="0,0,0,0">
                <w:txbxContent>
                  <w:p>
                    <w:pPr>
                      <w:spacing w:line="225" w:lineRule="exact" w:before="0"/>
                      <w:ind w:left="0" w:right="0" w:firstLine="0"/>
                      <w:jc w:val="left"/>
                      <w:rPr>
                        <w:rFonts w:ascii="Times New Roman"/>
                        <w:sz w:val="18"/>
                      </w:rPr>
                    </w:pPr>
                    <w:r>
                      <w:rPr>
                        <w:rFonts w:ascii="Times New Roman"/>
                        <w:position w:val="3"/>
                        <w:sz w:val="18"/>
                      </w:rPr>
                      <w:t>3.5 </w:t>
                    </w:r>
                    <w:r>
                      <w:rPr>
                        <w:rFonts w:ascii="Times New Roman"/>
                        <w:sz w:val="18"/>
                      </w:rPr>
                      <w:t>9.5%</w:t>
                    </w:r>
                  </w:p>
                </w:txbxContent>
              </v:textbox>
              <w10:wrap type="none"/>
            </v:shape>
            <v:shape style="position:absolute;left:4744;top:511;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3.2</w:t>
                    </w:r>
                  </w:p>
                </w:txbxContent>
              </v:textbox>
              <w10:wrap type="none"/>
            </v:shape>
            <v:shape style="position:absolute;left:6650;top:466;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3.2</w:t>
                    </w:r>
                  </w:p>
                </w:txbxContent>
              </v:textbox>
              <w10:wrap type="none"/>
            </v:shape>
            <v:shape style="position:absolute;left:7436;top:409;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3.3</w:t>
                    </w:r>
                  </w:p>
                </w:txbxContent>
              </v:textbox>
              <w10:wrap type="none"/>
            </v:shape>
            <v:shape style="position:absolute;left:4950;top:907;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6.8%</w:t>
                    </w:r>
                  </w:p>
                </w:txbxContent>
              </v:textbox>
              <w10:wrap type="none"/>
            </v:shape>
            <v:shape style="position:absolute;left:7996;top:810;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2.7</w:t>
                    </w:r>
                  </w:p>
                </w:txbxContent>
              </v:textbox>
              <w10:wrap type="none"/>
            </v:shape>
            <v:shape style="position:absolute;left:2052;top:1087;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2.2</w:t>
                    </w:r>
                  </w:p>
                </w:txbxContent>
              </v:textbox>
              <w10:wrap type="none"/>
            </v:shape>
            <v:shape style="position:absolute;left:6090;top:1060;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2.3</w:t>
                    </w:r>
                  </w:p>
                </w:txbxContent>
              </v:textbox>
              <w10:wrap type="none"/>
            </v:shape>
            <v:shape style="position:absolute;left:7642;top:1220;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5.4%</w:t>
                    </w:r>
                  </w:p>
                </w:txbxContent>
              </v:textbox>
              <w10:wrap type="none"/>
            </v:shape>
            <v:shape style="position:absolute;left:8988;top:1163;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5.6%</w:t>
                    </w:r>
                  </w:p>
                </w:txbxContent>
              </v:textbox>
              <w10:wrap type="none"/>
            </v:shape>
            <v:shape style="position:absolute;left:6296;top:1447;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4.4%</w:t>
                    </w:r>
                  </w:p>
                </w:txbxContent>
              </v:textbox>
              <w10:wrap type="none"/>
            </v:shape>
            <w10:wrap type="none"/>
          </v:group>
        </w:pict>
      </w:r>
      <w:r>
        <w:rPr>
          <w:rFonts w:ascii="Times New Roman"/>
          <w:sz w:val="18"/>
        </w:rPr>
        <w:t>12%</w:t>
      </w:r>
    </w:p>
    <w:p>
      <w:pPr>
        <w:pStyle w:val="BodyText"/>
        <w:spacing w:before="6"/>
        <w:rPr>
          <w:rFonts w:ascii="Times New Roman"/>
          <w:sz w:val="20"/>
        </w:rPr>
      </w:pPr>
    </w:p>
    <w:p>
      <w:pPr>
        <w:spacing w:before="0"/>
        <w:ind w:left="605" w:right="0" w:firstLine="0"/>
        <w:jc w:val="left"/>
        <w:rPr>
          <w:rFonts w:ascii="Times New Roman"/>
          <w:sz w:val="18"/>
        </w:rPr>
      </w:pPr>
      <w:r>
        <w:rPr>
          <w:rFonts w:ascii="Times New Roman"/>
          <w:sz w:val="18"/>
        </w:rPr>
        <w:t>10%</w:t>
      </w:r>
    </w:p>
    <w:p>
      <w:pPr>
        <w:pStyle w:val="BodyText"/>
        <w:spacing w:before="6"/>
        <w:rPr>
          <w:rFonts w:ascii="Times New Roman"/>
          <w:sz w:val="20"/>
        </w:rPr>
      </w:pPr>
    </w:p>
    <w:p>
      <w:pPr>
        <w:spacing w:before="0"/>
        <w:ind w:left="605" w:right="0" w:firstLine="0"/>
        <w:jc w:val="left"/>
        <w:rPr>
          <w:rFonts w:ascii="Times New Roman"/>
          <w:sz w:val="18"/>
        </w:rPr>
      </w:pPr>
      <w:r>
        <w:rPr/>
        <w:pict>
          <v:shape style="position:absolute;margin-left:531.768005pt;margin-top:-4.437632pt;width:12pt;height:49.15pt;mso-position-horizontal-relative:page;mso-position-vertical-relative:paragraph;z-index:16218112" type="#_x0000_t202" filled="false" stroked="false">
            <v:textbox inset="0,0,0,0" style="layout-flow:vertical">
              <w:txbxContent>
                <w:p>
                  <w:pPr>
                    <w:spacing w:before="12"/>
                    <w:ind w:left="20" w:right="0" w:firstLine="0"/>
                    <w:jc w:val="left"/>
                    <w:rPr>
                      <w:rFonts w:ascii="Times New Roman"/>
                      <w:sz w:val="18"/>
                    </w:rPr>
                  </w:pPr>
                  <w:r>
                    <w:rPr>
                      <w:rFonts w:ascii="Times New Roman"/>
                      <w:sz w:val="18"/>
                    </w:rPr>
                    <w:t>Vacancy (%)</w:t>
                  </w:r>
                </w:p>
              </w:txbxContent>
            </v:textbox>
            <w10:wrap type="none"/>
          </v:shape>
        </w:pict>
      </w:r>
      <w:r>
        <w:rPr>
          <w:rFonts w:ascii="Times New Roman"/>
          <w:sz w:val="18"/>
        </w:rPr>
        <w:t>8%</w:t>
      </w:r>
    </w:p>
    <w:p>
      <w:pPr>
        <w:pStyle w:val="BodyText"/>
        <w:spacing w:before="7"/>
        <w:rPr>
          <w:rFonts w:ascii="Times New Roman"/>
          <w:sz w:val="20"/>
        </w:rPr>
      </w:pPr>
    </w:p>
    <w:p>
      <w:pPr>
        <w:spacing w:before="0"/>
        <w:ind w:left="605" w:right="0" w:firstLine="0"/>
        <w:jc w:val="left"/>
        <w:rPr>
          <w:rFonts w:ascii="Times New Roman"/>
          <w:sz w:val="18"/>
        </w:rPr>
      </w:pPr>
      <w:r>
        <w:rPr>
          <w:rFonts w:ascii="Times New Roman"/>
          <w:sz w:val="18"/>
        </w:rPr>
        <w:t>6%</w:t>
      </w:r>
    </w:p>
    <w:p>
      <w:pPr>
        <w:pStyle w:val="BodyText"/>
        <w:spacing w:before="6"/>
        <w:rPr>
          <w:rFonts w:ascii="Times New Roman"/>
          <w:sz w:val="20"/>
        </w:rPr>
      </w:pPr>
    </w:p>
    <w:p>
      <w:pPr>
        <w:spacing w:before="0"/>
        <w:ind w:left="605" w:right="0" w:firstLine="0"/>
        <w:jc w:val="left"/>
        <w:rPr>
          <w:rFonts w:ascii="Times New Roman"/>
          <w:sz w:val="18"/>
        </w:rPr>
      </w:pPr>
      <w:r>
        <w:rPr>
          <w:rFonts w:ascii="Times New Roman"/>
          <w:sz w:val="18"/>
        </w:rPr>
        <w:t>4%</w:t>
      </w:r>
    </w:p>
    <w:p>
      <w:pPr>
        <w:pStyle w:val="BodyText"/>
        <w:spacing w:before="6"/>
        <w:rPr>
          <w:rFonts w:ascii="Times New Roman"/>
          <w:sz w:val="20"/>
        </w:rPr>
      </w:pPr>
    </w:p>
    <w:p>
      <w:pPr>
        <w:spacing w:before="1"/>
        <w:ind w:left="605" w:right="0" w:firstLine="0"/>
        <w:jc w:val="left"/>
        <w:rPr>
          <w:rFonts w:ascii="Times New Roman"/>
          <w:sz w:val="18"/>
        </w:rPr>
      </w:pPr>
      <w:r>
        <w:rPr>
          <w:rFonts w:ascii="Times New Roman"/>
          <w:sz w:val="18"/>
        </w:rPr>
        <w:t>2%</w:t>
      </w:r>
    </w:p>
    <w:p>
      <w:pPr>
        <w:pStyle w:val="BodyText"/>
        <w:spacing w:before="5"/>
        <w:rPr>
          <w:rFonts w:ascii="Times New Roman"/>
          <w:sz w:val="20"/>
        </w:rPr>
      </w:pPr>
    </w:p>
    <w:p>
      <w:pPr>
        <w:spacing w:before="1"/>
        <w:ind w:left="605" w:right="0" w:firstLine="0"/>
        <w:jc w:val="left"/>
        <w:rPr>
          <w:rFonts w:ascii="Times New Roman"/>
          <w:sz w:val="18"/>
        </w:rPr>
      </w:pPr>
      <w:r>
        <w:rPr>
          <w:rFonts w:ascii="Times New Roman"/>
          <w:sz w:val="18"/>
        </w:rPr>
        <w:t>0%</w:t>
      </w:r>
    </w:p>
    <w:p>
      <w:pPr>
        <w:spacing w:after="0"/>
        <w:jc w:val="left"/>
        <w:rPr>
          <w:rFonts w:ascii="Times New Roman"/>
          <w:sz w:val="18"/>
        </w:rPr>
        <w:sectPr>
          <w:type w:val="continuous"/>
          <w:pgSz w:w="11910" w:h="16840"/>
          <w:pgMar w:top="800" w:bottom="280" w:left="460" w:right="480"/>
          <w:cols w:num="3" w:equalWidth="0">
            <w:col w:w="1163" w:space="40"/>
            <w:col w:w="7697" w:space="39"/>
            <w:col w:w="2031"/>
          </w:cols>
        </w:sectPr>
      </w:pPr>
    </w:p>
    <w:p>
      <w:pPr>
        <w:tabs>
          <w:tab w:pos="3673" w:val="left" w:leader="none"/>
          <w:tab w:pos="10848" w:val="left" w:leader="none"/>
        </w:tabs>
        <w:spacing w:before="118"/>
        <w:ind w:left="142" w:right="0" w:firstLine="0"/>
        <w:jc w:val="left"/>
        <w:rPr>
          <w:b/>
          <w:sz w:val="18"/>
        </w:rPr>
      </w:pPr>
      <w:r>
        <w:rPr>
          <w:b/>
          <w:color w:val="FFFFFF"/>
          <w:w w:val="103"/>
          <w:sz w:val="18"/>
          <w:shd w:fill="006A4D" w:color="auto" w:val="clear"/>
        </w:rPr>
        <w:t> </w:t>
      </w:r>
      <w:r>
        <w:rPr>
          <w:b/>
          <w:color w:val="FFFFFF"/>
          <w:sz w:val="18"/>
          <w:shd w:fill="006A4D" w:color="auto" w:val="clear"/>
        </w:rPr>
        <w:tab/>
      </w:r>
      <w:r>
        <w:rPr>
          <w:b/>
          <w:color w:val="FFFFFF"/>
          <w:w w:val="115"/>
          <w:sz w:val="18"/>
          <w:shd w:fill="006A4D" w:color="auto" w:val="clear"/>
        </w:rPr>
        <w:t>Demand</w:t>
      </w:r>
      <w:r>
        <w:rPr>
          <w:b/>
          <w:color w:val="FFFFFF"/>
          <w:spacing w:val="-40"/>
          <w:w w:val="115"/>
          <w:sz w:val="18"/>
          <w:shd w:fill="006A4D" w:color="auto" w:val="clear"/>
        </w:rPr>
        <w:t> </w:t>
      </w:r>
      <w:r>
        <w:rPr>
          <w:b/>
          <w:color w:val="FFFFFF"/>
          <w:w w:val="115"/>
          <w:sz w:val="18"/>
          <w:shd w:fill="006A4D" w:color="auto" w:val="clear"/>
        </w:rPr>
        <w:t>–</w:t>
      </w:r>
      <w:r>
        <w:rPr>
          <w:b/>
          <w:color w:val="FFFFFF"/>
          <w:spacing w:val="-40"/>
          <w:w w:val="115"/>
          <w:sz w:val="18"/>
          <w:shd w:fill="006A4D" w:color="auto" w:val="clear"/>
        </w:rPr>
        <w:t> </w:t>
      </w:r>
      <w:r>
        <w:rPr>
          <w:b/>
          <w:color w:val="FFFFFF"/>
          <w:w w:val="115"/>
          <w:sz w:val="18"/>
          <w:shd w:fill="006A4D" w:color="auto" w:val="clear"/>
        </w:rPr>
        <w:t>Supply</w:t>
      </w:r>
      <w:r>
        <w:rPr>
          <w:b/>
          <w:color w:val="FFFFFF"/>
          <w:spacing w:val="-40"/>
          <w:w w:val="115"/>
          <w:sz w:val="18"/>
          <w:shd w:fill="006A4D" w:color="auto" w:val="clear"/>
        </w:rPr>
        <w:t> </w:t>
      </w:r>
      <w:r>
        <w:rPr>
          <w:b/>
          <w:color w:val="FFFFFF"/>
          <w:w w:val="115"/>
          <w:sz w:val="18"/>
          <w:shd w:fill="006A4D" w:color="auto" w:val="clear"/>
        </w:rPr>
        <w:t>Dynamics</w:t>
      </w:r>
      <w:r>
        <w:rPr>
          <w:b/>
          <w:color w:val="FFFFFF"/>
          <w:spacing w:val="-40"/>
          <w:w w:val="115"/>
          <w:sz w:val="18"/>
          <w:shd w:fill="006A4D" w:color="auto" w:val="clear"/>
        </w:rPr>
        <w:t> </w:t>
      </w:r>
      <w:r>
        <w:rPr>
          <w:b/>
          <w:color w:val="FFFFFF"/>
          <w:w w:val="115"/>
          <w:sz w:val="18"/>
          <w:shd w:fill="006A4D" w:color="auto" w:val="clear"/>
        </w:rPr>
        <w:t>(West</w:t>
      </w:r>
      <w:r>
        <w:rPr>
          <w:b/>
          <w:color w:val="FFFFFF"/>
          <w:spacing w:val="-40"/>
          <w:w w:val="115"/>
          <w:sz w:val="18"/>
          <w:shd w:fill="006A4D" w:color="auto" w:val="clear"/>
        </w:rPr>
        <w:t> </w:t>
      </w:r>
      <w:r>
        <w:rPr>
          <w:b/>
          <w:color w:val="FFFFFF"/>
          <w:w w:val="115"/>
          <w:sz w:val="18"/>
          <w:shd w:fill="006A4D" w:color="auto" w:val="clear"/>
        </w:rPr>
        <w:t>Pune)</w:t>
      </w:r>
      <w:r>
        <w:rPr>
          <w:b/>
          <w:color w:val="FFFFFF"/>
          <w:sz w:val="18"/>
          <w:shd w:fill="006A4D" w:color="auto" w:val="clear"/>
        </w:rPr>
        <w:tab/>
      </w:r>
    </w:p>
    <w:p>
      <w:pPr>
        <w:pStyle w:val="BodyText"/>
        <w:spacing w:before="2"/>
        <w:rPr>
          <w:b/>
          <w:sz w:val="25"/>
        </w:rPr>
      </w:pPr>
    </w:p>
    <w:p>
      <w:pPr>
        <w:spacing w:after="0"/>
        <w:rPr>
          <w:sz w:val="25"/>
        </w:rPr>
        <w:sectPr>
          <w:type w:val="continuous"/>
          <w:pgSz w:w="11910" w:h="16840"/>
          <w:pgMar w:top="800" w:bottom="280" w:left="460" w:right="480"/>
        </w:sectPr>
      </w:pPr>
    </w:p>
    <w:p>
      <w:pPr>
        <w:spacing w:before="92"/>
        <w:ind w:left="0" w:right="0" w:firstLine="0"/>
        <w:jc w:val="right"/>
        <w:rPr>
          <w:rFonts w:ascii="Times New Roman"/>
          <w:sz w:val="18"/>
        </w:rPr>
      </w:pPr>
      <w:r>
        <w:rPr>
          <w:rFonts w:ascii="Times New Roman"/>
          <w:spacing w:val="-1"/>
          <w:sz w:val="18"/>
        </w:rPr>
        <w:t>1.6</w:t>
      </w:r>
    </w:p>
    <w:p>
      <w:pPr>
        <w:spacing w:before="174"/>
        <w:ind w:left="0" w:right="0" w:firstLine="0"/>
        <w:jc w:val="right"/>
        <w:rPr>
          <w:rFonts w:ascii="Times New Roman"/>
          <w:sz w:val="18"/>
        </w:rPr>
      </w:pPr>
      <w:r>
        <w:rPr>
          <w:rFonts w:ascii="Times New Roman"/>
          <w:spacing w:val="-1"/>
          <w:sz w:val="18"/>
        </w:rPr>
        <w:t>1.4</w:t>
      </w:r>
    </w:p>
    <w:p>
      <w:pPr>
        <w:spacing w:before="174"/>
        <w:ind w:left="0" w:right="0" w:firstLine="0"/>
        <w:jc w:val="right"/>
        <w:rPr>
          <w:rFonts w:ascii="Times New Roman"/>
          <w:sz w:val="18"/>
        </w:rPr>
      </w:pPr>
      <w:r>
        <w:rPr/>
        <w:pict>
          <v:shape style="position:absolute;margin-left:54.603977pt;margin-top:13.002932pt;width:12pt;height:71.55pt;mso-position-horizontal-relative:page;mso-position-vertical-relative:paragraph;z-index:16219136" type="#_x0000_t202" filled="false" stroked="false">
            <v:textbox inset="0,0,0,0" style="layout-flow:vertical;mso-layout-flow-alt:bottom-to-top">
              <w:txbxContent>
                <w:p>
                  <w:pPr>
                    <w:spacing w:before="12"/>
                    <w:ind w:left="20" w:right="0" w:firstLine="0"/>
                    <w:jc w:val="left"/>
                    <w:rPr>
                      <w:rFonts w:ascii="Times New Roman"/>
                      <w:sz w:val="18"/>
                    </w:rPr>
                  </w:pPr>
                  <w:r>
                    <w:rPr>
                      <w:rFonts w:ascii="Times New Roman"/>
                      <w:sz w:val="18"/>
                    </w:rPr>
                    <w:t>Area (million sq ft)</w:t>
                  </w:r>
                </w:p>
              </w:txbxContent>
            </v:textbox>
            <w10:wrap type="none"/>
          </v:shape>
        </w:pict>
      </w:r>
      <w:r>
        <w:rPr>
          <w:rFonts w:ascii="Times New Roman"/>
          <w:spacing w:val="-1"/>
          <w:sz w:val="18"/>
        </w:rPr>
        <w:t>1.2</w:t>
      </w:r>
    </w:p>
    <w:p>
      <w:pPr>
        <w:spacing w:before="175"/>
        <w:ind w:left="0" w:right="0" w:firstLine="0"/>
        <w:jc w:val="right"/>
        <w:rPr>
          <w:rFonts w:ascii="Times New Roman"/>
          <w:sz w:val="18"/>
        </w:rPr>
      </w:pPr>
      <w:r>
        <w:rPr>
          <w:rFonts w:ascii="Times New Roman"/>
          <w:spacing w:val="-1"/>
          <w:sz w:val="18"/>
        </w:rPr>
        <w:t>1.0</w:t>
      </w:r>
    </w:p>
    <w:p>
      <w:pPr>
        <w:spacing w:before="174"/>
        <w:ind w:left="0" w:right="0" w:firstLine="0"/>
        <w:jc w:val="right"/>
        <w:rPr>
          <w:rFonts w:ascii="Times New Roman"/>
          <w:sz w:val="18"/>
        </w:rPr>
      </w:pPr>
      <w:r>
        <w:rPr>
          <w:rFonts w:ascii="Times New Roman"/>
          <w:spacing w:val="-1"/>
          <w:sz w:val="18"/>
        </w:rPr>
        <w:t>0.8</w:t>
      </w:r>
    </w:p>
    <w:p>
      <w:pPr>
        <w:spacing w:before="174"/>
        <w:ind w:left="0" w:right="0" w:firstLine="0"/>
        <w:jc w:val="right"/>
        <w:rPr>
          <w:rFonts w:ascii="Times New Roman"/>
          <w:sz w:val="18"/>
        </w:rPr>
      </w:pPr>
      <w:r>
        <w:rPr>
          <w:rFonts w:ascii="Times New Roman"/>
          <w:spacing w:val="-1"/>
          <w:sz w:val="18"/>
        </w:rPr>
        <w:t>0.6</w:t>
      </w:r>
    </w:p>
    <w:p>
      <w:pPr>
        <w:spacing w:before="175"/>
        <w:ind w:left="0" w:right="0" w:firstLine="0"/>
        <w:jc w:val="right"/>
        <w:rPr>
          <w:rFonts w:ascii="Times New Roman"/>
          <w:sz w:val="18"/>
        </w:rPr>
      </w:pPr>
      <w:r>
        <w:rPr>
          <w:rFonts w:ascii="Times New Roman"/>
          <w:spacing w:val="-1"/>
          <w:sz w:val="18"/>
        </w:rPr>
        <w:t>0.4</w:t>
      </w:r>
    </w:p>
    <w:p>
      <w:pPr>
        <w:spacing w:before="174"/>
        <w:ind w:left="0" w:right="0" w:firstLine="0"/>
        <w:jc w:val="right"/>
        <w:rPr>
          <w:rFonts w:ascii="Times New Roman"/>
          <w:sz w:val="18"/>
        </w:rPr>
      </w:pPr>
      <w:r>
        <w:rPr>
          <w:rFonts w:ascii="Times New Roman"/>
          <w:spacing w:val="-1"/>
          <w:sz w:val="18"/>
        </w:rPr>
        <w:t>0.2</w:t>
      </w:r>
    </w:p>
    <w:p>
      <w:pPr>
        <w:spacing w:before="174"/>
        <w:ind w:left="0" w:right="0" w:firstLine="0"/>
        <w:jc w:val="right"/>
        <w:rPr>
          <w:rFonts w:ascii="Times New Roman"/>
          <w:sz w:val="18"/>
        </w:rPr>
      </w:pPr>
      <w:r>
        <w:rPr>
          <w:rFonts w:ascii="Times New Roman"/>
          <w:spacing w:val="-1"/>
          <w:sz w:val="18"/>
        </w:rPr>
        <w:t>0.0</w:t>
      </w:r>
    </w:p>
    <w:p>
      <w:pPr>
        <w:pStyle w:val="BodyText"/>
        <w:rPr>
          <w:rFonts w:ascii="Times New Roman"/>
          <w:sz w:val="20"/>
        </w:rPr>
      </w:pPr>
      <w:r>
        <w:rPr/>
        <w:br w:type="column"/>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tabs>
          <w:tab w:pos="1952" w:val="left" w:leader="none"/>
          <w:tab w:pos="3298" w:val="left" w:leader="none"/>
          <w:tab w:pos="4644" w:val="left" w:leader="none"/>
          <w:tab w:pos="5990" w:val="left" w:leader="none"/>
          <w:tab w:pos="7335" w:val="left" w:leader="none"/>
        </w:tabs>
        <w:spacing w:before="133"/>
        <w:ind w:left="606" w:right="0" w:firstLine="0"/>
        <w:jc w:val="left"/>
        <w:rPr>
          <w:rFonts w:ascii="Times New Roman"/>
          <w:sz w:val="18"/>
        </w:rPr>
      </w:pPr>
      <w:r>
        <w:rPr>
          <w:rFonts w:ascii="Times New Roman"/>
          <w:sz w:val="18"/>
        </w:rPr>
        <w:t>2014</w:t>
        <w:tab/>
        <w:t>2015</w:t>
        <w:tab/>
        <w:t>2016</w:t>
        <w:tab/>
        <w:t>2017</w:t>
        <w:tab/>
        <w:t>2018</w:t>
        <w:tab/>
      </w:r>
      <w:r>
        <w:rPr>
          <w:rFonts w:ascii="Times New Roman"/>
          <w:spacing w:val="-5"/>
          <w:sz w:val="18"/>
        </w:rPr>
        <w:t>2019</w:t>
      </w:r>
    </w:p>
    <w:p>
      <w:pPr>
        <w:tabs>
          <w:tab w:pos="3798" w:val="left" w:leader="none"/>
          <w:tab w:pos="5361" w:val="left" w:leader="none"/>
        </w:tabs>
        <w:spacing w:before="136"/>
        <w:ind w:left="2534" w:right="0" w:firstLine="0"/>
        <w:jc w:val="left"/>
        <w:rPr>
          <w:rFonts w:ascii="Times New Roman"/>
          <w:sz w:val="18"/>
        </w:rPr>
      </w:pPr>
      <w:r>
        <w:rPr/>
        <w:pict>
          <v:rect style="position:absolute;margin-left:194.509995pt;margin-top:10.058057pt;width:19.2pt;height:4.4843pt;mso-position-horizontal-relative:page;mso-position-vertical-relative:paragraph;z-index:16205312" filled="true" fillcolor="#006a4d" stroked="false">
            <v:fill type="solid"/>
            <w10:wrap type="none"/>
          </v:rect>
        </w:pict>
      </w:r>
      <w:r>
        <w:rPr/>
        <w:pict>
          <v:rect style="position:absolute;margin-left:257.670013pt;margin-top:10.058057pt;width:19.2pt;height:4.4843pt;mso-position-horizontal-relative:page;mso-position-vertical-relative:paragraph;z-index:-34422272" filled="true" fillcolor="#9bba58" stroked="false">
            <v:fill type="solid"/>
            <w10:wrap type="none"/>
          </v:rect>
        </w:pict>
      </w:r>
      <w:r>
        <w:rPr/>
        <w:pict>
          <v:group style="position:absolute;margin-left:335.820007pt;margin-top:9.307357pt;width:19.2pt;height:5.8pt;mso-position-horizontal-relative:page;mso-position-vertical-relative:paragraph;z-index:-34421760" coordorigin="6716,186" coordsize="384,116">
            <v:shape style="position:absolute;left:6716;top:246;width:384;height:2" coordorigin="6716,246" coordsize="384,0" path="m6716,246l6857,246m6958,246l7100,246e" filled="false" stroked="true" strokeweight="2.25pt" strokecolor="#92d050">
              <v:path arrowok="t"/>
              <v:stroke dashstyle="solid"/>
            </v:shape>
            <v:rect style="position:absolute;left:6856;top:193;width:101;height:101" filled="true" fillcolor="#00af50" stroked="false">
              <v:fill type="solid"/>
            </v:rect>
            <v:rect style="position:absolute;left:6856;top:193;width:101;height:101" filled="false" stroked="true" strokeweight=".75pt" strokecolor="#9bba58">
              <v:stroke dashstyle="solid"/>
            </v:rect>
            <w10:wrap type="none"/>
          </v:group>
        </w:pict>
      </w:r>
      <w:r>
        <w:rPr>
          <w:rFonts w:ascii="Times New Roman"/>
          <w:sz w:val="18"/>
        </w:rPr>
        <w:t>Supply</w:t>
        <w:tab/>
        <w:t>Absorption</w:t>
        <w:tab/>
        <w:t>Vacancy</w:t>
      </w:r>
      <w:r>
        <w:rPr>
          <w:rFonts w:ascii="Times New Roman"/>
          <w:spacing w:val="-2"/>
          <w:sz w:val="18"/>
        </w:rPr>
        <w:t> </w:t>
      </w:r>
      <w:r>
        <w:rPr>
          <w:rFonts w:ascii="Times New Roman"/>
          <w:sz w:val="18"/>
        </w:rPr>
        <w:t>(%)</w:t>
      </w:r>
    </w:p>
    <w:p>
      <w:pPr>
        <w:spacing w:before="92"/>
        <w:ind w:left="605" w:right="0" w:firstLine="0"/>
        <w:jc w:val="left"/>
        <w:rPr>
          <w:rFonts w:ascii="Times New Roman"/>
          <w:sz w:val="18"/>
        </w:rPr>
      </w:pPr>
      <w:r>
        <w:rPr/>
        <w:br w:type="column"/>
      </w:r>
      <w:r>
        <w:rPr>
          <w:rFonts w:ascii="Times New Roman"/>
          <w:sz w:val="18"/>
        </w:rPr>
        <w:t>16%</w:t>
      </w:r>
    </w:p>
    <w:p>
      <w:pPr>
        <w:spacing w:before="174"/>
        <w:ind w:left="605" w:right="0" w:firstLine="0"/>
        <w:jc w:val="left"/>
        <w:rPr>
          <w:rFonts w:ascii="Times New Roman"/>
          <w:sz w:val="18"/>
        </w:rPr>
      </w:pPr>
      <w:r>
        <w:rPr/>
        <w:pict>
          <v:group style="position:absolute;margin-left:92.021004pt;margin-top:-9.707678pt;width:409.05pt;height:157.85pt;mso-position-horizontal-relative:page;mso-position-vertical-relative:paragraph;z-index:16204800" coordorigin="1840,-194" coordsize="8181,3157">
            <v:rect style="position:absolute;left:3350;top:94;width:562;height:2858" filled="true" fillcolor="#006a4d" stroked="false">
              <v:fill type="solid"/>
            </v:rect>
            <v:rect style="position:absolute;left:3912;top:783;width:562;height:2170" filled="true" fillcolor="#9bba58" stroked="false">
              <v:fill type="solid"/>
            </v:rect>
            <v:rect style="position:absolute;left:4696;top:1781;width:562;height:1171" filled="true" fillcolor="#006a4d" stroked="false">
              <v:fill type="solid"/>
            </v:rect>
            <v:rect style="position:absolute;left:5258;top:1438;width:560;height:1514" filled="true" fillcolor="#9bba58" stroked="false">
              <v:fill type="solid"/>
            </v:rect>
            <v:rect style="position:absolute;left:7387;top:1798;width:562;height:1154" filled="true" fillcolor="#006a4d" stroked="false">
              <v:fill type="solid"/>
            </v:rect>
            <v:shape style="position:absolute;left:2565;top:1152;width:7289;height:1800" coordorigin="2566,1153" coordsize="7289,1800" path="m3127,2480l2566,2480,2566,2952,3127,2952,3127,2480xm7164,2415l6602,2415,6602,2952,7164,2952,7164,2415xm8510,1153l7949,1153,7949,2952,8510,2952,8510,1153xm9854,2744l9295,2744,9295,2952,9854,2952,9854,2744xe" filled="true" fillcolor="#9bba58" stroked="false">
              <v:path arrowok="t"/>
              <v:fill type="solid"/>
            </v:shape>
            <v:shape style="position:absolute;left:9967;top:-97;width:54;height:3049" coordorigin="9967,-96" coordsize="54,3049" path="m9967,2952l9967,-96m9967,2952l10021,2952m9967,2571l10021,2571m9967,2190l10021,2190m9967,1808l10021,1808m9967,1429l10021,1429m9967,1047l10021,1047m9967,666l10021,666m9967,284l10021,284m9967,-96l10021,-96e" filled="false" stroked="true" strokeweight=".75pt" strokecolor="#858585">
              <v:path arrowok="t"/>
              <v:stroke dashstyle="solid"/>
            </v:shape>
            <v:shape style="position:absolute;left:1840;top:-97;width:54;height:3049" coordorigin="1840,-96" coordsize="54,3049" path="m1894,2952l1894,-96m1840,2952l1894,2952m1840,2571l1894,2571m1840,2190l1894,2190m1840,1808l1894,1808m1840,1429l1894,1429m1840,1047l1894,1047m1840,666l1894,666m1840,284l1894,284m1840,-96l1894,-96e" filled="false" stroked="true" strokeweight=".5pt" strokecolor="#000000">
              <v:path arrowok="t"/>
              <v:stroke dashstyle="solid"/>
            </v:shape>
            <v:line style="position:absolute" from="1894,2952" to="9967,2952" stroked="true" strokeweight="1pt" strokecolor="#000000">
              <v:stroke dashstyle="solid"/>
            </v:line>
            <v:shape style="position:absolute;left:2566;top:215;width:6728;height:2074" coordorigin="2567,215" coordsize="6728,2074" path="m2567,601l3912,215,5258,759,6602,1333,7949,2079,9294,2289e" filled="false" stroked="true" strokeweight="2.25pt" strokecolor="#92d050">
              <v:path arrowok="t"/>
              <v:stroke dashstyle="solid"/>
            </v:shape>
            <v:rect style="position:absolute;left:2496;top:532;width:140;height:140" filled="true" fillcolor="#00af50" stroked="false">
              <v:fill type="solid"/>
            </v:rect>
            <v:rect style="position:absolute;left:2496;top:532;width:140;height:140" filled="false" stroked="true" strokeweight=".72pt" strokecolor="#9bba58">
              <v:stroke dashstyle="solid"/>
            </v:rect>
            <v:rect style="position:absolute;left:3842;top:146;width:140;height:140" filled="true" fillcolor="#00af50" stroked="false">
              <v:fill type="solid"/>
            </v:rect>
            <v:rect style="position:absolute;left:3842;top:146;width:140;height:140" filled="false" stroked="true" strokeweight=".72pt" strokecolor="#9bba58">
              <v:stroke dashstyle="solid"/>
            </v:rect>
            <v:rect style="position:absolute;left:5188;top:690;width:140;height:140" filled="true" fillcolor="#00af50" stroked="false">
              <v:fill type="solid"/>
            </v:rect>
            <v:rect style="position:absolute;left:5188;top:690;width:140;height:140" filled="false" stroked="true" strokeweight=".72pt" strokecolor="#9bba58">
              <v:stroke dashstyle="solid"/>
            </v:rect>
            <v:rect style="position:absolute;left:6532;top:1264;width:140;height:140" filled="true" fillcolor="#00af50" stroked="false">
              <v:fill type="solid"/>
            </v:rect>
            <v:rect style="position:absolute;left:6532;top:1264;width:140;height:140" filled="false" stroked="true" strokeweight=".72pt" strokecolor="#9bba58">
              <v:stroke dashstyle="solid"/>
            </v:rect>
            <v:rect style="position:absolute;left:7879;top:2010;width:140;height:140" filled="true" fillcolor="#00af50" stroked="false">
              <v:fill type="solid"/>
            </v:rect>
            <v:rect style="position:absolute;left:7879;top:2010;width:140;height:140" filled="false" stroked="true" strokeweight=".72pt" strokecolor="#9bba58">
              <v:stroke dashstyle="solid"/>
            </v:rect>
            <v:rect style="position:absolute;left:9225;top:2222;width:140;height:140" filled="true" fillcolor="#00af50" stroked="false">
              <v:fill type="solid"/>
            </v:rect>
            <v:rect style="position:absolute;left:9225;top:2222;width:140;height:140" filled="false" stroked="true" strokeweight=".72pt" strokecolor="#9bba58">
              <v:stroke dashstyle="solid"/>
            </v:rect>
            <v:line style="position:absolute" from="3912,215" to="4112,85" stroked="true" strokeweight=".75pt" strokecolor="#000000">
              <v:stroke dashstyle="solid"/>
            </v:line>
            <v:shape style="position:absolute;left:3517;top:-195;width:849;height:251" type="#_x0000_t202" filled="false" stroked="false">
              <v:textbox inset="0,0,0,0">
                <w:txbxContent>
                  <w:p>
                    <w:pPr>
                      <w:spacing w:line="251" w:lineRule="exact" w:before="0"/>
                      <w:ind w:left="0" w:right="0" w:firstLine="0"/>
                      <w:jc w:val="left"/>
                      <w:rPr>
                        <w:rFonts w:ascii="Times New Roman"/>
                        <w:sz w:val="18"/>
                      </w:rPr>
                    </w:pPr>
                    <w:r>
                      <w:rPr>
                        <w:rFonts w:ascii="Times New Roman"/>
                        <w:position w:val="5"/>
                        <w:sz w:val="18"/>
                      </w:rPr>
                      <w:t>1.5 </w:t>
                    </w:r>
                    <w:r>
                      <w:rPr>
                        <w:rFonts w:ascii="Times New Roman"/>
                        <w:sz w:val="18"/>
                      </w:rPr>
                      <w:t>14.4%</w:t>
                    </w:r>
                  </w:p>
                </w:txbxContent>
              </v:textbox>
              <w10:wrap type="none"/>
            </v:shape>
            <v:shape style="position:absolute;left:2331;top:242;width:489;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12.3%</w:t>
                    </w:r>
                  </w:p>
                </w:txbxContent>
              </v:textbox>
              <w10:wrap type="none"/>
            </v:shape>
            <v:shape style="position:absolute;left:4077;top:495;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1.1</w:t>
                    </w:r>
                  </w:p>
                </w:txbxContent>
              </v:textbox>
              <w10:wrap type="none"/>
            </v:shape>
            <v:shape style="position:absolute;left:5023;top:401;width:489;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11.5%</w:t>
                    </w:r>
                  </w:p>
                </w:txbxContent>
              </v:textbox>
              <w10:wrap type="none"/>
            </v:shape>
            <v:shape style="position:absolute;left:6414;top:974;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8.5%</w:t>
                    </w:r>
                  </w:p>
                </w:txbxContent>
              </v:textbox>
              <w10:wrap type="none"/>
            </v:shape>
            <v:shape style="position:absolute;left:8115;top:863;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0.9</w:t>
                    </w:r>
                  </w:p>
                </w:txbxContent>
              </v:textbox>
              <w10:wrap type="none"/>
            </v:shape>
            <v:shape style="position:absolute;left:5423;top:1151;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0.8</w:t>
                    </w:r>
                  </w:p>
                </w:txbxContent>
              </v:textbox>
              <w10:wrap type="none"/>
            </v:shape>
            <v:shape style="position:absolute;left:4862;top:1492;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0.6</w:t>
                    </w:r>
                  </w:p>
                </w:txbxContent>
              </v:textbox>
              <w10:wrap type="none"/>
            </v:shape>
            <v:shape style="position:absolute;left:7554;top:1509;width:604;height:411"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0.6</w:t>
                    </w:r>
                  </w:p>
                  <w:p>
                    <w:pPr>
                      <w:spacing w:before="4"/>
                      <w:ind w:left="205" w:right="0" w:firstLine="0"/>
                      <w:jc w:val="left"/>
                      <w:rPr>
                        <w:rFonts w:ascii="Times New Roman"/>
                        <w:sz w:val="18"/>
                      </w:rPr>
                    </w:pPr>
                    <w:r>
                      <w:rPr>
                        <w:rFonts w:ascii="Times New Roman"/>
                        <w:sz w:val="18"/>
                      </w:rPr>
                      <w:t>4.6%</w:t>
                    </w:r>
                  </w:p>
                </w:txbxContent>
              </v:textbox>
              <w10:wrap type="none"/>
            </v:shape>
            <v:shape style="position:absolute;left:9106;top:1931;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3.5%</w:t>
                    </w:r>
                  </w:p>
                </w:txbxContent>
              </v:textbox>
              <w10:wrap type="none"/>
            </v:shape>
            <v:shape style="position:absolute;left:2732;top:2191;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0.2</w:t>
                    </w:r>
                  </w:p>
                </w:txbxContent>
              </v:textbox>
              <w10:wrap type="none"/>
            </v:shape>
            <v:shape style="position:absolute;left:6769;top:2128;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0.3</w:t>
                    </w:r>
                  </w:p>
                </w:txbxContent>
              </v:textbox>
              <w10:wrap type="none"/>
            </v:shape>
            <v:shape style="position:absolute;left:9461;top:2455;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0.1</w:t>
                    </w:r>
                  </w:p>
                </w:txbxContent>
              </v:textbox>
              <w10:wrap type="none"/>
            </v:shape>
            <v:shape style="position:absolute;left:2171;top:2664;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0.0</w:t>
                    </w:r>
                  </w:p>
                </w:txbxContent>
              </v:textbox>
              <w10:wrap type="none"/>
            </v:shape>
            <v:shape style="position:absolute;left:6208;top:2664;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0.0</w:t>
                    </w:r>
                  </w:p>
                </w:txbxContent>
              </v:textbox>
              <w10:wrap type="none"/>
            </v:shape>
            <v:shape style="position:absolute;left:8900;top:2664;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0.0</w:t>
                    </w:r>
                  </w:p>
                </w:txbxContent>
              </v:textbox>
              <w10:wrap type="none"/>
            </v:shape>
            <w10:wrap type="none"/>
          </v:group>
        </w:pict>
      </w:r>
      <w:r>
        <w:rPr>
          <w:rFonts w:ascii="Times New Roman"/>
          <w:sz w:val="18"/>
        </w:rPr>
        <w:t>14%</w:t>
      </w:r>
    </w:p>
    <w:p>
      <w:pPr>
        <w:spacing w:before="174"/>
        <w:ind w:left="605" w:right="0" w:firstLine="0"/>
        <w:jc w:val="left"/>
        <w:rPr>
          <w:rFonts w:ascii="Times New Roman"/>
          <w:sz w:val="18"/>
        </w:rPr>
      </w:pPr>
      <w:r>
        <w:rPr>
          <w:rFonts w:ascii="Times New Roman"/>
          <w:sz w:val="18"/>
        </w:rPr>
        <w:t>12%</w:t>
      </w:r>
    </w:p>
    <w:p>
      <w:pPr>
        <w:spacing w:before="175"/>
        <w:ind w:left="605" w:right="0" w:firstLine="0"/>
        <w:jc w:val="left"/>
        <w:rPr>
          <w:rFonts w:ascii="Times New Roman"/>
          <w:sz w:val="18"/>
        </w:rPr>
      </w:pPr>
      <w:r>
        <w:rPr/>
        <w:pict>
          <v:shape style="position:absolute;margin-left:537.673218pt;margin-top:12.672346pt;width:12pt;height:49.15pt;mso-position-horizontal-relative:page;mso-position-vertical-relative:paragraph;z-index:16217600" type="#_x0000_t202" filled="false" stroked="false">
            <v:textbox inset="0,0,0,0" style="layout-flow:vertical">
              <w:txbxContent>
                <w:p>
                  <w:pPr>
                    <w:spacing w:before="12"/>
                    <w:ind w:left="20" w:right="0" w:firstLine="0"/>
                    <w:jc w:val="left"/>
                    <w:rPr>
                      <w:rFonts w:ascii="Times New Roman"/>
                      <w:sz w:val="18"/>
                    </w:rPr>
                  </w:pPr>
                  <w:r>
                    <w:rPr>
                      <w:rFonts w:ascii="Times New Roman"/>
                      <w:sz w:val="18"/>
                    </w:rPr>
                    <w:t>Vacancy (%)</w:t>
                  </w:r>
                </w:p>
              </w:txbxContent>
            </v:textbox>
            <w10:wrap type="none"/>
          </v:shape>
        </w:pict>
      </w:r>
      <w:r>
        <w:rPr>
          <w:rFonts w:ascii="Times New Roman"/>
          <w:sz w:val="18"/>
        </w:rPr>
        <w:t>10%</w:t>
      </w:r>
    </w:p>
    <w:p>
      <w:pPr>
        <w:spacing w:before="174"/>
        <w:ind w:left="605" w:right="0" w:firstLine="0"/>
        <w:jc w:val="left"/>
        <w:rPr>
          <w:rFonts w:ascii="Times New Roman"/>
          <w:sz w:val="18"/>
        </w:rPr>
      </w:pPr>
      <w:r>
        <w:rPr>
          <w:rFonts w:ascii="Times New Roman"/>
          <w:sz w:val="18"/>
        </w:rPr>
        <w:t>8%</w:t>
      </w:r>
    </w:p>
    <w:p>
      <w:pPr>
        <w:spacing w:before="174"/>
        <w:ind w:left="605" w:right="0" w:firstLine="0"/>
        <w:jc w:val="left"/>
        <w:rPr>
          <w:rFonts w:ascii="Times New Roman"/>
          <w:sz w:val="18"/>
        </w:rPr>
      </w:pPr>
      <w:r>
        <w:rPr>
          <w:rFonts w:ascii="Times New Roman"/>
          <w:sz w:val="18"/>
        </w:rPr>
        <w:t>6%</w:t>
      </w:r>
    </w:p>
    <w:p>
      <w:pPr>
        <w:spacing w:before="175"/>
        <w:ind w:left="605" w:right="0" w:firstLine="0"/>
        <w:jc w:val="left"/>
        <w:rPr>
          <w:rFonts w:ascii="Times New Roman"/>
          <w:sz w:val="18"/>
        </w:rPr>
      </w:pPr>
      <w:r>
        <w:rPr>
          <w:rFonts w:ascii="Times New Roman"/>
          <w:sz w:val="18"/>
        </w:rPr>
        <w:t>4%</w:t>
      </w:r>
    </w:p>
    <w:p>
      <w:pPr>
        <w:spacing w:before="174"/>
        <w:ind w:left="605" w:right="0" w:firstLine="0"/>
        <w:jc w:val="left"/>
        <w:rPr>
          <w:rFonts w:ascii="Times New Roman"/>
          <w:sz w:val="18"/>
        </w:rPr>
      </w:pPr>
      <w:r>
        <w:rPr>
          <w:rFonts w:ascii="Times New Roman"/>
          <w:sz w:val="18"/>
        </w:rPr>
        <w:t>2%</w:t>
      </w:r>
    </w:p>
    <w:p>
      <w:pPr>
        <w:spacing w:before="174"/>
        <w:ind w:left="605" w:right="0" w:firstLine="0"/>
        <w:jc w:val="left"/>
        <w:rPr>
          <w:rFonts w:ascii="Times New Roman"/>
          <w:sz w:val="18"/>
        </w:rPr>
      </w:pPr>
      <w:r>
        <w:rPr>
          <w:rFonts w:ascii="Times New Roman"/>
          <w:sz w:val="18"/>
        </w:rPr>
        <w:t>0%</w:t>
      </w:r>
    </w:p>
    <w:p>
      <w:pPr>
        <w:spacing w:after="0"/>
        <w:jc w:val="left"/>
        <w:rPr>
          <w:rFonts w:ascii="Times New Roman"/>
          <w:sz w:val="18"/>
        </w:rPr>
        <w:sectPr>
          <w:type w:val="continuous"/>
          <w:pgSz w:w="11910" w:h="16840"/>
          <w:pgMar w:top="800" w:bottom="280" w:left="460" w:right="480"/>
          <w:cols w:num="3" w:equalWidth="0">
            <w:col w:w="1281" w:space="40"/>
            <w:col w:w="7697" w:space="39"/>
            <w:col w:w="1913"/>
          </w:cols>
        </w:sectPr>
      </w:pPr>
    </w:p>
    <w:p>
      <w:pPr>
        <w:pStyle w:val="BodyText"/>
        <w:rPr>
          <w:rFonts w:ascii="Times New Roman"/>
          <w:sz w:val="20"/>
        </w:rPr>
      </w:pPr>
    </w:p>
    <w:p>
      <w:pPr>
        <w:pStyle w:val="BodyText"/>
        <w:spacing w:before="5"/>
        <w:rPr>
          <w:rFonts w:ascii="Times New Roman"/>
          <w:sz w:val="29"/>
        </w:rPr>
      </w:pPr>
    </w:p>
    <w:p>
      <w:pPr>
        <w:spacing w:line="321" w:lineRule="auto" w:before="104"/>
        <w:ind w:left="807" w:right="234" w:firstLine="0"/>
        <w:jc w:val="both"/>
        <w:rPr>
          <w:i/>
          <w:sz w:val="18"/>
        </w:rPr>
      </w:pPr>
      <w:r>
        <w:rPr>
          <w:i/>
          <w:sz w:val="18"/>
        </w:rPr>
        <w:t>Source:</w:t>
      </w:r>
      <w:r>
        <w:rPr>
          <w:i/>
          <w:spacing w:val="-28"/>
          <w:sz w:val="18"/>
        </w:rPr>
        <w:t> </w:t>
      </w:r>
      <w:r>
        <w:rPr>
          <w:i/>
          <w:sz w:val="18"/>
        </w:rPr>
        <w:t>CBRE</w:t>
      </w:r>
      <w:r>
        <w:rPr>
          <w:i/>
          <w:spacing w:val="-27"/>
          <w:sz w:val="18"/>
        </w:rPr>
        <w:t> </w:t>
      </w:r>
      <w:r>
        <w:rPr>
          <w:i/>
          <w:sz w:val="18"/>
        </w:rPr>
        <w:t>Research;</w:t>
      </w:r>
      <w:r>
        <w:rPr>
          <w:i/>
          <w:spacing w:val="-29"/>
          <w:sz w:val="18"/>
        </w:rPr>
        <w:t> </w:t>
      </w:r>
      <w:r>
        <w:rPr>
          <w:i/>
          <w:sz w:val="18"/>
        </w:rPr>
        <w:t>Note:</w:t>
      </w:r>
      <w:r>
        <w:rPr>
          <w:i/>
          <w:spacing w:val="-28"/>
          <w:sz w:val="18"/>
        </w:rPr>
        <w:t> </w:t>
      </w:r>
      <w:r>
        <w:rPr>
          <w:i/>
          <w:sz w:val="18"/>
        </w:rPr>
        <w:t>Supply</w:t>
      </w:r>
      <w:r>
        <w:rPr>
          <w:i/>
          <w:spacing w:val="-28"/>
          <w:sz w:val="18"/>
        </w:rPr>
        <w:t> </w:t>
      </w:r>
      <w:r>
        <w:rPr>
          <w:i/>
          <w:w w:val="105"/>
          <w:sz w:val="18"/>
        </w:rPr>
        <w:t>–</w:t>
      </w:r>
      <w:r>
        <w:rPr>
          <w:i/>
          <w:spacing w:val="-30"/>
          <w:w w:val="105"/>
          <w:sz w:val="18"/>
        </w:rPr>
        <w:t> </w:t>
      </w:r>
      <w:r>
        <w:rPr>
          <w:i/>
          <w:sz w:val="18"/>
        </w:rPr>
        <w:t>refers</w:t>
      </w:r>
      <w:r>
        <w:rPr>
          <w:i/>
          <w:spacing w:val="-27"/>
          <w:sz w:val="18"/>
        </w:rPr>
        <w:t> </w:t>
      </w:r>
      <w:r>
        <w:rPr>
          <w:i/>
          <w:sz w:val="18"/>
        </w:rPr>
        <w:t>to</w:t>
      </w:r>
      <w:r>
        <w:rPr>
          <w:i/>
          <w:spacing w:val="-28"/>
          <w:sz w:val="18"/>
        </w:rPr>
        <w:t> </w:t>
      </w:r>
      <w:r>
        <w:rPr>
          <w:i/>
          <w:sz w:val="18"/>
        </w:rPr>
        <w:t>fresh</w:t>
      </w:r>
      <w:r>
        <w:rPr>
          <w:i/>
          <w:spacing w:val="-28"/>
          <w:sz w:val="18"/>
        </w:rPr>
        <w:t> </w:t>
      </w:r>
      <w:r>
        <w:rPr>
          <w:i/>
          <w:sz w:val="18"/>
        </w:rPr>
        <w:t>completed</w:t>
      </w:r>
      <w:r>
        <w:rPr>
          <w:i/>
          <w:spacing w:val="-26"/>
          <w:sz w:val="18"/>
        </w:rPr>
        <w:t> </w:t>
      </w:r>
      <w:r>
        <w:rPr>
          <w:i/>
          <w:sz w:val="18"/>
        </w:rPr>
        <w:t>supply</w:t>
      </w:r>
      <w:r>
        <w:rPr>
          <w:i/>
          <w:spacing w:val="-29"/>
          <w:sz w:val="18"/>
        </w:rPr>
        <w:t> </w:t>
      </w:r>
      <w:r>
        <w:rPr>
          <w:i/>
          <w:sz w:val="18"/>
        </w:rPr>
        <w:t>added</w:t>
      </w:r>
      <w:r>
        <w:rPr>
          <w:i/>
          <w:spacing w:val="-27"/>
          <w:sz w:val="18"/>
        </w:rPr>
        <w:t> </w:t>
      </w:r>
      <w:r>
        <w:rPr>
          <w:i/>
          <w:sz w:val="18"/>
        </w:rPr>
        <w:t>each</w:t>
      </w:r>
      <w:r>
        <w:rPr>
          <w:i/>
          <w:spacing w:val="-28"/>
          <w:sz w:val="18"/>
        </w:rPr>
        <w:t> </w:t>
      </w:r>
      <w:r>
        <w:rPr>
          <w:i/>
          <w:sz w:val="18"/>
        </w:rPr>
        <w:t>year;</w:t>
      </w:r>
      <w:r>
        <w:rPr>
          <w:i/>
          <w:spacing w:val="-24"/>
          <w:sz w:val="18"/>
        </w:rPr>
        <w:t> </w:t>
      </w:r>
      <w:r>
        <w:rPr>
          <w:i/>
          <w:sz w:val="18"/>
        </w:rPr>
        <w:t>Absorption</w:t>
      </w:r>
      <w:r>
        <w:rPr>
          <w:i/>
          <w:spacing w:val="-28"/>
          <w:sz w:val="18"/>
        </w:rPr>
        <w:t> </w:t>
      </w:r>
      <w:r>
        <w:rPr>
          <w:i/>
          <w:w w:val="105"/>
          <w:sz w:val="18"/>
        </w:rPr>
        <w:t>–</w:t>
      </w:r>
      <w:r>
        <w:rPr>
          <w:i/>
          <w:spacing w:val="-29"/>
          <w:w w:val="105"/>
          <w:sz w:val="18"/>
        </w:rPr>
        <w:t> </w:t>
      </w:r>
      <w:r>
        <w:rPr>
          <w:i/>
          <w:sz w:val="18"/>
        </w:rPr>
        <w:t>refers</w:t>
      </w:r>
      <w:r>
        <w:rPr>
          <w:i/>
          <w:spacing w:val="-29"/>
          <w:sz w:val="18"/>
        </w:rPr>
        <w:t> </w:t>
      </w:r>
      <w:r>
        <w:rPr>
          <w:i/>
          <w:sz w:val="18"/>
        </w:rPr>
        <w:t>to</w:t>
      </w:r>
      <w:r>
        <w:rPr>
          <w:i/>
          <w:spacing w:val="-28"/>
          <w:sz w:val="18"/>
        </w:rPr>
        <w:t> </w:t>
      </w:r>
      <w:r>
        <w:rPr>
          <w:i/>
          <w:sz w:val="18"/>
        </w:rPr>
        <w:t>the</w:t>
      </w:r>
      <w:r>
        <w:rPr>
          <w:i/>
          <w:spacing w:val="-29"/>
          <w:sz w:val="18"/>
        </w:rPr>
        <w:t> </w:t>
      </w:r>
      <w:r>
        <w:rPr>
          <w:i/>
          <w:sz w:val="18"/>
        </w:rPr>
        <w:t>quantum</w:t>
      </w:r>
      <w:r>
        <w:rPr>
          <w:i/>
          <w:spacing w:val="-27"/>
          <w:sz w:val="18"/>
        </w:rPr>
        <w:t> </w:t>
      </w:r>
      <w:r>
        <w:rPr>
          <w:i/>
          <w:sz w:val="18"/>
        </w:rPr>
        <w:t>of </w:t>
      </w:r>
      <w:r>
        <w:rPr>
          <w:i/>
          <w:sz w:val="18"/>
        </w:rPr>
        <w:t>leasing</w:t>
      </w:r>
      <w:r>
        <w:rPr>
          <w:i/>
          <w:spacing w:val="-19"/>
          <w:sz w:val="18"/>
        </w:rPr>
        <w:t> </w:t>
      </w:r>
      <w:r>
        <w:rPr>
          <w:i/>
          <w:sz w:val="18"/>
        </w:rPr>
        <w:t>witnessed</w:t>
      </w:r>
      <w:r>
        <w:rPr>
          <w:i/>
          <w:spacing w:val="-17"/>
          <w:sz w:val="18"/>
        </w:rPr>
        <w:t> </w:t>
      </w:r>
      <w:r>
        <w:rPr>
          <w:i/>
          <w:sz w:val="18"/>
        </w:rPr>
        <w:t>in</w:t>
      </w:r>
      <w:r>
        <w:rPr>
          <w:i/>
          <w:spacing w:val="-19"/>
          <w:sz w:val="18"/>
        </w:rPr>
        <w:t> </w:t>
      </w:r>
      <w:r>
        <w:rPr>
          <w:i/>
          <w:sz w:val="18"/>
        </w:rPr>
        <w:t>each</w:t>
      </w:r>
      <w:r>
        <w:rPr>
          <w:i/>
          <w:spacing w:val="-17"/>
          <w:sz w:val="18"/>
        </w:rPr>
        <w:t> </w:t>
      </w:r>
      <w:r>
        <w:rPr>
          <w:i/>
          <w:sz w:val="18"/>
        </w:rPr>
        <w:t>year</w:t>
      </w:r>
      <w:r>
        <w:rPr>
          <w:i/>
          <w:spacing w:val="-18"/>
          <w:sz w:val="18"/>
        </w:rPr>
        <w:t> </w:t>
      </w:r>
      <w:r>
        <w:rPr>
          <w:i/>
          <w:sz w:val="18"/>
        </w:rPr>
        <w:t>as</w:t>
      </w:r>
      <w:r>
        <w:rPr>
          <w:i/>
          <w:spacing w:val="-19"/>
          <w:sz w:val="18"/>
        </w:rPr>
        <w:t> </w:t>
      </w:r>
      <w:r>
        <w:rPr>
          <w:i/>
          <w:sz w:val="18"/>
        </w:rPr>
        <w:t>part</w:t>
      </w:r>
      <w:r>
        <w:rPr>
          <w:i/>
          <w:spacing w:val="-15"/>
          <w:sz w:val="18"/>
        </w:rPr>
        <w:t> </w:t>
      </w:r>
      <w:r>
        <w:rPr>
          <w:i/>
          <w:sz w:val="18"/>
        </w:rPr>
        <w:t>of</w:t>
      </w:r>
      <w:r>
        <w:rPr>
          <w:i/>
          <w:spacing w:val="-17"/>
          <w:sz w:val="18"/>
        </w:rPr>
        <w:t> </w:t>
      </w:r>
      <w:r>
        <w:rPr>
          <w:i/>
          <w:sz w:val="18"/>
        </w:rPr>
        <w:t>completed</w:t>
      </w:r>
      <w:r>
        <w:rPr>
          <w:i/>
          <w:spacing w:val="-19"/>
          <w:sz w:val="18"/>
        </w:rPr>
        <w:t> </w:t>
      </w:r>
      <w:r>
        <w:rPr>
          <w:i/>
          <w:sz w:val="18"/>
        </w:rPr>
        <w:t>space;</w:t>
      </w:r>
      <w:r>
        <w:rPr>
          <w:i/>
          <w:spacing w:val="-18"/>
          <w:sz w:val="18"/>
        </w:rPr>
        <w:t> </w:t>
      </w:r>
      <w:r>
        <w:rPr>
          <w:i/>
          <w:sz w:val="18"/>
        </w:rPr>
        <w:t>the</w:t>
      </w:r>
      <w:r>
        <w:rPr>
          <w:i/>
          <w:spacing w:val="-18"/>
          <w:sz w:val="18"/>
        </w:rPr>
        <w:t> </w:t>
      </w:r>
      <w:r>
        <w:rPr>
          <w:i/>
          <w:sz w:val="18"/>
        </w:rPr>
        <w:t>vacancy</w:t>
      </w:r>
      <w:r>
        <w:rPr>
          <w:i/>
          <w:spacing w:val="-19"/>
          <w:sz w:val="18"/>
        </w:rPr>
        <w:t> </w:t>
      </w:r>
      <w:r>
        <w:rPr>
          <w:i/>
          <w:sz w:val="18"/>
        </w:rPr>
        <w:t>in</w:t>
      </w:r>
      <w:r>
        <w:rPr>
          <w:i/>
          <w:spacing w:val="-18"/>
          <w:sz w:val="18"/>
        </w:rPr>
        <w:t> </w:t>
      </w:r>
      <w:r>
        <w:rPr>
          <w:i/>
          <w:sz w:val="18"/>
        </w:rPr>
        <w:t>the</w:t>
      </w:r>
      <w:r>
        <w:rPr>
          <w:i/>
          <w:spacing w:val="-20"/>
          <w:sz w:val="18"/>
        </w:rPr>
        <w:t> </w:t>
      </w:r>
      <w:r>
        <w:rPr>
          <w:i/>
          <w:sz w:val="18"/>
        </w:rPr>
        <w:t>chart</w:t>
      </w:r>
      <w:r>
        <w:rPr>
          <w:i/>
          <w:spacing w:val="-17"/>
          <w:sz w:val="18"/>
        </w:rPr>
        <w:t> </w:t>
      </w:r>
      <w:r>
        <w:rPr>
          <w:i/>
          <w:sz w:val="18"/>
        </w:rPr>
        <w:t>accounts</w:t>
      </w:r>
      <w:r>
        <w:rPr>
          <w:i/>
          <w:spacing w:val="-17"/>
          <w:sz w:val="18"/>
        </w:rPr>
        <w:t> </w:t>
      </w:r>
      <w:r>
        <w:rPr>
          <w:i/>
          <w:sz w:val="18"/>
        </w:rPr>
        <w:t>for</w:t>
      </w:r>
      <w:r>
        <w:rPr>
          <w:i/>
          <w:spacing w:val="-18"/>
          <w:sz w:val="18"/>
        </w:rPr>
        <w:t> </w:t>
      </w:r>
      <w:r>
        <w:rPr>
          <w:i/>
          <w:sz w:val="18"/>
        </w:rPr>
        <w:t>the</w:t>
      </w:r>
      <w:r>
        <w:rPr>
          <w:i/>
          <w:spacing w:val="-19"/>
          <w:sz w:val="18"/>
        </w:rPr>
        <w:t> </w:t>
      </w:r>
      <w:r>
        <w:rPr>
          <w:i/>
          <w:sz w:val="18"/>
        </w:rPr>
        <w:t>gap</w:t>
      </w:r>
      <w:r>
        <w:rPr>
          <w:i/>
          <w:spacing w:val="-19"/>
          <w:sz w:val="18"/>
        </w:rPr>
        <w:t> </w:t>
      </w:r>
      <w:r>
        <w:rPr>
          <w:i/>
          <w:sz w:val="18"/>
        </w:rPr>
        <w:t>between</w:t>
      </w:r>
      <w:r>
        <w:rPr>
          <w:i/>
          <w:spacing w:val="-17"/>
          <w:sz w:val="18"/>
        </w:rPr>
        <w:t> </w:t>
      </w:r>
      <w:r>
        <w:rPr>
          <w:i/>
          <w:sz w:val="18"/>
        </w:rPr>
        <w:t>cumulative stock and demand in the city in any</w:t>
      </w:r>
      <w:r>
        <w:rPr>
          <w:i/>
          <w:spacing w:val="-40"/>
          <w:sz w:val="18"/>
        </w:rPr>
        <w:t> </w:t>
      </w:r>
      <w:r>
        <w:rPr>
          <w:i/>
          <w:sz w:val="18"/>
        </w:rPr>
        <w:t>given year.</w:t>
      </w:r>
    </w:p>
    <w:p>
      <w:pPr>
        <w:pStyle w:val="BodyText"/>
        <w:spacing w:before="9"/>
        <w:rPr>
          <w:i/>
          <w:sz w:val="20"/>
        </w:rPr>
      </w:pPr>
    </w:p>
    <w:p>
      <w:pPr>
        <w:pStyle w:val="BodyText"/>
        <w:spacing w:line="321" w:lineRule="auto"/>
        <w:ind w:left="800" w:right="236"/>
        <w:jc w:val="both"/>
      </w:pPr>
      <w:r>
        <w:rPr/>
        <w:t>Rajiv Gandhi Infotech Park developed by Maharashtra Industrial Development Corporation (MIDC), located</w:t>
      </w:r>
      <w:r>
        <w:rPr>
          <w:spacing w:val="-11"/>
        </w:rPr>
        <w:t> </w:t>
      </w:r>
      <w:r>
        <w:rPr/>
        <w:t>within</w:t>
      </w:r>
      <w:r>
        <w:rPr>
          <w:spacing w:val="-11"/>
        </w:rPr>
        <w:t> </w:t>
      </w:r>
      <w:r>
        <w:rPr/>
        <w:t>Hinjewadi</w:t>
      </w:r>
      <w:r>
        <w:rPr>
          <w:spacing w:val="-13"/>
        </w:rPr>
        <w:t> </w:t>
      </w:r>
      <w:r>
        <w:rPr/>
        <w:t>and</w:t>
      </w:r>
      <w:r>
        <w:rPr>
          <w:spacing w:val="-11"/>
        </w:rPr>
        <w:t> </w:t>
      </w:r>
      <w:r>
        <w:rPr/>
        <w:t>has</w:t>
      </w:r>
      <w:r>
        <w:rPr>
          <w:spacing w:val="-12"/>
        </w:rPr>
        <w:t> </w:t>
      </w:r>
      <w:r>
        <w:rPr/>
        <w:t>developed</w:t>
      </w:r>
      <w:r>
        <w:rPr>
          <w:spacing w:val="-10"/>
        </w:rPr>
        <w:t> </w:t>
      </w:r>
      <w:r>
        <w:rPr/>
        <w:t>as</w:t>
      </w:r>
      <w:r>
        <w:rPr>
          <w:spacing w:val="-13"/>
        </w:rPr>
        <w:t> </w:t>
      </w:r>
      <w:r>
        <w:rPr/>
        <w:t>a</w:t>
      </w:r>
      <w:r>
        <w:rPr>
          <w:spacing w:val="-12"/>
        </w:rPr>
        <w:t> </w:t>
      </w:r>
      <w:r>
        <w:rPr/>
        <w:t>prominent</w:t>
      </w:r>
      <w:r>
        <w:rPr>
          <w:spacing w:val="-11"/>
        </w:rPr>
        <w:t> </w:t>
      </w:r>
      <w:r>
        <w:rPr/>
        <w:t>commercial</w:t>
      </w:r>
      <w:r>
        <w:rPr>
          <w:spacing w:val="-11"/>
        </w:rPr>
        <w:t> </w:t>
      </w:r>
      <w:r>
        <w:rPr/>
        <w:t>destination</w:t>
      </w:r>
      <w:r>
        <w:rPr>
          <w:spacing w:val="-12"/>
        </w:rPr>
        <w:t> </w:t>
      </w:r>
      <w:r>
        <w:rPr/>
        <w:t>within</w:t>
      </w:r>
      <w:r>
        <w:rPr>
          <w:spacing w:val="-14"/>
        </w:rPr>
        <w:t> </w:t>
      </w:r>
      <w:r>
        <w:rPr/>
        <w:t>Pune.</w:t>
      </w:r>
      <w:r>
        <w:rPr>
          <w:spacing w:val="-11"/>
        </w:rPr>
        <w:t> </w:t>
      </w:r>
      <w:r>
        <w:rPr/>
        <w:t>The Infotech</w:t>
      </w:r>
      <w:r>
        <w:rPr>
          <w:spacing w:val="-38"/>
        </w:rPr>
        <w:t> </w:t>
      </w:r>
      <w:r>
        <w:rPr/>
        <w:t>Park</w:t>
      </w:r>
      <w:r>
        <w:rPr>
          <w:spacing w:val="-37"/>
        </w:rPr>
        <w:t> </w:t>
      </w:r>
      <w:r>
        <w:rPr/>
        <w:t>commenced</w:t>
      </w:r>
      <w:r>
        <w:rPr>
          <w:spacing w:val="-38"/>
        </w:rPr>
        <w:t> </w:t>
      </w:r>
      <w:r>
        <w:rPr/>
        <w:t>its</w:t>
      </w:r>
      <w:r>
        <w:rPr>
          <w:spacing w:val="-38"/>
        </w:rPr>
        <w:t> </w:t>
      </w:r>
      <w:r>
        <w:rPr/>
        <w:t>development</w:t>
      </w:r>
      <w:r>
        <w:rPr>
          <w:spacing w:val="-37"/>
        </w:rPr>
        <w:t> </w:t>
      </w:r>
      <w:r>
        <w:rPr/>
        <w:t>activities</w:t>
      </w:r>
      <w:r>
        <w:rPr>
          <w:spacing w:val="-39"/>
        </w:rPr>
        <w:t> </w:t>
      </w:r>
      <w:r>
        <w:rPr/>
        <w:t>during</w:t>
      </w:r>
      <w:r>
        <w:rPr>
          <w:spacing w:val="-37"/>
        </w:rPr>
        <w:t> </w:t>
      </w:r>
      <w:r>
        <w:rPr/>
        <w:t>1998</w:t>
      </w:r>
      <w:r>
        <w:rPr>
          <w:spacing w:val="-36"/>
        </w:rPr>
        <w:t> </w:t>
      </w:r>
      <w:r>
        <w:rPr/>
        <w:t>and</w:t>
      </w:r>
      <w:r>
        <w:rPr>
          <w:spacing w:val="-38"/>
        </w:rPr>
        <w:t> </w:t>
      </w:r>
      <w:r>
        <w:rPr/>
        <w:t>has</w:t>
      </w:r>
      <w:r>
        <w:rPr>
          <w:spacing w:val="-38"/>
        </w:rPr>
        <w:t> </w:t>
      </w:r>
      <w:r>
        <w:rPr/>
        <w:t>been</w:t>
      </w:r>
      <w:r>
        <w:rPr>
          <w:spacing w:val="-37"/>
        </w:rPr>
        <w:t> </w:t>
      </w:r>
      <w:r>
        <w:rPr/>
        <w:t>developed</w:t>
      </w:r>
      <w:r>
        <w:rPr>
          <w:spacing w:val="-37"/>
        </w:rPr>
        <w:t> </w:t>
      </w:r>
      <w:r>
        <w:rPr/>
        <w:t>in</w:t>
      </w:r>
      <w:r>
        <w:rPr>
          <w:spacing w:val="-39"/>
        </w:rPr>
        <w:t> </w:t>
      </w:r>
      <w:r>
        <w:rPr/>
        <w:t>three</w:t>
      </w:r>
      <w:r>
        <w:rPr>
          <w:spacing w:val="-37"/>
        </w:rPr>
        <w:t> </w:t>
      </w:r>
      <w:r>
        <w:rPr/>
        <w:t>phases I,</w:t>
      </w:r>
      <w:r>
        <w:rPr>
          <w:spacing w:val="-29"/>
        </w:rPr>
        <w:t> </w:t>
      </w:r>
      <w:r>
        <w:rPr/>
        <w:t>II</w:t>
      </w:r>
      <w:r>
        <w:rPr>
          <w:spacing w:val="-29"/>
        </w:rPr>
        <w:t> </w:t>
      </w:r>
      <w:r>
        <w:rPr/>
        <w:t>and</w:t>
      </w:r>
      <w:r>
        <w:rPr>
          <w:spacing w:val="-29"/>
        </w:rPr>
        <w:t> </w:t>
      </w:r>
      <w:r>
        <w:rPr/>
        <w:t>III</w:t>
      </w:r>
      <w:r>
        <w:rPr>
          <w:spacing w:val="-28"/>
        </w:rPr>
        <w:t> </w:t>
      </w:r>
      <w:r>
        <w:rPr/>
        <w:t>over</w:t>
      </w:r>
      <w:r>
        <w:rPr>
          <w:spacing w:val="-30"/>
        </w:rPr>
        <w:t> </w:t>
      </w:r>
      <w:r>
        <w:rPr/>
        <w:t>the</w:t>
      </w:r>
      <w:r>
        <w:rPr>
          <w:spacing w:val="-29"/>
        </w:rPr>
        <w:t> </w:t>
      </w:r>
      <w:r>
        <w:rPr/>
        <w:t>years.</w:t>
      </w:r>
      <w:r>
        <w:rPr>
          <w:spacing w:val="-29"/>
        </w:rPr>
        <w:t> </w:t>
      </w:r>
      <w:r>
        <w:rPr/>
        <w:t>Additionally,</w:t>
      </w:r>
      <w:r>
        <w:rPr>
          <w:spacing w:val="-30"/>
        </w:rPr>
        <w:t> </w:t>
      </w:r>
      <w:r>
        <w:rPr/>
        <w:t>by</w:t>
      </w:r>
      <w:r>
        <w:rPr>
          <w:spacing w:val="-28"/>
        </w:rPr>
        <w:t> </w:t>
      </w:r>
      <w:r>
        <w:rPr/>
        <w:t>the</w:t>
      </w:r>
      <w:r>
        <w:rPr>
          <w:spacing w:val="-29"/>
        </w:rPr>
        <w:t> </w:t>
      </w:r>
      <w:r>
        <w:rPr/>
        <w:t>virtue</w:t>
      </w:r>
      <w:r>
        <w:rPr>
          <w:spacing w:val="-30"/>
        </w:rPr>
        <w:t> </w:t>
      </w:r>
      <w:r>
        <w:rPr/>
        <w:t>of</w:t>
      </w:r>
      <w:r>
        <w:rPr>
          <w:spacing w:val="-29"/>
        </w:rPr>
        <w:t> </w:t>
      </w:r>
      <w:r>
        <w:rPr/>
        <w:t>ease</w:t>
      </w:r>
      <w:r>
        <w:rPr>
          <w:spacing w:val="-29"/>
        </w:rPr>
        <w:t> </w:t>
      </w:r>
      <w:r>
        <w:rPr/>
        <w:t>of</w:t>
      </w:r>
      <w:r>
        <w:rPr>
          <w:spacing w:val="-29"/>
        </w:rPr>
        <w:t> </w:t>
      </w:r>
      <w:r>
        <w:rPr/>
        <w:t>access</w:t>
      </w:r>
      <w:r>
        <w:rPr>
          <w:spacing w:val="-29"/>
        </w:rPr>
        <w:t> </w:t>
      </w:r>
      <w:r>
        <w:rPr/>
        <w:t>through</w:t>
      </w:r>
      <w:r>
        <w:rPr>
          <w:spacing w:val="-28"/>
        </w:rPr>
        <w:t> </w:t>
      </w:r>
      <w:r>
        <w:rPr/>
        <w:t>Mumbai-Bengaluru</w:t>
      </w:r>
      <w:r>
        <w:rPr>
          <w:spacing w:val="-29"/>
        </w:rPr>
        <w:t> </w:t>
      </w:r>
      <w:r>
        <w:rPr/>
        <w:t>bypass road,</w:t>
      </w:r>
      <w:r>
        <w:rPr>
          <w:spacing w:val="-43"/>
        </w:rPr>
        <w:t> </w:t>
      </w:r>
      <w:r>
        <w:rPr/>
        <w:t>the</w:t>
      </w:r>
      <w:r>
        <w:rPr>
          <w:spacing w:val="-42"/>
        </w:rPr>
        <w:t> </w:t>
      </w:r>
      <w:r>
        <w:rPr/>
        <w:t>region</w:t>
      </w:r>
      <w:r>
        <w:rPr>
          <w:spacing w:val="-43"/>
        </w:rPr>
        <w:t> </w:t>
      </w:r>
      <w:r>
        <w:rPr/>
        <w:t>has</w:t>
      </w:r>
      <w:r>
        <w:rPr>
          <w:spacing w:val="-42"/>
        </w:rPr>
        <w:t> </w:t>
      </w:r>
      <w:r>
        <w:rPr/>
        <w:t>evinced</w:t>
      </w:r>
      <w:r>
        <w:rPr>
          <w:spacing w:val="-42"/>
        </w:rPr>
        <w:t> </w:t>
      </w:r>
      <w:r>
        <w:rPr/>
        <w:t>considerable</w:t>
      </w:r>
      <w:r>
        <w:rPr>
          <w:spacing w:val="-43"/>
        </w:rPr>
        <w:t> </w:t>
      </w:r>
      <w:r>
        <w:rPr/>
        <w:t>interest</w:t>
      </w:r>
      <w:r>
        <w:rPr>
          <w:spacing w:val="-43"/>
        </w:rPr>
        <w:t> </w:t>
      </w:r>
      <w:r>
        <w:rPr/>
        <w:t>from</w:t>
      </w:r>
      <w:r>
        <w:rPr>
          <w:spacing w:val="-42"/>
        </w:rPr>
        <w:t> </w:t>
      </w:r>
      <w:r>
        <w:rPr/>
        <w:t>tenants.</w:t>
      </w:r>
      <w:r>
        <w:rPr>
          <w:spacing w:val="-43"/>
        </w:rPr>
        <w:t> </w:t>
      </w:r>
      <w:r>
        <w:rPr/>
        <w:t>Further,</w:t>
      </w:r>
      <w:r>
        <w:rPr>
          <w:spacing w:val="-43"/>
        </w:rPr>
        <w:t> </w:t>
      </w:r>
      <w:r>
        <w:rPr/>
        <w:t>owing</w:t>
      </w:r>
      <w:r>
        <w:rPr>
          <w:spacing w:val="-42"/>
        </w:rPr>
        <w:t> </w:t>
      </w:r>
      <w:r>
        <w:rPr/>
        <w:t>to</w:t>
      </w:r>
      <w:r>
        <w:rPr>
          <w:spacing w:val="-42"/>
        </w:rPr>
        <w:t> </w:t>
      </w:r>
      <w:r>
        <w:rPr/>
        <w:t>demand</w:t>
      </w:r>
      <w:r>
        <w:rPr>
          <w:spacing w:val="-42"/>
        </w:rPr>
        <w:t> </w:t>
      </w:r>
      <w:r>
        <w:rPr/>
        <w:t>for</w:t>
      </w:r>
      <w:r>
        <w:rPr>
          <w:spacing w:val="-43"/>
        </w:rPr>
        <w:t> </w:t>
      </w:r>
      <w:r>
        <w:rPr/>
        <w:t>residential developments</w:t>
      </w:r>
      <w:r>
        <w:rPr>
          <w:spacing w:val="15"/>
        </w:rPr>
        <w:t> </w:t>
      </w:r>
      <w:r>
        <w:rPr/>
        <w:t>from</w:t>
      </w:r>
      <w:r>
        <w:rPr>
          <w:spacing w:val="15"/>
        </w:rPr>
        <w:t> </w:t>
      </w:r>
      <w:r>
        <w:rPr/>
        <w:t>the</w:t>
      </w:r>
      <w:r>
        <w:rPr>
          <w:spacing w:val="12"/>
        </w:rPr>
        <w:t> </w:t>
      </w:r>
      <w:r>
        <w:rPr/>
        <w:t>IT</w:t>
      </w:r>
      <w:r>
        <w:rPr>
          <w:spacing w:val="15"/>
        </w:rPr>
        <w:t> </w:t>
      </w:r>
      <w:r>
        <w:rPr/>
        <w:t>populace,</w:t>
      </w:r>
      <w:r>
        <w:rPr>
          <w:spacing w:val="15"/>
        </w:rPr>
        <w:t> </w:t>
      </w:r>
      <w:r>
        <w:rPr/>
        <w:t>local</w:t>
      </w:r>
      <w:r>
        <w:rPr>
          <w:spacing w:val="14"/>
        </w:rPr>
        <w:t> </w:t>
      </w:r>
      <w:r>
        <w:rPr/>
        <w:t>and</w:t>
      </w:r>
      <w:r>
        <w:rPr>
          <w:spacing w:val="17"/>
        </w:rPr>
        <w:t> </w:t>
      </w:r>
      <w:r>
        <w:rPr/>
        <w:t>national</w:t>
      </w:r>
      <w:r>
        <w:rPr>
          <w:spacing w:val="14"/>
        </w:rPr>
        <w:t> </w:t>
      </w:r>
      <w:r>
        <w:rPr/>
        <w:t>level</w:t>
      </w:r>
      <w:r>
        <w:rPr>
          <w:spacing w:val="13"/>
        </w:rPr>
        <w:t> </w:t>
      </w:r>
      <w:r>
        <w:rPr/>
        <w:t>developers</w:t>
      </w:r>
      <w:r>
        <w:rPr>
          <w:spacing w:val="16"/>
        </w:rPr>
        <w:t> </w:t>
      </w:r>
      <w:r>
        <w:rPr/>
        <w:t>have</w:t>
      </w:r>
      <w:r>
        <w:rPr>
          <w:spacing w:val="14"/>
        </w:rPr>
        <w:t> </w:t>
      </w:r>
      <w:r>
        <w:rPr/>
        <w:t>launched</w:t>
      </w:r>
      <w:r>
        <w:rPr>
          <w:spacing w:val="15"/>
        </w:rPr>
        <w:t> </w:t>
      </w:r>
      <w:r>
        <w:rPr/>
        <w:t>residential</w:t>
      </w:r>
    </w:p>
    <w:p>
      <w:pPr>
        <w:spacing w:after="0" w:line="321" w:lineRule="auto"/>
        <w:jc w:val="both"/>
        <w:sectPr>
          <w:type w:val="continuous"/>
          <w:pgSz w:w="11910" w:h="16840"/>
          <w:pgMar w:top="800" w:bottom="280" w:left="460" w:right="480"/>
        </w:sectPr>
      </w:pPr>
    </w:p>
    <w:p>
      <w:pPr>
        <w:pStyle w:val="BodyText"/>
        <w:spacing w:before="7"/>
        <w:rPr>
          <w:sz w:val="9"/>
        </w:rPr>
      </w:pPr>
    </w:p>
    <w:p>
      <w:pPr>
        <w:pStyle w:val="BodyText"/>
        <w:spacing w:line="321" w:lineRule="auto" w:before="106"/>
        <w:ind w:left="800"/>
      </w:pPr>
      <w:r>
        <w:rPr/>
        <w:t>townships in the region. Infrastructure initiatives developed (and planned) by the state government augment the overall attractiveness of the region.</w:t>
      </w:r>
    </w:p>
    <w:p>
      <w:pPr>
        <w:pStyle w:val="BodyText"/>
        <w:spacing w:before="4"/>
        <w:rPr>
          <w:sz w:val="23"/>
        </w:rPr>
      </w:pPr>
    </w:p>
    <w:p>
      <w:pPr>
        <w:spacing w:before="0"/>
        <w:ind w:left="260" w:right="0" w:firstLine="0"/>
        <w:jc w:val="left"/>
        <w:rPr>
          <w:i/>
          <w:sz w:val="20"/>
        </w:rPr>
      </w:pPr>
      <w:r>
        <w:rPr>
          <w:i/>
          <w:color w:val="008000"/>
          <w:sz w:val="22"/>
        </w:rPr>
        <w:t>10.3.1.2 </w:t>
      </w:r>
      <w:r>
        <w:rPr>
          <w:i/>
          <w:color w:val="008000"/>
          <w:sz w:val="20"/>
        </w:rPr>
        <w:t>Key Developments in Micro Market</w:t>
      </w:r>
    </w:p>
    <w:p>
      <w:pPr>
        <w:pStyle w:val="BodyText"/>
        <w:spacing w:before="76"/>
        <w:ind w:left="826"/>
      </w:pPr>
      <w:r>
        <w:rPr/>
        <w:pict>
          <v:group style="position:absolute;margin-left:36pt;margin-top:29.608635pt;width:523.6pt;height:34.7pt;mso-position-horizontal-relative:page;mso-position-vertical-relative:paragraph;z-index:-34405888" coordorigin="720,592" coordsize="10472,694">
            <v:shape style="position:absolute;left:720;top:1271;width:10472;height:15" coordorigin="720,1271" coordsize="10472,15" path="m8623,1271l6695,1271,6681,1271,6681,1271,5298,1271,5283,1271,3431,1271,3416,1271,720,1271,720,1286,3416,1286,3431,1286,5283,1286,5298,1286,6681,1286,6681,1286,6695,1286,8623,1286,8623,1271xm11191,1271l8637,1271,8623,1271,8623,1286,8637,1286,11191,1286,11191,1271xe" filled="true" fillcolor="#69bd28" stroked="false">
              <v:path arrowok="t"/>
              <v:fill type="solid"/>
            </v:shape>
            <v:shape style="position:absolute;left:720;top:623;width:10472;height:648" coordorigin="720,623" coordsize="10472,648" path="m8623,623l6681,623,6681,623,5283,623,3416,623,720,623,720,1271,3416,1271,5283,1271,6681,1271,6681,1271,8623,1271,8623,623xm11191,623l8623,623,8623,1271,11191,1271,11191,623xe" filled="true" fillcolor="#006a4d" stroked="false">
              <v:path arrowok="t"/>
              <v:fill type="solid"/>
            </v:shape>
            <v:rect style="position:absolute;left:720;top:592;width:2697;height:29" filled="true" fillcolor="#1f6b16" stroked="false">
              <v:fill type="solid"/>
            </v:rect>
            <v:shape style="position:absolute;left:720;top:620;width:2725;height:3" coordorigin="720,621" coordsize="2725,3" path="m3445,621l3416,621,720,621,720,623,3416,623,3445,623,3445,621xe" filled="true" fillcolor="#006a4d" stroked="false">
              <v:path arrowok="t"/>
              <v:fill type="solid"/>
            </v:shape>
            <v:shape style="position:absolute;left:3416;top:592;width:1868;height:29" coordorigin="3416,592" coordsize="1868,29" path="m5283,592l3445,592,3416,592,3416,621,3445,621,5283,621,5283,592xe" filled="true" fillcolor="#1f6b16" stroked="false">
              <v:path arrowok="t"/>
              <v:fill type="solid"/>
            </v:shape>
            <v:shape style="position:absolute;left:3445;top:620;width:1868;height:3" coordorigin="3445,621" coordsize="1868,3" path="m5312,621l5283,621,3445,621,3445,623,5283,623,5312,623,5312,621xe" filled="true" fillcolor="#006a4d" stroked="false">
              <v:path arrowok="t"/>
              <v:fill type="solid"/>
            </v:shape>
            <v:shape style="position:absolute;left:5283;top:592;width:1398;height:29" coordorigin="5283,592" coordsize="1398,29" path="m6681,592l5312,592,5283,592,5283,621,5312,621,6681,621,6681,592xe" filled="true" fillcolor="#1f6b16" stroked="false">
              <v:path arrowok="t"/>
              <v:fill type="solid"/>
            </v:shape>
            <v:shape style="position:absolute;left:5312;top:620;width:1398;height:3" coordorigin="5312,621" coordsize="1398,3" path="m6709,621l6681,621,5312,621,5312,623,6681,623,6709,623,6709,621xe" filled="true" fillcolor="#006a4d" stroked="false">
              <v:path arrowok="t"/>
              <v:fill type="solid"/>
            </v:shape>
            <v:shape style="position:absolute;left:6680;top:592;width:1943;height:29" coordorigin="6681,592" coordsize="1943,29" path="m6709,592l6681,592,6681,621,6709,621,6709,592xm8623,592l6709,592,6709,621,8623,621,8623,592xe" filled="true" fillcolor="#1f6b16" stroked="false">
              <v:path arrowok="t"/>
              <v:fill type="solid"/>
            </v:shape>
            <v:shape style="position:absolute;left:6709;top:620;width:1943;height:3" coordorigin="6709,621" coordsize="1943,3" path="m8623,621l6709,621,6709,623,8623,623,8623,621xm8652,621l8623,621,8623,623,8652,623,8652,621xe" filled="true" fillcolor="#006a4d" stroked="false">
              <v:path arrowok="t"/>
              <v:fill type="solid"/>
            </v:shape>
            <v:shape style="position:absolute;left:8622;top:592;width:2569;height:29" coordorigin="8623,592" coordsize="2569,29" path="m11191,592l8652,592,8623,592,8623,621,8652,621,11191,621,11191,592xe" filled="true" fillcolor="#1f6b16" stroked="false">
              <v:path arrowok="t"/>
              <v:fill type="solid"/>
            </v:shape>
            <v:rect style="position:absolute;left:8651;top:620;width:2540;height:3" filled="true" fillcolor="#006a4d" stroked="false">
              <v:fill type="solid"/>
            </v:rect>
            <v:shape style="position:absolute;left:1382;top:838;width:1390;height:216" type="#_x0000_t202" filled="false" stroked="false">
              <v:textbox inset="0,0,0,0">
                <w:txbxContent>
                  <w:p>
                    <w:pPr>
                      <w:spacing w:before="4"/>
                      <w:ind w:left="0" w:right="0" w:firstLine="0"/>
                      <w:jc w:val="left"/>
                      <w:rPr>
                        <w:b/>
                        <w:sz w:val="18"/>
                      </w:rPr>
                    </w:pPr>
                    <w:r>
                      <w:rPr>
                        <w:b/>
                        <w:color w:val="FFFFFF"/>
                        <w:w w:val="115"/>
                        <w:sz w:val="18"/>
                      </w:rPr>
                      <w:t>Building Name</w:t>
                    </w:r>
                  </w:p>
                </w:txbxContent>
              </v:textbox>
              <w10:wrap type="none"/>
            </v:shape>
            <v:shape style="position:absolute;left:3745;top:730;width:1228;height:432" type="#_x0000_t202" filled="false" stroked="false">
              <v:textbox inset="0,0,0,0">
                <w:txbxContent>
                  <w:p>
                    <w:pPr>
                      <w:spacing w:line="247" w:lineRule="auto" w:before="4"/>
                      <w:ind w:left="391" w:right="0" w:hanging="392"/>
                      <w:jc w:val="left"/>
                      <w:rPr>
                        <w:b/>
                        <w:sz w:val="18"/>
                      </w:rPr>
                    </w:pPr>
                    <w:r>
                      <w:rPr>
                        <w:b/>
                        <w:color w:val="FFFFFF"/>
                        <w:w w:val="105"/>
                        <w:sz w:val="18"/>
                      </w:rPr>
                      <w:t>Development Type</w:t>
                    </w:r>
                  </w:p>
                </w:txbxContent>
              </v:textbox>
              <w10:wrap type="none"/>
            </v:shape>
            <v:shape style="position:absolute;left:5574;top:622;width:838;height:432" type="#_x0000_t202" filled="false" stroked="false">
              <v:textbox inset="0,0,0,0">
                <w:txbxContent>
                  <w:p>
                    <w:pPr>
                      <w:spacing w:line="247" w:lineRule="auto" w:before="4"/>
                      <w:ind w:left="187" w:right="12" w:hanging="188"/>
                      <w:jc w:val="left"/>
                      <w:rPr>
                        <w:b/>
                        <w:sz w:val="18"/>
                      </w:rPr>
                    </w:pPr>
                    <w:r>
                      <w:rPr>
                        <w:b/>
                        <w:color w:val="FFFFFF"/>
                        <w:w w:val="110"/>
                        <w:sz w:val="18"/>
                      </w:rPr>
                      <w:t>Leasable Area</w:t>
                    </w:r>
                  </w:p>
                </w:txbxContent>
              </v:textbox>
              <w10:wrap type="none"/>
            </v:shape>
            <v:shape style="position:absolute;left:6971;top:730;width:1382;height:432" type="#_x0000_t202" filled="false" stroked="false">
              <v:textbox inset="0,0,0,0">
                <w:txbxContent>
                  <w:p>
                    <w:pPr>
                      <w:spacing w:line="247" w:lineRule="auto" w:before="4"/>
                      <w:ind w:left="0" w:right="0" w:firstLine="432"/>
                      <w:jc w:val="left"/>
                      <w:rPr>
                        <w:b/>
                        <w:sz w:val="18"/>
                      </w:rPr>
                    </w:pPr>
                    <w:r>
                      <w:rPr>
                        <w:b/>
                        <w:color w:val="FFFFFF"/>
                        <w:w w:val="110"/>
                        <w:sz w:val="18"/>
                      </w:rPr>
                      <w:t>Rents (INR/sf/month)</w:t>
                    </w:r>
                  </w:p>
                </w:txbxContent>
              </v:textbox>
              <w10:wrap type="none"/>
            </v:shape>
            <v:shape style="position:absolute;left:8975;top:838;width:1885;height:216" type="#_x0000_t202" filled="false" stroked="false">
              <v:textbox inset="0,0,0,0">
                <w:txbxContent>
                  <w:p>
                    <w:pPr>
                      <w:spacing w:before="4"/>
                      <w:ind w:left="0" w:right="0" w:firstLine="0"/>
                      <w:jc w:val="left"/>
                      <w:rPr>
                        <w:b/>
                        <w:sz w:val="18"/>
                      </w:rPr>
                    </w:pPr>
                    <w:r>
                      <w:rPr>
                        <w:b/>
                        <w:color w:val="FFFFFF"/>
                        <w:w w:val="110"/>
                        <w:sz w:val="18"/>
                      </w:rPr>
                      <w:t>Approx. Vacancy</w:t>
                    </w:r>
                    <w:r>
                      <w:rPr>
                        <w:b/>
                        <w:color w:val="FFFFFF"/>
                        <w:spacing w:val="-31"/>
                        <w:w w:val="110"/>
                        <w:sz w:val="18"/>
                      </w:rPr>
                      <w:t> </w:t>
                    </w:r>
                    <w:r>
                      <w:rPr>
                        <w:b/>
                        <w:color w:val="FFFFFF"/>
                        <w:w w:val="110"/>
                        <w:sz w:val="18"/>
                      </w:rPr>
                      <w:t>(%)</w:t>
                    </w:r>
                  </w:p>
                </w:txbxContent>
              </v:textbox>
              <w10:wrap type="none"/>
            </v:shape>
            <w10:wrap type="none"/>
          </v:group>
        </w:pict>
      </w:r>
      <w:r>
        <w:rPr/>
        <w:t>The table below highlights the prominent / competing developments in the subject micro market:</w:t>
      </w:r>
    </w:p>
    <w:p>
      <w:pPr>
        <w:pStyle w:val="BodyText"/>
        <w:rPr>
          <w:sz w:val="20"/>
        </w:rPr>
      </w:pPr>
    </w:p>
    <w:p>
      <w:pPr>
        <w:pStyle w:val="BodyText"/>
        <w:rPr>
          <w:sz w:val="20"/>
        </w:rPr>
      </w:pPr>
    </w:p>
    <w:p>
      <w:pPr>
        <w:pStyle w:val="BodyText"/>
        <w:spacing w:before="3"/>
      </w:pPr>
    </w:p>
    <w:tbl>
      <w:tblPr>
        <w:tblW w:w="0" w:type="auto"/>
        <w:jc w:val="left"/>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88"/>
        <w:gridCol w:w="1663"/>
        <w:gridCol w:w="1631"/>
        <w:gridCol w:w="1877"/>
        <w:gridCol w:w="2526"/>
      </w:tblGrid>
      <w:tr>
        <w:trPr>
          <w:trHeight w:val="242" w:hRule="atLeast"/>
        </w:trPr>
        <w:tc>
          <w:tcPr>
            <w:tcW w:w="4451" w:type="dxa"/>
            <w:gridSpan w:val="2"/>
            <w:shd w:val="clear" w:color="auto" w:fill="006A4D"/>
          </w:tcPr>
          <w:p>
            <w:pPr>
              <w:pStyle w:val="TableParagraph"/>
              <w:jc w:val="left"/>
              <w:rPr>
                <w:rFonts w:ascii="Times New Roman"/>
                <w:sz w:val="16"/>
              </w:rPr>
            </w:pPr>
          </w:p>
        </w:tc>
        <w:tc>
          <w:tcPr>
            <w:tcW w:w="1631" w:type="dxa"/>
            <w:shd w:val="clear" w:color="auto" w:fill="006A4D"/>
          </w:tcPr>
          <w:p>
            <w:pPr>
              <w:pStyle w:val="TableParagraph"/>
              <w:spacing w:before="4"/>
              <w:ind w:left="545" w:right="530"/>
              <w:rPr>
                <w:b/>
                <w:sz w:val="18"/>
              </w:rPr>
            </w:pPr>
            <w:r>
              <w:rPr>
                <w:b/>
                <w:color w:val="FFFFFF"/>
                <w:w w:val="105"/>
                <w:sz w:val="18"/>
              </w:rPr>
              <w:t>(in sf)</w:t>
            </w:r>
          </w:p>
        </w:tc>
        <w:tc>
          <w:tcPr>
            <w:tcW w:w="4403" w:type="dxa"/>
            <w:gridSpan w:val="2"/>
            <w:shd w:val="clear" w:color="auto" w:fill="006A4D"/>
          </w:tcPr>
          <w:p>
            <w:pPr>
              <w:pStyle w:val="TableParagraph"/>
              <w:jc w:val="left"/>
              <w:rPr>
                <w:rFonts w:ascii="Times New Roman"/>
                <w:sz w:val="16"/>
              </w:rPr>
            </w:pPr>
          </w:p>
        </w:tc>
      </w:tr>
      <w:tr>
        <w:trPr>
          <w:trHeight w:val="348" w:hRule="atLeast"/>
        </w:trPr>
        <w:tc>
          <w:tcPr>
            <w:tcW w:w="2788" w:type="dxa"/>
            <w:tcBorders>
              <w:bottom w:val="single" w:sz="6" w:space="0" w:color="69BD28"/>
            </w:tcBorders>
          </w:tcPr>
          <w:p>
            <w:pPr>
              <w:pStyle w:val="TableParagraph"/>
              <w:spacing w:before="64"/>
              <w:ind w:left="508" w:right="569"/>
              <w:rPr>
                <w:sz w:val="18"/>
              </w:rPr>
            </w:pPr>
            <w:r>
              <w:rPr>
                <w:w w:val="105"/>
                <w:sz w:val="18"/>
              </w:rPr>
              <w:t>Development 1</w:t>
            </w:r>
          </w:p>
        </w:tc>
        <w:tc>
          <w:tcPr>
            <w:tcW w:w="1663" w:type="dxa"/>
            <w:tcBorders>
              <w:bottom w:val="single" w:sz="6" w:space="0" w:color="69BD28"/>
            </w:tcBorders>
          </w:tcPr>
          <w:p>
            <w:pPr>
              <w:pStyle w:val="TableParagraph"/>
              <w:spacing w:before="30"/>
              <w:ind w:left="590" w:right="542"/>
              <w:rPr>
                <w:sz w:val="18"/>
              </w:rPr>
            </w:pPr>
            <w:r>
              <w:rPr>
                <w:sz w:val="18"/>
              </w:rPr>
              <w:t>IT SEZ</w:t>
            </w:r>
          </w:p>
        </w:tc>
        <w:tc>
          <w:tcPr>
            <w:tcW w:w="1631" w:type="dxa"/>
            <w:tcBorders>
              <w:bottom w:val="single" w:sz="6" w:space="0" w:color="69BD28"/>
            </w:tcBorders>
          </w:tcPr>
          <w:p>
            <w:pPr>
              <w:pStyle w:val="TableParagraph"/>
              <w:spacing w:before="30"/>
              <w:ind w:left="545" w:right="524"/>
              <w:rPr>
                <w:sz w:val="18"/>
              </w:rPr>
            </w:pPr>
            <w:r>
              <w:rPr>
                <w:w w:val="105"/>
                <w:sz w:val="18"/>
              </w:rPr>
              <w:t>1.5</w:t>
            </w:r>
          </w:p>
        </w:tc>
        <w:tc>
          <w:tcPr>
            <w:tcW w:w="1877" w:type="dxa"/>
            <w:tcBorders>
              <w:bottom w:val="single" w:sz="6" w:space="0" w:color="69BD28"/>
            </w:tcBorders>
          </w:tcPr>
          <w:p>
            <w:pPr>
              <w:pStyle w:val="TableParagraph"/>
              <w:spacing w:before="30"/>
              <w:ind w:left="552"/>
              <w:jc w:val="left"/>
              <w:rPr>
                <w:sz w:val="18"/>
              </w:rPr>
            </w:pPr>
            <w:r>
              <w:rPr>
                <w:w w:val="120"/>
                <w:sz w:val="18"/>
              </w:rPr>
              <w:t>45 – 50</w:t>
            </w:r>
          </w:p>
        </w:tc>
        <w:tc>
          <w:tcPr>
            <w:tcW w:w="2526" w:type="dxa"/>
            <w:tcBorders>
              <w:bottom w:val="single" w:sz="6" w:space="0" w:color="69BD28"/>
            </w:tcBorders>
          </w:tcPr>
          <w:p>
            <w:pPr>
              <w:pStyle w:val="TableParagraph"/>
              <w:spacing w:before="30"/>
              <w:ind w:left="656" w:right="696"/>
              <w:rPr>
                <w:sz w:val="18"/>
              </w:rPr>
            </w:pPr>
            <w:r>
              <w:rPr>
                <w:w w:val="105"/>
                <w:sz w:val="18"/>
              </w:rPr>
              <w:t>4.0 - 6.0%</w:t>
            </w:r>
          </w:p>
        </w:tc>
      </w:tr>
      <w:tr>
        <w:trPr>
          <w:trHeight w:val="360" w:hRule="atLeast"/>
        </w:trPr>
        <w:tc>
          <w:tcPr>
            <w:tcW w:w="2788" w:type="dxa"/>
            <w:tcBorders>
              <w:top w:val="single" w:sz="6" w:space="0" w:color="69BD28"/>
              <w:bottom w:val="single" w:sz="6" w:space="0" w:color="69BD28"/>
            </w:tcBorders>
          </w:tcPr>
          <w:p>
            <w:pPr>
              <w:pStyle w:val="TableParagraph"/>
              <w:spacing w:before="76"/>
              <w:ind w:left="509" w:right="569"/>
              <w:rPr>
                <w:sz w:val="18"/>
              </w:rPr>
            </w:pPr>
            <w:r>
              <w:rPr>
                <w:w w:val="105"/>
                <w:sz w:val="18"/>
              </w:rPr>
              <w:t>Development 2</w:t>
            </w:r>
          </w:p>
        </w:tc>
        <w:tc>
          <w:tcPr>
            <w:tcW w:w="1663" w:type="dxa"/>
            <w:tcBorders>
              <w:top w:val="single" w:sz="6" w:space="0" w:color="69BD28"/>
              <w:bottom w:val="single" w:sz="6" w:space="0" w:color="69BD28"/>
            </w:tcBorders>
          </w:tcPr>
          <w:p>
            <w:pPr>
              <w:pStyle w:val="TableParagraph"/>
              <w:spacing w:before="45"/>
              <w:ind w:left="588" w:right="542"/>
              <w:rPr>
                <w:sz w:val="18"/>
              </w:rPr>
            </w:pPr>
            <w:r>
              <w:rPr>
                <w:sz w:val="18"/>
              </w:rPr>
              <w:t>IT</w:t>
            </w:r>
          </w:p>
        </w:tc>
        <w:tc>
          <w:tcPr>
            <w:tcW w:w="1631" w:type="dxa"/>
            <w:tcBorders>
              <w:top w:val="single" w:sz="6" w:space="0" w:color="69BD28"/>
              <w:bottom w:val="single" w:sz="6" w:space="0" w:color="69BD28"/>
            </w:tcBorders>
          </w:tcPr>
          <w:p>
            <w:pPr>
              <w:pStyle w:val="TableParagraph"/>
              <w:spacing w:before="45"/>
              <w:ind w:left="545" w:right="529"/>
              <w:rPr>
                <w:sz w:val="18"/>
              </w:rPr>
            </w:pPr>
            <w:r>
              <w:rPr>
                <w:w w:val="105"/>
                <w:sz w:val="18"/>
              </w:rPr>
              <w:t>0.2</w:t>
            </w:r>
          </w:p>
        </w:tc>
        <w:tc>
          <w:tcPr>
            <w:tcW w:w="1877" w:type="dxa"/>
            <w:tcBorders>
              <w:top w:val="single" w:sz="6" w:space="0" w:color="69BD28"/>
              <w:bottom w:val="single" w:sz="6" w:space="0" w:color="69BD28"/>
            </w:tcBorders>
          </w:tcPr>
          <w:p>
            <w:pPr>
              <w:pStyle w:val="TableParagraph"/>
              <w:spacing w:before="45"/>
              <w:ind w:left="552"/>
              <w:jc w:val="left"/>
              <w:rPr>
                <w:sz w:val="18"/>
              </w:rPr>
            </w:pPr>
            <w:r>
              <w:rPr>
                <w:w w:val="120"/>
                <w:sz w:val="18"/>
              </w:rPr>
              <w:t>40 – 45</w:t>
            </w:r>
          </w:p>
        </w:tc>
        <w:tc>
          <w:tcPr>
            <w:tcW w:w="2526" w:type="dxa"/>
            <w:tcBorders>
              <w:top w:val="single" w:sz="6" w:space="0" w:color="69BD28"/>
              <w:bottom w:val="single" w:sz="6" w:space="0" w:color="69BD28"/>
            </w:tcBorders>
          </w:tcPr>
          <w:p>
            <w:pPr>
              <w:pStyle w:val="TableParagraph"/>
              <w:spacing w:before="45"/>
              <w:ind w:left="656" w:right="695"/>
              <w:rPr>
                <w:sz w:val="18"/>
              </w:rPr>
            </w:pPr>
            <w:r>
              <w:rPr>
                <w:sz w:val="18"/>
              </w:rPr>
              <w:t>Minimal</w:t>
            </w:r>
          </w:p>
        </w:tc>
      </w:tr>
      <w:tr>
        <w:trPr>
          <w:trHeight w:val="361" w:hRule="atLeast"/>
        </w:trPr>
        <w:tc>
          <w:tcPr>
            <w:tcW w:w="2788" w:type="dxa"/>
            <w:tcBorders>
              <w:top w:val="single" w:sz="6" w:space="0" w:color="69BD28"/>
              <w:bottom w:val="single" w:sz="6" w:space="0" w:color="69BD28"/>
            </w:tcBorders>
          </w:tcPr>
          <w:p>
            <w:pPr>
              <w:pStyle w:val="TableParagraph"/>
              <w:spacing w:before="78"/>
              <w:ind w:left="509" w:right="569"/>
              <w:rPr>
                <w:sz w:val="18"/>
              </w:rPr>
            </w:pPr>
            <w:r>
              <w:rPr>
                <w:w w:val="105"/>
                <w:sz w:val="18"/>
              </w:rPr>
              <w:t>Development 3</w:t>
            </w:r>
          </w:p>
        </w:tc>
        <w:tc>
          <w:tcPr>
            <w:tcW w:w="1663" w:type="dxa"/>
            <w:tcBorders>
              <w:top w:val="single" w:sz="6" w:space="0" w:color="69BD28"/>
              <w:bottom w:val="single" w:sz="6" w:space="0" w:color="69BD28"/>
            </w:tcBorders>
          </w:tcPr>
          <w:p>
            <w:pPr>
              <w:pStyle w:val="TableParagraph"/>
              <w:spacing w:before="44"/>
              <w:ind w:left="588" w:right="542"/>
              <w:rPr>
                <w:sz w:val="18"/>
              </w:rPr>
            </w:pPr>
            <w:r>
              <w:rPr>
                <w:sz w:val="18"/>
              </w:rPr>
              <w:t>IT</w:t>
            </w:r>
          </w:p>
        </w:tc>
        <w:tc>
          <w:tcPr>
            <w:tcW w:w="1631" w:type="dxa"/>
            <w:tcBorders>
              <w:top w:val="single" w:sz="6" w:space="0" w:color="69BD28"/>
              <w:bottom w:val="single" w:sz="6" w:space="0" w:color="69BD28"/>
            </w:tcBorders>
          </w:tcPr>
          <w:p>
            <w:pPr>
              <w:pStyle w:val="TableParagraph"/>
              <w:spacing w:before="44"/>
              <w:ind w:left="545" w:right="524"/>
              <w:rPr>
                <w:sz w:val="18"/>
              </w:rPr>
            </w:pPr>
            <w:r>
              <w:rPr>
                <w:w w:val="105"/>
                <w:sz w:val="18"/>
              </w:rPr>
              <w:t>0.4</w:t>
            </w:r>
          </w:p>
        </w:tc>
        <w:tc>
          <w:tcPr>
            <w:tcW w:w="1877" w:type="dxa"/>
            <w:tcBorders>
              <w:top w:val="single" w:sz="6" w:space="0" w:color="69BD28"/>
              <w:bottom w:val="single" w:sz="6" w:space="0" w:color="69BD28"/>
            </w:tcBorders>
          </w:tcPr>
          <w:p>
            <w:pPr>
              <w:pStyle w:val="TableParagraph"/>
              <w:spacing w:before="44"/>
              <w:ind w:left="552"/>
              <w:jc w:val="left"/>
              <w:rPr>
                <w:sz w:val="18"/>
              </w:rPr>
            </w:pPr>
            <w:r>
              <w:rPr>
                <w:w w:val="120"/>
                <w:sz w:val="18"/>
              </w:rPr>
              <w:t>50 – 55</w:t>
            </w:r>
          </w:p>
        </w:tc>
        <w:tc>
          <w:tcPr>
            <w:tcW w:w="2526" w:type="dxa"/>
            <w:tcBorders>
              <w:top w:val="single" w:sz="6" w:space="0" w:color="69BD28"/>
              <w:bottom w:val="single" w:sz="6" w:space="0" w:color="69BD28"/>
            </w:tcBorders>
          </w:tcPr>
          <w:p>
            <w:pPr>
              <w:pStyle w:val="TableParagraph"/>
              <w:spacing w:before="44"/>
              <w:ind w:left="656" w:right="701"/>
              <w:rPr>
                <w:sz w:val="18"/>
              </w:rPr>
            </w:pPr>
            <w:r>
              <w:rPr>
                <w:w w:val="115"/>
                <w:sz w:val="18"/>
              </w:rPr>
              <w:t>25.0 – 30.0%</w:t>
            </w:r>
          </w:p>
        </w:tc>
      </w:tr>
      <w:tr>
        <w:trPr>
          <w:trHeight w:val="359" w:hRule="atLeast"/>
        </w:trPr>
        <w:tc>
          <w:tcPr>
            <w:tcW w:w="2788" w:type="dxa"/>
            <w:tcBorders>
              <w:top w:val="single" w:sz="6" w:space="0" w:color="69BD28"/>
              <w:bottom w:val="single" w:sz="6" w:space="0" w:color="69BD28"/>
            </w:tcBorders>
          </w:tcPr>
          <w:p>
            <w:pPr>
              <w:pStyle w:val="TableParagraph"/>
              <w:spacing w:before="75"/>
              <w:ind w:left="509" w:right="569"/>
              <w:rPr>
                <w:sz w:val="18"/>
              </w:rPr>
            </w:pPr>
            <w:r>
              <w:rPr>
                <w:w w:val="105"/>
                <w:sz w:val="18"/>
              </w:rPr>
              <w:t>Development 4</w:t>
            </w:r>
          </w:p>
        </w:tc>
        <w:tc>
          <w:tcPr>
            <w:tcW w:w="1663" w:type="dxa"/>
            <w:tcBorders>
              <w:top w:val="single" w:sz="6" w:space="0" w:color="69BD28"/>
              <w:bottom w:val="single" w:sz="6" w:space="0" w:color="69BD28"/>
            </w:tcBorders>
          </w:tcPr>
          <w:p>
            <w:pPr>
              <w:pStyle w:val="TableParagraph"/>
              <w:spacing w:before="42"/>
              <w:ind w:left="590" w:right="542"/>
              <w:rPr>
                <w:sz w:val="18"/>
              </w:rPr>
            </w:pPr>
            <w:r>
              <w:rPr>
                <w:sz w:val="18"/>
              </w:rPr>
              <w:t>IT SEZ</w:t>
            </w:r>
          </w:p>
        </w:tc>
        <w:tc>
          <w:tcPr>
            <w:tcW w:w="1631" w:type="dxa"/>
            <w:tcBorders>
              <w:top w:val="single" w:sz="6" w:space="0" w:color="69BD28"/>
              <w:bottom w:val="single" w:sz="6" w:space="0" w:color="69BD28"/>
            </w:tcBorders>
          </w:tcPr>
          <w:p>
            <w:pPr>
              <w:pStyle w:val="TableParagraph"/>
              <w:spacing w:before="42"/>
              <w:ind w:left="545" w:right="524"/>
              <w:rPr>
                <w:sz w:val="18"/>
              </w:rPr>
            </w:pPr>
            <w:r>
              <w:rPr>
                <w:w w:val="105"/>
                <w:sz w:val="18"/>
              </w:rPr>
              <w:t>1.9</w:t>
            </w:r>
          </w:p>
        </w:tc>
        <w:tc>
          <w:tcPr>
            <w:tcW w:w="1877" w:type="dxa"/>
            <w:tcBorders>
              <w:top w:val="single" w:sz="6" w:space="0" w:color="69BD28"/>
              <w:bottom w:val="single" w:sz="6" w:space="0" w:color="69BD28"/>
            </w:tcBorders>
          </w:tcPr>
          <w:p>
            <w:pPr>
              <w:pStyle w:val="TableParagraph"/>
              <w:spacing w:before="42"/>
              <w:ind w:left="552"/>
              <w:jc w:val="left"/>
              <w:rPr>
                <w:sz w:val="18"/>
              </w:rPr>
            </w:pPr>
            <w:r>
              <w:rPr>
                <w:w w:val="120"/>
                <w:sz w:val="18"/>
              </w:rPr>
              <w:t>45 – 50</w:t>
            </w:r>
          </w:p>
        </w:tc>
        <w:tc>
          <w:tcPr>
            <w:tcW w:w="2526" w:type="dxa"/>
            <w:tcBorders>
              <w:top w:val="single" w:sz="6" w:space="0" w:color="69BD28"/>
              <w:bottom w:val="single" w:sz="6" w:space="0" w:color="69BD28"/>
            </w:tcBorders>
          </w:tcPr>
          <w:p>
            <w:pPr>
              <w:pStyle w:val="TableParagraph"/>
              <w:spacing w:before="42"/>
              <w:ind w:left="656" w:right="695"/>
              <w:rPr>
                <w:sz w:val="18"/>
              </w:rPr>
            </w:pPr>
            <w:r>
              <w:rPr>
                <w:sz w:val="18"/>
              </w:rPr>
              <w:t>Minimal</w:t>
            </w:r>
          </w:p>
        </w:tc>
      </w:tr>
      <w:tr>
        <w:trPr>
          <w:trHeight w:val="359" w:hRule="atLeast"/>
        </w:trPr>
        <w:tc>
          <w:tcPr>
            <w:tcW w:w="2788" w:type="dxa"/>
            <w:tcBorders>
              <w:top w:val="single" w:sz="6" w:space="0" w:color="69BD28"/>
              <w:bottom w:val="single" w:sz="6" w:space="0" w:color="69BD28"/>
            </w:tcBorders>
          </w:tcPr>
          <w:p>
            <w:pPr>
              <w:pStyle w:val="TableParagraph"/>
              <w:spacing w:before="75"/>
              <w:ind w:left="509" w:right="569"/>
              <w:rPr>
                <w:sz w:val="18"/>
              </w:rPr>
            </w:pPr>
            <w:r>
              <w:rPr>
                <w:w w:val="105"/>
                <w:sz w:val="18"/>
              </w:rPr>
              <w:t>Development 5</w:t>
            </w:r>
          </w:p>
        </w:tc>
        <w:tc>
          <w:tcPr>
            <w:tcW w:w="1663" w:type="dxa"/>
            <w:tcBorders>
              <w:top w:val="single" w:sz="6" w:space="0" w:color="69BD28"/>
              <w:bottom w:val="single" w:sz="6" w:space="0" w:color="69BD28"/>
            </w:tcBorders>
          </w:tcPr>
          <w:p>
            <w:pPr>
              <w:pStyle w:val="TableParagraph"/>
              <w:spacing w:before="42"/>
              <w:ind w:left="588" w:right="542"/>
              <w:rPr>
                <w:sz w:val="18"/>
              </w:rPr>
            </w:pPr>
            <w:r>
              <w:rPr>
                <w:sz w:val="18"/>
              </w:rPr>
              <w:t>IT</w:t>
            </w:r>
          </w:p>
        </w:tc>
        <w:tc>
          <w:tcPr>
            <w:tcW w:w="1631" w:type="dxa"/>
            <w:tcBorders>
              <w:top w:val="single" w:sz="6" w:space="0" w:color="69BD28"/>
              <w:bottom w:val="single" w:sz="6" w:space="0" w:color="69BD28"/>
            </w:tcBorders>
          </w:tcPr>
          <w:p>
            <w:pPr>
              <w:pStyle w:val="TableParagraph"/>
              <w:spacing w:before="42"/>
              <w:ind w:left="545" w:right="529"/>
              <w:rPr>
                <w:sz w:val="18"/>
              </w:rPr>
            </w:pPr>
            <w:r>
              <w:rPr>
                <w:w w:val="105"/>
                <w:sz w:val="18"/>
              </w:rPr>
              <w:t>0.2</w:t>
            </w:r>
          </w:p>
        </w:tc>
        <w:tc>
          <w:tcPr>
            <w:tcW w:w="1877" w:type="dxa"/>
            <w:tcBorders>
              <w:top w:val="single" w:sz="6" w:space="0" w:color="69BD28"/>
              <w:bottom w:val="single" w:sz="6" w:space="0" w:color="69BD28"/>
            </w:tcBorders>
          </w:tcPr>
          <w:p>
            <w:pPr>
              <w:pStyle w:val="TableParagraph"/>
              <w:spacing w:before="42"/>
              <w:ind w:left="552"/>
              <w:jc w:val="left"/>
              <w:rPr>
                <w:sz w:val="18"/>
              </w:rPr>
            </w:pPr>
            <w:r>
              <w:rPr>
                <w:w w:val="120"/>
                <w:sz w:val="18"/>
              </w:rPr>
              <w:t>60 – 65</w:t>
            </w:r>
          </w:p>
        </w:tc>
        <w:tc>
          <w:tcPr>
            <w:tcW w:w="2526" w:type="dxa"/>
            <w:tcBorders>
              <w:top w:val="single" w:sz="6" w:space="0" w:color="69BD28"/>
              <w:bottom w:val="single" w:sz="6" w:space="0" w:color="69BD28"/>
            </w:tcBorders>
          </w:tcPr>
          <w:p>
            <w:pPr>
              <w:pStyle w:val="TableParagraph"/>
              <w:spacing w:before="42"/>
              <w:ind w:left="656" w:right="701"/>
              <w:rPr>
                <w:sz w:val="18"/>
              </w:rPr>
            </w:pPr>
            <w:r>
              <w:rPr>
                <w:w w:val="115"/>
                <w:sz w:val="18"/>
              </w:rPr>
              <w:t>20.0 – 25.0%</w:t>
            </w:r>
          </w:p>
        </w:tc>
      </w:tr>
      <w:tr>
        <w:trPr>
          <w:trHeight w:val="359" w:hRule="atLeast"/>
        </w:trPr>
        <w:tc>
          <w:tcPr>
            <w:tcW w:w="2788" w:type="dxa"/>
            <w:tcBorders>
              <w:top w:val="single" w:sz="6" w:space="0" w:color="69BD28"/>
              <w:bottom w:val="single" w:sz="6" w:space="0" w:color="69BD28"/>
            </w:tcBorders>
          </w:tcPr>
          <w:p>
            <w:pPr>
              <w:pStyle w:val="TableParagraph"/>
              <w:spacing w:before="75"/>
              <w:ind w:left="509" w:right="569"/>
              <w:rPr>
                <w:sz w:val="18"/>
              </w:rPr>
            </w:pPr>
            <w:r>
              <w:rPr>
                <w:w w:val="105"/>
                <w:sz w:val="18"/>
              </w:rPr>
              <w:t>Development 6</w:t>
            </w:r>
          </w:p>
        </w:tc>
        <w:tc>
          <w:tcPr>
            <w:tcW w:w="1663" w:type="dxa"/>
            <w:tcBorders>
              <w:top w:val="single" w:sz="6" w:space="0" w:color="69BD28"/>
              <w:bottom w:val="single" w:sz="6" w:space="0" w:color="69BD28"/>
            </w:tcBorders>
          </w:tcPr>
          <w:p>
            <w:pPr>
              <w:pStyle w:val="TableParagraph"/>
              <w:spacing w:before="44"/>
              <w:ind w:left="590" w:right="542"/>
              <w:rPr>
                <w:sz w:val="18"/>
              </w:rPr>
            </w:pPr>
            <w:r>
              <w:rPr>
                <w:sz w:val="18"/>
              </w:rPr>
              <w:t>IT SEZ</w:t>
            </w:r>
          </w:p>
        </w:tc>
        <w:tc>
          <w:tcPr>
            <w:tcW w:w="1631" w:type="dxa"/>
            <w:tcBorders>
              <w:top w:val="single" w:sz="6" w:space="0" w:color="69BD28"/>
              <w:bottom w:val="single" w:sz="6" w:space="0" w:color="69BD28"/>
            </w:tcBorders>
          </w:tcPr>
          <w:p>
            <w:pPr>
              <w:pStyle w:val="TableParagraph"/>
              <w:spacing w:before="44"/>
              <w:ind w:left="545" w:right="524"/>
              <w:rPr>
                <w:sz w:val="18"/>
              </w:rPr>
            </w:pPr>
            <w:r>
              <w:rPr>
                <w:w w:val="105"/>
                <w:sz w:val="18"/>
              </w:rPr>
              <w:t>1.5</w:t>
            </w:r>
          </w:p>
        </w:tc>
        <w:tc>
          <w:tcPr>
            <w:tcW w:w="1877" w:type="dxa"/>
            <w:tcBorders>
              <w:top w:val="single" w:sz="6" w:space="0" w:color="69BD28"/>
              <w:bottom w:val="single" w:sz="6" w:space="0" w:color="69BD28"/>
            </w:tcBorders>
          </w:tcPr>
          <w:p>
            <w:pPr>
              <w:pStyle w:val="TableParagraph"/>
              <w:spacing w:before="44"/>
              <w:ind w:left="552"/>
              <w:jc w:val="left"/>
              <w:rPr>
                <w:sz w:val="18"/>
              </w:rPr>
            </w:pPr>
            <w:r>
              <w:rPr>
                <w:w w:val="120"/>
                <w:sz w:val="18"/>
              </w:rPr>
              <w:t>45 – 50</w:t>
            </w:r>
          </w:p>
        </w:tc>
        <w:tc>
          <w:tcPr>
            <w:tcW w:w="2526" w:type="dxa"/>
            <w:tcBorders>
              <w:top w:val="single" w:sz="6" w:space="0" w:color="69BD28"/>
              <w:bottom w:val="single" w:sz="6" w:space="0" w:color="69BD28"/>
            </w:tcBorders>
          </w:tcPr>
          <w:p>
            <w:pPr>
              <w:pStyle w:val="TableParagraph"/>
              <w:spacing w:before="44"/>
              <w:ind w:left="656" w:right="695"/>
              <w:rPr>
                <w:sz w:val="18"/>
              </w:rPr>
            </w:pPr>
            <w:r>
              <w:rPr>
                <w:sz w:val="18"/>
              </w:rPr>
              <w:t>Minimal</w:t>
            </w:r>
          </w:p>
        </w:tc>
      </w:tr>
      <w:tr>
        <w:trPr>
          <w:trHeight w:val="361" w:hRule="atLeast"/>
        </w:trPr>
        <w:tc>
          <w:tcPr>
            <w:tcW w:w="2788" w:type="dxa"/>
            <w:tcBorders>
              <w:top w:val="single" w:sz="6" w:space="0" w:color="69BD28"/>
              <w:bottom w:val="single" w:sz="6" w:space="0" w:color="69BD28"/>
            </w:tcBorders>
          </w:tcPr>
          <w:p>
            <w:pPr>
              <w:pStyle w:val="TableParagraph"/>
              <w:spacing w:before="78"/>
              <w:ind w:left="509" w:right="569"/>
              <w:rPr>
                <w:sz w:val="18"/>
              </w:rPr>
            </w:pPr>
            <w:r>
              <w:rPr>
                <w:w w:val="105"/>
                <w:sz w:val="18"/>
              </w:rPr>
              <w:t>Development 7</w:t>
            </w:r>
          </w:p>
        </w:tc>
        <w:tc>
          <w:tcPr>
            <w:tcW w:w="1663" w:type="dxa"/>
            <w:tcBorders>
              <w:top w:val="single" w:sz="6" w:space="0" w:color="69BD28"/>
              <w:bottom w:val="single" w:sz="6" w:space="0" w:color="69BD28"/>
            </w:tcBorders>
          </w:tcPr>
          <w:p>
            <w:pPr>
              <w:pStyle w:val="TableParagraph"/>
              <w:spacing w:before="44"/>
              <w:ind w:left="590" w:right="542"/>
              <w:rPr>
                <w:sz w:val="18"/>
              </w:rPr>
            </w:pPr>
            <w:r>
              <w:rPr>
                <w:sz w:val="18"/>
              </w:rPr>
              <w:t>IT SEZ</w:t>
            </w:r>
          </w:p>
        </w:tc>
        <w:tc>
          <w:tcPr>
            <w:tcW w:w="1631" w:type="dxa"/>
            <w:tcBorders>
              <w:top w:val="single" w:sz="6" w:space="0" w:color="69BD28"/>
              <w:bottom w:val="single" w:sz="6" w:space="0" w:color="69BD28"/>
            </w:tcBorders>
          </w:tcPr>
          <w:p>
            <w:pPr>
              <w:pStyle w:val="TableParagraph"/>
              <w:spacing w:before="44"/>
              <w:ind w:left="545" w:right="529"/>
              <w:rPr>
                <w:sz w:val="18"/>
              </w:rPr>
            </w:pPr>
            <w:r>
              <w:rPr>
                <w:w w:val="105"/>
                <w:sz w:val="18"/>
              </w:rPr>
              <w:t>2.2</w:t>
            </w:r>
          </w:p>
        </w:tc>
        <w:tc>
          <w:tcPr>
            <w:tcW w:w="1877" w:type="dxa"/>
            <w:tcBorders>
              <w:top w:val="single" w:sz="6" w:space="0" w:color="69BD28"/>
              <w:bottom w:val="single" w:sz="6" w:space="0" w:color="69BD28"/>
            </w:tcBorders>
          </w:tcPr>
          <w:p>
            <w:pPr>
              <w:pStyle w:val="TableParagraph"/>
              <w:spacing w:before="44"/>
              <w:ind w:left="552"/>
              <w:jc w:val="left"/>
              <w:rPr>
                <w:sz w:val="18"/>
              </w:rPr>
            </w:pPr>
            <w:r>
              <w:rPr>
                <w:w w:val="120"/>
                <w:sz w:val="18"/>
              </w:rPr>
              <w:t>45 – 50</w:t>
            </w:r>
          </w:p>
        </w:tc>
        <w:tc>
          <w:tcPr>
            <w:tcW w:w="2526" w:type="dxa"/>
            <w:tcBorders>
              <w:top w:val="single" w:sz="6" w:space="0" w:color="69BD28"/>
              <w:bottom w:val="single" w:sz="6" w:space="0" w:color="69BD28"/>
            </w:tcBorders>
          </w:tcPr>
          <w:p>
            <w:pPr>
              <w:pStyle w:val="TableParagraph"/>
              <w:spacing w:before="44"/>
              <w:ind w:left="656" w:right="696"/>
              <w:rPr>
                <w:sz w:val="18"/>
              </w:rPr>
            </w:pPr>
            <w:r>
              <w:rPr>
                <w:w w:val="105"/>
                <w:sz w:val="18"/>
              </w:rPr>
              <w:t>5.0 - 7.0%</w:t>
            </w:r>
          </w:p>
        </w:tc>
      </w:tr>
      <w:tr>
        <w:trPr>
          <w:trHeight w:val="191" w:hRule="atLeast"/>
        </w:trPr>
        <w:tc>
          <w:tcPr>
            <w:tcW w:w="2788" w:type="dxa"/>
            <w:tcBorders>
              <w:top w:val="single" w:sz="6" w:space="0" w:color="69BD28"/>
            </w:tcBorders>
          </w:tcPr>
          <w:p>
            <w:pPr>
              <w:pStyle w:val="TableParagraph"/>
              <w:spacing w:line="168" w:lineRule="exact" w:before="3"/>
              <w:ind w:left="537" w:right="569"/>
              <w:rPr>
                <w:i/>
                <w:sz w:val="16"/>
              </w:rPr>
            </w:pPr>
            <w:r>
              <w:rPr>
                <w:i/>
                <w:sz w:val="16"/>
              </w:rPr>
              <w:t>Source: CBRE Research</w:t>
            </w:r>
          </w:p>
        </w:tc>
        <w:tc>
          <w:tcPr>
            <w:tcW w:w="1663" w:type="dxa"/>
            <w:tcBorders>
              <w:top w:val="single" w:sz="6" w:space="0" w:color="69BD28"/>
            </w:tcBorders>
          </w:tcPr>
          <w:p>
            <w:pPr>
              <w:pStyle w:val="TableParagraph"/>
              <w:jc w:val="left"/>
              <w:rPr>
                <w:rFonts w:ascii="Times New Roman"/>
                <w:sz w:val="12"/>
              </w:rPr>
            </w:pPr>
          </w:p>
        </w:tc>
        <w:tc>
          <w:tcPr>
            <w:tcW w:w="1631" w:type="dxa"/>
            <w:tcBorders>
              <w:top w:val="single" w:sz="6" w:space="0" w:color="69BD28"/>
            </w:tcBorders>
          </w:tcPr>
          <w:p>
            <w:pPr>
              <w:pStyle w:val="TableParagraph"/>
              <w:jc w:val="left"/>
              <w:rPr>
                <w:rFonts w:ascii="Times New Roman"/>
                <w:sz w:val="12"/>
              </w:rPr>
            </w:pPr>
          </w:p>
        </w:tc>
        <w:tc>
          <w:tcPr>
            <w:tcW w:w="1877" w:type="dxa"/>
            <w:tcBorders>
              <w:top w:val="single" w:sz="6" w:space="0" w:color="69BD28"/>
            </w:tcBorders>
          </w:tcPr>
          <w:p>
            <w:pPr>
              <w:pStyle w:val="TableParagraph"/>
              <w:jc w:val="left"/>
              <w:rPr>
                <w:rFonts w:ascii="Times New Roman"/>
                <w:sz w:val="12"/>
              </w:rPr>
            </w:pPr>
          </w:p>
        </w:tc>
        <w:tc>
          <w:tcPr>
            <w:tcW w:w="2526" w:type="dxa"/>
            <w:tcBorders>
              <w:top w:val="single" w:sz="6" w:space="0" w:color="69BD28"/>
            </w:tcBorders>
          </w:tcPr>
          <w:p>
            <w:pPr>
              <w:pStyle w:val="TableParagraph"/>
              <w:jc w:val="left"/>
              <w:rPr>
                <w:rFonts w:ascii="Times New Roman"/>
                <w:sz w:val="12"/>
              </w:rPr>
            </w:pPr>
          </w:p>
        </w:tc>
      </w:tr>
    </w:tbl>
    <w:p>
      <w:pPr>
        <w:pStyle w:val="BodyText"/>
        <w:spacing w:before="10"/>
        <w:rPr>
          <w:sz w:val="16"/>
        </w:rPr>
      </w:pPr>
    </w:p>
    <w:p>
      <w:pPr>
        <w:pStyle w:val="ListParagraph"/>
        <w:numPr>
          <w:ilvl w:val="2"/>
          <w:numId w:val="14"/>
        </w:numPr>
        <w:tabs>
          <w:tab w:pos="981" w:val="left" w:leader="none"/>
        </w:tabs>
        <w:spacing w:line="240" w:lineRule="auto" w:before="107" w:after="0"/>
        <w:ind w:left="980" w:right="0" w:hanging="721"/>
        <w:jc w:val="left"/>
        <w:rPr>
          <w:sz w:val="22"/>
        </w:rPr>
      </w:pPr>
      <w:bookmarkStart w:name="_bookmark200" w:id="390"/>
      <w:bookmarkEnd w:id="390"/>
      <w:r>
        <w:rPr/>
      </w:r>
      <w:bookmarkStart w:name="_bookmark200" w:id="391"/>
      <w:bookmarkEnd w:id="391"/>
      <w:r>
        <w:rPr>
          <w:color w:val="1F664D"/>
          <w:sz w:val="22"/>
        </w:rPr>
        <w:t>Le</w:t>
      </w:r>
      <w:r>
        <w:rPr>
          <w:color w:val="1F664D"/>
          <w:sz w:val="22"/>
        </w:rPr>
        <w:t>ase Rental</w:t>
      </w:r>
      <w:r>
        <w:rPr>
          <w:color w:val="1F664D"/>
          <w:spacing w:val="-6"/>
          <w:sz w:val="22"/>
        </w:rPr>
        <w:t> </w:t>
      </w:r>
      <w:r>
        <w:rPr>
          <w:color w:val="1F664D"/>
          <w:sz w:val="22"/>
        </w:rPr>
        <w:t>Analysis</w:t>
      </w:r>
    </w:p>
    <w:p>
      <w:pPr>
        <w:pStyle w:val="BodyText"/>
        <w:spacing w:line="321" w:lineRule="auto" w:before="207"/>
        <w:ind w:left="822" w:right="234"/>
        <w:jc w:val="both"/>
      </w:pPr>
      <w:r>
        <w:rPr/>
        <w:t>As</w:t>
      </w:r>
      <w:r>
        <w:rPr>
          <w:spacing w:val="-19"/>
        </w:rPr>
        <w:t> </w:t>
      </w:r>
      <w:r>
        <w:rPr/>
        <w:t>highlighted</w:t>
      </w:r>
      <w:r>
        <w:rPr>
          <w:spacing w:val="-18"/>
        </w:rPr>
        <w:t> </w:t>
      </w:r>
      <w:r>
        <w:rPr/>
        <w:t>earlier,</w:t>
      </w:r>
      <w:r>
        <w:rPr>
          <w:spacing w:val="-18"/>
        </w:rPr>
        <w:t> </w:t>
      </w:r>
      <w:r>
        <w:rPr/>
        <w:t>the</w:t>
      </w:r>
      <w:r>
        <w:rPr>
          <w:spacing w:val="-19"/>
        </w:rPr>
        <w:t> </w:t>
      </w:r>
      <w:r>
        <w:rPr/>
        <w:t>current</w:t>
      </w:r>
      <w:r>
        <w:rPr>
          <w:spacing w:val="-18"/>
        </w:rPr>
        <w:t> </w:t>
      </w:r>
      <w:r>
        <w:rPr/>
        <w:t>rentals</w:t>
      </w:r>
      <w:r>
        <w:rPr>
          <w:spacing w:val="-18"/>
        </w:rPr>
        <w:t> </w:t>
      </w:r>
      <w:r>
        <w:rPr/>
        <w:t>in</w:t>
      </w:r>
      <w:r>
        <w:rPr>
          <w:spacing w:val="-21"/>
        </w:rPr>
        <w:t> </w:t>
      </w:r>
      <w:r>
        <w:rPr/>
        <w:t>subject</w:t>
      </w:r>
      <w:r>
        <w:rPr>
          <w:spacing w:val="-17"/>
        </w:rPr>
        <w:t> </w:t>
      </w:r>
      <w:r>
        <w:rPr/>
        <w:t>micro</w:t>
      </w:r>
      <w:r>
        <w:rPr>
          <w:spacing w:val="-19"/>
        </w:rPr>
        <w:t> </w:t>
      </w:r>
      <w:r>
        <w:rPr/>
        <w:t>market</w:t>
      </w:r>
      <w:r>
        <w:rPr>
          <w:spacing w:val="-17"/>
        </w:rPr>
        <w:t> </w:t>
      </w:r>
      <w:r>
        <w:rPr/>
        <w:t>vary</w:t>
      </w:r>
      <w:r>
        <w:rPr>
          <w:spacing w:val="-16"/>
        </w:rPr>
        <w:t> </w:t>
      </w:r>
      <w:r>
        <w:rPr/>
        <w:t>between</w:t>
      </w:r>
      <w:r>
        <w:rPr>
          <w:spacing w:val="-19"/>
        </w:rPr>
        <w:t> </w:t>
      </w:r>
      <w:r>
        <w:rPr/>
        <w:t>INR</w:t>
      </w:r>
      <w:r>
        <w:rPr>
          <w:spacing w:val="-19"/>
        </w:rPr>
        <w:t> </w:t>
      </w:r>
      <w:r>
        <w:rPr/>
        <w:t>40</w:t>
      </w:r>
      <w:r>
        <w:rPr>
          <w:spacing w:val="-19"/>
        </w:rPr>
        <w:t> </w:t>
      </w:r>
      <w:r>
        <w:rPr>
          <w:w w:val="105"/>
        </w:rPr>
        <w:t>–</w:t>
      </w:r>
      <w:r>
        <w:rPr>
          <w:spacing w:val="-22"/>
          <w:w w:val="105"/>
        </w:rPr>
        <w:t> </w:t>
      </w:r>
      <w:r>
        <w:rPr/>
        <w:t>50</w:t>
      </w:r>
      <w:r>
        <w:rPr>
          <w:spacing w:val="-20"/>
        </w:rPr>
        <w:t> </w:t>
      </w:r>
      <w:r>
        <w:rPr/>
        <w:t>per</w:t>
      </w:r>
      <w:r>
        <w:rPr>
          <w:spacing w:val="-20"/>
        </w:rPr>
        <w:t> </w:t>
      </w:r>
      <w:r>
        <w:rPr/>
        <w:t>sft</w:t>
      </w:r>
      <w:r>
        <w:rPr>
          <w:spacing w:val="-19"/>
        </w:rPr>
        <w:t> </w:t>
      </w:r>
      <w:r>
        <w:rPr/>
        <w:t>per month on leasable area depending upon specifications offered, location and accessibility of the development), quality of construction, developer brand, amenities offered, etc. In addition, the maintenance charge for these developments varies in the range of INR 8 </w:t>
      </w:r>
      <w:r>
        <w:rPr>
          <w:w w:val="105"/>
        </w:rPr>
        <w:t>– </w:t>
      </w:r>
      <w:r>
        <w:rPr/>
        <w:t>12 per sft per month.</w:t>
      </w:r>
      <w:r>
        <w:rPr>
          <w:spacing w:val="-42"/>
        </w:rPr>
        <w:t> </w:t>
      </w:r>
      <w:r>
        <w:rPr/>
        <w:t>The parking</w:t>
      </w:r>
      <w:r>
        <w:rPr>
          <w:spacing w:val="-17"/>
        </w:rPr>
        <w:t> </w:t>
      </w:r>
      <w:r>
        <w:rPr/>
        <w:t>charges</w:t>
      </w:r>
      <w:r>
        <w:rPr>
          <w:spacing w:val="-16"/>
        </w:rPr>
        <w:t> </w:t>
      </w:r>
      <w:r>
        <w:rPr/>
        <w:t>in</w:t>
      </w:r>
      <w:r>
        <w:rPr>
          <w:spacing w:val="-18"/>
        </w:rPr>
        <w:t> </w:t>
      </w:r>
      <w:r>
        <w:rPr/>
        <w:t>such</w:t>
      </w:r>
      <w:r>
        <w:rPr>
          <w:spacing w:val="-17"/>
        </w:rPr>
        <w:t> </w:t>
      </w:r>
      <w:r>
        <w:rPr/>
        <w:t>developments</w:t>
      </w:r>
      <w:r>
        <w:rPr>
          <w:spacing w:val="-16"/>
        </w:rPr>
        <w:t> </w:t>
      </w:r>
      <w:r>
        <w:rPr/>
        <w:t>range</w:t>
      </w:r>
      <w:r>
        <w:rPr>
          <w:spacing w:val="-18"/>
        </w:rPr>
        <w:t> </w:t>
      </w:r>
      <w:r>
        <w:rPr/>
        <w:t>between</w:t>
      </w:r>
      <w:r>
        <w:rPr>
          <w:spacing w:val="-17"/>
        </w:rPr>
        <w:t> </w:t>
      </w:r>
      <w:r>
        <w:rPr/>
        <w:t>INR</w:t>
      </w:r>
      <w:r>
        <w:rPr>
          <w:spacing w:val="-14"/>
        </w:rPr>
        <w:t> </w:t>
      </w:r>
      <w:r>
        <w:rPr/>
        <w:t>2,500</w:t>
      </w:r>
      <w:r>
        <w:rPr>
          <w:spacing w:val="-17"/>
        </w:rPr>
        <w:t> </w:t>
      </w:r>
      <w:r>
        <w:rPr>
          <w:w w:val="105"/>
        </w:rPr>
        <w:t>–</w:t>
      </w:r>
      <w:r>
        <w:rPr>
          <w:spacing w:val="-21"/>
          <w:w w:val="105"/>
        </w:rPr>
        <w:t> </w:t>
      </w:r>
      <w:r>
        <w:rPr/>
        <w:t>3,500</w:t>
      </w:r>
      <w:r>
        <w:rPr>
          <w:spacing w:val="-17"/>
        </w:rPr>
        <w:t> </w:t>
      </w:r>
      <w:r>
        <w:rPr/>
        <w:t>per</w:t>
      </w:r>
      <w:r>
        <w:rPr>
          <w:spacing w:val="-15"/>
        </w:rPr>
        <w:t> </w:t>
      </w:r>
      <w:r>
        <w:rPr/>
        <w:t>bay</w:t>
      </w:r>
      <w:r>
        <w:rPr>
          <w:spacing w:val="-16"/>
        </w:rPr>
        <w:t> </w:t>
      </w:r>
      <w:r>
        <w:rPr/>
        <w:t>per</w:t>
      </w:r>
      <w:r>
        <w:rPr>
          <w:spacing w:val="-17"/>
        </w:rPr>
        <w:t> </w:t>
      </w:r>
      <w:r>
        <w:rPr/>
        <w:t>month</w:t>
      </w:r>
      <w:r>
        <w:rPr>
          <w:spacing w:val="-17"/>
        </w:rPr>
        <w:t> </w:t>
      </w:r>
      <w:r>
        <w:rPr/>
        <w:t>for</w:t>
      </w:r>
      <w:r>
        <w:rPr>
          <w:spacing w:val="-17"/>
        </w:rPr>
        <w:t> </w:t>
      </w:r>
      <w:r>
        <w:rPr/>
        <w:t>covered car</w:t>
      </w:r>
      <w:r>
        <w:rPr>
          <w:spacing w:val="-8"/>
        </w:rPr>
        <w:t> </w:t>
      </w:r>
      <w:r>
        <w:rPr/>
        <w:t>parks.</w:t>
      </w:r>
      <w:r>
        <w:rPr>
          <w:spacing w:val="-8"/>
        </w:rPr>
        <w:t> </w:t>
      </w:r>
      <w:r>
        <w:rPr/>
        <w:t>The</w:t>
      </w:r>
      <w:r>
        <w:rPr>
          <w:spacing w:val="-8"/>
        </w:rPr>
        <w:t> </w:t>
      </w:r>
      <w:r>
        <w:rPr/>
        <w:t>number</w:t>
      </w:r>
      <w:r>
        <w:rPr>
          <w:spacing w:val="-8"/>
        </w:rPr>
        <w:t> </w:t>
      </w:r>
      <w:r>
        <w:rPr/>
        <w:t>of</w:t>
      </w:r>
      <w:r>
        <w:rPr>
          <w:spacing w:val="-7"/>
        </w:rPr>
        <w:t> </w:t>
      </w:r>
      <w:r>
        <w:rPr/>
        <w:t>car</w:t>
      </w:r>
      <w:r>
        <w:rPr>
          <w:spacing w:val="-8"/>
        </w:rPr>
        <w:t> </w:t>
      </w:r>
      <w:r>
        <w:rPr/>
        <w:t>park</w:t>
      </w:r>
      <w:r>
        <w:rPr>
          <w:spacing w:val="-8"/>
        </w:rPr>
        <w:t> </w:t>
      </w:r>
      <w:r>
        <w:rPr/>
        <w:t>slots</w:t>
      </w:r>
      <w:r>
        <w:rPr>
          <w:spacing w:val="-7"/>
        </w:rPr>
        <w:t> </w:t>
      </w:r>
      <w:r>
        <w:rPr/>
        <w:t>available</w:t>
      </w:r>
      <w:r>
        <w:rPr>
          <w:spacing w:val="-10"/>
        </w:rPr>
        <w:t> </w:t>
      </w:r>
      <w:r>
        <w:rPr/>
        <w:t>to</w:t>
      </w:r>
      <w:r>
        <w:rPr>
          <w:spacing w:val="-8"/>
        </w:rPr>
        <w:t> </w:t>
      </w:r>
      <w:r>
        <w:rPr/>
        <w:t>every</w:t>
      </w:r>
      <w:r>
        <w:rPr>
          <w:spacing w:val="-6"/>
        </w:rPr>
        <w:t> </w:t>
      </w:r>
      <w:r>
        <w:rPr/>
        <w:t>tenant</w:t>
      </w:r>
      <w:r>
        <w:rPr>
          <w:spacing w:val="-7"/>
        </w:rPr>
        <w:t> </w:t>
      </w:r>
      <w:r>
        <w:rPr/>
        <w:t>is</w:t>
      </w:r>
      <w:r>
        <w:rPr>
          <w:spacing w:val="-8"/>
        </w:rPr>
        <w:t> </w:t>
      </w:r>
      <w:r>
        <w:rPr/>
        <w:t>1</w:t>
      </w:r>
      <w:r>
        <w:rPr>
          <w:spacing w:val="-8"/>
        </w:rPr>
        <w:t> </w:t>
      </w:r>
      <w:r>
        <w:rPr/>
        <w:t>car</w:t>
      </w:r>
      <w:r>
        <w:rPr>
          <w:spacing w:val="-7"/>
        </w:rPr>
        <w:t> </w:t>
      </w:r>
      <w:r>
        <w:rPr/>
        <w:t>park</w:t>
      </w:r>
      <w:r>
        <w:rPr>
          <w:spacing w:val="-8"/>
        </w:rPr>
        <w:t> </w:t>
      </w:r>
      <w:r>
        <w:rPr/>
        <w:t>slot</w:t>
      </w:r>
      <w:r>
        <w:rPr>
          <w:spacing w:val="-8"/>
        </w:rPr>
        <w:t> </w:t>
      </w:r>
      <w:r>
        <w:rPr/>
        <w:t>for</w:t>
      </w:r>
      <w:r>
        <w:rPr>
          <w:spacing w:val="-8"/>
        </w:rPr>
        <w:t> </w:t>
      </w:r>
      <w:r>
        <w:rPr/>
        <w:t>every</w:t>
      </w:r>
      <w:r>
        <w:rPr>
          <w:spacing w:val="-6"/>
        </w:rPr>
        <w:t> </w:t>
      </w:r>
      <w:r>
        <w:rPr/>
        <w:t>1,000</w:t>
      </w:r>
      <w:r>
        <w:rPr>
          <w:spacing w:val="-9"/>
        </w:rPr>
        <w:t> </w:t>
      </w:r>
      <w:r>
        <w:rPr/>
        <w:t>sft leased.</w:t>
      </w:r>
    </w:p>
    <w:p>
      <w:pPr>
        <w:pStyle w:val="BodyText"/>
        <w:spacing w:before="10"/>
        <w:rPr>
          <w:sz w:val="20"/>
        </w:rPr>
      </w:pPr>
    </w:p>
    <w:p>
      <w:pPr>
        <w:pStyle w:val="BodyText"/>
        <w:spacing w:line="321" w:lineRule="auto"/>
        <w:ind w:left="822" w:right="235"/>
        <w:jc w:val="both"/>
      </w:pPr>
      <w:r>
        <w:rPr/>
        <w:t>Based</w:t>
      </w:r>
      <w:r>
        <w:rPr>
          <w:spacing w:val="-5"/>
        </w:rPr>
        <w:t> </w:t>
      </w:r>
      <w:r>
        <w:rPr/>
        <w:t>on</w:t>
      </w:r>
      <w:r>
        <w:rPr>
          <w:spacing w:val="-5"/>
        </w:rPr>
        <w:t> </w:t>
      </w:r>
      <w:r>
        <w:rPr/>
        <w:t>our</w:t>
      </w:r>
      <w:r>
        <w:rPr>
          <w:spacing w:val="-6"/>
        </w:rPr>
        <w:t> </w:t>
      </w:r>
      <w:r>
        <w:rPr/>
        <w:t>market</w:t>
      </w:r>
      <w:r>
        <w:rPr>
          <w:spacing w:val="-5"/>
        </w:rPr>
        <w:t> </w:t>
      </w:r>
      <w:r>
        <w:rPr/>
        <w:t>research,</w:t>
      </w:r>
      <w:r>
        <w:rPr>
          <w:spacing w:val="-6"/>
        </w:rPr>
        <w:t> </w:t>
      </w:r>
      <w:r>
        <w:rPr/>
        <w:t>we</w:t>
      </w:r>
      <w:r>
        <w:rPr>
          <w:spacing w:val="-6"/>
        </w:rPr>
        <w:t> </w:t>
      </w:r>
      <w:r>
        <w:rPr/>
        <w:t>understand</w:t>
      </w:r>
      <w:r>
        <w:rPr>
          <w:spacing w:val="-4"/>
        </w:rPr>
        <w:t> </w:t>
      </w:r>
      <w:r>
        <w:rPr/>
        <w:t>that</w:t>
      </w:r>
      <w:r>
        <w:rPr>
          <w:spacing w:val="-5"/>
        </w:rPr>
        <w:t> </w:t>
      </w:r>
      <w:r>
        <w:rPr/>
        <w:t>rent</w:t>
      </w:r>
      <w:r>
        <w:rPr>
          <w:spacing w:val="-1"/>
        </w:rPr>
        <w:t> </w:t>
      </w:r>
      <w:r>
        <w:rPr/>
        <w:t>in</w:t>
      </w:r>
      <w:r>
        <w:rPr>
          <w:spacing w:val="-6"/>
        </w:rPr>
        <w:t> </w:t>
      </w:r>
      <w:r>
        <w:rPr/>
        <w:t>the</w:t>
      </w:r>
      <w:r>
        <w:rPr>
          <w:spacing w:val="-5"/>
        </w:rPr>
        <w:t> </w:t>
      </w:r>
      <w:r>
        <w:rPr/>
        <w:t>submarket</w:t>
      </w:r>
      <w:r>
        <w:rPr>
          <w:spacing w:val="-5"/>
        </w:rPr>
        <w:t> </w:t>
      </w:r>
      <w:r>
        <w:rPr/>
        <w:t>have</w:t>
      </w:r>
      <w:r>
        <w:rPr>
          <w:spacing w:val="-6"/>
        </w:rPr>
        <w:t> </w:t>
      </w:r>
      <w:r>
        <w:rPr/>
        <w:t>witnessed</w:t>
      </w:r>
      <w:r>
        <w:rPr>
          <w:spacing w:val="-2"/>
        </w:rPr>
        <w:t> </w:t>
      </w:r>
      <w:r>
        <w:rPr/>
        <w:t>an</w:t>
      </w:r>
      <w:r>
        <w:rPr>
          <w:spacing w:val="-6"/>
        </w:rPr>
        <w:t> </w:t>
      </w:r>
      <w:r>
        <w:rPr/>
        <w:t>average appreciation of approx. 6.7% between 2014 &amp;</w:t>
      </w:r>
      <w:r>
        <w:rPr>
          <w:spacing w:val="-15"/>
        </w:rPr>
        <w:t> </w:t>
      </w:r>
      <w:r>
        <w:rPr/>
        <w:t>2019.</w:t>
      </w:r>
    </w:p>
    <w:p>
      <w:pPr>
        <w:pStyle w:val="BodyText"/>
        <w:spacing w:before="10"/>
        <w:rPr>
          <w:sz w:val="20"/>
        </w:rPr>
      </w:pPr>
    </w:p>
    <w:p>
      <w:pPr>
        <w:pStyle w:val="BodyText"/>
        <w:spacing w:line="321" w:lineRule="auto"/>
        <w:ind w:left="822" w:right="235"/>
        <w:jc w:val="both"/>
      </w:pPr>
      <w:r>
        <w:rPr/>
        <w:t>The</w:t>
      </w:r>
      <w:r>
        <w:rPr>
          <w:spacing w:val="-16"/>
        </w:rPr>
        <w:t> </w:t>
      </w:r>
      <w:r>
        <w:rPr/>
        <w:t>table</w:t>
      </w:r>
      <w:r>
        <w:rPr>
          <w:spacing w:val="-16"/>
        </w:rPr>
        <w:t> </w:t>
      </w:r>
      <w:r>
        <w:rPr/>
        <w:t>below</w:t>
      </w:r>
      <w:r>
        <w:rPr>
          <w:spacing w:val="-15"/>
        </w:rPr>
        <w:t> </w:t>
      </w:r>
      <w:r>
        <w:rPr/>
        <w:t>highlights</w:t>
      </w:r>
      <w:r>
        <w:rPr>
          <w:spacing w:val="-14"/>
        </w:rPr>
        <w:t> </w:t>
      </w:r>
      <w:r>
        <w:rPr/>
        <w:t>some</w:t>
      </w:r>
      <w:r>
        <w:rPr>
          <w:spacing w:val="-15"/>
        </w:rPr>
        <w:t> </w:t>
      </w:r>
      <w:r>
        <w:rPr/>
        <w:t>of</w:t>
      </w:r>
      <w:r>
        <w:rPr>
          <w:spacing w:val="-15"/>
        </w:rPr>
        <w:t> </w:t>
      </w:r>
      <w:r>
        <w:rPr/>
        <w:t>the</w:t>
      </w:r>
      <w:r>
        <w:rPr>
          <w:spacing w:val="-16"/>
        </w:rPr>
        <w:t> </w:t>
      </w:r>
      <w:r>
        <w:rPr/>
        <w:t>recently</w:t>
      </w:r>
      <w:r>
        <w:rPr>
          <w:spacing w:val="-14"/>
        </w:rPr>
        <w:t> </w:t>
      </w:r>
      <w:r>
        <w:rPr/>
        <w:t>transacted</w:t>
      </w:r>
      <w:r>
        <w:rPr>
          <w:spacing w:val="-15"/>
        </w:rPr>
        <w:t> </w:t>
      </w:r>
      <w:r>
        <w:rPr/>
        <w:t>leases</w:t>
      </w:r>
      <w:r>
        <w:rPr>
          <w:spacing w:val="-14"/>
        </w:rPr>
        <w:t> </w:t>
      </w:r>
      <w:r>
        <w:rPr/>
        <w:t>for</w:t>
      </w:r>
      <w:r>
        <w:rPr>
          <w:spacing w:val="-16"/>
        </w:rPr>
        <w:t> </w:t>
      </w:r>
      <w:r>
        <w:rPr/>
        <w:t>technology</w:t>
      </w:r>
      <w:r>
        <w:rPr>
          <w:spacing w:val="-10"/>
        </w:rPr>
        <w:t> </w:t>
      </w:r>
      <w:r>
        <w:rPr/>
        <w:t>developments</w:t>
      </w:r>
      <w:r>
        <w:rPr>
          <w:spacing w:val="-14"/>
        </w:rPr>
        <w:t> </w:t>
      </w:r>
      <w:r>
        <w:rPr/>
        <w:t>in</w:t>
      </w:r>
      <w:r>
        <w:rPr>
          <w:spacing w:val="-16"/>
        </w:rPr>
        <w:t> </w:t>
      </w:r>
      <w:r>
        <w:rPr/>
        <w:t>the influence region of the subject</w:t>
      </w:r>
      <w:r>
        <w:rPr>
          <w:spacing w:val="-24"/>
        </w:rPr>
        <w:t> </w:t>
      </w:r>
      <w:r>
        <w:rPr/>
        <w:t>property:</w:t>
      </w:r>
    </w:p>
    <w:p>
      <w:pPr>
        <w:pStyle w:val="BodyText"/>
        <w:spacing w:before="1"/>
        <w:rPr>
          <w:sz w:val="21"/>
        </w:rPr>
      </w:pPr>
    </w:p>
    <w:tbl>
      <w:tblPr>
        <w:tblW w:w="0" w:type="auto"/>
        <w:jc w:val="left"/>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22"/>
        <w:gridCol w:w="1864"/>
        <w:gridCol w:w="1532"/>
        <w:gridCol w:w="4265"/>
      </w:tblGrid>
      <w:tr>
        <w:trPr>
          <w:trHeight w:val="309" w:hRule="atLeast"/>
        </w:trPr>
        <w:tc>
          <w:tcPr>
            <w:tcW w:w="2822" w:type="dxa"/>
            <w:tcBorders>
              <w:top w:val="single" w:sz="6" w:space="0" w:color="69BD28"/>
              <w:bottom w:val="single" w:sz="6" w:space="0" w:color="69BD28"/>
            </w:tcBorders>
            <w:shd w:val="clear" w:color="auto" w:fill="006A4D"/>
          </w:tcPr>
          <w:p>
            <w:pPr>
              <w:pStyle w:val="TableParagraph"/>
              <w:spacing w:before="51"/>
              <w:ind w:left="533" w:right="514"/>
              <w:rPr>
                <w:b/>
                <w:sz w:val="18"/>
              </w:rPr>
            </w:pPr>
            <w:r>
              <w:rPr>
                <w:b/>
                <w:color w:val="FFFFFF"/>
                <w:w w:val="105"/>
                <w:sz w:val="18"/>
              </w:rPr>
              <w:t>Date of Transaction</w:t>
            </w:r>
          </w:p>
        </w:tc>
        <w:tc>
          <w:tcPr>
            <w:tcW w:w="1864" w:type="dxa"/>
            <w:tcBorders>
              <w:top w:val="single" w:sz="6" w:space="0" w:color="69BD28"/>
              <w:bottom w:val="single" w:sz="6" w:space="0" w:color="69BD28"/>
            </w:tcBorders>
            <w:shd w:val="clear" w:color="auto" w:fill="006A4D"/>
          </w:tcPr>
          <w:p>
            <w:pPr>
              <w:pStyle w:val="TableParagraph"/>
              <w:spacing w:before="51"/>
              <w:ind w:left="515"/>
              <w:jc w:val="left"/>
              <w:rPr>
                <w:b/>
                <w:sz w:val="18"/>
              </w:rPr>
            </w:pPr>
            <w:r>
              <w:rPr>
                <w:b/>
                <w:color w:val="FFFFFF"/>
                <w:w w:val="110"/>
                <w:sz w:val="18"/>
              </w:rPr>
              <w:t>Area (sft)</w:t>
            </w:r>
          </w:p>
        </w:tc>
        <w:tc>
          <w:tcPr>
            <w:tcW w:w="1532" w:type="dxa"/>
            <w:tcBorders>
              <w:top w:val="single" w:sz="6" w:space="0" w:color="69BD28"/>
              <w:bottom w:val="single" w:sz="6" w:space="0" w:color="69BD28"/>
            </w:tcBorders>
            <w:shd w:val="clear" w:color="auto" w:fill="006A4D"/>
          </w:tcPr>
          <w:p>
            <w:pPr>
              <w:pStyle w:val="TableParagraph"/>
              <w:spacing w:before="51"/>
              <w:ind w:right="357"/>
              <w:jc w:val="right"/>
              <w:rPr>
                <w:b/>
                <w:sz w:val="18"/>
              </w:rPr>
            </w:pPr>
            <w:r>
              <w:rPr>
                <w:b/>
                <w:color w:val="FFFFFF"/>
                <w:w w:val="105"/>
                <w:sz w:val="18"/>
              </w:rPr>
              <w:t>Tenant</w:t>
            </w:r>
          </w:p>
        </w:tc>
        <w:tc>
          <w:tcPr>
            <w:tcW w:w="4265" w:type="dxa"/>
            <w:tcBorders>
              <w:top w:val="single" w:sz="6" w:space="0" w:color="69BD28"/>
              <w:bottom w:val="single" w:sz="6" w:space="0" w:color="69BD28"/>
            </w:tcBorders>
            <w:shd w:val="clear" w:color="auto" w:fill="006A4D"/>
          </w:tcPr>
          <w:p>
            <w:pPr>
              <w:pStyle w:val="TableParagraph"/>
              <w:spacing w:before="51"/>
              <w:ind w:left="284" w:right="97"/>
              <w:rPr>
                <w:b/>
                <w:sz w:val="18"/>
              </w:rPr>
            </w:pPr>
            <w:r>
              <w:rPr>
                <w:b/>
                <w:color w:val="FFFFFF"/>
                <w:w w:val="110"/>
                <w:sz w:val="18"/>
              </w:rPr>
              <w:t>Transacted Rental Value (INR/sft/month)*</w:t>
            </w:r>
          </w:p>
        </w:tc>
      </w:tr>
      <w:tr>
        <w:trPr>
          <w:trHeight w:val="309" w:hRule="atLeast"/>
        </w:trPr>
        <w:tc>
          <w:tcPr>
            <w:tcW w:w="2822" w:type="dxa"/>
            <w:tcBorders>
              <w:top w:val="single" w:sz="6" w:space="0" w:color="69BD28"/>
              <w:bottom w:val="single" w:sz="6" w:space="0" w:color="69BD28"/>
            </w:tcBorders>
          </w:tcPr>
          <w:p>
            <w:pPr>
              <w:pStyle w:val="TableParagraph"/>
              <w:spacing w:before="49"/>
              <w:ind w:left="530" w:right="514"/>
              <w:rPr>
                <w:sz w:val="18"/>
              </w:rPr>
            </w:pPr>
            <w:r>
              <w:rPr>
                <w:w w:val="110"/>
                <w:sz w:val="18"/>
              </w:rPr>
              <w:t>Q4, 2019</w:t>
            </w:r>
          </w:p>
        </w:tc>
        <w:tc>
          <w:tcPr>
            <w:tcW w:w="1864" w:type="dxa"/>
            <w:tcBorders>
              <w:top w:val="single" w:sz="6" w:space="0" w:color="69BD28"/>
              <w:bottom w:val="single" w:sz="6" w:space="0" w:color="69BD28"/>
            </w:tcBorders>
          </w:tcPr>
          <w:p>
            <w:pPr>
              <w:pStyle w:val="TableParagraph"/>
              <w:spacing w:before="49"/>
              <w:ind w:left="619" w:right="613"/>
              <w:rPr>
                <w:sz w:val="18"/>
              </w:rPr>
            </w:pPr>
            <w:r>
              <w:rPr>
                <w:w w:val="110"/>
                <w:sz w:val="18"/>
              </w:rPr>
              <w:t>80,000</w:t>
            </w:r>
          </w:p>
        </w:tc>
        <w:tc>
          <w:tcPr>
            <w:tcW w:w="1532" w:type="dxa"/>
            <w:tcBorders>
              <w:top w:val="single" w:sz="6" w:space="0" w:color="69BD28"/>
              <w:bottom w:val="single" w:sz="6" w:space="0" w:color="69BD28"/>
            </w:tcBorders>
          </w:tcPr>
          <w:p>
            <w:pPr>
              <w:pStyle w:val="TableParagraph"/>
              <w:spacing w:before="49"/>
              <w:ind w:right="324"/>
              <w:jc w:val="right"/>
              <w:rPr>
                <w:sz w:val="18"/>
              </w:rPr>
            </w:pPr>
            <w:r>
              <w:rPr>
                <w:sz w:val="18"/>
              </w:rPr>
              <w:t>Tenant 1</w:t>
            </w:r>
          </w:p>
        </w:tc>
        <w:tc>
          <w:tcPr>
            <w:tcW w:w="4265" w:type="dxa"/>
            <w:tcBorders>
              <w:top w:val="single" w:sz="6" w:space="0" w:color="69BD28"/>
              <w:bottom w:val="single" w:sz="6" w:space="0" w:color="69BD28"/>
            </w:tcBorders>
          </w:tcPr>
          <w:p>
            <w:pPr>
              <w:pStyle w:val="TableParagraph"/>
              <w:spacing w:before="49"/>
              <w:ind w:left="284" w:right="94"/>
              <w:rPr>
                <w:sz w:val="18"/>
              </w:rPr>
            </w:pPr>
            <w:r>
              <w:rPr>
                <w:w w:val="105"/>
                <w:sz w:val="18"/>
              </w:rPr>
              <w:t>48.00 - 52.00 (WS)</w:t>
            </w:r>
          </w:p>
        </w:tc>
      </w:tr>
      <w:tr>
        <w:trPr>
          <w:trHeight w:val="308" w:hRule="atLeast"/>
        </w:trPr>
        <w:tc>
          <w:tcPr>
            <w:tcW w:w="2822" w:type="dxa"/>
            <w:tcBorders>
              <w:top w:val="single" w:sz="6" w:space="0" w:color="69BD28"/>
              <w:bottom w:val="single" w:sz="6" w:space="0" w:color="69BD28"/>
            </w:tcBorders>
          </w:tcPr>
          <w:p>
            <w:pPr>
              <w:pStyle w:val="TableParagraph"/>
              <w:spacing w:before="49"/>
              <w:ind w:left="530" w:right="514"/>
              <w:rPr>
                <w:sz w:val="18"/>
              </w:rPr>
            </w:pPr>
            <w:r>
              <w:rPr>
                <w:w w:val="110"/>
                <w:sz w:val="18"/>
              </w:rPr>
              <w:t>Q4, 2019</w:t>
            </w:r>
          </w:p>
        </w:tc>
        <w:tc>
          <w:tcPr>
            <w:tcW w:w="1864" w:type="dxa"/>
            <w:tcBorders>
              <w:top w:val="single" w:sz="6" w:space="0" w:color="69BD28"/>
              <w:bottom w:val="single" w:sz="6" w:space="0" w:color="69BD28"/>
            </w:tcBorders>
          </w:tcPr>
          <w:p>
            <w:pPr>
              <w:pStyle w:val="TableParagraph"/>
              <w:spacing w:before="49"/>
              <w:ind w:left="619" w:right="613"/>
              <w:rPr>
                <w:sz w:val="18"/>
              </w:rPr>
            </w:pPr>
            <w:r>
              <w:rPr>
                <w:w w:val="110"/>
                <w:sz w:val="18"/>
              </w:rPr>
              <w:t>40,000</w:t>
            </w:r>
          </w:p>
        </w:tc>
        <w:tc>
          <w:tcPr>
            <w:tcW w:w="1532" w:type="dxa"/>
            <w:tcBorders>
              <w:top w:val="single" w:sz="6" w:space="0" w:color="69BD28"/>
              <w:bottom w:val="single" w:sz="6" w:space="0" w:color="69BD28"/>
            </w:tcBorders>
          </w:tcPr>
          <w:p>
            <w:pPr>
              <w:pStyle w:val="TableParagraph"/>
              <w:spacing w:before="49"/>
              <w:ind w:right="324"/>
              <w:jc w:val="right"/>
              <w:rPr>
                <w:sz w:val="18"/>
              </w:rPr>
            </w:pPr>
            <w:r>
              <w:rPr>
                <w:sz w:val="18"/>
              </w:rPr>
              <w:t>Tenant 2</w:t>
            </w:r>
          </w:p>
        </w:tc>
        <w:tc>
          <w:tcPr>
            <w:tcW w:w="4265" w:type="dxa"/>
            <w:tcBorders>
              <w:top w:val="single" w:sz="6" w:space="0" w:color="69BD28"/>
              <w:bottom w:val="single" w:sz="6" w:space="0" w:color="69BD28"/>
            </w:tcBorders>
          </w:tcPr>
          <w:p>
            <w:pPr>
              <w:pStyle w:val="TableParagraph"/>
              <w:spacing w:before="49"/>
              <w:ind w:left="283" w:right="97"/>
              <w:rPr>
                <w:sz w:val="18"/>
              </w:rPr>
            </w:pPr>
            <w:r>
              <w:rPr>
                <w:w w:val="105"/>
                <w:sz w:val="18"/>
              </w:rPr>
              <w:t>60.00 - 65.00 (FF)</w:t>
            </w:r>
          </w:p>
        </w:tc>
      </w:tr>
      <w:tr>
        <w:trPr>
          <w:trHeight w:val="308" w:hRule="atLeast"/>
        </w:trPr>
        <w:tc>
          <w:tcPr>
            <w:tcW w:w="2822" w:type="dxa"/>
            <w:tcBorders>
              <w:top w:val="single" w:sz="6" w:space="0" w:color="69BD28"/>
              <w:bottom w:val="single" w:sz="6" w:space="0" w:color="69BD28"/>
            </w:tcBorders>
          </w:tcPr>
          <w:p>
            <w:pPr>
              <w:pStyle w:val="TableParagraph"/>
              <w:spacing w:before="49"/>
              <w:ind w:left="530" w:right="514"/>
              <w:rPr>
                <w:sz w:val="18"/>
              </w:rPr>
            </w:pPr>
            <w:r>
              <w:rPr>
                <w:w w:val="110"/>
                <w:sz w:val="18"/>
              </w:rPr>
              <w:t>Q3, 2019</w:t>
            </w:r>
          </w:p>
        </w:tc>
        <w:tc>
          <w:tcPr>
            <w:tcW w:w="1864" w:type="dxa"/>
            <w:tcBorders>
              <w:top w:val="single" w:sz="6" w:space="0" w:color="69BD28"/>
              <w:bottom w:val="single" w:sz="6" w:space="0" w:color="69BD28"/>
            </w:tcBorders>
          </w:tcPr>
          <w:p>
            <w:pPr>
              <w:pStyle w:val="TableParagraph"/>
              <w:spacing w:before="49"/>
              <w:ind w:left="589"/>
              <w:jc w:val="left"/>
              <w:rPr>
                <w:sz w:val="18"/>
              </w:rPr>
            </w:pPr>
            <w:r>
              <w:rPr>
                <w:w w:val="110"/>
                <w:sz w:val="18"/>
              </w:rPr>
              <w:t>125,000</w:t>
            </w:r>
          </w:p>
        </w:tc>
        <w:tc>
          <w:tcPr>
            <w:tcW w:w="1532" w:type="dxa"/>
            <w:tcBorders>
              <w:top w:val="single" w:sz="6" w:space="0" w:color="69BD28"/>
              <w:bottom w:val="single" w:sz="6" w:space="0" w:color="69BD28"/>
            </w:tcBorders>
          </w:tcPr>
          <w:p>
            <w:pPr>
              <w:pStyle w:val="TableParagraph"/>
              <w:spacing w:before="49"/>
              <w:ind w:right="324"/>
              <w:jc w:val="right"/>
              <w:rPr>
                <w:sz w:val="18"/>
              </w:rPr>
            </w:pPr>
            <w:r>
              <w:rPr>
                <w:sz w:val="18"/>
              </w:rPr>
              <w:t>Tenant 3</w:t>
            </w:r>
          </w:p>
        </w:tc>
        <w:tc>
          <w:tcPr>
            <w:tcW w:w="4265" w:type="dxa"/>
            <w:tcBorders>
              <w:top w:val="single" w:sz="6" w:space="0" w:color="69BD28"/>
              <w:bottom w:val="single" w:sz="6" w:space="0" w:color="69BD28"/>
            </w:tcBorders>
          </w:tcPr>
          <w:p>
            <w:pPr>
              <w:pStyle w:val="TableParagraph"/>
              <w:spacing w:before="49"/>
              <w:ind w:left="284" w:right="94"/>
              <w:rPr>
                <w:sz w:val="18"/>
              </w:rPr>
            </w:pPr>
            <w:r>
              <w:rPr>
                <w:w w:val="105"/>
                <w:sz w:val="18"/>
              </w:rPr>
              <w:t>45.00 - 50.00 (WS)</w:t>
            </w:r>
          </w:p>
        </w:tc>
      </w:tr>
      <w:tr>
        <w:trPr>
          <w:trHeight w:val="308" w:hRule="atLeast"/>
        </w:trPr>
        <w:tc>
          <w:tcPr>
            <w:tcW w:w="2822" w:type="dxa"/>
            <w:tcBorders>
              <w:top w:val="single" w:sz="6" w:space="0" w:color="69BD28"/>
              <w:bottom w:val="single" w:sz="6" w:space="0" w:color="69BD28"/>
            </w:tcBorders>
          </w:tcPr>
          <w:p>
            <w:pPr>
              <w:pStyle w:val="TableParagraph"/>
              <w:spacing w:before="49"/>
              <w:ind w:left="530" w:right="514"/>
              <w:rPr>
                <w:sz w:val="18"/>
              </w:rPr>
            </w:pPr>
            <w:r>
              <w:rPr>
                <w:w w:val="110"/>
                <w:sz w:val="18"/>
              </w:rPr>
              <w:t>Q3, 2019</w:t>
            </w:r>
          </w:p>
        </w:tc>
        <w:tc>
          <w:tcPr>
            <w:tcW w:w="1864" w:type="dxa"/>
            <w:tcBorders>
              <w:top w:val="single" w:sz="6" w:space="0" w:color="69BD28"/>
              <w:bottom w:val="single" w:sz="6" w:space="0" w:color="69BD28"/>
            </w:tcBorders>
          </w:tcPr>
          <w:p>
            <w:pPr>
              <w:pStyle w:val="TableParagraph"/>
              <w:spacing w:before="49"/>
              <w:ind w:left="619" w:right="613"/>
              <w:rPr>
                <w:sz w:val="18"/>
              </w:rPr>
            </w:pPr>
            <w:r>
              <w:rPr>
                <w:w w:val="110"/>
                <w:sz w:val="18"/>
              </w:rPr>
              <w:t>45,000</w:t>
            </w:r>
          </w:p>
        </w:tc>
        <w:tc>
          <w:tcPr>
            <w:tcW w:w="1532" w:type="dxa"/>
            <w:tcBorders>
              <w:top w:val="single" w:sz="6" w:space="0" w:color="69BD28"/>
              <w:bottom w:val="single" w:sz="6" w:space="0" w:color="69BD28"/>
            </w:tcBorders>
          </w:tcPr>
          <w:p>
            <w:pPr>
              <w:pStyle w:val="TableParagraph"/>
              <w:spacing w:before="49"/>
              <w:ind w:right="324"/>
              <w:jc w:val="right"/>
              <w:rPr>
                <w:sz w:val="18"/>
              </w:rPr>
            </w:pPr>
            <w:r>
              <w:rPr>
                <w:sz w:val="18"/>
              </w:rPr>
              <w:t>Tenant 4</w:t>
            </w:r>
          </w:p>
        </w:tc>
        <w:tc>
          <w:tcPr>
            <w:tcW w:w="4265" w:type="dxa"/>
            <w:tcBorders>
              <w:top w:val="single" w:sz="6" w:space="0" w:color="69BD28"/>
              <w:bottom w:val="single" w:sz="6" w:space="0" w:color="69BD28"/>
            </w:tcBorders>
          </w:tcPr>
          <w:p>
            <w:pPr>
              <w:pStyle w:val="TableParagraph"/>
              <w:spacing w:before="49"/>
              <w:ind w:left="284" w:right="94"/>
              <w:rPr>
                <w:sz w:val="18"/>
              </w:rPr>
            </w:pPr>
            <w:r>
              <w:rPr>
                <w:w w:val="105"/>
                <w:sz w:val="18"/>
              </w:rPr>
              <w:t>45.00 - 50.00 (WS)</w:t>
            </w:r>
          </w:p>
        </w:tc>
      </w:tr>
      <w:tr>
        <w:trPr>
          <w:trHeight w:val="309" w:hRule="atLeast"/>
        </w:trPr>
        <w:tc>
          <w:tcPr>
            <w:tcW w:w="2822" w:type="dxa"/>
            <w:tcBorders>
              <w:top w:val="single" w:sz="6" w:space="0" w:color="69BD28"/>
              <w:bottom w:val="single" w:sz="6" w:space="0" w:color="69BD28"/>
            </w:tcBorders>
          </w:tcPr>
          <w:p>
            <w:pPr>
              <w:pStyle w:val="TableParagraph"/>
              <w:spacing w:before="49"/>
              <w:ind w:left="530" w:right="514"/>
              <w:rPr>
                <w:sz w:val="18"/>
              </w:rPr>
            </w:pPr>
            <w:r>
              <w:rPr>
                <w:w w:val="110"/>
                <w:sz w:val="18"/>
              </w:rPr>
              <w:t>Q2, 2019</w:t>
            </w:r>
          </w:p>
        </w:tc>
        <w:tc>
          <w:tcPr>
            <w:tcW w:w="1864" w:type="dxa"/>
            <w:tcBorders>
              <w:top w:val="single" w:sz="6" w:space="0" w:color="69BD28"/>
              <w:bottom w:val="single" w:sz="6" w:space="0" w:color="69BD28"/>
            </w:tcBorders>
          </w:tcPr>
          <w:p>
            <w:pPr>
              <w:pStyle w:val="TableParagraph"/>
              <w:spacing w:before="49"/>
              <w:ind w:left="589"/>
              <w:jc w:val="left"/>
              <w:rPr>
                <w:sz w:val="18"/>
              </w:rPr>
            </w:pPr>
            <w:r>
              <w:rPr>
                <w:w w:val="110"/>
                <w:sz w:val="18"/>
              </w:rPr>
              <w:t>125,000</w:t>
            </w:r>
          </w:p>
        </w:tc>
        <w:tc>
          <w:tcPr>
            <w:tcW w:w="1532" w:type="dxa"/>
            <w:tcBorders>
              <w:top w:val="single" w:sz="6" w:space="0" w:color="69BD28"/>
              <w:bottom w:val="single" w:sz="6" w:space="0" w:color="69BD28"/>
            </w:tcBorders>
          </w:tcPr>
          <w:p>
            <w:pPr>
              <w:pStyle w:val="TableParagraph"/>
              <w:spacing w:before="49"/>
              <w:ind w:right="324"/>
              <w:jc w:val="right"/>
              <w:rPr>
                <w:sz w:val="18"/>
              </w:rPr>
            </w:pPr>
            <w:r>
              <w:rPr>
                <w:sz w:val="18"/>
              </w:rPr>
              <w:t>Tenant 5</w:t>
            </w:r>
          </w:p>
        </w:tc>
        <w:tc>
          <w:tcPr>
            <w:tcW w:w="4265" w:type="dxa"/>
            <w:tcBorders>
              <w:top w:val="single" w:sz="6" w:space="0" w:color="69BD28"/>
              <w:bottom w:val="single" w:sz="6" w:space="0" w:color="69BD28"/>
            </w:tcBorders>
          </w:tcPr>
          <w:p>
            <w:pPr>
              <w:pStyle w:val="TableParagraph"/>
              <w:spacing w:before="49"/>
              <w:ind w:left="283" w:right="97"/>
              <w:rPr>
                <w:sz w:val="18"/>
              </w:rPr>
            </w:pPr>
            <w:r>
              <w:rPr>
                <w:w w:val="105"/>
                <w:sz w:val="18"/>
              </w:rPr>
              <w:t>60.00 - 65.00 (FF)</w:t>
            </w:r>
          </w:p>
        </w:tc>
      </w:tr>
      <w:tr>
        <w:trPr>
          <w:trHeight w:val="309" w:hRule="atLeast"/>
        </w:trPr>
        <w:tc>
          <w:tcPr>
            <w:tcW w:w="2822" w:type="dxa"/>
            <w:tcBorders>
              <w:top w:val="single" w:sz="6" w:space="0" w:color="69BD28"/>
              <w:bottom w:val="single" w:sz="6" w:space="0" w:color="69BD28"/>
            </w:tcBorders>
          </w:tcPr>
          <w:p>
            <w:pPr>
              <w:pStyle w:val="TableParagraph"/>
              <w:spacing w:before="49"/>
              <w:ind w:left="530" w:right="514"/>
              <w:rPr>
                <w:sz w:val="18"/>
              </w:rPr>
            </w:pPr>
            <w:r>
              <w:rPr>
                <w:w w:val="110"/>
                <w:sz w:val="18"/>
              </w:rPr>
              <w:t>Q2, 2019</w:t>
            </w:r>
          </w:p>
        </w:tc>
        <w:tc>
          <w:tcPr>
            <w:tcW w:w="1864" w:type="dxa"/>
            <w:tcBorders>
              <w:top w:val="single" w:sz="6" w:space="0" w:color="69BD28"/>
              <w:bottom w:val="single" w:sz="6" w:space="0" w:color="69BD28"/>
            </w:tcBorders>
          </w:tcPr>
          <w:p>
            <w:pPr>
              <w:pStyle w:val="TableParagraph"/>
              <w:spacing w:before="49"/>
              <w:ind w:left="589"/>
              <w:jc w:val="left"/>
              <w:rPr>
                <w:sz w:val="18"/>
              </w:rPr>
            </w:pPr>
            <w:r>
              <w:rPr>
                <w:w w:val="110"/>
                <w:sz w:val="18"/>
              </w:rPr>
              <w:t>240,000</w:t>
            </w:r>
          </w:p>
        </w:tc>
        <w:tc>
          <w:tcPr>
            <w:tcW w:w="1532" w:type="dxa"/>
            <w:tcBorders>
              <w:top w:val="single" w:sz="6" w:space="0" w:color="69BD28"/>
              <w:bottom w:val="single" w:sz="6" w:space="0" w:color="69BD28"/>
            </w:tcBorders>
          </w:tcPr>
          <w:p>
            <w:pPr>
              <w:pStyle w:val="TableParagraph"/>
              <w:spacing w:before="49"/>
              <w:ind w:right="324"/>
              <w:jc w:val="right"/>
              <w:rPr>
                <w:sz w:val="18"/>
              </w:rPr>
            </w:pPr>
            <w:r>
              <w:rPr>
                <w:sz w:val="18"/>
              </w:rPr>
              <w:t>Tenant 6</w:t>
            </w:r>
          </w:p>
        </w:tc>
        <w:tc>
          <w:tcPr>
            <w:tcW w:w="4265" w:type="dxa"/>
            <w:tcBorders>
              <w:top w:val="single" w:sz="6" w:space="0" w:color="69BD28"/>
              <w:bottom w:val="single" w:sz="6" w:space="0" w:color="69BD28"/>
            </w:tcBorders>
          </w:tcPr>
          <w:p>
            <w:pPr>
              <w:pStyle w:val="TableParagraph"/>
              <w:spacing w:before="49"/>
              <w:ind w:left="283" w:right="97"/>
              <w:rPr>
                <w:sz w:val="18"/>
              </w:rPr>
            </w:pPr>
            <w:r>
              <w:rPr>
                <w:w w:val="105"/>
                <w:sz w:val="18"/>
              </w:rPr>
              <w:t>60.00 - 65.00 (FF)</w:t>
            </w:r>
          </w:p>
        </w:tc>
      </w:tr>
      <w:tr>
        <w:trPr>
          <w:trHeight w:val="309" w:hRule="atLeast"/>
        </w:trPr>
        <w:tc>
          <w:tcPr>
            <w:tcW w:w="2822" w:type="dxa"/>
            <w:tcBorders>
              <w:top w:val="single" w:sz="6" w:space="0" w:color="69BD28"/>
              <w:bottom w:val="single" w:sz="6" w:space="0" w:color="69BD28"/>
            </w:tcBorders>
          </w:tcPr>
          <w:p>
            <w:pPr>
              <w:pStyle w:val="TableParagraph"/>
              <w:spacing w:before="49"/>
              <w:ind w:left="530" w:right="514"/>
              <w:rPr>
                <w:sz w:val="18"/>
              </w:rPr>
            </w:pPr>
            <w:r>
              <w:rPr>
                <w:w w:val="110"/>
                <w:sz w:val="18"/>
              </w:rPr>
              <w:t>Q1, 2019</w:t>
            </w:r>
          </w:p>
        </w:tc>
        <w:tc>
          <w:tcPr>
            <w:tcW w:w="1864" w:type="dxa"/>
            <w:tcBorders>
              <w:top w:val="single" w:sz="6" w:space="0" w:color="69BD28"/>
              <w:bottom w:val="single" w:sz="6" w:space="0" w:color="69BD28"/>
            </w:tcBorders>
          </w:tcPr>
          <w:p>
            <w:pPr>
              <w:pStyle w:val="TableParagraph"/>
              <w:spacing w:before="49"/>
              <w:ind w:left="619" w:right="613"/>
              <w:rPr>
                <w:sz w:val="18"/>
              </w:rPr>
            </w:pPr>
            <w:r>
              <w:rPr>
                <w:w w:val="110"/>
                <w:sz w:val="18"/>
              </w:rPr>
              <w:t>11,000</w:t>
            </w:r>
          </w:p>
        </w:tc>
        <w:tc>
          <w:tcPr>
            <w:tcW w:w="1532" w:type="dxa"/>
            <w:tcBorders>
              <w:top w:val="single" w:sz="6" w:space="0" w:color="69BD28"/>
              <w:bottom w:val="single" w:sz="6" w:space="0" w:color="69BD28"/>
            </w:tcBorders>
          </w:tcPr>
          <w:p>
            <w:pPr>
              <w:pStyle w:val="TableParagraph"/>
              <w:spacing w:before="49"/>
              <w:ind w:right="324"/>
              <w:jc w:val="right"/>
              <w:rPr>
                <w:sz w:val="18"/>
              </w:rPr>
            </w:pPr>
            <w:r>
              <w:rPr>
                <w:sz w:val="18"/>
              </w:rPr>
              <w:t>Tenant 7</w:t>
            </w:r>
          </w:p>
        </w:tc>
        <w:tc>
          <w:tcPr>
            <w:tcW w:w="4265" w:type="dxa"/>
            <w:tcBorders>
              <w:top w:val="single" w:sz="6" w:space="0" w:color="69BD28"/>
              <w:bottom w:val="single" w:sz="6" w:space="0" w:color="69BD28"/>
            </w:tcBorders>
          </w:tcPr>
          <w:p>
            <w:pPr>
              <w:pStyle w:val="TableParagraph"/>
              <w:spacing w:before="49"/>
              <w:ind w:left="283" w:right="97"/>
              <w:rPr>
                <w:sz w:val="18"/>
              </w:rPr>
            </w:pPr>
            <w:r>
              <w:rPr>
                <w:w w:val="105"/>
                <w:sz w:val="18"/>
              </w:rPr>
              <w:t>60.00 - 65.00 (FF)</w:t>
            </w:r>
          </w:p>
        </w:tc>
      </w:tr>
      <w:tr>
        <w:trPr>
          <w:trHeight w:val="308" w:hRule="atLeast"/>
        </w:trPr>
        <w:tc>
          <w:tcPr>
            <w:tcW w:w="2822" w:type="dxa"/>
            <w:tcBorders>
              <w:top w:val="single" w:sz="6" w:space="0" w:color="69BD28"/>
              <w:bottom w:val="single" w:sz="6" w:space="0" w:color="69BD28"/>
            </w:tcBorders>
          </w:tcPr>
          <w:p>
            <w:pPr>
              <w:pStyle w:val="TableParagraph"/>
              <w:spacing w:before="49"/>
              <w:ind w:left="530" w:right="514"/>
              <w:rPr>
                <w:sz w:val="18"/>
              </w:rPr>
            </w:pPr>
            <w:r>
              <w:rPr>
                <w:w w:val="110"/>
                <w:sz w:val="18"/>
              </w:rPr>
              <w:t>Q1, 2019</w:t>
            </w:r>
          </w:p>
        </w:tc>
        <w:tc>
          <w:tcPr>
            <w:tcW w:w="1864" w:type="dxa"/>
            <w:tcBorders>
              <w:top w:val="single" w:sz="6" w:space="0" w:color="69BD28"/>
              <w:bottom w:val="single" w:sz="6" w:space="0" w:color="69BD28"/>
            </w:tcBorders>
          </w:tcPr>
          <w:p>
            <w:pPr>
              <w:pStyle w:val="TableParagraph"/>
              <w:spacing w:before="49"/>
              <w:ind w:left="619" w:right="613"/>
              <w:rPr>
                <w:sz w:val="18"/>
              </w:rPr>
            </w:pPr>
            <w:r>
              <w:rPr>
                <w:w w:val="110"/>
                <w:sz w:val="18"/>
              </w:rPr>
              <w:t>15,000</w:t>
            </w:r>
          </w:p>
        </w:tc>
        <w:tc>
          <w:tcPr>
            <w:tcW w:w="1532" w:type="dxa"/>
            <w:tcBorders>
              <w:top w:val="single" w:sz="6" w:space="0" w:color="69BD28"/>
              <w:bottom w:val="single" w:sz="6" w:space="0" w:color="69BD28"/>
            </w:tcBorders>
          </w:tcPr>
          <w:p>
            <w:pPr>
              <w:pStyle w:val="TableParagraph"/>
              <w:spacing w:before="49"/>
              <w:ind w:right="324"/>
              <w:jc w:val="right"/>
              <w:rPr>
                <w:sz w:val="18"/>
              </w:rPr>
            </w:pPr>
            <w:r>
              <w:rPr>
                <w:sz w:val="18"/>
              </w:rPr>
              <w:t>Tenant 8</w:t>
            </w:r>
          </w:p>
        </w:tc>
        <w:tc>
          <w:tcPr>
            <w:tcW w:w="4265" w:type="dxa"/>
            <w:tcBorders>
              <w:top w:val="single" w:sz="6" w:space="0" w:color="69BD28"/>
              <w:bottom w:val="single" w:sz="6" w:space="0" w:color="69BD28"/>
            </w:tcBorders>
          </w:tcPr>
          <w:p>
            <w:pPr>
              <w:pStyle w:val="TableParagraph"/>
              <w:spacing w:before="49"/>
              <w:ind w:left="284" w:right="94"/>
              <w:rPr>
                <w:sz w:val="18"/>
              </w:rPr>
            </w:pPr>
            <w:r>
              <w:rPr>
                <w:w w:val="105"/>
                <w:sz w:val="18"/>
              </w:rPr>
              <w:t>38.00 - 42.00 (WS)</w:t>
            </w:r>
          </w:p>
        </w:tc>
      </w:tr>
    </w:tbl>
    <w:p>
      <w:pPr>
        <w:spacing w:after="0"/>
        <w:rPr>
          <w:sz w:val="18"/>
        </w:rPr>
        <w:sectPr>
          <w:pgSz w:w="11910" w:h="16840"/>
          <w:pgMar w:header="720" w:footer="921" w:top="1660" w:bottom="1120" w:left="460" w:right="480"/>
        </w:sectPr>
      </w:pPr>
    </w:p>
    <w:p>
      <w:pPr>
        <w:pStyle w:val="BodyText"/>
        <w:rPr>
          <w:sz w:val="19"/>
        </w:rPr>
      </w:pPr>
    </w:p>
    <w:tbl>
      <w:tblPr>
        <w:tblW w:w="0" w:type="auto"/>
        <w:jc w:val="left"/>
        <w:tblInd w:w="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15"/>
        <w:gridCol w:w="1865"/>
        <w:gridCol w:w="1533"/>
        <w:gridCol w:w="4266"/>
      </w:tblGrid>
      <w:tr>
        <w:trPr>
          <w:trHeight w:val="309" w:hRule="atLeast"/>
        </w:trPr>
        <w:tc>
          <w:tcPr>
            <w:tcW w:w="2815" w:type="dxa"/>
            <w:tcBorders>
              <w:top w:val="single" w:sz="6" w:space="0" w:color="69BD28"/>
              <w:bottom w:val="single" w:sz="6" w:space="0" w:color="69BD28"/>
            </w:tcBorders>
            <w:shd w:val="clear" w:color="auto" w:fill="006A4D"/>
          </w:tcPr>
          <w:p>
            <w:pPr>
              <w:pStyle w:val="TableParagraph"/>
              <w:spacing w:before="49"/>
              <w:ind w:left="526" w:right="515"/>
              <w:rPr>
                <w:b/>
                <w:sz w:val="18"/>
              </w:rPr>
            </w:pPr>
            <w:r>
              <w:rPr>
                <w:b/>
                <w:color w:val="FFFFFF"/>
                <w:w w:val="105"/>
                <w:sz w:val="18"/>
              </w:rPr>
              <w:t>Date of Transaction</w:t>
            </w:r>
          </w:p>
        </w:tc>
        <w:tc>
          <w:tcPr>
            <w:tcW w:w="1865" w:type="dxa"/>
            <w:tcBorders>
              <w:top w:val="single" w:sz="6" w:space="0" w:color="69BD28"/>
              <w:bottom w:val="single" w:sz="6" w:space="0" w:color="69BD28"/>
            </w:tcBorders>
            <w:shd w:val="clear" w:color="auto" w:fill="006A4D"/>
          </w:tcPr>
          <w:p>
            <w:pPr>
              <w:pStyle w:val="TableParagraph"/>
              <w:spacing w:before="49"/>
              <w:ind w:left="478" w:right="474"/>
              <w:rPr>
                <w:b/>
                <w:sz w:val="18"/>
              </w:rPr>
            </w:pPr>
            <w:r>
              <w:rPr>
                <w:b/>
                <w:color w:val="FFFFFF"/>
                <w:w w:val="110"/>
                <w:sz w:val="18"/>
              </w:rPr>
              <w:t>Area (sft)</w:t>
            </w:r>
          </w:p>
        </w:tc>
        <w:tc>
          <w:tcPr>
            <w:tcW w:w="1533" w:type="dxa"/>
            <w:tcBorders>
              <w:top w:val="single" w:sz="6" w:space="0" w:color="69BD28"/>
              <w:bottom w:val="single" w:sz="6" w:space="0" w:color="69BD28"/>
            </w:tcBorders>
            <w:shd w:val="clear" w:color="auto" w:fill="006A4D"/>
          </w:tcPr>
          <w:p>
            <w:pPr>
              <w:pStyle w:val="TableParagraph"/>
              <w:spacing w:before="49"/>
              <w:ind w:right="360"/>
              <w:jc w:val="right"/>
              <w:rPr>
                <w:b/>
                <w:sz w:val="18"/>
              </w:rPr>
            </w:pPr>
            <w:r>
              <w:rPr>
                <w:b/>
                <w:color w:val="FFFFFF"/>
                <w:w w:val="105"/>
                <w:sz w:val="18"/>
              </w:rPr>
              <w:t>Tenant</w:t>
            </w:r>
          </w:p>
        </w:tc>
        <w:tc>
          <w:tcPr>
            <w:tcW w:w="4266" w:type="dxa"/>
            <w:tcBorders>
              <w:top w:val="single" w:sz="6" w:space="0" w:color="69BD28"/>
              <w:bottom w:val="single" w:sz="6" w:space="0" w:color="69BD28"/>
            </w:tcBorders>
            <w:shd w:val="clear" w:color="auto" w:fill="006A4D"/>
          </w:tcPr>
          <w:p>
            <w:pPr>
              <w:pStyle w:val="TableParagraph"/>
              <w:spacing w:before="49"/>
              <w:ind w:left="281" w:right="100"/>
              <w:rPr>
                <w:b/>
                <w:sz w:val="18"/>
              </w:rPr>
            </w:pPr>
            <w:r>
              <w:rPr>
                <w:b/>
                <w:color w:val="FFFFFF"/>
                <w:w w:val="110"/>
                <w:sz w:val="18"/>
              </w:rPr>
              <w:t>Transacted Rental Value (INR/sft/month)*</w:t>
            </w:r>
          </w:p>
        </w:tc>
      </w:tr>
      <w:tr>
        <w:trPr>
          <w:trHeight w:val="308" w:hRule="atLeast"/>
        </w:trPr>
        <w:tc>
          <w:tcPr>
            <w:tcW w:w="2815" w:type="dxa"/>
            <w:tcBorders>
              <w:top w:val="single" w:sz="6" w:space="0" w:color="69BD28"/>
              <w:bottom w:val="single" w:sz="6" w:space="0" w:color="69BD28"/>
            </w:tcBorders>
          </w:tcPr>
          <w:p>
            <w:pPr>
              <w:pStyle w:val="TableParagraph"/>
              <w:spacing w:before="49"/>
              <w:ind w:left="524" w:right="515"/>
              <w:rPr>
                <w:sz w:val="18"/>
              </w:rPr>
            </w:pPr>
            <w:r>
              <w:rPr>
                <w:w w:val="110"/>
                <w:sz w:val="18"/>
              </w:rPr>
              <w:t>Q1, 2019</w:t>
            </w:r>
          </w:p>
        </w:tc>
        <w:tc>
          <w:tcPr>
            <w:tcW w:w="1865" w:type="dxa"/>
            <w:tcBorders>
              <w:top w:val="single" w:sz="6" w:space="0" w:color="69BD28"/>
              <w:bottom w:val="single" w:sz="6" w:space="0" w:color="69BD28"/>
            </w:tcBorders>
          </w:tcPr>
          <w:p>
            <w:pPr>
              <w:pStyle w:val="TableParagraph"/>
              <w:spacing w:before="49"/>
              <w:ind w:left="478" w:right="474"/>
              <w:rPr>
                <w:sz w:val="18"/>
              </w:rPr>
            </w:pPr>
            <w:r>
              <w:rPr>
                <w:w w:val="105"/>
                <w:sz w:val="18"/>
              </w:rPr>
              <w:t>25,000</w:t>
            </w:r>
          </w:p>
        </w:tc>
        <w:tc>
          <w:tcPr>
            <w:tcW w:w="1533" w:type="dxa"/>
            <w:tcBorders>
              <w:top w:val="single" w:sz="6" w:space="0" w:color="69BD28"/>
              <w:bottom w:val="single" w:sz="6" w:space="0" w:color="69BD28"/>
            </w:tcBorders>
          </w:tcPr>
          <w:p>
            <w:pPr>
              <w:pStyle w:val="TableParagraph"/>
              <w:spacing w:before="49"/>
              <w:ind w:right="326"/>
              <w:jc w:val="right"/>
              <w:rPr>
                <w:sz w:val="18"/>
              </w:rPr>
            </w:pPr>
            <w:r>
              <w:rPr>
                <w:sz w:val="18"/>
              </w:rPr>
              <w:t>Tenant 9</w:t>
            </w:r>
          </w:p>
        </w:tc>
        <w:tc>
          <w:tcPr>
            <w:tcW w:w="4266" w:type="dxa"/>
            <w:tcBorders>
              <w:top w:val="single" w:sz="6" w:space="0" w:color="69BD28"/>
              <w:bottom w:val="single" w:sz="6" w:space="0" w:color="69BD28"/>
            </w:tcBorders>
          </w:tcPr>
          <w:p>
            <w:pPr>
              <w:pStyle w:val="TableParagraph"/>
              <w:spacing w:before="49"/>
              <w:ind w:left="280" w:right="100"/>
              <w:rPr>
                <w:sz w:val="18"/>
              </w:rPr>
            </w:pPr>
            <w:r>
              <w:rPr>
                <w:w w:val="105"/>
                <w:sz w:val="18"/>
              </w:rPr>
              <w:t>58.00 - 62.00 (FF)</w:t>
            </w:r>
          </w:p>
        </w:tc>
      </w:tr>
    </w:tbl>
    <w:p>
      <w:pPr>
        <w:spacing w:line="321" w:lineRule="auto" w:before="116"/>
        <w:ind w:left="260" w:right="0" w:firstLine="0"/>
        <w:jc w:val="left"/>
        <w:rPr>
          <w:i/>
          <w:sz w:val="18"/>
        </w:rPr>
      </w:pPr>
      <w:r>
        <w:rPr>
          <w:i/>
          <w:sz w:val="18"/>
        </w:rPr>
        <w:t>Source:</w:t>
      </w:r>
      <w:r>
        <w:rPr>
          <w:i/>
          <w:spacing w:val="-23"/>
          <w:sz w:val="18"/>
        </w:rPr>
        <w:t> </w:t>
      </w:r>
      <w:r>
        <w:rPr>
          <w:i/>
          <w:sz w:val="18"/>
        </w:rPr>
        <w:t>CBRE</w:t>
      </w:r>
      <w:r>
        <w:rPr>
          <w:i/>
          <w:spacing w:val="-21"/>
          <w:sz w:val="18"/>
        </w:rPr>
        <w:t> </w:t>
      </w:r>
      <w:r>
        <w:rPr>
          <w:i/>
          <w:sz w:val="18"/>
        </w:rPr>
        <w:t>Research*</w:t>
      </w:r>
      <w:r>
        <w:rPr>
          <w:i/>
          <w:spacing w:val="-22"/>
          <w:sz w:val="18"/>
        </w:rPr>
        <w:t> </w:t>
      </w:r>
      <w:r>
        <w:rPr>
          <w:i/>
          <w:sz w:val="18"/>
        </w:rPr>
        <w:t>Rentals</w:t>
      </w:r>
      <w:r>
        <w:rPr>
          <w:i/>
          <w:spacing w:val="-22"/>
          <w:sz w:val="18"/>
        </w:rPr>
        <w:t> </w:t>
      </w:r>
      <w:r>
        <w:rPr>
          <w:i/>
          <w:sz w:val="18"/>
        </w:rPr>
        <w:t>are</w:t>
      </w:r>
      <w:r>
        <w:rPr>
          <w:i/>
          <w:spacing w:val="-23"/>
          <w:sz w:val="18"/>
        </w:rPr>
        <w:t> </w:t>
      </w:r>
      <w:r>
        <w:rPr>
          <w:i/>
          <w:sz w:val="18"/>
        </w:rPr>
        <w:t>gross</w:t>
      </w:r>
      <w:r>
        <w:rPr>
          <w:i/>
          <w:spacing w:val="-22"/>
          <w:sz w:val="18"/>
        </w:rPr>
        <w:t> </w:t>
      </w:r>
      <w:r>
        <w:rPr>
          <w:i/>
          <w:sz w:val="18"/>
        </w:rPr>
        <w:t>rentals</w:t>
      </w:r>
      <w:r>
        <w:rPr>
          <w:i/>
          <w:spacing w:val="-23"/>
          <w:sz w:val="18"/>
        </w:rPr>
        <w:t> </w:t>
      </w:r>
      <w:r>
        <w:rPr>
          <w:i/>
          <w:sz w:val="18"/>
        </w:rPr>
        <w:t>(viz.</w:t>
      </w:r>
      <w:r>
        <w:rPr>
          <w:i/>
          <w:spacing w:val="-23"/>
          <w:sz w:val="18"/>
        </w:rPr>
        <w:t> </w:t>
      </w:r>
      <w:r>
        <w:rPr>
          <w:i/>
          <w:sz w:val="18"/>
        </w:rPr>
        <w:t>exclusive</w:t>
      </w:r>
      <w:r>
        <w:rPr>
          <w:i/>
          <w:spacing w:val="-22"/>
          <w:sz w:val="18"/>
        </w:rPr>
        <w:t> </w:t>
      </w:r>
      <w:r>
        <w:rPr>
          <w:i/>
          <w:sz w:val="18"/>
        </w:rPr>
        <w:t>of</w:t>
      </w:r>
      <w:r>
        <w:rPr>
          <w:i/>
          <w:spacing w:val="-22"/>
          <w:sz w:val="18"/>
        </w:rPr>
        <w:t> </w:t>
      </w:r>
      <w:r>
        <w:rPr>
          <w:i/>
          <w:sz w:val="18"/>
        </w:rPr>
        <w:t>property</w:t>
      </w:r>
      <w:r>
        <w:rPr>
          <w:i/>
          <w:spacing w:val="-23"/>
          <w:sz w:val="18"/>
        </w:rPr>
        <w:t> </w:t>
      </w:r>
      <w:r>
        <w:rPr>
          <w:i/>
          <w:sz w:val="18"/>
        </w:rPr>
        <w:t>tax</w:t>
      </w:r>
      <w:r>
        <w:rPr>
          <w:i/>
          <w:spacing w:val="-24"/>
          <w:sz w:val="18"/>
        </w:rPr>
        <w:t> </w:t>
      </w:r>
      <w:r>
        <w:rPr>
          <w:i/>
          <w:sz w:val="18"/>
        </w:rPr>
        <w:t>&amp;</w:t>
      </w:r>
      <w:r>
        <w:rPr>
          <w:i/>
          <w:spacing w:val="-23"/>
          <w:sz w:val="18"/>
        </w:rPr>
        <w:t> </w:t>
      </w:r>
      <w:r>
        <w:rPr>
          <w:i/>
          <w:sz w:val="18"/>
        </w:rPr>
        <w:t>insurance)</w:t>
      </w:r>
      <w:r>
        <w:rPr>
          <w:i/>
          <w:spacing w:val="-25"/>
          <w:sz w:val="18"/>
        </w:rPr>
        <w:t> </w:t>
      </w:r>
      <w:r>
        <w:rPr>
          <w:i/>
          <w:sz w:val="18"/>
        </w:rPr>
        <w:t>on</w:t>
      </w:r>
      <w:r>
        <w:rPr>
          <w:i/>
          <w:spacing w:val="-21"/>
          <w:sz w:val="18"/>
        </w:rPr>
        <w:t> </w:t>
      </w:r>
      <w:r>
        <w:rPr>
          <w:i/>
          <w:sz w:val="18"/>
        </w:rPr>
        <w:t>leasable</w:t>
      </w:r>
      <w:r>
        <w:rPr>
          <w:i/>
          <w:spacing w:val="-24"/>
          <w:sz w:val="18"/>
        </w:rPr>
        <w:t> </w:t>
      </w:r>
      <w:r>
        <w:rPr>
          <w:i/>
          <w:sz w:val="18"/>
        </w:rPr>
        <w:t>area</w:t>
      </w:r>
      <w:r>
        <w:rPr>
          <w:i/>
          <w:spacing w:val="-23"/>
          <w:sz w:val="18"/>
        </w:rPr>
        <w:t> </w:t>
      </w:r>
      <w:r>
        <w:rPr>
          <w:i/>
          <w:sz w:val="18"/>
        </w:rPr>
        <w:t>basis;</w:t>
      </w:r>
      <w:r>
        <w:rPr>
          <w:i/>
          <w:spacing w:val="-14"/>
          <w:sz w:val="18"/>
        </w:rPr>
        <w:t> </w:t>
      </w:r>
      <w:r>
        <w:rPr>
          <w:i/>
          <w:sz w:val="18"/>
        </w:rPr>
        <w:t>Note:</w:t>
      </w:r>
      <w:r>
        <w:rPr>
          <w:i/>
          <w:spacing w:val="-24"/>
          <w:sz w:val="18"/>
        </w:rPr>
        <w:t> </w:t>
      </w:r>
      <w:r>
        <w:rPr>
          <w:i/>
          <w:sz w:val="18"/>
        </w:rPr>
        <w:t>WS</w:t>
      </w:r>
      <w:r>
        <w:rPr>
          <w:i/>
          <w:spacing w:val="-22"/>
          <w:sz w:val="18"/>
        </w:rPr>
        <w:t> </w:t>
      </w:r>
      <w:r>
        <w:rPr>
          <w:i/>
          <w:w w:val="105"/>
          <w:sz w:val="18"/>
        </w:rPr>
        <w:t>–</w:t>
      </w:r>
      <w:r>
        <w:rPr>
          <w:i/>
          <w:spacing w:val="-25"/>
          <w:w w:val="105"/>
          <w:sz w:val="18"/>
        </w:rPr>
        <w:t> </w:t>
      </w:r>
      <w:r>
        <w:rPr>
          <w:i/>
          <w:sz w:val="18"/>
        </w:rPr>
        <w:t>Warm </w:t>
      </w:r>
      <w:r>
        <w:rPr>
          <w:i/>
          <w:sz w:val="18"/>
        </w:rPr>
        <w:t>shell; FF </w:t>
      </w:r>
      <w:r>
        <w:rPr>
          <w:i/>
          <w:w w:val="105"/>
          <w:sz w:val="18"/>
        </w:rPr>
        <w:t>– </w:t>
      </w:r>
      <w:r>
        <w:rPr>
          <w:i/>
          <w:sz w:val="18"/>
        </w:rPr>
        <w:t>Fully</w:t>
      </w:r>
      <w:r>
        <w:rPr>
          <w:i/>
          <w:spacing w:val="-15"/>
          <w:sz w:val="18"/>
        </w:rPr>
        <w:t> </w:t>
      </w:r>
      <w:r>
        <w:rPr>
          <w:i/>
          <w:sz w:val="18"/>
        </w:rPr>
        <w:t>Fitted-out</w:t>
      </w:r>
    </w:p>
    <w:p>
      <w:pPr>
        <w:pStyle w:val="BodyText"/>
        <w:rPr>
          <w:i/>
        </w:rPr>
      </w:pPr>
    </w:p>
    <w:p>
      <w:pPr>
        <w:pStyle w:val="BodyText"/>
        <w:spacing w:line="321" w:lineRule="auto" w:before="148"/>
        <w:ind w:left="822" w:right="233"/>
        <w:jc w:val="both"/>
      </w:pPr>
      <w:r>
        <w:rPr/>
        <w:t>Given the attributes such as location, connectivity, support infrastructure (residential &amp; social </w:t>
      </w:r>
      <w:r>
        <w:rPr>
          <w:w w:val="95"/>
        </w:rPr>
        <w:t>developments),</w:t>
      </w:r>
      <w:r>
        <w:rPr>
          <w:spacing w:val="-8"/>
          <w:w w:val="95"/>
        </w:rPr>
        <w:t> </w:t>
      </w:r>
      <w:r>
        <w:rPr>
          <w:w w:val="95"/>
        </w:rPr>
        <w:t>planned</w:t>
      </w:r>
      <w:r>
        <w:rPr>
          <w:spacing w:val="-7"/>
          <w:w w:val="95"/>
        </w:rPr>
        <w:t> </w:t>
      </w:r>
      <w:r>
        <w:rPr>
          <w:w w:val="95"/>
        </w:rPr>
        <w:t>infrastructure</w:t>
      </w:r>
      <w:r>
        <w:rPr>
          <w:spacing w:val="-7"/>
          <w:w w:val="95"/>
        </w:rPr>
        <w:t> </w:t>
      </w:r>
      <w:r>
        <w:rPr>
          <w:w w:val="95"/>
        </w:rPr>
        <w:t>initiatives,</w:t>
      </w:r>
      <w:r>
        <w:rPr>
          <w:spacing w:val="-7"/>
          <w:w w:val="95"/>
        </w:rPr>
        <w:t> </w:t>
      </w:r>
      <w:r>
        <w:rPr>
          <w:w w:val="95"/>
        </w:rPr>
        <w:t>strong</w:t>
      </w:r>
      <w:r>
        <w:rPr>
          <w:spacing w:val="-8"/>
          <w:w w:val="95"/>
        </w:rPr>
        <w:t> </w:t>
      </w:r>
      <w:r>
        <w:rPr>
          <w:w w:val="95"/>
        </w:rPr>
        <w:t>investor</w:t>
      </w:r>
      <w:r>
        <w:rPr>
          <w:spacing w:val="-8"/>
          <w:w w:val="95"/>
        </w:rPr>
        <w:t> </w:t>
      </w:r>
      <w:r>
        <w:rPr>
          <w:w w:val="95"/>
        </w:rPr>
        <w:t>and</w:t>
      </w:r>
      <w:r>
        <w:rPr>
          <w:spacing w:val="-8"/>
          <w:w w:val="95"/>
        </w:rPr>
        <w:t> </w:t>
      </w:r>
      <w:r>
        <w:rPr>
          <w:w w:val="95"/>
        </w:rPr>
        <w:t>corporates</w:t>
      </w:r>
      <w:r>
        <w:rPr>
          <w:spacing w:val="-6"/>
          <w:w w:val="95"/>
        </w:rPr>
        <w:t> </w:t>
      </w:r>
      <w:r>
        <w:rPr>
          <w:w w:val="95"/>
        </w:rPr>
        <w:t>interest,</w:t>
      </w:r>
      <w:r>
        <w:rPr>
          <w:spacing w:val="-8"/>
          <w:w w:val="95"/>
        </w:rPr>
        <w:t> </w:t>
      </w:r>
      <w:r>
        <w:rPr>
          <w:w w:val="95"/>
        </w:rPr>
        <w:t>and</w:t>
      </w:r>
      <w:r>
        <w:rPr>
          <w:spacing w:val="-7"/>
          <w:w w:val="95"/>
        </w:rPr>
        <w:t> </w:t>
      </w:r>
      <w:r>
        <w:rPr>
          <w:w w:val="95"/>
        </w:rPr>
        <w:t>the</w:t>
      </w:r>
      <w:r>
        <w:rPr>
          <w:spacing w:val="-8"/>
          <w:w w:val="95"/>
        </w:rPr>
        <w:t> </w:t>
      </w:r>
      <w:r>
        <w:rPr>
          <w:w w:val="95"/>
        </w:rPr>
        <w:t>nature </w:t>
      </w:r>
      <w:r>
        <w:rPr/>
        <w:t>of</w:t>
      </w:r>
      <w:r>
        <w:rPr>
          <w:spacing w:val="-11"/>
        </w:rPr>
        <w:t> </w:t>
      </w:r>
      <w:r>
        <w:rPr/>
        <w:t>operations,</w:t>
      </w:r>
      <w:r>
        <w:rPr>
          <w:spacing w:val="-11"/>
        </w:rPr>
        <w:t> </w:t>
      </w:r>
      <w:r>
        <w:rPr/>
        <w:t>demand</w:t>
      </w:r>
      <w:r>
        <w:rPr>
          <w:spacing w:val="-11"/>
        </w:rPr>
        <w:t> </w:t>
      </w:r>
      <w:r>
        <w:rPr/>
        <w:t>for</w:t>
      </w:r>
      <w:r>
        <w:rPr>
          <w:spacing w:val="-12"/>
        </w:rPr>
        <w:t> </w:t>
      </w:r>
      <w:r>
        <w:rPr/>
        <w:t>commercial</w:t>
      </w:r>
      <w:r>
        <w:rPr>
          <w:spacing w:val="-11"/>
        </w:rPr>
        <w:t> </w:t>
      </w:r>
      <w:r>
        <w:rPr/>
        <w:t>real</w:t>
      </w:r>
      <w:r>
        <w:rPr>
          <w:spacing w:val="-12"/>
        </w:rPr>
        <w:t> </w:t>
      </w:r>
      <w:r>
        <w:rPr/>
        <w:t>estate</w:t>
      </w:r>
      <w:r>
        <w:rPr>
          <w:spacing w:val="-12"/>
        </w:rPr>
        <w:t> </w:t>
      </w:r>
      <w:r>
        <w:rPr/>
        <w:t>is</w:t>
      </w:r>
      <w:r>
        <w:rPr>
          <w:spacing w:val="-11"/>
        </w:rPr>
        <w:t> </w:t>
      </w:r>
      <w:r>
        <w:rPr/>
        <w:t>expected</w:t>
      </w:r>
      <w:r>
        <w:rPr>
          <w:spacing w:val="-10"/>
        </w:rPr>
        <w:t> </w:t>
      </w:r>
      <w:r>
        <w:rPr/>
        <w:t>to</w:t>
      </w:r>
      <w:r>
        <w:rPr>
          <w:spacing w:val="-11"/>
        </w:rPr>
        <w:t> </w:t>
      </w:r>
      <w:r>
        <w:rPr/>
        <w:t>remain</w:t>
      </w:r>
      <w:r>
        <w:rPr>
          <w:spacing w:val="-10"/>
        </w:rPr>
        <w:t> </w:t>
      </w:r>
      <w:r>
        <w:rPr/>
        <w:t>stable</w:t>
      </w:r>
      <w:r>
        <w:rPr>
          <w:spacing w:val="-12"/>
        </w:rPr>
        <w:t> </w:t>
      </w:r>
      <w:r>
        <w:rPr/>
        <w:t>in</w:t>
      </w:r>
      <w:r>
        <w:rPr>
          <w:spacing w:val="-12"/>
        </w:rPr>
        <w:t> </w:t>
      </w:r>
      <w:r>
        <w:rPr/>
        <w:t>the</w:t>
      </w:r>
      <w:r>
        <w:rPr>
          <w:spacing w:val="-7"/>
        </w:rPr>
        <w:t> </w:t>
      </w:r>
      <w:r>
        <w:rPr/>
        <w:t>western</w:t>
      </w:r>
      <w:r>
        <w:rPr>
          <w:spacing w:val="-11"/>
        </w:rPr>
        <w:t> </w:t>
      </w:r>
      <w:r>
        <w:rPr/>
        <w:t>part</w:t>
      </w:r>
      <w:r>
        <w:rPr>
          <w:spacing w:val="-11"/>
        </w:rPr>
        <w:t> </w:t>
      </w:r>
      <w:r>
        <w:rPr/>
        <w:t>of Pune.</w:t>
      </w:r>
      <w:r>
        <w:rPr>
          <w:spacing w:val="-35"/>
        </w:rPr>
        <w:t> </w:t>
      </w:r>
      <w:r>
        <w:rPr/>
        <w:t>Further,</w:t>
      </w:r>
      <w:r>
        <w:rPr>
          <w:spacing w:val="-34"/>
        </w:rPr>
        <w:t> </w:t>
      </w:r>
      <w:r>
        <w:rPr/>
        <w:t>due</w:t>
      </w:r>
      <w:r>
        <w:rPr>
          <w:spacing w:val="-35"/>
        </w:rPr>
        <w:t> </w:t>
      </w:r>
      <w:r>
        <w:rPr/>
        <w:t>to</w:t>
      </w:r>
      <w:r>
        <w:rPr>
          <w:spacing w:val="-34"/>
        </w:rPr>
        <w:t> </w:t>
      </w:r>
      <w:r>
        <w:rPr/>
        <w:t>availability</w:t>
      </w:r>
      <w:r>
        <w:rPr>
          <w:spacing w:val="-33"/>
        </w:rPr>
        <w:t> </w:t>
      </w:r>
      <w:r>
        <w:rPr/>
        <w:t>of</w:t>
      </w:r>
      <w:r>
        <w:rPr>
          <w:spacing w:val="-34"/>
        </w:rPr>
        <w:t> </w:t>
      </w:r>
      <w:r>
        <w:rPr/>
        <w:t>larger</w:t>
      </w:r>
      <w:r>
        <w:rPr>
          <w:spacing w:val="-35"/>
        </w:rPr>
        <w:t> </w:t>
      </w:r>
      <w:r>
        <w:rPr/>
        <w:t>sized</w:t>
      </w:r>
      <w:r>
        <w:rPr>
          <w:spacing w:val="-34"/>
        </w:rPr>
        <w:t> </w:t>
      </w:r>
      <w:r>
        <w:rPr/>
        <w:t>land</w:t>
      </w:r>
      <w:r>
        <w:rPr>
          <w:spacing w:val="-33"/>
        </w:rPr>
        <w:t> </w:t>
      </w:r>
      <w:r>
        <w:rPr/>
        <w:t>parcels,</w:t>
      </w:r>
      <w:r>
        <w:rPr>
          <w:spacing w:val="-35"/>
        </w:rPr>
        <w:t> </w:t>
      </w:r>
      <w:r>
        <w:rPr/>
        <w:t>and</w:t>
      </w:r>
      <w:r>
        <w:rPr>
          <w:spacing w:val="-34"/>
        </w:rPr>
        <w:t> </w:t>
      </w:r>
      <w:r>
        <w:rPr/>
        <w:t>competitive</w:t>
      </w:r>
      <w:r>
        <w:rPr>
          <w:spacing w:val="-32"/>
        </w:rPr>
        <w:t> </w:t>
      </w:r>
      <w:r>
        <w:rPr/>
        <w:t>capital</w:t>
      </w:r>
      <w:r>
        <w:rPr>
          <w:spacing w:val="-34"/>
        </w:rPr>
        <w:t> </w:t>
      </w:r>
      <w:r>
        <w:rPr/>
        <w:t>and</w:t>
      </w:r>
      <w:r>
        <w:rPr>
          <w:spacing w:val="-33"/>
        </w:rPr>
        <w:t> </w:t>
      </w:r>
      <w:r>
        <w:rPr/>
        <w:t>rentals</w:t>
      </w:r>
      <w:r>
        <w:rPr>
          <w:spacing w:val="-34"/>
        </w:rPr>
        <w:t> </w:t>
      </w:r>
      <w:r>
        <w:rPr/>
        <w:t>values vis-à-vis</w:t>
      </w:r>
      <w:r>
        <w:rPr>
          <w:spacing w:val="-13"/>
        </w:rPr>
        <w:t> </w:t>
      </w:r>
      <w:r>
        <w:rPr/>
        <w:t>other</w:t>
      </w:r>
      <w:r>
        <w:rPr>
          <w:spacing w:val="-13"/>
        </w:rPr>
        <w:t> </w:t>
      </w:r>
      <w:r>
        <w:rPr/>
        <w:t>peripheral</w:t>
      </w:r>
      <w:r>
        <w:rPr>
          <w:spacing w:val="-14"/>
        </w:rPr>
        <w:t> </w:t>
      </w:r>
      <w:r>
        <w:rPr/>
        <w:t>locations</w:t>
      </w:r>
      <w:r>
        <w:rPr>
          <w:spacing w:val="-13"/>
        </w:rPr>
        <w:t> </w:t>
      </w:r>
      <w:r>
        <w:rPr/>
        <w:t>such</w:t>
      </w:r>
      <w:r>
        <w:rPr>
          <w:spacing w:val="-13"/>
        </w:rPr>
        <w:t> </w:t>
      </w:r>
      <w:r>
        <w:rPr/>
        <w:t>as</w:t>
      </w:r>
      <w:r>
        <w:rPr>
          <w:spacing w:val="-11"/>
        </w:rPr>
        <w:t> </w:t>
      </w:r>
      <w:r>
        <w:rPr/>
        <w:t>East</w:t>
      </w:r>
      <w:r>
        <w:rPr>
          <w:spacing w:val="-13"/>
        </w:rPr>
        <w:t> </w:t>
      </w:r>
      <w:r>
        <w:rPr/>
        <w:t>Pune,</w:t>
      </w:r>
      <w:r>
        <w:rPr>
          <w:spacing w:val="-12"/>
        </w:rPr>
        <w:t> </w:t>
      </w:r>
      <w:r>
        <w:rPr/>
        <w:t>sustained</w:t>
      </w:r>
      <w:r>
        <w:rPr>
          <w:spacing w:val="-12"/>
        </w:rPr>
        <w:t> </w:t>
      </w:r>
      <w:r>
        <w:rPr/>
        <w:t>occupier</w:t>
      </w:r>
      <w:r>
        <w:rPr>
          <w:spacing w:val="-13"/>
        </w:rPr>
        <w:t> </w:t>
      </w:r>
      <w:r>
        <w:rPr/>
        <w:t>interest</w:t>
      </w:r>
      <w:r>
        <w:rPr>
          <w:spacing w:val="-12"/>
        </w:rPr>
        <w:t> </w:t>
      </w:r>
      <w:r>
        <w:rPr/>
        <w:t>is</w:t>
      </w:r>
      <w:r>
        <w:rPr>
          <w:spacing w:val="-13"/>
        </w:rPr>
        <w:t> </w:t>
      </w:r>
      <w:r>
        <w:rPr/>
        <w:t>envisaged</w:t>
      </w:r>
      <w:r>
        <w:rPr>
          <w:spacing w:val="-11"/>
        </w:rPr>
        <w:t> </w:t>
      </w:r>
      <w:r>
        <w:rPr/>
        <w:t>for</w:t>
      </w:r>
      <w:r>
        <w:rPr>
          <w:spacing w:val="-13"/>
        </w:rPr>
        <w:t> </w:t>
      </w:r>
      <w:r>
        <w:rPr/>
        <w:t>the larger</w:t>
      </w:r>
      <w:r>
        <w:rPr>
          <w:spacing w:val="-35"/>
        </w:rPr>
        <w:t> </w:t>
      </w:r>
      <w:r>
        <w:rPr/>
        <w:t>market.</w:t>
      </w:r>
      <w:r>
        <w:rPr>
          <w:spacing w:val="-34"/>
        </w:rPr>
        <w:t> </w:t>
      </w:r>
      <w:r>
        <w:rPr/>
        <w:t>A</w:t>
      </w:r>
      <w:r>
        <w:rPr>
          <w:spacing w:val="-33"/>
        </w:rPr>
        <w:t> </w:t>
      </w:r>
      <w:r>
        <w:rPr/>
        <w:t>stable</w:t>
      </w:r>
      <w:r>
        <w:rPr>
          <w:spacing w:val="-35"/>
        </w:rPr>
        <w:t> </w:t>
      </w:r>
      <w:r>
        <w:rPr/>
        <w:t>demand</w:t>
      </w:r>
      <w:r>
        <w:rPr>
          <w:spacing w:val="-34"/>
        </w:rPr>
        <w:t> </w:t>
      </w:r>
      <w:r>
        <w:rPr/>
        <w:t>pipeline</w:t>
      </w:r>
      <w:r>
        <w:rPr>
          <w:spacing w:val="-35"/>
        </w:rPr>
        <w:t> </w:t>
      </w:r>
      <w:r>
        <w:rPr/>
        <w:t>for</w:t>
      </w:r>
      <w:r>
        <w:rPr>
          <w:spacing w:val="-34"/>
        </w:rPr>
        <w:t> </w:t>
      </w:r>
      <w:r>
        <w:rPr/>
        <w:t>the</w:t>
      </w:r>
      <w:r>
        <w:rPr>
          <w:spacing w:val="-35"/>
        </w:rPr>
        <w:t> </w:t>
      </w:r>
      <w:r>
        <w:rPr/>
        <w:t>under</w:t>
      </w:r>
      <w:r>
        <w:rPr>
          <w:spacing w:val="-34"/>
        </w:rPr>
        <w:t> </w:t>
      </w:r>
      <w:r>
        <w:rPr/>
        <w:t>construction/land</w:t>
      </w:r>
      <w:r>
        <w:rPr>
          <w:spacing w:val="-34"/>
        </w:rPr>
        <w:t> </w:t>
      </w:r>
      <w:r>
        <w:rPr/>
        <w:t>stage</w:t>
      </w:r>
      <w:r>
        <w:rPr>
          <w:spacing w:val="-35"/>
        </w:rPr>
        <w:t> </w:t>
      </w:r>
      <w:r>
        <w:rPr/>
        <w:t>buildings</w:t>
      </w:r>
      <w:r>
        <w:rPr>
          <w:spacing w:val="-32"/>
        </w:rPr>
        <w:t> </w:t>
      </w:r>
      <w:r>
        <w:rPr/>
        <w:t>is</w:t>
      </w:r>
      <w:r>
        <w:rPr>
          <w:spacing w:val="-34"/>
        </w:rPr>
        <w:t> </w:t>
      </w:r>
      <w:r>
        <w:rPr/>
        <w:t>expected</w:t>
      </w:r>
      <w:r>
        <w:rPr>
          <w:spacing w:val="-35"/>
        </w:rPr>
        <w:t> </w:t>
      </w:r>
      <w:r>
        <w:rPr/>
        <w:t>and thus</w:t>
      </w:r>
      <w:r>
        <w:rPr>
          <w:spacing w:val="-38"/>
        </w:rPr>
        <w:t> </w:t>
      </w:r>
      <w:r>
        <w:rPr/>
        <w:t>rentals</w:t>
      </w:r>
      <w:r>
        <w:rPr>
          <w:spacing w:val="-37"/>
        </w:rPr>
        <w:t> </w:t>
      </w:r>
      <w:r>
        <w:rPr/>
        <w:t>will</w:t>
      </w:r>
      <w:r>
        <w:rPr>
          <w:spacing w:val="-39"/>
        </w:rPr>
        <w:t> </w:t>
      </w:r>
      <w:r>
        <w:rPr/>
        <w:t>continue</w:t>
      </w:r>
      <w:r>
        <w:rPr>
          <w:spacing w:val="-37"/>
        </w:rPr>
        <w:t> </w:t>
      </w:r>
      <w:r>
        <w:rPr/>
        <w:t>to</w:t>
      </w:r>
      <w:r>
        <w:rPr>
          <w:spacing w:val="-37"/>
        </w:rPr>
        <w:t> </w:t>
      </w:r>
      <w:r>
        <w:rPr/>
        <w:t>witness</w:t>
      </w:r>
      <w:r>
        <w:rPr>
          <w:spacing w:val="-38"/>
        </w:rPr>
        <w:t> </w:t>
      </w:r>
      <w:r>
        <w:rPr/>
        <w:t>stable</w:t>
      </w:r>
      <w:r>
        <w:rPr>
          <w:spacing w:val="-38"/>
        </w:rPr>
        <w:t> </w:t>
      </w:r>
      <w:r>
        <w:rPr/>
        <w:t>appreciation.</w:t>
      </w:r>
      <w:r>
        <w:rPr>
          <w:spacing w:val="-38"/>
        </w:rPr>
        <w:t> </w:t>
      </w:r>
      <w:r>
        <w:rPr/>
        <w:t>It</w:t>
      </w:r>
      <w:r>
        <w:rPr>
          <w:spacing w:val="-37"/>
        </w:rPr>
        <w:t> </w:t>
      </w:r>
      <w:r>
        <w:rPr/>
        <w:t>is</w:t>
      </w:r>
      <w:r>
        <w:rPr>
          <w:spacing w:val="-38"/>
        </w:rPr>
        <w:t> </w:t>
      </w:r>
      <w:r>
        <w:rPr/>
        <w:t>envisaged</w:t>
      </w:r>
      <w:r>
        <w:rPr>
          <w:spacing w:val="-37"/>
        </w:rPr>
        <w:t> </w:t>
      </w:r>
      <w:r>
        <w:rPr/>
        <w:t>that</w:t>
      </w:r>
      <w:r>
        <w:rPr>
          <w:spacing w:val="-38"/>
        </w:rPr>
        <w:t> </w:t>
      </w:r>
      <w:r>
        <w:rPr/>
        <w:t>prominent</w:t>
      </w:r>
      <w:r>
        <w:rPr>
          <w:spacing w:val="-37"/>
        </w:rPr>
        <w:t> </w:t>
      </w:r>
      <w:r>
        <w:rPr/>
        <w:t>tenants</w:t>
      </w:r>
      <w:r>
        <w:rPr>
          <w:spacing w:val="-38"/>
        </w:rPr>
        <w:t> </w:t>
      </w:r>
      <w:r>
        <w:rPr/>
        <w:t>are</w:t>
      </w:r>
      <w:r>
        <w:rPr>
          <w:spacing w:val="-37"/>
        </w:rPr>
        <w:t> </w:t>
      </w:r>
      <w:r>
        <w:rPr/>
        <w:t>likely to</w:t>
      </w:r>
      <w:r>
        <w:rPr>
          <w:spacing w:val="-32"/>
        </w:rPr>
        <w:t> </w:t>
      </w:r>
      <w:r>
        <w:rPr/>
        <w:t>continue</w:t>
      </w:r>
      <w:r>
        <w:rPr>
          <w:spacing w:val="-31"/>
        </w:rPr>
        <w:t> </w:t>
      </w:r>
      <w:r>
        <w:rPr/>
        <w:t>their</w:t>
      </w:r>
      <w:r>
        <w:rPr>
          <w:spacing w:val="-31"/>
        </w:rPr>
        <w:t> </w:t>
      </w:r>
      <w:r>
        <w:rPr/>
        <w:t>operations</w:t>
      </w:r>
      <w:r>
        <w:rPr>
          <w:spacing w:val="-31"/>
        </w:rPr>
        <w:t> </w:t>
      </w:r>
      <w:r>
        <w:rPr/>
        <w:t>in</w:t>
      </w:r>
      <w:r>
        <w:rPr>
          <w:spacing w:val="-31"/>
        </w:rPr>
        <w:t> </w:t>
      </w:r>
      <w:r>
        <w:rPr/>
        <w:t>West</w:t>
      </w:r>
      <w:r>
        <w:rPr>
          <w:spacing w:val="-31"/>
        </w:rPr>
        <w:t> </w:t>
      </w:r>
      <w:r>
        <w:rPr/>
        <w:t>Pune</w:t>
      </w:r>
      <w:r>
        <w:rPr>
          <w:spacing w:val="-32"/>
        </w:rPr>
        <w:t> </w:t>
      </w:r>
      <w:r>
        <w:rPr/>
        <w:t>submarket</w:t>
      </w:r>
      <w:r>
        <w:rPr>
          <w:spacing w:val="-31"/>
        </w:rPr>
        <w:t> </w:t>
      </w:r>
      <w:r>
        <w:rPr/>
        <w:t>resulting</w:t>
      </w:r>
      <w:r>
        <w:rPr>
          <w:spacing w:val="-31"/>
        </w:rPr>
        <w:t> </w:t>
      </w:r>
      <w:r>
        <w:rPr/>
        <w:t>in</w:t>
      </w:r>
      <w:r>
        <w:rPr>
          <w:spacing w:val="-32"/>
        </w:rPr>
        <w:t> </w:t>
      </w:r>
      <w:r>
        <w:rPr/>
        <w:t>limited</w:t>
      </w:r>
      <w:r>
        <w:rPr>
          <w:spacing w:val="-31"/>
        </w:rPr>
        <w:t> </w:t>
      </w:r>
      <w:r>
        <w:rPr/>
        <w:t>churn</w:t>
      </w:r>
      <w:r>
        <w:rPr>
          <w:spacing w:val="-32"/>
        </w:rPr>
        <w:t> </w:t>
      </w:r>
      <w:r>
        <w:rPr/>
        <w:t>and</w:t>
      </w:r>
      <w:r>
        <w:rPr>
          <w:spacing w:val="-31"/>
        </w:rPr>
        <w:t> </w:t>
      </w:r>
      <w:r>
        <w:rPr/>
        <w:t>range</w:t>
      </w:r>
      <w:r>
        <w:rPr>
          <w:spacing w:val="-31"/>
        </w:rPr>
        <w:t> </w:t>
      </w:r>
      <w:r>
        <w:rPr/>
        <w:t>bound</w:t>
      </w:r>
      <w:r>
        <w:rPr>
          <w:spacing w:val="-30"/>
        </w:rPr>
        <w:t> </w:t>
      </w:r>
      <w:r>
        <w:rPr/>
        <w:t>vacancy pressures over medium to long</w:t>
      </w:r>
      <w:r>
        <w:rPr>
          <w:spacing w:val="-16"/>
        </w:rPr>
        <w:t> </w:t>
      </w:r>
      <w:r>
        <w:rPr/>
        <w:t>term.</w:t>
      </w:r>
    </w:p>
    <w:p>
      <w:pPr>
        <w:spacing w:after="0" w:line="321" w:lineRule="auto"/>
        <w:jc w:val="both"/>
        <w:sectPr>
          <w:pgSz w:w="11910" w:h="16840"/>
          <w:pgMar w:header="720" w:footer="921" w:top="1660" w:bottom="1120" w:left="460" w:right="480"/>
        </w:sectPr>
      </w:pPr>
    </w:p>
    <w:p>
      <w:pPr>
        <w:pStyle w:val="BodyText"/>
        <w:spacing w:before="7"/>
        <w:rPr>
          <w:sz w:val="9"/>
        </w:rPr>
      </w:pPr>
    </w:p>
    <w:p>
      <w:pPr>
        <w:pStyle w:val="ListParagraph"/>
        <w:numPr>
          <w:ilvl w:val="1"/>
          <w:numId w:val="14"/>
        </w:numPr>
        <w:tabs>
          <w:tab w:pos="837" w:val="left" w:leader="none"/>
        </w:tabs>
        <w:spacing w:line="240" w:lineRule="auto" w:before="106" w:after="0"/>
        <w:ind w:left="836" w:right="0" w:hanging="577"/>
        <w:jc w:val="left"/>
        <w:rPr>
          <w:color w:val="1F6647"/>
          <w:sz w:val="22"/>
        </w:rPr>
      </w:pPr>
      <w:bookmarkStart w:name="_bookmark201" w:id="392"/>
      <w:bookmarkEnd w:id="392"/>
      <w:r>
        <w:rPr/>
      </w:r>
      <w:bookmarkStart w:name="_bookmark201" w:id="393"/>
      <w:bookmarkEnd w:id="393"/>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BodyText"/>
        <w:spacing w:before="3"/>
        <w:rPr>
          <w:sz w:val="28"/>
        </w:rPr>
      </w:pPr>
    </w:p>
    <w:p>
      <w:pPr>
        <w:pStyle w:val="ListParagraph"/>
        <w:numPr>
          <w:ilvl w:val="2"/>
          <w:numId w:val="14"/>
        </w:numPr>
        <w:tabs>
          <w:tab w:pos="981" w:val="left" w:leader="none"/>
        </w:tabs>
        <w:spacing w:line="240" w:lineRule="auto" w:before="0" w:after="0"/>
        <w:ind w:left="980" w:right="0" w:hanging="721"/>
        <w:jc w:val="left"/>
        <w:rPr>
          <w:sz w:val="22"/>
        </w:rPr>
      </w:pPr>
      <w:bookmarkStart w:name="_bookmark202" w:id="394"/>
      <w:bookmarkEnd w:id="394"/>
      <w:r>
        <w:rPr/>
      </w:r>
      <w:bookmarkStart w:name="_bookmark202" w:id="395"/>
      <w:bookmarkEnd w:id="395"/>
      <w:r>
        <w:rPr>
          <w:color w:val="1F664D"/>
          <w:w w:val="105"/>
          <w:sz w:val="22"/>
        </w:rPr>
        <w:t>A</w:t>
      </w:r>
      <w:r>
        <w:rPr>
          <w:color w:val="1F664D"/>
          <w:w w:val="105"/>
          <w:sz w:val="22"/>
        </w:rPr>
        <w:t>dopted</w:t>
      </w:r>
      <w:r>
        <w:rPr>
          <w:color w:val="1F664D"/>
          <w:spacing w:val="-3"/>
          <w:w w:val="105"/>
          <w:sz w:val="22"/>
        </w:rPr>
        <w:t> </w:t>
      </w:r>
      <w:r>
        <w:rPr>
          <w:color w:val="1F664D"/>
          <w:w w:val="105"/>
          <w:sz w:val="22"/>
        </w:rPr>
        <w:t>Methodology</w:t>
      </w:r>
    </w:p>
    <w:p>
      <w:pPr>
        <w:pStyle w:val="BodyText"/>
        <w:spacing w:line="321" w:lineRule="auto" w:before="208"/>
        <w:ind w:left="800" w:right="236"/>
        <w:jc w:val="both"/>
      </w:pPr>
      <w:r>
        <w:rPr/>
        <w:t>We</w:t>
      </w:r>
      <w:r>
        <w:rPr>
          <w:spacing w:val="-27"/>
        </w:rPr>
        <w:t> </w:t>
      </w:r>
      <w:r>
        <w:rPr/>
        <w:t>acknowledge</w:t>
      </w:r>
      <w:r>
        <w:rPr>
          <w:spacing w:val="-27"/>
        </w:rPr>
        <w:t> </w:t>
      </w:r>
      <w:r>
        <w:rPr/>
        <w:t>that</w:t>
      </w:r>
      <w:r>
        <w:rPr>
          <w:spacing w:val="-26"/>
        </w:rPr>
        <w:t> </w:t>
      </w:r>
      <w:r>
        <w:rPr/>
        <w:t>the</w:t>
      </w:r>
      <w:r>
        <w:rPr>
          <w:spacing w:val="-27"/>
        </w:rPr>
        <w:t> </w:t>
      </w:r>
      <w:r>
        <w:rPr/>
        <w:t>approaches</w:t>
      </w:r>
      <w:r>
        <w:rPr>
          <w:spacing w:val="-26"/>
        </w:rPr>
        <w:t> </w:t>
      </w:r>
      <w:r>
        <w:rPr/>
        <w:t>to</w:t>
      </w:r>
      <w:r>
        <w:rPr>
          <w:spacing w:val="-26"/>
        </w:rPr>
        <w:t> </w:t>
      </w:r>
      <w:r>
        <w:rPr/>
        <w:t>valuation</w:t>
      </w:r>
      <w:r>
        <w:rPr>
          <w:spacing w:val="-24"/>
        </w:rPr>
        <w:t> </w:t>
      </w:r>
      <w:r>
        <w:rPr/>
        <w:t>differ</w:t>
      </w:r>
      <w:r>
        <w:rPr>
          <w:spacing w:val="-27"/>
        </w:rPr>
        <w:t> </w:t>
      </w:r>
      <w:r>
        <w:rPr/>
        <w:t>considerably</w:t>
      </w:r>
      <w:r>
        <w:rPr>
          <w:spacing w:val="-26"/>
        </w:rPr>
        <w:t> </w:t>
      </w:r>
      <w:r>
        <w:rPr/>
        <w:t>and</w:t>
      </w:r>
      <w:r>
        <w:rPr>
          <w:spacing w:val="-26"/>
        </w:rPr>
        <w:t> </w:t>
      </w:r>
      <w:r>
        <w:rPr/>
        <w:t>that</w:t>
      </w:r>
      <w:r>
        <w:rPr>
          <w:spacing w:val="-27"/>
        </w:rPr>
        <w:t> </w:t>
      </w:r>
      <w:r>
        <w:rPr/>
        <w:t>for</w:t>
      </w:r>
      <w:r>
        <w:rPr>
          <w:spacing w:val="-27"/>
        </w:rPr>
        <w:t> </w:t>
      </w:r>
      <w:r>
        <w:rPr/>
        <w:t>a</w:t>
      </w:r>
      <w:r>
        <w:rPr>
          <w:spacing w:val="-27"/>
        </w:rPr>
        <w:t> </w:t>
      </w:r>
      <w:r>
        <w:rPr/>
        <w:t>particular</w:t>
      </w:r>
      <w:r>
        <w:rPr>
          <w:spacing w:val="-26"/>
        </w:rPr>
        <w:t> </w:t>
      </w:r>
      <w:r>
        <w:rPr/>
        <w:t>purpose, alternative</w:t>
      </w:r>
      <w:r>
        <w:rPr>
          <w:spacing w:val="-19"/>
        </w:rPr>
        <w:t> </w:t>
      </w:r>
      <w:r>
        <w:rPr/>
        <w:t>approaches</w:t>
      </w:r>
      <w:r>
        <w:rPr>
          <w:spacing w:val="-18"/>
        </w:rPr>
        <w:t> </w:t>
      </w:r>
      <w:r>
        <w:rPr/>
        <w:t>to</w:t>
      </w:r>
      <w:r>
        <w:rPr>
          <w:spacing w:val="-19"/>
        </w:rPr>
        <w:t> </w:t>
      </w:r>
      <w:r>
        <w:rPr/>
        <w:t>the</w:t>
      </w:r>
      <w:r>
        <w:rPr>
          <w:spacing w:val="-18"/>
        </w:rPr>
        <w:t> </w:t>
      </w:r>
      <w:r>
        <w:rPr/>
        <w:t>valuation</w:t>
      </w:r>
      <w:r>
        <w:rPr>
          <w:spacing w:val="-19"/>
        </w:rPr>
        <w:t> </w:t>
      </w:r>
      <w:r>
        <w:rPr/>
        <w:t>can</w:t>
      </w:r>
      <w:r>
        <w:rPr>
          <w:spacing w:val="-18"/>
        </w:rPr>
        <w:t> </w:t>
      </w:r>
      <w:r>
        <w:rPr/>
        <w:t>be</w:t>
      </w:r>
      <w:r>
        <w:rPr>
          <w:spacing w:val="-19"/>
        </w:rPr>
        <w:t> </w:t>
      </w:r>
      <w:r>
        <w:rPr/>
        <w:t>utilized</w:t>
      </w:r>
      <w:r>
        <w:rPr>
          <w:spacing w:val="-18"/>
        </w:rPr>
        <w:t> </w:t>
      </w:r>
      <w:r>
        <w:rPr/>
        <w:t>subject</w:t>
      </w:r>
      <w:r>
        <w:rPr>
          <w:spacing w:val="-19"/>
        </w:rPr>
        <w:t> </w:t>
      </w:r>
      <w:r>
        <w:rPr/>
        <w:t>to</w:t>
      </w:r>
      <w:r>
        <w:rPr>
          <w:spacing w:val="-18"/>
        </w:rPr>
        <w:t> </w:t>
      </w:r>
      <w:r>
        <w:rPr/>
        <w:t>the</w:t>
      </w:r>
      <w:r>
        <w:rPr>
          <w:spacing w:val="-17"/>
        </w:rPr>
        <w:t> </w:t>
      </w:r>
      <w:r>
        <w:rPr/>
        <w:t>Client’s</w:t>
      </w:r>
      <w:r>
        <w:rPr>
          <w:spacing w:val="-18"/>
        </w:rPr>
        <w:t> </w:t>
      </w:r>
      <w:r>
        <w:rPr/>
        <w:t>consultations</w:t>
      </w:r>
      <w:r>
        <w:rPr>
          <w:spacing w:val="-18"/>
        </w:rPr>
        <w:t> </w:t>
      </w:r>
      <w:r>
        <w:rPr/>
        <w:t>and</w:t>
      </w:r>
      <w:r>
        <w:rPr>
          <w:spacing w:val="-18"/>
        </w:rPr>
        <w:t> </w:t>
      </w:r>
      <w:r>
        <w:rPr/>
        <w:t>giving due</w:t>
      </w:r>
      <w:r>
        <w:rPr>
          <w:spacing w:val="-37"/>
        </w:rPr>
        <w:t> </w:t>
      </w:r>
      <w:r>
        <w:rPr/>
        <w:t>consideration</w:t>
      </w:r>
      <w:r>
        <w:rPr>
          <w:spacing w:val="-36"/>
        </w:rPr>
        <w:t> </w:t>
      </w:r>
      <w:r>
        <w:rPr/>
        <w:t>to</w:t>
      </w:r>
      <w:r>
        <w:rPr>
          <w:spacing w:val="-36"/>
        </w:rPr>
        <w:t> </w:t>
      </w:r>
      <w:r>
        <w:rPr/>
        <w:t>the</w:t>
      </w:r>
      <w:r>
        <w:rPr>
          <w:spacing w:val="-37"/>
        </w:rPr>
        <w:t> </w:t>
      </w:r>
      <w:r>
        <w:rPr/>
        <w:t>Client’s</w:t>
      </w:r>
      <w:r>
        <w:rPr>
          <w:spacing w:val="-35"/>
        </w:rPr>
        <w:t> </w:t>
      </w:r>
      <w:r>
        <w:rPr/>
        <w:t>requirements.</w:t>
      </w:r>
      <w:r>
        <w:rPr>
          <w:spacing w:val="-36"/>
        </w:rPr>
        <w:t> </w:t>
      </w:r>
      <w:r>
        <w:rPr/>
        <w:t>Considering</w:t>
      </w:r>
      <w:r>
        <w:rPr>
          <w:spacing w:val="-37"/>
        </w:rPr>
        <w:t> </w:t>
      </w:r>
      <w:r>
        <w:rPr/>
        <w:t>the</w:t>
      </w:r>
      <w:r>
        <w:rPr>
          <w:spacing w:val="-36"/>
        </w:rPr>
        <w:t> </w:t>
      </w:r>
      <w:r>
        <w:rPr/>
        <w:t>objective</w:t>
      </w:r>
      <w:r>
        <w:rPr>
          <w:spacing w:val="-37"/>
        </w:rPr>
        <w:t> </w:t>
      </w:r>
      <w:r>
        <w:rPr/>
        <w:t>of</w:t>
      </w:r>
      <w:r>
        <w:rPr>
          <w:spacing w:val="-36"/>
        </w:rPr>
        <w:t> </w:t>
      </w:r>
      <w:r>
        <w:rPr/>
        <w:t>this</w:t>
      </w:r>
      <w:r>
        <w:rPr>
          <w:spacing w:val="-36"/>
        </w:rPr>
        <w:t> </w:t>
      </w:r>
      <w:r>
        <w:rPr/>
        <w:t>exercise</w:t>
      </w:r>
      <w:r>
        <w:rPr>
          <w:spacing w:val="-36"/>
        </w:rPr>
        <w:t> </w:t>
      </w:r>
      <w:r>
        <w:rPr/>
        <w:t>and</w:t>
      </w:r>
      <w:r>
        <w:rPr>
          <w:spacing w:val="-36"/>
        </w:rPr>
        <w:t> </w:t>
      </w:r>
      <w:r>
        <w:rPr/>
        <w:t>the</w:t>
      </w:r>
      <w:r>
        <w:rPr>
          <w:spacing w:val="-36"/>
        </w:rPr>
        <w:t> </w:t>
      </w:r>
      <w:r>
        <w:rPr/>
        <w:t>nature of</w:t>
      </w:r>
      <w:r>
        <w:rPr>
          <w:spacing w:val="-34"/>
        </w:rPr>
        <w:t> </w:t>
      </w:r>
      <w:r>
        <w:rPr/>
        <w:t>asset</w:t>
      </w:r>
      <w:r>
        <w:rPr>
          <w:spacing w:val="-33"/>
        </w:rPr>
        <w:t> </w:t>
      </w:r>
      <w:r>
        <w:rPr/>
        <w:t>involved,</w:t>
      </w:r>
      <w:r>
        <w:rPr>
          <w:spacing w:val="-33"/>
        </w:rPr>
        <w:t> </w:t>
      </w:r>
      <w:r>
        <w:rPr/>
        <w:t>the</w:t>
      </w:r>
      <w:r>
        <w:rPr>
          <w:spacing w:val="-34"/>
        </w:rPr>
        <w:t> </w:t>
      </w:r>
      <w:r>
        <w:rPr/>
        <w:t>value</w:t>
      </w:r>
      <w:r>
        <w:rPr>
          <w:spacing w:val="-34"/>
        </w:rPr>
        <w:t> </w:t>
      </w:r>
      <w:r>
        <w:rPr/>
        <w:t>of</w:t>
      </w:r>
      <w:r>
        <w:rPr>
          <w:spacing w:val="-33"/>
        </w:rPr>
        <w:t> </w:t>
      </w:r>
      <w:r>
        <w:rPr/>
        <w:t>the</w:t>
      </w:r>
      <w:r>
        <w:rPr>
          <w:spacing w:val="-34"/>
        </w:rPr>
        <w:t> </w:t>
      </w:r>
      <w:r>
        <w:rPr/>
        <w:t>subject</w:t>
      </w:r>
      <w:r>
        <w:rPr>
          <w:spacing w:val="-33"/>
        </w:rPr>
        <w:t> </w:t>
      </w:r>
      <w:r>
        <w:rPr/>
        <w:t>property</w:t>
      </w:r>
      <w:r>
        <w:rPr>
          <w:spacing w:val="-34"/>
        </w:rPr>
        <w:t> </w:t>
      </w:r>
      <w:r>
        <w:rPr/>
        <w:t>has</w:t>
      </w:r>
      <w:r>
        <w:rPr>
          <w:spacing w:val="-33"/>
        </w:rPr>
        <w:t> </w:t>
      </w:r>
      <w:r>
        <w:rPr/>
        <w:t>been</w:t>
      </w:r>
      <w:r>
        <w:rPr>
          <w:spacing w:val="-34"/>
        </w:rPr>
        <w:t> </w:t>
      </w:r>
      <w:r>
        <w:rPr/>
        <w:t>assessed</w:t>
      </w:r>
      <w:r>
        <w:rPr>
          <w:spacing w:val="-33"/>
        </w:rPr>
        <w:t> </w:t>
      </w:r>
      <w:r>
        <w:rPr/>
        <w:t>through</w:t>
      </w:r>
      <w:r>
        <w:rPr>
          <w:spacing w:val="-34"/>
        </w:rPr>
        <w:t> </w:t>
      </w:r>
      <w:r>
        <w:rPr/>
        <w:t>the</w:t>
      </w:r>
      <w:r>
        <w:rPr>
          <w:spacing w:val="-34"/>
        </w:rPr>
        <w:t> </w:t>
      </w:r>
      <w:r>
        <w:rPr/>
        <w:t>following</w:t>
      </w:r>
      <w:r>
        <w:rPr>
          <w:spacing w:val="-33"/>
        </w:rPr>
        <w:t> </w:t>
      </w:r>
      <w:r>
        <w:rPr/>
        <w:t>approaches:</w:t>
      </w:r>
    </w:p>
    <w:p>
      <w:pPr>
        <w:pStyle w:val="BodyText"/>
        <w:spacing w:before="4"/>
        <w:rPr>
          <w:sz w:val="20"/>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7"/>
        <w:gridCol w:w="6954"/>
      </w:tblGrid>
      <w:tr>
        <w:trPr>
          <w:trHeight w:val="432" w:hRule="atLeast"/>
        </w:trPr>
        <w:tc>
          <w:tcPr>
            <w:tcW w:w="10471" w:type="dxa"/>
            <w:gridSpan w:val="2"/>
            <w:tcBorders>
              <w:top w:val="single" w:sz="6" w:space="0" w:color="69BD28"/>
            </w:tcBorders>
            <w:shd w:val="clear" w:color="auto" w:fill="006A4D"/>
          </w:tcPr>
          <w:p>
            <w:pPr>
              <w:pStyle w:val="TableParagraph"/>
              <w:tabs>
                <w:tab w:pos="4440" w:val="left" w:leader="none"/>
                <w:tab w:pos="7273" w:val="left" w:leader="none"/>
              </w:tabs>
              <w:spacing w:line="156" w:lineRule="auto" w:before="23"/>
              <w:ind w:left="1265"/>
              <w:jc w:val="left"/>
              <w:rPr>
                <w:b/>
                <w:sz w:val="18"/>
              </w:rPr>
            </w:pPr>
            <w:r>
              <w:rPr>
                <w:b/>
                <w:color w:val="FFFFFF"/>
                <w:w w:val="110"/>
                <w:position w:val="-10"/>
                <w:sz w:val="18"/>
              </w:rPr>
              <w:t>Particulars</w:t>
              <w:tab/>
              <w:t>Completed</w:t>
            </w:r>
            <w:r>
              <w:rPr>
                <w:b/>
                <w:color w:val="FFFFFF"/>
                <w:spacing w:val="-13"/>
                <w:w w:val="110"/>
                <w:position w:val="-10"/>
                <w:sz w:val="18"/>
              </w:rPr>
              <w:t> </w:t>
            </w:r>
            <w:r>
              <w:rPr>
                <w:b/>
                <w:color w:val="FFFFFF"/>
                <w:w w:val="110"/>
                <w:position w:val="-10"/>
                <w:sz w:val="18"/>
              </w:rPr>
              <w:t>Blocks</w:t>
              <w:tab/>
            </w:r>
            <w:r>
              <w:rPr>
                <w:b/>
                <w:color w:val="FFFFFF"/>
                <w:w w:val="110"/>
                <w:sz w:val="18"/>
              </w:rPr>
              <w:t>Under Construction/ Land</w:t>
            </w:r>
            <w:r>
              <w:rPr>
                <w:b/>
                <w:color w:val="FFFFFF"/>
                <w:spacing w:val="-23"/>
                <w:w w:val="110"/>
                <w:sz w:val="18"/>
              </w:rPr>
              <w:t> </w:t>
            </w:r>
            <w:r>
              <w:rPr>
                <w:b/>
                <w:color w:val="FFFFFF"/>
                <w:w w:val="110"/>
                <w:sz w:val="18"/>
              </w:rPr>
              <w:t>Stage</w:t>
            </w:r>
          </w:p>
          <w:p>
            <w:pPr>
              <w:pStyle w:val="TableParagraph"/>
              <w:spacing w:line="141" w:lineRule="exact"/>
              <w:ind w:right="1451"/>
              <w:jc w:val="right"/>
              <w:rPr>
                <w:b/>
                <w:sz w:val="18"/>
              </w:rPr>
            </w:pPr>
            <w:r>
              <w:rPr>
                <w:b/>
                <w:color w:val="FFFFFF"/>
                <w:w w:val="105"/>
                <w:sz w:val="18"/>
              </w:rPr>
              <w:t>Blocks</w:t>
            </w:r>
          </w:p>
        </w:tc>
      </w:tr>
      <w:tr>
        <w:trPr>
          <w:trHeight w:val="457" w:hRule="atLeast"/>
        </w:trPr>
        <w:tc>
          <w:tcPr>
            <w:tcW w:w="3517" w:type="dxa"/>
            <w:shd w:val="clear" w:color="auto" w:fill="69BD28"/>
          </w:tcPr>
          <w:p>
            <w:pPr>
              <w:pStyle w:val="TableParagraph"/>
              <w:spacing w:before="123"/>
              <w:ind w:left="689"/>
              <w:jc w:val="left"/>
              <w:rPr>
                <w:b/>
                <w:sz w:val="18"/>
              </w:rPr>
            </w:pPr>
            <w:r>
              <w:rPr>
                <w:b/>
                <w:color w:val="FFFFFF"/>
                <w:w w:val="110"/>
                <w:sz w:val="18"/>
              </w:rPr>
              <w:t>Valuation Methodology</w:t>
            </w:r>
          </w:p>
        </w:tc>
        <w:tc>
          <w:tcPr>
            <w:tcW w:w="6954" w:type="dxa"/>
            <w:tcBorders>
              <w:top w:val="single" w:sz="6" w:space="0" w:color="69BD28"/>
              <w:bottom w:val="single" w:sz="6" w:space="0" w:color="69BD28"/>
            </w:tcBorders>
          </w:tcPr>
          <w:p>
            <w:pPr>
              <w:pStyle w:val="TableParagraph"/>
              <w:spacing w:before="123"/>
              <w:ind w:left="882" w:right="899"/>
              <w:rPr>
                <w:sz w:val="18"/>
              </w:rPr>
            </w:pPr>
            <w:r>
              <w:rPr>
                <w:sz w:val="18"/>
              </w:rPr>
              <w:t>Discounted Cash Flow Method (using rental reversion approach)</w:t>
            </w:r>
          </w:p>
        </w:tc>
      </w:tr>
    </w:tbl>
    <w:p>
      <w:pPr>
        <w:pStyle w:val="BodyText"/>
        <w:rPr>
          <w:sz w:val="21"/>
        </w:rPr>
      </w:pPr>
    </w:p>
    <w:p>
      <w:pPr>
        <w:pStyle w:val="BodyText"/>
        <w:spacing w:line="319" w:lineRule="auto"/>
        <w:ind w:left="800" w:right="235"/>
        <w:jc w:val="both"/>
      </w:pPr>
      <w:r>
        <w:rPr/>
        <w:t>The</w:t>
      </w:r>
      <w:r>
        <w:rPr>
          <w:spacing w:val="-23"/>
        </w:rPr>
        <w:t> </w:t>
      </w:r>
      <w:r>
        <w:rPr/>
        <w:t>sections</w:t>
      </w:r>
      <w:r>
        <w:rPr>
          <w:spacing w:val="-22"/>
        </w:rPr>
        <w:t> </w:t>
      </w:r>
      <w:r>
        <w:rPr/>
        <w:t>below</w:t>
      </w:r>
      <w:r>
        <w:rPr>
          <w:spacing w:val="-21"/>
        </w:rPr>
        <w:t> </w:t>
      </w:r>
      <w:r>
        <w:rPr/>
        <w:t>highlight</w:t>
      </w:r>
      <w:r>
        <w:rPr>
          <w:spacing w:val="-23"/>
        </w:rPr>
        <w:t> </w:t>
      </w:r>
      <w:r>
        <w:rPr/>
        <w:t>detailed</w:t>
      </w:r>
      <w:r>
        <w:rPr>
          <w:spacing w:val="-21"/>
        </w:rPr>
        <w:t> </w:t>
      </w:r>
      <w:r>
        <w:rPr/>
        <w:t>valuation</w:t>
      </w:r>
      <w:r>
        <w:rPr>
          <w:spacing w:val="-22"/>
        </w:rPr>
        <w:t> </w:t>
      </w:r>
      <w:r>
        <w:rPr/>
        <w:t>workings</w:t>
      </w:r>
      <w:r>
        <w:rPr>
          <w:spacing w:val="-21"/>
        </w:rPr>
        <w:t> </w:t>
      </w:r>
      <w:r>
        <w:rPr/>
        <w:t>for</w:t>
      </w:r>
      <w:r>
        <w:rPr>
          <w:spacing w:val="-22"/>
        </w:rPr>
        <w:t> </w:t>
      </w:r>
      <w:r>
        <w:rPr/>
        <w:t>the</w:t>
      </w:r>
      <w:r>
        <w:rPr>
          <w:spacing w:val="-23"/>
        </w:rPr>
        <w:t> </w:t>
      </w:r>
      <w:r>
        <w:rPr/>
        <w:t>subject</w:t>
      </w:r>
      <w:r>
        <w:rPr>
          <w:spacing w:val="-23"/>
        </w:rPr>
        <w:t> </w:t>
      </w:r>
      <w:r>
        <w:rPr/>
        <w:t>property.</w:t>
      </w:r>
      <w:r>
        <w:rPr>
          <w:spacing w:val="-18"/>
        </w:rPr>
        <w:t> </w:t>
      </w:r>
      <w:r>
        <w:rPr/>
        <w:t>Please</w:t>
      </w:r>
      <w:r>
        <w:rPr>
          <w:spacing w:val="-23"/>
        </w:rPr>
        <w:t> </w:t>
      </w:r>
      <w:r>
        <w:rPr/>
        <w:t>note</w:t>
      </w:r>
      <w:r>
        <w:rPr>
          <w:spacing w:val="-21"/>
        </w:rPr>
        <w:t> </w:t>
      </w:r>
      <w:r>
        <w:rPr/>
        <w:t>that</w:t>
      </w:r>
      <w:r>
        <w:rPr>
          <w:spacing w:val="-23"/>
        </w:rPr>
        <w:t> </w:t>
      </w:r>
      <w:r>
        <w:rPr/>
        <w:t>the assumptions/</w:t>
      </w:r>
      <w:r>
        <w:rPr>
          <w:spacing w:val="-30"/>
        </w:rPr>
        <w:t> </w:t>
      </w:r>
      <w:r>
        <w:rPr/>
        <w:t>opinions</w:t>
      </w:r>
      <w:r>
        <w:rPr>
          <w:spacing w:val="-29"/>
        </w:rPr>
        <w:t> </w:t>
      </w:r>
      <w:r>
        <w:rPr/>
        <w:t>highlighted</w:t>
      </w:r>
      <w:r>
        <w:rPr>
          <w:spacing w:val="-29"/>
        </w:rPr>
        <w:t> </w:t>
      </w:r>
      <w:r>
        <w:rPr/>
        <w:t>in</w:t>
      </w:r>
      <w:r>
        <w:rPr>
          <w:spacing w:val="-30"/>
        </w:rPr>
        <w:t> </w:t>
      </w:r>
      <w:r>
        <w:rPr/>
        <w:t>the</w:t>
      </w:r>
      <w:r>
        <w:rPr>
          <w:spacing w:val="-30"/>
        </w:rPr>
        <w:t> </w:t>
      </w:r>
      <w:r>
        <w:rPr/>
        <w:t>subsequent</w:t>
      </w:r>
      <w:r>
        <w:rPr>
          <w:spacing w:val="-29"/>
        </w:rPr>
        <w:t> </w:t>
      </w:r>
      <w:r>
        <w:rPr/>
        <w:t>sections</w:t>
      </w:r>
      <w:r>
        <w:rPr>
          <w:spacing w:val="-29"/>
        </w:rPr>
        <w:t> </w:t>
      </w:r>
      <w:r>
        <w:rPr/>
        <w:t>are</w:t>
      </w:r>
      <w:r>
        <w:rPr>
          <w:spacing w:val="-29"/>
        </w:rPr>
        <w:t> </w:t>
      </w:r>
      <w:r>
        <w:rPr/>
        <w:t>to</w:t>
      </w:r>
      <w:r>
        <w:rPr>
          <w:spacing w:val="-30"/>
        </w:rPr>
        <w:t> </w:t>
      </w:r>
      <w:r>
        <w:rPr/>
        <w:t>be</w:t>
      </w:r>
      <w:r>
        <w:rPr>
          <w:spacing w:val="-30"/>
        </w:rPr>
        <w:t> </w:t>
      </w:r>
      <w:r>
        <w:rPr/>
        <w:t>read</w:t>
      </w:r>
      <w:r>
        <w:rPr>
          <w:spacing w:val="-28"/>
        </w:rPr>
        <w:t> </w:t>
      </w:r>
      <w:r>
        <w:rPr/>
        <w:t>in</w:t>
      </w:r>
      <w:r>
        <w:rPr>
          <w:spacing w:val="-30"/>
        </w:rPr>
        <w:t> </w:t>
      </w:r>
      <w:r>
        <w:rPr/>
        <w:t>conjunction</w:t>
      </w:r>
      <w:r>
        <w:rPr>
          <w:spacing w:val="-29"/>
        </w:rPr>
        <w:t> </w:t>
      </w:r>
      <w:r>
        <w:rPr/>
        <w:t>with</w:t>
      </w:r>
      <w:r>
        <w:rPr>
          <w:spacing w:val="-30"/>
        </w:rPr>
        <w:t> </w:t>
      </w:r>
      <w:r>
        <w:rPr/>
        <w:t>Section</w:t>
      </w:r>
    </w:p>
    <w:p>
      <w:pPr>
        <w:pStyle w:val="BodyText"/>
        <w:spacing w:before="5"/>
        <w:ind w:left="800"/>
      </w:pPr>
      <w:r>
        <w:rPr/>
        <w:t>1.11 and the following:</w:t>
      </w:r>
    </w:p>
    <w:p>
      <w:pPr>
        <w:pStyle w:val="BodyText"/>
        <w:spacing w:before="2"/>
        <w:rPr>
          <w:sz w:val="28"/>
        </w:rPr>
      </w:pPr>
    </w:p>
    <w:p>
      <w:pPr>
        <w:spacing w:line="321" w:lineRule="auto" w:before="1"/>
        <w:ind w:left="800" w:right="23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rPr>
          <w:i/>
          <w:sz w:val="21"/>
        </w:rPr>
      </w:pPr>
    </w:p>
    <w:p>
      <w:pPr>
        <w:pStyle w:val="ListParagraph"/>
        <w:numPr>
          <w:ilvl w:val="0"/>
          <w:numId w:val="57"/>
        </w:numPr>
        <w:tabs>
          <w:tab w:pos="1705" w:val="left" w:leader="none"/>
          <w:tab w:pos="1706" w:val="left" w:leader="none"/>
        </w:tabs>
        <w:spacing w:line="240" w:lineRule="auto" w:before="0" w:after="0"/>
        <w:ind w:left="1705" w:right="0" w:hanging="361"/>
        <w:jc w:val="left"/>
        <w:rPr>
          <w:i/>
          <w:sz w:val="22"/>
        </w:rPr>
      </w:pPr>
      <w:r>
        <w:rPr>
          <w:i/>
          <w:sz w:val="22"/>
        </w:rPr>
        <w:t>Limited/</w:t>
      </w:r>
      <w:r>
        <w:rPr>
          <w:i/>
          <w:spacing w:val="-13"/>
          <w:sz w:val="22"/>
        </w:rPr>
        <w:t> </w:t>
      </w:r>
      <w:r>
        <w:rPr>
          <w:i/>
          <w:sz w:val="22"/>
        </w:rPr>
        <w:t>no</w:t>
      </w:r>
      <w:r>
        <w:rPr>
          <w:i/>
          <w:spacing w:val="-12"/>
          <w:sz w:val="22"/>
        </w:rPr>
        <w:t> </w:t>
      </w:r>
      <w:r>
        <w:rPr>
          <w:i/>
          <w:sz w:val="22"/>
        </w:rPr>
        <w:t>growth</w:t>
      </w:r>
      <w:r>
        <w:rPr>
          <w:i/>
          <w:spacing w:val="-14"/>
          <w:sz w:val="22"/>
        </w:rPr>
        <w:t> </w:t>
      </w:r>
      <w:r>
        <w:rPr>
          <w:i/>
          <w:sz w:val="22"/>
        </w:rPr>
        <w:t>in</w:t>
      </w:r>
      <w:r>
        <w:rPr>
          <w:i/>
          <w:spacing w:val="-15"/>
          <w:sz w:val="22"/>
        </w:rPr>
        <w:t> </w:t>
      </w:r>
      <w:r>
        <w:rPr>
          <w:i/>
          <w:sz w:val="22"/>
        </w:rPr>
        <w:t>rent</w:t>
      </w:r>
      <w:r>
        <w:rPr>
          <w:i/>
          <w:spacing w:val="-12"/>
          <w:sz w:val="22"/>
        </w:rPr>
        <w:t> </w:t>
      </w:r>
      <w:r>
        <w:rPr>
          <w:i/>
          <w:sz w:val="22"/>
        </w:rPr>
        <w:t>has</w:t>
      </w:r>
      <w:r>
        <w:rPr>
          <w:i/>
          <w:spacing w:val="-14"/>
          <w:sz w:val="22"/>
        </w:rPr>
        <w:t> </w:t>
      </w:r>
      <w:r>
        <w:rPr>
          <w:i/>
          <w:sz w:val="22"/>
        </w:rPr>
        <w:t>been</w:t>
      </w:r>
      <w:r>
        <w:rPr>
          <w:i/>
          <w:spacing w:val="-14"/>
          <w:sz w:val="22"/>
        </w:rPr>
        <w:t> </w:t>
      </w:r>
      <w:r>
        <w:rPr>
          <w:i/>
          <w:sz w:val="22"/>
        </w:rPr>
        <w:t>considered</w:t>
      </w:r>
      <w:r>
        <w:rPr>
          <w:i/>
          <w:spacing w:val="-13"/>
          <w:sz w:val="22"/>
        </w:rPr>
        <w:t> </w:t>
      </w:r>
      <w:r>
        <w:rPr>
          <w:i/>
          <w:sz w:val="22"/>
        </w:rPr>
        <w:t>over</w:t>
      </w:r>
      <w:r>
        <w:rPr>
          <w:i/>
          <w:spacing w:val="-12"/>
          <w:sz w:val="22"/>
        </w:rPr>
        <w:t> </w:t>
      </w:r>
      <w:r>
        <w:rPr>
          <w:i/>
          <w:sz w:val="22"/>
        </w:rPr>
        <w:t>the</w:t>
      </w:r>
      <w:r>
        <w:rPr>
          <w:i/>
          <w:spacing w:val="-13"/>
          <w:sz w:val="22"/>
        </w:rPr>
        <w:t> </w:t>
      </w:r>
      <w:r>
        <w:rPr>
          <w:i/>
          <w:sz w:val="22"/>
        </w:rPr>
        <w:t>next</w:t>
      </w:r>
      <w:r>
        <w:rPr>
          <w:i/>
          <w:spacing w:val="-15"/>
          <w:sz w:val="22"/>
        </w:rPr>
        <w:t> </w:t>
      </w:r>
      <w:r>
        <w:rPr>
          <w:i/>
          <w:sz w:val="22"/>
        </w:rPr>
        <w:t>few</w:t>
      </w:r>
      <w:r>
        <w:rPr>
          <w:i/>
          <w:spacing w:val="-14"/>
          <w:sz w:val="22"/>
        </w:rPr>
        <w:t> </w:t>
      </w:r>
      <w:r>
        <w:rPr>
          <w:i/>
          <w:sz w:val="22"/>
        </w:rPr>
        <w:t>quarters</w:t>
      </w:r>
    </w:p>
    <w:p>
      <w:pPr>
        <w:pStyle w:val="ListParagraph"/>
        <w:numPr>
          <w:ilvl w:val="0"/>
          <w:numId w:val="57"/>
        </w:numPr>
        <w:tabs>
          <w:tab w:pos="1705" w:val="left" w:leader="none"/>
          <w:tab w:pos="1706" w:val="left" w:leader="none"/>
        </w:tabs>
        <w:spacing w:line="268" w:lineRule="auto" w:before="28" w:after="0"/>
        <w:ind w:left="1705" w:right="232" w:hanging="360"/>
        <w:jc w:val="left"/>
        <w:rPr>
          <w:i/>
          <w:sz w:val="22"/>
        </w:rPr>
      </w:pPr>
      <w:r>
        <w:rPr>
          <w:i/>
          <w:sz w:val="22"/>
        </w:rPr>
        <w:t>Considering</w:t>
      </w:r>
      <w:r>
        <w:rPr>
          <w:i/>
          <w:spacing w:val="-44"/>
          <w:sz w:val="22"/>
        </w:rPr>
        <w:t> </w:t>
      </w:r>
      <w:r>
        <w:rPr>
          <w:i/>
          <w:sz w:val="22"/>
        </w:rPr>
        <w:t>challenges</w:t>
      </w:r>
      <w:r>
        <w:rPr>
          <w:i/>
          <w:spacing w:val="-42"/>
          <w:sz w:val="22"/>
        </w:rPr>
        <w:t> </w:t>
      </w:r>
      <w:r>
        <w:rPr>
          <w:i/>
          <w:sz w:val="22"/>
        </w:rPr>
        <w:t>in</w:t>
      </w:r>
      <w:r>
        <w:rPr>
          <w:i/>
          <w:spacing w:val="-43"/>
          <w:sz w:val="22"/>
        </w:rPr>
        <w:t> </w:t>
      </w:r>
      <w:r>
        <w:rPr>
          <w:i/>
          <w:sz w:val="22"/>
        </w:rPr>
        <w:t>the</w:t>
      </w:r>
      <w:r>
        <w:rPr>
          <w:i/>
          <w:spacing w:val="-42"/>
          <w:sz w:val="22"/>
        </w:rPr>
        <w:t> </w:t>
      </w:r>
      <w:r>
        <w:rPr>
          <w:i/>
          <w:sz w:val="22"/>
        </w:rPr>
        <w:t>short</w:t>
      </w:r>
      <w:r>
        <w:rPr>
          <w:i/>
          <w:spacing w:val="-43"/>
          <w:sz w:val="22"/>
        </w:rPr>
        <w:t> </w:t>
      </w:r>
      <w:r>
        <w:rPr>
          <w:i/>
          <w:sz w:val="22"/>
        </w:rPr>
        <w:t>term,</w:t>
      </w:r>
      <w:r>
        <w:rPr>
          <w:i/>
          <w:spacing w:val="-41"/>
          <w:sz w:val="22"/>
        </w:rPr>
        <w:t> </w:t>
      </w:r>
      <w:r>
        <w:rPr>
          <w:i/>
          <w:sz w:val="22"/>
        </w:rPr>
        <w:t>timelines</w:t>
      </w:r>
      <w:r>
        <w:rPr>
          <w:i/>
          <w:spacing w:val="-44"/>
          <w:sz w:val="22"/>
        </w:rPr>
        <w:t> </w:t>
      </w:r>
      <w:r>
        <w:rPr>
          <w:i/>
          <w:sz w:val="22"/>
        </w:rPr>
        <w:t>have</w:t>
      </w:r>
      <w:r>
        <w:rPr>
          <w:i/>
          <w:spacing w:val="-41"/>
          <w:sz w:val="22"/>
        </w:rPr>
        <w:t> </w:t>
      </w:r>
      <w:r>
        <w:rPr>
          <w:i/>
          <w:sz w:val="22"/>
        </w:rPr>
        <w:t>been</w:t>
      </w:r>
      <w:r>
        <w:rPr>
          <w:i/>
          <w:spacing w:val="-43"/>
          <w:sz w:val="22"/>
        </w:rPr>
        <w:t> </w:t>
      </w:r>
      <w:r>
        <w:rPr>
          <w:i/>
          <w:sz w:val="22"/>
        </w:rPr>
        <w:t>extended</w:t>
      </w:r>
      <w:r>
        <w:rPr>
          <w:i/>
          <w:spacing w:val="-42"/>
          <w:sz w:val="22"/>
        </w:rPr>
        <w:t> </w:t>
      </w:r>
      <w:r>
        <w:rPr>
          <w:i/>
          <w:sz w:val="22"/>
        </w:rPr>
        <w:t>for</w:t>
      </w:r>
      <w:r>
        <w:rPr>
          <w:i/>
          <w:spacing w:val="-43"/>
          <w:sz w:val="22"/>
        </w:rPr>
        <w:t> </w:t>
      </w:r>
      <w:r>
        <w:rPr>
          <w:i/>
          <w:sz w:val="22"/>
        </w:rPr>
        <w:t>new</w:t>
      </w:r>
      <w:r>
        <w:rPr>
          <w:i/>
          <w:spacing w:val="-42"/>
          <w:sz w:val="22"/>
        </w:rPr>
        <w:t> </w:t>
      </w:r>
      <w:r>
        <w:rPr>
          <w:i/>
          <w:sz w:val="22"/>
        </w:rPr>
        <w:t>space</w:t>
      </w:r>
      <w:r>
        <w:rPr>
          <w:i/>
          <w:spacing w:val="-43"/>
          <w:sz w:val="22"/>
        </w:rPr>
        <w:t> </w:t>
      </w:r>
      <w:r>
        <w:rPr>
          <w:i/>
          <w:sz w:val="22"/>
        </w:rPr>
        <w:t>take-up/ </w:t>
      </w:r>
      <w:r>
        <w:rPr>
          <w:i/>
          <w:sz w:val="22"/>
        </w:rPr>
        <w:t>future</w:t>
      </w:r>
      <w:r>
        <w:rPr>
          <w:i/>
          <w:spacing w:val="-3"/>
          <w:sz w:val="22"/>
        </w:rPr>
        <w:t> </w:t>
      </w:r>
      <w:r>
        <w:rPr>
          <w:i/>
          <w:sz w:val="22"/>
        </w:rPr>
        <w:t>leasing</w:t>
      </w:r>
    </w:p>
    <w:p>
      <w:pPr>
        <w:pStyle w:val="ListParagraph"/>
        <w:numPr>
          <w:ilvl w:val="0"/>
          <w:numId w:val="57"/>
        </w:numPr>
        <w:tabs>
          <w:tab w:pos="1705" w:val="left" w:leader="none"/>
          <w:tab w:pos="1706" w:val="left" w:leader="none"/>
        </w:tabs>
        <w:spacing w:line="268" w:lineRule="auto" w:before="0" w:after="0"/>
        <w:ind w:left="1705" w:right="231" w:hanging="360"/>
        <w:jc w:val="left"/>
        <w:rPr>
          <w:i/>
          <w:sz w:val="22"/>
        </w:rPr>
      </w:pPr>
      <w:r>
        <w:rPr>
          <w:i/>
          <w:sz w:val="22"/>
        </w:rPr>
        <w:t>Additional</w:t>
      </w:r>
      <w:r>
        <w:rPr>
          <w:i/>
          <w:spacing w:val="-28"/>
          <w:sz w:val="22"/>
        </w:rPr>
        <w:t> </w:t>
      </w:r>
      <w:r>
        <w:rPr>
          <w:i/>
          <w:sz w:val="22"/>
        </w:rPr>
        <w:t>fit-out</w:t>
      </w:r>
      <w:r>
        <w:rPr>
          <w:i/>
          <w:spacing w:val="-27"/>
          <w:sz w:val="22"/>
        </w:rPr>
        <w:t> </w:t>
      </w:r>
      <w:r>
        <w:rPr>
          <w:i/>
          <w:sz w:val="22"/>
        </w:rPr>
        <w:t>period/</w:t>
      </w:r>
      <w:r>
        <w:rPr>
          <w:i/>
          <w:spacing w:val="-27"/>
          <w:sz w:val="22"/>
        </w:rPr>
        <w:t> </w:t>
      </w:r>
      <w:r>
        <w:rPr>
          <w:i/>
          <w:sz w:val="22"/>
        </w:rPr>
        <w:t>rent</w:t>
      </w:r>
      <w:r>
        <w:rPr>
          <w:i/>
          <w:spacing w:val="-28"/>
          <w:sz w:val="22"/>
        </w:rPr>
        <w:t> </w:t>
      </w:r>
      <w:r>
        <w:rPr>
          <w:i/>
          <w:sz w:val="22"/>
        </w:rPr>
        <w:t>free</w:t>
      </w:r>
      <w:r>
        <w:rPr>
          <w:i/>
          <w:spacing w:val="-27"/>
          <w:sz w:val="22"/>
        </w:rPr>
        <w:t> </w:t>
      </w:r>
      <w:r>
        <w:rPr>
          <w:i/>
          <w:sz w:val="22"/>
        </w:rPr>
        <w:t>months</w:t>
      </w:r>
      <w:r>
        <w:rPr>
          <w:i/>
          <w:spacing w:val="-26"/>
          <w:sz w:val="22"/>
        </w:rPr>
        <w:t> </w:t>
      </w:r>
      <w:r>
        <w:rPr>
          <w:i/>
          <w:sz w:val="22"/>
        </w:rPr>
        <w:t>have</w:t>
      </w:r>
      <w:r>
        <w:rPr>
          <w:i/>
          <w:spacing w:val="-27"/>
          <w:sz w:val="22"/>
        </w:rPr>
        <w:t> </w:t>
      </w:r>
      <w:r>
        <w:rPr>
          <w:i/>
          <w:sz w:val="22"/>
        </w:rPr>
        <w:t>been</w:t>
      </w:r>
      <w:r>
        <w:rPr>
          <w:i/>
          <w:spacing w:val="-27"/>
          <w:sz w:val="22"/>
        </w:rPr>
        <w:t> </w:t>
      </w:r>
      <w:r>
        <w:rPr>
          <w:i/>
          <w:sz w:val="22"/>
        </w:rPr>
        <w:t>incorporated</w:t>
      </w:r>
      <w:r>
        <w:rPr>
          <w:i/>
          <w:spacing w:val="-28"/>
          <w:sz w:val="22"/>
        </w:rPr>
        <w:t> </w:t>
      </w:r>
      <w:r>
        <w:rPr>
          <w:i/>
          <w:sz w:val="22"/>
        </w:rPr>
        <w:t>where</w:t>
      </w:r>
      <w:r>
        <w:rPr>
          <w:i/>
          <w:spacing w:val="-27"/>
          <w:sz w:val="22"/>
        </w:rPr>
        <w:t> </w:t>
      </w:r>
      <w:r>
        <w:rPr>
          <w:i/>
          <w:sz w:val="22"/>
        </w:rPr>
        <w:t>fit-out</w:t>
      </w:r>
      <w:r>
        <w:rPr>
          <w:i/>
          <w:spacing w:val="-28"/>
          <w:sz w:val="22"/>
        </w:rPr>
        <w:t> </w:t>
      </w:r>
      <w:r>
        <w:rPr>
          <w:i/>
          <w:sz w:val="22"/>
        </w:rPr>
        <w:t>works</w:t>
      </w:r>
      <w:r>
        <w:rPr>
          <w:i/>
          <w:spacing w:val="-27"/>
          <w:sz w:val="22"/>
        </w:rPr>
        <w:t> </w:t>
      </w:r>
      <w:r>
        <w:rPr>
          <w:i/>
          <w:sz w:val="22"/>
        </w:rPr>
        <w:t>have </w:t>
      </w:r>
      <w:r>
        <w:rPr>
          <w:i/>
          <w:sz w:val="22"/>
        </w:rPr>
        <w:t>commenced”</w:t>
      </w:r>
    </w:p>
    <w:p>
      <w:pPr>
        <w:pStyle w:val="ListParagraph"/>
        <w:numPr>
          <w:ilvl w:val="2"/>
          <w:numId w:val="14"/>
        </w:numPr>
        <w:tabs>
          <w:tab w:pos="981" w:val="left" w:leader="none"/>
        </w:tabs>
        <w:spacing w:line="240" w:lineRule="auto" w:before="233" w:after="0"/>
        <w:ind w:left="980" w:right="0" w:hanging="721"/>
        <w:jc w:val="left"/>
        <w:rPr>
          <w:sz w:val="22"/>
        </w:rPr>
      </w:pPr>
      <w:bookmarkStart w:name="_bookmark203" w:id="396"/>
      <w:bookmarkEnd w:id="396"/>
      <w:r>
        <w:rPr/>
      </w:r>
      <w:bookmarkStart w:name="_bookmark203" w:id="397"/>
      <w:bookmarkEnd w:id="397"/>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7"/>
        <w:ind w:left="826" w:right="234"/>
        <w:jc w:val="both"/>
      </w:pPr>
      <w:r>
        <w:rPr/>
        <w:t>Based</w:t>
      </w:r>
      <w:r>
        <w:rPr>
          <w:spacing w:val="-25"/>
        </w:rPr>
        <w:t> </w:t>
      </w:r>
      <w:r>
        <w:rPr/>
        <w:t>on</w:t>
      </w:r>
      <w:r>
        <w:rPr>
          <w:spacing w:val="-24"/>
        </w:rPr>
        <w:t> </w:t>
      </w:r>
      <w:r>
        <w:rPr/>
        <w:t>information/rent</w:t>
      </w:r>
      <w:r>
        <w:rPr>
          <w:spacing w:val="-24"/>
        </w:rPr>
        <w:t> </w:t>
      </w:r>
      <w:r>
        <w:rPr/>
        <w:t>roll</w:t>
      </w:r>
      <w:r>
        <w:rPr>
          <w:spacing w:val="-25"/>
        </w:rPr>
        <w:t> </w:t>
      </w:r>
      <w:r>
        <w:rPr/>
        <w:t>provided</w:t>
      </w:r>
      <w:r>
        <w:rPr>
          <w:spacing w:val="-25"/>
        </w:rPr>
        <w:t> </w:t>
      </w:r>
      <w:r>
        <w:rPr/>
        <w:t>by</w:t>
      </w:r>
      <w:r>
        <w:rPr>
          <w:spacing w:val="-23"/>
        </w:rPr>
        <w:t> </w:t>
      </w:r>
      <w:r>
        <w:rPr/>
        <w:t>the</w:t>
      </w:r>
      <w:r>
        <w:rPr>
          <w:spacing w:val="-25"/>
        </w:rPr>
        <w:t> </w:t>
      </w:r>
      <w:r>
        <w:rPr/>
        <w:t>Client,</w:t>
      </w:r>
      <w:r>
        <w:rPr>
          <w:spacing w:val="-24"/>
        </w:rPr>
        <w:t> </w:t>
      </w:r>
      <w:r>
        <w:rPr/>
        <w:t>we</w:t>
      </w:r>
      <w:r>
        <w:rPr>
          <w:spacing w:val="-24"/>
        </w:rPr>
        <w:t> </w:t>
      </w:r>
      <w:r>
        <w:rPr/>
        <w:t>understand</w:t>
      </w:r>
      <w:r>
        <w:rPr>
          <w:spacing w:val="-25"/>
        </w:rPr>
        <w:t> </w:t>
      </w:r>
      <w:r>
        <w:rPr/>
        <w:t>that</w:t>
      </w:r>
      <w:r>
        <w:rPr>
          <w:spacing w:val="-25"/>
        </w:rPr>
        <w:t> </w:t>
      </w:r>
      <w:r>
        <w:rPr/>
        <w:t>subject</w:t>
      </w:r>
      <w:r>
        <w:rPr>
          <w:spacing w:val="-25"/>
        </w:rPr>
        <w:t> </w:t>
      </w:r>
      <w:r>
        <w:rPr/>
        <w:t>property</w:t>
      </w:r>
      <w:r>
        <w:rPr>
          <w:spacing w:val="-18"/>
        </w:rPr>
        <w:t> </w:t>
      </w:r>
      <w:r>
        <w:rPr/>
        <w:t>is</w:t>
      </w:r>
      <w:r>
        <w:rPr>
          <w:spacing w:val="-24"/>
        </w:rPr>
        <w:t> </w:t>
      </w:r>
      <w:r>
        <w:rPr/>
        <w:t>an</w:t>
      </w:r>
      <w:r>
        <w:rPr>
          <w:spacing w:val="-25"/>
        </w:rPr>
        <w:t> </w:t>
      </w:r>
      <w:r>
        <w:rPr/>
        <w:t>office park.</w:t>
      </w:r>
      <w:r>
        <w:rPr>
          <w:spacing w:val="-15"/>
        </w:rPr>
        <w:t> </w:t>
      </w:r>
      <w:r>
        <w:rPr/>
        <w:t>Further,</w:t>
      </w:r>
      <w:r>
        <w:rPr>
          <w:spacing w:val="-15"/>
        </w:rPr>
        <w:t> </w:t>
      </w:r>
      <w:r>
        <w:rPr/>
        <w:t>the</w:t>
      </w:r>
      <w:r>
        <w:rPr>
          <w:spacing w:val="-14"/>
        </w:rPr>
        <w:t> </w:t>
      </w:r>
      <w:r>
        <w:rPr/>
        <w:t>table</w:t>
      </w:r>
      <w:r>
        <w:rPr>
          <w:spacing w:val="-16"/>
        </w:rPr>
        <w:t> </w:t>
      </w:r>
      <w:r>
        <w:rPr/>
        <w:t>below</w:t>
      </w:r>
      <w:r>
        <w:rPr>
          <w:spacing w:val="-14"/>
        </w:rPr>
        <w:t> </w:t>
      </w:r>
      <w:r>
        <w:rPr/>
        <w:t>highlights</w:t>
      </w:r>
      <w:r>
        <w:rPr>
          <w:spacing w:val="-14"/>
        </w:rPr>
        <w:t> </w:t>
      </w:r>
      <w:r>
        <w:rPr/>
        <w:t>the</w:t>
      </w:r>
      <w:r>
        <w:rPr>
          <w:spacing w:val="-15"/>
        </w:rPr>
        <w:t> </w:t>
      </w:r>
      <w:r>
        <w:rPr/>
        <w:t>area</w:t>
      </w:r>
      <w:r>
        <w:rPr>
          <w:spacing w:val="-15"/>
        </w:rPr>
        <w:t> </w:t>
      </w:r>
      <w:r>
        <w:rPr/>
        <w:t>configuration</w:t>
      </w:r>
      <w:r>
        <w:rPr>
          <w:spacing w:val="-15"/>
        </w:rPr>
        <w:t> </w:t>
      </w:r>
      <w:r>
        <w:rPr/>
        <w:t>of</w:t>
      </w:r>
      <w:r>
        <w:rPr>
          <w:spacing w:val="-14"/>
        </w:rPr>
        <w:t> </w:t>
      </w:r>
      <w:r>
        <w:rPr/>
        <w:t>the</w:t>
      </w:r>
      <w:r>
        <w:rPr>
          <w:spacing w:val="-15"/>
        </w:rPr>
        <w:t> </w:t>
      </w:r>
      <w:r>
        <w:rPr/>
        <w:t>subject</w:t>
      </w:r>
      <w:r>
        <w:rPr>
          <w:spacing w:val="-15"/>
        </w:rPr>
        <w:t> </w:t>
      </w:r>
      <w:r>
        <w:rPr/>
        <w:t>property:</w:t>
      </w:r>
    </w:p>
    <w:p>
      <w:pPr>
        <w:pStyle w:val="BodyText"/>
        <w:spacing w:before="9"/>
        <w:rPr>
          <w:sz w:val="21"/>
        </w:rPr>
      </w:pPr>
    </w:p>
    <w:tbl>
      <w:tblPr>
        <w:tblW w:w="0" w:type="auto"/>
        <w:jc w:val="left"/>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18"/>
        <w:gridCol w:w="6169"/>
      </w:tblGrid>
      <w:tr>
        <w:trPr>
          <w:trHeight w:val="277" w:hRule="atLeast"/>
        </w:trPr>
        <w:tc>
          <w:tcPr>
            <w:tcW w:w="4318" w:type="dxa"/>
            <w:tcBorders>
              <w:top w:val="single" w:sz="12" w:space="0" w:color="1B6B22"/>
              <w:bottom w:val="single" w:sz="6" w:space="0" w:color="69BD28"/>
            </w:tcBorders>
            <w:shd w:val="clear" w:color="auto" w:fill="006A4D"/>
          </w:tcPr>
          <w:p>
            <w:pPr>
              <w:pStyle w:val="TableParagraph"/>
              <w:spacing w:before="34"/>
              <w:ind w:left="1590" w:right="1544"/>
              <w:rPr>
                <w:b/>
                <w:sz w:val="18"/>
              </w:rPr>
            </w:pPr>
            <w:r>
              <w:rPr>
                <w:b/>
                <w:color w:val="FFFFFF"/>
                <w:w w:val="110"/>
                <w:sz w:val="18"/>
              </w:rPr>
              <w:t>Components</w:t>
            </w:r>
          </w:p>
        </w:tc>
        <w:tc>
          <w:tcPr>
            <w:tcW w:w="6169" w:type="dxa"/>
            <w:tcBorders>
              <w:top w:val="single" w:sz="12" w:space="0" w:color="1B6B22"/>
              <w:bottom w:val="single" w:sz="6" w:space="0" w:color="69BD28"/>
            </w:tcBorders>
            <w:shd w:val="clear" w:color="auto" w:fill="006A4D"/>
          </w:tcPr>
          <w:p>
            <w:pPr>
              <w:pStyle w:val="TableParagraph"/>
              <w:spacing w:before="34"/>
              <w:ind w:left="1555" w:right="1522"/>
              <w:rPr>
                <w:b/>
                <w:sz w:val="18"/>
              </w:rPr>
            </w:pPr>
            <w:r>
              <w:rPr>
                <w:b/>
                <w:color w:val="FFFFFF"/>
                <w:w w:val="110"/>
                <w:sz w:val="18"/>
              </w:rPr>
              <w:t>Operational leasable area (in sft)</w:t>
            </w:r>
          </w:p>
        </w:tc>
      </w:tr>
      <w:tr>
        <w:trPr>
          <w:trHeight w:val="366" w:hRule="atLeast"/>
        </w:trPr>
        <w:tc>
          <w:tcPr>
            <w:tcW w:w="4318" w:type="dxa"/>
            <w:tcBorders>
              <w:top w:val="single" w:sz="6" w:space="0" w:color="69BD28"/>
              <w:bottom w:val="single" w:sz="6" w:space="0" w:color="69BD28"/>
            </w:tcBorders>
          </w:tcPr>
          <w:p>
            <w:pPr>
              <w:pStyle w:val="TableParagraph"/>
              <w:spacing w:before="80"/>
              <w:ind w:left="1590" w:right="1544"/>
              <w:rPr>
                <w:sz w:val="18"/>
              </w:rPr>
            </w:pPr>
            <w:r>
              <w:rPr>
                <w:sz w:val="18"/>
              </w:rPr>
              <w:t>Office space</w:t>
            </w:r>
          </w:p>
        </w:tc>
        <w:tc>
          <w:tcPr>
            <w:tcW w:w="6169" w:type="dxa"/>
            <w:tcBorders>
              <w:top w:val="single" w:sz="6" w:space="0" w:color="69BD28"/>
              <w:bottom w:val="single" w:sz="6" w:space="0" w:color="69BD28"/>
            </w:tcBorders>
          </w:tcPr>
          <w:p>
            <w:pPr>
              <w:pStyle w:val="TableParagraph"/>
              <w:spacing w:before="80"/>
              <w:ind w:left="1551" w:right="1522"/>
              <w:rPr>
                <w:sz w:val="18"/>
              </w:rPr>
            </w:pPr>
            <w:r>
              <w:rPr>
                <w:w w:val="105"/>
                <w:sz w:val="18"/>
              </w:rPr>
              <w:t>1,843,236</w:t>
            </w:r>
          </w:p>
        </w:tc>
      </w:tr>
      <w:tr>
        <w:trPr>
          <w:trHeight w:val="412" w:hRule="atLeast"/>
        </w:trPr>
        <w:tc>
          <w:tcPr>
            <w:tcW w:w="4318" w:type="dxa"/>
            <w:tcBorders>
              <w:top w:val="single" w:sz="6" w:space="0" w:color="69BD28"/>
              <w:bottom w:val="single" w:sz="6" w:space="0" w:color="69BD28"/>
            </w:tcBorders>
          </w:tcPr>
          <w:p>
            <w:pPr>
              <w:pStyle w:val="TableParagraph"/>
              <w:spacing w:before="102"/>
              <w:ind w:left="1590" w:right="1542"/>
              <w:rPr>
                <w:sz w:val="18"/>
              </w:rPr>
            </w:pPr>
            <w:r>
              <w:rPr>
                <w:sz w:val="18"/>
              </w:rPr>
              <w:t>Retail</w:t>
            </w:r>
          </w:p>
        </w:tc>
        <w:tc>
          <w:tcPr>
            <w:tcW w:w="6169" w:type="dxa"/>
            <w:tcBorders>
              <w:top w:val="single" w:sz="6" w:space="0" w:color="69BD28"/>
              <w:bottom w:val="single" w:sz="6" w:space="0" w:color="69BD28"/>
            </w:tcBorders>
          </w:tcPr>
          <w:p>
            <w:pPr>
              <w:pStyle w:val="TableParagraph"/>
              <w:spacing w:before="102"/>
              <w:ind w:left="1553" w:right="1522"/>
              <w:rPr>
                <w:sz w:val="18"/>
              </w:rPr>
            </w:pPr>
            <w:r>
              <w:rPr>
                <w:w w:val="110"/>
                <w:sz w:val="18"/>
              </w:rPr>
              <w:t>22,887</w:t>
            </w:r>
          </w:p>
        </w:tc>
      </w:tr>
      <w:tr>
        <w:trPr>
          <w:trHeight w:val="357" w:hRule="atLeast"/>
        </w:trPr>
        <w:tc>
          <w:tcPr>
            <w:tcW w:w="4318" w:type="dxa"/>
            <w:tcBorders>
              <w:top w:val="single" w:sz="6" w:space="0" w:color="69BD28"/>
              <w:bottom w:val="single" w:sz="6" w:space="0" w:color="69BD28"/>
            </w:tcBorders>
          </w:tcPr>
          <w:p>
            <w:pPr>
              <w:pStyle w:val="TableParagraph"/>
              <w:spacing w:before="75"/>
              <w:ind w:left="1590" w:right="1544"/>
              <w:rPr>
                <w:sz w:val="18"/>
              </w:rPr>
            </w:pPr>
            <w:r>
              <w:rPr>
                <w:sz w:val="18"/>
              </w:rPr>
              <w:t>Food Court</w:t>
            </w:r>
          </w:p>
        </w:tc>
        <w:tc>
          <w:tcPr>
            <w:tcW w:w="6169" w:type="dxa"/>
            <w:tcBorders>
              <w:top w:val="single" w:sz="6" w:space="0" w:color="69BD28"/>
              <w:bottom w:val="single" w:sz="6" w:space="0" w:color="69BD28"/>
            </w:tcBorders>
          </w:tcPr>
          <w:p>
            <w:pPr>
              <w:pStyle w:val="TableParagraph"/>
              <w:spacing w:before="75"/>
              <w:ind w:left="1553" w:right="1522"/>
              <w:rPr>
                <w:sz w:val="18"/>
              </w:rPr>
            </w:pPr>
            <w:r>
              <w:rPr>
                <w:w w:val="110"/>
                <w:sz w:val="18"/>
              </w:rPr>
              <w:t>28,551</w:t>
            </w:r>
          </w:p>
        </w:tc>
      </w:tr>
      <w:tr>
        <w:trPr>
          <w:trHeight w:val="349" w:hRule="atLeast"/>
        </w:trPr>
        <w:tc>
          <w:tcPr>
            <w:tcW w:w="4318" w:type="dxa"/>
            <w:tcBorders>
              <w:top w:val="single" w:sz="6" w:space="0" w:color="69BD28"/>
              <w:bottom w:val="single" w:sz="6" w:space="0" w:color="69BD28"/>
            </w:tcBorders>
          </w:tcPr>
          <w:p>
            <w:pPr>
              <w:pStyle w:val="TableParagraph"/>
              <w:spacing w:before="70"/>
              <w:ind w:left="1590" w:right="1542"/>
              <w:rPr>
                <w:sz w:val="18"/>
              </w:rPr>
            </w:pPr>
            <w:r>
              <w:rPr>
                <w:sz w:val="18"/>
              </w:rPr>
              <w:t>Total</w:t>
            </w:r>
          </w:p>
        </w:tc>
        <w:tc>
          <w:tcPr>
            <w:tcW w:w="6169" w:type="dxa"/>
            <w:tcBorders>
              <w:top w:val="single" w:sz="6" w:space="0" w:color="69BD28"/>
              <w:bottom w:val="single" w:sz="6" w:space="0" w:color="69BD28"/>
            </w:tcBorders>
          </w:tcPr>
          <w:p>
            <w:pPr>
              <w:pStyle w:val="TableParagraph"/>
              <w:spacing w:before="70"/>
              <w:ind w:left="1553" w:right="1522"/>
              <w:rPr>
                <w:sz w:val="18"/>
              </w:rPr>
            </w:pPr>
            <w:r>
              <w:rPr>
                <w:w w:val="105"/>
                <w:sz w:val="18"/>
              </w:rPr>
              <w:t>1,894,674</w:t>
            </w:r>
          </w:p>
        </w:tc>
      </w:tr>
    </w:tbl>
    <w:p>
      <w:pPr>
        <w:spacing w:before="0"/>
        <w:ind w:left="260" w:right="0" w:firstLine="0"/>
        <w:jc w:val="left"/>
        <w:rPr>
          <w:i/>
          <w:sz w:val="18"/>
        </w:rPr>
      </w:pPr>
      <w:r>
        <w:rPr>
          <w:i/>
          <w:sz w:val="18"/>
        </w:rPr>
        <w:t>Source: Rent roll provided by Client</w:t>
      </w:r>
    </w:p>
    <w:p>
      <w:pPr>
        <w:spacing w:after="0"/>
        <w:jc w:val="left"/>
        <w:rPr>
          <w:sz w:val="18"/>
        </w:rPr>
        <w:sectPr>
          <w:pgSz w:w="11910" w:h="16840"/>
          <w:pgMar w:header="720" w:footer="921" w:top="1660" w:bottom="1120" w:left="460" w:right="480"/>
        </w:sectPr>
      </w:pPr>
    </w:p>
    <w:p>
      <w:pPr>
        <w:pStyle w:val="BodyText"/>
        <w:spacing w:before="7"/>
        <w:rPr>
          <w:i/>
          <w:sz w:val="9"/>
        </w:rPr>
      </w:pPr>
    </w:p>
    <w:p>
      <w:pPr>
        <w:pStyle w:val="ListParagraph"/>
        <w:numPr>
          <w:ilvl w:val="2"/>
          <w:numId w:val="14"/>
        </w:numPr>
        <w:tabs>
          <w:tab w:pos="981" w:val="left" w:leader="none"/>
        </w:tabs>
        <w:spacing w:line="240" w:lineRule="auto" w:before="106" w:after="0"/>
        <w:ind w:left="980" w:right="0" w:hanging="721"/>
        <w:jc w:val="left"/>
        <w:rPr>
          <w:sz w:val="22"/>
        </w:rPr>
      </w:pPr>
      <w:bookmarkStart w:name="_bookmark204" w:id="398"/>
      <w:bookmarkEnd w:id="398"/>
      <w:r>
        <w:rPr/>
      </w:r>
      <w:bookmarkStart w:name="_bookmark204" w:id="399"/>
      <w:bookmarkEnd w:id="399"/>
      <w:r>
        <w:rPr>
          <w:color w:val="1F664D"/>
          <w:sz w:val="22"/>
        </w:rPr>
        <w:t>Con</w:t>
      </w:r>
      <w:r>
        <w:rPr>
          <w:color w:val="1F664D"/>
          <w:sz w:val="22"/>
        </w:rPr>
        <w:t>struction Timelines</w:t>
      </w:r>
    </w:p>
    <w:p>
      <w:pPr>
        <w:pStyle w:val="BodyText"/>
        <w:spacing w:before="6"/>
        <w:rPr>
          <w:sz w:val="25"/>
        </w:rPr>
      </w:pPr>
    </w:p>
    <w:p>
      <w:pPr>
        <w:spacing w:before="1"/>
        <w:ind w:left="260" w:right="0" w:firstLine="0"/>
        <w:jc w:val="left"/>
        <w:rPr>
          <w:i/>
          <w:sz w:val="20"/>
        </w:rPr>
      </w:pPr>
      <w:r>
        <w:rPr>
          <w:i/>
          <w:color w:val="008000"/>
          <w:sz w:val="22"/>
        </w:rPr>
        <w:t>10.4.3.1 </w:t>
      </w:r>
      <w:r>
        <w:rPr>
          <w:i/>
          <w:color w:val="008000"/>
          <w:sz w:val="20"/>
        </w:rPr>
        <w:t>Completed Blocks</w:t>
      </w:r>
    </w:p>
    <w:p>
      <w:pPr>
        <w:pStyle w:val="BodyText"/>
        <w:spacing w:line="321" w:lineRule="auto" w:before="75"/>
        <w:ind w:left="826" w:right="236"/>
        <w:jc w:val="both"/>
      </w:pPr>
      <w:r>
        <w:rPr/>
        <w:t>As</w:t>
      </w:r>
      <w:r>
        <w:rPr>
          <w:spacing w:val="-37"/>
        </w:rPr>
        <w:t> </w:t>
      </w:r>
      <w:r>
        <w:rPr/>
        <w:t>highlighted</w:t>
      </w:r>
      <w:r>
        <w:rPr>
          <w:spacing w:val="-37"/>
        </w:rPr>
        <w:t> </w:t>
      </w:r>
      <w:r>
        <w:rPr/>
        <w:t>earlier,</w:t>
      </w:r>
      <w:r>
        <w:rPr>
          <w:spacing w:val="-37"/>
        </w:rPr>
        <w:t> </w:t>
      </w:r>
      <w:r>
        <w:rPr/>
        <w:t>the</w:t>
      </w:r>
      <w:r>
        <w:rPr>
          <w:spacing w:val="-37"/>
        </w:rPr>
        <w:t> </w:t>
      </w:r>
      <w:r>
        <w:rPr/>
        <w:t>subject</w:t>
      </w:r>
      <w:r>
        <w:rPr>
          <w:spacing w:val="-37"/>
        </w:rPr>
        <w:t> </w:t>
      </w:r>
      <w:r>
        <w:rPr/>
        <w:t>property</w:t>
      </w:r>
      <w:r>
        <w:rPr>
          <w:spacing w:val="-36"/>
        </w:rPr>
        <w:t> </w:t>
      </w:r>
      <w:r>
        <w:rPr/>
        <w:t>has</w:t>
      </w:r>
      <w:r>
        <w:rPr>
          <w:spacing w:val="-37"/>
        </w:rPr>
        <w:t> </w:t>
      </w:r>
      <w:r>
        <w:rPr/>
        <w:t>1.9</w:t>
      </w:r>
      <w:r>
        <w:rPr>
          <w:spacing w:val="-38"/>
        </w:rPr>
        <w:t> </w:t>
      </w:r>
      <w:r>
        <w:rPr/>
        <w:t>million</w:t>
      </w:r>
      <w:r>
        <w:rPr>
          <w:spacing w:val="-38"/>
        </w:rPr>
        <w:t> </w:t>
      </w:r>
      <w:r>
        <w:rPr/>
        <w:t>sft</w:t>
      </w:r>
      <w:r>
        <w:rPr>
          <w:spacing w:val="-36"/>
        </w:rPr>
        <w:t> </w:t>
      </w:r>
      <w:r>
        <w:rPr/>
        <w:t>of</w:t>
      </w:r>
      <w:r>
        <w:rPr>
          <w:spacing w:val="-37"/>
        </w:rPr>
        <w:t> </w:t>
      </w:r>
      <w:r>
        <w:rPr/>
        <w:t>completed</w:t>
      </w:r>
      <w:r>
        <w:rPr>
          <w:spacing w:val="-35"/>
        </w:rPr>
        <w:t> </w:t>
      </w:r>
      <w:r>
        <w:rPr/>
        <w:t>development</w:t>
      </w:r>
      <w:r>
        <w:rPr>
          <w:spacing w:val="-37"/>
        </w:rPr>
        <w:t> </w:t>
      </w:r>
      <w:r>
        <w:rPr/>
        <w:t>and</w:t>
      </w:r>
      <w:r>
        <w:rPr>
          <w:spacing w:val="-36"/>
        </w:rPr>
        <w:t> </w:t>
      </w:r>
      <w:r>
        <w:rPr/>
        <w:t>no</w:t>
      </w:r>
      <w:r>
        <w:rPr>
          <w:spacing w:val="-38"/>
        </w:rPr>
        <w:t> </w:t>
      </w:r>
      <w:r>
        <w:rPr/>
        <w:t>pending cost</w:t>
      </w:r>
      <w:r>
        <w:rPr>
          <w:spacing w:val="-9"/>
        </w:rPr>
        <w:t> </w:t>
      </w:r>
      <w:r>
        <w:rPr/>
        <w:t>to</w:t>
      </w:r>
      <w:r>
        <w:rPr>
          <w:spacing w:val="-9"/>
        </w:rPr>
        <w:t> </w:t>
      </w:r>
      <w:r>
        <w:rPr/>
        <w:t>complete</w:t>
      </w:r>
      <w:r>
        <w:rPr>
          <w:spacing w:val="-9"/>
        </w:rPr>
        <w:t> </w:t>
      </w:r>
      <w:r>
        <w:rPr/>
        <w:t>is</w:t>
      </w:r>
      <w:r>
        <w:rPr>
          <w:spacing w:val="-7"/>
        </w:rPr>
        <w:t> </w:t>
      </w:r>
      <w:r>
        <w:rPr/>
        <w:t>remaining</w:t>
      </w:r>
      <w:r>
        <w:rPr>
          <w:spacing w:val="-9"/>
        </w:rPr>
        <w:t> </w:t>
      </w:r>
      <w:r>
        <w:rPr/>
        <w:t>as</w:t>
      </w:r>
      <w:r>
        <w:rPr>
          <w:spacing w:val="-8"/>
        </w:rPr>
        <w:t> </w:t>
      </w:r>
      <w:r>
        <w:rPr/>
        <w:t>of</w:t>
      </w:r>
      <w:r>
        <w:rPr>
          <w:spacing w:val="-11"/>
        </w:rPr>
        <w:t> </w:t>
      </w:r>
      <w:r>
        <w:rPr/>
        <w:t>date</w:t>
      </w:r>
      <w:r>
        <w:rPr>
          <w:spacing w:val="-8"/>
        </w:rPr>
        <w:t> </w:t>
      </w:r>
      <w:r>
        <w:rPr/>
        <w:t>of</w:t>
      </w:r>
      <w:r>
        <w:rPr>
          <w:spacing w:val="-8"/>
        </w:rPr>
        <w:t> </w:t>
      </w:r>
      <w:r>
        <w:rPr/>
        <w:t>valuation</w:t>
      </w:r>
      <w:r>
        <w:rPr>
          <w:spacing w:val="-10"/>
        </w:rPr>
        <w:t> </w:t>
      </w:r>
      <w:r>
        <w:rPr/>
        <w:t>for</w:t>
      </w:r>
      <w:r>
        <w:rPr>
          <w:spacing w:val="-8"/>
        </w:rPr>
        <w:t> </w:t>
      </w:r>
      <w:r>
        <w:rPr/>
        <w:t>the</w:t>
      </w:r>
      <w:r>
        <w:rPr>
          <w:spacing w:val="-10"/>
        </w:rPr>
        <w:t> </w:t>
      </w:r>
      <w:r>
        <w:rPr/>
        <w:t>completed</w:t>
      </w:r>
      <w:r>
        <w:rPr>
          <w:spacing w:val="-9"/>
        </w:rPr>
        <w:t> </w:t>
      </w:r>
      <w:r>
        <w:rPr/>
        <w:t>blocks.</w:t>
      </w:r>
    </w:p>
    <w:p>
      <w:pPr>
        <w:pStyle w:val="BodyText"/>
        <w:spacing w:before="7"/>
        <w:rPr>
          <w:sz w:val="20"/>
        </w:rPr>
      </w:pPr>
    </w:p>
    <w:p>
      <w:pPr>
        <w:pStyle w:val="ListParagraph"/>
        <w:numPr>
          <w:ilvl w:val="2"/>
          <w:numId w:val="14"/>
        </w:numPr>
        <w:tabs>
          <w:tab w:pos="981" w:val="left" w:leader="none"/>
        </w:tabs>
        <w:spacing w:line="240" w:lineRule="auto" w:before="0" w:after="0"/>
        <w:ind w:left="980" w:right="0" w:hanging="721"/>
        <w:jc w:val="left"/>
        <w:rPr>
          <w:sz w:val="22"/>
        </w:rPr>
      </w:pPr>
      <w:bookmarkStart w:name="_bookmark205" w:id="400"/>
      <w:bookmarkEnd w:id="400"/>
      <w:r>
        <w:rPr/>
      </w:r>
      <w:bookmarkStart w:name="_bookmark205" w:id="401"/>
      <w:bookmarkEnd w:id="401"/>
      <w:r>
        <w:rPr>
          <w:color w:val="1F664D"/>
          <w:sz w:val="22"/>
        </w:rPr>
        <w:t>A</w:t>
      </w:r>
      <w:r>
        <w:rPr>
          <w:color w:val="1F664D"/>
          <w:sz w:val="22"/>
        </w:rPr>
        <w:t>bsorption/ Leasing Velocity and Occupancy</w:t>
      </w:r>
      <w:r>
        <w:rPr>
          <w:color w:val="1F664D"/>
          <w:spacing w:val="1"/>
          <w:sz w:val="22"/>
        </w:rPr>
        <w:t> </w:t>
      </w:r>
      <w:r>
        <w:rPr>
          <w:color w:val="1F664D"/>
          <w:sz w:val="22"/>
        </w:rPr>
        <w:t>Profile</w:t>
      </w:r>
    </w:p>
    <w:p>
      <w:pPr>
        <w:pStyle w:val="BodyText"/>
        <w:spacing w:before="7"/>
        <w:rPr>
          <w:sz w:val="25"/>
        </w:rPr>
      </w:pPr>
    </w:p>
    <w:p>
      <w:pPr>
        <w:spacing w:before="0"/>
        <w:ind w:left="260" w:right="0" w:firstLine="0"/>
        <w:jc w:val="both"/>
        <w:rPr>
          <w:i/>
          <w:sz w:val="20"/>
        </w:rPr>
      </w:pPr>
      <w:r>
        <w:rPr>
          <w:i/>
          <w:color w:val="008000"/>
          <w:w w:val="95"/>
          <w:sz w:val="22"/>
        </w:rPr>
        <w:t>10.4.4.1 </w:t>
      </w:r>
      <w:r>
        <w:rPr>
          <w:i/>
          <w:color w:val="008000"/>
          <w:w w:val="95"/>
          <w:sz w:val="20"/>
        </w:rPr>
        <w:t>Completed</w:t>
      </w:r>
      <w:r>
        <w:rPr>
          <w:i/>
          <w:color w:val="008000"/>
          <w:spacing w:val="18"/>
          <w:w w:val="95"/>
          <w:sz w:val="20"/>
        </w:rPr>
        <w:t> </w:t>
      </w:r>
      <w:r>
        <w:rPr>
          <w:i/>
          <w:color w:val="008000"/>
          <w:w w:val="95"/>
          <w:sz w:val="20"/>
        </w:rPr>
        <w:t>Blocks</w:t>
      </w:r>
    </w:p>
    <w:p>
      <w:pPr>
        <w:pStyle w:val="BodyText"/>
        <w:spacing w:line="321" w:lineRule="auto" w:before="135"/>
        <w:ind w:left="826" w:right="238"/>
        <w:jc w:val="both"/>
      </w:pPr>
      <w:r>
        <w:rPr/>
        <w:t>In</w:t>
      </w:r>
      <w:r>
        <w:rPr>
          <w:spacing w:val="-31"/>
        </w:rPr>
        <w:t> </w:t>
      </w:r>
      <w:r>
        <w:rPr/>
        <w:t>order</w:t>
      </w:r>
      <w:r>
        <w:rPr>
          <w:spacing w:val="-31"/>
        </w:rPr>
        <w:t> </w:t>
      </w:r>
      <w:r>
        <w:rPr/>
        <w:t>to</w:t>
      </w:r>
      <w:r>
        <w:rPr>
          <w:spacing w:val="-31"/>
        </w:rPr>
        <w:t> </w:t>
      </w:r>
      <w:r>
        <w:rPr/>
        <w:t>arrive</w:t>
      </w:r>
      <w:r>
        <w:rPr>
          <w:spacing w:val="-31"/>
        </w:rPr>
        <w:t> </w:t>
      </w:r>
      <w:r>
        <w:rPr/>
        <w:t>at</w:t>
      </w:r>
      <w:r>
        <w:rPr>
          <w:spacing w:val="-30"/>
        </w:rPr>
        <w:t> </w:t>
      </w:r>
      <w:r>
        <w:rPr/>
        <w:t>the</w:t>
      </w:r>
      <w:r>
        <w:rPr>
          <w:spacing w:val="-31"/>
        </w:rPr>
        <w:t> </w:t>
      </w:r>
      <w:r>
        <w:rPr/>
        <w:t>future</w:t>
      </w:r>
      <w:r>
        <w:rPr>
          <w:spacing w:val="-31"/>
        </w:rPr>
        <w:t> </w:t>
      </w:r>
      <w:r>
        <w:rPr/>
        <w:t>absorption</w:t>
      </w:r>
      <w:r>
        <w:rPr>
          <w:spacing w:val="-31"/>
        </w:rPr>
        <w:t> </w:t>
      </w:r>
      <w:r>
        <w:rPr/>
        <w:t>levels</w:t>
      </w:r>
      <w:r>
        <w:rPr>
          <w:spacing w:val="-30"/>
        </w:rPr>
        <w:t> </w:t>
      </w:r>
      <w:r>
        <w:rPr/>
        <w:t>at</w:t>
      </w:r>
      <w:r>
        <w:rPr>
          <w:spacing w:val="-32"/>
        </w:rPr>
        <w:t> </w:t>
      </w:r>
      <w:r>
        <w:rPr/>
        <w:t>the</w:t>
      </w:r>
      <w:r>
        <w:rPr>
          <w:spacing w:val="-30"/>
        </w:rPr>
        <w:t> </w:t>
      </w:r>
      <w:r>
        <w:rPr/>
        <w:t>subject</w:t>
      </w:r>
      <w:r>
        <w:rPr>
          <w:spacing w:val="-32"/>
        </w:rPr>
        <w:t> </w:t>
      </w:r>
      <w:r>
        <w:rPr/>
        <w:t>property,</w:t>
      </w:r>
      <w:r>
        <w:rPr>
          <w:spacing w:val="-32"/>
        </w:rPr>
        <w:t> </w:t>
      </w:r>
      <w:r>
        <w:rPr/>
        <w:t>we</w:t>
      </w:r>
      <w:r>
        <w:rPr>
          <w:spacing w:val="-32"/>
        </w:rPr>
        <w:t> </w:t>
      </w:r>
      <w:r>
        <w:rPr/>
        <w:t>have</w:t>
      </w:r>
      <w:r>
        <w:rPr>
          <w:spacing w:val="-31"/>
        </w:rPr>
        <w:t> </w:t>
      </w:r>
      <w:r>
        <w:rPr/>
        <w:t>analysed</w:t>
      </w:r>
      <w:r>
        <w:rPr>
          <w:spacing w:val="-30"/>
        </w:rPr>
        <w:t> </w:t>
      </w:r>
      <w:r>
        <w:rPr/>
        <w:t>the</w:t>
      </w:r>
      <w:r>
        <w:rPr>
          <w:spacing w:val="-31"/>
        </w:rPr>
        <w:t> </w:t>
      </w:r>
      <w:r>
        <w:rPr/>
        <w:t>historical demand</w:t>
      </w:r>
      <w:r>
        <w:rPr>
          <w:spacing w:val="-34"/>
        </w:rPr>
        <w:t> </w:t>
      </w:r>
      <w:r>
        <w:rPr/>
        <w:t>and</w:t>
      </w:r>
      <w:r>
        <w:rPr>
          <w:spacing w:val="-33"/>
        </w:rPr>
        <w:t> </w:t>
      </w:r>
      <w:r>
        <w:rPr/>
        <w:t>supply</w:t>
      </w:r>
      <w:r>
        <w:rPr>
          <w:spacing w:val="-33"/>
        </w:rPr>
        <w:t> </w:t>
      </w:r>
      <w:r>
        <w:rPr/>
        <w:t>trends</w:t>
      </w:r>
      <w:r>
        <w:rPr>
          <w:spacing w:val="-33"/>
        </w:rPr>
        <w:t> </w:t>
      </w:r>
      <w:r>
        <w:rPr/>
        <w:t>coupled</w:t>
      </w:r>
      <w:r>
        <w:rPr>
          <w:spacing w:val="-33"/>
        </w:rPr>
        <w:t> </w:t>
      </w:r>
      <w:r>
        <w:rPr/>
        <w:t>with</w:t>
      </w:r>
      <w:r>
        <w:rPr>
          <w:spacing w:val="-34"/>
        </w:rPr>
        <w:t> </w:t>
      </w:r>
      <w:r>
        <w:rPr/>
        <w:t>the</w:t>
      </w:r>
      <w:r>
        <w:rPr>
          <w:spacing w:val="-32"/>
        </w:rPr>
        <w:t> </w:t>
      </w:r>
      <w:r>
        <w:rPr/>
        <w:t>estimation</w:t>
      </w:r>
      <w:r>
        <w:rPr>
          <w:spacing w:val="-33"/>
        </w:rPr>
        <w:t> </w:t>
      </w:r>
      <w:r>
        <w:rPr/>
        <w:t>of</w:t>
      </w:r>
      <w:r>
        <w:rPr>
          <w:spacing w:val="-31"/>
        </w:rPr>
        <w:t> </w:t>
      </w:r>
      <w:r>
        <w:rPr/>
        <w:t>future</w:t>
      </w:r>
      <w:r>
        <w:rPr>
          <w:spacing w:val="-32"/>
        </w:rPr>
        <w:t> </w:t>
      </w:r>
      <w:r>
        <w:rPr/>
        <w:t>supply</w:t>
      </w:r>
      <w:r>
        <w:rPr>
          <w:spacing w:val="-33"/>
        </w:rPr>
        <w:t> </w:t>
      </w:r>
      <w:r>
        <w:rPr/>
        <w:t>proposed</w:t>
      </w:r>
      <w:r>
        <w:rPr>
          <w:spacing w:val="-32"/>
        </w:rPr>
        <w:t> </w:t>
      </w:r>
      <w:r>
        <w:rPr/>
        <w:t>to</w:t>
      </w:r>
      <w:r>
        <w:rPr>
          <w:spacing w:val="-34"/>
        </w:rPr>
        <w:t> </w:t>
      </w:r>
      <w:r>
        <w:rPr/>
        <w:t>be</w:t>
      </w:r>
      <w:r>
        <w:rPr>
          <w:spacing w:val="-32"/>
        </w:rPr>
        <w:t> </w:t>
      </w:r>
      <w:r>
        <w:rPr/>
        <w:t>introduced</w:t>
      </w:r>
      <w:r>
        <w:rPr>
          <w:spacing w:val="-31"/>
        </w:rPr>
        <w:t> </w:t>
      </w:r>
      <w:r>
        <w:rPr/>
        <w:t>in</w:t>
      </w:r>
      <w:r>
        <w:rPr>
          <w:spacing w:val="-34"/>
        </w:rPr>
        <w:t> </w:t>
      </w:r>
      <w:r>
        <w:rPr/>
        <w:t>the subject</w:t>
      </w:r>
      <w:r>
        <w:rPr>
          <w:spacing w:val="-5"/>
        </w:rPr>
        <w:t> </w:t>
      </w:r>
      <w:r>
        <w:rPr/>
        <w:t>submarket.</w:t>
      </w:r>
    </w:p>
    <w:p>
      <w:pPr>
        <w:pStyle w:val="BodyText"/>
        <w:spacing w:line="321" w:lineRule="auto" w:before="124"/>
        <w:ind w:left="826" w:right="238"/>
        <w:jc w:val="both"/>
      </w:pPr>
      <w:r>
        <w:rPr/>
        <w:t>Keeping</w:t>
      </w:r>
      <w:r>
        <w:rPr>
          <w:spacing w:val="-35"/>
        </w:rPr>
        <w:t> </w:t>
      </w:r>
      <w:r>
        <w:rPr/>
        <w:t>the</w:t>
      </w:r>
      <w:r>
        <w:rPr>
          <w:spacing w:val="-36"/>
        </w:rPr>
        <w:t> </w:t>
      </w:r>
      <w:r>
        <w:rPr/>
        <w:t>same</w:t>
      </w:r>
      <w:r>
        <w:rPr>
          <w:spacing w:val="-35"/>
        </w:rPr>
        <w:t> </w:t>
      </w:r>
      <w:r>
        <w:rPr/>
        <w:t>in</w:t>
      </w:r>
      <w:r>
        <w:rPr>
          <w:spacing w:val="-36"/>
        </w:rPr>
        <w:t> </w:t>
      </w:r>
      <w:r>
        <w:rPr/>
        <w:t>perspective,</w:t>
      </w:r>
      <w:r>
        <w:rPr>
          <w:spacing w:val="-35"/>
        </w:rPr>
        <w:t> </w:t>
      </w:r>
      <w:r>
        <w:rPr/>
        <w:t>we</w:t>
      </w:r>
      <w:r>
        <w:rPr>
          <w:spacing w:val="-35"/>
        </w:rPr>
        <w:t> </w:t>
      </w:r>
      <w:r>
        <w:rPr/>
        <w:t>opine</w:t>
      </w:r>
      <w:r>
        <w:rPr>
          <w:spacing w:val="-35"/>
        </w:rPr>
        <w:t> </w:t>
      </w:r>
      <w:r>
        <w:rPr/>
        <w:t>that</w:t>
      </w:r>
      <w:r>
        <w:rPr>
          <w:spacing w:val="-34"/>
        </w:rPr>
        <w:t> </w:t>
      </w:r>
      <w:r>
        <w:rPr/>
        <w:t>the</w:t>
      </w:r>
      <w:r>
        <w:rPr>
          <w:spacing w:val="-36"/>
        </w:rPr>
        <w:t> </w:t>
      </w:r>
      <w:r>
        <w:rPr/>
        <w:t>vacant</w:t>
      </w:r>
      <w:r>
        <w:rPr>
          <w:spacing w:val="-35"/>
        </w:rPr>
        <w:t> </w:t>
      </w:r>
      <w:r>
        <w:rPr/>
        <w:t>space</w:t>
      </w:r>
      <w:r>
        <w:rPr>
          <w:spacing w:val="-34"/>
        </w:rPr>
        <w:t> </w:t>
      </w:r>
      <w:r>
        <w:rPr/>
        <w:t>in</w:t>
      </w:r>
      <w:r>
        <w:rPr>
          <w:spacing w:val="-37"/>
        </w:rPr>
        <w:t> </w:t>
      </w:r>
      <w:r>
        <w:rPr/>
        <w:t>the</w:t>
      </w:r>
      <w:r>
        <w:rPr>
          <w:spacing w:val="-37"/>
        </w:rPr>
        <w:t> </w:t>
      </w:r>
      <w:r>
        <w:rPr/>
        <w:t>subject</w:t>
      </w:r>
      <w:r>
        <w:rPr>
          <w:spacing w:val="-34"/>
        </w:rPr>
        <w:t> </w:t>
      </w:r>
      <w:r>
        <w:rPr/>
        <w:t>property</w:t>
      </w:r>
      <w:r>
        <w:rPr>
          <w:spacing w:val="-35"/>
        </w:rPr>
        <w:t> </w:t>
      </w:r>
      <w:r>
        <w:rPr/>
        <w:t>would</w:t>
      </w:r>
      <w:r>
        <w:rPr>
          <w:spacing w:val="-36"/>
        </w:rPr>
        <w:t> </w:t>
      </w:r>
      <w:r>
        <w:rPr/>
        <w:t>be</w:t>
      </w:r>
      <w:r>
        <w:rPr>
          <w:spacing w:val="-34"/>
        </w:rPr>
        <w:t> </w:t>
      </w:r>
      <w:r>
        <w:rPr/>
        <w:t>leased by end of Q2, FY</w:t>
      </w:r>
      <w:r>
        <w:rPr>
          <w:spacing w:val="-3"/>
        </w:rPr>
        <w:t> </w:t>
      </w:r>
      <w:r>
        <w:rPr/>
        <w:t>2022.</w:t>
      </w:r>
    </w:p>
    <w:p>
      <w:pPr>
        <w:pStyle w:val="BodyText"/>
        <w:spacing w:before="7"/>
        <w:rPr>
          <w:sz w:val="20"/>
        </w:rPr>
      </w:pPr>
    </w:p>
    <w:p>
      <w:pPr>
        <w:pStyle w:val="ListParagraph"/>
        <w:numPr>
          <w:ilvl w:val="2"/>
          <w:numId w:val="14"/>
        </w:numPr>
        <w:tabs>
          <w:tab w:pos="981" w:val="left" w:leader="none"/>
        </w:tabs>
        <w:spacing w:line="240" w:lineRule="auto" w:before="0" w:after="0"/>
        <w:ind w:left="980" w:right="0" w:hanging="721"/>
        <w:jc w:val="both"/>
        <w:rPr>
          <w:sz w:val="22"/>
        </w:rPr>
      </w:pPr>
      <w:bookmarkStart w:name="_bookmark206" w:id="402"/>
      <w:bookmarkEnd w:id="402"/>
      <w:r>
        <w:rPr/>
      </w:r>
      <w:bookmarkStart w:name="_bookmark206" w:id="403"/>
      <w:bookmarkEnd w:id="403"/>
      <w:r>
        <w:rPr>
          <w:color w:val="1F664D"/>
          <w:w w:val="105"/>
          <w:sz w:val="22"/>
        </w:rPr>
        <w:t>R</w:t>
      </w:r>
      <w:r>
        <w:rPr>
          <w:color w:val="1F664D"/>
          <w:w w:val="105"/>
          <w:sz w:val="22"/>
        </w:rPr>
        <w:t>evenue</w:t>
      </w:r>
      <w:r>
        <w:rPr>
          <w:color w:val="1F664D"/>
          <w:spacing w:val="-4"/>
          <w:w w:val="105"/>
          <w:sz w:val="22"/>
        </w:rPr>
        <w:t> </w:t>
      </w:r>
      <w:r>
        <w:rPr>
          <w:color w:val="1F664D"/>
          <w:w w:val="105"/>
          <w:sz w:val="22"/>
        </w:rPr>
        <w:t>Assumptions</w:t>
      </w:r>
    </w:p>
    <w:p>
      <w:pPr>
        <w:pStyle w:val="BodyText"/>
        <w:spacing w:before="6"/>
        <w:rPr>
          <w:sz w:val="25"/>
        </w:rPr>
      </w:pPr>
    </w:p>
    <w:p>
      <w:pPr>
        <w:pStyle w:val="ListParagraph"/>
        <w:numPr>
          <w:ilvl w:val="3"/>
          <w:numId w:val="58"/>
        </w:numPr>
        <w:tabs>
          <w:tab w:pos="1125" w:val="left" w:leader="none"/>
        </w:tabs>
        <w:spacing w:line="240" w:lineRule="auto" w:before="0" w:after="0"/>
        <w:ind w:left="1124" w:right="0" w:hanging="865"/>
        <w:jc w:val="both"/>
        <w:rPr>
          <w:i/>
          <w:sz w:val="20"/>
        </w:rPr>
      </w:pPr>
      <w:r>
        <w:rPr>
          <w:i/>
          <w:color w:val="008000"/>
          <w:sz w:val="20"/>
        </w:rPr>
        <w:t>Lease rent</w:t>
      </w:r>
      <w:r>
        <w:rPr>
          <w:i/>
          <w:color w:val="008000"/>
          <w:spacing w:val="-8"/>
          <w:sz w:val="20"/>
        </w:rPr>
        <w:t> </w:t>
      </w:r>
      <w:r>
        <w:rPr>
          <w:i/>
          <w:color w:val="008000"/>
          <w:sz w:val="20"/>
        </w:rPr>
        <w:t>assumptions</w:t>
      </w:r>
    </w:p>
    <w:p>
      <w:pPr>
        <w:pStyle w:val="BodyText"/>
        <w:rPr>
          <w:i/>
        </w:rPr>
      </w:pPr>
    </w:p>
    <w:p>
      <w:pPr>
        <w:pStyle w:val="BodyText"/>
        <w:spacing w:line="321" w:lineRule="auto" w:before="1"/>
        <w:ind w:left="822" w:right="235"/>
        <w:jc w:val="both"/>
      </w:pPr>
      <w:r>
        <w:rPr/>
        <w:t>For</w:t>
      </w:r>
      <w:r>
        <w:rPr>
          <w:spacing w:val="-25"/>
        </w:rPr>
        <w:t> </w:t>
      </w:r>
      <w:r>
        <w:rPr/>
        <w:t>the</w:t>
      </w:r>
      <w:r>
        <w:rPr>
          <w:spacing w:val="-25"/>
        </w:rPr>
        <w:t> </w:t>
      </w:r>
      <w:r>
        <w:rPr/>
        <w:t>purpose</w:t>
      </w:r>
      <w:r>
        <w:rPr>
          <w:spacing w:val="-24"/>
        </w:rPr>
        <w:t> </w:t>
      </w:r>
      <w:r>
        <w:rPr/>
        <w:t>of</w:t>
      </w:r>
      <w:r>
        <w:rPr>
          <w:spacing w:val="-23"/>
        </w:rPr>
        <w:t> </w:t>
      </w:r>
      <w:r>
        <w:rPr/>
        <w:t>this</w:t>
      </w:r>
      <w:r>
        <w:rPr>
          <w:spacing w:val="-23"/>
        </w:rPr>
        <w:t> </w:t>
      </w:r>
      <w:r>
        <w:rPr/>
        <w:t>valuation</w:t>
      </w:r>
      <w:r>
        <w:rPr>
          <w:spacing w:val="-25"/>
        </w:rPr>
        <w:t> </w:t>
      </w:r>
      <w:r>
        <w:rPr/>
        <w:t>exercise,</w:t>
      </w:r>
      <w:r>
        <w:rPr>
          <w:spacing w:val="-24"/>
        </w:rPr>
        <w:t> </w:t>
      </w:r>
      <w:r>
        <w:rPr/>
        <w:t>the</w:t>
      </w:r>
      <w:r>
        <w:rPr>
          <w:spacing w:val="-24"/>
        </w:rPr>
        <w:t> </w:t>
      </w:r>
      <w:r>
        <w:rPr/>
        <w:t>lease</w:t>
      </w:r>
      <w:r>
        <w:rPr>
          <w:spacing w:val="-25"/>
        </w:rPr>
        <w:t> </w:t>
      </w:r>
      <w:r>
        <w:rPr/>
        <w:t>rental</w:t>
      </w:r>
      <w:r>
        <w:rPr>
          <w:spacing w:val="-23"/>
        </w:rPr>
        <w:t> </w:t>
      </w:r>
      <w:r>
        <w:rPr/>
        <w:t>adopted</w:t>
      </w:r>
      <w:r>
        <w:rPr>
          <w:spacing w:val="-22"/>
        </w:rPr>
        <w:t> </w:t>
      </w:r>
      <w:r>
        <w:rPr/>
        <w:t>for</w:t>
      </w:r>
      <w:r>
        <w:rPr>
          <w:spacing w:val="-24"/>
        </w:rPr>
        <w:t> </w:t>
      </w:r>
      <w:r>
        <w:rPr/>
        <w:t>the</w:t>
      </w:r>
      <w:r>
        <w:rPr>
          <w:spacing w:val="-25"/>
        </w:rPr>
        <w:t> </w:t>
      </w:r>
      <w:r>
        <w:rPr/>
        <w:t>area</w:t>
      </w:r>
      <w:r>
        <w:rPr>
          <w:spacing w:val="-24"/>
        </w:rPr>
        <w:t> </w:t>
      </w:r>
      <w:r>
        <w:rPr/>
        <w:t>already</w:t>
      </w:r>
      <w:r>
        <w:rPr>
          <w:spacing w:val="-24"/>
        </w:rPr>
        <w:t> </w:t>
      </w:r>
      <w:r>
        <w:rPr/>
        <w:t>leased</w:t>
      </w:r>
      <w:r>
        <w:rPr>
          <w:spacing w:val="-23"/>
        </w:rPr>
        <w:t> </w:t>
      </w:r>
      <w:r>
        <w:rPr/>
        <w:t>is</w:t>
      </w:r>
      <w:r>
        <w:rPr>
          <w:spacing w:val="-24"/>
        </w:rPr>
        <w:t> </w:t>
      </w:r>
      <w:r>
        <w:rPr/>
        <w:t>based on</w:t>
      </w:r>
      <w:r>
        <w:rPr>
          <w:spacing w:val="-14"/>
        </w:rPr>
        <w:t> </w:t>
      </w:r>
      <w:r>
        <w:rPr/>
        <w:t>the</w:t>
      </w:r>
      <w:r>
        <w:rPr>
          <w:spacing w:val="-14"/>
        </w:rPr>
        <w:t> </w:t>
      </w:r>
      <w:r>
        <w:rPr/>
        <w:t>rent</w:t>
      </w:r>
      <w:r>
        <w:rPr>
          <w:spacing w:val="-14"/>
        </w:rPr>
        <w:t> </w:t>
      </w:r>
      <w:r>
        <w:rPr/>
        <w:t>roll</w:t>
      </w:r>
      <w:r>
        <w:rPr>
          <w:spacing w:val="-13"/>
        </w:rPr>
        <w:t> </w:t>
      </w:r>
      <w:r>
        <w:rPr/>
        <w:t>shared</w:t>
      </w:r>
      <w:r>
        <w:rPr>
          <w:spacing w:val="-13"/>
        </w:rPr>
        <w:t> </w:t>
      </w:r>
      <w:r>
        <w:rPr/>
        <w:t>by</w:t>
      </w:r>
      <w:r>
        <w:rPr>
          <w:spacing w:val="-13"/>
        </w:rPr>
        <w:t> </w:t>
      </w:r>
      <w:r>
        <w:rPr/>
        <w:t>the</w:t>
      </w:r>
      <w:r>
        <w:rPr>
          <w:spacing w:val="-15"/>
        </w:rPr>
        <w:t> </w:t>
      </w:r>
      <w:r>
        <w:rPr/>
        <w:t>Client.</w:t>
      </w:r>
      <w:r>
        <w:rPr>
          <w:spacing w:val="-13"/>
        </w:rPr>
        <w:t> </w:t>
      </w:r>
      <w:r>
        <w:rPr/>
        <w:t>Further,</w:t>
      </w:r>
      <w:r>
        <w:rPr>
          <w:spacing w:val="-11"/>
        </w:rPr>
        <w:t> </w:t>
      </w:r>
      <w:r>
        <w:rPr/>
        <w:t>the</w:t>
      </w:r>
      <w:r>
        <w:rPr>
          <w:spacing w:val="-11"/>
        </w:rPr>
        <w:t> </w:t>
      </w:r>
      <w:r>
        <w:rPr/>
        <w:t>Valuer</w:t>
      </w:r>
      <w:r>
        <w:rPr>
          <w:spacing w:val="-12"/>
        </w:rPr>
        <w:t> </w:t>
      </w:r>
      <w:r>
        <w:rPr/>
        <w:t>has</w:t>
      </w:r>
      <w:r>
        <w:rPr>
          <w:spacing w:val="-13"/>
        </w:rPr>
        <w:t> </w:t>
      </w:r>
      <w:r>
        <w:rPr/>
        <w:t>undertaken</w:t>
      </w:r>
      <w:r>
        <w:rPr>
          <w:spacing w:val="-14"/>
        </w:rPr>
        <w:t> </w:t>
      </w:r>
      <w:r>
        <w:rPr/>
        <w:t>an</w:t>
      </w:r>
      <w:r>
        <w:rPr>
          <w:spacing w:val="-13"/>
        </w:rPr>
        <w:t> </w:t>
      </w:r>
      <w:r>
        <w:rPr/>
        <w:t>in-depth</w:t>
      </w:r>
      <w:r>
        <w:rPr>
          <w:spacing w:val="-14"/>
        </w:rPr>
        <w:t> </w:t>
      </w:r>
      <w:r>
        <w:rPr/>
        <w:t>market</w:t>
      </w:r>
      <w:r>
        <w:rPr>
          <w:spacing w:val="-13"/>
        </w:rPr>
        <w:t> </w:t>
      </w:r>
      <w:r>
        <w:rPr/>
        <w:t>research exercise to assess the prevailing rental values in the submarket. The same has been adopted for</w:t>
      </w:r>
      <w:r>
        <w:rPr>
          <w:spacing w:val="-34"/>
        </w:rPr>
        <w:t> </w:t>
      </w:r>
      <w:r>
        <w:rPr/>
        <w:t>the vacant space for the purpose of this valuation</w:t>
      </w:r>
      <w:r>
        <w:rPr>
          <w:spacing w:val="-41"/>
        </w:rPr>
        <w:t> </w:t>
      </w:r>
      <w:r>
        <w:rPr/>
        <w:t>exercise.</w:t>
      </w:r>
    </w:p>
    <w:p>
      <w:pPr>
        <w:pStyle w:val="BodyText"/>
        <w:spacing w:before="11"/>
        <w:rPr>
          <w:sz w:val="20"/>
        </w:rPr>
      </w:pPr>
    </w:p>
    <w:p>
      <w:pPr>
        <w:pStyle w:val="BodyText"/>
        <w:spacing w:line="321" w:lineRule="auto"/>
        <w:ind w:left="822" w:right="245"/>
        <w:jc w:val="both"/>
      </w:pPr>
      <w:r>
        <w:rPr/>
        <w:t>Based</w:t>
      </w:r>
      <w:r>
        <w:rPr>
          <w:spacing w:val="-13"/>
        </w:rPr>
        <w:t> </w:t>
      </w:r>
      <w:r>
        <w:rPr/>
        <w:t>on</w:t>
      </w:r>
      <w:r>
        <w:rPr>
          <w:spacing w:val="-11"/>
        </w:rPr>
        <w:t> </w:t>
      </w:r>
      <w:r>
        <w:rPr/>
        <w:t>our</w:t>
      </w:r>
      <w:r>
        <w:rPr>
          <w:spacing w:val="-12"/>
        </w:rPr>
        <w:t> </w:t>
      </w:r>
      <w:r>
        <w:rPr/>
        <w:t>market</w:t>
      </w:r>
      <w:r>
        <w:rPr>
          <w:spacing w:val="-11"/>
        </w:rPr>
        <w:t> </w:t>
      </w:r>
      <w:r>
        <w:rPr/>
        <w:t>study</w:t>
      </w:r>
      <w:r>
        <w:rPr>
          <w:spacing w:val="-10"/>
        </w:rPr>
        <w:t> </w:t>
      </w:r>
      <w:r>
        <w:rPr/>
        <w:t>and</w:t>
      </w:r>
      <w:r>
        <w:rPr>
          <w:spacing w:val="-11"/>
        </w:rPr>
        <w:t> </w:t>
      </w:r>
      <w:r>
        <w:rPr/>
        <w:t>based</w:t>
      </w:r>
      <w:r>
        <w:rPr>
          <w:spacing w:val="-10"/>
        </w:rPr>
        <w:t> </w:t>
      </w:r>
      <w:r>
        <w:rPr/>
        <w:t>on</w:t>
      </w:r>
      <w:r>
        <w:rPr>
          <w:spacing w:val="-14"/>
        </w:rPr>
        <w:t> </w:t>
      </w:r>
      <w:r>
        <w:rPr/>
        <w:t>the</w:t>
      </w:r>
      <w:r>
        <w:rPr>
          <w:spacing w:val="-12"/>
        </w:rPr>
        <w:t> </w:t>
      </w:r>
      <w:r>
        <w:rPr/>
        <w:t>analysis</w:t>
      </w:r>
      <w:r>
        <w:rPr>
          <w:spacing w:val="-12"/>
        </w:rPr>
        <w:t> </w:t>
      </w:r>
      <w:r>
        <w:rPr/>
        <w:t>of</w:t>
      </w:r>
      <w:r>
        <w:rPr>
          <w:spacing w:val="-11"/>
        </w:rPr>
        <w:t> </w:t>
      </w:r>
      <w:r>
        <w:rPr/>
        <w:t>the</w:t>
      </w:r>
      <w:r>
        <w:rPr>
          <w:spacing w:val="-11"/>
        </w:rPr>
        <w:t> </w:t>
      </w:r>
      <w:r>
        <w:rPr/>
        <w:t>rent</w:t>
      </w:r>
      <w:r>
        <w:rPr>
          <w:spacing w:val="-12"/>
        </w:rPr>
        <w:t> </w:t>
      </w:r>
      <w:r>
        <w:rPr/>
        <w:t>roll</w:t>
      </w:r>
      <w:r>
        <w:rPr>
          <w:spacing w:val="-12"/>
        </w:rPr>
        <w:t> </w:t>
      </w:r>
      <w:r>
        <w:rPr/>
        <w:t>provided</w:t>
      </w:r>
      <w:r>
        <w:rPr>
          <w:spacing w:val="-11"/>
        </w:rPr>
        <w:t> </w:t>
      </w:r>
      <w:r>
        <w:rPr/>
        <w:t>by</w:t>
      </w:r>
      <w:r>
        <w:rPr>
          <w:spacing w:val="-10"/>
        </w:rPr>
        <w:t> </w:t>
      </w:r>
      <w:r>
        <w:rPr/>
        <w:t>the</w:t>
      </w:r>
      <w:r>
        <w:rPr>
          <w:spacing w:val="-14"/>
        </w:rPr>
        <w:t> </w:t>
      </w:r>
      <w:r>
        <w:rPr/>
        <w:t>Client,</w:t>
      </w:r>
      <w:r>
        <w:rPr>
          <w:spacing w:val="-11"/>
        </w:rPr>
        <w:t> </w:t>
      </w:r>
      <w:r>
        <w:rPr/>
        <w:t>following rentals</w:t>
      </w:r>
      <w:r>
        <w:rPr>
          <w:spacing w:val="-12"/>
        </w:rPr>
        <w:t> </w:t>
      </w:r>
      <w:r>
        <w:rPr/>
        <w:t>have</w:t>
      </w:r>
      <w:r>
        <w:rPr>
          <w:spacing w:val="-12"/>
        </w:rPr>
        <w:t> </w:t>
      </w:r>
      <w:r>
        <w:rPr/>
        <w:t>been</w:t>
      </w:r>
      <w:r>
        <w:rPr>
          <w:spacing w:val="-13"/>
        </w:rPr>
        <w:t> </w:t>
      </w:r>
      <w:r>
        <w:rPr/>
        <w:t>adopted</w:t>
      </w:r>
      <w:r>
        <w:rPr>
          <w:spacing w:val="-11"/>
        </w:rPr>
        <w:t> </w:t>
      </w:r>
      <w:r>
        <w:rPr/>
        <w:t>for</w:t>
      </w:r>
      <w:r>
        <w:rPr>
          <w:spacing w:val="-13"/>
        </w:rPr>
        <w:t> </w:t>
      </w:r>
      <w:r>
        <w:rPr/>
        <w:t>the</w:t>
      </w:r>
      <w:r>
        <w:rPr>
          <w:spacing w:val="-13"/>
        </w:rPr>
        <w:t> </w:t>
      </w:r>
      <w:r>
        <w:rPr/>
        <w:t>purpose</w:t>
      </w:r>
      <w:r>
        <w:rPr>
          <w:spacing w:val="-12"/>
        </w:rPr>
        <w:t> </w:t>
      </w:r>
      <w:r>
        <w:rPr/>
        <w:t>of</w:t>
      </w:r>
      <w:r>
        <w:rPr>
          <w:spacing w:val="-12"/>
        </w:rPr>
        <w:t> </w:t>
      </w:r>
      <w:r>
        <w:rPr/>
        <w:t>value</w:t>
      </w:r>
      <w:r>
        <w:rPr>
          <w:spacing w:val="-12"/>
        </w:rPr>
        <w:t> </w:t>
      </w:r>
      <w:r>
        <w:rPr/>
        <w:t>assessment</w:t>
      </w:r>
      <w:r>
        <w:rPr>
          <w:spacing w:val="-12"/>
        </w:rPr>
        <w:t> </w:t>
      </w:r>
      <w:r>
        <w:rPr/>
        <w:t>of</w:t>
      </w:r>
      <w:r>
        <w:rPr>
          <w:spacing w:val="-11"/>
        </w:rPr>
        <w:t> </w:t>
      </w:r>
      <w:r>
        <w:rPr/>
        <w:t>the</w:t>
      </w:r>
      <w:r>
        <w:rPr>
          <w:spacing w:val="-15"/>
        </w:rPr>
        <w:t> </w:t>
      </w:r>
      <w:r>
        <w:rPr/>
        <w:t>subject</w:t>
      </w:r>
      <w:r>
        <w:rPr>
          <w:spacing w:val="-12"/>
        </w:rPr>
        <w:t> </w:t>
      </w:r>
      <w:r>
        <w:rPr/>
        <w:t>property.</w:t>
      </w:r>
    </w:p>
    <w:p>
      <w:pPr>
        <w:pStyle w:val="BodyText"/>
        <w:spacing w:before="3"/>
        <w:rPr>
          <w:sz w:val="20"/>
        </w:rPr>
      </w:pPr>
    </w:p>
    <w:tbl>
      <w:tblPr>
        <w:tblW w:w="0" w:type="auto"/>
        <w:jc w:val="left"/>
        <w:tblInd w:w="2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3"/>
        <w:gridCol w:w="1956"/>
        <w:gridCol w:w="1871"/>
        <w:gridCol w:w="3107"/>
        <w:gridCol w:w="1915"/>
      </w:tblGrid>
      <w:tr>
        <w:trPr>
          <w:trHeight w:val="433" w:hRule="atLeast"/>
        </w:trPr>
        <w:tc>
          <w:tcPr>
            <w:tcW w:w="1623" w:type="dxa"/>
            <w:tcBorders>
              <w:top w:val="single" w:sz="4" w:space="0" w:color="69BD28"/>
              <w:bottom w:val="single" w:sz="4" w:space="0" w:color="69BD28"/>
            </w:tcBorders>
            <w:shd w:val="clear" w:color="auto" w:fill="006A4D"/>
          </w:tcPr>
          <w:p>
            <w:pPr>
              <w:pStyle w:val="TableParagraph"/>
              <w:spacing w:before="114"/>
              <w:ind w:left="288" w:right="286"/>
              <w:rPr>
                <w:b/>
                <w:sz w:val="18"/>
              </w:rPr>
            </w:pPr>
            <w:r>
              <w:rPr>
                <w:b/>
                <w:color w:val="FFFFFF"/>
                <w:w w:val="105"/>
                <w:sz w:val="18"/>
              </w:rPr>
              <w:t>Component</w:t>
            </w:r>
          </w:p>
        </w:tc>
        <w:tc>
          <w:tcPr>
            <w:tcW w:w="1956" w:type="dxa"/>
            <w:tcBorders>
              <w:top w:val="single" w:sz="4" w:space="0" w:color="69BD28"/>
              <w:bottom w:val="single" w:sz="4" w:space="0" w:color="69BD28"/>
            </w:tcBorders>
            <w:shd w:val="clear" w:color="auto" w:fill="006A4D"/>
          </w:tcPr>
          <w:p>
            <w:pPr>
              <w:pStyle w:val="TableParagraph"/>
              <w:spacing w:before="114"/>
              <w:ind w:left="58" w:right="120"/>
              <w:rPr>
                <w:b/>
                <w:sz w:val="18"/>
              </w:rPr>
            </w:pPr>
            <w:r>
              <w:rPr>
                <w:b/>
                <w:color w:val="FFFFFF"/>
                <w:w w:val="110"/>
                <w:sz w:val="18"/>
              </w:rPr>
              <w:t>Leasable Area (sft)</w:t>
            </w:r>
          </w:p>
        </w:tc>
        <w:tc>
          <w:tcPr>
            <w:tcW w:w="1871" w:type="dxa"/>
            <w:tcBorders>
              <w:top w:val="single" w:sz="4" w:space="0" w:color="69BD28"/>
              <w:bottom w:val="single" w:sz="4" w:space="0" w:color="69BD28"/>
            </w:tcBorders>
            <w:shd w:val="clear" w:color="auto" w:fill="006A4D"/>
          </w:tcPr>
          <w:p>
            <w:pPr>
              <w:pStyle w:val="TableParagraph"/>
              <w:spacing w:before="114"/>
              <w:ind w:left="115" w:right="142"/>
              <w:rPr>
                <w:b/>
                <w:sz w:val="18"/>
              </w:rPr>
            </w:pPr>
            <w:r>
              <w:rPr>
                <w:b/>
                <w:color w:val="FFFFFF"/>
                <w:w w:val="110"/>
                <w:sz w:val="18"/>
              </w:rPr>
              <w:t>Leased Area (sft)</w:t>
            </w:r>
          </w:p>
        </w:tc>
        <w:tc>
          <w:tcPr>
            <w:tcW w:w="3107" w:type="dxa"/>
            <w:tcBorders>
              <w:top w:val="single" w:sz="4" w:space="0" w:color="69BD28"/>
            </w:tcBorders>
            <w:shd w:val="clear" w:color="auto" w:fill="006A4D"/>
          </w:tcPr>
          <w:p>
            <w:pPr>
              <w:pStyle w:val="TableParagraph"/>
              <w:spacing w:before="114"/>
              <w:ind w:left="357" w:right="358"/>
              <w:rPr>
                <w:b/>
                <w:sz w:val="18"/>
              </w:rPr>
            </w:pPr>
            <w:r>
              <w:rPr>
                <w:b/>
                <w:color w:val="FFFFFF"/>
                <w:w w:val="115"/>
                <w:sz w:val="18"/>
              </w:rPr>
              <w:t>Basis</w:t>
            </w:r>
          </w:p>
        </w:tc>
        <w:tc>
          <w:tcPr>
            <w:tcW w:w="1915" w:type="dxa"/>
            <w:tcBorders>
              <w:top w:val="single" w:sz="4" w:space="0" w:color="69BD28"/>
            </w:tcBorders>
            <w:shd w:val="clear" w:color="auto" w:fill="006A4D"/>
          </w:tcPr>
          <w:p>
            <w:pPr>
              <w:pStyle w:val="TableParagraph"/>
              <w:spacing w:line="216" w:lineRule="exact" w:before="2"/>
              <w:ind w:left="224" w:hanging="41"/>
              <w:jc w:val="left"/>
              <w:rPr>
                <w:b/>
                <w:sz w:val="18"/>
              </w:rPr>
            </w:pPr>
            <w:r>
              <w:rPr>
                <w:b/>
                <w:color w:val="FFFFFF"/>
                <w:w w:val="110"/>
                <w:sz w:val="18"/>
              </w:rPr>
              <w:t>Rental Adopted* (INR/sft/month)</w:t>
            </w:r>
          </w:p>
        </w:tc>
      </w:tr>
      <w:tr>
        <w:trPr>
          <w:trHeight w:val="351" w:hRule="atLeast"/>
        </w:trPr>
        <w:tc>
          <w:tcPr>
            <w:tcW w:w="1623" w:type="dxa"/>
            <w:shd w:val="clear" w:color="auto" w:fill="69BD28"/>
          </w:tcPr>
          <w:p>
            <w:pPr>
              <w:pStyle w:val="TableParagraph"/>
              <w:jc w:val="left"/>
              <w:rPr>
                <w:rFonts w:ascii="Times New Roman"/>
                <w:sz w:val="20"/>
              </w:rPr>
            </w:pPr>
          </w:p>
        </w:tc>
        <w:tc>
          <w:tcPr>
            <w:tcW w:w="1956" w:type="dxa"/>
            <w:tcBorders>
              <w:top w:val="single" w:sz="4" w:space="0" w:color="69BD28"/>
            </w:tcBorders>
          </w:tcPr>
          <w:p>
            <w:pPr>
              <w:pStyle w:val="TableParagraph"/>
              <w:jc w:val="left"/>
              <w:rPr>
                <w:rFonts w:ascii="Times New Roman"/>
                <w:sz w:val="20"/>
              </w:rPr>
            </w:pPr>
          </w:p>
        </w:tc>
        <w:tc>
          <w:tcPr>
            <w:tcW w:w="1871" w:type="dxa"/>
            <w:tcBorders>
              <w:top w:val="single" w:sz="4" w:space="0" w:color="69BD28"/>
            </w:tcBorders>
          </w:tcPr>
          <w:p>
            <w:pPr>
              <w:pStyle w:val="TableParagraph"/>
              <w:jc w:val="left"/>
              <w:rPr>
                <w:rFonts w:ascii="Times New Roman"/>
                <w:sz w:val="20"/>
              </w:rPr>
            </w:pPr>
          </w:p>
        </w:tc>
        <w:tc>
          <w:tcPr>
            <w:tcW w:w="3107" w:type="dxa"/>
          </w:tcPr>
          <w:p>
            <w:pPr>
              <w:pStyle w:val="TableParagraph"/>
              <w:spacing w:before="118"/>
              <w:ind w:left="357" w:right="360"/>
              <w:rPr>
                <w:sz w:val="18"/>
              </w:rPr>
            </w:pPr>
            <w:r>
              <w:rPr>
                <w:sz w:val="18"/>
              </w:rPr>
              <w:t>Current Rent for Leased area</w:t>
            </w:r>
          </w:p>
        </w:tc>
        <w:tc>
          <w:tcPr>
            <w:tcW w:w="1915" w:type="dxa"/>
          </w:tcPr>
          <w:p>
            <w:pPr>
              <w:pStyle w:val="TableParagraph"/>
              <w:spacing w:before="118"/>
              <w:ind w:left="640" w:right="680"/>
              <w:rPr>
                <w:sz w:val="18"/>
              </w:rPr>
            </w:pPr>
            <w:r>
              <w:rPr>
                <w:w w:val="125"/>
                <w:sz w:val="18"/>
              </w:rPr>
              <w:t>43.2^</w:t>
            </w:r>
          </w:p>
        </w:tc>
      </w:tr>
      <w:tr>
        <w:trPr>
          <w:trHeight w:val="613" w:hRule="atLeast"/>
        </w:trPr>
        <w:tc>
          <w:tcPr>
            <w:tcW w:w="1623" w:type="dxa"/>
            <w:shd w:val="clear" w:color="auto" w:fill="69BD28"/>
          </w:tcPr>
          <w:p>
            <w:pPr>
              <w:pStyle w:val="TableParagraph"/>
              <w:spacing w:before="26"/>
              <w:ind w:left="286" w:right="286"/>
              <w:rPr>
                <w:b/>
                <w:sz w:val="18"/>
              </w:rPr>
            </w:pPr>
            <w:r>
              <w:rPr>
                <w:b/>
                <w:color w:val="FFFFFF"/>
                <w:w w:val="105"/>
                <w:sz w:val="18"/>
              </w:rPr>
              <w:t>Office</w:t>
            </w:r>
          </w:p>
        </w:tc>
        <w:tc>
          <w:tcPr>
            <w:tcW w:w="1956" w:type="dxa"/>
            <w:tcBorders>
              <w:bottom w:val="single" w:sz="4" w:space="0" w:color="69BD28"/>
            </w:tcBorders>
          </w:tcPr>
          <w:p>
            <w:pPr>
              <w:pStyle w:val="TableParagraph"/>
              <w:spacing w:before="26"/>
              <w:ind w:left="51" w:right="120"/>
              <w:rPr>
                <w:sz w:val="18"/>
              </w:rPr>
            </w:pPr>
            <w:r>
              <w:rPr>
                <w:w w:val="105"/>
                <w:sz w:val="18"/>
              </w:rPr>
              <w:t>1,894,674</w:t>
            </w:r>
          </w:p>
        </w:tc>
        <w:tc>
          <w:tcPr>
            <w:tcW w:w="1871" w:type="dxa"/>
            <w:tcBorders>
              <w:bottom w:val="single" w:sz="4" w:space="0" w:color="69BD28"/>
            </w:tcBorders>
          </w:tcPr>
          <w:p>
            <w:pPr>
              <w:pStyle w:val="TableParagraph"/>
              <w:spacing w:before="26"/>
              <w:ind w:left="111" w:right="142"/>
              <w:rPr>
                <w:sz w:val="18"/>
              </w:rPr>
            </w:pPr>
            <w:r>
              <w:rPr>
                <w:w w:val="105"/>
                <w:sz w:val="18"/>
              </w:rPr>
              <w:t>1,496,150</w:t>
            </w:r>
          </w:p>
        </w:tc>
        <w:tc>
          <w:tcPr>
            <w:tcW w:w="3107" w:type="dxa"/>
            <w:tcBorders>
              <w:bottom w:val="single" w:sz="4" w:space="0" w:color="69BD28"/>
            </w:tcBorders>
          </w:tcPr>
          <w:p>
            <w:pPr>
              <w:pStyle w:val="TableParagraph"/>
              <w:spacing w:line="249" w:lineRule="auto" w:before="143"/>
              <w:ind w:left="1372" w:right="173" w:hanging="1194"/>
              <w:jc w:val="left"/>
              <w:rPr>
                <w:sz w:val="18"/>
              </w:rPr>
            </w:pPr>
            <w:r>
              <w:rPr>
                <w:sz w:val="18"/>
              </w:rPr>
              <w:t>Marginal</w:t>
            </w:r>
            <w:r>
              <w:rPr>
                <w:spacing w:val="-27"/>
                <w:sz w:val="18"/>
              </w:rPr>
              <w:t> </w:t>
            </w:r>
            <w:r>
              <w:rPr>
                <w:sz w:val="18"/>
              </w:rPr>
              <w:t>rent</w:t>
            </w:r>
            <w:r>
              <w:rPr>
                <w:spacing w:val="-26"/>
                <w:sz w:val="18"/>
              </w:rPr>
              <w:t> </w:t>
            </w:r>
            <w:r>
              <w:rPr>
                <w:sz w:val="18"/>
              </w:rPr>
              <w:t>for</w:t>
            </w:r>
            <w:r>
              <w:rPr>
                <w:spacing w:val="-27"/>
                <w:sz w:val="18"/>
              </w:rPr>
              <w:t> </w:t>
            </w:r>
            <w:r>
              <w:rPr>
                <w:sz w:val="18"/>
              </w:rPr>
              <w:t>reversion/</w:t>
            </w:r>
            <w:r>
              <w:rPr>
                <w:spacing w:val="-26"/>
                <w:sz w:val="18"/>
              </w:rPr>
              <w:t> </w:t>
            </w:r>
            <w:r>
              <w:rPr>
                <w:sz w:val="18"/>
              </w:rPr>
              <w:t>vacant area</w:t>
            </w:r>
          </w:p>
        </w:tc>
        <w:tc>
          <w:tcPr>
            <w:tcW w:w="1915" w:type="dxa"/>
            <w:tcBorders>
              <w:bottom w:val="single" w:sz="4" w:space="0" w:color="69BD28"/>
            </w:tcBorders>
          </w:tcPr>
          <w:p>
            <w:pPr>
              <w:pStyle w:val="TableParagraph"/>
              <w:spacing w:before="10"/>
              <w:jc w:val="left"/>
              <w:rPr>
                <w:sz w:val="21"/>
              </w:rPr>
            </w:pPr>
          </w:p>
          <w:p>
            <w:pPr>
              <w:pStyle w:val="TableParagraph"/>
              <w:ind w:left="638" w:right="680"/>
              <w:rPr>
                <w:sz w:val="18"/>
              </w:rPr>
            </w:pPr>
            <w:r>
              <w:rPr>
                <w:w w:val="105"/>
                <w:sz w:val="18"/>
              </w:rPr>
              <w:t>48.0</w:t>
            </w:r>
          </w:p>
        </w:tc>
      </w:tr>
    </w:tbl>
    <w:p>
      <w:pPr>
        <w:spacing w:before="3"/>
        <w:ind w:left="260" w:right="0" w:firstLine="0"/>
        <w:jc w:val="left"/>
        <w:rPr>
          <w:i/>
          <w:sz w:val="18"/>
        </w:rPr>
      </w:pPr>
      <w:r>
        <w:rPr>
          <w:i/>
          <w:sz w:val="18"/>
        </w:rPr>
        <w:t>Source: Rent roll provided by the Client; Valuer Assessment</w:t>
      </w:r>
    </w:p>
    <w:p>
      <w:pPr>
        <w:spacing w:line="321" w:lineRule="auto" w:before="72"/>
        <w:ind w:left="260" w:right="0" w:firstLine="0"/>
        <w:jc w:val="left"/>
        <w:rPr>
          <w:i/>
          <w:sz w:val="18"/>
        </w:rPr>
      </w:pPr>
      <w:r>
        <w:rPr>
          <w:i/>
          <w:sz w:val="18"/>
        </w:rPr>
        <w:t>*</w:t>
      </w:r>
      <w:r>
        <w:rPr>
          <w:i/>
          <w:spacing w:val="-29"/>
          <w:sz w:val="18"/>
        </w:rPr>
        <w:t> </w:t>
      </w:r>
      <w:r>
        <w:rPr>
          <w:i/>
          <w:sz w:val="18"/>
        </w:rPr>
        <w:t>The</w:t>
      </w:r>
      <w:r>
        <w:rPr>
          <w:i/>
          <w:spacing w:val="-27"/>
          <w:sz w:val="18"/>
        </w:rPr>
        <w:t> </w:t>
      </w:r>
      <w:r>
        <w:rPr>
          <w:i/>
          <w:sz w:val="18"/>
        </w:rPr>
        <w:t>rentals</w:t>
      </w:r>
      <w:r>
        <w:rPr>
          <w:i/>
          <w:spacing w:val="-28"/>
          <w:sz w:val="18"/>
        </w:rPr>
        <w:t> </w:t>
      </w:r>
      <w:r>
        <w:rPr>
          <w:i/>
          <w:sz w:val="18"/>
        </w:rPr>
        <w:t>mentioned</w:t>
      </w:r>
      <w:r>
        <w:rPr>
          <w:i/>
          <w:spacing w:val="-27"/>
          <w:sz w:val="18"/>
        </w:rPr>
        <w:t> </w:t>
      </w:r>
      <w:r>
        <w:rPr>
          <w:i/>
          <w:sz w:val="18"/>
        </w:rPr>
        <w:t>above</w:t>
      </w:r>
      <w:r>
        <w:rPr>
          <w:i/>
          <w:spacing w:val="-29"/>
          <w:sz w:val="18"/>
        </w:rPr>
        <w:t> </w:t>
      </w:r>
      <w:r>
        <w:rPr>
          <w:i/>
          <w:sz w:val="18"/>
        </w:rPr>
        <w:t>exclude</w:t>
      </w:r>
      <w:r>
        <w:rPr>
          <w:i/>
          <w:spacing w:val="-27"/>
          <w:sz w:val="18"/>
        </w:rPr>
        <w:t> </w:t>
      </w:r>
      <w:r>
        <w:rPr>
          <w:i/>
          <w:sz w:val="18"/>
        </w:rPr>
        <w:t>other</w:t>
      </w:r>
      <w:r>
        <w:rPr>
          <w:i/>
          <w:spacing w:val="-28"/>
          <w:sz w:val="18"/>
        </w:rPr>
        <w:t> </w:t>
      </w:r>
      <w:r>
        <w:rPr>
          <w:i/>
          <w:sz w:val="18"/>
        </w:rPr>
        <w:t>income</w:t>
      </w:r>
      <w:r>
        <w:rPr>
          <w:i/>
          <w:spacing w:val="-28"/>
          <w:sz w:val="18"/>
        </w:rPr>
        <w:t> </w:t>
      </w:r>
      <w:r>
        <w:rPr>
          <w:i/>
          <w:sz w:val="18"/>
        </w:rPr>
        <w:t>such</w:t>
      </w:r>
      <w:r>
        <w:rPr>
          <w:i/>
          <w:spacing w:val="-27"/>
          <w:sz w:val="18"/>
        </w:rPr>
        <w:t> </w:t>
      </w:r>
      <w:r>
        <w:rPr>
          <w:i/>
          <w:sz w:val="18"/>
        </w:rPr>
        <w:t>as</w:t>
      </w:r>
      <w:r>
        <w:rPr>
          <w:i/>
          <w:spacing w:val="-28"/>
          <w:sz w:val="18"/>
        </w:rPr>
        <w:t> </w:t>
      </w:r>
      <w:r>
        <w:rPr>
          <w:i/>
          <w:sz w:val="18"/>
        </w:rPr>
        <w:t>CAM</w:t>
      </w:r>
      <w:r>
        <w:rPr>
          <w:i/>
          <w:spacing w:val="-28"/>
          <w:sz w:val="18"/>
        </w:rPr>
        <w:t> </w:t>
      </w:r>
      <w:r>
        <w:rPr>
          <w:i/>
          <w:sz w:val="18"/>
        </w:rPr>
        <w:t>charges,</w:t>
      </w:r>
      <w:r>
        <w:rPr>
          <w:i/>
          <w:spacing w:val="-27"/>
          <w:sz w:val="18"/>
        </w:rPr>
        <w:t> </w:t>
      </w:r>
      <w:r>
        <w:rPr>
          <w:i/>
          <w:sz w:val="18"/>
        </w:rPr>
        <w:t>parking</w:t>
      </w:r>
      <w:r>
        <w:rPr>
          <w:i/>
          <w:spacing w:val="-27"/>
          <w:sz w:val="18"/>
        </w:rPr>
        <w:t> </w:t>
      </w:r>
      <w:r>
        <w:rPr>
          <w:i/>
          <w:sz w:val="18"/>
        </w:rPr>
        <w:t>income</w:t>
      </w:r>
      <w:r>
        <w:rPr>
          <w:i/>
          <w:spacing w:val="-28"/>
          <w:sz w:val="18"/>
        </w:rPr>
        <w:t> </w:t>
      </w:r>
      <w:r>
        <w:rPr>
          <w:i/>
          <w:sz w:val="18"/>
        </w:rPr>
        <w:t>received</w:t>
      </w:r>
      <w:r>
        <w:rPr>
          <w:i/>
          <w:spacing w:val="-28"/>
          <w:sz w:val="18"/>
        </w:rPr>
        <w:t> </w:t>
      </w:r>
      <w:r>
        <w:rPr>
          <w:i/>
          <w:sz w:val="18"/>
        </w:rPr>
        <w:t>from</w:t>
      </w:r>
      <w:r>
        <w:rPr>
          <w:i/>
          <w:spacing w:val="-27"/>
          <w:sz w:val="18"/>
        </w:rPr>
        <w:t> </w:t>
      </w:r>
      <w:r>
        <w:rPr>
          <w:i/>
          <w:sz w:val="18"/>
        </w:rPr>
        <w:t>the</w:t>
      </w:r>
      <w:r>
        <w:rPr>
          <w:i/>
          <w:spacing w:val="-28"/>
          <w:sz w:val="18"/>
        </w:rPr>
        <w:t> </w:t>
      </w:r>
      <w:r>
        <w:rPr>
          <w:i/>
          <w:sz w:val="18"/>
        </w:rPr>
        <w:t>tenants,</w:t>
      </w:r>
      <w:r>
        <w:rPr>
          <w:i/>
          <w:spacing w:val="-27"/>
          <w:sz w:val="18"/>
        </w:rPr>
        <w:t> </w:t>
      </w:r>
      <w:r>
        <w:rPr>
          <w:i/>
          <w:sz w:val="18"/>
        </w:rPr>
        <w:t>etc.;</w:t>
      </w:r>
      <w:r>
        <w:rPr>
          <w:i/>
          <w:spacing w:val="-29"/>
          <w:sz w:val="18"/>
        </w:rPr>
        <w:t> </w:t>
      </w:r>
      <w:r>
        <w:rPr>
          <w:i/>
          <w:sz w:val="18"/>
        </w:rPr>
        <w:t>^weighted </w:t>
      </w:r>
      <w:r>
        <w:rPr>
          <w:i/>
          <w:sz w:val="18"/>
        </w:rPr>
        <w:t>average</w:t>
      </w:r>
      <w:r>
        <w:rPr>
          <w:i/>
          <w:spacing w:val="-9"/>
          <w:sz w:val="18"/>
        </w:rPr>
        <w:t> </w:t>
      </w:r>
      <w:r>
        <w:rPr>
          <w:i/>
          <w:sz w:val="18"/>
        </w:rPr>
        <w:t>warm</w:t>
      </w:r>
      <w:r>
        <w:rPr>
          <w:i/>
          <w:spacing w:val="-6"/>
          <w:sz w:val="18"/>
        </w:rPr>
        <w:t> </w:t>
      </w:r>
      <w:r>
        <w:rPr>
          <w:i/>
          <w:sz w:val="18"/>
        </w:rPr>
        <w:t>shell</w:t>
      </w:r>
      <w:r>
        <w:rPr>
          <w:i/>
          <w:spacing w:val="-7"/>
          <w:sz w:val="18"/>
        </w:rPr>
        <w:t> </w:t>
      </w:r>
      <w:r>
        <w:rPr>
          <w:i/>
          <w:sz w:val="18"/>
        </w:rPr>
        <w:t>rental</w:t>
      </w:r>
      <w:r>
        <w:rPr>
          <w:i/>
          <w:spacing w:val="-6"/>
          <w:sz w:val="18"/>
        </w:rPr>
        <w:t> </w:t>
      </w:r>
      <w:r>
        <w:rPr>
          <w:i/>
          <w:sz w:val="18"/>
        </w:rPr>
        <w:t>for</w:t>
      </w:r>
      <w:r>
        <w:rPr>
          <w:i/>
          <w:spacing w:val="-6"/>
          <w:sz w:val="18"/>
        </w:rPr>
        <w:t> </w:t>
      </w:r>
      <w:r>
        <w:rPr>
          <w:i/>
          <w:sz w:val="18"/>
        </w:rPr>
        <w:t>area</w:t>
      </w:r>
      <w:r>
        <w:rPr>
          <w:i/>
          <w:spacing w:val="-5"/>
          <w:sz w:val="18"/>
        </w:rPr>
        <w:t> </w:t>
      </w:r>
      <w:r>
        <w:rPr>
          <w:i/>
          <w:sz w:val="18"/>
        </w:rPr>
        <w:t>already</w:t>
      </w:r>
      <w:r>
        <w:rPr>
          <w:i/>
          <w:spacing w:val="-8"/>
          <w:sz w:val="18"/>
        </w:rPr>
        <w:t> </w:t>
      </w:r>
      <w:r>
        <w:rPr>
          <w:i/>
          <w:sz w:val="18"/>
        </w:rPr>
        <w:t>leased</w:t>
      </w:r>
      <w:r>
        <w:rPr>
          <w:i/>
          <w:spacing w:val="-1"/>
          <w:sz w:val="18"/>
        </w:rPr>
        <w:t> </w:t>
      </w:r>
      <w:r>
        <w:rPr>
          <w:i/>
          <w:w w:val="105"/>
          <w:sz w:val="18"/>
        </w:rPr>
        <w:t>–</w:t>
      </w:r>
      <w:r>
        <w:rPr>
          <w:i/>
          <w:spacing w:val="-10"/>
          <w:w w:val="105"/>
          <w:sz w:val="18"/>
        </w:rPr>
        <w:t> </w:t>
      </w:r>
      <w:r>
        <w:rPr>
          <w:i/>
          <w:sz w:val="18"/>
        </w:rPr>
        <w:t>as</w:t>
      </w:r>
      <w:r>
        <w:rPr>
          <w:i/>
          <w:spacing w:val="-7"/>
          <w:sz w:val="18"/>
        </w:rPr>
        <w:t> </w:t>
      </w:r>
      <w:r>
        <w:rPr>
          <w:i/>
          <w:sz w:val="18"/>
        </w:rPr>
        <w:t>per</w:t>
      </w:r>
      <w:r>
        <w:rPr>
          <w:i/>
          <w:spacing w:val="-7"/>
          <w:sz w:val="18"/>
        </w:rPr>
        <w:t> </w:t>
      </w:r>
      <w:r>
        <w:rPr>
          <w:i/>
          <w:sz w:val="18"/>
        </w:rPr>
        <w:t>rent</w:t>
      </w:r>
      <w:r>
        <w:rPr>
          <w:i/>
          <w:spacing w:val="-5"/>
          <w:sz w:val="18"/>
        </w:rPr>
        <w:t> </w:t>
      </w:r>
      <w:r>
        <w:rPr>
          <w:i/>
          <w:sz w:val="18"/>
        </w:rPr>
        <w:t>roll</w:t>
      </w:r>
      <w:r>
        <w:rPr>
          <w:i/>
          <w:spacing w:val="-7"/>
          <w:sz w:val="18"/>
        </w:rPr>
        <w:t> </w:t>
      </w:r>
      <w:r>
        <w:rPr>
          <w:i/>
          <w:sz w:val="18"/>
        </w:rPr>
        <w:t>shared</w:t>
      </w:r>
      <w:r>
        <w:rPr>
          <w:i/>
          <w:spacing w:val="-5"/>
          <w:sz w:val="18"/>
        </w:rPr>
        <w:t> </w:t>
      </w:r>
      <w:r>
        <w:rPr>
          <w:i/>
          <w:sz w:val="18"/>
        </w:rPr>
        <w:t>by</w:t>
      </w:r>
      <w:r>
        <w:rPr>
          <w:i/>
          <w:spacing w:val="-6"/>
          <w:sz w:val="18"/>
        </w:rPr>
        <w:t> </w:t>
      </w:r>
      <w:r>
        <w:rPr>
          <w:i/>
          <w:sz w:val="18"/>
        </w:rPr>
        <w:t>Client</w:t>
      </w:r>
    </w:p>
    <w:p>
      <w:pPr>
        <w:pStyle w:val="BodyText"/>
        <w:spacing w:before="10"/>
        <w:rPr>
          <w:i/>
          <w:sz w:val="20"/>
        </w:rPr>
      </w:pPr>
    </w:p>
    <w:p>
      <w:pPr>
        <w:pStyle w:val="BodyText"/>
        <w:spacing w:line="321" w:lineRule="auto"/>
        <w:ind w:left="822" w:right="233"/>
        <w:jc w:val="both"/>
      </w:pPr>
      <w:r>
        <w:rPr/>
        <w:t>In addition to undertaking an in-depth market analysis, a detailed analysis of the rent rolls was also undertaken</w:t>
      </w:r>
      <w:r>
        <w:rPr>
          <w:spacing w:val="-17"/>
        </w:rPr>
        <w:t> </w:t>
      </w:r>
      <w:r>
        <w:rPr/>
        <w:t>to</w:t>
      </w:r>
      <w:r>
        <w:rPr>
          <w:spacing w:val="-17"/>
        </w:rPr>
        <w:t> </w:t>
      </w:r>
      <w:r>
        <w:rPr/>
        <w:t>understand</w:t>
      </w:r>
      <w:r>
        <w:rPr>
          <w:spacing w:val="-15"/>
        </w:rPr>
        <w:t> </w:t>
      </w:r>
      <w:r>
        <w:rPr/>
        <w:t>aspects</w:t>
      </w:r>
      <w:r>
        <w:rPr>
          <w:spacing w:val="-15"/>
        </w:rPr>
        <w:t> </w:t>
      </w:r>
      <w:r>
        <w:rPr/>
        <w:t>such</w:t>
      </w:r>
      <w:r>
        <w:rPr>
          <w:spacing w:val="-17"/>
        </w:rPr>
        <w:t> </w:t>
      </w:r>
      <w:r>
        <w:rPr/>
        <w:t>as</w:t>
      </w:r>
      <w:r>
        <w:rPr>
          <w:spacing w:val="-16"/>
        </w:rPr>
        <w:t> </w:t>
      </w:r>
      <w:r>
        <w:rPr/>
        <w:t>area</w:t>
      </w:r>
      <w:r>
        <w:rPr>
          <w:spacing w:val="-16"/>
        </w:rPr>
        <w:t> </w:t>
      </w:r>
      <w:r>
        <w:rPr/>
        <w:t>occupied,</w:t>
      </w:r>
      <w:r>
        <w:rPr>
          <w:spacing w:val="-17"/>
        </w:rPr>
        <w:t> </w:t>
      </w:r>
      <w:r>
        <w:rPr/>
        <w:t>current</w:t>
      </w:r>
      <w:r>
        <w:rPr>
          <w:spacing w:val="-16"/>
        </w:rPr>
        <w:t> </w:t>
      </w:r>
      <w:r>
        <w:rPr/>
        <w:t>rental</w:t>
      </w:r>
      <w:r>
        <w:rPr>
          <w:spacing w:val="-16"/>
        </w:rPr>
        <w:t> </w:t>
      </w:r>
      <w:r>
        <w:rPr/>
        <w:t>and</w:t>
      </w:r>
      <w:r>
        <w:rPr>
          <w:spacing w:val="-16"/>
        </w:rPr>
        <w:t> </w:t>
      </w:r>
      <w:r>
        <w:rPr/>
        <w:t>expiry</w:t>
      </w:r>
      <w:r>
        <w:rPr>
          <w:spacing w:val="-16"/>
        </w:rPr>
        <w:t> </w:t>
      </w:r>
      <w:r>
        <w:rPr/>
        <w:t>analysis</w:t>
      </w:r>
      <w:r>
        <w:rPr>
          <w:spacing w:val="-16"/>
        </w:rPr>
        <w:t> </w:t>
      </w:r>
      <w:r>
        <w:rPr/>
        <w:t>of</w:t>
      </w:r>
      <w:r>
        <w:rPr>
          <w:spacing w:val="-16"/>
        </w:rPr>
        <w:t> </w:t>
      </w:r>
      <w:r>
        <w:rPr/>
        <w:t>the</w:t>
      </w:r>
      <w:r>
        <w:rPr>
          <w:spacing w:val="-18"/>
        </w:rPr>
        <w:t> </w:t>
      </w:r>
      <w:r>
        <w:rPr/>
        <w:t>key tenants</w:t>
      </w:r>
      <w:r>
        <w:rPr>
          <w:spacing w:val="-32"/>
        </w:rPr>
        <w:t> </w:t>
      </w:r>
      <w:r>
        <w:rPr/>
        <w:t>in</w:t>
      </w:r>
      <w:r>
        <w:rPr>
          <w:spacing w:val="-32"/>
        </w:rPr>
        <w:t> </w:t>
      </w:r>
      <w:r>
        <w:rPr/>
        <w:t>the</w:t>
      </w:r>
      <w:r>
        <w:rPr>
          <w:spacing w:val="-33"/>
        </w:rPr>
        <w:t> </w:t>
      </w:r>
      <w:r>
        <w:rPr/>
        <w:t>park.</w:t>
      </w:r>
      <w:r>
        <w:rPr>
          <w:spacing w:val="-32"/>
        </w:rPr>
        <w:t> </w:t>
      </w:r>
      <w:r>
        <w:rPr/>
        <w:t>Additionally,</w:t>
      </w:r>
      <w:r>
        <w:rPr>
          <w:spacing w:val="-30"/>
        </w:rPr>
        <w:t> </w:t>
      </w:r>
      <w:r>
        <w:rPr/>
        <w:t>we</w:t>
      </w:r>
      <w:r>
        <w:rPr>
          <w:spacing w:val="-33"/>
        </w:rPr>
        <w:t> </w:t>
      </w:r>
      <w:r>
        <w:rPr/>
        <w:t>have</w:t>
      </w:r>
      <w:r>
        <w:rPr>
          <w:spacing w:val="-32"/>
        </w:rPr>
        <w:t> </w:t>
      </w:r>
      <w:r>
        <w:rPr/>
        <w:t>also</w:t>
      </w:r>
      <w:r>
        <w:rPr>
          <w:spacing w:val="-33"/>
        </w:rPr>
        <w:t> </w:t>
      </w:r>
      <w:r>
        <w:rPr/>
        <w:t>analysed</w:t>
      </w:r>
      <w:r>
        <w:rPr>
          <w:spacing w:val="-31"/>
        </w:rPr>
        <w:t> </w:t>
      </w:r>
      <w:r>
        <w:rPr/>
        <w:t>the</w:t>
      </w:r>
      <w:r>
        <w:rPr>
          <w:spacing w:val="-33"/>
        </w:rPr>
        <w:t> </w:t>
      </w:r>
      <w:r>
        <w:rPr/>
        <w:t>historical</w:t>
      </w:r>
      <w:r>
        <w:rPr>
          <w:spacing w:val="-32"/>
        </w:rPr>
        <w:t> </w:t>
      </w:r>
      <w:r>
        <w:rPr/>
        <w:t>occupancy</w:t>
      </w:r>
      <w:r>
        <w:rPr>
          <w:spacing w:val="-32"/>
        </w:rPr>
        <w:t> </w:t>
      </w:r>
      <w:r>
        <w:rPr/>
        <w:t>pattern</w:t>
      </w:r>
      <w:r>
        <w:rPr>
          <w:spacing w:val="-29"/>
        </w:rPr>
        <w:t> </w:t>
      </w:r>
      <w:r>
        <w:rPr/>
        <w:t>of</w:t>
      </w:r>
      <w:r>
        <w:rPr>
          <w:spacing w:val="-31"/>
        </w:rPr>
        <w:t> </w:t>
      </w:r>
      <w:r>
        <w:rPr/>
        <w:t>the</w:t>
      </w:r>
      <w:r>
        <w:rPr>
          <w:spacing w:val="-33"/>
        </w:rPr>
        <w:t> </w:t>
      </w:r>
      <w:r>
        <w:rPr/>
        <w:t>market/ subject development and lease-up time frame for spaces being vacated by tenants during the last 3 years.</w:t>
      </w:r>
      <w:r>
        <w:rPr>
          <w:spacing w:val="-8"/>
        </w:rPr>
        <w:t> </w:t>
      </w:r>
      <w:r>
        <w:rPr/>
        <w:t>The</w:t>
      </w:r>
      <w:r>
        <w:rPr>
          <w:spacing w:val="-7"/>
        </w:rPr>
        <w:t> </w:t>
      </w:r>
      <w:r>
        <w:rPr/>
        <w:t>lease-up</w:t>
      </w:r>
      <w:r>
        <w:rPr>
          <w:spacing w:val="-8"/>
        </w:rPr>
        <w:t> </w:t>
      </w:r>
      <w:r>
        <w:rPr/>
        <w:t>time</w:t>
      </w:r>
      <w:r>
        <w:rPr>
          <w:spacing w:val="-10"/>
        </w:rPr>
        <w:t> </w:t>
      </w:r>
      <w:r>
        <w:rPr/>
        <w:t>was</w:t>
      </w:r>
      <w:r>
        <w:rPr>
          <w:spacing w:val="-5"/>
        </w:rPr>
        <w:t> </w:t>
      </w:r>
      <w:r>
        <w:rPr/>
        <w:t>observed</w:t>
      </w:r>
      <w:r>
        <w:rPr>
          <w:spacing w:val="-8"/>
        </w:rPr>
        <w:t> </w:t>
      </w:r>
      <w:r>
        <w:rPr/>
        <w:t>to</w:t>
      </w:r>
      <w:r>
        <w:rPr>
          <w:spacing w:val="-7"/>
        </w:rPr>
        <w:t> </w:t>
      </w:r>
      <w:r>
        <w:rPr/>
        <w:t>be</w:t>
      </w:r>
      <w:r>
        <w:rPr>
          <w:spacing w:val="-7"/>
        </w:rPr>
        <w:t> </w:t>
      </w:r>
      <w:r>
        <w:rPr/>
        <w:t>3</w:t>
      </w:r>
      <w:r>
        <w:rPr>
          <w:spacing w:val="-4"/>
        </w:rPr>
        <w:t> </w:t>
      </w:r>
      <w:r>
        <w:rPr>
          <w:w w:val="105"/>
        </w:rPr>
        <w:t>–</w:t>
      </w:r>
      <w:r>
        <w:rPr>
          <w:spacing w:val="-9"/>
          <w:w w:val="105"/>
        </w:rPr>
        <w:t> </w:t>
      </w:r>
      <w:r>
        <w:rPr/>
        <w:t>9</w:t>
      </w:r>
      <w:r>
        <w:rPr>
          <w:spacing w:val="-9"/>
        </w:rPr>
        <w:t> </w:t>
      </w:r>
      <w:r>
        <w:rPr/>
        <w:t>months</w:t>
      </w:r>
      <w:r>
        <w:rPr>
          <w:spacing w:val="-8"/>
        </w:rPr>
        <w:t> </w:t>
      </w:r>
      <w:r>
        <w:rPr/>
        <w:t>based</w:t>
      </w:r>
      <w:r>
        <w:rPr>
          <w:spacing w:val="-6"/>
        </w:rPr>
        <w:t> </w:t>
      </w:r>
      <w:r>
        <w:rPr/>
        <w:t>on</w:t>
      </w:r>
      <w:r>
        <w:rPr>
          <w:spacing w:val="-7"/>
        </w:rPr>
        <w:t> </w:t>
      </w:r>
      <w:r>
        <w:rPr/>
        <w:t>quantum</w:t>
      </w:r>
      <w:r>
        <w:rPr>
          <w:spacing w:val="-8"/>
        </w:rPr>
        <w:t> </w:t>
      </w:r>
      <w:r>
        <w:rPr/>
        <w:t>of</w:t>
      </w:r>
      <w:r>
        <w:rPr>
          <w:spacing w:val="-6"/>
        </w:rPr>
        <w:t> </w:t>
      </w:r>
      <w:r>
        <w:rPr/>
        <w:t>space</w:t>
      </w:r>
      <w:r>
        <w:rPr>
          <w:spacing w:val="-7"/>
        </w:rPr>
        <w:t> </w:t>
      </w:r>
      <w:r>
        <w:rPr/>
        <w:t>being</w:t>
      </w:r>
      <w:r>
        <w:rPr>
          <w:spacing w:val="-6"/>
        </w:rPr>
        <w:t> </w:t>
      </w:r>
      <w:r>
        <w:rPr/>
        <w:t>renewed</w:t>
      </w:r>
    </w:p>
    <w:p>
      <w:pPr>
        <w:pStyle w:val="BodyText"/>
        <w:spacing w:before="2"/>
        <w:ind w:left="822"/>
        <w:jc w:val="both"/>
      </w:pPr>
      <w:r>
        <w:rPr/>
        <w:t>/ re-leased.</w:t>
      </w:r>
    </w:p>
    <w:p>
      <w:pPr>
        <w:spacing w:after="0"/>
        <w:jc w:val="both"/>
        <w:sectPr>
          <w:pgSz w:w="11910" w:h="16840"/>
          <w:pgMar w:header="720" w:footer="921" w:top="1660" w:bottom="1120" w:left="460" w:right="480"/>
        </w:sectPr>
      </w:pPr>
    </w:p>
    <w:p>
      <w:pPr>
        <w:pStyle w:val="BodyText"/>
        <w:spacing w:before="7"/>
        <w:rPr>
          <w:sz w:val="9"/>
        </w:rPr>
      </w:pPr>
    </w:p>
    <w:p>
      <w:pPr>
        <w:pStyle w:val="BodyText"/>
        <w:spacing w:line="321" w:lineRule="auto" w:before="106"/>
        <w:ind w:left="822" w:right="235"/>
        <w:jc w:val="both"/>
      </w:pPr>
      <w:r>
        <w:rPr/>
        <w:t>Based</w:t>
      </w:r>
      <w:r>
        <w:rPr>
          <w:spacing w:val="-8"/>
        </w:rPr>
        <w:t> </w:t>
      </w:r>
      <w:r>
        <w:rPr/>
        <w:t>on</w:t>
      </w:r>
      <w:r>
        <w:rPr>
          <w:spacing w:val="-8"/>
        </w:rPr>
        <w:t> </w:t>
      </w:r>
      <w:r>
        <w:rPr/>
        <w:t>the</w:t>
      </w:r>
      <w:r>
        <w:rPr>
          <w:spacing w:val="-7"/>
        </w:rPr>
        <w:t> </w:t>
      </w:r>
      <w:r>
        <w:rPr/>
        <w:t>size</w:t>
      </w:r>
      <w:r>
        <w:rPr>
          <w:spacing w:val="-7"/>
        </w:rPr>
        <w:t> </w:t>
      </w:r>
      <w:r>
        <w:rPr/>
        <w:t>and</w:t>
      </w:r>
      <w:r>
        <w:rPr>
          <w:spacing w:val="-7"/>
        </w:rPr>
        <w:t> </w:t>
      </w:r>
      <w:r>
        <w:rPr/>
        <w:t>scale</w:t>
      </w:r>
      <w:r>
        <w:rPr>
          <w:spacing w:val="-7"/>
        </w:rPr>
        <w:t> </w:t>
      </w:r>
      <w:r>
        <w:rPr/>
        <w:t>of</w:t>
      </w:r>
      <w:r>
        <w:rPr>
          <w:spacing w:val="-7"/>
        </w:rPr>
        <w:t> </w:t>
      </w:r>
      <w:r>
        <w:rPr/>
        <w:t>operations</w:t>
      </w:r>
      <w:r>
        <w:rPr>
          <w:spacing w:val="-6"/>
        </w:rPr>
        <w:t> </w:t>
      </w:r>
      <w:r>
        <w:rPr/>
        <w:t>of</w:t>
      </w:r>
      <w:r>
        <w:rPr>
          <w:spacing w:val="-7"/>
        </w:rPr>
        <w:t> </w:t>
      </w:r>
      <w:r>
        <w:rPr/>
        <w:t>these</w:t>
      </w:r>
      <w:r>
        <w:rPr>
          <w:spacing w:val="-3"/>
        </w:rPr>
        <w:t> </w:t>
      </w:r>
      <w:r>
        <w:rPr/>
        <w:t>tenants,</w:t>
      </w:r>
      <w:r>
        <w:rPr>
          <w:spacing w:val="-7"/>
        </w:rPr>
        <w:t> </w:t>
      </w:r>
      <w:r>
        <w:rPr/>
        <w:t>the</w:t>
      </w:r>
      <w:r>
        <w:rPr>
          <w:spacing w:val="-7"/>
        </w:rPr>
        <w:t> </w:t>
      </w:r>
      <w:r>
        <w:rPr/>
        <w:t>Valuer</w:t>
      </w:r>
      <w:r>
        <w:rPr>
          <w:spacing w:val="-7"/>
        </w:rPr>
        <w:t> </w:t>
      </w:r>
      <w:r>
        <w:rPr/>
        <w:t>has</w:t>
      </w:r>
      <w:r>
        <w:rPr>
          <w:spacing w:val="-5"/>
        </w:rPr>
        <w:t> </w:t>
      </w:r>
      <w:r>
        <w:rPr/>
        <w:t>adopted</w:t>
      </w:r>
      <w:r>
        <w:rPr>
          <w:spacing w:val="-7"/>
        </w:rPr>
        <w:t> </w:t>
      </w:r>
      <w:r>
        <w:rPr/>
        <w:t>individual</w:t>
      </w:r>
      <w:r>
        <w:rPr>
          <w:spacing w:val="-7"/>
        </w:rPr>
        <w:t> </w:t>
      </w:r>
      <w:r>
        <w:rPr/>
        <w:t>market rent</w:t>
      </w:r>
      <w:r>
        <w:rPr>
          <w:spacing w:val="-38"/>
        </w:rPr>
        <w:t> </w:t>
      </w:r>
      <w:r>
        <w:rPr/>
        <w:t>assumptions</w:t>
      </w:r>
      <w:r>
        <w:rPr>
          <w:spacing w:val="-38"/>
        </w:rPr>
        <w:t> </w:t>
      </w:r>
      <w:r>
        <w:rPr/>
        <w:t>for</w:t>
      </w:r>
      <w:r>
        <w:rPr>
          <w:spacing w:val="-37"/>
        </w:rPr>
        <w:t> </w:t>
      </w:r>
      <w:r>
        <w:rPr/>
        <w:t>larger</w:t>
      </w:r>
      <w:r>
        <w:rPr>
          <w:spacing w:val="-38"/>
        </w:rPr>
        <w:t> </w:t>
      </w:r>
      <w:r>
        <w:rPr/>
        <w:t>tenants</w:t>
      </w:r>
      <w:r>
        <w:rPr>
          <w:spacing w:val="-37"/>
        </w:rPr>
        <w:t> </w:t>
      </w:r>
      <w:r>
        <w:rPr/>
        <w:t>in</w:t>
      </w:r>
      <w:r>
        <w:rPr>
          <w:spacing w:val="-38"/>
        </w:rPr>
        <w:t> </w:t>
      </w:r>
      <w:r>
        <w:rPr/>
        <w:t>the</w:t>
      </w:r>
      <w:r>
        <w:rPr>
          <w:spacing w:val="-37"/>
        </w:rPr>
        <w:t> </w:t>
      </w:r>
      <w:r>
        <w:rPr/>
        <w:t>subject</w:t>
      </w:r>
      <w:r>
        <w:rPr>
          <w:spacing w:val="-37"/>
        </w:rPr>
        <w:t> </w:t>
      </w:r>
      <w:r>
        <w:rPr/>
        <w:t>development.</w:t>
      </w:r>
      <w:r>
        <w:rPr>
          <w:spacing w:val="-38"/>
        </w:rPr>
        <w:t> </w:t>
      </w:r>
      <w:r>
        <w:rPr/>
        <w:t>For</w:t>
      </w:r>
      <w:r>
        <w:rPr>
          <w:spacing w:val="-37"/>
        </w:rPr>
        <w:t> </w:t>
      </w:r>
      <w:r>
        <w:rPr/>
        <w:t>the</w:t>
      </w:r>
      <w:r>
        <w:rPr>
          <w:spacing w:val="-38"/>
        </w:rPr>
        <w:t> </w:t>
      </w:r>
      <w:r>
        <w:rPr/>
        <w:t>larger</w:t>
      </w:r>
      <w:r>
        <w:rPr>
          <w:spacing w:val="-37"/>
        </w:rPr>
        <w:t> </w:t>
      </w:r>
      <w:r>
        <w:rPr/>
        <w:t>tenants,</w:t>
      </w:r>
      <w:r>
        <w:rPr>
          <w:spacing w:val="-35"/>
        </w:rPr>
        <w:t> </w:t>
      </w:r>
      <w:r>
        <w:rPr/>
        <w:t>we</w:t>
      </w:r>
      <w:r>
        <w:rPr>
          <w:spacing w:val="-38"/>
        </w:rPr>
        <w:t> </w:t>
      </w:r>
      <w:r>
        <w:rPr/>
        <w:t>have</w:t>
      </w:r>
      <w:r>
        <w:rPr>
          <w:spacing w:val="-37"/>
        </w:rPr>
        <w:t> </w:t>
      </w:r>
      <w:r>
        <w:rPr/>
        <w:t>assumed that</w:t>
      </w:r>
      <w:r>
        <w:rPr>
          <w:spacing w:val="-28"/>
        </w:rPr>
        <w:t> </w:t>
      </w:r>
      <w:r>
        <w:rPr/>
        <w:t>post</w:t>
      </w:r>
      <w:r>
        <w:rPr>
          <w:spacing w:val="-28"/>
        </w:rPr>
        <w:t> </w:t>
      </w:r>
      <w:r>
        <w:rPr/>
        <w:t>lease</w:t>
      </w:r>
      <w:r>
        <w:rPr>
          <w:spacing w:val="-28"/>
        </w:rPr>
        <w:t> </w:t>
      </w:r>
      <w:r>
        <w:rPr/>
        <w:t>expiry,</w:t>
      </w:r>
      <w:r>
        <w:rPr>
          <w:spacing w:val="-29"/>
        </w:rPr>
        <w:t> </w:t>
      </w:r>
      <w:r>
        <w:rPr/>
        <w:t>these</w:t>
      </w:r>
      <w:r>
        <w:rPr>
          <w:spacing w:val="-28"/>
        </w:rPr>
        <w:t> </w:t>
      </w:r>
      <w:r>
        <w:rPr/>
        <w:t>spaces</w:t>
      </w:r>
      <w:r>
        <w:rPr>
          <w:spacing w:val="-29"/>
        </w:rPr>
        <w:t> </w:t>
      </w:r>
      <w:r>
        <w:rPr/>
        <w:t>will</w:t>
      </w:r>
      <w:r>
        <w:rPr>
          <w:spacing w:val="-28"/>
        </w:rPr>
        <w:t> </w:t>
      </w:r>
      <w:r>
        <w:rPr/>
        <w:t>revert</w:t>
      </w:r>
      <w:r>
        <w:rPr>
          <w:spacing w:val="-28"/>
        </w:rPr>
        <w:t> </w:t>
      </w:r>
      <w:r>
        <w:rPr/>
        <w:t>to</w:t>
      </w:r>
      <w:r>
        <w:rPr>
          <w:spacing w:val="-29"/>
        </w:rPr>
        <w:t> </w:t>
      </w:r>
      <w:r>
        <w:rPr/>
        <w:t>market</w:t>
      </w:r>
      <w:r>
        <w:rPr>
          <w:spacing w:val="-28"/>
        </w:rPr>
        <w:t> </w:t>
      </w:r>
      <w:r>
        <w:rPr/>
        <w:t>rent</w:t>
      </w:r>
      <w:r>
        <w:rPr>
          <w:spacing w:val="-28"/>
        </w:rPr>
        <w:t> </w:t>
      </w:r>
      <w:r>
        <w:rPr/>
        <w:t>prevailing</w:t>
      </w:r>
      <w:r>
        <w:rPr>
          <w:spacing w:val="-27"/>
        </w:rPr>
        <w:t> </w:t>
      </w:r>
      <w:r>
        <w:rPr/>
        <w:t>at</w:t>
      </w:r>
      <w:r>
        <w:rPr>
          <w:spacing w:val="-29"/>
        </w:rPr>
        <w:t> </w:t>
      </w:r>
      <w:r>
        <w:rPr/>
        <w:t>that</w:t>
      </w:r>
      <w:r>
        <w:rPr>
          <w:spacing w:val="-29"/>
        </w:rPr>
        <w:t> </w:t>
      </w:r>
      <w:r>
        <w:rPr/>
        <w:t>point</w:t>
      </w:r>
      <w:r>
        <w:rPr>
          <w:spacing w:val="-28"/>
        </w:rPr>
        <w:t> </w:t>
      </w:r>
      <w:r>
        <w:rPr/>
        <w:t>in</w:t>
      </w:r>
      <w:r>
        <w:rPr>
          <w:spacing w:val="-28"/>
        </w:rPr>
        <w:t> </w:t>
      </w:r>
      <w:r>
        <w:rPr/>
        <w:t>time.</w:t>
      </w:r>
      <w:r>
        <w:rPr>
          <w:spacing w:val="-29"/>
        </w:rPr>
        <w:t> </w:t>
      </w:r>
      <w:r>
        <w:rPr/>
        <w:t>However, given</w:t>
      </w:r>
      <w:r>
        <w:rPr>
          <w:spacing w:val="-32"/>
        </w:rPr>
        <w:t> </w:t>
      </w:r>
      <w:r>
        <w:rPr/>
        <w:t>the</w:t>
      </w:r>
      <w:r>
        <w:rPr>
          <w:spacing w:val="-31"/>
        </w:rPr>
        <w:t> </w:t>
      </w:r>
      <w:r>
        <w:rPr/>
        <w:t>large</w:t>
      </w:r>
      <w:r>
        <w:rPr>
          <w:spacing w:val="-31"/>
        </w:rPr>
        <w:t> </w:t>
      </w:r>
      <w:r>
        <w:rPr/>
        <w:t>size</w:t>
      </w:r>
      <w:r>
        <w:rPr>
          <w:spacing w:val="-31"/>
        </w:rPr>
        <w:t> </w:t>
      </w:r>
      <w:r>
        <w:rPr/>
        <w:t>of</w:t>
      </w:r>
      <w:r>
        <w:rPr>
          <w:spacing w:val="-30"/>
        </w:rPr>
        <w:t> </w:t>
      </w:r>
      <w:r>
        <w:rPr/>
        <w:t>these</w:t>
      </w:r>
      <w:r>
        <w:rPr>
          <w:spacing w:val="-31"/>
        </w:rPr>
        <w:t> </w:t>
      </w:r>
      <w:r>
        <w:rPr/>
        <w:t>spaces,</w:t>
      </w:r>
      <w:r>
        <w:rPr>
          <w:spacing w:val="-31"/>
        </w:rPr>
        <w:t> </w:t>
      </w:r>
      <w:r>
        <w:rPr/>
        <w:t>the</w:t>
      </w:r>
      <w:r>
        <w:rPr>
          <w:spacing w:val="-31"/>
        </w:rPr>
        <w:t> </w:t>
      </w:r>
      <w:r>
        <w:rPr/>
        <w:t>Client</w:t>
      </w:r>
      <w:r>
        <w:rPr>
          <w:spacing w:val="-31"/>
        </w:rPr>
        <w:t> </w:t>
      </w:r>
      <w:r>
        <w:rPr/>
        <w:t>will</w:t>
      </w:r>
      <w:r>
        <w:rPr>
          <w:spacing w:val="-32"/>
        </w:rPr>
        <w:t> </w:t>
      </w:r>
      <w:r>
        <w:rPr/>
        <w:t>require</w:t>
      </w:r>
      <w:r>
        <w:rPr>
          <w:spacing w:val="-31"/>
        </w:rPr>
        <w:t> </w:t>
      </w:r>
      <w:r>
        <w:rPr/>
        <w:t>longer</w:t>
      </w:r>
      <w:r>
        <w:rPr>
          <w:spacing w:val="-31"/>
        </w:rPr>
        <w:t> </w:t>
      </w:r>
      <w:r>
        <w:rPr/>
        <w:t>lease-up</w:t>
      </w:r>
      <w:r>
        <w:rPr>
          <w:spacing w:val="-30"/>
        </w:rPr>
        <w:t> </w:t>
      </w:r>
      <w:r>
        <w:rPr/>
        <w:t>time.</w:t>
      </w:r>
      <w:r>
        <w:rPr>
          <w:spacing w:val="-31"/>
        </w:rPr>
        <w:t> </w:t>
      </w:r>
      <w:r>
        <w:rPr/>
        <w:t>Therefore,</w:t>
      </w:r>
      <w:r>
        <w:rPr>
          <w:spacing w:val="-31"/>
        </w:rPr>
        <w:t> </w:t>
      </w:r>
      <w:r>
        <w:rPr/>
        <w:t>the</w:t>
      </w:r>
      <w:r>
        <w:rPr>
          <w:spacing w:val="-31"/>
        </w:rPr>
        <w:t> </w:t>
      </w:r>
      <w:r>
        <w:rPr/>
        <w:t>we</w:t>
      </w:r>
      <w:r>
        <w:rPr>
          <w:spacing w:val="-31"/>
        </w:rPr>
        <w:t> </w:t>
      </w:r>
      <w:r>
        <w:rPr/>
        <w:t>have adopted</w:t>
      </w:r>
      <w:r>
        <w:rPr>
          <w:spacing w:val="-4"/>
        </w:rPr>
        <w:t> </w:t>
      </w:r>
      <w:r>
        <w:rPr/>
        <w:t>a</w:t>
      </w:r>
      <w:r>
        <w:rPr>
          <w:spacing w:val="-6"/>
        </w:rPr>
        <w:t> </w:t>
      </w:r>
      <w:r>
        <w:rPr/>
        <w:t>higher</w:t>
      </w:r>
      <w:r>
        <w:rPr>
          <w:spacing w:val="-4"/>
        </w:rPr>
        <w:t> </w:t>
      </w:r>
      <w:r>
        <w:rPr/>
        <w:t>lease-up</w:t>
      </w:r>
      <w:r>
        <w:rPr>
          <w:spacing w:val="-4"/>
        </w:rPr>
        <w:t> </w:t>
      </w:r>
      <w:r>
        <w:rPr/>
        <w:t>time,</w:t>
      </w:r>
      <w:r>
        <w:rPr>
          <w:spacing w:val="-5"/>
        </w:rPr>
        <w:t> </w:t>
      </w:r>
      <w:r>
        <w:rPr/>
        <w:t>ranging</w:t>
      </w:r>
      <w:r>
        <w:rPr>
          <w:spacing w:val="-5"/>
        </w:rPr>
        <w:t> </w:t>
      </w:r>
      <w:r>
        <w:rPr/>
        <w:t>from</w:t>
      </w:r>
      <w:r>
        <w:rPr>
          <w:spacing w:val="-4"/>
        </w:rPr>
        <w:t> </w:t>
      </w:r>
      <w:r>
        <w:rPr/>
        <w:t>6</w:t>
      </w:r>
      <w:r>
        <w:rPr>
          <w:spacing w:val="-6"/>
        </w:rPr>
        <w:t> </w:t>
      </w:r>
      <w:r>
        <w:rPr>
          <w:w w:val="105"/>
        </w:rPr>
        <w:t>–</w:t>
      </w:r>
      <w:r>
        <w:rPr>
          <w:spacing w:val="-10"/>
          <w:w w:val="105"/>
        </w:rPr>
        <w:t> </w:t>
      </w:r>
      <w:r>
        <w:rPr/>
        <w:t>9</w:t>
      </w:r>
      <w:r>
        <w:rPr>
          <w:spacing w:val="-4"/>
        </w:rPr>
        <w:t> </w:t>
      </w:r>
      <w:r>
        <w:rPr/>
        <w:t>months</w:t>
      </w:r>
      <w:r>
        <w:rPr>
          <w:spacing w:val="-4"/>
        </w:rPr>
        <w:t> </w:t>
      </w:r>
      <w:r>
        <w:rPr/>
        <w:t>depending</w:t>
      </w:r>
      <w:r>
        <w:rPr>
          <w:spacing w:val="-4"/>
        </w:rPr>
        <w:t> </w:t>
      </w:r>
      <w:r>
        <w:rPr/>
        <w:t>on</w:t>
      </w:r>
      <w:r>
        <w:rPr>
          <w:spacing w:val="-5"/>
        </w:rPr>
        <w:t> </w:t>
      </w:r>
      <w:r>
        <w:rPr/>
        <w:t>area</w:t>
      </w:r>
      <w:r>
        <w:rPr>
          <w:spacing w:val="-5"/>
        </w:rPr>
        <w:t> </w:t>
      </w:r>
      <w:r>
        <w:rPr/>
        <w:t>to</w:t>
      </w:r>
      <w:r>
        <w:rPr>
          <w:spacing w:val="-5"/>
        </w:rPr>
        <w:t> </w:t>
      </w:r>
      <w:r>
        <w:rPr/>
        <w:t>be</w:t>
      </w:r>
      <w:r>
        <w:rPr>
          <w:spacing w:val="-4"/>
        </w:rPr>
        <w:t> </w:t>
      </w:r>
      <w:r>
        <w:rPr/>
        <w:t>leased.</w:t>
      </w:r>
    </w:p>
    <w:p>
      <w:pPr>
        <w:pStyle w:val="ListParagraph"/>
        <w:numPr>
          <w:ilvl w:val="3"/>
          <w:numId w:val="58"/>
        </w:numPr>
        <w:tabs>
          <w:tab w:pos="1125" w:val="left" w:leader="none"/>
        </w:tabs>
        <w:spacing w:line="240" w:lineRule="auto" w:before="211" w:after="0"/>
        <w:ind w:left="1124" w:right="0" w:hanging="865"/>
        <w:jc w:val="both"/>
        <w:rPr>
          <w:i/>
          <w:sz w:val="20"/>
        </w:rPr>
      </w:pPr>
      <w:r>
        <w:rPr>
          <w:i/>
          <w:color w:val="008000"/>
          <w:sz w:val="20"/>
        </w:rPr>
        <w:t>Rent</w:t>
      </w:r>
      <w:r>
        <w:rPr>
          <w:i/>
          <w:color w:val="008000"/>
          <w:spacing w:val="-4"/>
          <w:sz w:val="20"/>
        </w:rPr>
        <w:t> </w:t>
      </w:r>
      <w:r>
        <w:rPr>
          <w:i/>
          <w:color w:val="008000"/>
          <w:sz w:val="20"/>
        </w:rPr>
        <w:t>Escalation</w:t>
      </w:r>
    </w:p>
    <w:p>
      <w:pPr>
        <w:pStyle w:val="BodyText"/>
        <w:spacing w:line="321" w:lineRule="auto" w:before="136"/>
        <w:ind w:left="879" w:right="236"/>
        <w:jc w:val="both"/>
      </w:pPr>
      <w:r>
        <w:rPr/>
        <w:t>Based</w:t>
      </w:r>
      <w:r>
        <w:rPr>
          <w:spacing w:val="-31"/>
        </w:rPr>
        <w:t> </w:t>
      </w:r>
      <w:r>
        <w:rPr/>
        <w:t>on</w:t>
      </w:r>
      <w:r>
        <w:rPr>
          <w:spacing w:val="-31"/>
        </w:rPr>
        <w:t> </w:t>
      </w:r>
      <w:r>
        <w:rPr/>
        <w:t>analysis</w:t>
      </w:r>
      <w:r>
        <w:rPr>
          <w:spacing w:val="-30"/>
        </w:rPr>
        <w:t> </w:t>
      </w:r>
      <w:r>
        <w:rPr/>
        <w:t>of</w:t>
      </w:r>
      <w:r>
        <w:rPr>
          <w:spacing w:val="-30"/>
        </w:rPr>
        <w:t> </w:t>
      </w:r>
      <w:r>
        <w:rPr/>
        <w:t>existing</w:t>
      </w:r>
      <w:r>
        <w:rPr>
          <w:spacing w:val="-30"/>
        </w:rPr>
        <w:t> </w:t>
      </w:r>
      <w:r>
        <w:rPr/>
        <w:t>lease</w:t>
      </w:r>
      <w:r>
        <w:rPr>
          <w:spacing w:val="-31"/>
        </w:rPr>
        <w:t> </w:t>
      </w:r>
      <w:r>
        <w:rPr/>
        <w:t>rolls,</w:t>
      </w:r>
      <w:r>
        <w:rPr>
          <w:spacing w:val="-30"/>
        </w:rPr>
        <w:t> </w:t>
      </w:r>
      <w:r>
        <w:rPr/>
        <w:t>it</w:t>
      </w:r>
      <w:r>
        <w:rPr>
          <w:spacing w:val="-31"/>
        </w:rPr>
        <w:t> </w:t>
      </w:r>
      <w:r>
        <w:rPr/>
        <w:t>was</w:t>
      </w:r>
      <w:r>
        <w:rPr>
          <w:spacing w:val="-30"/>
        </w:rPr>
        <w:t> </w:t>
      </w:r>
      <w:r>
        <w:rPr/>
        <w:t>observed</w:t>
      </w:r>
      <w:r>
        <w:rPr>
          <w:spacing w:val="-30"/>
        </w:rPr>
        <w:t> </w:t>
      </w:r>
      <w:r>
        <w:rPr/>
        <w:t>that</w:t>
      </w:r>
      <w:r>
        <w:rPr>
          <w:spacing w:val="-30"/>
        </w:rPr>
        <w:t> </w:t>
      </w:r>
      <w:r>
        <w:rPr/>
        <w:t>the</w:t>
      </w:r>
      <w:r>
        <w:rPr>
          <w:spacing w:val="-31"/>
        </w:rPr>
        <w:t> </w:t>
      </w:r>
      <w:r>
        <w:rPr/>
        <w:t>typical</w:t>
      </w:r>
      <w:r>
        <w:rPr>
          <w:spacing w:val="-31"/>
        </w:rPr>
        <w:t> </w:t>
      </w:r>
      <w:r>
        <w:rPr/>
        <w:t>escalation</w:t>
      </w:r>
      <w:r>
        <w:rPr>
          <w:spacing w:val="-31"/>
        </w:rPr>
        <w:t> </w:t>
      </w:r>
      <w:r>
        <w:rPr/>
        <w:t>clause</w:t>
      </w:r>
      <w:r>
        <w:rPr>
          <w:spacing w:val="-31"/>
        </w:rPr>
        <w:t> </w:t>
      </w:r>
      <w:r>
        <w:rPr/>
        <w:t>in</w:t>
      </w:r>
      <w:r>
        <w:rPr>
          <w:spacing w:val="-31"/>
        </w:rPr>
        <w:t> </w:t>
      </w:r>
      <w:r>
        <w:rPr/>
        <w:t>the</w:t>
      </w:r>
      <w:r>
        <w:rPr>
          <w:spacing w:val="-31"/>
        </w:rPr>
        <w:t> </w:t>
      </w:r>
      <w:r>
        <w:rPr/>
        <w:t>subject property</w:t>
      </w:r>
      <w:r>
        <w:rPr>
          <w:spacing w:val="-24"/>
        </w:rPr>
        <w:t> </w:t>
      </w:r>
      <w:r>
        <w:rPr/>
        <w:t>is</w:t>
      </w:r>
      <w:r>
        <w:rPr>
          <w:spacing w:val="-23"/>
        </w:rPr>
        <w:t> </w:t>
      </w:r>
      <w:r>
        <w:rPr/>
        <w:t>approx.</w:t>
      </w:r>
      <w:r>
        <w:rPr>
          <w:spacing w:val="-25"/>
        </w:rPr>
        <w:t> </w:t>
      </w:r>
      <w:r>
        <w:rPr/>
        <w:t>15%</w:t>
      </w:r>
      <w:r>
        <w:rPr>
          <w:spacing w:val="-24"/>
        </w:rPr>
        <w:t> </w:t>
      </w:r>
      <w:r>
        <w:rPr/>
        <w:t>after</w:t>
      </w:r>
      <w:r>
        <w:rPr>
          <w:spacing w:val="-25"/>
        </w:rPr>
        <w:t> </w:t>
      </w:r>
      <w:r>
        <w:rPr/>
        <w:t>every</w:t>
      </w:r>
      <w:r>
        <w:rPr>
          <w:spacing w:val="-23"/>
        </w:rPr>
        <w:t> </w:t>
      </w:r>
      <w:r>
        <w:rPr/>
        <w:t>three</w:t>
      </w:r>
      <w:r>
        <w:rPr>
          <w:spacing w:val="-25"/>
        </w:rPr>
        <w:t> </w:t>
      </w:r>
      <w:r>
        <w:rPr/>
        <w:t>years,</w:t>
      </w:r>
      <w:r>
        <w:rPr>
          <w:spacing w:val="-24"/>
        </w:rPr>
        <w:t> </w:t>
      </w:r>
      <w:r>
        <w:rPr/>
        <w:t>which</w:t>
      </w:r>
      <w:r>
        <w:rPr>
          <w:spacing w:val="-25"/>
        </w:rPr>
        <w:t> </w:t>
      </w:r>
      <w:r>
        <w:rPr/>
        <w:t>is</w:t>
      </w:r>
      <w:r>
        <w:rPr>
          <w:spacing w:val="-25"/>
        </w:rPr>
        <w:t> </w:t>
      </w:r>
      <w:r>
        <w:rPr/>
        <w:t>in-line</w:t>
      </w:r>
      <w:r>
        <w:rPr>
          <w:spacing w:val="-24"/>
        </w:rPr>
        <w:t> </w:t>
      </w:r>
      <w:r>
        <w:rPr/>
        <w:t>with</w:t>
      </w:r>
      <w:r>
        <w:rPr>
          <w:spacing w:val="-25"/>
        </w:rPr>
        <w:t> </w:t>
      </w:r>
      <w:r>
        <w:rPr/>
        <w:t>the</w:t>
      </w:r>
      <w:r>
        <w:rPr>
          <w:spacing w:val="-25"/>
        </w:rPr>
        <w:t> </w:t>
      </w:r>
      <w:r>
        <w:rPr/>
        <w:t>trend</w:t>
      </w:r>
      <w:r>
        <w:rPr>
          <w:spacing w:val="-24"/>
        </w:rPr>
        <w:t> </w:t>
      </w:r>
      <w:r>
        <w:rPr/>
        <w:t>observed</w:t>
      </w:r>
      <w:r>
        <w:rPr>
          <w:spacing w:val="-24"/>
        </w:rPr>
        <w:t> </w:t>
      </w:r>
      <w:r>
        <w:rPr/>
        <w:t>in</w:t>
      </w:r>
      <w:r>
        <w:rPr>
          <w:spacing w:val="-25"/>
        </w:rPr>
        <w:t> </w:t>
      </w:r>
      <w:r>
        <w:rPr/>
        <w:t>the</w:t>
      </w:r>
      <w:r>
        <w:rPr>
          <w:spacing w:val="-25"/>
        </w:rPr>
        <w:t> </w:t>
      </w:r>
      <w:r>
        <w:rPr/>
        <w:t>market. The</w:t>
      </w:r>
      <w:r>
        <w:rPr>
          <w:spacing w:val="-6"/>
        </w:rPr>
        <w:t> </w:t>
      </w:r>
      <w:r>
        <w:rPr/>
        <w:t>same</w:t>
      </w:r>
      <w:r>
        <w:rPr>
          <w:spacing w:val="-5"/>
        </w:rPr>
        <w:t> </w:t>
      </w:r>
      <w:r>
        <w:rPr/>
        <w:t>has</w:t>
      </w:r>
      <w:r>
        <w:rPr>
          <w:spacing w:val="-5"/>
        </w:rPr>
        <w:t> </w:t>
      </w:r>
      <w:r>
        <w:rPr/>
        <w:t>been</w:t>
      </w:r>
      <w:r>
        <w:rPr>
          <w:spacing w:val="-6"/>
        </w:rPr>
        <w:t> </w:t>
      </w:r>
      <w:r>
        <w:rPr/>
        <w:t>adopted</w:t>
      </w:r>
      <w:r>
        <w:rPr>
          <w:spacing w:val="-4"/>
        </w:rPr>
        <w:t> </w:t>
      </w:r>
      <w:r>
        <w:rPr/>
        <w:t>by</w:t>
      </w:r>
      <w:r>
        <w:rPr>
          <w:spacing w:val="-5"/>
        </w:rPr>
        <w:t> </w:t>
      </w:r>
      <w:r>
        <w:rPr/>
        <w:t>the</w:t>
      </w:r>
      <w:r>
        <w:rPr>
          <w:spacing w:val="-5"/>
        </w:rPr>
        <w:t> </w:t>
      </w:r>
      <w:r>
        <w:rPr/>
        <w:t>Valuer</w:t>
      </w:r>
      <w:r>
        <w:rPr>
          <w:spacing w:val="-5"/>
        </w:rPr>
        <w:t> </w:t>
      </w:r>
      <w:r>
        <w:rPr/>
        <w:t>for</w:t>
      </w:r>
      <w:r>
        <w:rPr>
          <w:spacing w:val="-5"/>
        </w:rPr>
        <w:t> </w:t>
      </w:r>
      <w:r>
        <w:rPr/>
        <w:t>the</w:t>
      </w:r>
      <w:r>
        <w:rPr>
          <w:spacing w:val="-5"/>
        </w:rPr>
        <w:t> </w:t>
      </w:r>
      <w:r>
        <w:rPr/>
        <w:t>vacant</w:t>
      </w:r>
      <w:r>
        <w:rPr>
          <w:spacing w:val="-5"/>
        </w:rPr>
        <w:t> </w:t>
      </w:r>
      <w:r>
        <w:rPr/>
        <w:t>area.</w:t>
      </w:r>
    </w:p>
    <w:p>
      <w:pPr>
        <w:pStyle w:val="ListParagraph"/>
        <w:numPr>
          <w:ilvl w:val="3"/>
          <w:numId w:val="58"/>
        </w:numPr>
        <w:tabs>
          <w:tab w:pos="1125" w:val="left" w:leader="none"/>
        </w:tabs>
        <w:spacing w:line="240" w:lineRule="auto" w:before="212" w:after="0"/>
        <w:ind w:left="1124" w:right="0" w:hanging="865"/>
        <w:jc w:val="both"/>
        <w:rPr>
          <w:i/>
          <w:sz w:val="20"/>
        </w:rPr>
      </w:pPr>
      <w:r>
        <w:rPr>
          <w:i/>
          <w:color w:val="008000"/>
          <w:sz w:val="20"/>
        </w:rPr>
        <w:t>Fit-out</w:t>
      </w:r>
      <w:r>
        <w:rPr>
          <w:i/>
          <w:color w:val="008000"/>
          <w:spacing w:val="-4"/>
          <w:sz w:val="20"/>
        </w:rPr>
        <w:t> </w:t>
      </w:r>
      <w:r>
        <w:rPr>
          <w:i/>
          <w:color w:val="008000"/>
          <w:sz w:val="20"/>
        </w:rPr>
        <w:t>Rentals</w:t>
      </w:r>
    </w:p>
    <w:p>
      <w:pPr>
        <w:pStyle w:val="BodyText"/>
        <w:spacing w:line="321" w:lineRule="auto" w:before="136"/>
        <w:ind w:left="822" w:right="235"/>
        <w:jc w:val="both"/>
      </w:pPr>
      <w:r>
        <w:rPr/>
        <w:t>As</w:t>
      </w:r>
      <w:r>
        <w:rPr>
          <w:spacing w:val="-7"/>
        </w:rPr>
        <w:t> </w:t>
      </w:r>
      <w:r>
        <w:rPr/>
        <w:t>per</w:t>
      </w:r>
      <w:r>
        <w:rPr>
          <w:spacing w:val="-7"/>
        </w:rPr>
        <w:t> </w:t>
      </w:r>
      <w:r>
        <w:rPr/>
        <w:t>the</w:t>
      </w:r>
      <w:r>
        <w:rPr>
          <w:spacing w:val="-6"/>
        </w:rPr>
        <w:t> </w:t>
      </w:r>
      <w:r>
        <w:rPr/>
        <w:t>information</w:t>
      </w:r>
      <w:r>
        <w:rPr>
          <w:spacing w:val="-8"/>
        </w:rPr>
        <w:t> </w:t>
      </w:r>
      <w:r>
        <w:rPr/>
        <w:t>(rent</w:t>
      </w:r>
      <w:r>
        <w:rPr>
          <w:spacing w:val="-6"/>
        </w:rPr>
        <w:t> </w:t>
      </w:r>
      <w:r>
        <w:rPr/>
        <w:t>roll)</w:t>
      </w:r>
      <w:r>
        <w:rPr>
          <w:spacing w:val="-4"/>
        </w:rPr>
        <w:t> </w:t>
      </w:r>
      <w:r>
        <w:rPr/>
        <w:t>provided</w:t>
      </w:r>
      <w:r>
        <w:rPr>
          <w:spacing w:val="-7"/>
        </w:rPr>
        <w:t> </w:t>
      </w:r>
      <w:r>
        <w:rPr/>
        <w:t>by</w:t>
      </w:r>
      <w:r>
        <w:rPr>
          <w:spacing w:val="-7"/>
        </w:rPr>
        <w:t> </w:t>
      </w:r>
      <w:r>
        <w:rPr/>
        <w:t>the</w:t>
      </w:r>
      <w:r>
        <w:rPr>
          <w:spacing w:val="-7"/>
        </w:rPr>
        <w:t> </w:t>
      </w:r>
      <w:r>
        <w:rPr/>
        <w:t>Client,</w:t>
      </w:r>
      <w:r>
        <w:rPr>
          <w:spacing w:val="-8"/>
        </w:rPr>
        <w:t> </w:t>
      </w:r>
      <w:r>
        <w:rPr/>
        <w:t>we</w:t>
      </w:r>
      <w:r>
        <w:rPr>
          <w:spacing w:val="-5"/>
        </w:rPr>
        <w:t> </w:t>
      </w:r>
      <w:r>
        <w:rPr/>
        <w:t>understand</w:t>
      </w:r>
      <w:r>
        <w:rPr>
          <w:spacing w:val="-6"/>
        </w:rPr>
        <w:t> </w:t>
      </w:r>
      <w:r>
        <w:rPr/>
        <w:t>that</w:t>
      </w:r>
      <w:r>
        <w:rPr>
          <w:spacing w:val="-5"/>
        </w:rPr>
        <w:t> </w:t>
      </w:r>
      <w:r>
        <w:rPr/>
        <w:t>in</w:t>
      </w:r>
      <w:r>
        <w:rPr>
          <w:spacing w:val="-6"/>
        </w:rPr>
        <w:t> </w:t>
      </w:r>
      <w:r>
        <w:rPr/>
        <w:t>addition</w:t>
      </w:r>
      <w:r>
        <w:rPr>
          <w:spacing w:val="-7"/>
        </w:rPr>
        <w:t> </w:t>
      </w:r>
      <w:r>
        <w:rPr/>
        <w:t>to</w:t>
      </w:r>
      <w:r>
        <w:rPr>
          <w:spacing w:val="-7"/>
        </w:rPr>
        <w:t> </w:t>
      </w:r>
      <w:r>
        <w:rPr/>
        <w:t>the</w:t>
      </w:r>
      <w:r>
        <w:rPr>
          <w:spacing w:val="-6"/>
        </w:rPr>
        <w:t> </w:t>
      </w:r>
      <w:r>
        <w:rPr/>
        <w:t>lease rentals,</w:t>
      </w:r>
      <w:r>
        <w:rPr>
          <w:spacing w:val="-21"/>
        </w:rPr>
        <w:t> </w:t>
      </w:r>
      <w:r>
        <w:rPr/>
        <w:t>there</w:t>
      </w:r>
      <w:r>
        <w:rPr>
          <w:spacing w:val="-20"/>
        </w:rPr>
        <w:t> </w:t>
      </w:r>
      <w:r>
        <w:rPr/>
        <w:t>is</w:t>
      </w:r>
      <w:r>
        <w:rPr>
          <w:spacing w:val="-21"/>
        </w:rPr>
        <w:t> </w:t>
      </w:r>
      <w:r>
        <w:rPr/>
        <w:t>rental</w:t>
      </w:r>
      <w:r>
        <w:rPr>
          <w:spacing w:val="-20"/>
        </w:rPr>
        <w:t> </w:t>
      </w:r>
      <w:r>
        <w:rPr/>
        <w:t>of</w:t>
      </w:r>
      <w:r>
        <w:rPr>
          <w:spacing w:val="-19"/>
        </w:rPr>
        <w:t> </w:t>
      </w:r>
      <w:r>
        <w:rPr/>
        <w:t>about</w:t>
      </w:r>
      <w:r>
        <w:rPr>
          <w:spacing w:val="-17"/>
        </w:rPr>
        <w:t> </w:t>
      </w:r>
      <w:r>
        <w:rPr/>
        <w:t>INR</w:t>
      </w:r>
      <w:r>
        <w:rPr>
          <w:spacing w:val="-21"/>
        </w:rPr>
        <w:t> </w:t>
      </w:r>
      <w:r>
        <w:rPr/>
        <w:t>18</w:t>
      </w:r>
      <w:r>
        <w:rPr>
          <w:spacing w:val="-21"/>
        </w:rPr>
        <w:t> </w:t>
      </w:r>
      <w:r>
        <w:rPr/>
        <w:t>per</w:t>
      </w:r>
      <w:r>
        <w:rPr>
          <w:spacing w:val="-19"/>
        </w:rPr>
        <w:t> </w:t>
      </w:r>
      <w:r>
        <w:rPr/>
        <w:t>sft</w:t>
      </w:r>
      <w:r>
        <w:rPr>
          <w:spacing w:val="-19"/>
        </w:rPr>
        <w:t> </w:t>
      </w:r>
      <w:r>
        <w:rPr/>
        <w:t>per</w:t>
      </w:r>
      <w:r>
        <w:rPr>
          <w:spacing w:val="-21"/>
        </w:rPr>
        <w:t> </w:t>
      </w:r>
      <w:r>
        <w:rPr/>
        <w:t>month</w:t>
      </w:r>
      <w:r>
        <w:rPr>
          <w:spacing w:val="-18"/>
        </w:rPr>
        <w:t> </w:t>
      </w:r>
      <w:r>
        <w:rPr/>
        <w:t>towards</w:t>
      </w:r>
      <w:r>
        <w:rPr>
          <w:spacing w:val="-20"/>
        </w:rPr>
        <w:t> </w:t>
      </w:r>
      <w:r>
        <w:rPr/>
        <w:t>fit-outs</w:t>
      </w:r>
      <w:r>
        <w:rPr>
          <w:spacing w:val="-20"/>
        </w:rPr>
        <w:t> </w:t>
      </w:r>
      <w:r>
        <w:rPr/>
        <w:t>for</w:t>
      </w:r>
      <w:r>
        <w:rPr>
          <w:spacing w:val="-19"/>
        </w:rPr>
        <w:t> </w:t>
      </w:r>
      <w:r>
        <w:rPr/>
        <w:t>one</w:t>
      </w:r>
      <w:r>
        <w:rPr>
          <w:spacing w:val="-21"/>
        </w:rPr>
        <w:t> </w:t>
      </w:r>
      <w:r>
        <w:rPr/>
        <w:t>tenant</w:t>
      </w:r>
      <w:r>
        <w:rPr>
          <w:spacing w:val="-20"/>
        </w:rPr>
        <w:t> </w:t>
      </w:r>
      <w:r>
        <w:rPr/>
        <w:t>(as</w:t>
      </w:r>
      <w:r>
        <w:rPr>
          <w:spacing w:val="-19"/>
        </w:rPr>
        <w:t> </w:t>
      </w:r>
      <w:r>
        <w:rPr/>
        <w:t>mentioned in</w:t>
      </w:r>
      <w:r>
        <w:rPr>
          <w:spacing w:val="-10"/>
        </w:rPr>
        <w:t> </w:t>
      </w:r>
      <w:r>
        <w:rPr/>
        <w:t>rent</w:t>
      </w:r>
      <w:r>
        <w:rPr>
          <w:spacing w:val="-9"/>
        </w:rPr>
        <w:t> </w:t>
      </w:r>
      <w:r>
        <w:rPr/>
        <w:t>roll).</w:t>
      </w:r>
      <w:r>
        <w:rPr>
          <w:spacing w:val="-9"/>
        </w:rPr>
        <w:t> </w:t>
      </w:r>
      <w:r>
        <w:rPr/>
        <w:t>The</w:t>
      </w:r>
      <w:r>
        <w:rPr>
          <w:spacing w:val="-10"/>
        </w:rPr>
        <w:t> </w:t>
      </w:r>
      <w:r>
        <w:rPr/>
        <w:t>Valuer</w:t>
      </w:r>
      <w:r>
        <w:rPr>
          <w:spacing w:val="-8"/>
        </w:rPr>
        <w:t> </w:t>
      </w:r>
      <w:r>
        <w:rPr/>
        <w:t>has</w:t>
      </w:r>
      <w:r>
        <w:rPr>
          <w:spacing w:val="-8"/>
        </w:rPr>
        <w:t> </w:t>
      </w:r>
      <w:r>
        <w:rPr/>
        <w:t>adopted</w:t>
      </w:r>
      <w:r>
        <w:rPr>
          <w:spacing w:val="-9"/>
        </w:rPr>
        <w:t> </w:t>
      </w:r>
      <w:r>
        <w:rPr/>
        <w:t>the</w:t>
      </w:r>
      <w:r>
        <w:rPr>
          <w:spacing w:val="-12"/>
        </w:rPr>
        <w:t> </w:t>
      </w:r>
      <w:r>
        <w:rPr/>
        <w:t>same</w:t>
      </w:r>
      <w:r>
        <w:rPr>
          <w:spacing w:val="-9"/>
        </w:rPr>
        <w:t> </w:t>
      </w:r>
      <w:r>
        <w:rPr/>
        <w:t>for</w:t>
      </w:r>
      <w:r>
        <w:rPr>
          <w:spacing w:val="-12"/>
        </w:rPr>
        <w:t> </w:t>
      </w:r>
      <w:r>
        <w:rPr/>
        <w:t>the</w:t>
      </w:r>
      <w:r>
        <w:rPr>
          <w:spacing w:val="-9"/>
        </w:rPr>
        <w:t> </w:t>
      </w:r>
      <w:r>
        <w:rPr/>
        <w:t>purpose</w:t>
      </w:r>
      <w:r>
        <w:rPr>
          <w:spacing w:val="-8"/>
        </w:rPr>
        <w:t> </w:t>
      </w:r>
      <w:r>
        <w:rPr/>
        <w:t>of</w:t>
      </w:r>
      <w:r>
        <w:rPr>
          <w:spacing w:val="-8"/>
        </w:rPr>
        <w:t> </w:t>
      </w:r>
      <w:r>
        <w:rPr/>
        <w:t>this</w:t>
      </w:r>
      <w:r>
        <w:rPr>
          <w:spacing w:val="-8"/>
        </w:rPr>
        <w:t> </w:t>
      </w:r>
      <w:r>
        <w:rPr/>
        <w:t>valuation.</w:t>
      </w:r>
    </w:p>
    <w:p>
      <w:pPr>
        <w:pStyle w:val="ListParagraph"/>
        <w:numPr>
          <w:ilvl w:val="3"/>
          <w:numId w:val="58"/>
        </w:numPr>
        <w:tabs>
          <w:tab w:pos="1125" w:val="left" w:leader="none"/>
        </w:tabs>
        <w:spacing w:line="240" w:lineRule="auto" w:before="209" w:after="0"/>
        <w:ind w:left="1124" w:right="0" w:hanging="865"/>
        <w:jc w:val="both"/>
        <w:rPr>
          <w:i/>
          <w:sz w:val="20"/>
        </w:rPr>
      </w:pPr>
      <w:r>
        <w:rPr>
          <w:i/>
          <w:color w:val="008000"/>
          <w:sz w:val="20"/>
        </w:rPr>
        <w:t>Parking</w:t>
      </w:r>
      <w:r>
        <w:rPr>
          <w:i/>
          <w:color w:val="008000"/>
          <w:spacing w:val="-2"/>
          <w:sz w:val="20"/>
        </w:rPr>
        <w:t> </w:t>
      </w:r>
      <w:r>
        <w:rPr>
          <w:i/>
          <w:color w:val="008000"/>
          <w:sz w:val="20"/>
        </w:rPr>
        <w:t>Assumptions</w:t>
      </w:r>
    </w:p>
    <w:p>
      <w:pPr>
        <w:pStyle w:val="BodyText"/>
        <w:spacing w:line="321" w:lineRule="auto" w:before="76"/>
        <w:ind w:left="822" w:right="236"/>
        <w:jc w:val="both"/>
      </w:pPr>
      <w:r>
        <w:rPr/>
        <w:t>Based</w:t>
      </w:r>
      <w:r>
        <w:rPr>
          <w:spacing w:val="-28"/>
        </w:rPr>
        <w:t> </w:t>
      </w:r>
      <w:r>
        <w:rPr/>
        <w:t>on</w:t>
      </w:r>
      <w:r>
        <w:rPr>
          <w:spacing w:val="-28"/>
        </w:rPr>
        <w:t> </w:t>
      </w:r>
      <w:r>
        <w:rPr/>
        <w:t>the</w:t>
      </w:r>
      <w:r>
        <w:rPr>
          <w:spacing w:val="-28"/>
        </w:rPr>
        <w:t> </w:t>
      </w:r>
      <w:r>
        <w:rPr/>
        <w:t>prevailing</w:t>
      </w:r>
      <w:r>
        <w:rPr>
          <w:spacing w:val="-28"/>
        </w:rPr>
        <w:t> </w:t>
      </w:r>
      <w:r>
        <w:rPr/>
        <w:t>car</w:t>
      </w:r>
      <w:r>
        <w:rPr>
          <w:spacing w:val="-28"/>
        </w:rPr>
        <w:t> </w:t>
      </w:r>
      <w:r>
        <w:rPr/>
        <w:t>parking</w:t>
      </w:r>
      <w:r>
        <w:rPr>
          <w:spacing w:val="-27"/>
        </w:rPr>
        <w:t> </w:t>
      </w:r>
      <w:r>
        <w:rPr/>
        <w:t>rate</w:t>
      </w:r>
      <w:r>
        <w:rPr>
          <w:spacing w:val="-28"/>
        </w:rPr>
        <w:t> </w:t>
      </w:r>
      <w:r>
        <w:rPr/>
        <w:t>in</w:t>
      </w:r>
      <w:r>
        <w:rPr>
          <w:spacing w:val="-27"/>
        </w:rPr>
        <w:t> </w:t>
      </w:r>
      <w:r>
        <w:rPr/>
        <w:t>the</w:t>
      </w:r>
      <w:r>
        <w:rPr>
          <w:spacing w:val="-29"/>
        </w:rPr>
        <w:t> </w:t>
      </w:r>
      <w:r>
        <w:rPr/>
        <w:t>subject</w:t>
      </w:r>
      <w:r>
        <w:rPr>
          <w:spacing w:val="-27"/>
        </w:rPr>
        <w:t> </w:t>
      </w:r>
      <w:r>
        <w:rPr/>
        <w:t>development</w:t>
      </w:r>
      <w:r>
        <w:rPr>
          <w:spacing w:val="-28"/>
        </w:rPr>
        <w:t> </w:t>
      </w:r>
      <w:r>
        <w:rPr/>
        <w:t>and</w:t>
      </w:r>
      <w:r>
        <w:rPr>
          <w:spacing w:val="-28"/>
        </w:rPr>
        <w:t> </w:t>
      </w:r>
      <w:r>
        <w:rPr/>
        <w:t>West</w:t>
      </w:r>
      <w:r>
        <w:rPr>
          <w:spacing w:val="-27"/>
        </w:rPr>
        <w:t> </w:t>
      </w:r>
      <w:r>
        <w:rPr/>
        <w:t>Pune</w:t>
      </w:r>
      <w:r>
        <w:rPr>
          <w:spacing w:val="-26"/>
        </w:rPr>
        <w:t> </w:t>
      </w:r>
      <w:r>
        <w:rPr/>
        <w:t>submarket,</w:t>
      </w:r>
      <w:r>
        <w:rPr>
          <w:spacing w:val="-28"/>
        </w:rPr>
        <w:t> </w:t>
      </w:r>
      <w:r>
        <w:rPr/>
        <w:t>we</w:t>
      </w:r>
      <w:r>
        <w:rPr>
          <w:spacing w:val="-28"/>
        </w:rPr>
        <w:t> </w:t>
      </w:r>
      <w:r>
        <w:rPr/>
        <w:t>have assumed</w:t>
      </w:r>
      <w:r>
        <w:rPr>
          <w:spacing w:val="-11"/>
        </w:rPr>
        <w:t> </w:t>
      </w:r>
      <w:r>
        <w:rPr/>
        <w:t>a</w:t>
      </w:r>
      <w:r>
        <w:rPr>
          <w:spacing w:val="-11"/>
        </w:rPr>
        <w:t> </w:t>
      </w:r>
      <w:r>
        <w:rPr/>
        <w:t>car</w:t>
      </w:r>
      <w:r>
        <w:rPr>
          <w:spacing w:val="-11"/>
        </w:rPr>
        <w:t> </w:t>
      </w:r>
      <w:r>
        <w:rPr/>
        <w:t>park</w:t>
      </w:r>
      <w:r>
        <w:rPr>
          <w:spacing w:val="-11"/>
        </w:rPr>
        <w:t> </w:t>
      </w:r>
      <w:r>
        <w:rPr/>
        <w:t>charge</w:t>
      </w:r>
      <w:r>
        <w:rPr>
          <w:spacing w:val="-11"/>
        </w:rPr>
        <w:t> </w:t>
      </w:r>
      <w:r>
        <w:rPr/>
        <w:t>of</w:t>
      </w:r>
      <w:r>
        <w:rPr>
          <w:spacing w:val="-12"/>
        </w:rPr>
        <w:t> </w:t>
      </w:r>
      <w:r>
        <w:rPr/>
        <w:t>INR</w:t>
      </w:r>
      <w:r>
        <w:rPr>
          <w:spacing w:val="-12"/>
        </w:rPr>
        <w:t> </w:t>
      </w:r>
      <w:r>
        <w:rPr/>
        <w:t>3,000</w:t>
      </w:r>
      <w:r>
        <w:rPr>
          <w:spacing w:val="-11"/>
        </w:rPr>
        <w:t> </w:t>
      </w:r>
      <w:r>
        <w:rPr/>
        <w:t>per</w:t>
      </w:r>
      <w:r>
        <w:rPr>
          <w:spacing w:val="-11"/>
        </w:rPr>
        <w:t> </w:t>
      </w:r>
      <w:r>
        <w:rPr/>
        <w:t>month</w:t>
      </w:r>
      <w:r>
        <w:rPr>
          <w:spacing w:val="-10"/>
        </w:rPr>
        <w:t> </w:t>
      </w:r>
      <w:r>
        <w:rPr/>
        <w:t>per</w:t>
      </w:r>
      <w:r>
        <w:rPr>
          <w:spacing w:val="-11"/>
        </w:rPr>
        <w:t> </w:t>
      </w:r>
      <w:r>
        <w:rPr/>
        <w:t>bay,</w:t>
      </w:r>
      <w:r>
        <w:rPr>
          <w:spacing w:val="-13"/>
        </w:rPr>
        <w:t> </w:t>
      </w:r>
      <w:r>
        <w:rPr/>
        <w:t>with</w:t>
      </w:r>
      <w:r>
        <w:rPr>
          <w:spacing w:val="-11"/>
        </w:rPr>
        <w:t> </w:t>
      </w:r>
      <w:r>
        <w:rPr/>
        <w:t>50%</w:t>
      </w:r>
      <w:r>
        <w:rPr>
          <w:spacing w:val="-11"/>
        </w:rPr>
        <w:t> </w:t>
      </w:r>
      <w:r>
        <w:rPr/>
        <w:t>of</w:t>
      </w:r>
      <w:r>
        <w:rPr>
          <w:spacing w:val="-11"/>
        </w:rPr>
        <w:t> </w:t>
      </w:r>
      <w:r>
        <w:rPr/>
        <w:t>car</w:t>
      </w:r>
      <w:r>
        <w:rPr>
          <w:spacing w:val="-11"/>
        </w:rPr>
        <w:t> </w:t>
      </w:r>
      <w:r>
        <w:rPr/>
        <w:t>park</w:t>
      </w:r>
      <w:r>
        <w:rPr>
          <w:spacing w:val="-11"/>
        </w:rPr>
        <w:t> </w:t>
      </w:r>
      <w:r>
        <w:rPr/>
        <w:t>allocated</w:t>
      </w:r>
      <w:r>
        <w:rPr>
          <w:spacing w:val="-10"/>
        </w:rPr>
        <w:t> </w:t>
      </w:r>
      <w:r>
        <w:rPr/>
        <w:t>to</w:t>
      </w:r>
      <w:r>
        <w:rPr>
          <w:spacing w:val="-11"/>
        </w:rPr>
        <w:t> </w:t>
      </w:r>
      <w:r>
        <w:rPr/>
        <w:t>a</w:t>
      </w:r>
      <w:r>
        <w:rPr>
          <w:spacing w:val="-11"/>
        </w:rPr>
        <w:t> </w:t>
      </w:r>
      <w:r>
        <w:rPr/>
        <w:t>tenant to</w:t>
      </w:r>
      <w:r>
        <w:rPr>
          <w:spacing w:val="-13"/>
        </w:rPr>
        <w:t> </w:t>
      </w:r>
      <w:r>
        <w:rPr/>
        <w:t>be</w:t>
      </w:r>
      <w:r>
        <w:rPr>
          <w:spacing w:val="-12"/>
        </w:rPr>
        <w:t> </w:t>
      </w:r>
      <w:r>
        <w:rPr/>
        <w:t>free</w:t>
      </w:r>
      <w:r>
        <w:rPr>
          <w:spacing w:val="-12"/>
        </w:rPr>
        <w:t> </w:t>
      </w:r>
      <w:r>
        <w:rPr/>
        <w:t>of</w:t>
      </w:r>
      <w:r>
        <w:rPr>
          <w:spacing w:val="-10"/>
        </w:rPr>
        <w:t> </w:t>
      </w:r>
      <w:r>
        <w:rPr/>
        <w:t>cost.</w:t>
      </w:r>
      <w:r>
        <w:rPr>
          <w:spacing w:val="-13"/>
        </w:rPr>
        <w:t> </w:t>
      </w:r>
      <w:r>
        <w:rPr/>
        <w:t>Effective</w:t>
      </w:r>
      <w:r>
        <w:rPr>
          <w:spacing w:val="-13"/>
        </w:rPr>
        <w:t> </w:t>
      </w:r>
      <w:r>
        <w:rPr/>
        <w:t>car</w:t>
      </w:r>
      <w:r>
        <w:rPr>
          <w:spacing w:val="-12"/>
        </w:rPr>
        <w:t> </w:t>
      </w:r>
      <w:r>
        <w:rPr/>
        <w:t>parking</w:t>
      </w:r>
      <w:r>
        <w:rPr>
          <w:spacing w:val="-11"/>
        </w:rPr>
        <w:t> </w:t>
      </w:r>
      <w:r>
        <w:rPr/>
        <w:t>charges</w:t>
      </w:r>
      <w:r>
        <w:rPr>
          <w:spacing w:val="-12"/>
        </w:rPr>
        <w:t> </w:t>
      </w:r>
      <w:r>
        <w:rPr/>
        <w:t>adopted</w:t>
      </w:r>
      <w:r>
        <w:rPr>
          <w:spacing w:val="-12"/>
        </w:rPr>
        <w:t> </w:t>
      </w:r>
      <w:r>
        <w:rPr/>
        <w:t>for</w:t>
      </w:r>
      <w:r>
        <w:rPr>
          <w:spacing w:val="-13"/>
        </w:rPr>
        <w:t> </w:t>
      </w:r>
      <w:r>
        <w:rPr/>
        <w:t>the</w:t>
      </w:r>
      <w:r>
        <w:rPr>
          <w:spacing w:val="-14"/>
        </w:rPr>
        <w:t> </w:t>
      </w:r>
      <w:r>
        <w:rPr/>
        <w:t>purpose</w:t>
      </w:r>
      <w:r>
        <w:rPr>
          <w:spacing w:val="-12"/>
        </w:rPr>
        <w:t> </w:t>
      </w:r>
      <w:r>
        <w:rPr/>
        <w:t>of</w:t>
      </w:r>
      <w:r>
        <w:rPr>
          <w:spacing w:val="-13"/>
        </w:rPr>
        <w:t> </w:t>
      </w:r>
      <w:r>
        <w:rPr/>
        <w:t>this</w:t>
      </w:r>
      <w:r>
        <w:rPr>
          <w:spacing w:val="-11"/>
        </w:rPr>
        <w:t> </w:t>
      </w:r>
      <w:r>
        <w:rPr/>
        <w:t>valuation</w:t>
      </w:r>
      <w:r>
        <w:rPr>
          <w:spacing w:val="-12"/>
        </w:rPr>
        <w:t> </w:t>
      </w:r>
      <w:r>
        <w:rPr/>
        <w:t>is</w:t>
      </w:r>
      <w:r>
        <w:rPr>
          <w:spacing w:val="-12"/>
        </w:rPr>
        <w:t> </w:t>
      </w:r>
      <w:r>
        <w:rPr/>
        <w:t>INR</w:t>
      </w:r>
      <w:r>
        <w:rPr>
          <w:spacing w:val="-12"/>
        </w:rPr>
        <w:t> </w:t>
      </w:r>
      <w:r>
        <w:rPr/>
        <w:t>1,500 per month per</w:t>
      </w:r>
      <w:r>
        <w:rPr>
          <w:spacing w:val="-8"/>
        </w:rPr>
        <w:t> </w:t>
      </w:r>
      <w:r>
        <w:rPr/>
        <w:t>bay.</w:t>
      </w:r>
    </w:p>
    <w:p>
      <w:pPr>
        <w:pStyle w:val="BodyText"/>
        <w:spacing w:before="5"/>
        <w:rPr>
          <w:sz w:val="23"/>
        </w:rPr>
      </w:pPr>
    </w:p>
    <w:p>
      <w:pPr>
        <w:pStyle w:val="ListParagraph"/>
        <w:numPr>
          <w:ilvl w:val="3"/>
          <w:numId w:val="58"/>
        </w:numPr>
        <w:tabs>
          <w:tab w:pos="1125" w:val="left" w:leader="none"/>
        </w:tabs>
        <w:spacing w:line="240" w:lineRule="auto" w:before="0" w:after="0"/>
        <w:ind w:left="1124" w:right="0" w:hanging="865"/>
        <w:jc w:val="both"/>
        <w:rPr>
          <w:i/>
          <w:sz w:val="20"/>
        </w:rPr>
      </w:pPr>
      <w:r>
        <w:rPr>
          <w:i/>
          <w:color w:val="008000"/>
          <w:sz w:val="20"/>
        </w:rPr>
        <w:t>Other</w:t>
      </w:r>
      <w:r>
        <w:rPr>
          <w:i/>
          <w:color w:val="008000"/>
          <w:spacing w:val="-4"/>
          <w:sz w:val="20"/>
        </w:rPr>
        <w:t> </w:t>
      </w:r>
      <w:r>
        <w:rPr>
          <w:i/>
          <w:color w:val="008000"/>
          <w:sz w:val="20"/>
        </w:rPr>
        <w:t>Revenues</w:t>
      </w:r>
    </w:p>
    <w:p>
      <w:pPr>
        <w:pStyle w:val="BodyText"/>
        <w:spacing w:line="321" w:lineRule="auto" w:before="136"/>
        <w:ind w:left="822" w:right="236"/>
        <w:jc w:val="both"/>
      </w:pPr>
      <w:r>
        <w:rPr/>
        <w:t>In</w:t>
      </w:r>
      <w:r>
        <w:rPr>
          <w:spacing w:val="-9"/>
        </w:rPr>
        <w:t> </w:t>
      </w:r>
      <w:r>
        <w:rPr/>
        <w:t>addition</w:t>
      </w:r>
      <w:r>
        <w:rPr>
          <w:spacing w:val="-10"/>
        </w:rPr>
        <w:t> </w:t>
      </w:r>
      <w:r>
        <w:rPr/>
        <w:t>to</w:t>
      </w:r>
      <w:r>
        <w:rPr>
          <w:spacing w:val="-9"/>
        </w:rPr>
        <w:t> </w:t>
      </w:r>
      <w:r>
        <w:rPr/>
        <w:t>lease</w:t>
      </w:r>
      <w:r>
        <w:rPr>
          <w:spacing w:val="-10"/>
        </w:rPr>
        <w:t> </w:t>
      </w:r>
      <w:r>
        <w:rPr/>
        <w:t>rent</w:t>
      </w:r>
      <w:r>
        <w:rPr>
          <w:spacing w:val="-10"/>
        </w:rPr>
        <w:t> </w:t>
      </w:r>
      <w:r>
        <w:rPr/>
        <w:t>revenues,</w:t>
      </w:r>
      <w:r>
        <w:rPr>
          <w:spacing w:val="-9"/>
        </w:rPr>
        <w:t> </w:t>
      </w:r>
      <w:r>
        <w:rPr/>
        <w:t>office</w:t>
      </w:r>
      <w:r>
        <w:rPr>
          <w:spacing w:val="-10"/>
        </w:rPr>
        <w:t> </w:t>
      </w:r>
      <w:r>
        <w:rPr/>
        <w:t>developments</w:t>
      </w:r>
      <w:r>
        <w:rPr>
          <w:spacing w:val="-8"/>
        </w:rPr>
        <w:t> </w:t>
      </w:r>
      <w:r>
        <w:rPr/>
        <w:t>typically</w:t>
      </w:r>
      <w:r>
        <w:rPr>
          <w:spacing w:val="-8"/>
        </w:rPr>
        <w:t> </w:t>
      </w:r>
      <w:r>
        <w:rPr/>
        <w:t>have</w:t>
      </w:r>
      <w:r>
        <w:rPr>
          <w:spacing w:val="-10"/>
        </w:rPr>
        <w:t> </w:t>
      </w:r>
      <w:r>
        <w:rPr/>
        <w:t>additional</w:t>
      </w:r>
      <w:r>
        <w:rPr>
          <w:spacing w:val="-9"/>
        </w:rPr>
        <w:t> </w:t>
      </w:r>
      <w:r>
        <w:rPr/>
        <w:t>sources</w:t>
      </w:r>
      <w:r>
        <w:rPr>
          <w:spacing w:val="-9"/>
        </w:rPr>
        <w:t> </w:t>
      </w:r>
      <w:r>
        <w:rPr/>
        <w:t>of</w:t>
      </w:r>
      <w:r>
        <w:rPr>
          <w:spacing w:val="-9"/>
        </w:rPr>
        <w:t> </w:t>
      </w:r>
      <w:r>
        <w:rPr/>
        <w:t>revenue. These</w:t>
      </w:r>
      <w:r>
        <w:rPr>
          <w:spacing w:val="-36"/>
        </w:rPr>
        <w:t> </w:t>
      </w:r>
      <w:r>
        <w:rPr/>
        <w:t>include</w:t>
      </w:r>
      <w:r>
        <w:rPr>
          <w:spacing w:val="-35"/>
        </w:rPr>
        <w:t> </w:t>
      </w:r>
      <w:r>
        <w:rPr/>
        <w:t>revenues</w:t>
      </w:r>
      <w:r>
        <w:rPr>
          <w:spacing w:val="-35"/>
        </w:rPr>
        <w:t> </w:t>
      </w:r>
      <w:r>
        <w:rPr/>
        <w:t>on</w:t>
      </w:r>
      <w:r>
        <w:rPr>
          <w:spacing w:val="-36"/>
        </w:rPr>
        <w:t> </w:t>
      </w:r>
      <w:r>
        <w:rPr/>
        <w:t>account</w:t>
      </w:r>
      <w:r>
        <w:rPr>
          <w:spacing w:val="-35"/>
        </w:rPr>
        <w:t> </w:t>
      </w:r>
      <w:r>
        <w:rPr/>
        <w:t>of</w:t>
      </w:r>
      <w:r>
        <w:rPr>
          <w:spacing w:val="-35"/>
        </w:rPr>
        <w:t> </w:t>
      </w:r>
      <w:r>
        <w:rPr/>
        <w:t>security</w:t>
      </w:r>
      <w:r>
        <w:rPr>
          <w:spacing w:val="-35"/>
        </w:rPr>
        <w:t> </w:t>
      </w:r>
      <w:r>
        <w:rPr/>
        <w:t>deposit</w:t>
      </w:r>
      <w:r>
        <w:rPr>
          <w:spacing w:val="-35"/>
        </w:rPr>
        <w:t> </w:t>
      </w:r>
      <w:r>
        <w:rPr/>
        <w:t>(refunded</w:t>
      </w:r>
      <w:r>
        <w:rPr>
          <w:spacing w:val="-35"/>
        </w:rPr>
        <w:t> </w:t>
      </w:r>
      <w:r>
        <w:rPr/>
        <w:t>at</w:t>
      </w:r>
      <w:r>
        <w:rPr>
          <w:spacing w:val="-35"/>
        </w:rPr>
        <w:t> </w:t>
      </w:r>
      <w:r>
        <w:rPr/>
        <w:t>the</w:t>
      </w:r>
      <w:r>
        <w:rPr>
          <w:spacing w:val="-36"/>
        </w:rPr>
        <w:t> </w:t>
      </w:r>
      <w:r>
        <w:rPr/>
        <w:t>time</w:t>
      </w:r>
      <w:r>
        <w:rPr>
          <w:spacing w:val="-36"/>
        </w:rPr>
        <w:t> </w:t>
      </w:r>
      <w:r>
        <w:rPr/>
        <w:t>of</w:t>
      </w:r>
      <w:r>
        <w:rPr>
          <w:spacing w:val="-35"/>
        </w:rPr>
        <w:t> </w:t>
      </w:r>
      <w:r>
        <w:rPr/>
        <w:t>lease</w:t>
      </w:r>
      <w:r>
        <w:rPr>
          <w:spacing w:val="-36"/>
        </w:rPr>
        <w:t> </w:t>
      </w:r>
      <w:r>
        <w:rPr/>
        <w:t>expiry</w:t>
      </w:r>
      <w:r>
        <w:rPr>
          <w:spacing w:val="-35"/>
        </w:rPr>
        <w:t> </w:t>
      </w:r>
      <w:r>
        <w:rPr/>
        <w:t>/</w:t>
      </w:r>
      <w:r>
        <w:rPr>
          <w:spacing w:val="-36"/>
        </w:rPr>
        <w:t> </w:t>
      </w:r>
      <w:r>
        <w:rPr/>
        <w:t>exit),</w:t>
      </w:r>
      <w:r>
        <w:rPr>
          <w:spacing w:val="-35"/>
        </w:rPr>
        <w:t> </w:t>
      </w:r>
      <w:r>
        <w:rPr/>
        <w:t>other miscellaneous income (such as cell sites, retail areas, food court, etc.), mark-up on Common Area Maintenance (CAM) charges/ CAM margin,</w:t>
      </w:r>
      <w:r>
        <w:rPr>
          <w:spacing w:val="-10"/>
        </w:rPr>
        <w:t> </w:t>
      </w:r>
      <w:r>
        <w:rPr/>
        <w:t>etc.</w:t>
      </w:r>
    </w:p>
    <w:p>
      <w:pPr>
        <w:pStyle w:val="BodyText"/>
        <w:spacing w:line="321" w:lineRule="auto" w:before="121"/>
        <w:ind w:left="822" w:right="236"/>
        <w:jc w:val="both"/>
      </w:pPr>
      <w:r>
        <w:rPr/>
        <w:t>The assumptions considered for the aforementioned revenue heads for the purpose of this valuation exercise</w:t>
      </w:r>
      <w:r>
        <w:rPr>
          <w:spacing w:val="-39"/>
        </w:rPr>
        <w:t> </w:t>
      </w:r>
      <w:r>
        <w:rPr/>
        <w:t>are</w:t>
      </w:r>
      <w:r>
        <w:rPr>
          <w:spacing w:val="-39"/>
        </w:rPr>
        <w:t> </w:t>
      </w:r>
      <w:r>
        <w:rPr/>
        <w:t>based</w:t>
      </w:r>
      <w:r>
        <w:rPr>
          <w:spacing w:val="-38"/>
        </w:rPr>
        <w:t> </w:t>
      </w:r>
      <w:r>
        <w:rPr/>
        <w:t>on</w:t>
      </w:r>
      <w:r>
        <w:rPr>
          <w:spacing w:val="-39"/>
        </w:rPr>
        <w:t> </w:t>
      </w:r>
      <w:r>
        <w:rPr/>
        <w:t>the</w:t>
      </w:r>
      <w:r>
        <w:rPr>
          <w:spacing w:val="-40"/>
        </w:rPr>
        <w:t> </w:t>
      </w:r>
      <w:r>
        <w:rPr/>
        <w:t>rent</w:t>
      </w:r>
      <w:r>
        <w:rPr>
          <w:spacing w:val="-38"/>
        </w:rPr>
        <w:t> </w:t>
      </w:r>
      <w:r>
        <w:rPr/>
        <w:t>roll/</w:t>
      </w:r>
      <w:r>
        <w:rPr>
          <w:spacing w:val="-38"/>
        </w:rPr>
        <w:t> </w:t>
      </w:r>
      <w:r>
        <w:rPr/>
        <w:t>information</w:t>
      </w:r>
      <w:r>
        <w:rPr>
          <w:spacing w:val="-38"/>
        </w:rPr>
        <w:t> </w:t>
      </w:r>
      <w:r>
        <w:rPr/>
        <w:t>provided</w:t>
      </w:r>
      <w:r>
        <w:rPr>
          <w:spacing w:val="-38"/>
        </w:rPr>
        <w:t> </w:t>
      </w:r>
      <w:r>
        <w:rPr/>
        <w:t>by</w:t>
      </w:r>
      <w:r>
        <w:rPr>
          <w:spacing w:val="-39"/>
        </w:rPr>
        <w:t> </w:t>
      </w:r>
      <w:r>
        <w:rPr/>
        <w:t>the</w:t>
      </w:r>
      <w:r>
        <w:rPr>
          <w:spacing w:val="-38"/>
        </w:rPr>
        <w:t> </w:t>
      </w:r>
      <w:r>
        <w:rPr/>
        <w:t>Client.</w:t>
      </w:r>
      <w:r>
        <w:rPr>
          <w:spacing w:val="-39"/>
        </w:rPr>
        <w:t> </w:t>
      </w:r>
      <w:r>
        <w:rPr/>
        <w:t>The</w:t>
      </w:r>
      <w:r>
        <w:rPr>
          <w:spacing w:val="-40"/>
        </w:rPr>
        <w:t> </w:t>
      </w:r>
      <w:r>
        <w:rPr/>
        <w:t>same</w:t>
      </w:r>
      <w:r>
        <w:rPr>
          <w:spacing w:val="-38"/>
        </w:rPr>
        <w:t> </w:t>
      </w:r>
      <w:r>
        <w:rPr/>
        <w:t>has</w:t>
      </w:r>
      <w:r>
        <w:rPr>
          <w:spacing w:val="-38"/>
        </w:rPr>
        <w:t> </w:t>
      </w:r>
      <w:r>
        <w:rPr/>
        <w:t>been</w:t>
      </w:r>
      <w:r>
        <w:rPr>
          <w:spacing w:val="-38"/>
        </w:rPr>
        <w:t> </w:t>
      </w:r>
      <w:r>
        <w:rPr/>
        <w:t>cross-checked with</w:t>
      </w:r>
      <w:r>
        <w:rPr>
          <w:spacing w:val="-13"/>
        </w:rPr>
        <w:t> </w:t>
      </w:r>
      <w:r>
        <w:rPr/>
        <w:t>the</w:t>
      </w:r>
      <w:r>
        <w:rPr>
          <w:spacing w:val="-13"/>
        </w:rPr>
        <w:t> </w:t>
      </w:r>
      <w:r>
        <w:rPr/>
        <w:t>prevailing</w:t>
      </w:r>
      <w:r>
        <w:rPr>
          <w:spacing w:val="-12"/>
        </w:rPr>
        <w:t> </w:t>
      </w:r>
      <w:r>
        <w:rPr/>
        <w:t>market</w:t>
      </w:r>
      <w:r>
        <w:rPr>
          <w:spacing w:val="-12"/>
        </w:rPr>
        <w:t> </w:t>
      </w:r>
      <w:r>
        <w:rPr/>
        <w:t>norms</w:t>
      </w:r>
      <w:r>
        <w:rPr>
          <w:spacing w:val="-11"/>
        </w:rPr>
        <w:t> </w:t>
      </w:r>
      <w:r>
        <w:rPr/>
        <w:t>for</w:t>
      </w:r>
      <w:r>
        <w:rPr>
          <w:spacing w:val="-13"/>
        </w:rPr>
        <w:t> </w:t>
      </w:r>
      <w:r>
        <w:rPr/>
        <w:t>other</w:t>
      </w:r>
      <w:r>
        <w:rPr>
          <w:spacing w:val="-12"/>
        </w:rPr>
        <w:t> </w:t>
      </w:r>
      <w:r>
        <w:rPr/>
        <w:t>revenues</w:t>
      </w:r>
      <w:r>
        <w:rPr>
          <w:spacing w:val="-11"/>
        </w:rPr>
        <w:t> </w:t>
      </w:r>
      <w:r>
        <w:rPr/>
        <w:t>and</w:t>
      </w:r>
      <w:r>
        <w:rPr>
          <w:spacing w:val="-14"/>
        </w:rPr>
        <w:t> </w:t>
      </w:r>
      <w:r>
        <w:rPr/>
        <w:t>were</w:t>
      </w:r>
      <w:r>
        <w:rPr>
          <w:spacing w:val="-12"/>
        </w:rPr>
        <w:t> </w:t>
      </w:r>
      <w:r>
        <w:rPr/>
        <w:t>found</w:t>
      </w:r>
      <w:r>
        <w:rPr>
          <w:spacing w:val="-12"/>
        </w:rPr>
        <w:t> </w:t>
      </w:r>
      <w:r>
        <w:rPr/>
        <w:t>to</w:t>
      </w:r>
      <w:r>
        <w:rPr>
          <w:spacing w:val="-12"/>
        </w:rPr>
        <w:t> </w:t>
      </w:r>
      <w:r>
        <w:rPr/>
        <w:t>be</w:t>
      </w:r>
      <w:r>
        <w:rPr>
          <w:spacing w:val="-13"/>
        </w:rPr>
        <w:t> </w:t>
      </w:r>
      <w:r>
        <w:rPr/>
        <w:t>broadly</w:t>
      </w:r>
      <w:r>
        <w:rPr>
          <w:spacing w:val="-12"/>
        </w:rPr>
        <w:t> </w:t>
      </w:r>
      <w:r>
        <w:rPr/>
        <w:t>in</w:t>
      </w:r>
      <w:r>
        <w:rPr>
          <w:spacing w:val="-13"/>
        </w:rPr>
        <w:t> </w:t>
      </w:r>
      <w:r>
        <w:rPr/>
        <w:t>line.</w:t>
      </w:r>
    </w:p>
    <w:p>
      <w:pPr>
        <w:pStyle w:val="BodyText"/>
        <w:spacing w:before="124"/>
        <w:ind w:left="822"/>
        <w:jc w:val="both"/>
      </w:pPr>
      <w:r>
        <w:rPr/>
        <w:t>The assumptions adopted for other revenues are as tabulated below: -</w:t>
      </w:r>
    </w:p>
    <w:p>
      <w:pPr>
        <w:pStyle w:val="BodyText"/>
        <w:spacing w:before="3"/>
        <w:rPr>
          <w:sz w:val="17"/>
        </w:rPr>
      </w:pPr>
    </w:p>
    <w:tbl>
      <w:tblPr>
        <w:tblCellSpacing w:w="27" w:type="dxa"/>
        <w:tblW w:w="0" w:type="auto"/>
        <w:jc w:val="left"/>
        <w:tblInd w:w="31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3"/>
        <w:gridCol w:w="3491"/>
        <w:gridCol w:w="3460"/>
      </w:tblGrid>
      <w:tr>
        <w:trPr>
          <w:trHeight w:val="162" w:hRule="atLeast"/>
        </w:trPr>
        <w:tc>
          <w:tcPr>
            <w:tcW w:w="3463" w:type="dxa"/>
            <w:tcBorders>
              <w:left w:val="nil"/>
              <w:right w:val="nil"/>
            </w:tcBorders>
            <w:shd w:val="clear" w:color="auto" w:fill="006A4D"/>
          </w:tcPr>
          <w:p>
            <w:pPr>
              <w:pStyle w:val="TableParagraph"/>
              <w:spacing w:line="192" w:lineRule="exact" w:before="6"/>
              <w:ind w:left="931"/>
              <w:jc w:val="left"/>
              <w:rPr>
                <w:b/>
                <w:sz w:val="18"/>
              </w:rPr>
            </w:pPr>
            <w:r>
              <w:rPr>
                <w:b/>
                <w:color w:val="FFFFFF"/>
                <w:w w:val="105"/>
                <w:sz w:val="18"/>
              </w:rPr>
              <w:t>Nature of Income</w:t>
            </w:r>
          </w:p>
        </w:tc>
        <w:tc>
          <w:tcPr>
            <w:tcW w:w="3491" w:type="dxa"/>
            <w:tcBorders>
              <w:left w:val="nil"/>
              <w:right w:val="nil"/>
            </w:tcBorders>
            <w:shd w:val="clear" w:color="auto" w:fill="006A4D"/>
          </w:tcPr>
          <w:p>
            <w:pPr>
              <w:pStyle w:val="TableParagraph"/>
              <w:spacing w:line="192" w:lineRule="exact" w:before="6"/>
              <w:ind w:left="1240" w:right="1229"/>
              <w:rPr>
                <w:b/>
                <w:sz w:val="18"/>
              </w:rPr>
            </w:pPr>
            <w:r>
              <w:rPr>
                <w:b/>
                <w:color w:val="FFFFFF"/>
                <w:w w:val="110"/>
                <w:sz w:val="18"/>
              </w:rPr>
              <w:t>Details</w:t>
            </w:r>
          </w:p>
        </w:tc>
        <w:tc>
          <w:tcPr>
            <w:tcW w:w="3460" w:type="dxa"/>
            <w:tcBorders>
              <w:left w:val="nil"/>
              <w:right w:val="nil"/>
            </w:tcBorders>
            <w:shd w:val="clear" w:color="auto" w:fill="006A4D"/>
          </w:tcPr>
          <w:p>
            <w:pPr>
              <w:pStyle w:val="TableParagraph"/>
              <w:spacing w:line="192" w:lineRule="exact" w:before="6"/>
              <w:ind w:left="1455" w:right="1444"/>
              <w:rPr>
                <w:b/>
                <w:sz w:val="18"/>
              </w:rPr>
            </w:pPr>
            <w:r>
              <w:rPr>
                <w:b/>
                <w:color w:val="FFFFFF"/>
                <w:w w:val="105"/>
                <w:sz w:val="18"/>
              </w:rPr>
              <w:t>Units</w:t>
            </w:r>
          </w:p>
        </w:tc>
      </w:tr>
    </w:tbl>
    <w:p>
      <w:pPr>
        <w:pStyle w:val="BodyText"/>
        <w:spacing w:before="5"/>
        <w:rPr>
          <w:sz w:val="3"/>
        </w:rPr>
      </w:pPr>
    </w:p>
    <w:tbl>
      <w:tblPr>
        <w:tblW w:w="0" w:type="auto"/>
        <w:jc w:val="left"/>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38"/>
        <w:gridCol w:w="2611"/>
        <w:gridCol w:w="3934"/>
      </w:tblGrid>
      <w:tr>
        <w:trPr>
          <w:trHeight w:val="254" w:hRule="atLeast"/>
        </w:trPr>
        <w:tc>
          <w:tcPr>
            <w:tcW w:w="3938" w:type="dxa"/>
            <w:tcBorders>
              <w:bottom w:val="single" w:sz="6" w:space="0" w:color="69BD28"/>
            </w:tcBorders>
          </w:tcPr>
          <w:p>
            <w:pPr>
              <w:pStyle w:val="TableParagraph"/>
              <w:spacing w:before="4"/>
              <w:ind w:left="472" w:right="891"/>
              <w:rPr>
                <w:sz w:val="18"/>
              </w:rPr>
            </w:pPr>
            <w:r>
              <w:rPr>
                <w:sz w:val="18"/>
              </w:rPr>
              <w:t>Miscellaneous Income</w:t>
            </w:r>
          </w:p>
        </w:tc>
        <w:tc>
          <w:tcPr>
            <w:tcW w:w="2611" w:type="dxa"/>
            <w:tcBorders>
              <w:bottom w:val="single" w:sz="6" w:space="0" w:color="69BD28"/>
            </w:tcBorders>
          </w:tcPr>
          <w:p>
            <w:pPr>
              <w:pStyle w:val="TableParagraph"/>
              <w:spacing w:before="4"/>
              <w:ind w:left="888" w:right="876"/>
              <w:rPr>
                <w:sz w:val="18"/>
              </w:rPr>
            </w:pPr>
            <w:r>
              <w:rPr>
                <w:w w:val="110"/>
                <w:sz w:val="18"/>
              </w:rPr>
              <w:t>0.51%</w:t>
            </w:r>
          </w:p>
        </w:tc>
        <w:tc>
          <w:tcPr>
            <w:tcW w:w="3934" w:type="dxa"/>
            <w:tcBorders>
              <w:bottom w:val="single" w:sz="6" w:space="0" w:color="69BD28"/>
            </w:tcBorders>
          </w:tcPr>
          <w:p>
            <w:pPr>
              <w:pStyle w:val="TableParagraph"/>
              <w:spacing w:before="4"/>
              <w:ind w:left="832" w:right="384"/>
              <w:rPr>
                <w:sz w:val="18"/>
              </w:rPr>
            </w:pPr>
            <w:r>
              <w:rPr>
                <w:w w:val="105"/>
                <w:sz w:val="18"/>
              </w:rPr>
              <w:t>% of rental income</w:t>
            </w:r>
          </w:p>
        </w:tc>
      </w:tr>
      <w:tr>
        <w:trPr>
          <w:trHeight w:val="296" w:hRule="atLeast"/>
        </w:trPr>
        <w:tc>
          <w:tcPr>
            <w:tcW w:w="3938" w:type="dxa"/>
            <w:tcBorders>
              <w:top w:val="single" w:sz="6" w:space="0" w:color="69BD28"/>
              <w:bottom w:val="single" w:sz="6" w:space="0" w:color="69BD28"/>
            </w:tcBorders>
          </w:tcPr>
          <w:p>
            <w:pPr>
              <w:pStyle w:val="TableParagraph"/>
              <w:spacing w:before="44"/>
              <w:ind w:left="475" w:right="891"/>
              <w:rPr>
                <w:sz w:val="18"/>
              </w:rPr>
            </w:pPr>
            <w:r>
              <w:rPr>
                <w:sz w:val="18"/>
              </w:rPr>
              <w:t>Warm shell Security Deposit*</w:t>
            </w:r>
          </w:p>
        </w:tc>
        <w:tc>
          <w:tcPr>
            <w:tcW w:w="2611" w:type="dxa"/>
            <w:tcBorders>
              <w:top w:val="single" w:sz="6" w:space="0" w:color="69BD28"/>
              <w:bottom w:val="single" w:sz="6" w:space="0" w:color="69BD28"/>
            </w:tcBorders>
          </w:tcPr>
          <w:p>
            <w:pPr>
              <w:pStyle w:val="TableParagraph"/>
              <w:spacing w:before="44"/>
              <w:ind w:left="889" w:right="876"/>
              <w:rPr>
                <w:sz w:val="18"/>
              </w:rPr>
            </w:pPr>
            <w:r>
              <w:rPr>
                <w:w w:val="105"/>
                <w:sz w:val="18"/>
              </w:rPr>
              <w:t>6 months</w:t>
            </w:r>
          </w:p>
        </w:tc>
        <w:tc>
          <w:tcPr>
            <w:tcW w:w="3934" w:type="dxa"/>
            <w:tcBorders>
              <w:top w:val="single" w:sz="6" w:space="0" w:color="69BD28"/>
              <w:bottom w:val="single" w:sz="6" w:space="0" w:color="69BD28"/>
            </w:tcBorders>
          </w:tcPr>
          <w:p>
            <w:pPr>
              <w:pStyle w:val="TableParagraph"/>
              <w:spacing w:before="44"/>
              <w:ind w:left="832" w:right="388"/>
              <w:rPr>
                <w:sz w:val="18"/>
              </w:rPr>
            </w:pPr>
            <w:r>
              <w:rPr>
                <w:sz w:val="18"/>
              </w:rPr>
              <w:t>No. of months’ warm shell rental</w:t>
            </w:r>
          </w:p>
        </w:tc>
      </w:tr>
      <w:tr>
        <w:trPr>
          <w:trHeight w:val="294" w:hRule="atLeast"/>
        </w:trPr>
        <w:tc>
          <w:tcPr>
            <w:tcW w:w="3938" w:type="dxa"/>
            <w:tcBorders>
              <w:top w:val="single" w:sz="6" w:space="0" w:color="69BD28"/>
              <w:bottom w:val="single" w:sz="6" w:space="0" w:color="69BD28"/>
            </w:tcBorders>
          </w:tcPr>
          <w:p>
            <w:pPr>
              <w:pStyle w:val="TableParagraph"/>
              <w:spacing w:before="44"/>
              <w:ind w:left="476" w:right="891"/>
              <w:rPr>
                <w:sz w:val="18"/>
              </w:rPr>
            </w:pPr>
            <w:r>
              <w:rPr>
                <w:w w:val="110"/>
                <w:sz w:val="18"/>
              </w:rPr>
              <w:t>Parking Income </w:t>
            </w:r>
            <w:r>
              <w:rPr>
                <w:w w:val="160"/>
                <w:sz w:val="18"/>
              </w:rPr>
              <w:t>^</w:t>
            </w:r>
          </w:p>
        </w:tc>
        <w:tc>
          <w:tcPr>
            <w:tcW w:w="2611" w:type="dxa"/>
            <w:tcBorders>
              <w:top w:val="single" w:sz="6" w:space="0" w:color="69BD28"/>
              <w:bottom w:val="single" w:sz="6" w:space="0" w:color="69BD28"/>
            </w:tcBorders>
          </w:tcPr>
          <w:p>
            <w:pPr>
              <w:pStyle w:val="TableParagraph"/>
              <w:spacing w:before="44"/>
              <w:ind w:left="889" w:right="876"/>
              <w:rPr>
                <w:sz w:val="18"/>
              </w:rPr>
            </w:pPr>
            <w:r>
              <w:rPr>
                <w:w w:val="105"/>
                <w:sz w:val="18"/>
              </w:rPr>
              <w:t>INR 1,500</w:t>
            </w:r>
          </w:p>
        </w:tc>
        <w:tc>
          <w:tcPr>
            <w:tcW w:w="3934" w:type="dxa"/>
            <w:tcBorders>
              <w:top w:val="single" w:sz="6" w:space="0" w:color="69BD28"/>
              <w:bottom w:val="single" w:sz="6" w:space="0" w:color="69BD28"/>
            </w:tcBorders>
          </w:tcPr>
          <w:p>
            <w:pPr>
              <w:pStyle w:val="TableParagraph"/>
              <w:spacing w:before="44"/>
              <w:ind w:left="832" w:right="312"/>
              <w:rPr>
                <w:sz w:val="18"/>
              </w:rPr>
            </w:pPr>
            <w:r>
              <w:rPr>
                <w:sz w:val="18"/>
              </w:rPr>
              <w:t>per car park</w:t>
            </w:r>
          </w:p>
        </w:tc>
      </w:tr>
      <w:tr>
        <w:trPr>
          <w:trHeight w:val="297" w:hRule="atLeast"/>
        </w:trPr>
        <w:tc>
          <w:tcPr>
            <w:tcW w:w="3938" w:type="dxa"/>
            <w:tcBorders>
              <w:top w:val="single" w:sz="6" w:space="0" w:color="69BD28"/>
              <w:bottom w:val="single" w:sz="6" w:space="0" w:color="69BD28"/>
            </w:tcBorders>
          </w:tcPr>
          <w:p>
            <w:pPr>
              <w:pStyle w:val="TableParagraph"/>
              <w:spacing w:before="44"/>
              <w:ind w:left="476" w:right="891"/>
              <w:rPr>
                <w:sz w:val="18"/>
              </w:rPr>
            </w:pPr>
            <w:r>
              <w:rPr>
                <w:w w:val="105"/>
                <w:sz w:val="18"/>
              </w:rPr>
              <w:t>Mark-Up on CAM/ CAM margin</w:t>
            </w:r>
          </w:p>
        </w:tc>
        <w:tc>
          <w:tcPr>
            <w:tcW w:w="2611" w:type="dxa"/>
            <w:tcBorders>
              <w:top w:val="single" w:sz="6" w:space="0" w:color="69BD28"/>
              <w:bottom w:val="single" w:sz="6" w:space="0" w:color="69BD28"/>
            </w:tcBorders>
          </w:tcPr>
          <w:p>
            <w:pPr>
              <w:pStyle w:val="TableParagraph"/>
              <w:spacing w:before="44"/>
              <w:ind w:left="888" w:right="876"/>
              <w:rPr>
                <w:sz w:val="18"/>
              </w:rPr>
            </w:pPr>
            <w:r>
              <w:rPr>
                <w:w w:val="110"/>
                <w:sz w:val="18"/>
              </w:rPr>
              <w:t>20.0%</w:t>
            </w:r>
          </w:p>
        </w:tc>
        <w:tc>
          <w:tcPr>
            <w:tcW w:w="3934" w:type="dxa"/>
            <w:tcBorders>
              <w:top w:val="single" w:sz="6" w:space="0" w:color="69BD28"/>
              <w:bottom w:val="single" w:sz="6" w:space="0" w:color="69BD28"/>
            </w:tcBorders>
          </w:tcPr>
          <w:p>
            <w:pPr>
              <w:pStyle w:val="TableParagraph"/>
              <w:spacing w:before="44"/>
              <w:ind w:left="519"/>
              <w:rPr>
                <w:sz w:val="18"/>
              </w:rPr>
            </w:pPr>
            <w:r>
              <w:rPr>
                <w:w w:val="123"/>
                <w:sz w:val="18"/>
              </w:rPr>
              <w:t>%</w:t>
            </w:r>
          </w:p>
        </w:tc>
      </w:tr>
    </w:tbl>
    <w:p>
      <w:pPr>
        <w:spacing w:line="321" w:lineRule="auto" w:before="117"/>
        <w:ind w:left="260" w:right="0" w:firstLine="0"/>
        <w:jc w:val="left"/>
        <w:rPr>
          <w:i/>
          <w:sz w:val="18"/>
        </w:rPr>
      </w:pPr>
      <w:r>
        <w:rPr>
          <w:i/>
          <w:w w:val="103"/>
          <w:sz w:val="18"/>
        </w:rPr>
        <w:t>So</w:t>
      </w:r>
      <w:r>
        <w:rPr>
          <w:i/>
          <w:w w:val="92"/>
          <w:sz w:val="18"/>
        </w:rPr>
        <w:t>u</w:t>
      </w:r>
      <w:r>
        <w:rPr>
          <w:i/>
          <w:w w:val="81"/>
          <w:sz w:val="18"/>
        </w:rPr>
        <w:t>r</w:t>
      </w:r>
      <w:r>
        <w:rPr>
          <w:i/>
          <w:w w:val="100"/>
          <w:sz w:val="18"/>
        </w:rPr>
        <w:t>c</w:t>
      </w:r>
      <w:r>
        <w:rPr>
          <w:i/>
          <w:w w:val="90"/>
          <w:sz w:val="18"/>
        </w:rPr>
        <w:t>e:</w:t>
      </w:r>
      <w:r>
        <w:rPr>
          <w:i/>
          <w:sz w:val="18"/>
        </w:rPr>
        <w:t> </w:t>
      </w:r>
      <w:r>
        <w:rPr>
          <w:i/>
          <w:w w:val="112"/>
          <w:sz w:val="18"/>
        </w:rPr>
        <w:t>C</w:t>
      </w:r>
      <w:r>
        <w:rPr>
          <w:i/>
          <w:w w:val="85"/>
          <w:sz w:val="18"/>
        </w:rPr>
        <w:t>lie</w:t>
      </w:r>
      <w:r>
        <w:rPr>
          <w:i/>
          <w:w w:val="99"/>
          <w:sz w:val="18"/>
        </w:rPr>
        <w:t>n</w:t>
      </w:r>
      <w:r>
        <w:rPr>
          <w:i/>
          <w:w w:val="68"/>
          <w:sz w:val="18"/>
        </w:rPr>
        <w:t>t</w:t>
      </w:r>
      <w:r>
        <w:rPr>
          <w:i/>
          <w:w w:val="78"/>
          <w:sz w:val="18"/>
        </w:rPr>
        <w:t>’</w:t>
      </w:r>
      <w:r>
        <w:rPr>
          <w:i/>
          <w:w w:val="101"/>
          <w:sz w:val="18"/>
        </w:rPr>
        <w:t>s</w:t>
      </w:r>
      <w:r>
        <w:rPr>
          <w:i/>
          <w:sz w:val="18"/>
        </w:rPr>
        <w:t> </w:t>
      </w:r>
      <w:r>
        <w:rPr>
          <w:i/>
          <w:w w:val="81"/>
          <w:sz w:val="18"/>
        </w:rPr>
        <w:t>r</w:t>
      </w:r>
      <w:r>
        <w:rPr>
          <w:i/>
          <w:w w:val="98"/>
          <w:sz w:val="18"/>
        </w:rPr>
        <w:t>ep</w:t>
      </w:r>
      <w:r>
        <w:rPr>
          <w:i/>
          <w:w w:val="81"/>
          <w:sz w:val="18"/>
        </w:rPr>
        <w:t>r</w:t>
      </w:r>
      <w:r>
        <w:rPr>
          <w:i/>
          <w:w w:val="97"/>
          <w:sz w:val="18"/>
        </w:rPr>
        <w:t>esen</w:t>
      </w:r>
      <w:r>
        <w:rPr>
          <w:i/>
          <w:w w:val="68"/>
          <w:sz w:val="18"/>
        </w:rPr>
        <w:t>t</w:t>
      </w:r>
      <w:r>
        <w:rPr>
          <w:i/>
          <w:w w:val="107"/>
          <w:sz w:val="18"/>
        </w:rPr>
        <w:t>a</w:t>
      </w:r>
      <w:r>
        <w:rPr>
          <w:i/>
          <w:w w:val="68"/>
          <w:sz w:val="18"/>
        </w:rPr>
        <w:t>t</w:t>
      </w:r>
      <w:r>
        <w:rPr>
          <w:i/>
          <w:w w:val="86"/>
          <w:sz w:val="18"/>
        </w:rPr>
        <w:t>iv</w:t>
      </w:r>
      <w:r>
        <w:rPr>
          <w:i/>
          <w:w w:val="94"/>
          <w:sz w:val="18"/>
        </w:rPr>
        <w:t>e</w:t>
      </w:r>
      <w:r>
        <w:rPr>
          <w:i/>
          <w:sz w:val="18"/>
        </w:rPr>
        <w:t> </w:t>
      </w:r>
      <w:r>
        <w:rPr>
          <w:i/>
          <w:w w:val="88"/>
          <w:sz w:val="18"/>
        </w:rPr>
        <w:t>&amp;</w:t>
      </w:r>
      <w:r>
        <w:rPr>
          <w:i/>
          <w:sz w:val="18"/>
        </w:rPr>
        <w:t> </w:t>
      </w:r>
      <w:r>
        <w:rPr>
          <w:i/>
          <w:w w:val="101"/>
          <w:sz w:val="18"/>
        </w:rPr>
        <w:t>Va</w:t>
      </w:r>
      <w:r>
        <w:rPr>
          <w:i/>
          <w:w w:val="85"/>
          <w:sz w:val="18"/>
        </w:rPr>
        <w:t>lu</w:t>
      </w:r>
      <w:r>
        <w:rPr>
          <w:i/>
          <w:w w:val="88"/>
          <w:sz w:val="18"/>
        </w:rPr>
        <w:t>er</w:t>
      </w:r>
      <w:r>
        <w:rPr>
          <w:i/>
          <w:sz w:val="18"/>
        </w:rPr>
        <w:t> </w:t>
      </w:r>
      <w:r>
        <w:rPr>
          <w:i/>
          <w:w w:val="107"/>
          <w:sz w:val="18"/>
        </w:rPr>
        <w:t>a</w:t>
      </w:r>
      <w:r>
        <w:rPr>
          <w:i/>
          <w:w w:val="101"/>
          <w:sz w:val="18"/>
        </w:rPr>
        <w:t>ss</w:t>
      </w:r>
      <w:r>
        <w:rPr>
          <w:i/>
          <w:w w:val="98"/>
          <w:sz w:val="18"/>
        </w:rPr>
        <w:t>ess</w:t>
      </w:r>
      <w:r>
        <w:rPr>
          <w:i/>
          <w:w w:val="94"/>
          <w:sz w:val="18"/>
        </w:rPr>
        <w:t>me</w:t>
      </w:r>
      <w:r>
        <w:rPr>
          <w:i/>
          <w:w w:val="99"/>
          <w:sz w:val="18"/>
        </w:rPr>
        <w:t>n</w:t>
      </w:r>
      <w:r>
        <w:rPr>
          <w:i/>
          <w:w w:val="68"/>
          <w:sz w:val="18"/>
        </w:rPr>
        <w:t>t</w:t>
      </w:r>
      <w:r>
        <w:rPr>
          <w:i/>
          <w:w w:val="83"/>
          <w:sz w:val="18"/>
        </w:rPr>
        <w:t>;</w:t>
      </w:r>
      <w:r>
        <w:rPr>
          <w:i/>
          <w:sz w:val="18"/>
        </w:rPr>
        <w:t> </w:t>
      </w:r>
      <w:r>
        <w:rPr>
          <w:i/>
          <w:w w:val="116"/>
          <w:sz w:val="18"/>
        </w:rPr>
        <w:t>*</w:t>
      </w:r>
      <w:r>
        <w:rPr>
          <w:i/>
          <w:sz w:val="18"/>
        </w:rPr>
        <w:t> </w:t>
      </w:r>
      <w:r>
        <w:rPr>
          <w:i/>
          <w:w w:val="89"/>
          <w:sz w:val="18"/>
        </w:rPr>
        <w:t>Ref</w:t>
      </w:r>
      <w:r>
        <w:rPr>
          <w:i/>
          <w:w w:val="92"/>
          <w:sz w:val="18"/>
        </w:rPr>
        <w:t>u</w:t>
      </w:r>
      <w:r>
        <w:rPr>
          <w:i/>
          <w:w w:val="99"/>
          <w:sz w:val="18"/>
        </w:rPr>
        <w:t>n</w:t>
      </w:r>
      <w:r>
        <w:rPr>
          <w:i/>
          <w:w w:val="101"/>
          <w:sz w:val="18"/>
        </w:rPr>
        <w:t>d</w:t>
      </w:r>
      <w:r>
        <w:rPr>
          <w:i/>
          <w:w w:val="94"/>
          <w:sz w:val="18"/>
        </w:rPr>
        <w:t>e</w:t>
      </w:r>
      <w:r>
        <w:rPr>
          <w:i/>
          <w:w w:val="101"/>
          <w:sz w:val="18"/>
        </w:rPr>
        <w:t>d</w:t>
      </w:r>
      <w:r>
        <w:rPr>
          <w:i/>
          <w:sz w:val="18"/>
        </w:rPr>
        <w:t> </w:t>
      </w:r>
      <w:r>
        <w:rPr>
          <w:i/>
          <w:w w:val="107"/>
          <w:sz w:val="18"/>
        </w:rPr>
        <w:t>a</w:t>
      </w:r>
      <w:r>
        <w:rPr>
          <w:i/>
          <w:w w:val="68"/>
          <w:sz w:val="18"/>
        </w:rPr>
        <w:t>t</w:t>
      </w:r>
      <w:r>
        <w:rPr>
          <w:i/>
          <w:sz w:val="18"/>
        </w:rPr>
        <w:t> </w:t>
      </w:r>
      <w:r>
        <w:rPr>
          <w:i/>
          <w:w w:val="68"/>
          <w:sz w:val="18"/>
        </w:rPr>
        <w:t>t</w:t>
      </w:r>
      <w:r>
        <w:rPr>
          <w:i/>
          <w:w w:val="97"/>
          <w:sz w:val="18"/>
        </w:rPr>
        <w:t>h</w:t>
      </w:r>
      <w:r>
        <w:rPr>
          <w:i/>
          <w:w w:val="94"/>
          <w:sz w:val="18"/>
        </w:rPr>
        <w:t>e</w:t>
      </w:r>
      <w:r>
        <w:rPr>
          <w:i/>
          <w:sz w:val="18"/>
        </w:rPr>
        <w:t> </w:t>
      </w:r>
      <w:r>
        <w:rPr>
          <w:i/>
          <w:w w:val="68"/>
          <w:sz w:val="18"/>
        </w:rPr>
        <w:t>t</w:t>
      </w:r>
      <w:r>
        <w:rPr>
          <w:i/>
          <w:w w:val="91"/>
          <w:sz w:val="18"/>
        </w:rPr>
        <w:t>ime</w:t>
      </w:r>
      <w:r>
        <w:rPr>
          <w:i/>
          <w:sz w:val="18"/>
        </w:rPr>
        <w:t> </w:t>
      </w:r>
      <w:r>
        <w:rPr>
          <w:i/>
          <w:w w:val="102"/>
          <w:sz w:val="18"/>
        </w:rPr>
        <w:t>o</w:t>
      </w:r>
      <w:r>
        <w:rPr>
          <w:i/>
          <w:w w:val="77"/>
          <w:sz w:val="18"/>
        </w:rPr>
        <w:t>f</w:t>
      </w:r>
      <w:r>
        <w:rPr>
          <w:i/>
          <w:sz w:val="18"/>
        </w:rPr>
        <w:t> </w:t>
      </w:r>
      <w:r>
        <w:rPr>
          <w:i/>
          <w:w w:val="87"/>
          <w:sz w:val="18"/>
        </w:rPr>
        <w:t>le</w:t>
      </w:r>
      <w:r>
        <w:rPr>
          <w:i/>
          <w:w w:val="107"/>
          <w:sz w:val="18"/>
        </w:rPr>
        <w:t>a</w:t>
      </w:r>
      <w:r>
        <w:rPr>
          <w:i/>
          <w:w w:val="101"/>
          <w:sz w:val="18"/>
        </w:rPr>
        <w:t>s</w:t>
      </w:r>
      <w:r>
        <w:rPr>
          <w:i/>
          <w:w w:val="94"/>
          <w:sz w:val="18"/>
        </w:rPr>
        <w:t>e</w:t>
      </w:r>
      <w:r>
        <w:rPr>
          <w:i/>
          <w:sz w:val="18"/>
        </w:rPr>
        <w:t> </w:t>
      </w:r>
      <w:r>
        <w:rPr>
          <w:i/>
          <w:w w:val="95"/>
          <w:sz w:val="18"/>
        </w:rPr>
        <w:t>exp</w:t>
      </w:r>
      <w:r>
        <w:rPr>
          <w:i/>
          <w:w w:val="80"/>
          <w:sz w:val="18"/>
        </w:rPr>
        <w:t>ir</w:t>
      </w:r>
      <w:r>
        <w:rPr>
          <w:i/>
          <w:w w:val="89"/>
          <w:sz w:val="18"/>
        </w:rPr>
        <w:t>y/</w:t>
      </w:r>
      <w:r>
        <w:rPr>
          <w:i/>
          <w:sz w:val="18"/>
        </w:rPr>
        <w:t> </w:t>
      </w:r>
      <w:r>
        <w:rPr>
          <w:i/>
          <w:w w:val="94"/>
          <w:sz w:val="18"/>
        </w:rPr>
        <w:t>e</w:t>
      </w:r>
      <w:r>
        <w:rPr>
          <w:i/>
          <w:w w:val="79"/>
          <w:sz w:val="18"/>
        </w:rPr>
        <w:t>xit</w:t>
      </w:r>
      <w:r>
        <w:rPr>
          <w:i/>
          <w:w w:val="83"/>
          <w:sz w:val="18"/>
        </w:rPr>
        <w:t>;</w:t>
      </w:r>
      <w:r>
        <w:rPr>
          <w:i/>
          <w:sz w:val="18"/>
        </w:rPr>
        <w:t> </w:t>
      </w:r>
      <w:r>
        <w:rPr>
          <w:i/>
          <w:w w:val="191"/>
          <w:position w:val="6"/>
          <w:sz w:val="11"/>
        </w:rPr>
        <w:t>^</w:t>
      </w:r>
      <w:r>
        <w:rPr>
          <w:i/>
          <w:w w:val="97"/>
          <w:sz w:val="18"/>
        </w:rPr>
        <w:t>P</w:t>
      </w:r>
      <w:r>
        <w:rPr>
          <w:i/>
          <w:w w:val="107"/>
          <w:sz w:val="18"/>
        </w:rPr>
        <w:t>a</w:t>
      </w:r>
      <w:r>
        <w:rPr>
          <w:i/>
          <w:w w:val="81"/>
          <w:sz w:val="18"/>
        </w:rPr>
        <w:t>r</w:t>
      </w:r>
      <w:r>
        <w:rPr>
          <w:i/>
          <w:w w:val="93"/>
          <w:sz w:val="18"/>
        </w:rPr>
        <w:t>k</w:t>
      </w:r>
      <w:r>
        <w:rPr>
          <w:i/>
          <w:w w:val="91"/>
          <w:sz w:val="18"/>
        </w:rPr>
        <w:t>in</w:t>
      </w:r>
      <w:r>
        <w:rPr>
          <w:i/>
          <w:w w:val="112"/>
          <w:sz w:val="18"/>
        </w:rPr>
        <w:t>g</w:t>
      </w:r>
      <w:r>
        <w:rPr>
          <w:i/>
          <w:sz w:val="18"/>
        </w:rPr>
        <w:t> </w:t>
      </w:r>
      <w:r>
        <w:rPr>
          <w:i/>
          <w:w w:val="81"/>
          <w:sz w:val="18"/>
        </w:rPr>
        <w:t>r</w:t>
      </w:r>
      <w:r>
        <w:rPr>
          <w:i/>
          <w:w w:val="107"/>
          <w:sz w:val="18"/>
        </w:rPr>
        <w:t>a</w:t>
      </w:r>
      <w:r>
        <w:rPr>
          <w:i/>
          <w:w w:val="68"/>
          <w:sz w:val="18"/>
        </w:rPr>
        <w:t>t</w:t>
      </w:r>
      <w:r>
        <w:rPr>
          <w:i/>
          <w:w w:val="97"/>
          <w:sz w:val="18"/>
        </w:rPr>
        <w:t>es</w:t>
      </w:r>
      <w:r>
        <w:rPr>
          <w:i/>
          <w:sz w:val="18"/>
        </w:rPr>
        <w:t> </w:t>
      </w:r>
      <w:r>
        <w:rPr>
          <w:i/>
          <w:w w:val="107"/>
          <w:sz w:val="18"/>
        </w:rPr>
        <w:t>a</w:t>
      </w:r>
      <w:r>
        <w:rPr>
          <w:i/>
          <w:w w:val="81"/>
          <w:sz w:val="18"/>
        </w:rPr>
        <w:t>r</w:t>
      </w:r>
      <w:r>
        <w:rPr>
          <w:i/>
          <w:w w:val="94"/>
          <w:sz w:val="18"/>
        </w:rPr>
        <w:t>e</w:t>
      </w:r>
      <w:r>
        <w:rPr>
          <w:i/>
          <w:sz w:val="18"/>
        </w:rPr>
        <w:t> </w:t>
      </w:r>
      <w:r>
        <w:rPr>
          <w:i/>
          <w:w w:val="107"/>
          <w:sz w:val="18"/>
        </w:rPr>
        <w:t>a</w:t>
      </w:r>
      <w:r>
        <w:rPr>
          <w:i/>
          <w:w w:val="101"/>
          <w:sz w:val="18"/>
        </w:rPr>
        <w:t>pp</w:t>
      </w:r>
      <w:r>
        <w:rPr>
          <w:i/>
          <w:w w:val="81"/>
          <w:sz w:val="18"/>
        </w:rPr>
        <w:t>r</w:t>
      </w:r>
      <w:r>
        <w:rPr>
          <w:i/>
          <w:w w:val="102"/>
          <w:sz w:val="18"/>
        </w:rPr>
        <w:t>o</w:t>
      </w:r>
      <w:r>
        <w:rPr>
          <w:i/>
          <w:w w:val="85"/>
          <w:sz w:val="18"/>
        </w:rPr>
        <w:t>x.</w:t>
      </w:r>
      <w:r>
        <w:rPr>
          <w:i/>
          <w:sz w:val="18"/>
        </w:rPr>
        <w:t> </w:t>
      </w:r>
      <w:r>
        <w:rPr>
          <w:i/>
          <w:w w:val="104"/>
          <w:sz w:val="18"/>
        </w:rPr>
        <w:t>INR</w:t>
      </w:r>
      <w:r>
        <w:rPr>
          <w:i/>
          <w:sz w:val="18"/>
        </w:rPr>
        <w:t> </w:t>
      </w:r>
      <w:r>
        <w:rPr>
          <w:i/>
          <w:w w:val="105"/>
          <w:sz w:val="18"/>
        </w:rPr>
        <w:t>3,000</w:t>
      </w:r>
      <w:r>
        <w:rPr>
          <w:i/>
          <w:w w:val="105"/>
          <w:sz w:val="18"/>
        </w:rPr>
        <w:t> </w:t>
      </w:r>
      <w:r>
        <w:rPr>
          <w:i/>
          <w:sz w:val="18"/>
        </w:rPr>
        <w:t>per bay and the Valuer has assumed that 50% of the total bays are chargeable</w:t>
      </w:r>
    </w:p>
    <w:p>
      <w:pPr>
        <w:spacing w:after="0" w:line="321" w:lineRule="auto"/>
        <w:jc w:val="left"/>
        <w:rPr>
          <w:sz w:val="18"/>
        </w:rPr>
        <w:sectPr>
          <w:pgSz w:w="11910" w:h="16840"/>
          <w:pgMar w:header="720" w:footer="921" w:top="1660" w:bottom="1120" w:left="460" w:right="480"/>
        </w:sectPr>
      </w:pPr>
    </w:p>
    <w:p>
      <w:pPr>
        <w:pStyle w:val="BodyText"/>
        <w:spacing w:before="7"/>
        <w:rPr>
          <w:i/>
          <w:sz w:val="9"/>
        </w:rPr>
      </w:pPr>
    </w:p>
    <w:p>
      <w:pPr>
        <w:pStyle w:val="ListParagraph"/>
        <w:numPr>
          <w:ilvl w:val="2"/>
          <w:numId w:val="14"/>
        </w:numPr>
        <w:tabs>
          <w:tab w:pos="981" w:val="left" w:leader="none"/>
        </w:tabs>
        <w:spacing w:line="240" w:lineRule="auto" w:before="106" w:after="0"/>
        <w:ind w:left="980" w:right="0" w:hanging="721"/>
        <w:jc w:val="left"/>
        <w:rPr>
          <w:sz w:val="22"/>
        </w:rPr>
      </w:pPr>
      <w:bookmarkStart w:name="_bookmark207" w:id="404"/>
      <w:bookmarkEnd w:id="404"/>
      <w:r>
        <w:rPr/>
      </w:r>
      <w:bookmarkStart w:name="_bookmark207" w:id="405"/>
      <w:bookmarkEnd w:id="405"/>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59"/>
        </w:numPr>
        <w:tabs>
          <w:tab w:pos="1125" w:val="left" w:leader="none"/>
        </w:tabs>
        <w:spacing w:line="240" w:lineRule="auto" w:before="1" w:after="0"/>
        <w:ind w:left="1124" w:right="0" w:hanging="865"/>
        <w:jc w:val="left"/>
        <w:rPr>
          <w:i/>
          <w:sz w:val="20"/>
        </w:rPr>
      </w:pPr>
      <w:r>
        <w:rPr>
          <w:i/>
          <w:color w:val="008000"/>
          <w:sz w:val="20"/>
        </w:rPr>
        <w:t>Refurbishment</w:t>
      </w:r>
      <w:r>
        <w:rPr>
          <w:i/>
          <w:color w:val="008000"/>
          <w:spacing w:val="-2"/>
          <w:sz w:val="20"/>
        </w:rPr>
        <w:t> </w:t>
      </w:r>
      <w:r>
        <w:rPr>
          <w:i/>
          <w:color w:val="008000"/>
          <w:sz w:val="20"/>
        </w:rPr>
        <w:t>expenses</w:t>
      </w:r>
    </w:p>
    <w:p>
      <w:pPr>
        <w:pStyle w:val="BodyText"/>
        <w:spacing w:line="321" w:lineRule="auto" w:before="135"/>
        <w:ind w:left="879"/>
      </w:pPr>
      <w:r>
        <w:rPr/>
        <w:pict>
          <v:group style="position:absolute;margin-left:35.279999pt;margin-top:46.718609pt;width:524.3pt;height:25.35pt;mso-position-horizontal-relative:page;mso-position-vertical-relative:paragraph;z-index:-15234048;mso-wrap-distance-left:0;mso-wrap-distance-right:0" coordorigin="706,934" coordsize="10486,507">
            <v:shape style="position:absolute;left:720;top:951;width:10472;height:476" coordorigin="720,951" coordsize="10472,476" path="m11191,951l7701,951,4211,951,720,951,720,1426,4211,1426,7701,1426,11191,1426,11191,951xe" filled="true" fillcolor="#006a4d" stroked="false">
              <v:path arrowok="t"/>
              <v:fill type="solid"/>
            </v:shape>
            <v:shape style="position:absolute;left:720;top:934;width:10472;height:507" coordorigin="720,934" coordsize="10472,507" path="m11191,1426l7716,1426,7701,1426,4225,1426,4211,1426,720,1426,720,1441,4211,1441,4225,1441,7701,1441,7716,1441,11191,1441,11191,1426xm11191,934l7716,934,7701,934,4225,934,4211,934,720,934,720,949,4211,949,4225,949,7701,949,7716,949,11191,949,11191,934xe" filled="true" fillcolor="#69bd28" stroked="false">
              <v:path arrowok="t"/>
              <v:fill type="solid"/>
            </v:shape>
            <v:shape style="position:absolute;left:705;top:948;width:10486;height:478" type="#_x0000_t202" filled="false" stroked="false">
              <v:textbox inset="0,0,0,0">
                <w:txbxContent>
                  <w:p>
                    <w:pPr>
                      <w:tabs>
                        <w:tab w:pos="4071" w:val="left" w:leader="none"/>
                        <w:tab w:pos="7840" w:val="left" w:leader="none"/>
                      </w:tabs>
                      <w:spacing w:before="135"/>
                      <w:ind w:left="1200" w:right="0" w:firstLine="0"/>
                      <w:jc w:val="left"/>
                      <w:rPr>
                        <w:sz w:val="18"/>
                      </w:rPr>
                    </w:pPr>
                    <w:r>
                      <w:rPr>
                        <w:color w:val="FFFFFF"/>
                        <w:sz w:val="18"/>
                      </w:rPr>
                      <w:t>Expense</w:t>
                    </w:r>
                    <w:r>
                      <w:rPr>
                        <w:color w:val="FFFFFF"/>
                        <w:spacing w:val="-4"/>
                        <w:sz w:val="18"/>
                      </w:rPr>
                      <w:t> </w:t>
                    </w:r>
                    <w:r>
                      <w:rPr>
                        <w:color w:val="FFFFFF"/>
                        <w:sz w:val="18"/>
                      </w:rPr>
                      <w:t>Head</w:t>
                      <w:tab/>
                      <w:t>Total Pending Cost (INR</w:t>
                    </w:r>
                    <w:r>
                      <w:rPr>
                        <w:color w:val="FFFFFF"/>
                        <w:spacing w:val="-19"/>
                        <w:sz w:val="18"/>
                      </w:rPr>
                      <w:t> </w:t>
                    </w:r>
                    <w:r>
                      <w:rPr>
                        <w:color w:val="FFFFFF"/>
                        <w:sz w:val="18"/>
                      </w:rPr>
                      <w:t>Mn)</w:t>
                    </w:r>
                    <w:r>
                      <w:rPr>
                        <w:color w:val="FFFFFF"/>
                        <w:spacing w:val="-3"/>
                        <w:sz w:val="18"/>
                      </w:rPr>
                      <w:t> </w:t>
                    </w:r>
                    <w:r>
                      <w:rPr>
                        <w:color w:val="FFFFFF"/>
                        <w:sz w:val="18"/>
                      </w:rPr>
                      <w:t>*</w:t>
                      <w:tab/>
                      <w:t>Quarter of</w:t>
                    </w:r>
                    <w:r>
                      <w:rPr>
                        <w:color w:val="FFFFFF"/>
                        <w:spacing w:val="-6"/>
                        <w:sz w:val="18"/>
                      </w:rPr>
                      <w:t> </w:t>
                    </w:r>
                    <w:r>
                      <w:rPr>
                        <w:color w:val="FFFFFF"/>
                        <w:sz w:val="18"/>
                      </w:rPr>
                      <w:t>Completion</w:t>
                    </w:r>
                  </w:p>
                </w:txbxContent>
              </v:textbox>
              <w10:wrap type="none"/>
            </v:shape>
            <w10:wrap type="topAndBottom"/>
          </v:group>
        </w:pict>
      </w:r>
      <w:r>
        <w:rPr/>
        <w:t>The following table highlights the assumptions towards the refurbishment expenses/ infrastructure upgrade works in the subject development:</w:t>
      </w:r>
    </w:p>
    <w:p>
      <w:pPr>
        <w:tabs>
          <w:tab w:pos="4155" w:val="left" w:leader="none"/>
          <w:tab w:pos="7259" w:val="left" w:leader="none"/>
        </w:tabs>
        <w:spacing w:before="56" w:after="80"/>
        <w:ind w:left="0" w:right="1461" w:firstLine="0"/>
        <w:jc w:val="right"/>
        <w:rPr>
          <w:sz w:val="18"/>
        </w:rPr>
      </w:pPr>
      <w:r>
        <w:rPr>
          <w:sz w:val="18"/>
        </w:rPr>
        <w:t>Signage</w:t>
      </w:r>
      <w:r>
        <w:rPr>
          <w:spacing w:val="6"/>
          <w:sz w:val="18"/>
        </w:rPr>
        <w:t> </w:t>
      </w:r>
      <w:r>
        <w:rPr>
          <w:sz w:val="18"/>
        </w:rPr>
        <w:t>Rebranding</w:t>
        <w:tab/>
        <w:t>3.2</w:t>
        <w:tab/>
        <w:t>Q2,  FY</w:t>
      </w:r>
      <w:r>
        <w:rPr>
          <w:spacing w:val="17"/>
          <w:sz w:val="18"/>
        </w:rPr>
        <w:t> </w:t>
      </w:r>
      <w:r>
        <w:rPr>
          <w:sz w:val="18"/>
        </w:rPr>
        <w:t>2021</w:t>
      </w:r>
    </w:p>
    <w:p>
      <w:pPr>
        <w:pStyle w:val="BodyText"/>
        <w:spacing w:line="20" w:lineRule="exact"/>
        <w:ind w:left="260"/>
        <w:rPr>
          <w:sz w:val="2"/>
        </w:rPr>
      </w:pPr>
      <w:r>
        <w:rPr>
          <w:sz w:val="2"/>
        </w:rPr>
        <w:pict>
          <v:group style="width:523.6pt;height:.75pt;mso-position-horizontal-relative:char;mso-position-vertical-relative:line" coordorigin="0,0" coordsize="10472,15">
            <v:rect style="position:absolute;left:0;top:0;width:10472;height:15" filled="true" fillcolor="#69bd28" stroked="false">
              <v:fill type="solid"/>
            </v:rect>
          </v:group>
        </w:pict>
      </w:r>
      <w:r>
        <w:rPr>
          <w:sz w:val="2"/>
        </w:rPr>
      </w:r>
    </w:p>
    <w:p>
      <w:pPr>
        <w:tabs>
          <w:tab w:pos="4349" w:val="left" w:leader="none"/>
          <w:tab w:pos="7506" w:val="left" w:leader="none"/>
        </w:tabs>
        <w:spacing w:before="89"/>
        <w:ind w:left="0" w:right="1461" w:firstLine="0"/>
        <w:jc w:val="right"/>
        <w:rPr>
          <w:sz w:val="18"/>
        </w:rPr>
      </w:pPr>
      <w:r>
        <w:rPr/>
        <w:pict>
          <v:rect style="position:absolute;margin-left:36pt;margin-top:19.380674pt;width:523.560025pt;height:.72pt;mso-position-horizontal-relative:page;mso-position-vertical-relative:paragraph;z-index:-15233024;mso-wrap-distance-left:0;mso-wrap-distance-right:0" filled="true" fillcolor="#69bd28" stroked="false">
            <v:fill type="solid"/>
            <w10:wrap type="topAndBottom"/>
          </v:rect>
        </w:pict>
      </w:r>
      <w:r>
        <w:rPr>
          <w:w w:val="105"/>
          <w:sz w:val="18"/>
        </w:rPr>
        <w:t>Fire</w:t>
      </w:r>
      <w:r>
        <w:rPr>
          <w:spacing w:val="-34"/>
          <w:w w:val="105"/>
          <w:sz w:val="18"/>
        </w:rPr>
        <w:t> </w:t>
      </w:r>
      <w:r>
        <w:rPr>
          <w:w w:val="105"/>
          <w:sz w:val="18"/>
        </w:rPr>
        <w:t>Hydrant</w:t>
      </w:r>
      <w:r>
        <w:rPr>
          <w:spacing w:val="-34"/>
          <w:w w:val="105"/>
          <w:sz w:val="18"/>
        </w:rPr>
        <w:t> </w:t>
      </w:r>
      <w:r>
        <w:rPr>
          <w:w w:val="105"/>
          <w:sz w:val="18"/>
        </w:rPr>
        <w:t>Line</w:t>
      </w:r>
      <w:r>
        <w:rPr>
          <w:spacing w:val="-33"/>
          <w:w w:val="105"/>
          <w:sz w:val="18"/>
        </w:rPr>
        <w:t> </w:t>
      </w:r>
      <w:r>
        <w:rPr>
          <w:w w:val="105"/>
          <w:sz w:val="18"/>
        </w:rPr>
        <w:t>Upgrade</w:t>
        <w:tab/>
        <w:t>24.8</w:t>
        <w:tab/>
        <w:t>Q1, FY</w:t>
      </w:r>
      <w:r>
        <w:rPr>
          <w:spacing w:val="23"/>
          <w:w w:val="105"/>
          <w:sz w:val="18"/>
        </w:rPr>
        <w:t> </w:t>
      </w:r>
      <w:r>
        <w:rPr>
          <w:w w:val="105"/>
          <w:sz w:val="18"/>
        </w:rPr>
        <w:t>2022</w:t>
      </w:r>
    </w:p>
    <w:p>
      <w:pPr>
        <w:tabs>
          <w:tab w:pos="5361" w:val="left" w:leader="none"/>
          <w:tab w:pos="8465" w:val="left" w:leader="none"/>
        </w:tabs>
        <w:spacing w:before="16" w:after="42"/>
        <w:ind w:left="291" w:right="0" w:firstLine="0"/>
        <w:jc w:val="left"/>
        <w:rPr>
          <w:sz w:val="18"/>
        </w:rPr>
      </w:pPr>
      <w:r>
        <w:rPr>
          <w:sz w:val="18"/>
        </w:rPr>
        <w:t>Reinstatement works for Block Q4</w:t>
      </w:r>
      <w:r>
        <w:rPr>
          <w:spacing w:val="-40"/>
          <w:sz w:val="18"/>
        </w:rPr>
        <w:t> </w:t>
      </w:r>
      <w:r>
        <w:rPr>
          <w:sz w:val="18"/>
        </w:rPr>
        <w:t>and</w:t>
      </w:r>
      <w:r>
        <w:rPr>
          <w:spacing w:val="-7"/>
          <w:sz w:val="18"/>
        </w:rPr>
        <w:t> </w:t>
      </w:r>
      <w:r>
        <w:rPr>
          <w:sz w:val="18"/>
        </w:rPr>
        <w:t>Q1B</w:t>
        <w:tab/>
        <w:t>8.0</w:t>
        <w:tab/>
        <w:t>Q2,  FY</w:t>
      </w:r>
      <w:r>
        <w:rPr>
          <w:spacing w:val="16"/>
          <w:sz w:val="18"/>
        </w:rPr>
        <w:t> </w:t>
      </w:r>
      <w:r>
        <w:rPr>
          <w:sz w:val="18"/>
        </w:rPr>
        <w:t>2021</w:t>
      </w:r>
    </w:p>
    <w:p>
      <w:pPr>
        <w:pStyle w:val="BodyText"/>
        <w:spacing w:line="20" w:lineRule="exact"/>
        <w:ind w:left="24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0"/>
        <w:ind w:left="260" w:right="0" w:firstLine="0"/>
        <w:jc w:val="left"/>
        <w:rPr>
          <w:i/>
          <w:sz w:val="18"/>
        </w:rPr>
      </w:pPr>
      <w:r>
        <w:rPr>
          <w:i/>
          <w:sz w:val="18"/>
        </w:rPr>
        <w:t>Source Client input</w:t>
      </w:r>
    </w:p>
    <w:p>
      <w:pPr>
        <w:pStyle w:val="BodyText"/>
        <w:spacing w:before="4"/>
        <w:rPr>
          <w:i/>
          <w:sz w:val="29"/>
        </w:rPr>
      </w:pPr>
    </w:p>
    <w:p>
      <w:pPr>
        <w:pStyle w:val="ListParagraph"/>
        <w:numPr>
          <w:ilvl w:val="3"/>
          <w:numId w:val="59"/>
        </w:numPr>
        <w:tabs>
          <w:tab w:pos="1125" w:val="left" w:leader="none"/>
        </w:tabs>
        <w:spacing w:line="240" w:lineRule="auto" w:before="0" w:after="0"/>
        <w:ind w:left="1124" w:right="0" w:hanging="865"/>
        <w:jc w:val="both"/>
        <w:rPr>
          <w:i/>
          <w:sz w:val="20"/>
        </w:rPr>
      </w:pPr>
      <w:r>
        <w:rPr>
          <w:i/>
          <w:color w:val="008000"/>
          <w:sz w:val="20"/>
        </w:rPr>
        <w:t>Other</w:t>
      </w:r>
      <w:r>
        <w:rPr>
          <w:i/>
          <w:color w:val="008000"/>
          <w:spacing w:val="-4"/>
          <w:sz w:val="20"/>
        </w:rPr>
        <w:t> </w:t>
      </w:r>
      <w:r>
        <w:rPr>
          <w:i/>
          <w:color w:val="008000"/>
          <w:sz w:val="20"/>
        </w:rPr>
        <w:t>Cost</w:t>
      </w:r>
    </w:p>
    <w:p>
      <w:pPr>
        <w:pStyle w:val="BodyText"/>
        <w:spacing w:before="76"/>
        <w:ind w:left="822"/>
        <w:jc w:val="both"/>
      </w:pPr>
      <w:r>
        <w:rPr/>
        <w:t>The</w:t>
      </w:r>
      <w:r>
        <w:rPr>
          <w:spacing w:val="-29"/>
        </w:rPr>
        <w:t> </w:t>
      </w:r>
      <w:r>
        <w:rPr/>
        <w:t>following</w:t>
      </w:r>
      <w:r>
        <w:rPr>
          <w:spacing w:val="-27"/>
        </w:rPr>
        <w:t> </w:t>
      </w:r>
      <w:r>
        <w:rPr/>
        <w:t>table</w:t>
      </w:r>
      <w:r>
        <w:rPr>
          <w:spacing w:val="-28"/>
        </w:rPr>
        <w:t> </w:t>
      </w:r>
      <w:r>
        <w:rPr/>
        <w:t>highlights</w:t>
      </w:r>
      <w:r>
        <w:rPr>
          <w:spacing w:val="-27"/>
        </w:rPr>
        <w:t> </w:t>
      </w:r>
      <w:r>
        <w:rPr/>
        <w:t>the</w:t>
      </w:r>
      <w:r>
        <w:rPr>
          <w:spacing w:val="-28"/>
        </w:rPr>
        <w:t> </w:t>
      </w:r>
      <w:r>
        <w:rPr/>
        <w:t>assumptions</w:t>
      </w:r>
      <w:r>
        <w:rPr>
          <w:spacing w:val="-27"/>
        </w:rPr>
        <w:t> </w:t>
      </w:r>
      <w:r>
        <w:rPr/>
        <w:t>towards</w:t>
      </w:r>
      <w:r>
        <w:rPr>
          <w:spacing w:val="-27"/>
        </w:rPr>
        <w:t> </w:t>
      </w:r>
      <w:r>
        <w:rPr/>
        <w:t>the</w:t>
      </w:r>
      <w:r>
        <w:rPr>
          <w:spacing w:val="-29"/>
        </w:rPr>
        <w:t> </w:t>
      </w:r>
      <w:r>
        <w:rPr/>
        <w:t>other</w:t>
      </w:r>
      <w:r>
        <w:rPr>
          <w:spacing w:val="-27"/>
        </w:rPr>
        <w:t> </w:t>
      </w:r>
      <w:r>
        <w:rPr/>
        <w:t>expenses</w:t>
      </w:r>
      <w:r>
        <w:rPr>
          <w:spacing w:val="-27"/>
        </w:rPr>
        <w:t> </w:t>
      </w:r>
      <w:r>
        <w:rPr/>
        <w:t>in</w:t>
      </w:r>
      <w:r>
        <w:rPr>
          <w:spacing w:val="-29"/>
        </w:rPr>
        <w:t> </w:t>
      </w:r>
      <w:r>
        <w:rPr/>
        <w:t>the</w:t>
      </w:r>
      <w:r>
        <w:rPr>
          <w:spacing w:val="-27"/>
        </w:rPr>
        <w:t> </w:t>
      </w:r>
      <w:r>
        <w:rPr/>
        <w:t>subject</w:t>
      </w:r>
      <w:r>
        <w:rPr>
          <w:spacing w:val="-28"/>
        </w:rPr>
        <w:t> </w:t>
      </w:r>
      <w:r>
        <w:rPr/>
        <w:t>development:</w:t>
      </w:r>
    </w:p>
    <w:p>
      <w:pPr>
        <w:pStyle w:val="BodyText"/>
        <w:spacing w:before="1"/>
        <w:rPr>
          <w:sz w:val="18"/>
        </w:rPr>
      </w:pPr>
    </w:p>
    <w:tbl>
      <w:tblPr>
        <w:tblW w:w="0" w:type="auto"/>
        <w:jc w:val="left"/>
        <w:tblInd w:w="2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45"/>
        <w:gridCol w:w="2613"/>
        <w:gridCol w:w="3826"/>
      </w:tblGrid>
      <w:tr>
        <w:trPr>
          <w:trHeight w:val="287" w:hRule="atLeast"/>
        </w:trPr>
        <w:tc>
          <w:tcPr>
            <w:tcW w:w="4045" w:type="dxa"/>
            <w:tcBorders>
              <w:top w:val="single" w:sz="6" w:space="0" w:color="69BD28"/>
              <w:bottom w:val="single" w:sz="6" w:space="0" w:color="69BD28"/>
            </w:tcBorders>
            <w:shd w:val="clear" w:color="auto" w:fill="006A4D"/>
          </w:tcPr>
          <w:p>
            <w:pPr>
              <w:pStyle w:val="TableParagraph"/>
              <w:spacing w:before="28"/>
              <w:ind w:left="335" w:right="860"/>
              <w:rPr>
                <w:sz w:val="20"/>
              </w:rPr>
            </w:pPr>
            <w:r>
              <w:rPr>
                <w:color w:val="FFFFFF"/>
                <w:sz w:val="20"/>
              </w:rPr>
              <w:t>Nature of Expense</w:t>
            </w:r>
          </w:p>
        </w:tc>
        <w:tc>
          <w:tcPr>
            <w:tcW w:w="2613" w:type="dxa"/>
            <w:tcBorders>
              <w:top w:val="single" w:sz="6" w:space="0" w:color="69BD28"/>
              <w:bottom w:val="single" w:sz="6" w:space="0" w:color="69BD28"/>
            </w:tcBorders>
            <w:shd w:val="clear" w:color="auto" w:fill="006A4D"/>
          </w:tcPr>
          <w:p>
            <w:pPr>
              <w:pStyle w:val="TableParagraph"/>
              <w:spacing w:before="28"/>
              <w:ind w:left="907"/>
              <w:jc w:val="left"/>
              <w:rPr>
                <w:sz w:val="20"/>
              </w:rPr>
            </w:pPr>
            <w:r>
              <w:rPr>
                <w:color w:val="FFFFFF"/>
                <w:sz w:val="20"/>
              </w:rPr>
              <w:t>Details</w:t>
            </w:r>
          </w:p>
        </w:tc>
        <w:tc>
          <w:tcPr>
            <w:tcW w:w="3826" w:type="dxa"/>
            <w:tcBorders>
              <w:top w:val="single" w:sz="6" w:space="0" w:color="69BD28"/>
              <w:bottom w:val="single" w:sz="6" w:space="0" w:color="69BD28"/>
            </w:tcBorders>
            <w:shd w:val="clear" w:color="auto" w:fill="006A4D"/>
          </w:tcPr>
          <w:p>
            <w:pPr>
              <w:pStyle w:val="TableParagraph"/>
              <w:spacing w:before="28"/>
              <w:ind w:left="1083" w:right="743"/>
              <w:rPr>
                <w:sz w:val="20"/>
              </w:rPr>
            </w:pPr>
            <w:r>
              <w:rPr>
                <w:color w:val="FFFFFF"/>
                <w:sz w:val="20"/>
              </w:rPr>
              <w:t>Basis</w:t>
            </w:r>
          </w:p>
        </w:tc>
      </w:tr>
      <w:tr>
        <w:trPr>
          <w:trHeight w:val="296" w:hRule="atLeast"/>
        </w:trPr>
        <w:tc>
          <w:tcPr>
            <w:tcW w:w="4045" w:type="dxa"/>
            <w:tcBorders>
              <w:top w:val="single" w:sz="6" w:space="0" w:color="69BD28"/>
              <w:bottom w:val="single" w:sz="6" w:space="0" w:color="69BD28"/>
            </w:tcBorders>
          </w:tcPr>
          <w:p>
            <w:pPr>
              <w:pStyle w:val="TableParagraph"/>
              <w:spacing w:before="46"/>
              <w:ind w:left="336" w:right="860"/>
              <w:rPr>
                <w:sz w:val="18"/>
              </w:rPr>
            </w:pPr>
            <w:r>
              <w:rPr>
                <w:sz w:val="18"/>
              </w:rPr>
              <w:t>Opex projects and admin expenses</w:t>
            </w:r>
          </w:p>
        </w:tc>
        <w:tc>
          <w:tcPr>
            <w:tcW w:w="2613" w:type="dxa"/>
            <w:tcBorders>
              <w:top w:val="single" w:sz="6" w:space="0" w:color="69BD28"/>
              <w:bottom w:val="single" w:sz="6" w:space="0" w:color="69BD28"/>
            </w:tcBorders>
          </w:tcPr>
          <w:p>
            <w:pPr>
              <w:pStyle w:val="TableParagraph"/>
              <w:spacing w:before="46"/>
              <w:ind w:left="1003"/>
              <w:jc w:val="left"/>
              <w:rPr>
                <w:sz w:val="18"/>
              </w:rPr>
            </w:pPr>
            <w:r>
              <w:rPr>
                <w:w w:val="110"/>
                <w:sz w:val="18"/>
              </w:rPr>
              <w:t>1.0%</w:t>
            </w:r>
          </w:p>
        </w:tc>
        <w:tc>
          <w:tcPr>
            <w:tcW w:w="3826" w:type="dxa"/>
            <w:tcBorders>
              <w:top w:val="single" w:sz="6" w:space="0" w:color="69BD28"/>
              <w:bottom w:val="single" w:sz="6" w:space="0" w:color="69BD28"/>
            </w:tcBorders>
          </w:tcPr>
          <w:p>
            <w:pPr>
              <w:pStyle w:val="TableParagraph"/>
              <w:spacing w:before="46"/>
              <w:ind w:left="1083" w:right="742"/>
              <w:rPr>
                <w:sz w:val="18"/>
              </w:rPr>
            </w:pPr>
            <w:r>
              <w:rPr>
                <w:sz w:val="18"/>
              </w:rPr>
              <w:t>% of total income</w:t>
            </w:r>
          </w:p>
        </w:tc>
      </w:tr>
      <w:tr>
        <w:trPr>
          <w:trHeight w:val="294" w:hRule="atLeast"/>
        </w:trPr>
        <w:tc>
          <w:tcPr>
            <w:tcW w:w="4045" w:type="dxa"/>
            <w:tcBorders>
              <w:top w:val="single" w:sz="6" w:space="0" w:color="69BD28"/>
              <w:bottom w:val="single" w:sz="6" w:space="0" w:color="69BD28"/>
            </w:tcBorders>
          </w:tcPr>
          <w:p>
            <w:pPr>
              <w:pStyle w:val="TableParagraph"/>
              <w:spacing w:before="44"/>
              <w:ind w:left="335" w:right="860"/>
              <w:rPr>
                <w:sz w:val="18"/>
              </w:rPr>
            </w:pPr>
            <w:r>
              <w:rPr>
                <w:w w:val="103"/>
                <w:sz w:val="18"/>
              </w:rPr>
              <w:t>A</w:t>
            </w:r>
            <w:r>
              <w:rPr>
                <w:spacing w:val="1"/>
                <w:w w:val="103"/>
                <w:sz w:val="18"/>
              </w:rPr>
              <w:t>s</w:t>
            </w:r>
            <w:r>
              <w:rPr>
                <w:w w:val="100"/>
                <w:sz w:val="18"/>
              </w:rPr>
              <w:t>s</w:t>
            </w:r>
            <w:r>
              <w:rPr>
                <w:w w:val="94"/>
                <w:sz w:val="18"/>
              </w:rPr>
              <w:t>e</w:t>
            </w:r>
            <w:r>
              <w:rPr>
                <w:w w:val="65"/>
                <w:sz w:val="18"/>
              </w:rPr>
              <w:t>t</w:t>
            </w:r>
            <w:r>
              <w:rPr>
                <w:spacing w:val="-3"/>
                <w:sz w:val="18"/>
              </w:rPr>
              <w:t> </w:t>
            </w:r>
            <w:r>
              <w:rPr>
                <w:w w:val="113"/>
                <w:sz w:val="18"/>
              </w:rPr>
              <w:t>M</w:t>
            </w:r>
            <w:r>
              <w:rPr>
                <w:spacing w:val="-2"/>
                <w:w w:val="113"/>
                <w:sz w:val="18"/>
              </w:rPr>
              <w:t>a</w:t>
            </w:r>
            <w:r>
              <w:rPr>
                <w:w w:val="101"/>
                <w:sz w:val="18"/>
              </w:rPr>
              <w:t>n</w:t>
            </w:r>
            <w:r>
              <w:rPr>
                <w:w w:val="108"/>
                <w:sz w:val="18"/>
              </w:rPr>
              <w:t>a</w:t>
            </w:r>
            <w:r>
              <w:rPr>
                <w:spacing w:val="-2"/>
                <w:w w:val="113"/>
                <w:sz w:val="18"/>
              </w:rPr>
              <w:t>g</w:t>
            </w:r>
            <w:r>
              <w:rPr>
                <w:w w:val="94"/>
                <w:sz w:val="18"/>
              </w:rPr>
              <w:t>e</w:t>
            </w:r>
            <w:r>
              <w:rPr>
                <w:w w:val="102"/>
                <w:sz w:val="18"/>
              </w:rPr>
              <w:t>m</w:t>
            </w:r>
            <w:r>
              <w:rPr>
                <w:spacing w:val="-2"/>
                <w:w w:val="94"/>
                <w:sz w:val="18"/>
              </w:rPr>
              <w:t>e</w:t>
            </w:r>
            <w:r>
              <w:rPr>
                <w:w w:val="101"/>
                <w:sz w:val="18"/>
              </w:rPr>
              <w:t>n</w:t>
            </w:r>
            <w:r>
              <w:rPr>
                <w:w w:val="65"/>
                <w:sz w:val="18"/>
              </w:rPr>
              <w:t>t</w:t>
            </w:r>
            <w:r>
              <w:rPr>
                <w:spacing w:val="-3"/>
                <w:sz w:val="18"/>
              </w:rPr>
              <w:t> </w:t>
            </w:r>
            <w:r>
              <w:rPr>
                <w:w w:val="95"/>
                <w:sz w:val="18"/>
              </w:rPr>
              <w:t>Fe</w:t>
            </w:r>
            <w:r>
              <w:rPr>
                <w:w w:val="94"/>
                <w:sz w:val="18"/>
              </w:rPr>
              <w:t>e</w:t>
            </w:r>
            <w:r>
              <w:rPr>
                <w:w w:val="190"/>
                <w:sz w:val="18"/>
              </w:rPr>
              <w:t>^</w:t>
            </w:r>
          </w:p>
        </w:tc>
        <w:tc>
          <w:tcPr>
            <w:tcW w:w="2613" w:type="dxa"/>
            <w:tcBorders>
              <w:top w:val="single" w:sz="6" w:space="0" w:color="69BD28"/>
              <w:bottom w:val="single" w:sz="6" w:space="0" w:color="69BD28"/>
            </w:tcBorders>
          </w:tcPr>
          <w:p>
            <w:pPr>
              <w:pStyle w:val="TableParagraph"/>
              <w:spacing w:before="44"/>
              <w:ind w:left="1003"/>
              <w:jc w:val="left"/>
              <w:rPr>
                <w:sz w:val="18"/>
              </w:rPr>
            </w:pPr>
            <w:r>
              <w:rPr>
                <w:w w:val="110"/>
                <w:sz w:val="18"/>
              </w:rPr>
              <w:t>3.0%</w:t>
            </w:r>
          </w:p>
        </w:tc>
        <w:tc>
          <w:tcPr>
            <w:tcW w:w="3826" w:type="dxa"/>
            <w:tcBorders>
              <w:top w:val="single" w:sz="6" w:space="0" w:color="69BD28"/>
              <w:bottom w:val="single" w:sz="6" w:space="0" w:color="69BD28"/>
            </w:tcBorders>
          </w:tcPr>
          <w:p>
            <w:pPr>
              <w:pStyle w:val="TableParagraph"/>
              <w:spacing w:before="44"/>
              <w:ind w:left="1083" w:right="743"/>
              <w:rPr>
                <w:sz w:val="18"/>
              </w:rPr>
            </w:pPr>
            <w:r>
              <w:rPr>
                <w:sz w:val="18"/>
              </w:rPr>
              <w:t>% of gross rental income</w:t>
            </w:r>
          </w:p>
        </w:tc>
      </w:tr>
      <w:tr>
        <w:trPr>
          <w:trHeight w:val="297" w:hRule="atLeast"/>
        </w:trPr>
        <w:tc>
          <w:tcPr>
            <w:tcW w:w="4045" w:type="dxa"/>
            <w:tcBorders>
              <w:top w:val="single" w:sz="6" w:space="0" w:color="69BD28"/>
              <w:bottom w:val="single" w:sz="6" w:space="0" w:color="69BD28"/>
            </w:tcBorders>
          </w:tcPr>
          <w:p>
            <w:pPr>
              <w:pStyle w:val="TableParagraph"/>
              <w:spacing w:before="46"/>
              <w:ind w:left="336" w:right="860"/>
              <w:rPr>
                <w:sz w:val="18"/>
              </w:rPr>
            </w:pPr>
            <w:r>
              <w:rPr>
                <w:sz w:val="18"/>
              </w:rPr>
              <w:t>Transaction cost on Exit</w:t>
            </w:r>
          </w:p>
        </w:tc>
        <w:tc>
          <w:tcPr>
            <w:tcW w:w="2613" w:type="dxa"/>
            <w:tcBorders>
              <w:top w:val="single" w:sz="6" w:space="0" w:color="69BD28"/>
              <w:bottom w:val="single" w:sz="6" w:space="0" w:color="69BD28"/>
            </w:tcBorders>
          </w:tcPr>
          <w:p>
            <w:pPr>
              <w:pStyle w:val="TableParagraph"/>
              <w:spacing w:before="46"/>
              <w:ind w:left="950"/>
              <w:jc w:val="left"/>
              <w:rPr>
                <w:sz w:val="18"/>
              </w:rPr>
            </w:pPr>
            <w:r>
              <w:rPr>
                <w:w w:val="110"/>
                <w:sz w:val="18"/>
              </w:rPr>
              <w:t>1.00%</w:t>
            </w:r>
          </w:p>
        </w:tc>
        <w:tc>
          <w:tcPr>
            <w:tcW w:w="3826" w:type="dxa"/>
            <w:tcBorders>
              <w:top w:val="single" w:sz="6" w:space="0" w:color="69BD28"/>
              <w:bottom w:val="single" w:sz="6" w:space="0" w:color="69BD28"/>
            </w:tcBorders>
          </w:tcPr>
          <w:p>
            <w:pPr>
              <w:pStyle w:val="TableParagraph"/>
              <w:spacing w:before="46"/>
              <w:ind w:left="1083" w:right="742"/>
              <w:rPr>
                <w:sz w:val="18"/>
              </w:rPr>
            </w:pPr>
            <w:r>
              <w:rPr>
                <w:sz w:val="18"/>
              </w:rPr>
              <w:t>% of terminal value</w:t>
            </w:r>
          </w:p>
        </w:tc>
      </w:tr>
    </w:tbl>
    <w:p>
      <w:pPr>
        <w:spacing w:before="116"/>
        <w:ind w:left="260" w:right="0" w:firstLine="0"/>
        <w:jc w:val="left"/>
        <w:rPr>
          <w:i/>
          <w:sz w:val="18"/>
        </w:rPr>
      </w:pPr>
      <w:r>
        <w:rPr>
          <w:i/>
          <w:sz w:val="18"/>
        </w:rPr>
        <w:t>Source: Client Input/ Valuer assessment, </w:t>
      </w:r>
      <w:r>
        <w:rPr>
          <w:i/>
          <w:w w:val="160"/>
          <w:sz w:val="18"/>
        </w:rPr>
        <w:t>^ </w:t>
      </w:r>
      <w:r>
        <w:rPr>
          <w:i/>
          <w:sz w:val="18"/>
        </w:rPr>
        <w:t>Asset Management fee has been considered a below the NOI line item</w:t>
      </w:r>
    </w:p>
    <w:p>
      <w:pPr>
        <w:pStyle w:val="BodyText"/>
        <w:rPr>
          <w:i/>
          <w:sz w:val="27"/>
        </w:rPr>
      </w:pPr>
    </w:p>
    <w:p>
      <w:pPr>
        <w:pStyle w:val="ListParagraph"/>
        <w:numPr>
          <w:ilvl w:val="2"/>
          <w:numId w:val="14"/>
        </w:numPr>
        <w:tabs>
          <w:tab w:pos="981" w:val="left" w:leader="none"/>
        </w:tabs>
        <w:spacing w:line="240" w:lineRule="auto" w:before="0" w:after="0"/>
        <w:ind w:left="980" w:right="0" w:hanging="721"/>
        <w:jc w:val="both"/>
        <w:rPr>
          <w:sz w:val="22"/>
        </w:rPr>
      </w:pPr>
      <w:bookmarkStart w:name="_bookmark208" w:id="406"/>
      <w:bookmarkEnd w:id="406"/>
      <w:r>
        <w:rPr/>
      </w:r>
      <w:bookmarkStart w:name="_bookmark208" w:id="407"/>
      <w:bookmarkEnd w:id="407"/>
      <w:r>
        <w:rPr>
          <w:color w:val="1F664D"/>
          <w:w w:val="105"/>
          <w:sz w:val="22"/>
        </w:rPr>
        <w:t>O</w:t>
      </w:r>
      <w:r>
        <w:rPr>
          <w:color w:val="1F664D"/>
          <w:w w:val="105"/>
          <w:sz w:val="22"/>
        </w:rPr>
        <w:t>ther</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60"/>
        </w:numPr>
        <w:tabs>
          <w:tab w:pos="1125" w:val="left" w:leader="none"/>
        </w:tabs>
        <w:spacing w:line="240" w:lineRule="auto" w:before="0" w:after="0"/>
        <w:ind w:left="1124" w:right="0" w:hanging="865"/>
        <w:jc w:val="both"/>
        <w:rPr>
          <w:i/>
          <w:sz w:val="20"/>
        </w:rPr>
      </w:pPr>
      <w:r>
        <w:rPr>
          <w:i/>
          <w:color w:val="008000"/>
          <w:sz w:val="20"/>
        </w:rPr>
        <w:t>Vacancy</w:t>
      </w:r>
      <w:r>
        <w:rPr>
          <w:i/>
          <w:color w:val="008000"/>
          <w:spacing w:val="-4"/>
          <w:sz w:val="20"/>
        </w:rPr>
        <w:t> </w:t>
      </w:r>
      <w:r>
        <w:rPr>
          <w:i/>
          <w:color w:val="008000"/>
          <w:sz w:val="20"/>
        </w:rPr>
        <w:t>provision</w:t>
      </w:r>
    </w:p>
    <w:p>
      <w:pPr>
        <w:pStyle w:val="BodyText"/>
        <w:spacing w:line="321" w:lineRule="auto" w:before="76"/>
        <w:ind w:left="800" w:right="236"/>
        <w:jc w:val="both"/>
      </w:pPr>
      <w:r>
        <w:rPr/>
        <w:t>Based</w:t>
      </w:r>
      <w:r>
        <w:rPr>
          <w:spacing w:val="-30"/>
        </w:rPr>
        <w:t> </w:t>
      </w:r>
      <w:r>
        <w:rPr/>
        <w:t>on</w:t>
      </w:r>
      <w:r>
        <w:rPr>
          <w:spacing w:val="-28"/>
        </w:rPr>
        <w:t> </w:t>
      </w:r>
      <w:r>
        <w:rPr/>
        <w:t>the</w:t>
      </w:r>
      <w:r>
        <w:rPr>
          <w:spacing w:val="-30"/>
        </w:rPr>
        <w:t> </w:t>
      </w:r>
      <w:r>
        <w:rPr/>
        <w:t>prevailing</w:t>
      </w:r>
      <w:r>
        <w:rPr>
          <w:spacing w:val="-28"/>
        </w:rPr>
        <w:t> </w:t>
      </w:r>
      <w:r>
        <w:rPr/>
        <w:t>market</w:t>
      </w:r>
      <w:r>
        <w:rPr>
          <w:spacing w:val="-27"/>
        </w:rPr>
        <w:t> </w:t>
      </w:r>
      <w:r>
        <w:rPr/>
        <w:t>benchmarks</w:t>
      </w:r>
      <w:r>
        <w:rPr>
          <w:spacing w:val="-28"/>
        </w:rPr>
        <w:t> </w:t>
      </w:r>
      <w:r>
        <w:rPr/>
        <w:t>and</w:t>
      </w:r>
      <w:r>
        <w:rPr>
          <w:spacing w:val="-29"/>
        </w:rPr>
        <w:t> </w:t>
      </w:r>
      <w:r>
        <w:rPr/>
        <w:t>the</w:t>
      </w:r>
      <w:r>
        <w:rPr>
          <w:spacing w:val="-29"/>
        </w:rPr>
        <w:t> </w:t>
      </w:r>
      <w:r>
        <w:rPr/>
        <w:t>subject</w:t>
      </w:r>
      <w:r>
        <w:rPr>
          <w:spacing w:val="-27"/>
        </w:rPr>
        <w:t> </w:t>
      </w:r>
      <w:r>
        <w:rPr/>
        <w:t>property</w:t>
      </w:r>
      <w:r>
        <w:rPr>
          <w:spacing w:val="-28"/>
        </w:rPr>
        <w:t> </w:t>
      </w:r>
      <w:r>
        <w:rPr/>
        <w:t>profile</w:t>
      </w:r>
      <w:r>
        <w:rPr>
          <w:spacing w:val="-29"/>
        </w:rPr>
        <w:t> </w:t>
      </w:r>
      <w:r>
        <w:rPr/>
        <w:t>a</w:t>
      </w:r>
      <w:r>
        <w:rPr>
          <w:spacing w:val="-29"/>
        </w:rPr>
        <w:t> </w:t>
      </w:r>
      <w:r>
        <w:rPr/>
        <w:t>vacancy</w:t>
      </w:r>
      <w:r>
        <w:rPr>
          <w:spacing w:val="-27"/>
        </w:rPr>
        <w:t> </w:t>
      </w:r>
      <w:r>
        <w:rPr/>
        <w:t>provision</w:t>
      </w:r>
      <w:r>
        <w:rPr>
          <w:spacing w:val="-29"/>
        </w:rPr>
        <w:t> </w:t>
      </w:r>
      <w:r>
        <w:rPr/>
        <w:t>of</w:t>
      </w:r>
      <w:r>
        <w:rPr>
          <w:spacing w:val="-29"/>
        </w:rPr>
        <w:t> </w:t>
      </w:r>
      <w:r>
        <w:rPr/>
        <w:t>2.5% has been adopted upon assessment of terminal</w:t>
      </w:r>
      <w:r>
        <w:rPr>
          <w:spacing w:val="-25"/>
        </w:rPr>
        <w:t> </w:t>
      </w:r>
      <w:r>
        <w:rPr/>
        <w:t>value</w:t>
      </w:r>
    </w:p>
    <w:p>
      <w:pPr>
        <w:pStyle w:val="BodyText"/>
        <w:spacing w:before="1"/>
        <w:rPr>
          <w:sz w:val="23"/>
        </w:rPr>
      </w:pPr>
    </w:p>
    <w:p>
      <w:pPr>
        <w:pStyle w:val="ListParagraph"/>
        <w:numPr>
          <w:ilvl w:val="3"/>
          <w:numId w:val="60"/>
        </w:numPr>
        <w:tabs>
          <w:tab w:pos="1125" w:val="left" w:leader="none"/>
        </w:tabs>
        <w:spacing w:line="240" w:lineRule="auto" w:before="0" w:after="0"/>
        <w:ind w:left="1124" w:right="0" w:hanging="865"/>
        <w:jc w:val="both"/>
        <w:rPr>
          <w:i/>
          <w:sz w:val="20"/>
        </w:rPr>
      </w:pPr>
      <w:r>
        <w:rPr>
          <w:i/>
          <w:color w:val="008000"/>
          <w:sz w:val="20"/>
        </w:rPr>
        <w:t>Revenue</w:t>
      </w:r>
      <w:r>
        <w:rPr>
          <w:i/>
          <w:color w:val="008000"/>
          <w:spacing w:val="-4"/>
          <w:sz w:val="20"/>
        </w:rPr>
        <w:t> </w:t>
      </w:r>
      <w:r>
        <w:rPr>
          <w:i/>
          <w:color w:val="008000"/>
          <w:sz w:val="20"/>
        </w:rPr>
        <w:t>escalation</w:t>
      </w:r>
    </w:p>
    <w:p>
      <w:pPr>
        <w:pStyle w:val="BodyText"/>
        <w:spacing w:line="321" w:lineRule="auto" w:before="76"/>
        <w:ind w:left="800" w:right="239"/>
        <w:jc w:val="both"/>
      </w:pPr>
      <w:r>
        <w:rPr/>
        <w:t>Based</w:t>
      </w:r>
      <w:r>
        <w:rPr>
          <w:spacing w:val="-17"/>
        </w:rPr>
        <w:t> </w:t>
      </w:r>
      <w:r>
        <w:rPr/>
        <w:t>on</w:t>
      </w:r>
      <w:r>
        <w:rPr>
          <w:spacing w:val="-15"/>
        </w:rPr>
        <w:t> </w:t>
      </w:r>
      <w:r>
        <w:rPr/>
        <w:t>prevailing</w:t>
      </w:r>
      <w:r>
        <w:rPr>
          <w:spacing w:val="-14"/>
        </w:rPr>
        <w:t> </w:t>
      </w:r>
      <w:r>
        <w:rPr/>
        <w:t>market</w:t>
      </w:r>
      <w:r>
        <w:rPr>
          <w:spacing w:val="-16"/>
        </w:rPr>
        <w:t> </w:t>
      </w:r>
      <w:r>
        <w:rPr/>
        <w:t>condition,</w:t>
      </w:r>
      <w:r>
        <w:rPr>
          <w:spacing w:val="-16"/>
        </w:rPr>
        <w:t> </w:t>
      </w:r>
      <w:r>
        <w:rPr/>
        <w:t>historical</w:t>
      </w:r>
      <w:r>
        <w:rPr>
          <w:spacing w:val="-16"/>
        </w:rPr>
        <w:t> </w:t>
      </w:r>
      <w:r>
        <w:rPr/>
        <w:t>rent</w:t>
      </w:r>
      <w:r>
        <w:rPr>
          <w:spacing w:val="-16"/>
        </w:rPr>
        <w:t> </w:t>
      </w:r>
      <w:r>
        <w:rPr/>
        <w:t>growth</w:t>
      </w:r>
      <w:r>
        <w:rPr>
          <w:spacing w:val="-15"/>
        </w:rPr>
        <w:t> </w:t>
      </w:r>
      <w:r>
        <w:rPr/>
        <w:t>achieved</w:t>
      </w:r>
      <w:r>
        <w:rPr>
          <w:spacing w:val="-17"/>
        </w:rPr>
        <w:t> </w:t>
      </w:r>
      <w:r>
        <w:rPr/>
        <w:t>by</w:t>
      </w:r>
      <w:r>
        <w:rPr>
          <w:spacing w:val="-16"/>
        </w:rPr>
        <w:t> </w:t>
      </w:r>
      <w:r>
        <w:rPr/>
        <w:t>the</w:t>
      </w:r>
      <w:r>
        <w:rPr>
          <w:spacing w:val="-16"/>
        </w:rPr>
        <w:t> </w:t>
      </w:r>
      <w:r>
        <w:rPr/>
        <w:t>subject</w:t>
      </w:r>
      <w:r>
        <w:rPr>
          <w:spacing w:val="-17"/>
        </w:rPr>
        <w:t> </w:t>
      </w:r>
      <w:r>
        <w:rPr/>
        <w:t>property</w:t>
      </w:r>
      <w:r>
        <w:rPr>
          <w:spacing w:val="-16"/>
        </w:rPr>
        <w:t> </w:t>
      </w:r>
      <w:r>
        <w:rPr/>
        <w:t>and</w:t>
      </w:r>
      <w:r>
        <w:rPr>
          <w:spacing w:val="-17"/>
        </w:rPr>
        <w:t> </w:t>
      </w:r>
      <w:r>
        <w:rPr/>
        <w:t>our interactions</w:t>
      </w:r>
      <w:r>
        <w:rPr>
          <w:spacing w:val="-26"/>
        </w:rPr>
        <w:t> </w:t>
      </w:r>
      <w:r>
        <w:rPr/>
        <w:t>with</w:t>
      </w:r>
      <w:r>
        <w:rPr>
          <w:spacing w:val="-27"/>
        </w:rPr>
        <w:t> </w:t>
      </w:r>
      <w:r>
        <w:rPr/>
        <w:t>market</w:t>
      </w:r>
      <w:r>
        <w:rPr>
          <w:spacing w:val="-24"/>
        </w:rPr>
        <w:t> </w:t>
      </w:r>
      <w:r>
        <w:rPr/>
        <w:t>participants,</w:t>
      </w:r>
      <w:r>
        <w:rPr>
          <w:spacing w:val="-27"/>
        </w:rPr>
        <w:t> </w:t>
      </w:r>
      <w:r>
        <w:rPr/>
        <w:t>we</w:t>
      </w:r>
      <w:r>
        <w:rPr>
          <w:spacing w:val="-26"/>
        </w:rPr>
        <w:t> </w:t>
      </w:r>
      <w:r>
        <w:rPr/>
        <w:t>are</w:t>
      </w:r>
      <w:r>
        <w:rPr>
          <w:spacing w:val="-27"/>
        </w:rPr>
        <w:t> </w:t>
      </w:r>
      <w:r>
        <w:rPr/>
        <w:t>of</w:t>
      </w:r>
      <w:r>
        <w:rPr>
          <w:spacing w:val="-26"/>
        </w:rPr>
        <w:t> </w:t>
      </w:r>
      <w:r>
        <w:rPr/>
        <w:t>the</w:t>
      </w:r>
      <w:r>
        <w:rPr>
          <w:spacing w:val="-26"/>
        </w:rPr>
        <w:t> </w:t>
      </w:r>
      <w:r>
        <w:rPr/>
        <w:t>opinion</w:t>
      </w:r>
      <w:r>
        <w:rPr>
          <w:spacing w:val="-27"/>
        </w:rPr>
        <w:t> </w:t>
      </w:r>
      <w:r>
        <w:rPr/>
        <w:t>that</w:t>
      </w:r>
      <w:r>
        <w:rPr>
          <w:spacing w:val="-24"/>
        </w:rPr>
        <w:t> </w:t>
      </w:r>
      <w:r>
        <w:rPr/>
        <w:t>the</w:t>
      </w:r>
      <w:r>
        <w:rPr>
          <w:spacing w:val="-24"/>
        </w:rPr>
        <w:t> </w:t>
      </w:r>
      <w:r>
        <w:rPr/>
        <w:t>annual</w:t>
      </w:r>
      <w:r>
        <w:rPr>
          <w:spacing w:val="-27"/>
        </w:rPr>
        <w:t> </w:t>
      </w:r>
      <w:r>
        <w:rPr/>
        <w:t>rent</w:t>
      </w:r>
      <w:r>
        <w:rPr>
          <w:spacing w:val="-26"/>
        </w:rPr>
        <w:t> </w:t>
      </w:r>
      <w:r>
        <w:rPr/>
        <w:t>growth</w:t>
      </w:r>
      <w:r>
        <w:rPr>
          <w:spacing w:val="-26"/>
        </w:rPr>
        <w:t> </w:t>
      </w:r>
      <w:r>
        <w:rPr/>
        <w:t>for</w:t>
      </w:r>
      <w:r>
        <w:rPr>
          <w:spacing w:val="-26"/>
        </w:rPr>
        <w:t> </w:t>
      </w:r>
      <w:r>
        <w:rPr/>
        <w:t>the</w:t>
      </w:r>
      <w:r>
        <w:rPr>
          <w:spacing w:val="-27"/>
        </w:rPr>
        <w:t> </w:t>
      </w:r>
      <w:r>
        <w:rPr/>
        <w:t>subject property will be 5.0% from Q4, FY 2021</w:t>
      </w:r>
      <w:r>
        <w:rPr>
          <w:spacing w:val="-17"/>
        </w:rPr>
        <w:t> </w:t>
      </w:r>
      <w:r>
        <w:rPr/>
        <w:t>onwards</w:t>
      </w:r>
    </w:p>
    <w:p>
      <w:pPr>
        <w:pStyle w:val="BodyText"/>
        <w:spacing w:before="5"/>
        <w:rPr>
          <w:sz w:val="23"/>
        </w:rPr>
      </w:pPr>
    </w:p>
    <w:p>
      <w:pPr>
        <w:pStyle w:val="ListParagraph"/>
        <w:numPr>
          <w:ilvl w:val="3"/>
          <w:numId w:val="60"/>
        </w:numPr>
        <w:tabs>
          <w:tab w:pos="1125" w:val="left" w:leader="none"/>
        </w:tabs>
        <w:spacing w:line="240" w:lineRule="auto" w:before="0" w:after="0"/>
        <w:ind w:left="1124" w:right="0" w:hanging="865"/>
        <w:jc w:val="both"/>
        <w:rPr>
          <w:i/>
          <w:sz w:val="20"/>
        </w:rPr>
      </w:pPr>
      <w:r>
        <w:rPr>
          <w:i/>
          <w:color w:val="008000"/>
          <w:sz w:val="20"/>
        </w:rPr>
        <w:t>Rent </w:t>
      </w:r>
      <w:r>
        <w:rPr>
          <w:i/>
          <w:color w:val="008000"/>
          <w:w w:val="105"/>
          <w:sz w:val="20"/>
        </w:rPr>
        <w:t>– </w:t>
      </w:r>
      <w:r>
        <w:rPr>
          <w:i/>
          <w:color w:val="008000"/>
          <w:sz w:val="20"/>
        </w:rPr>
        <w:t>free</w:t>
      </w:r>
      <w:r>
        <w:rPr>
          <w:i/>
          <w:color w:val="008000"/>
          <w:spacing w:val="-13"/>
          <w:sz w:val="20"/>
        </w:rPr>
        <w:t> </w:t>
      </w:r>
      <w:r>
        <w:rPr>
          <w:i/>
          <w:color w:val="008000"/>
          <w:sz w:val="20"/>
        </w:rPr>
        <w:t>period</w:t>
      </w:r>
    </w:p>
    <w:p>
      <w:pPr>
        <w:pStyle w:val="BodyText"/>
        <w:spacing w:line="321" w:lineRule="auto" w:before="76"/>
        <w:ind w:left="800" w:right="237"/>
        <w:jc w:val="both"/>
      </w:pPr>
      <w:r>
        <w:rPr/>
        <w:t>Based</w:t>
      </w:r>
      <w:r>
        <w:rPr>
          <w:spacing w:val="-19"/>
        </w:rPr>
        <w:t> </w:t>
      </w:r>
      <w:r>
        <w:rPr/>
        <w:t>on</w:t>
      </w:r>
      <w:r>
        <w:rPr>
          <w:spacing w:val="-17"/>
        </w:rPr>
        <w:t> </w:t>
      </w:r>
      <w:r>
        <w:rPr/>
        <w:t>the</w:t>
      </w:r>
      <w:r>
        <w:rPr>
          <w:spacing w:val="-19"/>
        </w:rPr>
        <w:t> </w:t>
      </w:r>
      <w:r>
        <w:rPr/>
        <w:t>trend</w:t>
      </w:r>
      <w:r>
        <w:rPr>
          <w:spacing w:val="-18"/>
        </w:rPr>
        <w:t> </w:t>
      </w:r>
      <w:r>
        <w:rPr/>
        <w:t>prevalent</w:t>
      </w:r>
      <w:r>
        <w:rPr>
          <w:spacing w:val="-17"/>
        </w:rPr>
        <w:t> </w:t>
      </w:r>
      <w:r>
        <w:rPr/>
        <w:t>in</w:t>
      </w:r>
      <w:r>
        <w:rPr>
          <w:spacing w:val="-17"/>
        </w:rPr>
        <w:t> </w:t>
      </w:r>
      <w:r>
        <w:rPr/>
        <w:t>the</w:t>
      </w:r>
      <w:r>
        <w:rPr>
          <w:spacing w:val="-19"/>
        </w:rPr>
        <w:t> </w:t>
      </w:r>
      <w:r>
        <w:rPr/>
        <w:t>subject</w:t>
      </w:r>
      <w:r>
        <w:rPr>
          <w:spacing w:val="-16"/>
        </w:rPr>
        <w:t> </w:t>
      </w:r>
      <w:r>
        <w:rPr/>
        <w:t>micro</w:t>
      </w:r>
      <w:r>
        <w:rPr>
          <w:spacing w:val="-16"/>
        </w:rPr>
        <w:t> </w:t>
      </w:r>
      <w:r>
        <w:rPr>
          <w:w w:val="105"/>
        </w:rPr>
        <w:t>–</w:t>
      </w:r>
      <w:r>
        <w:rPr>
          <w:spacing w:val="-21"/>
          <w:w w:val="105"/>
        </w:rPr>
        <w:t> </w:t>
      </w:r>
      <w:r>
        <w:rPr/>
        <w:t>market,</w:t>
      </w:r>
      <w:r>
        <w:rPr>
          <w:spacing w:val="-16"/>
        </w:rPr>
        <w:t> </w:t>
      </w:r>
      <w:r>
        <w:rPr/>
        <w:t>we</w:t>
      </w:r>
      <w:r>
        <w:rPr>
          <w:spacing w:val="-19"/>
        </w:rPr>
        <w:t> </w:t>
      </w:r>
      <w:r>
        <w:rPr/>
        <w:t>have</w:t>
      </w:r>
      <w:r>
        <w:rPr>
          <w:spacing w:val="-18"/>
        </w:rPr>
        <w:t> </w:t>
      </w:r>
      <w:r>
        <w:rPr/>
        <w:t>considered</w:t>
      </w:r>
      <w:r>
        <w:rPr>
          <w:spacing w:val="-16"/>
        </w:rPr>
        <w:t> </w:t>
      </w:r>
      <w:r>
        <w:rPr/>
        <w:t>a</w:t>
      </w:r>
      <w:r>
        <w:rPr>
          <w:spacing w:val="-17"/>
        </w:rPr>
        <w:t> </w:t>
      </w:r>
      <w:r>
        <w:rPr/>
        <w:t>rent</w:t>
      </w:r>
      <w:r>
        <w:rPr>
          <w:spacing w:val="-19"/>
        </w:rPr>
        <w:t> </w:t>
      </w:r>
      <w:r>
        <w:rPr/>
        <w:t>free</w:t>
      </w:r>
      <w:r>
        <w:rPr>
          <w:spacing w:val="-19"/>
        </w:rPr>
        <w:t> </w:t>
      </w:r>
      <w:r>
        <w:rPr/>
        <w:t>period</w:t>
      </w:r>
      <w:r>
        <w:rPr>
          <w:spacing w:val="-18"/>
        </w:rPr>
        <w:t> </w:t>
      </w:r>
      <w:r>
        <w:rPr/>
        <w:t>of</w:t>
      </w:r>
      <w:r>
        <w:rPr>
          <w:spacing w:val="-16"/>
        </w:rPr>
        <w:t> </w:t>
      </w:r>
      <w:r>
        <w:rPr/>
        <w:t>3 months</w:t>
      </w:r>
      <w:r>
        <w:rPr>
          <w:spacing w:val="-18"/>
        </w:rPr>
        <w:t> </w:t>
      </w:r>
      <w:r>
        <w:rPr/>
        <w:t>for</w:t>
      </w:r>
      <w:r>
        <w:rPr>
          <w:spacing w:val="-19"/>
        </w:rPr>
        <w:t> </w:t>
      </w:r>
      <w:r>
        <w:rPr/>
        <w:t>the</w:t>
      </w:r>
      <w:r>
        <w:rPr>
          <w:spacing w:val="-21"/>
        </w:rPr>
        <w:t> </w:t>
      </w:r>
      <w:r>
        <w:rPr/>
        <w:t>subject</w:t>
      </w:r>
      <w:r>
        <w:rPr>
          <w:spacing w:val="-18"/>
        </w:rPr>
        <w:t> </w:t>
      </w:r>
      <w:r>
        <w:rPr/>
        <w:t>property</w:t>
      </w:r>
      <w:r>
        <w:rPr>
          <w:spacing w:val="-19"/>
        </w:rPr>
        <w:t> </w:t>
      </w:r>
      <w:r>
        <w:rPr/>
        <w:t>from</w:t>
      </w:r>
      <w:r>
        <w:rPr>
          <w:spacing w:val="-18"/>
        </w:rPr>
        <w:t> </w:t>
      </w:r>
      <w:r>
        <w:rPr/>
        <w:t>the</w:t>
      </w:r>
      <w:r>
        <w:rPr>
          <w:spacing w:val="-19"/>
        </w:rPr>
        <w:t> </w:t>
      </w:r>
      <w:r>
        <w:rPr/>
        <w:t>lease</w:t>
      </w:r>
      <w:r>
        <w:rPr>
          <w:spacing w:val="-18"/>
        </w:rPr>
        <w:t> </w:t>
      </w:r>
      <w:r>
        <w:rPr/>
        <w:t>commencement</w:t>
      </w:r>
      <w:r>
        <w:rPr>
          <w:spacing w:val="-19"/>
        </w:rPr>
        <w:t> </w:t>
      </w:r>
      <w:r>
        <w:rPr/>
        <w:t>date</w:t>
      </w:r>
      <w:r>
        <w:rPr>
          <w:spacing w:val="-18"/>
        </w:rPr>
        <w:t> </w:t>
      </w:r>
      <w:r>
        <w:rPr/>
        <w:t>(for</w:t>
      </w:r>
      <w:r>
        <w:rPr>
          <w:spacing w:val="-18"/>
        </w:rPr>
        <w:t> </w:t>
      </w:r>
      <w:r>
        <w:rPr/>
        <w:t>future</w:t>
      </w:r>
      <w:r>
        <w:rPr>
          <w:spacing w:val="-19"/>
        </w:rPr>
        <w:t> </w:t>
      </w:r>
      <w:r>
        <w:rPr/>
        <w:t>/</w:t>
      </w:r>
      <w:r>
        <w:rPr>
          <w:spacing w:val="-19"/>
        </w:rPr>
        <w:t> </w:t>
      </w:r>
      <w:r>
        <w:rPr/>
        <w:t>new</w:t>
      </w:r>
      <w:r>
        <w:rPr>
          <w:spacing w:val="-17"/>
        </w:rPr>
        <w:t> </w:t>
      </w:r>
      <w:r>
        <w:rPr/>
        <w:t>leases)</w:t>
      </w:r>
    </w:p>
    <w:p>
      <w:pPr>
        <w:pStyle w:val="BodyText"/>
        <w:spacing w:before="3"/>
        <w:rPr>
          <w:sz w:val="23"/>
        </w:rPr>
      </w:pPr>
    </w:p>
    <w:p>
      <w:pPr>
        <w:pStyle w:val="ListParagraph"/>
        <w:numPr>
          <w:ilvl w:val="3"/>
          <w:numId w:val="60"/>
        </w:numPr>
        <w:tabs>
          <w:tab w:pos="1125" w:val="left" w:leader="none"/>
        </w:tabs>
        <w:spacing w:line="240" w:lineRule="auto" w:before="0" w:after="0"/>
        <w:ind w:left="1124" w:right="0" w:hanging="865"/>
        <w:jc w:val="both"/>
        <w:rPr>
          <w:i/>
          <w:sz w:val="20"/>
        </w:rPr>
      </w:pPr>
      <w:r>
        <w:rPr>
          <w:i/>
          <w:color w:val="008000"/>
          <w:sz w:val="20"/>
        </w:rPr>
        <w:t>Brokerage</w:t>
      </w:r>
    </w:p>
    <w:p>
      <w:pPr>
        <w:pStyle w:val="BodyText"/>
        <w:spacing w:line="321" w:lineRule="auto" w:before="76"/>
        <w:ind w:left="800" w:right="233"/>
        <w:jc w:val="both"/>
      </w:pPr>
      <w:r>
        <w:rPr/>
        <w:t>Based</w:t>
      </w:r>
      <w:r>
        <w:rPr>
          <w:spacing w:val="-4"/>
        </w:rPr>
        <w:t> </w:t>
      </w:r>
      <w:r>
        <w:rPr/>
        <w:t>on</w:t>
      </w:r>
      <w:r>
        <w:rPr>
          <w:spacing w:val="-5"/>
        </w:rPr>
        <w:t> </w:t>
      </w:r>
      <w:r>
        <w:rPr/>
        <w:t>prevalent</w:t>
      </w:r>
      <w:r>
        <w:rPr>
          <w:spacing w:val="-4"/>
        </w:rPr>
        <w:t> </w:t>
      </w:r>
      <w:r>
        <w:rPr/>
        <w:t>market</w:t>
      </w:r>
      <w:r>
        <w:rPr>
          <w:spacing w:val="-5"/>
        </w:rPr>
        <w:t> </w:t>
      </w:r>
      <w:r>
        <w:rPr/>
        <w:t>dynamics,</w:t>
      </w:r>
      <w:r>
        <w:rPr>
          <w:spacing w:val="-6"/>
        </w:rPr>
        <w:t> </w:t>
      </w:r>
      <w:r>
        <w:rPr/>
        <w:t>we</w:t>
      </w:r>
      <w:r>
        <w:rPr>
          <w:spacing w:val="-5"/>
        </w:rPr>
        <w:t> </w:t>
      </w:r>
      <w:r>
        <w:rPr/>
        <w:t>have</w:t>
      </w:r>
      <w:r>
        <w:rPr>
          <w:spacing w:val="-5"/>
        </w:rPr>
        <w:t> </w:t>
      </w:r>
      <w:r>
        <w:rPr/>
        <w:t>considered</w:t>
      </w:r>
      <w:r>
        <w:rPr>
          <w:spacing w:val="-4"/>
        </w:rPr>
        <w:t> </w:t>
      </w:r>
      <w:r>
        <w:rPr/>
        <w:t>brokerage</w:t>
      </w:r>
      <w:r>
        <w:rPr>
          <w:spacing w:val="-5"/>
        </w:rPr>
        <w:t> </w:t>
      </w:r>
      <w:r>
        <w:rPr/>
        <w:t>equivalent</w:t>
      </w:r>
      <w:r>
        <w:rPr>
          <w:spacing w:val="-4"/>
        </w:rPr>
        <w:t> </w:t>
      </w:r>
      <w:r>
        <w:rPr/>
        <w:t>to</w:t>
      </w:r>
      <w:r>
        <w:rPr>
          <w:spacing w:val="-1"/>
        </w:rPr>
        <w:t> </w:t>
      </w:r>
      <w:r>
        <w:rPr/>
        <w:t>2</w:t>
      </w:r>
      <w:r>
        <w:rPr>
          <w:spacing w:val="-5"/>
        </w:rPr>
        <w:t> </w:t>
      </w:r>
      <w:r>
        <w:rPr/>
        <w:t>month</w:t>
      </w:r>
      <w:r>
        <w:rPr>
          <w:spacing w:val="-5"/>
        </w:rPr>
        <w:t> </w:t>
      </w:r>
      <w:r>
        <w:rPr/>
        <w:t>of</w:t>
      </w:r>
      <w:r>
        <w:rPr>
          <w:spacing w:val="-3"/>
        </w:rPr>
        <w:t> </w:t>
      </w:r>
      <w:r>
        <w:rPr/>
        <w:t>rental income for future / new</w:t>
      </w:r>
      <w:r>
        <w:rPr>
          <w:spacing w:val="-18"/>
        </w:rPr>
        <w:t> </w:t>
      </w:r>
      <w:r>
        <w:rPr/>
        <w:t>leases</w:t>
      </w:r>
    </w:p>
    <w:p>
      <w:pPr>
        <w:pStyle w:val="BodyText"/>
        <w:spacing w:before="7"/>
        <w:rPr>
          <w:sz w:val="20"/>
        </w:rPr>
      </w:pPr>
    </w:p>
    <w:p>
      <w:pPr>
        <w:pStyle w:val="ListParagraph"/>
        <w:numPr>
          <w:ilvl w:val="2"/>
          <w:numId w:val="14"/>
        </w:numPr>
        <w:tabs>
          <w:tab w:pos="981" w:val="left" w:leader="none"/>
        </w:tabs>
        <w:spacing w:line="240" w:lineRule="auto" w:before="0" w:after="0"/>
        <w:ind w:left="980" w:right="0" w:hanging="721"/>
        <w:jc w:val="both"/>
        <w:rPr>
          <w:sz w:val="22"/>
        </w:rPr>
      </w:pPr>
      <w:bookmarkStart w:name="_bookmark209" w:id="408"/>
      <w:bookmarkEnd w:id="408"/>
      <w:r>
        <w:rPr/>
      </w:r>
      <w:bookmarkStart w:name="_bookmark209" w:id="409"/>
      <w:bookmarkEnd w:id="409"/>
      <w:r>
        <w:rPr>
          <w:color w:val="1F664D"/>
          <w:sz w:val="22"/>
        </w:rPr>
        <w:t>Ca</w:t>
      </w:r>
      <w:r>
        <w:rPr>
          <w:color w:val="1F664D"/>
          <w:sz w:val="22"/>
        </w:rPr>
        <w:t>pitalization</w:t>
      </w:r>
      <w:r>
        <w:rPr>
          <w:color w:val="1F664D"/>
          <w:spacing w:val="-2"/>
          <w:sz w:val="22"/>
        </w:rPr>
        <w:t> </w:t>
      </w:r>
      <w:r>
        <w:rPr>
          <w:color w:val="1F664D"/>
          <w:sz w:val="22"/>
        </w:rPr>
        <w:t>Rates</w:t>
      </w:r>
    </w:p>
    <w:p>
      <w:pPr>
        <w:pStyle w:val="BodyText"/>
        <w:spacing w:before="208"/>
        <w:ind w:left="891"/>
        <w:jc w:val="both"/>
      </w:pPr>
      <w:r>
        <w:rPr/>
        <w:t>As highlighted in section 3.3, the cap rate adopted for the office space is 8.25%.</w:t>
      </w:r>
    </w:p>
    <w:p>
      <w:pPr>
        <w:spacing w:after="0"/>
        <w:jc w:val="both"/>
        <w:sectPr>
          <w:pgSz w:w="11910" w:h="16840"/>
          <w:pgMar w:header="720" w:footer="921" w:top="1660" w:bottom="1120" w:left="460" w:right="480"/>
        </w:sectPr>
      </w:pPr>
    </w:p>
    <w:p>
      <w:pPr>
        <w:pStyle w:val="BodyText"/>
        <w:spacing w:before="7"/>
        <w:rPr>
          <w:sz w:val="9"/>
        </w:rPr>
      </w:pPr>
    </w:p>
    <w:p>
      <w:pPr>
        <w:pStyle w:val="ListParagraph"/>
        <w:numPr>
          <w:ilvl w:val="2"/>
          <w:numId w:val="14"/>
        </w:numPr>
        <w:tabs>
          <w:tab w:pos="981" w:val="left" w:leader="none"/>
        </w:tabs>
        <w:spacing w:line="240" w:lineRule="auto" w:before="106" w:after="0"/>
        <w:ind w:left="980" w:right="0" w:hanging="721"/>
        <w:jc w:val="left"/>
        <w:rPr>
          <w:sz w:val="22"/>
        </w:rPr>
      </w:pPr>
      <w:bookmarkStart w:name="_bookmark210" w:id="410"/>
      <w:bookmarkEnd w:id="410"/>
      <w:r>
        <w:rPr/>
      </w:r>
      <w:bookmarkStart w:name="_bookmark210" w:id="411"/>
      <w:bookmarkEnd w:id="411"/>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8"/>
        <w:ind w:left="891" w:right="235"/>
        <w:jc w:val="both"/>
      </w:pPr>
      <w:r>
        <w:rPr/>
        <w:t>For</w:t>
      </w:r>
      <w:r>
        <w:rPr>
          <w:spacing w:val="-6"/>
        </w:rPr>
        <w:t> </w:t>
      </w:r>
      <w:r>
        <w:rPr/>
        <w:t>discounting</w:t>
      </w:r>
      <w:r>
        <w:rPr>
          <w:spacing w:val="-5"/>
        </w:rPr>
        <w:t> </w:t>
      </w:r>
      <w:r>
        <w:rPr/>
        <w:t>the</w:t>
      </w:r>
      <w:r>
        <w:rPr>
          <w:spacing w:val="-5"/>
        </w:rPr>
        <w:t> </w:t>
      </w:r>
      <w:r>
        <w:rPr/>
        <w:t>cash</w:t>
      </w:r>
      <w:r>
        <w:rPr>
          <w:spacing w:val="-8"/>
        </w:rPr>
        <w:t> </w:t>
      </w:r>
      <w:r>
        <w:rPr/>
        <w:t>flows,</w:t>
      </w:r>
      <w:r>
        <w:rPr>
          <w:spacing w:val="-5"/>
        </w:rPr>
        <w:t> </w:t>
      </w:r>
      <w:r>
        <w:rPr/>
        <w:t>the</w:t>
      </w:r>
      <w:r>
        <w:rPr>
          <w:spacing w:val="-5"/>
        </w:rPr>
        <w:t> </w:t>
      </w:r>
      <w:r>
        <w:rPr/>
        <w:t>appropriate</w:t>
      </w:r>
      <w:r>
        <w:rPr>
          <w:spacing w:val="-5"/>
        </w:rPr>
        <w:t> </w:t>
      </w:r>
      <w:r>
        <w:rPr/>
        <w:t>discounting</w:t>
      </w:r>
      <w:r>
        <w:rPr>
          <w:spacing w:val="-5"/>
        </w:rPr>
        <w:t> </w:t>
      </w:r>
      <w:r>
        <w:rPr/>
        <w:t>rate</w:t>
      </w:r>
      <w:r>
        <w:rPr>
          <w:spacing w:val="-5"/>
        </w:rPr>
        <w:t> </w:t>
      </w:r>
      <w:r>
        <w:rPr/>
        <w:t>has</w:t>
      </w:r>
      <w:r>
        <w:rPr>
          <w:spacing w:val="-4"/>
        </w:rPr>
        <w:t> </w:t>
      </w:r>
      <w:r>
        <w:rPr/>
        <w:t>been</w:t>
      </w:r>
      <w:r>
        <w:rPr>
          <w:spacing w:val="-6"/>
        </w:rPr>
        <w:t> </w:t>
      </w:r>
      <w:r>
        <w:rPr/>
        <w:t>calculated</w:t>
      </w:r>
      <w:r>
        <w:rPr>
          <w:spacing w:val="-4"/>
        </w:rPr>
        <w:t> </w:t>
      </w:r>
      <w:r>
        <w:rPr/>
        <w:t>on</w:t>
      </w:r>
      <w:r>
        <w:rPr>
          <w:spacing w:val="-6"/>
        </w:rPr>
        <w:t> </w:t>
      </w:r>
      <w:r>
        <w:rPr/>
        <w:t>the</w:t>
      </w:r>
      <w:r>
        <w:rPr>
          <w:spacing w:val="-4"/>
        </w:rPr>
        <w:t> </w:t>
      </w:r>
      <w:r>
        <w:rPr/>
        <w:t>basis</w:t>
      </w:r>
      <w:r>
        <w:rPr>
          <w:spacing w:val="-7"/>
        </w:rPr>
        <w:t> </w:t>
      </w:r>
      <w:r>
        <w:rPr/>
        <w:t>of estimated ‘Weighted Average Cost of Capital’ (WACC). The detailed analysis of WACC rate adopted for</w:t>
      </w:r>
      <w:r>
        <w:rPr>
          <w:spacing w:val="-9"/>
        </w:rPr>
        <w:t> </w:t>
      </w:r>
      <w:r>
        <w:rPr/>
        <w:t>the</w:t>
      </w:r>
      <w:r>
        <w:rPr>
          <w:spacing w:val="-9"/>
        </w:rPr>
        <w:t> </w:t>
      </w:r>
      <w:r>
        <w:rPr/>
        <w:t>subject</w:t>
      </w:r>
      <w:r>
        <w:rPr>
          <w:spacing w:val="-10"/>
        </w:rPr>
        <w:t> </w:t>
      </w:r>
      <w:r>
        <w:rPr/>
        <w:t>property</w:t>
      </w:r>
      <w:r>
        <w:rPr>
          <w:spacing w:val="-6"/>
        </w:rPr>
        <w:t> </w:t>
      </w:r>
      <w:r>
        <w:rPr/>
        <w:t>has</w:t>
      </w:r>
      <w:r>
        <w:rPr>
          <w:spacing w:val="-7"/>
        </w:rPr>
        <w:t> </w:t>
      </w:r>
      <w:r>
        <w:rPr/>
        <w:t>been</w:t>
      </w:r>
      <w:r>
        <w:rPr>
          <w:spacing w:val="-9"/>
        </w:rPr>
        <w:t> </w:t>
      </w:r>
      <w:r>
        <w:rPr/>
        <w:t>detailed</w:t>
      </w:r>
      <w:r>
        <w:rPr>
          <w:spacing w:val="-7"/>
        </w:rPr>
        <w:t> </w:t>
      </w:r>
      <w:r>
        <w:rPr/>
        <w:t>in</w:t>
      </w:r>
      <w:r>
        <w:rPr>
          <w:spacing w:val="-9"/>
        </w:rPr>
        <w:t> </w:t>
      </w:r>
      <w:r>
        <w:rPr/>
        <w:t>Section</w:t>
      </w:r>
      <w:r>
        <w:rPr>
          <w:spacing w:val="-9"/>
        </w:rPr>
        <w:t> </w:t>
      </w:r>
      <w:r>
        <w:rPr/>
        <w:t>3.4</w:t>
      </w:r>
      <w:r>
        <w:rPr>
          <w:spacing w:val="-9"/>
        </w:rPr>
        <w:t> </w:t>
      </w:r>
      <w:r>
        <w:rPr/>
        <w:t>of</w:t>
      </w:r>
      <w:r>
        <w:rPr>
          <w:spacing w:val="-7"/>
        </w:rPr>
        <w:t> </w:t>
      </w:r>
      <w:r>
        <w:rPr/>
        <w:t>this</w:t>
      </w:r>
      <w:r>
        <w:rPr>
          <w:spacing w:val="-8"/>
        </w:rPr>
        <w:t> </w:t>
      </w:r>
      <w:r>
        <w:rPr/>
        <w:t>report.</w:t>
      </w:r>
    </w:p>
    <w:p>
      <w:pPr>
        <w:pStyle w:val="BodyText"/>
        <w:spacing w:before="8"/>
        <w:rPr>
          <w:sz w:val="20"/>
        </w:rPr>
      </w:pPr>
    </w:p>
    <w:p>
      <w:pPr>
        <w:pStyle w:val="BodyText"/>
        <w:ind w:left="260"/>
      </w:pPr>
      <w:bookmarkStart w:name="_bookmark211" w:id="412"/>
      <w:bookmarkEnd w:id="412"/>
      <w:r>
        <w:rPr/>
      </w:r>
      <w:r>
        <w:rPr>
          <w:color w:val="1F6647"/>
        </w:rPr>
        <w:t>10.5 Value of the Subject Property</w:t>
      </w:r>
    </w:p>
    <w:p>
      <w:pPr>
        <w:pStyle w:val="BodyText"/>
        <w:spacing w:before="208"/>
        <w:ind w:left="891"/>
        <w:jc w:val="both"/>
      </w:pPr>
      <w:r>
        <w:rPr/>
        <w:t>Based on the above mentioned analysis, the value of the subject property is estimated as follows:</w:t>
      </w:r>
    </w:p>
    <w:p>
      <w:pPr>
        <w:pStyle w:val="BodyText"/>
        <w:spacing w:after="1"/>
        <w:rPr>
          <w:sz w:val="29"/>
        </w:rPr>
      </w:pPr>
    </w:p>
    <w:tbl>
      <w:tblPr>
        <w:tblW w:w="0" w:type="auto"/>
        <w:jc w:val="left"/>
        <w:tblInd w:w="2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84"/>
        <w:gridCol w:w="2523"/>
        <w:gridCol w:w="1915"/>
        <w:gridCol w:w="2456"/>
      </w:tblGrid>
      <w:tr>
        <w:trPr>
          <w:trHeight w:val="347" w:hRule="atLeast"/>
        </w:trPr>
        <w:tc>
          <w:tcPr>
            <w:tcW w:w="3584" w:type="dxa"/>
            <w:tcBorders>
              <w:top w:val="single" w:sz="12" w:space="0" w:color="1F6B16"/>
              <w:bottom w:val="single" w:sz="6" w:space="0" w:color="69BD28"/>
            </w:tcBorders>
            <w:shd w:val="clear" w:color="auto" w:fill="006A4D"/>
          </w:tcPr>
          <w:p>
            <w:pPr>
              <w:pStyle w:val="TableParagraph"/>
              <w:spacing w:before="56"/>
              <w:ind w:left="919" w:right="990"/>
              <w:rPr>
                <w:sz w:val="20"/>
              </w:rPr>
            </w:pPr>
            <w:r>
              <w:rPr>
                <w:color w:val="FFFFFF"/>
                <w:sz w:val="20"/>
              </w:rPr>
              <w:t>Component</w:t>
            </w:r>
          </w:p>
        </w:tc>
        <w:tc>
          <w:tcPr>
            <w:tcW w:w="2523" w:type="dxa"/>
            <w:tcBorders>
              <w:top w:val="single" w:sz="12" w:space="0" w:color="1F6B16"/>
              <w:bottom w:val="single" w:sz="6" w:space="0" w:color="69BD28"/>
            </w:tcBorders>
            <w:shd w:val="clear" w:color="auto" w:fill="006A4D"/>
          </w:tcPr>
          <w:p>
            <w:pPr>
              <w:pStyle w:val="TableParagraph"/>
              <w:spacing w:before="56"/>
              <w:ind w:left="980" w:right="183"/>
              <w:rPr>
                <w:sz w:val="20"/>
              </w:rPr>
            </w:pPr>
            <w:r>
              <w:rPr>
                <w:color w:val="FFFFFF"/>
                <w:sz w:val="20"/>
              </w:rPr>
              <w:t>Value (INR Mn)</w:t>
            </w:r>
          </w:p>
        </w:tc>
        <w:tc>
          <w:tcPr>
            <w:tcW w:w="1915" w:type="dxa"/>
            <w:tcBorders>
              <w:top w:val="single" w:sz="12" w:space="0" w:color="1F6B16"/>
              <w:bottom w:val="single" w:sz="6" w:space="0" w:color="69BD28"/>
            </w:tcBorders>
            <w:shd w:val="clear" w:color="auto" w:fill="006A4D"/>
          </w:tcPr>
          <w:p>
            <w:pPr>
              <w:pStyle w:val="TableParagraph"/>
              <w:jc w:val="left"/>
              <w:rPr>
                <w:rFonts w:ascii="Times New Roman"/>
                <w:sz w:val="20"/>
              </w:rPr>
            </w:pPr>
          </w:p>
        </w:tc>
        <w:tc>
          <w:tcPr>
            <w:tcW w:w="2456" w:type="dxa"/>
            <w:tcBorders>
              <w:top w:val="single" w:sz="12" w:space="0" w:color="1F6B16"/>
              <w:bottom w:val="single" w:sz="6" w:space="0" w:color="69BD28"/>
            </w:tcBorders>
            <w:shd w:val="clear" w:color="auto" w:fill="006A4D"/>
          </w:tcPr>
          <w:p>
            <w:pPr>
              <w:pStyle w:val="TableParagraph"/>
              <w:spacing w:before="56"/>
              <w:ind w:left="362"/>
              <w:jc w:val="left"/>
              <w:rPr>
                <w:sz w:val="20"/>
              </w:rPr>
            </w:pPr>
            <w:r>
              <w:rPr>
                <w:color w:val="FFFFFF"/>
                <w:w w:val="110"/>
                <w:sz w:val="20"/>
              </w:rPr>
              <w:t>% Share</w:t>
            </w:r>
          </w:p>
        </w:tc>
      </w:tr>
      <w:tr>
        <w:trPr>
          <w:trHeight w:val="364" w:hRule="atLeast"/>
        </w:trPr>
        <w:tc>
          <w:tcPr>
            <w:tcW w:w="3584" w:type="dxa"/>
            <w:tcBorders>
              <w:top w:val="single" w:sz="6" w:space="0" w:color="69BD28"/>
            </w:tcBorders>
          </w:tcPr>
          <w:p>
            <w:pPr>
              <w:pStyle w:val="TableParagraph"/>
              <w:spacing w:before="78"/>
              <w:ind w:left="920" w:right="990"/>
              <w:rPr>
                <w:sz w:val="18"/>
              </w:rPr>
            </w:pPr>
            <w:r>
              <w:rPr>
                <w:sz w:val="18"/>
              </w:rPr>
              <w:t>Operational Blocks</w:t>
            </w:r>
          </w:p>
        </w:tc>
        <w:tc>
          <w:tcPr>
            <w:tcW w:w="2523" w:type="dxa"/>
            <w:tcBorders>
              <w:top w:val="single" w:sz="6" w:space="0" w:color="69BD28"/>
            </w:tcBorders>
          </w:tcPr>
          <w:p>
            <w:pPr>
              <w:pStyle w:val="TableParagraph"/>
              <w:spacing w:before="78"/>
              <w:ind w:left="980" w:right="182"/>
              <w:rPr>
                <w:sz w:val="18"/>
              </w:rPr>
            </w:pPr>
            <w:r>
              <w:rPr>
                <w:w w:val="110"/>
                <w:sz w:val="18"/>
              </w:rPr>
              <w:t>13,838</w:t>
            </w:r>
          </w:p>
        </w:tc>
        <w:tc>
          <w:tcPr>
            <w:tcW w:w="1915" w:type="dxa"/>
            <w:tcBorders>
              <w:top w:val="single" w:sz="6" w:space="0" w:color="69BD28"/>
            </w:tcBorders>
          </w:tcPr>
          <w:p>
            <w:pPr>
              <w:pStyle w:val="TableParagraph"/>
              <w:jc w:val="left"/>
              <w:rPr>
                <w:rFonts w:ascii="Times New Roman"/>
                <w:sz w:val="20"/>
              </w:rPr>
            </w:pPr>
          </w:p>
        </w:tc>
        <w:tc>
          <w:tcPr>
            <w:tcW w:w="2456" w:type="dxa"/>
            <w:tcBorders>
              <w:top w:val="single" w:sz="6" w:space="0" w:color="69BD28"/>
            </w:tcBorders>
          </w:tcPr>
          <w:p>
            <w:pPr>
              <w:pStyle w:val="TableParagraph"/>
              <w:spacing w:before="78"/>
              <w:ind w:left="489"/>
              <w:jc w:val="left"/>
              <w:rPr>
                <w:sz w:val="18"/>
              </w:rPr>
            </w:pPr>
            <w:r>
              <w:rPr>
                <w:w w:val="115"/>
                <w:sz w:val="18"/>
              </w:rPr>
              <w:t>100%</w:t>
            </w:r>
          </w:p>
        </w:tc>
      </w:tr>
      <w:tr>
        <w:trPr>
          <w:trHeight w:val="393" w:hRule="atLeast"/>
        </w:trPr>
        <w:tc>
          <w:tcPr>
            <w:tcW w:w="3584" w:type="dxa"/>
            <w:shd w:val="clear" w:color="auto" w:fill="69BD28"/>
          </w:tcPr>
          <w:p>
            <w:pPr>
              <w:pStyle w:val="TableParagraph"/>
              <w:spacing w:before="92"/>
              <w:ind w:left="922" w:right="990"/>
              <w:rPr>
                <w:b/>
                <w:sz w:val="18"/>
              </w:rPr>
            </w:pPr>
            <w:r>
              <w:rPr>
                <w:b/>
                <w:color w:val="FFFFFF"/>
                <w:w w:val="110"/>
                <w:sz w:val="18"/>
              </w:rPr>
              <w:t>Embassy Quadron</w:t>
            </w:r>
          </w:p>
        </w:tc>
        <w:tc>
          <w:tcPr>
            <w:tcW w:w="2523" w:type="dxa"/>
            <w:shd w:val="clear" w:color="auto" w:fill="69BD28"/>
          </w:tcPr>
          <w:p>
            <w:pPr>
              <w:pStyle w:val="TableParagraph"/>
              <w:jc w:val="left"/>
              <w:rPr>
                <w:rFonts w:ascii="Times New Roman"/>
                <w:sz w:val="20"/>
              </w:rPr>
            </w:pPr>
          </w:p>
        </w:tc>
        <w:tc>
          <w:tcPr>
            <w:tcW w:w="1915" w:type="dxa"/>
            <w:shd w:val="clear" w:color="auto" w:fill="69BD28"/>
          </w:tcPr>
          <w:p>
            <w:pPr>
              <w:pStyle w:val="TableParagraph"/>
              <w:spacing w:before="92"/>
              <w:ind w:left="207"/>
              <w:jc w:val="left"/>
              <w:rPr>
                <w:b/>
                <w:sz w:val="18"/>
              </w:rPr>
            </w:pPr>
            <w:r>
              <w:rPr>
                <w:b/>
                <w:color w:val="FFFFFF"/>
                <w:w w:val="110"/>
                <w:sz w:val="18"/>
              </w:rPr>
              <w:t>INR 13,838 Mn</w:t>
            </w:r>
          </w:p>
        </w:tc>
        <w:tc>
          <w:tcPr>
            <w:tcW w:w="2456" w:type="dxa"/>
            <w:shd w:val="clear" w:color="auto" w:fill="69BD28"/>
          </w:tcPr>
          <w:p>
            <w:pPr>
              <w:pStyle w:val="TableParagraph"/>
              <w:jc w:val="left"/>
              <w:rPr>
                <w:rFonts w:ascii="Times New Roman"/>
                <w:sz w:val="20"/>
              </w:rPr>
            </w:pPr>
          </w:p>
        </w:tc>
      </w:tr>
    </w:tbl>
    <w:p>
      <w:pPr>
        <w:spacing w:after="0"/>
        <w:jc w:val="left"/>
        <w:rPr>
          <w:rFonts w:ascii="Times New Roman"/>
          <w:sz w:val="20"/>
        </w:rPr>
        <w:sectPr>
          <w:pgSz w:w="11910" w:h="16840"/>
          <w:pgMar w:header="720" w:footer="921" w:top="1660" w:bottom="1120" w:left="460" w:right="480"/>
        </w:sectPr>
      </w:pPr>
    </w:p>
    <w:p>
      <w:pPr>
        <w:pStyle w:val="BodyText"/>
        <w:spacing w:before="7"/>
        <w:rPr>
          <w:sz w:val="9"/>
        </w:rPr>
      </w:pPr>
    </w:p>
    <w:p>
      <w:pPr>
        <w:pStyle w:val="Heading5"/>
        <w:numPr>
          <w:ilvl w:val="0"/>
          <w:numId w:val="14"/>
        </w:numPr>
        <w:tabs>
          <w:tab w:pos="693" w:val="left" w:leader="none"/>
        </w:tabs>
        <w:spacing w:line="240" w:lineRule="auto" w:before="106" w:after="0"/>
        <w:ind w:left="692" w:right="0" w:hanging="433"/>
        <w:jc w:val="left"/>
        <w:rPr>
          <w:rFonts w:ascii="Arial"/>
        </w:rPr>
      </w:pPr>
      <w:bookmarkStart w:name="_bookmark212" w:id="413"/>
      <w:bookmarkEnd w:id="413"/>
      <w:r>
        <w:rPr>
          <w:b w:val="0"/>
        </w:rPr>
      </w:r>
      <w:bookmarkStart w:name="_bookmark212" w:id="414"/>
      <w:bookmarkEnd w:id="414"/>
      <w:r>
        <w:rPr>
          <w:rFonts w:ascii="Arial"/>
          <w:color w:val="1F664D"/>
        </w:rPr>
        <w:t>E</w:t>
      </w:r>
      <w:r>
        <w:rPr>
          <w:rFonts w:ascii="Arial"/>
          <w:color w:val="1F664D"/>
        </w:rPr>
        <w:t>mbassy</w:t>
      </w:r>
      <w:r>
        <w:rPr>
          <w:rFonts w:ascii="Arial"/>
          <w:color w:val="1F664D"/>
          <w:spacing w:val="4"/>
        </w:rPr>
        <w:t> </w:t>
      </w:r>
      <w:r>
        <w:rPr>
          <w:rFonts w:ascii="Arial"/>
          <w:color w:val="1F664D"/>
        </w:rPr>
        <w:t>Qubix</w:t>
      </w:r>
    </w:p>
    <w:p>
      <w:pPr>
        <w:pStyle w:val="BodyText"/>
        <w:spacing w:before="8"/>
        <w:rPr>
          <w:rFonts w:ascii="Arial"/>
          <w:b/>
          <w:sz w:val="28"/>
        </w:rPr>
      </w:pPr>
    </w:p>
    <w:p>
      <w:pPr>
        <w:pStyle w:val="ListParagraph"/>
        <w:numPr>
          <w:ilvl w:val="1"/>
          <w:numId w:val="14"/>
        </w:numPr>
        <w:tabs>
          <w:tab w:pos="837" w:val="left" w:leader="none"/>
        </w:tabs>
        <w:spacing w:line="240" w:lineRule="auto" w:before="1" w:after="0"/>
        <w:ind w:left="836" w:right="0" w:hanging="577"/>
        <w:jc w:val="left"/>
        <w:rPr>
          <w:color w:val="1F6647"/>
          <w:sz w:val="22"/>
        </w:rPr>
      </w:pPr>
      <w:bookmarkStart w:name="_bookmark213" w:id="415"/>
      <w:bookmarkEnd w:id="415"/>
      <w:r>
        <w:rPr/>
      </w:r>
      <w:bookmarkStart w:name="_bookmark213" w:id="416"/>
      <w:bookmarkEnd w:id="416"/>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5"/>
        <w:rPr>
          <w:sz w:val="17"/>
        </w:rPr>
      </w:pPr>
    </w:p>
    <w:tbl>
      <w:tblPr>
        <w:tblW w:w="0" w:type="auto"/>
        <w:jc w:val="left"/>
        <w:tblInd w:w="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20"/>
        <w:gridCol w:w="8176"/>
      </w:tblGrid>
      <w:tr>
        <w:trPr>
          <w:trHeight w:val="251" w:hRule="atLeast"/>
        </w:trPr>
        <w:tc>
          <w:tcPr>
            <w:tcW w:w="10096" w:type="dxa"/>
            <w:gridSpan w:val="2"/>
            <w:tcBorders>
              <w:top w:val="single" w:sz="12" w:space="0" w:color="1F6B16"/>
              <w:bottom w:val="single" w:sz="6" w:space="0" w:color="69BD28"/>
            </w:tcBorders>
            <w:shd w:val="clear" w:color="auto" w:fill="006A4D"/>
          </w:tcPr>
          <w:p>
            <w:pPr>
              <w:pStyle w:val="TableParagraph"/>
              <w:spacing w:line="209" w:lineRule="exact" w:before="22"/>
              <w:ind w:left="4286" w:right="4278"/>
              <w:rPr>
                <w:b/>
                <w:sz w:val="18"/>
              </w:rPr>
            </w:pPr>
            <w:r>
              <w:rPr>
                <w:b/>
                <w:color w:val="FFFFFF"/>
                <w:w w:val="105"/>
                <w:sz w:val="18"/>
              </w:rPr>
              <w:t>Brief Description</w:t>
            </w:r>
          </w:p>
        </w:tc>
      </w:tr>
      <w:tr>
        <w:trPr>
          <w:trHeight w:val="448" w:hRule="atLeast"/>
        </w:trPr>
        <w:tc>
          <w:tcPr>
            <w:tcW w:w="1920" w:type="dxa"/>
            <w:tcBorders>
              <w:top w:val="single" w:sz="6" w:space="0" w:color="69BD28"/>
              <w:bottom w:val="single" w:sz="6" w:space="0" w:color="69BD28"/>
            </w:tcBorders>
            <w:shd w:val="clear" w:color="auto" w:fill="006A4D"/>
          </w:tcPr>
          <w:p>
            <w:pPr>
              <w:pStyle w:val="TableParagraph"/>
              <w:spacing w:before="109"/>
              <w:ind w:left="244" w:right="244"/>
              <w:rPr>
                <w:sz w:val="20"/>
              </w:rPr>
            </w:pPr>
            <w:r>
              <w:rPr>
                <w:color w:val="FFFFFF"/>
                <w:sz w:val="20"/>
              </w:rPr>
              <w:t>Particulars</w:t>
            </w:r>
          </w:p>
        </w:tc>
        <w:tc>
          <w:tcPr>
            <w:tcW w:w="8176" w:type="dxa"/>
            <w:tcBorders>
              <w:top w:val="single" w:sz="6" w:space="0" w:color="69BD28"/>
              <w:bottom w:val="single" w:sz="6" w:space="0" w:color="69BD28"/>
            </w:tcBorders>
            <w:shd w:val="clear" w:color="auto" w:fill="006A4D"/>
          </w:tcPr>
          <w:p>
            <w:pPr>
              <w:pStyle w:val="TableParagraph"/>
              <w:spacing w:before="121"/>
              <w:ind w:left="2613" w:right="2623"/>
              <w:rPr>
                <w:b/>
                <w:sz w:val="18"/>
              </w:rPr>
            </w:pPr>
            <w:r>
              <w:rPr>
                <w:b/>
                <w:color w:val="FFFFFF"/>
                <w:w w:val="110"/>
                <w:sz w:val="18"/>
              </w:rPr>
              <w:t>Details</w:t>
            </w:r>
          </w:p>
        </w:tc>
      </w:tr>
      <w:tr>
        <w:trPr>
          <w:trHeight w:val="637" w:hRule="atLeast"/>
        </w:trPr>
        <w:tc>
          <w:tcPr>
            <w:tcW w:w="1920" w:type="dxa"/>
            <w:shd w:val="clear" w:color="auto" w:fill="69BD28"/>
          </w:tcPr>
          <w:p>
            <w:pPr>
              <w:pStyle w:val="TableParagraph"/>
              <w:spacing w:before="5"/>
              <w:jc w:val="left"/>
              <w:rPr>
                <w:sz w:val="18"/>
              </w:rPr>
            </w:pPr>
          </w:p>
          <w:p>
            <w:pPr>
              <w:pStyle w:val="TableParagraph"/>
              <w:ind w:left="244" w:right="244"/>
              <w:rPr>
                <w:b/>
                <w:sz w:val="18"/>
              </w:rPr>
            </w:pPr>
            <w:r>
              <w:rPr>
                <w:b/>
                <w:color w:val="FFFFFF"/>
                <w:w w:val="110"/>
                <w:sz w:val="18"/>
              </w:rPr>
              <w:t>Property Name</w:t>
            </w:r>
          </w:p>
        </w:tc>
        <w:tc>
          <w:tcPr>
            <w:tcW w:w="8176" w:type="dxa"/>
            <w:tcBorders>
              <w:top w:val="single" w:sz="6" w:space="0" w:color="69BD28"/>
              <w:bottom w:val="single" w:sz="6" w:space="0" w:color="69BD28"/>
            </w:tcBorders>
          </w:tcPr>
          <w:p>
            <w:pPr>
              <w:pStyle w:val="TableParagraph"/>
              <w:spacing w:before="5"/>
              <w:jc w:val="left"/>
              <w:rPr>
                <w:sz w:val="18"/>
              </w:rPr>
            </w:pPr>
          </w:p>
          <w:p>
            <w:pPr>
              <w:pStyle w:val="TableParagraph"/>
              <w:ind w:left="2613" w:right="2622"/>
              <w:rPr>
                <w:sz w:val="18"/>
              </w:rPr>
            </w:pPr>
            <w:r>
              <w:rPr>
                <w:sz w:val="18"/>
              </w:rPr>
              <w:t>Embassy Qubix</w:t>
            </w:r>
          </w:p>
        </w:tc>
      </w:tr>
      <w:tr>
        <w:trPr>
          <w:trHeight w:val="565" w:hRule="atLeast"/>
        </w:trPr>
        <w:tc>
          <w:tcPr>
            <w:tcW w:w="1920" w:type="dxa"/>
            <w:shd w:val="clear" w:color="auto" w:fill="69BD28"/>
          </w:tcPr>
          <w:p>
            <w:pPr>
              <w:pStyle w:val="TableParagraph"/>
              <w:spacing w:before="178"/>
              <w:ind w:left="244" w:right="243"/>
              <w:rPr>
                <w:b/>
                <w:sz w:val="18"/>
              </w:rPr>
            </w:pPr>
            <w:r>
              <w:rPr>
                <w:b/>
                <w:color w:val="FFFFFF"/>
                <w:w w:val="110"/>
                <w:sz w:val="18"/>
              </w:rPr>
              <w:t>Address</w:t>
            </w:r>
          </w:p>
        </w:tc>
        <w:tc>
          <w:tcPr>
            <w:tcW w:w="8176" w:type="dxa"/>
            <w:tcBorders>
              <w:top w:val="single" w:sz="6" w:space="0" w:color="69BD28"/>
              <w:bottom w:val="single" w:sz="6" w:space="0" w:color="69BD28"/>
            </w:tcBorders>
          </w:tcPr>
          <w:p>
            <w:pPr>
              <w:pStyle w:val="TableParagraph"/>
              <w:spacing w:line="247" w:lineRule="auto" w:before="70"/>
              <w:ind w:left="2569" w:right="301" w:hanging="1448"/>
              <w:jc w:val="left"/>
              <w:rPr>
                <w:sz w:val="18"/>
              </w:rPr>
            </w:pPr>
            <w:r>
              <w:rPr>
                <w:sz w:val="18"/>
              </w:rPr>
              <w:t>Plot</w:t>
            </w:r>
            <w:r>
              <w:rPr>
                <w:spacing w:val="-15"/>
                <w:sz w:val="18"/>
              </w:rPr>
              <w:t> </w:t>
            </w:r>
            <w:r>
              <w:rPr>
                <w:sz w:val="18"/>
              </w:rPr>
              <w:t>No.2,</w:t>
            </w:r>
            <w:r>
              <w:rPr>
                <w:spacing w:val="-13"/>
                <w:sz w:val="18"/>
              </w:rPr>
              <w:t> </w:t>
            </w:r>
            <w:r>
              <w:rPr>
                <w:sz w:val="18"/>
              </w:rPr>
              <w:t>Blue</w:t>
            </w:r>
            <w:r>
              <w:rPr>
                <w:spacing w:val="-12"/>
                <w:sz w:val="18"/>
              </w:rPr>
              <w:t> </w:t>
            </w:r>
            <w:r>
              <w:rPr>
                <w:sz w:val="18"/>
              </w:rPr>
              <w:t>Ridge</w:t>
            </w:r>
            <w:r>
              <w:rPr>
                <w:spacing w:val="-12"/>
                <w:sz w:val="18"/>
              </w:rPr>
              <w:t> </w:t>
            </w:r>
            <w:r>
              <w:rPr>
                <w:sz w:val="18"/>
              </w:rPr>
              <w:t>Township,</w:t>
            </w:r>
            <w:r>
              <w:rPr>
                <w:spacing w:val="-13"/>
                <w:sz w:val="18"/>
              </w:rPr>
              <w:t> </w:t>
            </w:r>
            <w:r>
              <w:rPr>
                <w:sz w:val="18"/>
              </w:rPr>
              <w:t>Near</w:t>
            </w:r>
            <w:r>
              <w:rPr>
                <w:spacing w:val="-14"/>
                <w:sz w:val="18"/>
              </w:rPr>
              <w:t> </w:t>
            </w:r>
            <w:r>
              <w:rPr>
                <w:sz w:val="18"/>
              </w:rPr>
              <w:t>Rajiv</w:t>
            </w:r>
            <w:r>
              <w:rPr>
                <w:spacing w:val="-12"/>
                <w:sz w:val="18"/>
              </w:rPr>
              <w:t> </w:t>
            </w:r>
            <w:r>
              <w:rPr>
                <w:sz w:val="18"/>
              </w:rPr>
              <w:t>Gandhi</w:t>
            </w:r>
            <w:r>
              <w:rPr>
                <w:spacing w:val="-13"/>
                <w:sz w:val="18"/>
              </w:rPr>
              <w:t> </w:t>
            </w:r>
            <w:r>
              <w:rPr>
                <w:sz w:val="18"/>
              </w:rPr>
              <w:t>Infotech</w:t>
            </w:r>
            <w:r>
              <w:rPr>
                <w:spacing w:val="-15"/>
                <w:sz w:val="18"/>
              </w:rPr>
              <w:t> </w:t>
            </w:r>
            <w:r>
              <w:rPr>
                <w:sz w:val="18"/>
              </w:rPr>
              <w:t>Park</w:t>
            </w:r>
            <w:r>
              <w:rPr>
                <w:spacing w:val="-10"/>
                <w:sz w:val="18"/>
              </w:rPr>
              <w:t> </w:t>
            </w:r>
            <w:r>
              <w:rPr>
                <w:w w:val="105"/>
                <w:sz w:val="18"/>
              </w:rPr>
              <w:t>–</w:t>
            </w:r>
            <w:r>
              <w:rPr>
                <w:spacing w:val="-16"/>
                <w:w w:val="105"/>
                <w:sz w:val="18"/>
              </w:rPr>
              <w:t> </w:t>
            </w:r>
            <w:r>
              <w:rPr>
                <w:sz w:val="18"/>
              </w:rPr>
              <w:t>Phase</w:t>
            </w:r>
            <w:r>
              <w:rPr>
                <w:spacing w:val="-12"/>
                <w:sz w:val="18"/>
              </w:rPr>
              <w:t> </w:t>
            </w:r>
            <w:r>
              <w:rPr>
                <w:sz w:val="18"/>
              </w:rPr>
              <w:t>I, Hinjewadi, Pune, Maharashtra</w:t>
            </w:r>
            <w:r>
              <w:rPr>
                <w:spacing w:val="-6"/>
                <w:sz w:val="18"/>
              </w:rPr>
              <w:t> </w:t>
            </w:r>
            <w:r>
              <w:rPr>
                <w:sz w:val="18"/>
              </w:rPr>
              <w:t>411057</w:t>
            </w:r>
          </w:p>
        </w:tc>
      </w:tr>
      <w:tr>
        <w:trPr>
          <w:trHeight w:val="520" w:hRule="atLeast"/>
        </w:trPr>
        <w:tc>
          <w:tcPr>
            <w:tcW w:w="1920" w:type="dxa"/>
            <w:shd w:val="clear" w:color="auto" w:fill="69BD28"/>
          </w:tcPr>
          <w:p>
            <w:pPr>
              <w:pStyle w:val="TableParagraph"/>
              <w:spacing w:before="155"/>
              <w:ind w:left="243" w:right="244"/>
              <w:rPr>
                <w:b/>
                <w:sz w:val="18"/>
              </w:rPr>
            </w:pPr>
            <w:r>
              <w:rPr>
                <w:b/>
                <w:color w:val="FFFFFF"/>
                <w:w w:val="110"/>
                <w:sz w:val="18"/>
              </w:rPr>
              <w:t>Land Area</w:t>
            </w:r>
          </w:p>
        </w:tc>
        <w:tc>
          <w:tcPr>
            <w:tcW w:w="8176" w:type="dxa"/>
            <w:tcBorders>
              <w:top w:val="single" w:sz="6" w:space="0" w:color="69BD28"/>
              <w:bottom w:val="single" w:sz="6" w:space="0" w:color="69BD28"/>
            </w:tcBorders>
          </w:tcPr>
          <w:p>
            <w:pPr>
              <w:pStyle w:val="TableParagraph"/>
              <w:spacing w:before="155"/>
              <w:ind w:left="3603"/>
              <w:jc w:val="left"/>
              <w:rPr>
                <w:sz w:val="18"/>
              </w:rPr>
            </w:pPr>
            <w:r>
              <w:rPr>
                <w:w w:val="105"/>
                <w:sz w:val="18"/>
              </w:rPr>
              <w:t>25.16 Acres</w:t>
            </w:r>
          </w:p>
        </w:tc>
      </w:tr>
      <w:tr>
        <w:trPr>
          <w:trHeight w:val="609" w:hRule="atLeast"/>
        </w:trPr>
        <w:tc>
          <w:tcPr>
            <w:tcW w:w="1920" w:type="dxa"/>
            <w:shd w:val="clear" w:color="auto" w:fill="69BD28"/>
          </w:tcPr>
          <w:p>
            <w:pPr>
              <w:pStyle w:val="TableParagraph"/>
              <w:spacing w:before="2"/>
              <w:jc w:val="left"/>
              <w:rPr>
                <w:sz w:val="17"/>
              </w:rPr>
            </w:pPr>
          </w:p>
          <w:p>
            <w:pPr>
              <w:pStyle w:val="TableParagraph"/>
              <w:spacing w:before="1"/>
              <w:ind w:left="243" w:right="244"/>
              <w:rPr>
                <w:b/>
                <w:sz w:val="18"/>
              </w:rPr>
            </w:pPr>
            <w:r>
              <w:rPr>
                <w:b/>
                <w:color w:val="FFFFFF"/>
                <w:w w:val="110"/>
                <w:sz w:val="18"/>
              </w:rPr>
              <w:t>Leasable Area</w:t>
            </w:r>
          </w:p>
        </w:tc>
        <w:tc>
          <w:tcPr>
            <w:tcW w:w="8176" w:type="dxa"/>
            <w:tcBorders>
              <w:top w:val="single" w:sz="6" w:space="0" w:color="69BD28"/>
              <w:bottom w:val="single" w:sz="6" w:space="0" w:color="69BD28"/>
            </w:tcBorders>
          </w:tcPr>
          <w:p>
            <w:pPr>
              <w:pStyle w:val="TableParagraph"/>
              <w:spacing w:before="2"/>
              <w:jc w:val="left"/>
              <w:rPr>
                <w:sz w:val="17"/>
              </w:rPr>
            </w:pPr>
          </w:p>
          <w:p>
            <w:pPr>
              <w:pStyle w:val="TableParagraph"/>
              <w:spacing w:before="1"/>
              <w:ind w:left="2613" w:right="2623"/>
              <w:rPr>
                <w:sz w:val="18"/>
              </w:rPr>
            </w:pPr>
            <w:r>
              <w:rPr>
                <w:w w:val="105"/>
                <w:sz w:val="18"/>
              </w:rPr>
              <w:t>Total Leasable Area – 1,450,494 sf</w:t>
            </w:r>
          </w:p>
        </w:tc>
      </w:tr>
    </w:tbl>
    <w:p>
      <w:pPr>
        <w:spacing w:before="47"/>
        <w:ind w:left="822" w:right="0" w:firstLine="0"/>
        <w:jc w:val="left"/>
        <w:rPr>
          <w:i/>
          <w:sz w:val="18"/>
        </w:rPr>
      </w:pPr>
      <w:r>
        <w:rPr>
          <w:i/>
          <w:sz w:val="18"/>
        </w:rPr>
        <w:t>Source: Title Report, Rent Roll</w:t>
      </w:r>
    </w:p>
    <w:p>
      <w:pPr>
        <w:pStyle w:val="BodyText"/>
        <w:spacing w:before="10"/>
        <w:rPr>
          <w:i/>
          <w:sz w:val="20"/>
        </w:rPr>
      </w:pPr>
    </w:p>
    <w:p>
      <w:pPr>
        <w:pStyle w:val="ListParagraph"/>
        <w:numPr>
          <w:ilvl w:val="2"/>
          <w:numId w:val="14"/>
        </w:numPr>
        <w:tabs>
          <w:tab w:pos="981" w:val="left" w:leader="none"/>
        </w:tabs>
        <w:spacing w:line="240" w:lineRule="auto" w:before="0" w:after="0"/>
        <w:ind w:left="980" w:right="0" w:hanging="721"/>
        <w:jc w:val="left"/>
        <w:rPr>
          <w:sz w:val="22"/>
        </w:rPr>
      </w:pPr>
      <w:bookmarkStart w:name="_bookmark214" w:id="417"/>
      <w:bookmarkEnd w:id="417"/>
      <w:r>
        <w:rPr/>
      </w:r>
      <w:bookmarkStart w:name="_bookmark214" w:id="418"/>
      <w:bookmarkEnd w:id="418"/>
      <w:r>
        <w:rPr>
          <w:color w:val="1F664D"/>
          <w:sz w:val="22"/>
        </w:rPr>
        <w:t>S</w:t>
      </w:r>
      <w:r>
        <w:rPr>
          <w:color w:val="1F664D"/>
          <w:sz w:val="22"/>
        </w:rPr>
        <w:t>ite Details</w:t>
      </w:r>
    </w:p>
    <w:p>
      <w:pPr>
        <w:pStyle w:val="BodyText"/>
        <w:spacing w:before="3"/>
        <w:rPr>
          <w:sz w:val="28"/>
        </w:rPr>
      </w:pPr>
    </w:p>
    <w:p>
      <w:pPr>
        <w:pStyle w:val="BodyText"/>
        <w:tabs>
          <w:tab w:pos="2802" w:val="left" w:leader="none"/>
        </w:tabs>
        <w:spacing w:line="321" w:lineRule="auto"/>
        <w:ind w:left="2802" w:right="341" w:hanging="1878"/>
        <w:jc w:val="both"/>
      </w:pPr>
      <w:r>
        <w:rPr/>
        <w:t>Situation:</w:t>
        <w:tab/>
        <w:t>Subject property – ‘Embassy Qubix’ is an operational commercial development </w:t>
      </w:r>
      <w:r>
        <w:rPr>
          <w:w w:val="105"/>
        </w:rPr>
        <w:t>located in Blue Ridge Township, near Rajiv Gandhi Infotech Park – Phase I, Hinjewadi, Pune,</w:t>
      </w:r>
      <w:r>
        <w:rPr>
          <w:spacing w:val="-18"/>
          <w:w w:val="105"/>
        </w:rPr>
        <w:t> </w:t>
      </w:r>
      <w:r>
        <w:rPr>
          <w:w w:val="105"/>
        </w:rPr>
        <w:t>Maharashtra.</w:t>
      </w:r>
    </w:p>
    <w:p>
      <w:pPr>
        <w:pStyle w:val="BodyText"/>
        <w:spacing w:before="11"/>
        <w:rPr>
          <w:sz w:val="20"/>
        </w:rPr>
      </w:pPr>
    </w:p>
    <w:p>
      <w:pPr>
        <w:pStyle w:val="BodyText"/>
        <w:tabs>
          <w:tab w:pos="2802" w:val="left" w:leader="none"/>
        </w:tabs>
        <w:spacing w:line="321" w:lineRule="auto"/>
        <w:ind w:left="2802" w:right="342" w:hanging="1878"/>
        <w:jc w:val="both"/>
      </w:pPr>
      <w:r>
        <w:rPr/>
        <w:t>Location:</w:t>
        <w:tab/>
        <w:t>The</w:t>
      </w:r>
      <w:r>
        <w:rPr>
          <w:spacing w:val="-34"/>
        </w:rPr>
        <w:t> </w:t>
      </w:r>
      <w:r>
        <w:rPr/>
        <w:t>subject</w:t>
      </w:r>
      <w:r>
        <w:rPr>
          <w:spacing w:val="-33"/>
        </w:rPr>
        <w:t> </w:t>
      </w:r>
      <w:r>
        <w:rPr/>
        <w:t>property</w:t>
      </w:r>
      <w:r>
        <w:rPr>
          <w:spacing w:val="-32"/>
        </w:rPr>
        <w:t> </w:t>
      </w:r>
      <w:r>
        <w:rPr/>
        <w:t>is</w:t>
      </w:r>
      <w:r>
        <w:rPr>
          <w:spacing w:val="-33"/>
        </w:rPr>
        <w:t> </w:t>
      </w:r>
      <w:r>
        <w:rPr/>
        <w:t>located</w:t>
      </w:r>
      <w:r>
        <w:rPr>
          <w:spacing w:val="-33"/>
        </w:rPr>
        <w:t> </w:t>
      </w:r>
      <w:r>
        <w:rPr/>
        <w:t>in</w:t>
      </w:r>
      <w:r>
        <w:rPr>
          <w:spacing w:val="-33"/>
        </w:rPr>
        <w:t> </w:t>
      </w:r>
      <w:r>
        <w:rPr/>
        <w:t>one</w:t>
      </w:r>
      <w:r>
        <w:rPr>
          <w:spacing w:val="-34"/>
        </w:rPr>
        <w:t> </w:t>
      </w:r>
      <w:r>
        <w:rPr/>
        <w:t>of</w:t>
      </w:r>
      <w:r>
        <w:rPr>
          <w:spacing w:val="-32"/>
        </w:rPr>
        <w:t> </w:t>
      </w:r>
      <w:r>
        <w:rPr/>
        <w:t>the</w:t>
      </w:r>
      <w:r>
        <w:rPr>
          <w:spacing w:val="-33"/>
        </w:rPr>
        <w:t> </w:t>
      </w:r>
      <w:r>
        <w:rPr/>
        <w:t>prominent</w:t>
      </w:r>
      <w:r>
        <w:rPr>
          <w:spacing w:val="-33"/>
        </w:rPr>
        <w:t> </w:t>
      </w:r>
      <w:r>
        <w:rPr/>
        <w:t>commercial</w:t>
      </w:r>
      <w:r>
        <w:rPr>
          <w:spacing w:val="-32"/>
        </w:rPr>
        <w:t> </w:t>
      </w:r>
      <w:r>
        <w:rPr/>
        <w:t>(IT/ITeS)</w:t>
      </w:r>
      <w:r>
        <w:rPr>
          <w:spacing w:val="-33"/>
        </w:rPr>
        <w:t> </w:t>
      </w:r>
      <w:r>
        <w:rPr/>
        <w:t>hubs of Pune city which has presence of major SEZ developments such as Embassy Qubix</w:t>
      </w:r>
      <w:r>
        <w:rPr>
          <w:spacing w:val="-30"/>
        </w:rPr>
        <w:t> </w:t>
      </w:r>
      <w:r>
        <w:rPr/>
        <w:t>(subject</w:t>
      </w:r>
      <w:r>
        <w:rPr>
          <w:spacing w:val="-27"/>
        </w:rPr>
        <w:t> </w:t>
      </w:r>
      <w:r>
        <w:rPr/>
        <w:t>property),</w:t>
      </w:r>
      <w:r>
        <w:rPr>
          <w:spacing w:val="-30"/>
        </w:rPr>
        <w:t> </w:t>
      </w:r>
      <w:r>
        <w:rPr/>
        <w:t>Quadron,</w:t>
      </w:r>
      <w:r>
        <w:rPr>
          <w:spacing w:val="-27"/>
        </w:rPr>
        <w:t> </w:t>
      </w:r>
      <w:r>
        <w:rPr/>
        <w:t>TechZone,</w:t>
      </w:r>
      <w:r>
        <w:rPr>
          <w:spacing w:val="-28"/>
        </w:rPr>
        <w:t> </w:t>
      </w:r>
      <w:r>
        <w:rPr/>
        <w:t>Ascendas</w:t>
      </w:r>
      <w:r>
        <w:rPr>
          <w:spacing w:val="-28"/>
        </w:rPr>
        <w:t> </w:t>
      </w:r>
      <w:r>
        <w:rPr/>
        <w:t>International</w:t>
      </w:r>
      <w:r>
        <w:rPr>
          <w:spacing w:val="-28"/>
        </w:rPr>
        <w:t> </w:t>
      </w:r>
      <w:r>
        <w:rPr/>
        <w:t>Tech</w:t>
      </w:r>
      <w:r>
        <w:rPr>
          <w:spacing w:val="-28"/>
        </w:rPr>
        <w:t> </w:t>
      </w:r>
      <w:r>
        <w:rPr/>
        <w:t>Park, etc.</w:t>
      </w:r>
      <w:r>
        <w:rPr>
          <w:spacing w:val="-26"/>
        </w:rPr>
        <w:t> </w:t>
      </w:r>
      <w:r>
        <w:rPr/>
        <w:t>The</w:t>
      </w:r>
      <w:r>
        <w:rPr>
          <w:spacing w:val="-27"/>
        </w:rPr>
        <w:t> </w:t>
      </w:r>
      <w:r>
        <w:rPr/>
        <w:t>asset</w:t>
      </w:r>
      <w:r>
        <w:rPr>
          <w:spacing w:val="-25"/>
        </w:rPr>
        <w:t> </w:t>
      </w:r>
      <w:r>
        <w:rPr/>
        <w:t>is</w:t>
      </w:r>
      <w:r>
        <w:rPr>
          <w:spacing w:val="-26"/>
        </w:rPr>
        <w:t> </w:t>
      </w:r>
      <w:r>
        <w:rPr/>
        <w:t>part</w:t>
      </w:r>
      <w:r>
        <w:rPr>
          <w:spacing w:val="-25"/>
        </w:rPr>
        <w:t> </w:t>
      </w:r>
      <w:r>
        <w:rPr/>
        <w:t>of</w:t>
      </w:r>
      <w:r>
        <w:rPr>
          <w:spacing w:val="-25"/>
        </w:rPr>
        <w:t> </w:t>
      </w:r>
      <w:r>
        <w:rPr/>
        <w:t>a</w:t>
      </w:r>
      <w:r>
        <w:rPr>
          <w:spacing w:val="-26"/>
        </w:rPr>
        <w:t> </w:t>
      </w:r>
      <w:r>
        <w:rPr/>
        <w:t>larger</w:t>
      </w:r>
      <w:r>
        <w:rPr>
          <w:spacing w:val="-26"/>
        </w:rPr>
        <w:t> </w:t>
      </w:r>
      <w:r>
        <w:rPr/>
        <w:t>integrated</w:t>
      </w:r>
      <w:r>
        <w:rPr>
          <w:spacing w:val="-25"/>
        </w:rPr>
        <w:t> </w:t>
      </w:r>
      <w:r>
        <w:rPr/>
        <w:t>township</w:t>
      </w:r>
      <w:r>
        <w:rPr>
          <w:spacing w:val="-25"/>
        </w:rPr>
        <w:t> </w:t>
      </w:r>
      <w:r>
        <w:rPr/>
        <w:t>in</w:t>
      </w:r>
      <w:r>
        <w:rPr>
          <w:spacing w:val="-26"/>
        </w:rPr>
        <w:t> </w:t>
      </w:r>
      <w:r>
        <w:rPr/>
        <w:t>West</w:t>
      </w:r>
      <w:r>
        <w:rPr>
          <w:spacing w:val="-25"/>
        </w:rPr>
        <w:t> </w:t>
      </w:r>
      <w:r>
        <w:rPr/>
        <w:t>Pune</w:t>
      </w:r>
      <w:r>
        <w:rPr>
          <w:spacing w:val="-25"/>
        </w:rPr>
        <w:t> </w:t>
      </w:r>
      <w:r>
        <w:rPr/>
        <w:t>housing</w:t>
      </w:r>
      <w:r>
        <w:rPr>
          <w:spacing w:val="-24"/>
        </w:rPr>
        <w:t> </w:t>
      </w:r>
      <w:r>
        <w:rPr/>
        <w:t>various residential</w:t>
      </w:r>
      <w:r>
        <w:rPr>
          <w:spacing w:val="-7"/>
        </w:rPr>
        <w:t> </w:t>
      </w:r>
      <w:r>
        <w:rPr/>
        <w:t>towers,</w:t>
      </w:r>
      <w:r>
        <w:rPr>
          <w:spacing w:val="-9"/>
        </w:rPr>
        <w:t> </w:t>
      </w:r>
      <w:r>
        <w:rPr/>
        <w:t>schools</w:t>
      </w:r>
      <w:r>
        <w:rPr>
          <w:spacing w:val="-6"/>
        </w:rPr>
        <w:t> </w:t>
      </w:r>
      <w:r>
        <w:rPr/>
        <w:t>and</w:t>
      </w:r>
      <w:r>
        <w:rPr>
          <w:spacing w:val="-6"/>
        </w:rPr>
        <w:t> </w:t>
      </w:r>
      <w:r>
        <w:rPr/>
        <w:t>retail</w:t>
      </w:r>
      <w:r>
        <w:rPr>
          <w:spacing w:val="-5"/>
        </w:rPr>
        <w:t> </w:t>
      </w:r>
      <w:r>
        <w:rPr/>
        <w:t>components.</w:t>
      </w:r>
      <w:r>
        <w:rPr>
          <w:spacing w:val="-8"/>
        </w:rPr>
        <w:t> </w:t>
      </w:r>
      <w:r>
        <w:rPr/>
        <w:t>This</w:t>
      </w:r>
      <w:r>
        <w:rPr>
          <w:spacing w:val="-8"/>
        </w:rPr>
        <w:t> </w:t>
      </w:r>
      <w:r>
        <w:rPr/>
        <w:t>provides</w:t>
      </w:r>
      <w:r>
        <w:rPr>
          <w:spacing w:val="-6"/>
        </w:rPr>
        <w:t> </w:t>
      </w:r>
      <w:r>
        <w:rPr/>
        <w:t>a</w:t>
      </w:r>
      <w:r>
        <w:rPr>
          <w:spacing w:val="-9"/>
        </w:rPr>
        <w:t> </w:t>
      </w:r>
      <w:r>
        <w:rPr/>
        <w:t>walk</w:t>
      </w:r>
      <w:r>
        <w:rPr>
          <w:spacing w:val="-7"/>
        </w:rPr>
        <w:t> </w:t>
      </w:r>
      <w:r>
        <w:rPr/>
        <w:t>to</w:t>
      </w:r>
      <w:r>
        <w:rPr>
          <w:spacing w:val="-7"/>
        </w:rPr>
        <w:t> </w:t>
      </w:r>
      <w:r>
        <w:rPr/>
        <w:t>work eco-system</w:t>
      </w:r>
      <w:r>
        <w:rPr>
          <w:spacing w:val="-14"/>
        </w:rPr>
        <w:t> </w:t>
      </w:r>
      <w:r>
        <w:rPr/>
        <w:t>for</w:t>
      </w:r>
      <w:r>
        <w:rPr>
          <w:spacing w:val="-11"/>
        </w:rPr>
        <w:t> </w:t>
      </w:r>
      <w:r>
        <w:rPr/>
        <w:t>its</w:t>
      </w:r>
      <w:r>
        <w:rPr>
          <w:spacing w:val="-11"/>
        </w:rPr>
        <w:t> </w:t>
      </w:r>
      <w:r>
        <w:rPr/>
        <w:t>occupiers</w:t>
      </w:r>
      <w:r>
        <w:rPr>
          <w:spacing w:val="-11"/>
        </w:rPr>
        <w:t> </w:t>
      </w:r>
      <w:r>
        <w:rPr/>
        <w:t>and</w:t>
      </w:r>
      <w:r>
        <w:rPr>
          <w:spacing w:val="-11"/>
        </w:rPr>
        <w:t> </w:t>
      </w:r>
      <w:r>
        <w:rPr/>
        <w:t>their</w:t>
      </w:r>
      <w:r>
        <w:rPr>
          <w:spacing w:val="-12"/>
        </w:rPr>
        <w:t> </w:t>
      </w:r>
      <w:r>
        <w:rPr/>
        <w:t>employees</w:t>
      </w:r>
      <w:r>
        <w:rPr>
          <w:spacing w:val="-13"/>
        </w:rPr>
        <w:t> </w:t>
      </w:r>
      <w:r>
        <w:rPr/>
        <w:t>which</w:t>
      </w:r>
      <w:r>
        <w:rPr>
          <w:spacing w:val="-12"/>
        </w:rPr>
        <w:t> </w:t>
      </w:r>
      <w:r>
        <w:rPr/>
        <w:t>significantly</w:t>
      </w:r>
      <w:r>
        <w:rPr>
          <w:spacing w:val="-10"/>
        </w:rPr>
        <w:t> </w:t>
      </w:r>
      <w:r>
        <w:rPr/>
        <w:t>adds</w:t>
      </w:r>
      <w:r>
        <w:rPr>
          <w:spacing w:val="-11"/>
        </w:rPr>
        <w:t> </w:t>
      </w:r>
      <w:r>
        <w:rPr/>
        <w:t>to</w:t>
      </w:r>
      <w:r>
        <w:rPr>
          <w:spacing w:val="-12"/>
        </w:rPr>
        <w:t> </w:t>
      </w:r>
      <w:r>
        <w:rPr/>
        <w:t>the unique proposition of this</w:t>
      </w:r>
      <w:r>
        <w:rPr>
          <w:spacing w:val="-16"/>
        </w:rPr>
        <w:t> </w:t>
      </w:r>
      <w:r>
        <w:rPr/>
        <w:t>asset.</w:t>
      </w:r>
    </w:p>
    <w:p>
      <w:pPr>
        <w:pStyle w:val="BodyText"/>
        <w:spacing w:line="321" w:lineRule="auto" w:before="124"/>
        <w:ind w:left="2802" w:right="343"/>
        <w:jc w:val="both"/>
      </w:pPr>
      <w:r>
        <w:rPr/>
        <w:t>Further,</w:t>
      </w:r>
      <w:r>
        <w:rPr>
          <w:spacing w:val="-10"/>
        </w:rPr>
        <w:t> </w:t>
      </w:r>
      <w:r>
        <w:rPr/>
        <w:t>the</w:t>
      </w:r>
      <w:r>
        <w:rPr>
          <w:spacing w:val="-10"/>
        </w:rPr>
        <w:t> </w:t>
      </w:r>
      <w:r>
        <w:rPr/>
        <w:t>micro-market</w:t>
      </w:r>
      <w:r>
        <w:rPr>
          <w:spacing w:val="-10"/>
        </w:rPr>
        <w:t> </w:t>
      </w:r>
      <w:r>
        <w:rPr/>
        <w:t>also</w:t>
      </w:r>
      <w:r>
        <w:rPr>
          <w:spacing w:val="-10"/>
        </w:rPr>
        <w:t> </w:t>
      </w:r>
      <w:r>
        <w:rPr/>
        <w:t>has</w:t>
      </w:r>
      <w:r>
        <w:rPr>
          <w:spacing w:val="-10"/>
        </w:rPr>
        <w:t> </w:t>
      </w:r>
      <w:r>
        <w:rPr/>
        <w:t>presence</w:t>
      </w:r>
      <w:r>
        <w:rPr>
          <w:spacing w:val="-10"/>
        </w:rPr>
        <w:t> </w:t>
      </w:r>
      <w:r>
        <w:rPr/>
        <w:t>of</w:t>
      </w:r>
      <w:r>
        <w:rPr>
          <w:spacing w:val="-9"/>
        </w:rPr>
        <w:t> </w:t>
      </w:r>
      <w:r>
        <w:rPr/>
        <w:t>IT</w:t>
      </w:r>
      <w:r>
        <w:rPr>
          <w:spacing w:val="-10"/>
        </w:rPr>
        <w:t> </w:t>
      </w:r>
      <w:r>
        <w:rPr/>
        <w:t>parks</w:t>
      </w:r>
      <w:r>
        <w:rPr>
          <w:spacing w:val="-9"/>
        </w:rPr>
        <w:t> </w:t>
      </w:r>
      <w:r>
        <w:rPr/>
        <w:t>like</w:t>
      </w:r>
      <w:r>
        <w:rPr>
          <w:spacing w:val="-10"/>
        </w:rPr>
        <w:t> </w:t>
      </w:r>
      <w:r>
        <w:rPr/>
        <w:t>Pesh</w:t>
      </w:r>
      <w:r>
        <w:rPr>
          <w:spacing w:val="-11"/>
        </w:rPr>
        <w:t> </w:t>
      </w:r>
      <w:r>
        <w:rPr/>
        <w:t>Infotech,</w:t>
      </w:r>
      <w:r>
        <w:rPr>
          <w:spacing w:val="-10"/>
        </w:rPr>
        <w:t> </w:t>
      </w:r>
      <w:r>
        <w:rPr/>
        <w:t>Indo Global</w:t>
      </w:r>
      <w:r>
        <w:rPr>
          <w:spacing w:val="-43"/>
        </w:rPr>
        <w:t> </w:t>
      </w:r>
      <w:r>
        <w:rPr/>
        <w:t>Software</w:t>
      </w:r>
      <w:r>
        <w:rPr>
          <w:spacing w:val="-43"/>
        </w:rPr>
        <w:t> </w:t>
      </w:r>
      <w:r>
        <w:rPr/>
        <w:t>Tech</w:t>
      </w:r>
      <w:r>
        <w:rPr>
          <w:spacing w:val="-42"/>
        </w:rPr>
        <w:t> </w:t>
      </w:r>
      <w:r>
        <w:rPr/>
        <w:t>Park,</w:t>
      </w:r>
      <w:r>
        <w:rPr>
          <w:spacing w:val="-43"/>
        </w:rPr>
        <w:t> </w:t>
      </w:r>
      <w:r>
        <w:rPr/>
        <w:t>Radius</w:t>
      </w:r>
      <w:r>
        <w:rPr>
          <w:spacing w:val="-41"/>
        </w:rPr>
        <w:t> </w:t>
      </w:r>
      <w:r>
        <w:rPr/>
        <w:t>Tech</w:t>
      </w:r>
      <w:r>
        <w:rPr>
          <w:spacing w:val="-43"/>
        </w:rPr>
        <w:t> </w:t>
      </w:r>
      <w:r>
        <w:rPr/>
        <w:t>Park,</w:t>
      </w:r>
      <w:r>
        <w:rPr>
          <w:spacing w:val="-42"/>
        </w:rPr>
        <w:t> </w:t>
      </w:r>
      <w:r>
        <w:rPr/>
        <w:t>Panchshil</w:t>
      </w:r>
      <w:r>
        <w:rPr>
          <w:spacing w:val="-43"/>
        </w:rPr>
        <w:t> </w:t>
      </w:r>
      <w:r>
        <w:rPr/>
        <w:t>Tech</w:t>
      </w:r>
      <w:r>
        <w:rPr>
          <w:spacing w:val="-42"/>
        </w:rPr>
        <w:t> </w:t>
      </w:r>
      <w:r>
        <w:rPr/>
        <w:t>Park,</w:t>
      </w:r>
      <w:r>
        <w:rPr>
          <w:spacing w:val="-42"/>
        </w:rPr>
        <w:t> </w:t>
      </w:r>
      <w:r>
        <w:rPr/>
        <w:t>etc.</w:t>
      </w:r>
      <w:r>
        <w:rPr>
          <w:spacing w:val="-43"/>
        </w:rPr>
        <w:t> </w:t>
      </w:r>
      <w:r>
        <w:rPr/>
        <w:t>In</w:t>
      </w:r>
      <w:r>
        <w:rPr>
          <w:spacing w:val="-42"/>
        </w:rPr>
        <w:t> </w:t>
      </w:r>
      <w:r>
        <w:rPr/>
        <w:t>addition, some</w:t>
      </w:r>
      <w:r>
        <w:rPr>
          <w:spacing w:val="-12"/>
        </w:rPr>
        <w:t> </w:t>
      </w:r>
      <w:r>
        <w:rPr/>
        <w:t>of</w:t>
      </w:r>
      <w:r>
        <w:rPr>
          <w:spacing w:val="-9"/>
        </w:rPr>
        <w:t> </w:t>
      </w:r>
      <w:r>
        <w:rPr/>
        <w:t>the</w:t>
      </w:r>
      <w:r>
        <w:rPr>
          <w:spacing w:val="-12"/>
        </w:rPr>
        <w:t> </w:t>
      </w:r>
      <w:r>
        <w:rPr/>
        <w:t>campuses</w:t>
      </w:r>
      <w:r>
        <w:rPr>
          <w:spacing w:val="-9"/>
        </w:rPr>
        <w:t> </w:t>
      </w:r>
      <w:r>
        <w:rPr/>
        <w:t>of</w:t>
      </w:r>
      <w:r>
        <w:rPr>
          <w:spacing w:val="-11"/>
        </w:rPr>
        <w:t> </w:t>
      </w:r>
      <w:r>
        <w:rPr/>
        <w:t>IT</w:t>
      </w:r>
      <w:r>
        <w:rPr>
          <w:spacing w:val="-10"/>
        </w:rPr>
        <w:t> </w:t>
      </w:r>
      <w:r>
        <w:rPr/>
        <w:t>majors</w:t>
      </w:r>
      <w:r>
        <w:rPr>
          <w:spacing w:val="-10"/>
        </w:rPr>
        <w:t> </w:t>
      </w:r>
      <w:r>
        <w:rPr/>
        <w:t>such</w:t>
      </w:r>
      <w:r>
        <w:rPr>
          <w:spacing w:val="-11"/>
        </w:rPr>
        <w:t> </w:t>
      </w:r>
      <w:r>
        <w:rPr/>
        <w:t>as</w:t>
      </w:r>
      <w:r>
        <w:rPr>
          <w:spacing w:val="-10"/>
        </w:rPr>
        <w:t> </w:t>
      </w:r>
      <w:r>
        <w:rPr/>
        <w:t>Wipro,</w:t>
      </w:r>
      <w:r>
        <w:rPr>
          <w:spacing w:val="-10"/>
        </w:rPr>
        <w:t> </w:t>
      </w:r>
      <w:r>
        <w:rPr/>
        <w:t>Infosys,</w:t>
      </w:r>
      <w:r>
        <w:rPr>
          <w:spacing w:val="-13"/>
        </w:rPr>
        <w:t> </w:t>
      </w:r>
      <w:r>
        <w:rPr/>
        <w:t>Emerson</w:t>
      </w:r>
      <w:r>
        <w:rPr>
          <w:spacing w:val="-11"/>
        </w:rPr>
        <w:t> </w:t>
      </w:r>
      <w:r>
        <w:rPr/>
        <w:t>Innovations, HCL, etc. are also located in the micro</w:t>
      </w:r>
      <w:r>
        <w:rPr>
          <w:spacing w:val="-44"/>
        </w:rPr>
        <w:t> </w:t>
      </w:r>
      <w:r>
        <w:rPr/>
        <w:t>market.</w:t>
      </w:r>
    </w:p>
    <w:p>
      <w:pPr>
        <w:pStyle w:val="BodyText"/>
        <w:spacing w:line="321" w:lineRule="auto" w:before="122"/>
        <w:ind w:left="2802" w:right="340"/>
        <w:jc w:val="both"/>
      </w:pPr>
      <w:r>
        <w:rPr/>
        <w:t>Apart</w:t>
      </w:r>
      <w:r>
        <w:rPr>
          <w:spacing w:val="-24"/>
        </w:rPr>
        <w:t> </w:t>
      </w:r>
      <w:r>
        <w:rPr/>
        <w:t>from</w:t>
      </w:r>
      <w:r>
        <w:rPr>
          <w:spacing w:val="-23"/>
        </w:rPr>
        <w:t> </w:t>
      </w:r>
      <w:r>
        <w:rPr/>
        <w:t>IT/ITeS</w:t>
      </w:r>
      <w:r>
        <w:rPr>
          <w:spacing w:val="-24"/>
        </w:rPr>
        <w:t> </w:t>
      </w:r>
      <w:r>
        <w:rPr/>
        <w:t>developments,</w:t>
      </w:r>
      <w:r>
        <w:rPr>
          <w:spacing w:val="-24"/>
        </w:rPr>
        <w:t> </w:t>
      </w:r>
      <w:r>
        <w:rPr/>
        <w:t>the</w:t>
      </w:r>
      <w:r>
        <w:rPr>
          <w:spacing w:val="-25"/>
        </w:rPr>
        <w:t> </w:t>
      </w:r>
      <w:r>
        <w:rPr/>
        <w:t>subject</w:t>
      </w:r>
      <w:r>
        <w:rPr>
          <w:spacing w:val="-23"/>
        </w:rPr>
        <w:t> </w:t>
      </w:r>
      <w:r>
        <w:rPr/>
        <w:t>micro-market</w:t>
      </w:r>
      <w:r>
        <w:rPr>
          <w:spacing w:val="-23"/>
        </w:rPr>
        <w:t> </w:t>
      </w:r>
      <w:r>
        <w:rPr/>
        <w:t>is</w:t>
      </w:r>
      <w:r>
        <w:rPr>
          <w:spacing w:val="-23"/>
        </w:rPr>
        <w:t> </w:t>
      </w:r>
      <w:r>
        <w:rPr/>
        <w:t>also</w:t>
      </w:r>
      <w:r>
        <w:rPr>
          <w:spacing w:val="-24"/>
        </w:rPr>
        <w:t> </w:t>
      </w:r>
      <w:r>
        <w:rPr/>
        <w:t>witnessing</w:t>
      </w:r>
      <w:r>
        <w:rPr>
          <w:spacing w:val="-23"/>
        </w:rPr>
        <w:t> </w:t>
      </w:r>
      <w:r>
        <w:rPr/>
        <w:t>an increasing residential activity primarily catering to demand of the working populace of Hinjewadi &amp; nearby micro-markets. Key residential projects in the micro-markets includes developments by prominent players like Kohinoor Developers, Paranjape Schemes, TCG, Xrbia, Kolte Patil, Mittal Brothers, Shapoorji,</w:t>
      </w:r>
      <w:r>
        <w:rPr>
          <w:spacing w:val="-26"/>
        </w:rPr>
        <w:t> </w:t>
      </w:r>
      <w:r>
        <w:rPr/>
        <w:t>etc.</w:t>
      </w:r>
      <w:r>
        <w:rPr>
          <w:spacing w:val="-26"/>
        </w:rPr>
        <w:t> </w:t>
      </w:r>
      <w:r>
        <w:rPr/>
        <w:t>The</w:t>
      </w:r>
      <w:r>
        <w:rPr>
          <w:spacing w:val="-27"/>
        </w:rPr>
        <w:t> </w:t>
      </w:r>
      <w:r>
        <w:rPr/>
        <w:t>subject</w:t>
      </w:r>
      <w:r>
        <w:rPr>
          <w:spacing w:val="-25"/>
        </w:rPr>
        <w:t> </w:t>
      </w:r>
      <w:r>
        <w:rPr/>
        <w:t>micro-market</w:t>
      </w:r>
      <w:r>
        <w:rPr>
          <w:spacing w:val="-26"/>
        </w:rPr>
        <w:t> </w:t>
      </w:r>
      <w:r>
        <w:rPr/>
        <w:t>is</w:t>
      </w:r>
      <w:r>
        <w:rPr>
          <w:spacing w:val="-25"/>
        </w:rPr>
        <w:t> </w:t>
      </w:r>
      <w:r>
        <w:rPr/>
        <w:t>surrounded</w:t>
      </w:r>
      <w:r>
        <w:rPr>
          <w:spacing w:val="-26"/>
        </w:rPr>
        <w:t> </w:t>
      </w:r>
      <w:r>
        <w:rPr/>
        <w:t>by</w:t>
      </w:r>
      <w:r>
        <w:rPr>
          <w:spacing w:val="-25"/>
        </w:rPr>
        <w:t> </w:t>
      </w:r>
      <w:r>
        <w:rPr/>
        <w:t>other</w:t>
      </w:r>
      <w:r>
        <w:rPr>
          <w:spacing w:val="-24"/>
        </w:rPr>
        <w:t> </w:t>
      </w:r>
      <w:r>
        <w:rPr/>
        <w:t>notable</w:t>
      </w:r>
      <w:r>
        <w:rPr>
          <w:spacing w:val="-26"/>
        </w:rPr>
        <w:t> </w:t>
      </w:r>
      <w:r>
        <w:rPr/>
        <w:t>markets like Wakad, Tathawade, etc. which are located along the Mumbai </w:t>
      </w:r>
      <w:r>
        <w:rPr>
          <w:w w:val="105"/>
        </w:rPr>
        <w:t>– </w:t>
      </w:r>
      <w:r>
        <w:rPr/>
        <w:t>Bengaluru Bypass</w:t>
      </w:r>
      <w:r>
        <w:rPr>
          <w:spacing w:val="23"/>
        </w:rPr>
        <w:t> </w:t>
      </w:r>
      <w:r>
        <w:rPr/>
        <w:t>Highway.</w:t>
      </w:r>
      <w:r>
        <w:rPr>
          <w:spacing w:val="24"/>
        </w:rPr>
        <w:t> </w:t>
      </w:r>
      <w:r>
        <w:rPr/>
        <w:t>Further,</w:t>
      </w:r>
      <w:r>
        <w:rPr>
          <w:spacing w:val="22"/>
        </w:rPr>
        <w:t> </w:t>
      </w:r>
      <w:r>
        <w:rPr/>
        <w:t>the</w:t>
      </w:r>
      <w:r>
        <w:rPr>
          <w:spacing w:val="21"/>
        </w:rPr>
        <w:t> </w:t>
      </w:r>
      <w:r>
        <w:rPr/>
        <w:t>micro-market</w:t>
      </w:r>
      <w:r>
        <w:rPr>
          <w:spacing w:val="23"/>
        </w:rPr>
        <w:t> </w:t>
      </w:r>
      <w:r>
        <w:rPr/>
        <w:t>has</w:t>
      </w:r>
      <w:r>
        <w:rPr>
          <w:spacing w:val="24"/>
        </w:rPr>
        <w:t> </w:t>
      </w:r>
      <w:r>
        <w:rPr/>
        <w:t>adequate</w:t>
      </w:r>
      <w:r>
        <w:rPr>
          <w:spacing w:val="22"/>
        </w:rPr>
        <w:t> </w:t>
      </w:r>
      <w:r>
        <w:rPr/>
        <w:t>social</w:t>
      </w:r>
      <w:r>
        <w:rPr>
          <w:spacing w:val="22"/>
        </w:rPr>
        <w:t> </w:t>
      </w:r>
      <w:r>
        <w:rPr/>
        <w:t>and</w:t>
      </w:r>
      <w:r>
        <w:rPr>
          <w:spacing w:val="23"/>
        </w:rPr>
        <w:t> </w:t>
      </w:r>
      <w:r>
        <w:rPr/>
        <w:t>physical</w:t>
      </w:r>
    </w:p>
    <w:p>
      <w:pPr>
        <w:spacing w:after="0" w:line="321" w:lineRule="auto"/>
        <w:jc w:val="both"/>
        <w:sectPr>
          <w:pgSz w:w="11910" w:h="16840"/>
          <w:pgMar w:header="720" w:footer="921" w:top="1660" w:bottom="1120" w:left="460" w:right="480"/>
        </w:sectPr>
      </w:pPr>
    </w:p>
    <w:p>
      <w:pPr>
        <w:pStyle w:val="BodyText"/>
        <w:spacing w:before="7"/>
        <w:rPr>
          <w:sz w:val="9"/>
        </w:rPr>
      </w:pPr>
    </w:p>
    <w:p>
      <w:pPr>
        <w:pStyle w:val="BodyText"/>
        <w:spacing w:line="321" w:lineRule="auto" w:before="106"/>
        <w:ind w:left="2802" w:right="342"/>
        <w:jc w:val="both"/>
      </w:pPr>
      <w:r>
        <w:rPr/>
        <w:t>infrastructure</w:t>
      </w:r>
      <w:r>
        <w:rPr>
          <w:spacing w:val="-24"/>
        </w:rPr>
        <w:t> </w:t>
      </w:r>
      <w:r>
        <w:rPr/>
        <w:t>to</w:t>
      </w:r>
      <w:r>
        <w:rPr>
          <w:spacing w:val="-23"/>
        </w:rPr>
        <w:t> </w:t>
      </w:r>
      <w:r>
        <w:rPr/>
        <w:t>support</w:t>
      </w:r>
      <w:r>
        <w:rPr>
          <w:spacing w:val="-23"/>
        </w:rPr>
        <w:t> </w:t>
      </w:r>
      <w:r>
        <w:rPr/>
        <w:t>the</w:t>
      </w:r>
      <w:r>
        <w:rPr>
          <w:spacing w:val="-24"/>
        </w:rPr>
        <w:t> </w:t>
      </w:r>
      <w:r>
        <w:rPr/>
        <w:t>working</w:t>
      </w:r>
      <w:r>
        <w:rPr>
          <w:spacing w:val="-22"/>
        </w:rPr>
        <w:t> </w:t>
      </w:r>
      <w:r>
        <w:rPr/>
        <w:t>and</w:t>
      </w:r>
      <w:r>
        <w:rPr>
          <w:spacing w:val="-23"/>
        </w:rPr>
        <w:t> </w:t>
      </w:r>
      <w:r>
        <w:rPr/>
        <w:t>resident</w:t>
      </w:r>
      <w:r>
        <w:rPr>
          <w:spacing w:val="-24"/>
        </w:rPr>
        <w:t> </w:t>
      </w:r>
      <w:r>
        <w:rPr/>
        <w:t>population.</w:t>
      </w:r>
      <w:r>
        <w:rPr>
          <w:spacing w:val="-23"/>
        </w:rPr>
        <w:t> </w:t>
      </w:r>
      <w:r>
        <w:rPr/>
        <w:t>Some</w:t>
      </w:r>
      <w:r>
        <w:rPr>
          <w:spacing w:val="-24"/>
        </w:rPr>
        <w:t> </w:t>
      </w:r>
      <w:r>
        <w:rPr/>
        <w:t>of</w:t>
      </w:r>
      <w:r>
        <w:rPr>
          <w:spacing w:val="-22"/>
        </w:rPr>
        <w:t> </w:t>
      </w:r>
      <w:r>
        <w:rPr/>
        <w:t>the</w:t>
      </w:r>
      <w:r>
        <w:rPr>
          <w:spacing w:val="-24"/>
        </w:rPr>
        <w:t> </w:t>
      </w:r>
      <w:r>
        <w:rPr/>
        <w:t>social infrastructure</w:t>
      </w:r>
      <w:r>
        <w:rPr>
          <w:spacing w:val="-35"/>
        </w:rPr>
        <w:t> </w:t>
      </w:r>
      <w:r>
        <w:rPr/>
        <w:t>development</w:t>
      </w:r>
      <w:r>
        <w:rPr>
          <w:spacing w:val="-34"/>
        </w:rPr>
        <w:t> </w:t>
      </w:r>
      <w:r>
        <w:rPr/>
        <w:t>in</w:t>
      </w:r>
      <w:r>
        <w:rPr>
          <w:spacing w:val="-34"/>
        </w:rPr>
        <w:t> </w:t>
      </w:r>
      <w:r>
        <w:rPr/>
        <w:t>the</w:t>
      </w:r>
      <w:r>
        <w:rPr>
          <w:spacing w:val="-34"/>
        </w:rPr>
        <w:t> </w:t>
      </w:r>
      <w:r>
        <w:rPr/>
        <w:t>micro-market</w:t>
      </w:r>
      <w:r>
        <w:rPr>
          <w:spacing w:val="-33"/>
        </w:rPr>
        <w:t> </w:t>
      </w:r>
      <w:r>
        <w:rPr/>
        <w:t>include</w:t>
      </w:r>
      <w:r>
        <w:rPr>
          <w:spacing w:val="-34"/>
        </w:rPr>
        <w:t> </w:t>
      </w:r>
      <w:r>
        <w:rPr/>
        <w:t>Blue</w:t>
      </w:r>
      <w:r>
        <w:rPr>
          <w:spacing w:val="-34"/>
        </w:rPr>
        <w:t> </w:t>
      </w:r>
      <w:r>
        <w:rPr/>
        <w:t>Ridge</w:t>
      </w:r>
      <w:r>
        <w:rPr>
          <w:spacing w:val="-34"/>
        </w:rPr>
        <w:t> </w:t>
      </w:r>
      <w:r>
        <w:rPr/>
        <w:t>Public</w:t>
      </w:r>
      <w:r>
        <w:rPr>
          <w:spacing w:val="-34"/>
        </w:rPr>
        <w:t> </w:t>
      </w:r>
      <w:r>
        <w:rPr/>
        <w:t>School, Pawar</w:t>
      </w:r>
      <w:r>
        <w:rPr>
          <w:spacing w:val="-9"/>
        </w:rPr>
        <w:t> </w:t>
      </w:r>
      <w:r>
        <w:rPr/>
        <w:t>Public</w:t>
      </w:r>
      <w:r>
        <w:rPr>
          <w:spacing w:val="-9"/>
        </w:rPr>
        <w:t> </w:t>
      </w:r>
      <w:r>
        <w:rPr/>
        <w:t>School,</w:t>
      </w:r>
      <w:r>
        <w:rPr>
          <w:spacing w:val="-10"/>
        </w:rPr>
        <w:t> </w:t>
      </w:r>
      <w:r>
        <w:rPr/>
        <w:t>Sanjeevani</w:t>
      </w:r>
      <w:r>
        <w:rPr>
          <w:spacing w:val="-10"/>
        </w:rPr>
        <w:t> </w:t>
      </w:r>
      <w:r>
        <w:rPr/>
        <w:t>Hospital,</w:t>
      </w:r>
      <w:r>
        <w:rPr>
          <w:spacing w:val="-10"/>
        </w:rPr>
        <w:t> </w:t>
      </w:r>
      <w:r>
        <w:rPr/>
        <w:t>Ruby</w:t>
      </w:r>
      <w:r>
        <w:rPr>
          <w:spacing w:val="-8"/>
        </w:rPr>
        <w:t> </w:t>
      </w:r>
      <w:r>
        <w:rPr/>
        <w:t>Hall</w:t>
      </w:r>
      <w:r>
        <w:rPr>
          <w:spacing w:val="-10"/>
        </w:rPr>
        <w:t> </w:t>
      </w:r>
      <w:r>
        <w:rPr/>
        <w:t>Clinic,</w:t>
      </w:r>
      <w:r>
        <w:rPr>
          <w:spacing w:val="-9"/>
        </w:rPr>
        <w:t> </w:t>
      </w:r>
      <w:r>
        <w:rPr/>
        <w:t>etc.</w:t>
      </w:r>
    </w:p>
    <w:p>
      <w:pPr>
        <w:pStyle w:val="BodyText"/>
        <w:spacing w:line="321" w:lineRule="auto" w:before="121"/>
        <w:ind w:left="2802" w:right="346"/>
        <w:jc w:val="both"/>
      </w:pPr>
      <w:r>
        <w:rPr/>
        <w:t>The distances from key hubs to the subject property are presented in the</w:t>
      </w:r>
      <w:r>
        <w:rPr>
          <w:spacing w:val="-43"/>
        </w:rPr>
        <w:t> </w:t>
      </w:r>
      <w:r>
        <w:rPr/>
        <w:t>table below:</w:t>
      </w:r>
    </w:p>
    <w:p>
      <w:pPr>
        <w:pStyle w:val="BodyText"/>
        <w:rPr>
          <w:sz w:val="17"/>
        </w:rPr>
      </w:pPr>
      <w:r>
        <w:rPr/>
        <w:pict>
          <v:group style="position:absolute;margin-left:163.729996pt;margin-top:11.851407pt;width:389.85pt;height:14.05pt;mso-position-horizontal-relative:page;mso-position-vertical-relative:paragraph;z-index:-15231488;mso-wrap-distance-left:0;mso-wrap-distance-right:0" coordorigin="3275,237" coordsize="7797,281">
            <v:shape style="position:absolute;left:3274;top:251;width:7797;height:252" coordorigin="3275,251" coordsize="7797,252" path="m11071,251l8889,251,3275,251,3275,503,8889,503,11071,503,11071,251xe" filled="true" fillcolor="#006a4d" stroked="false">
              <v:path arrowok="t"/>
              <v:fill type="solid"/>
            </v:shape>
            <v:shape style="position:absolute;left:3274;top:237;width:7797;height:281" coordorigin="3275,237" coordsize="7797,281" path="m11071,503l8906,503,8892,503,3275,503,3275,518,8892,518,8906,518,11071,518,11071,503xm11071,237l8906,237,8892,237,3275,237,3275,251,8892,251,8906,251,11071,251,11071,237xe" filled="true" fillcolor="#69bd28" stroked="false">
              <v:path arrowok="t"/>
              <v:fill type="solid"/>
            </v:shape>
            <v:shape style="position:absolute;left:3274;top:251;width:7797;height:252" type="#_x0000_t202" filled="false" stroked="false">
              <v:textbox inset="0,0,0,0">
                <w:txbxContent>
                  <w:p>
                    <w:pPr>
                      <w:tabs>
                        <w:tab w:pos="6080" w:val="left" w:leader="none"/>
                      </w:tabs>
                      <w:spacing w:before="23"/>
                      <w:ind w:left="2340" w:right="0" w:firstLine="0"/>
                      <w:jc w:val="left"/>
                      <w:rPr>
                        <w:b/>
                        <w:sz w:val="18"/>
                      </w:rPr>
                    </w:pPr>
                    <w:r>
                      <w:rPr>
                        <w:b/>
                        <w:color w:val="FFFFFF"/>
                        <w:w w:val="110"/>
                        <w:sz w:val="18"/>
                      </w:rPr>
                      <w:t>Landmark</w:t>
                      <w:tab/>
                      <w:t>Distance</w:t>
                    </w:r>
                    <w:r>
                      <w:rPr>
                        <w:b/>
                        <w:color w:val="FFFFFF"/>
                        <w:spacing w:val="-6"/>
                        <w:w w:val="110"/>
                        <w:sz w:val="18"/>
                      </w:rPr>
                      <w:t> </w:t>
                    </w:r>
                    <w:r>
                      <w:rPr>
                        <w:b/>
                        <w:color w:val="FFFFFF"/>
                        <w:w w:val="110"/>
                        <w:sz w:val="18"/>
                      </w:rPr>
                      <w:t>(km)</w:t>
                    </w:r>
                  </w:p>
                </w:txbxContent>
              </v:textbox>
              <w10:wrap type="none"/>
            </v:shape>
            <w10:wrap type="topAndBottom"/>
          </v:group>
        </w:pict>
      </w:r>
    </w:p>
    <w:p>
      <w:pPr>
        <w:tabs>
          <w:tab w:pos="9711" w:val="right" w:leader="none"/>
        </w:tabs>
        <w:spacing w:line="203" w:lineRule="exact" w:before="0"/>
        <w:ind w:left="3717" w:right="0" w:firstLine="0"/>
        <w:jc w:val="left"/>
        <w:rPr>
          <w:sz w:val="18"/>
        </w:rPr>
      </w:pPr>
      <w:r>
        <w:rPr>
          <w:sz w:val="18"/>
        </w:rPr>
        <w:t>National Highway 48</w:t>
      </w:r>
      <w:r>
        <w:rPr>
          <w:spacing w:val="1"/>
          <w:sz w:val="18"/>
        </w:rPr>
        <w:t> </w:t>
      </w:r>
      <w:r>
        <w:rPr>
          <w:sz w:val="18"/>
        </w:rPr>
        <w:t>(Mumbai-Pune-Bengaluru)</w:t>
        <w:tab/>
        <w:t>3 -</w:t>
      </w:r>
      <w:r>
        <w:rPr>
          <w:spacing w:val="20"/>
          <w:sz w:val="18"/>
        </w:rPr>
        <w:t> </w:t>
      </w:r>
      <w:r>
        <w:rPr>
          <w:sz w:val="18"/>
        </w:rPr>
        <w:t>4</w:t>
      </w:r>
    </w:p>
    <w:p>
      <w:pPr>
        <w:tabs>
          <w:tab w:pos="9828" w:val="right" w:leader="none"/>
        </w:tabs>
        <w:spacing w:before="30"/>
        <w:ind w:left="4729" w:right="0" w:firstLine="0"/>
        <w:jc w:val="left"/>
        <w:rPr>
          <w:sz w:val="18"/>
        </w:rPr>
      </w:pPr>
      <w:r>
        <w:rPr/>
        <w:pict>
          <v:shape style="position:absolute;margin-left:163.730011pt;margin-top:1.090632pt;width:389.85pt;height:.75pt;mso-position-horizontal-relative:page;mso-position-vertical-relative:paragraph;z-index:16226816" coordorigin="3275,22" coordsize="7797,15" path="m11071,22l8906,22,8892,22,3275,22,3275,36,8892,36,8906,36,11071,36,11071,22xe" filled="true" fillcolor="#69bd28" stroked="false">
            <v:path arrowok="t"/>
            <v:fill type="solid"/>
            <w10:wrap type="none"/>
          </v:shape>
        </w:pict>
      </w:r>
      <w:r>
        <w:rPr/>
        <w:pict>
          <v:shape style="position:absolute;margin-left:163.730011pt;margin-top:12.610633pt;width:389.85pt;height:.75pt;mso-position-horizontal-relative:page;mso-position-vertical-relative:paragraph;z-index:16227328" coordorigin="3275,252" coordsize="7797,15" path="m11071,252l8906,252,8892,252,3275,252,3275,267,8892,267,8906,267,11071,267,11071,252xe" filled="true" fillcolor="#69bd28" stroked="false">
            <v:path arrowok="t"/>
            <v:fill type="solid"/>
            <w10:wrap type="none"/>
          </v:shape>
        </w:pict>
      </w:r>
      <w:r>
        <w:rPr>
          <w:w w:val="105"/>
          <w:sz w:val="18"/>
        </w:rPr>
        <w:t>Pune</w:t>
      </w:r>
      <w:r>
        <w:rPr>
          <w:spacing w:val="-28"/>
          <w:w w:val="105"/>
          <w:sz w:val="18"/>
        </w:rPr>
        <w:t> </w:t>
      </w:r>
      <w:r>
        <w:rPr>
          <w:w w:val="105"/>
          <w:sz w:val="18"/>
        </w:rPr>
        <w:t>CBD</w:t>
      </w:r>
      <w:r>
        <w:rPr>
          <w:spacing w:val="-30"/>
          <w:w w:val="105"/>
          <w:sz w:val="18"/>
        </w:rPr>
        <w:t> </w:t>
      </w:r>
      <w:r>
        <w:rPr>
          <w:w w:val="105"/>
          <w:sz w:val="18"/>
        </w:rPr>
        <w:t>(Peth</w:t>
      </w:r>
      <w:r>
        <w:rPr>
          <w:spacing w:val="-28"/>
          <w:w w:val="105"/>
          <w:sz w:val="18"/>
        </w:rPr>
        <w:t> </w:t>
      </w:r>
      <w:r>
        <w:rPr>
          <w:w w:val="105"/>
          <w:sz w:val="18"/>
        </w:rPr>
        <w:t>Areas)</w:t>
        <w:tab/>
      </w:r>
      <w:r>
        <w:rPr>
          <w:w w:val="105"/>
          <w:position w:val="1"/>
          <w:sz w:val="18"/>
        </w:rPr>
        <w:t>18 –</w:t>
      </w:r>
      <w:r>
        <w:rPr>
          <w:spacing w:val="37"/>
          <w:w w:val="105"/>
          <w:position w:val="1"/>
          <w:sz w:val="18"/>
        </w:rPr>
        <w:t> </w:t>
      </w:r>
      <w:r>
        <w:rPr>
          <w:w w:val="105"/>
          <w:position w:val="1"/>
          <w:sz w:val="18"/>
        </w:rPr>
        <w:t>19</w:t>
      </w:r>
    </w:p>
    <w:p>
      <w:pPr>
        <w:tabs>
          <w:tab w:pos="9828" w:val="right" w:leader="none"/>
        </w:tabs>
        <w:spacing w:before="67"/>
        <w:ind w:left="4813" w:right="0" w:firstLine="0"/>
        <w:jc w:val="left"/>
        <w:rPr>
          <w:sz w:val="18"/>
        </w:rPr>
      </w:pPr>
      <w:r>
        <w:rPr>
          <w:sz w:val="18"/>
        </w:rPr>
        <w:t>Pune</w:t>
      </w:r>
      <w:r>
        <w:rPr>
          <w:spacing w:val="-23"/>
          <w:sz w:val="18"/>
        </w:rPr>
        <w:t> </w:t>
      </w:r>
      <w:r>
        <w:rPr>
          <w:sz w:val="18"/>
        </w:rPr>
        <w:t>Railway</w:t>
      </w:r>
      <w:r>
        <w:rPr>
          <w:spacing w:val="-23"/>
          <w:sz w:val="18"/>
        </w:rPr>
        <w:t> </w:t>
      </w:r>
      <w:r>
        <w:rPr>
          <w:sz w:val="18"/>
        </w:rPr>
        <w:t>Station</w:t>
        <w:tab/>
      </w:r>
      <w:r>
        <w:rPr>
          <w:w w:val="105"/>
          <w:position w:val="1"/>
          <w:sz w:val="18"/>
        </w:rPr>
        <w:t>19 –</w:t>
      </w:r>
      <w:r>
        <w:rPr>
          <w:spacing w:val="36"/>
          <w:w w:val="105"/>
          <w:position w:val="1"/>
          <w:sz w:val="18"/>
        </w:rPr>
        <w:t> </w:t>
      </w:r>
      <w:r>
        <w:rPr>
          <w:w w:val="105"/>
          <w:position w:val="1"/>
          <w:sz w:val="18"/>
        </w:rPr>
        <w:t>20</w:t>
      </w:r>
    </w:p>
    <w:p>
      <w:pPr>
        <w:tabs>
          <w:tab w:pos="9816" w:val="right" w:leader="none"/>
        </w:tabs>
        <w:spacing w:before="94" w:after="23"/>
        <w:ind w:left="4614" w:right="0" w:firstLine="0"/>
        <w:jc w:val="left"/>
        <w:rPr>
          <w:sz w:val="18"/>
        </w:rPr>
      </w:pPr>
      <w:r>
        <w:rPr/>
        <w:pict>
          <v:shape style="position:absolute;margin-left:163.730011pt;margin-top:2.830641pt;width:389.85pt;height:.75pt;mso-position-horizontal-relative:page;mso-position-vertical-relative:paragraph;z-index:16227840" coordorigin="3275,57" coordsize="7797,15" path="m11071,57l8906,57,8892,57,3275,57,3275,71,8892,71,8906,71,11071,71,11071,57xe" filled="true" fillcolor="#69bd28" stroked="false">
            <v:path arrowok="t"/>
            <v:fill type="solid"/>
            <w10:wrap type="none"/>
          </v:shape>
        </w:pict>
      </w:r>
      <w:r>
        <w:rPr>
          <w:sz w:val="18"/>
        </w:rPr>
        <w:t>Pune</w:t>
      </w:r>
      <w:r>
        <w:rPr>
          <w:spacing w:val="-29"/>
          <w:sz w:val="18"/>
        </w:rPr>
        <w:t> </w:t>
      </w:r>
      <w:r>
        <w:rPr>
          <w:sz w:val="18"/>
        </w:rPr>
        <w:t>International</w:t>
      </w:r>
      <w:r>
        <w:rPr>
          <w:spacing w:val="-30"/>
          <w:sz w:val="18"/>
        </w:rPr>
        <w:t> </w:t>
      </w:r>
      <w:r>
        <w:rPr>
          <w:sz w:val="18"/>
        </w:rPr>
        <w:t>Airport</w:t>
        <w:tab/>
        <w:t>23 -</w:t>
      </w:r>
      <w:r>
        <w:rPr>
          <w:spacing w:val="40"/>
          <w:sz w:val="18"/>
        </w:rPr>
        <w:t> </w:t>
      </w:r>
      <w:r>
        <w:rPr>
          <w:sz w:val="18"/>
        </w:rPr>
        <w:t>24</w:t>
      </w:r>
    </w:p>
    <w:p>
      <w:pPr>
        <w:pStyle w:val="BodyText"/>
        <w:spacing w:line="20" w:lineRule="exact"/>
        <w:ind w:left="2814"/>
        <w:rPr>
          <w:sz w:val="2"/>
        </w:rPr>
      </w:pPr>
      <w:r>
        <w:rPr>
          <w:sz w:val="2"/>
        </w:rPr>
        <w:pict>
          <v:group style="width:389.85pt;height:.75pt;mso-position-horizontal-relative:char;mso-position-vertical-relative:line" coordorigin="0,0" coordsize="7797,15">
            <v:shape style="position:absolute;left:0;top:0;width:7797;height:15" coordorigin="0,0" coordsize="7797,15" path="m7797,0l5631,0,5617,0,0,0,0,14,5617,14,5631,14,7797,14,7797,0xe" filled="true" fillcolor="#69bd28" stroked="false">
              <v:path arrowok="t"/>
              <v:fill type="solid"/>
            </v:shape>
          </v:group>
        </w:pict>
      </w:r>
      <w:r>
        <w:rPr>
          <w:sz w:val="2"/>
        </w:rPr>
      </w:r>
    </w:p>
    <w:p>
      <w:pPr>
        <w:spacing w:before="41"/>
        <w:ind w:left="2922" w:right="0" w:firstLine="0"/>
        <w:jc w:val="left"/>
        <w:rPr>
          <w:i/>
          <w:sz w:val="18"/>
        </w:rPr>
      </w:pPr>
      <w:r>
        <w:rPr>
          <w:i/>
          <w:sz w:val="18"/>
        </w:rPr>
        <w:t>Source: Consultants’ Research</w:t>
      </w:r>
    </w:p>
    <w:p>
      <w:pPr>
        <w:pStyle w:val="BodyText"/>
        <w:spacing w:before="10"/>
        <w:rPr>
          <w:i/>
          <w:sz w:val="18"/>
        </w:rPr>
      </w:pPr>
    </w:p>
    <w:p>
      <w:pPr>
        <w:pStyle w:val="BodyText"/>
        <w:tabs>
          <w:tab w:pos="2802" w:val="left" w:leader="none"/>
        </w:tabs>
        <w:ind w:left="925"/>
      </w:pPr>
      <w:r>
        <w:rPr/>
        <w:t>Surrounds:</w:t>
        <w:tab/>
        <w:t>The subject property is surrounded as</w:t>
      </w:r>
      <w:r>
        <w:rPr>
          <w:spacing w:val="-34"/>
        </w:rPr>
        <w:t> </w:t>
      </w:r>
      <w:r>
        <w:rPr/>
        <w:t>follows:</w:t>
      </w:r>
    </w:p>
    <w:p>
      <w:pPr>
        <w:pStyle w:val="BodyText"/>
        <w:spacing w:before="9"/>
        <w:rPr>
          <w:sz w:val="27"/>
        </w:rPr>
      </w:pPr>
    </w:p>
    <w:p>
      <w:pPr>
        <w:pStyle w:val="ListParagraph"/>
        <w:numPr>
          <w:ilvl w:val="0"/>
          <w:numId w:val="61"/>
        </w:numPr>
        <w:tabs>
          <w:tab w:pos="3522" w:val="left" w:leader="none"/>
          <w:tab w:pos="3523" w:val="left" w:leader="none"/>
        </w:tabs>
        <w:spacing w:line="240" w:lineRule="auto" w:before="0" w:after="0"/>
        <w:ind w:left="3522" w:right="0" w:hanging="361"/>
        <w:jc w:val="left"/>
        <w:rPr>
          <w:sz w:val="22"/>
        </w:rPr>
      </w:pPr>
      <w:r>
        <w:rPr>
          <w:sz w:val="22"/>
        </w:rPr>
        <w:t>North: Symbiosis Institute of International</w:t>
      </w:r>
      <w:r>
        <w:rPr>
          <w:spacing w:val="-38"/>
          <w:sz w:val="22"/>
        </w:rPr>
        <w:t> </w:t>
      </w:r>
      <w:r>
        <w:rPr>
          <w:sz w:val="22"/>
        </w:rPr>
        <w:t>Business</w:t>
      </w:r>
    </w:p>
    <w:p>
      <w:pPr>
        <w:pStyle w:val="BodyText"/>
        <w:spacing w:before="7"/>
        <w:rPr>
          <w:sz w:val="27"/>
        </w:rPr>
      </w:pPr>
    </w:p>
    <w:p>
      <w:pPr>
        <w:pStyle w:val="ListParagraph"/>
        <w:numPr>
          <w:ilvl w:val="0"/>
          <w:numId w:val="61"/>
        </w:numPr>
        <w:tabs>
          <w:tab w:pos="3522" w:val="left" w:leader="none"/>
          <w:tab w:pos="3523" w:val="left" w:leader="none"/>
        </w:tabs>
        <w:spacing w:line="240" w:lineRule="auto" w:before="0" w:after="0"/>
        <w:ind w:left="3522" w:right="0" w:hanging="361"/>
        <w:jc w:val="left"/>
        <w:rPr>
          <w:sz w:val="22"/>
        </w:rPr>
      </w:pPr>
      <w:r>
        <w:rPr>
          <w:sz w:val="22"/>
        </w:rPr>
        <w:t>South: Internal Township Road and Blue Ridge</w:t>
      </w:r>
      <w:r>
        <w:rPr>
          <w:spacing w:val="-45"/>
          <w:sz w:val="22"/>
        </w:rPr>
        <w:t> </w:t>
      </w:r>
      <w:r>
        <w:rPr>
          <w:sz w:val="22"/>
        </w:rPr>
        <w:t>Township</w:t>
      </w:r>
    </w:p>
    <w:p>
      <w:pPr>
        <w:pStyle w:val="BodyText"/>
        <w:spacing w:before="9"/>
        <w:rPr>
          <w:sz w:val="27"/>
        </w:rPr>
      </w:pPr>
    </w:p>
    <w:p>
      <w:pPr>
        <w:pStyle w:val="ListParagraph"/>
        <w:numPr>
          <w:ilvl w:val="0"/>
          <w:numId w:val="61"/>
        </w:numPr>
        <w:tabs>
          <w:tab w:pos="3522" w:val="left" w:leader="none"/>
          <w:tab w:pos="3523" w:val="left" w:leader="none"/>
        </w:tabs>
        <w:spacing w:line="240" w:lineRule="auto" w:before="0" w:after="0"/>
        <w:ind w:left="3522" w:right="0" w:hanging="361"/>
        <w:jc w:val="left"/>
        <w:rPr>
          <w:sz w:val="22"/>
        </w:rPr>
      </w:pPr>
      <w:r>
        <w:rPr>
          <w:sz w:val="22"/>
        </w:rPr>
        <w:t>East: Radius Tech</w:t>
      </w:r>
      <w:r>
        <w:rPr>
          <w:spacing w:val="-16"/>
          <w:sz w:val="22"/>
        </w:rPr>
        <w:t> </w:t>
      </w:r>
      <w:r>
        <w:rPr>
          <w:sz w:val="22"/>
        </w:rPr>
        <w:t>Park</w:t>
      </w:r>
    </w:p>
    <w:p>
      <w:pPr>
        <w:pStyle w:val="BodyText"/>
        <w:spacing w:before="10"/>
        <w:rPr>
          <w:sz w:val="27"/>
        </w:rPr>
      </w:pPr>
    </w:p>
    <w:p>
      <w:pPr>
        <w:pStyle w:val="ListParagraph"/>
        <w:numPr>
          <w:ilvl w:val="0"/>
          <w:numId w:val="61"/>
        </w:numPr>
        <w:tabs>
          <w:tab w:pos="3522" w:val="left" w:leader="none"/>
          <w:tab w:pos="3523" w:val="left" w:leader="none"/>
        </w:tabs>
        <w:spacing w:line="240" w:lineRule="auto" w:before="0" w:after="0"/>
        <w:ind w:left="3522" w:right="0" w:hanging="361"/>
        <w:jc w:val="left"/>
        <w:rPr>
          <w:sz w:val="22"/>
        </w:rPr>
      </w:pPr>
      <w:r>
        <w:rPr>
          <w:sz w:val="22"/>
        </w:rPr>
        <w:t>West: Primary Access</w:t>
      </w:r>
      <w:r>
        <w:rPr>
          <w:spacing w:val="-13"/>
          <w:sz w:val="22"/>
        </w:rPr>
        <w:t> </w:t>
      </w:r>
      <w:r>
        <w:rPr>
          <w:sz w:val="22"/>
        </w:rPr>
        <w:t>Road</w:t>
      </w:r>
    </w:p>
    <w:p>
      <w:pPr>
        <w:pStyle w:val="BodyText"/>
        <w:spacing w:before="1"/>
        <w:rPr>
          <w:sz w:val="19"/>
        </w:rPr>
      </w:pPr>
    </w:p>
    <w:p>
      <w:pPr>
        <w:spacing w:after="0"/>
        <w:rPr>
          <w:sz w:val="19"/>
        </w:rPr>
        <w:sectPr>
          <w:pgSz w:w="11910" w:h="16840"/>
          <w:pgMar w:header="720" w:footer="921" w:top="1660" w:bottom="1120" w:left="460" w:right="480"/>
        </w:sectPr>
      </w:pPr>
    </w:p>
    <w:p>
      <w:pPr>
        <w:pStyle w:val="BodyText"/>
        <w:spacing w:line="321" w:lineRule="auto" w:before="106"/>
        <w:ind w:left="925"/>
      </w:pPr>
      <w:r>
        <w:rPr/>
        <w:t>Potential changes in </w:t>
      </w:r>
      <w:r>
        <w:rPr>
          <w:w w:val="95"/>
        </w:rPr>
        <w:t>surroundings:</w:t>
      </w:r>
    </w:p>
    <w:p>
      <w:pPr>
        <w:pStyle w:val="BodyText"/>
        <w:spacing w:line="321" w:lineRule="auto" w:before="106"/>
        <w:ind w:left="515" w:right="340"/>
        <w:jc w:val="both"/>
      </w:pPr>
      <w:r>
        <w:rPr/>
        <w:br w:type="column"/>
      </w:r>
      <w:r>
        <w:rPr/>
        <w:t>With</w:t>
      </w:r>
      <w:r>
        <w:rPr>
          <w:spacing w:val="-28"/>
        </w:rPr>
        <w:t> </w:t>
      </w:r>
      <w:r>
        <w:rPr/>
        <w:t>the</w:t>
      </w:r>
      <w:r>
        <w:rPr>
          <w:spacing w:val="-28"/>
        </w:rPr>
        <w:t> </w:t>
      </w:r>
      <w:r>
        <w:rPr/>
        <w:t>advent</w:t>
      </w:r>
      <w:r>
        <w:rPr>
          <w:spacing w:val="-27"/>
        </w:rPr>
        <w:t> </w:t>
      </w:r>
      <w:r>
        <w:rPr/>
        <w:t>of</w:t>
      </w:r>
      <w:r>
        <w:rPr>
          <w:spacing w:val="-27"/>
        </w:rPr>
        <w:t> </w:t>
      </w:r>
      <w:r>
        <w:rPr/>
        <w:t>IT</w:t>
      </w:r>
      <w:r>
        <w:rPr>
          <w:spacing w:val="-28"/>
        </w:rPr>
        <w:t> </w:t>
      </w:r>
      <w:r>
        <w:rPr/>
        <w:t>sector</w:t>
      </w:r>
      <w:r>
        <w:rPr>
          <w:spacing w:val="-28"/>
        </w:rPr>
        <w:t> </w:t>
      </w:r>
      <w:r>
        <w:rPr/>
        <w:t>in</w:t>
      </w:r>
      <w:r>
        <w:rPr>
          <w:spacing w:val="-28"/>
        </w:rPr>
        <w:t> </w:t>
      </w:r>
      <w:r>
        <w:rPr/>
        <w:t>the</w:t>
      </w:r>
      <w:r>
        <w:rPr>
          <w:spacing w:val="-28"/>
        </w:rPr>
        <w:t> </w:t>
      </w:r>
      <w:r>
        <w:rPr/>
        <w:t>country,</w:t>
      </w:r>
      <w:r>
        <w:rPr>
          <w:spacing w:val="-27"/>
        </w:rPr>
        <w:t> </w:t>
      </w:r>
      <w:r>
        <w:rPr/>
        <w:t>Hinjewadi</w:t>
      </w:r>
      <w:r>
        <w:rPr>
          <w:spacing w:val="-28"/>
        </w:rPr>
        <w:t> </w:t>
      </w:r>
      <w:r>
        <w:rPr/>
        <w:t>(the</w:t>
      </w:r>
      <w:r>
        <w:rPr>
          <w:spacing w:val="-28"/>
        </w:rPr>
        <w:t> </w:t>
      </w:r>
      <w:r>
        <w:rPr/>
        <w:t>subject</w:t>
      </w:r>
      <w:r>
        <w:rPr>
          <w:spacing w:val="-27"/>
        </w:rPr>
        <w:t> </w:t>
      </w:r>
      <w:r>
        <w:rPr/>
        <w:t>micro-market) was</w:t>
      </w:r>
      <w:r>
        <w:rPr>
          <w:spacing w:val="-29"/>
        </w:rPr>
        <w:t> </w:t>
      </w:r>
      <w:r>
        <w:rPr/>
        <w:t>developed</w:t>
      </w:r>
      <w:r>
        <w:rPr>
          <w:spacing w:val="-28"/>
        </w:rPr>
        <w:t> </w:t>
      </w:r>
      <w:r>
        <w:rPr/>
        <w:t>as</w:t>
      </w:r>
      <w:r>
        <w:rPr>
          <w:spacing w:val="-28"/>
        </w:rPr>
        <w:t> </w:t>
      </w:r>
      <w:r>
        <w:rPr/>
        <w:t>an</w:t>
      </w:r>
      <w:r>
        <w:rPr>
          <w:spacing w:val="-28"/>
        </w:rPr>
        <w:t> </w:t>
      </w:r>
      <w:r>
        <w:rPr/>
        <w:t>IT/ITeS</w:t>
      </w:r>
      <w:r>
        <w:rPr>
          <w:spacing w:val="-29"/>
        </w:rPr>
        <w:t> </w:t>
      </w:r>
      <w:r>
        <w:rPr/>
        <w:t>hub</w:t>
      </w:r>
      <w:r>
        <w:rPr>
          <w:spacing w:val="-27"/>
        </w:rPr>
        <w:t> </w:t>
      </w:r>
      <w:r>
        <w:rPr/>
        <w:t>of</w:t>
      </w:r>
      <w:r>
        <w:rPr>
          <w:spacing w:val="-28"/>
        </w:rPr>
        <w:t> </w:t>
      </w:r>
      <w:r>
        <w:rPr/>
        <w:t>the</w:t>
      </w:r>
      <w:r>
        <w:rPr>
          <w:spacing w:val="-29"/>
        </w:rPr>
        <w:t> </w:t>
      </w:r>
      <w:r>
        <w:rPr/>
        <w:t>city.</w:t>
      </w:r>
      <w:r>
        <w:rPr>
          <w:spacing w:val="-28"/>
        </w:rPr>
        <w:t> </w:t>
      </w:r>
      <w:r>
        <w:rPr/>
        <w:t>Over</w:t>
      </w:r>
      <w:r>
        <w:rPr>
          <w:spacing w:val="-29"/>
        </w:rPr>
        <w:t> </w:t>
      </w:r>
      <w:r>
        <w:rPr/>
        <w:t>the</w:t>
      </w:r>
      <w:r>
        <w:rPr>
          <w:spacing w:val="-27"/>
        </w:rPr>
        <w:t> </w:t>
      </w:r>
      <w:r>
        <w:rPr/>
        <w:t>years,</w:t>
      </w:r>
      <w:r>
        <w:rPr>
          <w:spacing w:val="-29"/>
        </w:rPr>
        <w:t> </w:t>
      </w:r>
      <w:r>
        <w:rPr/>
        <w:t>Rajiv</w:t>
      </w:r>
      <w:r>
        <w:rPr>
          <w:spacing w:val="-28"/>
        </w:rPr>
        <w:t> </w:t>
      </w:r>
      <w:r>
        <w:rPr/>
        <w:t>Gandhi</w:t>
      </w:r>
      <w:r>
        <w:rPr>
          <w:spacing w:val="-29"/>
        </w:rPr>
        <w:t> </w:t>
      </w:r>
      <w:r>
        <w:rPr/>
        <w:t>Infotech park has been developed across 3</w:t>
      </w:r>
      <w:r>
        <w:rPr>
          <w:spacing w:val="-15"/>
        </w:rPr>
        <w:t> </w:t>
      </w:r>
      <w:r>
        <w:rPr/>
        <w:t>phases.</w:t>
      </w:r>
    </w:p>
    <w:p>
      <w:pPr>
        <w:pStyle w:val="BodyText"/>
        <w:spacing w:line="321" w:lineRule="auto" w:before="120"/>
        <w:ind w:left="515" w:right="342"/>
        <w:jc w:val="both"/>
      </w:pPr>
      <w:r>
        <w:rPr/>
        <w:t>The</w:t>
      </w:r>
      <w:r>
        <w:rPr>
          <w:spacing w:val="-36"/>
        </w:rPr>
        <w:t> </w:t>
      </w:r>
      <w:r>
        <w:rPr/>
        <w:t>boost</w:t>
      </w:r>
      <w:r>
        <w:rPr>
          <w:spacing w:val="-35"/>
        </w:rPr>
        <w:t> </w:t>
      </w:r>
      <w:r>
        <w:rPr/>
        <w:t>in</w:t>
      </w:r>
      <w:r>
        <w:rPr>
          <w:spacing w:val="-37"/>
        </w:rPr>
        <w:t> </w:t>
      </w:r>
      <w:r>
        <w:rPr/>
        <w:t>commercial</w:t>
      </w:r>
      <w:r>
        <w:rPr>
          <w:spacing w:val="-34"/>
        </w:rPr>
        <w:t> </w:t>
      </w:r>
      <w:r>
        <w:rPr/>
        <w:t>real</w:t>
      </w:r>
      <w:r>
        <w:rPr>
          <w:spacing w:val="-36"/>
        </w:rPr>
        <w:t> </w:t>
      </w:r>
      <w:r>
        <w:rPr/>
        <w:t>estate</w:t>
      </w:r>
      <w:r>
        <w:rPr>
          <w:spacing w:val="-35"/>
        </w:rPr>
        <w:t> </w:t>
      </w:r>
      <w:r>
        <w:rPr/>
        <w:t>segment</w:t>
      </w:r>
      <w:r>
        <w:rPr>
          <w:spacing w:val="-35"/>
        </w:rPr>
        <w:t> </w:t>
      </w:r>
      <w:r>
        <w:rPr/>
        <w:t>also</w:t>
      </w:r>
      <w:r>
        <w:rPr>
          <w:spacing w:val="-37"/>
        </w:rPr>
        <w:t> </w:t>
      </w:r>
      <w:r>
        <w:rPr/>
        <w:t>prompted</w:t>
      </w:r>
      <w:r>
        <w:rPr>
          <w:spacing w:val="-35"/>
        </w:rPr>
        <w:t> </w:t>
      </w:r>
      <w:r>
        <w:rPr/>
        <w:t>to</w:t>
      </w:r>
      <w:r>
        <w:rPr>
          <w:spacing w:val="-35"/>
        </w:rPr>
        <w:t> </w:t>
      </w:r>
      <w:r>
        <w:rPr/>
        <w:t>the</w:t>
      </w:r>
      <w:r>
        <w:rPr>
          <w:spacing w:val="-36"/>
        </w:rPr>
        <w:t> </w:t>
      </w:r>
      <w:r>
        <w:rPr/>
        <w:t>development</w:t>
      </w:r>
      <w:r>
        <w:rPr>
          <w:spacing w:val="-35"/>
        </w:rPr>
        <w:t> </w:t>
      </w:r>
      <w:r>
        <w:rPr/>
        <w:t>of the</w:t>
      </w:r>
      <w:r>
        <w:rPr>
          <w:spacing w:val="-36"/>
        </w:rPr>
        <w:t> </w:t>
      </w:r>
      <w:r>
        <w:rPr/>
        <w:t>micro-market</w:t>
      </w:r>
      <w:r>
        <w:rPr>
          <w:spacing w:val="-35"/>
        </w:rPr>
        <w:t> </w:t>
      </w:r>
      <w:r>
        <w:rPr/>
        <w:t>as</w:t>
      </w:r>
      <w:r>
        <w:rPr>
          <w:spacing w:val="-35"/>
        </w:rPr>
        <w:t> </w:t>
      </w:r>
      <w:r>
        <w:rPr/>
        <w:t>a</w:t>
      </w:r>
      <w:r>
        <w:rPr>
          <w:spacing w:val="-35"/>
        </w:rPr>
        <w:t> </w:t>
      </w:r>
      <w:r>
        <w:rPr/>
        <w:t>residential</w:t>
      </w:r>
      <w:r>
        <w:rPr>
          <w:spacing w:val="-36"/>
        </w:rPr>
        <w:t> </w:t>
      </w:r>
      <w:r>
        <w:rPr/>
        <w:t>market</w:t>
      </w:r>
      <w:r>
        <w:rPr>
          <w:spacing w:val="-35"/>
        </w:rPr>
        <w:t> </w:t>
      </w:r>
      <w:r>
        <w:rPr/>
        <w:t>to</w:t>
      </w:r>
      <w:r>
        <w:rPr>
          <w:spacing w:val="-34"/>
        </w:rPr>
        <w:t> </w:t>
      </w:r>
      <w:r>
        <w:rPr/>
        <w:t>cater</w:t>
      </w:r>
      <w:r>
        <w:rPr>
          <w:spacing w:val="-36"/>
        </w:rPr>
        <w:t> </w:t>
      </w:r>
      <w:r>
        <w:rPr/>
        <w:t>the</w:t>
      </w:r>
      <w:r>
        <w:rPr>
          <w:spacing w:val="-36"/>
        </w:rPr>
        <w:t> </w:t>
      </w:r>
      <w:r>
        <w:rPr/>
        <w:t>housing</w:t>
      </w:r>
      <w:r>
        <w:rPr>
          <w:spacing w:val="-35"/>
        </w:rPr>
        <w:t> </w:t>
      </w:r>
      <w:r>
        <w:rPr/>
        <w:t>needs</w:t>
      </w:r>
      <w:r>
        <w:rPr>
          <w:spacing w:val="-35"/>
        </w:rPr>
        <w:t> </w:t>
      </w:r>
      <w:r>
        <w:rPr/>
        <w:t>of</w:t>
      </w:r>
      <w:r>
        <w:rPr>
          <w:spacing w:val="-36"/>
        </w:rPr>
        <w:t> </w:t>
      </w:r>
      <w:r>
        <w:rPr/>
        <w:t>the</w:t>
      </w:r>
      <w:r>
        <w:rPr>
          <w:spacing w:val="-35"/>
        </w:rPr>
        <w:t> </w:t>
      </w:r>
      <w:r>
        <w:rPr/>
        <w:t>working populace.</w:t>
      </w:r>
      <w:r>
        <w:rPr>
          <w:spacing w:val="-16"/>
        </w:rPr>
        <w:t> </w:t>
      </w:r>
      <w:r>
        <w:rPr/>
        <w:t>This</w:t>
      </w:r>
      <w:r>
        <w:rPr>
          <w:spacing w:val="-14"/>
        </w:rPr>
        <w:t> </w:t>
      </w:r>
      <w:r>
        <w:rPr/>
        <w:t>led</w:t>
      </w:r>
      <w:r>
        <w:rPr>
          <w:spacing w:val="-14"/>
        </w:rPr>
        <w:t> </w:t>
      </w:r>
      <w:r>
        <w:rPr/>
        <w:t>to</w:t>
      </w:r>
      <w:r>
        <w:rPr>
          <w:spacing w:val="-14"/>
        </w:rPr>
        <w:t> </w:t>
      </w:r>
      <w:r>
        <w:rPr/>
        <w:t>the</w:t>
      </w:r>
      <w:r>
        <w:rPr>
          <w:spacing w:val="-17"/>
        </w:rPr>
        <w:t> </w:t>
      </w:r>
      <w:r>
        <w:rPr/>
        <w:t>development</w:t>
      </w:r>
      <w:r>
        <w:rPr>
          <w:spacing w:val="-15"/>
        </w:rPr>
        <w:t> </w:t>
      </w:r>
      <w:r>
        <w:rPr/>
        <w:t>of</w:t>
      </w:r>
      <w:r>
        <w:rPr>
          <w:spacing w:val="-14"/>
        </w:rPr>
        <w:t> </w:t>
      </w:r>
      <w:r>
        <w:rPr/>
        <w:t>various</w:t>
      </w:r>
      <w:r>
        <w:rPr>
          <w:spacing w:val="-14"/>
        </w:rPr>
        <w:t> </w:t>
      </w:r>
      <w:r>
        <w:rPr/>
        <w:t>residential</w:t>
      </w:r>
      <w:r>
        <w:rPr>
          <w:spacing w:val="-15"/>
        </w:rPr>
        <w:t> </w:t>
      </w:r>
      <w:r>
        <w:rPr/>
        <w:t>townships</w:t>
      </w:r>
      <w:r>
        <w:rPr>
          <w:spacing w:val="-16"/>
        </w:rPr>
        <w:t> </w:t>
      </w:r>
      <w:r>
        <w:rPr/>
        <w:t>by</w:t>
      </w:r>
      <w:r>
        <w:rPr>
          <w:spacing w:val="-14"/>
        </w:rPr>
        <w:t> </w:t>
      </w:r>
      <w:r>
        <w:rPr/>
        <w:t>major developers of Pune</w:t>
      </w:r>
      <w:r>
        <w:rPr>
          <w:spacing w:val="-9"/>
        </w:rPr>
        <w:t> </w:t>
      </w:r>
      <w:r>
        <w:rPr/>
        <w:t>city.</w:t>
      </w:r>
    </w:p>
    <w:p>
      <w:pPr>
        <w:pStyle w:val="BodyText"/>
        <w:spacing w:line="321" w:lineRule="auto" w:before="122"/>
        <w:ind w:left="515" w:right="340"/>
        <w:jc w:val="both"/>
      </w:pPr>
      <w:r>
        <w:rPr>
          <w:w w:val="95"/>
        </w:rPr>
        <w:t>The</w:t>
      </w:r>
      <w:r>
        <w:rPr>
          <w:spacing w:val="-18"/>
          <w:w w:val="95"/>
        </w:rPr>
        <w:t> </w:t>
      </w:r>
      <w:r>
        <w:rPr>
          <w:w w:val="95"/>
        </w:rPr>
        <w:t>micro-market</w:t>
      </w:r>
      <w:r>
        <w:rPr>
          <w:spacing w:val="-16"/>
          <w:w w:val="95"/>
        </w:rPr>
        <w:t> </w:t>
      </w:r>
      <w:r>
        <w:rPr>
          <w:w w:val="95"/>
        </w:rPr>
        <w:t>is</w:t>
      </w:r>
      <w:r>
        <w:rPr>
          <w:spacing w:val="-17"/>
          <w:w w:val="95"/>
        </w:rPr>
        <w:t> </w:t>
      </w:r>
      <w:r>
        <w:rPr>
          <w:w w:val="95"/>
        </w:rPr>
        <w:t>expected</w:t>
      </w:r>
      <w:r>
        <w:rPr>
          <w:spacing w:val="-15"/>
          <w:w w:val="95"/>
        </w:rPr>
        <w:t> </w:t>
      </w:r>
      <w:r>
        <w:rPr>
          <w:w w:val="95"/>
        </w:rPr>
        <w:t>to</w:t>
      </w:r>
      <w:r>
        <w:rPr>
          <w:spacing w:val="-17"/>
          <w:w w:val="95"/>
        </w:rPr>
        <w:t> </w:t>
      </w:r>
      <w:r>
        <w:rPr>
          <w:w w:val="95"/>
        </w:rPr>
        <w:t>witness</w:t>
      </w:r>
      <w:r>
        <w:rPr>
          <w:spacing w:val="-18"/>
          <w:w w:val="95"/>
        </w:rPr>
        <w:t> </w:t>
      </w:r>
      <w:r>
        <w:rPr>
          <w:w w:val="95"/>
        </w:rPr>
        <w:t>sustainable</w:t>
      </w:r>
      <w:r>
        <w:rPr>
          <w:spacing w:val="-17"/>
          <w:w w:val="95"/>
        </w:rPr>
        <w:t> </w:t>
      </w:r>
      <w:r>
        <w:rPr>
          <w:w w:val="95"/>
        </w:rPr>
        <w:t>growth</w:t>
      </w:r>
      <w:r>
        <w:rPr>
          <w:spacing w:val="-16"/>
          <w:w w:val="95"/>
        </w:rPr>
        <w:t> </w:t>
      </w:r>
      <w:r>
        <w:rPr>
          <w:w w:val="95"/>
        </w:rPr>
        <w:t>in</w:t>
      </w:r>
      <w:r>
        <w:rPr>
          <w:spacing w:val="-18"/>
          <w:w w:val="95"/>
        </w:rPr>
        <w:t> </w:t>
      </w:r>
      <w:r>
        <w:rPr>
          <w:w w:val="95"/>
        </w:rPr>
        <w:t>IT/ITeS</w:t>
      </w:r>
      <w:r>
        <w:rPr>
          <w:spacing w:val="-16"/>
          <w:w w:val="95"/>
        </w:rPr>
        <w:t> </w:t>
      </w:r>
      <w:r>
        <w:rPr>
          <w:w w:val="95"/>
        </w:rPr>
        <w:t>segment</w:t>
      </w:r>
      <w:r>
        <w:rPr>
          <w:spacing w:val="-17"/>
          <w:w w:val="95"/>
        </w:rPr>
        <w:t> </w:t>
      </w:r>
      <w:r>
        <w:rPr>
          <w:w w:val="95"/>
        </w:rPr>
        <w:t>with </w:t>
      </w:r>
      <w:r>
        <w:rPr/>
        <w:t>development</w:t>
      </w:r>
      <w:r>
        <w:rPr>
          <w:spacing w:val="-31"/>
        </w:rPr>
        <w:t> </w:t>
      </w:r>
      <w:r>
        <w:rPr/>
        <w:t>of</w:t>
      </w:r>
      <w:r>
        <w:rPr>
          <w:spacing w:val="-29"/>
        </w:rPr>
        <w:t> </w:t>
      </w:r>
      <w:r>
        <w:rPr/>
        <w:t>future</w:t>
      </w:r>
      <w:r>
        <w:rPr>
          <w:spacing w:val="-30"/>
        </w:rPr>
        <w:t> </w:t>
      </w:r>
      <w:r>
        <w:rPr/>
        <w:t>phases</w:t>
      </w:r>
      <w:r>
        <w:rPr>
          <w:spacing w:val="-29"/>
        </w:rPr>
        <w:t> </w:t>
      </w:r>
      <w:r>
        <w:rPr/>
        <w:t>of</w:t>
      </w:r>
      <w:r>
        <w:rPr>
          <w:spacing w:val="-30"/>
        </w:rPr>
        <w:t> </w:t>
      </w:r>
      <w:r>
        <w:rPr/>
        <w:t>various</w:t>
      </w:r>
      <w:r>
        <w:rPr>
          <w:spacing w:val="-29"/>
        </w:rPr>
        <w:t> </w:t>
      </w:r>
      <w:r>
        <w:rPr/>
        <w:t>office</w:t>
      </w:r>
      <w:r>
        <w:rPr>
          <w:spacing w:val="-30"/>
        </w:rPr>
        <w:t> </w:t>
      </w:r>
      <w:r>
        <w:rPr/>
        <w:t>parks.</w:t>
      </w:r>
      <w:r>
        <w:rPr>
          <w:spacing w:val="-30"/>
        </w:rPr>
        <w:t> </w:t>
      </w:r>
      <w:r>
        <w:rPr/>
        <w:t>This</w:t>
      </w:r>
      <w:r>
        <w:rPr>
          <w:spacing w:val="-30"/>
        </w:rPr>
        <w:t> </w:t>
      </w:r>
      <w:r>
        <w:rPr/>
        <w:t>increase</w:t>
      </w:r>
      <w:r>
        <w:rPr>
          <w:spacing w:val="-30"/>
        </w:rPr>
        <w:t> </w:t>
      </w:r>
      <w:r>
        <w:rPr/>
        <w:t>of</w:t>
      </w:r>
      <w:r>
        <w:rPr>
          <w:spacing w:val="-30"/>
        </w:rPr>
        <w:t> </w:t>
      </w:r>
      <w:r>
        <w:rPr/>
        <w:t>commercial supply</w:t>
      </w:r>
      <w:r>
        <w:rPr>
          <w:spacing w:val="-44"/>
        </w:rPr>
        <w:t> </w:t>
      </w:r>
      <w:r>
        <w:rPr/>
        <w:t>will</w:t>
      </w:r>
      <w:r>
        <w:rPr>
          <w:spacing w:val="-45"/>
        </w:rPr>
        <w:t> </w:t>
      </w:r>
      <w:r>
        <w:rPr/>
        <w:t>be</w:t>
      </w:r>
      <w:r>
        <w:rPr>
          <w:spacing w:val="-44"/>
        </w:rPr>
        <w:t> </w:t>
      </w:r>
      <w:r>
        <w:rPr/>
        <w:t>proportionally</w:t>
      </w:r>
      <w:r>
        <w:rPr>
          <w:spacing w:val="-44"/>
        </w:rPr>
        <w:t> </w:t>
      </w:r>
      <w:r>
        <w:rPr/>
        <w:t>matched</w:t>
      </w:r>
      <w:r>
        <w:rPr>
          <w:spacing w:val="-44"/>
        </w:rPr>
        <w:t> </w:t>
      </w:r>
      <w:r>
        <w:rPr/>
        <w:t>by</w:t>
      </w:r>
      <w:r>
        <w:rPr>
          <w:spacing w:val="-44"/>
        </w:rPr>
        <w:t> </w:t>
      </w:r>
      <w:r>
        <w:rPr/>
        <w:t>residential</w:t>
      </w:r>
      <w:r>
        <w:rPr>
          <w:spacing w:val="-44"/>
        </w:rPr>
        <w:t> </w:t>
      </w:r>
      <w:r>
        <w:rPr/>
        <w:t>supply</w:t>
      </w:r>
      <w:r>
        <w:rPr>
          <w:spacing w:val="-44"/>
        </w:rPr>
        <w:t> </w:t>
      </w:r>
      <w:r>
        <w:rPr/>
        <w:t>from</w:t>
      </w:r>
      <w:r>
        <w:rPr>
          <w:spacing w:val="-45"/>
        </w:rPr>
        <w:t> </w:t>
      </w:r>
      <w:r>
        <w:rPr/>
        <w:t>developments</w:t>
      </w:r>
      <w:r>
        <w:rPr>
          <w:spacing w:val="-44"/>
        </w:rPr>
        <w:t> </w:t>
      </w:r>
      <w:r>
        <w:rPr/>
        <w:t>like Megapolis,</w:t>
      </w:r>
      <w:r>
        <w:rPr>
          <w:spacing w:val="-6"/>
        </w:rPr>
        <w:t> </w:t>
      </w:r>
      <w:r>
        <w:rPr/>
        <w:t>Life</w:t>
      </w:r>
      <w:r>
        <w:rPr>
          <w:spacing w:val="-6"/>
        </w:rPr>
        <w:t> </w:t>
      </w:r>
      <w:r>
        <w:rPr/>
        <w:t>Republic,</w:t>
      </w:r>
      <w:r>
        <w:rPr>
          <w:spacing w:val="-8"/>
        </w:rPr>
        <w:t> </w:t>
      </w:r>
      <w:r>
        <w:rPr/>
        <w:t>Blue</w:t>
      </w:r>
      <w:r>
        <w:rPr>
          <w:spacing w:val="-6"/>
        </w:rPr>
        <w:t> </w:t>
      </w:r>
      <w:r>
        <w:rPr/>
        <w:t>Ridge,</w:t>
      </w:r>
      <w:r>
        <w:rPr>
          <w:spacing w:val="-6"/>
        </w:rPr>
        <w:t> </w:t>
      </w:r>
      <w:r>
        <w:rPr/>
        <w:t>EON</w:t>
      </w:r>
      <w:r>
        <w:rPr>
          <w:spacing w:val="-7"/>
        </w:rPr>
        <w:t> </w:t>
      </w:r>
      <w:r>
        <w:rPr/>
        <w:t>homes,</w:t>
      </w:r>
      <w:r>
        <w:rPr>
          <w:spacing w:val="-8"/>
        </w:rPr>
        <w:t> </w:t>
      </w:r>
      <w:r>
        <w:rPr/>
        <w:t>Godrej</w:t>
      </w:r>
      <w:r>
        <w:rPr>
          <w:spacing w:val="-7"/>
        </w:rPr>
        <w:t> </w:t>
      </w:r>
      <w:r>
        <w:rPr/>
        <w:t>24,</w:t>
      </w:r>
      <w:r>
        <w:rPr>
          <w:spacing w:val="-6"/>
        </w:rPr>
        <w:t> </w:t>
      </w:r>
      <w:r>
        <w:rPr/>
        <w:t>etc.</w:t>
      </w:r>
    </w:p>
    <w:p>
      <w:pPr>
        <w:spacing w:after="0" w:line="321" w:lineRule="auto"/>
        <w:jc w:val="both"/>
        <w:sectPr>
          <w:type w:val="continuous"/>
          <w:pgSz w:w="11910" w:h="16840"/>
          <w:pgMar w:top="800" w:bottom="280" w:left="460" w:right="480"/>
          <w:cols w:num="2" w:equalWidth="0">
            <w:col w:w="2248" w:space="40"/>
            <w:col w:w="8682"/>
          </w:cols>
        </w:sectPr>
      </w:pPr>
    </w:p>
    <w:p>
      <w:pPr>
        <w:pStyle w:val="BodyText"/>
        <w:spacing w:before="10"/>
        <w:rPr>
          <w:sz w:val="11"/>
        </w:rPr>
      </w:pPr>
    </w:p>
    <w:p>
      <w:pPr>
        <w:spacing w:after="0"/>
        <w:rPr>
          <w:sz w:val="11"/>
        </w:rPr>
        <w:sectPr>
          <w:type w:val="continuous"/>
          <w:pgSz w:w="11910" w:h="16840"/>
          <w:pgMar w:top="800" w:bottom="280" w:left="460" w:right="480"/>
        </w:sectPr>
      </w:pPr>
    </w:p>
    <w:p>
      <w:pPr>
        <w:pStyle w:val="BodyText"/>
        <w:spacing w:line="321" w:lineRule="auto" w:before="106"/>
        <w:ind w:left="925" w:right="-14"/>
      </w:pPr>
      <w:r>
        <w:rPr>
          <w:w w:val="95"/>
        </w:rPr>
        <w:t>Suitability</w:t>
      </w:r>
      <w:r>
        <w:rPr>
          <w:spacing w:val="-39"/>
          <w:w w:val="95"/>
        </w:rPr>
        <w:t> </w:t>
      </w:r>
      <w:r>
        <w:rPr>
          <w:w w:val="95"/>
        </w:rPr>
        <w:t>of existing</w:t>
      </w:r>
      <w:r>
        <w:rPr>
          <w:spacing w:val="-5"/>
          <w:w w:val="95"/>
        </w:rPr>
        <w:t> use:</w:t>
      </w:r>
    </w:p>
    <w:p>
      <w:pPr>
        <w:pStyle w:val="BodyText"/>
        <w:spacing w:line="321" w:lineRule="auto" w:before="106"/>
        <w:ind w:left="667"/>
      </w:pPr>
      <w:r>
        <w:rPr/>
        <w:br w:type="column"/>
      </w:r>
      <w:r>
        <w:rPr/>
        <w:t>Considering the profile of surrounding developments, the subject property is opined to be suited for its current use viz. IT office park.</w:t>
      </w:r>
    </w:p>
    <w:p>
      <w:pPr>
        <w:spacing w:after="0" w:line="321" w:lineRule="auto"/>
        <w:sectPr>
          <w:type w:val="continuous"/>
          <w:pgSz w:w="11910" w:h="16840"/>
          <w:pgMar w:top="800" w:bottom="280" w:left="460" w:right="480"/>
          <w:cols w:num="2" w:equalWidth="0">
            <w:col w:w="2095" w:space="40"/>
            <w:col w:w="8835"/>
          </w:cols>
        </w:sectPr>
      </w:pPr>
    </w:p>
    <w:p>
      <w:pPr>
        <w:pStyle w:val="BodyText"/>
        <w:spacing w:before="8"/>
        <w:rPr>
          <w:sz w:val="11"/>
        </w:rPr>
      </w:pPr>
    </w:p>
    <w:p>
      <w:pPr>
        <w:pStyle w:val="BodyText"/>
        <w:tabs>
          <w:tab w:pos="2802" w:val="left" w:leader="none"/>
        </w:tabs>
        <w:spacing w:line="319" w:lineRule="auto" w:before="106"/>
        <w:ind w:left="2802" w:right="342" w:hanging="1878"/>
      </w:pPr>
      <w:r>
        <w:rPr/>
        <w:t>Shape:</w:t>
        <w:tab/>
        <w:t>The site has a general rectangular configuration and is bounded by Blueridge township internal road on three of its</w:t>
      </w:r>
      <w:r>
        <w:rPr>
          <w:spacing w:val="-34"/>
        </w:rPr>
        <w:t> </w:t>
      </w:r>
      <w:r>
        <w:rPr/>
        <w:t>sides.</w:t>
      </w:r>
    </w:p>
    <w:p>
      <w:pPr>
        <w:spacing w:after="0" w:line="319" w:lineRule="auto"/>
        <w:sectPr>
          <w:type w:val="continuous"/>
          <w:pgSz w:w="11910" w:h="16840"/>
          <w:pgMar w:top="800" w:bottom="280" w:left="460" w:right="480"/>
        </w:sectPr>
      </w:pPr>
    </w:p>
    <w:p>
      <w:pPr>
        <w:pStyle w:val="BodyText"/>
        <w:spacing w:before="11"/>
        <w:rPr>
          <w:sz w:val="19"/>
        </w:rPr>
      </w:pPr>
    </w:p>
    <w:p>
      <w:pPr>
        <w:pStyle w:val="BodyText"/>
        <w:spacing w:line="321" w:lineRule="auto" w:before="106"/>
        <w:ind w:left="2802" w:right="343" w:hanging="1878"/>
        <w:jc w:val="both"/>
      </w:pPr>
      <w:r>
        <w:rPr/>
        <w:t>Topography: </w:t>
      </w:r>
      <w:r>
        <w:rPr>
          <w:spacing w:val="9"/>
        </w:rPr>
        <w:t> </w:t>
      </w:r>
      <w:r>
        <w:rPr/>
        <w:t>Based on the site plan and as corroborated with our site visit, the site appears to be</w:t>
      </w:r>
      <w:r>
        <w:rPr>
          <w:spacing w:val="-20"/>
        </w:rPr>
        <w:t> </w:t>
      </w:r>
      <w:r>
        <w:rPr/>
        <w:t>even</w:t>
      </w:r>
      <w:r>
        <w:rPr>
          <w:spacing w:val="-19"/>
        </w:rPr>
        <w:t> </w:t>
      </w:r>
      <w:r>
        <w:rPr/>
        <w:t>and</w:t>
      </w:r>
      <w:r>
        <w:rPr>
          <w:spacing w:val="-18"/>
        </w:rPr>
        <w:t> </w:t>
      </w:r>
      <w:r>
        <w:rPr/>
        <w:t>on</w:t>
      </w:r>
      <w:r>
        <w:rPr>
          <w:spacing w:val="-19"/>
        </w:rPr>
        <w:t> </w:t>
      </w:r>
      <w:r>
        <w:rPr/>
        <w:t>the</w:t>
      </w:r>
      <w:r>
        <w:rPr>
          <w:spacing w:val="-19"/>
        </w:rPr>
        <w:t> </w:t>
      </w:r>
      <w:r>
        <w:rPr/>
        <w:t>same</w:t>
      </w:r>
      <w:r>
        <w:rPr>
          <w:spacing w:val="-21"/>
        </w:rPr>
        <w:t> </w:t>
      </w:r>
      <w:r>
        <w:rPr/>
        <w:t>level</w:t>
      </w:r>
      <w:r>
        <w:rPr>
          <w:spacing w:val="-19"/>
        </w:rPr>
        <w:t> </w:t>
      </w:r>
      <w:r>
        <w:rPr/>
        <w:t>as</w:t>
      </w:r>
      <w:r>
        <w:rPr>
          <w:spacing w:val="-17"/>
        </w:rPr>
        <w:t> </w:t>
      </w:r>
      <w:r>
        <w:rPr/>
        <w:t>abutting</w:t>
      </w:r>
      <w:r>
        <w:rPr>
          <w:spacing w:val="-18"/>
        </w:rPr>
        <w:t> </w:t>
      </w:r>
      <w:r>
        <w:rPr/>
        <w:t>access</w:t>
      </w:r>
      <w:r>
        <w:rPr>
          <w:spacing w:val="-17"/>
        </w:rPr>
        <w:t> </w:t>
      </w:r>
      <w:r>
        <w:rPr/>
        <w:t>roads</w:t>
      </w:r>
      <w:r>
        <w:rPr>
          <w:spacing w:val="-18"/>
        </w:rPr>
        <w:t> </w:t>
      </w:r>
      <w:r>
        <w:rPr/>
        <w:t>and</w:t>
      </w:r>
      <w:r>
        <w:rPr>
          <w:spacing w:val="-18"/>
        </w:rPr>
        <w:t> </w:t>
      </w:r>
      <w:r>
        <w:rPr/>
        <w:t>adjoining</w:t>
      </w:r>
      <w:r>
        <w:rPr>
          <w:spacing w:val="-17"/>
        </w:rPr>
        <w:t> </w:t>
      </w:r>
      <w:r>
        <w:rPr/>
        <w:t>properties.</w:t>
      </w:r>
    </w:p>
    <w:p>
      <w:pPr>
        <w:pStyle w:val="BodyText"/>
        <w:spacing w:before="10"/>
        <w:rPr>
          <w:sz w:val="20"/>
        </w:rPr>
      </w:pPr>
    </w:p>
    <w:p>
      <w:pPr>
        <w:pStyle w:val="BodyText"/>
        <w:tabs>
          <w:tab w:pos="2802" w:val="left" w:leader="none"/>
        </w:tabs>
        <w:spacing w:line="321" w:lineRule="auto"/>
        <w:ind w:left="2802" w:right="343" w:hanging="1878"/>
        <w:jc w:val="both"/>
      </w:pPr>
      <w:r>
        <w:rPr/>
        <w:t>Frontage:</w:t>
        <w:tab/>
        <w:t>Based</w:t>
      </w:r>
      <w:r>
        <w:rPr>
          <w:spacing w:val="-29"/>
        </w:rPr>
        <w:t> </w:t>
      </w:r>
      <w:r>
        <w:rPr/>
        <w:t>on</w:t>
      </w:r>
      <w:r>
        <w:rPr>
          <w:spacing w:val="-30"/>
        </w:rPr>
        <w:t> </w:t>
      </w:r>
      <w:r>
        <w:rPr/>
        <w:t>review</w:t>
      </w:r>
      <w:r>
        <w:rPr>
          <w:spacing w:val="-29"/>
        </w:rPr>
        <w:t> </w:t>
      </w:r>
      <w:r>
        <w:rPr/>
        <w:t>of</w:t>
      </w:r>
      <w:r>
        <w:rPr>
          <w:spacing w:val="-30"/>
        </w:rPr>
        <w:t> </w:t>
      </w:r>
      <w:r>
        <w:rPr/>
        <w:t>site</w:t>
      </w:r>
      <w:r>
        <w:rPr>
          <w:spacing w:val="-30"/>
        </w:rPr>
        <w:t> </w:t>
      </w:r>
      <w:r>
        <w:rPr/>
        <w:t>plan,</w:t>
      </w:r>
      <w:r>
        <w:rPr>
          <w:spacing w:val="-29"/>
        </w:rPr>
        <w:t> </w:t>
      </w:r>
      <w:r>
        <w:rPr/>
        <w:t>visual</w:t>
      </w:r>
      <w:r>
        <w:rPr>
          <w:spacing w:val="-30"/>
        </w:rPr>
        <w:t> </w:t>
      </w:r>
      <w:r>
        <w:rPr/>
        <w:t>inspection</w:t>
      </w:r>
      <w:r>
        <w:rPr>
          <w:spacing w:val="-29"/>
        </w:rPr>
        <w:t> </w:t>
      </w:r>
      <w:r>
        <w:rPr/>
        <w:t>and</w:t>
      </w:r>
      <w:r>
        <w:rPr>
          <w:spacing w:val="-29"/>
        </w:rPr>
        <w:t> </w:t>
      </w:r>
      <w:r>
        <w:rPr/>
        <w:t>measurements</w:t>
      </w:r>
      <w:r>
        <w:rPr>
          <w:spacing w:val="-29"/>
        </w:rPr>
        <w:t> </w:t>
      </w:r>
      <w:r>
        <w:rPr/>
        <w:t>made</w:t>
      </w:r>
      <w:r>
        <w:rPr>
          <w:spacing w:val="-30"/>
        </w:rPr>
        <w:t> </w:t>
      </w:r>
      <w:r>
        <w:rPr/>
        <w:t>on</w:t>
      </w:r>
      <w:r>
        <w:rPr>
          <w:spacing w:val="-29"/>
        </w:rPr>
        <w:t> </w:t>
      </w:r>
      <w:r>
        <w:rPr/>
        <w:t>Google maps,</w:t>
      </w:r>
      <w:r>
        <w:rPr>
          <w:spacing w:val="-16"/>
        </w:rPr>
        <w:t> </w:t>
      </w:r>
      <w:r>
        <w:rPr/>
        <w:t>we</w:t>
      </w:r>
      <w:r>
        <w:rPr>
          <w:spacing w:val="-14"/>
        </w:rPr>
        <w:t> </w:t>
      </w:r>
      <w:r>
        <w:rPr/>
        <w:t>understand</w:t>
      </w:r>
      <w:r>
        <w:rPr>
          <w:spacing w:val="-14"/>
        </w:rPr>
        <w:t> </w:t>
      </w:r>
      <w:r>
        <w:rPr/>
        <w:t>that</w:t>
      </w:r>
      <w:r>
        <w:rPr>
          <w:spacing w:val="-14"/>
        </w:rPr>
        <w:t> </w:t>
      </w:r>
      <w:r>
        <w:rPr/>
        <w:t>the</w:t>
      </w:r>
      <w:r>
        <w:rPr>
          <w:spacing w:val="-14"/>
        </w:rPr>
        <w:t> </w:t>
      </w:r>
      <w:r>
        <w:rPr/>
        <w:t>frontage</w:t>
      </w:r>
      <w:r>
        <w:rPr>
          <w:spacing w:val="-12"/>
        </w:rPr>
        <w:t> </w:t>
      </w:r>
      <w:r>
        <w:rPr/>
        <w:t>of</w:t>
      </w:r>
      <w:r>
        <w:rPr>
          <w:spacing w:val="-14"/>
        </w:rPr>
        <w:t> </w:t>
      </w:r>
      <w:r>
        <w:rPr/>
        <w:t>the</w:t>
      </w:r>
      <w:r>
        <w:rPr>
          <w:spacing w:val="-14"/>
        </w:rPr>
        <w:t> </w:t>
      </w:r>
      <w:r>
        <w:rPr/>
        <w:t>subject</w:t>
      </w:r>
      <w:r>
        <w:rPr>
          <w:spacing w:val="-14"/>
        </w:rPr>
        <w:t> </w:t>
      </w:r>
      <w:r>
        <w:rPr/>
        <w:t>property</w:t>
      </w:r>
      <w:r>
        <w:rPr>
          <w:spacing w:val="-13"/>
        </w:rPr>
        <w:t> </w:t>
      </w:r>
      <w:r>
        <w:rPr/>
        <w:t>is</w:t>
      </w:r>
      <w:r>
        <w:rPr>
          <w:spacing w:val="-14"/>
        </w:rPr>
        <w:t> </w:t>
      </w:r>
      <w:r>
        <w:rPr/>
        <w:t>approximately 300 meters along the primary access</w:t>
      </w:r>
      <w:r>
        <w:rPr>
          <w:spacing w:val="-17"/>
        </w:rPr>
        <w:t> </w:t>
      </w:r>
      <w:r>
        <w:rPr/>
        <w:t>road.</w:t>
      </w:r>
    </w:p>
    <w:p>
      <w:pPr>
        <w:pStyle w:val="BodyText"/>
        <w:tabs>
          <w:tab w:pos="2867" w:val="left" w:leader="none"/>
        </w:tabs>
        <w:spacing w:line="218" w:lineRule="auto" w:before="128"/>
        <w:ind w:left="2867" w:right="343" w:hanging="1943"/>
        <w:jc w:val="both"/>
      </w:pPr>
      <w:r>
        <w:rPr>
          <w:position w:val="-11"/>
        </w:rPr>
        <w:t>Accessibility:</w:t>
        <w:tab/>
      </w:r>
      <w:r>
        <w:rPr/>
        <w:t>The</w:t>
      </w:r>
      <w:r>
        <w:rPr>
          <w:spacing w:val="-38"/>
        </w:rPr>
        <w:t> </w:t>
      </w:r>
      <w:r>
        <w:rPr/>
        <w:t>subject</w:t>
      </w:r>
      <w:r>
        <w:rPr>
          <w:spacing w:val="-39"/>
        </w:rPr>
        <w:t> </w:t>
      </w:r>
      <w:r>
        <w:rPr/>
        <w:t>property</w:t>
      </w:r>
      <w:r>
        <w:rPr>
          <w:spacing w:val="-37"/>
        </w:rPr>
        <w:t> </w:t>
      </w:r>
      <w:r>
        <w:rPr/>
        <w:t>can</w:t>
      </w:r>
      <w:r>
        <w:rPr>
          <w:spacing w:val="-39"/>
        </w:rPr>
        <w:t> </w:t>
      </w:r>
      <w:r>
        <w:rPr/>
        <w:t>be</w:t>
      </w:r>
      <w:r>
        <w:rPr>
          <w:spacing w:val="-38"/>
        </w:rPr>
        <w:t> </w:t>
      </w:r>
      <w:r>
        <w:rPr/>
        <w:t>accessed</w:t>
      </w:r>
      <w:r>
        <w:rPr>
          <w:spacing w:val="-37"/>
        </w:rPr>
        <w:t> </w:t>
      </w:r>
      <w:r>
        <w:rPr/>
        <w:t>via</w:t>
      </w:r>
      <w:r>
        <w:rPr>
          <w:spacing w:val="-38"/>
        </w:rPr>
        <w:t> </w:t>
      </w:r>
      <w:r>
        <w:rPr/>
        <w:t>an</w:t>
      </w:r>
      <w:r>
        <w:rPr>
          <w:spacing w:val="-38"/>
        </w:rPr>
        <w:t> </w:t>
      </w:r>
      <w:r>
        <w:rPr/>
        <w:t>internal</w:t>
      </w:r>
      <w:r>
        <w:rPr>
          <w:spacing w:val="-37"/>
        </w:rPr>
        <w:t> </w:t>
      </w:r>
      <w:r>
        <w:rPr/>
        <w:t>road</w:t>
      </w:r>
      <w:r>
        <w:rPr>
          <w:spacing w:val="-37"/>
        </w:rPr>
        <w:t> </w:t>
      </w:r>
      <w:r>
        <w:rPr/>
        <w:t>connecting</w:t>
      </w:r>
      <w:r>
        <w:rPr>
          <w:spacing w:val="-37"/>
        </w:rPr>
        <w:t> </w:t>
      </w:r>
      <w:r>
        <w:rPr/>
        <w:t>the</w:t>
      </w:r>
      <w:r>
        <w:rPr>
          <w:spacing w:val="-38"/>
        </w:rPr>
        <w:t> </w:t>
      </w:r>
      <w:r>
        <w:rPr/>
        <w:t>property with Phase I of the Rajiv Gandhi InfoTech</w:t>
      </w:r>
      <w:r>
        <w:rPr>
          <w:spacing w:val="-48"/>
        </w:rPr>
        <w:t> </w:t>
      </w:r>
      <w:r>
        <w:rPr/>
        <w:t>Park.</w:t>
      </w:r>
    </w:p>
    <w:p>
      <w:pPr>
        <w:spacing w:after="0" w:line="218" w:lineRule="auto"/>
        <w:jc w:val="both"/>
        <w:sectPr>
          <w:pgSz w:w="11910" w:h="16840"/>
          <w:pgMar w:header="720" w:footer="921" w:top="1660" w:bottom="1120" w:left="460" w:right="480"/>
        </w:sectPr>
      </w:pPr>
    </w:p>
    <w:p>
      <w:pPr>
        <w:spacing w:before="75"/>
        <w:ind w:left="211" w:right="0" w:firstLine="0"/>
        <w:jc w:val="left"/>
        <w:rPr>
          <w:sz w:val="20"/>
        </w:rPr>
      </w:pPr>
      <w:r>
        <w:rPr/>
        <w:drawing>
          <wp:anchor distT="0" distB="0" distL="0" distR="0" allowOverlap="1" layoutInCell="1" locked="0" behindDoc="0" simplePos="0" relativeHeight="976">
            <wp:simplePos x="0" y="0"/>
            <wp:positionH relativeFrom="page">
              <wp:posOffset>832485</wp:posOffset>
            </wp:positionH>
            <wp:positionV relativeFrom="paragraph">
              <wp:posOffset>283078</wp:posOffset>
            </wp:positionV>
            <wp:extent cx="9725902" cy="79248"/>
            <wp:effectExtent l="0" t="0" r="0" b="0"/>
            <wp:wrapTopAndBottom/>
            <wp:docPr id="213" name="image78.png"/>
            <wp:cNvGraphicFramePr>
              <a:graphicFrameLocks noChangeAspect="1"/>
            </wp:cNvGraphicFramePr>
            <a:graphic>
              <a:graphicData uri="http://schemas.openxmlformats.org/drawingml/2006/picture">
                <pic:pic>
                  <pic:nvPicPr>
                    <pic:cNvPr id="214" name="image78.png"/>
                    <pic:cNvPicPr/>
                  </pic:nvPicPr>
                  <pic:blipFill>
                    <a:blip r:embed="rId106" cstate="print"/>
                    <a:stretch>
                      <a:fillRect/>
                    </a:stretch>
                  </pic:blipFill>
                  <pic:spPr>
                    <a:xfrm>
                      <a:off x="0" y="0"/>
                      <a:ext cx="9725902" cy="79248"/>
                    </a:xfrm>
                    <a:prstGeom prst="rect">
                      <a:avLst/>
                    </a:prstGeom>
                  </pic:spPr>
                </pic:pic>
              </a:graphicData>
            </a:graphic>
          </wp:anchor>
        </w:drawing>
      </w:r>
      <w:r>
        <w:rPr/>
        <w:drawing>
          <wp:anchor distT="0" distB="0" distL="0" distR="0" allowOverlap="1" layoutInCell="1" locked="0" behindDoc="0" simplePos="0" relativeHeight="16248832">
            <wp:simplePos x="0" y="0"/>
            <wp:positionH relativeFrom="page">
              <wp:posOffset>7620634</wp:posOffset>
            </wp:positionH>
            <wp:positionV relativeFrom="page">
              <wp:posOffset>7079716</wp:posOffset>
            </wp:positionV>
            <wp:extent cx="1079500" cy="300457"/>
            <wp:effectExtent l="0" t="0" r="0" b="0"/>
            <wp:wrapNone/>
            <wp:docPr id="215" name="image3.jpeg"/>
            <wp:cNvGraphicFramePr>
              <a:graphicFrameLocks noChangeAspect="1"/>
            </wp:cNvGraphicFramePr>
            <a:graphic>
              <a:graphicData uri="http://schemas.openxmlformats.org/drawingml/2006/picture">
                <pic:pic>
                  <pic:nvPicPr>
                    <pic:cNvPr id="216"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6249344">
            <wp:simplePos x="0" y="0"/>
            <wp:positionH relativeFrom="page">
              <wp:posOffset>8808902</wp:posOffset>
            </wp:positionH>
            <wp:positionV relativeFrom="page">
              <wp:posOffset>6944165</wp:posOffset>
            </wp:positionV>
            <wp:extent cx="909288" cy="433873"/>
            <wp:effectExtent l="0" t="0" r="0" b="0"/>
            <wp:wrapNone/>
            <wp:docPr id="217" name="image4.png"/>
            <wp:cNvGraphicFramePr>
              <a:graphicFrameLocks noChangeAspect="1"/>
            </wp:cNvGraphicFramePr>
            <a:graphic>
              <a:graphicData uri="http://schemas.openxmlformats.org/drawingml/2006/picture">
                <pic:pic>
                  <pic:nvPicPr>
                    <pic:cNvPr id="218"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BodyText"/>
        <w:spacing w:before="196"/>
        <w:ind w:left="211"/>
      </w:pPr>
      <w:r>
        <w:rPr/>
        <w:t>The following map indicates the location of the subject property and surrounding developments:</w:t>
      </w:r>
    </w:p>
    <w:p>
      <w:pPr>
        <w:pStyle w:val="BodyText"/>
        <w:spacing w:before="6"/>
        <w:rPr>
          <w:sz w:val="19"/>
        </w:rPr>
      </w:pPr>
      <w:r>
        <w:rPr/>
        <w:pict>
          <v:group style="position:absolute;margin-left:70.559998pt;margin-top:13.287539pt;width:669.7pt;height:14.2pt;mso-position-horizontal-relative:page;mso-position-vertical-relative:paragraph;z-index:-15227904;mso-wrap-distance-left:0;mso-wrap-distance-right:0" coordorigin="1411,266" coordsize="13394,284">
            <v:rect style="position:absolute;left:1411;top:296;width:13394;height:252" filled="true" fillcolor="#006a4d" stroked="false">
              <v:fill type="solid"/>
            </v:rect>
            <v:rect style="position:absolute;left:1411;top:265;width:13394;height:29" filled="true" fillcolor="#1f6b16" stroked="false">
              <v:fill type="solid"/>
            </v:rect>
            <v:rect style="position:absolute;left:1411;top:294;width:13394;height:3" filled="true" fillcolor="#006a4d" stroked="false">
              <v:fill type="solid"/>
            </v:rect>
            <v:shape style="position:absolute;left:1411;top:294;width:13394;height:255" type="#_x0000_t202" filled="false" stroked="false">
              <v:textbox inset="0,0,0,0">
                <w:txbxContent>
                  <w:p>
                    <w:pPr>
                      <w:spacing w:before="25"/>
                      <w:ind w:left="4982" w:right="4982" w:firstLine="0"/>
                      <w:jc w:val="center"/>
                      <w:rPr>
                        <w:b/>
                        <w:sz w:val="18"/>
                      </w:rPr>
                    </w:pPr>
                    <w:r>
                      <w:rPr>
                        <w:b/>
                        <w:color w:val="FFFFFF"/>
                        <w:w w:val="105"/>
                        <w:sz w:val="18"/>
                      </w:rPr>
                      <w:t>Location Map for the Subject Property</w:t>
                    </w:r>
                  </w:p>
                </w:txbxContent>
              </v:textbox>
              <w10:wrap type="none"/>
            </v:shape>
            <w10:wrap type="topAndBottom"/>
          </v:group>
        </w:pict>
      </w:r>
      <w:r>
        <w:rPr/>
        <w:pict>
          <v:group style="position:absolute;margin-left:77.950661pt;margin-top:38.700069pt;width:674.15pt;height:331.85pt;mso-position-horizontal-relative:page;mso-position-vertical-relative:paragraph;z-index:-15208960;mso-wrap-distance-left:0;mso-wrap-distance-right:0" coordorigin="1559,774" coordsize="13483,6637">
            <v:shape style="position:absolute;left:1607;top:966;width:10289;height:5977" type="#_x0000_t75" stroked="false">
              <v:imagedata r:id="rId138" o:title=""/>
            </v:shape>
            <v:shape style="position:absolute;left:1559;top:962;width:10088;height:5936" type="#_x0000_t75" stroked="false">
              <v:imagedata r:id="rId213" o:title=""/>
            </v:shape>
            <v:shape style="position:absolute;left:4645;top:3425;width:1345;height:661" type="#_x0000_t75" stroked="false">
              <v:imagedata r:id="rId140" o:title=""/>
            </v:shape>
            <v:shape style="position:absolute;left:4689;top:3433;width:1239;height:679" type="#_x0000_t75" stroked="false">
              <v:imagedata r:id="rId141" o:title=""/>
            </v:shape>
            <v:shape style="position:absolute;left:10597;top:916;width:1372;height:3397" coordorigin="10597,917" coordsize="1372,3397" path="m10804,917l10597,990,11347,3107,11347,3106,11762,4314,11969,4243,11554,3035,10804,917xe" filled="true" fillcolor="#000000" stroked="false">
              <v:path arrowok="t"/>
              <v:fill type="solid"/>
            </v:shape>
            <v:shape style="position:absolute;left:10773;top:1253;width:892;height:2298" type="#_x0000_t75" stroked="false">
              <v:imagedata r:id="rId214" o:title=""/>
            </v:shape>
            <v:shape style="position:absolute;left:7001;top:1438;width:1476;height:477" type="#_x0000_t75" stroked="false">
              <v:imagedata r:id="rId143" o:title=""/>
            </v:shape>
            <v:shape style="position:absolute;left:7079;top:1447;width:1310;height:495" type="#_x0000_t75" stroked="false">
              <v:imagedata r:id="rId144" o:title=""/>
            </v:shape>
            <v:shape style="position:absolute;left:9181;top:3433;width:451;height:451" type="#_x0000_t75" stroked="false">
              <v:imagedata r:id="rId145" o:title=""/>
            </v:shape>
            <v:shape style="position:absolute;left:9260;top:3460;width:298;height:298" type="#_x0000_t75" stroked="false">
              <v:imagedata r:id="rId215" o:title=""/>
            </v:shape>
            <v:shape style="position:absolute;left:6480;top:3674;width:1401;height:508" type="#_x0000_t75" stroked="false">
              <v:imagedata r:id="rId216" o:title=""/>
            </v:shape>
            <v:rect style="position:absolute;left:6480;top:3674;width:1401;height:508" filled="false" stroked="true" strokeweight=".437969pt" strokecolor="#a4a4a4">
              <v:stroke dashstyle="solid"/>
            </v:rect>
            <v:shape style="position:absolute;left:4597;top:2160;width:1401;height:508" type="#_x0000_t75" stroked="false">
              <v:imagedata r:id="rId198" o:title=""/>
            </v:shape>
            <v:shape style="position:absolute;left:2128;top:3980;width:1401;height:508" type="#_x0000_t75" stroked="false">
              <v:imagedata r:id="rId217" o:title=""/>
            </v:shape>
            <v:shape style="position:absolute;left:8340;top:5682;width:1204;height:1046" type="#_x0000_t75" stroked="false">
              <v:imagedata r:id="rId150" o:title=""/>
            </v:shape>
            <v:shape style="position:absolute;left:8375;top:5708;width:1143;height:1020" type="#_x0000_t75" stroked="false">
              <v:imagedata r:id="rId151" o:title=""/>
            </v:shape>
            <v:shape style="position:absolute;left:8447;top:5756;width:996;height:848" coordorigin="8447,5757" coordsize="996,848" path="m9255,5757l8447,6348,8635,6604,9443,6014,9255,5757xe" filled="true" fillcolor="#5b9bd4" stroked="false">
              <v:path arrowok="t"/>
              <v:fill type="solid"/>
            </v:shape>
            <v:shape style="position:absolute;left:8447;top:5756;width:996;height:848" coordorigin="8447,5757" coordsize="996,848" path="m8447,6348l9255,5757,9443,6014,8635,6604,8447,6348xe" filled="false" stroked="true" strokeweight=".656438pt" strokecolor="#5b9bd4">
              <v:path arrowok="t"/>
              <v:stroke dashstyle="solid"/>
            </v:shape>
            <v:shape style="position:absolute;left:8626;top:5943;width:628;height:499" coordorigin="8627,5944" coordsize="628,499" path="m8627,6333l8677,6442,8690,6433,8656,6364,8679,6364,8627,6333xm8679,6364l8656,6364,8730,6408,8724,6384,8712,6384,8679,6364xm8690,6287l8712,6384,8724,6384,8710,6325,8731,6325,8690,6287xm8731,6325l8710,6325,8766,6377,8778,6368,8731,6325xm8766,6288l8753,6297,8778,6331,8785,6339,8792,6344,8807,6347,8816,6344,8833,6332,8833,6331,8806,6331,8802,6330,8797,6329,8793,6324,8787,6316,8766,6288xm8807,6258l8794,6267,8817,6297,8821,6303,8824,6309,8824,6318,8821,6322,8811,6330,8806,6331,8833,6331,8838,6325,8838,6324,8840,6309,8838,6300,8831,6292,8807,6258xm8817,6191l8804,6200,8875,6297,8887,6288,8817,6191xm8910,6188l8899,6189,8894,6191,8881,6201,8876,6208,8875,6218,8875,6227,8878,6236,8885,6246,8892,6255,8900,6261,8918,6265,8927,6263,8940,6253,8943,6249,8944,6249,8918,6249,8907,6246,8902,6243,8893,6230,8891,6224,8891,6219,8892,6214,8895,6209,8905,6201,8911,6200,8941,6200,8936,6193,8918,6193,8914,6190,8910,6188xm8941,6200l8911,6200,8922,6202,8927,6206,8932,6212,8936,6218,8938,6224,8937,6235,8934,6239,8929,6243,8923,6247,8918,6249,8944,6249,8945,6244,8947,6239,8947,6235,8945,6230,8963,6230,8941,6200xm8963,6230l8945,6230,8953,6241,8965,6232,8963,6230xm8986,6080l8983,6081,8979,6082,8976,6083,8971,6086,8943,6107,9010,6199,9023,6189,8992,6147,8992,6147,8992,6147,9042,6147,9005,6137,9006,6136,8984,6136,8964,6109,8971,6104,8979,6098,8985,6096,9015,6096,9011,6090,9007,6087,8999,6082,8994,6080,8986,6080xm8922,6174l8910,6183,8918,6193,8936,6193,8922,6174xm9042,6147l8992,6147,8992,6147,9055,6166,9070,6154,9042,6147xm8992,6147l8992,6147,8992,6147,8992,6147xm9057,6075l9045,6084,9087,6142,9099,6133,9057,6075xm9015,6096l8985,6096,8993,6096,8997,6099,9001,6104,9005,6109,9006,6113,9004,6121,8999,6126,8984,6136,9006,6136,9014,6130,9019,6124,9020,6117,9022,6109,9020,6102,9015,6096xm9083,6056l9070,6065,9144,6106,9140,6083,9127,6083,9083,6056xm9128,6023l9115,6033,9127,6083,9140,6083,9128,6023xm9176,5989l9167,5991,9159,5997,9150,6004,9145,6012,9144,6021,9143,6031,9146,6041,9152,6050,9159,6059,9168,6065,9187,6068,9196,6066,9211,6055,9212,6054,9187,6054,9176,6052,9171,6048,9167,6043,9168,6043,9182,6033,9160,6033,9158,6029,9157,6025,9158,6020,9159,6016,9162,6012,9166,6009,9171,6005,9176,6004,9206,6004,9202,5998,9194,5993,9176,5989xm9031,6044l9028,6044,9026,6046,9024,6048,9022,6050,9022,6050,9022,6053,9022,6056,9022,6058,9024,6060,9025,6062,9028,6064,9033,6065,9036,6064,9038,6062,9040,6061,9042,6058,9042,6054,9042,6052,9042,6050,9040,6048,9039,6046,9036,6045,9031,6044xm9220,6023l9207,6024,9207,6029,9207,6031,9207,6035,9204,6043,9201,6046,9193,6053,9187,6054,9212,6054,9215,6050,9221,6038,9221,6033,9221,6029,9220,6023xm9168,6043l9167,6043,9168,6043,9168,6043xm9206,6004l9176,6004,9184,6004,9188,6006,9191,6010,9160,6033,9182,6033,9212,6011,9209,6008,9206,6004xm9211,5963l9200,5971,9242,6029,9254,6020,9234,5992,9228,5985,9226,5979,9226,5974,9219,5974,9211,5963xm9236,5944l9234,5944,9232,5945,9231,5946,9229,5946,9228,5947,9227,5948,9222,5951,9220,5955,9218,5959,9217,5964,9217,5969,9219,5974,9226,5974,9225,5968,9228,5964,9232,5961,9233,5960,9235,5959,9238,5958,9240,5957,9236,5944xe" filled="true" fillcolor="#ffffff" stroked="false">
              <v:path arrowok="t"/>
              <v:fill type="solid"/>
            </v:shape>
            <v:shape style="position:absolute;left:6403;top:1014;width:5336;height:3432" coordorigin="6404,1015" coordsize="5336,3432" path="m6952,2891l6770,2666,6626,2500,6625,2498,6599,2469,6464,2347,6451,2335,6452,2327,6492,2095,6449,2087,6404,2352,6568,2499,6737,2695,6737,2694,6737,2695,6918,2918,6952,2891xm10708,1495l10568,1209,10639,1175,10638,1174,10429,1015,10427,1279,10498,1244,10638,1529,10708,1495xm11740,4183l11666,4212,11586,4010,11513,4039,11593,4241,11520,4270,11717,4446,11731,4277,11740,4183xe" filled="true" fillcolor="#000000" stroked="false">
              <v:path arrowok="t"/>
              <v:fill type="solid"/>
            </v:shape>
            <v:shape style="position:absolute;left:9146;top:2462;width:1371;height:661" type="#_x0000_t75" stroked="false">
              <v:imagedata r:id="rId152" o:title=""/>
            </v:shape>
            <v:shape style="position:absolute;left:9225;top:2471;width:1222;height:679" type="#_x0000_t75" stroked="false">
              <v:imagedata r:id="rId153" o:title=""/>
            </v:shape>
            <v:shape style="position:absolute;left:1926;top:6162;width:442;height:565" coordorigin="1927,6162" coordsize="442,565" path="m1976,6467l1927,6727,2164,6610,2143,6594,2077,6594,2015,6546,2038,6515,1976,6467xm2038,6515l2015,6546,2077,6594,2101,6562,2038,6515xm2101,6562l2077,6594,2143,6594,2101,6562xm2306,6162l2038,6515,2101,6562,2369,6210,2306,6162xe" filled="true" fillcolor="#000000" stroked="false">
              <v:path arrowok="t"/>
              <v:fill type="solid"/>
            </v:shape>
            <v:shape style="position:absolute;left:6300;top:1841;width:386;height:377" type="#_x0000_t75" stroked="false">
              <v:imagedata r:id="rId218" o:title=""/>
            </v:shape>
            <v:shape style="position:absolute;left:6247;top:1783;width:491;height:481" coordorigin="6248,1783" coordsize="491,481" path="m6399,2081l6341,2264,6396,2223,6391,2223,6364,2204,6407,2171,6434,2088,6409,2088,6399,2081xm6541,2143l6504,2143,6493,2151,6645,2264,6632,2223,6595,2223,6579,2171,6541,2143xm6407,2171l6364,2204,6391,2223,6407,2171xm6493,2107l6407,2171,6391,2223,6396,2223,6493,2151,6483,2143,6541,2143,6493,2107xm6579,2171l6595,2223,6623,2204,6579,2171xm6675,1971l6546,2067,6579,2171,6623,2204,6595,2223,6632,2223,6590,2088,6577,2088,6583,2069,6603,2069,6692,2003,6686,2003,6675,1971xm6504,2143l6483,2143,6493,2151,6504,2143xm6403,2069l6399,2081,6409,2088,6403,2069xm6440,2069l6403,2069,6409,2088,6434,2088,6440,2069xm6583,2069l6577,2088,6587,2081,6583,2069xm6587,2081l6577,2088,6590,2088,6587,2081xm6603,2069l6583,2069,6587,2081,6603,2069xm6435,1968l6248,1968,6399,2081,6403,2069,6440,2069,6440,2067,6353,2003,6301,2003,6311,1971,6434,1971,6435,1968xm6311,1971l6301,2003,6353,2003,6311,1971xm6434,1971l6311,1971,6353,2003,6461,2003,6468,1980,6431,1980,6434,1971xm6513,1847l6510,1847,6493,1899,6526,2003,6633,2003,6664,1980,6555,1980,6539,1968,6552,1968,6513,1847xm6734,1971l6675,1971,6686,2003,6692,2003,6734,1971xm6493,1783l6431,1980,6448,1968,6472,1968,6493,1899,6477,1847,6513,1847,6493,1783xm6472,1968l6448,1968,6431,1980,6468,1980,6472,1968xm6552,1968l6539,1968,6555,1980,6552,1968xm6739,1968l6552,1968,6555,1980,6664,1980,6675,1971,6734,1971,6739,1968xm6510,1847l6477,1847,6493,1899,6510,1847xe" filled="true" fillcolor="#ff0000" stroked="false">
              <v:path arrowok="t"/>
              <v:fill type="solid"/>
            </v:shape>
            <v:shape style="position:absolute;left:4995;top:2681;width:806;height:508" coordorigin="4996,2681" coordsize="806,508" path="m5399,2681l5306,2688,5222,2707,5147,2737,5084,2776,5037,2824,5007,2877,4996,2935,5007,2993,5037,3047,5084,3094,5147,3133,5222,3163,5306,3182,5399,3189,5491,3182,5576,3163,5651,3133,5713,3094,5761,3047,5791,2993,5801,2935,5791,2877,5761,2824,5713,2776,5651,2737,5576,2707,5491,2688,5399,2681xe" filled="true" fillcolor="#ffd966" stroked="false">
              <v:path arrowok="t"/>
              <v:fill opacity="28270f" type="solid"/>
            </v:shape>
            <v:shape style="position:absolute;left:4995;top:2681;width:806;height:508" coordorigin="4996,2681" coordsize="806,508" path="m4996,2935l5037,2824,5084,2776,5147,2737,5222,2707,5306,2688,5399,2681,5491,2688,5576,2707,5651,2737,5713,2776,5761,2824,5791,2877,5801,2935,5791,2993,5761,3047,5713,3094,5651,3133,5576,3163,5491,3182,5399,3189,5306,3182,5222,3163,5147,3133,5084,3094,5037,3047,5007,2993,4996,2935xe" filled="false" stroked="true" strokeweight=".875167pt" strokecolor="#000000">
              <v:path arrowok="t"/>
              <v:stroke dashstyle="shortdash"/>
            </v:shape>
            <v:shape style="position:absolute;left:2158;top:4562;width:806;height:517" coordorigin="2159,4563" coordsize="806,517" path="m2562,4563l2469,4570,2385,4589,2310,4619,2247,4659,2200,4707,2170,4762,2159,4821,2170,4880,2200,4934,2247,4982,2310,5022,2385,5053,2469,5072,2562,5079,2654,5072,2739,5053,2814,5022,2876,4982,2924,4934,2954,4880,2965,4821,2954,4762,2924,4707,2876,4659,2814,4619,2739,4589,2654,4570,2562,4563xe" filled="true" fillcolor="#ffd966" stroked="false">
              <v:path arrowok="t"/>
              <v:fill opacity="28270f" type="solid"/>
            </v:shape>
            <v:shape style="position:absolute;left:2158;top:4562;width:806;height:517" coordorigin="2159,4563" coordsize="806,517" path="m2159,4821l2170,4762,2200,4707,2247,4659,2310,4619,2385,4589,2469,4570,2562,4563,2654,4570,2739,4589,2814,4619,2876,4659,2924,4707,2954,4762,2965,4821,2954,4880,2924,4934,2876,4982,2814,5022,2739,5053,2654,5072,2562,5079,2469,5072,2385,5053,2310,5022,2247,4982,2200,4934,2170,4880,2159,4821xe" filled="false" stroked="true" strokeweight=".875171pt" strokecolor="#000000">
              <v:path arrowok="t"/>
              <v:stroke dashstyle="shortdash"/>
            </v:shape>
            <v:shape style="position:absolute;left:3218;top:4763;width:806;height:517" coordorigin="3218,4764" coordsize="806,517" path="m3621,4764l3529,4771,3444,4790,3369,4821,3307,4861,3259,4909,3229,4963,3218,5022,3229,5081,3259,5136,3307,5184,3369,5223,3444,5254,3529,5273,3621,5280,3714,5273,3798,5254,3873,5223,3935,5184,3983,5136,4013,5081,4024,5022,4013,4963,3983,4909,3935,4861,3873,4821,3798,4790,3714,4771,3621,4764xe" filled="true" fillcolor="#ffd966" stroked="false">
              <v:path arrowok="t"/>
              <v:fill opacity="28270f" type="solid"/>
            </v:shape>
            <v:shape style="position:absolute;left:3218;top:4763;width:806;height:517" coordorigin="3218,4764" coordsize="806,517" path="m3218,5022l3229,4963,3259,4909,3307,4861,3369,4821,3444,4790,3529,4771,3621,4764,3714,4771,3798,4790,3873,4821,3935,4861,3983,4909,4013,4963,4024,5022,4013,5081,3983,5136,3935,5184,3873,5223,3798,5254,3714,5273,3621,5280,3529,5273,3444,5254,3369,5223,3307,5184,3259,5136,3229,5081,3218,5022xe" filled="false" stroked="true" strokeweight=".875171pt" strokecolor="#000000">
              <v:path arrowok="t"/>
              <v:stroke dashstyle="shortdash"/>
            </v:shape>
            <v:shape style="position:absolute;left:5880;top:3075;width:806;height:517" coordorigin="5880,3075" coordsize="806,517" path="m6283,3075l6191,3082,6106,3101,6031,3132,5969,3172,5921,3220,5891,3274,5880,3333,5891,3393,5921,3447,5969,3495,6031,3535,6106,3565,6191,3585,6283,3591,6375,3585,6460,3565,6535,3535,6597,3495,6645,3447,6675,3393,6686,3333,6675,3274,6645,3220,6597,3172,6535,3132,6460,3101,6375,3082,6283,3075xe" filled="true" fillcolor="#ffd966" stroked="false">
              <v:path arrowok="t"/>
              <v:fill opacity="28270f" type="solid"/>
            </v:shape>
            <v:shape style="position:absolute;left:5880;top:3075;width:806;height:517" coordorigin="5880,3075" coordsize="806,517" path="m5880,3333l5891,3274,5921,3220,5969,3172,6031,3132,6106,3101,6191,3082,6283,3075,6375,3082,6460,3101,6535,3132,6597,3172,6645,3220,6675,3274,6686,3333,6675,3393,6645,3447,6597,3495,6535,3535,6460,3565,6375,3585,6283,3591,6191,3585,6106,3565,6031,3535,5969,3495,5921,3447,5891,3393,5880,3333xe" filled="false" stroked="true" strokeweight=".875171pt" strokecolor="#000000">
              <v:path arrowok="t"/>
              <v:stroke dashstyle="shortdash"/>
            </v:shape>
            <v:shape style="position:absolute;left:2229;top:5175;width:806;height:508" coordorigin="2229,5175" coordsize="806,508" path="m2632,5175l2539,5182,2455,5201,2380,5231,2317,5270,2270,5317,2240,5371,2229,5429,2240,5487,2270,5541,2317,5588,2380,5627,2455,5657,2539,5676,2632,5683,2724,5676,2809,5657,2884,5627,2946,5588,2994,5541,3024,5487,3035,5429,3024,5371,2994,5317,2946,5270,2884,5231,2809,5201,2724,5182,2632,5175xe" filled="true" fillcolor="#ffd966" stroked="false">
              <v:path arrowok="t"/>
              <v:fill opacity="28270f" type="solid"/>
            </v:shape>
            <v:shape style="position:absolute;left:2229;top:5175;width:806;height:508" coordorigin="2229,5175" coordsize="806,508" path="m2229,5429l2270,5317,2317,5270,2380,5231,2455,5201,2539,5182,2632,5175,2724,5182,2809,5201,2884,5231,2946,5270,2994,5317,3024,5371,3035,5429,3024,5487,2994,5541,2946,5588,2884,5627,2809,5657,2724,5676,2632,5683,2539,5676,2455,5657,2380,5627,2317,5588,2270,5541,2240,5487,2229,5429xe" filled="false" stroked="true" strokeweight=".875167pt" strokecolor="#000000">
              <v:path arrowok="t"/>
              <v:stroke dashstyle="shortdash"/>
            </v:shape>
            <v:shape style="position:absolute;left:8472;top:3635;width:727;height:455" coordorigin="8472,3635" coordsize="727,455" path="m8835,3635l8739,3643,8652,3666,8579,3702,8522,3748,8485,3802,8472,3863,8485,3923,8522,3978,8579,4024,8652,4059,8739,4082,8835,4090,8932,4082,9019,4059,9092,4024,9149,3978,9186,3923,9199,3863,9186,3802,9149,3748,9092,3702,9019,3666,8932,3643,8835,3635xe" filled="true" fillcolor="#ffd966" stroked="false">
              <v:path arrowok="t"/>
              <v:fill opacity="28270f" type="solid"/>
            </v:shape>
            <v:shape style="position:absolute;left:8472;top:3635;width:727;height:455" coordorigin="8472,3635" coordsize="727,455" path="m8472,3863l8485,3802,8522,3748,8579,3702,8652,3666,8739,3643,8835,3635,8932,3643,9019,3666,9092,3702,9149,3748,9186,3802,9199,3863,9186,3923,9149,3978,9092,4024,9019,4059,8932,4082,8835,4090,8739,4082,8652,4059,8579,4024,8522,3978,8485,3923,8472,3863xe" filled="false" stroked="true" strokeweight=".875165pt" strokecolor="#000000">
              <v:path arrowok="t"/>
              <v:stroke dashstyle="shortdash"/>
            </v:shape>
            <v:shape style="position:absolute;left:7780;top:3906;width:806;height:517" coordorigin="7780,3906" coordsize="806,517" path="m8183,3906l8091,3913,8006,3933,7931,3963,7869,4003,7821,4051,7791,4105,7780,4165,7791,4224,7821,4278,7869,4326,7931,4366,8006,4396,8091,4416,8183,4423,8275,4416,8360,4396,8435,4366,8497,4326,8545,4278,8575,4224,8586,4165,8575,4105,8545,4051,8497,4003,8435,3963,8360,3933,8275,3913,8183,3906xe" filled="true" fillcolor="#ffd966" stroked="false">
              <v:path arrowok="t"/>
              <v:fill opacity="28270f" type="solid"/>
            </v:shape>
            <v:shape style="position:absolute;left:7780;top:3906;width:806;height:517" coordorigin="7780,3906" coordsize="806,517" path="m7780,4165l7791,4105,7821,4051,7869,4003,7931,3963,8006,3933,8091,3913,8183,3906,8275,3913,8360,3933,8435,3963,8497,4003,8545,4051,8575,4105,8586,4165,8575,4224,8545,4278,8497,4326,8435,4366,8360,4396,8275,4416,8183,4423,8091,4416,8006,4396,7931,4366,7869,4326,7821,4278,7791,4224,7780,4165xe" filled="false" stroked="true" strokeweight=".875171pt" strokecolor="#000000">
              <v:path arrowok="t"/>
              <v:stroke dashstyle="shortdash"/>
            </v:shape>
            <v:rect style="position:absolute;left:5464;top:4234;width:1401;height:508" filled="false" stroked="true" strokeweight=".437969pt" strokecolor="#2e5496">
              <v:stroke dashstyle="solid"/>
            </v:rect>
            <v:shape style="position:absolute;left:5495;top:5218;width:1266;height:661" type="#_x0000_t75" stroked="false">
              <v:imagedata r:id="rId155" o:title=""/>
            </v:shape>
            <v:shape style="position:absolute;left:5617;top:5227;width:1073;height:679" type="#_x0000_t75" stroked="false">
              <v:imagedata r:id="rId156" o:title=""/>
            </v:shape>
            <v:shape style="position:absolute;left:6931;top:2488;width:806;height:517" coordorigin="6931,2489" coordsize="806,517" path="m7334,2489l7241,2496,7157,2515,7082,2546,7020,2586,6972,2634,6942,2688,6931,2747,6942,2806,6972,2861,7020,2909,7082,2949,7157,2979,7241,2998,7334,3005,7426,2998,7511,2979,7586,2949,7648,2909,7696,2861,7726,2806,7737,2747,7726,2688,7696,2634,7648,2586,7586,2546,7511,2515,7426,2496,7334,2489xe" filled="true" fillcolor="#ffd966" stroked="false">
              <v:path arrowok="t"/>
              <v:fill opacity="28270f" type="solid"/>
            </v:shape>
            <v:shape style="position:absolute;left:6931;top:2488;width:806;height:517" coordorigin="6931,2489" coordsize="806,517" path="m6931,2747l6942,2688,6972,2634,7020,2586,7082,2546,7157,2515,7241,2496,7334,2489,7426,2496,7511,2515,7586,2546,7648,2586,7696,2634,7726,2688,7737,2747,7726,2806,7696,2861,7648,2909,7586,2949,7511,2979,7426,2998,7334,3005,7241,2998,7157,2979,7082,2949,7020,2909,6972,2861,6942,2806,6931,2747xe" filled="false" stroked="true" strokeweight=".875171pt" strokecolor="#000000">
              <v:path arrowok="t"/>
              <v:stroke dashstyle="shortdash"/>
            </v:shape>
            <v:shape style="position:absolute;left:9303;top:5070;width:618;height:609" type="#_x0000_t75" stroked="false">
              <v:imagedata r:id="rId157" o:title=""/>
            </v:shape>
            <v:shape style="position:absolute;left:4006;top:3748;width:609;height:609" type="#_x0000_t75" stroked="false">
              <v:imagedata r:id="rId158" o:title=""/>
            </v:shape>
            <v:shape style="position:absolute;left:2684;top:3311;width:425;height:425" type="#_x0000_t75" stroked="false">
              <v:imagedata r:id="rId159" o:title=""/>
            </v:shape>
            <v:shape style="position:absolute;left:2684;top:3311;width:425;height:460" type="#_x0000_t75" stroked="false">
              <v:imagedata r:id="rId160" o:title=""/>
            </v:shape>
            <v:shape style="position:absolute;left:2771;top:3372;width:254;height:254" type="#_x0000_t75" stroked="false">
              <v:imagedata r:id="rId219" o:title=""/>
            </v:shape>
            <v:shape style="position:absolute;left:10214;top:3293;width:425;height:425" type="#_x0000_t75" stroked="false">
              <v:imagedata r:id="rId159" o:title=""/>
            </v:shape>
            <v:shape style="position:absolute;left:10214;top:3293;width:425;height:460" type="#_x0000_t75" stroked="false">
              <v:imagedata r:id="rId162" o:title=""/>
            </v:shape>
            <v:shape style="position:absolute;left:10302;top:3355;width:254;height:254" type="#_x0000_t75" stroked="false">
              <v:imagedata r:id="rId220" o:title=""/>
            </v:shape>
            <v:shape style="position:absolute;left:9067;top:4693;width:416;height:425" type="#_x0000_t75" stroked="false">
              <v:imagedata r:id="rId164" o:title=""/>
            </v:shape>
            <v:shape style="position:absolute;left:9067;top:4693;width:425;height:460" type="#_x0000_t75" stroked="false">
              <v:imagedata r:id="rId165" o:title=""/>
            </v:shape>
            <v:shape style="position:absolute;left:9155;top:4755;width:246;height:254" type="#_x0000_t75" stroked="false">
              <v:imagedata r:id="rId221" o:title=""/>
            </v:shape>
            <v:shape style="position:absolute;left:9619;top:5227;width:425;height:416" type="#_x0000_t75" stroked="false">
              <v:imagedata r:id="rId167" o:title=""/>
            </v:shape>
            <v:shape style="position:absolute;left:9619;top:5227;width:425;height:460" type="#_x0000_t75" stroked="false">
              <v:imagedata r:id="rId168" o:title=""/>
            </v:shape>
            <v:shape style="position:absolute;left:9706;top:5288;width:254;height:245" type="#_x0000_t75" stroked="false">
              <v:imagedata r:id="rId169" o:title=""/>
            </v:shape>
            <v:shape style="position:absolute;left:11905;top:1439;width:3137;height:1997" coordorigin="11905,1439" coordsize="3137,1997" path="m12007,2770l11905,2770,11905,3436,12007,3436,12007,2770xm12007,1439l11905,1439,11905,2105,12007,2105,12007,1439xm15041,2770l12884,2770,12884,2770,12007,2770,12007,3436,12884,3436,12884,3436,15041,3436,15041,2770xm15041,1439l12884,1439,12884,1439,12007,1439,12007,2105,12884,2105,12884,2105,15041,2105,15041,1439xe" filled="true" fillcolor="#eaeaea" stroked="false">
              <v:path arrowok="t"/>
              <v:fill type="solid"/>
            </v:shape>
            <v:shape style="position:absolute;left:12184;top:1657;width:377;height:377" type="#_x0000_t75" stroked="false">
              <v:imagedata r:id="rId170" o:title=""/>
            </v:shape>
            <v:shape style="position:absolute;left:12132;top:1598;width:481;height:483" coordorigin="12133,1598" coordsize="481,483" path="m12281,1897l12224,2081,12279,2039,12273,2039,12246,2020,12290,1987,12315,1904,12290,1904,12281,1897xm12420,1959l12384,1959,12373,1967,12522,2081,12509,2039,12473,2039,12456,1987,12420,1959xm12290,1987l12246,2020,12273,2039,12290,1987xm12373,1923l12290,1987,12273,2039,12279,2039,12373,1967,12362,1959,12420,1959,12373,1923xm12456,1987l12473,2039,12500,2020,12456,1987xm12551,1788l12424,1884,12456,1987,12500,2020,12473,2039,12509,2039,12467,1904,12455,1904,12462,1885,12480,1885,12567,1819,12561,1819,12551,1788xm12384,1959l12362,1959,12373,1967,12384,1959xm12284,1885l12281,1897,12290,1904,12284,1885xm12321,1885l12284,1885,12290,1904,12315,1904,12321,1885xm12462,1885l12455,1904,12465,1897,12462,1885xm12465,1897l12455,1904,12467,1904,12465,1897xm12316,1784l12133,1784,12281,1897,12284,1885,12321,1885,12321,1884,12236,1819,12185,1819,12195,1788,12315,1788,12316,1784xm12480,1885l12462,1885,12465,1897,12480,1885xm12195,1788l12185,1819,12236,1819,12195,1788xm12315,1788l12195,1788,12236,1819,12341,1819,12348,1796,12312,1796,12315,1788xm12393,1663l12390,1663,12373,1717,12404,1819,12509,1819,12539,1796,12434,1796,12417,1784,12430,1784,12393,1663xm12608,1788l12551,1788,12561,1819,12567,1819,12608,1788xm12373,1598l12312,1796,12328,1784,12352,1784,12373,1717,12356,1663,12393,1663,12373,1598xm12352,1784l12328,1784,12312,1796,12348,1796,12352,1784xm12430,1784l12417,1784,12434,1796,12430,1784xm12613,1784l12430,1784,12434,1796,12539,1796,12551,1788,12608,1788,12613,1784xm12390,1663l12356,1663,12373,1717,12390,1663xe" filled="true" fillcolor="#ff0000" stroked="false">
              <v:path arrowok="t"/>
              <v:fill type="solid"/>
            </v:shape>
            <v:shape style="position:absolute;left:12114;top:2243;width:618;height:609" type="#_x0000_t75" stroked="false">
              <v:imagedata r:id="rId171" o:title=""/>
            </v:shape>
            <v:shape style="position:absolute;left:12114;top:2882;width:618;height:609" type="#_x0000_t75" stroked="false">
              <v:imagedata r:id="rId172" o:title=""/>
            </v:shape>
            <v:shape style="position:absolute;left:5827;top:6942;width:539;height:469" type="#_x0000_t75" stroked="false">
              <v:imagedata r:id="rId173" o:title=""/>
            </v:shape>
            <v:shape style="position:absolute;left:8165;top:6942;width:539;height:469" type="#_x0000_t75" stroked="false">
              <v:imagedata r:id="rId174" o:title=""/>
            </v:shape>
            <v:shape style="position:absolute;left:10538;top:6942;width:539;height:469" type="#_x0000_t75" stroked="false">
              <v:imagedata r:id="rId175" o:title=""/>
            </v:shape>
            <v:shape style="position:absolute;left:9620;top:989;width:726;height:440" type="#_x0000_t202" filled="false" stroked="false">
              <v:textbox inset="0,0,0,0">
                <w:txbxContent>
                  <w:p>
                    <w:pPr>
                      <w:spacing w:before="8"/>
                      <w:ind w:left="0" w:right="0" w:firstLine="0"/>
                      <w:jc w:val="left"/>
                      <w:rPr>
                        <w:sz w:val="18"/>
                      </w:rPr>
                    </w:pPr>
                    <w:r>
                      <w:rPr>
                        <w:spacing w:val="3"/>
                        <w:sz w:val="18"/>
                      </w:rPr>
                      <w:t>Towards</w:t>
                    </w:r>
                  </w:p>
                  <w:p>
                    <w:pPr>
                      <w:spacing w:before="10"/>
                      <w:ind w:left="8" w:right="0" w:firstLine="0"/>
                      <w:jc w:val="left"/>
                      <w:rPr>
                        <w:sz w:val="18"/>
                      </w:rPr>
                    </w:pPr>
                    <w:r>
                      <w:rPr>
                        <w:spacing w:val="4"/>
                        <w:w w:val="105"/>
                        <w:sz w:val="18"/>
                      </w:rPr>
                      <w:t>Mumbai</w:t>
                    </w:r>
                  </w:p>
                </w:txbxContent>
              </v:textbox>
              <w10:wrap type="none"/>
            </v:shape>
            <v:shape style="position:absolute;left:7079;top:1530;width:1343;height:189" type="#_x0000_t202" filled="false" stroked="false">
              <v:textbox inset="0,0,0,0">
                <w:txbxContent>
                  <w:p>
                    <w:pPr>
                      <w:spacing w:before="11"/>
                      <w:ind w:left="0" w:right="0" w:firstLine="0"/>
                      <w:jc w:val="left"/>
                      <w:rPr>
                        <w:sz w:val="15"/>
                      </w:rPr>
                    </w:pPr>
                    <w:r>
                      <w:rPr>
                        <w:w w:val="102"/>
                        <w:sz w:val="15"/>
                        <w:shd w:fill="FFC000" w:color="auto" w:val="clear"/>
                      </w:rPr>
                      <w:t> </w:t>
                    </w:r>
                    <w:r>
                      <w:rPr>
                        <w:sz w:val="15"/>
                        <w:shd w:fill="FFC000" w:color="auto" w:val="clear"/>
                      </w:rPr>
                      <w:t>   </w:t>
                    </w:r>
                    <w:r>
                      <w:rPr>
                        <w:w w:val="105"/>
                        <w:sz w:val="15"/>
                        <w:shd w:fill="FFC000" w:color="auto" w:val="clear"/>
                      </w:rPr>
                      <w:t>Marunji Road</w:t>
                    </w:r>
                    <w:r>
                      <w:rPr>
                        <w:sz w:val="15"/>
                        <w:shd w:fill="FFC000" w:color="auto" w:val="clear"/>
                      </w:rPr>
                      <w:t> </w:t>
                    </w:r>
                  </w:p>
                </w:txbxContent>
              </v:textbox>
              <w10:wrap type="none"/>
            </v:shape>
            <v:shape style="position:absolute;left:12891;top:2332;width:1432;height:211" type="#_x0000_t202" filled="false" stroked="false">
              <v:textbox inset="0,0,0,0">
                <w:txbxContent>
                  <w:p>
                    <w:pPr>
                      <w:spacing w:before="9"/>
                      <w:ind w:left="0" w:right="0" w:firstLine="0"/>
                      <w:jc w:val="left"/>
                      <w:rPr>
                        <w:sz w:val="17"/>
                      </w:rPr>
                    </w:pPr>
                    <w:r>
                      <w:rPr>
                        <w:w w:val="105"/>
                        <w:sz w:val="17"/>
                      </w:rPr>
                      <w:t>Embassy Quadron</w:t>
                    </w:r>
                  </w:p>
                </w:txbxContent>
              </v:textbox>
              <w10:wrap type="none"/>
            </v:shape>
            <v:shape style="position:absolute;left:5182;top:2844;width:475;height:179" type="#_x0000_t202" filled="false" stroked="false">
              <v:textbox inset="0,0,0,0">
                <w:txbxContent>
                  <w:p>
                    <w:pPr>
                      <w:spacing w:before="3"/>
                      <w:ind w:left="0" w:right="0" w:firstLine="0"/>
                      <w:jc w:val="left"/>
                      <w:rPr>
                        <w:sz w:val="15"/>
                      </w:rPr>
                    </w:pPr>
                    <w:r>
                      <w:rPr>
                        <w:sz w:val="15"/>
                      </w:rPr>
                      <w:t>Infosys</w:t>
                    </w:r>
                  </w:p>
                </w:txbxContent>
              </v:textbox>
              <w10:wrap type="none"/>
            </v:shape>
            <v:shape style="position:absolute;left:7073;top:2556;width:582;height:354" type="#_x0000_t202" filled="false" stroked="false">
              <v:textbox inset="0,0,0,0">
                <w:txbxContent>
                  <w:p>
                    <w:pPr>
                      <w:spacing w:before="2"/>
                      <w:ind w:left="70" w:right="0" w:firstLine="0"/>
                      <w:jc w:val="left"/>
                      <w:rPr>
                        <w:sz w:val="15"/>
                      </w:rPr>
                    </w:pPr>
                    <w:r>
                      <w:rPr>
                        <w:sz w:val="15"/>
                      </w:rPr>
                      <w:t>Wipro</w:t>
                    </w:r>
                  </w:p>
                  <w:p>
                    <w:pPr>
                      <w:spacing w:before="1"/>
                      <w:ind w:left="0" w:right="0" w:firstLine="0"/>
                      <w:jc w:val="left"/>
                      <w:rPr>
                        <w:sz w:val="15"/>
                      </w:rPr>
                    </w:pPr>
                    <w:r>
                      <w:rPr>
                        <w:w w:val="105"/>
                        <w:sz w:val="15"/>
                      </w:rPr>
                      <w:t>Campus</w:t>
                    </w:r>
                  </w:p>
                </w:txbxContent>
              </v:textbox>
              <w10:wrap type="none"/>
            </v:shape>
            <v:shape style="position:absolute;left:2856;top:3414;width:103;height:169" type="#_x0000_t202" filled="false" stroked="false">
              <v:textbox inset="0,0,0,0">
                <w:txbxContent>
                  <w:p>
                    <w:pPr>
                      <w:spacing w:before="3"/>
                      <w:ind w:left="0" w:right="0" w:firstLine="0"/>
                      <w:jc w:val="left"/>
                      <w:rPr>
                        <w:sz w:val="14"/>
                      </w:rPr>
                    </w:pPr>
                    <w:r>
                      <w:rPr>
                        <w:color w:val="FFFFFF"/>
                        <w:w w:val="112"/>
                        <w:sz w:val="14"/>
                      </w:rPr>
                      <w:t>1</w:t>
                    </w:r>
                  </w:p>
                </w:txbxContent>
              </v:textbox>
              <w10:wrap type="none"/>
            </v:shape>
            <v:shape style="position:absolute;left:6054;top:3135;width:508;height:529" type="#_x0000_t202" filled="false" stroked="false">
              <v:textbox inset="0,0,0,0">
                <w:txbxContent>
                  <w:p>
                    <w:pPr>
                      <w:spacing w:before="2"/>
                      <w:ind w:left="0" w:right="13" w:firstLine="0"/>
                      <w:jc w:val="center"/>
                      <w:rPr>
                        <w:sz w:val="15"/>
                      </w:rPr>
                    </w:pPr>
                    <w:r>
                      <w:rPr>
                        <w:w w:val="95"/>
                        <w:sz w:val="15"/>
                      </w:rPr>
                      <w:t>Int’l</w:t>
                    </w:r>
                  </w:p>
                  <w:p>
                    <w:pPr>
                      <w:spacing w:before="1"/>
                      <w:ind w:left="0" w:right="18" w:firstLine="0"/>
                      <w:jc w:val="center"/>
                      <w:rPr>
                        <w:sz w:val="15"/>
                      </w:rPr>
                    </w:pPr>
                    <w:r>
                      <w:rPr>
                        <w:w w:val="95"/>
                        <w:sz w:val="15"/>
                      </w:rPr>
                      <w:t>Biotech</w:t>
                    </w:r>
                  </w:p>
                  <w:p>
                    <w:pPr>
                      <w:spacing w:before="1"/>
                      <w:ind w:left="0" w:right="20" w:firstLine="0"/>
                      <w:jc w:val="center"/>
                      <w:rPr>
                        <w:sz w:val="15"/>
                      </w:rPr>
                    </w:pPr>
                    <w:r>
                      <w:rPr>
                        <w:sz w:val="15"/>
                      </w:rPr>
                      <w:t>Park</w:t>
                    </w:r>
                  </w:p>
                </w:txbxContent>
              </v:textbox>
              <w10:wrap type="none"/>
            </v:shape>
            <v:shape style="position:absolute;left:12891;top:2998;width:1199;height:211" type="#_x0000_t202" filled="false" stroked="false">
              <v:textbox inset="0,0,0,0">
                <w:txbxContent>
                  <w:p>
                    <w:pPr>
                      <w:spacing w:before="9"/>
                      <w:ind w:left="0" w:right="0" w:firstLine="0"/>
                      <w:jc w:val="left"/>
                      <w:rPr>
                        <w:sz w:val="17"/>
                      </w:rPr>
                    </w:pPr>
                    <w:r>
                      <w:rPr>
                        <w:w w:val="105"/>
                        <w:sz w:val="17"/>
                      </w:rPr>
                      <w:t>Embassy Qubix</w:t>
                    </w:r>
                  </w:p>
                </w:txbxContent>
              </v:textbox>
              <w10:wrap type="none"/>
            </v:shape>
            <v:shape style="position:absolute;left:10388;top:3397;width:103;height:169" type="#_x0000_t202" filled="false" stroked="false">
              <v:textbox inset="0,0,0,0">
                <w:txbxContent>
                  <w:p>
                    <w:pPr>
                      <w:spacing w:before="3"/>
                      <w:ind w:left="0" w:right="0" w:firstLine="0"/>
                      <w:jc w:val="left"/>
                      <w:rPr>
                        <w:sz w:val="14"/>
                      </w:rPr>
                    </w:pPr>
                    <w:r>
                      <w:rPr>
                        <w:color w:val="FFFFFF"/>
                        <w:w w:val="112"/>
                        <w:sz w:val="14"/>
                      </w:rPr>
                      <w:t>2</w:t>
                    </w:r>
                  </w:p>
                </w:txbxContent>
              </v:textbox>
              <w10:wrap type="none"/>
            </v:shape>
            <v:shape style="position:absolute;left:6613;top:3733;width:1143;height:382" type="#_x0000_t202" filled="false" stroked="false">
              <v:textbox inset="0,0,0,0">
                <w:txbxContent>
                  <w:p>
                    <w:pPr>
                      <w:spacing w:before="11"/>
                      <w:ind w:left="0" w:right="18" w:firstLine="0"/>
                      <w:jc w:val="center"/>
                      <w:rPr>
                        <w:sz w:val="15"/>
                      </w:rPr>
                    </w:pPr>
                    <w:r>
                      <w:rPr>
                        <w:spacing w:val="-3"/>
                        <w:w w:val="105"/>
                        <w:sz w:val="15"/>
                      </w:rPr>
                      <w:t>Hinjewadi</w:t>
                    </w:r>
                    <w:r>
                      <w:rPr>
                        <w:spacing w:val="-21"/>
                        <w:w w:val="105"/>
                        <w:sz w:val="15"/>
                      </w:rPr>
                      <w:t> </w:t>
                    </w:r>
                    <w:r>
                      <w:rPr>
                        <w:w w:val="105"/>
                        <w:sz w:val="15"/>
                      </w:rPr>
                      <w:t>Phase</w:t>
                    </w:r>
                  </w:p>
                  <w:p>
                    <w:pPr>
                      <w:spacing w:before="18"/>
                      <w:ind w:left="0" w:right="13" w:firstLine="0"/>
                      <w:jc w:val="center"/>
                      <w:rPr>
                        <w:sz w:val="15"/>
                      </w:rPr>
                    </w:pPr>
                    <w:r>
                      <w:rPr>
                        <w:w w:val="118"/>
                        <w:sz w:val="15"/>
                      </w:rPr>
                      <w:t>1</w:t>
                    </w:r>
                  </w:p>
                </w:txbxContent>
              </v:textbox>
              <w10:wrap type="none"/>
            </v:shape>
            <v:shape style="position:absolute;left:8614;top:3788;width:475;height:179" type="#_x0000_t202" filled="false" stroked="false">
              <v:textbox inset="0,0,0,0">
                <w:txbxContent>
                  <w:p>
                    <w:pPr>
                      <w:spacing w:before="3"/>
                      <w:ind w:left="0" w:right="0" w:firstLine="0"/>
                      <w:jc w:val="left"/>
                      <w:rPr>
                        <w:sz w:val="15"/>
                      </w:rPr>
                    </w:pPr>
                    <w:r>
                      <w:rPr>
                        <w:sz w:val="15"/>
                      </w:rPr>
                      <w:t>Infosys</w:t>
                    </w:r>
                  </w:p>
                </w:txbxContent>
              </v:textbox>
              <w10:wrap type="none"/>
            </v:shape>
            <v:shape style="position:absolute;left:12400;top:3664;width:2279;height:211" type="#_x0000_t202" filled="false" stroked="false">
              <v:textbox inset="0,0,0,0">
                <w:txbxContent>
                  <w:p>
                    <w:pPr>
                      <w:tabs>
                        <w:tab w:pos="491" w:val="left" w:leader="none"/>
                      </w:tabs>
                      <w:spacing w:before="9"/>
                      <w:ind w:left="0" w:right="0" w:firstLine="0"/>
                      <w:jc w:val="left"/>
                      <w:rPr>
                        <w:sz w:val="17"/>
                      </w:rPr>
                    </w:pPr>
                    <w:r>
                      <w:rPr>
                        <w:sz w:val="17"/>
                      </w:rPr>
                      <w:t>1</w:t>
                      <w:tab/>
                    </w:r>
                    <w:r>
                      <w:rPr>
                        <w:spacing w:val="-3"/>
                        <w:sz w:val="17"/>
                      </w:rPr>
                      <w:t>International </w:t>
                    </w:r>
                    <w:r>
                      <w:rPr>
                        <w:sz w:val="17"/>
                      </w:rPr>
                      <w:t>Tech</w:t>
                    </w:r>
                    <w:r>
                      <w:rPr>
                        <w:spacing w:val="10"/>
                        <w:sz w:val="17"/>
                      </w:rPr>
                      <w:t> </w:t>
                    </w:r>
                    <w:r>
                      <w:rPr>
                        <w:sz w:val="17"/>
                      </w:rPr>
                      <w:t>Park</w:t>
                    </w:r>
                  </w:p>
                </w:txbxContent>
              </v:textbox>
              <w10:wrap type="none"/>
            </v:shape>
            <v:shape style="position:absolute;left:7920;top:3999;width:580;height:355" type="#_x0000_t202" filled="false" stroked="false">
              <v:textbox inset="0,0,0,0">
                <w:txbxContent>
                  <w:p>
                    <w:pPr>
                      <w:spacing w:before="3"/>
                      <w:ind w:left="70" w:right="0" w:firstLine="0"/>
                      <w:jc w:val="left"/>
                      <w:rPr>
                        <w:sz w:val="15"/>
                      </w:rPr>
                    </w:pPr>
                    <w:r>
                      <w:rPr>
                        <w:sz w:val="15"/>
                      </w:rPr>
                      <w:t>Wipro</w:t>
                    </w:r>
                  </w:p>
                  <w:p>
                    <w:pPr>
                      <w:spacing w:before="1"/>
                      <w:ind w:left="0" w:right="0" w:firstLine="0"/>
                      <w:jc w:val="left"/>
                      <w:rPr>
                        <w:sz w:val="15"/>
                      </w:rPr>
                    </w:pPr>
                    <w:r>
                      <w:rPr>
                        <w:w w:val="105"/>
                        <w:sz w:val="15"/>
                      </w:rPr>
                      <w:t>Campus</w:t>
                    </w:r>
                  </w:p>
                </w:txbxContent>
              </v:textbox>
              <w10:wrap type="none"/>
            </v:shape>
            <v:shape style="position:absolute;left:9496;top:3778;width:527;height:383" type="#_x0000_t202" filled="false" stroked="false">
              <v:textbox inset="0,0,0,0">
                <w:txbxContent>
                  <w:p>
                    <w:pPr>
                      <w:spacing w:line="266" w:lineRule="auto" w:before="11"/>
                      <w:ind w:left="0" w:right="11" w:firstLine="26"/>
                      <w:jc w:val="left"/>
                      <w:rPr>
                        <w:sz w:val="15"/>
                      </w:rPr>
                    </w:pPr>
                    <w:r>
                      <w:rPr>
                        <w:sz w:val="15"/>
                      </w:rPr>
                      <w:t>Shivaji </w:t>
                    </w:r>
                    <w:r>
                      <w:rPr>
                        <w:w w:val="105"/>
                        <w:sz w:val="15"/>
                      </w:rPr>
                      <w:t>Chowk</w:t>
                    </w:r>
                  </w:p>
                </w:txbxContent>
              </v:textbox>
              <w10:wrap type="none"/>
            </v:shape>
            <v:shape style="position:absolute;left:10821;top:4056;width:725;height:440" type="#_x0000_t202" filled="false" stroked="false">
              <v:textbox inset="0,0,0,0">
                <w:txbxContent>
                  <w:p>
                    <w:pPr>
                      <w:spacing w:line="252" w:lineRule="auto" w:before="8"/>
                      <w:ind w:left="140" w:right="0" w:hanging="141"/>
                      <w:jc w:val="left"/>
                      <w:rPr>
                        <w:sz w:val="18"/>
                      </w:rPr>
                    </w:pPr>
                    <w:r>
                      <w:rPr>
                        <w:sz w:val="18"/>
                      </w:rPr>
                      <w:t>Towards Pune</w:t>
                    </w:r>
                  </w:p>
                </w:txbxContent>
              </v:textbox>
              <w10:wrap type="none"/>
            </v:shape>
            <v:shape style="position:absolute;left:2428;top:4734;width:298;height:179" type="#_x0000_t202" filled="false" stroked="false">
              <v:textbox inset="0,0,0,0">
                <w:txbxContent>
                  <w:p>
                    <w:pPr>
                      <w:spacing w:before="3"/>
                      <w:ind w:left="0" w:right="0" w:firstLine="0"/>
                      <w:jc w:val="left"/>
                      <w:rPr>
                        <w:sz w:val="15"/>
                      </w:rPr>
                    </w:pPr>
                    <w:r>
                      <w:rPr>
                        <w:w w:val="105"/>
                        <w:sz w:val="15"/>
                      </w:rPr>
                      <w:t>TCS</w:t>
                    </w:r>
                  </w:p>
                </w:txbxContent>
              </v:textbox>
              <w10:wrap type="none"/>
            </v:shape>
            <v:shape style="position:absolute;left:3304;top:4805;width:666;height:355" type="#_x0000_t202" filled="false" stroked="false">
              <v:textbox inset="0,0,0,0">
                <w:txbxContent>
                  <w:p>
                    <w:pPr>
                      <w:spacing w:before="3"/>
                      <w:ind w:left="0" w:right="27" w:firstLine="0"/>
                      <w:jc w:val="center"/>
                      <w:rPr>
                        <w:sz w:val="15"/>
                      </w:rPr>
                    </w:pPr>
                    <w:r>
                      <w:rPr>
                        <w:sz w:val="15"/>
                      </w:rPr>
                      <w:t>Tech</w:t>
                    </w:r>
                  </w:p>
                  <w:p>
                    <w:pPr>
                      <w:spacing w:before="1"/>
                      <w:ind w:left="0" w:right="18" w:firstLine="0"/>
                      <w:jc w:val="center"/>
                      <w:rPr>
                        <w:sz w:val="15"/>
                      </w:rPr>
                    </w:pPr>
                    <w:r>
                      <w:rPr>
                        <w:sz w:val="15"/>
                      </w:rPr>
                      <w:t>Mahindra</w:t>
                    </w:r>
                  </w:p>
                </w:txbxContent>
              </v:textbox>
              <w10:wrap type="none"/>
            </v:shape>
            <v:shape style="position:absolute;left:9240;top:4799;width:103;height:169" type="#_x0000_t202" filled="false" stroked="false">
              <v:textbox inset="0,0,0,0">
                <w:txbxContent>
                  <w:p>
                    <w:pPr>
                      <w:spacing w:before="3"/>
                      <w:ind w:left="0" w:right="0" w:firstLine="0"/>
                      <w:jc w:val="left"/>
                      <w:rPr>
                        <w:sz w:val="14"/>
                      </w:rPr>
                    </w:pPr>
                    <w:r>
                      <w:rPr>
                        <w:color w:val="FFFFFF"/>
                        <w:w w:val="112"/>
                        <w:sz w:val="14"/>
                      </w:rPr>
                      <w:t>3</w:t>
                    </w:r>
                  </w:p>
                </w:txbxContent>
              </v:textbox>
              <w10:wrap type="none"/>
            </v:shape>
            <v:shape style="position:absolute;left:12400;top:4998;width:1814;height:210" type="#_x0000_t202" filled="false" stroked="false">
              <v:textbox inset="0,0,0,0">
                <w:txbxContent>
                  <w:p>
                    <w:pPr>
                      <w:tabs>
                        <w:tab w:pos="491" w:val="left" w:leader="none"/>
                      </w:tabs>
                      <w:spacing w:before="9"/>
                      <w:ind w:left="0" w:right="0" w:firstLine="0"/>
                      <w:jc w:val="left"/>
                      <w:rPr>
                        <w:sz w:val="17"/>
                      </w:rPr>
                    </w:pPr>
                    <w:r>
                      <w:rPr>
                        <w:sz w:val="17"/>
                      </w:rPr>
                      <w:t>3</w:t>
                      <w:tab/>
                      <w:t>Radius Tech</w:t>
                    </w:r>
                    <w:r>
                      <w:rPr>
                        <w:spacing w:val="-2"/>
                        <w:sz w:val="17"/>
                      </w:rPr>
                      <w:t> </w:t>
                    </w:r>
                    <w:r>
                      <w:rPr>
                        <w:sz w:val="17"/>
                      </w:rPr>
                      <w:t>Park</w:t>
                    </w:r>
                  </w:p>
                </w:txbxContent>
              </v:textbox>
              <w10:wrap type="none"/>
            </v:shape>
            <v:shape style="position:absolute;left:2295;top:5342;width:702;height:179" type="#_x0000_t202" filled="false" stroked="false">
              <v:textbox inset="0,0,0,0">
                <w:txbxContent>
                  <w:p>
                    <w:pPr>
                      <w:spacing w:before="2"/>
                      <w:ind w:left="0" w:right="0" w:firstLine="0"/>
                      <w:jc w:val="left"/>
                      <w:rPr>
                        <w:sz w:val="15"/>
                      </w:rPr>
                    </w:pPr>
                    <w:r>
                      <w:rPr>
                        <w:sz w:val="15"/>
                      </w:rPr>
                      <w:t>Megapolis</w:t>
                    </w:r>
                  </w:p>
                </w:txbxContent>
              </v:textbox>
              <w10:wrap type="none"/>
            </v:shape>
            <v:shape style="position:absolute;left:8371;top:5234;width:766;height:382" type="#_x0000_t202" filled="false" stroked="false">
              <v:textbox inset="0,0,0,0">
                <w:txbxContent>
                  <w:p>
                    <w:pPr>
                      <w:spacing w:before="11"/>
                      <w:ind w:left="0" w:right="0" w:firstLine="0"/>
                      <w:jc w:val="left"/>
                      <w:rPr>
                        <w:sz w:val="15"/>
                      </w:rPr>
                    </w:pPr>
                    <w:r>
                      <w:rPr>
                        <w:spacing w:val="5"/>
                        <w:sz w:val="15"/>
                      </w:rPr>
                      <w:t>Blue</w:t>
                    </w:r>
                    <w:r>
                      <w:rPr>
                        <w:spacing w:val="11"/>
                        <w:sz w:val="15"/>
                      </w:rPr>
                      <w:t> </w:t>
                    </w:r>
                    <w:r>
                      <w:rPr>
                        <w:sz w:val="15"/>
                      </w:rPr>
                      <w:t>Ridge</w:t>
                    </w:r>
                  </w:p>
                  <w:p>
                    <w:pPr>
                      <w:spacing w:before="18"/>
                      <w:ind w:left="43" w:right="0" w:firstLine="0"/>
                      <w:jc w:val="left"/>
                      <w:rPr>
                        <w:sz w:val="15"/>
                      </w:rPr>
                    </w:pPr>
                    <w:r>
                      <w:rPr>
                        <w:spacing w:val="3"/>
                        <w:w w:val="105"/>
                        <w:sz w:val="15"/>
                      </w:rPr>
                      <w:t>Township</w:t>
                    </w:r>
                  </w:p>
                </w:txbxContent>
              </v:textbox>
              <w10:wrap type="none"/>
            </v:shape>
            <v:shape style="position:absolute;left:9796;top:5330;width:103;height:168" type="#_x0000_t202" filled="false" stroked="false">
              <v:textbox inset="0,0,0,0">
                <w:txbxContent>
                  <w:p>
                    <w:pPr>
                      <w:spacing w:before="3"/>
                      <w:ind w:left="0" w:right="0" w:firstLine="0"/>
                      <w:jc w:val="left"/>
                      <w:rPr>
                        <w:sz w:val="14"/>
                      </w:rPr>
                    </w:pPr>
                    <w:r>
                      <w:rPr>
                        <w:color w:val="FFFFFF"/>
                        <w:w w:val="112"/>
                        <w:sz w:val="14"/>
                      </w:rPr>
                      <w:t>4</w:t>
                    </w:r>
                  </w:p>
                </w:txbxContent>
              </v:textbox>
              <w10:wrap type="none"/>
            </v:shape>
            <v:shape style="position:absolute;left:1633;top:6263;width:4262;height:967" type="#_x0000_t202" filled="false" stroked="false">
              <v:textbox inset="0,0,0,0">
                <w:txbxContent>
                  <w:p>
                    <w:pPr>
                      <w:spacing w:before="8"/>
                      <w:ind w:left="732" w:right="0" w:firstLine="0"/>
                      <w:jc w:val="left"/>
                      <w:rPr>
                        <w:sz w:val="18"/>
                      </w:rPr>
                    </w:pPr>
                    <w:r>
                      <w:rPr>
                        <w:spacing w:val="4"/>
                        <w:sz w:val="18"/>
                      </w:rPr>
                      <w:t>Towards</w:t>
                    </w:r>
                  </w:p>
                  <w:p>
                    <w:pPr>
                      <w:spacing w:before="9"/>
                      <w:ind w:left="741" w:right="0" w:firstLine="0"/>
                      <w:jc w:val="left"/>
                      <w:rPr>
                        <w:sz w:val="18"/>
                      </w:rPr>
                    </w:pPr>
                    <w:r>
                      <w:rPr>
                        <w:spacing w:val="3"/>
                        <w:sz w:val="18"/>
                      </w:rPr>
                      <w:t>Pirangut</w:t>
                    </w:r>
                  </w:p>
                  <w:p>
                    <w:pPr>
                      <w:spacing w:line="240" w:lineRule="auto" w:before="5"/>
                      <w:rPr>
                        <w:sz w:val="27"/>
                      </w:rPr>
                    </w:pPr>
                  </w:p>
                  <w:p>
                    <w:pPr>
                      <w:spacing w:before="0"/>
                      <w:ind w:left="0" w:right="0" w:firstLine="0"/>
                      <w:jc w:val="left"/>
                      <w:rPr>
                        <w:i/>
                        <w:sz w:val="18"/>
                      </w:rPr>
                    </w:pPr>
                    <w:r>
                      <w:rPr>
                        <w:i/>
                        <w:sz w:val="18"/>
                        <w:u w:val="single"/>
                      </w:rPr>
                      <w:t>Map</w:t>
                    </w:r>
                    <w:r>
                      <w:rPr>
                        <w:i/>
                        <w:spacing w:val="-7"/>
                        <w:sz w:val="18"/>
                        <w:u w:val="single"/>
                      </w:rPr>
                      <w:t> </w:t>
                    </w:r>
                    <w:r>
                      <w:rPr>
                        <w:i/>
                        <w:sz w:val="18"/>
                        <w:u w:val="single"/>
                      </w:rPr>
                      <w:t>Not</w:t>
                    </w:r>
                    <w:r>
                      <w:rPr>
                        <w:i/>
                        <w:spacing w:val="-8"/>
                        <w:sz w:val="18"/>
                        <w:u w:val="single"/>
                      </w:rPr>
                      <w:t> </w:t>
                    </w:r>
                    <w:r>
                      <w:rPr>
                        <w:i/>
                        <w:sz w:val="18"/>
                        <w:u w:val="single"/>
                      </w:rPr>
                      <w:t>to</w:t>
                    </w:r>
                    <w:r>
                      <w:rPr>
                        <w:i/>
                        <w:spacing w:val="-13"/>
                        <w:sz w:val="18"/>
                        <w:u w:val="single"/>
                      </w:rPr>
                      <w:t> </w:t>
                    </w:r>
                    <w:r>
                      <w:rPr>
                        <w:i/>
                        <w:sz w:val="18"/>
                        <w:u w:val="single"/>
                      </w:rPr>
                      <w:t>Scale</w:t>
                    </w:r>
                    <w:r>
                      <w:rPr>
                        <w:i/>
                        <w:spacing w:val="-13"/>
                        <w:sz w:val="18"/>
                        <w:u w:val="single"/>
                      </w:rPr>
                      <w:t> </w:t>
                    </w:r>
                    <w:r>
                      <w:rPr>
                        <w:i/>
                        <w:sz w:val="18"/>
                        <w:u w:val="single"/>
                      </w:rPr>
                      <w:t>(For</w:t>
                    </w:r>
                    <w:r>
                      <w:rPr>
                        <w:i/>
                        <w:spacing w:val="-8"/>
                        <w:sz w:val="18"/>
                        <w:u w:val="single"/>
                      </w:rPr>
                      <w:t> </w:t>
                    </w:r>
                    <w:r>
                      <w:rPr>
                        <w:i/>
                        <w:sz w:val="18"/>
                        <w:u w:val="single"/>
                      </w:rPr>
                      <w:t>Representation</w:t>
                    </w:r>
                    <w:r>
                      <w:rPr>
                        <w:i/>
                        <w:spacing w:val="-10"/>
                        <w:sz w:val="18"/>
                        <w:u w:val="single"/>
                      </w:rPr>
                      <w:t> </w:t>
                    </w:r>
                    <w:r>
                      <w:rPr>
                        <w:i/>
                        <w:sz w:val="18"/>
                        <w:u w:val="single"/>
                      </w:rPr>
                      <w:t>Purposes</w:t>
                    </w:r>
                    <w:r>
                      <w:rPr>
                        <w:i/>
                        <w:spacing w:val="-21"/>
                        <w:sz w:val="18"/>
                        <w:u w:val="single"/>
                      </w:rPr>
                      <w:t> </w:t>
                    </w:r>
                    <w:r>
                      <w:rPr>
                        <w:i/>
                        <w:sz w:val="18"/>
                        <w:u w:val="single"/>
                      </w:rPr>
                      <w:t>Only)</w:t>
                    </w:r>
                  </w:p>
                </w:txbxContent>
              </v:textbox>
              <w10:wrap type="none"/>
            </v:shape>
            <v:shape style="position:absolute;left:6327;top:7023;width:1832;height:253" type="#_x0000_t202" filled="false" stroked="false">
              <v:textbox inset="0,0,0,0">
                <w:txbxContent>
                  <w:p>
                    <w:pPr>
                      <w:spacing w:before="5"/>
                      <w:ind w:left="0" w:right="0" w:firstLine="0"/>
                      <w:jc w:val="left"/>
                      <w:rPr>
                        <w:sz w:val="21"/>
                      </w:rPr>
                    </w:pPr>
                    <w:r>
                      <w:rPr>
                        <w:sz w:val="21"/>
                      </w:rPr>
                      <w:t>Embassy Tech Zone</w:t>
                    </w:r>
                  </w:p>
                </w:txbxContent>
              </v:textbox>
              <w10:wrap type="none"/>
            </v:shape>
            <v:shape style="position:absolute;left:8656;top:7017;width:1722;height:253" type="#_x0000_t202" filled="false" stroked="false">
              <v:textbox inset="0,0,0,0">
                <w:txbxContent>
                  <w:p>
                    <w:pPr>
                      <w:spacing w:before="5"/>
                      <w:ind w:left="0" w:right="0" w:firstLine="0"/>
                      <w:jc w:val="left"/>
                      <w:rPr>
                        <w:sz w:val="21"/>
                      </w:rPr>
                    </w:pPr>
                    <w:r>
                      <w:rPr>
                        <w:w w:val="105"/>
                        <w:sz w:val="21"/>
                      </w:rPr>
                      <w:t>Embassy</w:t>
                    </w:r>
                    <w:r>
                      <w:rPr>
                        <w:spacing w:val="-27"/>
                        <w:w w:val="105"/>
                        <w:sz w:val="21"/>
                      </w:rPr>
                      <w:t> </w:t>
                    </w:r>
                    <w:r>
                      <w:rPr>
                        <w:w w:val="105"/>
                        <w:sz w:val="21"/>
                      </w:rPr>
                      <w:t>Quadron</w:t>
                    </w:r>
                  </w:p>
                </w:txbxContent>
              </v:textbox>
              <w10:wrap type="none"/>
            </v:shape>
            <v:shape style="position:absolute;left:11046;top:7017;width:1434;height:253" type="#_x0000_t202" filled="false" stroked="false">
              <v:textbox inset="0,0,0,0">
                <w:txbxContent>
                  <w:p>
                    <w:pPr>
                      <w:spacing w:before="5"/>
                      <w:ind w:left="0" w:right="0" w:firstLine="0"/>
                      <w:jc w:val="left"/>
                      <w:rPr>
                        <w:sz w:val="21"/>
                      </w:rPr>
                    </w:pPr>
                    <w:r>
                      <w:rPr>
                        <w:sz w:val="21"/>
                      </w:rPr>
                      <w:t>Embassy Qubix</w:t>
                    </w:r>
                  </w:p>
                </w:txbxContent>
              </v:textbox>
              <w10:wrap type="none"/>
            </v:shape>
            <v:shape style="position:absolute;left:5468;top:4212;width:1393;height:525" type="#_x0000_t202" filled="true" fillcolor="#dae2f3" stroked="false">
              <v:textbox inset="0,0,0,0">
                <w:txbxContent>
                  <w:p>
                    <w:pPr>
                      <w:spacing w:before="93"/>
                      <w:ind w:left="254" w:right="0" w:firstLine="0"/>
                      <w:jc w:val="left"/>
                      <w:rPr>
                        <w:sz w:val="15"/>
                      </w:rPr>
                    </w:pPr>
                    <w:r>
                      <w:rPr>
                        <w:w w:val="105"/>
                        <w:sz w:val="15"/>
                      </w:rPr>
                      <w:t>Rajiv</w:t>
                    </w:r>
                    <w:r>
                      <w:rPr>
                        <w:spacing w:val="-17"/>
                        <w:w w:val="105"/>
                        <w:sz w:val="15"/>
                      </w:rPr>
                      <w:t> </w:t>
                    </w:r>
                    <w:r>
                      <w:rPr>
                        <w:w w:val="105"/>
                        <w:sz w:val="15"/>
                      </w:rPr>
                      <w:t>Gandhi</w:t>
                    </w:r>
                  </w:p>
                  <w:p>
                    <w:pPr>
                      <w:spacing w:before="18"/>
                      <w:ind w:left="246" w:right="0" w:firstLine="0"/>
                      <w:jc w:val="left"/>
                      <w:rPr>
                        <w:sz w:val="15"/>
                      </w:rPr>
                    </w:pPr>
                    <w:r>
                      <w:rPr>
                        <w:sz w:val="15"/>
                      </w:rPr>
                      <w:t>Infotech</w:t>
                    </w:r>
                    <w:r>
                      <w:rPr>
                        <w:spacing w:val="-3"/>
                        <w:sz w:val="15"/>
                      </w:rPr>
                      <w:t> Park</w:t>
                    </w:r>
                  </w:p>
                </w:txbxContent>
              </v:textbox>
              <v:fill type="solid"/>
              <w10:wrap type="none"/>
            </v:shape>
            <v:shape style="position:absolute;left:11905;top:1439;width:3137;height:666" type="#_x0000_t202" filled="false" stroked="false">
              <v:textbox inset="0,0,0,0">
                <w:txbxContent>
                  <w:p>
                    <w:pPr>
                      <w:spacing w:line="240" w:lineRule="auto" w:before="3"/>
                      <w:rPr>
                        <w:sz w:val="20"/>
                      </w:rPr>
                    </w:pPr>
                  </w:p>
                  <w:p>
                    <w:pPr>
                      <w:spacing w:before="0"/>
                      <w:ind w:left="986" w:right="0" w:firstLine="0"/>
                      <w:jc w:val="left"/>
                      <w:rPr>
                        <w:sz w:val="17"/>
                      </w:rPr>
                    </w:pPr>
                    <w:r>
                      <w:rPr>
                        <w:sz w:val="17"/>
                      </w:rPr>
                      <w:t>Embassy Techzone</w:t>
                    </w:r>
                  </w:p>
                </w:txbxContent>
              </v:textbox>
              <w10:wrap type="none"/>
            </v:shape>
            <v:shape style="position:absolute;left:11905;top:5432;width:3137;height:666" type="#_x0000_t202" filled="true" fillcolor="#eaeaea" stroked="false">
              <v:textbox inset="0,0,0,0">
                <w:txbxContent>
                  <w:p>
                    <w:pPr>
                      <w:spacing w:line="240" w:lineRule="auto" w:before="9"/>
                      <w:rPr>
                        <w:sz w:val="20"/>
                      </w:rPr>
                    </w:pPr>
                  </w:p>
                  <w:p>
                    <w:pPr>
                      <w:tabs>
                        <w:tab w:pos="986" w:val="left" w:leader="none"/>
                      </w:tabs>
                      <w:spacing w:before="0"/>
                      <w:ind w:left="495" w:right="0" w:firstLine="0"/>
                      <w:jc w:val="left"/>
                      <w:rPr>
                        <w:sz w:val="17"/>
                      </w:rPr>
                    </w:pPr>
                    <w:r>
                      <w:rPr>
                        <w:w w:val="105"/>
                        <w:sz w:val="17"/>
                      </w:rPr>
                      <w:t>4</w:t>
                      <w:tab/>
                      <w:t>Blue Ridge -</w:t>
                    </w:r>
                    <w:r>
                      <w:rPr>
                        <w:spacing w:val="-20"/>
                        <w:w w:val="105"/>
                        <w:sz w:val="17"/>
                      </w:rPr>
                      <w:t> </w:t>
                    </w:r>
                    <w:r>
                      <w:rPr>
                        <w:w w:val="105"/>
                        <w:sz w:val="17"/>
                      </w:rPr>
                      <w:t>Ascendas</w:t>
                    </w:r>
                  </w:p>
                </w:txbxContent>
              </v:textbox>
              <v:fill type="solid"/>
              <w10:wrap type="none"/>
            </v:shape>
            <v:shape style="position:absolute;left:5573;top:5245;width:1113;height:508" type="#_x0000_t202" filled="true" fillcolor="#ffc000" stroked="false">
              <v:textbox inset="0,0,0,0">
                <w:txbxContent>
                  <w:p>
                    <w:pPr>
                      <w:spacing w:line="266" w:lineRule="auto" w:before="77"/>
                      <w:ind w:left="381" w:right="0" w:hanging="158"/>
                      <w:jc w:val="left"/>
                      <w:rPr>
                        <w:sz w:val="15"/>
                      </w:rPr>
                    </w:pPr>
                    <w:r>
                      <w:rPr>
                        <w:sz w:val="15"/>
                      </w:rPr>
                      <w:t>Hinjewadi </w:t>
                    </w:r>
                    <w:r>
                      <w:rPr>
                        <w:w w:val="105"/>
                        <w:sz w:val="15"/>
                      </w:rPr>
                      <w:t>Road</w:t>
                    </w:r>
                  </w:p>
                </w:txbxContent>
              </v:textbox>
              <v:fill type="solid"/>
              <w10:wrap type="none"/>
            </v:shape>
            <v:shape style="position:absolute;left:11905;top:4101;width:3137;height:666" type="#_x0000_t202" filled="true" fillcolor="#eaeaea" stroked="false">
              <v:textbox inset="0,0,0,0">
                <w:txbxContent>
                  <w:p>
                    <w:pPr>
                      <w:spacing w:line="240" w:lineRule="auto" w:before="7"/>
                      <w:rPr>
                        <w:sz w:val="20"/>
                      </w:rPr>
                    </w:pPr>
                  </w:p>
                  <w:p>
                    <w:pPr>
                      <w:tabs>
                        <w:tab w:pos="986" w:val="left" w:leader="none"/>
                      </w:tabs>
                      <w:spacing w:before="0"/>
                      <w:ind w:left="495" w:right="0" w:firstLine="0"/>
                      <w:jc w:val="left"/>
                      <w:rPr>
                        <w:sz w:val="17"/>
                      </w:rPr>
                    </w:pPr>
                    <w:r>
                      <w:rPr>
                        <w:sz w:val="17"/>
                      </w:rPr>
                      <w:t>2</w:t>
                      <w:tab/>
                      <w:t>Panchshil Tech</w:t>
                    </w:r>
                    <w:r>
                      <w:rPr>
                        <w:spacing w:val="15"/>
                        <w:sz w:val="17"/>
                      </w:rPr>
                      <w:t> </w:t>
                    </w:r>
                    <w:r>
                      <w:rPr>
                        <w:sz w:val="17"/>
                      </w:rPr>
                      <w:t>Park</w:t>
                    </w:r>
                  </w:p>
                </w:txbxContent>
              </v:textbox>
              <v:fill type="solid"/>
              <w10:wrap type="none"/>
            </v:shape>
            <v:shape style="position:absolute;left:2128;top:3980;width:1401;height:508" type="#_x0000_t202" filled="false" stroked="true" strokeweight=".437969pt" strokecolor="#a4a4a4">
              <v:textbox inset="0,0,0,0">
                <w:txbxContent>
                  <w:p>
                    <w:pPr>
                      <w:spacing w:before="65"/>
                      <w:ind w:left="90" w:right="96" w:firstLine="0"/>
                      <w:jc w:val="center"/>
                      <w:rPr>
                        <w:sz w:val="15"/>
                      </w:rPr>
                    </w:pPr>
                    <w:r>
                      <w:rPr>
                        <w:w w:val="105"/>
                        <w:sz w:val="15"/>
                      </w:rPr>
                      <w:t>Hinjewadi Phase</w:t>
                    </w:r>
                  </w:p>
                  <w:p>
                    <w:pPr>
                      <w:spacing w:before="19"/>
                      <w:ind w:left="0" w:right="3" w:firstLine="0"/>
                      <w:jc w:val="center"/>
                      <w:rPr>
                        <w:sz w:val="15"/>
                      </w:rPr>
                    </w:pPr>
                    <w:r>
                      <w:rPr>
                        <w:w w:val="118"/>
                        <w:sz w:val="15"/>
                      </w:rPr>
                      <w:t>3</w:t>
                    </w:r>
                  </w:p>
                </w:txbxContent>
              </v:textbox>
              <v:stroke dashstyle="solid"/>
              <w10:wrap type="none"/>
            </v:shape>
            <v:shape style="position:absolute;left:4724;top:3451;width:1191;height:508" type="#_x0000_t202" filled="true" fillcolor="#ffc000" stroked="false">
              <v:textbox inset="0,0,0,0">
                <w:txbxContent>
                  <w:p>
                    <w:pPr>
                      <w:spacing w:before="74"/>
                      <w:ind w:left="127" w:right="135" w:firstLine="0"/>
                      <w:jc w:val="center"/>
                      <w:rPr>
                        <w:sz w:val="15"/>
                      </w:rPr>
                    </w:pPr>
                    <w:r>
                      <w:rPr>
                        <w:sz w:val="15"/>
                      </w:rPr>
                      <w:t>Hinjewadi Ph</w:t>
                    </w:r>
                  </w:p>
                  <w:p>
                    <w:pPr>
                      <w:spacing w:before="18"/>
                      <w:ind w:left="127" w:right="132" w:firstLine="0"/>
                      <w:jc w:val="center"/>
                      <w:rPr>
                        <w:sz w:val="15"/>
                      </w:rPr>
                    </w:pPr>
                    <w:r>
                      <w:rPr>
                        <w:w w:val="110"/>
                        <w:sz w:val="15"/>
                      </w:rPr>
                      <w:t>2 Road</w:t>
                    </w:r>
                  </w:p>
                </w:txbxContent>
              </v:textbox>
              <v:fill type="solid"/>
              <w10:wrap type="none"/>
            </v:shape>
            <v:shape style="position:absolute;left:9225;top:2488;width:1218;height:508" type="#_x0000_t202" filled="true" fillcolor="#ffc000" stroked="false">
              <v:textbox inset="0,0,0,0">
                <w:txbxContent>
                  <w:p>
                    <w:pPr>
                      <w:spacing w:before="75"/>
                      <w:ind w:left="148" w:right="132" w:firstLine="0"/>
                      <w:jc w:val="center"/>
                      <w:rPr>
                        <w:sz w:val="15"/>
                      </w:rPr>
                    </w:pPr>
                    <w:r>
                      <w:rPr>
                        <w:w w:val="115"/>
                        <w:sz w:val="15"/>
                      </w:rPr>
                      <w:t>Dange</w:t>
                    </w:r>
                  </w:p>
                  <w:p>
                    <w:pPr>
                      <w:spacing w:before="18"/>
                      <w:ind w:left="148" w:right="132" w:firstLine="0"/>
                      <w:jc w:val="center"/>
                      <w:rPr>
                        <w:sz w:val="15"/>
                      </w:rPr>
                    </w:pPr>
                    <w:r>
                      <w:rPr>
                        <w:w w:val="110"/>
                        <w:sz w:val="15"/>
                      </w:rPr>
                      <w:t>Chowk Road</w:t>
                    </w:r>
                  </w:p>
                </w:txbxContent>
              </v:textbox>
              <v:fill type="solid"/>
              <w10:wrap type="none"/>
            </v:shape>
            <v:shape style="position:absolute;left:4597;top:2160;width:1401;height:508" type="#_x0000_t202" filled="false" stroked="true" strokeweight=".437969pt" strokecolor="#a4a4a4">
              <v:textbox inset="0,0,0,0">
                <w:txbxContent>
                  <w:p>
                    <w:pPr>
                      <w:spacing w:before="64"/>
                      <w:ind w:left="89" w:right="97" w:firstLine="0"/>
                      <w:jc w:val="center"/>
                      <w:rPr>
                        <w:sz w:val="15"/>
                      </w:rPr>
                    </w:pPr>
                    <w:r>
                      <w:rPr>
                        <w:w w:val="105"/>
                        <w:sz w:val="15"/>
                      </w:rPr>
                      <w:t>Hinjewadi Phase</w:t>
                    </w:r>
                  </w:p>
                  <w:p>
                    <w:pPr>
                      <w:spacing w:before="18"/>
                      <w:ind w:left="0" w:right="5" w:firstLine="0"/>
                      <w:jc w:val="center"/>
                      <w:rPr>
                        <w:sz w:val="15"/>
                      </w:rPr>
                    </w:pPr>
                    <w:r>
                      <w:rPr>
                        <w:w w:val="118"/>
                        <w:sz w:val="15"/>
                      </w:rPr>
                      <w:t>2</w:t>
                    </w:r>
                  </w:p>
                </w:txbxContent>
              </v:textbox>
              <v:stroke dashstyle="solid"/>
              <w10:wrap type="none"/>
            </v:shape>
            <v:shape style="position:absolute;left:12006;top:774;width:3035;height:666" type="#_x0000_t202" filled="true" fillcolor="#006a4d" stroked="false">
              <v:textbox inset="0,0,0,0">
                <w:txbxContent>
                  <w:p>
                    <w:pPr>
                      <w:spacing w:line="240" w:lineRule="auto" w:before="1"/>
                      <w:rPr>
                        <w:sz w:val="21"/>
                      </w:rPr>
                    </w:pPr>
                  </w:p>
                  <w:p>
                    <w:pPr>
                      <w:tabs>
                        <w:tab w:pos="981" w:val="left" w:leader="none"/>
                      </w:tabs>
                      <w:spacing w:before="0"/>
                      <w:ind w:left="375" w:right="0" w:firstLine="0"/>
                      <w:jc w:val="left"/>
                      <w:rPr>
                        <w:sz w:val="17"/>
                      </w:rPr>
                    </w:pPr>
                    <w:r>
                      <w:rPr>
                        <w:color w:val="FFFFFF"/>
                        <w:w w:val="120"/>
                        <w:sz w:val="17"/>
                      </w:rPr>
                      <w:t>#</w:t>
                      <w:tab/>
                    </w:r>
                    <w:r>
                      <w:rPr>
                        <w:color w:val="FFFFFF"/>
                        <w:spacing w:val="5"/>
                        <w:w w:val="105"/>
                        <w:sz w:val="17"/>
                      </w:rPr>
                      <w:t>Key</w:t>
                    </w:r>
                    <w:r>
                      <w:rPr>
                        <w:color w:val="FFFFFF"/>
                        <w:spacing w:val="-26"/>
                        <w:w w:val="105"/>
                        <w:sz w:val="17"/>
                      </w:rPr>
                      <w:t> </w:t>
                    </w:r>
                    <w:r>
                      <w:rPr>
                        <w:color w:val="FFFFFF"/>
                        <w:spacing w:val="2"/>
                        <w:w w:val="105"/>
                        <w:sz w:val="17"/>
                      </w:rPr>
                      <w:t>Office</w:t>
                    </w:r>
                    <w:r>
                      <w:rPr>
                        <w:color w:val="FFFFFF"/>
                        <w:spacing w:val="-34"/>
                        <w:w w:val="105"/>
                        <w:sz w:val="17"/>
                      </w:rPr>
                      <w:t> </w:t>
                    </w:r>
                    <w:r>
                      <w:rPr>
                        <w:color w:val="FFFFFF"/>
                        <w:w w:val="105"/>
                        <w:sz w:val="17"/>
                      </w:rPr>
                      <w:t>Developments</w:t>
                    </w:r>
                  </w:p>
                </w:txbxContent>
              </v:textbox>
              <v:fill type="solid"/>
              <w10:wrap type="none"/>
            </v:shape>
            <w10:wrap type="topAndBottom"/>
          </v:group>
        </w:pict>
      </w:r>
    </w:p>
    <w:p>
      <w:pPr>
        <w:pStyle w:val="BodyText"/>
        <w:spacing w:before="6"/>
        <w:rPr>
          <w:sz w:val="13"/>
        </w:rPr>
      </w:pPr>
    </w:p>
    <w:p>
      <w:pPr>
        <w:spacing w:line="190" w:lineRule="exact" w:before="0"/>
        <w:ind w:left="311" w:right="0" w:firstLine="0"/>
        <w:jc w:val="left"/>
        <w:rPr>
          <w:i/>
          <w:sz w:val="18"/>
        </w:rPr>
      </w:pPr>
      <w:r>
        <w:rPr>
          <w:i/>
          <w:sz w:val="18"/>
        </w:rPr>
        <w:t>Source: Consultants’ Research</w:t>
      </w:r>
    </w:p>
    <w:p>
      <w:pPr>
        <w:spacing w:after="0" w:line="190" w:lineRule="exact"/>
        <w:jc w:val="left"/>
        <w:rPr>
          <w:sz w:val="18"/>
        </w:rPr>
        <w:sectPr>
          <w:headerReference w:type="default" r:id="rId211"/>
          <w:footerReference w:type="default" r:id="rId212"/>
          <w:pgSz w:w="16840" w:h="11910" w:orient="landscape"/>
          <w:pgMar w:header="0" w:footer="504" w:top="640" w:bottom="700" w:left="1200" w:right="200"/>
        </w:sectPr>
      </w:pPr>
    </w:p>
    <w:p>
      <w:pPr>
        <w:pStyle w:val="BodyText"/>
        <w:spacing w:before="7"/>
        <w:rPr>
          <w:i/>
          <w:sz w:val="9"/>
        </w:rPr>
      </w:pPr>
    </w:p>
    <w:p>
      <w:pPr>
        <w:pStyle w:val="ListParagraph"/>
        <w:numPr>
          <w:ilvl w:val="2"/>
          <w:numId w:val="14"/>
        </w:numPr>
        <w:tabs>
          <w:tab w:pos="941" w:val="left" w:leader="none"/>
        </w:tabs>
        <w:spacing w:line="240" w:lineRule="auto" w:before="106" w:after="0"/>
        <w:ind w:left="940" w:right="0" w:hanging="721"/>
        <w:jc w:val="left"/>
        <w:rPr>
          <w:sz w:val="22"/>
        </w:rPr>
      </w:pPr>
      <w:bookmarkStart w:name="_bookmark215" w:id="419"/>
      <w:bookmarkEnd w:id="419"/>
      <w:r>
        <w:rPr/>
      </w:r>
      <w:bookmarkStart w:name="_bookmark215" w:id="420"/>
      <w:bookmarkEnd w:id="420"/>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8"/>
        <w:ind w:left="786" w:right="235"/>
        <w:jc w:val="both"/>
      </w:pPr>
      <w:r>
        <w:rPr/>
        <w:t>As</w:t>
      </w:r>
      <w:r>
        <w:rPr>
          <w:spacing w:val="-21"/>
        </w:rPr>
        <w:t> </w:t>
      </w:r>
      <w:r>
        <w:rPr/>
        <w:t>per</w:t>
      </w:r>
      <w:r>
        <w:rPr>
          <w:spacing w:val="-19"/>
        </w:rPr>
        <w:t> </w:t>
      </w:r>
      <w:r>
        <w:rPr/>
        <w:t>the</w:t>
      </w:r>
      <w:r>
        <w:rPr>
          <w:spacing w:val="-20"/>
        </w:rPr>
        <w:t> </w:t>
      </w:r>
      <w:r>
        <w:rPr/>
        <w:t>title</w:t>
      </w:r>
      <w:r>
        <w:rPr>
          <w:spacing w:val="-19"/>
        </w:rPr>
        <w:t> </w:t>
      </w:r>
      <w:r>
        <w:rPr/>
        <w:t>due</w:t>
      </w:r>
      <w:r>
        <w:rPr>
          <w:spacing w:val="-21"/>
        </w:rPr>
        <w:t> </w:t>
      </w:r>
      <w:r>
        <w:rPr/>
        <w:t>diligence</w:t>
      </w:r>
      <w:r>
        <w:rPr>
          <w:spacing w:val="-20"/>
        </w:rPr>
        <w:t> </w:t>
      </w:r>
      <w:r>
        <w:rPr/>
        <w:t>undertaken</w:t>
      </w:r>
      <w:r>
        <w:rPr>
          <w:spacing w:val="-19"/>
        </w:rPr>
        <w:t> </w:t>
      </w:r>
      <w:r>
        <w:rPr/>
        <w:t>by</w:t>
      </w:r>
      <w:r>
        <w:rPr>
          <w:spacing w:val="-17"/>
        </w:rPr>
        <w:t> </w:t>
      </w:r>
      <w:r>
        <w:rPr/>
        <w:t>Cyril</w:t>
      </w:r>
      <w:r>
        <w:rPr>
          <w:spacing w:val="-20"/>
        </w:rPr>
        <w:t> </w:t>
      </w:r>
      <w:r>
        <w:rPr/>
        <w:t>Amarchand</w:t>
      </w:r>
      <w:r>
        <w:rPr>
          <w:spacing w:val="-19"/>
        </w:rPr>
        <w:t> </w:t>
      </w:r>
      <w:r>
        <w:rPr/>
        <w:t>Mangaldas</w:t>
      </w:r>
      <w:r>
        <w:rPr>
          <w:spacing w:val="-16"/>
        </w:rPr>
        <w:t> </w:t>
      </w:r>
      <w:r>
        <w:rPr/>
        <w:t>and</w:t>
      </w:r>
      <w:r>
        <w:rPr>
          <w:spacing w:val="-19"/>
        </w:rPr>
        <w:t> </w:t>
      </w:r>
      <w:r>
        <w:rPr/>
        <w:t>as</w:t>
      </w:r>
      <w:r>
        <w:rPr>
          <w:spacing w:val="-21"/>
        </w:rPr>
        <w:t> </w:t>
      </w:r>
      <w:r>
        <w:rPr/>
        <w:t>provided</w:t>
      </w:r>
      <w:r>
        <w:rPr>
          <w:spacing w:val="-20"/>
        </w:rPr>
        <w:t> </w:t>
      </w:r>
      <w:r>
        <w:rPr/>
        <w:t>by</w:t>
      </w:r>
      <w:r>
        <w:rPr>
          <w:spacing w:val="-19"/>
        </w:rPr>
        <w:t> </w:t>
      </w:r>
      <w:r>
        <w:rPr/>
        <w:t>the</w:t>
      </w:r>
      <w:r>
        <w:rPr>
          <w:spacing w:val="-19"/>
        </w:rPr>
        <w:t> </w:t>
      </w:r>
      <w:r>
        <w:rPr/>
        <w:t>Client, we</w:t>
      </w:r>
      <w:r>
        <w:rPr>
          <w:spacing w:val="-12"/>
        </w:rPr>
        <w:t> </w:t>
      </w:r>
      <w:r>
        <w:rPr/>
        <w:t>understand</w:t>
      </w:r>
      <w:r>
        <w:rPr>
          <w:spacing w:val="-11"/>
        </w:rPr>
        <w:t> </w:t>
      </w:r>
      <w:r>
        <w:rPr/>
        <w:t>that</w:t>
      </w:r>
      <w:r>
        <w:rPr>
          <w:spacing w:val="-11"/>
        </w:rPr>
        <w:t> </w:t>
      </w:r>
      <w:r>
        <w:rPr/>
        <w:t>the</w:t>
      </w:r>
      <w:r>
        <w:rPr>
          <w:spacing w:val="-11"/>
        </w:rPr>
        <w:t> </w:t>
      </w:r>
      <w:r>
        <w:rPr/>
        <w:t>exact</w:t>
      </w:r>
      <w:r>
        <w:rPr>
          <w:spacing w:val="-11"/>
        </w:rPr>
        <w:t> </w:t>
      </w:r>
      <w:r>
        <w:rPr/>
        <w:t>address</w:t>
      </w:r>
      <w:r>
        <w:rPr>
          <w:spacing w:val="-10"/>
        </w:rPr>
        <w:t> </w:t>
      </w:r>
      <w:r>
        <w:rPr/>
        <w:t>of</w:t>
      </w:r>
      <w:r>
        <w:rPr>
          <w:spacing w:val="-11"/>
        </w:rPr>
        <w:t> </w:t>
      </w:r>
      <w:r>
        <w:rPr/>
        <w:t>the</w:t>
      </w:r>
      <w:r>
        <w:rPr>
          <w:spacing w:val="-12"/>
        </w:rPr>
        <w:t> </w:t>
      </w:r>
      <w:r>
        <w:rPr/>
        <w:t>subject</w:t>
      </w:r>
      <w:r>
        <w:rPr>
          <w:spacing w:val="-11"/>
        </w:rPr>
        <w:t> </w:t>
      </w:r>
      <w:r>
        <w:rPr/>
        <w:t>property</w:t>
      </w:r>
      <w:r>
        <w:rPr>
          <w:spacing w:val="-10"/>
        </w:rPr>
        <w:t> </w:t>
      </w:r>
      <w:r>
        <w:rPr/>
        <w:t>is</w:t>
      </w:r>
      <w:r>
        <w:rPr>
          <w:spacing w:val="-12"/>
        </w:rPr>
        <w:t> </w:t>
      </w:r>
      <w:r>
        <w:rPr/>
        <w:t>Plot</w:t>
      </w:r>
      <w:r>
        <w:rPr>
          <w:spacing w:val="-11"/>
        </w:rPr>
        <w:t> </w:t>
      </w:r>
      <w:r>
        <w:rPr/>
        <w:t>no</w:t>
      </w:r>
      <w:r>
        <w:rPr>
          <w:spacing w:val="-12"/>
        </w:rPr>
        <w:t> </w:t>
      </w:r>
      <w:r>
        <w:rPr/>
        <w:t>2,</w:t>
      </w:r>
      <w:r>
        <w:rPr>
          <w:spacing w:val="-10"/>
        </w:rPr>
        <w:t> </w:t>
      </w:r>
      <w:r>
        <w:rPr/>
        <w:t>Blue</w:t>
      </w:r>
      <w:r>
        <w:rPr>
          <w:spacing w:val="-11"/>
        </w:rPr>
        <w:t> </w:t>
      </w:r>
      <w:r>
        <w:rPr/>
        <w:t>Ridge</w:t>
      </w:r>
      <w:r>
        <w:rPr>
          <w:spacing w:val="-12"/>
        </w:rPr>
        <w:t> </w:t>
      </w:r>
      <w:r>
        <w:rPr/>
        <w:t>Township,</w:t>
      </w:r>
      <w:r>
        <w:rPr>
          <w:spacing w:val="-12"/>
        </w:rPr>
        <w:t> </w:t>
      </w:r>
      <w:r>
        <w:rPr/>
        <w:t>Near Rajiv</w:t>
      </w:r>
      <w:r>
        <w:rPr>
          <w:spacing w:val="-30"/>
        </w:rPr>
        <w:t> </w:t>
      </w:r>
      <w:r>
        <w:rPr/>
        <w:t>Gandhi</w:t>
      </w:r>
      <w:r>
        <w:rPr>
          <w:spacing w:val="-29"/>
        </w:rPr>
        <w:t> </w:t>
      </w:r>
      <w:r>
        <w:rPr/>
        <w:t>Infotech</w:t>
      </w:r>
      <w:r>
        <w:rPr>
          <w:spacing w:val="-30"/>
        </w:rPr>
        <w:t> </w:t>
      </w:r>
      <w:r>
        <w:rPr/>
        <w:t>Park</w:t>
      </w:r>
      <w:r>
        <w:rPr>
          <w:spacing w:val="-29"/>
        </w:rPr>
        <w:t> </w:t>
      </w:r>
      <w:r>
        <w:rPr>
          <w:w w:val="105"/>
        </w:rPr>
        <w:t>–</w:t>
      </w:r>
      <w:r>
        <w:rPr>
          <w:spacing w:val="-32"/>
          <w:w w:val="105"/>
        </w:rPr>
        <w:t> </w:t>
      </w:r>
      <w:r>
        <w:rPr/>
        <w:t>I,</w:t>
      </w:r>
      <w:r>
        <w:rPr>
          <w:spacing w:val="-30"/>
        </w:rPr>
        <w:t> </w:t>
      </w:r>
      <w:r>
        <w:rPr/>
        <w:t>Hinjewadi,</w:t>
      </w:r>
      <w:r>
        <w:rPr>
          <w:spacing w:val="-29"/>
        </w:rPr>
        <w:t> </w:t>
      </w:r>
      <w:r>
        <w:rPr/>
        <w:t>Pune,</w:t>
      </w:r>
      <w:r>
        <w:rPr>
          <w:spacing w:val="-31"/>
        </w:rPr>
        <w:t> </w:t>
      </w:r>
      <w:r>
        <w:rPr/>
        <w:t>Maharashtra</w:t>
      </w:r>
      <w:r>
        <w:rPr>
          <w:spacing w:val="-29"/>
        </w:rPr>
        <w:t> </w:t>
      </w:r>
      <w:r>
        <w:rPr/>
        <w:t>411057.</w:t>
      </w:r>
      <w:r>
        <w:rPr>
          <w:spacing w:val="-28"/>
        </w:rPr>
        <w:t> </w:t>
      </w:r>
      <w:r>
        <w:rPr/>
        <w:t>Additionally,</w:t>
      </w:r>
      <w:r>
        <w:rPr>
          <w:spacing w:val="-29"/>
        </w:rPr>
        <w:t> </w:t>
      </w:r>
      <w:r>
        <w:rPr/>
        <w:t>it</w:t>
      </w:r>
      <w:r>
        <w:rPr>
          <w:spacing w:val="-29"/>
        </w:rPr>
        <w:t> </w:t>
      </w:r>
      <w:r>
        <w:rPr/>
        <w:t>is</w:t>
      </w:r>
      <w:r>
        <w:rPr>
          <w:spacing w:val="-29"/>
        </w:rPr>
        <w:t> </w:t>
      </w:r>
      <w:r>
        <w:rPr/>
        <w:t>understood</w:t>
      </w:r>
      <w:r>
        <w:rPr>
          <w:spacing w:val="-30"/>
        </w:rPr>
        <w:t> </w:t>
      </w:r>
      <w:r>
        <w:rPr/>
        <w:t>that the subject property is freehold in</w:t>
      </w:r>
      <w:r>
        <w:rPr>
          <w:spacing w:val="-25"/>
        </w:rPr>
        <w:t> </w:t>
      </w:r>
      <w:r>
        <w:rPr/>
        <w:t>nature.</w:t>
      </w:r>
    </w:p>
    <w:p>
      <w:pPr>
        <w:pStyle w:val="BodyText"/>
        <w:spacing w:before="9"/>
        <w:rPr>
          <w:sz w:val="20"/>
        </w:rPr>
      </w:pPr>
    </w:p>
    <w:p>
      <w:pPr>
        <w:pStyle w:val="BodyText"/>
        <w:spacing w:line="321" w:lineRule="auto"/>
        <w:ind w:left="786" w:right="237"/>
        <w:jc w:val="both"/>
      </w:pPr>
      <w:r>
        <w:rPr/>
        <w:t>Further,</w:t>
      </w:r>
      <w:r>
        <w:rPr>
          <w:spacing w:val="-26"/>
        </w:rPr>
        <w:t> </w:t>
      </w:r>
      <w:r>
        <w:rPr/>
        <w:t>this</w:t>
      </w:r>
      <w:r>
        <w:rPr>
          <w:spacing w:val="-24"/>
        </w:rPr>
        <w:t> </w:t>
      </w:r>
      <w:r>
        <w:rPr/>
        <w:t>appraisal</w:t>
      </w:r>
      <w:r>
        <w:rPr>
          <w:spacing w:val="-26"/>
        </w:rPr>
        <w:t> </w:t>
      </w:r>
      <w:r>
        <w:rPr/>
        <w:t>exercise</w:t>
      </w:r>
      <w:r>
        <w:rPr>
          <w:spacing w:val="-25"/>
        </w:rPr>
        <w:t> </w:t>
      </w:r>
      <w:r>
        <w:rPr/>
        <w:t>is</w:t>
      </w:r>
      <w:r>
        <w:rPr>
          <w:spacing w:val="-25"/>
        </w:rPr>
        <w:t> </w:t>
      </w:r>
      <w:r>
        <w:rPr/>
        <w:t>based</w:t>
      </w:r>
      <w:r>
        <w:rPr>
          <w:spacing w:val="-25"/>
        </w:rPr>
        <w:t> </w:t>
      </w:r>
      <w:r>
        <w:rPr/>
        <w:t>on</w:t>
      </w:r>
      <w:r>
        <w:rPr>
          <w:spacing w:val="-26"/>
        </w:rPr>
        <w:t> </w:t>
      </w:r>
      <w:r>
        <w:rPr/>
        <w:t>the</w:t>
      </w:r>
      <w:r>
        <w:rPr>
          <w:spacing w:val="-26"/>
        </w:rPr>
        <w:t> </w:t>
      </w:r>
      <w:r>
        <w:rPr/>
        <w:t>premise</w:t>
      </w:r>
      <w:r>
        <w:rPr>
          <w:spacing w:val="-25"/>
        </w:rPr>
        <w:t> </w:t>
      </w:r>
      <w:r>
        <w:rPr/>
        <w:t>that</w:t>
      </w:r>
      <w:r>
        <w:rPr>
          <w:spacing w:val="-25"/>
        </w:rPr>
        <w:t> </w:t>
      </w:r>
      <w:r>
        <w:rPr/>
        <w:t>the</w:t>
      </w:r>
      <w:r>
        <w:rPr>
          <w:spacing w:val="-26"/>
        </w:rPr>
        <w:t> </w:t>
      </w:r>
      <w:r>
        <w:rPr/>
        <w:t>subject</w:t>
      </w:r>
      <w:r>
        <w:rPr>
          <w:spacing w:val="-25"/>
        </w:rPr>
        <w:t> </w:t>
      </w:r>
      <w:r>
        <w:rPr/>
        <w:t>property</w:t>
      </w:r>
      <w:r>
        <w:rPr>
          <w:spacing w:val="-24"/>
        </w:rPr>
        <w:t> </w:t>
      </w:r>
      <w:r>
        <w:rPr/>
        <w:t>has</w:t>
      </w:r>
      <w:r>
        <w:rPr>
          <w:spacing w:val="-24"/>
        </w:rPr>
        <w:t> </w:t>
      </w:r>
      <w:r>
        <w:rPr/>
        <w:t>a</w:t>
      </w:r>
      <w:r>
        <w:rPr>
          <w:spacing w:val="-26"/>
        </w:rPr>
        <w:t> </w:t>
      </w:r>
      <w:r>
        <w:rPr/>
        <w:t>clear</w:t>
      </w:r>
      <w:r>
        <w:rPr>
          <w:spacing w:val="-25"/>
        </w:rPr>
        <w:t> </w:t>
      </w:r>
      <w:r>
        <w:rPr/>
        <w:t>title</w:t>
      </w:r>
      <w:r>
        <w:rPr>
          <w:spacing w:val="-25"/>
        </w:rPr>
        <w:t> </w:t>
      </w:r>
      <w:r>
        <w:rPr/>
        <w:t>and</w:t>
      </w:r>
      <w:r>
        <w:rPr>
          <w:spacing w:val="-25"/>
        </w:rPr>
        <w:t> </w:t>
      </w:r>
      <w:r>
        <w:rPr/>
        <w:t>is free</w:t>
      </w:r>
      <w:r>
        <w:rPr>
          <w:spacing w:val="-28"/>
        </w:rPr>
        <w:t> </w:t>
      </w:r>
      <w:r>
        <w:rPr/>
        <w:t>from</w:t>
      </w:r>
      <w:r>
        <w:rPr>
          <w:spacing w:val="-26"/>
        </w:rPr>
        <w:t> </w:t>
      </w:r>
      <w:r>
        <w:rPr/>
        <w:t>any</w:t>
      </w:r>
      <w:r>
        <w:rPr>
          <w:spacing w:val="-27"/>
        </w:rPr>
        <w:t> </w:t>
      </w:r>
      <w:r>
        <w:rPr/>
        <w:t>encumbrances,</w:t>
      </w:r>
      <w:r>
        <w:rPr>
          <w:spacing w:val="-27"/>
        </w:rPr>
        <w:t> </w:t>
      </w:r>
      <w:r>
        <w:rPr/>
        <w:t>disputes,</w:t>
      </w:r>
      <w:r>
        <w:rPr>
          <w:spacing w:val="-27"/>
        </w:rPr>
        <w:t> </w:t>
      </w:r>
      <w:r>
        <w:rPr/>
        <w:t>claims,</w:t>
      </w:r>
      <w:r>
        <w:rPr>
          <w:spacing w:val="-26"/>
        </w:rPr>
        <w:t> </w:t>
      </w:r>
      <w:r>
        <w:rPr/>
        <w:t>etc.</w:t>
      </w:r>
      <w:r>
        <w:rPr>
          <w:spacing w:val="-24"/>
        </w:rPr>
        <w:t> </w:t>
      </w:r>
      <w:r>
        <w:rPr/>
        <w:t>The</w:t>
      </w:r>
      <w:r>
        <w:rPr>
          <w:spacing w:val="-28"/>
        </w:rPr>
        <w:t> </w:t>
      </w:r>
      <w:r>
        <w:rPr/>
        <w:t>Consultants</w:t>
      </w:r>
      <w:r>
        <w:rPr>
          <w:spacing w:val="-24"/>
        </w:rPr>
        <w:t> </w:t>
      </w:r>
      <w:r>
        <w:rPr/>
        <w:t>have</w:t>
      </w:r>
      <w:r>
        <w:rPr>
          <w:spacing w:val="-28"/>
        </w:rPr>
        <w:t> </w:t>
      </w:r>
      <w:r>
        <w:rPr/>
        <w:t>not</w:t>
      </w:r>
      <w:r>
        <w:rPr>
          <w:spacing w:val="-26"/>
        </w:rPr>
        <w:t> </w:t>
      </w:r>
      <w:r>
        <w:rPr/>
        <w:t>made</w:t>
      </w:r>
      <w:r>
        <w:rPr>
          <w:spacing w:val="-27"/>
        </w:rPr>
        <w:t> </w:t>
      </w:r>
      <w:r>
        <w:rPr/>
        <w:t>any</w:t>
      </w:r>
      <w:r>
        <w:rPr>
          <w:spacing w:val="-26"/>
        </w:rPr>
        <w:t> </w:t>
      </w:r>
      <w:r>
        <w:rPr/>
        <w:t>inquiries</w:t>
      </w:r>
      <w:r>
        <w:rPr>
          <w:spacing w:val="-26"/>
        </w:rPr>
        <w:t> </w:t>
      </w:r>
      <w:r>
        <w:rPr/>
        <w:t>in</w:t>
      </w:r>
      <w:r>
        <w:rPr>
          <w:spacing w:val="-29"/>
        </w:rPr>
        <w:t> </w:t>
      </w:r>
      <w:r>
        <w:rPr/>
        <w:t>this regard with the relevant legal/ statutory</w:t>
      </w:r>
      <w:r>
        <w:rPr>
          <w:spacing w:val="-38"/>
        </w:rPr>
        <w:t> </w:t>
      </w:r>
      <w:r>
        <w:rPr/>
        <w:t>authorities.</w:t>
      </w:r>
    </w:p>
    <w:p>
      <w:pPr>
        <w:pStyle w:val="BodyText"/>
        <w:spacing w:before="11"/>
        <w:rPr>
          <w:sz w:val="2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216" w:id="421"/>
      <w:bookmarkEnd w:id="421"/>
      <w:r>
        <w:rPr/>
      </w:r>
      <w:bookmarkStart w:name="_bookmark216" w:id="422"/>
      <w:bookmarkEnd w:id="422"/>
      <w:r>
        <w:rPr>
          <w:color w:val="1F664D"/>
          <w:w w:val="105"/>
          <w:sz w:val="22"/>
        </w:rPr>
        <w:t>T</w:t>
      </w:r>
      <w:r>
        <w:rPr>
          <w:color w:val="1F664D"/>
          <w:w w:val="105"/>
          <w:sz w:val="22"/>
        </w:rPr>
        <w:t>own</w:t>
      </w:r>
      <w:r>
        <w:rPr>
          <w:color w:val="1F664D"/>
          <w:spacing w:val="-4"/>
          <w:w w:val="105"/>
          <w:sz w:val="22"/>
        </w:rPr>
        <w:t> </w:t>
      </w:r>
      <w:r>
        <w:rPr>
          <w:color w:val="1F664D"/>
          <w:w w:val="105"/>
          <w:sz w:val="22"/>
        </w:rPr>
        <w:t>Planning</w:t>
      </w:r>
    </w:p>
    <w:p>
      <w:pPr>
        <w:pStyle w:val="BodyText"/>
        <w:tabs>
          <w:tab w:pos="2293" w:val="left" w:leader="none"/>
        </w:tabs>
        <w:spacing w:line="321" w:lineRule="auto" w:before="205"/>
        <w:ind w:left="2293" w:right="257" w:hanging="1409"/>
        <w:jc w:val="both"/>
      </w:pPr>
      <w:r>
        <w:rPr>
          <w:position w:val="12"/>
        </w:rPr>
        <w:t>Zoning</w:t>
        <w:tab/>
      </w:r>
      <w:r>
        <w:rPr/>
        <w:t>As</w:t>
      </w:r>
      <w:r>
        <w:rPr>
          <w:spacing w:val="-42"/>
        </w:rPr>
        <w:t> </w:t>
      </w:r>
      <w:r>
        <w:rPr/>
        <w:t>per</w:t>
      </w:r>
      <w:r>
        <w:rPr>
          <w:spacing w:val="-41"/>
        </w:rPr>
        <w:t> </w:t>
      </w:r>
      <w:r>
        <w:rPr/>
        <w:t>the</w:t>
      </w:r>
      <w:r>
        <w:rPr>
          <w:spacing w:val="-41"/>
        </w:rPr>
        <w:t> </w:t>
      </w:r>
      <w:r>
        <w:rPr/>
        <w:t>Occupancy</w:t>
      </w:r>
      <w:r>
        <w:rPr>
          <w:spacing w:val="-40"/>
        </w:rPr>
        <w:t> </w:t>
      </w:r>
      <w:r>
        <w:rPr/>
        <w:t>Certificates</w:t>
      </w:r>
      <w:r>
        <w:rPr>
          <w:spacing w:val="-40"/>
        </w:rPr>
        <w:t> </w:t>
      </w:r>
      <w:r>
        <w:rPr/>
        <w:t>provided</w:t>
      </w:r>
      <w:r>
        <w:rPr>
          <w:spacing w:val="-42"/>
        </w:rPr>
        <w:t> </w:t>
      </w:r>
      <w:r>
        <w:rPr/>
        <w:t>by</w:t>
      </w:r>
      <w:r>
        <w:rPr>
          <w:spacing w:val="-41"/>
        </w:rPr>
        <w:t> </w:t>
      </w:r>
      <w:r>
        <w:rPr/>
        <w:t>the</w:t>
      </w:r>
      <w:r>
        <w:rPr>
          <w:spacing w:val="-41"/>
        </w:rPr>
        <w:t> </w:t>
      </w:r>
      <w:r>
        <w:rPr/>
        <w:t>Client,</w:t>
      </w:r>
      <w:r>
        <w:rPr>
          <w:spacing w:val="-41"/>
        </w:rPr>
        <w:t> </w:t>
      </w:r>
      <w:r>
        <w:rPr/>
        <w:t>we</w:t>
      </w:r>
      <w:r>
        <w:rPr>
          <w:spacing w:val="-41"/>
        </w:rPr>
        <w:t> </w:t>
      </w:r>
      <w:r>
        <w:rPr/>
        <w:t>understand</w:t>
      </w:r>
      <w:r>
        <w:rPr>
          <w:spacing w:val="-40"/>
        </w:rPr>
        <w:t> </w:t>
      </w:r>
      <w:r>
        <w:rPr/>
        <w:t>that</w:t>
      </w:r>
      <w:r>
        <w:rPr>
          <w:spacing w:val="-41"/>
        </w:rPr>
        <w:t> </w:t>
      </w:r>
      <w:r>
        <w:rPr/>
        <w:t>the</w:t>
      </w:r>
      <w:r>
        <w:rPr>
          <w:spacing w:val="-38"/>
        </w:rPr>
        <w:t> </w:t>
      </w:r>
      <w:r>
        <w:rPr/>
        <w:t>subject property</w:t>
      </w:r>
      <w:r>
        <w:rPr>
          <w:spacing w:val="-5"/>
        </w:rPr>
        <w:t> </w:t>
      </w:r>
      <w:r>
        <w:rPr/>
        <w:t>is</w:t>
      </w:r>
      <w:r>
        <w:rPr>
          <w:spacing w:val="-4"/>
        </w:rPr>
        <w:t> </w:t>
      </w:r>
      <w:r>
        <w:rPr/>
        <w:t>an</w:t>
      </w:r>
      <w:r>
        <w:rPr>
          <w:spacing w:val="-5"/>
        </w:rPr>
        <w:t> </w:t>
      </w:r>
      <w:r>
        <w:rPr/>
        <w:t>IT</w:t>
      </w:r>
      <w:r>
        <w:rPr>
          <w:spacing w:val="-4"/>
        </w:rPr>
        <w:t> </w:t>
      </w:r>
      <w:r>
        <w:rPr/>
        <w:t>SEZ</w:t>
      </w:r>
      <w:r>
        <w:rPr>
          <w:spacing w:val="-7"/>
        </w:rPr>
        <w:t> </w:t>
      </w:r>
      <w:r>
        <w:rPr/>
        <w:t>development</w:t>
      </w:r>
      <w:r>
        <w:rPr>
          <w:spacing w:val="-5"/>
        </w:rPr>
        <w:t> </w:t>
      </w:r>
      <w:r>
        <w:rPr/>
        <w:t>and</w:t>
      </w:r>
      <w:r>
        <w:rPr>
          <w:spacing w:val="-4"/>
        </w:rPr>
        <w:t> </w:t>
      </w:r>
      <w:r>
        <w:rPr/>
        <w:t>is</w:t>
      </w:r>
      <w:r>
        <w:rPr>
          <w:spacing w:val="-7"/>
        </w:rPr>
        <w:t> </w:t>
      </w:r>
      <w:r>
        <w:rPr/>
        <w:t>zoned</w:t>
      </w:r>
      <w:r>
        <w:rPr>
          <w:spacing w:val="-4"/>
        </w:rPr>
        <w:t> </w:t>
      </w:r>
      <w:r>
        <w:rPr/>
        <w:t>as</w:t>
      </w:r>
      <w:r>
        <w:rPr>
          <w:spacing w:val="-4"/>
        </w:rPr>
        <w:t> </w:t>
      </w:r>
      <w:r>
        <w:rPr/>
        <w:t>“Commercial</w:t>
      </w:r>
      <w:r>
        <w:rPr>
          <w:spacing w:val="-5"/>
        </w:rPr>
        <w:t> </w:t>
      </w:r>
      <w:r>
        <w:rPr/>
        <w:t>IT/</w:t>
      </w:r>
      <w:r>
        <w:rPr>
          <w:spacing w:val="-6"/>
        </w:rPr>
        <w:t> </w:t>
      </w:r>
      <w:r>
        <w:rPr/>
        <w:t>ITeS”.</w:t>
      </w:r>
      <w:r>
        <w:rPr>
          <w:spacing w:val="-7"/>
        </w:rPr>
        <w:t> </w:t>
      </w:r>
      <w:r>
        <w:rPr/>
        <w:t>As</w:t>
      </w:r>
      <w:r>
        <w:rPr>
          <w:spacing w:val="-5"/>
        </w:rPr>
        <w:t> </w:t>
      </w:r>
      <w:r>
        <w:rPr/>
        <w:t>per</w:t>
      </w:r>
      <w:r>
        <w:rPr>
          <w:spacing w:val="-5"/>
        </w:rPr>
        <w:t> </w:t>
      </w:r>
      <w:r>
        <w:rPr/>
        <w:t>the Occupancy</w:t>
      </w:r>
      <w:r>
        <w:rPr>
          <w:spacing w:val="-10"/>
        </w:rPr>
        <w:t> </w:t>
      </w:r>
      <w:r>
        <w:rPr/>
        <w:t>Certificate,</w:t>
      </w:r>
      <w:r>
        <w:rPr>
          <w:spacing w:val="-11"/>
        </w:rPr>
        <w:t> </w:t>
      </w:r>
      <w:r>
        <w:rPr/>
        <w:t>we</w:t>
      </w:r>
      <w:r>
        <w:rPr>
          <w:spacing w:val="-11"/>
        </w:rPr>
        <w:t> </w:t>
      </w:r>
      <w:r>
        <w:rPr/>
        <w:t>understand</w:t>
      </w:r>
      <w:r>
        <w:rPr>
          <w:spacing w:val="-10"/>
        </w:rPr>
        <w:t> </w:t>
      </w:r>
      <w:r>
        <w:rPr/>
        <w:t>that</w:t>
      </w:r>
      <w:r>
        <w:rPr>
          <w:spacing w:val="-11"/>
        </w:rPr>
        <w:t> </w:t>
      </w:r>
      <w:r>
        <w:rPr/>
        <w:t>the</w:t>
      </w:r>
      <w:r>
        <w:rPr>
          <w:spacing w:val="-12"/>
        </w:rPr>
        <w:t> </w:t>
      </w:r>
      <w:r>
        <w:rPr/>
        <w:t>subject</w:t>
      </w:r>
      <w:r>
        <w:rPr>
          <w:spacing w:val="-11"/>
        </w:rPr>
        <w:t> </w:t>
      </w:r>
      <w:r>
        <w:rPr/>
        <w:t>property</w:t>
      </w:r>
      <w:r>
        <w:rPr>
          <w:spacing w:val="-8"/>
        </w:rPr>
        <w:t> </w:t>
      </w:r>
      <w:r>
        <w:rPr/>
        <w:t>is</w:t>
      </w:r>
      <w:r>
        <w:rPr>
          <w:spacing w:val="-9"/>
        </w:rPr>
        <w:t> </w:t>
      </w:r>
      <w:r>
        <w:rPr/>
        <w:t>located</w:t>
      </w:r>
      <w:r>
        <w:rPr>
          <w:spacing w:val="-10"/>
        </w:rPr>
        <w:t> </w:t>
      </w:r>
      <w:r>
        <w:rPr/>
        <w:t>within</w:t>
      </w:r>
      <w:r>
        <w:rPr>
          <w:spacing w:val="-11"/>
        </w:rPr>
        <w:t> </w:t>
      </w:r>
      <w:r>
        <w:rPr/>
        <w:t>the jurisdiction</w:t>
      </w:r>
      <w:r>
        <w:rPr>
          <w:spacing w:val="-12"/>
        </w:rPr>
        <w:t> </w:t>
      </w:r>
      <w:r>
        <w:rPr/>
        <w:t>of</w:t>
      </w:r>
      <w:r>
        <w:rPr>
          <w:spacing w:val="-10"/>
        </w:rPr>
        <w:t> </w:t>
      </w:r>
      <w:r>
        <w:rPr/>
        <w:t>Maharashtra</w:t>
      </w:r>
      <w:r>
        <w:rPr>
          <w:spacing w:val="-11"/>
        </w:rPr>
        <w:t> </w:t>
      </w:r>
      <w:r>
        <w:rPr/>
        <w:t>Industrial</w:t>
      </w:r>
      <w:r>
        <w:rPr>
          <w:spacing w:val="-12"/>
        </w:rPr>
        <w:t> </w:t>
      </w:r>
      <w:r>
        <w:rPr/>
        <w:t>Development</w:t>
      </w:r>
      <w:r>
        <w:rPr>
          <w:spacing w:val="-9"/>
        </w:rPr>
        <w:t> </w:t>
      </w:r>
      <w:r>
        <w:rPr/>
        <w:t>Corporation</w:t>
      </w:r>
      <w:r>
        <w:rPr>
          <w:spacing w:val="-12"/>
        </w:rPr>
        <w:t> </w:t>
      </w:r>
      <w:r>
        <w:rPr/>
        <w:t>(MIDC).</w:t>
      </w:r>
      <w:r>
        <w:rPr>
          <w:spacing w:val="-13"/>
        </w:rPr>
        <w:t> </w:t>
      </w:r>
      <w:r>
        <w:rPr/>
        <w:t>The</w:t>
      </w:r>
      <w:r>
        <w:rPr>
          <w:spacing w:val="-11"/>
        </w:rPr>
        <w:t> </w:t>
      </w:r>
      <w:r>
        <w:rPr/>
        <w:t>same</w:t>
      </w:r>
      <w:r>
        <w:rPr>
          <w:spacing w:val="-5"/>
        </w:rPr>
        <w:t> </w:t>
      </w:r>
      <w:r>
        <w:rPr/>
        <w:t>has been</w:t>
      </w:r>
      <w:r>
        <w:rPr>
          <w:spacing w:val="-34"/>
        </w:rPr>
        <w:t> </w:t>
      </w:r>
      <w:r>
        <w:rPr/>
        <w:t>considered</w:t>
      </w:r>
      <w:r>
        <w:rPr>
          <w:spacing w:val="-35"/>
        </w:rPr>
        <w:t> </w:t>
      </w:r>
      <w:r>
        <w:rPr/>
        <w:t>for</w:t>
      </w:r>
      <w:r>
        <w:rPr>
          <w:spacing w:val="-34"/>
        </w:rPr>
        <w:t> </w:t>
      </w:r>
      <w:r>
        <w:rPr/>
        <w:t>the</w:t>
      </w:r>
      <w:r>
        <w:rPr>
          <w:spacing w:val="-34"/>
        </w:rPr>
        <w:t> </w:t>
      </w:r>
      <w:r>
        <w:rPr/>
        <w:t>purpose</w:t>
      </w:r>
      <w:r>
        <w:rPr>
          <w:spacing w:val="-34"/>
        </w:rPr>
        <w:t> </w:t>
      </w:r>
      <w:r>
        <w:rPr/>
        <w:t>of</w:t>
      </w:r>
      <w:r>
        <w:rPr>
          <w:spacing w:val="-35"/>
        </w:rPr>
        <w:t> </w:t>
      </w:r>
      <w:r>
        <w:rPr/>
        <w:t>this</w:t>
      </w:r>
      <w:r>
        <w:rPr>
          <w:spacing w:val="-32"/>
        </w:rPr>
        <w:t> </w:t>
      </w:r>
      <w:r>
        <w:rPr/>
        <w:t>appraisal.</w:t>
      </w:r>
      <w:r>
        <w:rPr>
          <w:spacing w:val="-33"/>
        </w:rPr>
        <w:t> </w:t>
      </w:r>
      <w:r>
        <w:rPr/>
        <w:t>The</w:t>
      </w:r>
      <w:r>
        <w:rPr>
          <w:spacing w:val="-34"/>
        </w:rPr>
        <w:t> </w:t>
      </w:r>
      <w:r>
        <w:rPr/>
        <w:t>Consultants</w:t>
      </w:r>
      <w:r>
        <w:rPr>
          <w:spacing w:val="-32"/>
        </w:rPr>
        <w:t> </w:t>
      </w:r>
      <w:r>
        <w:rPr/>
        <w:t>have</w:t>
      </w:r>
      <w:r>
        <w:rPr>
          <w:spacing w:val="-33"/>
        </w:rPr>
        <w:t> </w:t>
      </w:r>
      <w:r>
        <w:rPr/>
        <w:t>made</w:t>
      </w:r>
      <w:r>
        <w:rPr>
          <w:spacing w:val="-34"/>
        </w:rPr>
        <w:t> </w:t>
      </w:r>
      <w:r>
        <w:rPr/>
        <w:t>no</w:t>
      </w:r>
      <w:r>
        <w:rPr>
          <w:spacing w:val="-34"/>
        </w:rPr>
        <w:t> </w:t>
      </w:r>
      <w:r>
        <w:rPr/>
        <w:t>further inquiries with the local authorities in this</w:t>
      </w:r>
      <w:r>
        <w:rPr>
          <w:spacing w:val="-43"/>
        </w:rPr>
        <w:t> </w:t>
      </w:r>
      <w:r>
        <w:rPr/>
        <w:t>regard.</w:t>
      </w:r>
    </w:p>
    <w:p>
      <w:pPr>
        <w:pStyle w:val="BodyText"/>
        <w:spacing w:line="321" w:lineRule="auto" w:before="126"/>
        <w:ind w:left="2293" w:right="259"/>
        <w:jc w:val="both"/>
      </w:pPr>
      <w:r>
        <w:rPr/>
        <w:t>The</w:t>
      </w:r>
      <w:r>
        <w:rPr>
          <w:spacing w:val="-21"/>
        </w:rPr>
        <w:t> </w:t>
      </w:r>
      <w:r>
        <w:rPr/>
        <w:t>permissible</w:t>
      </w:r>
      <w:r>
        <w:rPr>
          <w:spacing w:val="-21"/>
        </w:rPr>
        <w:t> </w:t>
      </w:r>
      <w:r>
        <w:rPr/>
        <w:t>land</w:t>
      </w:r>
      <w:r>
        <w:rPr>
          <w:spacing w:val="-21"/>
        </w:rPr>
        <w:t> </w:t>
      </w:r>
      <w:r>
        <w:rPr/>
        <w:t>use</w:t>
      </w:r>
      <w:r>
        <w:rPr>
          <w:spacing w:val="-22"/>
        </w:rPr>
        <w:t> </w:t>
      </w:r>
      <w:r>
        <w:rPr/>
        <w:t>adopted</w:t>
      </w:r>
      <w:r>
        <w:rPr>
          <w:spacing w:val="-19"/>
        </w:rPr>
        <w:t> </w:t>
      </w:r>
      <w:r>
        <w:rPr/>
        <w:t>by</w:t>
      </w:r>
      <w:r>
        <w:rPr>
          <w:spacing w:val="-18"/>
        </w:rPr>
        <w:t> </w:t>
      </w:r>
      <w:r>
        <w:rPr/>
        <w:t>the</w:t>
      </w:r>
      <w:r>
        <w:rPr>
          <w:spacing w:val="-21"/>
        </w:rPr>
        <w:t> </w:t>
      </w:r>
      <w:r>
        <w:rPr/>
        <w:t>Consultants</w:t>
      </w:r>
      <w:r>
        <w:rPr>
          <w:spacing w:val="-19"/>
        </w:rPr>
        <w:t> </w:t>
      </w:r>
      <w:r>
        <w:rPr/>
        <w:t>for</w:t>
      </w:r>
      <w:r>
        <w:rPr>
          <w:spacing w:val="-21"/>
        </w:rPr>
        <w:t> </w:t>
      </w:r>
      <w:r>
        <w:rPr/>
        <w:t>the</w:t>
      </w:r>
      <w:r>
        <w:rPr>
          <w:spacing w:val="-20"/>
        </w:rPr>
        <w:t> </w:t>
      </w:r>
      <w:r>
        <w:rPr/>
        <w:t>subject</w:t>
      </w:r>
      <w:r>
        <w:rPr>
          <w:spacing w:val="-19"/>
        </w:rPr>
        <w:t> </w:t>
      </w:r>
      <w:r>
        <w:rPr/>
        <w:t>property</w:t>
      </w:r>
      <w:r>
        <w:rPr>
          <w:spacing w:val="-19"/>
        </w:rPr>
        <w:t> </w:t>
      </w:r>
      <w:r>
        <w:rPr/>
        <w:t>has</w:t>
      </w:r>
      <w:r>
        <w:rPr>
          <w:spacing w:val="-19"/>
        </w:rPr>
        <w:t> </w:t>
      </w:r>
      <w:r>
        <w:rPr/>
        <w:t>been based</w:t>
      </w:r>
      <w:r>
        <w:rPr>
          <w:spacing w:val="-9"/>
        </w:rPr>
        <w:t> </w:t>
      </w:r>
      <w:r>
        <w:rPr/>
        <w:t>on</w:t>
      </w:r>
      <w:r>
        <w:rPr>
          <w:spacing w:val="-8"/>
        </w:rPr>
        <w:t> </w:t>
      </w:r>
      <w:r>
        <w:rPr/>
        <w:t>information/review</w:t>
      </w:r>
      <w:r>
        <w:rPr>
          <w:spacing w:val="-8"/>
        </w:rPr>
        <w:t> </w:t>
      </w:r>
      <w:r>
        <w:rPr/>
        <w:t>of</w:t>
      </w:r>
      <w:r>
        <w:rPr>
          <w:spacing w:val="-8"/>
        </w:rPr>
        <w:t> </w:t>
      </w:r>
      <w:r>
        <w:rPr/>
        <w:t>various</w:t>
      </w:r>
      <w:r>
        <w:rPr>
          <w:spacing w:val="-10"/>
        </w:rPr>
        <w:t> </w:t>
      </w:r>
      <w:r>
        <w:rPr/>
        <w:t>documents</w:t>
      </w:r>
      <w:r>
        <w:rPr>
          <w:spacing w:val="-9"/>
        </w:rPr>
        <w:t> </w:t>
      </w:r>
      <w:r>
        <w:rPr/>
        <w:t>provided</w:t>
      </w:r>
      <w:r>
        <w:rPr>
          <w:spacing w:val="-10"/>
        </w:rPr>
        <w:t> </w:t>
      </w:r>
      <w:r>
        <w:rPr/>
        <w:t>by</w:t>
      </w:r>
      <w:r>
        <w:rPr>
          <w:spacing w:val="-10"/>
        </w:rPr>
        <w:t> </w:t>
      </w:r>
      <w:r>
        <w:rPr/>
        <w:t>the</w:t>
      </w:r>
      <w:r>
        <w:rPr>
          <w:spacing w:val="-9"/>
        </w:rPr>
        <w:t> </w:t>
      </w:r>
      <w:r>
        <w:rPr/>
        <w:t>Client.</w:t>
      </w:r>
      <w:r>
        <w:rPr>
          <w:spacing w:val="-8"/>
        </w:rPr>
        <w:t> </w:t>
      </w:r>
      <w:r>
        <w:rPr/>
        <w:t>It</w:t>
      </w:r>
      <w:r>
        <w:rPr>
          <w:spacing w:val="-10"/>
        </w:rPr>
        <w:t> </w:t>
      </w:r>
      <w:r>
        <w:rPr/>
        <w:t>must</w:t>
      </w:r>
      <w:r>
        <w:rPr>
          <w:spacing w:val="-10"/>
        </w:rPr>
        <w:t> </w:t>
      </w:r>
      <w:r>
        <w:rPr/>
        <w:t>be noted</w:t>
      </w:r>
      <w:r>
        <w:rPr>
          <w:spacing w:val="-22"/>
        </w:rPr>
        <w:t> </w:t>
      </w:r>
      <w:r>
        <w:rPr/>
        <w:t>that</w:t>
      </w:r>
      <w:r>
        <w:rPr>
          <w:spacing w:val="-21"/>
        </w:rPr>
        <w:t> </w:t>
      </w:r>
      <w:r>
        <w:rPr/>
        <w:t>all</w:t>
      </w:r>
      <w:r>
        <w:rPr>
          <w:spacing w:val="-22"/>
        </w:rPr>
        <w:t> </w:t>
      </w:r>
      <w:r>
        <w:rPr/>
        <w:t>factual</w:t>
      </w:r>
      <w:r>
        <w:rPr>
          <w:spacing w:val="-21"/>
        </w:rPr>
        <w:t> </w:t>
      </w:r>
      <w:r>
        <w:rPr/>
        <w:t>data</w:t>
      </w:r>
      <w:r>
        <w:rPr>
          <w:spacing w:val="-22"/>
        </w:rPr>
        <w:t> </w:t>
      </w:r>
      <w:r>
        <w:rPr/>
        <w:t>viz.</w:t>
      </w:r>
      <w:r>
        <w:rPr>
          <w:spacing w:val="-22"/>
        </w:rPr>
        <w:t> </w:t>
      </w:r>
      <w:r>
        <w:rPr/>
        <w:t>permissible</w:t>
      </w:r>
      <w:r>
        <w:rPr>
          <w:spacing w:val="-22"/>
        </w:rPr>
        <w:t> </w:t>
      </w:r>
      <w:r>
        <w:rPr/>
        <w:t>development</w:t>
      </w:r>
      <w:r>
        <w:rPr>
          <w:spacing w:val="-22"/>
        </w:rPr>
        <w:t> </w:t>
      </w:r>
      <w:r>
        <w:rPr/>
        <w:t>control</w:t>
      </w:r>
      <w:r>
        <w:rPr>
          <w:spacing w:val="-21"/>
        </w:rPr>
        <w:t> </w:t>
      </w:r>
      <w:r>
        <w:rPr/>
        <w:t>regulations,</w:t>
      </w:r>
      <w:r>
        <w:rPr>
          <w:spacing w:val="-22"/>
        </w:rPr>
        <w:t> </w:t>
      </w:r>
      <w:r>
        <w:rPr/>
        <w:t>land</w:t>
      </w:r>
      <w:r>
        <w:rPr>
          <w:spacing w:val="-22"/>
        </w:rPr>
        <w:t> </w:t>
      </w:r>
      <w:r>
        <w:rPr/>
        <w:t>area and</w:t>
      </w:r>
      <w:r>
        <w:rPr>
          <w:spacing w:val="-12"/>
        </w:rPr>
        <w:t> </w:t>
      </w:r>
      <w:r>
        <w:rPr/>
        <w:t>achievable</w:t>
      </w:r>
      <w:r>
        <w:rPr>
          <w:spacing w:val="-12"/>
        </w:rPr>
        <w:t> </w:t>
      </w:r>
      <w:r>
        <w:rPr/>
        <w:t>FSI</w:t>
      </w:r>
      <w:r>
        <w:rPr>
          <w:spacing w:val="-11"/>
        </w:rPr>
        <w:t> </w:t>
      </w:r>
      <w:r>
        <w:rPr/>
        <w:t>have</w:t>
      </w:r>
      <w:r>
        <w:rPr>
          <w:spacing w:val="-10"/>
        </w:rPr>
        <w:t> </w:t>
      </w:r>
      <w:r>
        <w:rPr/>
        <w:t>also</w:t>
      </w:r>
      <w:r>
        <w:rPr>
          <w:spacing w:val="-13"/>
        </w:rPr>
        <w:t> </w:t>
      </w:r>
      <w:r>
        <w:rPr/>
        <w:t>been</w:t>
      </w:r>
      <w:r>
        <w:rPr>
          <w:spacing w:val="-12"/>
        </w:rPr>
        <w:t> </w:t>
      </w:r>
      <w:r>
        <w:rPr/>
        <w:t>based</w:t>
      </w:r>
      <w:r>
        <w:rPr>
          <w:spacing w:val="-11"/>
        </w:rPr>
        <w:t> </w:t>
      </w:r>
      <w:r>
        <w:rPr/>
        <w:t>on</w:t>
      </w:r>
      <w:r>
        <w:rPr>
          <w:spacing w:val="-12"/>
        </w:rPr>
        <w:t> </w:t>
      </w:r>
      <w:r>
        <w:rPr/>
        <w:t>information/review</w:t>
      </w:r>
      <w:r>
        <w:rPr>
          <w:spacing w:val="-11"/>
        </w:rPr>
        <w:t> </w:t>
      </w:r>
      <w:r>
        <w:rPr/>
        <w:t>of</w:t>
      </w:r>
      <w:r>
        <w:rPr>
          <w:spacing w:val="-11"/>
        </w:rPr>
        <w:t> </w:t>
      </w:r>
      <w:r>
        <w:rPr/>
        <w:t>various</w:t>
      </w:r>
      <w:r>
        <w:rPr>
          <w:spacing w:val="-10"/>
        </w:rPr>
        <w:t> </w:t>
      </w:r>
      <w:r>
        <w:rPr/>
        <w:t>documents (such</w:t>
      </w:r>
      <w:r>
        <w:rPr>
          <w:spacing w:val="-42"/>
        </w:rPr>
        <w:t> </w:t>
      </w:r>
      <w:r>
        <w:rPr/>
        <w:t>as</w:t>
      </w:r>
      <w:r>
        <w:rPr>
          <w:spacing w:val="-41"/>
        </w:rPr>
        <w:t> </w:t>
      </w:r>
      <w:r>
        <w:rPr/>
        <w:t>title</w:t>
      </w:r>
      <w:r>
        <w:rPr>
          <w:spacing w:val="-44"/>
        </w:rPr>
        <w:t> </w:t>
      </w:r>
      <w:r>
        <w:rPr/>
        <w:t>deed,</w:t>
      </w:r>
      <w:r>
        <w:rPr>
          <w:spacing w:val="-42"/>
        </w:rPr>
        <w:t> </w:t>
      </w:r>
      <w:r>
        <w:rPr/>
        <w:t>plan</w:t>
      </w:r>
      <w:r>
        <w:rPr>
          <w:spacing w:val="-41"/>
        </w:rPr>
        <w:t> </w:t>
      </w:r>
      <w:r>
        <w:rPr/>
        <w:t>sanction</w:t>
      </w:r>
      <w:r>
        <w:rPr>
          <w:spacing w:val="-42"/>
        </w:rPr>
        <w:t> </w:t>
      </w:r>
      <w:r>
        <w:rPr/>
        <w:t>letter,</w:t>
      </w:r>
      <w:r>
        <w:rPr>
          <w:spacing w:val="-42"/>
        </w:rPr>
        <w:t> </w:t>
      </w:r>
      <w:r>
        <w:rPr/>
        <w:t>site</w:t>
      </w:r>
      <w:r>
        <w:rPr>
          <w:spacing w:val="-42"/>
        </w:rPr>
        <w:t> </w:t>
      </w:r>
      <w:r>
        <w:rPr/>
        <w:t>plan,</w:t>
      </w:r>
      <w:r>
        <w:rPr>
          <w:spacing w:val="-42"/>
        </w:rPr>
        <w:t> </w:t>
      </w:r>
      <w:r>
        <w:rPr/>
        <w:t>etc.)</w:t>
      </w:r>
      <w:r>
        <w:rPr>
          <w:spacing w:val="-41"/>
        </w:rPr>
        <w:t> </w:t>
      </w:r>
      <w:r>
        <w:rPr/>
        <w:t>provided</w:t>
      </w:r>
      <w:r>
        <w:rPr>
          <w:spacing w:val="-41"/>
        </w:rPr>
        <w:t> </w:t>
      </w:r>
      <w:r>
        <w:rPr/>
        <w:t>by</w:t>
      </w:r>
      <w:r>
        <w:rPr>
          <w:spacing w:val="-42"/>
        </w:rPr>
        <w:t> </w:t>
      </w:r>
      <w:r>
        <w:rPr/>
        <w:t>the</w:t>
      </w:r>
      <w:r>
        <w:rPr>
          <w:spacing w:val="-42"/>
        </w:rPr>
        <w:t> </w:t>
      </w:r>
      <w:r>
        <w:rPr/>
        <w:t>Client</w:t>
      </w:r>
      <w:r>
        <w:rPr>
          <w:spacing w:val="-42"/>
        </w:rPr>
        <w:t> </w:t>
      </w:r>
      <w:r>
        <w:rPr/>
        <w:t>or</w:t>
      </w:r>
      <w:r>
        <w:rPr>
          <w:spacing w:val="-42"/>
        </w:rPr>
        <w:t> </w:t>
      </w:r>
      <w:r>
        <w:rPr/>
        <w:t>assumed based on building regulations, and no physical verification/ measurement has been undertaken for the purpose of this valuation</w:t>
      </w:r>
      <w:r>
        <w:rPr>
          <w:spacing w:val="-47"/>
        </w:rPr>
        <w:t> </w:t>
      </w:r>
      <w:r>
        <w:rPr/>
        <w:t>exercise.</w:t>
      </w:r>
    </w:p>
    <w:p>
      <w:pPr>
        <w:pStyle w:val="BodyText"/>
        <w:spacing w:line="321" w:lineRule="auto" w:before="124"/>
        <w:ind w:left="2375" w:right="259"/>
        <w:jc w:val="both"/>
      </w:pPr>
      <w:r>
        <w:rPr/>
        <w:t>For</w:t>
      </w:r>
      <w:r>
        <w:rPr>
          <w:spacing w:val="-18"/>
        </w:rPr>
        <w:t> </w:t>
      </w:r>
      <w:r>
        <w:rPr/>
        <w:t>the</w:t>
      </w:r>
      <w:r>
        <w:rPr>
          <w:spacing w:val="-20"/>
        </w:rPr>
        <w:t> </w:t>
      </w:r>
      <w:r>
        <w:rPr/>
        <w:t>purpose</w:t>
      </w:r>
      <w:r>
        <w:rPr>
          <w:spacing w:val="-20"/>
        </w:rPr>
        <w:t> </w:t>
      </w:r>
      <w:r>
        <w:rPr/>
        <w:t>of</w:t>
      </w:r>
      <w:r>
        <w:rPr>
          <w:spacing w:val="-18"/>
        </w:rPr>
        <w:t> </w:t>
      </w:r>
      <w:r>
        <w:rPr/>
        <w:t>this</w:t>
      </w:r>
      <w:r>
        <w:rPr>
          <w:spacing w:val="-18"/>
        </w:rPr>
        <w:t> </w:t>
      </w:r>
      <w:r>
        <w:rPr/>
        <w:t>exercise,</w:t>
      </w:r>
      <w:r>
        <w:rPr>
          <w:spacing w:val="-18"/>
        </w:rPr>
        <w:t> </w:t>
      </w:r>
      <w:r>
        <w:rPr/>
        <w:t>it</w:t>
      </w:r>
      <w:r>
        <w:rPr>
          <w:spacing w:val="-18"/>
        </w:rPr>
        <w:t> </w:t>
      </w:r>
      <w:r>
        <w:rPr/>
        <w:t>has</w:t>
      </w:r>
      <w:r>
        <w:rPr>
          <w:spacing w:val="-18"/>
        </w:rPr>
        <w:t> </w:t>
      </w:r>
      <w:r>
        <w:rPr/>
        <w:t>been</w:t>
      </w:r>
      <w:r>
        <w:rPr>
          <w:spacing w:val="-20"/>
        </w:rPr>
        <w:t> </w:t>
      </w:r>
      <w:r>
        <w:rPr/>
        <w:t>assumed</w:t>
      </w:r>
      <w:r>
        <w:rPr>
          <w:spacing w:val="-17"/>
        </w:rPr>
        <w:t> </w:t>
      </w:r>
      <w:r>
        <w:rPr/>
        <w:t>that</w:t>
      </w:r>
      <w:r>
        <w:rPr>
          <w:spacing w:val="-19"/>
        </w:rPr>
        <w:t> </w:t>
      </w:r>
      <w:r>
        <w:rPr/>
        <w:t>all</w:t>
      </w:r>
      <w:r>
        <w:rPr>
          <w:spacing w:val="-18"/>
        </w:rPr>
        <w:t> </w:t>
      </w:r>
      <w:r>
        <w:rPr/>
        <w:t>developments</w:t>
      </w:r>
      <w:r>
        <w:rPr>
          <w:spacing w:val="-16"/>
        </w:rPr>
        <w:t> </w:t>
      </w:r>
      <w:r>
        <w:rPr/>
        <w:t>adhere</w:t>
      </w:r>
      <w:r>
        <w:rPr>
          <w:spacing w:val="-18"/>
        </w:rPr>
        <w:t> </w:t>
      </w:r>
      <w:r>
        <w:rPr/>
        <w:t>to building</w:t>
      </w:r>
      <w:r>
        <w:rPr>
          <w:spacing w:val="-38"/>
        </w:rPr>
        <w:t> </w:t>
      </w:r>
      <w:r>
        <w:rPr/>
        <w:t>regulations</w:t>
      </w:r>
      <w:r>
        <w:rPr>
          <w:spacing w:val="-37"/>
        </w:rPr>
        <w:t> </w:t>
      </w:r>
      <w:r>
        <w:rPr/>
        <w:t>as</w:t>
      </w:r>
      <w:r>
        <w:rPr>
          <w:spacing w:val="-37"/>
        </w:rPr>
        <w:t> </w:t>
      </w:r>
      <w:r>
        <w:rPr/>
        <w:t>prescribed</w:t>
      </w:r>
      <w:r>
        <w:rPr>
          <w:spacing w:val="-37"/>
        </w:rPr>
        <w:t> </w:t>
      </w:r>
      <w:r>
        <w:rPr/>
        <w:t>by</w:t>
      </w:r>
      <w:r>
        <w:rPr>
          <w:spacing w:val="-37"/>
        </w:rPr>
        <w:t> </w:t>
      </w:r>
      <w:r>
        <w:rPr/>
        <w:t>the</w:t>
      </w:r>
      <w:r>
        <w:rPr>
          <w:spacing w:val="-39"/>
        </w:rPr>
        <w:t> </w:t>
      </w:r>
      <w:r>
        <w:rPr/>
        <w:t>relevant</w:t>
      </w:r>
      <w:r>
        <w:rPr>
          <w:spacing w:val="-37"/>
        </w:rPr>
        <w:t> </w:t>
      </w:r>
      <w:r>
        <w:rPr/>
        <w:t>authorities.</w:t>
      </w:r>
      <w:r>
        <w:rPr>
          <w:spacing w:val="-36"/>
        </w:rPr>
        <w:t> </w:t>
      </w:r>
      <w:r>
        <w:rPr/>
        <w:t>The</w:t>
      </w:r>
      <w:r>
        <w:rPr>
          <w:spacing w:val="-38"/>
        </w:rPr>
        <w:t> </w:t>
      </w:r>
      <w:r>
        <w:rPr/>
        <w:t>Consultants</w:t>
      </w:r>
      <w:r>
        <w:rPr>
          <w:spacing w:val="-36"/>
        </w:rPr>
        <w:t> </w:t>
      </w:r>
      <w:r>
        <w:rPr/>
        <w:t>have</w:t>
      </w:r>
      <w:r>
        <w:rPr>
          <w:spacing w:val="-38"/>
        </w:rPr>
        <w:t> </w:t>
      </w:r>
      <w:r>
        <w:rPr/>
        <w:t>not validated the information provided by the Client with the relevant development authorities.</w:t>
      </w:r>
    </w:p>
    <w:p>
      <w:pPr>
        <w:spacing w:after="0" w:line="321" w:lineRule="auto"/>
        <w:jc w:val="both"/>
        <w:sectPr>
          <w:headerReference w:type="default" r:id="rId222"/>
          <w:footerReference w:type="default" r:id="rId223"/>
          <w:pgSz w:w="11910" w:h="16840"/>
          <w:pgMar w:header="720" w:footer="921" w:top="1660" w:bottom="1120" w:left="500" w:right="480"/>
          <w:pgNumType w:start="191"/>
        </w:sectPr>
      </w:pPr>
    </w:p>
    <w:p>
      <w:pPr>
        <w:pStyle w:val="BodyText"/>
        <w:spacing w:line="321" w:lineRule="auto" w:before="122"/>
        <w:ind w:left="885" w:right="-18"/>
      </w:pPr>
      <w:r>
        <w:rPr/>
        <w:t>Approved Usage:</w:t>
      </w:r>
    </w:p>
    <w:p>
      <w:pPr>
        <w:pStyle w:val="BodyText"/>
        <w:spacing w:line="321" w:lineRule="auto" w:before="122"/>
        <w:ind w:left="520" w:right="258"/>
        <w:jc w:val="both"/>
      </w:pPr>
      <w:r>
        <w:rPr/>
        <w:br w:type="column"/>
      </w:r>
      <w:r>
        <w:rPr/>
        <w:t>Based</w:t>
      </w:r>
      <w:r>
        <w:rPr>
          <w:spacing w:val="-5"/>
        </w:rPr>
        <w:t> </w:t>
      </w:r>
      <w:r>
        <w:rPr/>
        <w:t>on</w:t>
      </w:r>
      <w:r>
        <w:rPr>
          <w:spacing w:val="-5"/>
        </w:rPr>
        <w:t> </w:t>
      </w:r>
      <w:r>
        <w:rPr/>
        <w:t>Occupancy</w:t>
      </w:r>
      <w:r>
        <w:rPr>
          <w:spacing w:val="-3"/>
        </w:rPr>
        <w:t> </w:t>
      </w:r>
      <w:r>
        <w:rPr/>
        <w:t>Certificates</w:t>
      </w:r>
      <w:r>
        <w:rPr>
          <w:spacing w:val="-4"/>
        </w:rPr>
        <w:t> </w:t>
      </w:r>
      <w:r>
        <w:rPr/>
        <w:t>provided</w:t>
      </w:r>
      <w:r>
        <w:rPr>
          <w:spacing w:val="-4"/>
        </w:rPr>
        <w:t> </w:t>
      </w:r>
      <w:r>
        <w:rPr/>
        <w:t>by</w:t>
      </w:r>
      <w:r>
        <w:rPr>
          <w:spacing w:val="-4"/>
        </w:rPr>
        <w:t> </w:t>
      </w:r>
      <w:r>
        <w:rPr/>
        <w:t>the</w:t>
      </w:r>
      <w:r>
        <w:rPr>
          <w:spacing w:val="-7"/>
        </w:rPr>
        <w:t> </w:t>
      </w:r>
      <w:r>
        <w:rPr/>
        <w:t>Client</w:t>
      </w:r>
      <w:r>
        <w:rPr>
          <w:spacing w:val="-5"/>
        </w:rPr>
        <w:t> </w:t>
      </w:r>
      <w:r>
        <w:rPr/>
        <w:t>and</w:t>
      </w:r>
      <w:r>
        <w:rPr>
          <w:spacing w:val="-4"/>
        </w:rPr>
        <w:t> </w:t>
      </w:r>
      <w:r>
        <w:rPr/>
        <w:t>visual</w:t>
      </w:r>
      <w:r>
        <w:rPr>
          <w:spacing w:val="-6"/>
        </w:rPr>
        <w:t> </w:t>
      </w:r>
      <w:r>
        <w:rPr/>
        <w:t>inspection</w:t>
      </w:r>
      <w:r>
        <w:rPr>
          <w:spacing w:val="-5"/>
        </w:rPr>
        <w:t> </w:t>
      </w:r>
      <w:r>
        <w:rPr/>
        <w:t>during our</w:t>
      </w:r>
      <w:r>
        <w:rPr>
          <w:spacing w:val="-39"/>
        </w:rPr>
        <w:t> </w:t>
      </w:r>
      <w:r>
        <w:rPr/>
        <w:t>site</w:t>
      </w:r>
      <w:r>
        <w:rPr>
          <w:spacing w:val="-39"/>
        </w:rPr>
        <w:t> </w:t>
      </w:r>
      <w:r>
        <w:rPr/>
        <w:t>visit,</w:t>
      </w:r>
      <w:r>
        <w:rPr>
          <w:spacing w:val="-38"/>
        </w:rPr>
        <w:t> </w:t>
      </w:r>
      <w:r>
        <w:rPr/>
        <w:t>we</w:t>
      </w:r>
      <w:r>
        <w:rPr>
          <w:spacing w:val="-39"/>
        </w:rPr>
        <w:t> </w:t>
      </w:r>
      <w:r>
        <w:rPr/>
        <w:t>understand</w:t>
      </w:r>
      <w:r>
        <w:rPr>
          <w:spacing w:val="-38"/>
        </w:rPr>
        <w:t> </w:t>
      </w:r>
      <w:r>
        <w:rPr/>
        <w:t>that</w:t>
      </w:r>
      <w:r>
        <w:rPr>
          <w:spacing w:val="-38"/>
        </w:rPr>
        <w:t> </w:t>
      </w:r>
      <w:r>
        <w:rPr/>
        <w:t>the</w:t>
      </w:r>
      <w:r>
        <w:rPr>
          <w:spacing w:val="-40"/>
        </w:rPr>
        <w:t> </w:t>
      </w:r>
      <w:r>
        <w:rPr/>
        <w:t>subject</w:t>
      </w:r>
      <w:r>
        <w:rPr>
          <w:spacing w:val="-39"/>
        </w:rPr>
        <w:t> </w:t>
      </w:r>
      <w:r>
        <w:rPr/>
        <w:t>property</w:t>
      </w:r>
      <w:r>
        <w:rPr>
          <w:spacing w:val="-37"/>
        </w:rPr>
        <w:t> </w:t>
      </w:r>
      <w:r>
        <w:rPr/>
        <w:t>is</w:t>
      </w:r>
      <w:r>
        <w:rPr>
          <w:spacing w:val="-38"/>
        </w:rPr>
        <w:t> </w:t>
      </w:r>
      <w:r>
        <w:rPr/>
        <w:t>a</w:t>
      </w:r>
      <w:r>
        <w:rPr>
          <w:spacing w:val="-39"/>
        </w:rPr>
        <w:t> </w:t>
      </w:r>
      <w:r>
        <w:rPr/>
        <w:t>Commercial</w:t>
      </w:r>
      <w:r>
        <w:rPr>
          <w:spacing w:val="-38"/>
        </w:rPr>
        <w:t> </w:t>
      </w:r>
      <w:r>
        <w:rPr/>
        <w:t>IT</w:t>
      </w:r>
      <w:r>
        <w:rPr>
          <w:spacing w:val="-38"/>
        </w:rPr>
        <w:t> </w:t>
      </w:r>
      <w:r>
        <w:rPr/>
        <w:t>SEZ</w:t>
      </w:r>
      <w:r>
        <w:rPr>
          <w:spacing w:val="-39"/>
        </w:rPr>
        <w:t> </w:t>
      </w:r>
      <w:r>
        <w:rPr/>
        <w:t>office</w:t>
      </w:r>
      <w:r>
        <w:rPr>
          <w:spacing w:val="-36"/>
        </w:rPr>
        <w:t> </w:t>
      </w:r>
      <w:r>
        <w:rPr/>
        <w:t>park (along</w:t>
      </w:r>
      <w:r>
        <w:rPr>
          <w:spacing w:val="-38"/>
        </w:rPr>
        <w:t> </w:t>
      </w:r>
      <w:r>
        <w:rPr/>
        <w:t>with</w:t>
      </w:r>
      <w:r>
        <w:rPr>
          <w:spacing w:val="-37"/>
        </w:rPr>
        <w:t> </w:t>
      </w:r>
      <w:r>
        <w:rPr/>
        <w:t>support</w:t>
      </w:r>
      <w:r>
        <w:rPr>
          <w:spacing w:val="-36"/>
        </w:rPr>
        <w:t> </w:t>
      </w:r>
      <w:r>
        <w:rPr/>
        <w:t>retail),</w:t>
      </w:r>
      <w:r>
        <w:rPr>
          <w:spacing w:val="-36"/>
        </w:rPr>
        <w:t> </w:t>
      </w:r>
      <w:r>
        <w:rPr/>
        <w:t>comprising</w:t>
      </w:r>
      <w:r>
        <w:rPr>
          <w:spacing w:val="-35"/>
        </w:rPr>
        <w:t> </w:t>
      </w:r>
      <w:r>
        <w:rPr/>
        <w:t>of</w:t>
      </w:r>
      <w:r>
        <w:rPr>
          <w:spacing w:val="-36"/>
        </w:rPr>
        <w:t> </w:t>
      </w:r>
      <w:r>
        <w:rPr/>
        <w:t>6</w:t>
      </w:r>
      <w:r>
        <w:rPr>
          <w:spacing w:val="-36"/>
        </w:rPr>
        <w:t> </w:t>
      </w:r>
      <w:r>
        <w:rPr/>
        <w:t>operational</w:t>
      </w:r>
      <w:r>
        <w:rPr>
          <w:spacing w:val="-36"/>
        </w:rPr>
        <w:t> </w:t>
      </w:r>
      <w:r>
        <w:rPr/>
        <w:t>office</w:t>
      </w:r>
      <w:r>
        <w:rPr>
          <w:spacing w:val="-37"/>
        </w:rPr>
        <w:t> </w:t>
      </w:r>
      <w:r>
        <w:rPr/>
        <w:t>blocks.</w:t>
      </w:r>
      <w:r>
        <w:rPr>
          <w:spacing w:val="-38"/>
        </w:rPr>
        <w:t> </w:t>
      </w:r>
      <w:r>
        <w:rPr/>
        <w:t>The</w:t>
      </w:r>
      <w:r>
        <w:rPr>
          <w:spacing w:val="-36"/>
        </w:rPr>
        <w:t> </w:t>
      </w:r>
      <w:r>
        <w:rPr/>
        <w:t>current</w:t>
      </w:r>
      <w:r>
        <w:rPr>
          <w:spacing w:val="-36"/>
        </w:rPr>
        <w:t> </w:t>
      </w:r>
      <w:r>
        <w:rPr/>
        <w:t>use</w:t>
      </w:r>
      <w:r>
        <w:rPr>
          <w:spacing w:val="-36"/>
        </w:rPr>
        <w:t> </w:t>
      </w:r>
      <w:r>
        <w:rPr/>
        <w:t>of the</w:t>
      </w:r>
      <w:r>
        <w:rPr>
          <w:spacing w:val="-22"/>
        </w:rPr>
        <w:t> </w:t>
      </w:r>
      <w:r>
        <w:rPr/>
        <w:t>subject</w:t>
      </w:r>
      <w:r>
        <w:rPr>
          <w:spacing w:val="-23"/>
        </w:rPr>
        <w:t> </w:t>
      </w:r>
      <w:r>
        <w:rPr/>
        <w:t>property</w:t>
      </w:r>
      <w:r>
        <w:rPr>
          <w:spacing w:val="-21"/>
        </w:rPr>
        <w:t> </w:t>
      </w:r>
      <w:r>
        <w:rPr/>
        <w:t>has</w:t>
      </w:r>
      <w:r>
        <w:rPr>
          <w:spacing w:val="-22"/>
        </w:rPr>
        <w:t> </w:t>
      </w:r>
      <w:r>
        <w:rPr/>
        <w:t>been</w:t>
      </w:r>
      <w:r>
        <w:rPr>
          <w:spacing w:val="-22"/>
        </w:rPr>
        <w:t> </w:t>
      </w:r>
      <w:r>
        <w:rPr/>
        <w:t>provided</w:t>
      </w:r>
      <w:r>
        <w:rPr>
          <w:spacing w:val="-23"/>
        </w:rPr>
        <w:t> </w:t>
      </w:r>
      <w:r>
        <w:rPr/>
        <w:t>by</w:t>
      </w:r>
      <w:r>
        <w:rPr>
          <w:spacing w:val="-20"/>
        </w:rPr>
        <w:t> </w:t>
      </w:r>
      <w:r>
        <w:rPr/>
        <w:t>the</w:t>
      </w:r>
      <w:r>
        <w:rPr>
          <w:spacing w:val="-24"/>
        </w:rPr>
        <w:t> </w:t>
      </w:r>
      <w:r>
        <w:rPr/>
        <w:t>Client</w:t>
      </w:r>
      <w:r>
        <w:rPr>
          <w:spacing w:val="-22"/>
        </w:rPr>
        <w:t> </w:t>
      </w:r>
      <w:r>
        <w:rPr/>
        <w:t>and</w:t>
      </w:r>
      <w:r>
        <w:rPr>
          <w:spacing w:val="-21"/>
        </w:rPr>
        <w:t> </w:t>
      </w:r>
      <w:r>
        <w:rPr/>
        <w:t>is</w:t>
      </w:r>
      <w:r>
        <w:rPr>
          <w:spacing w:val="-23"/>
        </w:rPr>
        <w:t> </w:t>
      </w:r>
      <w:r>
        <w:rPr/>
        <w:t>broadly</w:t>
      </w:r>
      <w:r>
        <w:rPr>
          <w:spacing w:val="-22"/>
        </w:rPr>
        <w:t> </w:t>
      </w:r>
      <w:r>
        <w:rPr/>
        <w:t>in</w:t>
      </w:r>
      <w:r>
        <w:rPr>
          <w:spacing w:val="-23"/>
        </w:rPr>
        <w:t> </w:t>
      </w:r>
      <w:r>
        <w:rPr/>
        <w:t>agreement</w:t>
      </w:r>
      <w:r>
        <w:rPr>
          <w:spacing w:val="-22"/>
        </w:rPr>
        <w:t> </w:t>
      </w:r>
      <w:r>
        <w:rPr/>
        <w:t>with the</w:t>
      </w:r>
      <w:r>
        <w:rPr>
          <w:spacing w:val="-20"/>
        </w:rPr>
        <w:t> </w:t>
      </w:r>
      <w:r>
        <w:rPr/>
        <w:t>rules</w:t>
      </w:r>
      <w:r>
        <w:rPr>
          <w:spacing w:val="-18"/>
        </w:rPr>
        <w:t> </w:t>
      </w:r>
      <w:r>
        <w:rPr/>
        <w:t>and</w:t>
      </w:r>
      <w:r>
        <w:rPr>
          <w:spacing w:val="-19"/>
        </w:rPr>
        <w:t> </w:t>
      </w:r>
      <w:r>
        <w:rPr/>
        <w:t>regulations</w:t>
      </w:r>
      <w:r>
        <w:rPr>
          <w:spacing w:val="-17"/>
        </w:rPr>
        <w:t> </w:t>
      </w:r>
      <w:r>
        <w:rPr/>
        <w:t>as</w:t>
      </w:r>
      <w:r>
        <w:rPr>
          <w:spacing w:val="-18"/>
        </w:rPr>
        <w:t> </w:t>
      </w:r>
      <w:r>
        <w:rPr/>
        <w:t>prescribed</w:t>
      </w:r>
      <w:r>
        <w:rPr>
          <w:spacing w:val="-18"/>
        </w:rPr>
        <w:t> </w:t>
      </w:r>
      <w:r>
        <w:rPr/>
        <w:t>by</w:t>
      </w:r>
      <w:r>
        <w:rPr>
          <w:spacing w:val="-19"/>
        </w:rPr>
        <w:t> </w:t>
      </w:r>
      <w:r>
        <w:rPr/>
        <w:t>the</w:t>
      </w:r>
      <w:r>
        <w:rPr>
          <w:spacing w:val="-19"/>
        </w:rPr>
        <w:t> </w:t>
      </w:r>
      <w:r>
        <w:rPr/>
        <w:t>local</w:t>
      </w:r>
      <w:r>
        <w:rPr>
          <w:spacing w:val="-19"/>
        </w:rPr>
        <w:t> </w:t>
      </w:r>
      <w:r>
        <w:rPr/>
        <w:t>development</w:t>
      </w:r>
      <w:r>
        <w:rPr>
          <w:spacing w:val="-19"/>
        </w:rPr>
        <w:t> </w:t>
      </w:r>
      <w:r>
        <w:rPr/>
        <w:t>authority.</w:t>
      </w:r>
      <w:r>
        <w:rPr>
          <w:spacing w:val="-19"/>
        </w:rPr>
        <w:t> </w:t>
      </w:r>
      <w:r>
        <w:rPr/>
        <w:t>However, the Consultants have not made any enquiries with the relevant local authorities to validate</w:t>
      </w:r>
      <w:r>
        <w:rPr>
          <w:spacing w:val="-15"/>
        </w:rPr>
        <w:t> </w:t>
      </w:r>
      <w:r>
        <w:rPr/>
        <w:t>the</w:t>
      </w:r>
      <w:r>
        <w:rPr>
          <w:spacing w:val="-15"/>
        </w:rPr>
        <w:t> </w:t>
      </w:r>
      <w:r>
        <w:rPr/>
        <w:t>same</w:t>
      </w:r>
      <w:r>
        <w:rPr>
          <w:spacing w:val="-14"/>
        </w:rPr>
        <w:t> </w:t>
      </w:r>
      <w:r>
        <w:rPr/>
        <w:t>for</w:t>
      </w:r>
      <w:r>
        <w:rPr>
          <w:spacing w:val="-16"/>
        </w:rPr>
        <w:t> </w:t>
      </w:r>
      <w:r>
        <w:rPr/>
        <w:t>its</w:t>
      </w:r>
      <w:r>
        <w:rPr>
          <w:spacing w:val="-15"/>
        </w:rPr>
        <w:t> </w:t>
      </w:r>
      <w:r>
        <w:rPr/>
        <w:t>specific</w:t>
      </w:r>
      <w:r>
        <w:rPr>
          <w:spacing w:val="-16"/>
        </w:rPr>
        <w:t> </w:t>
      </w:r>
      <w:r>
        <w:rPr/>
        <w:t>applicability</w:t>
      </w:r>
      <w:r>
        <w:rPr>
          <w:spacing w:val="-15"/>
        </w:rPr>
        <w:t> </w:t>
      </w:r>
      <w:r>
        <w:rPr/>
        <w:t>to</w:t>
      </w:r>
      <w:r>
        <w:rPr>
          <w:spacing w:val="-15"/>
        </w:rPr>
        <w:t> </w:t>
      </w:r>
      <w:r>
        <w:rPr/>
        <w:t>the</w:t>
      </w:r>
      <w:r>
        <w:rPr>
          <w:spacing w:val="-14"/>
        </w:rPr>
        <w:t> </w:t>
      </w:r>
      <w:r>
        <w:rPr/>
        <w:t>subject</w:t>
      </w:r>
      <w:r>
        <w:rPr>
          <w:spacing w:val="-15"/>
        </w:rPr>
        <w:t> </w:t>
      </w:r>
      <w:r>
        <w:rPr/>
        <w:t>property.</w:t>
      </w:r>
    </w:p>
    <w:p>
      <w:pPr>
        <w:spacing w:after="0" w:line="321" w:lineRule="auto"/>
        <w:jc w:val="both"/>
        <w:sectPr>
          <w:type w:val="continuous"/>
          <w:pgSz w:w="11910" w:h="16840"/>
          <w:pgMar w:top="800" w:bottom="280" w:left="500" w:right="480"/>
          <w:cols w:num="2" w:equalWidth="0">
            <w:col w:w="1816" w:space="40"/>
            <w:col w:w="9074"/>
          </w:cols>
        </w:sectPr>
      </w:pPr>
    </w:p>
    <w:p>
      <w:pPr>
        <w:pStyle w:val="BodyText"/>
        <w:tabs>
          <w:tab w:pos="2375" w:val="left" w:leader="none"/>
        </w:tabs>
        <w:spacing w:line="324" w:lineRule="auto" w:before="124"/>
        <w:ind w:left="2375" w:right="258" w:hanging="1491"/>
      </w:pPr>
      <w:r>
        <w:rPr>
          <w:w w:val="95"/>
        </w:rPr>
        <w:t>Restrictions:</w:t>
        <w:tab/>
      </w:r>
      <w:r>
        <w:rPr/>
        <w:t>As</w:t>
      </w:r>
      <w:r>
        <w:rPr>
          <w:spacing w:val="-35"/>
        </w:rPr>
        <w:t> </w:t>
      </w:r>
      <w:r>
        <w:rPr/>
        <w:t>per</w:t>
      </w:r>
      <w:r>
        <w:rPr>
          <w:spacing w:val="-33"/>
        </w:rPr>
        <w:t> </w:t>
      </w:r>
      <w:r>
        <w:rPr/>
        <w:t>feedback</w:t>
      </w:r>
      <w:r>
        <w:rPr>
          <w:spacing w:val="-34"/>
        </w:rPr>
        <w:t> </w:t>
      </w:r>
      <w:r>
        <w:rPr/>
        <w:t>received</w:t>
      </w:r>
      <w:r>
        <w:rPr>
          <w:spacing w:val="-33"/>
        </w:rPr>
        <w:t> </w:t>
      </w:r>
      <w:r>
        <w:rPr/>
        <w:t>from</w:t>
      </w:r>
      <w:r>
        <w:rPr>
          <w:spacing w:val="-34"/>
        </w:rPr>
        <w:t> </w:t>
      </w:r>
      <w:r>
        <w:rPr/>
        <w:t>the</w:t>
      </w:r>
      <w:r>
        <w:rPr>
          <w:spacing w:val="-34"/>
        </w:rPr>
        <w:t> </w:t>
      </w:r>
      <w:r>
        <w:rPr/>
        <w:t>Client,</w:t>
      </w:r>
      <w:r>
        <w:rPr>
          <w:spacing w:val="-33"/>
        </w:rPr>
        <w:t> </w:t>
      </w:r>
      <w:r>
        <w:rPr/>
        <w:t>there</w:t>
      </w:r>
      <w:r>
        <w:rPr>
          <w:spacing w:val="-34"/>
        </w:rPr>
        <w:t> </w:t>
      </w:r>
      <w:r>
        <w:rPr/>
        <w:t>are</w:t>
      </w:r>
      <w:r>
        <w:rPr>
          <w:spacing w:val="-34"/>
        </w:rPr>
        <w:t> </w:t>
      </w:r>
      <w:r>
        <w:rPr/>
        <w:t>no</w:t>
      </w:r>
      <w:r>
        <w:rPr>
          <w:spacing w:val="-34"/>
        </w:rPr>
        <w:t> </w:t>
      </w:r>
      <w:r>
        <w:rPr/>
        <w:t>restrictions</w:t>
      </w:r>
      <w:r>
        <w:rPr>
          <w:spacing w:val="-33"/>
        </w:rPr>
        <w:t> </w:t>
      </w:r>
      <w:r>
        <w:rPr/>
        <w:t>on</w:t>
      </w:r>
      <w:r>
        <w:rPr>
          <w:spacing w:val="-34"/>
        </w:rPr>
        <w:t> </w:t>
      </w:r>
      <w:r>
        <w:rPr/>
        <w:t>the</w:t>
      </w:r>
      <w:r>
        <w:rPr>
          <w:spacing w:val="-34"/>
        </w:rPr>
        <w:t> </w:t>
      </w:r>
      <w:r>
        <w:rPr/>
        <w:t>current</w:t>
      </w:r>
      <w:r>
        <w:rPr>
          <w:spacing w:val="-33"/>
        </w:rPr>
        <w:t> </w:t>
      </w:r>
      <w:r>
        <w:rPr/>
        <w:t>use</w:t>
      </w:r>
      <w:r>
        <w:rPr>
          <w:spacing w:val="-34"/>
        </w:rPr>
        <w:t> </w:t>
      </w:r>
      <w:r>
        <w:rPr/>
        <w:t>of the</w:t>
      </w:r>
      <w:r>
        <w:rPr>
          <w:spacing w:val="-3"/>
        </w:rPr>
        <w:t> </w:t>
      </w:r>
      <w:r>
        <w:rPr/>
        <w:t>property.</w:t>
      </w:r>
    </w:p>
    <w:p>
      <w:pPr>
        <w:spacing w:after="0" w:line="324" w:lineRule="auto"/>
        <w:sectPr>
          <w:type w:val="continuous"/>
          <w:pgSz w:w="11910" w:h="16840"/>
          <w:pgMar w:top="800" w:bottom="280" w:left="500" w:right="480"/>
        </w:sectPr>
      </w:pPr>
    </w:p>
    <w:p>
      <w:pPr>
        <w:pStyle w:val="BodyText"/>
        <w:spacing w:before="7"/>
        <w:rPr>
          <w:sz w:val="9"/>
        </w:rPr>
      </w:pPr>
    </w:p>
    <w:p>
      <w:pPr>
        <w:spacing w:after="0"/>
        <w:rPr>
          <w:sz w:val="9"/>
        </w:rPr>
        <w:sectPr>
          <w:pgSz w:w="11910" w:h="16840"/>
          <w:pgMar w:header="720" w:footer="921" w:top="1660" w:bottom="1120" w:left="500" w:right="480"/>
        </w:sectPr>
      </w:pPr>
    </w:p>
    <w:p>
      <w:pPr>
        <w:pStyle w:val="BodyText"/>
        <w:tabs>
          <w:tab w:pos="1873" w:val="left" w:leader="none"/>
        </w:tabs>
        <w:spacing w:line="321" w:lineRule="auto" w:before="106"/>
        <w:ind w:left="885"/>
      </w:pPr>
      <w:r>
        <w:rPr/>
        <w:t>Natural</w:t>
        <w:tab/>
      </w:r>
      <w:r>
        <w:rPr>
          <w:spacing w:val="-11"/>
        </w:rPr>
        <w:t>or </w:t>
      </w:r>
      <w:r>
        <w:rPr/>
        <w:t>induced hazards:</w:t>
      </w:r>
    </w:p>
    <w:p>
      <w:pPr>
        <w:pStyle w:val="BodyText"/>
        <w:spacing w:line="321" w:lineRule="auto" w:before="106"/>
        <w:ind w:left="259"/>
      </w:pPr>
      <w:r>
        <w:rPr/>
        <w:br w:type="column"/>
      </w:r>
      <w:r>
        <w:rPr/>
        <w:t>We</w:t>
      </w:r>
      <w:r>
        <w:rPr>
          <w:spacing w:val="-30"/>
        </w:rPr>
        <w:t> </w:t>
      </w:r>
      <w:r>
        <w:rPr/>
        <w:t>are</w:t>
      </w:r>
      <w:r>
        <w:rPr>
          <w:spacing w:val="-30"/>
        </w:rPr>
        <w:t> </w:t>
      </w:r>
      <w:r>
        <w:rPr/>
        <w:t>of</w:t>
      </w:r>
      <w:r>
        <w:rPr>
          <w:spacing w:val="-29"/>
        </w:rPr>
        <w:t> </w:t>
      </w:r>
      <w:r>
        <w:rPr/>
        <w:t>the</w:t>
      </w:r>
      <w:r>
        <w:rPr>
          <w:spacing w:val="-31"/>
        </w:rPr>
        <w:t> </w:t>
      </w:r>
      <w:r>
        <w:rPr/>
        <w:t>opinion</w:t>
      </w:r>
      <w:r>
        <w:rPr>
          <w:spacing w:val="-30"/>
        </w:rPr>
        <w:t> </w:t>
      </w:r>
      <w:r>
        <w:rPr/>
        <w:t>that</w:t>
      </w:r>
      <w:r>
        <w:rPr>
          <w:spacing w:val="-28"/>
        </w:rPr>
        <w:t> </w:t>
      </w:r>
      <w:r>
        <w:rPr/>
        <w:t>the</w:t>
      </w:r>
      <w:r>
        <w:rPr>
          <w:spacing w:val="-30"/>
        </w:rPr>
        <w:t> </w:t>
      </w:r>
      <w:r>
        <w:rPr/>
        <w:t>project/</w:t>
      </w:r>
      <w:r>
        <w:rPr>
          <w:spacing w:val="-30"/>
        </w:rPr>
        <w:t> </w:t>
      </w:r>
      <w:r>
        <w:rPr/>
        <w:t>site</w:t>
      </w:r>
      <w:r>
        <w:rPr>
          <w:spacing w:val="-30"/>
        </w:rPr>
        <w:t> </w:t>
      </w:r>
      <w:r>
        <w:rPr/>
        <w:t>has</w:t>
      </w:r>
      <w:r>
        <w:rPr>
          <w:spacing w:val="-31"/>
        </w:rPr>
        <w:t> </w:t>
      </w:r>
      <w:r>
        <w:rPr/>
        <w:t>been</w:t>
      </w:r>
      <w:r>
        <w:rPr>
          <w:spacing w:val="-30"/>
        </w:rPr>
        <w:t> </w:t>
      </w:r>
      <w:r>
        <w:rPr/>
        <w:t>developed</w:t>
      </w:r>
      <w:r>
        <w:rPr>
          <w:spacing w:val="-29"/>
        </w:rPr>
        <w:t> </w:t>
      </w:r>
      <w:r>
        <w:rPr/>
        <w:t>to</w:t>
      </w:r>
      <w:r>
        <w:rPr>
          <w:spacing w:val="-32"/>
        </w:rPr>
        <w:t> </w:t>
      </w:r>
      <w:r>
        <w:rPr/>
        <w:t>withstand</w:t>
      </w:r>
      <w:r>
        <w:rPr>
          <w:spacing w:val="-29"/>
        </w:rPr>
        <w:t> </w:t>
      </w:r>
      <w:r>
        <w:rPr/>
        <w:t>natural</w:t>
      </w:r>
      <w:r>
        <w:rPr>
          <w:spacing w:val="-30"/>
        </w:rPr>
        <w:t> </w:t>
      </w:r>
      <w:r>
        <w:rPr/>
        <w:t>or induced</w:t>
      </w:r>
      <w:r>
        <w:rPr>
          <w:spacing w:val="-18"/>
        </w:rPr>
        <w:t> </w:t>
      </w:r>
      <w:r>
        <w:rPr/>
        <w:t>hazards</w:t>
      </w:r>
      <w:r>
        <w:rPr>
          <w:spacing w:val="-18"/>
        </w:rPr>
        <w:t> </w:t>
      </w:r>
      <w:r>
        <w:rPr/>
        <w:t>(with</w:t>
      </w:r>
      <w:r>
        <w:rPr>
          <w:spacing w:val="-19"/>
        </w:rPr>
        <w:t> </w:t>
      </w:r>
      <w:r>
        <w:rPr/>
        <w:t>the</w:t>
      </w:r>
      <w:r>
        <w:rPr>
          <w:spacing w:val="-21"/>
        </w:rPr>
        <w:t> </w:t>
      </w:r>
      <w:r>
        <w:rPr/>
        <w:t>exception</w:t>
      </w:r>
      <w:r>
        <w:rPr>
          <w:spacing w:val="-19"/>
        </w:rPr>
        <w:t> </w:t>
      </w:r>
      <w:r>
        <w:rPr/>
        <w:t>of</w:t>
      </w:r>
      <w:r>
        <w:rPr>
          <w:spacing w:val="-18"/>
        </w:rPr>
        <w:t> </w:t>
      </w:r>
      <w:r>
        <w:rPr/>
        <w:t>extreme/</w:t>
      </w:r>
      <w:r>
        <w:rPr>
          <w:spacing w:val="-19"/>
        </w:rPr>
        <w:t> </w:t>
      </w:r>
      <w:r>
        <w:rPr/>
        <w:t>out</w:t>
      </w:r>
      <w:r>
        <w:rPr>
          <w:spacing w:val="-18"/>
        </w:rPr>
        <w:t> </w:t>
      </w:r>
      <w:r>
        <w:rPr/>
        <w:t>of</w:t>
      </w:r>
      <w:r>
        <w:rPr>
          <w:spacing w:val="-18"/>
        </w:rPr>
        <w:t> </w:t>
      </w:r>
      <w:r>
        <w:rPr/>
        <w:t>the</w:t>
      </w:r>
      <w:r>
        <w:rPr>
          <w:spacing w:val="-19"/>
        </w:rPr>
        <w:t> </w:t>
      </w:r>
      <w:r>
        <w:rPr/>
        <w:t>ordinary</w:t>
      </w:r>
      <w:r>
        <w:rPr>
          <w:spacing w:val="-18"/>
        </w:rPr>
        <w:t> </w:t>
      </w:r>
      <w:r>
        <w:rPr/>
        <w:t>hazards).</w:t>
      </w:r>
    </w:p>
    <w:p>
      <w:pPr>
        <w:spacing w:after="0" w:line="321" w:lineRule="auto"/>
        <w:sectPr>
          <w:type w:val="continuous"/>
          <w:pgSz w:w="11910" w:h="16840"/>
          <w:pgMar w:top="800" w:bottom="280" w:left="500" w:right="480"/>
          <w:cols w:num="2" w:equalWidth="0">
            <w:col w:w="2077" w:space="40"/>
            <w:col w:w="8813"/>
          </w:cols>
        </w:sectPr>
      </w:pPr>
    </w:p>
    <w:p>
      <w:pPr>
        <w:pStyle w:val="BodyText"/>
        <w:spacing w:before="10"/>
        <w:rPr>
          <w:sz w:val="21"/>
        </w:rPr>
      </w:pPr>
    </w:p>
    <w:p>
      <w:pPr>
        <w:pStyle w:val="ListParagraph"/>
        <w:numPr>
          <w:ilvl w:val="2"/>
          <w:numId w:val="14"/>
        </w:numPr>
        <w:tabs>
          <w:tab w:pos="941" w:val="left" w:leader="none"/>
        </w:tabs>
        <w:spacing w:line="240" w:lineRule="auto" w:before="107" w:after="0"/>
        <w:ind w:left="940" w:right="0" w:hanging="721"/>
        <w:jc w:val="left"/>
        <w:rPr>
          <w:sz w:val="22"/>
        </w:rPr>
      </w:pPr>
      <w:bookmarkStart w:name="_bookmark217" w:id="423"/>
      <w:bookmarkEnd w:id="423"/>
      <w:r>
        <w:rPr/>
      </w:r>
      <w:bookmarkStart w:name="_bookmark217" w:id="424"/>
      <w:bookmarkEnd w:id="424"/>
      <w:r>
        <w:rPr>
          <w:color w:val="1F664D"/>
          <w:sz w:val="22"/>
        </w:rPr>
        <w:t>S</w:t>
      </w:r>
      <w:r>
        <w:rPr>
          <w:color w:val="1F664D"/>
          <w:sz w:val="22"/>
        </w:rPr>
        <w:t>tatutory Approvals, One Time Sanctions &amp; Periodic</w:t>
      </w:r>
      <w:r>
        <w:rPr>
          <w:color w:val="1F664D"/>
          <w:spacing w:val="-1"/>
          <w:sz w:val="22"/>
        </w:rPr>
        <w:t> </w:t>
      </w:r>
      <w:r>
        <w:rPr>
          <w:color w:val="1F664D"/>
          <w:sz w:val="22"/>
        </w:rPr>
        <w:t>Clearances</w:t>
      </w:r>
    </w:p>
    <w:p>
      <w:pPr>
        <w:pStyle w:val="BodyText"/>
        <w:spacing w:before="207"/>
        <w:ind w:left="786"/>
      </w:pPr>
      <w:r>
        <w:rPr/>
        <w:t>Please refer section 18.3 on Statutory Approvals, One time Sanctions &amp; Periodic Clearances</w:t>
      </w:r>
    </w:p>
    <w:p>
      <w:pPr>
        <w:pStyle w:val="BodyText"/>
        <w:spacing w:before="3"/>
        <w:rPr>
          <w:sz w:val="28"/>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218" w:id="425"/>
      <w:bookmarkEnd w:id="425"/>
      <w:r>
        <w:rPr/>
      </w:r>
      <w:bookmarkStart w:name="_bookmark218" w:id="426"/>
      <w:bookmarkEnd w:id="426"/>
      <w:r>
        <w:rPr>
          <w:color w:val="1F664D"/>
          <w:sz w:val="22"/>
        </w:rPr>
        <w:t>Are</w:t>
      </w:r>
      <w:r>
        <w:rPr>
          <w:color w:val="1F664D"/>
          <w:sz w:val="22"/>
        </w:rPr>
        <w:t>a Details, Type and Age of Existing</w:t>
      </w:r>
      <w:r>
        <w:rPr>
          <w:color w:val="1F664D"/>
          <w:spacing w:val="-6"/>
          <w:sz w:val="22"/>
        </w:rPr>
        <w:t> </w:t>
      </w:r>
      <w:r>
        <w:rPr>
          <w:color w:val="1F664D"/>
          <w:sz w:val="22"/>
        </w:rPr>
        <w:t>Structures</w:t>
      </w:r>
    </w:p>
    <w:p>
      <w:pPr>
        <w:pStyle w:val="BodyText"/>
        <w:spacing w:before="208"/>
        <w:ind w:left="760"/>
      </w:pPr>
      <w:r>
        <w:rPr/>
        <w:t>The table below highlights the detailed area break-up of the subject development:</w:t>
      </w:r>
    </w:p>
    <w:p>
      <w:pPr>
        <w:pStyle w:val="BodyText"/>
        <w:spacing w:before="2"/>
        <w:rPr>
          <w:sz w:val="14"/>
        </w:rPr>
      </w:pPr>
      <w:r>
        <w:rPr/>
        <w:pict>
          <v:group style="position:absolute;margin-left:36pt;margin-top:10.194005pt;width:523.6pt;height:23.8pt;mso-position-horizontal-relative:page;mso-position-vertical-relative:paragraph;z-index:-15204864;mso-wrap-distance-left:0;mso-wrap-distance-right:0" coordorigin="720,204" coordsize="10472,476">
            <v:shape style="position:absolute;left:720;top:232;width:10472;height:432" coordorigin="720,233" coordsize="10472,432" path="m5017,233l3072,233,720,233,720,665,3072,665,5017,665,5017,233xm9213,233l6774,233,6774,233,5017,233,5017,665,6774,665,6774,665,9213,665,9213,233xm11191,233l9213,233,9213,665,11191,665,11191,233xe" filled="true" fillcolor="#006a4d" stroked="false">
              <v:path arrowok="t"/>
              <v:fill type="solid"/>
            </v:shape>
            <v:rect style="position:absolute;left:720;top:203;width:2353;height:29" filled="true" fillcolor="#1f6b16" stroked="false">
              <v:fill type="solid"/>
            </v:rect>
            <v:shape style="position:absolute;left:720;top:232;width:2382;height:3" coordorigin="720,233" coordsize="2382,3" path="m3101,233l3072,233,720,233,720,235,3072,235,3101,235,3101,233xe" filled="true" fillcolor="#006a4d" stroked="false">
              <v:path arrowok="t"/>
              <v:fill type="solid"/>
            </v:shape>
            <v:shape style="position:absolute;left:3072;top:203;width:1945;height:29" coordorigin="3072,204" coordsize="1945,29" path="m5017,204l3101,204,3072,204,3072,233,3101,233,5017,233,5017,204xe" filled="true" fillcolor="#1f6b16" stroked="false">
              <v:path arrowok="t"/>
              <v:fill type="solid"/>
            </v:shape>
            <v:shape style="position:absolute;left:3101;top:232;width:1945;height:3" coordorigin="3101,233" coordsize="1945,3" path="m5017,233l3101,233,3101,235,5017,235,5017,233xm5046,233l5017,233,5017,235,5046,235,5046,233xe" filled="true" fillcolor="#006a4d" stroked="false">
              <v:path arrowok="t"/>
              <v:fill type="solid"/>
            </v:shape>
            <v:shape style="position:absolute;left:5017;top:203;width:1758;height:29" coordorigin="5017,204" coordsize="1758,29" path="m6774,204l5046,204,5017,204,5017,233,5046,233,6774,233,6774,204xe" filled="true" fillcolor="#1f6b16" stroked="false">
              <v:path arrowok="t"/>
              <v:fill type="solid"/>
            </v:shape>
            <v:shape style="position:absolute;left:5045;top:232;width:1758;height:3" coordorigin="5046,233" coordsize="1758,3" path="m6803,233l6774,233,5046,233,5046,235,6774,235,6803,235,6803,233xe" filled="true" fillcolor="#006a4d" stroked="false">
              <v:path arrowok="t"/>
              <v:fill type="solid"/>
            </v:shape>
            <v:shape style="position:absolute;left:6774;top:203;width:2439;height:29" coordorigin="6774,204" coordsize="2439,29" path="m9213,204l6803,204,6774,204,6774,233,6803,233,9213,233,9213,204xe" filled="true" fillcolor="#1f6b16" stroked="false">
              <v:path arrowok="t"/>
              <v:fill type="solid"/>
            </v:shape>
            <v:shape style="position:absolute;left:6803;top:232;width:2439;height:3" coordorigin="6803,233" coordsize="2439,3" path="m9213,233l6803,233,6803,235,9213,235,9213,233xm9242,233l9213,233,9213,235,9242,235,9242,233xe" filled="true" fillcolor="#006a4d" stroked="false">
              <v:path arrowok="t"/>
              <v:fill type="solid"/>
            </v:shape>
            <v:shape style="position:absolute;left:9213;top:203;width:1979;height:29" coordorigin="9213,204" coordsize="1979,29" path="m11191,204l9242,204,9213,204,9213,233,9242,233,11191,233,11191,204xe" filled="true" fillcolor="#1f6b16" stroked="false">
              <v:path arrowok="t"/>
              <v:fill type="solid"/>
            </v:shape>
            <v:rect style="position:absolute;left:9242;top:232;width:1950;height:3" filled="true" fillcolor="#006a4d" stroked="false">
              <v:fill type="solid"/>
            </v:rect>
            <v:shape style="position:absolute;left:720;top:664;width:10472;height:15" coordorigin="720,665" coordsize="10472,15" path="m3087,665l3072,665,720,665,720,679,3072,679,3087,679,3087,665xm5017,665l3087,665,3087,679,5017,679,5017,665xm9100,665l7024,665,7009,665,6789,665,6774,665,6774,665,5269,665,5255,665,5031,665,5017,665,5017,679,5031,679,5255,679,5269,679,6774,679,6774,679,6789,679,7009,679,7024,679,9100,679,9100,665xm11191,665l9228,665,9213,665,9115,665,9100,665,9100,679,9115,679,9213,679,9228,679,11191,679,11191,665xe" filled="true" fillcolor="#69bd28" stroked="false">
              <v:path arrowok="t"/>
              <v:fill type="solid"/>
            </v:shape>
            <v:shape style="position:absolute;left:986;top:340;width:1839;height:216" type="#_x0000_t202" filled="false" stroked="false">
              <v:textbox inset="0,0,0,0">
                <w:txbxContent>
                  <w:p>
                    <w:pPr>
                      <w:spacing w:before="4"/>
                      <w:ind w:left="0" w:right="0" w:firstLine="0"/>
                      <w:jc w:val="left"/>
                      <w:rPr>
                        <w:b/>
                        <w:sz w:val="18"/>
                      </w:rPr>
                    </w:pPr>
                    <w:r>
                      <w:rPr>
                        <w:b/>
                        <w:color w:val="FFFFFF"/>
                        <w:w w:val="110"/>
                        <w:sz w:val="18"/>
                      </w:rPr>
                      <w:t>Development Name</w:t>
                    </w:r>
                  </w:p>
                </w:txbxContent>
              </v:textbox>
              <w10:wrap type="none"/>
            </v:shape>
            <v:shape style="position:absolute;left:3221;top:232;width:1667;height:432" type="#_x0000_t202" filled="false" stroked="false">
              <v:textbox inset="0,0,0,0">
                <w:txbxContent>
                  <w:p>
                    <w:pPr>
                      <w:spacing w:line="247" w:lineRule="auto" w:before="4"/>
                      <w:ind w:left="626" w:right="0" w:hanging="627"/>
                      <w:jc w:val="left"/>
                      <w:rPr>
                        <w:b/>
                        <w:sz w:val="18"/>
                      </w:rPr>
                    </w:pPr>
                    <w:r>
                      <w:rPr>
                        <w:b/>
                        <w:color w:val="FFFFFF"/>
                        <w:w w:val="110"/>
                        <w:sz w:val="18"/>
                      </w:rPr>
                      <w:t>Developable Area (Sf)*</w:t>
                    </w:r>
                  </w:p>
                </w:txbxContent>
              </v:textbox>
              <w10:wrap type="none"/>
            </v:shape>
            <v:shape style="position:absolute;left:5158;top:232;width:1490;height:432" type="#_x0000_t202" filled="false" stroked="false">
              <v:textbox inset="0,0,0,0">
                <w:txbxContent>
                  <w:p>
                    <w:pPr>
                      <w:spacing w:line="247" w:lineRule="auto" w:before="4"/>
                      <w:ind w:left="586" w:right="0" w:hanging="586"/>
                      <w:jc w:val="left"/>
                      <w:rPr>
                        <w:b/>
                        <w:sz w:val="18"/>
                      </w:rPr>
                    </w:pPr>
                    <w:r>
                      <w:rPr>
                        <w:b/>
                        <w:color w:val="FFFFFF"/>
                        <w:w w:val="105"/>
                        <w:sz w:val="18"/>
                      </w:rPr>
                      <w:t>Completed Area (Sf)</w:t>
                    </w:r>
                  </w:p>
                </w:txbxContent>
              </v:textbox>
              <w10:wrap type="none"/>
            </v:shape>
            <v:shape style="position:absolute;left:7079;top:340;width:1853;height:216" type="#_x0000_t202" filled="false" stroked="false">
              <v:textbox inset="0,0,0,0">
                <w:txbxContent>
                  <w:p>
                    <w:pPr>
                      <w:spacing w:before="4"/>
                      <w:ind w:left="0" w:right="0" w:firstLine="0"/>
                      <w:jc w:val="left"/>
                      <w:rPr>
                        <w:b/>
                        <w:sz w:val="18"/>
                      </w:rPr>
                    </w:pPr>
                    <w:r>
                      <w:rPr>
                        <w:b/>
                        <w:color w:val="FFFFFF"/>
                        <w:w w:val="105"/>
                        <w:sz w:val="18"/>
                      </w:rPr>
                      <w:t>Committed Area (Sf)</w:t>
                    </w:r>
                  </w:p>
                </w:txbxContent>
              </v:textbox>
              <w10:wrap type="none"/>
            </v:shape>
            <v:shape style="position:absolute;left:9357;top:340;width:1710;height:216" type="#_x0000_t202" filled="false" stroked="false">
              <v:textbox inset="0,0,0,0">
                <w:txbxContent>
                  <w:p>
                    <w:pPr>
                      <w:spacing w:before="4"/>
                      <w:ind w:left="0" w:right="0" w:firstLine="0"/>
                      <w:jc w:val="left"/>
                      <w:rPr>
                        <w:b/>
                        <w:sz w:val="18"/>
                      </w:rPr>
                    </w:pPr>
                    <w:r>
                      <w:rPr>
                        <w:b/>
                        <w:color w:val="FFFFFF"/>
                        <w:w w:val="105"/>
                        <w:sz w:val="18"/>
                      </w:rPr>
                      <w:t>Occupied Area (Sf)</w:t>
                    </w:r>
                  </w:p>
                </w:txbxContent>
              </v:textbox>
              <w10:wrap type="none"/>
            </v:shape>
            <w10:wrap type="topAndBottom"/>
          </v:group>
        </w:pict>
      </w:r>
    </w:p>
    <w:p>
      <w:pPr>
        <w:tabs>
          <w:tab w:pos="3237" w:val="left" w:leader="none"/>
          <w:tab w:pos="4920" w:val="left" w:leader="none"/>
          <w:tab w:pos="7129" w:val="left" w:leader="none"/>
          <w:tab w:pos="9219" w:val="left" w:leader="none"/>
        </w:tabs>
        <w:spacing w:before="10" w:after="39"/>
        <w:ind w:left="791" w:right="0" w:firstLine="0"/>
        <w:jc w:val="left"/>
        <w:rPr>
          <w:sz w:val="18"/>
        </w:rPr>
      </w:pPr>
      <w:r>
        <w:rPr>
          <w:w w:val="105"/>
          <w:sz w:val="18"/>
        </w:rPr>
        <w:t>Embassy</w:t>
      </w:r>
      <w:r>
        <w:rPr>
          <w:spacing w:val="-18"/>
          <w:w w:val="105"/>
          <w:sz w:val="18"/>
        </w:rPr>
        <w:t> </w:t>
      </w:r>
      <w:r>
        <w:rPr>
          <w:w w:val="105"/>
          <w:sz w:val="18"/>
        </w:rPr>
        <w:t>Qubix</w:t>
        <w:tab/>
        <w:t>1,084,669</w:t>
        <w:tab/>
        <w:t>1,450,494</w:t>
        <w:tab/>
        <w:t>1,447,290</w:t>
        <w:tab/>
        <w:t>1,447,290</w:t>
      </w:r>
    </w:p>
    <w:p>
      <w:pPr>
        <w:pStyle w:val="BodyText"/>
        <w:spacing w:line="20" w:lineRule="exact"/>
        <w:ind w:left="20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0"/>
        <w:ind w:left="220" w:right="0" w:firstLine="0"/>
        <w:jc w:val="left"/>
        <w:rPr>
          <w:i/>
          <w:sz w:val="18"/>
        </w:rPr>
      </w:pPr>
      <w:r>
        <w:rPr>
          <w:i/>
          <w:sz w:val="18"/>
        </w:rPr>
        <w:t>Source: Rent roll, lease deeds, Architect Certificate provided by Client; *represents achieved FSI area</w:t>
      </w:r>
    </w:p>
    <w:p>
      <w:pPr>
        <w:pStyle w:val="BodyText"/>
        <w:spacing w:before="9"/>
        <w:rPr>
          <w:i/>
          <w:sz w:val="12"/>
        </w:rPr>
      </w:pPr>
      <w:r>
        <w:rPr/>
        <w:pict>
          <v:group style="position:absolute;margin-left:36pt;margin-top:9.400466pt;width:523.6pt;height:35.3pt;mso-position-horizontal-relative:page;mso-position-vertical-relative:paragraph;z-index:-15201280;mso-wrap-distance-left:0;mso-wrap-distance-right:0" coordorigin="720,188" coordsize="10472,706">
            <v:shape style="position:absolute;left:720;top:216;width:10472;height:432" coordorigin="720,217" coordsize="10472,432" path="m7895,217l6654,217,6654,217,4681,217,720,217,720,649,4681,649,6654,649,6654,649,7895,649,7895,217xm11191,217l9112,217,7896,217,7896,649,9112,649,11191,649,11191,217xe" filled="true" fillcolor="#006a4d" stroked="false">
              <v:path arrowok="t"/>
              <v:fill type="solid"/>
            </v:shape>
            <v:rect style="position:absolute;left:720;top:188;width:3961;height:29" filled="true" fillcolor="#1f6b16" stroked="false">
              <v:fill type="solid"/>
            </v:rect>
            <v:shape style="position:absolute;left:720;top:216;width:3990;height:3" coordorigin="720,217" coordsize="3990,3" path="m4710,217l4681,217,720,217,720,219,4681,219,4710,219,4710,217xe" filled="true" fillcolor="#006a4d" stroked="false">
              <v:path arrowok="t"/>
              <v:fill type="solid"/>
            </v:shape>
            <v:shape style="position:absolute;left:4681;top:188;width:1976;height:29" coordorigin="4681,188" coordsize="1976,29" path="m6657,188l4710,188,4681,188,4681,217,4710,217,6657,217,6657,188xe" filled="true" fillcolor="#1f6b16" stroked="false">
              <v:path arrowok="t"/>
              <v:fill type="solid"/>
            </v:shape>
            <v:shape style="position:absolute;left:4709;top:216;width:1976;height:3" coordorigin="4710,217" coordsize="1976,3" path="m6685,217l6657,217,4710,217,4710,219,6657,219,6685,219,6685,217xe" filled="true" fillcolor="#006a4d" stroked="false">
              <v:path arrowok="t"/>
              <v:fill type="solid"/>
            </v:shape>
            <v:shape style="position:absolute;left:6656;top:188;width:1239;height:29" coordorigin="6657,188" coordsize="1239,29" path="m7895,188l6685,188,6657,188,6657,217,6685,217,7895,217,7895,188xe" filled="true" fillcolor="#1f6b16" stroked="false">
              <v:path arrowok="t"/>
              <v:fill type="solid"/>
            </v:shape>
            <v:shape style="position:absolute;left:6685;top:216;width:1239;height:3" coordorigin="6685,217" coordsize="1239,3" path="m7895,217l6685,217,6685,219,7895,219,7895,217xm7924,217l7896,217,7896,219,7924,219,7924,217xe" filled="true" fillcolor="#006a4d" stroked="false">
              <v:path arrowok="t"/>
              <v:fill type="solid"/>
            </v:shape>
            <v:shape style="position:absolute;left:7895;top:188;width:1217;height:29" coordorigin="7896,188" coordsize="1217,29" path="m7924,188l7896,188,7896,217,7924,217,7924,188xm9112,188l7924,188,7924,217,9112,217,9112,188xe" filled="true" fillcolor="#1f6b16" stroked="false">
              <v:path arrowok="t"/>
              <v:fill type="solid"/>
            </v:shape>
            <v:shape style="position:absolute;left:7924;top:216;width:1217;height:3" coordorigin="7924,217" coordsize="1217,3" path="m9141,217l9112,217,7924,217,7924,219,9112,219,9141,219,9141,217xe" filled="true" fillcolor="#006a4d" stroked="false">
              <v:path arrowok="t"/>
              <v:fill type="solid"/>
            </v:shape>
            <v:shape style="position:absolute;left:9112;top:188;width:2079;height:29" coordorigin="9112,188" coordsize="2079,29" path="m11191,188l9141,188,9112,188,9112,217,9141,217,11191,217,11191,188xe" filled="true" fillcolor="#1f6b16" stroked="false">
              <v:path arrowok="t"/>
              <v:fill type="solid"/>
            </v:shape>
            <v:rect style="position:absolute;left:9141;top:216;width:2050;height:3" filled="true" fillcolor="#006a4d" stroked="false">
              <v:fill type="solid"/>
            </v:rect>
            <v:shape style="position:absolute;left:720;top:648;width:10472;height:245" coordorigin="720,649" coordsize="10472,245" path="m11191,649l9127,649,9112,649,7910,649,7896,649,7896,663,7895,649,6671,649,720,649,720,663,720,879,720,894,4681,894,7895,894,7895,879,7896,894,7910,894,9112,894,9127,894,11191,894,11191,879,11191,663,11191,649xe" filled="true" fillcolor="#69bd28" stroked="false">
              <v:path arrowok="t"/>
              <v:fill type="solid"/>
            </v:shape>
            <v:shape style="position:absolute;left:2424;top:216;width:574;height:432" type="#_x0000_t202" filled="false" stroked="false">
              <v:textbox inset="0,0,0,0">
                <w:txbxContent>
                  <w:p>
                    <w:pPr>
                      <w:spacing w:line="247" w:lineRule="auto" w:before="4"/>
                      <w:ind w:left="0" w:right="8" w:firstLine="31"/>
                      <w:jc w:val="left"/>
                      <w:rPr>
                        <w:b/>
                        <w:sz w:val="18"/>
                      </w:rPr>
                    </w:pPr>
                    <w:r>
                      <w:rPr>
                        <w:b/>
                        <w:color w:val="FFFFFF"/>
                        <w:w w:val="110"/>
                        <w:sz w:val="18"/>
                      </w:rPr>
                      <w:t>Block </w:t>
                    </w:r>
                    <w:r>
                      <w:rPr>
                        <w:b/>
                        <w:color w:val="FFFFFF"/>
                        <w:w w:val="115"/>
                        <w:sz w:val="18"/>
                      </w:rPr>
                      <w:t>Name</w:t>
                    </w:r>
                  </w:p>
                </w:txbxContent>
              </v:textbox>
              <w10:wrap type="none"/>
            </v:shape>
            <v:shape style="position:absolute;left:4839;top:324;width:1941;height:555" type="#_x0000_t202" filled="false" stroked="false">
              <v:textbox inset="0,0,0,0">
                <w:txbxContent>
                  <w:p>
                    <w:pPr>
                      <w:spacing w:before="4"/>
                      <w:ind w:left="0" w:right="0" w:firstLine="0"/>
                      <w:jc w:val="left"/>
                      <w:rPr>
                        <w:b/>
                        <w:sz w:val="18"/>
                      </w:rPr>
                    </w:pPr>
                    <w:r>
                      <w:rPr>
                        <w:b/>
                        <w:color w:val="FFFFFF"/>
                        <w:w w:val="110"/>
                        <w:sz w:val="18"/>
                      </w:rPr>
                      <w:t>Building Elevation</w:t>
                    </w:r>
                  </w:p>
                  <w:p>
                    <w:pPr>
                      <w:spacing w:before="129"/>
                      <w:ind w:left="311" w:right="0" w:firstLine="0"/>
                      <w:jc w:val="left"/>
                      <w:rPr>
                        <w:b/>
                        <w:sz w:val="18"/>
                      </w:rPr>
                    </w:pPr>
                    <w:r>
                      <w:rPr>
                        <w:b/>
                        <w:color w:val="FFFFFF"/>
                        <w:w w:val="110"/>
                        <w:sz w:val="18"/>
                      </w:rPr>
                      <w:t>Completed</w:t>
                    </w:r>
                    <w:r>
                      <w:rPr>
                        <w:b/>
                        <w:color w:val="FFFFFF"/>
                        <w:spacing w:val="-28"/>
                        <w:w w:val="110"/>
                        <w:sz w:val="18"/>
                      </w:rPr>
                      <w:t> </w:t>
                    </w:r>
                    <w:r>
                      <w:rPr>
                        <w:b/>
                        <w:color w:val="FFFFFF"/>
                        <w:w w:val="110"/>
                        <w:sz w:val="18"/>
                      </w:rPr>
                      <w:t>Blocks</w:t>
                    </w:r>
                  </w:p>
                </w:txbxContent>
              </v:textbox>
              <w10:wrap type="none"/>
            </v:shape>
            <v:shape style="position:absolute;left:6836;top:216;width:900;height:432" type="#_x0000_t202" filled="false" stroked="false">
              <v:textbox inset="0,0,0,0">
                <w:txbxContent>
                  <w:p>
                    <w:pPr>
                      <w:spacing w:line="247" w:lineRule="auto" w:before="4"/>
                      <w:ind w:left="273" w:right="7" w:hanging="274"/>
                      <w:jc w:val="left"/>
                      <w:rPr>
                        <w:b/>
                        <w:sz w:val="18"/>
                      </w:rPr>
                    </w:pPr>
                    <w:r>
                      <w:rPr>
                        <w:b/>
                        <w:color w:val="FFFFFF"/>
                        <w:w w:val="115"/>
                        <w:sz w:val="18"/>
                      </w:rPr>
                      <w:t>SEZ/Non- SEZ</w:t>
                    </w:r>
                  </w:p>
                </w:txbxContent>
              </v:textbox>
              <w10:wrap type="none"/>
            </v:shape>
            <v:shape style="position:absolute;left:8186;top:216;width:657;height:432" type="#_x0000_t202" filled="false" stroked="false">
              <v:textbox inset="0,0,0,0">
                <w:txbxContent>
                  <w:p>
                    <w:pPr>
                      <w:spacing w:line="247" w:lineRule="auto" w:before="4"/>
                      <w:ind w:left="0" w:right="10" w:firstLine="139"/>
                      <w:jc w:val="left"/>
                      <w:rPr>
                        <w:b/>
                        <w:sz w:val="18"/>
                      </w:rPr>
                    </w:pPr>
                    <w:r>
                      <w:rPr>
                        <w:b/>
                        <w:color w:val="FFFFFF"/>
                        <w:w w:val="110"/>
                        <w:sz w:val="18"/>
                      </w:rPr>
                      <w:t>Age </w:t>
                    </w:r>
                    <w:r>
                      <w:rPr>
                        <w:b/>
                        <w:color w:val="FFFFFF"/>
                        <w:w w:val="105"/>
                        <w:sz w:val="18"/>
                      </w:rPr>
                      <w:t>(Years)</w:t>
                    </w:r>
                  </w:p>
                </w:txbxContent>
              </v:textbox>
              <w10:wrap type="none"/>
            </v:shape>
            <v:shape style="position:absolute;left:9326;top:324;width:1670;height:216" type="#_x0000_t202" filled="false" stroked="false">
              <v:textbox inset="0,0,0,0">
                <w:txbxContent>
                  <w:p>
                    <w:pPr>
                      <w:spacing w:before="4"/>
                      <w:ind w:left="0" w:right="0" w:firstLine="0"/>
                      <w:jc w:val="left"/>
                      <w:rPr>
                        <w:b/>
                        <w:sz w:val="18"/>
                      </w:rPr>
                    </w:pPr>
                    <w:r>
                      <w:rPr>
                        <w:b/>
                        <w:color w:val="FFFFFF"/>
                        <w:w w:val="110"/>
                        <w:sz w:val="18"/>
                      </w:rPr>
                      <w:t>Leasable Area (sf)</w:t>
                    </w:r>
                  </w:p>
                </w:txbxContent>
              </v:textbox>
              <w10:wrap type="none"/>
            </v:shape>
            <w10:wrap type="topAndBottom"/>
          </v:group>
        </w:pict>
      </w:r>
    </w:p>
    <w:p>
      <w:pPr>
        <w:tabs>
          <w:tab w:pos="4432" w:val="left" w:leader="none"/>
          <w:tab w:pos="6533" w:val="left" w:leader="none"/>
          <w:tab w:pos="7949" w:val="left" w:leader="none"/>
          <w:tab w:pos="9306" w:val="left" w:leader="none"/>
        </w:tabs>
        <w:spacing w:before="18" w:after="46"/>
        <w:ind w:left="1708" w:right="0" w:firstLine="0"/>
        <w:jc w:val="left"/>
        <w:rPr>
          <w:sz w:val="18"/>
        </w:rPr>
      </w:pPr>
      <w:r>
        <w:rPr>
          <w:w w:val="110"/>
          <w:sz w:val="18"/>
        </w:rPr>
        <w:t>Building</w:t>
      </w:r>
      <w:r>
        <w:rPr>
          <w:spacing w:val="-35"/>
          <w:w w:val="110"/>
          <w:sz w:val="18"/>
        </w:rPr>
        <w:t> </w:t>
      </w:r>
      <w:r>
        <w:rPr>
          <w:w w:val="110"/>
          <w:sz w:val="18"/>
        </w:rPr>
        <w:t>IT</w:t>
      </w:r>
      <w:r>
        <w:rPr>
          <w:spacing w:val="-35"/>
          <w:w w:val="110"/>
          <w:sz w:val="18"/>
        </w:rPr>
        <w:t> </w:t>
      </w:r>
      <w:r>
        <w:rPr>
          <w:w w:val="110"/>
          <w:sz w:val="18"/>
        </w:rPr>
        <w:t>1</w:t>
        <w:tab/>
        <w:t>Ground </w:t>
      </w:r>
      <w:r>
        <w:rPr>
          <w:w w:val="130"/>
          <w:sz w:val="18"/>
        </w:rPr>
        <w:t>+</w:t>
      </w:r>
      <w:r>
        <w:rPr>
          <w:spacing w:val="-51"/>
          <w:w w:val="130"/>
          <w:sz w:val="18"/>
        </w:rPr>
        <w:t> </w:t>
      </w:r>
      <w:r>
        <w:rPr>
          <w:w w:val="110"/>
          <w:sz w:val="18"/>
        </w:rPr>
        <w:t>6</w:t>
      </w:r>
      <w:r>
        <w:rPr>
          <w:spacing w:val="-21"/>
          <w:w w:val="110"/>
          <w:sz w:val="18"/>
        </w:rPr>
        <w:t> </w:t>
      </w:r>
      <w:r>
        <w:rPr>
          <w:w w:val="110"/>
          <w:sz w:val="18"/>
        </w:rPr>
        <w:t>floors</w:t>
        <w:tab/>
        <w:t>IT</w:t>
      </w:r>
      <w:r>
        <w:rPr>
          <w:spacing w:val="-27"/>
          <w:w w:val="110"/>
          <w:sz w:val="18"/>
        </w:rPr>
        <w:t> </w:t>
      </w:r>
      <w:r>
        <w:rPr>
          <w:w w:val="110"/>
          <w:sz w:val="18"/>
        </w:rPr>
        <w:t>SEZ</w:t>
        <w:tab/>
        <w:t>7</w:t>
        <w:tab/>
        <w:t>310,339</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7175,0l5951,0,5937,0,5937,0,3975,0,3961,0,0,0,0,14,3961,14,3975,14,5937,14,5937,14,5951,14,7175,14,7175,0xm10471,0l8407,0,8392,0,7190,0,7176,0,7176,14,7190,14,8392,14,8407,14,10471,14,10471,0xe" filled="true" fillcolor="#69bd28" stroked="false">
              <v:path arrowok="t"/>
              <v:fill type="solid"/>
            </v:shape>
          </v:group>
        </w:pict>
      </w:r>
      <w:r>
        <w:rPr>
          <w:sz w:val="2"/>
        </w:rPr>
      </w:r>
    </w:p>
    <w:p>
      <w:pPr>
        <w:tabs>
          <w:tab w:pos="4432" w:val="left" w:leader="none"/>
          <w:tab w:pos="6533" w:val="left" w:leader="none"/>
          <w:tab w:pos="7949" w:val="left" w:leader="none"/>
          <w:tab w:pos="9306" w:val="left" w:leader="none"/>
        </w:tabs>
        <w:spacing w:before="39"/>
        <w:ind w:left="1706" w:right="0" w:firstLine="0"/>
        <w:jc w:val="left"/>
        <w:rPr>
          <w:sz w:val="18"/>
        </w:rPr>
      </w:pPr>
      <w:r>
        <w:rPr/>
        <w:pict>
          <v:shape style="position:absolute;margin-left:36pt;margin-top:14.720658pt;width:523.6pt;height:.75pt;mso-position-horizontal-relative:page;mso-position-vertical-relative:paragraph;z-index:-15200256;mso-wrap-distance-left:0;mso-wrap-distance-right:0" coordorigin="720,294" coordsize="10472,15" path="m7895,294l6671,294,6657,294,6657,294,4695,294,4681,294,720,294,720,309,4681,309,4695,309,6657,309,6657,309,6671,309,7895,309,7895,294xm11191,294l9127,294,9112,294,7910,294,7896,294,7896,309,7910,309,9112,309,9127,309,11191,309,11191,294xe" filled="true" fillcolor="#69bd28" stroked="false">
            <v:path arrowok="t"/>
            <v:fill type="solid"/>
            <w10:wrap type="topAndBottom"/>
          </v:shape>
        </w:pict>
      </w:r>
      <w:r>
        <w:rPr>
          <w:w w:val="110"/>
          <w:sz w:val="18"/>
        </w:rPr>
        <w:t>Building</w:t>
      </w:r>
      <w:r>
        <w:rPr>
          <w:spacing w:val="-35"/>
          <w:w w:val="110"/>
          <w:sz w:val="18"/>
        </w:rPr>
        <w:t> </w:t>
      </w:r>
      <w:r>
        <w:rPr>
          <w:w w:val="110"/>
          <w:sz w:val="18"/>
        </w:rPr>
        <w:t>IT</w:t>
      </w:r>
      <w:r>
        <w:rPr>
          <w:spacing w:val="-35"/>
          <w:w w:val="110"/>
          <w:sz w:val="18"/>
        </w:rPr>
        <w:t> </w:t>
      </w:r>
      <w:r>
        <w:rPr>
          <w:w w:val="110"/>
          <w:sz w:val="18"/>
        </w:rPr>
        <w:t>2</w:t>
        <w:tab/>
        <w:t>Ground </w:t>
      </w:r>
      <w:r>
        <w:rPr>
          <w:w w:val="130"/>
          <w:sz w:val="18"/>
        </w:rPr>
        <w:t>+</w:t>
      </w:r>
      <w:r>
        <w:rPr>
          <w:spacing w:val="-51"/>
          <w:w w:val="130"/>
          <w:sz w:val="18"/>
        </w:rPr>
        <w:t> </w:t>
      </w:r>
      <w:r>
        <w:rPr>
          <w:w w:val="110"/>
          <w:sz w:val="18"/>
        </w:rPr>
        <w:t>6</w:t>
      </w:r>
      <w:r>
        <w:rPr>
          <w:spacing w:val="-21"/>
          <w:w w:val="110"/>
          <w:sz w:val="18"/>
        </w:rPr>
        <w:t> </w:t>
      </w:r>
      <w:r>
        <w:rPr>
          <w:w w:val="110"/>
          <w:sz w:val="18"/>
        </w:rPr>
        <w:t>floors</w:t>
        <w:tab/>
        <w:t>IT</w:t>
      </w:r>
      <w:r>
        <w:rPr>
          <w:spacing w:val="-27"/>
          <w:w w:val="110"/>
          <w:sz w:val="18"/>
        </w:rPr>
        <w:t> </w:t>
      </w:r>
      <w:r>
        <w:rPr>
          <w:w w:val="110"/>
          <w:sz w:val="18"/>
        </w:rPr>
        <w:t>SEZ</w:t>
        <w:tab/>
        <w:t>7</w:t>
        <w:tab/>
        <w:t>143,500</w:t>
      </w:r>
    </w:p>
    <w:p>
      <w:pPr>
        <w:tabs>
          <w:tab w:pos="4432" w:val="left" w:leader="none"/>
          <w:tab w:pos="6533" w:val="left" w:leader="none"/>
          <w:tab w:pos="7949" w:val="left" w:leader="none"/>
          <w:tab w:pos="9306" w:val="left" w:leader="none"/>
        </w:tabs>
        <w:spacing w:before="18" w:after="44"/>
        <w:ind w:left="1706" w:right="0" w:firstLine="0"/>
        <w:jc w:val="left"/>
        <w:rPr>
          <w:sz w:val="18"/>
        </w:rPr>
      </w:pPr>
      <w:r>
        <w:rPr>
          <w:w w:val="110"/>
          <w:sz w:val="18"/>
        </w:rPr>
        <w:t>Building</w:t>
      </w:r>
      <w:r>
        <w:rPr>
          <w:spacing w:val="-35"/>
          <w:w w:val="110"/>
          <w:sz w:val="18"/>
        </w:rPr>
        <w:t> </w:t>
      </w:r>
      <w:r>
        <w:rPr>
          <w:w w:val="110"/>
          <w:sz w:val="18"/>
        </w:rPr>
        <w:t>IT</w:t>
      </w:r>
      <w:r>
        <w:rPr>
          <w:spacing w:val="-35"/>
          <w:w w:val="110"/>
          <w:sz w:val="18"/>
        </w:rPr>
        <w:t> </w:t>
      </w:r>
      <w:r>
        <w:rPr>
          <w:w w:val="110"/>
          <w:sz w:val="18"/>
        </w:rPr>
        <w:t>3</w:t>
        <w:tab/>
        <w:t>Ground </w:t>
      </w:r>
      <w:r>
        <w:rPr>
          <w:w w:val="130"/>
          <w:sz w:val="18"/>
        </w:rPr>
        <w:t>+</w:t>
      </w:r>
      <w:r>
        <w:rPr>
          <w:spacing w:val="-51"/>
          <w:w w:val="130"/>
          <w:sz w:val="18"/>
        </w:rPr>
        <w:t> </w:t>
      </w:r>
      <w:r>
        <w:rPr>
          <w:w w:val="110"/>
          <w:sz w:val="18"/>
        </w:rPr>
        <w:t>6</w:t>
      </w:r>
      <w:r>
        <w:rPr>
          <w:spacing w:val="-21"/>
          <w:w w:val="110"/>
          <w:sz w:val="18"/>
        </w:rPr>
        <w:t> </w:t>
      </w:r>
      <w:r>
        <w:rPr>
          <w:w w:val="110"/>
          <w:sz w:val="18"/>
        </w:rPr>
        <w:t>floors</w:t>
        <w:tab/>
        <w:t>IT</w:t>
      </w:r>
      <w:r>
        <w:rPr>
          <w:spacing w:val="-27"/>
          <w:w w:val="110"/>
          <w:sz w:val="18"/>
        </w:rPr>
        <w:t> </w:t>
      </w:r>
      <w:r>
        <w:rPr>
          <w:w w:val="110"/>
          <w:sz w:val="18"/>
        </w:rPr>
        <w:t>SEZ</w:t>
        <w:tab/>
        <w:t>7</w:t>
        <w:tab/>
        <w:t>313,178</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7175,0l5951,0,5937,0,5937,0,3975,0,3961,0,0,0,0,14,3961,14,3975,14,5937,14,5937,14,5951,14,7175,14,7175,0xm10471,0l8407,0,8392,0,7190,0,7176,0,7176,14,7190,14,8392,14,8407,14,10471,14,10471,0xe" filled="true" fillcolor="#69bd28" stroked="false">
              <v:path arrowok="t"/>
              <v:fill type="solid"/>
            </v:shape>
          </v:group>
        </w:pict>
      </w:r>
      <w:r>
        <w:rPr>
          <w:sz w:val="2"/>
        </w:rPr>
      </w:r>
    </w:p>
    <w:p>
      <w:pPr>
        <w:tabs>
          <w:tab w:pos="4432" w:val="left" w:leader="none"/>
          <w:tab w:pos="6533" w:val="left" w:leader="none"/>
          <w:tab w:pos="7949" w:val="left" w:leader="none"/>
          <w:tab w:pos="9306" w:val="left" w:leader="none"/>
        </w:tabs>
        <w:spacing w:before="41"/>
        <w:ind w:left="1706" w:right="0" w:firstLine="0"/>
        <w:jc w:val="left"/>
        <w:rPr>
          <w:sz w:val="18"/>
        </w:rPr>
      </w:pPr>
      <w:r>
        <w:rPr/>
        <w:pict>
          <v:shape style="position:absolute;margin-left:36pt;margin-top:14.700673pt;width:523.6pt;height:.75pt;mso-position-horizontal-relative:page;mso-position-vertical-relative:paragraph;z-index:-15199232;mso-wrap-distance-left:0;mso-wrap-distance-right:0" coordorigin="720,294" coordsize="10472,15" path="m7895,294l6671,294,6657,294,6657,294,4695,294,4681,294,720,294,720,308,4681,308,4695,308,6657,308,6657,308,6671,308,7895,308,7895,294xm11191,294l9127,294,9112,294,7910,294,7896,294,7896,308,7910,308,9112,308,9127,308,11191,308,11191,294xe" filled="true" fillcolor="#69bd28" stroked="false">
            <v:path arrowok="t"/>
            <v:fill type="solid"/>
            <w10:wrap type="topAndBottom"/>
          </v:shape>
        </w:pict>
      </w:r>
      <w:r>
        <w:rPr>
          <w:w w:val="110"/>
          <w:sz w:val="18"/>
        </w:rPr>
        <w:t>Building</w:t>
      </w:r>
      <w:r>
        <w:rPr>
          <w:spacing w:val="-35"/>
          <w:w w:val="110"/>
          <w:sz w:val="18"/>
        </w:rPr>
        <w:t> </w:t>
      </w:r>
      <w:r>
        <w:rPr>
          <w:w w:val="110"/>
          <w:sz w:val="18"/>
        </w:rPr>
        <w:t>IT</w:t>
      </w:r>
      <w:r>
        <w:rPr>
          <w:spacing w:val="-35"/>
          <w:w w:val="110"/>
          <w:sz w:val="18"/>
        </w:rPr>
        <w:t> </w:t>
      </w:r>
      <w:r>
        <w:rPr>
          <w:w w:val="110"/>
          <w:sz w:val="18"/>
        </w:rPr>
        <w:t>4</w:t>
        <w:tab/>
        <w:t>Ground </w:t>
      </w:r>
      <w:r>
        <w:rPr>
          <w:w w:val="130"/>
          <w:sz w:val="18"/>
        </w:rPr>
        <w:t>+</w:t>
      </w:r>
      <w:r>
        <w:rPr>
          <w:spacing w:val="-52"/>
          <w:w w:val="130"/>
          <w:sz w:val="18"/>
        </w:rPr>
        <w:t> </w:t>
      </w:r>
      <w:r>
        <w:rPr>
          <w:w w:val="110"/>
          <w:sz w:val="18"/>
        </w:rPr>
        <w:t>6</w:t>
      </w:r>
      <w:r>
        <w:rPr>
          <w:spacing w:val="-21"/>
          <w:w w:val="110"/>
          <w:sz w:val="18"/>
        </w:rPr>
        <w:t> </w:t>
      </w:r>
      <w:r>
        <w:rPr>
          <w:w w:val="110"/>
          <w:sz w:val="18"/>
        </w:rPr>
        <w:t>floors</w:t>
        <w:tab/>
        <w:t>IT</w:t>
      </w:r>
      <w:r>
        <w:rPr>
          <w:spacing w:val="-26"/>
          <w:w w:val="110"/>
          <w:sz w:val="18"/>
        </w:rPr>
        <w:t> </w:t>
      </w:r>
      <w:r>
        <w:rPr>
          <w:w w:val="110"/>
          <w:sz w:val="18"/>
        </w:rPr>
        <w:t>SEZ</w:t>
        <w:tab/>
        <w:t>6</w:t>
        <w:tab/>
        <w:t>213,524</w:t>
      </w:r>
    </w:p>
    <w:p>
      <w:pPr>
        <w:tabs>
          <w:tab w:pos="4432" w:val="left" w:leader="none"/>
          <w:tab w:pos="6533" w:val="left" w:leader="none"/>
          <w:tab w:pos="7949" w:val="left" w:leader="none"/>
          <w:tab w:pos="9306" w:val="left" w:leader="none"/>
        </w:tabs>
        <w:spacing w:before="18" w:after="46"/>
        <w:ind w:left="1706" w:right="0" w:firstLine="0"/>
        <w:jc w:val="left"/>
        <w:rPr>
          <w:sz w:val="18"/>
        </w:rPr>
      </w:pPr>
      <w:r>
        <w:rPr>
          <w:w w:val="110"/>
          <w:sz w:val="18"/>
        </w:rPr>
        <w:t>Building</w:t>
      </w:r>
      <w:r>
        <w:rPr>
          <w:spacing w:val="-35"/>
          <w:w w:val="110"/>
          <w:sz w:val="18"/>
        </w:rPr>
        <w:t> </w:t>
      </w:r>
      <w:r>
        <w:rPr>
          <w:w w:val="110"/>
          <w:sz w:val="18"/>
        </w:rPr>
        <w:t>IT</w:t>
      </w:r>
      <w:r>
        <w:rPr>
          <w:spacing w:val="-35"/>
          <w:w w:val="110"/>
          <w:sz w:val="18"/>
        </w:rPr>
        <w:t> </w:t>
      </w:r>
      <w:r>
        <w:rPr>
          <w:w w:val="110"/>
          <w:sz w:val="18"/>
        </w:rPr>
        <w:t>5</w:t>
        <w:tab/>
        <w:t>Ground </w:t>
      </w:r>
      <w:r>
        <w:rPr>
          <w:w w:val="130"/>
          <w:sz w:val="18"/>
        </w:rPr>
        <w:t>+</w:t>
      </w:r>
      <w:r>
        <w:rPr>
          <w:spacing w:val="-51"/>
          <w:w w:val="130"/>
          <w:sz w:val="18"/>
        </w:rPr>
        <w:t> </w:t>
      </w:r>
      <w:r>
        <w:rPr>
          <w:w w:val="110"/>
          <w:sz w:val="18"/>
        </w:rPr>
        <w:t>6</w:t>
      </w:r>
      <w:r>
        <w:rPr>
          <w:spacing w:val="-21"/>
          <w:w w:val="110"/>
          <w:sz w:val="18"/>
        </w:rPr>
        <w:t> </w:t>
      </w:r>
      <w:r>
        <w:rPr>
          <w:w w:val="110"/>
          <w:sz w:val="18"/>
        </w:rPr>
        <w:t>floors</w:t>
        <w:tab/>
        <w:t>IT</w:t>
      </w:r>
      <w:r>
        <w:rPr>
          <w:spacing w:val="-27"/>
          <w:w w:val="110"/>
          <w:sz w:val="18"/>
        </w:rPr>
        <w:t> </w:t>
      </w:r>
      <w:r>
        <w:rPr>
          <w:w w:val="110"/>
          <w:sz w:val="18"/>
        </w:rPr>
        <w:t>SEZ</w:t>
        <w:tab/>
        <w:t>5</w:t>
        <w:tab/>
        <w:t>214,064</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7175,0l5951,0,5937,0,5937,0,3975,0,3961,0,0,0,0,14,3961,14,3975,14,5937,14,5937,14,5951,14,7175,14,7175,0xm10471,0l8407,0,8392,0,7190,0,7176,0,7176,14,7190,14,8392,14,8407,14,10471,14,10471,0xe" filled="true" fillcolor="#69bd28" stroked="false">
              <v:path arrowok="t"/>
              <v:fill type="solid"/>
            </v:shape>
          </v:group>
        </w:pict>
      </w:r>
      <w:r>
        <w:rPr>
          <w:sz w:val="2"/>
        </w:rPr>
      </w:r>
    </w:p>
    <w:p>
      <w:pPr>
        <w:tabs>
          <w:tab w:pos="4432" w:val="left" w:leader="none"/>
          <w:tab w:pos="6533" w:val="left" w:leader="none"/>
          <w:tab w:pos="7949" w:val="left" w:leader="none"/>
          <w:tab w:pos="9306" w:val="left" w:leader="none"/>
        </w:tabs>
        <w:spacing w:before="39"/>
        <w:ind w:left="1706" w:right="0" w:firstLine="0"/>
        <w:jc w:val="left"/>
        <w:rPr>
          <w:sz w:val="18"/>
        </w:rPr>
      </w:pPr>
      <w:r>
        <w:rPr/>
        <w:pict>
          <v:shape style="position:absolute;margin-left:36pt;margin-top:14.720673pt;width:523.6pt;height:.75pt;mso-position-horizontal-relative:page;mso-position-vertical-relative:paragraph;z-index:-15198208;mso-wrap-distance-left:0;mso-wrap-distance-right:0" coordorigin="720,294" coordsize="10472,15" path="m7895,294l6671,294,6657,294,6657,294,4695,294,4681,294,720,294,720,309,4681,309,4695,309,6657,309,6657,309,6671,309,7895,309,7895,294xm11191,294l9127,294,9112,294,7910,294,7896,294,7896,309,7910,309,9112,309,9127,309,11191,309,11191,294xe" filled="true" fillcolor="#69bd28" stroked="false">
            <v:path arrowok="t"/>
            <v:fill type="solid"/>
            <w10:wrap type="topAndBottom"/>
          </v:shape>
        </w:pict>
      </w:r>
      <w:r>
        <w:rPr>
          <w:w w:val="110"/>
          <w:sz w:val="18"/>
        </w:rPr>
        <w:t>Building</w:t>
      </w:r>
      <w:r>
        <w:rPr>
          <w:spacing w:val="-35"/>
          <w:w w:val="110"/>
          <w:sz w:val="18"/>
        </w:rPr>
        <w:t> </w:t>
      </w:r>
      <w:r>
        <w:rPr>
          <w:w w:val="110"/>
          <w:sz w:val="18"/>
        </w:rPr>
        <w:t>IT</w:t>
      </w:r>
      <w:r>
        <w:rPr>
          <w:spacing w:val="-35"/>
          <w:w w:val="110"/>
          <w:sz w:val="18"/>
        </w:rPr>
        <w:t> </w:t>
      </w:r>
      <w:r>
        <w:rPr>
          <w:w w:val="110"/>
          <w:sz w:val="18"/>
        </w:rPr>
        <w:t>6</w:t>
        <w:tab/>
        <w:t>Ground </w:t>
      </w:r>
      <w:r>
        <w:rPr>
          <w:w w:val="130"/>
          <w:sz w:val="18"/>
        </w:rPr>
        <w:t>+</w:t>
      </w:r>
      <w:r>
        <w:rPr>
          <w:spacing w:val="-51"/>
          <w:w w:val="130"/>
          <w:sz w:val="18"/>
        </w:rPr>
        <w:t> </w:t>
      </w:r>
      <w:r>
        <w:rPr>
          <w:w w:val="110"/>
          <w:sz w:val="18"/>
        </w:rPr>
        <w:t>6</w:t>
      </w:r>
      <w:r>
        <w:rPr>
          <w:spacing w:val="-21"/>
          <w:w w:val="110"/>
          <w:sz w:val="18"/>
        </w:rPr>
        <w:t> </w:t>
      </w:r>
      <w:r>
        <w:rPr>
          <w:w w:val="110"/>
          <w:sz w:val="18"/>
        </w:rPr>
        <w:t>floors</w:t>
        <w:tab/>
        <w:t>IT</w:t>
      </w:r>
      <w:r>
        <w:rPr>
          <w:spacing w:val="-27"/>
          <w:w w:val="110"/>
          <w:sz w:val="18"/>
        </w:rPr>
        <w:t> </w:t>
      </w:r>
      <w:r>
        <w:rPr>
          <w:w w:val="110"/>
          <w:sz w:val="18"/>
        </w:rPr>
        <w:t>SEZ</w:t>
        <w:tab/>
        <w:t>7</w:t>
        <w:tab/>
        <w:t>255,889</w:t>
      </w:r>
    </w:p>
    <w:p>
      <w:pPr>
        <w:tabs>
          <w:tab w:pos="9227" w:val="left" w:leader="none"/>
        </w:tabs>
        <w:spacing w:before="18" w:after="44"/>
        <w:ind w:left="2006" w:right="0" w:firstLine="0"/>
        <w:jc w:val="left"/>
        <w:rPr>
          <w:sz w:val="18"/>
        </w:rPr>
      </w:pPr>
      <w:r>
        <w:rPr>
          <w:sz w:val="18"/>
        </w:rPr>
        <w:t>Total</w:t>
        <w:tab/>
        <w:t>1,450,494</w:t>
      </w:r>
    </w:p>
    <w:p>
      <w:pPr>
        <w:pStyle w:val="BodyText"/>
        <w:spacing w:line="20" w:lineRule="exact"/>
        <w:ind w:left="20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0"/>
        <w:ind w:left="782" w:right="0" w:firstLine="0"/>
        <w:jc w:val="left"/>
        <w:rPr>
          <w:i/>
          <w:sz w:val="18"/>
        </w:rPr>
      </w:pPr>
      <w:r>
        <w:rPr>
          <w:i/>
          <w:sz w:val="18"/>
        </w:rPr>
        <w:t>Source: Rent roll, Occupancy Certificates provided by the Client</w:t>
      </w:r>
    </w:p>
    <w:p>
      <w:pPr>
        <w:pStyle w:val="BodyText"/>
        <w:spacing w:before="1"/>
        <w:rPr>
          <w:i/>
          <w:sz w:val="23"/>
        </w:rPr>
      </w:pPr>
      <w:r>
        <w:rPr/>
        <w:pict>
          <v:group style="position:absolute;margin-left:35.279999pt;margin-top:15.400501pt;width:524.3pt;height:16pt;mso-position-horizontal-relative:page;mso-position-vertical-relative:paragraph;z-index:-15196672;mso-wrap-distance-left:0;mso-wrap-distance-right:0" coordorigin="706,308" coordsize="10486,320">
            <v:shape style="position:absolute;left:720;top:324;width:10472;height:288" coordorigin="720,325" coordsize="10472,288" path="m11191,325l5377,325,720,325,720,613,5377,613,11191,613,11191,325xe" filled="true" fillcolor="#006a4d" stroked="false">
              <v:path arrowok="t"/>
              <v:fill type="solid"/>
            </v:shape>
            <v:shape style="position:absolute;left:720;top:308;width:10472;height:320" coordorigin="720,308" coordsize="10472,320" path="m11191,613l5392,613,5377,613,720,613,720,627,5377,627,5392,627,11191,627,11191,613xm11191,308l5392,308,5377,308,720,308,720,322,5377,322,5392,322,11191,322,11191,308xe" filled="true" fillcolor="#69bd28" stroked="false">
              <v:path arrowok="t"/>
              <v:fill type="solid"/>
            </v:shape>
            <v:shape style="position:absolute;left:705;top:322;width:10486;height:291" type="#_x0000_t202" filled="false" stroked="false">
              <v:textbox inset="0,0,0,0">
                <w:txbxContent>
                  <w:p>
                    <w:pPr>
                      <w:tabs>
                        <w:tab w:pos="4745" w:val="left" w:leader="none"/>
                      </w:tabs>
                      <w:spacing w:before="42"/>
                      <w:ind w:left="0" w:right="72" w:firstLine="0"/>
                      <w:jc w:val="center"/>
                      <w:rPr>
                        <w:b/>
                        <w:sz w:val="18"/>
                      </w:rPr>
                    </w:pPr>
                    <w:r>
                      <w:rPr>
                        <w:b/>
                        <w:color w:val="FFFFFF"/>
                        <w:w w:val="110"/>
                        <w:sz w:val="18"/>
                      </w:rPr>
                      <w:t>Details</w:t>
                      <w:tab/>
                      <w:t>Completed</w:t>
                    </w:r>
                    <w:r>
                      <w:rPr>
                        <w:b/>
                        <w:color w:val="FFFFFF"/>
                        <w:spacing w:val="-5"/>
                        <w:w w:val="110"/>
                        <w:sz w:val="18"/>
                      </w:rPr>
                      <w:t> </w:t>
                    </w:r>
                    <w:r>
                      <w:rPr>
                        <w:b/>
                        <w:color w:val="FFFFFF"/>
                        <w:w w:val="110"/>
                        <w:sz w:val="18"/>
                      </w:rPr>
                      <w:t>Blocks</w:t>
                    </w:r>
                  </w:p>
                </w:txbxContent>
              </v:textbox>
              <w10:wrap type="none"/>
            </v:shape>
            <w10:wrap type="topAndBottom"/>
          </v:group>
        </w:pict>
      </w:r>
    </w:p>
    <w:p>
      <w:pPr>
        <w:tabs>
          <w:tab w:pos="5747" w:val="left" w:leader="none"/>
        </w:tabs>
        <w:spacing w:before="10" w:after="39"/>
        <w:ind w:left="0" w:right="1109" w:firstLine="0"/>
        <w:jc w:val="center"/>
        <w:rPr>
          <w:sz w:val="18"/>
        </w:rPr>
      </w:pPr>
      <w:r>
        <w:rPr>
          <w:sz w:val="18"/>
        </w:rPr>
        <w:t>Grade of</w:t>
      </w:r>
      <w:r>
        <w:rPr>
          <w:spacing w:val="-13"/>
          <w:sz w:val="18"/>
        </w:rPr>
        <w:t> </w:t>
      </w:r>
      <w:r>
        <w:rPr>
          <w:sz w:val="18"/>
        </w:rPr>
        <w:t>the</w:t>
      </w:r>
      <w:r>
        <w:rPr>
          <w:spacing w:val="-6"/>
          <w:sz w:val="18"/>
        </w:rPr>
        <w:t> </w:t>
      </w:r>
      <w:r>
        <w:rPr>
          <w:sz w:val="18"/>
        </w:rPr>
        <w:t>Building</w:t>
        <w:tab/>
        <w:t>Grade A</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672,0,4657,0,0,0,0,14,4657,14,4672,14,10471,14,10471,0xe" filled="true" fillcolor="#69bd28" stroked="false">
              <v:path arrowok="t"/>
              <v:fill type="solid"/>
            </v:shape>
          </v:group>
        </w:pict>
      </w:r>
      <w:r>
        <w:rPr>
          <w:sz w:val="2"/>
        </w:rPr>
      </w:r>
    </w:p>
    <w:p>
      <w:pPr>
        <w:tabs>
          <w:tab w:pos="5809" w:val="left" w:leader="none"/>
        </w:tabs>
        <w:spacing w:before="34"/>
        <w:ind w:left="0" w:right="1170" w:firstLine="0"/>
        <w:jc w:val="center"/>
        <w:rPr>
          <w:sz w:val="18"/>
        </w:rPr>
      </w:pPr>
      <w:r>
        <w:rPr/>
        <w:pict>
          <v:shape style="position:absolute;margin-left:36pt;margin-top:14.11167pt;width:523.6pt;height:.75pt;mso-position-horizontal-relative:page;mso-position-vertical-relative:paragraph;z-index:-15195648;mso-wrap-distance-left:0;mso-wrap-distance-right:0" coordorigin="720,282" coordsize="10472,15" path="m11191,282l5392,282,5377,282,720,282,720,297,5377,297,5392,297,11191,297,11191,282xe" filled="true" fillcolor="#69bd28" stroked="false">
            <v:path arrowok="t"/>
            <v:fill type="solid"/>
            <w10:wrap type="topAndBottom"/>
          </v:shape>
        </w:pict>
      </w:r>
      <w:r>
        <w:rPr>
          <w:sz w:val="18"/>
        </w:rPr>
        <w:t>LEED</w:t>
      </w:r>
      <w:r>
        <w:rPr>
          <w:spacing w:val="-28"/>
          <w:sz w:val="18"/>
        </w:rPr>
        <w:t> </w:t>
      </w:r>
      <w:r>
        <w:rPr>
          <w:sz w:val="18"/>
        </w:rPr>
        <w:t>Certification</w:t>
        <w:tab/>
        <w:t>NA</w:t>
      </w:r>
    </w:p>
    <w:p>
      <w:pPr>
        <w:tabs>
          <w:tab w:pos="7582" w:val="left" w:leader="none"/>
        </w:tabs>
        <w:spacing w:before="10" w:after="39"/>
        <w:ind w:left="1881" w:right="0" w:firstLine="0"/>
        <w:jc w:val="left"/>
        <w:rPr>
          <w:sz w:val="18"/>
        </w:rPr>
      </w:pPr>
      <w:r>
        <w:rPr>
          <w:sz w:val="18"/>
        </w:rPr>
        <w:t>Structural</w:t>
      </w:r>
      <w:r>
        <w:rPr>
          <w:spacing w:val="-21"/>
          <w:sz w:val="18"/>
        </w:rPr>
        <w:t> </w:t>
      </w:r>
      <w:r>
        <w:rPr>
          <w:sz w:val="18"/>
        </w:rPr>
        <w:t>Design</w:t>
        <w:tab/>
      </w:r>
      <w:r>
        <w:rPr>
          <w:w w:val="105"/>
          <w:sz w:val="18"/>
        </w:rPr>
        <w:t>G+6</w:t>
      </w:r>
    </w:p>
    <w:p>
      <w:pPr>
        <w:pStyle w:val="BodyText"/>
        <w:spacing w:line="20" w:lineRule="exact"/>
        <w:ind w:left="2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672,0,4657,0,0,0,0,14,4657,14,4672,14,10471,14,10471,0xe" filled="true" fillcolor="#69bd28" stroked="false">
              <v:path arrowok="t"/>
              <v:fill type="solid"/>
            </v:shape>
          </v:group>
        </w:pict>
      </w:r>
      <w:r>
        <w:rPr>
          <w:sz w:val="2"/>
        </w:rPr>
      </w:r>
    </w:p>
    <w:p>
      <w:pPr>
        <w:tabs>
          <w:tab w:pos="7330" w:val="left" w:leader="none"/>
        </w:tabs>
        <w:spacing w:before="36"/>
        <w:ind w:left="1838" w:right="0" w:firstLine="0"/>
        <w:jc w:val="left"/>
        <w:rPr>
          <w:sz w:val="18"/>
        </w:rPr>
      </w:pPr>
      <w:r>
        <w:rPr/>
        <w:pict>
          <v:shape style="position:absolute;margin-left:36pt;margin-top:14.211685pt;width:523.6pt;height:.75pt;mso-position-horizontal-relative:page;mso-position-vertical-relative:paragraph;z-index:-15194624;mso-wrap-distance-left:0;mso-wrap-distance-right:0" coordorigin="720,284" coordsize="10472,15" path="m11191,284l5392,284,5377,284,720,284,720,299,5377,299,5392,299,11191,299,11191,284xe" filled="true" fillcolor="#69bd28" stroked="false">
            <v:path arrowok="t"/>
            <v:fill type="solid"/>
            <w10:wrap type="topAndBottom"/>
          </v:shape>
        </w:pict>
      </w:r>
      <w:r>
        <w:rPr>
          <w:sz w:val="18"/>
        </w:rPr>
        <w:t>Status</w:t>
      </w:r>
      <w:r>
        <w:rPr>
          <w:spacing w:val="-17"/>
          <w:sz w:val="18"/>
        </w:rPr>
        <w:t> </w:t>
      </w:r>
      <w:r>
        <w:rPr>
          <w:sz w:val="18"/>
        </w:rPr>
        <w:t>of</w:t>
      </w:r>
      <w:r>
        <w:rPr>
          <w:spacing w:val="-17"/>
          <w:sz w:val="18"/>
        </w:rPr>
        <w:t> </w:t>
      </w:r>
      <w:r>
        <w:rPr>
          <w:sz w:val="18"/>
        </w:rPr>
        <w:t>Finishing</w:t>
        <w:tab/>
        <w:t>Warm</w:t>
      </w:r>
      <w:r>
        <w:rPr>
          <w:spacing w:val="-1"/>
          <w:sz w:val="18"/>
        </w:rPr>
        <w:t> </w:t>
      </w:r>
      <w:r>
        <w:rPr>
          <w:sz w:val="18"/>
        </w:rPr>
        <w:t>Shell</w:t>
      </w:r>
    </w:p>
    <w:p>
      <w:pPr>
        <w:tabs>
          <w:tab w:pos="6202" w:val="left" w:leader="none"/>
        </w:tabs>
        <w:spacing w:before="11" w:after="39"/>
        <w:ind w:left="1422" w:right="0" w:firstLine="0"/>
        <w:jc w:val="left"/>
        <w:rPr>
          <w:sz w:val="18"/>
        </w:rPr>
      </w:pPr>
      <w:r>
        <w:rPr>
          <w:sz w:val="18"/>
        </w:rPr>
        <w:t>Comments</w:t>
      </w:r>
      <w:r>
        <w:rPr>
          <w:spacing w:val="-1"/>
          <w:sz w:val="18"/>
        </w:rPr>
        <w:t> </w:t>
      </w:r>
      <w:r>
        <w:rPr>
          <w:sz w:val="18"/>
        </w:rPr>
        <w:t>on</w:t>
      </w:r>
      <w:r>
        <w:rPr>
          <w:spacing w:val="2"/>
          <w:sz w:val="18"/>
        </w:rPr>
        <w:t> </w:t>
      </w:r>
      <w:r>
        <w:rPr>
          <w:sz w:val="18"/>
        </w:rPr>
        <w:t>Obsolescence</w:t>
        <w:tab/>
        <w:t>The building is currently well</w:t>
      </w:r>
      <w:r>
        <w:rPr>
          <w:spacing w:val="-31"/>
          <w:sz w:val="18"/>
        </w:rPr>
        <w:t> </w:t>
      </w:r>
      <w:r>
        <w:rPr>
          <w:sz w:val="18"/>
        </w:rPr>
        <w:t>maintained</w:t>
      </w:r>
    </w:p>
    <w:p>
      <w:pPr>
        <w:pStyle w:val="BodyText"/>
        <w:spacing w:line="20" w:lineRule="exact"/>
        <w:ind w:left="205"/>
        <w:rPr>
          <w:sz w:val="2"/>
        </w:rPr>
      </w:pPr>
      <w:r>
        <w:rPr>
          <w:sz w:val="2"/>
        </w:rPr>
        <w:pict>
          <v:group style="width:524.3pt;height:.75pt;mso-position-horizontal-relative:char;mso-position-vertical-relative:line" coordorigin="0,0" coordsize="10486,15">
            <v:shape style="position:absolute;left:0;top:0;width:10486;height:15" coordorigin="0,0" coordsize="10486,15" path="m10486,0l4672,0,4657,0,0,0,0,14,4657,14,4672,14,10486,14,10486,0xe" filled="true" fillcolor="#69bd28" stroked="false">
              <v:path arrowok="t"/>
              <v:fill type="solid"/>
            </v:shape>
          </v:group>
        </w:pict>
      </w:r>
      <w:r>
        <w:rPr>
          <w:sz w:val="2"/>
        </w:rPr>
      </w:r>
    </w:p>
    <w:p>
      <w:pPr>
        <w:spacing w:before="0"/>
        <w:ind w:left="220" w:right="0" w:firstLine="0"/>
        <w:jc w:val="left"/>
        <w:rPr>
          <w:i/>
          <w:sz w:val="18"/>
        </w:rPr>
      </w:pPr>
      <w:r>
        <w:rPr>
          <w:i/>
          <w:sz w:val="18"/>
        </w:rPr>
        <w:t>Source: Client, *U.S. Green Building Council certificate</w:t>
      </w:r>
    </w:p>
    <w:p>
      <w:pPr>
        <w:spacing w:after="0"/>
        <w:jc w:val="left"/>
        <w:rPr>
          <w:sz w:val="18"/>
        </w:rPr>
        <w:sectPr>
          <w:type w:val="continuous"/>
          <w:pgSz w:w="11910" w:h="16840"/>
          <w:pgMar w:top="800" w:bottom="280" w:left="500" w:right="480"/>
        </w:sectPr>
      </w:pPr>
    </w:p>
    <w:p>
      <w:pPr>
        <w:pStyle w:val="BodyText"/>
        <w:spacing w:before="7"/>
        <w:rPr>
          <w:i/>
          <w:sz w:val="9"/>
        </w:rPr>
      </w:pPr>
    </w:p>
    <w:p>
      <w:pPr>
        <w:pStyle w:val="ListParagraph"/>
        <w:numPr>
          <w:ilvl w:val="2"/>
          <w:numId w:val="14"/>
        </w:numPr>
        <w:tabs>
          <w:tab w:pos="941" w:val="left" w:leader="none"/>
        </w:tabs>
        <w:spacing w:line="240" w:lineRule="auto" w:before="106" w:after="0"/>
        <w:ind w:left="940" w:right="0" w:hanging="721"/>
        <w:jc w:val="left"/>
        <w:rPr>
          <w:sz w:val="22"/>
        </w:rPr>
      </w:pPr>
      <w:bookmarkStart w:name="_bookmark219" w:id="427"/>
      <w:bookmarkEnd w:id="427"/>
      <w:r>
        <w:rPr/>
      </w:r>
      <w:bookmarkStart w:name="_bookmark219" w:id="428"/>
      <w:bookmarkEnd w:id="428"/>
      <w:r>
        <w:rPr>
          <w:color w:val="1F664D"/>
          <w:sz w:val="22"/>
        </w:rPr>
        <w:t>Con</w:t>
      </w:r>
      <w:r>
        <w:rPr>
          <w:color w:val="1F664D"/>
          <w:sz w:val="22"/>
        </w:rPr>
        <w:t>struction, Services and</w:t>
      </w:r>
      <w:r>
        <w:rPr>
          <w:color w:val="1F664D"/>
          <w:spacing w:val="-3"/>
          <w:sz w:val="22"/>
        </w:rPr>
        <w:t> </w:t>
      </w:r>
      <w:r>
        <w:rPr>
          <w:color w:val="1F664D"/>
          <w:sz w:val="22"/>
        </w:rPr>
        <w:t>Finishes</w:t>
      </w:r>
    </w:p>
    <w:p>
      <w:pPr>
        <w:pStyle w:val="BodyText"/>
        <w:spacing w:before="2"/>
        <w:rPr>
          <w:sz w:val="14"/>
        </w:rPr>
      </w:pPr>
      <w:r>
        <w:rPr/>
        <w:pict>
          <v:group style="position:absolute;margin-left:64.103996pt;margin-top:10.184435pt;width:495.5pt;height:15.85pt;mso-position-horizontal-relative:page;mso-position-vertical-relative:paragraph;z-index:-15193088;mso-wrap-distance-left:0;mso-wrap-distance-right:0" coordorigin="1282,204" coordsize="9910,317">
            <v:shape style="position:absolute;left:1282;top:218;width:9910;height:288" coordorigin="1282,218" coordsize="9910,288" path="m11191,218l5997,218,1282,218,1282,506,5997,506,11191,506,11191,218xe" filled="true" fillcolor="#006a4d" stroked="false">
              <v:path arrowok="t"/>
              <v:fill type="solid"/>
            </v:shape>
            <v:shape style="position:absolute;left:1282;top:203;width:9910;height:317" coordorigin="1282,204" coordsize="9910,317" path="m11191,506l6011,506,5997,506,5997,506,1282,506,1282,520,5997,520,5997,520,6011,520,11191,520,11191,506xm11191,204l6011,204,5997,204,5997,204,1282,204,1282,218,5997,218,5997,218,6011,218,11191,218,11191,204xe" filled="true" fillcolor="#69bd28" stroked="false">
              <v:path arrowok="t"/>
              <v:fill type="solid"/>
            </v:shape>
            <v:shape style="position:absolute;left:1282;top:218;width:9910;height:288" type="#_x0000_t202" filled="false" stroked="false">
              <v:textbox inset="0,0,0,0">
                <w:txbxContent>
                  <w:p>
                    <w:pPr>
                      <w:tabs>
                        <w:tab w:pos="5127" w:val="left" w:leader="none"/>
                      </w:tabs>
                      <w:spacing w:before="39"/>
                      <w:ind w:left="0" w:right="410" w:firstLine="0"/>
                      <w:jc w:val="center"/>
                      <w:rPr>
                        <w:b/>
                        <w:sz w:val="18"/>
                      </w:rPr>
                    </w:pPr>
                    <w:r>
                      <w:rPr>
                        <w:b/>
                        <w:color w:val="FFFFFF"/>
                        <w:w w:val="110"/>
                        <w:sz w:val="18"/>
                      </w:rPr>
                      <w:t>Particulars</w:t>
                      <w:tab/>
                      <w:t>Details</w:t>
                    </w:r>
                  </w:p>
                </w:txbxContent>
              </v:textbox>
              <w10:wrap type="none"/>
            </v:shape>
            <w10:wrap type="topAndBottom"/>
          </v:group>
        </w:pict>
      </w:r>
    </w:p>
    <w:p>
      <w:pPr>
        <w:tabs>
          <w:tab w:pos="7640" w:val="left" w:leader="none"/>
        </w:tabs>
        <w:spacing w:before="10" w:after="39"/>
        <w:ind w:left="2363" w:right="0" w:firstLine="0"/>
        <w:jc w:val="left"/>
        <w:rPr>
          <w:sz w:val="18"/>
        </w:rPr>
      </w:pPr>
      <w:r>
        <w:rPr>
          <w:sz w:val="18"/>
        </w:rPr>
        <w:t>Handover</w:t>
      </w:r>
      <w:r>
        <w:rPr>
          <w:spacing w:val="-12"/>
          <w:sz w:val="18"/>
        </w:rPr>
        <w:t> </w:t>
      </w:r>
      <w:r>
        <w:rPr>
          <w:sz w:val="18"/>
        </w:rPr>
        <w:t>condition</w:t>
        <w:tab/>
        <w:t>Warm</w:t>
      </w:r>
      <w:r>
        <w:rPr>
          <w:spacing w:val="-1"/>
          <w:sz w:val="18"/>
        </w:rPr>
        <w:t> </w:t>
      </w:r>
      <w:r>
        <w:rPr>
          <w:sz w:val="18"/>
        </w:rPr>
        <w:t>Shell</w:t>
      </w:r>
    </w:p>
    <w:p>
      <w:pPr>
        <w:pStyle w:val="BodyText"/>
        <w:spacing w:line="20" w:lineRule="exact"/>
        <w:ind w:left="782"/>
        <w:rPr>
          <w:sz w:val="2"/>
        </w:rPr>
      </w:pPr>
      <w:r>
        <w:rPr>
          <w:sz w:val="2"/>
        </w:rPr>
        <w:pict>
          <v:group style="width:495.5pt;height:.75pt;mso-position-horizontal-relative:char;mso-position-vertical-relative:line" coordorigin="0,0" coordsize="9910,15">
            <v:shape style="position:absolute;left:0;top:0;width:9910;height:15" coordorigin="0,0" coordsize="9910,15" path="m9909,0l4729,0,4715,0,0,0,0,14,4715,14,4729,14,9909,14,9909,0xe" filled="true" fillcolor="#69bd28" stroked="false">
              <v:path arrowok="t"/>
              <v:fill type="solid"/>
            </v:shape>
          </v:group>
        </w:pict>
      </w:r>
      <w:r>
        <w:rPr>
          <w:sz w:val="2"/>
        </w:rPr>
      </w:r>
    </w:p>
    <w:p>
      <w:pPr>
        <w:tabs>
          <w:tab w:pos="7753" w:val="left" w:leader="none"/>
        </w:tabs>
        <w:spacing w:before="34"/>
        <w:ind w:left="2366" w:right="0" w:firstLine="0"/>
        <w:jc w:val="left"/>
        <w:rPr>
          <w:sz w:val="18"/>
        </w:rPr>
      </w:pPr>
      <w:r>
        <w:rPr/>
        <w:pict>
          <v:shape style="position:absolute;margin-left:64.104004pt;margin-top:14.110681pt;width:495.5pt;height:.75pt;mso-position-horizontal-relative:page;mso-position-vertical-relative:paragraph;z-index:-15192064;mso-wrap-distance-left:0;mso-wrap-distance-right:0" coordorigin="1282,282" coordsize="9910,15" path="m11191,282l6011,282,5997,282,1282,282,1282,297,5997,297,6011,297,11191,297,11191,282xe" filled="true" fillcolor="#69bd28" stroked="false">
            <v:path arrowok="t"/>
            <v:fill type="solid"/>
            <w10:wrap type="topAndBottom"/>
          </v:shape>
        </w:pict>
      </w:r>
      <w:r>
        <w:rPr>
          <w:sz w:val="18"/>
        </w:rPr>
        <w:t>Passenger</w:t>
      </w:r>
      <w:r>
        <w:rPr>
          <w:spacing w:val="-21"/>
          <w:sz w:val="18"/>
        </w:rPr>
        <w:t> </w:t>
      </w:r>
      <w:r>
        <w:rPr>
          <w:sz w:val="18"/>
        </w:rPr>
        <w:t>elevators</w:t>
        <w:tab/>
        <w:t>Provided</w:t>
      </w:r>
    </w:p>
    <w:p>
      <w:pPr>
        <w:tabs>
          <w:tab w:pos="5262" w:val="left" w:leader="none"/>
        </w:tabs>
        <w:spacing w:before="13" w:after="39"/>
        <w:ind w:left="0" w:right="2493" w:firstLine="0"/>
        <w:jc w:val="right"/>
        <w:rPr>
          <w:sz w:val="18"/>
        </w:rPr>
      </w:pPr>
      <w:r>
        <w:rPr>
          <w:sz w:val="18"/>
        </w:rPr>
        <w:t>Service</w:t>
      </w:r>
      <w:r>
        <w:rPr>
          <w:spacing w:val="-33"/>
          <w:sz w:val="18"/>
        </w:rPr>
        <w:t> </w:t>
      </w:r>
      <w:r>
        <w:rPr>
          <w:sz w:val="18"/>
        </w:rPr>
        <w:t>elevators</w:t>
        <w:tab/>
      </w:r>
      <w:r>
        <w:rPr>
          <w:spacing w:val="-1"/>
          <w:w w:val="95"/>
          <w:sz w:val="18"/>
        </w:rPr>
        <w:t>Provided</w:t>
      </w:r>
    </w:p>
    <w:p>
      <w:pPr>
        <w:pStyle w:val="BodyText"/>
        <w:spacing w:line="20" w:lineRule="exact"/>
        <w:ind w:left="782"/>
        <w:rPr>
          <w:sz w:val="2"/>
        </w:rPr>
      </w:pPr>
      <w:r>
        <w:rPr>
          <w:sz w:val="2"/>
        </w:rPr>
        <w:pict>
          <v:group style="width:495.5pt;height:.75pt;mso-position-horizontal-relative:char;mso-position-vertical-relative:line" coordorigin="0,0" coordsize="9910,15">
            <v:shape style="position:absolute;left:0;top:0;width:9910;height:15" coordorigin="0,0" coordsize="9910,15" path="m9909,0l4729,0,4715,0,0,0,0,14,4715,14,4729,14,9909,14,9909,0xe" filled="true" fillcolor="#69bd28" stroked="false">
              <v:path arrowok="t"/>
              <v:fill type="solid"/>
            </v:shape>
          </v:group>
        </w:pict>
      </w:r>
      <w:r>
        <w:rPr>
          <w:sz w:val="2"/>
        </w:rPr>
      </w:r>
    </w:p>
    <w:p>
      <w:pPr>
        <w:tabs>
          <w:tab w:pos="5199" w:val="left" w:leader="none"/>
        </w:tabs>
        <w:spacing w:before="34"/>
        <w:ind w:left="0" w:right="2493" w:firstLine="0"/>
        <w:jc w:val="right"/>
        <w:rPr>
          <w:sz w:val="18"/>
        </w:rPr>
      </w:pPr>
      <w:r>
        <w:rPr/>
        <w:pict>
          <v:shape style="position:absolute;margin-left:64.104004pt;margin-top:14.110636pt;width:495.5pt;height:.75pt;mso-position-horizontal-relative:page;mso-position-vertical-relative:paragraph;z-index:-15191040;mso-wrap-distance-left:0;mso-wrap-distance-right:0" coordorigin="1282,282" coordsize="9910,15" path="m11191,282l6011,282,5997,282,1282,282,1282,297,5997,297,6011,297,11191,297,11191,282xe" filled="true" fillcolor="#69bd28" stroked="false">
            <v:path arrowok="t"/>
            <v:fill type="solid"/>
            <w10:wrap type="topAndBottom"/>
          </v:shape>
        </w:pict>
      </w:r>
      <w:r>
        <w:rPr>
          <w:sz w:val="18"/>
        </w:rPr>
        <w:t>Power</w:t>
      </w:r>
      <w:r>
        <w:rPr>
          <w:spacing w:val="-11"/>
          <w:sz w:val="18"/>
        </w:rPr>
        <w:t> </w:t>
      </w:r>
      <w:r>
        <w:rPr>
          <w:sz w:val="18"/>
        </w:rPr>
        <w:t>back-up</w:t>
        <w:tab/>
      </w:r>
      <w:r>
        <w:rPr>
          <w:spacing w:val="-1"/>
          <w:w w:val="95"/>
          <w:sz w:val="18"/>
        </w:rPr>
        <w:t>Provided</w:t>
      </w:r>
    </w:p>
    <w:p>
      <w:pPr>
        <w:tabs>
          <w:tab w:pos="5768" w:val="left" w:leader="none"/>
        </w:tabs>
        <w:spacing w:before="10" w:after="39"/>
        <w:ind w:left="0" w:right="2493" w:firstLine="0"/>
        <w:jc w:val="right"/>
        <w:rPr>
          <w:sz w:val="18"/>
        </w:rPr>
      </w:pPr>
      <w:r>
        <w:rPr>
          <w:sz w:val="18"/>
        </w:rPr>
        <w:t>Building</w:t>
      </w:r>
      <w:r>
        <w:rPr>
          <w:spacing w:val="-16"/>
          <w:sz w:val="18"/>
        </w:rPr>
        <w:t> </w:t>
      </w:r>
      <w:r>
        <w:rPr>
          <w:sz w:val="18"/>
        </w:rPr>
        <w:t>management</w:t>
      </w:r>
      <w:r>
        <w:rPr>
          <w:spacing w:val="-16"/>
          <w:sz w:val="18"/>
        </w:rPr>
        <w:t> </w:t>
      </w:r>
      <w:r>
        <w:rPr>
          <w:sz w:val="18"/>
        </w:rPr>
        <w:t>system</w:t>
        <w:tab/>
      </w:r>
      <w:r>
        <w:rPr>
          <w:spacing w:val="-1"/>
          <w:w w:val="95"/>
          <w:sz w:val="18"/>
        </w:rPr>
        <w:t>Provided</w:t>
      </w:r>
    </w:p>
    <w:p>
      <w:pPr>
        <w:pStyle w:val="BodyText"/>
        <w:spacing w:line="20" w:lineRule="exact"/>
        <w:ind w:left="782"/>
        <w:rPr>
          <w:sz w:val="2"/>
        </w:rPr>
      </w:pPr>
      <w:r>
        <w:rPr>
          <w:sz w:val="2"/>
        </w:rPr>
        <w:pict>
          <v:group style="width:495.5pt;height:.75pt;mso-position-horizontal-relative:char;mso-position-vertical-relative:line" coordorigin="0,0" coordsize="9910,15">
            <v:shape style="position:absolute;left:0;top:0;width:9910;height:15" coordorigin="0,0" coordsize="9910,15" path="m9909,0l4729,0,4715,0,0,0,0,14,4715,14,4729,14,9909,14,9909,0xe" filled="true" fillcolor="#69bd28" stroked="false">
              <v:path arrowok="t"/>
              <v:fill type="solid"/>
            </v:shape>
          </v:group>
        </w:pict>
      </w:r>
      <w:r>
        <w:rPr>
          <w:sz w:val="2"/>
        </w:rPr>
      </w:r>
    </w:p>
    <w:p>
      <w:pPr>
        <w:tabs>
          <w:tab w:pos="5235" w:val="left" w:leader="none"/>
        </w:tabs>
        <w:spacing w:before="34"/>
        <w:ind w:left="0" w:right="2493" w:firstLine="0"/>
        <w:jc w:val="right"/>
        <w:rPr>
          <w:sz w:val="18"/>
        </w:rPr>
      </w:pPr>
      <w:r>
        <w:rPr/>
        <w:pict>
          <v:shape style="position:absolute;margin-left:64.104004pt;margin-top:14.110647pt;width:495.5pt;height:.75pt;mso-position-horizontal-relative:page;mso-position-vertical-relative:paragraph;z-index:-15190016;mso-wrap-distance-left:0;mso-wrap-distance-right:0" coordorigin="1282,282" coordsize="9910,15" path="m11191,282l6011,282,5997,282,1282,282,1282,297,5997,297,6011,297,11191,297,11191,282xe" filled="true" fillcolor="#69bd28" stroked="false">
            <v:path arrowok="t"/>
            <v:fill type="solid"/>
            <w10:wrap type="topAndBottom"/>
          </v:shape>
        </w:pict>
      </w:r>
      <w:r>
        <w:rPr>
          <w:sz w:val="18"/>
        </w:rPr>
        <w:t>Security</w:t>
      </w:r>
      <w:r>
        <w:rPr>
          <w:spacing w:val="-36"/>
          <w:sz w:val="18"/>
        </w:rPr>
        <w:t> </w:t>
      </w:r>
      <w:r>
        <w:rPr>
          <w:sz w:val="18"/>
        </w:rPr>
        <w:t>systems</w:t>
        <w:tab/>
      </w:r>
      <w:r>
        <w:rPr>
          <w:spacing w:val="-1"/>
          <w:w w:val="95"/>
          <w:sz w:val="18"/>
        </w:rPr>
        <w:t>Provided</w:t>
      </w:r>
    </w:p>
    <w:p>
      <w:pPr>
        <w:tabs>
          <w:tab w:pos="5235" w:val="left" w:leader="none"/>
        </w:tabs>
        <w:spacing w:before="13" w:after="39"/>
        <w:ind w:left="0" w:right="2493" w:firstLine="0"/>
        <w:jc w:val="right"/>
        <w:rPr>
          <w:sz w:val="18"/>
        </w:rPr>
      </w:pPr>
      <w:r>
        <w:rPr>
          <w:sz w:val="18"/>
        </w:rPr>
        <w:t>Air</w:t>
      </w:r>
      <w:r>
        <w:rPr>
          <w:spacing w:val="-16"/>
          <w:sz w:val="18"/>
        </w:rPr>
        <w:t> </w:t>
      </w:r>
      <w:r>
        <w:rPr>
          <w:sz w:val="18"/>
        </w:rPr>
        <w:t>conditioning</w:t>
        <w:tab/>
      </w:r>
      <w:r>
        <w:rPr>
          <w:spacing w:val="-1"/>
          <w:w w:val="95"/>
          <w:sz w:val="18"/>
        </w:rPr>
        <w:t>Provided</w:t>
      </w:r>
    </w:p>
    <w:p>
      <w:pPr>
        <w:pStyle w:val="BodyText"/>
        <w:spacing w:line="20" w:lineRule="exact"/>
        <w:ind w:left="782"/>
        <w:rPr>
          <w:sz w:val="2"/>
        </w:rPr>
      </w:pPr>
      <w:r>
        <w:rPr>
          <w:sz w:val="2"/>
        </w:rPr>
        <w:pict>
          <v:group style="width:495.5pt;height:.75pt;mso-position-horizontal-relative:char;mso-position-vertical-relative:line" coordorigin="0,0" coordsize="9910,15">
            <v:shape style="position:absolute;left:0;top:0;width:9910;height:15" coordorigin="0,0" coordsize="9910,15" path="m9909,0l4729,0,4715,0,0,0,0,14,4715,14,4729,14,9909,14,9909,0xe" filled="true" fillcolor="#69bd28" stroked="false">
              <v:path arrowok="t"/>
              <v:fill type="solid"/>
            </v:shape>
          </v:group>
        </w:pict>
      </w:r>
      <w:r>
        <w:rPr>
          <w:sz w:val="2"/>
        </w:rPr>
      </w:r>
    </w:p>
    <w:p>
      <w:pPr>
        <w:tabs>
          <w:tab w:pos="5382" w:val="left" w:leader="none"/>
        </w:tabs>
        <w:spacing w:before="34"/>
        <w:ind w:left="0" w:right="2493" w:firstLine="0"/>
        <w:jc w:val="right"/>
        <w:rPr>
          <w:sz w:val="18"/>
        </w:rPr>
      </w:pPr>
      <w:r>
        <w:rPr/>
        <w:pict>
          <v:shape style="position:absolute;margin-left:64.104004pt;margin-top:14.110634pt;width:495.5pt;height:.75pt;mso-position-horizontal-relative:page;mso-position-vertical-relative:paragraph;z-index:-15188992;mso-wrap-distance-left:0;mso-wrap-distance-right:0" coordorigin="1282,282" coordsize="9910,15" path="m11191,282l6011,282,5997,282,1282,282,1282,297,5997,297,6011,297,11191,297,11191,282xe" filled="true" fillcolor="#69bd28" stroked="false">
            <v:path arrowok="t"/>
            <v:fill type="solid"/>
            <w10:wrap type="topAndBottom"/>
          </v:shape>
        </w:pict>
      </w:r>
      <w:r>
        <w:rPr>
          <w:sz w:val="18"/>
        </w:rPr>
        <w:t>Firefighting</w:t>
      </w:r>
      <w:r>
        <w:rPr>
          <w:spacing w:val="-36"/>
          <w:sz w:val="18"/>
        </w:rPr>
        <w:t> </w:t>
      </w:r>
      <w:r>
        <w:rPr>
          <w:sz w:val="18"/>
        </w:rPr>
        <w:t>services</w:t>
        <w:tab/>
      </w:r>
      <w:r>
        <w:rPr>
          <w:spacing w:val="-1"/>
          <w:w w:val="95"/>
          <w:sz w:val="18"/>
        </w:rPr>
        <w:t>Provided</w:t>
      </w:r>
    </w:p>
    <w:p>
      <w:pPr>
        <w:tabs>
          <w:tab w:pos="6250" w:val="left" w:leader="none"/>
        </w:tabs>
        <w:spacing w:before="10" w:after="39"/>
        <w:ind w:left="2375" w:right="0" w:firstLine="0"/>
        <w:jc w:val="left"/>
        <w:rPr>
          <w:sz w:val="18"/>
        </w:rPr>
      </w:pPr>
      <w:r>
        <w:rPr>
          <w:sz w:val="18"/>
        </w:rPr>
        <w:t>Car</w:t>
      </w:r>
      <w:r>
        <w:rPr>
          <w:spacing w:val="-1"/>
          <w:sz w:val="18"/>
        </w:rPr>
        <w:t> </w:t>
      </w:r>
      <w:r>
        <w:rPr>
          <w:sz w:val="18"/>
        </w:rPr>
        <w:t>parks</w:t>
      </w:r>
      <w:r>
        <w:rPr>
          <w:spacing w:val="1"/>
          <w:sz w:val="18"/>
        </w:rPr>
        <w:t> </w:t>
      </w:r>
      <w:r>
        <w:rPr>
          <w:sz w:val="18"/>
        </w:rPr>
        <w:t>provided</w:t>
        <w:tab/>
        <w:t>MLCP, Basement, Covered and open car</w:t>
      </w:r>
      <w:r>
        <w:rPr>
          <w:spacing w:val="-17"/>
          <w:sz w:val="18"/>
        </w:rPr>
        <w:t> </w:t>
      </w:r>
      <w:r>
        <w:rPr>
          <w:sz w:val="18"/>
        </w:rPr>
        <w:t>parks</w:t>
      </w:r>
    </w:p>
    <w:p>
      <w:pPr>
        <w:pStyle w:val="BodyText"/>
        <w:spacing w:line="20" w:lineRule="exact"/>
        <w:ind w:left="782"/>
        <w:rPr>
          <w:sz w:val="2"/>
        </w:rPr>
      </w:pPr>
      <w:r>
        <w:rPr>
          <w:sz w:val="2"/>
        </w:rPr>
        <w:pict>
          <v:group style="width:495.5pt;height:.75pt;mso-position-horizontal-relative:char;mso-position-vertical-relative:line" coordorigin="0,0" coordsize="9910,15">
            <v:shape style="position:absolute;left:0;top:0;width:9910;height:15" coordorigin="0,0" coordsize="9910,15" path="m9909,0l4729,0,4715,0,0,0,0,14,4715,14,4729,14,9909,14,9909,0xe" filled="true" fillcolor="#69bd28" stroked="false">
              <v:path arrowok="t"/>
              <v:fill type="solid"/>
            </v:shape>
          </v:group>
        </w:pict>
      </w:r>
      <w:r>
        <w:rPr>
          <w:sz w:val="2"/>
        </w:rPr>
      </w:r>
    </w:p>
    <w:p>
      <w:pPr>
        <w:spacing w:before="0"/>
        <w:ind w:left="890" w:right="0" w:firstLine="0"/>
        <w:jc w:val="both"/>
        <w:rPr>
          <w:i/>
          <w:sz w:val="18"/>
        </w:rPr>
      </w:pPr>
      <w:r>
        <w:rPr>
          <w:i/>
          <w:sz w:val="18"/>
        </w:rPr>
        <w:t>Source: Information provided by Client</w:t>
      </w:r>
    </w:p>
    <w:p>
      <w:pPr>
        <w:pStyle w:val="BodyText"/>
        <w:spacing w:before="3"/>
        <w:rPr>
          <w:i/>
          <w:sz w:val="19"/>
        </w:rPr>
      </w:pPr>
    </w:p>
    <w:p>
      <w:pPr>
        <w:pStyle w:val="BodyText"/>
        <w:spacing w:line="321" w:lineRule="auto"/>
        <w:ind w:left="890" w:right="341"/>
        <w:jc w:val="both"/>
      </w:pPr>
      <w:r>
        <w:rPr/>
        <w:t>Additionally,</w:t>
      </w:r>
      <w:r>
        <w:rPr>
          <w:spacing w:val="-11"/>
        </w:rPr>
        <w:t> </w:t>
      </w:r>
      <w:r>
        <w:rPr/>
        <w:t>based</w:t>
      </w:r>
      <w:r>
        <w:rPr>
          <w:spacing w:val="-11"/>
        </w:rPr>
        <w:t> </w:t>
      </w:r>
      <w:r>
        <w:rPr/>
        <w:t>on</w:t>
      </w:r>
      <w:r>
        <w:rPr>
          <w:spacing w:val="-10"/>
        </w:rPr>
        <w:t> </w:t>
      </w:r>
      <w:r>
        <w:rPr/>
        <w:t>inputs</w:t>
      </w:r>
      <w:r>
        <w:rPr>
          <w:spacing w:val="-10"/>
        </w:rPr>
        <w:t> </w:t>
      </w:r>
      <w:r>
        <w:rPr/>
        <w:t>provided</w:t>
      </w:r>
      <w:r>
        <w:rPr>
          <w:spacing w:val="-11"/>
        </w:rPr>
        <w:t> </w:t>
      </w:r>
      <w:r>
        <w:rPr/>
        <w:t>by</w:t>
      </w:r>
      <w:r>
        <w:rPr>
          <w:spacing w:val="-9"/>
        </w:rPr>
        <w:t> </w:t>
      </w:r>
      <w:r>
        <w:rPr/>
        <w:t>the</w:t>
      </w:r>
      <w:r>
        <w:rPr>
          <w:spacing w:val="-12"/>
        </w:rPr>
        <w:t> </w:t>
      </w:r>
      <w:r>
        <w:rPr/>
        <w:t>Client</w:t>
      </w:r>
      <w:r>
        <w:rPr>
          <w:spacing w:val="-10"/>
        </w:rPr>
        <w:t> </w:t>
      </w:r>
      <w:r>
        <w:rPr/>
        <w:t>coupled</w:t>
      </w:r>
      <w:r>
        <w:rPr>
          <w:spacing w:val="-10"/>
        </w:rPr>
        <w:t> </w:t>
      </w:r>
      <w:r>
        <w:rPr/>
        <w:t>with</w:t>
      </w:r>
      <w:r>
        <w:rPr>
          <w:spacing w:val="-12"/>
        </w:rPr>
        <w:t> </w:t>
      </w:r>
      <w:r>
        <w:rPr/>
        <w:t>visual</w:t>
      </w:r>
      <w:r>
        <w:rPr>
          <w:spacing w:val="-11"/>
        </w:rPr>
        <w:t> </w:t>
      </w:r>
      <w:r>
        <w:rPr/>
        <w:t>inspection,</w:t>
      </w:r>
      <w:r>
        <w:rPr>
          <w:spacing w:val="-10"/>
        </w:rPr>
        <w:t> </w:t>
      </w:r>
      <w:r>
        <w:rPr/>
        <w:t>Embassy</w:t>
      </w:r>
      <w:r>
        <w:rPr>
          <w:spacing w:val="-2"/>
        </w:rPr>
        <w:t> </w:t>
      </w:r>
      <w:r>
        <w:rPr/>
        <w:t>Qubix offers</w:t>
      </w:r>
      <w:r>
        <w:rPr>
          <w:spacing w:val="-44"/>
        </w:rPr>
        <w:t> </w:t>
      </w:r>
      <w:r>
        <w:rPr/>
        <w:t>its</w:t>
      </w:r>
      <w:r>
        <w:rPr>
          <w:spacing w:val="-44"/>
        </w:rPr>
        <w:t> </w:t>
      </w:r>
      <w:r>
        <w:rPr/>
        <w:t>occupiers</w:t>
      </w:r>
      <w:r>
        <w:rPr>
          <w:spacing w:val="-44"/>
        </w:rPr>
        <w:t> </w:t>
      </w:r>
      <w:r>
        <w:rPr/>
        <w:t>a</w:t>
      </w:r>
      <w:r>
        <w:rPr>
          <w:spacing w:val="-45"/>
        </w:rPr>
        <w:t> </w:t>
      </w:r>
      <w:r>
        <w:rPr/>
        <w:t>full</w:t>
      </w:r>
      <w:r>
        <w:rPr>
          <w:spacing w:val="-45"/>
        </w:rPr>
        <w:t> </w:t>
      </w:r>
      <w:r>
        <w:rPr/>
        <w:t>suite</w:t>
      </w:r>
      <w:r>
        <w:rPr>
          <w:spacing w:val="-45"/>
        </w:rPr>
        <w:t> </w:t>
      </w:r>
      <w:r>
        <w:rPr/>
        <w:t>of</w:t>
      </w:r>
      <w:r>
        <w:rPr>
          <w:spacing w:val="-44"/>
        </w:rPr>
        <w:t> </w:t>
      </w:r>
      <w:r>
        <w:rPr/>
        <w:t>amenities,</w:t>
      </w:r>
      <w:r>
        <w:rPr>
          <w:spacing w:val="-44"/>
        </w:rPr>
        <w:t> </w:t>
      </w:r>
      <w:r>
        <w:rPr/>
        <w:t>including</w:t>
      </w:r>
      <w:r>
        <w:rPr>
          <w:spacing w:val="-44"/>
        </w:rPr>
        <w:t> </w:t>
      </w:r>
      <w:r>
        <w:rPr/>
        <w:t>a</w:t>
      </w:r>
      <w:r>
        <w:rPr>
          <w:spacing w:val="-45"/>
        </w:rPr>
        <w:t> </w:t>
      </w:r>
      <w:r>
        <w:rPr/>
        <w:t>recently</w:t>
      </w:r>
      <w:r>
        <w:rPr>
          <w:spacing w:val="-44"/>
        </w:rPr>
        <w:t> </w:t>
      </w:r>
      <w:r>
        <w:rPr/>
        <w:t>fully</w:t>
      </w:r>
      <w:r>
        <w:rPr>
          <w:spacing w:val="-44"/>
        </w:rPr>
        <w:t> </w:t>
      </w:r>
      <w:r>
        <w:rPr/>
        <w:t>renovated</w:t>
      </w:r>
      <w:r>
        <w:rPr>
          <w:spacing w:val="-44"/>
        </w:rPr>
        <w:t> </w:t>
      </w:r>
      <w:r>
        <w:rPr/>
        <w:t>food</w:t>
      </w:r>
      <w:r>
        <w:rPr>
          <w:spacing w:val="-44"/>
        </w:rPr>
        <w:t> </w:t>
      </w:r>
      <w:r>
        <w:rPr/>
        <w:t>court,</w:t>
      </w:r>
      <w:r>
        <w:rPr>
          <w:spacing w:val="-44"/>
        </w:rPr>
        <w:t> </w:t>
      </w:r>
      <w:r>
        <w:rPr/>
        <w:t>refurbished lobbies, and a 150-seat auditorium,</w:t>
      </w:r>
      <w:r>
        <w:rPr>
          <w:spacing w:val="-18"/>
        </w:rPr>
        <w:t> </w:t>
      </w:r>
      <w:r>
        <w:rPr/>
        <w:t>etc.</w:t>
      </w:r>
    </w:p>
    <w:p>
      <w:pPr>
        <w:pStyle w:val="BodyText"/>
        <w:rPr>
          <w:sz w:val="20"/>
        </w:rPr>
      </w:pPr>
    </w:p>
    <w:p>
      <w:pPr>
        <w:pStyle w:val="BodyText"/>
        <w:spacing w:before="6"/>
        <w:rPr>
          <w:sz w:val="21"/>
        </w:rPr>
      </w:pPr>
    </w:p>
    <w:p>
      <w:pPr>
        <w:pStyle w:val="ListParagraph"/>
        <w:numPr>
          <w:ilvl w:val="2"/>
          <w:numId w:val="14"/>
        </w:numPr>
        <w:tabs>
          <w:tab w:pos="941" w:val="left" w:leader="none"/>
        </w:tabs>
        <w:spacing w:line="240" w:lineRule="auto" w:before="1" w:after="0"/>
        <w:ind w:left="940" w:right="0" w:hanging="721"/>
        <w:jc w:val="left"/>
        <w:rPr>
          <w:sz w:val="22"/>
        </w:rPr>
      </w:pPr>
      <w:bookmarkStart w:name="_bookmark220" w:id="429"/>
      <w:bookmarkEnd w:id="429"/>
      <w:r>
        <w:rPr/>
      </w:r>
      <w:bookmarkStart w:name="_bookmark220" w:id="430"/>
      <w:bookmarkEnd w:id="430"/>
      <w:r>
        <w:rPr>
          <w:color w:val="1F664D"/>
          <w:sz w:val="22"/>
        </w:rPr>
        <w:t>Condition</w:t>
      </w:r>
      <w:r>
        <w:rPr>
          <w:color w:val="1F664D"/>
          <w:sz w:val="22"/>
        </w:rPr>
        <w:t> &amp;</w:t>
      </w:r>
      <w:r>
        <w:rPr>
          <w:color w:val="1F664D"/>
          <w:spacing w:val="-4"/>
          <w:sz w:val="22"/>
        </w:rPr>
        <w:t> </w:t>
      </w:r>
      <w:r>
        <w:rPr>
          <w:color w:val="1F664D"/>
          <w:sz w:val="22"/>
        </w:rPr>
        <w:t>Repair</w:t>
      </w:r>
    </w:p>
    <w:p>
      <w:pPr>
        <w:pStyle w:val="BodyText"/>
        <w:spacing w:line="321" w:lineRule="auto" w:before="207"/>
        <w:ind w:left="767" w:right="232"/>
        <w:jc w:val="both"/>
      </w:pPr>
      <w:r>
        <w:rPr/>
        <w:t>Based</w:t>
      </w:r>
      <w:r>
        <w:rPr>
          <w:spacing w:val="-30"/>
        </w:rPr>
        <w:t> </w:t>
      </w:r>
      <w:r>
        <w:rPr/>
        <w:t>on</w:t>
      </w:r>
      <w:r>
        <w:rPr>
          <w:spacing w:val="-30"/>
        </w:rPr>
        <w:t> </w:t>
      </w:r>
      <w:r>
        <w:rPr/>
        <w:t>information</w:t>
      </w:r>
      <w:r>
        <w:rPr>
          <w:spacing w:val="-31"/>
        </w:rPr>
        <w:t> </w:t>
      </w:r>
      <w:r>
        <w:rPr/>
        <w:t>provided</w:t>
      </w:r>
      <w:r>
        <w:rPr>
          <w:spacing w:val="-29"/>
        </w:rPr>
        <w:t> </w:t>
      </w:r>
      <w:r>
        <w:rPr/>
        <w:t>by</w:t>
      </w:r>
      <w:r>
        <w:rPr>
          <w:spacing w:val="-29"/>
        </w:rPr>
        <w:t> </w:t>
      </w:r>
      <w:r>
        <w:rPr/>
        <w:t>the</w:t>
      </w:r>
      <w:r>
        <w:rPr>
          <w:spacing w:val="-31"/>
        </w:rPr>
        <w:t> </w:t>
      </w:r>
      <w:r>
        <w:rPr/>
        <w:t>Client</w:t>
      </w:r>
      <w:r>
        <w:rPr>
          <w:spacing w:val="-28"/>
        </w:rPr>
        <w:t> </w:t>
      </w:r>
      <w:r>
        <w:rPr/>
        <w:t>and</w:t>
      </w:r>
      <w:r>
        <w:rPr>
          <w:spacing w:val="-30"/>
        </w:rPr>
        <w:t> </w:t>
      </w:r>
      <w:r>
        <w:rPr/>
        <w:t>our</w:t>
      </w:r>
      <w:r>
        <w:rPr>
          <w:spacing w:val="-30"/>
        </w:rPr>
        <w:t> </w:t>
      </w:r>
      <w:r>
        <w:rPr/>
        <w:t>inspection</w:t>
      </w:r>
      <w:r>
        <w:rPr>
          <w:spacing w:val="-30"/>
        </w:rPr>
        <w:t> </w:t>
      </w:r>
      <w:r>
        <w:rPr/>
        <w:t>during</w:t>
      </w:r>
      <w:r>
        <w:rPr>
          <w:spacing w:val="-29"/>
        </w:rPr>
        <w:t> </w:t>
      </w:r>
      <w:r>
        <w:rPr/>
        <w:t>the</w:t>
      </w:r>
      <w:r>
        <w:rPr>
          <w:spacing w:val="-31"/>
        </w:rPr>
        <w:t> </w:t>
      </w:r>
      <w:r>
        <w:rPr/>
        <w:t>site</w:t>
      </w:r>
      <w:r>
        <w:rPr>
          <w:spacing w:val="-30"/>
        </w:rPr>
        <w:t> </w:t>
      </w:r>
      <w:r>
        <w:rPr/>
        <w:t>visit,</w:t>
      </w:r>
      <w:r>
        <w:rPr>
          <w:spacing w:val="-30"/>
        </w:rPr>
        <w:t> </w:t>
      </w:r>
      <w:r>
        <w:rPr/>
        <w:t>it</w:t>
      </w:r>
      <w:r>
        <w:rPr>
          <w:spacing w:val="-30"/>
        </w:rPr>
        <w:t> </w:t>
      </w:r>
      <w:r>
        <w:rPr/>
        <w:t>is</w:t>
      </w:r>
      <w:r>
        <w:rPr>
          <w:spacing w:val="-30"/>
        </w:rPr>
        <w:t> </w:t>
      </w:r>
      <w:r>
        <w:rPr/>
        <w:t>understood</w:t>
      </w:r>
      <w:r>
        <w:rPr>
          <w:spacing w:val="-30"/>
        </w:rPr>
        <w:t> </w:t>
      </w:r>
      <w:r>
        <w:rPr/>
        <w:t>that the subject property is in good condition and is being maintained well. Subject property offers international</w:t>
      </w:r>
      <w:r>
        <w:rPr>
          <w:spacing w:val="-24"/>
        </w:rPr>
        <w:t> </w:t>
      </w:r>
      <w:r>
        <w:rPr/>
        <w:t>standard</w:t>
      </w:r>
      <w:r>
        <w:rPr>
          <w:spacing w:val="-24"/>
        </w:rPr>
        <w:t> </w:t>
      </w:r>
      <w:r>
        <w:rPr/>
        <w:t>infrastructure,</w:t>
      </w:r>
      <w:r>
        <w:rPr>
          <w:spacing w:val="-23"/>
        </w:rPr>
        <w:t> </w:t>
      </w:r>
      <w:r>
        <w:rPr/>
        <w:t>best-in-class</w:t>
      </w:r>
      <w:r>
        <w:rPr>
          <w:spacing w:val="-24"/>
        </w:rPr>
        <w:t> </w:t>
      </w:r>
      <w:r>
        <w:rPr/>
        <w:t>asset</w:t>
      </w:r>
      <w:r>
        <w:rPr>
          <w:spacing w:val="-24"/>
        </w:rPr>
        <w:t> </w:t>
      </w:r>
      <w:r>
        <w:rPr/>
        <w:t>management</w:t>
      </w:r>
      <w:r>
        <w:rPr>
          <w:spacing w:val="-24"/>
        </w:rPr>
        <w:t> </w:t>
      </w:r>
      <w:r>
        <w:rPr/>
        <w:t>and</w:t>
      </w:r>
      <w:r>
        <w:rPr>
          <w:spacing w:val="-24"/>
        </w:rPr>
        <w:t> </w:t>
      </w:r>
      <w:r>
        <w:rPr/>
        <w:t>environment</w:t>
      </w:r>
      <w:r>
        <w:rPr>
          <w:spacing w:val="-24"/>
        </w:rPr>
        <w:t> </w:t>
      </w:r>
      <w:r>
        <w:rPr/>
        <w:t>friendly</w:t>
      </w:r>
      <w:r>
        <w:rPr>
          <w:spacing w:val="-24"/>
        </w:rPr>
        <w:t> </w:t>
      </w:r>
      <w:r>
        <w:rPr/>
        <w:t>green initiatives. Over the last few years, Client has incurred repairs and maintenance expenses towards upgradation</w:t>
      </w:r>
      <w:r>
        <w:rPr>
          <w:spacing w:val="-45"/>
        </w:rPr>
        <w:t> </w:t>
      </w:r>
      <w:r>
        <w:rPr/>
        <w:t>the</w:t>
      </w:r>
      <w:r>
        <w:rPr>
          <w:spacing w:val="-46"/>
        </w:rPr>
        <w:t> </w:t>
      </w:r>
      <w:r>
        <w:rPr/>
        <w:t>park.</w:t>
      </w:r>
      <w:r>
        <w:rPr>
          <w:spacing w:val="-43"/>
        </w:rPr>
        <w:t> </w:t>
      </w:r>
      <w:r>
        <w:rPr/>
        <w:t>The</w:t>
      </w:r>
      <w:r>
        <w:rPr>
          <w:spacing w:val="-45"/>
        </w:rPr>
        <w:t> </w:t>
      </w:r>
      <w:r>
        <w:rPr/>
        <w:t>table</w:t>
      </w:r>
      <w:r>
        <w:rPr>
          <w:spacing w:val="-44"/>
        </w:rPr>
        <w:t> </w:t>
      </w:r>
      <w:r>
        <w:rPr/>
        <w:t>below</w:t>
      </w:r>
      <w:r>
        <w:rPr>
          <w:spacing w:val="-44"/>
        </w:rPr>
        <w:t> </w:t>
      </w:r>
      <w:r>
        <w:rPr/>
        <w:t>highlights</w:t>
      </w:r>
      <w:r>
        <w:rPr>
          <w:spacing w:val="-45"/>
        </w:rPr>
        <w:t> </w:t>
      </w:r>
      <w:r>
        <w:rPr/>
        <w:t>the</w:t>
      </w:r>
      <w:r>
        <w:rPr>
          <w:spacing w:val="-44"/>
        </w:rPr>
        <w:t> </w:t>
      </w:r>
      <w:r>
        <w:rPr/>
        <w:t>major</w:t>
      </w:r>
      <w:r>
        <w:rPr>
          <w:spacing w:val="-45"/>
        </w:rPr>
        <w:t> </w:t>
      </w:r>
      <w:r>
        <w:rPr/>
        <w:t>repairs</w:t>
      </w:r>
      <w:r>
        <w:rPr>
          <w:spacing w:val="-44"/>
        </w:rPr>
        <w:t> </w:t>
      </w:r>
      <w:r>
        <w:rPr/>
        <w:t>and</w:t>
      </w:r>
      <w:r>
        <w:rPr>
          <w:spacing w:val="-44"/>
        </w:rPr>
        <w:t> </w:t>
      </w:r>
      <w:r>
        <w:rPr/>
        <w:t>maintenance</w:t>
      </w:r>
      <w:r>
        <w:rPr>
          <w:spacing w:val="-44"/>
        </w:rPr>
        <w:t> </w:t>
      </w:r>
      <w:r>
        <w:rPr/>
        <w:t>work/</w:t>
      </w:r>
      <w:r>
        <w:rPr>
          <w:spacing w:val="-45"/>
        </w:rPr>
        <w:t> </w:t>
      </w:r>
      <w:r>
        <w:rPr/>
        <w:t>infrastructure upgrade</w:t>
      </w:r>
      <w:r>
        <w:rPr>
          <w:spacing w:val="-33"/>
        </w:rPr>
        <w:t> </w:t>
      </w:r>
      <w:r>
        <w:rPr/>
        <w:t>works</w:t>
      </w:r>
      <w:r>
        <w:rPr>
          <w:spacing w:val="-30"/>
        </w:rPr>
        <w:t> </w:t>
      </w:r>
      <w:r>
        <w:rPr/>
        <w:t>undertaken</w:t>
      </w:r>
      <w:r>
        <w:rPr>
          <w:spacing w:val="-32"/>
        </w:rPr>
        <w:t> </w:t>
      </w:r>
      <w:r>
        <w:rPr/>
        <w:t>in</w:t>
      </w:r>
      <w:r>
        <w:rPr>
          <w:spacing w:val="-33"/>
        </w:rPr>
        <w:t> </w:t>
      </w:r>
      <w:r>
        <w:rPr/>
        <w:t>the</w:t>
      </w:r>
      <w:r>
        <w:rPr>
          <w:spacing w:val="-32"/>
        </w:rPr>
        <w:t> </w:t>
      </w:r>
      <w:r>
        <w:rPr/>
        <w:t>past</w:t>
      </w:r>
      <w:r>
        <w:rPr>
          <w:spacing w:val="-31"/>
        </w:rPr>
        <w:t> </w:t>
      </w:r>
      <w:r>
        <w:rPr/>
        <w:t>few</w:t>
      </w:r>
      <w:r>
        <w:rPr>
          <w:spacing w:val="-31"/>
        </w:rPr>
        <w:t> </w:t>
      </w:r>
      <w:r>
        <w:rPr/>
        <w:t>years</w:t>
      </w:r>
      <w:r>
        <w:rPr>
          <w:spacing w:val="-31"/>
        </w:rPr>
        <w:t> </w:t>
      </w:r>
      <w:r>
        <w:rPr/>
        <w:t>and</w:t>
      </w:r>
      <w:r>
        <w:rPr>
          <w:spacing w:val="-32"/>
        </w:rPr>
        <w:t> </w:t>
      </w:r>
      <w:r>
        <w:rPr/>
        <w:t>the</w:t>
      </w:r>
      <w:r>
        <w:rPr>
          <w:spacing w:val="-32"/>
        </w:rPr>
        <w:t> </w:t>
      </w:r>
      <w:r>
        <w:rPr/>
        <w:t>works</w:t>
      </w:r>
      <w:r>
        <w:rPr>
          <w:spacing w:val="-31"/>
        </w:rPr>
        <w:t> </w:t>
      </w:r>
      <w:r>
        <w:rPr/>
        <w:t>to</w:t>
      </w:r>
      <w:r>
        <w:rPr>
          <w:spacing w:val="-31"/>
        </w:rPr>
        <w:t> </w:t>
      </w:r>
      <w:r>
        <w:rPr/>
        <w:t>be</w:t>
      </w:r>
      <w:r>
        <w:rPr>
          <w:spacing w:val="-32"/>
        </w:rPr>
        <w:t> </w:t>
      </w:r>
      <w:r>
        <w:rPr/>
        <w:t>undertaken</w:t>
      </w:r>
      <w:r>
        <w:rPr>
          <w:spacing w:val="-33"/>
        </w:rPr>
        <w:t> </w:t>
      </w:r>
      <w:r>
        <w:rPr/>
        <w:t>over</w:t>
      </w:r>
      <w:r>
        <w:rPr>
          <w:spacing w:val="-30"/>
        </w:rPr>
        <w:t> </w:t>
      </w:r>
      <w:r>
        <w:rPr/>
        <w:t>the</w:t>
      </w:r>
      <w:r>
        <w:rPr>
          <w:spacing w:val="-33"/>
        </w:rPr>
        <w:t> </w:t>
      </w:r>
      <w:r>
        <w:rPr/>
        <w:t>next</w:t>
      </w:r>
      <w:r>
        <w:rPr>
          <w:spacing w:val="-29"/>
        </w:rPr>
        <w:t> </w:t>
      </w:r>
      <w:r>
        <w:rPr/>
        <w:t>few</w:t>
      </w:r>
      <w:r>
        <w:rPr>
          <w:spacing w:val="-31"/>
        </w:rPr>
        <w:t> </w:t>
      </w:r>
      <w:r>
        <w:rPr/>
        <w:t>years:</w:t>
      </w:r>
    </w:p>
    <w:p>
      <w:pPr>
        <w:pStyle w:val="BodyText"/>
        <w:spacing w:before="5"/>
        <w:rPr>
          <w:sz w:val="21"/>
        </w:rPr>
      </w:pPr>
    </w:p>
    <w:tbl>
      <w:tblPr>
        <w:tblW w:w="0" w:type="auto"/>
        <w:jc w:val="left"/>
        <w:tblInd w:w="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94"/>
        <w:gridCol w:w="1466"/>
        <w:gridCol w:w="2125"/>
        <w:gridCol w:w="1643"/>
        <w:gridCol w:w="1940"/>
      </w:tblGrid>
      <w:tr>
        <w:trPr>
          <w:trHeight w:val="452" w:hRule="atLeast"/>
        </w:trPr>
        <w:tc>
          <w:tcPr>
            <w:tcW w:w="3494" w:type="dxa"/>
            <w:tcBorders>
              <w:top w:val="single" w:sz="8" w:space="0" w:color="69BD28"/>
              <w:bottom w:val="single" w:sz="8" w:space="0" w:color="69BD28"/>
            </w:tcBorders>
            <w:shd w:val="clear" w:color="auto" w:fill="006A4D"/>
          </w:tcPr>
          <w:p>
            <w:pPr>
              <w:pStyle w:val="TableParagraph"/>
              <w:tabs>
                <w:tab w:pos="3413" w:val="left" w:leader="none"/>
              </w:tabs>
              <w:spacing w:before="116"/>
              <w:ind w:left="1075" w:right="-116"/>
              <w:jc w:val="left"/>
              <w:rPr>
                <w:sz w:val="18"/>
              </w:rPr>
            </w:pPr>
            <w:r>
              <w:rPr>
                <w:color w:val="FFFFFF"/>
                <w:sz w:val="18"/>
              </w:rPr>
              <w:t>Expense</w:t>
            </w:r>
            <w:r>
              <w:rPr>
                <w:color w:val="FFFFFF"/>
                <w:spacing w:val="-4"/>
                <w:sz w:val="18"/>
              </w:rPr>
              <w:t> </w:t>
            </w:r>
            <w:r>
              <w:rPr>
                <w:color w:val="FFFFFF"/>
                <w:sz w:val="18"/>
              </w:rPr>
              <w:t>Head</w:t>
              <w:tab/>
            </w:r>
            <w:r>
              <w:rPr>
                <w:color w:val="FFFFFF"/>
                <w:spacing w:val="-9"/>
                <w:sz w:val="18"/>
              </w:rPr>
              <w:t>To</w:t>
            </w:r>
          </w:p>
        </w:tc>
        <w:tc>
          <w:tcPr>
            <w:tcW w:w="1466" w:type="dxa"/>
            <w:tcBorders>
              <w:top w:val="single" w:sz="8" w:space="0" w:color="69BD28"/>
              <w:bottom w:val="single" w:sz="8" w:space="0" w:color="69BD28"/>
            </w:tcBorders>
            <w:shd w:val="clear" w:color="auto" w:fill="006A4D"/>
          </w:tcPr>
          <w:p>
            <w:pPr>
              <w:pStyle w:val="TableParagraph"/>
              <w:spacing w:before="116"/>
              <w:ind w:left="114"/>
              <w:jc w:val="left"/>
              <w:rPr>
                <w:sz w:val="18"/>
              </w:rPr>
            </w:pPr>
            <w:r>
              <w:rPr>
                <w:color w:val="FFFFFF"/>
                <w:sz w:val="18"/>
              </w:rPr>
              <w:t>tal Cost (INR</w:t>
            </w:r>
            <w:r>
              <w:rPr>
                <w:color w:val="FFFFFF"/>
                <w:spacing w:val="-22"/>
                <w:sz w:val="18"/>
              </w:rPr>
              <w:t> </w:t>
            </w:r>
            <w:r>
              <w:rPr>
                <w:color w:val="FFFFFF"/>
                <w:sz w:val="18"/>
              </w:rPr>
              <w:t>Mn)</w:t>
            </w:r>
          </w:p>
        </w:tc>
        <w:tc>
          <w:tcPr>
            <w:tcW w:w="2125" w:type="dxa"/>
            <w:tcBorders>
              <w:top w:val="single" w:sz="8" w:space="0" w:color="69BD28"/>
              <w:bottom w:val="single" w:sz="8" w:space="0" w:color="69BD28"/>
            </w:tcBorders>
            <w:shd w:val="clear" w:color="auto" w:fill="006A4D"/>
          </w:tcPr>
          <w:p>
            <w:pPr>
              <w:pStyle w:val="TableParagraph"/>
              <w:spacing w:before="3"/>
              <w:ind w:left="462" w:right="430"/>
              <w:rPr>
                <w:sz w:val="18"/>
              </w:rPr>
            </w:pPr>
            <w:r>
              <w:rPr>
                <w:color w:val="FFFFFF"/>
                <w:sz w:val="18"/>
              </w:rPr>
              <w:t>Total Cost</w:t>
            </w:r>
          </w:p>
          <w:p>
            <w:pPr>
              <w:pStyle w:val="TableParagraph"/>
              <w:spacing w:line="204" w:lineRule="exact" w:before="17"/>
              <w:ind w:left="462" w:right="430"/>
              <w:rPr>
                <w:sz w:val="18"/>
              </w:rPr>
            </w:pPr>
            <w:r>
              <w:rPr>
                <w:color w:val="FFFFFF"/>
                <w:sz w:val="18"/>
              </w:rPr>
              <w:t>Spent (INR Mn)</w:t>
            </w:r>
          </w:p>
        </w:tc>
        <w:tc>
          <w:tcPr>
            <w:tcW w:w="1643" w:type="dxa"/>
            <w:tcBorders>
              <w:top w:val="single" w:sz="8" w:space="0" w:color="69BD28"/>
              <w:bottom w:val="single" w:sz="8" w:space="0" w:color="69BD28"/>
            </w:tcBorders>
            <w:shd w:val="clear" w:color="auto" w:fill="006A4D"/>
          </w:tcPr>
          <w:p>
            <w:pPr>
              <w:pStyle w:val="TableParagraph"/>
              <w:spacing w:before="3"/>
              <w:ind w:left="30" w:right="57"/>
              <w:rPr>
                <w:sz w:val="18"/>
              </w:rPr>
            </w:pPr>
            <w:r>
              <w:rPr>
                <w:color w:val="FFFFFF"/>
                <w:sz w:val="18"/>
              </w:rPr>
              <w:t>Total Pending Cost</w:t>
            </w:r>
          </w:p>
          <w:p>
            <w:pPr>
              <w:pStyle w:val="TableParagraph"/>
              <w:spacing w:line="204" w:lineRule="exact" w:before="17"/>
              <w:ind w:left="29" w:right="57"/>
              <w:rPr>
                <w:sz w:val="18"/>
              </w:rPr>
            </w:pPr>
            <w:r>
              <w:rPr>
                <w:color w:val="FFFFFF"/>
                <w:sz w:val="18"/>
              </w:rPr>
              <w:t>(INR Mn)</w:t>
            </w:r>
          </w:p>
        </w:tc>
        <w:tc>
          <w:tcPr>
            <w:tcW w:w="1940" w:type="dxa"/>
            <w:tcBorders>
              <w:top w:val="single" w:sz="8" w:space="0" w:color="69BD28"/>
              <w:bottom w:val="single" w:sz="8" w:space="0" w:color="69BD28"/>
            </w:tcBorders>
            <w:shd w:val="clear" w:color="auto" w:fill="006A4D"/>
          </w:tcPr>
          <w:p>
            <w:pPr>
              <w:pStyle w:val="TableParagraph"/>
              <w:spacing w:before="3"/>
              <w:ind w:left="600"/>
              <w:jc w:val="left"/>
              <w:rPr>
                <w:sz w:val="18"/>
              </w:rPr>
            </w:pPr>
            <w:r>
              <w:rPr>
                <w:color w:val="FFFFFF"/>
                <w:sz w:val="18"/>
              </w:rPr>
              <w:t>Quarter of</w:t>
            </w:r>
          </w:p>
          <w:p>
            <w:pPr>
              <w:pStyle w:val="TableParagraph"/>
              <w:spacing w:line="204" w:lineRule="exact" w:before="17"/>
              <w:ind w:left="557"/>
              <w:jc w:val="left"/>
              <w:rPr>
                <w:sz w:val="18"/>
              </w:rPr>
            </w:pPr>
            <w:r>
              <w:rPr>
                <w:color w:val="FFFFFF"/>
                <w:sz w:val="18"/>
              </w:rPr>
              <w:t>Completion</w:t>
            </w:r>
          </w:p>
        </w:tc>
      </w:tr>
      <w:tr>
        <w:trPr>
          <w:trHeight w:val="306" w:hRule="atLeast"/>
        </w:trPr>
        <w:tc>
          <w:tcPr>
            <w:tcW w:w="3494" w:type="dxa"/>
            <w:tcBorders>
              <w:top w:val="single" w:sz="8" w:space="0" w:color="69BD28"/>
              <w:bottom w:val="single" w:sz="8" w:space="0" w:color="69BD28"/>
            </w:tcBorders>
          </w:tcPr>
          <w:p>
            <w:pPr>
              <w:pStyle w:val="TableParagraph"/>
              <w:spacing w:before="44"/>
              <w:ind w:left="883"/>
              <w:jc w:val="left"/>
              <w:rPr>
                <w:sz w:val="18"/>
              </w:rPr>
            </w:pPr>
            <w:r>
              <w:rPr>
                <w:sz w:val="18"/>
              </w:rPr>
              <w:t>Cooling Tower Fills</w:t>
            </w:r>
          </w:p>
        </w:tc>
        <w:tc>
          <w:tcPr>
            <w:tcW w:w="1466" w:type="dxa"/>
            <w:tcBorders>
              <w:top w:val="single" w:sz="8" w:space="0" w:color="69BD28"/>
              <w:bottom w:val="single" w:sz="8" w:space="0" w:color="69BD28"/>
            </w:tcBorders>
          </w:tcPr>
          <w:p>
            <w:pPr>
              <w:pStyle w:val="TableParagraph"/>
              <w:spacing w:before="44"/>
              <w:ind w:left="486" w:right="573"/>
              <w:rPr>
                <w:sz w:val="18"/>
              </w:rPr>
            </w:pPr>
            <w:r>
              <w:rPr>
                <w:w w:val="105"/>
                <w:sz w:val="18"/>
              </w:rPr>
              <w:t>1.60</w:t>
            </w:r>
          </w:p>
        </w:tc>
        <w:tc>
          <w:tcPr>
            <w:tcW w:w="2125" w:type="dxa"/>
            <w:tcBorders>
              <w:top w:val="single" w:sz="8" w:space="0" w:color="69BD28"/>
              <w:bottom w:val="single" w:sz="8" w:space="0" w:color="69BD28"/>
            </w:tcBorders>
          </w:tcPr>
          <w:p>
            <w:pPr>
              <w:pStyle w:val="TableParagraph"/>
              <w:spacing w:before="44"/>
              <w:ind w:left="460" w:right="430"/>
              <w:rPr>
                <w:sz w:val="18"/>
              </w:rPr>
            </w:pPr>
            <w:r>
              <w:rPr>
                <w:w w:val="105"/>
                <w:sz w:val="18"/>
              </w:rPr>
              <w:t>1.60</w:t>
            </w:r>
          </w:p>
        </w:tc>
        <w:tc>
          <w:tcPr>
            <w:tcW w:w="1643" w:type="dxa"/>
            <w:tcBorders>
              <w:top w:val="single" w:sz="8" w:space="0" w:color="69BD28"/>
              <w:bottom w:val="single" w:sz="8" w:space="0" w:color="69BD28"/>
            </w:tcBorders>
          </w:tcPr>
          <w:p>
            <w:pPr>
              <w:pStyle w:val="TableParagraph"/>
              <w:spacing w:before="44"/>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4"/>
              <w:ind w:right="402"/>
              <w:jc w:val="right"/>
              <w:rPr>
                <w:sz w:val="18"/>
              </w:rPr>
            </w:pPr>
            <w:r>
              <w:rPr>
                <w:w w:val="105"/>
                <w:sz w:val="18"/>
              </w:rPr>
              <w:t>Q2, FY 2015</w:t>
            </w:r>
          </w:p>
        </w:tc>
      </w:tr>
      <w:tr>
        <w:trPr>
          <w:trHeight w:val="306" w:hRule="atLeast"/>
        </w:trPr>
        <w:tc>
          <w:tcPr>
            <w:tcW w:w="3494" w:type="dxa"/>
            <w:tcBorders>
              <w:top w:val="single" w:sz="8" w:space="0" w:color="69BD28"/>
              <w:bottom w:val="single" w:sz="8" w:space="0" w:color="69BD28"/>
            </w:tcBorders>
          </w:tcPr>
          <w:p>
            <w:pPr>
              <w:pStyle w:val="TableParagraph"/>
              <w:spacing w:before="44"/>
              <w:ind w:left="713"/>
              <w:jc w:val="left"/>
              <w:rPr>
                <w:sz w:val="18"/>
              </w:rPr>
            </w:pPr>
            <w:r>
              <w:rPr>
                <w:sz w:val="18"/>
              </w:rPr>
              <w:t>New Operational office</w:t>
            </w:r>
          </w:p>
        </w:tc>
        <w:tc>
          <w:tcPr>
            <w:tcW w:w="1466" w:type="dxa"/>
            <w:tcBorders>
              <w:top w:val="single" w:sz="8" w:space="0" w:color="69BD28"/>
              <w:bottom w:val="single" w:sz="8" w:space="0" w:color="69BD28"/>
            </w:tcBorders>
          </w:tcPr>
          <w:p>
            <w:pPr>
              <w:pStyle w:val="TableParagraph"/>
              <w:spacing w:before="44"/>
              <w:ind w:left="486" w:right="573"/>
              <w:rPr>
                <w:sz w:val="18"/>
              </w:rPr>
            </w:pPr>
            <w:r>
              <w:rPr>
                <w:w w:val="105"/>
                <w:sz w:val="18"/>
              </w:rPr>
              <w:t>2.00</w:t>
            </w:r>
          </w:p>
        </w:tc>
        <w:tc>
          <w:tcPr>
            <w:tcW w:w="2125" w:type="dxa"/>
            <w:tcBorders>
              <w:top w:val="single" w:sz="8" w:space="0" w:color="69BD28"/>
              <w:bottom w:val="single" w:sz="8" w:space="0" w:color="69BD28"/>
            </w:tcBorders>
          </w:tcPr>
          <w:p>
            <w:pPr>
              <w:pStyle w:val="TableParagraph"/>
              <w:spacing w:before="44"/>
              <w:ind w:left="460" w:right="430"/>
              <w:rPr>
                <w:sz w:val="18"/>
              </w:rPr>
            </w:pPr>
            <w:r>
              <w:rPr>
                <w:w w:val="105"/>
                <w:sz w:val="18"/>
              </w:rPr>
              <w:t>2.00</w:t>
            </w:r>
          </w:p>
        </w:tc>
        <w:tc>
          <w:tcPr>
            <w:tcW w:w="1643" w:type="dxa"/>
            <w:tcBorders>
              <w:top w:val="single" w:sz="8" w:space="0" w:color="69BD28"/>
              <w:bottom w:val="single" w:sz="8" w:space="0" w:color="69BD28"/>
            </w:tcBorders>
          </w:tcPr>
          <w:p>
            <w:pPr>
              <w:pStyle w:val="TableParagraph"/>
              <w:spacing w:before="44"/>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4"/>
              <w:ind w:right="402"/>
              <w:jc w:val="right"/>
              <w:rPr>
                <w:sz w:val="18"/>
              </w:rPr>
            </w:pPr>
            <w:r>
              <w:rPr>
                <w:w w:val="105"/>
                <w:sz w:val="18"/>
              </w:rPr>
              <w:t>Q3, FY 2015</w:t>
            </w:r>
          </w:p>
        </w:tc>
      </w:tr>
      <w:tr>
        <w:trPr>
          <w:trHeight w:val="306" w:hRule="atLeast"/>
        </w:trPr>
        <w:tc>
          <w:tcPr>
            <w:tcW w:w="3494" w:type="dxa"/>
            <w:tcBorders>
              <w:top w:val="single" w:sz="8" w:space="0" w:color="69BD28"/>
              <w:bottom w:val="single" w:sz="8" w:space="0" w:color="69BD28"/>
            </w:tcBorders>
          </w:tcPr>
          <w:p>
            <w:pPr>
              <w:pStyle w:val="TableParagraph"/>
              <w:spacing w:before="44"/>
              <w:ind w:left="701"/>
              <w:jc w:val="left"/>
              <w:rPr>
                <w:sz w:val="18"/>
              </w:rPr>
            </w:pPr>
            <w:r>
              <w:rPr>
                <w:sz w:val="18"/>
              </w:rPr>
              <w:t>Electrical Shaft Fire Seal</w:t>
            </w:r>
          </w:p>
        </w:tc>
        <w:tc>
          <w:tcPr>
            <w:tcW w:w="1466" w:type="dxa"/>
            <w:tcBorders>
              <w:top w:val="single" w:sz="8" w:space="0" w:color="69BD28"/>
              <w:bottom w:val="single" w:sz="8" w:space="0" w:color="69BD28"/>
            </w:tcBorders>
          </w:tcPr>
          <w:p>
            <w:pPr>
              <w:pStyle w:val="TableParagraph"/>
              <w:spacing w:before="44"/>
              <w:ind w:left="486" w:right="573"/>
              <w:rPr>
                <w:sz w:val="18"/>
              </w:rPr>
            </w:pPr>
            <w:r>
              <w:rPr>
                <w:w w:val="105"/>
                <w:sz w:val="18"/>
              </w:rPr>
              <w:t>1.90</w:t>
            </w:r>
          </w:p>
        </w:tc>
        <w:tc>
          <w:tcPr>
            <w:tcW w:w="2125" w:type="dxa"/>
            <w:tcBorders>
              <w:top w:val="single" w:sz="8" w:space="0" w:color="69BD28"/>
              <w:bottom w:val="single" w:sz="8" w:space="0" w:color="69BD28"/>
            </w:tcBorders>
          </w:tcPr>
          <w:p>
            <w:pPr>
              <w:pStyle w:val="TableParagraph"/>
              <w:spacing w:before="44"/>
              <w:ind w:left="460" w:right="430"/>
              <w:rPr>
                <w:sz w:val="18"/>
              </w:rPr>
            </w:pPr>
            <w:r>
              <w:rPr>
                <w:w w:val="105"/>
                <w:sz w:val="18"/>
              </w:rPr>
              <w:t>1.90</w:t>
            </w:r>
          </w:p>
        </w:tc>
        <w:tc>
          <w:tcPr>
            <w:tcW w:w="1643" w:type="dxa"/>
            <w:tcBorders>
              <w:top w:val="single" w:sz="8" w:space="0" w:color="69BD28"/>
              <w:bottom w:val="single" w:sz="8" w:space="0" w:color="69BD28"/>
            </w:tcBorders>
          </w:tcPr>
          <w:p>
            <w:pPr>
              <w:pStyle w:val="TableParagraph"/>
              <w:spacing w:before="44"/>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4"/>
              <w:ind w:right="402"/>
              <w:jc w:val="right"/>
              <w:rPr>
                <w:sz w:val="18"/>
              </w:rPr>
            </w:pPr>
            <w:r>
              <w:rPr>
                <w:w w:val="105"/>
                <w:sz w:val="18"/>
              </w:rPr>
              <w:t>Q4, FY 2015</w:t>
            </w:r>
          </w:p>
        </w:tc>
      </w:tr>
      <w:tr>
        <w:trPr>
          <w:trHeight w:val="307" w:hRule="atLeast"/>
        </w:trPr>
        <w:tc>
          <w:tcPr>
            <w:tcW w:w="3494" w:type="dxa"/>
            <w:tcBorders>
              <w:top w:val="single" w:sz="8" w:space="0" w:color="69BD28"/>
              <w:bottom w:val="single" w:sz="8" w:space="0" w:color="69BD28"/>
            </w:tcBorders>
          </w:tcPr>
          <w:p>
            <w:pPr>
              <w:pStyle w:val="TableParagraph"/>
              <w:spacing w:before="44"/>
              <w:ind w:left="1159" w:right="1380"/>
              <w:rPr>
                <w:sz w:val="18"/>
              </w:rPr>
            </w:pPr>
            <w:r>
              <w:rPr>
                <w:sz w:val="18"/>
              </w:rPr>
              <w:t>Food Court</w:t>
            </w:r>
          </w:p>
        </w:tc>
        <w:tc>
          <w:tcPr>
            <w:tcW w:w="1466" w:type="dxa"/>
            <w:tcBorders>
              <w:top w:val="single" w:sz="8" w:space="0" w:color="69BD28"/>
              <w:bottom w:val="single" w:sz="8" w:space="0" w:color="69BD28"/>
            </w:tcBorders>
          </w:tcPr>
          <w:p>
            <w:pPr>
              <w:pStyle w:val="TableParagraph"/>
              <w:spacing w:before="44"/>
              <w:ind w:left="397"/>
              <w:jc w:val="left"/>
              <w:rPr>
                <w:sz w:val="18"/>
              </w:rPr>
            </w:pPr>
            <w:r>
              <w:rPr>
                <w:w w:val="110"/>
                <w:sz w:val="18"/>
              </w:rPr>
              <w:t>124.00</w:t>
            </w:r>
          </w:p>
        </w:tc>
        <w:tc>
          <w:tcPr>
            <w:tcW w:w="2125" w:type="dxa"/>
            <w:tcBorders>
              <w:top w:val="single" w:sz="8" w:space="0" w:color="69BD28"/>
              <w:bottom w:val="single" w:sz="8" w:space="0" w:color="69BD28"/>
            </w:tcBorders>
          </w:tcPr>
          <w:p>
            <w:pPr>
              <w:pStyle w:val="TableParagraph"/>
              <w:spacing w:before="44"/>
              <w:ind w:left="460" w:right="430"/>
              <w:rPr>
                <w:sz w:val="18"/>
              </w:rPr>
            </w:pPr>
            <w:r>
              <w:rPr>
                <w:w w:val="110"/>
                <w:sz w:val="18"/>
              </w:rPr>
              <w:t>124.00</w:t>
            </w:r>
          </w:p>
        </w:tc>
        <w:tc>
          <w:tcPr>
            <w:tcW w:w="1643" w:type="dxa"/>
            <w:tcBorders>
              <w:top w:val="single" w:sz="8" w:space="0" w:color="69BD28"/>
              <w:bottom w:val="single" w:sz="8" w:space="0" w:color="69BD28"/>
            </w:tcBorders>
          </w:tcPr>
          <w:p>
            <w:pPr>
              <w:pStyle w:val="TableParagraph"/>
              <w:spacing w:before="44"/>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4"/>
              <w:ind w:right="366"/>
              <w:jc w:val="right"/>
              <w:rPr>
                <w:sz w:val="18"/>
              </w:rPr>
            </w:pPr>
            <w:r>
              <w:rPr>
                <w:w w:val="105"/>
                <w:sz w:val="18"/>
              </w:rPr>
              <w:t>Q2, FY 2016</w:t>
            </w:r>
          </w:p>
        </w:tc>
      </w:tr>
      <w:tr>
        <w:trPr>
          <w:trHeight w:val="306" w:hRule="atLeast"/>
        </w:trPr>
        <w:tc>
          <w:tcPr>
            <w:tcW w:w="3494" w:type="dxa"/>
            <w:tcBorders>
              <w:top w:val="single" w:sz="8" w:space="0" w:color="69BD28"/>
              <w:bottom w:val="single" w:sz="8" w:space="0" w:color="69BD28"/>
            </w:tcBorders>
          </w:tcPr>
          <w:p>
            <w:pPr>
              <w:pStyle w:val="TableParagraph"/>
              <w:spacing w:before="44"/>
              <w:ind w:left="898"/>
              <w:jc w:val="left"/>
              <w:rPr>
                <w:sz w:val="18"/>
              </w:rPr>
            </w:pPr>
            <w:r>
              <w:rPr>
                <w:sz w:val="18"/>
              </w:rPr>
              <w:t>HVAC Segregation</w:t>
            </w:r>
          </w:p>
        </w:tc>
        <w:tc>
          <w:tcPr>
            <w:tcW w:w="1466" w:type="dxa"/>
            <w:tcBorders>
              <w:top w:val="single" w:sz="8" w:space="0" w:color="69BD28"/>
              <w:bottom w:val="single" w:sz="8" w:space="0" w:color="69BD28"/>
            </w:tcBorders>
          </w:tcPr>
          <w:p>
            <w:pPr>
              <w:pStyle w:val="TableParagraph"/>
              <w:spacing w:before="44"/>
              <w:ind w:left="486" w:right="573"/>
              <w:rPr>
                <w:sz w:val="18"/>
              </w:rPr>
            </w:pPr>
            <w:r>
              <w:rPr>
                <w:w w:val="105"/>
                <w:sz w:val="18"/>
              </w:rPr>
              <w:t>24.5</w:t>
            </w:r>
          </w:p>
        </w:tc>
        <w:tc>
          <w:tcPr>
            <w:tcW w:w="2125" w:type="dxa"/>
            <w:tcBorders>
              <w:top w:val="single" w:sz="8" w:space="0" w:color="69BD28"/>
              <w:bottom w:val="single" w:sz="8" w:space="0" w:color="69BD28"/>
            </w:tcBorders>
          </w:tcPr>
          <w:p>
            <w:pPr>
              <w:pStyle w:val="TableParagraph"/>
              <w:spacing w:before="44"/>
              <w:ind w:left="460" w:right="430"/>
              <w:rPr>
                <w:sz w:val="18"/>
              </w:rPr>
            </w:pPr>
            <w:r>
              <w:rPr>
                <w:w w:val="105"/>
                <w:sz w:val="18"/>
              </w:rPr>
              <w:t>24.5</w:t>
            </w:r>
          </w:p>
        </w:tc>
        <w:tc>
          <w:tcPr>
            <w:tcW w:w="1643" w:type="dxa"/>
            <w:tcBorders>
              <w:top w:val="single" w:sz="8" w:space="0" w:color="69BD28"/>
              <w:bottom w:val="single" w:sz="8" w:space="0" w:color="69BD28"/>
            </w:tcBorders>
          </w:tcPr>
          <w:p>
            <w:pPr>
              <w:pStyle w:val="TableParagraph"/>
              <w:spacing w:before="44"/>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4"/>
              <w:ind w:right="366"/>
              <w:jc w:val="right"/>
              <w:rPr>
                <w:sz w:val="18"/>
              </w:rPr>
            </w:pPr>
            <w:r>
              <w:rPr>
                <w:w w:val="105"/>
                <w:sz w:val="18"/>
              </w:rPr>
              <w:t>Q2, FY 2016</w:t>
            </w:r>
          </w:p>
        </w:tc>
      </w:tr>
      <w:tr>
        <w:trPr>
          <w:trHeight w:val="306" w:hRule="atLeast"/>
        </w:trPr>
        <w:tc>
          <w:tcPr>
            <w:tcW w:w="3494" w:type="dxa"/>
            <w:tcBorders>
              <w:top w:val="single" w:sz="8" w:space="0" w:color="69BD28"/>
              <w:bottom w:val="single" w:sz="8" w:space="0" w:color="69BD28"/>
            </w:tcBorders>
          </w:tcPr>
          <w:p>
            <w:pPr>
              <w:pStyle w:val="TableParagraph"/>
              <w:spacing w:before="46"/>
              <w:ind w:left="847"/>
              <w:jc w:val="left"/>
              <w:rPr>
                <w:sz w:val="18"/>
              </w:rPr>
            </w:pPr>
            <w:r>
              <w:rPr>
                <w:sz w:val="18"/>
              </w:rPr>
              <w:t>Management Office</w:t>
            </w:r>
          </w:p>
        </w:tc>
        <w:tc>
          <w:tcPr>
            <w:tcW w:w="1466" w:type="dxa"/>
            <w:tcBorders>
              <w:top w:val="single" w:sz="8" w:space="0" w:color="69BD28"/>
              <w:bottom w:val="single" w:sz="8" w:space="0" w:color="69BD28"/>
            </w:tcBorders>
          </w:tcPr>
          <w:p>
            <w:pPr>
              <w:pStyle w:val="TableParagraph"/>
              <w:spacing w:before="46"/>
              <w:ind w:left="486" w:right="573"/>
              <w:rPr>
                <w:sz w:val="18"/>
              </w:rPr>
            </w:pPr>
            <w:r>
              <w:rPr>
                <w:w w:val="105"/>
                <w:sz w:val="18"/>
              </w:rPr>
              <w:t>6.46</w:t>
            </w:r>
          </w:p>
        </w:tc>
        <w:tc>
          <w:tcPr>
            <w:tcW w:w="2125" w:type="dxa"/>
            <w:tcBorders>
              <w:top w:val="single" w:sz="8" w:space="0" w:color="69BD28"/>
              <w:bottom w:val="single" w:sz="8" w:space="0" w:color="69BD28"/>
            </w:tcBorders>
          </w:tcPr>
          <w:p>
            <w:pPr>
              <w:pStyle w:val="TableParagraph"/>
              <w:spacing w:before="46"/>
              <w:ind w:left="460" w:right="430"/>
              <w:rPr>
                <w:sz w:val="18"/>
              </w:rPr>
            </w:pPr>
            <w:r>
              <w:rPr>
                <w:w w:val="105"/>
                <w:sz w:val="18"/>
              </w:rPr>
              <w:t>6.46</w:t>
            </w:r>
          </w:p>
        </w:tc>
        <w:tc>
          <w:tcPr>
            <w:tcW w:w="1643" w:type="dxa"/>
            <w:tcBorders>
              <w:top w:val="single" w:sz="8" w:space="0" w:color="69BD28"/>
              <w:bottom w:val="single" w:sz="8" w:space="0" w:color="69BD28"/>
            </w:tcBorders>
          </w:tcPr>
          <w:p>
            <w:pPr>
              <w:pStyle w:val="TableParagraph"/>
              <w:spacing w:before="46"/>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6"/>
              <w:ind w:right="366"/>
              <w:jc w:val="right"/>
              <w:rPr>
                <w:sz w:val="18"/>
              </w:rPr>
            </w:pPr>
            <w:r>
              <w:rPr>
                <w:w w:val="105"/>
                <w:sz w:val="18"/>
              </w:rPr>
              <w:t>Q3, FY 2016</w:t>
            </w:r>
          </w:p>
        </w:tc>
      </w:tr>
      <w:tr>
        <w:trPr>
          <w:trHeight w:val="306" w:hRule="atLeast"/>
        </w:trPr>
        <w:tc>
          <w:tcPr>
            <w:tcW w:w="3494" w:type="dxa"/>
            <w:tcBorders>
              <w:top w:val="single" w:sz="8" w:space="0" w:color="69BD28"/>
              <w:bottom w:val="single" w:sz="8" w:space="0" w:color="69BD28"/>
            </w:tcBorders>
          </w:tcPr>
          <w:p>
            <w:pPr>
              <w:pStyle w:val="TableParagraph"/>
              <w:spacing w:before="46"/>
              <w:ind w:left="1157" w:right="1382"/>
              <w:rPr>
                <w:sz w:val="18"/>
              </w:rPr>
            </w:pPr>
            <w:r>
              <w:rPr>
                <w:sz w:val="18"/>
              </w:rPr>
              <w:t>Painting</w:t>
            </w:r>
          </w:p>
        </w:tc>
        <w:tc>
          <w:tcPr>
            <w:tcW w:w="1466" w:type="dxa"/>
            <w:tcBorders>
              <w:top w:val="single" w:sz="8" w:space="0" w:color="69BD28"/>
              <w:bottom w:val="single" w:sz="8" w:space="0" w:color="69BD28"/>
            </w:tcBorders>
          </w:tcPr>
          <w:p>
            <w:pPr>
              <w:pStyle w:val="TableParagraph"/>
              <w:spacing w:before="46"/>
              <w:ind w:left="486" w:right="573"/>
              <w:rPr>
                <w:sz w:val="18"/>
              </w:rPr>
            </w:pPr>
            <w:r>
              <w:rPr>
                <w:w w:val="105"/>
                <w:sz w:val="18"/>
              </w:rPr>
              <w:t>6.65</w:t>
            </w:r>
          </w:p>
        </w:tc>
        <w:tc>
          <w:tcPr>
            <w:tcW w:w="2125" w:type="dxa"/>
            <w:tcBorders>
              <w:top w:val="single" w:sz="8" w:space="0" w:color="69BD28"/>
              <w:bottom w:val="single" w:sz="8" w:space="0" w:color="69BD28"/>
            </w:tcBorders>
          </w:tcPr>
          <w:p>
            <w:pPr>
              <w:pStyle w:val="TableParagraph"/>
              <w:spacing w:before="46"/>
              <w:ind w:left="460" w:right="430"/>
              <w:rPr>
                <w:sz w:val="18"/>
              </w:rPr>
            </w:pPr>
            <w:r>
              <w:rPr>
                <w:w w:val="105"/>
                <w:sz w:val="18"/>
              </w:rPr>
              <w:t>6.65</w:t>
            </w:r>
          </w:p>
        </w:tc>
        <w:tc>
          <w:tcPr>
            <w:tcW w:w="1643" w:type="dxa"/>
            <w:tcBorders>
              <w:top w:val="single" w:sz="8" w:space="0" w:color="69BD28"/>
              <w:bottom w:val="single" w:sz="8" w:space="0" w:color="69BD28"/>
            </w:tcBorders>
          </w:tcPr>
          <w:p>
            <w:pPr>
              <w:pStyle w:val="TableParagraph"/>
              <w:spacing w:before="46"/>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6"/>
              <w:ind w:right="367"/>
              <w:jc w:val="right"/>
              <w:rPr>
                <w:sz w:val="18"/>
              </w:rPr>
            </w:pPr>
            <w:r>
              <w:rPr>
                <w:w w:val="105"/>
                <w:sz w:val="18"/>
              </w:rPr>
              <w:t>Q4, FY 2016</w:t>
            </w:r>
          </w:p>
        </w:tc>
      </w:tr>
      <w:tr>
        <w:trPr>
          <w:trHeight w:val="306" w:hRule="atLeast"/>
        </w:trPr>
        <w:tc>
          <w:tcPr>
            <w:tcW w:w="3494" w:type="dxa"/>
            <w:tcBorders>
              <w:top w:val="single" w:sz="8" w:space="0" w:color="69BD28"/>
              <w:bottom w:val="single" w:sz="8" w:space="0" w:color="69BD28"/>
            </w:tcBorders>
          </w:tcPr>
          <w:p>
            <w:pPr>
              <w:pStyle w:val="TableParagraph"/>
              <w:spacing w:before="46"/>
              <w:ind w:left="252"/>
              <w:jc w:val="left"/>
              <w:rPr>
                <w:sz w:val="18"/>
              </w:rPr>
            </w:pPr>
            <w:r>
              <w:rPr>
                <w:sz w:val="18"/>
              </w:rPr>
              <w:t>Expansion Joint and Waterproofing</w:t>
            </w:r>
          </w:p>
        </w:tc>
        <w:tc>
          <w:tcPr>
            <w:tcW w:w="1466" w:type="dxa"/>
            <w:tcBorders>
              <w:top w:val="single" w:sz="8" w:space="0" w:color="69BD28"/>
              <w:bottom w:val="single" w:sz="8" w:space="0" w:color="69BD28"/>
            </w:tcBorders>
          </w:tcPr>
          <w:p>
            <w:pPr>
              <w:pStyle w:val="TableParagraph"/>
              <w:spacing w:before="46"/>
              <w:ind w:left="486" w:right="573"/>
              <w:rPr>
                <w:sz w:val="18"/>
              </w:rPr>
            </w:pPr>
            <w:r>
              <w:rPr>
                <w:w w:val="105"/>
                <w:sz w:val="18"/>
              </w:rPr>
              <w:t>2.21</w:t>
            </w:r>
          </w:p>
        </w:tc>
        <w:tc>
          <w:tcPr>
            <w:tcW w:w="2125" w:type="dxa"/>
            <w:tcBorders>
              <w:top w:val="single" w:sz="8" w:space="0" w:color="69BD28"/>
              <w:bottom w:val="single" w:sz="8" w:space="0" w:color="69BD28"/>
            </w:tcBorders>
          </w:tcPr>
          <w:p>
            <w:pPr>
              <w:pStyle w:val="TableParagraph"/>
              <w:spacing w:before="46"/>
              <w:ind w:left="460" w:right="430"/>
              <w:rPr>
                <w:sz w:val="18"/>
              </w:rPr>
            </w:pPr>
            <w:r>
              <w:rPr>
                <w:w w:val="105"/>
                <w:sz w:val="18"/>
              </w:rPr>
              <w:t>2.21</w:t>
            </w:r>
          </w:p>
        </w:tc>
        <w:tc>
          <w:tcPr>
            <w:tcW w:w="1643" w:type="dxa"/>
            <w:tcBorders>
              <w:top w:val="single" w:sz="8" w:space="0" w:color="69BD28"/>
              <w:bottom w:val="single" w:sz="8" w:space="0" w:color="69BD28"/>
            </w:tcBorders>
          </w:tcPr>
          <w:p>
            <w:pPr>
              <w:pStyle w:val="TableParagraph"/>
              <w:spacing w:before="46"/>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6"/>
              <w:ind w:right="366"/>
              <w:jc w:val="right"/>
              <w:rPr>
                <w:sz w:val="18"/>
              </w:rPr>
            </w:pPr>
            <w:r>
              <w:rPr>
                <w:w w:val="105"/>
                <w:sz w:val="18"/>
              </w:rPr>
              <w:t>Q1, FY 2017</w:t>
            </w:r>
          </w:p>
        </w:tc>
      </w:tr>
      <w:tr>
        <w:trPr>
          <w:trHeight w:val="306" w:hRule="atLeast"/>
        </w:trPr>
        <w:tc>
          <w:tcPr>
            <w:tcW w:w="3494" w:type="dxa"/>
            <w:tcBorders>
              <w:top w:val="single" w:sz="8" w:space="0" w:color="69BD28"/>
              <w:bottom w:val="single" w:sz="8" w:space="0" w:color="69BD28"/>
            </w:tcBorders>
          </w:tcPr>
          <w:p>
            <w:pPr>
              <w:pStyle w:val="TableParagraph"/>
              <w:spacing w:before="46"/>
              <w:ind w:left="1159" w:right="1380"/>
              <w:rPr>
                <w:sz w:val="18"/>
              </w:rPr>
            </w:pPr>
            <w:r>
              <w:rPr>
                <w:w w:val="120"/>
                <w:sz w:val="18"/>
              </w:rPr>
              <w:t>OWC</w:t>
            </w:r>
          </w:p>
        </w:tc>
        <w:tc>
          <w:tcPr>
            <w:tcW w:w="1466" w:type="dxa"/>
            <w:tcBorders>
              <w:top w:val="single" w:sz="8" w:space="0" w:color="69BD28"/>
              <w:bottom w:val="single" w:sz="8" w:space="0" w:color="69BD28"/>
            </w:tcBorders>
          </w:tcPr>
          <w:p>
            <w:pPr>
              <w:pStyle w:val="TableParagraph"/>
              <w:spacing w:before="46"/>
              <w:ind w:left="486" w:right="573"/>
              <w:rPr>
                <w:sz w:val="18"/>
              </w:rPr>
            </w:pPr>
            <w:r>
              <w:rPr>
                <w:w w:val="105"/>
                <w:sz w:val="18"/>
              </w:rPr>
              <w:t>1.04</w:t>
            </w:r>
          </w:p>
        </w:tc>
        <w:tc>
          <w:tcPr>
            <w:tcW w:w="2125" w:type="dxa"/>
            <w:tcBorders>
              <w:top w:val="single" w:sz="8" w:space="0" w:color="69BD28"/>
              <w:bottom w:val="single" w:sz="8" w:space="0" w:color="69BD28"/>
            </w:tcBorders>
          </w:tcPr>
          <w:p>
            <w:pPr>
              <w:pStyle w:val="TableParagraph"/>
              <w:spacing w:before="46"/>
              <w:ind w:left="460" w:right="430"/>
              <w:rPr>
                <w:sz w:val="18"/>
              </w:rPr>
            </w:pPr>
            <w:r>
              <w:rPr>
                <w:w w:val="105"/>
                <w:sz w:val="18"/>
              </w:rPr>
              <w:t>1.04</w:t>
            </w:r>
          </w:p>
        </w:tc>
        <w:tc>
          <w:tcPr>
            <w:tcW w:w="1643" w:type="dxa"/>
            <w:tcBorders>
              <w:top w:val="single" w:sz="8" w:space="0" w:color="69BD28"/>
              <w:bottom w:val="single" w:sz="8" w:space="0" w:color="69BD28"/>
            </w:tcBorders>
          </w:tcPr>
          <w:p>
            <w:pPr>
              <w:pStyle w:val="TableParagraph"/>
              <w:spacing w:before="46"/>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6"/>
              <w:ind w:right="366"/>
              <w:jc w:val="right"/>
              <w:rPr>
                <w:sz w:val="18"/>
              </w:rPr>
            </w:pPr>
            <w:r>
              <w:rPr>
                <w:w w:val="105"/>
                <w:sz w:val="18"/>
              </w:rPr>
              <w:t>Q1, FY 2017</w:t>
            </w:r>
          </w:p>
        </w:tc>
      </w:tr>
      <w:tr>
        <w:trPr>
          <w:trHeight w:val="308" w:hRule="atLeast"/>
        </w:trPr>
        <w:tc>
          <w:tcPr>
            <w:tcW w:w="3494" w:type="dxa"/>
            <w:tcBorders>
              <w:top w:val="single" w:sz="8" w:space="0" w:color="69BD28"/>
              <w:bottom w:val="single" w:sz="8" w:space="0" w:color="69BD28"/>
            </w:tcBorders>
          </w:tcPr>
          <w:p>
            <w:pPr>
              <w:pStyle w:val="TableParagraph"/>
              <w:spacing w:before="46"/>
              <w:ind w:left="919"/>
              <w:jc w:val="left"/>
              <w:rPr>
                <w:sz w:val="18"/>
              </w:rPr>
            </w:pPr>
            <w:r>
              <w:rPr>
                <w:sz w:val="18"/>
              </w:rPr>
              <w:t>STP Augmentation</w:t>
            </w:r>
          </w:p>
        </w:tc>
        <w:tc>
          <w:tcPr>
            <w:tcW w:w="1466" w:type="dxa"/>
            <w:tcBorders>
              <w:top w:val="single" w:sz="8" w:space="0" w:color="69BD28"/>
              <w:bottom w:val="single" w:sz="8" w:space="0" w:color="69BD28"/>
            </w:tcBorders>
          </w:tcPr>
          <w:p>
            <w:pPr>
              <w:pStyle w:val="TableParagraph"/>
              <w:spacing w:before="46"/>
              <w:ind w:left="450"/>
              <w:jc w:val="left"/>
              <w:rPr>
                <w:sz w:val="18"/>
              </w:rPr>
            </w:pPr>
            <w:r>
              <w:rPr>
                <w:w w:val="105"/>
                <w:sz w:val="18"/>
              </w:rPr>
              <w:t>14.34</w:t>
            </w:r>
          </w:p>
        </w:tc>
        <w:tc>
          <w:tcPr>
            <w:tcW w:w="2125" w:type="dxa"/>
            <w:tcBorders>
              <w:top w:val="single" w:sz="8" w:space="0" w:color="69BD28"/>
              <w:bottom w:val="single" w:sz="8" w:space="0" w:color="69BD28"/>
            </w:tcBorders>
          </w:tcPr>
          <w:p>
            <w:pPr>
              <w:pStyle w:val="TableParagraph"/>
              <w:spacing w:before="46"/>
              <w:ind w:left="460" w:right="430"/>
              <w:rPr>
                <w:sz w:val="18"/>
              </w:rPr>
            </w:pPr>
            <w:r>
              <w:rPr>
                <w:w w:val="105"/>
                <w:sz w:val="18"/>
              </w:rPr>
              <w:t>14.34</w:t>
            </w:r>
          </w:p>
        </w:tc>
        <w:tc>
          <w:tcPr>
            <w:tcW w:w="1643" w:type="dxa"/>
            <w:tcBorders>
              <w:top w:val="single" w:sz="8" w:space="0" w:color="69BD28"/>
              <w:bottom w:val="single" w:sz="8" w:space="0" w:color="69BD28"/>
            </w:tcBorders>
          </w:tcPr>
          <w:p>
            <w:pPr>
              <w:pStyle w:val="TableParagraph"/>
              <w:spacing w:before="46"/>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6"/>
              <w:ind w:right="366"/>
              <w:jc w:val="right"/>
              <w:rPr>
                <w:sz w:val="18"/>
              </w:rPr>
            </w:pPr>
            <w:r>
              <w:rPr>
                <w:w w:val="105"/>
                <w:sz w:val="18"/>
              </w:rPr>
              <w:t>Q2, FY 2017</w:t>
            </w:r>
          </w:p>
        </w:tc>
      </w:tr>
      <w:tr>
        <w:trPr>
          <w:trHeight w:val="306" w:hRule="atLeast"/>
        </w:trPr>
        <w:tc>
          <w:tcPr>
            <w:tcW w:w="3494" w:type="dxa"/>
            <w:tcBorders>
              <w:top w:val="single" w:sz="8" w:space="0" w:color="69BD28"/>
              <w:bottom w:val="single" w:sz="8" w:space="0" w:color="69BD28"/>
            </w:tcBorders>
          </w:tcPr>
          <w:p>
            <w:pPr>
              <w:pStyle w:val="TableParagraph"/>
              <w:spacing w:before="44"/>
              <w:ind w:left="1159" w:right="1382"/>
              <w:rPr>
                <w:sz w:val="18"/>
              </w:rPr>
            </w:pPr>
            <w:r>
              <w:rPr>
                <w:sz w:val="18"/>
              </w:rPr>
              <w:t>Barricading</w:t>
            </w:r>
          </w:p>
        </w:tc>
        <w:tc>
          <w:tcPr>
            <w:tcW w:w="1466" w:type="dxa"/>
            <w:tcBorders>
              <w:top w:val="single" w:sz="8" w:space="0" w:color="69BD28"/>
              <w:bottom w:val="single" w:sz="8" w:space="0" w:color="69BD28"/>
            </w:tcBorders>
          </w:tcPr>
          <w:p>
            <w:pPr>
              <w:pStyle w:val="TableParagraph"/>
              <w:spacing w:before="44"/>
              <w:ind w:left="486" w:right="573"/>
              <w:rPr>
                <w:sz w:val="18"/>
              </w:rPr>
            </w:pPr>
            <w:r>
              <w:rPr>
                <w:w w:val="105"/>
                <w:sz w:val="18"/>
              </w:rPr>
              <w:t>1.60</w:t>
            </w:r>
          </w:p>
        </w:tc>
        <w:tc>
          <w:tcPr>
            <w:tcW w:w="2125" w:type="dxa"/>
            <w:tcBorders>
              <w:top w:val="single" w:sz="8" w:space="0" w:color="69BD28"/>
              <w:bottom w:val="single" w:sz="8" w:space="0" w:color="69BD28"/>
            </w:tcBorders>
          </w:tcPr>
          <w:p>
            <w:pPr>
              <w:pStyle w:val="TableParagraph"/>
              <w:spacing w:before="44"/>
              <w:ind w:left="460" w:right="430"/>
              <w:rPr>
                <w:sz w:val="18"/>
              </w:rPr>
            </w:pPr>
            <w:r>
              <w:rPr>
                <w:w w:val="105"/>
                <w:sz w:val="18"/>
              </w:rPr>
              <w:t>1.60</w:t>
            </w:r>
          </w:p>
        </w:tc>
        <w:tc>
          <w:tcPr>
            <w:tcW w:w="1643" w:type="dxa"/>
            <w:tcBorders>
              <w:top w:val="single" w:sz="8" w:space="0" w:color="69BD28"/>
              <w:bottom w:val="single" w:sz="8" w:space="0" w:color="69BD28"/>
            </w:tcBorders>
          </w:tcPr>
          <w:p>
            <w:pPr>
              <w:pStyle w:val="TableParagraph"/>
              <w:spacing w:before="44"/>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4"/>
              <w:ind w:right="367"/>
              <w:jc w:val="right"/>
              <w:rPr>
                <w:sz w:val="18"/>
              </w:rPr>
            </w:pPr>
            <w:r>
              <w:rPr>
                <w:w w:val="110"/>
                <w:sz w:val="18"/>
              </w:rPr>
              <w:t>Q3, FY 2017</w:t>
            </w:r>
          </w:p>
        </w:tc>
      </w:tr>
      <w:tr>
        <w:trPr>
          <w:trHeight w:val="306" w:hRule="atLeast"/>
        </w:trPr>
        <w:tc>
          <w:tcPr>
            <w:tcW w:w="3494" w:type="dxa"/>
            <w:tcBorders>
              <w:top w:val="single" w:sz="8" w:space="0" w:color="69BD28"/>
              <w:bottom w:val="single" w:sz="8" w:space="0" w:color="69BD28"/>
            </w:tcBorders>
          </w:tcPr>
          <w:p>
            <w:pPr>
              <w:pStyle w:val="TableParagraph"/>
              <w:spacing w:before="44"/>
              <w:ind w:left="1159" w:right="1380"/>
              <w:rPr>
                <w:sz w:val="18"/>
              </w:rPr>
            </w:pPr>
            <w:r>
              <w:rPr>
                <w:w w:val="105"/>
                <w:sz w:val="18"/>
              </w:rPr>
              <w:t>Signages</w:t>
            </w:r>
          </w:p>
        </w:tc>
        <w:tc>
          <w:tcPr>
            <w:tcW w:w="1466" w:type="dxa"/>
            <w:tcBorders>
              <w:top w:val="single" w:sz="8" w:space="0" w:color="69BD28"/>
              <w:bottom w:val="single" w:sz="8" w:space="0" w:color="69BD28"/>
            </w:tcBorders>
          </w:tcPr>
          <w:p>
            <w:pPr>
              <w:pStyle w:val="TableParagraph"/>
              <w:spacing w:before="44"/>
              <w:ind w:left="486" w:right="573"/>
              <w:rPr>
                <w:sz w:val="18"/>
              </w:rPr>
            </w:pPr>
            <w:r>
              <w:rPr>
                <w:w w:val="105"/>
                <w:sz w:val="18"/>
              </w:rPr>
              <w:t>1.20</w:t>
            </w:r>
          </w:p>
        </w:tc>
        <w:tc>
          <w:tcPr>
            <w:tcW w:w="2125" w:type="dxa"/>
            <w:tcBorders>
              <w:top w:val="single" w:sz="8" w:space="0" w:color="69BD28"/>
              <w:bottom w:val="single" w:sz="8" w:space="0" w:color="69BD28"/>
            </w:tcBorders>
          </w:tcPr>
          <w:p>
            <w:pPr>
              <w:pStyle w:val="TableParagraph"/>
              <w:spacing w:before="44"/>
              <w:ind w:left="460" w:right="430"/>
              <w:rPr>
                <w:sz w:val="18"/>
              </w:rPr>
            </w:pPr>
            <w:r>
              <w:rPr>
                <w:w w:val="105"/>
                <w:sz w:val="18"/>
              </w:rPr>
              <w:t>1.20</w:t>
            </w:r>
          </w:p>
        </w:tc>
        <w:tc>
          <w:tcPr>
            <w:tcW w:w="1643" w:type="dxa"/>
            <w:tcBorders>
              <w:top w:val="single" w:sz="8" w:space="0" w:color="69BD28"/>
              <w:bottom w:val="single" w:sz="8" w:space="0" w:color="69BD28"/>
            </w:tcBorders>
          </w:tcPr>
          <w:p>
            <w:pPr>
              <w:pStyle w:val="TableParagraph"/>
              <w:spacing w:before="44"/>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4"/>
              <w:ind w:right="366"/>
              <w:jc w:val="right"/>
              <w:rPr>
                <w:sz w:val="18"/>
              </w:rPr>
            </w:pPr>
            <w:r>
              <w:rPr>
                <w:w w:val="105"/>
                <w:sz w:val="18"/>
              </w:rPr>
              <w:t>Q3, FY 2017</w:t>
            </w:r>
          </w:p>
        </w:tc>
      </w:tr>
      <w:tr>
        <w:trPr>
          <w:trHeight w:val="306" w:hRule="atLeast"/>
        </w:trPr>
        <w:tc>
          <w:tcPr>
            <w:tcW w:w="3494" w:type="dxa"/>
            <w:tcBorders>
              <w:top w:val="single" w:sz="8" w:space="0" w:color="69BD28"/>
              <w:bottom w:val="single" w:sz="8" w:space="0" w:color="69BD28"/>
            </w:tcBorders>
          </w:tcPr>
          <w:p>
            <w:pPr>
              <w:pStyle w:val="TableParagraph"/>
              <w:spacing w:before="44"/>
              <w:ind w:left="1158" w:right="1382"/>
              <w:rPr>
                <w:sz w:val="18"/>
              </w:rPr>
            </w:pPr>
            <w:r>
              <w:rPr>
                <w:sz w:val="18"/>
              </w:rPr>
              <w:t>Retail</w:t>
            </w:r>
          </w:p>
        </w:tc>
        <w:tc>
          <w:tcPr>
            <w:tcW w:w="1466" w:type="dxa"/>
            <w:tcBorders>
              <w:top w:val="single" w:sz="8" w:space="0" w:color="69BD28"/>
              <w:bottom w:val="single" w:sz="8" w:space="0" w:color="69BD28"/>
            </w:tcBorders>
          </w:tcPr>
          <w:p>
            <w:pPr>
              <w:pStyle w:val="TableParagraph"/>
              <w:spacing w:before="44"/>
              <w:ind w:left="450"/>
              <w:jc w:val="left"/>
              <w:rPr>
                <w:sz w:val="18"/>
              </w:rPr>
            </w:pPr>
            <w:r>
              <w:rPr>
                <w:w w:val="105"/>
                <w:sz w:val="18"/>
              </w:rPr>
              <w:t>85.54</w:t>
            </w:r>
          </w:p>
        </w:tc>
        <w:tc>
          <w:tcPr>
            <w:tcW w:w="2125" w:type="dxa"/>
            <w:tcBorders>
              <w:top w:val="single" w:sz="8" w:space="0" w:color="69BD28"/>
              <w:bottom w:val="single" w:sz="8" w:space="0" w:color="69BD28"/>
            </w:tcBorders>
          </w:tcPr>
          <w:p>
            <w:pPr>
              <w:pStyle w:val="TableParagraph"/>
              <w:spacing w:before="44"/>
              <w:ind w:left="460" w:right="430"/>
              <w:rPr>
                <w:sz w:val="18"/>
              </w:rPr>
            </w:pPr>
            <w:r>
              <w:rPr>
                <w:w w:val="105"/>
                <w:sz w:val="18"/>
              </w:rPr>
              <w:t>85.54</w:t>
            </w:r>
          </w:p>
        </w:tc>
        <w:tc>
          <w:tcPr>
            <w:tcW w:w="1643" w:type="dxa"/>
            <w:tcBorders>
              <w:top w:val="single" w:sz="8" w:space="0" w:color="69BD28"/>
              <w:bottom w:val="single" w:sz="8" w:space="0" w:color="69BD28"/>
            </w:tcBorders>
          </w:tcPr>
          <w:p>
            <w:pPr>
              <w:pStyle w:val="TableParagraph"/>
              <w:spacing w:before="44"/>
              <w:ind w:right="28"/>
              <w:rPr>
                <w:sz w:val="18"/>
              </w:rPr>
            </w:pPr>
            <w:r>
              <w:rPr>
                <w:w w:val="112"/>
                <w:sz w:val="18"/>
              </w:rPr>
              <w:t>0</w:t>
            </w:r>
          </w:p>
        </w:tc>
        <w:tc>
          <w:tcPr>
            <w:tcW w:w="1940" w:type="dxa"/>
            <w:tcBorders>
              <w:top w:val="single" w:sz="8" w:space="0" w:color="69BD28"/>
              <w:bottom w:val="single" w:sz="8" w:space="0" w:color="69BD28"/>
            </w:tcBorders>
          </w:tcPr>
          <w:p>
            <w:pPr>
              <w:pStyle w:val="TableParagraph"/>
              <w:spacing w:before="44"/>
              <w:ind w:right="366"/>
              <w:jc w:val="right"/>
              <w:rPr>
                <w:sz w:val="18"/>
              </w:rPr>
            </w:pPr>
            <w:r>
              <w:rPr>
                <w:w w:val="105"/>
                <w:sz w:val="18"/>
              </w:rPr>
              <w:t>Q4, FY 2017</w:t>
            </w:r>
          </w:p>
        </w:tc>
      </w:tr>
      <w:tr>
        <w:trPr>
          <w:trHeight w:val="306" w:hRule="atLeast"/>
        </w:trPr>
        <w:tc>
          <w:tcPr>
            <w:tcW w:w="3494" w:type="dxa"/>
            <w:tcBorders>
              <w:top w:val="single" w:sz="8" w:space="0" w:color="69BD28"/>
              <w:bottom w:val="single" w:sz="8" w:space="0" w:color="69BD28"/>
            </w:tcBorders>
          </w:tcPr>
          <w:p>
            <w:pPr>
              <w:pStyle w:val="TableParagraph"/>
              <w:spacing w:before="44"/>
              <w:ind w:left="835"/>
              <w:jc w:val="left"/>
              <w:rPr>
                <w:sz w:val="18"/>
              </w:rPr>
            </w:pPr>
            <w:r>
              <w:rPr>
                <w:sz w:val="18"/>
              </w:rPr>
              <w:t>Signage Rebranding</w:t>
            </w:r>
          </w:p>
        </w:tc>
        <w:tc>
          <w:tcPr>
            <w:tcW w:w="1466" w:type="dxa"/>
            <w:tcBorders>
              <w:top w:val="single" w:sz="8" w:space="0" w:color="69BD28"/>
              <w:bottom w:val="single" w:sz="8" w:space="0" w:color="69BD28"/>
            </w:tcBorders>
          </w:tcPr>
          <w:p>
            <w:pPr>
              <w:pStyle w:val="TableParagraph"/>
              <w:spacing w:before="44"/>
              <w:ind w:left="486" w:right="573"/>
              <w:rPr>
                <w:sz w:val="18"/>
              </w:rPr>
            </w:pPr>
            <w:r>
              <w:rPr>
                <w:w w:val="105"/>
                <w:sz w:val="18"/>
              </w:rPr>
              <w:t>9.0</w:t>
            </w:r>
          </w:p>
        </w:tc>
        <w:tc>
          <w:tcPr>
            <w:tcW w:w="2125" w:type="dxa"/>
            <w:tcBorders>
              <w:top w:val="single" w:sz="8" w:space="0" w:color="69BD28"/>
              <w:bottom w:val="single" w:sz="8" w:space="0" w:color="69BD28"/>
            </w:tcBorders>
          </w:tcPr>
          <w:p>
            <w:pPr>
              <w:pStyle w:val="TableParagraph"/>
              <w:spacing w:before="44"/>
              <w:ind w:left="460" w:right="430"/>
              <w:rPr>
                <w:sz w:val="18"/>
              </w:rPr>
            </w:pPr>
            <w:r>
              <w:rPr>
                <w:w w:val="105"/>
                <w:sz w:val="18"/>
              </w:rPr>
              <w:t>4.0</w:t>
            </w:r>
          </w:p>
        </w:tc>
        <w:tc>
          <w:tcPr>
            <w:tcW w:w="1643" w:type="dxa"/>
            <w:tcBorders>
              <w:top w:val="single" w:sz="8" w:space="0" w:color="69BD28"/>
              <w:bottom w:val="single" w:sz="8" w:space="0" w:color="69BD28"/>
            </w:tcBorders>
          </w:tcPr>
          <w:p>
            <w:pPr>
              <w:pStyle w:val="TableParagraph"/>
              <w:spacing w:before="44"/>
              <w:ind w:left="29" w:right="57"/>
              <w:rPr>
                <w:sz w:val="18"/>
              </w:rPr>
            </w:pPr>
            <w:r>
              <w:rPr>
                <w:w w:val="105"/>
                <w:sz w:val="18"/>
              </w:rPr>
              <w:t>5.0</w:t>
            </w:r>
          </w:p>
        </w:tc>
        <w:tc>
          <w:tcPr>
            <w:tcW w:w="1940" w:type="dxa"/>
            <w:tcBorders>
              <w:top w:val="single" w:sz="8" w:space="0" w:color="69BD28"/>
              <w:bottom w:val="single" w:sz="8" w:space="0" w:color="69BD28"/>
            </w:tcBorders>
          </w:tcPr>
          <w:p>
            <w:pPr>
              <w:pStyle w:val="TableParagraph"/>
              <w:spacing w:before="44"/>
              <w:ind w:right="366"/>
              <w:jc w:val="right"/>
              <w:rPr>
                <w:sz w:val="18"/>
              </w:rPr>
            </w:pPr>
            <w:r>
              <w:rPr>
                <w:w w:val="105"/>
                <w:sz w:val="18"/>
              </w:rPr>
              <w:t>Q2, FY 2021</w:t>
            </w:r>
          </w:p>
        </w:tc>
      </w:tr>
      <w:tr>
        <w:trPr>
          <w:trHeight w:val="214" w:hRule="atLeast"/>
        </w:trPr>
        <w:tc>
          <w:tcPr>
            <w:tcW w:w="3494" w:type="dxa"/>
            <w:tcBorders>
              <w:top w:val="single" w:sz="8" w:space="0" w:color="69BD28"/>
            </w:tcBorders>
          </w:tcPr>
          <w:p>
            <w:pPr>
              <w:pStyle w:val="TableParagraph"/>
              <w:spacing w:line="191" w:lineRule="exact" w:before="3"/>
              <w:ind w:left="105"/>
              <w:jc w:val="left"/>
              <w:rPr>
                <w:i/>
                <w:sz w:val="18"/>
              </w:rPr>
            </w:pPr>
            <w:r>
              <w:rPr>
                <w:i/>
                <w:sz w:val="18"/>
              </w:rPr>
              <w:t>Source: Information provided by Client</w:t>
            </w:r>
          </w:p>
        </w:tc>
        <w:tc>
          <w:tcPr>
            <w:tcW w:w="1466" w:type="dxa"/>
            <w:tcBorders>
              <w:top w:val="single" w:sz="8" w:space="0" w:color="69BD28"/>
            </w:tcBorders>
          </w:tcPr>
          <w:p>
            <w:pPr>
              <w:pStyle w:val="TableParagraph"/>
              <w:jc w:val="left"/>
              <w:rPr>
                <w:rFonts w:ascii="Times New Roman"/>
                <w:sz w:val="14"/>
              </w:rPr>
            </w:pPr>
          </w:p>
        </w:tc>
        <w:tc>
          <w:tcPr>
            <w:tcW w:w="2125" w:type="dxa"/>
            <w:tcBorders>
              <w:top w:val="single" w:sz="8" w:space="0" w:color="69BD28"/>
            </w:tcBorders>
          </w:tcPr>
          <w:p>
            <w:pPr>
              <w:pStyle w:val="TableParagraph"/>
              <w:jc w:val="left"/>
              <w:rPr>
                <w:rFonts w:ascii="Times New Roman"/>
                <w:sz w:val="14"/>
              </w:rPr>
            </w:pPr>
          </w:p>
        </w:tc>
        <w:tc>
          <w:tcPr>
            <w:tcW w:w="1643" w:type="dxa"/>
            <w:tcBorders>
              <w:top w:val="single" w:sz="8" w:space="0" w:color="69BD28"/>
            </w:tcBorders>
          </w:tcPr>
          <w:p>
            <w:pPr>
              <w:pStyle w:val="TableParagraph"/>
              <w:jc w:val="left"/>
              <w:rPr>
                <w:rFonts w:ascii="Times New Roman"/>
                <w:sz w:val="14"/>
              </w:rPr>
            </w:pPr>
          </w:p>
        </w:tc>
        <w:tc>
          <w:tcPr>
            <w:tcW w:w="1940" w:type="dxa"/>
            <w:tcBorders>
              <w:top w:val="single" w:sz="8" w:space="0" w:color="69BD28"/>
            </w:tcBorders>
          </w:tcPr>
          <w:p>
            <w:pPr>
              <w:pStyle w:val="TableParagraph"/>
              <w:jc w:val="left"/>
              <w:rPr>
                <w:rFonts w:ascii="Times New Roman"/>
                <w:sz w:val="14"/>
              </w:rPr>
            </w:pPr>
          </w:p>
        </w:tc>
      </w:tr>
    </w:tbl>
    <w:p>
      <w:pPr>
        <w:spacing w:after="0"/>
        <w:jc w:val="left"/>
        <w:rPr>
          <w:rFonts w:ascii="Times New Roman"/>
          <w:sz w:val="14"/>
        </w:rPr>
        <w:sectPr>
          <w:pgSz w:w="11910" w:h="16840"/>
          <w:pgMar w:header="720" w:footer="921" w:top="1660" w:bottom="1120" w:left="500" w:right="480"/>
        </w:sectPr>
      </w:pPr>
    </w:p>
    <w:p>
      <w:pPr>
        <w:pStyle w:val="BodyText"/>
        <w:spacing w:before="7"/>
        <w:rPr>
          <w:sz w:val="9"/>
        </w:rPr>
      </w:pPr>
    </w:p>
    <w:p>
      <w:pPr>
        <w:pStyle w:val="ListParagraph"/>
        <w:numPr>
          <w:ilvl w:val="2"/>
          <w:numId w:val="14"/>
        </w:numPr>
        <w:tabs>
          <w:tab w:pos="941" w:val="left" w:leader="none"/>
        </w:tabs>
        <w:spacing w:line="240" w:lineRule="auto" w:before="106" w:after="0"/>
        <w:ind w:left="940" w:right="0" w:hanging="721"/>
        <w:jc w:val="left"/>
        <w:rPr>
          <w:sz w:val="22"/>
        </w:rPr>
      </w:pPr>
      <w:bookmarkStart w:name="_bookmark221" w:id="431"/>
      <w:bookmarkEnd w:id="431"/>
      <w:r>
        <w:rPr/>
      </w:r>
      <w:bookmarkStart w:name="_bookmark221" w:id="432"/>
      <w:bookmarkEnd w:id="432"/>
      <w:r>
        <w:rPr>
          <w:color w:val="1F664D"/>
          <w:sz w:val="22"/>
        </w:rPr>
        <w:t>Pro</w:t>
      </w:r>
      <w:r>
        <w:rPr>
          <w:color w:val="1F664D"/>
          <w:sz w:val="22"/>
        </w:rPr>
        <w:t>perty Photographs</w:t>
      </w:r>
    </w:p>
    <w:p>
      <w:pPr>
        <w:pStyle w:val="BodyText"/>
        <w:spacing w:before="208"/>
        <w:ind w:left="767"/>
      </w:pPr>
      <w:r>
        <w:rPr/>
        <w:t>Please refer to the property photographs highlighted below:</w:t>
      </w:r>
    </w:p>
    <w:p>
      <w:pPr>
        <w:pStyle w:val="BodyText"/>
        <w:spacing w:before="5"/>
        <w:rPr>
          <w:sz w:val="24"/>
        </w:rPr>
      </w:pPr>
      <w:r>
        <w:rPr/>
        <w:pict>
          <v:group style="position:absolute;margin-left:108.860001pt;margin-top:16.171974pt;width:381.25pt;height:142.15pt;mso-position-horizontal-relative:page;mso-position-vertical-relative:paragraph;z-index:-15187456;mso-wrap-distance-left:0;mso-wrap-distance-right:0" coordorigin="2177,323" coordsize="7625,2843">
            <v:shape style="position:absolute;left:2177;top:333;width:7625;height:250" coordorigin="2177,333" coordsize="7625,250" path="m9802,333l2177,333,2177,558,2177,583,9802,583,9802,558,9802,333xe" filled="true" fillcolor="#006a4d" stroked="false">
              <v:path arrowok="t"/>
              <v:fill type="solid"/>
            </v:shape>
            <v:rect style="position:absolute;left:2179;top:323;width:7622;height:10" filled="true" fillcolor="#000000" stroked="false">
              <v:fill type="solid"/>
            </v:rect>
            <v:rect style="position:absolute;left:2239;top:557;width:3712;height:2603" filled="true" fillcolor="#ffffff" stroked="false">
              <v:fill type="solid"/>
            </v:rect>
            <v:rect style="position:absolute;left:2239;top:557;width:3712;height:2603" filled="false" stroked="true" strokeweight=".5pt" strokecolor="#000000">
              <v:stroke dashstyle="solid"/>
            </v:rect>
            <v:shape style="position:absolute;left:2388;top:635;width:3369;height:2448" type="#_x0000_t75" stroked="false">
              <v:imagedata r:id="rId224" o:title=""/>
            </v:shape>
            <v:rect style="position:absolute;left:6062;top:645;width:3616;height:2452" filled="false" stroked="true" strokeweight=".5pt" strokecolor="#000000">
              <v:stroke dashstyle="solid"/>
            </v:rect>
            <v:shape style="position:absolute;left:6241;top:752;width:3265;height:2269" type="#_x0000_t75" stroked="false">
              <v:imagedata r:id="rId225" o:title=""/>
            </v:shape>
            <v:shape style="position:absolute;left:6233;top:744;width:3280;height:2278" coordorigin="6234,745" coordsize="3280,2278" path="m9514,3022l9514,745,6234,745,6234,3022e" filled="false" stroked="true" strokeweight=".75pt" strokecolor="#000000">
              <v:path arrowok="t"/>
              <v:stroke dashstyle="solid"/>
            </v:shape>
            <v:shape style="position:absolute;left:2177;top:333;width:7625;height:250" type="#_x0000_t202" filled="false" stroked="false">
              <v:textbox inset="0,0,0,0">
                <w:txbxContent>
                  <w:p>
                    <w:pPr>
                      <w:spacing w:before="9"/>
                      <w:ind w:left="3130" w:right="3130" w:firstLine="0"/>
                      <w:jc w:val="center"/>
                      <w:rPr>
                        <w:sz w:val="20"/>
                      </w:rPr>
                    </w:pPr>
                    <w:r>
                      <w:rPr>
                        <w:color w:val="FFFFFF"/>
                        <w:sz w:val="20"/>
                      </w:rPr>
                      <w:t>Embassy Qubix</w:t>
                    </w:r>
                  </w:p>
                </w:txbxContent>
              </v:textbox>
              <w10:wrap type="none"/>
            </v:shape>
            <w10:wrap type="topAndBottom"/>
          </v:group>
        </w:pict>
      </w:r>
    </w:p>
    <w:p>
      <w:pPr>
        <w:tabs>
          <w:tab w:pos="3770" w:val="left" w:leader="none"/>
        </w:tabs>
        <w:spacing w:before="10"/>
        <w:ind w:left="352" w:right="0" w:firstLine="0"/>
        <w:jc w:val="center"/>
        <w:rPr>
          <w:sz w:val="18"/>
        </w:rPr>
      </w:pPr>
      <w:r>
        <w:rPr>
          <w:sz w:val="18"/>
        </w:rPr>
        <w:t>External</w:t>
      </w:r>
      <w:r>
        <w:rPr>
          <w:spacing w:val="-36"/>
          <w:sz w:val="18"/>
        </w:rPr>
        <w:t> </w:t>
      </w:r>
      <w:r>
        <w:rPr>
          <w:sz w:val="18"/>
        </w:rPr>
        <w:t>view</w:t>
      </w:r>
      <w:r>
        <w:rPr>
          <w:spacing w:val="-35"/>
          <w:sz w:val="18"/>
        </w:rPr>
        <w:t> </w:t>
      </w:r>
      <w:r>
        <w:rPr>
          <w:sz w:val="18"/>
        </w:rPr>
        <w:t>of</w:t>
      </w:r>
      <w:r>
        <w:rPr>
          <w:spacing w:val="-34"/>
          <w:sz w:val="18"/>
        </w:rPr>
        <w:t> </w:t>
      </w:r>
      <w:r>
        <w:rPr>
          <w:sz w:val="18"/>
        </w:rPr>
        <w:t>the</w:t>
      </w:r>
      <w:r>
        <w:rPr>
          <w:spacing w:val="-35"/>
          <w:sz w:val="18"/>
        </w:rPr>
        <w:t> </w:t>
      </w:r>
      <w:r>
        <w:rPr>
          <w:sz w:val="18"/>
        </w:rPr>
        <w:t>subject</w:t>
      </w:r>
      <w:r>
        <w:rPr>
          <w:spacing w:val="-36"/>
          <w:sz w:val="18"/>
        </w:rPr>
        <w:t> </w:t>
      </w:r>
      <w:r>
        <w:rPr>
          <w:sz w:val="18"/>
        </w:rPr>
        <w:t>property</w:t>
        <w:tab/>
        <w:t>View</w:t>
      </w:r>
      <w:r>
        <w:rPr>
          <w:spacing w:val="-7"/>
          <w:sz w:val="18"/>
        </w:rPr>
        <w:t> </w:t>
      </w:r>
      <w:r>
        <w:rPr>
          <w:sz w:val="18"/>
        </w:rPr>
        <w:t>of</w:t>
      </w:r>
      <w:r>
        <w:rPr>
          <w:spacing w:val="-6"/>
          <w:sz w:val="18"/>
        </w:rPr>
        <w:t> </w:t>
      </w:r>
      <w:r>
        <w:rPr>
          <w:sz w:val="18"/>
        </w:rPr>
        <w:t>Food</w:t>
      </w:r>
      <w:r>
        <w:rPr>
          <w:spacing w:val="-7"/>
          <w:sz w:val="18"/>
        </w:rPr>
        <w:t> </w:t>
      </w:r>
      <w:r>
        <w:rPr>
          <w:sz w:val="18"/>
        </w:rPr>
        <w:t>court</w:t>
      </w:r>
      <w:r>
        <w:rPr>
          <w:spacing w:val="-8"/>
          <w:sz w:val="18"/>
        </w:rPr>
        <w:t> </w:t>
      </w:r>
      <w:r>
        <w:rPr>
          <w:sz w:val="18"/>
        </w:rPr>
        <w:t>(a</w:t>
      </w:r>
      <w:r>
        <w:rPr>
          <w:spacing w:val="-5"/>
          <w:sz w:val="18"/>
        </w:rPr>
        <w:t> </w:t>
      </w:r>
      <w:r>
        <w:rPr>
          <w:sz w:val="18"/>
        </w:rPr>
        <w:t>part</w:t>
      </w:r>
      <w:r>
        <w:rPr>
          <w:spacing w:val="-8"/>
          <w:sz w:val="18"/>
        </w:rPr>
        <w:t> </w:t>
      </w:r>
      <w:r>
        <w:rPr>
          <w:sz w:val="18"/>
        </w:rPr>
        <w:t>of</w:t>
      </w:r>
      <w:r>
        <w:rPr>
          <w:spacing w:val="-6"/>
          <w:sz w:val="18"/>
        </w:rPr>
        <w:t> </w:t>
      </w:r>
      <w:r>
        <w:rPr>
          <w:sz w:val="18"/>
        </w:rPr>
        <w:t>subject</w:t>
      </w:r>
      <w:r>
        <w:rPr>
          <w:spacing w:val="-8"/>
          <w:sz w:val="18"/>
        </w:rPr>
        <w:t> </w:t>
      </w:r>
      <w:r>
        <w:rPr>
          <w:sz w:val="18"/>
        </w:rPr>
        <w:t>property)</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17"/>
        </w:rPr>
      </w:pPr>
    </w:p>
    <w:p>
      <w:pPr>
        <w:tabs>
          <w:tab w:pos="4098" w:val="left" w:leader="none"/>
        </w:tabs>
        <w:spacing w:before="1" w:after="3"/>
        <w:ind w:left="219" w:right="0" w:firstLine="0"/>
        <w:jc w:val="center"/>
        <w:rPr>
          <w:sz w:val="18"/>
        </w:rPr>
      </w:pPr>
      <w:r>
        <w:rPr/>
        <w:pict>
          <v:shape style="position:absolute;margin-left:162.529999pt;margin-top:-163.27533pt;width:78.850pt;height:10.8pt;mso-position-horizontal-relative:page;mso-position-vertical-relative:paragraph;z-index:-34357248" type="#_x0000_t202" filled="false" stroked="false">
            <v:textbox inset="0,0,0,0">
              <w:txbxContent>
                <w:p>
                  <w:pPr>
                    <w:spacing w:before="4"/>
                    <w:ind w:left="0" w:right="0" w:firstLine="0"/>
                    <w:jc w:val="left"/>
                    <w:rPr>
                      <w:sz w:val="18"/>
                    </w:rPr>
                  </w:pPr>
                  <w:r>
                    <w:rPr>
                      <w:sz w:val="18"/>
                    </w:rPr>
                    <w:t>Internal</w:t>
                  </w:r>
                  <w:r>
                    <w:rPr>
                      <w:spacing w:val="-26"/>
                      <w:sz w:val="18"/>
                    </w:rPr>
                    <w:t> </w:t>
                  </w:r>
                  <w:r>
                    <w:rPr>
                      <w:sz w:val="18"/>
                    </w:rPr>
                    <w:t>access</w:t>
                  </w:r>
                  <w:r>
                    <w:rPr>
                      <w:spacing w:val="-24"/>
                      <w:sz w:val="18"/>
                    </w:rPr>
                    <w:t> </w:t>
                  </w:r>
                  <w:r>
                    <w:rPr>
                      <w:sz w:val="18"/>
                    </w:rPr>
                    <w:t>road</w:t>
                  </w:r>
                </w:p>
              </w:txbxContent>
            </v:textbox>
            <w10:wrap type="none"/>
          </v:shape>
        </w:pict>
      </w:r>
      <w:r>
        <w:rPr/>
        <w:pict>
          <v:shape style="position:absolute;margin-left:340.75pt;margin-top:-159.915329pt;width:108.05pt;height:10.8pt;mso-position-horizontal-relative:page;mso-position-vertical-relative:paragraph;z-index:-34356736" type="#_x0000_t202" filled="false" stroked="false">
            <v:textbox inset="0,0,0,0">
              <w:txbxContent>
                <w:p>
                  <w:pPr>
                    <w:spacing w:before="4"/>
                    <w:ind w:left="0" w:right="0" w:firstLine="0"/>
                    <w:jc w:val="left"/>
                    <w:rPr>
                      <w:sz w:val="18"/>
                    </w:rPr>
                  </w:pPr>
                  <w:r>
                    <w:rPr>
                      <w:w w:val="95"/>
                      <w:sz w:val="18"/>
                    </w:rPr>
                    <w:t>View</w:t>
                  </w:r>
                  <w:r>
                    <w:rPr>
                      <w:spacing w:val="-11"/>
                      <w:w w:val="95"/>
                      <w:sz w:val="18"/>
                    </w:rPr>
                    <w:t> </w:t>
                  </w:r>
                  <w:r>
                    <w:rPr>
                      <w:w w:val="95"/>
                      <w:sz w:val="18"/>
                    </w:rPr>
                    <w:t>of</w:t>
                  </w:r>
                  <w:r>
                    <w:rPr>
                      <w:spacing w:val="-11"/>
                      <w:w w:val="95"/>
                      <w:sz w:val="18"/>
                    </w:rPr>
                    <w:t> </w:t>
                  </w:r>
                  <w:r>
                    <w:rPr>
                      <w:w w:val="95"/>
                      <w:sz w:val="18"/>
                    </w:rPr>
                    <w:t>the</w:t>
                  </w:r>
                  <w:r>
                    <w:rPr>
                      <w:spacing w:val="-10"/>
                      <w:w w:val="95"/>
                      <w:sz w:val="18"/>
                    </w:rPr>
                    <w:t> </w:t>
                  </w:r>
                  <w:r>
                    <w:rPr>
                      <w:w w:val="95"/>
                      <w:sz w:val="18"/>
                    </w:rPr>
                    <w:t>subject</w:t>
                  </w:r>
                  <w:r>
                    <w:rPr>
                      <w:spacing w:val="-11"/>
                      <w:w w:val="95"/>
                      <w:sz w:val="18"/>
                    </w:rPr>
                    <w:t> </w:t>
                  </w:r>
                  <w:r>
                    <w:rPr>
                      <w:spacing w:val="-3"/>
                      <w:w w:val="95"/>
                      <w:sz w:val="18"/>
                    </w:rPr>
                    <w:t>property</w:t>
                  </w:r>
                </w:p>
              </w:txbxContent>
            </v:textbox>
            <w10:wrap type="none"/>
          </v:shape>
        </w:pict>
      </w:r>
      <w:r>
        <w:rPr/>
        <w:pict>
          <v:group style="position:absolute;margin-left:113.25pt;margin-top:-280.169312pt;width:186.1pt;height:130.65pt;mso-position-horizontal-relative:page;mso-position-vertical-relative:paragraph;z-index:16271872" coordorigin="2265,-5603" coordsize="3722,2613">
            <v:rect style="position:absolute;left:2270;top:-5599;width:3712;height:2603" filled="true" fillcolor="#ffffff" stroked="false">
              <v:fill type="solid"/>
            </v:rect>
            <v:rect style="position:absolute;left:2270;top:-5599;width:3712;height:2603" filled="false" stroked="true" strokeweight=".5pt" strokecolor="#000000">
              <v:stroke dashstyle="solid"/>
            </v:rect>
            <v:shape style="position:absolute;left:2449;top:-5492;width:3266;height:2420" type="#_x0000_t75" stroked="false">
              <v:imagedata r:id="rId226" o:title=""/>
            </v:shape>
            <v:shape style="position:absolute;left:2441;top:-5500;width:3281;height:2429" coordorigin="2441,-5499" coordsize="3281,2429" path="m5722,-3071l5722,-5499,2441,-5499,2441,-3071e" filled="false" stroked="true" strokeweight=".75pt" strokecolor="#000000">
              <v:path arrowok="t"/>
              <v:stroke dashstyle="solid"/>
            </v:shape>
            <w10:wrap type="none"/>
          </v:group>
        </w:pict>
      </w:r>
      <w:r>
        <w:rPr/>
        <w:pict>
          <v:rect style="position:absolute;margin-left:304.899994pt;margin-top:-279.119324pt;width:185.6pt;height:130.15pt;mso-position-horizontal-relative:page;mso-position-vertical-relative:paragraph;z-index:16272384" filled="true" fillcolor="#ffffff" stroked="false">
            <v:fill type="solid"/>
            <w10:wrap type="none"/>
          </v:rect>
        </w:pict>
      </w:r>
      <w:r>
        <w:rPr/>
        <w:pict>
          <v:group style="position:absolute;margin-left:304.649994pt;margin-top:-279.369324pt;width:187.95pt;height:264.55pt;mso-position-horizontal-relative:page;mso-position-vertical-relative:paragraph;z-index:16272896" coordorigin="6093,-5587" coordsize="3759,5291">
            <v:rect style="position:absolute;left:6098;top:-5583;width:3712;height:2603" filled="false" stroked="true" strokeweight=".5pt" strokecolor="#000000">
              <v:stroke dashstyle="solid"/>
            </v:rect>
            <v:shape style="position:absolute;left:6277;top:-5476;width:3266;height:2419" type="#_x0000_t75" stroked="false">
              <v:imagedata r:id="rId227" o:title=""/>
            </v:shape>
            <v:shape style="position:absolute;left:6269;top:-5484;width:3281;height:2427" coordorigin="6270,-5483" coordsize="3281,2427" path="m9551,-3056l9551,-5483,6270,-5483,6270,-3056e" filled="false" stroked="true" strokeweight=".75pt" strokecolor="#000000">
              <v:path arrowok="t"/>
              <v:stroke dashstyle="solid"/>
            </v:shape>
            <v:rect style="position:absolute;left:6135;top:-2905;width:3712;height:2603" filled="false" stroked="true" strokeweight=".5pt" strokecolor="#000000">
              <v:stroke dashstyle="solid"/>
            </v:rect>
            <v:shape style="position:absolute;left:6314;top:-2798;width:3265;height:2419" type="#_x0000_t75" stroked="false">
              <v:imagedata r:id="rId228" o:title=""/>
            </v:shape>
            <v:shape style="position:absolute;left:6306;top:-2806;width:3280;height:2428" coordorigin="6306,-2805" coordsize="3280,2428" path="m9586,-378l9586,-2805,6306,-2805,6306,-378e" filled="false" stroked="true" strokeweight=".75pt" strokecolor="#000000">
              <v:path arrowok="t"/>
              <v:stroke dashstyle="solid"/>
            </v:shape>
            <w10:wrap type="none"/>
          </v:group>
        </w:pict>
      </w:r>
      <w:r>
        <w:rPr/>
        <w:pict>
          <v:group style="position:absolute;margin-left:109.550003pt;margin-top:-143.269318pt;width:186.1pt;height:130.65pt;mso-position-horizontal-relative:page;mso-position-vertical-relative:paragraph;z-index:16273408" coordorigin="2191,-2865" coordsize="3722,2613">
            <v:rect style="position:absolute;left:2196;top:-2861;width:3712;height:2603" filled="false" stroked="true" strokeweight=".5pt" strokecolor="#000000">
              <v:stroke dashstyle="solid"/>
            </v:rect>
            <v:shape style="position:absolute;left:2375;top:-2754;width:3265;height:2418" type="#_x0000_t75" stroked="false">
              <v:imagedata r:id="rId229" o:title=""/>
            </v:shape>
            <v:shape style="position:absolute;left:2367;top:-2762;width:3280;height:2427" coordorigin="2367,-2761" coordsize="3280,2427" path="m5647,-335l5647,-2761,2367,-2761,2367,-335e" filled="false" stroked="true" strokeweight=".75pt" strokecolor="#000000">
              <v:path arrowok="t"/>
              <v:stroke dashstyle="solid"/>
            </v:shape>
            <w10:wrap type="none"/>
          </v:group>
        </w:pict>
      </w:r>
      <w:r>
        <w:rPr>
          <w:sz w:val="18"/>
        </w:rPr>
        <w:t>View</w:t>
      </w:r>
      <w:r>
        <w:rPr>
          <w:spacing w:val="-31"/>
          <w:sz w:val="18"/>
        </w:rPr>
        <w:t> </w:t>
      </w:r>
      <w:r>
        <w:rPr>
          <w:sz w:val="18"/>
        </w:rPr>
        <w:t>of</w:t>
      </w:r>
      <w:r>
        <w:rPr>
          <w:spacing w:val="-31"/>
          <w:sz w:val="18"/>
        </w:rPr>
        <w:t> </w:t>
      </w:r>
      <w:r>
        <w:rPr>
          <w:sz w:val="18"/>
        </w:rPr>
        <w:t>subject</w:t>
      </w:r>
      <w:r>
        <w:rPr>
          <w:spacing w:val="-31"/>
          <w:sz w:val="18"/>
        </w:rPr>
        <w:t> </w:t>
      </w:r>
      <w:r>
        <w:rPr>
          <w:sz w:val="18"/>
        </w:rPr>
        <w:t>property</w:t>
        <w:tab/>
        <w:t>View of the primary access</w:t>
      </w:r>
      <w:r>
        <w:rPr>
          <w:spacing w:val="-17"/>
          <w:sz w:val="18"/>
        </w:rPr>
        <w:t> </w:t>
      </w:r>
      <w:r>
        <w:rPr>
          <w:sz w:val="18"/>
        </w:rPr>
        <w:t>road</w:t>
      </w:r>
    </w:p>
    <w:p>
      <w:pPr>
        <w:pStyle w:val="BodyText"/>
        <w:spacing w:line="20" w:lineRule="exact"/>
        <w:ind w:left="1665"/>
        <w:rPr>
          <w:sz w:val="2"/>
        </w:rPr>
      </w:pPr>
      <w:r>
        <w:rPr>
          <w:sz w:val="2"/>
        </w:rPr>
        <w:pict>
          <v:group style="width:381.85pt;height:.5pt;mso-position-horizontal-relative:char;mso-position-vertical-relative:line" coordorigin="0,0" coordsize="7637,10">
            <v:rect style="position:absolute;left:0;top:0;width:7637;height:10" filled="true" fillcolor="#000000" stroked="false">
              <v:fill type="solid"/>
            </v:rect>
          </v:group>
        </w:pict>
      </w:r>
      <w:r>
        <w:rPr>
          <w:sz w:val="2"/>
        </w:rPr>
      </w:r>
    </w:p>
    <w:p>
      <w:pPr>
        <w:spacing w:after="0" w:line="20" w:lineRule="exact"/>
        <w:rPr>
          <w:sz w:val="2"/>
        </w:rPr>
        <w:sectPr>
          <w:pgSz w:w="11910" w:h="16840"/>
          <w:pgMar w:header="720" w:footer="921" w:top="1660" w:bottom="1120" w:left="500" w:right="480"/>
        </w:sectPr>
      </w:pPr>
    </w:p>
    <w:p>
      <w:pPr>
        <w:pStyle w:val="BodyText"/>
        <w:spacing w:before="7"/>
        <w:rPr>
          <w:sz w:val="9"/>
        </w:rPr>
      </w:pPr>
    </w:p>
    <w:p>
      <w:pPr>
        <w:pStyle w:val="ListParagraph"/>
        <w:numPr>
          <w:ilvl w:val="1"/>
          <w:numId w:val="14"/>
        </w:numPr>
        <w:tabs>
          <w:tab w:pos="797" w:val="left" w:leader="none"/>
        </w:tabs>
        <w:spacing w:line="240" w:lineRule="auto" w:before="106" w:after="0"/>
        <w:ind w:left="796" w:right="0" w:hanging="577"/>
        <w:jc w:val="left"/>
        <w:rPr>
          <w:color w:val="1F6647"/>
          <w:sz w:val="22"/>
        </w:rPr>
      </w:pPr>
      <w:bookmarkStart w:name="_bookmark222" w:id="433"/>
      <w:bookmarkEnd w:id="433"/>
      <w:r>
        <w:rPr/>
      </w:r>
      <w:bookmarkStart w:name="_bookmark222" w:id="434"/>
      <w:bookmarkEnd w:id="434"/>
      <w:r>
        <w:rPr>
          <w:color w:val="1F6647"/>
          <w:sz w:val="22"/>
        </w:rPr>
        <w:t>Tena</w:t>
      </w:r>
      <w:r>
        <w:rPr>
          <w:color w:val="1F6647"/>
          <w:sz w:val="22"/>
        </w:rPr>
        <w:t>ncy Analysis</w:t>
      </w:r>
    </w:p>
    <w:p>
      <w:pPr>
        <w:pStyle w:val="BodyText"/>
        <w:spacing w:before="3"/>
        <w:rPr>
          <w:sz w:val="28"/>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223" w:id="435"/>
      <w:bookmarkEnd w:id="435"/>
      <w:r>
        <w:rPr/>
      </w:r>
      <w:bookmarkStart w:name="_bookmark223" w:id="436"/>
      <w:bookmarkEnd w:id="436"/>
      <w:r>
        <w:rPr>
          <w:color w:val="1F664D"/>
          <w:sz w:val="22"/>
        </w:rPr>
        <w:t>Histori</w:t>
      </w:r>
      <w:r>
        <w:rPr>
          <w:color w:val="1F664D"/>
          <w:sz w:val="22"/>
        </w:rPr>
        <w:t>cal Committed Occupancy</w:t>
      </w:r>
      <w:r>
        <w:rPr>
          <w:color w:val="1F664D"/>
          <w:spacing w:val="1"/>
          <w:sz w:val="22"/>
        </w:rPr>
        <w:t> </w:t>
      </w:r>
      <w:r>
        <w:rPr>
          <w:color w:val="1F664D"/>
          <w:sz w:val="22"/>
        </w:rPr>
        <w:t>Rates</w:t>
      </w:r>
    </w:p>
    <w:p>
      <w:pPr>
        <w:pStyle w:val="BodyText"/>
        <w:spacing w:before="208"/>
        <w:ind w:left="760"/>
      </w:pPr>
      <w:r>
        <w:rPr/>
        <w:t>The table below highlights the historical occupancy rates at the subject development:</w:t>
      </w:r>
    </w:p>
    <w:p>
      <w:pPr>
        <w:pStyle w:val="BodyText"/>
        <w:spacing w:before="2"/>
        <w:rPr>
          <w:sz w:val="28"/>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05"/>
        <w:gridCol w:w="2619"/>
        <w:gridCol w:w="2681"/>
        <w:gridCol w:w="2682"/>
      </w:tblGrid>
      <w:tr>
        <w:trPr>
          <w:trHeight w:val="260" w:hRule="atLeast"/>
        </w:trPr>
        <w:tc>
          <w:tcPr>
            <w:tcW w:w="2505" w:type="dxa"/>
            <w:tcBorders>
              <w:top w:val="single" w:sz="6" w:space="0" w:color="69BD28"/>
              <w:bottom w:val="single" w:sz="6" w:space="0" w:color="69BD28"/>
            </w:tcBorders>
            <w:shd w:val="clear" w:color="auto" w:fill="006A4D"/>
          </w:tcPr>
          <w:p>
            <w:pPr>
              <w:pStyle w:val="TableParagraph"/>
              <w:spacing w:before="27"/>
              <w:ind w:left="120" w:right="167"/>
              <w:rPr>
                <w:b/>
                <w:sz w:val="18"/>
              </w:rPr>
            </w:pPr>
            <w:r>
              <w:rPr>
                <w:b/>
                <w:color w:val="FFFFFF"/>
                <w:w w:val="110"/>
                <w:sz w:val="18"/>
              </w:rPr>
              <w:t>March 31, 2017</w:t>
            </w:r>
          </w:p>
        </w:tc>
        <w:tc>
          <w:tcPr>
            <w:tcW w:w="2619" w:type="dxa"/>
            <w:tcBorders>
              <w:top w:val="single" w:sz="6" w:space="0" w:color="69BD28"/>
              <w:bottom w:val="single" w:sz="6" w:space="0" w:color="69BD28"/>
            </w:tcBorders>
            <w:shd w:val="clear" w:color="auto" w:fill="006A4D"/>
          </w:tcPr>
          <w:p>
            <w:pPr>
              <w:pStyle w:val="TableParagraph"/>
              <w:spacing w:before="27"/>
              <w:ind w:left="504" w:right="566"/>
              <w:rPr>
                <w:b/>
                <w:sz w:val="18"/>
              </w:rPr>
            </w:pPr>
            <w:r>
              <w:rPr>
                <w:b/>
                <w:color w:val="FFFFFF"/>
                <w:w w:val="110"/>
                <w:sz w:val="18"/>
              </w:rPr>
              <w:t>March 31, 2018</w:t>
            </w:r>
          </w:p>
        </w:tc>
        <w:tc>
          <w:tcPr>
            <w:tcW w:w="2681" w:type="dxa"/>
            <w:tcBorders>
              <w:top w:val="single" w:sz="6" w:space="0" w:color="69BD28"/>
              <w:bottom w:val="single" w:sz="6" w:space="0" w:color="69BD28"/>
            </w:tcBorders>
            <w:shd w:val="clear" w:color="auto" w:fill="006A4D"/>
          </w:tcPr>
          <w:p>
            <w:pPr>
              <w:pStyle w:val="TableParagraph"/>
              <w:spacing w:before="27"/>
              <w:ind w:left="446" w:right="446"/>
              <w:rPr>
                <w:b/>
                <w:sz w:val="18"/>
              </w:rPr>
            </w:pPr>
            <w:r>
              <w:rPr>
                <w:b/>
                <w:color w:val="FFFFFF"/>
                <w:w w:val="110"/>
                <w:sz w:val="18"/>
              </w:rPr>
              <w:t>March 31, 2019</w:t>
            </w:r>
          </w:p>
        </w:tc>
        <w:tc>
          <w:tcPr>
            <w:tcW w:w="2682" w:type="dxa"/>
            <w:tcBorders>
              <w:top w:val="single" w:sz="6" w:space="0" w:color="69BD28"/>
              <w:bottom w:val="single" w:sz="6" w:space="0" w:color="69BD28"/>
            </w:tcBorders>
            <w:shd w:val="clear" w:color="auto" w:fill="006A4D"/>
          </w:tcPr>
          <w:p>
            <w:pPr>
              <w:pStyle w:val="TableParagraph"/>
              <w:spacing w:before="27"/>
              <w:ind w:left="597" w:right="599"/>
              <w:rPr>
                <w:b/>
                <w:sz w:val="18"/>
              </w:rPr>
            </w:pPr>
            <w:r>
              <w:rPr>
                <w:b/>
                <w:color w:val="FFFFFF"/>
                <w:w w:val="110"/>
                <w:sz w:val="18"/>
              </w:rPr>
              <w:t>March 31, 2020</w:t>
            </w:r>
          </w:p>
        </w:tc>
      </w:tr>
      <w:tr>
        <w:trPr>
          <w:trHeight w:val="261" w:hRule="atLeast"/>
        </w:trPr>
        <w:tc>
          <w:tcPr>
            <w:tcW w:w="2505" w:type="dxa"/>
            <w:tcBorders>
              <w:top w:val="single" w:sz="6" w:space="0" w:color="69BD28"/>
              <w:bottom w:val="single" w:sz="6" w:space="0" w:color="69BD28"/>
            </w:tcBorders>
          </w:tcPr>
          <w:p>
            <w:pPr>
              <w:pStyle w:val="TableParagraph"/>
              <w:spacing w:line="227" w:lineRule="exact" w:before="13"/>
              <w:ind w:left="114" w:right="167"/>
              <w:rPr>
                <w:sz w:val="20"/>
              </w:rPr>
            </w:pPr>
            <w:r>
              <w:rPr>
                <w:w w:val="110"/>
                <w:sz w:val="20"/>
              </w:rPr>
              <w:t>96.98%</w:t>
            </w:r>
          </w:p>
        </w:tc>
        <w:tc>
          <w:tcPr>
            <w:tcW w:w="2619" w:type="dxa"/>
            <w:tcBorders>
              <w:top w:val="single" w:sz="6" w:space="0" w:color="69BD28"/>
              <w:bottom w:val="single" w:sz="6" w:space="0" w:color="69BD28"/>
            </w:tcBorders>
          </w:tcPr>
          <w:p>
            <w:pPr>
              <w:pStyle w:val="TableParagraph"/>
              <w:spacing w:line="227" w:lineRule="exact" w:before="13"/>
              <w:ind w:left="498" w:right="566"/>
              <w:rPr>
                <w:sz w:val="20"/>
              </w:rPr>
            </w:pPr>
            <w:r>
              <w:rPr>
                <w:w w:val="110"/>
                <w:sz w:val="20"/>
              </w:rPr>
              <w:t>99.98%</w:t>
            </w:r>
          </w:p>
        </w:tc>
        <w:tc>
          <w:tcPr>
            <w:tcW w:w="2681" w:type="dxa"/>
            <w:tcBorders>
              <w:top w:val="single" w:sz="6" w:space="0" w:color="69BD28"/>
              <w:bottom w:val="single" w:sz="6" w:space="0" w:color="69BD28"/>
            </w:tcBorders>
          </w:tcPr>
          <w:p>
            <w:pPr>
              <w:pStyle w:val="TableParagraph"/>
              <w:spacing w:line="227" w:lineRule="exact" w:before="13"/>
              <w:ind w:left="446" w:right="447"/>
              <w:rPr>
                <w:sz w:val="20"/>
              </w:rPr>
            </w:pPr>
            <w:r>
              <w:rPr>
                <w:w w:val="110"/>
                <w:sz w:val="20"/>
              </w:rPr>
              <w:t>100.00%</w:t>
            </w:r>
          </w:p>
        </w:tc>
        <w:tc>
          <w:tcPr>
            <w:tcW w:w="2682" w:type="dxa"/>
            <w:tcBorders>
              <w:top w:val="single" w:sz="6" w:space="0" w:color="69BD28"/>
              <w:bottom w:val="single" w:sz="6" w:space="0" w:color="69BD28"/>
            </w:tcBorders>
          </w:tcPr>
          <w:p>
            <w:pPr>
              <w:pStyle w:val="TableParagraph"/>
              <w:spacing w:line="227" w:lineRule="exact" w:before="13"/>
              <w:ind w:left="597" w:right="598"/>
              <w:rPr>
                <w:sz w:val="20"/>
              </w:rPr>
            </w:pPr>
            <w:r>
              <w:rPr>
                <w:w w:val="110"/>
                <w:sz w:val="20"/>
              </w:rPr>
              <w:t>99.78%</w:t>
            </w:r>
          </w:p>
        </w:tc>
      </w:tr>
    </w:tbl>
    <w:p>
      <w:pPr>
        <w:spacing w:before="0"/>
        <w:ind w:left="220" w:right="0" w:firstLine="0"/>
        <w:jc w:val="left"/>
        <w:rPr>
          <w:i/>
          <w:sz w:val="18"/>
        </w:rPr>
      </w:pPr>
      <w:r>
        <w:rPr>
          <w:i/>
          <w:sz w:val="18"/>
        </w:rPr>
        <w:t>Source: Rent rolls provided by the Client; Indicative of committed occupancy</w:t>
      </w:r>
    </w:p>
    <w:p>
      <w:pPr>
        <w:pStyle w:val="BodyText"/>
        <w:spacing w:before="10"/>
        <w:rPr>
          <w:i/>
          <w:sz w:val="26"/>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224" w:id="437"/>
      <w:bookmarkEnd w:id="437"/>
      <w:r>
        <w:rPr/>
      </w:r>
      <w:bookmarkStart w:name="_bookmark224" w:id="438"/>
      <w:bookmarkEnd w:id="438"/>
      <w:r>
        <w:rPr>
          <w:color w:val="1F664D"/>
          <w:sz w:val="22"/>
        </w:rPr>
        <w:t>Le</w:t>
      </w:r>
      <w:r>
        <w:rPr>
          <w:color w:val="1F664D"/>
          <w:sz w:val="22"/>
        </w:rPr>
        <w:t>ase Expiry</w:t>
      </w:r>
      <w:r>
        <w:rPr>
          <w:color w:val="1F664D"/>
          <w:spacing w:val="-4"/>
          <w:sz w:val="22"/>
        </w:rPr>
        <w:t> </w:t>
      </w:r>
      <w:r>
        <w:rPr>
          <w:color w:val="1F664D"/>
          <w:sz w:val="22"/>
        </w:rPr>
        <w:t>Analysis</w:t>
      </w:r>
    </w:p>
    <w:p>
      <w:pPr>
        <w:pStyle w:val="BodyText"/>
        <w:spacing w:before="209"/>
        <w:ind w:left="760"/>
      </w:pPr>
      <w:r>
        <w:rPr/>
        <w:t>The graph below highlights the area/leases due for expiry in the coming years:</w:t>
      </w:r>
    </w:p>
    <w:p>
      <w:pPr>
        <w:pStyle w:val="BodyText"/>
        <w:spacing w:before="3"/>
        <w:rPr>
          <w:sz w:val="24"/>
        </w:rPr>
      </w:pPr>
      <w:r>
        <w:rPr/>
        <w:pict>
          <v:group style="position:absolute;margin-left:35.279999pt;margin-top:16.040859pt;width:524.3pt;height:14.2pt;mso-position-horizontal-relative:page;mso-position-vertical-relative:paragraph;z-index:-15182848;mso-wrap-distance-left:0;mso-wrap-distance-right:0" coordorigin="706,321" coordsize="10486,284">
            <v:rect style="position:absolute;left:720;top:352;width:10472;height:252" filled="true" fillcolor="#006a4d" stroked="false">
              <v:fill type="solid"/>
            </v:rect>
            <v:rect style="position:absolute;left:720;top:320;width:10472;height:29" filled="true" fillcolor="#1f6b16" stroked="false">
              <v:fill type="solid"/>
            </v:rect>
            <v:rect style="position:absolute;left:720;top:349;width:10472;height:3" filled="true" fillcolor="#006a4d" stroked="false">
              <v:fill type="solid"/>
            </v:rect>
            <v:shape style="position:absolute;left:705;top:349;width:10486;height:255" type="#_x0000_t202" filled="false" stroked="false">
              <v:textbox inset="0,0,0,0">
                <w:txbxContent>
                  <w:p>
                    <w:pPr>
                      <w:spacing w:before="25"/>
                      <w:ind w:left="142" w:right="129" w:firstLine="0"/>
                      <w:jc w:val="center"/>
                      <w:rPr>
                        <w:b/>
                        <w:sz w:val="18"/>
                      </w:rPr>
                    </w:pPr>
                    <w:r>
                      <w:rPr>
                        <w:b/>
                        <w:color w:val="FFFFFF"/>
                        <w:w w:val="105"/>
                        <w:sz w:val="18"/>
                      </w:rPr>
                      <w:t>Lease Expiry</w:t>
                    </w:r>
                  </w:p>
                </w:txbxContent>
              </v:textbox>
              <w10:wrap type="none"/>
            </v:shape>
            <w10:wrap type="topAndBottom"/>
          </v:group>
        </w:pict>
      </w:r>
    </w:p>
    <w:p>
      <w:pPr>
        <w:pStyle w:val="BodyText"/>
        <w:rPr>
          <w:sz w:val="20"/>
        </w:rPr>
      </w:pPr>
    </w:p>
    <w:p>
      <w:pPr>
        <w:pStyle w:val="BodyText"/>
        <w:spacing w:before="9"/>
        <w:rPr>
          <w:sz w:val="19"/>
        </w:rPr>
      </w:pPr>
      <w:r>
        <w:rPr/>
        <w:drawing>
          <wp:anchor distT="0" distB="0" distL="0" distR="0" allowOverlap="1" layoutInCell="1" locked="0" behindDoc="0" simplePos="0" relativeHeight="1067">
            <wp:simplePos x="0" y="0"/>
            <wp:positionH relativeFrom="page">
              <wp:posOffset>901705</wp:posOffset>
            </wp:positionH>
            <wp:positionV relativeFrom="paragraph">
              <wp:posOffset>170757</wp:posOffset>
            </wp:positionV>
            <wp:extent cx="4953476" cy="2011679"/>
            <wp:effectExtent l="0" t="0" r="0" b="0"/>
            <wp:wrapTopAndBottom/>
            <wp:docPr id="225" name="image175.jpeg"/>
            <wp:cNvGraphicFramePr>
              <a:graphicFrameLocks noChangeAspect="1"/>
            </wp:cNvGraphicFramePr>
            <a:graphic>
              <a:graphicData uri="http://schemas.openxmlformats.org/drawingml/2006/picture">
                <pic:pic>
                  <pic:nvPicPr>
                    <pic:cNvPr id="226" name="image175.jpeg"/>
                    <pic:cNvPicPr/>
                  </pic:nvPicPr>
                  <pic:blipFill>
                    <a:blip r:embed="rId230" cstate="print"/>
                    <a:stretch>
                      <a:fillRect/>
                    </a:stretch>
                  </pic:blipFill>
                  <pic:spPr>
                    <a:xfrm>
                      <a:off x="0" y="0"/>
                      <a:ext cx="4953476" cy="2011679"/>
                    </a:xfrm>
                    <a:prstGeom prst="rect">
                      <a:avLst/>
                    </a:prstGeom>
                  </pic:spPr>
                </pic:pic>
              </a:graphicData>
            </a:graphic>
          </wp:anchor>
        </w:drawing>
      </w:r>
    </w:p>
    <w:p>
      <w:pPr>
        <w:pStyle w:val="BodyText"/>
        <w:spacing w:before="5"/>
        <w:rPr>
          <w:sz w:val="13"/>
        </w:rPr>
      </w:pPr>
    </w:p>
    <w:p>
      <w:pPr>
        <w:spacing w:before="105"/>
        <w:ind w:left="760" w:right="0" w:firstLine="0"/>
        <w:jc w:val="both"/>
        <w:rPr>
          <w:i/>
          <w:sz w:val="18"/>
        </w:rPr>
      </w:pPr>
      <w:r>
        <w:rPr>
          <w:i/>
          <w:w w:val="95"/>
          <w:sz w:val="18"/>
        </w:rPr>
        <w:t>Source:</w:t>
      </w:r>
      <w:r>
        <w:rPr>
          <w:i/>
          <w:spacing w:val="-20"/>
          <w:w w:val="95"/>
          <w:sz w:val="18"/>
        </w:rPr>
        <w:t> </w:t>
      </w:r>
      <w:r>
        <w:rPr>
          <w:i/>
          <w:w w:val="95"/>
          <w:sz w:val="18"/>
        </w:rPr>
        <w:t>Rent</w:t>
      </w:r>
      <w:r>
        <w:rPr>
          <w:i/>
          <w:spacing w:val="-19"/>
          <w:w w:val="95"/>
          <w:sz w:val="18"/>
        </w:rPr>
        <w:t> </w:t>
      </w:r>
      <w:r>
        <w:rPr>
          <w:i/>
          <w:w w:val="95"/>
          <w:sz w:val="18"/>
        </w:rPr>
        <w:t>Roll</w:t>
      </w:r>
      <w:r>
        <w:rPr>
          <w:i/>
          <w:spacing w:val="-19"/>
          <w:w w:val="95"/>
          <w:sz w:val="18"/>
        </w:rPr>
        <w:t> </w:t>
      </w:r>
      <w:r>
        <w:rPr>
          <w:i/>
          <w:w w:val="95"/>
          <w:sz w:val="18"/>
        </w:rPr>
        <w:t>(representative</w:t>
      </w:r>
      <w:r>
        <w:rPr>
          <w:i/>
          <w:spacing w:val="-19"/>
          <w:w w:val="95"/>
          <w:sz w:val="18"/>
        </w:rPr>
        <w:t> </w:t>
      </w:r>
      <w:r>
        <w:rPr>
          <w:i/>
          <w:w w:val="95"/>
          <w:sz w:val="18"/>
        </w:rPr>
        <w:t>of</w:t>
      </w:r>
      <w:r>
        <w:rPr>
          <w:i/>
          <w:spacing w:val="-20"/>
          <w:w w:val="95"/>
          <w:sz w:val="18"/>
        </w:rPr>
        <w:t> </w:t>
      </w:r>
      <w:r>
        <w:rPr>
          <w:i/>
          <w:w w:val="95"/>
          <w:sz w:val="18"/>
        </w:rPr>
        <w:t>financial</w:t>
      </w:r>
      <w:r>
        <w:rPr>
          <w:i/>
          <w:spacing w:val="-19"/>
          <w:w w:val="95"/>
          <w:sz w:val="18"/>
        </w:rPr>
        <w:t> </w:t>
      </w:r>
      <w:r>
        <w:rPr>
          <w:i/>
          <w:w w:val="95"/>
          <w:sz w:val="18"/>
        </w:rPr>
        <w:t>years)</w:t>
      </w:r>
    </w:p>
    <w:p>
      <w:pPr>
        <w:pStyle w:val="BodyText"/>
        <w:spacing w:before="10"/>
        <w:rPr>
          <w:i/>
          <w:sz w:val="26"/>
        </w:rPr>
      </w:pPr>
    </w:p>
    <w:p>
      <w:pPr>
        <w:pStyle w:val="BodyText"/>
        <w:spacing w:line="321" w:lineRule="auto" w:before="1"/>
        <w:ind w:left="760" w:right="235"/>
        <w:jc w:val="both"/>
      </w:pPr>
      <w:r>
        <w:rPr/>
        <w:t>Consultants</w:t>
      </w:r>
      <w:r>
        <w:rPr>
          <w:spacing w:val="-17"/>
        </w:rPr>
        <w:t> </w:t>
      </w:r>
      <w:r>
        <w:rPr/>
        <w:t>have</w:t>
      </w:r>
      <w:r>
        <w:rPr>
          <w:spacing w:val="-18"/>
        </w:rPr>
        <w:t> </w:t>
      </w:r>
      <w:r>
        <w:rPr/>
        <w:t>undertaken</w:t>
      </w:r>
      <w:r>
        <w:rPr>
          <w:spacing w:val="-19"/>
        </w:rPr>
        <w:t> </w:t>
      </w:r>
      <w:r>
        <w:rPr/>
        <w:t>an</w:t>
      </w:r>
      <w:r>
        <w:rPr>
          <w:spacing w:val="-17"/>
        </w:rPr>
        <w:t> </w:t>
      </w:r>
      <w:r>
        <w:rPr/>
        <w:t>in-depth</w:t>
      </w:r>
      <w:r>
        <w:rPr>
          <w:spacing w:val="-18"/>
        </w:rPr>
        <w:t> </w:t>
      </w:r>
      <w:r>
        <w:rPr/>
        <w:t>analysis</w:t>
      </w:r>
      <w:r>
        <w:rPr>
          <w:spacing w:val="-18"/>
        </w:rPr>
        <w:t> </w:t>
      </w:r>
      <w:r>
        <w:rPr/>
        <w:t>of</w:t>
      </w:r>
      <w:r>
        <w:rPr>
          <w:spacing w:val="-17"/>
        </w:rPr>
        <w:t> </w:t>
      </w:r>
      <w:r>
        <w:rPr/>
        <w:t>the</w:t>
      </w:r>
      <w:r>
        <w:rPr>
          <w:spacing w:val="-19"/>
        </w:rPr>
        <w:t> </w:t>
      </w:r>
      <w:r>
        <w:rPr/>
        <w:t>rent</w:t>
      </w:r>
      <w:r>
        <w:rPr>
          <w:spacing w:val="-18"/>
        </w:rPr>
        <w:t> </w:t>
      </w:r>
      <w:r>
        <w:rPr/>
        <w:t>roll/</w:t>
      </w:r>
      <w:r>
        <w:rPr>
          <w:spacing w:val="-17"/>
        </w:rPr>
        <w:t> </w:t>
      </w:r>
      <w:r>
        <w:rPr/>
        <w:t>lease</w:t>
      </w:r>
      <w:r>
        <w:rPr>
          <w:spacing w:val="-19"/>
        </w:rPr>
        <w:t> </w:t>
      </w:r>
      <w:r>
        <w:rPr/>
        <w:t>deeds</w:t>
      </w:r>
      <w:r>
        <w:rPr>
          <w:spacing w:val="-17"/>
        </w:rPr>
        <w:t> </w:t>
      </w:r>
      <w:r>
        <w:rPr/>
        <w:t>shared</w:t>
      </w:r>
      <w:r>
        <w:rPr>
          <w:spacing w:val="-18"/>
        </w:rPr>
        <w:t> </w:t>
      </w:r>
      <w:r>
        <w:rPr/>
        <w:t>by</w:t>
      </w:r>
      <w:r>
        <w:rPr>
          <w:spacing w:val="-17"/>
        </w:rPr>
        <w:t> </w:t>
      </w:r>
      <w:r>
        <w:rPr/>
        <w:t>the</w:t>
      </w:r>
      <w:r>
        <w:rPr>
          <w:spacing w:val="-19"/>
        </w:rPr>
        <w:t> </w:t>
      </w:r>
      <w:r>
        <w:rPr/>
        <w:t>Client,</w:t>
      </w:r>
      <w:r>
        <w:rPr>
          <w:spacing w:val="-19"/>
        </w:rPr>
        <w:t> </w:t>
      </w:r>
      <w:r>
        <w:rPr/>
        <w:t>to understand</w:t>
      </w:r>
      <w:r>
        <w:rPr>
          <w:spacing w:val="-28"/>
        </w:rPr>
        <w:t> </w:t>
      </w:r>
      <w:r>
        <w:rPr/>
        <w:t>the</w:t>
      </w:r>
      <w:r>
        <w:rPr>
          <w:spacing w:val="-26"/>
        </w:rPr>
        <w:t> </w:t>
      </w:r>
      <w:r>
        <w:rPr/>
        <w:t>lease</w:t>
      </w:r>
      <w:r>
        <w:rPr>
          <w:spacing w:val="-26"/>
        </w:rPr>
        <w:t> </w:t>
      </w:r>
      <w:r>
        <w:rPr/>
        <w:t>expiry</w:t>
      </w:r>
      <w:r>
        <w:rPr>
          <w:spacing w:val="-26"/>
        </w:rPr>
        <w:t> </w:t>
      </w:r>
      <w:r>
        <w:rPr/>
        <w:t>schedule</w:t>
      </w:r>
      <w:r>
        <w:rPr>
          <w:spacing w:val="-27"/>
        </w:rPr>
        <w:t> </w:t>
      </w:r>
      <w:r>
        <w:rPr/>
        <w:t>of</w:t>
      </w:r>
      <w:r>
        <w:rPr>
          <w:spacing w:val="-27"/>
        </w:rPr>
        <w:t> </w:t>
      </w:r>
      <w:r>
        <w:rPr/>
        <w:t>top</w:t>
      </w:r>
      <w:r>
        <w:rPr>
          <w:spacing w:val="-27"/>
        </w:rPr>
        <w:t> </w:t>
      </w:r>
      <w:r>
        <w:rPr/>
        <w:t>tenants</w:t>
      </w:r>
      <w:r>
        <w:rPr>
          <w:spacing w:val="-26"/>
        </w:rPr>
        <w:t> </w:t>
      </w:r>
      <w:r>
        <w:rPr/>
        <w:t>at</w:t>
      </w:r>
      <w:r>
        <w:rPr>
          <w:spacing w:val="-26"/>
        </w:rPr>
        <w:t> </w:t>
      </w:r>
      <w:r>
        <w:rPr/>
        <w:t>the</w:t>
      </w:r>
      <w:r>
        <w:rPr>
          <w:spacing w:val="-28"/>
        </w:rPr>
        <w:t> </w:t>
      </w:r>
      <w:r>
        <w:rPr/>
        <w:t>subject</w:t>
      </w:r>
      <w:r>
        <w:rPr>
          <w:spacing w:val="-27"/>
        </w:rPr>
        <w:t> </w:t>
      </w:r>
      <w:r>
        <w:rPr/>
        <w:t>property</w:t>
      </w:r>
      <w:r>
        <w:rPr>
          <w:spacing w:val="-27"/>
        </w:rPr>
        <w:t> </w:t>
      </w:r>
      <w:r>
        <w:rPr/>
        <w:t>and</w:t>
      </w:r>
      <w:r>
        <w:rPr>
          <w:spacing w:val="-26"/>
        </w:rPr>
        <w:t> </w:t>
      </w:r>
      <w:r>
        <w:rPr/>
        <w:t>rent</w:t>
      </w:r>
      <w:r>
        <w:rPr>
          <w:spacing w:val="-26"/>
        </w:rPr>
        <w:t> </w:t>
      </w:r>
      <w:r>
        <w:rPr/>
        <w:t>for</w:t>
      </w:r>
      <w:r>
        <w:rPr>
          <w:spacing w:val="-27"/>
        </w:rPr>
        <w:t> </w:t>
      </w:r>
      <w:r>
        <w:rPr/>
        <w:t>those</w:t>
      </w:r>
      <w:r>
        <w:rPr>
          <w:spacing w:val="-26"/>
        </w:rPr>
        <w:t> </w:t>
      </w:r>
      <w:r>
        <w:rPr/>
        <w:t>spaces</w:t>
      </w:r>
      <w:r>
        <w:rPr>
          <w:spacing w:val="-27"/>
        </w:rPr>
        <w:t> </w:t>
      </w:r>
      <w:r>
        <w:rPr/>
        <w:t>as of</w:t>
      </w:r>
      <w:r>
        <w:rPr>
          <w:spacing w:val="-25"/>
        </w:rPr>
        <w:t> </w:t>
      </w:r>
      <w:r>
        <w:rPr/>
        <w:t>date</w:t>
      </w:r>
      <w:r>
        <w:rPr>
          <w:spacing w:val="-26"/>
        </w:rPr>
        <w:t> </w:t>
      </w:r>
      <w:r>
        <w:rPr/>
        <w:t>of</w:t>
      </w:r>
      <w:r>
        <w:rPr>
          <w:spacing w:val="-25"/>
        </w:rPr>
        <w:t> </w:t>
      </w:r>
      <w:r>
        <w:rPr/>
        <w:t>valuation.</w:t>
      </w:r>
      <w:r>
        <w:rPr>
          <w:spacing w:val="-26"/>
        </w:rPr>
        <w:t> </w:t>
      </w:r>
      <w:r>
        <w:rPr/>
        <w:t>The</w:t>
      </w:r>
      <w:r>
        <w:rPr>
          <w:spacing w:val="-24"/>
        </w:rPr>
        <w:t> </w:t>
      </w:r>
      <w:r>
        <w:rPr/>
        <w:t>intent</w:t>
      </w:r>
      <w:r>
        <w:rPr>
          <w:spacing w:val="-26"/>
        </w:rPr>
        <w:t> </w:t>
      </w:r>
      <w:r>
        <w:rPr/>
        <w:t>of</w:t>
      </w:r>
      <w:r>
        <w:rPr>
          <w:spacing w:val="-25"/>
        </w:rPr>
        <w:t> </w:t>
      </w:r>
      <w:r>
        <w:rPr/>
        <w:t>the</w:t>
      </w:r>
      <w:r>
        <w:rPr>
          <w:spacing w:val="-25"/>
        </w:rPr>
        <w:t> </w:t>
      </w:r>
      <w:r>
        <w:rPr/>
        <w:t>same</w:t>
      </w:r>
      <w:r>
        <w:rPr>
          <w:spacing w:val="-26"/>
        </w:rPr>
        <w:t> </w:t>
      </w:r>
      <w:r>
        <w:rPr/>
        <w:t>is</w:t>
      </w:r>
      <w:r>
        <w:rPr>
          <w:spacing w:val="-25"/>
        </w:rPr>
        <w:t> </w:t>
      </w:r>
      <w:r>
        <w:rPr/>
        <w:t>to</w:t>
      </w:r>
      <w:r>
        <w:rPr>
          <w:spacing w:val="-25"/>
        </w:rPr>
        <w:t> </w:t>
      </w:r>
      <w:r>
        <w:rPr/>
        <w:t>analyse</w:t>
      </w:r>
      <w:r>
        <w:rPr>
          <w:spacing w:val="-25"/>
        </w:rPr>
        <w:t> </w:t>
      </w:r>
      <w:r>
        <w:rPr/>
        <w:t>the</w:t>
      </w:r>
      <w:r>
        <w:rPr>
          <w:spacing w:val="-25"/>
        </w:rPr>
        <w:t> </w:t>
      </w:r>
      <w:r>
        <w:rPr/>
        <w:t>risk</w:t>
      </w:r>
      <w:r>
        <w:rPr>
          <w:spacing w:val="-26"/>
        </w:rPr>
        <w:t> </w:t>
      </w:r>
      <w:r>
        <w:rPr/>
        <w:t>of</w:t>
      </w:r>
      <w:r>
        <w:rPr>
          <w:spacing w:val="-25"/>
        </w:rPr>
        <w:t> </w:t>
      </w:r>
      <w:r>
        <w:rPr/>
        <w:t>tenant</w:t>
      </w:r>
      <w:r>
        <w:rPr>
          <w:spacing w:val="-26"/>
        </w:rPr>
        <w:t> </w:t>
      </w:r>
      <w:r>
        <w:rPr/>
        <w:t>churn</w:t>
      </w:r>
      <w:r>
        <w:rPr>
          <w:spacing w:val="-25"/>
        </w:rPr>
        <w:t> </w:t>
      </w:r>
      <w:r>
        <w:rPr/>
        <w:t>as</w:t>
      </w:r>
      <w:r>
        <w:rPr>
          <w:spacing w:val="-24"/>
        </w:rPr>
        <w:t> </w:t>
      </w:r>
      <w:r>
        <w:rPr/>
        <w:t>well</w:t>
      </w:r>
      <w:r>
        <w:rPr>
          <w:spacing w:val="-27"/>
        </w:rPr>
        <w:t> </w:t>
      </w:r>
      <w:r>
        <w:rPr/>
        <w:t>as</w:t>
      </w:r>
      <w:r>
        <w:rPr>
          <w:spacing w:val="-24"/>
        </w:rPr>
        <w:t> </w:t>
      </w:r>
      <w:r>
        <w:rPr/>
        <w:t>assessing</w:t>
      </w:r>
      <w:r>
        <w:rPr>
          <w:spacing w:val="-26"/>
        </w:rPr>
        <w:t> </w:t>
      </w:r>
      <w:r>
        <w:rPr/>
        <w:t>the re-leasing risk for the property along with opining on the timeframe to lease-up the spaces in case a significant vacancy arises at the</w:t>
      </w:r>
      <w:r>
        <w:rPr>
          <w:spacing w:val="-22"/>
        </w:rPr>
        <w:t> </w:t>
      </w:r>
      <w:r>
        <w:rPr/>
        <w:t>property.</w:t>
      </w:r>
    </w:p>
    <w:p>
      <w:pPr>
        <w:pStyle w:val="BodyText"/>
        <w:spacing w:before="10"/>
        <w:rPr>
          <w:sz w:val="2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225" w:id="439"/>
      <w:bookmarkEnd w:id="439"/>
      <w:r>
        <w:rPr/>
      </w:r>
      <w:bookmarkStart w:name="_bookmark225" w:id="440"/>
      <w:bookmarkEnd w:id="440"/>
      <w:r>
        <w:rPr>
          <w:color w:val="1F664D"/>
          <w:sz w:val="22"/>
        </w:rPr>
        <w:t>Esc</w:t>
      </w:r>
      <w:r>
        <w:rPr>
          <w:color w:val="1F664D"/>
          <w:sz w:val="22"/>
        </w:rPr>
        <w:t>alation</w:t>
      </w:r>
      <w:r>
        <w:rPr>
          <w:color w:val="1F664D"/>
          <w:spacing w:val="-3"/>
          <w:sz w:val="22"/>
        </w:rPr>
        <w:t> </w:t>
      </w:r>
      <w:r>
        <w:rPr>
          <w:color w:val="1F664D"/>
          <w:sz w:val="22"/>
        </w:rPr>
        <w:t>Analysis</w:t>
      </w:r>
    </w:p>
    <w:p>
      <w:pPr>
        <w:pStyle w:val="BodyText"/>
        <w:spacing w:line="321" w:lineRule="auto" w:before="208"/>
        <w:ind w:left="760" w:right="235"/>
        <w:jc w:val="both"/>
      </w:pPr>
      <w:r>
        <w:rPr/>
        <w:t>As</w:t>
      </w:r>
      <w:r>
        <w:rPr>
          <w:spacing w:val="-25"/>
        </w:rPr>
        <w:t> </w:t>
      </w:r>
      <w:r>
        <w:rPr/>
        <w:t>per</w:t>
      </w:r>
      <w:r>
        <w:rPr>
          <w:spacing w:val="-26"/>
        </w:rPr>
        <w:t> </w:t>
      </w:r>
      <w:r>
        <w:rPr/>
        <w:t>the</w:t>
      </w:r>
      <w:r>
        <w:rPr>
          <w:spacing w:val="-25"/>
        </w:rPr>
        <w:t> </w:t>
      </w:r>
      <w:r>
        <w:rPr/>
        <w:t>review</w:t>
      </w:r>
      <w:r>
        <w:rPr>
          <w:spacing w:val="-24"/>
        </w:rPr>
        <w:t> </w:t>
      </w:r>
      <w:r>
        <w:rPr/>
        <w:t>of</w:t>
      </w:r>
      <w:r>
        <w:rPr>
          <w:spacing w:val="-25"/>
        </w:rPr>
        <w:t> </w:t>
      </w:r>
      <w:r>
        <w:rPr/>
        <w:t>recent</w:t>
      </w:r>
      <w:r>
        <w:rPr>
          <w:spacing w:val="-24"/>
        </w:rPr>
        <w:t> </w:t>
      </w:r>
      <w:r>
        <w:rPr/>
        <w:t>executed</w:t>
      </w:r>
      <w:r>
        <w:rPr>
          <w:spacing w:val="-25"/>
        </w:rPr>
        <w:t> </w:t>
      </w:r>
      <w:r>
        <w:rPr/>
        <w:t>leases</w:t>
      </w:r>
      <w:r>
        <w:rPr>
          <w:spacing w:val="-24"/>
        </w:rPr>
        <w:t> </w:t>
      </w:r>
      <w:r>
        <w:rPr/>
        <w:t>at</w:t>
      </w:r>
      <w:r>
        <w:rPr>
          <w:spacing w:val="-25"/>
        </w:rPr>
        <w:t> </w:t>
      </w:r>
      <w:r>
        <w:rPr/>
        <w:t>the</w:t>
      </w:r>
      <w:r>
        <w:rPr>
          <w:spacing w:val="-26"/>
        </w:rPr>
        <w:t> </w:t>
      </w:r>
      <w:r>
        <w:rPr/>
        <w:t>subject</w:t>
      </w:r>
      <w:r>
        <w:rPr>
          <w:spacing w:val="-26"/>
        </w:rPr>
        <w:t> </w:t>
      </w:r>
      <w:r>
        <w:rPr/>
        <w:t>property</w:t>
      </w:r>
      <w:r>
        <w:rPr>
          <w:spacing w:val="-23"/>
        </w:rPr>
        <w:t> </w:t>
      </w:r>
      <w:r>
        <w:rPr/>
        <w:t>it</w:t>
      </w:r>
      <w:r>
        <w:rPr>
          <w:spacing w:val="-26"/>
        </w:rPr>
        <w:t> </w:t>
      </w:r>
      <w:r>
        <w:rPr/>
        <w:t>is</w:t>
      </w:r>
      <w:r>
        <w:rPr>
          <w:spacing w:val="-22"/>
        </w:rPr>
        <w:t> </w:t>
      </w:r>
      <w:r>
        <w:rPr/>
        <w:t>understood</w:t>
      </w:r>
      <w:r>
        <w:rPr>
          <w:spacing w:val="-26"/>
        </w:rPr>
        <w:t> </w:t>
      </w:r>
      <w:r>
        <w:rPr/>
        <w:t>that</w:t>
      </w:r>
      <w:r>
        <w:rPr>
          <w:spacing w:val="-25"/>
        </w:rPr>
        <w:t> </w:t>
      </w:r>
      <w:r>
        <w:rPr/>
        <w:t>the</w:t>
      </w:r>
      <w:r>
        <w:rPr>
          <w:spacing w:val="-25"/>
        </w:rPr>
        <w:t> </w:t>
      </w:r>
      <w:r>
        <w:rPr/>
        <w:t>contracted escalation</w:t>
      </w:r>
      <w:r>
        <w:rPr>
          <w:spacing w:val="-19"/>
        </w:rPr>
        <w:t> </w:t>
      </w:r>
      <w:r>
        <w:rPr/>
        <w:t>terms</w:t>
      </w:r>
      <w:r>
        <w:rPr>
          <w:spacing w:val="-18"/>
        </w:rPr>
        <w:t> </w:t>
      </w:r>
      <w:r>
        <w:rPr/>
        <w:t>for</w:t>
      </w:r>
      <w:r>
        <w:rPr>
          <w:spacing w:val="-17"/>
        </w:rPr>
        <w:t> </w:t>
      </w:r>
      <w:r>
        <w:rPr/>
        <w:t>these</w:t>
      </w:r>
      <w:r>
        <w:rPr>
          <w:spacing w:val="-17"/>
        </w:rPr>
        <w:t> </w:t>
      </w:r>
      <w:r>
        <w:rPr/>
        <w:t>leases</w:t>
      </w:r>
      <w:r>
        <w:rPr>
          <w:spacing w:val="-17"/>
        </w:rPr>
        <w:t> </w:t>
      </w:r>
      <w:r>
        <w:rPr/>
        <w:t>are</w:t>
      </w:r>
      <w:r>
        <w:rPr>
          <w:spacing w:val="-17"/>
        </w:rPr>
        <w:t> </w:t>
      </w:r>
      <w:r>
        <w:rPr/>
        <w:t>in</w:t>
      </w:r>
      <w:r>
        <w:rPr>
          <w:spacing w:val="-20"/>
        </w:rPr>
        <w:t> </w:t>
      </w:r>
      <w:r>
        <w:rPr/>
        <w:t>the</w:t>
      </w:r>
      <w:r>
        <w:rPr>
          <w:spacing w:val="-17"/>
        </w:rPr>
        <w:t> </w:t>
      </w:r>
      <w:r>
        <w:rPr/>
        <w:t>range</w:t>
      </w:r>
      <w:r>
        <w:rPr>
          <w:spacing w:val="-18"/>
        </w:rPr>
        <w:t> </w:t>
      </w:r>
      <w:r>
        <w:rPr/>
        <w:t>of</w:t>
      </w:r>
      <w:r>
        <w:rPr>
          <w:spacing w:val="-16"/>
        </w:rPr>
        <w:t> </w:t>
      </w:r>
      <w:r>
        <w:rPr/>
        <w:t>10%</w:t>
      </w:r>
      <w:r>
        <w:rPr>
          <w:spacing w:val="-17"/>
        </w:rPr>
        <w:t> </w:t>
      </w:r>
      <w:r>
        <w:rPr/>
        <w:t>to</w:t>
      </w:r>
      <w:r>
        <w:rPr>
          <w:spacing w:val="-20"/>
        </w:rPr>
        <w:t> </w:t>
      </w:r>
      <w:r>
        <w:rPr/>
        <w:t>15%</w:t>
      </w:r>
      <w:r>
        <w:rPr>
          <w:spacing w:val="-17"/>
        </w:rPr>
        <w:t> </w:t>
      </w:r>
      <w:r>
        <w:rPr/>
        <w:t>every</w:t>
      </w:r>
      <w:r>
        <w:rPr>
          <w:spacing w:val="-17"/>
        </w:rPr>
        <w:t> </w:t>
      </w:r>
      <w:r>
        <w:rPr/>
        <w:t>3</w:t>
      </w:r>
      <w:r>
        <w:rPr>
          <w:spacing w:val="-20"/>
        </w:rPr>
        <w:t> </w:t>
      </w:r>
      <w:r>
        <w:rPr/>
        <w:t>years</w:t>
      </w:r>
      <w:r>
        <w:rPr>
          <w:spacing w:val="-16"/>
        </w:rPr>
        <w:t> </w:t>
      </w:r>
      <w:r>
        <w:rPr/>
        <w:t>which</w:t>
      </w:r>
      <w:r>
        <w:rPr>
          <w:spacing w:val="-18"/>
        </w:rPr>
        <w:t> </w:t>
      </w:r>
      <w:r>
        <w:rPr/>
        <w:t>are</w:t>
      </w:r>
      <w:r>
        <w:rPr>
          <w:spacing w:val="-18"/>
        </w:rPr>
        <w:t> </w:t>
      </w:r>
      <w:r>
        <w:rPr/>
        <w:t>in</w:t>
      </w:r>
      <w:r>
        <w:rPr>
          <w:spacing w:val="-18"/>
        </w:rPr>
        <w:t> </w:t>
      </w:r>
      <w:r>
        <w:rPr/>
        <w:t>line</w:t>
      </w:r>
      <w:r>
        <w:rPr>
          <w:spacing w:val="-20"/>
        </w:rPr>
        <w:t> </w:t>
      </w:r>
      <w:r>
        <w:rPr/>
        <w:t>with</w:t>
      </w:r>
      <w:r>
        <w:rPr>
          <w:spacing w:val="-18"/>
        </w:rPr>
        <w:t> </w:t>
      </w:r>
      <w:r>
        <w:rPr/>
        <w:t>the prevailing</w:t>
      </w:r>
      <w:r>
        <w:rPr>
          <w:spacing w:val="-7"/>
        </w:rPr>
        <w:t> </w:t>
      </w:r>
      <w:r>
        <w:rPr/>
        <w:t>market</w:t>
      </w:r>
      <w:r>
        <w:rPr>
          <w:spacing w:val="-8"/>
        </w:rPr>
        <w:t> </w:t>
      </w:r>
      <w:r>
        <w:rPr/>
        <w:t>practice</w:t>
      </w:r>
      <w:r>
        <w:rPr>
          <w:spacing w:val="-7"/>
        </w:rPr>
        <w:t> </w:t>
      </w:r>
      <w:r>
        <w:rPr/>
        <w:t>witnessed</w:t>
      </w:r>
      <w:r>
        <w:rPr>
          <w:spacing w:val="-7"/>
        </w:rPr>
        <w:t> </w:t>
      </w:r>
      <w:r>
        <w:rPr/>
        <w:t>across</w:t>
      </w:r>
      <w:r>
        <w:rPr>
          <w:spacing w:val="-6"/>
        </w:rPr>
        <w:t> </w:t>
      </w:r>
      <w:r>
        <w:rPr/>
        <w:t>the</w:t>
      </w:r>
      <w:r>
        <w:rPr>
          <w:spacing w:val="-9"/>
        </w:rPr>
        <w:t> </w:t>
      </w:r>
      <w:r>
        <w:rPr/>
        <w:t>micro-market</w:t>
      </w:r>
      <w:r>
        <w:rPr>
          <w:spacing w:val="-7"/>
        </w:rPr>
        <w:t> </w:t>
      </w:r>
      <w:r>
        <w:rPr/>
        <w:t>and</w:t>
      </w:r>
      <w:r>
        <w:rPr>
          <w:spacing w:val="-7"/>
        </w:rPr>
        <w:t> </w:t>
      </w:r>
      <w:r>
        <w:rPr/>
        <w:t>Pune.</w:t>
      </w:r>
    </w:p>
    <w:p>
      <w:pPr>
        <w:pStyle w:val="BodyText"/>
        <w:spacing w:before="8"/>
        <w:rPr>
          <w:sz w:val="20"/>
        </w:rPr>
      </w:pPr>
    </w:p>
    <w:p>
      <w:pPr>
        <w:pStyle w:val="ListParagraph"/>
        <w:numPr>
          <w:ilvl w:val="1"/>
          <w:numId w:val="14"/>
        </w:numPr>
        <w:tabs>
          <w:tab w:pos="797" w:val="left" w:leader="none"/>
        </w:tabs>
        <w:spacing w:line="240" w:lineRule="auto" w:before="0" w:after="0"/>
        <w:ind w:left="796" w:right="0" w:hanging="577"/>
        <w:jc w:val="left"/>
        <w:rPr>
          <w:color w:val="1F6647"/>
          <w:sz w:val="22"/>
        </w:rPr>
      </w:pPr>
      <w:bookmarkStart w:name="_bookmark226" w:id="441"/>
      <w:bookmarkEnd w:id="441"/>
      <w:r>
        <w:rPr/>
      </w:r>
      <w:bookmarkStart w:name="_bookmark226" w:id="442"/>
      <w:bookmarkEnd w:id="442"/>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before="3"/>
        <w:rPr>
          <w:sz w:val="28"/>
        </w:rPr>
      </w:pPr>
    </w:p>
    <w:p>
      <w:pPr>
        <w:pStyle w:val="BodyText"/>
        <w:spacing w:line="321" w:lineRule="auto"/>
        <w:ind w:left="760" w:right="239"/>
        <w:jc w:val="both"/>
      </w:pPr>
      <w:r>
        <w:rPr/>
        <w:t>As</w:t>
      </w:r>
      <w:r>
        <w:rPr>
          <w:spacing w:val="-31"/>
        </w:rPr>
        <w:t> </w:t>
      </w:r>
      <w:r>
        <w:rPr/>
        <w:t>highlighted</w:t>
      </w:r>
      <w:r>
        <w:rPr>
          <w:spacing w:val="-31"/>
        </w:rPr>
        <w:t> </w:t>
      </w:r>
      <w:r>
        <w:rPr/>
        <w:t>earlier,</w:t>
      </w:r>
      <w:r>
        <w:rPr>
          <w:spacing w:val="-31"/>
        </w:rPr>
        <w:t> </w:t>
      </w:r>
      <w:r>
        <w:rPr/>
        <w:t>the</w:t>
      </w:r>
      <w:r>
        <w:rPr>
          <w:spacing w:val="-31"/>
        </w:rPr>
        <w:t> </w:t>
      </w:r>
      <w:r>
        <w:rPr/>
        <w:t>subject</w:t>
      </w:r>
      <w:r>
        <w:rPr>
          <w:spacing w:val="-31"/>
        </w:rPr>
        <w:t> </w:t>
      </w:r>
      <w:r>
        <w:rPr/>
        <w:t>property</w:t>
      </w:r>
      <w:r>
        <w:rPr>
          <w:spacing w:val="-30"/>
        </w:rPr>
        <w:t> </w:t>
      </w:r>
      <w:r>
        <w:rPr/>
        <w:t>is</w:t>
      </w:r>
      <w:r>
        <w:rPr>
          <w:spacing w:val="-31"/>
        </w:rPr>
        <w:t> </w:t>
      </w:r>
      <w:r>
        <w:rPr/>
        <w:t>a</w:t>
      </w:r>
      <w:r>
        <w:rPr>
          <w:spacing w:val="-31"/>
        </w:rPr>
        <w:t> </w:t>
      </w:r>
      <w:r>
        <w:rPr/>
        <w:t>commercial</w:t>
      </w:r>
      <w:r>
        <w:rPr>
          <w:spacing w:val="-32"/>
        </w:rPr>
        <w:t> </w:t>
      </w:r>
      <w:r>
        <w:rPr/>
        <w:t>development</w:t>
      </w:r>
      <w:r>
        <w:rPr>
          <w:spacing w:val="-31"/>
        </w:rPr>
        <w:t> </w:t>
      </w:r>
      <w:r>
        <w:rPr/>
        <w:t>situated</w:t>
      </w:r>
      <w:r>
        <w:rPr>
          <w:spacing w:val="-31"/>
        </w:rPr>
        <w:t> </w:t>
      </w:r>
      <w:r>
        <w:rPr/>
        <w:t>within</w:t>
      </w:r>
      <w:r>
        <w:rPr>
          <w:spacing w:val="-31"/>
        </w:rPr>
        <w:t> </w:t>
      </w:r>
      <w:r>
        <w:rPr/>
        <w:t>the</w:t>
      </w:r>
      <w:r>
        <w:rPr>
          <w:spacing w:val="-32"/>
        </w:rPr>
        <w:t> </w:t>
      </w:r>
      <w:r>
        <w:rPr/>
        <w:t>submarket of</w:t>
      </w:r>
      <w:r>
        <w:rPr>
          <w:spacing w:val="-35"/>
        </w:rPr>
        <w:t> </w:t>
      </w:r>
      <w:r>
        <w:rPr/>
        <w:t>Hinjewadi</w:t>
      </w:r>
      <w:r>
        <w:rPr>
          <w:spacing w:val="-35"/>
        </w:rPr>
        <w:t> </w:t>
      </w:r>
      <w:r>
        <w:rPr/>
        <w:t>which</w:t>
      </w:r>
      <w:r>
        <w:rPr>
          <w:spacing w:val="-35"/>
        </w:rPr>
        <w:t> </w:t>
      </w:r>
      <w:r>
        <w:rPr/>
        <w:t>lies</w:t>
      </w:r>
      <w:r>
        <w:rPr>
          <w:spacing w:val="-34"/>
        </w:rPr>
        <w:t> </w:t>
      </w:r>
      <w:r>
        <w:rPr/>
        <w:t>in</w:t>
      </w:r>
      <w:r>
        <w:rPr>
          <w:spacing w:val="-35"/>
        </w:rPr>
        <w:t> </w:t>
      </w:r>
      <w:r>
        <w:rPr/>
        <w:t>the</w:t>
      </w:r>
      <w:r>
        <w:rPr>
          <w:spacing w:val="-35"/>
        </w:rPr>
        <w:t> </w:t>
      </w:r>
      <w:r>
        <w:rPr/>
        <w:t>western</w:t>
      </w:r>
      <w:r>
        <w:rPr>
          <w:spacing w:val="-35"/>
        </w:rPr>
        <w:t> </w:t>
      </w:r>
      <w:r>
        <w:rPr/>
        <w:t>periphery</w:t>
      </w:r>
      <w:r>
        <w:rPr>
          <w:spacing w:val="-34"/>
        </w:rPr>
        <w:t> </w:t>
      </w:r>
      <w:r>
        <w:rPr/>
        <w:t>of</w:t>
      </w:r>
      <w:r>
        <w:rPr>
          <w:spacing w:val="-36"/>
        </w:rPr>
        <w:t> </w:t>
      </w:r>
      <w:r>
        <w:rPr/>
        <w:t>Pune</w:t>
      </w:r>
      <w:r>
        <w:rPr>
          <w:spacing w:val="-35"/>
        </w:rPr>
        <w:t> </w:t>
      </w:r>
      <w:r>
        <w:rPr/>
        <w:t>city.</w:t>
      </w:r>
      <w:r>
        <w:rPr>
          <w:spacing w:val="-35"/>
        </w:rPr>
        <w:t> </w:t>
      </w:r>
      <w:r>
        <w:rPr/>
        <w:t>The</w:t>
      </w:r>
      <w:r>
        <w:rPr>
          <w:spacing w:val="-35"/>
        </w:rPr>
        <w:t> </w:t>
      </w:r>
      <w:r>
        <w:rPr/>
        <w:t>submarket</w:t>
      </w:r>
      <w:r>
        <w:rPr>
          <w:spacing w:val="-36"/>
        </w:rPr>
        <w:t> </w:t>
      </w:r>
      <w:r>
        <w:rPr/>
        <w:t>has</w:t>
      </w:r>
      <w:r>
        <w:rPr>
          <w:spacing w:val="-34"/>
        </w:rPr>
        <w:t> </w:t>
      </w:r>
      <w:r>
        <w:rPr/>
        <w:t>presence</w:t>
      </w:r>
      <w:r>
        <w:rPr>
          <w:spacing w:val="-35"/>
        </w:rPr>
        <w:t> </w:t>
      </w:r>
      <w:r>
        <w:rPr/>
        <w:t>of</w:t>
      </w:r>
      <w:r>
        <w:rPr>
          <w:spacing w:val="-34"/>
        </w:rPr>
        <w:t> </w:t>
      </w:r>
      <w:r>
        <w:rPr/>
        <w:t>established</w:t>
      </w:r>
    </w:p>
    <w:p>
      <w:pPr>
        <w:spacing w:after="0" w:line="321" w:lineRule="auto"/>
        <w:jc w:val="both"/>
        <w:sectPr>
          <w:pgSz w:w="11910" w:h="16840"/>
          <w:pgMar w:header="720" w:footer="921" w:top="1660" w:bottom="1120" w:left="500" w:right="480"/>
        </w:sectPr>
      </w:pPr>
    </w:p>
    <w:p>
      <w:pPr>
        <w:pStyle w:val="BodyText"/>
        <w:spacing w:before="7"/>
        <w:rPr>
          <w:sz w:val="9"/>
        </w:rPr>
      </w:pPr>
    </w:p>
    <w:p>
      <w:pPr>
        <w:pStyle w:val="BodyText"/>
        <w:spacing w:line="321" w:lineRule="auto" w:before="106"/>
        <w:ind w:left="760" w:right="235"/>
        <w:jc w:val="both"/>
      </w:pPr>
      <w:r>
        <w:rPr/>
        <w:t>technology</w:t>
      </w:r>
      <w:r>
        <w:rPr>
          <w:spacing w:val="-33"/>
        </w:rPr>
        <w:t> </w:t>
      </w:r>
      <w:r>
        <w:rPr/>
        <w:t>parks</w:t>
      </w:r>
      <w:r>
        <w:rPr>
          <w:spacing w:val="-33"/>
        </w:rPr>
        <w:t> </w:t>
      </w:r>
      <w:r>
        <w:rPr/>
        <w:t>under</w:t>
      </w:r>
      <w:r>
        <w:rPr>
          <w:spacing w:val="-34"/>
        </w:rPr>
        <w:t> </w:t>
      </w:r>
      <w:r>
        <w:rPr/>
        <w:t>the</w:t>
      </w:r>
      <w:r>
        <w:rPr>
          <w:spacing w:val="-34"/>
        </w:rPr>
        <w:t> </w:t>
      </w:r>
      <w:r>
        <w:rPr/>
        <w:t>3</w:t>
      </w:r>
      <w:r>
        <w:rPr>
          <w:spacing w:val="-34"/>
        </w:rPr>
        <w:t> </w:t>
      </w:r>
      <w:r>
        <w:rPr/>
        <w:t>phases</w:t>
      </w:r>
      <w:r>
        <w:rPr>
          <w:spacing w:val="-33"/>
        </w:rPr>
        <w:t> </w:t>
      </w:r>
      <w:r>
        <w:rPr/>
        <w:t>of</w:t>
      </w:r>
      <w:r>
        <w:rPr>
          <w:spacing w:val="-31"/>
        </w:rPr>
        <w:t> </w:t>
      </w:r>
      <w:r>
        <w:rPr/>
        <w:t>Rajiv</w:t>
      </w:r>
      <w:r>
        <w:rPr>
          <w:spacing w:val="-33"/>
        </w:rPr>
        <w:t> </w:t>
      </w:r>
      <w:r>
        <w:rPr/>
        <w:t>Gandhi</w:t>
      </w:r>
      <w:r>
        <w:rPr>
          <w:spacing w:val="-34"/>
        </w:rPr>
        <w:t> </w:t>
      </w:r>
      <w:r>
        <w:rPr/>
        <w:t>Infotech</w:t>
      </w:r>
      <w:r>
        <w:rPr>
          <w:spacing w:val="-34"/>
        </w:rPr>
        <w:t> </w:t>
      </w:r>
      <w:r>
        <w:rPr/>
        <w:t>Park.</w:t>
      </w:r>
      <w:r>
        <w:rPr>
          <w:spacing w:val="-33"/>
        </w:rPr>
        <w:t> </w:t>
      </w:r>
      <w:r>
        <w:rPr/>
        <w:t>The</w:t>
      </w:r>
      <w:r>
        <w:rPr>
          <w:spacing w:val="-34"/>
        </w:rPr>
        <w:t> </w:t>
      </w:r>
      <w:r>
        <w:rPr/>
        <w:t>region</w:t>
      </w:r>
      <w:r>
        <w:rPr>
          <w:spacing w:val="-34"/>
        </w:rPr>
        <w:t> </w:t>
      </w:r>
      <w:r>
        <w:rPr/>
        <w:t>is</w:t>
      </w:r>
      <w:r>
        <w:rPr>
          <w:spacing w:val="-33"/>
        </w:rPr>
        <w:t> </w:t>
      </w:r>
      <w:r>
        <w:rPr/>
        <w:t>characterised</w:t>
      </w:r>
      <w:r>
        <w:rPr>
          <w:spacing w:val="-33"/>
        </w:rPr>
        <w:t> </w:t>
      </w:r>
      <w:r>
        <w:rPr/>
        <w:t>by</w:t>
      </w:r>
      <w:r>
        <w:rPr>
          <w:spacing w:val="-33"/>
        </w:rPr>
        <w:t> </w:t>
      </w:r>
      <w:r>
        <w:rPr/>
        <w:t>quality grade</w:t>
      </w:r>
      <w:r>
        <w:rPr>
          <w:spacing w:val="-31"/>
        </w:rPr>
        <w:t> </w:t>
      </w:r>
      <w:r>
        <w:rPr/>
        <w:t>commercial</w:t>
      </w:r>
      <w:r>
        <w:rPr>
          <w:spacing w:val="-31"/>
        </w:rPr>
        <w:t> </w:t>
      </w:r>
      <w:r>
        <w:rPr/>
        <w:t>space,</w:t>
      </w:r>
      <w:r>
        <w:rPr>
          <w:spacing w:val="-31"/>
        </w:rPr>
        <w:t> </w:t>
      </w:r>
      <w:r>
        <w:rPr/>
        <w:t>well</w:t>
      </w:r>
      <w:r>
        <w:rPr>
          <w:spacing w:val="-31"/>
        </w:rPr>
        <w:t> </w:t>
      </w:r>
      <w:r>
        <w:rPr/>
        <w:t>laid</w:t>
      </w:r>
      <w:r>
        <w:rPr>
          <w:spacing w:val="-31"/>
        </w:rPr>
        <w:t> </w:t>
      </w:r>
      <w:r>
        <w:rPr/>
        <w:t>physical</w:t>
      </w:r>
      <w:r>
        <w:rPr>
          <w:spacing w:val="-31"/>
        </w:rPr>
        <w:t> </w:t>
      </w:r>
      <w:r>
        <w:rPr/>
        <w:t>infrastructure</w:t>
      </w:r>
      <w:r>
        <w:rPr>
          <w:spacing w:val="-30"/>
        </w:rPr>
        <w:t> </w:t>
      </w:r>
      <w:r>
        <w:rPr/>
        <w:t>along</w:t>
      </w:r>
      <w:r>
        <w:rPr>
          <w:spacing w:val="-31"/>
        </w:rPr>
        <w:t> </w:t>
      </w:r>
      <w:r>
        <w:rPr/>
        <w:t>with</w:t>
      </w:r>
      <w:r>
        <w:rPr>
          <w:spacing w:val="-31"/>
        </w:rPr>
        <w:t> </w:t>
      </w:r>
      <w:r>
        <w:rPr/>
        <w:t>increasing</w:t>
      </w:r>
      <w:r>
        <w:rPr>
          <w:spacing w:val="-30"/>
        </w:rPr>
        <w:t> </w:t>
      </w:r>
      <w:r>
        <w:rPr/>
        <w:t>residential</w:t>
      </w:r>
      <w:r>
        <w:rPr>
          <w:spacing w:val="-30"/>
        </w:rPr>
        <w:t> </w:t>
      </w:r>
      <w:r>
        <w:rPr/>
        <w:t>activity.</w:t>
      </w:r>
      <w:r>
        <w:rPr>
          <w:spacing w:val="-31"/>
        </w:rPr>
        <w:t> </w:t>
      </w:r>
      <w:r>
        <w:rPr/>
        <w:t>The connectivity</w:t>
      </w:r>
      <w:r>
        <w:rPr>
          <w:spacing w:val="-45"/>
        </w:rPr>
        <w:t> </w:t>
      </w:r>
      <w:r>
        <w:rPr/>
        <w:t>of</w:t>
      </w:r>
      <w:r>
        <w:rPr>
          <w:spacing w:val="-44"/>
        </w:rPr>
        <w:t> </w:t>
      </w:r>
      <w:r>
        <w:rPr/>
        <w:t>the</w:t>
      </w:r>
      <w:r>
        <w:rPr>
          <w:spacing w:val="-45"/>
        </w:rPr>
        <w:t> </w:t>
      </w:r>
      <w:r>
        <w:rPr/>
        <w:t>subject</w:t>
      </w:r>
      <w:r>
        <w:rPr>
          <w:spacing w:val="-43"/>
        </w:rPr>
        <w:t> </w:t>
      </w:r>
      <w:r>
        <w:rPr/>
        <w:t>submarket</w:t>
      </w:r>
      <w:r>
        <w:rPr>
          <w:spacing w:val="-45"/>
        </w:rPr>
        <w:t> </w:t>
      </w:r>
      <w:r>
        <w:rPr/>
        <w:t>to</w:t>
      </w:r>
      <w:r>
        <w:rPr>
          <w:spacing w:val="-44"/>
        </w:rPr>
        <w:t> </w:t>
      </w:r>
      <w:r>
        <w:rPr/>
        <w:t>the</w:t>
      </w:r>
      <w:r>
        <w:rPr>
          <w:spacing w:val="-45"/>
        </w:rPr>
        <w:t> </w:t>
      </w:r>
      <w:r>
        <w:rPr/>
        <w:t>rest</w:t>
      </w:r>
      <w:r>
        <w:rPr>
          <w:spacing w:val="-44"/>
        </w:rPr>
        <w:t> </w:t>
      </w:r>
      <w:r>
        <w:rPr/>
        <w:t>of</w:t>
      </w:r>
      <w:r>
        <w:rPr>
          <w:spacing w:val="-45"/>
        </w:rPr>
        <w:t> </w:t>
      </w:r>
      <w:r>
        <w:rPr/>
        <w:t>the</w:t>
      </w:r>
      <w:r>
        <w:rPr>
          <w:spacing w:val="-45"/>
        </w:rPr>
        <w:t> </w:t>
      </w:r>
      <w:r>
        <w:rPr/>
        <w:t>city</w:t>
      </w:r>
      <w:r>
        <w:rPr>
          <w:spacing w:val="-44"/>
        </w:rPr>
        <w:t> </w:t>
      </w:r>
      <w:r>
        <w:rPr/>
        <w:t>is</w:t>
      </w:r>
      <w:r>
        <w:rPr>
          <w:spacing w:val="-45"/>
        </w:rPr>
        <w:t> </w:t>
      </w:r>
      <w:r>
        <w:rPr/>
        <w:t>facilitated</w:t>
      </w:r>
      <w:r>
        <w:rPr>
          <w:spacing w:val="-44"/>
        </w:rPr>
        <w:t> </w:t>
      </w:r>
      <w:r>
        <w:rPr/>
        <w:t>by</w:t>
      </w:r>
      <w:r>
        <w:rPr>
          <w:spacing w:val="-44"/>
        </w:rPr>
        <w:t> </w:t>
      </w:r>
      <w:r>
        <w:rPr/>
        <w:t>the</w:t>
      </w:r>
      <w:r>
        <w:rPr>
          <w:spacing w:val="-45"/>
        </w:rPr>
        <w:t> </w:t>
      </w:r>
      <w:r>
        <w:rPr/>
        <w:t>Mumbai</w:t>
      </w:r>
      <w:r>
        <w:rPr>
          <w:spacing w:val="-45"/>
        </w:rPr>
        <w:t> </w:t>
      </w:r>
      <w:r>
        <w:rPr>
          <w:w w:val="105"/>
        </w:rPr>
        <w:t>–</w:t>
      </w:r>
      <w:r>
        <w:rPr>
          <w:spacing w:val="-48"/>
          <w:w w:val="105"/>
        </w:rPr>
        <w:t> </w:t>
      </w:r>
      <w:r>
        <w:rPr/>
        <w:t>Bengaluru</w:t>
      </w:r>
      <w:r>
        <w:rPr>
          <w:spacing w:val="-45"/>
        </w:rPr>
        <w:t> </w:t>
      </w:r>
      <w:r>
        <w:rPr/>
        <w:t>Bypass Highway.</w:t>
      </w:r>
    </w:p>
    <w:p>
      <w:pPr>
        <w:pStyle w:val="BodyText"/>
        <w:spacing w:before="9"/>
        <w:rPr>
          <w:sz w:val="20"/>
        </w:rPr>
      </w:pPr>
    </w:p>
    <w:p>
      <w:pPr>
        <w:pStyle w:val="BodyText"/>
        <w:spacing w:line="321" w:lineRule="auto"/>
        <w:ind w:left="760" w:right="233"/>
        <w:jc w:val="both"/>
      </w:pPr>
      <w:r>
        <w:rPr/>
        <w:t>Considering</w:t>
      </w:r>
      <w:r>
        <w:rPr>
          <w:spacing w:val="-17"/>
        </w:rPr>
        <w:t> </w:t>
      </w:r>
      <w:r>
        <w:rPr/>
        <w:t>the</w:t>
      </w:r>
      <w:r>
        <w:rPr>
          <w:spacing w:val="-15"/>
        </w:rPr>
        <w:t> </w:t>
      </w:r>
      <w:r>
        <w:rPr/>
        <w:t>growth</w:t>
      </w:r>
      <w:r>
        <w:rPr>
          <w:spacing w:val="-17"/>
        </w:rPr>
        <w:t> </w:t>
      </w:r>
      <w:r>
        <w:rPr/>
        <w:t>of</w:t>
      </w:r>
      <w:r>
        <w:rPr>
          <w:spacing w:val="-15"/>
        </w:rPr>
        <w:t> </w:t>
      </w:r>
      <w:r>
        <w:rPr/>
        <w:t>the</w:t>
      </w:r>
      <w:r>
        <w:rPr>
          <w:spacing w:val="-15"/>
        </w:rPr>
        <w:t> </w:t>
      </w:r>
      <w:r>
        <w:rPr/>
        <w:t>subject</w:t>
      </w:r>
      <w:r>
        <w:rPr>
          <w:spacing w:val="-13"/>
        </w:rPr>
        <w:t> </w:t>
      </w:r>
      <w:r>
        <w:rPr/>
        <w:t>submarket</w:t>
      </w:r>
      <w:r>
        <w:rPr>
          <w:spacing w:val="-14"/>
        </w:rPr>
        <w:t> </w:t>
      </w:r>
      <w:r>
        <w:rPr/>
        <w:t>as</w:t>
      </w:r>
      <w:r>
        <w:rPr>
          <w:spacing w:val="-15"/>
        </w:rPr>
        <w:t> </w:t>
      </w:r>
      <w:r>
        <w:rPr/>
        <w:t>one</w:t>
      </w:r>
      <w:r>
        <w:rPr>
          <w:spacing w:val="-16"/>
        </w:rPr>
        <w:t> </w:t>
      </w:r>
      <w:r>
        <w:rPr/>
        <w:t>of</w:t>
      </w:r>
      <w:r>
        <w:rPr>
          <w:spacing w:val="-15"/>
        </w:rPr>
        <w:t> </w:t>
      </w:r>
      <w:r>
        <w:rPr/>
        <w:t>the</w:t>
      </w:r>
      <w:r>
        <w:rPr>
          <w:spacing w:val="-16"/>
        </w:rPr>
        <w:t> </w:t>
      </w:r>
      <w:r>
        <w:rPr/>
        <w:t>most</w:t>
      </w:r>
      <w:r>
        <w:rPr>
          <w:spacing w:val="-15"/>
        </w:rPr>
        <w:t> </w:t>
      </w:r>
      <w:r>
        <w:rPr/>
        <w:t>prominent</w:t>
      </w:r>
      <w:r>
        <w:rPr>
          <w:spacing w:val="-13"/>
        </w:rPr>
        <w:t> </w:t>
      </w:r>
      <w:r>
        <w:rPr/>
        <w:t>technology</w:t>
      </w:r>
      <w:r>
        <w:rPr>
          <w:spacing w:val="-13"/>
        </w:rPr>
        <w:t> </w:t>
      </w:r>
      <w:r>
        <w:rPr/>
        <w:t>hubs</w:t>
      </w:r>
      <w:r>
        <w:rPr>
          <w:spacing w:val="-15"/>
        </w:rPr>
        <w:t> </w:t>
      </w:r>
      <w:r>
        <w:rPr/>
        <w:t>of</w:t>
      </w:r>
      <w:r>
        <w:rPr>
          <w:spacing w:val="-17"/>
        </w:rPr>
        <w:t> </w:t>
      </w:r>
      <w:r>
        <w:rPr/>
        <w:t>the city,</w:t>
      </w:r>
      <w:r>
        <w:rPr>
          <w:spacing w:val="-30"/>
        </w:rPr>
        <w:t> </w:t>
      </w:r>
      <w:r>
        <w:rPr/>
        <w:t>the</w:t>
      </w:r>
      <w:r>
        <w:rPr>
          <w:spacing w:val="-30"/>
        </w:rPr>
        <w:t> </w:t>
      </w:r>
      <w:r>
        <w:rPr/>
        <w:t>locality</w:t>
      </w:r>
      <w:r>
        <w:rPr>
          <w:spacing w:val="-29"/>
        </w:rPr>
        <w:t> </w:t>
      </w:r>
      <w:r>
        <w:rPr/>
        <w:t>has</w:t>
      </w:r>
      <w:r>
        <w:rPr>
          <w:spacing w:val="-28"/>
        </w:rPr>
        <w:t> </w:t>
      </w:r>
      <w:r>
        <w:rPr/>
        <w:t>also</w:t>
      </w:r>
      <w:r>
        <w:rPr>
          <w:spacing w:val="-29"/>
        </w:rPr>
        <w:t> </w:t>
      </w:r>
      <w:r>
        <w:rPr/>
        <w:t>witnessed</w:t>
      </w:r>
      <w:r>
        <w:rPr>
          <w:spacing w:val="-29"/>
        </w:rPr>
        <w:t> </w:t>
      </w:r>
      <w:r>
        <w:rPr/>
        <w:t>a</w:t>
      </w:r>
      <w:r>
        <w:rPr>
          <w:spacing w:val="-30"/>
        </w:rPr>
        <w:t> </w:t>
      </w:r>
      <w:r>
        <w:rPr/>
        <w:t>steady</w:t>
      </w:r>
      <w:r>
        <w:rPr>
          <w:spacing w:val="-29"/>
        </w:rPr>
        <w:t> </w:t>
      </w:r>
      <w:r>
        <w:rPr/>
        <w:t>and</w:t>
      </w:r>
      <w:r>
        <w:rPr>
          <w:spacing w:val="-30"/>
        </w:rPr>
        <w:t> </w:t>
      </w:r>
      <w:r>
        <w:rPr/>
        <w:t>sustainable</w:t>
      </w:r>
      <w:r>
        <w:rPr>
          <w:spacing w:val="-31"/>
        </w:rPr>
        <w:t> </w:t>
      </w:r>
      <w:r>
        <w:rPr/>
        <w:t>supply</w:t>
      </w:r>
      <w:r>
        <w:rPr>
          <w:spacing w:val="-29"/>
        </w:rPr>
        <w:t> </w:t>
      </w:r>
      <w:r>
        <w:rPr/>
        <w:t>of</w:t>
      </w:r>
      <w:r>
        <w:rPr>
          <w:spacing w:val="-30"/>
        </w:rPr>
        <w:t> </w:t>
      </w:r>
      <w:r>
        <w:rPr/>
        <w:t>residential</w:t>
      </w:r>
      <w:r>
        <w:rPr>
          <w:spacing w:val="-29"/>
        </w:rPr>
        <w:t> </w:t>
      </w:r>
      <w:r>
        <w:rPr/>
        <w:t>development</w:t>
      </w:r>
      <w:r>
        <w:rPr>
          <w:spacing w:val="-26"/>
        </w:rPr>
        <w:t> </w:t>
      </w:r>
      <w:r>
        <w:rPr/>
        <w:t>catering to</w:t>
      </w:r>
      <w:r>
        <w:rPr>
          <w:spacing w:val="-17"/>
        </w:rPr>
        <w:t> </w:t>
      </w:r>
      <w:r>
        <w:rPr/>
        <w:t>the</w:t>
      </w:r>
      <w:r>
        <w:rPr>
          <w:spacing w:val="-17"/>
        </w:rPr>
        <w:t> </w:t>
      </w:r>
      <w:r>
        <w:rPr/>
        <w:t>demand</w:t>
      </w:r>
      <w:r>
        <w:rPr>
          <w:spacing w:val="-16"/>
        </w:rPr>
        <w:t> </w:t>
      </w:r>
      <w:r>
        <w:rPr/>
        <w:t>of</w:t>
      </w:r>
      <w:r>
        <w:rPr>
          <w:spacing w:val="-16"/>
        </w:rPr>
        <w:t> </w:t>
      </w:r>
      <w:r>
        <w:rPr/>
        <w:t>the</w:t>
      </w:r>
      <w:r>
        <w:rPr>
          <w:spacing w:val="-16"/>
        </w:rPr>
        <w:t> </w:t>
      </w:r>
      <w:r>
        <w:rPr/>
        <w:t>working</w:t>
      </w:r>
      <w:r>
        <w:rPr>
          <w:spacing w:val="-16"/>
        </w:rPr>
        <w:t> </w:t>
      </w:r>
      <w:r>
        <w:rPr/>
        <w:t>populace.</w:t>
      </w:r>
      <w:r>
        <w:rPr>
          <w:spacing w:val="-15"/>
        </w:rPr>
        <w:t> </w:t>
      </w:r>
      <w:r>
        <w:rPr/>
        <w:t>Going</w:t>
      </w:r>
      <w:r>
        <w:rPr>
          <w:spacing w:val="-16"/>
        </w:rPr>
        <w:t> </w:t>
      </w:r>
      <w:r>
        <w:rPr/>
        <w:t>forward,</w:t>
      </w:r>
      <w:r>
        <w:rPr>
          <w:spacing w:val="-17"/>
        </w:rPr>
        <w:t> </w:t>
      </w:r>
      <w:r>
        <w:rPr/>
        <w:t>the</w:t>
      </w:r>
      <w:r>
        <w:rPr>
          <w:spacing w:val="-17"/>
        </w:rPr>
        <w:t> </w:t>
      </w:r>
      <w:r>
        <w:rPr/>
        <w:t>profile</w:t>
      </w:r>
      <w:r>
        <w:rPr>
          <w:spacing w:val="-17"/>
        </w:rPr>
        <w:t> </w:t>
      </w:r>
      <w:r>
        <w:rPr/>
        <w:t>of</w:t>
      </w:r>
      <w:r>
        <w:rPr>
          <w:spacing w:val="-16"/>
        </w:rPr>
        <w:t> </w:t>
      </w:r>
      <w:r>
        <w:rPr/>
        <w:t>the</w:t>
      </w:r>
      <w:r>
        <w:rPr>
          <w:spacing w:val="-15"/>
        </w:rPr>
        <w:t> </w:t>
      </w:r>
      <w:r>
        <w:rPr/>
        <w:t>submarket</w:t>
      </w:r>
      <w:r>
        <w:rPr>
          <w:spacing w:val="-16"/>
        </w:rPr>
        <w:t> </w:t>
      </w:r>
      <w:r>
        <w:rPr/>
        <w:t>is</w:t>
      </w:r>
      <w:r>
        <w:rPr>
          <w:spacing w:val="-16"/>
        </w:rPr>
        <w:t> </w:t>
      </w:r>
      <w:r>
        <w:rPr/>
        <w:t>expected</w:t>
      </w:r>
      <w:r>
        <w:rPr>
          <w:spacing w:val="-16"/>
        </w:rPr>
        <w:t> </w:t>
      </w:r>
      <w:r>
        <w:rPr/>
        <w:t>to</w:t>
      </w:r>
      <w:r>
        <w:rPr>
          <w:spacing w:val="-16"/>
        </w:rPr>
        <w:t> </w:t>
      </w:r>
      <w:r>
        <w:rPr/>
        <w:t>be cemented</w:t>
      </w:r>
      <w:r>
        <w:rPr>
          <w:spacing w:val="-39"/>
        </w:rPr>
        <w:t> </w:t>
      </w:r>
      <w:r>
        <w:rPr/>
        <w:t>as</w:t>
      </w:r>
      <w:r>
        <w:rPr>
          <w:spacing w:val="-39"/>
        </w:rPr>
        <w:t> </w:t>
      </w:r>
      <w:r>
        <w:rPr/>
        <w:t>one</w:t>
      </w:r>
      <w:r>
        <w:rPr>
          <w:spacing w:val="-40"/>
        </w:rPr>
        <w:t> </w:t>
      </w:r>
      <w:r>
        <w:rPr/>
        <w:t>of</w:t>
      </w:r>
      <w:r>
        <w:rPr>
          <w:spacing w:val="-39"/>
        </w:rPr>
        <w:t> </w:t>
      </w:r>
      <w:r>
        <w:rPr/>
        <w:t>the</w:t>
      </w:r>
      <w:r>
        <w:rPr>
          <w:spacing w:val="-41"/>
        </w:rPr>
        <w:t> </w:t>
      </w:r>
      <w:r>
        <w:rPr/>
        <w:t>sought</w:t>
      </w:r>
      <w:r>
        <w:rPr>
          <w:spacing w:val="-39"/>
        </w:rPr>
        <w:t> </w:t>
      </w:r>
      <w:r>
        <w:rPr/>
        <w:t>out</w:t>
      </w:r>
      <w:r>
        <w:rPr>
          <w:spacing w:val="-39"/>
        </w:rPr>
        <w:t> </w:t>
      </w:r>
      <w:r>
        <w:rPr/>
        <w:t>technology</w:t>
      </w:r>
      <w:r>
        <w:rPr>
          <w:spacing w:val="-40"/>
        </w:rPr>
        <w:t> </w:t>
      </w:r>
      <w:r>
        <w:rPr/>
        <w:t>destination</w:t>
      </w:r>
      <w:r>
        <w:rPr>
          <w:spacing w:val="-39"/>
        </w:rPr>
        <w:t> </w:t>
      </w:r>
      <w:r>
        <w:rPr/>
        <w:t>of</w:t>
      </w:r>
      <w:r>
        <w:rPr>
          <w:spacing w:val="-38"/>
        </w:rPr>
        <w:t> </w:t>
      </w:r>
      <w:r>
        <w:rPr/>
        <w:t>the</w:t>
      </w:r>
      <w:r>
        <w:rPr>
          <w:spacing w:val="-40"/>
        </w:rPr>
        <w:t> </w:t>
      </w:r>
      <w:r>
        <w:rPr/>
        <w:t>city</w:t>
      </w:r>
      <w:r>
        <w:rPr>
          <w:spacing w:val="-38"/>
        </w:rPr>
        <w:t> </w:t>
      </w:r>
      <w:r>
        <w:rPr/>
        <w:t>along</w:t>
      </w:r>
      <w:r>
        <w:rPr>
          <w:spacing w:val="-40"/>
        </w:rPr>
        <w:t> </w:t>
      </w:r>
      <w:r>
        <w:rPr/>
        <w:t>with</w:t>
      </w:r>
      <w:r>
        <w:rPr>
          <w:spacing w:val="-40"/>
        </w:rPr>
        <w:t> </w:t>
      </w:r>
      <w:r>
        <w:rPr/>
        <w:t>residential</w:t>
      </w:r>
      <w:r>
        <w:rPr>
          <w:spacing w:val="-40"/>
        </w:rPr>
        <w:t> </w:t>
      </w:r>
      <w:r>
        <w:rPr/>
        <w:t>developments to support the working</w:t>
      </w:r>
      <w:r>
        <w:rPr>
          <w:spacing w:val="-14"/>
        </w:rPr>
        <w:t> </w:t>
      </w:r>
      <w:r>
        <w:rPr/>
        <w:t>populace.</w:t>
      </w:r>
    </w:p>
    <w:p>
      <w:pPr>
        <w:pStyle w:val="BodyText"/>
        <w:spacing w:before="11"/>
        <w:rPr>
          <w:sz w:val="2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227" w:id="443"/>
      <w:bookmarkEnd w:id="443"/>
      <w:r>
        <w:rPr/>
      </w:r>
      <w:bookmarkStart w:name="_bookmark227" w:id="444"/>
      <w:bookmarkEnd w:id="444"/>
      <w:r>
        <w:rPr>
          <w:color w:val="1F664D"/>
          <w:w w:val="105"/>
          <w:sz w:val="22"/>
        </w:rPr>
        <w:t>De</w:t>
      </w:r>
      <w:r>
        <w:rPr>
          <w:color w:val="1F664D"/>
          <w:w w:val="105"/>
          <w:sz w:val="22"/>
        </w:rPr>
        <w:t>mand and Supply</w:t>
      </w:r>
      <w:r>
        <w:rPr>
          <w:color w:val="1F664D"/>
          <w:spacing w:val="-17"/>
          <w:w w:val="105"/>
          <w:sz w:val="22"/>
        </w:rPr>
        <w:t> </w:t>
      </w:r>
      <w:r>
        <w:rPr>
          <w:color w:val="1F664D"/>
          <w:w w:val="105"/>
          <w:sz w:val="22"/>
        </w:rPr>
        <w:t>Dynamics</w:t>
      </w:r>
    </w:p>
    <w:p>
      <w:pPr>
        <w:pStyle w:val="BodyText"/>
        <w:spacing w:before="6"/>
        <w:rPr>
          <w:sz w:val="25"/>
        </w:rPr>
      </w:pPr>
    </w:p>
    <w:p>
      <w:pPr>
        <w:spacing w:before="0"/>
        <w:ind w:left="220" w:right="0" w:firstLine="0"/>
        <w:jc w:val="left"/>
        <w:rPr>
          <w:i/>
          <w:sz w:val="20"/>
        </w:rPr>
      </w:pPr>
      <w:r>
        <w:rPr>
          <w:i/>
          <w:color w:val="008000"/>
          <w:sz w:val="22"/>
        </w:rPr>
        <w:t>11.3.1.1 </w:t>
      </w:r>
      <w:r>
        <w:rPr>
          <w:i/>
          <w:color w:val="008000"/>
          <w:sz w:val="20"/>
        </w:rPr>
        <w:t>Demand, Supply and Vacancy Trends </w:t>
      </w:r>
      <w:r>
        <w:rPr>
          <w:i/>
          <w:color w:val="008000"/>
          <w:w w:val="105"/>
          <w:sz w:val="20"/>
        </w:rPr>
        <w:t>– </w:t>
      </w:r>
      <w:r>
        <w:rPr>
          <w:i/>
          <w:color w:val="008000"/>
          <w:sz w:val="20"/>
        </w:rPr>
        <w:t>Pune and West Pune micro-market</w:t>
      </w:r>
    </w:p>
    <w:p>
      <w:pPr>
        <w:pStyle w:val="BodyText"/>
        <w:spacing w:before="6"/>
        <w:rPr>
          <w:i/>
          <w:sz w:val="24"/>
        </w:rPr>
      </w:pPr>
    </w:p>
    <w:p>
      <w:pPr>
        <w:pStyle w:val="BodyText"/>
        <w:spacing w:line="280" w:lineRule="auto"/>
        <w:ind w:left="760" w:right="237"/>
        <w:jc w:val="both"/>
      </w:pPr>
      <w:r>
        <w:rPr/>
        <w:t>Total</w:t>
      </w:r>
      <w:r>
        <w:rPr>
          <w:spacing w:val="-27"/>
        </w:rPr>
        <w:t> </w:t>
      </w:r>
      <w:r>
        <w:rPr/>
        <w:t>completed</w:t>
      </w:r>
      <w:r>
        <w:rPr>
          <w:spacing w:val="-27"/>
        </w:rPr>
        <w:t> </w:t>
      </w:r>
      <w:r>
        <w:rPr/>
        <w:t>stock</w:t>
      </w:r>
      <w:r>
        <w:rPr>
          <w:spacing w:val="-27"/>
        </w:rPr>
        <w:t> </w:t>
      </w:r>
      <w:r>
        <w:rPr/>
        <w:t>in</w:t>
      </w:r>
      <w:r>
        <w:rPr>
          <w:spacing w:val="-26"/>
        </w:rPr>
        <w:t> </w:t>
      </w:r>
      <w:r>
        <w:rPr/>
        <w:t>Pune</w:t>
      </w:r>
      <w:r>
        <w:rPr>
          <w:spacing w:val="-27"/>
        </w:rPr>
        <w:t> </w:t>
      </w:r>
      <w:r>
        <w:rPr/>
        <w:t>as</w:t>
      </w:r>
      <w:r>
        <w:rPr>
          <w:spacing w:val="-25"/>
        </w:rPr>
        <w:t> </w:t>
      </w:r>
      <w:r>
        <w:rPr/>
        <w:t>of</w:t>
      </w:r>
      <w:r>
        <w:rPr>
          <w:spacing w:val="-26"/>
        </w:rPr>
        <w:t> </w:t>
      </w:r>
      <w:r>
        <w:rPr/>
        <w:t>Q4,</w:t>
      </w:r>
      <w:r>
        <w:rPr>
          <w:spacing w:val="-26"/>
        </w:rPr>
        <w:t> </w:t>
      </w:r>
      <w:r>
        <w:rPr/>
        <w:t>2019</w:t>
      </w:r>
      <w:r>
        <w:rPr>
          <w:spacing w:val="-27"/>
        </w:rPr>
        <w:t> </w:t>
      </w:r>
      <w:r>
        <w:rPr/>
        <w:t>is</w:t>
      </w:r>
      <w:r>
        <w:rPr>
          <w:spacing w:val="-25"/>
        </w:rPr>
        <w:t> </w:t>
      </w:r>
      <w:r>
        <w:rPr/>
        <w:t>53.52</w:t>
      </w:r>
      <w:r>
        <w:rPr>
          <w:spacing w:val="-25"/>
        </w:rPr>
        <w:t> </w:t>
      </w:r>
      <w:r>
        <w:rPr/>
        <w:t>mn</w:t>
      </w:r>
      <w:r>
        <w:rPr>
          <w:spacing w:val="-26"/>
        </w:rPr>
        <w:t> </w:t>
      </w:r>
      <w:r>
        <w:rPr/>
        <w:t>sf,</w:t>
      </w:r>
      <w:r>
        <w:rPr>
          <w:spacing w:val="-26"/>
        </w:rPr>
        <w:t> </w:t>
      </w:r>
      <w:r>
        <w:rPr/>
        <w:t>out</w:t>
      </w:r>
      <w:r>
        <w:rPr>
          <w:spacing w:val="-27"/>
        </w:rPr>
        <w:t> </w:t>
      </w:r>
      <w:r>
        <w:rPr/>
        <w:t>of</w:t>
      </w:r>
      <w:r>
        <w:rPr>
          <w:spacing w:val="-27"/>
        </w:rPr>
        <w:t> </w:t>
      </w:r>
      <w:r>
        <w:rPr/>
        <w:t>which</w:t>
      </w:r>
      <w:r>
        <w:rPr>
          <w:spacing w:val="-25"/>
        </w:rPr>
        <w:t> </w:t>
      </w:r>
      <w:r>
        <w:rPr/>
        <w:t>West</w:t>
      </w:r>
      <w:r>
        <w:rPr>
          <w:spacing w:val="-28"/>
        </w:rPr>
        <w:t> </w:t>
      </w:r>
      <w:r>
        <w:rPr/>
        <w:t>Pune</w:t>
      </w:r>
      <w:r>
        <w:rPr>
          <w:spacing w:val="-26"/>
        </w:rPr>
        <w:t> </w:t>
      </w:r>
      <w:r>
        <w:rPr/>
        <w:t>account</w:t>
      </w:r>
      <w:r>
        <w:rPr>
          <w:spacing w:val="-26"/>
        </w:rPr>
        <w:t> </w:t>
      </w:r>
      <w:r>
        <w:rPr/>
        <w:t>for</w:t>
      </w:r>
      <w:r>
        <w:rPr>
          <w:spacing w:val="-28"/>
        </w:rPr>
        <w:t> </w:t>
      </w:r>
      <w:r>
        <w:rPr/>
        <w:t>Approx. 19%.</w:t>
      </w:r>
    </w:p>
    <w:p>
      <w:pPr>
        <w:pStyle w:val="BodyText"/>
        <w:spacing w:before="7"/>
        <w:rPr>
          <w:sz w:val="7"/>
        </w:rPr>
      </w:pPr>
    </w:p>
    <w:tbl>
      <w:tblPr>
        <w:tblW w:w="0" w:type="auto"/>
        <w:jc w:val="left"/>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44"/>
        <w:gridCol w:w="3040"/>
        <w:gridCol w:w="3089"/>
      </w:tblGrid>
      <w:tr>
        <w:trPr>
          <w:trHeight w:val="457" w:hRule="atLeast"/>
        </w:trPr>
        <w:tc>
          <w:tcPr>
            <w:tcW w:w="4244" w:type="dxa"/>
            <w:tcBorders>
              <w:top w:val="single" w:sz="12" w:space="0" w:color="1F6B16"/>
            </w:tcBorders>
            <w:shd w:val="clear" w:color="auto" w:fill="006A4D"/>
          </w:tcPr>
          <w:p>
            <w:pPr>
              <w:pStyle w:val="TableParagraph"/>
              <w:spacing w:before="125"/>
              <w:ind w:left="94" w:right="108"/>
              <w:rPr>
                <w:b/>
                <w:sz w:val="18"/>
              </w:rPr>
            </w:pPr>
            <w:r>
              <w:rPr>
                <w:b/>
                <w:color w:val="FFFFFF"/>
                <w:w w:val="105"/>
                <w:sz w:val="18"/>
              </w:rPr>
              <w:t>Particular</w:t>
            </w:r>
          </w:p>
        </w:tc>
        <w:tc>
          <w:tcPr>
            <w:tcW w:w="3040" w:type="dxa"/>
            <w:tcBorders>
              <w:top w:val="single" w:sz="12" w:space="0" w:color="1F6B16"/>
              <w:bottom w:val="single" w:sz="6" w:space="0" w:color="69BD28"/>
            </w:tcBorders>
            <w:shd w:val="clear" w:color="auto" w:fill="006A4D"/>
          </w:tcPr>
          <w:p>
            <w:pPr>
              <w:pStyle w:val="TableParagraph"/>
              <w:spacing w:before="125"/>
              <w:ind w:left="395" w:right="427"/>
              <w:rPr>
                <w:b/>
                <w:sz w:val="18"/>
              </w:rPr>
            </w:pPr>
            <w:r>
              <w:rPr>
                <w:b/>
                <w:color w:val="FFFFFF"/>
                <w:w w:val="110"/>
                <w:sz w:val="18"/>
              </w:rPr>
              <w:t>Pune</w:t>
            </w:r>
          </w:p>
        </w:tc>
        <w:tc>
          <w:tcPr>
            <w:tcW w:w="3089" w:type="dxa"/>
            <w:tcBorders>
              <w:top w:val="single" w:sz="12" w:space="0" w:color="1F6B16"/>
              <w:bottom w:val="single" w:sz="6" w:space="0" w:color="69BD28"/>
            </w:tcBorders>
            <w:shd w:val="clear" w:color="auto" w:fill="006A4D"/>
          </w:tcPr>
          <w:p>
            <w:pPr>
              <w:pStyle w:val="TableParagraph"/>
              <w:spacing w:before="125"/>
              <w:ind w:left="827" w:right="841"/>
              <w:rPr>
                <w:b/>
                <w:sz w:val="18"/>
              </w:rPr>
            </w:pPr>
            <w:r>
              <w:rPr>
                <w:b/>
                <w:color w:val="FFFFFF"/>
                <w:w w:val="105"/>
                <w:sz w:val="18"/>
              </w:rPr>
              <w:t>West Pune</w:t>
            </w:r>
          </w:p>
        </w:tc>
      </w:tr>
      <w:tr>
        <w:trPr>
          <w:trHeight w:val="520" w:hRule="atLeast"/>
        </w:trPr>
        <w:tc>
          <w:tcPr>
            <w:tcW w:w="4244" w:type="dxa"/>
            <w:vMerge w:val="restart"/>
            <w:shd w:val="clear" w:color="auto" w:fill="69BD28"/>
          </w:tcPr>
          <w:p>
            <w:pPr>
              <w:pStyle w:val="TableParagraph"/>
              <w:spacing w:line="619" w:lineRule="auto" w:before="123"/>
              <w:ind w:left="367" w:right="291"/>
              <w:rPr>
                <w:sz w:val="18"/>
              </w:rPr>
            </w:pPr>
            <w:r>
              <w:rPr>
                <w:color w:val="FFFFFF"/>
                <w:sz w:val="18"/>
              </w:rPr>
              <w:t>Cumulative</w:t>
            </w:r>
            <w:r>
              <w:rPr>
                <w:color w:val="FFFFFF"/>
                <w:spacing w:val="-17"/>
                <w:sz w:val="18"/>
              </w:rPr>
              <w:t> </w:t>
            </w:r>
            <w:r>
              <w:rPr>
                <w:color w:val="FFFFFF"/>
                <w:sz w:val="18"/>
              </w:rPr>
              <w:t>completed</w:t>
            </w:r>
            <w:r>
              <w:rPr>
                <w:color w:val="FFFFFF"/>
                <w:spacing w:val="-18"/>
                <w:sz w:val="18"/>
              </w:rPr>
              <w:t> </w:t>
            </w:r>
            <w:r>
              <w:rPr>
                <w:color w:val="FFFFFF"/>
                <w:sz w:val="18"/>
              </w:rPr>
              <w:t>office</w:t>
            </w:r>
            <w:r>
              <w:rPr>
                <w:color w:val="FFFFFF"/>
                <w:spacing w:val="-17"/>
                <w:sz w:val="18"/>
              </w:rPr>
              <w:t> </w:t>
            </w:r>
            <w:r>
              <w:rPr>
                <w:color w:val="FFFFFF"/>
                <w:sz w:val="18"/>
              </w:rPr>
              <w:t>stock</w:t>
            </w:r>
            <w:r>
              <w:rPr>
                <w:color w:val="FFFFFF"/>
                <w:spacing w:val="-17"/>
                <w:sz w:val="18"/>
              </w:rPr>
              <w:t> </w:t>
            </w:r>
            <w:r>
              <w:rPr>
                <w:color w:val="FFFFFF"/>
                <w:sz w:val="18"/>
              </w:rPr>
              <w:t>(Q4</w:t>
            </w:r>
            <w:r>
              <w:rPr>
                <w:color w:val="FFFFFF"/>
                <w:spacing w:val="-18"/>
                <w:sz w:val="18"/>
              </w:rPr>
              <w:t> </w:t>
            </w:r>
            <w:r>
              <w:rPr>
                <w:color w:val="FFFFFF"/>
                <w:sz w:val="18"/>
              </w:rPr>
              <w:t>2019) Cumulative occupied stock (Q4 2019) Current Vacancy (Q4 2019)</w:t>
            </w:r>
          </w:p>
          <w:p>
            <w:pPr>
              <w:pStyle w:val="TableParagraph"/>
              <w:spacing w:before="5"/>
              <w:ind w:left="185" w:right="107"/>
              <w:rPr>
                <w:sz w:val="18"/>
              </w:rPr>
            </w:pPr>
            <w:r>
              <w:rPr>
                <w:color w:val="FFFFFF"/>
                <w:w w:val="110"/>
                <w:sz w:val="18"/>
              </w:rPr>
              <w:t>Average Absorption (2014 – 2019)</w:t>
            </w:r>
          </w:p>
        </w:tc>
        <w:tc>
          <w:tcPr>
            <w:tcW w:w="3040" w:type="dxa"/>
            <w:tcBorders>
              <w:top w:val="single" w:sz="6" w:space="0" w:color="69BD28"/>
              <w:bottom w:val="single" w:sz="6" w:space="0" w:color="69BD28"/>
            </w:tcBorders>
          </w:tcPr>
          <w:p>
            <w:pPr>
              <w:pStyle w:val="TableParagraph"/>
              <w:spacing w:before="123"/>
              <w:ind w:left="400" w:right="427"/>
              <w:rPr>
                <w:sz w:val="18"/>
              </w:rPr>
            </w:pPr>
            <w:r>
              <w:rPr>
                <w:sz w:val="18"/>
              </w:rPr>
              <w:t>Approx. 53.5 msf</w:t>
            </w:r>
          </w:p>
        </w:tc>
        <w:tc>
          <w:tcPr>
            <w:tcW w:w="3089" w:type="dxa"/>
            <w:tcBorders>
              <w:top w:val="single" w:sz="6" w:space="0" w:color="69BD28"/>
              <w:bottom w:val="single" w:sz="6" w:space="0" w:color="69BD28"/>
            </w:tcBorders>
          </w:tcPr>
          <w:p>
            <w:pPr>
              <w:pStyle w:val="TableParagraph"/>
              <w:spacing w:before="123"/>
              <w:ind w:left="827" w:right="842"/>
              <w:rPr>
                <w:sz w:val="18"/>
              </w:rPr>
            </w:pPr>
            <w:r>
              <w:rPr>
                <w:sz w:val="18"/>
              </w:rPr>
              <w:t>Approx. 10.0 msf</w:t>
            </w:r>
          </w:p>
        </w:tc>
      </w:tr>
      <w:tr>
        <w:trPr>
          <w:trHeight w:val="525" w:hRule="atLeast"/>
        </w:trPr>
        <w:tc>
          <w:tcPr>
            <w:tcW w:w="4244" w:type="dxa"/>
            <w:vMerge/>
            <w:tcBorders>
              <w:top w:val="nil"/>
            </w:tcBorders>
            <w:shd w:val="clear" w:color="auto" w:fill="69BD28"/>
          </w:tcPr>
          <w:p>
            <w:pPr>
              <w:rPr>
                <w:sz w:val="2"/>
                <w:szCs w:val="2"/>
              </w:rPr>
            </w:pPr>
          </w:p>
        </w:tc>
        <w:tc>
          <w:tcPr>
            <w:tcW w:w="3040" w:type="dxa"/>
            <w:tcBorders>
              <w:top w:val="single" w:sz="6" w:space="0" w:color="69BD28"/>
              <w:bottom w:val="single" w:sz="6" w:space="0" w:color="69BD28"/>
            </w:tcBorders>
          </w:tcPr>
          <w:p>
            <w:pPr>
              <w:pStyle w:val="TableParagraph"/>
              <w:spacing w:before="128"/>
              <w:ind w:left="400" w:right="427"/>
              <w:rPr>
                <w:sz w:val="18"/>
              </w:rPr>
            </w:pPr>
            <w:r>
              <w:rPr>
                <w:sz w:val="18"/>
              </w:rPr>
              <w:t>Approx. 50.5 msf</w:t>
            </w:r>
          </w:p>
        </w:tc>
        <w:tc>
          <w:tcPr>
            <w:tcW w:w="3089" w:type="dxa"/>
            <w:tcBorders>
              <w:top w:val="single" w:sz="6" w:space="0" w:color="69BD28"/>
              <w:bottom w:val="single" w:sz="6" w:space="0" w:color="69BD28"/>
            </w:tcBorders>
          </w:tcPr>
          <w:p>
            <w:pPr>
              <w:pStyle w:val="TableParagraph"/>
              <w:spacing w:before="128"/>
              <w:ind w:left="827" w:right="843"/>
              <w:rPr>
                <w:sz w:val="18"/>
              </w:rPr>
            </w:pPr>
            <w:r>
              <w:rPr>
                <w:sz w:val="18"/>
              </w:rPr>
              <w:t>Approx. 9.6 msf</w:t>
            </w:r>
          </w:p>
        </w:tc>
      </w:tr>
      <w:tr>
        <w:trPr>
          <w:trHeight w:val="525" w:hRule="atLeast"/>
        </w:trPr>
        <w:tc>
          <w:tcPr>
            <w:tcW w:w="4244" w:type="dxa"/>
            <w:vMerge/>
            <w:tcBorders>
              <w:top w:val="nil"/>
            </w:tcBorders>
            <w:shd w:val="clear" w:color="auto" w:fill="69BD28"/>
          </w:tcPr>
          <w:p>
            <w:pPr>
              <w:rPr>
                <w:sz w:val="2"/>
                <w:szCs w:val="2"/>
              </w:rPr>
            </w:pPr>
          </w:p>
        </w:tc>
        <w:tc>
          <w:tcPr>
            <w:tcW w:w="3040" w:type="dxa"/>
            <w:tcBorders>
              <w:top w:val="single" w:sz="6" w:space="0" w:color="69BD28"/>
              <w:bottom w:val="single" w:sz="6" w:space="0" w:color="69BD28"/>
            </w:tcBorders>
          </w:tcPr>
          <w:p>
            <w:pPr>
              <w:pStyle w:val="TableParagraph"/>
              <w:spacing w:before="128"/>
              <w:ind w:left="397" w:right="427"/>
              <w:rPr>
                <w:sz w:val="18"/>
              </w:rPr>
            </w:pPr>
            <w:r>
              <w:rPr>
                <w:w w:val="105"/>
                <w:sz w:val="18"/>
              </w:rPr>
              <w:t>Approx. 5.6%</w:t>
            </w:r>
          </w:p>
        </w:tc>
        <w:tc>
          <w:tcPr>
            <w:tcW w:w="3089" w:type="dxa"/>
            <w:tcBorders>
              <w:top w:val="single" w:sz="6" w:space="0" w:color="69BD28"/>
              <w:bottom w:val="single" w:sz="6" w:space="0" w:color="69BD28"/>
            </w:tcBorders>
          </w:tcPr>
          <w:p>
            <w:pPr>
              <w:pStyle w:val="TableParagraph"/>
              <w:spacing w:before="128"/>
              <w:ind w:left="825" w:right="843"/>
              <w:rPr>
                <w:sz w:val="18"/>
              </w:rPr>
            </w:pPr>
            <w:r>
              <w:rPr>
                <w:w w:val="105"/>
                <w:sz w:val="18"/>
              </w:rPr>
              <w:t>Approx. 3.5%</w:t>
            </w:r>
          </w:p>
        </w:tc>
      </w:tr>
      <w:tr>
        <w:trPr>
          <w:trHeight w:val="527" w:hRule="atLeast"/>
        </w:trPr>
        <w:tc>
          <w:tcPr>
            <w:tcW w:w="4244" w:type="dxa"/>
            <w:vMerge/>
            <w:tcBorders>
              <w:top w:val="nil"/>
            </w:tcBorders>
            <w:shd w:val="clear" w:color="auto" w:fill="69BD28"/>
          </w:tcPr>
          <w:p>
            <w:pPr>
              <w:rPr>
                <w:sz w:val="2"/>
                <w:szCs w:val="2"/>
              </w:rPr>
            </w:pPr>
          </w:p>
        </w:tc>
        <w:tc>
          <w:tcPr>
            <w:tcW w:w="3040" w:type="dxa"/>
            <w:tcBorders>
              <w:top w:val="single" w:sz="6" w:space="0" w:color="69BD28"/>
              <w:bottom w:val="single" w:sz="6" w:space="0" w:color="69BD28"/>
            </w:tcBorders>
          </w:tcPr>
          <w:p>
            <w:pPr>
              <w:pStyle w:val="TableParagraph"/>
              <w:spacing w:before="130"/>
              <w:ind w:left="399" w:right="427"/>
              <w:rPr>
                <w:sz w:val="18"/>
              </w:rPr>
            </w:pPr>
            <w:r>
              <w:rPr>
                <w:sz w:val="18"/>
              </w:rPr>
              <w:t>Approx. 3.68 msf</w:t>
            </w:r>
          </w:p>
        </w:tc>
        <w:tc>
          <w:tcPr>
            <w:tcW w:w="3089" w:type="dxa"/>
            <w:tcBorders>
              <w:top w:val="single" w:sz="6" w:space="0" w:color="69BD28"/>
              <w:bottom w:val="single" w:sz="6" w:space="0" w:color="69BD28"/>
            </w:tcBorders>
          </w:tcPr>
          <w:p>
            <w:pPr>
              <w:pStyle w:val="TableParagraph"/>
              <w:spacing w:before="130"/>
              <w:ind w:left="826" w:right="843"/>
              <w:rPr>
                <w:sz w:val="18"/>
              </w:rPr>
            </w:pPr>
            <w:r>
              <w:rPr>
                <w:sz w:val="18"/>
              </w:rPr>
              <w:t>Approx. 0.58 msf</w:t>
            </w:r>
          </w:p>
        </w:tc>
      </w:tr>
    </w:tbl>
    <w:p>
      <w:pPr>
        <w:spacing w:before="9"/>
        <w:ind w:left="220" w:right="0" w:firstLine="0"/>
        <w:jc w:val="left"/>
        <w:rPr>
          <w:i/>
          <w:sz w:val="18"/>
        </w:rPr>
      </w:pPr>
      <w:r>
        <w:rPr>
          <w:i/>
          <w:sz w:val="18"/>
        </w:rPr>
        <w:t>Source: CBRE Research</w:t>
      </w:r>
    </w:p>
    <w:p>
      <w:pPr>
        <w:spacing w:after="0"/>
        <w:jc w:val="left"/>
        <w:rPr>
          <w:sz w:val="18"/>
        </w:rPr>
        <w:sectPr>
          <w:pgSz w:w="11910" w:h="16840"/>
          <w:pgMar w:header="720" w:footer="921" w:top="1660" w:bottom="1120" w:left="500" w:right="480"/>
        </w:sectPr>
      </w:pPr>
    </w:p>
    <w:p>
      <w:pPr>
        <w:pStyle w:val="BodyText"/>
        <w:spacing w:before="4"/>
        <w:rPr>
          <w:i/>
          <w:sz w:val="18"/>
        </w:rPr>
      </w:pPr>
    </w:p>
    <w:p>
      <w:pPr>
        <w:pStyle w:val="BodyText"/>
        <w:ind w:left="102"/>
        <w:rPr>
          <w:sz w:val="20"/>
        </w:rPr>
      </w:pPr>
      <w:r>
        <w:rPr>
          <w:sz w:val="20"/>
        </w:rPr>
        <w:pict>
          <v:group style="width:535.450pt;height:15.5pt;mso-position-horizontal-relative:char;mso-position-vertical-relative:line" coordorigin="0,0" coordsize="10709,310">
            <v:rect style="position:absolute;left:0;top:28;width:10707;height:281" filled="true" fillcolor="#006a4d" stroked="false">
              <v:fill type="solid"/>
            </v:rect>
            <v:rect style="position:absolute;left:0;top:0;width:10709;height:29" filled="true" fillcolor="#1f6b16" stroked="false">
              <v:fill type="solid"/>
            </v:rect>
            <v:rect style="position:absolute;left:0;top:28;width:10709;height:3" filled="true" fillcolor="#006a4d" stroked="false">
              <v:fill type="solid"/>
            </v:rect>
            <v:shape style="position:absolute;left:0;top:28;width:10709;height:281" type="#_x0000_t202" filled="false" stroked="false">
              <v:textbox inset="0,0,0,0">
                <w:txbxContent>
                  <w:p>
                    <w:pPr>
                      <w:spacing w:before="37"/>
                      <w:ind w:left="3686" w:right="3686" w:firstLine="0"/>
                      <w:jc w:val="center"/>
                      <w:rPr>
                        <w:b/>
                        <w:sz w:val="18"/>
                      </w:rPr>
                    </w:pPr>
                    <w:r>
                      <w:rPr>
                        <w:b/>
                        <w:color w:val="FFFFFF"/>
                        <w:w w:val="115"/>
                        <w:sz w:val="18"/>
                      </w:rPr>
                      <w:t>Demand – Supply Dynamics (Pune)</w:t>
                    </w:r>
                  </w:p>
                </w:txbxContent>
              </v:textbox>
              <w10:wrap type="none"/>
            </v:shape>
          </v:group>
        </w:pict>
      </w:r>
      <w:r>
        <w:rPr>
          <w:sz w:val="20"/>
        </w:rPr>
      </w:r>
    </w:p>
    <w:p>
      <w:pPr>
        <w:pStyle w:val="BodyText"/>
        <w:rPr>
          <w:i/>
          <w:sz w:val="20"/>
        </w:rPr>
      </w:pPr>
    </w:p>
    <w:p>
      <w:pPr>
        <w:pStyle w:val="BodyText"/>
        <w:spacing w:before="2"/>
        <w:rPr>
          <w:i/>
          <w:sz w:val="21"/>
        </w:rPr>
      </w:pPr>
    </w:p>
    <w:p>
      <w:pPr>
        <w:spacing w:after="0"/>
        <w:rPr>
          <w:sz w:val="21"/>
        </w:rPr>
        <w:sectPr>
          <w:pgSz w:w="11910" w:h="16840"/>
          <w:pgMar w:header="720" w:footer="921" w:top="1660" w:bottom="1120" w:left="500" w:right="480"/>
        </w:sectPr>
      </w:pPr>
    </w:p>
    <w:p>
      <w:pPr>
        <w:spacing w:before="92"/>
        <w:ind w:left="897" w:right="0" w:firstLine="0"/>
        <w:jc w:val="left"/>
        <w:rPr>
          <w:rFonts w:ascii="Times New Roman"/>
          <w:sz w:val="18"/>
        </w:rPr>
      </w:pPr>
      <w:r>
        <w:rPr>
          <w:rFonts w:ascii="Times New Roman"/>
          <w:sz w:val="18"/>
        </w:rPr>
        <w:t>5.0</w:t>
      </w:r>
    </w:p>
    <w:p>
      <w:pPr>
        <w:spacing w:before="104"/>
        <w:ind w:left="897" w:right="0" w:firstLine="0"/>
        <w:jc w:val="left"/>
        <w:rPr>
          <w:rFonts w:ascii="Times New Roman"/>
          <w:sz w:val="18"/>
        </w:rPr>
      </w:pPr>
      <w:r>
        <w:rPr>
          <w:rFonts w:ascii="Times New Roman"/>
          <w:sz w:val="18"/>
        </w:rPr>
        <w:t>4.5</w:t>
      </w:r>
    </w:p>
    <w:p>
      <w:pPr>
        <w:spacing w:before="103"/>
        <w:ind w:left="897" w:right="0" w:firstLine="0"/>
        <w:jc w:val="left"/>
        <w:rPr>
          <w:rFonts w:ascii="Times New Roman"/>
          <w:sz w:val="18"/>
        </w:rPr>
      </w:pPr>
      <w:r>
        <w:rPr/>
        <w:pict>
          <v:shape style="position:absolute;margin-left:48.675976pt;margin-top:17.112936pt;width:12pt;height:71.55pt;mso-position-horizontal-relative:page;mso-position-vertical-relative:paragraph;z-index:16298496" type="#_x0000_t202" filled="false" stroked="false">
            <v:textbox inset="0,0,0,0" style="layout-flow:vertical;mso-layout-flow-alt:bottom-to-top">
              <w:txbxContent>
                <w:p>
                  <w:pPr>
                    <w:spacing w:before="12"/>
                    <w:ind w:left="20" w:right="0" w:firstLine="0"/>
                    <w:jc w:val="left"/>
                    <w:rPr>
                      <w:rFonts w:ascii="Times New Roman"/>
                      <w:sz w:val="18"/>
                    </w:rPr>
                  </w:pPr>
                  <w:r>
                    <w:rPr>
                      <w:rFonts w:ascii="Times New Roman"/>
                      <w:sz w:val="18"/>
                    </w:rPr>
                    <w:t>Area (million sq ft)</w:t>
                  </w:r>
                </w:p>
              </w:txbxContent>
            </v:textbox>
            <w10:wrap type="none"/>
          </v:shape>
        </w:pict>
      </w:r>
      <w:r>
        <w:rPr>
          <w:rFonts w:ascii="Times New Roman"/>
          <w:sz w:val="18"/>
        </w:rPr>
        <w:t>4.0</w:t>
      </w:r>
    </w:p>
    <w:p>
      <w:pPr>
        <w:spacing w:before="103"/>
        <w:ind w:left="897" w:right="0" w:firstLine="0"/>
        <w:jc w:val="left"/>
        <w:rPr>
          <w:rFonts w:ascii="Times New Roman"/>
          <w:sz w:val="18"/>
        </w:rPr>
      </w:pPr>
      <w:r>
        <w:rPr>
          <w:rFonts w:ascii="Times New Roman"/>
          <w:sz w:val="18"/>
        </w:rPr>
        <w:t>3.5</w:t>
      </w:r>
    </w:p>
    <w:p>
      <w:pPr>
        <w:spacing w:before="104"/>
        <w:ind w:left="897" w:right="0" w:firstLine="0"/>
        <w:jc w:val="left"/>
        <w:rPr>
          <w:rFonts w:ascii="Times New Roman"/>
          <w:sz w:val="18"/>
        </w:rPr>
      </w:pPr>
      <w:r>
        <w:rPr>
          <w:rFonts w:ascii="Times New Roman"/>
          <w:sz w:val="18"/>
        </w:rPr>
        <w:t>3.0</w:t>
      </w:r>
    </w:p>
    <w:p>
      <w:pPr>
        <w:spacing w:before="103"/>
        <w:ind w:left="897" w:right="0" w:firstLine="0"/>
        <w:jc w:val="left"/>
        <w:rPr>
          <w:rFonts w:ascii="Times New Roman"/>
          <w:sz w:val="18"/>
        </w:rPr>
      </w:pPr>
      <w:r>
        <w:rPr>
          <w:rFonts w:ascii="Times New Roman"/>
          <w:sz w:val="18"/>
        </w:rPr>
        <w:t>2.5</w:t>
      </w:r>
    </w:p>
    <w:p>
      <w:pPr>
        <w:spacing w:before="103"/>
        <w:ind w:left="897" w:right="0" w:firstLine="0"/>
        <w:jc w:val="left"/>
        <w:rPr>
          <w:rFonts w:ascii="Times New Roman"/>
          <w:sz w:val="18"/>
        </w:rPr>
      </w:pPr>
      <w:r>
        <w:rPr>
          <w:rFonts w:ascii="Times New Roman"/>
          <w:sz w:val="18"/>
        </w:rPr>
        <w:t>2.0</w:t>
      </w:r>
    </w:p>
    <w:p>
      <w:pPr>
        <w:spacing w:before="104"/>
        <w:ind w:left="897" w:right="0" w:firstLine="0"/>
        <w:jc w:val="left"/>
        <w:rPr>
          <w:rFonts w:ascii="Times New Roman"/>
          <w:sz w:val="18"/>
        </w:rPr>
      </w:pPr>
      <w:r>
        <w:rPr>
          <w:rFonts w:ascii="Times New Roman"/>
          <w:sz w:val="18"/>
        </w:rPr>
        <w:t>1.5</w:t>
      </w:r>
    </w:p>
    <w:p>
      <w:pPr>
        <w:spacing w:before="103"/>
        <w:ind w:left="897" w:right="0" w:firstLine="0"/>
        <w:jc w:val="left"/>
        <w:rPr>
          <w:rFonts w:ascii="Times New Roman"/>
          <w:sz w:val="18"/>
        </w:rPr>
      </w:pPr>
      <w:r>
        <w:rPr>
          <w:rFonts w:ascii="Times New Roman"/>
          <w:sz w:val="18"/>
        </w:rPr>
        <w:t>1.0</w:t>
      </w:r>
    </w:p>
    <w:p>
      <w:pPr>
        <w:spacing w:before="104"/>
        <w:ind w:left="897" w:right="0" w:firstLine="0"/>
        <w:jc w:val="left"/>
        <w:rPr>
          <w:rFonts w:ascii="Times New Roman"/>
          <w:sz w:val="18"/>
        </w:rPr>
      </w:pPr>
      <w:r>
        <w:rPr>
          <w:rFonts w:ascii="Times New Roman"/>
          <w:sz w:val="18"/>
        </w:rPr>
        <w:t>0.5</w:t>
      </w:r>
    </w:p>
    <w:p>
      <w:pPr>
        <w:spacing w:before="103"/>
        <w:ind w:left="897" w:right="0" w:firstLine="0"/>
        <w:jc w:val="left"/>
        <w:rPr>
          <w:rFonts w:ascii="Times New Roman"/>
          <w:sz w:val="18"/>
        </w:rPr>
      </w:pPr>
      <w:r>
        <w:rPr>
          <w:rFonts w:ascii="Times New Roman"/>
          <w:sz w:val="18"/>
        </w:rPr>
        <w:t>0.0</w:t>
      </w:r>
    </w:p>
    <w:p>
      <w:pPr>
        <w:pStyle w:val="BodyText"/>
        <w:rPr>
          <w:rFonts w:ascii="Times New Roman"/>
          <w:sz w:val="20"/>
        </w:rPr>
      </w:pPr>
      <w:r>
        <w:rPr/>
        <w:br w:type="column"/>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3"/>
        <w:rPr>
          <w:rFonts w:ascii="Times New Roman"/>
          <w:sz w:val="16"/>
        </w:rPr>
      </w:pPr>
    </w:p>
    <w:p>
      <w:pPr>
        <w:tabs>
          <w:tab w:pos="1952" w:val="left" w:leader="none"/>
          <w:tab w:pos="3298" w:val="left" w:leader="none"/>
          <w:tab w:pos="4644" w:val="left" w:leader="none"/>
          <w:tab w:pos="5990" w:val="left" w:leader="none"/>
          <w:tab w:pos="7335" w:val="left" w:leader="none"/>
        </w:tabs>
        <w:spacing w:before="0"/>
        <w:ind w:left="606" w:right="0" w:firstLine="0"/>
        <w:jc w:val="left"/>
        <w:rPr>
          <w:rFonts w:ascii="Times New Roman"/>
          <w:sz w:val="18"/>
        </w:rPr>
      </w:pPr>
      <w:r>
        <w:rPr>
          <w:rFonts w:ascii="Times New Roman"/>
          <w:sz w:val="18"/>
        </w:rPr>
        <w:t>2014</w:t>
        <w:tab/>
        <w:t>2015</w:t>
        <w:tab/>
        <w:t>2016</w:t>
        <w:tab/>
        <w:t>2017</w:t>
        <w:tab/>
        <w:t>2018</w:t>
        <w:tab/>
      </w:r>
      <w:r>
        <w:rPr>
          <w:rFonts w:ascii="Times New Roman"/>
          <w:spacing w:val="-5"/>
          <w:sz w:val="18"/>
        </w:rPr>
        <w:t>2019</w:t>
      </w:r>
    </w:p>
    <w:p>
      <w:pPr>
        <w:tabs>
          <w:tab w:pos="3798" w:val="left" w:leader="none"/>
          <w:tab w:pos="5361" w:val="left" w:leader="none"/>
        </w:tabs>
        <w:spacing w:before="146"/>
        <w:ind w:left="2535" w:right="0" w:firstLine="0"/>
        <w:jc w:val="left"/>
        <w:rPr>
          <w:rFonts w:ascii="Times New Roman"/>
          <w:sz w:val="18"/>
        </w:rPr>
      </w:pPr>
      <w:r>
        <w:rPr/>
        <w:pict>
          <v:rect style="position:absolute;margin-left:188.589996pt;margin-top:10.578032pt;width:19.2pt;height:4.4843pt;mso-position-horizontal-relative:page;mso-position-vertical-relative:paragraph;z-index:16295936" filled="true" fillcolor="#006a4d" stroked="false">
            <v:fill type="solid"/>
            <w10:wrap type="none"/>
          </v:rect>
        </w:pict>
      </w:r>
      <w:r>
        <w:rPr/>
        <w:pict>
          <v:rect style="position:absolute;margin-left:251.740005pt;margin-top:10.578032pt;width:19.2pt;height:4.4843pt;mso-position-horizontal-relative:page;mso-position-vertical-relative:paragraph;z-index:-34331648" filled="true" fillcolor="#9bba58" stroked="false">
            <v:fill type="solid"/>
            <w10:wrap type="none"/>
          </v:rect>
        </w:pict>
      </w:r>
      <w:r>
        <w:rPr/>
        <w:pict>
          <v:group style="position:absolute;margin-left:329.890015pt;margin-top:9.827332pt;width:19.2pt;height:5.8pt;mso-position-horizontal-relative:page;mso-position-vertical-relative:paragraph;z-index:-34331136" coordorigin="6598,197" coordsize="384,116">
            <v:shape style="position:absolute;left:6597;top:256;width:384;height:2" coordorigin="6598,256" coordsize="384,0" path="m6598,256l6739,256m6840,256l6982,256e" filled="false" stroked="true" strokeweight="2.25pt" strokecolor="#92d050">
              <v:path arrowok="t"/>
              <v:stroke dashstyle="solid"/>
            </v:shape>
            <v:rect style="position:absolute;left:6739;top:204;width:101;height:101" filled="true" fillcolor="#00af50" stroked="false">
              <v:fill type="solid"/>
            </v:rect>
            <v:rect style="position:absolute;left:6739;top:204;width:101;height:101" filled="false" stroked="true" strokeweight=".75pt" strokecolor="#9bba58">
              <v:stroke dashstyle="solid"/>
            </v:rect>
            <w10:wrap type="none"/>
          </v:group>
        </w:pict>
      </w:r>
      <w:r>
        <w:rPr>
          <w:rFonts w:ascii="Times New Roman"/>
          <w:sz w:val="18"/>
        </w:rPr>
        <w:t>Supply</w:t>
        <w:tab/>
        <w:t>Absorption</w:t>
        <w:tab/>
        <w:t>Vacancy</w:t>
      </w:r>
      <w:r>
        <w:rPr>
          <w:rFonts w:ascii="Times New Roman"/>
          <w:spacing w:val="-2"/>
          <w:sz w:val="18"/>
        </w:rPr>
        <w:t> </w:t>
      </w:r>
      <w:r>
        <w:rPr>
          <w:rFonts w:ascii="Times New Roman"/>
          <w:sz w:val="18"/>
        </w:rPr>
        <w:t>(%)</w:t>
      </w:r>
    </w:p>
    <w:p>
      <w:pPr>
        <w:spacing w:before="92"/>
        <w:ind w:left="605" w:right="0" w:firstLine="0"/>
        <w:jc w:val="left"/>
        <w:rPr>
          <w:rFonts w:ascii="Times New Roman"/>
          <w:sz w:val="18"/>
        </w:rPr>
      </w:pPr>
      <w:r>
        <w:rPr/>
        <w:br w:type="column"/>
      </w:r>
      <w:r>
        <w:rPr>
          <w:rFonts w:ascii="Times New Roman"/>
          <w:sz w:val="18"/>
        </w:rPr>
        <w:t>14%</w:t>
      </w:r>
    </w:p>
    <w:p>
      <w:pPr>
        <w:pStyle w:val="BodyText"/>
        <w:spacing w:before="7"/>
        <w:rPr>
          <w:rFonts w:ascii="Times New Roman"/>
          <w:sz w:val="20"/>
        </w:rPr>
      </w:pPr>
    </w:p>
    <w:p>
      <w:pPr>
        <w:spacing w:before="0"/>
        <w:ind w:left="605" w:right="0" w:firstLine="0"/>
        <w:jc w:val="left"/>
        <w:rPr>
          <w:rFonts w:ascii="Times New Roman"/>
          <w:sz w:val="18"/>
        </w:rPr>
      </w:pPr>
      <w:r>
        <w:rPr/>
        <w:pict>
          <v:group style="position:absolute;margin-left:86.096001pt;margin-top:-20.767694pt;width:409.05pt;height:159.8pt;mso-position-horizontal-relative:page;mso-position-vertical-relative:paragraph;z-index:16295424" coordorigin="1722,-415" coordsize="8181,3196">
            <v:rect style="position:absolute;left:1886;top:1376;width:562;height:1394" filled="true" fillcolor="#006a4d" stroked="false">
              <v:fill type="solid"/>
            </v:rect>
            <v:rect style="position:absolute;left:2448;top:541;width:562;height:2230" filled="true" fillcolor="#9bba58" stroked="false">
              <v:fill type="solid"/>
            </v:rect>
            <v:rect style="position:absolute;left:3232;top:582;width:562;height:2189" filled="true" fillcolor="#006a4d" stroked="false">
              <v:fill type="solid"/>
            </v:rect>
            <v:rect style="position:absolute;left:3794;top:56;width:560;height:2714" filled="true" fillcolor="#9bba58" stroked="false">
              <v:fill type="solid"/>
            </v:rect>
            <v:rect style="position:absolute;left:4579;top:800;width:560;height:1970" filled="true" fillcolor="#006a4d" stroked="false">
              <v:fill type="solid"/>
            </v:rect>
            <v:rect style="position:absolute;left:5138;top:251;width:562;height:2520" filled="true" fillcolor="#9bba58" stroked="false">
              <v:fill type="solid"/>
            </v:rect>
            <v:rect style="position:absolute;left:5923;top:1350;width:562;height:1421" filled="true" fillcolor="#006a4d" stroked="false">
              <v:fill type="solid"/>
            </v:rect>
            <v:rect style="position:absolute;left:6484;top:755;width:562;height:2016" filled="true" fillcolor="#9bba58" stroked="false">
              <v:fill type="solid"/>
            </v:rect>
            <v:rect style="position:absolute;left:7269;top:697;width:562;height:2074" filled="true" fillcolor="#006a4d" stroked="false">
              <v:fill type="solid"/>
            </v:rect>
            <v:rect style="position:absolute;left:7831;top:1100;width:560;height:1670" filled="true" fillcolor="#9bba58" stroked="false">
              <v:fill type="solid"/>
            </v:rect>
            <v:rect style="position:absolute;left:8616;top:-30;width:560;height:2801" filled="true" fillcolor="#006a4d" stroked="false">
              <v:fill type="solid"/>
            </v:rect>
            <v:rect style="position:absolute;left:9175;top:205;width:562;height:2566" filled="true" fillcolor="#9bba58" stroked="false">
              <v:fill type="solid"/>
            </v:rect>
            <v:shape style="position:absolute;left:9848;top:-333;width:54;height:3103" coordorigin="9849,-332" coordsize="54,3103" path="m9849,2771l9849,-332m9849,2771l9902,2771m9849,2327l9902,2327m9849,1883l9902,1883m9849,1441l9902,1441m9849,997l9902,997m9849,553l9902,553m9849,112l9902,112m9849,-332l9902,-332e" filled="false" stroked="true" strokeweight=".75pt" strokecolor="#858585">
              <v:path arrowok="t"/>
              <v:stroke dashstyle="solid"/>
            </v:shape>
            <v:shape style="position:absolute;left:1721;top:-333;width:54;height:3103" coordorigin="1722,-332" coordsize="54,3103" path="m1775,2771l1775,-332m1722,2771l1775,2771m1722,2461l1775,2461m1722,2149l1775,2149m1722,1840l1775,1840m1722,1530l1775,1530m1722,1218l1775,1218m1722,909l1775,909m1722,599l1775,599m1722,289l1775,289m1722,-23l1775,-23m1722,-332l1775,-332e" filled="false" stroked="true" strokeweight=".5pt" strokecolor="#000000">
              <v:path arrowok="t"/>
              <v:stroke dashstyle="solid"/>
            </v:shape>
            <v:line style="position:absolute" from="1775,2771" to="9849,2771" stroked="true" strokeweight="1pt" strokecolor="#000000">
              <v:stroke dashstyle="solid"/>
            </v:line>
            <v:shape style="position:absolute;left:2448;top:-57;width:6728;height:1863" coordorigin="2448,-57" coordsize="6728,1863" path="m2448,-57l3794,659,5138,1266,6485,1806,7831,1578,9176,1523e" filled="false" stroked="true" strokeweight="2.25pt" strokecolor="#92d050">
              <v:path arrowok="t"/>
              <v:stroke dashstyle="solid"/>
            </v:shape>
            <v:rect style="position:absolute;left:2377;top:-127;width:140;height:140" filled="true" fillcolor="#00af50" stroked="false">
              <v:fill type="solid"/>
            </v:rect>
            <v:rect style="position:absolute;left:2377;top:-127;width:140;height:140" filled="false" stroked="true" strokeweight=".72pt" strokecolor="#9bba58">
              <v:stroke dashstyle="solid"/>
            </v:rect>
            <v:rect style="position:absolute;left:3723;top:588;width:140;height:140" filled="true" fillcolor="#00af50" stroked="false">
              <v:fill type="solid"/>
            </v:rect>
            <v:rect style="position:absolute;left:3723;top:588;width:140;height:140" filled="false" stroked="true" strokeweight=".72pt" strokecolor="#9bba58">
              <v:stroke dashstyle="solid"/>
            </v:rect>
            <v:rect style="position:absolute;left:5067;top:1195;width:140;height:140" filled="true" fillcolor="#00af50" stroked="false">
              <v:fill type="solid"/>
            </v:rect>
            <v:rect style="position:absolute;left:5067;top:1195;width:140;height:140" filled="false" stroked="true" strokeweight=".72pt" strokecolor="#9bba58">
              <v:stroke dashstyle="solid"/>
            </v:rect>
            <v:rect style="position:absolute;left:6414;top:1735;width:140;height:140" filled="true" fillcolor="#00af50" stroked="false">
              <v:fill type="solid"/>
            </v:rect>
            <v:rect style="position:absolute;left:6414;top:1735;width:140;height:140" filled="false" stroked="true" strokeweight=".72pt" strokecolor="#9bba58">
              <v:stroke dashstyle="solid"/>
            </v:rect>
            <v:rect style="position:absolute;left:7760;top:1507;width:140;height:140" filled="true" fillcolor="#00af50" stroked="false">
              <v:fill type="solid"/>
            </v:rect>
            <v:rect style="position:absolute;left:7760;top:1507;width:140;height:140" filled="false" stroked="true" strokeweight=".72pt" strokecolor="#9bba58">
              <v:stroke dashstyle="solid"/>
            </v:rect>
            <v:rect style="position:absolute;left:9104;top:1452;width:140;height:140" filled="true" fillcolor="#00af50" stroked="false">
              <v:fill type="solid"/>
            </v:rect>
            <v:rect style="position:absolute;left:9104;top:1452;width:140;height:140" filled="false" stroked="true" strokeweight=".72pt" strokecolor="#9bba58">
              <v:stroke dashstyle="solid"/>
            </v:rect>
            <v:shape style="position:absolute;left:2212;top:-416;width:489;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12.8%</w:t>
                    </w:r>
                  </w:p>
                </w:txbxContent>
              </v:textbox>
              <w10:wrap type="none"/>
            </v:shape>
            <v:shape style="position:absolute;left:3959;top:-232;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4.4</w:t>
                    </w:r>
                  </w:p>
                </w:txbxContent>
              </v:textbox>
              <w10:wrap type="none"/>
            </v:shape>
            <v:shape style="position:absolute;left:8782;top:-319;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4.5</w:t>
                    </w:r>
                  </w:p>
                </w:txbxContent>
              </v:textbox>
              <w10:wrap type="none"/>
            </v:shape>
            <v:shape style="position:absolute;left:5305;top:-39;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4.1</w:t>
                    </w:r>
                  </w:p>
                </w:txbxContent>
              </v:textbox>
              <w10:wrap type="none"/>
            </v:shape>
            <v:shape style="position:absolute;left:9342;top:-83;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4.1</w:t>
                    </w:r>
                  </w:p>
                </w:txbxContent>
              </v:textbox>
              <w10:wrap type="none"/>
            </v:shape>
            <v:shape style="position:absolute;left:2613;top:252;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3.6</w:t>
                    </w:r>
                  </w:p>
                </w:txbxContent>
              </v:textbox>
              <w10:wrap type="none"/>
            </v:shape>
            <v:shape style="position:absolute;left:3398;top:293;width:604;height:206" type="#_x0000_t202" filled="false" stroked="false">
              <v:textbox inset="0,0,0,0">
                <w:txbxContent>
                  <w:p>
                    <w:pPr>
                      <w:spacing w:line="206" w:lineRule="exact" w:before="0"/>
                      <w:ind w:left="0" w:right="0" w:firstLine="0"/>
                      <w:jc w:val="left"/>
                      <w:rPr>
                        <w:rFonts w:ascii="Times New Roman"/>
                        <w:sz w:val="18"/>
                      </w:rPr>
                    </w:pPr>
                    <w:r>
                      <w:rPr>
                        <w:rFonts w:ascii="Times New Roman"/>
                        <w:position w:val="1"/>
                        <w:sz w:val="18"/>
                      </w:rPr>
                      <w:t>3.5</w:t>
                    </w:r>
                    <w:r>
                      <w:rPr>
                        <w:rFonts w:ascii="Times New Roman"/>
                        <w:sz w:val="18"/>
                      </w:rPr>
                      <w:t>9.5%</w:t>
                    </w:r>
                  </w:p>
                </w:txbxContent>
              </v:textbox>
              <w10:wrap type="none"/>
            </v:shape>
            <v:shape style="position:absolute;left:4744;top:511;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3.2</w:t>
                    </w:r>
                  </w:p>
                </w:txbxContent>
              </v:textbox>
              <w10:wrap type="none"/>
            </v:shape>
            <v:shape style="position:absolute;left:6650;top:466;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3.2</w:t>
                    </w:r>
                  </w:p>
                </w:txbxContent>
              </v:textbox>
              <w10:wrap type="none"/>
            </v:shape>
            <v:shape style="position:absolute;left:7436;top:409;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3.3</w:t>
                    </w:r>
                  </w:p>
                </w:txbxContent>
              </v:textbox>
              <w10:wrap type="none"/>
            </v:shape>
            <v:shape style="position:absolute;left:4950;top:907;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6.8%</w:t>
                    </w:r>
                  </w:p>
                </w:txbxContent>
              </v:textbox>
              <w10:wrap type="none"/>
            </v:shape>
            <v:shape style="position:absolute;left:7996;top:810;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2.7</w:t>
                    </w:r>
                  </w:p>
                </w:txbxContent>
              </v:textbox>
              <w10:wrap type="none"/>
            </v:shape>
            <v:shape style="position:absolute;left:2052;top:1087;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2.2</w:t>
                    </w:r>
                  </w:p>
                </w:txbxContent>
              </v:textbox>
              <w10:wrap type="none"/>
            </v:shape>
            <v:shape style="position:absolute;left:6090;top:1060;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2.3</w:t>
                    </w:r>
                  </w:p>
                </w:txbxContent>
              </v:textbox>
              <w10:wrap type="none"/>
            </v:shape>
            <v:shape style="position:absolute;left:7642;top:1220;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5.4%</w:t>
                    </w:r>
                  </w:p>
                </w:txbxContent>
              </v:textbox>
              <w10:wrap type="none"/>
            </v:shape>
            <v:shape style="position:absolute;left:8988;top:1163;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5.6%</w:t>
                    </w:r>
                  </w:p>
                </w:txbxContent>
              </v:textbox>
              <w10:wrap type="none"/>
            </v:shape>
            <v:shape style="position:absolute;left:6296;top:1447;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4.4%</w:t>
                    </w:r>
                  </w:p>
                </w:txbxContent>
              </v:textbox>
              <w10:wrap type="none"/>
            </v:shape>
            <w10:wrap type="none"/>
          </v:group>
        </w:pict>
      </w:r>
      <w:r>
        <w:rPr>
          <w:rFonts w:ascii="Times New Roman"/>
          <w:sz w:val="18"/>
        </w:rPr>
        <w:t>12%</w:t>
      </w:r>
    </w:p>
    <w:p>
      <w:pPr>
        <w:pStyle w:val="BodyText"/>
        <w:spacing w:before="6"/>
        <w:rPr>
          <w:rFonts w:ascii="Times New Roman"/>
          <w:sz w:val="20"/>
        </w:rPr>
      </w:pPr>
    </w:p>
    <w:p>
      <w:pPr>
        <w:spacing w:before="0"/>
        <w:ind w:left="605" w:right="0" w:firstLine="0"/>
        <w:jc w:val="left"/>
        <w:rPr>
          <w:rFonts w:ascii="Times New Roman"/>
          <w:sz w:val="18"/>
        </w:rPr>
      </w:pPr>
      <w:r>
        <w:rPr>
          <w:rFonts w:ascii="Times New Roman"/>
          <w:sz w:val="18"/>
        </w:rPr>
        <w:t>10%</w:t>
      </w:r>
    </w:p>
    <w:p>
      <w:pPr>
        <w:pStyle w:val="BodyText"/>
        <w:spacing w:before="6"/>
        <w:rPr>
          <w:rFonts w:ascii="Times New Roman"/>
          <w:sz w:val="20"/>
        </w:rPr>
      </w:pPr>
    </w:p>
    <w:p>
      <w:pPr>
        <w:spacing w:before="0"/>
        <w:ind w:left="605" w:right="0" w:firstLine="0"/>
        <w:jc w:val="left"/>
        <w:rPr>
          <w:rFonts w:ascii="Times New Roman"/>
          <w:sz w:val="18"/>
        </w:rPr>
      </w:pPr>
      <w:r>
        <w:rPr/>
        <w:pict>
          <v:shape style="position:absolute;margin-left:531.768005pt;margin-top:-4.437632pt;width:12pt;height:49.15pt;mso-position-horizontal-relative:page;mso-position-vertical-relative:paragraph;z-index:16297984" type="#_x0000_t202" filled="false" stroked="false">
            <v:textbox inset="0,0,0,0" style="layout-flow:vertical">
              <w:txbxContent>
                <w:p>
                  <w:pPr>
                    <w:spacing w:before="12"/>
                    <w:ind w:left="20" w:right="0" w:firstLine="0"/>
                    <w:jc w:val="left"/>
                    <w:rPr>
                      <w:rFonts w:ascii="Times New Roman"/>
                      <w:sz w:val="18"/>
                    </w:rPr>
                  </w:pPr>
                  <w:r>
                    <w:rPr>
                      <w:rFonts w:ascii="Times New Roman"/>
                      <w:sz w:val="18"/>
                    </w:rPr>
                    <w:t>Vacancy (%)</w:t>
                  </w:r>
                </w:p>
              </w:txbxContent>
            </v:textbox>
            <w10:wrap type="none"/>
          </v:shape>
        </w:pict>
      </w:r>
      <w:r>
        <w:rPr>
          <w:rFonts w:ascii="Times New Roman"/>
          <w:sz w:val="18"/>
        </w:rPr>
        <w:t>8%</w:t>
      </w:r>
    </w:p>
    <w:p>
      <w:pPr>
        <w:pStyle w:val="BodyText"/>
        <w:spacing w:before="7"/>
        <w:rPr>
          <w:rFonts w:ascii="Times New Roman"/>
          <w:sz w:val="20"/>
        </w:rPr>
      </w:pPr>
    </w:p>
    <w:p>
      <w:pPr>
        <w:spacing w:before="0"/>
        <w:ind w:left="605" w:right="0" w:firstLine="0"/>
        <w:jc w:val="left"/>
        <w:rPr>
          <w:rFonts w:ascii="Times New Roman"/>
          <w:sz w:val="18"/>
        </w:rPr>
      </w:pPr>
      <w:r>
        <w:rPr>
          <w:rFonts w:ascii="Times New Roman"/>
          <w:sz w:val="18"/>
        </w:rPr>
        <w:t>6%</w:t>
      </w:r>
    </w:p>
    <w:p>
      <w:pPr>
        <w:pStyle w:val="BodyText"/>
        <w:spacing w:before="6"/>
        <w:rPr>
          <w:rFonts w:ascii="Times New Roman"/>
          <w:sz w:val="20"/>
        </w:rPr>
      </w:pPr>
    </w:p>
    <w:p>
      <w:pPr>
        <w:spacing w:before="0"/>
        <w:ind w:left="605" w:right="0" w:firstLine="0"/>
        <w:jc w:val="left"/>
        <w:rPr>
          <w:rFonts w:ascii="Times New Roman"/>
          <w:sz w:val="18"/>
        </w:rPr>
      </w:pPr>
      <w:r>
        <w:rPr>
          <w:rFonts w:ascii="Times New Roman"/>
          <w:sz w:val="18"/>
        </w:rPr>
        <w:t>4%</w:t>
      </w:r>
    </w:p>
    <w:p>
      <w:pPr>
        <w:pStyle w:val="BodyText"/>
        <w:spacing w:before="6"/>
        <w:rPr>
          <w:rFonts w:ascii="Times New Roman"/>
          <w:sz w:val="20"/>
        </w:rPr>
      </w:pPr>
    </w:p>
    <w:p>
      <w:pPr>
        <w:spacing w:before="1"/>
        <w:ind w:left="605" w:right="0" w:firstLine="0"/>
        <w:jc w:val="left"/>
        <w:rPr>
          <w:rFonts w:ascii="Times New Roman"/>
          <w:sz w:val="18"/>
        </w:rPr>
      </w:pPr>
      <w:r>
        <w:rPr>
          <w:rFonts w:ascii="Times New Roman"/>
          <w:sz w:val="18"/>
        </w:rPr>
        <w:t>2%</w:t>
      </w:r>
    </w:p>
    <w:p>
      <w:pPr>
        <w:pStyle w:val="BodyText"/>
        <w:spacing w:before="5"/>
        <w:rPr>
          <w:rFonts w:ascii="Times New Roman"/>
          <w:sz w:val="20"/>
        </w:rPr>
      </w:pPr>
    </w:p>
    <w:p>
      <w:pPr>
        <w:spacing w:before="1"/>
        <w:ind w:left="605" w:right="0" w:firstLine="0"/>
        <w:jc w:val="left"/>
        <w:rPr>
          <w:rFonts w:ascii="Times New Roman"/>
          <w:sz w:val="18"/>
        </w:rPr>
      </w:pPr>
      <w:r>
        <w:rPr>
          <w:rFonts w:ascii="Times New Roman"/>
          <w:sz w:val="18"/>
        </w:rPr>
        <w:t>0%</w:t>
      </w:r>
    </w:p>
    <w:p>
      <w:pPr>
        <w:spacing w:after="0"/>
        <w:jc w:val="left"/>
        <w:rPr>
          <w:rFonts w:ascii="Times New Roman"/>
          <w:sz w:val="18"/>
        </w:rPr>
        <w:sectPr>
          <w:type w:val="continuous"/>
          <w:pgSz w:w="11910" w:h="16840"/>
          <w:pgMar w:top="800" w:bottom="280" w:left="500" w:right="480"/>
          <w:cols w:num="3" w:equalWidth="0">
            <w:col w:w="1123" w:space="40"/>
            <w:col w:w="7697" w:space="39"/>
            <w:col w:w="2031"/>
          </w:cols>
        </w:sectPr>
      </w:pPr>
    </w:p>
    <w:p>
      <w:pPr>
        <w:tabs>
          <w:tab w:pos="3633" w:val="left" w:leader="none"/>
          <w:tab w:pos="10808" w:val="left" w:leader="none"/>
        </w:tabs>
        <w:spacing w:before="118"/>
        <w:ind w:left="102" w:right="0" w:firstLine="0"/>
        <w:jc w:val="left"/>
        <w:rPr>
          <w:b/>
          <w:sz w:val="18"/>
        </w:rPr>
      </w:pPr>
      <w:r>
        <w:rPr>
          <w:b/>
          <w:color w:val="FFFFFF"/>
          <w:w w:val="103"/>
          <w:sz w:val="18"/>
          <w:shd w:fill="006A4D" w:color="auto" w:val="clear"/>
        </w:rPr>
        <w:t> </w:t>
      </w:r>
      <w:r>
        <w:rPr>
          <w:b/>
          <w:color w:val="FFFFFF"/>
          <w:sz w:val="18"/>
          <w:shd w:fill="006A4D" w:color="auto" w:val="clear"/>
        </w:rPr>
        <w:tab/>
      </w:r>
      <w:r>
        <w:rPr>
          <w:b/>
          <w:color w:val="FFFFFF"/>
          <w:w w:val="115"/>
          <w:sz w:val="18"/>
          <w:shd w:fill="006A4D" w:color="auto" w:val="clear"/>
        </w:rPr>
        <w:t>Demand</w:t>
      </w:r>
      <w:r>
        <w:rPr>
          <w:b/>
          <w:color w:val="FFFFFF"/>
          <w:spacing w:val="-41"/>
          <w:w w:val="115"/>
          <w:sz w:val="18"/>
          <w:shd w:fill="006A4D" w:color="auto" w:val="clear"/>
        </w:rPr>
        <w:t> </w:t>
      </w:r>
      <w:r>
        <w:rPr>
          <w:b/>
          <w:color w:val="FFFFFF"/>
          <w:w w:val="115"/>
          <w:sz w:val="18"/>
          <w:shd w:fill="006A4D" w:color="auto" w:val="clear"/>
        </w:rPr>
        <w:t>–</w:t>
      </w:r>
      <w:r>
        <w:rPr>
          <w:b/>
          <w:color w:val="FFFFFF"/>
          <w:spacing w:val="-40"/>
          <w:w w:val="115"/>
          <w:sz w:val="18"/>
          <w:shd w:fill="006A4D" w:color="auto" w:val="clear"/>
        </w:rPr>
        <w:t> </w:t>
      </w:r>
      <w:r>
        <w:rPr>
          <w:b/>
          <w:color w:val="FFFFFF"/>
          <w:w w:val="115"/>
          <w:sz w:val="18"/>
          <w:shd w:fill="006A4D" w:color="auto" w:val="clear"/>
        </w:rPr>
        <w:t>Supply</w:t>
      </w:r>
      <w:r>
        <w:rPr>
          <w:b/>
          <w:color w:val="FFFFFF"/>
          <w:spacing w:val="-40"/>
          <w:w w:val="115"/>
          <w:sz w:val="18"/>
          <w:shd w:fill="006A4D" w:color="auto" w:val="clear"/>
        </w:rPr>
        <w:t> </w:t>
      </w:r>
      <w:r>
        <w:rPr>
          <w:b/>
          <w:color w:val="FFFFFF"/>
          <w:w w:val="115"/>
          <w:sz w:val="18"/>
          <w:shd w:fill="006A4D" w:color="auto" w:val="clear"/>
        </w:rPr>
        <w:t>Dynamics</w:t>
      </w:r>
      <w:r>
        <w:rPr>
          <w:b/>
          <w:color w:val="FFFFFF"/>
          <w:spacing w:val="-40"/>
          <w:w w:val="115"/>
          <w:sz w:val="18"/>
          <w:shd w:fill="006A4D" w:color="auto" w:val="clear"/>
        </w:rPr>
        <w:t> </w:t>
      </w:r>
      <w:r>
        <w:rPr>
          <w:b/>
          <w:color w:val="FFFFFF"/>
          <w:w w:val="115"/>
          <w:sz w:val="18"/>
          <w:shd w:fill="006A4D" w:color="auto" w:val="clear"/>
        </w:rPr>
        <w:t>(West</w:t>
      </w:r>
      <w:r>
        <w:rPr>
          <w:b/>
          <w:color w:val="FFFFFF"/>
          <w:spacing w:val="-41"/>
          <w:w w:val="115"/>
          <w:sz w:val="18"/>
          <w:shd w:fill="006A4D" w:color="auto" w:val="clear"/>
        </w:rPr>
        <w:t> </w:t>
      </w:r>
      <w:r>
        <w:rPr>
          <w:b/>
          <w:color w:val="FFFFFF"/>
          <w:w w:val="115"/>
          <w:sz w:val="18"/>
          <w:shd w:fill="006A4D" w:color="auto" w:val="clear"/>
        </w:rPr>
        <w:t>Pune)</w:t>
      </w:r>
      <w:r>
        <w:rPr>
          <w:b/>
          <w:color w:val="FFFFFF"/>
          <w:sz w:val="18"/>
          <w:shd w:fill="006A4D" w:color="auto" w:val="clear"/>
        </w:rPr>
        <w:tab/>
      </w:r>
    </w:p>
    <w:p>
      <w:pPr>
        <w:pStyle w:val="BodyText"/>
        <w:spacing w:before="2"/>
        <w:rPr>
          <w:b/>
          <w:sz w:val="25"/>
        </w:rPr>
      </w:pPr>
    </w:p>
    <w:p>
      <w:pPr>
        <w:spacing w:after="0"/>
        <w:rPr>
          <w:sz w:val="25"/>
        </w:rPr>
        <w:sectPr>
          <w:type w:val="continuous"/>
          <w:pgSz w:w="11910" w:h="16840"/>
          <w:pgMar w:top="800" w:bottom="280" w:left="500" w:right="480"/>
        </w:sectPr>
      </w:pPr>
    </w:p>
    <w:p>
      <w:pPr>
        <w:spacing w:before="92"/>
        <w:ind w:left="0" w:right="0" w:firstLine="0"/>
        <w:jc w:val="right"/>
        <w:rPr>
          <w:rFonts w:ascii="Times New Roman"/>
          <w:sz w:val="18"/>
        </w:rPr>
      </w:pPr>
      <w:r>
        <w:rPr>
          <w:rFonts w:ascii="Times New Roman"/>
          <w:spacing w:val="-1"/>
          <w:sz w:val="18"/>
        </w:rPr>
        <w:t>1.6</w:t>
      </w:r>
    </w:p>
    <w:p>
      <w:pPr>
        <w:spacing w:before="174"/>
        <w:ind w:left="0" w:right="0" w:firstLine="0"/>
        <w:jc w:val="right"/>
        <w:rPr>
          <w:rFonts w:ascii="Times New Roman"/>
          <w:sz w:val="18"/>
        </w:rPr>
      </w:pPr>
      <w:r>
        <w:rPr>
          <w:rFonts w:ascii="Times New Roman"/>
          <w:spacing w:val="-1"/>
          <w:sz w:val="18"/>
        </w:rPr>
        <w:t>1.4</w:t>
      </w:r>
    </w:p>
    <w:p>
      <w:pPr>
        <w:spacing w:before="174"/>
        <w:ind w:left="0" w:right="0" w:firstLine="0"/>
        <w:jc w:val="right"/>
        <w:rPr>
          <w:rFonts w:ascii="Times New Roman"/>
          <w:sz w:val="18"/>
        </w:rPr>
      </w:pPr>
      <w:r>
        <w:rPr/>
        <w:pict>
          <v:shape style="position:absolute;margin-left:54.603977pt;margin-top:13.002932pt;width:12pt;height:71.55pt;mso-position-horizontal-relative:page;mso-position-vertical-relative:paragraph;z-index:16299008" type="#_x0000_t202" filled="false" stroked="false">
            <v:textbox inset="0,0,0,0" style="layout-flow:vertical;mso-layout-flow-alt:bottom-to-top">
              <w:txbxContent>
                <w:p>
                  <w:pPr>
                    <w:spacing w:before="12"/>
                    <w:ind w:left="20" w:right="0" w:firstLine="0"/>
                    <w:jc w:val="left"/>
                    <w:rPr>
                      <w:rFonts w:ascii="Times New Roman"/>
                      <w:sz w:val="18"/>
                    </w:rPr>
                  </w:pPr>
                  <w:r>
                    <w:rPr>
                      <w:rFonts w:ascii="Times New Roman"/>
                      <w:sz w:val="18"/>
                    </w:rPr>
                    <w:t>Area (million sq ft)</w:t>
                  </w:r>
                </w:p>
              </w:txbxContent>
            </v:textbox>
            <w10:wrap type="none"/>
          </v:shape>
        </w:pict>
      </w:r>
      <w:r>
        <w:rPr>
          <w:rFonts w:ascii="Times New Roman"/>
          <w:spacing w:val="-1"/>
          <w:sz w:val="18"/>
        </w:rPr>
        <w:t>1.2</w:t>
      </w:r>
    </w:p>
    <w:p>
      <w:pPr>
        <w:spacing w:before="175"/>
        <w:ind w:left="0" w:right="0" w:firstLine="0"/>
        <w:jc w:val="right"/>
        <w:rPr>
          <w:rFonts w:ascii="Times New Roman"/>
          <w:sz w:val="18"/>
        </w:rPr>
      </w:pPr>
      <w:r>
        <w:rPr>
          <w:rFonts w:ascii="Times New Roman"/>
          <w:spacing w:val="-1"/>
          <w:sz w:val="18"/>
        </w:rPr>
        <w:t>1.0</w:t>
      </w:r>
    </w:p>
    <w:p>
      <w:pPr>
        <w:spacing w:before="174"/>
        <w:ind w:left="0" w:right="0" w:firstLine="0"/>
        <w:jc w:val="right"/>
        <w:rPr>
          <w:rFonts w:ascii="Times New Roman"/>
          <w:sz w:val="18"/>
        </w:rPr>
      </w:pPr>
      <w:r>
        <w:rPr>
          <w:rFonts w:ascii="Times New Roman"/>
          <w:spacing w:val="-1"/>
          <w:sz w:val="18"/>
        </w:rPr>
        <w:t>0.8</w:t>
      </w:r>
    </w:p>
    <w:p>
      <w:pPr>
        <w:spacing w:before="174"/>
        <w:ind w:left="0" w:right="0" w:firstLine="0"/>
        <w:jc w:val="right"/>
        <w:rPr>
          <w:rFonts w:ascii="Times New Roman"/>
          <w:sz w:val="18"/>
        </w:rPr>
      </w:pPr>
      <w:r>
        <w:rPr>
          <w:rFonts w:ascii="Times New Roman"/>
          <w:spacing w:val="-1"/>
          <w:sz w:val="18"/>
        </w:rPr>
        <w:t>0.6</w:t>
      </w:r>
    </w:p>
    <w:p>
      <w:pPr>
        <w:spacing w:before="175"/>
        <w:ind w:left="0" w:right="0" w:firstLine="0"/>
        <w:jc w:val="right"/>
        <w:rPr>
          <w:rFonts w:ascii="Times New Roman"/>
          <w:sz w:val="18"/>
        </w:rPr>
      </w:pPr>
      <w:r>
        <w:rPr>
          <w:rFonts w:ascii="Times New Roman"/>
          <w:spacing w:val="-1"/>
          <w:sz w:val="18"/>
        </w:rPr>
        <w:t>0.4</w:t>
      </w:r>
    </w:p>
    <w:p>
      <w:pPr>
        <w:spacing w:before="174"/>
        <w:ind w:left="0" w:right="0" w:firstLine="0"/>
        <w:jc w:val="right"/>
        <w:rPr>
          <w:rFonts w:ascii="Times New Roman"/>
          <w:sz w:val="18"/>
        </w:rPr>
      </w:pPr>
      <w:r>
        <w:rPr>
          <w:rFonts w:ascii="Times New Roman"/>
          <w:spacing w:val="-1"/>
          <w:sz w:val="18"/>
        </w:rPr>
        <w:t>0.2</w:t>
      </w:r>
    </w:p>
    <w:p>
      <w:pPr>
        <w:spacing w:before="174"/>
        <w:ind w:left="0" w:right="0" w:firstLine="0"/>
        <w:jc w:val="right"/>
        <w:rPr>
          <w:rFonts w:ascii="Times New Roman"/>
          <w:sz w:val="18"/>
        </w:rPr>
      </w:pPr>
      <w:r>
        <w:rPr>
          <w:rFonts w:ascii="Times New Roman"/>
          <w:spacing w:val="-1"/>
          <w:sz w:val="18"/>
        </w:rPr>
        <w:t>0.0</w:t>
      </w:r>
    </w:p>
    <w:p>
      <w:pPr>
        <w:pStyle w:val="BodyText"/>
        <w:rPr>
          <w:rFonts w:ascii="Times New Roman"/>
          <w:sz w:val="20"/>
        </w:rPr>
      </w:pPr>
      <w:r>
        <w:rPr/>
        <w:br w:type="column"/>
      </w:r>
      <w:r>
        <w:rPr>
          <w:rFonts w:ascii="Times New Roman"/>
          <w:sz w:val="20"/>
        </w:rPr>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tabs>
          <w:tab w:pos="1952" w:val="left" w:leader="none"/>
          <w:tab w:pos="3298" w:val="left" w:leader="none"/>
          <w:tab w:pos="4644" w:val="left" w:leader="none"/>
          <w:tab w:pos="5990" w:val="left" w:leader="none"/>
          <w:tab w:pos="7335" w:val="left" w:leader="none"/>
        </w:tabs>
        <w:spacing w:before="133"/>
        <w:ind w:left="606" w:right="0" w:firstLine="0"/>
        <w:jc w:val="left"/>
        <w:rPr>
          <w:rFonts w:ascii="Times New Roman"/>
          <w:sz w:val="18"/>
        </w:rPr>
      </w:pPr>
      <w:r>
        <w:rPr>
          <w:rFonts w:ascii="Times New Roman"/>
          <w:sz w:val="18"/>
        </w:rPr>
        <w:t>2014</w:t>
        <w:tab/>
        <w:t>2015</w:t>
        <w:tab/>
        <w:t>2016</w:t>
        <w:tab/>
        <w:t>2017</w:t>
        <w:tab/>
        <w:t>2018</w:t>
        <w:tab/>
      </w:r>
      <w:r>
        <w:rPr>
          <w:rFonts w:ascii="Times New Roman"/>
          <w:spacing w:val="-5"/>
          <w:sz w:val="18"/>
        </w:rPr>
        <w:t>2019</w:t>
      </w:r>
    </w:p>
    <w:p>
      <w:pPr>
        <w:tabs>
          <w:tab w:pos="3798" w:val="left" w:leader="none"/>
          <w:tab w:pos="5361" w:val="left" w:leader="none"/>
        </w:tabs>
        <w:spacing w:before="136"/>
        <w:ind w:left="2534" w:right="0" w:firstLine="0"/>
        <w:jc w:val="left"/>
        <w:rPr>
          <w:rFonts w:ascii="Times New Roman"/>
          <w:sz w:val="18"/>
        </w:rPr>
      </w:pPr>
      <w:r>
        <w:rPr/>
        <w:pict>
          <v:rect style="position:absolute;margin-left:194.509995pt;margin-top:10.058057pt;width:19.2pt;height:4.4843pt;mso-position-horizontal-relative:page;mso-position-vertical-relative:paragraph;z-index:16285184" filled="true" fillcolor="#006a4d" stroked="false">
            <v:fill type="solid"/>
            <w10:wrap type="none"/>
          </v:rect>
        </w:pict>
      </w:r>
      <w:r>
        <w:rPr/>
        <w:pict>
          <v:rect style="position:absolute;margin-left:257.670013pt;margin-top:10.058057pt;width:19.2pt;height:4.4843pt;mso-position-horizontal-relative:page;mso-position-vertical-relative:paragraph;z-index:-34342400" filled="true" fillcolor="#9bba58" stroked="false">
            <v:fill type="solid"/>
            <w10:wrap type="none"/>
          </v:rect>
        </w:pict>
      </w:r>
      <w:r>
        <w:rPr/>
        <w:pict>
          <v:group style="position:absolute;margin-left:335.820007pt;margin-top:9.307357pt;width:19.2pt;height:5.8pt;mso-position-horizontal-relative:page;mso-position-vertical-relative:paragraph;z-index:-34341888" coordorigin="6716,186" coordsize="384,116">
            <v:shape style="position:absolute;left:6716;top:246;width:384;height:2" coordorigin="6716,246" coordsize="384,0" path="m6716,246l6857,246m6958,246l7100,246e" filled="false" stroked="true" strokeweight="2.25pt" strokecolor="#92d050">
              <v:path arrowok="t"/>
              <v:stroke dashstyle="solid"/>
            </v:shape>
            <v:rect style="position:absolute;left:6856;top:193;width:101;height:101" filled="true" fillcolor="#00af50" stroked="false">
              <v:fill type="solid"/>
            </v:rect>
            <v:rect style="position:absolute;left:6856;top:193;width:101;height:101" filled="false" stroked="true" strokeweight=".75pt" strokecolor="#9bba58">
              <v:stroke dashstyle="solid"/>
            </v:rect>
            <w10:wrap type="none"/>
          </v:group>
        </w:pict>
      </w:r>
      <w:r>
        <w:rPr>
          <w:rFonts w:ascii="Times New Roman"/>
          <w:sz w:val="18"/>
        </w:rPr>
        <w:t>Supply</w:t>
        <w:tab/>
        <w:t>Absorption</w:t>
        <w:tab/>
        <w:t>Vacancy</w:t>
      </w:r>
      <w:r>
        <w:rPr>
          <w:rFonts w:ascii="Times New Roman"/>
          <w:spacing w:val="-2"/>
          <w:sz w:val="18"/>
        </w:rPr>
        <w:t> </w:t>
      </w:r>
      <w:r>
        <w:rPr>
          <w:rFonts w:ascii="Times New Roman"/>
          <w:sz w:val="18"/>
        </w:rPr>
        <w:t>(%)</w:t>
      </w:r>
    </w:p>
    <w:p>
      <w:pPr>
        <w:spacing w:before="92"/>
        <w:ind w:left="605" w:right="0" w:firstLine="0"/>
        <w:jc w:val="left"/>
        <w:rPr>
          <w:rFonts w:ascii="Times New Roman"/>
          <w:sz w:val="18"/>
        </w:rPr>
      </w:pPr>
      <w:r>
        <w:rPr/>
        <w:br w:type="column"/>
      </w:r>
      <w:r>
        <w:rPr>
          <w:rFonts w:ascii="Times New Roman"/>
          <w:sz w:val="18"/>
        </w:rPr>
        <w:t>16%</w:t>
      </w:r>
    </w:p>
    <w:p>
      <w:pPr>
        <w:spacing w:before="174"/>
        <w:ind w:left="605" w:right="0" w:firstLine="0"/>
        <w:jc w:val="left"/>
        <w:rPr>
          <w:rFonts w:ascii="Times New Roman"/>
          <w:sz w:val="18"/>
        </w:rPr>
      </w:pPr>
      <w:r>
        <w:rPr/>
        <w:pict>
          <v:group style="position:absolute;margin-left:92.021004pt;margin-top:-9.707678pt;width:409.05pt;height:157.85pt;mso-position-horizontal-relative:page;mso-position-vertical-relative:paragraph;z-index:16284672" coordorigin="1840,-194" coordsize="8181,3157">
            <v:rect style="position:absolute;left:3350;top:94;width:562;height:2858" filled="true" fillcolor="#006a4d" stroked="false">
              <v:fill type="solid"/>
            </v:rect>
            <v:rect style="position:absolute;left:3912;top:783;width:562;height:2170" filled="true" fillcolor="#9bba58" stroked="false">
              <v:fill type="solid"/>
            </v:rect>
            <v:rect style="position:absolute;left:4696;top:1781;width:562;height:1171" filled="true" fillcolor="#006a4d" stroked="false">
              <v:fill type="solid"/>
            </v:rect>
            <v:rect style="position:absolute;left:5258;top:1438;width:560;height:1514" filled="true" fillcolor="#9bba58" stroked="false">
              <v:fill type="solid"/>
            </v:rect>
            <v:rect style="position:absolute;left:7387;top:1798;width:562;height:1154" filled="true" fillcolor="#006a4d" stroked="false">
              <v:fill type="solid"/>
            </v:rect>
            <v:shape style="position:absolute;left:2565;top:1152;width:7289;height:1800" coordorigin="2566,1153" coordsize="7289,1800" path="m3127,2480l2566,2480,2566,2952,3127,2952,3127,2480xm7164,2415l6602,2415,6602,2952,7164,2952,7164,2415xm8510,1153l7949,1153,7949,2952,8510,2952,8510,1153xm9854,2744l9295,2744,9295,2952,9854,2952,9854,2744xe" filled="true" fillcolor="#9bba58" stroked="false">
              <v:path arrowok="t"/>
              <v:fill type="solid"/>
            </v:shape>
            <v:shape style="position:absolute;left:9967;top:-97;width:54;height:3049" coordorigin="9967,-96" coordsize="54,3049" path="m9967,2952l9967,-96m9967,2952l10021,2952m9967,2571l10021,2571m9967,2190l10021,2190m9967,1808l10021,1808m9967,1429l10021,1429m9967,1047l10021,1047m9967,666l10021,666m9967,284l10021,284m9967,-96l10021,-96e" filled="false" stroked="true" strokeweight=".75pt" strokecolor="#858585">
              <v:path arrowok="t"/>
              <v:stroke dashstyle="solid"/>
            </v:shape>
            <v:shape style="position:absolute;left:1840;top:-97;width:54;height:3049" coordorigin="1840,-96" coordsize="54,3049" path="m1894,2952l1894,-96m1840,2952l1894,2952m1840,2571l1894,2571m1840,2190l1894,2190m1840,1808l1894,1808m1840,1429l1894,1429m1840,1047l1894,1047m1840,666l1894,666m1840,284l1894,284m1840,-96l1894,-96e" filled="false" stroked="true" strokeweight=".5pt" strokecolor="#000000">
              <v:path arrowok="t"/>
              <v:stroke dashstyle="solid"/>
            </v:shape>
            <v:line style="position:absolute" from="1894,2952" to="9967,2952" stroked="true" strokeweight="1pt" strokecolor="#000000">
              <v:stroke dashstyle="solid"/>
            </v:line>
            <v:shape style="position:absolute;left:2566;top:215;width:6728;height:2074" coordorigin="2567,215" coordsize="6728,2074" path="m2567,601l3912,215,5258,759,6602,1333,7949,2079,9294,2289e" filled="false" stroked="true" strokeweight="2.25pt" strokecolor="#92d050">
              <v:path arrowok="t"/>
              <v:stroke dashstyle="solid"/>
            </v:shape>
            <v:rect style="position:absolute;left:2496;top:532;width:140;height:140" filled="true" fillcolor="#00af50" stroked="false">
              <v:fill type="solid"/>
            </v:rect>
            <v:rect style="position:absolute;left:2496;top:532;width:140;height:140" filled="false" stroked="true" strokeweight=".72pt" strokecolor="#9bba58">
              <v:stroke dashstyle="solid"/>
            </v:rect>
            <v:rect style="position:absolute;left:3842;top:146;width:140;height:140" filled="true" fillcolor="#00af50" stroked="false">
              <v:fill type="solid"/>
            </v:rect>
            <v:rect style="position:absolute;left:3842;top:146;width:140;height:140" filled="false" stroked="true" strokeweight=".72pt" strokecolor="#9bba58">
              <v:stroke dashstyle="solid"/>
            </v:rect>
            <v:rect style="position:absolute;left:5188;top:690;width:140;height:140" filled="true" fillcolor="#00af50" stroked="false">
              <v:fill type="solid"/>
            </v:rect>
            <v:rect style="position:absolute;left:5188;top:690;width:140;height:140" filled="false" stroked="true" strokeweight=".72pt" strokecolor="#9bba58">
              <v:stroke dashstyle="solid"/>
            </v:rect>
            <v:rect style="position:absolute;left:6532;top:1264;width:140;height:140" filled="true" fillcolor="#00af50" stroked="false">
              <v:fill type="solid"/>
            </v:rect>
            <v:rect style="position:absolute;left:6532;top:1264;width:140;height:140" filled="false" stroked="true" strokeweight=".72pt" strokecolor="#9bba58">
              <v:stroke dashstyle="solid"/>
            </v:rect>
            <v:rect style="position:absolute;left:7879;top:2010;width:140;height:140" filled="true" fillcolor="#00af50" stroked="false">
              <v:fill type="solid"/>
            </v:rect>
            <v:rect style="position:absolute;left:7879;top:2010;width:140;height:140" filled="false" stroked="true" strokeweight=".72pt" strokecolor="#9bba58">
              <v:stroke dashstyle="solid"/>
            </v:rect>
            <v:rect style="position:absolute;left:9225;top:2222;width:140;height:140" filled="true" fillcolor="#00af50" stroked="false">
              <v:fill type="solid"/>
            </v:rect>
            <v:rect style="position:absolute;left:9225;top:2222;width:140;height:140" filled="false" stroked="true" strokeweight=".72pt" strokecolor="#9bba58">
              <v:stroke dashstyle="solid"/>
            </v:rect>
            <v:shape style="position:absolute;left:3517;top:-195;width:649;height:251" type="#_x0000_t202" filled="false" stroked="false">
              <v:textbox inset="0,0,0,0">
                <w:txbxContent>
                  <w:p>
                    <w:pPr>
                      <w:spacing w:line="251" w:lineRule="exact" w:before="0"/>
                      <w:ind w:left="0" w:right="0" w:firstLine="0"/>
                      <w:jc w:val="left"/>
                      <w:rPr>
                        <w:rFonts w:ascii="Times New Roman"/>
                        <w:sz w:val="18"/>
                      </w:rPr>
                    </w:pPr>
                    <w:r>
                      <w:rPr>
                        <w:rFonts w:ascii="Times New Roman"/>
                        <w:spacing w:val="-8"/>
                        <w:position w:val="5"/>
                        <w:sz w:val="18"/>
                      </w:rPr>
                      <w:t>1.5</w:t>
                    </w:r>
                    <w:r>
                      <w:rPr>
                        <w:rFonts w:ascii="Times New Roman"/>
                        <w:spacing w:val="-8"/>
                        <w:sz w:val="18"/>
                      </w:rPr>
                      <w:t>14.4%</w:t>
                    </w:r>
                  </w:p>
                </w:txbxContent>
              </v:textbox>
              <w10:wrap type="none"/>
            </v:shape>
            <v:shape style="position:absolute;left:2331;top:242;width:489;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12.3%</w:t>
                    </w:r>
                  </w:p>
                </w:txbxContent>
              </v:textbox>
              <w10:wrap type="none"/>
            </v:shape>
            <v:shape style="position:absolute;left:4077;top:495;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1.1</w:t>
                    </w:r>
                  </w:p>
                </w:txbxContent>
              </v:textbox>
              <w10:wrap type="none"/>
            </v:shape>
            <v:shape style="position:absolute;left:5023;top:401;width:489;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11.5%</w:t>
                    </w:r>
                  </w:p>
                </w:txbxContent>
              </v:textbox>
              <w10:wrap type="none"/>
            </v:shape>
            <v:shape style="position:absolute;left:6414;top:974;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8.5%</w:t>
                    </w:r>
                  </w:p>
                </w:txbxContent>
              </v:textbox>
              <w10:wrap type="none"/>
            </v:shape>
            <v:shape style="position:absolute;left:8115;top:863;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0.9</w:t>
                    </w:r>
                  </w:p>
                </w:txbxContent>
              </v:textbox>
              <w10:wrap type="none"/>
            </v:shape>
            <v:shape style="position:absolute;left:5423;top:1151;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0.8</w:t>
                    </w:r>
                  </w:p>
                </w:txbxContent>
              </v:textbox>
              <w10:wrap type="none"/>
            </v:shape>
            <v:shape style="position:absolute;left:4862;top:1492;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0.6</w:t>
                    </w:r>
                  </w:p>
                </w:txbxContent>
              </v:textbox>
              <w10:wrap type="none"/>
            </v:shape>
            <v:shape style="position:absolute;left:7554;top:1509;width:604;height:411"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0.6</w:t>
                    </w:r>
                  </w:p>
                  <w:p>
                    <w:pPr>
                      <w:spacing w:before="4"/>
                      <w:ind w:left="205" w:right="0" w:firstLine="0"/>
                      <w:jc w:val="left"/>
                      <w:rPr>
                        <w:rFonts w:ascii="Times New Roman"/>
                        <w:sz w:val="18"/>
                      </w:rPr>
                    </w:pPr>
                    <w:r>
                      <w:rPr>
                        <w:rFonts w:ascii="Times New Roman"/>
                        <w:sz w:val="18"/>
                      </w:rPr>
                      <w:t>4.6%</w:t>
                    </w:r>
                  </w:p>
                </w:txbxContent>
              </v:textbox>
              <w10:wrap type="none"/>
            </v:shape>
            <v:shape style="position:absolute;left:9106;top:1931;width:398;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3.5%</w:t>
                    </w:r>
                  </w:p>
                </w:txbxContent>
              </v:textbox>
              <w10:wrap type="none"/>
            </v:shape>
            <v:shape style="position:absolute;left:2732;top:2191;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0.2</w:t>
                    </w:r>
                  </w:p>
                </w:txbxContent>
              </v:textbox>
              <w10:wrap type="none"/>
            </v:shape>
            <v:shape style="position:absolute;left:6769;top:2128;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0.3</w:t>
                    </w:r>
                  </w:p>
                </w:txbxContent>
              </v:textbox>
              <w10:wrap type="none"/>
            </v:shape>
            <v:shape style="position:absolute;left:9461;top:2455;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0.1</w:t>
                    </w:r>
                  </w:p>
                </w:txbxContent>
              </v:textbox>
              <w10:wrap type="none"/>
            </v:shape>
            <v:shape style="position:absolute;left:2171;top:2664;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0.0</w:t>
                    </w:r>
                  </w:p>
                </w:txbxContent>
              </v:textbox>
              <w10:wrap type="none"/>
            </v:shape>
            <v:shape style="position:absolute;left:6208;top:2664;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0.0</w:t>
                    </w:r>
                  </w:p>
                </w:txbxContent>
              </v:textbox>
              <w10:wrap type="none"/>
            </v:shape>
            <v:shape style="position:absolute;left:8900;top:2664;width:247;height:200" type="#_x0000_t202" filled="false" stroked="false">
              <v:textbox inset="0,0,0,0">
                <w:txbxContent>
                  <w:p>
                    <w:pPr>
                      <w:spacing w:line="199" w:lineRule="exact" w:before="0"/>
                      <w:ind w:left="0" w:right="0" w:firstLine="0"/>
                      <w:jc w:val="left"/>
                      <w:rPr>
                        <w:rFonts w:ascii="Times New Roman"/>
                        <w:sz w:val="18"/>
                      </w:rPr>
                    </w:pPr>
                    <w:r>
                      <w:rPr>
                        <w:rFonts w:ascii="Times New Roman"/>
                        <w:sz w:val="18"/>
                      </w:rPr>
                      <w:t>0.0</w:t>
                    </w:r>
                  </w:p>
                </w:txbxContent>
              </v:textbox>
              <w10:wrap type="none"/>
            </v:shape>
            <w10:wrap type="none"/>
          </v:group>
        </w:pict>
      </w:r>
      <w:r>
        <w:rPr>
          <w:rFonts w:ascii="Times New Roman"/>
          <w:sz w:val="18"/>
        </w:rPr>
        <w:t>14%</w:t>
      </w:r>
    </w:p>
    <w:p>
      <w:pPr>
        <w:spacing w:before="174"/>
        <w:ind w:left="605" w:right="0" w:firstLine="0"/>
        <w:jc w:val="left"/>
        <w:rPr>
          <w:rFonts w:ascii="Times New Roman"/>
          <w:sz w:val="18"/>
        </w:rPr>
      </w:pPr>
      <w:r>
        <w:rPr>
          <w:rFonts w:ascii="Times New Roman"/>
          <w:sz w:val="18"/>
        </w:rPr>
        <w:t>12%</w:t>
      </w:r>
    </w:p>
    <w:p>
      <w:pPr>
        <w:spacing w:before="175"/>
        <w:ind w:left="605" w:right="0" w:firstLine="0"/>
        <w:jc w:val="left"/>
        <w:rPr>
          <w:rFonts w:ascii="Times New Roman"/>
          <w:sz w:val="18"/>
        </w:rPr>
      </w:pPr>
      <w:r>
        <w:rPr/>
        <w:pict>
          <v:shape style="position:absolute;margin-left:537.673218pt;margin-top:12.672346pt;width:12pt;height:49.15pt;mso-position-horizontal-relative:page;mso-position-vertical-relative:paragraph;z-index:16297472" type="#_x0000_t202" filled="false" stroked="false">
            <v:textbox inset="0,0,0,0" style="layout-flow:vertical">
              <w:txbxContent>
                <w:p>
                  <w:pPr>
                    <w:spacing w:before="12"/>
                    <w:ind w:left="20" w:right="0" w:firstLine="0"/>
                    <w:jc w:val="left"/>
                    <w:rPr>
                      <w:rFonts w:ascii="Times New Roman"/>
                      <w:sz w:val="18"/>
                    </w:rPr>
                  </w:pPr>
                  <w:r>
                    <w:rPr>
                      <w:rFonts w:ascii="Times New Roman"/>
                      <w:sz w:val="18"/>
                    </w:rPr>
                    <w:t>Vacancy (%)</w:t>
                  </w:r>
                </w:p>
              </w:txbxContent>
            </v:textbox>
            <w10:wrap type="none"/>
          </v:shape>
        </w:pict>
      </w:r>
      <w:r>
        <w:rPr>
          <w:rFonts w:ascii="Times New Roman"/>
          <w:sz w:val="18"/>
        </w:rPr>
        <w:t>10%</w:t>
      </w:r>
    </w:p>
    <w:p>
      <w:pPr>
        <w:spacing w:before="174"/>
        <w:ind w:left="605" w:right="0" w:firstLine="0"/>
        <w:jc w:val="left"/>
        <w:rPr>
          <w:rFonts w:ascii="Times New Roman"/>
          <w:sz w:val="18"/>
        </w:rPr>
      </w:pPr>
      <w:r>
        <w:rPr>
          <w:rFonts w:ascii="Times New Roman"/>
          <w:sz w:val="18"/>
        </w:rPr>
        <w:t>8%</w:t>
      </w:r>
    </w:p>
    <w:p>
      <w:pPr>
        <w:spacing w:before="174"/>
        <w:ind w:left="605" w:right="0" w:firstLine="0"/>
        <w:jc w:val="left"/>
        <w:rPr>
          <w:rFonts w:ascii="Times New Roman"/>
          <w:sz w:val="18"/>
        </w:rPr>
      </w:pPr>
      <w:r>
        <w:rPr>
          <w:rFonts w:ascii="Times New Roman"/>
          <w:sz w:val="18"/>
        </w:rPr>
        <w:t>6%</w:t>
      </w:r>
    </w:p>
    <w:p>
      <w:pPr>
        <w:spacing w:before="175"/>
        <w:ind w:left="605" w:right="0" w:firstLine="0"/>
        <w:jc w:val="left"/>
        <w:rPr>
          <w:rFonts w:ascii="Times New Roman"/>
          <w:sz w:val="18"/>
        </w:rPr>
      </w:pPr>
      <w:r>
        <w:rPr>
          <w:rFonts w:ascii="Times New Roman"/>
          <w:sz w:val="18"/>
        </w:rPr>
        <w:t>4%</w:t>
      </w:r>
    </w:p>
    <w:p>
      <w:pPr>
        <w:spacing w:before="174"/>
        <w:ind w:left="605" w:right="0" w:firstLine="0"/>
        <w:jc w:val="left"/>
        <w:rPr>
          <w:rFonts w:ascii="Times New Roman"/>
          <w:sz w:val="18"/>
        </w:rPr>
      </w:pPr>
      <w:r>
        <w:rPr>
          <w:rFonts w:ascii="Times New Roman"/>
          <w:sz w:val="18"/>
        </w:rPr>
        <w:t>2%</w:t>
      </w:r>
    </w:p>
    <w:p>
      <w:pPr>
        <w:spacing w:before="174"/>
        <w:ind w:left="605" w:right="0" w:firstLine="0"/>
        <w:jc w:val="left"/>
        <w:rPr>
          <w:rFonts w:ascii="Times New Roman"/>
          <w:sz w:val="18"/>
        </w:rPr>
      </w:pPr>
      <w:r>
        <w:rPr>
          <w:rFonts w:ascii="Times New Roman"/>
          <w:sz w:val="18"/>
        </w:rPr>
        <w:t>0%</w:t>
      </w:r>
    </w:p>
    <w:p>
      <w:pPr>
        <w:spacing w:after="0"/>
        <w:jc w:val="left"/>
        <w:rPr>
          <w:rFonts w:ascii="Times New Roman"/>
          <w:sz w:val="18"/>
        </w:rPr>
        <w:sectPr>
          <w:type w:val="continuous"/>
          <w:pgSz w:w="11910" w:h="16840"/>
          <w:pgMar w:top="800" w:bottom="280" w:left="500" w:right="480"/>
          <w:cols w:num="3" w:equalWidth="0">
            <w:col w:w="1241" w:space="40"/>
            <w:col w:w="7697" w:space="39"/>
            <w:col w:w="1913"/>
          </w:cols>
        </w:sectPr>
      </w:pPr>
    </w:p>
    <w:p>
      <w:pPr>
        <w:pStyle w:val="BodyText"/>
        <w:rPr>
          <w:rFonts w:ascii="Times New Roman"/>
          <w:sz w:val="20"/>
        </w:rPr>
      </w:pPr>
    </w:p>
    <w:p>
      <w:pPr>
        <w:pStyle w:val="BodyText"/>
        <w:spacing w:before="5"/>
        <w:rPr>
          <w:rFonts w:ascii="Times New Roman"/>
          <w:sz w:val="29"/>
        </w:rPr>
      </w:pPr>
    </w:p>
    <w:p>
      <w:pPr>
        <w:spacing w:line="321" w:lineRule="auto" w:before="104"/>
        <w:ind w:left="767" w:right="233" w:firstLine="0"/>
        <w:jc w:val="both"/>
        <w:rPr>
          <w:i/>
          <w:sz w:val="18"/>
        </w:rPr>
      </w:pPr>
      <w:r>
        <w:rPr>
          <w:i/>
          <w:sz w:val="18"/>
        </w:rPr>
        <w:t>Source:</w:t>
      </w:r>
      <w:r>
        <w:rPr>
          <w:i/>
          <w:spacing w:val="-28"/>
          <w:sz w:val="18"/>
        </w:rPr>
        <w:t> </w:t>
      </w:r>
      <w:r>
        <w:rPr>
          <w:i/>
          <w:sz w:val="18"/>
        </w:rPr>
        <w:t>CBRE</w:t>
      </w:r>
      <w:r>
        <w:rPr>
          <w:i/>
          <w:spacing w:val="-27"/>
          <w:sz w:val="18"/>
        </w:rPr>
        <w:t> </w:t>
      </w:r>
      <w:r>
        <w:rPr>
          <w:i/>
          <w:sz w:val="18"/>
        </w:rPr>
        <w:t>Research;</w:t>
      </w:r>
      <w:r>
        <w:rPr>
          <w:i/>
          <w:spacing w:val="-29"/>
          <w:sz w:val="18"/>
        </w:rPr>
        <w:t> </w:t>
      </w:r>
      <w:r>
        <w:rPr>
          <w:i/>
          <w:sz w:val="18"/>
        </w:rPr>
        <w:t>Note:</w:t>
      </w:r>
      <w:r>
        <w:rPr>
          <w:i/>
          <w:spacing w:val="-28"/>
          <w:sz w:val="18"/>
        </w:rPr>
        <w:t> </w:t>
      </w:r>
      <w:r>
        <w:rPr>
          <w:i/>
          <w:sz w:val="18"/>
        </w:rPr>
        <w:t>Supply</w:t>
      </w:r>
      <w:r>
        <w:rPr>
          <w:i/>
          <w:spacing w:val="-27"/>
          <w:sz w:val="18"/>
        </w:rPr>
        <w:t> </w:t>
      </w:r>
      <w:r>
        <w:rPr>
          <w:i/>
          <w:w w:val="105"/>
          <w:sz w:val="18"/>
        </w:rPr>
        <w:t>–</w:t>
      </w:r>
      <w:r>
        <w:rPr>
          <w:i/>
          <w:spacing w:val="-31"/>
          <w:w w:val="105"/>
          <w:sz w:val="18"/>
        </w:rPr>
        <w:t> </w:t>
      </w:r>
      <w:r>
        <w:rPr>
          <w:i/>
          <w:sz w:val="18"/>
        </w:rPr>
        <w:t>refers</w:t>
      </w:r>
      <w:r>
        <w:rPr>
          <w:i/>
          <w:spacing w:val="-27"/>
          <w:sz w:val="18"/>
        </w:rPr>
        <w:t> </w:t>
      </w:r>
      <w:r>
        <w:rPr>
          <w:i/>
          <w:sz w:val="18"/>
        </w:rPr>
        <w:t>to</w:t>
      </w:r>
      <w:r>
        <w:rPr>
          <w:i/>
          <w:spacing w:val="-28"/>
          <w:sz w:val="18"/>
        </w:rPr>
        <w:t> </w:t>
      </w:r>
      <w:r>
        <w:rPr>
          <w:i/>
          <w:sz w:val="18"/>
        </w:rPr>
        <w:t>fresh</w:t>
      </w:r>
      <w:r>
        <w:rPr>
          <w:i/>
          <w:spacing w:val="-27"/>
          <w:sz w:val="18"/>
        </w:rPr>
        <w:t> </w:t>
      </w:r>
      <w:r>
        <w:rPr>
          <w:i/>
          <w:sz w:val="18"/>
        </w:rPr>
        <w:t>completed</w:t>
      </w:r>
      <w:r>
        <w:rPr>
          <w:i/>
          <w:spacing w:val="-27"/>
          <w:sz w:val="18"/>
        </w:rPr>
        <w:t> </w:t>
      </w:r>
      <w:r>
        <w:rPr>
          <w:i/>
          <w:sz w:val="18"/>
        </w:rPr>
        <w:t>supply</w:t>
      </w:r>
      <w:r>
        <w:rPr>
          <w:i/>
          <w:spacing w:val="-29"/>
          <w:sz w:val="18"/>
        </w:rPr>
        <w:t> </w:t>
      </w:r>
      <w:r>
        <w:rPr>
          <w:i/>
          <w:sz w:val="18"/>
        </w:rPr>
        <w:t>added</w:t>
      </w:r>
      <w:r>
        <w:rPr>
          <w:i/>
          <w:spacing w:val="-27"/>
          <w:sz w:val="18"/>
        </w:rPr>
        <w:t> </w:t>
      </w:r>
      <w:r>
        <w:rPr>
          <w:i/>
          <w:sz w:val="18"/>
        </w:rPr>
        <w:t>each</w:t>
      </w:r>
      <w:r>
        <w:rPr>
          <w:i/>
          <w:spacing w:val="-28"/>
          <w:sz w:val="18"/>
        </w:rPr>
        <w:t> </w:t>
      </w:r>
      <w:r>
        <w:rPr>
          <w:i/>
          <w:sz w:val="18"/>
        </w:rPr>
        <w:t>year;</w:t>
      </w:r>
      <w:r>
        <w:rPr>
          <w:i/>
          <w:spacing w:val="-24"/>
          <w:sz w:val="18"/>
        </w:rPr>
        <w:t> </w:t>
      </w:r>
      <w:r>
        <w:rPr>
          <w:i/>
          <w:sz w:val="18"/>
        </w:rPr>
        <w:t>Absorption</w:t>
      </w:r>
      <w:r>
        <w:rPr>
          <w:i/>
          <w:spacing w:val="-28"/>
          <w:sz w:val="18"/>
        </w:rPr>
        <w:t> </w:t>
      </w:r>
      <w:r>
        <w:rPr>
          <w:i/>
          <w:w w:val="105"/>
          <w:sz w:val="18"/>
        </w:rPr>
        <w:t>–</w:t>
      </w:r>
      <w:r>
        <w:rPr>
          <w:i/>
          <w:spacing w:val="-29"/>
          <w:w w:val="105"/>
          <w:sz w:val="18"/>
        </w:rPr>
        <w:t> </w:t>
      </w:r>
      <w:r>
        <w:rPr>
          <w:i/>
          <w:sz w:val="18"/>
        </w:rPr>
        <w:t>refers</w:t>
      </w:r>
      <w:r>
        <w:rPr>
          <w:i/>
          <w:spacing w:val="-28"/>
          <w:sz w:val="18"/>
        </w:rPr>
        <w:t> </w:t>
      </w:r>
      <w:r>
        <w:rPr>
          <w:i/>
          <w:sz w:val="18"/>
        </w:rPr>
        <w:t>to</w:t>
      </w:r>
      <w:r>
        <w:rPr>
          <w:i/>
          <w:spacing w:val="-29"/>
          <w:sz w:val="18"/>
        </w:rPr>
        <w:t> </w:t>
      </w:r>
      <w:r>
        <w:rPr>
          <w:i/>
          <w:sz w:val="18"/>
        </w:rPr>
        <w:t>the</w:t>
      </w:r>
      <w:r>
        <w:rPr>
          <w:i/>
          <w:spacing w:val="-29"/>
          <w:sz w:val="18"/>
        </w:rPr>
        <w:t> </w:t>
      </w:r>
      <w:r>
        <w:rPr>
          <w:i/>
          <w:sz w:val="18"/>
        </w:rPr>
        <w:t>quantum</w:t>
      </w:r>
      <w:r>
        <w:rPr>
          <w:i/>
          <w:spacing w:val="-27"/>
          <w:sz w:val="18"/>
        </w:rPr>
        <w:t> </w:t>
      </w:r>
      <w:r>
        <w:rPr>
          <w:i/>
          <w:sz w:val="18"/>
        </w:rPr>
        <w:t>of </w:t>
      </w:r>
      <w:r>
        <w:rPr>
          <w:i/>
          <w:sz w:val="18"/>
        </w:rPr>
        <w:t>leasing</w:t>
      </w:r>
      <w:r>
        <w:rPr>
          <w:i/>
          <w:spacing w:val="-19"/>
          <w:sz w:val="18"/>
        </w:rPr>
        <w:t> </w:t>
      </w:r>
      <w:r>
        <w:rPr>
          <w:i/>
          <w:sz w:val="18"/>
        </w:rPr>
        <w:t>witnessed</w:t>
      </w:r>
      <w:r>
        <w:rPr>
          <w:i/>
          <w:spacing w:val="-17"/>
          <w:sz w:val="18"/>
        </w:rPr>
        <w:t> </w:t>
      </w:r>
      <w:r>
        <w:rPr>
          <w:i/>
          <w:sz w:val="18"/>
        </w:rPr>
        <w:t>in</w:t>
      </w:r>
      <w:r>
        <w:rPr>
          <w:i/>
          <w:spacing w:val="-18"/>
          <w:sz w:val="18"/>
        </w:rPr>
        <w:t> </w:t>
      </w:r>
      <w:r>
        <w:rPr>
          <w:i/>
          <w:sz w:val="18"/>
        </w:rPr>
        <w:t>each</w:t>
      </w:r>
      <w:r>
        <w:rPr>
          <w:i/>
          <w:spacing w:val="-17"/>
          <w:sz w:val="18"/>
        </w:rPr>
        <w:t> </w:t>
      </w:r>
      <w:r>
        <w:rPr>
          <w:i/>
          <w:sz w:val="18"/>
        </w:rPr>
        <w:t>year</w:t>
      </w:r>
      <w:r>
        <w:rPr>
          <w:i/>
          <w:spacing w:val="-18"/>
          <w:sz w:val="18"/>
        </w:rPr>
        <w:t> </w:t>
      </w:r>
      <w:r>
        <w:rPr>
          <w:i/>
          <w:sz w:val="18"/>
        </w:rPr>
        <w:t>as</w:t>
      </w:r>
      <w:r>
        <w:rPr>
          <w:i/>
          <w:spacing w:val="-18"/>
          <w:sz w:val="18"/>
        </w:rPr>
        <w:t> </w:t>
      </w:r>
      <w:r>
        <w:rPr>
          <w:i/>
          <w:sz w:val="18"/>
        </w:rPr>
        <w:t>part</w:t>
      </w:r>
      <w:r>
        <w:rPr>
          <w:i/>
          <w:spacing w:val="-17"/>
          <w:sz w:val="18"/>
        </w:rPr>
        <w:t> </w:t>
      </w:r>
      <w:r>
        <w:rPr>
          <w:i/>
          <w:sz w:val="18"/>
        </w:rPr>
        <w:t>of</w:t>
      </w:r>
      <w:r>
        <w:rPr>
          <w:i/>
          <w:spacing w:val="-18"/>
          <w:sz w:val="18"/>
        </w:rPr>
        <w:t> </w:t>
      </w:r>
      <w:r>
        <w:rPr>
          <w:i/>
          <w:sz w:val="18"/>
        </w:rPr>
        <w:t>completed</w:t>
      </w:r>
      <w:r>
        <w:rPr>
          <w:i/>
          <w:spacing w:val="-18"/>
          <w:sz w:val="18"/>
        </w:rPr>
        <w:t> </w:t>
      </w:r>
      <w:r>
        <w:rPr>
          <w:i/>
          <w:sz w:val="18"/>
        </w:rPr>
        <w:t>space;</w:t>
      </w:r>
      <w:r>
        <w:rPr>
          <w:i/>
          <w:spacing w:val="-18"/>
          <w:sz w:val="18"/>
        </w:rPr>
        <w:t> </w:t>
      </w:r>
      <w:r>
        <w:rPr>
          <w:i/>
          <w:sz w:val="18"/>
        </w:rPr>
        <w:t>the</w:t>
      </w:r>
      <w:r>
        <w:rPr>
          <w:i/>
          <w:spacing w:val="-18"/>
          <w:sz w:val="18"/>
        </w:rPr>
        <w:t> </w:t>
      </w:r>
      <w:r>
        <w:rPr>
          <w:i/>
          <w:sz w:val="18"/>
        </w:rPr>
        <w:t>vacancy</w:t>
      </w:r>
      <w:r>
        <w:rPr>
          <w:i/>
          <w:spacing w:val="-18"/>
          <w:sz w:val="18"/>
        </w:rPr>
        <w:t> </w:t>
      </w:r>
      <w:r>
        <w:rPr>
          <w:i/>
          <w:sz w:val="18"/>
        </w:rPr>
        <w:t>in</w:t>
      </w:r>
      <w:r>
        <w:rPr>
          <w:i/>
          <w:spacing w:val="-19"/>
          <w:sz w:val="18"/>
        </w:rPr>
        <w:t> </w:t>
      </w:r>
      <w:r>
        <w:rPr>
          <w:i/>
          <w:sz w:val="18"/>
        </w:rPr>
        <w:t>the</w:t>
      </w:r>
      <w:r>
        <w:rPr>
          <w:i/>
          <w:spacing w:val="-18"/>
          <w:sz w:val="18"/>
        </w:rPr>
        <w:t> </w:t>
      </w:r>
      <w:r>
        <w:rPr>
          <w:i/>
          <w:sz w:val="18"/>
        </w:rPr>
        <w:t>chart</w:t>
      </w:r>
      <w:r>
        <w:rPr>
          <w:i/>
          <w:spacing w:val="-17"/>
          <w:sz w:val="18"/>
        </w:rPr>
        <w:t> </w:t>
      </w:r>
      <w:r>
        <w:rPr>
          <w:i/>
          <w:sz w:val="18"/>
        </w:rPr>
        <w:t>accounts</w:t>
      </w:r>
      <w:r>
        <w:rPr>
          <w:i/>
          <w:spacing w:val="-17"/>
          <w:sz w:val="18"/>
        </w:rPr>
        <w:t> </w:t>
      </w:r>
      <w:r>
        <w:rPr>
          <w:i/>
          <w:sz w:val="18"/>
        </w:rPr>
        <w:t>for</w:t>
      </w:r>
      <w:r>
        <w:rPr>
          <w:i/>
          <w:spacing w:val="-18"/>
          <w:sz w:val="18"/>
        </w:rPr>
        <w:t> </w:t>
      </w:r>
      <w:r>
        <w:rPr>
          <w:i/>
          <w:sz w:val="18"/>
        </w:rPr>
        <w:t>the</w:t>
      </w:r>
      <w:r>
        <w:rPr>
          <w:i/>
          <w:spacing w:val="-19"/>
          <w:sz w:val="18"/>
        </w:rPr>
        <w:t> </w:t>
      </w:r>
      <w:r>
        <w:rPr>
          <w:i/>
          <w:sz w:val="18"/>
        </w:rPr>
        <w:t>gap</w:t>
      </w:r>
      <w:r>
        <w:rPr>
          <w:i/>
          <w:spacing w:val="-18"/>
          <w:sz w:val="18"/>
        </w:rPr>
        <w:t> </w:t>
      </w:r>
      <w:r>
        <w:rPr>
          <w:i/>
          <w:sz w:val="18"/>
        </w:rPr>
        <w:t>between</w:t>
      </w:r>
      <w:r>
        <w:rPr>
          <w:i/>
          <w:spacing w:val="-17"/>
          <w:sz w:val="18"/>
        </w:rPr>
        <w:t> </w:t>
      </w:r>
      <w:r>
        <w:rPr>
          <w:i/>
          <w:sz w:val="18"/>
        </w:rPr>
        <w:t>cumulative stock and demand in the city in any given</w:t>
      </w:r>
      <w:r>
        <w:rPr>
          <w:i/>
          <w:spacing w:val="-39"/>
          <w:sz w:val="18"/>
        </w:rPr>
        <w:t> </w:t>
      </w:r>
      <w:r>
        <w:rPr>
          <w:i/>
          <w:sz w:val="18"/>
        </w:rPr>
        <w:t>year.</w:t>
      </w:r>
    </w:p>
    <w:p>
      <w:pPr>
        <w:pStyle w:val="BodyText"/>
        <w:spacing w:before="9"/>
        <w:rPr>
          <w:i/>
          <w:sz w:val="20"/>
        </w:rPr>
      </w:pPr>
    </w:p>
    <w:p>
      <w:pPr>
        <w:pStyle w:val="BodyText"/>
        <w:spacing w:line="321" w:lineRule="auto"/>
        <w:ind w:left="760" w:right="233"/>
        <w:jc w:val="both"/>
      </w:pPr>
      <w:r>
        <w:rPr/>
        <w:t>Rajiv Gandhi Infotech Park developed by Maharashtra Industrial Development Corporation (MIDC), located</w:t>
      </w:r>
      <w:r>
        <w:rPr>
          <w:spacing w:val="-11"/>
        </w:rPr>
        <w:t> </w:t>
      </w:r>
      <w:r>
        <w:rPr/>
        <w:t>within</w:t>
      </w:r>
      <w:r>
        <w:rPr>
          <w:spacing w:val="-11"/>
        </w:rPr>
        <w:t> </w:t>
      </w:r>
      <w:r>
        <w:rPr/>
        <w:t>Hinjewadi</w:t>
      </w:r>
      <w:r>
        <w:rPr>
          <w:spacing w:val="-13"/>
        </w:rPr>
        <w:t> </w:t>
      </w:r>
      <w:r>
        <w:rPr/>
        <w:t>and</w:t>
      </w:r>
      <w:r>
        <w:rPr>
          <w:spacing w:val="-10"/>
        </w:rPr>
        <w:t> </w:t>
      </w:r>
      <w:r>
        <w:rPr/>
        <w:t>has</w:t>
      </w:r>
      <w:r>
        <w:rPr>
          <w:spacing w:val="-12"/>
        </w:rPr>
        <w:t> </w:t>
      </w:r>
      <w:r>
        <w:rPr/>
        <w:t>developed</w:t>
      </w:r>
      <w:r>
        <w:rPr>
          <w:spacing w:val="-10"/>
        </w:rPr>
        <w:t> </w:t>
      </w:r>
      <w:r>
        <w:rPr/>
        <w:t>as</w:t>
      </w:r>
      <w:r>
        <w:rPr>
          <w:spacing w:val="-13"/>
        </w:rPr>
        <w:t> </w:t>
      </w:r>
      <w:r>
        <w:rPr/>
        <w:t>a</w:t>
      </w:r>
      <w:r>
        <w:rPr>
          <w:spacing w:val="-11"/>
        </w:rPr>
        <w:t> </w:t>
      </w:r>
      <w:r>
        <w:rPr/>
        <w:t>prominent</w:t>
      </w:r>
      <w:r>
        <w:rPr>
          <w:spacing w:val="-11"/>
        </w:rPr>
        <w:t> </w:t>
      </w:r>
      <w:r>
        <w:rPr/>
        <w:t>commercial</w:t>
      </w:r>
      <w:r>
        <w:rPr>
          <w:spacing w:val="-11"/>
        </w:rPr>
        <w:t> </w:t>
      </w:r>
      <w:r>
        <w:rPr/>
        <w:t>destination</w:t>
      </w:r>
      <w:r>
        <w:rPr>
          <w:spacing w:val="-12"/>
        </w:rPr>
        <w:t> </w:t>
      </w:r>
      <w:r>
        <w:rPr/>
        <w:t>within</w:t>
      </w:r>
      <w:r>
        <w:rPr>
          <w:spacing w:val="-13"/>
        </w:rPr>
        <w:t> </w:t>
      </w:r>
      <w:r>
        <w:rPr/>
        <w:t>Pune.</w:t>
      </w:r>
      <w:r>
        <w:rPr>
          <w:spacing w:val="-11"/>
        </w:rPr>
        <w:t> </w:t>
      </w:r>
      <w:r>
        <w:rPr/>
        <w:t>The Infotech</w:t>
      </w:r>
      <w:r>
        <w:rPr>
          <w:spacing w:val="-38"/>
        </w:rPr>
        <w:t> </w:t>
      </w:r>
      <w:r>
        <w:rPr/>
        <w:t>Park</w:t>
      </w:r>
      <w:r>
        <w:rPr>
          <w:spacing w:val="-37"/>
        </w:rPr>
        <w:t> </w:t>
      </w:r>
      <w:r>
        <w:rPr/>
        <w:t>commenced</w:t>
      </w:r>
      <w:r>
        <w:rPr>
          <w:spacing w:val="-38"/>
        </w:rPr>
        <w:t> </w:t>
      </w:r>
      <w:r>
        <w:rPr/>
        <w:t>its</w:t>
      </w:r>
      <w:r>
        <w:rPr>
          <w:spacing w:val="-38"/>
        </w:rPr>
        <w:t> </w:t>
      </w:r>
      <w:r>
        <w:rPr/>
        <w:t>development</w:t>
      </w:r>
      <w:r>
        <w:rPr>
          <w:spacing w:val="-37"/>
        </w:rPr>
        <w:t> </w:t>
      </w:r>
      <w:r>
        <w:rPr/>
        <w:t>activities</w:t>
      </w:r>
      <w:r>
        <w:rPr>
          <w:spacing w:val="-39"/>
        </w:rPr>
        <w:t> </w:t>
      </w:r>
      <w:r>
        <w:rPr/>
        <w:t>during</w:t>
      </w:r>
      <w:r>
        <w:rPr>
          <w:spacing w:val="-36"/>
        </w:rPr>
        <w:t> </w:t>
      </w:r>
      <w:r>
        <w:rPr/>
        <w:t>1998</w:t>
      </w:r>
      <w:r>
        <w:rPr>
          <w:spacing w:val="-36"/>
        </w:rPr>
        <w:t> </w:t>
      </w:r>
      <w:r>
        <w:rPr/>
        <w:t>and</w:t>
      </w:r>
      <w:r>
        <w:rPr>
          <w:spacing w:val="-38"/>
        </w:rPr>
        <w:t> </w:t>
      </w:r>
      <w:r>
        <w:rPr/>
        <w:t>has</w:t>
      </w:r>
      <w:r>
        <w:rPr>
          <w:spacing w:val="-38"/>
        </w:rPr>
        <w:t> </w:t>
      </w:r>
      <w:r>
        <w:rPr/>
        <w:t>been</w:t>
      </w:r>
      <w:r>
        <w:rPr>
          <w:spacing w:val="-37"/>
        </w:rPr>
        <w:t> </w:t>
      </w:r>
      <w:r>
        <w:rPr/>
        <w:t>developed</w:t>
      </w:r>
      <w:r>
        <w:rPr>
          <w:spacing w:val="-37"/>
        </w:rPr>
        <w:t> </w:t>
      </w:r>
      <w:r>
        <w:rPr/>
        <w:t>in</w:t>
      </w:r>
      <w:r>
        <w:rPr>
          <w:spacing w:val="-39"/>
        </w:rPr>
        <w:t> </w:t>
      </w:r>
      <w:r>
        <w:rPr/>
        <w:t>three</w:t>
      </w:r>
      <w:r>
        <w:rPr>
          <w:spacing w:val="-37"/>
        </w:rPr>
        <w:t> </w:t>
      </w:r>
      <w:r>
        <w:rPr/>
        <w:t>phases I,</w:t>
      </w:r>
      <w:r>
        <w:rPr>
          <w:spacing w:val="-29"/>
        </w:rPr>
        <w:t> </w:t>
      </w:r>
      <w:r>
        <w:rPr/>
        <w:t>II</w:t>
      </w:r>
      <w:r>
        <w:rPr>
          <w:spacing w:val="-28"/>
        </w:rPr>
        <w:t> </w:t>
      </w:r>
      <w:r>
        <w:rPr/>
        <w:t>and</w:t>
      </w:r>
      <w:r>
        <w:rPr>
          <w:spacing w:val="-29"/>
        </w:rPr>
        <w:t> </w:t>
      </w:r>
      <w:r>
        <w:rPr/>
        <w:t>III</w:t>
      </w:r>
      <w:r>
        <w:rPr>
          <w:spacing w:val="-28"/>
        </w:rPr>
        <w:t> </w:t>
      </w:r>
      <w:r>
        <w:rPr/>
        <w:t>over</w:t>
      </w:r>
      <w:r>
        <w:rPr>
          <w:spacing w:val="-29"/>
        </w:rPr>
        <w:t> </w:t>
      </w:r>
      <w:r>
        <w:rPr/>
        <w:t>the</w:t>
      </w:r>
      <w:r>
        <w:rPr>
          <w:spacing w:val="-30"/>
        </w:rPr>
        <w:t> </w:t>
      </w:r>
      <w:r>
        <w:rPr/>
        <w:t>years.</w:t>
      </w:r>
      <w:r>
        <w:rPr>
          <w:spacing w:val="-29"/>
        </w:rPr>
        <w:t> </w:t>
      </w:r>
      <w:r>
        <w:rPr/>
        <w:t>Additionally,</w:t>
      </w:r>
      <w:r>
        <w:rPr>
          <w:spacing w:val="-29"/>
        </w:rPr>
        <w:t> </w:t>
      </w:r>
      <w:r>
        <w:rPr/>
        <w:t>by</w:t>
      </w:r>
      <w:r>
        <w:rPr>
          <w:spacing w:val="-28"/>
        </w:rPr>
        <w:t> </w:t>
      </w:r>
      <w:r>
        <w:rPr/>
        <w:t>the</w:t>
      </w:r>
      <w:r>
        <w:rPr>
          <w:spacing w:val="-29"/>
        </w:rPr>
        <w:t> </w:t>
      </w:r>
      <w:r>
        <w:rPr/>
        <w:t>virtue</w:t>
      </w:r>
      <w:r>
        <w:rPr>
          <w:spacing w:val="-30"/>
        </w:rPr>
        <w:t> </w:t>
      </w:r>
      <w:r>
        <w:rPr/>
        <w:t>of</w:t>
      </w:r>
      <w:r>
        <w:rPr>
          <w:spacing w:val="-28"/>
        </w:rPr>
        <w:t> </w:t>
      </w:r>
      <w:r>
        <w:rPr/>
        <w:t>ease</w:t>
      </w:r>
      <w:r>
        <w:rPr>
          <w:spacing w:val="-29"/>
        </w:rPr>
        <w:t> </w:t>
      </w:r>
      <w:r>
        <w:rPr/>
        <w:t>of</w:t>
      </w:r>
      <w:r>
        <w:rPr>
          <w:spacing w:val="-29"/>
        </w:rPr>
        <w:t> </w:t>
      </w:r>
      <w:r>
        <w:rPr/>
        <w:t>access</w:t>
      </w:r>
      <w:r>
        <w:rPr>
          <w:spacing w:val="-28"/>
        </w:rPr>
        <w:t> </w:t>
      </w:r>
      <w:r>
        <w:rPr/>
        <w:t>through</w:t>
      </w:r>
      <w:r>
        <w:rPr>
          <w:spacing w:val="-31"/>
        </w:rPr>
        <w:t> </w:t>
      </w:r>
      <w:r>
        <w:rPr/>
        <w:t>Mumbai-Bengaluru</w:t>
      </w:r>
      <w:r>
        <w:rPr>
          <w:spacing w:val="-30"/>
        </w:rPr>
        <w:t> </w:t>
      </w:r>
      <w:r>
        <w:rPr/>
        <w:t>bypass road,</w:t>
      </w:r>
      <w:r>
        <w:rPr>
          <w:spacing w:val="-43"/>
        </w:rPr>
        <w:t> </w:t>
      </w:r>
      <w:r>
        <w:rPr/>
        <w:t>the</w:t>
      </w:r>
      <w:r>
        <w:rPr>
          <w:spacing w:val="-42"/>
        </w:rPr>
        <w:t> </w:t>
      </w:r>
      <w:r>
        <w:rPr/>
        <w:t>region</w:t>
      </w:r>
      <w:r>
        <w:rPr>
          <w:spacing w:val="-42"/>
        </w:rPr>
        <w:t> </w:t>
      </w:r>
      <w:r>
        <w:rPr/>
        <w:t>has</w:t>
      </w:r>
      <w:r>
        <w:rPr>
          <w:spacing w:val="-42"/>
        </w:rPr>
        <w:t> </w:t>
      </w:r>
      <w:r>
        <w:rPr/>
        <w:t>evinced</w:t>
      </w:r>
      <w:r>
        <w:rPr>
          <w:spacing w:val="-42"/>
        </w:rPr>
        <w:t> </w:t>
      </w:r>
      <w:r>
        <w:rPr/>
        <w:t>considerable</w:t>
      </w:r>
      <w:r>
        <w:rPr>
          <w:spacing w:val="-43"/>
        </w:rPr>
        <w:t> </w:t>
      </w:r>
      <w:r>
        <w:rPr/>
        <w:t>interest</w:t>
      </w:r>
      <w:r>
        <w:rPr>
          <w:spacing w:val="-42"/>
        </w:rPr>
        <w:t> </w:t>
      </w:r>
      <w:r>
        <w:rPr/>
        <w:t>from</w:t>
      </w:r>
      <w:r>
        <w:rPr>
          <w:spacing w:val="-43"/>
        </w:rPr>
        <w:t> </w:t>
      </w:r>
      <w:r>
        <w:rPr/>
        <w:t>tenants.</w:t>
      </w:r>
      <w:r>
        <w:rPr>
          <w:spacing w:val="-43"/>
        </w:rPr>
        <w:t> </w:t>
      </w:r>
      <w:r>
        <w:rPr/>
        <w:t>Further,</w:t>
      </w:r>
      <w:r>
        <w:rPr>
          <w:spacing w:val="-42"/>
        </w:rPr>
        <w:t> </w:t>
      </w:r>
      <w:r>
        <w:rPr/>
        <w:t>owing</w:t>
      </w:r>
      <w:r>
        <w:rPr>
          <w:spacing w:val="-42"/>
        </w:rPr>
        <w:t> </w:t>
      </w:r>
      <w:r>
        <w:rPr/>
        <w:t>to</w:t>
      </w:r>
      <w:r>
        <w:rPr>
          <w:spacing w:val="-42"/>
        </w:rPr>
        <w:t> </w:t>
      </w:r>
      <w:r>
        <w:rPr/>
        <w:t>demand</w:t>
      </w:r>
      <w:r>
        <w:rPr>
          <w:spacing w:val="-42"/>
        </w:rPr>
        <w:t> </w:t>
      </w:r>
      <w:r>
        <w:rPr/>
        <w:t>for</w:t>
      </w:r>
      <w:r>
        <w:rPr>
          <w:spacing w:val="-42"/>
        </w:rPr>
        <w:t> </w:t>
      </w:r>
      <w:r>
        <w:rPr/>
        <w:t>residential developments</w:t>
      </w:r>
      <w:r>
        <w:rPr>
          <w:spacing w:val="15"/>
        </w:rPr>
        <w:t> </w:t>
      </w:r>
      <w:r>
        <w:rPr/>
        <w:t>from</w:t>
      </w:r>
      <w:r>
        <w:rPr>
          <w:spacing w:val="15"/>
        </w:rPr>
        <w:t> </w:t>
      </w:r>
      <w:r>
        <w:rPr/>
        <w:t>the</w:t>
      </w:r>
      <w:r>
        <w:rPr>
          <w:spacing w:val="12"/>
        </w:rPr>
        <w:t> </w:t>
      </w:r>
      <w:r>
        <w:rPr/>
        <w:t>IT</w:t>
      </w:r>
      <w:r>
        <w:rPr>
          <w:spacing w:val="16"/>
        </w:rPr>
        <w:t> </w:t>
      </w:r>
      <w:r>
        <w:rPr/>
        <w:t>populace,</w:t>
      </w:r>
      <w:r>
        <w:rPr>
          <w:spacing w:val="14"/>
        </w:rPr>
        <w:t> </w:t>
      </w:r>
      <w:r>
        <w:rPr/>
        <w:t>local</w:t>
      </w:r>
      <w:r>
        <w:rPr>
          <w:spacing w:val="14"/>
        </w:rPr>
        <w:t> </w:t>
      </w:r>
      <w:r>
        <w:rPr/>
        <w:t>and</w:t>
      </w:r>
      <w:r>
        <w:rPr>
          <w:spacing w:val="17"/>
        </w:rPr>
        <w:t> </w:t>
      </w:r>
      <w:r>
        <w:rPr/>
        <w:t>national</w:t>
      </w:r>
      <w:r>
        <w:rPr>
          <w:spacing w:val="14"/>
        </w:rPr>
        <w:t> </w:t>
      </w:r>
      <w:r>
        <w:rPr/>
        <w:t>level</w:t>
      </w:r>
      <w:r>
        <w:rPr>
          <w:spacing w:val="14"/>
        </w:rPr>
        <w:t> </w:t>
      </w:r>
      <w:r>
        <w:rPr/>
        <w:t>developers</w:t>
      </w:r>
      <w:r>
        <w:rPr>
          <w:spacing w:val="15"/>
        </w:rPr>
        <w:t> </w:t>
      </w:r>
      <w:r>
        <w:rPr/>
        <w:t>have</w:t>
      </w:r>
      <w:r>
        <w:rPr>
          <w:spacing w:val="14"/>
        </w:rPr>
        <w:t> </w:t>
      </w:r>
      <w:r>
        <w:rPr/>
        <w:t>launched</w:t>
      </w:r>
      <w:r>
        <w:rPr>
          <w:spacing w:val="16"/>
        </w:rPr>
        <w:t> </w:t>
      </w:r>
      <w:r>
        <w:rPr/>
        <w:t>residential</w:t>
      </w:r>
    </w:p>
    <w:p>
      <w:pPr>
        <w:spacing w:after="0" w:line="321" w:lineRule="auto"/>
        <w:jc w:val="both"/>
        <w:sectPr>
          <w:type w:val="continuous"/>
          <w:pgSz w:w="11910" w:h="16840"/>
          <w:pgMar w:top="800" w:bottom="280" w:left="500" w:right="480"/>
        </w:sectPr>
      </w:pPr>
    </w:p>
    <w:p>
      <w:pPr>
        <w:pStyle w:val="BodyText"/>
        <w:spacing w:before="7"/>
        <w:rPr>
          <w:sz w:val="9"/>
        </w:rPr>
      </w:pPr>
    </w:p>
    <w:p>
      <w:pPr>
        <w:pStyle w:val="BodyText"/>
        <w:spacing w:line="321" w:lineRule="auto" w:before="106"/>
        <w:ind w:left="760"/>
      </w:pPr>
      <w:r>
        <w:rPr/>
        <w:t>townships in the region. Infrastructure initiatives developed (and planned) by the state government augment the overall attractiveness of the region.</w:t>
      </w:r>
    </w:p>
    <w:p>
      <w:pPr>
        <w:pStyle w:val="BodyText"/>
        <w:spacing w:before="4"/>
        <w:rPr>
          <w:sz w:val="23"/>
        </w:rPr>
      </w:pPr>
    </w:p>
    <w:p>
      <w:pPr>
        <w:spacing w:before="0"/>
        <w:ind w:left="220" w:right="0" w:firstLine="0"/>
        <w:jc w:val="left"/>
        <w:rPr>
          <w:i/>
          <w:sz w:val="20"/>
        </w:rPr>
      </w:pPr>
      <w:r>
        <w:rPr>
          <w:i/>
          <w:color w:val="008000"/>
          <w:sz w:val="22"/>
        </w:rPr>
        <w:t>11.3.1.2 </w:t>
      </w:r>
      <w:r>
        <w:rPr>
          <w:i/>
          <w:color w:val="008000"/>
          <w:sz w:val="20"/>
        </w:rPr>
        <w:t>Key Developments in Micro Market</w:t>
      </w:r>
    </w:p>
    <w:p>
      <w:pPr>
        <w:pStyle w:val="BodyText"/>
        <w:spacing w:before="76"/>
        <w:ind w:left="786"/>
      </w:pPr>
      <w:r>
        <w:rPr/>
        <w:pict>
          <v:group style="position:absolute;margin-left:36pt;margin-top:29.608635pt;width:523.6pt;height:34.7pt;mso-position-horizontal-relative:page;mso-position-vertical-relative:paragraph;z-index:-34326016" coordorigin="720,592" coordsize="10472,694">
            <v:shape style="position:absolute;left:720;top:1271;width:10472;height:15" coordorigin="720,1271" coordsize="10472,15" path="m8623,1271l6695,1271,6681,1271,6681,1271,5298,1271,5283,1271,3431,1271,3416,1271,720,1271,720,1286,3416,1286,3431,1286,5283,1286,5298,1286,6681,1286,6681,1286,6695,1286,8623,1286,8623,1271xm11191,1271l8637,1271,8623,1271,8623,1286,8637,1286,11191,1286,11191,1271xe" filled="true" fillcolor="#69bd28" stroked="false">
              <v:path arrowok="t"/>
              <v:fill type="solid"/>
            </v:shape>
            <v:shape style="position:absolute;left:720;top:623;width:10472;height:648" coordorigin="720,623" coordsize="10472,648" path="m8623,623l6681,623,6681,623,5283,623,3416,623,720,623,720,1271,3416,1271,5283,1271,6681,1271,6681,1271,8623,1271,8623,623xm11191,623l8623,623,8623,1271,11191,1271,11191,623xe" filled="true" fillcolor="#006a4d" stroked="false">
              <v:path arrowok="t"/>
              <v:fill type="solid"/>
            </v:shape>
            <v:rect style="position:absolute;left:720;top:592;width:2697;height:29" filled="true" fillcolor="#1f6b16" stroked="false">
              <v:fill type="solid"/>
            </v:rect>
            <v:shape style="position:absolute;left:720;top:620;width:2725;height:3" coordorigin="720,621" coordsize="2725,3" path="m3445,621l3416,621,720,621,720,623,3416,623,3445,623,3445,621xe" filled="true" fillcolor="#006a4d" stroked="false">
              <v:path arrowok="t"/>
              <v:fill type="solid"/>
            </v:shape>
            <v:shape style="position:absolute;left:3416;top:592;width:1868;height:29" coordorigin="3416,592" coordsize="1868,29" path="m5283,592l3445,592,3416,592,3416,621,3445,621,5283,621,5283,592xe" filled="true" fillcolor="#1f6b16" stroked="false">
              <v:path arrowok="t"/>
              <v:fill type="solid"/>
            </v:shape>
            <v:shape style="position:absolute;left:3445;top:620;width:1868;height:3" coordorigin="3445,621" coordsize="1868,3" path="m5312,621l5283,621,3445,621,3445,623,5283,623,5312,623,5312,621xe" filled="true" fillcolor="#006a4d" stroked="false">
              <v:path arrowok="t"/>
              <v:fill type="solid"/>
            </v:shape>
            <v:shape style="position:absolute;left:5283;top:592;width:1398;height:29" coordorigin="5283,592" coordsize="1398,29" path="m6681,592l5312,592,5283,592,5283,621,5312,621,6681,621,6681,592xe" filled="true" fillcolor="#1f6b16" stroked="false">
              <v:path arrowok="t"/>
              <v:fill type="solid"/>
            </v:shape>
            <v:shape style="position:absolute;left:5312;top:620;width:1398;height:3" coordorigin="5312,621" coordsize="1398,3" path="m6709,621l6681,621,5312,621,5312,623,6681,623,6709,623,6709,621xe" filled="true" fillcolor="#006a4d" stroked="false">
              <v:path arrowok="t"/>
              <v:fill type="solid"/>
            </v:shape>
            <v:shape style="position:absolute;left:6680;top:592;width:1943;height:29" coordorigin="6681,592" coordsize="1943,29" path="m6709,592l6681,592,6681,621,6709,621,6709,592xm8623,592l6709,592,6709,621,8623,621,8623,592xe" filled="true" fillcolor="#1f6b16" stroked="false">
              <v:path arrowok="t"/>
              <v:fill type="solid"/>
            </v:shape>
            <v:shape style="position:absolute;left:6709;top:620;width:1943;height:3" coordorigin="6709,621" coordsize="1943,3" path="m8623,621l6709,621,6709,623,8623,623,8623,621xm8652,621l8623,621,8623,623,8652,623,8652,621xe" filled="true" fillcolor="#006a4d" stroked="false">
              <v:path arrowok="t"/>
              <v:fill type="solid"/>
            </v:shape>
            <v:shape style="position:absolute;left:8622;top:592;width:2569;height:29" coordorigin="8623,592" coordsize="2569,29" path="m11191,592l8652,592,8623,592,8623,621,8652,621,11191,621,11191,592xe" filled="true" fillcolor="#1f6b16" stroked="false">
              <v:path arrowok="t"/>
              <v:fill type="solid"/>
            </v:shape>
            <v:rect style="position:absolute;left:8651;top:620;width:2540;height:3" filled="true" fillcolor="#006a4d" stroked="false">
              <v:fill type="solid"/>
            </v:rect>
            <v:shape style="position:absolute;left:1382;top:838;width:1390;height:216" type="#_x0000_t202" filled="false" stroked="false">
              <v:textbox inset="0,0,0,0">
                <w:txbxContent>
                  <w:p>
                    <w:pPr>
                      <w:spacing w:before="4"/>
                      <w:ind w:left="0" w:right="0" w:firstLine="0"/>
                      <w:jc w:val="left"/>
                      <w:rPr>
                        <w:b/>
                        <w:sz w:val="18"/>
                      </w:rPr>
                    </w:pPr>
                    <w:r>
                      <w:rPr>
                        <w:b/>
                        <w:color w:val="FFFFFF"/>
                        <w:w w:val="115"/>
                        <w:sz w:val="18"/>
                      </w:rPr>
                      <w:t>Building Name</w:t>
                    </w:r>
                  </w:p>
                </w:txbxContent>
              </v:textbox>
              <w10:wrap type="none"/>
            </v:shape>
            <v:shape style="position:absolute;left:3745;top:730;width:1228;height:432" type="#_x0000_t202" filled="false" stroked="false">
              <v:textbox inset="0,0,0,0">
                <w:txbxContent>
                  <w:p>
                    <w:pPr>
                      <w:spacing w:line="247" w:lineRule="auto" w:before="4"/>
                      <w:ind w:left="391" w:right="0" w:hanging="392"/>
                      <w:jc w:val="left"/>
                      <w:rPr>
                        <w:b/>
                        <w:sz w:val="18"/>
                      </w:rPr>
                    </w:pPr>
                    <w:r>
                      <w:rPr>
                        <w:b/>
                        <w:color w:val="FFFFFF"/>
                        <w:w w:val="105"/>
                        <w:sz w:val="18"/>
                      </w:rPr>
                      <w:t>Development Type</w:t>
                    </w:r>
                  </w:p>
                </w:txbxContent>
              </v:textbox>
              <w10:wrap type="none"/>
            </v:shape>
            <v:shape style="position:absolute;left:5574;top:622;width:838;height:432" type="#_x0000_t202" filled="false" stroked="false">
              <v:textbox inset="0,0,0,0">
                <w:txbxContent>
                  <w:p>
                    <w:pPr>
                      <w:spacing w:line="247" w:lineRule="auto" w:before="4"/>
                      <w:ind w:left="187" w:right="12" w:hanging="188"/>
                      <w:jc w:val="left"/>
                      <w:rPr>
                        <w:b/>
                        <w:sz w:val="18"/>
                      </w:rPr>
                    </w:pPr>
                    <w:r>
                      <w:rPr>
                        <w:b/>
                        <w:color w:val="FFFFFF"/>
                        <w:w w:val="110"/>
                        <w:sz w:val="18"/>
                      </w:rPr>
                      <w:t>Leasable Area</w:t>
                    </w:r>
                  </w:p>
                </w:txbxContent>
              </v:textbox>
              <w10:wrap type="none"/>
            </v:shape>
            <v:shape style="position:absolute;left:6971;top:730;width:1382;height:432" type="#_x0000_t202" filled="false" stroked="false">
              <v:textbox inset="0,0,0,0">
                <w:txbxContent>
                  <w:p>
                    <w:pPr>
                      <w:spacing w:line="247" w:lineRule="auto" w:before="4"/>
                      <w:ind w:left="0" w:right="0" w:firstLine="432"/>
                      <w:jc w:val="left"/>
                      <w:rPr>
                        <w:b/>
                        <w:sz w:val="18"/>
                      </w:rPr>
                    </w:pPr>
                    <w:r>
                      <w:rPr>
                        <w:b/>
                        <w:color w:val="FFFFFF"/>
                        <w:w w:val="105"/>
                        <w:sz w:val="18"/>
                      </w:rPr>
                      <w:t>Rents (INR/sf/month)</w:t>
                    </w:r>
                  </w:p>
                </w:txbxContent>
              </v:textbox>
              <w10:wrap type="none"/>
            </v:shape>
            <v:shape style="position:absolute;left:8975;top:838;width:1885;height:216" type="#_x0000_t202" filled="false" stroked="false">
              <v:textbox inset="0,0,0,0">
                <w:txbxContent>
                  <w:p>
                    <w:pPr>
                      <w:spacing w:before="4"/>
                      <w:ind w:left="0" w:right="0" w:firstLine="0"/>
                      <w:jc w:val="left"/>
                      <w:rPr>
                        <w:b/>
                        <w:sz w:val="18"/>
                      </w:rPr>
                    </w:pPr>
                    <w:r>
                      <w:rPr>
                        <w:b/>
                        <w:color w:val="FFFFFF"/>
                        <w:w w:val="110"/>
                        <w:sz w:val="18"/>
                      </w:rPr>
                      <w:t>Approx. Vacancy</w:t>
                    </w:r>
                    <w:r>
                      <w:rPr>
                        <w:b/>
                        <w:color w:val="FFFFFF"/>
                        <w:spacing w:val="-31"/>
                        <w:w w:val="110"/>
                        <w:sz w:val="18"/>
                      </w:rPr>
                      <w:t> </w:t>
                    </w:r>
                    <w:r>
                      <w:rPr>
                        <w:b/>
                        <w:color w:val="FFFFFF"/>
                        <w:w w:val="110"/>
                        <w:sz w:val="18"/>
                      </w:rPr>
                      <w:t>(%)</w:t>
                    </w:r>
                  </w:p>
                </w:txbxContent>
              </v:textbox>
              <w10:wrap type="none"/>
            </v:shape>
            <w10:wrap type="none"/>
          </v:group>
        </w:pict>
      </w:r>
      <w:r>
        <w:rPr/>
        <w:t>The table below highlights the prominent / competing developments in the subject micro market:</w:t>
      </w:r>
    </w:p>
    <w:p>
      <w:pPr>
        <w:pStyle w:val="BodyText"/>
        <w:rPr>
          <w:sz w:val="20"/>
        </w:rPr>
      </w:pPr>
    </w:p>
    <w:p>
      <w:pPr>
        <w:pStyle w:val="BodyText"/>
        <w:rPr>
          <w:sz w:val="20"/>
        </w:rPr>
      </w:pPr>
    </w:p>
    <w:p>
      <w:pPr>
        <w:pStyle w:val="BodyText"/>
        <w:spacing w:before="6"/>
        <w:rPr>
          <w:sz w:val="21"/>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83"/>
        <w:gridCol w:w="1768"/>
        <w:gridCol w:w="1630"/>
        <w:gridCol w:w="1876"/>
        <w:gridCol w:w="2525"/>
      </w:tblGrid>
      <w:tr>
        <w:trPr>
          <w:trHeight w:val="242" w:hRule="atLeast"/>
        </w:trPr>
        <w:tc>
          <w:tcPr>
            <w:tcW w:w="4451" w:type="dxa"/>
            <w:gridSpan w:val="2"/>
            <w:shd w:val="clear" w:color="auto" w:fill="006A4D"/>
          </w:tcPr>
          <w:p>
            <w:pPr>
              <w:pStyle w:val="TableParagraph"/>
              <w:jc w:val="left"/>
              <w:rPr>
                <w:rFonts w:ascii="Times New Roman"/>
                <w:sz w:val="16"/>
              </w:rPr>
            </w:pPr>
          </w:p>
        </w:tc>
        <w:tc>
          <w:tcPr>
            <w:tcW w:w="1630" w:type="dxa"/>
            <w:shd w:val="clear" w:color="auto" w:fill="006A4D"/>
          </w:tcPr>
          <w:p>
            <w:pPr>
              <w:pStyle w:val="TableParagraph"/>
              <w:spacing w:before="12"/>
              <w:ind w:left="545" w:right="529"/>
              <w:rPr>
                <w:b/>
                <w:sz w:val="18"/>
              </w:rPr>
            </w:pPr>
            <w:r>
              <w:rPr>
                <w:b/>
                <w:color w:val="FFFFFF"/>
                <w:w w:val="105"/>
                <w:sz w:val="18"/>
              </w:rPr>
              <w:t>(in sf)</w:t>
            </w:r>
          </w:p>
        </w:tc>
        <w:tc>
          <w:tcPr>
            <w:tcW w:w="4401" w:type="dxa"/>
            <w:gridSpan w:val="2"/>
            <w:shd w:val="clear" w:color="auto" w:fill="006A4D"/>
          </w:tcPr>
          <w:p>
            <w:pPr>
              <w:pStyle w:val="TableParagraph"/>
              <w:jc w:val="left"/>
              <w:rPr>
                <w:rFonts w:ascii="Times New Roman"/>
                <w:sz w:val="16"/>
              </w:rPr>
            </w:pPr>
          </w:p>
        </w:tc>
      </w:tr>
      <w:tr>
        <w:trPr>
          <w:trHeight w:val="348" w:hRule="atLeast"/>
        </w:trPr>
        <w:tc>
          <w:tcPr>
            <w:tcW w:w="2683" w:type="dxa"/>
            <w:tcBorders>
              <w:bottom w:val="single" w:sz="6" w:space="0" w:color="69BD28"/>
            </w:tcBorders>
          </w:tcPr>
          <w:p>
            <w:pPr>
              <w:pStyle w:val="TableParagraph"/>
              <w:spacing w:before="72"/>
              <w:ind w:left="705" w:right="664"/>
              <w:rPr>
                <w:sz w:val="18"/>
              </w:rPr>
            </w:pPr>
            <w:r>
              <w:rPr>
                <w:w w:val="105"/>
                <w:sz w:val="18"/>
              </w:rPr>
              <w:t>Development 1</w:t>
            </w:r>
          </w:p>
        </w:tc>
        <w:tc>
          <w:tcPr>
            <w:tcW w:w="1768" w:type="dxa"/>
            <w:tcBorders>
              <w:bottom w:val="single" w:sz="6" w:space="0" w:color="69BD28"/>
            </w:tcBorders>
          </w:tcPr>
          <w:p>
            <w:pPr>
              <w:pStyle w:val="TableParagraph"/>
              <w:spacing w:before="39"/>
              <w:ind w:left="695" w:right="542"/>
              <w:rPr>
                <w:sz w:val="18"/>
              </w:rPr>
            </w:pPr>
            <w:r>
              <w:rPr>
                <w:sz w:val="18"/>
              </w:rPr>
              <w:t>IT SEZ</w:t>
            </w:r>
          </w:p>
        </w:tc>
        <w:tc>
          <w:tcPr>
            <w:tcW w:w="1630" w:type="dxa"/>
            <w:tcBorders>
              <w:bottom w:val="single" w:sz="6" w:space="0" w:color="69BD28"/>
            </w:tcBorders>
          </w:tcPr>
          <w:p>
            <w:pPr>
              <w:pStyle w:val="TableParagraph"/>
              <w:spacing w:before="39"/>
              <w:ind w:left="545" w:right="523"/>
              <w:rPr>
                <w:sz w:val="18"/>
              </w:rPr>
            </w:pPr>
            <w:r>
              <w:rPr>
                <w:w w:val="105"/>
                <w:sz w:val="18"/>
              </w:rPr>
              <w:t>1.5</w:t>
            </w:r>
          </w:p>
        </w:tc>
        <w:tc>
          <w:tcPr>
            <w:tcW w:w="1876" w:type="dxa"/>
            <w:tcBorders>
              <w:bottom w:val="single" w:sz="6" w:space="0" w:color="69BD28"/>
            </w:tcBorders>
          </w:tcPr>
          <w:p>
            <w:pPr>
              <w:pStyle w:val="TableParagraph"/>
              <w:spacing w:before="39"/>
              <w:ind w:left="553"/>
              <w:jc w:val="left"/>
              <w:rPr>
                <w:sz w:val="18"/>
              </w:rPr>
            </w:pPr>
            <w:r>
              <w:rPr>
                <w:w w:val="120"/>
                <w:sz w:val="18"/>
              </w:rPr>
              <w:t>45 – 50</w:t>
            </w:r>
          </w:p>
        </w:tc>
        <w:tc>
          <w:tcPr>
            <w:tcW w:w="2525" w:type="dxa"/>
            <w:tcBorders>
              <w:bottom w:val="single" w:sz="6" w:space="0" w:color="69BD28"/>
            </w:tcBorders>
          </w:tcPr>
          <w:p>
            <w:pPr>
              <w:pStyle w:val="TableParagraph"/>
              <w:spacing w:before="39"/>
              <w:ind w:left="658" w:right="693"/>
              <w:rPr>
                <w:sz w:val="18"/>
              </w:rPr>
            </w:pPr>
            <w:r>
              <w:rPr>
                <w:w w:val="105"/>
                <w:sz w:val="18"/>
              </w:rPr>
              <w:t>4.0 - 6.0%</w:t>
            </w:r>
          </w:p>
        </w:tc>
      </w:tr>
      <w:tr>
        <w:trPr>
          <w:trHeight w:val="360" w:hRule="atLeast"/>
        </w:trPr>
        <w:tc>
          <w:tcPr>
            <w:tcW w:w="2683" w:type="dxa"/>
            <w:tcBorders>
              <w:top w:val="single" w:sz="6" w:space="0" w:color="69BD28"/>
              <w:bottom w:val="single" w:sz="6" w:space="0" w:color="69BD28"/>
            </w:tcBorders>
          </w:tcPr>
          <w:p>
            <w:pPr>
              <w:pStyle w:val="TableParagraph"/>
              <w:spacing w:before="84"/>
              <w:ind w:left="706" w:right="664"/>
              <w:rPr>
                <w:sz w:val="18"/>
              </w:rPr>
            </w:pPr>
            <w:r>
              <w:rPr>
                <w:w w:val="105"/>
                <w:sz w:val="18"/>
              </w:rPr>
              <w:t>Development 2</w:t>
            </w:r>
          </w:p>
        </w:tc>
        <w:tc>
          <w:tcPr>
            <w:tcW w:w="1768" w:type="dxa"/>
            <w:tcBorders>
              <w:top w:val="single" w:sz="6" w:space="0" w:color="69BD28"/>
              <w:bottom w:val="single" w:sz="6" w:space="0" w:color="69BD28"/>
            </w:tcBorders>
          </w:tcPr>
          <w:p>
            <w:pPr>
              <w:pStyle w:val="TableParagraph"/>
              <w:spacing w:before="53"/>
              <w:ind w:left="693" w:right="542"/>
              <w:rPr>
                <w:sz w:val="18"/>
              </w:rPr>
            </w:pPr>
            <w:r>
              <w:rPr>
                <w:sz w:val="18"/>
              </w:rPr>
              <w:t>IT</w:t>
            </w:r>
          </w:p>
        </w:tc>
        <w:tc>
          <w:tcPr>
            <w:tcW w:w="1630" w:type="dxa"/>
            <w:tcBorders>
              <w:top w:val="single" w:sz="6" w:space="0" w:color="69BD28"/>
              <w:bottom w:val="single" w:sz="6" w:space="0" w:color="69BD28"/>
            </w:tcBorders>
          </w:tcPr>
          <w:p>
            <w:pPr>
              <w:pStyle w:val="TableParagraph"/>
              <w:spacing w:before="53"/>
              <w:ind w:left="545" w:right="528"/>
              <w:rPr>
                <w:sz w:val="18"/>
              </w:rPr>
            </w:pPr>
            <w:r>
              <w:rPr>
                <w:w w:val="105"/>
                <w:sz w:val="18"/>
              </w:rPr>
              <w:t>0.2</w:t>
            </w:r>
          </w:p>
        </w:tc>
        <w:tc>
          <w:tcPr>
            <w:tcW w:w="1876" w:type="dxa"/>
            <w:tcBorders>
              <w:top w:val="single" w:sz="6" w:space="0" w:color="69BD28"/>
              <w:bottom w:val="single" w:sz="6" w:space="0" w:color="69BD28"/>
            </w:tcBorders>
          </w:tcPr>
          <w:p>
            <w:pPr>
              <w:pStyle w:val="TableParagraph"/>
              <w:spacing w:before="53"/>
              <w:ind w:left="553"/>
              <w:jc w:val="left"/>
              <w:rPr>
                <w:sz w:val="18"/>
              </w:rPr>
            </w:pPr>
            <w:r>
              <w:rPr>
                <w:w w:val="120"/>
                <w:sz w:val="18"/>
              </w:rPr>
              <w:t>40 – 45</w:t>
            </w:r>
          </w:p>
        </w:tc>
        <w:tc>
          <w:tcPr>
            <w:tcW w:w="2525" w:type="dxa"/>
            <w:tcBorders>
              <w:top w:val="single" w:sz="6" w:space="0" w:color="69BD28"/>
              <w:bottom w:val="single" w:sz="6" w:space="0" w:color="69BD28"/>
            </w:tcBorders>
          </w:tcPr>
          <w:p>
            <w:pPr>
              <w:pStyle w:val="TableParagraph"/>
              <w:spacing w:before="53"/>
              <w:ind w:left="658" w:right="692"/>
              <w:rPr>
                <w:sz w:val="18"/>
              </w:rPr>
            </w:pPr>
            <w:r>
              <w:rPr>
                <w:sz w:val="18"/>
              </w:rPr>
              <w:t>Minimal</w:t>
            </w:r>
          </w:p>
        </w:tc>
      </w:tr>
      <w:tr>
        <w:trPr>
          <w:trHeight w:val="361" w:hRule="atLeast"/>
        </w:trPr>
        <w:tc>
          <w:tcPr>
            <w:tcW w:w="2683" w:type="dxa"/>
            <w:tcBorders>
              <w:top w:val="single" w:sz="6" w:space="0" w:color="69BD28"/>
              <w:bottom w:val="single" w:sz="6" w:space="0" w:color="69BD28"/>
            </w:tcBorders>
          </w:tcPr>
          <w:p>
            <w:pPr>
              <w:pStyle w:val="TableParagraph"/>
              <w:spacing w:before="86"/>
              <w:ind w:left="706" w:right="664"/>
              <w:rPr>
                <w:sz w:val="18"/>
              </w:rPr>
            </w:pPr>
            <w:r>
              <w:rPr>
                <w:w w:val="105"/>
                <w:sz w:val="18"/>
              </w:rPr>
              <w:t>Development 3</w:t>
            </w:r>
          </w:p>
        </w:tc>
        <w:tc>
          <w:tcPr>
            <w:tcW w:w="1768" w:type="dxa"/>
            <w:tcBorders>
              <w:top w:val="single" w:sz="6" w:space="0" w:color="69BD28"/>
              <w:bottom w:val="single" w:sz="6" w:space="0" w:color="69BD28"/>
            </w:tcBorders>
          </w:tcPr>
          <w:p>
            <w:pPr>
              <w:pStyle w:val="TableParagraph"/>
              <w:spacing w:before="52"/>
              <w:ind w:left="693" w:right="542"/>
              <w:rPr>
                <w:sz w:val="18"/>
              </w:rPr>
            </w:pPr>
            <w:r>
              <w:rPr>
                <w:sz w:val="18"/>
              </w:rPr>
              <w:t>IT</w:t>
            </w:r>
          </w:p>
        </w:tc>
        <w:tc>
          <w:tcPr>
            <w:tcW w:w="1630" w:type="dxa"/>
            <w:tcBorders>
              <w:top w:val="single" w:sz="6" w:space="0" w:color="69BD28"/>
              <w:bottom w:val="single" w:sz="6" w:space="0" w:color="69BD28"/>
            </w:tcBorders>
          </w:tcPr>
          <w:p>
            <w:pPr>
              <w:pStyle w:val="TableParagraph"/>
              <w:spacing w:before="52"/>
              <w:ind w:left="545" w:right="523"/>
              <w:rPr>
                <w:sz w:val="18"/>
              </w:rPr>
            </w:pPr>
            <w:r>
              <w:rPr>
                <w:w w:val="105"/>
                <w:sz w:val="18"/>
              </w:rPr>
              <w:t>0.4</w:t>
            </w:r>
          </w:p>
        </w:tc>
        <w:tc>
          <w:tcPr>
            <w:tcW w:w="1876" w:type="dxa"/>
            <w:tcBorders>
              <w:top w:val="single" w:sz="6" w:space="0" w:color="69BD28"/>
              <w:bottom w:val="single" w:sz="6" w:space="0" w:color="69BD28"/>
            </w:tcBorders>
          </w:tcPr>
          <w:p>
            <w:pPr>
              <w:pStyle w:val="TableParagraph"/>
              <w:spacing w:before="52"/>
              <w:ind w:left="553"/>
              <w:jc w:val="left"/>
              <w:rPr>
                <w:sz w:val="18"/>
              </w:rPr>
            </w:pPr>
            <w:r>
              <w:rPr>
                <w:w w:val="120"/>
                <w:sz w:val="18"/>
              </w:rPr>
              <w:t>50 – 55</w:t>
            </w:r>
          </w:p>
        </w:tc>
        <w:tc>
          <w:tcPr>
            <w:tcW w:w="2525" w:type="dxa"/>
            <w:tcBorders>
              <w:top w:val="single" w:sz="6" w:space="0" w:color="69BD28"/>
              <w:bottom w:val="single" w:sz="6" w:space="0" w:color="69BD28"/>
            </w:tcBorders>
          </w:tcPr>
          <w:p>
            <w:pPr>
              <w:pStyle w:val="TableParagraph"/>
              <w:spacing w:before="52"/>
              <w:ind w:left="658" w:right="698"/>
              <w:rPr>
                <w:sz w:val="18"/>
              </w:rPr>
            </w:pPr>
            <w:r>
              <w:rPr>
                <w:w w:val="115"/>
                <w:sz w:val="18"/>
              </w:rPr>
              <w:t>25.0 – 30.0%</w:t>
            </w:r>
          </w:p>
        </w:tc>
      </w:tr>
      <w:tr>
        <w:trPr>
          <w:trHeight w:val="359" w:hRule="atLeast"/>
        </w:trPr>
        <w:tc>
          <w:tcPr>
            <w:tcW w:w="2683" w:type="dxa"/>
            <w:tcBorders>
              <w:top w:val="single" w:sz="6" w:space="0" w:color="69BD28"/>
              <w:bottom w:val="single" w:sz="6" w:space="0" w:color="69BD28"/>
            </w:tcBorders>
          </w:tcPr>
          <w:p>
            <w:pPr>
              <w:pStyle w:val="TableParagraph"/>
              <w:spacing w:before="84"/>
              <w:ind w:left="706" w:right="664"/>
              <w:rPr>
                <w:sz w:val="18"/>
              </w:rPr>
            </w:pPr>
            <w:r>
              <w:rPr>
                <w:w w:val="105"/>
                <w:sz w:val="18"/>
              </w:rPr>
              <w:t>Development 4</w:t>
            </w:r>
          </w:p>
        </w:tc>
        <w:tc>
          <w:tcPr>
            <w:tcW w:w="1768" w:type="dxa"/>
            <w:tcBorders>
              <w:top w:val="single" w:sz="6" w:space="0" w:color="69BD28"/>
              <w:bottom w:val="single" w:sz="6" w:space="0" w:color="69BD28"/>
            </w:tcBorders>
          </w:tcPr>
          <w:p>
            <w:pPr>
              <w:pStyle w:val="TableParagraph"/>
              <w:spacing w:before="50"/>
              <w:ind w:left="695" w:right="542"/>
              <w:rPr>
                <w:sz w:val="18"/>
              </w:rPr>
            </w:pPr>
            <w:r>
              <w:rPr>
                <w:sz w:val="18"/>
              </w:rPr>
              <w:t>IT SEZ</w:t>
            </w:r>
          </w:p>
        </w:tc>
        <w:tc>
          <w:tcPr>
            <w:tcW w:w="1630" w:type="dxa"/>
            <w:tcBorders>
              <w:top w:val="single" w:sz="6" w:space="0" w:color="69BD28"/>
              <w:bottom w:val="single" w:sz="6" w:space="0" w:color="69BD28"/>
            </w:tcBorders>
          </w:tcPr>
          <w:p>
            <w:pPr>
              <w:pStyle w:val="TableParagraph"/>
              <w:spacing w:before="50"/>
              <w:ind w:left="545" w:right="523"/>
              <w:rPr>
                <w:sz w:val="18"/>
              </w:rPr>
            </w:pPr>
            <w:r>
              <w:rPr>
                <w:w w:val="105"/>
                <w:sz w:val="18"/>
              </w:rPr>
              <w:t>1.9</w:t>
            </w:r>
          </w:p>
        </w:tc>
        <w:tc>
          <w:tcPr>
            <w:tcW w:w="1876" w:type="dxa"/>
            <w:tcBorders>
              <w:top w:val="single" w:sz="6" w:space="0" w:color="69BD28"/>
              <w:bottom w:val="single" w:sz="6" w:space="0" w:color="69BD28"/>
            </w:tcBorders>
          </w:tcPr>
          <w:p>
            <w:pPr>
              <w:pStyle w:val="TableParagraph"/>
              <w:spacing w:before="50"/>
              <w:ind w:left="553"/>
              <w:jc w:val="left"/>
              <w:rPr>
                <w:sz w:val="18"/>
              </w:rPr>
            </w:pPr>
            <w:r>
              <w:rPr>
                <w:w w:val="120"/>
                <w:sz w:val="18"/>
              </w:rPr>
              <w:t>45 – 50</w:t>
            </w:r>
          </w:p>
        </w:tc>
        <w:tc>
          <w:tcPr>
            <w:tcW w:w="2525" w:type="dxa"/>
            <w:tcBorders>
              <w:top w:val="single" w:sz="6" w:space="0" w:color="69BD28"/>
              <w:bottom w:val="single" w:sz="6" w:space="0" w:color="69BD28"/>
            </w:tcBorders>
          </w:tcPr>
          <w:p>
            <w:pPr>
              <w:pStyle w:val="TableParagraph"/>
              <w:spacing w:before="50"/>
              <w:ind w:left="658" w:right="692"/>
              <w:rPr>
                <w:sz w:val="18"/>
              </w:rPr>
            </w:pPr>
            <w:r>
              <w:rPr>
                <w:sz w:val="18"/>
              </w:rPr>
              <w:t>Minimal</w:t>
            </w:r>
          </w:p>
        </w:tc>
      </w:tr>
      <w:tr>
        <w:trPr>
          <w:trHeight w:val="359" w:hRule="atLeast"/>
        </w:trPr>
        <w:tc>
          <w:tcPr>
            <w:tcW w:w="2683" w:type="dxa"/>
            <w:tcBorders>
              <w:top w:val="single" w:sz="6" w:space="0" w:color="69BD28"/>
              <w:bottom w:val="single" w:sz="6" w:space="0" w:color="69BD28"/>
            </w:tcBorders>
          </w:tcPr>
          <w:p>
            <w:pPr>
              <w:pStyle w:val="TableParagraph"/>
              <w:spacing w:before="84"/>
              <w:ind w:left="706" w:right="664"/>
              <w:rPr>
                <w:sz w:val="18"/>
              </w:rPr>
            </w:pPr>
            <w:r>
              <w:rPr>
                <w:w w:val="105"/>
                <w:sz w:val="18"/>
              </w:rPr>
              <w:t>Development 5</w:t>
            </w:r>
          </w:p>
        </w:tc>
        <w:tc>
          <w:tcPr>
            <w:tcW w:w="1768" w:type="dxa"/>
            <w:tcBorders>
              <w:top w:val="single" w:sz="6" w:space="0" w:color="69BD28"/>
              <w:bottom w:val="single" w:sz="6" w:space="0" w:color="69BD28"/>
            </w:tcBorders>
          </w:tcPr>
          <w:p>
            <w:pPr>
              <w:pStyle w:val="TableParagraph"/>
              <w:spacing w:before="50"/>
              <w:ind w:left="693" w:right="542"/>
              <w:rPr>
                <w:sz w:val="18"/>
              </w:rPr>
            </w:pPr>
            <w:r>
              <w:rPr>
                <w:sz w:val="18"/>
              </w:rPr>
              <w:t>IT</w:t>
            </w:r>
          </w:p>
        </w:tc>
        <w:tc>
          <w:tcPr>
            <w:tcW w:w="1630" w:type="dxa"/>
            <w:tcBorders>
              <w:top w:val="single" w:sz="6" w:space="0" w:color="69BD28"/>
              <w:bottom w:val="single" w:sz="6" w:space="0" w:color="69BD28"/>
            </w:tcBorders>
          </w:tcPr>
          <w:p>
            <w:pPr>
              <w:pStyle w:val="TableParagraph"/>
              <w:spacing w:before="50"/>
              <w:ind w:left="545" w:right="528"/>
              <w:rPr>
                <w:sz w:val="18"/>
              </w:rPr>
            </w:pPr>
            <w:r>
              <w:rPr>
                <w:w w:val="105"/>
                <w:sz w:val="18"/>
              </w:rPr>
              <w:t>0.2</w:t>
            </w:r>
          </w:p>
        </w:tc>
        <w:tc>
          <w:tcPr>
            <w:tcW w:w="1876" w:type="dxa"/>
            <w:tcBorders>
              <w:top w:val="single" w:sz="6" w:space="0" w:color="69BD28"/>
              <w:bottom w:val="single" w:sz="6" w:space="0" w:color="69BD28"/>
            </w:tcBorders>
          </w:tcPr>
          <w:p>
            <w:pPr>
              <w:pStyle w:val="TableParagraph"/>
              <w:spacing w:before="50"/>
              <w:ind w:left="553"/>
              <w:jc w:val="left"/>
              <w:rPr>
                <w:sz w:val="18"/>
              </w:rPr>
            </w:pPr>
            <w:r>
              <w:rPr>
                <w:w w:val="120"/>
                <w:sz w:val="18"/>
              </w:rPr>
              <w:t>60 – 65</w:t>
            </w:r>
          </w:p>
        </w:tc>
        <w:tc>
          <w:tcPr>
            <w:tcW w:w="2525" w:type="dxa"/>
            <w:tcBorders>
              <w:top w:val="single" w:sz="6" w:space="0" w:color="69BD28"/>
              <w:bottom w:val="single" w:sz="6" w:space="0" w:color="69BD28"/>
            </w:tcBorders>
          </w:tcPr>
          <w:p>
            <w:pPr>
              <w:pStyle w:val="TableParagraph"/>
              <w:spacing w:before="50"/>
              <w:ind w:left="658" w:right="698"/>
              <w:rPr>
                <w:sz w:val="18"/>
              </w:rPr>
            </w:pPr>
            <w:r>
              <w:rPr>
                <w:w w:val="115"/>
                <w:sz w:val="18"/>
              </w:rPr>
              <w:t>20.0 – 25.0%</w:t>
            </w:r>
          </w:p>
        </w:tc>
      </w:tr>
      <w:tr>
        <w:trPr>
          <w:trHeight w:val="359" w:hRule="atLeast"/>
        </w:trPr>
        <w:tc>
          <w:tcPr>
            <w:tcW w:w="2683" w:type="dxa"/>
            <w:tcBorders>
              <w:top w:val="single" w:sz="6" w:space="0" w:color="69BD28"/>
              <w:bottom w:val="single" w:sz="6" w:space="0" w:color="69BD28"/>
            </w:tcBorders>
          </w:tcPr>
          <w:p>
            <w:pPr>
              <w:pStyle w:val="TableParagraph"/>
              <w:spacing w:before="84"/>
              <w:ind w:left="706" w:right="664"/>
              <w:rPr>
                <w:sz w:val="18"/>
              </w:rPr>
            </w:pPr>
            <w:r>
              <w:rPr>
                <w:w w:val="105"/>
                <w:sz w:val="18"/>
              </w:rPr>
              <w:t>Development 6</w:t>
            </w:r>
          </w:p>
        </w:tc>
        <w:tc>
          <w:tcPr>
            <w:tcW w:w="1768" w:type="dxa"/>
            <w:tcBorders>
              <w:top w:val="single" w:sz="6" w:space="0" w:color="69BD28"/>
              <w:bottom w:val="single" w:sz="6" w:space="0" w:color="69BD28"/>
            </w:tcBorders>
          </w:tcPr>
          <w:p>
            <w:pPr>
              <w:pStyle w:val="TableParagraph"/>
              <w:spacing w:before="52"/>
              <w:ind w:left="695" w:right="542"/>
              <w:rPr>
                <w:sz w:val="18"/>
              </w:rPr>
            </w:pPr>
            <w:r>
              <w:rPr>
                <w:sz w:val="18"/>
              </w:rPr>
              <w:t>IT SEZ</w:t>
            </w:r>
          </w:p>
        </w:tc>
        <w:tc>
          <w:tcPr>
            <w:tcW w:w="1630" w:type="dxa"/>
            <w:tcBorders>
              <w:top w:val="single" w:sz="6" w:space="0" w:color="69BD28"/>
              <w:bottom w:val="single" w:sz="6" w:space="0" w:color="69BD28"/>
            </w:tcBorders>
          </w:tcPr>
          <w:p>
            <w:pPr>
              <w:pStyle w:val="TableParagraph"/>
              <w:spacing w:before="52"/>
              <w:ind w:left="545" w:right="528"/>
              <w:rPr>
                <w:sz w:val="18"/>
              </w:rPr>
            </w:pPr>
            <w:r>
              <w:rPr>
                <w:w w:val="105"/>
                <w:sz w:val="18"/>
              </w:rPr>
              <w:t>1.9</w:t>
            </w:r>
          </w:p>
        </w:tc>
        <w:tc>
          <w:tcPr>
            <w:tcW w:w="1876" w:type="dxa"/>
            <w:tcBorders>
              <w:top w:val="single" w:sz="6" w:space="0" w:color="69BD28"/>
              <w:bottom w:val="single" w:sz="6" w:space="0" w:color="69BD28"/>
            </w:tcBorders>
          </w:tcPr>
          <w:p>
            <w:pPr>
              <w:pStyle w:val="TableParagraph"/>
              <w:spacing w:before="52"/>
              <w:ind w:left="553"/>
              <w:jc w:val="left"/>
              <w:rPr>
                <w:sz w:val="18"/>
              </w:rPr>
            </w:pPr>
            <w:r>
              <w:rPr>
                <w:w w:val="120"/>
                <w:sz w:val="18"/>
              </w:rPr>
              <w:t>45 – 50</w:t>
            </w:r>
          </w:p>
        </w:tc>
        <w:tc>
          <w:tcPr>
            <w:tcW w:w="2525" w:type="dxa"/>
            <w:tcBorders>
              <w:top w:val="single" w:sz="6" w:space="0" w:color="69BD28"/>
              <w:bottom w:val="single" w:sz="6" w:space="0" w:color="69BD28"/>
            </w:tcBorders>
          </w:tcPr>
          <w:p>
            <w:pPr>
              <w:pStyle w:val="TableParagraph"/>
              <w:spacing w:before="52"/>
              <w:ind w:left="658" w:right="698"/>
              <w:rPr>
                <w:sz w:val="18"/>
              </w:rPr>
            </w:pPr>
            <w:r>
              <w:rPr>
                <w:w w:val="105"/>
                <w:sz w:val="18"/>
              </w:rPr>
              <w:t>18.0 - 22.0%</w:t>
            </w:r>
          </w:p>
        </w:tc>
      </w:tr>
      <w:tr>
        <w:trPr>
          <w:trHeight w:val="361" w:hRule="atLeast"/>
        </w:trPr>
        <w:tc>
          <w:tcPr>
            <w:tcW w:w="2683" w:type="dxa"/>
            <w:tcBorders>
              <w:top w:val="single" w:sz="6" w:space="0" w:color="69BD28"/>
              <w:bottom w:val="single" w:sz="6" w:space="0" w:color="69BD28"/>
            </w:tcBorders>
          </w:tcPr>
          <w:p>
            <w:pPr>
              <w:pStyle w:val="TableParagraph"/>
              <w:spacing w:before="86"/>
              <w:ind w:left="706" w:right="664"/>
              <w:rPr>
                <w:sz w:val="18"/>
              </w:rPr>
            </w:pPr>
            <w:r>
              <w:rPr>
                <w:w w:val="105"/>
                <w:sz w:val="18"/>
              </w:rPr>
              <w:t>Development 7</w:t>
            </w:r>
          </w:p>
        </w:tc>
        <w:tc>
          <w:tcPr>
            <w:tcW w:w="1768" w:type="dxa"/>
            <w:tcBorders>
              <w:top w:val="single" w:sz="6" w:space="0" w:color="69BD28"/>
              <w:bottom w:val="single" w:sz="6" w:space="0" w:color="69BD28"/>
            </w:tcBorders>
          </w:tcPr>
          <w:p>
            <w:pPr>
              <w:pStyle w:val="TableParagraph"/>
              <w:spacing w:before="52"/>
              <w:ind w:left="695" w:right="542"/>
              <w:rPr>
                <w:sz w:val="18"/>
              </w:rPr>
            </w:pPr>
            <w:r>
              <w:rPr>
                <w:sz w:val="18"/>
              </w:rPr>
              <w:t>IT SEZ</w:t>
            </w:r>
          </w:p>
        </w:tc>
        <w:tc>
          <w:tcPr>
            <w:tcW w:w="1630" w:type="dxa"/>
            <w:tcBorders>
              <w:top w:val="single" w:sz="6" w:space="0" w:color="69BD28"/>
              <w:bottom w:val="single" w:sz="6" w:space="0" w:color="69BD28"/>
            </w:tcBorders>
          </w:tcPr>
          <w:p>
            <w:pPr>
              <w:pStyle w:val="TableParagraph"/>
              <w:spacing w:before="52"/>
              <w:ind w:left="545" w:right="528"/>
              <w:rPr>
                <w:sz w:val="18"/>
              </w:rPr>
            </w:pPr>
            <w:r>
              <w:rPr>
                <w:w w:val="105"/>
                <w:sz w:val="18"/>
              </w:rPr>
              <w:t>2.2</w:t>
            </w:r>
          </w:p>
        </w:tc>
        <w:tc>
          <w:tcPr>
            <w:tcW w:w="1876" w:type="dxa"/>
            <w:tcBorders>
              <w:top w:val="single" w:sz="6" w:space="0" w:color="69BD28"/>
              <w:bottom w:val="single" w:sz="6" w:space="0" w:color="69BD28"/>
            </w:tcBorders>
          </w:tcPr>
          <w:p>
            <w:pPr>
              <w:pStyle w:val="TableParagraph"/>
              <w:spacing w:before="52"/>
              <w:ind w:left="553"/>
              <w:jc w:val="left"/>
              <w:rPr>
                <w:sz w:val="18"/>
              </w:rPr>
            </w:pPr>
            <w:r>
              <w:rPr>
                <w:w w:val="120"/>
                <w:sz w:val="18"/>
              </w:rPr>
              <w:t>45 – 50</w:t>
            </w:r>
          </w:p>
        </w:tc>
        <w:tc>
          <w:tcPr>
            <w:tcW w:w="2525" w:type="dxa"/>
            <w:tcBorders>
              <w:top w:val="single" w:sz="6" w:space="0" w:color="69BD28"/>
              <w:bottom w:val="single" w:sz="6" w:space="0" w:color="69BD28"/>
            </w:tcBorders>
          </w:tcPr>
          <w:p>
            <w:pPr>
              <w:pStyle w:val="TableParagraph"/>
              <w:spacing w:before="52"/>
              <w:ind w:left="658" w:right="693"/>
              <w:rPr>
                <w:sz w:val="18"/>
              </w:rPr>
            </w:pPr>
            <w:r>
              <w:rPr>
                <w:w w:val="105"/>
                <w:sz w:val="18"/>
              </w:rPr>
              <w:t>5.0 - 7.0%</w:t>
            </w:r>
          </w:p>
        </w:tc>
      </w:tr>
    </w:tbl>
    <w:p>
      <w:pPr>
        <w:spacing w:before="4"/>
        <w:ind w:left="220" w:right="0" w:firstLine="0"/>
        <w:jc w:val="left"/>
        <w:rPr>
          <w:i/>
          <w:sz w:val="16"/>
        </w:rPr>
      </w:pPr>
      <w:r>
        <w:rPr>
          <w:i/>
          <w:sz w:val="16"/>
        </w:rPr>
        <w:t>Source: CBRE Research</w:t>
      </w:r>
    </w:p>
    <w:p>
      <w:pPr>
        <w:pStyle w:val="BodyText"/>
        <w:spacing w:before="4"/>
        <w:rPr>
          <w:i/>
          <w:sz w:val="21"/>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228" w:id="445"/>
      <w:bookmarkEnd w:id="445"/>
      <w:r>
        <w:rPr/>
      </w:r>
      <w:bookmarkStart w:name="_bookmark228" w:id="446"/>
      <w:bookmarkEnd w:id="446"/>
      <w:r>
        <w:rPr>
          <w:color w:val="1F664D"/>
          <w:sz w:val="22"/>
        </w:rPr>
        <w:t>Le</w:t>
      </w:r>
      <w:r>
        <w:rPr>
          <w:color w:val="1F664D"/>
          <w:sz w:val="22"/>
        </w:rPr>
        <w:t>ase Rental</w:t>
      </w:r>
      <w:r>
        <w:rPr>
          <w:color w:val="1F664D"/>
          <w:spacing w:val="-6"/>
          <w:sz w:val="22"/>
        </w:rPr>
        <w:t> </w:t>
      </w:r>
      <w:r>
        <w:rPr>
          <w:color w:val="1F664D"/>
          <w:sz w:val="22"/>
        </w:rPr>
        <w:t>Analysis</w:t>
      </w:r>
    </w:p>
    <w:p>
      <w:pPr>
        <w:pStyle w:val="BodyText"/>
        <w:spacing w:line="321" w:lineRule="auto" w:before="208"/>
        <w:ind w:left="782" w:right="232"/>
        <w:jc w:val="both"/>
      </w:pPr>
      <w:r>
        <w:rPr>
          <w:w w:val="105"/>
        </w:rPr>
        <w:t>As</w:t>
      </w:r>
      <w:r>
        <w:rPr>
          <w:spacing w:val="-42"/>
          <w:w w:val="105"/>
        </w:rPr>
        <w:t> </w:t>
      </w:r>
      <w:r>
        <w:rPr>
          <w:w w:val="105"/>
        </w:rPr>
        <w:t>highlighted</w:t>
      </w:r>
      <w:r>
        <w:rPr>
          <w:spacing w:val="-41"/>
          <w:w w:val="105"/>
        </w:rPr>
        <w:t> </w:t>
      </w:r>
      <w:r>
        <w:rPr>
          <w:w w:val="105"/>
        </w:rPr>
        <w:t>earlier,</w:t>
      </w:r>
      <w:r>
        <w:rPr>
          <w:spacing w:val="-41"/>
          <w:w w:val="105"/>
        </w:rPr>
        <w:t> </w:t>
      </w:r>
      <w:r>
        <w:rPr>
          <w:w w:val="105"/>
        </w:rPr>
        <w:t>the</w:t>
      </w:r>
      <w:r>
        <w:rPr>
          <w:spacing w:val="-42"/>
          <w:w w:val="105"/>
        </w:rPr>
        <w:t> </w:t>
      </w:r>
      <w:r>
        <w:rPr>
          <w:w w:val="105"/>
        </w:rPr>
        <w:t>current</w:t>
      </w:r>
      <w:r>
        <w:rPr>
          <w:spacing w:val="-42"/>
          <w:w w:val="105"/>
        </w:rPr>
        <w:t> </w:t>
      </w:r>
      <w:r>
        <w:rPr>
          <w:w w:val="105"/>
        </w:rPr>
        <w:t>rentals</w:t>
      </w:r>
      <w:r>
        <w:rPr>
          <w:spacing w:val="-41"/>
          <w:w w:val="105"/>
        </w:rPr>
        <w:t> </w:t>
      </w:r>
      <w:r>
        <w:rPr>
          <w:w w:val="105"/>
        </w:rPr>
        <w:t>in</w:t>
      </w:r>
      <w:r>
        <w:rPr>
          <w:spacing w:val="-42"/>
          <w:w w:val="105"/>
        </w:rPr>
        <w:t> </w:t>
      </w:r>
      <w:r>
        <w:rPr>
          <w:w w:val="105"/>
        </w:rPr>
        <w:t>subject</w:t>
      </w:r>
      <w:r>
        <w:rPr>
          <w:spacing w:val="-40"/>
          <w:w w:val="105"/>
        </w:rPr>
        <w:t> </w:t>
      </w:r>
      <w:r>
        <w:rPr>
          <w:w w:val="105"/>
        </w:rPr>
        <w:t>micro</w:t>
      </w:r>
      <w:r>
        <w:rPr>
          <w:spacing w:val="-42"/>
          <w:w w:val="105"/>
        </w:rPr>
        <w:t> </w:t>
      </w:r>
      <w:r>
        <w:rPr>
          <w:w w:val="105"/>
        </w:rPr>
        <w:t>market</w:t>
      </w:r>
      <w:r>
        <w:rPr>
          <w:spacing w:val="-41"/>
          <w:w w:val="105"/>
        </w:rPr>
        <w:t> </w:t>
      </w:r>
      <w:r>
        <w:rPr>
          <w:w w:val="105"/>
        </w:rPr>
        <w:t>vary</w:t>
      </w:r>
      <w:r>
        <w:rPr>
          <w:spacing w:val="-40"/>
          <w:w w:val="105"/>
        </w:rPr>
        <w:t> </w:t>
      </w:r>
      <w:r>
        <w:rPr>
          <w:w w:val="105"/>
        </w:rPr>
        <w:t>between</w:t>
      </w:r>
      <w:r>
        <w:rPr>
          <w:spacing w:val="-42"/>
          <w:w w:val="105"/>
        </w:rPr>
        <w:t> </w:t>
      </w:r>
      <w:r>
        <w:rPr>
          <w:w w:val="105"/>
        </w:rPr>
        <w:t>INR</w:t>
      </w:r>
      <w:r>
        <w:rPr>
          <w:spacing w:val="-42"/>
          <w:w w:val="105"/>
        </w:rPr>
        <w:t> </w:t>
      </w:r>
      <w:r>
        <w:rPr>
          <w:w w:val="105"/>
        </w:rPr>
        <w:t>40</w:t>
      </w:r>
      <w:r>
        <w:rPr>
          <w:spacing w:val="-41"/>
          <w:w w:val="105"/>
        </w:rPr>
        <w:t> </w:t>
      </w:r>
      <w:r>
        <w:rPr>
          <w:w w:val="105"/>
        </w:rPr>
        <w:t>–</w:t>
      </w:r>
      <w:r>
        <w:rPr>
          <w:spacing w:val="-42"/>
          <w:w w:val="105"/>
        </w:rPr>
        <w:t> </w:t>
      </w:r>
      <w:r>
        <w:rPr>
          <w:w w:val="105"/>
        </w:rPr>
        <w:t>50</w:t>
      </w:r>
      <w:r>
        <w:rPr>
          <w:spacing w:val="-42"/>
          <w:w w:val="105"/>
        </w:rPr>
        <w:t> </w:t>
      </w:r>
      <w:r>
        <w:rPr>
          <w:w w:val="105"/>
        </w:rPr>
        <w:t>psf</w:t>
      </w:r>
      <w:r>
        <w:rPr>
          <w:spacing w:val="-42"/>
          <w:w w:val="105"/>
        </w:rPr>
        <w:t> </w:t>
      </w:r>
      <w:r>
        <w:rPr>
          <w:w w:val="105"/>
        </w:rPr>
        <w:t>pm</w:t>
      </w:r>
      <w:r>
        <w:rPr>
          <w:spacing w:val="-41"/>
          <w:w w:val="105"/>
        </w:rPr>
        <w:t> </w:t>
      </w:r>
      <w:r>
        <w:rPr>
          <w:w w:val="105"/>
        </w:rPr>
        <w:t>on </w:t>
      </w:r>
      <w:r>
        <w:rPr/>
        <w:t>leasable area depending upon specifications offered, location and accessibility of the development, quality</w:t>
      </w:r>
      <w:r>
        <w:rPr>
          <w:spacing w:val="-44"/>
        </w:rPr>
        <w:t> </w:t>
      </w:r>
      <w:r>
        <w:rPr/>
        <w:t>of</w:t>
      </w:r>
      <w:r>
        <w:rPr>
          <w:spacing w:val="-43"/>
        </w:rPr>
        <w:t> </w:t>
      </w:r>
      <w:r>
        <w:rPr/>
        <w:t>construction,</w:t>
      </w:r>
      <w:r>
        <w:rPr>
          <w:spacing w:val="-45"/>
        </w:rPr>
        <w:t> </w:t>
      </w:r>
      <w:r>
        <w:rPr/>
        <w:t>developer</w:t>
      </w:r>
      <w:r>
        <w:rPr>
          <w:spacing w:val="-44"/>
        </w:rPr>
        <w:t> </w:t>
      </w:r>
      <w:r>
        <w:rPr/>
        <w:t>brand,</w:t>
      </w:r>
      <w:r>
        <w:rPr>
          <w:spacing w:val="-43"/>
        </w:rPr>
        <w:t> </w:t>
      </w:r>
      <w:r>
        <w:rPr/>
        <w:t>amenities</w:t>
      </w:r>
      <w:r>
        <w:rPr>
          <w:spacing w:val="-45"/>
        </w:rPr>
        <w:t> </w:t>
      </w:r>
      <w:r>
        <w:rPr/>
        <w:t>offered,</w:t>
      </w:r>
      <w:r>
        <w:rPr>
          <w:spacing w:val="-44"/>
        </w:rPr>
        <w:t> </w:t>
      </w:r>
      <w:r>
        <w:rPr/>
        <w:t>etc.</w:t>
      </w:r>
      <w:r>
        <w:rPr>
          <w:spacing w:val="-44"/>
        </w:rPr>
        <w:t> </w:t>
      </w:r>
      <w:r>
        <w:rPr/>
        <w:t>In</w:t>
      </w:r>
      <w:r>
        <w:rPr>
          <w:spacing w:val="-43"/>
        </w:rPr>
        <w:t> </w:t>
      </w:r>
      <w:r>
        <w:rPr/>
        <w:t>addition,</w:t>
      </w:r>
      <w:r>
        <w:rPr>
          <w:spacing w:val="-44"/>
        </w:rPr>
        <w:t> </w:t>
      </w:r>
      <w:r>
        <w:rPr/>
        <w:t>the</w:t>
      </w:r>
      <w:r>
        <w:rPr>
          <w:spacing w:val="-44"/>
        </w:rPr>
        <w:t> </w:t>
      </w:r>
      <w:r>
        <w:rPr/>
        <w:t>maintenance</w:t>
      </w:r>
      <w:r>
        <w:rPr>
          <w:spacing w:val="-44"/>
        </w:rPr>
        <w:t> </w:t>
      </w:r>
      <w:r>
        <w:rPr/>
        <w:t>charge</w:t>
      </w:r>
      <w:r>
        <w:rPr>
          <w:spacing w:val="-44"/>
        </w:rPr>
        <w:t> </w:t>
      </w:r>
      <w:r>
        <w:rPr/>
        <w:t>for </w:t>
      </w:r>
      <w:r>
        <w:rPr>
          <w:w w:val="105"/>
        </w:rPr>
        <w:t>these developments varies in the range of INR 8.00 – 12.00 psf pm. The parking charges in such developments</w:t>
      </w:r>
      <w:r>
        <w:rPr>
          <w:spacing w:val="-42"/>
          <w:w w:val="105"/>
        </w:rPr>
        <w:t> </w:t>
      </w:r>
      <w:r>
        <w:rPr>
          <w:w w:val="105"/>
        </w:rPr>
        <w:t>range</w:t>
      </w:r>
      <w:r>
        <w:rPr>
          <w:spacing w:val="-43"/>
          <w:w w:val="105"/>
        </w:rPr>
        <w:t> </w:t>
      </w:r>
      <w:r>
        <w:rPr>
          <w:w w:val="105"/>
        </w:rPr>
        <w:t>between</w:t>
      </w:r>
      <w:r>
        <w:rPr>
          <w:spacing w:val="-42"/>
          <w:w w:val="105"/>
        </w:rPr>
        <w:t> </w:t>
      </w:r>
      <w:r>
        <w:rPr>
          <w:w w:val="105"/>
        </w:rPr>
        <w:t>INR</w:t>
      </w:r>
      <w:r>
        <w:rPr>
          <w:spacing w:val="-42"/>
          <w:w w:val="105"/>
        </w:rPr>
        <w:t> </w:t>
      </w:r>
      <w:r>
        <w:rPr>
          <w:w w:val="105"/>
        </w:rPr>
        <w:t>2,500</w:t>
      </w:r>
      <w:r>
        <w:rPr>
          <w:spacing w:val="-43"/>
          <w:w w:val="105"/>
        </w:rPr>
        <w:t> </w:t>
      </w:r>
      <w:r>
        <w:rPr>
          <w:w w:val="105"/>
        </w:rPr>
        <w:t>–</w:t>
      </w:r>
      <w:r>
        <w:rPr>
          <w:spacing w:val="-42"/>
          <w:w w:val="105"/>
        </w:rPr>
        <w:t> </w:t>
      </w:r>
      <w:r>
        <w:rPr>
          <w:w w:val="105"/>
        </w:rPr>
        <w:t>3,500</w:t>
      </w:r>
      <w:r>
        <w:rPr>
          <w:spacing w:val="-40"/>
          <w:w w:val="105"/>
        </w:rPr>
        <w:t> </w:t>
      </w:r>
      <w:r>
        <w:rPr>
          <w:w w:val="105"/>
        </w:rPr>
        <w:t>per</w:t>
      </w:r>
      <w:r>
        <w:rPr>
          <w:spacing w:val="-43"/>
          <w:w w:val="105"/>
        </w:rPr>
        <w:t> </w:t>
      </w:r>
      <w:r>
        <w:rPr>
          <w:w w:val="105"/>
        </w:rPr>
        <w:t>bay</w:t>
      </w:r>
      <w:r>
        <w:rPr>
          <w:spacing w:val="-43"/>
          <w:w w:val="105"/>
        </w:rPr>
        <w:t> </w:t>
      </w:r>
      <w:r>
        <w:rPr>
          <w:w w:val="105"/>
        </w:rPr>
        <w:t>per</w:t>
      </w:r>
      <w:r>
        <w:rPr>
          <w:spacing w:val="-42"/>
          <w:w w:val="105"/>
        </w:rPr>
        <w:t> </w:t>
      </w:r>
      <w:r>
        <w:rPr>
          <w:w w:val="105"/>
        </w:rPr>
        <w:t>month</w:t>
      </w:r>
      <w:r>
        <w:rPr>
          <w:spacing w:val="-42"/>
          <w:w w:val="105"/>
        </w:rPr>
        <w:t> </w:t>
      </w:r>
      <w:r>
        <w:rPr>
          <w:w w:val="105"/>
        </w:rPr>
        <w:t>for</w:t>
      </w:r>
      <w:r>
        <w:rPr>
          <w:spacing w:val="-43"/>
          <w:w w:val="105"/>
        </w:rPr>
        <w:t> </w:t>
      </w:r>
      <w:r>
        <w:rPr>
          <w:w w:val="105"/>
        </w:rPr>
        <w:t>covered</w:t>
      </w:r>
      <w:r>
        <w:rPr>
          <w:spacing w:val="-41"/>
          <w:w w:val="105"/>
        </w:rPr>
        <w:t> </w:t>
      </w:r>
      <w:r>
        <w:rPr>
          <w:w w:val="105"/>
        </w:rPr>
        <w:t>car</w:t>
      </w:r>
      <w:r>
        <w:rPr>
          <w:spacing w:val="-43"/>
          <w:w w:val="105"/>
        </w:rPr>
        <w:t> </w:t>
      </w:r>
      <w:r>
        <w:rPr>
          <w:w w:val="105"/>
        </w:rPr>
        <w:t>parks.</w:t>
      </w:r>
      <w:r>
        <w:rPr>
          <w:spacing w:val="-41"/>
          <w:w w:val="105"/>
        </w:rPr>
        <w:t> </w:t>
      </w:r>
      <w:r>
        <w:rPr>
          <w:w w:val="105"/>
        </w:rPr>
        <w:t>The</w:t>
      </w:r>
      <w:r>
        <w:rPr>
          <w:spacing w:val="-43"/>
          <w:w w:val="105"/>
        </w:rPr>
        <w:t> </w:t>
      </w:r>
      <w:r>
        <w:rPr>
          <w:w w:val="105"/>
        </w:rPr>
        <w:t>number of</w:t>
      </w:r>
      <w:r>
        <w:rPr>
          <w:spacing w:val="-20"/>
          <w:w w:val="105"/>
        </w:rPr>
        <w:t> </w:t>
      </w:r>
      <w:r>
        <w:rPr>
          <w:w w:val="105"/>
        </w:rPr>
        <w:t>car</w:t>
      </w:r>
      <w:r>
        <w:rPr>
          <w:spacing w:val="-20"/>
          <w:w w:val="105"/>
        </w:rPr>
        <w:t> </w:t>
      </w:r>
      <w:r>
        <w:rPr>
          <w:w w:val="105"/>
        </w:rPr>
        <w:t>park</w:t>
      </w:r>
      <w:r>
        <w:rPr>
          <w:spacing w:val="-21"/>
          <w:w w:val="105"/>
        </w:rPr>
        <w:t> </w:t>
      </w:r>
      <w:r>
        <w:rPr>
          <w:w w:val="105"/>
        </w:rPr>
        <w:t>slots</w:t>
      </w:r>
      <w:r>
        <w:rPr>
          <w:spacing w:val="-19"/>
          <w:w w:val="105"/>
        </w:rPr>
        <w:t> </w:t>
      </w:r>
      <w:r>
        <w:rPr>
          <w:w w:val="105"/>
        </w:rPr>
        <w:t>available</w:t>
      </w:r>
      <w:r>
        <w:rPr>
          <w:spacing w:val="-21"/>
          <w:w w:val="105"/>
        </w:rPr>
        <w:t> </w:t>
      </w:r>
      <w:r>
        <w:rPr>
          <w:w w:val="105"/>
        </w:rPr>
        <w:t>to</w:t>
      </w:r>
      <w:r>
        <w:rPr>
          <w:spacing w:val="-20"/>
          <w:w w:val="105"/>
        </w:rPr>
        <w:t> </w:t>
      </w:r>
      <w:r>
        <w:rPr>
          <w:w w:val="105"/>
        </w:rPr>
        <w:t>every</w:t>
      </w:r>
      <w:r>
        <w:rPr>
          <w:spacing w:val="-19"/>
          <w:w w:val="105"/>
        </w:rPr>
        <w:t> </w:t>
      </w:r>
      <w:r>
        <w:rPr>
          <w:w w:val="105"/>
        </w:rPr>
        <w:t>tenant</w:t>
      </w:r>
      <w:r>
        <w:rPr>
          <w:spacing w:val="-21"/>
          <w:w w:val="105"/>
        </w:rPr>
        <w:t> </w:t>
      </w:r>
      <w:r>
        <w:rPr>
          <w:w w:val="105"/>
        </w:rPr>
        <w:t>is</w:t>
      </w:r>
      <w:r>
        <w:rPr>
          <w:spacing w:val="-19"/>
          <w:w w:val="105"/>
        </w:rPr>
        <w:t> </w:t>
      </w:r>
      <w:r>
        <w:rPr>
          <w:w w:val="105"/>
        </w:rPr>
        <w:t>1</w:t>
      </w:r>
      <w:r>
        <w:rPr>
          <w:spacing w:val="-21"/>
          <w:w w:val="105"/>
        </w:rPr>
        <w:t> </w:t>
      </w:r>
      <w:r>
        <w:rPr>
          <w:w w:val="105"/>
        </w:rPr>
        <w:t>car</w:t>
      </w:r>
      <w:r>
        <w:rPr>
          <w:spacing w:val="-20"/>
          <w:w w:val="105"/>
        </w:rPr>
        <w:t> </w:t>
      </w:r>
      <w:r>
        <w:rPr>
          <w:w w:val="105"/>
        </w:rPr>
        <w:t>park</w:t>
      </w:r>
      <w:r>
        <w:rPr>
          <w:spacing w:val="-21"/>
          <w:w w:val="105"/>
        </w:rPr>
        <w:t> </w:t>
      </w:r>
      <w:r>
        <w:rPr>
          <w:w w:val="105"/>
        </w:rPr>
        <w:t>slot</w:t>
      </w:r>
      <w:r>
        <w:rPr>
          <w:spacing w:val="-21"/>
          <w:w w:val="105"/>
        </w:rPr>
        <w:t> </w:t>
      </w:r>
      <w:r>
        <w:rPr>
          <w:w w:val="105"/>
        </w:rPr>
        <w:t>for</w:t>
      </w:r>
      <w:r>
        <w:rPr>
          <w:spacing w:val="-20"/>
          <w:w w:val="105"/>
        </w:rPr>
        <w:t> </w:t>
      </w:r>
      <w:r>
        <w:rPr>
          <w:w w:val="105"/>
        </w:rPr>
        <w:t>every</w:t>
      </w:r>
      <w:r>
        <w:rPr>
          <w:spacing w:val="-19"/>
          <w:w w:val="105"/>
        </w:rPr>
        <w:t> </w:t>
      </w:r>
      <w:r>
        <w:rPr>
          <w:w w:val="105"/>
        </w:rPr>
        <w:t>1,000</w:t>
      </w:r>
      <w:r>
        <w:rPr>
          <w:spacing w:val="-20"/>
          <w:w w:val="105"/>
        </w:rPr>
        <w:t> </w:t>
      </w:r>
      <w:r>
        <w:rPr>
          <w:w w:val="105"/>
        </w:rPr>
        <w:t>sf</w:t>
      </w:r>
      <w:r>
        <w:rPr>
          <w:spacing w:val="-20"/>
          <w:w w:val="105"/>
        </w:rPr>
        <w:t> </w:t>
      </w:r>
      <w:r>
        <w:rPr>
          <w:w w:val="105"/>
        </w:rPr>
        <w:t>leased.</w:t>
      </w:r>
    </w:p>
    <w:p>
      <w:pPr>
        <w:pStyle w:val="BodyText"/>
        <w:spacing w:before="11"/>
        <w:rPr>
          <w:sz w:val="20"/>
        </w:rPr>
      </w:pPr>
    </w:p>
    <w:p>
      <w:pPr>
        <w:pStyle w:val="BodyText"/>
        <w:spacing w:line="321" w:lineRule="auto"/>
        <w:ind w:left="782" w:right="235"/>
        <w:jc w:val="both"/>
      </w:pPr>
      <w:r>
        <w:rPr/>
        <w:t>Based</w:t>
      </w:r>
      <w:r>
        <w:rPr>
          <w:spacing w:val="-16"/>
        </w:rPr>
        <w:t> </w:t>
      </w:r>
      <w:r>
        <w:rPr/>
        <w:t>on</w:t>
      </w:r>
      <w:r>
        <w:rPr>
          <w:spacing w:val="-17"/>
        </w:rPr>
        <w:t> </w:t>
      </w:r>
      <w:r>
        <w:rPr/>
        <w:t>our</w:t>
      </w:r>
      <w:r>
        <w:rPr>
          <w:spacing w:val="-16"/>
        </w:rPr>
        <w:t> </w:t>
      </w:r>
      <w:r>
        <w:rPr/>
        <w:t>market</w:t>
      </w:r>
      <w:r>
        <w:rPr>
          <w:spacing w:val="-14"/>
        </w:rPr>
        <w:t> </w:t>
      </w:r>
      <w:r>
        <w:rPr/>
        <w:t>research,</w:t>
      </w:r>
      <w:r>
        <w:rPr>
          <w:spacing w:val="-17"/>
        </w:rPr>
        <w:t> </w:t>
      </w:r>
      <w:r>
        <w:rPr/>
        <w:t>we</w:t>
      </w:r>
      <w:r>
        <w:rPr>
          <w:spacing w:val="-17"/>
        </w:rPr>
        <w:t> </w:t>
      </w:r>
      <w:r>
        <w:rPr/>
        <w:t>understand</w:t>
      </w:r>
      <w:r>
        <w:rPr>
          <w:spacing w:val="-14"/>
        </w:rPr>
        <w:t> </w:t>
      </w:r>
      <w:r>
        <w:rPr/>
        <w:t>that</w:t>
      </w:r>
      <w:r>
        <w:rPr>
          <w:spacing w:val="-16"/>
        </w:rPr>
        <w:t> </w:t>
      </w:r>
      <w:r>
        <w:rPr/>
        <w:t>prevalent</w:t>
      </w:r>
      <w:r>
        <w:rPr>
          <w:spacing w:val="-16"/>
        </w:rPr>
        <w:t> </w:t>
      </w:r>
      <w:r>
        <w:rPr/>
        <w:t>rent</w:t>
      </w:r>
      <w:r>
        <w:rPr>
          <w:spacing w:val="-16"/>
        </w:rPr>
        <w:t> </w:t>
      </w:r>
      <w:r>
        <w:rPr/>
        <w:t>in</w:t>
      </w:r>
      <w:r>
        <w:rPr>
          <w:spacing w:val="-17"/>
        </w:rPr>
        <w:t> </w:t>
      </w:r>
      <w:r>
        <w:rPr/>
        <w:t>the</w:t>
      </w:r>
      <w:r>
        <w:rPr>
          <w:spacing w:val="-17"/>
        </w:rPr>
        <w:t> </w:t>
      </w:r>
      <w:r>
        <w:rPr/>
        <w:t>submarket</w:t>
      </w:r>
      <w:r>
        <w:rPr>
          <w:spacing w:val="-15"/>
        </w:rPr>
        <w:t> </w:t>
      </w:r>
      <w:r>
        <w:rPr/>
        <w:t>have</w:t>
      </w:r>
      <w:r>
        <w:rPr>
          <w:spacing w:val="-17"/>
        </w:rPr>
        <w:t> </w:t>
      </w:r>
      <w:r>
        <w:rPr/>
        <w:t>witnessed</w:t>
      </w:r>
      <w:r>
        <w:rPr>
          <w:spacing w:val="-16"/>
        </w:rPr>
        <w:t> </w:t>
      </w:r>
      <w:r>
        <w:rPr/>
        <w:t>an average appreciation of approx. 6.7% between 2014 &amp;</w:t>
      </w:r>
      <w:r>
        <w:rPr>
          <w:spacing w:val="-17"/>
        </w:rPr>
        <w:t> </w:t>
      </w:r>
      <w:r>
        <w:rPr/>
        <w:t>2019.</w:t>
      </w:r>
    </w:p>
    <w:p>
      <w:pPr>
        <w:pStyle w:val="BodyText"/>
        <w:spacing w:before="7"/>
        <w:rPr>
          <w:sz w:val="20"/>
        </w:rPr>
      </w:pPr>
    </w:p>
    <w:p>
      <w:pPr>
        <w:pStyle w:val="BodyText"/>
        <w:spacing w:line="324" w:lineRule="auto"/>
        <w:ind w:left="782" w:right="235"/>
        <w:jc w:val="both"/>
      </w:pPr>
      <w:r>
        <w:rPr/>
        <w:t>The</w:t>
      </w:r>
      <w:r>
        <w:rPr>
          <w:spacing w:val="-36"/>
        </w:rPr>
        <w:t> </w:t>
      </w:r>
      <w:r>
        <w:rPr/>
        <w:t>table</w:t>
      </w:r>
      <w:r>
        <w:rPr>
          <w:spacing w:val="-36"/>
        </w:rPr>
        <w:t> </w:t>
      </w:r>
      <w:r>
        <w:rPr/>
        <w:t>below</w:t>
      </w:r>
      <w:r>
        <w:rPr>
          <w:spacing w:val="-35"/>
        </w:rPr>
        <w:t> </w:t>
      </w:r>
      <w:r>
        <w:rPr/>
        <w:t>highlights</w:t>
      </w:r>
      <w:r>
        <w:rPr>
          <w:spacing w:val="-34"/>
        </w:rPr>
        <w:t> </w:t>
      </w:r>
      <w:r>
        <w:rPr/>
        <w:t>some</w:t>
      </w:r>
      <w:r>
        <w:rPr>
          <w:spacing w:val="-36"/>
        </w:rPr>
        <w:t> </w:t>
      </w:r>
      <w:r>
        <w:rPr/>
        <w:t>of</w:t>
      </w:r>
      <w:r>
        <w:rPr>
          <w:spacing w:val="-34"/>
        </w:rPr>
        <w:t> </w:t>
      </w:r>
      <w:r>
        <w:rPr/>
        <w:t>the</w:t>
      </w:r>
      <w:r>
        <w:rPr>
          <w:spacing w:val="-36"/>
        </w:rPr>
        <w:t> </w:t>
      </w:r>
      <w:r>
        <w:rPr/>
        <w:t>recently</w:t>
      </w:r>
      <w:r>
        <w:rPr>
          <w:spacing w:val="-34"/>
        </w:rPr>
        <w:t> </w:t>
      </w:r>
      <w:r>
        <w:rPr/>
        <w:t>transacted</w:t>
      </w:r>
      <w:r>
        <w:rPr>
          <w:spacing w:val="-35"/>
        </w:rPr>
        <w:t> </w:t>
      </w:r>
      <w:r>
        <w:rPr/>
        <w:t>rental</w:t>
      </w:r>
      <w:r>
        <w:rPr>
          <w:spacing w:val="-36"/>
        </w:rPr>
        <w:t> </w:t>
      </w:r>
      <w:r>
        <w:rPr/>
        <w:t>values</w:t>
      </w:r>
      <w:r>
        <w:rPr>
          <w:spacing w:val="-34"/>
        </w:rPr>
        <w:t> </w:t>
      </w:r>
      <w:r>
        <w:rPr/>
        <w:t>for</w:t>
      </w:r>
      <w:r>
        <w:rPr>
          <w:spacing w:val="-35"/>
        </w:rPr>
        <w:t> </w:t>
      </w:r>
      <w:r>
        <w:rPr/>
        <w:t>technology</w:t>
      </w:r>
      <w:r>
        <w:rPr>
          <w:spacing w:val="-34"/>
        </w:rPr>
        <w:t> </w:t>
      </w:r>
      <w:r>
        <w:rPr/>
        <w:t>developments</w:t>
      </w:r>
      <w:r>
        <w:rPr>
          <w:spacing w:val="-36"/>
        </w:rPr>
        <w:t> </w:t>
      </w:r>
      <w:r>
        <w:rPr/>
        <w:t>in the influence region of the subject</w:t>
      </w:r>
      <w:r>
        <w:rPr>
          <w:spacing w:val="-31"/>
        </w:rPr>
        <w:t> </w:t>
      </w:r>
      <w:r>
        <w:rPr/>
        <w:t>property:</w:t>
      </w:r>
    </w:p>
    <w:p>
      <w:pPr>
        <w:pStyle w:val="BodyText"/>
        <w:spacing w:before="7" w:after="1"/>
        <w:rPr>
          <w:sz w:val="20"/>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14"/>
        <w:gridCol w:w="1992"/>
        <w:gridCol w:w="1661"/>
        <w:gridCol w:w="4018"/>
      </w:tblGrid>
      <w:tr>
        <w:trPr>
          <w:trHeight w:val="349" w:hRule="atLeast"/>
        </w:trPr>
        <w:tc>
          <w:tcPr>
            <w:tcW w:w="2814" w:type="dxa"/>
            <w:tcBorders>
              <w:top w:val="single" w:sz="6" w:space="0" w:color="69BD28"/>
              <w:bottom w:val="single" w:sz="6" w:space="0" w:color="69BD28"/>
            </w:tcBorders>
            <w:shd w:val="clear" w:color="auto" w:fill="006A4D"/>
          </w:tcPr>
          <w:p>
            <w:pPr>
              <w:pStyle w:val="TableParagraph"/>
              <w:spacing w:before="70"/>
              <w:ind w:left="458" w:right="582"/>
              <w:rPr>
                <w:b/>
                <w:sz w:val="18"/>
              </w:rPr>
            </w:pPr>
            <w:r>
              <w:rPr>
                <w:b/>
                <w:color w:val="FFFFFF"/>
                <w:w w:val="105"/>
                <w:sz w:val="18"/>
              </w:rPr>
              <w:t>Date of Transaction</w:t>
            </w:r>
          </w:p>
        </w:tc>
        <w:tc>
          <w:tcPr>
            <w:tcW w:w="1992" w:type="dxa"/>
            <w:tcBorders>
              <w:top w:val="single" w:sz="6" w:space="0" w:color="69BD28"/>
              <w:bottom w:val="single" w:sz="6" w:space="0" w:color="69BD28"/>
            </w:tcBorders>
            <w:shd w:val="clear" w:color="auto" w:fill="006A4D"/>
          </w:tcPr>
          <w:p>
            <w:pPr>
              <w:pStyle w:val="TableParagraph"/>
              <w:spacing w:before="70"/>
              <w:ind w:right="631"/>
              <w:jc w:val="right"/>
              <w:rPr>
                <w:b/>
                <w:sz w:val="18"/>
              </w:rPr>
            </w:pPr>
            <w:r>
              <w:rPr>
                <w:b/>
                <w:color w:val="FFFFFF"/>
                <w:w w:val="110"/>
                <w:sz w:val="18"/>
              </w:rPr>
              <w:t>Area (sf)</w:t>
            </w:r>
          </w:p>
        </w:tc>
        <w:tc>
          <w:tcPr>
            <w:tcW w:w="1661" w:type="dxa"/>
            <w:tcBorders>
              <w:top w:val="single" w:sz="6" w:space="0" w:color="69BD28"/>
              <w:bottom w:val="single" w:sz="6" w:space="0" w:color="69BD28"/>
            </w:tcBorders>
            <w:shd w:val="clear" w:color="auto" w:fill="006A4D"/>
          </w:tcPr>
          <w:p>
            <w:pPr>
              <w:pStyle w:val="TableParagraph"/>
              <w:spacing w:before="70"/>
              <w:ind w:right="364"/>
              <w:jc w:val="right"/>
              <w:rPr>
                <w:b/>
                <w:sz w:val="18"/>
              </w:rPr>
            </w:pPr>
            <w:r>
              <w:rPr>
                <w:b/>
                <w:color w:val="FFFFFF"/>
                <w:w w:val="105"/>
                <w:sz w:val="18"/>
              </w:rPr>
              <w:t>Tenant</w:t>
            </w:r>
          </w:p>
        </w:tc>
        <w:tc>
          <w:tcPr>
            <w:tcW w:w="4018" w:type="dxa"/>
            <w:tcBorders>
              <w:top w:val="single" w:sz="6" w:space="0" w:color="69BD28"/>
              <w:bottom w:val="single" w:sz="6" w:space="0" w:color="69BD28"/>
            </w:tcBorders>
            <w:shd w:val="clear" w:color="auto" w:fill="006A4D"/>
          </w:tcPr>
          <w:p>
            <w:pPr>
              <w:pStyle w:val="TableParagraph"/>
              <w:spacing w:before="70"/>
              <w:ind w:left="297" w:right="85"/>
              <w:rPr>
                <w:b/>
                <w:sz w:val="18"/>
              </w:rPr>
            </w:pPr>
            <w:r>
              <w:rPr>
                <w:b/>
                <w:color w:val="FFFFFF"/>
                <w:w w:val="110"/>
                <w:sz w:val="18"/>
              </w:rPr>
              <w:t>Transacted Rental Value (INR psf pm) *</w:t>
            </w:r>
          </w:p>
        </w:tc>
      </w:tr>
      <w:tr>
        <w:trPr>
          <w:trHeight w:val="419" w:hRule="atLeast"/>
        </w:trPr>
        <w:tc>
          <w:tcPr>
            <w:tcW w:w="2814" w:type="dxa"/>
            <w:tcBorders>
              <w:top w:val="single" w:sz="6" w:space="0" w:color="69BD28"/>
              <w:bottom w:val="single" w:sz="6" w:space="0" w:color="69BD28"/>
            </w:tcBorders>
          </w:tcPr>
          <w:p>
            <w:pPr>
              <w:pStyle w:val="TableParagraph"/>
              <w:spacing w:before="106"/>
              <w:ind w:left="455" w:right="582"/>
              <w:rPr>
                <w:sz w:val="18"/>
              </w:rPr>
            </w:pPr>
            <w:r>
              <w:rPr>
                <w:w w:val="110"/>
                <w:sz w:val="18"/>
              </w:rPr>
              <w:t>Q4, 2019</w:t>
            </w:r>
          </w:p>
        </w:tc>
        <w:tc>
          <w:tcPr>
            <w:tcW w:w="1992" w:type="dxa"/>
            <w:tcBorders>
              <w:top w:val="single" w:sz="6" w:space="0" w:color="69BD28"/>
              <w:bottom w:val="single" w:sz="6" w:space="0" w:color="69BD28"/>
            </w:tcBorders>
          </w:tcPr>
          <w:p>
            <w:pPr>
              <w:pStyle w:val="TableParagraph"/>
              <w:spacing w:before="106"/>
              <w:ind w:right="727"/>
              <w:jc w:val="right"/>
              <w:rPr>
                <w:sz w:val="18"/>
              </w:rPr>
            </w:pPr>
            <w:r>
              <w:rPr>
                <w:w w:val="105"/>
                <w:sz w:val="18"/>
              </w:rPr>
              <w:t>80,000</w:t>
            </w:r>
          </w:p>
        </w:tc>
        <w:tc>
          <w:tcPr>
            <w:tcW w:w="1661" w:type="dxa"/>
            <w:tcBorders>
              <w:top w:val="single" w:sz="6" w:space="0" w:color="69BD28"/>
              <w:bottom w:val="single" w:sz="6" w:space="0" w:color="69BD28"/>
            </w:tcBorders>
          </w:tcPr>
          <w:p>
            <w:pPr>
              <w:pStyle w:val="TableParagraph"/>
              <w:spacing w:before="106"/>
              <w:ind w:right="331"/>
              <w:jc w:val="right"/>
              <w:rPr>
                <w:sz w:val="18"/>
              </w:rPr>
            </w:pPr>
            <w:r>
              <w:rPr>
                <w:sz w:val="18"/>
              </w:rPr>
              <w:t>Tenant 1</w:t>
            </w:r>
          </w:p>
        </w:tc>
        <w:tc>
          <w:tcPr>
            <w:tcW w:w="4018" w:type="dxa"/>
            <w:tcBorders>
              <w:top w:val="single" w:sz="6" w:space="0" w:color="69BD28"/>
              <w:bottom w:val="single" w:sz="6" w:space="0" w:color="69BD28"/>
            </w:tcBorders>
          </w:tcPr>
          <w:p>
            <w:pPr>
              <w:pStyle w:val="TableParagraph"/>
              <w:spacing w:before="106"/>
              <w:ind w:left="293" w:right="85"/>
              <w:rPr>
                <w:sz w:val="18"/>
              </w:rPr>
            </w:pPr>
            <w:r>
              <w:rPr>
                <w:w w:val="105"/>
                <w:sz w:val="18"/>
              </w:rPr>
              <w:t>48.00 - 52.00 (WS)</w:t>
            </w:r>
          </w:p>
        </w:tc>
      </w:tr>
      <w:tr>
        <w:trPr>
          <w:trHeight w:val="441" w:hRule="atLeast"/>
        </w:trPr>
        <w:tc>
          <w:tcPr>
            <w:tcW w:w="2814" w:type="dxa"/>
            <w:tcBorders>
              <w:top w:val="single" w:sz="6" w:space="0" w:color="69BD28"/>
              <w:bottom w:val="single" w:sz="6" w:space="0" w:color="69BD28"/>
            </w:tcBorders>
          </w:tcPr>
          <w:p>
            <w:pPr>
              <w:pStyle w:val="TableParagraph"/>
              <w:spacing w:before="116"/>
              <w:ind w:left="455" w:right="582"/>
              <w:rPr>
                <w:sz w:val="18"/>
              </w:rPr>
            </w:pPr>
            <w:r>
              <w:rPr>
                <w:w w:val="110"/>
                <w:sz w:val="18"/>
              </w:rPr>
              <w:t>Q4, 2019</w:t>
            </w:r>
          </w:p>
        </w:tc>
        <w:tc>
          <w:tcPr>
            <w:tcW w:w="1992" w:type="dxa"/>
            <w:tcBorders>
              <w:top w:val="single" w:sz="6" w:space="0" w:color="69BD28"/>
              <w:bottom w:val="single" w:sz="6" w:space="0" w:color="69BD28"/>
            </w:tcBorders>
          </w:tcPr>
          <w:p>
            <w:pPr>
              <w:pStyle w:val="TableParagraph"/>
              <w:spacing w:before="116"/>
              <w:ind w:right="727"/>
              <w:jc w:val="right"/>
              <w:rPr>
                <w:sz w:val="18"/>
              </w:rPr>
            </w:pPr>
            <w:r>
              <w:rPr>
                <w:w w:val="105"/>
                <w:sz w:val="18"/>
              </w:rPr>
              <w:t>40,000</w:t>
            </w:r>
          </w:p>
        </w:tc>
        <w:tc>
          <w:tcPr>
            <w:tcW w:w="1661" w:type="dxa"/>
            <w:tcBorders>
              <w:top w:val="single" w:sz="6" w:space="0" w:color="69BD28"/>
              <w:bottom w:val="single" w:sz="6" w:space="0" w:color="69BD28"/>
            </w:tcBorders>
          </w:tcPr>
          <w:p>
            <w:pPr>
              <w:pStyle w:val="TableParagraph"/>
              <w:spacing w:before="116"/>
              <w:ind w:right="331"/>
              <w:jc w:val="right"/>
              <w:rPr>
                <w:sz w:val="18"/>
              </w:rPr>
            </w:pPr>
            <w:r>
              <w:rPr>
                <w:sz w:val="18"/>
              </w:rPr>
              <w:t>Tenant 2</w:t>
            </w:r>
          </w:p>
        </w:tc>
        <w:tc>
          <w:tcPr>
            <w:tcW w:w="4018" w:type="dxa"/>
            <w:tcBorders>
              <w:top w:val="single" w:sz="6" w:space="0" w:color="69BD28"/>
              <w:bottom w:val="single" w:sz="6" w:space="0" w:color="69BD28"/>
            </w:tcBorders>
          </w:tcPr>
          <w:p>
            <w:pPr>
              <w:pStyle w:val="TableParagraph"/>
              <w:spacing w:before="116"/>
              <w:ind w:left="293" w:right="85"/>
              <w:rPr>
                <w:sz w:val="18"/>
              </w:rPr>
            </w:pPr>
            <w:r>
              <w:rPr>
                <w:w w:val="105"/>
                <w:sz w:val="18"/>
              </w:rPr>
              <w:t>60.00 - 65.00 (FF)</w:t>
            </w:r>
          </w:p>
        </w:tc>
      </w:tr>
      <w:tr>
        <w:trPr>
          <w:trHeight w:val="428" w:hRule="atLeast"/>
        </w:trPr>
        <w:tc>
          <w:tcPr>
            <w:tcW w:w="2814" w:type="dxa"/>
            <w:tcBorders>
              <w:top w:val="single" w:sz="6" w:space="0" w:color="69BD28"/>
              <w:bottom w:val="single" w:sz="6" w:space="0" w:color="69BD28"/>
            </w:tcBorders>
          </w:tcPr>
          <w:p>
            <w:pPr>
              <w:pStyle w:val="TableParagraph"/>
              <w:spacing w:before="109"/>
              <w:ind w:left="455" w:right="582"/>
              <w:rPr>
                <w:sz w:val="18"/>
              </w:rPr>
            </w:pPr>
            <w:r>
              <w:rPr>
                <w:w w:val="110"/>
                <w:sz w:val="18"/>
              </w:rPr>
              <w:t>Q3, 2019</w:t>
            </w:r>
          </w:p>
        </w:tc>
        <w:tc>
          <w:tcPr>
            <w:tcW w:w="1992" w:type="dxa"/>
            <w:tcBorders>
              <w:top w:val="single" w:sz="6" w:space="0" w:color="69BD28"/>
              <w:bottom w:val="single" w:sz="6" w:space="0" w:color="69BD28"/>
            </w:tcBorders>
          </w:tcPr>
          <w:p>
            <w:pPr>
              <w:pStyle w:val="TableParagraph"/>
              <w:spacing w:before="109"/>
              <w:ind w:right="674"/>
              <w:jc w:val="right"/>
              <w:rPr>
                <w:sz w:val="18"/>
              </w:rPr>
            </w:pPr>
            <w:r>
              <w:rPr>
                <w:w w:val="105"/>
                <w:sz w:val="18"/>
              </w:rPr>
              <w:t>125,000</w:t>
            </w:r>
          </w:p>
        </w:tc>
        <w:tc>
          <w:tcPr>
            <w:tcW w:w="1661" w:type="dxa"/>
            <w:tcBorders>
              <w:top w:val="single" w:sz="6" w:space="0" w:color="69BD28"/>
              <w:bottom w:val="single" w:sz="6" w:space="0" w:color="69BD28"/>
            </w:tcBorders>
          </w:tcPr>
          <w:p>
            <w:pPr>
              <w:pStyle w:val="TableParagraph"/>
              <w:spacing w:before="109"/>
              <w:ind w:right="331"/>
              <w:jc w:val="right"/>
              <w:rPr>
                <w:sz w:val="18"/>
              </w:rPr>
            </w:pPr>
            <w:r>
              <w:rPr>
                <w:sz w:val="18"/>
              </w:rPr>
              <w:t>Tenant 3</w:t>
            </w:r>
          </w:p>
        </w:tc>
        <w:tc>
          <w:tcPr>
            <w:tcW w:w="4018" w:type="dxa"/>
            <w:tcBorders>
              <w:top w:val="single" w:sz="6" w:space="0" w:color="69BD28"/>
              <w:bottom w:val="single" w:sz="6" w:space="0" w:color="69BD28"/>
            </w:tcBorders>
          </w:tcPr>
          <w:p>
            <w:pPr>
              <w:pStyle w:val="TableParagraph"/>
              <w:spacing w:before="109"/>
              <w:ind w:left="293" w:right="85"/>
              <w:rPr>
                <w:sz w:val="18"/>
              </w:rPr>
            </w:pPr>
            <w:r>
              <w:rPr>
                <w:w w:val="105"/>
                <w:sz w:val="18"/>
              </w:rPr>
              <w:t>45.00 - 50.00 (WS)</w:t>
            </w:r>
          </w:p>
        </w:tc>
      </w:tr>
      <w:tr>
        <w:trPr>
          <w:trHeight w:val="428" w:hRule="atLeast"/>
        </w:trPr>
        <w:tc>
          <w:tcPr>
            <w:tcW w:w="2814" w:type="dxa"/>
            <w:tcBorders>
              <w:top w:val="single" w:sz="6" w:space="0" w:color="69BD28"/>
              <w:bottom w:val="single" w:sz="6" w:space="0" w:color="69BD28"/>
            </w:tcBorders>
          </w:tcPr>
          <w:p>
            <w:pPr>
              <w:pStyle w:val="TableParagraph"/>
              <w:spacing w:before="111"/>
              <w:ind w:left="455" w:right="582"/>
              <w:rPr>
                <w:sz w:val="18"/>
              </w:rPr>
            </w:pPr>
            <w:r>
              <w:rPr>
                <w:w w:val="110"/>
                <w:sz w:val="18"/>
              </w:rPr>
              <w:t>Q3, 2019</w:t>
            </w:r>
          </w:p>
        </w:tc>
        <w:tc>
          <w:tcPr>
            <w:tcW w:w="1992" w:type="dxa"/>
            <w:tcBorders>
              <w:top w:val="single" w:sz="6" w:space="0" w:color="69BD28"/>
              <w:bottom w:val="single" w:sz="6" w:space="0" w:color="69BD28"/>
            </w:tcBorders>
          </w:tcPr>
          <w:p>
            <w:pPr>
              <w:pStyle w:val="TableParagraph"/>
              <w:spacing w:before="111"/>
              <w:ind w:right="727"/>
              <w:jc w:val="right"/>
              <w:rPr>
                <w:sz w:val="18"/>
              </w:rPr>
            </w:pPr>
            <w:r>
              <w:rPr>
                <w:w w:val="105"/>
                <w:sz w:val="18"/>
              </w:rPr>
              <w:t>45,000</w:t>
            </w:r>
          </w:p>
        </w:tc>
        <w:tc>
          <w:tcPr>
            <w:tcW w:w="1661" w:type="dxa"/>
            <w:tcBorders>
              <w:top w:val="single" w:sz="6" w:space="0" w:color="69BD28"/>
              <w:bottom w:val="single" w:sz="6" w:space="0" w:color="69BD28"/>
            </w:tcBorders>
          </w:tcPr>
          <w:p>
            <w:pPr>
              <w:pStyle w:val="TableParagraph"/>
              <w:spacing w:before="111"/>
              <w:ind w:right="331"/>
              <w:jc w:val="right"/>
              <w:rPr>
                <w:sz w:val="18"/>
              </w:rPr>
            </w:pPr>
            <w:r>
              <w:rPr>
                <w:sz w:val="18"/>
              </w:rPr>
              <w:t>Tenant 4</w:t>
            </w:r>
          </w:p>
        </w:tc>
        <w:tc>
          <w:tcPr>
            <w:tcW w:w="4018" w:type="dxa"/>
            <w:tcBorders>
              <w:top w:val="single" w:sz="6" w:space="0" w:color="69BD28"/>
              <w:bottom w:val="single" w:sz="6" w:space="0" w:color="69BD28"/>
            </w:tcBorders>
          </w:tcPr>
          <w:p>
            <w:pPr>
              <w:pStyle w:val="TableParagraph"/>
              <w:spacing w:before="111"/>
              <w:ind w:left="293" w:right="85"/>
              <w:rPr>
                <w:sz w:val="18"/>
              </w:rPr>
            </w:pPr>
            <w:r>
              <w:rPr>
                <w:w w:val="105"/>
                <w:sz w:val="18"/>
              </w:rPr>
              <w:t>45.00 - 50.00 (WS)</w:t>
            </w:r>
          </w:p>
        </w:tc>
      </w:tr>
      <w:tr>
        <w:trPr>
          <w:trHeight w:val="448" w:hRule="atLeast"/>
        </w:trPr>
        <w:tc>
          <w:tcPr>
            <w:tcW w:w="2814" w:type="dxa"/>
            <w:tcBorders>
              <w:top w:val="single" w:sz="6" w:space="0" w:color="69BD28"/>
              <w:bottom w:val="single" w:sz="6" w:space="0" w:color="69BD28"/>
            </w:tcBorders>
          </w:tcPr>
          <w:p>
            <w:pPr>
              <w:pStyle w:val="TableParagraph"/>
              <w:spacing w:before="121"/>
              <w:ind w:left="455" w:right="582"/>
              <w:rPr>
                <w:sz w:val="18"/>
              </w:rPr>
            </w:pPr>
            <w:r>
              <w:rPr>
                <w:w w:val="110"/>
                <w:sz w:val="18"/>
              </w:rPr>
              <w:t>Q2, 2019</w:t>
            </w:r>
          </w:p>
        </w:tc>
        <w:tc>
          <w:tcPr>
            <w:tcW w:w="1992" w:type="dxa"/>
            <w:tcBorders>
              <w:top w:val="single" w:sz="6" w:space="0" w:color="69BD28"/>
              <w:bottom w:val="single" w:sz="6" w:space="0" w:color="69BD28"/>
            </w:tcBorders>
          </w:tcPr>
          <w:p>
            <w:pPr>
              <w:pStyle w:val="TableParagraph"/>
              <w:spacing w:before="121"/>
              <w:ind w:right="674"/>
              <w:jc w:val="right"/>
              <w:rPr>
                <w:sz w:val="18"/>
              </w:rPr>
            </w:pPr>
            <w:r>
              <w:rPr>
                <w:w w:val="105"/>
                <w:sz w:val="18"/>
              </w:rPr>
              <w:t>125,000</w:t>
            </w:r>
          </w:p>
        </w:tc>
        <w:tc>
          <w:tcPr>
            <w:tcW w:w="1661" w:type="dxa"/>
            <w:tcBorders>
              <w:top w:val="single" w:sz="6" w:space="0" w:color="69BD28"/>
              <w:bottom w:val="single" w:sz="6" w:space="0" w:color="69BD28"/>
            </w:tcBorders>
          </w:tcPr>
          <w:p>
            <w:pPr>
              <w:pStyle w:val="TableParagraph"/>
              <w:spacing w:before="121"/>
              <w:ind w:right="331"/>
              <w:jc w:val="right"/>
              <w:rPr>
                <w:sz w:val="18"/>
              </w:rPr>
            </w:pPr>
            <w:r>
              <w:rPr>
                <w:sz w:val="18"/>
              </w:rPr>
              <w:t>Tenant 5</w:t>
            </w:r>
          </w:p>
        </w:tc>
        <w:tc>
          <w:tcPr>
            <w:tcW w:w="4018" w:type="dxa"/>
            <w:tcBorders>
              <w:top w:val="single" w:sz="6" w:space="0" w:color="69BD28"/>
              <w:bottom w:val="single" w:sz="6" w:space="0" w:color="69BD28"/>
            </w:tcBorders>
          </w:tcPr>
          <w:p>
            <w:pPr>
              <w:pStyle w:val="TableParagraph"/>
              <w:spacing w:before="121"/>
              <w:ind w:left="293" w:right="85"/>
              <w:rPr>
                <w:sz w:val="18"/>
              </w:rPr>
            </w:pPr>
            <w:r>
              <w:rPr>
                <w:w w:val="105"/>
                <w:sz w:val="18"/>
              </w:rPr>
              <w:t>60.00 - 65.00 (FF)</w:t>
            </w:r>
          </w:p>
        </w:tc>
      </w:tr>
      <w:tr>
        <w:trPr>
          <w:trHeight w:val="431" w:hRule="atLeast"/>
        </w:trPr>
        <w:tc>
          <w:tcPr>
            <w:tcW w:w="2814" w:type="dxa"/>
            <w:tcBorders>
              <w:top w:val="single" w:sz="6" w:space="0" w:color="69BD28"/>
              <w:bottom w:val="single" w:sz="6" w:space="0" w:color="69BD28"/>
            </w:tcBorders>
          </w:tcPr>
          <w:p>
            <w:pPr>
              <w:pStyle w:val="TableParagraph"/>
              <w:spacing w:before="112"/>
              <w:ind w:left="455" w:right="582"/>
              <w:rPr>
                <w:sz w:val="18"/>
              </w:rPr>
            </w:pPr>
            <w:r>
              <w:rPr>
                <w:w w:val="110"/>
                <w:sz w:val="18"/>
              </w:rPr>
              <w:t>Q2, 2019</w:t>
            </w:r>
          </w:p>
        </w:tc>
        <w:tc>
          <w:tcPr>
            <w:tcW w:w="1992" w:type="dxa"/>
            <w:tcBorders>
              <w:top w:val="single" w:sz="6" w:space="0" w:color="69BD28"/>
              <w:bottom w:val="single" w:sz="6" w:space="0" w:color="69BD28"/>
            </w:tcBorders>
          </w:tcPr>
          <w:p>
            <w:pPr>
              <w:pStyle w:val="TableParagraph"/>
              <w:spacing w:before="112"/>
              <w:ind w:right="674"/>
              <w:jc w:val="right"/>
              <w:rPr>
                <w:sz w:val="18"/>
              </w:rPr>
            </w:pPr>
            <w:r>
              <w:rPr>
                <w:w w:val="105"/>
                <w:sz w:val="18"/>
              </w:rPr>
              <w:t>240,000</w:t>
            </w:r>
          </w:p>
        </w:tc>
        <w:tc>
          <w:tcPr>
            <w:tcW w:w="1661" w:type="dxa"/>
            <w:tcBorders>
              <w:top w:val="single" w:sz="6" w:space="0" w:color="69BD28"/>
              <w:bottom w:val="single" w:sz="6" w:space="0" w:color="69BD28"/>
            </w:tcBorders>
          </w:tcPr>
          <w:p>
            <w:pPr>
              <w:pStyle w:val="TableParagraph"/>
              <w:spacing w:before="112"/>
              <w:ind w:right="331"/>
              <w:jc w:val="right"/>
              <w:rPr>
                <w:sz w:val="18"/>
              </w:rPr>
            </w:pPr>
            <w:r>
              <w:rPr>
                <w:sz w:val="18"/>
              </w:rPr>
              <w:t>Tenant 6</w:t>
            </w:r>
          </w:p>
        </w:tc>
        <w:tc>
          <w:tcPr>
            <w:tcW w:w="4018" w:type="dxa"/>
            <w:tcBorders>
              <w:top w:val="single" w:sz="6" w:space="0" w:color="69BD28"/>
              <w:bottom w:val="single" w:sz="6" w:space="0" w:color="69BD28"/>
            </w:tcBorders>
          </w:tcPr>
          <w:p>
            <w:pPr>
              <w:pStyle w:val="TableParagraph"/>
              <w:spacing w:before="112"/>
              <w:ind w:left="293" w:right="85"/>
              <w:rPr>
                <w:sz w:val="18"/>
              </w:rPr>
            </w:pPr>
            <w:r>
              <w:rPr>
                <w:w w:val="105"/>
                <w:sz w:val="18"/>
              </w:rPr>
              <w:t>60.00 - 65.00 (FF)</w:t>
            </w:r>
          </w:p>
        </w:tc>
      </w:tr>
    </w:tbl>
    <w:p>
      <w:pPr>
        <w:spacing w:after="0"/>
        <w:rPr>
          <w:sz w:val="18"/>
        </w:rPr>
        <w:sectPr>
          <w:pgSz w:w="11910" w:h="16840"/>
          <w:pgMar w:header="720" w:footer="921" w:top="1660" w:bottom="1120" w:left="500" w:right="480"/>
        </w:sectPr>
      </w:pPr>
    </w:p>
    <w:p>
      <w:pPr>
        <w:pStyle w:val="BodyText"/>
        <w:rPr>
          <w:sz w:val="19"/>
        </w:rPr>
      </w:pPr>
    </w:p>
    <w:tbl>
      <w:tblPr>
        <w:tblW w:w="0" w:type="auto"/>
        <w:jc w:val="left"/>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07"/>
        <w:gridCol w:w="1992"/>
        <w:gridCol w:w="1661"/>
        <w:gridCol w:w="4018"/>
      </w:tblGrid>
      <w:tr>
        <w:trPr>
          <w:trHeight w:val="349" w:hRule="atLeast"/>
        </w:trPr>
        <w:tc>
          <w:tcPr>
            <w:tcW w:w="2807" w:type="dxa"/>
            <w:tcBorders>
              <w:top w:val="single" w:sz="6" w:space="0" w:color="69BD28"/>
              <w:bottom w:val="single" w:sz="6" w:space="0" w:color="69BD28"/>
            </w:tcBorders>
            <w:shd w:val="clear" w:color="auto" w:fill="006A4D"/>
          </w:tcPr>
          <w:p>
            <w:pPr>
              <w:pStyle w:val="TableParagraph"/>
              <w:spacing w:before="70"/>
              <w:ind w:left="451" w:right="582"/>
              <w:rPr>
                <w:b/>
                <w:sz w:val="18"/>
              </w:rPr>
            </w:pPr>
            <w:r>
              <w:rPr>
                <w:b/>
                <w:color w:val="FFFFFF"/>
                <w:w w:val="105"/>
                <w:sz w:val="18"/>
              </w:rPr>
              <w:t>Date of Transaction</w:t>
            </w:r>
          </w:p>
        </w:tc>
        <w:tc>
          <w:tcPr>
            <w:tcW w:w="1992" w:type="dxa"/>
            <w:tcBorders>
              <w:top w:val="single" w:sz="6" w:space="0" w:color="69BD28"/>
              <w:bottom w:val="single" w:sz="6" w:space="0" w:color="69BD28"/>
            </w:tcBorders>
            <w:shd w:val="clear" w:color="auto" w:fill="006A4D"/>
          </w:tcPr>
          <w:p>
            <w:pPr>
              <w:pStyle w:val="TableParagraph"/>
              <w:spacing w:before="70"/>
              <w:ind w:left="555" w:right="603"/>
              <w:rPr>
                <w:b/>
                <w:sz w:val="18"/>
              </w:rPr>
            </w:pPr>
            <w:r>
              <w:rPr>
                <w:b/>
                <w:color w:val="FFFFFF"/>
                <w:w w:val="110"/>
                <w:sz w:val="18"/>
              </w:rPr>
              <w:t>Area (sf)</w:t>
            </w:r>
          </w:p>
        </w:tc>
        <w:tc>
          <w:tcPr>
            <w:tcW w:w="1661" w:type="dxa"/>
            <w:tcBorders>
              <w:top w:val="single" w:sz="6" w:space="0" w:color="69BD28"/>
              <w:bottom w:val="single" w:sz="6" w:space="0" w:color="69BD28"/>
            </w:tcBorders>
            <w:shd w:val="clear" w:color="auto" w:fill="006A4D"/>
          </w:tcPr>
          <w:p>
            <w:pPr>
              <w:pStyle w:val="TableParagraph"/>
              <w:spacing w:before="70"/>
              <w:ind w:right="364"/>
              <w:jc w:val="right"/>
              <w:rPr>
                <w:b/>
                <w:sz w:val="18"/>
              </w:rPr>
            </w:pPr>
            <w:r>
              <w:rPr>
                <w:b/>
                <w:color w:val="FFFFFF"/>
                <w:w w:val="105"/>
                <w:sz w:val="18"/>
              </w:rPr>
              <w:t>Tenant</w:t>
            </w:r>
          </w:p>
        </w:tc>
        <w:tc>
          <w:tcPr>
            <w:tcW w:w="4018" w:type="dxa"/>
            <w:tcBorders>
              <w:top w:val="single" w:sz="6" w:space="0" w:color="69BD28"/>
              <w:bottom w:val="single" w:sz="6" w:space="0" w:color="69BD28"/>
            </w:tcBorders>
            <w:shd w:val="clear" w:color="auto" w:fill="006A4D"/>
          </w:tcPr>
          <w:p>
            <w:pPr>
              <w:pStyle w:val="TableParagraph"/>
              <w:spacing w:before="70"/>
              <w:ind w:left="297" w:right="85"/>
              <w:rPr>
                <w:b/>
                <w:sz w:val="18"/>
              </w:rPr>
            </w:pPr>
            <w:r>
              <w:rPr>
                <w:b/>
                <w:color w:val="FFFFFF"/>
                <w:w w:val="110"/>
                <w:sz w:val="18"/>
              </w:rPr>
              <w:t>Transacted Rental Value (INR psf pm) *</w:t>
            </w:r>
          </w:p>
        </w:tc>
      </w:tr>
      <w:tr>
        <w:trPr>
          <w:trHeight w:val="438" w:hRule="atLeast"/>
        </w:trPr>
        <w:tc>
          <w:tcPr>
            <w:tcW w:w="2807" w:type="dxa"/>
            <w:tcBorders>
              <w:top w:val="single" w:sz="6" w:space="0" w:color="69BD28"/>
              <w:bottom w:val="single" w:sz="6" w:space="0" w:color="69BD28"/>
            </w:tcBorders>
          </w:tcPr>
          <w:p>
            <w:pPr>
              <w:pStyle w:val="TableParagraph"/>
              <w:spacing w:before="114"/>
              <w:ind w:left="448" w:right="582"/>
              <w:rPr>
                <w:sz w:val="18"/>
              </w:rPr>
            </w:pPr>
            <w:r>
              <w:rPr>
                <w:w w:val="110"/>
                <w:sz w:val="18"/>
              </w:rPr>
              <w:t>Q1, 2019</w:t>
            </w:r>
          </w:p>
        </w:tc>
        <w:tc>
          <w:tcPr>
            <w:tcW w:w="1992" w:type="dxa"/>
            <w:tcBorders>
              <w:top w:val="single" w:sz="6" w:space="0" w:color="69BD28"/>
              <w:bottom w:val="single" w:sz="6" w:space="0" w:color="69BD28"/>
            </w:tcBorders>
          </w:tcPr>
          <w:p>
            <w:pPr>
              <w:pStyle w:val="TableParagraph"/>
              <w:spacing w:before="114"/>
              <w:ind w:left="555" w:right="601"/>
              <w:rPr>
                <w:sz w:val="18"/>
              </w:rPr>
            </w:pPr>
            <w:r>
              <w:rPr>
                <w:w w:val="110"/>
                <w:sz w:val="18"/>
              </w:rPr>
              <w:t>25,000</w:t>
            </w:r>
          </w:p>
        </w:tc>
        <w:tc>
          <w:tcPr>
            <w:tcW w:w="1661" w:type="dxa"/>
            <w:tcBorders>
              <w:top w:val="single" w:sz="6" w:space="0" w:color="69BD28"/>
              <w:bottom w:val="single" w:sz="6" w:space="0" w:color="69BD28"/>
            </w:tcBorders>
          </w:tcPr>
          <w:p>
            <w:pPr>
              <w:pStyle w:val="TableParagraph"/>
              <w:spacing w:before="114"/>
              <w:ind w:right="331"/>
              <w:jc w:val="right"/>
              <w:rPr>
                <w:sz w:val="18"/>
              </w:rPr>
            </w:pPr>
            <w:r>
              <w:rPr>
                <w:sz w:val="18"/>
              </w:rPr>
              <w:t>Tenant 7</w:t>
            </w:r>
          </w:p>
        </w:tc>
        <w:tc>
          <w:tcPr>
            <w:tcW w:w="4018" w:type="dxa"/>
            <w:tcBorders>
              <w:top w:val="single" w:sz="6" w:space="0" w:color="69BD28"/>
              <w:bottom w:val="single" w:sz="6" w:space="0" w:color="69BD28"/>
            </w:tcBorders>
          </w:tcPr>
          <w:p>
            <w:pPr>
              <w:pStyle w:val="TableParagraph"/>
              <w:spacing w:before="114"/>
              <w:ind w:left="293" w:right="85"/>
              <w:rPr>
                <w:sz w:val="18"/>
              </w:rPr>
            </w:pPr>
            <w:r>
              <w:rPr>
                <w:w w:val="105"/>
                <w:sz w:val="18"/>
              </w:rPr>
              <w:t>58.00 - 62.00 (FF)</w:t>
            </w:r>
          </w:p>
        </w:tc>
      </w:tr>
    </w:tbl>
    <w:p>
      <w:pPr>
        <w:spacing w:line="321" w:lineRule="auto" w:before="116"/>
        <w:ind w:left="220" w:right="0" w:firstLine="0"/>
        <w:jc w:val="left"/>
        <w:rPr>
          <w:i/>
          <w:sz w:val="18"/>
        </w:rPr>
      </w:pPr>
      <w:r>
        <w:rPr>
          <w:i/>
          <w:sz w:val="18"/>
        </w:rPr>
        <w:t>Source:</w:t>
      </w:r>
      <w:r>
        <w:rPr>
          <w:i/>
          <w:spacing w:val="-23"/>
          <w:sz w:val="18"/>
        </w:rPr>
        <w:t> </w:t>
      </w:r>
      <w:r>
        <w:rPr>
          <w:i/>
          <w:sz w:val="18"/>
        </w:rPr>
        <w:t>CBRE</w:t>
      </w:r>
      <w:r>
        <w:rPr>
          <w:i/>
          <w:spacing w:val="-21"/>
          <w:sz w:val="18"/>
        </w:rPr>
        <w:t> </w:t>
      </w:r>
      <w:r>
        <w:rPr>
          <w:i/>
          <w:sz w:val="18"/>
        </w:rPr>
        <w:t>Research*</w:t>
      </w:r>
      <w:r>
        <w:rPr>
          <w:i/>
          <w:spacing w:val="-23"/>
          <w:sz w:val="18"/>
        </w:rPr>
        <w:t> </w:t>
      </w:r>
      <w:r>
        <w:rPr>
          <w:i/>
          <w:sz w:val="18"/>
        </w:rPr>
        <w:t>Rentals</w:t>
      </w:r>
      <w:r>
        <w:rPr>
          <w:i/>
          <w:spacing w:val="-21"/>
          <w:sz w:val="18"/>
        </w:rPr>
        <w:t> </w:t>
      </w:r>
      <w:r>
        <w:rPr>
          <w:i/>
          <w:sz w:val="18"/>
        </w:rPr>
        <w:t>are</w:t>
      </w:r>
      <w:r>
        <w:rPr>
          <w:i/>
          <w:spacing w:val="-24"/>
          <w:sz w:val="18"/>
        </w:rPr>
        <w:t> </w:t>
      </w:r>
      <w:r>
        <w:rPr>
          <w:i/>
          <w:sz w:val="18"/>
        </w:rPr>
        <w:t>gross</w:t>
      </w:r>
      <w:r>
        <w:rPr>
          <w:i/>
          <w:spacing w:val="-21"/>
          <w:sz w:val="18"/>
        </w:rPr>
        <w:t> </w:t>
      </w:r>
      <w:r>
        <w:rPr>
          <w:i/>
          <w:sz w:val="18"/>
        </w:rPr>
        <w:t>rentals</w:t>
      </w:r>
      <w:r>
        <w:rPr>
          <w:i/>
          <w:spacing w:val="-24"/>
          <w:sz w:val="18"/>
        </w:rPr>
        <w:t> </w:t>
      </w:r>
      <w:r>
        <w:rPr>
          <w:i/>
          <w:sz w:val="18"/>
        </w:rPr>
        <w:t>(viz.</w:t>
      </w:r>
      <w:r>
        <w:rPr>
          <w:i/>
          <w:spacing w:val="-23"/>
          <w:sz w:val="18"/>
        </w:rPr>
        <w:t> </w:t>
      </w:r>
      <w:r>
        <w:rPr>
          <w:i/>
          <w:sz w:val="18"/>
        </w:rPr>
        <w:t>exclusive</w:t>
      </w:r>
      <w:r>
        <w:rPr>
          <w:i/>
          <w:spacing w:val="-22"/>
          <w:sz w:val="18"/>
        </w:rPr>
        <w:t> </w:t>
      </w:r>
      <w:r>
        <w:rPr>
          <w:i/>
          <w:sz w:val="18"/>
        </w:rPr>
        <w:t>of</w:t>
      </w:r>
      <w:r>
        <w:rPr>
          <w:i/>
          <w:spacing w:val="-22"/>
          <w:sz w:val="18"/>
        </w:rPr>
        <w:t> </w:t>
      </w:r>
      <w:r>
        <w:rPr>
          <w:i/>
          <w:sz w:val="18"/>
        </w:rPr>
        <w:t>property</w:t>
      </w:r>
      <w:r>
        <w:rPr>
          <w:i/>
          <w:spacing w:val="-24"/>
          <w:sz w:val="18"/>
        </w:rPr>
        <w:t> </w:t>
      </w:r>
      <w:r>
        <w:rPr>
          <w:i/>
          <w:sz w:val="18"/>
        </w:rPr>
        <w:t>tax</w:t>
      </w:r>
      <w:r>
        <w:rPr>
          <w:i/>
          <w:spacing w:val="-23"/>
          <w:sz w:val="18"/>
        </w:rPr>
        <w:t> </w:t>
      </w:r>
      <w:r>
        <w:rPr>
          <w:i/>
          <w:sz w:val="18"/>
        </w:rPr>
        <w:t>&amp;</w:t>
      </w:r>
      <w:r>
        <w:rPr>
          <w:i/>
          <w:spacing w:val="-23"/>
          <w:sz w:val="18"/>
        </w:rPr>
        <w:t> </w:t>
      </w:r>
      <w:r>
        <w:rPr>
          <w:i/>
          <w:sz w:val="18"/>
        </w:rPr>
        <w:t>insurance)</w:t>
      </w:r>
      <w:r>
        <w:rPr>
          <w:i/>
          <w:spacing w:val="-25"/>
          <w:sz w:val="18"/>
        </w:rPr>
        <w:t> </w:t>
      </w:r>
      <w:r>
        <w:rPr>
          <w:i/>
          <w:sz w:val="18"/>
        </w:rPr>
        <w:t>on</w:t>
      </w:r>
      <w:r>
        <w:rPr>
          <w:i/>
          <w:spacing w:val="-22"/>
          <w:sz w:val="18"/>
        </w:rPr>
        <w:t> </w:t>
      </w:r>
      <w:r>
        <w:rPr>
          <w:i/>
          <w:sz w:val="18"/>
        </w:rPr>
        <w:t>leasable</w:t>
      </w:r>
      <w:r>
        <w:rPr>
          <w:i/>
          <w:spacing w:val="-24"/>
          <w:sz w:val="18"/>
        </w:rPr>
        <w:t> </w:t>
      </w:r>
      <w:r>
        <w:rPr>
          <w:i/>
          <w:spacing w:val="2"/>
          <w:sz w:val="18"/>
        </w:rPr>
        <w:t>area</w:t>
      </w:r>
      <w:r>
        <w:rPr>
          <w:i/>
          <w:spacing w:val="-22"/>
          <w:sz w:val="18"/>
        </w:rPr>
        <w:t> </w:t>
      </w:r>
      <w:r>
        <w:rPr>
          <w:i/>
          <w:sz w:val="18"/>
        </w:rPr>
        <w:t>basis;</w:t>
      </w:r>
      <w:r>
        <w:rPr>
          <w:i/>
          <w:spacing w:val="-22"/>
          <w:sz w:val="18"/>
        </w:rPr>
        <w:t> </w:t>
      </w:r>
      <w:r>
        <w:rPr>
          <w:i/>
          <w:sz w:val="18"/>
        </w:rPr>
        <w:t>Note:</w:t>
      </w:r>
      <w:r>
        <w:rPr>
          <w:i/>
          <w:spacing w:val="-24"/>
          <w:sz w:val="18"/>
        </w:rPr>
        <w:t> </w:t>
      </w:r>
      <w:r>
        <w:rPr>
          <w:i/>
          <w:sz w:val="18"/>
        </w:rPr>
        <w:t>WS</w:t>
      </w:r>
      <w:r>
        <w:rPr>
          <w:i/>
          <w:spacing w:val="-21"/>
          <w:sz w:val="18"/>
        </w:rPr>
        <w:t> </w:t>
      </w:r>
      <w:r>
        <w:rPr>
          <w:i/>
          <w:w w:val="105"/>
          <w:sz w:val="18"/>
        </w:rPr>
        <w:t>–</w:t>
      </w:r>
      <w:r>
        <w:rPr>
          <w:i/>
          <w:spacing w:val="-26"/>
          <w:w w:val="105"/>
          <w:sz w:val="18"/>
        </w:rPr>
        <w:t> </w:t>
      </w:r>
      <w:r>
        <w:rPr>
          <w:i/>
          <w:sz w:val="18"/>
        </w:rPr>
        <w:t>Warm </w:t>
      </w:r>
      <w:r>
        <w:rPr>
          <w:i/>
          <w:sz w:val="18"/>
        </w:rPr>
        <w:t>shell</w:t>
      </w:r>
    </w:p>
    <w:p>
      <w:pPr>
        <w:pStyle w:val="BodyText"/>
        <w:rPr>
          <w:i/>
        </w:rPr>
      </w:pPr>
    </w:p>
    <w:p>
      <w:pPr>
        <w:pStyle w:val="BodyText"/>
        <w:spacing w:line="321" w:lineRule="auto" w:before="148"/>
        <w:ind w:left="782" w:right="235"/>
        <w:jc w:val="both"/>
      </w:pPr>
      <w:r>
        <w:rPr/>
        <w:t>Given the attributes such as location, connectivity, support infrastructure (residential &amp; social developments), planned infrastructure initiatives, strong investor and corporates interest, nature</w:t>
      </w:r>
      <w:r>
        <w:rPr>
          <w:spacing w:val="-37"/>
        </w:rPr>
        <w:t> </w:t>
      </w:r>
      <w:r>
        <w:rPr/>
        <w:t>of operations,</w:t>
      </w:r>
      <w:r>
        <w:rPr>
          <w:spacing w:val="-25"/>
        </w:rPr>
        <w:t> </w:t>
      </w:r>
      <w:r>
        <w:rPr/>
        <w:t>etc,</w:t>
      </w:r>
      <w:r>
        <w:rPr>
          <w:spacing w:val="-25"/>
        </w:rPr>
        <w:t> </w:t>
      </w:r>
      <w:r>
        <w:rPr/>
        <w:t>demand</w:t>
      </w:r>
      <w:r>
        <w:rPr>
          <w:spacing w:val="-25"/>
        </w:rPr>
        <w:t> </w:t>
      </w:r>
      <w:r>
        <w:rPr/>
        <w:t>for</w:t>
      </w:r>
      <w:r>
        <w:rPr>
          <w:spacing w:val="-25"/>
        </w:rPr>
        <w:t> </w:t>
      </w:r>
      <w:r>
        <w:rPr/>
        <w:t>commercial</w:t>
      </w:r>
      <w:r>
        <w:rPr>
          <w:spacing w:val="-25"/>
        </w:rPr>
        <w:t> </w:t>
      </w:r>
      <w:r>
        <w:rPr/>
        <w:t>real</w:t>
      </w:r>
      <w:r>
        <w:rPr>
          <w:spacing w:val="-25"/>
        </w:rPr>
        <w:t> </w:t>
      </w:r>
      <w:r>
        <w:rPr/>
        <w:t>estate</w:t>
      </w:r>
      <w:r>
        <w:rPr>
          <w:spacing w:val="-25"/>
        </w:rPr>
        <w:t> </w:t>
      </w:r>
      <w:r>
        <w:rPr/>
        <w:t>is</w:t>
      </w:r>
      <w:r>
        <w:rPr>
          <w:spacing w:val="-25"/>
        </w:rPr>
        <w:t> </w:t>
      </w:r>
      <w:r>
        <w:rPr/>
        <w:t>expected</w:t>
      </w:r>
      <w:r>
        <w:rPr>
          <w:spacing w:val="-24"/>
        </w:rPr>
        <w:t> </w:t>
      </w:r>
      <w:r>
        <w:rPr/>
        <w:t>to</w:t>
      </w:r>
      <w:r>
        <w:rPr>
          <w:spacing w:val="-24"/>
        </w:rPr>
        <w:t> </w:t>
      </w:r>
      <w:r>
        <w:rPr/>
        <w:t>remain</w:t>
      </w:r>
      <w:r>
        <w:rPr>
          <w:spacing w:val="-25"/>
        </w:rPr>
        <w:t> </w:t>
      </w:r>
      <w:r>
        <w:rPr/>
        <w:t>stable</w:t>
      </w:r>
      <w:r>
        <w:rPr>
          <w:spacing w:val="-25"/>
        </w:rPr>
        <w:t> </w:t>
      </w:r>
      <w:r>
        <w:rPr/>
        <w:t>in</w:t>
      </w:r>
      <w:r>
        <w:rPr>
          <w:spacing w:val="-26"/>
        </w:rPr>
        <w:t> </w:t>
      </w:r>
      <w:r>
        <w:rPr/>
        <w:t>the</w:t>
      </w:r>
      <w:r>
        <w:rPr>
          <w:spacing w:val="-25"/>
        </w:rPr>
        <w:t> </w:t>
      </w:r>
      <w:r>
        <w:rPr/>
        <w:t>Western</w:t>
      </w:r>
      <w:r>
        <w:rPr>
          <w:spacing w:val="-25"/>
        </w:rPr>
        <w:t> </w:t>
      </w:r>
      <w:r>
        <w:rPr/>
        <w:t>part</w:t>
      </w:r>
      <w:r>
        <w:rPr>
          <w:spacing w:val="-24"/>
        </w:rPr>
        <w:t> </w:t>
      </w:r>
      <w:r>
        <w:rPr/>
        <w:t>of Pune.</w:t>
      </w:r>
      <w:r>
        <w:rPr>
          <w:spacing w:val="-35"/>
        </w:rPr>
        <w:t> </w:t>
      </w:r>
      <w:r>
        <w:rPr/>
        <w:t>Further,</w:t>
      </w:r>
      <w:r>
        <w:rPr>
          <w:spacing w:val="-34"/>
        </w:rPr>
        <w:t> </w:t>
      </w:r>
      <w:r>
        <w:rPr/>
        <w:t>due</w:t>
      </w:r>
      <w:r>
        <w:rPr>
          <w:spacing w:val="-35"/>
        </w:rPr>
        <w:t> </w:t>
      </w:r>
      <w:r>
        <w:rPr/>
        <w:t>to</w:t>
      </w:r>
      <w:r>
        <w:rPr>
          <w:spacing w:val="-34"/>
        </w:rPr>
        <w:t> </w:t>
      </w:r>
      <w:r>
        <w:rPr/>
        <w:t>availability</w:t>
      </w:r>
      <w:r>
        <w:rPr>
          <w:spacing w:val="-34"/>
        </w:rPr>
        <w:t> </w:t>
      </w:r>
      <w:r>
        <w:rPr/>
        <w:t>of</w:t>
      </w:r>
      <w:r>
        <w:rPr>
          <w:spacing w:val="-34"/>
        </w:rPr>
        <w:t> </w:t>
      </w:r>
      <w:r>
        <w:rPr/>
        <w:t>larger</w:t>
      </w:r>
      <w:r>
        <w:rPr>
          <w:spacing w:val="-34"/>
        </w:rPr>
        <w:t> </w:t>
      </w:r>
      <w:r>
        <w:rPr/>
        <w:t>sized</w:t>
      </w:r>
      <w:r>
        <w:rPr>
          <w:spacing w:val="-34"/>
        </w:rPr>
        <w:t> </w:t>
      </w:r>
      <w:r>
        <w:rPr/>
        <w:t>land</w:t>
      </w:r>
      <w:r>
        <w:rPr>
          <w:spacing w:val="-34"/>
        </w:rPr>
        <w:t> </w:t>
      </w:r>
      <w:r>
        <w:rPr/>
        <w:t>parcels,</w:t>
      </w:r>
      <w:r>
        <w:rPr>
          <w:spacing w:val="-34"/>
        </w:rPr>
        <w:t> </w:t>
      </w:r>
      <w:r>
        <w:rPr/>
        <w:t>and</w:t>
      </w:r>
      <w:r>
        <w:rPr>
          <w:spacing w:val="-32"/>
        </w:rPr>
        <w:t> </w:t>
      </w:r>
      <w:r>
        <w:rPr/>
        <w:t>competitive</w:t>
      </w:r>
      <w:r>
        <w:rPr>
          <w:spacing w:val="-35"/>
        </w:rPr>
        <w:t> </w:t>
      </w:r>
      <w:r>
        <w:rPr/>
        <w:t>capital</w:t>
      </w:r>
      <w:r>
        <w:rPr>
          <w:spacing w:val="-34"/>
        </w:rPr>
        <w:t> </w:t>
      </w:r>
      <w:r>
        <w:rPr/>
        <w:t>and</w:t>
      </w:r>
      <w:r>
        <w:rPr>
          <w:spacing w:val="-33"/>
        </w:rPr>
        <w:t> </w:t>
      </w:r>
      <w:r>
        <w:rPr/>
        <w:t>rentals</w:t>
      </w:r>
      <w:r>
        <w:rPr>
          <w:spacing w:val="-34"/>
        </w:rPr>
        <w:t> </w:t>
      </w:r>
      <w:r>
        <w:rPr/>
        <w:t>values vis-à-vis</w:t>
      </w:r>
      <w:r>
        <w:rPr>
          <w:spacing w:val="-13"/>
        </w:rPr>
        <w:t> </w:t>
      </w:r>
      <w:r>
        <w:rPr/>
        <w:t>other</w:t>
      </w:r>
      <w:r>
        <w:rPr>
          <w:spacing w:val="-12"/>
        </w:rPr>
        <w:t> </w:t>
      </w:r>
      <w:r>
        <w:rPr/>
        <w:t>peripheral</w:t>
      </w:r>
      <w:r>
        <w:rPr>
          <w:spacing w:val="-15"/>
        </w:rPr>
        <w:t> </w:t>
      </w:r>
      <w:r>
        <w:rPr/>
        <w:t>locations</w:t>
      </w:r>
      <w:r>
        <w:rPr>
          <w:spacing w:val="-12"/>
        </w:rPr>
        <w:t> </w:t>
      </w:r>
      <w:r>
        <w:rPr/>
        <w:t>such</w:t>
      </w:r>
      <w:r>
        <w:rPr>
          <w:spacing w:val="-13"/>
        </w:rPr>
        <w:t> </w:t>
      </w:r>
      <w:r>
        <w:rPr/>
        <w:t>as</w:t>
      </w:r>
      <w:r>
        <w:rPr>
          <w:spacing w:val="-11"/>
        </w:rPr>
        <w:t> </w:t>
      </w:r>
      <w:r>
        <w:rPr/>
        <w:t>East</w:t>
      </w:r>
      <w:r>
        <w:rPr>
          <w:spacing w:val="-12"/>
        </w:rPr>
        <w:t> </w:t>
      </w:r>
      <w:r>
        <w:rPr/>
        <w:t>Pune,</w:t>
      </w:r>
      <w:r>
        <w:rPr>
          <w:spacing w:val="-12"/>
        </w:rPr>
        <w:t> </w:t>
      </w:r>
      <w:r>
        <w:rPr/>
        <w:t>sustained</w:t>
      </w:r>
      <w:r>
        <w:rPr>
          <w:spacing w:val="-12"/>
        </w:rPr>
        <w:t> </w:t>
      </w:r>
      <w:r>
        <w:rPr/>
        <w:t>occupier</w:t>
      </w:r>
      <w:r>
        <w:rPr>
          <w:spacing w:val="-13"/>
        </w:rPr>
        <w:t> </w:t>
      </w:r>
      <w:r>
        <w:rPr/>
        <w:t>interest</w:t>
      </w:r>
      <w:r>
        <w:rPr>
          <w:spacing w:val="-12"/>
        </w:rPr>
        <w:t> </w:t>
      </w:r>
      <w:r>
        <w:rPr/>
        <w:t>is</w:t>
      </w:r>
      <w:r>
        <w:rPr>
          <w:spacing w:val="-12"/>
        </w:rPr>
        <w:t> </w:t>
      </w:r>
      <w:r>
        <w:rPr/>
        <w:t>envisaged</w:t>
      </w:r>
      <w:r>
        <w:rPr>
          <w:spacing w:val="-11"/>
        </w:rPr>
        <w:t> </w:t>
      </w:r>
      <w:r>
        <w:rPr/>
        <w:t>for</w:t>
      </w:r>
      <w:r>
        <w:rPr>
          <w:spacing w:val="-13"/>
        </w:rPr>
        <w:t> </w:t>
      </w:r>
      <w:r>
        <w:rPr/>
        <w:t>the market.</w:t>
      </w:r>
      <w:r>
        <w:rPr>
          <w:spacing w:val="-23"/>
        </w:rPr>
        <w:t> </w:t>
      </w:r>
      <w:r>
        <w:rPr/>
        <w:t>A</w:t>
      </w:r>
      <w:r>
        <w:rPr>
          <w:spacing w:val="-22"/>
        </w:rPr>
        <w:t> </w:t>
      </w:r>
      <w:r>
        <w:rPr/>
        <w:t>stable</w:t>
      </w:r>
      <w:r>
        <w:rPr>
          <w:spacing w:val="-25"/>
        </w:rPr>
        <w:t> </w:t>
      </w:r>
      <w:r>
        <w:rPr/>
        <w:t>demand</w:t>
      </w:r>
      <w:r>
        <w:rPr>
          <w:spacing w:val="-24"/>
        </w:rPr>
        <w:t> </w:t>
      </w:r>
      <w:r>
        <w:rPr/>
        <w:t>pipeline</w:t>
      </w:r>
      <w:r>
        <w:rPr>
          <w:spacing w:val="-23"/>
        </w:rPr>
        <w:t> </w:t>
      </w:r>
      <w:r>
        <w:rPr/>
        <w:t>for</w:t>
      </w:r>
      <w:r>
        <w:rPr>
          <w:spacing w:val="-24"/>
        </w:rPr>
        <w:t> </w:t>
      </w:r>
      <w:r>
        <w:rPr/>
        <w:t>the</w:t>
      </w:r>
      <w:r>
        <w:rPr>
          <w:spacing w:val="-23"/>
        </w:rPr>
        <w:t> </w:t>
      </w:r>
      <w:r>
        <w:rPr/>
        <w:t>under</w:t>
      </w:r>
      <w:r>
        <w:rPr>
          <w:spacing w:val="-24"/>
        </w:rPr>
        <w:t> </w:t>
      </w:r>
      <w:r>
        <w:rPr/>
        <w:t>construction/land</w:t>
      </w:r>
      <w:r>
        <w:rPr>
          <w:spacing w:val="-22"/>
        </w:rPr>
        <w:t> </w:t>
      </w:r>
      <w:r>
        <w:rPr/>
        <w:t>stage</w:t>
      </w:r>
      <w:r>
        <w:rPr>
          <w:spacing w:val="-24"/>
        </w:rPr>
        <w:t> </w:t>
      </w:r>
      <w:r>
        <w:rPr/>
        <w:t>buildings</w:t>
      </w:r>
      <w:r>
        <w:rPr>
          <w:spacing w:val="-22"/>
        </w:rPr>
        <w:t> </w:t>
      </w:r>
      <w:r>
        <w:rPr/>
        <w:t>is</w:t>
      </w:r>
      <w:r>
        <w:rPr>
          <w:spacing w:val="-22"/>
        </w:rPr>
        <w:t> </w:t>
      </w:r>
      <w:r>
        <w:rPr/>
        <w:t>expected</w:t>
      </w:r>
      <w:r>
        <w:rPr>
          <w:spacing w:val="-22"/>
        </w:rPr>
        <w:t> </w:t>
      </w:r>
      <w:r>
        <w:rPr/>
        <w:t>and</w:t>
      </w:r>
      <w:r>
        <w:rPr>
          <w:spacing w:val="-23"/>
        </w:rPr>
        <w:t> </w:t>
      </w:r>
      <w:r>
        <w:rPr/>
        <w:t>thus rentals</w:t>
      </w:r>
      <w:r>
        <w:rPr>
          <w:spacing w:val="-24"/>
        </w:rPr>
        <w:t> </w:t>
      </w:r>
      <w:r>
        <w:rPr/>
        <w:t>will</w:t>
      </w:r>
      <w:r>
        <w:rPr>
          <w:spacing w:val="-25"/>
        </w:rPr>
        <w:t> </w:t>
      </w:r>
      <w:r>
        <w:rPr/>
        <w:t>continue</w:t>
      </w:r>
      <w:r>
        <w:rPr>
          <w:spacing w:val="-24"/>
        </w:rPr>
        <w:t> </w:t>
      </w:r>
      <w:r>
        <w:rPr/>
        <w:t>to</w:t>
      </w:r>
      <w:r>
        <w:rPr>
          <w:spacing w:val="-24"/>
        </w:rPr>
        <w:t> </w:t>
      </w:r>
      <w:r>
        <w:rPr/>
        <w:t>witness</w:t>
      </w:r>
      <w:r>
        <w:rPr>
          <w:spacing w:val="-25"/>
        </w:rPr>
        <w:t> </w:t>
      </w:r>
      <w:r>
        <w:rPr/>
        <w:t>stable</w:t>
      </w:r>
      <w:r>
        <w:rPr>
          <w:spacing w:val="-25"/>
        </w:rPr>
        <w:t> </w:t>
      </w:r>
      <w:r>
        <w:rPr/>
        <w:t>appreciation.</w:t>
      </w:r>
      <w:r>
        <w:rPr>
          <w:spacing w:val="-24"/>
        </w:rPr>
        <w:t> </w:t>
      </w:r>
      <w:r>
        <w:rPr/>
        <w:t>It</w:t>
      </w:r>
      <w:r>
        <w:rPr>
          <w:spacing w:val="-24"/>
        </w:rPr>
        <w:t> </w:t>
      </w:r>
      <w:r>
        <w:rPr/>
        <w:t>is</w:t>
      </w:r>
      <w:r>
        <w:rPr>
          <w:spacing w:val="-24"/>
        </w:rPr>
        <w:t> </w:t>
      </w:r>
      <w:r>
        <w:rPr/>
        <w:t>envisaged</w:t>
      </w:r>
      <w:r>
        <w:rPr>
          <w:spacing w:val="-23"/>
        </w:rPr>
        <w:t> </w:t>
      </w:r>
      <w:r>
        <w:rPr/>
        <w:t>that</w:t>
      </w:r>
      <w:r>
        <w:rPr>
          <w:spacing w:val="-25"/>
        </w:rPr>
        <w:t> </w:t>
      </w:r>
      <w:r>
        <w:rPr/>
        <w:t>prominent</w:t>
      </w:r>
      <w:r>
        <w:rPr>
          <w:spacing w:val="-25"/>
        </w:rPr>
        <w:t> </w:t>
      </w:r>
      <w:r>
        <w:rPr/>
        <w:t>tenants</w:t>
      </w:r>
      <w:r>
        <w:rPr>
          <w:spacing w:val="-23"/>
        </w:rPr>
        <w:t> </w:t>
      </w:r>
      <w:r>
        <w:rPr/>
        <w:t>are</w:t>
      </w:r>
      <w:r>
        <w:rPr>
          <w:spacing w:val="-24"/>
        </w:rPr>
        <w:t> </w:t>
      </w:r>
      <w:r>
        <w:rPr/>
        <w:t>likely</w:t>
      </w:r>
      <w:r>
        <w:rPr>
          <w:spacing w:val="-24"/>
        </w:rPr>
        <w:t> </w:t>
      </w:r>
      <w:r>
        <w:rPr/>
        <w:t>to continue their operations in West Pune micro-markets resulting in limited churn and range bound vacancy pressures over medium to long</w:t>
      </w:r>
      <w:r>
        <w:rPr>
          <w:spacing w:val="-20"/>
        </w:rPr>
        <w:t> </w:t>
      </w:r>
      <w:r>
        <w:rPr/>
        <w:t>term.</w:t>
      </w:r>
    </w:p>
    <w:p>
      <w:pPr>
        <w:spacing w:after="0" w:line="321" w:lineRule="auto"/>
        <w:jc w:val="both"/>
        <w:sectPr>
          <w:pgSz w:w="11910" w:h="16840"/>
          <w:pgMar w:header="720" w:footer="921" w:top="1660" w:bottom="1120" w:left="500" w:right="480"/>
        </w:sectPr>
      </w:pPr>
    </w:p>
    <w:p>
      <w:pPr>
        <w:pStyle w:val="BodyText"/>
        <w:spacing w:before="7"/>
        <w:rPr>
          <w:sz w:val="9"/>
        </w:rPr>
      </w:pPr>
    </w:p>
    <w:p>
      <w:pPr>
        <w:pStyle w:val="ListParagraph"/>
        <w:numPr>
          <w:ilvl w:val="1"/>
          <w:numId w:val="14"/>
        </w:numPr>
        <w:tabs>
          <w:tab w:pos="797" w:val="left" w:leader="none"/>
        </w:tabs>
        <w:spacing w:line="240" w:lineRule="auto" w:before="106" w:after="0"/>
        <w:ind w:left="796" w:right="0" w:hanging="577"/>
        <w:jc w:val="left"/>
        <w:rPr>
          <w:color w:val="1F6647"/>
          <w:sz w:val="22"/>
        </w:rPr>
      </w:pPr>
      <w:bookmarkStart w:name="_bookmark229" w:id="447"/>
      <w:bookmarkEnd w:id="447"/>
      <w:r>
        <w:rPr/>
      </w:r>
      <w:bookmarkStart w:name="_bookmark229" w:id="448"/>
      <w:bookmarkEnd w:id="448"/>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BodyText"/>
        <w:spacing w:before="3"/>
        <w:rPr>
          <w:sz w:val="28"/>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230" w:id="449"/>
      <w:bookmarkEnd w:id="449"/>
      <w:r>
        <w:rPr/>
      </w:r>
      <w:bookmarkStart w:name="_bookmark230" w:id="450"/>
      <w:bookmarkEnd w:id="450"/>
      <w:r>
        <w:rPr>
          <w:color w:val="1F664D"/>
          <w:w w:val="105"/>
          <w:sz w:val="22"/>
        </w:rPr>
        <w:t>A</w:t>
      </w:r>
      <w:r>
        <w:rPr>
          <w:color w:val="1F664D"/>
          <w:w w:val="105"/>
          <w:sz w:val="22"/>
        </w:rPr>
        <w:t>dopted</w:t>
      </w:r>
      <w:r>
        <w:rPr>
          <w:color w:val="1F664D"/>
          <w:spacing w:val="-3"/>
          <w:w w:val="105"/>
          <w:sz w:val="22"/>
        </w:rPr>
        <w:t> </w:t>
      </w:r>
      <w:r>
        <w:rPr>
          <w:color w:val="1F664D"/>
          <w:w w:val="105"/>
          <w:sz w:val="22"/>
        </w:rPr>
        <w:t>Methodology</w:t>
      </w:r>
    </w:p>
    <w:p>
      <w:pPr>
        <w:pStyle w:val="BodyText"/>
        <w:spacing w:line="321" w:lineRule="auto" w:before="208"/>
        <w:ind w:left="760" w:right="235"/>
        <w:jc w:val="both"/>
      </w:pPr>
      <w:r>
        <w:rPr/>
        <w:t>We</w:t>
      </w:r>
      <w:r>
        <w:rPr>
          <w:spacing w:val="-27"/>
        </w:rPr>
        <w:t> </w:t>
      </w:r>
      <w:r>
        <w:rPr/>
        <w:t>acknowledge</w:t>
      </w:r>
      <w:r>
        <w:rPr>
          <w:spacing w:val="-26"/>
        </w:rPr>
        <w:t> </w:t>
      </w:r>
      <w:r>
        <w:rPr/>
        <w:t>that</w:t>
      </w:r>
      <w:r>
        <w:rPr>
          <w:spacing w:val="-27"/>
        </w:rPr>
        <w:t> </w:t>
      </w:r>
      <w:r>
        <w:rPr/>
        <w:t>the</w:t>
      </w:r>
      <w:r>
        <w:rPr>
          <w:spacing w:val="-26"/>
        </w:rPr>
        <w:t> </w:t>
      </w:r>
      <w:r>
        <w:rPr/>
        <w:t>approaches</w:t>
      </w:r>
      <w:r>
        <w:rPr>
          <w:spacing w:val="-26"/>
        </w:rPr>
        <w:t> </w:t>
      </w:r>
      <w:r>
        <w:rPr/>
        <w:t>to</w:t>
      </w:r>
      <w:r>
        <w:rPr>
          <w:spacing w:val="-26"/>
        </w:rPr>
        <w:t> </w:t>
      </w:r>
      <w:r>
        <w:rPr/>
        <w:t>valuation</w:t>
      </w:r>
      <w:r>
        <w:rPr>
          <w:spacing w:val="-24"/>
        </w:rPr>
        <w:t> </w:t>
      </w:r>
      <w:r>
        <w:rPr/>
        <w:t>differ</w:t>
      </w:r>
      <w:r>
        <w:rPr>
          <w:spacing w:val="-26"/>
        </w:rPr>
        <w:t> </w:t>
      </w:r>
      <w:r>
        <w:rPr/>
        <w:t>considerably</w:t>
      </w:r>
      <w:r>
        <w:rPr>
          <w:spacing w:val="-26"/>
        </w:rPr>
        <w:t> </w:t>
      </w:r>
      <w:r>
        <w:rPr/>
        <w:t>and</w:t>
      </w:r>
      <w:r>
        <w:rPr>
          <w:spacing w:val="-27"/>
        </w:rPr>
        <w:t> </w:t>
      </w:r>
      <w:r>
        <w:rPr/>
        <w:t>that</w:t>
      </w:r>
      <w:r>
        <w:rPr>
          <w:spacing w:val="-26"/>
        </w:rPr>
        <w:t> </w:t>
      </w:r>
      <w:r>
        <w:rPr/>
        <w:t>for</w:t>
      </w:r>
      <w:r>
        <w:rPr>
          <w:spacing w:val="-26"/>
        </w:rPr>
        <w:t> </w:t>
      </w:r>
      <w:r>
        <w:rPr/>
        <w:t>a</w:t>
      </w:r>
      <w:r>
        <w:rPr>
          <w:spacing w:val="-27"/>
        </w:rPr>
        <w:t> </w:t>
      </w:r>
      <w:r>
        <w:rPr/>
        <w:t>particular</w:t>
      </w:r>
      <w:r>
        <w:rPr>
          <w:spacing w:val="-27"/>
        </w:rPr>
        <w:t> </w:t>
      </w:r>
      <w:r>
        <w:rPr/>
        <w:t>purpose, alternative</w:t>
      </w:r>
      <w:r>
        <w:rPr>
          <w:spacing w:val="-19"/>
        </w:rPr>
        <w:t> </w:t>
      </w:r>
      <w:r>
        <w:rPr/>
        <w:t>approaches</w:t>
      </w:r>
      <w:r>
        <w:rPr>
          <w:spacing w:val="-18"/>
        </w:rPr>
        <w:t> </w:t>
      </w:r>
      <w:r>
        <w:rPr/>
        <w:t>to</w:t>
      </w:r>
      <w:r>
        <w:rPr>
          <w:spacing w:val="-19"/>
        </w:rPr>
        <w:t> </w:t>
      </w:r>
      <w:r>
        <w:rPr/>
        <w:t>the</w:t>
      </w:r>
      <w:r>
        <w:rPr>
          <w:spacing w:val="-18"/>
        </w:rPr>
        <w:t> </w:t>
      </w:r>
      <w:r>
        <w:rPr/>
        <w:t>valuation</w:t>
      </w:r>
      <w:r>
        <w:rPr>
          <w:spacing w:val="-19"/>
        </w:rPr>
        <w:t> </w:t>
      </w:r>
      <w:r>
        <w:rPr/>
        <w:t>can</w:t>
      </w:r>
      <w:r>
        <w:rPr>
          <w:spacing w:val="-19"/>
        </w:rPr>
        <w:t> </w:t>
      </w:r>
      <w:r>
        <w:rPr/>
        <w:t>be</w:t>
      </w:r>
      <w:r>
        <w:rPr>
          <w:spacing w:val="-19"/>
        </w:rPr>
        <w:t> </w:t>
      </w:r>
      <w:r>
        <w:rPr/>
        <w:t>utilized</w:t>
      </w:r>
      <w:r>
        <w:rPr>
          <w:spacing w:val="-18"/>
        </w:rPr>
        <w:t> </w:t>
      </w:r>
      <w:r>
        <w:rPr/>
        <w:t>subject</w:t>
      </w:r>
      <w:r>
        <w:rPr>
          <w:spacing w:val="-18"/>
        </w:rPr>
        <w:t> </w:t>
      </w:r>
      <w:r>
        <w:rPr/>
        <w:t>to</w:t>
      </w:r>
      <w:r>
        <w:rPr>
          <w:spacing w:val="-19"/>
        </w:rPr>
        <w:t> </w:t>
      </w:r>
      <w:r>
        <w:rPr/>
        <w:t>the</w:t>
      </w:r>
      <w:r>
        <w:rPr>
          <w:spacing w:val="-18"/>
        </w:rPr>
        <w:t> </w:t>
      </w:r>
      <w:r>
        <w:rPr/>
        <w:t>Client’s</w:t>
      </w:r>
      <w:r>
        <w:rPr>
          <w:spacing w:val="-19"/>
        </w:rPr>
        <w:t> </w:t>
      </w:r>
      <w:r>
        <w:rPr/>
        <w:t>consultations</w:t>
      </w:r>
      <w:r>
        <w:rPr>
          <w:spacing w:val="-18"/>
        </w:rPr>
        <w:t> </w:t>
      </w:r>
      <w:r>
        <w:rPr/>
        <w:t>and</w:t>
      </w:r>
      <w:r>
        <w:rPr>
          <w:spacing w:val="-18"/>
        </w:rPr>
        <w:t> </w:t>
      </w:r>
      <w:r>
        <w:rPr/>
        <w:t>giving due</w:t>
      </w:r>
      <w:r>
        <w:rPr>
          <w:spacing w:val="-37"/>
        </w:rPr>
        <w:t> </w:t>
      </w:r>
      <w:r>
        <w:rPr/>
        <w:t>consideration</w:t>
      </w:r>
      <w:r>
        <w:rPr>
          <w:spacing w:val="-35"/>
        </w:rPr>
        <w:t> </w:t>
      </w:r>
      <w:r>
        <w:rPr/>
        <w:t>to</w:t>
      </w:r>
      <w:r>
        <w:rPr>
          <w:spacing w:val="-36"/>
        </w:rPr>
        <w:t> </w:t>
      </w:r>
      <w:r>
        <w:rPr/>
        <w:t>the</w:t>
      </w:r>
      <w:r>
        <w:rPr>
          <w:spacing w:val="-37"/>
        </w:rPr>
        <w:t> </w:t>
      </w:r>
      <w:r>
        <w:rPr/>
        <w:t>Client’s</w:t>
      </w:r>
      <w:r>
        <w:rPr>
          <w:spacing w:val="-36"/>
        </w:rPr>
        <w:t> </w:t>
      </w:r>
      <w:r>
        <w:rPr/>
        <w:t>requirements.</w:t>
      </w:r>
      <w:r>
        <w:rPr>
          <w:spacing w:val="-36"/>
        </w:rPr>
        <w:t> </w:t>
      </w:r>
      <w:r>
        <w:rPr/>
        <w:t>Considering</w:t>
      </w:r>
      <w:r>
        <w:rPr>
          <w:spacing w:val="-36"/>
        </w:rPr>
        <w:t> </w:t>
      </w:r>
      <w:r>
        <w:rPr/>
        <w:t>the</w:t>
      </w:r>
      <w:r>
        <w:rPr>
          <w:spacing w:val="-37"/>
        </w:rPr>
        <w:t> </w:t>
      </w:r>
      <w:r>
        <w:rPr/>
        <w:t>objective</w:t>
      </w:r>
      <w:r>
        <w:rPr>
          <w:spacing w:val="-36"/>
        </w:rPr>
        <w:t> </w:t>
      </w:r>
      <w:r>
        <w:rPr/>
        <w:t>of</w:t>
      </w:r>
      <w:r>
        <w:rPr>
          <w:spacing w:val="-36"/>
        </w:rPr>
        <w:t> </w:t>
      </w:r>
      <w:r>
        <w:rPr/>
        <w:t>this</w:t>
      </w:r>
      <w:r>
        <w:rPr>
          <w:spacing w:val="-36"/>
        </w:rPr>
        <w:t> </w:t>
      </w:r>
      <w:r>
        <w:rPr/>
        <w:t>exercise</w:t>
      </w:r>
      <w:r>
        <w:rPr>
          <w:spacing w:val="-36"/>
        </w:rPr>
        <w:t> </w:t>
      </w:r>
      <w:r>
        <w:rPr/>
        <w:t>and</w:t>
      </w:r>
      <w:r>
        <w:rPr>
          <w:spacing w:val="-36"/>
        </w:rPr>
        <w:t> </w:t>
      </w:r>
      <w:r>
        <w:rPr/>
        <w:t>the</w:t>
      </w:r>
      <w:r>
        <w:rPr>
          <w:spacing w:val="-36"/>
        </w:rPr>
        <w:t> </w:t>
      </w:r>
      <w:r>
        <w:rPr/>
        <w:t>nature of</w:t>
      </w:r>
      <w:r>
        <w:rPr>
          <w:spacing w:val="-34"/>
        </w:rPr>
        <w:t> </w:t>
      </w:r>
      <w:r>
        <w:rPr/>
        <w:t>asset</w:t>
      </w:r>
      <w:r>
        <w:rPr>
          <w:spacing w:val="-33"/>
        </w:rPr>
        <w:t> </w:t>
      </w:r>
      <w:r>
        <w:rPr/>
        <w:t>involved,</w:t>
      </w:r>
      <w:r>
        <w:rPr>
          <w:spacing w:val="-34"/>
        </w:rPr>
        <w:t> </w:t>
      </w:r>
      <w:r>
        <w:rPr/>
        <w:t>the</w:t>
      </w:r>
      <w:r>
        <w:rPr>
          <w:spacing w:val="-34"/>
        </w:rPr>
        <w:t> </w:t>
      </w:r>
      <w:r>
        <w:rPr/>
        <w:t>value</w:t>
      </w:r>
      <w:r>
        <w:rPr>
          <w:spacing w:val="-34"/>
        </w:rPr>
        <w:t> </w:t>
      </w:r>
      <w:r>
        <w:rPr/>
        <w:t>of</w:t>
      </w:r>
      <w:r>
        <w:rPr>
          <w:spacing w:val="-33"/>
        </w:rPr>
        <w:t> </w:t>
      </w:r>
      <w:r>
        <w:rPr/>
        <w:t>the</w:t>
      </w:r>
      <w:r>
        <w:rPr>
          <w:spacing w:val="-34"/>
        </w:rPr>
        <w:t> </w:t>
      </w:r>
      <w:r>
        <w:rPr/>
        <w:t>subject</w:t>
      </w:r>
      <w:r>
        <w:rPr>
          <w:spacing w:val="-34"/>
        </w:rPr>
        <w:t> </w:t>
      </w:r>
      <w:r>
        <w:rPr/>
        <w:t>property</w:t>
      </w:r>
      <w:r>
        <w:rPr>
          <w:spacing w:val="-34"/>
        </w:rPr>
        <w:t> </w:t>
      </w:r>
      <w:r>
        <w:rPr/>
        <w:t>has</w:t>
      </w:r>
      <w:r>
        <w:rPr>
          <w:spacing w:val="-33"/>
        </w:rPr>
        <w:t> </w:t>
      </w:r>
      <w:r>
        <w:rPr/>
        <w:t>been</w:t>
      </w:r>
      <w:r>
        <w:rPr>
          <w:spacing w:val="-34"/>
        </w:rPr>
        <w:t> </w:t>
      </w:r>
      <w:r>
        <w:rPr/>
        <w:t>assessed</w:t>
      </w:r>
      <w:r>
        <w:rPr>
          <w:spacing w:val="-33"/>
        </w:rPr>
        <w:t> </w:t>
      </w:r>
      <w:r>
        <w:rPr/>
        <w:t>through</w:t>
      </w:r>
      <w:r>
        <w:rPr>
          <w:spacing w:val="-34"/>
        </w:rPr>
        <w:t> </w:t>
      </w:r>
      <w:r>
        <w:rPr/>
        <w:t>the</w:t>
      </w:r>
      <w:r>
        <w:rPr>
          <w:spacing w:val="-35"/>
        </w:rPr>
        <w:t> </w:t>
      </w:r>
      <w:r>
        <w:rPr/>
        <w:t>following</w:t>
      </w:r>
      <w:r>
        <w:rPr>
          <w:spacing w:val="-33"/>
        </w:rPr>
        <w:t> </w:t>
      </w:r>
      <w:r>
        <w:rPr/>
        <w:t>approaches:</w:t>
      </w:r>
    </w:p>
    <w:p>
      <w:pPr>
        <w:pStyle w:val="BodyText"/>
        <w:spacing w:before="4"/>
        <w:rPr>
          <w:sz w:val="20"/>
        </w:rPr>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7"/>
        <w:gridCol w:w="6969"/>
      </w:tblGrid>
      <w:tr>
        <w:trPr>
          <w:trHeight w:val="393" w:hRule="atLeast"/>
        </w:trPr>
        <w:tc>
          <w:tcPr>
            <w:tcW w:w="10486" w:type="dxa"/>
            <w:gridSpan w:val="2"/>
            <w:tcBorders>
              <w:top w:val="single" w:sz="6" w:space="0" w:color="69BD28"/>
              <w:bottom w:val="single" w:sz="6" w:space="0" w:color="69BD28"/>
            </w:tcBorders>
            <w:shd w:val="clear" w:color="auto" w:fill="006A4D"/>
          </w:tcPr>
          <w:p>
            <w:pPr>
              <w:pStyle w:val="TableParagraph"/>
              <w:tabs>
                <w:tab w:pos="6198" w:val="left" w:leader="none"/>
              </w:tabs>
              <w:spacing w:before="92"/>
              <w:ind w:left="1279"/>
              <w:jc w:val="left"/>
              <w:rPr>
                <w:b/>
                <w:sz w:val="18"/>
              </w:rPr>
            </w:pPr>
            <w:r>
              <w:rPr>
                <w:b/>
                <w:color w:val="FFFFFF"/>
                <w:w w:val="105"/>
                <w:sz w:val="18"/>
              </w:rPr>
              <w:t>Particulars</w:t>
              <w:tab/>
              <w:t>Completed Blocks</w:t>
            </w:r>
          </w:p>
        </w:tc>
      </w:tr>
      <w:tr>
        <w:trPr>
          <w:trHeight w:val="458" w:hRule="atLeast"/>
        </w:trPr>
        <w:tc>
          <w:tcPr>
            <w:tcW w:w="3517" w:type="dxa"/>
            <w:shd w:val="clear" w:color="auto" w:fill="69BD28"/>
          </w:tcPr>
          <w:p>
            <w:pPr>
              <w:pStyle w:val="TableParagraph"/>
              <w:spacing w:before="126"/>
              <w:ind w:left="703"/>
              <w:jc w:val="left"/>
              <w:rPr>
                <w:b/>
                <w:sz w:val="18"/>
              </w:rPr>
            </w:pPr>
            <w:r>
              <w:rPr>
                <w:b/>
                <w:color w:val="FFFFFF"/>
                <w:w w:val="110"/>
                <w:sz w:val="18"/>
              </w:rPr>
              <w:t>Valuation Methodology</w:t>
            </w:r>
          </w:p>
        </w:tc>
        <w:tc>
          <w:tcPr>
            <w:tcW w:w="6969" w:type="dxa"/>
            <w:tcBorders>
              <w:top w:val="single" w:sz="6" w:space="0" w:color="69BD28"/>
              <w:bottom w:val="single" w:sz="6" w:space="0" w:color="69BD28"/>
            </w:tcBorders>
          </w:tcPr>
          <w:p>
            <w:pPr>
              <w:pStyle w:val="TableParagraph"/>
              <w:spacing w:before="126"/>
              <w:ind w:left="899" w:right="902"/>
              <w:rPr>
                <w:sz w:val="18"/>
              </w:rPr>
            </w:pPr>
            <w:r>
              <w:rPr>
                <w:sz w:val="18"/>
              </w:rPr>
              <w:t>Discounted Cash Flow Method (using rental reversion approach)</w:t>
            </w:r>
          </w:p>
        </w:tc>
      </w:tr>
    </w:tbl>
    <w:p>
      <w:pPr>
        <w:pStyle w:val="BodyText"/>
        <w:rPr>
          <w:sz w:val="21"/>
        </w:rPr>
      </w:pPr>
    </w:p>
    <w:p>
      <w:pPr>
        <w:pStyle w:val="BodyText"/>
        <w:spacing w:line="321" w:lineRule="auto"/>
        <w:ind w:left="760" w:right="235"/>
        <w:jc w:val="both"/>
      </w:pPr>
      <w:r>
        <w:rPr/>
        <w:t>The</w:t>
      </w:r>
      <w:r>
        <w:rPr>
          <w:spacing w:val="-23"/>
        </w:rPr>
        <w:t> </w:t>
      </w:r>
      <w:r>
        <w:rPr/>
        <w:t>sections</w:t>
      </w:r>
      <w:r>
        <w:rPr>
          <w:spacing w:val="-22"/>
        </w:rPr>
        <w:t> </w:t>
      </w:r>
      <w:r>
        <w:rPr/>
        <w:t>below</w:t>
      </w:r>
      <w:r>
        <w:rPr>
          <w:spacing w:val="-21"/>
        </w:rPr>
        <w:t> </w:t>
      </w:r>
      <w:r>
        <w:rPr/>
        <w:t>highlight</w:t>
      </w:r>
      <w:r>
        <w:rPr>
          <w:spacing w:val="-23"/>
        </w:rPr>
        <w:t> </w:t>
      </w:r>
      <w:r>
        <w:rPr/>
        <w:t>detailed</w:t>
      </w:r>
      <w:r>
        <w:rPr>
          <w:spacing w:val="-21"/>
        </w:rPr>
        <w:t> </w:t>
      </w:r>
      <w:r>
        <w:rPr/>
        <w:t>valuation</w:t>
      </w:r>
      <w:r>
        <w:rPr>
          <w:spacing w:val="-22"/>
        </w:rPr>
        <w:t> </w:t>
      </w:r>
      <w:r>
        <w:rPr/>
        <w:t>workings</w:t>
      </w:r>
      <w:r>
        <w:rPr>
          <w:spacing w:val="-21"/>
        </w:rPr>
        <w:t> </w:t>
      </w:r>
      <w:r>
        <w:rPr/>
        <w:t>for</w:t>
      </w:r>
      <w:r>
        <w:rPr>
          <w:spacing w:val="-22"/>
        </w:rPr>
        <w:t> </w:t>
      </w:r>
      <w:r>
        <w:rPr/>
        <w:t>the</w:t>
      </w:r>
      <w:r>
        <w:rPr>
          <w:spacing w:val="-20"/>
        </w:rPr>
        <w:t> </w:t>
      </w:r>
      <w:r>
        <w:rPr/>
        <w:t>subject</w:t>
      </w:r>
      <w:r>
        <w:rPr>
          <w:spacing w:val="-22"/>
        </w:rPr>
        <w:t> </w:t>
      </w:r>
      <w:r>
        <w:rPr/>
        <w:t>property.</w:t>
      </w:r>
      <w:r>
        <w:rPr>
          <w:spacing w:val="-22"/>
        </w:rPr>
        <w:t> </w:t>
      </w:r>
      <w:r>
        <w:rPr/>
        <w:t>Please</w:t>
      </w:r>
      <w:r>
        <w:rPr>
          <w:spacing w:val="-23"/>
        </w:rPr>
        <w:t> </w:t>
      </w:r>
      <w:r>
        <w:rPr/>
        <w:t>note</w:t>
      </w:r>
      <w:r>
        <w:rPr>
          <w:spacing w:val="-21"/>
        </w:rPr>
        <w:t> </w:t>
      </w:r>
      <w:r>
        <w:rPr/>
        <w:t>that</w:t>
      </w:r>
      <w:r>
        <w:rPr>
          <w:spacing w:val="-23"/>
        </w:rPr>
        <w:t> </w:t>
      </w:r>
      <w:r>
        <w:rPr/>
        <w:t>the assumptions/</w:t>
      </w:r>
      <w:r>
        <w:rPr>
          <w:spacing w:val="-30"/>
        </w:rPr>
        <w:t> </w:t>
      </w:r>
      <w:r>
        <w:rPr/>
        <w:t>opinions</w:t>
      </w:r>
      <w:r>
        <w:rPr>
          <w:spacing w:val="-28"/>
        </w:rPr>
        <w:t> </w:t>
      </w:r>
      <w:r>
        <w:rPr/>
        <w:t>highlighted</w:t>
      </w:r>
      <w:r>
        <w:rPr>
          <w:spacing w:val="-29"/>
        </w:rPr>
        <w:t> </w:t>
      </w:r>
      <w:r>
        <w:rPr/>
        <w:t>in</w:t>
      </w:r>
      <w:r>
        <w:rPr>
          <w:spacing w:val="-29"/>
        </w:rPr>
        <w:t> </w:t>
      </w:r>
      <w:r>
        <w:rPr/>
        <w:t>the</w:t>
      </w:r>
      <w:r>
        <w:rPr>
          <w:spacing w:val="-30"/>
        </w:rPr>
        <w:t> </w:t>
      </w:r>
      <w:r>
        <w:rPr/>
        <w:t>subsequent</w:t>
      </w:r>
      <w:r>
        <w:rPr>
          <w:spacing w:val="-28"/>
        </w:rPr>
        <w:t> </w:t>
      </w:r>
      <w:r>
        <w:rPr/>
        <w:t>sections</w:t>
      </w:r>
      <w:r>
        <w:rPr>
          <w:spacing w:val="-29"/>
        </w:rPr>
        <w:t> </w:t>
      </w:r>
      <w:r>
        <w:rPr/>
        <w:t>are</w:t>
      </w:r>
      <w:r>
        <w:rPr>
          <w:spacing w:val="-29"/>
        </w:rPr>
        <w:t> </w:t>
      </w:r>
      <w:r>
        <w:rPr/>
        <w:t>to</w:t>
      </w:r>
      <w:r>
        <w:rPr>
          <w:spacing w:val="-29"/>
        </w:rPr>
        <w:t> </w:t>
      </w:r>
      <w:r>
        <w:rPr/>
        <w:t>be</w:t>
      </w:r>
      <w:r>
        <w:rPr>
          <w:spacing w:val="-30"/>
        </w:rPr>
        <w:t> </w:t>
      </w:r>
      <w:r>
        <w:rPr/>
        <w:t>read</w:t>
      </w:r>
      <w:r>
        <w:rPr>
          <w:spacing w:val="-28"/>
        </w:rPr>
        <w:t> </w:t>
      </w:r>
      <w:r>
        <w:rPr/>
        <w:t>in</w:t>
      </w:r>
      <w:r>
        <w:rPr>
          <w:spacing w:val="-24"/>
        </w:rPr>
        <w:t> </w:t>
      </w:r>
      <w:r>
        <w:rPr/>
        <w:t>conjunction</w:t>
      </w:r>
      <w:r>
        <w:rPr>
          <w:spacing w:val="-30"/>
        </w:rPr>
        <w:t> </w:t>
      </w:r>
      <w:r>
        <w:rPr/>
        <w:t>with</w:t>
      </w:r>
      <w:r>
        <w:rPr>
          <w:spacing w:val="-29"/>
        </w:rPr>
        <w:t> </w:t>
      </w:r>
      <w:r>
        <w:rPr/>
        <w:t>Section</w:t>
      </w:r>
    </w:p>
    <w:p>
      <w:pPr>
        <w:pStyle w:val="BodyText"/>
        <w:spacing w:before="2"/>
        <w:ind w:left="760"/>
      </w:pPr>
      <w:r>
        <w:rPr/>
        <w:t>1.11 and the following:</w:t>
      </w:r>
    </w:p>
    <w:p>
      <w:pPr>
        <w:pStyle w:val="BodyText"/>
        <w:rPr>
          <w:sz w:val="28"/>
        </w:rPr>
      </w:pPr>
    </w:p>
    <w:p>
      <w:pPr>
        <w:spacing w:line="321" w:lineRule="auto" w:before="1"/>
        <w:ind w:left="760" w:right="23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spacing w:before="11"/>
        <w:rPr>
          <w:i/>
          <w:sz w:val="20"/>
        </w:rPr>
      </w:pPr>
    </w:p>
    <w:p>
      <w:pPr>
        <w:pStyle w:val="ListParagraph"/>
        <w:numPr>
          <w:ilvl w:val="0"/>
          <w:numId w:val="62"/>
        </w:numPr>
        <w:tabs>
          <w:tab w:pos="1665" w:val="left" w:leader="none"/>
          <w:tab w:pos="1666" w:val="left" w:leader="none"/>
        </w:tabs>
        <w:spacing w:line="240" w:lineRule="auto" w:before="0" w:after="0"/>
        <w:ind w:left="1665" w:right="0" w:hanging="361"/>
        <w:jc w:val="left"/>
        <w:rPr>
          <w:i/>
          <w:sz w:val="22"/>
        </w:rPr>
      </w:pPr>
      <w:r>
        <w:rPr>
          <w:i/>
          <w:sz w:val="22"/>
        </w:rPr>
        <w:t>Limited/</w:t>
      </w:r>
      <w:r>
        <w:rPr>
          <w:i/>
          <w:spacing w:val="-13"/>
          <w:sz w:val="22"/>
        </w:rPr>
        <w:t> </w:t>
      </w:r>
      <w:r>
        <w:rPr>
          <w:i/>
          <w:sz w:val="22"/>
        </w:rPr>
        <w:t>no</w:t>
      </w:r>
      <w:r>
        <w:rPr>
          <w:i/>
          <w:spacing w:val="-12"/>
          <w:sz w:val="22"/>
        </w:rPr>
        <w:t> </w:t>
      </w:r>
      <w:r>
        <w:rPr>
          <w:i/>
          <w:sz w:val="22"/>
        </w:rPr>
        <w:t>growth</w:t>
      </w:r>
      <w:r>
        <w:rPr>
          <w:i/>
          <w:spacing w:val="-14"/>
          <w:sz w:val="22"/>
        </w:rPr>
        <w:t> </w:t>
      </w:r>
      <w:r>
        <w:rPr>
          <w:i/>
          <w:sz w:val="22"/>
        </w:rPr>
        <w:t>in</w:t>
      </w:r>
      <w:r>
        <w:rPr>
          <w:i/>
          <w:spacing w:val="-15"/>
          <w:sz w:val="22"/>
        </w:rPr>
        <w:t> </w:t>
      </w:r>
      <w:r>
        <w:rPr>
          <w:i/>
          <w:sz w:val="22"/>
        </w:rPr>
        <w:t>rent</w:t>
      </w:r>
      <w:r>
        <w:rPr>
          <w:i/>
          <w:spacing w:val="-12"/>
          <w:sz w:val="22"/>
        </w:rPr>
        <w:t> </w:t>
      </w:r>
      <w:r>
        <w:rPr>
          <w:i/>
          <w:sz w:val="22"/>
        </w:rPr>
        <w:t>has</w:t>
      </w:r>
      <w:r>
        <w:rPr>
          <w:i/>
          <w:spacing w:val="-14"/>
          <w:sz w:val="22"/>
        </w:rPr>
        <w:t> </w:t>
      </w:r>
      <w:r>
        <w:rPr>
          <w:i/>
          <w:sz w:val="22"/>
        </w:rPr>
        <w:t>been</w:t>
      </w:r>
      <w:r>
        <w:rPr>
          <w:i/>
          <w:spacing w:val="-14"/>
          <w:sz w:val="22"/>
        </w:rPr>
        <w:t> </w:t>
      </w:r>
      <w:r>
        <w:rPr>
          <w:i/>
          <w:sz w:val="22"/>
        </w:rPr>
        <w:t>considered</w:t>
      </w:r>
      <w:r>
        <w:rPr>
          <w:i/>
          <w:spacing w:val="-13"/>
          <w:sz w:val="22"/>
        </w:rPr>
        <w:t> </w:t>
      </w:r>
      <w:r>
        <w:rPr>
          <w:i/>
          <w:sz w:val="22"/>
        </w:rPr>
        <w:t>over</w:t>
      </w:r>
      <w:r>
        <w:rPr>
          <w:i/>
          <w:spacing w:val="-12"/>
          <w:sz w:val="22"/>
        </w:rPr>
        <w:t> </w:t>
      </w:r>
      <w:r>
        <w:rPr>
          <w:i/>
          <w:sz w:val="22"/>
        </w:rPr>
        <w:t>the</w:t>
      </w:r>
      <w:r>
        <w:rPr>
          <w:i/>
          <w:spacing w:val="-13"/>
          <w:sz w:val="22"/>
        </w:rPr>
        <w:t> </w:t>
      </w:r>
      <w:r>
        <w:rPr>
          <w:i/>
          <w:sz w:val="22"/>
        </w:rPr>
        <w:t>next</w:t>
      </w:r>
      <w:r>
        <w:rPr>
          <w:i/>
          <w:spacing w:val="-15"/>
          <w:sz w:val="22"/>
        </w:rPr>
        <w:t> </w:t>
      </w:r>
      <w:r>
        <w:rPr>
          <w:i/>
          <w:sz w:val="22"/>
        </w:rPr>
        <w:t>few</w:t>
      </w:r>
      <w:r>
        <w:rPr>
          <w:i/>
          <w:spacing w:val="-14"/>
          <w:sz w:val="22"/>
        </w:rPr>
        <w:t> </w:t>
      </w:r>
      <w:r>
        <w:rPr>
          <w:i/>
          <w:sz w:val="22"/>
        </w:rPr>
        <w:t>quarters</w:t>
      </w:r>
    </w:p>
    <w:p>
      <w:pPr>
        <w:pStyle w:val="ListParagraph"/>
        <w:numPr>
          <w:ilvl w:val="0"/>
          <w:numId w:val="62"/>
        </w:numPr>
        <w:tabs>
          <w:tab w:pos="1665" w:val="left" w:leader="none"/>
          <w:tab w:pos="1666" w:val="left" w:leader="none"/>
        </w:tabs>
        <w:spacing w:line="268" w:lineRule="auto" w:before="28" w:after="0"/>
        <w:ind w:left="1665" w:right="232" w:hanging="360"/>
        <w:jc w:val="left"/>
        <w:rPr>
          <w:i/>
          <w:sz w:val="22"/>
        </w:rPr>
      </w:pPr>
      <w:r>
        <w:rPr>
          <w:i/>
          <w:sz w:val="22"/>
        </w:rPr>
        <w:t>Considering</w:t>
      </w:r>
      <w:r>
        <w:rPr>
          <w:i/>
          <w:spacing w:val="-44"/>
          <w:sz w:val="22"/>
        </w:rPr>
        <w:t> </w:t>
      </w:r>
      <w:r>
        <w:rPr>
          <w:i/>
          <w:sz w:val="22"/>
        </w:rPr>
        <w:t>challenges</w:t>
      </w:r>
      <w:r>
        <w:rPr>
          <w:i/>
          <w:spacing w:val="-42"/>
          <w:sz w:val="22"/>
        </w:rPr>
        <w:t> </w:t>
      </w:r>
      <w:r>
        <w:rPr>
          <w:i/>
          <w:sz w:val="22"/>
        </w:rPr>
        <w:t>in</w:t>
      </w:r>
      <w:r>
        <w:rPr>
          <w:i/>
          <w:spacing w:val="-43"/>
          <w:sz w:val="22"/>
        </w:rPr>
        <w:t> </w:t>
      </w:r>
      <w:r>
        <w:rPr>
          <w:i/>
          <w:sz w:val="22"/>
        </w:rPr>
        <w:t>the</w:t>
      </w:r>
      <w:r>
        <w:rPr>
          <w:i/>
          <w:spacing w:val="-42"/>
          <w:sz w:val="22"/>
        </w:rPr>
        <w:t> </w:t>
      </w:r>
      <w:r>
        <w:rPr>
          <w:i/>
          <w:sz w:val="22"/>
        </w:rPr>
        <w:t>short</w:t>
      </w:r>
      <w:r>
        <w:rPr>
          <w:i/>
          <w:spacing w:val="-43"/>
          <w:sz w:val="22"/>
        </w:rPr>
        <w:t> </w:t>
      </w:r>
      <w:r>
        <w:rPr>
          <w:i/>
          <w:sz w:val="22"/>
        </w:rPr>
        <w:t>term,</w:t>
      </w:r>
      <w:r>
        <w:rPr>
          <w:i/>
          <w:spacing w:val="-41"/>
          <w:sz w:val="22"/>
        </w:rPr>
        <w:t> </w:t>
      </w:r>
      <w:r>
        <w:rPr>
          <w:i/>
          <w:sz w:val="22"/>
        </w:rPr>
        <w:t>timelines</w:t>
      </w:r>
      <w:r>
        <w:rPr>
          <w:i/>
          <w:spacing w:val="-44"/>
          <w:sz w:val="22"/>
        </w:rPr>
        <w:t> </w:t>
      </w:r>
      <w:r>
        <w:rPr>
          <w:i/>
          <w:sz w:val="22"/>
        </w:rPr>
        <w:t>have</w:t>
      </w:r>
      <w:r>
        <w:rPr>
          <w:i/>
          <w:spacing w:val="-41"/>
          <w:sz w:val="22"/>
        </w:rPr>
        <w:t> </w:t>
      </w:r>
      <w:r>
        <w:rPr>
          <w:i/>
          <w:sz w:val="22"/>
        </w:rPr>
        <w:t>been</w:t>
      </w:r>
      <w:r>
        <w:rPr>
          <w:i/>
          <w:spacing w:val="-43"/>
          <w:sz w:val="22"/>
        </w:rPr>
        <w:t> </w:t>
      </w:r>
      <w:r>
        <w:rPr>
          <w:i/>
          <w:sz w:val="22"/>
        </w:rPr>
        <w:t>extended</w:t>
      </w:r>
      <w:r>
        <w:rPr>
          <w:i/>
          <w:spacing w:val="-42"/>
          <w:sz w:val="22"/>
        </w:rPr>
        <w:t> </w:t>
      </w:r>
      <w:r>
        <w:rPr>
          <w:i/>
          <w:sz w:val="22"/>
        </w:rPr>
        <w:t>for</w:t>
      </w:r>
      <w:r>
        <w:rPr>
          <w:i/>
          <w:spacing w:val="-43"/>
          <w:sz w:val="22"/>
        </w:rPr>
        <w:t> </w:t>
      </w:r>
      <w:r>
        <w:rPr>
          <w:i/>
          <w:sz w:val="22"/>
        </w:rPr>
        <w:t>new</w:t>
      </w:r>
      <w:r>
        <w:rPr>
          <w:i/>
          <w:spacing w:val="-42"/>
          <w:sz w:val="22"/>
        </w:rPr>
        <w:t> </w:t>
      </w:r>
      <w:r>
        <w:rPr>
          <w:i/>
          <w:sz w:val="22"/>
        </w:rPr>
        <w:t>space</w:t>
      </w:r>
      <w:r>
        <w:rPr>
          <w:i/>
          <w:spacing w:val="-43"/>
          <w:sz w:val="22"/>
        </w:rPr>
        <w:t> </w:t>
      </w:r>
      <w:r>
        <w:rPr>
          <w:i/>
          <w:sz w:val="22"/>
        </w:rPr>
        <w:t>take-up/ </w:t>
      </w:r>
      <w:r>
        <w:rPr>
          <w:i/>
          <w:sz w:val="22"/>
        </w:rPr>
        <w:t>future</w:t>
      </w:r>
      <w:r>
        <w:rPr>
          <w:i/>
          <w:spacing w:val="-3"/>
          <w:sz w:val="22"/>
        </w:rPr>
        <w:t> </w:t>
      </w:r>
      <w:r>
        <w:rPr>
          <w:i/>
          <w:sz w:val="22"/>
        </w:rPr>
        <w:t>leasing</w:t>
      </w:r>
    </w:p>
    <w:p>
      <w:pPr>
        <w:pStyle w:val="ListParagraph"/>
        <w:numPr>
          <w:ilvl w:val="0"/>
          <w:numId w:val="62"/>
        </w:numPr>
        <w:tabs>
          <w:tab w:pos="1665" w:val="left" w:leader="none"/>
          <w:tab w:pos="1666" w:val="left" w:leader="none"/>
        </w:tabs>
        <w:spacing w:line="266" w:lineRule="auto" w:before="0" w:after="0"/>
        <w:ind w:left="1665" w:right="231" w:hanging="360"/>
        <w:jc w:val="left"/>
        <w:rPr>
          <w:i/>
          <w:sz w:val="22"/>
        </w:rPr>
      </w:pPr>
      <w:r>
        <w:rPr>
          <w:i/>
          <w:sz w:val="22"/>
        </w:rPr>
        <w:t>Additional</w:t>
      </w:r>
      <w:r>
        <w:rPr>
          <w:i/>
          <w:spacing w:val="-28"/>
          <w:sz w:val="22"/>
        </w:rPr>
        <w:t> </w:t>
      </w:r>
      <w:r>
        <w:rPr>
          <w:i/>
          <w:sz w:val="22"/>
        </w:rPr>
        <w:t>fit-out</w:t>
      </w:r>
      <w:r>
        <w:rPr>
          <w:i/>
          <w:spacing w:val="-27"/>
          <w:sz w:val="22"/>
        </w:rPr>
        <w:t> </w:t>
      </w:r>
      <w:r>
        <w:rPr>
          <w:i/>
          <w:sz w:val="22"/>
        </w:rPr>
        <w:t>period/</w:t>
      </w:r>
      <w:r>
        <w:rPr>
          <w:i/>
          <w:spacing w:val="-27"/>
          <w:sz w:val="22"/>
        </w:rPr>
        <w:t> </w:t>
      </w:r>
      <w:r>
        <w:rPr>
          <w:i/>
          <w:sz w:val="22"/>
        </w:rPr>
        <w:t>rent</w:t>
      </w:r>
      <w:r>
        <w:rPr>
          <w:i/>
          <w:spacing w:val="-28"/>
          <w:sz w:val="22"/>
        </w:rPr>
        <w:t> </w:t>
      </w:r>
      <w:r>
        <w:rPr>
          <w:i/>
          <w:sz w:val="22"/>
        </w:rPr>
        <w:t>free</w:t>
      </w:r>
      <w:r>
        <w:rPr>
          <w:i/>
          <w:spacing w:val="-27"/>
          <w:sz w:val="22"/>
        </w:rPr>
        <w:t> </w:t>
      </w:r>
      <w:r>
        <w:rPr>
          <w:i/>
          <w:sz w:val="22"/>
        </w:rPr>
        <w:t>months</w:t>
      </w:r>
      <w:r>
        <w:rPr>
          <w:i/>
          <w:spacing w:val="-26"/>
          <w:sz w:val="22"/>
        </w:rPr>
        <w:t> </w:t>
      </w:r>
      <w:r>
        <w:rPr>
          <w:i/>
          <w:sz w:val="22"/>
        </w:rPr>
        <w:t>have</w:t>
      </w:r>
      <w:r>
        <w:rPr>
          <w:i/>
          <w:spacing w:val="-27"/>
          <w:sz w:val="22"/>
        </w:rPr>
        <w:t> </w:t>
      </w:r>
      <w:r>
        <w:rPr>
          <w:i/>
          <w:sz w:val="22"/>
        </w:rPr>
        <w:t>been</w:t>
      </w:r>
      <w:r>
        <w:rPr>
          <w:i/>
          <w:spacing w:val="-27"/>
          <w:sz w:val="22"/>
        </w:rPr>
        <w:t> </w:t>
      </w:r>
      <w:r>
        <w:rPr>
          <w:i/>
          <w:sz w:val="22"/>
        </w:rPr>
        <w:t>incorporated</w:t>
      </w:r>
      <w:r>
        <w:rPr>
          <w:i/>
          <w:spacing w:val="-28"/>
          <w:sz w:val="22"/>
        </w:rPr>
        <w:t> </w:t>
      </w:r>
      <w:r>
        <w:rPr>
          <w:i/>
          <w:sz w:val="22"/>
        </w:rPr>
        <w:t>where</w:t>
      </w:r>
      <w:r>
        <w:rPr>
          <w:i/>
          <w:spacing w:val="-27"/>
          <w:sz w:val="22"/>
        </w:rPr>
        <w:t> </w:t>
      </w:r>
      <w:r>
        <w:rPr>
          <w:i/>
          <w:sz w:val="22"/>
        </w:rPr>
        <w:t>fit-out</w:t>
      </w:r>
      <w:r>
        <w:rPr>
          <w:i/>
          <w:spacing w:val="-28"/>
          <w:sz w:val="22"/>
        </w:rPr>
        <w:t> </w:t>
      </w:r>
      <w:r>
        <w:rPr>
          <w:i/>
          <w:sz w:val="22"/>
        </w:rPr>
        <w:t>works</w:t>
      </w:r>
      <w:r>
        <w:rPr>
          <w:i/>
          <w:spacing w:val="-27"/>
          <w:sz w:val="22"/>
        </w:rPr>
        <w:t> </w:t>
      </w:r>
      <w:r>
        <w:rPr>
          <w:i/>
          <w:sz w:val="22"/>
        </w:rPr>
        <w:t>have </w:t>
      </w:r>
      <w:r>
        <w:rPr>
          <w:i/>
          <w:sz w:val="22"/>
        </w:rPr>
        <w:t>commenced”</w:t>
      </w:r>
    </w:p>
    <w:p>
      <w:pPr>
        <w:pStyle w:val="BodyText"/>
        <w:spacing w:before="8"/>
        <w:rPr>
          <w:i/>
          <w:sz w:val="20"/>
        </w:rPr>
      </w:pPr>
    </w:p>
    <w:p>
      <w:pPr>
        <w:pStyle w:val="ListParagraph"/>
        <w:numPr>
          <w:ilvl w:val="2"/>
          <w:numId w:val="14"/>
        </w:numPr>
        <w:tabs>
          <w:tab w:pos="941" w:val="left" w:leader="none"/>
        </w:tabs>
        <w:spacing w:line="240" w:lineRule="auto" w:before="1" w:after="0"/>
        <w:ind w:left="940" w:right="0" w:hanging="721"/>
        <w:jc w:val="left"/>
        <w:rPr>
          <w:sz w:val="22"/>
        </w:rPr>
      </w:pPr>
      <w:bookmarkStart w:name="_bookmark231" w:id="451"/>
      <w:bookmarkEnd w:id="451"/>
      <w:r>
        <w:rPr/>
      </w:r>
      <w:bookmarkStart w:name="_bookmark231" w:id="452"/>
      <w:bookmarkEnd w:id="452"/>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7"/>
        <w:ind w:left="786" w:right="239"/>
        <w:jc w:val="both"/>
      </w:pPr>
      <w:r>
        <w:rPr/>
        <w:t>Based on information/rent roll provided by the Client, we understand that subject property is a commercial</w:t>
      </w:r>
      <w:r>
        <w:rPr>
          <w:spacing w:val="-28"/>
        </w:rPr>
        <w:t> </w:t>
      </w:r>
      <w:r>
        <w:rPr/>
        <w:t>IT</w:t>
      </w:r>
      <w:r>
        <w:rPr>
          <w:spacing w:val="-27"/>
        </w:rPr>
        <w:t> </w:t>
      </w:r>
      <w:r>
        <w:rPr/>
        <w:t>SEZ</w:t>
      </w:r>
      <w:r>
        <w:rPr>
          <w:spacing w:val="-26"/>
        </w:rPr>
        <w:t> </w:t>
      </w:r>
      <w:r>
        <w:rPr/>
        <w:t>office</w:t>
      </w:r>
      <w:r>
        <w:rPr>
          <w:spacing w:val="-27"/>
        </w:rPr>
        <w:t> </w:t>
      </w:r>
      <w:r>
        <w:rPr/>
        <w:t>park.</w:t>
      </w:r>
      <w:r>
        <w:rPr>
          <w:spacing w:val="-27"/>
        </w:rPr>
        <w:t> </w:t>
      </w:r>
      <w:r>
        <w:rPr/>
        <w:t>Further,</w:t>
      </w:r>
      <w:r>
        <w:rPr>
          <w:spacing w:val="-27"/>
        </w:rPr>
        <w:t> </w:t>
      </w:r>
      <w:r>
        <w:rPr/>
        <w:t>the</w:t>
      </w:r>
      <w:r>
        <w:rPr>
          <w:spacing w:val="-28"/>
        </w:rPr>
        <w:t> </w:t>
      </w:r>
      <w:r>
        <w:rPr/>
        <w:t>table</w:t>
      </w:r>
      <w:r>
        <w:rPr>
          <w:spacing w:val="-27"/>
        </w:rPr>
        <w:t> </w:t>
      </w:r>
      <w:r>
        <w:rPr/>
        <w:t>below</w:t>
      </w:r>
      <w:r>
        <w:rPr>
          <w:spacing w:val="-27"/>
        </w:rPr>
        <w:t> </w:t>
      </w:r>
      <w:r>
        <w:rPr/>
        <w:t>highlights</w:t>
      </w:r>
      <w:r>
        <w:rPr>
          <w:spacing w:val="-27"/>
        </w:rPr>
        <w:t> </w:t>
      </w:r>
      <w:r>
        <w:rPr/>
        <w:t>the</w:t>
      </w:r>
      <w:r>
        <w:rPr>
          <w:spacing w:val="-27"/>
        </w:rPr>
        <w:t> </w:t>
      </w:r>
      <w:r>
        <w:rPr/>
        <w:t>area</w:t>
      </w:r>
      <w:r>
        <w:rPr>
          <w:spacing w:val="-26"/>
        </w:rPr>
        <w:t> </w:t>
      </w:r>
      <w:r>
        <w:rPr/>
        <w:t>configuration</w:t>
      </w:r>
      <w:r>
        <w:rPr>
          <w:spacing w:val="-28"/>
        </w:rPr>
        <w:t> </w:t>
      </w:r>
      <w:r>
        <w:rPr/>
        <w:t>of</w:t>
      </w:r>
      <w:r>
        <w:rPr>
          <w:spacing w:val="-27"/>
        </w:rPr>
        <w:t> </w:t>
      </w:r>
      <w:r>
        <w:rPr/>
        <w:t>the</w:t>
      </w:r>
      <w:r>
        <w:rPr>
          <w:spacing w:val="-27"/>
        </w:rPr>
        <w:t> </w:t>
      </w:r>
      <w:r>
        <w:rPr/>
        <w:t>subject property.</w:t>
      </w:r>
    </w:p>
    <w:p>
      <w:pPr>
        <w:pStyle w:val="BodyText"/>
        <w:spacing w:before="5"/>
      </w:pPr>
    </w:p>
    <w:tbl>
      <w:tblPr>
        <w:tblW w:w="0" w:type="auto"/>
        <w:jc w:val="left"/>
        <w:tblInd w:w="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93"/>
        <w:gridCol w:w="5593"/>
      </w:tblGrid>
      <w:tr>
        <w:trPr>
          <w:trHeight w:val="333" w:hRule="atLeast"/>
        </w:trPr>
        <w:tc>
          <w:tcPr>
            <w:tcW w:w="4893" w:type="dxa"/>
            <w:tcBorders>
              <w:bottom w:val="single" w:sz="4" w:space="0" w:color="92D050"/>
            </w:tcBorders>
            <w:shd w:val="clear" w:color="auto" w:fill="006A4D"/>
          </w:tcPr>
          <w:p>
            <w:pPr>
              <w:pStyle w:val="TableParagraph"/>
              <w:spacing w:before="32"/>
              <w:ind w:right="1810"/>
              <w:jc w:val="right"/>
              <w:rPr>
                <w:rFonts w:ascii="Verdana"/>
                <w:b/>
                <w:i/>
                <w:sz w:val="18"/>
              </w:rPr>
            </w:pPr>
            <w:r>
              <w:rPr>
                <w:rFonts w:ascii="Verdana"/>
                <w:b/>
                <w:i/>
                <w:color w:val="FFFFFF"/>
                <w:w w:val="77"/>
                <w:sz w:val="18"/>
              </w:rPr>
              <w:t>P</w:t>
            </w:r>
            <w:r>
              <w:rPr>
                <w:rFonts w:ascii="Verdana"/>
                <w:b/>
                <w:i/>
                <w:color w:val="FFFFFF"/>
                <w:w w:val="89"/>
                <w:sz w:val="18"/>
              </w:rPr>
              <w:t>a</w:t>
            </w:r>
            <w:r>
              <w:rPr>
                <w:rFonts w:ascii="Verdana"/>
                <w:b/>
                <w:i/>
                <w:color w:val="FFFFFF"/>
                <w:w w:val="79"/>
                <w:sz w:val="18"/>
              </w:rPr>
              <w:t>r</w:t>
            </w:r>
            <w:r>
              <w:rPr>
                <w:rFonts w:ascii="Verdana"/>
                <w:b/>
                <w:i/>
                <w:color w:val="FFFFFF"/>
                <w:spacing w:val="-1"/>
                <w:w w:val="74"/>
                <w:sz w:val="18"/>
              </w:rPr>
              <w:t>t</w:t>
            </w:r>
            <w:r>
              <w:rPr>
                <w:rFonts w:ascii="Verdana"/>
                <w:b/>
                <w:i/>
                <w:color w:val="FFFFFF"/>
                <w:w w:val="80"/>
                <w:sz w:val="18"/>
              </w:rPr>
              <w:t>i</w:t>
            </w:r>
            <w:r>
              <w:rPr>
                <w:rFonts w:ascii="Verdana"/>
                <w:b/>
                <w:i/>
                <w:color w:val="FFFFFF"/>
                <w:spacing w:val="1"/>
                <w:w w:val="80"/>
                <w:sz w:val="18"/>
              </w:rPr>
              <w:t>c</w:t>
            </w:r>
            <w:r>
              <w:rPr>
                <w:rFonts w:ascii="Verdana"/>
                <w:b/>
                <w:i/>
                <w:smallCaps/>
                <w:color w:val="FFFFFF"/>
                <w:spacing w:val="-1"/>
                <w:w w:val="93"/>
                <w:sz w:val="18"/>
              </w:rPr>
              <w:t>u</w:t>
            </w:r>
            <w:r>
              <w:rPr>
                <w:rFonts w:ascii="Verdana"/>
                <w:b/>
                <w:i/>
                <w:smallCaps w:val="0"/>
                <w:color w:val="FFFFFF"/>
                <w:w w:val="86"/>
                <w:sz w:val="18"/>
              </w:rPr>
              <w:t>la</w:t>
            </w:r>
            <w:r>
              <w:rPr>
                <w:rFonts w:ascii="Verdana"/>
                <w:b/>
                <w:i/>
                <w:smallCaps w:val="0"/>
                <w:color w:val="FFFFFF"/>
                <w:w w:val="79"/>
                <w:sz w:val="18"/>
              </w:rPr>
              <w:t>r</w:t>
            </w:r>
            <w:r>
              <w:rPr>
                <w:rFonts w:ascii="Verdana"/>
                <w:b/>
                <w:i/>
                <w:smallCaps w:val="0"/>
                <w:color w:val="FFFFFF"/>
                <w:w w:val="76"/>
                <w:sz w:val="18"/>
              </w:rPr>
              <w:t>s</w:t>
            </w:r>
          </w:p>
        </w:tc>
        <w:tc>
          <w:tcPr>
            <w:tcW w:w="5593" w:type="dxa"/>
            <w:tcBorders>
              <w:bottom w:val="single" w:sz="4" w:space="0" w:color="92D050"/>
            </w:tcBorders>
            <w:shd w:val="clear" w:color="auto" w:fill="006A4D"/>
          </w:tcPr>
          <w:p>
            <w:pPr>
              <w:pStyle w:val="TableParagraph"/>
              <w:spacing w:before="32"/>
              <w:ind w:left="1579" w:right="1228"/>
              <w:rPr>
                <w:rFonts w:ascii="Verdana"/>
                <w:b/>
                <w:i/>
                <w:sz w:val="18"/>
              </w:rPr>
            </w:pPr>
            <w:r>
              <w:rPr>
                <w:rFonts w:ascii="Verdana"/>
                <w:b/>
                <w:i/>
                <w:color w:val="FFFFFF"/>
                <w:w w:val="95"/>
                <w:sz w:val="18"/>
              </w:rPr>
              <w:t>Approx. leasable area (in sf)</w:t>
            </w:r>
          </w:p>
        </w:tc>
      </w:tr>
      <w:tr>
        <w:trPr>
          <w:trHeight w:val="304" w:hRule="atLeast"/>
        </w:trPr>
        <w:tc>
          <w:tcPr>
            <w:tcW w:w="4893" w:type="dxa"/>
            <w:tcBorders>
              <w:top w:val="single" w:sz="4" w:space="0" w:color="92D050"/>
              <w:bottom w:val="single" w:sz="4" w:space="0" w:color="92D050"/>
            </w:tcBorders>
          </w:tcPr>
          <w:p>
            <w:pPr>
              <w:pStyle w:val="TableParagraph"/>
              <w:spacing w:before="49"/>
              <w:ind w:right="1769"/>
              <w:jc w:val="right"/>
              <w:rPr>
                <w:sz w:val="18"/>
              </w:rPr>
            </w:pPr>
            <w:r>
              <w:rPr>
                <w:sz w:val="18"/>
              </w:rPr>
              <w:t>Building IT 1</w:t>
            </w:r>
          </w:p>
        </w:tc>
        <w:tc>
          <w:tcPr>
            <w:tcW w:w="5593" w:type="dxa"/>
            <w:tcBorders>
              <w:top w:val="single" w:sz="4" w:space="0" w:color="92D050"/>
              <w:bottom w:val="single" w:sz="4" w:space="0" w:color="92D050"/>
            </w:tcBorders>
          </w:tcPr>
          <w:p>
            <w:pPr>
              <w:pStyle w:val="TableParagraph"/>
              <w:spacing w:before="49"/>
              <w:ind w:left="1579" w:right="1227"/>
              <w:rPr>
                <w:sz w:val="18"/>
              </w:rPr>
            </w:pPr>
            <w:r>
              <w:rPr>
                <w:w w:val="110"/>
                <w:sz w:val="18"/>
              </w:rPr>
              <w:t>310,339</w:t>
            </w:r>
          </w:p>
        </w:tc>
      </w:tr>
      <w:tr>
        <w:trPr>
          <w:trHeight w:val="290" w:hRule="atLeast"/>
        </w:trPr>
        <w:tc>
          <w:tcPr>
            <w:tcW w:w="4893" w:type="dxa"/>
            <w:tcBorders>
              <w:top w:val="single" w:sz="4" w:space="0" w:color="92D050"/>
              <w:bottom w:val="single" w:sz="4" w:space="0" w:color="92D050"/>
            </w:tcBorders>
          </w:tcPr>
          <w:p>
            <w:pPr>
              <w:pStyle w:val="TableParagraph"/>
              <w:spacing w:before="42"/>
              <w:ind w:right="1769"/>
              <w:jc w:val="right"/>
              <w:rPr>
                <w:sz w:val="18"/>
              </w:rPr>
            </w:pPr>
            <w:r>
              <w:rPr>
                <w:sz w:val="18"/>
              </w:rPr>
              <w:t>Building IT 2</w:t>
            </w:r>
          </w:p>
        </w:tc>
        <w:tc>
          <w:tcPr>
            <w:tcW w:w="5593" w:type="dxa"/>
            <w:tcBorders>
              <w:top w:val="single" w:sz="4" w:space="0" w:color="92D050"/>
              <w:bottom w:val="single" w:sz="4" w:space="0" w:color="92D050"/>
            </w:tcBorders>
          </w:tcPr>
          <w:p>
            <w:pPr>
              <w:pStyle w:val="TableParagraph"/>
              <w:spacing w:before="42"/>
              <w:ind w:left="1579" w:right="1227"/>
              <w:rPr>
                <w:sz w:val="18"/>
              </w:rPr>
            </w:pPr>
            <w:r>
              <w:rPr>
                <w:w w:val="110"/>
                <w:sz w:val="18"/>
              </w:rPr>
              <w:t>143,500</w:t>
            </w:r>
          </w:p>
        </w:tc>
      </w:tr>
      <w:tr>
        <w:trPr>
          <w:trHeight w:val="292" w:hRule="atLeast"/>
        </w:trPr>
        <w:tc>
          <w:tcPr>
            <w:tcW w:w="4893" w:type="dxa"/>
            <w:tcBorders>
              <w:top w:val="single" w:sz="4" w:space="0" w:color="92D050"/>
              <w:bottom w:val="single" w:sz="4" w:space="0" w:color="92D050"/>
            </w:tcBorders>
          </w:tcPr>
          <w:p>
            <w:pPr>
              <w:pStyle w:val="TableParagraph"/>
              <w:spacing w:before="42"/>
              <w:ind w:right="1769"/>
              <w:jc w:val="right"/>
              <w:rPr>
                <w:sz w:val="18"/>
              </w:rPr>
            </w:pPr>
            <w:r>
              <w:rPr>
                <w:sz w:val="18"/>
              </w:rPr>
              <w:t>Building IT 3</w:t>
            </w:r>
          </w:p>
        </w:tc>
        <w:tc>
          <w:tcPr>
            <w:tcW w:w="5593" w:type="dxa"/>
            <w:tcBorders>
              <w:top w:val="single" w:sz="4" w:space="0" w:color="92D050"/>
              <w:bottom w:val="single" w:sz="4" w:space="0" w:color="92D050"/>
            </w:tcBorders>
          </w:tcPr>
          <w:p>
            <w:pPr>
              <w:pStyle w:val="TableParagraph"/>
              <w:spacing w:before="42"/>
              <w:ind w:left="1579" w:right="1227"/>
              <w:rPr>
                <w:sz w:val="18"/>
              </w:rPr>
            </w:pPr>
            <w:r>
              <w:rPr>
                <w:w w:val="110"/>
                <w:sz w:val="18"/>
              </w:rPr>
              <w:t>313,178</w:t>
            </w:r>
          </w:p>
        </w:tc>
      </w:tr>
      <w:tr>
        <w:trPr>
          <w:trHeight w:val="290" w:hRule="atLeast"/>
        </w:trPr>
        <w:tc>
          <w:tcPr>
            <w:tcW w:w="4893" w:type="dxa"/>
            <w:tcBorders>
              <w:top w:val="single" w:sz="4" w:space="0" w:color="92D050"/>
              <w:bottom w:val="single" w:sz="4" w:space="0" w:color="92D050"/>
            </w:tcBorders>
          </w:tcPr>
          <w:p>
            <w:pPr>
              <w:pStyle w:val="TableParagraph"/>
              <w:spacing w:before="42"/>
              <w:ind w:right="1769"/>
              <w:jc w:val="right"/>
              <w:rPr>
                <w:sz w:val="18"/>
              </w:rPr>
            </w:pPr>
            <w:r>
              <w:rPr>
                <w:sz w:val="18"/>
              </w:rPr>
              <w:t>Building IT 4</w:t>
            </w:r>
          </w:p>
        </w:tc>
        <w:tc>
          <w:tcPr>
            <w:tcW w:w="5593" w:type="dxa"/>
            <w:tcBorders>
              <w:top w:val="single" w:sz="4" w:space="0" w:color="92D050"/>
              <w:bottom w:val="single" w:sz="4" w:space="0" w:color="92D050"/>
            </w:tcBorders>
          </w:tcPr>
          <w:p>
            <w:pPr>
              <w:pStyle w:val="TableParagraph"/>
              <w:spacing w:before="42"/>
              <w:ind w:left="1579" w:right="1227"/>
              <w:rPr>
                <w:sz w:val="18"/>
              </w:rPr>
            </w:pPr>
            <w:r>
              <w:rPr>
                <w:w w:val="110"/>
                <w:sz w:val="18"/>
              </w:rPr>
              <w:t>213,524</w:t>
            </w:r>
          </w:p>
        </w:tc>
      </w:tr>
      <w:tr>
        <w:trPr>
          <w:trHeight w:val="292" w:hRule="atLeast"/>
        </w:trPr>
        <w:tc>
          <w:tcPr>
            <w:tcW w:w="4893" w:type="dxa"/>
            <w:tcBorders>
              <w:top w:val="single" w:sz="4" w:space="0" w:color="92D050"/>
              <w:bottom w:val="single" w:sz="4" w:space="0" w:color="92D050"/>
            </w:tcBorders>
          </w:tcPr>
          <w:p>
            <w:pPr>
              <w:pStyle w:val="TableParagraph"/>
              <w:spacing w:before="42"/>
              <w:ind w:right="1769"/>
              <w:jc w:val="right"/>
              <w:rPr>
                <w:sz w:val="18"/>
              </w:rPr>
            </w:pPr>
            <w:r>
              <w:rPr>
                <w:sz w:val="18"/>
              </w:rPr>
              <w:t>Building IT 5</w:t>
            </w:r>
          </w:p>
        </w:tc>
        <w:tc>
          <w:tcPr>
            <w:tcW w:w="5593" w:type="dxa"/>
            <w:tcBorders>
              <w:top w:val="single" w:sz="4" w:space="0" w:color="92D050"/>
              <w:bottom w:val="single" w:sz="4" w:space="0" w:color="92D050"/>
            </w:tcBorders>
          </w:tcPr>
          <w:p>
            <w:pPr>
              <w:pStyle w:val="TableParagraph"/>
              <w:spacing w:before="42"/>
              <w:ind w:left="1579" w:right="1227"/>
              <w:rPr>
                <w:sz w:val="18"/>
              </w:rPr>
            </w:pPr>
            <w:r>
              <w:rPr>
                <w:w w:val="110"/>
                <w:sz w:val="18"/>
              </w:rPr>
              <w:t>214,064</w:t>
            </w:r>
          </w:p>
        </w:tc>
      </w:tr>
      <w:tr>
        <w:trPr>
          <w:trHeight w:val="290" w:hRule="atLeast"/>
        </w:trPr>
        <w:tc>
          <w:tcPr>
            <w:tcW w:w="4893" w:type="dxa"/>
            <w:tcBorders>
              <w:top w:val="single" w:sz="4" w:space="0" w:color="92D050"/>
              <w:bottom w:val="single" w:sz="4" w:space="0" w:color="92D050"/>
            </w:tcBorders>
          </w:tcPr>
          <w:p>
            <w:pPr>
              <w:pStyle w:val="TableParagraph"/>
              <w:spacing w:before="39"/>
              <w:ind w:right="1769"/>
              <w:jc w:val="right"/>
              <w:rPr>
                <w:sz w:val="18"/>
              </w:rPr>
            </w:pPr>
            <w:r>
              <w:rPr>
                <w:sz w:val="18"/>
              </w:rPr>
              <w:t>Building IT 6</w:t>
            </w:r>
          </w:p>
        </w:tc>
        <w:tc>
          <w:tcPr>
            <w:tcW w:w="5593" w:type="dxa"/>
            <w:tcBorders>
              <w:top w:val="single" w:sz="4" w:space="0" w:color="92D050"/>
              <w:bottom w:val="single" w:sz="4" w:space="0" w:color="92D050"/>
            </w:tcBorders>
          </w:tcPr>
          <w:p>
            <w:pPr>
              <w:pStyle w:val="TableParagraph"/>
              <w:spacing w:before="39"/>
              <w:ind w:left="1579" w:right="1227"/>
              <w:rPr>
                <w:sz w:val="18"/>
              </w:rPr>
            </w:pPr>
            <w:r>
              <w:rPr>
                <w:w w:val="110"/>
                <w:sz w:val="18"/>
              </w:rPr>
              <w:t>255,889</w:t>
            </w:r>
          </w:p>
        </w:tc>
      </w:tr>
      <w:tr>
        <w:trPr>
          <w:trHeight w:val="292" w:hRule="atLeast"/>
        </w:trPr>
        <w:tc>
          <w:tcPr>
            <w:tcW w:w="4893" w:type="dxa"/>
            <w:tcBorders>
              <w:top w:val="single" w:sz="4" w:space="0" w:color="92D050"/>
              <w:bottom w:val="single" w:sz="4" w:space="0" w:color="92D050"/>
            </w:tcBorders>
          </w:tcPr>
          <w:p>
            <w:pPr>
              <w:pStyle w:val="TableParagraph"/>
              <w:spacing w:before="42"/>
              <w:ind w:left="2399" w:right="2033"/>
              <w:rPr>
                <w:sz w:val="18"/>
              </w:rPr>
            </w:pPr>
            <w:r>
              <w:rPr>
                <w:sz w:val="18"/>
              </w:rPr>
              <w:t>Total</w:t>
            </w:r>
          </w:p>
        </w:tc>
        <w:tc>
          <w:tcPr>
            <w:tcW w:w="5593" w:type="dxa"/>
            <w:tcBorders>
              <w:top w:val="single" w:sz="4" w:space="0" w:color="92D050"/>
              <w:bottom w:val="single" w:sz="4" w:space="0" w:color="92D050"/>
            </w:tcBorders>
          </w:tcPr>
          <w:p>
            <w:pPr>
              <w:pStyle w:val="TableParagraph"/>
              <w:spacing w:before="42"/>
              <w:ind w:left="1579" w:right="1224"/>
              <w:rPr>
                <w:sz w:val="18"/>
              </w:rPr>
            </w:pPr>
            <w:r>
              <w:rPr>
                <w:w w:val="105"/>
                <w:sz w:val="18"/>
              </w:rPr>
              <w:t>1,450,494</w:t>
            </w:r>
          </w:p>
        </w:tc>
      </w:tr>
      <w:tr>
        <w:trPr>
          <w:trHeight w:val="215" w:hRule="atLeast"/>
        </w:trPr>
        <w:tc>
          <w:tcPr>
            <w:tcW w:w="4893" w:type="dxa"/>
            <w:tcBorders>
              <w:top w:val="single" w:sz="4" w:space="0" w:color="92D050"/>
            </w:tcBorders>
          </w:tcPr>
          <w:p>
            <w:pPr>
              <w:pStyle w:val="TableParagraph"/>
              <w:spacing w:line="191" w:lineRule="exact" w:before="3"/>
              <w:ind w:left="14"/>
              <w:jc w:val="left"/>
              <w:rPr>
                <w:i/>
                <w:sz w:val="18"/>
              </w:rPr>
            </w:pPr>
            <w:r>
              <w:rPr>
                <w:i/>
                <w:sz w:val="18"/>
              </w:rPr>
              <w:t>Source: Rent roll provided by Client</w:t>
            </w:r>
          </w:p>
        </w:tc>
        <w:tc>
          <w:tcPr>
            <w:tcW w:w="5593" w:type="dxa"/>
            <w:tcBorders>
              <w:top w:val="single" w:sz="4" w:space="0" w:color="92D050"/>
            </w:tcBorders>
          </w:tcPr>
          <w:p>
            <w:pPr>
              <w:pStyle w:val="TableParagraph"/>
              <w:jc w:val="left"/>
              <w:rPr>
                <w:rFonts w:ascii="Times New Roman"/>
                <w:sz w:val="14"/>
              </w:rPr>
            </w:pPr>
          </w:p>
        </w:tc>
      </w:tr>
    </w:tbl>
    <w:p>
      <w:pPr>
        <w:spacing w:after="0"/>
        <w:jc w:val="left"/>
        <w:rPr>
          <w:rFonts w:ascii="Times New Roman"/>
          <w:sz w:val="14"/>
        </w:rPr>
        <w:sectPr>
          <w:pgSz w:w="11910" w:h="16840"/>
          <w:pgMar w:header="720" w:footer="921" w:top="1660" w:bottom="1120" w:left="500" w:right="480"/>
        </w:sectPr>
      </w:pPr>
    </w:p>
    <w:p>
      <w:pPr>
        <w:pStyle w:val="BodyText"/>
        <w:spacing w:before="7"/>
        <w:rPr>
          <w:sz w:val="9"/>
        </w:rPr>
      </w:pPr>
    </w:p>
    <w:p>
      <w:pPr>
        <w:pStyle w:val="ListParagraph"/>
        <w:numPr>
          <w:ilvl w:val="2"/>
          <w:numId w:val="14"/>
        </w:numPr>
        <w:tabs>
          <w:tab w:pos="941" w:val="left" w:leader="none"/>
        </w:tabs>
        <w:spacing w:line="240" w:lineRule="auto" w:before="106" w:after="0"/>
        <w:ind w:left="940" w:right="0" w:hanging="721"/>
        <w:jc w:val="left"/>
        <w:rPr>
          <w:sz w:val="22"/>
        </w:rPr>
      </w:pPr>
      <w:bookmarkStart w:name="_bookmark232" w:id="453"/>
      <w:bookmarkEnd w:id="453"/>
      <w:r>
        <w:rPr/>
      </w:r>
      <w:bookmarkStart w:name="_bookmark232" w:id="454"/>
      <w:bookmarkEnd w:id="454"/>
      <w:r>
        <w:rPr>
          <w:color w:val="1F664D"/>
          <w:sz w:val="22"/>
        </w:rPr>
        <w:t>Con</w:t>
      </w:r>
      <w:r>
        <w:rPr>
          <w:color w:val="1F664D"/>
          <w:sz w:val="22"/>
        </w:rPr>
        <w:t>struction Timelines</w:t>
      </w:r>
    </w:p>
    <w:p>
      <w:pPr>
        <w:pStyle w:val="BodyText"/>
        <w:spacing w:before="6"/>
        <w:rPr>
          <w:sz w:val="25"/>
        </w:rPr>
      </w:pPr>
    </w:p>
    <w:p>
      <w:pPr>
        <w:spacing w:before="1"/>
        <w:ind w:left="220" w:right="0" w:firstLine="0"/>
        <w:jc w:val="left"/>
        <w:rPr>
          <w:i/>
          <w:sz w:val="20"/>
        </w:rPr>
      </w:pPr>
      <w:r>
        <w:rPr>
          <w:i/>
          <w:color w:val="008000"/>
          <w:sz w:val="22"/>
        </w:rPr>
        <w:t>11.4.3.1 </w:t>
      </w:r>
      <w:r>
        <w:rPr>
          <w:i/>
          <w:color w:val="008000"/>
          <w:sz w:val="20"/>
        </w:rPr>
        <w:t>Completed Blocks</w:t>
      </w:r>
    </w:p>
    <w:p>
      <w:pPr>
        <w:pStyle w:val="BodyText"/>
        <w:spacing w:line="321" w:lineRule="auto" w:before="75"/>
        <w:ind w:left="786" w:right="237"/>
        <w:jc w:val="both"/>
      </w:pPr>
      <w:r>
        <w:rPr/>
        <w:t>As</w:t>
      </w:r>
      <w:r>
        <w:rPr>
          <w:spacing w:val="-28"/>
        </w:rPr>
        <w:t> </w:t>
      </w:r>
      <w:r>
        <w:rPr/>
        <w:t>highlighted</w:t>
      </w:r>
      <w:r>
        <w:rPr>
          <w:spacing w:val="-27"/>
        </w:rPr>
        <w:t> </w:t>
      </w:r>
      <w:r>
        <w:rPr/>
        <w:t>earlier,</w:t>
      </w:r>
      <w:r>
        <w:rPr>
          <w:spacing w:val="-28"/>
        </w:rPr>
        <w:t> </w:t>
      </w:r>
      <w:r>
        <w:rPr/>
        <w:t>the</w:t>
      </w:r>
      <w:r>
        <w:rPr>
          <w:spacing w:val="-28"/>
        </w:rPr>
        <w:t> </w:t>
      </w:r>
      <w:r>
        <w:rPr/>
        <w:t>subject</w:t>
      </w:r>
      <w:r>
        <w:rPr>
          <w:spacing w:val="-28"/>
        </w:rPr>
        <w:t> </w:t>
      </w:r>
      <w:r>
        <w:rPr/>
        <w:t>property</w:t>
      </w:r>
      <w:r>
        <w:rPr>
          <w:spacing w:val="-27"/>
        </w:rPr>
        <w:t> </w:t>
      </w:r>
      <w:r>
        <w:rPr/>
        <w:t>has</w:t>
      </w:r>
      <w:r>
        <w:rPr>
          <w:spacing w:val="-27"/>
        </w:rPr>
        <w:t> </w:t>
      </w:r>
      <w:r>
        <w:rPr/>
        <w:t>1.45</w:t>
      </w:r>
      <w:r>
        <w:rPr>
          <w:spacing w:val="-26"/>
        </w:rPr>
        <w:t> </w:t>
      </w:r>
      <w:r>
        <w:rPr/>
        <w:t>mn</w:t>
      </w:r>
      <w:r>
        <w:rPr>
          <w:spacing w:val="-29"/>
        </w:rPr>
        <w:t> </w:t>
      </w:r>
      <w:r>
        <w:rPr/>
        <w:t>sf</w:t>
      </w:r>
      <w:r>
        <w:rPr>
          <w:spacing w:val="-27"/>
        </w:rPr>
        <w:t> </w:t>
      </w:r>
      <w:r>
        <w:rPr/>
        <w:t>of</w:t>
      </w:r>
      <w:r>
        <w:rPr>
          <w:spacing w:val="-27"/>
        </w:rPr>
        <w:t> </w:t>
      </w:r>
      <w:r>
        <w:rPr/>
        <w:t>completed</w:t>
      </w:r>
      <w:r>
        <w:rPr>
          <w:spacing w:val="-28"/>
        </w:rPr>
        <w:t> </w:t>
      </w:r>
      <w:r>
        <w:rPr/>
        <w:t>office</w:t>
      </w:r>
      <w:r>
        <w:rPr>
          <w:spacing w:val="-28"/>
        </w:rPr>
        <w:t> </w:t>
      </w:r>
      <w:r>
        <w:rPr/>
        <w:t>park</w:t>
      </w:r>
      <w:r>
        <w:rPr>
          <w:spacing w:val="-28"/>
        </w:rPr>
        <w:t> </w:t>
      </w:r>
      <w:r>
        <w:rPr/>
        <w:t>and</w:t>
      </w:r>
      <w:r>
        <w:rPr>
          <w:spacing w:val="-28"/>
        </w:rPr>
        <w:t> </w:t>
      </w:r>
      <w:r>
        <w:rPr/>
        <w:t>no</w:t>
      </w:r>
      <w:r>
        <w:rPr>
          <w:spacing w:val="-28"/>
        </w:rPr>
        <w:t> </w:t>
      </w:r>
      <w:r>
        <w:rPr/>
        <w:t>pending</w:t>
      </w:r>
      <w:r>
        <w:rPr>
          <w:spacing w:val="-28"/>
        </w:rPr>
        <w:t> </w:t>
      </w:r>
      <w:r>
        <w:rPr/>
        <w:t>cost to</w:t>
      </w:r>
      <w:r>
        <w:rPr>
          <w:spacing w:val="-8"/>
        </w:rPr>
        <w:t> </w:t>
      </w:r>
      <w:r>
        <w:rPr/>
        <w:t>complete</w:t>
      </w:r>
      <w:r>
        <w:rPr>
          <w:spacing w:val="-7"/>
        </w:rPr>
        <w:t> </w:t>
      </w:r>
      <w:r>
        <w:rPr/>
        <w:t>is</w:t>
      </w:r>
      <w:r>
        <w:rPr>
          <w:spacing w:val="-7"/>
        </w:rPr>
        <w:t> </w:t>
      </w:r>
      <w:r>
        <w:rPr/>
        <w:t>remaining</w:t>
      </w:r>
      <w:r>
        <w:rPr>
          <w:spacing w:val="-8"/>
        </w:rPr>
        <w:t> </w:t>
      </w:r>
      <w:r>
        <w:rPr/>
        <w:t>as</w:t>
      </w:r>
      <w:r>
        <w:rPr>
          <w:spacing w:val="-7"/>
        </w:rPr>
        <w:t> </w:t>
      </w:r>
      <w:r>
        <w:rPr/>
        <w:t>of</w:t>
      </w:r>
      <w:r>
        <w:rPr>
          <w:spacing w:val="-6"/>
        </w:rPr>
        <w:t> </w:t>
      </w:r>
      <w:r>
        <w:rPr/>
        <w:t>date</w:t>
      </w:r>
      <w:r>
        <w:rPr>
          <w:spacing w:val="-8"/>
        </w:rPr>
        <w:t> </w:t>
      </w:r>
      <w:r>
        <w:rPr/>
        <w:t>of</w:t>
      </w:r>
      <w:r>
        <w:rPr>
          <w:spacing w:val="-6"/>
        </w:rPr>
        <w:t> </w:t>
      </w:r>
      <w:r>
        <w:rPr/>
        <w:t>valuation</w:t>
      </w:r>
      <w:r>
        <w:rPr>
          <w:spacing w:val="-9"/>
        </w:rPr>
        <w:t> </w:t>
      </w:r>
      <w:r>
        <w:rPr/>
        <w:t>for</w:t>
      </w:r>
      <w:r>
        <w:rPr>
          <w:spacing w:val="-7"/>
        </w:rPr>
        <w:t> </w:t>
      </w:r>
      <w:r>
        <w:rPr/>
        <w:t>the</w:t>
      </w:r>
      <w:r>
        <w:rPr>
          <w:spacing w:val="-8"/>
        </w:rPr>
        <w:t> </w:t>
      </w:r>
      <w:r>
        <w:rPr/>
        <w:t>completed</w:t>
      </w:r>
      <w:r>
        <w:rPr>
          <w:spacing w:val="-8"/>
        </w:rPr>
        <w:t> </w:t>
      </w:r>
      <w:r>
        <w:rPr/>
        <w:t>blocks.</w:t>
      </w:r>
    </w:p>
    <w:p>
      <w:pPr>
        <w:pStyle w:val="BodyText"/>
        <w:spacing w:before="7"/>
        <w:rPr>
          <w:sz w:val="2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233" w:id="455"/>
      <w:bookmarkEnd w:id="455"/>
      <w:r>
        <w:rPr/>
      </w:r>
      <w:bookmarkStart w:name="_bookmark233" w:id="456"/>
      <w:bookmarkEnd w:id="456"/>
      <w:r>
        <w:rPr>
          <w:color w:val="1F664D"/>
          <w:sz w:val="22"/>
        </w:rPr>
        <w:t>A</w:t>
      </w:r>
      <w:r>
        <w:rPr>
          <w:color w:val="1F664D"/>
          <w:sz w:val="22"/>
        </w:rPr>
        <w:t>bsorption/ Leasing Velocity and Occupancy</w:t>
      </w:r>
      <w:r>
        <w:rPr>
          <w:color w:val="1F664D"/>
          <w:spacing w:val="1"/>
          <w:sz w:val="22"/>
        </w:rPr>
        <w:t> </w:t>
      </w:r>
      <w:r>
        <w:rPr>
          <w:color w:val="1F664D"/>
          <w:sz w:val="22"/>
        </w:rPr>
        <w:t>Profile</w:t>
      </w:r>
    </w:p>
    <w:p>
      <w:pPr>
        <w:pStyle w:val="BodyText"/>
        <w:spacing w:before="7"/>
        <w:rPr>
          <w:sz w:val="25"/>
        </w:rPr>
      </w:pPr>
    </w:p>
    <w:p>
      <w:pPr>
        <w:spacing w:before="0"/>
        <w:ind w:left="220" w:right="0" w:firstLine="0"/>
        <w:jc w:val="both"/>
        <w:rPr>
          <w:i/>
          <w:sz w:val="20"/>
        </w:rPr>
      </w:pPr>
      <w:r>
        <w:rPr>
          <w:i/>
          <w:color w:val="008000"/>
          <w:sz w:val="22"/>
        </w:rPr>
        <w:t>11.4.4.1 </w:t>
      </w:r>
      <w:r>
        <w:rPr>
          <w:i/>
          <w:color w:val="008000"/>
          <w:sz w:val="20"/>
        </w:rPr>
        <w:t>Completed Blocks</w:t>
      </w:r>
    </w:p>
    <w:p>
      <w:pPr>
        <w:pStyle w:val="BodyText"/>
        <w:spacing w:line="321" w:lineRule="auto" w:before="135"/>
        <w:ind w:left="782" w:right="234"/>
        <w:jc w:val="both"/>
      </w:pPr>
      <w:r>
        <w:rPr/>
        <w:t>Based</w:t>
      </w:r>
      <w:r>
        <w:rPr>
          <w:spacing w:val="-15"/>
        </w:rPr>
        <w:t> </w:t>
      </w:r>
      <w:r>
        <w:rPr/>
        <w:t>on</w:t>
      </w:r>
      <w:r>
        <w:rPr>
          <w:spacing w:val="-15"/>
        </w:rPr>
        <w:t> </w:t>
      </w:r>
      <w:r>
        <w:rPr/>
        <w:t>the</w:t>
      </w:r>
      <w:r>
        <w:rPr>
          <w:spacing w:val="-15"/>
        </w:rPr>
        <w:t> </w:t>
      </w:r>
      <w:r>
        <w:rPr/>
        <w:t>rent</w:t>
      </w:r>
      <w:r>
        <w:rPr>
          <w:spacing w:val="-15"/>
        </w:rPr>
        <w:t> </w:t>
      </w:r>
      <w:r>
        <w:rPr/>
        <w:t>roll</w:t>
      </w:r>
      <w:r>
        <w:rPr>
          <w:spacing w:val="-14"/>
        </w:rPr>
        <w:t> </w:t>
      </w:r>
      <w:r>
        <w:rPr/>
        <w:t>provided</w:t>
      </w:r>
      <w:r>
        <w:rPr>
          <w:spacing w:val="-15"/>
        </w:rPr>
        <w:t> </w:t>
      </w:r>
      <w:r>
        <w:rPr/>
        <w:t>by</w:t>
      </w:r>
      <w:r>
        <w:rPr>
          <w:spacing w:val="-15"/>
        </w:rPr>
        <w:t> </w:t>
      </w:r>
      <w:r>
        <w:rPr/>
        <w:t>the</w:t>
      </w:r>
      <w:r>
        <w:rPr>
          <w:spacing w:val="-15"/>
        </w:rPr>
        <w:t> </w:t>
      </w:r>
      <w:r>
        <w:rPr/>
        <w:t>Client</w:t>
      </w:r>
      <w:r>
        <w:rPr>
          <w:spacing w:val="-15"/>
        </w:rPr>
        <w:t> </w:t>
      </w:r>
      <w:r>
        <w:rPr/>
        <w:t>and</w:t>
      </w:r>
      <w:r>
        <w:rPr>
          <w:spacing w:val="-15"/>
        </w:rPr>
        <w:t> </w:t>
      </w:r>
      <w:r>
        <w:rPr/>
        <w:t>visual</w:t>
      </w:r>
      <w:r>
        <w:rPr>
          <w:spacing w:val="-16"/>
        </w:rPr>
        <w:t> </w:t>
      </w:r>
      <w:r>
        <w:rPr/>
        <w:t>inspection</w:t>
      </w:r>
      <w:r>
        <w:rPr>
          <w:spacing w:val="-15"/>
        </w:rPr>
        <w:t> </w:t>
      </w:r>
      <w:r>
        <w:rPr/>
        <w:t>during</w:t>
      </w:r>
      <w:r>
        <w:rPr>
          <w:spacing w:val="-9"/>
        </w:rPr>
        <w:t> </w:t>
      </w:r>
      <w:r>
        <w:rPr/>
        <w:t>the</w:t>
      </w:r>
      <w:r>
        <w:rPr>
          <w:spacing w:val="-15"/>
        </w:rPr>
        <w:t> </w:t>
      </w:r>
      <w:r>
        <w:rPr/>
        <w:t>site</w:t>
      </w:r>
      <w:r>
        <w:rPr>
          <w:spacing w:val="-16"/>
        </w:rPr>
        <w:t> </w:t>
      </w:r>
      <w:r>
        <w:rPr/>
        <w:t>visit,</w:t>
      </w:r>
      <w:r>
        <w:rPr>
          <w:spacing w:val="-15"/>
        </w:rPr>
        <w:t> </w:t>
      </w:r>
      <w:r>
        <w:rPr/>
        <w:t>we</w:t>
      </w:r>
      <w:r>
        <w:rPr>
          <w:spacing w:val="-16"/>
        </w:rPr>
        <w:t> </w:t>
      </w:r>
      <w:r>
        <w:rPr/>
        <w:t>understand that the subject property is fully operational and there are no under-construction blocks. As per</w:t>
      </w:r>
      <w:r>
        <w:rPr>
          <w:spacing w:val="-45"/>
        </w:rPr>
        <w:t> </w:t>
      </w:r>
      <w:r>
        <w:rPr/>
        <w:t>the analysis</w:t>
      </w:r>
      <w:r>
        <w:rPr>
          <w:spacing w:val="-28"/>
        </w:rPr>
        <w:t> </w:t>
      </w:r>
      <w:r>
        <w:rPr/>
        <w:t>of</w:t>
      </w:r>
      <w:r>
        <w:rPr>
          <w:spacing w:val="-30"/>
        </w:rPr>
        <w:t> </w:t>
      </w:r>
      <w:r>
        <w:rPr/>
        <w:t>the</w:t>
      </w:r>
      <w:r>
        <w:rPr>
          <w:spacing w:val="-28"/>
        </w:rPr>
        <w:t> </w:t>
      </w:r>
      <w:r>
        <w:rPr/>
        <w:t>rent</w:t>
      </w:r>
      <w:r>
        <w:rPr>
          <w:spacing w:val="-29"/>
        </w:rPr>
        <w:t> </w:t>
      </w:r>
      <w:r>
        <w:rPr/>
        <w:t>roll,</w:t>
      </w:r>
      <w:r>
        <w:rPr>
          <w:spacing w:val="-28"/>
        </w:rPr>
        <w:t> </w:t>
      </w:r>
      <w:r>
        <w:rPr/>
        <w:t>it</w:t>
      </w:r>
      <w:r>
        <w:rPr>
          <w:spacing w:val="-28"/>
        </w:rPr>
        <w:t> </w:t>
      </w:r>
      <w:r>
        <w:rPr/>
        <w:t>was</w:t>
      </w:r>
      <w:r>
        <w:rPr>
          <w:spacing w:val="-27"/>
        </w:rPr>
        <w:t> </w:t>
      </w:r>
      <w:r>
        <w:rPr/>
        <w:t>observed</w:t>
      </w:r>
      <w:r>
        <w:rPr>
          <w:spacing w:val="-28"/>
        </w:rPr>
        <w:t> </w:t>
      </w:r>
      <w:r>
        <w:rPr/>
        <w:t>that</w:t>
      </w:r>
      <w:r>
        <w:rPr>
          <w:spacing w:val="-28"/>
        </w:rPr>
        <w:t> </w:t>
      </w:r>
      <w:r>
        <w:rPr/>
        <w:t>the</w:t>
      </w:r>
      <w:r>
        <w:rPr>
          <w:spacing w:val="-28"/>
        </w:rPr>
        <w:t> </w:t>
      </w:r>
      <w:r>
        <w:rPr/>
        <w:t>subject</w:t>
      </w:r>
      <w:r>
        <w:rPr>
          <w:spacing w:val="-29"/>
        </w:rPr>
        <w:t> </w:t>
      </w:r>
      <w:r>
        <w:rPr/>
        <w:t>development</w:t>
      </w:r>
      <w:r>
        <w:rPr>
          <w:spacing w:val="-28"/>
        </w:rPr>
        <w:t> </w:t>
      </w:r>
      <w:r>
        <w:rPr/>
        <w:t>has</w:t>
      </w:r>
      <w:r>
        <w:rPr>
          <w:spacing w:val="-28"/>
        </w:rPr>
        <w:t> </w:t>
      </w:r>
      <w:r>
        <w:rPr/>
        <w:t>negligible</w:t>
      </w:r>
      <w:r>
        <w:rPr>
          <w:spacing w:val="-29"/>
        </w:rPr>
        <w:t> </w:t>
      </w:r>
      <w:r>
        <w:rPr/>
        <w:t>vacancy</w:t>
      </w:r>
      <w:r>
        <w:rPr>
          <w:spacing w:val="-28"/>
        </w:rPr>
        <w:t> </w:t>
      </w:r>
      <w:r>
        <w:rPr/>
        <w:t>as</w:t>
      </w:r>
      <w:r>
        <w:rPr>
          <w:spacing w:val="-28"/>
        </w:rPr>
        <w:t> </w:t>
      </w:r>
      <w:r>
        <w:rPr/>
        <w:t>on</w:t>
      </w:r>
      <w:r>
        <w:rPr>
          <w:spacing w:val="-29"/>
        </w:rPr>
        <w:t> </w:t>
      </w:r>
      <w:r>
        <w:rPr/>
        <w:t>date of</w:t>
      </w:r>
      <w:r>
        <w:rPr>
          <w:spacing w:val="-2"/>
        </w:rPr>
        <w:t> </w:t>
      </w:r>
      <w:r>
        <w:rPr/>
        <w:t>valuation.</w:t>
      </w:r>
    </w:p>
    <w:p>
      <w:pPr>
        <w:pStyle w:val="BodyText"/>
        <w:spacing w:before="1"/>
        <w:rPr>
          <w:sz w:val="21"/>
        </w:rPr>
      </w:pPr>
    </w:p>
    <w:p>
      <w:pPr>
        <w:pStyle w:val="ListParagraph"/>
        <w:numPr>
          <w:ilvl w:val="2"/>
          <w:numId w:val="14"/>
        </w:numPr>
        <w:tabs>
          <w:tab w:pos="941" w:val="left" w:leader="none"/>
        </w:tabs>
        <w:spacing w:line="240" w:lineRule="auto" w:before="0" w:after="0"/>
        <w:ind w:left="940" w:right="0" w:hanging="721"/>
        <w:jc w:val="both"/>
        <w:rPr>
          <w:sz w:val="22"/>
        </w:rPr>
      </w:pPr>
      <w:bookmarkStart w:name="_bookmark234" w:id="457"/>
      <w:bookmarkEnd w:id="457"/>
      <w:r>
        <w:rPr/>
      </w:r>
      <w:bookmarkStart w:name="_bookmark234" w:id="458"/>
      <w:bookmarkEnd w:id="458"/>
      <w:r>
        <w:rPr>
          <w:color w:val="1F664D"/>
          <w:w w:val="105"/>
          <w:sz w:val="22"/>
        </w:rPr>
        <w:t>R</w:t>
      </w:r>
      <w:r>
        <w:rPr>
          <w:color w:val="1F664D"/>
          <w:w w:val="105"/>
          <w:sz w:val="22"/>
        </w:rPr>
        <w:t>evenue</w:t>
      </w:r>
      <w:r>
        <w:rPr>
          <w:color w:val="1F664D"/>
          <w:spacing w:val="-4"/>
          <w:w w:val="105"/>
          <w:sz w:val="22"/>
        </w:rPr>
        <w:t> </w:t>
      </w:r>
      <w:r>
        <w:rPr>
          <w:color w:val="1F664D"/>
          <w:w w:val="105"/>
          <w:sz w:val="22"/>
        </w:rPr>
        <w:t>Assumptions</w:t>
      </w:r>
    </w:p>
    <w:p>
      <w:pPr>
        <w:pStyle w:val="BodyText"/>
        <w:spacing w:before="4"/>
        <w:rPr>
          <w:sz w:val="25"/>
        </w:rPr>
      </w:pPr>
    </w:p>
    <w:p>
      <w:pPr>
        <w:pStyle w:val="ListParagraph"/>
        <w:numPr>
          <w:ilvl w:val="3"/>
          <w:numId w:val="63"/>
        </w:numPr>
        <w:tabs>
          <w:tab w:pos="1085" w:val="left" w:leader="none"/>
        </w:tabs>
        <w:spacing w:line="240" w:lineRule="auto" w:before="0" w:after="0"/>
        <w:ind w:left="1084" w:right="0" w:hanging="865"/>
        <w:jc w:val="both"/>
        <w:rPr>
          <w:i/>
          <w:sz w:val="20"/>
        </w:rPr>
      </w:pPr>
      <w:r>
        <w:rPr>
          <w:i/>
          <w:color w:val="008000"/>
          <w:sz w:val="20"/>
        </w:rPr>
        <w:t>Lease rent</w:t>
      </w:r>
      <w:r>
        <w:rPr>
          <w:i/>
          <w:color w:val="008000"/>
          <w:spacing w:val="-8"/>
          <w:sz w:val="20"/>
        </w:rPr>
        <w:t> </w:t>
      </w:r>
      <w:r>
        <w:rPr>
          <w:i/>
          <w:color w:val="008000"/>
          <w:sz w:val="20"/>
        </w:rPr>
        <w:t>assumptions</w:t>
      </w:r>
    </w:p>
    <w:p>
      <w:pPr>
        <w:pStyle w:val="BodyText"/>
        <w:rPr>
          <w:i/>
        </w:rPr>
      </w:pPr>
    </w:p>
    <w:p>
      <w:pPr>
        <w:pStyle w:val="BodyText"/>
        <w:spacing w:line="321" w:lineRule="auto"/>
        <w:ind w:left="782" w:right="236"/>
        <w:jc w:val="both"/>
      </w:pPr>
      <w:r>
        <w:rPr/>
        <w:t>For</w:t>
      </w:r>
      <w:r>
        <w:rPr>
          <w:spacing w:val="-24"/>
        </w:rPr>
        <w:t> </w:t>
      </w:r>
      <w:r>
        <w:rPr/>
        <w:t>the</w:t>
      </w:r>
      <w:r>
        <w:rPr>
          <w:spacing w:val="-23"/>
        </w:rPr>
        <w:t> </w:t>
      </w:r>
      <w:r>
        <w:rPr/>
        <w:t>purpose</w:t>
      </w:r>
      <w:r>
        <w:rPr>
          <w:spacing w:val="-23"/>
        </w:rPr>
        <w:t> </w:t>
      </w:r>
      <w:r>
        <w:rPr/>
        <w:t>of</w:t>
      </w:r>
      <w:r>
        <w:rPr>
          <w:spacing w:val="-23"/>
        </w:rPr>
        <w:t> </w:t>
      </w:r>
      <w:r>
        <w:rPr/>
        <w:t>this</w:t>
      </w:r>
      <w:r>
        <w:rPr>
          <w:spacing w:val="-22"/>
        </w:rPr>
        <w:t> </w:t>
      </w:r>
      <w:r>
        <w:rPr/>
        <w:t>appraisal</w:t>
      </w:r>
      <w:r>
        <w:rPr>
          <w:spacing w:val="-24"/>
        </w:rPr>
        <w:t> </w:t>
      </w:r>
      <w:r>
        <w:rPr/>
        <w:t>exercise,</w:t>
      </w:r>
      <w:r>
        <w:rPr>
          <w:spacing w:val="-23"/>
        </w:rPr>
        <w:t> </w:t>
      </w:r>
      <w:r>
        <w:rPr/>
        <w:t>the</w:t>
      </w:r>
      <w:r>
        <w:rPr>
          <w:spacing w:val="-23"/>
        </w:rPr>
        <w:t> </w:t>
      </w:r>
      <w:r>
        <w:rPr/>
        <w:t>lease</w:t>
      </w:r>
      <w:r>
        <w:rPr>
          <w:spacing w:val="-23"/>
        </w:rPr>
        <w:t> </w:t>
      </w:r>
      <w:r>
        <w:rPr/>
        <w:t>rental</w:t>
      </w:r>
      <w:r>
        <w:rPr>
          <w:spacing w:val="-24"/>
        </w:rPr>
        <w:t> </w:t>
      </w:r>
      <w:r>
        <w:rPr/>
        <w:t>adopted</w:t>
      </w:r>
      <w:r>
        <w:rPr>
          <w:spacing w:val="-23"/>
        </w:rPr>
        <w:t> </w:t>
      </w:r>
      <w:r>
        <w:rPr/>
        <w:t>for</w:t>
      </w:r>
      <w:r>
        <w:rPr>
          <w:spacing w:val="-23"/>
        </w:rPr>
        <w:t> </w:t>
      </w:r>
      <w:r>
        <w:rPr/>
        <w:t>the</w:t>
      </w:r>
      <w:r>
        <w:rPr>
          <w:spacing w:val="-25"/>
        </w:rPr>
        <w:t> </w:t>
      </w:r>
      <w:r>
        <w:rPr/>
        <w:t>area</w:t>
      </w:r>
      <w:r>
        <w:rPr>
          <w:spacing w:val="-23"/>
        </w:rPr>
        <w:t> </w:t>
      </w:r>
      <w:r>
        <w:rPr/>
        <w:t>already</w:t>
      </w:r>
      <w:r>
        <w:rPr>
          <w:spacing w:val="-23"/>
        </w:rPr>
        <w:t> </w:t>
      </w:r>
      <w:r>
        <w:rPr/>
        <w:t>leased</w:t>
      </w:r>
      <w:r>
        <w:rPr>
          <w:spacing w:val="-22"/>
        </w:rPr>
        <w:t> </w:t>
      </w:r>
      <w:r>
        <w:rPr/>
        <w:t>is</w:t>
      </w:r>
      <w:r>
        <w:rPr>
          <w:spacing w:val="-23"/>
        </w:rPr>
        <w:t> </w:t>
      </w:r>
      <w:r>
        <w:rPr/>
        <w:t>based on</w:t>
      </w:r>
      <w:r>
        <w:rPr>
          <w:spacing w:val="-14"/>
        </w:rPr>
        <w:t> </w:t>
      </w:r>
      <w:r>
        <w:rPr/>
        <w:t>the</w:t>
      </w:r>
      <w:r>
        <w:rPr>
          <w:spacing w:val="-14"/>
        </w:rPr>
        <w:t> </w:t>
      </w:r>
      <w:r>
        <w:rPr/>
        <w:t>rent</w:t>
      </w:r>
      <w:r>
        <w:rPr>
          <w:spacing w:val="-14"/>
        </w:rPr>
        <w:t> </w:t>
      </w:r>
      <w:r>
        <w:rPr/>
        <w:t>roll</w:t>
      </w:r>
      <w:r>
        <w:rPr>
          <w:spacing w:val="-13"/>
        </w:rPr>
        <w:t> </w:t>
      </w:r>
      <w:r>
        <w:rPr/>
        <w:t>shared</w:t>
      </w:r>
      <w:r>
        <w:rPr>
          <w:spacing w:val="-13"/>
        </w:rPr>
        <w:t> </w:t>
      </w:r>
      <w:r>
        <w:rPr/>
        <w:t>by</w:t>
      </w:r>
      <w:r>
        <w:rPr>
          <w:spacing w:val="-13"/>
        </w:rPr>
        <w:t> </w:t>
      </w:r>
      <w:r>
        <w:rPr/>
        <w:t>the</w:t>
      </w:r>
      <w:r>
        <w:rPr>
          <w:spacing w:val="-14"/>
        </w:rPr>
        <w:t> </w:t>
      </w:r>
      <w:r>
        <w:rPr/>
        <w:t>Client.</w:t>
      </w:r>
      <w:r>
        <w:rPr>
          <w:spacing w:val="-14"/>
        </w:rPr>
        <w:t> </w:t>
      </w:r>
      <w:r>
        <w:rPr/>
        <w:t>Further,</w:t>
      </w:r>
      <w:r>
        <w:rPr>
          <w:spacing w:val="-13"/>
        </w:rPr>
        <w:t> </w:t>
      </w:r>
      <w:r>
        <w:rPr/>
        <w:t>the</w:t>
      </w:r>
      <w:r>
        <w:rPr>
          <w:spacing w:val="-11"/>
        </w:rPr>
        <w:t> </w:t>
      </w:r>
      <w:r>
        <w:rPr/>
        <w:t>Valuer</w:t>
      </w:r>
      <w:r>
        <w:rPr>
          <w:spacing w:val="-12"/>
        </w:rPr>
        <w:t> </w:t>
      </w:r>
      <w:r>
        <w:rPr/>
        <w:t>has</w:t>
      </w:r>
      <w:r>
        <w:rPr>
          <w:spacing w:val="-13"/>
        </w:rPr>
        <w:t> </w:t>
      </w:r>
      <w:r>
        <w:rPr/>
        <w:t>undertaken</w:t>
      </w:r>
      <w:r>
        <w:rPr>
          <w:spacing w:val="-13"/>
        </w:rPr>
        <w:t> </w:t>
      </w:r>
      <w:r>
        <w:rPr/>
        <w:t>an</w:t>
      </w:r>
      <w:r>
        <w:rPr>
          <w:spacing w:val="-14"/>
        </w:rPr>
        <w:t> </w:t>
      </w:r>
      <w:r>
        <w:rPr/>
        <w:t>in-depth</w:t>
      </w:r>
      <w:r>
        <w:rPr>
          <w:spacing w:val="-13"/>
        </w:rPr>
        <w:t> </w:t>
      </w:r>
      <w:r>
        <w:rPr/>
        <w:t>market</w:t>
      </w:r>
      <w:r>
        <w:rPr>
          <w:spacing w:val="-13"/>
        </w:rPr>
        <w:t> </w:t>
      </w:r>
      <w:r>
        <w:rPr/>
        <w:t>research exercise</w:t>
      </w:r>
      <w:r>
        <w:rPr>
          <w:spacing w:val="-26"/>
        </w:rPr>
        <w:t> </w:t>
      </w:r>
      <w:r>
        <w:rPr/>
        <w:t>to</w:t>
      </w:r>
      <w:r>
        <w:rPr>
          <w:spacing w:val="-26"/>
        </w:rPr>
        <w:t> </w:t>
      </w:r>
      <w:r>
        <w:rPr/>
        <w:t>assess</w:t>
      </w:r>
      <w:r>
        <w:rPr>
          <w:spacing w:val="-26"/>
        </w:rPr>
        <w:t> </w:t>
      </w:r>
      <w:r>
        <w:rPr/>
        <w:t>the</w:t>
      </w:r>
      <w:r>
        <w:rPr>
          <w:spacing w:val="-26"/>
        </w:rPr>
        <w:t> </w:t>
      </w:r>
      <w:r>
        <w:rPr/>
        <w:t>prevailing</w:t>
      </w:r>
      <w:r>
        <w:rPr>
          <w:spacing w:val="-25"/>
        </w:rPr>
        <w:t> </w:t>
      </w:r>
      <w:r>
        <w:rPr/>
        <w:t>rental</w:t>
      </w:r>
      <w:r>
        <w:rPr>
          <w:spacing w:val="-25"/>
        </w:rPr>
        <w:t> </w:t>
      </w:r>
      <w:r>
        <w:rPr/>
        <w:t>values</w:t>
      </w:r>
      <w:r>
        <w:rPr>
          <w:spacing w:val="-25"/>
        </w:rPr>
        <w:t> </w:t>
      </w:r>
      <w:r>
        <w:rPr/>
        <w:t>in</w:t>
      </w:r>
      <w:r>
        <w:rPr>
          <w:spacing w:val="-26"/>
        </w:rPr>
        <w:t> </w:t>
      </w:r>
      <w:r>
        <w:rPr/>
        <w:t>the</w:t>
      </w:r>
      <w:r>
        <w:rPr>
          <w:spacing w:val="-26"/>
        </w:rPr>
        <w:t> </w:t>
      </w:r>
      <w:r>
        <w:rPr/>
        <w:t>subject</w:t>
      </w:r>
      <w:r>
        <w:rPr>
          <w:spacing w:val="-26"/>
        </w:rPr>
        <w:t> </w:t>
      </w:r>
      <w:r>
        <w:rPr/>
        <w:t>micro-market.</w:t>
      </w:r>
      <w:r>
        <w:rPr>
          <w:spacing w:val="-25"/>
        </w:rPr>
        <w:t> </w:t>
      </w:r>
      <w:r>
        <w:rPr/>
        <w:t>The</w:t>
      </w:r>
      <w:r>
        <w:rPr>
          <w:spacing w:val="-26"/>
        </w:rPr>
        <w:t> </w:t>
      </w:r>
      <w:r>
        <w:rPr/>
        <w:t>same</w:t>
      </w:r>
      <w:r>
        <w:rPr>
          <w:spacing w:val="-26"/>
        </w:rPr>
        <w:t> </w:t>
      </w:r>
      <w:r>
        <w:rPr/>
        <w:t>has</w:t>
      </w:r>
      <w:r>
        <w:rPr>
          <w:spacing w:val="-26"/>
        </w:rPr>
        <w:t> </w:t>
      </w:r>
      <w:r>
        <w:rPr/>
        <w:t>been</w:t>
      </w:r>
      <w:r>
        <w:rPr>
          <w:spacing w:val="-26"/>
        </w:rPr>
        <w:t> </w:t>
      </w:r>
      <w:r>
        <w:rPr/>
        <w:t>adopted for</w:t>
      </w:r>
      <w:r>
        <w:rPr>
          <w:spacing w:val="-7"/>
        </w:rPr>
        <w:t> </w:t>
      </w:r>
      <w:r>
        <w:rPr/>
        <w:t>the</w:t>
      </w:r>
      <w:r>
        <w:rPr>
          <w:spacing w:val="-7"/>
        </w:rPr>
        <w:t> </w:t>
      </w:r>
      <w:r>
        <w:rPr/>
        <w:t>vacant</w:t>
      </w:r>
      <w:r>
        <w:rPr>
          <w:spacing w:val="-6"/>
        </w:rPr>
        <w:t> </w:t>
      </w:r>
      <w:r>
        <w:rPr/>
        <w:t>space</w:t>
      </w:r>
      <w:r>
        <w:rPr>
          <w:spacing w:val="-7"/>
        </w:rPr>
        <w:t> </w:t>
      </w:r>
      <w:r>
        <w:rPr/>
        <w:t>for</w:t>
      </w:r>
      <w:r>
        <w:rPr>
          <w:spacing w:val="-7"/>
        </w:rPr>
        <w:t> </w:t>
      </w:r>
      <w:r>
        <w:rPr/>
        <w:t>the</w:t>
      </w:r>
      <w:r>
        <w:rPr>
          <w:spacing w:val="-7"/>
        </w:rPr>
        <w:t> </w:t>
      </w:r>
      <w:r>
        <w:rPr/>
        <w:t>purpose</w:t>
      </w:r>
      <w:r>
        <w:rPr>
          <w:spacing w:val="-7"/>
        </w:rPr>
        <w:t> </w:t>
      </w:r>
      <w:r>
        <w:rPr/>
        <w:t>of</w:t>
      </w:r>
      <w:r>
        <w:rPr>
          <w:spacing w:val="-8"/>
        </w:rPr>
        <w:t> </w:t>
      </w:r>
      <w:r>
        <w:rPr/>
        <w:t>this</w:t>
      </w:r>
      <w:r>
        <w:rPr>
          <w:spacing w:val="-5"/>
        </w:rPr>
        <w:t> </w:t>
      </w:r>
      <w:r>
        <w:rPr/>
        <w:t>valuation</w:t>
      </w:r>
      <w:r>
        <w:rPr>
          <w:spacing w:val="-8"/>
        </w:rPr>
        <w:t> </w:t>
      </w:r>
      <w:r>
        <w:rPr/>
        <w:t>exercise.</w:t>
      </w:r>
    </w:p>
    <w:p>
      <w:pPr>
        <w:pStyle w:val="BodyText"/>
        <w:rPr>
          <w:sz w:val="21"/>
        </w:rPr>
      </w:pPr>
    </w:p>
    <w:p>
      <w:pPr>
        <w:pStyle w:val="BodyText"/>
        <w:spacing w:line="321" w:lineRule="auto"/>
        <w:ind w:left="782" w:right="234"/>
        <w:jc w:val="both"/>
      </w:pPr>
      <w:r>
        <w:rPr/>
        <w:t>Based</w:t>
      </w:r>
      <w:r>
        <w:rPr>
          <w:spacing w:val="-12"/>
        </w:rPr>
        <w:t> </w:t>
      </w:r>
      <w:r>
        <w:rPr/>
        <w:t>on</w:t>
      </w:r>
      <w:r>
        <w:rPr>
          <w:spacing w:val="-11"/>
        </w:rPr>
        <w:t> </w:t>
      </w:r>
      <w:r>
        <w:rPr/>
        <w:t>our</w:t>
      </w:r>
      <w:r>
        <w:rPr>
          <w:spacing w:val="-11"/>
        </w:rPr>
        <w:t> </w:t>
      </w:r>
      <w:r>
        <w:rPr/>
        <w:t>market</w:t>
      </w:r>
      <w:r>
        <w:rPr>
          <w:spacing w:val="-10"/>
        </w:rPr>
        <w:t> </w:t>
      </w:r>
      <w:r>
        <w:rPr/>
        <w:t>study</w:t>
      </w:r>
      <w:r>
        <w:rPr>
          <w:spacing w:val="-10"/>
        </w:rPr>
        <w:t> </w:t>
      </w:r>
      <w:r>
        <w:rPr/>
        <w:t>and</w:t>
      </w:r>
      <w:r>
        <w:rPr>
          <w:spacing w:val="-10"/>
        </w:rPr>
        <w:t> </w:t>
      </w:r>
      <w:r>
        <w:rPr/>
        <w:t>based</w:t>
      </w:r>
      <w:r>
        <w:rPr>
          <w:spacing w:val="-10"/>
        </w:rPr>
        <w:t> </w:t>
      </w:r>
      <w:r>
        <w:rPr/>
        <w:t>on</w:t>
      </w:r>
      <w:r>
        <w:rPr>
          <w:spacing w:val="-13"/>
        </w:rPr>
        <w:t> </w:t>
      </w:r>
      <w:r>
        <w:rPr/>
        <w:t>the</w:t>
      </w:r>
      <w:r>
        <w:rPr>
          <w:spacing w:val="-11"/>
        </w:rPr>
        <w:t> </w:t>
      </w:r>
      <w:r>
        <w:rPr/>
        <w:t>analysis</w:t>
      </w:r>
      <w:r>
        <w:rPr>
          <w:spacing w:val="-12"/>
        </w:rPr>
        <w:t> </w:t>
      </w:r>
      <w:r>
        <w:rPr/>
        <w:t>of</w:t>
      </w:r>
      <w:r>
        <w:rPr>
          <w:spacing w:val="-10"/>
        </w:rPr>
        <w:t> </w:t>
      </w:r>
      <w:r>
        <w:rPr/>
        <w:t>the</w:t>
      </w:r>
      <w:r>
        <w:rPr>
          <w:spacing w:val="-11"/>
        </w:rPr>
        <w:t> </w:t>
      </w:r>
      <w:r>
        <w:rPr/>
        <w:t>rent</w:t>
      </w:r>
      <w:r>
        <w:rPr>
          <w:spacing w:val="-11"/>
        </w:rPr>
        <w:t> </w:t>
      </w:r>
      <w:r>
        <w:rPr/>
        <w:t>roll</w:t>
      </w:r>
      <w:r>
        <w:rPr>
          <w:spacing w:val="-11"/>
        </w:rPr>
        <w:t> </w:t>
      </w:r>
      <w:r>
        <w:rPr/>
        <w:t>provided</w:t>
      </w:r>
      <w:r>
        <w:rPr>
          <w:spacing w:val="-10"/>
        </w:rPr>
        <w:t> </w:t>
      </w:r>
      <w:r>
        <w:rPr/>
        <w:t>by</w:t>
      </w:r>
      <w:r>
        <w:rPr>
          <w:spacing w:val="-10"/>
        </w:rPr>
        <w:t> </w:t>
      </w:r>
      <w:r>
        <w:rPr/>
        <w:t>the</w:t>
      </w:r>
      <w:r>
        <w:rPr>
          <w:spacing w:val="-13"/>
        </w:rPr>
        <w:t> </w:t>
      </w:r>
      <w:r>
        <w:rPr/>
        <w:t>Client,</w:t>
      </w:r>
      <w:r>
        <w:rPr>
          <w:spacing w:val="-11"/>
        </w:rPr>
        <w:t> </w:t>
      </w:r>
      <w:r>
        <w:rPr/>
        <w:t>following rentals</w:t>
      </w:r>
      <w:r>
        <w:rPr>
          <w:spacing w:val="-12"/>
        </w:rPr>
        <w:t> </w:t>
      </w:r>
      <w:r>
        <w:rPr/>
        <w:t>have</w:t>
      </w:r>
      <w:r>
        <w:rPr>
          <w:spacing w:val="-12"/>
        </w:rPr>
        <w:t> </w:t>
      </w:r>
      <w:r>
        <w:rPr/>
        <w:t>been</w:t>
      </w:r>
      <w:r>
        <w:rPr>
          <w:spacing w:val="-13"/>
        </w:rPr>
        <w:t> </w:t>
      </w:r>
      <w:r>
        <w:rPr/>
        <w:t>adopted</w:t>
      </w:r>
      <w:r>
        <w:rPr>
          <w:spacing w:val="-11"/>
        </w:rPr>
        <w:t> </w:t>
      </w:r>
      <w:r>
        <w:rPr/>
        <w:t>for</w:t>
      </w:r>
      <w:r>
        <w:rPr>
          <w:spacing w:val="-13"/>
        </w:rPr>
        <w:t> </w:t>
      </w:r>
      <w:r>
        <w:rPr/>
        <w:t>the</w:t>
      </w:r>
      <w:r>
        <w:rPr>
          <w:spacing w:val="-13"/>
        </w:rPr>
        <w:t> </w:t>
      </w:r>
      <w:r>
        <w:rPr/>
        <w:t>purpose</w:t>
      </w:r>
      <w:r>
        <w:rPr>
          <w:spacing w:val="-12"/>
        </w:rPr>
        <w:t> </w:t>
      </w:r>
      <w:r>
        <w:rPr/>
        <w:t>of</w:t>
      </w:r>
      <w:r>
        <w:rPr>
          <w:spacing w:val="-11"/>
        </w:rPr>
        <w:t> </w:t>
      </w:r>
      <w:r>
        <w:rPr/>
        <w:t>value</w:t>
      </w:r>
      <w:r>
        <w:rPr>
          <w:spacing w:val="-12"/>
        </w:rPr>
        <w:t> </w:t>
      </w:r>
      <w:r>
        <w:rPr/>
        <w:t>assessment</w:t>
      </w:r>
      <w:r>
        <w:rPr>
          <w:spacing w:val="-12"/>
        </w:rPr>
        <w:t> </w:t>
      </w:r>
      <w:r>
        <w:rPr/>
        <w:t>of</w:t>
      </w:r>
      <w:r>
        <w:rPr>
          <w:spacing w:val="-12"/>
        </w:rPr>
        <w:t> </w:t>
      </w:r>
      <w:r>
        <w:rPr/>
        <w:t>the</w:t>
      </w:r>
      <w:r>
        <w:rPr>
          <w:spacing w:val="-14"/>
        </w:rPr>
        <w:t> </w:t>
      </w:r>
      <w:r>
        <w:rPr/>
        <w:t>subject</w:t>
      </w:r>
      <w:r>
        <w:rPr>
          <w:spacing w:val="-12"/>
        </w:rPr>
        <w:t> </w:t>
      </w:r>
      <w:r>
        <w:rPr/>
        <w:t>property.</w:t>
      </w:r>
    </w:p>
    <w:p>
      <w:pPr>
        <w:pStyle w:val="BodyText"/>
        <w:spacing w:before="5"/>
        <w:rPr>
          <w:sz w:val="20"/>
        </w:rPr>
      </w:pPr>
    </w:p>
    <w:tbl>
      <w:tblPr>
        <w:tblW w:w="0" w:type="auto"/>
        <w:jc w:val="left"/>
        <w:tblInd w:w="7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2"/>
        <w:gridCol w:w="2150"/>
        <w:gridCol w:w="1750"/>
        <w:gridCol w:w="2553"/>
        <w:gridCol w:w="1795"/>
      </w:tblGrid>
      <w:tr>
        <w:trPr>
          <w:trHeight w:val="431" w:hRule="atLeast"/>
        </w:trPr>
        <w:tc>
          <w:tcPr>
            <w:tcW w:w="1632" w:type="dxa"/>
            <w:tcBorders>
              <w:top w:val="single" w:sz="4" w:space="0" w:color="69BD28"/>
            </w:tcBorders>
            <w:shd w:val="clear" w:color="auto" w:fill="006A4D"/>
          </w:tcPr>
          <w:p>
            <w:pPr>
              <w:pStyle w:val="TableParagraph"/>
              <w:spacing w:before="111"/>
              <w:ind w:left="289" w:right="293"/>
              <w:rPr>
                <w:b/>
                <w:sz w:val="18"/>
              </w:rPr>
            </w:pPr>
            <w:r>
              <w:rPr>
                <w:b/>
                <w:color w:val="FFFFFF"/>
                <w:w w:val="105"/>
                <w:sz w:val="18"/>
              </w:rPr>
              <w:t>Component</w:t>
            </w:r>
          </w:p>
        </w:tc>
        <w:tc>
          <w:tcPr>
            <w:tcW w:w="2150" w:type="dxa"/>
            <w:tcBorders>
              <w:top w:val="single" w:sz="4" w:space="0" w:color="69BD28"/>
              <w:bottom w:val="single" w:sz="4" w:space="0" w:color="69BD28"/>
            </w:tcBorders>
            <w:shd w:val="clear" w:color="auto" w:fill="006A4D"/>
          </w:tcPr>
          <w:p>
            <w:pPr>
              <w:pStyle w:val="TableParagraph"/>
              <w:spacing w:before="111"/>
              <w:ind w:left="289" w:right="160"/>
              <w:rPr>
                <w:b/>
                <w:sz w:val="18"/>
              </w:rPr>
            </w:pPr>
            <w:r>
              <w:rPr>
                <w:b/>
                <w:color w:val="FFFFFF"/>
                <w:w w:val="110"/>
                <w:sz w:val="18"/>
              </w:rPr>
              <w:t>Leasable Area (sf)</w:t>
            </w:r>
          </w:p>
        </w:tc>
        <w:tc>
          <w:tcPr>
            <w:tcW w:w="1750" w:type="dxa"/>
            <w:tcBorders>
              <w:top w:val="single" w:sz="4" w:space="0" w:color="69BD28"/>
              <w:bottom w:val="single" w:sz="4" w:space="0" w:color="69BD28"/>
            </w:tcBorders>
            <w:shd w:val="clear" w:color="auto" w:fill="006A4D"/>
          </w:tcPr>
          <w:p>
            <w:pPr>
              <w:pStyle w:val="TableParagraph"/>
              <w:spacing w:before="111"/>
              <w:ind w:left="154" w:right="59"/>
              <w:rPr>
                <w:b/>
                <w:sz w:val="18"/>
              </w:rPr>
            </w:pPr>
            <w:r>
              <w:rPr>
                <w:b/>
                <w:color w:val="FFFFFF"/>
                <w:w w:val="110"/>
                <w:sz w:val="18"/>
              </w:rPr>
              <w:t>Leased Area (sf)</w:t>
            </w:r>
          </w:p>
        </w:tc>
        <w:tc>
          <w:tcPr>
            <w:tcW w:w="2553" w:type="dxa"/>
            <w:tcBorders>
              <w:top w:val="single" w:sz="4" w:space="0" w:color="69BD28"/>
              <w:bottom w:val="single" w:sz="4" w:space="0" w:color="69BD28"/>
            </w:tcBorders>
            <w:shd w:val="clear" w:color="auto" w:fill="006A4D"/>
          </w:tcPr>
          <w:p>
            <w:pPr>
              <w:pStyle w:val="TableParagraph"/>
              <w:spacing w:before="111"/>
              <w:ind w:left="59" w:right="105"/>
              <w:rPr>
                <w:b/>
                <w:sz w:val="18"/>
              </w:rPr>
            </w:pPr>
            <w:r>
              <w:rPr>
                <w:b/>
                <w:color w:val="FFFFFF"/>
                <w:w w:val="115"/>
                <w:sz w:val="18"/>
              </w:rPr>
              <w:t>Basis</w:t>
            </w:r>
          </w:p>
        </w:tc>
        <w:tc>
          <w:tcPr>
            <w:tcW w:w="1795" w:type="dxa"/>
            <w:tcBorders>
              <w:top w:val="single" w:sz="4" w:space="0" w:color="69BD28"/>
              <w:bottom w:val="single" w:sz="4" w:space="0" w:color="69BD28"/>
            </w:tcBorders>
            <w:shd w:val="clear" w:color="auto" w:fill="006A4D"/>
          </w:tcPr>
          <w:p>
            <w:pPr>
              <w:pStyle w:val="TableParagraph"/>
              <w:spacing w:before="3"/>
              <w:ind w:left="117" w:right="123"/>
              <w:rPr>
                <w:b/>
                <w:sz w:val="18"/>
              </w:rPr>
            </w:pPr>
            <w:r>
              <w:rPr>
                <w:b/>
                <w:color w:val="FFFFFF"/>
                <w:w w:val="110"/>
                <w:sz w:val="18"/>
              </w:rPr>
              <w:t>Rental Adopted*</w:t>
            </w:r>
          </w:p>
          <w:p>
            <w:pPr>
              <w:pStyle w:val="TableParagraph"/>
              <w:spacing w:line="192" w:lineRule="exact" w:before="7"/>
              <w:ind w:left="117" w:right="118"/>
              <w:rPr>
                <w:b/>
                <w:sz w:val="18"/>
              </w:rPr>
            </w:pPr>
            <w:r>
              <w:rPr>
                <w:b/>
                <w:color w:val="FFFFFF"/>
                <w:w w:val="110"/>
                <w:sz w:val="18"/>
              </w:rPr>
              <w:t>(INR psf pm)</w:t>
            </w:r>
          </w:p>
        </w:tc>
      </w:tr>
      <w:tr>
        <w:trPr>
          <w:trHeight w:val="277" w:hRule="atLeast"/>
        </w:trPr>
        <w:tc>
          <w:tcPr>
            <w:tcW w:w="1632" w:type="dxa"/>
            <w:shd w:val="clear" w:color="auto" w:fill="69BD28"/>
          </w:tcPr>
          <w:p>
            <w:pPr>
              <w:pStyle w:val="TableParagraph"/>
              <w:jc w:val="left"/>
              <w:rPr>
                <w:rFonts w:ascii="Times New Roman"/>
                <w:sz w:val="20"/>
              </w:rPr>
            </w:pPr>
          </w:p>
        </w:tc>
        <w:tc>
          <w:tcPr>
            <w:tcW w:w="2150" w:type="dxa"/>
            <w:tcBorders>
              <w:top w:val="single" w:sz="4" w:space="0" w:color="69BD28"/>
            </w:tcBorders>
          </w:tcPr>
          <w:p>
            <w:pPr>
              <w:pStyle w:val="TableParagraph"/>
              <w:jc w:val="left"/>
              <w:rPr>
                <w:rFonts w:ascii="Times New Roman"/>
                <w:sz w:val="20"/>
              </w:rPr>
            </w:pPr>
          </w:p>
        </w:tc>
        <w:tc>
          <w:tcPr>
            <w:tcW w:w="1750" w:type="dxa"/>
            <w:tcBorders>
              <w:top w:val="single" w:sz="4" w:space="0" w:color="69BD28"/>
            </w:tcBorders>
          </w:tcPr>
          <w:p>
            <w:pPr>
              <w:pStyle w:val="TableParagraph"/>
              <w:jc w:val="left"/>
              <w:rPr>
                <w:rFonts w:ascii="Times New Roman"/>
                <w:sz w:val="20"/>
              </w:rPr>
            </w:pPr>
          </w:p>
        </w:tc>
        <w:tc>
          <w:tcPr>
            <w:tcW w:w="2553" w:type="dxa"/>
            <w:tcBorders>
              <w:top w:val="single" w:sz="4" w:space="0" w:color="69BD28"/>
            </w:tcBorders>
          </w:tcPr>
          <w:p>
            <w:pPr>
              <w:pStyle w:val="TableParagraph"/>
              <w:spacing w:before="44"/>
              <w:ind w:left="59" w:right="105"/>
              <w:rPr>
                <w:sz w:val="18"/>
              </w:rPr>
            </w:pPr>
            <w:r>
              <w:rPr>
                <w:sz w:val="18"/>
              </w:rPr>
              <w:t>Current Rent for Leased area</w:t>
            </w:r>
          </w:p>
        </w:tc>
        <w:tc>
          <w:tcPr>
            <w:tcW w:w="1795" w:type="dxa"/>
            <w:tcBorders>
              <w:top w:val="single" w:sz="4" w:space="0" w:color="69BD28"/>
            </w:tcBorders>
          </w:tcPr>
          <w:p>
            <w:pPr>
              <w:pStyle w:val="TableParagraph"/>
              <w:spacing w:before="44"/>
              <w:ind w:left="117" w:right="121"/>
              <w:rPr>
                <w:sz w:val="18"/>
              </w:rPr>
            </w:pPr>
            <w:r>
              <w:rPr>
                <w:w w:val="125"/>
                <w:sz w:val="18"/>
              </w:rPr>
              <w:t>38.9^</w:t>
            </w:r>
          </w:p>
        </w:tc>
      </w:tr>
      <w:tr>
        <w:trPr>
          <w:trHeight w:val="540" w:hRule="atLeast"/>
        </w:trPr>
        <w:tc>
          <w:tcPr>
            <w:tcW w:w="1632" w:type="dxa"/>
            <w:shd w:val="clear" w:color="auto" w:fill="69BD28"/>
          </w:tcPr>
          <w:p>
            <w:pPr>
              <w:pStyle w:val="TableParagraph"/>
              <w:spacing w:before="26"/>
              <w:ind w:left="285" w:right="293"/>
              <w:rPr>
                <w:b/>
                <w:sz w:val="18"/>
              </w:rPr>
            </w:pPr>
            <w:r>
              <w:rPr>
                <w:b/>
                <w:color w:val="FFFFFF"/>
                <w:w w:val="105"/>
                <w:sz w:val="18"/>
              </w:rPr>
              <w:t>Office</w:t>
            </w:r>
          </w:p>
        </w:tc>
        <w:tc>
          <w:tcPr>
            <w:tcW w:w="2150" w:type="dxa"/>
            <w:tcBorders>
              <w:bottom w:val="single" w:sz="4" w:space="0" w:color="92D050"/>
            </w:tcBorders>
          </w:tcPr>
          <w:p>
            <w:pPr>
              <w:pStyle w:val="TableParagraph"/>
              <w:spacing w:before="28"/>
              <w:ind w:left="289" w:right="160"/>
              <w:rPr>
                <w:sz w:val="18"/>
              </w:rPr>
            </w:pPr>
            <w:r>
              <w:rPr>
                <w:w w:val="105"/>
                <w:sz w:val="18"/>
              </w:rPr>
              <w:t>1,450,494</w:t>
            </w:r>
          </w:p>
        </w:tc>
        <w:tc>
          <w:tcPr>
            <w:tcW w:w="1750" w:type="dxa"/>
            <w:tcBorders>
              <w:bottom w:val="single" w:sz="4" w:space="0" w:color="92D050"/>
            </w:tcBorders>
          </w:tcPr>
          <w:p>
            <w:pPr>
              <w:pStyle w:val="TableParagraph"/>
              <w:spacing w:before="28"/>
              <w:ind w:left="152" w:right="59"/>
              <w:rPr>
                <w:sz w:val="18"/>
              </w:rPr>
            </w:pPr>
            <w:r>
              <w:rPr>
                <w:w w:val="105"/>
                <w:sz w:val="18"/>
              </w:rPr>
              <w:t>1,447,290</w:t>
            </w:r>
          </w:p>
        </w:tc>
        <w:tc>
          <w:tcPr>
            <w:tcW w:w="2553" w:type="dxa"/>
            <w:tcBorders>
              <w:bottom w:val="single" w:sz="4" w:space="0" w:color="92D050"/>
            </w:tcBorders>
          </w:tcPr>
          <w:p>
            <w:pPr>
              <w:pStyle w:val="TableParagraph"/>
              <w:spacing w:line="247" w:lineRule="auto" w:before="71"/>
              <w:ind w:left="788" w:right="44" w:hanging="699"/>
              <w:jc w:val="left"/>
              <w:rPr>
                <w:sz w:val="18"/>
              </w:rPr>
            </w:pPr>
            <w:r>
              <w:rPr>
                <w:sz w:val="18"/>
              </w:rPr>
              <w:t>Marginal rental for reversion/ vacant area</w:t>
            </w:r>
          </w:p>
        </w:tc>
        <w:tc>
          <w:tcPr>
            <w:tcW w:w="1795" w:type="dxa"/>
            <w:tcBorders>
              <w:bottom w:val="single" w:sz="4" w:space="0" w:color="92D050"/>
            </w:tcBorders>
          </w:tcPr>
          <w:p>
            <w:pPr>
              <w:pStyle w:val="TableParagraph"/>
              <w:spacing w:before="179"/>
              <w:ind w:left="117" w:right="123"/>
              <w:rPr>
                <w:sz w:val="18"/>
              </w:rPr>
            </w:pPr>
            <w:r>
              <w:rPr>
                <w:w w:val="105"/>
                <w:sz w:val="18"/>
              </w:rPr>
              <w:t>48.0</w:t>
            </w:r>
          </w:p>
        </w:tc>
      </w:tr>
    </w:tbl>
    <w:p>
      <w:pPr>
        <w:spacing w:before="3"/>
        <w:ind w:left="782" w:right="0" w:firstLine="0"/>
        <w:jc w:val="left"/>
        <w:rPr>
          <w:i/>
          <w:sz w:val="18"/>
        </w:rPr>
      </w:pPr>
      <w:r>
        <w:rPr>
          <w:i/>
          <w:sz w:val="18"/>
        </w:rPr>
        <w:t>Source: Rent roll provided by the Client; Valuer Assessment</w:t>
      </w:r>
    </w:p>
    <w:p>
      <w:pPr>
        <w:spacing w:before="70"/>
        <w:ind w:left="782" w:right="0" w:firstLine="0"/>
        <w:jc w:val="left"/>
        <w:rPr>
          <w:i/>
          <w:sz w:val="18"/>
        </w:rPr>
      </w:pPr>
      <w:r>
        <w:rPr>
          <w:i/>
          <w:sz w:val="18"/>
        </w:rPr>
        <w:t>* The rentals mentioned above exclude other income such as CAM charges, parking income received from the tenants, etc.;</w:t>
      </w:r>
    </w:p>
    <w:p>
      <w:pPr>
        <w:spacing w:before="72"/>
        <w:ind w:left="782" w:right="0" w:firstLine="0"/>
        <w:jc w:val="left"/>
        <w:rPr>
          <w:i/>
          <w:sz w:val="18"/>
        </w:rPr>
      </w:pPr>
      <w:r>
        <w:rPr>
          <w:i/>
          <w:sz w:val="18"/>
        </w:rPr>
        <w:t>^weighted average warm shell rental for area already leased </w:t>
      </w:r>
      <w:r>
        <w:rPr>
          <w:i/>
          <w:w w:val="105"/>
          <w:sz w:val="18"/>
        </w:rPr>
        <w:t>– </w:t>
      </w:r>
      <w:r>
        <w:rPr>
          <w:i/>
          <w:sz w:val="18"/>
        </w:rPr>
        <w:t>as per rent roll shared by Client</w:t>
      </w:r>
    </w:p>
    <w:p>
      <w:pPr>
        <w:pStyle w:val="BodyText"/>
        <w:spacing w:before="11"/>
        <w:rPr>
          <w:i/>
          <w:sz w:val="26"/>
        </w:rPr>
      </w:pPr>
    </w:p>
    <w:p>
      <w:pPr>
        <w:pStyle w:val="BodyText"/>
        <w:spacing w:line="321" w:lineRule="auto"/>
        <w:ind w:left="782" w:right="236"/>
        <w:jc w:val="both"/>
      </w:pPr>
      <w:r>
        <w:rPr/>
        <w:t>The above market rent assumption is adopted for the entire subject development. In addition to undertaking</w:t>
      </w:r>
      <w:r>
        <w:rPr>
          <w:spacing w:val="-4"/>
        </w:rPr>
        <w:t> </w:t>
      </w:r>
      <w:r>
        <w:rPr/>
        <w:t>an</w:t>
      </w:r>
      <w:r>
        <w:rPr>
          <w:spacing w:val="-4"/>
        </w:rPr>
        <w:t> </w:t>
      </w:r>
      <w:r>
        <w:rPr/>
        <w:t>in-depth</w:t>
      </w:r>
      <w:r>
        <w:rPr>
          <w:spacing w:val="-6"/>
        </w:rPr>
        <w:t> </w:t>
      </w:r>
      <w:r>
        <w:rPr/>
        <w:t>market</w:t>
      </w:r>
      <w:r>
        <w:rPr>
          <w:spacing w:val="-3"/>
        </w:rPr>
        <w:t> </w:t>
      </w:r>
      <w:r>
        <w:rPr/>
        <w:t>analysis,</w:t>
      </w:r>
      <w:r>
        <w:rPr>
          <w:spacing w:val="-5"/>
        </w:rPr>
        <w:t> </w:t>
      </w:r>
      <w:r>
        <w:rPr/>
        <w:t>a</w:t>
      </w:r>
      <w:r>
        <w:rPr>
          <w:spacing w:val="-6"/>
        </w:rPr>
        <w:t> </w:t>
      </w:r>
      <w:r>
        <w:rPr/>
        <w:t>detailed</w:t>
      </w:r>
      <w:r>
        <w:rPr>
          <w:spacing w:val="-4"/>
        </w:rPr>
        <w:t> </w:t>
      </w:r>
      <w:r>
        <w:rPr/>
        <w:t>analysis</w:t>
      </w:r>
      <w:r>
        <w:rPr>
          <w:spacing w:val="-3"/>
        </w:rPr>
        <w:t> </w:t>
      </w:r>
      <w:r>
        <w:rPr/>
        <w:t>of</w:t>
      </w:r>
      <w:r>
        <w:rPr>
          <w:spacing w:val="-4"/>
        </w:rPr>
        <w:t> </w:t>
      </w:r>
      <w:r>
        <w:rPr/>
        <w:t>the</w:t>
      </w:r>
      <w:r>
        <w:rPr>
          <w:spacing w:val="-4"/>
        </w:rPr>
        <w:t> </w:t>
      </w:r>
      <w:r>
        <w:rPr/>
        <w:t>rent</w:t>
      </w:r>
      <w:r>
        <w:rPr>
          <w:spacing w:val="-4"/>
        </w:rPr>
        <w:t> </w:t>
      </w:r>
      <w:r>
        <w:rPr/>
        <w:t>rolls</w:t>
      </w:r>
      <w:r>
        <w:rPr>
          <w:spacing w:val="-4"/>
        </w:rPr>
        <w:t> </w:t>
      </w:r>
      <w:r>
        <w:rPr/>
        <w:t>was</w:t>
      </w:r>
      <w:r>
        <w:rPr>
          <w:spacing w:val="-3"/>
        </w:rPr>
        <w:t> </w:t>
      </w:r>
      <w:r>
        <w:rPr/>
        <w:t>also</w:t>
      </w:r>
      <w:r>
        <w:rPr>
          <w:spacing w:val="-5"/>
        </w:rPr>
        <w:t> </w:t>
      </w:r>
      <w:r>
        <w:rPr/>
        <w:t>undertaken</w:t>
      </w:r>
      <w:r>
        <w:rPr>
          <w:spacing w:val="-4"/>
        </w:rPr>
        <w:t> </w:t>
      </w:r>
      <w:r>
        <w:rPr/>
        <w:t>to understand</w:t>
      </w:r>
      <w:r>
        <w:rPr>
          <w:spacing w:val="-16"/>
        </w:rPr>
        <w:t> </w:t>
      </w:r>
      <w:r>
        <w:rPr/>
        <w:t>aspects</w:t>
      </w:r>
      <w:r>
        <w:rPr>
          <w:spacing w:val="-14"/>
        </w:rPr>
        <w:t> </w:t>
      </w:r>
      <w:r>
        <w:rPr/>
        <w:t>such</w:t>
      </w:r>
      <w:r>
        <w:rPr>
          <w:spacing w:val="-17"/>
        </w:rPr>
        <w:t> </w:t>
      </w:r>
      <w:r>
        <w:rPr/>
        <w:t>as</w:t>
      </w:r>
      <w:r>
        <w:rPr>
          <w:spacing w:val="-13"/>
        </w:rPr>
        <w:t> </w:t>
      </w:r>
      <w:r>
        <w:rPr/>
        <w:t>area</w:t>
      </w:r>
      <w:r>
        <w:rPr>
          <w:spacing w:val="-16"/>
        </w:rPr>
        <w:t> </w:t>
      </w:r>
      <w:r>
        <w:rPr/>
        <w:t>occupied,</w:t>
      </w:r>
      <w:r>
        <w:rPr>
          <w:spacing w:val="-14"/>
        </w:rPr>
        <w:t> </w:t>
      </w:r>
      <w:r>
        <w:rPr/>
        <w:t>current</w:t>
      </w:r>
      <w:r>
        <w:rPr>
          <w:spacing w:val="-14"/>
        </w:rPr>
        <w:t> </w:t>
      </w:r>
      <w:r>
        <w:rPr/>
        <w:t>rental</w:t>
      </w:r>
      <w:r>
        <w:rPr>
          <w:spacing w:val="-15"/>
        </w:rPr>
        <w:t> </w:t>
      </w:r>
      <w:r>
        <w:rPr/>
        <w:t>and</w:t>
      </w:r>
      <w:r>
        <w:rPr>
          <w:spacing w:val="-14"/>
        </w:rPr>
        <w:t> </w:t>
      </w:r>
      <w:r>
        <w:rPr/>
        <w:t>expiry</w:t>
      </w:r>
      <w:r>
        <w:rPr>
          <w:spacing w:val="-14"/>
        </w:rPr>
        <w:t> </w:t>
      </w:r>
      <w:r>
        <w:rPr/>
        <w:t>analysis</w:t>
      </w:r>
      <w:r>
        <w:rPr>
          <w:spacing w:val="-14"/>
        </w:rPr>
        <w:t> </w:t>
      </w:r>
      <w:r>
        <w:rPr/>
        <w:t>of</w:t>
      </w:r>
      <w:r>
        <w:rPr>
          <w:spacing w:val="-14"/>
        </w:rPr>
        <w:t> </w:t>
      </w:r>
      <w:r>
        <w:rPr/>
        <w:t>the</w:t>
      </w:r>
      <w:r>
        <w:rPr>
          <w:spacing w:val="-15"/>
        </w:rPr>
        <w:t> </w:t>
      </w:r>
      <w:r>
        <w:rPr/>
        <w:t>key</w:t>
      </w:r>
      <w:r>
        <w:rPr>
          <w:spacing w:val="-14"/>
        </w:rPr>
        <w:t> </w:t>
      </w:r>
      <w:r>
        <w:rPr/>
        <w:t>tenants</w:t>
      </w:r>
      <w:r>
        <w:rPr>
          <w:spacing w:val="-14"/>
        </w:rPr>
        <w:t> </w:t>
      </w:r>
      <w:r>
        <w:rPr/>
        <w:t>in</w:t>
      </w:r>
      <w:r>
        <w:rPr>
          <w:spacing w:val="-15"/>
        </w:rPr>
        <w:t> </w:t>
      </w:r>
      <w:r>
        <w:rPr/>
        <w:t>the </w:t>
      </w:r>
      <w:r>
        <w:rPr>
          <w:w w:val="95"/>
        </w:rPr>
        <w:t>park.</w:t>
      </w:r>
      <w:r>
        <w:rPr>
          <w:spacing w:val="-17"/>
          <w:w w:val="95"/>
        </w:rPr>
        <w:t> </w:t>
      </w:r>
      <w:r>
        <w:rPr>
          <w:w w:val="95"/>
        </w:rPr>
        <w:t>Additionally,</w:t>
      </w:r>
      <w:r>
        <w:rPr>
          <w:spacing w:val="-16"/>
          <w:w w:val="95"/>
        </w:rPr>
        <w:t> </w:t>
      </w:r>
      <w:r>
        <w:rPr>
          <w:w w:val="95"/>
        </w:rPr>
        <w:t>we</w:t>
      </w:r>
      <w:r>
        <w:rPr>
          <w:spacing w:val="-17"/>
          <w:w w:val="95"/>
        </w:rPr>
        <w:t> </w:t>
      </w:r>
      <w:r>
        <w:rPr>
          <w:w w:val="95"/>
        </w:rPr>
        <w:t>also</w:t>
      </w:r>
      <w:r>
        <w:rPr>
          <w:spacing w:val="-18"/>
          <w:w w:val="95"/>
        </w:rPr>
        <w:t> </w:t>
      </w:r>
      <w:r>
        <w:rPr>
          <w:w w:val="95"/>
        </w:rPr>
        <w:t>analysed</w:t>
      </w:r>
      <w:r>
        <w:rPr>
          <w:spacing w:val="-16"/>
          <w:w w:val="95"/>
        </w:rPr>
        <w:t> </w:t>
      </w:r>
      <w:r>
        <w:rPr>
          <w:w w:val="95"/>
        </w:rPr>
        <w:t>the</w:t>
      </w:r>
      <w:r>
        <w:rPr>
          <w:spacing w:val="-18"/>
          <w:w w:val="95"/>
        </w:rPr>
        <w:t> </w:t>
      </w:r>
      <w:r>
        <w:rPr>
          <w:w w:val="95"/>
        </w:rPr>
        <w:t>historical</w:t>
      </w:r>
      <w:r>
        <w:rPr>
          <w:spacing w:val="-17"/>
          <w:w w:val="95"/>
        </w:rPr>
        <w:t> </w:t>
      </w:r>
      <w:r>
        <w:rPr>
          <w:w w:val="95"/>
        </w:rPr>
        <w:t>occupancy</w:t>
      </w:r>
      <w:r>
        <w:rPr>
          <w:spacing w:val="-16"/>
          <w:w w:val="95"/>
        </w:rPr>
        <w:t> </w:t>
      </w:r>
      <w:r>
        <w:rPr>
          <w:w w:val="95"/>
        </w:rPr>
        <w:t>pattern</w:t>
      </w:r>
      <w:r>
        <w:rPr>
          <w:spacing w:val="-18"/>
          <w:w w:val="95"/>
        </w:rPr>
        <w:t> </w:t>
      </w:r>
      <w:r>
        <w:rPr>
          <w:w w:val="95"/>
        </w:rPr>
        <w:t>at</w:t>
      </w:r>
      <w:r>
        <w:rPr>
          <w:spacing w:val="-16"/>
          <w:w w:val="95"/>
        </w:rPr>
        <w:t> </w:t>
      </w:r>
      <w:r>
        <w:rPr>
          <w:w w:val="95"/>
        </w:rPr>
        <w:t>the</w:t>
      </w:r>
      <w:r>
        <w:rPr>
          <w:spacing w:val="-18"/>
          <w:w w:val="95"/>
        </w:rPr>
        <w:t> </w:t>
      </w:r>
      <w:r>
        <w:rPr>
          <w:w w:val="95"/>
        </w:rPr>
        <w:t>subject</w:t>
      </w:r>
      <w:r>
        <w:rPr>
          <w:spacing w:val="-16"/>
          <w:w w:val="95"/>
        </w:rPr>
        <w:t> </w:t>
      </w:r>
      <w:r>
        <w:rPr>
          <w:w w:val="95"/>
        </w:rPr>
        <w:t>micro-market/</w:t>
      </w:r>
      <w:r>
        <w:rPr>
          <w:spacing w:val="-17"/>
          <w:w w:val="95"/>
        </w:rPr>
        <w:t> </w:t>
      </w:r>
      <w:r>
        <w:rPr>
          <w:w w:val="95"/>
        </w:rPr>
        <w:t>subject </w:t>
      </w:r>
      <w:r>
        <w:rPr/>
        <w:t>development</w:t>
      </w:r>
      <w:r>
        <w:rPr>
          <w:spacing w:val="-19"/>
        </w:rPr>
        <w:t> </w:t>
      </w:r>
      <w:r>
        <w:rPr/>
        <w:t>and</w:t>
      </w:r>
      <w:r>
        <w:rPr>
          <w:spacing w:val="-18"/>
        </w:rPr>
        <w:t> </w:t>
      </w:r>
      <w:r>
        <w:rPr/>
        <w:t>lease-up</w:t>
      </w:r>
      <w:r>
        <w:rPr>
          <w:spacing w:val="-18"/>
        </w:rPr>
        <w:t> </w:t>
      </w:r>
      <w:r>
        <w:rPr/>
        <w:t>time</w:t>
      </w:r>
      <w:r>
        <w:rPr>
          <w:spacing w:val="-18"/>
        </w:rPr>
        <w:t> </w:t>
      </w:r>
      <w:r>
        <w:rPr/>
        <w:t>frame</w:t>
      </w:r>
      <w:r>
        <w:rPr>
          <w:spacing w:val="-19"/>
        </w:rPr>
        <w:t> </w:t>
      </w:r>
      <w:r>
        <w:rPr/>
        <w:t>for</w:t>
      </w:r>
      <w:r>
        <w:rPr>
          <w:spacing w:val="-21"/>
        </w:rPr>
        <w:t> </w:t>
      </w:r>
      <w:r>
        <w:rPr/>
        <w:t>spaces</w:t>
      </w:r>
      <w:r>
        <w:rPr>
          <w:spacing w:val="-16"/>
        </w:rPr>
        <w:t> </w:t>
      </w:r>
      <w:r>
        <w:rPr/>
        <w:t>being</w:t>
      </w:r>
      <w:r>
        <w:rPr>
          <w:spacing w:val="-18"/>
        </w:rPr>
        <w:t> </w:t>
      </w:r>
      <w:r>
        <w:rPr/>
        <w:t>vacated</w:t>
      </w:r>
      <w:r>
        <w:rPr>
          <w:spacing w:val="-18"/>
        </w:rPr>
        <w:t> </w:t>
      </w:r>
      <w:r>
        <w:rPr/>
        <w:t>by</w:t>
      </w:r>
      <w:r>
        <w:rPr>
          <w:spacing w:val="-17"/>
        </w:rPr>
        <w:t> </w:t>
      </w:r>
      <w:r>
        <w:rPr/>
        <w:t>tenants</w:t>
      </w:r>
      <w:r>
        <w:rPr>
          <w:spacing w:val="-20"/>
        </w:rPr>
        <w:t> </w:t>
      </w:r>
      <w:r>
        <w:rPr/>
        <w:t>during</w:t>
      </w:r>
      <w:r>
        <w:rPr>
          <w:spacing w:val="-18"/>
        </w:rPr>
        <w:t> </w:t>
      </w:r>
      <w:r>
        <w:rPr/>
        <w:t>the</w:t>
      </w:r>
      <w:r>
        <w:rPr>
          <w:spacing w:val="-19"/>
        </w:rPr>
        <w:t> </w:t>
      </w:r>
      <w:r>
        <w:rPr/>
        <w:t>last</w:t>
      </w:r>
      <w:r>
        <w:rPr>
          <w:spacing w:val="-18"/>
        </w:rPr>
        <w:t> </w:t>
      </w:r>
      <w:r>
        <w:rPr/>
        <w:t>3</w:t>
      </w:r>
      <w:r>
        <w:rPr>
          <w:spacing w:val="-20"/>
        </w:rPr>
        <w:t> </w:t>
      </w:r>
      <w:r>
        <w:rPr/>
        <w:t>years.</w:t>
      </w:r>
      <w:r>
        <w:rPr>
          <w:spacing w:val="-20"/>
        </w:rPr>
        <w:t> </w:t>
      </w:r>
      <w:r>
        <w:rPr/>
        <w:t>The lease-up</w:t>
      </w:r>
      <w:r>
        <w:rPr>
          <w:spacing w:val="-13"/>
        </w:rPr>
        <w:t> </w:t>
      </w:r>
      <w:r>
        <w:rPr/>
        <w:t>time</w:t>
      </w:r>
      <w:r>
        <w:rPr>
          <w:spacing w:val="-17"/>
        </w:rPr>
        <w:t> </w:t>
      </w:r>
      <w:r>
        <w:rPr/>
        <w:t>was</w:t>
      </w:r>
      <w:r>
        <w:rPr>
          <w:spacing w:val="-13"/>
        </w:rPr>
        <w:t> </w:t>
      </w:r>
      <w:r>
        <w:rPr/>
        <w:t>observed</w:t>
      </w:r>
      <w:r>
        <w:rPr>
          <w:spacing w:val="-13"/>
        </w:rPr>
        <w:t> </w:t>
      </w:r>
      <w:r>
        <w:rPr/>
        <w:t>to</w:t>
      </w:r>
      <w:r>
        <w:rPr>
          <w:spacing w:val="-14"/>
        </w:rPr>
        <w:t> </w:t>
      </w:r>
      <w:r>
        <w:rPr/>
        <w:t>be</w:t>
      </w:r>
      <w:r>
        <w:rPr>
          <w:spacing w:val="-13"/>
        </w:rPr>
        <w:t> </w:t>
      </w:r>
      <w:r>
        <w:rPr/>
        <w:t>3</w:t>
      </w:r>
      <w:r>
        <w:rPr>
          <w:spacing w:val="-14"/>
        </w:rPr>
        <w:t> </w:t>
      </w:r>
      <w:r>
        <w:rPr/>
        <w:t>-</w:t>
      </w:r>
      <w:r>
        <w:rPr>
          <w:spacing w:val="-13"/>
        </w:rPr>
        <w:t> </w:t>
      </w:r>
      <w:r>
        <w:rPr/>
        <w:t>9</w:t>
      </w:r>
      <w:r>
        <w:rPr>
          <w:spacing w:val="-14"/>
        </w:rPr>
        <w:t> </w:t>
      </w:r>
      <w:r>
        <w:rPr/>
        <w:t>months</w:t>
      </w:r>
      <w:r>
        <w:rPr>
          <w:spacing w:val="-15"/>
        </w:rPr>
        <w:t> </w:t>
      </w:r>
      <w:r>
        <w:rPr/>
        <w:t>based</w:t>
      </w:r>
      <w:r>
        <w:rPr>
          <w:spacing w:val="-13"/>
        </w:rPr>
        <w:t> </w:t>
      </w:r>
      <w:r>
        <w:rPr/>
        <w:t>on</w:t>
      </w:r>
      <w:r>
        <w:rPr>
          <w:spacing w:val="-14"/>
        </w:rPr>
        <w:t> </w:t>
      </w:r>
      <w:r>
        <w:rPr/>
        <w:t>quantum</w:t>
      </w:r>
      <w:r>
        <w:rPr>
          <w:spacing w:val="-14"/>
        </w:rPr>
        <w:t> </w:t>
      </w:r>
      <w:r>
        <w:rPr/>
        <w:t>of</w:t>
      </w:r>
      <w:r>
        <w:rPr>
          <w:spacing w:val="-12"/>
        </w:rPr>
        <w:t> </w:t>
      </w:r>
      <w:r>
        <w:rPr/>
        <w:t>space</w:t>
      </w:r>
      <w:r>
        <w:rPr>
          <w:spacing w:val="-17"/>
        </w:rPr>
        <w:t> </w:t>
      </w:r>
      <w:r>
        <w:rPr/>
        <w:t>being</w:t>
      </w:r>
      <w:r>
        <w:rPr>
          <w:spacing w:val="-13"/>
        </w:rPr>
        <w:t> </w:t>
      </w:r>
      <w:r>
        <w:rPr/>
        <w:t>renewed/</w:t>
      </w:r>
      <w:r>
        <w:rPr>
          <w:spacing w:val="-15"/>
        </w:rPr>
        <w:t> </w:t>
      </w:r>
      <w:r>
        <w:rPr/>
        <w:t>re-leased.</w:t>
      </w:r>
    </w:p>
    <w:p>
      <w:pPr>
        <w:pStyle w:val="BodyText"/>
        <w:spacing w:before="11"/>
        <w:rPr>
          <w:sz w:val="20"/>
        </w:rPr>
      </w:pPr>
    </w:p>
    <w:p>
      <w:pPr>
        <w:pStyle w:val="BodyText"/>
        <w:spacing w:line="324" w:lineRule="auto"/>
        <w:ind w:left="782" w:right="236"/>
        <w:jc w:val="both"/>
      </w:pPr>
      <w:r>
        <w:rPr/>
        <w:t>Based</w:t>
      </w:r>
      <w:r>
        <w:rPr>
          <w:spacing w:val="-12"/>
        </w:rPr>
        <w:t> </w:t>
      </w:r>
      <w:r>
        <w:rPr/>
        <w:t>on</w:t>
      </w:r>
      <w:r>
        <w:rPr>
          <w:spacing w:val="-12"/>
        </w:rPr>
        <w:t> </w:t>
      </w:r>
      <w:r>
        <w:rPr/>
        <w:t>the</w:t>
      </w:r>
      <w:r>
        <w:rPr>
          <w:spacing w:val="-14"/>
        </w:rPr>
        <w:t> </w:t>
      </w:r>
      <w:r>
        <w:rPr/>
        <w:t>size</w:t>
      </w:r>
      <w:r>
        <w:rPr>
          <w:spacing w:val="-11"/>
        </w:rPr>
        <w:t> </w:t>
      </w:r>
      <w:r>
        <w:rPr/>
        <w:t>and</w:t>
      </w:r>
      <w:r>
        <w:rPr>
          <w:spacing w:val="-13"/>
        </w:rPr>
        <w:t> </w:t>
      </w:r>
      <w:r>
        <w:rPr/>
        <w:t>scale</w:t>
      </w:r>
      <w:r>
        <w:rPr>
          <w:spacing w:val="-13"/>
        </w:rPr>
        <w:t> </w:t>
      </w:r>
      <w:r>
        <w:rPr/>
        <w:t>of</w:t>
      </w:r>
      <w:r>
        <w:rPr>
          <w:spacing w:val="-11"/>
        </w:rPr>
        <w:t> </w:t>
      </w:r>
      <w:r>
        <w:rPr/>
        <w:t>operations</w:t>
      </w:r>
      <w:r>
        <w:rPr>
          <w:spacing w:val="-11"/>
        </w:rPr>
        <w:t> </w:t>
      </w:r>
      <w:r>
        <w:rPr/>
        <w:t>of</w:t>
      </w:r>
      <w:r>
        <w:rPr>
          <w:spacing w:val="-12"/>
        </w:rPr>
        <w:t> </w:t>
      </w:r>
      <w:r>
        <w:rPr/>
        <w:t>these</w:t>
      </w:r>
      <w:r>
        <w:rPr>
          <w:spacing w:val="-12"/>
        </w:rPr>
        <w:t> </w:t>
      </w:r>
      <w:r>
        <w:rPr/>
        <w:t>tenants,</w:t>
      </w:r>
      <w:r>
        <w:rPr>
          <w:spacing w:val="-9"/>
        </w:rPr>
        <w:t> </w:t>
      </w:r>
      <w:r>
        <w:rPr/>
        <w:t>the</w:t>
      </w:r>
      <w:r>
        <w:rPr>
          <w:spacing w:val="-12"/>
        </w:rPr>
        <w:t> </w:t>
      </w:r>
      <w:r>
        <w:rPr/>
        <w:t>Valuer</w:t>
      </w:r>
      <w:r>
        <w:rPr>
          <w:spacing w:val="-12"/>
        </w:rPr>
        <w:t> </w:t>
      </w:r>
      <w:r>
        <w:rPr/>
        <w:t>adopted</w:t>
      </w:r>
      <w:r>
        <w:rPr>
          <w:spacing w:val="-12"/>
        </w:rPr>
        <w:t> </w:t>
      </w:r>
      <w:r>
        <w:rPr/>
        <w:t>individual</w:t>
      </w:r>
      <w:r>
        <w:rPr>
          <w:spacing w:val="-12"/>
        </w:rPr>
        <w:t> </w:t>
      </w:r>
      <w:r>
        <w:rPr/>
        <w:t>market</w:t>
      </w:r>
      <w:r>
        <w:rPr>
          <w:spacing w:val="-13"/>
        </w:rPr>
        <w:t> </w:t>
      </w:r>
      <w:r>
        <w:rPr/>
        <w:t>rent assumptions</w:t>
      </w:r>
      <w:r>
        <w:rPr>
          <w:spacing w:val="-39"/>
        </w:rPr>
        <w:t> </w:t>
      </w:r>
      <w:r>
        <w:rPr/>
        <w:t>for</w:t>
      </w:r>
      <w:r>
        <w:rPr>
          <w:spacing w:val="-37"/>
        </w:rPr>
        <w:t> </w:t>
      </w:r>
      <w:r>
        <w:rPr/>
        <w:t>larger</w:t>
      </w:r>
      <w:r>
        <w:rPr>
          <w:spacing w:val="-37"/>
        </w:rPr>
        <w:t> </w:t>
      </w:r>
      <w:r>
        <w:rPr/>
        <w:t>tenants</w:t>
      </w:r>
      <w:r>
        <w:rPr>
          <w:spacing w:val="-37"/>
        </w:rPr>
        <w:t> </w:t>
      </w:r>
      <w:r>
        <w:rPr/>
        <w:t>in</w:t>
      </w:r>
      <w:r>
        <w:rPr>
          <w:spacing w:val="-38"/>
        </w:rPr>
        <w:t> </w:t>
      </w:r>
      <w:r>
        <w:rPr/>
        <w:t>the</w:t>
      </w:r>
      <w:r>
        <w:rPr>
          <w:spacing w:val="-37"/>
        </w:rPr>
        <w:t> </w:t>
      </w:r>
      <w:r>
        <w:rPr/>
        <w:t>subject</w:t>
      </w:r>
      <w:r>
        <w:rPr>
          <w:spacing w:val="-37"/>
        </w:rPr>
        <w:t> </w:t>
      </w:r>
      <w:r>
        <w:rPr/>
        <w:t>development.</w:t>
      </w:r>
      <w:r>
        <w:rPr>
          <w:spacing w:val="-37"/>
        </w:rPr>
        <w:t> </w:t>
      </w:r>
      <w:r>
        <w:rPr/>
        <w:t>For</w:t>
      </w:r>
      <w:r>
        <w:rPr>
          <w:spacing w:val="-37"/>
        </w:rPr>
        <w:t> </w:t>
      </w:r>
      <w:r>
        <w:rPr/>
        <w:t>the</w:t>
      </w:r>
      <w:r>
        <w:rPr>
          <w:spacing w:val="-38"/>
        </w:rPr>
        <w:t> </w:t>
      </w:r>
      <w:r>
        <w:rPr/>
        <w:t>larger</w:t>
      </w:r>
      <w:r>
        <w:rPr>
          <w:spacing w:val="-37"/>
        </w:rPr>
        <w:t> </w:t>
      </w:r>
      <w:r>
        <w:rPr/>
        <w:t>tenants,</w:t>
      </w:r>
      <w:r>
        <w:rPr>
          <w:spacing w:val="-36"/>
        </w:rPr>
        <w:t> </w:t>
      </w:r>
      <w:r>
        <w:rPr/>
        <w:t>we</w:t>
      </w:r>
      <w:r>
        <w:rPr>
          <w:spacing w:val="-37"/>
        </w:rPr>
        <w:t> </w:t>
      </w:r>
      <w:r>
        <w:rPr/>
        <w:t>have</w:t>
      </w:r>
      <w:r>
        <w:rPr>
          <w:spacing w:val="-37"/>
        </w:rPr>
        <w:t> </w:t>
      </w:r>
      <w:r>
        <w:rPr/>
        <w:t>assumed</w:t>
      </w:r>
      <w:r>
        <w:rPr>
          <w:spacing w:val="-37"/>
        </w:rPr>
        <w:t> </w:t>
      </w:r>
      <w:r>
        <w:rPr/>
        <w:t>that</w:t>
      </w:r>
    </w:p>
    <w:p>
      <w:pPr>
        <w:spacing w:after="0" w:line="324" w:lineRule="auto"/>
        <w:jc w:val="both"/>
        <w:sectPr>
          <w:pgSz w:w="11910" w:h="16840"/>
          <w:pgMar w:header="720" w:footer="921" w:top="1660" w:bottom="1120" w:left="500" w:right="480"/>
        </w:sectPr>
      </w:pPr>
    </w:p>
    <w:p>
      <w:pPr>
        <w:pStyle w:val="BodyText"/>
        <w:spacing w:before="7"/>
        <w:rPr>
          <w:sz w:val="9"/>
        </w:rPr>
      </w:pPr>
    </w:p>
    <w:p>
      <w:pPr>
        <w:pStyle w:val="BodyText"/>
        <w:spacing w:line="321" w:lineRule="auto" w:before="106"/>
        <w:ind w:left="782"/>
      </w:pPr>
      <w:r>
        <w:rPr/>
        <w:pict>
          <v:group style="position:absolute;margin-left:63.383999pt;margin-top:45.388641pt;width:494.75pt;height:16.6pt;mso-position-horizontal-relative:page;mso-position-vertical-relative:paragraph;z-index:-15154176;mso-wrap-distance-left:0;mso-wrap-distance-right:0" coordorigin="1268,908" coordsize="9895,332">
            <v:shape style="position:absolute;left:1282;top:936;width:9881;height:288" coordorigin="1282,937" coordsize="9881,288" path="m4683,937l1282,937,1282,1225,4683,1225,4683,937xm11162,937l4683,937,4683,1225,11162,1225,11162,937xe" filled="true" fillcolor="#006a4d" stroked="false">
              <v:path arrowok="t"/>
              <v:fill type="solid"/>
            </v:shape>
            <v:rect style="position:absolute;left:1282;top:907;width:3402;height:29" filled="true" fillcolor="#1b6b22" stroked="false">
              <v:fill type="solid"/>
            </v:rect>
            <v:shape style="position:absolute;left:1282;top:936;width:3431;height:3" coordorigin="1282,937" coordsize="3431,3" path="m4683,937l1282,937,1282,939,4683,939,4683,937xm4712,937l4683,937,4683,939,4712,939,4712,937xe" filled="true" fillcolor="#006a4d" stroked="false">
              <v:path arrowok="t"/>
              <v:fill type="solid"/>
            </v:shape>
            <v:shape style="position:absolute;left:4683;top:907;width:6479;height:29" coordorigin="4683,908" coordsize="6479,29" path="m4712,908l4683,908,4683,937,4712,937,4712,908xm11162,908l4712,908,4712,937,11162,937,11162,908xe" filled="true" fillcolor="#1b6b22" stroked="false">
              <v:path arrowok="t"/>
              <v:fill type="solid"/>
            </v:shape>
            <v:rect style="position:absolute;left:4712;top:936;width:6451;height:3" filled="true" fillcolor="#006a4d" stroked="false">
              <v:fill type="solid"/>
            </v:rect>
            <v:shape style="position:absolute;left:1282;top:1224;width:9881;height:15" coordorigin="1282,1225" coordsize="9881,15" path="m4683,1225l1282,1225,1282,1239,4683,1239,4683,1225xm11162,1225l4698,1225,4683,1225,4683,1239,4698,1239,11162,1239,11162,1225xe" filled="true" fillcolor="#69bd28" stroked="false">
              <v:path arrowok="t"/>
              <v:fill type="solid"/>
            </v:shape>
            <v:shape style="position:absolute;left:1267;top:936;width:9895;height:288" type="#_x0000_t202" filled="false" stroked="false">
              <v:textbox inset="0,0,0,0">
                <w:txbxContent>
                  <w:p>
                    <w:pPr>
                      <w:tabs>
                        <w:tab w:pos="3686" w:val="left" w:leader="none"/>
                      </w:tabs>
                      <w:spacing w:before="39"/>
                      <w:ind w:left="1401" w:right="0" w:firstLine="0"/>
                      <w:jc w:val="left"/>
                      <w:rPr>
                        <w:b/>
                        <w:sz w:val="18"/>
                      </w:rPr>
                    </w:pPr>
                    <w:r>
                      <w:rPr>
                        <w:b/>
                        <w:color w:val="FFFFFF"/>
                        <w:w w:val="105"/>
                        <w:sz w:val="18"/>
                      </w:rPr>
                      <w:t>Tenant</w:t>
                      <w:tab/>
                      <w:t>Market Rental Strategy (Discount to Market Rent/ Lease-up</w:t>
                    </w:r>
                    <w:r>
                      <w:rPr>
                        <w:b/>
                        <w:color w:val="FFFFFF"/>
                        <w:spacing w:val="21"/>
                        <w:w w:val="105"/>
                        <w:sz w:val="18"/>
                      </w:rPr>
                      <w:t> </w:t>
                    </w:r>
                    <w:r>
                      <w:rPr>
                        <w:b/>
                        <w:color w:val="FFFFFF"/>
                        <w:w w:val="105"/>
                        <w:sz w:val="18"/>
                      </w:rPr>
                      <w:t>Time)</w:t>
                    </w:r>
                  </w:p>
                </w:txbxContent>
              </v:textbox>
              <w10:wrap type="none"/>
            </v:shape>
            <w10:wrap type="topAndBottom"/>
          </v:group>
        </w:pict>
      </w:r>
      <w:r>
        <w:rPr/>
        <w:t>post</w:t>
      </w:r>
      <w:r>
        <w:rPr>
          <w:spacing w:val="-35"/>
        </w:rPr>
        <w:t> </w:t>
      </w:r>
      <w:r>
        <w:rPr/>
        <w:t>lease</w:t>
      </w:r>
      <w:r>
        <w:rPr>
          <w:spacing w:val="-35"/>
        </w:rPr>
        <w:t> </w:t>
      </w:r>
      <w:r>
        <w:rPr/>
        <w:t>expiry,</w:t>
      </w:r>
      <w:r>
        <w:rPr>
          <w:spacing w:val="-35"/>
        </w:rPr>
        <w:t> </w:t>
      </w:r>
      <w:r>
        <w:rPr/>
        <w:t>these</w:t>
      </w:r>
      <w:r>
        <w:rPr>
          <w:spacing w:val="-36"/>
        </w:rPr>
        <w:t> </w:t>
      </w:r>
      <w:r>
        <w:rPr/>
        <w:t>spaces</w:t>
      </w:r>
      <w:r>
        <w:rPr>
          <w:spacing w:val="-34"/>
        </w:rPr>
        <w:t> </w:t>
      </w:r>
      <w:r>
        <w:rPr/>
        <w:t>will</w:t>
      </w:r>
      <w:r>
        <w:rPr>
          <w:spacing w:val="-35"/>
        </w:rPr>
        <w:t> </w:t>
      </w:r>
      <w:r>
        <w:rPr/>
        <w:t>revert</w:t>
      </w:r>
      <w:r>
        <w:rPr>
          <w:spacing w:val="-35"/>
        </w:rPr>
        <w:t> </w:t>
      </w:r>
      <w:r>
        <w:rPr/>
        <w:t>to</w:t>
      </w:r>
      <w:r>
        <w:rPr>
          <w:spacing w:val="-34"/>
        </w:rPr>
        <w:t> </w:t>
      </w:r>
      <w:r>
        <w:rPr/>
        <w:t>market</w:t>
      </w:r>
      <w:r>
        <w:rPr>
          <w:spacing w:val="-35"/>
        </w:rPr>
        <w:t> </w:t>
      </w:r>
      <w:r>
        <w:rPr/>
        <w:t>rent</w:t>
      </w:r>
      <w:r>
        <w:rPr>
          <w:spacing w:val="-35"/>
        </w:rPr>
        <w:t> </w:t>
      </w:r>
      <w:r>
        <w:rPr/>
        <w:t>prevailing</w:t>
      </w:r>
      <w:r>
        <w:rPr>
          <w:spacing w:val="-34"/>
        </w:rPr>
        <w:t> </w:t>
      </w:r>
      <w:r>
        <w:rPr/>
        <w:t>at</w:t>
      </w:r>
      <w:r>
        <w:rPr>
          <w:spacing w:val="-34"/>
        </w:rPr>
        <w:t> </w:t>
      </w:r>
      <w:r>
        <w:rPr/>
        <w:t>that</w:t>
      </w:r>
      <w:r>
        <w:rPr>
          <w:spacing w:val="-36"/>
        </w:rPr>
        <w:t> </w:t>
      </w:r>
      <w:r>
        <w:rPr/>
        <w:t>point</w:t>
      </w:r>
      <w:r>
        <w:rPr>
          <w:spacing w:val="-34"/>
        </w:rPr>
        <w:t> </w:t>
      </w:r>
      <w:r>
        <w:rPr/>
        <w:t>in</w:t>
      </w:r>
      <w:r>
        <w:rPr>
          <w:spacing w:val="-36"/>
        </w:rPr>
        <w:t> </w:t>
      </w:r>
      <w:r>
        <w:rPr/>
        <w:t>time.</w:t>
      </w:r>
      <w:r>
        <w:rPr>
          <w:spacing w:val="-34"/>
        </w:rPr>
        <w:t> </w:t>
      </w:r>
      <w:r>
        <w:rPr/>
        <w:t>However,</w:t>
      </w:r>
      <w:r>
        <w:rPr>
          <w:spacing w:val="-35"/>
        </w:rPr>
        <w:t> </w:t>
      </w:r>
      <w:r>
        <w:rPr/>
        <w:t>given the</w:t>
      </w:r>
      <w:r>
        <w:rPr>
          <w:spacing w:val="-9"/>
        </w:rPr>
        <w:t> </w:t>
      </w:r>
      <w:r>
        <w:rPr/>
        <w:t>large</w:t>
      </w:r>
      <w:r>
        <w:rPr>
          <w:spacing w:val="-8"/>
        </w:rPr>
        <w:t> </w:t>
      </w:r>
      <w:r>
        <w:rPr/>
        <w:t>size</w:t>
      </w:r>
      <w:r>
        <w:rPr>
          <w:spacing w:val="-10"/>
        </w:rPr>
        <w:t> </w:t>
      </w:r>
      <w:r>
        <w:rPr/>
        <w:t>of</w:t>
      </w:r>
      <w:r>
        <w:rPr>
          <w:spacing w:val="-7"/>
        </w:rPr>
        <w:t> </w:t>
      </w:r>
      <w:r>
        <w:rPr/>
        <w:t>these</w:t>
      </w:r>
      <w:r>
        <w:rPr>
          <w:spacing w:val="-9"/>
        </w:rPr>
        <w:t> </w:t>
      </w:r>
      <w:r>
        <w:rPr/>
        <w:t>spaces,</w:t>
      </w:r>
      <w:r>
        <w:rPr>
          <w:spacing w:val="-8"/>
        </w:rPr>
        <w:t> </w:t>
      </w:r>
      <w:r>
        <w:rPr/>
        <w:t>the</w:t>
      </w:r>
      <w:r>
        <w:rPr>
          <w:spacing w:val="-8"/>
        </w:rPr>
        <w:t> </w:t>
      </w:r>
      <w:r>
        <w:rPr/>
        <w:t>Client</w:t>
      </w:r>
      <w:r>
        <w:rPr>
          <w:spacing w:val="-9"/>
        </w:rPr>
        <w:t> </w:t>
      </w:r>
      <w:r>
        <w:rPr/>
        <w:t>will</w:t>
      </w:r>
      <w:r>
        <w:rPr>
          <w:spacing w:val="-9"/>
        </w:rPr>
        <w:t> </w:t>
      </w:r>
      <w:r>
        <w:rPr/>
        <w:t>require</w:t>
      </w:r>
      <w:r>
        <w:rPr>
          <w:spacing w:val="-8"/>
        </w:rPr>
        <w:t> </w:t>
      </w:r>
      <w:r>
        <w:rPr/>
        <w:t>longer</w:t>
      </w:r>
      <w:r>
        <w:rPr>
          <w:spacing w:val="-10"/>
        </w:rPr>
        <w:t> </w:t>
      </w:r>
      <w:r>
        <w:rPr/>
        <w:t>lease-up</w:t>
      </w:r>
      <w:r>
        <w:rPr>
          <w:spacing w:val="-7"/>
        </w:rPr>
        <w:t> </w:t>
      </w:r>
      <w:r>
        <w:rPr/>
        <w:t>time.</w:t>
      </w:r>
    </w:p>
    <w:p>
      <w:pPr>
        <w:tabs>
          <w:tab w:pos="3996" w:val="left" w:leader="none"/>
        </w:tabs>
        <w:spacing w:before="10" w:after="39"/>
        <w:ind w:left="0" w:right="77" w:firstLine="0"/>
        <w:jc w:val="center"/>
        <w:rPr>
          <w:sz w:val="18"/>
        </w:rPr>
      </w:pPr>
      <w:r>
        <w:rPr>
          <w:sz w:val="18"/>
        </w:rPr>
        <w:t>Anchor</w:t>
      </w:r>
      <w:r>
        <w:rPr>
          <w:spacing w:val="-14"/>
          <w:sz w:val="18"/>
        </w:rPr>
        <w:t> </w:t>
      </w:r>
      <w:r>
        <w:rPr>
          <w:sz w:val="18"/>
        </w:rPr>
        <w:t>Tenants</w:t>
        <w:tab/>
        <w:t>Renewal at 15% discount to market</w:t>
      </w:r>
      <w:r>
        <w:rPr>
          <w:spacing w:val="-29"/>
          <w:sz w:val="18"/>
        </w:rPr>
        <w:t> </w:t>
      </w:r>
      <w:r>
        <w:rPr>
          <w:sz w:val="18"/>
        </w:rPr>
        <w:t>rent</w:t>
      </w:r>
    </w:p>
    <w:p>
      <w:pPr>
        <w:pStyle w:val="BodyText"/>
        <w:spacing w:line="20" w:lineRule="exact"/>
        <w:ind w:left="782"/>
        <w:rPr>
          <w:sz w:val="2"/>
        </w:rPr>
      </w:pPr>
      <w:r>
        <w:rPr>
          <w:sz w:val="2"/>
        </w:rPr>
        <w:pict>
          <v:group style="width:494.05pt;height:.75pt;mso-position-horizontal-relative:char;mso-position-vertical-relative:line" coordorigin="0,0" coordsize="9881,15">
            <v:shape style="position:absolute;left:0;top:0;width:9881;height:15" coordorigin="0,0" coordsize="9881,15" path="m3401,0l0,0,0,14,3401,14,3401,0xm9880,0l3416,0,3401,0,3401,14,3416,14,9880,14,9880,0xe" filled="true" fillcolor="#69bd28" stroked="false">
              <v:path arrowok="t"/>
              <v:fill type="solid"/>
            </v:shape>
          </v:group>
        </w:pict>
      </w:r>
      <w:r>
        <w:rPr>
          <w:sz w:val="2"/>
        </w:rPr>
      </w:r>
    </w:p>
    <w:p>
      <w:pPr>
        <w:tabs>
          <w:tab w:pos="3920" w:val="left" w:leader="none"/>
        </w:tabs>
        <w:spacing w:before="34"/>
        <w:ind w:left="17" w:right="0" w:firstLine="0"/>
        <w:jc w:val="center"/>
        <w:rPr>
          <w:sz w:val="18"/>
        </w:rPr>
      </w:pPr>
      <w:r>
        <w:rPr/>
        <w:pict>
          <v:shape style="position:absolute;margin-left:63.384003pt;margin-top:14.230677pt;width:494.75pt;height:.75pt;mso-position-horizontal-relative:page;mso-position-vertical-relative:paragraph;z-index:-15153152;mso-wrap-distance-left:0;mso-wrap-distance-right:0" coordorigin="1268,285" coordsize="9895,15" path="m11162,285l4683,285,4669,285,1268,285,1268,299,4669,299,4683,299,11162,299,11162,285xe" filled="true" fillcolor="#69bd28" stroked="false">
            <v:path arrowok="t"/>
            <v:fill type="solid"/>
            <w10:wrap type="topAndBottom"/>
          </v:shape>
        </w:pict>
      </w:r>
      <w:r>
        <w:rPr>
          <w:sz w:val="18"/>
        </w:rPr>
        <w:t>Anchor</w:t>
      </w:r>
      <w:r>
        <w:rPr>
          <w:spacing w:val="-14"/>
          <w:sz w:val="18"/>
        </w:rPr>
        <w:t> </w:t>
      </w:r>
      <w:r>
        <w:rPr>
          <w:sz w:val="18"/>
        </w:rPr>
        <w:t>Tenants</w:t>
        <w:tab/>
        <w:t>Renewal at market (6 months for &gt;90k</w:t>
      </w:r>
      <w:r>
        <w:rPr>
          <w:spacing w:val="-24"/>
          <w:sz w:val="18"/>
        </w:rPr>
        <w:t> </w:t>
      </w:r>
      <w:r>
        <w:rPr>
          <w:sz w:val="18"/>
        </w:rPr>
        <w:t>sf)</w:t>
      </w:r>
    </w:p>
    <w:p>
      <w:pPr>
        <w:spacing w:before="0"/>
        <w:ind w:left="0" w:right="7312" w:firstLine="0"/>
        <w:jc w:val="center"/>
        <w:rPr>
          <w:i/>
          <w:sz w:val="18"/>
        </w:rPr>
      </w:pPr>
      <w:r>
        <w:rPr>
          <w:i/>
          <w:sz w:val="18"/>
        </w:rPr>
        <w:t>Source: Valuer Assessment</w:t>
      </w:r>
    </w:p>
    <w:p>
      <w:pPr>
        <w:pStyle w:val="BodyText"/>
        <w:spacing w:before="2"/>
        <w:rPr>
          <w:i/>
          <w:sz w:val="24"/>
        </w:rPr>
      </w:pPr>
    </w:p>
    <w:p>
      <w:pPr>
        <w:pStyle w:val="ListParagraph"/>
        <w:numPr>
          <w:ilvl w:val="3"/>
          <w:numId w:val="63"/>
        </w:numPr>
        <w:tabs>
          <w:tab w:pos="1085" w:val="left" w:leader="none"/>
        </w:tabs>
        <w:spacing w:line="240" w:lineRule="auto" w:before="0" w:after="0"/>
        <w:ind w:left="1084" w:right="0" w:hanging="865"/>
        <w:jc w:val="left"/>
        <w:rPr>
          <w:i/>
          <w:sz w:val="20"/>
        </w:rPr>
      </w:pPr>
      <w:r>
        <w:rPr>
          <w:i/>
          <w:color w:val="008000"/>
          <w:sz w:val="20"/>
        </w:rPr>
        <w:t>Rent</w:t>
      </w:r>
      <w:r>
        <w:rPr>
          <w:i/>
          <w:color w:val="008000"/>
          <w:spacing w:val="-4"/>
          <w:sz w:val="20"/>
        </w:rPr>
        <w:t> </w:t>
      </w:r>
      <w:r>
        <w:rPr>
          <w:i/>
          <w:color w:val="008000"/>
          <w:sz w:val="20"/>
        </w:rPr>
        <w:t>Escalation</w:t>
      </w:r>
    </w:p>
    <w:p>
      <w:pPr>
        <w:pStyle w:val="BodyText"/>
        <w:spacing w:before="1"/>
        <w:rPr>
          <w:i/>
        </w:rPr>
      </w:pPr>
    </w:p>
    <w:p>
      <w:pPr>
        <w:pStyle w:val="BodyText"/>
        <w:spacing w:line="321" w:lineRule="auto"/>
        <w:ind w:left="782" w:right="237"/>
        <w:jc w:val="both"/>
      </w:pPr>
      <w:r>
        <w:rPr/>
        <w:t>Based</w:t>
      </w:r>
      <w:r>
        <w:rPr>
          <w:spacing w:val="-43"/>
        </w:rPr>
        <w:t> </w:t>
      </w:r>
      <w:r>
        <w:rPr/>
        <w:t>on</w:t>
      </w:r>
      <w:r>
        <w:rPr>
          <w:spacing w:val="-42"/>
        </w:rPr>
        <w:t> </w:t>
      </w:r>
      <w:r>
        <w:rPr/>
        <w:t>an</w:t>
      </w:r>
      <w:r>
        <w:rPr>
          <w:spacing w:val="-43"/>
        </w:rPr>
        <w:t> </w:t>
      </w:r>
      <w:r>
        <w:rPr/>
        <w:t>analysis</w:t>
      </w:r>
      <w:r>
        <w:rPr>
          <w:spacing w:val="-42"/>
        </w:rPr>
        <w:t> </w:t>
      </w:r>
      <w:r>
        <w:rPr/>
        <w:t>of</w:t>
      </w:r>
      <w:r>
        <w:rPr>
          <w:spacing w:val="-43"/>
        </w:rPr>
        <w:t> </w:t>
      </w:r>
      <w:r>
        <w:rPr/>
        <w:t>existing</w:t>
      </w:r>
      <w:r>
        <w:rPr>
          <w:spacing w:val="-41"/>
        </w:rPr>
        <w:t> </w:t>
      </w:r>
      <w:r>
        <w:rPr/>
        <w:t>lease</w:t>
      </w:r>
      <w:r>
        <w:rPr>
          <w:spacing w:val="-43"/>
        </w:rPr>
        <w:t> </w:t>
      </w:r>
      <w:r>
        <w:rPr/>
        <w:t>rolls,</w:t>
      </w:r>
      <w:r>
        <w:rPr>
          <w:spacing w:val="-43"/>
        </w:rPr>
        <w:t> </w:t>
      </w:r>
      <w:r>
        <w:rPr/>
        <w:t>it</w:t>
      </w:r>
      <w:r>
        <w:rPr>
          <w:spacing w:val="-43"/>
        </w:rPr>
        <w:t> </w:t>
      </w:r>
      <w:r>
        <w:rPr/>
        <w:t>was</w:t>
      </w:r>
      <w:r>
        <w:rPr>
          <w:spacing w:val="-41"/>
        </w:rPr>
        <w:t> </w:t>
      </w:r>
      <w:r>
        <w:rPr/>
        <w:t>observed</w:t>
      </w:r>
      <w:r>
        <w:rPr>
          <w:spacing w:val="-43"/>
        </w:rPr>
        <w:t> </w:t>
      </w:r>
      <w:r>
        <w:rPr/>
        <w:t>that</w:t>
      </w:r>
      <w:r>
        <w:rPr>
          <w:spacing w:val="-42"/>
        </w:rPr>
        <w:t> </w:t>
      </w:r>
      <w:r>
        <w:rPr/>
        <w:t>the</w:t>
      </w:r>
      <w:r>
        <w:rPr>
          <w:spacing w:val="-43"/>
        </w:rPr>
        <w:t> </w:t>
      </w:r>
      <w:r>
        <w:rPr/>
        <w:t>typical</w:t>
      </w:r>
      <w:r>
        <w:rPr>
          <w:spacing w:val="-42"/>
        </w:rPr>
        <w:t> </w:t>
      </w:r>
      <w:r>
        <w:rPr/>
        <w:t>escalation</w:t>
      </w:r>
      <w:r>
        <w:rPr>
          <w:spacing w:val="-43"/>
        </w:rPr>
        <w:t> </w:t>
      </w:r>
      <w:r>
        <w:rPr/>
        <w:t>clause</w:t>
      </w:r>
      <w:r>
        <w:rPr>
          <w:spacing w:val="-43"/>
        </w:rPr>
        <w:t> </w:t>
      </w:r>
      <w:r>
        <w:rPr/>
        <w:t>in</w:t>
      </w:r>
      <w:r>
        <w:rPr>
          <w:spacing w:val="-43"/>
        </w:rPr>
        <w:t> </w:t>
      </w:r>
      <w:r>
        <w:rPr/>
        <w:t>the</w:t>
      </w:r>
      <w:r>
        <w:rPr>
          <w:spacing w:val="-42"/>
        </w:rPr>
        <w:t> </w:t>
      </w:r>
      <w:r>
        <w:rPr/>
        <w:t>subject property</w:t>
      </w:r>
      <w:r>
        <w:rPr>
          <w:spacing w:val="-18"/>
        </w:rPr>
        <w:t> </w:t>
      </w:r>
      <w:r>
        <w:rPr/>
        <w:t>is</w:t>
      </w:r>
      <w:r>
        <w:rPr>
          <w:spacing w:val="-18"/>
        </w:rPr>
        <w:t> </w:t>
      </w:r>
      <w:r>
        <w:rPr/>
        <w:t>in</w:t>
      </w:r>
      <w:r>
        <w:rPr>
          <w:spacing w:val="-19"/>
        </w:rPr>
        <w:t> </w:t>
      </w:r>
      <w:r>
        <w:rPr/>
        <w:t>the</w:t>
      </w:r>
      <w:r>
        <w:rPr>
          <w:spacing w:val="-19"/>
        </w:rPr>
        <w:t> </w:t>
      </w:r>
      <w:r>
        <w:rPr/>
        <w:t>range</w:t>
      </w:r>
      <w:r>
        <w:rPr>
          <w:spacing w:val="-19"/>
        </w:rPr>
        <w:t> </w:t>
      </w:r>
      <w:r>
        <w:rPr/>
        <w:t>of</w:t>
      </w:r>
      <w:r>
        <w:rPr>
          <w:spacing w:val="-18"/>
        </w:rPr>
        <w:t> </w:t>
      </w:r>
      <w:r>
        <w:rPr/>
        <w:t>10%</w:t>
      </w:r>
      <w:r>
        <w:rPr>
          <w:spacing w:val="-19"/>
        </w:rPr>
        <w:t> </w:t>
      </w:r>
      <w:r>
        <w:rPr/>
        <w:t>to</w:t>
      </w:r>
      <w:r>
        <w:rPr>
          <w:spacing w:val="-18"/>
        </w:rPr>
        <w:t> </w:t>
      </w:r>
      <w:r>
        <w:rPr/>
        <w:t>15%</w:t>
      </w:r>
      <w:r>
        <w:rPr>
          <w:spacing w:val="-14"/>
        </w:rPr>
        <w:t> </w:t>
      </w:r>
      <w:r>
        <w:rPr/>
        <w:t>every</w:t>
      </w:r>
      <w:r>
        <w:rPr>
          <w:spacing w:val="-18"/>
        </w:rPr>
        <w:t> </w:t>
      </w:r>
      <w:r>
        <w:rPr/>
        <w:t>three</w:t>
      </w:r>
      <w:r>
        <w:rPr>
          <w:spacing w:val="-17"/>
        </w:rPr>
        <w:t> </w:t>
      </w:r>
      <w:r>
        <w:rPr/>
        <w:t>years,</w:t>
      </w:r>
      <w:r>
        <w:rPr>
          <w:spacing w:val="-19"/>
        </w:rPr>
        <w:t> </w:t>
      </w:r>
      <w:r>
        <w:rPr/>
        <w:t>which</w:t>
      </w:r>
      <w:r>
        <w:rPr>
          <w:spacing w:val="-18"/>
        </w:rPr>
        <w:t> </w:t>
      </w:r>
      <w:r>
        <w:rPr/>
        <w:t>is</w:t>
      </w:r>
      <w:r>
        <w:rPr>
          <w:spacing w:val="-18"/>
        </w:rPr>
        <w:t> </w:t>
      </w:r>
      <w:r>
        <w:rPr/>
        <w:t>in-line</w:t>
      </w:r>
      <w:r>
        <w:rPr>
          <w:spacing w:val="-18"/>
        </w:rPr>
        <w:t> </w:t>
      </w:r>
      <w:r>
        <w:rPr/>
        <w:t>with</w:t>
      </w:r>
      <w:r>
        <w:rPr>
          <w:spacing w:val="-19"/>
        </w:rPr>
        <w:t> </w:t>
      </w:r>
      <w:r>
        <w:rPr/>
        <w:t>the</w:t>
      </w:r>
      <w:r>
        <w:rPr>
          <w:spacing w:val="-20"/>
        </w:rPr>
        <w:t> </w:t>
      </w:r>
      <w:r>
        <w:rPr/>
        <w:t>trend</w:t>
      </w:r>
      <w:r>
        <w:rPr>
          <w:spacing w:val="-18"/>
        </w:rPr>
        <w:t> </w:t>
      </w:r>
      <w:r>
        <w:rPr/>
        <w:t>observed</w:t>
      </w:r>
      <w:r>
        <w:rPr>
          <w:spacing w:val="-18"/>
        </w:rPr>
        <w:t> </w:t>
      </w:r>
      <w:r>
        <w:rPr/>
        <w:t>in</w:t>
      </w:r>
      <w:r>
        <w:rPr>
          <w:spacing w:val="-19"/>
        </w:rPr>
        <w:t> </w:t>
      </w:r>
      <w:r>
        <w:rPr/>
        <w:t>the market.</w:t>
      </w:r>
      <w:r>
        <w:rPr>
          <w:spacing w:val="-6"/>
        </w:rPr>
        <w:t> </w:t>
      </w:r>
      <w:r>
        <w:rPr/>
        <w:t>The</w:t>
      </w:r>
      <w:r>
        <w:rPr>
          <w:spacing w:val="-6"/>
        </w:rPr>
        <w:t> </w:t>
      </w:r>
      <w:r>
        <w:rPr/>
        <w:t>same</w:t>
      </w:r>
      <w:r>
        <w:rPr>
          <w:spacing w:val="-6"/>
        </w:rPr>
        <w:t> </w:t>
      </w:r>
      <w:r>
        <w:rPr/>
        <w:t>has</w:t>
      </w:r>
      <w:r>
        <w:rPr>
          <w:spacing w:val="-7"/>
        </w:rPr>
        <w:t> </w:t>
      </w:r>
      <w:r>
        <w:rPr/>
        <w:t>been</w:t>
      </w:r>
      <w:r>
        <w:rPr>
          <w:spacing w:val="-7"/>
        </w:rPr>
        <w:t> </w:t>
      </w:r>
      <w:r>
        <w:rPr/>
        <w:t>adopted</w:t>
      </w:r>
      <w:r>
        <w:rPr>
          <w:spacing w:val="-8"/>
        </w:rPr>
        <w:t> </w:t>
      </w:r>
      <w:r>
        <w:rPr/>
        <w:t>by</w:t>
      </w:r>
      <w:r>
        <w:rPr>
          <w:spacing w:val="-5"/>
        </w:rPr>
        <w:t> </w:t>
      </w:r>
      <w:r>
        <w:rPr/>
        <w:t>the</w:t>
      </w:r>
      <w:r>
        <w:rPr>
          <w:spacing w:val="-6"/>
        </w:rPr>
        <w:t> </w:t>
      </w:r>
      <w:r>
        <w:rPr/>
        <w:t>Valuer</w:t>
      </w:r>
      <w:r>
        <w:rPr>
          <w:spacing w:val="-7"/>
        </w:rPr>
        <w:t> </w:t>
      </w:r>
      <w:r>
        <w:rPr/>
        <w:t>for</w:t>
      </w:r>
      <w:r>
        <w:rPr>
          <w:spacing w:val="-5"/>
        </w:rPr>
        <w:t> </w:t>
      </w:r>
      <w:r>
        <w:rPr/>
        <w:t>the</w:t>
      </w:r>
      <w:r>
        <w:rPr>
          <w:spacing w:val="-7"/>
        </w:rPr>
        <w:t> </w:t>
      </w:r>
      <w:r>
        <w:rPr/>
        <w:t>vacant</w:t>
      </w:r>
      <w:r>
        <w:rPr>
          <w:spacing w:val="-6"/>
        </w:rPr>
        <w:t> </w:t>
      </w:r>
      <w:r>
        <w:rPr/>
        <w:t>area.</w:t>
      </w:r>
    </w:p>
    <w:p>
      <w:pPr>
        <w:pStyle w:val="BodyText"/>
        <w:spacing w:before="2"/>
        <w:rPr>
          <w:sz w:val="23"/>
        </w:rPr>
      </w:pPr>
    </w:p>
    <w:p>
      <w:pPr>
        <w:pStyle w:val="ListParagraph"/>
        <w:numPr>
          <w:ilvl w:val="3"/>
          <w:numId w:val="63"/>
        </w:numPr>
        <w:tabs>
          <w:tab w:pos="1085" w:val="left" w:leader="none"/>
        </w:tabs>
        <w:spacing w:line="240" w:lineRule="auto" w:before="0" w:after="0"/>
        <w:ind w:left="1084" w:right="0" w:hanging="865"/>
        <w:jc w:val="left"/>
        <w:rPr>
          <w:i/>
          <w:sz w:val="20"/>
        </w:rPr>
      </w:pPr>
      <w:r>
        <w:rPr>
          <w:i/>
          <w:color w:val="008000"/>
          <w:sz w:val="20"/>
        </w:rPr>
        <w:t>Fit-out</w:t>
      </w:r>
      <w:r>
        <w:rPr>
          <w:i/>
          <w:color w:val="008000"/>
          <w:spacing w:val="-4"/>
          <w:sz w:val="20"/>
        </w:rPr>
        <w:t> </w:t>
      </w:r>
      <w:r>
        <w:rPr>
          <w:i/>
          <w:color w:val="008000"/>
          <w:sz w:val="20"/>
        </w:rPr>
        <w:t>Rentals</w:t>
      </w:r>
    </w:p>
    <w:p>
      <w:pPr>
        <w:pStyle w:val="BodyText"/>
        <w:spacing w:before="1"/>
        <w:rPr>
          <w:i/>
        </w:rPr>
      </w:pPr>
    </w:p>
    <w:p>
      <w:pPr>
        <w:pStyle w:val="BodyText"/>
        <w:spacing w:line="321" w:lineRule="auto"/>
        <w:ind w:left="782" w:right="232"/>
        <w:jc w:val="both"/>
      </w:pPr>
      <w:r>
        <w:rPr/>
        <w:t>As</w:t>
      </w:r>
      <w:r>
        <w:rPr>
          <w:spacing w:val="-19"/>
        </w:rPr>
        <w:t> </w:t>
      </w:r>
      <w:r>
        <w:rPr/>
        <w:t>per</w:t>
      </w:r>
      <w:r>
        <w:rPr>
          <w:spacing w:val="-19"/>
        </w:rPr>
        <w:t> </w:t>
      </w:r>
      <w:r>
        <w:rPr/>
        <w:t>the</w:t>
      </w:r>
      <w:r>
        <w:rPr>
          <w:spacing w:val="-18"/>
        </w:rPr>
        <w:t> </w:t>
      </w:r>
      <w:r>
        <w:rPr/>
        <w:t>information</w:t>
      </w:r>
      <w:r>
        <w:rPr>
          <w:spacing w:val="-18"/>
        </w:rPr>
        <w:t> </w:t>
      </w:r>
      <w:r>
        <w:rPr/>
        <w:t>(rent</w:t>
      </w:r>
      <w:r>
        <w:rPr>
          <w:spacing w:val="-19"/>
        </w:rPr>
        <w:t> </w:t>
      </w:r>
      <w:r>
        <w:rPr/>
        <w:t>roll)</w:t>
      </w:r>
      <w:r>
        <w:rPr>
          <w:spacing w:val="-17"/>
        </w:rPr>
        <w:t> </w:t>
      </w:r>
      <w:r>
        <w:rPr/>
        <w:t>provided</w:t>
      </w:r>
      <w:r>
        <w:rPr>
          <w:spacing w:val="-18"/>
        </w:rPr>
        <w:t> </w:t>
      </w:r>
      <w:r>
        <w:rPr/>
        <w:t>by</w:t>
      </w:r>
      <w:r>
        <w:rPr>
          <w:spacing w:val="-17"/>
        </w:rPr>
        <w:t> </w:t>
      </w:r>
      <w:r>
        <w:rPr/>
        <w:t>the</w:t>
      </w:r>
      <w:r>
        <w:rPr>
          <w:spacing w:val="-20"/>
        </w:rPr>
        <w:t> </w:t>
      </w:r>
      <w:r>
        <w:rPr/>
        <w:t>Client,</w:t>
      </w:r>
      <w:r>
        <w:rPr>
          <w:spacing w:val="-18"/>
        </w:rPr>
        <w:t> </w:t>
      </w:r>
      <w:r>
        <w:rPr/>
        <w:t>we</w:t>
      </w:r>
      <w:r>
        <w:rPr>
          <w:spacing w:val="-18"/>
        </w:rPr>
        <w:t> </w:t>
      </w:r>
      <w:r>
        <w:rPr/>
        <w:t>understand</w:t>
      </w:r>
      <w:r>
        <w:rPr>
          <w:spacing w:val="-18"/>
        </w:rPr>
        <w:t> </w:t>
      </w:r>
      <w:r>
        <w:rPr/>
        <w:t>that</w:t>
      </w:r>
      <w:r>
        <w:rPr>
          <w:spacing w:val="-18"/>
        </w:rPr>
        <w:t> </w:t>
      </w:r>
      <w:r>
        <w:rPr/>
        <w:t>there</w:t>
      </w:r>
      <w:r>
        <w:rPr>
          <w:spacing w:val="-14"/>
        </w:rPr>
        <w:t> </w:t>
      </w:r>
      <w:r>
        <w:rPr/>
        <w:t>is</w:t>
      </w:r>
      <w:r>
        <w:rPr>
          <w:spacing w:val="-18"/>
        </w:rPr>
        <w:t> </w:t>
      </w:r>
      <w:r>
        <w:rPr/>
        <w:t>no</w:t>
      </w:r>
      <w:r>
        <w:rPr>
          <w:spacing w:val="-19"/>
        </w:rPr>
        <w:t> </w:t>
      </w:r>
      <w:r>
        <w:rPr/>
        <w:t>fit-outs</w:t>
      </w:r>
      <w:r>
        <w:rPr>
          <w:spacing w:val="-17"/>
        </w:rPr>
        <w:t> </w:t>
      </w:r>
      <w:r>
        <w:rPr/>
        <w:t>rental being charged to any tenant in the subject</w:t>
      </w:r>
      <w:r>
        <w:rPr>
          <w:spacing w:val="-42"/>
        </w:rPr>
        <w:t> </w:t>
      </w:r>
      <w:r>
        <w:rPr/>
        <w:t>property.</w:t>
      </w:r>
    </w:p>
    <w:p>
      <w:pPr>
        <w:pStyle w:val="BodyText"/>
        <w:spacing w:before="3"/>
        <w:rPr>
          <w:sz w:val="23"/>
        </w:rPr>
      </w:pPr>
    </w:p>
    <w:p>
      <w:pPr>
        <w:pStyle w:val="ListParagraph"/>
        <w:numPr>
          <w:ilvl w:val="3"/>
          <w:numId w:val="63"/>
        </w:numPr>
        <w:tabs>
          <w:tab w:pos="1085" w:val="left" w:leader="none"/>
        </w:tabs>
        <w:spacing w:line="240" w:lineRule="auto" w:before="0" w:after="0"/>
        <w:ind w:left="1084" w:right="0" w:hanging="865"/>
        <w:jc w:val="both"/>
        <w:rPr>
          <w:i/>
          <w:sz w:val="20"/>
        </w:rPr>
      </w:pPr>
      <w:r>
        <w:rPr>
          <w:i/>
          <w:color w:val="008000"/>
          <w:sz w:val="20"/>
        </w:rPr>
        <w:t>Parking</w:t>
      </w:r>
      <w:r>
        <w:rPr>
          <w:i/>
          <w:color w:val="008000"/>
          <w:spacing w:val="-2"/>
          <w:sz w:val="20"/>
        </w:rPr>
        <w:t> </w:t>
      </w:r>
      <w:r>
        <w:rPr>
          <w:i/>
          <w:color w:val="008000"/>
          <w:sz w:val="20"/>
        </w:rPr>
        <w:t>Assumptions</w:t>
      </w:r>
    </w:p>
    <w:p>
      <w:pPr>
        <w:pStyle w:val="BodyText"/>
        <w:spacing w:line="321" w:lineRule="auto" w:before="76"/>
        <w:ind w:left="782" w:right="233"/>
        <w:jc w:val="both"/>
      </w:pPr>
      <w:r>
        <w:rPr/>
        <w:t>Based</w:t>
      </w:r>
      <w:r>
        <w:rPr>
          <w:spacing w:val="-30"/>
        </w:rPr>
        <w:t> </w:t>
      </w:r>
      <w:r>
        <w:rPr/>
        <w:t>on</w:t>
      </w:r>
      <w:r>
        <w:rPr>
          <w:spacing w:val="-29"/>
        </w:rPr>
        <w:t> </w:t>
      </w:r>
      <w:r>
        <w:rPr/>
        <w:t>the</w:t>
      </w:r>
      <w:r>
        <w:rPr>
          <w:spacing w:val="-31"/>
        </w:rPr>
        <w:t> </w:t>
      </w:r>
      <w:r>
        <w:rPr/>
        <w:t>prevailing</w:t>
      </w:r>
      <w:r>
        <w:rPr>
          <w:spacing w:val="-28"/>
        </w:rPr>
        <w:t> </w:t>
      </w:r>
      <w:r>
        <w:rPr/>
        <w:t>car</w:t>
      </w:r>
      <w:r>
        <w:rPr>
          <w:spacing w:val="-29"/>
        </w:rPr>
        <w:t> </w:t>
      </w:r>
      <w:r>
        <w:rPr/>
        <w:t>parking</w:t>
      </w:r>
      <w:r>
        <w:rPr>
          <w:spacing w:val="-29"/>
        </w:rPr>
        <w:t> </w:t>
      </w:r>
      <w:r>
        <w:rPr/>
        <w:t>rate</w:t>
      </w:r>
      <w:r>
        <w:rPr>
          <w:spacing w:val="-28"/>
        </w:rPr>
        <w:t> </w:t>
      </w:r>
      <w:r>
        <w:rPr/>
        <w:t>in</w:t>
      </w:r>
      <w:r>
        <w:rPr>
          <w:spacing w:val="-30"/>
        </w:rPr>
        <w:t> </w:t>
      </w:r>
      <w:r>
        <w:rPr/>
        <w:t>the</w:t>
      </w:r>
      <w:r>
        <w:rPr>
          <w:spacing w:val="-31"/>
        </w:rPr>
        <w:t> </w:t>
      </w:r>
      <w:r>
        <w:rPr/>
        <w:t>subject</w:t>
      </w:r>
      <w:r>
        <w:rPr>
          <w:spacing w:val="-28"/>
        </w:rPr>
        <w:t> </w:t>
      </w:r>
      <w:r>
        <w:rPr/>
        <w:t>development</w:t>
      </w:r>
      <w:r>
        <w:rPr>
          <w:spacing w:val="-29"/>
        </w:rPr>
        <w:t> </w:t>
      </w:r>
      <w:r>
        <w:rPr>
          <w:spacing w:val="-2"/>
        </w:rPr>
        <w:t>and</w:t>
      </w:r>
      <w:r>
        <w:rPr>
          <w:spacing w:val="-30"/>
        </w:rPr>
        <w:t> </w:t>
      </w:r>
      <w:r>
        <w:rPr/>
        <w:t>subject</w:t>
      </w:r>
      <w:r>
        <w:rPr>
          <w:spacing w:val="-29"/>
        </w:rPr>
        <w:t> </w:t>
      </w:r>
      <w:r>
        <w:rPr/>
        <w:t>micro-market,</w:t>
      </w:r>
      <w:r>
        <w:rPr>
          <w:spacing w:val="-29"/>
        </w:rPr>
        <w:t> </w:t>
      </w:r>
      <w:r>
        <w:rPr/>
        <w:t>we</w:t>
      </w:r>
      <w:r>
        <w:rPr>
          <w:spacing w:val="-30"/>
        </w:rPr>
        <w:t> </w:t>
      </w:r>
      <w:r>
        <w:rPr/>
        <w:t>have assumed</w:t>
      </w:r>
      <w:r>
        <w:rPr>
          <w:spacing w:val="-11"/>
        </w:rPr>
        <w:t> </w:t>
      </w:r>
      <w:r>
        <w:rPr/>
        <w:t>a</w:t>
      </w:r>
      <w:r>
        <w:rPr>
          <w:spacing w:val="-11"/>
        </w:rPr>
        <w:t> </w:t>
      </w:r>
      <w:r>
        <w:rPr/>
        <w:t>car</w:t>
      </w:r>
      <w:r>
        <w:rPr>
          <w:spacing w:val="-11"/>
        </w:rPr>
        <w:t> </w:t>
      </w:r>
      <w:r>
        <w:rPr/>
        <w:t>park</w:t>
      </w:r>
      <w:r>
        <w:rPr>
          <w:spacing w:val="-11"/>
        </w:rPr>
        <w:t> </w:t>
      </w:r>
      <w:r>
        <w:rPr/>
        <w:t>charge</w:t>
      </w:r>
      <w:r>
        <w:rPr>
          <w:spacing w:val="-11"/>
        </w:rPr>
        <w:t> </w:t>
      </w:r>
      <w:r>
        <w:rPr/>
        <w:t>of</w:t>
      </w:r>
      <w:r>
        <w:rPr>
          <w:spacing w:val="-12"/>
        </w:rPr>
        <w:t> </w:t>
      </w:r>
      <w:r>
        <w:rPr/>
        <w:t>INR</w:t>
      </w:r>
      <w:r>
        <w:rPr>
          <w:spacing w:val="-11"/>
        </w:rPr>
        <w:t> </w:t>
      </w:r>
      <w:r>
        <w:rPr/>
        <w:t>3,000</w:t>
      </w:r>
      <w:r>
        <w:rPr>
          <w:spacing w:val="-12"/>
        </w:rPr>
        <w:t> </w:t>
      </w:r>
      <w:r>
        <w:rPr/>
        <w:t>per</w:t>
      </w:r>
      <w:r>
        <w:rPr>
          <w:spacing w:val="-11"/>
        </w:rPr>
        <w:t> </w:t>
      </w:r>
      <w:r>
        <w:rPr/>
        <w:t>month</w:t>
      </w:r>
      <w:r>
        <w:rPr>
          <w:spacing w:val="-10"/>
        </w:rPr>
        <w:t> </w:t>
      </w:r>
      <w:r>
        <w:rPr/>
        <w:t>per</w:t>
      </w:r>
      <w:r>
        <w:rPr>
          <w:spacing w:val="-11"/>
        </w:rPr>
        <w:t> </w:t>
      </w:r>
      <w:r>
        <w:rPr/>
        <w:t>bay,</w:t>
      </w:r>
      <w:r>
        <w:rPr>
          <w:spacing w:val="-13"/>
        </w:rPr>
        <w:t> </w:t>
      </w:r>
      <w:r>
        <w:rPr/>
        <w:t>with</w:t>
      </w:r>
      <w:r>
        <w:rPr>
          <w:spacing w:val="-11"/>
        </w:rPr>
        <w:t> </w:t>
      </w:r>
      <w:r>
        <w:rPr/>
        <w:t>50%</w:t>
      </w:r>
      <w:r>
        <w:rPr>
          <w:spacing w:val="-11"/>
        </w:rPr>
        <w:t> </w:t>
      </w:r>
      <w:r>
        <w:rPr/>
        <w:t>of</w:t>
      </w:r>
      <w:r>
        <w:rPr>
          <w:spacing w:val="-10"/>
        </w:rPr>
        <w:t> </w:t>
      </w:r>
      <w:r>
        <w:rPr/>
        <w:t>car</w:t>
      </w:r>
      <w:r>
        <w:rPr>
          <w:spacing w:val="-12"/>
        </w:rPr>
        <w:t> </w:t>
      </w:r>
      <w:r>
        <w:rPr/>
        <w:t>park</w:t>
      </w:r>
      <w:r>
        <w:rPr>
          <w:spacing w:val="-8"/>
        </w:rPr>
        <w:t> </w:t>
      </w:r>
      <w:r>
        <w:rPr/>
        <w:t>allocated</w:t>
      </w:r>
      <w:r>
        <w:rPr>
          <w:spacing w:val="-10"/>
        </w:rPr>
        <w:t> </w:t>
      </w:r>
      <w:r>
        <w:rPr/>
        <w:t>to</w:t>
      </w:r>
      <w:r>
        <w:rPr>
          <w:spacing w:val="-11"/>
        </w:rPr>
        <w:t> </w:t>
      </w:r>
      <w:r>
        <w:rPr/>
        <w:t>a</w:t>
      </w:r>
      <w:r>
        <w:rPr>
          <w:spacing w:val="-12"/>
        </w:rPr>
        <w:t> </w:t>
      </w:r>
      <w:r>
        <w:rPr/>
        <w:t>tenant to</w:t>
      </w:r>
      <w:r>
        <w:rPr>
          <w:spacing w:val="-12"/>
        </w:rPr>
        <w:t> </w:t>
      </w:r>
      <w:r>
        <w:rPr/>
        <w:t>be</w:t>
      </w:r>
      <w:r>
        <w:rPr>
          <w:spacing w:val="-12"/>
        </w:rPr>
        <w:t> </w:t>
      </w:r>
      <w:r>
        <w:rPr/>
        <w:t>free</w:t>
      </w:r>
      <w:r>
        <w:rPr>
          <w:spacing w:val="-12"/>
        </w:rPr>
        <w:t> </w:t>
      </w:r>
      <w:r>
        <w:rPr/>
        <w:t>of</w:t>
      </w:r>
      <w:r>
        <w:rPr>
          <w:spacing w:val="-11"/>
        </w:rPr>
        <w:t> </w:t>
      </w:r>
      <w:r>
        <w:rPr/>
        <w:t>cost.</w:t>
      </w:r>
      <w:r>
        <w:rPr>
          <w:spacing w:val="-13"/>
        </w:rPr>
        <w:t> </w:t>
      </w:r>
      <w:r>
        <w:rPr/>
        <w:t>Effective</w:t>
      </w:r>
      <w:r>
        <w:rPr>
          <w:spacing w:val="-12"/>
        </w:rPr>
        <w:t> </w:t>
      </w:r>
      <w:r>
        <w:rPr/>
        <w:t>car</w:t>
      </w:r>
      <w:r>
        <w:rPr>
          <w:spacing w:val="-12"/>
        </w:rPr>
        <w:t> </w:t>
      </w:r>
      <w:r>
        <w:rPr/>
        <w:t>parking</w:t>
      </w:r>
      <w:r>
        <w:rPr>
          <w:spacing w:val="-11"/>
        </w:rPr>
        <w:t> </w:t>
      </w:r>
      <w:r>
        <w:rPr/>
        <w:t>charges</w:t>
      </w:r>
      <w:r>
        <w:rPr>
          <w:spacing w:val="-11"/>
        </w:rPr>
        <w:t> </w:t>
      </w:r>
      <w:r>
        <w:rPr/>
        <w:t>adopted</w:t>
      </w:r>
      <w:r>
        <w:rPr>
          <w:spacing w:val="-13"/>
        </w:rPr>
        <w:t> </w:t>
      </w:r>
      <w:r>
        <w:rPr/>
        <w:t>for</w:t>
      </w:r>
      <w:r>
        <w:rPr>
          <w:spacing w:val="-12"/>
        </w:rPr>
        <w:t> </w:t>
      </w:r>
      <w:r>
        <w:rPr/>
        <w:t>the</w:t>
      </w:r>
      <w:r>
        <w:rPr>
          <w:spacing w:val="-14"/>
        </w:rPr>
        <w:t> </w:t>
      </w:r>
      <w:r>
        <w:rPr/>
        <w:t>purpose</w:t>
      </w:r>
      <w:r>
        <w:rPr>
          <w:spacing w:val="-11"/>
        </w:rPr>
        <w:t> </w:t>
      </w:r>
      <w:r>
        <w:rPr/>
        <w:t>of</w:t>
      </w:r>
      <w:r>
        <w:rPr>
          <w:spacing w:val="-13"/>
        </w:rPr>
        <w:t> </w:t>
      </w:r>
      <w:r>
        <w:rPr/>
        <w:t>this</w:t>
      </w:r>
      <w:r>
        <w:rPr>
          <w:spacing w:val="-11"/>
        </w:rPr>
        <w:t> </w:t>
      </w:r>
      <w:r>
        <w:rPr/>
        <w:t>valuation</w:t>
      </w:r>
      <w:r>
        <w:rPr>
          <w:spacing w:val="-12"/>
        </w:rPr>
        <w:t> </w:t>
      </w:r>
      <w:r>
        <w:rPr/>
        <w:t>is</w:t>
      </w:r>
      <w:r>
        <w:rPr>
          <w:spacing w:val="-11"/>
        </w:rPr>
        <w:t> </w:t>
      </w:r>
      <w:r>
        <w:rPr/>
        <w:t>INR</w:t>
      </w:r>
      <w:r>
        <w:rPr>
          <w:spacing w:val="-12"/>
        </w:rPr>
        <w:t> </w:t>
      </w:r>
      <w:r>
        <w:rPr/>
        <w:t>1,500 per month per</w:t>
      </w:r>
      <w:r>
        <w:rPr>
          <w:spacing w:val="-8"/>
        </w:rPr>
        <w:t> </w:t>
      </w:r>
      <w:r>
        <w:rPr/>
        <w:t>bay.</w:t>
      </w:r>
    </w:p>
    <w:p>
      <w:pPr>
        <w:pStyle w:val="BodyText"/>
        <w:spacing w:before="3"/>
        <w:rPr>
          <w:sz w:val="23"/>
        </w:rPr>
      </w:pPr>
    </w:p>
    <w:p>
      <w:pPr>
        <w:pStyle w:val="ListParagraph"/>
        <w:numPr>
          <w:ilvl w:val="3"/>
          <w:numId w:val="63"/>
        </w:numPr>
        <w:tabs>
          <w:tab w:pos="1085" w:val="left" w:leader="none"/>
        </w:tabs>
        <w:spacing w:line="240" w:lineRule="auto" w:before="0" w:after="0"/>
        <w:ind w:left="1084" w:right="0" w:hanging="865"/>
        <w:jc w:val="both"/>
        <w:rPr>
          <w:i/>
          <w:sz w:val="20"/>
        </w:rPr>
      </w:pPr>
      <w:r>
        <w:rPr>
          <w:i/>
          <w:color w:val="008000"/>
          <w:sz w:val="20"/>
        </w:rPr>
        <w:t>Other</w:t>
      </w:r>
      <w:r>
        <w:rPr>
          <w:i/>
          <w:color w:val="008000"/>
          <w:spacing w:val="-4"/>
          <w:sz w:val="20"/>
        </w:rPr>
        <w:t> </w:t>
      </w:r>
      <w:r>
        <w:rPr>
          <w:i/>
          <w:color w:val="008000"/>
          <w:sz w:val="20"/>
        </w:rPr>
        <w:t>Revenues</w:t>
      </w:r>
    </w:p>
    <w:p>
      <w:pPr>
        <w:pStyle w:val="BodyText"/>
        <w:spacing w:line="321" w:lineRule="auto" w:before="76"/>
        <w:ind w:left="782" w:right="232"/>
        <w:jc w:val="both"/>
      </w:pPr>
      <w:r>
        <w:rPr/>
        <w:t>In</w:t>
      </w:r>
      <w:r>
        <w:rPr>
          <w:spacing w:val="-9"/>
        </w:rPr>
        <w:t> </w:t>
      </w:r>
      <w:r>
        <w:rPr/>
        <w:t>addition</w:t>
      </w:r>
      <w:r>
        <w:rPr>
          <w:spacing w:val="-9"/>
        </w:rPr>
        <w:t> </w:t>
      </w:r>
      <w:r>
        <w:rPr/>
        <w:t>to</w:t>
      </w:r>
      <w:r>
        <w:rPr>
          <w:spacing w:val="-9"/>
        </w:rPr>
        <w:t> </w:t>
      </w:r>
      <w:r>
        <w:rPr/>
        <w:t>lease</w:t>
      </w:r>
      <w:r>
        <w:rPr>
          <w:spacing w:val="-9"/>
        </w:rPr>
        <w:t> </w:t>
      </w:r>
      <w:r>
        <w:rPr/>
        <w:t>rent</w:t>
      </w:r>
      <w:r>
        <w:rPr>
          <w:spacing w:val="-9"/>
        </w:rPr>
        <w:t> </w:t>
      </w:r>
      <w:r>
        <w:rPr/>
        <w:t>revenues,</w:t>
      </w:r>
      <w:r>
        <w:rPr>
          <w:spacing w:val="-9"/>
        </w:rPr>
        <w:t> </w:t>
      </w:r>
      <w:r>
        <w:rPr/>
        <w:t>office</w:t>
      </w:r>
      <w:r>
        <w:rPr>
          <w:spacing w:val="-9"/>
        </w:rPr>
        <w:t> </w:t>
      </w:r>
      <w:r>
        <w:rPr/>
        <w:t>developments</w:t>
      </w:r>
      <w:r>
        <w:rPr>
          <w:spacing w:val="-8"/>
        </w:rPr>
        <w:t> </w:t>
      </w:r>
      <w:r>
        <w:rPr/>
        <w:t>typically</w:t>
      </w:r>
      <w:r>
        <w:rPr>
          <w:spacing w:val="-8"/>
        </w:rPr>
        <w:t> </w:t>
      </w:r>
      <w:r>
        <w:rPr/>
        <w:t>have</w:t>
      </w:r>
      <w:r>
        <w:rPr>
          <w:spacing w:val="-9"/>
        </w:rPr>
        <w:t> </w:t>
      </w:r>
      <w:r>
        <w:rPr/>
        <w:t>additional</w:t>
      </w:r>
      <w:r>
        <w:rPr>
          <w:spacing w:val="-9"/>
        </w:rPr>
        <w:t> </w:t>
      </w:r>
      <w:r>
        <w:rPr/>
        <w:t>sources</w:t>
      </w:r>
      <w:r>
        <w:rPr>
          <w:spacing w:val="-7"/>
        </w:rPr>
        <w:t> </w:t>
      </w:r>
      <w:r>
        <w:rPr/>
        <w:t>of</w:t>
      </w:r>
      <w:r>
        <w:rPr>
          <w:spacing w:val="-9"/>
        </w:rPr>
        <w:t> </w:t>
      </w:r>
      <w:r>
        <w:rPr/>
        <w:t>revenue. These</w:t>
      </w:r>
      <w:r>
        <w:rPr>
          <w:spacing w:val="-36"/>
        </w:rPr>
        <w:t> </w:t>
      </w:r>
      <w:r>
        <w:rPr/>
        <w:t>include</w:t>
      </w:r>
      <w:r>
        <w:rPr>
          <w:spacing w:val="-36"/>
        </w:rPr>
        <w:t> </w:t>
      </w:r>
      <w:r>
        <w:rPr/>
        <w:t>revenues</w:t>
      </w:r>
      <w:r>
        <w:rPr>
          <w:spacing w:val="-35"/>
        </w:rPr>
        <w:t> </w:t>
      </w:r>
      <w:r>
        <w:rPr/>
        <w:t>on</w:t>
      </w:r>
      <w:r>
        <w:rPr>
          <w:spacing w:val="-35"/>
        </w:rPr>
        <w:t> </w:t>
      </w:r>
      <w:r>
        <w:rPr/>
        <w:t>account</w:t>
      </w:r>
      <w:r>
        <w:rPr>
          <w:spacing w:val="-35"/>
        </w:rPr>
        <w:t> </w:t>
      </w:r>
      <w:r>
        <w:rPr/>
        <w:t>of</w:t>
      </w:r>
      <w:r>
        <w:rPr>
          <w:spacing w:val="-35"/>
        </w:rPr>
        <w:t> </w:t>
      </w:r>
      <w:r>
        <w:rPr/>
        <w:t>security</w:t>
      </w:r>
      <w:r>
        <w:rPr>
          <w:spacing w:val="-35"/>
        </w:rPr>
        <w:t> </w:t>
      </w:r>
      <w:r>
        <w:rPr/>
        <w:t>deposit</w:t>
      </w:r>
      <w:r>
        <w:rPr>
          <w:spacing w:val="-35"/>
        </w:rPr>
        <w:t> </w:t>
      </w:r>
      <w:r>
        <w:rPr/>
        <w:t>(refunded</w:t>
      </w:r>
      <w:r>
        <w:rPr>
          <w:spacing w:val="-35"/>
        </w:rPr>
        <w:t> </w:t>
      </w:r>
      <w:r>
        <w:rPr/>
        <w:t>at</w:t>
      </w:r>
      <w:r>
        <w:rPr>
          <w:spacing w:val="-35"/>
        </w:rPr>
        <w:t> </w:t>
      </w:r>
      <w:r>
        <w:rPr/>
        <w:t>the</w:t>
      </w:r>
      <w:r>
        <w:rPr>
          <w:spacing w:val="-36"/>
        </w:rPr>
        <w:t> </w:t>
      </w:r>
      <w:r>
        <w:rPr/>
        <w:t>time</w:t>
      </w:r>
      <w:r>
        <w:rPr>
          <w:spacing w:val="-36"/>
        </w:rPr>
        <w:t> </w:t>
      </w:r>
      <w:r>
        <w:rPr/>
        <w:t>of</w:t>
      </w:r>
      <w:r>
        <w:rPr>
          <w:spacing w:val="-34"/>
        </w:rPr>
        <w:t> </w:t>
      </w:r>
      <w:r>
        <w:rPr/>
        <w:t>lease</w:t>
      </w:r>
      <w:r>
        <w:rPr>
          <w:spacing w:val="-36"/>
        </w:rPr>
        <w:t> </w:t>
      </w:r>
      <w:r>
        <w:rPr/>
        <w:t>expiry</w:t>
      </w:r>
      <w:r>
        <w:rPr>
          <w:spacing w:val="-35"/>
        </w:rPr>
        <w:t> </w:t>
      </w:r>
      <w:r>
        <w:rPr/>
        <w:t>/</w:t>
      </w:r>
      <w:r>
        <w:rPr>
          <w:spacing w:val="-31"/>
        </w:rPr>
        <w:t> </w:t>
      </w:r>
      <w:r>
        <w:rPr/>
        <w:t>exit),</w:t>
      </w:r>
      <w:r>
        <w:rPr>
          <w:spacing w:val="-35"/>
        </w:rPr>
        <w:t> </w:t>
      </w:r>
      <w:r>
        <w:rPr/>
        <w:t>other miscellaneous income (such as cell sites, retail areas, food court), mark-up on Common Area Maintenance (CAM) charges/ CAM margin,</w:t>
      </w:r>
      <w:r>
        <w:rPr>
          <w:spacing w:val="-10"/>
        </w:rPr>
        <w:t> </w:t>
      </w:r>
      <w:r>
        <w:rPr/>
        <w:t>etc.</w:t>
      </w:r>
    </w:p>
    <w:p>
      <w:pPr>
        <w:pStyle w:val="BodyText"/>
        <w:rPr>
          <w:sz w:val="21"/>
        </w:rPr>
      </w:pPr>
    </w:p>
    <w:p>
      <w:pPr>
        <w:pStyle w:val="BodyText"/>
        <w:spacing w:line="321" w:lineRule="auto"/>
        <w:ind w:left="782" w:right="236"/>
        <w:jc w:val="both"/>
      </w:pPr>
      <w:r>
        <w:rPr/>
        <w:t>The assumptions considered for the aforementioned revenue heads for the purpose of this valuation exercise</w:t>
      </w:r>
      <w:r>
        <w:rPr>
          <w:spacing w:val="-39"/>
        </w:rPr>
        <w:t> </w:t>
      </w:r>
      <w:r>
        <w:rPr/>
        <w:t>are</w:t>
      </w:r>
      <w:r>
        <w:rPr>
          <w:spacing w:val="-39"/>
        </w:rPr>
        <w:t> </w:t>
      </w:r>
      <w:r>
        <w:rPr/>
        <w:t>based</w:t>
      </w:r>
      <w:r>
        <w:rPr>
          <w:spacing w:val="-38"/>
        </w:rPr>
        <w:t> </w:t>
      </w:r>
      <w:r>
        <w:rPr/>
        <w:t>on</w:t>
      </w:r>
      <w:r>
        <w:rPr>
          <w:spacing w:val="-39"/>
        </w:rPr>
        <w:t> </w:t>
      </w:r>
      <w:r>
        <w:rPr/>
        <w:t>the</w:t>
      </w:r>
      <w:r>
        <w:rPr>
          <w:spacing w:val="-40"/>
        </w:rPr>
        <w:t> </w:t>
      </w:r>
      <w:r>
        <w:rPr/>
        <w:t>rent</w:t>
      </w:r>
      <w:r>
        <w:rPr>
          <w:spacing w:val="-38"/>
        </w:rPr>
        <w:t> </w:t>
      </w:r>
      <w:r>
        <w:rPr/>
        <w:t>roll/</w:t>
      </w:r>
      <w:r>
        <w:rPr>
          <w:spacing w:val="-38"/>
        </w:rPr>
        <w:t> </w:t>
      </w:r>
      <w:r>
        <w:rPr/>
        <w:t>information</w:t>
      </w:r>
      <w:r>
        <w:rPr>
          <w:spacing w:val="-38"/>
        </w:rPr>
        <w:t> </w:t>
      </w:r>
      <w:r>
        <w:rPr/>
        <w:t>provided</w:t>
      </w:r>
      <w:r>
        <w:rPr>
          <w:spacing w:val="-38"/>
        </w:rPr>
        <w:t> </w:t>
      </w:r>
      <w:r>
        <w:rPr/>
        <w:t>by</w:t>
      </w:r>
      <w:r>
        <w:rPr>
          <w:spacing w:val="-39"/>
        </w:rPr>
        <w:t> </w:t>
      </w:r>
      <w:r>
        <w:rPr/>
        <w:t>the</w:t>
      </w:r>
      <w:r>
        <w:rPr>
          <w:spacing w:val="-38"/>
        </w:rPr>
        <w:t> </w:t>
      </w:r>
      <w:r>
        <w:rPr/>
        <w:t>Client.</w:t>
      </w:r>
      <w:r>
        <w:rPr>
          <w:spacing w:val="-39"/>
        </w:rPr>
        <w:t> </w:t>
      </w:r>
      <w:r>
        <w:rPr/>
        <w:t>The</w:t>
      </w:r>
      <w:r>
        <w:rPr>
          <w:spacing w:val="-40"/>
        </w:rPr>
        <w:t> </w:t>
      </w:r>
      <w:r>
        <w:rPr/>
        <w:t>same</w:t>
      </w:r>
      <w:r>
        <w:rPr>
          <w:spacing w:val="-38"/>
        </w:rPr>
        <w:t> </w:t>
      </w:r>
      <w:r>
        <w:rPr/>
        <w:t>has</w:t>
      </w:r>
      <w:r>
        <w:rPr>
          <w:spacing w:val="-38"/>
        </w:rPr>
        <w:t> </w:t>
      </w:r>
      <w:r>
        <w:rPr/>
        <w:t>been</w:t>
      </w:r>
      <w:r>
        <w:rPr>
          <w:spacing w:val="-38"/>
        </w:rPr>
        <w:t> </w:t>
      </w:r>
      <w:r>
        <w:rPr/>
        <w:t>cross-checked with</w:t>
      </w:r>
      <w:r>
        <w:rPr>
          <w:spacing w:val="-13"/>
        </w:rPr>
        <w:t> </w:t>
      </w:r>
      <w:r>
        <w:rPr/>
        <w:t>the</w:t>
      </w:r>
      <w:r>
        <w:rPr>
          <w:spacing w:val="-13"/>
        </w:rPr>
        <w:t> </w:t>
      </w:r>
      <w:r>
        <w:rPr/>
        <w:t>prevailing</w:t>
      </w:r>
      <w:r>
        <w:rPr>
          <w:spacing w:val="-11"/>
        </w:rPr>
        <w:t> </w:t>
      </w:r>
      <w:r>
        <w:rPr/>
        <w:t>market</w:t>
      </w:r>
      <w:r>
        <w:rPr>
          <w:spacing w:val="-12"/>
        </w:rPr>
        <w:t> </w:t>
      </w:r>
      <w:r>
        <w:rPr/>
        <w:t>norms</w:t>
      </w:r>
      <w:r>
        <w:rPr>
          <w:spacing w:val="-12"/>
        </w:rPr>
        <w:t> </w:t>
      </w:r>
      <w:r>
        <w:rPr/>
        <w:t>for</w:t>
      </w:r>
      <w:r>
        <w:rPr>
          <w:spacing w:val="-12"/>
        </w:rPr>
        <w:t> </w:t>
      </w:r>
      <w:r>
        <w:rPr/>
        <w:t>other</w:t>
      </w:r>
      <w:r>
        <w:rPr>
          <w:spacing w:val="-12"/>
        </w:rPr>
        <w:t> </w:t>
      </w:r>
      <w:r>
        <w:rPr/>
        <w:t>revenues</w:t>
      </w:r>
      <w:r>
        <w:rPr>
          <w:spacing w:val="-12"/>
        </w:rPr>
        <w:t> </w:t>
      </w:r>
      <w:r>
        <w:rPr/>
        <w:t>and</w:t>
      </w:r>
      <w:r>
        <w:rPr>
          <w:spacing w:val="-13"/>
        </w:rPr>
        <w:t> </w:t>
      </w:r>
      <w:r>
        <w:rPr/>
        <w:t>were</w:t>
      </w:r>
      <w:r>
        <w:rPr>
          <w:spacing w:val="-12"/>
        </w:rPr>
        <w:t> </w:t>
      </w:r>
      <w:r>
        <w:rPr/>
        <w:t>found</w:t>
      </w:r>
      <w:r>
        <w:rPr>
          <w:spacing w:val="-12"/>
        </w:rPr>
        <w:t> </w:t>
      </w:r>
      <w:r>
        <w:rPr/>
        <w:t>to</w:t>
      </w:r>
      <w:r>
        <w:rPr>
          <w:spacing w:val="-12"/>
        </w:rPr>
        <w:t> </w:t>
      </w:r>
      <w:r>
        <w:rPr/>
        <w:t>be</w:t>
      </w:r>
      <w:r>
        <w:rPr>
          <w:spacing w:val="-15"/>
        </w:rPr>
        <w:t> </w:t>
      </w:r>
      <w:r>
        <w:rPr/>
        <w:t>broadly</w:t>
      </w:r>
      <w:r>
        <w:rPr>
          <w:spacing w:val="-12"/>
        </w:rPr>
        <w:t> </w:t>
      </w:r>
      <w:r>
        <w:rPr/>
        <w:t>in</w:t>
      </w:r>
      <w:r>
        <w:rPr>
          <w:spacing w:val="-13"/>
        </w:rPr>
        <w:t> </w:t>
      </w:r>
      <w:r>
        <w:rPr/>
        <w:t>line.</w:t>
      </w:r>
    </w:p>
    <w:p>
      <w:pPr>
        <w:pStyle w:val="BodyText"/>
        <w:spacing w:before="8"/>
        <w:rPr>
          <w:sz w:val="20"/>
        </w:rPr>
      </w:pPr>
    </w:p>
    <w:p>
      <w:pPr>
        <w:pStyle w:val="BodyText"/>
        <w:ind w:left="782"/>
        <w:jc w:val="both"/>
      </w:pPr>
      <w:r>
        <w:rPr/>
        <w:t>The assumptions adopted for other revenues are as tabulated below:</w:t>
      </w:r>
    </w:p>
    <w:p>
      <w:pPr>
        <w:pStyle w:val="BodyText"/>
        <w:spacing w:before="10"/>
        <w:rPr>
          <w:sz w:val="27"/>
        </w:rPr>
      </w:pPr>
    </w:p>
    <w:tbl>
      <w:tblPr>
        <w:tblCellSpacing w:w="28" w:type="dxa"/>
        <w:tblW w:w="0" w:type="auto"/>
        <w:jc w:val="left"/>
        <w:tblInd w:w="839"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5"/>
        <w:gridCol w:w="3149"/>
        <w:gridCol w:w="3212"/>
      </w:tblGrid>
      <w:tr>
        <w:trPr>
          <w:trHeight w:val="158" w:hRule="atLeast"/>
        </w:trPr>
        <w:tc>
          <w:tcPr>
            <w:tcW w:w="3465" w:type="dxa"/>
            <w:tcBorders>
              <w:left w:val="nil"/>
              <w:right w:val="nil"/>
            </w:tcBorders>
            <w:shd w:val="clear" w:color="auto" w:fill="006A4D"/>
          </w:tcPr>
          <w:p>
            <w:pPr>
              <w:pStyle w:val="TableParagraph"/>
              <w:spacing w:line="192" w:lineRule="exact" w:before="3"/>
              <w:ind w:left="931"/>
              <w:jc w:val="left"/>
              <w:rPr>
                <w:b/>
                <w:sz w:val="18"/>
              </w:rPr>
            </w:pPr>
            <w:r>
              <w:rPr>
                <w:b/>
                <w:color w:val="FFFFFF"/>
                <w:w w:val="105"/>
                <w:sz w:val="18"/>
              </w:rPr>
              <w:t>Nature of Income</w:t>
            </w:r>
          </w:p>
        </w:tc>
        <w:tc>
          <w:tcPr>
            <w:tcW w:w="3149" w:type="dxa"/>
            <w:tcBorders>
              <w:left w:val="nil"/>
              <w:right w:val="nil"/>
            </w:tcBorders>
            <w:shd w:val="clear" w:color="auto" w:fill="006A4D"/>
          </w:tcPr>
          <w:p>
            <w:pPr>
              <w:pStyle w:val="TableParagraph"/>
              <w:spacing w:line="192" w:lineRule="exact" w:before="3"/>
              <w:ind w:left="1246" w:right="1234"/>
              <w:rPr>
                <w:b/>
                <w:sz w:val="18"/>
              </w:rPr>
            </w:pPr>
            <w:r>
              <w:rPr>
                <w:b/>
                <w:color w:val="FFFFFF"/>
                <w:w w:val="110"/>
                <w:sz w:val="18"/>
              </w:rPr>
              <w:t>Details</w:t>
            </w:r>
          </w:p>
        </w:tc>
        <w:tc>
          <w:tcPr>
            <w:tcW w:w="3212" w:type="dxa"/>
            <w:tcBorders>
              <w:left w:val="nil"/>
              <w:right w:val="nil"/>
            </w:tcBorders>
            <w:shd w:val="clear" w:color="auto" w:fill="006A4D"/>
          </w:tcPr>
          <w:p>
            <w:pPr>
              <w:pStyle w:val="TableParagraph"/>
              <w:spacing w:line="192" w:lineRule="exact" w:before="3"/>
              <w:ind w:left="723" w:right="712"/>
              <w:rPr>
                <w:b/>
                <w:sz w:val="18"/>
              </w:rPr>
            </w:pPr>
            <w:r>
              <w:rPr>
                <w:b/>
                <w:color w:val="FFFFFF"/>
                <w:w w:val="105"/>
                <w:sz w:val="18"/>
              </w:rPr>
              <w:t>Units</w:t>
            </w:r>
          </w:p>
        </w:tc>
      </w:tr>
    </w:tbl>
    <w:p>
      <w:pPr>
        <w:pStyle w:val="BodyText"/>
        <w:spacing w:before="7"/>
        <w:rPr>
          <w:sz w:val="3"/>
        </w:rPr>
      </w:pPr>
    </w:p>
    <w:tbl>
      <w:tblPr>
        <w:tblW w:w="0" w:type="auto"/>
        <w:jc w:val="left"/>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53"/>
        <w:gridCol w:w="2399"/>
        <w:gridCol w:w="3644"/>
      </w:tblGrid>
      <w:tr>
        <w:trPr>
          <w:trHeight w:val="254" w:hRule="atLeast"/>
        </w:trPr>
        <w:tc>
          <w:tcPr>
            <w:tcW w:w="3853" w:type="dxa"/>
            <w:tcBorders>
              <w:bottom w:val="single" w:sz="6" w:space="0" w:color="69BD28"/>
            </w:tcBorders>
          </w:tcPr>
          <w:p>
            <w:pPr>
              <w:pStyle w:val="TableParagraph"/>
              <w:spacing w:before="4"/>
              <w:ind w:left="475" w:right="806"/>
              <w:rPr>
                <w:sz w:val="18"/>
              </w:rPr>
            </w:pPr>
            <w:r>
              <w:rPr>
                <w:sz w:val="18"/>
              </w:rPr>
              <w:t>Miscellaneous Income</w:t>
            </w:r>
          </w:p>
        </w:tc>
        <w:tc>
          <w:tcPr>
            <w:tcW w:w="2399" w:type="dxa"/>
            <w:tcBorders>
              <w:bottom w:val="single" w:sz="6" w:space="0" w:color="69BD28"/>
            </w:tcBorders>
          </w:tcPr>
          <w:p>
            <w:pPr>
              <w:pStyle w:val="TableParagraph"/>
              <w:spacing w:before="4"/>
              <w:ind w:left="803" w:right="746"/>
              <w:rPr>
                <w:sz w:val="18"/>
              </w:rPr>
            </w:pPr>
            <w:r>
              <w:rPr>
                <w:w w:val="110"/>
                <w:sz w:val="18"/>
              </w:rPr>
              <w:t>0.80%</w:t>
            </w:r>
          </w:p>
        </w:tc>
        <w:tc>
          <w:tcPr>
            <w:tcW w:w="3644" w:type="dxa"/>
            <w:tcBorders>
              <w:bottom w:val="single" w:sz="6" w:space="0" w:color="69BD28"/>
            </w:tcBorders>
          </w:tcPr>
          <w:p>
            <w:pPr>
              <w:pStyle w:val="TableParagraph"/>
              <w:spacing w:before="4"/>
              <w:ind w:left="702" w:right="225"/>
              <w:rPr>
                <w:sz w:val="18"/>
              </w:rPr>
            </w:pPr>
            <w:r>
              <w:rPr>
                <w:w w:val="105"/>
                <w:sz w:val="18"/>
              </w:rPr>
              <w:t>% of rental income</w:t>
            </w:r>
          </w:p>
        </w:tc>
      </w:tr>
      <w:tr>
        <w:trPr>
          <w:trHeight w:val="294" w:hRule="atLeast"/>
        </w:trPr>
        <w:tc>
          <w:tcPr>
            <w:tcW w:w="3853" w:type="dxa"/>
            <w:tcBorders>
              <w:top w:val="single" w:sz="6" w:space="0" w:color="69BD28"/>
              <w:bottom w:val="single" w:sz="6" w:space="0" w:color="69BD28"/>
            </w:tcBorders>
          </w:tcPr>
          <w:p>
            <w:pPr>
              <w:pStyle w:val="TableParagraph"/>
              <w:spacing w:before="44"/>
              <w:ind w:left="475" w:right="807"/>
              <w:rPr>
                <w:sz w:val="18"/>
              </w:rPr>
            </w:pPr>
            <w:r>
              <w:rPr>
                <w:sz w:val="18"/>
              </w:rPr>
              <w:t>Warm shell Security Deposit*</w:t>
            </w:r>
          </w:p>
        </w:tc>
        <w:tc>
          <w:tcPr>
            <w:tcW w:w="2399" w:type="dxa"/>
            <w:tcBorders>
              <w:top w:val="single" w:sz="6" w:space="0" w:color="69BD28"/>
              <w:bottom w:val="single" w:sz="6" w:space="0" w:color="69BD28"/>
            </w:tcBorders>
          </w:tcPr>
          <w:p>
            <w:pPr>
              <w:pStyle w:val="TableParagraph"/>
              <w:spacing w:before="44"/>
              <w:ind w:left="803" w:right="744"/>
              <w:rPr>
                <w:sz w:val="18"/>
              </w:rPr>
            </w:pPr>
            <w:r>
              <w:rPr>
                <w:w w:val="105"/>
                <w:sz w:val="18"/>
              </w:rPr>
              <w:t>6 months</w:t>
            </w:r>
          </w:p>
        </w:tc>
        <w:tc>
          <w:tcPr>
            <w:tcW w:w="3644" w:type="dxa"/>
            <w:tcBorders>
              <w:top w:val="single" w:sz="6" w:space="0" w:color="69BD28"/>
              <w:bottom w:val="single" w:sz="6" w:space="0" w:color="69BD28"/>
            </w:tcBorders>
          </w:tcPr>
          <w:p>
            <w:pPr>
              <w:pStyle w:val="TableParagraph"/>
              <w:spacing w:before="44"/>
              <w:ind w:left="702" w:right="227"/>
              <w:rPr>
                <w:sz w:val="18"/>
              </w:rPr>
            </w:pPr>
            <w:r>
              <w:rPr>
                <w:sz w:val="18"/>
              </w:rPr>
              <w:t>No. of months’ warm shell rental</w:t>
            </w:r>
          </w:p>
        </w:tc>
      </w:tr>
      <w:tr>
        <w:trPr>
          <w:trHeight w:val="296" w:hRule="atLeast"/>
        </w:trPr>
        <w:tc>
          <w:tcPr>
            <w:tcW w:w="3853" w:type="dxa"/>
            <w:tcBorders>
              <w:top w:val="single" w:sz="6" w:space="0" w:color="69BD28"/>
              <w:bottom w:val="single" w:sz="6" w:space="0" w:color="69BD28"/>
            </w:tcBorders>
          </w:tcPr>
          <w:p>
            <w:pPr>
              <w:pStyle w:val="TableParagraph"/>
              <w:spacing w:before="46"/>
              <w:ind w:left="475" w:right="801"/>
              <w:rPr>
                <w:sz w:val="18"/>
              </w:rPr>
            </w:pPr>
            <w:r>
              <w:rPr>
                <w:w w:val="110"/>
                <w:sz w:val="18"/>
              </w:rPr>
              <w:t>Parking Income </w:t>
            </w:r>
            <w:r>
              <w:rPr>
                <w:w w:val="160"/>
                <w:sz w:val="18"/>
              </w:rPr>
              <w:t>^</w:t>
            </w:r>
          </w:p>
        </w:tc>
        <w:tc>
          <w:tcPr>
            <w:tcW w:w="2399" w:type="dxa"/>
            <w:tcBorders>
              <w:top w:val="single" w:sz="6" w:space="0" w:color="69BD28"/>
              <w:bottom w:val="single" w:sz="6" w:space="0" w:color="69BD28"/>
            </w:tcBorders>
          </w:tcPr>
          <w:p>
            <w:pPr>
              <w:pStyle w:val="TableParagraph"/>
              <w:spacing w:before="46"/>
              <w:ind w:left="803" w:right="749"/>
              <w:rPr>
                <w:sz w:val="18"/>
              </w:rPr>
            </w:pPr>
            <w:r>
              <w:rPr>
                <w:w w:val="105"/>
                <w:sz w:val="18"/>
              </w:rPr>
              <w:t>INR 1,500</w:t>
            </w:r>
          </w:p>
        </w:tc>
        <w:tc>
          <w:tcPr>
            <w:tcW w:w="3644" w:type="dxa"/>
            <w:tcBorders>
              <w:top w:val="single" w:sz="6" w:space="0" w:color="69BD28"/>
              <w:bottom w:val="single" w:sz="6" w:space="0" w:color="69BD28"/>
            </w:tcBorders>
          </w:tcPr>
          <w:p>
            <w:pPr>
              <w:pStyle w:val="TableParagraph"/>
              <w:spacing w:before="46"/>
              <w:ind w:left="702" w:right="225"/>
              <w:rPr>
                <w:sz w:val="18"/>
              </w:rPr>
            </w:pPr>
            <w:r>
              <w:rPr>
                <w:sz w:val="18"/>
              </w:rPr>
              <w:t>per car park</w:t>
            </w:r>
          </w:p>
        </w:tc>
      </w:tr>
      <w:tr>
        <w:trPr>
          <w:trHeight w:val="297" w:hRule="atLeast"/>
        </w:trPr>
        <w:tc>
          <w:tcPr>
            <w:tcW w:w="3853" w:type="dxa"/>
            <w:tcBorders>
              <w:top w:val="single" w:sz="6" w:space="0" w:color="69BD28"/>
              <w:bottom w:val="single" w:sz="6" w:space="0" w:color="69BD28"/>
            </w:tcBorders>
          </w:tcPr>
          <w:p>
            <w:pPr>
              <w:pStyle w:val="TableParagraph"/>
              <w:spacing w:before="44"/>
              <w:ind w:left="475" w:right="807"/>
              <w:rPr>
                <w:sz w:val="18"/>
              </w:rPr>
            </w:pPr>
            <w:r>
              <w:rPr>
                <w:w w:val="105"/>
                <w:sz w:val="18"/>
              </w:rPr>
              <w:t>Mark-Up on CAM/ CAM margin</w:t>
            </w:r>
          </w:p>
        </w:tc>
        <w:tc>
          <w:tcPr>
            <w:tcW w:w="2399" w:type="dxa"/>
            <w:tcBorders>
              <w:top w:val="single" w:sz="6" w:space="0" w:color="69BD28"/>
              <w:bottom w:val="single" w:sz="6" w:space="0" w:color="69BD28"/>
            </w:tcBorders>
          </w:tcPr>
          <w:p>
            <w:pPr>
              <w:pStyle w:val="TableParagraph"/>
              <w:spacing w:before="44"/>
              <w:ind w:left="803" w:right="746"/>
              <w:rPr>
                <w:sz w:val="18"/>
              </w:rPr>
            </w:pPr>
            <w:r>
              <w:rPr>
                <w:w w:val="110"/>
                <w:sz w:val="18"/>
              </w:rPr>
              <w:t>20.0%</w:t>
            </w:r>
          </w:p>
        </w:tc>
        <w:tc>
          <w:tcPr>
            <w:tcW w:w="3644" w:type="dxa"/>
            <w:tcBorders>
              <w:top w:val="single" w:sz="6" w:space="0" w:color="69BD28"/>
              <w:bottom w:val="single" w:sz="6" w:space="0" w:color="69BD28"/>
            </w:tcBorders>
          </w:tcPr>
          <w:p>
            <w:pPr>
              <w:pStyle w:val="TableParagraph"/>
              <w:spacing w:before="44"/>
              <w:ind w:left="476"/>
              <w:rPr>
                <w:sz w:val="18"/>
              </w:rPr>
            </w:pPr>
            <w:r>
              <w:rPr>
                <w:w w:val="123"/>
                <w:sz w:val="18"/>
              </w:rPr>
              <w:t>%</w:t>
            </w:r>
          </w:p>
        </w:tc>
      </w:tr>
    </w:tbl>
    <w:p>
      <w:pPr>
        <w:spacing w:line="319" w:lineRule="auto" w:before="118"/>
        <w:ind w:left="782" w:right="237" w:firstLine="0"/>
        <w:jc w:val="both"/>
        <w:rPr>
          <w:i/>
          <w:sz w:val="18"/>
        </w:rPr>
      </w:pPr>
      <w:r>
        <w:rPr>
          <w:i/>
          <w:w w:val="103"/>
          <w:sz w:val="18"/>
        </w:rPr>
        <w:t>So</w:t>
      </w:r>
      <w:r>
        <w:rPr>
          <w:i/>
          <w:w w:val="92"/>
          <w:sz w:val="18"/>
        </w:rPr>
        <w:t>u</w:t>
      </w:r>
      <w:r>
        <w:rPr>
          <w:i/>
          <w:w w:val="81"/>
          <w:sz w:val="18"/>
        </w:rPr>
        <w:t>r</w:t>
      </w:r>
      <w:r>
        <w:rPr>
          <w:i/>
          <w:w w:val="100"/>
          <w:sz w:val="18"/>
        </w:rPr>
        <w:t>c</w:t>
      </w:r>
      <w:r>
        <w:rPr>
          <w:i/>
          <w:w w:val="90"/>
          <w:sz w:val="18"/>
        </w:rPr>
        <w:t>e:</w:t>
      </w:r>
      <w:r>
        <w:rPr>
          <w:i/>
          <w:sz w:val="18"/>
        </w:rPr>
        <w:t> </w:t>
      </w:r>
      <w:r>
        <w:rPr>
          <w:i/>
          <w:w w:val="112"/>
          <w:sz w:val="18"/>
        </w:rPr>
        <w:t>C</w:t>
      </w:r>
      <w:r>
        <w:rPr>
          <w:i/>
          <w:w w:val="85"/>
          <w:sz w:val="18"/>
        </w:rPr>
        <w:t>lie</w:t>
      </w:r>
      <w:r>
        <w:rPr>
          <w:i/>
          <w:w w:val="99"/>
          <w:sz w:val="18"/>
        </w:rPr>
        <w:t>n</w:t>
      </w:r>
      <w:r>
        <w:rPr>
          <w:i/>
          <w:w w:val="68"/>
          <w:sz w:val="18"/>
        </w:rPr>
        <w:t>t</w:t>
      </w:r>
      <w:r>
        <w:rPr>
          <w:i/>
          <w:w w:val="78"/>
          <w:sz w:val="18"/>
        </w:rPr>
        <w:t>’</w:t>
      </w:r>
      <w:r>
        <w:rPr>
          <w:i/>
          <w:w w:val="101"/>
          <w:sz w:val="18"/>
        </w:rPr>
        <w:t>s</w:t>
      </w:r>
      <w:r>
        <w:rPr>
          <w:i/>
          <w:sz w:val="18"/>
        </w:rPr>
        <w:t> </w:t>
      </w:r>
      <w:r>
        <w:rPr>
          <w:i/>
          <w:w w:val="94"/>
          <w:sz w:val="18"/>
        </w:rPr>
        <w:t>I</w:t>
      </w:r>
      <w:r>
        <w:rPr>
          <w:i/>
          <w:w w:val="99"/>
          <w:sz w:val="18"/>
        </w:rPr>
        <w:t>n</w:t>
      </w:r>
      <w:r>
        <w:rPr>
          <w:i/>
          <w:w w:val="101"/>
          <w:sz w:val="18"/>
        </w:rPr>
        <w:t>p</w:t>
      </w:r>
      <w:r>
        <w:rPr>
          <w:i/>
          <w:w w:val="92"/>
          <w:sz w:val="18"/>
        </w:rPr>
        <w:t>u</w:t>
      </w:r>
      <w:r>
        <w:rPr>
          <w:i/>
          <w:w w:val="68"/>
          <w:sz w:val="18"/>
        </w:rPr>
        <w:t>t</w:t>
      </w:r>
      <w:r>
        <w:rPr>
          <w:i/>
          <w:w w:val="101"/>
          <w:sz w:val="18"/>
        </w:rPr>
        <w:t>s</w:t>
      </w:r>
      <w:r>
        <w:rPr>
          <w:i/>
          <w:sz w:val="18"/>
        </w:rPr>
        <w:t> </w:t>
      </w:r>
      <w:r>
        <w:rPr>
          <w:i/>
          <w:w w:val="88"/>
          <w:sz w:val="18"/>
        </w:rPr>
        <w:t>&amp;</w:t>
      </w:r>
      <w:r>
        <w:rPr>
          <w:i/>
          <w:sz w:val="18"/>
        </w:rPr>
        <w:t> </w:t>
      </w:r>
      <w:r>
        <w:rPr>
          <w:i/>
          <w:w w:val="101"/>
          <w:sz w:val="18"/>
        </w:rPr>
        <w:t>Va</w:t>
      </w:r>
      <w:r>
        <w:rPr>
          <w:i/>
          <w:w w:val="85"/>
          <w:sz w:val="18"/>
        </w:rPr>
        <w:t>lu</w:t>
      </w:r>
      <w:r>
        <w:rPr>
          <w:i/>
          <w:w w:val="88"/>
          <w:sz w:val="18"/>
        </w:rPr>
        <w:t>er</w:t>
      </w:r>
      <w:r>
        <w:rPr>
          <w:i/>
          <w:sz w:val="18"/>
        </w:rPr>
        <w:t> </w:t>
      </w:r>
      <w:r>
        <w:rPr>
          <w:i/>
          <w:w w:val="107"/>
          <w:sz w:val="18"/>
        </w:rPr>
        <w:t>a</w:t>
      </w:r>
      <w:r>
        <w:rPr>
          <w:i/>
          <w:w w:val="101"/>
          <w:sz w:val="18"/>
        </w:rPr>
        <w:t>ss</w:t>
      </w:r>
      <w:r>
        <w:rPr>
          <w:i/>
          <w:w w:val="97"/>
          <w:sz w:val="18"/>
        </w:rPr>
        <w:t>es</w:t>
      </w:r>
      <w:r>
        <w:rPr>
          <w:i/>
          <w:w w:val="101"/>
          <w:sz w:val="18"/>
        </w:rPr>
        <w:t>s</w:t>
      </w:r>
      <w:r>
        <w:rPr>
          <w:i/>
          <w:w w:val="95"/>
          <w:sz w:val="18"/>
        </w:rPr>
        <w:t>men</w:t>
      </w:r>
      <w:r>
        <w:rPr>
          <w:i/>
          <w:w w:val="68"/>
          <w:sz w:val="18"/>
        </w:rPr>
        <w:t>t</w:t>
      </w:r>
      <w:r>
        <w:rPr>
          <w:i/>
          <w:w w:val="83"/>
          <w:sz w:val="18"/>
        </w:rPr>
        <w:t>;</w:t>
      </w:r>
      <w:r>
        <w:rPr>
          <w:i/>
          <w:sz w:val="18"/>
        </w:rPr>
        <w:t> </w:t>
      </w:r>
      <w:r>
        <w:rPr>
          <w:i/>
          <w:w w:val="116"/>
          <w:sz w:val="18"/>
        </w:rPr>
        <w:t>*</w:t>
      </w:r>
      <w:r>
        <w:rPr>
          <w:i/>
          <w:sz w:val="18"/>
        </w:rPr>
        <w:t> </w:t>
      </w:r>
      <w:r>
        <w:rPr>
          <w:i/>
          <w:w w:val="89"/>
          <w:sz w:val="18"/>
        </w:rPr>
        <w:t>Ref</w:t>
      </w:r>
      <w:r>
        <w:rPr>
          <w:i/>
          <w:w w:val="92"/>
          <w:sz w:val="18"/>
        </w:rPr>
        <w:t>u</w:t>
      </w:r>
      <w:r>
        <w:rPr>
          <w:i/>
          <w:w w:val="99"/>
          <w:sz w:val="18"/>
        </w:rPr>
        <w:t>n</w:t>
      </w:r>
      <w:r>
        <w:rPr>
          <w:i/>
          <w:w w:val="101"/>
          <w:sz w:val="18"/>
        </w:rPr>
        <w:t>d</w:t>
      </w:r>
      <w:r>
        <w:rPr>
          <w:i/>
          <w:w w:val="98"/>
          <w:sz w:val="18"/>
        </w:rPr>
        <w:t>ed</w:t>
      </w:r>
      <w:r>
        <w:rPr>
          <w:i/>
          <w:sz w:val="18"/>
        </w:rPr>
        <w:t> </w:t>
      </w:r>
      <w:r>
        <w:rPr>
          <w:i/>
          <w:w w:val="107"/>
          <w:sz w:val="18"/>
        </w:rPr>
        <w:t>a</w:t>
      </w:r>
      <w:r>
        <w:rPr>
          <w:i/>
          <w:w w:val="68"/>
          <w:sz w:val="18"/>
        </w:rPr>
        <w:t>t</w:t>
      </w:r>
      <w:r>
        <w:rPr>
          <w:i/>
          <w:sz w:val="18"/>
        </w:rPr>
        <w:t> </w:t>
      </w:r>
      <w:r>
        <w:rPr>
          <w:i/>
          <w:w w:val="68"/>
          <w:sz w:val="18"/>
        </w:rPr>
        <w:t>t</w:t>
      </w:r>
      <w:r>
        <w:rPr>
          <w:i/>
          <w:w w:val="97"/>
          <w:sz w:val="18"/>
        </w:rPr>
        <w:t>h</w:t>
      </w:r>
      <w:r>
        <w:rPr>
          <w:i/>
          <w:w w:val="94"/>
          <w:sz w:val="18"/>
        </w:rPr>
        <w:t>e</w:t>
      </w:r>
      <w:r>
        <w:rPr>
          <w:i/>
          <w:sz w:val="18"/>
        </w:rPr>
        <w:t> </w:t>
      </w:r>
      <w:r>
        <w:rPr>
          <w:i/>
          <w:w w:val="68"/>
          <w:sz w:val="18"/>
        </w:rPr>
        <w:t>t</w:t>
      </w:r>
      <w:r>
        <w:rPr>
          <w:i/>
          <w:w w:val="91"/>
          <w:sz w:val="18"/>
        </w:rPr>
        <w:t>ime</w:t>
      </w:r>
      <w:r>
        <w:rPr>
          <w:i/>
          <w:sz w:val="18"/>
        </w:rPr>
        <w:t> </w:t>
      </w:r>
      <w:r>
        <w:rPr>
          <w:i/>
          <w:w w:val="102"/>
          <w:sz w:val="18"/>
        </w:rPr>
        <w:t>o</w:t>
      </w:r>
      <w:r>
        <w:rPr>
          <w:i/>
          <w:w w:val="77"/>
          <w:sz w:val="18"/>
        </w:rPr>
        <w:t>f</w:t>
      </w:r>
      <w:r>
        <w:rPr>
          <w:i/>
          <w:sz w:val="18"/>
        </w:rPr>
        <w:t> </w:t>
      </w:r>
      <w:r>
        <w:rPr>
          <w:i/>
          <w:w w:val="95"/>
          <w:sz w:val="18"/>
        </w:rPr>
        <w:t>lea</w:t>
      </w:r>
      <w:r>
        <w:rPr>
          <w:i/>
          <w:w w:val="101"/>
          <w:sz w:val="18"/>
        </w:rPr>
        <w:t>s</w:t>
      </w:r>
      <w:r>
        <w:rPr>
          <w:i/>
          <w:w w:val="94"/>
          <w:sz w:val="18"/>
        </w:rPr>
        <w:t>e</w:t>
      </w:r>
      <w:r>
        <w:rPr>
          <w:i/>
          <w:sz w:val="18"/>
        </w:rPr>
        <w:t> </w:t>
      </w:r>
      <w:r>
        <w:rPr>
          <w:i/>
          <w:w w:val="95"/>
          <w:sz w:val="18"/>
        </w:rPr>
        <w:t>exp</w:t>
      </w:r>
      <w:r>
        <w:rPr>
          <w:i/>
          <w:w w:val="80"/>
          <w:sz w:val="18"/>
        </w:rPr>
        <w:t>ir</w:t>
      </w:r>
      <w:r>
        <w:rPr>
          <w:i/>
          <w:w w:val="89"/>
          <w:sz w:val="18"/>
        </w:rPr>
        <w:t>y/</w:t>
      </w:r>
      <w:r>
        <w:rPr>
          <w:i/>
          <w:sz w:val="18"/>
        </w:rPr>
        <w:t> </w:t>
      </w:r>
      <w:r>
        <w:rPr>
          <w:i/>
          <w:w w:val="84"/>
          <w:sz w:val="18"/>
        </w:rPr>
        <w:t>exit</w:t>
      </w:r>
      <w:r>
        <w:rPr>
          <w:i/>
          <w:w w:val="83"/>
          <w:sz w:val="18"/>
        </w:rPr>
        <w:t>;</w:t>
      </w:r>
      <w:r>
        <w:rPr>
          <w:i/>
          <w:sz w:val="18"/>
        </w:rPr>
        <w:t> </w:t>
      </w:r>
      <w:r>
        <w:rPr>
          <w:i/>
          <w:w w:val="191"/>
          <w:position w:val="6"/>
          <w:sz w:val="11"/>
        </w:rPr>
        <w:t>^</w:t>
      </w:r>
      <w:r>
        <w:rPr>
          <w:i/>
          <w:w w:val="107"/>
          <w:sz w:val="18"/>
        </w:rPr>
        <w:t>a</w:t>
      </w:r>
      <w:r>
        <w:rPr>
          <w:i/>
          <w:w w:val="101"/>
          <w:sz w:val="18"/>
        </w:rPr>
        <w:t>ss</w:t>
      </w:r>
      <w:r>
        <w:rPr>
          <w:i/>
          <w:w w:val="92"/>
          <w:sz w:val="18"/>
        </w:rPr>
        <w:t>u</w:t>
      </w:r>
      <w:r>
        <w:rPr>
          <w:i/>
          <w:w w:val="96"/>
          <w:sz w:val="18"/>
        </w:rPr>
        <w:t>med</w:t>
      </w:r>
      <w:r>
        <w:rPr>
          <w:i/>
          <w:sz w:val="18"/>
        </w:rPr>
        <w:t> </w:t>
      </w:r>
      <w:r>
        <w:rPr>
          <w:i/>
          <w:w w:val="107"/>
          <w:sz w:val="18"/>
        </w:rPr>
        <w:t>a</w:t>
      </w:r>
      <w:r>
        <w:rPr>
          <w:i/>
          <w:w w:val="68"/>
          <w:sz w:val="18"/>
        </w:rPr>
        <w:t>t</w:t>
      </w:r>
      <w:r>
        <w:rPr>
          <w:i/>
          <w:sz w:val="18"/>
        </w:rPr>
        <w:t> </w:t>
      </w:r>
      <w:r>
        <w:rPr>
          <w:i/>
          <w:w w:val="104"/>
          <w:sz w:val="18"/>
        </w:rPr>
        <w:t>INR</w:t>
      </w:r>
      <w:r>
        <w:rPr>
          <w:i/>
          <w:sz w:val="18"/>
        </w:rPr>
        <w:t> </w:t>
      </w:r>
      <w:r>
        <w:rPr>
          <w:i/>
          <w:w w:val="105"/>
          <w:sz w:val="18"/>
        </w:rPr>
        <w:t>3,000</w:t>
      </w:r>
      <w:r>
        <w:rPr>
          <w:i/>
          <w:sz w:val="18"/>
        </w:rPr>
        <w:t> </w:t>
      </w:r>
      <w:r>
        <w:rPr>
          <w:i/>
          <w:w w:val="101"/>
          <w:sz w:val="18"/>
        </w:rPr>
        <w:t>p</w:t>
      </w:r>
      <w:r>
        <w:rPr>
          <w:i/>
          <w:w w:val="88"/>
          <w:sz w:val="18"/>
        </w:rPr>
        <w:t>er</w:t>
      </w:r>
      <w:r>
        <w:rPr>
          <w:i/>
          <w:sz w:val="18"/>
        </w:rPr>
        <w:t> </w:t>
      </w:r>
      <w:r>
        <w:rPr>
          <w:i/>
          <w:w w:val="101"/>
          <w:sz w:val="18"/>
        </w:rPr>
        <w:t>b</w:t>
      </w:r>
      <w:r>
        <w:rPr>
          <w:i/>
          <w:w w:val="107"/>
          <w:sz w:val="18"/>
        </w:rPr>
        <w:t>a</w:t>
      </w:r>
      <w:r>
        <w:rPr>
          <w:i/>
          <w:w w:val="94"/>
          <w:sz w:val="18"/>
        </w:rPr>
        <w:t>y</w:t>
      </w:r>
      <w:r>
        <w:rPr>
          <w:i/>
          <w:sz w:val="18"/>
        </w:rPr>
        <w:t> </w:t>
      </w:r>
      <w:r>
        <w:rPr>
          <w:i/>
          <w:w w:val="101"/>
          <w:sz w:val="18"/>
        </w:rPr>
        <w:t>p</w:t>
      </w:r>
      <w:r>
        <w:rPr>
          <w:i/>
          <w:w w:val="88"/>
          <w:sz w:val="18"/>
        </w:rPr>
        <w:t>er</w:t>
      </w:r>
      <w:r>
        <w:rPr>
          <w:i/>
          <w:w w:val="88"/>
          <w:sz w:val="18"/>
        </w:rPr>
        <w:t> </w:t>
      </w:r>
      <w:r>
        <w:rPr>
          <w:i/>
          <w:sz w:val="18"/>
        </w:rPr>
        <w:t>month, with 50% free car park</w:t>
      </w:r>
    </w:p>
    <w:p>
      <w:pPr>
        <w:spacing w:after="0" w:line="319" w:lineRule="auto"/>
        <w:jc w:val="both"/>
        <w:rPr>
          <w:sz w:val="18"/>
        </w:rPr>
        <w:sectPr>
          <w:pgSz w:w="11910" w:h="16840"/>
          <w:pgMar w:header="720" w:footer="921" w:top="1660" w:bottom="1120" w:left="500" w:right="480"/>
        </w:sectPr>
      </w:pPr>
    </w:p>
    <w:p>
      <w:pPr>
        <w:pStyle w:val="BodyText"/>
        <w:spacing w:before="7"/>
        <w:rPr>
          <w:i/>
          <w:sz w:val="9"/>
        </w:rPr>
      </w:pPr>
    </w:p>
    <w:p>
      <w:pPr>
        <w:pStyle w:val="ListParagraph"/>
        <w:numPr>
          <w:ilvl w:val="2"/>
          <w:numId w:val="14"/>
        </w:numPr>
        <w:tabs>
          <w:tab w:pos="941" w:val="left" w:leader="none"/>
        </w:tabs>
        <w:spacing w:line="240" w:lineRule="auto" w:before="106" w:after="0"/>
        <w:ind w:left="940" w:right="0" w:hanging="721"/>
        <w:jc w:val="left"/>
        <w:rPr>
          <w:sz w:val="22"/>
        </w:rPr>
      </w:pPr>
      <w:bookmarkStart w:name="_bookmark235" w:id="459"/>
      <w:bookmarkEnd w:id="459"/>
      <w:r>
        <w:rPr/>
      </w:r>
      <w:bookmarkStart w:name="_bookmark235" w:id="460"/>
      <w:bookmarkEnd w:id="460"/>
      <w:r>
        <w:rPr>
          <w:color w:val="1F664D"/>
          <w:sz w:val="22"/>
        </w:rPr>
        <w:t>E</w:t>
      </w:r>
      <w:r>
        <w:rPr>
          <w:color w:val="1F664D"/>
          <w:sz w:val="22"/>
        </w:rPr>
        <w:t>xpense</w:t>
      </w:r>
      <w:r>
        <w:rPr>
          <w:color w:val="1F664D"/>
          <w:spacing w:val="49"/>
          <w:sz w:val="22"/>
        </w:rPr>
        <w:t> </w:t>
      </w:r>
      <w:r>
        <w:rPr>
          <w:color w:val="1F664D"/>
          <w:sz w:val="22"/>
        </w:rPr>
        <w:t>Assumptions</w:t>
      </w:r>
    </w:p>
    <w:p>
      <w:pPr>
        <w:pStyle w:val="BodyText"/>
        <w:spacing w:before="6"/>
        <w:rPr>
          <w:sz w:val="25"/>
        </w:rPr>
      </w:pPr>
    </w:p>
    <w:p>
      <w:pPr>
        <w:pStyle w:val="ListParagraph"/>
        <w:numPr>
          <w:ilvl w:val="3"/>
          <w:numId w:val="64"/>
        </w:numPr>
        <w:tabs>
          <w:tab w:pos="1085" w:val="left" w:leader="none"/>
        </w:tabs>
        <w:spacing w:line="240" w:lineRule="auto" w:before="1" w:after="0"/>
        <w:ind w:left="1084" w:right="0" w:hanging="865"/>
        <w:jc w:val="left"/>
        <w:rPr>
          <w:i/>
          <w:sz w:val="20"/>
        </w:rPr>
      </w:pPr>
      <w:r>
        <w:rPr>
          <w:i/>
          <w:color w:val="008000"/>
          <w:w w:val="95"/>
          <w:sz w:val="20"/>
        </w:rPr>
        <w:t>Refurbishment</w:t>
      </w:r>
      <w:r>
        <w:rPr>
          <w:i/>
          <w:color w:val="008000"/>
          <w:spacing w:val="-34"/>
          <w:w w:val="95"/>
          <w:sz w:val="20"/>
        </w:rPr>
        <w:t> </w:t>
      </w:r>
      <w:r>
        <w:rPr>
          <w:i/>
          <w:color w:val="008000"/>
          <w:w w:val="95"/>
          <w:sz w:val="20"/>
        </w:rPr>
        <w:t>expenses</w:t>
      </w:r>
    </w:p>
    <w:p>
      <w:pPr>
        <w:pStyle w:val="BodyText"/>
        <w:spacing w:line="321" w:lineRule="auto" w:before="135"/>
        <w:ind w:left="839"/>
      </w:pPr>
      <w:r>
        <w:rPr/>
        <w:pict>
          <v:group style="position:absolute;margin-left:64.103996pt;margin-top:46.718609pt;width:498.6pt;height:23.05pt;mso-position-horizontal-relative:page;mso-position-vertical-relative:paragraph;z-index:-15151104;mso-wrap-distance-left:0;mso-wrap-distance-right:0" coordorigin="1282,934" coordsize="9972,461">
            <v:shape style="position:absolute;left:1282;top:951;width:9972;height:430" coordorigin="1282,951" coordsize="9972,430" path="m4772,951l1282,951,1282,1381,4772,1381,4772,951xm11254,951l7290,951,4772,951,4772,1381,7290,1381,11254,1381,11254,951xe" filled="true" fillcolor="#006a4d" stroked="false">
              <v:path arrowok="t"/>
              <v:fill type="solid"/>
            </v:shape>
            <v:shape style="position:absolute;left:1282;top:934;width:9972;height:461" coordorigin="1282,934" coordsize="9972,461" path="m4772,1381l1282,1381,1282,1395,4772,1395,4772,1381xm4772,934l1282,934,1282,949,4772,949,4772,934xm11254,1381l7305,1381,7290,1381,4787,1381,4772,1381,4772,1395,4787,1395,7290,1395,7305,1395,11254,1395,11254,1381xm11254,934l7305,934,7290,934,4787,934,4772,934,4772,949,4787,949,7290,949,7305,949,11254,949,11254,934xe" filled="true" fillcolor="#69bd28" stroked="false">
              <v:path arrowok="t"/>
              <v:fill type="solid"/>
            </v:shape>
            <v:shape style="position:absolute;left:2467;top:1056;width:1137;height:216" type="#_x0000_t202" filled="false" stroked="false">
              <v:textbox inset="0,0,0,0">
                <w:txbxContent>
                  <w:p>
                    <w:pPr>
                      <w:spacing w:before="4"/>
                      <w:ind w:left="0" w:right="0" w:firstLine="0"/>
                      <w:jc w:val="left"/>
                      <w:rPr>
                        <w:sz w:val="18"/>
                      </w:rPr>
                    </w:pPr>
                    <w:r>
                      <w:rPr>
                        <w:color w:val="FFFFFF"/>
                        <w:sz w:val="18"/>
                      </w:rPr>
                      <w:t>Expense Head</w:t>
                    </w:r>
                  </w:p>
                </w:txbxContent>
              </v:textbox>
              <w10:wrap type="none"/>
            </v:shape>
            <v:shape style="position:absolute;left:5290;top:950;width:1501;height:430" type="#_x0000_t202" filled="false" stroked="false">
              <v:textbox inset="0,0,0,0">
                <w:txbxContent>
                  <w:p>
                    <w:pPr>
                      <w:spacing w:line="244" w:lineRule="auto" w:before="4"/>
                      <w:ind w:left="331" w:right="-17" w:hanging="332"/>
                      <w:jc w:val="left"/>
                      <w:rPr>
                        <w:sz w:val="18"/>
                      </w:rPr>
                    </w:pPr>
                    <w:r>
                      <w:rPr>
                        <w:color w:val="FFFFFF"/>
                        <w:sz w:val="18"/>
                      </w:rPr>
                      <w:t>Total Pending </w:t>
                    </w:r>
                    <w:r>
                      <w:rPr>
                        <w:color w:val="FFFFFF"/>
                        <w:spacing w:val="-4"/>
                        <w:sz w:val="18"/>
                      </w:rPr>
                      <w:t>Cost </w:t>
                    </w:r>
                    <w:r>
                      <w:rPr>
                        <w:color w:val="FFFFFF"/>
                        <w:sz w:val="18"/>
                      </w:rPr>
                      <w:t>(INR Mn) *</w:t>
                    </w:r>
                  </w:p>
                </w:txbxContent>
              </v:textbox>
              <w10:wrap type="none"/>
            </v:shape>
            <v:shape style="position:absolute;left:8370;top:1056;width:1823;height:216" type="#_x0000_t202" filled="false" stroked="false">
              <v:textbox inset="0,0,0,0">
                <w:txbxContent>
                  <w:p>
                    <w:pPr>
                      <w:spacing w:before="4"/>
                      <w:ind w:left="0" w:right="0" w:firstLine="0"/>
                      <w:jc w:val="left"/>
                      <w:rPr>
                        <w:sz w:val="18"/>
                      </w:rPr>
                    </w:pPr>
                    <w:r>
                      <w:rPr>
                        <w:color w:val="FFFFFF"/>
                        <w:sz w:val="18"/>
                      </w:rPr>
                      <w:t>Quarter of Completion</w:t>
                    </w:r>
                  </w:p>
                </w:txbxContent>
              </v:textbox>
              <w10:wrap type="none"/>
            </v:shape>
            <w10:wrap type="topAndBottom"/>
          </v:group>
        </w:pict>
      </w:r>
      <w:r>
        <w:rPr/>
        <w:t>The following table highlights the assumptions towards the refurbishment expenses in the subject development:</w:t>
      </w:r>
    </w:p>
    <w:p>
      <w:pPr>
        <w:tabs>
          <w:tab w:pos="3761" w:val="left" w:leader="none"/>
          <w:tab w:pos="6615" w:val="left" w:leader="none"/>
        </w:tabs>
        <w:spacing w:before="92" w:after="121"/>
        <w:ind w:left="91" w:right="0" w:firstLine="0"/>
        <w:jc w:val="center"/>
        <w:rPr>
          <w:sz w:val="18"/>
        </w:rPr>
      </w:pPr>
      <w:r>
        <w:rPr>
          <w:sz w:val="18"/>
        </w:rPr>
        <w:t>Signage</w:t>
      </w:r>
      <w:r>
        <w:rPr>
          <w:spacing w:val="6"/>
          <w:sz w:val="18"/>
        </w:rPr>
        <w:t> </w:t>
      </w:r>
      <w:r>
        <w:rPr>
          <w:sz w:val="18"/>
        </w:rPr>
        <w:t>Rebranding</w:t>
        <w:tab/>
        <w:t>5.0</w:t>
        <w:tab/>
        <w:t>Q2, FY 2021</w:t>
      </w:r>
    </w:p>
    <w:p>
      <w:pPr>
        <w:pStyle w:val="BodyText"/>
        <w:spacing w:line="20" w:lineRule="exact"/>
        <w:ind w:left="767"/>
        <w:rPr>
          <w:sz w:val="2"/>
        </w:rPr>
      </w:pPr>
      <w:r>
        <w:rPr>
          <w:sz w:val="2"/>
        </w:rPr>
        <w:pict>
          <v:group style="width:499.3pt;height:.75pt;mso-position-horizontal-relative:char;mso-position-vertical-relative:line" coordorigin="0,0" coordsize="9986,15">
            <v:shape style="position:absolute;left:0;top:0;width:9986;height:15" coordorigin="0,0" coordsize="9986,15" path="m3505,0l3504,0,3490,0,0,0,0,14,3490,14,3504,14,3505,14,3505,0xm9986,0l6023,0,6008,0,3505,0,3505,14,6008,14,6023,14,9986,14,9986,0xe" filled="true" fillcolor="#69bd28" stroked="false">
              <v:path arrowok="t"/>
              <v:fill type="solid"/>
            </v:shape>
          </v:group>
        </w:pict>
      </w:r>
      <w:r>
        <w:rPr>
          <w:sz w:val="2"/>
        </w:rPr>
      </w:r>
    </w:p>
    <w:p>
      <w:pPr>
        <w:spacing w:before="118"/>
        <w:ind w:left="839" w:right="0" w:firstLine="0"/>
        <w:jc w:val="both"/>
        <w:rPr>
          <w:i/>
          <w:sz w:val="18"/>
        </w:rPr>
      </w:pPr>
      <w:r>
        <w:rPr>
          <w:i/>
          <w:sz w:val="18"/>
        </w:rPr>
        <w:t>Source Client input</w:t>
      </w:r>
    </w:p>
    <w:p>
      <w:pPr>
        <w:pStyle w:val="BodyText"/>
        <w:spacing w:before="1"/>
        <w:rPr>
          <w:i/>
          <w:sz w:val="24"/>
        </w:rPr>
      </w:pPr>
    </w:p>
    <w:p>
      <w:pPr>
        <w:pStyle w:val="ListParagraph"/>
        <w:numPr>
          <w:ilvl w:val="3"/>
          <w:numId w:val="64"/>
        </w:numPr>
        <w:tabs>
          <w:tab w:pos="1085" w:val="left" w:leader="none"/>
        </w:tabs>
        <w:spacing w:line="240" w:lineRule="auto" w:before="0" w:after="0"/>
        <w:ind w:left="1084" w:right="0" w:hanging="865"/>
        <w:jc w:val="both"/>
        <w:rPr>
          <w:i/>
          <w:sz w:val="20"/>
        </w:rPr>
      </w:pPr>
      <w:r>
        <w:rPr>
          <w:i/>
          <w:color w:val="008000"/>
          <w:sz w:val="20"/>
        </w:rPr>
        <w:t>Other</w:t>
      </w:r>
      <w:r>
        <w:rPr>
          <w:i/>
          <w:color w:val="008000"/>
          <w:spacing w:val="-4"/>
          <w:sz w:val="20"/>
        </w:rPr>
        <w:t> </w:t>
      </w:r>
      <w:r>
        <w:rPr>
          <w:i/>
          <w:color w:val="008000"/>
          <w:sz w:val="20"/>
        </w:rPr>
        <w:t>Cost</w:t>
      </w:r>
    </w:p>
    <w:p>
      <w:pPr>
        <w:pStyle w:val="BodyText"/>
        <w:spacing w:before="76"/>
        <w:ind w:left="846"/>
        <w:jc w:val="both"/>
      </w:pPr>
      <w:r>
        <w:rPr/>
        <w:t>The</w:t>
      </w:r>
      <w:r>
        <w:rPr>
          <w:spacing w:val="-30"/>
        </w:rPr>
        <w:t> </w:t>
      </w:r>
      <w:r>
        <w:rPr/>
        <w:t>following</w:t>
      </w:r>
      <w:r>
        <w:rPr>
          <w:spacing w:val="-28"/>
        </w:rPr>
        <w:t> </w:t>
      </w:r>
      <w:r>
        <w:rPr/>
        <w:t>table</w:t>
      </w:r>
      <w:r>
        <w:rPr>
          <w:spacing w:val="-29"/>
        </w:rPr>
        <w:t> </w:t>
      </w:r>
      <w:r>
        <w:rPr/>
        <w:t>highlights</w:t>
      </w:r>
      <w:r>
        <w:rPr>
          <w:spacing w:val="-30"/>
        </w:rPr>
        <w:t> </w:t>
      </w:r>
      <w:r>
        <w:rPr/>
        <w:t>the</w:t>
      </w:r>
      <w:r>
        <w:rPr>
          <w:spacing w:val="-28"/>
        </w:rPr>
        <w:t> </w:t>
      </w:r>
      <w:r>
        <w:rPr/>
        <w:t>assumptions</w:t>
      </w:r>
      <w:r>
        <w:rPr>
          <w:spacing w:val="-29"/>
        </w:rPr>
        <w:t> </w:t>
      </w:r>
      <w:r>
        <w:rPr/>
        <w:t>towards</w:t>
      </w:r>
      <w:r>
        <w:rPr>
          <w:spacing w:val="-28"/>
        </w:rPr>
        <w:t> </w:t>
      </w:r>
      <w:r>
        <w:rPr/>
        <w:t>the</w:t>
      </w:r>
      <w:r>
        <w:rPr>
          <w:spacing w:val="-29"/>
        </w:rPr>
        <w:t> </w:t>
      </w:r>
      <w:r>
        <w:rPr/>
        <w:t>other</w:t>
      </w:r>
      <w:r>
        <w:rPr>
          <w:spacing w:val="-29"/>
        </w:rPr>
        <w:t> </w:t>
      </w:r>
      <w:r>
        <w:rPr/>
        <w:t>expenses</w:t>
      </w:r>
      <w:r>
        <w:rPr>
          <w:spacing w:val="-28"/>
        </w:rPr>
        <w:t> </w:t>
      </w:r>
      <w:r>
        <w:rPr/>
        <w:t>in</w:t>
      </w:r>
      <w:r>
        <w:rPr>
          <w:spacing w:val="-29"/>
        </w:rPr>
        <w:t> </w:t>
      </w:r>
      <w:r>
        <w:rPr/>
        <w:t>the</w:t>
      </w:r>
      <w:r>
        <w:rPr>
          <w:spacing w:val="-29"/>
        </w:rPr>
        <w:t> </w:t>
      </w:r>
      <w:r>
        <w:rPr/>
        <w:t>subject</w:t>
      </w:r>
      <w:r>
        <w:rPr>
          <w:spacing w:val="-29"/>
        </w:rPr>
        <w:t> </w:t>
      </w:r>
      <w:r>
        <w:rPr/>
        <w:t>development:</w:t>
      </w:r>
    </w:p>
    <w:p>
      <w:pPr>
        <w:pStyle w:val="BodyText"/>
        <w:spacing w:before="8"/>
        <w:rPr>
          <w:sz w:val="7"/>
        </w:rPr>
      </w:pPr>
    </w:p>
    <w:tbl>
      <w:tblPr>
        <w:tblW w:w="0" w:type="auto"/>
        <w:jc w:val="left"/>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61"/>
        <w:gridCol w:w="2459"/>
        <w:gridCol w:w="3468"/>
      </w:tblGrid>
      <w:tr>
        <w:trPr>
          <w:trHeight w:val="289" w:hRule="atLeast"/>
        </w:trPr>
        <w:tc>
          <w:tcPr>
            <w:tcW w:w="4061" w:type="dxa"/>
            <w:tcBorders>
              <w:top w:val="single" w:sz="6" w:space="0" w:color="69BD28"/>
              <w:bottom w:val="single" w:sz="6" w:space="0" w:color="69BD28"/>
            </w:tcBorders>
            <w:shd w:val="clear" w:color="auto" w:fill="006A4D"/>
          </w:tcPr>
          <w:p>
            <w:pPr>
              <w:pStyle w:val="TableParagraph"/>
              <w:spacing w:before="42"/>
              <w:ind w:left="335" w:right="877"/>
              <w:rPr>
                <w:sz w:val="18"/>
              </w:rPr>
            </w:pPr>
            <w:r>
              <w:rPr>
                <w:color w:val="FFFFFF"/>
                <w:sz w:val="18"/>
              </w:rPr>
              <w:t>Nature of Expense</w:t>
            </w:r>
          </w:p>
        </w:tc>
        <w:tc>
          <w:tcPr>
            <w:tcW w:w="2459" w:type="dxa"/>
            <w:tcBorders>
              <w:top w:val="single" w:sz="6" w:space="0" w:color="69BD28"/>
              <w:bottom w:val="single" w:sz="6" w:space="0" w:color="69BD28"/>
            </w:tcBorders>
            <w:shd w:val="clear" w:color="auto" w:fill="006A4D"/>
          </w:tcPr>
          <w:p>
            <w:pPr>
              <w:pStyle w:val="TableParagraph"/>
              <w:spacing w:before="42"/>
              <w:ind w:left="922"/>
              <w:jc w:val="left"/>
              <w:rPr>
                <w:sz w:val="18"/>
              </w:rPr>
            </w:pPr>
            <w:r>
              <w:rPr>
                <w:color w:val="FFFFFF"/>
                <w:sz w:val="18"/>
              </w:rPr>
              <w:t>Details</w:t>
            </w:r>
          </w:p>
        </w:tc>
        <w:tc>
          <w:tcPr>
            <w:tcW w:w="3468" w:type="dxa"/>
            <w:tcBorders>
              <w:top w:val="single" w:sz="6" w:space="0" w:color="69BD28"/>
              <w:bottom w:val="single" w:sz="6" w:space="0" w:color="69BD28"/>
            </w:tcBorders>
            <w:shd w:val="clear" w:color="auto" w:fill="006A4D"/>
          </w:tcPr>
          <w:p>
            <w:pPr>
              <w:pStyle w:val="TableParagraph"/>
              <w:spacing w:before="3"/>
              <w:ind w:left="968" w:right="494"/>
              <w:rPr>
                <w:sz w:val="18"/>
              </w:rPr>
            </w:pPr>
            <w:r>
              <w:rPr>
                <w:color w:val="FFFFFF"/>
                <w:sz w:val="18"/>
              </w:rPr>
              <w:t>Basis</w:t>
            </w:r>
          </w:p>
        </w:tc>
      </w:tr>
      <w:tr>
        <w:trPr>
          <w:trHeight w:val="294" w:hRule="atLeast"/>
        </w:trPr>
        <w:tc>
          <w:tcPr>
            <w:tcW w:w="4061" w:type="dxa"/>
            <w:tcBorders>
              <w:top w:val="single" w:sz="6" w:space="0" w:color="69BD28"/>
              <w:bottom w:val="single" w:sz="6" w:space="0" w:color="69BD28"/>
            </w:tcBorders>
          </w:tcPr>
          <w:p>
            <w:pPr>
              <w:pStyle w:val="TableParagraph"/>
              <w:spacing w:before="44"/>
              <w:ind w:left="336" w:right="877"/>
              <w:rPr>
                <w:sz w:val="18"/>
              </w:rPr>
            </w:pPr>
            <w:r>
              <w:rPr>
                <w:sz w:val="18"/>
              </w:rPr>
              <w:t>Opex projects and admin expenses</w:t>
            </w:r>
          </w:p>
        </w:tc>
        <w:tc>
          <w:tcPr>
            <w:tcW w:w="2459" w:type="dxa"/>
            <w:tcBorders>
              <w:top w:val="single" w:sz="6" w:space="0" w:color="69BD28"/>
              <w:bottom w:val="single" w:sz="6" w:space="0" w:color="69BD28"/>
            </w:tcBorders>
          </w:tcPr>
          <w:p>
            <w:pPr>
              <w:pStyle w:val="TableParagraph"/>
              <w:spacing w:before="44"/>
              <w:ind w:left="989"/>
              <w:jc w:val="left"/>
              <w:rPr>
                <w:sz w:val="18"/>
              </w:rPr>
            </w:pPr>
            <w:r>
              <w:rPr>
                <w:w w:val="110"/>
                <w:sz w:val="18"/>
              </w:rPr>
              <w:t>1.0%</w:t>
            </w:r>
          </w:p>
        </w:tc>
        <w:tc>
          <w:tcPr>
            <w:tcW w:w="3468" w:type="dxa"/>
            <w:tcBorders>
              <w:top w:val="single" w:sz="6" w:space="0" w:color="69BD28"/>
              <w:bottom w:val="single" w:sz="6" w:space="0" w:color="69BD28"/>
            </w:tcBorders>
          </w:tcPr>
          <w:p>
            <w:pPr>
              <w:pStyle w:val="TableParagraph"/>
              <w:spacing w:before="44"/>
              <w:ind w:left="968" w:right="498"/>
              <w:rPr>
                <w:sz w:val="18"/>
              </w:rPr>
            </w:pPr>
            <w:r>
              <w:rPr>
                <w:sz w:val="18"/>
              </w:rPr>
              <w:t>% of total income</w:t>
            </w:r>
          </w:p>
        </w:tc>
      </w:tr>
      <w:tr>
        <w:trPr>
          <w:trHeight w:val="297" w:hRule="atLeast"/>
        </w:trPr>
        <w:tc>
          <w:tcPr>
            <w:tcW w:w="4061" w:type="dxa"/>
            <w:tcBorders>
              <w:top w:val="single" w:sz="6" w:space="0" w:color="69BD28"/>
              <w:bottom w:val="single" w:sz="6" w:space="0" w:color="69BD28"/>
            </w:tcBorders>
          </w:tcPr>
          <w:p>
            <w:pPr>
              <w:pStyle w:val="TableParagraph"/>
              <w:spacing w:before="44"/>
              <w:ind w:left="335" w:right="877"/>
              <w:rPr>
                <w:sz w:val="18"/>
              </w:rPr>
            </w:pPr>
            <w:r>
              <w:rPr>
                <w:w w:val="103"/>
                <w:sz w:val="18"/>
              </w:rPr>
              <w:t>A</w:t>
            </w:r>
            <w:r>
              <w:rPr>
                <w:spacing w:val="1"/>
                <w:w w:val="103"/>
                <w:sz w:val="18"/>
              </w:rPr>
              <w:t>s</w:t>
            </w:r>
            <w:r>
              <w:rPr>
                <w:w w:val="100"/>
                <w:sz w:val="18"/>
              </w:rPr>
              <w:t>s</w:t>
            </w:r>
            <w:r>
              <w:rPr>
                <w:w w:val="94"/>
                <w:sz w:val="18"/>
              </w:rPr>
              <w:t>e</w:t>
            </w:r>
            <w:r>
              <w:rPr>
                <w:w w:val="65"/>
                <w:sz w:val="18"/>
              </w:rPr>
              <w:t>t</w:t>
            </w:r>
            <w:r>
              <w:rPr>
                <w:spacing w:val="-3"/>
                <w:sz w:val="18"/>
              </w:rPr>
              <w:t> </w:t>
            </w:r>
            <w:r>
              <w:rPr>
                <w:w w:val="113"/>
                <w:sz w:val="18"/>
              </w:rPr>
              <w:t>M</w:t>
            </w:r>
            <w:r>
              <w:rPr>
                <w:spacing w:val="-2"/>
                <w:w w:val="113"/>
                <w:sz w:val="18"/>
              </w:rPr>
              <w:t>a</w:t>
            </w:r>
            <w:r>
              <w:rPr>
                <w:w w:val="101"/>
                <w:sz w:val="18"/>
              </w:rPr>
              <w:t>n</w:t>
            </w:r>
            <w:r>
              <w:rPr>
                <w:w w:val="108"/>
                <w:sz w:val="18"/>
              </w:rPr>
              <w:t>a</w:t>
            </w:r>
            <w:r>
              <w:rPr>
                <w:spacing w:val="-2"/>
                <w:w w:val="113"/>
                <w:sz w:val="18"/>
              </w:rPr>
              <w:t>g</w:t>
            </w:r>
            <w:r>
              <w:rPr>
                <w:w w:val="94"/>
                <w:sz w:val="18"/>
              </w:rPr>
              <w:t>e</w:t>
            </w:r>
            <w:r>
              <w:rPr>
                <w:w w:val="102"/>
                <w:sz w:val="18"/>
              </w:rPr>
              <w:t>m</w:t>
            </w:r>
            <w:r>
              <w:rPr>
                <w:spacing w:val="-2"/>
                <w:w w:val="94"/>
                <w:sz w:val="18"/>
              </w:rPr>
              <w:t>e</w:t>
            </w:r>
            <w:r>
              <w:rPr>
                <w:w w:val="101"/>
                <w:sz w:val="18"/>
              </w:rPr>
              <w:t>n</w:t>
            </w:r>
            <w:r>
              <w:rPr>
                <w:w w:val="65"/>
                <w:sz w:val="18"/>
              </w:rPr>
              <w:t>t</w:t>
            </w:r>
            <w:r>
              <w:rPr>
                <w:spacing w:val="-3"/>
                <w:sz w:val="18"/>
              </w:rPr>
              <w:t> </w:t>
            </w:r>
            <w:r>
              <w:rPr>
                <w:w w:val="95"/>
                <w:sz w:val="18"/>
              </w:rPr>
              <w:t>Fe</w:t>
            </w:r>
            <w:r>
              <w:rPr>
                <w:w w:val="94"/>
                <w:sz w:val="18"/>
              </w:rPr>
              <w:t>e</w:t>
            </w:r>
            <w:r>
              <w:rPr>
                <w:w w:val="190"/>
                <w:sz w:val="18"/>
              </w:rPr>
              <w:t>^</w:t>
            </w:r>
          </w:p>
        </w:tc>
        <w:tc>
          <w:tcPr>
            <w:tcW w:w="2459" w:type="dxa"/>
            <w:tcBorders>
              <w:top w:val="single" w:sz="6" w:space="0" w:color="69BD28"/>
              <w:bottom w:val="single" w:sz="6" w:space="0" w:color="69BD28"/>
            </w:tcBorders>
          </w:tcPr>
          <w:p>
            <w:pPr>
              <w:pStyle w:val="TableParagraph"/>
              <w:spacing w:before="44"/>
              <w:ind w:left="989"/>
              <w:jc w:val="left"/>
              <w:rPr>
                <w:sz w:val="18"/>
              </w:rPr>
            </w:pPr>
            <w:r>
              <w:rPr>
                <w:w w:val="110"/>
                <w:sz w:val="18"/>
              </w:rPr>
              <w:t>3.0%</w:t>
            </w:r>
          </w:p>
        </w:tc>
        <w:tc>
          <w:tcPr>
            <w:tcW w:w="3468" w:type="dxa"/>
            <w:tcBorders>
              <w:top w:val="single" w:sz="6" w:space="0" w:color="69BD28"/>
              <w:bottom w:val="single" w:sz="6" w:space="0" w:color="69BD28"/>
            </w:tcBorders>
          </w:tcPr>
          <w:p>
            <w:pPr>
              <w:pStyle w:val="TableParagraph"/>
              <w:spacing w:before="44"/>
              <w:ind w:left="968" w:right="499"/>
              <w:rPr>
                <w:sz w:val="18"/>
              </w:rPr>
            </w:pPr>
            <w:r>
              <w:rPr>
                <w:sz w:val="18"/>
              </w:rPr>
              <w:t>% of gross rental income</w:t>
            </w:r>
          </w:p>
        </w:tc>
      </w:tr>
      <w:tr>
        <w:trPr>
          <w:trHeight w:val="294" w:hRule="atLeast"/>
        </w:trPr>
        <w:tc>
          <w:tcPr>
            <w:tcW w:w="4061" w:type="dxa"/>
            <w:tcBorders>
              <w:top w:val="single" w:sz="6" w:space="0" w:color="69BD28"/>
              <w:bottom w:val="single" w:sz="6" w:space="0" w:color="69BD28"/>
            </w:tcBorders>
          </w:tcPr>
          <w:p>
            <w:pPr>
              <w:pStyle w:val="TableParagraph"/>
              <w:spacing w:before="44"/>
              <w:ind w:left="336" w:right="877"/>
              <w:rPr>
                <w:sz w:val="18"/>
              </w:rPr>
            </w:pPr>
            <w:r>
              <w:rPr>
                <w:sz w:val="18"/>
              </w:rPr>
              <w:t>Transaction cost on Exit</w:t>
            </w:r>
          </w:p>
        </w:tc>
        <w:tc>
          <w:tcPr>
            <w:tcW w:w="2459" w:type="dxa"/>
            <w:tcBorders>
              <w:top w:val="single" w:sz="6" w:space="0" w:color="69BD28"/>
              <w:bottom w:val="single" w:sz="6" w:space="0" w:color="69BD28"/>
            </w:tcBorders>
          </w:tcPr>
          <w:p>
            <w:pPr>
              <w:pStyle w:val="TableParagraph"/>
              <w:spacing w:before="44"/>
              <w:ind w:left="936"/>
              <w:jc w:val="left"/>
              <w:rPr>
                <w:sz w:val="18"/>
              </w:rPr>
            </w:pPr>
            <w:r>
              <w:rPr>
                <w:w w:val="110"/>
                <w:sz w:val="18"/>
              </w:rPr>
              <w:t>1.00%</w:t>
            </w:r>
          </w:p>
        </w:tc>
        <w:tc>
          <w:tcPr>
            <w:tcW w:w="3468" w:type="dxa"/>
            <w:tcBorders>
              <w:top w:val="single" w:sz="6" w:space="0" w:color="69BD28"/>
              <w:bottom w:val="single" w:sz="6" w:space="0" w:color="69BD28"/>
            </w:tcBorders>
          </w:tcPr>
          <w:p>
            <w:pPr>
              <w:pStyle w:val="TableParagraph"/>
              <w:spacing w:before="44"/>
              <w:ind w:left="968" w:right="498"/>
              <w:rPr>
                <w:sz w:val="18"/>
              </w:rPr>
            </w:pPr>
            <w:r>
              <w:rPr>
                <w:sz w:val="18"/>
              </w:rPr>
              <w:t>% of terminal value</w:t>
            </w:r>
          </w:p>
        </w:tc>
      </w:tr>
    </w:tbl>
    <w:p>
      <w:pPr>
        <w:spacing w:before="117"/>
        <w:ind w:left="782" w:right="0" w:firstLine="0"/>
        <w:jc w:val="both"/>
        <w:rPr>
          <w:i/>
          <w:sz w:val="18"/>
        </w:rPr>
      </w:pPr>
      <w:r>
        <w:rPr>
          <w:i/>
          <w:sz w:val="18"/>
        </w:rPr>
        <w:t>Source: Valuer assessment; </w:t>
      </w:r>
      <w:r>
        <w:rPr>
          <w:i/>
          <w:w w:val="160"/>
          <w:sz w:val="18"/>
        </w:rPr>
        <w:t>^ </w:t>
      </w:r>
      <w:r>
        <w:rPr>
          <w:i/>
          <w:sz w:val="18"/>
        </w:rPr>
        <w:t>Asset Management fee has been considered a below the NOI line item</w:t>
      </w:r>
    </w:p>
    <w:p>
      <w:pPr>
        <w:pStyle w:val="BodyText"/>
        <w:spacing w:before="11"/>
        <w:rPr>
          <w:i/>
          <w:sz w:val="26"/>
        </w:rPr>
      </w:pPr>
    </w:p>
    <w:p>
      <w:pPr>
        <w:pStyle w:val="ListParagraph"/>
        <w:numPr>
          <w:ilvl w:val="2"/>
          <w:numId w:val="14"/>
        </w:numPr>
        <w:tabs>
          <w:tab w:pos="941" w:val="left" w:leader="none"/>
        </w:tabs>
        <w:spacing w:line="240" w:lineRule="auto" w:before="0" w:after="0"/>
        <w:ind w:left="940" w:right="0" w:hanging="721"/>
        <w:jc w:val="both"/>
        <w:rPr>
          <w:sz w:val="22"/>
        </w:rPr>
      </w:pPr>
      <w:bookmarkStart w:name="_bookmark236" w:id="461"/>
      <w:bookmarkEnd w:id="461"/>
      <w:r>
        <w:rPr/>
      </w:r>
      <w:bookmarkStart w:name="_bookmark236" w:id="462"/>
      <w:bookmarkEnd w:id="462"/>
      <w:r>
        <w:rPr>
          <w:color w:val="1F664D"/>
          <w:w w:val="105"/>
          <w:sz w:val="22"/>
        </w:rPr>
        <w:t>O</w:t>
      </w:r>
      <w:r>
        <w:rPr>
          <w:color w:val="1F664D"/>
          <w:w w:val="105"/>
          <w:sz w:val="22"/>
        </w:rPr>
        <w:t>ther</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65"/>
        </w:numPr>
        <w:tabs>
          <w:tab w:pos="1085" w:val="left" w:leader="none"/>
        </w:tabs>
        <w:spacing w:line="240" w:lineRule="auto" w:before="1" w:after="0"/>
        <w:ind w:left="1084" w:right="0" w:hanging="865"/>
        <w:jc w:val="both"/>
        <w:rPr>
          <w:i/>
          <w:sz w:val="20"/>
        </w:rPr>
      </w:pPr>
      <w:r>
        <w:rPr>
          <w:i/>
          <w:color w:val="008000"/>
          <w:sz w:val="20"/>
        </w:rPr>
        <w:t>Vacancy</w:t>
      </w:r>
      <w:r>
        <w:rPr>
          <w:i/>
          <w:color w:val="008000"/>
          <w:spacing w:val="-4"/>
          <w:sz w:val="20"/>
        </w:rPr>
        <w:t> </w:t>
      </w:r>
      <w:r>
        <w:rPr>
          <w:i/>
          <w:color w:val="008000"/>
          <w:sz w:val="20"/>
        </w:rPr>
        <w:t>provision</w:t>
      </w:r>
    </w:p>
    <w:p>
      <w:pPr>
        <w:pStyle w:val="BodyText"/>
        <w:spacing w:line="321" w:lineRule="auto" w:before="75"/>
        <w:ind w:left="760" w:right="238"/>
        <w:jc w:val="both"/>
      </w:pPr>
      <w:r>
        <w:rPr/>
        <w:t>Based on the prevailing market benchmarks, a vacancy provision of 2.5% has been adopted upon assessment of terminal value</w:t>
      </w:r>
    </w:p>
    <w:p>
      <w:pPr>
        <w:pStyle w:val="BodyText"/>
        <w:spacing w:before="4"/>
        <w:rPr>
          <w:sz w:val="23"/>
        </w:rPr>
      </w:pPr>
    </w:p>
    <w:p>
      <w:pPr>
        <w:pStyle w:val="ListParagraph"/>
        <w:numPr>
          <w:ilvl w:val="3"/>
          <w:numId w:val="65"/>
        </w:numPr>
        <w:tabs>
          <w:tab w:pos="1085" w:val="left" w:leader="none"/>
        </w:tabs>
        <w:spacing w:line="240" w:lineRule="auto" w:before="0" w:after="0"/>
        <w:ind w:left="1084" w:right="0" w:hanging="865"/>
        <w:jc w:val="both"/>
        <w:rPr>
          <w:i/>
          <w:sz w:val="20"/>
        </w:rPr>
      </w:pPr>
      <w:r>
        <w:rPr>
          <w:i/>
          <w:color w:val="008000"/>
          <w:sz w:val="20"/>
        </w:rPr>
        <w:t>Revenue</w:t>
      </w:r>
      <w:r>
        <w:rPr>
          <w:i/>
          <w:color w:val="008000"/>
          <w:spacing w:val="-4"/>
          <w:sz w:val="20"/>
        </w:rPr>
        <w:t> </w:t>
      </w:r>
      <w:r>
        <w:rPr>
          <w:i/>
          <w:color w:val="008000"/>
          <w:sz w:val="20"/>
        </w:rPr>
        <w:t>escalation</w:t>
      </w:r>
    </w:p>
    <w:p>
      <w:pPr>
        <w:pStyle w:val="BodyText"/>
        <w:spacing w:line="321" w:lineRule="auto" w:before="76"/>
        <w:ind w:left="760" w:right="239"/>
        <w:jc w:val="both"/>
      </w:pPr>
      <w:r>
        <w:rPr/>
        <w:t>Based</w:t>
      </w:r>
      <w:r>
        <w:rPr>
          <w:spacing w:val="-17"/>
        </w:rPr>
        <w:t> </w:t>
      </w:r>
      <w:r>
        <w:rPr/>
        <w:t>on</w:t>
      </w:r>
      <w:r>
        <w:rPr>
          <w:spacing w:val="-15"/>
        </w:rPr>
        <w:t> </w:t>
      </w:r>
      <w:r>
        <w:rPr/>
        <w:t>prevailing</w:t>
      </w:r>
      <w:r>
        <w:rPr>
          <w:spacing w:val="-14"/>
        </w:rPr>
        <w:t> </w:t>
      </w:r>
      <w:r>
        <w:rPr/>
        <w:t>market</w:t>
      </w:r>
      <w:r>
        <w:rPr>
          <w:spacing w:val="-16"/>
        </w:rPr>
        <w:t> </w:t>
      </w:r>
      <w:r>
        <w:rPr/>
        <w:t>condition,</w:t>
      </w:r>
      <w:r>
        <w:rPr>
          <w:spacing w:val="-16"/>
        </w:rPr>
        <w:t> </w:t>
      </w:r>
      <w:r>
        <w:rPr/>
        <w:t>historical</w:t>
      </w:r>
      <w:r>
        <w:rPr>
          <w:spacing w:val="-16"/>
        </w:rPr>
        <w:t> </w:t>
      </w:r>
      <w:r>
        <w:rPr/>
        <w:t>rent</w:t>
      </w:r>
      <w:r>
        <w:rPr>
          <w:spacing w:val="-16"/>
        </w:rPr>
        <w:t> </w:t>
      </w:r>
      <w:r>
        <w:rPr/>
        <w:t>growth</w:t>
      </w:r>
      <w:r>
        <w:rPr>
          <w:spacing w:val="-15"/>
        </w:rPr>
        <w:t> </w:t>
      </w:r>
      <w:r>
        <w:rPr/>
        <w:t>achieved</w:t>
      </w:r>
      <w:r>
        <w:rPr>
          <w:spacing w:val="-17"/>
        </w:rPr>
        <w:t> </w:t>
      </w:r>
      <w:r>
        <w:rPr/>
        <w:t>by</w:t>
      </w:r>
      <w:r>
        <w:rPr>
          <w:spacing w:val="-16"/>
        </w:rPr>
        <w:t> </w:t>
      </w:r>
      <w:r>
        <w:rPr/>
        <w:t>the</w:t>
      </w:r>
      <w:r>
        <w:rPr>
          <w:spacing w:val="-16"/>
        </w:rPr>
        <w:t> </w:t>
      </w:r>
      <w:r>
        <w:rPr/>
        <w:t>subject</w:t>
      </w:r>
      <w:r>
        <w:rPr>
          <w:spacing w:val="-17"/>
        </w:rPr>
        <w:t> </w:t>
      </w:r>
      <w:r>
        <w:rPr/>
        <w:t>property</w:t>
      </w:r>
      <w:r>
        <w:rPr>
          <w:spacing w:val="-16"/>
        </w:rPr>
        <w:t> </w:t>
      </w:r>
      <w:r>
        <w:rPr/>
        <w:t>and</w:t>
      </w:r>
      <w:r>
        <w:rPr>
          <w:spacing w:val="-17"/>
        </w:rPr>
        <w:t> </w:t>
      </w:r>
      <w:r>
        <w:rPr/>
        <w:t>our interactions</w:t>
      </w:r>
      <w:r>
        <w:rPr>
          <w:spacing w:val="-27"/>
        </w:rPr>
        <w:t> </w:t>
      </w:r>
      <w:r>
        <w:rPr/>
        <w:t>with</w:t>
      </w:r>
      <w:r>
        <w:rPr>
          <w:spacing w:val="-26"/>
        </w:rPr>
        <w:t> </w:t>
      </w:r>
      <w:r>
        <w:rPr/>
        <w:t>market</w:t>
      </w:r>
      <w:r>
        <w:rPr>
          <w:spacing w:val="-24"/>
        </w:rPr>
        <w:t> </w:t>
      </w:r>
      <w:r>
        <w:rPr/>
        <w:t>participants,</w:t>
      </w:r>
      <w:r>
        <w:rPr>
          <w:spacing w:val="-27"/>
        </w:rPr>
        <w:t> </w:t>
      </w:r>
      <w:r>
        <w:rPr/>
        <w:t>we</w:t>
      </w:r>
      <w:r>
        <w:rPr>
          <w:spacing w:val="-27"/>
        </w:rPr>
        <w:t> </w:t>
      </w:r>
      <w:r>
        <w:rPr/>
        <w:t>are</w:t>
      </w:r>
      <w:r>
        <w:rPr>
          <w:spacing w:val="-26"/>
        </w:rPr>
        <w:t> </w:t>
      </w:r>
      <w:r>
        <w:rPr/>
        <w:t>of</w:t>
      </w:r>
      <w:r>
        <w:rPr>
          <w:spacing w:val="-26"/>
        </w:rPr>
        <w:t> </w:t>
      </w:r>
      <w:r>
        <w:rPr/>
        <w:t>the</w:t>
      </w:r>
      <w:r>
        <w:rPr>
          <w:spacing w:val="-27"/>
        </w:rPr>
        <w:t> </w:t>
      </w:r>
      <w:r>
        <w:rPr/>
        <w:t>opinion</w:t>
      </w:r>
      <w:r>
        <w:rPr>
          <w:spacing w:val="-26"/>
        </w:rPr>
        <w:t> </w:t>
      </w:r>
      <w:r>
        <w:rPr/>
        <w:t>that</w:t>
      </w:r>
      <w:r>
        <w:rPr>
          <w:spacing w:val="-25"/>
        </w:rPr>
        <w:t> </w:t>
      </w:r>
      <w:r>
        <w:rPr/>
        <w:t>the</w:t>
      </w:r>
      <w:r>
        <w:rPr>
          <w:spacing w:val="-24"/>
        </w:rPr>
        <w:t> </w:t>
      </w:r>
      <w:r>
        <w:rPr/>
        <w:t>annual</w:t>
      </w:r>
      <w:r>
        <w:rPr>
          <w:spacing w:val="-26"/>
        </w:rPr>
        <w:t> </w:t>
      </w:r>
      <w:r>
        <w:rPr/>
        <w:t>rent</w:t>
      </w:r>
      <w:r>
        <w:rPr>
          <w:spacing w:val="-26"/>
        </w:rPr>
        <w:t> </w:t>
      </w:r>
      <w:r>
        <w:rPr/>
        <w:t>growth</w:t>
      </w:r>
      <w:r>
        <w:rPr>
          <w:spacing w:val="-26"/>
        </w:rPr>
        <w:t> </w:t>
      </w:r>
      <w:r>
        <w:rPr/>
        <w:t>for</w:t>
      </w:r>
      <w:r>
        <w:rPr>
          <w:spacing w:val="-27"/>
        </w:rPr>
        <w:t> </w:t>
      </w:r>
      <w:r>
        <w:rPr/>
        <w:t>the</w:t>
      </w:r>
      <w:r>
        <w:rPr>
          <w:spacing w:val="-26"/>
        </w:rPr>
        <w:t> </w:t>
      </w:r>
      <w:r>
        <w:rPr/>
        <w:t>subject property will be 5.0% from Q4, FY 2021</w:t>
      </w:r>
      <w:r>
        <w:rPr>
          <w:spacing w:val="-17"/>
        </w:rPr>
        <w:t> </w:t>
      </w:r>
      <w:r>
        <w:rPr/>
        <w:t>onwards</w:t>
      </w:r>
    </w:p>
    <w:p>
      <w:pPr>
        <w:pStyle w:val="BodyText"/>
        <w:spacing w:before="2"/>
        <w:rPr>
          <w:sz w:val="23"/>
        </w:rPr>
      </w:pPr>
    </w:p>
    <w:p>
      <w:pPr>
        <w:pStyle w:val="ListParagraph"/>
        <w:numPr>
          <w:ilvl w:val="3"/>
          <w:numId w:val="65"/>
        </w:numPr>
        <w:tabs>
          <w:tab w:pos="1085" w:val="left" w:leader="none"/>
        </w:tabs>
        <w:spacing w:line="240" w:lineRule="auto" w:before="0" w:after="0"/>
        <w:ind w:left="1084" w:right="0" w:hanging="865"/>
        <w:jc w:val="both"/>
        <w:rPr>
          <w:i/>
          <w:sz w:val="20"/>
        </w:rPr>
      </w:pPr>
      <w:r>
        <w:rPr>
          <w:i/>
          <w:color w:val="008000"/>
          <w:sz w:val="20"/>
        </w:rPr>
        <w:t>Rent </w:t>
      </w:r>
      <w:r>
        <w:rPr>
          <w:i/>
          <w:color w:val="008000"/>
          <w:w w:val="105"/>
          <w:sz w:val="20"/>
        </w:rPr>
        <w:t>– </w:t>
      </w:r>
      <w:r>
        <w:rPr>
          <w:i/>
          <w:color w:val="008000"/>
          <w:sz w:val="20"/>
        </w:rPr>
        <w:t>free</w:t>
      </w:r>
      <w:r>
        <w:rPr>
          <w:i/>
          <w:color w:val="008000"/>
          <w:spacing w:val="-13"/>
          <w:sz w:val="20"/>
        </w:rPr>
        <w:t> </w:t>
      </w:r>
      <w:r>
        <w:rPr>
          <w:i/>
          <w:color w:val="008000"/>
          <w:sz w:val="20"/>
        </w:rPr>
        <w:t>period</w:t>
      </w:r>
    </w:p>
    <w:p>
      <w:pPr>
        <w:pStyle w:val="BodyText"/>
        <w:spacing w:line="321" w:lineRule="auto" w:before="76"/>
        <w:ind w:left="760" w:right="234"/>
        <w:jc w:val="both"/>
      </w:pPr>
      <w:r>
        <w:rPr/>
        <w:t>Based</w:t>
      </w:r>
      <w:r>
        <w:rPr>
          <w:spacing w:val="-20"/>
        </w:rPr>
        <w:t> </w:t>
      </w:r>
      <w:r>
        <w:rPr/>
        <w:t>on</w:t>
      </w:r>
      <w:r>
        <w:rPr>
          <w:spacing w:val="-19"/>
        </w:rPr>
        <w:t> </w:t>
      </w:r>
      <w:r>
        <w:rPr/>
        <w:t>the</w:t>
      </w:r>
      <w:r>
        <w:rPr>
          <w:spacing w:val="-20"/>
        </w:rPr>
        <w:t> </w:t>
      </w:r>
      <w:r>
        <w:rPr/>
        <w:t>trend</w:t>
      </w:r>
      <w:r>
        <w:rPr>
          <w:spacing w:val="-19"/>
        </w:rPr>
        <w:t> </w:t>
      </w:r>
      <w:r>
        <w:rPr/>
        <w:t>prevalent</w:t>
      </w:r>
      <w:r>
        <w:rPr>
          <w:spacing w:val="-20"/>
        </w:rPr>
        <w:t> </w:t>
      </w:r>
      <w:r>
        <w:rPr/>
        <w:t>in</w:t>
      </w:r>
      <w:r>
        <w:rPr>
          <w:spacing w:val="-20"/>
        </w:rPr>
        <w:t> </w:t>
      </w:r>
      <w:r>
        <w:rPr/>
        <w:t>the</w:t>
      </w:r>
      <w:r>
        <w:rPr>
          <w:spacing w:val="-20"/>
        </w:rPr>
        <w:t> </w:t>
      </w:r>
      <w:r>
        <w:rPr/>
        <w:t>subject</w:t>
      </w:r>
      <w:r>
        <w:rPr>
          <w:spacing w:val="-19"/>
        </w:rPr>
        <w:t> </w:t>
      </w:r>
      <w:r>
        <w:rPr/>
        <w:t>micro</w:t>
      </w:r>
      <w:r>
        <w:rPr>
          <w:spacing w:val="-14"/>
        </w:rPr>
        <w:t> </w:t>
      </w:r>
      <w:r>
        <w:rPr>
          <w:w w:val="105"/>
        </w:rPr>
        <w:t>–</w:t>
      </w:r>
      <w:r>
        <w:rPr>
          <w:spacing w:val="-23"/>
          <w:w w:val="105"/>
        </w:rPr>
        <w:t> </w:t>
      </w:r>
      <w:r>
        <w:rPr/>
        <w:t>market,</w:t>
      </w:r>
      <w:r>
        <w:rPr>
          <w:spacing w:val="-19"/>
        </w:rPr>
        <w:t> </w:t>
      </w:r>
      <w:r>
        <w:rPr/>
        <w:t>we</w:t>
      </w:r>
      <w:r>
        <w:rPr>
          <w:spacing w:val="-20"/>
        </w:rPr>
        <w:t> </w:t>
      </w:r>
      <w:r>
        <w:rPr/>
        <w:t>have</w:t>
      </w:r>
      <w:r>
        <w:rPr>
          <w:spacing w:val="-18"/>
        </w:rPr>
        <w:t> </w:t>
      </w:r>
      <w:r>
        <w:rPr/>
        <w:t>considered</w:t>
      </w:r>
      <w:r>
        <w:rPr>
          <w:spacing w:val="-19"/>
        </w:rPr>
        <w:t> </w:t>
      </w:r>
      <w:r>
        <w:rPr/>
        <w:t>a</w:t>
      </w:r>
      <w:r>
        <w:rPr>
          <w:spacing w:val="-20"/>
        </w:rPr>
        <w:t> </w:t>
      </w:r>
      <w:r>
        <w:rPr/>
        <w:t>rent-free</w:t>
      </w:r>
      <w:r>
        <w:rPr>
          <w:spacing w:val="-20"/>
        </w:rPr>
        <w:t> </w:t>
      </w:r>
      <w:r>
        <w:rPr/>
        <w:t>period</w:t>
      </w:r>
      <w:r>
        <w:rPr>
          <w:spacing w:val="-19"/>
        </w:rPr>
        <w:t> </w:t>
      </w:r>
      <w:r>
        <w:rPr/>
        <w:t>of</w:t>
      </w:r>
      <w:r>
        <w:rPr>
          <w:spacing w:val="-19"/>
        </w:rPr>
        <w:t> </w:t>
      </w:r>
      <w:r>
        <w:rPr/>
        <w:t>3 months</w:t>
      </w:r>
      <w:r>
        <w:rPr>
          <w:spacing w:val="-18"/>
        </w:rPr>
        <w:t> </w:t>
      </w:r>
      <w:r>
        <w:rPr/>
        <w:t>for</w:t>
      </w:r>
      <w:r>
        <w:rPr>
          <w:spacing w:val="-19"/>
        </w:rPr>
        <w:t> </w:t>
      </w:r>
      <w:r>
        <w:rPr/>
        <w:t>the</w:t>
      </w:r>
      <w:r>
        <w:rPr>
          <w:spacing w:val="-21"/>
        </w:rPr>
        <w:t> </w:t>
      </w:r>
      <w:r>
        <w:rPr/>
        <w:t>subject</w:t>
      </w:r>
      <w:r>
        <w:rPr>
          <w:spacing w:val="-18"/>
        </w:rPr>
        <w:t> </w:t>
      </w:r>
      <w:r>
        <w:rPr/>
        <w:t>property</w:t>
      </w:r>
      <w:r>
        <w:rPr>
          <w:spacing w:val="-19"/>
        </w:rPr>
        <w:t> </w:t>
      </w:r>
      <w:r>
        <w:rPr/>
        <w:t>from</w:t>
      </w:r>
      <w:r>
        <w:rPr>
          <w:spacing w:val="-18"/>
        </w:rPr>
        <w:t> </w:t>
      </w:r>
      <w:r>
        <w:rPr/>
        <w:t>the</w:t>
      </w:r>
      <w:r>
        <w:rPr>
          <w:spacing w:val="-19"/>
        </w:rPr>
        <w:t> </w:t>
      </w:r>
      <w:r>
        <w:rPr/>
        <w:t>lease</w:t>
      </w:r>
      <w:r>
        <w:rPr>
          <w:spacing w:val="-18"/>
        </w:rPr>
        <w:t> </w:t>
      </w:r>
      <w:r>
        <w:rPr/>
        <w:t>commencement</w:t>
      </w:r>
      <w:r>
        <w:rPr>
          <w:spacing w:val="-19"/>
        </w:rPr>
        <w:t> </w:t>
      </w:r>
      <w:r>
        <w:rPr/>
        <w:t>date</w:t>
      </w:r>
      <w:r>
        <w:rPr>
          <w:spacing w:val="-18"/>
        </w:rPr>
        <w:t> </w:t>
      </w:r>
      <w:r>
        <w:rPr/>
        <w:t>(for</w:t>
      </w:r>
      <w:r>
        <w:rPr>
          <w:spacing w:val="-18"/>
        </w:rPr>
        <w:t> </w:t>
      </w:r>
      <w:r>
        <w:rPr/>
        <w:t>future</w:t>
      </w:r>
      <w:r>
        <w:rPr>
          <w:spacing w:val="-18"/>
        </w:rPr>
        <w:t> </w:t>
      </w:r>
      <w:r>
        <w:rPr/>
        <w:t>/</w:t>
      </w:r>
      <w:r>
        <w:rPr>
          <w:spacing w:val="-19"/>
        </w:rPr>
        <w:t> </w:t>
      </w:r>
      <w:r>
        <w:rPr/>
        <w:t>new</w:t>
      </w:r>
      <w:r>
        <w:rPr>
          <w:spacing w:val="-18"/>
        </w:rPr>
        <w:t> </w:t>
      </w:r>
      <w:r>
        <w:rPr/>
        <w:t>leases)</w:t>
      </w:r>
    </w:p>
    <w:p>
      <w:pPr>
        <w:pStyle w:val="BodyText"/>
        <w:spacing w:before="3"/>
        <w:rPr>
          <w:sz w:val="23"/>
        </w:rPr>
      </w:pPr>
    </w:p>
    <w:p>
      <w:pPr>
        <w:pStyle w:val="ListParagraph"/>
        <w:numPr>
          <w:ilvl w:val="3"/>
          <w:numId w:val="65"/>
        </w:numPr>
        <w:tabs>
          <w:tab w:pos="1085" w:val="left" w:leader="none"/>
        </w:tabs>
        <w:spacing w:line="240" w:lineRule="auto" w:before="1" w:after="0"/>
        <w:ind w:left="1084" w:right="0" w:hanging="865"/>
        <w:jc w:val="both"/>
        <w:rPr>
          <w:i/>
          <w:sz w:val="20"/>
        </w:rPr>
      </w:pPr>
      <w:r>
        <w:rPr>
          <w:i/>
          <w:color w:val="008000"/>
          <w:sz w:val="20"/>
        </w:rPr>
        <w:t>Brokerage</w:t>
      </w:r>
    </w:p>
    <w:p>
      <w:pPr>
        <w:pStyle w:val="BodyText"/>
        <w:spacing w:line="321" w:lineRule="auto" w:before="75"/>
        <w:ind w:left="760" w:right="233"/>
        <w:jc w:val="both"/>
      </w:pPr>
      <w:r>
        <w:rPr/>
        <w:t>Based</w:t>
      </w:r>
      <w:r>
        <w:rPr>
          <w:spacing w:val="-4"/>
        </w:rPr>
        <w:t> </w:t>
      </w:r>
      <w:r>
        <w:rPr/>
        <w:t>on</w:t>
      </w:r>
      <w:r>
        <w:rPr>
          <w:spacing w:val="-4"/>
        </w:rPr>
        <w:t> </w:t>
      </w:r>
      <w:r>
        <w:rPr/>
        <w:t>prevalent</w:t>
      </w:r>
      <w:r>
        <w:rPr>
          <w:spacing w:val="-4"/>
        </w:rPr>
        <w:t> </w:t>
      </w:r>
      <w:r>
        <w:rPr/>
        <w:t>market</w:t>
      </w:r>
      <w:r>
        <w:rPr>
          <w:spacing w:val="-4"/>
        </w:rPr>
        <w:t> </w:t>
      </w:r>
      <w:r>
        <w:rPr/>
        <w:t>dynamics,</w:t>
      </w:r>
      <w:r>
        <w:rPr>
          <w:spacing w:val="-7"/>
        </w:rPr>
        <w:t> </w:t>
      </w:r>
      <w:r>
        <w:rPr/>
        <w:t>we</w:t>
      </w:r>
      <w:r>
        <w:rPr>
          <w:spacing w:val="-4"/>
        </w:rPr>
        <w:t> </w:t>
      </w:r>
      <w:r>
        <w:rPr/>
        <w:t>have</w:t>
      </w:r>
      <w:r>
        <w:rPr>
          <w:spacing w:val="-5"/>
        </w:rPr>
        <w:t> </w:t>
      </w:r>
      <w:r>
        <w:rPr/>
        <w:t>considered</w:t>
      </w:r>
      <w:r>
        <w:rPr>
          <w:spacing w:val="-3"/>
        </w:rPr>
        <w:t> </w:t>
      </w:r>
      <w:r>
        <w:rPr/>
        <w:t>brokerage</w:t>
      </w:r>
      <w:r>
        <w:rPr>
          <w:spacing w:val="-5"/>
        </w:rPr>
        <w:t> </w:t>
      </w:r>
      <w:r>
        <w:rPr/>
        <w:t>equivalent</w:t>
      </w:r>
      <w:r>
        <w:rPr>
          <w:spacing w:val="-4"/>
        </w:rPr>
        <w:t> </w:t>
      </w:r>
      <w:r>
        <w:rPr/>
        <w:t>to</w:t>
      </w:r>
      <w:r>
        <w:rPr>
          <w:spacing w:val="-4"/>
        </w:rPr>
        <w:t> </w:t>
      </w:r>
      <w:r>
        <w:rPr/>
        <w:t>2</w:t>
      </w:r>
      <w:r>
        <w:rPr>
          <w:spacing w:val="-4"/>
        </w:rPr>
        <w:t> </w:t>
      </w:r>
      <w:r>
        <w:rPr/>
        <w:t>month</w:t>
      </w:r>
      <w:r>
        <w:rPr>
          <w:spacing w:val="-5"/>
        </w:rPr>
        <w:t> </w:t>
      </w:r>
      <w:r>
        <w:rPr/>
        <w:t>of</w:t>
      </w:r>
      <w:r>
        <w:rPr>
          <w:spacing w:val="-3"/>
        </w:rPr>
        <w:t> </w:t>
      </w:r>
      <w:r>
        <w:rPr/>
        <w:t>rental income for future / new</w:t>
      </w:r>
      <w:r>
        <w:rPr>
          <w:spacing w:val="-18"/>
        </w:rPr>
        <w:t> </w:t>
      </w:r>
      <w:r>
        <w:rPr/>
        <w:t>leases</w:t>
      </w:r>
    </w:p>
    <w:p>
      <w:pPr>
        <w:pStyle w:val="BodyText"/>
        <w:spacing w:before="10"/>
        <w:rPr>
          <w:sz w:val="20"/>
        </w:rPr>
      </w:pPr>
    </w:p>
    <w:p>
      <w:pPr>
        <w:pStyle w:val="ListParagraph"/>
        <w:numPr>
          <w:ilvl w:val="2"/>
          <w:numId w:val="14"/>
        </w:numPr>
        <w:tabs>
          <w:tab w:pos="941" w:val="left" w:leader="none"/>
        </w:tabs>
        <w:spacing w:line="240" w:lineRule="auto" w:before="0" w:after="0"/>
        <w:ind w:left="940" w:right="0" w:hanging="721"/>
        <w:jc w:val="both"/>
        <w:rPr>
          <w:sz w:val="22"/>
        </w:rPr>
      </w:pPr>
      <w:bookmarkStart w:name="_bookmark237" w:id="463"/>
      <w:bookmarkEnd w:id="463"/>
      <w:r>
        <w:rPr/>
      </w:r>
      <w:bookmarkStart w:name="_bookmark237" w:id="464"/>
      <w:bookmarkEnd w:id="464"/>
      <w:r>
        <w:rPr>
          <w:color w:val="1F664D"/>
          <w:sz w:val="22"/>
        </w:rPr>
        <w:t>Ca</w:t>
      </w:r>
      <w:r>
        <w:rPr>
          <w:color w:val="1F664D"/>
          <w:sz w:val="22"/>
        </w:rPr>
        <w:t>pitalization</w:t>
      </w:r>
      <w:r>
        <w:rPr>
          <w:color w:val="1F664D"/>
          <w:spacing w:val="-2"/>
          <w:sz w:val="22"/>
        </w:rPr>
        <w:t> </w:t>
      </w:r>
      <w:r>
        <w:rPr>
          <w:color w:val="1F664D"/>
          <w:sz w:val="22"/>
        </w:rPr>
        <w:t>Rates</w:t>
      </w:r>
    </w:p>
    <w:p>
      <w:pPr>
        <w:pStyle w:val="BodyText"/>
        <w:spacing w:before="208"/>
        <w:ind w:left="851"/>
        <w:jc w:val="both"/>
      </w:pPr>
      <w:r>
        <w:rPr/>
        <w:t>As highlighted in section 3.3, the cap rate adopted for the office space is 8.25%.</w:t>
      </w:r>
    </w:p>
    <w:p>
      <w:pPr>
        <w:spacing w:after="0"/>
        <w:jc w:val="both"/>
        <w:sectPr>
          <w:pgSz w:w="11910" w:h="16840"/>
          <w:pgMar w:header="720" w:footer="921" w:top="1660" w:bottom="1120" w:left="500" w:right="480"/>
        </w:sectPr>
      </w:pPr>
    </w:p>
    <w:p>
      <w:pPr>
        <w:pStyle w:val="BodyText"/>
        <w:spacing w:before="7"/>
        <w:rPr>
          <w:sz w:val="9"/>
        </w:rPr>
      </w:pPr>
    </w:p>
    <w:p>
      <w:pPr>
        <w:pStyle w:val="ListParagraph"/>
        <w:numPr>
          <w:ilvl w:val="2"/>
          <w:numId w:val="14"/>
        </w:numPr>
        <w:tabs>
          <w:tab w:pos="941" w:val="left" w:leader="none"/>
        </w:tabs>
        <w:spacing w:line="240" w:lineRule="auto" w:before="106" w:after="0"/>
        <w:ind w:left="940" w:right="0" w:hanging="721"/>
        <w:jc w:val="left"/>
        <w:rPr>
          <w:sz w:val="22"/>
        </w:rPr>
      </w:pPr>
      <w:bookmarkStart w:name="_bookmark238" w:id="465"/>
      <w:bookmarkEnd w:id="465"/>
      <w:r>
        <w:rPr/>
      </w:r>
      <w:bookmarkStart w:name="_bookmark238" w:id="466"/>
      <w:bookmarkEnd w:id="466"/>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8"/>
        <w:ind w:left="851" w:right="236"/>
        <w:jc w:val="both"/>
      </w:pPr>
      <w:r>
        <w:rPr/>
        <w:t>For</w:t>
      </w:r>
      <w:r>
        <w:rPr>
          <w:spacing w:val="-6"/>
        </w:rPr>
        <w:t> </w:t>
      </w:r>
      <w:r>
        <w:rPr/>
        <w:t>discounting</w:t>
      </w:r>
      <w:r>
        <w:rPr>
          <w:spacing w:val="-5"/>
        </w:rPr>
        <w:t> </w:t>
      </w:r>
      <w:r>
        <w:rPr/>
        <w:t>the</w:t>
      </w:r>
      <w:r>
        <w:rPr>
          <w:spacing w:val="-6"/>
        </w:rPr>
        <w:t> </w:t>
      </w:r>
      <w:r>
        <w:rPr/>
        <w:t>cash</w:t>
      </w:r>
      <w:r>
        <w:rPr>
          <w:spacing w:val="-7"/>
        </w:rPr>
        <w:t> </w:t>
      </w:r>
      <w:r>
        <w:rPr/>
        <w:t>flows,</w:t>
      </w:r>
      <w:r>
        <w:rPr>
          <w:spacing w:val="-5"/>
        </w:rPr>
        <w:t> </w:t>
      </w:r>
      <w:r>
        <w:rPr/>
        <w:t>the</w:t>
      </w:r>
      <w:r>
        <w:rPr>
          <w:spacing w:val="-6"/>
        </w:rPr>
        <w:t> </w:t>
      </w:r>
      <w:r>
        <w:rPr/>
        <w:t>appropriate</w:t>
      </w:r>
      <w:r>
        <w:rPr>
          <w:spacing w:val="-6"/>
        </w:rPr>
        <w:t> </w:t>
      </w:r>
      <w:r>
        <w:rPr/>
        <w:t>discounting rate</w:t>
      </w:r>
      <w:r>
        <w:rPr>
          <w:spacing w:val="-5"/>
        </w:rPr>
        <w:t> </w:t>
      </w:r>
      <w:r>
        <w:rPr/>
        <w:t>has</w:t>
      </w:r>
      <w:r>
        <w:rPr>
          <w:spacing w:val="-4"/>
        </w:rPr>
        <w:t> </w:t>
      </w:r>
      <w:r>
        <w:rPr/>
        <w:t>been</w:t>
      </w:r>
      <w:r>
        <w:rPr>
          <w:spacing w:val="-6"/>
        </w:rPr>
        <w:t> </w:t>
      </w:r>
      <w:r>
        <w:rPr/>
        <w:t>calculated</w:t>
      </w:r>
      <w:r>
        <w:rPr>
          <w:spacing w:val="-5"/>
        </w:rPr>
        <w:t> </w:t>
      </w:r>
      <w:r>
        <w:rPr/>
        <w:t>on</w:t>
      </w:r>
      <w:r>
        <w:rPr>
          <w:spacing w:val="-6"/>
        </w:rPr>
        <w:t> </w:t>
      </w:r>
      <w:r>
        <w:rPr/>
        <w:t>the</w:t>
      </w:r>
      <w:r>
        <w:rPr>
          <w:spacing w:val="-4"/>
        </w:rPr>
        <w:t> </w:t>
      </w:r>
      <w:r>
        <w:rPr/>
        <w:t>basis</w:t>
      </w:r>
      <w:r>
        <w:rPr>
          <w:spacing w:val="-7"/>
        </w:rPr>
        <w:t> </w:t>
      </w:r>
      <w:r>
        <w:rPr/>
        <w:t>of estimated ‘Weighted Average Cost of Capital’ (WACC). The detailed analysis of WACC rate adopted for</w:t>
      </w:r>
      <w:r>
        <w:rPr>
          <w:spacing w:val="-9"/>
        </w:rPr>
        <w:t> </w:t>
      </w:r>
      <w:r>
        <w:rPr/>
        <w:t>the</w:t>
      </w:r>
      <w:r>
        <w:rPr>
          <w:spacing w:val="-9"/>
        </w:rPr>
        <w:t> </w:t>
      </w:r>
      <w:r>
        <w:rPr/>
        <w:t>subject</w:t>
      </w:r>
      <w:r>
        <w:rPr>
          <w:spacing w:val="-10"/>
        </w:rPr>
        <w:t> </w:t>
      </w:r>
      <w:r>
        <w:rPr/>
        <w:t>property</w:t>
      </w:r>
      <w:r>
        <w:rPr>
          <w:spacing w:val="-6"/>
        </w:rPr>
        <w:t> </w:t>
      </w:r>
      <w:r>
        <w:rPr/>
        <w:t>has</w:t>
      </w:r>
      <w:r>
        <w:rPr>
          <w:spacing w:val="-7"/>
        </w:rPr>
        <w:t> </w:t>
      </w:r>
      <w:r>
        <w:rPr/>
        <w:t>been</w:t>
      </w:r>
      <w:r>
        <w:rPr>
          <w:spacing w:val="-10"/>
        </w:rPr>
        <w:t> </w:t>
      </w:r>
      <w:r>
        <w:rPr/>
        <w:t>detailed</w:t>
      </w:r>
      <w:r>
        <w:rPr>
          <w:spacing w:val="-7"/>
        </w:rPr>
        <w:t> </w:t>
      </w:r>
      <w:r>
        <w:rPr/>
        <w:t>in</w:t>
      </w:r>
      <w:r>
        <w:rPr>
          <w:spacing w:val="-9"/>
        </w:rPr>
        <w:t> </w:t>
      </w:r>
      <w:r>
        <w:rPr/>
        <w:t>Section</w:t>
      </w:r>
      <w:r>
        <w:rPr>
          <w:spacing w:val="-9"/>
        </w:rPr>
        <w:t> </w:t>
      </w:r>
      <w:r>
        <w:rPr/>
        <w:t>3.4</w:t>
      </w:r>
      <w:r>
        <w:rPr>
          <w:spacing w:val="-9"/>
        </w:rPr>
        <w:t> </w:t>
      </w:r>
      <w:r>
        <w:rPr/>
        <w:t>of</w:t>
      </w:r>
      <w:r>
        <w:rPr>
          <w:spacing w:val="-7"/>
        </w:rPr>
        <w:t> </w:t>
      </w:r>
      <w:r>
        <w:rPr/>
        <w:t>this</w:t>
      </w:r>
      <w:r>
        <w:rPr>
          <w:spacing w:val="-8"/>
        </w:rPr>
        <w:t> </w:t>
      </w:r>
      <w:r>
        <w:rPr/>
        <w:t>report.</w:t>
      </w:r>
    </w:p>
    <w:p>
      <w:pPr>
        <w:pStyle w:val="BodyText"/>
        <w:spacing w:before="8"/>
        <w:rPr>
          <w:sz w:val="20"/>
        </w:rPr>
      </w:pPr>
    </w:p>
    <w:p>
      <w:pPr>
        <w:pStyle w:val="BodyText"/>
        <w:ind w:left="220"/>
      </w:pPr>
      <w:bookmarkStart w:name="_bookmark239" w:id="467"/>
      <w:bookmarkEnd w:id="467"/>
      <w:r>
        <w:rPr/>
      </w:r>
      <w:r>
        <w:rPr>
          <w:color w:val="1F6647"/>
        </w:rPr>
        <w:t>11.5 Value of the Subject Property</w:t>
      </w:r>
    </w:p>
    <w:p>
      <w:pPr>
        <w:pStyle w:val="BodyText"/>
        <w:spacing w:before="208"/>
        <w:ind w:left="851"/>
        <w:jc w:val="both"/>
      </w:pPr>
      <w:r>
        <w:rPr/>
        <w:t>Based on the above-mentioned analysis, the value of the subject property is estimated as follows:</w:t>
      </w:r>
    </w:p>
    <w:p>
      <w:pPr>
        <w:pStyle w:val="BodyText"/>
        <w:spacing w:after="1"/>
        <w:rPr>
          <w:sz w:val="29"/>
        </w:rPr>
      </w:pPr>
    </w:p>
    <w:tbl>
      <w:tblPr>
        <w:tblW w:w="0" w:type="auto"/>
        <w:jc w:val="left"/>
        <w:tblInd w:w="7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47"/>
        <w:gridCol w:w="2415"/>
        <w:gridCol w:w="1767"/>
        <w:gridCol w:w="2161"/>
      </w:tblGrid>
      <w:tr>
        <w:trPr>
          <w:trHeight w:val="347" w:hRule="atLeast"/>
        </w:trPr>
        <w:tc>
          <w:tcPr>
            <w:tcW w:w="3547" w:type="dxa"/>
            <w:tcBorders>
              <w:top w:val="single" w:sz="12" w:space="0" w:color="1F6B16"/>
              <w:bottom w:val="single" w:sz="6" w:space="0" w:color="69BD28"/>
            </w:tcBorders>
            <w:shd w:val="clear" w:color="auto" w:fill="006A4D"/>
          </w:tcPr>
          <w:p>
            <w:pPr>
              <w:pStyle w:val="TableParagraph"/>
              <w:spacing w:before="56"/>
              <w:ind w:left="982" w:right="1012"/>
              <w:rPr>
                <w:sz w:val="20"/>
              </w:rPr>
            </w:pPr>
            <w:r>
              <w:rPr>
                <w:color w:val="FFFFFF"/>
                <w:sz w:val="20"/>
              </w:rPr>
              <w:t>Component</w:t>
            </w:r>
          </w:p>
        </w:tc>
        <w:tc>
          <w:tcPr>
            <w:tcW w:w="2415" w:type="dxa"/>
            <w:tcBorders>
              <w:top w:val="single" w:sz="12" w:space="0" w:color="1F6B16"/>
              <w:bottom w:val="single" w:sz="6" w:space="0" w:color="69BD28"/>
            </w:tcBorders>
            <w:shd w:val="clear" w:color="auto" w:fill="006A4D"/>
          </w:tcPr>
          <w:p>
            <w:pPr>
              <w:pStyle w:val="TableParagraph"/>
              <w:spacing w:before="56"/>
              <w:ind w:left="1020" w:right="36"/>
              <w:rPr>
                <w:sz w:val="20"/>
              </w:rPr>
            </w:pPr>
            <w:r>
              <w:rPr>
                <w:color w:val="FFFFFF"/>
                <w:sz w:val="20"/>
              </w:rPr>
              <w:t>Value (INR Mn)</w:t>
            </w:r>
          </w:p>
        </w:tc>
        <w:tc>
          <w:tcPr>
            <w:tcW w:w="1767" w:type="dxa"/>
            <w:tcBorders>
              <w:top w:val="single" w:sz="12" w:space="0" w:color="1F6B16"/>
              <w:bottom w:val="single" w:sz="6" w:space="0" w:color="69BD28"/>
            </w:tcBorders>
            <w:shd w:val="clear" w:color="auto" w:fill="006A4D"/>
          </w:tcPr>
          <w:p>
            <w:pPr>
              <w:pStyle w:val="TableParagraph"/>
              <w:jc w:val="left"/>
              <w:rPr>
                <w:rFonts w:ascii="Times New Roman"/>
                <w:sz w:val="20"/>
              </w:rPr>
            </w:pPr>
          </w:p>
        </w:tc>
        <w:tc>
          <w:tcPr>
            <w:tcW w:w="2161" w:type="dxa"/>
            <w:tcBorders>
              <w:top w:val="single" w:sz="12" w:space="0" w:color="1F6B16"/>
              <w:bottom w:val="single" w:sz="6" w:space="0" w:color="69BD28"/>
            </w:tcBorders>
            <w:shd w:val="clear" w:color="auto" w:fill="006A4D"/>
          </w:tcPr>
          <w:p>
            <w:pPr>
              <w:pStyle w:val="TableParagraph"/>
              <w:spacing w:before="56"/>
              <w:ind w:left="321" w:right="1054"/>
              <w:rPr>
                <w:sz w:val="20"/>
              </w:rPr>
            </w:pPr>
            <w:r>
              <w:rPr>
                <w:color w:val="FFFFFF"/>
                <w:w w:val="110"/>
                <w:sz w:val="20"/>
              </w:rPr>
              <w:t>% Share</w:t>
            </w:r>
          </w:p>
        </w:tc>
      </w:tr>
      <w:tr>
        <w:trPr>
          <w:trHeight w:val="364" w:hRule="atLeast"/>
        </w:trPr>
        <w:tc>
          <w:tcPr>
            <w:tcW w:w="3547" w:type="dxa"/>
            <w:tcBorders>
              <w:top w:val="single" w:sz="6" w:space="0" w:color="69BD28"/>
            </w:tcBorders>
          </w:tcPr>
          <w:p>
            <w:pPr>
              <w:pStyle w:val="TableParagraph"/>
              <w:spacing w:before="78"/>
              <w:ind w:left="981" w:right="1015"/>
              <w:rPr>
                <w:sz w:val="18"/>
              </w:rPr>
            </w:pPr>
            <w:r>
              <w:rPr>
                <w:sz w:val="18"/>
              </w:rPr>
              <w:t>Operational Blocks</w:t>
            </w:r>
          </w:p>
        </w:tc>
        <w:tc>
          <w:tcPr>
            <w:tcW w:w="2415" w:type="dxa"/>
            <w:tcBorders>
              <w:top w:val="single" w:sz="6" w:space="0" w:color="69BD28"/>
            </w:tcBorders>
          </w:tcPr>
          <w:p>
            <w:pPr>
              <w:pStyle w:val="TableParagraph"/>
              <w:spacing w:before="78"/>
              <w:ind w:left="1019" w:right="36"/>
              <w:rPr>
                <w:sz w:val="18"/>
              </w:rPr>
            </w:pPr>
            <w:r>
              <w:rPr>
                <w:w w:val="110"/>
                <w:sz w:val="18"/>
              </w:rPr>
              <w:t>10,085</w:t>
            </w:r>
          </w:p>
        </w:tc>
        <w:tc>
          <w:tcPr>
            <w:tcW w:w="1767" w:type="dxa"/>
            <w:tcBorders>
              <w:top w:val="single" w:sz="6" w:space="0" w:color="69BD28"/>
            </w:tcBorders>
          </w:tcPr>
          <w:p>
            <w:pPr>
              <w:pStyle w:val="TableParagraph"/>
              <w:jc w:val="left"/>
              <w:rPr>
                <w:rFonts w:ascii="Times New Roman"/>
                <w:sz w:val="20"/>
              </w:rPr>
            </w:pPr>
          </w:p>
        </w:tc>
        <w:tc>
          <w:tcPr>
            <w:tcW w:w="2161" w:type="dxa"/>
            <w:tcBorders>
              <w:top w:val="single" w:sz="6" w:space="0" w:color="69BD28"/>
            </w:tcBorders>
          </w:tcPr>
          <w:p>
            <w:pPr>
              <w:pStyle w:val="TableParagraph"/>
              <w:spacing w:before="78"/>
              <w:ind w:left="321" w:right="1049"/>
              <w:rPr>
                <w:sz w:val="18"/>
              </w:rPr>
            </w:pPr>
            <w:r>
              <w:rPr>
                <w:w w:val="115"/>
                <w:sz w:val="18"/>
              </w:rPr>
              <w:t>100%</w:t>
            </w:r>
          </w:p>
        </w:tc>
      </w:tr>
      <w:tr>
        <w:trPr>
          <w:trHeight w:val="393" w:hRule="atLeast"/>
        </w:trPr>
        <w:tc>
          <w:tcPr>
            <w:tcW w:w="3547" w:type="dxa"/>
            <w:shd w:val="clear" w:color="auto" w:fill="69BD28"/>
          </w:tcPr>
          <w:p>
            <w:pPr>
              <w:pStyle w:val="TableParagraph"/>
              <w:spacing w:before="92"/>
              <w:ind w:left="982" w:right="1011"/>
              <w:rPr>
                <w:b/>
                <w:sz w:val="18"/>
              </w:rPr>
            </w:pPr>
            <w:r>
              <w:rPr>
                <w:b/>
                <w:color w:val="FFFFFF"/>
                <w:w w:val="110"/>
                <w:sz w:val="18"/>
              </w:rPr>
              <w:t>Embassy Qubix</w:t>
            </w:r>
          </w:p>
        </w:tc>
        <w:tc>
          <w:tcPr>
            <w:tcW w:w="2415" w:type="dxa"/>
            <w:shd w:val="clear" w:color="auto" w:fill="69BD28"/>
          </w:tcPr>
          <w:p>
            <w:pPr>
              <w:pStyle w:val="TableParagraph"/>
              <w:jc w:val="left"/>
              <w:rPr>
                <w:rFonts w:ascii="Times New Roman"/>
                <w:sz w:val="20"/>
              </w:rPr>
            </w:pPr>
          </w:p>
        </w:tc>
        <w:tc>
          <w:tcPr>
            <w:tcW w:w="1767" w:type="dxa"/>
            <w:shd w:val="clear" w:color="auto" w:fill="69BD28"/>
          </w:tcPr>
          <w:p>
            <w:pPr>
              <w:pStyle w:val="TableParagraph"/>
              <w:spacing w:before="92"/>
              <w:ind w:left="59"/>
              <w:jc w:val="left"/>
              <w:rPr>
                <w:b/>
                <w:sz w:val="18"/>
              </w:rPr>
            </w:pPr>
            <w:r>
              <w:rPr>
                <w:b/>
                <w:color w:val="FFFFFF"/>
                <w:w w:val="110"/>
                <w:sz w:val="18"/>
              </w:rPr>
              <w:t>INR 10,085 Mn</w:t>
            </w:r>
          </w:p>
        </w:tc>
        <w:tc>
          <w:tcPr>
            <w:tcW w:w="2161" w:type="dxa"/>
            <w:shd w:val="clear" w:color="auto" w:fill="69BD28"/>
          </w:tcPr>
          <w:p>
            <w:pPr>
              <w:pStyle w:val="TableParagraph"/>
              <w:jc w:val="left"/>
              <w:rPr>
                <w:rFonts w:ascii="Times New Roman"/>
                <w:sz w:val="20"/>
              </w:rPr>
            </w:pPr>
          </w:p>
        </w:tc>
      </w:tr>
    </w:tbl>
    <w:p>
      <w:pPr>
        <w:spacing w:after="0"/>
        <w:jc w:val="left"/>
        <w:rPr>
          <w:rFonts w:ascii="Times New Roman"/>
          <w:sz w:val="20"/>
        </w:rPr>
        <w:sectPr>
          <w:pgSz w:w="11910" w:h="16840"/>
          <w:pgMar w:header="720" w:footer="921" w:top="1660" w:bottom="1120" w:left="500" w:right="480"/>
        </w:sectPr>
      </w:pPr>
    </w:p>
    <w:p>
      <w:pPr>
        <w:pStyle w:val="BodyText"/>
        <w:spacing w:before="7"/>
        <w:rPr>
          <w:sz w:val="9"/>
        </w:rPr>
      </w:pPr>
    </w:p>
    <w:p>
      <w:pPr>
        <w:pStyle w:val="Heading5"/>
        <w:numPr>
          <w:ilvl w:val="0"/>
          <w:numId w:val="14"/>
        </w:numPr>
        <w:tabs>
          <w:tab w:pos="653" w:val="left" w:leader="none"/>
        </w:tabs>
        <w:spacing w:line="240" w:lineRule="auto" w:before="106" w:after="0"/>
        <w:ind w:left="652" w:right="0" w:hanging="433"/>
        <w:jc w:val="left"/>
        <w:rPr>
          <w:rFonts w:ascii="Arial"/>
        </w:rPr>
      </w:pPr>
      <w:bookmarkStart w:name="_bookmark240" w:id="468"/>
      <w:bookmarkEnd w:id="468"/>
      <w:r>
        <w:rPr>
          <w:b w:val="0"/>
        </w:rPr>
      </w:r>
      <w:bookmarkStart w:name="_bookmark240" w:id="469"/>
      <w:bookmarkEnd w:id="469"/>
      <w:r>
        <w:rPr>
          <w:rFonts w:ascii="Arial"/>
          <w:color w:val="1F664D"/>
        </w:rPr>
        <w:t>E</w:t>
      </w:r>
      <w:r>
        <w:rPr>
          <w:rFonts w:ascii="Arial"/>
          <w:color w:val="1F664D"/>
        </w:rPr>
        <w:t>mbassy</w:t>
      </w:r>
      <w:r>
        <w:rPr>
          <w:rFonts w:ascii="Arial"/>
          <w:color w:val="1F664D"/>
          <w:spacing w:val="4"/>
        </w:rPr>
        <w:t> </w:t>
      </w:r>
      <w:r>
        <w:rPr>
          <w:rFonts w:ascii="Arial"/>
          <w:color w:val="1F664D"/>
        </w:rPr>
        <w:t>Oxygen</w:t>
      </w:r>
    </w:p>
    <w:p>
      <w:pPr>
        <w:pStyle w:val="BodyText"/>
        <w:spacing w:before="8"/>
        <w:rPr>
          <w:rFonts w:ascii="Arial"/>
          <w:b/>
          <w:sz w:val="28"/>
        </w:rPr>
      </w:pPr>
    </w:p>
    <w:p>
      <w:pPr>
        <w:pStyle w:val="ListParagraph"/>
        <w:numPr>
          <w:ilvl w:val="1"/>
          <w:numId w:val="14"/>
        </w:numPr>
        <w:tabs>
          <w:tab w:pos="797" w:val="left" w:leader="none"/>
        </w:tabs>
        <w:spacing w:line="240" w:lineRule="auto" w:before="1" w:after="0"/>
        <w:ind w:left="796" w:right="0" w:hanging="577"/>
        <w:jc w:val="left"/>
        <w:rPr>
          <w:color w:val="1F6647"/>
          <w:sz w:val="22"/>
        </w:rPr>
      </w:pPr>
      <w:bookmarkStart w:name="_bookmark241" w:id="470"/>
      <w:bookmarkEnd w:id="470"/>
      <w:r>
        <w:rPr/>
      </w:r>
      <w:bookmarkStart w:name="_bookmark241" w:id="471"/>
      <w:bookmarkEnd w:id="471"/>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5"/>
        <w:rPr>
          <w:sz w:val="17"/>
        </w:rPr>
      </w:pPr>
    </w:p>
    <w:tbl>
      <w:tblPr>
        <w:tblW w:w="0" w:type="auto"/>
        <w:jc w:val="left"/>
        <w:tblInd w:w="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15"/>
        <w:gridCol w:w="7455"/>
      </w:tblGrid>
      <w:tr>
        <w:trPr>
          <w:trHeight w:val="251" w:hRule="atLeast"/>
        </w:trPr>
        <w:tc>
          <w:tcPr>
            <w:tcW w:w="10470" w:type="dxa"/>
            <w:gridSpan w:val="2"/>
            <w:tcBorders>
              <w:top w:val="single" w:sz="12" w:space="0" w:color="1F6B16"/>
              <w:bottom w:val="single" w:sz="6" w:space="0" w:color="69BD28"/>
            </w:tcBorders>
            <w:shd w:val="clear" w:color="auto" w:fill="006A4D"/>
          </w:tcPr>
          <w:p>
            <w:pPr>
              <w:pStyle w:val="TableParagraph"/>
              <w:spacing w:line="209" w:lineRule="exact" w:before="22"/>
              <w:ind w:left="4469" w:right="4469"/>
              <w:rPr>
                <w:b/>
                <w:sz w:val="18"/>
              </w:rPr>
            </w:pPr>
            <w:r>
              <w:rPr>
                <w:b/>
                <w:color w:val="FFFFFF"/>
                <w:w w:val="105"/>
                <w:sz w:val="18"/>
              </w:rPr>
              <w:t>Brief Description</w:t>
            </w:r>
          </w:p>
        </w:tc>
      </w:tr>
      <w:tr>
        <w:trPr>
          <w:trHeight w:val="369" w:hRule="atLeast"/>
        </w:trPr>
        <w:tc>
          <w:tcPr>
            <w:tcW w:w="3015" w:type="dxa"/>
            <w:tcBorders>
              <w:top w:val="single" w:sz="6" w:space="0" w:color="69BD28"/>
            </w:tcBorders>
            <w:shd w:val="clear" w:color="auto" w:fill="006A4D"/>
          </w:tcPr>
          <w:p>
            <w:pPr>
              <w:pStyle w:val="TableParagraph"/>
              <w:spacing w:before="80"/>
              <w:ind w:left="408" w:right="420"/>
              <w:rPr>
                <w:b/>
                <w:sz w:val="18"/>
              </w:rPr>
            </w:pPr>
            <w:r>
              <w:rPr>
                <w:b/>
                <w:color w:val="FFFFFF"/>
                <w:w w:val="105"/>
                <w:sz w:val="18"/>
              </w:rPr>
              <w:t>Particulars</w:t>
            </w:r>
          </w:p>
        </w:tc>
        <w:tc>
          <w:tcPr>
            <w:tcW w:w="7455" w:type="dxa"/>
            <w:tcBorders>
              <w:top w:val="single" w:sz="6" w:space="0" w:color="69BD28"/>
              <w:bottom w:val="single" w:sz="6" w:space="0" w:color="69BD28"/>
            </w:tcBorders>
            <w:shd w:val="clear" w:color="auto" w:fill="006A4D"/>
          </w:tcPr>
          <w:p>
            <w:pPr>
              <w:pStyle w:val="TableParagraph"/>
              <w:spacing w:before="80"/>
              <w:ind w:left="1540" w:right="1550"/>
              <w:rPr>
                <w:b/>
                <w:sz w:val="18"/>
              </w:rPr>
            </w:pPr>
            <w:r>
              <w:rPr>
                <w:b/>
                <w:color w:val="FFFFFF"/>
                <w:w w:val="110"/>
                <w:sz w:val="18"/>
              </w:rPr>
              <w:t>Details</w:t>
            </w:r>
          </w:p>
        </w:tc>
      </w:tr>
      <w:tr>
        <w:trPr>
          <w:trHeight w:val="635" w:hRule="atLeast"/>
        </w:trPr>
        <w:tc>
          <w:tcPr>
            <w:tcW w:w="3015" w:type="dxa"/>
            <w:shd w:val="clear" w:color="auto" w:fill="69BD28"/>
          </w:tcPr>
          <w:p>
            <w:pPr>
              <w:pStyle w:val="TableParagraph"/>
              <w:spacing w:before="5"/>
              <w:jc w:val="left"/>
              <w:rPr>
                <w:sz w:val="18"/>
              </w:rPr>
            </w:pPr>
          </w:p>
          <w:p>
            <w:pPr>
              <w:pStyle w:val="TableParagraph"/>
              <w:ind w:left="408" w:right="421"/>
              <w:rPr>
                <w:b/>
                <w:sz w:val="18"/>
              </w:rPr>
            </w:pPr>
            <w:r>
              <w:rPr>
                <w:b/>
                <w:color w:val="FFFFFF"/>
                <w:w w:val="110"/>
                <w:sz w:val="18"/>
              </w:rPr>
              <w:t>Property Name</w:t>
            </w:r>
          </w:p>
        </w:tc>
        <w:tc>
          <w:tcPr>
            <w:tcW w:w="7455" w:type="dxa"/>
            <w:tcBorders>
              <w:top w:val="single" w:sz="6" w:space="0" w:color="69BD28"/>
              <w:bottom w:val="single" w:sz="6" w:space="0" w:color="69BD28"/>
            </w:tcBorders>
          </w:tcPr>
          <w:p>
            <w:pPr>
              <w:pStyle w:val="TableParagraph"/>
              <w:spacing w:before="5"/>
              <w:jc w:val="left"/>
              <w:rPr>
                <w:sz w:val="18"/>
              </w:rPr>
            </w:pPr>
          </w:p>
          <w:p>
            <w:pPr>
              <w:pStyle w:val="TableParagraph"/>
              <w:ind w:left="1540" w:right="1553"/>
              <w:rPr>
                <w:sz w:val="18"/>
              </w:rPr>
            </w:pPr>
            <w:r>
              <w:rPr>
                <w:sz w:val="18"/>
              </w:rPr>
              <w:t>Embassy Oxygen</w:t>
            </w:r>
          </w:p>
        </w:tc>
      </w:tr>
      <w:tr>
        <w:trPr>
          <w:trHeight w:val="565" w:hRule="atLeast"/>
        </w:trPr>
        <w:tc>
          <w:tcPr>
            <w:tcW w:w="3015" w:type="dxa"/>
            <w:shd w:val="clear" w:color="auto" w:fill="69BD28"/>
          </w:tcPr>
          <w:p>
            <w:pPr>
              <w:pStyle w:val="TableParagraph"/>
              <w:spacing w:before="178"/>
              <w:ind w:left="408" w:right="419"/>
              <w:rPr>
                <w:b/>
                <w:sz w:val="18"/>
              </w:rPr>
            </w:pPr>
            <w:r>
              <w:rPr>
                <w:b/>
                <w:color w:val="FFFFFF"/>
                <w:w w:val="110"/>
                <w:sz w:val="18"/>
              </w:rPr>
              <w:t>Address</w:t>
            </w:r>
          </w:p>
        </w:tc>
        <w:tc>
          <w:tcPr>
            <w:tcW w:w="7455" w:type="dxa"/>
            <w:tcBorders>
              <w:top w:val="single" w:sz="6" w:space="0" w:color="69BD28"/>
              <w:bottom w:val="single" w:sz="6" w:space="0" w:color="69BD28"/>
            </w:tcBorders>
          </w:tcPr>
          <w:p>
            <w:pPr>
              <w:pStyle w:val="TableParagraph"/>
              <w:spacing w:before="178"/>
              <w:ind w:left="1540" w:right="1556"/>
              <w:rPr>
                <w:sz w:val="18"/>
              </w:rPr>
            </w:pPr>
            <w:r>
              <w:rPr>
                <w:sz w:val="18"/>
              </w:rPr>
              <w:t>Plot No. </w:t>
            </w:r>
            <w:r>
              <w:rPr>
                <w:w w:val="105"/>
                <w:sz w:val="18"/>
              </w:rPr>
              <w:t>– </w:t>
            </w:r>
            <w:r>
              <w:rPr>
                <w:sz w:val="18"/>
              </w:rPr>
              <w:t>07, Sector 144, Noida, Uttar Pradesh, India</w:t>
            </w:r>
          </w:p>
        </w:tc>
      </w:tr>
      <w:tr>
        <w:trPr>
          <w:trHeight w:val="520" w:hRule="atLeast"/>
        </w:trPr>
        <w:tc>
          <w:tcPr>
            <w:tcW w:w="3015" w:type="dxa"/>
            <w:shd w:val="clear" w:color="auto" w:fill="69BD28"/>
          </w:tcPr>
          <w:p>
            <w:pPr>
              <w:pStyle w:val="TableParagraph"/>
              <w:spacing w:before="157"/>
              <w:ind w:left="408" w:right="419"/>
              <w:rPr>
                <w:b/>
                <w:sz w:val="18"/>
              </w:rPr>
            </w:pPr>
            <w:r>
              <w:rPr>
                <w:b/>
                <w:color w:val="FFFFFF"/>
                <w:w w:val="110"/>
                <w:sz w:val="18"/>
              </w:rPr>
              <w:t>Land Area</w:t>
            </w:r>
          </w:p>
        </w:tc>
        <w:tc>
          <w:tcPr>
            <w:tcW w:w="7455" w:type="dxa"/>
            <w:tcBorders>
              <w:top w:val="single" w:sz="6" w:space="0" w:color="69BD28"/>
              <w:bottom w:val="single" w:sz="6" w:space="0" w:color="69BD28"/>
            </w:tcBorders>
          </w:tcPr>
          <w:p>
            <w:pPr>
              <w:pStyle w:val="TableParagraph"/>
              <w:spacing w:before="155"/>
              <w:ind w:left="2647"/>
              <w:jc w:val="left"/>
              <w:rPr>
                <w:sz w:val="18"/>
              </w:rPr>
            </w:pPr>
            <w:r>
              <w:rPr>
                <w:w w:val="105"/>
                <w:sz w:val="18"/>
              </w:rPr>
              <w:t>24.83 acres/ 100,498 sqm</w:t>
            </w:r>
          </w:p>
        </w:tc>
      </w:tr>
      <w:tr>
        <w:trPr>
          <w:trHeight w:val="611" w:hRule="atLeast"/>
        </w:trPr>
        <w:tc>
          <w:tcPr>
            <w:tcW w:w="3015" w:type="dxa"/>
            <w:shd w:val="clear" w:color="auto" w:fill="69BD28"/>
          </w:tcPr>
          <w:p>
            <w:pPr>
              <w:pStyle w:val="TableParagraph"/>
              <w:spacing w:before="2"/>
              <w:jc w:val="left"/>
              <w:rPr>
                <w:sz w:val="17"/>
              </w:rPr>
            </w:pPr>
          </w:p>
          <w:p>
            <w:pPr>
              <w:pStyle w:val="TableParagraph"/>
              <w:spacing w:before="1"/>
              <w:ind w:left="408" w:right="419"/>
              <w:rPr>
                <w:b/>
                <w:sz w:val="18"/>
              </w:rPr>
            </w:pPr>
            <w:r>
              <w:rPr>
                <w:b/>
                <w:color w:val="FFFFFF"/>
                <w:w w:val="110"/>
                <w:sz w:val="18"/>
              </w:rPr>
              <w:t>Leasable Area</w:t>
            </w:r>
          </w:p>
        </w:tc>
        <w:tc>
          <w:tcPr>
            <w:tcW w:w="7455" w:type="dxa"/>
            <w:tcBorders>
              <w:top w:val="single" w:sz="6" w:space="0" w:color="69BD28"/>
              <w:bottom w:val="single" w:sz="6" w:space="0" w:color="69BD28"/>
            </w:tcBorders>
          </w:tcPr>
          <w:p>
            <w:pPr>
              <w:pStyle w:val="TableParagraph"/>
              <w:spacing w:line="247" w:lineRule="auto" w:before="92"/>
              <w:ind w:left="2566" w:right="2575"/>
              <w:rPr>
                <w:sz w:val="18"/>
              </w:rPr>
            </w:pPr>
            <w:r>
              <w:rPr>
                <w:w w:val="105"/>
                <w:sz w:val="18"/>
              </w:rPr>
              <w:t>Completed</w:t>
            </w:r>
            <w:r>
              <w:rPr>
                <w:spacing w:val="-29"/>
                <w:w w:val="105"/>
                <w:sz w:val="18"/>
              </w:rPr>
              <w:t> </w:t>
            </w:r>
            <w:r>
              <w:rPr>
                <w:w w:val="105"/>
                <w:sz w:val="18"/>
              </w:rPr>
              <w:t>Blocks</w:t>
            </w:r>
            <w:r>
              <w:rPr>
                <w:spacing w:val="-27"/>
                <w:w w:val="105"/>
                <w:sz w:val="18"/>
              </w:rPr>
              <w:t> </w:t>
            </w:r>
            <w:r>
              <w:rPr>
                <w:w w:val="105"/>
                <w:sz w:val="18"/>
              </w:rPr>
              <w:t>–</w:t>
            </w:r>
            <w:r>
              <w:rPr>
                <w:spacing w:val="-29"/>
                <w:w w:val="105"/>
                <w:sz w:val="18"/>
              </w:rPr>
              <w:t> </w:t>
            </w:r>
            <w:r>
              <w:rPr>
                <w:w w:val="105"/>
                <w:sz w:val="18"/>
              </w:rPr>
              <w:t>2.52</w:t>
            </w:r>
            <w:r>
              <w:rPr>
                <w:spacing w:val="-28"/>
                <w:w w:val="105"/>
                <w:sz w:val="18"/>
              </w:rPr>
              <w:t> </w:t>
            </w:r>
            <w:r>
              <w:rPr>
                <w:w w:val="105"/>
                <w:sz w:val="18"/>
              </w:rPr>
              <w:t>msf Proposed</w:t>
            </w:r>
            <w:r>
              <w:rPr>
                <w:spacing w:val="-21"/>
                <w:w w:val="105"/>
                <w:sz w:val="18"/>
              </w:rPr>
              <w:t> </w:t>
            </w:r>
            <w:r>
              <w:rPr>
                <w:w w:val="105"/>
                <w:sz w:val="18"/>
              </w:rPr>
              <w:t>Blocks</w:t>
            </w:r>
            <w:r>
              <w:rPr>
                <w:spacing w:val="-19"/>
                <w:w w:val="105"/>
                <w:sz w:val="18"/>
              </w:rPr>
              <w:t> </w:t>
            </w:r>
            <w:r>
              <w:rPr>
                <w:w w:val="105"/>
                <w:sz w:val="18"/>
              </w:rPr>
              <w:t>–</w:t>
            </w:r>
            <w:r>
              <w:rPr>
                <w:spacing w:val="-20"/>
                <w:w w:val="105"/>
                <w:sz w:val="18"/>
              </w:rPr>
              <w:t> </w:t>
            </w:r>
            <w:r>
              <w:rPr>
                <w:w w:val="105"/>
                <w:sz w:val="18"/>
              </w:rPr>
              <w:t>0.74</w:t>
            </w:r>
            <w:r>
              <w:rPr>
                <w:spacing w:val="-21"/>
                <w:w w:val="105"/>
                <w:sz w:val="18"/>
              </w:rPr>
              <w:t> </w:t>
            </w:r>
            <w:r>
              <w:rPr>
                <w:w w:val="105"/>
                <w:sz w:val="18"/>
              </w:rPr>
              <w:t>msf</w:t>
            </w:r>
          </w:p>
        </w:tc>
      </w:tr>
    </w:tbl>
    <w:p>
      <w:pPr>
        <w:spacing w:before="44"/>
        <w:ind w:left="220" w:right="0" w:firstLine="0"/>
        <w:jc w:val="left"/>
        <w:rPr>
          <w:i/>
          <w:sz w:val="18"/>
        </w:rPr>
      </w:pPr>
      <w:r>
        <w:rPr>
          <w:i/>
          <w:sz w:val="18"/>
        </w:rPr>
        <w:t>Source: Lease Deed (dated September 21, 2007), Title Report, Architect Certificate</w:t>
      </w:r>
    </w:p>
    <w:p>
      <w:pPr>
        <w:pStyle w:val="BodyText"/>
        <w:spacing w:before="11"/>
        <w:rPr>
          <w:i/>
          <w:sz w:val="20"/>
        </w:rPr>
      </w:pPr>
    </w:p>
    <w:p>
      <w:pPr>
        <w:pStyle w:val="ListParagraph"/>
        <w:numPr>
          <w:ilvl w:val="2"/>
          <w:numId w:val="14"/>
        </w:numPr>
        <w:tabs>
          <w:tab w:pos="941" w:val="left" w:leader="none"/>
        </w:tabs>
        <w:spacing w:line="240" w:lineRule="auto" w:before="0" w:after="0"/>
        <w:ind w:left="940" w:right="0" w:hanging="721"/>
        <w:jc w:val="left"/>
        <w:rPr>
          <w:sz w:val="22"/>
        </w:rPr>
      </w:pPr>
      <w:bookmarkStart w:name="_bookmark242" w:id="472"/>
      <w:bookmarkEnd w:id="472"/>
      <w:r>
        <w:rPr/>
      </w:r>
      <w:bookmarkStart w:name="_bookmark242" w:id="473"/>
      <w:bookmarkEnd w:id="473"/>
      <w:r>
        <w:rPr>
          <w:color w:val="1F664D"/>
          <w:sz w:val="22"/>
        </w:rPr>
        <w:t>S</w:t>
      </w:r>
      <w:r>
        <w:rPr>
          <w:color w:val="1F664D"/>
          <w:sz w:val="22"/>
        </w:rPr>
        <w:t>ite Details</w:t>
      </w:r>
    </w:p>
    <w:p>
      <w:pPr>
        <w:pStyle w:val="BodyText"/>
        <w:spacing w:before="3"/>
        <w:rPr>
          <w:sz w:val="28"/>
        </w:rPr>
      </w:pPr>
    </w:p>
    <w:p>
      <w:pPr>
        <w:pStyle w:val="BodyText"/>
        <w:tabs>
          <w:tab w:pos="2202" w:val="left" w:leader="none"/>
        </w:tabs>
        <w:ind w:left="220"/>
      </w:pPr>
      <w:r>
        <w:rPr/>
        <w:t>Situation:</w:t>
        <w:tab/>
        <w:t>Subject</w:t>
      </w:r>
      <w:r>
        <w:rPr>
          <w:spacing w:val="-27"/>
        </w:rPr>
        <w:t> </w:t>
      </w:r>
      <w:r>
        <w:rPr/>
        <w:t>property</w:t>
      </w:r>
      <w:r>
        <w:rPr>
          <w:spacing w:val="-24"/>
        </w:rPr>
        <w:t> </w:t>
      </w:r>
      <w:r>
        <w:rPr>
          <w:w w:val="105"/>
        </w:rPr>
        <w:t>–</w:t>
      </w:r>
      <w:r>
        <w:rPr>
          <w:spacing w:val="-30"/>
          <w:w w:val="105"/>
        </w:rPr>
        <w:t> </w:t>
      </w:r>
      <w:r>
        <w:rPr/>
        <w:t>‘Embassy</w:t>
      </w:r>
      <w:r>
        <w:rPr>
          <w:spacing w:val="-26"/>
        </w:rPr>
        <w:t> </w:t>
      </w:r>
      <w:r>
        <w:rPr/>
        <w:t>Oxygen’</w:t>
      </w:r>
      <w:r>
        <w:rPr>
          <w:spacing w:val="-27"/>
        </w:rPr>
        <w:t> </w:t>
      </w:r>
      <w:r>
        <w:rPr/>
        <w:t>is</w:t>
      </w:r>
      <w:r>
        <w:rPr>
          <w:spacing w:val="-26"/>
        </w:rPr>
        <w:t> </w:t>
      </w:r>
      <w:r>
        <w:rPr/>
        <w:t>a</w:t>
      </w:r>
      <w:r>
        <w:rPr>
          <w:spacing w:val="-28"/>
        </w:rPr>
        <w:t> </w:t>
      </w:r>
      <w:r>
        <w:rPr/>
        <w:t>partly</w:t>
      </w:r>
      <w:r>
        <w:rPr>
          <w:spacing w:val="-25"/>
        </w:rPr>
        <w:t> </w:t>
      </w:r>
      <w:r>
        <w:rPr/>
        <w:t>operational</w:t>
      </w:r>
      <w:r>
        <w:rPr>
          <w:spacing w:val="-27"/>
        </w:rPr>
        <w:t> </w:t>
      </w:r>
      <w:r>
        <w:rPr/>
        <w:t>office</w:t>
      </w:r>
      <w:r>
        <w:rPr>
          <w:spacing w:val="-28"/>
        </w:rPr>
        <w:t> </w:t>
      </w:r>
      <w:r>
        <w:rPr/>
        <w:t>park</w:t>
      </w:r>
      <w:r>
        <w:rPr>
          <w:spacing w:val="-25"/>
        </w:rPr>
        <w:t> </w:t>
      </w:r>
      <w:r>
        <w:rPr/>
        <w:t>located</w:t>
      </w:r>
      <w:r>
        <w:rPr>
          <w:spacing w:val="-26"/>
        </w:rPr>
        <w:t> </w:t>
      </w:r>
      <w:r>
        <w:rPr/>
        <w:t>at</w:t>
      </w:r>
      <w:r>
        <w:rPr>
          <w:spacing w:val="-26"/>
        </w:rPr>
        <w:t> </w:t>
      </w:r>
      <w:r>
        <w:rPr/>
        <w:t>Sector</w:t>
      </w:r>
    </w:p>
    <w:p>
      <w:pPr>
        <w:pStyle w:val="BodyText"/>
        <w:spacing w:before="87"/>
        <w:ind w:left="2202"/>
        <w:jc w:val="both"/>
      </w:pPr>
      <w:r>
        <w:rPr/>
        <w:t>144, Noida, Uttar Pradesh.</w:t>
      </w:r>
    </w:p>
    <w:p>
      <w:pPr>
        <w:pStyle w:val="BodyText"/>
        <w:spacing w:before="8"/>
        <w:rPr>
          <w:sz w:val="34"/>
        </w:rPr>
      </w:pPr>
    </w:p>
    <w:p>
      <w:pPr>
        <w:pStyle w:val="BodyText"/>
        <w:tabs>
          <w:tab w:pos="2202" w:val="left" w:leader="none"/>
        </w:tabs>
        <w:spacing w:line="321" w:lineRule="auto"/>
        <w:ind w:left="2202" w:right="341" w:hanging="1983"/>
        <w:jc w:val="both"/>
      </w:pPr>
      <w:r>
        <w:rPr/>
        <w:t>Location:</w:t>
        <w:tab/>
      </w:r>
      <w:r>
        <w:rPr>
          <w:w w:val="105"/>
        </w:rPr>
        <w:t>The</w:t>
      </w:r>
      <w:r>
        <w:rPr>
          <w:spacing w:val="-16"/>
          <w:w w:val="105"/>
        </w:rPr>
        <w:t> </w:t>
      </w:r>
      <w:r>
        <w:rPr>
          <w:w w:val="105"/>
        </w:rPr>
        <w:t>subject</w:t>
      </w:r>
      <w:r>
        <w:rPr>
          <w:spacing w:val="-14"/>
          <w:w w:val="105"/>
        </w:rPr>
        <w:t> </w:t>
      </w:r>
      <w:r>
        <w:rPr>
          <w:w w:val="105"/>
        </w:rPr>
        <w:t>property</w:t>
      </w:r>
      <w:r>
        <w:rPr>
          <w:spacing w:val="-15"/>
          <w:w w:val="105"/>
        </w:rPr>
        <w:t> </w:t>
      </w:r>
      <w:r>
        <w:rPr>
          <w:w w:val="105"/>
        </w:rPr>
        <w:t>is</w:t>
      </w:r>
      <w:r>
        <w:rPr>
          <w:spacing w:val="-15"/>
          <w:w w:val="105"/>
        </w:rPr>
        <w:t> </w:t>
      </w:r>
      <w:r>
        <w:rPr>
          <w:w w:val="105"/>
        </w:rPr>
        <w:t>located</w:t>
      </w:r>
      <w:r>
        <w:rPr>
          <w:spacing w:val="-14"/>
          <w:w w:val="105"/>
        </w:rPr>
        <w:t> </w:t>
      </w:r>
      <w:r>
        <w:rPr>
          <w:w w:val="105"/>
        </w:rPr>
        <w:t>in</w:t>
      </w:r>
      <w:r>
        <w:rPr>
          <w:spacing w:val="-15"/>
          <w:w w:val="105"/>
        </w:rPr>
        <w:t> </w:t>
      </w:r>
      <w:r>
        <w:rPr>
          <w:w w:val="105"/>
        </w:rPr>
        <w:t>Sector</w:t>
      </w:r>
      <w:r>
        <w:rPr>
          <w:spacing w:val="-14"/>
          <w:w w:val="105"/>
        </w:rPr>
        <w:t> </w:t>
      </w:r>
      <w:r>
        <w:rPr>
          <w:w w:val="105"/>
        </w:rPr>
        <w:t>–</w:t>
      </w:r>
      <w:r>
        <w:rPr>
          <w:spacing w:val="-14"/>
          <w:w w:val="105"/>
        </w:rPr>
        <w:t> </w:t>
      </w:r>
      <w:r>
        <w:rPr>
          <w:w w:val="105"/>
        </w:rPr>
        <w:t>144,</w:t>
      </w:r>
      <w:r>
        <w:rPr>
          <w:spacing w:val="-16"/>
          <w:w w:val="105"/>
        </w:rPr>
        <w:t> </w:t>
      </w:r>
      <w:r>
        <w:rPr>
          <w:w w:val="105"/>
        </w:rPr>
        <w:t>Noida</w:t>
      </w:r>
      <w:r>
        <w:rPr>
          <w:spacing w:val="-14"/>
          <w:w w:val="105"/>
        </w:rPr>
        <w:t> </w:t>
      </w:r>
      <w:r>
        <w:rPr>
          <w:w w:val="105"/>
        </w:rPr>
        <w:t>in</w:t>
      </w:r>
      <w:r>
        <w:rPr>
          <w:spacing w:val="-15"/>
          <w:w w:val="105"/>
        </w:rPr>
        <w:t> </w:t>
      </w:r>
      <w:r>
        <w:rPr>
          <w:w w:val="105"/>
        </w:rPr>
        <w:t>close</w:t>
      </w:r>
      <w:r>
        <w:rPr>
          <w:spacing w:val="-15"/>
          <w:w w:val="105"/>
        </w:rPr>
        <w:t> </w:t>
      </w:r>
      <w:r>
        <w:rPr>
          <w:w w:val="105"/>
        </w:rPr>
        <w:t>proximity</w:t>
      </w:r>
      <w:r>
        <w:rPr>
          <w:spacing w:val="-15"/>
          <w:w w:val="105"/>
        </w:rPr>
        <w:t> </w:t>
      </w:r>
      <w:r>
        <w:rPr>
          <w:w w:val="105"/>
        </w:rPr>
        <w:t>to</w:t>
      </w:r>
      <w:r>
        <w:rPr>
          <w:spacing w:val="-14"/>
          <w:w w:val="105"/>
        </w:rPr>
        <w:t> </w:t>
      </w:r>
      <w:r>
        <w:rPr>
          <w:w w:val="105"/>
        </w:rPr>
        <w:t>Noida</w:t>
      </w:r>
      <w:r>
        <w:rPr>
          <w:spacing w:val="-14"/>
          <w:w w:val="105"/>
        </w:rPr>
        <w:t> </w:t>
      </w:r>
      <w:r>
        <w:rPr>
          <w:w w:val="105"/>
        </w:rPr>
        <w:t>– </w:t>
      </w:r>
      <w:r>
        <w:rPr/>
        <w:t>Greater</w:t>
      </w:r>
      <w:r>
        <w:rPr>
          <w:spacing w:val="-45"/>
        </w:rPr>
        <w:t> </w:t>
      </w:r>
      <w:r>
        <w:rPr/>
        <w:t>Noida</w:t>
      </w:r>
      <w:r>
        <w:rPr>
          <w:spacing w:val="-45"/>
        </w:rPr>
        <w:t> </w:t>
      </w:r>
      <w:r>
        <w:rPr/>
        <w:t>Expressway</w:t>
      </w:r>
      <w:r>
        <w:rPr>
          <w:spacing w:val="-44"/>
        </w:rPr>
        <w:t> </w:t>
      </w:r>
      <w:r>
        <w:rPr/>
        <w:t>and</w:t>
      </w:r>
      <w:r>
        <w:rPr>
          <w:spacing w:val="-45"/>
        </w:rPr>
        <w:t> </w:t>
      </w:r>
      <w:r>
        <w:rPr/>
        <w:t>is</w:t>
      </w:r>
      <w:r>
        <w:rPr>
          <w:spacing w:val="-44"/>
        </w:rPr>
        <w:t> </w:t>
      </w:r>
      <w:r>
        <w:rPr/>
        <w:t>one</w:t>
      </w:r>
      <w:r>
        <w:rPr>
          <w:spacing w:val="-45"/>
        </w:rPr>
        <w:t> </w:t>
      </w:r>
      <w:r>
        <w:rPr/>
        <w:t>of</w:t>
      </w:r>
      <w:r>
        <w:rPr>
          <w:spacing w:val="-44"/>
        </w:rPr>
        <w:t> </w:t>
      </w:r>
      <w:r>
        <w:rPr/>
        <w:t>the</w:t>
      </w:r>
      <w:r>
        <w:rPr>
          <w:spacing w:val="-45"/>
        </w:rPr>
        <w:t> </w:t>
      </w:r>
      <w:r>
        <w:rPr/>
        <w:t>few</w:t>
      </w:r>
      <w:r>
        <w:rPr>
          <w:spacing w:val="-44"/>
        </w:rPr>
        <w:t> </w:t>
      </w:r>
      <w:r>
        <w:rPr/>
        <w:t>high-quality,</w:t>
      </w:r>
      <w:r>
        <w:rPr>
          <w:spacing w:val="-44"/>
        </w:rPr>
        <w:t> </w:t>
      </w:r>
      <w:r>
        <w:rPr/>
        <w:t>institutionally-owned</w:t>
      </w:r>
      <w:r>
        <w:rPr>
          <w:spacing w:val="-44"/>
        </w:rPr>
        <w:t> </w:t>
      </w:r>
      <w:r>
        <w:rPr/>
        <w:t>office assets</w:t>
      </w:r>
      <w:r>
        <w:rPr>
          <w:spacing w:val="-30"/>
        </w:rPr>
        <w:t> </w:t>
      </w:r>
      <w:r>
        <w:rPr/>
        <w:t>in</w:t>
      </w:r>
      <w:r>
        <w:rPr>
          <w:spacing w:val="-31"/>
        </w:rPr>
        <w:t> </w:t>
      </w:r>
      <w:r>
        <w:rPr/>
        <w:t>the</w:t>
      </w:r>
      <w:r>
        <w:rPr>
          <w:spacing w:val="-31"/>
        </w:rPr>
        <w:t> </w:t>
      </w:r>
      <w:r>
        <w:rPr/>
        <w:t>sub-market.</w:t>
      </w:r>
      <w:r>
        <w:rPr>
          <w:spacing w:val="-30"/>
        </w:rPr>
        <w:t> </w:t>
      </w:r>
      <w:r>
        <w:rPr/>
        <w:t>The</w:t>
      </w:r>
      <w:r>
        <w:rPr>
          <w:spacing w:val="-32"/>
        </w:rPr>
        <w:t> </w:t>
      </w:r>
      <w:r>
        <w:rPr/>
        <w:t>property</w:t>
      </w:r>
      <w:r>
        <w:rPr>
          <w:spacing w:val="-29"/>
        </w:rPr>
        <w:t> </w:t>
      </w:r>
      <w:r>
        <w:rPr/>
        <w:t>is</w:t>
      </w:r>
      <w:r>
        <w:rPr>
          <w:spacing w:val="-30"/>
        </w:rPr>
        <w:t> </w:t>
      </w:r>
      <w:r>
        <w:rPr/>
        <w:t>amongst</w:t>
      </w:r>
      <w:r>
        <w:rPr>
          <w:spacing w:val="-30"/>
        </w:rPr>
        <w:t> </w:t>
      </w:r>
      <w:r>
        <w:rPr/>
        <w:t>the</w:t>
      </w:r>
      <w:r>
        <w:rPr>
          <w:spacing w:val="-31"/>
        </w:rPr>
        <w:t> </w:t>
      </w:r>
      <w:r>
        <w:rPr/>
        <w:t>largest</w:t>
      </w:r>
      <w:r>
        <w:rPr>
          <w:spacing w:val="-30"/>
        </w:rPr>
        <w:t> </w:t>
      </w:r>
      <w:r>
        <w:rPr/>
        <w:t>office</w:t>
      </w:r>
      <w:r>
        <w:rPr>
          <w:spacing w:val="-31"/>
        </w:rPr>
        <w:t> </w:t>
      </w:r>
      <w:r>
        <w:rPr/>
        <w:t>parks</w:t>
      </w:r>
      <w:r>
        <w:rPr>
          <w:spacing w:val="-29"/>
        </w:rPr>
        <w:t> </w:t>
      </w:r>
      <w:r>
        <w:rPr/>
        <w:t>in</w:t>
      </w:r>
      <w:r>
        <w:rPr>
          <w:spacing w:val="-30"/>
        </w:rPr>
        <w:t> </w:t>
      </w:r>
      <w:r>
        <w:rPr/>
        <w:t>the</w:t>
      </w:r>
      <w:r>
        <w:rPr>
          <w:spacing w:val="-30"/>
        </w:rPr>
        <w:t> </w:t>
      </w:r>
      <w:r>
        <w:rPr/>
        <w:t>city</w:t>
      </w:r>
      <w:r>
        <w:rPr>
          <w:spacing w:val="-30"/>
        </w:rPr>
        <w:t> </w:t>
      </w:r>
      <w:r>
        <w:rPr/>
        <w:t>and </w:t>
      </w:r>
      <w:r>
        <w:rPr>
          <w:w w:val="105"/>
        </w:rPr>
        <w:t>one</w:t>
      </w:r>
      <w:r>
        <w:rPr>
          <w:spacing w:val="-7"/>
          <w:w w:val="105"/>
        </w:rPr>
        <w:t> </w:t>
      </w:r>
      <w:r>
        <w:rPr>
          <w:w w:val="105"/>
        </w:rPr>
        <w:t>of</w:t>
      </w:r>
      <w:r>
        <w:rPr>
          <w:spacing w:val="-6"/>
          <w:w w:val="105"/>
        </w:rPr>
        <w:t> </w:t>
      </w:r>
      <w:r>
        <w:rPr>
          <w:w w:val="105"/>
        </w:rPr>
        <w:t>only</w:t>
      </w:r>
      <w:r>
        <w:rPr>
          <w:spacing w:val="-6"/>
          <w:w w:val="105"/>
        </w:rPr>
        <w:t> </w:t>
      </w:r>
      <w:r>
        <w:rPr>
          <w:w w:val="105"/>
        </w:rPr>
        <w:t>few</w:t>
      </w:r>
      <w:r>
        <w:rPr>
          <w:spacing w:val="-5"/>
          <w:w w:val="105"/>
        </w:rPr>
        <w:t> </w:t>
      </w:r>
      <w:r>
        <w:rPr>
          <w:w w:val="105"/>
        </w:rPr>
        <w:t>SEZ</w:t>
      </w:r>
      <w:r>
        <w:rPr>
          <w:spacing w:val="-6"/>
          <w:w w:val="105"/>
        </w:rPr>
        <w:t> </w:t>
      </w:r>
      <w:r>
        <w:rPr>
          <w:w w:val="105"/>
        </w:rPr>
        <w:t>developments</w:t>
      </w:r>
      <w:r>
        <w:rPr>
          <w:spacing w:val="-6"/>
          <w:w w:val="105"/>
        </w:rPr>
        <w:t> </w:t>
      </w:r>
      <w:r>
        <w:rPr>
          <w:w w:val="105"/>
        </w:rPr>
        <w:t>in</w:t>
      </w:r>
      <w:r>
        <w:rPr>
          <w:spacing w:val="-7"/>
          <w:w w:val="105"/>
        </w:rPr>
        <w:t> </w:t>
      </w:r>
      <w:r>
        <w:rPr>
          <w:w w:val="105"/>
        </w:rPr>
        <w:t>its</w:t>
      </w:r>
      <w:r>
        <w:rPr>
          <w:spacing w:val="-6"/>
          <w:w w:val="105"/>
        </w:rPr>
        <w:t> </w:t>
      </w:r>
      <w:r>
        <w:rPr>
          <w:w w:val="105"/>
        </w:rPr>
        <w:t>sub-market.</w:t>
      </w:r>
      <w:r>
        <w:rPr>
          <w:spacing w:val="-7"/>
          <w:w w:val="105"/>
        </w:rPr>
        <w:t> </w:t>
      </w:r>
      <w:r>
        <w:rPr>
          <w:w w:val="105"/>
        </w:rPr>
        <w:t>The</w:t>
      </w:r>
      <w:r>
        <w:rPr>
          <w:spacing w:val="-6"/>
          <w:w w:val="105"/>
        </w:rPr>
        <w:t> </w:t>
      </w:r>
      <w:r>
        <w:rPr>
          <w:w w:val="105"/>
        </w:rPr>
        <w:t>subject</w:t>
      </w:r>
      <w:r>
        <w:rPr>
          <w:spacing w:val="-6"/>
          <w:w w:val="105"/>
        </w:rPr>
        <w:t> </w:t>
      </w:r>
      <w:r>
        <w:rPr>
          <w:w w:val="105"/>
        </w:rPr>
        <w:t>property</w:t>
      </w:r>
      <w:r>
        <w:rPr>
          <w:spacing w:val="-5"/>
          <w:w w:val="105"/>
        </w:rPr>
        <w:t> </w:t>
      </w:r>
      <w:r>
        <w:rPr>
          <w:w w:val="105"/>
        </w:rPr>
        <w:t>is</w:t>
      </w:r>
      <w:r>
        <w:rPr>
          <w:spacing w:val="-7"/>
          <w:w w:val="105"/>
        </w:rPr>
        <w:t> </w:t>
      </w:r>
      <w:r>
        <w:rPr>
          <w:w w:val="105"/>
        </w:rPr>
        <w:t>well </w:t>
      </w:r>
      <w:r>
        <w:rPr/>
        <w:t>connected</w:t>
      </w:r>
      <w:r>
        <w:rPr>
          <w:spacing w:val="-32"/>
        </w:rPr>
        <w:t> </w:t>
      </w:r>
      <w:r>
        <w:rPr/>
        <w:t>to</w:t>
      </w:r>
      <w:r>
        <w:rPr>
          <w:spacing w:val="-31"/>
        </w:rPr>
        <w:t> </w:t>
      </w:r>
      <w:r>
        <w:rPr/>
        <w:t>other</w:t>
      </w:r>
      <w:r>
        <w:rPr>
          <w:spacing w:val="-33"/>
        </w:rPr>
        <w:t> </w:t>
      </w:r>
      <w:r>
        <w:rPr/>
        <w:t>parts</w:t>
      </w:r>
      <w:r>
        <w:rPr>
          <w:spacing w:val="-32"/>
        </w:rPr>
        <w:t> </w:t>
      </w:r>
      <w:r>
        <w:rPr/>
        <w:t>of</w:t>
      </w:r>
      <w:r>
        <w:rPr>
          <w:spacing w:val="-31"/>
        </w:rPr>
        <w:t> </w:t>
      </w:r>
      <w:r>
        <w:rPr/>
        <w:t>Noida</w:t>
      </w:r>
      <w:r>
        <w:rPr>
          <w:spacing w:val="-33"/>
        </w:rPr>
        <w:t> </w:t>
      </w:r>
      <w:r>
        <w:rPr/>
        <w:t>and</w:t>
      </w:r>
      <w:r>
        <w:rPr>
          <w:spacing w:val="-31"/>
        </w:rPr>
        <w:t> </w:t>
      </w:r>
      <w:r>
        <w:rPr/>
        <w:t>Delhi</w:t>
      </w:r>
      <w:r>
        <w:rPr>
          <w:spacing w:val="-33"/>
        </w:rPr>
        <w:t> </w:t>
      </w:r>
      <w:r>
        <w:rPr/>
        <w:t>on</w:t>
      </w:r>
      <w:r>
        <w:rPr>
          <w:spacing w:val="-32"/>
        </w:rPr>
        <w:t> </w:t>
      </w:r>
      <w:r>
        <w:rPr/>
        <w:t>account</w:t>
      </w:r>
      <w:r>
        <w:rPr>
          <w:spacing w:val="-32"/>
        </w:rPr>
        <w:t> </w:t>
      </w:r>
      <w:r>
        <w:rPr/>
        <w:t>of</w:t>
      </w:r>
      <w:r>
        <w:rPr>
          <w:spacing w:val="-31"/>
        </w:rPr>
        <w:t> </w:t>
      </w:r>
      <w:r>
        <w:rPr/>
        <w:t>its</w:t>
      </w:r>
      <w:r>
        <w:rPr>
          <w:spacing w:val="-31"/>
        </w:rPr>
        <w:t> </w:t>
      </w:r>
      <w:r>
        <w:rPr/>
        <w:t>strategic</w:t>
      </w:r>
      <w:r>
        <w:rPr>
          <w:spacing w:val="-33"/>
        </w:rPr>
        <w:t> </w:t>
      </w:r>
      <w:r>
        <w:rPr/>
        <w:t>location</w:t>
      </w:r>
      <w:r>
        <w:rPr>
          <w:spacing w:val="-32"/>
        </w:rPr>
        <w:t> </w:t>
      </w:r>
      <w:r>
        <w:rPr/>
        <w:t>i.e.</w:t>
      </w:r>
      <w:r>
        <w:rPr>
          <w:spacing w:val="-33"/>
        </w:rPr>
        <w:t> </w:t>
      </w:r>
      <w:r>
        <w:rPr/>
        <w:t>close </w:t>
      </w:r>
      <w:r>
        <w:rPr>
          <w:w w:val="105"/>
        </w:rPr>
        <w:t>proximity</w:t>
      </w:r>
      <w:r>
        <w:rPr>
          <w:spacing w:val="-39"/>
          <w:w w:val="105"/>
        </w:rPr>
        <w:t> </w:t>
      </w:r>
      <w:r>
        <w:rPr>
          <w:w w:val="105"/>
        </w:rPr>
        <w:t>to</w:t>
      </w:r>
      <w:r>
        <w:rPr>
          <w:spacing w:val="-39"/>
          <w:w w:val="105"/>
        </w:rPr>
        <w:t> </w:t>
      </w:r>
      <w:r>
        <w:rPr>
          <w:w w:val="105"/>
        </w:rPr>
        <w:t>the</w:t>
      </w:r>
      <w:r>
        <w:rPr>
          <w:spacing w:val="-39"/>
          <w:w w:val="105"/>
        </w:rPr>
        <w:t> </w:t>
      </w:r>
      <w:r>
        <w:rPr>
          <w:w w:val="105"/>
        </w:rPr>
        <w:t>Noida</w:t>
      </w:r>
      <w:r>
        <w:rPr>
          <w:spacing w:val="-37"/>
          <w:w w:val="105"/>
        </w:rPr>
        <w:t> </w:t>
      </w:r>
      <w:r>
        <w:rPr>
          <w:w w:val="105"/>
        </w:rPr>
        <w:t>–</w:t>
      </w:r>
      <w:r>
        <w:rPr>
          <w:spacing w:val="-40"/>
          <w:w w:val="105"/>
        </w:rPr>
        <w:t> </w:t>
      </w:r>
      <w:r>
        <w:rPr>
          <w:w w:val="105"/>
        </w:rPr>
        <w:t>Greater</w:t>
      </w:r>
      <w:r>
        <w:rPr>
          <w:spacing w:val="-39"/>
          <w:w w:val="105"/>
        </w:rPr>
        <w:t> </w:t>
      </w:r>
      <w:r>
        <w:rPr>
          <w:w w:val="105"/>
        </w:rPr>
        <w:t>Noida</w:t>
      </w:r>
      <w:r>
        <w:rPr>
          <w:spacing w:val="-38"/>
          <w:w w:val="105"/>
        </w:rPr>
        <w:t> </w:t>
      </w:r>
      <w:r>
        <w:rPr>
          <w:w w:val="105"/>
        </w:rPr>
        <w:t>expressway</w:t>
      </w:r>
      <w:r>
        <w:rPr>
          <w:spacing w:val="-38"/>
          <w:w w:val="105"/>
        </w:rPr>
        <w:t> </w:t>
      </w:r>
      <w:r>
        <w:rPr>
          <w:w w:val="105"/>
        </w:rPr>
        <w:t>and</w:t>
      </w:r>
      <w:r>
        <w:rPr>
          <w:spacing w:val="-39"/>
          <w:w w:val="105"/>
        </w:rPr>
        <w:t> </w:t>
      </w:r>
      <w:r>
        <w:rPr>
          <w:w w:val="105"/>
        </w:rPr>
        <w:t>DND</w:t>
      </w:r>
      <w:r>
        <w:rPr>
          <w:spacing w:val="-38"/>
          <w:w w:val="105"/>
        </w:rPr>
        <w:t> </w:t>
      </w:r>
      <w:r>
        <w:rPr>
          <w:w w:val="105"/>
        </w:rPr>
        <w:t>Expressway</w:t>
      </w:r>
      <w:r>
        <w:rPr>
          <w:spacing w:val="-39"/>
          <w:w w:val="105"/>
        </w:rPr>
        <w:t> </w:t>
      </w:r>
      <w:r>
        <w:rPr>
          <w:w w:val="105"/>
        </w:rPr>
        <w:t>(located</w:t>
      </w:r>
      <w:r>
        <w:rPr>
          <w:spacing w:val="-38"/>
          <w:w w:val="105"/>
        </w:rPr>
        <w:t> </w:t>
      </w:r>
      <w:r>
        <w:rPr>
          <w:w w:val="105"/>
        </w:rPr>
        <w:t>at</w:t>
      </w:r>
      <w:r>
        <w:rPr>
          <w:spacing w:val="-39"/>
          <w:w w:val="105"/>
        </w:rPr>
        <w:t> </w:t>
      </w:r>
      <w:r>
        <w:rPr>
          <w:w w:val="105"/>
        </w:rPr>
        <w:t>a </w:t>
      </w:r>
      <w:r>
        <w:rPr/>
        <w:t>distance</w:t>
      </w:r>
      <w:r>
        <w:rPr>
          <w:spacing w:val="-32"/>
        </w:rPr>
        <w:t> </w:t>
      </w:r>
      <w:r>
        <w:rPr/>
        <w:t>of</w:t>
      </w:r>
      <w:r>
        <w:rPr>
          <w:spacing w:val="-30"/>
        </w:rPr>
        <w:t> </w:t>
      </w:r>
      <w:r>
        <w:rPr/>
        <w:t>approx.</w:t>
      </w:r>
      <w:r>
        <w:rPr>
          <w:spacing w:val="-32"/>
        </w:rPr>
        <w:t> </w:t>
      </w:r>
      <w:r>
        <w:rPr/>
        <w:t>16</w:t>
      </w:r>
      <w:r>
        <w:rPr>
          <w:spacing w:val="-30"/>
        </w:rPr>
        <w:t> </w:t>
      </w:r>
      <w:r>
        <w:rPr/>
        <w:t>–</w:t>
      </w:r>
      <w:r>
        <w:rPr>
          <w:spacing w:val="-30"/>
        </w:rPr>
        <w:t> </w:t>
      </w:r>
      <w:r>
        <w:rPr/>
        <w:t>17</w:t>
      </w:r>
      <w:r>
        <w:rPr>
          <w:spacing w:val="-32"/>
        </w:rPr>
        <w:t> </w:t>
      </w:r>
      <w:r>
        <w:rPr/>
        <w:t>km</w:t>
      </w:r>
      <w:r>
        <w:rPr>
          <w:spacing w:val="-31"/>
        </w:rPr>
        <w:t> </w:t>
      </w:r>
      <w:r>
        <w:rPr/>
        <w:t>from</w:t>
      </w:r>
      <w:r>
        <w:rPr>
          <w:spacing w:val="-31"/>
        </w:rPr>
        <w:t> </w:t>
      </w:r>
      <w:r>
        <w:rPr/>
        <w:t>the</w:t>
      </w:r>
      <w:r>
        <w:rPr>
          <w:spacing w:val="-32"/>
        </w:rPr>
        <w:t> </w:t>
      </w:r>
      <w:r>
        <w:rPr/>
        <w:t>subject</w:t>
      </w:r>
      <w:r>
        <w:rPr>
          <w:spacing w:val="-31"/>
        </w:rPr>
        <w:t> </w:t>
      </w:r>
      <w:r>
        <w:rPr/>
        <w:t>property).</w:t>
      </w:r>
      <w:r>
        <w:rPr>
          <w:spacing w:val="-33"/>
        </w:rPr>
        <w:t> </w:t>
      </w:r>
      <w:r>
        <w:rPr/>
        <w:t>Further,</w:t>
      </w:r>
      <w:r>
        <w:rPr>
          <w:spacing w:val="-31"/>
        </w:rPr>
        <w:t> </w:t>
      </w:r>
      <w:r>
        <w:rPr/>
        <w:t>the</w:t>
      </w:r>
      <w:r>
        <w:rPr>
          <w:spacing w:val="-31"/>
        </w:rPr>
        <w:t> </w:t>
      </w:r>
      <w:r>
        <w:rPr/>
        <w:t>subject</w:t>
      </w:r>
      <w:r>
        <w:rPr>
          <w:spacing w:val="-30"/>
        </w:rPr>
        <w:t> </w:t>
      </w:r>
      <w:r>
        <w:rPr/>
        <w:t>property </w:t>
      </w:r>
      <w:r>
        <w:rPr>
          <w:w w:val="105"/>
        </w:rPr>
        <w:t>is</w:t>
      </w:r>
      <w:r>
        <w:rPr>
          <w:spacing w:val="-29"/>
          <w:w w:val="105"/>
        </w:rPr>
        <w:t> </w:t>
      </w:r>
      <w:r>
        <w:rPr>
          <w:w w:val="105"/>
        </w:rPr>
        <w:t>also</w:t>
      </w:r>
      <w:r>
        <w:rPr>
          <w:spacing w:val="-29"/>
          <w:w w:val="105"/>
        </w:rPr>
        <w:t> </w:t>
      </w:r>
      <w:r>
        <w:rPr>
          <w:w w:val="105"/>
        </w:rPr>
        <w:t>located</w:t>
      </w:r>
      <w:r>
        <w:rPr>
          <w:spacing w:val="-28"/>
          <w:w w:val="105"/>
        </w:rPr>
        <w:t> </w:t>
      </w:r>
      <w:r>
        <w:rPr>
          <w:w w:val="105"/>
        </w:rPr>
        <w:t>in</w:t>
      </w:r>
      <w:r>
        <w:rPr>
          <w:spacing w:val="-29"/>
          <w:w w:val="105"/>
        </w:rPr>
        <w:t> </w:t>
      </w:r>
      <w:r>
        <w:rPr>
          <w:w w:val="105"/>
        </w:rPr>
        <w:t>close</w:t>
      </w:r>
      <w:r>
        <w:rPr>
          <w:spacing w:val="-29"/>
          <w:w w:val="105"/>
        </w:rPr>
        <w:t> </w:t>
      </w:r>
      <w:r>
        <w:rPr>
          <w:w w:val="105"/>
        </w:rPr>
        <w:t>proximity</w:t>
      </w:r>
      <w:r>
        <w:rPr>
          <w:spacing w:val="-27"/>
          <w:w w:val="105"/>
        </w:rPr>
        <w:t> </w:t>
      </w:r>
      <w:r>
        <w:rPr>
          <w:w w:val="105"/>
        </w:rPr>
        <w:t>to</w:t>
      </w:r>
      <w:r>
        <w:rPr>
          <w:spacing w:val="-29"/>
          <w:w w:val="105"/>
        </w:rPr>
        <w:t> </w:t>
      </w:r>
      <w:r>
        <w:rPr>
          <w:w w:val="105"/>
        </w:rPr>
        <w:t>Greater</w:t>
      </w:r>
      <w:r>
        <w:rPr>
          <w:spacing w:val="-29"/>
          <w:w w:val="105"/>
        </w:rPr>
        <w:t> </w:t>
      </w:r>
      <w:r>
        <w:rPr>
          <w:w w:val="105"/>
        </w:rPr>
        <w:t>Noida,</w:t>
      </w:r>
      <w:r>
        <w:rPr>
          <w:spacing w:val="-28"/>
          <w:w w:val="105"/>
        </w:rPr>
        <w:t> </w:t>
      </w:r>
      <w:r>
        <w:rPr>
          <w:w w:val="105"/>
        </w:rPr>
        <w:t>which</w:t>
      </w:r>
      <w:r>
        <w:rPr>
          <w:spacing w:val="-29"/>
          <w:w w:val="105"/>
        </w:rPr>
        <w:t> </w:t>
      </w:r>
      <w:r>
        <w:rPr>
          <w:w w:val="105"/>
        </w:rPr>
        <w:t>is</w:t>
      </w:r>
      <w:r>
        <w:rPr>
          <w:spacing w:val="-28"/>
          <w:w w:val="105"/>
        </w:rPr>
        <w:t> </w:t>
      </w:r>
      <w:r>
        <w:rPr>
          <w:w w:val="105"/>
        </w:rPr>
        <w:t>an</w:t>
      </w:r>
      <w:r>
        <w:rPr>
          <w:spacing w:val="-29"/>
          <w:w w:val="105"/>
        </w:rPr>
        <w:t> </w:t>
      </w:r>
      <w:r>
        <w:rPr>
          <w:w w:val="105"/>
        </w:rPr>
        <w:t>upcoming</w:t>
      </w:r>
      <w:r>
        <w:rPr>
          <w:spacing w:val="-29"/>
          <w:w w:val="105"/>
        </w:rPr>
        <w:t> </w:t>
      </w:r>
      <w:r>
        <w:rPr>
          <w:w w:val="105"/>
        </w:rPr>
        <w:t>real</w:t>
      </w:r>
      <w:r>
        <w:rPr>
          <w:spacing w:val="-28"/>
          <w:w w:val="105"/>
        </w:rPr>
        <w:t> </w:t>
      </w:r>
      <w:r>
        <w:rPr>
          <w:w w:val="105"/>
        </w:rPr>
        <w:t>estate vector.</w:t>
      </w:r>
    </w:p>
    <w:p>
      <w:pPr>
        <w:pStyle w:val="BodyText"/>
        <w:spacing w:line="321" w:lineRule="auto" w:before="126"/>
        <w:ind w:left="2202" w:right="345"/>
        <w:jc w:val="both"/>
      </w:pPr>
      <w:r>
        <w:rPr/>
        <w:t>The</w:t>
      </w:r>
      <w:r>
        <w:rPr>
          <w:spacing w:val="-25"/>
        </w:rPr>
        <w:t> </w:t>
      </w:r>
      <w:r>
        <w:rPr/>
        <w:t>subject</w:t>
      </w:r>
      <w:r>
        <w:rPr>
          <w:spacing w:val="-24"/>
        </w:rPr>
        <w:t> </w:t>
      </w:r>
      <w:r>
        <w:rPr/>
        <w:t>vector,</w:t>
      </w:r>
      <w:r>
        <w:rPr>
          <w:spacing w:val="-24"/>
        </w:rPr>
        <w:t> </w:t>
      </w:r>
      <w:r>
        <w:rPr/>
        <w:t>i.e.</w:t>
      </w:r>
      <w:r>
        <w:rPr>
          <w:spacing w:val="-24"/>
        </w:rPr>
        <w:t> </w:t>
      </w:r>
      <w:r>
        <w:rPr/>
        <w:t>Noida</w:t>
      </w:r>
      <w:r>
        <w:rPr>
          <w:spacing w:val="-23"/>
        </w:rPr>
        <w:t> </w:t>
      </w:r>
      <w:r>
        <w:rPr>
          <w:w w:val="105"/>
        </w:rPr>
        <w:t>–</w:t>
      </w:r>
      <w:r>
        <w:rPr>
          <w:spacing w:val="-27"/>
          <w:w w:val="105"/>
        </w:rPr>
        <w:t> </w:t>
      </w:r>
      <w:r>
        <w:rPr/>
        <w:t>Greater</w:t>
      </w:r>
      <w:r>
        <w:rPr>
          <w:spacing w:val="-25"/>
        </w:rPr>
        <w:t> </w:t>
      </w:r>
      <w:r>
        <w:rPr/>
        <w:t>Noida</w:t>
      </w:r>
      <w:r>
        <w:rPr>
          <w:spacing w:val="-24"/>
        </w:rPr>
        <w:t> </w:t>
      </w:r>
      <w:r>
        <w:rPr/>
        <w:t>Expressway</w:t>
      </w:r>
      <w:r>
        <w:rPr>
          <w:spacing w:val="-23"/>
        </w:rPr>
        <w:t> </w:t>
      </w:r>
      <w:r>
        <w:rPr/>
        <w:t>is</w:t>
      </w:r>
      <w:r>
        <w:rPr>
          <w:spacing w:val="-23"/>
        </w:rPr>
        <w:t> </w:t>
      </w:r>
      <w:r>
        <w:rPr/>
        <w:t>an</w:t>
      </w:r>
      <w:r>
        <w:rPr>
          <w:spacing w:val="-24"/>
        </w:rPr>
        <w:t> </w:t>
      </w:r>
      <w:r>
        <w:rPr/>
        <w:t>emerging</w:t>
      </w:r>
      <w:r>
        <w:rPr>
          <w:spacing w:val="-24"/>
        </w:rPr>
        <w:t> </w:t>
      </w:r>
      <w:r>
        <w:rPr/>
        <w:t>commercial</w:t>
      </w:r>
      <w:r>
        <w:rPr>
          <w:spacing w:val="-22"/>
        </w:rPr>
        <w:t> </w:t>
      </w:r>
      <w:r>
        <w:rPr/>
        <w:t>/ residential</w:t>
      </w:r>
      <w:r>
        <w:rPr>
          <w:spacing w:val="-34"/>
        </w:rPr>
        <w:t> </w:t>
      </w:r>
      <w:r>
        <w:rPr/>
        <w:t>vector</w:t>
      </w:r>
      <w:r>
        <w:rPr>
          <w:spacing w:val="-34"/>
        </w:rPr>
        <w:t> </w:t>
      </w:r>
      <w:r>
        <w:rPr/>
        <w:t>of</w:t>
      </w:r>
      <w:r>
        <w:rPr>
          <w:spacing w:val="-33"/>
        </w:rPr>
        <w:t> </w:t>
      </w:r>
      <w:r>
        <w:rPr/>
        <w:t>Noida.</w:t>
      </w:r>
      <w:r>
        <w:rPr>
          <w:spacing w:val="-33"/>
        </w:rPr>
        <w:t> </w:t>
      </w:r>
      <w:r>
        <w:rPr/>
        <w:t>The</w:t>
      </w:r>
      <w:r>
        <w:rPr>
          <w:spacing w:val="-34"/>
        </w:rPr>
        <w:t> </w:t>
      </w:r>
      <w:r>
        <w:rPr/>
        <w:t>said</w:t>
      </w:r>
      <w:r>
        <w:rPr>
          <w:spacing w:val="-33"/>
        </w:rPr>
        <w:t> </w:t>
      </w:r>
      <w:r>
        <w:rPr/>
        <w:t>vector</w:t>
      </w:r>
      <w:r>
        <w:rPr>
          <w:spacing w:val="-34"/>
        </w:rPr>
        <w:t> </w:t>
      </w:r>
      <w:r>
        <w:rPr/>
        <w:t>has</w:t>
      </w:r>
      <w:r>
        <w:rPr>
          <w:spacing w:val="-32"/>
        </w:rPr>
        <w:t> </w:t>
      </w:r>
      <w:r>
        <w:rPr/>
        <w:t>witnessed</w:t>
      </w:r>
      <w:r>
        <w:rPr>
          <w:spacing w:val="-33"/>
        </w:rPr>
        <w:t> </w:t>
      </w:r>
      <w:r>
        <w:rPr/>
        <w:t>significant</w:t>
      </w:r>
      <w:r>
        <w:rPr>
          <w:spacing w:val="-33"/>
        </w:rPr>
        <w:t> </w:t>
      </w:r>
      <w:r>
        <w:rPr/>
        <w:t>real</w:t>
      </w:r>
      <w:r>
        <w:rPr>
          <w:spacing w:val="-34"/>
        </w:rPr>
        <w:t> </w:t>
      </w:r>
      <w:r>
        <w:rPr/>
        <w:t>estate</w:t>
      </w:r>
      <w:r>
        <w:rPr>
          <w:spacing w:val="-34"/>
        </w:rPr>
        <w:t> </w:t>
      </w:r>
      <w:r>
        <w:rPr/>
        <w:t>activity in</w:t>
      </w:r>
      <w:r>
        <w:rPr>
          <w:spacing w:val="-17"/>
        </w:rPr>
        <w:t> </w:t>
      </w:r>
      <w:r>
        <w:rPr/>
        <w:t>the</w:t>
      </w:r>
      <w:r>
        <w:rPr>
          <w:spacing w:val="-16"/>
        </w:rPr>
        <w:t> </w:t>
      </w:r>
      <w:r>
        <w:rPr/>
        <w:t>past</w:t>
      </w:r>
      <w:r>
        <w:rPr>
          <w:spacing w:val="-15"/>
        </w:rPr>
        <w:t> </w:t>
      </w:r>
      <w:r>
        <w:rPr/>
        <w:t>(as</w:t>
      </w:r>
      <w:r>
        <w:rPr>
          <w:spacing w:val="-15"/>
        </w:rPr>
        <w:t> </w:t>
      </w:r>
      <w:r>
        <w:rPr/>
        <w:t>the</w:t>
      </w:r>
      <w:r>
        <w:rPr>
          <w:spacing w:val="-16"/>
        </w:rPr>
        <w:t> </w:t>
      </w:r>
      <w:r>
        <w:rPr/>
        <w:t>region</w:t>
      </w:r>
      <w:r>
        <w:rPr>
          <w:spacing w:val="-16"/>
        </w:rPr>
        <w:t> </w:t>
      </w:r>
      <w:r>
        <w:rPr/>
        <w:t>comprises</w:t>
      </w:r>
      <w:r>
        <w:rPr>
          <w:spacing w:val="-15"/>
        </w:rPr>
        <w:t> </w:t>
      </w:r>
      <w:r>
        <w:rPr/>
        <w:t>of</w:t>
      </w:r>
      <w:r>
        <w:rPr>
          <w:spacing w:val="-15"/>
        </w:rPr>
        <w:t> </w:t>
      </w:r>
      <w:r>
        <w:rPr/>
        <w:t>initial</w:t>
      </w:r>
      <w:r>
        <w:rPr>
          <w:spacing w:val="-16"/>
        </w:rPr>
        <w:t> </w:t>
      </w:r>
      <w:r>
        <w:rPr/>
        <w:t>set</w:t>
      </w:r>
      <w:r>
        <w:rPr>
          <w:spacing w:val="-15"/>
        </w:rPr>
        <w:t> </w:t>
      </w:r>
      <w:r>
        <w:rPr/>
        <w:t>of</w:t>
      </w:r>
      <w:r>
        <w:rPr>
          <w:spacing w:val="-16"/>
        </w:rPr>
        <w:t> </w:t>
      </w:r>
      <w:r>
        <w:rPr/>
        <w:t>sectors,</w:t>
      </w:r>
      <w:r>
        <w:rPr>
          <w:spacing w:val="-16"/>
        </w:rPr>
        <w:t> </w:t>
      </w:r>
      <w:r>
        <w:rPr/>
        <w:t>which</w:t>
      </w:r>
      <w:r>
        <w:rPr>
          <w:spacing w:val="-16"/>
        </w:rPr>
        <w:t> </w:t>
      </w:r>
      <w:r>
        <w:rPr/>
        <w:t>were</w:t>
      </w:r>
      <w:r>
        <w:rPr>
          <w:spacing w:val="-16"/>
        </w:rPr>
        <w:t> </w:t>
      </w:r>
      <w:r>
        <w:rPr/>
        <w:t>earmarked</w:t>
      </w:r>
      <w:r>
        <w:rPr>
          <w:spacing w:val="-14"/>
        </w:rPr>
        <w:t> </w:t>
      </w:r>
      <w:r>
        <w:rPr/>
        <w:t>for private</w:t>
      </w:r>
      <w:r>
        <w:rPr>
          <w:spacing w:val="-14"/>
        </w:rPr>
        <w:t> </w:t>
      </w:r>
      <w:r>
        <w:rPr/>
        <w:t>real</w:t>
      </w:r>
      <w:r>
        <w:rPr>
          <w:spacing w:val="-13"/>
        </w:rPr>
        <w:t> </w:t>
      </w:r>
      <w:r>
        <w:rPr/>
        <w:t>estate</w:t>
      </w:r>
      <w:r>
        <w:rPr>
          <w:spacing w:val="-14"/>
        </w:rPr>
        <w:t> </w:t>
      </w:r>
      <w:r>
        <w:rPr/>
        <w:t>development)</w:t>
      </w:r>
      <w:r>
        <w:rPr>
          <w:spacing w:val="-12"/>
        </w:rPr>
        <w:t> </w:t>
      </w:r>
      <w:r>
        <w:rPr/>
        <w:t>and</w:t>
      </w:r>
      <w:r>
        <w:rPr>
          <w:spacing w:val="-13"/>
        </w:rPr>
        <w:t> </w:t>
      </w:r>
      <w:r>
        <w:rPr/>
        <w:t>houses</w:t>
      </w:r>
      <w:r>
        <w:rPr>
          <w:spacing w:val="-12"/>
        </w:rPr>
        <w:t> </w:t>
      </w:r>
      <w:r>
        <w:rPr/>
        <w:t>various</w:t>
      </w:r>
      <w:r>
        <w:rPr>
          <w:spacing w:val="-12"/>
        </w:rPr>
        <w:t> </w:t>
      </w:r>
      <w:r>
        <w:rPr/>
        <w:t>large-scale</w:t>
      </w:r>
      <w:r>
        <w:rPr>
          <w:spacing w:val="-14"/>
        </w:rPr>
        <w:t> </w:t>
      </w:r>
      <w:r>
        <w:rPr/>
        <w:t>organized</w:t>
      </w:r>
      <w:r>
        <w:rPr>
          <w:spacing w:val="-14"/>
        </w:rPr>
        <w:t> </w:t>
      </w:r>
      <w:r>
        <w:rPr/>
        <w:t>real</w:t>
      </w:r>
      <w:r>
        <w:rPr>
          <w:spacing w:val="-14"/>
        </w:rPr>
        <w:t> </w:t>
      </w:r>
      <w:r>
        <w:rPr/>
        <w:t>estate projects</w:t>
      </w:r>
      <w:r>
        <w:rPr>
          <w:spacing w:val="-28"/>
        </w:rPr>
        <w:t> </w:t>
      </w:r>
      <w:r>
        <w:rPr/>
        <w:t>such</w:t>
      </w:r>
      <w:r>
        <w:rPr>
          <w:spacing w:val="-29"/>
        </w:rPr>
        <w:t> </w:t>
      </w:r>
      <w:r>
        <w:rPr/>
        <w:t>as</w:t>
      </w:r>
      <w:r>
        <w:rPr>
          <w:spacing w:val="-28"/>
        </w:rPr>
        <w:t> </w:t>
      </w:r>
      <w:r>
        <w:rPr/>
        <w:t>integrated</w:t>
      </w:r>
      <w:r>
        <w:rPr>
          <w:spacing w:val="-28"/>
        </w:rPr>
        <w:t> </w:t>
      </w:r>
      <w:r>
        <w:rPr/>
        <w:t>residential</w:t>
      </w:r>
      <w:r>
        <w:rPr>
          <w:spacing w:val="-29"/>
        </w:rPr>
        <w:t> </w:t>
      </w:r>
      <w:r>
        <w:rPr/>
        <w:t>townships,</w:t>
      </w:r>
      <w:r>
        <w:rPr>
          <w:spacing w:val="-30"/>
        </w:rPr>
        <w:t> </w:t>
      </w:r>
      <w:r>
        <w:rPr/>
        <w:t>commercial</w:t>
      </w:r>
      <w:r>
        <w:rPr>
          <w:spacing w:val="-28"/>
        </w:rPr>
        <w:t> </w:t>
      </w:r>
      <w:r>
        <w:rPr/>
        <w:t>developments,</w:t>
      </w:r>
      <w:r>
        <w:rPr>
          <w:spacing w:val="-28"/>
        </w:rPr>
        <w:t> </w:t>
      </w:r>
      <w:r>
        <w:rPr/>
        <w:t>IT</w:t>
      </w:r>
      <w:r>
        <w:rPr>
          <w:spacing w:val="-28"/>
        </w:rPr>
        <w:t> </w:t>
      </w:r>
      <w:r>
        <w:rPr/>
        <w:t>parks/ SEZs, etc. from prominent</w:t>
      </w:r>
      <w:r>
        <w:rPr>
          <w:spacing w:val="-21"/>
        </w:rPr>
        <w:t> </w:t>
      </w:r>
      <w:r>
        <w:rPr/>
        <w:t>developers.</w:t>
      </w:r>
    </w:p>
    <w:p>
      <w:pPr>
        <w:pStyle w:val="BodyText"/>
        <w:spacing w:line="321" w:lineRule="auto" w:before="124"/>
        <w:ind w:left="2202" w:right="343"/>
        <w:jc w:val="both"/>
      </w:pPr>
      <w:r>
        <w:rPr/>
        <w:t>Further, the subject sub-market has emerged as a preferred business destination on account</w:t>
      </w:r>
      <w:r>
        <w:rPr>
          <w:spacing w:val="-44"/>
        </w:rPr>
        <w:t> </w:t>
      </w:r>
      <w:r>
        <w:rPr/>
        <w:t>of</w:t>
      </w:r>
      <w:r>
        <w:rPr>
          <w:spacing w:val="-42"/>
        </w:rPr>
        <w:t> </w:t>
      </w:r>
      <w:r>
        <w:rPr/>
        <w:t>availability</w:t>
      </w:r>
      <w:r>
        <w:rPr>
          <w:spacing w:val="-43"/>
        </w:rPr>
        <w:t> </w:t>
      </w:r>
      <w:r>
        <w:rPr/>
        <w:t>of</w:t>
      </w:r>
      <w:r>
        <w:rPr>
          <w:spacing w:val="-44"/>
        </w:rPr>
        <w:t> </w:t>
      </w:r>
      <w:r>
        <w:rPr/>
        <w:t>large-scale</w:t>
      </w:r>
      <w:r>
        <w:rPr>
          <w:spacing w:val="-44"/>
        </w:rPr>
        <w:t> </w:t>
      </w:r>
      <w:r>
        <w:rPr/>
        <w:t>integrated</w:t>
      </w:r>
      <w:r>
        <w:rPr>
          <w:spacing w:val="-43"/>
        </w:rPr>
        <w:t> </w:t>
      </w:r>
      <w:r>
        <w:rPr/>
        <w:t>office</w:t>
      </w:r>
      <w:r>
        <w:rPr>
          <w:spacing w:val="-43"/>
        </w:rPr>
        <w:t> </w:t>
      </w:r>
      <w:r>
        <w:rPr/>
        <w:t>parks</w:t>
      </w:r>
      <w:r>
        <w:rPr>
          <w:spacing w:val="-43"/>
        </w:rPr>
        <w:t> </w:t>
      </w:r>
      <w:r>
        <w:rPr/>
        <w:t>and</w:t>
      </w:r>
      <w:r>
        <w:rPr>
          <w:spacing w:val="-44"/>
        </w:rPr>
        <w:t> </w:t>
      </w:r>
      <w:r>
        <w:rPr/>
        <w:t>well-laid</w:t>
      </w:r>
      <w:r>
        <w:rPr>
          <w:spacing w:val="-44"/>
        </w:rPr>
        <w:t> </w:t>
      </w:r>
      <w:r>
        <w:rPr/>
        <w:t>infrastructure. Few</w:t>
      </w:r>
      <w:r>
        <w:rPr>
          <w:spacing w:val="-30"/>
        </w:rPr>
        <w:t> </w:t>
      </w:r>
      <w:r>
        <w:rPr/>
        <w:t>of</w:t>
      </w:r>
      <w:r>
        <w:rPr>
          <w:spacing w:val="-29"/>
        </w:rPr>
        <w:t> </w:t>
      </w:r>
      <w:r>
        <w:rPr/>
        <w:t>the</w:t>
      </w:r>
      <w:r>
        <w:rPr>
          <w:spacing w:val="-29"/>
        </w:rPr>
        <w:t> </w:t>
      </w:r>
      <w:r>
        <w:rPr/>
        <w:t>investment</w:t>
      </w:r>
      <w:r>
        <w:rPr>
          <w:spacing w:val="-30"/>
        </w:rPr>
        <w:t> </w:t>
      </w:r>
      <w:r>
        <w:rPr/>
        <w:t>grade</w:t>
      </w:r>
      <w:r>
        <w:rPr>
          <w:spacing w:val="-29"/>
        </w:rPr>
        <w:t> </w:t>
      </w:r>
      <w:r>
        <w:rPr/>
        <w:t>commercial</w:t>
      </w:r>
      <w:r>
        <w:rPr>
          <w:spacing w:val="-30"/>
        </w:rPr>
        <w:t> </w:t>
      </w:r>
      <w:r>
        <w:rPr/>
        <w:t>developments</w:t>
      </w:r>
      <w:r>
        <w:rPr>
          <w:spacing w:val="-30"/>
        </w:rPr>
        <w:t> </w:t>
      </w:r>
      <w:r>
        <w:rPr/>
        <w:t>(IT/ITeS)</w:t>
      </w:r>
      <w:r>
        <w:rPr>
          <w:spacing w:val="-29"/>
        </w:rPr>
        <w:t> </w:t>
      </w:r>
      <w:r>
        <w:rPr/>
        <w:t>located</w:t>
      </w:r>
      <w:r>
        <w:rPr>
          <w:spacing w:val="-29"/>
        </w:rPr>
        <w:t> </w:t>
      </w:r>
      <w:r>
        <w:rPr/>
        <w:t>in</w:t>
      </w:r>
      <w:r>
        <w:rPr>
          <w:spacing w:val="-29"/>
        </w:rPr>
        <w:t> </w:t>
      </w:r>
      <w:r>
        <w:rPr/>
        <w:t>the</w:t>
      </w:r>
      <w:r>
        <w:rPr>
          <w:spacing w:val="-30"/>
        </w:rPr>
        <w:t> </w:t>
      </w:r>
      <w:r>
        <w:rPr/>
        <w:t>subject region</w:t>
      </w:r>
      <w:r>
        <w:rPr>
          <w:spacing w:val="-13"/>
        </w:rPr>
        <w:t> </w:t>
      </w:r>
      <w:r>
        <w:rPr/>
        <w:t>include</w:t>
      </w:r>
      <w:r>
        <w:rPr>
          <w:spacing w:val="-12"/>
        </w:rPr>
        <w:t> </w:t>
      </w:r>
      <w:r>
        <w:rPr/>
        <w:t>Embassy</w:t>
      </w:r>
      <w:r>
        <w:rPr>
          <w:spacing w:val="-12"/>
        </w:rPr>
        <w:t> </w:t>
      </w:r>
      <w:r>
        <w:rPr/>
        <w:t>Oxygen</w:t>
      </w:r>
      <w:r>
        <w:rPr>
          <w:spacing w:val="-12"/>
        </w:rPr>
        <w:t> </w:t>
      </w:r>
      <w:r>
        <w:rPr/>
        <w:t>(‘the</w:t>
      </w:r>
      <w:r>
        <w:rPr>
          <w:spacing w:val="-13"/>
        </w:rPr>
        <w:t> </w:t>
      </w:r>
      <w:r>
        <w:rPr/>
        <w:t>subject</w:t>
      </w:r>
      <w:r>
        <w:rPr>
          <w:spacing w:val="-13"/>
        </w:rPr>
        <w:t> </w:t>
      </w:r>
      <w:r>
        <w:rPr/>
        <w:t>property’),</w:t>
      </w:r>
      <w:r>
        <w:rPr>
          <w:spacing w:val="-13"/>
        </w:rPr>
        <w:t> </w:t>
      </w:r>
      <w:r>
        <w:rPr/>
        <w:t>Candor</w:t>
      </w:r>
      <w:r>
        <w:rPr>
          <w:spacing w:val="-12"/>
        </w:rPr>
        <w:t> </w:t>
      </w:r>
      <w:r>
        <w:rPr/>
        <w:t>TechSpace,</w:t>
      </w:r>
      <w:r>
        <w:rPr>
          <w:spacing w:val="-12"/>
        </w:rPr>
        <w:t> </w:t>
      </w:r>
      <w:r>
        <w:rPr/>
        <w:t>Assotech Business Cresterra, Advant Navis Business Park, Stellar 135, Express Trade Towers</w:t>
      </w:r>
      <w:r>
        <w:rPr>
          <w:spacing w:val="1"/>
        </w:rPr>
        <w:t> </w:t>
      </w:r>
      <w:r>
        <w:rPr/>
        <w:t>2,</w:t>
      </w:r>
    </w:p>
    <w:p>
      <w:pPr>
        <w:spacing w:after="0" w:line="321" w:lineRule="auto"/>
        <w:jc w:val="both"/>
        <w:sectPr>
          <w:pgSz w:w="11910" w:h="16840"/>
          <w:pgMar w:header="720" w:footer="921" w:top="1660" w:bottom="1120" w:left="500" w:right="480"/>
        </w:sectPr>
      </w:pPr>
    </w:p>
    <w:p>
      <w:pPr>
        <w:pStyle w:val="BodyText"/>
        <w:spacing w:before="7"/>
        <w:rPr>
          <w:sz w:val="9"/>
        </w:rPr>
      </w:pPr>
    </w:p>
    <w:p>
      <w:pPr>
        <w:pStyle w:val="BodyText"/>
        <w:spacing w:line="321" w:lineRule="auto" w:before="106"/>
        <w:ind w:left="2202" w:right="346"/>
        <w:jc w:val="both"/>
      </w:pPr>
      <w:r>
        <w:rPr/>
        <w:t>etc.</w:t>
      </w:r>
      <w:r>
        <w:rPr>
          <w:spacing w:val="-20"/>
        </w:rPr>
        <w:t> </w:t>
      </w:r>
      <w:r>
        <w:rPr/>
        <w:t>Due</w:t>
      </w:r>
      <w:r>
        <w:rPr>
          <w:spacing w:val="-20"/>
        </w:rPr>
        <w:t> </w:t>
      </w:r>
      <w:r>
        <w:rPr/>
        <w:t>to</w:t>
      </w:r>
      <w:r>
        <w:rPr>
          <w:spacing w:val="-19"/>
        </w:rPr>
        <w:t> </w:t>
      </w:r>
      <w:r>
        <w:rPr/>
        <w:t>its</w:t>
      </w:r>
      <w:r>
        <w:rPr>
          <w:spacing w:val="-19"/>
        </w:rPr>
        <w:t> </w:t>
      </w:r>
      <w:r>
        <w:rPr/>
        <w:t>affordable</w:t>
      </w:r>
      <w:r>
        <w:rPr>
          <w:spacing w:val="-22"/>
        </w:rPr>
        <w:t> </w:t>
      </w:r>
      <w:r>
        <w:rPr/>
        <w:t>rents</w:t>
      </w:r>
      <w:r>
        <w:rPr>
          <w:spacing w:val="-17"/>
        </w:rPr>
        <w:t> </w:t>
      </w:r>
      <w:r>
        <w:rPr/>
        <w:t>in</w:t>
      </w:r>
      <w:r>
        <w:rPr>
          <w:spacing w:val="-20"/>
        </w:rPr>
        <w:t> </w:t>
      </w:r>
      <w:r>
        <w:rPr/>
        <w:t>the</w:t>
      </w:r>
      <w:r>
        <w:rPr>
          <w:spacing w:val="-20"/>
        </w:rPr>
        <w:t> </w:t>
      </w:r>
      <w:r>
        <w:rPr/>
        <w:t>context</w:t>
      </w:r>
      <w:r>
        <w:rPr>
          <w:spacing w:val="-20"/>
        </w:rPr>
        <w:t> </w:t>
      </w:r>
      <w:r>
        <w:rPr/>
        <w:t>of</w:t>
      </w:r>
      <w:r>
        <w:rPr>
          <w:spacing w:val="-21"/>
        </w:rPr>
        <w:t> </w:t>
      </w:r>
      <w:r>
        <w:rPr/>
        <w:t>Delhi</w:t>
      </w:r>
      <w:r>
        <w:rPr>
          <w:spacing w:val="-20"/>
        </w:rPr>
        <w:t> </w:t>
      </w:r>
      <w:r>
        <w:rPr/>
        <w:t>NCR,</w:t>
      </w:r>
      <w:r>
        <w:rPr>
          <w:spacing w:val="-19"/>
        </w:rPr>
        <w:t> </w:t>
      </w:r>
      <w:r>
        <w:rPr/>
        <w:t>established</w:t>
      </w:r>
      <w:r>
        <w:rPr>
          <w:spacing w:val="-19"/>
        </w:rPr>
        <w:t> </w:t>
      </w:r>
      <w:r>
        <w:rPr/>
        <w:t>infrastructure, access</w:t>
      </w:r>
      <w:r>
        <w:rPr>
          <w:spacing w:val="-24"/>
        </w:rPr>
        <w:t> </w:t>
      </w:r>
      <w:r>
        <w:rPr/>
        <w:t>to</w:t>
      </w:r>
      <w:r>
        <w:rPr>
          <w:spacing w:val="-24"/>
        </w:rPr>
        <w:t> </w:t>
      </w:r>
      <w:r>
        <w:rPr/>
        <w:t>employee</w:t>
      </w:r>
      <w:r>
        <w:rPr>
          <w:spacing w:val="-24"/>
        </w:rPr>
        <w:t> </w:t>
      </w:r>
      <w:r>
        <w:rPr/>
        <w:t>talent</w:t>
      </w:r>
      <w:r>
        <w:rPr>
          <w:spacing w:val="-24"/>
        </w:rPr>
        <w:t> </w:t>
      </w:r>
      <w:r>
        <w:rPr/>
        <w:t>pools,</w:t>
      </w:r>
      <w:r>
        <w:rPr>
          <w:spacing w:val="-24"/>
        </w:rPr>
        <w:t> </w:t>
      </w:r>
      <w:r>
        <w:rPr/>
        <w:t>the</w:t>
      </w:r>
      <w:r>
        <w:rPr>
          <w:spacing w:val="-24"/>
        </w:rPr>
        <w:t> </w:t>
      </w:r>
      <w:r>
        <w:rPr/>
        <w:t>sub-market</w:t>
      </w:r>
      <w:r>
        <w:rPr>
          <w:spacing w:val="-26"/>
        </w:rPr>
        <w:t> </w:t>
      </w:r>
      <w:r>
        <w:rPr/>
        <w:t>witnesses</w:t>
      </w:r>
      <w:r>
        <w:rPr>
          <w:spacing w:val="-23"/>
        </w:rPr>
        <w:t> </w:t>
      </w:r>
      <w:r>
        <w:rPr/>
        <w:t>robust</w:t>
      </w:r>
      <w:r>
        <w:rPr>
          <w:spacing w:val="-24"/>
        </w:rPr>
        <w:t> </w:t>
      </w:r>
      <w:r>
        <w:rPr/>
        <w:t>occupier</w:t>
      </w:r>
      <w:r>
        <w:rPr>
          <w:spacing w:val="-24"/>
        </w:rPr>
        <w:t> </w:t>
      </w:r>
      <w:r>
        <w:rPr/>
        <w:t>demand.</w:t>
      </w:r>
    </w:p>
    <w:p>
      <w:pPr>
        <w:pStyle w:val="BodyText"/>
        <w:spacing w:line="321" w:lineRule="auto" w:before="122"/>
        <w:ind w:left="2202" w:right="346"/>
        <w:jc w:val="both"/>
      </w:pPr>
      <w:r>
        <w:rPr/>
        <w:t>The subject sub-market viz. Noida </w:t>
      </w:r>
      <w:r>
        <w:rPr>
          <w:w w:val="105"/>
        </w:rPr>
        <w:t>– </w:t>
      </w:r>
      <w:r>
        <w:rPr/>
        <w:t>Greater Noida Expressway also houses various residential developments across different segments such as Saha Amadeus, Eldeco Utopia, Paras Tiera, Logix Blossom County, Logix Zest, Omaxe Forest, Sikka Kaamna Greens, Sikka Karnam Greens, etc. Further, the said vector is also home to large integrated</w:t>
      </w:r>
      <w:r>
        <w:rPr>
          <w:spacing w:val="-13"/>
        </w:rPr>
        <w:t> </w:t>
      </w:r>
      <w:r>
        <w:rPr/>
        <w:t>residential</w:t>
      </w:r>
      <w:r>
        <w:rPr>
          <w:spacing w:val="-13"/>
        </w:rPr>
        <w:t> </w:t>
      </w:r>
      <w:r>
        <w:rPr/>
        <w:t>township</w:t>
      </w:r>
      <w:r>
        <w:rPr>
          <w:spacing w:val="-14"/>
        </w:rPr>
        <w:t> </w:t>
      </w:r>
      <w:r>
        <w:rPr/>
        <w:t>developments</w:t>
      </w:r>
      <w:r>
        <w:rPr>
          <w:spacing w:val="-13"/>
        </w:rPr>
        <w:t> </w:t>
      </w:r>
      <w:r>
        <w:rPr/>
        <w:t>such</w:t>
      </w:r>
      <w:r>
        <w:rPr>
          <w:spacing w:val="-13"/>
        </w:rPr>
        <w:t> </w:t>
      </w:r>
      <w:r>
        <w:rPr/>
        <w:t>as</w:t>
      </w:r>
      <w:r>
        <w:rPr>
          <w:spacing w:val="-14"/>
        </w:rPr>
        <w:t> </w:t>
      </w:r>
      <w:r>
        <w:rPr/>
        <w:t>Jaypee</w:t>
      </w:r>
      <w:r>
        <w:rPr>
          <w:spacing w:val="-13"/>
        </w:rPr>
        <w:t> </w:t>
      </w:r>
      <w:r>
        <w:rPr/>
        <w:t>Wishtown,</w:t>
      </w:r>
      <w:r>
        <w:rPr>
          <w:spacing w:val="-16"/>
        </w:rPr>
        <w:t> </w:t>
      </w:r>
      <w:r>
        <w:rPr/>
        <w:t>Unitech</w:t>
      </w:r>
      <w:r>
        <w:rPr>
          <w:spacing w:val="-13"/>
        </w:rPr>
        <w:t> </w:t>
      </w:r>
      <w:r>
        <w:rPr/>
        <w:t>Golf and Country Club,</w:t>
      </w:r>
      <w:r>
        <w:rPr>
          <w:spacing w:val="-9"/>
        </w:rPr>
        <w:t> </w:t>
      </w:r>
      <w:r>
        <w:rPr/>
        <w:t>etc.</w:t>
      </w:r>
    </w:p>
    <w:p>
      <w:pPr>
        <w:pStyle w:val="BodyText"/>
        <w:spacing w:line="321" w:lineRule="auto" w:before="124"/>
        <w:ind w:left="2202" w:right="344"/>
        <w:jc w:val="both"/>
      </w:pPr>
      <w:r>
        <w:rPr/>
        <w:t>Moreover, the said vector has emerged as a prominent institutional vector housing </w:t>
      </w:r>
      <w:r>
        <w:rPr>
          <w:w w:val="95"/>
        </w:rPr>
        <w:t>Jaypee</w:t>
      </w:r>
      <w:r>
        <w:rPr>
          <w:spacing w:val="-12"/>
          <w:w w:val="95"/>
        </w:rPr>
        <w:t> </w:t>
      </w:r>
      <w:r>
        <w:rPr>
          <w:w w:val="95"/>
        </w:rPr>
        <w:t>Hospital</w:t>
      </w:r>
      <w:r>
        <w:rPr>
          <w:spacing w:val="-12"/>
          <w:w w:val="95"/>
        </w:rPr>
        <w:t> </w:t>
      </w:r>
      <w:r>
        <w:rPr>
          <w:w w:val="95"/>
        </w:rPr>
        <w:t>(a</w:t>
      </w:r>
      <w:r>
        <w:rPr>
          <w:spacing w:val="-12"/>
          <w:w w:val="95"/>
        </w:rPr>
        <w:t> </w:t>
      </w:r>
      <w:r>
        <w:rPr>
          <w:w w:val="95"/>
        </w:rPr>
        <w:t>multi-speciality</w:t>
      </w:r>
      <w:r>
        <w:rPr>
          <w:spacing w:val="-10"/>
          <w:w w:val="95"/>
        </w:rPr>
        <w:t> </w:t>
      </w:r>
      <w:r>
        <w:rPr>
          <w:w w:val="95"/>
        </w:rPr>
        <w:t>hospital)</w:t>
      </w:r>
      <w:r>
        <w:rPr>
          <w:spacing w:val="-10"/>
          <w:w w:val="95"/>
        </w:rPr>
        <w:t> </w:t>
      </w:r>
      <w:r>
        <w:rPr>
          <w:w w:val="95"/>
        </w:rPr>
        <w:t>and</w:t>
      </w:r>
      <w:r>
        <w:rPr>
          <w:spacing w:val="-11"/>
          <w:w w:val="95"/>
        </w:rPr>
        <w:t> </w:t>
      </w:r>
      <w:r>
        <w:rPr>
          <w:w w:val="95"/>
        </w:rPr>
        <w:t>Amity</w:t>
      </w:r>
      <w:r>
        <w:rPr>
          <w:spacing w:val="-11"/>
          <w:w w:val="95"/>
        </w:rPr>
        <w:t> </w:t>
      </w:r>
      <w:r>
        <w:rPr>
          <w:w w:val="95"/>
        </w:rPr>
        <w:t>University</w:t>
      </w:r>
      <w:r>
        <w:rPr>
          <w:spacing w:val="-13"/>
          <w:w w:val="95"/>
        </w:rPr>
        <w:t> </w:t>
      </w:r>
      <w:r>
        <w:rPr>
          <w:w w:val="95"/>
        </w:rPr>
        <w:t>(an</w:t>
      </w:r>
      <w:r>
        <w:rPr>
          <w:spacing w:val="-11"/>
          <w:w w:val="95"/>
        </w:rPr>
        <w:t> </w:t>
      </w:r>
      <w:r>
        <w:rPr>
          <w:w w:val="95"/>
        </w:rPr>
        <w:t>educational</w:t>
      </w:r>
      <w:r>
        <w:rPr>
          <w:spacing w:val="-12"/>
          <w:w w:val="95"/>
        </w:rPr>
        <w:t> </w:t>
      </w:r>
      <w:r>
        <w:rPr>
          <w:w w:val="95"/>
        </w:rPr>
        <w:t>campus </w:t>
      </w:r>
      <w:r>
        <w:rPr/>
        <w:t>spread</w:t>
      </w:r>
      <w:r>
        <w:rPr>
          <w:spacing w:val="-13"/>
        </w:rPr>
        <w:t> </w:t>
      </w:r>
      <w:r>
        <w:rPr/>
        <w:t>across</w:t>
      </w:r>
      <w:r>
        <w:rPr>
          <w:spacing w:val="-13"/>
        </w:rPr>
        <w:t> </w:t>
      </w:r>
      <w:r>
        <w:rPr/>
        <w:t>an</w:t>
      </w:r>
      <w:r>
        <w:rPr>
          <w:spacing w:val="-12"/>
        </w:rPr>
        <w:t> </w:t>
      </w:r>
      <w:r>
        <w:rPr/>
        <w:t>area</w:t>
      </w:r>
      <w:r>
        <w:rPr>
          <w:spacing w:val="-13"/>
        </w:rPr>
        <w:t> </w:t>
      </w:r>
      <w:r>
        <w:rPr/>
        <w:t>of</w:t>
      </w:r>
      <w:r>
        <w:rPr>
          <w:spacing w:val="-14"/>
        </w:rPr>
        <w:t> </w:t>
      </w:r>
      <w:r>
        <w:rPr/>
        <w:t>approx.</w:t>
      </w:r>
      <w:r>
        <w:rPr>
          <w:spacing w:val="-13"/>
        </w:rPr>
        <w:t> </w:t>
      </w:r>
      <w:r>
        <w:rPr/>
        <w:t>64</w:t>
      </w:r>
      <w:r>
        <w:rPr>
          <w:spacing w:val="-14"/>
        </w:rPr>
        <w:t> </w:t>
      </w:r>
      <w:r>
        <w:rPr/>
        <w:t>acres</w:t>
      </w:r>
      <w:r>
        <w:rPr>
          <w:spacing w:val="-12"/>
        </w:rPr>
        <w:t> </w:t>
      </w:r>
      <w:r>
        <w:rPr/>
        <w:t>offering</w:t>
      </w:r>
      <w:r>
        <w:rPr>
          <w:spacing w:val="-13"/>
        </w:rPr>
        <w:t> </w:t>
      </w:r>
      <w:r>
        <w:rPr/>
        <w:t>a</w:t>
      </w:r>
      <w:r>
        <w:rPr>
          <w:spacing w:val="-13"/>
        </w:rPr>
        <w:t> </w:t>
      </w:r>
      <w:r>
        <w:rPr/>
        <w:t>wide</w:t>
      </w:r>
      <w:r>
        <w:rPr>
          <w:spacing w:val="-12"/>
        </w:rPr>
        <w:t> </w:t>
      </w:r>
      <w:r>
        <w:rPr/>
        <w:t>range</w:t>
      </w:r>
      <w:r>
        <w:rPr>
          <w:spacing w:val="-12"/>
        </w:rPr>
        <w:t> </w:t>
      </w:r>
      <w:r>
        <w:rPr/>
        <w:t>of</w:t>
      </w:r>
      <w:r>
        <w:rPr>
          <w:spacing w:val="-11"/>
        </w:rPr>
        <w:t> </w:t>
      </w:r>
      <w:r>
        <w:rPr/>
        <w:t>Graduate</w:t>
      </w:r>
      <w:r>
        <w:rPr>
          <w:spacing w:val="-12"/>
        </w:rPr>
        <w:t> </w:t>
      </w:r>
      <w:r>
        <w:rPr/>
        <w:t>as</w:t>
      </w:r>
      <w:r>
        <w:rPr>
          <w:spacing w:val="-13"/>
        </w:rPr>
        <w:t> </w:t>
      </w:r>
      <w:r>
        <w:rPr/>
        <w:t>well</w:t>
      </w:r>
      <w:r>
        <w:rPr>
          <w:spacing w:val="-13"/>
        </w:rPr>
        <w:t> </w:t>
      </w:r>
      <w:r>
        <w:rPr/>
        <w:t>as Post</w:t>
      </w:r>
      <w:r>
        <w:rPr>
          <w:spacing w:val="-25"/>
        </w:rPr>
        <w:t> </w:t>
      </w:r>
      <w:r>
        <w:rPr/>
        <w:t>Graduate</w:t>
      </w:r>
      <w:r>
        <w:rPr>
          <w:spacing w:val="-23"/>
        </w:rPr>
        <w:t> </w:t>
      </w:r>
      <w:r>
        <w:rPr/>
        <w:t>Programs).</w:t>
      </w:r>
      <w:r>
        <w:rPr>
          <w:spacing w:val="-23"/>
        </w:rPr>
        <w:t> </w:t>
      </w:r>
      <w:r>
        <w:rPr/>
        <w:t>The</w:t>
      </w:r>
      <w:r>
        <w:rPr>
          <w:spacing w:val="-23"/>
        </w:rPr>
        <w:t> </w:t>
      </w:r>
      <w:r>
        <w:rPr/>
        <w:t>region</w:t>
      </w:r>
      <w:r>
        <w:rPr>
          <w:spacing w:val="-24"/>
        </w:rPr>
        <w:t> </w:t>
      </w:r>
      <w:r>
        <w:rPr/>
        <w:t>also</w:t>
      </w:r>
      <w:r>
        <w:rPr>
          <w:spacing w:val="-23"/>
        </w:rPr>
        <w:t> </w:t>
      </w:r>
      <w:r>
        <w:rPr/>
        <w:t>comprises</w:t>
      </w:r>
      <w:r>
        <w:rPr>
          <w:spacing w:val="-22"/>
        </w:rPr>
        <w:t> </w:t>
      </w:r>
      <w:r>
        <w:rPr/>
        <w:t>of</w:t>
      </w:r>
      <w:r>
        <w:rPr>
          <w:spacing w:val="-23"/>
        </w:rPr>
        <w:t> </w:t>
      </w:r>
      <w:r>
        <w:rPr/>
        <w:t>reputed</w:t>
      </w:r>
      <w:r>
        <w:rPr>
          <w:spacing w:val="-22"/>
        </w:rPr>
        <w:t> </w:t>
      </w:r>
      <w:r>
        <w:rPr/>
        <w:t>international</w:t>
      </w:r>
      <w:r>
        <w:rPr>
          <w:spacing w:val="-24"/>
        </w:rPr>
        <w:t> </w:t>
      </w:r>
      <w:r>
        <w:rPr/>
        <w:t>as</w:t>
      </w:r>
      <w:r>
        <w:rPr>
          <w:spacing w:val="-22"/>
        </w:rPr>
        <w:t> </w:t>
      </w:r>
      <w:r>
        <w:rPr/>
        <w:t>well</w:t>
      </w:r>
      <w:r>
        <w:rPr>
          <w:spacing w:val="-20"/>
        </w:rPr>
        <w:t> </w:t>
      </w:r>
      <w:r>
        <w:rPr/>
        <w:t>as national</w:t>
      </w:r>
      <w:r>
        <w:rPr>
          <w:spacing w:val="-32"/>
        </w:rPr>
        <w:t> </w:t>
      </w:r>
      <w:r>
        <w:rPr/>
        <w:t>schools</w:t>
      </w:r>
      <w:r>
        <w:rPr>
          <w:spacing w:val="-31"/>
        </w:rPr>
        <w:t> </w:t>
      </w:r>
      <w:r>
        <w:rPr/>
        <w:t>such</w:t>
      </w:r>
      <w:r>
        <w:rPr>
          <w:spacing w:val="-32"/>
        </w:rPr>
        <w:t> </w:t>
      </w:r>
      <w:r>
        <w:rPr/>
        <w:t>as</w:t>
      </w:r>
      <w:r>
        <w:rPr>
          <w:spacing w:val="-32"/>
        </w:rPr>
        <w:t> </w:t>
      </w:r>
      <w:r>
        <w:rPr/>
        <w:t>Pathways,</w:t>
      </w:r>
      <w:r>
        <w:rPr>
          <w:spacing w:val="-32"/>
        </w:rPr>
        <w:t> </w:t>
      </w:r>
      <w:r>
        <w:rPr/>
        <w:t>Shiv</w:t>
      </w:r>
      <w:r>
        <w:rPr>
          <w:spacing w:val="-32"/>
        </w:rPr>
        <w:t> </w:t>
      </w:r>
      <w:r>
        <w:rPr/>
        <w:t>Nadar</w:t>
      </w:r>
      <w:r>
        <w:rPr>
          <w:spacing w:val="-32"/>
        </w:rPr>
        <w:t> </w:t>
      </w:r>
      <w:r>
        <w:rPr/>
        <w:t>School,</w:t>
      </w:r>
      <w:r>
        <w:rPr>
          <w:spacing w:val="-31"/>
        </w:rPr>
        <w:t> </w:t>
      </w:r>
      <w:r>
        <w:rPr/>
        <w:t>Lotus</w:t>
      </w:r>
      <w:r>
        <w:rPr>
          <w:spacing w:val="-31"/>
        </w:rPr>
        <w:t> </w:t>
      </w:r>
      <w:r>
        <w:rPr/>
        <w:t>Valley</w:t>
      </w:r>
      <w:r>
        <w:rPr>
          <w:spacing w:val="-31"/>
        </w:rPr>
        <w:t> </w:t>
      </w:r>
      <w:r>
        <w:rPr/>
        <w:t>International</w:t>
      </w:r>
      <w:r>
        <w:rPr>
          <w:spacing w:val="-32"/>
        </w:rPr>
        <w:t> </w:t>
      </w:r>
      <w:r>
        <w:rPr/>
        <w:t>School, etc.</w:t>
      </w:r>
    </w:p>
    <w:p>
      <w:pPr>
        <w:pStyle w:val="BodyText"/>
        <w:spacing w:before="123"/>
        <w:ind w:left="2202"/>
        <w:jc w:val="both"/>
      </w:pPr>
      <w:r>
        <w:rPr/>
        <w:t>The distances from key hubs to the subject property are presented in the table below:</w:t>
      </w:r>
    </w:p>
    <w:p>
      <w:pPr>
        <w:pStyle w:val="BodyText"/>
        <w:spacing w:before="8"/>
        <w:rPr>
          <w:sz w:val="7"/>
        </w:rPr>
      </w:pPr>
    </w:p>
    <w:tbl>
      <w:tblPr>
        <w:tblW w:w="0" w:type="auto"/>
        <w:jc w:val="left"/>
        <w:tblInd w:w="23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83"/>
        <w:gridCol w:w="2592"/>
      </w:tblGrid>
      <w:tr>
        <w:trPr>
          <w:trHeight w:val="251" w:hRule="atLeast"/>
        </w:trPr>
        <w:tc>
          <w:tcPr>
            <w:tcW w:w="5683" w:type="dxa"/>
            <w:tcBorders>
              <w:top w:val="single" w:sz="6" w:space="0" w:color="69BD28"/>
              <w:bottom w:val="single" w:sz="6" w:space="0" w:color="69BD28"/>
            </w:tcBorders>
            <w:shd w:val="clear" w:color="auto" w:fill="006A4D"/>
          </w:tcPr>
          <w:p>
            <w:pPr>
              <w:pStyle w:val="TableParagraph"/>
              <w:spacing w:before="20"/>
              <w:ind w:left="866" w:right="695"/>
              <w:rPr>
                <w:b/>
                <w:sz w:val="18"/>
              </w:rPr>
            </w:pPr>
            <w:r>
              <w:rPr>
                <w:b/>
                <w:color w:val="FFFFFF"/>
                <w:w w:val="110"/>
                <w:sz w:val="18"/>
              </w:rPr>
              <w:t>Landmark</w:t>
            </w:r>
          </w:p>
        </w:tc>
        <w:tc>
          <w:tcPr>
            <w:tcW w:w="2592" w:type="dxa"/>
            <w:tcBorders>
              <w:top w:val="single" w:sz="6" w:space="0" w:color="69BD28"/>
              <w:bottom w:val="single" w:sz="6" w:space="0" w:color="69BD28"/>
            </w:tcBorders>
            <w:shd w:val="clear" w:color="auto" w:fill="006A4D"/>
          </w:tcPr>
          <w:p>
            <w:pPr>
              <w:pStyle w:val="TableParagraph"/>
              <w:spacing w:before="20"/>
              <w:ind w:left="316" w:right="150"/>
              <w:rPr>
                <w:b/>
                <w:sz w:val="18"/>
              </w:rPr>
            </w:pPr>
            <w:r>
              <w:rPr>
                <w:b/>
                <w:color w:val="FFFFFF"/>
                <w:w w:val="110"/>
                <w:sz w:val="18"/>
              </w:rPr>
              <w:t>Distance (km)</w:t>
            </w:r>
          </w:p>
        </w:tc>
      </w:tr>
      <w:tr>
        <w:trPr>
          <w:trHeight w:val="304" w:hRule="atLeast"/>
        </w:trPr>
        <w:tc>
          <w:tcPr>
            <w:tcW w:w="5683" w:type="dxa"/>
            <w:tcBorders>
              <w:top w:val="single" w:sz="6" w:space="0" w:color="69BD28"/>
              <w:bottom w:val="single" w:sz="6" w:space="0" w:color="69BD28"/>
            </w:tcBorders>
          </w:tcPr>
          <w:p>
            <w:pPr>
              <w:pStyle w:val="TableParagraph"/>
              <w:spacing w:before="46"/>
              <w:ind w:left="866" w:right="698"/>
              <w:rPr>
                <w:sz w:val="18"/>
              </w:rPr>
            </w:pPr>
            <w:r>
              <w:rPr>
                <w:sz w:val="18"/>
              </w:rPr>
              <w:t>Sector-18, Central Business District (CBD) of Noida</w:t>
            </w:r>
          </w:p>
        </w:tc>
        <w:tc>
          <w:tcPr>
            <w:tcW w:w="2592" w:type="dxa"/>
            <w:tcBorders>
              <w:top w:val="single" w:sz="6" w:space="0" w:color="69BD28"/>
              <w:bottom w:val="single" w:sz="6" w:space="0" w:color="69BD28"/>
            </w:tcBorders>
          </w:tcPr>
          <w:p>
            <w:pPr>
              <w:pStyle w:val="TableParagraph"/>
              <w:spacing w:before="42"/>
              <w:ind w:left="316" w:right="149"/>
              <w:rPr>
                <w:sz w:val="18"/>
              </w:rPr>
            </w:pPr>
            <w:r>
              <w:rPr>
                <w:w w:val="120"/>
                <w:sz w:val="18"/>
              </w:rPr>
              <w:t>16 – 17</w:t>
            </w:r>
          </w:p>
        </w:tc>
      </w:tr>
      <w:tr>
        <w:trPr>
          <w:trHeight w:val="311" w:hRule="atLeast"/>
        </w:trPr>
        <w:tc>
          <w:tcPr>
            <w:tcW w:w="5683" w:type="dxa"/>
            <w:tcBorders>
              <w:top w:val="single" w:sz="6" w:space="0" w:color="69BD28"/>
              <w:bottom w:val="single" w:sz="6" w:space="0" w:color="69BD28"/>
            </w:tcBorders>
          </w:tcPr>
          <w:p>
            <w:pPr>
              <w:pStyle w:val="TableParagraph"/>
              <w:spacing w:before="51"/>
              <w:ind w:left="864" w:right="698"/>
              <w:rPr>
                <w:sz w:val="18"/>
              </w:rPr>
            </w:pPr>
            <w:r>
              <w:rPr>
                <w:w w:val="105"/>
                <w:sz w:val="18"/>
              </w:rPr>
              <w:t>DND Flyway</w:t>
            </w:r>
          </w:p>
        </w:tc>
        <w:tc>
          <w:tcPr>
            <w:tcW w:w="2592" w:type="dxa"/>
            <w:tcBorders>
              <w:top w:val="single" w:sz="6" w:space="0" w:color="69BD28"/>
              <w:bottom w:val="single" w:sz="6" w:space="0" w:color="69BD28"/>
            </w:tcBorders>
          </w:tcPr>
          <w:p>
            <w:pPr>
              <w:pStyle w:val="TableParagraph"/>
              <w:spacing w:before="46"/>
              <w:ind w:left="316" w:right="149"/>
              <w:rPr>
                <w:sz w:val="18"/>
              </w:rPr>
            </w:pPr>
            <w:r>
              <w:rPr>
                <w:w w:val="120"/>
                <w:sz w:val="18"/>
              </w:rPr>
              <w:t>16 – 17</w:t>
            </w:r>
          </w:p>
        </w:tc>
      </w:tr>
      <w:tr>
        <w:trPr>
          <w:trHeight w:val="340" w:hRule="atLeast"/>
        </w:trPr>
        <w:tc>
          <w:tcPr>
            <w:tcW w:w="5683" w:type="dxa"/>
            <w:tcBorders>
              <w:top w:val="single" w:sz="6" w:space="0" w:color="69BD28"/>
              <w:bottom w:val="single" w:sz="6" w:space="0" w:color="69BD28"/>
            </w:tcBorders>
          </w:tcPr>
          <w:p>
            <w:pPr>
              <w:pStyle w:val="TableParagraph"/>
              <w:spacing w:before="66"/>
              <w:ind w:left="866" w:right="698"/>
              <w:rPr>
                <w:sz w:val="18"/>
              </w:rPr>
            </w:pPr>
            <w:r>
              <w:rPr>
                <w:sz w:val="18"/>
              </w:rPr>
              <w:t>Connaught Place, CBD of Delhi</w:t>
            </w:r>
          </w:p>
        </w:tc>
        <w:tc>
          <w:tcPr>
            <w:tcW w:w="2592" w:type="dxa"/>
            <w:tcBorders>
              <w:top w:val="single" w:sz="6" w:space="0" w:color="69BD28"/>
              <w:bottom w:val="single" w:sz="6" w:space="0" w:color="69BD28"/>
            </w:tcBorders>
          </w:tcPr>
          <w:p>
            <w:pPr>
              <w:pStyle w:val="TableParagraph"/>
              <w:spacing w:before="61"/>
              <w:ind w:left="316" w:right="149"/>
              <w:rPr>
                <w:sz w:val="18"/>
              </w:rPr>
            </w:pPr>
            <w:r>
              <w:rPr>
                <w:w w:val="120"/>
                <w:sz w:val="18"/>
              </w:rPr>
              <w:t>29 – 30</w:t>
            </w:r>
          </w:p>
        </w:tc>
      </w:tr>
      <w:tr>
        <w:trPr>
          <w:trHeight w:val="340" w:hRule="atLeast"/>
        </w:trPr>
        <w:tc>
          <w:tcPr>
            <w:tcW w:w="5683" w:type="dxa"/>
            <w:tcBorders>
              <w:top w:val="single" w:sz="6" w:space="0" w:color="69BD28"/>
              <w:bottom w:val="single" w:sz="6" w:space="0" w:color="69BD28"/>
            </w:tcBorders>
          </w:tcPr>
          <w:p>
            <w:pPr>
              <w:pStyle w:val="TableParagraph"/>
              <w:spacing w:before="66"/>
              <w:ind w:left="866" w:right="698"/>
              <w:rPr>
                <w:sz w:val="18"/>
              </w:rPr>
            </w:pPr>
            <w:r>
              <w:rPr>
                <w:sz w:val="18"/>
              </w:rPr>
              <w:t>New Delhi Railway Station</w:t>
            </w:r>
          </w:p>
        </w:tc>
        <w:tc>
          <w:tcPr>
            <w:tcW w:w="2592" w:type="dxa"/>
            <w:tcBorders>
              <w:top w:val="single" w:sz="6" w:space="0" w:color="69BD28"/>
              <w:bottom w:val="single" w:sz="6" w:space="0" w:color="69BD28"/>
            </w:tcBorders>
          </w:tcPr>
          <w:p>
            <w:pPr>
              <w:pStyle w:val="TableParagraph"/>
              <w:spacing w:before="61"/>
              <w:ind w:left="316" w:right="149"/>
              <w:rPr>
                <w:sz w:val="18"/>
              </w:rPr>
            </w:pPr>
            <w:r>
              <w:rPr>
                <w:w w:val="120"/>
                <w:sz w:val="18"/>
              </w:rPr>
              <w:t>29 – 30</w:t>
            </w:r>
          </w:p>
        </w:tc>
      </w:tr>
      <w:tr>
        <w:trPr>
          <w:trHeight w:val="323" w:hRule="atLeast"/>
        </w:trPr>
        <w:tc>
          <w:tcPr>
            <w:tcW w:w="5683" w:type="dxa"/>
            <w:tcBorders>
              <w:top w:val="single" w:sz="6" w:space="0" w:color="69BD28"/>
              <w:bottom w:val="single" w:sz="6" w:space="0" w:color="69BD28"/>
            </w:tcBorders>
          </w:tcPr>
          <w:p>
            <w:pPr>
              <w:pStyle w:val="TableParagraph"/>
              <w:spacing w:before="58"/>
              <w:ind w:left="865" w:right="698"/>
              <w:rPr>
                <w:sz w:val="18"/>
              </w:rPr>
            </w:pPr>
            <w:r>
              <w:rPr>
                <w:sz w:val="18"/>
              </w:rPr>
              <w:t>Indira Gandhi International Airport, Delhi</w:t>
            </w:r>
          </w:p>
        </w:tc>
        <w:tc>
          <w:tcPr>
            <w:tcW w:w="2592" w:type="dxa"/>
            <w:tcBorders>
              <w:top w:val="single" w:sz="6" w:space="0" w:color="69BD28"/>
              <w:bottom w:val="single" w:sz="6" w:space="0" w:color="69BD28"/>
            </w:tcBorders>
          </w:tcPr>
          <w:p>
            <w:pPr>
              <w:pStyle w:val="TableParagraph"/>
              <w:spacing w:before="51"/>
              <w:ind w:left="316" w:right="149"/>
              <w:rPr>
                <w:sz w:val="18"/>
              </w:rPr>
            </w:pPr>
            <w:r>
              <w:rPr>
                <w:w w:val="120"/>
                <w:sz w:val="18"/>
              </w:rPr>
              <w:t>38 – 39</w:t>
            </w:r>
          </w:p>
        </w:tc>
      </w:tr>
    </w:tbl>
    <w:p>
      <w:pPr>
        <w:spacing w:before="40"/>
        <w:ind w:left="2310" w:right="0" w:firstLine="0"/>
        <w:jc w:val="left"/>
        <w:rPr>
          <w:i/>
          <w:sz w:val="18"/>
        </w:rPr>
      </w:pPr>
      <w:r>
        <w:rPr>
          <w:i/>
          <w:sz w:val="18"/>
        </w:rPr>
        <w:t>Source: Consultants’ Research</w:t>
      </w:r>
    </w:p>
    <w:p>
      <w:pPr>
        <w:pStyle w:val="BodyText"/>
        <w:spacing w:before="10"/>
        <w:rPr>
          <w:i/>
          <w:sz w:val="18"/>
        </w:rPr>
      </w:pPr>
    </w:p>
    <w:p>
      <w:pPr>
        <w:pStyle w:val="BodyText"/>
        <w:tabs>
          <w:tab w:pos="2202" w:val="left" w:leader="none"/>
        </w:tabs>
        <w:spacing w:before="1"/>
        <w:ind w:left="220"/>
      </w:pPr>
      <w:r>
        <w:rPr/>
        <w:t>Surrounds:</w:t>
        <w:tab/>
        <w:t>The subject property is surrounded as</w:t>
      </w:r>
      <w:r>
        <w:rPr>
          <w:spacing w:val="-32"/>
        </w:rPr>
        <w:t> </w:t>
      </w:r>
      <w:r>
        <w:rPr/>
        <w:t>follows:</w:t>
      </w:r>
    </w:p>
    <w:p>
      <w:pPr>
        <w:pStyle w:val="BodyText"/>
        <w:spacing w:before="10"/>
        <w:rPr>
          <w:sz w:val="19"/>
        </w:rPr>
      </w:pPr>
    </w:p>
    <w:p>
      <w:pPr>
        <w:spacing w:after="0"/>
        <w:rPr>
          <w:sz w:val="19"/>
        </w:rPr>
        <w:sectPr>
          <w:pgSz w:w="11910" w:h="16840"/>
          <w:pgMar w:header="720" w:footer="921" w:top="1660" w:bottom="1120" w:left="500" w:right="48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25"/>
        </w:rPr>
      </w:pPr>
    </w:p>
    <w:p>
      <w:pPr>
        <w:pStyle w:val="BodyText"/>
        <w:spacing w:line="319" w:lineRule="auto"/>
        <w:ind w:left="220"/>
      </w:pPr>
      <w:r>
        <w:rPr>
          <w:w w:val="95"/>
        </w:rPr>
        <w:t>Potential changes </w:t>
      </w:r>
      <w:r>
        <w:rPr/>
        <w:t>in surroundings:</w:t>
      </w:r>
    </w:p>
    <w:p>
      <w:pPr>
        <w:pStyle w:val="BodyText"/>
        <w:spacing w:before="106"/>
        <w:ind w:left="220"/>
      </w:pPr>
      <w:r>
        <w:rPr/>
        <w:br w:type="column"/>
      </w:r>
      <w:r>
        <w:rPr/>
        <w:t>North: Green Belt</w:t>
      </w:r>
    </w:p>
    <w:p>
      <w:pPr>
        <w:pStyle w:val="BodyText"/>
        <w:spacing w:before="215"/>
        <w:ind w:left="220"/>
      </w:pPr>
      <w:r>
        <w:rPr/>
        <w:t>South: Approx. 24 m wide access road</w:t>
      </w:r>
    </w:p>
    <w:p>
      <w:pPr>
        <w:pStyle w:val="BodyText"/>
        <w:spacing w:before="218"/>
        <w:ind w:left="220"/>
      </w:pPr>
      <w:r>
        <w:rPr/>
        <w:t>East: Other’s property (Plot No. </w:t>
      </w:r>
      <w:r>
        <w:rPr>
          <w:w w:val="110"/>
        </w:rPr>
        <w:t>– </w:t>
      </w:r>
      <w:r>
        <w:rPr/>
        <w:t>08, Sector 144)</w:t>
      </w:r>
    </w:p>
    <w:p>
      <w:pPr>
        <w:pStyle w:val="BodyText"/>
        <w:spacing w:before="217"/>
        <w:ind w:left="220"/>
      </w:pPr>
      <w:r>
        <w:rPr/>
        <w:t>West: Approx. 45 m wide access road (primary access road)</w:t>
      </w:r>
    </w:p>
    <w:p>
      <w:pPr>
        <w:pStyle w:val="BodyText"/>
        <w:spacing w:line="321" w:lineRule="auto" w:before="208"/>
        <w:ind w:left="220" w:right="342"/>
        <w:jc w:val="both"/>
      </w:pPr>
      <w:r>
        <w:rPr/>
        <w:t>As</w:t>
      </w:r>
      <w:r>
        <w:rPr>
          <w:spacing w:val="-11"/>
        </w:rPr>
        <w:t> </w:t>
      </w:r>
      <w:r>
        <w:rPr/>
        <w:t>mentioned</w:t>
      </w:r>
      <w:r>
        <w:rPr>
          <w:spacing w:val="-9"/>
        </w:rPr>
        <w:t> </w:t>
      </w:r>
      <w:r>
        <w:rPr/>
        <w:t>above,</w:t>
      </w:r>
      <w:r>
        <w:rPr>
          <w:spacing w:val="-10"/>
        </w:rPr>
        <w:t> </w:t>
      </w:r>
      <w:r>
        <w:rPr/>
        <w:t>the</w:t>
      </w:r>
      <w:r>
        <w:rPr>
          <w:spacing w:val="-12"/>
        </w:rPr>
        <w:t> </w:t>
      </w:r>
      <w:r>
        <w:rPr/>
        <w:t>subject</w:t>
      </w:r>
      <w:r>
        <w:rPr>
          <w:spacing w:val="-10"/>
        </w:rPr>
        <w:t> </w:t>
      </w:r>
      <w:r>
        <w:rPr/>
        <w:t>sub-market</w:t>
      </w:r>
      <w:r>
        <w:rPr>
          <w:spacing w:val="-9"/>
        </w:rPr>
        <w:t> </w:t>
      </w:r>
      <w:r>
        <w:rPr/>
        <w:t>is</w:t>
      </w:r>
      <w:r>
        <w:rPr>
          <w:spacing w:val="-10"/>
        </w:rPr>
        <w:t> </w:t>
      </w:r>
      <w:r>
        <w:rPr/>
        <w:t>an</w:t>
      </w:r>
      <w:r>
        <w:rPr>
          <w:spacing w:val="-12"/>
        </w:rPr>
        <w:t> </w:t>
      </w:r>
      <w:r>
        <w:rPr/>
        <w:t>emerging</w:t>
      </w:r>
      <w:r>
        <w:rPr>
          <w:spacing w:val="-9"/>
        </w:rPr>
        <w:t> </w:t>
      </w:r>
      <w:r>
        <w:rPr/>
        <w:t>commercial</w:t>
      </w:r>
      <w:r>
        <w:rPr>
          <w:spacing w:val="-11"/>
        </w:rPr>
        <w:t> </w:t>
      </w:r>
      <w:r>
        <w:rPr/>
        <w:t>hub</w:t>
      </w:r>
      <w:r>
        <w:rPr>
          <w:spacing w:val="-9"/>
        </w:rPr>
        <w:t> </w:t>
      </w:r>
      <w:r>
        <w:rPr/>
        <w:t>of</w:t>
      </w:r>
      <w:r>
        <w:rPr>
          <w:spacing w:val="-9"/>
        </w:rPr>
        <w:t> </w:t>
      </w:r>
      <w:r>
        <w:rPr/>
        <w:t>Noida and</w:t>
      </w:r>
      <w:r>
        <w:rPr>
          <w:spacing w:val="-24"/>
        </w:rPr>
        <w:t> </w:t>
      </w:r>
      <w:r>
        <w:rPr/>
        <w:t>is</w:t>
      </w:r>
      <w:r>
        <w:rPr>
          <w:spacing w:val="-25"/>
        </w:rPr>
        <w:t> </w:t>
      </w:r>
      <w:r>
        <w:rPr/>
        <w:t>witnessing</w:t>
      </w:r>
      <w:r>
        <w:rPr>
          <w:spacing w:val="-25"/>
        </w:rPr>
        <w:t> </w:t>
      </w:r>
      <w:r>
        <w:rPr/>
        <w:t>significant</w:t>
      </w:r>
      <w:r>
        <w:rPr>
          <w:spacing w:val="-25"/>
        </w:rPr>
        <w:t> </w:t>
      </w:r>
      <w:r>
        <w:rPr/>
        <w:t>development</w:t>
      </w:r>
      <w:r>
        <w:rPr>
          <w:spacing w:val="-24"/>
        </w:rPr>
        <w:t> </w:t>
      </w:r>
      <w:r>
        <w:rPr/>
        <w:t>activity.</w:t>
      </w:r>
      <w:r>
        <w:rPr>
          <w:spacing w:val="-26"/>
        </w:rPr>
        <w:t> </w:t>
      </w:r>
      <w:r>
        <w:rPr/>
        <w:t>Also,</w:t>
      </w:r>
      <w:r>
        <w:rPr>
          <w:spacing w:val="-22"/>
        </w:rPr>
        <w:t> </w:t>
      </w:r>
      <w:r>
        <w:rPr/>
        <w:t>the</w:t>
      </w:r>
      <w:r>
        <w:rPr>
          <w:spacing w:val="-25"/>
        </w:rPr>
        <w:t> </w:t>
      </w:r>
      <w:r>
        <w:rPr/>
        <w:t>region</w:t>
      </w:r>
      <w:r>
        <w:rPr>
          <w:spacing w:val="-24"/>
        </w:rPr>
        <w:t> </w:t>
      </w:r>
      <w:r>
        <w:rPr/>
        <w:t>has</w:t>
      </w:r>
      <w:r>
        <w:rPr>
          <w:spacing w:val="-23"/>
        </w:rPr>
        <w:t> </w:t>
      </w:r>
      <w:r>
        <w:rPr/>
        <w:t>contributed</w:t>
      </w:r>
      <w:r>
        <w:rPr>
          <w:spacing w:val="-24"/>
        </w:rPr>
        <w:t> </w:t>
      </w:r>
      <w:r>
        <w:rPr/>
        <w:t>the highest share in the absorption pie of</w:t>
      </w:r>
      <w:r>
        <w:rPr>
          <w:spacing w:val="-28"/>
        </w:rPr>
        <w:t> </w:t>
      </w:r>
      <w:r>
        <w:rPr/>
        <w:t>Noida.</w:t>
      </w:r>
    </w:p>
    <w:p>
      <w:pPr>
        <w:pStyle w:val="BodyText"/>
        <w:spacing w:line="321" w:lineRule="auto" w:before="121"/>
        <w:ind w:left="220" w:right="346"/>
        <w:jc w:val="both"/>
      </w:pPr>
      <w:r>
        <w:rPr/>
        <w:t>Further, with the addition of new supply and favourable outlook towards the</w:t>
      </w:r>
      <w:r>
        <w:rPr>
          <w:spacing w:val="-42"/>
        </w:rPr>
        <w:t> </w:t>
      </w:r>
      <w:r>
        <w:rPr/>
        <w:t>subject region</w:t>
      </w:r>
      <w:r>
        <w:rPr>
          <w:spacing w:val="-35"/>
        </w:rPr>
        <w:t> </w:t>
      </w:r>
      <w:r>
        <w:rPr/>
        <w:t>from</w:t>
      </w:r>
      <w:r>
        <w:rPr>
          <w:spacing w:val="-34"/>
        </w:rPr>
        <w:t> </w:t>
      </w:r>
      <w:r>
        <w:rPr/>
        <w:t>technology</w:t>
      </w:r>
      <w:r>
        <w:rPr>
          <w:spacing w:val="-33"/>
        </w:rPr>
        <w:t> </w:t>
      </w:r>
      <w:r>
        <w:rPr/>
        <w:t>sector,</w:t>
      </w:r>
      <w:r>
        <w:rPr>
          <w:spacing w:val="-34"/>
        </w:rPr>
        <w:t> </w:t>
      </w:r>
      <w:r>
        <w:rPr/>
        <w:t>it</w:t>
      </w:r>
      <w:r>
        <w:rPr>
          <w:spacing w:val="-35"/>
        </w:rPr>
        <w:t> </w:t>
      </w:r>
      <w:r>
        <w:rPr/>
        <w:t>is</w:t>
      </w:r>
      <w:r>
        <w:rPr>
          <w:spacing w:val="-33"/>
        </w:rPr>
        <w:t> </w:t>
      </w:r>
      <w:r>
        <w:rPr/>
        <w:t>expected</w:t>
      </w:r>
      <w:r>
        <w:rPr>
          <w:spacing w:val="-34"/>
        </w:rPr>
        <w:t> </w:t>
      </w:r>
      <w:r>
        <w:rPr/>
        <w:t>that</w:t>
      </w:r>
      <w:r>
        <w:rPr>
          <w:spacing w:val="-34"/>
        </w:rPr>
        <w:t> </w:t>
      </w:r>
      <w:r>
        <w:rPr/>
        <w:t>the</w:t>
      </w:r>
      <w:r>
        <w:rPr>
          <w:spacing w:val="-34"/>
        </w:rPr>
        <w:t> </w:t>
      </w:r>
      <w:r>
        <w:rPr/>
        <w:t>subject</w:t>
      </w:r>
      <w:r>
        <w:rPr>
          <w:spacing w:val="-31"/>
        </w:rPr>
        <w:t> </w:t>
      </w:r>
      <w:r>
        <w:rPr/>
        <w:t>sub-market</w:t>
      </w:r>
      <w:r>
        <w:rPr>
          <w:spacing w:val="-34"/>
        </w:rPr>
        <w:t> </w:t>
      </w:r>
      <w:r>
        <w:rPr/>
        <w:t>would</w:t>
      </w:r>
      <w:r>
        <w:rPr>
          <w:spacing w:val="-34"/>
        </w:rPr>
        <w:t> </w:t>
      </w:r>
      <w:r>
        <w:rPr/>
        <w:t>emerge as</w:t>
      </w:r>
      <w:r>
        <w:rPr>
          <w:spacing w:val="-7"/>
        </w:rPr>
        <w:t> </w:t>
      </w:r>
      <w:r>
        <w:rPr/>
        <w:t>a</w:t>
      </w:r>
      <w:r>
        <w:rPr>
          <w:spacing w:val="-8"/>
        </w:rPr>
        <w:t> </w:t>
      </w:r>
      <w:r>
        <w:rPr/>
        <w:t>prominent</w:t>
      </w:r>
      <w:r>
        <w:rPr>
          <w:spacing w:val="-7"/>
        </w:rPr>
        <w:t> </w:t>
      </w:r>
      <w:r>
        <w:rPr/>
        <w:t>commercial</w:t>
      </w:r>
      <w:r>
        <w:rPr>
          <w:spacing w:val="-8"/>
        </w:rPr>
        <w:t> </w:t>
      </w:r>
      <w:r>
        <w:rPr/>
        <w:t>hub</w:t>
      </w:r>
      <w:r>
        <w:rPr>
          <w:spacing w:val="-6"/>
        </w:rPr>
        <w:t> </w:t>
      </w:r>
      <w:r>
        <w:rPr/>
        <w:t>of</w:t>
      </w:r>
      <w:r>
        <w:rPr>
          <w:spacing w:val="-6"/>
        </w:rPr>
        <w:t> </w:t>
      </w:r>
      <w:r>
        <w:rPr/>
        <w:t>Noida</w:t>
      </w:r>
      <w:r>
        <w:rPr>
          <w:spacing w:val="-8"/>
        </w:rPr>
        <w:t> </w:t>
      </w:r>
      <w:r>
        <w:rPr/>
        <w:t>in</w:t>
      </w:r>
      <w:r>
        <w:rPr>
          <w:spacing w:val="-8"/>
        </w:rPr>
        <w:t> </w:t>
      </w:r>
      <w:r>
        <w:rPr/>
        <w:t>the</w:t>
      </w:r>
      <w:r>
        <w:rPr>
          <w:spacing w:val="-8"/>
        </w:rPr>
        <w:t> </w:t>
      </w:r>
      <w:r>
        <w:rPr/>
        <w:t>short</w:t>
      </w:r>
      <w:r>
        <w:rPr>
          <w:spacing w:val="-7"/>
        </w:rPr>
        <w:t> </w:t>
      </w:r>
      <w:r>
        <w:rPr/>
        <w:t>to</w:t>
      </w:r>
      <w:r>
        <w:rPr>
          <w:spacing w:val="-7"/>
        </w:rPr>
        <w:t> </w:t>
      </w:r>
      <w:r>
        <w:rPr/>
        <w:t>medium</w:t>
      </w:r>
      <w:r>
        <w:rPr>
          <w:spacing w:val="-7"/>
        </w:rPr>
        <w:t> </w:t>
      </w:r>
      <w:r>
        <w:rPr/>
        <w:t>term.</w:t>
      </w:r>
    </w:p>
    <w:p>
      <w:pPr>
        <w:spacing w:after="0" w:line="321" w:lineRule="auto"/>
        <w:jc w:val="both"/>
        <w:sectPr>
          <w:type w:val="continuous"/>
          <w:pgSz w:w="11910" w:h="16840"/>
          <w:pgMar w:top="800" w:bottom="280" w:left="500" w:right="480"/>
          <w:cols w:num="2" w:equalWidth="0">
            <w:col w:w="1942" w:space="41"/>
            <w:col w:w="8947"/>
          </w:cols>
        </w:sectPr>
      </w:pPr>
    </w:p>
    <w:p>
      <w:pPr>
        <w:pStyle w:val="BodyText"/>
        <w:spacing w:before="7"/>
        <w:rPr>
          <w:sz w:val="9"/>
        </w:rPr>
      </w:pPr>
    </w:p>
    <w:p>
      <w:pPr>
        <w:pStyle w:val="BodyText"/>
        <w:spacing w:line="321" w:lineRule="auto" w:before="106"/>
        <w:ind w:left="2202" w:right="343"/>
        <w:jc w:val="both"/>
      </w:pPr>
      <w:r>
        <w:rPr/>
        <w:t>Moreover, the construction of MRTS rail link connecting Noida with Greater Noida (passing through the subject region) has been completed, which has significantly enhanced the attractiveness of the subject location.</w:t>
      </w:r>
    </w:p>
    <w:p>
      <w:pPr>
        <w:pStyle w:val="BodyText"/>
        <w:spacing w:before="7"/>
        <w:rPr>
          <w:sz w:val="11"/>
        </w:rPr>
      </w:pPr>
    </w:p>
    <w:p>
      <w:pPr>
        <w:spacing w:after="0"/>
        <w:rPr>
          <w:sz w:val="11"/>
        </w:rPr>
        <w:sectPr>
          <w:pgSz w:w="11910" w:h="16840"/>
          <w:pgMar w:header="720" w:footer="921" w:top="1660" w:bottom="1120" w:left="500" w:right="480"/>
        </w:sectPr>
      </w:pPr>
    </w:p>
    <w:p>
      <w:pPr>
        <w:pStyle w:val="BodyText"/>
        <w:spacing w:line="321" w:lineRule="auto" w:before="106"/>
        <w:ind w:left="220" w:right="-12"/>
      </w:pPr>
      <w:r>
        <w:rPr>
          <w:w w:val="95"/>
        </w:rPr>
        <w:t>Suitability of existing use:</w:t>
      </w:r>
    </w:p>
    <w:p>
      <w:pPr>
        <w:pStyle w:val="BodyText"/>
        <w:spacing w:line="321" w:lineRule="auto" w:before="106"/>
        <w:ind w:left="220" w:right="147"/>
      </w:pPr>
      <w:r>
        <w:rPr/>
        <w:br w:type="column"/>
      </w:r>
      <w:r>
        <w:rPr/>
        <w:t>Considering</w:t>
      </w:r>
      <w:r>
        <w:rPr>
          <w:spacing w:val="-22"/>
        </w:rPr>
        <w:t> </w:t>
      </w:r>
      <w:r>
        <w:rPr/>
        <w:t>the</w:t>
      </w:r>
      <w:r>
        <w:rPr>
          <w:spacing w:val="-22"/>
        </w:rPr>
        <w:t> </w:t>
      </w:r>
      <w:r>
        <w:rPr/>
        <w:t>profile</w:t>
      </w:r>
      <w:r>
        <w:rPr>
          <w:spacing w:val="-22"/>
        </w:rPr>
        <w:t> </w:t>
      </w:r>
      <w:r>
        <w:rPr/>
        <w:t>of</w:t>
      </w:r>
      <w:r>
        <w:rPr>
          <w:spacing w:val="-21"/>
        </w:rPr>
        <w:t> </w:t>
      </w:r>
      <w:r>
        <w:rPr/>
        <w:t>surrounding</w:t>
      </w:r>
      <w:r>
        <w:rPr>
          <w:spacing w:val="-21"/>
        </w:rPr>
        <w:t> </w:t>
      </w:r>
      <w:r>
        <w:rPr/>
        <w:t>developments,</w:t>
      </w:r>
      <w:r>
        <w:rPr>
          <w:spacing w:val="-22"/>
        </w:rPr>
        <w:t> </w:t>
      </w:r>
      <w:r>
        <w:rPr/>
        <w:t>the</w:t>
      </w:r>
      <w:r>
        <w:rPr>
          <w:spacing w:val="-22"/>
        </w:rPr>
        <w:t> </w:t>
      </w:r>
      <w:r>
        <w:rPr/>
        <w:t>subject</w:t>
      </w:r>
      <w:r>
        <w:rPr>
          <w:spacing w:val="-21"/>
        </w:rPr>
        <w:t> </w:t>
      </w:r>
      <w:r>
        <w:rPr/>
        <w:t>property</w:t>
      </w:r>
      <w:r>
        <w:rPr>
          <w:spacing w:val="-21"/>
        </w:rPr>
        <w:t> </w:t>
      </w:r>
      <w:r>
        <w:rPr/>
        <w:t>is</w:t>
      </w:r>
      <w:r>
        <w:rPr>
          <w:spacing w:val="-21"/>
        </w:rPr>
        <w:t> </w:t>
      </w:r>
      <w:r>
        <w:rPr/>
        <w:t>opined</w:t>
      </w:r>
      <w:r>
        <w:rPr>
          <w:spacing w:val="-22"/>
        </w:rPr>
        <w:t> </w:t>
      </w:r>
      <w:r>
        <w:rPr/>
        <w:t>to be</w:t>
      </w:r>
      <w:r>
        <w:rPr>
          <w:spacing w:val="-9"/>
        </w:rPr>
        <w:t> </w:t>
      </w:r>
      <w:r>
        <w:rPr/>
        <w:t>suited</w:t>
      </w:r>
      <w:r>
        <w:rPr>
          <w:spacing w:val="-9"/>
        </w:rPr>
        <w:t> </w:t>
      </w:r>
      <w:r>
        <w:rPr/>
        <w:t>for</w:t>
      </w:r>
      <w:r>
        <w:rPr>
          <w:spacing w:val="-8"/>
        </w:rPr>
        <w:t> </w:t>
      </w:r>
      <w:r>
        <w:rPr/>
        <w:t>its</w:t>
      </w:r>
      <w:r>
        <w:rPr>
          <w:spacing w:val="-7"/>
        </w:rPr>
        <w:t> </w:t>
      </w:r>
      <w:r>
        <w:rPr/>
        <w:t>current</w:t>
      </w:r>
      <w:r>
        <w:rPr>
          <w:spacing w:val="-8"/>
        </w:rPr>
        <w:t> </w:t>
      </w:r>
      <w:r>
        <w:rPr/>
        <w:t>use</w:t>
      </w:r>
      <w:r>
        <w:rPr>
          <w:spacing w:val="-8"/>
        </w:rPr>
        <w:t> </w:t>
      </w:r>
      <w:r>
        <w:rPr/>
        <w:t>viz.</w:t>
      </w:r>
      <w:r>
        <w:rPr>
          <w:spacing w:val="-8"/>
        </w:rPr>
        <w:t> </w:t>
      </w:r>
      <w:r>
        <w:rPr/>
        <w:t>IT/</w:t>
      </w:r>
      <w:r>
        <w:rPr>
          <w:spacing w:val="-9"/>
        </w:rPr>
        <w:t> </w:t>
      </w:r>
      <w:r>
        <w:rPr/>
        <w:t>ITeS</w:t>
      </w:r>
      <w:r>
        <w:rPr>
          <w:spacing w:val="-8"/>
        </w:rPr>
        <w:t> </w:t>
      </w:r>
      <w:r>
        <w:rPr/>
        <w:t>SEZ</w:t>
      </w:r>
      <w:r>
        <w:rPr>
          <w:spacing w:val="-8"/>
        </w:rPr>
        <w:t> </w:t>
      </w:r>
      <w:r>
        <w:rPr/>
        <w:t>office</w:t>
      </w:r>
      <w:r>
        <w:rPr>
          <w:spacing w:val="-5"/>
        </w:rPr>
        <w:t> </w:t>
      </w:r>
      <w:r>
        <w:rPr/>
        <w:t>park.</w:t>
      </w:r>
    </w:p>
    <w:p>
      <w:pPr>
        <w:spacing w:after="0" w:line="321" w:lineRule="auto"/>
        <w:sectPr>
          <w:type w:val="continuous"/>
          <w:pgSz w:w="11910" w:h="16840"/>
          <w:pgMar w:top="800" w:bottom="280" w:left="500" w:right="480"/>
          <w:cols w:num="2" w:equalWidth="0">
            <w:col w:w="1431" w:space="552"/>
            <w:col w:w="8947"/>
          </w:cols>
        </w:sectPr>
      </w:pPr>
    </w:p>
    <w:p>
      <w:pPr>
        <w:spacing w:before="75"/>
        <w:ind w:left="211" w:right="0" w:firstLine="0"/>
        <w:jc w:val="left"/>
        <w:rPr>
          <w:sz w:val="20"/>
        </w:rPr>
      </w:pPr>
      <w:r>
        <w:rPr/>
        <w:drawing>
          <wp:anchor distT="0" distB="0" distL="0" distR="0" allowOverlap="1" layoutInCell="1" locked="0" behindDoc="0" simplePos="0" relativeHeight="1130">
            <wp:simplePos x="0" y="0"/>
            <wp:positionH relativeFrom="page">
              <wp:posOffset>832485</wp:posOffset>
            </wp:positionH>
            <wp:positionV relativeFrom="paragraph">
              <wp:posOffset>283078</wp:posOffset>
            </wp:positionV>
            <wp:extent cx="9725902" cy="79248"/>
            <wp:effectExtent l="0" t="0" r="0" b="0"/>
            <wp:wrapTopAndBottom/>
            <wp:docPr id="227" name="image78.png"/>
            <wp:cNvGraphicFramePr>
              <a:graphicFrameLocks noChangeAspect="1"/>
            </wp:cNvGraphicFramePr>
            <a:graphic>
              <a:graphicData uri="http://schemas.openxmlformats.org/drawingml/2006/picture">
                <pic:pic>
                  <pic:nvPicPr>
                    <pic:cNvPr id="228" name="image78.png"/>
                    <pic:cNvPicPr/>
                  </pic:nvPicPr>
                  <pic:blipFill>
                    <a:blip r:embed="rId106" cstate="print"/>
                    <a:stretch>
                      <a:fillRect/>
                    </a:stretch>
                  </pic:blipFill>
                  <pic:spPr>
                    <a:xfrm>
                      <a:off x="0" y="0"/>
                      <a:ext cx="9725902" cy="79248"/>
                    </a:xfrm>
                    <a:prstGeom prst="rect">
                      <a:avLst/>
                    </a:prstGeom>
                  </pic:spPr>
                </pic:pic>
              </a:graphicData>
            </a:graphic>
          </wp:anchor>
        </w:drawing>
      </w:r>
      <w:r>
        <w:rPr/>
        <w:drawing>
          <wp:anchor distT="0" distB="0" distL="0" distR="0" allowOverlap="1" layoutInCell="1" locked="0" behindDoc="0" simplePos="0" relativeHeight="16309248">
            <wp:simplePos x="0" y="0"/>
            <wp:positionH relativeFrom="page">
              <wp:posOffset>7620634</wp:posOffset>
            </wp:positionH>
            <wp:positionV relativeFrom="page">
              <wp:posOffset>7079716</wp:posOffset>
            </wp:positionV>
            <wp:extent cx="1079500" cy="300457"/>
            <wp:effectExtent l="0" t="0" r="0" b="0"/>
            <wp:wrapNone/>
            <wp:docPr id="229" name="image3.jpeg"/>
            <wp:cNvGraphicFramePr>
              <a:graphicFrameLocks noChangeAspect="1"/>
            </wp:cNvGraphicFramePr>
            <a:graphic>
              <a:graphicData uri="http://schemas.openxmlformats.org/drawingml/2006/picture">
                <pic:pic>
                  <pic:nvPicPr>
                    <pic:cNvPr id="230"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6309760">
            <wp:simplePos x="0" y="0"/>
            <wp:positionH relativeFrom="page">
              <wp:posOffset>8796837</wp:posOffset>
            </wp:positionH>
            <wp:positionV relativeFrom="page">
              <wp:posOffset>6944165</wp:posOffset>
            </wp:positionV>
            <wp:extent cx="909288" cy="433873"/>
            <wp:effectExtent l="0" t="0" r="0" b="0"/>
            <wp:wrapNone/>
            <wp:docPr id="231" name="image4.png"/>
            <wp:cNvGraphicFramePr>
              <a:graphicFrameLocks noChangeAspect="1"/>
            </wp:cNvGraphicFramePr>
            <a:graphic>
              <a:graphicData uri="http://schemas.openxmlformats.org/drawingml/2006/picture">
                <pic:pic>
                  <pic:nvPicPr>
                    <pic:cNvPr id="232"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BodyText"/>
        <w:rPr>
          <w:sz w:val="24"/>
        </w:rPr>
      </w:pPr>
    </w:p>
    <w:p>
      <w:pPr>
        <w:pStyle w:val="BodyText"/>
        <w:spacing w:before="179"/>
        <w:ind w:left="211"/>
      </w:pPr>
      <w:r>
        <w:rPr/>
        <w:t>The following map indicates the location of the subject property and surrounding developments:</w:t>
      </w:r>
    </w:p>
    <w:p>
      <w:pPr>
        <w:pStyle w:val="BodyText"/>
        <w:spacing w:before="8"/>
        <w:rPr>
          <w:sz w:val="19"/>
        </w:rPr>
      </w:pPr>
      <w:r>
        <w:rPr/>
        <w:pict>
          <v:group style="position:absolute;margin-left:70.559998pt;margin-top:13.403945pt;width:676.95pt;height:14.2pt;mso-position-horizontal-relative:page;mso-position-vertical-relative:paragraph;z-index:-15149056;mso-wrap-distance-left:0;mso-wrap-distance-right:0" coordorigin="1411,268" coordsize="13539,284">
            <v:rect style="position:absolute;left:1411;top:299;width:13539;height:252" filled="true" fillcolor="#006a4d" stroked="false">
              <v:fill type="solid"/>
            </v:rect>
            <v:rect style="position:absolute;left:1411;top:268;width:13539;height:29" filled="true" fillcolor="#1f6b16" stroked="false">
              <v:fill type="solid"/>
            </v:rect>
            <v:rect style="position:absolute;left:1411;top:296;width:13539;height:3" filled="true" fillcolor="#006a4d" stroked="false">
              <v:fill type="solid"/>
            </v:rect>
            <v:shape style="position:absolute;left:1411;top:299;width:13539;height:252" type="#_x0000_t202" filled="false" stroked="false">
              <v:textbox inset="0,0,0,0">
                <w:txbxContent>
                  <w:p>
                    <w:pPr>
                      <w:spacing w:before="23"/>
                      <w:ind w:left="5053" w:right="5054" w:firstLine="0"/>
                      <w:jc w:val="center"/>
                      <w:rPr>
                        <w:b/>
                        <w:sz w:val="18"/>
                      </w:rPr>
                    </w:pPr>
                    <w:r>
                      <w:rPr>
                        <w:b/>
                        <w:color w:val="FFFFFF"/>
                        <w:w w:val="105"/>
                        <w:sz w:val="18"/>
                      </w:rPr>
                      <w:t>Location Map for the Subject Property</w:t>
                    </w:r>
                  </w:p>
                </w:txbxContent>
              </v:textbox>
              <w10:wrap type="none"/>
            </v:shape>
            <w10:wrap type="topAndBottom"/>
          </v:group>
        </w:pict>
      </w:r>
    </w:p>
    <w:p>
      <w:pPr>
        <w:pStyle w:val="BodyText"/>
        <w:rPr>
          <w:sz w:val="20"/>
        </w:rPr>
      </w:pPr>
    </w:p>
    <w:p>
      <w:pPr>
        <w:pStyle w:val="BodyText"/>
        <w:spacing w:before="5"/>
        <w:rPr>
          <w:sz w:val="13"/>
        </w:rPr>
      </w:pPr>
      <w:r>
        <w:rPr/>
        <w:drawing>
          <wp:anchor distT="0" distB="0" distL="0" distR="0" allowOverlap="1" layoutInCell="1" locked="0" behindDoc="0" simplePos="0" relativeHeight="1133">
            <wp:simplePos x="0" y="0"/>
            <wp:positionH relativeFrom="page">
              <wp:posOffset>1225130</wp:posOffset>
            </wp:positionH>
            <wp:positionV relativeFrom="paragraph">
              <wp:posOffset>124218</wp:posOffset>
            </wp:positionV>
            <wp:extent cx="8097786" cy="3604450"/>
            <wp:effectExtent l="0" t="0" r="0" b="0"/>
            <wp:wrapTopAndBottom/>
            <wp:docPr id="233" name="image176.png"/>
            <wp:cNvGraphicFramePr>
              <a:graphicFrameLocks noChangeAspect="1"/>
            </wp:cNvGraphicFramePr>
            <a:graphic>
              <a:graphicData uri="http://schemas.openxmlformats.org/drawingml/2006/picture">
                <pic:pic>
                  <pic:nvPicPr>
                    <pic:cNvPr id="234" name="image176.png"/>
                    <pic:cNvPicPr/>
                  </pic:nvPicPr>
                  <pic:blipFill>
                    <a:blip r:embed="rId233" cstate="print"/>
                    <a:stretch>
                      <a:fillRect/>
                    </a:stretch>
                  </pic:blipFill>
                  <pic:spPr>
                    <a:xfrm>
                      <a:off x="0" y="0"/>
                      <a:ext cx="8097786" cy="3604450"/>
                    </a:xfrm>
                    <a:prstGeom prst="rect">
                      <a:avLst/>
                    </a:prstGeom>
                  </pic:spPr>
                </pic:pic>
              </a:graphicData>
            </a:graphic>
          </wp:anchor>
        </w:drawing>
      </w:r>
    </w:p>
    <w:p>
      <w:pPr>
        <w:spacing w:before="13"/>
        <w:ind w:left="521" w:right="0" w:firstLine="0"/>
        <w:jc w:val="left"/>
        <w:rPr>
          <w:i/>
          <w:sz w:val="18"/>
        </w:rPr>
      </w:pPr>
      <w:r>
        <w:rPr>
          <w:i/>
          <w:sz w:val="18"/>
        </w:rPr>
        <w:t>Source: Consultants’ Research</w:t>
      </w:r>
    </w:p>
    <w:p>
      <w:pPr>
        <w:spacing w:after="0"/>
        <w:jc w:val="left"/>
        <w:rPr>
          <w:sz w:val="18"/>
        </w:rPr>
        <w:sectPr>
          <w:headerReference w:type="default" r:id="rId231"/>
          <w:footerReference w:type="default" r:id="rId232"/>
          <w:pgSz w:w="16840" w:h="11910" w:orient="landscape"/>
          <w:pgMar w:header="0" w:footer="504" w:top="640" w:bottom="700" w:left="1200" w:right="200"/>
        </w:sectPr>
      </w:pPr>
    </w:p>
    <w:p>
      <w:pPr>
        <w:pStyle w:val="BodyText"/>
        <w:spacing w:before="7"/>
        <w:rPr>
          <w:i/>
          <w:sz w:val="9"/>
        </w:rPr>
      </w:pPr>
    </w:p>
    <w:p>
      <w:pPr>
        <w:pStyle w:val="BodyText"/>
        <w:tabs>
          <w:tab w:pos="2564" w:val="left" w:leader="none"/>
        </w:tabs>
        <w:spacing w:line="321" w:lineRule="auto" w:before="106"/>
        <w:ind w:left="2564" w:right="231" w:hanging="1865"/>
        <w:jc w:val="both"/>
      </w:pPr>
      <w:r>
        <w:rPr/>
        <w:t>Shape:</w:t>
        <w:tab/>
        <w:t>Based</w:t>
      </w:r>
      <w:r>
        <w:rPr>
          <w:spacing w:val="-25"/>
        </w:rPr>
        <w:t> </w:t>
      </w:r>
      <w:r>
        <w:rPr/>
        <w:t>on</w:t>
      </w:r>
      <w:r>
        <w:rPr>
          <w:spacing w:val="-24"/>
        </w:rPr>
        <w:t> </w:t>
      </w:r>
      <w:r>
        <w:rPr/>
        <w:t>site</w:t>
      </w:r>
      <w:r>
        <w:rPr>
          <w:spacing w:val="-25"/>
        </w:rPr>
        <w:t> </w:t>
      </w:r>
      <w:r>
        <w:rPr/>
        <w:t>plan</w:t>
      </w:r>
      <w:r>
        <w:rPr>
          <w:spacing w:val="-26"/>
        </w:rPr>
        <w:t> </w:t>
      </w:r>
      <w:r>
        <w:rPr/>
        <w:t>provided</w:t>
      </w:r>
      <w:r>
        <w:rPr>
          <w:spacing w:val="-23"/>
        </w:rPr>
        <w:t> </w:t>
      </w:r>
      <w:r>
        <w:rPr/>
        <w:t>by</w:t>
      </w:r>
      <w:r>
        <w:rPr>
          <w:spacing w:val="-25"/>
        </w:rPr>
        <w:t> </w:t>
      </w:r>
      <w:r>
        <w:rPr/>
        <w:t>the</w:t>
      </w:r>
      <w:r>
        <w:rPr>
          <w:spacing w:val="-25"/>
        </w:rPr>
        <w:t> </w:t>
      </w:r>
      <w:r>
        <w:rPr/>
        <w:t>Client</w:t>
      </w:r>
      <w:r>
        <w:rPr>
          <w:spacing w:val="-24"/>
        </w:rPr>
        <w:t> </w:t>
      </w:r>
      <w:r>
        <w:rPr/>
        <w:t>and</w:t>
      </w:r>
      <w:r>
        <w:rPr>
          <w:spacing w:val="-25"/>
        </w:rPr>
        <w:t> </w:t>
      </w:r>
      <w:r>
        <w:rPr/>
        <w:t>visual</w:t>
      </w:r>
      <w:r>
        <w:rPr>
          <w:spacing w:val="-25"/>
        </w:rPr>
        <w:t> </w:t>
      </w:r>
      <w:r>
        <w:rPr/>
        <w:t>inspection</w:t>
      </w:r>
      <w:r>
        <w:rPr>
          <w:spacing w:val="-24"/>
        </w:rPr>
        <w:t> </w:t>
      </w:r>
      <w:r>
        <w:rPr/>
        <w:t>during</w:t>
      </w:r>
      <w:r>
        <w:rPr>
          <w:spacing w:val="-25"/>
        </w:rPr>
        <w:t> </w:t>
      </w:r>
      <w:r>
        <w:rPr/>
        <w:t>the</w:t>
      </w:r>
      <w:r>
        <w:rPr>
          <w:spacing w:val="-26"/>
        </w:rPr>
        <w:t> </w:t>
      </w:r>
      <w:r>
        <w:rPr/>
        <w:t>site</w:t>
      </w:r>
      <w:r>
        <w:rPr>
          <w:spacing w:val="-24"/>
        </w:rPr>
        <w:t> </w:t>
      </w:r>
      <w:r>
        <w:rPr/>
        <w:t>visit, it</w:t>
      </w:r>
      <w:r>
        <w:rPr>
          <w:spacing w:val="-13"/>
        </w:rPr>
        <w:t> </w:t>
      </w:r>
      <w:r>
        <w:rPr/>
        <w:t>is</w:t>
      </w:r>
      <w:r>
        <w:rPr>
          <w:spacing w:val="-12"/>
        </w:rPr>
        <w:t> </w:t>
      </w:r>
      <w:r>
        <w:rPr/>
        <w:t>understood</w:t>
      </w:r>
      <w:r>
        <w:rPr>
          <w:spacing w:val="-12"/>
        </w:rPr>
        <w:t> </w:t>
      </w:r>
      <w:r>
        <w:rPr/>
        <w:t>that</w:t>
      </w:r>
      <w:r>
        <w:rPr>
          <w:spacing w:val="-12"/>
        </w:rPr>
        <w:t> </w:t>
      </w:r>
      <w:r>
        <w:rPr/>
        <w:t>the</w:t>
      </w:r>
      <w:r>
        <w:rPr>
          <w:spacing w:val="-16"/>
        </w:rPr>
        <w:t> </w:t>
      </w:r>
      <w:r>
        <w:rPr/>
        <w:t>subject</w:t>
      </w:r>
      <w:r>
        <w:rPr>
          <w:spacing w:val="-12"/>
        </w:rPr>
        <w:t> </w:t>
      </w:r>
      <w:r>
        <w:rPr/>
        <w:t>land</w:t>
      </w:r>
      <w:r>
        <w:rPr>
          <w:spacing w:val="-11"/>
        </w:rPr>
        <w:t> </w:t>
      </w:r>
      <w:r>
        <w:rPr/>
        <w:t>parcel</w:t>
      </w:r>
      <w:r>
        <w:rPr>
          <w:spacing w:val="-14"/>
        </w:rPr>
        <w:t> </w:t>
      </w:r>
      <w:r>
        <w:rPr/>
        <w:t>is</w:t>
      </w:r>
      <w:r>
        <w:rPr>
          <w:spacing w:val="-12"/>
        </w:rPr>
        <w:t> </w:t>
      </w:r>
      <w:r>
        <w:rPr/>
        <w:t>largely</w:t>
      </w:r>
      <w:r>
        <w:rPr>
          <w:spacing w:val="-12"/>
        </w:rPr>
        <w:t> </w:t>
      </w:r>
      <w:r>
        <w:rPr/>
        <w:t>regular</w:t>
      </w:r>
      <w:r>
        <w:rPr>
          <w:spacing w:val="-13"/>
        </w:rPr>
        <w:t> </w:t>
      </w:r>
      <w:r>
        <w:rPr/>
        <w:t>in</w:t>
      </w:r>
      <w:r>
        <w:rPr>
          <w:spacing w:val="-13"/>
        </w:rPr>
        <w:t> </w:t>
      </w:r>
      <w:r>
        <w:rPr/>
        <w:t>shape.</w:t>
      </w:r>
    </w:p>
    <w:p>
      <w:pPr>
        <w:pStyle w:val="BodyText"/>
        <w:spacing w:line="319" w:lineRule="auto" w:before="122"/>
        <w:ind w:left="2564" w:right="223" w:hanging="1865"/>
        <w:jc w:val="both"/>
      </w:pPr>
      <w:r>
        <w:rPr/>
        <w:t>Topography: Based on the site plan and as corroborated with our site visit, the site appears to be even and on the same level as abutting access roads and adjoining properties.</w:t>
      </w:r>
    </w:p>
    <w:p>
      <w:pPr>
        <w:pStyle w:val="BodyText"/>
        <w:spacing w:line="321" w:lineRule="auto" w:before="125"/>
        <w:ind w:left="2564" w:right="222" w:hanging="1865"/>
        <w:jc w:val="both"/>
      </w:pPr>
      <w:r>
        <w:rPr/>
        <w:t>Accessibility:   </w:t>
      </w:r>
      <w:r>
        <w:rPr>
          <w:spacing w:val="65"/>
        </w:rPr>
        <w:t> </w:t>
      </w:r>
      <w:r>
        <w:rPr/>
        <w:t>Based</w:t>
      </w:r>
      <w:r>
        <w:rPr>
          <w:spacing w:val="-30"/>
        </w:rPr>
        <w:t> </w:t>
      </w:r>
      <w:r>
        <w:rPr/>
        <w:t>on</w:t>
      </w:r>
      <w:r>
        <w:rPr>
          <w:spacing w:val="-31"/>
        </w:rPr>
        <w:t> </w:t>
      </w:r>
      <w:r>
        <w:rPr/>
        <w:t>site</w:t>
      </w:r>
      <w:r>
        <w:rPr>
          <w:spacing w:val="-30"/>
        </w:rPr>
        <w:t> </w:t>
      </w:r>
      <w:r>
        <w:rPr/>
        <w:t>map</w:t>
      </w:r>
      <w:r>
        <w:rPr>
          <w:spacing w:val="-32"/>
        </w:rPr>
        <w:t> </w:t>
      </w:r>
      <w:r>
        <w:rPr/>
        <w:t>provided</w:t>
      </w:r>
      <w:r>
        <w:rPr>
          <w:spacing w:val="-28"/>
        </w:rPr>
        <w:t> </w:t>
      </w:r>
      <w:r>
        <w:rPr/>
        <w:t>by</w:t>
      </w:r>
      <w:r>
        <w:rPr>
          <w:spacing w:val="-29"/>
        </w:rPr>
        <w:t> </w:t>
      </w:r>
      <w:r>
        <w:rPr/>
        <w:t>the</w:t>
      </w:r>
      <w:r>
        <w:rPr>
          <w:spacing w:val="-31"/>
        </w:rPr>
        <w:t> </w:t>
      </w:r>
      <w:r>
        <w:rPr/>
        <w:t>Client</w:t>
      </w:r>
      <w:r>
        <w:rPr>
          <w:spacing w:val="-30"/>
        </w:rPr>
        <w:t> </w:t>
      </w:r>
      <w:r>
        <w:rPr/>
        <w:t>coupled</w:t>
      </w:r>
      <w:r>
        <w:rPr>
          <w:spacing w:val="-32"/>
        </w:rPr>
        <w:t> </w:t>
      </w:r>
      <w:r>
        <w:rPr/>
        <w:t>with</w:t>
      </w:r>
      <w:r>
        <w:rPr>
          <w:spacing w:val="-31"/>
        </w:rPr>
        <w:t> </w:t>
      </w:r>
      <w:r>
        <w:rPr/>
        <w:t>visual</w:t>
      </w:r>
      <w:r>
        <w:rPr>
          <w:spacing w:val="-31"/>
        </w:rPr>
        <w:t> </w:t>
      </w:r>
      <w:r>
        <w:rPr/>
        <w:t>inspection</w:t>
      </w:r>
      <w:r>
        <w:rPr>
          <w:spacing w:val="-31"/>
        </w:rPr>
        <w:t> </w:t>
      </w:r>
      <w:r>
        <w:rPr/>
        <w:t>undertaken, it</w:t>
      </w:r>
      <w:r>
        <w:rPr>
          <w:spacing w:val="-22"/>
        </w:rPr>
        <w:t> </w:t>
      </w:r>
      <w:r>
        <w:rPr/>
        <w:t>was</w:t>
      </w:r>
      <w:r>
        <w:rPr>
          <w:spacing w:val="-23"/>
        </w:rPr>
        <w:t> </w:t>
      </w:r>
      <w:r>
        <w:rPr/>
        <w:t>observed</w:t>
      </w:r>
      <w:r>
        <w:rPr>
          <w:spacing w:val="-21"/>
        </w:rPr>
        <w:t> </w:t>
      </w:r>
      <w:r>
        <w:rPr/>
        <w:t>that</w:t>
      </w:r>
      <w:r>
        <w:rPr>
          <w:spacing w:val="-23"/>
        </w:rPr>
        <w:t> </w:t>
      </w:r>
      <w:r>
        <w:rPr/>
        <w:t>the</w:t>
      </w:r>
      <w:r>
        <w:rPr>
          <w:spacing w:val="-23"/>
        </w:rPr>
        <w:t> </w:t>
      </w:r>
      <w:r>
        <w:rPr/>
        <w:t>primary</w:t>
      </w:r>
      <w:r>
        <w:rPr>
          <w:spacing w:val="-21"/>
        </w:rPr>
        <w:t> </w:t>
      </w:r>
      <w:r>
        <w:rPr/>
        <w:t>access</w:t>
      </w:r>
      <w:r>
        <w:rPr>
          <w:spacing w:val="-21"/>
        </w:rPr>
        <w:t> </w:t>
      </w:r>
      <w:r>
        <w:rPr/>
        <w:t>to</w:t>
      </w:r>
      <w:r>
        <w:rPr>
          <w:spacing w:val="-22"/>
        </w:rPr>
        <w:t> </w:t>
      </w:r>
      <w:r>
        <w:rPr/>
        <w:t>the</w:t>
      </w:r>
      <w:r>
        <w:rPr>
          <w:spacing w:val="-23"/>
        </w:rPr>
        <w:t> </w:t>
      </w:r>
      <w:r>
        <w:rPr/>
        <w:t>subject</w:t>
      </w:r>
      <w:r>
        <w:rPr>
          <w:spacing w:val="-22"/>
        </w:rPr>
        <w:t> </w:t>
      </w:r>
      <w:r>
        <w:rPr/>
        <w:t>property</w:t>
      </w:r>
      <w:r>
        <w:rPr>
          <w:spacing w:val="-21"/>
        </w:rPr>
        <w:t> </w:t>
      </w:r>
      <w:r>
        <w:rPr/>
        <w:t>is</w:t>
      </w:r>
      <w:r>
        <w:rPr>
          <w:spacing w:val="-23"/>
        </w:rPr>
        <w:t> </w:t>
      </w:r>
      <w:r>
        <w:rPr/>
        <w:t>by</w:t>
      </w:r>
      <w:r>
        <w:rPr>
          <w:spacing w:val="-22"/>
        </w:rPr>
        <w:t> </w:t>
      </w:r>
      <w:r>
        <w:rPr/>
        <w:t>an</w:t>
      </w:r>
      <w:r>
        <w:rPr>
          <w:spacing w:val="-22"/>
        </w:rPr>
        <w:t> </w:t>
      </w:r>
      <w:r>
        <w:rPr/>
        <w:t>approx.</w:t>
      </w:r>
      <w:r>
        <w:rPr>
          <w:spacing w:val="-22"/>
        </w:rPr>
        <w:t> </w:t>
      </w:r>
      <w:r>
        <w:rPr/>
        <w:t>45 m wide sector road (emanating from Noida </w:t>
      </w:r>
      <w:r>
        <w:rPr>
          <w:w w:val="105"/>
        </w:rPr>
        <w:t>– </w:t>
      </w:r>
      <w:r>
        <w:rPr/>
        <w:t>Greater Noida Expressway) located towards</w:t>
      </w:r>
      <w:r>
        <w:rPr>
          <w:spacing w:val="-37"/>
        </w:rPr>
        <w:t> </w:t>
      </w:r>
      <w:r>
        <w:rPr/>
        <w:t>the</w:t>
      </w:r>
      <w:r>
        <w:rPr>
          <w:spacing w:val="-38"/>
        </w:rPr>
        <w:t> </w:t>
      </w:r>
      <w:r>
        <w:rPr/>
        <w:t>west</w:t>
      </w:r>
      <w:r>
        <w:rPr>
          <w:spacing w:val="-37"/>
        </w:rPr>
        <w:t> </w:t>
      </w:r>
      <w:r>
        <w:rPr/>
        <w:t>of</w:t>
      </w:r>
      <w:r>
        <w:rPr>
          <w:spacing w:val="-37"/>
        </w:rPr>
        <w:t> </w:t>
      </w:r>
      <w:r>
        <w:rPr/>
        <w:t>the</w:t>
      </w:r>
      <w:r>
        <w:rPr>
          <w:spacing w:val="-37"/>
        </w:rPr>
        <w:t> </w:t>
      </w:r>
      <w:r>
        <w:rPr/>
        <w:t>subject</w:t>
      </w:r>
      <w:r>
        <w:rPr>
          <w:spacing w:val="-37"/>
        </w:rPr>
        <w:t> </w:t>
      </w:r>
      <w:r>
        <w:rPr/>
        <w:t>property.</w:t>
      </w:r>
      <w:r>
        <w:rPr>
          <w:spacing w:val="-38"/>
        </w:rPr>
        <w:t> </w:t>
      </w:r>
      <w:r>
        <w:rPr/>
        <w:t>In</w:t>
      </w:r>
      <w:r>
        <w:rPr>
          <w:spacing w:val="-37"/>
        </w:rPr>
        <w:t> </w:t>
      </w:r>
      <w:r>
        <w:rPr/>
        <w:t>addition,</w:t>
      </w:r>
      <w:r>
        <w:rPr>
          <w:spacing w:val="-37"/>
        </w:rPr>
        <w:t> </w:t>
      </w:r>
      <w:r>
        <w:rPr/>
        <w:t>the</w:t>
      </w:r>
      <w:r>
        <w:rPr>
          <w:spacing w:val="-38"/>
        </w:rPr>
        <w:t> </w:t>
      </w:r>
      <w:r>
        <w:rPr/>
        <w:t>property</w:t>
      </w:r>
      <w:r>
        <w:rPr>
          <w:spacing w:val="-36"/>
        </w:rPr>
        <w:t> </w:t>
      </w:r>
      <w:r>
        <w:rPr/>
        <w:t>is</w:t>
      </w:r>
      <w:r>
        <w:rPr>
          <w:spacing w:val="-37"/>
        </w:rPr>
        <w:t> </w:t>
      </w:r>
      <w:r>
        <w:rPr/>
        <w:t>also</w:t>
      </w:r>
      <w:r>
        <w:rPr>
          <w:spacing w:val="-37"/>
        </w:rPr>
        <w:t> </w:t>
      </w:r>
      <w:r>
        <w:rPr/>
        <w:t>accessible by</w:t>
      </w:r>
      <w:r>
        <w:rPr>
          <w:spacing w:val="-29"/>
        </w:rPr>
        <w:t> </w:t>
      </w:r>
      <w:r>
        <w:rPr/>
        <w:t>an</w:t>
      </w:r>
      <w:r>
        <w:rPr>
          <w:spacing w:val="-30"/>
        </w:rPr>
        <w:t> </w:t>
      </w:r>
      <w:r>
        <w:rPr/>
        <w:t>internal</w:t>
      </w:r>
      <w:r>
        <w:rPr>
          <w:spacing w:val="-30"/>
        </w:rPr>
        <w:t> </w:t>
      </w:r>
      <w:r>
        <w:rPr/>
        <w:t>sector</w:t>
      </w:r>
      <w:r>
        <w:rPr>
          <w:spacing w:val="-31"/>
        </w:rPr>
        <w:t> </w:t>
      </w:r>
      <w:r>
        <w:rPr/>
        <w:t>road</w:t>
      </w:r>
      <w:r>
        <w:rPr>
          <w:spacing w:val="-27"/>
        </w:rPr>
        <w:t> </w:t>
      </w:r>
      <w:r>
        <w:rPr/>
        <w:t>of</w:t>
      </w:r>
      <w:r>
        <w:rPr>
          <w:spacing w:val="-29"/>
        </w:rPr>
        <w:t> </w:t>
      </w:r>
      <w:r>
        <w:rPr/>
        <w:t>Sector</w:t>
      </w:r>
      <w:r>
        <w:rPr>
          <w:spacing w:val="-30"/>
        </w:rPr>
        <w:t> </w:t>
      </w:r>
      <w:r>
        <w:rPr/>
        <w:t>144,</w:t>
      </w:r>
      <w:r>
        <w:rPr>
          <w:spacing w:val="-30"/>
        </w:rPr>
        <w:t> </w:t>
      </w:r>
      <w:r>
        <w:rPr/>
        <w:t>which</w:t>
      </w:r>
      <w:r>
        <w:rPr>
          <w:spacing w:val="-28"/>
        </w:rPr>
        <w:t> </w:t>
      </w:r>
      <w:r>
        <w:rPr/>
        <w:t>is</w:t>
      </w:r>
      <w:r>
        <w:rPr>
          <w:spacing w:val="-29"/>
        </w:rPr>
        <w:t> </w:t>
      </w:r>
      <w:r>
        <w:rPr/>
        <w:t>an</w:t>
      </w:r>
      <w:r>
        <w:rPr>
          <w:spacing w:val="-29"/>
        </w:rPr>
        <w:t> </w:t>
      </w:r>
      <w:r>
        <w:rPr/>
        <w:t>approx.</w:t>
      </w:r>
      <w:r>
        <w:rPr>
          <w:spacing w:val="-29"/>
        </w:rPr>
        <w:t> </w:t>
      </w:r>
      <w:r>
        <w:rPr/>
        <w:t>24</w:t>
      </w:r>
      <w:r>
        <w:rPr>
          <w:spacing w:val="-30"/>
        </w:rPr>
        <w:t> </w:t>
      </w:r>
      <w:r>
        <w:rPr/>
        <w:t>m</w:t>
      </w:r>
      <w:r>
        <w:rPr>
          <w:spacing w:val="-30"/>
        </w:rPr>
        <w:t> </w:t>
      </w:r>
      <w:r>
        <w:rPr/>
        <w:t>wide</w:t>
      </w:r>
      <w:r>
        <w:rPr>
          <w:spacing w:val="-30"/>
        </w:rPr>
        <w:t> </w:t>
      </w:r>
      <w:r>
        <w:rPr/>
        <w:t>road</w:t>
      </w:r>
      <w:r>
        <w:rPr>
          <w:spacing w:val="-29"/>
        </w:rPr>
        <w:t> </w:t>
      </w:r>
      <w:r>
        <w:rPr/>
        <w:t>located towards</w:t>
      </w:r>
      <w:r>
        <w:rPr>
          <w:spacing w:val="-22"/>
        </w:rPr>
        <w:t> </w:t>
      </w:r>
      <w:r>
        <w:rPr/>
        <w:t>the</w:t>
      </w:r>
      <w:r>
        <w:rPr>
          <w:spacing w:val="-22"/>
        </w:rPr>
        <w:t> </w:t>
      </w:r>
      <w:r>
        <w:rPr/>
        <w:t>south</w:t>
      </w:r>
      <w:r>
        <w:rPr>
          <w:spacing w:val="-22"/>
        </w:rPr>
        <w:t> </w:t>
      </w:r>
      <w:r>
        <w:rPr/>
        <w:t>of</w:t>
      </w:r>
      <w:r>
        <w:rPr>
          <w:spacing w:val="-21"/>
        </w:rPr>
        <w:t> </w:t>
      </w:r>
      <w:r>
        <w:rPr/>
        <w:t>the</w:t>
      </w:r>
      <w:r>
        <w:rPr>
          <w:spacing w:val="-23"/>
        </w:rPr>
        <w:t> </w:t>
      </w:r>
      <w:r>
        <w:rPr/>
        <w:t>subject</w:t>
      </w:r>
      <w:r>
        <w:rPr>
          <w:spacing w:val="-22"/>
        </w:rPr>
        <w:t> </w:t>
      </w:r>
      <w:r>
        <w:rPr/>
        <w:t>property.</w:t>
      </w:r>
      <w:r>
        <w:rPr>
          <w:spacing w:val="-21"/>
        </w:rPr>
        <w:t> </w:t>
      </w:r>
      <w:r>
        <w:rPr/>
        <w:t>The</w:t>
      </w:r>
      <w:r>
        <w:rPr>
          <w:spacing w:val="-24"/>
        </w:rPr>
        <w:t> </w:t>
      </w:r>
      <w:r>
        <w:rPr/>
        <w:t>subject</w:t>
      </w:r>
      <w:r>
        <w:rPr>
          <w:spacing w:val="-21"/>
        </w:rPr>
        <w:t> </w:t>
      </w:r>
      <w:r>
        <w:rPr/>
        <w:t>property</w:t>
      </w:r>
      <w:r>
        <w:rPr>
          <w:spacing w:val="-22"/>
        </w:rPr>
        <w:t> </w:t>
      </w:r>
      <w:r>
        <w:rPr/>
        <w:t>enjoys</w:t>
      </w:r>
      <w:r>
        <w:rPr>
          <w:spacing w:val="-22"/>
        </w:rPr>
        <w:t> </w:t>
      </w:r>
      <w:r>
        <w:rPr/>
        <w:t>significant frontage along both the access</w:t>
      </w:r>
      <w:r>
        <w:rPr>
          <w:spacing w:val="-17"/>
        </w:rPr>
        <w:t> </w:t>
      </w:r>
      <w:r>
        <w:rPr/>
        <w:t>roads.</w:t>
      </w:r>
    </w:p>
    <w:p>
      <w:pPr>
        <w:pStyle w:val="BodyText"/>
        <w:tabs>
          <w:tab w:pos="2564" w:val="left" w:leader="none"/>
        </w:tabs>
        <w:spacing w:line="321" w:lineRule="auto" w:before="124"/>
        <w:ind w:left="2564" w:right="222" w:hanging="1880"/>
        <w:jc w:val="both"/>
      </w:pPr>
      <w:r>
        <w:rPr/>
        <w:t>Frontage:</w:t>
        <w:tab/>
        <w:t>Based</w:t>
      </w:r>
      <w:r>
        <w:rPr>
          <w:spacing w:val="-19"/>
        </w:rPr>
        <w:t> </w:t>
      </w:r>
      <w:r>
        <w:rPr/>
        <w:t>on</w:t>
      </w:r>
      <w:r>
        <w:rPr>
          <w:spacing w:val="-20"/>
        </w:rPr>
        <w:t> </w:t>
      </w:r>
      <w:r>
        <w:rPr/>
        <w:t>review</w:t>
      </w:r>
      <w:r>
        <w:rPr>
          <w:spacing w:val="-19"/>
        </w:rPr>
        <w:t> </w:t>
      </w:r>
      <w:r>
        <w:rPr/>
        <w:t>of</w:t>
      </w:r>
      <w:r>
        <w:rPr>
          <w:spacing w:val="-20"/>
        </w:rPr>
        <w:t> </w:t>
      </w:r>
      <w:r>
        <w:rPr/>
        <w:t>site</w:t>
      </w:r>
      <w:r>
        <w:rPr>
          <w:spacing w:val="-21"/>
        </w:rPr>
        <w:t> </w:t>
      </w:r>
      <w:r>
        <w:rPr/>
        <w:t>plan,</w:t>
      </w:r>
      <w:r>
        <w:rPr>
          <w:spacing w:val="-18"/>
        </w:rPr>
        <w:t> </w:t>
      </w:r>
      <w:r>
        <w:rPr/>
        <w:t>visual</w:t>
      </w:r>
      <w:r>
        <w:rPr>
          <w:spacing w:val="-19"/>
        </w:rPr>
        <w:t> </w:t>
      </w:r>
      <w:r>
        <w:rPr/>
        <w:t>inspection</w:t>
      </w:r>
      <w:r>
        <w:rPr>
          <w:spacing w:val="-20"/>
        </w:rPr>
        <w:t> </w:t>
      </w:r>
      <w:r>
        <w:rPr/>
        <w:t>and</w:t>
      </w:r>
      <w:r>
        <w:rPr>
          <w:spacing w:val="-19"/>
        </w:rPr>
        <w:t> </w:t>
      </w:r>
      <w:r>
        <w:rPr/>
        <w:t>measurements</w:t>
      </w:r>
      <w:r>
        <w:rPr>
          <w:spacing w:val="-19"/>
        </w:rPr>
        <w:t> </w:t>
      </w:r>
      <w:r>
        <w:rPr/>
        <w:t>made</w:t>
      </w:r>
      <w:r>
        <w:rPr>
          <w:spacing w:val="-20"/>
        </w:rPr>
        <w:t> </w:t>
      </w:r>
      <w:r>
        <w:rPr/>
        <w:t>on</w:t>
      </w:r>
      <w:r>
        <w:rPr>
          <w:spacing w:val="-19"/>
        </w:rPr>
        <w:t> </w:t>
      </w:r>
      <w:r>
        <w:rPr/>
        <w:t>Google maps, we understand that the subject site has a frontage of approximately 280 meters along the primary access road (viz. approx. 45 m wide sector road) and approximately</w:t>
      </w:r>
      <w:r>
        <w:rPr>
          <w:spacing w:val="-8"/>
        </w:rPr>
        <w:t> </w:t>
      </w:r>
      <w:r>
        <w:rPr/>
        <w:t>350</w:t>
      </w:r>
      <w:r>
        <w:rPr>
          <w:spacing w:val="-7"/>
        </w:rPr>
        <w:t> </w:t>
      </w:r>
      <w:r>
        <w:rPr/>
        <w:t>meters</w:t>
      </w:r>
      <w:r>
        <w:rPr>
          <w:spacing w:val="-7"/>
        </w:rPr>
        <w:t> </w:t>
      </w:r>
      <w:r>
        <w:rPr/>
        <w:t>along</w:t>
      </w:r>
      <w:r>
        <w:rPr>
          <w:spacing w:val="-8"/>
        </w:rPr>
        <w:t> </w:t>
      </w:r>
      <w:r>
        <w:rPr/>
        <w:t>the</w:t>
      </w:r>
      <w:r>
        <w:rPr>
          <w:spacing w:val="-8"/>
        </w:rPr>
        <w:t> </w:t>
      </w:r>
      <w:r>
        <w:rPr/>
        <w:t>24</w:t>
      </w:r>
      <w:r>
        <w:rPr>
          <w:spacing w:val="-8"/>
        </w:rPr>
        <w:t> </w:t>
      </w:r>
      <w:r>
        <w:rPr/>
        <w:t>m</w:t>
      </w:r>
      <w:r>
        <w:rPr>
          <w:spacing w:val="-8"/>
        </w:rPr>
        <w:t> </w:t>
      </w:r>
      <w:r>
        <w:rPr/>
        <w:t>wide</w:t>
      </w:r>
      <w:r>
        <w:rPr>
          <w:spacing w:val="-8"/>
        </w:rPr>
        <w:t> </w:t>
      </w:r>
      <w:r>
        <w:rPr/>
        <w:t>internal</w:t>
      </w:r>
      <w:r>
        <w:rPr>
          <w:spacing w:val="-9"/>
        </w:rPr>
        <w:t> </w:t>
      </w:r>
      <w:r>
        <w:rPr/>
        <w:t>sector</w:t>
      </w:r>
      <w:r>
        <w:rPr>
          <w:spacing w:val="-9"/>
        </w:rPr>
        <w:t> </w:t>
      </w:r>
      <w:r>
        <w:rPr/>
        <w:t>road.</w:t>
      </w:r>
    </w:p>
    <w:p>
      <w:pPr>
        <w:pStyle w:val="BodyText"/>
        <w:spacing w:before="124"/>
        <w:ind w:left="2564"/>
        <w:jc w:val="both"/>
      </w:pPr>
      <w:r>
        <w:rPr/>
        <w:t>Please refer Exhibit &amp; Addenda for the site plan of the subject property.</w:t>
      </w:r>
    </w:p>
    <w:p>
      <w:pPr>
        <w:pStyle w:val="BodyText"/>
        <w:rPr>
          <w:sz w:val="26"/>
        </w:rPr>
      </w:pPr>
    </w:p>
    <w:p>
      <w:pPr>
        <w:pStyle w:val="BodyText"/>
        <w:rPr>
          <w:sz w:val="33"/>
        </w:rPr>
      </w:pPr>
    </w:p>
    <w:p>
      <w:pPr>
        <w:pStyle w:val="ListParagraph"/>
        <w:numPr>
          <w:ilvl w:val="2"/>
          <w:numId w:val="14"/>
        </w:numPr>
        <w:tabs>
          <w:tab w:pos="861" w:val="left" w:leader="none"/>
        </w:tabs>
        <w:spacing w:line="240" w:lineRule="auto" w:before="0" w:after="0"/>
        <w:ind w:left="860" w:right="0" w:hanging="721"/>
        <w:jc w:val="left"/>
        <w:rPr>
          <w:sz w:val="22"/>
        </w:rPr>
      </w:pPr>
      <w:bookmarkStart w:name="_bookmark243" w:id="474"/>
      <w:bookmarkEnd w:id="474"/>
      <w:r>
        <w:rPr/>
      </w:r>
      <w:bookmarkStart w:name="_bookmark243" w:id="475"/>
      <w:bookmarkEnd w:id="475"/>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8"/>
        <w:ind w:left="706" w:right="116"/>
        <w:jc w:val="both"/>
      </w:pPr>
      <w:r>
        <w:rPr/>
        <w:t>As per the title due diligence undertaken by M/s. Cyril Amarchand Mangaldas and lease deed</w:t>
      </w:r>
      <w:r>
        <w:rPr>
          <w:spacing w:val="-36"/>
        </w:rPr>
        <w:t> </w:t>
      </w:r>
      <w:r>
        <w:rPr/>
        <w:t>(dated September</w:t>
      </w:r>
      <w:r>
        <w:rPr>
          <w:spacing w:val="-44"/>
        </w:rPr>
        <w:t> </w:t>
      </w:r>
      <w:r>
        <w:rPr/>
        <w:t>21,</w:t>
      </w:r>
      <w:r>
        <w:rPr>
          <w:spacing w:val="-44"/>
        </w:rPr>
        <w:t> </w:t>
      </w:r>
      <w:r>
        <w:rPr/>
        <w:t>2007)</w:t>
      </w:r>
      <w:r>
        <w:rPr>
          <w:spacing w:val="-44"/>
        </w:rPr>
        <w:t> </w:t>
      </w:r>
      <w:r>
        <w:rPr/>
        <w:t>provided</w:t>
      </w:r>
      <w:r>
        <w:rPr>
          <w:spacing w:val="-43"/>
        </w:rPr>
        <w:t> </w:t>
      </w:r>
      <w:r>
        <w:rPr/>
        <w:t>by</w:t>
      </w:r>
      <w:r>
        <w:rPr>
          <w:spacing w:val="-43"/>
        </w:rPr>
        <w:t> </w:t>
      </w:r>
      <w:r>
        <w:rPr/>
        <w:t>the</w:t>
      </w:r>
      <w:r>
        <w:rPr>
          <w:spacing w:val="-43"/>
        </w:rPr>
        <w:t> </w:t>
      </w:r>
      <w:r>
        <w:rPr/>
        <w:t>Client,</w:t>
      </w:r>
      <w:r>
        <w:rPr>
          <w:spacing w:val="-44"/>
        </w:rPr>
        <w:t> </w:t>
      </w:r>
      <w:r>
        <w:rPr/>
        <w:t>we</w:t>
      </w:r>
      <w:r>
        <w:rPr>
          <w:spacing w:val="-44"/>
        </w:rPr>
        <w:t> </w:t>
      </w:r>
      <w:r>
        <w:rPr/>
        <w:t>understand</w:t>
      </w:r>
      <w:r>
        <w:rPr>
          <w:spacing w:val="-44"/>
        </w:rPr>
        <w:t> </w:t>
      </w:r>
      <w:r>
        <w:rPr/>
        <w:t>that</w:t>
      </w:r>
      <w:r>
        <w:rPr>
          <w:spacing w:val="-43"/>
        </w:rPr>
        <w:t> </w:t>
      </w:r>
      <w:r>
        <w:rPr/>
        <w:t>the</w:t>
      </w:r>
      <w:r>
        <w:rPr>
          <w:spacing w:val="-44"/>
        </w:rPr>
        <w:t> </w:t>
      </w:r>
      <w:r>
        <w:rPr/>
        <w:t>exact</w:t>
      </w:r>
      <w:r>
        <w:rPr>
          <w:spacing w:val="-44"/>
        </w:rPr>
        <w:t> </w:t>
      </w:r>
      <w:r>
        <w:rPr/>
        <w:t>address</w:t>
      </w:r>
      <w:r>
        <w:rPr>
          <w:spacing w:val="-43"/>
        </w:rPr>
        <w:t> </w:t>
      </w:r>
      <w:r>
        <w:rPr/>
        <w:t>of</w:t>
      </w:r>
      <w:r>
        <w:rPr>
          <w:spacing w:val="-43"/>
        </w:rPr>
        <w:t> </w:t>
      </w:r>
      <w:r>
        <w:rPr/>
        <w:t>the</w:t>
      </w:r>
      <w:r>
        <w:rPr>
          <w:spacing w:val="-44"/>
        </w:rPr>
        <w:t> </w:t>
      </w:r>
      <w:r>
        <w:rPr/>
        <w:t>subject</w:t>
      </w:r>
      <w:r>
        <w:rPr>
          <w:spacing w:val="-44"/>
        </w:rPr>
        <w:t> </w:t>
      </w:r>
      <w:r>
        <w:rPr/>
        <w:t>property is</w:t>
      </w:r>
      <w:r>
        <w:rPr>
          <w:spacing w:val="-34"/>
        </w:rPr>
        <w:t> </w:t>
      </w:r>
      <w:r>
        <w:rPr/>
        <w:t>Plot</w:t>
      </w:r>
      <w:r>
        <w:rPr>
          <w:spacing w:val="-34"/>
        </w:rPr>
        <w:t> </w:t>
      </w:r>
      <w:r>
        <w:rPr/>
        <w:t>No.</w:t>
      </w:r>
      <w:r>
        <w:rPr>
          <w:spacing w:val="-34"/>
        </w:rPr>
        <w:t> </w:t>
      </w:r>
      <w:r>
        <w:rPr>
          <w:w w:val="105"/>
        </w:rPr>
        <w:t>–</w:t>
      </w:r>
      <w:r>
        <w:rPr>
          <w:spacing w:val="-38"/>
          <w:w w:val="105"/>
        </w:rPr>
        <w:t> </w:t>
      </w:r>
      <w:r>
        <w:rPr/>
        <w:t>07,</w:t>
      </w:r>
      <w:r>
        <w:rPr>
          <w:spacing w:val="-34"/>
        </w:rPr>
        <w:t> </w:t>
      </w:r>
      <w:r>
        <w:rPr/>
        <w:t>Sector</w:t>
      </w:r>
      <w:r>
        <w:rPr>
          <w:spacing w:val="-34"/>
        </w:rPr>
        <w:t> </w:t>
      </w:r>
      <w:r>
        <w:rPr/>
        <w:t>144,</w:t>
      </w:r>
      <w:r>
        <w:rPr>
          <w:spacing w:val="-34"/>
        </w:rPr>
        <w:t> </w:t>
      </w:r>
      <w:r>
        <w:rPr/>
        <w:t>Noida,</w:t>
      </w:r>
      <w:r>
        <w:rPr>
          <w:spacing w:val="-35"/>
        </w:rPr>
        <w:t> </w:t>
      </w:r>
      <w:r>
        <w:rPr/>
        <w:t>Uttar</w:t>
      </w:r>
      <w:r>
        <w:rPr>
          <w:spacing w:val="-34"/>
        </w:rPr>
        <w:t> </w:t>
      </w:r>
      <w:r>
        <w:rPr/>
        <w:t>Pradesh.</w:t>
      </w:r>
      <w:r>
        <w:rPr>
          <w:spacing w:val="-33"/>
        </w:rPr>
        <w:t> </w:t>
      </w:r>
      <w:r>
        <w:rPr/>
        <w:t>Additionally,</w:t>
      </w:r>
      <w:r>
        <w:rPr>
          <w:spacing w:val="-34"/>
        </w:rPr>
        <w:t> </w:t>
      </w:r>
      <w:r>
        <w:rPr/>
        <w:t>it</w:t>
      </w:r>
      <w:r>
        <w:rPr>
          <w:spacing w:val="-34"/>
        </w:rPr>
        <w:t> </w:t>
      </w:r>
      <w:r>
        <w:rPr/>
        <w:t>is</w:t>
      </w:r>
      <w:r>
        <w:rPr>
          <w:spacing w:val="-33"/>
        </w:rPr>
        <w:t> </w:t>
      </w:r>
      <w:r>
        <w:rPr/>
        <w:t>understood</w:t>
      </w:r>
      <w:r>
        <w:rPr>
          <w:spacing w:val="-33"/>
        </w:rPr>
        <w:t> </w:t>
      </w:r>
      <w:r>
        <w:rPr/>
        <w:t>that</w:t>
      </w:r>
      <w:r>
        <w:rPr>
          <w:spacing w:val="-33"/>
        </w:rPr>
        <w:t> </w:t>
      </w:r>
      <w:r>
        <w:rPr/>
        <w:t>the</w:t>
      </w:r>
      <w:r>
        <w:rPr>
          <w:spacing w:val="-35"/>
        </w:rPr>
        <w:t> </w:t>
      </w:r>
      <w:r>
        <w:rPr/>
        <w:t>subject</w:t>
      </w:r>
      <w:r>
        <w:rPr>
          <w:spacing w:val="-35"/>
        </w:rPr>
        <w:t> </w:t>
      </w:r>
      <w:r>
        <w:rPr/>
        <w:t>property is</w:t>
      </w:r>
      <w:r>
        <w:rPr>
          <w:spacing w:val="-5"/>
        </w:rPr>
        <w:t> </w:t>
      </w:r>
      <w:r>
        <w:rPr/>
        <w:t>leasehold</w:t>
      </w:r>
      <w:r>
        <w:rPr>
          <w:spacing w:val="-6"/>
        </w:rPr>
        <w:t> </w:t>
      </w:r>
      <w:r>
        <w:rPr/>
        <w:t>in</w:t>
      </w:r>
      <w:r>
        <w:rPr>
          <w:spacing w:val="-7"/>
        </w:rPr>
        <w:t> </w:t>
      </w:r>
      <w:r>
        <w:rPr/>
        <w:t>nature,</w:t>
      </w:r>
      <w:r>
        <w:rPr>
          <w:spacing w:val="-6"/>
        </w:rPr>
        <w:t> </w:t>
      </w:r>
      <w:r>
        <w:rPr/>
        <w:t>with</w:t>
      </w:r>
      <w:r>
        <w:rPr>
          <w:spacing w:val="-6"/>
        </w:rPr>
        <w:t> </w:t>
      </w:r>
      <w:r>
        <w:rPr/>
        <w:t>remaining</w:t>
      </w:r>
      <w:r>
        <w:rPr>
          <w:spacing w:val="-5"/>
        </w:rPr>
        <w:t> </w:t>
      </w:r>
      <w:r>
        <w:rPr/>
        <w:t>lease</w:t>
      </w:r>
      <w:r>
        <w:rPr>
          <w:spacing w:val="-6"/>
        </w:rPr>
        <w:t> </w:t>
      </w:r>
      <w:r>
        <w:rPr/>
        <w:t>term</w:t>
      </w:r>
      <w:r>
        <w:rPr>
          <w:spacing w:val="-6"/>
        </w:rPr>
        <w:t> </w:t>
      </w:r>
      <w:r>
        <w:rPr/>
        <w:t>of</w:t>
      </w:r>
      <w:r>
        <w:rPr>
          <w:spacing w:val="-4"/>
        </w:rPr>
        <w:t> </w:t>
      </w:r>
      <w:r>
        <w:rPr/>
        <w:t>approx.</w:t>
      </w:r>
      <w:r>
        <w:rPr>
          <w:spacing w:val="-6"/>
        </w:rPr>
        <w:t> </w:t>
      </w:r>
      <w:r>
        <w:rPr/>
        <w:t>77</w:t>
      </w:r>
      <w:r>
        <w:rPr>
          <w:spacing w:val="-9"/>
        </w:rPr>
        <w:t> </w:t>
      </w:r>
      <w:r>
        <w:rPr/>
        <w:t>years.</w:t>
      </w:r>
    </w:p>
    <w:p>
      <w:pPr>
        <w:pStyle w:val="BodyText"/>
        <w:rPr>
          <w:sz w:val="21"/>
        </w:rPr>
      </w:pPr>
    </w:p>
    <w:p>
      <w:pPr>
        <w:pStyle w:val="BodyText"/>
        <w:spacing w:line="321" w:lineRule="auto"/>
        <w:ind w:left="706" w:right="117"/>
        <w:jc w:val="both"/>
      </w:pPr>
      <w:r>
        <w:rPr/>
        <w:t>Further,</w:t>
      </w:r>
      <w:r>
        <w:rPr>
          <w:spacing w:val="-26"/>
        </w:rPr>
        <w:t> </w:t>
      </w:r>
      <w:r>
        <w:rPr/>
        <w:t>this</w:t>
      </w:r>
      <w:r>
        <w:rPr>
          <w:spacing w:val="-25"/>
        </w:rPr>
        <w:t> </w:t>
      </w:r>
      <w:r>
        <w:rPr/>
        <w:t>valuation</w:t>
      </w:r>
      <w:r>
        <w:rPr>
          <w:spacing w:val="-26"/>
        </w:rPr>
        <w:t> </w:t>
      </w:r>
      <w:r>
        <w:rPr/>
        <w:t>exercise</w:t>
      </w:r>
      <w:r>
        <w:rPr>
          <w:spacing w:val="-26"/>
        </w:rPr>
        <w:t> </w:t>
      </w:r>
      <w:r>
        <w:rPr/>
        <w:t>is</w:t>
      </w:r>
      <w:r>
        <w:rPr>
          <w:spacing w:val="-26"/>
        </w:rPr>
        <w:t> </w:t>
      </w:r>
      <w:r>
        <w:rPr/>
        <w:t>based</w:t>
      </w:r>
      <w:r>
        <w:rPr>
          <w:spacing w:val="-25"/>
        </w:rPr>
        <w:t> </w:t>
      </w:r>
      <w:r>
        <w:rPr/>
        <w:t>on</w:t>
      </w:r>
      <w:r>
        <w:rPr>
          <w:spacing w:val="-27"/>
        </w:rPr>
        <w:t> </w:t>
      </w:r>
      <w:r>
        <w:rPr/>
        <w:t>the</w:t>
      </w:r>
      <w:r>
        <w:rPr>
          <w:spacing w:val="-27"/>
        </w:rPr>
        <w:t> </w:t>
      </w:r>
      <w:r>
        <w:rPr/>
        <w:t>premise</w:t>
      </w:r>
      <w:r>
        <w:rPr>
          <w:spacing w:val="-27"/>
        </w:rPr>
        <w:t> </w:t>
      </w:r>
      <w:r>
        <w:rPr/>
        <w:t>that</w:t>
      </w:r>
      <w:r>
        <w:rPr>
          <w:spacing w:val="-25"/>
        </w:rPr>
        <w:t> </w:t>
      </w:r>
      <w:r>
        <w:rPr/>
        <w:t>the</w:t>
      </w:r>
      <w:r>
        <w:rPr>
          <w:spacing w:val="-27"/>
        </w:rPr>
        <w:t> </w:t>
      </w:r>
      <w:r>
        <w:rPr/>
        <w:t>subject</w:t>
      </w:r>
      <w:r>
        <w:rPr>
          <w:spacing w:val="-27"/>
        </w:rPr>
        <w:t> </w:t>
      </w:r>
      <w:r>
        <w:rPr/>
        <w:t>property</w:t>
      </w:r>
      <w:r>
        <w:rPr>
          <w:spacing w:val="-25"/>
        </w:rPr>
        <w:t> </w:t>
      </w:r>
      <w:r>
        <w:rPr/>
        <w:t>has</w:t>
      </w:r>
      <w:r>
        <w:rPr>
          <w:spacing w:val="-25"/>
        </w:rPr>
        <w:t> </w:t>
      </w:r>
      <w:r>
        <w:rPr/>
        <w:t>a</w:t>
      </w:r>
      <w:r>
        <w:rPr>
          <w:spacing w:val="-27"/>
        </w:rPr>
        <w:t> </w:t>
      </w:r>
      <w:r>
        <w:rPr/>
        <w:t>clear</w:t>
      </w:r>
      <w:r>
        <w:rPr>
          <w:spacing w:val="-26"/>
        </w:rPr>
        <w:t> </w:t>
      </w:r>
      <w:r>
        <w:rPr/>
        <w:t>title</w:t>
      </w:r>
      <w:r>
        <w:rPr>
          <w:spacing w:val="-27"/>
        </w:rPr>
        <w:t> </w:t>
      </w:r>
      <w:r>
        <w:rPr/>
        <w:t>and</w:t>
      </w:r>
      <w:r>
        <w:rPr>
          <w:spacing w:val="-25"/>
        </w:rPr>
        <w:t> </w:t>
      </w:r>
      <w:r>
        <w:rPr/>
        <w:t>is free</w:t>
      </w:r>
      <w:r>
        <w:rPr>
          <w:spacing w:val="-28"/>
        </w:rPr>
        <w:t> </w:t>
      </w:r>
      <w:r>
        <w:rPr/>
        <w:t>from</w:t>
      </w:r>
      <w:r>
        <w:rPr>
          <w:spacing w:val="-26"/>
        </w:rPr>
        <w:t> </w:t>
      </w:r>
      <w:r>
        <w:rPr/>
        <w:t>any</w:t>
      </w:r>
      <w:r>
        <w:rPr>
          <w:spacing w:val="-28"/>
        </w:rPr>
        <w:t> </w:t>
      </w:r>
      <w:r>
        <w:rPr/>
        <w:t>encumbrances,</w:t>
      </w:r>
      <w:r>
        <w:rPr>
          <w:spacing w:val="-27"/>
        </w:rPr>
        <w:t> </w:t>
      </w:r>
      <w:r>
        <w:rPr/>
        <w:t>disputes,</w:t>
      </w:r>
      <w:r>
        <w:rPr>
          <w:spacing w:val="-26"/>
        </w:rPr>
        <w:t> </w:t>
      </w:r>
      <w:r>
        <w:rPr/>
        <w:t>claims,</w:t>
      </w:r>
      <w:r>
        <w:rPr>
          <w:spacing w:val="-27"/>
        </w:rPr>
        <w:t> </w:t>
      </w:r>
      <w:r>
        <w:rPr/>
        <w:t>etc.</w:t>
      </w:r>
      <w:r>
        <w:rPr>
          <w:spacing w:val="-24"/>
        </w:rPr>
        <w:t> </w:t>
      </w:r>
      <w:r>
        <w:rPr/>
        <w:t>The</w:t>
      </w:r>
      <w:r>
        <w:rPr>
          <w:spacing w:val="-27"/>
        </w:rPr>
        <w:t> </w:t>
      </w:r>
      <w:r>
        <w:rPr/>
        <w:t>Consultants</w:t>
      </w:r>
      <w:r>
        <w:rPr>
          <w:spacing w:val="-24"/>
        </w:rPr>
        <w:t> </w:t>
      </w:r>
      <w:r>
        <w:rPr/>
        <w:t>have</w:t>
      </w:r>
      <w:r>
        <w:rPr>
          <w:spacing w:val="-28"/>
        </w:rPr>
        <w:t> </w:t>
      </w:r>
      <w:r>
        <w:rPr/>
        <w:t>not</w:t>
      </w:r>
      <w:r>
        <w:rPr>
          <w:spacing w:val="-26"/>
        </w:rPr>
        <w:t> </w:t>
      </w:r>
      <w:r>
        <w:rPr/>
        <w:t>made</w:t>
      </w:r>
      <w:r>
        <w:rPr>
          <w:spacing w:val="-28"/>
        </w:rPr>
        <w:t> </w:t>
      </w:r>
      <w:r>
        <w:rPr/>
        <w:t>any</w:t>
      </w:r>
      <w:r>
        <w:rPr>
          <w:spacing w:val="-26"/>
        </w:rPr>
        <w:t> </w:t>
      </w:r>
      <w:r>
        <w:rPr/>
        <w:t>inquiries</w:t>
      </w:r>
      <w:r>
        <w:rPr>
          <w:spacing w:val="-26"/>
        </w:rPr>
        <w:t> </w:t>
      </w:r>
      <w:r>
        <w:rPr/>
        <w:t>in</w:t>
      </w:r>
      <w:r>
        <w:rPr>
          <w:spacing w:val="-28"/>
        </w:rPr>
        <w:t> </w:t>
      </w:r>
      <w:r>
        <w:rPr/>
        <w:t>this regard with the relevant legal/ statutory</w:t>
      </w:r>
      <w:r>
        <w:rPr>
          <w:spacing w:val="-37"/>
        </w:rPr>
        <w:t> </w:t>
      </w:r>
      <w:r>
        <w:rPr/>
        <w:t>authorities.</w:t>
      </w:r>
    </w:p>
    <w:p>
      <w:pPr>
        <w:pStyle w:val="BodyText"/>
        <w:spacing w:before="8"/>
        <w:rPr>
          <w:sz w:val="20"/>
        </w:rPr>
      </w:pPr>
    </w:p>
    <w:p>
      <w:pPr>
        <w:pStyle w:val="ListParagraph"/>
        <w:numPr>
          <w:ilvl w:val="2"/>
          <w:numId w:val="14"/>
        </w:numPr>
        <w:tabs>
          <w:tab w:pos="861" w:val="left" w:leader="none"/>
        </w:tabs>
        <w:spacing w:line="240" w:lineRule="auto" w:before="1" w:after="0"/>
        <w:ind w:left="860" w:right="0" w:hanging="721"/>
        <w:jc w:val="left"/>
        <w:rPr>
          <w:sz w:val="22"/>
        </w:rPr>
      </w:pPr>
      <w:bookmarkStart w:name="_bookmark244" w:id="476"/>
      <w:bookmarkEnd w:id="476"/>
      <w:r>
        <w:rPr/>
      </w:r>
      <w:bookmarkStart w:name="_bookmark244" w:id="477"/>
      <w:bookmarkEnd w:id="477"/>
      <w:r>
        <w:rPr>
          <w:color w:val="1F664D"/>
          <w:w w:val="105"/>
          <w:sz w:val="22"/>
        </w:rPr>
        <w:t>Town</w:t>
      </w:r>
      <w:r>
        <w:rPr>
          <w:color w:val="1F664D"/>
          <w:spacing w:val="-4"/>
          <w:w w:val="105"/>
          <w:sz w:val="22"/>
        </w:rPr>
        <w:t> </w:t>
      </w:r>
      <w:r>
        <w:rPr>
          <w:color w:val="1F664D"/>
          <w:w w:val="105"/>
          <w:sz w:val="22"/>
        </w:rPr>
        <w:t>Planning</w:t>
      </w:r>
    </w:p>
    <w:p>
      <w:pPr>
        <w:pStyle w:val="BodyText"/>
        <w:tabs>
          <w:tab w:pos="2571" w:val="left" w:leader="none"/>
        </w:tabs>
        <w:spacing w:line="321" w:lineRule="auto" w:before="207"/>
        <w:ind w:left="2571" w:right="140" w:hanging="1872"/>
        <w:jc w:val="both"/>
      </w:pPr>
      <w:r>
        <w:rPr>
          <w:position w:val="12"/>
        </w:rPr>
        <w:t>Zoning:</w:t>
        <w:tab/>
      </w:r>
      <w:r>
        <w:rPr/>
        <w:t>As per the Occupancy Certificates/ Lease Deed provided by the Client, we understand</w:t>
      </w:r>
      <w:r>
        <w:rPr>
          <w:spacing w:val="-27"/>
        </w:rPr>
        <w:t> </w:t>
      </w:r>
      <w:r>
        <w:rPr/>
        <w:t>that</w:t>
      </w:r>
      <w:r>
        <w:rPr>
          <w:spacing w:val="-27"/>
        </w:rPr>
        <w:t> </w:t>
      </w:r>
      <w:r>
        <w:rPr/>
        <w:t>the</w:t>
      </w:r>
      <w:r>
        <w:rPr>
          <w:spacing w:val="-26"/>
        </w:rPr>
        <w:t> </w:t>
      </w:r>
      <w:r>
        <w:rPr/>
        <w:t>subject</w:t>
      </w:r>
      <w:r>
        <w:rPr>
          <w:spacing w:val="-25"/>
        </w:rPr>
        <w:t> </w:t>
      </w:r>
      <w:r>
        <w:rPr/>
        <w:t>property</w:t>
      </w:r>
      <w:r>
        <w:rPr>
          <w:spacing w:val="-25"/>
        </w:rPr>
        <w:t> </w:t>
      </w:r>
      <w:r>
        <w:rPr/>
        <w:t>is</w:t>
      </w:r>
      <w:r>
        <w:rPr>
          <w:spacing w:val="-25"/>
        </w:rPr>
        <w:t> </w:t>
      </w:r>
      <w:r>
        <w:rPr/>
        <w:t>zoned</w:t>
      </w:r>
      <w:r>
        <w:rPr>
          <w:spacing w:val="-26"/>
        </w:rPr>
        <w:t> </w:t>
      </w:r>
      <w:r>
        <w:rPr/>
        <w:t>for</w:t>
      </w:r>
      <w:r>
        <w:rPr>
          <w:spacing w:val="-26"/>
        </w:rPr>
        <w:t> </w:t>
      </w:r>
      <w:r>
        <w:rPr/>
        <w:t>Institutional</w:t>
      </w:r>
      <w:r>
        <w:rPr>
          <w:spacing w:val="-26"/>
        </w:rPr>
        <w:t> </w:t>
      </w:r>
      <w:r>
        <w:rPr/>
        <w:t>Use</w:t>
      </w:r>
      <w:r>
        <w:rPr>
          <w:spacing w:val="-27"/>
        </w:rPr>
        <w:t> </w:t>
      </w:r>
      <w:r>
        <w:rPr/>
        <w:t>(with</w:t>
      </w:r>
      <w:r>
        <w:rPr>
          <w:spacing w:val="-27"/>
        </w:rPr>
        <w:t> </w:t>
      </w:r>
      <w:r>
        <w:rPr/>
        <w:t>permission for IT/ ITeS SEZ development). It is located within the jurisdiction of New Okhla Industrial Development Authority (NOIDA). The same has been considered for</w:t>
      </w:r>
      <w:r>
        <w:rPr>
          <w:spacing w:val="-47"/>
        </w:rPr>
        <w:t> </w:t>
      </w:r>
      <w:r>
        <w:rPr/>
        <w:t>the purpose</w:t>
      </w:r>
      <w:r>
        <w:rPr>
          <w:spacing w:val="-17"/>
        </w:rPr>
        <w:t> </w:t>
      </w:r>
      <w:r>
        <w:rPr/>
        <w:t>of</w:t>
      </w:r>
      <w:r>
        <w:rPr>
          <w:spacing w:val="-17"/>
        </w:rPr>
        <w:t> </w:t>
      </w:r>
      <w:r>
        <w:rPr/>
        <w:t>this</w:t>
      </w:r>
      <w:r>
        <w:rPr>
          <w:spacing w:val="-14"/>
        </w:rPr>
        <w:t> </w:t>
      </w:r>
      <w:r>
        <w:rPr/>
        <w:t>valuation.</w:t>
      </w:r>
      <w:r>
        <w:rPr>
          <w:spacing w:val="-16"/>
        </w:rPr>
        <w:t> </w:t>
      </w:r>
      <w:r>
        <w:rPr/>
        <w:t>The</w:t>
      </w:r>
      <w:r>
        <w:rPr>
          <w:spacing w:val="-18"/>
        </w:rPr>
        <w:t> </w:t>
      </w:r>
      <w:r>
        <w:rPr/>
        <w:t>Consultants</w:t>
      </w:r>
      <w:r>
        <w:rPr>
          <w:spacing w:val="-14"/>
        </w:rPr>
        <w:t> </w:t>
      </w:r>
      <w:r>
        <w:rPr/>
        <w:t>have</w:t>
      </w:r>
      <w:r>
        <w:rPr>
          <w:spacing w:val="-17"/>
        </w:rPr>
        <w:t> </w:t>
      </w:r>
      <w:r>
        <w:rPr/>
        <w:t>made</w:t>
      </w:r>
      <w:r>
        <w:rPr>
          <w:spacing w:val="-17"/>
        </w:rPr>
        <w:t> </w:t>
      </w:r>
      <w:r>
        <w:rPr/>
        <w:t>no</w:t>
      </w:r>
      <w:r>
        <w:rPr>
          <w:spacing w:val="-17"/>
        </w:rPr>
        <w:t> </w:t>
      </w:r>
      <w:r>
        <w:rPr/>
        <w:t>further</w:t>
      </w:r>
      <w:r>
        <w:rPr>
          <w:spacing w:val="-17"/>
        </w:rPr>
        <w:t> </w:t>
      </w:r>
      <w:r>
        <w:rPr/>
        <w:t>inquiries</w:t>
      </w:r>
      <w:r>
        <w:rPr>
          <w:spacing w:val="-15"/>
        </w:rPr>
        <w:t> </w:t>
      </w:r>
      <w:r>
        <w:rPr/>
        <w:t>with</w:t>
      </w:r>
      <w:r>
        <w:rPr>
          <w:spacing w:val="-17"/>
        </w:rPr>
        <w:t> </w:t>
      </w:r>
      <w:r>
        <w:rPr/>
        <w:t>the local authorities in this</w:t>
      </w:r>
      <w:r>
        <w:rPr>
          <w:spacing w:val="-16"/>
        </w:rPr>
        <w:t> </w:t>
      </w:r>
      <w:r>
        <w:rPr/>
        <w:t>regard.</w:t>
      </w:r>
    </w:p>
    <w:p>
      <w:pPr>
        <w:pStyle w:val="BodyText"/>
        <w:spacing w:line="324" w:lineRule="auto" w:before="123"/>
        <w:ind w:left="2571" w:right="142"/>
        <w:jc w:val="both"/>
      </w:pPr>
      <w:r>
        <w:rPr/>
        <w:t>The</w:t>
      </w:r>
      <w:r>
        <w:rPr>
          <w:spacing w:val="-8"/>
        </w:rPr>
        <w:t> </w:t>
      </w:r>
      <w:r>
        <w:rPr/>
        <w:t>permissible</w:t>
      </w:r>
      <w:r>
        <w:rPr>
          <w:spacing w:val="-7"/>
        </w:rPr>
        <w:t> </w:t>
      </w:r>
      <w:r>
        <w:rPr/>
        <w:t>land</w:t>
      </w:r>
      <w:r>
        <w:rPr>
          <w:spacing w:val="-6"/>
        </w:rPr>
        <w:t> </w:t>
      </w:r>
      <w:r>
        <w:rPr/>
        <w:t>use</w:t>
      </w:r>
      <w:r>
        <w:rPr>
          <w:spacing w:val="-6"/>
        </w:rPr>
        <w:t> </w:t>
      </w:r>
      <w:r>
        <w:rPr/>
        <w:t>adopted</w:t>
      </w:r>
      <w:r>
        <w:rPr>
          <w:spacing w:val="-6"/>
        </w:rPr>
        <w:t> </w:t>
      </w:r>
      <w:r>
        <w:rPr/>
        <w:t>by</w:t>
      </w:r>
      <w:r>
        <w:rPr>
          <w:spacing w:val="-4"/>
        </w:rPr>
        <w:t> </w:t>
      </w:r>
      <w:r>
        <w:rPr/>
        <w:t>the</w:t>
      </w:r>
      <w:r>
        <w:rPr>
          <w:spacing w:val="-7"/>
        </w:rPr>
        <w:t> </w:t>
      </w:r>
      <w:r>
        <w:rPr/>
        <w:t>Consultants</w:t>
      </w:r>
      <w:r>
        <w:rPr>
          <w:spacing w:val="-4"/>
        </w:rPr>
        <w:t> </w:t>
      </w:r>
      <w:r>
        <w:rPr/>
        <w:t>for</w:t>
      </w:r>
      <w:r>
        <w:rPr>
          <w:spacing w:val="-7"/>
        </w:rPr>
        <w:t> </w:t>
      </w:r>
      <w:r>
        <w:rPr/>
        <w:t>the</w:t>
      </w:r>
      <w:r>
        <w:rPr>
          <w:spacing w:val="-6"/>
        </w:rPr>
        <w:t> </w:t>
      </w:r>
      <w:r>
        <w:rPr/>
        <w:t>subject</w:t>
      </w:r>
      <w:r>
        <w:rPr>
          <w:spacing w:val="-6"/>
        </w:rPr>
        <w:t> </w:t>
      </w:r>
      <w:r>
        <w:rPr/>
        <w:t>property</w:t>
      </w:r>
      <w:r>
        <w:rPr>
          <w:spacing w:val="-5"/>
        </w:rPr>
        <w:t> </w:t>
      </w:r>
      <w:r>
        <w:rPr/>
        <w:t>has been based on review of Noida Master Plan and various documents/</w:t>
      </w:r>
      <w:r>
        <w:rPr>
          <w:spacing w:val="11"/>
        </w:rPr>
        <w:t> </w:t>
      </w:r>
      <w:r>
        <w:rPr/>
        <w:t>information</w:t>
      </w:r>
    </w:p>
    <w:p>
      <w:pPr>
        <w:spacing w:after="0" w:line="324" w:lineRule="auto"/>
        <w:jc w:val="both"/>
        <w:sectPr>
          <w:headerReference w:type="default" r:id="rId234"/>
          <w:footerReference w:type="default" r:id="rId235"/>
          <w:pgSz w:w="11910" w:h="16840"/>
          <w:pgMar w:header="720" w:footer="921" w:top="1660" w:bottom="1120" w:left="580" w:right="600"/>
          <w:pgNumType w:start="209"/>
        </w:sectPr>
      </w:pPr>
    </w:p>
    <w:p>
      <w:pPr>
        <w:pStyle w:val="BodyText"/>
        <w:spacing w:before="7"/>
        <w:rPr>
          <w:sz w:val="9"/>
        </w:rPr>
      </w:pPr>
    </w:p>
    <w:p>
      <w:pPr>
        <w:pStyle w:val="BodyText"/>
        <w:spacing w:line="321" w:lineRule="auto" w:before="106"/>
        <w:ind w:left="2571" w:right="139"/>
        <w:jc w:val="both"/>
      </w:pPr>
      <w:r>
        <w:rPr/>
        <w:t>provided by the Client. It must be noted that all factual data viz. permissible development control regulations, land area and achievable FSI have also been based</w:t>
      </w:r>
      <w:r>
        <w:rPr>
          <w:spacing w:val="-33"/>
        </w:rPr>
        <w:t> </w:t>
      </w:r>
      <w:r>
        <w:rPr/>
        <w:t>on</w:t>
      </w:r>
      <w:r>
        <w:rPr>
          <w:spacing w:val="-32"/>
        </w:rPr>
        <w:t> </w:t>
      </w:r>
      <w:r>
        <w:rPr/>
        <w:t>information/review</w:t>
      </w:r>
      <w:r>
        <w:rPr>
          <w:spacing w:val="-32"/>
        </w:rPr>
        <w:t> </w:t>
      </w:r>
      <w:r>
        <w:rPr/>
        <w:t>of</w:t>
      </w:r>
      <w:r>
        <w:rPr>
          <w:spacing w:val="-32"/>
        </w:rPr>
        <w:t> </w:t>
      </w:r>
      <w:r>
        <w:rPr/>
        <w:t>various</w:t>
      </w:r>
      <w:r>
        <w:rPr>
          <w:spacing w:val="-32"/>
        </w:rPr>
        <w:t> </w:t>
      </w:r>
      <w:r>
        <w:rPr/>
        <w:t>documents</w:t>
      </w:r>
      <w:r>
        <w:rPr>
          <w:spacing w:val="-33"/>
        </w:rPr>
        <w:t> </w:t>
      </w:r>
      <w:r>
        <w:rPr/>
        <w:t>(such</w:t>
      </w:r>
      <w:r>
        <w:rPr>
          <w:spacing w:val="-33"/>
        </w:rPr>
        <w:t> </w:t>
      </w:r>
      <w:r>
        <w:rPr/>
        <w:t>as</w:t>
      </w:r>
      <w:r>
        <w:rPr>
          <w:spacing w:val="-32"/>
        </w:rPr>
        <w:t> </w:t>
      </w:r>
      <w:r>
        <w:rPr/>
        <w:t>title</w:t>
      </w:r>
      <w:r>
        <w:rPr>
          <w:spacing w:val="-33"/>
        </w:rPr>
        <w:t> </w:t>
      </w:r>
      <w:r>
        <w:rPr/>
        <w:t>report,</w:t>
      </w:r>
      <w:r>
        <w:rPr>
          <w:spacing w:val="-32"/>
        </w:rPr>
        <w:t> </w:t>
      </w:r>
      <w:r>
        <w:rPr/>
        <w:t>lease</w:t>
      </w:r>
      <w:r>
        <w:rPr>
          <w:spacing w:val="-33"/>
        </w:rPr>
        <w:t> </w:t>
      </w:r>
      <w:r>
        <w:rPr/>
        <w:t>deed, plan sanction letter, site plan, etc.) provided by the Client or assumed based on building regulations, and no physical verification/ measurement has been undertaken</w:t>
      </w:r>
      <w:r>
        <w:rPr>
          <w:spacing w:val="-8"/>
        </w:rPr>
        <w:t> </w:t>
      </w:r>
      <w:r>
        <w:rPr/>
        <w:t>for</w:t>
      </w:r>
      <w:r>
        <w:rPr>
          <w:spacing w:val="-8"/>
        </w:rPr>
        <w:t> </w:t>
      </w:r>
      <w:r>
        <w:rPr/>
        <w:t>the</w:t>
      </w:r>
      <w:r>
        <w:rPr>
          <w:spacing w:val="-7"/>
        </w:rPr>
        <w:t> </w:t>
      </w:r>
      <w:r>
        <w:rPr/>
        <w:t>purpose</w:t>
      </w:r>
      <w:r>
        <w:rPr>
          <w:spacing w:val="-8"/>
        </w:rPr>
        <w:t> </w:t>
      </w:r>
      <w:r>
        <w:rPr/>
        <w:t>of</w:t>
      </w:r>
      <w:r>
        <w:rPr>
          <w:spacing w:val="-6"/>
        </w:rPr>
        <w:t> </w:t>
      </w:r>
      <w:r>
        <w:rPr/>
        <w:t>this</w:t>
      </w:r>
      <w:r>
        <w:rPr>
          <w:spacing w:val="-6"/>
        </w:rPr>
        <w:t> </w:t>
      </w:r>
      <w:r>
        <w:rPr/>
        <w:t>valuation</w:t>
      </w:r>
      <w:r>
        <w:rPr>
          <w:spacing w:val="-8"/>
        </w:rPr>
        <w:t> </w:t>
      </w:r>
      <w:r>
        <w:rPr/>
        <w:t>exercise.</w:t>
      </w:r>
    </w:p>
    <w:p>
      <w:pPr>
        <w:pStyle w:val="BodyText"/>
        <w:spacing w:line="321" w:lineRule="auto" w:before="123"/>
        <w:ind w:left="2571" w:right="142"/>
        <w:jc w:val="both"/>
      </w:pPr>
      <w:r>
        <w:rPr/>
        <w:t>For</w:t>
      </w:r>
      <w:r>
        <w:rPr>
          <w:spacing w:val="-21"/>
        </w:rPr>
        <w:t> </w:t>
      </w:r>
      <w:r>
        <w:rPr/>
        <w:t>the</w:t>
      </w:r>
      <w:r>
        <w:rPr>
          <w:spacing w:val="-21"/>
        </w:rPr>
        <w:t> </w:t>
      </w:r>
      <w:r>
        <w:rPr/>
        <w:t>purpose</w:t>
      </w:r>
      <w:r>
        <w:rPr>
          <w:spacing w:val="-21"/>
        </w:rPr>
        <w:t> </w:t>
      </w:r>
      <w:r>
        <w:rPr/>
        <w:t>of</w:t>
      </w:r>
      <w:r>
        <w:rPr>
          <w:spacing w:val="-21"/>
        </w:rPr>
        <w:t> </w:t>
      </w:r>
      <w:r>
        <w:rPr/>
        <w:t>this</w:t>
      </w:r>
      <w:r>
        <w:rPr>
          <w:spacing w:val="-20"/>
        </w:rPr>
        <w:t> </w:t>
      </w:r>
      <w:r>
        <w:rPr/>
        <w:t>exercise,</w:t>
      </w:r>
      <w:r>
        <w:rPr>
          <w:spacing w:val="-20"/>
        </w:rPr>
        <w:t> </w:t>
      </w:r>
      <w:r>
        <w:rPr/>
        <w:t>it</w:t>
      </w:r>
      <w:r>
        <w:rPr>
          <w:spacing w:val="-20"/>
        </w:rPr>
        <w:t> </w:t>
      </w:r>
      <w:r>
        <w:rPr/>
        <w:t>has</w:t>
      </w:r>
      <w:r>
        <w:rPr>
          <w:spacing w:val="-20"/>
        </w:rPr>
        <w:t> </w:t>
      </w:r>
      <w:r>
        <w:rPr/>
        <w:t>been</w:t>
      </w:r>
      <w:r>
        <w:rPr>
          <w:spacing w:val="-21"/>
        </w:rPr>
        <w:t> </w:t>
      </w:r>
      <w:r>
        <w:rPr/>
        <w:t>assumed</w:t>
      </w:r>
      <w:r>
        <w:rPr>
          <w:spacing w:val="-20"/>
        </w:rPr>
        <w:t> </w:t>
      </w:r>
      <w:r>
        <w:rPr/>
        <w:t>that</w:t>
      </w:r>
      <w:r>
        <w:rPr>
          <w:spacing w:val="-19"/>
        </w:rPr>
        <w:t> </w:t>
      </w:r>
      <w:r>
        <w:rPr/>
        <w:t>all</w:t>
      </w:r>
      <w:r>
        <w:rPr>
          <w:spacing w:val="-21"/>
        </w:rPr>
        <w:t> </w:t>
      </w:r>
      <w:r>
        <w:rPr/>
        <w:t>developments</w:t>
      </w:r>
      <w:r>
        <w:rPr>
          <w:spacing w:val="-19"/>
        </w:rPr>
        <w:t> </w:t>
      </w:r>
      <w:r>
        <w:rPr/>
        <w:t>adhere to building regulations as prescribed by the relevant authorities. The</w:t>
      </w:r>
      <w:r>
        <w:rPr>
          <w:spacing w:val="-41"/>
        </w:rPr>
        <w:t> </w:t>
      </w:r>
      <w:r>
        <w:rPr/>
        <w:t>Consultants have not validated the information provided by the Client with the relevant development</w:t>
      </w:r>
      <w:r>
        <w:rPr>
          <w:spacing w:val="-4"/>
        </w:rPr>
        <w:t> </w:t>
      </w:r>
      <w:r>
        <w:rPr/>
        <w:t>authorities.</w:t>
      </w:r>
    </w:p>
    <w:p>
      <w:pPr>
        <w:pStyle w:val="BodyText"/>
        <w:spacing w:line="321" w:lineRule="auto" w:before="122"/>
        <w:ind w:left="2571" w:right="140" w:hanging="1872"/>
        <w:jc w:val="both"/>
      </w:pPr>
      <w:r>
        <w:rPr/>
        <w:t>Approved</w:t>
      </w:r>
      <w:r>
        <w:rPr>
          <w:spacing w:val="-16"/>
        </w:rPr>
        <w:t> </w:t>
      </w:r>
      <w:r>
        <w:rPr/>
        <w:t>Usage:</w:t>
      </w:r>
      <w:r>
        <w:rPr>
          <w:spacing w:val="18"/>
        </w:rPr>
        <w:t> </w:t>
      </w:r>
      <w:r>
        <w:rPr/>
        <w:t>Based</w:t>
      </w:r>
      <w:r>
        <w:rPr>
          <w:spacing w:val="-23"/>
        </w:rPr>
        <w:t> </w:t>
      </w:r>
      <w:r>
        <w:rPr/>
        <w:t>on</w:t>
      </w:r>
      <w:r>
        <w:rPr>
          <w:spacing w:val="-23"/>
        </w:rPr>
        <w:t> </w:t>
      </w:r>
      <w:r>
        <w:rPr/>
        <w:t>Occupancy</w:t>
      </w:r>
      <w:r>
        <w:rPr>
          <w:spacing w:val="-22"/>
        </w:rPr>
        <w:t> </w:t>
      </w:r>
      <w:r>
        <w:rPr/>
        <w:t>Certificates</w:t>
      </w:r>
      <w:r>
        <w:rPr>
          <w:spacing w:val="-23"/>
        </w:rPr>
        <w:t> </w:t>
      </w:r>
      <w:r>
        <w:rPr/>
        <w:t>provided</w:t>
      </w:r>
      <w:r>
        <w:rPr>
          <w:spacing w:val="-24"/>
        </w:rPr>
        <w:t> </w:t>
      </w:r>
      <w:r>
        <w:rPr/>
        <w:t>by</w:t>
      </w:r>
      <w:r>
        <w:rPr>
          <w:spacing w:val="-22"/>
        </w:rPr>
        <w:t> </w:t>
      </w:r>
      <w:r>
        <w:rPr/>
        <w:t>the</w:t>
      </w:r>
      <w:r>
        <w:rPr>
          <w:spacing w:val="-24"/>
        </w:rPr>
        <w:t> </w:t>
      </w:r>
      <w:r>
        <w:rPr/>
        <w:t>Client</w:t>
      </w:r>
      <w:r>
        <w:rPr>
          <w:spacing w:val="-22"/>
        </w:rPr>
        <w:t> </w:t>
      </w:r>
      <w:r>
        <w:rPr/>
        <w:t>and</w:t>
      </w:r>
      <w:r>
        <w:rPr>
          <w:spacing w:val="-22"/>
        </w:rPr>
        <w:t> </w:t>
      </w:r>
      <w:r>
        <w:rPr/>
        <w:t>visual</w:t>
      </w:r>
      <w:r>
        <w:rPr>
          <w:spacing w:val="-22"/>
        </w:rPr>
        <w:t> </w:t>
      </w:r>
      <w:r>
        <w:rPr/>
        <w:t>inspection</w:t>
      </w:r>
      <w:r>
        <w:rPr>
          <w:spacing w:val="-23"/>
        </w:rPr>
        <w:t> </w:t>
      </w:r>
      <w:r>
        <w:rPr/>
        <w:t>during our</w:t>
      </w:r>
      <w:r>
        <w:rPr>
          <w:spacing w:val="-39"/>
        </w:rPr>
        <w:t> </w:t>
      </w:r>
      <w:r>
        <w:rPr/>
        <w:t>site</w:t>
      </w:r>
      <w:r>
        <w:rPr>
          <w:spacing w:val="-40"/>
        </w:rPr>
        <w:t> </w:t>
      </w:r>
      <w:r>
        <w:rPr/>
        <w:t>visit,</w:t>
      </w:r>
      <w:r>
        <w:rPr>
          <w:spacing w:val="-39"/>
        </w:rPr>
        <w:t> </w:t>
      </w:r>
      <w:r>
        <w:rPr/>
        <w:t>we</w:t>
      </w:r>
      <w:r>
        <w:rPr>
          <w:spacing w:val="-38"/>
        </w:rPr>
        <w:t> </w:t>
      </w:r>
      <w:r>
        <w:rPr/>
        <w:t>understand</w:t>
      </w:r>
      <w:r>
        <w:rPr>
          <w:spacing w:val="-39"/>
        </w:rPr>
        <w:t> </w:t>
      </w:r>
      <w:r>
        <w:rPr/>
        <w:t>that</w:t>
      </w:r>
      <w:r>
        <w:rPr>
          <w:spacing w:val="-39"/>
        </w:rPr>
        <w:t> </w:t>
      </w:r>
      <w:r>
        <w:rPr/>
        <w:t>the</w:t>
      </w:r>
      <w:r>
        <w:rPr>
          <w:spacing w:val="-39"/>
        </w:rPr>
        <w:t> </w:t>
      </w:r>
      <w:r>
        <w:rPr/>
        <w:t>subject</w:t>
      </w:r>
      <w:r>
        <w:rPr>
          <w:spacing w:val="-38"/>
        </w:rPr>
        <w:t> </w:t>
      </w:r>
      <w:r>
        <w:rPr/>
        <w:t>property</w:t>
      </w:r>
      <w:r>
        <w:rPr>
          <w:spacing w:val="-38"/>
        </w:rPr>
        <w:t> </w:t>
      </w:r>
      <w:r>
        <w:rPr/>
        <w:t>is</w:t>
      </w:r>
      <w:r>
        <w:rPr>
          <w:spacing w:val="-39"/>
        </w:rPr>
        <w:t> </w:t>
      </w:r>
      <w:r>
        <w:rPr/>
        <w:t>an</w:t>
      </w:r>
      <w:r>
        <w:rPr>
          <w:spacing w:val="-39"/>
        </w:rPr>
        <w:t> </w:t>
      </w:r>
      <w:r>
        <w:rPr/>
        <w:t>office</w:t>
      </w:r>
      <w:r>
        <w:rPr>
          <w:spacing w:val="-37"/>
        </w:rPr>
        <w:t> </w:t>
      </w:r>
      <w:r>
        <w:rPr/>
        <w:t>park,</w:t>
      </w:r>
      <w:r>
        <w:rPr>
          <w:spacing w:val="-39"/>
        </w:rPr>
        <w:t> </w:t>
      </w:r>
      <w:r>
        <w:rPr/>
        <w:t>comprising</w:t>
      </w:r>
      <w:r>
        <w:rPr>
          <w:spacing w:val="-38"/>
        </w:rPr>
        <w:t> </w:t>
      </w:r>
      <w:r>
        <w:rPr/>
        <w:t>of 8</w:t>
      </w:r>
      <w:r>
        <w:rPr>
          <w:spacing w:val="-30"/>
        </w:rPr>
        <w:t> </w:t>
      </w:r>
      <w:r>
        <w:rPr/>
        <w:t>operational</w:t>
      </w:r>
      <w:r>
        <w:rPr>
          <w:spacing w:val="-29"/>
        </w:rPr>
        <w:t> </w:t>
      </w:r>
      <w:r>
        <w:rPr/>
        <w:t>office</w:t>
      </w:r>
      <w:r>
        <w:rPr>
          <w:spacing w:val="-29"/>
        </w:rPr>
        <w:t> </w:t>
      </w:r>
      <w:r>
        <w:rPr/>
        <w:t>blocks</w:t>
      </w:r>
      <w:r>
        <w:rPr>
          <w:spacing w:val="-28"/>
        </w:rPr>
        <w:t> </w:t>
      </w:r>
      <w:r>
        <w:rPr/>
        <w:t>and</w:t>
      </w:r>
      <w:r>
        <w:rPr>
          <w:spacing w:val="-29"/>
        </w:rPr>
        <w:t> </w:t>
      </w:r>
      <w:r>
        <w:rPr/>
        <w:t>a</w:t>
      </w:r>
      <w:r>
        <w:rPr>
          <w:spacing w:val="-31"/>
        </w:rPr>
        <w:t> </w:t>
      </w:r>
      <w:r>
        <w:rPr/>
        <w:t>food</w:t>
      </w:r>
      <w:r>
        <w:rPr>
          <w:spacing w:val="-28"/>
        </w:rPr>
        <w:t> </w:t>
      </w:r>
      <w:r>
        <w:rPr/>
        <w:t>court.</w:t>
      </w:r>
      <w:r>
        <w:rPr>
          <w:spacing w:val="-30"/>
        </w:rPr>
        <w:t> </w:t>
      </w:r>
      <w:r>
        <w:rPr/>
        <w:t>The</w:t>
      </w:r>
      <w:r>
        <w:rPr>
          <w:spacing w:val="-29"/>
        </w:rPr>
        <w:t> </w:t>
      </w:r>
      <w:r>
        <w:rPr/>
        <w:t>current</w:t>
      </w:r>
      <w:r>
        <w:rPr>
          <w:spacing w:val="-29"/>
        </w:rPr>
        <w:t> </w:t>
      </w:r>
      <w:r>
        <w:rPr/>
        <w:t>use</w:t>
      </w:r>
      <w:r>
        <w:rPr>
          <w:spacing w:val="-30"/>
        </w:rPr>
        <w:t> </w:t>
      </w:r>
      <w:r>
        <w:rPr/>
        <w:t>of</w:t>
      </w:r>
      <w:r>
        <w:rPr>
          <w:spacing w:val="-28"/>
        </w:rPr>
        <w:t> </w:t>
      </w:r>
      <w:r>
        <w:rPr/>
        <w:t>the</w:t>
      </w:r>
      <w:r>
        <w:rPr>
          <w:spacing w:val="-30"/>
        </w:rPr>
        <w:t> </w:t>
      </w:r>
      <w:r>
        <w:rPr/>
        <w:t>subject</w:t>
      </w:r>
      <w:r>
        <w:rPr>
          <w:spacing w:val="-30"/>
        </w:rPr>
        <w:t> </w:t>
      </w:r>
      <w:r>
        <w:rPr/>
        <w:t>property has been provided by the Client and is broadly in agreement with the rules and regulations as prescribed by the local development authority. However, the Consultants have not made any enquiries with the relevant local authorities to validate</w:t>
      </w:r>
      <w:r>
        <w:rPr>
          <w:spacing w:val="-17"/>
        </w:rPr>
        <w:t> </w:t>
      </w:r>
      <w:r>
        <w:rPr/>
        <w:t>the</w:t>
      </w:r>
      <w:r>
        <w:rPr>
          <w:spacing w:val="-16"/>
        </w:rPr>
        <w:t> </w:t>
      </w:r>
      <w:r>
        <w:rPr/>
        <w:t>same</w:t>
      </w:r>
      <w:r>
        <w:rPr>
          <w:spacing w:val="-16"/>
        </w:rPr>
        <w:t> </w:t>
      </w:r>
      <w:r>
        <w:rPr/>
        <w:t>for</w:t>
      </w:r>
      <w:r>
        <w:rPr>
          <w:spacing w:val="-17"/>
        </w:rPr>
        <w:t> </w:t>
      </w:r>
      <w:r>
        <w:rPr/>
        <w:t>its</w:t>
      </w:r>
      <w:r>
        <w:rPr>
          <w:spacing w:val="-17"/>
        </w:rPr>
        <w:t> </w:t>
      </w:r>
      <w:r>
        <w:rPr/>
        <w:t>specific</w:t>
      </w:r>
      <w:r>
        <w:rPr>
          <w:spacing w:val="-17"/>
        </w:rPr>
        <w:t> </w:t>
      </w:r>
      <w:r>
        <w:rPr/>
        <w:t>applicability</w:t>
      </w:r>
      <w:r>
        <w:rPr>
          <w:spacing w:val="-17"/>
        </w:rPr>
        <w:t> </w:t>
      </w:r>
      <w:r>
        <w:rPr/>
        <w:t>to</w:t>
      </w:r>
      <w:r>
        <w:rPr>
          <w:spacing w:val="-17"/>
        </w:rPr>
        <w:t> </w:t>
      </w:r>
      <w:r>
        <w:rPr/>
        <w:t>the</w:t>
      </w:r>
      <w:r>
        <w:rPr>
          <w:spacing w:val="-16"/>
        </w:rPr>
        <w:t> </w:t>
      </w:r>
      <w:r>
        <w:rPr/>
        <w:t>subject</w:t>
      </w:r>
      <w:r>
        <w:rPr>
          <w:spacing w:val="-16"/>
        </w:rPr>
        <w:t> </w:t>
      </w:r>
      <w:r>
        <w:rPr/>
        <w:t>property.</w:t>
      </w:r>
    </w:p>
    <w:p>
      <w:pPr>
        <w:pStyle w:val="BodyText"/>
        <w:tabs>
          <w:tab w:pos="2571" w:val="left" w:leader="none"/>
        </w:tabs>
        <w:spacing w:line="321" w:lineRule="auto" w:before="124"/>
        <w:ind w:left="2571" w:right="141" w:hanging="1872"/>
        <w:jc w:val="both"/>
      </w:pPr>
      <w:r>
        <w:rPr>
          <w:w w:val="95"/>
        </w:rPr>
        <w:t>Restrictions:</w:t>
        <w:tab/>
      </w:r>
      <w:r>
        <w:rPr/>
        <w:t>As</w:t>
      </w:r>
      <w:r>
        <w:rPr>
          <w:spacing w:val="-38"/>
        </w:rPr>
        <w:t> </w:t>
      </w:r>
      <w:r>
        <w:rPr/>
        <w:t>per</w:t>
      </w:r>
      <w:r>
        <w:rPr>
          <w:spacing w:val="-37"/>
        </w:rPr>
        <w:t> </w:t>
      </w:r>
      <w:r>
        <w:rPr/>
        <w:t>feedback</w:t>
      </w:r>
      <w:r>
        <w:rPr>
          <w:spacing w:val="-36"/>
        </w:rPr>
        <w:t> </w:t>
      </w:r>
      <w:r>
        <w:rPr/>
        <w:t>received</w:t>
      </w:r>
      <w:r>
        <w:rPr>
          <w:spacing w:val="-36"/>
        </w:rPr>
        <w:t> </w:t>
      </w:r>
      <w:r>
        <w:rPr/>
        <w:t>from</w:t>
      </w:r>
      <w:r>
        <w:rPr>
          <w:spacing w:val="-37"/>
        </w:rPr>
        <w:t> </w:t>
      </w:r>
      <w:r>
        <w:rPr/>
        <w:t>the</w:t>
      </w:r>
      <w:r>
        <w:rPr>
          <w:spacing w:val="-38"/>
        </w:rPr>
        <w:t> </w:t>
      </w:r>
      <w:r>
        <w:rPr/>
        <w:t>Client,</w:t>
      </w:r>
      <w:r>
        <w:rPr>
          <w:spacing w:val="-36"/>
        </w:rPr>
        <w:t> </w:t>
      </w:r>
      <w:r>
        <w:rPr/>
        <w:t>there</w:t>
      </w:r>
      <w:r>
        <w:rPr>
          <w:spacing w:val="-37"/>
        </w:rPr>
        <w:t> </w:t>
      </w:r>
      <w:r>
        <w:rPr/>
        <w:t>are</w:t>
      </w:r>
      <w:r>
        <w:rPr>
          <w:spacing w:val="-38"/>
        </w:rPr>
        <w:t> </w:t>
      </w:r>
      <w:r>
        <w:rPr/>
        <w:t>no</w:t>
      </w:r>
      <w:r>
        <w:rPr>
          <w:spacing w:val="-37"/>
        </w:rPr>
        <w:t> </w:t>
      </w:r>
      <w:r>
        <w:rPr/>
        <w:t>restrictions</w:t>
      </w:r>
      <w:r>
        <w:rPr>
          <w:spacing w:val="-36"/>
        </w:rPr>
        <w:t> </w:t>
      </w:r>
      <w:r>
        <w:rPr/>
        <w:t>on</w:t>
      </w:r>
      <w:r>
        <w:rPr>
          <w:spacing w:val="-37"/>
        </w:rPr>
        <w:t> </w:t>
      </w:r>
      <w:r>
        <w:rPr/>
        <w:t>the</w:t>
      </w:r>
      <w:r>
        <w:rPr>
          <w:spacing w:val="-38"/>
        </w:rPr>
        <w:t> </w:t>
      </w:r>
      <w:r>
        <w:rPr/>
        <w:t>current</w:t>
      </w:r>
      <w:r>
        <w:rPr>
          <w:spacing w:val="-34"/>
        </w:rPr>
        <w:t> </w:t>
      </w:r>
      <w:r>
        <w:rPr/>
        <w:t>use of the</w:t>
      </w:r>
      <w:r>
        <w:rPr>
          <w:spacing w:val="-7"/>
        </w:rPr>
        <w:t> </w:t>
      </w:r>
      <w:r>
        <w:rPr/>
        <w:t>property.</w:t>
      </w:r>
    </w:p>
    <w:p>
      <w:pPr>
        <w:spacing w:after="0" w:line="321" w:lineRule="auto"/>
        <w:jc w:val="both"/>
        <w:sectPr>
          <w:pgSz w:w="11910" w:h="16840"/>
          <w:pgMar w:header="720" w:footer="921" w:top="1660" w:bottom="1120" w:left="580" w:right="600"/>
        </w:sectPr>
      </w:pPr>
    </w:p>
    <w:p>
      <w:pPr>
        <w:pStyle w:val="BodyText"/>
        <w:tabs>
          <w:tab w:pos="2256" w:val="left" w:leader="none"/>
        </w:tabs>
        <w:spacing w:line="321" w:lineRule="auto" w:before="122"/>
        <w:ind w:left="699"/>
      </w:pPr>
      <w:r>
        <w:rPr/>
        <w:t>Natural</w:t>
        <w:tab/>
      </w:r>
      <w:r>
        <w:rPr>
          <w:spacing w:val="-11"/>
        </w:rPr>
        <w:t>or </w:t>
      </w:r>
      <w:r>
        <w:rPr/>
        <w:t>induced</w:t>
      </w:r>
      <w:r>
        <w:rPr>
          <w:spacing w:val="-11"/>
        </w:rPr>
        <w:t> </w:t>
      </w:r>
      <w:r>
        <w:rPr/>
        <w:t>hazards:</w:t>
      </w:r>
    </w:p>
    <w:p>
      <w:pPr>
        <w:pStyle w:val="BodyText"/>
        <w:spacing w:line="321" w:lineRule="auto" w:before="122"/>
        <w:ind w:left="72" w:right="147"/>
      </w:pPr>
      <w:r>
        <w:rPr/>
        <w:br w:type="column"/>
      </w:r>
      <w:r>
        <w:rPr/>
        <w:t>We</w:t>
      </w:r>
      <w:r>
        <w:rPr>
          <w:spacing w:val="-34"/>
        </w:rPr>
        <w:t> </w:t>
      </w:r>
      <w:r>
        <w:rPr/>
        <w:t>are</w:t>
      </w:r>
      <w:r>
        <w:rPr>
          <w:spacing w:val="-33"/>
        </w:rPr>
        <w:t> </w:t>
      </w:r>
      <w:r>
        <w:rPr/>
        <w:t>of</w:t>
      </w:r>
      <w:r>
        <w:rPr>
          <w:spacing w:val="-33"/>
        </w:rPr>
        <w:t> </w:t>
      </w:r>
      <w:r>
        <w:rPr/>
        <w:t>the</w:t>
      </w:r>
      <w:r>
        <w:rPr>
          <w:spacing w:val="-32"/>
        </w:rPr>
        <w:t> </w:t>
      </w:r>
      <w:r>
        <w:rPr/>
        <w:t>opinion</w:t>
      </w:r>
      <w:r>
        <w:rPr>
          <w:spacing w:val="-32"/>
        </w:rPr>
        <w:t> </w:t>
      </w:r>
      <w:r>
        <w:rPr/>
        <w:t>that</w:t>
      </w:r>
      <w:r>
        <w:rPr>
          <w:spacing w:val="-33"/>
        </w:rPr>
        <w:t> </w:t>
      </w:r>
      <w:r>
        <w:rPr/>
        <w:t>the</w:t>
      </w:r>
      <w:r>
        <w:rPr>
          <w:spacing w:val="-33"/>
        </w:rPr>
        <w:t> </w:t>
      </w:r>
      <w:r>
        <w:rPr/>
        <w:t>project/</w:t>
      </w:r>
      <w:r>
        <w:rPr>
          <w:spacing w:val="-34"/>
        </w:rPr>
        <w:t> </w:t>
      </w:r>
      <w:r>
        <w:rPr/>
        <w:t>site</w:t>
      </w:r>
      <w:r>
        <w:rPr>
          <w:spacing w:val="-33"/>
        </w:rPr>
        <w:t> </w:t>
      </w:r>
      <w:r>
        <w:rPr/>
        <w:t>has</w:t>
      </w:r>
      <w:r>
        <w:rPr>
          <w:spacing w:val="-32"/>
        </w:rPr>
        <w:t> </w:t>
      </w:r>
      <w:r>
        <w:rPr/>
        <w:t>been</w:t>
      </w:r>
      <w:r>
        <w:rPr>
          <w:spacing w:val="-34"/>
        </w:rPr>
        <w:t> </w:t>
      </w:r>
      <w:r>
        <w:rPr/>
        <w:t>developed</w:t>
      </w:r>
      <w:r>
        <w:rPr>
          <w:spacing w:val="-32"/>
        </w:rPr>
        <w:t> </w:t>
      </w:r>
      <w:r>
        <w:rPr/>
        <w:t>to</w:t>
      </w:r>
      <w:r>
        <w:rPr>
          <w:spacing w:val="-34"/>
        </w:rPr>
        <w:t> </w:t>
      </w:r>
      <w:r>
        <w:rPr/>
        <w:t>withstand</w:t>
      </w:r>
      <w:r>
        <w:rPr>
          <w:spacing w:val="-32"/>
        </w:rPr>
        <w:t> </w:t>
      </w:r>
      <w:r>
        <w:rPr/>
        <w:t>natural or</w:t>
      </w:r>
      <w:r>
        <w:rPr>
          <w:spacing w:val="-26"/>
        </w:rPr>
        <w:t> </w:t>
      </w:r>
      <w:r>
        <w:rPr/>
        <w:t>induced</w:t>
      </w:r>
      <w:r>
        <w:rPr>
          <w:spacing w:val="-24"/>
        </w:rPr>
        <w:t> </w:t>
      </w:r>
      <w:r>
        <w:rPr/>
        <w:t>hazards</w:t>
      </w:r>
      <w:r>
        <w:rPr>
          <w:spacing w:val="-26"/>
        </w:rPr>
        <w:t> </w:t>
      </w:r>
      <w:r>
        <w:rPr/>
        <w:t>(with</w:t>
      </w:r>
      <w:r>
        <w:rPr>
          <w:spacing w:val="-27"/>
        </w:rPr>
        <w:t> </w:t>
      </w:r>
      <w:r>
        <w:rPr/>
        <w:t>the</w:t>
      </w:r>
      <w:r>
        <w:rPr>
          <w:spacing w:val="-25"/>
        </w:rPr>
        <w:t> </w:t>
      </w:r>
      <w:r>
        <w:rPr/>
        <w:t>exception</w:t>
      </w:r>
      <w:r>
        <w:rPr>
          <w:spacing w:val="-26"/>
        </w:rPr>
        <w:t> </w:t>
      </w:r>
      <w:r>
        <w:rPr/>
        <w:t>of</w:t>
      </w:r>
      <w:r>
        <w:rPr>
          <w:spacing w:val="-24"/>
        </w:rPr>
        <w:t> </w:t>
      </w:r>
      <w:r>
        <w:rPr/>
        <w:t>extreme/</w:t>
      </w:r>
      <w:r>
        <w:rPr>
          <w:spacing w:val="-27"/>
        </w:rPr>
        <w:t> </w:t>
      </w:r>
      <w:r>
        <w:rPr/>
        <w:t>out</w:t>
      </w:r>
      <w:r>
        <w:rPr>
          <w:spacing w:val="-25"/>
        </w:rPr>
        <w:t> </w:t>
      </w:r>
      <w:r>
        <w:rPr/>
        <w:t>of</w:t>
      </w:r>
      <w:r>
        <w:rPr>
          <w:spacing w:val="-25"/>
        </w:rPr>
        <w:t> </w:t>
      </w:r>
      <w:r>
        <w:rPr/>
        <w:t>the</w:t>
      </w:r>
      <w:r>
        <w:rPr>
          <w:spacing w:val="-25"/>
        </w:rPr>
        <w:t> </w:t>
      </w:r>
      <w:r>
        <w:rPr/>
        <w:t>ordinary</w:t>
      </w:r>
      <w:r>
        <w:rPr>
          <w:spacing w:val="-25"/>
        </w:rPr>
        <w:t> </w:t>
      </w:r>
      <w:r>
        <w:rPr/>
        <w:t>hazards).</w:t>
      </w:r>
    </w:p>
    <w:p>
      <w:pPr>
        <w:spacing w:after="0" w:line="321" w:lineRule="auto"/>
        <w:sectPr>
          <w:type w:val="continuous"/>
          <w:pgSz w:w="11910" w:h="16840"/>
          <w:pgMar w:top="800" w:bottom="280" w:left="580" w:right="600"/>
          <w:cols w:num="2" w:equalWidth="0">
            <w:col w:w="2460" w:space="40"/>
            <w:col w:w="8230"/>
          </w:cols>
        </w:sectPr>
      </w:pPr>
    </w:p>
    <w:p>
      <w:pPr>
        <w:pStyle w:val="BodyText"/>
      </w:pPr>
    </w:p>
    <w:p>
      <w:pPr>
        <w:pStyle w:val="ListParagraph"/>
        <w:numPr>
          <w:ilvl w:val="2"/>
          <w:numId w:val="14"/>
        </w:numPr>
        <w:tabs>
          <w:tab w:pos="861" w:val="left" w:leader="none"/>
        </w:tabs>
        <w:spacing w:line="240" w:lineRule="auto" w:before="106" w:after="0"/>
        <w:ind w:left="860" w:right="0" w:hanging="721"/>
        <w:jc w:val="left"/>
        <w:rPr>
          <w:sz w:val="22"/>
        </w:rPr>
      </w:pPr>
      <w:bookmarkStart w:name="_bookmark245" w:id="478"/>
      <w:bookmarkEnd w:id="478"/>
      <w:r>
        <w:rPr/>
      </w:r>
      <w:bookmarkStart w:name="_bookmark245" w:id="479"/>
      <w:bookmarkEnd w:id="479"/>
      <w:r>
        <w:rPr>
          <w:color w:val="1F664D"/>
          <w:sz w:val="22"/>
        </w:rPr>
        <w:t>S</w:t>
      </w:r>
      <w:r>
        <w:rPr>
          <w:color w:val="1F664D"/>
          <w:sz w:val="22"/>
        </w:rPr>
        <w:t>tatutory Approvals, One Time Sanctions &amp; Periodic</w:t>
      </w:r>
      <w:r>
        <w:rPr>
          <w:color w:val="1F664D"/>
          <w:spacing w:val="1"/>
          <w:sz w:val="22"/>
        </w:rPr>
        <w:t> </w:t>
      </w:r>
      <w:r>
        <w:rPr>
          <w:color w:val="1F664D"/>
          <w:sz w:val="22"/>
        </w:rPr>
        <w:t>Clearances</w:t>
      </w:r>
    </w:p>
    <w:p>
      <w:pPr>
        <w:pStyle w:val="BodyText"/>
        <w:spacing w:before="208"/>
        <w:ind w:left="706"/>
      </w:pPr>
      <w:r>
        <w:rPr/>
        <w:t>Please refer section 18.3 on Statutory Approvals, One time Sanctions &amp; Periodic Clearances</w:t>
      </w:r>
    </w:p>
    <w:p>
      <w:pPr>
        <w:spacing w:after="0"/>
        <w:sectPr>
          <w:type w:val="continuous"/>
          <w:pgSz w:w="11910" w:h="16840"/>
          <w:pgMar w:top="800" w:bottom="280" w:left="580" w:right="600"/>
        </w:sectPr>
      </w:pPr>
    </w:p>
    <w:p>
      <w:pPr>
        <w:pStyle w:val="BodyText"/>
        <w:spacing w:before="7"/>
        <w:rPr>
          <w:sz w:val="9"/>
        </w:rPr>
      </w:pPr>
    </w:p>
    <w:p>
      <w:pPr>
        <w:pStyle w:val="ListParagraph"/>
        <w:numPr>
          <w:ilvl w:val="2"/>
          <w:numId w:val="14"/>
        </w:numPr>
        <w:tabs>
          <w:tab w:pos="861" w:val="left" w:leader="none"/>
        </w:tabs>
        <w:spacing w:line="240" w:lineRule="auto" w:before="106" w:after="0"/>
        <w:ind w:left="860" w:right="0" w:hanging="721"/>
        <w:jc w:val="left"/>
        <w:rPr>
          <w:sz w:val="22"/>
        </w:rPr>
      </w:pPr>
      <w:bookmarkStart w:name="_bookmark246" w:id="480"/>
      <w:bookmarkEnd w:id="480"/>
      <w:r>
        <w:rPr/>
      </w:r>
      <w:bookmarkStart w:name="_bookmark246" w:id="481"/>
      <w:bookmarkEnd w:id="481"/>
      <w:r>
        <w:rPr>
          <w:color w:val="1F664D"/>
          <w:sz w:val="22"/>
        </w:rPr>
        <w:t>Are</w:t>
      </w:r>
      <w:r>
        <w:rPr>
          <w:color w:val="1F664D"/>
          <w:sz w:val="22"/>
        </w:rPr>
        <w:t>a Details, Type and Age of Existing</w:t>
      </w:r>
      <w:r>
        <w:rPr>
          <w:color w:val="1F664D"/>
          <w:spacing w:val="-6"/>
          <w:sz w:val="22"/>
        </w:rPr>
        <w:t> </w:t>
      </w:r>
      <w:r>
        <w:rPr>
          <w:color w:val="1F664D"/>
          <w:sz w:val="22"/>
        </w:rPr>
        <w:t>Structures</w:t>
      </w:r>
    </w:p>
    <w:p>
      <w:pPr>
        <w:pStyle w:val="BodyText"/>
        <w:spacing w:before="208"/>
        <w:ind w:left="680"/>
      </w:pPr>
      <w:r>
        <w:rPr/>
        <w:pict>
          <v:shape style="position:absolute;margin-left:35.279999pt;margin-top:34.048607pt;width:524.3pt;height:50.5pt;mso-position-horizontal-relative:page;mso-position-vertical-relative:paragraph;z-index:16313344"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37"/>
                    <w:gridCol w:w="2138"/>
                    <w:gridCol w:w="2011"/>
                  </w:tblGrid>
                  <w:tr>
                    <w:trPr>
                      <w:trHeight w:val="495" w:hRule="atLeast"/>
                    </w:trPr>
                    <w:tc>
                      <w:tcPr>
                        <w:tcW w:w="6337" w:type="dxa"/>
                        <w:tcBorders>
                          <w:top w:val="single" w:sz="12" w:space="0" w:color="1F6B16"/>
                          <w:bottom w:val="single" w:sz="6" w:space="0" w:color="69BD28"/>
                        </w:tcBorders>
                        <w:shd w:val="clear" w:color="auto" w:fill="006A4D"/>
                      </w:tcPr>
                      <w:p>
                        <w:pPr>
                          <w:pStyle w:val="TableParagraph"/>
                          <w:tabs>
                            <w:tab w:pos="2825" w:val="left" w:leader="none"/>
                            <w:tab w:pos="4378" w:val="left" w:leader="none"/>
                          </w:tabs>
                          <w:spacing w:before="32"/>
                          <w:ind w:left="377"/>
                          <w:jc w:val="left"/>
                          <w:rPr>
                            <w:b/>
                            <w:sz w:val="18"/>
                          </w:rPr>
                        </w:pPr>
                        <w:r>
                          <w:rPr>
                            <w:b/>
                            <w:color w:val="FFFFFF"/>
                            <w:w w:val="110"/>
                            <w:sz w:val="18"/>
                          </w:rPr>
                          <w:t>Development Name</w:t>
                          <w:tab/>
                        </w:r>
                        <w:r>
                          <w:rPr>
                            <w:b/>
                            <w:color w:val="FFFFFF"/>
                            <w:w w:val="110"/>
                            <w:position w:val="11"/>
                            <w:sz w:val="18"/>
                          </w:rPr>
                          <w:t>Developable</w:t>
                          <w:tab/>
                        </w:r>
                        <w:r>
                          <w:rPr>
                            <w:b/>
                            <w:color w:val="FFFFFF"/>
                            <w:w w:val="110"/>
                            <w:sz w:val="18"/>
                          </w:rPr>
                          <w:t>Completed Area</w:t>
                        </w:r>
                        <w:r>
                          <w:rPr>
                            <w:b/>
                            <w:color w:val="FFFFFF"/>
                            <w:spacing w:val="-25"/>
                            <w:w w:val="110"/>
                            <w:sz w:val="18"/>
                          </w:rPr>
                          <w:t> </w:t>
                        </w:r>
                        <w:r>
                          <w:rPr>
                            <w:b/>
                            <w:color w:val="FFFFFF"/>
                            <w:w w:val="110"/>
                            <w:sz w:val="18"/>
                          </w:rPr>
                          <w:t>(sf)</w:t>
                        </w:r>
                      </w:p>
                    </w:tc>
                    <w:tc>
                      <w:tcPr>
                        <w:tcW w:w="2138" w:type="dxa"/>
                        <w:tcBorders>
                          <w:top w:val="single" w:sz="12" w:space="0" w:color="1F6B16"/>
                          <w:bottom w:val="single" w:sz="6" w:space="0" w:color="69BD28"/>
                        </w:tcBorders>
                        <w:shd w:val="clear" w:color="auto" w:fill="006A4D"/>
                      </w:tcPr>
                      <w:p>
                        <w:pPr>
                          <w:pStyle w:val="TableParagraph"/>
                          <w:spacing w:before="142"/>
                          <w:ind w:left="148" w:right="163"/>
                          <w:rPr>
                            <w:b/>
                            <w:sz w:val="18"/>
                          </w:rPr>
                        </w:pPr>
                        <w:r>
                          <w:rPr>
                            <w:b/>
                            <w:color w:val="FFFFFF"/>
                            <w:w w:val="105"/>
                            <w:sz w:val="18"/>
                          </w:rPr>
                          <w:t>Committed Area (sf)</w:t>
                        </w:r>
                      </w:p>
                    </w:tc>
                    <w:tc>
                      <w:tcPr>
                        <w:tcW w:w="2011" w:type="dxa"/>
                        <w:tcBorders>
                          <w:top w:val="single" w:sz="12" w:space="0" w:color="1F6B16"/>
                          <w:bottom w:val="single" w:sz="6" w:space="0" w:color="69BD28"/>
                        </w:tcBorders>
                        <w:shd w:val="clear" w:color="auto" w:fill="006A4D"/>
                      </w:tcPr>
                      <w:p>
                        <w:pPr>
                          <w:pStyle w:val="TableParagraph"/>
                          <w:spacing w:before="142"/>
                          <w:ind w:left="168" w:right="166"/>
                          <w:rPr>
                            <w:b/>
                            <w:sz w:val="18"/>
                          </w:rPr>
                        </w:pPr>
                        <w:r>
                          <w:rPr>
                            <w:b/>
                            <w:color w:val="FFFFFF"/>
                            <w:w w:val="105"/>
                            <w:sz w:val="18"/>
                          </w:rPr>
                          <w:t>Occupied Area (sf)</w:t>
                        </w:r>
                      </w:p>
                    </w:tc>
                  </w:tr>
                  <w:tr>
                    <w:trPr>
                      <w:trHeight w:val="253" w:hRule="atLeast"/>
                    </w:trPr>
                    <w:tc>
                      <w:tcPr>
                        <w:tcW w:w="6337" w:type="dxa"/>
                        <w:tcBorders>
                          <w:top w:val="single" w:sz="6" w:space="0" w:color="69BD28"/>
                          <w:bottom w:val="single" w:sz="6" w:space="0" w:color="69BD28"/>
                        </w:tcBorders>
                      </w:tcPr>
                      <w:p>
                        <w:pPr>
                          <w:pStyle w:val="TableParagraph"/>
                          <w:tabs>
                            <w:tab w:pos="2976" w:val="left" w:leader="none"/>
                            <w:tab w:pos="4856" w:val="left" w:leader="none"/>
                          </w:tabs>
                          <w:spacing w:before="22"/>
                          <w:ind w:left="617"/>
                          <w:jc w:val="left"/>
                          <w:rPr>
                            <w:sz w:val="18"/>
                          </w:rPr>
                        </w:pPr>
                        <w:r>
                          <w:rPr>
                            <w:w w:val="105"/>
                            <w:sz w:val="18"/>
                          </w:rPr>
                          <w:t>Embassy</w:t>
                        </w:r>
                        <w:r>
                          <w:rPr>
                            <w:spacing w:val="-19"/>
                            <w:w w:val="105"/>
                            <w:sz w:val="18"/>
                          </w:rPr>
                          <w:t> </w:t>
                        </w:r>
                        <w:r>
                          <w:rPr>
                            <w:w w:val="105"/>
                            <w:sz w:val="18"/>
                          </w:rPr>
                          <w:t>Oxygen</w:t>
                          <w:tab/>
                          <w:t>2,597,065</w:t>
                          <w:tab/>
                          <w:t>2,517,307</w:t>
                        </w:r>
                      </w:p>
                    </w:tc>
                    <w:tc>
                      <w:tcPr>
                        <w:tcW w:w="2138" w:type="dxa"/>
                        <w:tcBorders>
                          <w:top w:val="single" w:sz="6" w:space="0" w:color="69BD28"/>
                          <w:bottom w:val="single" w:sz="6" w:space="0" w:color="69BD28"/>
                        </w:tcBorders>
                      </w:tcPr>
                      <w:p>
                        <w:pPr>
                          <w:pStyle w:val="TableParagraph"/>
                          <w:spacing w:before="22"/>
                          <w:ind w:left="148" w:right="162"/>
                          <w:rPr>
                            <w:sz w:val="18"/>
                          </w:rPr>
                        </w:pPr>
                        <w:r>
                          <w:rPr>
                            <w:w w:val="105"/>
                            <w:sz w:val="18"/>
                          </w:rPr>
                          <w:t>2,114,985</w:t>
                        </w:r>
                      </w:p>
                    </w:tc>
                    <w:tc>
                      <w:tcPr>
                        <w:tcW w:w="2011" w:type="dxa"/>
                        <w:tcBorders>
                          <w:top w:val="single" w:sz="6" w:space="0" w:color="69BD28"/>
                          <w:bottom w:val="single" w:sz="6" w:space="0" w:color="69BD28"/>
                        </w:tcBorders>
                      </w:tcPr>
                      <w:p>
                        <w:pPr>
                          <w:pStyle w:val="TableParagraph"/>
                          <w:spacing w:before="22"/>
                          <w:ind w:left="167" w:right="166"/>
                          <w:rPr>
                            <w:sz w:val="18"/>
                          </w:rPr>
                        </w:pPr>
                        <w:r>
                          <w:rPr>
                            <w:w w:val="105"/>
                            <w:sz w:val="18"/>
                          </w:rPr>
                          <w:t>1,975,774</w:t>
                        </w:r>
                      </w:p>
                    </w:tc>
                  </w:tr>
                  <w:tr>
                    <w:trPr>
                      <w:trHeight w:val="214" w:hRule="atLeast"/>
                    </w:trPr>
                    <w:tc>
                      <w:tcPr>
                        <w:tcW w:w="10486" w:type="dxa"/>
                        <w:gridSpan w:val="3"/>
                      </w:tcPr>
                      <w:p>
                        <w:pPr>
                          <w:pStyle w:val="TableParagraph"/>
                          <w:spacing w:line="191" w:lineRule="exact" w:before="3"/>
                          <w:ind w:left="14"/>
                          <w:jc w:val="left"/>
                          <w:rPr>
                            <w:i/>
                            <w:sz w:val="18"/>
                          </w:rPr>
                        </w:pPr>
                        <w:r>
                          <w:rPr>
                            <w:i/>
                            <w:sz w:val="18"/>
                          </w:rPr>
                          <w:t>Source: Rent roll, Architect Certificate provided by Client; *represents achieved FSI area</w:t>
                        </w:r>
                      </w:p>
                    </w:tc>
                  </w:tr>
                </w:tbl>
                <w:p>
                  <w:pPr>
                    <w:pStyle w:val="BodyText"/>
                  </w:pPr>
                </w:p>
              </w:txbxContent>
            </v:textbox>
            <w10:wrap type="none"/>
          </v:shape>
        </w:pict>
      </w:r>
      <w:r>
        <w:rPr/>
        <w:t>The table below highlights the detailed area break-up of the subject development:</w:t>
      </w:r>
    </w:p>
    <w:p>
      <w:pPr>
        <w:pStyle w:val="BodyText"/>
        <w:rPr>
          <w:sz w:val="26"/>
        </w:rPr>
      </w:pPr>
    </w:p>
    <w:p>
      <w:pPr>
        <w:spacing w:before="181"/>
        <w:ind w:left="3093" w:right="0" w:firstLine="0"/>
        <w:jc w:val="left"/>
        <w:rPr>
          <w:b/>
          <w:sz w:val="18"/>
        </w:rPr>
      </w:pPr>
      <w:r>
        <w:rPr/>
        <w:pict>
          <v:group style="position:absolute;margin-left:36pt;margin-top:55.540699pt;width:523.6pt;height:40.6pt;mso-position-horizontal-relative:page;mso-position-vertical-relative:paragraph;z-index:-34315264" coordorigin="720,1111" coordsize="10472,812">
            <v:shape style="position:absolute;left:720;top:1142;width:10472;height:780" coordorigin="720,1142" coordsize="10472,780" path="m9033,1142l7221,1142,5409,1142,5409,1142,3594,1142,720,1142,720,1922,3594,1922,5409,1922,5409,1922,7221,1922,9033,1922,9033,1142xm11191,1142l9033,1142,9033,1922,11191,1922,11191,1142xe" filled="true" fillcolor="#006a4d" stroked="false">
              <v:path arrowok="t"/>
              <v:fill type="solid"/>
            </v:shape>
            <v:rect style="position:absolute;left:720;top:1110;width:2874;height:29" filled="true" fillcolor="#1f6b16" stroked="false">
              <v:fill type="solid"/>
            </v:rect>
            <v:shape style="position:absolute;left:720;top:1139;width:2903;height:3" coordorigin="720,1140" coordsize="2903,3" path="m3623,1140l3594,1140,720,1140,720,1142,3594,1142,3623,1142,3623,1140xe" filled="true" fillcolor="#006a4d" stroked="false">
              <v:path arrowok="t"/>
              <v:fill type="solid"/>
            </v:shape>
            <v:shape style="position:absolute;left:3593;top:1110;width:1815;height:29" coordorigin="3594,1111" coordsize="1815,29" path="m5409,1111l3623,1111,3594,1111,3594,1140,3623,1140,5409,1140,5409,1111xe" filled="true" fillcolor="#1f6b16" stroked="false">
              <v:path arrowok="t"/>
              <v:fill type="solid"/>
            </v:shape>
            <v:shape style="position:absolute;left:3622;top:1139;width:1815;height:3" coordorigin="3623,1140" coordsize="1815,3" path="m5437,1140l5409,1140,3623,1140,3623,1142,5409,1142,5437,1142,5437,1140xe" filled="true" fillcolor="#006a4d" stroked="false">
              <v:path arrowok="t"/>
              <v:fill type="solid"/>
            </v:shape>
            <v:shape style="position:absolute;left:5408;top:1110;width:1812;height:29" coordorigin="5409,1111" coordsize="1812,29" path="m7221,1111l5437,1111,5409,1111,5409,1140,5437,1140,7221,1140,7221,1111xe" filled="true" fillcolor="#1f6b16" stroked="false">
              <v:path arrowok="t"/>
              <v:fill type="solid"/>
            </v:shape>
            <v:shape style="position:absolute;left:5437;top:1139;width:1812;height:3" coordorigin="5437,1140" coordsize="1812,3" path="m7249,1140l7221,1140,5437,1140,5437,1142,7221,1142,7249,1142,7249,1140xe" filled="true" fillcolor="#006a4d" stroked="false">
              <v:path arrowok="t"/>
              <v:fill type="solid"/>
            </v:shape>
            <v:shape style="position:absolute;left:7220;top:1110;width:1813;height:29" coordorigin="7221,1111" coordsize="1813,29" path="m7249,1111l7221,1111,7221,1140,7249,1140,7249,1111xm9033,1111l7249,1111,7249,1140,9033,1140,9033,1111xe" filled="true" fillcolor="#1f6b16" stroked="false">
              <v:path arrowok="t"/>
              <v:fill type="solid"/>
            </v:shape>
            <v:shape style="position:absolute;left:7249;top:1139;width:1813;height:3" coordorigin="7249,1140" coordsize="1813,3" path="m9033,1140l7249,1140,7249,1142,9033,1142,9033,1140xm9062,1140l9033,1140,9033,1142,9062,1142,9062,1140xe" filled="true" fillcolor="#006a4d" stroked="false">
              <v:path arrowok="t"/>
              <v:fill type="solid"/>
            </v:shape>
            <v:shape style="position:absolute;left:9033;top:1110;width:2158;height:29" coordorigin="9033,1111" coordsize="2158,29" path="m11191,1111l9062,1111,9033,1111,9033,1140,9062,1140,11191,1140,11191,1111xe" filled="true" fillcolor="#1f6b16" stroked="false">
              <v:path arrowok="t"/>
              <v:fill type="solid"/>
            </v:shape>
            <v:rect style="position:absolute;left:9062;top:1139;width:2130;height:3" filled="true" fillcolor="#006a4d" stroked="false">
              <v:fill type="solid"/>
            </v:rect>
            <v:shape style="position:absolute;left:1910;top:1314;width:510;height:216" type="#_x0000_t202" filled="false" stroked="false">
              <v:textbox inset="0,0,0,0">
                <w:txbxContent>
                  <w:p>
                    <w:pPr>
                      <w:spacing w:before="4"/>
                      <w:ind w:left="0" w:right="0" w:firstLine="0"/>
                      <w:jc w:val="left"/>
                      <w:rPr>
                        <w:b/>
                        <w:sz w:val="18"/>
                      </w:rPr>
                    </w:pPr>
                    <w:r>
                      <w:rPr>
                        <w:b/>
                        <w:color w:val="FFFFFF"/>
                        <w:w w:val="110"/>
                        <w:sz w:val="18"/>
                      </w:rPr>
                      <w:t>Block</w:t>
                    </w:r>
                  </w:p>
                </w:txbxContent>
              </v:textbox>
              <w10:wrap type="none"/>
            </v:shape>
            <v:shape style="position:absolute;left:4121;top:1314;width:778;height:216" type="#_x0000_t202" filled="false" stroked="false">
              <v:textbox inset="0,0,0,0">
                <w:txbxContent>
                  <w:p>
                    <w:pPr>
                      <w:spacing w:before="4"/>
                      <w:ind w:left="0" w:right="0" w:firstLine="0"/>
                      <w:jc w:val="left"/>
                      <w:rPr>
                        <w:b/>
                        <w:sz w:val="18"/>
                      </w:rPr>
                    </w:pPr>
                    <w:r>
                      <w:rPr>
                        <w:b/>
                        <w:color w:val="FFFFFF"/>
                        <w:w w:val="110"/>
                        <w:sz w:val="18"/>
                      </w:rPr>
                      <w:t>Building</w:t>
                    </w:r>
                  </w:p>
                </w:txbxContent>
              </v:textbox>
              <w10:wrap type="none"/>
            </v:shape>
            <v:shape style="position:absolute;left:5711;top:1422;width:1227;height:216" type="#_x0000_t202" filled="false" stroked="false">
              <v:textbox inset="0,0,0,0">
                <w:txbxContent>
                  <w:p>
                    <w:pPr>
                      <w:spacing w:before="4"/>
                      <w:ind w:left="0" w:right="0" w:firstLine="0"/>
                      <w:jc w:val="left"/>
                      <w:rPr>
                        <w:b/>
                        <w:sz w:val="18"/>
                      </w:rPr>
                    </w:pPr>
                    <w:r>
                      <w:rPr>
                        <w:b/>
                        <w:color w:val="FFFFFF"/>
                        <w:w w:val="115"/>
                        <w:sz w:val="18"/>
                      </w:rPr>
                      <w:t>SEZ/Non-SEZ</w:t>
                    </w:r>
                  </w:p>
                </w:txbxContent>
              </v:textbox>
              <w10:wrap type="none"/>
            </v:shape>
            <v:shape style="position:absolute;left:7948;top:1314;width:380;height:216" type="#_x0000_t202" filled="false" stroked="false">
              <v:textbox inset="0,0,0,0">
                <w:txbxContent>
                  <w:p>
                    <w:pPr>
                      <w:spacing w:before="4"/>
                      <w:ind w:left="0" w:right="0" w:firstLine="0"/>
                      <w:jc w:val="left"/>
                      <w:rPr>
                        <w:b/>
                        <w:sz w:val="18"/>
                      </w:rPr>
                    </w:pPr>
                    <w:r>
                      <w:rPr>
                        <w:b/>
                        <w:color w:val="FFFFFF"/>
                        <w:w w:val="115"/>
                        <w:sz w:val="18"/>
                      </w:rPr>
                      <w:t>Age</w:t>
                    </w:r>
                  </w:p>
                </w:txbxContent>
              </v:textbox>
              <w10:wrap type="none"/>
            </v:shape>
            <v:shape style="position:absolute;left:9285;top:1422;width:1669;height:216" type="#_x0000_t202" filled="false" stroked="false">
              <v:textbox inset="0,0,0,0">
                <w:txbxContent>
                  <w:p>
                    <w:pPr>
                      <w:spacing w:before="4"/>
                      <w:ind w:left="0" w:right="0" w:firstLine="0"/>
                      <w:jc w:val="left"/>
                      <w:rPr>
                        <w:b/>
                        <w:sz w:val="18"/>
                      </w:rPr>
                    </w:pPr>
                    <w:r>
                      <w:rPr>
                        <w:b/>
                        <w:color w:val="FFFFFF"/>
                        <w:w w:val="110"/>
                        <w:sz w:val="18"/>
                      </w:rPr>
                      <w:t>Leasable Area (sf)</w:t>
                    </w:r>
                  </w:p>
                </w:txbxContent>
              </v:textbox>
              <w10:wrap type="none"/>
            </v:shape>
            <w10:wrap type="none"/>
          </v:group>
        </w:pict>
      </w:r>
      <w:r>
        <w:rPr>
          <w:b/>
          <w:color w:val="FFFFFF"/>
          <w:w w:val="110"/>
          <w:sz w:val="18"/>
        </w:rPr>
        <w:t>Area (sf)*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
        <w:rPr>
          <w:b/>
          <w:sz w:val="18"/>
        </w:rPr>
      </w:pPr>
    </w:p>
    <w:tbl>
      <w:tblPr>
        <w:tblW w:w="0" w:type="auto"/>
        <w:jc w:val="left"/>
        <w:tblInd w:w="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96"/>
        <w:gridCol w:w="2265"/>
        <w:gridCol w:w="1468"/>
        <w:gridCol w:w="1933"/>
        <w:gridCol w:w="2126"/>
      </w:tblGrid>
      <w:tr>
        <w:trPr>
          <w:trHeight w:val="398" w:hRule="atLeast"/>
        </w:trPr>
        <w:tc>
          <w:tcPr>
            <w:tcW w:w="2696" w:type="dxa"/>
            <w:tcBorders>
              <w:bottom w:val="single" w:sz="6" w:space="0" w:color="69BD28"/>
            </w:tcBorders>
            <w:shd w:val="clear" w:color="auto" w:fill="006A4D"/>
          </w:tcPr>
          <w:p>
            <w:pPr>
              <w:pStyle w:val="TableParagraph"/>
              <w:spacing w:before="4"/>
              <w:ind w:left="608" w:right="402"/>
              <w:rPr>
                <w:b/>
                <w:sz w:val="18"/>
              </w:rPr>
            </w:pPr>
            <w:r>
              <w:rPr>
                <w:b/>
                <w:color w:val="FFFFFF"/>
                <w:w w:val="115"/>
                <w:sz w:val="18"/>
              </w:rPr>
              <w:t>Name</w:t>
            </w:r>
          </w:p>
        </w:tc>
        <w:tc>
          <w:tcPr>
            <w:tcW w:w="2265" w:type="dxa"/>
            <w:tcBorders>
              <w:bottom w:val="single" w:sz="6" w:space="0" w:color="69BD28"/>
            </w:tcBorders>
            <w:shd w:val="clear" w:color="auto" w:fill="006A4D"/>
          </w:tcPr>
          <w:p>
            <w:pPr>
              <w:pStyle w:val="TableParagraph"/>
              <w:spacing w:before="4"/>
              <w:ind w:left="679"/>
              <w:jc w:val="left"/>
              <w:rPr>
                <w:b/>
                <w:sz w:val="18"/>
              </w:rPr>
            </w:pPr>
            <w:r>
              <w:rPr>
                <w:b/>
                <w:color w:val="FFFFFF"/>
                <w:w w:val="105"/>
                <w:sz w:val="18"/>
              </w:rPr>
              <w:t>Elevation</w:t>
            </w:r>
          </w:p>
        </w:tc>
        <w:tc>
          <w:tcPr>
            <w:tcW w:w="1468" w:type="dxa"/>
            <w:tcBorders>
              <w:bottom w:val="single" w:sz="6" w:space="0" w:color="69BD28"/>
            </w:tcBorders>
            <w:shd w:val="clear" w:color="auto" w:fill="006A4D"/>
          </w:tcPr>
          <w:p>
            <w:pPr>
              <w:pStyle w:val="TableParagraph"/>
              <w:jc w:val="left"/>
              <w:rPr>
                <w:rFonts w:ascii="Times New Roman"/>
                <w:sz w:val="18"/>
              </w:rPr>
            </w:pPr>
          </w:p>
        </w:tc>
        <w:tc>
          <w:tcPr>
            <w:tcW w:w="1933" w:type="dxa"/>
            <w:tcBorders>
              <w:bottom w:val="single" w:sz="6" w:space="0" w:color="69BD28"/>
            </w:tcBorders>
            <w:shd w:val="clear" w:color="auto" w:fill="006A4D"/>
          </w:tcPr>
          <w:p>
            <w:pPr>
              <w:pStyle w:val="TableParagraph"/>
              <w:spacing w:before="4"/>
              <w:ind w:left="659" w:right="607"/>
              <w:rPr>
                <w:b/>
                <w:sz w:val="18"/>
              </w:rPr>
            </w:pPr>
            <w:r>
              <w:rPr>
                <w:b/>
                <w:color w:val="FFFFFF"/>
                <w:w w:val="105"/>
                <w:sz w:val="18"/>
              </w:rPr>
              <w:t>(Years)</w:t>
            </w:r>
          </w:p>
        </w:tc>
        <w:tc>
          <w:tcPr>
            <w:tcW w:w="2126" w:type="dxa"/>
            <w:tcBorders>
              <w:bottom w:val="single" w:sz="6" w:space="0" w:color="69BD28"/>
            </w:tcBorders>
            <w:shd w:val="clear" w:color="auto" w:fill="006A4D"/>
          </w:tcPr>
          <w:p>
            <w:pPr>
              <w:pStyle w:val="TableParagraph"/>
              <w:jc w:val="left"/>
              <w:rPr>
                <w:rFonts w:ascii="Times New Roman"/>
                <w:sz w:val="18"/>
              </w:rPr>
            </w:pPr>
          </w:p>
        </w:tc>
      </w:tr>
      <w:tr>
        <w:trPr>
          <w:trHeight w:val="201" w:hRule="atLeast"/>
        </w:trPr>
        <w:tc>
          <w:tcPr>
            <w:tcW w:w="2696" w:type="dxa"/>
            <w:shd w:val="clear" w:color="auto" w:fill="69BD28"/>
          </w:tcPr>
          <w:p>
            <w:pPr>
              <w:pStyle w:val="TableParagraph"/>
              <w:spacing w:line="181" w:lineRule="exact"/>
              <w:ind w:left="611" w:right="402"/>
              <w:rPr>
                <w:b/>
                <w:sz w:val="18"/>
              </w:rPr>
            </w:pPr>
            <w:r>
              <w:rPr>
                <w:b/>
                <w:color w:val="FFFFFF"/>
                <w:w w:val="110"/>
                <w:sz w:val="18"/>
              </w:rPr>
              <w:t>Completed Blocks</w:t>
            </w:r>
          </w:p>
        </w:tc>
        <w:tc>
          <w:tcPr>
            <w:tcW w:w="2265" w:type="dxa"/>
            <w:shd w:val="clear" w:color="auto" w:fill="69BD28"/>
          </w:tcPr>
          <w:p>
            <w:pPr>
              <w:pStyle w:val="TableParagraph"/>
              <w:jc w:val="left"/>
              <w:rPr>
                <w:rFonts w:ascii="Times New Roman"/>
                <w:sz w:val="14"/>
              </w:rPr>
            </w:pPr>
          </w:p>
        </w:tc>
        <w:tc>
          <w:tcPr>
            <w:tcW w:w="1468" w:type="dxa"/>
            <w:shd w:val="clear" w:color="auto" w:fill="69BD28"/>
          </w:tcPr>
          <w:p>
            <w:pPr>
              <w:pStyle w:val="TableParagraph"/>
              <w:jc w:val="left"/>
              <w:rPr>
                <w:rFonts w:ascii="Times New Roman"/>
                <w:sz w:val="14"/>
              </w:rPr>
            </w:pPr>
          </w:p>
        </w:tc>
        <w:tc>
          <w:tcPr>
            <w:tcW w:w="1933" w:type="dxa"/>
            <w:shd w:val="clear" w:color="auto" w:fill="69BD28"/>
          </w:tcPr>
          <w:p>
            <w:pPr>
              <w:pStyle w:val="TableParagraph"/>
              <w:jc w:val="left"/>
              <w:rPr>
                <w:rFonts w:ascii="Times New Roman"/>
                <w:sz w:val="14"/>
              </w:rPr>
            </w:pPr>
          </w:p>
        </w:tc>
        <w:tc>
          <w:tcPr>
            <w:tcW w:w="2126" w:type="dxa"/>
            <w:shd w:val="clear" w:color="auto" w:fill="69BD28"/>
          </w:tcPr>
          <w:p>
            <w:pPr>
              <w:pStyle w:val="TableParagraph"/>
              <w:jc w:val="left"/>
              <w:rPr>
                <w:rFonts w:ascii="Times New Roman"/>
                <w:sz w:val="14"/>
              </w:rPr>
            </w:pPr>
          </w:p>
        </w:tc>
      </w:tr>
      <w:tr>
        <w:trPr>
          <w:trHeight w:val="253" w:hRule="atLeast"/>
        </w:trPr>
        <w:tc>
          <w:tcPr>
            <w:tcW w:w="2696" w:type="dxa"/>
            <w:tcBorders>
              <w:top w:val="single" w:sz="6" w:space="0" w:color="69BD28"/>
              <w:bottom w:val="single" w:sz="6" w:space="0" w:color="69BD28"/>
            </w:tcBorders>
          </w:tcPr>
          <w:p>
            <w:pPr>
              <w:pStyle w:val="TableParagraph"/>
              <w:spacing w:line="206" w:lineRule="exact" w:before="27"/>
              <w:ind w:left="206"/>
              <w:rPr>
                <w:sz w:val="18"/>
              </w:rPr>
            </w:pPr>
            <w:r>
              <w:rPr>
                <w:w w:val="105"/>
                <w:sz w:val="18"/>
              </w:rPr>
              <w:t>A</w:t>
            </w:r>
          </w:p>
        </w:tc>
        <w:tc>
          <w:tcPr>
            <w:tcW w:w="2265" w:type="dxa"/>
            <w:tcBorders>
              <w:top w:val="single" w:sz="6" w:space="0" w:color="69BD28"/>
              <w:bottom w:val="single" w:sz="6" w:space="0" w:color="69BD28"/>
            </w:tcBorders>
          </w:tcPr>
          <w:p>
            <w:pPr>
              <w:pStyle w:val="TableParagraph"/>
              <w:spacing w:line="206" w:lineRule="exact" w:before="27"/>
              <w:ind w:left="665"/>
              <w:jc w:val="left"/>
              <w:rPr>
                <w:sz w:val="18"/>
              </w:rPr>
            </w:pPr>
            <w:r>
              <w:rPr>
                <w:w w:val="120"/>
                <w:sz w:val="18"/>
              </w:rPr>
              <w:t>B </w:t>
            </w:r>
            <w:r>
              <w:rPr>
                <w:w w:val="140"/>
                <w:sz w:val="18"/>
              </w:rPr>
              <w:t>+ </w:t>
            </w:r>
            <w:r>
              <w:rPr>
                <w:w w:val="120"/>
                <w:sz w:val="18"/>
              </w:rPr>
              <w:t>G </w:t>
            </w:r>
            <w:r>
              <w:rPr>
                <w:w w:val="140"/>
                <w:sz w:val="18"/>
              </w:rPr>
              <w:t>+ </w:t>
            </w:r>
            <w:r>
              <w:rPr>
                <w:w w:val="120"/>
                <w:sz w:val="18"/>
              </w:rPr>
              <w:t>7</w:t>
            </w:r>
          </w:p>
        </w:tc>
        <w:tc>
          <w:tcPr>
            <w:tcW w:w="1468" w:type="dxa"/>
            <w:tcBorders>
              <w:top w:val="single" w:sz="6" w:space="0" w:color="69BD28"/>
              <w:bottom w:val="single" w:sz="6" w:space="0" w:color="69BD28"/>
            </w:tcBorders>
          </w:tcPr>
          <w:p>
            <w:pPr>
              <w:pStyle w:val="TableParagraph"/>
              <w:spacing w:line="206" w:lineRule="exact" w:before="27"/>
              <w:ind w:left="502"/>
              <w:jc w:val="left"/>
              <w:rPr>
                <w:sz w:val="18"/>
              </w:rPr>
            </w:pPr>
            <w:r>
              <w:rPr>
                <w:sz w:val="18"/>
              </w:rPr>
              <w:t>SEZ</w:t>
            </w:r>
          </w:p>
        </w:tc>
        <w:tc>
          <w:tcPr>
            <w:tcW w:w="1933" w:type="dxa"/>
            <w:tcBorders>
              <w:top w:val="single" w:sz="6" w:space="0" w:color="69BD28"/>
              <w:bottom w:val="single" w:sz="6" w:space="0" w:color="69BD28"/>
            </w:tcBorders>
          </w:tcPr>
          <w:p>
            <w:pPr>
              <w:pStyle w:val="TableParagraph"/>
              <w:spacing w:line="206" w:lineRule="exact" w:before="27"/>
              <w:ind w:left="50"/>
              <w:rPr>
                <w:sz w:val="18"/>
              </w:rPr>
            </w:pPr>
            <w:r>
              <w:rPr>
                <w:w w:val="112"/>
                <w:sz w:val="18"/>
              </w:rPr>
              <w:t>9</w:t>
            </w:r>
          </w:p>
        </w:tc>
        <w:tc>
          <w:tcPr>
            <w:tcW w:w="2126" w:type="dxa"/>
            <w:tcBorders>
              <w:top w:val="single" w:sz="6" w:space="0" w:color="69BD28"/>
              <w:bottom w:val="single" w:sz="6" w:space="0" w:color="69BD28"/>
            </w:tcBorders>
          </w:tcPr>
          <w:p>
            <w:pPr>
              <w:pStyle w:val="TableParagraph"/>
              <w:spacing w:line="206" w:lineRule="exact" w:before="27"/>
              <w:ind w:left="606" w:right="644"/>
              <w:rPr>
                <w:sz w:val="18"/>
              </w:rPr>
            </w:pPr>
            <w:r>
              <w:rPr>
                <w:w w:val="110"/>
                <w:sz w:val="18"/>
              </w:rPr>
              <w:t>249,181</w:t>
            </w:r>
          </w:p>
        </w:tc>
      </w:tr>
      <w:tr>
        <w:trPr>
          <w:trHeight w:val="246" w:hRule="atLeast"/>
        </w:trPr>
        <w:tc>
          <w:tcPr>
            <w:tcW w:w="2696" w:type="dxa"/>
            <w:tcBorders>
              <w:top w:val="single" w:sz="6" w:space="0" w:color="69BD28"/>
              <w:bottom w:val="single" w:sz="6" w:space="0" w:color="69BD28"/>
            </w:tcBorders>
          </w:tcPr>
          <w:p>
            <w:pPr>
              <w:pStyle w:val="TableParagraph"/>
              <w:spacing w:line="209" w:lineRule="exact" w:before="18"/>
              <w:ind w:left="204"/>
              <w:rPr>
                <w:sz w:val="18"/>
              </w:rPr>
            </w:pPr>
            <w:r>
              <w:rPr>
                <w:w w:val="99"/>
                <w:sz w:val="18"/>
              </w:rPr>
              <w:t>B</w:t>
            </w:r>
          </w:p>
        </w:tc>
        <w:tc>
          <w:tcPr>
            <w:tcW w:w="2265" w:type="dxa"/>
            <w:tcBorders>
              <w:top w:val="single" w:sz="6" w:space="0" w:color="69BD28"/>
              <w:bottom w:val="single" w:sz="6" w:space="0" w:color="69BD28"/>
            </w:tcBorders>
          </w:tcPr>
          <w:p>
            <w:pPr>
              <w:pStyle w:val="TableParagraph"/>
              <w:spacing w:line="209" w:lineRule="exact" w:before="18"/>
              <w:ind w:left="665"/>
              <w:jc w:val="left"/>
              <w:rPr>
                <w:sz w:val="18"/>
              </w:rPr>
            </w:pPr>
            <w:r>
              <w:rPr>
                <w:w w:val="120"/>
                <w:sz w:val="18"/>
              </w:rPr>
              <w:t>B </w:t>
            </w:r>
            <w:r>
              <w:rPr>
                <w:w w:val="140"/>
                <w:sz w:val="18"/>
              </w:rPr>
              <w:t>+ </w:t>
            </w:r>
            <w:r>
              <w:rPr>
                <w:w w:val="120"/>
                <w:sz w:val="18"/>
              </w:rPr>
              <w:t>G </w:t>
            </w:r>
            <w:r>
              <w:rPr>
                <w:w w:val="140"/>
                <w:sz w:val="18"/>
              </w:rPr>
              <w:t>+ </w:t>
            </w:r>
            <w:r>
              <w:rPr>
                <w:w w:val="120"/>
                <w:sz w:val="18"/>
              </w:rPr>
              <w:t>8</w:t>
            </w:r>
          </w:p>
        </w:tc>
        <w:tc>
          <w:tcPr>
            <w:tcW w:w="1468" w:type="dxa"/>
            <w:tcBorders>
              <w:top w:val="single" w:sz="6" w:space="0" w:color="69BD28"/>
              <w:bottom w:val="single" w:sz="6" w:space="0" w:color="69BD28"/>
            </w:tcBorders>
          </w:tcPr>
          <w:p>
            <w:pPr>
              <w:pStyle w:val="TableParagraph"/>
              <w:spacing w:line="209" w:lineRule="exact" w:before="18"/>
              <w:ind w:left="502"/>
              <w:jc w:val="left"/>
              <w:rPr>
                <w:sz w:val="18"/>
              </w:rPr>
            </w:pPr>
            <w:r>
              <w:rPr>
                <w:sz w:val="18"/>
              </w:rPr>
              <w:t>SEZ</w:t>
            </w:r>
          </w:p>
        </w:tc>
        <w:tc>
          <w:tcPr>
            <w:tcW w:w="1933" w:type="dxa"/>
            <w:tcBorders>
              <w:top w:val="single" w:sz="6" w:space="0" w:color="69BD28"/>
              <w:bottom w:val="single" w:sz="6" w:space="0" w:color="69BD28"/>
            </w:tcBorders>
          </w:tcPr>
          <w:p>
            <w:pPr>
              <w:pStyle w:val="TableParagraph"/>
              <w:spacing w:line="209" w:lineRule="exact" w:before="18"/>
              <w:ind w:left="50"/>
              <w:rPr>
                <w:sz w:val="18"/>
              </w:rPr>
            </w:pPr>
            <w:r>
              <w:rPr>
                <w:w w:val="112"/>
                <w:sz w:val="18"/>
              </w:rPr>
              <w:t>9</w:t>
            </w:r>
          </w:p>
        </w:tc>
        <w:tc>
          <w:tcPr>
            <w:tcW w:w="2126" w:type="dxa"/>
            <w:tcBorders>
              <w:top w:val="single" w:sz="6" w:space="0" w:color="69BD28"/>
              <w:bottom w:val="single" w:sz="6" w:space="0" w:color="69BD28"/>
            </w:tcBorders>
          </w:tcPr>
          <w:p>
            <w:pPr>
              <w:pStyle w:val="TableParagraph"/>
              <w:spacing w:line="209" w:lineRule="exact" w:before="18"/>
              <w:ind w:left="606" w:right="644"/>
              <w:rPr>
                <w:sz w:val="18"/>
              </w:rPr>
            </w:pPr>
            <w:r>
              <w:rPr>
                <w:w w:val="110"/>
                <w:sz w:val="18"/>
              </w:rPr>
              <w:t>224,346</w:t>
            </w:r>
          </w:p>
        </w:tc>
      </w:tr>
      <w:tr>
        <w:trPr>
          <w:trHeight w:val="244" w:hRule="atLeast"/>
        </w:trPr>
        <w:tc>
          <w:tcPr>
            <w:tcW w:w="2696" w:type="dxa"/>
            <w:tcBorders>
              <w:top w:val="single" w:sz="6" w:space="0" w:color="69BD28"/>
              <w:bottom w:val="single" w:sz="6" w:space="0" w:color="69BD28"/>
            </w:tcBorders>
          </w:tcPr>
          <w:p>
            <w:pPr>
              <w:pStyle w:val="TableParagraph"/>
              <w:spacing w:line="206" w:lineRule="exact" w:before="18"/>
              <w:ind w:left="204"/>
              <w:rPr>
                <w:sz w:val="18"/>
              </w:rPr>
            </w:pPr>
            <w:r>
              <w:rPr>
                <w:w w:val="121"/>
                <w:sz w:val="18"/>
              </w:rPr>
              <w:t>C</w:t>
            </w:r>
          </w:p>
        </w:tc>
        <w:tc>
          <w:tcPr>
            <w:tcW w:w="2265" w:type="dxa"/>
            <w:tcBorders>
              <w:top w:val="single" w:sz="6" w:space="0" w:color="69BD28"/>
              <w:bottom w:val="single" w:sz="6" w:space="0" w:color="69BD28"/>
            </w:tcBorders>
          </w:tcPr>
          <w:p>
            <w:pPr>
              <w:pStyle w:val="TableParagraph"/>
              <w:spacing w:line="206" w:lineRule="exact" w:before="18"/>
              <w:ind w:left="665"/>
              <w:jc w:val="left"/>
              <w:rPr>
                <w:sz w:val="18"/>
              </w:rPr>
            </w:pPr>
            <w:r>
              <w:rPr>
                <w:w w:val="120"/>
                <w:sz w:val="18"/>
              </w:rPr>
              <w:t>B </w:t>
            </w:r>
            <w:r>
              <w:rPr>
                <w:w w:val="140"/>
                <w:sz w:val="18"/>
              </w:rPr>
              <w:t>+ </w:t>
            </w:r>
            <w:r>
              <w:rPr>
                <w:w w:val="120"/>
                <w:sz w:val="18"/>
              </w:rPr>
              <w:t>G </w:t>
            </w:r>
            <w:r>
              <w:rPr>
                <w:w w:val="140"/>
                <w:sz w:val="18"/>
              </w:rPr>
              <w:t>+ </w:t>
            </w:r>
            <w:r>
              <w:rPr>
                <w:w w:val="120"/>
                <w:sz w:val="18"/>
              </w:rPr>
              <w:t>8</w:t>
            </w:r>
          </w:p>
        </w:tc>
        <w:tc>
          <w:tcPr>
            <w:tcW w:w="1468" w:type="dxa"/>
            <w:tcBorders>
              <w:top w:val="single" w:sz="6" w:space="0" w:color="69BD28"/>
              <w:bottom w:val="single" w:sz="6" w:space="0" w:color="69BD28"/>
            </w:tcBorders>
          </w:tcPr>
          <w:p>
            <w:pPr>
              <w:pStyle w:val="TableParagraph"/>
              <w:spacing w:line="206" w:lineRule="exact" w:before="18"/>
              <w:ind w:left="502"/>
              <w:jc w:val="left"/>
              <w:rPr>
                <w:sz w:val="18"/>
              </w:rPr>
            </w:pPr>
            <w:r>
              <w:rPr>
                <w:sz w:val="18"/>
              </w:rPr>
              <w:t>SEZ</w:t>
            </w:r>
          </w:p>
        </w:tc>
        <w:tc>
          <w:tcPr>
            <w:tcW w:w="1933" w:type="dxa"/>
            <w:tcBorders>
              <w:top w:val="single" w:sz="6" w:space="0" w:color="69BD28"/>
              <w:bottom w:val="single" w:sz="6" w:space="0" w:color="69BD28"/>
            </w:tcBorders>
          </w:tcPr>
          <w:p>
            <w:pPr>
              <w:pStyle w:val="TableParagraph"/>
              <w:spacing w:line="206" w:lineRule="exact" w:before="18"/>
              <w:ind w:left="50"/>
              <w:rPr>
                <w:sz w:val="18"/>
              </w:rPr>
            </w:pPr>
            <w:r>
              <w:rPr>
                <w:w w:val="112"/>
                <w:sz w:val="18"/>
              </w:rPr>
              <w:t>8</w:t>
            </w:r>
          </w:p>
        </w:tc>
        <w:tc>
          <w:tcPr>
            <w:tcW w:w="2126" w:type="dxa"/>
            <w:tcBorders>
              <w:top w:val="single" w:sz="6" w:space="0" w:color="69BD28"/>
              <w:bottom w:val="single" w:sz="6" w:space="0" w:color="69BD28"/>
            </w:tcBorders>
          </w:tcPr>
          <w:p>
            <w:pPr>
              <w:pStyle w:val="TableParagraph"/>
              <w:spacing w:line="206" w:lineRule="exact" w:before="18"/>
              <w:ind w:left="606" w:right="644"/>
              <w:rPr>
                <w:sz w:val="18"/>
              </w:rPr>
            </w:pPr>
            <w:r>
              <w:rPr>
                <w:w w:val="110"/>
                <w:sz w:val="18"/>
              </w:rPr>
              <w:t>254,896</w:t>
            </w:r>
          </w:p>
        </w:tc>
      </w:tr>
      <w:tr>
        <w:trPr>
          <w:trHeight w:val="246" w:hRule="atLeast"/>
        </w:trPr>
        <w:tc>
          <w:tcPr>
            <w:tcW w:w="2696" w:type="dxa"/>
            <w:tcBorders>
              <w:top w:val="single" w:sz="6" w:space="0" w:color="69BD28"/>
              <w:bottom w:val="single" w:sz="6" w:space="0" w:color="69BD28"/>
            </w:tcBorders>
          </w:tcPr>
          <w:p>
            <w:pPr>
              <w:pStyle w:val="TableParagraph"/>
              <w:spacing w:line="206" w:lineRule="exact" w:before="20"/>
              <w:ind w:left="204"/>
              <w:rPr>
                <w:sz w:val="18"/>
              </w:rPr>
            </w:pPr>
            <w:r>
              <w:rPr>
                <w:w w:val="118"/>
                <w:sz w:val="18"/>
              </w:rPr>
              <w:t>D</w:t>
            </w:r>
          </w:p>
        </w:tc>
        <w:tc>
          <w:tcPr>
            <w:tcW w:w="2265" w:type="dxa"/>
            <w:tcBorders>
              <w:top w:val="single" w:sz="6" w:space="0" w:color="69BD28"/>
              <w:bottom w:val="single" w:sz="6" w:space="0" w:color="69BD28"/>
            </w:tcBorders>
          </w:tcPr>
          <w:p>
            <w:pPr>
              <w:pStyle w:val="TableParagraph"/>
              <w:spacing w:line="206" w:lineRule="exact" w:before="20"/>
              <w:ind w:left="801" w:right="864"/>
              <w:rPr>
                <w:sz w:val="18"/>
              </w:rPr>
            </w:pPr>
            <w:r>
              <w:rPr>
                <w:w w:val="130"/>
                <w:sz w:val="18"/>
              </w:rPr>
              <w:t>G </w:t>
            </w:r>
            <w:r>
              <w:rPr>
                <w:w w:val="140"/>
                <w:sz w:val="18"/>
              </w:rPr>
              <w:t>+ </w:t>
            </w:r>
            <w:r>
              <w:rPr>
                <w:w w:val="130"/>
                <w:sz w:val="18"/>
              </w:rPr>
              <w:t>4</w:t>
            </w:r>
          </w:p>
        </w:tc>
        <w:tc>
          <w:tcPr>
            <w:tcW w:w="1468" w:type="dxa"/>
            <w:tcBorders>
              <w:top w:val="single" w:sz="6" w:space="0" w:color="69BD28"/>
              <w:bottom w:val="single" w:sz="6" w:space="0" w:color="69BD28"/>
            </w:tcBorders>
          </w:tcPr>
          <w:p>
            <w:pPr>
              <w:pStyle w:val="TableParagraph"/>
              <w:spacing w:line="206" w:lineRule="exact" w:before="20"/>
              <w:ind w:left="502"/>
              <w:jc w:val="left"/>
              <w:rPr>
                <w:sz w:val="18"/>
              </w:rPr>
            </w:pPr>
            <w:r>
              <w:rPr>
                <w:sz w:val="18"/>
              </w:rPr>
              <w:t>SEZ</w:t>
            </w:r>
          </w:p>
        </w:tc>
        <w:tc>
          <w:tcPr>
            <w:tcW w:w="1933" w:type="dxa"/>
            <w:tcBorders>
              <w:top w:val="single" w:sz="6" w:space="0" w:color="69BD28"/>
              <w:bottom w:val="single" w:sz="6" w:space="0" w:color="69BD28"/>
            </w:tcBorders>
          </w:tcPr>
          <w:p>
            <w:pPr>
              <w:pStyle w:val="TableParagraph"/>
              <w:spacing w:line="206" w:lineRule="exact" w:before="20"/>
              <w:ind w:left="50"/>
              <w:rPr>
                <w:sz w:val="18"/>
              </w:rPr>
            </w:pPr>
            <w:r>
              <w:rPr>
                <w:w w:val="112"/>
                <w:sz w:val="18"/>
              </w:rPr>
              <w:t>9</w:t>
            </w:r>
          </w:p>
        </w:tc>
        <w:tc>
          <w:tcPr>
            <w:tcW w:w="2126" w:type="dxa"/>
            <w:tcBorders>
              <w:top w:val="single" w:sz="6" w:space="0" w:color="69BD28"/>
              <w:bottom w:val="single" w:sz="6" w:space="0" w:color="69BD28"/>
            </w:tcBorders>
          </w:tcPr>
          <w:p>
            <w:pPr>
              <w:pStyle w:val="TableParagraph"/>
              <w:spacing w:line="206" w:lineRule="exact" w:before="20"/>
              <w:ind w:left="606" w:right="644"/>
              <w:rPr>
                <w:sz w:val="18"/>
              </w:rPr>
            </w:pPr>
            <w:r>
              <w:rPr>
                <w:w w:val="110"/>
                <w:sz w:val="18"/>
              </w:rPr>
              <w:t>204,561</w:t>
            </w:r>
          </w:p>
        </w:tc>
      </w:tr>
      <w:tr>
        <w:trPr>
          <w:trHeight w:val="246" w:hRule="atLeast"/>
        </w:trPr>
        <w:tc>
          <w:tcPr>
            <w:tcW w:w="2696" w:type="dxa"/>
            <w:tcBorders>
              <w:top w:val="single" w:sz="6" w:space="0" w:color="69BD28"/>
              <w:bottom w:val="single" w:sz="6" w:space="0" w:color="69BD28"/>
            </w:tcBorders>
          </w:tcPr>
          <w:p>
            <w:pPr>
              <w:pStyle w:val="TableParagraph"/>
              <w:spacing w:line="206" w:lineRule="exact" w:before="20"/>
              <w:ind w:left="206"/>
              <w:rPr>
                <w:sz w:val="18"/>
              </w:rPr>
            </w:pPr>
            <w:r>
              <w:rPr>
                <w:w w:val="97"/>
                <w:sz w:val="18"/>
              </w:rPr>
              <w:t>E</w:t>
            </w:r>
          </w:p>
        </w:tc>
        <w:tc>
          <w:tcPr>
            <w:tcW w:w="2265" w:type="dxa"/>
            <w:tcBorders>
              <w:top w:val="single" w:sz="6" w:space="0" w:color="69BD28"/>
              <w:bottom w:val="single" w:sz="6" w:space="0" w:color="69BD28"/>
            </w:tcBorders>
          </w:tcPr>
          <w:p>
            <w:pPr>
              <w:pStyle w:val="TableParagraph"/>
              <w:spacing w:line="206" w:lineRule="exact" w:before="20"/>
              <w:ind w:left="492"/>
              <w:jc w:val="left"/>
              <w:rPr>
                <w:sz w:val="18"/>
              </w:rPr>
            </w:pPr>
            <w:r>
              <w:rPr>
                <w:w w:val="120"/>
                <w:sz w:val="18"/>
              </w:rPr>
              <w:t>B </w:t>
            </w:r>
            <w:r>
              <w:rPr>
                <w:w w:val="140"/>
                <w:sz w:val="18"/>
              </w:rPr>
              <w:t>+ </w:t>
            </w:r>
            <w:r>
              <w:rPr>
                <w:w w:val="120"/>
                <w:sz w:val="18"/>
              </w:rPr>
              <w:t>S </w:t>
            </w:r>
            <w:r>
              <w:rPr>
                <w:w w:val="140"/>
                <w:sz w:val="18"/>
              </w:rPr>
              <w:t>+ </w:t>
            </w:r>
            <w:r>
              <w:rPr>
                <w:w w:val="120"/>
                <w:sz w:val="18"/>
              </w:rPr>
              <w:t>G </w:t>
            </w:r>
            <w:r>
              <w:rPr>
                <w:w w:val="140"/>
                <w:sz w:val="18"/>
              </w:rPr>
              <w:t>+ </w:t>
            </w:r>
            <w:r>
              <w:rPr>
                <w:w w:val="120"/>
                <w:sz w:val="18"/>
              </w:rPr>
              <w:t>9</w:t>
            </w:r>
          </w:p>
        </w:tc>
        <w:tc>
          <w:tcPr>
            <w:tcW w:w="1468" w:type="dxa"/>
            <w:tcBorders>
              <w:top w:val="single" w:sz="6" w:space="0" w:color="69BD28"/>
              <w:bottom w:val="single" w:sz="6" w:space="0" w:color="69BD28"/>
            </w:tcBorders>
          </w:tcPr>
          <w:p>
            <w:pPr>
              <w:pStyle w:val="TableParagraph"/>
              <w:spacing w:line="206" w:lineRule="exact" w:before="20"/>
              <w:ind w:left="502"/>
              <w:jc w:val="left"/>
              <w:rPr>
                <w:sz w:val="18"/>
              </w:rPr>
            </w:pPr>
            <w:r>
              <w:rPr>
                <w:sz w:val="18"/>
              </w:rPr>
              <w:t>SEZ</w:t>
            </w:r>
          </w:p>
        </w:tc>
        <w:tc>
          <w:tcPr>
            <w:tcW w:w="1933" w:type="dxa"/>
            <w:tcBorders>
              <w:top w:val="single" w:sz="6" w:space="0" w:color="69BD28"/>
              <w:bottom w:val="single" w:sz="6" w:space="0" w:color="69BD28"/>
            </w:tcBorders>
          </w:tcPr>
          <w:p>
            <w:pPr>
              <w:pStyle w:val="TableParagraph"/>
              <w:spacing w:line="206" w:lineRule="exact" w:before="20"/>
              <w:ind w:left="659" w:right="607"/>
              <w:rPr>
                <w:sz w:val="18"/>
              </w:rPr>
            </w:pPr>
            <w:r>
              <w:rPr>
                <w:w w:val="115"/>
                <w:sz w:val="18"/>
              </w:rPr>
              <w:t>7*</w:t>
            </w:r>
          </w:p>
        </w:tc>
        <w:tc>
          <w:tcPr>
            <w:tcW w:w="2126" w:type="dxa"/>
            <w:tcBorders>
              <w:top w:val="single" w:sz="6" w:space="0" w:color="69BD28"/>
              <w:bottom w:val="single" w:sz="6" w:space="0" w:color="69BD28"/>
            </w:tcBorders>
          </w:tcPr>
          <w:p>
            <w:pPr>
              <w:pStyle w:val="TableParagraph"/>
              <w:spacing w:line="206" w:lineRule="exact" w:before="20"/>
              <w:ind w:left="606" w:right="644"/>
              <w:rPr>
                <w:sz w:val="18"/>
              </w:rPr>
            </w:pPr>
            <w:r>
              <w:rPr>
                <w:w w:val="110"/>
                <w:sz w:val="18"/>
              </w:rPr>
              <w:t>279,770</w:t>
            </w:r>
          </w:p>
        </w:tc>
      </w:tr>
      <w:tr>
        <w:trPr>
          <w:trHeight w:val="246" w:hRule="atLeast"/>
        </w:trPr>
        <w:tc>
          <w:tcPr>
            <w:tcW w:w="2696" w:type="dxa"/>
            <w:tcBorders>
              <w:top w:val="single" w:sz="6" w:space="0" w:color="69BD28"/>
              <w:bottom w:val="single" w:sz="6" w:space="0" w:color="69BD28"/>
            </w:tcBorders>
          </w:tcPr>
          <w:p>
            <w:pPr>
              <w:pStyle w:val="TableParagraph"/>
              <w:spacing w:line="209" w:lineRule="exact" w:before="18"/>
              <w:ind w:left="204"/>
              <w:rPr>
                <w:sz w:val="18"/>
              </w:rPr>
            </w:pPr>
            <w:r>
              <w:rPr>
                <w:w w:val="96"/>
                <w:sz w:val="18"/>
              </w:rPr>
              <w:t>F</w:t>
            </w:r>
          </w:p>
        </w:tc>
        <w:tc>
          <w:tcPr>
            <w:tcW w:w="2265" w:type="dxa"/>
            <w:tcBorders>
              <w:top w:val="single" w:sz="6" w:space="0" w:color="69BD28"/>
              <w:bottom w:val="single" w:sz="6" w:space="0" w:color="69BD28"/>
            </w:tcBorders>
          </w:tcPr>
          <w:p>
            <w:pPr>
              <w:pStyle w:val="TableParagraph"/>
              <w:spacing w:line="209" w:lineRule="exact" w:before="18"/>
              <w:ind w:left="492"/>
              <w:jc w:val="left"/>
              <w:rPr>
                <w:sz w:val="18"/>
              </w:rPr>
            </w:pPr>
            <w:r>
              <w:rPr>
                <w:w w:val="120"/>
                <w:sz w:val="18"/>
              </w:rPr>
              <w:t>B </w:t>
            </w:r>
            <w:r>
              <w:rPr>
                <w:w w:val="140"/>
                <w:sz w:val="18"/>
              </w:rPr>
              <w:t>+ </w:t>
            </w:r>
            <w:r>
              <w:rPr>
                <w:w w:val="120"/>
                <w:sz w:val="18"/>
              </w:rPr>
              <w:t>S </w:t>
            </w:r>
            <w:r>
              <w:rPr>
                <w:w w:val="140"/>
                <w:sz w:val="18"/>
              </w:rPr>
              <w:t>+ </w:t>
            </w:r>
            <w:r>
              <w:rPr>
                <w:w w:val="120"/>
                <w:sz w:val="18"/>
              </w:rPr>
              <w:t>G </w:t>
            </w:r>
            <w:r>
              <w:rPr>
                <w:w w:val="140"/>
                <w:sz w:val="18"/>
              </w:rPr>
              <w:t>+ </w:t>
            </w:r>
            <w:r>
              <w:rPr>
                <w:w w:val="120"/>
                <w:sz w:val="18"/>
              </w:rPr>
              <w:t>7</w:t>
            </w:r>
          </w:p>
        </w:tc>
        <w:tc>
          <w:tcPr>
            <w:tcW w:w="1468" w:type="dxa"/>
            <w:tcBorders>
              <w:top w:val="single" w:sz="6" w:space="0" w:color="69BD28"/>
              <w:bottom w:val="single" w:sz="6" w:space="0" w:color="69BD28"/>
            </w:tcBorders>
          </w:tcPr>
          <w:p>
            <w:pPr>
              <w:pStyle w:val="TableParagraph"/>
              <w:spacing w:line="209" w:lineRule="exact" w:before="18"/>
              <w:ind w:left="502"/>
              <w:jc w:val="left"/>
              <w:rPr>
                <w:sz w:val="18"/>
              </w:rPr>
            </w:pPr>
            <w:r>
              <w:rPr>
                <w:sz w:val="18"/>
              </w:rPr>
              <w:t>SEZ</w:t>
            </w:r>
          </w:p>
        </w:tc>
        <w:tc>
          <w:tcPr>
            <w:tcW w:w="1933" w:type="dxa"/>
            <w:tcBorders>
              <w:top w:val="single" w:sz="6" w:space="0" w:color="69BD28"/>
              <w:bottom w:val="single" w:sz="6" w:space="0" w:color="69BD28"/>
            </w:tcBorders>
          </w:tcPr>
          <w:p>
            <w:pPr>
              <w:pStyle w:val="TableParagraph"/>
              <w:spacing w:line="209" w:lineRule="exact" w:before="18"/>
              <w:ind w:left="50"/>
              <w:rPr>
                <w:sz w:val="18"/>
              </w:rPr>
            </w:pPr>
            <w:r>
              <w:rPr>
                <w:w w:val="112"/>
                <w:sz w:val="18"/>
              </w:rPr>
              <w:t>7</w:t>
            </w:r>
          </w:p>
        </w:tc>
        <w:tc>
          <w:tcPr>
            <w:tcW w:w="2126" w:type="dxa"/>
            <w:tcBorders>
              <w:top w:val="single" w:sz="6" w:space="0" w:color="69BD28"/>
              <w:bottom w:val="single" w:sz="6" w:space="0" w:color="69BD28"/>
            </w:tcBorders>
          </w:tcPr>
          <w:p>
            <w:pPr>
              <w:pStyle w:val="TableParagraph"/>
              <w:spacing w:line="209" w:lineRule="exact" w:before="18"/>
              <w:ind w:left="606" w:right="644"/>
              <w:rPr>
                <w:sz w:val="18"/>
              </w:rPr>
            </w:pPr>
            <w:r>
              <w:rPr>
                <w:w w:val="110"/>
                <w:sz w:val="18"/>
              </w:rPr>
              <w:t>243,313</w:t>
            </w:r>
          </w:p>
        </w:tc>
      </w:tr>
      <w:tr>
        <w:trPr>
          <w:trHeight w:val="244" w:hRule="atLeast"/>
        </w:trPr>
        <w:tc>
          <w:tcPr>
            <w:tcW w:w="2696" w:type="dxa"/>
            <w:tcBorders>
              <w:top w:val="single" w:sz="6" w:space="0" w:color="69BD28"/>
              <w:bottom w:val="single" w:sz="6" w:space="0" w:color="69BD28"/>
            </w:tcBorders>
          </w:tcPr>
          <w:p>
            <w:pPr>
              <w:pStyle w:val="TableParagraph"/>
              <w:spacing w:line="206" w:lineRule="exact" w:before="18"/>
              <w:ind w:left="204"/>
              <w:rPr>
                <w:sz w:val="18"/>
              </w:rPr>
            </w:pPr>
            <w:r>
              <w:rPr>
                <w:w w:val="112"/>
                <w:sz w:val="18"/>
              </w:rPr>
              <w:t>3</w:t>
            </w:r>
          </w:p>
        </w:tc>
        <w:tc>
          <w:tcPr>
            <w:tcW w:w="2265" w:type="dxa"/>
            <w:tcBorders>
              <w:top w:val="single" w:sz="6" w:space="0" w:color="69BD28"/>
              <w:bottom w:val="single" w:sz="6" w:space="0" w:color="69BD28"/>
            </w:tcBorders>
          </w:tcPr>
          <w:p>
            <w:pPr>
              <w:pStyle w:val="TableParagraph"/>
              <w:spacing w:line="206" w:lineRule="exact" w:before="18"/>
              <w:ind w:left="439"/>
              <w:jc w:val="left"/>
              <w:rPr>
                <w:sz w:val="18"/>
              </w:rPr>
            </w:pPr>
            <w:r>
              <w:rPr>
                <w:w w:val="120"/>
                <w:sz w:val="18"/>
              </w:rPr>
              <w:t>B </w:t>
            </w:r>
            <w:r>
              <w:rPr>
                <w:w w:val="140"/>
                <w:sz w:val="18"/>
              </w:rPr>
              <w:t>+ </w:t>
            </w:r>
            <w:r>
              <w:rPr>
                <w:w w:val="120"/>
                <w:sz w:val="18"/>
              </w:rPr>
              <w:t>S </w:t>
            </w:r>
            <w:r>
              <w:rPr>
                <w:w w:val="140"/>
                <w:sz w:val="18"/>
              </w:rPr>
              <w:t>+ </w:t>
            </w:r>
            <w:r>
              <w:rPr>
                <w:w w:val="120"/>
                <w:sz w:val="18"/>
              </w:rPr>
              <w:t>G </w:t>
            </w:r>
            <w:r>
              <w:rPr>
                <w:w w:val="140"/>
                <w:sz w:val="18"/>
              </w:rPr>
              <w:t>+ </w:t>
            </w:r>
            <w:r>
              <w:rPr>
                <w:w w:val="120"/>
                <w:sz w:val="18"/>
              </w:rPr>
              <w:t>12</w:t>
            </w:r>
          </w:p>
        </w:tc>
        <w:tc>
          <w:tcPr>
            <w:tcW w:w="1468" w:type="dxa"/>
            <w:tcBorders>
              <w:top w:val="single" w:sz="6" w:space="0" w:color="69BD28"/>
              <w:bottom w:val="single" w:sz="6" w:space="0" w:color="69BD28"/>
            </w:tcBorders>
          </w:tcPr>
          <w:p>
            <w:pPr>
              <w:pStyle w:val="TableParagraph"/>
              <w:spacing w:line="206" w:lineRule="exact" w:before="18"/>
              <w:ind w:left="502"/>
              <w:jc w:val="left"/>
              <w:rPr>
                <w:sz w:val="18"/>
              </w:rPr>
            </w:pPr>
            <w:r>
              <w:rPr>
                <w:sz w:val="18"/>
              </w:rPr>
              <w:t>SEZ</w:t>
            </w:r>
          </w:p>
        </w:tc>
        <w:tc>
          <w:tcPr>
            <w:tcW w:w="1933" w:type="dxa"/>
            <w:tcBorders>
              <w:top w:val="single" w:sz="6" w:space="0" w:color="69BD28"/>
              <w:bottom w:val="single" w:sz="6" w:space="0" w:color="69BD28"/>
            </w:tcBorders>
          </w:tcPr>
          <w:p>
            <w:pPr>
              <w:pStyle w:val="TableParagraph"/>
              <w:spacing w:line="206" w:lineRule="exact" w:before="18"/>
              <w:ind w:left="50"/>
              <w:rPr>
                <w:sz w:val="18"/>
              </w:rPr>
            </w:pPr>
            <w:r>
              <w:rPr>
                <w:w w:val="112"/>
                <w:sz w:val="18"/>
              </w:rPr>
              <w:t>2</w:t>
            </w:r>
          </w:p>
        </w:tc>
        <w:tc>
          <w:tcPr>
            <w:tcW w:w="2126" w:type="dxa"/>
            <w:tcBorders>
              <w:top w:val="single" w:sz="6" w:space="0" w:color="69BD28"/>
              <w:bottom w:val="single" w:sz="6" w:space="0" w:color="69BD28"/>
            </w:tcBorders>
          </w:tcPr>
          <w:p>
            <w:pPr>
              <w:pStyle w:val="TableParagraph"/>
              <w:spacing w:line="206" w:lineRule="exact" w:before="18"/>
              <w:ind w:left="606" w:right="644"/>
              <w:rPr>
                <w:sz w:val="18"/>
              </w:rPr>
            </w:pPr>
            <w:r>
              <w:rPr>
                <w:w w:val="110"/>
                <w:sz w:val="18"/>
              </w:rPr>
              <w:t>459,434</w:t>
            </w:r>
          </w:p>
        </w:tc>
      </w:tr>
      <w:tr>
        <w:trPr>
          <w:trHeight w:val="246" w:hRule="atLeast"/>
        </w:trPr>
        <w:tc>
          <w:tcPr>
            <w:tcW w:w="2696" w:type="dxa"/>
            <w:tcBorders>
              <w:top w:val="single" w:sz="6" w:space="0" w:color="69BD28"/>
              <w:bottom w:val="single" w:sz="6" w:space="0" w:color="69BD28"/>
            </w:tcBorders>
          </w:tcPr>
          <w:p>
            <w:pPr>
              <w:pStyle w:val="TableParagraph"/>
              <w:spacing w:line="206" w:lineRule="exact" w:before="20"/>
              <w:ind w:left="606" w:right="402"/>
              <w:rPr>
                <w:sz w:val="18"/>
              </w:rPr>
            </w:pPr>
            <w:r>
              <w:rPr>
                <w:sz w:val="18"/>
              </w:rPr>
              <w:t>Food Court</w:t>
            </w:r>
          </w:p>
        </w:tc>
        <w:tc>
          <w:tcPr>
            <w:tcW w:w="2265" w:type="dxa"/>
            <w:tcBorders>
              <w:top w:val="single" w:sz="6" w:space="0" w:color="69BD28"/>
              <w:bottom w:val="single" w:sz="6" w:space="0" w:color="69BD28"/>
            </w:tcBorders>
          </w:tcPr>
          <w:p>
            <w:pPr>
              <w:pStyle w:val="TableParagraph"/>
              <w:spacing w:line="206" w:lineRule="exact" w:before="20"/>
              <w:ind w:left="672"/>
              <w:jc w:val="left"/>
              <w:rPr>
                <w:sz w:val="18"/>
              </w:rPr>
            </w:pPr>
            <w:r>
              <w:rPr>
                <w:w w:val="120"/>
                <w:sz w:val="18"/>
              </w:rPr>
              <w:t>B </w:t>
            </w:r>
            <w:r>
              <w:rPr>
                <w:w w:val="140"/>
                <w:sz w:val="18"/>
              </w:rPr>
              <w:t>+ </w:t>
            </w:r>
            <w:r>
              <w:rPr>
                <w:w w:val="120"/>
                <w:sz w:val="18"/>
              </w:rPr>
              <w:t>S </w:t>
            </w:r>
            <w:r>
              <w:rPr>
                <w:w w:val="140"/>
                <w:sz w:val="18"/>
              </w:rPr>
              <w:t>+ </w:t>
            </w:r>
            <w:r>
              <w:rPr>
                <w:w w:val="120"/>
                <w:sz w:val="18"/>
              </w:rPr>
              <w:t>G</w:t>
            </w:r>
          </w:p>
        </w:tc>
        <w:tc>
          <w:tcPr>
            <w:tcW w:w="1468" w:type="dxa"/>
            <w:tcBorders>
              <w:top w:val="single" w:sz="6" w:space="0" w:color="69BD28"/>
              <w:bottom w:val="single" w:sz="6" w:space="0" w:color="69BD28"/>
            </w:tcBorders>
          </w:tcPr>
          <w:p>
            <w:pPr>
              <w:pStyle w:val="TableParagraph"/>
              <w:spacing w:line="206" w:lineRule="exact" w:before="20"/>
              <w:ind w:left="502"/>
              <w:jc w:val="left"/>
              <w:rPr>
                <w:sz w:val="18"/>
              </w:rPr>
            </w:pPr>
            <w:r>
              <w:rPr>
                <w:sz w:val="18"/>
              </w:rPr>
              <w:t>SEZ</w:t>
            </w:r>
          </w:p>
        </w:tc>
        <w:tc>
          <w:tcPr>
            <w:tcW w:w="1933" w:type="dxa"/>
            <w:tcBorders>
              <w:top w:val="single" w:sz="6" w:space="0" w:color="69BD28"/>
              <w:bottom w:val="single" w:sz="6" w:space="0" w:color="69BD28"/>
            </w:tcBorders>
          </w:tcPr>
          <w:p>
            <w:pPr>
              <w:pStyle w:val="TableParagraph"/>
              <w:spacing w:line="206" w:lineRule="exact" w:before="20"/>
              <w:ind w:left="50"/>
              <w:rPr>
                <w:sz w:val="18"/>
              </w:rPr>
            </w:pPr>
            <w:r>
              <w:rPr>
                <w:w w:val="112"/>
                <w:sz w:val="18"/>
              </w:rPr>
              <w:t>2</w:t>
            </w:r>
          </w:p>
        </w:tc>
        <w:tc>
          <w:tcPr>
            <w:tcW w:w="2126" w:type="dxa"/>
            <w:tcBorders>
              <w:top w:val="single" w:sz="6" w:space="0" w:color="69BD28"/>
              <w:bottom w:val="single" w:sz="6" w:space="0" w:color="69BD28"/>
            </w:tcBorders>
          </w:tcPr>
          <w:p>
            <w:pPr>
              <w:pStyle w:val="TableParagraph"/>
              <w:spacing w:line="206" w:lineRule="exact" w:before="20"/>
              <w:ind w:left="604" w:right="644"/>
              <w:rPr>
                <w:sz w:val="18"/>
              </w:rPr>
            </w:pPr>
            <w:r>
              <w:rPr>
                <w:w w:val="110"/>
                <w:sz w:val="18"/>
              </w:rPr>
              <w:t>31,022</w:t>
            </w:r>
          </w:p>
        </w:tc>
      </w:tr>
      <w:tr>
        <w:trPr>
          <w:trHeight w:val="246" w:hRule="atLeast"/>
        </w:trPr>
        <w:tc>
          <w:tcPr>
            <w:tcW w:w="2696" w:type="dxa"/>
            <w:tcBorders>
              <w:top w:val="single" w:sz="6" w:space="0" w:color="69BD28"/>
              <w:bottom w:val="single" w:sz="6" w:space="0" w:color="69BD28"/>
            </w:tcBorders>
          </w:tcPr>
          <w:p>
            <w:pPr>
              <w:pStyle w:val="TableParagraph"/>
              <w:spacing w:line="206" w:lineRule="exact" w:before="20"/>
              <w:ind w:left="204"/>
              <w:rPr>
                <w:sz w:val="18"/>
              </w:rPr>
            </w:pPr>
            <w:r>
              <w:rPr>
                <w:w w:val="112"/>
                <w:sz w:val="18"/>
              </w:rPr>
              <w:t>2</w:t>
            </w:r>
          </w:p>
        </w:tc>
        <w:tc>
          <w:tcPr>
            <w:tcW w:w="2265" w:type="dxa"/>
            <w:tcBorders>
              <w:top w:val="single" w:sz="6" w:space="0" w:color="69BD28"/>
              <w:bottom w:val="single" w:sz="6" w:space="0" w:color="69BD28"/>
            </w:tcBorders>
          </w:tcPr>
          <w:p>
            <w:pPr>
              <w:pStyle w:val="TableParagraph"/>
              <w:spacing w:line="206" w:lineRule="exact" w:before="20"/>
              <w:ind w:left="439"/>
              <w:jc w:val="left"/>
              <w:rPr>
                <w:sz w:val="18"/>
              </w:rPr>
            </w:pPr>
            <w:r>
              <w:rPr>
                <w:w w:val="120"/>
                <w:sz w:val="18"/>
              </w:rPr>
              <w:t>B </w:t>
            </w:r>
            <w:r>
              <w:rPr>
                <w:w w:val="140"/>
                <w:sz w:val="18"/>
              </w:rPr>
              <w:t>+ </w:t>
            </w:r>
            <w:r>
              <w:rPr>
                <w:w w:val="120"/>
                <w:sz w:val="18"/>
              </w:rPr>
              <w:t>S </w:t>
            </w:r>
            <w:r>
              <w:rPr>
                <w:w w:val="140"/>
                <w:sz w:val="18"/>
              </w:rPr>
              <w:t>+ </w:t>
            </w:r>
            <w:r>
              <w:rPr>
                <w:w w:val="120"/>
                <w:sz w:val="18"/>
              </w:rPr>
              <w:t>G </w:t>
            </w:r>
            <w:r>
              <w:rPr>
                <w:w w:val="140"/>
                <w:sz w:val="18"/>
              </w:rPr>
              <w:t>+ </w:t>
            </w:r>
            <w:r>
              <w:rPr>
                <w:w w:val="120"/>
                <w:sz w:val="18"/>
              </w:rPr>
              <w:t>12</w:t>
            </w:r>
          </w:p>
        </w:tc>
        <w:tc>
          <w:tcPr>
            <w:tcW w:w="1468" w:type="dxa"/>
            <w:tcBorders>
              <w:top w:val="single" w:sz="6" w:space="0" w:color="69BD28"/>
              <w:bottom w:val="single" w:sz="6" w:space="0" w:color="69BD28"/>
            </w:tcBorders>
          </w:tcPr>
          <w:p>
            <w:pPr>
              <w:pStyle w:val="TableParagraph"/>
              <w:spacing w:line="206" w:lineRule="exact" w:before="20"/>
              <w:ind w:left="502"/>
              <w:jc w:val="left"/>
              <w:rPr>
                <w:sz w:val="18"/>
              </w:rPr>
            </w:pPr>
            <w:r>
              <w:rPr>
                <w:sz w:val="18"/>
              </w:rPr>
              <w:t>SEZ</w:t>
            </w:r>
          </w:p>
        </w:tc>
        <w:tc>
          <w:tcPr>
            <w:tcW w:w="1933" w:type="dxa"/>
            <w:tcBorders>
              <w:top w:val="single" w:sz="6" w:space="0" w:color="69BD28"/>
              <w:bottom w:val="single" w:sz="6" w:space="0" w:color="69BD28"/>
            </w:tcBorders>
          </w:tcPr>
          <w:p>
            <w:pPr>
              <w:pStyle w:val="TableParagraph"/>
              <w:spacing w:line="206" w:lineRule="exact" w:before="20"/>
              <w:ind w:left="50"/>
              <w:rPr>
                <w:sz w:val="18"/>
              </w:rPr>
            </w:pPr>
            <w:r>
              <w:rPr>
                <w:w w:val="112"/>
                <w:sz w:val="18"/>
              </w:rPr>
              <w:t>0</w:t>
            </w:r>
          </w:p>
        </w:tc>
        <w:tc>
          <w:tcPr>
            <w:tcW w:w="2126" w:type="dxa"/>
            <w:tcBorders>
              <w:top w:val="single" w:sz="6" w:space="0" w:color="69BD28"/>
              <w:bottom w:val="single" w:sz="6" w:space="0" w:color="69BD28"/>
            </w:tcBorders>
          </w:tcPr>
          <w:p>
            <w:pPr>
              <w:pStyle w:val="TableParagraph"/>
              <w:spacing w:line="206" w:lineRule="exact" w:before="20"/>
              <w:ind w:left="606" w:right="644"/>
              <w:rPr>
                <w:sz w:val="18"/>
              </w:rPr>
            </w:pPr>
            <w:r>
              <w:rPr>
                <w:w w:val="110"/>
                <w:sz w:val="18"/>
              </w:rPr>
              <w:t>570,784</w:t>
            </w:r>
          </w:p>
        </w:tc>
      </w:tr>
      <w:tr>
        <w:trPr>
          <w:trHeight w:val="253" w:hRule="atLeast"/>
        </w:trPr>
        <w:tc>
          <w:tcPr>
            <w:tcW w:w="2696" w:type="dxa"/>
            <w:tcBorders>
              <w:top w:val="single" w:sz="6" w:space="0" w:color="69BD28"/>
              <w:bottom w:val="single" w:sz="6" w:space="0" w:color="69BD28"/>
            </w:tcBorders>
          </w:tcPr>
          <w:p>
            <w:pPr>
              <w:pStyle w:val="TableParagraph"/>
              <w:spacing w:before="18"/>
              <w:ind w:left="608" w:right="402"/>
              <w:rPr>
                <w:sz w:val="18"/>
              </w:rPr>
            </w:pPr>
            <w:r>
              <w:rPr>
                <w:sz w:val="18"/>
              </w:rPr>
              <w:t>Total</w:t>
            </w:r>
          </w:p>
        </w:tc>
        <w:tc>
          <w:tcPr>
            <w:tcW w:w="2265" w:type="dxa"/>
            <w:tcBorders>
              <w:top w:val="single" w:sz="6" w:space="0" w:color="69BD28"/>
              <w:bottom w:val="single" w:sz="6" w:space="0" w:color="69BD28"/>
            </w:tcBorders>
          </w:tcPr>
          <w:p>
            <w:pPr>
              <w:pStyle w:val="TableParagraph"/>
              <w:jc w:val="left"/>
              <w:rPr>
                <w:rFonts w:ascii="Times New Roman"/>
                <w:sz w:val="18"/>
              </w:rPr>
            </w:pPr>
          </w:p>
        </w:tc>
        <w:tc>
          <w:tcPr>
            <w:tcW w:w="1468" w:type="dxa"/>
            <w:tcBorders>
              <w:top w:val="single" w:sz="6" w:space="0" w:color="69BD28"/>
              <w:bottom w:val="single" w:sz="6" w:space="0" w:color="69BD28"/>
            </w:tcBorders>
          </w:tcPr>
          <w:p>
            <w:pPr>
              <w:pStyle w:val="TableParagraph"/>
              <w:jc w:val="left"/>
              <w:rPr>
                <w:rFonts w:ascii="Times New Roman"/>
                <w:sz w:val="18"/>
              </w:rPr>
            </w:pPr>
          </w:p>
        </w:tc>
        <w:tc>
          <w:tcPr>
            <w:tcW w:w="1933" w:type="dxa"/>
            <w:tcBorders>
              <w:top w:val="single" w:sz="6" w:space="0" w:color="69BD28"/>
              <w:bottom w:val="single" w:sz="6" w:space="0" w:color="69BD28"/>
            </w:tcBorders>
          </w:tcPr>
          <w:p>
            <w:pPr>
              <w:pStyle w:val="TableParagraph"/>
              <w:jc w:val="left"/>
              <w:rPr>
                <w:rFonts w:ascii="Times New Roman"/>
                <w:sz w:val="18"/>
              </w:rPr>
            </w:pPr>
          </w:p>
        </w:tc>
        <w:tc>
          <w:tcPr>
            <w:tcW w:w="2126" w:type="dxa"/>
            <w:tcBorders>
              <w:top w:val="single" w:sz="6" w:space="0" w:color="69BD28"/>
              <w:bottom w:val="single" w:sz="6" w:space="0" w:color="69BD28"/>
            </w:tcBorders>
          </w:tcPr>
          <w:p>
            <w:pPr>
              <w:pStyle w:val="TableParagraph"/>
              <w:spacing w:before="18"/>
              <w:ind w:left="608" w:right="644"/>
              <w:rPr>
                <w:sz w:val="18"/>
              </w:rPr>
            </w:pPr>
            <w:r>
              <w:rPr>
                <w:w w:val="105"/>
                <w:sz w:val="18"/>
              </w:rPr>
              <w:t>2,517,307</w:t>
            </w:r>
          </w:p>
        </w:tc>
      </w:tr>
      <w:tr>
        <w:trPr>
          <w:trHeight w:val="223" w:hRule="atLeast"/>
        </w:trPr>
        <w:tc>
          <w:tcPr>
            <w:tcW w:w="2696" w:type="dxa"/>
            <w:shd w:val="clear" w:color="auto" w:fill="69BD28"/>
          </w:tcPr>
          <w:p>
            <w:pPr>
              <w:pStyle w:val="TableParagraph"/>
              <w:spacing w:line="203" w:lineRule="exact"/>
              <w:ind w:left="611" w:right="402"/>
              <w:rPr>
                <w:b/>
                <w:sz w:val="18"/>
              </w:rPr>
            </w:pPr>
            <w:r>
              <w:rPr>
                <w:b/>
                <w:color w:val="FFFFFF"/>
                <w:w w:val="110"/>
                <w:sz w:val="18"/>
              </w:rPr>
              <w:t>Proposed Blocks</w:t>
            </w:r>
          </w:p>
        </w:tc>
        <w:tc>
          <w:tcPr>
            <w:tcW w:w="2265" w:type="dxa"/>
            <w:shd w:val="clear" w:color="auto" w:fill="69BD28"/>
          </w:tcPr>
          <w:p>
            <w:pPr>
              <w:pStyle w:val="TableParagraph"/>
              <w:jc w:val="left"/>
              <w:rPr>
                <w:rFonts w:ascii="Times New Roman"/>
                <w:sz w:val="14"/>
              </w:rPr>
            </w:pPr>
          </w:p>
        </w:tc>
        <w:tc>
          <w:tcPr>
            <w:tcW w:w="1468" w:type="dxa"/>
            <w:shd w:val="clear" w:color="auto" w:fill="69BD28"/>
          </w:tcPr>
          <w:p>
            <w:pPr>
              <w:pStyle w:val="TableParagraph"/>
              <w:jc w:val="left"/>
              <w:rPr>
                <w:rFonts w:ascii="Times New Roman"/>
                <w:sz w:val="14"/>
              </w:rPr>
            </w:pPr>
          </w:p>
        </w:tc>
        <w:tc>
          <w:tcPr>
            <w:tcW w:w="1933" w:type="dxa"/>
            <w:shd w:val="clear" w:color="auto" w:fill="69BD28"/>
          </w:tcPr>
          <w:p>
            <w:pPr>
              <w:pStyle w:val="TableParagraph"/>
              <w:jc w:val="left"/>
              <w:rPr>
                <w:rFonts w:ascii="Times New Roman"/>
                <w:sz w:val="14"/>
              </w:rPr>
            </w:pPr>
          </w:p>
        </w:tc>
        <w:tc>
          <w:tcPr>
            <w:tcW w:w="2126" w:type="dxa"/>
            <w:shd w:val="clear" w:color="auto" w:fill="69BD28"/>
          </w:tcPr>
          <w:p>
            <w:pPr>
              <w:pStyle w:val="TableParagraph"/>
              <w:jc w:val="left"/>
              <w:rPr>
                <w:rFonts w:ascii="Times New Roman"/>
                <w:sz w:val="14"/>
              </w:rPr>
            </w:pPr>
          </w:p>
        </w:tc>
      </w:tr>
      <w:tr>
        <w:trPr>
          <w:trHeight w:val="246" w:hRule="atLeast"/>
        </w:trPr>
        <w:tc>
          <w:tcPr>
            <w:tcW w:w="2696" w:type="dxa"/>
            <w:tcBorders>
              <w:bottom w:val="single" w:sz="6" w:space="0" w:color="69BD28"/>
            </w:tcBorders>
          </w:tcPr>
          <w:p>
            <w:pPr>
              <w:pStyle w:val="TableParagraph"/>
              <w:spacing w:line="209" w:lineRule="exact" w:before="18"/>
              <w:ind w:left="204"/>
              <w:rPr>
                <w:sz w:val="18"/>
              </w:rPr>
            </w:pPr>
            <w:r>
              <w:rPr>
                <w:w w:val="112"/>
                <w:sz w:val="18"/>
              </w:rPr>
              <w:t>1</w:t>
            </w:r>
          </w:p>
        </w:tc>
        <w:tc>
          <w:tcPr>
            <w:tcW w:w="2265" w:type="dxa"/>
            <w:tcBorders>
              <w:bottom w:val="single" w:sz="6" w:space="0" w:color="69BD28"/>
            </w:tcBorders>
          </w:tcPr>
          <w:p>
            <w:pPr>
              <w:pStyle w:val="TableParagraph"/>
              <w:spacing w:line="209" w:lineRule="exact" w:before="18"/>
              <w:ind w:left="439"/>
              <w:jc w:val="left"/>
              <w:rPr>
                <w:sz w:val="18"/>
              </w:rPr>
            </w:pPr>
            <w:r>
              <w:rPr>
                <w:w w:val="120"/>
                <w:sz w:val="18"/>
              </w:rPr>
              <w:t>B </w:t>
            </w:r>
            <w:r>
              <w:rPr>
                <w:w w:val="140"/>
                <w:sz w:val="18"/>
              </w:rPr>
              <w:t>+ </w:t>
            </w:r>
            <w:r>
              <w:rPr>
                <w:w w:val="120"/>
                <w:sz w:val="18"/>
              </w:rPr>
              <w:t>S </w:t>
            </w:r>
            <w:r>
              <w:rPr>
                <w:w w:val="140"/>
                <w:sz w:val="18"/>
              </w:rPr>
              <w:t>+ </w:t>
            </w:r>
            <w:r>
              <w:rPr>
                <w:w w:val="120"/>
                <w:sz w:val="18"/>
              </w:rPr>
              <w:t>G </w:t>
            </w:r>
            <w:r>
              <w:rPr>
                <w:w w:val="140"/>
                <w:sz w:val="18"/>
              </w:rPr>
              <w:t>+ </w:t>
            </w:r>
            <w:r>
              <w:rPr>
                <w:w w:val="120"/>
                <w:sz w:val="18"/>
              </w:rPr>
              <w:t>12</w:t>
            </w:r>
          </w:p>
        </w:tc>
        <w:tc>
          <w:tcPr>
            <w:tcW w:w="1468" w:type="dxa"/>
            <w:tcBorders>
              <w:bottom w:val="single" w:sz="6" w:space="0" w:color="69BD28"/>
            </w:tcBorders>
          </w:tcPr>
          <w:p>
            <w:pPr>
              <w:pStyle w:val="TableParagraph"/>
              <w:spacing w:line="209" w:lineRule="exact" w:before="18"/>
              <w:ind w:left="502"/>
              <w:jc w:val="left"/>
              <w:rPr>
                <w:sz w:val="18"/>
              </w:rPr>
            </w:pPr>
            <w:r>
              <w:rPr>
                <w:sz w:val="18"/>
              </w:rPr>
              <w:t>SEZ</w:t>
            </w:r>
          </w:p>
        </w:tc>
        <w:tc>
          <w:tcPr>
            <w:tcW w:w="1933" w:type="dxa"/>
            <w:tcBorders>
              <w:bottom w:val="single" w:sz="6" w:space="0" w:color="69BD28"/>
            </w:tcBorders>
          </w:tcPr>
          <w:p>
            <w:pPr>
              <w:pStyle w:val="TableParagraph"/>
              <w:spacing w:line="209" w:lineRule="exact" w:before="18"/>
              <w:ind w:left="658" w:right="607"/>
              <w:rPr>
                <w:sz w:val="18"/>
              </w:rPr>
            </w:pPr>
            <w:r>
              <w:rPr>
                <w:w w:val="115"/>
                <w:sz w:val="18"/>
              </w:rPr>
              <w:t>NA</w:t>
            </w:r>
          </w:p>
        </w:tc>
        <w:tc>
          <w:tcPr>
            <w:tcW w:w="2126" w:type="dxa"/>
            <w:tcBorders>
              <w:bottom w:val="single" w:sz="6" w:space="0" w:color="69BD28"/>
            </w:tcBorders>
          </w:tcPr>
          <w:p>
            <w:pPr>
              <w:pStyle w:val="TableParagraph"/>
              <w:spacing w:line="209" w:lineRule="exact" w:before="18"/>
              <w:ind w:left="606" w:right="644"/>
              <w:rPr>
                <w:sz w:val="18"/>
              </w:rPr>
            </w:pPr>
            <w:r>
              <w:rPr>
                <w:w w:val="110"/>
                <w:sz w:val="18"/>
              </w:rPr>
              <w:t>737,000</w:t>
            </w:r>
          </w:p>
        </w:tc>
      </w:tr>
      <w:tr>
        <w:trPr>
          <w:trHeight w:val="247" w:hRule="atLeast"/>
        </w:trPr>
        <w:tc>
          <w:tcPr>
            <w:tcW w:w="2696" w:type="dxa"/>
            <w:tcBorders>
              <w:top w:val="single" w:sz="6" w:space="0" w:color="69BD28"/>
              <w:bottom w:val="single" w:sz="6" w:space="0" w:color="69BD28"/>
            </w:tcBorders>
          </w:tcPr>
          <w:p>
            <w:pPr>
              <w:pStyle w:val="TableParagraph"/>
              <w:spacing w:line="209" w:lineRule="exact" w:before="18"/>
              <w:ind w:left="608" w:right="402"/>
              <w:rPr>
                <w:sz w:val="18"/>
              </w:rPr>
            </w:pPr>
            <w:r>
              <w:rPr>
                <w:sz w:val="18"/>
              </w:rPr>
              <w:t>Total</w:t>
            </w:r>
          </w:p>
        </w:tc>
        <w:tc>
          <w:tcPr>
            <w:tcW w:w="2265" w:type="dxa"/>
            <w:tcBorders>
              <w:top w:val="single" w:sz="6" w:space="0" w:color="69BD28"/>
              <w:bottom w:val="single" w:sz="6" w:space="0" w:color="69BD28"/>
            </w:tcBorders>
          </w:tcPr>
          <w:p>
            <w:pPr>
              <w:pStyle w:val="TableParagraph"/>
              <w:jc w:val="left"/>
              <w:rPr>
                <w:rFonts w:ascii="Times New Roman"/>
                <w:sz w:val="18"/>
              </w:rPr>
            </w:pPr>
          </w:p>
        </w:tc>
        <w:tc>
          <w:tcPr>
            <w:tcW w:w="1468" w:type="dxa"/>
            <w:tcBorders>
              <w:top w:val="single" w:sz="6" w:space="0" w:color="69BD28"/>
              <w:bottom w:val="single" w:sz="6" w:space="0" w:color="69BD28"/>
            </w:tcBorders>
          </w:tcPr>
          <w:p>
            <w:pPr>
              <w:pStyle w:val="TableParagraph"/>
              <w:jc w:val="left"/>
              <w:rPr>
                <w:rFonts w:ascii="Times New Roman"/>
                <w:sz w:val="18"/>
              </w:rPr>
            </w:pPr>
          </w:p>
        </w:tc>
        <w:tc>
          <w:tcPr>
            <w:tcW w:w="1933" w:type="dxa"/>
            <w:tcBorders>
              <w:top w:val="single" w:sz="6" w:space="0" w:color="69BD28"/>
              <w:bottom w:val="single" w:sz="6" w:space="0" w:color="69BD28"/>
            </w:tcBorders>
          </w:tcPr>
          <w:p>
            <w:pPr>
              <w:pStyle w:val="TableParagraph"/>
              <w:jc w:val="left"/>
              <w:rPr>
                <w:rFonts w:ascii="Times New Roman"/>
                <w:sz w:val="18"/>
              </w:rPr>
            </w:pPr>
          </w:p>
        </w:tc>
        <w:tc>
          <w:tcPr>
            <w:tcW w:w="2126" w:type="dxa"/>
            <w:tcBorders>
              <w:top w:val="single" w:sz="6" w:space="0" w:color="69BD28"/>
              <w:bottom w:val="single" w:sz="6" w:space="0" w:color="69BD28"/>
            </w:tcBorders>
          </w:tcPr>
          <w:p>
            <w:pPr>
              <w:pStyle w:val="TableParagraph"/>
              <w:spacing w:line="209" w:lineRule="exact" w:before="18"/>
              <w:ind w:left="608" w:right="644"/>
              <w:rPr>
                <w:sz w:val="18"/>
              </w:rPr>
            </w:pPr>
            <w:r>
              <w:rPr>
                <w:w w:val="110"/>
                <w:sz w:val="18"/>
              </w:rPr>
              <w:t>737,000</w:t>
            </w:r>
          </w:p>
        </w:tc>
      </w:tr>
    </w:tbl>
    <w:p>
      <w:pPr>
        <w:spacing w:before="0"/>
        <w:ind w:left="192" w:right="0" w:firstLine="0"/>
        <w:jc w:val="left"/>
        <w:rPr>
          <w:i/>
          <w:sz w:val="18"/>
        </w:rPr>
      </w:pPr>
      <w:r>
        <w:rPr>
          <w:i/>
          <w:sz w:val="18"/>
        </w:rPr>
        <w:t>Source: Rent roll, Occupancy/ Completion Certificates provided by Client</w:t>
      </w:r>
    </w:p>
    <w:p>
      <w:pPr>
        <w:spacing w:before="69"/>
        <w:ind w:left="140" w:right="0" w:firstLine="0"/>
        <w:jc w:val="left"/>
        <w:rPr>
          <w:i/>
          <w:sz w:val="18"/>
        </w:rPr>
      </w:pPr>
      <w:r>
        <w:rPr>
          <w:i/>
          <w:sz w:val="18"/>
        </w:rPr>
        <w:t>* Excluding 9</w:t>
      </w:r>
      <w:r>
        <w:rPr>
          <w:i/>
          <w:position w:val="6"/>
          <w:sz w:val="11"/>
        </w:rPr>
        <w:t>th </w:t>
      </w:r>
      <w:r>
        <w:rPr>
          <w:i/>
          <w:sz w:val="18"/>
        </w:rPr>
        <w:t>floor</w:t>
      </w:r>
    </w:p>
    <w:p>
      <w:pPr>
        <w:spacing w:after="0"/>
        <w:jc w:val="left"/>
        <w:rPr>
          <w:sz w:val="18"/>
        </w:rPr>
        <w:sectPr>
          <w:pgSz w:w="11910" w:h="16840"/>
          <w:pgMar w:header="720" w:footer="921" w:top="1660" w:bottom="1120" w:left="580" w:right="600"/>
        </w:sectPr>
      </w:pPr>
    </w:p>
    <w:p>
      <w:pPr>
        <w:pStyle w:val="BodyText"/>
        <w:spacing w:before="5" w:after="1"/>
        <w:rPr>
          <w:i/>
          <w:sz w:val="17"/>
        </w:rPr>
      </w:pPr>
    </w:p>
    <w:tbl>
      <w:tblPr>
        <w:tblW w:w="0" w:type="auto"/>
        <w:jc w:val="left"/>
        <w:tblInd w:w="1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24"/>
        <w:gridCol w:w="2716"/>
        <w:gridCol w:w="2899"/>
        <w:gridCol w:w="2151"/>
      </w:tblGrid>
      <w:tr>
        <w:trPr>
          <w:trHeight w:val="433" w:hRule="atLeast"/>
        </w:trPr>
        <w:tc>
          <w:tcPr>
            <w:tcW w:w="2724" w:type="dxa"/>
            <w:tcBorders>
              <w:top w:val="single" w:sz="6" w:space="0" w:color="69BD28"/>
              <w:bottom w:val="single" w:sz="6" w:space="0" w:color="69BD28"/>
            </w:tcBorders>
            <w:shd w:val="clear" w:color="auto" w:fill="006A4D"/>
          </w:tcPr>
          <w:p>
            <w:pPr>
              <w:pStyle w:val="TableParagraph"/>
              <w:spacing w:before="121"/>
              <w:ind w:left="494" w:right="462"/>
              <w:rPr>
                <w:b/>
                <w:sz w:val="18"/>
              </w:rPr>
            </w:pPr>
            <w:r>
              <w:rPr>
                <w:b/>
                <w:color w:val="FFFFFF"/>
                <w:w w:val="110"/>
                <w:sz w:val="18"/>
              </w:rPr>
              <w:t>Details</w:t>
            </w:r>
          </w:p>
        </w:tc>
        <w:tc>
          <w:tcPr>
            <w:tcW w:w="2716" w:type="dxa"/>
            <w:tcBorders>
              <w:top w:val="single" w:sz="6" w:space="0" w:color="69BD28"/>
              <w:bottom w:val="single" w:sz="6" w:space="0" w:color="69BD28"/>
            </w:tcBorders>
            <w:shd w:val="clear" w:color="auto" w:fill="006A4D"/>
          </w:tcPr>
          <w:p>
            <w:pPr>
              <w:pStyle w:val="TableParagraph"/>
              <w:spacing w:before="121"/>
              <w:ind w:left="528" w:right="352"/>
              <w:rPr>
                <w:b/>
                <w:sz w:val="18"/>
              </w:rPr>
            </w:pPr>
            <w:r>
              <w:rPr>
                <w:b/>
                <w:color w:val="FFFFFF"/>
                <w:w w:val="110"/>
                <w:sz w:val="18"/>
              </w:rPr>
              <w:t>Completed Blocks</w:t>
            </w:r>
          </w:p>
        </w:tc>
        <w:tc>
          <w:tcPr>
            <w:tcW w:w="2899" w:type="dxa"/>
            <w:tcBorders>
              <w:top w:val="single" w:sz="6" w:space="0" w:color="69BD28"/>
              <w:bottom w:val="single" w:sz="6" w:space="0" w:color="69BD28"/>
            </w:tcBorders>
            <w:shd w:val="clear" w:color="auto" w:fill="006A4D"/>
          </w:tcPr>
          <w:p>
            <w:pPr>
              <w:pStyle w:val="TableParagraph"/>
              <w:spacing w:before="121"/>
              <w:ind w:left="322" w:right="198"/>
              <w:rPr>
                <w:b/>
                <w:sz w:val="18"/>
              </w:rPr>
            </w:pPr>
            <w:r>
              <w:rPr>
                <w:b/>
                <w:color w:val="FFFFFF"/>
                <w:w w:val="105"/>
                <w:sz w:val="18"/>
              </w:rPr>
              <w:t>Under Construction Blocks</w:t>
            </w:r>
          </w:p>
        </w:tc>
        <w:tc>
          <w:tcPr>
            <w:tcW w:w="2151" w:type="dxa"/>
            <w:tcBorders>
              <w:top w:val="single" w:sz="6" w:space="0" w:color="69BD28"/>
              <w:bottom w:val="single" w:sz="6" w:space="0" w:color="69BD28"/>
            </w:tcBorders>
            <w:shd w:val="clear" w:color="auto" w:fill="006A4D"/>
          </w:tcPr>
          <w:p>
            <w:pPr>
              <w:pStyle w:val="TableParagraph"/>
              <w:spacing w:before="121"/>
              <w:ind w:left="131" w:right="165"/>
              <w:rPr>
                <w:b/>
                <w:sz w:val="18"/>
              </w:rPr>
            </w:pPr>
            <w:r>
              <w:rPr>
                <w:b/>
                <w:color w:val="FFFFFF"/>
                <w:w w:val="110"/>
                <w:sz w:val="18"/>
              </w:rPr>
              <w:t>Proposed Blocks</w:t>
            </w:r>
          </w:p>
        </w:tc>
      </w:tr>
      <w:tr>
        <w:trPr>
          <w:trHeight w:val="272" w:hRule="atLeast"/>
        </w:trPr>
        <w:tc>
          <w:tcPr>
            <w:tcW w:w="2724" w:type="dxa"/>
            <w:tcBorders>
              <w:top w:val="single" w:sz="6" w:space="0" w:color="69BD28"/>
              <w:bottom w:val="single" w:sz="6" w:space="0" w:color="69BD28"/>
            </w:tcBorders>
          </w:tcPr>
          <w:p>
            <w:pPr>
              <w:pStyle w:val="TableParagraph"/>
              <w:spacing w:before="40"/>
              <w:ind w:left="497" w:right="462"/>
              <w:rPr>
                <w:sz w:val="18"/>
              </w:rPr>
            </w:pPr>
            <w:r>
              <w:rPr>
                <w:sz w:val="18"/>
              </w:rPr>
              <w:t>Grade of the Building</w:t>
            </w:r>
          </w:p>
        </w:tc>
        <w:tc>
          <w:tcPr>
            <w:tcW w:w="2716" w:type="dxa"/>
            <w:tcBorders>
              <w:top w:val="single" w:sz="6" w:space="0" w:color="69BD28"/>
              <w:bottom w:val="single" w:sz="6" w:space="0" w:color="69BD28"/>
            </w:tcBorders>
          </w:tcPr>
          <w:p>
            <w:pPr>
              <w:pStyle w:val="TableParagraph"/>
              <w:spacing w:before="40"/>
              <w:ind w:left="528" w:right="356"/>
              <w:rPr>
                <w:sz w:val="18"/>
              </w:rPr>
            </w:pPr>
            <w:r>
              <w:rPr>
                <w:w w:val="105"/>
                <w:sz w:val="18"/>
              </w:rPr>
              <w:t>Grade A</w:t>
            </w:r>
          </w:p>
        </w:tc>
        <w:tc>
          <w:tcPr>
            <w:tcW w:w="2899" w:type="dxa"/>
            <w:tcBorders>
              <w:top w:val="single" w:sz="6" w:space="0" w:color="69BD28"/>
              <w:bottom w:val="single" w:sz="6" w:space="0" w:color="69BD28"/>
            </w:tcBorders>
          </w:tcPr>
          <w:p>
            <w:pPr>
              <w:pStyle w:val="TableParagraph"/>
              <w:spacing w:before="40"/>
              <w:ind w:left="320" w:right="198"/>
              <w:rPr>
                <w:sz w:val="18"/>
              </w:rPr>
            </w:pPr>
            <w:r>
              <w:rPr>
                <w:w w:val="115"/>
                <w:sz w:val="18"/>
              </w:rPr>
              <w:t>NA</w:t>
            </w:r>
          </w:p>
        </w:tc>
        <w:tc>
          <w:tcPr>
            <w:tcW w:w="2151" w:type="dxa"/>
            <w:tcBorders>
              <w:top w:val="single" w:sz="6" w:space="0" w:color="69BD28"/>
              <w:bottom w:val="single" w:sz="6" w:space="0" w:color="69BD28"/>
            </w:tcBorders>
          </w:tcPr>
          <w:p>
            <w:pPr>
              <w:pStyle w:val="TableParagraph"/>
              <w:spacing w:before="40"/>
              <w:ind w:left="131" w:right="168"/>
              <w:rPr>
                <w:sz w:val="18"/>
              </w:rPr>
            </w:pPr>
            <w:r>
              <w:rPr>
                <w:w w:val="115"/>
                <w:sz w:val="18"/>
              </w:rPr>
              <w:t>NA</w:t>
            </w:r>
          </w:p>
        </w:tc>
      </w:tr>
      <w:tr>
        <w:trPr>
          <w:trHeight w:val="270" w:hRule="atLeast"/>
        </w:trPr>
        <w:tc>
          <w:tcPr>
            <w:tcW w:w="2724" w:type="dxa"/>
            <w:tcBorders>
              <w:top w:val="single" w:sz="6" w:space="0" w:color="69BD28"/>
              <w:bottom w:val="single" w:sz="6" w:space="0" w:color="69BD28"/>
            </w:tcBorders>
          </w:tcPr>
          <w:p>
            <w:pPr>
              <w:pStyle w:val="TableParagraph"/>
              <w:spacing w:before="40"/>
              <w:ind w:left="492" w:right="462"/>
              <w:rPr>
                <w:sz w:val="18"/>
              </w:rPr>
            </w:pPr>
            <w:r>
              <w:rPr>
                <w:sz w:val="18"/>
              </w:rPr>
              <w:t>LEED Certification</w:t>
            </w:r>
          </w:p>
        </w:tc>
        <w:tc>
          <w:tcPr>
            <w:tcW w:w="2716" w:type="dxa"/>
            <w:tcBorders>
              <w:top w:val="single" w:sz="6" w:space="0" w:color="69BD28"/>
              <w:bottom w:val="single" w:sz="6" w:space="0" w:color="69BD28"/>
            </w:tcBorders>
          </w:tcPr>
          <w:p>
            <w:pPr>
              <w:pStyle w:val="TableParagraph"/>
              <w:spacing w:before="40"/>
              <w:ind w:left="528" w:right="355"/>
              <w:rPr>
                <w:sz w:val="18"/>
              </w:rPr>
            </w:pPr>
            <w:r>
              <w:rPr>
                <w:w w:val="105"/>
                <w:sz w:val="18"/>
              </w:rPr>
              <w:t>Gold</w:t>
            </w:r>
          </w:p>
        </w:tc>
        <w:tc>
          <w:tcPr>
            <w:tcW w:w="2899" w:type="dxa"/>
            <w:tcBorders>
              <w:top w:val="single" w:sz="6" w:space="0" w:color="69BD28"/>
              <w:bottom w:val="single" w:sz="6" w:space="0" w:color="69BD28"/>
            </w:tcBorders>
          </w:tcPr>
          <w:p>
            <w:pPr>
              <w:pStyle w:val="TableParagraph"/>
              <w:spacing w:before="40"/>
              <w:ind w:left="320" w:right="198"/>
              <w:rPr>
                <w:sz w:val="18"/>
              </w:rPr>
            </w:pPr>
            <w:r>
              <w:rPr>
                <w:w w:val="115"/>
                <w:sz w:val="18"/>
              </w:rPr>
              <w:t>NA</w:t>
            </w:r>
          </w:p>
        </w:tc>
        <w:tc>
          <w:tcPr>
            <w:tcW w:w="2151" w:type="dxa"/>
            <w:tcBorders>
              <w:top w:val="single" w:sz="6" w:space="0" w:color="69BD28"/>
              <w:bottom w:val="single" w:sz="6" w:space="0" w:color="69BD28"/>
            </w:tcBorders>
          </w:tcPr>
          <w:p>
            <w:pPr>
              <w:pStyle w:val="TableParagraph"/>
              <w:spacing w:before="40"/>
              <w:ind w:left="131" w:right="165"/>
              <w:rPr>
                <w:sz w:val="18"/>
              </w:rPr>
            </w:pPr>
            <w:r>
              <w:rPr>
                <w:sz w:val="18"/>
              </w:rPr>
              <w:t>Gold Pre-Certification</w:t>
            </w:r>
          </w:p>
        </w:tc>
      </w:tr>
      <w:tr>
        <w:trPr>
          <w:trHeight w:val="272" w:hRule="atLeast"/>
        </w:trPr>
        <w:tc>
          <w:tcPr>
            <w:tcW w:w="2724" w:type="dxa"/>
            <w:tcBorders>
              <w:top w:val="single" w:sz="6" w:space="0" w:color="69BD28"/>
              <w:bottom w:val="single" w:sz="6" w:space="0" w:color="69BD28"/>
            </w:tcBorders>
          </w:tcPr>
          <w:p>
            <w:pPr>
              <w:pStyle w:val="TableParagraph"/>
              <w:spacing w:before="40"/>
              <w:ind w:left="494" w:right="462"/>
              <w:rPr>
                <w:sz w:val="18"/>
              </w:rPr>
            </w:pPr>
            <w:r>
              <w:rPr>
                <w:sz w:val="18"/>
              </w:rPr>
              <w:t>Structural Design</w:t>
            </w:r>
          </w:p>
        </w:tc>
        <w:tc>
          <w:tcPr>
            <w:tcW w:w="2716" w:type="dxa"/>
            <w:tcBorders>
              <w:top w:val="single" w:sz="6" w:space="0" w:color="69BD28"/>
              <w:bottom w:val="single" w:sz="6" w:space="0" w:color="69BD28"/>
            </w:tcBorders>
          </w:tcPr>
          <w:p>
            <w:pPr>
              <w:pStyle w:val="TableParagraph"/>
              <w:spacing w:before="40"/>
              <w:ind w:left="528" w:right="356"/>
              <w:rPr>
                <w:sz w:val="18"/>
              </w:rPr>
            </w:pPr>
            <w:r>
              <w:rPr>
                <w:w w:val="115"/>
                <w:sz w:val="18"/>
              </w:rPr>
              <w:t>B+S+G to B+S+G+12</w:t>
            </w:r>
          </w:p>
        </w:tc>
        <w:tc>
          <w:tcPr>
            <w:tcW w:w="2899" w:type="dxa"/>
            <w:tcBorders>
              <w:top w:val="single" w:sz="6" w:space="0" w:color="69BD28"/>
              <w:bottom w:val="single" w:sz="6" w:space="0" w:color="69BD28"/>
            </w:tcBorders>
          </w:tcPr>
          <w:p>
            <w:pPr>
              <w:pStyle w:val="TableParagraph"/>
              <w:spacing w:before="40"/>
              <w:ind w:left="320" w:right="198"/>
              <w:rPr>
                <w:sz w:val="18"/>
              </w:rPr>
            </w:pPr>
            <w:r>
              <w:rPr>
                <w:w w:val="115"/>
                <w:sz w:val="18"/>
              </w:rPr>
              <w:t>NA</w:t>
            </w:r>
          </w:p>
        </w:tc>
        <w:tc>
          <w:tcPr>
            <w:tcW w:w="2151" w:type="dxa"/>
            <w:tcBorders>
              <w:top w:val="single" w:sz="6" w:space="0" w:color="69BD28"/>
              <w:bottom w:val="single" w:sz="6" w:space="0" w:color="69BD28"/>
            </w:tcBorders>
          </w:tcPr>
          <w:p>
            <w:pPr>
              <w:pStyle w:val="TableParagraph"/>
              <w:spacing w:before="40"/>
              <w:ind w:left="131" w:right="166"/>
              <w:rPr>
                <w:sz w:val="18"/>
              </w:rPr>
            </w:pPr>
            <w:r>
              <w:rPr>
                <w:w w:val="130"/>
                <w:sz w:val="18"/>
              </w:rPr>
              <w:t>B+S+G+12</w:t>
            </w:r>
          </w:p>
        </w:tc>
      </w:tr>
      <w:tr>
        <w:trPr>
          <w:trHeight w:val="273" w:hRule="atLeast"/>
        </w:trPr>
        <w:tc>
          <w:tcPr>
            <w:tcW w:w="2724" w:type="dxa"/>
            <w:tcBorders>
              <w:top w:val="single" w:sz="6" w:space="0" w:color="69BD28"/>
              <w:bottom w:val="single" w:sz="6" w:space="0" w:color="69BD28"/>
            </w:tcBorders>
          </w:tcPr>
          <w:p>
            <w:pPr>
              <w:pStyle w:val="TableParagraph"/>
              <w:spacing w:before="40"/>
              <w:ind w:left="497" w:right="462"/>
              <w:rPr>
                <w:sz w:val="18"/>
              </w:rPr>
            </w:pPr>
            <w:r>
              <w:rPr>
                <w:sz w:val="18"/>
              </w:rPr>
              <w:t>Status of Finishing</w:t>
            </w:r>
          </w:p>
        </w:tc>
        <w:tc>
          <w:tcPr>
            <w:tcW w:w="2716" w:type="dxa"/>
            <w:tcBorders>
              <w:top w:val="single" w:sz="6" w:space="0" w:color="69BD28"/>
              <w:bottom w:val="single" w:sz="6" w:space="0" w:color="69BD28"/>
            </w:tcBorders>
          </w:tcPr>
          <w:p>
            <w:pPr>
              <w:pStyle w:val="TableParagraph"/>
              <w:spacing w:before="40"/>
              <w:ind w:left="528" w:right="355"/>
              <w:rPr>
                <w:sz w:val="18"/>
              </w:rPr>
            </w:pPr>
            <w:r>
              <w:rPr>
                <w:sz w:val="18"/>
              </w:rPr>
              <w:t>Warm Shell</w:t>
            </w:r>
          </w:p>
        </w:tc>
        <w:tc>
          <w:tcPr>
            <w:tcW w:w="2899" w:type="dxa"/>
            <w:tcBorders>
              <w:top w:val="single" w:sz="6" w:space="0" w:color="69BD28"/>
              <w:bottom w:val="single" w:sz="6" w:space="0" w:color="69BD28"/>
            </w:tcBorders>
          </w:tcPr>
          <w:p>
            <w:pPr>
              <w:pStyle w:val="TableParagraph"/>
              <w:spacing w:before="40"/>
              <w:ind w:left="320" w:right="198"/>
              <w:rPr>
                <w:sz w:val="18"/>
              </w:rPr>
            </w:pPr>
            <w:r>
              <w:rPr>
                <w:w w:val="115"/>
                <w:sz w:val="18"/>
              </w:rPr>
              <w:t>NA</w:t>
            </w:r>
          </w:p>
        </w:tc>
        <w:tc>
          <w:tcPr>
            <w:tcW w:w="2151" w:type="dxa"/>
            <w:tcBorders>
              <w:top w:val="single" w:sz="6" w:space="0" w:color="69BD28"/>
              <w:bottom w:val="single" w:sz="6" w:space="0" w:color="69BD28"/>
            </w:tcBorders>
          </w:tcPr>
          <w:p>
            <w:pPr>
              <w:pStyle w:val="TableParagraph"/>
              <w:spacing w:before="40"/>
              <w:ind w:left="131" w:right="168"/>
              <w:rPr>
                <w:sz w:val="18"/>
              </w:rPr>
            </w:pPr>
            <w:r>
              <w:rPr>
                <w:w w:val="115"/>
                <w:sz w:val="18"/>
              </w:rPr>
              <w:t>NA</w:t>
            </w:r>
          </w:p>
        </w:tc>
      </w:tr>
    </w:tbl>
    <w:p>
      <w:pPr>
        <w:spacing w:after="0"/>
        <w:rPr>
          <w:sz w:val="18"/>
        </w:rPr>
        <w:sectPr>
          <w:pgSz w:w="11910" w:h="16840"/>
          <w:pgMar w:header="720" w:footer="921" w:top="1660" w:bottom="1120" w:left="580" w:right="600"/>
        </w:sectPr>
      </w:pPr>
    </w:p>
    <w:p>
      <w:pPr>
        <w:tabs>
          <w:tab w:pos="3174" w:val="left" w:leader="none"/>
        </w:tabs>
        <w:spacing w:line="156" w:lineRule="auto" w:before="24"/>
        <w:ind w:left="341" w:right="0" w:firstLine="0"/>
        <w:jc w:val="left"/>
        <w:rPr>
          <w:sz w:val="18"/>
        </w:rPr>
      </w:pPr>
      <w:r>
        <w:rPr>
          <w:position w:val="-10"/>
          <w:sz w:val="18"/>
        </w:rPr>
        <w:t>Comments</w:t>
      </w:r>
      <w:r>
        <w:rPr>
          <w:spacing w:val="-2"/>
          <w:position w:val="-10"/>
          <w:sz w:val="18"/>
        </w:rPr>
        <w:t> </w:t>
      </w:r>
      <w:r>
        <w:rPr>
          <w:position w:val="-10"/>
          <w:sz w:val="18"/>
        </w:rPr>
        <w:t>on </w:t>
      </w:r>
      <w:r>
        <w:rPr>
          <w:spacing w:val="8"/>
          <w:position w:val="-10"/>
          <w:sz w:val="18"/>
        </w:rPr>
        <w:t> </w:t>
      </w:r>
      <w:r>
        <w:rPr>
          <w:position w:val="-10"/>
          <w:sz w:val="18"/>
        </w:rPr>
        <w:t>Obsolescence</w:t>
        <w:tab/>
      </w:r>
      <w:r>
        <w:rPr>
          <w:sz w:val="18"/>
        </w:rPr>
        <w:t>The</w:t>
      </w:r>
      <w:r>
        <w:rPr>
          <w:spacing w:val="-29"/>
          <w:sz w:val="18"/>
        </w:rPr>
        <w:t> </w:t>
      </w:r>
      <w:r>
        <w:rPr>
          <w:sz w:val="18"/>
        </w:rPr>
        <w:t>building</w:t>
      </w:r>
      <w:r>
        <w:rPr>
          <w:spacing w:val="-30"/>
          <w:sz w:val="18"/>
        </w:rPr>
        <w:t> </w:t>
      </w:r>
      <w:r>
        <w:rPr>
          <w:sz w:val="18"/>
        </w:rPr>
        <w:t>is</w:t>
      </w:r>
      <w:r>
        <w:rPr>
          <w:spacing w:val="-30"/>
          <w:sz w:val="18"/>
        </w:rPr>
        <w:t> </w:t>
      </w:r>
      <w:r>
        <w:rPr>
          <w:sz w:val="18"/>
        </w:rPr>
        <w:t>currently</w:t>
      </w:r>
      <w:r>
        <w:rPr>
          <w:spacing w:val="-30"/>
          <w:sz w:val="18"/>
        </w:rPr>
        <w:t> </w:t>
      </w:r>
      <w:r>
        <w:rPr>
          <w:sz w:val="18"/>
        </w:rPr>
        <w:t>well</w:t>
      </w:r>
    </w:p>
    <w:p>
      <w:pPr>
        <w:spacing w:line="157" w:lineRule="exact" w:before="0"/>
        <w:ind w:left="0" w:right="706" w:firstLine="0"/>
        <w:jc w:val="right"/>
        <w:rPr>
          <w:sz w:val="18"/>
        </w:rPr>
      </w:pPr>
      <w:r>
        <w:rPr>
          <w:w w:val="95"/>
          <w:sz w:val="18"/>
        </w:rPr>
        <w:t>maintained</w:t>
      </w:r>
    </w:p>
    <w:p>
      <w:pPr>
        <w:tabs>
          <w:tab w:pos="2785" w:val="left" w:leader="none"/>
        </w:tabs>
        <w:spacing w:before="112"/>
        <w:ind w:left="341" w:right="0" w:firstLine="0"/>
        <w:jc w:val="left"/>
        <w:rPr>
          <w:sz w:val="18"/>
        </w:rPr>
      </w:pPr>
      <w:r>
        <w:rPr/>
        <w:br w:type="column"/>
      </w:r>
      <w:r>
        <w:rPr>
          <w:w w:val="115"/>
          <w:sz w:val="18"/>
        </w:rPr>
        <w:t>NA</w:t>
        <w:tab/>
        <w:t>NA</w:t>
      </w:r>
    </w:p>
    <w:p>
      <w:pPr>
        <w:spacing w:after="0"/>
        <w:jc w:val="left"/>
        <w:rPr>
          <w:sz w:val="18"/>
        </w:rPr>
        <w:sectPr>
          <w:type w:val="continuous"/>
          <w:pgSz w:w="11910" w:h="16840"/>
          <w:pgMar w:top="800" w:bottom="280" w:left="580" w:right="600"/>
          <w:cols w:num="2" w:equalWidth="0">
            <w:col w:w="5440" w:space="1162"/>
            <w:col w:w="4128"/>
          </w:cols>
        </w:sectPr>
      </w:pPr>
    </w:p>
    <w:p>
      <w:pPr>
        <w:pStyle w:val="BodyText"/>
        <w:spacing w:line="20" w:lineRule="exact"/>
        <w:ind w:left="118"/>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2"/>
        <w:ind w:left="140" w:right="0" w:firstLine="0"/>
        <w:jc w:val="left"/>
        <w:rPr>
          <w:i/>
          <w:sz w:val="18"/>
        </w:rPr>
      </w:pPr>
      <w:r>
        <w:rPr>
          <w:i/>
          <w:sz w:val="20"/>
        </w:rPr>
        <w:t>Source: </w:t>
      </w:r>
      <w:r>
        <w:rPr>
          <w:i/>
          <w:sz w:val="18"/>
        </w:rPr>
        <w:t>Rent roll/ information provided by Client, Site visit undertaken by the Consultants</w:t>
      </w:r>
    </w:p>
    <w:p>
      <w:pPr>
        <w:pStyle w:val="BodyText"/>
        <w:spacing w:before="4"/>
        <w:rPr>
          <w:i/>
          <w:sz w:val="21"/>
        </w:rPr>
      </w:pPr>
    </w:p>
    <w:p>
      <w:pPr>
        <w:pStyle w:val="ListParagraph"/>
        <w:numPr>
          <w:ilvl w:val="2"/>
          <w:numId w:val="14"/>
        </w:numPr>
        <w:tabs>
          <w:tab w:pos="861" w:val="left" w:leader="none"/>
        </w:tabs>
        <w:spacing w:line="240" w:lineRule="auto" w:before="0" w:after="0"/>
        <w:ind w:left="860" w:right="0" w:hanging="721"/>
        <w:jc w:val="left"/>
        <w:rPr>
          <w:sz w:val="22"/>
        </w:rPr>
      </w:pPr>
      <w:bookmarkStart w:name="_bookmark247" w:id="482"/>
      <w:bookmarkEnd w:id="482"/>
      <w:r>
        <w:rPr/>
      </w:r>
      <w:bookmarkStart w:name="_bookmark247" w:id="483"/>
      <w:bookmarkEnd w:id="483"/>
      <w:r>
        <w:rPr>
          <w:color w:val="1F664D"/>
          <w:sz w:val="22"/>
        </w:rPr>
        <w:t>S</w:t>
      </w:r>
      <w:r>
        <w:rPr>
          <w:color w:val="1F664D"/>
          <w:sz w:val="22"/>
        </w:rPr>
        <w:t>ite Services and</w:t>
      </w:r>
      <w:r>
        <w:rPr>
          <w:color w:val="1F664D"/>
          <w:spacing w:val="-4"/>
          <w:sz w:val="22"/>
        </w:rPr>
        <w:t> </w:t>
      </w:r>
      <w:r>
        <w:rPr>
          <w:color w:val="1F664D"/>
          <w:sz w:val="22"/>
        </w:rPr>
        <w:t>Finishes</w:t>
      </w:r>
    </w:p>
    <w:p>
      <w:pPr>
        <w:pStyle w:val="BodyText"/>
        <w:spacing w:before="2"/>
        <w:rPr>
          <w:sz w:val="14"/>
        </w:rPr>
      </w:pPr>
      <w:r>
        <w:rPr/>
        <w:pict>
          <v:group style="position:absolute;margin-left:34.919998pt;margin-top:10.183392pt;width:524.65pt;height:15.9pt;mso-position-horizontal-relative:page;mso-position-vertical-relative:paragraph;z-index:-15142400;mso-wrap-distance-left:0;mso-wrap-distance-right:0" coordorigin="698,204" coordsize="10493,318">
            <v:shape style="position:absolute;left:720;top:218;width:10472;height:289" coordorigin="720,218" coordsize="10472,289" path="m11191,218l5956,218,720,218,720,507,5956,507,11191,507,11191,218xe" filled="true" fillcolor="#006a4d" stroked="false">
              <v:path arrowok="t"/>
              <v:fill type="solid"/>
            </v:shape>
            <v:shape style="position:absolute;left:720;top:203;width:10472;height:318" coordorigin="720,204" coordsize="10472,318" path="m11191,507l5970,507,5956,507,720,507,720,521,5956,521,5970,521,11191,521,11191,507xm11191,204l5970,204,5956,204,720,204,720,218,5956,218,5970,218,11191,218,11191,204xe" filled="true" fillcolor="#69bd28" stroked="false">
              <v:path arrowok="t"/>
              <v:fill type="solid"/>
            </v:shape>
            <v:shape style="position:absolute;left:698;top:218;width:10493;height:289" type="#_x0000_t202" filled="false" stroked="false">
              <v:textbox inset="0,0,0,0">
                <w:txbxContent>
                  <w:p>
                    <w:pPr>
                      <w:tabs>
                        <w:tab w:pos="5406" w:val="left" w:leader="none"/>
                      </w:tabs>
                      <w:spacing w:before="40"/>
                      <w:ind w:left="0" w:right="148" w:firstLine="0"/>
                      <w:jc w:val="center"/>
                      <w:rPr>
                        <w:b/>
                        <w:sz w:val="18"/>
                      </w:rPr>
                    </w:pPr>
                    <w:r>
                      <w:rPr>
                        <w:b/>
                        <w:color w:val="FFFFFF"/>
                        <w:w w:val="110"/>
                        <w:sz w:val="18"/>
                      </w:rPr>
                      <w:t>Particulars</w:t>
                      <w:tab/>
                      <w:t>Details</w:t>
                    </w:r>
                  </w:p>
                </w:txbxContent>
              </v:textbox>
              <w10:wrap type="none"/>
            </v:shape>
            <w10:wrap type="topAndBottom"/>
          </v:group>
        </w:pict>
      </w:r>
    </w:p>
    <w:p>
      <w:pPr>
        <w:tabs>
          <w:tab w:pos="7538" w:val="left" w:leader="none"/>
        </w:tabs>
        <w:spacing w:before="10" w:after="39"/>
        <w:ind w:left="1981" w:right="0" w:firstLine="0"/>
        <w:jc w:val="left"/>
        <w:rPr>
          <w:sz w:val="18"/>
        </w:rPr>
      </w:pPr>
      <w:r>
        <w:rPr>
          <w:sz w:val="18"/>
        </w:rPr>
        <w:t>Handover</w:t>
      </w:r>
      <w:r>
        <w:rPr>
          <w:spacing w:val="-12"/>
          <w:sz w:val="18"/>
        </w:rPr>
        <w:t> </w:t>
      </w:r>
      <w:r>
        <w:rPr>
          <w:sz w:val="18"/>
        </w:rPr>
        <w:t>condition</w:t>
        <w:tab/>
        <w:t>Warm</w:t>
      </w:r>
      <w:r>
        <w:rPr>
          <w:spacing w:val="-1"/>
          <w:sz w:val="18"/>
        </w:rPr>
        <w:t> </w:t>
      </w:r>
      <w:r>
        <w:rPr>
          <w:sz w:val="18"/>
        </w:rPr>
        <w:t>Shell</w:t>
      </w:r>
    </w:p>
    <w:p>
      <w:pPr>
        <w:pStyle w:val="BodyText"/>
        <w:spacing w:line="20" w:lineRule="exact"/>
        <w:ind w:left="1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7653" w:val="left" w:leader="none"/>
        </w:tabs>
        <w:spacing w:before="34"/>
        <w:ind w:left="1986" w:right="0" w:firstLine="0"/>
        <w:jc w:val="left"/>
        <w:rPr>
          <w:sz w:val="18"/>
        </w:rPr>
      </w:pPr>
      <w:r>
        <w:rPr/>
        <w:pict>
          <v:shape style="position:absolute;margin-left:36pt;margin-top:14.110677pt;width:523.6pt;height:.75pt;mso-position-horizontal-relative:page;mso-position-vertical-relative:paragraph;z-index:-15141376;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Passenger</w:t>
      </w:r>
      <w:r>
        <w:rPr>
          <w:spacing w:val="-21"/>
          <w:sz w:val="18"/>
        </w:rPr>
        <w:t> </w:t>
      </w:r>
      <w:r>
        <w:rPr>
          <w:sz w:val="18"/>
        </w:rPr>
        <w:t>elevators</w:t>
        <w:tab/>
        <w:t>Provided</w:t>
      </w:r>
    </w:p>
    <w:p>
      <w:pPr>
        <w:tabs>
          <w:tab w:pos="5545" w:val="left" w:leader="none"/>
        </w:tabs>
        <w:spacing w:before="13" w:after="39"/>
        <w:ind w:left="0" w:right="2392" w:firstLine="0"/>
        <w:jc w:val="right"/>
        <w:rPr>
          <w:sz w:val="18"/>
        </w:rPr>
      </w:pPr>
      <w:r>
        <w:rPr>
          <w:sz w:val="18"/>
        </w:rPr>
        <w:t>Service</w:t>
      </w:r>
      <w:r>
        <w:rPr>
          <w:spacing w:val="-33"/>
          <w:sz w:val="18"/>
        </w:rPr>
        <w:t> </w:t>
      </w:r>
      <w:r>
        <w:rPr>
          <w:sz w:val="18"/>
        </w:rPr>
        <w:t>elevators</w:t>
        <w:tab/>
      </w:r>
      <w:r>
        <w:rPr>
          <w:spacing w:val="-1"/>
          <w:w w:val="95"/>
          <w:sz w:val="18"/>
        </w:rPr>
        <w:t>Provided</w:t>
      </w:r>
    </w:p>
    <w:p>
      <w:pPr>
        <w:pStyle w:val="BodyText"/>
        <w:spacing w:line="20" w:lineRule="exact"/>
        <w:ind w:left="1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480" w:val="left" w:leader="none"/>
        </w:tabs>
        <w:spacing w:before="34"/>
        <w:ind w:left="0" w:right="2392" w:firstLine="0"/>
        <w:jc w:val="right"/>
        <w:rPr>
          <w:sz w:val="18"/>
        </w:rPr>
      </w:pPr>
      <w:r>
        <w:rPr/>
        <w:pict>
          <v:shape style="position:absolute;margin-left:36pt;margin-top:14.110632pt;width:523.6pt;height:.75pt;mso-position-horizontal-relative:page;mso-position-vertical-relative:paragraph;z-index:-15140352;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Power</w:t>
      </w:r>
      <w:r>
        <w:rPr>
          <w:spacing w:val="-11"/>
          <w:sz w:val="18"/>
        </w:rPr>
        <w:t> </w:t>
      </w:r>
      <w:r>
        <w:rPr>
          <w:sz w:val="18"/>
        </w:rPr>
        <w:t>back-up</w:t>
        <w:tab/>
      </w:r>
      <w:r>
        <w:rPr>
          <w:spacing w:val="-1"/>
          <w:w w:val="95"/>
          <w:sz w:val="18"/>
        </w:rPr>
        <w:t>Provided</w:t>
      </w:r>
    </w:p>
    <w:p>
      <w:pPr>
        <w:tabs>
          <w:tab w:pos="6049" w:val="left" w:leader="none"/>
        </w:tabs>
        <w:spacing w:before="10" w:after="39"/>
        <w:ind w:left="0" w:right="2392" w:firstLine="0"/>
        <w:jc w:val="right"/>
        <w:rPr>
          <w:sz w:val="18"/>
        </w:rPr>
      </w:pPr>
      <w:r>
        <w:rPr>
          <w:sz w:val="18"/>
        </w:rPr>
        <w:t>Building</w:t>
      </w:r>
      <w:r>
        <w:rPr>
          <w:spacing w:val="-16"/>
          <w:sz w:val="18"/>
        </w:rPr>
        <w:t> </w:t>
      </w:r>
      <w:r>
        <w:rPr>
          <w:sz w:val="18"/>
        </w:rPr>
        <w:t>management</w:t>
      </w:r>
      <w:r>
        <w:rPr>
          <w:spacing w:val="-16"/>
          <w:sz w:val="18"/>
        </w:rPr>
        <w:t> </w:t>
      </w:r>
      <w:r>
        <w:rPr>
          <w:sz w:val="18"/>
        </w:rPr>
        <w:t>system</w:t>
        <w:tab/>
      </w:r>
      <w:r>
        <w:rPr>
          <w:spacing w:val="-1"/>
          <w:w w:val="95"/>
          <w:sz w:val="18"/>
        </w:rPr>
        <w:t>Provided</w:t>
      </w:r>
    </w:p>
    <w:p>
      <w:pPr>
        <w:pStyle w:val="BodyText"/>
        <w:spacing w:line="20" w:lineRule="exact"/>
        <w:ind w:left="1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516" w:val="left" w:leader="none"/>
        </w:tabs>
        <w:spacing w:before="34"/>
        <w:ind w:left="0" w:right="2392" w:firstLine="0"/>
        <w:jc w:val="right"/>
        <w:rPr>
          <w:sz w:val="18"/>
        </w:rPr>
      </w:pPr>
      <w:r>
        <w:rPr/>
        <w:pict>
          <v:shape style="position:absolute;margin-left:36pt;margin-top:14.111673pt;width:523.6pt;height:.75pt;mso-position-horizontal-relative:page;mso-position-vertical-relative:paragraph;z-index:-15139328;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Security</w:t>
      </w:r>
      <w:r>
        <w:rPr>
          <w:spacing w:val="-36"/>
          <w:sz w:val="18"/>
        </w:rPr>
        <w:t> </w:t>
      </w:r>
      <w:r>
        <w:rPr>
          <w:sz w:val="18"/>
        </w:rPr>
        <w:t>systems</w:t>
        <w:tab/>
      </w:r>
      <w:r>
        <w:rPr>
          <w:spacing w:val="-1"/>
          <w:w w:val="95"/>
          <w:sz w:val="18"/>
        </w:rPr>
        <w:t>Provided</w:t>
      </w:r>
    </w:p>
    <w:p>
      <w:pPr>
        <w:tabs>
          <w:tab w:pos="5516" w:val="left" w:leader="none"/>
        </w:tabs>
        <w:spacing w:before="13" w:after="39"/>
        <w:ind w:left="0" w:right="2392" w:firstLine="0"/>
        <w:jc w:val="right"/>
        <w:rPr>
          <w:sz w:val="18"/>
        </w:rPr>
      </w:pPr>
      <w:r>
        <w:rPr>
          <w:sz w:val="18"/>
        </w:rPr>
        <w:t>Air</w:t>
      </w:r>
      <w:r>
        <w:rPr>
          <w:spacing w:val="-16"/>
          <w:sz w:val="18"/>
        </w:rPr>
        <w:t> </w:t>
      </w:r>
      <w:r>
        <w:rPr>
          <w:sz w:val="18"/>
        </w:rPr>
        <w:t>conditioning</w:t>
        <w:tab/>
      </w:r>
      <w:r>
        <w:rPr>
          <w:spacing w:val="-1"/>
          <w:w w:val="95"/>
          <w:sz w:val="18"/>
        </w:rPr>
        <w:t>Provided</w:t>
      </w:r>
    </w:p>
    <w:p>
      <w:pPr>
        <w:pStyle w:val="BodyText"/>
        <w:spacing w:line="20" w:lineRule="exact"/>
        <w:ind w:left="1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665" w:val="left" w:leader="none"/>
        </w:tabs>
        <w:spacing w:before="34"/>
        <w:ind w:left="0" w:right="2392" w:firstLine="0"/>
        <w:jc w:val="right"/>
        <w:rPr>
          <w:sz w:val="18"/>
        </w:rPr>
      </w:pPr>
      <w:r>
        <w:rPr/>
        <w:pict>
          <v:shape style="position:absolute;margin-left:36pt;margin-top:14.11066pt;width:523.6pt;height:.75pt;mso-position-horizontal-relative:page;mso-position-vertical-relative:paragraph;z-index:-15138304;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Firefighting</w:t>
      </w:r>
      <w:r>
        <w:rPr>
          <w:spacing w:val="-36"/>
          <w:sz w:val="18"/>
        </w:rPr>
        <w:t> </w:t>
      </w:r>
      <w:r>
        <w:rPr>
          <w:sz w:val="18"/>
        </w:rPr>
        <w:t>services</w:t>
        <w:tab/>
      </w:r>
      <w:r>
        <w:rPr>
          <w:spacing w:val="-1"/>
          <w:w w:val="95"/>
          <w:sz w:val="18"/>
        </w:rPr>
        <w:t>Provided</w:t>
      </w:r>
    </w:p>
    <w:p>
      <w:pPr>
        <w:tabs>
          <w:tab w:pos="6863" w:val="left" w:leader="none"/>
        </w:tabs>
        <w:spacing w:before="10" w:after="39"/>
        <w:ind w:left="1995" w:right="0" w:firstLine="0"/>
        <w:jc w:val="left"/>
        <w:rPr>
          <w:sz w:val="18"/>
        </w:rPr>
      </w:pPr>
      <w:r>
        <w:rPr>
          <w:sz w:val="18"/>
        </w:rPr>
        <w:t>Car</w:t>
      </w:r>
      <w:r>
        <w:rPr>
          <w:spacing w:val="-1"/>
          <w:sz w:val="18"/>
        </w:rPr>
        <w:t> </w:t>
      </w:r>
      <w:r>
        <w:rPr>
          <w:sz w:val="18"/>
        </w:rPr>
        <w:t>parks</w:t>
      </w:r>
      <w:r>
        <w:rPr>
          <w:spacing w:val="1"/>
          <w:sz w:val="18"/>
        </w:rPr>
        <w:t> </w:t>
      </w:r>
      <w:r>
        <w:rPr>
          <w:sz w:val="18"/>
        </w:rPr>
        <w:t>provided</w:t>
        <w:tab/>
        <w:t>Covered and open car</w:t>
      </w:r>
      <w:r>
        <w:rPr>
          <w:spacing w:val="-11"/>
          <w:sz w:val="18"/>
        </w:rPr>
        <w:t> </w:t>
      </w:r>
      <w:r>
        <w:rPr>
          <w:sz w:val="18"/>
        </w:rPr>
        <w:t>parks</w:t>
      </w:r>
    </w:p>
    <w:p>
      <w:pPr>
        <w:pStyle w:val="BodyText"/>
        <w:spacing w:line="20" w:lineRule="exact"/>
        <w:ind w:left="140"/>
        <w:rPr>
          <w:sz w:val="2"/>
        </w:rPr>
      </w:pPr>
      <w:r>
        <w:rPr>
          <w:sz w:val="2"/>
        </w:rPr>
        <w:pict>
          <v:group style="width:523.6pt;height:.75pt;mso-position-horizontal-relative:char;mso-position-vertical-relative:line" coordorigin="0,0" coordsize="10472,15">
            <v:shape style="position:absolute;left:0;top:0;width:10472;height:15" coordorigin="0,0" coordsize="10472,15" path="m9806,0l5250,0,5236,0,0,0,0,14,5236,14,5250,14,9806,14,9806,0xm9821,0l9806,0,9806,14,9821,14,9821,0xm10471,0l9835,0,9821,0,9821,14,9835,14,10471,14,10471,0xe" filled="true" fillcolor="#69bd28" stroked="false">
              <v:path arrowok="t"/>
              <v:fill type="solid"/>
            </v:shape>
          </v:group>
        </w:pict>
      </w:r>
      <w:r>
        <w:rPr>
          <w:sz w:val="2"/>
        </w:rPr>
      </w:r>
    </w:p>
    <w:p>
      <w:pPr>
        <w:spacing w:before="34"/>
        <w:ind w:left="0" w:right="3083" w:firstLine="0"/>
        <w:jc w:val="center"/>
        <w:rPr>
          <w:i/>
          <w:sz w:val="18"/>
        </w:rPr>
      </w:pPr>
      <w:r>
        <w:rPr>
          <w:i/>
          <w:sz w:val="18"/>
        </w:rPr>
        <w:t>Source: Information provided by Client, Site visit undertaken by the Consultants, lease deeds</w:t>
      </w:r>
    </w:p>
    <w:p>
      <w:pPr>
        <w:pStyle w:val="BodyText"/>
        <w:spacing w:before="4"/>
        <w:rPr>
          <w:i/>
          <w:sz w:val="15"/>
        </w:rPr>
      </w:pPr>
    </w:p>
    <w:p>
      <w:pPr>
        <w:pStyle w:val="ListParagraph"/>
        <w:numPr>
          <w:ilvl w:val="2"/>
          <w:numId w:val="14"/>
        </w:numPr>
        <w:tabs>
          <w:tab w:pos="861" w:val="left" w:leader="none"/>
        </w:tabs>
        <w:spacing w:line="240" w:lineRule="auto" w:before="106" w:after="0"/>
        <w:ind w:left="860" w:right="0" w:hanging="721"/>
        <w:jc w:val="left"/>
        <w:rPr>
          <w:sz w:val="22"/>
        </w:rPr>
      </w:pPr>
      <w:bookmarkStart w:name="_bookmark248" w:id="484"/>
      <w:bookmarkEnd w:id="484"/>
      <w:r>
        <w:rPr/>
      </w:r>
      <w:bookmarkStart w:name="_bookmark248" w:id="485"/>
      <w:bookmarkEnd w:id="485"/>
      <w:r>
        <w:rPr>
          <w:color w:val="1F664D"/>
          <w:sz w:val="22"/>
        </w:rPr>
        <w:t>Condition</w:t>
      </w:r>
      <w:r>
        <w:rPr>
          <w:color w:val="1F664D"/>
          <w:sz w:val="22"/>
        </w:rPr>
        <w:t> &amp;</w:t>
      </w:r>
      <w:r>
        <w:rPr>
          <w:color w:val="1F664D"/>
          <w:spacing w:val="-4"/>
          <w:sz w:val="22"/>
        </w:rPr>
        <w:t> </w:t>
      </w:r>
      <w:r>
        <w:rPr>
          <w:color w:val="1F664D"/>
          <w:sz w:val="22"/>
        </w:rPr>
        <w:t>Repair</w:t>
      </w:r>
    </w:p>
    <w:p>
      <w:pPr>
        <w:pStyle w:val="BodyText"/>
        <w:spacing w:line="321" w:lineRule="auto" w:before="208"/>
        <w:ind w:left="687" w:right="113"/>
        <w:jc w:val="both"/>
      </w:pPr>
      <w:r>
        <w:rPr/>
        <w:t>Subject property is developed and managed to international standards offering best-in-class asset management</w:t>
      </w:r>
      <w:r>
        <w:rPr>
          <w:spacing w:val="-33"/>
        </w:rPr>
        <w:t> </w:t>
      </w:r>
      <w:r>
        <w:rPr/>
        <w:t>and</w:t>
      </w:r>
      <w:r>
        <w:rPr>
          <w:spacing w:val="-33"/>
        </w:rPr>
        <w:t> </w:t>
      </w:r>
      <w:r>
        <w:rPr/>
        <w:t>environment</w:t>
      </w:r>
      <w:r>
        <w:rPr>
          <w:spacing w:val="-32"/>
        </w:rPr>
        <w:t> </w:t>
      </w:r>
      <w:r>
        <w:rPr/>
        <w:t>friendly</w:t>
      </w:r>
      <w:r>
        <w:rPr>
          <w:spacing w:val="-33"/>
        </w:rPr>
        <w:t> </w:t>
      </w:r>
      <w:r>
        <w:rPr/>
        <w:t>green</w:t>
      </w:r>
      <w:r>
        <w:rPr>
          <w:spacing w:val="-32"/>
        </w:rPr>
        <w:t> </w:t>
      </w:r>
      <w:r>
        <w:rPr/>
        <w:t>initiatives,</w:t>
      </w:r>
      <w:r>
        <w:rPr>
          <w:spacing w:val="-32"/>
        </w:rPr>
        <w:t> </w:t>
      </w:r>
      <w:r>
        <w:rPr/>
        <w:t>which</w:t>
      </w:r>
      <w:r>
        <w:rPr>
          <w:spacing w:val="-32"/>
        </w:rPr>
        <w:t> </w:t>
      </w:r>
      <w:r>
        <w:rPr/>
        <w:t>makes</w:t>
      </w:r>
      <w:r>
        <w:rPr>
          <w:spacing w:val="-33"/>
        </w:rPr>
        <w:t> </w:t>
      </w:r>
      <w:r>
        <w:rPr/>
        <w:t>it</w:t>
      </w:r>
      <w:r>
        <w:rPr>
          <w:spacing w:val="-32"/>
        </w:rPr>
        <w:t> </w:t>
      </w:r>
      <w:r>
        <w:rPr/>
        <w:t>a</w:t>
      </w:r>
      <w:r>
        <w:rPr>
          <w:spacing w:val="-34"/>
        </w:rPr>
        <w:t> </w:t>
      </w:r>
      <w:r>
        <w:rPr/>
        <w:t>preferred</w:t>
      </w:r>
      <w:r>
        <w:rPr>
          <w:spacing w:val="-31"/>
        </w:rPr>
        <w:t> </w:t>
      </w:r>
      <w:r>
        <w:rPr/>
        <w:t>option</w:t>
      </w:r>
      <w:r>
        <w:rPr>
          <w:spacing w:val="-32"/>
        </w:rPr>
        <w:t> </w:t>
      </w:r>
      <w:r>
        <w:rPr/>
        <w:t>for</w:t>
      </w:r>
      <w:r>
        <w:rPr>
          <w:spacing w:val="-34"/>
        </w:rPr>
        <w:t> </w:t>
      </w:r>
      <w:r>
        <w:rPr/>
        <w:t>domestic as</w:t>
      </w:r>
      <w:r>
        <w:rPr>
          <w:spacing w:val="-28"/>
        </w:rPr>
        <w:t> </w:t>
      </w:r>
      <w:r>
        <w:rPr/>
        <w:t>wells</w:t>
      </w:r>
      <w:r>
        <w:rPr>
          <w:spacing w:val="-27"/>
        </w:rPr>
        <w:t> </w:t>
      </w:r>
      <w:r>
        <w:rPr/>
        <w:t>as</w:t>
      </w:r>
      <w:r>
        <w:rPr>
          <w:spacing w:val="-26"/>
        </w:rPr>
        <w:t> </w:t>
      </w:r>
      <w:r>
        <w:rPr/>
        <w:t>Multinational</w:t>
      </w:r>
      <w:r>
        <w:rPr>
          <w:spacing w:val="-29"/>
        </w:rPr>
        <w:t> </w:t>
      </w:r>
      <w:r>
        <w:rPr/>
        <w:t>Corporations</w:t>
      </w:r>
      <w:r>
        <w:rPr>
          <w:spacing w:val="-27"/>
        </w:rPr>
        <w:t> </w:t>
      </w:r>
      <w:r>
        <w:rPr/>
        <w:t>(MNCs).</w:t>
      </w:r>
      <w:r>
        <w:rPr>
          <w:spacing w:val="-29"/>
        </w:rPr>
        <w:t> </w:t>
      </w:r>
      <w:r>
        <w:rPr/>
        <w:t>Embassy</w:t>
      </w:r>
      <w:r>
        <w:rPr>
          <w:spacing w:val="-27"/>
        </w:rPr>
        <w:t> </w:t>
      </w:r>
      <w:r>
        <w:rPr/>
        <w:t>Oxygen’s</w:t>
      </w:r>
      <w:r>
        <w:rPr>
          <w:spacing w:val="-27"/>
        </w:rPr>
        <w:t> </w:t>
      </w:r>
      <w:r>
        <w:rPr/>
        <w:t>open</w:t>
      </w:r>
      <w:r>
        <w:rPr>
          <w:spacing w:val="-29"/>
        </w:rPr>
        <w:t> </w:t>
      </w:r>
      <w:r>
        <w:rPr/>
        <w:t>campus-style</w:t>
      </w:r>
      <w:r>
        <w:rPr>
          <w:spacing w:val="-30"/>
        </w:rPr>
        <w:t> </w:t>
      </w:r>
      <w:r>
        <w:rPr/>
        <w:t>provides</w:t>
      </w:r>
      <w:r>
        <w:rPr>
          <w:spacing w:val="-27"/>
        </w:rPr>
        <w:t> </w:t>
      </w:r>
      <w:r>
        <w:rPr/>
        <w:t>occupiers with</w:t>
      </w:r>
      <w:r>
        <w:rPr>
          <w:spacing w:val="-45"/>
        </w:rPr>
        <w:t> </w:t>
      </w:r>
      <w:r>
        <w:rPr/>
        <w:t>reliable</w:t>
      </w:r>
      <w:r>
        <w:rPr>
          <w:spacing w:val="-45"/>
        </w:rPr>
        <w:t> </w:t>
      </w:r>
      <w:r>
        <w:rPr/>
        <w:t>infrastructure,</w:t>
      </w:r>
      <w:r>
        <w:rPr>
          <w:spacing w:val="-45"/>
        </w:rPr>
        <w:t> </w:t>
      </w:r>
      <w:r>
        <w:rPr/>
        <w:t>landscaped</w:t>
      </w:r>
      <w:r>
        <w:rPr>
          <w:spacing w:val="-45"/>
        </w:rPr>
        <w:t> </w:t>
      </w:r>
      <w:r>
        <w:rPr/>
        <w:t>greenspace,</w:t>
      </w:r>
      <w:r>
        <w:rPr>
          <w:spacing w:val="-44"/>
        </w:rPr>
        <w:t> </w:t>
      </w:r>
      <w:r>
        <w:rPr/>
        <w:t>a</w:t>
      </w:r>
      <w:r>
        <w:rPr>
          <w:spacing w:val="-45"/>
        </w:rPr>
        <w:t> </w:t>
      </w:r>
      <w:r>
        <w:rPr/>
        <w:t>recently</w:t>
      </w:r>
      <w:r>
        <w:rPr>
          <w:spacing w:val="-43"/>
        </w:rPr>
        <w:t> </w:t>
      </w:r>
      <w:r>
        <w:rPr/>
        <w:t>revamped</w:t>
      </w:r>
      <w:r>
        <w:rPr>
          <w:spacing w:val="-45"/>
        </w:rPr>
        <w:t> </w:t>
      </w:r>
      <w:r>
        <w:rPr/>
        <w:t>food</w:t>
      </w:r>
      <w:r>
        <w:rPr>
          <w:spacing w:val="-44"/>
        </w:rPr>
        <w:t> </w:t>
      </w:r>
      <w:r>
        <w:rPr/>
        <w:t>court</w:t>
      </w:r>
      <w:r>
        <w:rPr>
          <w:spacing w:val="-44"/>
        </w:rPr>
        <w:t> </w:t>
      </w:r>
      <w:r>
        <w:rPr/>
        <w:t>and</w:t>
      </w:r>
      <w:r>
        <w:rPr>
          <w:spacing w:val="-44"/>
        </w:rPr>
        <w:t> </w:t>
      </w:r>
      <w:r>
        <w:rPr/>
        <w:t>a</w:t>
      </w:r>
      <w:r>
        <w:rPr>
          <w:spacing w:val="-45"/>
        </w:rPr>
        <w:t> </w:t>
      </w:r>
      <w:r>
        <w:rPr/>
        <w:t>suite</w:t>
      </w:r>
      <w:r>
        <w:rPr>
          <w:spacing w:val="-44"/>
        </w:rPr>
        <w:t> </w:t>
      </w:r>
      <w:r>
        <w:rPr/>
        <w:t>of</w:t>
      </w:r>
      <w:r>
        <w:rPr>
          <w:spacing w:val="-44"/>
        </w:rPr>
        <w:t> </w:t>
      </w:r>
      <w:r>
        <w:rPr/>
        <w:t>tenant amenities (such as a sports zone, auditorium, café, fitness centre and day-care facilities). Based on information</w:t>
      </w:r>
      <w:r>
        <w:rPr>
          <w:spacing w:val="-8"/>
        </w:rPr>
        <w:t> </w:t>
      </w:r>
      <w:r>
        <w:rPr/>
        <w:t>provided</w:t>
      </w:r>
      <w:r>
        <w:rPr>
          <w:spacing w:val="-7"/>
        </w:rPr>
        <w:t> </w:t>
      </w:r>
      <w:r>
        <w:rPr/>
        <w:t>by</w:t>
      </w:r>
      <w:r>
        <w:rPr>
          <w:spacing w:val="-9"/>
        </w:rPr>
        <w:t> </w:t>
      </w:r>
      <w:r>
        <w:rPr/>
        <w:t>the</w:t>
      </w:r>
      <w:r>
        <w:rPr>
          <w:spacing w:val="-8"/>
        </w:rPr>
        <w:t> </w:t>
      </w:r>
      <w:r>
        <w:rPr/>
        <w:t>Client</w:t>
      </w:r>
      <w:r>
        <w:rPr>
          <w:spacing w:val="-8"/>
        </w:rPr>
        <w:t> </w:t>
      </w:r>
      <w:r>
        <w:rPr/>
        <w:t>and</w:t>
      </w:r>
      <w:r>
        <w:rPr>
          <w:spacing w:val="-7"/>
        </w:rPr>
        <w:t> </w:t>
      </w:r>
      <w:r>
        <w:rPr/>
        <w:t>site</w:t>
      </w:r>
      <w:r>
        <w:rPr>
          <w:spacing w:val="-8"/>
        </w:rPr>
        <w:t> </w:t>
      </w:r>
      <w:r>
        <w:rPr/>
        <w:t>visit,</w:t>
      </w:r>
      <w:r>
        <w:rPr>
          <w:spacing w:val="-7"/>
        </w:rPr>
        <w:t> </w:t>
      </w:r>
      <w:r>
        <w:rPr/>
        <w:t>it</w:t>
      </w:r>
      <w:r>
        <w:rPr>
          <w:spacing w:val="-8"/>
        </w:rPr>
        <w:t> </w:t>
      </w:r>
      <w:r>
        <w:rPr/>
        <w:t>is</w:t>
      </w:r>
      <w:r>
        <w:rPr>
          <w:spacing w:val="-7"/>
        </w:rPr>
        <w:t> </w:t>
      </w:r>
      <w:r>
        <w:rPr/>
        <w:t>understood</w:t>
      </w:r>
      <w:r>
        <w:rPr>
          <w:spacing w:val="-7"/>
        </w:rPr>
        <w:t> </w:t>
      </w:r>
      <w:r>
        <w:rPr/>
        <w:t>that</w:t>
      </w:r>
      <w:r>
        <w:rPr>
          <w:spacing w:val="-8"/>
        </w:rPr>
        <w:t> </w:t>
      </w:r>
      <w:r>
        <w:rPr/>
        <w:t>the</w:t>
      </w:r>
      <w:r>
        <w:rPr>
          <w:spacing w:val="-9"/>
        </w:rPr>
        <w:t> </w:t>
      </w:r>
      <w:r>
        <w:rPr/>
        <w:t>subject</w:t>
      </w:r>
      <w:r>
        <w:rPr>
          <w:spacing w:val="-7"/>
        </w:rPr>
        <w:t> </w:t>
      </w:r>
      <w:r>
        <w:rPr/>
        <w:t>property</w:t>
      </w:r>
      <w:r>
        <w:rPr>
          <w:spacing w:val="-6"/>
        </w:rPr>
        <w:t> </w:t>
      </w:r>
      <w:r>
        <w:rPr/>
        <w:t>is</w:t>
      </w:r>
      <w:r>
        <w:rPr>
          <w:spacing w:val="-8"/>
        </w:rPr>
        <w:t> </w:t>
      </w:r>
      <w:r>
        <w:rPr/>
        <w:t>in</w:t>
      </w:r>
      <w:r>
        <w:rPr>
          <w:spacing w:val="-8"/>
        </w:rPr>
        <w:t> </w:t>
      </w:r>
      <w:r>
        <w:rPr/>
        <w:t>good condition</w:t>
      </w:r>
      <w:r>
        <w:rPr>
          <w:spacing w:val="-19"/>
        </w:rPr>
        <w:t> </w:t>
      </w:r>
      <w:r>
        <w:rPr/>
        <w:t>and</w:t>
      </w:r>
      <w:r>
        <w:rPr>
          <w:spacing w:val="-18"/>
        </w:rPr>
        <w:t> </w:t>
      </w:r>
      <w:r>
        <w:rPr/>
        <w:t>is</w:t>
      </w:r>
      <w:r>
        <w:rPr>
          <w:spacing w:val="-17"/>
        </w:rPr>
        <w:t> </w:t>
      </w:r>
      <w:r>
        <w:rPr/>
        <w:t>being</w:t>
      </w:r>
      <w:r>
        <w:rPr>
          <w:spacing w:val="-19"/>
        </w:rPr>
        <w:t> </w:t>
      </w:r>
      <w:r>
        <w:rPr/>
        <w:t>maintained</w:t>
      </w:r>
      <w:r>
        <w:rPr>
          <w:spacing w:val="-17"/>
        </w:rPr>
        <w:t> </w:t>
      </w:r>
      <w:r>
        <w:rPr/>
        <w:t>well.</w:t>
      </w:r>
      <w:r>
        <w:rPr>
          <w:spacing w:val="-16"/>
        </w:rPr>
        <w:t> </w:t>
      </w:r>
      <w:r>
        <w:rPr/>
        <w:t>The</w:t>
      </w:r>
      <w:r>
        <w:rPr>
          <w:spacing w:val="-18"/>
        </w:rPr>
        <w:t> </w:t>
      </w:r>
      <w:r>
        <w:rPr/>
        <w:t>table</w:t>
      </w:r>
      <w:r>
        <w:rPr>
          <w:spacing w:val="-18"/>
        </w:rPr>
        <w:t> </w:t>
      </w:r>
      <w:r>
        <w:rPr/>
        <w:t>below</w:t>
      </w:r>
      <w:r>
        <w:rPr>
          <w:spacing w:val="-17"/>
        </w:rPr>
        <w:t> </w:t>
      </w:r>
      <w:r>
        <w:rPr/>
        <w:t>highlights</w:t>
      </w:r>
      <w:r>
        <w:rPr>
          <w:spacing w:val="-17"/>
        </w:rPr>
        <w:t> </w:t>
      </w:r>
      <w:r>
        <w:rPr/>
        <w:t>the</w:t>
      </w:r>
      <w:r>
        <w:rPr>
          <w:spacing w:val="-19"/>
        </w:rPr>
        <w:t> </w:t>
      </w:r>
      <w:r>
        <w:rPr/>
        <w:t>major</w:t>
      </w:r>
      <w:r>
        <w:rPr>
          <w:spacing w:val="-18"/>
        </w:rPr>
        <w:t> </w:t>
      </w:r>
      <w:r>
        <w:rPr/>
        <w:t>repairs</w:t>
      </w:r>
      <w:r>
        <w:rPr>
          <w:spacing w:val="-17"/>
        </w:rPr>
        <w:t> </w:t>
      </w:r>
      <w:r>
        <w:rPr/>
        <w:t>and</w:t>
      </w:r>
      <w:r>
        <w:rPr>
          <w:spacing w:val="-18"/>
        </w:rPr>
        <w:t> </w:t>
      </w:r>
      <w:r>
        <w:rPr/>
        <w:t>maintenance work/</w:t>
      </w:r>
      <w:r>
        <w:rPr>
          <w:spacing w:val="-9"/>
        </w:rPr>
        <w:t> </w:t>
      </w:r>
      <w:r>
        <w:rPr/>
        <w:t>infrastructure</w:t>
      </w:r>
      <w:r>
        <w:rPr>
          <w:spacing w:val="-9"/>
        </w:rPr>
        <w:t> </w:t>
      </w:r>
      <w:r>
        <w:rPr/>
        <w:t>upgrade</w:t>
      </w:r>
      <w:r>
        <w:rPr>
          <w:spacing w:val="-9"/>
        </w:rPr>
        <w:t> </w:t>
      </w:r>
      <w:r>
        <w:rPr/>
        <w:t>works</w:t>
      </w:r>
      <w:r>
        <w:rPr>
          <w:spacing w:val="-7"/>
        </w:rPr>
        <w:t> </w:t>
      </w:r>
      <w:r>
        <w:rPr/>
        <w:t>undertaken</w:t>
      </w:r>
      <w:r>
        <w:rPr>
          <w:spacing w:val="-8"/>
        </w:rPr>
        <w:t> </w:t>
      </w:r>
      <w:r>
        <w:rPr/>
        <w:t>(in</w:t>
      </w:r>
      <w:r>
        <w:rPr>
          <w:spacing w:val="-10"/>
        </w:rPr>
        <w:t> </w:t>
      </w:r>
      <w:r>
        <w:rPr/>
        <w:t>the</w:t>
      </w:r>
      <w:r>
        <w:rPr>
          <w:spacing w:val="-8"/>
        </w:rPr>
        <w:t> </w:t>
      </w:r>
      <w:r>
        <w:rPr/>
        <w:t>past</w:t>
      </w:r>
      <w:r>
        <w:rPr>
          <w:spacing w:val="-8"/>
        </w:rPr>
        <w:t> </w:t>
      </w:r>
      <w:r>
        <w:rPr/>
        <w:t>few</w:t>
      </w:r>
      <w:r>
        <w:rPr>
          <w:spacing w:val="-7"/>
        </w:rPr>
        <w:t> </w:t>
      </w:r>
      <w:r>
        <w:rPr/>
        <w:t>years)/</w:t>
      </w:r>
      <w:r>
        <w:rPr>
          <w:spacing w:val="-9"/>
        </w:rPr>
        <w:t> </w:t>
      </w:r>
      <w:r>
        <w:rPr/>
        <w:t>currently</w:t>
      </w:r>
      <w:r>
        <w:rPr>
          <w:spacing w:val="-8"/>
        </w:rPr>
        <w:t> </w:t>
      </w:r>
      <w:r>
        <w:rPr/>
        <w:t>being</w:t>
      </w:r>
      <w:r>
        <w:rPr>
          <w:spacing w:val="-8"/>
        </w:rPr>
        <w:t> </w:t>
      </w:r>
      <w:r>
        <w:rPr/>
        <w:t>undertaken/ proposed to be undertaken at the subject</w:t>
      </w:r>
      <w:r>
        <w:rPr>
          <w:spacing w:val="-36"/>
        </w:rPr>
        <w:t> </w:t>
      </w:r>
      <w:r>
        <w:rPr/>
        <w:t>development:</w:t>
      </w:r>
    </w:p>
    <w:p>
      <w:pPr>
        <w:pStyle w:val="BodyText"/>
        <w:spacing w:before="5"/>
        <w:rPr>
          <w:sz w:val="21"/>
        </w:rPr>
      </w:pPr>
    </w:p>
    <w:tbl>
      <w:tblPr>
        <w:tblW w:w="0" w:type="auto"/>
        <w:jc w:val="left"/>
        <w:tblInd w:w="1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56"/>
        <w:gridCol w:w="2089"/>
        <w:gridCol w:w="2403"/>
        <w:gridCol w:w="2544"/>
      </w:tblGrid>
      <w:tr>
        <w:trPr>
          <w:trHeight w:val="443" w:hRule="atLeast"/>
        </w:trPr>
        <w:tc>
          <w:tcPr>
            <w:tcW w:w="3456" w:type="dxa"/>
            <w:tcBorders>
              <w:top w:val="single" w:sz="6" w:space="0" w:color="69BD28"/>
              <w:bottom w:val="single" w:sz="6" w:space="0" w:color="69BD28"/>
            </w:tcBorders>
            <w:shd w:val="clear" w:color="auto" w:fill="006A4D"/>
          </w:tcPr>
          <w:p>
            <w:pPr>
              <w:pStyle w:val="TableParagraph"/>
              <w:spacing w:before="118"/>
              <w:ind w:left="95" w:right="131"/>
              <w:rPr>
                <w:b/>
                <w:sz w:val="18"/>
              </w:rPr>
            </w:pPr>
            <w:r>
              <w:rPr>
                <w:b/>
                <w:color w:val="FFFFFF"/>
                <w:w w:val="110"/>
                <w:sz w:val="18"/>
              </w:rPr>
              <w:t>Expense Head</w:t>
            </w:r>
          </w:p>
        </w:tc>
        <w:tc>
          <w:tcPr>
            <w:tcW w:w="2089" w:type="dxa"/>
            <w:tcBorders>
              <w:top w:val="single" w:sz="6" w:space="0" w:color="69BD28"/>
              <w:bottom w:val="single" w:sz="6" w:space="0" w:color="69BD28"/>
            </w:tcBorders>
            <w:shd w:val="clear" w:color="auto" w:fill="006A4D"/>
          </w:tcPr>
          <w:p>
            <w:pPr>
              <w:pStyle w:val="TableParagraph"/>
              <w:spacing w:before="118"/>
              <w:ind w:left="137" w:right="141"/>
              <w:rPr>
                <w:b/>
                <w:sz w:val="18"/>
              </w:rPr>
            </w:pPr>
            <w:r>
              <w:rPr>
                <w:b/>
                <w:color w:val="FFFFFF"/>
                <w:w w:val="110"/>
                <w:sz w:val="18"/>
              </w:rPr>
              <w:t>Total Cost (INR Mn)</w:t>
            </w:r>
          </w:p>
        </w:tc>
        <w:tc>
          <w:tcPr>
            <w:tcW w:w="2403" w:type="dxa"/>
            <w:tcBorders>
              <w:top w:val="single" w:sz="6" w:space="0" w:color="69BD28"/>
              <w:bottom w:val="single" w:sz="6" w:space="0" w:color="69BD28"/>
            </w:tcBorders>
            <w:shd w:val="clear" w:color="auto" w:fill="006A4D"/>
          </w:tcPr>
          <w:p>
            <w:pPr>
              <w:pStyle w:val="TableParagraph"/>
              <w:spacing w:before="118"/>
              <w:ind w:left="160" w:right="188"/>
              <w:rPr>
                <w:b/>
                <w:sz w:val="18"/>
              </w:rPr>
            </w:pPr>
            <w:r>
              <w:rPr>
                <w:b/>
                <w:color w:val="FFFFFF"/>
                <w:w w:val="110"/>
                <w:sz w:val="18"/>
              </w:rPr>
              <w:t>Balance Cost (INR Mn)</w:t>
            </w:r>
          </w:p>
        </w:tc>
        <w:tc>
          <w:tcPr>
            <w:tcW w:w="2544" w:type="dxa"/>
            <w:tcBorders>
              <w:top w:val="single" w:sz="6" w:space="0" w:color="69BD28"/>
              <w:bottom w:val="single" w:sz="6" w:space="0" w:color="69BD28"/>
            </w:tcBorders>
            <w:shd w:val="clear" w:color="auto" w:fill="006A4D"/>
          </w:tcPr>
          <w:p>
            <w:pPr>
              <w:pStyle w:val="TableParagraph"/>
              <w:spacing w:before="118"/>
              <w:ind w:left="213" w:right="298"/>
              <w:rPr>
                <w:b/>
                <w:sz w:val="18"/>
              </w:rPr>
            </w:pPr>
            <w:r>
              <w:rPr>
                <w:b/>
                <w:color w:val="FFFFFF"/>
                <w:w w:val="105"/>
                <w:sz w:val="18"/>
              </w:rPr>
              <w:t>Quarter of Completion</w:t>
            </w:r>
          </w:p>
        </w:tc>
      </w:tr>
      <w:tr>
        <w:trPr>
          <w:trHeight w:val="297" w:hRule="atLeast"/>
        </w:trPr>
        <w:tc>
          <w:tcPr>
            <w:tcW w:w="3456" w:type="dxa"/>
            <w:tcBorders>
              <w:top w:val="single" w:sz="6" w:space="0" w:color="69BD28"/>
              <w:bottom w:val="single" w:sz="6" w:space="0" w:color="69BD28"/>
            </w:tcBorders>
          </w:tcPr>
          <w:p>
            <w:pPr>
              <w:pStyle w:val="TableParagraph"/>
              <w:spacing w:before="46"/>
              <w:ind w:left="92" w:right="132"/>
              <w:rPr>
                <w:sz w:val="18"/>
              </w:rPr>
            </w:pPr>
            <w:r>
              <w:rPr>
                <w:sz w:val="18"/>
              </w:rPr>
              <w:t>Site Office</w:t>
            </w:r>
          </w:p>
        </w:tc>
        <w:tc>
          <w:tcPr>
            <w:tcW w:w="2089" w:type="dxa"/>
            <w:tcBorders>
              <w:top w:val="single" w:sz="6" w:space="0" w:color="69BD28"/>
              <w:bottom w:val="single" w:sz="6" w:space="0" w:color="69BD28"/>
            </w:tcBorders>
          </w:tcPr>
          <w:p>
            <w:pPr>
              <w:pStyle w:val="TableParagraph"/>
              <w:spacing w:before="46"/>
              <w:ind w:left="136" w:right="141"/>
              <w:rPr>
                <w:sz w:val="18"/>
              </w:rPr>
            </w:pPr>
            <w:r>
              <w:rPr>
                <w:w w:val="105"/>
                <w:sz w:val="18"/>
              </w:rPr>
              <w:t>6.77</w:t>
            </w:r>
          </w:p>
        </w:tc>
        <w:tc>
          <w:tcPr>
            <w:tcW w:w="2403" w:type="dxa"/>
            <w:tcBorders>
              <w:top w:val="single" w:sz="6" w:space="0" w:color="69BD28"/>
              <w:bottom w:val="single" w:sz="6" w:space="0" w:color="69BD28"/>
            </w:tcBorders>
          </w:tcPr>
          <w:p>
            <w:pPr>
              <w:pStyle w:val="TableParagraph"/>
              <w:spacing w:before="46"/>
              <w:ind w:right="30"/>
              <w:rPr>
                <w:sz w:val="18"/>
              </w:rPr>
            </w:pPr>
            <w:r>
              <w:rPr>
                <w:w w:val="99"/>
                <w:sz w:val="18"/>
              </w:rPr>
              <w:t>-</w:t>
            </w:r>
          </w:p>
        </w:tc>
        <w:tc>
          <w:tcPr>
            <w:tcW w:w="2544" w:type="dxa"/>
            <w:tcBorders>
              <w:top w:val="single" w:sz="6" w:space="0" w:color="69BD28"/>
              <w:bottom w:val="single" w:sz="6" w:space="0" w:color="69BD28"/>
            </w:tcBorders>
          </w:tcPr>
          <w:p>
            <w:pPr>
              <w:pStyle w:val="TableParagraph"/>
              <w:spacing w:before="46"/>
              <w:ind w:left="208" w:right="298"/>
              <w:rPr>
                <w:sz w:val="18"/>
              </w:rPr>
            </w:pPr>
            <w:r>
              <w:rPr>
                <w:w w:val="105"/>
                <w:sz w:val="18"/>
              </w:rPr>
              <w:t>Q2, FY 2016</w:t>
            </w:r>
          </w:p>
        </w:tc>
      </w:tr>
      <w:tr>
        <w:trPr>
          <w:trHeight w:val="294" w:hRule="atLeast"/>
        </w:trPr>
        <w:tc>
          <w:tcPr>
            <w:tcW w:w="3456" w:type="dxa"/>
            <w:tcBorders>
              <w:top w:val="single" w:sz="6" w:space="0" w:color="69BD28"/>
              <w:bottom w:val="single" w:sz="6" w:space="0" w:color="69BD28"/>
            </w:tcBorders>
          </w:tcPr>
          <w:p>
            <w:pPr>
              <w:pStyle w:val="TableParagraph"/>
              <w:spacing w:before="44"/>
              <w:ind w:left="94" w:right="132"/>
              <w:rPr>
                <w:sz w:val="18"/>
              </w:rPr>
            </w:pPr>
            <w:r>
              <w:rPr>
                <w:sz w:val="18"/>
              </w:rPr>
              <w:t>Management Office (ESPL)</w:t>
            </w:r>
          </w:p>
        </w:tc>
        <w:tc>
          <w:tcPr>
            <w:tcW w:w="2089" w:type="dxa"/>
            <w:tcBorders>
              <w:top w:val="single" w:sz="6" w:space="0" w:color="69BD28"/>
              <w:bottom w:val="single" w:sz="6" w:space="0" w:color="69BD28"/>
            </w:tcBorders>
          </w:tcPr>
          <w:p>
            <w:pPr>
              <w:pStyle w:val="TableParagraph"/>
              <w:spacing w:before="44"/>
              <w:ind w:left="136" w:right="141"/>
              <w:rPr>
                <w:sz w:val="18"/>
              </w:rPr>
            </w:pPr>
            <w:r>
              <w:rPr>
                <w:w w:val="105"/>
                <w:sz w:val="18"/>
              </w:rPr>
              <w:t>2.14</w:t>
            </w:r>
          </w:p>
        </w:tc>
        <w:tc>
          <w:tcPr>
            <w:tcW w:w="2403" w:type="dxa"/>
            <w:tcBorders>
              <w:top w:val="single" w:sz="6" w:space="0" w:color="69BD28"/>
              <w:bottom w:val="single" w:sz="6" w:space="0" w:color="69BD28"/>
            </w:tcBorders>
          </w:tcPr>
          <w:p>
            <w:pPr>
              <w:pStyle w:val="TableParagraph"/>
              <w:spacing w:before="44"/>
              <w:ind w:right="30"/>
              <w:rPr>
                <w:sz w:val="18"/>
              </w:rPr>
            </w:pPr>
            <w:r>
              <w:rPr>
                <w:w w:val="99"/>
                <w:sz w:val="18"/>
              </w:rPr>
              <w:t>-</w:t>
            </w:r>
          </w:p>
        </w:tc>
        <w:tc>
          <w:tcPr>
            <w:tcW w:w="2544" w:type="dxa"/>
            <w:tcBorders>
              <w:top w:val="single" w:sz="6" w:space="0" w:color="69BD28"/>
              <w:bottom w:val="single" w:sz="6" w:space="0" w:color="69BD28"/>
            </w:tcBorders>
          </w:tcPr>
          <w:p>
            <w:pPr>
              <w:pStyle w:val="TableParagraph"/>
              <w:spacing w:before="44"/>
              <w:ind w:left="208" w:right="298"/>
              <w:rPr>
                <w:sz w:val="18"/>
              </w:rPr>
            </w:pPr>
            <w:r>
              <w:rPr>
                <w:w w:val="105"/>
                <w:sz w:val="18"/>
              </w:rPr>
              <w:t>Q2, FY 2017</w:t>
            </w:r>
          </w:p>
        </w:tc>
      </w:tr>
      <w:tr>
        <w:trPr>
          <w:trHeight w:val="296" w:hRule="atLeast"/>
        </w:trPr>
        <w:tc>
          <w:tcPr>
            <w:tcW w:w="3456" w:type="dxa"/>
            <w:tcBorders>
              <w:top w:val="single" w:sz="6" w:space="0" w:color="69BD28"/>
              <w:bottom w:val="single" w:sz="6" w:space="0" w:color="69BD28"/>
            </w:tcBorders>
          </w:tcPr>
          <w:p>
            <w:pPr>
              <w:pStyle w:val="TableParagraph"/>
              <w:spacing w:before="46"/>
              <w:ind w:left="92" w:right="132"/>
              <w:rPr>
                <w:sz w:val="18"/>
              </w:rPr>
            </w:pPr>
            <w:r>
              <w:rPr>
                <w:sz w:val="18"/>
              </w:rPr>
              <w:t>Tower D - painting &amp; crack repairing</w:t>
            </w:r>
          </w:p>
        </w:tc>
        <w:tc>
          <w:tcPr>
            <w:tcW w:w="2089" w:type="dxa"/>
            <w:tcBorders>
              <w:top w:val="single" w:sz="6" w:space="0" w:color="69BD28"/>
              <w:bottom w:val="single" w:sz="6" w:space="0" w:color="69BD28"/>
            </w:tcBorders>
          </w:tcPr>
          <w:p>
            <w:pPr>
              <w:pStyle w:val="TableParagraph"/>
              <w:spacing w:before="46"/>
              <w:ind w:left="136" w:right="141"/>
              <w:rPr>
                <w:sz w:val="18"/>
              </w:rPr>
            </w:pPr>
            <w:r>
              <w:rPr>
                <w:w w:val="105"/>
                <w:sz w:val="18"/>
              </w:rPr>
              <w:t>0.86</w:t>
            </w:r>
          </w:p>
        </w:tc>
        <w:tc>
          <w:tcPr>
            <w:tcW w:w="2403" w:type="dxa"/>
            <w:tcBorders>
              <w:top w:val="single" w:sz="6" w:space="0" w:color="69BD28"/>
              <w:bottom w:val="single" w:sz="6" w:space="0" w:color="69BD28"/>
            </w:tcBorders>
          </w:tcPr>
          <w:p>
            <w:pPr>
              <w:pStyle w:val="TableParagraph"/>
              <w:spacing w:before="46"/>
              <w:ind w:right="30"/>
              <w:rPr>
                <w:sz w:val="18"/>
              </w:rPr>
            </w:pPr>
            <w:r>
              <w:rPr>
                <w:w w:val="99"/>
                <w:sz w:val="18"/>
              </w:rPr>
              <w:t>-</w:t>
            </w:r>
          </w:p>
        </w:tc>
        <w:tc>
          <w:tcPr>
            <w:tcW w:w="2544" w:type="dxa"/>
            <w:tcBorders>
              <w:top w:val="single" w:sz="6" w:space="0" w:color="69BD28"/>
              <w:bottom w:val="single" w:sz="6" w:space="0" w:color="69BD28"/>
            </w:tcBorders>
          </w:tcPr>
          <w:p>
            <w:pPr>
              <w:pStyle w:val="TableParagraph"/>
              <w:spacing w:before="46"/>
              <w:ind w:left="208" w:right="298"/>
              <w:rPr>
                <w:sz w:val="18"/>
              </w:rPr>
            </w:pPr>
            <w:r>
              <w:rPr>
                <w:w w:val="105"/>
                <w:sz w:val="18"/>
              </w:rPr>
              <w:t>Q2, FY 2017</w:t>
            </w:r>
          </w:p>
        </w:tc>
      </w:tr>
      <w:tr>
        <w:trPr>
          <w:trHeight w:val="294" w:hRule="atLeast"/>
        </w:trPr>
        <w:tc>
          <w:tcPr>
            <w:tcW w:w="3456" w:type="dxa"/>
            <w:tcBorders>
              <w:top w:val="single" w:sz="6" w:space="0" w:color="69BD28"/>
              <w:bottom w:val="single" w:sz="6" w:space="0" w:color="69BD28"/>
            </w:tcBorders>
          </w:tcPr>
          <w:p>
            <w:pPr>
              <w:pStyle w:val="TableParagraph"/>
              <w:spacing w:before="44"/>
              <w:ind w:left="95" w:right="131"/>
              <w:rPr>
                <w:sz w:val="18"/>
              </w:rPr>
            </w:pPr>
            <w:r>
              <w:rPr>
                <w:sz w:val="18"/>
              </w:rPr>
              <w:t>Bituminous Road</w:t>
            </w:r>
          </w:p>
        </w:tc>
        <w:tc>
          <w:tcPr>
            <w:tcW w:w="2089" w:type="dxa"/>
            <w:tcBorders>
              <w:top w:val="single" w:sz="6" w:space="0" w:color="69BD28"/>
              <w:bottom w:val="single" w:sz="6" w:space="0" w:color="69BD28"/>
            </w:tcBorders>
          </w:tcPr>
          <w:p>
            <w:pPr>
              <w:pStyle w:val="TableParagraph"/>
              <w:spacing w:before="44"/>
              <w:ind w:left="136" w:right="141"/>
              <w:rPr>
                <w:sz w:val="18"/>
              </w:rPr>
            </w:pPr>
            <w:r>
              <w:rPr>
                <w:w w:val="105"/>
                <w:sz w:val="18"/>
              </w:rPr>
              <w:t>2.00</w:t>
            </w:r>
          </w:p>
        </w:tc>
        <w:tc>
          <w:tcPr>
            <w:tcW w:w="2403" w:type="dxa"/>
            <w:tcBorders>
              <w:top w:val="single" w:sz="6" w:space="0" w:color="69BD28"/>
              <w:bottom w:val="single" w:sz="6" w:space="0" w:color="69BD28"/>
            </w:tcBorders>
          </w:tcPr>
          <w:p>
            <w:pPr>
              <w:pStyle w:val="TableParagraph"/>
              <w:spacing w:before="44"/>
              <w:ind w:right="30"/>
              <w:rPr>
                <w:sz w:val="18"/>
              </w:rPr>
            </w:pPr>
            <w:r>
              <w:rPr>
                <w:w w:val="99"/>
                <w:sz w:val="18"/>
              </w:rPr>
              <w:t>-</w:t>
            </w:r>
          </w:p>
        </w:tc>
        <w:tc>
          <w:tcPr>
            <w:tcW w:w="2544" w:type="dxa"/>
            <w:tcBorders>
              <w:top w:val="single" w:sz="6" w:space="0" w:color="69BD28"/>
              <w:bottom w:val="single" w:sz="6" w:space="0" w:color="69BD28"/>
            </w:tcBorders>
          </w:tcPr>
          <w:p>
            <w:pPr>
              <w:pStyle w:val="TableParagraph"/>
              <w:spacing w:before="44"/>
              <w:ind w:left="208" w:right="298"/>
              <w:rPr>
                <w:sz w:val="18"/>
              </w:rPr>
            </w:pPr>
            <w:r>
              <w:rPr>
                <w:w w:val="105"/>
                <w:sz w:val="18"/>
              </w:rPr>
              <w:t>Q2, FY 2017</w:t>
            </w:r>
          </w:p>
        </w:tc>
      </w:tr>
      <w:tr>
        <w:trPr>
          <w:trHeight w:val="296" w:hRule="atLeast"/>
        </w:trPr>
        <w:tc>
          <w:tcPr>
            <w:tcW w:w="3456" w:type="dxa"/>
            <w:tcBorders>
              <w:top w:val="single" w:sz="6" w:space="0" w:color="69BD28"/>
              <w:bottom w:val="single" w:sz="6" w:space="0" w:color="69BD28"/>
            </w:tcBorders>
          </w:tcPr>
          <w:p>
            <w:pPr>
              <w:pStyle w:val="TableParagraph"/>
              <w:spacing w:before="46"/>
              <w:ind w:left="93" w:right="132"/>
              <w:rPr>
                <w:sz w:val="18"/>
              </w:rPr>
            </w:pPr>
            <w:r>
              <w:rPr>
                <w:sz w:val="18"/>
              </w:rPr>
              <w:t>Food Court (Tower A)</w:t>
            </w:r>
          </w:p>
        </w:tc>
        <w:tc>
          <w:tcPr>
            <w:tcW w:w="2089" w:type="dxa"/>
            <w:tcBorders>
              <w:top w:val="single" w:sz="6" w:space="0" w:color="69BD28"/>
              <w:bottom w:val="single" w:sz="6" w:space="0" w:color="69BD28"/>
            </w:tcBorders>
          </w:tcPr>
          <w:p>
            <w:pPr>
              <w:pStyle w:val="TableParagraph"/>
              <w:spacing w:before="46"/>
              <w:ind w:left="136" w:right="141"/>
              <w:rPr>
                <w:sz w:val="18"/>
              </w:rPr>
            </w:pPr>
            <w:r>
              <w:rPr>
                <w:w w:val="105"/>
                <w:sz w:val="18"/>
              </w:rPr>
              <w:t>46.34</w:t>
            </w:r>
          </w:p>
        </w:tc>
        <w:tc>
          <w:tcPr>
            <w:tcW w:w="2403" w:type="dxa"/>
            <w:tcBorders>
              <w:top w:val="single" w:sz="6" w:space="0" w:color="69BD28"/>
              <w:bottom w:val="single" w:sz="6" w:space="0" w:color="69BD28"/>
            </w:tcBorders>
          </w:tcPr>
          <w:p>
            <w:pPr>
              <w:pStyle w:val="TableParagraph"/>
              <w:spacing w:before="46"/>
              <w:ind w:right="30"/>
              <w:rPr>
                <w:sz w:val="18"/>
              </w:rPr>
            </w:pPr>
            <w:r>
              <w:rPr>
                <w:w w:val="99"/>
                <w:sz w:val="18"/>
              </w:rPr>
              <w:t>-</w:t>
            </w:r>
          </w:p>
        </w:tc>
        <w:tc>
          <w:tcPr>
            <w:tcW w:w="2544" w:type="dxa"/>
            <w:tcBorders>
              <w:top w:val="single" w:sz="6" w:space="0" w:color="69BD28"/>
              <w:bottom w:val="single" w:sz="6" w:space="0" w:color="69BD28"/>
            </w:tcBorders>
          </w:tcPr>
          <w:p>
            <w:pPr>
              <w:pStyle w:val="TableParagraph"/>
              <w:spacing w:before="46"/>
              <w:ind w:left="208" w:right="298"/>
              <w:rPr>
                <w:sz w:val="18"/>
              </w:rPr>
            </w:pPr>
            <w:r>
              <w:rPr>
                <w:w w:val="105"/>
                <w:sz w:val="18"/>
              </w:rPr>
              <w:t>Q3, FY 2017</w:t>
            </w:r>
          </w:p>
        </w:tc>
      </w:tr>
      <w:tr>
        <w:trPr>
          <w:trHeight w:val="294" w:hRule="atLeast"/>
        </w:trPr>
        <w:tc>
          <w:tcPr>
            <w:tcW w:w="3456" w:type="dxa"/>
            <w:tcBorders>
              <w:top w:val="single" w:sz="6" w:space="0" w:color="69BD28"/>
              <w:bottom w:val="single" w:sz="6" w:space="0" w:color="69BD28"/>
            </w:tcBorders>
          </w:tcPr>
          <w:p>
            <w:pPr>
              <w:pStyle w:val="TableParagraph"/>
              <w:spacing w:before="44"/>
              <w:ind w:left="91" w:right="132"/>
              <w:rPr>
                <w:sz w:val="18"/>
              </w:rPr>
            </w:pPr>
            <w:r>
              <w:rPr>
                <w:w w:val="105"/>
                <w:sz w:val="18"/>
              </w:rPr>
              <w:t>CCTV</w:t>
            </w:r>
          </w:p>
        </w:tc>
        <w:tc>
          <w:tcPr>
            <w:tcW w:w="2089" w:type="dxa"/>
            <w:tcBorders>
              <w:top w:val="single" w:sz="6" w:space="0" w:color="69BD28"/>
              <w:bottom w:val="single" w:sz="6" w:space="0" w:color="69BD28"/>
            </w:tcBorders>
          </w:tcPr>
          <w:p>
            <w:pPr>
              <w:pStyle w:val="TableParagraph"/>
              <w:spacing w:before="44"/>
              <w:ind w:left="136" w:right="141"/>
              <w:rPr>
                <w:sz w:val="18"/>
              </w:rPr>
            </w:pPr>
            <w:r>
              <w:rPr>
                <w:w w:val="105"/>
                <w:sz w:val="18"/>
              </w:rPr>
              <w:t>10.05</w:t>
            </w:r>
          </w:p>
        </w:tc>
        <w:tc>
          <w:tcPr>
            <w:tcW w:w="2403" w:type="dxa"/>
            <w:tcBorders>
              <w:top w:val="single" w:sz="6" w:space="0" w:color="69BD28"/>
              <w:bottom w:val="single" w:sz="6" w:space="0" w:color="69BD28"/>
            </w:tcBorders>
          </w:tcPr>
          <w:p>
            <w:pPr>
              <w:pStyle w:val="TableParagraph"/>
              <w:spacing w:before="44"/>
              <w:ind w:right="30"/>
              <w:rPr>
                <w:sz w:val="18"/>
              </w:rPr>
            </w:pPr>
            <w:r>
              <w:rPr>
                <w:w w:val="99"/>
                <w:sz w:val="18"/>
              </w:rPr>
              <w:t>-</w:t>
            </w:r>
          </w:p>
        </w:tc>
        <w:tc>
          <w:tcPr>
            <w:tcW w:w="2544" w:type="dxa"/>
            <w:tcBorders>
              <w:top w:val="single" w:sz="6" w:space="0" w:color="69BD28"/>
              <w:bottom w:val="single" w:sz="6" w:space="0" w:color="69BD28"/>
            </w:tcBorders>
          </w:tcPr>
          <w:p>
            <w:pPr>
              <w:pStyle w:val="TableParagraph"/>
              <w:spacing w:before="44"/>
              <w:ind w:left="208" w:right="298"/>
              <w:rPr>
                <w:sz w:val="18"/>
              </w:rPr>
            </w:pPr>
            <w:r>
              <w:rPr>
                <w:w w:val="105"/>
                <w:sz w:val="18"/>
              </w:rPr>
              <w:t>Q3, FY 2017</w:t>
            </w:r>
          </w:p>
        </w:tc>
      </w:tr>
      <w:tr>
        <w:trPr>
          <w:trHeight w:val="297" w:hRule="atLeast"/>
        </w:trPr>
        <w:tc>
          <w:tcPr>
            <w:tcW w:w="3456" w:type="dxa"/>
            <w:tcBorders>
              <w:top w:val="single" w:sz="6" w:space="0" w:color="69BD28"/>
              <w:bottom w:val="single" w:sz="6" w:space="0" w:color="69BD28"/>
            </w:tcBorders>
          </w:tcPr>
          <w:p>
            <w:pPr>
              <w:pStyle w:val="TableParagraph"/>
              <w:spacing w:before="46"/>
              <w:ind w:left="93" w:right="132"/>
              <w:rPr>
                <w:sz w:val="18"/>
              </w:rPr>
            </w:pPr>
            <w:r>
              <w:rPr>
                <w:sz w:val="18"/>
              </w:rPr>
              <w:t>Fire doors</w:t>
            </w:r>
          </w:p>
        </w:tc>
        <w:tc>
          <w:tcPr>
            <w:tcW w:w="2089" w:type="dxa"/>
            <w:tcBorders>
              <w:top w:val="single" w:sz="6" w:space="0" w:color="69BD28"/>
              <w:bottom w:val="single" w:sz="6" w:space="0" w:color="69BD28"/>
            </w:tcBorders>
          </w:tcPr>
          <w:p>
            <w:pPr>
              <w:pStyle w:val="TableParagraph"/>
              <w:spacing w:before="46"/>
              <w:ind w:left="135" w:right="141"/>
              <w:rPr>
                <w:sz w:val="18"/>
              </w:rPr>
            </w:pPr>
            <w:r>
              <w:rPr>
                <w:w w:val="105"/>
                <w:sz w:val="18"/>
              </w:rPr>
              <w:t>4.16</w:t>
            </w:r>
          </w:p>
        </w:tc>
        <w:tc>
          <w:tcPr>
            <w:tcW w:w="2403" w:type="dxa"/>
            <w:tcBorders>
              <w:top w:val="single" w:sz="6" w:space="0" w:color="69BD28"/>
              <w:bottom w:val="single" w:sz="6" w:space="0" w:color="69BD28"/>
            </w:tcBorders>
          </w:tcPr>
          <w:p>
            <w:pPr>
              <w:pStyle w:val="TableParagraph"/>
              <w:spacing w:before="46"/>
              <w:ind w:right="30"/>
              <w:rPr>
                <w:sz w:val="18"/>
              </w:rPr>
            </w:pPr>
            <w:r>
              <w:rPr>
                <w:w w:val="99"/>
                <w:sz w:val="18"/>
              </w:rPr>
              <w:t>-</w:t>
            </w:r>
          </w:p>
        </w:tc>
        <w:tc>
          <w:tcPr>
            <w:tcW w:w="2544" w:type="dxa"/>
            <w:tcBorders>
              <w:top w:val="single" w:sz="6" w:space="0" w:color="69BD28"/>
              <w:bottom w:val="single" w:sz="6" w:space="0" w:color="69BD28"/>
            </w:tcBorders>
          </w:tcPr>
          <w:p>
            <w:pPr>
              <w:pStyle w:val="TableParagraph"/>
              <w:spacing w:before="46"/>
              <w:ind w:left="208" w:right="298"/>
              <w:rPr>
                <w:sz w:val="18"/>
              </w:rPr>
            </w:pPr>
            <w:r>
              <w:rPr>
                <w:w w:val="105"/>
                <w:sz w:val="18"/>
              </w:rPr>
              <w:t>Q3, FY 2017</w:t>
            </w:r>
          </w:p>
        </w:tc>
      </w:tr>
      <w:tr>
        <w:trPr>
          <w:trHeight w:val="297" w:hRule="atLeast"/>
        </w:trPr>
        <w:tc>
          <w:tcPr>
            <w:tcW w:w="3456" w:type="dxa"/>
            <w:tcBorders>
              <w:top w:val="single" w:sz="6" w:space="0" w:color="69BD28"/>
              <w:bottom w:val="single" w:sz="6" w:space="0" w:color="69BD28"/>
            </w:tcBorders>
          </w:tcPr>
          <w:p>
            <w:pPr>
              <w:pStyle w:val="TableParagraph"/>
              <w:spacing w:before="44"/>
              <w:ind w:left="95" w:right="132"/>
              <w:rPr>
                <w:sz w:val="18"/>
              </w:rPr>
            </w:pPr>
            <w:r>
              <w:rPr>
                <w:sz w:val="18"/>
              </w:rPr>
              <w:t>Tower E 9</w:t>
            </w:r>
            <w:r>
              <w:rPr>
                <w:position w:val="6"/>
                <w:sz w:val="11"/>
              </w:rPr>
              <w:t>th </w:t>
            </w:r>
            <w:r>
              <w:rPr>
                <w:sz w:val="18"/>
              </w:rPr>
              <w:t>Floor - building upgradation</w:t>
            </w:r>
          </w:p>
        </w:tc>
        <w:tc>
          <w:tcPr>
            <w:tcW w:w="2089" w:type="dxa"/>
            <w:tcBorders>
              <w:top w:val="single" w:sz="6" w:space="0" w:color="69BD28"/>
              <w:bottom w:val="single" w:sz="6" w:space="0" w:color="69BD28"/>
            </w:tcBorders>
          </w:tcPr>
          <w:p>
            <w:pPr>
              <w:pStyle w:val="TableParagraph"/>
              <w:spacing w:before="44"/>
              <w:ind w:left="136" w:right="141"/>
              <w:rPr>
                <w:sz w:val="18"/>
              </w:rPr>
            </w:pPr>
            <w:r>
              <w:rPr>
                <w:w w:val="105"/>
                <w:sz w:val="18"/>
              </w:rPr>
              <w:t>73.65</w:t>
            </w:r>
          </w:p>
        </w:tc>
        <w:tc>
          <w:tcPr>
            <w:tcW w:w="2403" w:type="dxa"/>
            <w:tcBorders>
              <w:top w:val="single" w:sz="6" w:space="0" w:color="69BD28"/>
              <w:bottom w:val="single" w:sz="6" w:space="0" w:color="69BD28"/>
            </w:tcBorders>
          </w:tcPr>
          <w:p>
            <w:pPr>
              <w:pStyle w:val="TableParagraph"/>
              <w:spacing w:before="44"/>
              <w:ind w:right="30"/>
              <w:rPr>
                <w:sz w:val="18"/>
              </w:rPr>
            </w:pPr>
            <w:r>
              <w:rPr>
                <w:w w:val="99"/>
                <w:sz w:val="18"/>
              </w:rPr>
              <w:t>-</w:t>
            </w:r>
          </w:p>
        </w:tc>
        <w:tc>
          <w:tcPr>
            <w:tcW w:w="2544" w:type="dxa"/>
            <w:tcBorders>
              <w:top w:val="single" w:sz="6" w:space="0" w:color="69BD28"/>
              <w:bottom w:val="single" w:sz="6" w:space="0" w:color="69BD28"/>
            </w:tcBorders>
          </w:tcPr>
          <w:p>
            <w:pPr>
              <w:pStyle w:val="TableParagraph"/>
              <w:spacing w:before="44"/>
              <w:ind w:left="208" w:right="298"/>
              <w:rPr>
                <w:sz w:val="18"/>
              </w:rPr>
            </w:pPr>
            <w:r>
              <w:rPr>
                <w:w w:val="105"/>
                <w:sz w:val="18"/>
              </w:rPr>
              <w:t>Q4, FY 2017</w:t>
            </w:r>
          </w:p>
        </w:tc>
      </w:tr>
    </w:tbl>
    <w:p>
      <w:pPr>
        <w:spacing w:after="0"/>
        <w:rPr>
          <w:sz w:val="18"/>
        </w:rPr>
        <w:sectPr>
          <w:type w:val="continuous"/>
          <w:pgSz w:w="11910" w:h="16840"/>
          <w:pgMar w:top="800" w:bottom="280" w:left="580" w:right="600"/>
        </w:sectPr>
      </w:pPr>
    </w:p>
    <w:p>
      <w:pPr>
        <w:pStyle w:val="BodyText"/>
        <w:spacing w:before="3" w:after="1"/>
        <w:rPr>
          <w:sz w:val="18"/>
        </w:rPr>
      </w:pPr>
    </w:p>
    <w:tbl>
      <w:tblPr>
        <w:tblW w:w="0" w:type="auto"/>
        <w:jc w:val="left"/>
        <w:tblInd w:w="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87"/>
        <w:gridCol w:w="2052"/>
        <w:gridCol w:w="2404"/>
        <w:gridCol w:w="2545"/>
      </w:tblGrid>
      <w:tr>
        <w:trPr>
          <w:trHeight w:val="445" w:hRule="atLeast"/>
        </w:trPr>
        <w:tc>
          <w:tcPr>
            <w:tcW w:w="3487" w:type="dxa"/>
            <w:tcBorders>
              <w:top w:val="single" w:sz="6" w:space="0" w:color="69BD28"/>
              <w:bottom w:val="single" w:sz="6" w:space="0" w:color="69BD28"/>
            </w:tcBorders>
            <w:shd w:val="clear" w:color="auto" w:fill="006A4D"/>
          </w:tcPr>
          <w:p>
            <w:pPr>
              <w:pStyle w:val="TableParagraph"/>
              <w:spacing w:before="126"/>
              <w:ind w:right="81"/>
              <w:rPr>
                <w:b/>
                <w:sz w:val="18"/>
              </w:rPr>
            </w:pPr>
            <w:r>
              <w:rPr>
                <w:b/>
                <w:color w:val="FFFFFF"/>
                <w:w w:val="110"/>
                <w:sz w:val="18"/>
              </w:rPr>
              <w:t>Expense Head</w:t>
            </w:r>
          </w:p>
        </w:tc>
        <w:tc>
          <w:tcPr>
            <w:tcW w:w="2052" w:type="dxa"/>
            <w:tcBorders>
              <w:top w:val="single" w:sz="6" w:space="0" w:color="69BD28"/>
              <w:bottom w:val="single" w:sz="6" w:space="0" w:color="69BD28"/>
            </w:tcBorders>
            <w:shd w:val="clear" w:color="auto" w:fill="006A4D"/>
          </w:tcPr>
          <w:p>
            <w:pPr>
              <w:pStyle w:val="TableParagraph"/>
              <w:spacing w:before="126"/>
              <w:ind w:left="99" w:right="142"/>
              <w:rPr>
                <w:b/>
                <w:sz w:val="18"/>
              </w:rPr>
            </w:pPr>
            <w:r>
              <w:rPr>
                <w:b/>
                <w:color w:val="FFFFFF"/>
                <w:w w:val="110"/>
                <w:sz w:val="18"/>
              </w:rPr>
              <w:t>Total Cost (INR Mn)</w:t>
            </w:r>
          </w:p>
        </w:tc>
        <w:tc>
          <w:tcPr>
            <w:tcW w:w="2404" w:type="dxa"/>
            <w:tcBorders>
              <w:top w:val="single" w:sz="6" w:space="0" w:color="69BD28"/>
              <w:bottom w:val="single" w:sz="6" w:space="0" w:color="69BD28"/>
            </w:tcBorders>
            <w:shd w:val="clear" w:color="auto" w:fill="006A4D"/>
          </w:tcPr>
          <w:p>
            <w:pPr>
              <w:pStyle w:val="TableParagraph"/>
              <w:spacing w:before="126"/>
              <w:ind w:left="159" w:right="191"/>
              <w:rPr>
                <w:b/>
                <w:sz w:val="18"/>
              </w:rPr>
            </w:pPr>
            <w:r>
              <w:rPr>
                <w:b/>
                <w:color w:val="FFFFFF"/>
                <w:w w:val="110"/>
                <w:sz w:val="18"/>
              </w:rPr>
              <w:t>Balance Cost (INR Mn)</w:t>
            </w:r>
          </w:p>
        </w:tc>
        <w:tc>
          <w:tcPr>
            <w:tcW w:w="2545" w:type="dxa"/>
            <w:tcBorders>
              <w:top w:val="single" w:sz="6" w:space="0" w:color="69BD28"/>
              <w:bottom w:val="single" w:sz="6" w:space="0" w:color="69BD28"/>
            </w:tcBorders>
            <w:shd w:val="clear" w:color="auto" w:fill="006A4D"/>
          </w:tcPr>
          <w:p>
            <w:pPr>
              <w:pStyle w:val="TableParagraph"/>
              <w:spacing w:before="126"/>
              <w:ind w:left="211" w:right="302"/>
              <w:rPr>
                <w:b/>
                <w:sz w:val="18"/>
              </w:rPr>
            </w:pPr>
            <w:r>
              <w:rPr>
                <w:b/>
                <w:color w:val="FFFFFF"/>
                <w:w w:val="105"/>
                <w:sz w:val="18"/>
              </w:rPr>
              <w:t>Quarter of Completion</w:t>
            </w:r>
          </w:p>
        </w:tc>
      </w:tr>
      <w:tr>
        <w:trPr>
          <w:trHeight w:val="294" w:hRule="atLeast"/>
        </w:trPr>
        <w:tc>
          <w:tcPr>
            <w:tcW w:w="3487" w:type="dxa"/>
            <w:tcBorders>
              <w:top w:val="single" w:sz="6" w:space="0" w:color="69BD28"/>
              <w:bottom w:val="single" w:sz="6" w:space="0" w:color="69BD28"/>
            </w:tcBorders>
          </w:tcPr>
          <w:p>
            <w:pPr>
              <w:pStyle w:val="TableParagraph"/>
              <w:spacing w:before="52"/>
              <w:ind w:right="85"/>
              <w:rPr>
                <w:sz w:val="18"/>
              </w:rPr>
            </w:pPr>
            <w:r>
              <w:rPr>
                <w:sz w:val="18"/>
              </w:rPr>
              <w:t>Tower E 9</w:t>
            </w:r>
            <w:r>
              <w:rPr>
                <w:position w:val="6"/>
                <w:sz w:val="11"/>
              </w:rPr>
              <w:t>th </w:t>
            </w:r>
            <w:r>
              <w:rPr>
                <w:sz w:val="18"/>
              </w:rPr>
              <w:t>Floor - lift upgradation</w:t>
            </w:r>
          </w:p>
        </w:tc>
        <w:tc>
          <w:tcPr>
            <w:tcW w:w="2052" w:type="dxa"/>
            <w:tcBorders>
              <w:top w:val="single" w:sz="6" w:space="0" w:color="69BD28"/>
              <w:bottom w:val="single" w:sz="6" w:space="0" w:color="69BD28"/>
            </w:tcBorders>
          </w:tcPr>
          <w:p>
            <w:pPr>
              <w:pStyle w:val="TableParagraph"/>
              <w:spacing w:before="52"/>
              <w:ind w:left="97" w:right="142"/>
              <w:rPr>
                <w:sz w:val="18"/>
              </w:rPr>
            </w:pPr>
            <w:r>
              <w:rPr>
                <w:w w:val="105"/>
                <w:sz w:val="18"/>
              </w:rPr>
              <w:t>10.32</w:t>
            </w:r>
          </w:p>
        </w:tc>
        <w:tc>
          <w:tcPr>
            <w:tcW w:w="2404" w:type="dxa"/>
            <w:tcBorders>
              <w:top w:val="single" w:sz="6" w:space="0" w:color="69BD28"/>
              <w:bottom w:val="single" w:sz="6" w:space="0" w:color="69BD28"/>
            </w:tcBorders>
          </w:tcPr>
          <w:p>
            <w:pPr>
              <w:pStyle w:val="TableParagraph"/>
              <w:spacing w:before="52"/>
              <w:ind w:right="33"/>
              <w:rPr>
                <w:sz w:val="18"/>
              </w:rPr>
            </w:pPr>
            <w:r>
              <w:rPr>
                <w:w w:val="99"/>
                <w:sz w:val="18"/>
              </w:rPr>
              <w:t>-</w:t>
            </w:r>
          </w:p>
        </w:tc>
        <w:tc>
          <w:tcPr>
            <w:tcW w:w="2545" w:type="dxa"/>
            <w:tcBorders>
              <w:top w:val="single" w:sz="6" w:space="0" w:color="69BD28"/>
              <w:bottom w:val="single" w:sz="6" w:space="0" w:color="69BD28"/>
            </w:tcBorders>
          </w:tcPr>
          <w:p>
            <w:pPr>
              <w:pStyle w:val="TableParagraph"/>
              <w:spacing w:before="52"/>
              <w:ind w:left="207" w:right="302"/>
              <w:rPr>
                <w:sz w:val="18"/>
              </w:rPr>
            </w:pPr>
            <w:r>
              <w:rPr>
                <w:w w:val="105"/>
                <w:sz w:val="18"/>
              </w:rPr>
              <w:t>Q4, FY 2017</w:t>
            </w:r>
          </w:p>
        </w:tc>
      </w:tr>
      <w:tr>
        <w:trPr>
          <w:trHeight w:val="294" w:hRule="atLeast"/>
        </w:trPr>
        <w:tc>
          <w:tcPr>
            <w:tcW w:w="3487" w:type="dxa"/>
            <w:tcBorders>
              <w:top w:val="single" w:sz="6" w:space="0" w:color="69BD28"/>
              <w:bottom w:val="single" w:sz="6" w:space="0" w:color="69BD28"/>
            </w:tcBorders>
          </w:tcPr>
          <w:p>
            <w:pPr>
              <w:pStyle w:val="TableParagraph"/>
              <w:spacing w:before="52"/>
              <w:ind w:right="86"/>
              <w:rPr>
                <w:sz w:val="18"/>
              </w:rPr>
            </w:pPr>
            <w:r>
              <w:rPr>
                <w:sz w:val="18"/>
              </w:rPr>
              <w:t>Tower E 9</w:t>
            </w:r>
            <w:r>
              <w:rPr>
                <w:position w:val="6"/>
                <w:sz w:val="11"/>
              </w:rPr>
              <w:t>th </w:t>
            </w:r>
            <w:r>
              <w:rPr>
                <w:sz w:val="18"/>
              </w:rPr>
              <w:t>Floor (GlobalLogic Incubation)</w:t>
            </w:r>
          </w:p>
        </w:tc>
        <w:tc>
          <w:tcPr>
            <w:tcW w:w="2052" w:type="dxa"/>
            <w:tcBorders>
              <w:top w:val="single" w:sz="6" w:space="0" w:color="69BD28"/>
              <w:bottom w:val="single" w:sz="6" w:space="0" w:color="69BD28"/>
            </w:tcBorders>
          </w:tcPr>
          <w:p>
            <w:pPr>
              <w:pStyle w:val="TableParagraph"/>
              <w:spacing w:before="52"/>
              <w:ind w:left="97" w:right="142"/>
              <w:rPr>
                <w:sz w:val="18"/>
              </w:rPr>
            </w:pPr>
            <w:r>
              <w:rPr>
                <w:w w:val="105"/>
                <w:sz w:val="18"/>
              </w:rPr>
              <w:t>57.55</w:t>
            </w:r>
          </w:p>
        </w:tc>
        <w:tc>
          <w:tcPr>
            <w:tcW w:w="2404" w:type="dxa"/>
            <w:tcBorders>
              <w:top w:val="single" w:sz="6" w:space="0" w:color="69BD28"/>
              <w:bottom w:val="single" w:sz="6" w:space="0" w:color="69BD28"/>
            </w:tcBorders>
          </w:tcPr>
          <w:p>
            <w:pPr>
              <w:pStyle w:val="TableParagraph"/>
              <w:spacing w:before="52"/>
              <w:ind w:right="33"/>
              <w:rPr>
                <w:sz w:val="18"/>
              </w:rPr>
            </w:pPr>
            <w:r>
              <w:rPr>
                <w:w w:val="99"/>
                <w:sz w:val="18"/>
              </w:rPr>
              <w:t>-</w:t>
            </w:r>
          </w:p>
        </w:tc>
        <w:tc>
          <w:tcPr>
            <w:tcW w:w="2545" w:type="dxa"/>
            <w:tcBorders>
              <w:top w:val="single" w:sz="6" w:space="0" w:color="69BD28"/>
              <w:bottom w:val="single" w:sz="6" w:space="0" w:color="69BD28"/>
            </w:tcBorders>
          </w:tcPr>
          <w:p>
            <w:pPr>
              <w:pStyle w:val="TableParagraph"/>
              <w:spacing w:before="52"/>
              <w:ind w:left="207" w:right="302"/>
              <w:rPr>
                <w:sz w:val="18"/>
              </w:rPr>
            </w:pPr>
            <w:r>
              <w:rPr>
                <w:w w:val="105"/>
                <w:sz w:val="18"/>
              </w:rPr>
              <w:t>Q4, FY 2017</w:t>
            </w:r>
          </w:p>
        </w:tc>
      </w:tr>
      <w:tr>
        <w:trPr>
          <w:trHeight w:val="297" w:hRule="atLeast"/>
        </w:trPr>
        <w:tc>
          <w:tcPr>
            <w:tcW w:w="3487" w:type="dxa"/>
            <w:tcBorders>
              <w:top w:val="single" w:sz="6" w:space="0" w:color="69BD28"/>
              <w:bottom w:val="single" w:sz="6" w:space="0" w:color="69BD28"/>
            </w:tcBorders>
          </w:tcPr>
          <w:p>
            <w:pPr>
              <w:pStyle w:val="TableParagraph"/>
              <w:spacing w:before="54"/>
              <w:ind w:right="82"/>
              <w:rPr>
                <w:sz w:val="18"/>
              </w:rPr>
            </w:pPr>
            <w:r>
              <w:rPr>
                <w:w w:val="105"/>
                <w:sz w:val="18"/>
              </w:rPr>
              <w:t>STP 2</w:t>
            </w:r>
          </w:p>
        </w:tc>
        <w:tc>
          <w:tcPr>
            <w:tcW w:w="2052" w:type="dxa"/>
            <w:tcBorders>
              <w:top w:val="single" w:sz="6" w:space="0" w:color="69BD28"/>
              <w:bottom w:val="single" w:sz="6" w:space="0" w:color="69BD28"/>
            </w:tcBorders>
          </w:tcPr>
          <w:p>
            <w:pPr>
              <w:pStyle w:val="TableParagraph"/>
              <w:spacing w:before="54"/>
              <w:ind w:left="97" w:right="142"/>
              <w:rPr>
                <w:sz w:val="18"/>
              </w:rPr>
            </w:pPr>
            <w:r>
              <w:rPr>
                <w:w w:val="105"/>
                <w:sz w:val="18"/>
              </w:rPr>
              <w:t>2.03</w:t>
            </w:r>
          </w:p>
        </w:tc>
        <w:tc>
          <w:tcPr>
            <w:tcW w:w="2404" w:type="dxa"/>
            <w:tcBorders>
              <w:top w:val="single" w:sz="6" w:space="0" w:color="69BD28"/>
              <w:bottom w:val="single" w:sz="6" w:space="0" w:color="69BD28"/>
            </w:tcBorders>
          </w:tcPr>
          <w:p>
            <w:pPr>
              <w:pStyle w:val="TableParagraph"/>
              <w:spacing w:before="54"/>
              <w:ind w:right="33"/>
              <w:rPr>
                <w:sz w:val="18"/>
              </w:rPr>
            </w:pPr>
            <w:r>
              <w:rPr>
                <w:w w:val="99"/>
                <w:sz w:val="18"/>
              </w:rPr>
              <w:t>-</w:t>
            </w:r>
          </w:p>
        </w:tc>
        <w:tc>
          <w:tcPr>
            <w:tcW w:w="2545" w:type="dxa"/>
            <w:tcBorders>
              <w:top w:val="single" w:sz="6" w:space="0" w:color="69BD28"/>
              <w:bottom w:val="single" w:sz="6" w:space="0" w:color="69BD28"/>
            </w:tcBorders>
          </w:tcPr>
          <w:p>
            <w:pPr>
              <w:pStyle w:val="TableParagraph"/>
              <w:spacing w:before="54"/>
              <w:ind w:left="207" w:right="302"/>
              <w:rPr>
                <w:sz w:val="18"/>
              </w:rPr>
            </w:pPr>
            <w:r>
              <w:rPr>
                <w:w w:val="105"/>
                <w:sz w:val="18"/>
              </w:rPr>
              <w:t>Q4, FY 2017</w:t>
            </w:r>
          </w:p>
        </w:tc>
      </w:tr>
      <w:tr>
        <w:trPr>
          <w:trHeight w:val="294" w:hRule="atLeast"/>
        </w:trPr>
        <w:tc>
          <w:tcPr>
            <w:tcW w:w="3487" w:type="dxa"/>
            <w:tcBorders>
              <w:top w:val="single" w:sz="6" w:space="0" w:color="69BD28"/>
              <w:bottom w:val="single" w:sz="6" w:space="0" w:color="69BD28"/>
            </w:tcBorders>
          </w:tcPr>
          <w:p>
            <w:pPr>
              <w:pStyle w:val="TableParagraph"/>
              <w:spacing w:before="52"/>
              <w:ind w:right="83"/>
              <w:rPr>
                <w:sz w:val="18"/>
              </w:rPr>
            </w:pPr>
            <w:r>
              <w:rPr>
                <w:sz w:val="18"/>
              </w:rPr>
              <w:t>Tower A - ACP Work</w:t>
            </w:r>
          </w:p>
        </w:tc>
        <w:tc>
          <w:tcPr>
            <w:tcW w:w="2052" w:type="dxa"/>
            <w:tcBorders>
              <w:top w:val="single" w:sz="6" w:space="0" w:color="69BD28"/>
              <w:bottom w:val="single" w:sz="6" w:space="0" w:color="69BD28"/>
            </w:tcBorders>
          </w:tcPr>
          <w:p>
            <w:pPr>
              <w:pStyle w:val="TableParagraph"/>
              <w:spacing w:before="52"/>
              <w:ind w:left="97" w:right="142"/>
              <w:rPr>
                <w:sz w:val="18"/>
              </w:rPr>
            </w:pPr>
            <w:r>
              <w:rPr>
                <w:w w:val="105"/>
                <w:sz w:val="18"/>
              </w:rPr>
              <w:t>1.63</w:t>
            </w:r>
          </w:p>
        </w:tc>
        <w:tc>
          <w:tcPr>
            <w:tcW w:w="2404" w:type="dxa"/>
            <w:tcBorders>
              <w:top w:val="single" w:sz="6" w:space="0" w:color="69BD28"/>
              <w:bottom w:val="single" w:sz="6" w:space="0" w:color="69BD28"/>
            </w:tcBorders>
          </w:tcPr>
          <w:p>
            <w:pPr>
              <w:pStyle w:val="TableParagraph"/>
              <w:spacing w:before="52"/>
              <w:ind w:right="33"/>
              <w:rPr>
                <w:sz w:val="18"/>
              </w:rPr>
            </w:pPr>
            <w:r>
              <w:rPr>
                <w:w w:val="99"/>
                <w:sz w:val="18"/>
              </w:rPr>
              <w:t>-</w:t>
            </w:r>
          </w:p>
        </w:tc>
        <w:tc>
          <w:tcPr>
            <w:tcW w:w="2545" w:type="dxa"/>
            <w:tcBorders>
              <w:top w:val="single" w:sz="6" w:space="0" w:color="69BD28"/>
              <w:bottom w:val="single" w:sz="6" w:space="0" w:color="69BD28"/>
            </w:tcBorders>
          </w:tcPr>
          <w:p>
            <w:pPr>
              <w:pStyle w:val="TableParagraph"/>
              <w:spacing w:before="52"/>
              <w:ind w:left="207" w:right="302"/>
              <w:rPr>
                <w:sz w:val="18"/>
              </w:rPr>
            </w:pPr>
            <w:r>
              <w:rPr>
                <w:w w:val="105"/>
                <w:sz w:val="18"/>
              </w:rPr>
              <w:t>Q4, FY 2017</w:t>
            </w:r>
          </w:p>
        </w:tc>
      </w:tr>
      <w:tr>
        <w:trPr>
          <w:trHeight w:val="296" w:hRule="atLeast"/>
        </w:trPr>
        <w:tc>
          <w:tcPr>
            <w:tcW w:w="3487" w:type="dxa"/>
            <w:tcBorders>
              <w:top w:val="single" w:sz="6" w:space="0" w:color="69BD28"/>
              <w:bottom w:val="single" w:sz="6" w:space="0" w:color="69BD28"/>
            </w:tcBorders>
          </w:tcPr>
          <w:p>
            <w:pPr>
              <w:pStyle w:val="TableParagraph"/>
              <w:spacing w:before="54"/>
              <w:ind w:right="85"/>
              <w:rPr>
                <w:sz w:val="18"/>
              </w:rPr>
            </w:pPr>
            <w:r>
              <w:rPr>
                <w:w w:val="105"/>
                <w:sz w:val="18"/>
              </w:rPr>
              <w:t>Signages</w:t>
            </w:r>
          </w:p>
        </w:tc>
        <w:tc>
          <w:tcPr>
            <w:tcW w:w="2052" w:type="dxa"/>
            <w:tcBorders>
              <w:top w:val="single" w:sz="6" w:space="0" w:color="69BD28"/>
              <w:bottom w:val="single" w:sz="6" w:space="0" w:color="69BD28"/>
            </w:tcBorders>
          </w:tcPr>
          <w:p>
            <w:pPr>
              <w:pStyle w:val="TableParagraph"/>
              <w:spacing w:before="54"/>
              <w:ind w:left="97" w:right="142"/>
              <w:rPr>
                <w:sz w:val="18"/>
              </w:rPr>
            </w:pPr>
            <w:r>
              <w:rPr>
                <w:w w:val="105"/>
                <w:sz w:val="18"/>
              </w:rPr>
              <w:t>3.67</w:t>
            </w:r>
          </w:p>
        </w:tc>
        <w:tc>
          <w:tcPr>
            <w:tcW w:w="2404" w:type="dxa"/>
            <w:tcBorders>
              <w:top w:val="single" w:sz="6" w:space="0" w:color="69BD28"/>
              <w:bottom w:val="single" w:sz="6" w:space="0" w:color="69BD28"/>
            </w:tcBorders>
          </w:tcPr>
          <w:p>
            <w:pPr>
              <w:pStyle w:val="TableParagraph"/>
              <w:spacing w:before="54"/>
              <w:ind w:right="33"/>
              <w:rPr>
                <w:sz w:val="18"/>
              </w:rPr>
            </w:pPr>
            <w:r>
              <w:rPr>
                <w:w w:val="99"/>
                <w:sz w:val="18"/>
              </w:rPr>
              <w:t>-</w:t>
            </w:r>
          </w:p>
        </w:tc>
        <w:tc>
          <w:tcPr>
            <w:tcW w:w="2545" w:type="dxa"/>
            <w:tcBorders>
              <w:top w:val="single" w:sz="6" w:space="0" w:color="69BD28"/>
              <w:bottom w:val="single" w:sz="6" w:space="0" w:color="69BD28"/>
            </w:tcBorders>
          </w:tcPr>
          <w:p>
            <w:pPr>
              <w:pStyle w:val="TableParagraph"/>
              <w:spacing w:before="54"/>
              <w:ind w:left="207" w:right="302"/>
              <w:rPr>
                <w:sz w:val="18"/>
              </w:rPr>
            </w:pPr>
            <w:r>
              <w:rPr>
                <w:w w:val="105"/>
                <w:sz w:val="18"/>
              </w:rPr>
              <w:t>Q1, FY 2018</w:t>
            </w:r>
          </w:p>
        </w:tc>
      </w:tr>
      <w:tr>
        <w:trPr>
          <w:trHeight w:val="294" w:hRule="atLeast"/>
        </w:trPr>
        <w:tc>
          <w:tcPr>
            <w:tcW w:w="3487" w:type="dxa"/>
            <w:tcBorders>
              <w:top w:val="single" w:sz="6" w:space="0" w:color="69BD28"/>
              <w:bottom w:val="single" w:sz="6" w:space="0" w:color="69BD28"/>
            </w:tcBorders>
          </w:tcPr>
          <w:p>
            <w:pPr>
              <w:pStyle w:val="TableParagraph"/>
              <w:spacing w:before="52"/>
              <w:ind w:right="84"/>
              <w:rPr>
                <w:sz w:val="18"/>
              </w:rPr>
            </w:pPr>
            <w:r>
              <w:rPr>
                <w:sz w:val="18"/>
              </w:rPr>
              <w:t>Building painting</w:t>
            </w:r>
          </w:p>
        </w:tc>
        <w:tc>
          <w:tcPr>
            <w:tcW w:w="2052" w:type="dxa"/>
            <w:tcBorders>
              <w:top w:val="single" w:sz="6" w:space="0" w:color="69BD28"/>
              <w:bottom w:val="single" w:sz="6" w:space="0" w:color="69BD28"/>
            </w:tcBorders>
          </w:tcPr>
          <w:p>
            <w:pPr>
              <w:pStyle w:val="TableParagraph"/>
              <w:spacing w:before="52"/>
              <w:ind w:left="97" w:right="142"/>
              <w:rPr>
                <w:sz w:val="18"/>
              </w:rPr>
            </w:pPr>
            <w:r>
              <w:rPr>
                <w:w w:val="105"/>
                <w:sz w:val="18"/>
              </w:rPr>
              <w:t>9.18</w:t>
            </w:r>
          </w:p>
        </w:tc>
        <w:tc>
          <w:tcPr>
            <w:tcW w:w="2404" w:type="dxa"/>
            <w:tcBorders>
              <w:top w:val="single" w:sz="6" w:space="0" w:color="69BD28"/>
              <w:bottom w:val="single" w:sz="6" w:space="0" w:color="69BD28"/>
            </w:tcBorders>
          </w:tcPr>
          <w:p>
            <w:pPr>
              <w:pStyle w:val="TableParagraph"/>
              <w:spacing w:before="52"/>
              <w:ind w:right="33"/>
              <w:rPr>
                <w:sz w:val="18"/>
              </w:rPr>
            </w:pPr>
            <w:r>
              <w:rPr>
                <w:w w:val="99"/>
                <w:sz w:val="18"/>
              </w:rPr>
              <w:t>-</w:t>
            </w:r>
          </w:p>
        </w:tc>
        <w:tc>
          <w:tcPr>
            <w:tcW w:w="2545" w:type="dxa"/>
            <w:tcBorders>
              <w:top w:val="single" w:sz="6" w:space="0" w:color="69BD28"/>
              <w:bottom w:val="single" w:sz="6" w:space="0" w:color="69BD28"/>
            </w:tcBorders>
          </w:tcPr>
          <w:p>
            <w:pPr>
              <w:pStyle w:val="TableParagraph"/>
              <w:spacing w:before="52"/>
              <w:ind w:left="207" w:right="302"/>
              <w:rPr>
                <w:sz w:val="18"/>
              </w:rPr>
            </w:pPr>
            <w:r>
              <w:rPr>
                <w:w w:val="105"/>
                <w:sz w:val="18"/>
              </w:rPr>
              <w:t>Q1, FY 2018</w:t>
            </w:r>
          </w:p>
        </w:tc>
      </w:tr>
      <w:tr>
        <w:trPr>
          <w:trHeight w:val="297" w:hRule="atLeast"/>
        </w:trPr>
        <w:tc>
          <w:tcPr>
            <w:tcW w:w="3487" w:type="dxa"/>
            <w:tcBorders>
              <w:top w:val="single" w:sz="6" w:space="0" w:color="69BD28"/>
              <w:bottom w:val="single" w:sz="6" w:space="0" w:color="69BD28"/>
            </w:tcBorders>
          </w:tcPr>
          <w:p>
            <w:pPr>
              <w:pStyle w:val="TableParagraph"/>
              <w:spacing w:before="54"/>
              <w:ind w:left="103" w:right="86"/>
              <w:rPr>
                <w:sz w:val="18"/>
              </w:rPr>
            </w:pPr>
            <w:r>
              <w:rPr>
                <w:sz w:val="18"/>
              </w:rPr>
              <w:t>Expansion joint and waterproofing</w:t>
            </w:r>
          </w:p>
        </w:tc>
        <w:tc>
          <w:tcPr>
            <w:tcW w:w="2052" w:type="dxa"/>
            <w:tcBorders>
              <w:top w:val="single" w:sz="6" w:space="0" w:color="69BD28"/>
              <w:bottom w:val="single" w:sz="6" w:space="0" w:color="69BD28"/>
            </w:tcBorders>
          </w:tcPr>
          <w:p>
            <w:pPr>
              <w:pStyle w:val="TableParagraph"/>
              <w:spacing w:before="54"/>
              <w:ind w:left="97" w:right="142"/>
              <w:rPr>
                <w:sz w:val="18"/>
              </w:rPr>
            </w:pPr>
            <w:r>
              <w:rPr>
                <w:w w:val="105"/>
                <w:sz w:val="18"/>
              </w:rPr>
              <w:t>34.59</w:t>
            </w:r>
          </w:p>
        </w:tc>
        <w:tc>
          <w:tcPr>
            <w:tcW w:w="2404" w:type="dxa"/>
            <w:tcBorders>
              <w:top w:val="single" w:sz="6" w:space="0" w:color="69BD28"/>
              <w:bottom w:val="single" w:sz="6" w:space="0" w:color="69BD28"/>
            </w:tcBorders>
          </w:tcPr>
          <w:p>
            <w:pPr>
              <w:pStyle w:val="TableParagraph"/>
              <w:spacing w:before="54"/>
              <w:ind w:right="33"/>
              <w:rPr>
                <w:sz w:val="18"/>
              </w:rPr>
            </w:pPr>
            <w:r>
              <w:rPr>
                <w:w w:val="99"/>
                <w:sz w:val="18"/>
              </w:rPr>
              <w:t>-</w:t>
            </w:r>
          </w:p>
        </w:tc>
        <w:tc>
          <w:tcPr>
            <w:tcW w:w="2545" w:type="dxa"/>
            <w:tcBorders>
              <w:top w:val="single" w:sz="6" w:space="0" w:color="69BD28"/>
              <w:bottom w:val="single" w:sz="6" w:space="0" w:color="69BD28"/>
            </w:tcBorders>
          </w:tcPr>
          <w:p>
            <w:pPr>
              <w:pStyle w:val="TableParagraph"/>
              <w:spacing w:before="54"/>
              <w:ind w:left="207" w:right="302"/>
              <w:rPr>
                <w:sz w:val="18"/>
              </w:rPr>
            </w:pPr>
            <w:r>
              <w:rPr>
                <w:w w:val="105"/>
                <w:sz w:val="18"/>
              </w:rPr>
              <w:t>Q2, FY 2018</w:t>
            </w:r>
          </w:p>
        </w:tc>
      </w:tr>
      <w:tr>
        <w:trPr>
          <w:trHeight w:val="294" w:hRule="atLeast"/>
        </w:trPr>
        <w:tc>
          <w:tcPr>
            <w:tcW w:w="3487" w:type="dxa"/>
            <w:tcBorders>
              <w:top w:val="single" w:sz="6" w:space="0" w:color="69BD28"/>
              <w:bottom w:val="single" w:sz="6" w:space="0" w:color="69BD28"/>
            </w:tcBorders>
          </w:tcPr>
          <w:p>
            <w:pPr>
              <w:pStyle w:val="TableParagraph"/>
              <w:spacing w:before="52"/>
              <w:ind w:right="85"/>
              <w:rPr>
                <w:sz w:val="18"/>
              </w:rPr>
            </w:pPr>
            <w:r>
              <w:rPr>
                <w:sz w:val="18"/>
              </w:rPr>
              <w:t>Structure Strengthening</w:t>
            </w:r>
          </w:p>
        </w:tc>
        <w:tc>
          <w:tcPr>
            <w:tcW w:w="2052" w:type="dxa"/>
            <w:tcBorders>
              <w:top w:val="single" w:sz="6" w:space="0" w:color="69BD28"/>
              <w:bottom w:val="single" w:sz="6" w:space="0" w:color="69BD28"/>
            </w:tcBorders>
          </w:tcPr>
          <w:p>
            <w:pPr>
              <w:pStyle w:val="TableParagraph"/>
              <w:spacing w:before="52"/>
              <w:ind w:left="97" w:right="142"/>
              <w:rPr>
                <w:sz w:val="18"/>
              </w:rPr>
            </w:pPr>
            <w:r>
              <w:rPr>
                <w:w w:val="105"/>
                <w:sz w:val="18"/>
              </w:rPr>
              <w:t>8.10</w:t>
            </w:r>
          </w:p>
        </w:tc>
        <w:tc>
          <w:tcPr>
            <w:tcW w:w="2404" w:type="dxa"/>
            <w:tcBorders>
              <w:top w:val="single" w:sz="6" w:space="0" w:color="69BD28"/>
              <w:bottom w:val="single" w:sz="6" w:space="0" w:color="69BD28"/>
            </w:tcBorders>
          </w:tcPr>
          <w:p>
            <w:pPr>
              <w:pStyle w:val="TableParagraph"/>
              <w:spacing w:before="52"/>
              <w:ind w:right="33"/>
              <w:rPr>
                <w:sz w:val="18"/>
              </w:rPr>
            </w:pPr>
            <w:r>
              <w:rPr>
                <w:w w:val="99"/>
                <w:sz w:val="18"/>
              </w:rPr>
              <w:t>-</w:t>
            </w:r>
          </w:p>
        </w:tc>
        <w:tc>
          <w:tcPr>
            <w:tcW w:w="2545" w:type="dxa"/>
            <w:tcBorders>
              <w:top w:val="single" w:sz="6" w:space="0" w:color="69BD28"/>
              <w:bottom w:val="single" w:sz="6" w:space="0" w:color="69BD28"/>
            </w:tcBorders>
          </w:tcPr>
          <w:p>
            <w:pPr>
              <w:pStyle w:val="TableParagraph"/>
              <w:spacing w:before="52"/>
              <w:ind w:left="207" w:right="302"/>
              <w:rPr>
                <w:sz w:val="18"/>
              </w:rPr>
            </w:pPr>
            <w:r>
              <w:rPr>
                <w:w w:val="105"/>
                <w:sz w:val="18"/>
              </w:rPr>
              <w:t>Q2, FY 2018</w:t>
            </w:r>
          </w:p>
        </w:tc>
      </w:tr>
      <w:tr>
        <w:trPr>
          <w:trHeight w:val="297" w:hRule="atLeast"/>
        </w:trPr>
        <w:tc>
          <w:tcPr>
            <w:tcW w:w="3487" w:type="dxa"/>
            <w:tcBorders>
              <w:top w:val="single" w:sz="6" w:space="0" w:color="69BD28"/>
              <w:bottom w:val="single" w:sz="6" w:space="0" w:color="69BD28"/>
            </w:tcBorders>
          </w:tcPr>
          <w:p>
            <w:pPr>
              <w:pStyle w:val="TableParagraph"/>
              <w:spacing w:before="55"/>
              <w:ind w:right="86"/>
              <w:rPr>
                <w:sz w:val="18"/>
              </w:rPr>
            </w:pPr>
            <w:r>
              <w:rPr>
                <w:w w:val="110"/>
                <w:sz w:val="18"/>
              </w:rPr>
              <w:t>BMS</w:t>
            </w:r>
          </w:p>
        </w:tc>
        <w:tc>
          <w:tcPr>
            <w:tcW w:w="2052" w:type="dxa"/>
            <w:tcBorders>
              <w:top w:val="single" w:sz="6" w:space="0" w:color="69BD28"/>
              <w:bottom w:val="single" w:sz="6" w:space="0" w:color="69BD28"/>
            </w:tcBorders>
          </w:tcPr>
          <w:p>
            <w:pPr>
              <w:pStyle w:val="TableParagraph"/>
              <w:spacing w:before="55"/>
              <w:ind w:left="97" w:right="142"/>
              <w:rPr>
                <w:sz w:val="18"/>
              </w:rPr>
            </w:pPr>
            <w:r>
              <w:rPr>
                <w:w w:val="105"/>
                <w:sz w:val="18"/>
              </w:rPr>
              <w:t>7.74</w:t>
            </w:r>
          </w:p>
        </w:tc>
        <w:tc>
          <w:tcPr>
            <w:tcW w:w="2404" w:type="dxa"/>
            <w:tcBorders>
              <w:top w:val="single" w:sz="6" w:space="0" w:color="69BD28"/>
              <w:bottom w:val="single" w:sz="6" w:space="0" w:color="69BD28"/>
            </w:tcBorders>
          </w:tcPr>
          <w:p>
            <w:pPr>
              <w:pStyle w:val="TableParagraph"/>
              <w:spacing w:before="55"/>
              <w:ind w:right="33"/>
              <w:rPr>
                <w:sz w:val="18"/>
              </w:rPr>
            </w:pPr>
            <w:r>
              <w:rPr>
                <w:w w:val="99"/>
                <w:sz w:val="18"/>
              </w:rPr>
              <w:t>-</w:t>
            </w:r>
          </w:p>
        </w:tc>
        <w:tc>
          <w:tcPr>
            <w:tcW w:w="2545" w:type="dxa"/>
            <w:tcBorders>
              <w:top w:val="single" w:sz="6" w:space="0" w:color="69BD28"/>
              <w:bottom w:val="single" w:sz="6" w:space="0" w:color="69BD28"/>
            </w:tcBorders>
          </w:tcPr>
          <w:p>
            <w:pPr>
              <w:pStyle w:val="TableParagraph"/>
              <w:spacing w:before="55"/>
              <w:ind w:left="207" w:right="302"/>
              <w:rPr>
                <w:sz w:val="18"/>
              </w:rPr>
            </w:pPr>
            <w:r>
              <w:rPr>
                <w:w w:val="105"/>
                <w:sz w:val="18"/>
              </w:rPr>
              <w:t>Q3, FY 2018</w:t>
            </w:r>
          </w:p>
        </w:tc>
      </w:tr>
      <w:tr>
        <w:trPr>
          <w:trHeight w:val="294" w:hRule="atLeast"/>
        </w:trPr>
        <w:tc>
          <w:tcPr>
            <w:tcW w:w="3487" w:type="dxa"/>
            <w:tcBorders>
              <w:top w:val="single" w:sz="6" w:space="0" w:color="69BD28"/>
              <w:bottom w:val="single" w:sz="6" w:space="0" w:color="69BD28"/>
            </w:tcBorders>
          </w:tcPr>
          <w:p>
            <w:pPr>
              <w:pStyle w:val="TableParagraph"/>
              <w:spacing w:before="52"/>
              <w:ind w:right="87"/>
              <w:rPr>
                <w:sz w:val="18"/>
              </w:rPr>
            </w:pPr>
            <w:r>
              <w:rPr>
                <w:sz w:val="18"/>
              </w:rPr>
              <w:t>Common Infrastructure Costs</w:t>
            </w:r>
          </w:p>
        </w:tc>
        <w:tc>
          <w:tcPr>
            <w:tcW w:w="2052" w:type="dxa"/>
            <w:tcBorders>
              <w:top w:val="single" w:sz="6" w:space="0" w:color="69BD28"/>
              <w:bottom w:val="single" w:sz="6" w:space="0" w:color="69BD28"/>
            </w:tcBorders>
          </w:tcPr>
          <w:p>
            <w:pPr>
              <w:pStyle w:val="TableParagraph"/>
              <w:spacing w:before="52"/>
              <w:ind w:left="97" w:right="142"/>
              <w:rPr>
                <w:sz w:val="18"/>
              </w:rPr>
            </w:pPr>
            <w:r>
              <w:rPr>
                <w:w w:val="105"/>
                <w:sz w:val="18"/>
              </w:rPr>
              <w:t>71.99</w:t>
            </w:r>
          </w:p>
        </w:tc>
        <w:tc>
          <w:tcPr>
            <w:tcW w:w="2404" w:type="dxa"/>
            <w:tcBorders>
              <w:top w:val="single" w:sz="6" w:space="0" w:color="69BD28"/>
              <w:bottom w:val="single" w:sz="6" w:space="0" w:color="69BD28"/>
            </w:tcBorders>
          </w:tcPr>
          <w:p>
            <w:pPr>
              <w:pStyle w:val="TableParagraph"/>
              <w:spacing w:before="52"/>
              <w:ind w:left="155" w:right="191"/>
              <w:rPr>
                <w:sz w:val="18"/>
              </w:rPr>
            </w:pPr>
            <w:r>
              <w:rPr>
                <w:w w:val="105"/>
                <w:sz w:val="18"/>
              </w:rPr>
              <w:t>4.57</w:t>
            </w:r>
          </w:p>
        </w:tc>
        <w:tc>
          <w:tcPr>
            <w:tcW w:w="2545" w:type="dxa"/>
            <w:tcBorders>
              <w:top w:val="single" w:sz="6" w:space="0" w:color="69BD28"/>
              <w:bottom w:val="single" w:sz="6" w:space="0" w:color="69BD28"/>
            </w:tcBorders>
          </w:tcPr>
          <w:p>
            <w:pPr>
              <w:pStyle w:val="TableParagraph"/>
              <w:spacing w:before="52"/>
              <w:ind w:left="207" w:right="302"/>
              <w:rPr>
                <w:sz w:val="18"/>
              </w:rPr>
            </w:pPr>
            <w:r>
              <w:rPr>
                <w:w w:val="105"/>
                <w:sz w:val="18"/>
              </w:rPr>
              <w:t>Q1, FY 2021</w:t>
            </w:r>
          </w:p>
        </w:tc>
      </w:tr>
      <w:tr>
        <w:trPr>
          <w:trHeight w:val="297" w:hRule="atLeast"/>
        </w:trPr>
        <w:tc>
          <w:tcPr>
            <w:tcW w:w="3487" w:type="dxa"/>
            <w:tcBorders>
              <w:top w:val="single" w:sz="6" w:space="0" w:color="69BD28"/>
              <w:bottom w:val="single" w:sz="6" w:space="0" w:color="69BD28"/>
            </w:tcBorders>
          </w:tcPr>
          <w:p>
            <w:pPr>
              <w:pStyle w:val="TableParagraph"/>
              <w:spacing w:before="54"/>
              <w:ind w:right="85"/>
              <w:rPr>
                <w:sz w:val="18"/>
              </w:rPr>
            </w:pPr>
            <w:r>
              <w:rPr>
                <w:sz w:val="18"/>
              </w:rPr>
              <w:t>Signage Rebranding</w:t>
            </w:r>
          </w:p>
        </w:tc>
        <w:tc>
          <w:tcPr>
            <w:tcW w:w="2052" w:type="dxa"/>
            <w:tcBorders>
              <w:top w:val="single" w:sz="6" w:space="0" w:color="69BD28"/>
              <w:bottom w:val="single" w:sz="6" w:space="0" w:color="69BD28"/>
            </w:tcBorders>
          </w:tcPr>
          <w:p>
            <w:pPr>
              <w:pStyle w:val="TableParagraph"/>
              <w:spacing w:before="54"/>
              <w:ind w:left="97" w:right="142"/>
              <w:rPr>
                <w:sz w:val="18"/>
              </w:rPr>
            </w:pPr>
            <w:r>
              <w:rPr>
                <w:w w:val="105"/>
                <w:sz w:val="18"/>
              </w:rPr>
              <w:t>7.83</w:t>
            </w:r>
          </w:p>
        </w:tc>
        <w:tc>
          <w:tcPr>
            <w:tcW w:w="2404" w:type="dxa"/>
            <w:tcBorders>
              <w:top w:val="single" w:sz="6" w:space="0" w:color="69BD28"/>
              <w:bottom w:val="single" w:sz="6" w:space="0" w:color="69BD28"/>
            </w:tcBorders>
          </w:tcPr>
          <w:p>
            <w:pPr>
              <w:pStyle w:val="TableParagraph"/>
              <w:spacing w:before="54"/>
              <w:ind w:left="155" w:right="191"/>
              <w:rPr>
                <w:sz w:val="18"/>
              </w:rPr>
            </w:pPr>
            <w:r>
              <w:rPr>
                <w:w w:val="105"/>
                <w:sz w:val="18"/>
              </w:rPr>
              <w:t>4.81</w:t>
            </w:r>
          </w:p>
        </w:tc>
        <w:tc>
          <w:tcPr>
            <w:tcW w:w="2545" w:type="dxa"/>
            <w:tcBorders>
              <w:top w:val="single" w:sz="6" w:space="0" w:color="69BD28"/>
              <w:bottom w:val="single" w:sz="6" w:space="0" w:color="69BD28"/>
            </w:tcBorders>
          </w:tcPr>
          <w:p>
            <w:pPr>
              <w:pStyle w:val="TableParagraph"/>
              <w:spacing w:before="54"/>
              <w:ind w:left="207" w:right="302"/>
              <w:rPr>
                <w:sz w:val="18"/>
              </w:rPr>
            </w:pPr>
            <w:r>
              <w:rPr>
                <w:w w:val="105"/>
                <w:sz w:val="18"/>
              </w:rPr>
              <w:t>Q1, FY 2021</w:t>
            </w:r>
          </w:p>
        </w:tc>
      </w:tr>
      <w:tr>
        <w:trPr>
          <w:trHeight w:val="296" w:hRule="atLeast"/>
        </w:trPr>
        <w:tc>
          <w:tcPr>
            <w:tcW w:w="3487" w:type="dxa"/>
            <w:tcBorders>
              <w:top w:val="single" w:sz="6" w:space="0" w:color="69BD28"/>
              <w:bottom w:val="single" w:sz="6" w:space="0" w:color="69BD28"/>
            </w:tcBorders>
          </w:tcPr>
          <w:p>
            <w:pPr>
              <w:pStyle w:val="TableParagraph"/>
              <w:spacing w:before="52"/>
              <w:ind w:right="83"/>
              <w:rPr>
                <w:sz w:val="18"/>
              </w:rPr>
            </w:pPr>
            <w:r>
              <w:rPr>
                <w:sz w:val="18"/>
              </w:rPr>
              <w:t>Incubation space in FC</w:t>
            </w:r>
          </w:p>
        </w:tc>
        <w:tc>
          <w:tcPr>
            <w:tcW w:w="2052" w:type="dxa"/>
            <w:tcBorders>
              <w:top w:val="single" w:sz="6" w:space="0" w:color="69BD28"/>
              <w:bottom w:val="single" w:sz="6" w:space="0" w:color="69BD28"/>
            </w:tcBorders>
          </w:tcPr>
          <w:p>
            <w:pPr>
              <w:pStyle w:val="TableParagraph"/>
              <w:spacing w:before="52"/>
              <w:ind w:left="97" w:right="142"/>
              <w:rPr>
                <w:sz w:val="18"/>
              </w:rPr>
            </w:pPr>
            <w:r>
              <w:rPr>
                <w:w w:val="105"/>
                <w:sz w:val="18"/>
              </w:rPr>
              <w:t>36.81</w:t>
            </w:r>
          </w:p>
        </w:tc>
        <w:tc>
          <w:tcPr>
            <w:tcW w:w="2404" w:type="dxa"/>
            <w:tcBorders>
              <w:top w:val="single" w:sz="6" w:space="0" w:color="69BD28"/>
              <w:bottom w:val="single" w:sz="6" w:space="0" w:color="69BD28"/>
            </w:tcBorders>
          </w:tcPr>
          <w:p>
            <w:pPr>
              <w:pStyle w:val="TableParagraph"/>
              <w:spacing w:before="52"/>
              <w:ind w:left="155" w:right="191"/>
              <w:rPr>
                <w:sz w:val="18"/>
              </w:rPr>
            </w:pPr>
            <w:r>
              <w:rPr>
                <w:w w:val="105"/>
                <w:sz w:val="18"/>
              </w:rPr>
              <w:t>36.81</w:t>
            </w:r>
          </w:p>
        </w:tc>
        <w:tc>
          <w:tcPr>
            <w:tcW w:w="2545" w:type="dxa"/>
            <w:tcBorders>
              <w:top w:val="single" w:sz="6" w:space="0" w:color="69BD28"/>
              <w:bottom w:val="single" w:sz="6" w:space="0" w:color="69BD28"/>
            </w:tcBorders>
          </w:tcPr>
          <w:p>
            <w:pPr>
              <w:pStyle w:val="TableParagraph"/>
              <w:spacing w:before="52"/>
              <w:ind w:left="207" w:right="302"/>
              <w:rPr>
                <w:sz w:val="18"/>
              </w:rPr>
            </w:pPr>
            <w:r>
              <w:rPr>
                <w:w w:val="105"/>
                <w:sz w:val="18"/>
              </w:rPr>
              <w:t>Q2, FY 2021</w:t>
            </w:r>
          </w:p>
        </w:tc>
      </w:tr>
    </w:tbl>
    <w:p>
      <w:pPr>
        <w:spacing w:before="4"/>
        <w:ind w:left="140" w:right="0" w:firstLine="0"/>
        <w:jc w:val="left"/>
        <w:rPr>
          <w:i/>
          <w:sz w:val="18"/>
        </w:rPr>
      </w:pPr>
      <w:r>
        <w:rPr>
          <w:i/>
          <w:sz w:val="18"/>
        </w:rPr>
        <w:t>Source: Information provided by Client</w:t>
      </w:r>
    </w:p>
    <w:p>
      <w:pPr>
        <w:spacing w:after="0"/>
        <w:jc w:val="left"/>
        <w:rPr>
          <w:sz w:val="18"/>
        </w:rPr>
        <w:sectPr>
          <w:pgSz w:w="11910" w:h="16840"/>
          <w:pgMar w:header="720" w:footer="921" w:top="1660" w:bottom="1120" w:left="580" w:right="600"/>
        </w:sectPr>
      </w:pPr>
    </w:p>
    <w:p>
      <w:pPr>
        <w:pStyle w:val="BodyText"/>
        <w:spacing w:before="7"/>
        <w:rPr>
          <w:i/>
          <w:sz w:val="9"/>
        </w:rPr>
      </w:pPr>
    </w:p>
    <w:p>
      <w:pPr>
        <w:pStyle w:val="ListParagraph"/>
        <w:numPr>
          <w:ilvl w:val="2"/>
          <w:numId w:val="14"/>
        </w:numPr>
        <w:tabs>
          <w:tab w:pos="861" w:val="left" w:leader="none"/>
        </w:tabs>
        <w:spacing w:line="240" w:lineRule="auto" w:before="106" w:after="0"/>
        <w:ind w:left="860" w:right="0" w:hanging="721"/>
        <w:jc w:val="left"/>
        <w:rPr>
          <w:sz w:val="22"/>
        </w:rPr>
      </w:pPr>
      <w:bookmarkStart w:name="_bookmark249" w:id="486"/>
      <w:bookmarkEnd w:id="486"/>
      <w:r>
        <w:rPr/>
      </w:r>
      <w:bookmarkStart w:name="_bookmark249" w:id="487"/>
      <w:bookmarkEnd w:id="487"/>
      <w:r>
        <w:rPr>
          <w:color w:val="1F664D"/>
          <w:sz w:val="22"/>
        </w:rPr>
        <w:t>Pro</w:t>
      </w:r>
      <w:r>
        <w:rPr>
          <w:color w:val="1F664D"/>
          <w:sz w:val="22"/>
        </w:rPr>
        <w:t>perty Photographs</w:t>
      </w:r>
    </w:p>
    <w:p>
      <w:pPr>
        <w:pStyle w:val="BodyText"/>
        <w:spacing w:before="208"/>
        <w:ind w:left="687"/>
      </w:pPr>
      <w:r>
        <w:rPr/>
        <w:t>Please refer to the property photographs highlighted below:</w:t>
      </w:r>
    </w:p>
    <w:p>
      <w:pPr>
        <w:pStyle w:val="BodyText"/>
        <w:spacing w:before="5"/>
        <w:rPr>
          <w:sz w:val="24"/>
        </w:rPr>
      </w:pPr>
      <w:r>
        <w:rPr/>
        <w:pict>
          <v:group style="position:absolute;margin-left:108.980003pt;margin-top:16.171974pt;width:372.7pt;height:12.5pt;mso-position-horizontal-relative:page;mso-position-vertical-relative:paragraph;z-index:-15136768;mso-wrap-distance-left:0;mso-wrap-distance-right:0" coordorigin="2180,323" coordsize="7454,250">
            <v:rect style="position:absolute;left:2191;top:333;width:7427;height:240" filled="true" fillcolor="#006a4d" stroked="false">
              <v:fill type="solid"/>
            </v:rect>
            <v:rect style="position:absolute;left:2179;top:323;width:7454;height:10" filled="true" fillcolor="#000000" stroked="false">
              <v:fill type="solid"/>
            </v:rect>
            <v:shape style="position:absolute;left:2191;top:333;width:7427;height:240" type="#_x0000_t202" filled="false" stroked="false">
              <v:textbox inset="0,0,0,0">
                <w:txbxContent>
                  <w:p>
                    <w:pPr>
                      <w:spacing w:before="4"/>
                      <w:ind w:left="2960" w:right="2961" w:firstLine="0"/>
                      <w:jc w:val="center"/>
                      <w:rPr>
                        <w:sz w:val="20"/>
                      </w:rPr>
                    </w:pPr>
                    <w:r>
                      <w:rPr>
                        <w:color w:val="FFFFFF"/>
                        <w:sz w:val="20"/>
                      </w:rPr>
                      <w:t>Embassy</w:t>
                    </w:r>
                    <w:r>
                      <w:rPr>
                        <w:color w:val="FFFFFF"/>
                        <w:spacing w:val="2"/>
                        <w:sz w:val="20"/>
                      </w:rPr>
                      <w:t> </w:t>
                    </w:r>
                    <w:r>
                      <w:rPr>
                        <w:color w:val="FFFFFF"/>
                        <w:sz w:val="20"/>
                      </w:rPr>
                      <w:t>Oxygen</w:t>
                    </w:r>
                  </w:p>
                </w:txbxContent>
              </v:textbox>
              <w10:wrap type="none"/>
            </v:shape>
            <w10:wrap type="topAndBottom"/>
          </v:group>
        </w:pict>
      </w:r>
      <w:r>
        <w:rPr/>
        <w:pict>
          <v:group style="position:absolute;margin-left:107.800003pt;margin-top:36.761974pt;width:183.8pt;height:127.9pt;mso-position-horizontal-relative:page;mso-position-vertical-relative:paragraph;z-index:-15136256;mso-wrap-distance-left:0;mso-wrap-distance-right:0" coordorigin="2156,735" coordsize="3676,2558">
            <v:rect style="position:absolute;left:2161;top:740;width:3666;height:2548" filled="false" stroked="true" strokeweight=".5pt" strokecolor="#000000">
              <v:stroke dashstyle="solid"/>
            </v:rect>
            <v:shape style="position:absolute;left:2340;top:847;width:3265;height:2363" type="#_x0000_t75" stroked="false">
              <v:imagedata r:id="rId236" o:title=""/>
            </v:shape>
            <v:shape style="position:absolute;left:2332;top:839;width:3280;height:2372" coordorigin="2332,840" coordsize="3280,2372" path="m5612,3211l5612,840,2332,840,2332,3211e" filled="false" stroked="true" strokeweight=".75pt" strokecolor="#000000">
              <v:path arrowok="t"/>
              <v:stroke dashstyle="solid"/>
            </v:shape>
            <w10:wrap type="topAndBottom"/>
          </v:group>
        </w:pict>
      </w:r>
      <w:r>
        <w:rPr/>
        <w:pict>
          <v:group style="position:absolute;margin-left:301.549988pt;margin-top:36.751972pt;width:176.3pt;height:127.9pt;mso-position-horizontal-relative:page;mso-position-vertical-relative:paragraph;z-index:-15135744;mso-wrap-distance-left:0;mso-wrap-distance-right:0" coordorigin="6031,735" coordsize="3526,2558">
            <v:rect style="position:absolute;left:6036;top:740;width:3516;height:2548" filled="false" stroked="true" strokeweight=".5pt" strokecolor="#000000">
              <v:stroke dashstyle="solid"/>
            </v:rect>
            <v:shape style="position:absolute;left:6215;top:847;width:3189;height:2297" type="#_x0000_t75" stroked="false">
              <v:imagedata r:id="rId237" o:title=""/>
            </v:shape>
            <v:shape style="position:absolute;left:6207;top:839;width:3197;height:2312" coordorigin="6207,840" coordsize="3197,2312" path="m6207,3152l9404,3152m9404,840l6207,840,6207,3152e" filled="false" stroked="true" strokeweight=".75pt" strokecolor="#000000">
              <v:path arrowok="t"/>
              <v:stroke dashstyle="solid"/>
            </v:shape>
            <w10:wrap type="topAndBottom"/>
          </v:group>
        </w:pict>
      </w:r>
    </w:p>
    <w:p>
      <w:pPr>
        <w:pStyle w:val="BodyText"/>
        <w:spacing w:before="1"/>
        <w:rPr>
          <w:sz w:val="8"/>
        </w:rPr>
      </w:pPr>
    </w:p>
    <w:p>
      <w:pPr>
        <w:pStyle w:val="BodyText"/>
        <w:spacing w:before="8"/>
        <w:rPr>
          <w:sz w:val="10"/>
        </w:rPr>
      </w:pPr>
    </w:p>
    <w:p>
      <w:pPr>
        <w:tabs>
          <w:tab w:pos="5716" w:val="left" w:leader="none"/>
        </w:tabs>
        <w:spacing w:before="104"/>
        <w:ind w:left="2504" w:right="0" w:firstLine="0"/>
        <w:jc w:val="left"/>
        <w:rPr>
          <w:sz w:val="18"/>
        </w:rPr>
      </w:pPr>
      <w:r>
        <w:rPr>
          <w:sz w:val="18"/>
        </w:rPr>
        <w:t>External</w:t>
      </w:r>
      <w:r>
        <w:rPr>
          <w:spacing w:val="-24"/>
          <w:sz w:val="18"/>
        </w:rPr>
        <w:t> </w:t>
      </w:r>
      <w:r>
        <w:rPr>
          <w:sz w:val="18"/>
        </w:rPr>
        <w:t>view</w:t>
      </w:r>
      <w:r>
        <w:rPr>
          <w:spacing w:val="-23"/>
          <w:sz w:val="18"/>
        </w:rPr>
        <w:t> </w:t>
      </w:r>
      <w:r>
        <w:rPr>
          <w:sz w:val="18"/>
        </w:rPr>
        <w:t>of</w:t>
      </w:r>
      <w:r>
        <w:rPr>
          <w:spacing w:val="-22"/>
          <w:sz w:val="18"/>
        </w:rPr>
        <w:t> </w:t>
      </w:r>
      <w:r>
        <w:rPr>
          <w:sz w:val="18"/>
        </w:rPr>
        <w:t>the</w:t>
      </w:r>
      <w:r>
        <w:rPr>
          <w:spacing w:val="-23"/>
          <w:sz w:val="18"/>
        </w:rPr>
        <w:t> </w:t>
      </w:r>
      <w:r>
        <w:rPr>
          <w:sz w:val="18"/>
        </w:rPr>
        <w:t>SP</w:t>
        <w:tab/>
        <w:t>View of recently completed Tower</w:t>
      </w:r>
      <w:r>
        <w:rPr>
          <w:spacing w:val="-26"/>
          <w:sz w:val="18"/>
        </w:rPr>
        <w:t> </w:t>
      </w:r>
      <w:r>
        <w:rPr>
          <w:sz w:val="18"/>
        </w:rPr>
        <w:t>2</w:t>
      </w:r>
    </w:p>
    <w:p>
      <w:pPr>
        <w:pStyle w:val="BodyText"/>
        <w:spacing w:before="9"/>
        <w:rPr>
          <w:sz w:val="20"/>
        </w:rPr>
      </w:pPr>
      <w:r>
        <w:rPr/>
        <w:pict>
          <v:group style="position:absolute;margin-left:106pt;margin-top:14.56414pt;width:180.5pt;height:127.9pt;mso-position-horizontal-relative:page;mso-position-vertical-relative:paragraph;z-index:-15135232;mso-wrap-distance-left:0;mso-wrap-distance-right:0" coordorigin="2120,291" coordsize="3610,2558">
            <v:rect style="position:absolute;left:2125;top:296;width:3600;height:2548" filled="false" stroked="true" strokeweight=".5pt" strokecolor="#000000">
              <v:stroke dashstyle="solid"/>
            </v:rect>
            <v:shape style="position:absolute;left:2304;top:402;width:3265;height:2365" type="#_x0000_t75" stroked="false">
              <v:imagedata r:id="rId238" o:title=""/>
            </v:shape>
            <v:shape style="position:absolute;left:2296;top:395;width:3280;height:2374" coordorigin="2296,395" coordsize="3280,2374" path="m5576,2769l5576,395,2296,395,2296,2769e" filled="false" stroked="true" strokeweight=".75pt" strokecolor="#000000">
              <v:path arrowok="t"/>
              <v:stroke dashstyle="solid"/>
            </v:shape>
            <w10:wrap type="topAndBottom"/>
          </v:group>
        </w:pict>
      </w:r>
      <w:r>
        <w:rPr/>
        <w:pict>
          <v:group style="position:absolute;margin-left:303.149994pt;margin-top:14.034141pt;width:174.6pt;height:127.9pt;mso-position-horizontal-relative:page;mso-position-vertical-relative:paragraph;z-index:-15134720;mso-wrap-distance-left:0;mso-wrap-distance-right:0" coordorigin="6063,281" coordsize="3492,2558">
            <v:rect style="position:absolute;left:6068;top:285;width:3482;height:2548" filled="false" stroked="true" strokeweight=".5pt" strokecolor="#000000">
              <v:stroke dashstyle="solid"/>
            </v:rect>
            <v:shape style="position:absolute;left:6247;top:392;width:3154;height:2366" type="#_x0000_t75" stroked="false">
              <v:imagedata r:id="rId239" o:title=""/>
            </v:shape>
            <v:shape style="position:absolute;left:6239;top:385;width:3163;height:2374" coordorigin="6240,385" coordsize="3163,2374" path="m9402,385l6240,385,6240,2759e" filled="false" stroked="true" strokeweight=".75pt" strokecolor="#000000">
              <v:path arrowok="t"/>
              <v:stroke dashstyle="solid"/>
            </v:shape>
            <w10:wrap type="topAndBottom"/>
          </v:group>
        </w:pict>
      </w:r>
    </w:p>
    <w:p>
      <w:pPr>
        <w:tabs>
          <w:tab w:pos="6232" w:val="left" w:leader="none"/>
        </w:tabs>
        <w:spacing w:before="187"/>
        <w:ind w:left="2502" w:right="0" w:firstLine="0"/>
        <w:jc w:val="left"/>
        <w:rPr>
          <w:sz w:val="18"/>
        </w:rPr>
      </w:pPr>
      <w:r>
        <w:rPr>
          <w:sz w:val="18"/>
        </w:rPr>
        <w:t>External</w:t>
      </w:r>
      <w:r>
        <w:rPr>
          <w:spacing w:val="-24"/>
          <w:sz w:val="18"/>
        </w:rPr>
        <w:t> </w:t>
      </w:r>
      <w:r>
        <w:rPr>
          <w:sz w:val="18"/>
        </w:rPr>
        <w:t>view</w:t>
      </w:r>
      <w:r>
        <w:rPr>
          <w:spacing w:val="-24"/>
          <w:sz w:val="18"/>
        </w:rPr>
        <w:t> </w:t>
      </w:r>
      <w:r>
        <w:rPr>
          <w:sz w:val="18"/>
        </w:rPr>
        <w:t>of</w:t>
      </w:r>
      <w:r>
        <w:rPr>
          <w:spacing w:val="-22"/>
          <w:sz w:val="18"/>
        </w:rPr>
        <w:t> </w:t>
      </w:r>
      <w:r>
        <w:rPr>
          <w:sz w:val="18"/>
        </w:rPr>
        <w:t>the</w:t>
      </w:r>
      <w:r>
        <w:rPr>
          <w:spacing w:val="-23"/>
          <w:sz w:val="18"/>
        </w:rPr>
        <w:t> </w:t>
      </w:r>
      <w:r>
        <w:rPr>
          <w:sz w:val="18"/>
        </w:rPr>
        <w:t>SP</w:t>
        <w:tab/>
        <w:t>External view of the</w:t>
      </w:r>
      <w:r>
        <w:rPr>
          <w:spacing w:val="-16"/>
          <w:sz w:val="18"/>
        </w:rPr>
        <w:t> </w:t>
      </w:r>
      <w:r>
        <w:rPr>
          <w:sz w:val="18"/>
        </w:rPr>
        <w:t>SP</w:t>
      </w:r>
    </w:p>
    <w:p>
      <w:pPr>
        <w:pStyle w:val="BodyText"/>
        <w:spacing w:before="10"/>
        <w:rPr>
          <w:sz w:val="13"/>
        </w:rPr>
      </w:pPr>
      <w:r>
        <w:rPr/>
        <w:pict>
          <v:group style="position:absolute;margin-left:109.300003pt;margin-top:10.019805pt;width:174.7pt;height:127.9pt;mso-position-horizontal-relative:page;mso-position-vertical-relative:paragraph;z-index:-15134208;mso-wrap-distance-left:0;mso-wrap-distance-right:0" coordorigin="2186,200" coordsize="3494,2558">
            <v:rect style="position:absolute;left:2191;top:205;width:3484;height:2548" filled="false" stroked="true" strokeweight=".5pt" strokecolor="#000000">
              <v:stroke dashstyle="solid"/>
            </v:rect>
            <v:shape style="position:absolute;left:2370;top:312;width:3158;height:2364" type="#_x0000_t75" stroked="false">
              <v:imagedata r:id="rId240" o:title=""/>
            </v:shape>
            <v:shape style="position:absolute;left:2362;top:305;width:3166;height:2372" coordorigin="2362,305" coordsize="3166,2372" path="m5528,305l2362,305,2362,2677e" filled="false" stroked="true" strokeweight=".75pt" strokecolor="#000000">
              <v:path arrowok="t"/>
              <v:stroke dashstyle="solid"/>
            </v:shape>
            <w10:wrap type="topAndBottom"/>
          </v:group>
        </w:pict>
      </w:r>
      <w:r>
        <w:rPr/>
        <w:pict>
          <v:group style="position:absolute;margin-left:299.350006pt;margin-top:10.089805pt;width:174.7pt;height:128.2pt;mso-position-horizontal-relative:page;mso-position-vertical-relative:paragraph;z-index:-15133696;mso-wrap-distance-left:0;mso-wrap-distance-right:0" coordorigin="5987,202" coordsize="3494,2564">
            <v:rect style="position:absolute;left:5992;top:206;width:3484;height:2554" filled="false" stroked="true" strokeweight=".5pt" strokecolor="#000000">
              <v:stroke dashstyle="solid"/>
            </v:rect>
            <v:shape style="position:absolute;left:6171;top:313;width:3156;height:2370" type="#_x0000_t75" stroked="false">
              <v:imagedata r:id="rId241" o:title=""/>
            </v:shape>
            <v:shape style="position:absolute;left:6163;top:306;width:3164;height:2378" coordorigin="6164,306" coordsize="3164,2378" path="m9328,306l6164,306,6164,2684e" filled="false" stroked="true" strokeweight=".75pt" strokecolor="#000000">
              <v:path arrowok="t"/>
              <v:stroke dashstyle="solid"/>
            </v:shape>
            <w10:wrap type="topAndBottom"/>
          </v:group>
        </w:pict>
      </w:r>
    </w:p>
    <w:p>
      <w:pPr>
        <w:pStyle w:val="BodyText"/>
        <w:spacing w:before="4"/>
        <w:rPr>
          <w:sz w:val="19"/>
        </w:rPr>
      </w:pPr>
    </w:p>
    <w:p>
      <w:pPr>
        <w:tabs>
          <w:tab w:pos="5478" w:val="left" w:leader="none"/>
        </w:tabs>
        <w:spacing w:before="0"/>
        <w:ind w:left="2559" w:right="0" w:firstLine="0"/>
        <w:jc w:val="left"/>
        <w:rPr>
          <w:sz w:val="18"/>
        </w:rPr>
      </w:pPr>
      <w:r>
        <w:rPr>
          <w:sz w:val="18"/>
        </w:rPr>
        <w:t>View of</w:t>
      </w:r>
      <w:r>
        <w:rPr>
          <w:spacing w:val="-33"/>
          <w:sz w:val="18"/>
        </w:rPr>
        <w:t> </w:t>
      </w:r>
      <w:r>
        <w:rPr>
          <w:sz w:val="18"/>
        </w:rPr>
        <w:t>internal</w:t>
      </w:r>
      <w:r>
        <w:rPr>
          <w:spacing w:val="-16"/>
          <w:sz w:val="18"/>
        </w:rPr>
        <w:t> </w:t>
      </w:r>
      <w:r>
        <w:rPr>
          <w:sz w:val="18"/>
        </w:rPr>
        <w:t>road</w:t>
        <w:tab/>
        <w:t>View of the primary access</w:t>
      </w:r>
      <w:r>
        <w:rPr>
          <w:spacing w:val="-26"/>
          <w:sz w:val="18"/>
        </w:rPr>
        <w:t> </w:t>
      </w:r>
      <w:r>
        <w:rPr>
          <w:sz w:val="18"/>
        </w:rPr>
        <w:t>road/entrance</w:t>
      </w:r>
    </w:p>
    <w:p>
      <w:pPr>
        <w:pStyle w:val="BodyText"/>
        <w:spacing w:before="5"/>
        <w:rPr>
          <w:sz w:val="11"/>
        </w:rPr>
      </w:pPr>
      <w:r>
        <w:rPr/>
        <w:pict>
          <v:shape style="position:absolute;margin-left:108.260002pt;margin-top:8.590034pt;width:373.45pt;height:.5pt;mso-position-horizontal-relative:page;mso-position-vertical-relative:paragraph;z-index:-15133184;mso-wrap-distance-left:0;mso-wrap-distance-right:0" coordorigin="2165,172" coordsize="7469,10" path="m9634,172l5745,172,5740,172,5730,172,2165,172,2165,181,5730,181,5740,181,5745,181,9634,181,9634,172xe" filled="true" fillcolor="#92d050" stroked="false">
            <v:path arrowok="t"/>
            <v:fill type="solid"/>
            <w10:wrap type="topAndBottom"/>
          </v:shape>
        </w:pict>
      </w:r>
    </w:p>
    <w:p>
      <w:pPr>
        <w:spacing w:after="0"/>
        <w:rPr>
          <w:sz w:val="11"/>
        </w:rPr>
        <w:sectPr>
          <w:pgSz w:w="11910" w:h="16840"/>
          <w:pgMar w:header="720" w:footer="921" w:top="1660" w:bottom="1120" w:left="580" w:right="600"/>
        </w:sectPr>
      </w:pPr>
    </w:p>
    <w:p>
      <w:pPr>
        <w:pStyle w:val="BodyText"/>
        <w:spacing w:before="7"/>
        <w:rPr>
          <w:sz w:val="9"/>
        </w:rPr>
      </w:pPr>
    </w:p>
    <w:p>
      <w:pPr>
        <w:pStyle w:val="ListParagraph"/>
        <w:numPr>
          <w:ilvl w:val="1"/>
          <w:numId w:val="14"/>
        </w:numPr>
        <w:tabs>
          <w:tab w:pos="717" w:val="left" w:leader="none"/>
        </w:tabs>
        <w:spacing w:line="240" w:lineRule="auto" w:before="106" w:after="0"/>
        <w:ind w:left="716" w:right="0" w:hanging="577"/>
        <w:jc w:val="left"/>
        <w:rPr>
          <w:color w:val="1F6647"/>
          <w:sz w:val="22"/>
        </w:rPr>
      </w:pPr>
      <w:bookmarkStart w:name="_bookmark250" w:id="488"/>
      <w:bookmarkEnd w:id="488"/>
      <w:r>
        <w:rPr/>
      </w:r>
      <w:bookmarkStart w:name="_bookmark250" w:id="489"/>
      <w:bookmarkEnd w:id="489"/>
      <w:r>
        <w:rPr>
          <w:color w:val="1F6647"/>
          <w:sz w:val="22"/>
        </w:rPr>
        <w:t>Tena</w:t>
      </w:r>
      <w:r>
        <w:rPr>
          <w:color w:val="1F6647"/>
          <w:sz w:val="22"/>
        </w:rPr>
        <w:t>ncy Analysis</w:t>
      </w:r>
    </w:p>
    <w:p>
      <w:pPr>
        <w:pStyle w:val="BodyText"/>
        <w:spacing w:before="3"/>
        <w:rPr>
          <w:sz w:val="28"/>
        </w:rPr>
      </w:pPr>
    </w:p>
    <w:p>
      <w:pPr>
        <w:pStyle w:val="ListParagraph"/>
        <w:numPr>
          <w:ilvl w:val="2"/>
          <w:numId w:val="14"/>
        </w:numPr>
        <w:tabs>
          <w:tab w:pos="861" w:val="left" w:leader="none"/>
        </w:tabs>
        <w:spacing w:line="240" w:lineRule="auto" w:before="0" w:after="0"/>
        <w:ind w:left="860" w:right="0" w:hanging="721"/>
        <w:jc w:val="left"/>
        <w:rPr>
          <w:sz w:val="22"/>
        </w:rPr>
      </w:pPr>
      <w:bookmarkStart w:name="_bookmark251" w:id="490"/>
      <w:bookmarkEnd w:id="490"/>
      <w:r>
        <w:rPr/>
      </w:r>
      <w:bookmarkStart w:name="_bookmark251" w:id="491"/>
      <w:bookmarkEnd w:id="491"/>
      <w:r>
        <w:rPr>
          <w:color w:val="1F664D"/>
          <w:sz w:val="22"/>
        </w:rPr>
        <w:t>Histori</w:t>
      </w:r>
      <w:r>
        <w:rPr>
          <w:color w:val="1F664D"/>
          <w:sz w:val="22"/>
        </w:rPr>
        <w:t>cal Committed Occupancy</w:t>
      </w:r>
      <w:r>
        <w:rPr>
          <w:color w:val="1F664D"/>
          <w:spacing w:val="1"/>
          <w:sz w:val="22"/>
        </w:rPr>
        <w:t> </w:t>
      </w:r>
      <w:r>
        <w:rPr>
          <w:color w:val="1F664D"/>
          <w:sz w:val="22"/>
        </w:rPr>
        <w:t>Rates</w:t>
      </w:r>
    </w:p>
    <w:p>
      <w:pPr>
        <w:pStyle w:val="BodyText"/>
        <w:spacing w:before="208"/>
        <w:ind w:left="680"/>
      </w:pPr>
      <w:r>
        <w:rPr/>
        <w:t>The table below highlights the historical occupancy rates at the subject development:</w:t>
      </w:r>
    </w:p>
    <w:p>
      <w:pPr>
        <w:pStyle w:val="BodyText"/>
        <w:spacing w:before="2"/>
        <w:rPr>
          <w:sz w:val="28"/>
        </w:rPr>
      </w:pPr>
    </w:p>
    <w:tbl>
      <w:tblPr>
        <w:tblW w:w="0" w:type="auto"/>
        <w:jc w:val="left"/>
        <w:tblInd w:w="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2"/>
        <w:gridCol w:w="2618"/>
        <w:gridCol w:w="2617"/>
        <w:gridCol w:w="2619"/>
      </w:tblGrid>
      <w:tr>
        <w:trPr>
          <w:trHeight w:val="385" w:hRule="atLeast"/>
        </w:trPr>
        <w:tc>
          <w:tcPr>
            <w:tcW w:w="2632" w:type="dxa"/>
            <w:tcBorders>
              <w:top w:val="single" w:sz="6" w:space="0" w:color="69BD28"/>
              <w:bottom w:val="single" w:sz="6" w:space="0" w:color="69BD28"/>
            </w:tcBorders>
            <w:shd w:val="clear" w:color="auto" w:fill="006A4D"/>
          </w:tcPr>
          <w:p>
            <w:pPr>
              <w:pStyle w:val="TableParagraph"/>
              <w:spacing w:before="90"/>
              <w:ind w:left="581" w:right="566"/>
              <w:rPr>
                <w:b/>
                <w:sz w:val="18"/>
              </w:rPr>
            </w:pPr>
            <w:r>
              <w:rPr>
                <w:b/>
                <w:color w:val="FFFFFF"/>
                <w:w w:val="110"/>
                <w:sz w:val="18"/>
              </w:rPr>
              <w:t>March 31, 2017</w:t>
            </w:r>
          </w:p>
        </w:tc>
        <w:tc>
          <w:tcPr>
            <w:tcW w:w="2618" w:type="dxa"/>
            <w:tcBorders>
              <w:top w:val="single" w:sz="6" w:space="0" w:color="69BD28"/>
              <w:bottom w:val="single" w:sz="6" w:space="0" w:color="69BD28"/>
            </w:tcBorders>
            <w:shd w:val="clear" w:color="auto" w:fill="006A4D"/>
          </w:tcPr>
          <w:p>
            <w:pPr>
              <w:pStyle w:val="TableParagraph"/>
              <w:spacing w:before="90"/>
              <w:ind w:left="564" w:right="565"/>
              <w:rPr>
                <w:b/>
                <w:sz w:val="18"/>
              </w:rPr>
            </w:pPr>
            <w:r>
              <w:rPr>
                <w:b/>
                <w:color w:val="FFFFFF"/>
                <w:w w:val="110"/>
                <w:sz w:val="18"/>
              </w:rPr>
              <w:t>March 31, 2018</w:t>
            </w:r>
          </w:p>
        </w:tc>
        <w:tc>
          <w:tcPr>
            <w:tcW w:w="2617" w:type="dxa"/>
            <w:tcBorders>
              <w:top w:val="single" w:sz="6" w:space="0" w:color="69BD28"/>
              <w:bottom w:val="single" w:sz="6" w:space="0" w:color="69BD28"/>
            </w:tcBorders>
            <w:shd w:val="clear" w:color="auto" w:fill="006A4D"/>
          </w:tcPr>
          <w:p>
            <w:pPr>
              <w:pStyle w:val="TableParagraph"/>
              <w:spacing w:before="90"/>
              <w:ind w:left="565" w:right="565"/>
              <w:rPr>
                <w:b/>
                <w:sz w:val="18"/>
              </w:rPr>
            </w:pPr>
            <w:r>
              <w:rPr>
                <w:b/>
                <w:color w:val="FFFFFF"/>
                <w:w w:val="110"/>
                <w:sz w:val="18"/>
              </w:rPr>
              <w:t>March 31, 2019</w:t>
            </w:r>
          </w:p>
        </w:tc>
        <w:tc>
          <w:tcPr>
            <w:tcW w:w="2619" w:type="dxa"/>
            <w:tcBorders>
              <w:top w:val="single" w:sz="6" w:space="0" w:color="69BD28"/>
              <w:bottom w:val="single" w:sz="6" w:space="0" w:color="69BD28"/>
            </w:tcBorders>
            <w:shd w:val="clear" w:color="auto" w:fill="006A4D"/>
          </w:tcPr>
          <w:p>
            <w:pPr>
              <w:pStyle w:val="TableParagraph"/>
              <w:spacing w:before="90"/>
              <w:ind w:left="536" w:right="536"/>
              <w:rPr>
                <w:b/>
                <w:sz w:val="18"/>
              </w:rPr>
            </w:pPr>
            <w:r>
              <w:rPr>
                <w:b/>
                <w:color w:val="FFFFFF"/>
                <w:w w:val="110"/>
                <w:sz w:val="18"/>
              </w:rPr>
              <w:t>March 31, 2020</w:t>
            </w:r>
          </w:p>
        </w:tc>
      </w:tr>
      <w:tr>
        <w:trPr>
          <w:trHeight w:val="261" w:hRule="atLeast"/>
        </w:trPr>
        <w:tc>
          <w:tcPr>
            <w:tcW w:w="2632" w:type="dxa"/>
            <w:tcBorders>
              <w:top w:val="single" w:sz="6" w:space="0" w:color="69BD28"/>
              <w:bottom w:val="single" w:sz="6" w:space="0" w:color="69BD28"/>
            </w:tcBorders>
          </w:tcPr>
          <w:p>
            <w:pPr>
              <w:pStyle w:val="TableParagraph"/>
              <w:spacing w:line="227" w:lineRule="exact" w:before="13"/>
              <w:ind w:left="575" w:right="566"/>
              <w:rPr>
                <w:sz w:val="20"/>
              </w:rPr>
            </w:pPr>
            <w:r>
              <w:rPr>
                <w:w w:val="110"/>
                <w:sz w:val="20"/>
              </w:rPr>
              <w:t>100.0%</w:t>
            </w:r>
          </w:p>
        </w:tc>
        <w:tc>
          <w:tcPr>
            <w:tcW w:w="2618" w:type="dxa"/>
            <w:tcBorders>
              <w:top w:val="single" w:sz="6" w:space="0" w:color="69BD28"/>
              <w:bottom w:val="single" w:sz="6" w:space="0" w:color="69BD28"/>
            </w:tcBorders>
          </w:tcPr>
          <w:p>
            <w:pPr>
              <w:pStyle w:val="TableParagraph"/>
              <w:spacing w:line="227" w:lineRule="exact" w:before="13"/>
              <w:ind w:left="561" w:right="565"/>
              <w:rPr>
                <w:sz w:val="20"/>
              </w:rPr>
            </w:pPr>
            <w:r>
              <w:rPr>
                <w:w w:val="110"/>
                <w:sz w:val="20"/>
              </w:rPr>
              <w:t>100.0%</w:t>
            </w:r>
          </w:p>
        </w:tc>
        <w:tc>
          <w:tcPr>
            <w:tcW w:w="2617" w:type="dxa"/>
            <w:tcBorders>
              <w:top w:val="single" w:sz="6" w:space="0" w:color="69BD28"/>
              <w:bottom w:val="single" w:sz="6" w:space="0" w:color="69BD28"/>
            </w:tcBorders>
          </w:tcPr>
          <w:p>
            <w:pPr>
              <w:pStyle w:val="TableParagraph"/>
              <w:spacing w:line="227" w:lineRule="exact" w:before="13"/>
              <w:ind w:left="564" w:right="565"/>
              <w:rPr>
                <w:sz w:val="20"/>
              </w:rPr>
            </w:pPr>
            <w:r>
              <w:rPr>
                <w:w w:val="110"/>
                <w:sz w:val="20"/>
              </w:rPr>
              <w:t>91.9%*</w:t>
            </w:r>
          </w:p>
        </w:tc>
        <w:tc>
          <w:tcPr>
            <w:tcW w:w="2619" w:type="dxa"/>
            <w:tcBorders>
              <w:top w:val="single" w:sz="6" w:space="0" w:color="69BD28"/>
              <w:bottom w:val="single" w:sz="6" w:space="0" w:color="69BD28"/>
            </w:tcBorders>
          </w:tcPr>
          <w:p>
            <w:pPr>
              <w:pStyle w:val="TableParagraph"/>
              <w:spacing w:line="227" w:lineRule="exact" w:before="13"/>
              <w:ind w:left="536" w:right="538"/>
              <w:rPr>
                <w:sz w:val="20"/>
              </w:rPr>
            </w:pPr>
            <w:r>
              <w:rPr>
                <w:w w:val="110"/>
                <w:sz w:val="20"/>
              </w:rPr>
              <w:t>84.0%*</w:t>
            </w:r>
          </w:p>
        </w:tc>
      </w:tr>
    </w:tbl>
    <w:p>
      <w:pPr>
        <w:spacing w:before="0"/>
        <w:ind w:left="140" w:right="0" w:firstLine="0"/>
        <w:jc w:val="left"/>
        <w:rPr>
          <w:i/>
          <w:sz w:val="18"/>
        </w:rPr>
      </w:pPr>
      <w:r>
        <w:rPr>
          <w:i/>
          <w:sz w:val="18"/>
        </w:rPr>
        <w:t>Source: Rent rolls provided by the Client; Indicative of committed occupancy</w:t>
      </w:r>
    </w:p>
    <w:p>
      <w:pPr>
        <w:spacing w:before="71"/>
        <w:ind w:left="140" w:right="0" w:firstLine="0"/>
        <w:jc w:val="left"/>
        <w:rPr>
          <w:i/>
          <w:sz w:val="18"/>
        </w:rPr>
      </w:pPr>
      <w:r>
        <w:rPr>
          <w:i/>
          <w:sz w:val="18"/>
        </w:rPr>
        <w:t>* Does not include the area under hard option</w:t>
      </w:r>
    </w:p>
    <w:p>
      <w:pPr>
        <w:pStyle w:val="BodyText"/>
        <w:rPr>
          <w:i/>
        </w:rPr>
      </w:pPr>
    </w:p>
    <w:p>
      <w:pPr>
        <w:pStyle w:val="BodyText"/>
        <w:spacing w:before="9"/>
        <w:rPr>
          <w:i/>
          <w:sz w:val="27"/>
        </w:rPr>
      </w:pPr>
    </w:p>
    <w:p>
      <w:pPr>
        <w:pStyle w:val="ListParagraph"/>
        <w:numPr>
          <w:ilvl w:val="2"/>
          <w:numId w:val="14"/>
        </w:numPr>
        <w:tabs>
          <w:tab w:pos="861" w:val="left" w:leader="none"/>
        </w:tabs>
        <w:spacing w:line="240" w:lineRule="auto" w:before="0" w:after="0"/>
        <w:ind w:left="860" w:right="0" w:hanging="721"/>
        <w:jc w:val="left"/>
        <w:rPr>
          <w:sz w:val="22"/>
        </w:rPr>
      </w:pPr>
      <w:bookmarkStart w:name="_bookmark252" w:id="492"/>
      <w:bookmarkEnd w:id="492"/>
      <w:r>
        <w:rPr/>
      </w:r>
      <w:bookmarkStart w:name="_bookmark252" w:id="493"/>
      <w:bookmarkEnd w:id="493"/>
      <w:r>
        <w:rPr>
          <w:color w:val="1F664D"/>
          <w:sz w:val="22"/>
        </w:rPr>
        <w:t>Le</w:t>
      </w:r>
      <w:r>
        <w:rPr>
          <w:color w:val="1F664D"/>
          <w:sz w:val="22"/>
        </w:rPr>
        <w:t>ase Expiry</w:t>
      </w:r>
      <w:r>
        <w:rPr>
          <w:color w:val="1F664D"/>
          <w:spacing w:val="-4"/>
          <w:sz w:val="22"/>
        </w:rPr>
        <w:t> </w:t>
      </w:r>
      <w:r>
        <w:rPr>
          <w:color w:val="1F664D"/>
          <w:sz w:val="22"/>
        </w:rPr>
        <w:t>Analysis</w:t>
      </w:r>
    </w:p>
    <w:p>
      <w:pPr>
        <w:pStyle w:val="BodyText"/>
        <w:spacing w:before="205"/>
        <w:ind w:left="680"/>
      </w:pPr>
      <w:r>
        <w:rPr/>
        <w:t>The graph below highlights the area/leases due for expiry in the coming years:</w:t>
      </w:r>
    </w:p>
    <w:p>
      <w:pPr>
        <w:pStyle w:val="BodyText"/>
        <w:spacing w:before="5"/>
        <w:rPr>
          <w:sz w:val="24"/>
        </w:rPr>
      </w:pPr>
      <w:r>
        <w:rPr/>
        <w:pict>
          <v:group style="position:absolute;margin-left:35.279999pt;margin-top:16.177647pt;width:524.3pt;height:14.2pt;mso-position-horizontal-relative:page;mso-position-vertical-relative:paragraph;z-index:-15132160;mso-wrap-distance-left:0;mso-wrap-distance-right:0" coordorigin="706,324" coordsize="10486,284">
            <v:rect style="position:absolute;left:720;top:354;width:10472;height:252" filled="true" fillcolor="#006a4d" stroked="false">
              <v:fill type="solid"/>
            </v:rect>
            <v:rect style="position:absolute;left:720;top:323;width:10472;height:29" filled="true" fillcolor="#1f6b16" stroked="false">
              <v:fill type="solid"/>
            </v:rect>
            <v:rect style="position:absolute;left:720;top:352;width:10472;height:3" filled="true" fillcolor="#006a4d" stroked="false">
              <v:fill type="solid"/>
            </v:rect>
            <v:shape style="position:absolute;left:705;top:352;width:10486;height:255" type="#_x0000_t202" filled="false" stroked="false">
              <v:textbox inset="0,0,0,0">
                <w:txbxContent>
                  <w:p>
                    <w:pPr>
                      <w:spacing w:before="23"/>
                      <w:ind w:left="142" w:right="129" w:firstLine="0"/>
                      <w:jc w:val="center"/>
                      <w:rPr>
                        <w:b/>
                        <w:sz w:val="18"/>
                      </w:rPr>
                    </w:pPr>
                    <w:r>
                      <w:rPr>
                        <w:b/>
                        <w:color w:val="FFFFFF"/>
                        <w:w w:val="105"/>
                        <w:sz w:val="18"/>
                      </w:rPr>
                      <w:t>Lease Expiry</w:t>
                    </w:r>
                  </w:p>
                </w:txbxContent>
              </v:textbox>
              <w10:wrap type="none"/>
            </v:shape>
            <w10:wrap type="topAndBottom"/>
          </v:group>
        </w:pict>
      </w:r>
    </w:p>
    <w:p>
      <w:pPr>
        <w:pStyle w:val="BodyText"/>
        <w:rPr>
          <w:sz w:val="20"/>
        </w:rPr>
      </w:pPr>
    </w:p>
    <w:p>
      <w:pPr>
        <w:pStyle w:val="BodyText"/>
        <w:spacing w:before="9"/>
        <w:rPr>
          <w:sz w:val="17"/>
        </w:rPr>
      </w:pPr>
      <w:r>
        <w:rPr/>
        <w:drawing>
          <wp:anchor distT="0" distB="0" distL="0" distR="0" allowOverlap="1" layoutInCell="1" locked="0" behindDoc="0" simplePos="0" relativeHeight="1166">
            <wp:simplePos x="0" y="0"/>
            <wp:positionH relativeFrom="page">
              <wp:posOffset>808020</wp:posOffset>
            </wp:positionH>
            <wp:positionV relativeFrom="paragraph">
              <wp:posOffset>156069</wp:posOffset>
            </wp:positionV>
            <wp:extent cx="4987008" cy="2011679"/>
            <wp:effectExtent l="0" t="0" r="0" b="0"/>
            <wp:wrapTopAndBottom/>
            <wp:docPr id="241" name="image183.jpeg"/>
            <wp:cNvGraphicFramePr>
              <a:graphicFrameLocks noChangeAspect="1"/>
            </wp:cNvGraphicFramePr>
            <a:graphic>
              <a:graphicData uri="http://schemas.openxmlformats.org/drawingml/2006/picture">
                <pic:pic>
                  <pic:nvPicPr>
                    <pic:cNvPr id="242" name="image183.jpeg"/>
                    <pic:cNvPicPr/>
                  </pic:nvPicPr>
                  <pic:blipFill>
                    <a:blip r:embed="rId242" cstate="print"/>
                    <a:stretch>
                      <a:fillRect/>
                    </a:stretch>
                  </pic:blipFill>
                  <pic:spPr>
                    <a:xfrm>
                      <a:off x="0" y="0"/>
                      <a:ext cx="4987008" cy="2011679"/>
                    </a:xfrm>
                    <a:prstGeom prst="rect">
                      <a:avLst/>
                    </a:prstGeom>
                  </pic:spPr>
                </pic:pic>
              </a:graphicData>
            </a:graphic>
          </wp:anchor>
        </w:drawing>
      </w:r>
    </w:p>
    <w:p>
      <w:pPr>
        <w:pStyle w:val="BodyText"/>
        <w:spacing w:before="3"/>
        <w:rPr>
          <w:sz w:val="9"/>
        </w:rPr>
      </w:pPr>
    </w:p>
    <w:p>
      <w:pPr>
        <w:spacing w:before="104"/>
        <w:ind w:left="558" w:right="0" w:firstLine="0"/>
        <w:jc w:val="left"/>
        <w:rPr>
          <w:i/>
          <w:sz w:val="18"/>
        </w:rPr>
      </w:pPr>
      <w:r>
        <w:rPr>
          <w:i/>
          <w:sz w:val="18"/>
        </w:rPr>
        <w:t>Source: Rent Roll (representative of financial years)</w:t>
      </w:r>
    </w:p>
    <w:p>
      <w:pPr>
        <w:pStyle w:val="BodyText"/>
        <w:spacing w:before="11"/>
        <w:rPr>
          <w:i/>
          <w:sz w:val="26"/>
        </w:rPr>
      </w:pPr>
    </w:p>
    <w:p>
      <w:pPr>
        <w:pStyle w:val="BodyText"/>
        <w:spacing w:line="321" w:lineRule="auto"/>
        <w:ind w:left="680" w:right="116"/>
        <w:jc w:val="both"/>
      </w:pPr>
      <w:r>
        <w:rPr/>
        <w:t>Consultants</w:t>
      </w:r>
      <w:r>
        <w:rPr>
          <w:spacing w:val="-17"/>
        </w:rPr>
        <w:t> </w:t>
      </w:r>
      <w:r>
        <w:rPr/>
        <w:t>have</w:t>
      </w:r>
      <w:r>
        <w:rPr>
          <w:spacing w:val="-18"/>
        </w:rPr>
        <w:t> </w:t>
      </w:r>
      <w:r>
        <w:rPr/>
        <w:t>undertaken</w:t>
      </w:r>
      <w:r>
        <w:rPr>
          <w:spacing w:val="-19"/>
        </w:rPr>
        <w:t> </w:t>
      </w:r>
      <w:r>
        <w:rPr/>
        <w:t>an</w:t>
      </w:r>
      <w:r>
        <w:rPr>
          <w:spacing w:val="-16"/>
        </w:rPr>
        <w:t> </w:t>
      </w:r>
      <w:r>
        <w:rPr/>
        <w:t>in-depth</w:t>
      </w:r>
      <w:r>
        <w:rPr>
          <w:spacing w:val="-19"/>
        </w:rPr>
        <w:t> </w:t>
      </w:r>
      <w:r>
        <w:rPr/>
        <w:t>analysis</w:t>
      </w:r>
      <w:r>
        <w:rPr>
          <w:spacing w:val="-18"/>
        </w:rPr>
        <w:t> </w:t>
      </w:r>
      <w:r>
        <w:rPr/>
        <w:t>of</w:t>
      </w:r>
      <w:r>
        <w:rPr>
          <w:spacing w:val="-17"/>
        </w:rPr>
        <w:t> </w:t>
      </w:r>
      <w:r>
        <w:rPr/>
        <w:t>the</w:t>
      </w:r>
      <w:r>
        <w:rPr>
          <w:spacing w:val="-19"/>
        </w:rPr>
        <w:t> </w:t>
      </w:r>
      <w:r>
        <w:rPr/>
        <w:t>rent</w:t>
      </w:r>
      <w:r>
        <w:rPr>
          <w:spacing w:val="-18"/>
        </w:rPr>
        <w:t> </w:t>
      </w:r>
      <w:r>
        <w:rPr/>
        <w:t>roll/</w:t>
      </w:r>
      <w:r>
        <w:rPr>
          <w:spacing w:val="-17"/>
        </w:rPr>
        <w:t> </w:t>
      </w:r>
      <w:r>
        <w:rPr/>
        <w:t>lease</w:t>
      </w:r>
      <w:r>
        <w:rPr>
          <w:spacing w:val="-19"/>
        </w:rPr>
        <w:t> </w:t>
      </w:r>
      <w:r>
        <w:rPr/>
        <w:t>deeds</w:t>
      </w:r>
      <w:r>
        <w:rPr>
          <w:spacing w:val="-17"/>
        </w:rPr>
        <w:t> </w:t>
      </w:r>
      <w:r>
        <w:rPr/>
        <w:t>shared</w:t>
      </w:r>
      <w:r>
        <w:rPr>
          <w:spacing w:val="-18"/>
        </w:rPr>
        <w:t> </w:t>
      </w:r>
      <w:r>
        <w:rPr/>
        <w:t>by</w:t>
      </w:r>
      <w:r>
        <w:rPr>
          <w:spacing w:val="-17"/>
        </w:rPr>
        <w:t> </w:t>
      </w:r>
      <w:r>
        <w:rPr/>
        <w:t>the</w:t>
      </w:r>
      <w:r>
        <w:rPr>
          <w:spacing w:val="-19"/>
        </w:rPr>
        <w:t> </w:t>
      </w:r>
      <w:r>
        <w:rPr/>
        <w:t>Client,</w:t>
      </w:r>
      <w:r>
        <w:rPr>
          <w:spacing w:val="-19"/>
        </w:rPr>
        <w:t> </w:t>
      </w:r>
      <w:r>
        <w:rPr/>
        <w:t>to understand</w:t>
      </w:r>
      <w:r>
        <w:rPr>
          <w:spacing w:val="-28"/>
        </w:rPr>
        <w:t> </w:t>
      </w:r>
      <w:r>
        <w:rPr/>
        <w:t>the</w:t>
      </w:r>
      <w:r>
        <w:rPr>
          <w:spacing w:val="-26"/>
        </w:rPr>
        <w:t> </w:t>
      </w:r>
      <w:r>
        <w:rPr/>
        <w:t>lease</w:t>
      </w:r>
      <w:r>
        <w:rPr>
          <w:spacing w:val="-27"/>
        </w:rPr>
        <w:t> </w:t>
      </w:r>
      <w:r>
        <w:rPr/>
        <w:t>expiry</w:t>
      </w:r>
      <w:r>
        <w:rPr>
          <w:spacing w:val="-25"/>
        </w:rPr>
        <w:t> </w:t>
      </w:r>
      <w:r>
        <w:rPr/>
        <w:t>schedule</w:t>
      </w:r>
      <w:r>
        <w:rPr>
          <w:spacing w:val="-27"/>
        </w:rPr>
        <w:t> </w:t>
      </w:r>
      <w:r>
        <w:rPr/>
        <w:t>of</w:t>
      </w:r>
      <w:r>
        <w:rPr>
          <w:spacing w:val="-27"/>
        </w:rPr>
        <w:t> </w:t>
      </w:r>
      <w:r>
        <w:rPr/>
        <w:t>top</w:t>
      </w:r>
      <w:r>
        <w:rPr>
          <w:spacing w:val="-27"/>
        </w:rPr>
        <w:t> </w:t>
      </w:r>
      <w:r>
        <w:rPr/>
        <w:t>tenants</w:t>
      </w:r>
      <w:r>
        <w:rPr>
          <w:spacing w:val="-26"/>
        </w:rPr>
        <w:t> </w:t>
      </w:r>
      <w:r>
        <w:rPr/>
        <w:t>at</w:t>
      </w:r>
      <w:r>
        <w:rPr>
          <w:spacing w:val="-26"/>
        </w:rPr>
        <w:t> </w:t>
      </w:r>
      <w:r>
        <w:rPr/>
        <w:t>the</w:t>
      </w:r>
      <w:r>
        <w:rPr>
          <w:spacing w:val="-28"/>
        </w:rPr>
        <w:t> </w:t>
      </w:r>
      <w:r>
        <w:rPr/>
        <w:t>subject</w:t>
      </w:r>
      <w:r>
        <w:rPr>
          <w:spacing w:val="-24"/>
        </w:rPr>
        <w:t> </w:t>
      </w:r>
      <w:r>
        <w:rPr/>
        <w:t>property</w:t>
      </w:r>
      <w:r>
        <w:rPr>
          <w:spacing w:val="-27"/>
        </w:rPr>
        <w:t> </w:t>
      </w:r>
      <w:r>
        <w:rPr/>
        <w:t>and</w:t>
      </w:r>
      <w:r>
        <w:rPr>
          <w:spacing w:val="-26"/>
        </w:rPr>
        <w:t> </w:t>
      </w:r>
      <w:r>
        <w:rPr/>
        <w:t>rent</w:t>
      </w:r>
      <w:r>
        <w:rPr>
          <w:spacing w:val="-25"/>
        </w:rPr>
        <w:t> </w:t>
      </w:r>
      <w:r>
        <w:rPr/>
        <w:t>for</w:t>
      </w:r>
      <w:r>
        <w:rPr>
          <w:spacing w:val="-26"/>
        </w:rPr>
        <w:t> </w:t>
      </w:r>
      <w:r>
        <w:rPr/>
        <w:t>those</w:t>
      </w:r>
      <w:r>
        <w:rPr>
          <w:spacing w:val="-27"/>
        </w:rPr>
        <w:t> </w:t>
      </w:r>
      <w:r>
        <w:rPr/>
        <w:t>spaces</w:t>
      </w:r>
      <w:r>
        <w:rPr>
          <w:spacing w:val="-27"/>
        </w:rPr>
        <w:t> </w:t>
      </w:r>
      <w:r>
        <w:rPr/>
        <w:t>as of</w:t>
      </w:r>
      <w:r>
        <w:rPr>
          <w:spacing w:val="-25"/>
        </w:rPr>
        <w:t> </w:t>
      </w:r>
      <w:r>
        <w:rPr/>
        <w:t>date</w:t>
      </w:r>
      <w:r>
        <w:rPr>
          <w:spacing w:val="-26"/>
        </w:rPr>
        <w:t> </w:t>
      </w:r>
      <w:r>
        <w:rPr/>
        <w:t>of</w:t>
      </w:r>
      <w:r>
        <w:rPr>
          <w:spacing w:val="-25"/>
        </w:rPr>
        <w:t> </w:t>
      </w:r>
      <w:r>
        <w:rPr/>
        <w:t>valuation.</w:t>
      </w:r>
      <w:r>
        <w:rPr>
          <w:spacing w:val="-26"/>
        </w:rPr>
        <w:t> </w:t>
      </w:r>
      <w:r>
        <w:rPr/>
        <w:t>The</w:t>
      </w:r>
      <w:r>
        <w:rPr>
          <w:spacing w:val="-24"/>
        </w:rPr>
        <w:t> </w:t>
      </w:r>
      <w:r>
        <w:rPr/>
        <w:t>intent</w:t>
      </w:r>
      <w:r>
        <w:rPr>
          <w:spacing w:val="-26"/>
        </w:rPr>
        <w:t> </w:t>
      </w:r>
      <w:r>
        <w:rPr/>
        <w:t>of</w:t>
      </w:r>
      <w:r>
        <w:rPr>
          <w:spacing w:val="-25"/>
        </w:rPr>
        <w:t> </w:t>
      </w:r>
      <w:r>
        <w:rPr/>
        <w:t>the</w:t>
      </w:r>
      <w:r>
        <w:rPr>
          <w:spacing w:val="-25"/>
        </w:rPr>
        <w:t> </w:t>
      </w:r>
      <w:r>
        <w:rPr/>
        <w:t>same</w:t>
      </w:r>
      <w:r>
        <w:rPr>
          <w:spacing w:val="-26"/>
        </w:rPr>
        <w:t> </w:t>
      </w:r>
      <w:r>
        <w:rPr/>
        <w:t>is</w:t>
      </w:r>
      <w:r>
        <w:rPr>
          <w:spacing w:val="-25"/>
        </w:rPr>
        <w:t> </w:t>
      </w:r>
      <w:r>
        <w:rPr/>
        <w:t>to</w:t>
      </w:r>
      <w:r>
        <w:rPr>
          <w:spacing w:val="-26"/>
        </w:rPr>
        <w:t> </w:t>
      </w:r>
      <w:r>
        <w:rPr/>
        <w:t>analyse</w:t>
      </w:r>
      <w:r>
        <w:rPr>
          <w:spacing w:val="-25"/>
        </w:rPr>
        <w:t> </w:t>
      </w:r>
      <w:r>
        <w:rPr/>
        <w:t>the</w:t>
      </w:r>
      <w:r>
        <w:rPr>
          <w:spacing w:val="-25"/>
        </w:rPr>
        <w:t> </w:t>
      </w:r>
      <w:r>
        <w:rPr/>
        <w:t>risk</w:t>
      </w:r>
      <w:r>
        <w:rPr>
          <w:spacing w:val="-25"/>
        </w:rPr>
        <w:t> </w:t>
      </w:r>
      <w:r>
        <w:rPr/>
        <w:t>of</w:t>
      </w:r>
      <w:r>
        <w:rPr>
          <w:spacing w:val="-25"/>
        </w:rPr>
        <w:t> </w:t>
      </w:r>
      <w:r>
        <w:rPr/>
        <w:t>tenant</w:t>
      </w:r>
      <w:r>
        <w:rPr>
          <w:spacing w:val="-26"/>
        </w:rPr>
        <w:t> </w:t>
      </w:r>
      <w:r>
        <w:rPr/>
        <w:t>churn</w:t>
      </w:r>
      <w:r>
        <w:rPr>
          <w:spacing w:val="-25"/>
        </w:rPr>
        <w:t> </w:t>
      </w:r>
      <w:r>
        <w:rPr/>
        <w:t>as</w:t>
      </w:r>
      <w:r>
        <w:rPr>
          <w:spacing w:val="-25"/>
        </w:rPr>
        <w:t> </w:t>
      </w:r>
      <w:r>
        <w:rPr/>
        <w:t>well</w:t>
      </w:r>
      <w:r>
        <w:rPr>
          <w:spacing w:val="-26"/>
        </w:rPr>
        <w:t> </w:t>
      </w:r>
      <w:r>
        <w:rPr/>
        <w:t>as</w:t>
      </w:r>
      <w:r>
        <w:rPr>
          <w:spacing w:val="-24"/>
        </w:rPr>
        <w:t> </w:t>
      </w:r>
      <w:r>
        <w:rPr/>
        <w:t>assessing</w:t>
      </w:r>
      <w:r>
        <w:rPr>
          <w:spacing w:val="-27"/>
        </w:rPr>
        <w:t> </w:t>
      </w:r>
      <w:r>
        <w:rPr/>
        <w:t>the re-leasing risk for the property along with opining on the timeframe to lease-up the spaces in case</w:t>
      </w:r>
      <w:r>
        <w:rPr>
          <w:spacing w:val="-31"/>
        </w:rPr>
        <w:t> </w:t>
      </w:r>
      <w:r>
        <w:rPr/>
        <w:t>a significant vacancy arises at the</w:t>
      </w:r>
      <w:r>
        <w:rPr>
          <w:spacing w:val="-22"/>
        </w:rPr>
        <w:t> </w:t>
      </w:r>
      <w:r>
        <w:rPr/>
        <w:t>property.</w:t>
      </w:r>
    </w:p>
    <w:p>
      <w:pPr>
        <w:pStyle w:val="BodyText"/>
        <w:spacing w:before="10"/>
        <w:rPr>
          <w:sz w:val="20"/>
        </w:rPr>
      </w:pPr>
    </w:p>
    <w:p>
      <w:pPr>
        <w:pStyle w:val="ListParagraph"/>
        <w:numPr>
          <w:ilvl w:val="2"/>
          <w:numId w:val="14"/>
        </w:numPr>
        <w:tabs>
          <w:tab w:pos="861" w:val="left" w:leader="none"/>
        </w:tabs>
        <w:spacing w:line="240" w:lineRule="auto" w:before="1" w:after="0"/>
        <w:ind w:left="860" w:right="0" w:hanging="721"/>
        <w:jc w:val="left"/>
        <w:rPr>
          <w:sz w:val="22"/>
        </w:rPr>
      </w:pPr>
      <w:bookmarkStart w:name="_bookmark253" w:id="494"/>
      <w:bookmarkEnd w:id="494"/>
      <w:r>
        <w:rPr/>
      </w:r>
      <w:bookmarkStart w:name="_bookmark253" w:id="495"/>
      <w:bookmarkEnd w:id="495"/>
      <w:r>
        <w:rPr>
          <w:color w:val="1F664D"/>
          <w:sz w:val="22"/>
        </w:rPr>
        <w:t>Esc</w:t>
      </w:r>
      <w:r>
        <w:rPr>
          <w:color w:val="1F664D"/>
          <w:sz w:val="22"/>
        </w:rPr>
        <w:t>alation</w:t>
      </w:r>
      <w:r>
        <w:rPr>
          <w:color w:val="1F664D"/>
          <w:spacing w:val="-3"/>
          <w:sz w:val="22"/>
        </w:rPr>
        <w:t> </w:t>
      </w:r>
      <w:r>
        <w:rPr>
          <w:color w:val="1F664D"/>
          <w:sz w:val="22"/>
        </w:rPr>
        <w:t>Analysis</w:t>
      </w:r>
    </w:p>
    <w:p>
      <w:pPr>
        <w:pStyle w:val="BodyText"/>
        <w:spacing w:line="321" w:lineRule="auto" w:before="207"/>
        <w:ind w:left="680" w:right="117"/>
        <w:jc w:val="both"/>
      </w:pPr>
      <w:r>
        <w:rPr/>
        <w:t>As</w:t>
      </w:r>
      <w:r>
        <w:rPr>
          <w:spacing w:val="-41"/>
        </w:rPr>
        <w:t> </w:t>
      </w:r>
      <w:r>
        <w:rPr/>
        <w:t>per</w:t>
      </w:r>
      <w:r>
        <w:rPr>
          <w:spacing w:val="-40"/>
        </w:rPr>
        <w:t> </w:t>
      </w:r>
      <w:r>
        <w:rPr/>
        <w:t>the</w:t>
      </w:r>
      <w:r>
        <w:rPr>
          <w:spacing w:val="-40"/>
        </w:rPr>
        <w:t> </w:t>
      </w:r>
      <w:r>
        <w:rPr/>
        <w:t>review</w:t>
      </w:r>
      <w:r>
        <w:rPr>
          <w:spacing w:val="-39"/>
        </w:rPr>
        <w:t> </w:t>
      </w:r>
      <w:r>
        <w:rPr/>
        <w:t>of</w:t>
      </w:r>
      <w:r>
        <w:rPr>
          <w:spacing w:val="-39"/>
        </w:rPr>
        <w:t> </w:t>
      </w:r>
      <w:r>
        <w:rPr/>
        <w:t>recently</w:t>
      </w:r>
      <w:r>
        <w:rPr>
          <w:spacing w:val="-39"/>
        </w:rPr>
        <w:t> </w:t>
      </w:r>
      <w:r>
        <w:rPr/>
        <w:t>executed</w:t>
      </w:r>
      <w:r>
        <w:rPr>
          <w:spacing w:val="-39"/>
        </w:rPr>
        <w:t> </w:t>
      </w:r>
      <w:r>
        <w:rPr/>
        <w:t>leases</w:t>
      </w:r>
      <w:r>
        <w:rPr>
          <w:spacing w:val="-40"/>
        </w:rPr>
        <w:t> </w:t>
      </w:r>
      <w:r>
        <w:rPr/>
        <w:t>at</w:t>
      </w:r>
      <w:r>
        <w:rPr>
          <w:spacing w:val="-39"/>
        </w:rPr>
        <w:t> </w:t>
      </w:r>
      <w:r>
        <w:rPr/>
        <w:t>the</w:t>
      </w:r>
      <w:r>
        <w:rPr>
          <w:spacing w:val="-40"/>
        </w:rPr>
        <w:t> </w:t>
      </w:r>
      <w:r>
        <w:rPr/>
        <w:t>subject</w:t>
      </w:r>
      <w:r>
        <w:rPr>
          <w:spacing w:val="-40"/>
        </w:rPr>
        <w:t> </w:t>
      </w:r>
      <w:r>
        <w:rPr/>
        <w:t>property,</w:t>
      </w:r>
      <w:r>
        <w:rPr>
          <w:spacing w:val="-40"/>
        </w:rPr>
        <w:t> </w:t>
      </w:r>
      <w:r>
        <w:rPr/>
        <w:t>it</w:t>
      </w:r>
      <w:r>
        <w:rPr>
          <w:spacing w:val="-39"/>
        </w:rPr>
        <w:t> </w:t>
      </w:r>
      <w:r>
        <w:rPr/>
        <w:t>is</w:t>
      </w:r>
      <w:r>
        <w:rPr>
          <w:spacing w:val="-40"/>
        </w:rPr>
        <w:t> </w:t>
      </w:r>
      <w:r>
        <w:rPr/>
        <w:t>understood</w:t>
      </w:r>
      <w:r>
        <w:rPr>
          <w:spacing w:val="-39"/>
        </w:rPr>
        <w:t> </w:t>
      </w:r>
      <w:r>
        <w:rPr/>
        <w:t>that</w:t>
      </w:r>
      <w:r>
        <w:rPr>
          <w:spacing w:val="-40"/>
        </w:rPr>
        <w:t> </w:t>
      </w:r>
      <w:r>
        <w:rPr/>
        <w:t>the</w:t>
      </w:r>
      <w:r>
        <w:rPr>
          <w:spacing w:val="-40"/>
        </w:rPr>
        <w:t> </w:t>
      </w:r>
      <w:r>
        <w:rPr/>
        <w:t>contracted escalation terms for these leases are 15% every 3 years, which are in line with the prevailing</w:t>
      </w:r>
      <w:r>
        <w:rPr>
          <w:spacing w:val="-39"/>
        </w:rPr>
        <w:t> </w:t>
      </w:r>
      <w:r>
        <w:rPr/>
        <w:t>market practice witnessed across the sub-market and</w:t>
      </w:r>
      <w:r>
        <w:rPr>
          <w:spacing w:val="-25"/>
        </w:rPr>
        <w:t> </w:t>
      </w:r>
      <w:r>
        <w:rPr/>
        <w:t>Noida.</w:t>
      </w:r>
    </w:p>
    <w:p>
      <w:pPr>
        <w:spacing w:after="0" w:line="321" w:lineRule="auto"/>
        <w:jc w:val="both"/>
        <w:sectPr>
          <w:pgSz w:w="11910" w:h="16840"/>
          <w:pgMar w:header="720" w:footer="921" w:top="1660" w:bottom="1120" w:left="580" w:right="600"/>
        </w:sectPr>
      </w:pPr>
    </w:p>
    <w:p>
      <w:pPr>
        <w:pStyle w:val="BodyText"/>
        <w:spacing w:before="7"/>
        <w:rPr>
          <w:sz w:val="9"/>
        </w:rPr>
      </w:pPr>
    </w:p>
    <w:p>
      <w:pPr>
        <w:pStyle w:val="ListParagraph"/>
        <w:numPr>
          <w:ilvl w:val="1"/>
          <w:numId w:val="14"/>
        </w:numPr>
        <w:tabs>
          <w:tab w:pos="717" w:val="left" w:leader="none"/>
        </w:tabs>
        <w:spacing w:line="240" w:lineRule="auto" w:before="106" w:after="0"/>
        <w:ind w:left="716" w:right="0" w:hanging="577"/>
        <w:jc w:val="left"/>
        <w:rPr>
          <w:color w:val="1F6647"/>
          <w:sz w:val="22"/>
        </w:rPr>
      </w:pPr>
      <w:bookmarkStart w:name="_bookmark254" w:id="496"/>
      <w:bookmarkEnd w:id="496"/>
      <w:r>
        <w:rPr/>
      </w:r>
      <w:bookmarkStart w:name="_bookmark254" w:id="497"/>
      <w:bookmarkEnd w:id="497"/>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line="321" w:lineRule="auto" w:before="208"/>
        <w:ind w:left="680" w:right="113" w:firstLine="26"/>
        <w:jc w:val="both"/>
      </w:pPr>
      <w:r>
        <w:rPr/>
        <w:t>As</w:t>
      </w:r>
      <w:r>
        <w:rPr>
          <w:spacing w:val="-8"/>
        </w:rPr>
        <w:t> </w:t>
      </w:r>
      <w:r>
        <w:rPr/>
        <w:t>highlighted</w:t>
      </w:r>
      <w:r>
        <w:rPr>
          <w:spacing w:val="-5"/>
        </w:rPr>
        <w:t> </w:t>
      </w:r>
      <w:r>
        <w:rPr/>
        <w:t>earlier,</w:t>
      </w:r>
      <w:r>
        <w:rPr>
          <w:spacing w:val="-7"/>
        </w:rPr>
        <w:t> </w:t>
      </w:r>
      <w:r>
        <w:rPr/>
        <w:t>the</w:t>
      </w:r>
      <w:r>
        <w:rPr>
          <w:spacing w:val="-7"/>
        </w:rPr>
        <w:t> </w:t>
      </w:r>
      <w:r>
        <w:rPr/>
        <w:t>subject</w:t>
      </w:r>
      <w:r>
        <w:rPr>
          <w:spacing w:val="-8"/>
        </w:rPr>
        <w:t> </w:t>
      </w:r>
      <w:r>
        <w:rPr/>
        <w:t>property</w:t>
      </w:r>
      <w:r>
        <w:rPr>
          <w:spacing w:val="-7"/>
        </w:rPr>
        <w:t> </w:t>
      </w:r>
      <w:r>
        <w:rPr/>
        <w:t>is</w:t>
      </w:r>
      <w:r>
        <w:rPr>
          <w:spacing w:val="-6"/>
        </w:rPr>
        <w:t> </w:t>
      </w:r>
      <w:r>
        <w:rPr/>
        <w:t>located</w:t>
      </w:r>
      <w:r>
        <w:rPr>
          <w:spacing w:val="-6"/>
        </w:rPr>
        <w:t> </w:t>
      </w:r>
      <w:r>
        <w:rPr/>
        <w:t>in</w:t>
      </w:r>
      <w:r>
        <w:rPr>
          <w:spacing w:val="-7"/>
        </w:rPr>
        <w:t> </w:t>
      </w:r>
      <w:r>
        <w:rPr/>
        <w:t>Sector</w:t>
      </w:r>
      <w:r>
        <w:rPr>
          <w:spacing w:val="-7"/>
        </w:rPr>
        <w:t> </w:t>
      </w:r>
      <w:r>
        <w:rPr/>
        <w:t>144</w:t>
      </w:r>
      <w:r>
        <w:rPr>
          <w:spacing w:val="-6"/>
        </w:rPr>
        <w:t> </w:t>
      </w:r>
      <w:r>
        <w:rPr/>
        <w:t>towards</w:t>
      </w:r>
      <w:r>
        <w:rPr>
          <w:spacing w:val="-6"/>
        </w:rPr>
        <w:t> </w:t>
      </w:r>
      <w:r>
        <w:rPr/>
        <w:t>the</w:t>
      </w:r>
      <w:r>
        <w:rPr>
          <w:spacing w:val="-9"/>
        </w:rPr>
        <w:t> </w:t>
      </w:r>
      <w:r>
        <w:rPr/>
        <w:t>geographical</w:t>
      </w:r>
      <w:r>
        <w:rPr>
          <w:spacing w:val="-7"/>
        </w:rPr>
        <w:t> </w:t>
      </w:r>
      <w:r>
        <w:rPr/>
        <w:t>south</w:t>
      </w:r>
      <w:r>
        <w:rPr>
          <w:spacing w:val="-6"/>
        </w:rPr>
        <w:t> </w:t>
      </w:r>
      <w:r>
        <w:rPr>
          <w:w w:val="105"/>
        </w:rPr>
        <w:t>– </w:t>
      </w:r>
      <w:r>
        <w:rPr/>
        <w:t>eastern</w:t>
      </w:r>
      <w:r>
        <w:rPr>
          <w:spacing w:val="-19"/>
        </w:rPr>
        <w:t> </w:t>
      </w:r>
      <w:r>
        <w:rPr/>
        <w:t>periphery</w:t>
      </w:r>
      <w:r>
        <w:rPr>
          <w:spacing w:val="-16"/>
        </w:rPr>
        <w:t> </w:t>
      </w:r>
      <w:r>
        <w:rPr/>
        <w:t>of</w:t>
      </w:r>
      <w:r>
        <w:rPr>
          <w:spacing w:val="-17"/>
        </w:rPr>
        <w:t> </w:t>
      </w:r>
      <w:r>
        <w:rPr/>
        <w:t>Noida</w:t>
      </w:r>
      <w:r>
        <w:rPr>
          <w:spacing w:val="-19"/>
        </w:rPr>
        <w:t> </w:t>
      </w:r>
      <w:r>
        <w:rPr/>
        <w:t>City.</w:t>
      </w:r>
      <w:r>
        <w:rPr>
          <w:spacing w:val="-17"/>
        </w:rPr>
        <w:t> </w:t>
      </w:r>
      <w:r>
        <w:rPr/>
        <w:t>The</w:t>
      </w:r>
      <w:r>
        <w:rPr>
          <w:spacing w:val="-20"/>
        </w:rPr>
        <w:t> </w:t>
      </w:r>
      <w:r>
        <w:rPr/>
        <w:t>subject</w:t>
      </w:r>
      <w:r>
        <w:rPr>
          <w:spacing w:val="-17"/>
        </w:rPr>
        <w:t> </w:t>
      </w:r>
      <w:r>
        <w:rPr/>
        <w:t>region</w:t>
      </w:r>
      <w:r>
        <w:rPr>
          <w:spacing w:val="-18"/>
        </w:rPr>
        <w:t> </w:t>
      </w:r>
      <w:r>
        <w:rPr/>
        <w:t>is</w:t>
      </w:r>
      <w:r>
        <w:rPr>
          <w:spacing w:val="-18"/>
        </w:rPr>
        <w:t> </w:t>
      </w:r>
      <w:r>
        <w:rPr/>
        <w:t>well</w:t>
      </w:r>
      <w:r>
        <w:rPr>
          <w:spacing w:val="-18"/>
        </w:rPr>
        <w:t> </w:t>
      </w:r>
      <w:r>
        <w:rPr/>
        <w:t>connected</w:t>
      </w:r>
      <w:r>
        <w:rPr>
          <w:spacing w:val="-18"/>
        </w:rPr>
        <w:t> </w:t>
      </w:r>
      <w:r>
        <w:rPr/>
        <w:t>to</w:t>
      </w:r>
      <w:r>
        <w:rPr>
          <w:spacing w:val="-18"/>
        </w:rPr>
        <w:t> </w:t>
      </w:r>
      <w:r>
        <w:rPr/>
        <w:t>other</w:t>
      </w:r>
      <w:r>
        <w:rPr>
          <w:spacing w:val="-18"/>
        </w:rPr>
        <w:t> </w:t>
      </w:r>
      <w:r>
        <w:rPr/>
        <w:t>parts</w:t>
      </w:r>
      <w:r>
        <w:rPr>
          <w:spacing w:val="-17"/>
        </w:rPr>
        <w:t> </w:t>
      </w:r>
      <w:r>
        <w:rPr/>
        <w:t>of</w:t>
      </w:r>
      <w:r>
        <w:rPr>
          <w:spacing w:val="-18"/>
        </w:rPr>
        <w:t> </w:t>
      </w:r>
      <w:r>
        <w:rPr/>
        <w:t>Noida</w:t>
      </w:r>
      <w:r>
        <w:rPr>
          <w:spacing w:val="-18"/>
        </w:rPr>
        <w:t> </w:t>
      </w:r>
      <w:r>
        <w:rPr/>
        <w:t>and</w:t>
      </w:r>
      <w:r>
        <w:rPr>
          <w:spacing w:val="-19"/>
        </w:rPr>
        <w:t> </w:t>
      </w:r>
      <w:r>
        <w:rPr/>
        <w:t>Delhi owing</w:t>
      </w:r>
      <w:r>
        <w:rPr>
          <w:spacing w:val="-16"/>
        </w:rPr>
        <w:t> </w:t>
      </w:r>
      <w:r>
        <w:rPr/>
        <w:t>to</w:t>
      </w:r>
      <w:r>
        <w:rPr>
          <w:spacing w:val="-15"/>
        </w:rPr>
        <w:t> </w:t>
      </w:r>
      <w:r>
        <w:rPr/>
        <w:t>its</w:t>
      </w:r>
      <w:r>
        <w:rPr>
          <w:spacing w:val="-15"/>
        </w:rPr>
        <w:t> </w:t>
      </w:r>
      <w:r>
        <w:rPr/>
        <w:t>strategic</w:t>
      </w:r>
      <w:r>
        <w:rPr>
          <w:spacing w:val="-15"/>
        </w:rPr>
        <w:t> </w:t>
      </w:r>
      <w:r>
        <w:rPr/>
        <w:t>location</w:t>
      </w:r>
      <w:r>
        <w:rPr>
          <w:spacing w:val="-15"/>
        </w:rPr>
        <w:t> </w:t>
      </w:r>
      <w:r>
        <w:rPr/>
        <w:t>in</w:t>
      </w:r>
      <w:r>
        <w:rPr>
          <w:spacing w:val="-15"/>
        </w:rPr>
        <w:t> </w:t>
      </w:r>
      <w:r>
        <w:rPr/>
        <w:t>proximity</w:t>
      </w:r>
      <w:r>
        <w:rPr>
          <w:spacing w:val="-14"/>
        </w:rPr>
        <w:t> </w:t>
      </w:r>
      <w:r>
        <w:rPr/>
        <w:t>to</w:t>
      </w:r>
      <w:r>
        <w:rPr>
          <w:spacing w:val="-16"/>
        </w:rPr>
        <w:t> </w:t>
      </w:r>
      <w:r>
        <w:rPr/>
        <w:t>Noida</w:t>
      </w:r>
      <w:r>
        <w:rPr>
          <w:spacing w:val="-12"/>
        </w:rPr>
        <w:t> </w:t>
      </w:r>
      <w:r>
        <w:rPr>
          <w:w w:val="105"/>
        </w:rPr>
        <w:t>–</w:t>
      </w:r>
      <w:r>
        <w:rPr>
          <w:spacing w:val="-17"/>
          <w:w w:val="105"/>
        </w:rPr>
        <w:t> </w:t>
      </w:r>
      <w:r>
        <w:rPr/>
        <w:t>Greater</w:t>
      </w:r>
      <w:r>
        <w:rPr>
          <w:spacing w:val="-15"/>
        </w:rPr>
        <w:t> </w:t>
      </w:r>
      <w:r>
        <w:rPr/>
        <w:t>Noida</w:t>
      </w:r>
      <w:r>
        <w:rPr>
          <w:spacing w:val="-16"/>
        </w:rPr>
        <w:t> </w:t>
      </w:r>
      <w:r>
        <w:rPr/>
        <w:t>Expressway,</w:t>
      </w:r>
      <w:r>
        <w:rPr>
          <w:spacing w:val="-16"/>
        </w:rPr>
        <w:t> </w:t>
      </w:r>
      <w:r>
        <w:rPr/>
        <w:t>which</w:t>
      </w:r>
      <w:r>
        <w:rPr>
          <w:spacing w:val="-14"/>
        </w:rPr>
        <w:t> </w:t>
      </w:r>
      <w:r>
        <w:rPr/>
        <w:t>makes</w:t>
      </w:r>
      <w:r>
        <w:rPr>
          <w:spacing w:val="-14"/>
        </w:rPr>
        <w:t> </w:t>
      </w:r>
      <w:r>
        <w:rPr/>
        <w:t>it</w:t>
      </w:r>
      <w:r>
        <w:rPr>
          <w:spacing w:val="-16"/>
        </w:rPr>
        <w:t> </w:t>
      </w:r>
      <w:r>
        <w:rPr/>
        <w:t>easily accessible from other regions of</w:t>
      </w:r>
      <w:r>
        <w:rPr>
          <w:spacing w:val="-14"/>
        </w:rPr>
        <w:t> </w:t>
      </w:r>
      <w:r>
        <w:rPr/>
        <w:t>NCR.</w:t>
      </w:r>
    </w:p>
    <w:p>
      <w:pPr>
        <w:pStyle w:val="BodyText"/>
        <w:spacing w:before="9"/>
        <w:rPr>
          <w:sz w:val="20"/>
        </w:rPr>
      </w:pPr>
    </w:p>
    <w:p>
      <w:pPr>
        <w:pStyle w:val="BodyText"/>
        <w:spacing w:line="321" w:lineRule="auto"/>
        <w:ind w:left="680" w:right="113"/>
        <w:jc w:val="both"/>
      </w:pPr>
      <w:r>
        <w:rPr/>
        <w:t>Noida-Greater</w:t>
      </w:r>
      <w:r>
        <w:rPr>
          <w:spacing w:val="-18"/>
        </w:rPr>
        <w:t> </w:t>
      </w:r>
      <w:r>
        <w:rPr/>
        <w:t>Noida</w:t>
      </w:r>
      <w:r>
        <w:rPr>
          <w:spacing w:val="-17"/>
        </w:rPr>
        <w:t> </w:t>
      </w:r>
      <w:r>
        <w:rPr/>
        <w:t>Expressway</w:t>
      </w:r>
      <w:r>
        <w:rPr>
          <w:spacing w:val="-16"/>
        </w:rPr>
        <w:t> </w:t>
      </w:r>
      <w:r>
        <w:rPr/>
        <w:t>is</w:t>
      </w:r>
      <w:r>
        <w:rPr>
          <w:spacing w:val="-15"/>
        </w:rPr>
        <w:t> </w:t>
      </w:r>
      <w:r>
        <w:rPr/>
        <w:t>emerging</w:t>
      </w:r>
      <w:r>
        <w:rPr>
          <w:spacing w:val="-16"/>
        </w:rPr>
        <w:t> </w:t>
      </w:r>
      <w:r>
        <w:rPr/>
        <w:t>as</w:t>
      </w:r>
      <w:r>
        <w:rPr>
          <w:spacing w:val="-18"/>
        </w:rPr>
        <w:t> </w:t>
      </w:r>
      <w:r>
        <w:rPr/>
        <w:t>an</w:t>
      </w:r>
      <w:r>
        <w:rPr>
          <w:spacing w:val="-17"/>
        </w:rPr>
        <w:t> </w:t>
      </w:r>
      <w:r>
        <w:rPr/>
        <w:t>integrated</w:t>
      </w:r>
      <w:r>
        <w:rPr>
          <w:spacing w:val="-15"/>
        </w:rPr>
        <w:t> </w:t>
      </w:r>
      <w:r>
        <w:rPr/>
        <w:t>development</w:t>
      </w:r>
      <w:r>
        <w:rPr>
          <w:spacing w:val="-17"/>
        </w:rPr>
        <w:t> </w:t>
      </w:r>
      <w:r>
        <w:rPr/>
        <w:t>corridor</w:t>
      </w:r>
      <w:r>
        <w:rPr>
          <w:spacing w:val="-18"/>
        </w:rPr>
        <w:t> </w:t>
      </w:r>
      <w:r>
        <w:rPr/>
        <w:t>with</w:t>
      </w:r>
      <w:r>
        <w:rPr>
          <w:spacing w:val="-17"/>
        </w:rPr>
        <w:t> </w:t>
      </w:r>
      <w:r>
        <w:rPr/>
        <w:t>provision</w:t>
      </w:r>
      <w:r>
        <w:rPr>
          <w:spacing w:val="-15"/>
        </w:rPr>
        <w:t> </w:t>
      </w:r>
      <w:r>
        <w:rPr/>
        <w:t>for large-scale</w:t>
      </w:r>
      <w:r>
        <w:rPr>
          <w:spacing w:val="-30"/>
        </w:rPr>
        <w:t> </w:t>
      </w:r>
      <w:r>
        <w:rPr/>
        <w:t>IT</w:t>
      </w:r>
      <w:r>
        <w:rPr>
          <w:spacing w:val="-28"/>
        </w:rPr>
        <w:t> </w:t>
      </w:r>
      <w:r>
        <w:rPr/>
        <w:t>parks,</w:t>
      </w:r>
      <w:r>
        <w:rPr>
          <w:spacing w:val="-29"/>
        </w:rPr>
        <w:t> </w:t>
      </w:r>
      <w:r>
        <w:rPr/>
        <w:t>SEZs,</w:t>
      </w:r>
      <w:r>
        <w:rPr>
          <w:spacing w:val="-28"/>
        </w:rPr>
        <w:t> </w:t>
      </w:r>
      <w:r>
        <w:rPr/>
        <w:t>corporate</w:t>
      </w:r>
      <w:r>
        <w:rPr>
          <w:spacing w:val="-29"/>
        </w:rPr>
        <w:t> </w:t>
      </w:r>
      <w:r>
        <w:rPr/>
        <w:t>office</w:t>
      </w:r>
      <w:r>
        <w:rPr>
          <w:spacing w:val="-30"/>
        </w:rPr>
        <w:t> </w:t>
      </w:r>
      <w:r>
        <w:rPr/>
        <w:t>space,</w:t>
      </w:r>
      <w:r>
        <w:rPr>
          <w:spacing w:val="-30"/>
        </w:rPr>
        <w:t> </w:t>
      </w:r>
      <w:r>
        <w:rPr/>
        <w:t>and</w:t>
      </w:r>
      <w:r>
        <w:rPr>
          <w:spacing w:val="-28"/>
        </w:rPr>
        <w:t> </w:t>
      </w:r>
      <w:r>
        <w:rPr/>
        <w:t>developments</w:t>
      </w:r>
      <w:r>
        <w:rPr>
          <w:spacing w:val="-28"/>
        </w:rPr>
        <w:t> </w:t>
      </w:r>
      <w:r>
        <w:rPr/>
        <w:t>across</w:t>
      </w:r>
      <w:r>
        <w:rPr>
          <w:spacing w:val="-29"/>
        </w:rPr>
        <w:t> </w:t>
      </w:r>
      <w:r>
        <w:rPr/>
        <w:t>other</w:t>
      </w:r>
      <w:r>
        <w:rPr>
          <w:spacing w:val="-29"/>
        </w:rPr>
        <w:t> </w:t>
      </w:r>
      <w:r>
        <w:rPr/>
        <w:t>real</w:t>
      </w:r>
      <w:r>
        <w:rPr>
          <w:spacing w:val="-30"/>
        </w:rPr>
        <w:t> </w:t>
      </w:r>
      <w:r>
        <w:rPr/>
        <w:t>estate</w:t>
      </w:r>
      <w:r>
        <w:rPr>
          <w:spacing w:val="-30"/>
        </w:rPr>
        <w:t> </w:t>
      </w:r>
      <w:r>
        <w:rPr/>
        <w:t>segments. This</w:t>
      </w:r>
      <w:r>
        <w:rPr>
          <w:spacing w:val="-25"/>
        </w:rPr>
        <w:t> </w:t>
      </w:r>
      <w:r>
        <w:rPr/>
        <w:t>vector</w:t>
      </w:r>
      <w:r>
        <w:rPr>
          <w:spacing w:val="-25"/>
        </w:rPr>
        <w:t> </w:t>
      </w:r>
      <w:r>
        <w:rPr/>
        <w:t>has</w:t>
      </w:r>
      <w:r>
        <w:rPr>
          <w:spacing w:val="-25"/>
        </w:rPr>
        <w:t> </w:t>
      </w:r>
      <w:r>
        <w:rPr/>
        <w:t>witnessed</w:t>
      </w:r>
      <w:r>
        <w:rPr>
          <w:spacing w:val="-26"/>
        </w:rPr>
        <w:t> </w:t>
      </w:r>
      <w:r>
        <w:rPr/>
        <w:t>significant</w:t>
      </w:r>
      <w:r>
        <w:rPr>
          <w:spacing w:val="-26"/>
        </w:rPr>
        <w:t> </w:t>
      </w:r>
      <w:r>
        <w:rPr/>
        <w:t>development</w:t>
      </w:r>
      <w:r>
        <w:rPr>
          <w:spacing w:val="-26"/>
        </w:rPr>
        <w:t> </w:t>
      </w:r>
      <w:r>
        <w:rPr/>
        <w:t>activity</w:t>
      </w:r>
      <w:r>
        <w:rPr>
          <w:spacing w:val="-25"/>
        </w:rPr>
        <w:t> </w:t>
      </w:r>
      <w:r>
        <w:rPr/>
        <w:t>over</w:t>
      </w:r>
      <w:r>
        <w:rPr>
          <w:spacing w:val="-25"/>
        </w:rPr>
        <w:t> </w:t>
      </w:r>
      <w:r>
        <w:rPr/>
        <w:t>the</w:t>
      </w:r>
      <w:r>
        <w:rPr>
          <w:spacing w:val="-26"/>
        </w:rPr>
        <w:t> </w:t>
      </w:r>
      <w:r>
        <w:rPr/>
        <w:t>past</w:t>
      </w:r>
      <w:r>
        <w:rPr>
          <w:spacing w:val="-25"/>
        </w:rPr>
        <w:t> </w:t>
      </w:r>
      <w:r>
        <w:rPr/>
        <w:t>few</w:t>
      </w:r>
      <w:r>
        <w:rPr>
          <w:spacing w:val="-26"/>
        </w:rPr>
        <w:t> </w:t>
      </w:r>
      <w:r>
        <w:rPr/>
        <w:t>years</w:t>
      </w:r>
      <w:r>
        <w:rPr>
          <w:spacing w:val="-25"/>
        </w:rPr>
        <w:t> </w:t>
      </w:r>
      <w:r>
        <w:rPr/>
        <w:t>in</w:t>
      </w:r>
      <w:r>
        <w:rPr>
          <w:spacing w:val="-26"/>
        </w:rPr>
        <w:t> </w:t>
      </w:r>
      <w:r>
        <w:rPr/>
        <w:t>commercial</w:t>
      </w:r>
      <w:r>
        <w:rPr>
          <w:spacing w:val="-25"/>
        </w:rPr>
        <w:t> </w:t>
      </w:r>
      <w:r>
        <w:rPr/>
        <w:t>office segment</w:t>
      </w:r>
      <w:r>
        <w:rPr>
          <w:spacing w:val="-35"/>
        </w:rPr>
        <w:t> </w:t>
      </w:r>
      <w:r>
        <w:rPr/>
        <w:t>with</w:t>
      </w:r>
      <w:r>
        <w:rPr>
          <w:spacing w:val="-37"/>
        </w:rPr>
        <w:t> </w:t>
      </w:r>
      <w:r>
        <w:rPr/>
        <w:t>facilities</w:t>
      </w:r>
      <w:r>
        <w:rPr>
          <w:spacing w:val="-34"/>
        </w:rPr>
        <w:t> </w:t>
      </w:r>
      <w:r>
        <w:rPr/>
        <w:t>being</w:t>
      </w:r>
      <w:r>
        <w:rPr>
          <w:spacing w:val="-35"/>
        </w:rPr>
        <w:t> </w:t>
      </w:r>
      <w:r>
        <w:rPr/>
        <w:t>developed</w:t>
      </w:r>
      <w:r>
        <w:rPr>
          <w:spacing w:val="-34"/>
        </w:rPr>
        <w:t> </w:t>
      </w:r>
      <w:r>
        <w:rPr/>
        <w:t>by</w:t>
      </w:r>
      <w:r>
        <w:rPr>
          <w:spacing w:val="-35"/>
        </w:rPr>
        <w:t> </w:t>
      </w:r>
      <w:r>
        <w:rPr/>
        <w:t>local</w:t>
      </w:r>
      <w:r>
        <w:rPr>
          <w:spacing w:val="-35"/>
        </w:rPr>
        <w:t> </w:t>
      </w:r>
      <w:r>
        <w:rPr/>
        <w:t>as</w:t>
      </w:r>
      <w:r>
        <w:rPr>
          <w:spacing w:val="-36"/>
        </w:rPr>
        <w:t> </w:t>
      </w:r>
      <w:r>
        <w:rPr/>
        <w:t>well</w:t>
      </w:r>
      <w:r>
        <w:rPr>
          <w:spacing w:val="-36"/>
        </w:rPr>
        <w:t> </w:t>
      </w:r>
      <w:r>
        <w:rPr/>
        <w:t>as</w:t>
      </w:r>
      <w:r>
        <w:rPr>
          <w:spacing w:val="-34"/>
        </w:rPr>
        <w:t> </w:t>
      </w:r>
      <w:r>
        <w:rPr/>
        <w:t>national</w:t>
      </w:r>
      <w:r>
        <w:rPr>
          <w:spacing w:val="-36"/>
        </w:rPr>
        <w:t> </w:t>
      </w:r>
      <w:r>
        <w:rPr/>
        <w:t>developers.</w:t>
      </w:r>
      <w:r>
        <w:rPr>
          <w:spacing w:val="-35"/>
        </w:rPr>
        <w:t> </w:t>
      </w:r>
      <w:r>
        <w:rPr/>
        <w:t>The</w:t>
      </w:r>
      <w:r>
        <w:rPr>
          <w:spacing w:val="-36"/>
        </w:rPr>
        <w:t> </w:t>
      </w:r>
      <w:r>
        <w:rPr/>
        <w:t>region</w:t>
      </w:r>
      <w:r>
        <w:rPr>
          <w:spacing w:val="-35"/>
        </w:rPr>
        <w:t> </w:t>
      </w:r>
      <w:r>
        <w:rPr/>
        <w:t>has</w:t>
      </w:r>
      <w:r>
        <w:rPr>
          <w:spacing w:val="-36"/>
        </w:rPr>
        <w:t> </w:t>
      </w:r>
      <w:r>
        <w:rPr/>
        <w:t>witnessed robust</w:t>
      </w:r>
      <w:r>
        <w:rPr>
          <w:spacing w:val="-12"/>
        </w:rPr>
        <w:t> </w:t>
      </w:r>
      <w:r>
        <w:rPr/>
        <w:t>demand</w:t>
      </w:r>
      <w:r>
        <w:rPr>
          <w:spacing w:val="-9"/>
        </w:rPr>
        <w:t> </w:t>
      </w:r>
      <w:r>
        <w:rPr/>
        <w:t>from</w:t>
      </w:r>
      <w:r>
        <w:rPr>
          <w:spacing w:val="-10"/>
        </w:rPr>
        <w:t> </w:t>
      </w:r>
      <w:r>
        <w:rPr/>
        <w:t>the</w:t>
      </w:r>
      <w:r>
        <w:rPr>
          <w:spacing w:val="-10"/>
        </w:rPr>
        <w:t> </w:t>
      </w:r>
      <w:r>
        <w:rPr/>
        <w:t>technology</w:t>
      </w:r>
      <w:r>
        <w:rPr>
          <w:spacing w:val="-9"/>
        </w:rPr>
        <w:t> </w:t>
      </w:r>
      <w:r>
        <w:rPr/>
        <w:t>sector,</w:t>
      </w:r>
      <w:r>
        <w:rPr>
          <w:spacing w:val="-9"/>
        </w:rPr>
        <w:t> </w:t>
      </w:r>
      <w:r>
        <w:rPr/>
        <w:t>owing</w:t>
      </w:r>
      <w:r>
        <w:rPr>
          <w:spacing w:val="-9"/>
        </w:rPr>
        <w:t> </w:t>
      </w:r>
      <w:r>
        <w:rPr/>
        <w:t>to</w:t>
      </w:r>
      <w:r>
        <w:rPr>
          <w:spacing w:val="-10"/>
        </w:rPr>
        <w:t> </w:t>
      </w:r>
      <w:r>
        <w:rPr/>
        <w:t>its</w:t>
      </w:r>
      <w:r>
        <w:rPr>
          <w:spacing w:val="-10"/>
        </w:rPr>
        <w:t> </w:t>
      </w:r>
      <w:r>
        <w:rPr/>
        <w:t>positioning</w:t>
      </w:r>
      <w:r>
        <w:rPr>
          <w:spacing w:val="-9"/>
        </w:rPr>
        <w:t> </w:t>
      </w:r>
      <w:r>
        <w:rPr/>
        <w:t>as</w:t>
      </w:r>
      <w:r>
        <w:rPr>
          <w:spacing w:val="-9"/>
        </w:rPr>
        <w:t> </w:t>
      </w:r>
      <w:r>
        <w:rPr/>
        <w:t>a</w:t>
      </w:r>
      <w:r>
        <w:rPr>
          <w:spacing w:val="-7"/>
        </w:rPr>
        <w:t> </w:t>
      </w:r>
      <w:r>
        <w:rPr/>
        <w:t>technology</w:t>
      </w:r>
      <w:r>
        <w:rPr>
          <w:spacing w:val="-9"/>
        </w:rPr>
        <w:t> </w:t>
      </w:r>
      <w:r>
        <w:rPr/>
        <w:t>hub</w:t>
      </w:r>
      <w:r>
        <w:rPr>
          <w:spacing w:val="-9"/>
        </w:rPr>
        <w:t> </w:t>
      </w:r>
      <w:r>
        <w:rPr/>
        <w:t>and</w:t>
      </w:r>
      <w:r>
        <w:rPr>
          <w:spacing w:val="-9"/>
        </w:rPr>
        <w:t> </w:t>
      </w:r>
      <w:r>
        <w:rPr/>
        <w:t>strategic location.</w:t>
      </w:r>
      <w:r>
        <w:rPr>
          <w:spacing w:val="-20"/>
        </w:rPr>
        <w:t> </w:t>
      </w:r>
      <w:r>
        <w:rPr/>
        <w:t>Further,</w:t>
      </w:r>
      <w:r>
        <w:rPr>
          <w:spacing w:val="-18"/>
        </w:rPr>
        <w:t> </w:t>
      </w:r>
      <w:r>
        <w:rPr/>
        <w:t>the</w:t>
      </w:r>
      <w:r>
        <w:rPr>
          <w:spacing w:val="-19"/>
        </w:rPr>
        <w:t> </w:t>
      </w:r>
      <w:r>
        <w:rPr/>
        <w:t>emergence</w:t>
      </w:r>
      <w:r>
        <w:rPr>
          <w:spacing w:val="-19"/>
        </w:rPr>
        <w:t> </w:t>
      </w:r>
      <w:r>
        <w:rPr/>
        <w:t>of</w:t>
      </w:r>
      <w:r>
        <w:rPr>
          <w:spacing w:val="-17"/>
        </w:rPr>
        <w:t> </w:t>
      </w:r>
      <w:r>
        <w:rPr/>
        <w:t>technology</w:t>
      </w:r>
      <w:r>
        <w:rPr>
          <w:spacing w:val="-17"/>
        </w:rPr>
        <w:t> </w:t>
      </w:r>
      <w:r>
        <w:rPr/>
        <w:t>as</w:t>
      </w:r>
      <w:r>
        <w:rPr>
          <w:spacing w:val="-20"/>
        </w:rPr>
        <w:t> </w:t>
      </w:r>
      <w:r>
        <w:rPr/>
        <w:t>the</w:t>
      </w:r>
      <w:r>
        <w:rPr>
          <w:spacing w:val="-20"/>
        </w:rPr>
        <w:t> </w:t>
      </w:r>
      <w:r>
        <w:rPr/>
        <w:t>main</w:t>
      </w:r>
      <w:r>
        <w:rPr>
          <w:spacing w:val="-18"/>
        </w:rPr>
        <w:t> </w:t>
      </w:r>
      <w:r>
        <w:rPr/>
        <w:t>driver</w:t>
      </w:r>
      <w:r>
        <w:rPr>
          <w:spacing w:val="-18"/>
        </w:rPr>
        <w:t> </w:t>
      </w:r>
      <w:r>
        <w:rPr/>
        <w:t>of</w:t>
      </w:r>
      <w:r>
        <w:rPr>
          <w:spacing w:val="-19"/>
        </w:rPr>
        <w:t> </w:t>
      </w:r>
      <w:r>
        <w:rPr/>
        <w:t>commercial</w:t>
      </w:r>
      <w:r>
        <w:rPr>
          <w:spacing w:val="-19"/>
        </w:rPr>
        <w:t> </w:t>
      </w:r>
      <w:r>
        <w:rPr/>
        <w:t>office</w:t>
      </w:r>
      <w:r>
        <w:rPr>
          <w:spacing w:val="-18"/>
        </w:rPr>
        <w:t> </w:t>
      </w:r>
      <w:r>
        <w:rPr/>
        <w:t>space</w:t>
      </w:r>
      <w:r>
        <w:rPr>
          <w:spacing w:val="-20"/>
        </w:rPr>
        <w:t> </w:t>
      </w:r>
      <w:r>
        <w:rPr/>
        <w:t>demand has led to emergence of a few IT SEZ developments in the region. The expressway also comprises of some</w:t>
      </w:r>
      <w:r>
        <w:rPr>
          <w:spacing w:val="-29"/>
        </w:rPr>
        <w:t> </w:t>
      </w:r>
      <w:r>
        <w:rPr/>
        <w:t>prominent</w:t>
      </w:r>
      <w:r>
        <w:rPr>
          <w:spacing w:val="-29"/>
        </w:rPr>
        <w:t> </w:t>
      </w:r>
      <w:r>
        <w:rPr/>
        <w:t>educational</w:t>
      </w:r>
      <w:r>
        <w:rPr>
          <w:spacing w:val="-29"/>
        </w:rPr>
        <w:t> </w:t>
      </w:r>
      <w:r>
        <w:rPr/>
        <w:t>institutions</w:t>
      </w:r>
      <w:r>
        <w:rPr>
          <w:spacing w:val="-28"/>
        </w:rPr>
        <w:t> </w:t>
      </w:r>
      <w:r>
        <w:rPr/>
        <w:t>such</w:t>
      </w:r>
      <w:r>
        <w:rPr>
          <w:spacing w:val="-29"/>
        </w:rPr>
        <w:t> </w:t>
      </w:r>
      <w:r>
        <w:rPr/>
        <w:t>as</w:t>
      </w:r>
      <w:r>
        <w:rPr>
          <w:spacing w:val="-28"/>
        </w:rPr>
        <w:t> </w:t>
      </w:r>
      <w:r>
        <w:rPr/>
        <w:t>Genesis</w:t>
      </w:r>
      <w:r>
        <w:rPr>
          <w:spacing w:val="-28"/>
        </w:rPr>
        <w:t> </w:t>
      </w:r>
      <w:r>
        <w:rPr/>
        <w:t>Global</w:t>
      </w:r>
      <w:r>
        <w:rPr>
          <w:spacing w:val="-29"/>
        </w:rPr>
        <w:t> </w:t>
      </w:r>
      <w:r>
        <w:rPr/>
        <w:t>School,</w:t>
      </w:r>
      <w:r>
        <w:rPr>
          <w:spacing w:val="-29"/>
        </w:rPr>
        <w:t> </w:t>
      </w:r>
      <w:r>
        <w:rPr/>
        <w:t>Panchsheel</w:t>
      </w:r>
      <w:r>
        <w:rPr>
          <w:spacing w:val="-29"/>
        </w:rPr>
        <w:t> </w:t>
      </w:r>
      <w:r>
        <w:rPr/>
        <w:t>Balak</w:t>
      </w:r>
      <w:r>
        <w:rPr>
          <w:spacing w:val="-29"/>
        </w:rPr>
        <w:t> </w:t>
      </w:r>
      <w:r>
        <w:rPr/>
        <w:t>Inter</w:t>
      </w:r>
      <w:r>
        <w:rPr>
          <w:spacing w:val="-29"/>
        </w:rPr>
        <w:t> </w:t>
      </w:r>
      <w:r>
        <w:rPr/>
        <w:t>College, Delhi</w:t>
      </w:r>
      <w:r>
        <w:rPr>
          <w:spacing w:val="-46"/>
        </w:rPr>
        <w:t> </w:t>
      </w:r>
      <w:r>
        <w:rPr/>
        <w:t>Public</w:t>
      </w:r>
      <w:r>
        <w:rPr>
          <w:spacing w:val="-45"/>
        </w:rPr>
        <w:t> </w:t>
      </w:r>
      <w:r>
        <w:rPr/>
        <w:t>School,</w:t>
      </w:r>
      <w:r>
        <w:rPr>
          <w:spacing w:val="-45"/>
        </w:rPr>
        <w:t> </w:t>
      </w:r>
      <w:r>
        <w:rPr/>
        <w:t>Amity</w:t>
      </w:r>
      <w:r>
        <w:rPr>
          <w:spacing w:val="-44"/>
        </w:rPr>
        <w:t> </w:t>
      </w:r>
      <w:r>
        <w:rPr/>
        <w:t>University,</w:t>
      </w:r>
      <w:r>
        <w:rPr>
          <w:spacing w:val="-45"/>
        </w:rPr>
        <w:t> </w:t>
      </w:r>
      <w:r>
        <w:rPr/>
        <w:t>Lotus</w:t>
      </w:r>
      <w:r>
        <w:rPr>
          <w:spacing w:val="-45"/>
        </w:rPr>
        <w:t> </w:t>
      </w:r>
      <w:r>
        <w:rPr/>
        <w:t>Valley</w:t>
      </w:r>
      <w:r>
        <w:rPr>
          <w:spacing w:val="-44"/>
        </w:rPr>
        <w:t> </w:t>
      </w:r>
      <w:r>
        <w:rPr/>
        <w:t>International</w:t>
      </w:r>
      <w:r>
        <w:rPr>
          <w:spacing w:val="-45"/>
        </w:rPr>
        <w:t> </w:t>
      </w:r>
      <w:r>
        <w:rPr/>
        <w:t>School,</w:t>
      </w:r>
      <w:r>
        <w:rPr>
          <w:spacing w:val="-44"/>
        </w:rPr>
        <w:t> </w:t>
      </w:r>
      <w:r>
        <w:rPr/>
        <w:t>Pathway’s</w:t>
      </w:r>
      <w:r>
        <w:rPr>
          <w:spacing w:val="-45"/>
        </w:rPr>
        <w:t> </w:t>
      </w:r>
      <w:r>
        <w:rPr/>
        <w:t>World</w:t>
      </w:r>
      <w:r>
        <w:rPr>
          <w:spacing w:val="-45"/>
        </w:rPr>
        <w:t> </w:t>
      </w:r>
      <w:r>
        <w:rPr/>
        <w:t>School,</w:t>
      </w:r>
      <w:r>
        <w:rPr>
          <w:spacing w:val="-45"/>
        </w:rPr>
        <w:t> </w:t>
      </w:r>
      <w:r>
        <w:rPr/>
        <w:t>etc.</w:t>
      </w:r>
      <w:r>
        <w:rPr>
          <w:spacing w:val="-43"/>
        </w:rPr>
        <w:t> </w:t>
      </w:r>
      <w:r>
        <w:rPr/>
        <w:t>and hospitals</w:t>
      </w:r>
      <w:r>
        <w:rPr>
          <w:spacing w:val="-9"/>
        </w:rPr>
        <w:t> </w:t>
      </w:r>
      <w:r>
        <w:rPr/>
        <w:t>such</w:t>
      </w:r>
      <w:r>
        <w:rPr>
          <w:spacing w:val="-7"/>
        </w:rPr>
        <w:t> </w:t>
      </w:r>
      <w:r>
        <w:rPr/>
        <w:t>as</w:t>
      </w:r>
      <w:r>
        <w:rPr>
          <w:spacing w:val="-7"/>
        </w:rPr>
        <w:t> </w:t>
      </w:r>
      <w:r>
        <w:rPr/>
        <w:t>Jaypee</w:t>
      </w:r>
      <w:r>
        <w:rPr>
          <w:spacing w:val="-7"/>
        </w:rPr>
        <w:t> </w:t>
      </w:r>
      <w:r>
        <w:rPr/>
        <w:t>Hospital,</w:t>
      </w:r>
      <w:r>
        <w:rPr>
          <w:spacing w:val="-7"/>
        </w:rPr>
        <w:t> </w:t>
      </w:r>
      <w:r>
        <w:rPr/>
        <w:t>JS</w:t>
      </w:r>
      <w:r>
        <w:rPr>
          <w:spacing w:val="-7"/>
        </w:rPr>
        <w:t> </w:t>
      </w:r>
      <w:r>
        <w:rPr/>
        <w:t>Hospital,</w:t>
      </w:r>
      <w:r>
        <w:rPr>
          <w:spacing w:val="-6"/>
        </w:rPr>
        <w:t> </w:t>
      </w:r>
      <w:r>
        <w:rPr/>
        <w:t>Felix</w:t>
      </w:r>
      <w:r>
        <w:rPr>
          <w:spacing w:val="-6"/>
        </w:rPr>
        <w:t> </w:t>
      </w:r>
      <w:r>
        <w:rPr/>
        <w:t>Hospital,</w:t>
      </w:r>
      <w:r>
        <w:rPr>
          <w:spacing w:val="-8"/>
        </w:rPr>
        <w:t> </w:t>
      </w:r>
      <w:r>
        <w:rPr/>
        <w:t>etc.</w:t>
      </w:r>
    </w:p>
    <w:p>
      <w:pPr>
        <w:pStyle w:val="BodyText"/>
        <w:spacing w:before="3"/>
        <w:rPr>
          <w:sz w:val="21"/>
        </w:rPr>
      </w:pPr>
    </w:p>
    <w:p>
      <w:pPr>
        <w:pStyle w:val="BodyText"/>
        <w:spacing w:line="321" w:lineRule="auto"/>
        <w:ind w:left="680" w:right="116"/>
        <w:jc w:val="both"/>
      </w:pPr>
      <w:r>
        <w:rPr/>
        <w:t>The</w:t>
      </w:r>
      <w:r>
        <w:rPr>
          <w:spacing w:val="-33"/>
        </w:rPr>
        <w:t> </w:t>
      </w:r>
      <w:r>
        <w:rPr/>
        <w:t>commercial</w:t>
      </w:r>
      <w:r>
        <w:rPr>
          <w:spacing w:val="-31"/>
        </w:rPr>
        <w:t> </w:t>
      </w:r>
      <w:r>
        <w:rPr/>
        <w:t>activity</w:t>
      </w:r>
      <w:r>
        <w:rPr>
          <w:spacing w:val="-30"/>
        </w:rPr>
        <w:t> </w:t>
      </w:r>
      <w:r>
        <w:rPr/>
        <w:t>hubs</w:t>
      </w:r>
      <w:r>
        <w:rPr>
          <w:spacing w:val="-30"/>
        </w:rPr>
        <w:t> </w:t>
      </w:r>
      <w:r>
        <w:rPr/>
        <w:t>along</w:t>
      </w:r>
      <w:r>
        <w:rPr>
          <w:spacing w:val="-31"/>
        </w:rPr>
        <w:t> </w:t>
      </w:r>
      <w:r>
        <w:rPr/>
        <w:t>the</w:t>
      </w:r>
      <w:r>
        <w:rPr>
          <w:spacing w:val="-31"/>
        </w:rPr>
        <w:t> </w:t>
      </w:r>
      <w:r>
        <w:rPr/>
        <w:t>Noida</w:t>
      </w:r>
      <w:r>
        <w:rPr>
          <w:spacing w:val="-30"/>
        </w:rPr>
        <w:t> </w:t>
      </w:r>
      <w:r>
        <w:rPr>
          <w:w w:val="105"/>
        </w:rPr>
        <w:t>–</w:t>
      </w:r>
      <w:r>
        <w:rPr>
          <w:spacing w:val="-34"/>
          <w:w w:val="105"/>
        </w:rPr>
        <w:t> </w:t>
      </w:r>
      <w:r>
        <w:rPr/>
        <w:t>Greater</w:t>
      </w:r>
      <w:r>
        <w:rPr>
          <w:spacing w:val="-31"/>
        </w:rPr>
        <w:t> </w:t>
      </w:r>
      <w:r>
        <w:rPr/>
        <w:t>Noida</w:t>
      </w:r>
      <w:r>
        <w:rPr>
          <w:spacing w:val="-32"/>
        </w:rPr>
        <w:t> </w:t>
      </w:r>
      <w:r>
        <w:rPr/>
        <w:t>Expressway</w:t>
      </w:r>
      <w:r>
        <w:rPr>
          <w:spacing w:val="-30"/>
        </w:rPr>
        <w:t> </w:t>
      </w:r>
      <w:r>
        <w:rPr/>
        <w:t>can</w:t>
      </w:r>
      <w:r>
        <w:rPr>
          <w:spacing w:val="-31"/>
        </w:rPr>
        <w:t> </w:t>
      </w:r>
      <w:r>
        <w:rPr/>
        <w:t>be</w:t>
      </w:r>
      <w:r>
        <w:rPr>
          <w:spacing w:val="-31"/>
        </w:rPr>
        <w:t> </w:t>
      </w:r>
      <w:r>
        <w:rPr/>
        <w:t>divided</w:t>
      </w:r>
      <w:r>
        <w:rPr>
          <w:spacing w:val="-31"/>
        </w:rPr>
        <w:t> </w:t>
      </w:r>
      <w:r>
        <w:rPr/>
        <w:t>into</w:t>
      </w:r>
      <w:r>
        <w:rPr>
          <w:spacing w:val="-31"/>
        </w:rPr>
        <w:t> </w:t>
      </w:r>
      <w:r>
        <w:rPr/>
        <w:t>two</w:t>
      </w:r>
      <w:r>
        <w:rPr>
          <w:spacing w:val="-32"/>
        </w:rPr>
        <w:t> </w:t>
      </w:r>
      <w:r>
        <w:rPr/>
        <w:t>blocks viz.</w:t>
      </w:r>
      <w:r>
        <w:rPr>
          <w:spacing w:val="-21"/>
        </w:rPr>
        <w:t> </w:t>
      </w:r>
      <w:r>
        <w:rPr/>
        <w:t>Sectors</w:t>
      </w:r>
      <w:r>
        <w:rPr>
          <w:spacing w:val="-19"/>
        </w:rPr>
        <w:t> </w:t>
      </w:r>
      <w:r>
        <w:rPr/>
        <w:t>125</w:t>
      </w:r>
      <w:r>
        <w:rPr>
          <w:spacing w:val="-22"/>
        </w:rPr>
        <w:t> </w:t>
      </w:r>
      <w:r>
        <w:rPr>
          <w:w w:val="105"/>
        </w:rPr>
        <w:t>–</w:t>
      </w:r>
      <w:r>
        <w:rPr>
          <w:spacing w:val="-23"/>
          <w:w w:val="105"/>
        </w:rPr>
        <w:t> </w:t>
      </w:r>
      <w:r>
        <w:rPr/>
        <w:t>127</w:t>
      </w:r>
      <w:r>
        <w:rPr>
          <w:spacing w:val="-21"/>
        </w:rPr>
        <w:t> </w:t>
      </w:r>
      <w:r>
        <w:rPr/>
        <w:t>forming</w:t>
      </w:r>
      <w:r>
        <w:rPr>
          <w:spacing w:val="-20"/>
        </w:rPr>
        <w:t> </w:t>
      </w:r>
      <w:r>
        <w:rPr/>
        <w:t>the</w:t>
      </w:r>
      <w:r>
        <w:rPr>
          <w:spacing w:val="-20"/>
        </w:rPr>
        <w:t> </w:t>
      </w:r>
      <w:r>
        <w:rPr/>
        <w:t>first</w:t>
      </w:r>
      <w:r>
        <w:rPr>
          <w:spacing w:val="-22"/>
        </w:rPr>
        <w:t> </w:t>
      </w:r>
      <w:r>
        <w:rPr/>
        <w:t>block</w:t>
      </w:r>
      <w:r>
        <w:rPr>
          <w:spacing w:val="-21"/>
        </w:rPr>
        <w:t> </w:t>
      </w:r>
      <w:r>
        <w:rPr/>
        <w:t>which</w:t>
      </w:r>
      <w:r>
        <w:rPr>
          <w:spacing w:val="-21"/>
        </w:rPr>
        <w:t> </w:t>
      </w:r>
      <w:r>
        <w:rPr/>
        <w:t>are</w:t>
      </w:r>
      <w:r>
        <w:rPr>
          <w:spacing w:val="-21"/>
        </w:rPr>
        <w:t> </w:t>
      </w:r>
      <w:r>
        <w:rPr/>
        <w:t>located</w:t>
      </w:r>
      <w:r>
        <w:rPr>
          <w:spacing w:val="-20"/>
        </w:rPr>
        <w:t> </w:t>
      </w:r>
      <w:r>
        <w:rPr/>
        <w:t>in</w:t>
      </w:r>
      <w:r>
        <w:rPr>
          <w:spacing w:val="-21"/>
        </w:rPr>
        <w:t> </w:t>
      </w:r>
      <w:r>
        <w:rPr/>
        <w:t>proximity</w:t>
      </w:r>
      <w:r>
        <w:rPr>
          <w:spacing w:val="-19"/>
        </w:rPr>
        <w:t> </w:t>
      </w:r>
      <w:r>
        <w:rPr/>
        <w:t>to</w:t>
      </w:r>
      <w:r>
        <w:rPr>
          <w:spacing w:val="-20"/>
        </w:rPr>
        <w:t> </w:t>
      </w:r>
      <w:r>
        <w:rPr/>
        <w:t>Delhi</w:t>
      </w:r>
      <w:r>
        <w:rPr>
          <w:spacing w:val="-21"/>
        </w:rPr>
        <w:t> </w:t>
      </w:r>
      <w:r>
        <w:rPr/>
        <w:t>and</w:t>
      </w:r>
      <w:r>
        <w:rPr>
          <w:spacing w:val="-21"/>
        </w:rPr>
        <w:t> </w:t>
      </w:r>
      <w:r>
        <w:rPr/>
        <w:t>predominantly comprise</w:t>
      </w:r>
      <w:r>
        <w:rPr>
          <w:spacing w:val="-26"/>
        </w:rPr>
        <w:t> </w:t>
      </w:r>
      <w:r>
        <w:rPr/>
        <w:t>of</w:t>
      </w:r>
      <w:r>
        <w:rPr>
          <w:spacing w:val="-26"/>
        </w:rPr>
        <w:t> </w:t>
      </w:r>
      <w:r>
        <w:rPr/>
        <w:t>IT/ITeS</w:t>
      </w:r>
      <w:r>
        <w:rPr>
          <w:spacing w:val="-26"/>
        </w:rPr>
        <w:t> </w:t>
      </w:r>
      <w:r>
        <w:rPr/>
        <w:t>developments.</w:t>
      </w:r>
      <w:r>
        <w:rPr>
          <w:spacing w:val="-25"/>
        </w:rPr>
        <w:t> </w:t>
      </w:r>
      <w:r>
        <w:rPr/>
        <w:t>Majority</w:t>
      </w:r>
      <w:r>
        <w:rPr>
          <w:spacing w:val="-26"/>
        </w:rPr>
        <w:t> </w:t>
      </w:r>
      <w:r>
        <w:rPr/>
        <w:t>of</w:t>
      </w:r>
      <w:r>
        <w:rPr>
          <w:spacing w:val="-25"/>
        </w:rPr>
        <w:t> </w:t>
      </w:r>
      <w:r>
        <w:rPr/>
        <w:t>the</w:t>
      </w:r>
      <w:r>
        <w:rPr>
          <w:spacing w:val="-28"/>
        </w:rPr>
        <w:t> </w:t>
      </w:r>
      <w:r>
        <w:rPr/>
        <w:t>developments</w:t>
      </w:r>
      <w:r>
        <w:rPr>
          <w:spacing w:val="-25"/>
        </w:rPr>
        <w:t> </w:t>
      </w:r>
      <w:r>
        <w:rPr/>
        <w:t>along</w:t>
      </w:r>
      <w:r>
        <w:rPr>
          <w:spacing w:val="-25"/>
        </w:rPr>
        <w:t> </w:t>
      </w:r>
      <w:r>
        <w:rPr/>
        <w:t>this</w:t>
      </w:r>
      <w:r>
        <w:rPr>
          <w:spacing w:val="-27"/>
        </w:rPr>
        <w:t> </w:t>
      </w:r>
      <w:r>
        <w:rPr/>
        <w:t>stretch</w:t>
      </w:r>
      <w:r>
        <w:rPr>
          <w:spacing w:val="-26"/>
        </w:rPr>
        <w:t> </w:t>
      </w:r>
      <w:r>
        <w:rPr/>
        <w:t>are</w:t>
      </w:r>
      <w:r>
        <w:rPr>
          <w:spacing w:val="-26"/>
        </w:rPr>
        <w:t> </w:t>
      </w:r>
      <w:r>
        <w:rPr/>
        <w:t>completed.</w:t>
      </w:r>
      <w:r>
        <w:rPr>
          <w:spacing w:val="-25"/>
        </w:rPr>
        <w:t> </w:t>
      </w:r>
      <w:r>
        <w:rPr/>
        <w:t>The prominent</w:t>
      </w:r>
      <w:r>
        <w:rPr>
          <w:spacing w:val="-28"/>
        </w:rPr>
        <w:t> </w:t>
      </w:r>
      <w:r>
        <w:rPr/>
        <w:t>buildings</w:t>
      </w:r>
      <w:r>
        <w:rPr>
          <w:spacing w:val="-27"/>
        </w:rPr>
        <w:t> </w:t>
      </w:r>
      <w:r>
        <w:rPr/>
        <w:t>in</w:t>
      </w:r>
      <w:r>
        <w:rPr>
          <w:spacing w:val="-29"/>
        </w:rPr>
        <w:t> </w:t>
      </w:r>
      <w:r>
        <w:rPr/>
        <w:t>this</w:t>
      </w:r>
      <w:r>
        <w:rPr>
          <w:spacing w:val="-26"/>
        </w:rPr>
        <w:t> </w:t>
      </w:r>
      <w:r>
        <w:rPr/>
        <w:t>block</w:t>
      </w:r>
      <w:r>
        <w:rPr>
          <w:spacing w:val="-29"/>
        </w:rPr>
        <w:t> </w:t>
      </w:r>
      <w:r>
        <w:rPr/>
        <w:t>are</w:t>
      </w:r>
      <w:r>
        <w:rPr>
          <w:spacing w:val="-28"/>
        </w:rPr>
        <w:t> </w:t>
      </w:r>
      <w:r>
        <w:rPr/>
        <w:t>Logix</w:t>
      </w:r>
      <w:r>
        <w:rPr>
          <w:spacing w:val="-27"/>
        </w:rPr>
        <w:t> </w:t>
      </w:r>
      <w:r>
        <w:rPr/>
        <w:t>Technology</w:t>
      </w:r>
      <w:r>
        <w:rPr>
          <w:spacing w:val="-27"/>
        </w:rPr>
        <w:t> </w:t>
      </w:r>
      <w:r>
        <w:rPr/>
        <w:t>Park,</w:t>
      </w:r>
      <w:r>
        <w:rPr>
          <w:spacing w:val="-28"/>
        </w:rPr>
        <w:t> </w:t>
      </w:r>
      <w:r>
        <w:rPr/>
        <w:t>Tech</w:t>
      </w:r>
      <w:r>
        <w:rPr>
          <w:spacing w:val="-28"/>
        </w:rPr>
        <w:t> </w:t>
      </w:r>
      <w:r>
        <w:rPr/>
        <w:t>Boulevard,</w:t>
      </w:r>
      <w:r>
        <w:rPr>
          <w:spacing w:val="-29"/>
        </w:rPr>
        <w:t> </w:t>
      </w:r>
      <w:r>
        <w:rPr/>
        <w:t>Windsor</w:t>
      </w:r>
      <w:r>
        <w:rPr>
          <w:spacing w:val="-24"/>
        </w:rPr>
        <w:t> </w:t>
      </w:r>
      <w:r>
        <w:rPr/>
        <w:t>IT</w:t>
      </w:r>
      <w:r>
        <w:rPr>
          <w:spacing w:val="-27"/>
        </w:rPr>
        <w:t> </w:t>
      </w:r>
      <w:r>
        <w:rPr/>
        <w:t>Park,</w:t>
      </w:r>
      <w:r>
        <w:rPr>
          <w:spacing w:val="-28"/>
        </w:rPr>
        <w:t> </w:t>
      </w:r>
      <w:r>
        <w:rPr/>
        <w:t>8</w:t>
      </w:r>
      <w:r>
        <w:rPr>
          <w:spacing w:val="-28"/>
        </w:rPr>
        <w:t> </w:t>
      </w:r>
      <w:r>
        <w:rPr/>
        <w:t>Square, Tapasya,</w:t>
      </w:r>
      <w:r>
        <w:rPr>
          <w:spacing w:val="-3"/>
        </w:rPr>
        <w:t> </w:t>
      </w:r>
      <w:r>
        <w:rPr/>
        <w:t>etc.</w:t>
      </w:r>
    </w:p>
    <w:p>
      <w:pPr>
        <w:pStyle w:val="BodyText"/>
        <w:spacing w:before="10"/>
        <w:rPr>
          <w:sz w:val="20"/>
        </w:rPr>
      </w:pPr>
    </w:p>
    <w:p>
      <w:pPr>
        <w:pStyle w:val="BodyText"/>
        <w:spacing w:line="321" w:lineRule="auto" w:before="1"/>
        <w:ind w:left="680" w:right="114"/>
        <w:jc w:val="both"/>
      </w:pPr>
      <w:r>
        <w:rPr/>
        <w:t>The second block comprises of sectors located towards Greater Noida along the expressway, such as sectors</w:t>
      </w:r>
      <w:r>
        <w:rPr>
          <w:spacing w:val="-18"/>
        </w:rPr>
        <w:t> </w:t>
      </w:r>
      <w:r>
        <w:rPr/>
        <w:t>132,</w:t>
      </w:r>
      <w:r>
        <w:rPr>
          <w:spacing w:val="-18"/>
        </w:rPr>
        <w:t> </w:t>
      </w:r>
      <w:r>
        <w:rPr/>
        <w:t>135,</w:t>
      </w:r>
      <w:r>
        <w:rPr>
          <w:spacing w:val="-18"/>
        </w:rPr>
        <w:t> </w:t>
      </w:r>
      <w:r>
        <w:rPr/>
        <w:t>142,</w:t>
      </w:r>
      <w:r>
        <w:rPr>
          <w:spacing w:val="-18"/>
        </w:rPr>
        <w:t> </w:t>
      </w:r>
      <w:r>
        <w:rPr/>
        <w:t>144,</w:t>
      </w:r>
      <w:r>
        <w:rPr>
          <w:spacing w:val="-18"/>
        </w:rPr>
        <w:t> </w:t>
      </w:r>
      <w:r>
        <w:rPr/>
        <w:t>etc.</w:t>
      </w:r>
      <w:r>
        <w:rPr>
          <w:spacing w:val="-18"/>
        </w:rPr>
        <w:t> </w:t>
      </w:r>
      <w:r>
        <w:rPr/>
        <w:t>which</w:t>
      </w:r>
      <w:r>
        <w:rPr>
          <w:spacing w:val="-19"/>
        </w:rPr>
        <w:t> </w:t>
      </w:r>
      <w:r>
        <w:rPr/>
        <w:t>has</w:t>
      </w:r>
      <w:r>
        <w:rPr>
          <w:spacing w:val="-17"/>
        </w:rPr>
        <w:t> </w:t>
      </w:r>
      <w:r>
        <w:rPr/>
        <w:t>notified</w:t>
      </w:r>
      <w:r>
        <w:rPr>
          <w:spacing w:val="-18"/>
        </w:rPr>
        <w:t> </w:t>
      </w:r>
      <w:r>
        <w:rPr/>
        <w:t>SEZs</w:t>
      </w:r>
      <w:r>
        <w:rPr>
          <w:spacing w:val="-17"/>
        </w:rPr>
        <w:t> </w:t>
      </w:r>
      <w:r>
        <w:rPr/>
        <w:t>as</w:t>
      </w:r>
      <w:r>
        <w:rPr>
          <w:spacing w:val="-19"/>
        </w:rPr>
        <w:t> </w:t>
      </w:r>
      <w:r>
        <w:rPr/>
        <w:t>well</w:t>
      </w:r>
      <w:r>
        <w:rPr>
          <w:spacing w:val="-18"/>
        </w:rPr>
        <w:t> </w:t>
      </w:r>
      <w:r>
        <w:rPr/>
        <w:t>as</w:t>
      </w:r>
      <w:r>
        <w:rPr>
          <w:spacing w:val="-18"/>
        </w:rPr>
        <w:t> </w:t>
      </w:r>
      <w:r>
        <w:rPr/>
        <w:t>IT</w:t>
      </w:r>
      <w:r>
        <w:rPr>
          <w:spacing w:val="-17"/>
        </w:rPr>
        <w:t> </w:t>
      </w:r>
      <w:r>
        <w:rPr/>
        <w:t>parks.</w:t>
      </w:r>
      <w:r>
        <w:rPr>
          <w:spacing w:val="-18"/>
        </w:rPr>
        <w:t> </w:t>
      </w:r>
      <w:r>
        <w:rPr/>
        <w:t>The</w:t>
      </w:r>
      <w:r>
        <w:rPr>
          <w:spacing w:val="-19"/>
        </w:rPr>
        <w:t> </w:t>
      </w:r>
      <w:r>
        <w:rPr/>
        <w:t>subject</w:t>
      </w:r>
      <w:r>
        <w:rPr>
          <w:spacing w:val="-18"/>
        </w:rPr>
        <w:t> </w:t>
      </w:r>
      <w:r>
        <w:rPr/>
        <w:t>property</w:t>
      </w:r>
      <w:r>
        <w:rPr>
          <w:spacing w:val="-19"/>
        </w:rPr>
        <w:t> </w:t>
      </w:r>
      <w:r>
        <w:rPr/>
        <w:t>forms a</w:t>
      </w:r>
      <w:r>
        <w:rPr>
          <w:spacing w:val="-26"/>
        </w:rPr>
        <w:t> </w:t>
      </w:r>
      <w:r>
        <w:rPr/>
        <w:t>part</w:t>
      </w:r>
      <w:r>
        <w:rPr>
          <w:spacing w:val="-25"/>
        </w:rPr>
        <w:t> </w:t>
      </w:r>
      <w:r>
        <w:rPr/>
        <w:t>of</w:t>
      </w:r>
      <w:r>
        <w:rPr>
          <w:spacing w:val="-24"/>
        </w:rPr>
        <w:t> </w:t>
      </w:r>
      <w:r>
        <w:rPr/>
        <w:t>this</w:t>
      </w:r>
      <w:r>
        <w:rPr>
          <w:spacing w:val="-26"/>
        </w:rPr>
        <w:t> </w:t>
      </w:r>
      <w:r>
        <w:rPr/>
        <w:t>block.</w:t>
      </w:r>
      <w:r>
        <w:rPr>
          <w:spacing w:val="-25"/>
        </w:rPr>
        <w:t> </w:t>
      </w:r>
      <w:r>
        <w:rPr/>
        <w:t>The</w:t>
      </w:r>
      <w:r>
        <w:rPr>
          <w:spacing w:val="-26"/>
        </w:rPr>
        <w:t> </w:t>
      </w:r>
      <w:r>
        <w:rPr/>
        <w:t>developments</w:t>
      </w:r>
      <w:r>
        <w:rPr>
          <w:spacing w:val="-25"/>
        </w:rPr>
        <w:t> </w:t>
      </w:r>
      <w:r>
        <w:rPr/>
        <w:t>in</w:t>
      </w:r>
      <w:r>
        <w:rPr>
          <w:spacing w:val="-26"/>
        </w:rPr>
        <w:t> </w:t>
      </w:r>
      <w:r>
        <w:rPr/>
        <w:t>this</w:t>
      </w:r>
      <w:r>
        <w:rPr>
          <w:spacing w:val="-24"/>
        </w:rPr>
        <w:t> </w:t>
      </w:r>
      <w:r>
        <w:rPr/>
        <w:t>block</w:t>
      </w:r>
      <w:r>
        <w:rPr>
          <w:spacing w:val="-22"/>
        </w:rPr>
        <w:t> </w:t>
      </w:r>
      <w:r>
        <w:rPr/>
        <w:t>are</w:t>
      </w:r>
      <w:r>
        <w:rPr>
          <w:spacing w:val="-26"/>
        </w:rPr>
        <w:t> </w:t>
      </w:r>
      <w:r>
        <w:rPr/>
        <w:t>in</w:t>
      </w:r>
      <w:r>
        <w:rPr>
          <w:spacing w:val="-26"/>
        </w:rPr>
        <w:t> </w:t>
      </w:r>
      <w:r>
        <w:rPr/>
        <w:t>different</w:t>
      </w:r>
      <w:r>
        <w:rPr>
          <w:spacing w:val="-25"/>
        </w:rPr>
        <w:t> </w:t>
      </w:r>
      <w:r>
        <w:rPr/>
        <w:t>stages</w:t>
      </w:r>
      <w:r>
        <w:rPr>
          <w:spacing w:val="-24"/>
        </w:rPr>
        <w:t> </w:t>
      </w:r>
      <w:r>
        <w:rPr/>
        <w:t>of</w:t>
      </w:r>
      <w:r>
        <w:rPr>
          <w:spacing w:val="-25"/>
        </w:rPr>
        <w:t> </w:t>
      </w:r>
      <w:r>
        <w:rPr/>
        <w:t>planning</w:t>
      </w:r>
      <w:r>
        <w:rPr>
          <w:spacing w:val="-25"/>
        </w:rPr>
        <w:t> </w:t>
      </w:r>
      <w:r>
        <w:rPr/>
        <w:t>and</w:t>
      </w:r>
      <w:r>
        <w:rPr>
          <w:spacing w:val="-24"/>
        </w:rPr>
        <w:t> </w:t>
      </w:r>
      <w:r>
        <w:rPr/>
        <w:t>construction. This</w:t>
      </w:r>
      <w:r>
        <w:rPr>
          <w:spacing w:val="-21"/>
        </w:rPr>
        <w:t> </w:t>
      </w:r>
      <w:r>
        <w:rPr/>
        <w:t>region</w:t>
      </w:r>
      <w:r>
        <w:rPr>
          <w:spacing w:val="-23"/>
        </w:rPr>
        <w:t> </w:t>
      </w:r>
      <w:r>
        <w:rPr/>
        <w:t>is</w:t>
      </w:r>
      <w:r>
        <w:rPr>
          <w:spacing w:val="-21"/>
        </w:rPr>
        <w:t> </w:t>
      </w:r>
      <w:r>
        <w:rPr/>
        <w:t>emerging</w:t>
      </w:r>
      <w:r>
        <w:rPr>
          <w:spacing w:val="-21"/>
        </w:rPr>
        <w:t> </w:t>
      </w:r>
      <w:r>
        <w:rPr/>
        <w:t>as</w:t>
      </w:r>
      <w:r>
        <w:rPr>
          <w:spacing w:val="-21"/>
        </w:rPr>
        <w:t> </w:t>
      </w:r>
      <w:r>
        <w:rPr/>
        <w:t>an</w:t>
      </w:r>
      <w:r>
        <w:rPr>
          <w:spacing w:val="-22"/>
        </w:rPr>
        <w:t> </w:t>
      </w:r>
      <w:r>
        <w:rPr/>
        <w:t>important</w:t>
      </w:r>
      <w:r>
        <w:rPr>
          <w:spacing w:val="-22"/>
        </w:rPr>
        <w:t> </w:t>
      </w:r>
      <w:r>
        <w:rPr/>
        <w:t>commercial</w:t>
      </w:r>
      <w:r>
        <w:rPr>
          <w:spacing w:val="-22"/>
        </w:rPr>
        <w:t> </w:t>
      </w:r>
      <w:r>
        <w:rPr/>
        <w:t>hub</w:t>
      </w:r>
      <w:r>
        <w:rPr>
          <w:spacing w:val="-22"/>
        </w:rPr>
        <w:t> </w:t>
      </w:r>
      <w:r>
        <w:rPr/>
        <w:t>owing</w:t>
      </w:r>
      <w:r>
        <w:rPr>
          <w:spacing w:val="-21"/>
        </w:rPr>
        <w:t> </w:t>
      </w:r>
      <w:r>
        <w:rPr/>
        <w:t>to</w:t>
      </w:r>
      <w:r>
        <w:rPr>
          <w:spacing w:val="-22"/>
        </w:rPr>
        <w:t> </w:t>
      </w:r>
      <w:r>
        <w:rPr/>
        <w:t>the</w:t>
      </w:r>
      <w:r>
        <w:rPr>
          <w:spacing w:val="-23"/>
        </w:rPr>
        <w:t> </w:t>
      </w:r>
      <w:r>
        <w:rPr/>
        <w:t>spillover</w:t>
      </w:r>
      <w:r>
        <w:rPr>
          <w:spacing w:val="-22"/>
        </w:rPr>
        <w:t> </w:t>
      </w:r>
      <w:r>
        <w:rPr/>
        <w:t>of</w:t>
      </w:r>
      <w:r>
        <w:rPr>
          <w:spacing w:val="-21"/>
        </w:rPr>
        <w:t> </w:t>
      </w:r>
      <w:r>
        <w:rPr/>
        <w:t>demand</w:t>
      </w:r>
      <w:r>
        <w:rPr>
          <w:spacing w:val="-22"/>
        </w:rPr>
        <w:t> </w:t>
      </w:r>
      <w:r>
        <w:rPr/>
        <w:t>from</w:t>
      </w:r>
      <w:r>
        <w:rPr>
          <w:spacing w:val="-22"/>
        </w:rPr>
        <w:t> </w:t>
      </w:r>
      <w:r>
        <w:rPr/>
        <w:t>the</w:t>
      </w:r>
      <w:r>
        <w:rPr>
          <w:spacing w:val="-23"/>
        </w:rPr>
        <w:t> </w:t>
      </w:r>
      <w:r>
        <w:rPr/>
        <w:t>first block</w:t>
      </w:r>
      <w:r>
        <w:rPr>
          <w:spacing w:val="-13"/>
        </w:rPr>
        <w:t> </w:t>
      </w:r>
      <w:r>
        <w:rPr/>
        <w:t>which</w:t>
      </w:r>
      <w:r>
        <w:rPr>
          <w:spacing w:val="-12"/>
        </w:rPr>
        <w:t> </w:t>
      </w:r>
      <w:r>
        <w:rPr/>
        <w:t>has</w:t>
      </w:r>
      <w:r>
        <w:rPr>
          <w:spacing w:val="-12"/>
        </w:rPr>
        <w:t> </w:t>
      </w:r>
      <w:r>
        <w:rPr/>
        <w:t>limited</w:t>
      </w:r>
      <w:r>
        <w:rPr>
          <w:spacing w:val="-12"/>
        </w:rPr>
        <w:t> </w:t>
      </w:r>
      <w:r>
        <w:rPr/>
        <w:t>availability</w:t>
      </w:r>
      <w:r>
        <w:rPr>
          <w:spacing w:val="-11"/>
        </w:rPr>
        <w:t> </w:t>
      </w:r>
      <w:r>
        <w:rPr/>
        <w:t>of</w:t>
      </w:r>
      <w:r>
        <w:rPr>
          <w:spacing w:val="-11"/>
        </w:rPr>
        <w:t> </w:t>
      </w:r>
      <w:r>
        <w:rPr/>
        <w:t>large</w:t>
      </w:r>
      <w:r>
        <w:rPr>
          <w:spacing w:val="-14"/>
        </w:rPr>
        <w:t> </w:t>
      </w:r>
      <w:r>
        <w:rPr/>
        <w:t>sized</w:t>
      </w:r>
      <w:r>
        <w:rPr>
          <w:spacing w:val="-12"/>
        </w:rPr>
        <w:t> </w:t>
      </w:r>
      <w:r>
        <w:rPr/>
        <w:t>land</w:t>
      </w:r>
      <w:r>
        <w:rPr>
          <w:spacing w:val="-13"/>
        </w:rPr>
        <w:t> </w:t>
      </w:r>
      <w:r>
        <w:rPr/>
        <w:t>parcels.</w:t>
      </w:r>
      <w:r>
        <w:rPr>
          <w:spacing w:val="-12"/>
        </w:rPr>
        <w:t> </w:t>
      </w:r>
      <w:r>
        <w:rPr/>
        <w:t>This</w:t>
      </w:r>
      <w:r>
        <w:rPr>
          <w:spacing w:val="-11"/>
        </w:rPr>
        <w:t> </w:t>
      </w:r>
      <w:r>
        <w:rPr/>
        <w:t>region</w:t>
      </w:r>
      <w:r>
        <w:rPr>
          <w:spacing w:val="-12"/>
        </w:rPr>
        <w:t> </w:t>
      </w:r>
      <w:r>
        <w:rPr/>
        <w:t>is</w:t>
      </w:r>
      <w:r>
        <w:rPr>
          <w:spacing w:val="-13"/>
        </w:rPr>
        <w:t> </w:t>
      </w:r>
      <w:r>
        <w:rPr/>
        <w:t>perceived</w:t>
      </w:r>
      <w:r>
        <w:rPr>
          <w:spacing w:val="-11"/>
        </w:rPr>
        <w:t> </w:t>
      </w:r>
      <w:r>
        <w:rPr/>
        <w:t>as</w:t>
      </w:r>
      <w:r>
        <w:rPr>
          <w:spacing w:val="-12"/>
        </w:rPr>
        <w:t> </w:t>
      </w:r>
      <w:r>
        <w:rPr/>
        <w:t>a</w:t>
      </w:r>
      <w:r>
        <w:rPr>
          <w:spacing w:val="-6"/>
        </w:rPr>
        <w:t> </w:t>
      </w:r>
      <w:r>
        <w:rPr/>
        <w:t>preferred destination for technology companies seeking expansion, consolidation or entry strategies in Noida </w:t>
      </w:r>
      <w:r>
        <w:rPr>
          <w:w w:val="95"/>
        </w:rPr>
        <w:t>owing to established infrastructure, excellent connectivity, availability of large consolidated spaces, etc. </w:t>
      </w:r>
      <w:r>
        <w:rPr/>
        <w:t>Some</w:t>
      </w:r>
      <w:r>
        <w:rPr>
          <w:spacing w:val="-20"/>
        </w:rPr>
        <w:t> </w:t>
      </w:r>
      <w:r>
        <w:rPr/>
        <w:t>of</w:t>
      </w:r>
      <w:r>
        <w:rPr>
          <w:spacing w:val="-19"/>
        </w:rPr>
        <w:t> </w:t>
      </w:r>
      <w:r>
        <w:rPr/>
        <w:t>the</w:t>
      </w:r>
      <w:r>
        <w:rPr>
          <w:spacing w:val="-20"/>
        </w:rPr>
        <w:t> </w:t>
      </w:r>
      <w:r>
        <w:rPr/>
        <w:t>prominent</w:t>
      </w:r>
      <w:r>
        <w:rPr>
          <w:spacing w:val="-20"/>
        </w:rPr>
        <w:t> </w:t>
      </w:r>
      <w:r>
        <w:rPr/>
        <w:t>commercial</w:t>
      </w:r>
      <w:r>
        <w:rPr>
          <w:spacing w:val="-20"/>
        </w:rPr>
        <w:t> </w:t>
      </w:r>
      <w:r>
        <w:rPr/>
        <w:t>developments</w:t>
      </w:r>
      <w:r>
        <w:rPr>
          <w:spacing w:val="-20"/>
        </w:rPr>
        <w:t> </w:t>
      </w:r>
      <w:r>
        <w:rPr/>
        <w:t>in</w:t>
      </w:r>
      <w:r>
        <w:rPr>
          <w:spacing w:val="-21"/>
        </w:rPr>
        <w:t> </w:t>
      </w:r>
      <w:r>
        <w:rPr/>
        <w:t>the</w:t>
      </w:r>
      <w:r>
        <w:rPr>
          <w:spacing w:val="-19"/>
        </w:rPr>
        <w:t> </w:t>
      </w:r>
      <w:r>
        <w:rPr/>
        <w:t>sub-market</w:t>
      </w:r>
      <w:r>
        <w:rPr>
          <w:spacing w:val="-19"/>
        </w:rPr>
        <w:t> </w:t>
      </w:r>
      <w:r>
        <w:rPr/>
        <w:t>are</w:t>
      </w:r>
      <w:r>
        <w:rPr>
          <w:spacing w:val="-20"/>
        </w:rPr>
        <w:t> </w:t>
      </w:r>
      <w:r>
        <w:rPr/>
        <w:t>Embassy</w:t>
      </w:r>
      <w:r>
        <w:rPr>
          <w:spacing w:val="-18"/>
        </w:rPr>
        <w:t> </w:t>
      </w:r>
      <w:r>
        <w:rPr/>
        <w:t>Oxygen</w:t>
      </w:r>
      <w:r>
        <w:rPr>
          <w:spacing w:val="-21"/>
        </w:rPr>
        <w:t> </w:t>
      </w:r>
      <w:r>
        <w:rPr/>
        <w:t>(‘the</w:t>
      </w:r>
      <w:r>
        <w:rPr>
          <w:spacing w:val="-21"/>
        </w:rPr>
        <w:t> </w:t>
      </w:r>
      <w:r>
        <w:rPr/>
        <w:t>subject property’), Candor TechSpace, Assotech Business Cresterra, Advant Navis Business Park, Stellar 135, Express Trade Towers 2,</w:t>
      </w:r>
      <w:r>
        <w:rPr>
          <w:spacing w:val="-17"/>
        </w:rPr>
        <w:t> </w:t>
      </w:r>
      <w:r>
        <w:rPr/>
        <w:t>etc.</w:t>
      </w:r>
    </w:p>
    <w:p>
      <w:pPr>
        <w:pStyle w:val="BodyText"/>
        <w:rPr>
          <w:sz w:val="21"/>
        </w:rPr>
      </w:pPr>
    </w:p>
    <w:p>
      <w:pPr>
        <w:pStyle w:val="BodyText"/>
        <w:spacing w:line="321" w:lineRule="auto" w:before="1"/>
        <w:ind w:left="680" w:right="114"/>
        <w:jc w:val="both"/>
      </w:pPr>
      <w:r>
        <w:rPr/>
        <w:t>Further,</w:t>
      </w:r>
      <w:r>
        <w:rPr>
          <w:spacing w:val="-33"/>
        </w:rPr>
        <w:t> </w:t>
      </w:r>
      <w:r>
        <w:rPr/>
        <w:t>the</w:t>
      </w:r>
      <w:r>
        <w:rPr>
          <w:spacing w:val="-32"/>
        </w:rPr>
        <w:t> </w:t>
      </w:r>
      <w:r>
        <w:rPr/>
        <w:t>commercial</w:t>
      </w:r>
      <w:r>
        <w:rPr>
          <w:spacing w:val="-31"/>
        </w:rPr>
        <w:t> </w:t>
      </w:r>
      <w:r>
        <w:rPr/>
        <w:t>developments</w:t>
      </w:r>
      <w:r>
        <w:rPr>
          <w:spacing w:val="-32"/>
        </w:rPr>
        <w:t> </w:t>
      </w:r>
      <w:r>
        <w:rPr/>
        <w:t>in</w:t>
      </w:r>
      <w:r>
        <w:rPr>
          <w:spacing w:val="-33"/>
        </w:rPr>
        <w:t> </w:t>
      </w:r>
      <w:r>
        <w:rPr/>
        <w:t>this</w:t>
      </w:r>
      <w:r>
        <w:rPr>
          <w:spacing w:val="-32"/>
        </w:rPr>
        <w:t> </w:t>
      </w:r>
      <w:r>
        <w:rPr/>
        <w:t>vector</w:t>
      </w:r>
      <w:r>
        <w:rPr>
          <w:spacing w:val="-32"/>
        </w:rPr>
        <w:t> </w:t>
      </w:r>
      <w:r>
        <w:rPr/>
        <w:t>are</w:t>
      </w:r>
      <w:r>
        <w:rPr>
          <w:spacing w:val="-31"/>
        </w:rPr>
        <w:t> </w:t>
      </w:r>
      <w:r>
        <w:rPr/>
        <w:t>supported</w:t>
      </w:r>
      <w:r>
        <w:rPr>
          <w:spacing w:val="-32"/>
        </w:rPr>
        <w:t> </w:t>
      </w:r>
      <w:r>
        <w:rPr/>
        <w:t>by</w:t>
      </w:r>
      <w:r>
        <w:rPr>
          <w:spacing w:val="-30"/>
        </w:rPr>
        <w:t> </w:t>
      </w:r>
      <w:r>
        <w:rPr/>
        <w:t>various</w:t>
      </w:r>
      <w:r>
        <w:rPr>
          <w:spacing w:val="-32"/>
        </w:rPr>
        <w:t> </w:t>
      </w:r>
      <w:r>
        <w:rPr/>
        <w:t>residential</w:t>
      </w:r>
      <w:r>
        <w:rPr>
          <w:spacing w:val="-33"/>
        </w:rPr>
        <w:t> </w:t>
      </w:r>
      <w:r>
        <w:rPr/>
        <w:t>developments </w:t>
      </w:r>
      <w:r>
        <w:rPr>
          <w:w w:val="95"/>
        </w:rPr>
        <w:t>across</w:t>
      </w:r>
      <w:r>
        <w:rPr>
          <w:spacing w:val="-16"/>
          <w:w w:val="95"/>
        </w:rPr>
        <w:t> </w:t>
      </w:r>
      <w:r>
        <w:rPr>
          <w:w w:val="95"/>
        </w:rPr>
        <w:t>different</w:t>
      </w:r>
      <w:r>
        <w:rPr>
          <w:spacing w:val="-17"/>
          <w:w w:val="95"/>
        </w:rPr>
        <w:t> </w:t>
      </w:r>
      <w:r>
        <w:rPr>
          <w:w w:val="95"/>
        </w:rPr>
        <w:t>segments</w:t>
      </w:r>
      <w:r>
        <w:rPr>
          <w:spacing w:val="-13"/>
          <w:w w:val="95"/>
        </w:rPr>
        <w:t> </w:t>
      </w:r>
      <w:r>
        <w:rPr>
          <w:w w:val="95"/>
        </w:rPr>
        <w:t>and</w:t>
      </w:r>
      <w:r>
        <w:rPr>
          <w:spacing w:val="-14"/>
          <w:w w:val="95"/>
        </w:rPr>
        <w:t> </w:t>
      </w:r>
      <w:r>
        <w:rPr>
          <w:w w:val="95"/>
        </w:rPr>
        <w:t>other</w:t>
      </w:r>
      <w:r>
        <w:rPr>
          <w:spacing w:val="-14"/>
          <w:w w:val="95"/>
        </w:rPr>
        <w:t> </w:t>
      </w:r>
      <w:r>
        <w:rPr>
          <w:w w:val="95"/>
        </w:rPr>
        <w:t>social</w:t>
      </w:r>
      <w:r>
        <w:rPr>
          <w:spacing w:val="-15"/>
          <w:w w:val="95"/>
        </w:rPr>
        <w:t> </w:t>
      </w:r>
      <w:r>
        <w:rPr>
          <w:w w:val="95"/>
        </w:rPr>
        <w:t>infrastructure.</w:t>
      </w:r>
      <w:r>
        <w:rPr>
          <w:spacing w:val="-15"/>
          <w:w w:val="95"/>
        </w:rPr>
        <w:t> </w:t>
      </w:r>
      <w:r>
        <w:rPr>
          <w:w w:val="95"/>
        </w:rPr>
        <w:t>Some</w:t>
      </w:r>
      <w:r>
        <w:rPr>
          <w:spacing w:val="-15"/>
          <w:w w:val="95"/>
        </w:rPr>
        <w:t> </w:t>
      </w:r>
      <w:r>
        <w:rPr>
          <w:w w:val="95"/>
        </w:rPr>
        <w:t>of</w:t>
      </w:r>
      <w:r>
        <w:rPr>
          <w:spacing w:val="-14"/>
          <w:w w:val="95"/>
        </w:rPr>
        <w:t> </w:t>
      </w:r>
      <w:r>
        <w:rPr>
          <w:w w:val="95"/>
        </w:rPr>
        <w:t>the</w:t>
      </w:r>
      <w:r>
        <w:rPr>
          <w:spacing w:val="-17"/>
          <w:w w:val="95"/>
        </w:rPr>
        <w:t> </w:t>
      </w:r>
      <w:r>
        <w:rPr>
          <w:w w:val="95"/>
        </w:rPr>
        <w:t>prominent</w:t>
      </w:r>
      <w:r>
        <w:rPr>
          <w:spacing w:val="-13"/>
          <w:w w:val="95"/>
        </w:rPr>
        <w:t> </w:t>
      </w:r>
      <w:r>
        <w:rPr>
          <w:w w:val="95"/>
        </w:rPr>
        <w:t>residential</w:t>
      </w:r>
      <w:r>
        <w:rPr>
          <w:spacing w:val="-17"/>
          <w:w w:val="95"/>
        </w:rPr>
        <w:t> </w:t>
      </w:r>
      <w:r>
        <w:rPr>
          <w:w w:val="95"/>
        </w:rPr>
        <w:t>developments </w:t>
      </w:r>
      <w:r>
        <w:rPr/>
        <w:t>in the region are Eldeco Utopia, Paras Tiera, Logix Blossom County, Logix Zest, Omaxe Forest, Saha Amadeus,</w:t>
      </w:r>
      <w:r>
        <w:rPr>
          <w:spacing w:val="-3"/>
        </w:rPr>
        <w:t> </w:t>
      </w:r>
      <w:r>
        <w:rPr/>
        <w:t>etc.</w:t>
      </w:r>
    </w:p>
    <w:p>
      <w:pPr>
        <w:spacing w:after="0" w:line="321" w:lineRule="auto"/>
        <w:jc w:val="both"/>
        <w:sectPr>
          <w:pgSz w:w="11910" w:h="16840"/>
          <w:pgMar w:header="720" w:footer="921" w:top="1660" w:bottom="1120" w:left="580" w:right="600"/>
        </w:sectPr>
      </w:pPr>
    </w:p>
    <w:p>
      <w:pPr>
        <w:pStyle w:val="BodyText"/>
        <w:spacing w:before="7"/>
        <w:rPr>
          <w:sz w:val="9"/>
        </w:rPr>
      </w:pPr>
    </w:p>
    <w:p>
      <w:pPr>
        <w:pStyle w:val="ListParagraph"/>
        <w:numPr>
          <w:ilvl w:val="2"/>
          <w:numId w:val="14"/>
        </w:numPr>
        <w:tabs>
          <w:tab w:pos="861" w:val="left" w:leader="none"/>
        </w:tabs>
        <w:spacing w:line="240" w:lineRule="auto" w:before="106" w:after="0"/>
        <w:ind w:left="860" w:right="0" w:hanging="721"/>
        <w:jc w:val="left"/>
        <w:rPr>
          <w:sz w:val="22"/>
        </w:rPr>
      </w:pPr>
      <w:bookmarkStart w:name="_bookmark255" w:id="498"/>
      <w:bookmarkEnd w:id="498"/>
      <w:r>
        <w:rPr/>
      </w:r>
      <w:bookmarkStart w:name="_bookmark255" w:id="499"/>
      <w:bookmarkEnd w:id="499"/>
      <w:r>
        <w:rPr>
          <w:color w:val="1F664D"/>
          <w:w w:val="105"/>
          <w:sz w:val="22"/>
        </w:rPr>
        <w:t>De</w:t>
      </w:r>
      <w:r>
        <w:rPr>
          <w:color w:val="1F664D"/>
          <w:w w:val="105"/>
          <w:sz w:val="22"/>
        </w:rPr>
        <w:t>mand and Supply</w:t>
      </w:r>
      <w:r>
        <w:rPr>
          <w:color w:val="1F664D"/>
          <w:spacing w:val="-16"/>
          <w:w w:val="105"/>
          <w:sz w:val="22"/>
        </w:rPr>
        <w:t> </w:t>
      </w:r>
      <w:r>
        <w:rPr>
          <w:color w:val="1F664D"/>
          <w:w w:val="105"/>
          <w:sz w:val="22"/>
        </w:rPr>
        <w:t>Dynamics</w:t>
      </w:r>
    </w:p>
    <w:p>
      <w:pPr>
        <w:pStyle w:val="BodyText"/>
        <w:spacing w:before="6"/>
        <w:rPr>
          <w:sz w:val="25"/>
        </w:rPr>
      </w:pPr>
    </w:p>
    <w:p>
      <w:pPr>
        <w:pStyle w:val="ListParagraph"/>
        <w:numPr>
          <w:ilvl w:val="3"/>
          <w:numId w:val="66"/>
        </w:numPr>
        <w:tabs>
          <w:tab w:pos="1005" w:val="left" w:leader="none"/>
        </w:tabs>
        <w:spacing w:line="240" w:lineRule="auto" w:before="1" w:after="0"/>
        <w:ind w:left="1004" w:right="0" w:hanging="865"/>
        <w:jc w:val="left"/>
        <w:rPr>
          <w:i/>
          <w:sz w:val="20"/>
        </w:rPr>
      </w:pPr>
      <w:r>
        <w:rPr>
          <w:i/>
          <w:color w:val="008000"/>
          <w:w w:val="105"/>
          <w:sz w:val="20"/>
        </w:rPr>
        <w:t>Demand,</w:t>
      </w:r>
      <w:r>
        <w:rPr>
          <w:i/>
          <w:color w:val="008000"/>
          <w:spacing w:val="-20"/>
          <w:w w:val="105"/>
          <w:sz w:val="20"/>
        </w:rPr>
        <w:t> </w:t>
      </w:r>
      <w:r>
        <w:rPr>
          <w:i/>
          <w:color w:val="008000"/>
          <w:w w:val="105"/>
          <w:sz w:val="20"/>
        </w:rPr>
        <w:t>Supply</w:t>
      </w:r>
      <w:r>
        <w:rPr>
          <w:i/>
          <w:color w:val="008000"/>
          <w:spacing w:val="-20"/>
          <w:w w:val="105"/>
          <w:sz w:val="20"/>
        </w:rPr>
        <w:t> </w:t>
      </w:r>
      <w:r>
        <w:rPr>
          <w:i/>
          <w:color w:val="008000"/>
          <w:w w:val="105"/>
          <w:sz w:val="20"/>
        </w:rPr>
        <w:t>and</w:t>
      </w:r>
      <w:r>
        <w:rPr>
          <w:i/>
          <w:color w:val="008000"/>
          <w:spacing w:val="-20"/>
          <w:w w:val="105"/>
          <w:sz w:val="20"/>
        </w:rPr>
        <w:t> </w:t>
      </w:r>
      <w:r>
        <w:rPr>
          <w:i/>
          <w:color w:val="008000"/>
          <w:w w:val="105"/>
          <w:sz w:val="20"/>
        </w:rPr>
        <w:t>Vacancy</w:t>
      </w:r>
      <w:r>
        <w:rPr>
          <w:i/>
          <w:color w:val="008000"/>
          <w:spacing w:val="-19"/>
          <w:w w:val="105"/>
          <w:sz w:val="20"/>
        </w:rPr>
        <w:t> </w:t>
      </w:r>
      <w:r>
        <w:rPr>
          <w:i/>
          <w:color w:val="008000"/>
          <w:w w:val="105"/>
          <w:sz w:val="20"/>
        </w:rPr>
        <w:t>Trends</w:t>
      </w:r>
      <w:r>
        <w:rPr>
          <w:i/>
          <w:color w:val="008000"/>
          <w:spacing w:val="-19"/>
          <w:w w:val="105"/>
          <w:sz w:val="20"/>
        </w:rPr>
        <w:t> </w:t>
      </w:r>
      <w:r>
        <w:rPr>
          <w:i/>
          <w:color w:val="008000"/>
          <w:w w:val="105"/>
          <w:sz w:val="20"/>
        </w:rPr>
        <w:t>–</w:t>
      </w:r>
      <w:r>
        <w:rPr>
          <w:i/>
          <w:color w:val="008000"/>
          <w:spacing w:val="-17"/>
          <w:w w:val="105"/>
          <w:sz w:val="20"/>
        </w:rPr>
        <w:t> </w:t>
      </w:r>
      <w:r>
        <w:rPr>
          <w:i/>
          <w:color w:val="008000"/>
          <w:w w:val="105"/>
          <w:sz w:val="20"/>
        </w:rPr>
        <w:t>Noida</w:t>
      </w:r>
      <w:r>
        <w:rPr>
          <w:i/>
          <w:color w:val="008000"/>
          <w:spacing w:val="-20"/>
          <w:w w:val="105"/>
          <w:sz w:val="20"/>
        </w:rPr>
        <w:t> </w:t>
      </w:r>
      <w:r>
        <w:rPr>
          <w:i/>
          <w:color w:val="008000"/>
          <w:w w:val="105"/>
          <w:sz w:val="20"/>
        </w:rPr>
        <w:t>and</w:t>
      </w:r>
      <w:r>
        <w:rPr>
          <w:i/>
          <w:color w:val="008000"/>
          <w:spacing w:val="-18"/>
          <w:w w:val="105"/>
          <w:sz w:val="20"/>
        </w:rPr>
        <w:t> </w:t>
      </w:r>
      <w:r>
        <w:rPr>
          <w:i/>
          <w:color w:val="008000"/>
          <w:w w:val="105"/>
          <w:sz w:val="20"/>
        </w:rPr>
        <w:t>Noida</w:t>
      </w:r>
      <w:r>
        <w:rPr>
          <w:i/>
          <w:color w:val="008000"/>
          <w:spacing w:val="-19"/>
          <w:w w:val="105"/>
          <w:sz w:val="20"/>
        </w:rPr>
        <w:t> </w:t>
      </w:r>
      <w:r>
        <w:rPr>
          <w:i/>
          <w:color w:val="008000"/>
          <w:w w:val="105"/>
          <w:sz w:val="20"/>
        </w:rPr>
        <w:t>–</w:t>
      </w:r>
      <w:r>
        <w:rPr>
          <w:i/>
          <w:color w:val="008000"/>
          <w:spacing w:val="-19"/>
          <w:w w:val="105"/>
          <w:sz w:val="20"/>
        </w:rPr>
        <w:t> </w:t>
      </w:r>
      <w:r>
        <w:rPr>
          <w:i/>
          <w:color w:val="008000"/>
          <w:w w:val="105"/>
          <w:sz w:val="20"/>
        </w:rPr>
        <w:t>Greater</w:t>
      </w:r>
      <w:r>
        <w:rPr>
          <w:i/>
          <w:color w:val="008000"/>
          <w:spacing w:val="-18"/>
          <w:w w:val="105"/>
          <w:sz w:val="20"/>
        </w:rPr>
        <w:t> </w:t>
      </w:r>
      <w:r>
        <w:rPr>
          <w:i/>
          <w:color w:val="008000"/>
          <w:w w:val="105"/>
          <w:sz w:val="20"/>
        </w:rPr>
        <w:t>Noida</w:t>
      </w:r>
      <w:r>
        <w:rPr>
          <w:i/>
          <w:color w:val="008000"/>
          <w:spacing w:val="-20"/>
          <w:w w:val="105"/>
          <w:sz w:val="20"/>
        </w:rPr>
        <w:t> </w:t>
      </w:r>
      <w:r>
        <w:rPr>
          <w:i/>
          <w:color w:val="008000"/>
          <w:w w:val="105"/>
          <w:sz w:val="20"/>
        </w:rPr>
        <w:t>Expressway</w:t>
      </w:r>
      <w:r>
        <w:rPr>
          <w:i/>
          <w:color w:val="008000"/>
          <w:spacing w:val="-19"/>
          <w:w w:val="105"/>
          <w:sz w:val="20"/>
        </w:rPr>
        <w:t> </w:t>
      </w:r>
      <w:r>
        <w:rPr>
          <w:i/>
          <w:color w:val="008000"/>
          <w:w w:val="105"/>
          <w:sz w:val="20"/>
        </w:rPr>
        <w:t>sub-market</w:t>
      </w:r>
    </w:p>
    <w:p>
      <w:pPr>
        <w:pStyle w:val="BodyText"/>
        <w:spacing w:line="321" w:lineRule="auto" w:before="75"/>
        <w:ind w:left="680"/>
      </w:pPr>
      <w:r>
        <w:rPr/>
        <w:t>Total completed Grade A office stock in Noida as of Q4, 2019 is approx. 20.87 msf (for competition set), out of which Noida-Greater Noida Expressway accounts for approx. 53.5%.</w:t>
      </w:r>
    </w:p>
    <w:p>
      <w:pPr>
        <w:pStyle w:val="BodyText"/>
        <w:spacing w:before="3"/>
        <w:rPr>
          <w:sz w:val="20"/>
        </w:rPr>
      </w:pPr>
    </w:p>
    <w:tbl>
      <w:tblPr>
        <w:tblW w:w="0" w:type="auto"/>
        <w:jc w:val="left"/>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19"/>
        <w:gridCol w:w="3131"/>
        <w:gridCol w:w="2924"/>
      </w:tblGrid>
      <w:tr>
        <w:trPr>
          <w:trHeight w:val="673" w:hRule="atLeast"/>
        </w:trPr>
        <w:tc>
          <w:tcPr>
            <w:tcW w:w="4319" w:type="dxa"/>
            <w:tcBorders>
              <w:top w:val="single" w:sz="12" w:space="0" w:color="1F6B16"/>
              <w:bottom w:val="single" w:sz="6" w:space="0" w:color="69BD28"/>
            </w:tcBorders>
            <w:shd w:val="clear" w:color="auto" w:fill="006A4D"/>
          </w:tcPr>
          <w:p>
            <w:pPr>
              <w:pStyle w:val="TableParagraph"/>
              <w:spacing w:before="1"/>
              <w:jc w:val="left"/>
              <w:rPr>
                <w:sz w:val="20"/>
              </w:rPr>
            </w:pPr>
          </w:p>
          <w:p>
            <w:pPr>
              <w:pStyle w:val="TableParagraph"/>
              <w:ind w:left="320" w:right="320"/>
              <w:rPr>
                <w:b/>
                <w:sz w:val="18"/>
              </w:rPr>
            </w:pPr>
            <w:r>
              <w:rPr>
                <w:b/>
                <w:color w:val="FFFFFF"/>
                <w:w w:val="105"/>
                <w:sz w:val="18"/>
              </w:rPr>
              <w:t>Particular</w:t>
            </w:r>
          </w:p>
        </w:tc>
        <w:tc>
          <w:tcPr>
            <w:tcW w:w="3131" w:type="dxa"/>
            <w:tcBorders>
              <w:top w:val="single" w:sz="12" w:space="0" w:color="1F6B16"/>
              <w:bottom w:val="single" w:sz="6" w:space="0" w:color="69BD28"/>
            </w:tcBorders>
            <w:shd w:val="clear" w:color="auto" w:fill="006A4D"/>
          </w:tcPr>
          <w:p>
            <w:pPr>
              <w:pStyle w:val="TableParagraph"/>
              <w:spacing w:before="1"/>
              <w:jc w:val="left"/>
              <w:rPr>
                <w:sz w:val="20"/>
              </w:rPr>
            </w:pPr>
          </w:p>
          <w:p>
            <w:pPr>
              <w:pStyle w:val="TableParagraph"/>
              <w:ind w:left="315" w:right="414"/>
              <w:rPr>
                <w:sz w:val="16"/>
              </w:rPr>
            </w:pPr>
            <w:r>
              <w:rPr>
                <w:b/>
                <w:color w:val="FFFFFF"/>
                <w:w w:val="110"/>
                <w:sz w:val="18"/>
              </w:rPr>
              <w:t>Noida (competition set)*</w:t>
            </w:r>
            <w:r>
              <w:rPr>
                <w:color w:val="FFFFFF"/>
                <w:w w:val="110"/>
                <w:sz w:val="16"/>
              </w:rPr>
              <w:t>^</w:t>
            </w:r>
          </w:p>
        </w:tc>
        <w:tc>
          <w:tcPr>
            <w:tcW w:w="2924" w:type="dxa"/>
            <w:tcBorders>
              <w:top w:val="single" w:sz="12" w:space="0" w:color="1F6B16"/>
              <w:bottom w:val="single" w:sz="6" w:space="0" w:color="69BD28"/>
            </w:tcBorders>
            <w:shd w:val="clear" w:color="auto" w:fill="006A4D"/>
          </w:tcPr>
          <w:p>
            <w:pPr>
              <w:pStyle w:val="TableParagraph"/>
              <w:spacing w:line="247" w:lineRule="auto" w:before="125"/>
              <w:ind w:left="762" w:hanging="339"/>
              <w:jc w:val="left"/>
              <w:rPr>
                <w:sz w:val="16"/>
              </w:rPr>
            </w:pPr>
            <w:r>
              <w:rPr>
                <w:b/>
                <w:color w:val="FFFFFF"/>
                <w:w w:val="115"/>
                <w:sz w:val="18"/>
              </w:rPr>
              <w:t>Noida-Greater Noida Expressway*</w:t>
            </w:r>
            <w:r>
              <w:rPr>
                <w:color w:val="FFFFFF"/>
                <w:w w:val="115"/>
                <w:sz w:val="16"/>
              </w:rPr>
              <w:t>^</w:t>
            </w:r>
          </w:p>
        </w:tc>
      </w:tr>
      <w:tr>
        <w:trPr>
          <w:trHeight w:val="520" w:hRule="atLeast"/>
        </w:trPr>
        <w:tc>
          <w:tcPr>
            <w:tcW w:w="4319" w:type="dxa"/>
            <w:vMerge w:val="restart"/>
            <w:shd w:val="clear" w:color="auto" w:fill="69BD28"/>
          </w:tcPr>
          <w:p>
            <w:pPr>
              <w:pStyle w:val="TableParagraph"/>
              <w:spacing w:line="621" w:lineRule="auto" w:before="123"/>
              <w:ind w:left="413" w:right="320"/>
              <w:rPr>
                <w:sz w:val="18"/>
              </w:rPr>
            </w:pPr>
            <w:r>
              <w:rPr>
                <w:color w:val="FFFFFF"/>
                <w:sz w:val="18"/>
              </w:rPr>
              <w:t>Cumulative</w:t>
            </w:r>
            <w:r>
              <w:rPr>
                <w:color w:val="FFFFFF"/>
                <w:spacing w:val="-17"/>
                <w:sz w:val="18"/>
              </w:rPr>
              <w:t> </w:t>
            </w:r>
            <w:r>
              <w:rPr>
                <w:color w:val="FFFFFF"/>
                <w:sz w:val="18"/>
              </w:rPr>
              <w:t>completed</w:t>
            </w:r>
            <w:r>
              <w:rPr>
                <w:color w:val="FFFFFF"/>
                <w:spacing w:val="-18"/>
                <w:sz w:val="18"/>
              </w:rPr>
              <w:t> </w:t>
            </w:r>
            <w:r>
              <w:rPr>
                <w:color w:val="FFFFFF"/>
                <w:sz w:val="18"/>
              </w:rPr>
              <w:t>office</w:t>
            </w:r>
            <w:r>
              <w:rPr>
                <w:color w:val="FFFFFF"/>
                <w:spacing w:val="-17"/>
                <w:sz w:val="18"/>
              </w:rPr>
              <w:t> </w:t>
            </w:r>
            <w:r>
              <w:rPr>
                <w:color w:val="FFFFFF"/>
                <w:sz w:val="18"/>
              </w:rPr>
              <w:t>stock</w:t>
            </w:r>
            <w:r>
              <w:rPr>
                <w:color w:val="FFFFFF"/>
                <w:spacing w:val="-17"/>
                <w:sz w:val="18"/>
              </w:rPr>
              <w:t> </w:t>
            </w:r>
            <w:r>
              <w:rPr>
                <w:color w:val="FFFFFF"/>
                <w:sz w:val="18"/>
              </w:rPr>
              <w:t>(Q4</w:t>
            </w:r>
            <w:r>
              <w:rPr>
                <w:color w:val="FFFFFF"/>
                <w:spacing w:val="-18"/>
                <w:sz w:val="18"/>
              </w:rPr>
              <w:t> </w:t>
            </w:r>
            <w:r>
              <w:rPr>
                <w:color w:val="FFFFFF"/>
                <w:sz w:val="18"/>
              </w:rPr>
              <w:t>2019) Cumulative occupied stock (Q4 2019) Current Vacancy (Q4</w:t>
            </w:r>
            <w:r>
              <w:rPr>
                <w:color w:val="FFFFFF"/>
                <w:spacing w:val="-2"/>
                <w:sz w:val="18"/>
              </w:rPr>
              <w:t> </w:t>
            </w:r>
            <w:r>
              <w:rPr>
                <w:color w:val="FFFFFF"/>
                <w:sz w:val="18"/>
              </w:rPr>
              <w:t>2019)</w:t>
            </w:r>
          </w:p>
          <w:p>
            <w:pPr>
              <w:pStyle w:val="TableParagraph"/>
              <w:spacing w:line="208" w:lineRule="exact"/>
              <w:ind w:left="173" w:right="84"/>
              <w:rPr>
                <w:sz w:val="18"/>
              </w:rPr>
            </w:pPr>
            <w:r>
              <w:rPr>
                <w:color w:val="FFFFFF"/>
                <w:w w:val="105"/>
                <w:sz w:val="18"/>
              </w:rPr>
              <w:t>Average Annual Office Absorption (2014 – 2019)</w:t>
            </w:r>
          </w:p>
        </w:tc>
        <w:tc>
          <w:tcPr>
            <w:tcW w:w="3131" w:type="dxa"/>
            <w:tcBorders>
              <w:top w:val="single" w:sz="6" w:space="0" w:color="69BD28"/>
              <w:bottom w:val="single" w:sz="6" w:space="0" w:color="69BD28"/>
            </w:tcBorders>
          </w:tcPr>
          <w:p>
            <w:pPr>
              <w:pStyle w:val="TableParagraph"/>
              <w:spacing w:before="123"/>
              <w:ind w:left="314" w:right="414"/>
              <w:rPr>
                <w:sz w:val="18"/>
              </w:rPr>
            </w:pPr>
            <w:r>
              <w:rPr>
                <w:sz w:val="18"/>
              </w:rPr>
              <w:t>Approx. 20.87 msf</w:t>
            </w:r>
          </w:p>
        </w:tc>
        <w:tc>
          <w:tcPr>
            <w:tcW w:w="2924" w:type="dxa"/>
            <w:tcBorders>
              <w:top w:val="single" w:sz="6" w:space="0" w:color="69BD28"/>
              <w:bottom w:val="single" w:sz="6" w:space="0" w:color="69BD28"/>
            </w:tcBorders>
          </w:tcPr>
          <w:p>
            <w:pPr>
              <w:pStyle w:val="TableParagraph"/>
              <w:spacing w:before="123"/>
              <w:ind w:left="671"/>
              <w:jc w:val="left"/>
              <w:rPr>
                <w:sz w:val="18"/>
              </w:rPr>
            </w:pPr>
            <w:r>
              <w:rPr>
                <w:sz w:val="18"/>
              </w:rPr>
              <w:t>Approx. 11.17 msf</w:t>
            </w:r>
          </w:p>
        </w:tc>
      </w:tr>
      <w:tr>
        <w:trPr>
          <w:trHeight w:val="525" w:hRule="atLeast"/>
        </w:trPr>
        <w:tc>
          <w:tcPr>
            <w:tcW w:w="4319" w:type="dxa"/>
            <w:vMerge/>
            <w:tcBorders>
              <w:top w:val="nil"/>
            </w:tcBorders>
            <w:shd w:val="clear" w:color="auto" w:fill="69BD28"/>
          </w:tcPr>
          <w:p>
            <w:pPr>
              <w:rPr>
                <w:sz w:val="2"/>
                <w:szCs w:val="2"/>
              </w:rPr>
            </w:pPr>
          </w:p>
        </w:tc>
        <w:tc>
          <w:tcPr>
            <w:tcW w:w="3131" w:type="dxa"/>
            <w:tcBorders>
              <w:top w:val="single" w:sz="6" w:space="0" w:color="69BD28"/>
              <w:bottom w:val="single" w:sz="6" w:space="0" w:color="69BD28"/>
            </w:tcBorders>
          </w:tcPr>
          <w:p>
            <w:pPr>
              <w:pStyle w:val="TableParagraph"/>
              <w:spacing w:before="129"/>
              <w:ind w:left="314" w:right="414"/>
              <w:rPr>
                <w:sz w:val="18"/>
              </w:rPr>
            </w:pPr>
            <w:r>
              <w:rPr>
                <w:sz w:val="18"/>
              </w:rPr>
              <w:t>Approx. 18.43 msf</w:t>
            </w:r>
          </w:p>
        </w:tc>
        <w:tc>
          <w:tcPr>
            <w:tcW w:w="2924" w:type="dxa"/>
            <w:tcBorders>
              <w:top w:val="single" w:sz="6" w:space="0" w:color="69BD28"/>
              <w:bottom w:val="single" w:sz="6" w:space="0" w:color="69BD28"/>
            </w:tcBorders>
          </w:tcPr>
          <w:p>
            <w:pPr>
              <w:pStyle w:val="TableParagraph"/>
              <w:spacing w:before="129"/>
              <w:ind w:left="723"/>
              <w:jc w:val="left"/>
              <w:rPr>
                <w:sz w:val="18"/>
              </w:rPr>
            </w:pPr>
            <w:r>
              <w:rPr>
                <w:sz w:val="18"/>
              </w:rPr>
              <w:t>Approx. 9.86 msf</w:t>
            </w:r>
          </w:p>
        </w:tc>
      </w:tr>
      <w:tr>
        <w:trPr>
          <w:trHeight w:val="525" w:hRule="atLeast"/>
        </w:trPr>
        <w:tc>
          <w:tcPr>
            <w:tcW w:w="4319" w:type="dxa"/>
            <w:vMerge/>
            <w:tcBorders>
              <w:top w:val="nil"/>
            </w:tcBorders>
            <w:shd w:val="clear" w:color="auto" w:fill="69BD28"/>
          </w:tcPr>
          <w:p>
            <w:pPr>
              <w:rPr>
                <w:sz w:val="2"/>
                <w:szCs w:val="2"/>
              </w:rPr>
            </w:pPr>
          </w:p>
        </w:tc>
        <w:tc>
          <w:tcPr>
            <w:tcW w:w="3131" w:type="dxa"/>
            <w:tcBorders>
              <w:top w:val="single" w:sz="6" w:space="0" w:color="69BD28"/>
              <w:bottom w:val="single" w:sz="6" w:space="0" w:color="69BD28"/>
            </w:tcBorders>
          </w:tcPr>
          <w:p>
            <w:pPr>
              <w:pStyle w:val="TableParagraph"/>
              <w:spacing w:before="130"/>
              <w:ind w:left="311" w:right="414"/>
              <w:rPr>
                <w:sz w:val="18"/>
              </w:rPr>
            </w:pPr>
            <w:r>
              <w:rPr>
                <w:w w:val="105"/>
                <w:sz w:val="18"/>
              </w:rPr>
              <w:t>Approx. 11.7%</w:t>
            </w:r>
          </w:p>
        </w:tc>
        <w:tc>
          <w:tcPr>
            <w:tcW w:w="2924" w:type="dxa"/>
            <w:tcBorders>
              <w:top w:val="single" w:sz="6" w:space="0" w:color="69BD28"/>
              <w:bottom w:val="single" w:sz="6" w:space="0" w:color="69BD28"/>
            </w:tcBorders>
          </w:tcPr>
          <w:p>
            <w:pPr>
              <w:pStyle w:val="TableParagraph"/>
              <w:spacing w:before="130"/>
              <w:ind w:left="822"/>
              <w:jc w:val="left"/>
              <w:rPr>
                <w:sz w:val="18"/>
              </w:rPr>
            </w:pPr>
            <w:r>
              <w:rPr>
                <w:w w:val="105"/>
                <w:sz w:val="18"/>
              </w:rPr>
              <w:t>Approx. 11.7%</w:t>
            </w:r>
          </w:p>
        </w:tc>
      </w:tr>
      <w:tr>
        <w:trPr>
          <w:trHeight w:val="527" w:hRule="atLeast"/>
        </w:trPr>
        <w:tc>
          <w:tcPr>
            <w:tcW w:w="4319" w:type="dxa"/>
            <w:vMerge/>
            <w:tcBorders>
              <w:top w:val="nil"/>
            </w:tcBorders>
            <w:shd w:val="clear" w:color="auto" w:fill="69BD28"/>
          </w:tcPr>
          <w:p>
            <w:pPr>
              <w:rPr>
                <w:sz w:val="2"/>
                <w:szCs w:val="2"/>
              </w:rPr>
            </w:pPr>
          </w:p>
        </w:tc>
        <w:tc>
          <w:tcPr>
            <w:tcW w:w="3131" w:type="dxa"/>
            <w:tcBorders>
              <w:top w:val="single" w:sz="6" w:space="0" w:color="69BD28"/>
              <w:bottom w:val="single" w:sz="6" w:space="0" w:color="69BD28"/>
            </w:tcBorders>
          </w:tcPr>
          <w:p>
            <w:pPr>
              <w:pStyle w:val="TableParagraph"/>
              <w:spacing w:before="130"/>
              <w:ind w:left="314" w:right="414"/>
              <w:rPr>
                <w:sz w:val="18"/>
              </w:rPr>
            </w:pPr>
            <w:r>
              <w:rPr>
                <w:sz w:val="18"/>
              </w:rPr>
              <w:t>Approx. 1.28 msf</w:t>
            </w:r>
          </w:p>
        </w:tc>
        <w:tc>
          <w:tcPr>
            <w:tcW w:w="2924" w:type="dxa"/>
            <w:tcBorders>
              <w:top w:val="single" w:sz="6" w:space="0" w:color="69BD28"/>
              <w:bottom w:val="single" w:sz="6" w:space="0" w:color="69BD28"/>
            </w:tcBorders>
          </w:tcPr>
          <w:p>
            <w:pPr>
              <w:pStyle w:val="TableParagraph"/>
              <w:spacing w:before="130"/>
              <w:ind w:left="723"/>
              <w:jc w:val="left"/>
              <w:rPr>
                <w:sz w:val="18"/>
              </w:rPr>
            </w:pPr>
            <w:r>
              <w:rPr>
                <w:sz w:val="18"/>
              </w:rPr>
              <w:t>Approx. 0.66 msf</w:t>
            </w:r>
          </w:p>
        </w:tc>
      </w:tr>
    </w:tbl>
    <w:p>
      <w:pPr>
        <w:spacing w:before="8"/>
        <w:ind w:left="140" w:right="0" w:firstLine="0"/>
        <w:jc w:val="both"/>
        <w:rPr>
          <w:i/>
          <w:sz w:val="18"/>
        </w:rPr>
      </w:pPr>
      <w:r>
        <w:rPr>
          <w:i/>
          <w:sz w:val="18"/>
        </w:rPr>
        <w:t>Source: CBRE Research</w:t>
      </w:r>
    </w:p>
    <w:p>
      <w:pPr>
        <w:spacing w:line="321" w:lineRule="auto" w:before="72"/>
        <w:ind w:left="140" w:right="112" w:firstLine="0"/>
        <w:jc w:val="both"/>
        <w:rPr>
          <w:i/>
          <w:sz w:val="18"/>
        </w:rPr>
      </w:pPr>
      <w:r>
        <w:rPr>
          <w:i/>
          <w:sz w:val="18"/>
        </w:rPr>
        <w:t>*</w:t>
      </w:r>
      <w:r>
        <w:rPr>
          <w:i/>
          <w:spacing w:val="-26"/>
          <w:sz w:val="18"/>
        </w:rPr>
        <w:t> </w:t>
      </w:r>
      <w:r>
        <w:rPr>
          <w:i/>
          <w:sz w:val="18"/>
        </w:rPr>
        <w:t>The</w:t>
      </w:r>
      <w:r>
        <w:rPr>
          <w:i/>
          <w:spacing w:val="-25"/>
          <w:sz w:val="18"/>
        </w:rPr>
        <w:t> </w:t>
      </w:r>
      <w:r>
        <w:rPr>
          <w:i/>
          <w:sz w:val="18"/>
        </w:rPr>
        <w:t>Noida</w:t>
      </w:r>
      <w:r>
        <w:rPr>
          <w:i/>
          <w:spacing w:val="-25"/>
          <w:sz w:val="18"/>
        </w:rPr>
        <w:t> </w:t>
      </w:r>
      <w:r>
        <w:rPr>
          <w:i/>
          <w:sz w:val="18"/>
        </w:rPr>
        <w:t>commercial</w:t>
      </w:r>
      <w:r>
        <w:rPr>
          <w:i/>
          <w:spacing w:val="-26"/>
          <w:sz w:val="18"/>
        </w:rPr>
        <w:t> </w:t>
      </w:r>
      <w:r>
        <w:rPr>
          <w:i/>
          <w:sz w:val="18"/>
        </w:rPr>
        <w:t>market</w:t>
      </w:r>
      <w:r>
        <w:rPr>
          <w:i/>
          <w:spacing w:val="-25"/>
          <w:sz w:val="18"/>
        </w:rPr>
        <w:t> </w:t>
      </w:r>
      <w:r>
        <w:rPr>
          <w:i/>
          <w:sz w:val="18"/>
        </w:rPr>
        <w:t>is</w:t>
      </w:r>
      <w:r>
        <w:rPr>
          <w:i/>
          <w:spacing w:val="-25"/>
          <w:sz w:val="18"/>
        </w:rPr>
        <w:t> </w:t>
      </w:r>
      <w:r>
        <w:rPr>
          <w:i/>
          <w:sz w:val="18"/>
        </w:rPr>
        <w:t>highly</w:t>
      </w:r>
      <w:r>
        <w:rPr>
          <w:i/>
          <w:spacing w:val="-25"/>
          <w:sz w:val="18"/>
        </w:rPr>
        <w:t> </w:t>
      </w:r>
      <w:r>
        <w:rPr>
          <w:i/>
          <w:sz w:val="18"/>
        </w:rPr>
        <w:t>fragmented</w:t>
      </w:r>
      <w:r>
        <w:rPr>
          <w:i/>
          <w:spacing w:val="-26"/>
          <w:sz w:val="18"/>
        </w:rPr>
        <w:t> </w:t>
      </w:r>
      <w:r>
        <w:rPr>
          <w:i/>
          <w:sz w:val="18"/>
        </w:rPr>
        <w:t>and</w:t>
      </w:r>
      <w:r>
        <w:rPr>
          <w:i/>
          <w:spacing w:val="-25"/>
          <w:sz w:val="18"/>
        </w:rPr>
        <w:t> </w:t>
      </w:r>
      <w:r>
        <w:rPr>
          <w:i/>
          <w:sz w:val="18"/>
        </w:rPr>
        <w:t>comprises</w:t>
      </w:r>
      <w:r>
        <w:rPr>
          <w:i/>
          <w:spacing w:val="-24"/>
          <w:sz w:val="18"/>
        </w:rPr>
        <w:t> </w:t>
      </w:r>
      <w:r>
        <w:rPr>
          <w:i/>
          <w:sz w:val="18"/>
        </w:rPr>
        <w:t>of</w:t>
      </w:r>
      <w:r>
        <w:rPr>
          <w:i/>
          <w:spacing w:val="-22"/>
          <w:sz w:val="18"/>
        </w:rPr>
        <w:t> </w:t>
      </w:r>
      <w:r>
        <w:rPr>
          <w:i/>
          <w:sz w:val="18"/>
        </w:rPr>
        <w:t>commercial</w:t>
      </w:r>
      <w:r>
        <w:rPr>
          <w:i/>
          <w:spacing w:val="-25"/>
          <w:sz w:val="18"/>
        </w:rPr>
        <w:t> </w:t>
      </w:r>
      <w:r>
        <w:rPr>
          <w:i/>
          <w:sz w:val="18"/>
        </w:rPr>
        <w:t>buildings</w:t>
      </w:r>
      <w:r>
        <w:rPr>
          <w:i/>
          <w:spacing w:val="-27"/>
          <w:sz w:val="18"/>
        </w:rPr>
        <w:t> </w:t>
      </w:r>
      <w:r>
        <w:rPr>
          <w:i/>
          <w:sz w:val="18"/>
        </w:rPr>
        <w:t>which</w:t>
      </w:r>
      <w:r>
        <w:rPr>
          <w:i/>
          <w:spacing w:val="-24"/>
          <w:sz w:val="18"/>
        </w:rPr>
        <w:t> </w:t>
      </w:r>
      <w:r>
        <w:rPr>
          <w:i/>
          <w:sz w:val="18"/>
        </w:rPr>
        <w:t>do</w:t>
      </w:r>
      <w:r>
        <w:rPr>
          <w:i/>
          <w:spacing w:val="-26"/>
          <w:sz w:val="18"/>
        </w:rPr>
        <w:t> </w:t>
      </w:r>
      <w:r>
        <w:rPr>
          <w:i/>
          <w:sz w:val="18"/>
        </w:rPr>
        <w:t>not</w:t>
      </w:r>
      <w:r>
        <w:rPr>
          <w:i/>
          <w:spacing w:val="-24"/>
          <w:sz w:val="18"/>
        </w:rPr>
        <w:t> </w:t>
      </w:r>
      <w:r>
        <w:rPr>
          <w:i/>
          <w:sz w:val="18"/>
        </w:rPr>
        <w:t>qualify</w:t>
      </w:r>
      <w:r>
        <w:rPr>
          <w:i/>
          <w:spacing w:val="-27"/>
          <w:sz w:val="18"/>
        </w:rPr>
        <w:t> </w:t>
      </w:r>
      <w:r>
        <w:rPr>
          <w:i/>
          <w:sz w:val="18"/>
        </w:rPr>
        <w:t>as</w:t>
      </w:r>
      <w:r>
        <w:rPr>
          <w:i/>
          <w:spacing w:val="-26"/>
          <w:sz w:val="18"/>
        </w:rPr>
        <w:t> </w:t>
      </w:r>
      <w:r>
        <w:rPr>
          <w:i/>
          <w:sz w:val="18"/>
        </w:rPr>
        <w:t>a</w:t>
      </w:r>
      <w:r>
        <w:rPr>
          <w:i/>
          <w:spacing w:val="-25"/>
          <w:sz w:val="18"/>
        </w:rPr>
        <w:t> </w:t>
      </w:r>
      <w:r>
        <w:rPr>
          <w:i/>
          <w:sz w:val="18"/>
        </w:rPr>
        <w:t>competition</w:t>
      </w:r>
      <w:r>
        <w:rPr>
          <w:i/>
          <w:spacing w:val="-25"/>
          <w:sz w:val="18"/>
        </w:rPr>
        <w:t> </w:t>
      </w:r>
      <w:r>
        <w:rPr>
          <w:i/>
          <w:sz w:val="18"/>
        </w:rPr>
        <w:t>set </w:t>
      </w:r>
      <w:r>
        <w:rPr>
          <w:i/>
          <w:sz w:val="18"/>
        </w:rPr>
        <w:t>for</w:t>
      </w:r>
      <w:r>
        <w:rPr>
          <w:i/>
          <w:spacing w:val="-23"/>
          <w:sz w:val="18"/>
        </w:rPr>
        <w:t> </w:t>
      </w:r>
      <w:r>
        <w:rPr>
          <w:i/>
          <w:sz w:val="18"/>
        </w:rPr>
        <w:t>Embassy</w:t>
      </w:r>
      <w:r>
        <w:rPr>
          <w:i/>
          <w:spacing w:val="-23"/>
          <w:sz w:val="18"/>
        </w:rPr>
        <w:t> </w:t>
      </w:r>
      <w:r>
        <w:rPr>
          <w:i/>
          <w:sz w:val="18"/>
        </w:rPr>
        <w:t>REIT</w:t>
      </w:r>
      <w:r>
        <w:rPr>
          <w:i/>
          <w:spacing w:val="-23"/>
          <w:sz w:val="18"/>
        </w:rPr>
        <w:t> </w:t>
      </w:r>
      <w:r>
        <w:rPr>
          <w:i/>
          <w:sz w:val="18"/>
        </w:rPr>
        <w:t>properties.</w:t>
      </w:r>
      <w:r>
        <w:rPr>
          <w:i/>
          <w:spacing w:val="-22"/>
          <w:sz w:val="18"/>
        </w:rPr>
        <w:t> </w:t>
      </w:r>
      <w:r>
        <w:rPr>
          <w:i/>
          <w:sz w:val="18"/>
        </w:rPr>
        <w:t>The</w:t>
      </w:r>
      <w:r>
        <w:rPr>
          <w:i/>
          <w:spacing w:val="-22"/>
          <w:sz w:val="18"/>
        </w:rPr>
        <w:t> </w:t>
      </w:r>
      <w:r>
        <w:rPr>
          <w:i/>
          <w:sz w:val="18"/>
        </w:rPr>
        <w:t>characteristics</w:t>
      </w:r>
      <w:r>
        <w:rPr>
          <w:i/>
          <w:spacing w:val="-22"/>
          <w:sz w:val="18"/>
        </w:rPr>
        <w:t> </w:t>
      </w:r>
      <w:r>
        <w:rPr>
          <w:i/>
          <w:sz w:val="18"/>
        </w:rPr>
        <w:t>of</w:t>
      </w:r>
      <w:r>
        <w:rPr>
          <w:i/>
          <w:spacing w:val="-23"/>
          <w:sz w:val="18"/>
        </w:rPr>
        <w:t> </w:t>
      </w:r>
      <w:r>
        <w:rPr>
          <w:i/>
          <w:sz w:val="18"/>
        </w:rPr>
        <w:t>these</w:t>
      </w:r>
      <w:r>
        <w:rPr>
          <w:i/>
          <w:spacing w:val="-23"/>
          <w:sz w:val="18"/>
        </w:rPr>
        <w:t> </w:t>
      </w:r>
      <w:r>
        <w:rPr>
          <w:i/>
          <w:sz w:val="18"/>
        </w:rPr>
        <w:t>buildings</w:t>
      </w:r>
      <w:r>
        <w:rPr>
          <w:i/>
          <w:spacing w:val="-23"/>
          <w:sz w:val="18"/>
        </w:rPr>
        <w:t> </w:t>
      </w:r>
      <w:r>
        <w:rPr>
          <w:i/>
          <w:sz w:val="18"/>
        </w:rPr>
        <w:t>are</w:t>
      </w:r>
      <w:r>
        <w:rPr>
          <w:i/>
          <w:spacing w:val="-22"/>
          <w:sz w:val="18"/>
        </w:rPr>
        <w:t> </w:t>
      </w:r>
      <w:r>
        <w:rPr>
          <w:i/>
          <w:sz w:val="18"/>
        </w:rPr>
        <w:t>inferior</w:t>
      </w:r>
      <w:r>
        <w:rPr>
          <w:i/>
          <w:spacing w:val="-23"/>
          <w:sz w:val="18"/>
        </w:rPr>
        <w:t> </w:t>
      </w:r>
      <w:r>
        <w:rPr>
          <w:i/>
          <w:sz w:val="18"/>
        </w:rPr>
        <w:t>as</w:t>
      </w:r>
      <w:r>
        <w:rPr>
          <w:i/>
          <w:spacing w:val="-23"/>
          <w:sz w:val="18"/>
        </w:rPr>
        <w:t> </w:t>
      </w:r>
      <w:r>
        <w:rPr>
          <w:i/>
          <w:sz w:val="18"/>
        </w:rPr>
        <w:t>compared</w:t>
      </w:r>
      <w:r>
        <w:rPr>
          <w:i/>
          <w:spacing w:val="-23"/>
          <w:sz w:val="18"/>
        </w:rPr>
        <w:t> </w:t>
      </w:r>
      <w:r>
        <w:rPr>
          <w:i/>
          <w:sz w:val="18"/>
        </w:rPr>
        <w:t>to</w:t>
      </w:r>
      <w:r>
        <w:rPr>
          <w:i/>
          <w:spacing w:val="-23"/>
          <w:sz w:val="18"/>
        </w:rPr>
        <w:t> </w:t>
      </w:r>
      <w:r>
        <w:rPr>
          <w:i/>
          <w:sz w:val="18"/>
        </w:rPr>
        <w:t>typical</w:t>
      </w:r>
      <w:r>
        <w:rPr>
          <w:i/>
          <w:spacing w:val="-24"/>
          <w:sz w:val="18"/>
        </w:rPr>
        <w:t> </w:t>
      </w:r>
      <w:r>
        <w:rPr>
          <w:i/>
          <w:sz w:val="18"/>
        </w:rPr>
        <w:t>Grade</w:t>
      </w:r>
      <w:r>
        <w:rPr>
          <w:i/>
          <w:spacing w:val="-22"/>
          <w:sz w:val="18"/>
        </w:rPr>
        <w:t> </w:t>
      </w:r>
      <w:r>
        <w:rPr>
          <w:i/>
          <w:sz w:val="18"/>
        </w:rPr>
        <w:t>A</w:t>
      </w:r>
      <w:r>
        <w:rPr>
          <w:i/>
          <w:spacing w:val="-23"/>
          <w:sz w:val="18"/>
        </w:rPr>
        <w:t> </w:t>
      </w:r>
      <w:r>
        <w:rPr>
          <w:i/>
          <w:sz w:val="18"/>
        </w:rPr>
        <w:t>commercial</w:t>
      </w:r>
      <w:r>
        <w:rPr>
          <w:i/>
          <w:spacing w:val="-22"/>
          <w:sz w:val="18"/>
        </w:rPr>
        <w:t> </w:t>
      </w:r>
      <w:r>
        <w:rPr>
          <w:i/>
          <w:sz w:val="18"/>
        </w:rPr>
        <w:t>buildings and</w:t>
      </w:r>
      <w:r>
        <w:rPr>
          <w:i/>
          <w:spacing w:val="-23"/>
          <w:sz w:val="18"/>
        </w:rPr>
        <w:t> </w:t>
      </w:r>
      <w:r>
        <w:rPr>
          <w:i/>
          <w:sz w:val="18"/>
        </w:rPr>
        <w:t>the</w:t>
      </w:r>
      <w:r>
        <w:rPr>
          <w:i/>
          <w:spacing w:val="-24"/>
          <w:sz w:val="18"/>
        </w:rPr>
        <w:t> </w:t>
      </w:r>
      <w:r>
        <w:rPr>
          <w:i/>
          <w:sz w:val="18"/>
        </w:rPr>
        <w:t>ownership</w:t>
      </w:r>
      <w:r>
        <w:rPr>
          <w:i/>
          <w:spacing w:val="-22"/>
          <w:sz w:val="18"/>
        </w:rPr>
        <w:t> </w:t>
      </w:r>
      <w:r>
        <w:rPr>
          <w:i/>
          <w:sz w:val="18"/>
        </w:rPr>
        <w:t>is</w:t>
      </w:r>
      <w:r>
        <w:rPr>
          <w:i/>
          <w:spacing w:val="-23"/>
          <w:sz w:val="18"/>
        </w:rPr>
        <w:t> </w:t>
      </w:r>
      <w:r>
        <w:rPr>
          <w:i/>
          <w:sz w:val="18"/>
        </w:rPr>
        <w:t>typically</w:t>
      </w:r>
      <w:r>
        <w:rPr>
          <w:i/>
          <w:spacing w:val="-23"/>
          <w:sz w:val="18"/>
        </w:rPr>
        <w:t> </w:t>
      </w:r>
      <w:r>
        <w:rPr>
          <w:i/>
          <w:sz w:val="18"/>
        </w:rPr>
        <w:t>on</w:t>
      </w:r>
      <w:r>
        <w:rPr>
          <w:i/>
          <w:spacing w:val="-21"/>
          <w:sz w:val="18"/>
        </w:rPr>
        <w:t> </w:t>
      </w:r>
      <w:r>
        <w:rPr>
          <w:i/>
          <w:sz w:val="18"/>
        </w:rPr>
        <w:t>strata</w:t>
      </w:r>
      <w:r>
        <w:rPr>
          <w:i/>
          <w:spacing w:val="-23"/>
          <w:sz w:val="18"/>
        </w:rPr>
        <w:t> </w:t>
      </w:r>
      <w:r>
        <w:rPr>
          <w:i/>
          <w:sz w:val="18"/>
        </w:rPr>
        <w:t>holding</w:t>
      </w:r>
      <w:r>
        <w:rPr>
          <w:i/>
          <w:spacing w:val="-23"/>
          <w:sz w:val="18"/>
        </w:rPr>
        <w:t> </w:t>
      </w:r>
      <w:r>
        <w:rPr>
          <w:i/>
          <w:sz w:val="18"/>
        </w:rPr>
        <w:t>basis.</w:t>
      </w:r>
      <w:r>
        <w:rPr>
          <w:i/>
          <w:spacing w:val="-21"/>
          <w:sz w:val="18"/>
        </w:rPr>
        <w:t> </w:t>
      </w:r>
      <w:r>
        <w:rPr>
          <w:i/>
          <w:sz w:val="18"/>
        </w:rPr>
        <w:t>Hence,</w:t>
      </w:r>
      <w:r>
        <w:rPr>
          <w:i/>
          <w:spacing w:val="-23"/>
          <w:sz w:val="18"/>
        </w:rPr>
        <w:t> </w:t>
      </w:r>
      <w:r>
        <w:rPr>
          <w:i/>
          <w:sz w:val="18"/>
        </w:rPr>
        <w:t>for</w:t>
      </w:r>
      <w:r>
        <w:rPr>
          <w:i/>
          <w:spacing w:val="-23"/>
          <w:sz w:val="18"/>
        </w:rPr>
        <w:t> </w:t>
      </w:r>
      <w:r>
        <w:rPr>
          <w:i/>
          <w:sz w:val="18"/>
        </w:rPr>
        <w:t>the</w:t>
      </w:r>
      <w:r>
        <w:rPr>
          <w:i/>
          <w:spacing w:val="-22"/>
          <w:sz w:val="18"/>
        </w:rPr>
        <w:t> </w:t>
      </w:r>
      <w:r>
        <w:rPr>
          <w:i/>
          <w:sz w:val="18"/>
        </w:rPr>
        <w:t>purpose</w:t>
      </w:r>
      <w:r>
        <w:rPr>
          <w:i/>
          <w:spacing w:val="-22"/>
          <w:sz w:val="18"/>
        </w:rPr>
        <w:t> </w:t>
      </w:r>
      <w:r>
        <w:rPr>
          <w:i/>
          <w:sz w:val="18"/>
        </w:rPr>
        <w:t>of</w:t>
      </w:r>
      <w:r>
        <w:rPr>
          <w:i/>
          <w:spacing w:val="-23"/>
          <w:sz w:val="18"/>
        </w:rPr>
        <w:t> </w:t>
      </w:r>
      <w:r>
        <w:rPr>
          <w:i/>
          <w:sz w:val="18"/>
        </w:rPr>
        <w:t>analysing</w:t>
      </w:r>
      <w:r>
        <w:rPr>
          <w:i/>
          <w:spacing w:val="-23"/>
          <w:sz w:val="18"/>
        </w:rPr>
        <w:t> </w:t>
      </w:r>
      <w:r>
        <w:rPr>
          <w:i/>
          <w:sz w:val="18"/>
        </w:rPr>
        <w:t>the</w:t>
      </w:r>
      <w:r>
        <w:rPr>
          <w:i/>
          <w:spacing w:val="-24"/>
          <w:sz w:val="18"/>
        </w:rPr>
        <w:t> </w:t>
      </w:r>
      <w:r>
        <w:rPr>
          <w:i/>
          <w:sz w:val="18"/>
        </w:rPr>
        <w:t>demand</w:t>
      </w:r>
      <w:r>
        <w:rPr>
          <w:i/>
          <w:spacing w:val="-23"/>
          <w:sz w:val="18"/>
        </w:rPr>
        <w:t> </w:t>
      </w:r>
      <w:r>
        <w:rPr>
          <w:i/>
          <w:sz w:val="18"/>
        </w:rPr>
        <w:t>and</w:t>
      </w:r>
      <w:r>
        <w:rPr>
          <w:i/>
          <w:spacing w:val="-21"/>
          <w:sz w:val="18"/>
        </w:rPr>
        <w:t> </w:t>
      </w:r>
      <w:r>
        <w:rPr>
          <w:i/>
          <w:sz w:val="18"/>
        </w:rPr>
        <w:t>supply</w:t>
      </w:r>
      <w:r>
        <w:rPr>
          <w:i/>
          <w:spacing w:val="-22"/>
          <w:sz w:val="18"/>
        </w:rPr>
        <w:t> </w:t>
      </w:r>
      <w:r>
        <w:rPr>
          <w:i/>
          <w:sz w:val="18"/>
        </w:rPr>
        <w:t>dynamics</w:t>
      </w:r>
      <w:r>
        <w:rPr>
          <w:i/>
          <w:spacing w:val="-24"/>
          <w:sz w:val="18"/>
        </w:rPr>
        <w:t> </w:t>
      </w:r>
      <w:r>
        <w:rPr>
          <w:i/>
          <w:sz w:val="18"/>
        </w:rPr>
        <w:t>of</w:t>
      </w:r>
      <w:r>
        <w:rPr>
          <w:i/>
          <w:spacing w:val="-23"/>
          <w:sz w:val="18"/>
        </w:rPr>
        <w:t> </w:t>
      </w:r>
      <w:r>
        <w:rPr>
          <w:i/>
          <w:sz w:val="18"/>
        </w:rPr>
        <w:t>Noida, the</w:t>
      </w:r>
      <w:r>
        <w:rPr>
          <w:i/>
          <w:spacing w:val="-31"/>
          <w:sz w:val="18"/>
        </w:rPr>
        <w:t> </w:t>
      </w:r>
      <w:r>
        <w:rPr>
          <w:i/>
          <w:sz w:val="18"/>
        </w:rPr>
        <w:t>total</w:t>
      </w:r>
      <w:r>
        <w:rPr>
          <w:i/>
          <w:spacing w:val="-30"/>
          <w:sz w:val="18"/>
        </w:rPr>
        <w:t> </w:t>
      </w:r>
      <w:r>
        <w:rPr>
          <w:i/>
          <w:sz w:val="18"/>
        </w:rPr>
        <w:t>stock</w:t>
      </w:r>
      <w:r>
        <w:rPr>
          <w:i/>
          <w:spacing w:val="-30"/>
          <w:sz w:val="18"/>
        </w:rPr>
        <w:t> </w:t>
      </w:r>
      <w:r>
        <w:rPr>
          <w:i/>
          <w:sz w:val="18"/>
        </w:rPr>
        <w:t>has</w:t>
      </w:r>
      <w:r>
        <w:rPr>
          <w:i/>
          <w:spacing w:val="-30"/>
          <w:sz w:val="18"/>
        </w:rPr>
        <w:t> </w:t>
      </w:r>
      <w:r>
        <w:rPr>
          <w:i/>
          <w:sz w:val="18"/>
        </w:rPr>
        <w:t>been</w:t>
      </w:r>
      <w:r>
        <w:rPr>
          <w:i/>
          <w:spacing w:val="-31"/>
          <w:sz w:val="18"/>
        </w:rPr>
        <w:t> </w:t>
      </w:r>
      <w:r>
        <w:rPr>
          <w:i/>
          <w:sz w:val="18"/>
        </w:rPr>
        <w:t>bifurcated</w:t>
      </w:r>
      <w:r>
        <w:rPr>
          <w:i/>
          <w:spacing w:val="-30"/>
          <w:sz w:val="18"/>
        </w:rPr>
        <w:t> </w:t>
      </w:r>
      <w:r>
        <w:rPr>
          <w:i/>
          <w:sz w:val="18"/>
        </w:rPr>
        <w:t>to</w:t>
      </w:r>
      <w:r>
        <w:rPr>
          <w:i/>
          <w:spacing w:val="-30"/>
          <w:sz w:val="18"/>
        </w:rPr>
        <w:t> </w:t>
      </w:r>
      <w:r>
        <w:rPr>
          <w:i/>
          <w:sz w:val="18"/>
        </w:rPr>
        <w:t>include</w:t>
      </w:r>
      <w:r>
        <w:rPr>
          <w:i/>
          <w:spacing w:val="-30"/>
          <w:sz w:val="18"/>
        </w:rPr>
        <w:t> </w:t>
      </w:r>
      <w:r>
        <w:rPr>
          <w:i/>
          <w:sz w:val="18"/>
        </w:rPr>
        <w:t>a</w:t>
      </w:r>
      <w:r>
        <w:rPr>
          <w:i/>
          <w:spacing w:val="-30"/>
          <w:sz w:val="18"/>
        </w:rPr>
        <w:t> </w:t>
      </w:r>
      <w:r>
        <w:rPr>
          <w:i/>
          <w:sz w:val="18"/>
        </w:rPr>
        <w:t>competition</w:t>
      </w:r>
      <w:r>
        <w:rPr>
          <w:i/>
          <w:spacing w:val="-30"/>
          <w:sz w:val="18"/>
        </w:rPr>
        <w:t> </w:t>
      </w:r>
      <w:r>
        <w:rPr>
          <w:i/>
          <w:sz w:val="18"/>
        </w:rPr>
        <w:t>set,</w:t>
      </w:r>
      <w:r>
        <w:rPr>
          <w:i/>
          <w:spacing w:val="-29"/>
          <w:sz w:val="18"/>
        </w:rPr>
        <w:t> </w:t>
      </w:r>
      <w:r>
        <w:rPr>
          <w:i/>
          <w:sz w:val="18"/>
        </w:rPr>
        <w:t>comprising</w:t>
      </w:r>
      <w:r>
        <w:rPr>
          <w:i/>
          <w:spacing w:val="-30"/>
          <w:sz w:val="18"/>
        </w:rPr>
        <w:t> </w:t>
      </w:r>
      <w:r>
        <w:rPr>
          <w:i/>
          <w:sz w:val="18"/>
        </w:rPr>
        <w:t>of</w:t>
      </w:r>
      <w:r>
        <w:rPr>
          <w:i/>
          <w:spacing w:val="-30"/>
          <w:sz w:val="18"/>
        </w:rPr>
        <w:t> </w:t>
      </w:r>
      <w:r>
        <w:rPr>
          <w:i/>
          <w:sz w:val="18"/>
        </w:rPr>
        <w:t>buildings</w:t>
      </w:r>
      <w:r>
        <w:rPr>
          <w:i/>
          <w:spacing w:val="-30"/>
          <w:sz w:val="18"/>
        </w:rPr>
        <w:t> </w:t>
      </w:r>
      <w:r>
        <w:rPr>
          <w:i/>
          <w:sz w:val="18"/>
        </w:rPr>
        <w:t>with</w:t>
      </w:r>
      <w:r>
        <w:rPr>
          <w:i/>
          <w:spacing w:val="-30"/>
          <w:sz w:val="18"/>
        </w:rPr>
        <w:t> </w:t>
      </w:r>
      <w:r>
        <w:rPr>
          <w:i/>
          <w:sz w:val="18"/>
        </w:rPr>
        <w:t>area</w:t>
      </w:r>
      <w:r>
        <w:rPr>
          <w:i/>
          <w:spacing w:val="-29"/>
          <w:sz w:val="18"/>
        </w:rPr>
        <w:t> </w:t>
      </w:r>
      <w:r>
        <w:rPr>
          <w:i/>
          <w:sz w:val="18"/>
        </w:rPr>
        <w:t>not</w:t>
      </w:r>
      <w:r>
        <w:rPr>
          <w:i/>
          <w:spacing w:val="-30"/>
          <w:sz w:val="18"/>
        </w:rPr>
        <w:t> </w:t>
      </w:r>
      <w:r>
        <w:rPr>
          <w:i/>
          <w:sz w:val="18"/>
        </w:rPr>
        <w:t>less</w:t>
      </w:r>
      <w:r>
        <w:rPr>
          <w:i/>
          <w:spacing w:val="-30"/>
          <w:sz w:val="18"/>
        </w:rPr>
        <w:t> </w:t>
      </w:r>
      <w:r>
        <w:rPr>
          <w:i/>
          <w:sz w:val="18"/>
        </w:rPr>
        <w:t>than</w:t>
      </w:r>
      <w:r>
        <w:rPr>
          <w:i/>
          <w:spacing w:val="-30"/>
          <w:sz w:val="18"/>
        </w:rPr>
        <w:t> </w:t>
      </w:r>
      <w:r>
        <w:rPr>
          <w:i/>
          <w:sz w:val="18"/>
        </w:rPr>
        <w:t>75,000</w:t>
      </w:r>
      <w:r>
        <w:rPr>
          <w:i/>
          <w:spacing w:val="-29"/>
          <w:sz w:val="18"/>
        </w:rPr>
        <w:t> </w:t>
      </w:r>
      <w:r>
        <w:rPr>
          <w:i/>
          <w:sz w:val="18"/>
        </w:rPr>
        <w:t>sf,</w:t>
      </w:r>
      <w:r>
        <w:rPr>
          <w:i/>
          <w:spacing w:val="-30"/>
          <w:sz w:val="18"/>
        </w:rPr>
        <w:t> </w:t>
      </w:r>
      <w:r>
        <w:rPr>
          <w:i/>
          <w:sz w:val="18"/>
        </w:rPr>
        <w:t>an</w:t>
      </w:r>
      <w:r>
        <w:rPr>
          <w:i/>
          <w:spacing w:val="-31"/>
          <w:sz w:val="18"/>
        </w:rPr>
        <w:t> </w:t>
      </w:r>
      <w:r>
        <w:rPr>
          <w:i/>
          <w:sz w:val="18"/>
        </w:rPr>
        <w:t>open</w:t>
      </w:r>
      <w:r>
        <w:rPr>
          <w:i/>
          <w:spacing w:val="-30"/>
          <w:sz w:val="18"/>
        </w:rPr>
        <w:t> </w:t>
      </w:r>
      <w:r>
        <w:rPr>
          <w:i/>
          <w:sz w:val="18"/>
        </w:rPr>
        <w:t>plan office</w:t>
      </w:r>
      <w:r>
        <w:rPr>
          <w:i/>
          <w:spacing w:val="-34"/>
          <w:sz w:val="18"/>
        </w:rPr>
        <w:t> </w:t>
      </w:r>
      <w:r>
        <w:rPr>
          <w:i/>
          <w:sz w:val="18"/>
        </w:rPr>
        <w:t>with</w:t>
      </w:r>
      <w:r>
        <w:rPr>
          <w:i/>
          <w:spacing w:val="-32"/>
          <w:sz w:val="18"/>
        </w:rPr>
        <w:t> </w:t>
      </w:r>
      <w:r>
        <w:rPr>
          <w:i/>
          <w:sz w:val="18"/>
        </w:rPr>
        <w:t>large</w:t>
      </w:r>
      <w:r>
        <w:rPr>
          <w:i/>
          <w:spacing w:val="-34"/>
          <w:sz w:val="18"/>
        </w:rPr>
        <w:t> </w:t>
      </w:r>
      <w:r>
        <w:rPr>
          <w:i/>
          <w:sz w:val="18"/>
        </w:rPr>
        <w:t>size</w:t>
      </w:r>
      <w:r>
        <w:rPr>
          <w:i/>
          <w:spacing w:val="-33"/>
          <w:sz w:val="18"/>
        </w:rPr>
        <w:t> </w:t>
      </w:r>
      <w:r>
        <w:rPr>
          <w:i/>
          <w:sz w:val="18"/>
        </w:rPr>
        <w:t>floor</w:t>
      </w:r>
      <w:r>
        <w:rPr>
          <w:i/>
          <w:spacing w:val="-34"/>
          <w:sz w:val="18"/>
        </w:rPr>
        <w:t> </w:t>
      </w:r>
      <w:r>
        <w:rPr>
          <w:i/>
          <w:sz w:val="18"/>
        </w:rPr>
        <w:t>plates,</w:t>
      </w:r>
      <w:r>
        <w:rPr>
          <w:i/>
          <w:spacing w:val="-33"/>
          <w:sz w:val="18"/>
        </w:rPr>
        <w:t> </w:t>
      </w:r>
      <w:r>
        <w:rPr>
          <w:i/>
          <w:sz w:val="18"/>
        </w:rPr>
        <w:t>adequate</w:t>
      </w:r>
      <w:r>
        <w:rPr>
          <w:i/>
          <w:spacing w:val="-32"/>
          <w:sz w:val="18"/>
        </w:rPr>
        <w:t> </w:t>
      </w:r>
      <w:r>
        <w:rPr>
          <w:i/>
          <w:sz w:val="18"/>
        </w:rPr>
        <w:t>ceiling</w:t>
      </w:r>
      <w:r>
        <w:rPr>
          <w:i/>
          <w:spacing w:val="-33"/>
          <w:sz w:val="18"/>
        </w:rPr>
        <w:t> </w:t>
      </w:r>
      <w:r>
        <w:rPr>
          <w:i/>
          <w:sz w:val="18"/>
        </w:rPr>
        <w:t>height,</w:t>
      </w:r>
      <w:r>
        <w:rPr>
          <w:i/>
          <w:spacing w:val="-34"/>
          <w:sz w:val="18"/>
        </w:rPr>
        <w:t> </w:t>
      </w:r>
      <w:r>
        <w:rPr>
          <w:i/>
          <w:sz w:val="18"/>
        </w:rPr>
        <w:t>24</w:t>
      </w:r>
      <w:r>
        <w:rPr>
          <w:i/>
          <w:spacing w:val="-34"/>
          <w:sz w:val="18"/>
        </w:rPr>
        <w:t> </w:t>
      </w:r>
      <w:r>
        <w:rPr>
          <w:i/>
          <w:sz w:val="18"/>
        </w:rPr>
        <w:t>X</w:t>
      </w:r>
      <w:r>
        <w:rPr>
          <w:i/>
          <w:spacing w:val="-33"/>
          <w:sz w:val="18"/>
        </w:rPr>
        <w:t> </w:t>
      </w:r>
      <w:r>
        <w:rPr>
          <w:i/>
          <w:sz w:val="18"/>
        </w:rPr>
        <w:t>7</w:t>
      </w:r>
      <w:r>
        <w:rPr>
          <w:i/>
          <w:spacing w:val="-34"/>
          <w:sz w:val="18"/>
        </w:rPr>
        <w:t> </w:t>
      </w:r>
      <w:r>
        <w:rPr>
          <w:i/>
          <w:sz w:val="18"/>
        </w:rPr>
        <w:t>power</w:t>
      </w:r>
      <w:r>
        <w:rPr>
          <w:i/>
          <w:spacing w:val="-34"/>
          <w:sz w:val="18"/>
        </w:rPr>
        <w:t> </w:t>
      </w:r>
      <w:r>
        <w:rPr>
          <w:i/>
          <w:sz w:val="18"/>
        </w:rPr>
        <w:t>back-up,</w:t>
      </w:r>
      <w:r>
        <w:rPr>
          <w:i/>
          <w:spacing w:val="-34"/>
          <w:sz w:val="18"/>
        </w:rPr>
        <w:t> </w:t>
      </w:r>
      <w:r>
        <w:rPr>
          <w:i/>
          <w:sz w:val="18"/>
        </w:rPr>
        <w:t>supply</w:t>
      </w:r>
      <w:r>
        <w:rPr>
          <w:i/>
          <w:spacing w:val="-34"/>
          <w:sz w:val="18"/>
        </w:rPr>
        <w:t> </w:t>
      </w:r>
      <w:r>
        <w:rPr>
          <w:i/>
          <w:sz w:val="18"/>
        </w:rPr>
        <w:t>of</w:t>
      </w:r>
      <w:r>
        <w:rPr>
          <w:i/>
          <w:spacing w:val="-34"/>
          <w:sz w:val="18"/>
        </w:rPr>
        <w:t> </w:t>
      </w:r>
      <w:r>
        <w:rPr>
          <w:i/>
          <w:sz w:val="18"/>
        </w:rPr>
        <w:t>telephone</w:t>
      </w:r>
      <w:r>
        <w:rPr>
          <w:i/>
          <w:spacing w:val="-33"/>
          <w:sz w:val="18"/>
        </w:rPr>
        <w:t> </w:t>
      </w:r>
      <w:r>
        <w:rPr>
          <w:i/>
          <w:sz w:val="18"/>
        </w:rPr>
        <w:t>lines,</w:t>
      </w:r>
      <w:r>
        <w:rPr>
          <w:i/>
          <w:spacing w:val="-34"/>
          <w:sz w:val="18"/>
        </w:rPr>
        <w:t> </w:t>
      </w:r>
      <w:r>
        <w:rPr>
          <w:i/>
          <w:sz w:val="18"/>
        </w:rPr>
        <w:t>infrastructure</w:t>
      </w:r>
      <w:r>
        <w:rPr>
          <w:i/>
          <w:spacing w:val="-33"/>
          <w:sz w:val="18"/>
        </w:rPr>
        <w:t> </w:t>
      </w:r>
      <w:r>
        <w:rPr>
          <w:i/>
          <w:sz w:val="18"/>
        </w:rPr>
        <w:t>for</w:t>
      </w:r>
      <w:r>
        <w:rPr>
          <w:i/>
          <w:spacing w:val="-33"/>
          <w:sz w:val="18"/>
        </w:rPr>
        <w:t> </w:t>
      </w:r>
      <w:r>
        <w:rPr>
          <w:i/>
          <w:sz w:val="18"/>
        </w:rPr>
        <w:t>access</w:t>
      </w:r>
      <w:r>
        <w:rPr>
          <w:i/>
          <w:spacing w:val="-34"/>
          <w:sz w:val="18"/>
        </w:rPr>
        <w:t> </w:t>
      </w:r>
      <w:r>
        <w:rPr>
          <w:i/>
          <w:sz w:val="18"/>
        </w:rPr>
        <w:t>to </w:t>
      </w:r>
      <w:r>
        <w:rPr>
          <w:i/>
          <w:w w:val="95"/>
          <w:sz w:val="18"/>
        </w:rPr>
        <w:t>internet,</w:t>
      </w:r>
      <w:r>
        <w:rPr>
          <w:i/>
          <w:spacing w:val="-19"/>
          <w:w w:val="95"/>
          <w:sz w:val="18"/>
        </w:rPr>
        <w:t> </w:t>
      </w:r>
      <w:r>
        <w:rPr>
          <w:i/>
          <w:w w:val="95"/>
          <w:sz w:val="18"/>
        </w:rPr>
        <w:t>central</w:t>
      </w:r>
      <w:r>
        <w:rPr>
          <w:i/>
          <w:spacing w:val="-19"/>
          <w:w w:val="95"/>
          <w:sz w:val="18"/>
        </w:rPr>
        <w:t> </w:t>
      </w:r>
      <w:r>
        <w:rPr>
          <w:i/>
          <w:w w:val="95"/>
          <w:sz w:val="18"/>
        </w:rPr>
        <w:t>air-conditioning,</w:t>
      </w:r>
      <w:r>
        <w:rPr>
          <w:i/>
          <w:spacing w:val="-17"/>
          <w:w w:val="95"/>
          <w:sz w:val="18"/>
        </w:rPr>
        <w:t> </w:t>
      </w:r>
      <w:r>
        <w:rPr>
          <w:i/>
          <w:w w:val="95"/>
          <w:sz w:val="18"/>
        </w:rPr>
        <w:t>spacious</w:t>
      </w:r>
      <w:r>
        <w:rPr>
          <w:i/>
          <w:spacing w:val="-17"/>
          <w:w w:val="95"/>
          <w:sz w:val="18"/>
        </w:rPr>
        <w:t> </w:t>
      </w:r>
      <w:r>
        <w:rPr>
          <w:i/>
          <w:w w:val="95"/>
          <w:sz w:val="18"/>
        </w:rPr>
        <w:t>and</w:t>
      </w:r>
      <w:r>
        <w:rPr>
          <w:i/>
          <w:spacing w:val="-17"/>
          <w:w w:val="95"/>
          <w:sz w:val="18"/>
        </w:rPr>
        <w:t> </w:t>
      </w:r>
      <w:r>
        <w:rPr>
          <w:i/>
          <w:w w:val="95"/>
          <w:sz w:val="18"/>
        </w:rPr>
        <w:t>well</w:t>
      </w:r>
      <w:r>
        <w:rPr>
          <w:i/>
          <w:spacing w:val="-18"/>
          <w:w w:val="95"/>
          <w:sz w:val="18"/>
        </w:rPr>
        <w:t> </w:t>
      </w:r>
      <w:r>
        <w:rPr>
          <w:i/>
          <w:w w:val="95"/>
          <w:sz w:val="18"/>
        </w:rPr>
        <w:t>decorated</w:t>
      </w:r>
      <w:r>
        <w:rPr>
          <w:i/>
          <w:spacing w:val="-18"/>
          <w:w w:val="95"/>
          <w:sz w:val="18"/>
        </w:rPr>
        <w:t> </w:t>
      </w:r>
      <w:r>
        <w:rPr>
          <w:i/>
          <w:w w:val="95"/>
          <w:sz w:val="18"/>
        </w:rPr>
        <w:t>lobbies,</w:t>
      </w:r>
      <w:r>
        <w:rPr>
          <w:i/>
          <w:spacing w:val="-18"/>
          <w:w w:val="95"/>
          <w:sz w:val="18"/>
        </w:rPr>
        <w:t> </w:t>
      </w:r>
      <w:r>
        <w:rPr>
          <w:i/>
          <w:w w:val="95"/>
          <w:sz w:val="18"/>
        </w:rPr>
        <w:t>circulation</w:t>
      </w:r>
      <w:r>
        <w:rPr>
          <w:i/>
          <w:spacing w:val="-19"/>
          <w:w w:val="95"/>
          <w:sz w:val="18"/>
        </w:rPr>
        <w:t> </w:t>
      </w:r>
      <w:r>
        <w:rPr>
          <w:i/>
          <w:w w:val="95"/>
          <w:sz w:val="18"/>
        </w:rPr>
        <w:t>areas,</w:t>
      </w:r>
      <w:r>
        <w:rPr>
          <w:i/>
          <w:spacing w:val="-16"/>
          <w:w w:val="95"/>
          <w:sz w:val="18"/>
        </w:rPr>
        <w:t> </w:t>
      </w:r>
      <w:r>
        <w:rPr>
          <w:i/>
          <w:w w:val="95"/>
          <w:sz w:val="18"/>
        </w:rPr>
        <w:t>lift</w:t>
      </w:r>
      <w:r>
        <w:rPr>
          <w:i/>
          <w:spacing w:val="-18"/>
          <w:w w:val="95"/>
          <w:sz w:val="18"/>
        </w:rPr>
        <w:t> </w:t>
      </w:r>
      <w:r>
        <w:rPr>
          <w:i/>
          <w:w w:val="95"/>
          <w:sz w:val="18"/>
        </w:rPr>
        <w:t>services,</w:t>
      </w:r>
      <w:r>
        <w:rPr>
          <w:i/>
          <w:spacing w:val="-17"/>
          <w:w w:val="95"/>
          <w:sz w:val="18"/>
        </w:rPr>
        <w:t> </w:t>
      </w:r>
      <w:r>
        <w:rPr>
          <w:i/>
          <w:w w:val="95"/>
          <w:sz w:val="18"/>
        </w:rPr>
        <w:t>sufficient</w:t>
      </w:r>
      <w:r>
        <w:rPr>
          <w:i/>
          <w:spacing w:val="-18"/>
          <w:w w:val="95"/>
          <w:sz w:val="18"/>
        </w:rPr>
        <w:t> </w:t>
      </w:r>
      <w:r>
        <w:rPr>
          <w:i/>
          <w:w w:val="95"/>
          <w:sz w:val="18"/>
        </w:rPr>
        <w:t>parking</w:t>
      </w:r>
      <w:r>
        <w:rPr>
          <w:i/>
          <w:spacing w:val="-16"/>
          <w:w w:val="95"/>
          <w:sz w:val="18"/>
        </w:rPr>
        <w:t> </w:t>
      </w:r>
      <w:r>
        <w:rPr>
          <w:i/>
          <w:w w:val="95"/>
          <w:sz w:val="18"/>
        </w:rPr>
        <w:t>facilities,</w:t>
      </w:r>
      <w:r>
        <w:rPr>
          <w:i/>
          <w:spacing w:val="-17"/>
          <w:w w:val="95"/>
          <w:sz w:val="18"/>
        </w:rPr>
        <w:t> </w:t>
      </w:r>
      <w:r>
        <w:rPr>
          <w:i/>
          <w:w w:val="95"/>
          <w:sz w:val="18"/>
        </w:rPr>
        <w:t>etc.</w:t>
      </w:r>
    </w:p>
    <w:p>
      <w:pPr>
        <w:spacing w:before="2"/>
        <w:ind w:left="140" w:right="0" w:firstLine="0"/>
        <w:jc w:val="both"/>
        <w:rPr>
          <w:i/>
          <w:sz w:val="18"/>
        </w:rPr>
      </w:pPr>
      <w:r>
        <w:rPr>
          <w:i/>
          <w:sz w:val="18"/>
        </w:rPr>
        <w:t>^includes IT/ ITeS and SEZ stock</w:t>
      </w:r>
    </w:p>
    <w:p>
      <w:pPr>
        <w:spacing w:after="0"/>
        <w:jc w:val="both"/>
        <w:rPr>
          <w:sz w:val="18"/>
        </w:rPr>
        <w:sectPr>
          <w:pgSz w:w="11910" w:h="16840"/>
          <w:pgMar w:header="720" w:footer="921" w:top="1660" w:bottom="1120" w:left="580" w:right="600"/>
        </w:sectPr>
      </w:pPr>
    </w:p>
    <w:p>
      <w:pPr>
        <w:pStyle w:val="BodyText"/>
        <w:spacing w:before="4"/>
        <w:rPr>
          <w:i/>
          <w:sz w:val="18"/>
        </w:rPr>
      </w:pPr>
    </w:p>
    <w:p>
      <w:pPr>
        <w:pStyle w:val="BodyText"/>
        <w:ind w:left="406"/>
        <w:rPr>
          <w:sz w:val="20"/>
        </w:rPr>
      </w:pPr>
      <w:r>
        <w:rPr>
          <w:sz w:val="20"/>
        </w:rPr>
        <w:pict>
          <v:group style="width:496.95pt;height:18pt;mso-position-horizontal-relative:char;mso-position-vertical-relative:line" coordorigin="0,0" coordsize="9939,360">
            <v:rect style="position:absolute;left:0;top:28;width:9939;height:332" filled="true" fillcolor="#006a4d" stroked="false">
              <v:fill type="solid"/>
            </v:rect>
            <v:rect style="position:absolute;left:0;top:0;width:9939;height:29" filled="true" fillcolor="#1f6b16" stroked="false">
              <v:fill type="solid"/>
            </v:rect>
            <v:rect style="position:absolute;left:0;top:28;width:9939;height:3" filled="true" fillcolor="#006a4d" stroked="false">
              <v:fill type="solid"/>
            </v:rect>
            <v:shape style="position:absolute;left:0;top:28;width:9939;height:332" type="#_x0000_t202" filled="false" stroked="false">
              <v:textbox inset="0,0,0,0">
                <w:txbxContent>
                  <w:p>
                    <w:pPr>
                      <w:spacing w:before="61"/>
                      <w:ind w:left="3270" w:right="3269" w:firstLine="0"/>
                      <w:jc w:val="center"/>
                      <w:rPr>
                        <w:b/>
                        <w:sz w:val="18"/>
                      </w:rPr>
                    </w:pPr>
                    <w:r>
                      <w:rPr>
                        <w:b/>
                        <w:color w:val="FFFFFF"/>
                        <w:w w:val="115"/>
                        <w:sz w:val="18"/>
                      </w:rPr>
                      <w:t>Demand – Supply Dynamics (Noida)</w:t>
                    </w:r>
                  </w:p>
                </w:txbxContent>
              </v:textbox>
              <w10:wrap type="none"/>
            </v:shape>
          </v:group>
        </w:pict>
      </w:r>
      <w:r>
        <w:rPr>
          <w:sz w:val="20"/>
        </w:rPr>
      </w:r>
    </w:p>
    <w:p>
      <w:pPr>
        <w:pStyle w:val="BodyText"/>
        <w:spacing w:before="10"/>
        <w:rPr>
          <w:i/>
        </w:rPr>
      </w:pPr>
      <w:r>
        <w:rPr/>
        <w:drawing>
          <wp:anchor distT="0" distB="0" distL="0" distR="0" allowOverlap="1" layoutInCell="1" locked="0" behindDoc="0" simplePos="0" relativeHeight="1169">
            <wp:simplePos x="0" y="0"/>
            <wp:positionH relativeFrom="page">
              <wp:posOffset>1200415</wp:posOffset>
            </wp:positionH>
            <wp:positionV relativeFrom="paragraph">
              <wp:posOffset>193905</wp:posOffset>
            </wp:positionV>
            <wp:extent cx="5566824" cy="3161252"/>
            <wp:effectExtent l="0" t="0" r="0" b="0"/>
            <wp:wrapTopAndBottom/>
            <wp:docPr id="243" name="image184.jpeg"/>
            <wp:cNvGraphicFramePr>
              <a:graphicFrameLocks noChangeAspect="1"/>
            </wp:cNvGraphicFramePr>
            <a:graphic>
              <a:graphicData uri="http://schemas.openxmlformats.org/drawingml/2006/picture">
                <pic:pic>
                  <pic:nvPicPr>
                    <pic:cNvPr id="244" name="image184.jpeg"/>
                    <pic:cNvPicPr/>
                  </pic:nvPicPr>
                  <pic:blipFill>
                    <a:blip r:embed="rId243" cstate="print"/>
                    <a:stretch>
                      <a:fillRect/>
                    </a:stretch>
                  </pic:blipFill>
                  <pic:spPr>
                    <a:xfrm>
                      <a:off x="0" y="0"/>
                      <a:ext cx="5566824" cy="3161252"/>
                    </a:xfrm>
                    <a:prstGeom prst="rect">
                      <a:avLst/>
                    </a:prstGeom>
                  </pic:spPr>
                </pic:pic>
              </a:graphicData>
            </a:graphic>
          </wp:anchor>
        </w:drawing>
      </w:r>
    </w:p>
    <w:p>
      <w:pPr>
        <w:pStyle w:val="BodyText"/>
        <w:spacing w:before="1"/>
        <w:rPr>
          <w:i/>
          <w:sz w:val="9"/>
        </w:rPr>
      </w:pPr>
    </w:p>
    <w:p>
      <w:pPr>
        <w:tabs>
          <w:tab w:pos="2492" w:val="left" w:leader="none"/>
          <w:tab w:pos="10344" w:val="left" w:leader="none"/>
        </w:tabs>
        <w:spacing w:before="105"/>
        <w:ind w:left="406" w:right="0" w:firstLine="0"/>
        <w:jc w:val="left"/>
        <w:rPr>
          <w:b/>
          <w:sz w:val="18"/>
        </w:rPr>
      </w:pPr>
      <w:r>
        <w:rPr>
          <w:b/>
          <w:color w:val="FFFFFF"/>
          <w:w w:val="103"/>
          <w:sz w:val="18"/>
          <w:shd w:fill="006A4D" w:color="auto" w:val="clear"/>
        </w:rPr>
        <w:t> </w:t>
      </w:r>
      <w:r>
        <w:rPr>
          <w:b/>
          <w:color w:val="FFFFFF"/>
          <w:sz w:val="18"/>
          <w:shd w:fill="006A4D" w:color="auto" w:val="clear"/>
        </w:rPr>
        <w:tab/>
      </w:r>
      <w:r>
        <w:rPr>
          <w:b/>
          <w:color w:val="FFFFFF"/>
          <w:w w:val="115"/>
          <w:sz w:val="18"/>
          <w:shd w:fill="006A4D" w:color="auto" w:val="clear"/>
        </w:rPr>
        <w:t>Demand</w:t>
      </w:r>
      <w:r>
        <w:rPr>
          <w:b/>
          <w:color w:val="FFFFFF"/>
          <w:spacing w:val="-39"/>
          <w:w w:val="115"/>
          <w:sz w:val="18"/>
          <w:shd w:fill="006A4D" w:color="auto" w:val="clear"/>
        </w:rPr>
        <w:t> </w:t>
      </w:r>
      <w:r>
        <w:rPr>
          <w:b/>
          <w:color w:val="FFFFFF"/>
          <w:w w:val="115"/>
          <w:sz w:val="18"/>
          <w:shd w:fill="006A4D" w:color="auto" w:val="clear"/>
        </w:rPr>
        <w:t>–</w:t>
      </w:r>
      <w:r>
        <w:rPr>
          <w:b/>
          <w:color w:val="FFFFFF"/>
          <w:spacing w:val="-39"/>
          <w:w w:val="115"/>
          <w:sz w:val="18"/>
          <w:shd w:fill="006A4D" w:color="auto" w:val="clear"/>
        </w:rPr>
        <w:t> </w:t>
      </w:r>
      <w:r>
        <w:rPr>
          <w:b/>
          <w:color w:val="FFFFFF"/>
          <w:w w:val="115"/>
          <w:sz w:val="18"/>
          <w:shd w:fill="006A4D" w:color="auto" w:val="clear"/>
        </w:rPr>
        <w:t>Supply</w:t>
      </w:r>
      <w:r>
        <w:rPr>
          <w:b/>
          <w:color w:val="FFFFFF"/>
          <w:spacing w:val="-38"/>
          <w:w w:val="115"/>
          <w:sz w:val="18"/>
          <w:shd w:fill="006A4D" w:color="auto" w:val="clear"/>
        </w:rPr>
        <w:t> </w:t>
      </w:r>
      <w:r>
        <w:rPr>
          <w:b/>
          <w:color w:val="FFFFFF"/>
          <w:w w:val="115"/>
          <w:sz w:val="18"/>
          <w:shd w:fill="006A4D" w:color="auto" w:val="clear"/>
        </w:rPr>
        <w:t>Dynamics</w:t>
      </w:r>
      <w:r>
        <w:rPr>
          <w:b/>
          <w:color w:val="FFFFFF"/>
          <w:spacing w:val="-38"/>
          <w:w w:val="115"/>
          <w:sz w:val="18"/>
          <w:shd w:fill="006A4D" w:color="auto" w:val="clear"/>
        </w:rPr>
        <w:t> </w:t>
      </w:r>
      <w:r>
        <w:rPr>
          <w:b/>
          <w:color w:val="FFFFFF"/>
          <w:w w:val="115"/>
          <w:sz w:val="18"/>
          <w:shd w:fill="006A4D" w:color="auto" w:val="clear"/>
        </w:rPr>
        <w:t>(Noida-Greater</w:t>
      </w:r>
      <w:r>
        <w:rPr>
          <w:b/>
          <w:color w:val="FFFFFF"/>
          <w:spacing w:val="-38"/>
          <w:w w:val="115"/>
          <w:sz w:val="18"/>
          <w:shd w:fill="006A4D" w:color="auto" w:val="clear"/>
        </w:rPr>
        <w:t> </w:t>
      </w:r>
      <w:r>
        <w:rPr>
          <w:b/>
          <w:color w:val="FFFFFF"/>
          <w:w w:val="115"/>
          <w:sz w:val="18"/>
          <w:shd w:fill="006A4D" w:color="auto" w:val="clear"/>
        </w:rPr>
        <w:t>Noida</w:t>
      </w:r>
      <w:r>
        <w:rPr>
          <w:b/>
          <w:color w:val="FFFFFF"/>
          <w:spacing w:val="-39"/>
          <w:w w:val="115"/>
          <w:sz w:val="18"/>
          <w:shd w:fill="006A4D" w:color="auto" w:val="clear"/>
        </w:rPr>
        <w:t> </w:t>
      </w:r>
      <w:r>
        <w:rPr>
          <w:b/>
          <w:color w:val="FFFFFF"/>
          <w:w w:val="115"/>
          <w:sz w:val="18"/>
          <w:shd w:fill="006A4D" w:color="auto" w:val="clear"/>
        </w:rPr>
        <w:t>Expressway)</w:t>
      </w:r>
      <w:r>
        <w:rPr>
          <w:b/>
          <w:color w:val="FFFFFF"/>
          <w:sz w:val="18"/>
          <w:shd w:fill="006A4D" w:color="auto" w:val="clear"/>
        </w:rPr>
        <w:tab/>
      </w:r>
    </w:p>
    <w:p>
      <w:pPr>
        <w:pStyle w:val="BodyText"/>
        <w:rPr>
          <w:b/>
          <w:sz w:val="20"/>
        </w:rPr>
      </w:pPr>
    </w:p>
    <w:p>
      <w:pPr>
        <w:pStyle w:val="BodyText"/>
        <w:spacing w:before="11"/>
        <w:rPr>
          <w:b/>
          <w:sz w:val="10"/>
        </w:rPr>
      </w:pPr>
      <w:r>
        <w:rPr/>
        <w:drawing>
          <wp:anchor distT="0" distB="0" distL="0" distR="0" allowOverlap="1" layoutInCell="1" locked="0" behindDoc="0" simplePos="0" relativeHeight="1170">
            <wp:simplePos x="0" y="0"/>
            <wp:positionH relativeFrom="page">
              <wp:posOffset>1202043</wp:posOffset>
            </wp:positionH>
            <wp:positionV relativeFrom="paragraph">
              <wp:posOffset>105515</wp:posOffset>
            </wp:positionV>
            <wp:extent cx="5615917" cy="3076003"/>
            <wp:effectExtent l="0" t="0" r="0" b="0"/>
            <wp:wrapTopAndBottom/>
            <wp:docPr id="245" name="image185.jpeg"/>
            <wp:cNvGraphicFramePr>
              <a:graphicFrameLocks noChangeAspect="1"/>
            </wp:cNvGraphicFramePr>
            <a:graphic>
              <a:graphicData uri="http://schemas.openxmlformats.org/drawingml/2006/picture">
                <pic:pic>
                  <pic:nvPicPr>
                    <pic:cNvPr id="246" name="image185.jpeg"/>
                    <pic:cNvPicPr/>
                  </pic:nvPicPr>
                  <pic:blipFill>
                    <a:blip r:embed="rId244" cstate="print"/>
                    <a:stretch>
                      <a:fillRect/>
                    </a:stretch>
                  </pic:blipFill>
                  <pic:spPr>
                    <a:xfrm>
                      <a:off x="0" y="0"/>
                      <a:ext cx="5615917" cy="3076003"/>
                    </a:xfrm>
                    <a:prstGeom prst="rect">
                      <a:avLst/>
                    </a:prstGeom>
                  </pic:spPr>
                </pic:pic>
              </a:graphicData>
            </a:graphic>
          </wp:anchor>
        </w:drawing>
      </w:r>
    </w:p>
    <w:p>
      <w:pPr>
        <w:pStyle w:val="BodyText"/>
        <w:rPr>
          <w:b/>
        </w:rPr>
      </w:pPr>
    </w:p>
    <w:p>
      <w:pPr>
        <w:spacing w:line="321" w:lineRule="auto" w:before="128"/>
        <w:ind w:left="140" w:right="115" w:firstLine="0"/>
        <w:jc w:val="both"/>
        <w:rPr>
          <w:i/>
          <w:sz w:val="18"/>
        </w:rPr>
      </w:pPr>
      <w:r>
        <w:rPr>
          <w:i/>
          <w:sz w:val="18"/>
        </w:rPr>
        <w:t>Source:</w:t>
      </w:r>
      <w:r>
        <w:rPr>
          <w:i/>
          <w:spacing w:val="-31"/>
          <w:sz w:val="18"/>
        </w:rPr>
        <w:t> </w:t>
      </w:r>
      <w:r>
        <w:rPr>
          <w:i/>
          <w:sz w:val="18"/>
        </w:rPr>
        <w:t>CBRE</w:t>
      </w:r>
      <w:r>
        <w:rPr>
          <w:i/>
          <w:spacing w:val="-29"/>
          <w:sz w:val="18"/>
        </w:rPr>
        <w:t> </w:t>
      </w:r>
      <w:r>
        <w:rPr>
          <w:i/>
          <w:sz w:val="18"/>
        </w:rPr>
        <w:t>Research;</w:t>
      </w:r>
      <w:r>
        <w:rPr>
          <w:i/>
          <w:spacing w:val="-30"/>
          <w:sz w:val="18"/>
        </w:rPr>
        <w:t> </w:t>
      </w:r>
      <w:r>
        <w:rPr>
          <w:i/>
          <w:sz w:val="18"/>
        </w:rPr>
        <w:t>Note:</w:t>
      </w:r>
      <w:r>
        <w:rPr>
          <w:i/>
          <w:spacing w:val="-31"/>
          <w:sz w:val="18"/>
        </w:rPr>
        <w:t> </w:t>
      </w:r>
      <w:r>
        <w:rPr>
          <w:i/>
          <w:sz w:val="18"/>
        </w:rPr>
        <w:t>Supply</w:t>
      </w:r>
      <w:r>
        <w:rPr>
          <w:i/>
          <w:spacing w:val="-28"/>
          <w:sz w:val="18"/>
        </w:rPr>
        <w:t> </w:t>
      </w:r>
      <w:r>
        <w:rPr>
          <w:i/>
          <w:w w:val="105"/>
          <w:sz w:val="18"/>
        </w:rPr>
        <w:t>–</w:t>
      </w:r>
      <w:r>
        <w:rPr>
          <w:i/>
          <w:spacing w:val="-33"/>
          <w:w w:val="105"/>
          <w:sz w:val="18"/>
        </w:rPr>
        <w:t> </w:t>
      </w:r>
      <w:r>
        <w:rPr>
          <w:i/>
          <w:sz w:val="18"/>
        </w:rPr>
        <w:t>refers</w:t>
      </w:r>
      <w:r>
        <w:rPr>
          <w:i/>
          <w:spacing w:val="-29"/>
          <w:sz w:val="18"/>
        </w:rPr>
        <w:t> </w:t>
      </w:r>
      <w:r>
        <w:rPr>
          <w:i/>
          <w:sz w:val="18"/>
        </w:rPr>
        <w:t>to</w:t>
      </w:r>
      <w:r>
        <w:rPr>
          <w:i/>
          <w:spacing w:val="-30"/>
          <w:sz w:val="18"/>
        </w:rPr>
        <w:t> </w:t>
      </w:r>
      <w:r>
        <w:rPr>
          <w:i/>
          <w:sz w:val="18"/>
        </w:rPr>
        <w:t>fresh</w:t>
      </w:r>
      <w:r>
        <w:rPr>
          <w:i/>
          <w:spacing w:val="-30"/>
          <w:sz w:val="18"/>
        </w:rPr>
        <w:t> </w:t>
      </w:r>
      <w:r>
        <w:rPr>
          <w:i/>
          <w:sz w:val="18"/>
        </w:rPr>
        <w:t>completed</w:t>
      </w:r>
      <w:r>
        <w:rPr>
          <w:i/>
          <w:spacing w:val="-30"/>
          <w:sz w:val="18"/>
        </w:rPr>
        <w:t> </w:t>
      </w:r>
      <w:r>
        <w:rPr>
          <w:i/>
          <w:sz w:val="18"/>
        </w:rPr>
        <w:t>supply</w:t>
      </w:r>
      <w:r>
        <w:rPr>
          <w:i/>
          <w:spacing w:val="-31"/>
          <w:sz w:val="18"/>
        </w:rPr>
        <w:t> </w:t>
      </w:r>
      <w:r>
        <w:rPr>
          <w:i/>
          <w:sz w:val="18"/>
        </w:rPr>
        <w:t>added</w:t>
      </w:r>
      <w:r>
        <w:rPr>
          <w:i/>
          <w:spacing w:val="-29"/>
          <w:sz w:val="18"/>
        </w:rPr>
        <w:t> </w:t>
      </w:r>
      <w:r>
        <w:rPr>
          <w:i/>
          <w:sz w:val="18"/>
        </w:rPr>
        <w:t>each</w:t>
      </w:r>
      <w:r>
        <w:rPr>
          <w:i/>
          <w:spacing w:val="-30"/>
          <w:sz w:val="18"/>
        </w:rPr>
        <w:t> </w:t>
      </w:r>
      <w:r>
        <w:rPr>
          <w:i/>
          <w:sz w:val="18"/>
        </w:rPr>
        <w:t>year;</w:t>
      </w:r>
      <w:r>
        <w:rPr>
          <w:i/>
          <w:spacing w:val="-30"/>
          <w:sz w:val="18"/>
        </w:rPr>
        <w:t> </w:t>
      </w:r>
      <w:r>
        <w:rPr>
          <w:i/>
          <w:sz w:val="18"/>
        </w:rPr>
        <w:t>Absorption</w:t>
      </w:r>
      <w:r>
        <w:rPr>
          <w:i/>
          <w:spacing w:val="-27"/>
          <w:sz w:val="18"/>
        </w:rPr>
        <w:t> </w:t>
      </w:r>
      <w:r>
        <w:rPr>
          <w:i/>
          <w:w w:val="105"/>
          <w:sz w:val="18"/>
        </w:rPr>
        <w:t>–</w:t>
      </w:r>
      <w:r>
        <w:rPr>
          <w:i/>
          <w:spacing w:val="-33"/>
          <w:w w:val="105"/>
          <w:sz w:val="18"/>
        </w:rPr>
        <w:t> </w:t>
      </w:r>
      <w:r>
        <w:rPr>
          <w:i/>
          <w:sz w:val="18"/>
        </w:rPr>
        <w:t>refers</w:t>
      </w:r>
      <w:r>
        <w:rPr>
          <w:i/>
          <w:spacing w:val="-29"/>
          <w:sz w:val="18"/>
        </w:rPr>
        <w:t> </w:t>
      </w:r>
      <w:r>
        <w:rPr>
          <w:i/>
          <w:sz w:val="18"/>
        </w:rPr>
        <w:t>to</w:t>
      </w:r>
      <w:r>
        <w:rPr>
          <w:i/>
          <w:spacing w:val="-30"/>
          <w:sz w:val="18"/>
        </w:rPr>
        <w:t> </w:t>
      </w:r>
      <w:r>
        <w:rPr>
          <w:i/>
          <w:sz w:val="18"/>
        </w:rPr>
        <w:t>the</w:t>
      </w:r>
      <w:r>
        <w:rPr>
          <w:i/>
          <w:spacing w:val="-30"/>
          <w:sz w:val="18"/>
        </w:rPr>
        <w:t> </w:t>
      </w:r>
      <w:r>
        <w:rPr>
          <w:i/>
          <w:sz w:val="18"/>
        </w:rPr>
        <w:t>quantum</w:t>
      </w:r>
      <w:r>
        <w:rPr>
          <w:i/>
          <w:spacing w:val="-31"/>
          <w:sz w:val="18"/>
        </w:rPr>
        <w:t> </w:t>
      </w:r>
      <w:r>
        <w:rPr>
          <w:i/>
          <w:sz w:val="18"/>
        </w:rPr>
        <w:t>of</w:t>
      </w:r>
      <w:r>
        <w:rPr>
          <w:i/>
          <w:spacing w:val="-29"/>
          <w:sz w:val="18"/>
        </w:rPr>
        <w:t> </w:t>
      </w:r>
      <w:r>
        <w:rPr>
          <w:i/>
          <w:sz w:val="18"/>
        </w:rPr>
        <w:t>leasing </w:t>
      </w:r>
      <w:r>
        <w:rPr>
          <w:i/>
          <w:sz w:val="18"/>
        </w:rPr>
        <w:t>witnessed</w:t>
      </w:r>
      <w:r>
        <w:rPr>
          <w:i/>
          <w:spacing w:val="-35"/>
          <w:sz w:val="18"/>
        </w:rPr>
        <w:t> </w:t>
      </w:r>
      <w:r>
        <w:rPr>
          <w:i/>
          <w:sz w:val="18"/>
        </w:rPr>
        <w:t>in</w:t>
      </w:r>
      <w:r>
        <w:rPr>
          <w:i/>
          <w:spacing w:val="-35"/>
          <w:sz w:val="18"/>
        </w:rPr>
        <w:t> </w:t>
      </w:r>
      <w:r>
        <w:rPr>
          <w:i/>
          <w:sz w:val="18"/>
        </w:rPr>
        <w:t>each</w:t>
      </w:r>
      <w:r>
        <w:rPr>
          <w:i/>
          <w:spacing w:val="-35"/>
          <w:sz w:val="18"/>
        </w:rPr>
        <w:t> </w:t>
      </w:r>
      <w:r>
        <w:rPr>
          <w:i/>
          <w:sz w:val="18"/>
        </w:rPr>
        <w:t>year</w:t>
      </w:r>
      <w:r>
        <w:rPr>
          <w:i/>
          <w:spacing w:val="-35"/>
          <w:sz w:val="18"/>
        </w:rPr>
        <w:t> </w:t>
      </w:r>
      <w:r>
        <w:rPr>
          <w:i/>
          <w:sz w:val="18"/>
        </w:rPr>
        <w:t>as</w:t>
      </w:r>
      <w:r>
        <w:rPr>
          <w:i/>
          <w:spacing w:val="-36"/>
          <w:sz w:val="18"/>
        </w:rPr>
        <w:t> </w:t>
      </w:r>
      <w:r>
        <w:rPr>
          <w:i/>
          <w:sz w:val="18"/>
        </w:rPr>
        <w:t>part</w:t>
      </w:r>
      <w:r>
        <w:rPr>
          <w:i/>
          <w:spacing w:val="-36"/>
          <w:sz w:val="18"/>
        </w:rPr>
        <w:t> </w:t>
      </w:r>
      <w:r>
        <w:rPr>
          <w:i/>
          <w:sz w:val="18"/>
        </w:rPr>
        <w:t>of</w:t>
      </w:r>
      <w:r>
        <w:rPr>
          <w:i/>
          <w:spacing w:val="-35"/>
          <w:sz w:val="18"/>
        </w:rPr>
        <w:t> </w:t>
      </w:r>
      <w:r>
        <w:rPr>
          <w:i/>
          <w:sz w:val="18"/>
        </w:rPr>
        <w:t>completed</w:t>
      </w:r>
      <w:r>
        <w:rPr>
          <w:i/>
          <w:spacing w:val="-35"/>
          <w:sz w:val="18"/>
        </w:rPr>
        <w:t> </w:t>
      </w:r>
      <w:r>
        <w:rPr>
          <w:i/>
          <w:sz w:val="18"/>
        </w:rPr>
        <w:t>space;</w:t>
      </w:r>
      <w:r>
        <w:rPr>
          <w:i/>
          <w:spacing w:val="-36"/>
          <w:sz w:val="18"/>
        </w:rPr>
        <w:t> </w:t>
      </w:r>
      <w:r>
        <w:rPr>
          <w:i/>
          <w:sz w:val="18"/>
        </w:rPr>
        <w:t>the</w:t>
      </w:r>
      <w:r>
        <w:rPr>
          <w:i/>
          <w:spacing w:val="-35"/>
          <w:sz w:val="18"/>
        </w:rPr>
        <w:t> </w:t>
      </w:r>
      <w:r>
        <w:rPr>
          <w:i/>
          <w:sz w:val="18"/>
        </w:rPr>
        <w:t>vacancy</w:t>
      </w:r>
      <w:r>
        <w:rPr>
          <w:i/>
          <w:spacing w:val="-37"/>
          <w:sz w:val="18"/>
        </w:rPr>
        <w:t> </w:t>
      </w:r>
      <w:r>
        <w:rPr>
          <w:i/>
          <w:sz w:val="18"/>
        </w:rPr>
        <w:t>in</w:t>
      </w:r>
      <w:r>
        <w:rPr>
          <w:i/>
          <w:spacing w:val="-34"/>
          <w:sz w:val="18"/>
        </w:rPr>
        <w:t> </w:t>
      </w:r>
      <w:r>
        <w:rPr>
          <w:i/>
          <w:sz w:val="18"/>
        </w:rPr>
        <w:t>the</w:t>
      </w:r>
      <w:r>
        <w:rPr>
          <w:i/>
          <w:spacing w:val="-37"/>
          <w:sz w:val="18"/>
        </w:rPr>
        <w:t> </w:t>
      </w:r>
      <w:r>
        <w:rPr>
          <w:i/>
          <w:sz w:val="18"/>
        </w:rPr>
        <w:t>chart</w:t>
      </w:r>
      <w:r>
        <w:rPr>
          <w:i/>
          <w:spacing w:val="-34"/>
          <w:sz w:val="18"/>
        </w:rPr>
        <w:t> </w:t>
      </w:r>
      <w:r>
        <w:rPr>
          <w:i/>
          <w:sz w:val="18"/>
        </w:rPr>
        <w:t>accounts</w:t>
      </w:r>
      <w:r>
        <w:rPr>
          <w:i/>
          <w:spacing w:val="-35"/>
          <w:sz w:val="18"/>
        </w:rPr>
        <w:t> </w:t>
      </w:r>
      <w:r>
        <w:rPr>
          <w:i/>
          <w:sz w:val="18"/>
        </w:rPr>
        <w:t>for</w:t>
      </w:r>
      <w:r>
        <w:rPr>
          <w:i/>
          <w:spacing w:val="-35"/>
          <w:sz w:val="18"/>
        </w:rPr>
        <w:t> </w:t>
      </w:r>
      <w:r>
        <w:rPr>
          <w:i/>
          <w:sz w:val="18"/>
        </w:rPr>
        <w:t>the</w:t>
      </w:r>
      <w:r>
        <w:rPr>
          <w:i/>
          <w:spacing w:val="-32"/>
          <w:sz w:val="18"/>
        </w:rPr>
        <w:t> </w:t>
      </w:r>
      <w:r>
        <w:rPr>
          <w:i/>
          <w:sz w:val="18"/>
        </w:rPr>
        <w:t>gap</w:t>
      </w:r>
      <w:r>
        <w:rPr>
          <w:i/>
          <w:spacing w:val="-34"/>
          <w:sz w:val="18"/>
        </w:rPr>
        <w:t> </w:t>
      </w:r>
      <w:r>
        <w:rPr>
          <w:i/>
          <w:sz w:val="18"/>
        </w:rPr>
        <w:t>between</w:t>
      </w:r>
      <w:r>
        <w:rPr>
          <w:i/>
          <w:spacing w:val="-35"/>
          <w:sz w:val="18"/>
        </w:rPr>
        <w:t> </w:t>
      </w:r>
      <w:r>
        <w:rPr>
          <w:i/>
          <w:sz w:val="18"/>
        </w:rPr>
        <w:t>cumulative</w:t>
      </w:r>
      <w:r>
        <w:rPr>
          <w:i/>
          <w:spacing w:val="-36"/>
          <w:sz w:val="18"/>
        </w:rPr>
        <w:t> </w:t>
      </w:r>
      <w:r>
        <w:rPr>
          <w:i/>
          <w:sz w:val="18"/>
        </w:rPr>
        <w:t>stock</w:t>
      </w:r>
      <w:r>
        <w:rPr>
          <w:i/>
          <w:spacing w:val="-35"/>
          <w:sz w:val="18"/>
        </w:rPr>
        <w:t> </w:t>
      </w:r>
      <w:r>
        <w:rPr>
          <w:i/>
          <w:sz w:val="18"/>
        </w:rPr>
        <w:t>and</w:t>
      </w:r>
      <w:r>
        <w:rPr>
          <w:i/>
          <w:spacing w:val="-36"/>
          <w:sz w:val="18"/>
        </w:rPr>
        <w:t> </w:t>
      </w:r>
      <w:r>
        <w:rPr>
          <w:i/>
          <w:sz w:val="18"/>
        </w:rPr>
        <w:t>occupied stock in any given</w:t>
      </w:r>
      <w:r>
        <w:rPr>
          <w:i/>
          <w:spacing w:val="-14"/>
          <w:sz w:val="18"/>
        </w:rPr>
        <w:t> </w:t>
      </w:r>
      <w:r>
        <w:rPr>
          <w:i/>
          <w:sz w:val="18"/>
        </w:rPr>
        <w:t>year</w:t>
      </w:r>
    </w:p>
    <w:p>
      <w:pPr>
        <w:spacing w:after="0" w:line="321" w:lineRule="auto"/>
        <w:jc w:val="both"/>
        <w:rPr>
          <w:sz w:val="18"/>
        </w:rPr>
        <w:sectPr>
          <w:pgSz w:w="11910" w:h="16840"/>
          <w:pgMar w:header="720" w:footer="921" w:top="1660" w:bottom="1120" w:left="580" w:right="600"/>
        </w:sectPr>
      </w:pPr>
    </w:p>
    <w:p>
      <w:pPr>
        <w:pStyle w:val="BodyText"/>
        <w:spacing w:before="7"/>
        <w:rPr>
          <w:i/>
          <w:sz w:val="9"/>
        </w:rPr>
      </w:pPr>
    </w:p>
    <w:p>
      <w:pPr>
        <w:pStyle w:val="BodyText"/>
        <w:spacing w:line="321" w:lineRule="auto" w:before="106"/>
        <w:ind w:left="702" w:right="113" w:hanging="22"/>
        <w:jc w:val="both"/>
      </w:pPr>
      <w:r>
        <w:rPr/>
        <w:t>As</w:t>
      </w:r>
      <w:r>
        <w:rPr>
          <w:spacing w:val="-24"/>
        </w:rPr>
        <w:t> </w:t>
      </w:r>
      <w:r>
        <w:rPr/>
        <w:t>mentioned</w:t>
      </w:r>
      <w:r>
        <w:rPr>
          <w:spacing w:val="-23"/>
        </w:rPr>
        <w:t> </w:t>
      </w:r>
      <w:r>
        <w:rPr/>
        <w:t>earlier,</w:t>
      </w:r>
      <w:r>
        <w:rPr>
          <w:spacing w:val="-25"/>
        </w:rPr>
        <w:t> </w:t>
      </w:r>
      <w:r>
        <w:rPr/>
        <w:t>the</w:t>
      </w:r>
      <w:r>
        <w:rPr>
          <w:spacing w:val="-22"/>
        </w:rPr>
        <w:t> </w:t>
      </w:r>
      <w:r>
        <w:rPr/>
        <w:t>subject</w:t>
      </w:r>
      <w:r>
        <w:rPr>
          <w:spacing w:val="-25"/>
        </w:rPr>
        <w:t> </w:t>
      </w:r>
      <w:r>
        <w:rPr/>
        <w:t>region</w:t>
      </w:r>
      <w:r>
        <w:rPr>
          <w:spacing w:val="-24"/>
        </w:rPr>
        <w:t> </w:t>
      </w:r>
      <w:r>
        <w:rPr/>
        <w:t>has</w:t>
      </w:r>
      <w:r>
        <w:rPr>
          <w:spacing w:val="-24"/>
        </w:rPr>
        <w:t> </w:t>
      </w:r>
      <w:r>
        <w:rPr/>
        <w:t>emerged</w:t>
      </w:r>
      <w:r>
        <w:rPr>
          <w:spacing w:val="-23"/>
        </w:rPr>
        <w:t> </w:t>
      </w:r>
      <w:r>
        <w:rPr/>
        <w:t>as</w:t>
      </w:r>
      <w:r>
        <w:rPr>
          <w:spacing w:val="-24"/>
        </w:rPr>
        <w:t> </w:t>
      </w:r>
      <w:r>
        <w:rPr/>
        <w:t>a</w:t>
      </w:r>
      <w:r>
        <w:rPr>
          <w:spacing w:val="-24"/>
        </w:rPr>
        <w:t> </w:t>
      </w:r>
      <w:r>
        <w:rPr/>
        <w:t>preferred</w:t>
      </w:r>
      <w:r>
        <w:rPr>
          <w:spacing w:val="-24"/>
        </w:rPr>
        <w:t> </w:t>
      </w:r>
      <w:r>
        <w:rPr/>
        <w:t>business</w:t>
      </w:r>
      <w:r>
        <w:rPr>
          <w:spacing w:val="-23"/>
        </w:rPr>
        <w:t> </w:t>
      </w:r>
      <w:r>
        <w:rPr/>
        <w:t>destination</w:t>
      </w:r>
      <w:r>
        <w:rPr>
          <w:spacing w:val="-25"/>
        </w:rPr>
        <w:t> </w:t>
      </w:r>
      <w:r>
        <w:rPr/>
        <w:t>on</w:t>
      </w:r>
      <w:r>
        <w:rPr>
          <w:spacing w:val="-25"/>
        </w:rPr>
        <w:t> </w:t>
      </w:r>
      <w:r>
        <w:rPr/>
        <w:t>account</w:t>
      </w:r>
      <w:r>
        <w:rPr>
          <w:spacing w:val="-24"/>
        </w:rPr>
        <w:t> </w:t>
      </w:r>
      <w:r>
        <w:rPr/>
        <w:t>of availability</w:t>
      </w:r>
      <w:r>
        <w:rPr>
          <w:spacing w:val="-10"/>
        </w:rPr>
        <w:t> </w:t>
      </w:r>
      <w:r>
        <w:rPr/>
        <w:t>of</w:t>
      </w:r>
      <w:r>
        <w:rPr>
          <w:spacing w:val="-9"/>
        </w:rPr>
        <w:t> </w:t>
      </w:r>
      <w:r>
        <w:rPr/>
        <w:t>large-scale</w:t>
      </w:r>
      <w:r>
        <w:rPr>
          <w:spacing w:val="-11"/>
        </w:rPr>
        <w:t> </w:t>
      </w:r>
      <w:r>
        <w:rPr/>
        <w:t>integrated</w:t>
      </w:r>
      <w:r>
        <w:rPr>
          <w:spacing w:val="-9"/>
        </w:rPr>
        <w:t> </w:t>
      </w:r>
      <w:r>
        <w:rPr/>
        <w:t>IT</w:t>
      </w:r>
      <w:r>
        <w:rPr>
          <w:spacing w:val="-9"/>
        </w:rPr>
        <w:t> </w:t>
      </w:r>
      <w:r>
        <w:rPr/>
        <w:t>parks</w:t>
      </w:r>
      <w:r>
        <w:rPr>
          <w:spacing w:val="-9"/>
        </w:rPr>
        <w:t> </w:t>
      </w:r>
      <w:r>
        <w:rPr/>
        <w:t>and</w:t>
      </w:r>
      <w:r>
        <w:rPr>
          <w:spacing w:val="-10"/>
        </w:rPr>
        <w:t> </w:t>
      </w:r>
      <w:r>
        <w:rPr/>
        <w:t>well-laid</w:t>
      </w:r>
      <w:r>
        <w:rPr>
          <w:spacing w:val="-9"/>
        </w:rPr>
        <w:t> </w:t>
      </w:r>
      <w:r>
        <w:rPr/>
        <w:t>infrastructure.</w:t>
      </w:r>
      <w:r>
        <w:rPr>
          <w:spacing w:val="-11"/>
        </w:rPr>
        <w:t> </w:t>
      </w:r>
      <w:r>
        <w:rPr/>
        <w:t>Further,</w:t>
      </w:r>
      <w:r>
        <w:rPr>
          <w:spacing w:val="-10"/>
        </w:rPr>
        <w:t> </w:t>
      </w:r>
      <w:r>
        <w:rPr/>
        <w:t>the</w:t>
      </w:r>
      <w:r>
        <w:rPr>
          <w:spacing w:val="-10"/>
        </w:rPr>
        <w:t> </w:t>
      </w:r>
      <w:r>
        <w:rPr/>
        <w:t>emergence</w:t>
      </w:r>
      <w:r>
        <w:rPr>
          <w:spacing w:val="-9"/>
        </w:rPr>
        <w:t> </w:t>
      </w:r>
      <w:r>
        <w:rPr/>
        <w:t>of technology as the main driver of commercial office space demand has led to emergence of large integrated SEZ developments in the subject region such as Candor TechSpace located in Sector 135, Embassy</w:t>
      </w:r>
      <w:r>
        <w:rPr>
          <w:spacing w:val="-23"/>
        </w:rPr>
        <w:t> </w:t>
      </w:r>
      <w:r>
        <w:rPr/>
        <w:t>Oxygen</w:t>
      </w:r>
      <w:r>
        <w:rPr>
          <w:spacing w:val="-24"/>
        </w:rPr>
        <w:t> </w:t>
      </w:r>
      <w:r>
        <w:rPr/>
        <w:t>(‘the</w:t>
      </w:r>
      <w:r>
        <w:rPr>
          <w:spacing w:val="-23"/>
        </w:rPr>
        <w:t> </w:t>
      </w:r>
      <w:r>
        <w:rPr/>
        <w:t>subject</w:t>
      </w:r>
      <w:r>
        <w:rPr>
          <w:spacing w:val="-23"/>
        </w:rPr>
        <w:t> </w:t>
      </w:r>
      <w:r>
        <w:rPr/>
        <w:t>property’)</w:t>
      </w:r>
      <w:r>
        <w:rPr>
          <w:spacing w:val="-24"/>
        </w:rPr>
        <w:t> </w:t>
      </w:r>
      <w:r>
        <w:rPr/>
        <w:t>located</w:t>
      </w:r>
      <w:r>
        <w:rPr>
          <w:spacing w:val="-22"/>
        </w:rPr>
        <w:t> </w:t>
      </w:r>
      <w:r>
        <w:rPr/>
        <w:t>in</w:t>
      </w:r>
      <w:r>
        <w:rPr>
          <w:spacing w:val="-24"/>
        </w:rPr>
        <w:t> </w:t>
      </w:r>
      <w:r>
        <w:rPr/>
        <w:t>Sector</w:t>
      </w:r>
      <w:r>
        <w:rPr>
          <w:spacing w:val="-23"/>
        </w:rPr>
        <w:t> </w:t>
      </w:r>
      <w:r>
        <w:rPr/>
        <w:t>144,</w:t>
      </w:r>
      <w:r>
        <w:rPr>
          <w:spacing w:val="-24"/>
        </w:rPr>
        <w:t> </w:t>
      </w:r>
      <w:r>
        <w:rPr/>
        <w:t>etc.</w:t>
      </w:r>
      <w:r>
        <w:rPr>
          <w:spacing w:val="-22"/>
        </w:rPr>
        <w:t> </w:t>
      </w:r>
      <w:r>
        <w:rPr/>
        <w:t>Few</w:t>
      </w:r>
      <w:r>
        <w:rPr>
          <w:spacing w:val="-23"/>
        </w:rPr>
        <w:t> </w:t>
      </w:r>
      <w:r>
        <w:rPr/>
        <w:t>of</w:t>
      </w:r>
      <w:r>
        <w:rPr>
          <w:spacing w:val="-23"/>
        </w:rPr>
        <w:t> </w:t>
      </w:r>
      <w:r>
        <w:rPr/>
        <w:t>the</w:t>
      </w:r>
      <w:r>
        <w:rPr>
          <w:spacing w:val="-24"/>
        </w:rPr>
        <w:t> </w:t>
      </w:r>
      <w:r>
        <w:rPr/>
        <w:t>other</w:t>
      </w:r>
      <w:r>
        <w:rPr>
          <w:spacing w:val="-23"/>
        </w:rPr>
        <w:t> </w:t>
      </w:r>
      <w:r>
        <w:rPr/>
        <w:t>investment</w:t>
      </w:r>
      <w:r>
        <w:rPr>
          <w:spacing w:val="-25"/>
        </w:rPr>
        <w:t> </w:t>
      </w:r>
      <w:r>
        <w:rPr/>
        <w:t>grade commercial</w:t>
      </w:r>
      <w:r>
        <w:rPr>
          <w:spacing w:val="-22"/>
        </w:rPr>
        <w:t> </w:t>
      </w:r>
      <w:r>
        <w:rPr/>
        <w:t>developments</w:t>
      </w:r>
      <w:r>
        <w:rPr>
          <w:spacing w:val="-22"/>
        </w:rPr>
        <w:t> </w:t>
      </w:r>
      <w:r>
        <w:rPr/>
        <w:t>(IT/ITeS)</w:t>
      </w:r>
      <w:r>
        <w:rPr>
          <w:spacing w:val="-21"/>
        </w:rPr>
        <w:t> </w:t>
      </w:r>
      <w:r>
        <w:rPr/>
        <w:t>located</w:t>
      </w:r>
      <w:r>
        <w:rPr>
          <w:spacing w:val="-20"/>
        </w:rPr>
        <w:t> </w:t>
      </w:r>
      <w:r>
        <w:rPr/>
        <w:t>in</w:t>
      </w:r>
      <w:r>
        <w:rPr>
          <w:spacing w:val="-23"/>
        </w:rPr>
        <w:t> </w:t>
      </w:r>
      <w:r>
        <w:rPr/>
        <w:t>the</w:t>
      </w:r>
      <w:r>
        <w:rPr>
          <w:spacing w:val="-21"/>
        </w:rPr>
        <w:t> </w:t>
      </w:r>
      <w:r>
        <w:rPr/>
        <w:t>subject</w:t>
      </w:r>
      <w:r>
        <w:rPr>
          <w:spacing w:val="-21"/>
        </w:rPr>
        <w:t> </w:t>
      </w:r>
      <w:r>
        <w:rPr/>
        <w:t>region</w:t>
      </w:r>
      <w:r>
        <w:rPr>
          <w:spacing w:val="-21"/>
        </w:rPr>
        <w:t> </w:t>
      </w:r>
      <w:r>
        <w:rPr/>
        <w:t>include</w:t>
      </w:r>
      <w:r>
        <w:rPr>
          <w:spacing w:val="-22"/>
        </w:rPr>
        <w:t> </w:t>
      </w:r>
      <w:r>
        <w:rPr/>
        <w:t>Assotech</w:t>
      </w:r>
      <w:r>
        <w:rPr>
          <w:spacing w:val="-23"/>
        </w:rPr>
        <w:t> </w:t>
      </w:r>
      <w:r>
        <w:rPr/>
        <w:t>Business</w:t>
      </w:r>
      <w:r>
        <w:rPr>
          <w:spacing w:val="-21"/>
        </w:rPr>
        <w:t> </w:t>
      </w:r>
      <w:r>
        <w:rPr/>
        <w:t>Cresterra, Advant</w:t>
      </w:r>
      <w:r>
        <w:rPr>
          <w:spacing w:val="-6"/>
        </w:rPr>
        <w:t> </w:t>
      </w:r>
      <w:r>
        <w:rPr/>
        <w:t>Navis</w:t>
      </w:r>
      <w:r>
        <w:rPr>
          <w:spacing w:val="-8"/>
        </w:rPr>
        <w:t> </w:t>
      </w:r>
      <w:r>
        <w:rPr/>
        <w:t>Business</w:t>
      </w:r>
      <w:r>
        <w:rPr>
          <w:spacing w:val="-6"/>
        </w:rPr>
        <w:t> </w:t>
      </w:r>
      <w:r>
        <w:rPr/>
        <w:t>Park,</w:t>
      </w:r>
      <w:r>
        <w:rPr>
          <w:spacing w:val="-6"/>
        </w:rPr>
        <w:t> </w:t>
      </w:r>
      <w:r>
        <w:rPr/>
        <w:t>Stellar</w:t>
      </w:r>
      <w:r>
        <w:rPr>
          <w:spacing w:val="-6"/>
        </w:rPr>
        <w:t> </w:t>
      </w:r>
      <w:r>
        <w:rPr/>
        <w:t>135,</w:t>
      </w:r>
      <w:r>
        <w:rPr>
          <w:spacing w:val="-4"/>
        </w:rPr>
        <w:t> </w:t>
      </w:r>
      <w:r>
        <w:rPr/>
        <w:t>Express</w:t>
      </w:r>
      <w:r>
        <w:rPr>
          <w:spacing w:val="-4"/>
        </w:rPr>
        <w:t> </w:t>
      </w:r>
      <w:r>
        <w:rPr/>
        <w:t>Trade</w:t>
      </w:r>
      <w:r>
        <w:rPr>
          <w:spacing w:val="-6"/>
        </w:rPr>
        <w:t> </w:t>
      </w:r>
      <w:r>
        <w:rPr/>
        <w:t>Towers</w:t>
      </w:r>
      <w:r>
        <w:rPr>
          <w:spacing w:val="-5"/>
        </w:rPr>
        <w:t> </w:t>
      </w:r>
      <w:r>
        <w:rPr/>
        <w:t>2,</w:t>
      </w:r>
      <w:r>
        <w:rPr>
          <w:spacing w:val="-5"/>
        </w:rPr>
        <w:t> </w:t>
      </w:r>
      <w:r>
        <w:rPr/>
        <w:t>etc.</w:t>
      </w:r>
    </w:p>
    <w:p>
      <w:pPr>
        <w:pStyle w:val="BodyText"/>
        <w:rPr>
          <w:sz w:val="21"/>
        </w:rPr>
      </w:pPr>
    </w:p>
    <w:p>
      <w:pPr>
        <w:pStyle w:val="BodyText"/>
        <w:spacing w:line="321" w:lineRule="auto"/>
        <w:ind w:left="687" w:right="114"/>
        <w:jc w:val="both"/>
      </w:pPr>
      <w:r>
        <w:rPr/>
        <w:t>Availability</w:t>
      </w:r>
      <w:r>
        <w:rPr>
          <w:spacing w:val="-10"/>
        </w:rPr>
        <w:t> </w:t>
      </w:r>
      <w:r>
        <w:rPr/>
        <w:t>of</w:t>
      </w:r>
      <w:r>
        <w:rPr>
          <w:spacing w:val="-10"/>
        </w:rPr>
        <w:t> </w:t>
      </w:r>
      <w:r>
        <w:rPr/>
        <w:t>good</w:t>
      </w:r>
      <w:r>
        <w:rPr>
          <w:spacing w:val="-10"/>
        </w:rPr>
        <w:t> </w:t>
      </w:r>
      <w:r>
        <w:rPr/>
        <w:t>quality</w:t>
      </w:r>
      <w:r>
        <w:rPr>
          <w:spacing w:val="-6"/>
        </w:rPr>
        <w:t> </w:t>
      </w:r>
      <w:r>
        <w:rPr/>
        <w:t>office</w:t>
      </w:r>
      <w:r>
        <w:rPr>
          <w:spacing w:val="-11"/>
        </w:rPr>
        <w:t> </w:t>
      </w:r>
      <w:r>
        <w:rPr/>
        <w:t>space</w:t>
      </w:r>
      <w:r>
        <w:rPr>
          <w:spacing w:val="-12"/>
        </w:rPr>
        <w:t> </w:t>
      </w:r>
      <w:r>
        <w:rPr/>
        <w:t>at</w:t>
      </w:r>
      <w:r>
        <w:rPr>
          <w:spacing w:val="-10"/>
        </w:rPr>
        <w:t> </w:t>
      </w:r>
      <w:r>
        <w:rPr/>
        <w:t>affordable</w:t>
      </w:r>
      <w:r>
        <w:rPr>
          <w:spacing w:val="-11"/>
        </w:rPr>
        <w:t> </w:t>
      </w:r>
      <w:r>
        <w:rPr/>
        <w:t>rents,</w:t>
      </w:r>
      <w:r>
        <w:rPr>
          <w:spacing w:val="-11"/>
        </w:rPr>
        <w:t> </w:t>
      </w:r>
      <w:r>
        <w:rPr/>
        <w:t>presence</w:t>
      </w:r>
      <w:r>
        <w:rPr>
          <w:spacing w:val="-11"/>
        </w:rPr>
        <w:t> </w:t>
      </w:r>
      <w:r>
        <w:rPr/>
        <w:t>of</w:t>
      </w:r>
      <w:r>
        <w:rPr>
          <w:spacing w:val="-9"/>
        </w:rPr>
        <w:t> </w:t>
      </w:r>
      <w:r>
        <w:rPr/>
        <w:t>skilled</w:t>
      </w:r>
      <w:r>
        <w:rPr>
          <w:spacing w:val="-10"/>
        </w:rPr>
        <w:t> </w:t>
      </w:r>
      <w:r>
        <w:rPr/>
        <w:t>manpower</w:t>
      </w:r>
      <w:r>
        <w:rPr>
          <w:spacing w:val="-11"/>
        </w:rPr>
        <w:t> </w:t>
      </w:r>
      <w:r>
        <w:rPr/>
        <w:t>along</w:t>
      </w:r>
      <w:r>
        <w:rPr>
          <w:spacing w:val="-10"/>
        </w:rPr>
        <w:t> </w:t>
      </w:r>
      <w:r>
        <w:rPr/>
        <w:t>with good</w:t>
      </w:r>
      <w:r>
        <w:rPr>
          <w:spacing w:val="-11"/>
        </w:rPr>
        <w:t> </w:t>
      </w:r>
      <w:r>
        <w:rPr/>
        <w:t>connectivity</w:t>
      </w:r>
      <w:r>
        <w:rPr>
          <w:spacing w:val="-10"/>
        </w:rPr>
        <w:t> </w:t>
      </w:r>
      <w:r>
        <w:rPr/>
        <w:t>and</w:t>
      </w:r>
      <w:r>
        <w:rPr>
          <w:spacing w:val="-10"/>
        </w:rPr>
        <w:t> </w:t>
      </w:r>
      <w:r>
        <w:rPr/>
        <w:t>improved</w:t>
      </w:r>
      <w:r>
        <w:rPr>
          <w:spacing w:val="-11"/>
        </w:rPr>
        <w:t> </w:t>
      </w:r>
      <w:r>
        <w:rPr/>
        <w:t>infrastructure</w:t>
      </w:r>
      <w:r>
        <w:rPr>
          <w:spacing w:val="-10"/>
        </w:rPr>
        <w:t> </w:t>
      </w:r>
      <w:r>
        <w:rPr/>
        <w:t>are</w:t>
      </w:r>
      <w:r>
        <w:rPr>
          <w:spacing w:val="-10"/>
        </w:rPr>
        <w:t> </w:t>
      </w:r>
      <w:r>
        <w:rPr/>
        <w:t>some</w:t>
      </w:r>
      <w:r>
        <w:rPr>
          <w:spacing w:val="-11"/>
        </w:rPr>
        <w:t> </w:t>
      </w:r>
      <w:r>
        <w:rPr/>
        <w:t>of</w:t>
      </w:r>
      <w:r>
        <w:rPr>
          <w:spacing w:val="-10"/>
        </w:rPr>
        <w:t> </w:t>
      </w:r>
      <w:r>
        <w:rPr/>
        <w:t>the</w:t>
      </w:r>
      <w:r>
        <w:rPr>
          <w:spacing w:val="-11"/>
        </w:rPr>
        <w:t> </w:t>
      </w:r>
      <w:r>
        <w:rPr/>
        <w:t>reasons</w:t>
      </w:r>
      <w:r>
        <w:rPr>
          <w:spacing w:val="-10"/>
        </w:rPr>
        <w:t> </w:t>
      </w:r>
      <w:r>
        <w:rPr/>
        <w:t>that</w:t>
      </w:r>
      <w:r>
        <w:rPr>
          <w:spacing w:val="-10"/>
        </w:rPr>
        <w:t> </w:t>
      </w:r>
      <w:r>
        <w:rPr/>
        <w:t>have</w:t>
      </w:r>
      <w:r>
        <w:rPr>
          <w:spacing w:val="-11"/>
        </w:rPr>
        <w:t> </w:t>
      </w:r>
      <w:r>
        <w:rPr/>
        <w:t>spurred</w:t>
      </w:r>
      <w:r>
        <w:rPr>
          <w:spacing w:val="-10"/>
        </w:rPr>
        <w:t> </w:t>
      </w:r>
      <w:r>
        <w:rPr/>
        <w:t>demand</w:t>
      </w:r>
      <w:r>
        <w:rPr>
          <w:spacing w:val="-11"/>
        </w:rPr>
        <w:t> </w:t>
      </w:r>
      <w:r>
        <w:rPr/>
        <w:t>for office space from corporate</w:t>
      </w:r>
      <w:r>
        <w:rPr>
          <w:spacing w:val="-15"/>
        </w:rPr>
        <w:t> </w:t>
      </w:r>
      <w:r>
        <w:rPr/>
        <w:t>occupiers.</w:t>
      </w:r>
    </w:p>
    <w:p>
      <w:pPr>
        <w:pStyle w:val="BodyText"/>
        <w:spacing w:before="3"/>
        <w:rPr>
          <w:sz w:val="23"/>
        </w:rPr>
      </w:pPr>
    </w:p>
    <w:p>
      <w:pPr>
        <w:pStyle w:val="ListParagraph"/>
        <w:numPr>
          <w:ilvl w:val="3"/>
          <w:numId w:val="66"/>
        </w:numPr>
        <w:tabs>
          <w:tab w:pos="1005" w:val="left" w:leader="none"/>
        </w:tabs>
        <w:spacing w:line="240" w:lineRule="auto" w:before="0" w:after="0"/>
        <w:ind w:left="1004" w:right="0" w:hanging="865"/>
        <w:jc w:val="left"/>
        <w:rPr>
          <w:i/>
          <w:sz w:val="20"/>
        </w:rPr>
      </w:pPr>
      <w:r>
        <w:rPr>
          <w:i/>
          <w:color w:val="008000"/>
          <w:sz w:val="20"/>
        </w:rPr>
        <w:t>Key Developments in</w:t>
      </w:r>
      <w:r>
        <w:rPr>
          <w:i/>
          <w:color w:val="008000"/>
          <w:spacing w:val="-11"/>
          <w:sz w:val="20"/>
        </w:rPr>
        <w:t> </w:t>
      </w:r>
      <w:r>
        <w:rPr>
          <w:i/>
          <w:color w:val="008000"/>
          <w:sz w:val="20"/>
        </w:rPr>
        <w:t>Sub-Market</w:t>
      </w:r>
    </w:p>
    <w:p>
      <w:pPr>
        <w:pStyle w:val="BodyText"/>
        <w:spacing w:line="321" w:lineRule="auto" w:before="76"/>
        <w:ind w:left="706" w:right="113"/>
        <w:jc w:val="both"/>
      </w:pPr>
      <w:r>
        <w:rPr/>
        <w:pict>
          <v:group style="position:absolute;margin-left:36pt;margin-top:46.888626pt;width:523.6pt;height:30pt;mso-position-horizontal-relative:page;mso-position-vertical-relative:paragraph;z-index:-34297344" coordorigin="720,938" coordsize="10472,600">
            <v:shape style="position:absolute;left:720;top:1523;width:10472;height:15" coordorigin="720,1523" coordsize="10472,15" path="m8803,1523l7372,1523,7357,1523,5596,1523,5581,1523,5581,1523,4023,1523,4009,1523,720,1523,720,1538,4009,1538,4023,1538,5581,1538,5581,1538,5596,1538,7357,1538,7372,1538,8803,1538,8803,1523xm11191,1523l8817,1523,8803,1523,8803,1538,8817,1538,11191,1538,11191,1523xe" filled="true" fillcolor="#69bd28" stroked="false">
              <v:path arrowok="t"/>
              <v:fill type="solid"/>
            </v:shape>
            <v:shape style="position:absolute;left:720;top:968;width:10472;height:555" coordorigin="720,969" coordsize="10472,555" path="m8803,969l7357,969,5581,969,5581,969,4009,969,720,969,720,1523,4009,1523,5581,1523,5581,1523,7357,1523,8803,1523,8803,969xm11191,969l8803,969,8803,1523,11191,1523,11191,969xe" filled="true" fillcolor="#006a4d" stroked="false">
              <v:path arrowok="t"/>
              <v:fill type="solid"/>
            </v:shape>
            <v:rect style="position:absolute;left:720;top:937;width:3289;height:29" filled="true" fillcolor="#1f6b16" stroked="false">
              <v:fill type="solid"/>
            </v:rect>
            <v:shape style="position:absolute;left:720;top:966;width:3318;height:3" coordorigin="720,967" coordsize="3318,3" path="m4038,967l4009,967,720,967,720,969,4009,969,4038,969,4038,967xe" filled="true" fillcolor="#006a4d" stroked="false">
              <v:path arrowok="t"/>
              <v:fill type="solid"/>
            </v:shape>
            <v:shape style="position:absolute;left:4009;top:937;width:1573;height:29" coordorigin="4009,938" coordsize="1573,29" path="m5581,938l4038,938,4009,938,4009,967,4038,967,5581,967,5581,938xe" filled="true" fillcolor="#1f6b16" stroked="false">
              <v:path arrowok="t"/>
              <v:fill type="solid"/>
            </v:shape>
            <v:shape style="position:absolute;left:4037;top:966;width:1573;height:3" coordorigin="4038,967" coordsize="1573,3" path="m5610,967l5581,967,4038,967,4038,969,5581,969,5610,969,5610,967xe" filled="true" fillcolor="#006a4d" stroked="false">
              <v:path arrowok="t"/>
              <v:fill type="solid"/>
            </v:shape>
            <v:shape style="position:absolute;left:5581;top:937;width:1776;height:29" coordorigin="5581,938" coordsize="1776,29" path="m7357,938l5610,938,5581,938,5581,967,5610,967,7357,967,7357,938xe" filled="true" fillcolor="#1f6b16" stroked="false">
              <v:path arrowok="t"/>
              <v:fill type="solid"/>
            </v:shape>
            <v:shape style="position:absolute;left:5610;top:966;width:1776;height:3" coordorigin="5610,967" coordsize="1776,3" path="m7386,967l7357,967,5610,967,5610,969,7357,969,7386,969,7386,967xe" filled="true" fillcolor="#006a4d" stroked="false">
              <v:path arrowok="t"/>
              <v:fill type="solid"/>
            </v:shape>
            <v:shape style="position:absolute;left:7357;top:937;width:1446;height:29" coordorigin="7357,938" coordsize="1446,29" path="m8803,938l7386,938,7357,938,7357,967,7386,967,8803,967,8803,938xe" filled="true" fillcolor="#1f6b16" stroked="false">
              <v:path arrowok="t"/>
              <v:fill type="solid"/>
            </v:shape>
            <v:shape style="position:absolute;left:7386;top:966;width:1446;height:3" coordorigin="7386,967" coordsize="1446,3" path="m8803,967l7386,967,7386,969,8803,969,8803,967xm8832,967l8803,967,8803,969,8832,969,8832,967xe" filled="true" fillcolor="#006a4d" stroked="false">
              <v:path arrowok="t"/>
              <v:fill type="solid"/>
            </v:shape>
            <v:shape style="position:absolute;left:8802;top:937;width:2389;height:29" coordorigin="8803,938" coordsize="2389,29" path="m11191,938l8832,938,8803,938,8803,967,8832,967,11191,967,11191,938xe" filled="true" fillcolor="#1f6b16" stroked="false">
              <v:path arrowok="t"/>
              <v:fill type="solid"/>
            </v:shape>
            <v:rect style="position:absolute;left:8831;top:966;width:2360;height:3" filled="true" fillcolor="#006a4d" stroked="false">
              <v:fill type="solid"/>
            </v:rect>
            <v:shape style="position:absolute;left:1680;top:1136;width:1390;height:216" type="#_x0000_t202" filled="false" stroked="false">
              <v:textbox inset="0,0,0,0">
                <w:txbxContent>
                  <w:p>
                    <w:pPr>
                      <w:spacing w:before="4"/>
                      <w:ind w:left="0" w:right="0" w:firstLine="0"/>
                      <w:jc w:val="left"/>
                      <w:rPr>
                        <w:b/>
                        <w:sz w:val="18"/>
                      </w:rPr>
                    </w:pPr>
                    <w:r>
                      <w:rPr>
                        <w:b/>
                        <w:color w:val="FFFFFF"/>
                        <w:w w:val="115"/>
                        <w:sz w:val="18"/>
                      </w:rPr>
                      <w:t>Building Name</w:t>
                    </w:r>
                  </w:p>
                </w:txbxContent>
              </v:textbox>
              <w10:wrap type="none"/>
            </v:shape>
            <v:shape style="position:absolute;left:4189;top:1028;width:1228;height:216" type="#_x0000_t202" filled="false" stroked="false">
              <v:textbox inset="0,0,0,0">
                <w:txbxContent>
                  <w:p>
                    <w:pPr>
                      <w:spacing w:before="4"/>
                      <w:ind w:left="0" w:right="0" w:firstLine="0"/>
                      <w:jc w:val="left"/>
                      <w:rPr>
                        <w:b/>
                        <w:sz w:val="18"/>
                      </w:rPr>
                    </w:pPr>
                    <w:r>
                      <w:rPr>
                        <w:b/>
                        <w:color w:val="FFFFFF"/>
                        <w:w w:val="105"/>
                        <w:sz w:val="18"/>
                      </w:rPr>
                      <w:t>Development</w:t>
                    </w:r>
                  </w:p>
                </w:txbxContent>
              </v:textbox>
              <w10:wrap type="none"/>
            </v:shape>
            <v:shape style="position:absolute;left:5814;top:1028;width:1331;height:216" type="#_x0000_t202" filled="false" stroked="false">
              <v:textbox inset="0,0,0,0">
                <w:txbxContent>
                  <w:p>
                    <w:pPr>
                      <w:spacing w:before="4"/>
                      <w:ind w:left="0" w:right="0" w:firstLine="0"/>
                      <w:jc w:val="left"/>
                      <w:rPr>
                        <w:b/>
                        <w:sz w:val="18"/>
                      </w:rPr>
                    </w:pPr>
                    <w:r>
                      <w:rPr>
                        <w:b/>
                        <w:color w:val="FFFFFF"/>
                        <w:w w:val="110"/>
                        <w:sz w:val="18"/>
                      </w:rPr>
                      <w:t>Leasable Area</w:t>
                    </w:r>
                  </w:p>
                </w:txbxContent>
              </v:textbox>
              <w10:wrap type="none"/>
            </v:shape>
            <v:shape style="position:absolute;left:7722;top:1028;width:734;height:216" type="#_x0000_t202" filled="false" stroked="false">
              <v:textbox inset="0,0,0,0">
                <w:txbxContent>
                  <w:p>
                    <w:pPr>
                      <w:spacing w:before="4"/>
                      <w:ind w:left="0" w:right="0" w:firstLine="0"/>
                      <w:jc w:val="left"/>
                      <w:rPr>
                        <w:b/>
                        <w:sz w:val="18"/>
                      </w:rPr>
                    </w:pPr>
                    <w:r>
                      <w:rPr>
                        <w:b/>
                        <w:color w:val="FFFFFF"/>
                        <w:w w:val="105"/>
                        <w:sz w:val="18"/>
                      </w:rPr>
                      <w:t>Approx.</w:t>
                    </w:r>
                  </w:p>
                </w:txbxContent>
              </v:textbox>
              <w10:wrap type="none"/>
            </v:shape>
            <v:shape style="position:absolute;left:9038;top:1028;width:1937;height:216" type="#_x0000_t202" filled="false" stroked="false">
              <v:textbox inset="0,0,0,0">
                <w:txbxContent>
                  <w:p>
                    <w:pPr>
                      <w:spacing w:before="4"/>
                      <w:ind w:left="0" w:right="0" w:firstLine="0"/>
                      <w:jc w:val="left"/>
                      <w:rPr>
                        <w:b/>
                        <w:sz w:val="18"/>
                      </w:rPr>
                    </w:pPr>
                    <w:r>
                      <w:rPr>
                        <w:b/>
                        <w:color w:val="FFFFFF"/>
                        <w:w w:val="110"/>
                        <w:sz w:val="18"/>
                      </w:rPr>
                      <w:t>Quoted Rent (INR</w:t>
                    </w:r>
                    <w:r>
                      <w:rPr>
                        <w:b/>
                        <w:color w:val="FFFFFF"/>
                        <w:spacing w:val="-26"/>
                        <w:w w:val="110"/>
                        <w:sz w:val="18"/>
                      </w:rPr>
                      <w:t> </w:t>
                    </w:r>
                    <w:r>
                      <w:rPr>
                        <w:b/>
                        <w:color w:val="FFFFFF"/>
                        <w:w w:val="110"/>
                        <w:sz w:val="18"/>
                      </w:rPr>
                      <w:t>psf</w:t>
                    </w:r>
                  </w:p>
                </w:txbxContent>
              </v:textbox>
              <w10:wrap type="none"/>
            </v:shape>
            <w10:wrap type="none"/>
          </v:group>
        </w:pict>
      </w:r>
      <w:r>
        <w:rPr/>
        <w:t>The</w:t>
      </w:r>
      <w:r>
        <w:rPr>
          <w:spacing w:val="-16"/>
        </w:rPr>
        <w:t> </w:t>
      </w:r>
      <w:r>
        <w:rPr/>
        <w:t>table</w:t>
      </w:r>
      <w:r>
        <w:rPr>
          <w:spacing w:val="-15"/>
        </w:rPr>
        <w:t> </w:t>
      </w:r>
      <w:r>
        <w:rPr/>
        <w:t>below</w:t>
      </w:r>
      <w:r>
        <w:rPr>
          <w:spacing w:val="-14"/>
        </w:rPr>
        <w:t> </w:t>
      </w:r>
      <w:r>
        <w:rPr/>
        <w:t>highlights</w:t>
      </w:r>
      <w:r>
        <w:rPr>
          <w:spacing w:val="-13"/>
        </w:rPr>
        <w:t> </w:t>
      </w:r>
      <w:r>
        <w:rPr/>
        <w:t>the</w:t>
      </w:r>
      <w:r>
        <w:rPr>
          <w:spacing w:val="-15"/>
        </w:rPr>
        <w:t> </w:t>
      </w:r>
      <w:r>
        <w:rPr/>
        <w:t>prominent</w:t>
      </w:r>
      <w:r>
        <w:rPr>
          <w:spacing w:val="-14"/>
        </w:rPr>
        <w:t> </w:t>
      </w:r>
      <w:r>
        <w:rPr/>
        <w:t>competing</w:t>
      </w:r>
      <w:r>
        <w:rPr>
          <w:spacing w:val="-14"/>
        </w:rPr>
        <w:t> </w:t>
      </w:r>
      <w:r>
        <w:rPr/>
        <w:t>developments</w:t>
      </w:r>
      <w:r>
        <w:rPr>
          <w:spacing w:val="-13"/>
        </w:rPr>
        <w:t> </w:t>
      </w:r>
      <w:r>
        <w:rPr/>
        <w:t>located</w:t>
      </w:r>
      <w:r>
        <w:rPr>
          <w:spacing w:val="-16"/>
        </w:rPr>
        <w:t> </w:t>
      </w:r>
      <w:r>
        <w:rPr/>
        <w:t>in</w:t>
      </w:r>
      <w:r>
        <w:rPr>
          <w:spacing w:val="-16"/>
        </w:rPr>
        <w:t> </w:t>
      </w:r>
      <w:r>
        <w:rPr/>
        <w:t>the</w:t>
      </w:r>
      <w:r>
        <w:rPr>
          <w:spacing w:val="-15"/>
        </w:rPr>
        <w:t> </w:t>
      </w:r>
      <w:r>
        <w:rPr/>
        <w:t>subject</w:t>
      </w:r>
      <w:r>
        <w:rPr>
          <w:spacing w:val="-13"/>
        </w:rPr>
        <w:t> </w:t>
      </w:r>
      <w:r>
        <w:rPr/>
        <w:t>sub-market (completed</w:t>
      </w:r>
      <w:r>
        <w:rPr>
          <w:spacing w:val="-5"/>
        </w:rPr>
        <w:t> </w:t>
      </w:r>
      <w:r>
        <w:rPr/>
        <w:t>blocks):</w:t>
      </w:r>
    </w:p>
    <w:p>
      <w:pPr>
        <w:pStyle w:val="BodyText"/>
        <w:rPr>
          <w:sz w:val="20"/>
        </w:rPr>
      </w:pPr>
    </w:p>
    <w:p>
      <w:pPr>
        <w:pStyle w:val="BodyText"/>
        <w:spacing w:before="10" w:after="1"/>
        <w:rPr>
          <w:sz w:val="20"/>
        </w:rPr>
      </w:pPr>
    </w:p>
    <w:tbl>
      <w:tblPr>
        <w:tblW w:w="0" w:type="auto"/>
        <w:jc w:val="left"/>
        <w:tblInd w:w="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40"/>
        <w:gridCol w:w="2048"/>
        <w:gridCol w:w="1477"/>
        <w:gridCol w:w="1908"/>
        <w:gridCol w:w="2112"/>
      </w:tblGrid>
      <w:tr>
        <w:trPr>
          <w:trHeight w:val="290" w:hRule="atLeast"/>
        </w:trPr>
        <w:tc>
          <w:tcPr>
            <w:tcW w:w="2940" w:type="dxa"/>
            <w:shd w:val="clear" w:color="auto" w:fill="006A4D"/>
          </w:tcPr>
          <w:p>
            <w:pPr>
              <w:pStyle w:val="TableParagraph"/>
              <w:jc w:val="left"/>
              <w:rPr>
                <w:rFonts w:ascii="Times New Roman"/>
                <w:sz w:val="20"/>
              </w:rPr>
            </w:pPr>
          </w:p>
        </w:tc>
        <w:tc>
          <w:tcPr>
            <w:tcW w:w="2048" w:type="dxa"/>
            <w:shd w:val="clear" w:color="auto" w:fill="006A4D"/>
          </w:tcPr>
          <w:p>
            <w:pPr>
              <w:pStyle w:val="TableParagraph"/>
              <w:spacing w:before="12"/>
              <w:ind w:left="637" w:right="385"/>
              <w:rPr>
                <w:b/>
                <w:sz w:val="18"/>
              </w:rPr>
            </w:pPr>
            <w:r>
              <w:rPr>
                <w:b/>
                <w:color w:val="FFFFFF"/>
                <w:w w:val="105"/>
                <w:sz w:val="18"/>
              </w:rPr>
              <w:t>Type</w:t>
            </w:r>
          </w:p>
        </w:tc>
        <w:tc>
          <w:tcPr>
            <w:tcW w:w="1477" w:type="dxa"/>
            <w:shd w:val="clear" w:color="auto" w:fill="006A4D"/>
          </w:tcPr>
          <w:p>
            <w:pPr>
              <w:pStyle w:val="TableParagraph"/>
              <w:spacing w:before="12"/>
              <w:ind w:left="90" w:right="18"/>
              <w:rPr>
                <w:b/>
                <w:sz w:val="18"/>
              </w:rPr>
            </w:pPr>
            <w:r>
              <w:rPr>
                <w:b/>
                <w:color w:val="FFFFFF"/>
                <w:w w:val="105"/>
                <w:sz w:val="18"/>
              </w:rPr>
              <w:t>(in msf)</w:t>
            </w:r>
          </w:p>
        </w:tc>
        <w:tc>
          <w:tcPr>
            <w:tcW w:w="1908" w:type="dxa"/>
            <w:shd w:val="clear" w:color="auto" w:fill="006A4D"/>
          </w:tcPr>
          <w:p>
            <w:pPr>
              <w:pStyle w:val="TableParagraph"/>
              <w:spacing w:before="12"/>
              <w:ind w:left="342" w:right="426"/>
              <w:rPr>
                <w:b/>
                <w:sz w:val="18"/>
              </w:rPr>
            </w:pPr>
            <w:r>
              <w:rPr>
                <w:b/>
                <w:color w:val="FFFFFF"/>
                <w:w w:val="110"/>
                <w:sz w:val="18"/>
              </w:rPr>
              <w:t>Vacancy (%)</w:t>
            </w:r>
          </w:p>
        </w:tc>
        <w:tc>
          <w:tcPr>
            <w:tcW w:w="2112" w:type="dxa"/>
            <w:shd w:val="clear" w:color="auto" w:fill="006A4D"/>
          </w:tcPr>
          <w:p>
            <w:pPr>
              <w:pStyle w:val="TableParagraph"/>
              <w:spacing w:before="12"/>
              <w:ind w:left="396" w:right="670"/>
              <w:rPr>
                <w:b/>
                <w:sz w:val="18"/>
              </w:rPr>
            </w:pPr>
            <w:r>
              <w:rPr>
                <w:b/>
                <w:color w:val="FFFFFF"/>
                <w:w w:val="105"/>
                <w:sz w:val="18"/>
              </w:rPr>
              <w:t>pm)</w:t>
            </w:r>
          </w:p>
        </w:tc>
      </w:tr>
      <w:tr>
        <w:trPr>
          <w:trHeight w:val="362" w:hRule="atLeast"/>
        </w:trPr>
        <w:tc>
          <w:tcPr>
            <w:tcW w:w="2940" w:type="dxa"/>
            <w:tcBorders>
              <w:bottom w:val="single" w:sz="6" w:space="0" w:color="69BD28"/>
            </w:tcBorders>
          </w:tcPr>
          <w:p>
            <w:pPr>
              <w:pStyle w:val="TableParagraph"/>
              <w:spacing w:before="87"/>
              <w:ind w:right="681"/>
              <w:jc w:val="right"/>
              <w:rPr>
                <w:sz w:val="18"/>
              </w:rPr>
            </w:pPr>
            <w:r>
              <w:rPr>
                <w:sz w:val="18"/>
              </w:rPr>
              <w:t>Development 1</w:t>
            </w:r>
          </w:p>
        </w:tc>
        <w:tc>
          <w:tcPr>
            <w:tcW w:w="2048" w:type="dxa"/>
            <w:tcBorders>
              <w:bottom w:val="single" w:sz="6" w:space="0" w:color="69BD28"/>
            </w:tcBorders>
          </w:tcPr>
          <w:p>
            <w:pPr>
              <w:pStyle w:val="TableParagraph"/>
              <w:spacing w:before="87"/>
              <w:ind w:left="637" w:right="391"/>
              <w:rPr>
                <w:sz w:val="18"/>
              </w:rPr>
            </w:pPr>
            <w:r>
              <w:rPr>
                <w:sz w:val="18"/>
              </w:rPr>
              <w:t>IT/ ITeS SEZ</w:t>
            </w:r>
          </w:p>
        </w:tc>
        <w:tc>
          <w:tcPr>
            <w:tcW w:w="1477" w:type="dxa"/>
            <w:tcBorders>
              <w:bottom w:val="single" w:sz="6" w:space="0" w:color="69BD28"/>
            </w:tcBorders>
          </w:tcPr>
          <w:p>
            <w:pPr>
              <w:pStyle w:val="TableParagraph"/>
              <w:spacing w:before="87"/>
              <w:ind w:left="88" w:right="18"/>
              <w:rPr>
                <w:sz w:val="18"/>
              </w:rPr>
            </w:pPr>
            <w:r>
              <w:rPr>
                <w:w w:val="105"/>
                <w:sz w:val="18"/>
              </w:rPr>
              <w:t>2.9</w:t>
            </w:r>
          </w:p>
        </w:tc>
        <w:tc>
          <w:tcPr>
            <w:tcW w:w="1908" w:type="dxa"/>
            <w:tcBorders>
              <w:bottom w:val="single" w:sz="6" w:space="0" w:color="69BD28"/>
            </w:tcBorders>
          </w:tcPr>
          <w:p>
            <w:pPr>
              <w:pStyle w:val="TableParagraph"/>
              <w:spacing w:before="87"/>
              <w:ind w:left="341" w:right="426"/>
              <w:rPr>
                <w:sz w:val="18"/>
              </w:rPr>
            </w:pPr>
            <w:r>
              <w:rPr>
                <w:w w:val="140"/>
                <w:sz w:val="18"/>
              </w:rPr>
              <w:t>&lt; </w:t>
            </w:r>
            <w:r>
              <w:rPr>
                <w:w w:val="135"/>
                <w:sz w:val="18"/>
              </w:rPr>
              <w:t>5%</w:t>
            </w:r>
          </w:p>
        </w:tc>
        <w:tc>
          <w:tcPr>
            <w:tcW w:w="2112" w:type="dxa"/>
            <w:tcBorders>
              <w:bottom w:val="single" w:sz="6" w:space="0" w:color="69BD28"/>
            </w:tcBorders>
          </w:tcPr>
          <w:p>
            <w:pPr>
              <w:pStyle w:val="TableParagraph"/>
              <w:spacing w:before="87"/>
              <w:ind w:left="395" w:right="670"/>
              <w:rPr>
                <w:sz w:val="18"/>
              </w:rPr>
            </w:pPr>
            <w:r>
              <w:rPr>
                <w:w w:val="115"/>
                <w:sz w:val="18"/>
              </w:rPr>
              <w:t>52.0 – 58.0</w:t>
            </w:r>
          </w:p>
        </w:tc>
      </w:tr>
      <w:tr>
        <w:trPr>
          <w:trHeight w:val="359" w:hRule="atLeast"/>
        </w:trPr>
        <w:tc>
          <w:tcPr>
            <w:tcW w:w="2940" w:type="dxa"/>
            <w:tcBorders>
              <w:top w:val="single" w:sz="6" w:space="0" w:color="69BD28"/>
              <w:bottom w:val="single" w:sz="6" w:space="0" w:color="69BD28"/>
            </w:tcBorders>
          </w:tcPr>
          <w:p>
            <w:pPr>
              <w:pStyle w:val="TableParagraph"/>
              <w:spacing w:before="84"/>
              <w:ind w:right="681"/>
              <w:jc w:val="right"/>
              <w:rPr>
                <w:sz w:val="18"/>
              </w:rPr>
            </w:pPr>
            <w:r>
              <w:rPr>
                <w:sz w:val="18"/>
              </w:rPr>
              <w:t>Development 2</w:t>
            </w:r>
          </w:p>
        </w:tc>
        <w:tc>
          <w:tcPr>
            <w:tcW w:w="2048" w:type="dxa"/>
            <w:tcBorders>
              <w:top w:val="single" w:sz="6" w:space="0" w:color="69BD28"/>
              <w:bottom w:val="single" w:sz="6" w:space="0" w:color="69BD28"/>
            </w:tcBorders>
          </w:tcPr>
          <w:p>
            <w:pPr>
              <w:pStyle w:val="TableParagraph"/>
              <w:spacing w:before="84"/>
              <w:ind w:left="637" w:right="388"/>
              <w:rPr>
                <w:sz w:val="18"/>
              </w:rPr>
            </w:pPr>
            <w:r>
              <w:rPr>
                <w:sz w:val="18"/>
              </w:rPr>
              <w:t>IT/ ITeS</w:t>
            </w:r>
          </w:p>
        </w:tc>
        <w:tc>
          <w:tcPr>
            <w:tcW w:w="1477" w:type="dxa"/>
            <w:tcBorders>
              <w:top w:val="single" w:sz="6" w:space="0" w:color="69BD28"/>
              <w:bottom w:val="single" w:sz="6" w:space="0" w:color="69BD28"/>
            </w:tcBorders>
          </w:tcPr>
          <w:p>
            <w:pPr>
              <w:pStyle w:val="TableParagraph"/>
              <w:spacing w:before="84"/>
              <w:ind w:left="88" w:right="18"/>
              <w:rPr>
                <w:sz w:val="18"/>
              </w:rPr>
            </w:pPr>
            <w:r>
              <w:rPr>
                <w:w w:val="105"/>
                <w:sz w:val="18"/>
              </w:rPr>
              <w:t>1.2</w:t>
            </w:r>
          </w:p>
        </w:tc>
        <w:tc>
          <w:tcPr>
            <w:tcW w:w="1908" w:type="dxa"/>
            <w:tcBorders>
              <w:top w:val="single" w:sz="6" w:space="0" w:color="69BD28"/>
              <w:bottom w:val="single" w:sz="6" w:space="0" w:color="69BD28"/>
            </w:tcBorders>
          </w:tcPr>
          <w:p>
            <w:pPr>
              <w:pStyle w:val="TableParagraph"/>
              <w:spacing w:before="84"/>
              <w:ind w:left="338" w:right="426"/>
              <w:rPr>
                <w:sz w:val="18"/>
              </w:rPr>
            </w:pPr>
            <w:r>
              <w:rPr>
                <w:w w:val="115"/>
                <w:sz w:val="18"/>
              </w:rPr>
              <w:t>15% - 20%</w:t>
            </w:r>
          </w:p>
        </w:tc>
        <w:tc>
          <w:tcPr>
            <w:tcW w:w="2112" w:type="dxa"/>
            <w:tcBorders>
              <w:top w:val="single" w:sz="6" w:space="0" w:color="69BD28"/>
              <w:bottom w:val="single" w:sz="6" w:space="0" w:color="69BD28"/>
            </w:tcBorders>
          </w:tcPr>
          <w:p>
            <w:pPr>
              <w:pStyle w:val="TableParagraph"/>
              <w:spacing w:before="84"/>
              <w:ind w:left="395" w:right="670"/>
              <w:rPr>
                <w:sz w:val="18"/>
              </w:rPr>
            </w:pPr>
            <w:r>
              <w:rPr>
                <w:w w:val="115"/>
                <w:sz w:val="18"/>
              </w:rPr>
              <w:t>52.0 – 58.0</w:t>
            </w:r>
          </w:p>
        </w:tc>
      </w:tr>
      <w:tr>
        <w:trPr>
          <w:trHeight w:val="361" w:hRule="atLeast"/>
        </w:trPr>
        <w:tc>
          <w:tcPr>
            <w:tcW w:w="2940" w:type="dxa"/>
            <w:tcBorders>
              <w:top w:val="single" w:sz="6" w:space="0" w:color="69BD28"/>
              <w:bottom w:val="single" w:sz="6" w:space="0" w:color="69BD28"/>
            </w:tcBorders>
          </w:tcPr>
          <w:p>
            <w:pPr>
              <w:pStyle w:val="TableParagraph"/>
              <w:spacing w:before="84"/>
              <w:ind w:right="681"/>
              <w:jc w:val="right"/>
              <w:rPr>
                <w:sz w:val="18"/>
              </w:rPr>
            </w:pPr>
            <w:r>
              <w:rPr>
                <w:sz w:val="18"/>
              </w:rPr>
              <w:t>Development 3</w:t>
            </w:r>
          </w:p>
        </w:tc>
        <w:tc>
          <w:tcPr>
            <w:tcW w:w="2048" w:type="dxa"/>
            <w:tcBorders>
              <w:top w:val="single" w:sz="6" w:space="0" w:color="69BD28"/>
              <w:bottom w:val="single" w:sz="6" w:space="0" w:color="69BD28"/>
            </w:tcBorders>
          </w:tcPr>
          <w:p>
            <w:pPr>
              <w:pStyle w:val="TableParagraph"/>
              <w:spacing w:before="84"/>
              <w:ind w:left="637" w:right="388"/>
              <w:rPr>
                <w:sz w:val="18"/>
              </w:rPr>
            </w:pPr>
            <w:r>
              <w:rPr>
                <w:sz w:val="18"/>
              </w:rPr>
              <w:t>IT/ ITeS</w:t>
            </w:r>
          </w:p>
        </w:tc>
        <w:tc>
          <w:tcPr>
            <w:tcW w:w="1477" w:type="dxa"/>
            <w:tcBorders>
              <w:top w:val="single" w:sz="6" w:space="0" w:color="69BD28"/>
              <w:bottom w:val="single" w:sz="6" w:space="0" w:color="69BD28"/>
            </w:tcBorders>
          </w:tcPr>
          <w:p>
            <w:pPr>
              <w:pStyle w:val="TableParagraph"/>
              <w:spacing w:before="84"/>
              <w:ind w:left="88" w:right="18"/>
              <w:rPr>
                <w:sz w:val="18"/>
              </w:rPr>
            </w:pPr>
            <w:r>
              <w:rPr>
                <w:w w:val="105"/>
                <w:sz w:val="18"/>
              </w:rPr>
              <w:t>0.6</w:t>
            </w:r>
          </w:p>
        </w:tc>
        <w:tc>
          <w:tcPr>
            <w:tcW w:w="1908" w:type="dxa"/>
            <w:tcBorders>
              <w:top w:val="single" w:sz="6" w:space="0" w:color="69BD28"/>
              <w:bottom w:val="single" w:sz="6" w:space="0" w:color="69BD28"/>
            </w:tcBorders>
          </w:tcPr>
          <w:p>
            <w:pPr>
              <w:pStyle w:val="TableParagraph"/>
              <w:spacing w:before="84"/>
              <w:ind w:left="338" w:right="426"/>
              <w:rPr>
                <w:sz w:val="18"/>
              </w:rPr>
            </w:pPr>
            <w:r>
              <w:rPr>
                <w:w w:val="115"/>
                <w:sz w:val="18"/>
              </w:rPr>
              <w:t>10% - 15%</w:t>
            </w:r>
          </w:p>
        </w:tc>
        <w:tc>
          <w:tcPr>
            <w:tcW w:w="2112" w:type="dxa"/>
            <w:tcBorders>
              <w:top w:val="single" w:sz="6" w:space="0" w:color="69BD28"/>
              <w:bottom w:val="single" w:sz="6" w:space="0" w:color="69BD28"/>
            </w:tcBorders>
          </w:tcPr>
          <w:p>
            <w:pPr>
              <w:pStyle w:val="TableParagraph"/>
              <w:spacing w:before="84"/>
              <w:ind w:left="396" w:right="670"/>
              <w:rPr>
                <w:sz w:val="18"/>
              </w:rPr>
            </w:pPr>
            <w:r>
              <w:rPr>
                <w:w w:val="115"/>
                <w:sz w:val="18"/>
              </w:rPr>
              <w:t>48.0 – 52.0</w:t>
            </w:r>
          </w:p>
        </w:tc>
      </w:tr>
      <w:tr>
        <w:trPr>
          <w:trHeight w:val="356" w:hRule="atLeast"/>
        </w:trPr>
        <w:tc>
          <w:tcPr>
            <w:tcW w:w="2940" w:type="dxa"/>
            <w:tcBorders>
              <w:top w:val="single" w:sz="6" w:space="0" w:color="69BD28"/>
              <w:bottom w:val="single" w:sz="6" w:space="0" w:color="69BD28"/>
            </w:tcBorders>
          </w:tcPr>
          <w:p>
            <w:pPr>
              <w:pStyle w:val="TableParagraph"/>
              <w:spacing w:before="81"/>
              <w:ind w:right="681"/>
              <w:jc w:val="right"/>
              <w:rPr>
                <w:sz w:val="18"/>
              </w:rPr>
            </w:pPr>
            <w:r>
              <w:rPr>
                <w:sz w:val="18"/>
              </w:rPr>
              <w:t>Development 4</w:t>
            </w:r>
          </w:p>
        </w:tc>
        <w:tc>
          <w:tcPr>
            <w:tcW w:w="2048" w:type="dxa"/>
            <w:tcBorders>
              <w:top w:val="single" w:sz="6" w:space="0" w:color="69BD28"/>
              <w:bottom w:val="single" w:sz="6" w:space="0" w:color="69BD28"/>
            </w:tcBorders>
          </w:tcPr>
          <w:p>
            <w:pPr>
              <w:pStyle w:val="TableParagraph"/>
              <w:spacing w:before="81"/>
              <w:ind w:left="637" w:right="388"/>
              <w:rPr>
                <w:sz w:val="18"/>
              </w:rPr>
            </w:pPr>
            <w:r>
              <w:rPr>
                <w:sz w:val="18"/>
              </w:rPr>
              <w:t>IT/ ITeS</w:t>
            </w:r>
          </w:p>
        </w:tc>
        <w:tc>
          <w:tcPr>
            <w:tcW w:w="1477" w:type="dxa"/>
            <w:tcBorders>
              <w:top w:val="single" w:sz="6" w:space="0" w:color="69BD28"/>
              <w:bottom w:val="single" w:sz="6" w:space="0" w:color="69BD28"/>
            </w:tcBorders>
          </w:tcPr>
          <w:p>
            <w:pPr>
              <w:pStyle w:val="TableParagraph"/>
              <w:spacing w:before="81"/>
              <w:ind w:left="88" w:right="18"/>
              <w:rPr>
                <w:sz w:val="18"/>
              </w:rPr>
            </w:pPr>
            <w:r>
              <w:rPr>
                <w:w w:val="105"/>
                <w:sz w:val="18"/>
              </w:rPr>
              <w:t>0.7</w:t>
            </w:r>
          </w:p>
        </w:tc>
        <w:tc>
          <w:tcPr>
            <w:tcW w:w="1908" w:type="dxa"/>
            <w:tcBorders>
              <w:top w:val="single" w:sz="6" w:space="0" w:color="69BD28"/>
              <w:bottom w:val="single" w:sz="6" w:space="0" w:color="69BD28"/>
            </w:tcBorders>
          </w:tcPr>
          <w:p>
            <w:pPr>
              <w:pStyle w:val="TableParagraph"/>
              <w:spacing w:before="81"/>
              <w:ind w:left="341" w:right="426"/>
              <w:rPr>
                <w:sz w:val="18"/>
              </w:rPr>
            </w:pPr>
            <w:r>
              <w:rPr>
                <w:w w:val="140"/>
                <w:sz w:val="18"/>
              </w:rPr>
              <w:t>&lt; </w:t>
            </w:r>
            <w:r>
              <w:rPr>
                <w:w w:val="135"/>
                <w:sz w:val="18"/>
              </w:rPr>
              <w:t>5%</w:t>
            </w:r>
          </w:p>
        </w:tc>
        <w:tc>
          <w:tcPr>
            <w:tcW w:w="2112" w:type="dxa"/>
            <w:tcBorders>
              <w:top w:val="single" w:sz="6" w:space="0" w:color="69BD28"/>
              <w:bottom w:val="single" w:sz="6" w:space="0" w:color="69BD28"/>
            </w:tcBorders>
          </w:tcPr>
          <w:p>
            <w:pPr>
              <w:pStyle w:val="TableParagraph"/>
              <w:spacing w:before="81"/>
              <w:ind w:left="396" w:right="670"/>
              <w:rPr>
                <w:sz w:val="18"/>
              </w:rPr>
            </w:pPr>
            <w:r>
              <w:rPr>
                <w:w w:val="115"/>
                <w:sz w:val="18"/>
              </w:rPr>
              <w:t>48.0 – 52.0</w:t>
            </w:r>
          </w:p>
        </w:tc>
      </w:tr>
    </w:tbl>
    <w:p>
      <w:pPr>
        <w:spacing w:before="4"/>
        <w:ind w:left="140" w:right="0" w:firstLine="0"/>
        <w:jc w:val="left"/>
        <w:rPr>
          <w:i/>
          <w:sz w:val="16"/>
        </w:rPr>
      </w:pPr>
      <w:r>
        <w:rPr>
          <w:i/>
          <w:sz w:val="16"/>
        </w:rPr>
        <w:t>Source: CBRE Research</w:t>
      </w:r>
    </w:p>
    <w:p>
      <w:pPr>
        <w:pStyle w:val="BodyText"/>
        <w:spacing w:before="4"/>
        <w:rPr>
          <w:i/>
          <w:sz w:val="21"/>
        </w:rPr>
      </w:pPr>
    </w:p>
    <w:p>
      <w:pPr>
        <w:pStyle w:val="ListParagraph"/>
        <w:numPr>
          <w:ilvl w:val="2"/>
          <w:numId w:val="14"/>
        </w:numPr>
        <w:tabs>
          <w:tab w:pos="861" w:val="left" w:leader="none"/>
        </w:tabs>
        <w:spacing w:line="240" w:lineRule="auto" w:before="0" w:after="0"/>
        <w:ind w:left="860" w:right="0" w:hanging="721"/>
        <w:jc w:val="left"/>
        <w:rPr>
          <w:sz w:val="22"/>
        </w:rPr>
      </w:pPr>
      <w:bookmarkStart w:name="_bookmark256" w:id="500"/>
      <w:bookmarkEnd w:id="500"/>
      <w:r>
        <w:rPr/>
      </w:r>
      <w:bookmarkStart w:name="_bookmark256" w:id="501"/>
      <w:bookmarkEnd w:id="501"/>
      <w:r>
        <w:rPr>
          <w:color w:val="1F664D"/>
          <w:sz w:val="22"/>
        </w:rPr>
        <w:t>Le</w:t>
      </w:r>
      <w:r>
        <w:rPr>
          <w:color w:val="1F664D"/>
          <w:sz w:val="22"/>
        </w:rPr>
        <w:t>ase Rent</w:t>
      </w:r>
      <w:r>
        <w:rPr>
          <w:color w:val="1F664D"/>
          <w:spacing w:val="-3"/>
          <w:sz w:val="22"/>
        </w:rPr>
        <w:t> </w:t>
      </w:r>
      <w:r>
        <w:rPr>
          <w:color w:val="1F664D"/>
          <w:sz w:val="22"/>
        </w:rPr>
        <w:t>Analysis</w:t>
      </w:r>
    </w:p>
    <w:p>
      <w:pPr>
        <w:pStyle w:val="BodyText"/>
        <w:spacing w:line="321" w:lineRule="auto" w:before="208"/>
        <w:ind w:left="759" w:right="114"/>
        <w:jc w:val="both"/>
      </w:pPr>
      <w:r>
        <w:rPr/>
        <w:t>As</w:t>
      </w:r>
      <w:r>
        <w:rPr>
          <w:spacing w:val="-30"/>
        </w:rPr>
        <w:t> </w:t>
      </w:r>
      <w:r>
        <w:rPr/>
        <w:t>highlighted</w:t>
      </w:r>
      <w:r>
        <w:rPr>
          <w:spacing w:val="-28"/>
        </w:rPr>
        <w:t> </w:t>
      </w:r>
      <w:r>
        <w:rPr/>
        <w:t>above,</w:t>
      </w:r>
      <w:r>
        <w:rPr>
          <w:spacing w:val="-30"/>
        </w:rPr>
        <w:t> </w:t>
      </w:r>
      <w:r>
        <w:rPr/>
        <w:t>the</w:t>
      </w:r>
      <w:r>
        <w:rPr>
          <w:spacing w:val="-30"/>
        </w:rPr>
        <w:t> </w:t>
      </w:r>
      <w:r>
        <w:rPr/>
        <w:t>current</w:t>
      </w:r>
      <w:r>
        <w:rPr>
          <w:spacing w:val="-30"/>
        </w:rPr>
        <w:t> </w:t>
      </w:r>
      <w:r>
        <w:rPr/>
        <w:t>rents</w:t>
      </w:r>
      <w:r>
        <w:rPr>
          <w:spacing w:val="-29"/>
        </w:rPr>
        <w:t> </w:t>
      </w:r>
      <w:r>
        <w:rPr/>
        <w:t>in</w:t>
      </w:r>
      <w:r>
        <w:rPr>
          <w:spacing w:val="-31"/>
        </w:rPr>
        <w:t> </w:t>
      </w:r>
      <w:r>
        <w:rPr/>
        <w:t>subject</w:t>
      </w:r>
      <w:r>
        <w:rPr>
          <w:spacing w:val="-28"/>
        </w:rPr>
        <w:t> </w:t>
      </w:r>
      <w:r>
        <w:rPr/>
        <w:t>sub-market</w:t>
      </w:r>
      <w:r>
        <w:rPr>
          <w:spacing w:val="-30"/>
        </w:rPr>
        <w:t> </w:t>
      </w:r>
      <w:r>
        <w:rPr/>
        <w:t>typically</w:t>
      </w:r>
      <w:r>
        <w:rPr>
          <w:spacing w:val="-29"/>
        </w:rPr>
        <w:t> </w:t>
      </w:r>
      <w:r>
        <w:rPr/>
        <w:t>vary</w:t>
      </w:r>
      <w:r>
        <w:rPr>
          <w:spacing w:val="-30"/>
        </w:rPr>
        <w:t> </w:t>
      </w:r>
      <w:r>
        <w:rPr/>
        <w:t>between</w:t>
      </w:r>
      <w:r>
        <w:rPr>
          <w:spacing w:val="-30"/>
        </w:rPr>
        <w:t> </w:t>
      </w:r>
      <w:r>
        <w:rPr/>
        <w:t>INR</w:t>
      </w:r>
      <w:r>
        <w:rPr>
          <w:spacing w:val="-31"/>
        </w:rPr>
        <w:t> </w:t>
      </w:r>
      <w:r>
        <w:rPr/>
        <w:t>45.0</w:t>
      </w:r>
      <w:r>
        <w:rPr>
          <w:spacing w:val="-29"/>
        </w:rPr>
        <w:t> </w:t>
      </w:r>
      <w:r>
        <w:rPr>
          <w:w w:val="105"/>
        </w:rPr>
        <w:t>–</w:t>
      </w:r>
      <w:r>
        <w:rPr>
          <w:spacing w:val="-33"/>
          <w:w w:val="105"/>
        </w:rPr>
        <w:t> </w:t>
      </w:r>
      <w:r>
        <w:rPr/>
        <w:t>55.0</w:t>
      </w:r>
      <w:r>
        <w:rPr>
          <w:spacing w:val="-32"/>
        </w:rPr>
        <w:t> </w:t>
      </w:r>
      <w:r>
        <w:rPr/>
        <w:t>psf pm</w:t>
      </w:r>
      <w:r>
        <w:rPr>
          <w:spacing w:val="-21"/>
        </w:rPr>
        <w:t> </w:t>
      </w:r>
      <w:r>
        <w:rPr/>
        <w:t>on</w:t>
      </w:r>
      <w:r>
        <w:rPr>
          <w:spacing w:val="-22"/>
        </w:rPr>
        <w:t> </w:t>
      </w:r>
      <w:r>
        <w:rPr/>
        <w:t>leasable</w:t>
      </w:r>
      <w:r>
        <w:rPr>
          <w:spacing w:val="-22"/>
        </w:rPr>
        <w:t> </w:t>
      </w:r>
      <w:r>
        <w:rPr/>
        <w:t>area</w:t>
      </w:r>
      <w:r>
        <w:rPr>
          <w:spacing w:val="-20"/>
        </w:rPr>
        <w:t> </w:t>
      </w:r>
      <w:r>
        <w:rPr/>
        <w:t>basis</w:t>
      </w:r>
      <w:r>
        <w:rPr>
          <w:spacing w:val="-19"/>
        </w:rPr>
        <w:t> </w:t>
      </w:r>
      <w:r>
        <w:rPr/>
        <w:t>(for</w:t>
      </w:r>
      <w:r>
        <w:rPr>
          <w:spacing w:val="-21"/>
        </w:rPr>
        <w:t> </w:t>
      </w:r>
      <w:r>
        <w:rPr/>
        <w:t>warm</w:t>
      </w:r>
      <w:r>
        <w:rPr>
          <w:spacing w:val="-22"/>
        </w:rPr>
        <w:t> </w:t>
      </w:r>
      <w:r>
        <w:rPr/>
        <w:t>shell</w:t>
      </w:r>
      <w:r>
        <w:rPr>
          <w:spacing w:val="-22"/>
        </w:rPr>
        <w:t> </w:t>
      </w:r>
      <w:r>
        <w:rPr/>
        <w:t>spaces)</w:t>
      </w:r>
      <w:r>
        <w:rPr>
          <w:spacing w:val="-20"/>
        </w:rPr>
        <w:t> </w:t>
      </w:r>
      <w:r>
        <w:rPr/>
        <w:t>depending</w:t>
      </w:r>
      <w:r>
        <w:rPr>
          <w:spacing w:val="-20"/>
        </w:rPr>
        <w:t> </w:t>
      </w:r>
      <w:r>
        <w:rPr/>
        <w:t>upon</w:t>
      </w:r>
      <w:r>
        <w:rPr>
          <w:spacing w:val="-21"/>
        </w:rPr>
        <w:t> </w:t>
      </w:r>
      <w:r>
        <w:rPr/>
        <w:t>specifications</w:t>
      </w:r>
      <w:r>
        <w:rPr>
          <w:spacing w:val="-21"/>
        </w:rPr>
        <w:t> </w:t>
      </w:r>
      <w:r>
        <w:rPr/>
        <w:t>offered,</w:t>
      </w:r>
      <w:r>
        <w:rPr>
          <w:spacing w:val="-21"/>
        </w:rPr>
        <w:t> </w:t>
      </w:r>
      <w:r>
        <w:rPr/>
        <w:t>location</w:t>
      </w:r>
      <w:r>
        <w:rPr>
          <w:spacing w:val="-22"/>
        </w:rPr>
        <w:t> </w:t>
      </w:r>
      <w:r>
        <w:rPr/>
        <w:t>and </w:t>
      </w:r>
      <w:r>
        <w:rPr>
          <w:w w:val="95"/>
        </w:rPr>
        <w:t>accessibility</w:t>
      </w:r>
      <w:r>
        <w:rPr>
          <w:spacing w:val="-16"/>
          <w:w w:val="95"/>
        </w:rPr>
        <w:t> </w:t>
      </w:r>
      <w:r>
        <w:rPr>
          <w:w w:val="95"/>
        </w:rPr>
        <w:t>of</w:t>
      </w:r>
      <w:r>
        <w:rPr>
          <w:spacing w:val="-16"/>
          <w:w w:val="95"/>
        </w:rPr>
        <w:t> </w:t>
      </w:r>
      <w:r>
        <w:rPr>
          <w:w w:val="95"/>
        </w:rPr>
        <w:t>the</w:t>
      </w:r>
      <w:r>
        <w:rPr>
          <w:spacing w:val="-19"/>
          <w:w w:val="95"/>
        </w:rPr>
        <w:t> </w:t>
      </w:r>
      <w:r>
        <w:rPr>
          <w:w w:val="95"/>
        </w:rPr>
        <w:t>development</w:t>
      </w:r>
      <w:r>
        <w:rPr>
          <w:spacing w:val="-19"/>
          <w:w w:val="95"/>
        </w:rPr>
        <w:t> </w:t>
      </w:r>
      <w:r>
        <w:rPr>
          <w:w w:val="95"/>
        </w:rPr>
        <w:t>(viz.</w:t>
      </w:r>
      <w:r>
        <w:rPr>
          <w:spacing w:val="-16"/>
          <w:w w:val="95"/>
        </w:rPr>
        <w:t> </w:t>
      </w:r>
      <w:r>
        <w:rPr>
          <w:w w:val="95"/>
        </w:rPr>
        <w:t>along/off</w:t>
      </w:r>
      <w:r>
        <w:rPr>
          <w:spacing w:val="-19"/>
          <w:w w:val="95"/>
        </w:rPr>
        <w:t> </w:t>
      </w:r>
      <w:r>
        <w:rPr>
          <w:w w:val="95"/>
        </w:rPr>
        <w:t>the</w:t>
      </w:r>
      <w:r>
        <w:rPr>
          <w:spacing w:val="-19"/>
          <w:w w:val="95"/>
        </w:rPr>
        <w:t> </w:t>
      </w:r>
      <w:r>
        <w:rPr>
          <w:w w:val="95"/>
        </w:rPr>
        <w:t>main</w:t>
      </w:r>
      <w:r>
        <w:rPr>
          <w:spacing w:val="-17"/>
          <w:w w:val="95"/>
        </w:rPr>
        <w:t> </w:t>
      </w:r>
      <w:r>
        <w:rPr>
          <w:w w:val="95"/>
        </w:rPr>
        <w:t>roads),</w:t>
      </w:r>
      <w:r>
        <w:rPr>
          <w:spacing w:val="-19"/>
          <w:w w:val="95"/>
        </w:rPr>
        <w:t> </w:t>
      </w:r>
      <w:r>
        <w:rPr>
          <w:w w:val="95"/>
        </w:rPr>
        <w:t>quality</w:t>
      </w:r>
      <w:r>
        <w:rPr>
          <w:spacing w:val="-15"/>
          <w:w w:val="95"/>
        </w:rPr>
        <w:t> </w:t>
      </w:r>
      <w:r>
        <w:rPr>
          <w:w w:val="95"/>
        </w:rPr>
        <w:t>of</w:t>
      </w:r>
      <w:r>
        <w:rPr>
          <w:spacing w:val="-17"/>
          <w:w w:val="95"/>
        </w:rPr>
        <w:t> </w:t>
      </w:r>
      <w:r>
        <w:rPr>
          <w:w w:val="95"/>
        </w:rPr>
        <w:t>construction,</w:t>
      </w:r>
      <w:r>
        <w:rPr>
          <w:spacing w:val="-18"/>
          <w:w w:val="95"/>
        </w:rPr>
        <w:t> </w:t>
      </w:r>
      <w:r>
        <w:rPr>
          <w:w w:val="95"/>
        </w:rPr>
        <w:t>developer</w:t>
      </w:r>
      <w:r>
        <w:rPr>
          <w:spacing w:val="-17"/>
          <w:w w:val="95"/>
        </w:rPr>
        <w:t> </w:t>
      </w:r>
      <w:r>
        <w:rPr>
          <w:w w:val="95"/>
        </w:rPr>
        <w:t>brand, amenities</w:t>
      </w:r>
      <w:r>
        <w:rPr>
          <w:spacing w:val="-13"/>
          <w:w w:val="95"/>
        </w:rPr>
        <w:t> </w:t>
      </w:r>
      <w:r>
        <w:rPr>
          <w:w w:val="95"/>
        </w:rPr>
        <w:t>offered,</w:t>
      </w:r>
      <w:r>
        <w:rPr>
          <w:spacing w:val="-14"/>
          <w:w w:val="95"/>
        </w:rPr>
        <w:t> </w:t>
      </w:r>
      <w:r>
        <w:rPr>
          <w:w w:val="95"/>
        </w:rPr>
        <w:t>space</w:t>
      </w:r>
      <w:r>
        <w:rPr>
          <w:spacing w:val="-16"/>
          <w:w w:val="95"/>
        </w:rPr>
        <w:t> </w:t>
      </w:r>
      <w:r>
        <w:rPr>
          <w:w w:val="95"/>
        </w:rPr>
        <w:t>off</w:t>
      </w:r>
      <w:r>
        <w:rPr>
          <w:spacing w:val="-13"/>
          <w:w w:val="95"/>
        </w:rPr>
        <w:t> </w:t>
      </w:r>
      <w:r>
        <w:rPr>
          <w:w w:val="95"/>
        </w:rPr>
        <w:t>take,</w:t>
      </w:r>
      <w:r>
        <w:rPr>
          <w:spacing w:val="-13"/>
          <w:w w:val="95"/>
        </w:rPr>
        <w:t> </w:t>
      </w:r>
      <w:r>
        <w:rPr>
          <w:w w:val="95"/>
        </w:rPr>
        <w:t>related</w:t>
      </w:r>
      <w:r>
        <w:rPr>
          <w:spacing w:val="-12"/>
          <w:w w:val="95"/>
        </w:rPr>
        <w:t> </w:t>
      </w:r>
      <w:r>
        <w:rPr>
          <w:w w:val="95"/>
        </w:rPr>
        <w:t>infrastructure</w:t>
      </w:r>
      <w:r>
        <w:rPr>
          <w:spacing w:val="-13"/>
          <w:w w:val="95"/>
        </w:rPr>
        <w:t> </w:t>
      </w:r>
      <w:r>
        <w:rPr>
          <w:w w:val="95"/>
        </w:rPr>
        <w:t>provision</w:t>
      </w:r>
      <w:r>
        <w:rPr>
          <w:spacing w:val="-13"/>
          <w:w w:val="95"/>
        </w:rPr>
        <w:t> </w:t>
      </w:r>
      <w:r>
        <w:rPr>
          <w:w w:val="95"/>
        </w:rPr>
        <w:t>for</w:t>
      </w:r>
      <w:r>
        <w:rPr>
          <w:spacing w:val="-16"/>
          <w:w w:val="95"/>
        </w:rPr>
        <w:t> </w:t>
      </w:r>
      <w:r>
        <w:rPr>
          <w:w w:val="95"/>
        </w:rPr>
        <w:t>the</w:t>
      </w:r>
      <w:r>
        <w:rPr>
          <w:spacing w:val="-13"/>
          <w:w w:val="95"/>
        </w:rPr>
        <w:t> </w:t>
      </w:r>
      <w:r>
        <w:rPr>
          <w:w w:val="95"/>
        </w:rPr>
        <w:t>site,</w:t>
      </w:r>
      <w:r>
        <w:rPr>
          <w:spacing w:val="-13"/>
          <w:w w:val="95"/>
        </w:rPr>
        <w:t> </w:t>
      </w:r>
      <w:r>
        <w:rPr>
          <w:w w:val="95"/>
        </w:rPr>
        <w:t>distance</w:t>
      </w:r>
      <w:r>
        <w:rPr>
          <w:spacing w:val="-13"/>
          <w:w w:val="95"/>
        </w:rPr>
        <w:t> </w:t>
      </w:r>
      <w:r>
        <w:rPr>
          <w:w w:val="95"/>
        </w:rPr>
        <w:t>from</w:t>
      </w:r>
      <w:r>
        <w:rPr>
          <w:spacing w:val="-15"/>
          <w:w w:val="95"/>
        </w:rPr>
        <w:t> </w:t>
      </w:r>
      <w:r>
        <w:rPr>
          <w:w w:val="95"/>
        </w:rPr>
        <w:t>the</w:t>
      </w:r>
      <w:r>
        <w:rPr>
          <w:spacing w:val="-13"/>
          <w:w w:val="95"/>
        </w:rPr>
        <w:t> </w:t>
      </w:r>
      <w:r>
        <w:rPr>
          <w:w w:val="95"/>
        </w:rPr>
        <w:t>key</w:t>
      </w:r>
      <w:r>
        <w:rPr>
          <w:spacing w:val="-14"/>
          <w:w w:val="95"/>
        </w:rPr>
        <w:t> </w:t>
      </w:r>
      <w:r>
        <w:rPr>
          <w:w w:val="95"/>
        </w:rPr>
        <w:t>hubs </w:t>
      </w:r>
      <w:r>
        <w:rPr/>
        <w:t>of the city,</w:t>
      </w:r>
      <w:r>
        <w:rPr>
          <w:spacing w:val="-11"/>
        </w:rPr>
        <w:t> </w:t>
      </w:r>
      <w:r>
        <w:rPr/>
        <w:t>etc.</w:t>
      </w:r>
    </w:p>
    <w:p>
      <w:pPr>
        <w:pStyle w:val="BodyText"/>
        <w:spacing w:before="10"/>
        <w:rPr>
          <w:sz w:val="20"/>
        </w:rPr>
      </w:pPr>
    </w:p>
    <w:p>
      <w:pPr>
        <w:pStyle w:val="BodyText"/>
        <w:spacing w:line="321" w:lineRule="auto"/>
        <w:ind w:left="702" w:right="113"/>
        <w:jc w:val="both"/>
      </w:pPr>
      <w:r>
        <w:rPr/>
        <w:t>Based</w:t>
      </w:r>
      <w:r>
        <w:rPr>
          <w:spacing w:val="-19"/>
        </w:rPr>
        <w:t> </w:t>
      </w:r>
      <w:r>
        <w:rPr/>
        <w:t>on</w:t>
      </w:r>
      <w:r>
        <w:rPr>
          <w:spacing w:val="-19"/>
        </w:rPr>
        <w:t> </w:t>
      </w:r>
      <w:r>
        <w:rPr/>
        <w:t>our</w:t>
      </w:r>
      <w:r>
        <w:rPr>
          <w:spacing w:val="-20"/>
        </w:rPr>
        <w:t> </w:t>
      </w:r>
      <w:r>
        <w:rPr/>
        <w:t>market</w:t>
      </w:r>
      <w:r>
        <w:rPr>
          <w:spacing w:val="-19"/>
        </w:rPr>
        <w:t> </w:t>
      </w:r>
      <w:r>
        <w:rPr/>
        <w:t>research,</w:t>
      </w:r>
      <w:r>
        <w:rPr>
          <w:spacing w:val="-19"/>
        </w:rPr>
        <w:t> </w:t>
      </w:r>
      <w:r>
        <w:rPr/>
        <w:t>we</w:t>
      </w:r>
      <w:r>
        <w:rPr>
          <w:spacing w:val="-20"/>
        </w:rPr>
        <w:t> </w:t>
      </w:r>
      <w:r>
        <w:rPr/>
        <w:t>understand</w:t>
      </w:r>
      <w:r>
        <w:rPr>
          <w:spacing w:val="-18"/>
        </w:rPr>
        <w:t> </w:t>
      </w:r>
      <w:r>
        <w:rPr/>
        <w:t>that</w:t>
      </w:r>
      <w:r>
        <w:rPr>
          <w:spacing w:val="-19"/>
        </w:rPr>
        <w:t> </w:t>
      </w:r>
      <w:r>
        <w:rPr/>
        <w:t>the</w:t>
      </w:r>
      <w:r>
        <w:rPr>
          <w:spacing w:val="-19"/>
        </w:rPr>
        <w:t> </w:t>
      </w:r>
      <w:r>
        <w:rPr/>
        <w:t>rents</w:t>
      </w:r>
      <w:r>
        <w:rPr>
          <w:spacing w:val="-19"/>
        </w:rPr>
        <w:t> </w:t>
      </w:r>
      <w:r>
        <w:rPr/>
        <w:t>in</w:t>
      </w:r>
      <w:r>
        <w:rPr>
          <w:spacing w:val="-20"/>
        </w:rPr>
        <w:t> </w:t>
      </w:r>
      <w:r>
        <w:rPr/>
        <w:t>the</w:t>
      </w:r>
      <w:r>
        <w:rPr>
          <w:spacing w:val="-19"/>
        </w:rPr>
        <w:t> </w:t>
      </w:r>
      <w:r>
        <w:rPr/>
        <w:t>subject</w:t>
      </w:r>
      <w:r>
        <w:rPr>
          <w:spacing w:val="-17"/>
        </w:rPr>
        <w:t> </w:t>
      </w:r>
      <w:r>
        <w:rPr/>
        <w:t>sub-market</w:t>
      </w:r>
      <w:r>
        <w:rPr>
          <w:spacing w:val="-19"/>
        </w:rPr>
        <w:t> </w:t>
      </w:r>
      <w:r>
        <w:rPr/>
        <w:t>have</w:t>
      </w:r>
      <w:r>
        <w:rPr>
          <w:spacing w:val="-20"/>
        </w:rPr>
        <w:t> </w:t>
      </w:r>
      <w:r>
        <w:rPr/>
        <w:t>witnessed an</w:t>
      </w:r>
      <w:r>
        <w:rPr>
          <w:spacing w:val="-25"/>
        </w:rPr>
        <w:t> </w:t>
      </w:r>
      <w:r>
        <w:rPr/>
        <w:t>average</w:t>
      </w:r>
      <w:r>
        <w:rPr>
          <w:spacing w:val="-26"/>
        </w:rPr>
        <w:t> </w:t>
      </w:r>
      <w:r>
        <w:rPr/>
        <w:t>annual</w:t>
      </w:r>
      <w:r>
        <w:rPr>
          <w:spacing w:val="-23"/>
        </w:rPr>
        <w:t> </w:t>
      </w:r>
      <w:r>
        <w:rPr/>
        <w:t>appreciation</w:t>
      </w:r>
      <w:r>
        <w:rPr>
          <w:spacing w:val="-25"/>
        </w:rPr>
        <w:t> </w:t>
      </w:r>
      <w:r>
        <w:rPr/>
        <w:t>of</w:t>
      </w:r>
      <w:r>
        <w:rPr>
          <w:spacing w:val="-24"/>
        </w:rPr>
        <w:t> </w:t>
      </w:r>
      <w:r>
        <w:rPr/>
        <w:t>approx.</w:t>
      </w:r>
      <w:r>
        <w:rPr>
          <w:spacing w:val="-25"/>
        </w:rPr>
        <w:t> </w:t>
      </w:r>
      <w:r>
        <w:rPr/>
        <w:t>5.1%</w:t>
      </w:r>
      <w:r>
        <w:rPr>
          <w:spacing w:val="-25"/>
        </w:rPr>
        <w:t> </w:t>
      </w:r>
      <w:r>
        <w:rPr/>
        <w:t>between</w:t>
      </w:r>
      <w:r>
        <w:rPr>
          <w:spacing w:val="-25"/>
        </w:rPr>
        <w:t> </w:t>
      </w:r>
      <w:r>
        <w:rPr/>
        <w:t>2014</w:t>
      </w:r>
      <w:r>
        <w:rPr>
          <w:spacing w:val="-25"/>
        </w:rPr>
        <w:t> </w:t>
      </w:r>
      <w:r>
        <w:rPr/>
        <w:t>and</w:t>
      </w:r>
      <w:r>
        <w:rPr>
          <w:spacing w:val="-24"/>
        </w:rPr>
        <w:t> </w:t>
      </w:r>
      <w:r>
        <w:rPr/>
        <w:t>2019.</w:t>
      </w:r>
      <w:r>
        <w:rPr>
          <w:spacing w:val="-23"/>
        </w:rPr>
        <w:t> </w:t>
      </w:r>
      <w:r>
        <w:rPr/>
        <w:t>Further,</w:t>
      </w:r>
      <w:r>
        <w:rPr>
          <w:spacing w:val="-25"/>
        </w:rPr>
        <w:t> </w:t>
      </w:r>
      <w:r>
        <w:rPr/>
        <w:t>the</w:t>
      </w:r>
      <w:r>
        <w:rPr>
          <w:spacing w:val="-26"/>
        </w:rPr>
        <w:t> </w:t>
      </w:r>
      <w:r>
        <w:rPr/>
        <w:t>said</w:t>
      </w:r>
      <w:r>
        <w:rPr>
          <w:spacing w:val="-24"/>
        </w:rPr>
        <w:t> </w:t>
      </w:r>
      <w:r>
        <w:rPr/>
        <w:t>appreciation in the region is understood to be on account of low vacancy levels coupled with rising interest from technology</w:t>
      </w:r>
      <w:r>
        <w:rPr>
          <w:spacing w:val="-10"/>
        </w:rPr>
        <w:t> </w:t>
      </w:r>
      <w:r>
        <w:rPr/>
        <w:t>occupiers.</w:t>
      </w:r>
      <w:r>
        <w:rPr>
          <w:spacing w:val="-11"/>
        </w:rPr>
        <w:t> </w:t>
      </w:r>
      <w:r>
        <w:rPr/>
        <w:t>Hence,</w:t>
      </w:r>
      <w:r>
        <w:rPr>
          <w:spacing w:val="-10"/>
        </w:rPr>
        <w:t> </w:t>
      </w:r>
      <w:r>
        <w:rPr/>
        <w:t>with</w:t>
      </w:r>
      <w:r>
        <w:rPr>
          <w:spacing w:val="-11"/>
        </w:rPr>
        <w:t> </w:t>
      </w:r>
      <w:r>
        <w:rPr/>
        <w:t>low</w:t>
      </w:r>
      <w:r>
        <w:rPr>
          <w:spacing w:val="-10"/>
        </w:rPr>
        <w:t> </w:t>
      </w:r>
      <w:r>
        <w:rPr/>
        <w:t>levels</w:t>
      </w:r>
      <w:r>
        <w:rPr>
          <w:spacing w:val="-12"/>
        </w:rPr>
        <w:t> </w:t>
      </w:r>
      <w:r>
        <w:rPr/>
        <w:t>of</w:t>
      </w:r>
      <w:r>
        <w:rPr>
          <w:spacing w:val="-10"/>
        </w:rPr>
        <w:t> </w:t>
      </w:r>
      <w:r>
        <w:rPr/>
        <w:t>ready</w:t>
      </w:r>
      <w:r>
        <w:rPr>
          <w:spacing w:val="-11"/>
        </w:rPr>
        <w:t> </w:t>
      </w:r>
      <w:r>
        <w:rPr/>
        <w:t>to</w:t>
      </w:r>
      <w:r>
        <w:rPr>
          <w:spacing w:val="-11"/>
        </w:rPr>
        <w:t> </w:t>
      </w:r>
      <w:r>
        <w:rPr/>
        <w:t>move-in</w:t>
      </w:r>
      <w:r>
        <w:rPr>
          <w:spacing w:val="-13"/>
        </w:rPr>
        <w:t> </w:t>
      </w:r>
      <w:r>
        <w:rPr/>
        <w:t>supply</w:t>
      </w:r>
      <w:r>
        <w:rPr>
          <w:spacing w:val="-12"/>
        </w:rPr>
        <w:t> </w:t>
      </w:r>
      <w:r>
        <w:rPr/>
        <w:t>in</w:t>
      </w:r>
      <w:r>
        <w:rPr>
          <w:spacing w:val="-11"/>
        </w:rPr>
        <w:t> </w:t>
      </w:r>
      <w:r>
        <w:rPr/>
        <w:t>large-scale</w:t>
      </w:r>
      <w:r>
        <w:rPr>
          <w:spacing w:val="-13"/>
        </w:rPr>
        <w:t> </w:t>
      </w:r>
      <w:r>
        <w:rPr/>
        <w:t>business</w:t>
      </w:r>
      <w:r>
        <w:rPr>
          <w:spacing w:val="-11"/>
        </w:rPr>
        <w:t> </w:t>
      </w:r>
      <w:r>
        <w:rPr/>
        <w:t>parks coupled</w:t>
      </w:r>
      <w:r>
        <w:rPr>
          <w:spacing w:val="-23"/>
        </w:rPr>
        <w:t> </w:t>
      </w:r>
      <w:r>
        <w:rPr/>
        <w:t>with</w:t>
      </w:r>
      <w:r>
        <w:rPr>
          <w:spacing w:val="-23"/>
        </w:rPr>
        <w:t> </w:t>
      </w:r>
      <w:r>
        <w:rPr/>
        <w:t>sustained</w:t>
      </w:r>
      <w:r>
        <w:rPr>
          <w:spacing w:val="-22"/>
        </w:rPr>
        <w:t> </w:t>
      </w:r>
      <w:r>
        <w:rPr/>
        <w:t>occupier</w:t>
      </w:r>
      <w:r>
        <w:rPr>
          <w:spacing w:val="-22"/>
        </w:rPr>
        <w:t> </w:t>
      </w:r>
      <w:r>
        <w:rPr/>
        <w:t>interest,</w:t>
      </w:r>
      <w:r>
        <w:rPr>
          <w:spacing w:val="-23"/>
        </w:rPr>
        <w:t> </w:t>
      </w:r>
      <w:r>
        <w:rPr/>
        <w:t>the</w:t>
      </w:r>
      <w:r>
        <w:rPr>
          <w:spacing w:val="-23"/>
        </w:rPr>
        <w:t> </w:t>
      </w:r>
      <w:r>
        <w:rPr/>
        <w:t>market</w:t>
      </w:r>
      <w:r>
        <w:rPr>
          <w:spacing w:val="-23"/>
        </w:rPr>
        <w:t> </w:t>
      </w:r>
      <w:r>
        <w:rPr/>
        <w:t>is</w:t>
      </w:r>
      <w:r>
        <w:rPr>
          <w:spacing w:val="-23"/>
        </w:rPr>
        <w:t> </w:t>
      </w:r>
      <w:r>
        <w:rPr/>
        <w:t>expected</w:t>
      </w:r>
      <w:r>
        <w:rPr>
          <w:spacing w:val="-22"/>
        </w:rPr>
        <w:t> </w:t>
      </w:r>
      <w:r>
        <w:rPr/>
        <w:t>to</w:t>
      </w:r>
      <w:r>
        <w:rPr>
          <w:spacing w:val="-23"/>
        </w:rPr>
        <w:t> </w:t>
      </w:r>
      <w:r>
        <w:rPr/>
        <w:t>continue</w:t>
      </w:r>
      <w:r>
        <w:rPr>
          <w:spacing w:val="-23"/>
        </w:rPr>
        <w:t> </w:t>
      </w:r>
      <w:r>
        <w:rPr/>
        <w:t>to</w:t>
      </w:r>
      <w:r>
        <w:rPr>
          <w:spacing w:val="-23"/>
        </w:rPr>
        <w:t> </w:t>
      </w:r>
      <w:r>
        <w:rPr/>
        <w:t>achieve</w:t>
      </w:r>
      <w:r>
        <w:rPr>
          <w:spacing w:val="-21"/>
        </w:rPr>
        <w:t> </w:t>
      </w:r>
      <w:r>
        <w:rPr/>
        <w:t>steady</w:t>
      </w:r>
      <w:r>
        <w:rPr>
          <w:spacing w:val="-22"/>
        </w:rPr>
        <w:t> </w:t>
      </w:r>
      <w:r>
        <w:rPr/>
        <w:t>growth going</w:t>
      </w:r>
      <w:r>
        <w:rPr>
          <w:spacing w:val="-2"/>
        </w:rPr>
        <w:t> </w:t>
      </w:r>
      <w:r>
        <w:rPr/>
        <w:t>forward.</w:t>
      </w:r>
    </w:p>
    <w:p>
      <w:pPr>
        <w:pStyle w:val="BodyText"/>
        <w:spacing w:before="11"/>
        <w:rPr>
          <w:sz w:val="20"/>
        </w:rPr>
      </w:pPr>
    </w:p>
    <w:p>
      <w:pPr>
        <w:pStyle w:val="BodyText"/>
        <w:spacing w:line="321" w:lineRule="auto"/>
        <w:ind w:left="702" w:right="123"/>
        <w:jc w:val="both"/>
      </w:pPr>
      <w:r>
        <w:rPr/>
        <w:t>The</w:t>
      </w:r>
      <w:r>
        <w:rPr>
          <w:spacing w:val="-16"/>
        </w:rPr>
        <w:t> </w:t>
      </w:r>
      <w:r>
        <w:rPr/>
        <w:t>table</w:t>
      </w:r>
      <w:r>
        <w:rPr>
          <w:spacing w:val="-14"/>
        </w:rPr>
        <w:t> </w:t>
      </w:r>
      <w:r>
        <w:rPr/>
        <w:t>below</w:t>
      </w:r>
      <w:r>
        <w:rPr>
          <w:spacing w:val="-14"/>
        </w:rPr>
        <w:t> </w:t>
      </w:r>
      <w:r>
        <w:rPr/>
        <w:t>highlights</w:t>
      </w:r>
      <w:r>
        <w:rPr>
          <w:spacing w:val="-15"/>
        </w:rPr>
        <w:t> </w:t>
      </w:r>
      <w:r>
        <w:rPr/>
        <w:t>some</w:t>
      </w:r>
      <w:r>
        <w:rPr>
          <w:spacing w:val="-14"/>
        </w:rPr>
        <w:t> </w:t>
      </w:r>
      <w:r>
        <w:rPr/>
        <w:t>of</w:t>
      </w:r>
      <w:r>
        <w:rPr>
          <w:spacing w:val="-14"/>
        </w:rPr>
        <w:t> </w:t>
      </w:r>
      <w:r>
        <w:rPr/>
        <w:t>the</w:t>
      </w:r>
      <w:r>
        <w:rPr>
          <w:spacing w:val="-15"/>
        </w:rPr>
        <w:t> </w:t>
      </w:r>
      <w:r>
        <w:rPr/>
        <w:t>recent</w:t>
      </w:r>
      <w:r>
        <w:rPr>
          <w:spacing w:val="-14"/>
        </w:rPr>
        <w:t> </w:t>
      </w:r>
      <w:r>
        <w:rPr/>
        <w:t>transacted</w:t>
      </w:r>
      <w:r>
        <w:rPr>
          <w:spacing w:val="-14"/>
        </w:rPr>
        <w:t> </w:t>
      </w:r>
      <w:r>
        <w:rPr/>
        <w:t>rental</w:t>
      </w:r>
      <w:r>
        <w:rPr>
          <w:spacing w:val="-15"/>
        </w:rPr>
        <w:t> </w:t>
      </w:r>
      <w:r>
        <w:rPr/>
        <w:t>values</w:t>
      </w:r>
      <w:r>
        <w:rPr>
          <w:spacing w:val="-14"/>
        </w:rPr>
        <w:t> </w:t>
      </w:r>
      <w:r>
        <w:rPr/>
        <w:t>for</w:t>
      </w:r>
      <w:r>
        <w:rPr>
          <w:spacing w:val="-14"/>
        </w:rPr>
        <w:t> </w:t>
      </w:r>
      <w:r>
        <w:rPr/>
        <w:t>office</w:t>
      </w:r>
      <w:r>
        <w:rPr>
          <w:spacing w:val="-15"/>
        </w:rPr>
        <w:t> </w:t>
      </w:r>
      <w:r>
        <w:rPr/>
        <w:t>developments</w:t>
      </w:r>
      <w:r>
        <w:rPr>
          <w:spacing w:val="-14"/>
        </w:rPr>
        <w:t> </w:t>
      </w:r>
      <w:r>
        <w:rPr/>
        <w:t>in</w:t>
      </w:r>
      <w:r>
        <w:rPr>
          <w:spacing w:val="-15"/>
        </w:rPr>
        <w:t> </w:t>
      </w:r>
      <w:r>
        <w:rPr/>
        <w:t>the influence region of the subject</w:t>
      </w:r>
      <w:r>
        <w:rPr>
          <w:spacing w:val="-24"/>
        </w:rPr>
        <w:t> </w:t>
      </w:r>
      <w:r>
        <w:rPr/>
        <w:t>property:</w:t>
      </w:r>
    </w:p>
    <w:p>
      <w:pPr>
        <w:spacing w:after="0" w:line="321" w:lineRule="auto"/>
        <w:jc w:val="both"/>
        <w:sectPr>
          <w:pgSz w:w="11910" w:h="16840"/>
          <w:pgMar w:header="720" w:footer="921" w:top="1660" w:bottom="1120" w:left="580" w:right="600"/>
        </w:sectPr>
      </w:pPr>
    </w:p>
    <w:p>
      <w:pPr>
        <w:pStyle w:val="BodyText"/>
        <w:rPr>
          <w:sz w:val="19"/>
        </w:rPr>
      </w:pPr>
    </w:p>
    <w:tbl>
      <w:tblPr>
        <w:tblW w:w="0" w:type="auto"/>
        <w:jc w:val="left"/>
        <w:tblInd w:w="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71"/>
        <w:gridCol w:w="1894"/>
        <w:gridCol w:w="2181"/>
        <w:gridCol w:w="3640"/>
      </w:tblGrid>
      <w:tr>
        <w:trPr>
          <w:trHeight w:val="309" w:hRule="atLeast"/>
        </w:trPr>
        <w:tc>
          <w:tcPr>
            <w:tcW w:w="2771" w:type="dxa"/>
            <w:tcBorders>
              <w:top w:val="single" w:sz="6" w:space="0" w:color="69BD28"/>
              <w:bottom w:val="single" w:sz="6" w:space="0" w:color="69BD28"/>
            </w:tcBorders>
            <w:shd w:val="clear" w:color="auto" w:fill="006A4D"/>
          </w:tcPr>
          <w:p>
            <w:pPr>
              <w:pStyle w:val="TableParagraph"/>
              <w:spacing w:before="49"/>
              <w:ind w:left="581" w:right="415"/>
              <w:rPr>
                <w:b/>
                <w:sz w:val="18"/>
              </w:rPr>
            </w:pPr>
            <w:r>
              <w:rPr>
                <w:b/>
                <w:color w:val="FFFFFF"/>
                <w:w w:val="105"/>
                <w:sz w:val="18"/>
              </w:rPr>
              <w:t>Date of Transaction</w:t>
            </w:r>
          </w:p>
        </w:tc>
        <w:tc>
          <w:tcPr>
            <w:tcW w:w="1894" w:type="dxa"/>
            <w:tcBorders>
              <w:top w:val="single" w:sz="6" w:space="0" w:color="69BD28"/>
              <w:bottom w:val="single" w:sz="6" w:space="0" w:color="69BD28"/>
            </w:tcBorders>
            <w:shd w:val="clear" w:color="auto" w:fill="006A4D"/>
          </w:tcPr>
          <w:p>
            <w:pPr>
              <w:pStyle w:val="TableParagraph"/>
              <w:spacing w:before="49"/>
              <w:ind w:left="414"/>
              <w:jc w:val="left"/>
              <w:rPr>
                <w:b/>
                <w:sz w:val="18"/>
              </w:rPr>
            </w:pPr>
            <w:r>
              <w:rPr>
                <w:b/>
                <w:color w:val="FFFFFF"/>
                <w:w w:val="110"/>
                <w:sz w:val="18"/>
              </w:rPr>
              <w:t>Area (sf)</w:t>
            </w:r>
          </w:p>
        </w:tc>
        <w:tc>
          <w:tcPr>
            <w:tcW w:w="2181" w:type="dxa"/>
            <w:tcBorders>
              <w:top w:val="single" w:sz="6" w:space="0" w:color="69BD28"/>
              <w:bottom w:val="single" w:sz="6" w:space="0" w:color="69BD28"/>
            </w:tcBorders>
            <w:shd w:val="clear" w:color="auto" w:fill="006A4D"/>
          </w:tcPr>
          <w:p>
            <w:pPr>
              <w:pStyle w:val="TableParagraph"/>
              <w:spacing w:before="49"/>
              <w:ind w:left="677" w:right="653"/>
              <w:rPr>
                <w:b/>
                <w:sz w:val="18"/>
              </w:rPr>
            </w:pPr>
            <w:r>
              <w:rPr>
                <w:b/>
                <w:color w:val="FFFFFF"/>
                <w:w w:val="105"/>
                <w:sz w:val="18"/>
              </w:rPr>
              <w:t>Tenant</w:t>
            </w:r>
          </w:p>
        </w:tc>
        <w:tc>
          <w:tcPr>
            <w:tcW w:w="3640" w:type="dxa"/>
            <w:tcBorders>
              <w:top w:val="single" w:sz="6" w:space="0" w:color="69BD28"/>
              <w:bottom w:val="single" w:sz="6" w:space="0" w:color="69BD28"/>
            </w:tcBorders>
            <w:shd w:val="clear" w:color="auto" w:fill="006A4D"/>
          </w:tcPr>
          <w:p>
            <w:pPr>
              <w:pStyle w:val="TableParagraph"/>
              <w:spacing w:before="49"/>
              <w:ind w:left="632" w:right="172"/>
              <w:rPr>
                <w:b/>
                <w:sz w:val="18"/>
              </w:rPr>
            </w:pPr>
            <w:r>
              <w:rPr>
                <w:b/>
                <w:color w:val="FFFFFF"/>
                <w:w w:val="110"/>
                <w:sz w:val="18"/>
              </w:rPr>
              <w:t>Transacted Rent (INR psf pm)*</w:t>
            </w:r>
          </w:p>
        </w:tc>
      </w:tr>
      <w:tr>
        <w:trPr>
          <w:trHeight w:val="308" w:hRule="atLeast"/>
        </w:trPr>
        <w:tc>
          <w:tcPr>
            <w:tcW w:w="2771" w:type="dxa"/>
            <w:tcBorders>
              <w:top w:val="single" w:sz="6" w:space="0" w:color="69BD28"/>
              <w:bottom w:val="single" w:sz="6" w:space="0" w:color="69BD28"/>
            </w:tcBorders>
          </w:tcPr>
          <w:p>
            <w:pPr>
              <w:pStyle w:val="TableParagraph"/>
              <w:spacing w:before="49"/>
              <w:ind w:left="578" w:right="415"/>
              <w:rPr>
                <w:sz w:val="18"/>
              </w:rPr>
            </w:pPr>
            <w:r>
              <w:rPr>
                <w:w w:val="110"/>
                <w:sz w:val="18"/>
              </w:rPr>
              <w:t>Q1, 2020</w:t>
            </w:r>
          </w:p>
        </w:tc>
        <w:tc>
          <w:tcPr>
            <w:tcW w:w="1894" w:type="dxa"/>
            <w:tcBorders>
              <w:top w:val="single" w:sz="6" w:space="0" w:color="69BD28"/>
              <w:bottom w:val="single" w:sz="6" w:space="0" w:color="69BD28"/>
            </w:tcBorders>
          </w:tcPr>
          <w:p>
            <w:pPr>
              <w:pStyle w:val="TableParagraph"/>
              <w:spacing w:before="49"/>
              <w:ind w:left="513"/>
              <w:jc w:val="left"/>
              <w:rPr>
                <w:sz w:val="18"/>
              </w:rPr>
            </w:pPr>
            <w:r>
              <w:rPr>
                <w:w w:val="110"/>
                <w:sz w:val="18"/>
              </w:rPr>
              <w:t>25,000</w:t>
            </w:r>
          </w:p>
        </w:tc>
        <w:tc>
          <w:tcPr>
            <w:tcW w:w="2181" w:type="dxa"/>
            <w:tcBorders>
              <w:top w:val="single" w:sz="6" w:space="0" w:color="69BD28"/>
              <w:bottom w:val="single" w:sz="6" w:space="0" w:color="69BD28"/>
            </w:tcBorders>
          </w:tcPr>
          <w:p>
            <w:pPr>
              <w:pStyle w:val="TableParagraph"/>
              <w:spacing w:before="49"/>
              <w:ind w:left="677" w:right="654"/>
              <w:rPr>
                <w:sz w:val="18"/>
              </w:rPr>
            </w:pPr>
            <w:r>
              <w:rPr>
                <w:sz w:val="18"/>
              </w:rPr>
              <w:t>Tenant 1</w:t>
            </w:r>
          </w:p>
        </w:tc>
        <w:tc>
          <w:tcPr>
            <w:tcW w:w="3640" w:type="dxa"/>
            <w:tcBorders>
              <w:top w:val="single" w:sz="6" w:space="0" w:color="69BD28"/>
              <w:bottom w:val="single" w:sz="6" w:space="0" w:color="69BD28"/>
            </w:tcBorders>
          </w:tcPr>
          <w:p>
            <w:pPr>
              <w:pStyle w:val="TableParagraph"/>
              <w:spacing w:before="49"/>
              <w:ind w:left="632" w:right="171"/>
              <w:rPr>
                <w:sz w:val="18"/>
              </w:rPr>
            </w:pPr>
            <w:r>
              <w:rPr>
                <w:w w:val="105"/>
                <w:sz w:val="18"/>
              </w:rPr>
              <w:t>55.0 - 58.0 (WS)</w:t>
            </w:r>
          </w:p>
        </w:tc>
      </w:tr>
      <w:tr>
        <w:trPr>
          <w:trHeight w:val="309" w:hRule="atLeast"/>
        </w:trPr>
        <w:tc>
          <w:tcPr>
            <w:tcW w:w="2771" w:type="dxa"/>
            <w:tcBorders>
              <w:top w:val="single" w:sz="6" w:space="0" w:color="69BD28"/>
              <w:bottom w:val="single" w:sz="6" w:space="0" w:color="69BD28"/>
            </w:tcBorders>
          </w:tcPr>
          <w:p>
            <w:pPr>
              <w:pStyle w:val="TableParagraph"/>
              <w:spacing w:before="49"/>
              <w:ind w:left="578" w:right="415"/>
              <w:rPr>
                <w:sz w:val="18"/>
              </w:rPr>
            </w:pPr>
            <w:r>
              <w:rPr>
                <w:w w:val="110"/>
                <w:sz w:val="18"/>
              </w:rPr>
              <w:t>Q1, 2020</w:t>
            </w:r>
          </w:p>
        </w:tc>
        <w:tc>
          <w:tcPr>
            <w:tcW w:w="1894" w:type="dxa"/>
            <w:tcBorders>
              <w:top w:val="single" w:sz="6" w:space="0" w:color="69BD28"/>
              <w:bottom w:val="single" w:sz="6" w:space="0" w:color="69BD28"/>
            </w:tcBorders>
          </w:tcPr>
          <w:p>
            <w:pPr>
              <w:pStyle w:val="TableParagraph"/>
              <w:spacing w:before="49"/>
              <w:ind w:left="513"/>
              <w:jc w:val="left"/>
              <w:rPr>
                <w:sz w:val="18"/>
              </w:rPr>
            </w:pPr>
            <w:r>
              <w:rPr>
                <w:w w:val="110"/>
                <w:sz w:val="18"/>
              </w:rPr>
              <w:t>90,000</w:t>
            </w:r>
          </w:p>
        </w:tc>
        <w:tc>
          <w:tcPr>
            <w:tcW w:w="2181" w:type="dxa"/>
            <w:tcBorders>
              <w:top w:val="single" w:sz="6" w:space="0" w:color="69BD28"/>
              <w:bottom w:val="single" w:sz="6" w:space="0" w:color="69BD28"/>
            </w:tcBorders>
          </w:tcPr>
          <w:p>
            <w:pPr>
              <w:pStyle w:val="TableParagraph"/>
              <w:spacing w:before="49"/>
              <w:ind w:left="677" w:right="653"/>
              <w:rPr>
                <w:sz w:val="18"/>
              </w:rPr>
            </w:pPr>
            <w:r>
              <w:rPr>
                <w:sz w:val="18"/>
              </w:rPr>
              <w:t>Tenant 2</w:t>
            </w:r>
          </w:p>
        </w:tc>
        <w:tc>
          <w:tcPr>
            <w:tcW w:w="3640" w:type="dxa"/>
            <w:tcBorders>
              <w:top w:val="single" w:sz="6" w:space="0" w:color="69BD28"/>
              <w:bottom w:val="single" w:sz="6" w:space="0" w:color="69BD28"/>
            </w:tcBorders>
          </w:tcPr>
          <w:p>
            <w:pPr>
              <w:pStyle w:val="TableParagraph"/>
              <w:spacing w:before="49"/>
              <w:ind w:left="632" w:right="171"/>
              <w:rPr>
                <w:sz w:val="18"/>
              </w:rPr>
            </w:pPr>
            <w:r>
              <w:rPr>
                <w:w w:val="105"/>
                <w:sz w:val="18"/>
              </w:rPr>
              <w:t>50.0 - 55.0 (WS)</w:t>
            </w:r>
          </w:p>
        </w:tc>
      </w:tr>
      <w:tr>
        <w:trPr>
          <w:trHeight w:val="308" w:hRule="atLeast"/>
        </w:trPr>
        <w:tc>
          <w:tcPr>
            <w:tcW w:w="2771" w:type="dxa"/>
            <w:tcBorders>
              <w:top w:val="single" w:sz="6" w:space="0" w:color="69BD28"/>
              <w:bottom w:val="single" w:sz="6" w:space="0" w:color="69BD28"/>
            </w:tcBorders>
          </w:tcPr>
          <w:p>
            <w:pPr>
              <w:pStyle w:val="TableParagraph"/>
              <w:spacing w:before="49"/>
              <w:ind w:left="578" w:right="415"/>
              <w:rPr>
                <w:sz w:val="18"/>
              </w:rPr>
            </w:pPr>
            <w:r>
              <w:rPr>
                <w:w w:val="110"/>
                <w:sz w:val="18"/>
              </w:rPr>
              <w:t>Q4, 2019</w:t>
            </w:r>
          </w:p>
        </w:tc>
        <w:tc>
          <w:tcPr>
            <w:tcW w:w="1894" w:type="dxa"/>
            <w:tcBorders>
              <w:top w:val="single" w:sz="6" w:space="0" w:color="69BD28"/>
              <w:bottom w:val="single" w:sz="6" w:space="0" w:color="69BD28"/>
            </w:tcBorders>
          </w:tcPr>
          <w:p>
            <w:pPr>
              <w:pStyle w:val="TableParagraph"/>
              <w:spacing w:before="49"/>
              <w:ind w:left="513"/>
              <w:jc w:val="left"/>
              <w:rPr>
                <w:sz w:val="18"/>
              </w:rPr>
            </w:pPr>
            <w:r>
              <w:rPr>
                <w:w w:val="110"/>
                <w:sz w:val="18"/>
              </w:rPr>
              <w:t>25,000</w:t>
            </w:r>
          </w:p>
        </w:tc>
        <w:tc>
          <w:tcPr>
            <w:tcW w:w="2181" w:type="dxa"/>
            <w:tcBorders>
              <w:top w:val="single" w:sz="6" w:space="0" w:color="69BD28"/>
              <w:bottom w:val="single" w:sz="6" w:space="0" w:color="69BD28"/>
            </w:tcBorders>
          </w:tcPr>
          <w:p>
            <w:pPr>
              <w:pStyle w:val="TableParagraph"/>
              <w:spacing w:before="49"/>
              <w:ind w:left="677" w:right="653"/>
              <w:rPr>
                <w:sz w:val="18"/>
              </w:rPr>
            </w:pPr>
            <w:r>
              <w:rPr>
                <w:sz w:val="18"/>
              </w:rPr>
              <w:t>Tenant 3</w:t>
            </w:r>
          </w:p>
        </w:tc>
        <w:tc>
          <w:tcPr>
            <w:tcW w:w="3640" w:type="dxa"/>
            <w:tcBorders>
              <w:top w:val="single" w:sz="6" w:space="0" w:color="69BD28"/>
              <w:bottom w:val="single" w:sz="6" w:space="0" w:color="69BD28"/>
            </w:tcBorders>
          </w:tcPr>
          <w:p>
            <w:pPr>
              <w:pStyle w:val="TableParagraph"/>
              <w:spacing w:before="49"/>
              <w:ind w:left="632" w:right="171"/>
              <w:rPr>
                <w:sz w:val="18"/>
              </w:rPr>
            </w:pPr>
            <w:r>
              <w:rPr>
                <w:w w:val="105"/>
                <w:sz w:val="18"/>
              </w:rPr>
              <w:t>50.0 - 55.0 (WS)</w:t>
            </w:r>
          </w:p>
        </w:tc>
      </w:tr>
      <w:tr>
        <w:trPr>
          <w:trHeight w:val="309" w:hRule="atLeast"/>
        </w:trPr>
        <w:tc>
          <w:tcPr>
            <w:tcW w:w="2771" w:type="dxa"/>
            <w:tcBorders>
              <w:top w:val="single" w:sz="6" w:space="0" w:color="69BD28"/>
              <w:bottom w:val="single" w:sz="6" w:space="0" w:color="69BD28"/>
            </w:tcBorders>
          </w:tcPr>
          <w:p>
            <w:pPr>
              <w:pStyle w:val="TableParagraph"/>
              <w:spacing w:before="49"/>
              <w:ind w:left="578" w:right="415"/>
              <w:rPr>
                <w:sz w:val="18"/>
              </w:rPr>
            </w:pPr>
            <w:r>
              <w:rPr>
                <w:w w:val="110"/>
                <w:sz w:val="18"/>
              </w:rPr>
              <w:t>Q4, 2019</w:t>
            </w:r>
          </w:p>
        </w:tc>
        <w:tc>
          <w:tcPr>
            <w:tcW w:w="1894" w:type="dxa"/>
            <w:tcBorders>
              <w:top w:val="single" w:sz="6" w:space="0" w:color="69BD28"/>
              <w:bottom w:val="single" w:sz="6" w:space="0" w:color="69BD28"/>
            </w:tcBorders>
          </w:tcPr>
          <w:p>
            <w:pPr>
              <w:pStyle w:val="TableParagraph"/>
              <w:spacing w:before="49"/>
              <w:ind w:left="457"/>
              <w:jc w:val="left"/>
              <w:rPr>
                <w:sz w:val="18"/>
              </w:rPr>
            </w:pPr>
            <w:r>
              <w:rPr>
                <w:w w:val="110"/>
                <w:sz w:val="18"/>
              </w:rPr>
              <w:t>100,000</w:t>
            </w:r>
          </w:p>
        </w:tc>
        <w:tc>
          <w:tcPr>
            <w:tcW w:w="2181" w:type="dxa"/>
            <w:tcBorders>
              <w:top w:val="single" w:sz="6" w:space="0" w:color="69BD28"/>
              <w:bottom w:val="single" w:sz="6" w:space="0" w:color="69BD28"/>
            </w:tcBorders>
          </w:tcPr>
          <w:p>
            <w:pPr>
              <w:pStyle w:val="TableParagraph"/>
              <w:spacing w:before="49"/>
              <w:ind w:left="677" w:right="653"/>
              <w:rPr>
                <w:sz w:val="18"/>
              </w:rPr>
            </w:pPr>
            <w:r>
              <w:rPr>
                <w:sz w:val="18"/>
              </w:rPr>
              <w:t>Tenant 4</w:t>
            </w:r>
          </w:p>
        </w:tc>
        <w:tc>
          <w:tcPr>
            <w:tcW w:w="3640" w:type="dxa"/>
            <w:tcBorders>
              <w:top w:val="single" w:sz="6" w:space="0" w:color="69BD28"/>
              <w:bottom w:val="single" w:sz="6" w:space="0" w:color="69BD28"/>
            </w:tcBorders>
          </w:tcPr>
          <w:p>
            <w:pPr>
              <w:pStyle w:val="TableParagraph"/>
              <w:spacing w:before="49"/>
              <w:ind w:left="632" w:right="171"/>
              <w:rPr>
                <w:sz w:val="18"/>
              </w:rPr>
            </w:pPr>
            <w:r>
              <w:rPr>
                <w:w w:val="105"/>
                <w:sz w:val="18"/>
              </w:rPr>
              <w:t>53.0 - 57.0 (WS)</w:t>
            </w:r>
          </w:p>
        </w:tc>
      </w:tr>
      <w:tr>
        <w:trPr>
          <w:trHeight w:val="309" w:hRule="atLeast"/>
        </w:trPr>
        <w:tc>
          <w:tcPr>
            <w:tcW w:w="2771" w:type="dxa"/>
            <w:tcBorders>
              <w:top w:val="single" w:sz="6" w:space="0" w:color="69BD28"/>
              <w:bottom w:val="single" w:sz="6" w:space="0" w:color="69BD28"/>
            </w:tcBorders>
          </w:tcPr>
          <w:p>
            <w:pPr>
              <w:pStyle w:val="TableParagraph"/>
              <w:spacing w:before="49"/>
              <w:ind w:left="578" w:right="415"/>
              <w:rPr>
                <w:sz w:val="18"/>
              </w:rPr>
            </w:pPr>
            <w:r>
              <w:rPr>
                <w:w w:val="110"/>
                <w:sz w:val="18"/>
              </w:rPr>
              <w:t>Q4, 2019</w:t>
            </w:r>
          </w:p>
        </w:tc>
        <w:tc>
          <w:tcPr>
            <w:tcW w:w="1894" w:type="dxa"/>
            <w:tcBorders>
              <w:top w:val="single" w:sz="6" w:space="0" w:color="69BD28"/>
              <w:bottom w:val="single" w:sz="6" w:space="0" w:color="69BD28"/>
            </w:tcBorders>
          </w:tcPr>
          <w:p>
            <w:pPr>
              <w:pStyle w:val="TableParagraph"/>
              <w:spacing w:before="49"/>
              <w:ind w:left="513"/>
              <w:jc w:val="left"/>
              <w:rPr>
                <w:sz w:val="18"/>
              </w:rPr>
            </w:pPr>
            <w:r>
              <w:rPr>
                <w:w w:val="110"/>
                <w:sz w:val="18"/>
              </w:rPr>
              <w:t>25,000</w:t>
            </w:r>
          </w:p>
        </w:tc>
        <w:tc>
          <w:tcPr>
            <w:tcW w:w="2181" w:type="dxa"/>
            <w:tcBorders>
              <w:top w:val="single" w:sz="6" w:space="0" w:color="69BD28"/>
              <w:bottom w:val="single" w:sz="6" w:space="0" w:color="69BD28"/>
            </w:tcBorders>
          </w:tcPr>
          <w:p>
            <w:pPr>
              <w:pStyle w:val="TableParagraph"/>
              <w:spacing w:before="49"/>
              <w:ind w:left="677" w:right="653"/>
              <w:rPr>
                <w:sz w:val="18"/>
              </w:rPr>
            </w:pPr>
            <w:r>
              <w:rPr>
                <w:sz w:val="18"/>
              </w:rPr>
              <w:t>Tenant 5</w:t>
            </w:r>
          </w:p>
        </w:tc>
        <w:tc>
          <w:tcPr>
            <w:tcW w:w="3640" w:type="dxa"/>
            <w:tcBorders>
              <w:top w:val="single" w:sz="6" w:space="0" w:color="69BD28"/>
              <w:bottom w:val="single" w:sz="6" w:space="0" w:color="69BD28"/>
            </w:tcBorders>
          </w:tcPr>
          <w:p>
            <w:pPr>
              <w:pStyle w:val="TableParagraph"/>
              <w:spacing w:before="49"/>
              <w:ind w:left="632" w:right="171"/>
              <w:rPr>
                <w:sz w:val="18"/>
              </w:rPr>
            </w:pPr>
            <w:r>
              <w:rPr>
                <w:w w:val="105"/>
                <w:sz w:val="18"/>
              </w:rPr>
              <w:t>53.0 - 57.0 (WS)</w:t>
            </w:r>
          </w:p>
        </w:tc>
      </w:tr>
      <w:tr>
        <w:trPr>
          <w:trHeight w:val="308" w:hRule="atLeast"/>
        </w:trPr>
        <w:tc>
          <w:tcPr>
            <w:tcW w:w="2771" w:type="dxa"/>
            <w:tcBorders>
              <w:top w:val="single" w:sz="6" w:space="0" w:color="69BD28"/>
              <w:bottom w:val="single" w:sz="6" w:space="0" w:color="69BD28"/>
            </w:tcBorders>
          </w:tcPr>
          <w:p>
            <w:pPr>
              <w:pStyle w:val="TableParagraph"/>
              <w:spacing w:before="49"/>
              <w:ind w:left="578" w:right="415"/>
              <w:rPr>
                <w:sz w:val="18"/>
              </w:rPr>
            </w:pPr>
            <w:r>
              <w:rPr>
                <w:w w:val="110"/>
                <w:sz w:val="18"/>
              </w:rPr>
              <w:t>Q4, 2019</w:t>
            </w:r>
          </w:p>
        </w:tc>
        <w:tc>
          <w:tcPr>
            <w:tcW w:w="1894" w:type="dxa"/>
            <w:tcBorders>
              <w:top w:val="single" w:sz="6" w:space="0" w:color="69BD28"/>
              <w:bottom w:val="single" w:sz="6" w:space="0" w:color="69BD28"/>
            </w:tcBorders>
          </w:tcPr>
          <w:p>
            <w:pPr>
              <w:pStyle w:val="TableParagraph"/>
              <w:spacing w:before="49"/>
              <w:ind w:left="513"/>
              <w:jc w:val="left"/>
              <w:rPr>
                <w:sz w:val="18"/>
              </w:rPr>
            </w:pPr>
            <w:r>
              <w:rPr>
                <w:w w:val="110"/>
                <w:sz w:val="18"/>
              </w:rPr>
              <w:t>25,000</w:t>
            </w:r>
          </w:p>
        </w:tc>
        <w:tc>
          <w:tcPr>
            <w:tcW w:w="2181" w:type="dxa"/>
            <w:tcBorders>
              <w:top w:val="single" w:sz="6" w:space="0" w:color="69BD28"/>
              <w:bottom w:val="single" w:sz="6" w:space="0" w:color="69BD28"/>
            </w:tcBorders>
          </w:tcPr>
          <w:p>
            <w:pPr>
              <w:pStyle w:val="TableParagraph"/>
              <w:spacing w:before="49"/>
              <w:ind w:left="677" w:right="653"/>
              <w:rPr>
                <w:sz w:val="18"/>
              </w:rPr>
            </w:pPr>
            <w:r>
              <w:rPr>
                <w:sz w:val="18"/>
              </w:rPr>
              <w:t>Tenant 6</w:t>
            </w:r>
          </w:p>
        </w:tc>
        <w:tc>
          <w:tcPr>
            <w:tcW w:w="3640" w:type="dxa"/>
            <w:tcBorders>
              <w:top w:val="single" w:sz="6" w:space="0" w:color="69BD28"/>
              <w:bottom w:val="single" w:sz="6" w:space="0" w:color="69BD28"/>
            </w:tcBorders>
          </w:tcPr>
          <w:p>
            <w:pPr>
              <w:pStyle w:val="TableParagraph"/>
              <w:spacing w:before="49"/>
              <w:ind w:left="632" w:right="171"/>
              <w:rPr>
                <w:sz w:val="18"/>
              </w:rPr>
            </w:pPr>
            <w:r>
              <w:rPr>
                <w:w w:val="105"/>
                <w:sz w:val="18"/>
              </w:rPr>
              <w:t>55.0 - 58.0 (WS)</w:t>
            </w:r>
          </w:p>
        </w:tc>
      </w:tr>
      <w:tr>
        <w:trPr>
          <w:trHeight w:val="309" w:hRule="atLeast"/>
        </w:trPr>
        <w:tc>
          <w:tcPr>
            <w:tcW w:w="2771" w:type="dxa"/>
            <w:tcBorders>
              <w:top w:val="single" w:sz="6" w:space="0" w:color="69BD28"/>
              <w:bottom w:val="single" w:sz="6" w:space="0" w:color="69BD28"/>
            </w:tcBorders>
          </w:tcPr>
          <w:p>
            <w:pPr>
              <w:pStyle w:val="TableParagraph"/>
              <w:spacing w:before="49"/>
              <w:ind w:left="578" w:right="415"/>
              <w:rPr>
                <w:sz w:val="18"/>
              </w:rPr>
            </w:pPr>
            <w:r>
              <w:rPr>
                <w:w w:val="110"/>
                <w:sz w:val="18"/>
              </w:rPr>
              <w:t>Q3, 2019</w:t>
            </w:r>
          </w:p>
        </w:tc>
        <w:tc>
          <w:tcPr>
            <w:tcW w:w="1894" w:type="dxa"/>
            <w:tcBorders>
              <w:top w:val="single" w:sz="6" w:space="0" w:color="69BD28"/>
              <w:bottom w:val="single" w:sz="6" w:space="0" w:color="69BD28"/>
            </w:tcBorders>
          </w:tcPr>
          <w:p>
            <w:pPr>
              <w:pStyle w:val="TableParagraph"/>
              <w:spacing w:before="49"/>
              <w:ind w:left="513"/>
              <w:jc w:val="left"/>
              <w:rPr>
                <w:sz w:val="18"/>
              </w:rPr>
            </w:pPr>
            <w:r>
              <w:rPr>
                <w:w w:val="110"/>
                <w:sz w:val="18"/>
              </w:rPr>
              <w:t>25,000</w:t>
            </w:r>
          </w:p>
        </w:tc>
        <w:tc>
          <w:tcPr>
            <w:tcW w:w="2181" w:type="dxa"/>
            <w:tcBorders>
              <w:top w:val="single" w:sz="6" w:space="0" w:color="69BD28"/>
              <w:bottom w:val="single" w:sz="6" w:space="0" w:color="69BD28"/>
            </w:tcBorders>
          </w:tcPr>
          <w:p>
            <w:pPr>
              <w:pStyle w:val="TableParagraph"/>
              <w:spacing w:before="49"/>
              <w:ind w:left="677" w:right="653"/>
              <w:rPr>
                <w:sz w:val="18"/>
              </w:rPr>
            </w:pPr>
            <w:r>
              <w:rPr>
                <w:sz w:val="18"/>
              </w:rPr>
              <w:t>Tenant 7</w:t>
            </w:r>
          </w:p>
        </w:tc>
        <w:tc>
          <w:tcPr>
            <w:tcW w:w="3640" w:type="dxa"/>
            <w:tcBorders>
              <w:top w:val="single" w:sz="6" w:space="0" w:color="69BD28"/>
              <w:bottom w:val="single" w:sz="6" w:space="0" w:color="69BD28"/>
            </w:tcBorders>
          </w:tcPr>
          <w:p>
            <w:pPr>
              <w:pStyle w:val="TableParagraph"/>
              <w:spacing w:before="49"/>
              <w:ind w:left="632" w:right="171"/>
              <w:rPr>
                <w:sz w:val="18"/>
              </w:rPr>
            </w:pPr>
            <w:r>
              <w:rPr>
                <w:w w:val="105"/>
                <w:sz w:val="18"/>
              </w:rPr>
              <w:t>55.0 - 58.0 (WS)</w:t>
            </w:r>
          </w:p>
        </w:tc>
      </w:tr>
      <w:tr>
        <w:trPr>
          <w:trHeight w:val="308" w:hRule="atLeast"/>
        </w:trPr>
        <w:tc>
          <w:tcPr>
            <w:tcW w:w="2771" w:type="dxa"/>
            <w:tcBorders>
              <w:top w:val="single" w:sz="6" w:space="0" w:color="69BD28"/>
              <w:bottom w:val="single" w:sz="6" w:space="0" w:color="69BD28"/>
            </w:tcBorders>
          </w:tcPr>
          <w:p>
            <w:pPr>
              <w:pStyle w:val="TableParagraph"/>
              <w:spacing w:before="49"/>
              <w:ind w:left="578" w:right="415"/>
              <w:rPr>
                <w:sz w:val="18"/>
              </w:rPr>
            </w:pPr>
            <w:r>
              <w:rPr>
                <w:w w:val="110"/>
                <w:sz w:val="18"/>
              </w:rPr>
              <w:t>Q3, 2019</w:t>
            </w:r>
          </w:p>
        </w:tc>
        <w:tc>
          <w:tcPr>
            <w:tcW w:w="1894" w:type="dxa"/>
            <w:tcBorders>
              <w:top w:val="single" w:sz="6" w:space="0" w:color="69BD28"/>
              <w:bottom w:val="single" w:sz="6" w:space="0" w:color="69BD28"/>
            </w:tcBorders>
          </w:tcPr>
          <w:p>
            <w:pPr>
              <w:pStyle w:val="TableParagraph"/>
              <w:spacing w:before="49"/>
              <w:ind w:left="513"/>
              <w:jc w:val="left"/>
              <w:rPr>
                <w:sz w:val="18"/>
              </w:rPr>
            </w:pPr>
            <w:r>
              <w:rPr>
                <w:w w:val="110"/>
                <w:sz w:val="18"/>
              </w:rPr>
              <w:t>15,000</w:t>
            </w:r>
          </w:p>
        </w:tc>
        <w:tc>
          <w:tcPr>
            <w:tcW w:w="2181" w:type="dxa"/>
            <w:tcBorders>
              <w:top w:val="single" w:sz="6" w:space="0" w:color="69BD28"/>
              <w:bottom w:val="single" w:sz="6" w:space="0" w:color="69BD28"/>
            </w:tcBorders>
          </w:tcPr>
          <w:p>
            <w:pPr>
              <w:pStyle w:val="TableParagraph"/>
              <w:spacing w:before="49"/>
              <w:ind w:left="677" w:right="653"/>
              <w:rPr>
                <w:sz w:val="18"/>
              </w:rPr>
            </w:pPr>
            <w:r>
              <w:rPr>
                <w:sz w:val="18"/>
              </w:rPr>
              <w:t>Tenant 8</w:t>
            </w:r>
          </w:p>
        </w:tc>
        <w:tc>
          <w:tcPr>
            <w:tcW w:w="3640" w:type="dxa"/>
            <w:tcBorders>
              <w:top w:val="single" w:sz="6" w:space="0" w:color="69BD28"/>
              <w:bottom w:val="single" w:sz="6" w:space="0" w:color="69BD28"/>
            </w:tcBorders>
          </w:tcPr>
          <w:p>
            <w:pPr>
              <w:pStyle w:val="TableParagraph"/>
              <w:spacing w:before="49"/>
              <w:ind w:left="632" w:right="171"/>
              <w:rPr>
                <w:sz w:val="18"/>
              </w:rPr>
            </w:pPr>
            <w:r>
              <w:rPr>
                <w:w w:val="105"/>
                <w:sz w:val="18"/>
              </w:rPr>
              <w:t>53.0 - 57.0 (WS)</w:t>
            </w:r>
          </w:p>
        </w:tc>
      </w:tr>
      <w:tr>
        <w:trPr>
          <w:trHeight w:val="309" w:hRule="atLeast"/>
        </w:trPr>
        <w:tc>
          <w:tcPr>
            <w:tcW w:w="2771" w:type="dxa"/>
            <w:tcBorders>
              <w:top w:val="single" w:sz="6" w:space="0" w:color="69BD28"/>
              <w:bottom w:val="single" w:sz="6" w:space="0" w:color="69BD28"/>
            </w:tcBorders>
          </w:tcPr>
          <w:p>
            <w:pPr>
              <w:pStyle w:val="TableParagraph"/>
              <w:spacing w:before="49"/>
              <w:ind w:left="578" w:right="415"/>
              <w:rPr>
                <w:sz w:val="18"/>
              </w:rPr>
            </w:pPr>
            <w:r>
              <w:rPr>
                <w:w w:val="110"/>
                <w:sz w:val="18"/>
              </w:rPr>
              <w:t>Q2, 2019</w:t>
            </w:r>
          </w:p>
        </w:tc>
        <w:tc>
          <w:tcPr>
            <w:tcW w:w="1894" w:type="dxa"/>
            <w:tcBorders>
              <w:top w:val="single" w:sz="6" w:space="0" w:color="69BD28"/>
              <w:bottom w:val="single" w:sz="6" w:space="0" w:color="69BD28"/>
            </w:tcBorders>
          </w:tcPr>
          <w:p>
            <w:pPr>
              <w:pStyle w:val="TableParagraph"/>
              <w:spacing w:before="49"/>
              <w:ind w:left="457"/>
              <w:jc w:val="left"/>
              <w:rPr>
                <w:sz w:val="18"/>
              </w:rPr>
            </w:pPr>
            <w:r>
              <w:rPr>
                <w:w w:val="110"/>
                <w:sz w:val="18"/>
              </w:rPr>
              <w:t>100,000</w:t>
            </w:r>
          </w:p>
        </w:tc>
        <w:tc>
          <w:tcPr>
            <w:tcW w:w="2181" w:type="dxa"/>
            <w:tcBorders>
              <w:top w:val="single" w:sz="6" w:space="0" w:color="69BD28"/>
              <w:bottom w:val="single" w:sz="6" w:space="0" w:color="69BD28"/>
            </w:tcBorders>
          </w:tcPr>
          <w:p>
            <w:pPr>
              <w:pStyle w:val="TableParagraph"/>
              <w:spacing w:before="49"/>
              <w:ind w:left="677" w:right="653"/>
              <w:rPr>
                <w:sz w:val="18"/>
              </w:rPr>
            </w:pPr>
            <w:r>
              <w:rPr>
                <w:sz w:val="18"/>
              </w:rPr>
              <w:t>Tenant 9</w:t>
            </w:r>
          </w:p>
        </w:tc>
        <w:tc>
          <w:tcPr>
            <w:tcW w:w="3640" w:type="dxa"/>
            <w:tcBorders>
              <w:top w:val="single" w:sz="6" w:space="0" w:color="69BD28"/>
              <w:bottom w:val="single" w:sz="6" w:space="0" w:color="69BD28"/>
            </w:tcBorders>
          </w:tcPr>
          <w:p>
            <w:pPr>
              <w:pStyle w:val="TableParagraph"/>
              <w:spacing w:before="49"/>
              <w:ind w:left="632" w:right="171"/>
              <w:rPr>
                <w:sz w:val="18"/>
              </w:rPr>
            </w:pPr>
            <w:r>
              <w:rPr>
                <w:w w:val="105"/>
                <w:sz w:val="18"/>
              </w:rPr>
              <w:t>53.0 - 57.0 (WS)</w:t>
            </w:r>
          </w:p>
        </w:tc>
      </w:tr>
      <w:tr>
        <w:trPr>
          <w:trHeight w:val="309" w:hRule="atLeast"/>
        </w:trPr>
        <w:tc>
          <w:tcPr>
            <w:tcW w:w="2771" w:type="dxa"/>
            <w:tcBorders>
              <w:top w:val="single" w:sz="6" w:space="0" w:color="69BD28"/>
              <w:bottom w:val="single" w:sz="6" w:space="0" w:color="69BD28"/>
            </w:tcBorders>
          </w:tcPr>
          <w:p>
            <w:pPr>
              <w:pStyle w:val="TableParagraph"/>
              <w:spacing w:before="49"/>
              <w:ind w:left="578" w:right="415"/>
              <w:rPr>
                <w:sz w:val="18"/>
              </w:rPr>
            </w:pPr>
            <w:r>
              <w:rPr>
                <w:w w:val="110"/>
                <w:sz w:val="18"/>
              </w:rPr>
              <w:t>Q2, 2019</w:t>
            </w:r>
          </w:p>
        </w:tc>
        <w:tc>
          <w:tcPr>
            <w:tcW w:w="1894" w:type="dxa"/>
            <w:tcBorders>
              <w:top w:val="single" w:sz="6" w:space="0" w:color="69BD28"/>
              <w:bottom w:val="single" w:sz="6" w:space="0" w:color="69BD28"/>
            </w:tcBorders>
          </w:tcPr>
          <w:p>
            <w:pPr>
              <w:pStyle w:val="TableParagraph"/>
              <w:spacing w:before="49"/>
              <w:ind w:left="513"/>
              <w:jc w:val="left"/>
              <w:rPr>
                <w:sz w:val="18"/>
              </w:rPr>
            </w:pPr>
            <w:r>
              <w:rPr>
                <w:w w:val="110"/>
                <w:sz w:val="18"/>
              </w:rPr>
              <w:t>45,000</w:t>
            </w:r>
          </w:p>
        </w:tc>
        <w:tc>
          <w:tcPr>
            <w:tcW w:w="2181" w:type="dxa"/>
            <w:tcBorders>
              <w:top w:val="single" w:sz="6" w:space="0" w:color="69BD28"/>
              <w:bottom w:val="single" w:sz="6" w:space="0" w:color="69BD28"/>
            </w:tcBorders>
          </w:tcPr>
          <w:p>
            <w:pPr>
              <w:pStyle w:val="TableParagraph"/>
              <w:spacing w:before="49"/>
              <w:ind w:left="677" w:right="654"/>
              <w:rPr>
                <w:sz w:val="18"/>
              </w:rPr>
            </w:pPr>
            <w:r>
              <w:rPr>
                <w:sz w:val="18"/>
              </w:rPr>
              <w:t>Tenant 10</w:t>
            </w:r>
          </w:p>
        </w:tc>
        <w:tc>
          <w:tcPr>
            <w:tcW w:w="3640" w:type="dxa"/>
            <w:tcBorders>
              <w:top w:val="single" w:sz="6" w:space="0" w:color="69BD28"/>
              <w:bottom w:val="single" w:sz="6" w:space="0" w:color="69BD28"/>
            </w:tcBorders>
          </w:tcPr>
          <w:p>
            <w:pPr>
              <w:pStyle w:val="TableParagraph"/>
              <w:spacing w:before="49"/>
              <w:ind w:left="632" w:right="170"/>
              <w:rPr>
                <w:sz w:val="18"/>
              </w:rPr>
            </w:pPr>
            <w:r>
              <w:rPr>
                <w:w w:val="105"/>
                <w:sz w:val="18"/>
              </w:rPr>
              <w:t>53.0 - 57.0 (WS)</w:t>
            </w:r>
          </w:p>
        </w:tc>
      </w:tr>
      <w:tr>
        <w:trPr>
          <w:trHeight w:val="308" w:hRule="atLeast"/>
        </w:trPr>
        <w:tc>
          <w:tcPr>
            <w:tcW w:w="2771" w:type="dxa"/>
            <w:tcBorders>
              <w:top w:val="single" w:sz="6" w:space="0" w:color="69BD28"/>
              <w:bottom w:val="single" w:sz="6" w:space="0" w:color="69BD28"/>
            </w:tcBorders>
          </w:tcPr>
          <w:p>
            <w:pPr>
              <w:pStyle w:val="TableParagraph"/>
              <w:spacing w:before="49"/>
              <w:ind w:left="578" w:right="415"/>
              <w:rPr>
                <w:sz w:val="18"/>
              </w:rPr>
            </w:pPr>
            <w:r>
              <w:rPr>
                <w:w w:val="110"/>
                <w:sz w:val="18"/>
              </w:rPr>
              <w:t>Q1, 2019</w:t>
            </w:r>
          </w:p>
        </w:tc>
        <w:tc>
          <w:tcPr>
            <w:tcW w:w="1894" w:type="dxa"/>
            <w:tcBorders>
              <w:top w:val="single" w:sz="6" w:space="0" w:color="69BD28"/>
              <w:bottom w:val="single" w:sz="6" w:space="0" w:color="69BD28"/>
            </w:tcBorders>
          </w:tcPr>
          <w:p>
            <w:pPr>
              <w:pStyle w:val="TableParagraph"/>
              <w:spacing w:before="49"/>
              <w:ind w:left="457"/>
              <w:jc w:val="left"/>
              <w:rPr>
                <w:sz w:val="18"/>
              </w:rPr>
            </w:pPr>
            <w:r>
              <w:rPr>
                <w:w w:val="110"/>
                <w:sz w:val="18"/>
              </w:rPr>
              <w:t>140,000</w:t>
            </w:r>
          </w:p>
        </w:tc>
        <w:tc>
          <w:tcPr>
            <w:tcW w:w="2181" w:type="dxa"/>
            <w:tcBorders>
              <w:top w:val="single" w:sz="6" w:space="0" w:color="69BD28"/>
              <w:bottom w:val="single" w:sz="6" w:space="0" w:color="69BD28"/>
            </w:tcBorders>
          </w:tcPr>
          <w:p>
            <w:pPr>
              <w:pStyle w:val="TableParagraph"/>
              <w:spacing w:before="49"/>
              <w:ind w:left="677" w:right="653"/>
              <w:rPr>
                <w:sz w:val="18"/>
              </w:rPr>
            </w:pPr>
            <w:r>
              <w:rPr>
                <w:sz w:val="18"/>
              </w:rPr>
              <w:t>Tenant 11</w:t>
            </w:r>
          </w:p>
        </w:tc>
        <w:tc>
          <w:tcPr>
            <w:tcW w:w="3640" w:type="dxa"/>
            <w:tcBorders>
              <w:top w:val="single" w:sz="6" w:space="0" w:color="69BD28"/>
              <w:bottom w:val="single" w:sz="6" w:space="0" w:color="69BD28"/>
            </w:tcBorders>
          </w:tcPr>
          <w:p>
            <w:pPr>
              <w:pStyle w:val="TableParagraph"/>
              <w:spacing w:before="49"/>
              <w:ind w:left="632" w:right="171"/>
              <w:rPr>
                <w:sz w:val="18"/>
              </w:rPr>
            </w:pPr>
            <w:r>
              <w:rPr>
                <w:w w:val="105"/>
                <w:sz w:val="18"/>
              </w:rPr>
              <w:t>45.0 - 50.0 (WS)</w:t>
            </w:r>
          </w:p>
        </w:tc>
      </w:tr>
    </w:tbl>
    <w:p>
      <w:pPr>
        <w:spacing w:line="321" w:lineRule="auto" w:before="116"/>
        <w:ind w:left="140" w:right="0" w:firstLine="0"/>
        <w:jc w:val="left"/>
        <w:rPr>
          <w:i/>
          <w:sz w:val="18"/>
        </w:rPr>
      </w:pPr>
      <w:r>
        <w:rPr>
          <w:i/>
          <w:sz w:val="18"/>
        </w:rPr>
        <w:t>Source:</w:t>
      </w:r>
      <w:r>
        <w:rPr>
          <w:i/>
          <w:spacing w:val="-30"/>
          <w:sz w:val="18"/>
        </w:rPr>
        <w:t> </w:t>
      </w:r>
      <w:r>
        <w:rPr>
          <w:i/>
          <w:sz w:val="18"/>
        </w:rPr>
        <w:t>CBRE</w:t>
      </w:r>
      <w:r>
        <w:rPr>
          <w:i/>
          <w:spacing w:val="-30"/>
          <w:sz w:val="18"/>
        </w:rPr>
        <w:t> </w:t>
      </w:r>
      <w:r>
        <w:rPr>
          <w:i/>
          <w:sz w:val="18"/>
        </w:rPr>
        <w:t>Research*</w:t>
      </w:r>
      <w:r>
        <w:rPr>
          <w:i/>
          <w:spacing w:val="-31"/>
          <w:sz w:val="18"/>
        </w:rPr>
        <w:t> </w:t>
      </w:r>
      <w:r>
        <w:rPr>
          <w:i/>
          <w:sz w:val="18"/>
        </w:rPr>
        <w:t>Rents</w:t>
      </w:r>
      <w:r>
        <w:rPr>
          <w:i/>
          <w:spacing w:val="-30"/>
          <w:sz w:val="18"/>
        </w:rPr>
        <w:t> </w:t>
      </w:r>
      <w:r>
        <w:rPr>
          <w:i/>
          <w:sz w:val="18"/>
        </w:rPr>
        <w:t>are</w:t>
      </w:r>
      <w:r>
        <w:rPr>
          <w:i/>
          <w:spacing w:val="-30"/>
          <w:sz w:val="18"/>
        </w:rPr>
        <w:t> </w:t>
      </w:r>
      <w:r>
        <w:rPr>
          <w:i/>
          <w:sz w:val="18"/>
        </w:rPr>
        <w:t>gross</w:t>
      </w:r>
      <w:r>
        <w:rPr>
          <w:i/>
          <w:spacing w:val="-31"/>
          <w:sz w:val="18"/>
        </w:rPr>
        <w:t> </w:t>
      </w:r>
      <w:r>
        <w:rPr>
          <w:i/>
          <w:sz w:val="18"/>
        </w:rPr>
        <w:t>rents</w:t>
      </w:r>
      <w:r>
        <w:rPr>
          <w:i/>
          <w:spacing w:val="-30"/>
          <w:sz w:val="18"/>
        </w:rPr>
        <w:t> </w:t>
      </w:r>
      <w:r>
        <w:rPr>
          <w:i/>
          <w:sz w:val="18"/>
        </w:rPr>
        <w:t>(viz.</w:t>
      </w:r>
      <w:r>
        <w:rPr>
          <w:i/>
          <w:spacing w:val="-29"/>
          <w:sz w:val="18"/>
        </w:rPr>
        <w:t> </w:t>
      </w:r>
      <w:r>
        <w:rPr>
          <w:i/>
          <w:sz w:val="18"/>
        </w:rPr>
        <w:t>exclusive</w:t>
      </w:r>
      <w:r>
        <w:rPr>
          <w:i/>
          <w:spacing w:val="-30"/>
          <w:sz w:val="18"/>
        </w:rPr>
        <w:t> </w:t>
      </w:r>
      <w:r>
        <w:rPr>
          <w:i/>
          <w:sz w:val="18"/>
        </w:rPr>
        <w:t>of</w:t>
      </w:r>
      <w:r>
        <w:rPr>
          <w:i/>
          <w:spacing w:val="-32"/>
          <w:sz w:val="18"/>
        </w:rPr>
        <w:t> </w:t>
      </w:r>
      <w:r>
        <w:rPr>
          <w:i/>
          <w:sz w:val="18"/>
        </w:rPr>
        <w:t>property</w:t>
      </w:r>
      <w:r>
        <w:rPr>
          <w:i/>
          <w:spacing w:val="-30"/>
          <w:sz w:val="18"/>
        </w:rPr>
        <w:t> </w:t>
      </w:r>
      <w:r>
        <w:rPr>
          <w:i/>
          <w:sz w:val="18"/>
        </w:rPr>
        <w:t>tax</w:t>
      </w:r>
      <w:r>
        <w:rPr>
          <w:i/>
          <w:spacing w:val="-31"/>
          <w:sz w:val="18"/>
        </w:rPr>
        <w:t> </w:t>
      </w:r>
      <w:r>
        <w:rPr>
          <w:i/>
          <w:sz w:val="18"/>
        </w:rPr>
        <w:t>&amp;</w:t>
      </w:r>
      <w:r>
        <w:rPr>
          <w:i/>
          <w:spacing w:val="-30"/>
          <w:sz w:val="18"/>
        </w:rPr>
        <w:t> </w:t>
      </w:r>
      <w:r>
        <w:rPr>
          <w:i/>
          <w:sz w:val="18"/>
        </w:rPr>
        <w:t>insurance)</w:t>
      </w:r>
      <w:r>
        <w:rPr>
          <w:i/>
          <w:spacing w:val="-31"/>
          <w:sz w:val="18"/>
        </w:rPr>
        <w:t> </w:t>
      </w:r>
      <w:r>
        <w:rPr>
          <w:i/>
          <w:sz w:val="18"/>
        </w:rPr>
        <w:t>on</w:t>
      </w:r>
      <w:r>
        <w:rPr>
          <w:i/>
          <w:spacing w:val="-30"/>
          <w:sz w:val="18"/>
        </w:rPr>
        <w:t> </w:t>
      </w:r>
      <w:r>
        <w:rPr>
          <w:i/>
          <w:sz w:val="18"/>
        </w:rPr>
        <w:t>leasable</w:t>
      </w:r>
      <w:r>
        <w:rPr>
          <w:i/>
          <w:spacing w:val="-31"/>
          <w:sz w:val="18"/>
        </w:rPr>
        <w:t> </w:t>
      </w:r>
      <w:r>
        <w:rPr>
          <w:i/>
          <w:sz w:val="18"/>
        </w:rPr>
        <w:t>area</w:t>
      </w:r>
      <w:r>
        <w:rPr>
          <w:i/>
          <w:spacing w:val="-31"/>
          <w:sz w:val="18"/>
        </w:rPr>
        <w:t> </w:t>
      </w:r>
      <w:r>
        <w:rPr>
          <w:i/>
          <w:sz w:val="18"/>
        </w:rPr>
        <w:t>basis;</w:t>
      </w:r>
      <w:r>
        <w:rPr>
          <w:i/>
          <w:spacing w:val="-25"/>
          <w:sz w:val="18"/>
        </w:rPr>
        <w:t> </w:t>
      </w:r>
      <w:r>
        <w:rPr>
          <w:i/>
          <w:sz w:val="18"/>
        </w:rPr>
        <w:t>Note:</w:t>
      </w:r>
      <w:r>
        <w:rPr>
          <w:i/>
          <w:spacing w:val="-31"/>
          <w:sz w:val="18"/>
        </w:rPr>
        <w:t> </w:t>
      </w:r>
      <w:r>
        <w:rPr>
          <w:i/>
          <w:sz w:val="18"/>
        </w:rPr>
        <w:t>WS</w:t>
      </w:r>
      <w:r>
        <w:rPr>
          <w:i/>
          <w:spacing w:val="-31"/>
          <w:sz w:val="18"/>
        </w:rPr>
        <w:t> </w:t>
      </w:r>
      <w:r>
        <w:rPr>
          <w:i/>
          <w:w w:val="105"/>
          <w:sz w:val="18"/>
        </w:rPr>
        <w:t>–</w:t>
      </w:r>
      <w:r>
        <w:rPr>
          <w:i/>
          <w:spacing w:val="-34"/>
          <w:w w:val="105"/>
          <w:sz w:val="18"/>
        </w:rPr>
        <w:t> </w:t>
      </w:r>
      <w:r>
        <w:rPr>
          <w:i/>
          <w:sz w:val="18"/>
        </w:rPr>
        <w:t>Warm</w:t>
      </w:r>
      <w:r>
        <w:rPr>
          <w:i/>
          <w:spacing w:val="-30"/>
          <w:sz w:val="18"/>
        </w:rPr>
        <w:t> </w:t>
      </w:r>
      <w:r>
        <w:rPr>
          <w:i/>
          <w:sz w:val="18"/>
        </w:rPr>
        <w:t>shell; </w:t>
      </w:r>
      <w:r>
        <w:rPr>
          <w:i/>
          <w:sz w:val="18"/>
        </w:rPr>
        <w:t>FF </w:t>
      </w:r>
      <w:r>
        <w:rPr>
          <w:i/>
          <w:w w:val="105"/>
          <w:sz w:val="18"/>
        </w:rPr>
        <w:t>– </w:t>
      </w:r>
      <w:r>
        <w:rPr>
          <w:i/>
          <w:sz w:val="18"/>
        </w:rPr>
        <w:t>Fully</w:t>
      </w:r>
      <w:r>
        <w:rPr>
          <w:i/>
          <w:spacing w:val="-11"/>
          <w:sz w:val="18"/>
        </w:rPr>
        <w:t> </w:t>
      </w:r>
      <w:r>
        <w:rPr>
          <w:i/>
          <w:sz w:val="18"/>
        </w:rPr>
        <w:t>Fitted-out</w:t>
      </w:r>
    </w:p>
    <w:p>
      <w:pPr>
        <w:pStyle w:val="BodyText"/>
        <w:spacing w:before="10"/>
        <w:rPr>
          <w:i/>
          <w:sz w:val="20"/>
        </w:rPr>
      </w:pPr>
    </w:p>
    <w:p>
      <w:pPr>
        <w:pStyle w:val="BodyText"/>
        <w:spacing w:line="321" w:lineRule="auto"/>
        <w:ind w:left="702" w:right="116"/>
        <w:jc w:val="both"/>
      </w:pPr>
      <w:r>
        <w:rPr/>
        <w:t>The</w:t>
      </w:r>
      <w:r>
        <w:rPr>
          <w:spacing w:val="-29"/>
        </w:rPr>
        <w:t> </w:t>
      </w:r>
      <w:r>
        <w:rPr/>
        <w:t>subject</w:t>
      </w:r>
      <w:r>
        <w:rPr>
          <w:spacing w:val="-28"/>
        </w:rPr>
        <w:t> </w:t>
      </w:r>
      <w:r>
        <w:rPr/>
        <w:t>vector</w:t>
      </w:r>
      <w:r>
        <w:rPr>
          <w:spacing w:val="-29"/>
        </w:rPr>
        <w:t> </w:t>
      </w:r>
      <w:r>
        <w:rPr/>
        <w:t>is</w:t>
      </w:r>
      <w:r>
        <w:rPr>
          <w:spacing w:val="-28"/>
        </w:rPr>
        <w:t> </w:t>
      </w:r>
      <w:r>
        <w:rPr/>
        <w:t>characterized</w:t>
      </w:r>
      <w:r>
        <w:rPr>
          <w:spacing w:val="-28"/>
        </w:rPr>
        <w:t> </w:t>
      </w:r>
      <w:r>
        <w:rPr/>
        <w:t>by</w:t>
      </w:r>
      <w:r>
        <w:rPr>
          <w:spacing w:val="-29"/>
        </w:rPr>
        <w:t> </w:t>
      </w:r>
      <w:r>
        <w:rPr/>
        <w:t>presence</w:t>
      </w:r>
      <w:r>
        <w:rPr>
          <w:spacing w:val="-29"/>
        </w:rPr>
        <w:t> </w:t>
      </w:r>
      <w:r>
        <w:rPr/>
        <w:t>of</w:t>
      </w:r>
      <w:r>
        <w:rPr>
          <w:spacing w:val="-28"/>
        </w:rPr>
        <w:t> </w:t>
      </w:r>
      <w:r>
        <w:rPr/>
        <w:t>operational</w:t>
      </w:r>
      <w:r>
        <w:rPr>
          <w:spacing w:val="-28"/>
        </w:rPr>
        <w:t> </w:t>
      </w:r>
      <w:r>
        <w:rPr/>
        <w:t>multi-tenanted</w:t>
      </w:r>
      <w:r>
        <w:rPr>
          <w:spacing w:val="-28"/>
        </w:rPr>
        <w:t> </w:t>
      </w:r>
      <w:r>
        <w:rPr/>
        <w:t>IT</w:t>
      </w:r>
      <w:r>
        <w:rPr>
          <w:spacing w:val="-28"/>
        </w:rPr>
        <w:t> </w:t>
      </w:r>
      <w:r>
        <w:rPr/>
        <w:t>/</w:t>
      </w:r>
      <w:r>
        <w:rPr>
          <w:spacing w:val="-29"/>
        </w:rPr>
        <w:t> </w:t>
      </w:r>
      <w:r>
        <w:rPr/>
        <w:t>ITeS</w:t>
      </w:r>
      <w:r>
        <w:rPr>
          <w:spacing w:val="-29"/>
        </w:rPr>
        <w:t> </w:t>
      </w:r>
      <w:r>
        <w:rPr/>
        <w:t>SEZs</w:t>
      </w:r>
      <w:r>
        <w:rPr>
          <w:spacing w:val="-27"/>
        </w:rPr>
        <w:t> </w:t>
      </w:r>
      <w:r>
        <w:rPr/>
        <w:t>in</w:t>
      </w:r>
      <w:r>
        <w:rPr>
          <w:spacing w:val="-29"/>
        </w:rPr>
        <w:t> </w:t>
      </w:r>
      <w:r>
        <w:rPr/>
        <w:t>addition to</w:t>
      </w:r>
      <w:r>
        <w:rPr>
          <w:spacing w:val="-11"/>
        </w:rPr>
        <w:t> </w:t>
      </w:r>
      <w:r>
        <w:rPr/>
        <w:t>various</w:t>
      </w:r>
      <w:r>
        <w:rPr>
          <w:spacing w:val="-10"/>
        </w:rPr>
        <w:t> </w:t>
      </w:r>
      <w:r>
        <w:rPr/>
        <w:t>IT</w:t>
      </w:r>
      <w:r>
        <w:rPr>
          <w:spacing w:val="-9"/>
        </w:rPr>
        <w:t> </w:t>
      </w:r>
      <w:r>
        <w:rPr/>
        <w:t>Parks</w:t>
      </w:r>
      <w:r>
        <w:rPr>
          <w:spacing w:val="-9"/>
        </w:rPr>
        <w:t> </w:t>
      </w:r>
      <w:r>
        <w:rPr/>
        <w:t>by</w:t>
      </w:r>
      <w:r>
        <w:rPr>
          <w:spacing w:val="-10"/>
        </w:rPr>
        <w:t> </w:t>
      </w:r>
      <w:r>
        <w:rPr/>
        <w:t>prominent</w:t>
      </w:r>
      <w:r>
        <w:rPr>
          <w:spacing w:val="-10"/>
        </w:rPr>
        <w:t> </w:t>
      </w:r>
      <w:r>
        <w:rPr/>
        <w:t>real</w:t>
      </w:r>
      <w:r>
        <w:rPr>
          <w:spacing w:val="-11"/>
        </w:rPr>
        <w:t> </w:t>
      </w:r>
      <w:r>
        <w:rPr/>
        <w:t>estate</w:t>
      </w:r>
      <w:r>
        <w:rPr>
          <w:spacing w:val="-11"/>
        </w:rPr>
        <w:t> </w:t>
      </w:r>
      <w:r>
        <w:rPr/>
        <w:t>players.</w:t>
      </w:r>
      <w:r>
        <w:rPr>
          <w:spacing w:val="-11"/>
        </w:rPr>
        <w:t> </w:t>
      </w:r>
      <w:r>
        <w:rPr/>
        <w:t>The</w:t>
      </w:r>
      <w:r>
        <w:rPr>
          <w:spacing w:val="-11"/>
        </w:rPr>
        <w:t> </w:t>
      </w:r>
      <w:r>
        <w:rPr/>
        <w:t>region</w:t>
      </w:r>
      <w:r>
        <w:rPr>
          <w:spacing w:val="-11"/>
        </w:rPr>
        <w:t> </w:t>
      </w:r>
      <w:r>
        <w:rPr/>
        <w:t>has</w:t>
      </w:r>
      <w:r>
        <w:rPr>
          <w:spacing w:val="-9"/>
        </w:rPr>
        <w:t> </w:t>
      </w:r>
      <w:r>
        <w:rPr/>
        <w:t>witnessed</w:t>
      </w:r>
      <w:r>
        <w:rPr>
          <w:spacing w:val="-5"/>
        </w:rPr>
        <w:t> </w:t>
      </w:r>
      <w:r>
        <w:rPr/>
        <w:t>significant</w:t>
      </w:r>
      <w:r>
        <w:rPr>
          <w:spacing w:val="-10"/>
        </w:rPr>
        <w:t> </w:t>
      </w:r>
      <w:r>
        <w:rPr/>
        <w:t>demand</w:t>
      </w:r>
      <w:r>
        <w:rPr>
          <w:spacing w:val="-10"/>
        </w:rPr>
        <w:t> </w:t>
      </w:r>
      <w:r>
        <w:rPr/>
        <w:t>for office</w:t>
      </w:r>
      <w:r>
        <w:rPr>
          <w:spacing w:val="-19"/>
        </w:rPr>
        <w:t> </w:t>
      </w:r>
      <w:r>
        <w:rPr/>
        <w:t>space</w:t>
      </w:r>
      <w:r>
        <w:rPr>
          <w:spacing w:val="-18"/>
        </w:rPr>
        <w:t> </w:t>
      </w:r>
      <w:r>
        <w:rPr/>
        <w:t>primarily</w:t>
      </w:r>
      <w:r>
        <w:rPr>
          <w:spacing w:val="-18"/>
        </w:rPr>
        <w:t> </w:t>
      </w:r>
      <w:r>
        <w:rPr/>
        <w:t>on</w:t>
      </w:r>
      <w:r>
        <w:rPr>
          <w:spacing w:val="-19"/>
        </w:rPr>
        <w:t> </w:t>
      </w:r>
      <w:r>
        <w:rPr/>
        <w:t>account</w:t>
      </w:r>
      <w:r>
        <w:rPr>
          <w:spacing w:val="-16"/>
        </w:rPr>
        <w:t> </w:t>
      </w:r>
      <w:r>
        <w:rPr/>
        <w:t>its</w:t>
      </w:r>
      <w:r>
        <w:rPr>
          <w:spacing w:val="-18"/>
        </w:rPr>
        <w:t> </w:t>
      </w:r>
      <w:r>
        <w:rPr/>
        <w:t>superior</w:t>
      </w:r>
      <w:r>
        <w:rPr>
          <w:spacing w:val="-19"/>
        </w:rPr>
        <w:t> </w:t>
      </w:r>
      <w:r>
        <w:rPr/>
        <w:t>infrastructure</w:t>
      </w:r>
      <w:r>
        <w:rPr>
          <w:spacing w:val="-19"/>
        </w:rPr>
        <w:t> </w:t>
      </w:r>
      <w:r>
        <w:rPr/>
        <w:t>availability/</w:t>
      </w:r>
      <w:r>
        <w:rPr>
          <w:spacing w:val="-18"/>
        </w:rPr>
        <w:t> </w:t>
      </w:r>
      <w:r>
        <w:rPr/>
        <w:t>connectivity</w:t>
      </w:r>
      <w:r>
        <w:rPr>
          <w:spacing w:val="-18"/>
        </w:rPr>
        <w:t> </w:t>
      </w:r>
      <w:r>
        <w:rPr/>
        <w:t>and</w:t>
      </w:r>
      <w:r>
        <w:rPr>
          <w:spacing w:val="-18"/>
        </w:rPr>
        <w:t> </w:t>
      </w:r>
      <w:r>
        <w:rPr/>
        <w:t>presence</w:t>
      </w:r>
      <w:r>
        <w:rPr>
          <w:spacing w:val="-19"/>
        </w:rPr>
        <w:t> </w:t>
      </w:r>
      <w:r>
        <w:rPr/>
        <w:t>of large-scale residential and social infrastructure facilitates in the vicinity. Presence of good quality </w:t>
      </w:r>
      <w:r>
        <w:rPr>
          <w:w w:val="95"/>
        </w:rPr>
        <w:t>residential</w:t>
      </w:r>
      <w:r>
        <w:rPr>
          <w:spacing w:val="-17"/>
          <w:w w:val="95"/>
        </w:rPr>
        <w:t> </w:t>
      </w:r>
      <w:r>
        <w:rPr>
          <w:w w:val="95"/>
        </w:rPr>
        <w:t>dwelling</w:t>
      </w:r>
      <w:r>
        <w:rPr>
          <w:spacing w:val="-15"/>
          <w:w w:val="95"/>
        </w:rPr>
        <w:t> </w:t>
      </w:r>
      <w:r>
        <w:rPr>
          <w:w w:val="95"/>
        </w:rPr>
        <w:t>options,</w:t>
      </w:r>
      <w:r>
        <w:rPr>
          <w:spacing w:val="-17"/>
          <w:w w:val="95"/>
        </w:rPr>
        <w:t> </w:t>
      </w:r>
      <w:r>
        <w:rPr>
          <w:w w:val="95"/>
        </w:rPr>
        <w:t>proximity</w:t>
      </w:r>
      <w:r>
        <w:rPr>
          <w:spacing w:val="-14"/>
          <w:w w:val="95"/>
        </w:rPr>
        <w:t> </w:t>
      </w:r>
      <w:r>
        <w:rPr>
          <w:w w:val="95"/>
        </w:rPr>
        <w:t>to</w:t>
      </w:r>
      <w:r>
        <w:rPr>
          <w:spacing w:val="-16"/>
          <w:w w:val="95"/>
        </w:rPr>
        <w:t> </w:t>
      </w:r>
      <w:r>
        <w:rPr>
          <w:w w:val="95"/>
        </w:rPr>
        <w:t>quality</w:t>
      </w:r>
      <w:r>
        <w:rPr>
          <w:spacing w:val="-15"/>
          <w:w w:val="95"/>
        </w:rPr>
        <w:t> </w:t>
      </w:r>
      <w:r>
        <w:rPr>
          <w:w w:val="95"/>
        </w:rPr>
        <w:t>healthcare</w:t>
      </w:r>
      <w:r>
        <w:rPr>
          <w:spacing w:val="-17"/>
          <w:w w:val="95"/>
        </w:rPr>
        <w:t> </w:t>
      </w:r>
      <w:r>
        <w:rPr>
          <w:w w:val="95"/>
        </w:rPr>
        <w:t>and</w:t>
      </w:r>
      <w:r>
        <w:rPr>
          <w:spacing w:val="-16"/>
          <w:w w:val="95"/>
        </w:rPr>
        <w:t> </w:t>
      </w:r>
      <w:r>
        <w:rPr>
          <w:w w:val="95"/>
        </w:rPr>
        <w:t>education</w:t>
      </w:r>
      <w:r>
        <w:rPr>
          <w:spacing w:val="-14"/>
          <w:w w:val="95"/>
        </w:rPr>
        <w:t> </w:t>
      </w:r>
      <w:r>
        <w:rPr>
          <w:w w:val="95"/>
        </w:rPr>
        <w:t>facilities</w:t>
      </w:r>
      <w:r>
        <w:rPr>
          <w:spacing w:val="-15"/>
          <w:w w:val="95"/>
        </w:rPr>
        <w:t> </w:t>
      </w:r>
      <w:r>
        <w:rPr>
          <w:w w:val="95"/>
        </w:rPr>
        <w:t>and</w:t>
      </w:r>
      <w:r>
        <w:rPr>
          <w:spacing w:val="-16"/>
          <w:w w:val="95"/>
        </w:rPr>
        <w:t> </w:t>
      </w:r>
      <w:r>
        <w:rPr>
          <w:w w:val="95"/>
        </w:rPr>
        <w:t>presence</w:t>
      </w:r>
      <w:r>
        <w:rPr>
          <w:spacing w:val="-17"/>
          <w:w w:val="95"/>
        </w:rPr>
        <w:t> </w:t>
      </w:r>
      <w:r>
        <w:rPr>
          <w:w w:val="95"/>
        </w:rPr>
        <w:t>of</w:t>
      </w:r>
      <w:r>
        <w:rPr>
          <w:spacing w:val="-15"/>
          <w:w w:val="95"/>
        </w:rPr>
        <w:t> </w:t>
      </w:r>
      <w:r>
        <w:rPr>
          <w:w w:val="95"/>
        </w:rPr>
        <w:t>retail </w:t>
      </w:r>
      <w:r>
        <w:rPr/>
        <w:t>options</w:t>
      </w:r>
      <w:r>
        <w:rPr>
          <w:spacing w:val="-19"/>
        </w:rPr>
        <w:t> </w:t>
      </w:r>
      <w:r>
        <w:rPr/>
        <w:t>has</w:t>
      </w:r>
      <w:r>
        <w:rPr>
          <w:spacing w:val="-18"/>
        </w:rPr>
        <w:t> </w:t>
      </w:r>
      <w:r>
        <w:rPr/>
        <w:t>resulted</w:t>
      </w:r>
      <w:r>
        <w:rPr>
          <w:spacing w:val="-19"/>
        </w:rPr>
        <w:t> </w:t>
      </w:r>
      <w:r>
        <w:rPr/>
        <w:t>in</w:t>
      </w:r>
      <w:r>
        <w:rPr>
          <w:spacing w:val="-20"/>
        </w:rPr>
        <w:t> </w:t>
      </w:r>
      <w:r>
        <w:rPr/>
        <w:t>the</w:t>
      </w:r>
      <w:r>
        <w:rPr>
          <w:spacing w:val="-19"/>
        </w:rPr>
        <w:t> </w:t>
      </w:r>
      <w:r>
        <w:rPr/>
        <w:t>emergence</w:t>
      </w:r>
      <w:r>
        <w:rPr>
          <w:spacing w:val="-19"/>
        </w:rPr>
        <w:t> </w:t>
      </w:r>
      <w:r>
        <w:rPr/>
        <w:t>of</w:t>
      </w:r>
      <w:r>
        <w:rPr>
          <w:spacing w:val="-18"/>
        </w:rPr>
        <w:t> </w:t>
      </w:r>
      <w:r>
        <w:rPr/>
        <w:t>the</w:t>
      </w:r>
      <w:r>
        <w:rPr>
          <w:spacing w:val="-20"/>
        </w:rPr>
        <w:t> </w:t>
      </w:r>
      <w:r>
        <w:rPr/>
        <w:t>subject</w:t>
      </w:r>
      <w:r>
        <w:rPr>
          <w:spacing w:val="-18"/>
        </w:rPr>
        <w:t> </w:t>
      </w:r>
      <w:r>
        <w:rPr/>
        <w:t>sub-market</w:t>
      </w:r>
      <w:r>
        <w:rPr>
          <w:spacing w:val="-20"/>
        </w:rPr>
        <w:t> </w:t>
      </w:r>
      <w:r>
        <w:rPr/>
        <w:t>as</w:t>
      </w:r>
      <w:r>
        <w:rPr>
          <w:spacing w:val="-18"/>
        </w:rPr>
        <w:t> </w:t>
      </w:r>
      <w:r>
        <w:rPr/>
        <w:t>a</w:t>
      </w:r>
      <w:r>
        <w:rPr>
          <w:spacing w:val="-20"/>
        </w:rPr>
        <w:t> </w:t>
      </w:r>
      <w:r>
        <w:rPr/>
        <w:t>self-sustaining</w:t>
      </w:r>
      <w:r>
        <w:rPr>
          <w:spacing w:val="-18"/>
        </w:rPr>
        <w:t> </w:t>
      </w:r>
      <w:r>
        <w:rPr/>
        <w:t>destination.</w:t>
      </w:r>
    </w:p>
    <w:p>
      <w:pPr>
        <w:pStyle w:val="BodyText"/>
        <w:rPr>
          <w:sz w:val="21"/>
        </w:rPr>
      </w:pPr>
    </w:p>
    <w:p>
      <w:pPr>
        <w:pStyle w:val="BodyText"/>
        <w:spacing w:line="321" w:lineRule="auto"/>
        <w:ind w:left="702" w:right="116"/>
        <w:jc w:val="both"/>
      </w:pPr>
      <w:r>
        <w:rPr/>
        <w:t>The</w:t>
      </w:r>
      <w:r>
        <w:rPr>
          <w:spacing w:val="-31"/>
        </w:rPr>
        <w:t> </w:t>
      </w:r>
      <w:r>
        <w:rPr/>
        <w:t>rentals</w:t>
      </w:r>
      <w:r>
        <w:rPr>
          <w:spacing w:val="-30"/>
        </w:rPr>
        <w:t> </w:t>
      </w:r>
      <w:r>
        <w:rPr/>
        <w:t>across</w:t>
      </w:r>
      <w:r>
        <w:rPr>
          <w:spacing w:val="-30"/>
        </w:rPr>
        <w:t> </w:t>
      </w:r>
      <w:r>
        <w:rPr/>
        <w:t>the</w:t>
      </w:r>
      <w:r>
        <w:rPr>
          <w:spacing w:val="-31"/>
        </w:rPr>
        <w:t> </w:t>
      </w:r>
      <w:r>
        <w:rPr/>
        <w:t>subject</w:t>
      </w:r>
      <w:r>
        <w:rPr>
          <w:spacing w:val="-30"/>
        </w:rPr>
        <w:t> </w:t>
      </w:r>
      <w:r>
        <w:rPr/>
        <w:t>vector</w:t>
      </w:r>
      <w:r>
        <w:rPr>
          <w:spacing w:val="-31"/>
        </w:rPr>
        <w:t> </w:t>
      </w:r>
      <w:r>
        <w:rPr/>
        <w:t>for</w:t>
      </w:r>
      <w:r>
        <w:rPr>
          <w:spacing w:val="-29"/>
        </w:rPr>
        <w:t> </w:t>
      </w:r>
      <w:r>
        <w:rPr/>
        <w:t>IT</w:t>
      </w:r>
      <w:r>
        <w:rPr>
          <w:spacing w:val="-30"/>
        </w:rPr>
        <w:t> </w:t>
      </w:r>
      <w:r>
        <w:rPr/>
        <w:t>developments</w:t>
      </w:r>
      <w:r>
        <w:rPr>
          <w:spacing w:val="-30"/>
        </w:rPr>
        <w:t> </w:t>
      </w:r>
      <w:r>
        <w:rPr/>
        <w:t>have</w:t>
      </w:r>
      <w:r>
        <w:rPr>
          <w:spacing w:val="-30"/>
        </w:rPr>
        <w:t> </w:t>
      </w:r>
      <w:r>
        <w:rPr/>
        <w:t>witnessed</w:t>
      </w:r>
      <w:r>
        <w:rPr>
          <w:spacing w:val="-30"/>
        </w:rPr>
        <w:t> </w:t>
      </w:r>
      <w:r>
        <w:rPr/>
        <w:t>steady</w:t>
      </w:r>
      <w:r>
        <w:rPr>
          <w:spacing w:val="-30"/>
        </w:rPr>
        <w:t> </w:t>
      </w:r>
      <w:r>
        <w:rPr/>
        <w:t>growth</w:t>
      </w:r>
      <w:r>
        <w:rPr>
          <w:spacing w:val="-30"/>
        </w:rPr>
        <w:t> </w:t>
      </w:r>
      <w:r>
        <w:rPr/>
        <w:t>over</w:t>
      </w:r>
      <w:r>
        <w:rPr>
          <w:spacing w:val="-30"/>
        </w:rPr>
        <w:t> </w:t>
      </w:r>
      <w:r>
        <w:rPr/>
        <w:t>the</w:t>
      </w:r>
      <w:r>
        <w:rPr>
          <w:spacing w:val="-30"/>
        </w:rPr>
        <w:t> </w:t>
      </w:r>
      <w:r>
        <w:rPr/>
        <w:t>last</w:t>
      </w:r>
      <w:r>
        <w:rPr>
          <w:spacing w:val="-30"/>
        </w:rPr>
        <w:t> </w:t>
      </w:r>
      <w:r>
        <w:rPr/>
        <w:t>4</w:t>
      </w:r>
      <w:r>
        <w:rPr>
          <w:spacing w:val="-29"/>
        </w:rPr>
        <w:t> </w:t>
      </w:r>
      <w:r>
        <w:rPr>
          <w:w w:val="105"/>
        </w:rPr>
        <w:t>– </w:t>
      </w:r>
      <w:r>
        <w:rPr/>
        <w:t>5</w:t>
      </w:r>
      <w:r>
        <w:rPr>
          <w:spacing w:val="-13"/>
        </w:rPr>
        <w:t> </w:t>
      </w:r>
      <w:r>
        <w:rPr/>
        <w:t>years</w:t>
      </w:r>
      <w:r>
        <w:rPr>
          <w:spacing w:val="-12"/>
        </w:rPr>
        <w:t> </w:t>
      </w:r>
      <w:r>
        <w:rPr/>
        <w:t>on</w:t>
      </w:r>
      <w:r>
        <w:rPr>
          <w:spacing w:val="-13"/>
        </w:rPr>
        <w:t> </w:t>
      </w:r>
      <w:r>
        <w:rPr/>
        <w:t>the</w:t>
      </w:r>
      <w:r>
        <w:rPr>
          <w:spacing w:val="-13"/>
        </w:rPr>
        <w:t> </w:t>
      </w:r>
      <w:r>
        <w:rPr/>
        <w:t>back</w:t>
      </w:r>
      <w:r>
        <w:rPr>
          <w:spacing w:val="-11"/>
        </w:rPr>
        <w:t> </w:t>
      </w:r>
      <w:r>
        <w:rPr/>
        <w:t>of</w:t>
      </w:r>
      <w:r>
        <w:rPr>
          <w:spacing w:val="-12"/>
        </w:rPr>
        <w:t> </w:t>
      </w:r>
      <w:r>
        <w:rPr/>
        <w:t>sustained</w:t>
      </w:r>
      <w:r>
        <w:rPr>
          <w:spacing w:val="-13"/>
        </w:rPr>
        <w:t> </w:t>
      </w:r>
      <w:r>
        <w:rPr/>
        <w:t>occupier</w:t>
      </w:r>
      <w:r>
        <w:rPr>
          <w:spacing w:val="-13"/>
        </w:rPr>
        <w:t> </w:t>
      </w:r>
      <w:r>
        <w:rPr/>
        <w:t>demand</w:t>
      </w:r>
      <w:r>
        <w:rPr>
          <w:spacing w:val="-13"/>
        </w:rPr>
        <w:t> </w:t>
      </w:r>
      <w:r>
        <w:rPr/>
        <w:t>and</w:t>
      </w:r>
      <w:r>
        <w:rPr>
          <w:spacing w:val="-12"/>
        </w:rPr>
        <w:t> </w:t>
      </w:r>
      <w:r>
        <w:rPr/>
        <w:t>limited</w:t>
      </w:r>
      <w:r>
        <w:rPr>
          <w:spacing w:val="-8"/>
        </w:rPr>
        <w:t> </w:t>
      </w:r>
      <w:r>
        <w:rPr/>
        <w:t>availability</w:t>
      </w:r>
      <w:r>
        <w:rPr>
          <w:spacing w:val="-12"/>
        </w:rPr>
        <w:t> </w:t>
      </w:r>
      <w:r>
        <w:rPr/>
        <w:t>of</w:t>
      </w:r>
      <w:r>
        <w:rPr>
          <w:spacing w:val="-12"/>
        </w:rPr>
        <w:t> </w:t>
      </w:r>
      <w:r>
        <w:rPr/>
        <w:t>ready</w:t>
      </w:r>
      <w:r>
        <w:rPr>
          <w:spacing w:val="-12"/>
        </w:rPr>
        <w:t> </w:t>
      </w:r>
      <w:r>
        <w:rPr/>
        <w:t>to</w:t>
      </w:r>
      <w:r>
        <w:rPr>
          <w:spacing w:val="-13"/>
        </w:rPr>
        <w:t> </w:t>
      </w:r>
      <w:r>
        <w:rPr/>
        <w:t>occupy</w:t>
      </w:r>
      <w:r>
        <w:rPr>
          <w:spacing w:val="-11"/>
        </w:rPr>
        <w:t> </w:t>
      </w:r>
      <w:r>
        <w:rPr/>
        <w:t>Grade-A developments.</w:t>
      </w:r>
      <w:r>
        <w:rPr>
          <w:spacing w:val="-13"/>
        </w:rPr>
        <w:t> </w:t>
      </w:r>
      <w:r>
        <w:rPr/>
        <w:t>Further,</w:t>
      </w:r>
      <w:r>
        <w:rPr>
          <w:spacing w:val="-11"/>
        </w:rPr>
        <w:t> </w:t>
      </w:r>
      <w:r>
        <w:rPr/>
        <w:t>the</w:t>
      </w:r>
      <w:r>
        <w:rPr>
          <w:spacing w:val="-11"/>
        </w:rPr>
        <w:t> </w:t>
      </w:r>
      <w:r>
        <w:rPr/>
        <w:t>completion</w:t>
      </w:r>
      <w:r>
        <w:rPr>
          <w:spacing w:val="-12"/>
        </w:rPr>
        <w:t> </w:t>
      </w:r>
      <w:r>
        <w:rPr/>
        <w:t>of</w:t>
      </w:r>
      <w:r>
        <w:rPr>
          <w:spacing w:val="-10"/>
        </w:rPr>
        <w:t> </w:t>
      </w:r>
      <w:r>
        <w:rPr/>
        <w:t>various</w:t>
      </w:r>
      <w:r>
        <w:rPr>
          <w:spacing w:val="-10"/>
        </w:rPr>
        <w:t> </w:t>
      </w:r>
      <w:r>
        <w:rPr/>
        <w:t>infrastructure</w:t>
      </w:r>
      <w:r>
        <w:rPr>
          <w:spacing w:val="-11"/>
        </w:rPr>
        <w:t> </w:t>
      </w:r>
      <w:r>
        <w:rPr/>
        <w:t>initiatives</w:t>
      </w:r>
      <w:r>
        <w:rPr>
          <w:spacing w:val="-10"/>
        </w:rPr>
        <w:t> </w:t>
      </w:r>
      <w:r>
        <w:rPr/>
        <w:t>(such</w:t>
      </w:r>
      <w:r>
        <w:rPr>
          <w:spacing w:val="-12"/>
        </w:rPr>
        <w:t> </w:t>
      </w:r>
      <w:r>
        <w:rPr/>
        <w:t>as</w:t>
      </w:r>
      <w:r>
        <w:rPr>
          <w:spacing w:val="-11"/>
        </w:rPr>
        <w:t> </w:t>
      </w:r>
      <w:r>
        <w:rPr/>
        <w:t>FNG</w:t>
      </w:r>
      <w:r>
        <w:rPr>
          <w:spacing w:val="-12"/>
        </w:rPr>
        <w:t> </w:t>
      </w:r>
      <w:r>
        <w:rPr/>
        <w:t>Expressway, </w:t>
      </w:r>
      <w:r>
        <w:rPr>
          <w:w w:val="95"/>
        </w:rPr>
        <w:t>metro</w:t>
      </w:r>
      <w:r>
        <w:rPr>
          <w:spacing w:val="-19"/>
          <w:w w:val="95"/>
        </w:rPr>
        <w:t> </w:t>
      </w:r>
      <w:r>
        <w:rPr>
          <w:w w:val="95"/>
        </w:rPr>
        <w:t>connectivity,</w:t>
      </w:r>
      <w:r>
        <w:rPr>
          <w:spacing w:val="-18"/>
          <w:w w:val="95"/>
        </w:rPr>
        <w:t> </w:t>
      </w:r>
      <w:r>
        <w:rPr>
          <w:w w:val="95"/>
        </w:rPr>
        <w:t>etc.)</w:t>
      </w:r>
      <w:r>
        <w:rPr>
          <w:spacing w:val="-17"/>
          <w:w w:val="95"/>
        </w:rPr>
        <w:t> </w:t>
      </w:r>
      <w:r>
        <w:rPr>
          <w:w w:val="95"/>
        </w:rPr>
        <w:t>coupled</w:t>
      </w:r>
      <w:r>
        <w:rPr>
          <w:spacing w:val="-17"/>
          <w:w w:val="95"/>
        </w:rPr>
        <w:t> </w:t>
      </w:r>
      <w:r>
        <w:rPr>
          <w:w w:val="95"/>
        </w:rPr>
        <w:t>with</w:t>
      </w:r>
      <w:r>
        <w:rPr>
          <w:spacing w:val="-19"/>
          <w:w w:val="95"/>
        </w:rPr>
        <w:t> </w:t>
      </w:r>
      <w:r>
        <w:rPr>
          <w:w w:val="95"/>
        </w:rPr>
        <w:t>the</w:t>
      </w:r>
      <w:r>
        <w:rPr>
          <w:spacing w:val="-18"/>
          <w:w w:val="95"/>
        </w:rPr>
        <w:t> </w:t>
      </w:r>
      <w:r>
        <w:rPr>
          <w:w w:val="95"/>
        </w:rPr>
        <w:t>significant</w:t>
      </w:r>
      <w:r>
        <w:rPr>
          <w:spacing w:val="-18"/>
          <w:w w:val="95"/>
        </w:rPr>
        <w:t> </w:t>
      </w:r>
      <w:r>
        <w:rPr>
          <w:w w:val="95"/>
        </w:rPr>
        <w:t>residential</w:t>
      </w:r>
      <w:r>
        <w:rPr>
          <w:spacing w:val="-18"/>
          <w:w w:val="95"/>
        </w:rPr>
        <w:t> </w:t>
      </w:r>
      <w:r>
        <w:rPr>
          <w:w w:val="95"/>
        </w:rPr>
        <w:t>inventory</w:t>
      </w:r>
      <w:r>
        <w:rPr>
          <w:spacing w:val="-17"/>
          <w:w w:val="95"/>
        </w:rPr>
        <w:t> </w:t>
      </w:r>
      <w:r>
        <w:rPr>
          <w:w w:val="95"/>
        </w:rPr>
        <w:t>completion</w:t>
      </w:r>
      <w:r>
        <w:rPr>
          <w:spacing w:val="-18"/>
          <w:w w:val="95"/>
        </w:rPr>
        <w:t> </w:t>
      </w:r>
      <w:r>
        <w:rPr>
          <w:w w:val="95"/>
        </w:rPr>
        <w:t>(in</w:t>
      </w:r>
      <w:r>
        <w:rPr>
          <w:spacing w:val="-18"/>
          <w:w w:val="95"/>
        </w:rPr>
        <w:t> </w:t>
      </w:r>
      <w:r>
        <w:rPr>
          <w:w w:val="95"/>
        </w:rPr>
        <w:t>short</w:t>
      </w:r>
      <w:r>
        <w:rPr>
          <w:spacing w:val="-17"/>
          <w:w w:val="95"/>
        </w:rPr>
        <w:t> </w:t>
      </w:r>
      <w:r>
        <w:rPr>
          <w:w w:val="95"/>
        </w:rPr>
        <w:t>to</w:t>
      </w:r>
      <w:r>
        <w:rPr>
          <w:spacing w:val="-18"/>
          <w:w w:val="95"/>
        </w:rPr>
        <w:t> </w:t>
      </w:r>
      <w:r>
        <w:rPr>
          <w:w w:val="95"/>
        </w:rPr>
        <w:t>medium </w:t>
      </w:r>
      <w:r>
        <w:rPr/>
        <w:t>term)</w:t>
      </w:r>
      <w:r>
        <w:rPr>
          <w:spacing w:val="-27"/>
        </w:rPr>
        <w:t> </w:t>
      </w:r>
      <w:r>
        <w:rPr/>
        <w:t>in</w:t>
      </w:r>
      <w:r>
        <w:rPr>
          <w:spacing w:val="-28"/>
        </w:rPr>
        <w:t> </w:t>
      </w:r>
      <w:r>
        <w:rPr/>
        <w:t>the</w:t>
      </w:r>
      <w:r>
        <w:rPr>
          <w:spacing w:val="-28"/>
        </w:rPr>
        <w:t> </w:t>
      </w:r>
      <w:r>
        <w:rPr/>
        <w:t>subject</w:t>
      </w:r>
      <w:r>
        <w:rPr>
          <w:spacing w:val="-27"/>
        </w:rPr>
        <w:t> </w:t>
      </w:r>
      <w:r>
        <w:rPr/>
        <w:t>region</w:t>
      </w:r>
      <w:r>
        <w:rPr>
          <w:spacing w:val="-28"/>
        </w:rPr>
        <w:t> </w:t>
      </w:r>
      <w:r>
        <w:rPr/>
        <w:t>is</w:t>
      </w:r>
      <w:r>
        <w:rPr>
          <w:spacing w:val="-27"/>
        </w:rPr>
        <w:t> </w:t>
      </w:r>
      <w:r>
        <w:rPr/>
        <w:t>expected</w:t>
      </w:r>
      <w:r>
        <w:rPr>
          <w:spacing w:val="-27"/>
        </w:rPr>
        <w:t> </w:t>
      </w:r>
      <w:r>
        <w:rPr/>
        <w:t>to</w:t>
      </w:r>
      <w:r>
        <w:rPr>
          <w:spacing w:val="-27"/>
        </w:rPr>
        <w:t> </w:t>
      </w:r>
      <w:r>
        <w:rPr/>
        <w:t>enhance</w:t>
      </w:r>
      <w:r>
        <w:rPr>
          <w:spacing w:val="-29"/>
        </w:rPr>
        <w:t> </w:t>
      </w:r>
      <w:r>
        <w:rPr/>
        <w:t>the</w:t>
      </w:r>
      <w:r>
        <w:rPr>
          <w:spacing w:val="-28"/>
        </w:rPr>
        <w:t> </w:t>
      </w:r>
      <w:r>
        <w:rPr/>
        <w:t>profile</w:t>
      </w:r>
      <w:r>
        <w:rPr>
          <w:spacing w:val="-28"/>
        </w:rPr>
        <w:t> </w:t>
      </w:r>
      <w:r>
        <w:rPr/>
        <w:t>of</w:t>
      </w:r>
      <w:r>
        <w:rPr>
          <w:spacing w:val="-27"/>
        </w:rPr>
        <w:t> </w:t>
      </w:r>
      <w:r>
        <w:rPr/>
        <w:t>the</w:t>
      </w:r>
      <w:r>
        <w:rPr>
          <w:spacing w:val="-28"/>
        </w:rPr>
        <w:t> </w:t>
      </w:r>
      <w:r>
        <w:rPr/>
        <w:t>subject</w:t>
      </w:r>
      <w:r>
        <w:rPr>
          <w:spacing w:val="-27"/>
        </w:rPr>
        <w:t> </w:t>
      </w:r>
      <w:r>
        <w:rPr/>
        <w:t>location</w:t>
      </w:r>
      <w:r>
        <w:rPr>
          <w:spacing w:val="-28"/>
        </w:rPr>
        <w:t> </w:t>
      </w:r>
      <w:r>
        <w:rPr/>
        <w:t>and</w:t>
      </w:r>
      <w:r>
        <w:rPr>
          <w:spacing w:val="-27"/>
        </w:rPr>
        <w:t> </w:t>
      </w:r>
      <w:r>
        <w:rPr/>
        <w:t>would</w:t>
      </w:r>
      <w:r>
        <w:rPr>
          <w:spacing w:val="-27"/>
        </w:rPr>
        <w:t> </w:t>
      </w:r>
      <w:r>
        <w:rPr/>
        <w:t>have</w:t>
      </w:r>
      <w:r>
        <w:rPr>
          <w:spacing w:val="-27"/>
        </w:rPr>
        <w:t> </w:t>
      </w:r>
      <w:r>
        <w:rPr/>
        <w:t>an inherent</w:t>
      </w:r>
      <w:r>
        <w:rPr>
          <w:spacing w:val="-26"/>
        </w:rPr>
        <w:t> </w:t>
      </w:r>
      <w:r>
        <w:rPr/>
        <w:t>impact</w:t>
      </w:r>
      <w:r>
        <w:rPr>
          <w:spacing w:val="-25"/>
        </w:rPr>
        <w:t> </w:t>
      </w:r>
      <w:r>
        <w:rPr/>
        <w:t>on</w:t>
      </w:r>
      <w:r>
        <w:rPr>
          <w:spacing w:val="-26"/>
        </w:rPr>
        <w:t> </w:t>
      </w:r>
      <w:r>
        <w:rPr/>
        <w:t>the</w:t>
      </w:r>
      <w:r>
        <w:rPr>
          <w:spacing w:val="-26"/>
        </w:rPr>
        <w:t> </w:t>
      </w:r>
      <w:r>
        <w:rPr/>
        <w:t>office</w:t>
      </w:r>
      <w:r>
        <w:rPr>
          <w:spacing w:val="-26"/>
        </w:rPr>
        <w:t> </w:t>
      </w:r>
      <w:r>
        <w:rPr/>
        <w:t>space</w:t>
      </w:r>
      <w:r>
        <w:rPr>
          <w:spacing w:val="-26"/>
        </w:rPr>
        <w:t> </w:t>
      </w:r>
      <w:r>
        <w:rPr/>
        <w:t>demand</w:t>
      </w:r>
      <w:r>
        <w:rPr>
          <w:spacing w:val="-25"/>
        </w:rPr>
        <w:t> </w:t>
      </w:r>
      <w:r>
        <w:rPr/>
        <w:t>which</w:t>
      </w:r>
      <w:r>
        <w:rPr>
          <w:spacing w:val="-27"/>
        </w:rPr>
        <w:t> </w:t>
      </w:r>
      <w:r>
        <w:rPr/>
        <w:t>is</w:t>
      </w:r>
      <w:r>
        <w:rPr>
          <w:spacing w:val="-25"/>
        </w:rPr>
        <w:t> </w:t>
      </w:r>
      <w:r>
        <w:rPr/>
        <w:t>expected</w:t>
      </w:r>
      <w:r>
        <w:rPr>
          <w:spacing w:val="-26"/>
        </w:rPr>
        <w:t> </w:t>
      </w:r>
      <w:r>
        <w:rPr/>
        <w:t>to</w:t>
      </w:r>
      <w:r>
        <w:rPr>
          <w:spacing w:val="-27"/>
        </w:rPr>
        <w:t> </w:t>
      </w:r>
      <w:r>
        <w:rPr/>
        <w:t>remain</w:t>
      </w:r>
      <w:r>
        <w:rPr>
          <w:spacing w:val="-25"/>
        </w:rPr>
        <w:t> </w:t>
      </w:r>
      <w:r>
        <w:rPr/>
        <w:t>stable.</w:t>
      </w:r>
      <w:r>
        <w:rPr>
          <w:spacing w:val="-25"/>
        </w:rPr>
        <w:t> </w:t>
      </w:r>
      <w:r>
        <w:rPr/>
        <w:t>Hence,</w:t>
      </w:r>
      <w:r>
        <w:rPr>
          <w:spacing w:val="-26"/>
        </w:rPr>
        <w:t> </w:t>
      </w:r>
      <w:r>
        <w:rPr/>
        <w:t>going</w:t>
      </w:r>
      <w:r>
        <w:rPr>
          <w:spacing w:val="-25"/>
        </w:rPr>
        <w:t> </w:t>
      </w:r>
      <w:r>
        <w:rPr/>
        <w:t>forward, given</w:t>
      </w:r>
      <w:r>
        <w:rPr>
          <w:spacing w:val="-43"/>
        </w:rPr>
        <w:t> </w:t>
      </w:r>
      <w:r>
        <w:rPr/>
        <w:t>the</w:t>
      </w:r>
      <w:r>
        <w:rPr>
          <w:spacing w:val="-43"/>
        </w:rPr>
        <w:t> </w:t>
      </w:r>
      <w:r>
        <w:rPr/>
        <w:t>demand</w:t>
      </w:r>
      <w:r>
        <w:rPr>
          <w:spacing w:val="-43"/>
        </w:rPr>
        <w:t> </w:t>
      </w:r>
      <w:r>
        <w:rPr/>
        <w:t>for</w:t>
      </w:r>
      <w:r>
        <w:rPr>
          <w:spacing w:val="-43"/>
        </w:rPr>
        <w:t> </w:t>
      </w:r>
      <w:r>
        <w:rPr/>
        <w:t>office</w:t>
      </w:r>
      <w:r>
        <w:rPr>
          <w:spacing w:val="-43"/>
        </w:rPr>
        <w:t> </w:t>
      </w:r>
      <w:r>
        <w:rPr/>
        <w:t>space</w:t>
      </w:r>
      <w:r>
        <w:rPr>
          <w:spacing w:val="-42"/>
        </w:rPr>
        <w:t> </w:t>
      </w:r>
      <w:r>
        <w:rPr/>
        <w:t>in</w:t>
      </w:r>
      <w:r>
        <w:rPr>
          <w:spacing w:val="-44"/>
        </w:rPr>
        <w:t> </w:t>
      </w:r>
      <w:r>
        <w:rPr/>
        <w:t>this</w:t>
      </w:r>
      <w:r>
        <w:rPr>
          <w:spacing w:val="-43"/>
        </w:rPr>
        <w:t> </w:t>
      </w:r>
      <w:r>
        <w:rPr/>
        <w:t>vector,</w:t>
      </w:r>
      <w:r>
        <w:rPr>
          <w:spacing w:val="-42"/>
        </w:rPr>
        <w:t> </w:t>
      </w:r>
      <w:r>
        <w:rPr/>
        <w:t>ongoing</w:t>
      </w:r>
      <w:r>
        <w:rPr>
          <w:spacing w:val="-41"/>
        </w:rPr>
        <w:t> </w:t>
      </w:r>
      <w:r>
        <w:rPr/>
        <w:t>infrastructure</w:t>
      </w:r>
      <w:r>
        <w:rPr>
          <w:spacing w:val="-43"/>
        </w:rPr>
        <w:t> </w:t>
      </w:r>
      <w:r>
        <w:rPr/>
        <w:t>initiatives,</w:t>
      </w:r>
      <w:r>
        <w:rPr>
          <w:spacing w:val="-43"/>
        </w:rPr>
        <w:t> </w:t>
      </w:r>
      <w:r>
        <w:rPr/>
        <w:t>low</w:t>
      </w:r>
      <w:r>
        <w:rPr>
          <w:spacing w:val="-41"/>
        </w:rPr>
        <w:t> </w:t>
      </w:r>
      <w:r>
        <w:rPr/>
        <w:t>vacancy</w:t>
      </w:r>
      <w:r>
        <w:rPr>
          <w:spacing w:val="-42"/>
        </w:rPr>
        <w:t> </w:t>
      </w:r>
      <w:r>
        <w:rPr/>
        <w:t>levels</w:t>
      </w:r>
      <w:r>
        <w:rPr>
          <w:spacing w:val="-43"/>
        </w:rPr>
        <w:t> </w:t>
      </w:r>
      <w:r>
        <w:rPr>
          <w:spacing w:val="-2"/>
        </w:rPr>
        <w:t>and </w:t>
      </w:r>
      <w:r>
        <w:rPr/>
        <w:t>superior</w:t>
      </w:r>
      <w:r>
        <w:rPr>
          <w:spacing w:val="-10"/>
        </w:rPr>
        <w:t> </w:t>
      </w:r>
      <w:r>
        <w:rPr/>
        <w:t>development</w:t>
      </w:r>
      <w:r>
        <w:rPr>
          <w:spacing w:val="-10"/>
        </w:rPr>
        <w:t> </w:t>
      </w:r>
      <w:r>
        <w:rPr/>
        <w:t>quality,</w:t>
      </w:r>
      <w:r>
        <w:rPr>
          <w:spacing w:val="-10"/>
        </w:rPr>
        <w:t> </w:t>
      </w:r>
      <w:r>
        <w:rPr/>
        <w:t>the</w:t>
      </w:r>
      <w:r>
        <w:rPr>
          <w:spacing w:val="-9"/>
        </w:rPr>
        <w:t> </w:t>
      </w:r>
      <w:r>
        <w:rPr/>
        <w:t>subject</w:t>
      </w:r>
      <w:r>
        <w:rPr>
          <w:spacing w:val="-9"/>
        </w:rPr>
        <w:t> </w:t>
      </w:r>
      <w:r>
        <w:rPr/>
        <w:t>sub-market</w:t>
      </w:r>
      <w:r>
        <w:rPr>
          <w:spacing w:val="-9"/>
        </w:rPr>
        <w:t> </w:t>
      </w:r>
      <w:r>
        <w:rPr/>
        <w:t>is</w:t>
      </w:r>
      <w:r>
        <w:rPr>
          <w:spacing w:val="-10"/>
        </w:rPr>
        <w:t> </w:t>
      </w:r>
      <w:r>
        <w:rPr/>
        <w:t>expected</w:t>
      </w:r>
      <w:r>
        <w:rPr>
          <w:spacing w:val="-9"/>
        </w:rPr>
        <w:t> </w:t>
      </w:r>
      <w:r>
        <w:rPr/>
        <w:t>to</w:t>
      </w:r>
      <w:r>
        <w:rPr>
          <w:spacing w:val="-9"/>
        </w:rPr>
        <w:t> </w:t>
      </w:r>
      <w:r>
        <w:rPr/>
        <w:t>witness</w:t>
      </w:r>
      <w:r>
        <w:rPr>
          <w:spacing w:val="-9"/>
        </w:rPr>
        <w:t> </w:t>
      </w:r>
      <w:r>
        <w:rPr/>
        <w:t>a</w:t>
      </w:r>
      <w:r>
        <w:rPr>
          <w:spacing w:val="-10"/>
        </w:rPr>
        <w:t> </w:t>
      </w:r>
      <w:r>
        <w:rPr/>
        <w:t>consistent</w:t>
      </w:r>
      <w:r>
        <w:rPr>
          <w:spacing w:val="-9"/>
        </w:rPr>
        <w:t> </w:t>
      </w:r>
      <w:r>
        <w:rPr/>
        <w:t>increase</w:t>
      </w:r>
      <w:r>
        <w:rPr>
          <w:spacing w:val="-9"/>
        </w:rPr>
        <w:t> </w:t>
      </w:r>
      <w:r>
        <w:rPr/>
        <w:t>in rentals.</w:t>
      </w:r>
    </w:p>
    <w:p>
      <w:pPr>
        <w:spacing w:after="0" w:line="321" w:lineRule="auto"/>
        <w:jc w:val="both"/>
        <w:sectPr>
          <w:pgSz w:w="11910" w:h="16840"/>
          <w:pgMar w:header="720" w:footer="921" w:top="1660" w:bottom="1120" w:left="580" w:right="600"/>
        </w:sectPr>
      </w:pPr>
    </w:p>
    <w:p>
      <w:pPr>
        <w:pStyle w:val="BodyText"/>
        <w:spacing w:before="7"/>
        <w:rPr>
          <w:sz w:val="9"/>
        </w:rPr>
      </w:pPr>
    </w:p>
    <w:p>
      <w:pPr>
        <w:pStyle w:val="ListParagraph"/>
        <w:numPr>
          <w:ilvl w:val="1"/>
          <w:numId w:val="14"/>
        </w:numPr>
        <w:tabs>
          <w:tab w:pos="717" w:val="left" w:leader="none"/>
        </w:tabs>
        <w:spacing w:line="240" w:lineRule="auto" w:before="106" w:after="0"/>
        <w:ind w:left="716" w:right="0" w:hanging="577"/>
        <w:jc w:val="left"/>
        <w:rPr>
          <w:color w:val="1F6647"/>
          <w:sz w:val="22"/>
        </w:rPr>
      </w:pPr>
      <w:bookmarkStart w:name="_bookmark257" w:id="502"/>
      <w:bookmarkEnd w:id="502"/>
      <w:r>
        <w:rPr/>
      </w:r>
      <w:bookmarkStart w:name="_bookmark257" w:id="503"/>
      <w:bookmarkEnd w:id="503"/>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BodyText"/>
        <w:spacing w:before="3"/>
        <w:rPr>
          <w:sz w:val="28"/>
        </w:rPr>
      </w:pPr>
    </w:p>
    <w:p>
      <w:pPr>
        <w:pStyle w:val="ListParagraph"/>
        <w:numPr>
          <w:ilvl w:val="2"/>
          <w:numId w:val="14"/>
        </w:numPr>
        <w:tabs>
          <w:tab w:pos="861" w:val="left" w:leader="none"/>
        </w:tabs>
        <w:spacing w:line="240" w:lineRule="auto" w:before="0" w:after="0"/>
        <w:ind w:left="860" w:right="0" w:hanging="721"/>
        <w:jc w:val="left"/>
        <w:rPr>
          <w:sz w:val="22"/>
        </w:rPr>
      </w:pPr>
      <w:bookmarkStart w:name="_bookmark258" w:id="504"/>
      <w:bookmarkEnd w:id="504"/>
      <w:r>
        <w:rPr/>
      </w:r>
      <w:bookmarkStart w:name="_bookmark258" w:id="505"/>
      <w:bookmarkEnd w:id="505"/>
      <w:r>
        <w:rPr>
          <w:color w:val="1F664D"/>
          <w:w w:val="105"/>
          <w:sz w:val="22"/>
        </w:rPr>
        <w:t>A</w:t>
      </w:r>
      <w:r>
        <w:rPr>
          <w:color w:val="1F664D"/>
          <w:w w:val="105"/>
          <w:sz w:val="22"/>
        </w:rPr>
        <w:t>dopted</w:t>
      </w:r>
      <w:r>
        <w:rPr>
          <w:color w:val="1F664D"/>
          <w:spacing w:val="-3"/>
          <w:w w:val="105"/>
          <w:sz w:val="22"/>
        </w:rPr>
        <w:t> </w:t>
      </w:r>
      <w:r>
        <w:rPr>
          <w:color w:val="1F664D"/>
          <w:w w:val="105"/>
          <w:sz w:val="22"/>
        </w:rPr>
        <w:t>Methodology</w:t>
      </w:r>
    </w:p>
    <w:p>
      <w:pPr>
        <w:pStyle w:val="BodyText"/>
        <w:spacing w:line="321" w:lineRule="auto" w:before="208"/>
        <w:ind w:left="680" w:right="115"/>
        <w:jc w:val="both"/>
      </w:pPr>
      <w:r>
        <w:rPr/>
        <w:t>We</w:t>
      </w:r>
      <w:r>
        <w:rPr>
          <w:spacing w:val="-27"/>
        </w:rPr>
        <w:t> </w:t>
      </w:r>
      <w:r>
        <w:rPr/>
        <w:t>acknowledge</w:t>
      </w:r>
      <w:r>
        <w:rPr>
          <w:spacing w:val="-26"/>
        </w:rPr>
        <w:t> </w:t>
      </w:r>
      <w:r>
        <w:rPr/>
        <w:t>that</w:t>
      </w:r>
      <w:r>
        <w:rPr>
          <w:spacing w:val="-27"/>
        </w:rPr>
        <w:t> </w:t>
      </w:r>
      <w:r>
        <w:rPr/>
        <w:t>the</w:t>
      </w:r>
      <w:r>
        <w:rPr>
          <w:spacing w:val="-27"/>
        </w:rPr>
        <w:t> </w:t>
      </w:r>
      <w:r>
        <w:rPr/>
        <w:t>approaches</w:t>
      </w:r>
      <w:r>
        <w:rPr>
          <w:spacing w:val="-25"/>
        </w:rPr>
        <w:t> </w:t>
      </w:r>
      <w:r>
        <w:rPr/>
        <w:t>to</w:t>
      </w:r>
      <w:r>
        <w:rPr>
          <w:spacing w:val="-26"/>
        </w:rPr>
        <w:t> </w:t>
      </w:r>
      <w:r>
        <w:rPr/>
        <w:t>valuation</w:t>
      </w:r>
      <w:r>
        <w:rPr>
          <w:spacing w:val="-24"/>
        </w:rPr>
        <w:t> </w:t>
      </w:r>
      <w:r>
        <w:rPr/>
        <w:t>differ</w:t>
      </w:r>
      <w:r>
        <w:rPr>
          <w:spacing w:val="-27"/>
        </w:rPr>
        <w:t> </w:t>
      </w:r>
      <w:r>
        <w:rPr/>
        <w:t>considerably</w:t>
      </w:r>
      <w:r>
        <w:rPr>
          <w:spacing w:val="-26"/>
        </w:rPr>
        <w:t> </w:t>
      </w:r>
      <w:r>
        <w:rPr/>
        <w:t>and</w:t>
      </w:r>
      <w:r>
        <w:rPr>
          <w:spacing w:val="-26"/>
        </w:rPr>
        <w:t> </w:t>
      </w:r>
      <w:r>
        <w:rPr/>
        <w:t>that</w:t>
      </w:r>
      <w:r>
        <w:rPr>
          <w:spacing w:val="-27"/>
        </w:rPr>
        <w:t> </w:t>
      </w:r>
      <w:r>
        <w:rPr/>
        <w:t>for</w:t>
      </w:r>
      <w:r>
        <w:rPr>
          <w:spacing w:val="-24"/>
        </w:rPr>
        <w:t> </w:t>
      </w:r>
      <w:r>
        <w:rPr/>
        <w:t>a</w:t>
      </w:r>
      <w:r>
        <w:rPr>
          <w:spacing w:val="-27"/>
        </w:rPr>
        <w:t> </w:t>
      </w:r>
      <w:r>
        <w:rPr/>
        <w:t>particular</w:t>
      </w:r>
      <w:r>
        <w:rPr>
          <w:spacing w:val="-26"/>
        </w:rPr>
        <w:t> </w:t>
      </w:r>
      <w:r>
        <w:rPr/>
        <w:t>purpose, alternative</w:t>
      </w:r>
      <w:r>
        <w:rPr>
          <w:spacing w:val="-22"/>
        </w:rPr>
        <w:t> </w:t>
      </w:r>
      <w:r>
        <w:rPr/>
        <w:t>approaches</w:t>
      </w:r>
      <w:r>
        <w:rPr>
          <w:spacing w:val="-20"/>
        </w:rPr>
        <w:t> </w:t>
      </w:r>
      <w:r>
        <w:rPr/>
        <w:t>to</w:t>
      </w:r>
      <w:r>
        <w:rPr>
          <w:spacing w:val="-22"/>
        </w:rPr>
        <w:t> </w:t>
      </w:r>
      <w:r>
        <w:rPr/>
        <w:t>valuation</w:t>
      </w:r>
      <w:r>
        <w:rPr>
          <w:spacing w:val="-22"/>
        </w:rPr>
        <w:t> </w:t>
      </w:r>
      <w:r>
        <w:rPr/>
        <w:t>can</w:t>
      </w:r>
      <w:r>
        <w:rPr>
          <w:spacing w:val="-20"/>
        </w:rPr>
        <w:t> </w:t>
      </w:r>
      <w:r>
        <w:rPr/>
        <w:t>be</w:t>
      </w:r>
      <w:r>
        <w:rPr>
          <w:spacing w:val="-22"/>
        </w:rPr>
        <w:t> </w:t>
      </w:r>
      <w:r>
        <w:rPr/>
        <w:t>utilized</w:t>
      </w:r>
      <w:r>
        <w:rPr>
          <w:spacing w:val="-20"/>
        </w:rPr>
        <w:t> </w:t>
      </w:r>
      <w:r>
        <w:rPr/>
        <w:t>subject</w:t>
      </w:r>
      <w:r>
        <w:rPr>
          <w:spacing w:val="-21"/>
        </w:rPr>
        <w:t> </w:t>
      </w:r>
      <w:r>
        <w:rPr/>
        <w:t>to</w:t>
      </w:r>
      <w:r>
        <w:rPr>
          <w:spacing w:val="-22"/>
        </w:rPr>
        <w:t> </w:t>
      </w:r>
      <w:r>
        <w:rPr/>
        <w:t>the</w:t>
      </w:r>
      <w:r>
        <w:rPr>
          <w:spacing w:val="-21"/>
        </w:rPr>
        <w:t> </w:t>
      </w:r>
      <w:r>
        <w:rPr/>
        <w:t>Client’s</w:t>
      </w:r>
      <w:r>
        <w:rPr>
          <w:spacing w:val="-21"/>
        </w:rPr>
        <w:t> </w:t>
      </w:r>
      <w:r>
        <w:rPr/>
        <w:t>consultations</w:t>
      </w:r>
      <w:r>
        <w:rPr>
          <w:spacing w:val="-21"/>
        </w:rPr>
        <w:t> </w:t>
      </w:r>
      <w:r>
        <w:rPr/>
        <w:t>and</w:t>
      </w:r>
      <w:r>
        <w:rPr>
          <w:spacing w:val="-21"/>
        </w:rPr>
        <w:t> </w:t>
      </w:r>
      <w:r>
        <w:rPr/>
        <w:t>giving</w:t>
      </w:r>
      <w:r>
        <w:rPr>
          <w:spacing w:val="-21"/>
        </w:rPr>
        <w:t> </w:t>
      </w:r>
      <w:r>
        <w:rPr/>
        <w:t>due consideration</w:t>
      </w:r>
      <w:r>
        <w:rPr>
          <w:spacing w:val="-25"/>
        </w:rPr>
        <w:t> </w:t>
      </w:r>
      <w:r>
        <w:rPr/>
        <w:t>to</w:t>
      </w:r>
      <w:r>
        <w:rPr>
          <w:spacing w:val="-25"/>
        </w:rPr>
        <w:t> </w:t>
      </w:r>
      <w:r>
        <w:rPr/>
        <w:t>the</w:t>
      </w:r>
      <w:r>
        <w:rPr>
          <w:spacing w:val="-25"/>
        </w:rPr>
        <w:t> </w:t>
      </w:r>
      <w:r>
        <w:rPr/>
        <w:t>Client’s</w:t>
      </w:r>
      <w:r>
        <w:rPr>
          <w:spacing w:val="-24"/>
        </w:rPr>
        <w:t> </w:t>
      </w:r>
      <w:r>
        <w:rPr/>
        <w:t>requirements.</w:t>
      </w:r>
      <w:r>
        <w:rPr>
          <w:spacing w:val="-25"/>
        </w:rPr>
        <w:t> </w:t>
      </w:r>
      <w:r>
        <w:rPr/>
        <w:t>Considering</w:t>
      </w:r>
      <w:r>
        <w:rPr>
          <w:spacing w:val="-24"/>
        </w:rPr>
        <w:t> </w:t>
      </w:r>
      <w:r>
        <w:rPr/>
        <w:t>the</w:t>
      </w:r>
      <w:r>
        <w:rPr>
          <w:spacing w:val="-26"/>
        </w:rPr>
        <w:t> </w:t>
      </w:r>
      <w:r>
        <w:rPr/>
        <w:t>objective</w:t>
      </w:r>
      <w:r>
        <w:rPr>
          <w:spacing w:val="-24"/>
        </w:rPr>
        <w:t> </w:t>
      </w:r>
      <w:r>
        <w:rPr/>
        <w:t>of</w:t>
      </w:r>
      <w:r>
        <w:rPr>
          <w:spacing w:val="-25"/>
        </w:rPr>
        <w:t> </w:t>
      </w:r>
      <w:r>
        <w:rPr/>
        <w:t>this</w:t>
      </w:r>
      <w:r>
        <w:rPr>
          <w:spacing w:val="-24"/>
        </w:rPr>
        <w:t> </w:t>
      </w:r>
      <w:r>
        <w:rPr/>
        <w:t>exercise</w:t>
      </w:r>
      <w:r>
        <w:rPr>
          <w:spacing w:val="-21"/>
        </w:rPr>
        <w:t> </w:t>
      </w:r>
      <w:r>
        <w:rPr/>
        <w:t>and</w:t>
      </w:r>
      <w:r>
        <w:rPr>
          <w:spacing w:val="-25"/>
        </w:rPr>
        <w:t> </w:t>
      </w:r>
      <w:r>
        <w:rPr/>
        <w:t>the</w:t>
      </w:r>
      <w:r>
        <w:rPr>
          <w:spacing w:val="-25"/>
        </w:rPr>
        <w:t> </w:t>
      </w:r>
      <w:r>
        <w:rPr/>
        <w:t>nature</w:t>
      </w:r>
      <w:r>
        <w:rPr>
          <w:spacing w:val="-25"/>
        </w:rPr>
        <w:t> </w:t>
      </w:r>
      <w:r>
        <w:rPr/>
        <w:t>of asset</w:t>
      </w:r>
      <w:r>
        <w:rPr>
          <w:spacing w:val="-21"/>
        </w:rPr>
        <w:t> </w:t>
      </w:r>
      <w:r>
        <w:rPr/>
        <w:t>involved,</w:t>
      </w:r>
      <w:r>
        <w:rPr>
          <w:spacing w:val="-21"/>
        </w:rPr>
        <w:t> </w:t>
      </w:r>
      <w:r>
        <w:rPr/>
        <w:t>the</w:t>
      </w:r>
      <w:r>
        <w:rPr>
          <w:spacing w:val="-21"/>
        </w:rPr>
        <w:t> </w:t>
      </w:r>
      <w:r>
        <w:rPr/>
        <w:t>value</w:t>
      </w:r>
      <w:r>
        <w:rPr>
          <w:spacing w:val="-21"/>
        </w:rPr>
        <w:t> </w:t>
      </w:r>
      <w:r>
        <w:rPr/>
        <w:t>of</w:t>
      </w:r>
      <w:r>
        <w:rPr>
          <w:spacing w:val="-20"/>
        </w:rPr>
        <w:t> </w:t>
      </w:r>
      <w:r>
        <w:rPr/>
        <w:t>the</w:t>
      </w:r>
      <w:r>
        <w:rPr>
          <w:spacing w:val="-21"/>
        </w:rPr>
        <w:t> </w:t>
      </w:r>
      <w:r>
        <w:rPr/>
        <w:t>subject</w:t>
      </w:r>
      <w:r>
        <w:rPr>
          <w:spacing w:val="-23"/>
        </w:rPr>
        <w:t> </w:t>
      </w:r>
      <w:r>
        <w:rPr/>
        <w:t>property</w:t>
      </w:r>
      <w:r>
        <w:rPr>
          <w:spacing w:val="-20"/>
        </w:rPr>
        <w:t> </w:t>
      </w:r>
      <w:r>
        <w:rPr/>
        <w:t>has</w:t>
      </w:r>
      <w:r>
        <w:rPr>
          <w:spacing w:val="-20"/>
        </w:rPr>
        <w:t> </w:t>
      </w:r>
      <w:r>
        <w:rPr/>
        <w:t>been</w:t>
      </w:r>
      <w:r>
        <w:rPr>
          <w:spacing w:val="-21"/>
        </w:rPr>
        <w:t> </w:t>
      </w:r>
      <w:r>
        <w:rPr/>
        <w:t>assessed</w:t>
      </w:r>
      <w:r>
        <w:rPr>
          <w:spacing w:val="-20"/>
        </w:rPr>
        <w:t> </w:t>
      </w:r>
      <w:r>
        <w:rPr/>
        <w:t>through</w:t>
      </w:r>
      <w:r>
        <w:rPr>
          <w:spacing w:val="-23"/>
        </w:rPr>
        <w:t> </w:t>
      </w:r>
      <w:r>
        <w:rPr/>
        <w:t>the</w:t>
      </w:r>
      <w:r>
        <w:rPr>
          <w:spacing w:val="-21"/>
        </w:rPr>
        <w:t> </w:t>
      </w:r>
      <w:r>
        <w:rPr/>
        <w:t>following</w:t>
      </w:r>
      <w:r>
        <w:rPr>
          <w:spacing w:val="-20"/>
        </w:rPr>
        <w:t> </w:t>
      </w:r>
      <w:r>
        <w:rPr/>
        <w:t>approach:</w:t>
      </w:r>
    </w:p>
    <w:p>
      <w:pPr>
        <w:pStyle w:val="BodyText"/>
        <w:spacing w:before="4"/>
        <w:rPr>
          <w:sz w:val="20"/>
        </w:rPr>
      </w:pPr>
    </w:p>
    <w:tbl>
      <w:tblPr>
        <w:tblW w:w="0" w:type="auto"/>
        <w:jc w:val="left"/>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7"/>
        <w:gridCol w:w="6954"/>
      </w:tblGrid>
      <w:tr>
        <w:trPr>
          <w:trHeight w:val="432" w:hRule="atLeast"/>
        </w:trPr>
        <w:tc>
          <w:tcPr>
            <w:tcW w:w="10471" w:type="dxa"/>
            <w:gridSpan w:val="2"/>
            <w:tcBorders>
              <w:top w:val="single" w:sz="6" w:space="0" w:color="69BD28"/>
            </w:tcBorders>
            <w:shd w:val="clear" w:color="auto" w:fill="006A4D"/>
          </w:tcPr>
          <w:p>
            <w:pPr>
              <w:pStyle w:val="TableParagraph"/>
              <w:tabs>
                <w:tab w:pos="4440" w:val="left" w:leader="none"/>
                <w:tab w:pos="7360" w:val="left" w:leader="none"/>
              </w:tabs>
              <w:spacing w:line="156" w:lineRule="auto" w:before="23"/>
              <w:ind w:left="1265"/>
              <w:jc w:val="left"/>
              <w:rPr>
                <w:b/>
                <w:sz w:val="18"/>
              </w:rPr>
            </w:pPr>
            <w:r>
              <w:rPr>
                <w:b/>
                <w:color w:val="FFFFFF"/>
                <w:w w:val="110"/>
                <w:position w:val="-10"/>
                <w:sz w:val="18"/>
              </w:rPr>
              <w:t>Particulars</w:t>
              <w:tab/>
              <w:t>Completed</w:t>
            </w:r>
            <w:r>
              <w:rPr>
                <w:b/>
                <w:color w:val="FFFFFF"/>
                <w:spacing w:val="-13"/>
                <w:w w:val="110"/>
                <w:position w:val="-10"/>
                <w:sz w:val="18"/>
              </w:rPr>
              <w:t> </w:t>
            </w:r>
            <w:r>
              <w:rPr>
                <w:b/>
                <w:color w:val="FFFFFF"/>
                <w:w w:val="110"/>
                <w:position w:val="-10"/>
                <w:sz w:val="18"/>
              </w:rPr>
              <w:t>Blocks</w:t>
              <w:tab/>
            </w:r>
            <w:r>
              <w:rPr>
                <w:b/>
                <w:color w:val="FFFFFF"/>
                <w:w w:val="110"/>
                <w:sz w:val="18"/>
              </w:rPr>
              <w:t>Under Construction/</w:t>
            </w:r>
            <w:r>
              <w:rPr>
                <w:b/>
                <w:color w:val="FFFFFF"/>
                <w:spacing w:val="-19"/>
                <w:w w:val="110"/>
                <w:sz w:val="18"/>
              </w:rPr>
              <w:t> </w:t>
            </w:r>
            <w:r>
              <w:rPr>
                <w:b/>
                <w:color w:val="FFFFFF"/>
                <w:w w:val="110"/>
                <w:sz w:val="18"/>
              </w:rPr>
              <w:t>Proposed</w:t>
            </w:r>
          </w:p>
          <w:p>
            <w:pPr>
              <w:pStyle w:val="TableParagraph"/>
              <w:spacing w:line="141" w:lineRule="exact"/>
              <w:ind w:right="1451"/>
              <w:jc w:val="right"/>
              <w:rPr>
                <w:b/>
                <w:sz w:val="18"/>
              </w:rPr>
            </w:pPr>
            <w:r>
              <w:rPr>
                <w:b/>
                <w:color w:val="FFFFFF"/>
                <w:w w:val="105"/>
                <w:sz w:val="18"/>
              </w:rPr>
              <w:t>Blocks</w:t>
            </w:r>
          </w:p>
        </w:tc>
      </w:tr>
      <w:tr>
        <w:trPr>
          <w:trHeight w:val="457" w:hRule="atLeast"/>
        </w:trPr>
        <w:tc>
          <w:tcPr>
            <w:tcW w:w="3517" w:type="dxa"/>
            <w:shd w:val="clear" w:color="auto" w:fill="69BD28"/>
          </w:tcPr>
          <w:p>
            <w:pPr>
              <w:pStyle w:val="TableParagraph"/>
              <w:spacing w:before="123"/>
              <w:ind w:left="689"/>
              <w:jc w:val="left"/>
              <w:rPr>
                <w:b/>
                <w:sz w:val="18"/>
              </w:rPr>
            </w:pPr>
            <w:r>
              <w:rPr>
                <w:b/>
                <w:color w:val="FFFFFF"/>
                <w:w w:val="110"/>
                <w:sz w:val="18"/>
              </w:rPr>
              <w:t>Valuation Methodology</w:t>
            </w:r>
          </w:p>
        </w:tc>
        <w:tc>
          <w:tcPr>
            <w:tcW w:w="6954" w:type="dxa"/>
            <w:tcBorders>
              <w:top w:val="single" w:sz="6" w:space="0" w:color="69BD28"/>
              <w:bottom w:val="single" w:sz="6" w:space="0" w:color="69BD28"/>
            </w:tcBorders>
          </w:tcPr>
          <w:p>
            <w:pPr>
              <w:pStyle w:val="TableParagraph"/>
              <w:spacing w:before="123"/>
              <w:ind w:left="885" w:right="897"/>
              <w:rPr>
                <w:sz w:val="18"/>
              </w:rPr>
            </w:pPr>
            <w:r>
              <w:rPr>
                <w:sz w:val="18"/>
              </w:rPr>
              <w:t>Discounted Cash Flow Method (using rental reversion approach)</w:t>
            </w:r>
          </w:p>
        </w:tc>
      </w:tr>
    </w:tbl>
    <w:p>
      <w:pPr>
        <w:pStyle w:val="BodyText"/>
        <w:rPr>
          <w:sz w:val="21"/>
        </w:rPr>
      </w:pPr>
    </w:p>
    <w:p>
      <w:pPr>
        <w:pStyle w:val="BodyText"/>
        <w:spacing w:line="319" w:lineRule="auto"/>
        <w:ind w:left="680" w:right="115"/>
        <w:jc w:val="both"/>
      </w:pPr>
      <w:r>
        <w:rPr/>
        <w:t>The</w:t>
      </w:r>
      <w:r>
        <w:rPr>
          <w:spacing w:val="-23"/>
        </w:rPr>
        <w:t> </w:t>
      </w:r>
      <w:r>
        <w:rPr/>
        <w:t>sections</w:t>
      </w:r>
      <w:r>
        <w:rPr>
          <w:spacing w:val="-22"/>
        </w:rPr>
        <w:t> </w:t>
      </w:r>
      <w:r>
        <w:rPr/>
        <w:t>below</w:t>
      </w:r>
      <w:r>
        <w:rPr>
          <w:spacing w:val="-21"/>
        </w:rPr>
        <w:t> </w:t>
      </w:r>
      <w:r>
        <w:rPr/>
        <w:t>highlight</w:t>
      </w:r>
      <w:r>
        <w:rPr>
          <w:spacing w:val="-21"/>
        </w:rPr>
        <w:t> </w:t>
      </w:r>
      <w:r>
        <w:rPr/>
        <w:t>detailed</w:t>
      </w:r>
      <w:r>
        <w:rPr>
          <w:spacing w:val="-21"/>
        </w:rPr>
        <w:t> </w:t>
      </w:r>
      <w:r>
        <w:rPr/>
        <w:t>valuation</w:t>
      </w:r>
      <w:r>
        <w:rPr>
          <w:spacing w:val="-22"/>
        </w:rPr>
        <w:t> </w:t>
      </w:r>
      <w:r>
        <w:rPr/>
        <w:t>workings</w:t>
      </w:r>
      <w:r>
        <w:rPr>
          <w:spacing w:val="-21"/>
        </w:rPr>
        <w:t> </w:t>
      </w:r>
      <w:r>
        <w:rPr/>
        <w:t>for</w:t>
      </w:r>
      <w:r>
        <w:rPr>
          <w:spacing w:val="-22"/>
        </w:rPr>
        <w:t> </w:t>
      </w:r>
      <w:r>
        <w:rPr/>
        <w:t>the</w:t>
      </w:r>
      <w:r>
        <w:rPr>
          <w:spacing w:val="-23"/>
        </w:rPr>
        <w:t> </w:t>
      </w:r>
      <w:r>
        <w:rPr/>
        <w:t>subject</w:t>
      </w:r>
      <w:r>
        <w:rPr>
          <w:spacing w:val="-23"/>
        </w:rPr>
        <w:t> </w:t>
      </w:r>
      <w:r>
        <w:rPr/>
        <w:t>property.</w:t>
      </w:r>
      <w:r>
        <w:rPr>
          <w:spacing w:val="-20"/>
        </w:rPr>
        <w:t> </w:t>
      </w:r>
      <w:r>
        <w:rPr/>
        <w:t>Please</w:t>
      </w:r>
      <w:r>
        <w:rPr>
          <w:spacing w:val="-23"/>
        </w:rPr>
        <w:t> </w:t>
      </w:r>
      <w:r>
        <w:rPr/>
        <w:t>note</w:t>
      </w:r>
      <w:r>
        <w:rPr>
          <w:spacing w:val="-21"/>
        </w:rPr>
        <w:t> </w:t>
      </w:r>
      <w:r>
        <w:rPr/>
        <w:t>that</w:t>
      </w:r>
      <w:r>
        <w:rPr>
          <w:spacing w:val="-23"/>
        </w:rPr>
        <w:t> </w:t>
      </w:r>
      <w:r>
        <w:rPr/>
        <w:t>the assumptions/</w:t>
      </w:r>
      <w:r>
        <w:rPr>
          <w:spacing w:val="-29"/>
        </w:rPr>
        <w:t> </w:t>
      </w:r>
      <w:r>
        <w:rPr/>
        <w:t>opinions</w:t>
      </w:r>
      <w:r>
        <w:rPr>
          <w:spacing w:val="-27"/>
        </w:rPr>
        <w:t> </w:t>
      </w:r>
      <w:r>
        <w:rPr/>
        <w:t>highlighted</w:t>
      </w:r>
      <w:r>
        <w:rPr>
          <w:spacing w:val="-27"/>
        </w:rPr>
        <w:t> </w:t>
      </w:r>
      <w:r>
        <w:rPr/>
        <w:t>in</w:t>
      </w:r>
      <w:r>
        <w:rPr>
          <w:spacing w:val="-28"/>
        </w:rPr>
        <w:t> </w:t>
      </w:r>
      <w:r>
        <w:rPr/>
        <w:t>the</w:t>
      </w:r>
      <w:r>
        <w:rPr>
          <w:spacing w:val="-28"/>
        </w:rPr>
        <w:t> </w:t>
      </w:r>
      <w:r>
        <w:rPr/>
        <w:t>subsequent</w:t>
      </w:r>
      <w:r>
        <w:rPr>
          <w:spacing w:val="-28"/>
        </w:rPr>
        <w:t> </w:t>
      </w:r>
      <w:r>
        <w:rPr/>
        <w:t>sections</w:t>
      </w:r>
      <w:r>
        <w:rPr>
          <w:spacing w:val="-27"/>
        </w:rPr>
        <w:t> </w:t>
      </w:r>
      <w:r>
        <w:rPr/>
        <w:t>are</w:t>
      </w:r>
      <w:r>
        <w:rPr>
          <w:spacing w:val="-28"/>
        </w:rPr>
        <w:t> </w:t>
      </w:r>
      <w:r>
        <w:rPr/>
        <w:t>to</w:t>
      </w:r>
      <w:r>
        <w:rPr>
          <w:spacing w:val="-28"/>
        </w:rPr>
        <w:t> </w:t>
      </w:r>
      <w:r>
        <w:rPr/>
        <w:t>be</w:t>
      </w:r>
      <w:r>
        <w:rPr>
          <w:spacing w:val="-28"/>
        </w:rPr>
        <w:t> </w:t>
      </w:r>
      <w:r>
        <w:rPr/>
        <w:t>read</w:t>
      </w:r>
      <w:r>
        <w:rPr>
          <w:spacing w:val="-27"/>
        </w:rPr>
        <w:t> </w:t>
      </w:r>
      <w:r>
        <w:rPr/>
        <w:t>in</w:t>
      </w:r>
      <w:r>
        <w:rPr>
          <w:spacing w:val="-28"/>
        </w:rPr>
        <w:t> </w:t>
      </w:r>
      <w:r>
        <w:rPr/>
        <w:t>conjunction</w:t>
      </w:r>
      <w:r>
        <w:rPr>
          <w:spacing w:val="-28"/>
        </w:rPr>
        <w:t> </w:t>
      </w:r>
      <w:r>
        <w:rPr/>
        <w:t>with</w:t>
      </w:r>
      <w:r>
        <w:rPr>
          <w:spacing w:val="-28"/>
        </w:rPr>
        <w:t> </w:t>
      </w:r>
      <w:r>
        <w:rPr/>
        <w:t>Section</w:t>
      </w:r>
    </w:p>
    <w:p>
      <w:pPr>
        <w:pStyle w:val="BodyText"/>
        <w:spacing w:before="5"/>
        <w:ind w:left="680"/>
      </w:pPr>
      <w:r>
        <w:rPr/>
        <w:t>1.11 and the following:</w:t>
      </w:r>
    </w:p>
    <w:p>
      <w:pPr>
        <w:pStyle w:val="BodyText"/>
        <w:spacing w:before="2"/>
        <w:rPr>
          <w:sz w:val="28"/>
        </w:rPr>
      </w:pPr>
    </w:p>
    <w:p>
      <w:pPr>
        <w:spacing w:line="321" w:lineRule="auto" w:before="1"/>
        <w:ind w:left="680" w:right="11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rPr>
          <w:i/>
          <w:sz w:val="21"/>
        </w:rPr>
      </w:pPr>
    </w:p>
    <w:p>
      <w:pPr>
        <w:pStyle w:val="ListParagraph"/>
        <w:numPr>
          <w:ilvl w:val="0"/>
          <w:numId w:val="67"/>
        </w:numPr>
        <w:tabs>
          <w:tab w:pos="1585" w:val="left" w:leader="none"/>
          <w:tab w:pos="1586" w:val="left" w:leader="none"/>
        </w:tabs>
        <w:spacing w:line="240" w:lineRule="auto" w:before="0" w:after="0"/>
        <w:ind w:left="1585" w:right="0" w:hanging="361"/>
        <w:jc w:val="left"/>
        <w:rPr>
          <w:i/>
          <w:sz w:val="22"/>
        </w:rPr>
      </w:pPr>
      <w:r>
        <w:rPr>
          <w:i/>
          <w:sz w:val="22"/>
        </w:rPr>
        <w:t>Limited/</w:t>
      </w:r>
      <w:r>
        <w:rPr>
          <w:i/>
          <w:spacing w:val="-13"/>
          <w:sz w:val="22"/>
        </w:rPr>
        <w:t> </w:t>
      </w:r>
      <w:r>
        <w:rPr>
          <w:i/>
          <w:sz w:val="22"/>
        </w:rPr>
        <w:t>no</w:t>
      </w:r>
      <w:r>
        <w:rPr>
          <w:i/>
          <w:spacing w:val="-13"/>
          <w:sz w:val="22"/>
        </w:rPr>
        <w:t> </w:t>
      </w:r>
      <w:r>
        <w:rPr>
          <w:i/>
          <w:sz w:val="22"/>
        </w:rPr>
        <w:t>growth</w:t>
      </w:r>
      <w:r>
        <w:rPr>
          <w:i/>
          <w:spacing w:val="-15"/>
          <w:sz w:val="22"/>
        </w:rPr>
        <w:t> </w:t>
      </w:r>
      <w:r>
        <w:rPr>
          <w:i/>
          <w:sz w:val="22"/>
        </w:rPr>
        <w:t>in</w:t>
      </w:r>
      <w:r>
        <w:rPr>
          <w:i/>
          <w:spacing w:val="-15"/>
          <w:sz w:val="22"/>
        </w:rPr>
        <w:t> </w:t>
      </w:r>
      <w:r>
        <w:rPr>
          <w:i/>
          <w:sz w:val="22"/>
        </w:rPr>
        <w:t>rent</w:t>
      </w:r>
      <w:r>
        <w:rPr>
          <w:i/>
          <w:spacing w:val="-12"/>
          <w:sz w:val="22"/>
        </w:rPr>
        <w:t> </w:t>
      </w:r>
      <w:r>
        <w:rPr>
          <w:i/>
          <w:sz w:val="22"/>
        </w:rPr>
        <w:t>has</w:t>
      </w:r>
      <w:r>
        <w:rPr>
          <w:i/>
          <w:spacing w:val="-14"/>
          <w:sz w:val="22"/>
        </w:rPr>
        <w:t> </w:t>
      </w:r>
      <w:r>
        <w:rPr>
          <w:i/>
          <w:sz w:val="22"/>
        </w:rPr>
        <w:t>been</w:t>
      </w:r>
      <w:r>
        <w:rPr>
          <w:i/>
          <w:spacing w:val="-15"/>
          <w:sz w:val="22"/>
        </w:rPr>
        <w:t> </w:t>
      </w:r>
      <w:r>
        <w:rPr>
          <w:i/>
          <w:sz w:val="22"/>
        </w:rPr>
        <w:t>considered</w:t>
      </w:r>
      <w:r>
        <w:rPr>
          <w:i/>
          <w:spacing w:val="-13"/>
          <w:sz w:val="22"/>
        </w:rPr>
        <w:t> </w:t>
      </w:r>
      <w:r>
        <w:rPr>
          <w:i/>
          <w:sz w:val="22"/>
        </w:rPr>
        <w:t>over</w:t>
      </w:r>
      <w:r>
        <w:rPr>
          <w:i/>
          <w:spacing w:val="-13"/>
          <w:sz w:val="22"/>
        </w:rPr>
        <w:t> </w:t>
      </w:r>
      <w:r>
        <w:rPr>
          <w:i/>
          <w:sz w:val="22"/>
        </w:rPr>
        <w:t>the</w:t>
      </w:r>
      <w:r>
        <w:rPr>
          <w:i/>
          <w:spacing w:val="-13"/>
          <w:sz w:val="22"/>
        </w:rPr>
        <w:t> </w:t>
      </w:r>
      <w:r>
        <w:rPr>
          <w:i/>
          <w:sz w:val="22"/>
        </w:rPr>
        <w:t>next</w:t>
      </w:r>
      <w:r>
        <w:rPr>
          <w:i/>
          <w:spacing w:val="-16"/>
          <w:sz w:val="22"/>
        </w:rPr>
        <w:t> </w:t>
      </w:r>
      <w:r>
        <w:rPr>
          <w:i/>
          <w:sz w:val="22"/>
        </w:rPr>
        <w:t>few</w:t>
      </w:r>
      <w:r>
        <w:rPr>
          <w:i/>
          <w:spacing w:val="-14"/>
          <w:sz w:val="22"/>
        </w:rPr>
        <w:t> </w:t>
      </w:r>
      <w:r>
        <w:rPr>
          <w:i/>
          <w:sz w:val="22"/>
        </w:rPr>
        <w:t>quarters</w:t>
      </w:r>
    </w:p>
    <w:p>
      <w:pPr>
        <w:pStyle w:val="ListParagraph"/>
        <w:numPr>
          <w:ilvl w:val="0"/>
          <w:numId w:val="67"/>
        </w:numPr>
        <w:tabs>
          <w:tab w:pos="1585" w:val="left" w:leader="none"/>
          <w:tab w:pos="1586" w:val="left" w:leader="none"/>
        </w:tabs>
        <w:spacing w:line="240" w:lineRule="auto" w:before="28" w:after="0"/>
        <w:ind w:left="1585" w:right="0" w:hanging="361"/>
        <w:jc w:val="left"/>
        <w:rPr>
          <w:i/>
          <w:sz w:val="22"/>
        </w:rPr>
      </w:pPr>
      <w:r>
        <w:rPr>
          <w:i/>
          <w:sz w:val="22"/>
        </w:rPr>
        <w:t>Construction</w:t>
      </w:r>
      <w:r>
        <w:rPr>
          <w:i/>
          <w:spacing w:val="-13"/>
          <w:sz w:val="22"/>
        </w:rPr>
        <w:t> </w:t>
      </w:r>
      <w:r>
        <w:rPr>
          <w:i/>
          <w:sz w:val="22"/>
        </w:rPr>
        <w:t>timelines</w:t>
      </w:r>
      <w:r>
        <w:rPr>
          <w:i/>
          <w:spacing w:val="-13"/>
          <w:sz w:val="22"/>
        </w:rPr>
        <w:t> </w:t>
      </w:r>
      <w:r>
        <w:rPr>
          <w:i/>
          <w:sz w:val="22"/>
        </w:rPr>
        <w:t>have</w:t>
      </w:r>
      <w:r>
        <w:rPr>
          <w:i/>
          <w:spacing w:val="-10"/>
          <w:sz w:val="22"/>
        </w:rPr>
        <w:t> </w:t>
      </w:r>
      <w:r>
        <w:rPr>
          <w:i/>
          <w:sz w:val="22"/>
        </w:rPr>
        <w:t>been</w:t>
      </w:r>
      <w:r>
        <w:rPr>
          <w:i/>
          <w:spacing w:val="-13"/>
          <w:sz w:val="22"/>
        </w:rPr>
        <w:t> </w:t>
      </w:r>
      <w:r>
        <w:rPr>
          <w:i/>
          <w:sz w:val="22"/>
        </w:rPr>
        <w:t>delayed</w:t>
      </w:r>
      <w:r>
        <w:rPr>
          <w:i/>
          <w:spacing w:val="-13"/>
          <w:sz w:val="22"/>
        </w:rPr>
        <w:t> </w:t>
      </w:r>
      <w:r>
        <w:rPr>
          <w:i/>
          <w:sz w:val="22"/>
        </w:rPr>
        <w:t>from</w:t>
      </w:r>
      <w:r>
        <w:rPr>
          <w:i/>
          <w:spacing w:val="-11"/>
          <w:sz w:val="22"/>
        </w:rPr>
        <w:t> </w:t>
      </w:r>
      <w:r>
        <w:rPr>
          <w:i/>
          <w:sz w:val="22"/>
        </w:rPr>
        <w:t>the</w:t>
      </w:r>
      <w:r>
        <w:rPr>
          <w:i/>
          <w:spacing w:val="-13"/>
          <w:sz w:val="22"/>
        </w:rPr>
        <w:t> </w:t>
      </w:r>
      <w:r>
        <w:rPr>
          <w:i/>
          <w:sz w:val="22"/>
        </w:rPr>
        <w:t>earlier</w:t>
      </w:r>
      <w:r>
        <w:rPr>
          <w:i/>
          <w:spacing w:val="-12"/>
          <w:sz w:val="22"/>
        </w:rPr>
        <w:t> </w:t>
      </w:r>
      <w:r>
        <w:rPr>
          <w:i/>
          <w:sz w:val="22"/>
        </w:rPr>
        <w:t>estimates</w:t>
      </w:r>
    </w:p>
    <w:p>
      <w:pPr>
        <w:pStyle w:val="ListParagraph"/>
        <w:numPr>
          <w:ilvl w:val="0"/>
          <w:numId w:val="67"/>
        </w:numPr>
        <w:tabs>
          <w:tab w:pos="1585" w:val="left" w:leader="none"/>
          <w:tab w:pos="1586" w:val="left" w:leader="none"/>
        </w:tabs>
        <w:spacing w:line="266" w:lineRule="auto" w:before="30" w:after="0"/>
        <w:ind w:left="1585" w:right="112" w:hanging="360"/>
        <w:jc w:val="left"/>
        <w:rPr>
          <w:i/>
          <w:sz w:val="22"/>
        </w:rPr>
      </w:pPr>
      <w:r>
        <w:rPr>
          <w:i/>
          <w:sz w:val="22"/>
        </w:rPr>
        <w:t>Considering</w:t>
      </w:r>
      <w:r>
        <w:rPr>
          <w:i/>
          <w:spacing w:val="-44"/>
          <w:sz w:val="22"/>
        </w:rPr>
        <w:t> </w:t>
      </w:r>
      <w:r>
        <w:rPr>
          <w:i/>
          <w:sz w:val="22"/>
        </w:rPr>
        <w:t>challenges</w:t>
      </w:r>
      <w:r>
        <w:rPr>
          <w:i/>
          <w:spacing w:val="-42"/>
          <w:sz w:val="22"/>
        </w:rPr>
        <w:t> </w:t>
      </w:r>
      <w:r>
        <w:rPr>
          <w:i/>
          <w:sz w:val="22"/>
        </w:rPr>
        <w:t>in</w:t>
      </w:r>
      <w:r>
        <w:rPr>
          <w:i/>
          <w:spacing w:val="-43"/>
          <w:sz w:val="22"/>
        </w:rPr>
        <w:t> </w:t>
      </w:r>
      <w:r>
        <w:rPr>
          <w:i/>
          <w:sz w:val="22"/>
        </w:rPr>
        <w:t>the</w:t>
      </w:r>
      <w:r>
        <w:rPr>
          <w:i/>
          <w:spacing w:val="-42"/>
          <w:sz w:val="22"/>
        </w:rPr>
        <w:t> </w:t>
      </w:r>
      <w:r>
        <w:rPr>
          <w:i/>
          <w:sz w:val="22"/>
        </w:rPr>
        <w:t>short</w:t>
      </w:r>
      <w:r>
        <w:rPr>
          <w:i/>
          <w:spacing w:val="-43"/>
          <w:sz w:val="22"/>
        </w:rPr>
        <w:t> </w:t>
      </w:r>
      <w:r>
        <w:rPr>
          <w:i/>
          <w:sz w:val="22"/>
        </w:rPr>
        <w:t>term,</w:t>
      </w:r>
      <w:r>
        <w:rPr>
          <w:i/>
          <w:spacing w:val="-41"/>
          <w:sz w:val="22"/>
        </w:rPr>
        <w:t> </w:t>
      </w:r>
      <w:r>
        <w:rPr>
          <w:i/>
          <w:sz w:val="22"/>
        </w:rPr>
        <w:t>timelines</w:t>
      </w:r>
      <w:r>
        <w:rPr>
          <w:i/>
          <w:spacing w:val="-44"/>
          <w:sz w:val="22"/>
        </w:rPr>
        <w:t> </w:t>
      </w:r>
      <w:r>
        <w:rPr>
          <w:i/>
          <w:sz w:val="22"/>
        </w:rPr>
        <w:t>have</w:t>
      </w:r>
      <w:r>
        <w:rPr>
          <w:i/>
          <w:spacing w:val="-41"/>
          <w:sz w:val="22"/>
        </w:rPr>
        <w:t> </w:t>
      </w:r>
      <w:r>
        <w:rPr>
          <w:i/>
          <w:sz w:val="22"/>
        </w:rPr>
        <w:t>been</w:t>
      </w:r>
      <w:r>
        <w:rPr>
          <w:i/>
          <w:spacing w:val="-43"/>
          <w:sz w:val="22"/>
        </w:rPr>
        <w:t> </w:t>
      </w:r>
      <w:r>
        <w:rPr>
          <w:i/>
          <w:sz w:val="22"/>
        </w:rPr>
        <w:t>extended</w:t>
      </w:r>
      <w:r>
        <w:rPr>
          <w:i/>
          <w:spacing w:val="-42"/>
          <w:sz w:val="22"/>
        </w:rPr>
        <w:t> </w:t>
      </w:r>
      <w:r>
        <w:rPr>
          <w:i/>
          <w:sz w:val="22"/>
        </w:rPr>
        <w:t>for</w:t>
      </w:r>
      <w:r>
        <w:rPr>
          <w:i/>
          <w:spacing w:val="-43"/>
          <w:sz w:val="22"/>
        </w:rPr>
        <w:t> </w:t>
      </w:r>
      <w:r>
        <w:rPr>
          <w:i/>
          <w:sz w:val="22"/>
        </w:rPr>
        <w:t>new</w:t>
      </w:r>
      <w:r>
        <w:rPr>
          <w:i/>
          <w:spacing w:val="-42"/>
          <w:sz w:val="22"/>
        </w:rPr>
        <w:t> </w:t>
      </w:r>
      <w:r>
        <w:rPr>
          <w:i/>
          <w:sz w:val="22"/>
        </w:rPr>
        <w:t>space</w:t>
      </w:r>
      <w:r>
        <w:rPr>
          <w:i/>
          <w:spacing w:val="-43"/>
          <w:sz w:val="22"/>
        </w:rPr>
        <w:t> </w:t>
      </w:r>
      <w:r>
        <w:rPr>
          <w:i/>
          <w:sz w:val="22"/>
        </w:rPr>
        <w:t>take-up/ </w:t>
      </w:r>
      <w:r>
        <w:rPr>
          <w:i/>
          <w:sz w:val="22"/>
        </w:rPr>
        <w:t>future</w:t>
      </w:r>
      <w:r>
        <w:rPr>
          <w:i/>
          <w:spacing w:val="-3"/>
          <w:sz w:val="22"/>
        </w:rPr>
        <w:t> </w:t>
      </w:r>
      <w:r>
        <w:rPr>
          <w:i/>
          <w:sz w:val="22"/>
        </w:rPr>
        <w:t>leasing</w:t>
      </w:r>
    </w:p>
    <w:p>
      <w:pPr>
        <w:pStyle w:val="ListParagraph"/>
        <w:numPr>
          <w:ilvl w:val="0"/>
          <w:numId w:val="67"/>
        </w:numPr>
        <w:tabs>
          <w:tab w:pos="1585" w:val="left" w:leader="none"/>
          <w:tab w:pos="1586" w:val="left" w:leader="none"/>
        </w:tabs>
        <w:spacing w:line="266" w:lineRule="auto" w:before="1" w:after="0"/>
        <w:ind w:left="1585" w:right="111" w:hanging="360"/>
        <w:jc w:val="left"/>
        <w:rPr>
          <w:i/>
          <w:sz w:val="22"/>
        </w:rPr>
      </w:pPr>
      <w:r>
        <w:rPr>
          <w:i/>
          <w:sz w:val="22"/>
        </w:rPr>
        <w:t>Additional</w:t>
      </w:r>
      <w:r>
        <w:rPr>
          <w:i/>
          <w:spacing w:val="-28"/>
          <w:sz w:val="22"/>
        </w:rPr>
        <w:t> </w:t>
      </w:r>
      <w:r>
        <w:rPr>
          <w:i/>
          <w:sz w:val="22"/>
        </w:rPr>
        <w:t>fit-out</w:t>
      </w:r>
      <w:r>
        <w:rPr>
          <w:i/>
          <w:spacing w:val="-27"/>
          <w:sz w:val="22"/>
        </w:rPr>
        <w:t> </w:t>
      </w:r>
      <w:r>
        <w:rPr>
          <w:i/>
          <w:sz w:val="22"/>
        </w:rPr>
        <w:t>period/</w:t>
      </w:r>
      <w:r>
        <w:rPr>
          <w:i/>
          <w:spacing w:val="-27"/>
          <w:sz w:val="22"/>
        </w:rPr>
        <w:t> </w:t>
      </w:r>
      <w:r>
        <w:rPr>
          <w:i/>
          <w:sz w:val="22"/>
        </w:rPr>
        <w:t>rent</w:t>
      </w:r>
      <w:r>
        <w:rPr>
          <w:i/>
          <w:spacing w:val="-28"/>
          <w:sz w:val="22"/>
        </w:rPr>
        <w:t> </w:t>
      </w:r>
      <w:r>
        <w:rPr>
          <w:i/>
          <w:sz w:val="22"/>
        </w:rPr>
        <w:t>free</w:t>
      </w:r>
      <w:r>
        <w:rPr>
          <w:i/>
          <w:spacing w:val="-27"/>
          <w:sz w:val="22"/>
        </w:rPr>
        <w:t> </w:t>
      </w:r>
      <w:r>
        <w:rPr>
          <w:i/>
          <w:sz w:val="22"/>
        </w:rPr>
        <w:t>months</w:t>
      </w:r>
      <w:r>
        <w:rPr>
          <w:i/>
          <w:spacing w:val="-26"/>
          <w:sz w:val="22"/>
        </w:rPr>
        <w:t> </w:t>
      </w:r>
      <w:r>
        <w:rPr>
          <w:i/>
          <w:sz w:val="22"/>
        </w:rPr>
        <w:t>have</w:t>
      </w:r>
      <w:r>
        <w:rPr>
          <w:i/>
          <w:spacing w:val="-27"/>
          <w:sz w:val="22"/>
        </w:rPr>
        <w:t> </w:t>
      </w:r>
      <w:r>
        <w:rPr>
          <w:i/>
          <w:sz w:val="22"/>
        </w:rPr>
        <w:t>been</w:t>
      </w:r>
      <w:r>
        <w:rPr>
          <w:i/>
          <w:spacing w:val="-27"/>
          <w:sz w:val="22"/>
        </w:rPr>
        <w:t> </w:t>
      </w:r>
      <w:r>
        <w:rPr>
          <w:i/>
          <w:sz w:val="22"/>
        </w:rPr>
        <w:t>incorporated</w:t>
      </w:r>
      <w:r>
        <w:rPr>
          <w:i/>
          <w:spacing w:val="-28"/>
          <w:sz w:val="22"/>
        </w:rPr>
        <w:t> </w:t>
      </w:r>
      <w:r>
        <w:rPr>
          <w:i/>
          <w:sz w:val="22"/>
        </w:rPr>
        <w:t>where</w:t>
      </w:r>
      <w:r>
        <w:rPr>
          <w:i/>
          <w:spacing w:val="-27"/>
          <w:sz w:val="22"/>
        </w:rPr>
        <w:t> </w:t>
      </w:r>
      <w:r>
        <w:rPr>
          <w:i/>
          <w:sz w:val="22"/>
        </w:rPr>
        <w:t>fit-out</w:t>
      </w:r>
      <w:r>
        <w:rPr>
          <w:i/>
          <w:spacing w:val="-28"/>
          <w:sz w:val="22"/>
        </w:rPr>
        <w:t> </w:t>
      </w:r>
      <w:r>
        <w:rPr>
          <w:i/>
          <w:sz w:val="22"/>
        </w:rPr>
        <w:t>works</w:t>
      </w:r>
      <w:r>
        <w:rPr>
          <w:i/>
          <w:spacing w:val="-27"/>
          <w:sz w:val="22"/>
        </w:rPr>
        <w:t> </w:t>
      </w:r>
      <w:r>
        <w:rPr>
          <w:i/>
          <w:sz w:val="22"/>
        </w:rPr>
        <w:t>have </w:t>
      </w:r>
      <w:r>
        <w:rPr>
          <w:i/>
          <w:sz w:val="22"/>
        </w:rPr>
        <w:t>commenced”</w:t>
      </w:r>
    </w:p>
    <w:p>
      <w:pPr>
        <w:pStyle w:val="BodyText"/>
        <w:spacing w:before="10"/>
        <w:rPr>
          <w:i/>
          <w:sz w:val="20"/>
        </w:rPr>
      </w:pPr>
    </w:p>
    <w:p>
      <w:pPr>
        <w:pStyle w:val="ListParagraph"/>
        <w:numPr>
          <w:ilvl w:val="2"/>
          <w:numId w:val="14"/>
        </w:numPr>
        <w:tabs>
          <w:tab w:pos="861" w:val="left" w:leader="none"/>
        </w:tabs>
        <w:spacing w:line="240" w:lineRule="auto" w:before="0" w:after="0"/>
        <w:ind w:left="860" w:right="0" w:hanging="721"/>
        <w:jc w:val="left"/>
        <w:rPr>
          <w:sz w:val="22"/>
        </w:rPr>
      </w:pPr>
      <w:bookmarkStart w:name="_bookmark259" w:id="506"/>
      <w:bookmarkEnd w:id="506"/>
      <w:r>
        <w:rPr/>
      </w:r>
      <w:bookmarkStart w:name="_bookmark259" w:id="507"/>
      <w:bookmarkEnd w:id="507"/>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8"/>
        <w:ind w:left="706" w:right="115"/>
        <w:jc w:val="both"/>
      </w:pPr>
      <w:r>
        <w:rPr/>
        <w:t>Based</w:t>
      </w:r>
      <w:r>
        <w:rPr>
          <w:spacing w:val="-30"/>
        </w:rPr>
        <w:t> </w:t>
      </w:r>
      <w:r>
        <w:rPr/>
        <w:t>on</w:t>
      </w:r>
      <w:r>
        <w:rPr>
          <w:spacing w:val="-31"/>
        </w:rPr>
        <w:t> </w:t>
      </w:r>
      <w:r>
        <w:rPr/>
        <w:t>information/rent</w:t>
      </w:r>
      <w:r>
        <w:rPr>
          <w:spacing w:val="-23"/>
        </w:rPr>
        <w:t> </w:t>
      </w:r>
      <w:r>
        <w:rPr/>
        <w:t>roll</w:t>
      </w:r>
      <w:r>
        <w:rPr>
          <w:spacing w:val="-23"/>
        </w:rPr>
        <w:t> </w:t>
      </w:r>
      <w:r>
        <w:rPr/>
        <w:t>provided</w:t>
      </w:r>
      <w:r>
        <w:rPr>
          <w:spacing w:val="-24"/>
        </w:rPr>
        <w:t> </w:t>
      </w:r>
      <w:r>
        <w:rPr/>
        <w:t>by</w:t>
      </w:r>
      <w:r>
        <w:rPr>
          <w:spacing w:val="-23"/>
        </w:rPr>
        <w:t> </w:t>
      </w:r>
      <w:r>
        <w:rPr/>
        <w:t>the</w:t>
      </w:r>
      <w:r>
        <w:rPr>
          <w:spacing w:val="-24"/>
        </w:rPr>
        <w:t> </w:t>
      </w:r>
      <w:r>
        <w:rPr/>
        <w:t>Client,</w:t>
      </w:r>
      <w:r>
        <w:rPr>
          <w:spacing w:val="-24"/>
        </w:rPr>
        <w:t> </w:t>
      </w:r>
      <w:r>
        <w:rPr/>
        <w:t>we</w:t>
      </w:r>
      <w:r>
        <w:rPr>
          <w:spacing w:val="-24"/>
        </w:rPr>
        <w:t> </w:t>
      </w:r>
      <w:r>
        <w:rPr/>
        <w:t>understand</w:t>
      </w:r>
      <w:r>
        <w:rPr>
          <w:spacing w:val="-24"/>
        </w:rPr>
        <w:t> </w:t>
      </w:r>
      <w:r>
        <w:rPr/>
        <w:t>that</w:t>
      </w:r>
      <w:r>
        <w:rPr>
          <w:spacing w:val="-23"/>
        </w:rPr>
        <w:t> </w:t>
      </w:r>
      <w:r>
        <w:rPr/>
        <w:t>subject</w:t>
      </w:r>
      <w:r>
        <w:rPr>
          <w:spacing w:val="-24"/>
        </w:rPr>
        <w:t> </w:t>
      </w:r>
      <w:r>
        <w:rPr/>
        <w:t>property</w:t>
      </w:r>
      <w:r>
        <w:rPr>
          <w:spacing w:val="-23"/>
        </w:rPr>
        <w:t> </w:t>
      </w:r>
      <w:r>
        <w:rPr/>
        <w:t>is</w:t>
      </w:r>
      <w:r>
        <w:rPr>
          <w:spacing w:val="-23"/>
        </w:rPr>
        <w:t> </w:t>
      </w:r>
      <w:r>
        <w:rPr>
          <w:spacing w:val="3"/>
        </w:rPr>
        <w:t>an</w:t>
      </w:r>
      <w:r>
        <w:rPr>
          <w:spacing w:val="-25"/>
        </w:rPr>
        <w:t> </w:t>
      </w:r>
      <w:r>
        <w:rPr/>
        <w:t>office park.</w:t>
      </w:r>
      <w:r>
        <w:rPr>
          <w:spacing w:val="-15"/>
        </w:rPr>
        <w:t> </w:t>
      </w:r>
      <w:r>
        <w:rPr/>
        <w:t>Further,</w:t>
      </w:r>
      <w:r>
        <w:rPr>
          <w:spacing w:val="-15"/>
        </w:rPr>
        <w:t> </w:t>
      </w:r>
      <w:r>
        <w:rPr/>
        <w:t>the</w:t>
      </w:r>
      <w:r>
        <w:rPr>
          <w:spacing w:val="-14"/>
        </w:rPr>
        <w:t> </w:t>
      </w:r>
      <w:r>
        <w:rPr/>
        <w:t>table</w:t>
      </w:r>
      <w:r>
        <w:rPr>
          <w:spacing w:val="-16"/>
        </w:rPr>
        <w:t> </w:t>
      </w:r>
      <w:r>
        <w:rPr/>
        <w:t>below</w:t>
      </w:r>
      <w:r>
        <w:rPr>
          <w:spacing w:val="-14"/>
        </w:rPr>
        <w:t> </w:t>
      </w:r>
      <w:r>
        <w:rPr/>
        <w:t>highlights</w:t>
      </w:r>
      <w:r>
        <w:rPr>
          <w:spacing w:val="-14"/>
        </w:rPr>
        <w:t> </w:t>
      </w:r>
      <w:r>
        <w:rPr/>
        <w:t>the</w:t>
      </w:r>
      <w:r>
        <w:rPr>
          <w:spacing w:val="-15"/>
        </w:rPr>
        <w:t> </w:t>
      </w:r>
      <w:r>
        <w:rPr/>
        <w:t>area</w:t>
      </w:r>
      <w:r>
        <w:rPr>
          <w:spacing w:val="-15"/>
        </w:rPr>
        <w:t> </w:t>
      </w:r>
      <w:r>
        <w:rPr/>
        <w:t>configuration</w:t>
      </w:r>
      <w:r>
        <w:rPr>
          <w:spacing w:val="-15"/>
        </w:rPr>
        <w:t> </w:t>
      </w:r>
      <w:r>
        <w:rPr/>
        <w:t>of</w:t>
      </w:r>
      <w:r>
        <w:rPr>
          <w:spacing w:val="-14"/>
        </w:rPr>
        <w:t> </w:t>
      </w:r>
      <w:r>
        <w:rPr/>
        <w:t>the</w:t>
      </w:r>
      <w:r>
        <w:rPr>
          <w:spacing w:val="-15"/>
        </w:rPr>
        <w:t> </w:t>
      </w:r>
      <w:r>
        <w:rPr/>
        <w:t>subject</w:t>
      </w:r>
      <w:r>
        <w:rPr>
          <w:spacing w:val="-13"/>
        </w:rPr>
        <w:t> </w:t>
      </w:r>
      <w:r>
        <w:rPr/>
        <w:t>property:</w:t>
      </w:r>
    </w:p>
    <w:p>
      <w:pPr>
        <w:pStyle w:val="BodyText"/>
        <w:spacing w:before="1"/>
        <w:rPr>
          <w:sz w:val="17"/>
        </w:rPr>
      </w:pPr>
      <w:r>
        <w:rPr/>
        <w:pict>
          <v:group style="position:absolute;margin-left:35.279999pt;margin-top:11.884121pt;width:524.3pt;height:14.55pt;mso-position-horizontal-relative:page;mso-position-vertical-relative:paragraph;z-index:-15125504;mso-wrap-distance-left:0;mso-wrap-distance-right:0" coordorigin="706,238" coordsize="10486,291">
            <v:shape style="position:absolute;left:720;top:266;width:10472;height:248" coordorigin="720,266" coordsize="10472,248" path="m11191,266l5055,266,720,266,720,514,5055,514,11191,514,11191,266xe" filled="true" fillcolor="#006a4d" stroked="false">
              <v:path arrowok="t"/>
              <v:fill type="solid"/>
            </v:shape>
            <v:rect style="position:absolute;left:720;top:237;width:4336;height:29" filled="true" fillcolor="#1b6b22" stroked="false">
              <v:fill type="solid"/>
            </v:rect>
            <v:shape style="position:absolute;left:720;top:266;width:4365;height:3" coordorigin="720,266" coordsize="4365,3" path="m5084,266l5055,266,720,266,720,269,5055,269,5084,269,5084,266xe" filled="true" fillcolor="#006a4d" stroked="false">
              <v:path arrowok="t"/>
              <v:fill type="solid"/>
            </v:shape>
            <v:shape style="position:absolute;left:5055;top:237;width:6136;height:29" coordorigin="5055,238" coordsize="6136,29" path="m11191,238l5084,238,5055,238,5055,266,5084,266,11191,266,11191,238xe" filled="true" fillcolor="#1b6b22" stroked="false">
              <v:path arrowok="t"/>
              <v:fill type="solid"/>
            </v:shape>
            <v:rect style="position:absolute;left:5084;top:266;width:6107;height:3" filled="true" fillcolor="#006a4d" stroked="false">
              <v:fill type="solid"/>
            </v:rect>
            <v:shape style="position:absolute;left:720;top:513;width:10472;height:15" coordorigin="720,514" coordsize="10472,15" path="m11191,514l5070,514,5055,514,720,514,720,528,5055,528,5070,528,11191,528,11191,514xe" filled="true" fillcolor="#69bd28" stroked="false">
              <v:path arrowok="t"/>
              <v:fill type="solid"/>
            </v:shape>
            <v:shape style="position:absolute;left:705;top:266;width:10486;height:248" type="#_x0000_t202" filled="false" stroked="false">
              <v:textbox inset="0,0,0,0">
                <w:txbxContent>
                  <w:p>
                    <w:pPr>
                      <w:tabs>
                        <w:tab w:pos="6483" w:val="left" w:leader="none"/>
                      </w:tabs>
                      <w:spacing w:before="20"/>
                      <w:ind w:left="1663" w:right="0" w:firstLine="0"/>
                      <w:jc w:val="left"/>
                      <w:rPr>
                        <w:b/>
                        <w:sz w:val="18"/>
                      </w:rPr>
                    </w:pPr>
                    <w:r>
                      <w:rPr>
                        <w:b/>
                        <w:color w:val="FFFFFF"/>
                        <w:w w:val="105"/>
                        <w:sz w:val="18"/>
                      </w:rPr>
                      <w:t>Component</w:t>
                      <w:tab/>
                      <w:t>Leasable area (in</w:t>
                    </w:r>
                    <w:r>
                      <w:rPr>
                        <w:b/>
                        <w:color w:val="FFFFFF"/>
                        <w:spacing w:val="3"/>
                        <w:w w:val="105"/>
                        <w:sz w:val="18"/>
                      </w:rPr>
                      <w:t> </w:t>
                    </w:r>
                    <w:r>
                      <w:rPr>
                        <w:b/>
                        <w:color w:val="FFFFFF"/>
                        <w:w w:val="105"/>
                        <w:sz w:val="18"/>
                      </w:rPr>
                      <w:t>sf)</w:t>
                    </w:r>
                  </w:p>
                </w:txbxContent>
              </v:textbox>
              <w10:wrap type="none"/>
            </v:shape>
            <w10:wrap type="topAndBottom"/>
          </v:group>
        </w:pict>
      </w:r>
    </w:p>
    <w:p>
      <w:pPr>
        <w:tabs>
          <w:tab w:pos="7118" w:val="left" w:leader="none"/>
        </w:tabs>
        <w:spacing w:before="46" w:after="76"/>
        <w:ind w:left="1602" w:right="0" w:firstLine="0"/>
        <w:jc w:val="left"/>
        <w:rPr>
          <w:sz w:val="18"/>
        </w:rPr>
      </w:pPr>
      <w:r>
        <w:rPr>
          <w:sz w:val="18"/>
        </w:rPr>
        <w:t>Completed</w:t>
      </w:r>
      <w:r>
        <w:rPr>
          <w:spacing w:val="-12"/>
          <w:sz w:val="18"/>
        </w:rPr>
        <w:t> </w:t>
      </w:r>
      <w:r>
        <w:rPr>
          <w:sz w:val="18"/>
        </w:rPr>
        <w:t>Blocks</w:t>
        <w:tab/>
        <w:t>2,517,307</w:t>
      </w:r>
    </w:p>
    <w:p>
      <w:pPr>
        <w:pStyle w:val="BodyText"/>
        <w:spacing w:line="20" w:lineRule="exact"/>
        <w:ind w:left="1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350,0,4335,0,0,0,0,14,4335,14,4350,14,10471,14,10471,0xe" filled="true" fillcolor="#69bd28" stroked="false">
              <v:path arrowok="t"/>
              <v:fill type="solid"/>
            </v:shape>
          </v:group>
        </w:pict>
      </w:r>
      <w:r>
        <w:rPr>
          <w:sz w:val="2"/>
        </w:rPr>
      </w:r>
    </w:p>
    <w:p>
      <w:pPr>
        <w:tabs>
          <w:tab w:pos="7416" w:val="left" w:leader="none"/>
        </w:tabs>
        <w:spacing w:before="60"/>
        <w:ind w:left="1270" w:right="0" w:firstLine="0"/>
        <w:jc w:val="left"/>
        <w:rPr>
          <w:sz w:val="18"/>
        </w:rPr>
      </w:pPr>
      <w:r>
        <w:rPr/>
        <w:pict>
          <v:shape style="position:absolute;margin-left:36pt;margin-top:16.730677pt;width:523.6pt;height:.75pt;mso-position-horizontal-relative:page;mso-position-vertical-relative:paragraph;z-index:-15124480;mso-wrap-distance-left:0;mso-wrap-distance-right:0" coordorigin="720,335" coordsize="10472,15" path="m11191,335l5070,335,5055,335,720,335,720,349,5055,349,5070,349,11191,349,11191,335xe" filled="true" fillcolor="#69bd28" stroked="false">
            <v:path arrowok="t"/>
            <v:fill type="solid"/>
            <w10:wrap type="topAndBottom"/>
          </v:shape>
        </w:pict>
      </w:r>
      <w:r>
        <w:rPr>
          <w:sz w:val="18"/>
        </w:rPr>
        <w:t>Under</w:t>
      </w:r>
      <w:r>
        <w:rPr>
          <w:spacing w:val="-16"/>
          <w:sz w:val="18"/>
        </w:rPr>
        <w:t> </w:t>
      </w:r>
      <w:r>
        <w:rPr>
          <w:sz w:val="18"/>
        </w:rPr>
        <w:t>Construction</w:t>
      </w:r>
      <w:r>
        <w:rPr>
          <w:spacing w:val="-14"/>
          <w:sz w:val="18"/>
        </w:rPr>
        <w:t> </w:t>
      </w:r>
      <w:r>
        <w:rPr>
          <w:sz w:val="18"/>
        </w:rPr>
        <w:t>Blocks</w:t>
        <w:tab/>
        <w:t>NA</w:t>
      </w:r>
    </w:p>
    <w:p>
      <w:pPr>
        <w:tabs>
          <w:tab w:pos="7197" w:val="left" w:leader="none"/>
        </w:tabs>
        <w:spacing w:before="37" w:after="66"/>
        <w:ind w:left="1669" w:right="0" w:firstLine="0"/>
        <w:jc w:val="left"/>
        <w:rPr>
          <w:sz w:val="18"/>
        </w:rPr>
      </w:pPr>
      <w:r>
        <w:rPr>
          <w:sz w:val="18"/>
        </w:rPr>
        <w:t>Proposed</w:t>
      </w:r>
      <w:r>
        <w:rPr>
          <w:spacing w:val="-10"/>
          <w:sz w:val="18"/>
        </w:rPr>
        <w:t> </w:t>
      </w:r>
      <w:r>
        <w:rPr>
          <w:sz w:val="18"/>
        </w:rPr>
        <w:t>Blocks</w:t>
        <w:tab/>
        <w:t>737,000</w:t>
      </w:r>
    </w:p>
    <w:p>
      <w:pPr>
        <w:pStyle w:val="BodyText"/>
        <w:spacing w:line="20" w:lineRule="exact"/>
        <w:ind w:left="1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350,0,4335,0,0,0,0,14,4335,14,4350,14,10471,14,10471,0xe" filled="true" fillcolor="#69bd28" stroked="false">
              <v:path arrowok="t"/>
              <v:fill type="solid"/>
            </v:shape>
          </v:group>
        </w:pict>
      </w:r>
      <w:r>
        <w:rPr>
          <w:sz w:val="2"/>
        </w:rPr>
      </w:r>
    </w:p>
    <w:p>
      <w:pPr>
        <w:tabs>
          <w:tab w:pos="7118" w:val="left" w:leader="none"/>
        </w:tabs>
        <w:spacing w:before="65"/>
        <w:ind w:left="2113" w:right="0" w:firstLine="0"/>
        <w:jc w:val="left"/>
        <w:rPr>
          <w:sz w:val="18"/>
        </w:rPr>
      </w:pPr>
      <w:r>
        <w:rPr/>
        <w:pict>
          <v:shape style="position:absolute;margin-left:35.280003pt;margin-top:17.220669pt;width:524.3pt;height:.75pt;mso-position-horizontal-relative:page;mso-position-vertical-relative:paragraph;z-index:-15123456;mso-wrap-distance-left:0;mso-wrap-distance-right:0" coordorigin="706,344" coordsize="10486,15" path="m11191,344l5055,344,5041,344,706,344,706,359,5041,359,5055,359,11191,359,11191,344xe" filled="true" fillcolor="#69bd28" stroked="false">
            <v:path arrowok="t"/>
            <v:fill type="solid"/>
            <w10:wrap type="topAndBottom"/>
          </v:shape>
        </w:pict>
      </w:r>
      <w:r>
        <w:rPr>
          <w:sz w:val="18"/>
        </w:rPr>
        <w:t>Total</w:t>
        <w:tab/>
        <w:t>3,254,307</w:t>
      </w:r>
    </w:p>
    <w:p>
      <w:pPr>
        <w:spacing w:before="0"/>
        <w:ind w:left="140" w:right="0" w:firstLine="0"/>
        <w:jc w:val="left"/>
        <w:rPr>
          <w:i/>
          <w:sz w:val="18"/>
        </w:rPr>
      </w:pPr>
      <w:r>
        <w:rPr>
          <w:i/>
          <w:sz w:val="18"/>
        </w:rPr>
        <w:t>Source: Architect Certificate and Rent roll provided by Client</w:t>
      </w:r>
    </w:p>
    <w:p>
      <w:pPr>
        <w:spacing w:after="0"/>
        <w:jc w:val="left"/>
        <w:rPr>
          <w:sz w:val="18"/>
        </w:rPr>
        <w:sectPr>
          <w:pgSz w:w="11910" w:h="16840"/>
          <w:pgMar w:header="720" w:footer="921" w:top="1660" w:bottom="1120" w:left="580" w:right="600"/>
        </w:sectPr>
      </w:pPr>
    </w:p>
    <w:p>
      <w:pPr>
        <w:pStyle w:val="BodyText"/>
        <w:spacing w:before="7"/>
        <w:rPr>
          <w:i/>
          <w:sz w:val="9"/>
        </w:rPr>
      </w:pPr>
      <w:r>
        <w:rPr/>
        <w:pict>
          <v:group style="position:absolute;margin-left:36pt;margin-top:254.209991pt;width:540.15pt;height:23.8pt;mso-position-horizontal-relative:page;mso-position-vertical-relative:page;z-index:16336896" coordorigin="720,5084" coordsize="10803,476">
            <v:shape style="position:absolute;left:720;top:5113;width:10803;height:432" coordorigin="720,5113" coordsize="10803,432" path="m2760,5113l720,5113,720,5545,2760,5545,2760,5113xm4786,5113l2760,5113,2760,5545,4786,5545,4786,5113xm7922,5113l6570,5113,6570,5113,4787,5113,4787,5545,6570,5545,6570,5545,7922,5545,7922,5113xm11522,5113l9725,5113,9725,5113,7922,5113,7922,5545,9725,5545,9725,5545,11522,5545,11522,5113xe" filled="true" fillcolor="#006a4d" stroked="false">
              <v:path arrowok="t"/>
              <v:fill type="solid"/>
            </v:shape>
            <v:rect style="position:absolute;left:720;top:5084;width:2041;height:29" filled="true" fillcolor="#1b6b22" stroked="false">
              <v:fill type="solid"/>
            </v:rect>
            <v:shape style="position:absolute;left:720;top:5113;width:2070;height:3" coordorigin="720,5113" coordsize="2070,3" path="m2760,5113l720,5113,720,5115,2760,5115,2760,5113xm2789,5113l2760,5113,2760,5115,2789,5115,2789,5113xe" filled="true" fillcolor="#006a4d" stroked="false">
              <v:path arrowok="t"/>
              <v:fill type="solid"/>
            </v:shape>
            <v:shape style="position:absolute;left:2760;top:5084;width:2027;height:29" coordorigin="2760,5084" coordsize="2027,29" path="m4786,5084l2789,5084,2760,5084,2760,5113,2789,5113,4786,5113,4786,5084xe" filled="true" fillcolor="#1b6b22" stroked="false">
              <v:path arrowok="t"/>
              <v:fill type="solid"/>
            </v:shape>
            <v:shape style="position:absolute;left:2789;top:5113;width:2027;height:3" coordorigin="2789,5113" coordsize="2027,3" path="m4786,5113l2789,5113,2789,5115,4786,5115,4786,5113xm4815,5113l4787,5113,4787,5115,4815,5115,4815,5113xe" filled="true" fillcolor="#006a4d" stroked="false">
              <v:path arrowok="t"/>
              <v:fill type="solid"/>
            </v:shape>
            <v:shape style="position:absolute;left:4786;top:5084;width:1784;height:29" coordorigin="4787,5084" coordsize="1784,29" path="m6570,5084l4815,5084,4787,5084,4787,5113,4815,5113,6570,5113,6570,5084xe" filled="true" fillcolor="#1b6b22" stroked="false">
              <v:path arrowok="t"/>
              <v:fill type="solid"/>
            </v:shape>
            <v:shape style="position:absolute;left:4815;top:5113;width:1784;height:3" coordorigin="4815,5113" coordsize="1784,3" path="m6599,5113l6570,5113,4815,5113,4815,5115,6570,5115,6599,5115,6599,5113xe" filled="true" fillcolor="#006a4d" stroked="false">
              <v:path arrowok="t"/>
              <v:fill type="solid"/>
            </v:shape>
            <v:shape style="position:absolute;left:6570;top:5084;width:1352;height:29" coordorigin="6570,5084" coordsize="1352,29" path="m7922,5084l6599,5084,6570,5084,6570,5113,6599,5113,7922,5113,7922,5084xe" filled="true" fillcolor="#1b6b22" stroked="false">
              <v:path arrowok="t"/>
              <v:fill type="solid"/>
            </v:shape>
            <v:shape style="position:absolute;left:6599;top:5113;width:1352;height:3" coordorigin="6599,5113" coordsize="1352,3" path="m7922,5113l6599,5113,6599,5115,7922,5115,7922,5113xm7951,5113l7922,5113,7922,5115,7951,5115,7951,5113xe" filled="true" fillcolor="#006a4d" stroked="false">
              <v:path arrowok="t"/>
              <v:fill type="solid"/>
            </v:shape>
            <v:shape style="position:absolute;left:7922;top:5084;width:1803;height:29" coordorigin="7922,5084" coordsize="1803,29" path="m9725,5084l7951,5084,7922,5084,7922,5113,7951,5113,9725,5113,9725,5084xe" filled="true" fillcolor="#1b6b22" stroked="false">
              <v:path arrowok="t"/>
              <v:fill type="solid"/>
            </v:shape>
            <v:shape style="position:absolute;left:7950;top:5113;width:1803;height:3" coordorigin="7951,5113" coordsize="1803,3" path="m9754,5113l9725,5113,7951,5113,7951,5115,9725,5115,9754,5115,9754,5113xe" filled="true" fillcolor="#006a4d" stroked="false">
              <v:path arrowok="t"/>
              <v:fill type="solid"/>
            </v:shape>
            <v:shape style="position:absolute;left:9724;top:5084;width:1798;height:29" coordorigin="9725,5084" coordsize="1798,29" path="m11522,5084l9754,5084,9725,5084,9725,5113,9754,5113,11522,5113,11522,5084xe" filled="true" fillcolor="#1b6b22" stroked="false">
              <v:path arrowok="t"/>
              <v:fill type="solid"/>
            </v:shape>
            <v:rect style="position:absolute;left:9753;top:5113;width:1769;height:3" filled="true" fillcolor="#006a4d" stroked="false">
              <v:fill type="solid"/>
            </v:rect>
            <v:shape style="position:absolute;left:720;top:5545;width:10803;height:15" coordorigin="720,5545" coordsize="10803,15" path="m2760,5545l720,5545,720,5559,2760,5559,2760,5545xm4786,5545l2775,5545,2760,5545,2760,5559,2775,5559,4786,5559,4786,5545xm7922,5545l6585,5545,6570,5545,6570,5545,4801,5545,4787,5545,4787,5559,4801,5559,6570,5559,6570,5559,6585,5559,7922,5559,7922,5545xm11522,5545l9739,5545,9725,5545,9725,5545,7936,5545,7922,5545,7922,5559,7936,5559,9725,5559,9725,5559,9739,5559,11522,5559,11522,5545xe" filled="true" fillcolor="#69bd28" stroked="false">
              <v:path arrowok="t"/>
              <v:fill type="solid"/>
            </v:shape>
            <v:shape style="position:absolute;left:1495;top:5220;width:510;height:216" type="#_x0000_t202" filled="false" stroked="false">
              <v:textbox inset="0,0,0,0">
                <w:txbxContent>
                  <w:p>
                    <w:pPr>
                      <w:spacing w:before="4"/>
                      <w:ind w:left="0" w:right="0" w:firstLine="0"/>
                      <w:jc w:val="left"/>
                      <w:rPr>
                        <w:b/>
                        <w:sz w:val="18"/>
                      </w:rPr>
                    </w:pPr>
                    <w:r>
                      <w:rPr>
                        <w:b/>
                        <w:color w:val="FFFFFF"/>
                        <w:w w:val="110"/>
                        <w:sz w:val="18"/>
                      </w:rPr>
                      <w:t>Block</w:t>
                    </w:r>
                  </w:p>
                </w:txbxContent>
              </v:textbox>
              <w10:wrap type="none"/>
            </v:shape>
            <v:shape style="position:absolute;left:2947;top:5112;width:3476;height:432" type="#_x0000_t202" filled="false" stroked="false">
              <v:textbox inset="0,0,0,0">
                <w:txbxContent>
                  <w:p>
                    <w:pPr>
                      <w:tabs>
                        <w:tab w:pos="2170" w:val="left" w:leader="none"/>
                      </w:tabs>
                      <w:spacing w:line="269" w:lineRule="exact" w:before="2"/>
                      <w:ind w:left="0" w:right="0" w:firstLine="0"/>
                      <w:jc w:val="left"/>
                      <w:rPr>
                        <w:b/>
                        <w:sz w:val="18"/>
                      </w:rPr>
                    </w:pPr>
                    <w:r>
                      <w:rPr>
                        <w:b/>
                        <w:color w:val="FFFFFF"/>
                        <w:w w:val="105"/>
                        <w:sz w:val="18"/>
                      </w:rPr>
                      <w:t>Leasable</w:t>
                    </w:r>
                    <w:r>
                      <w:rPr>
                        <w:b/>
                        <w:color w:val="FFFFFF"/>
                        <w:spacing w:val="10"/>
                        <w:w w:val="105"/>
                        <w:sz w:val="18"/>
                      </w:rPr>
                      <w:t> </w:t>
                    </w:r>
                    <w:r>
                      <w:rPr>
                        <w:b/>
                        <w:color w:val="FFFFFF"/>
                        <w:w w:val="105"/>
                        <w:sz w:val="18"/>
                      </w:rPr>
                      <w:t>Area</w:t>
                    </w:r>
                    <w:r>
                      <w:rPr>
                        <w:b/>
                        <w:color w:val="FFFFFF"/>
                        <w:spacing w:val="14"/>
                        <w:w w:val="105"/>
                        <w:sz w:val="18"/>
                      </w:rPr>
                      <w:t> </w:t>
                    </w:r>
                    <w:r>
                      <w:rPr>
                        <w:b/>
                        <w:color w:val="FFFFFF"/>
                        <w:w w:val="105"/>
                        <w:sz w:val="18"/>
                      </w:rPr>
                      <w:t>(sf)</w:t>
                      <w:tab/>
                    </w:r>
                    <w:r>
                      <w:rPr>
                        <w:b/>
                        <w:color w:val="FFFFFF"/>
                        <w:w w:val="105"/>
                        <w:position w:val="11"/>
                        <w:sz w:val="18"/>
                      </w:rPr>
                      <w:t>Construction</w:t>
                    </w:r>
                  </w:p>
                  <w:p>
                    <w:pPr>
                      <w:spacing w:line="159" w:lineRule="exact" w:before="0"/>
                      <w:ind w:left="2004" w:right="0" w:firstLine="0"/>
                      <w:jc w:val="left"/>
                      <w:rPr>
                        <w:b/>
                        <w:sz w:val="18"/>
                      </w:rPr>
                    </w:pPr>
                    <w:r>
                      <w:rPr>
                        <w:b/>
                        <w:color w:val="FFFFFF"/>
                        <w:w w:val="105"/>
                        <w:sz w:val="18"/>
                      </w:rPr>
                      <w:t>Commencement</w:t>
                    </w:r>
                  </w:p>
                </w:txbxContent>
              </v:textbox>
              <w10:wrap type="none"/>
            </v:shape>
            <v:shape style="position:absolute;left:6683;top:5112;width:1141;height:432" type="#_x0000_t202" filled="false" stroked="false">
              <v:textbox inset="0,0,0,0">
                <w:txbxContent>
                  <w:p>
                    <w:pPr>
                      <w:spacing w:line="247" w:lineRule="auto" w:before="4"/>
                      <w:ind w:left="45" w:right="0" w:hanging="46"/>
                      <w:jc w:val="left"/>
                      <w:rPr>
                        <w:b/>
                        <w:sz w:val="18"/>
                      </w:rPr>
                    </w:pPr>
                    <w:r>
                      <w:rPr>
                        <w:b/>
                        <w:color w:val="FFFFFF"/>
                        <w:sz w:val="18"/>
                      </w:rPr>
                      <w:t>Construction </w:t>
                    </w:r>
                    <w:r>
                      <w:rPr>
                        <w:b/>
                        <w:color w:val="FFFFFF"/>
                        <w:w w:val="105"/>
                        <w:sz w:val="18"/>
                      </w:rPr>
                      <w:t>Completion</w:t>
                    </w:r>
                  </w:p>
                </w:txbxContent>
              </v:textbox>
              <w10:wrap type="none"/>
            </v:shape>
            <v:shape style="position:absolute;left:8054;top:5112;width:1559;height:432" type="#_x0000_t202" filled="false" stroked="false">
              <v:textbox inset="0,0,0,0">
                <w:txbxContent>
                  <w:p>
                    <w:pPr>
                      <w:spacing w:line="247" w:lineRule="auto" w:before="4"/>
                      <w:ind w:left="0" w:right="22" w:firstLine="208"/>
                      <w:jc w:val="left"/>
                      <w:rPr>
                        <w:b/>
                        <w:sz w:val="18"/>
                      </w:rPr>
                    </w:pPr>
                    <w:r>
                      <w:rPr>
                        <w:b/>
                        <w:color w:val="FFFFFF"/>
                        <w:w w:val="105"/>
                        <w:sz w:val="18"/>
                      </w:rPr>
                      <w:t>Construction (%</w:t>
                    </w:r>
                    <w:r>
                      <w:rPr>
                        <w:b/>
                        <w:color w:val="FFFFFF"/>
                        <w:spacing w:val="2"/>
                        <w:w w:val="105"/>
                        <w:sz w:val="18"/>
                      </w:rPr>
                      <w:t> </w:t>
                    </w:r>
                    <w:r>
                      <w:rPr>
                        <w:b/>
                        <w:color w:val="FFFFFF"/>
                        <w:spacing w:val="-3"/>
                        <w:w w:val="105"/>
                        <w:sz w:val="18"/>
                      </w:rPr>
                      <w:t>completion)**</w:t>
                    </w:r>
                  </w:p>
                </w:txbxContent>
              </v:textbox>
              <w10:wrap type="none"/>
            </v:shape>
            <v:shape style="position:absolute;left:10063;top:5112;width:1141;height:432" type="#_x0000_t202" filled="false" stroked="false">
              <v:textbox inset="0,0,0,0">
                <w:txbxContent>
                  <w:p>
                    <w:pPr>
                      <w:spacing w:line="247" w:lineRule="auto" w:before="4"/>
                      <w:ind w:left="283" w:right="0" w:hanging="284"/>
                      <w:jc w:val="left"/>
                      <w:rPr>
                        <w:b/>
                        <w:sz w:val="18"/>
                      </w:rPr>
                    </w:pPr>
                    <w:r>
                      <w:rPr>
                        <w:b/>
                        <w:color w:val="FFFFFF"/>
                        <w:sz w:val="18"/>
                      </w:rPr>
                      <w:t>Construction </w:t>
                    </w:r>
                    <w:r>
                      <w:rPr>
                        <w:b/>
                        <w:color w:val="FFFFFF"/>
                        <w:w w:val="105"/>
                        <w:sz w:val="18"/>
                      </w:rPr>
                      <w:t>Status</w:t>
                    </w:r>
                  </w:p>
                </w:txbxContent>
              </v:textbox>
              <w10:wrap type="none"/>
            </v:shape>
            <w10:wrap type="none"/>
          </v:group>
        </w:pict>
      </w:r>
      <w:r>
        <w:rPr/>
        <w:pict>
          <v:rect style="position:absolute;margin-left:35.280003pt;margin-top:294.409973pt;width:540.840026pt;height:.72pt;mso-position-horizontal-relative:page;mso-position-vertical-relative:page;z-index:16337408" filled="true" fillcolor="#69bd28" stroked="false">
            <v:fill type="solid"/>
            <w10:wrap type="none"/>
          </v:rect>
        </w:pict>
      </w:r>
    </w:p>
    <w:p>
      <w:pPr>
        <w:pStyle w:val="ListParagraph"/>
        <w:numPr>
          <w:ilvl w:val="2"/>
          <w:numId w:val="14"/>
        </w:numPr>
        <w:tabs>
          <w:tab w:pos="861" w:val="left" w:leader="none"/>
        </w:tabs>
        <w:spacing w:line="240" w:lineRule="auto" w:before="106" w:after="0"/>
        <w:ind w:left="860" w:right="0" w:hanging="721"/>
        <w:jc w:val="both"/>
        <w:rPr>
          <w:sz w:val="22"/>
        </w:rPr>
      </w:pPr>
      <w:bookmarkStart w:name="_bookmark260" w:id="508"/>
      <w:bookmarkEnd w:id="508"/>
      <w:r>
        <w:rPr/>
      </w:r>
      <w:bookmarkStart w:name="_bookmark260" w:id="509"/>
      <w:bookmarkEnd w:id="509"/>
      <w:r>
        <w:rPr>
          <w:color w:val="1F664D"/>
          <w:sz w:val="22"/>
        </w:rPr>
        <w:t>Con</w:t>
      </w:r>
      <w:r>
        <w:rPr>
          <w:color w:val="1F664D"/>
          <w:sz w:val="22"/>
        </w:rPr>
        <w:t>struction Timelines</w:t>
      </w:r>
    </w:p>
    <w:p>
      <w:pPr>
        <w:pStyle w:val="BodyText"/>
        <w:spacing w:before="6"/>
        <w:rPr>
          <w:sz w:val="25"/>
        </w:rPr>
      </w:pPr>
    </w:p>
    <w:p>
      <w:pPr>
        <w:pStyle w:val="ListParagraph"/>
        <w:numPr>
          <w:ilvl w:val="3"/>
          <w:numId w:val="68"/>
        </w:numPr>
        <w:tabs>
          <w:tab w:pos="1005" w:val="left" w:leader="none"/>
        </w:tabs>
        <w:spacing w:line="240" w:lineRule="auto" w:before="1" w:after="0"/>
        <w:ind w:left="1004" w:right="0" w:hanging="865"/>
        <w:jc w:val="both"/>
        <w:rPr>
          <w:i/>
          <w:sz w:val="20"/>
        </w:rPr>
      </w:pPr>
      <w:r>
        <w:rPr>
          <w:i/>
          <w:color w:val="008000"/>
          <w:sz w:val="20"/>
        </w:rPr>
        <w:t>Completed</w:t>
      </w:r>
      <w:r>
        <w:rPr>
          <w:i/>
          <w:color w:val="008000"/>
          <w:spacing w:val="-3"/>
          <w:sz w:val="20"/>
        </w:rPr>
        <w:t> </w:t>
      </w:r>
      <w:r>
        <w:rPr>
          <w:i/>
          <w:color w:val="008000"/>
          <w:sz w:val="20"/>
        </w:rPr>
        <w:t>Blocks</w:t>
      </w:r>
    </w:p>
    <w:p>
      <w:pPr>
        <w:pStyle w:val="BodyText"/>
        <w:spacing w:line="321" w:lineRule="auto" w:before="75"/>
        <w:ind w:left="706" w:right="115"/>
        <w:jc w:val="both"/>
      </w:pPr>
      <w:r>
        <w:rPr/>
        <w:t>As</w:t>
      </w:r>
      <w:r>
        <w:rPr>
          <w:spacing w:val="-21"/>
        </w:rPr>
        <w:t> </w:t>
      </w:r>
      <w:r>
        <w:rPr/>
        <w:t>highlighted</w:t>
      </w:r>
      <w:r>
        <w:rPr>
          <w:spacing w:val="-22"/>
        </w:rPr>
        <w:t> </w:t>
      </w:r>
      <w:r>
        <w:rPr/>
        <w:t>earlier,</w:t>
      </w:r>
      <w:r>
        <w:rPr>
          <w:spacing w:val="-22"/>
        </w:rPr>
        <w:t> </w:t>
      </w:r>
      <w:r>
        <w:rPr/>
        <w:t>the</w:t>
      </w:r>
      <w:r>
        <w:rPr>
          <w:spacing w:val="-23"/>
        </w:rPr>
        <w:t> </w:t>
      </w:r>
      <w:r>
        <w:rPr/>
        <w:t>subject</w:t>
      </w:r>
      <w:r>
        <w:rPr>
          <w:spacing w:val="-21"/>
        </w:rPr>
        <w:t> </w:t>
      </w:r>
      <w:r>
        <w:rPr/>
        <w:t>property</w:t>
      </w:r>
      <w:r>
        <w:rPr>
          <w:spacing w:val="-21"/>
        </w:rPr>
        <w:t> </w:t>
      </w:r>
      <w:r>
        <w:rPr/>
        <w:t>has</w:t>
      </w:r>
      <w:r>
        <w:rPr>
          <w:spacing w:val="-21"/>
        </w:rPr>
        <w:t> </w:t>
      </w:r>
      <w:r>
        <w:rPr/>
        <w:t>approx.</w:t>
      </w:r>
      <w:r>
        <w:rPr>
          <w:spacing w:val="-18"/>
        </w:rPr>
        <w:t> </w:t>
      </w:r>
      <w:r>
        <w:rPr/>
        <w:t>2.52</w:t>
      </w:r>
      <w:r>
        <w:rPr>
          <w:spacing w:val="-22"/>
        </w:rPr>
        <w:t> </w:t>
      </w:r>
      <w:r>
        <w:rPr/>
        <w:t>msf</w:t>
      </w:r>
      <w:r>
        <w:rPr>
          <w:spacing w:val="-22"/>
        </w:rPr>
        <w:t> </w:t>
      </w:r>
      <w:r>
        <w:rPr/>
        <w:t>of</w:t>
      </w:r>
      <w:r>
        <w:rPr>
          <w:spacing w:val="-21"/>
        </w:rPr>
        <w:t> </w:t>
      </w:r>
      <w:r>
        <w:rPr/>
        <w:t>completed</w:t>
      </w:r>
      <w:r>
        <w:rPr>
          <w:spacing w:val="-22"/>
        </w:rPr>
        <w:t> </w:t>
      </w:r>
      <w:r>
        <w:rPr/>
        <w:t>development</w:t>
      </w:r>
      <w:r>
        <w:rPr>
          <w:spacing w:val="-21"/>
        </w:rPr>
        <w:t> </w:t>
      </w:r>
      <w:r>
        <w:rPr/>
        <w:t>as</w:t>
      </w:r>
      <w:r>
        <w:rPr>
          <w:spacing w:val="-21"/>
        </w:rPr>
        <w:t> </w:t>
      </w:r>
      <w:r>
        <w:rPr/>
        <w:t>of</w:t>
      </w:r>
      <w:r>
        <w:rPr>
          <w:spacing w:val="-22"/>
        </w:rPr>
        <w:t> </w:t>
      </w:r>
      <w:r>
        <w:rPr/>
        <w:t>date </w:t>
      </w:r>
      <w:r>
        <w:rPr>
          <w:w w:val="95"/>
        </w:rPr>
        <w:t>of</w:t>
      </w:r>
      <w:r>
        <w:rPr>
          <w:spacing w:val="-15"/>
          <w:w w:val="95"/>
        </w:rPr>
        <w:t> </w:t>
      </w:r>
      <w:r>
        <w:rPr>
          <w:w w:val="95"/>
        </w:rPr>
        <w:t>valuation.</w:t>
      </w:r>
      <w:r>
        <w:rPr>
          <w:spacing w:val="-16"/>
          <w:w w:val="95"/>
        </w:rPr>
        <w:t> </w:t>
      </w:r>
      <w:r>
        <w:rPr>
          <w:w w:val="95"/>
        </w:rPr>
        <w:t>Further,</w:t>
      </w:r>
      <w:r>
        <w:rPr>
          <w:spacing w:val="-14"/>
          <w:w w:val="95"/>
        </w:rPr>
        <w:t> </w:t>
      </w:r>
      <w:r>
        <w:rPr>
          <w:w w:val="95"/>
        </w:rPr>
        <w:t>as</w:t>
      </w:r>
      <w:r>
        <w:rPr>
          <w:spacing w:val="-17"/>
          <w:w w:val="95"/>
        </w:rPr>
        <w:t> </w:t>
      </w:r>
      <w:r>
        <w:rPr>
          <w:w w:val="95"/>
        </w:rPr>
        <w:t>highlighted</w:t>
      </w:r>
      <w:r>
        <w:rPr>
          <w:spacing w:val="-16"/>
          <w:w w:val="95"/>
        </w:rPr>
        <w:t> </w:t>
      </w:r>
      <w:r>
        <w:rPr>
          <w:w w:val="95"/>
        </w:rPr>
        <w:t>earlier,</w:t>
      </w:r>
      <w:r>
        <w:rPr>
          <w:spacing w:val="-16"/>
          <w:w w:val="95"/>
        </w:rPr>
        <w:t> </w:t>
      </w:r>
      <w:r>
        <w:rPr>
          <w:w w:val="95"/>
        </w:rPr>
        <w:t>occupancy</w:t>
      </w:r>
      <w:r>
        <w:rPr>
          <w:spacing w:val="-14"/>
          <w:w w:val="95"/>
        </w:rPr>
        <w:t> </w:t>
      </w:r>
      <w:r>
        <w:rPr>
          <w:w w:val="95"/>
        </w:rPr>
        <w:t>certificate</w:t>
      </w:r>
      <w:r>
        <w:rPr>
          <w:spacing w:val="-15"/>
          <w:w w:val="95"/>
        </w:rPr>
        <w:t> </w:t>
      </w:r>
      <w:r>
        <w:rPr>
          <w:w w:val="95"/>
        </w:rPr>
        <w:t>for</w:t>
      </w:r>
      <w:r>
        <w:rPr>
          <w:spacing w:val="-18"/>
          <w:w w:val="95"/>
        </w:rPr>
        <w:t> </w:t>
      </w:r>
      <w:r>
        <w:rPr>
          <w:w w:val="95"/>
        </w:rPr>
        <w:t>Tower</w:t>
      </w:r>
      <w:r>
        <w:rPr>
          <w:spacing w:val="-16"/>
          <w:w w:val="95"/>
        </w:rPr>
        <w:t> </w:t>
      </w:r>
      <w:r>
        <w:rPr>
          <w:w w:val="95"/>
        </w:rPr>
        <w:t>2</w:t>
      </w:r>
      <w:r>
        <w:rPr>
          <w:spacing w:val="-18"/>
          <w:w w:val="95"/>
        </w:rPr>
        <w:t> </w:t>
      </w:r>
      <w:r>
        <w:rPr>
          <w:w w:val="95"/>
        </w:rPr>
        <w:t>has</w:t>
      </w:r>
      <w:r>
        <w:rPr>
          <w:spacing w:val="-16"/>
          <w:w w:val="95"/>
        </w:rPr>
        <w:t> </w:t>
      </w:r>
      <w:r>
        <w:rPr>
          <w:w w:val="95"/>
        </w:rPr>
        <w:t>been</w:t>
      </w:r>
      <w:r>
        <w:rPr>
          <w:spacing w:val="-16"/>
          <w:w w:val="95"/>
        </w:rPr>
        <w:t> </w:t>
      </w:r>
      <w:r>
        <w:rPr>
          <w:w w:val="95"/>
        </w:rPr>
        <w:t>recently</w:t>
      </w:r>
      <w:r>
        <w:rPr>
          <w:spacing w:val="-14"/>
          <w:w w:val="95"/>
        </w:rPr>
        <w:t> </w:t>
      </w:r>
      <w:r>
        <w:rPr>
          <w:w w:val="95"/>
        </w:rPr>
        <w:t>received. </w:t>
      </w:r>
      <w:r>
        <w:rPr/>
        <w:t>However,</w:t>
      </w:r>
      <w:r>
        <w:rPr>
          <w:spacing w:val="-24"/>
        </w:rPr>
        <w:t> </w:t>
      </w:r>
      <w:r>
        <w:rPr/>
        <w:t>there</w:t>
      </w:r>
      <w:r>
        <w:rPr>
          <w:spacing w:val="-24"/>
        </w:rPr>
        <w:t> </w:t>
      </w:r>
      <w:r>
        <w:rPr/>
        <w:t>is</w:t>
      </w:r>
      <w:r>
        <w:rPr>
          <w:spacing w:val="-23"/>
        </w:rPr>
        <w:t> </w:t>
      </w:r>
      <w:r>
        <w:rPr/>
        <w:t>a</w:t>
      </w:r>
      <w:r>
        <w:rPr>
          <w:spacing w:val="-24"/>
        </w:rPr>
        <w:t> </w:t>
      </w:r>
      <w:r>
        <w:rPr/>
        <w:t>cost</w:t>
      </w:r>
      <w:r>
        <w:rPr>
          <w:spacing w:val="-23"/>
        </w:rPr>
        <w:t> </w:t>
      </w:r>
      <w:r>
        <w:rPr/>
        <w:t>of</w:t>
      </w:r>
      <w:r>
        <w:rPr>
          <w:spacing w:val="-23"/>
        </w:rPr>
        <w:t> </w:t>
      </w:r>
      <w:r>
        <w:rPr/>
        <w:t>INR</w:t>
      </w:r>
      <w:r>
        <w:rPr>
          <w:spacing w:val="-24"/>
        </w:rPr>
        <w:t> </w:t>
      </w:r>
      <w:r>
        <w:rPr/>
        <w:t>381.87</w:t>
      </w:r>
      <w:r>
        <w:rPr>
          <w:spacing w:val="-26"/>
        </w:rPr>
        <w:t> </w:t>
      </w:r>
      <w:r>
        <w:rPr/>
        <w:t>Mn</w:t>
      </w:r>
      <w:r>
        <w:rPr>
          <w:spacing w:val="-24"/>
        </w:rPr>
        <w:t> </w:t>
      </w:r>
      <w:r>
        <w:rPr/>
        <w:t>pending</w:t>
      </w:r>
      <w:r>
        <w:rPr>
          <w:spacing w:val="-24"/>
        </w:rPr>
        <w:t> </w:t>
      </w:r>
      <w:r>
        <w:rPr/>
        <w:t>to</w:t>
      </w:r>
      <w:r>
        <w:rPr>
          <w:spacing w:val="-24"/>
        </w:rPr>
        <w:t> </w:t>
      </w:r>
      <w:r>
        <w:rPr/>
        <w:t>be</w:t>
      </w:r>
      <w:r>
        <w:rPr>
          <w:spacing w:val="-26"/>
        </w:rPr>
        <w:t> </w:t>
      </w:r>
      <w:r>
        <w:rPr/>
        <w:t>spent</w:t>
      </w:r>
      <w:r>
        <w:rPr>
          <w:spacing w:val="-26"/>
        </w:rPr>
        <w:t> </w:t>
      </w:r>
      <w:r>
        <w:rPr/>
        <w:t>towards</w:t>
      </w:r>
      <w:r>
        <w:rPr>
          <w:spacing w:val="-24"/>
        </w:rPr>
        <w:t> </w:t>
      </w:r>
      <w:r>
        <w:rPr/>
        <w:t>the</w:t>
      </w:r>
      <w:r>
        <w:rPr>
          <w:spacing w:val="-24"/>
        </w:rPr>
        <w:t> </w:t>
      </w:r>
      <w:r>
        <w:rPr/>
        <w:t>same</w:t>
      </w:r>
      <w:r>
        <w:rPr>
          <w:spacing w:val="-23"/>
        </w:rPr>
        <w:t> </w:t>
      </w:r>
      <w:r>
        <w:rPr/>
        <w:t>as</w:t>
      </w:r>
      <w:r>
        <w:rPr>
          <w:spacing w:val="-23"/>
        </w:rPr>
        <w:t> </w:t>
      </w:r>
      <w:r>
        <w:rPr/>
        <w:t>of</w:t>
      </w:r>
      <w:r>
        <w:rPr>
          <w:spacing w:val="-23"/>
        </w:rPr>
        <w:t> </w:t>
      </w:r>
      <w:r>
        <w:rPr/>
        <w:t>date</w:t>
      </w:r>
      <w:r>
        <w:rPr>
          <w:spacing w:val="-24"/>
        </w:rPr>
        <w:t> </w:t>
      </w:r>
      <w:r>
        <w:rPr/>
        <w:t>of</w:t>
      </w:r>
      <w:r>
        <w:rPr>
          <w:spacing w:val="-24"/>
        </w:rPr>
        <w:t> </w:t>
      </w:r>
      <w:r>
        <w:rPr/>
        <w:t>valuation.</w:t>
      </w:r>
    </w:p>
    <w:p>
      <w:pPr>
        <w:pStyle w:val="BodyText"/>
        <w:spacing w:before="2"/>
        <w:rPr>
          <w:sz w:val="23"/>
        </w:rPr>
      </w:pPr>
    </w:p>
    <w:p>
      <w:pPr>
        <w:pStyle w:val="ListParagraph"/>
        <w:numPr>
          <w:ilvl w:val="3"/>
          <w:numId w:val="68"/>
        </w:numPr>
        <w:tabs>
          <w:tab w:pos="1005" w:val="left" w:leader="none"/>
        </w:tabs>
        <w:spacing w:line="240" w:lineRule="auto" w:before="0" w:after="0"/>
        <w:ind w:left="1004" w:right="0" w:hanging="865"/>
        <w:jc w:val="left"/>
        <w:rPr>
          <w:i/>
          <w:sz w:val="20"/>
        </w:rPr>
      </w:pPr>
      <w:r>
        <w:rPr>
          <w:i/>
          <w:color w:val="008000"/>
          <w:sz w:val="20"/>
        </w:rPr>
        <w:t>Under-Construction/ Proposed</w:t>
      </w:r>
      <w:r>
        <w:rPr>
          <w:i/>
          <w:color w:val="008000"/>
          <w:spacing w:val="-9"/>
          <w:sz w:val="20"/>
        </w:rPr>
        <w:t> </w:t>
      </w:r>
      <w:r>
        <w:rPr>
          <w:i/>
          <w:color w:val="008000"/>
          <w:sz w:val="20"/>
        </w:rPr>
        <w:t>Blocks</w:t>
      </w:r>
    </w:p>
    <w:p>
      <w:pPr>
        <w:pStyle w:val="BodyText"/>
        <w:spacing w:line="321" w:lineRule="auto" w:before="76"/>
        <w:ind w:left="706" w:right="119"/>
        <w:jc w:val="both"/>
      </w:pPr>
      <w:r>
        <w:rPr/>
        <w:t>Based</w:t>
      </w:r>
      <w:r>
        <w:rPr>
          <w:spacing w:val="-37"/>
        </w:rPr>
        <w:t> </w:t>
      </w:r>
      <w:r>
        <w:rPr/>
        <w:t>on</w:t>
      </w:r>
      <w:r>
        <w:rPr>
          <w:spacing w:val="-35"/>
        </w:rPr>
        <w:t> </w:t>
      </w:r>
      <w:r>
        <w:rPr/>
        <w:t>information</w:t>
      </w:r>
      <w:r>
        <w:rPr>
          <w:spacing w:val="-37"/>
        </w:rPr>
        <w:t> </w:t>
      </w:r>
      <w:r>
        <w:rPr/>
        <w:t>provided</w:t>
      </w:r>
      <w:r>
        <w:rPr>
          <w:spacing w:val="-37"/>
        </w:rPr>
        <w:t> </w:t>
      </w:r>
      <w:r>
        <w:rPr/>
        <w:t>by</w:t>
      </w:r>
      <w:r>
        <w:rPr>
          <w:spacing w:val="-36"/>
        </w:rPr>
        <w:t> </w:t>
      </w:r>
      <w:r>
        <w:rPr/>
        <w:t>the</w:t>
      </w:r>
      <w:r>
        <w:rPr>
          <w:spacing w:val="-38"/>
        </w:rPr>
        <w:t> </w:t>
      </w:r>
      <w:r>
        <w:rPr/>
        <w:t>Client,</w:t>
      </w:r>
      <w:r>
        <w:rPr>
          <w:spacing w:val="-35"/>
        </w:rPr>
        <w:t> </w:t>
      </w:r>
      <w:r>
        <w:rPr/>
        <w:t>the</w:t>
      </w:r>
      <w:r>
        <w:rPr>
          <w:spacing w:val="-36"/>
        </w:rPr>
        <w:t> </w:t>
      </w:r>
      <w:r>
        <w:rPr/>
        <w:t>following</w:t>
      </w:r>
      <w:r>
        <w:rPr>
          <w:spacing w:val="-35"/>
        </w:rPr>
        <w:t> </w:t>
      </w:r>
      <w:r>
        <w:rPr/>
        <w:t>timelines</w:t>
      </w:r>
      <w:r>
        <w:rPr>
          <w:spacing w:val="-37"/>
        </w:rPr>
        <w:t> </w:t>
      </w:r>
      <w:r>
        <w:rPr/>
        <w:t>for</w:t>
      </w:r>
      <w:r>
        <w:rPr>
          <w:spacing w:val="-35"/>
        </w:rPr>
        <w:t> </w:t>
      </w:r>
      <w:r>
        <w:rPr/>
        <w:t>construction</w:t>
      </w:r>
      <w:r>
        <w:rPr>
          <w:spacing w:val="-36"/>
        </w:rPr>
        <w:t> </w:t>
      </w:r>
      <w:r>
        <w:rPr/>
        <w:t>have</w:t>
      </w:r>
      <w:r>
        <w:rPr>
          <w:spacing w:val="-36"/>
        </w:rPr>
        <w:t> </w:t>
      </w:r>
      <w:r>
        <w:rPr/>
        <w:t>been</w:t>
      </w:r>
      <w:r>
        <w:rPr>
          <w:spacing w:val="-35"/>
        </w:rPr>
        <w:t> </w:t>
      </w:r>
      <w:r>
        <w:rPr/>
        <w:t>adopted for the purpose of this valuation</w:t>
      </w:r>
      <w:r>
        <w:rPr>
          <w:spacing w:val="-26"/>
        </w:rPr>
        <w:t> </w:t>
      </w:r>
      <w:r>
        <w:rPr/>
        <w:t>exercise:</w:t>
      </w:r>
    </w:p>
    <w:p>
      <w:pPr>
        <w:pStyle w:val="BodyText"/>
        <w:rPr>
          <w:sz w:val="20"/>
        </w:rPr>
      </w:pPr>
    </w:p>
    <w:p>
      <w:pPr>
        <w:pStyle w:val="BodyText"/>
        <w:rPr>
          <w:sz w:val="17"/>
        </w:rPr>
      </w:pPr>
    </w:p>
    <w:p>
      <w:pPr>
        <w:tabs>
          <w:tab w:pos="2848" w:val="left" w:leader="none"/>
          <w:tab w:pos="4576" w:val="left" w:leader="none"/>
          <w:tab w:pos="6143" w:val="left" w:leader="none"/>
          <w:tab w:pos="8045" w:val="left" w:leader="none"/>
          <w:tab w:pos="9603" w:val="left" w:leader="none"/>
        </w:tabs>
        <w:spacing w:before="105"/>
        <w:ind w:left="848" w:right="0" w:firstLine="0"/>
        <w:jc w:val="left"/>
        <w:rPr>
          <w:sz w:val="18"/>
        </w:rPr>
      </w:pPr>
      <w:r>
        <w:rPr>
          <w:i/>
          <w:w w:val="105"/>
          <w:sz w:val="18"/>
        </w:rPr>
        <w:t>Tower</w:t>
      </w:r>
      <w:r>
        <w:rPr>
          <w:i/>
          <w:spacing w:val="-27"/>
          <w:w w:val="105"/>
          <w:sz w:val="18"/>
        </w:rPr>
        <w:t> </w:t>
      </w:r>
      <w:r>
        <w:rPr>
          <w:i/>
          <w:w w:val="105"/>
          <w:sz w:val="18"/>
        </w:rPr>
        <w:t>1</w:t>
        <w:tab/>
      </w:r>
      <w:r>
        <w:rPr>
          <w:w w:val="105"/>
          <w:sz w:val="18"/>
        </w:rPr>
        <w:t>737,000</w:t>
        <w:tab/>
        <w:t>Q2,</w:t>
      </w:r>
      <w:r>
        <w:rPr>
          <w:spacing w:val="3"/>
          <w:w w:val="105"/>
          <w:sz w:val="18"/>
        </w:rPr>
        <w:t> </w:t>
      </w:r>
      <w:r>
        <w:rPr>
          <w:w w:val="105"/>
          <w:sz w:val="18"/>
        </w:rPr>
        <w:t>FY</w:t>
      </w:r>
      <w:r>
        <w:rPr>
          <w:spacing w:val="4"/>
          <w:w w:val="105"/>
          <w:sz w:val="18"/>
        </w:rPr>
        <w:t> </w:t>
      </w:r>
      <w:r>
        <w:rPr>
          <w:w w:val="105"/>
          <w:sz w:val="18"/>
        </w:rPr>
        <w:t>2021</w:t>
        <w:tab/>
        <w:t>Q2,</w:t>
      </w:r>
      <w:r>
        <w:rPr>
          <w:spacing w:val="3"/>
          <w:w w:val="105"/>
          <w:sz w:val="18"/>
        </w:rPr>
        <w:t> </w:t>
      </w:r>
      <w:r>
        <w:rPr>
          <w:w w:val="105"/>
          <w:sz w:val="18"/>
        </w:rPr>
        <w:t>FY</w:t>
      </w:r>
      <w:r>
        <w:rPr>
          <w:spacing w:val="4"/>
          <w:w w:val="105"/>
          <w:sz w:val="18"/>
        </w:rPr>
        <w:t> </w:t>
      </w:r>
      <w:r>
        <w:rPr>
          <w:w w:val="105"/>
          <w:sz w:val="18"/>
        </w:rPr>
        <w:t>2023</w:t>
        <w:tab/>
        <w:t>2.6%</w:t>
        <w:tab/>
        <w:t>Land</w:t>
      </w:r>
      <w:r>
        <w:rPr>
          <w:spacing w:val="-13"/>
          <w:w w:val="105"/>
          <w:sz w:val="18"/>
        </w:rPr>
        <w:t> </w:t>
      </w:r>
      <w:r>
        <w:rPr>
          <w:w w:val="105"/>
          <w:sz w:val="18"/>
        </w:rPr>
        <w:t>Stage</w:t>
      </w:r>
    </w:p>
    <w:p>
      <w:pPr>
        <w:spacing w:before="76"/>
        <w:ind w:left="140" w:right="0" w:firstLine="0"/>
        <w:jc w:val="left"/>
        <w:rPr>
          <w:i/>
          <w:sz w:val="18"/>
        </w:rPr>
      </w:pPr>
      <w:r>
        <w:rPr>
          <w:i/>
          <w:sz w:val="18"/>
        </w:rPr>
        <w:t>Source: Client’s inputs/ Valuer assessment *the timelines are mentioned as per financial year beginning April to March</w:t>
      </w:r>
    </w:p>
    <w:p>
      <w:pPr>
        <w:spacing w:before="72"/>
        <w:ind w:left="140" w:right="0" w:firstLine="0"/>
        <w:jc w:val="left"/>
        <w:rPr>
          <w:i/>
          <w:sz w:val="18"/>
        </w:rPr>
      </w:pPr>
      <w:r>
        <w:rPr>
          <w:i/>
          <w:sz w:val="18"/>
        </w:rPr>
        <w:t>** Highlights the cost incurred as a percentage of budgeted cost</w:t>
      </w:r>
    </w:p>
    <w:p>
      <w:pPr>
        <w:pStyle w:val="BodyText"/>
        <w:spacing w:before="8"/>
        <w:rPr>
          <w:i/>
          <w:sz w:val="26"/>
        </w:rPr>
      </w:pPr>
    </w:p>
    <w:p>
      <w:pPr>
        <w:pStyle w:val="ListParagraph"/>
        <w:numPr>
          <w:ilvl w:val="2"/>
          <w:numId w:val="14"/>
        </w:numPr>
        <w:tabs>
          <w:tab w:pos="861" w:val="left" w:leader="none"/>
        </w:tabs>
        <w:spacing w:line="240" w:lineRule="auto" w:before="1" w:after="0"/>
        <w:ind w:left="860" w:right="0" w:hanging="721"/>
        <w:jc w:val="both"/>
        <w:rPr>
          <w:sz w:val="22"/>
        </w:rPr>
      </w:pPr>
      <w:bookmarkStart w:name="_bookmark261" w:id="510"/>
      <w:bookmarkEnd w:id="510"/>
      <w:r>
        <w:rPr/>
      </w:r>
      <w:bookmarkStart w:name="_bookmark261" w:id="511"/>
      <w:bookmarkEnd w:id="511"/>
      <w:r>
        <w:rPr>
          <w:color w:val="1F664D"/>
          <w:sz w:val="22"/>
        </w:rPr>
        <w:t>A</w:t>
      </w:r>
      <w:r>
        <w:rPr>
          <w:color w:val="1F664D"/>
          <w:sz w:val="22"/>
        </w:rPr>
        <w:t>bsorption/ Leasing Velocity and Occupancy</w:t>
      </w:r>
      <w:r>
        <w:rPr>
          <w:color w:val="1F664D"/>
          <w:spacing w:val="1"/>
          <w:sz w:val="22"/>
        </w:rPr>
        <w:t> </w:t>
      </w:r>
      <w:r>
        <w:rPr>
          <w:color w:val="1F664D"/>
          <w:sz w:val="22"/>
        </w:rPr>
        <w:t>Profile</w:t>
      </w:r>
    </w:p>
    <w:p>
      <w:pPr>
        <w:pStyle w:val="BodyText"/>
        <w:spacing w:before="6"/>
        <w:rPr>
          <w:sz w:val="25"/>
        </w:rPr>
      </w:pPr>
    </w:p>
    <w:p>
      <w:pPr>
        <w:pStyle w:val="ListParagraph"/>
        <w:numPr>
          <w:ilvl w:val="3"/>
          <w:numId w:val="69"/>
        </w:numPr>
        <w:tabs>
          <w:tab w:pos="1005" w:val="left" w:leader="none"/>
        </w:tabs>
        <w:spacing w:line="240" w:lineRule="auto" w:before="0" w:after="0"/>
        <w:ind w:left="1004" w:right="0" w:hanging="865"/>
        <w:jc w:val="both"/>
        <w:rPr>
          <w:i/>
          <w:sz w:val="20"/>
        </w:rPr>
      </w:pPr>
      <w:r>
        <w:rPr>
          <w:i/>
          <w:color w:val="008000"/>
          <w:sz w:val="20"/>
        </w:rPr>
        <w:t>Completed</w:t>
      </w:r>
      <w:r>
        <w:rPr>
          <w:i/>
          <w:color w:val="008000"/>
          <w:spacing w:val="-3"/>
          <w:sz w:val="20"/>
        </w:rPr>
        <w:t> </w:t>
      </w:r>
      <w:r>
        <w:rPr>
          <w:i/>
          <w:color w:val="008000"/>
          <w:sz w:val="20"/>
        </w:rPr>
        <w:t>Blocks</w:t>
      </w:r>
    </w:p>
    <w:p>
      <w:pPr>
        <w:pStyle w:val="BodyText"/>
        <w:spacing w:line="321" w:lineRule="auto" w:before="76"/>
        <w:ind w:left="706" w:right="115"/>
        <w:jc w:val="both"/>
      </w:pPr>
      <w:r>
        <w:rPr/>
        <w:t>As per the analysis of the rent roll, it was observed that there is a vacancy of approx. 296,111 sf (excluding</w:t>
      </w:r>
      <w:r>
        <w:rPr>
          <w:spacing w:val="-24"/>
        </w:rPr>
        <w:t> </w:t>
      </w:r>
      <w:r>
        <w:rPr/>
        <w:t>hard</w:t>
      </w:r>
      <w:r>
        <w:rPr>
          <w:spacing w:val="-23"/>
        </w:rPr>
        <w:t> </w:t>
      </w:r>
      <w:r>
        <w:rPr/>
        <w:t>options)</w:t>
      </w:r>
      <w:r>
        <w:rPr>
          <w:spacing w:val="-21"/>
        </w:rPr>
        <w:t> </w:t>
      </w:r>
      <w:r>
        <w:rPr/>
        <w:t>in</w:t>
      </w:r>
      <w:r>
        <w:rPr>
          <w:spacing w:val="-24"/>
        </w:rPr>
        <w:t> </w:t>
      </w:r>
      <w:r>
        <w:rPr/>
        <w:t>the</w:t>
      </w:r>
      <w:r>
        <w:rPr>
          <w:spacing w:val="-24"/>
        </w:rPr>
        <w:t> </w:t>
      </w:r>
      <w:r>
        <w:rPr/>
        <w:t>completed</w:t>
      </w:r>
      <w:r>
        <w:rPr>
          <w:spacing w:val="-23"/>
        </w:rPr>
        <w:t> </w:t>
      </w:r>
      <w:r>
        <w:rPr/>
        <w:t>blocks</w:t>
      </w:r>
      <w:r>
        <w:rPr>
          <w:spacing w:val="-23"/>
        </w:rPr>
        <w:t> </w:t>
      </w:r>
      <w:r>
        <w:rPr/>
        <w:t>at</w:t>
      </w:r>
      <w:r>
        <w:rPr>
          <w:spacing w:val="-23"/>
        </w:rPr>
        <w:t> </w:t>
      </w:r>
      <w:r>
        <w:rPr/>
        <w:t>the</w:t>
      </w:r>
      <w:r>
        <w:rPr>
          <w:spacing w:val="-24"/>
        </w:rPr>
        <w:t> </w:t>
      </w:r>
      <w:r>
        <w:rPr/>
        <w:t>subject</w:t>
      </w:r>
      <w:r>
        <w:rPr>
          <w:spacing w:val="-24"/>
        </w:rPr>
        <w:t> </w:t>
      </w:r>
      <w:r>
        <w:rPr/>
        <w:t>property</w:t>
      </w:r>
      <w:r>
        <w:rPr>
          <w:spacing w:val="-23"/>
        </w:rPr>
        <w:t> </w:t>
      </w:r>
      <w:r>
        <w:rPr/>
        <w:t>as</w:t>
      </w:r>
      <w:r>
        <w:rPr>
          <w:spacing w:val="-21"/>
        </w:rPr>
        <w:t> </w:t>
      </w:r>
      <w:r>
        <w:rPr/>
        <w:t>of</w:t>
      </w:r>
      <w:r>
        <w:rPr>
          <w:spacing w:val="-23"/>
        </w:rPr>
        <w:t> </w:t>
      </w:r>
      <w:r>
        <w:rPr/>
        <w:t>date</w:t>
      </w:r>
      <w:r>
        <w:rPr>
          <w:spacing w:val="-24"/>
        </w:rPr>
        <w:t> </w:t>
      </w:r>
      <w:r>
        <w:rPr/>
        <w:t>of</w:t>
      </w:r>
      <w:r>
        <w:rPr>
          <w:spacing w:val="-23"/>
        </w:rPr>
        <w:t> </w:t>
      </w:r>
      <w:r>
        <w:rPr/>
        <w:t>valuation</w:t>
      </w:r>
      <w:r>
        <w:rPr>
          <w:spacing w:val="-24"/>
        </w:rPr>
        <w:t> </w:t>
      </w:r>
      <w:r>
        <w:rPr/>
        <w:t>and</w:t>
      </w:r>
      <w:r>
        <w:rPr>
          <w:spacing w:val="-23"/>
        </w:rPr>
        <w:t> </w:t>
      </w:r>
      <w:r>
        <w:rPr/>
        <w:t>we are</w:t>
      </w:r>
      <w:r>
        <w:rPr>
          <w:spacing w:val="-4"/>
        </w:rPr>
        <w:t> </w:t>
      </w:r>
      <w:r>
        <w:rPr/>
        <w:t>of</w:t>
      </w:r>
      <w:r>
        <w:rPr>
          <w:spacing w:val="-2"/>
        </w:rPr>
        <w:t> </w:t>
      </w:r>
      <w:r>
        <w:rPr/>
        <w:t>the</w:t>
      </w:r>
      <w:r>
        <w:rPr>
          <w:spacing w:val="-4"/>
        </w:rPr>
        <w:t> </w:t>
      </w:r>
      <w:r>
        <w:rPr/>
        <w:t>opinion</w:t>
      </w:r>
      <w:r>
        <w:rPr>
          <w:spacing w:val="-5"/>
        </w:rPr>
        <w:t> </w:t>
      </w:r>
      <w:r>
        <w:rPr/>
        <w:t>that</w:t>
      </w:r>
      <w:r>
        <w:rPr>
          <w:spacing w:val="-3"/>
        </w:rPr>
        <w:t> </w:t>
      </w:r>
      <w:r>
        <w:rPr/>
        <w:t>the</w:t>
      </w:r>
      <w:r>
        <w:rPr>
          <w:spacing w:val="-3"/>
        </w:rPr>
        <w:t> </w:t>
      </w:r>
      <w:r>
        <w:rPr/>
        <w:t>same</w:t>
      </w:r>
      <w:r>
        <w:rPr>
          <w:spacing w:val="-4"/>
        </w:rPr>
        <w:t> </w:t>
      </w:r>
      <w:r>
        <w:rPr/>
        <w:t>would</w:t>
      </w:r>
      <w:r>
        <w:rPr>
          <w:spacing w:val="-5"/>
        </w:rPr>
        <w:t> </w:t>
      </w:r>
      <w:r>
        <w:rPr/>
        <w:t>be</w:t>
      </w:r>
      <w:r>
        <w:rPr>
          <w:spacing w:val="-3"/>
        </w:rPr>
        <w:t> </w:t>
      </w:r>
      <w:r>
        <w:rPr/>
        <w:t>leased</w:t>
      </w:r>
      <w:r>
        <w:rPr>
          <w:spacing w:val="-5"/>
        </w:rPr>
        <w:t> </w:t>
      </w:r>
      <w:r>
        <w:rPr/>
        <w:t>by</w:t>
      </w:r>
      <w:r>
        <w:rPr>
          <w:spacing w:val="-3"/>
        </w:rPr>
        <w:t> </w:t>
      </w:r>
      <w:r>
        <w:rPr/>
        <w:t>Q1,</w:t>
      </w:r>
      <w:r>
        <w:rPr>
          <w:spacing w:val="-6"/>
        </w:rPr>
        <w:t> </w:t>
      </w:r>
      <w:r>
        <w:rPr/>
        <w:t>FY</w:t>
      </w:r>
      <w:r>
        <w:rPr>
          <w:spacing w:val="-2"/>
        </w:rPr>
        <w:t> </w:t>
      </w:r>
      <w:r>
        <w:rPr/>
        <w:t>2022.</w:t>
      </w:r>
    </w:p>
    <w:p>
      <w:pPr>
        <w:pStyle w:val="BodyText"/>
        <w:spacing w:before="4"/>
        <w:rPr>
          <w:sz w:val="23"/>
        </w:rPr>
      </w:pPr>
    </w:p>
    <w:p>
      <w:pPr>
        <w:pStyle w:val="ListParagraph"/>
        <w:numPr>
          <w:ilvl w:val="3"/>
          <w:numId w:val="69"/>
        </w:numPr>
        <w:tabs>
          <w:tab w:pos="1005" w:val="left" w:leader="none"/>
        </w:tabs>
        <w:spacing w:line="240" w:lineRule="auto" w:before="0" w:after="0"/>
        <w:ind w:left="1004" w:right="0" w:hanging="865"/>
        <w:jc w:val="both"/>
        <w:rPr>
          <w:i/>
          <w:sz w:val="20"/>
        </w:rPr>
      </w:pPr>
      <w:r>
        <w:rPr>
          <w:i/>
          <w:color w:val="008000"/>
          <w:sz w:val="20"/>
        </w:rPr>
        <w:t>Under-Construction/ Proposed</w:t>
      </w:r>
      <w:r>
        <w:rPr>
          <w:i/>
          <w:color w:val="008000"/>
          <w:spacing w:val="-9"/>
          <w:sz w:val="20"/>
        </w:rPr>
        <w:t> </w:t>
      </w:r>
      <w:r>
        <w:rPr>
          <w:i/>
          <w:color w:val="008000"/>
          <w:sz w:val="20"/>
        </w:rPr>
        <w:t>Blocks</w:t>
      </w:r>
    </w:p>
    <w:p>
      <w:pPr>
        <w:pStyle w:val="BodyText"/>
        <w:spacing w:line="321" w:lineRule="auto" w:before="76"/>
        <w:ind w:left="706" w:right="117"/>
        <w:jc w:val="both"/>
      </w:pPr>
      <w:r>
        <w:rPr/>
        <w:pict>
          <v:shape style="position:absolute;margin-left:35.639999pt;margin-top:80.608612pt;width:523.6pt;height:54.55pt;mso-position-horizontal-relative:page;mso-position-vertical-relative:paragraph;z-index:1633792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81"/>
                    <w:gridCol w:w="1519"/>
                    <w:gridCol w:w="1060"/>
                    <w:gridCol w:w="1389"/>
                    <w:gridCol w:w="1272"/>
                    <w:gridCol w:w="1347"/>
                  </w:tblGrid>
                  <w:tr>
                    <w:trPr>
                      <w:trHeight w:val="462" w:hRule="atLeast"/>
                    </w:trPr>
                    <w:tc>
                      <w:tcPr>
                        <w:tcW w:w="3881" w:type="dxa"/>
                        <w:tcBorders>
                          <w:bottom w:val="single" w:sz="8" w:space="0" w:color="999999"/>
                        </w:tcBorders>
                        <w:shd w:val="clear" w:color="auto" w:fill="006A4D"/>
                      </w:tcPr>
                      <w:p>
                        <w:pPr>
                          <w:pStyle w:val="TableParagraph"/>
                          <w:tabs>
                            <w:tab w:pos="1838" w:val="left" w:leader="none"/>
                          </w:tabs>
                          <w:spacing w:before="140"/>
                          <w:ind w:left="463"/>
                          <w:jc w:val="left"/>
                          <w:rPr>
                            <w:rFonts w:ascii="Arial"/>
                            <w:b/>
                            <w:i/>
                            <w:sz w:val="18"/>
                          </w:rPr>
                        </w:pPr>
                        <w:r>
                          <w:rPr>
                            <w:rFonts w:ascii="Arial"/>
                            <w:b/>
                            <w:i/>
                            <w:color w:val="FFFFFF"/>
                            <w:w w:val="105"/>
                            <w:sz w:val="18"/>
                          </w:rPr>
                          <w:t>Particular</w:t>
                          <w:tab/>
                          <w:t>Absorption</w:t>
                        </w:r>
                        <w:r>
                          <w:rPr>
                            <w:rFonts w:ascii="Arial"/>
                            <w:b/>
                            <w:i/>
                            <w:color w:val="FFFFFF"/>
                            <w:spacing w:val="-12"/>
                            <w:w w:val="105"/>
                            <w:sz w:val="18"/>
                          </w:rPr>
                          <w:t> </w:t>
                        </w:r>
                        <w:r>
                          <w:rPr>
                            <w:rFonts w:ascii="Arial"/>
                            <w:b/>
                            <w:i/>
                            <w:color w:val="FFFFFF"/>
                            <w:w w:val="105"/>
                            <w:sz w:val="18"/>
                          </w:rPr>
                          <w:t>Schedule</w:t>
                        </w:r>
                      </w:p>
                    </w:tc>
                    <w:tc>
                      <w:tcPr>
                        <w:tcW w:w="1519" w:type="dxa"/>
                        <w:tcBorders>
                          <w:bottom w:val="single" w:sz="8" w:space="0" w:color="999999"/>
                        </w:tcBorders>
                        <w:shd w:val="clear" w:color="auto" w:fill="006A4D"/>
                      </w:tcPr>
                      <w:p>
                        <w:pPr>
                          <w:pStyle w:val="TableParagraph"/>
                          <w:spacing w:line="220" w:lineRule="atLeast" w:before="19"/>
                          <w:ind w:left="423" w:hanging="365"/>
                          <w:jc w:val="left"/>
                          <w:rPr>
                            <w:rFonts w:ascii="Arial"/>
                            <w:b/>
                            <w:i/>
                            <w:sz w:val="18"/>
                          </w:rPr>
                        </w:pPr>
                        <w:r>
                          <w:rPr>
                            <w:rFonts w:ascii="Arial"/>
                            <w:b/>
                            <w:i/>
                            <w:color w:val="FFFFFF"/>
                            <w:w w:val="105"/>
                            <w:sz w:val="18"/>
                          </w:rPr>
                          <w:t>Till 31</w:t>
                        </w:r>
                        <w:r>
                          <w:rPr>
                            <w:rFonts w:ascii="Arial"/>
                            <w:b/>
                            <w:i/>
                            <w:color w:val="FFFFFF"/>
                            <w:w w:val="105"/>
                            <w:position w:val="6"/>
                            <w:sz w:val="11"/>
                          </w:rPr>
                          <w:t>st </w:t>
                        </w:r>
                        <w:r>
                          <w:rPr>
                            <w:rFonts w:ascii="Arial"/>
                            <w:b/>
                            <w:i/>
                            <w:color w:val="FFFFFF"/>
                            <w:w w:val="105"/>
                            <w:sz w:val="18"/>
                          </w:rPr>
                          <w:t>March </w:t>
                        </w:r>
                        <w:r>
                          <w:rPr>
                            <w:rFonts w:ascii="Arial"/>
                            <w:b/>
                            <w:i/>
                            <w:color w:val="FFFFFF"/>
                            <w:w w:val="105"/>
                            <w:sz w:val="18"/>
                          </w:rPr>
                          <w:t>2020*</w:t>
                        </w:r>
                      </w:p>
                    </w:tc>
                    <w:tc>
                      <w:tcPr>
                        <w:tcW w:w="1060" w:type="dxa"/>
                        <w:tcBorders>
                          <w:bottom w:val="single" w:sz="8" w:space="0" w:color="999999"/>
                        </w:tcBorders>
                        <w:shd w:val="clear" w:color="auto" w:fill="006A4D"/>
                      </w:tcPr>
                      <w:p>
                        <w:pPr>
                          <w:pStyle w:val="TableParagraph"/>
                          <w:spacing w:before="140"/>
                          <w:ind w:left="240" w:right="89"/>
                          <w:rPr>
                            <w:rFonts w:ascii="Arial"/>
                            <w:b/>
                            <w:i/>
                            <w:sz w:val="18"/>
                          </w:rPr>
                        </w:pPr>
                        <w:r>
                          <w:rPr>
                            <w:rFonts w:ascii="Arial"/>
                            <w:b/>
                            <w:i/>
                            <w:color w:val="FFFFFF"/>
                            <w:sz w:val="18"/>
                          </w:rPr>
                          <w:t>FY 2021</w:t>
                        </w:r>
                      </w:p>
                    </w:tc>
                    <w:tc>
                      <w:tcPr>
                        <w:tcW w:w="1389" w:type="dxa"/>
                        <w:tcBorders>
                          <w:bottom w:val="single" w:sz="8" w:space="0" w:color="999999"/>
                        </w:tcBorders>
                        <w:shd w:val="clear" w:color="auto" w:fill="006A4D"/>
                      </w:tcPr>
                      <w:p>
                        <w:pPr>
                          <w:pStyle w:val="TableParagraph"/>
                          <w:spacing w:before="140"/>
                          <w:ind w:left="273" w:right="121"/>
                          <w:rPr>
                            <w:rFonts w:ascii="Arial"/>
                            <w:b/>
                            <w:i/>
                            <w:sz w:val="18"/>
                          </w:rPr>
                        </w:pPr>
                        <w:r>
                          <w:rPr>
                            <w:rFonts w:ascii="Arial"/>
                            <w:b/>
                            <w:i/>
                            <w:color w:val="FFFFFF"/>
                            <w:sz w:val="18"/>
                          </w:rPr>
                          <w:t>FY 2022</w:t>
                        </w:r>
                      </w:p>
                    </w:tc>
                    <w:tc>
                      <w:tcPr>
                        <w:tcW w:w="1272" w:type="dxa"/>
                        <w:tcBorders>
                          <w:bottom w:val="single" w:sz="8" w:space="0" w:color="999999"/>
                        </w:tcBorders>
                        <w:shd w:val="clear" w:color="auto" w:fill="006A4D"/>
                      </w:tcPr>
                      <w:p>
                        <w:pPr>
                          <w:pStyle w:val="TableParagraph"/>
                          <w:spacing w:before="140"/>
                          <w:ind w:left="257" w:right="277"/>
                          <w:rPr>
                            <w:rFonts w:ascii="Arial"/>
                            <w:b/>
                            <w:i/>
                            <w:sz w:val="18"/>
                          </w:rPr>
                        </w:pPr>
                        <w:r>
                          <w:rPr>
                            <w:rFonts w:ascii="Arial"/>
                            <w:b/>
                            <w:i/>
                            <w:color w:val="FFFFFF"/>
                            <w:sz w:val="18"/>
                          </w:rPr>
                          <w:t>FY 2023</w:t>
                        </w:r>
                      </w:p>
                    </w:tc>
                    <w:tc>
                      <w:tcPr>
                        <w:tcW w:w="1347" w:type="dxa"/>
                        <w:tcBorders>
                          <w:bottom w:val="single" w:sz="8" w:space="0" w:color="999999"/>
                        </w:tcBorders>
                        <w:shd w:val="clear" w:color="auto" w:fill="006A4D"/>
                      </w:tcPr>
                      <w:p>
                        <w:pPr>
                          <w:pStyle w:val="TableParagraph"/>
                          <w:spacing w:before="140"/>
                          <w:ind w:left="287" w:right="322"/>
                          <w:rPr>
                            <w:rFonts w:ascii="Arial"/>
                            <w:b/>
                            <w:i/>
                            <w:sz w:val="18"/>
                          </w:rPr>
                        </w:pPr>
                        <w:r>
                          <w:rPr>
                            <w:rFonts w:ascii="Arial"/>
                            <w:b/>
                            <w:i/>
                            <w:color w:val="FFFFFF"/>
                            <w:w w:val="105"/>
                            <w:sz w:val="18"/>
                          </w:rPr>
                          <w:t>Total</w:t>
                        </w:r>
                      </w:p>
                    </w:tc>
                  </w:tr>
                  <w:tr>
                    <w:trPr>
                      <w:trHeight w:val="295" w:hRule="atLeast"/>
                    </w:trPr>
                    <w:tc>
                      <w:tcPr>
                        <w:tcW w:w="3881" w:type="dxa"/>
                        <w:tcBorders>
                          <w:top w:val="single" w:sz="8" w:space="0" w:color="999999"/>
                        </w:tcBorders>
                      </w:tcPr>
                      <w:p>
                        <w:pPr>
                          <w:pStyle w:val="TableParagraph"/>
                          <w:spacing w:before="44"/>
                          <w:ind w:left="2182"/>
                          <w:jc w:val="left"/>
                          <w:rPr>
                            <w:sz w:val="18"/>
                          </w:rPr>
                        </w:pPr>
                        <w:r>
                          <w:rPr>
                            <w:sz w:val="18"/>
                          </w:rPr>
                          <w:t>Percentage (%)</w:t>
                        </w:r>
                      </w:p>
                    </w:tc>
                    <w:tc>
                      <w:tcPr>
                        <w:tcW w:w="1519" w:type="dxa"/>
                        <w:tcBorders>
                          <w:top w:val="single" w:sz="8" w:space="0" w:color="999999"/>
                        </w:tcBorders>
                      </w:tcPr>
                      <w:p>
                        <w:pPr>
                          <w:pStyle w:val="TableParagraph"/>
                          <w:spacing w:before="44"/>
                          <w:ind w:left="651"/>
                          <w:jc w:val="left"/>
                          <w:rPr>
                            <w:sz w:val="18"/>
                          </w:rPr>
                        </w:pPr>
                        <w:r>
                          <w:rPr>
                            <w:w w:val="99"/>
                            <w:sz w:val="18"/>
                          </w:rPr>
                          <w:t>-</w:t>
                        </w:r>
                      </w:p>
                    </w:tc>
                    <w:tc>
                      <w:tcPr>
                        <w:tcW w:w="1060" w:type="dxa"/>
                        <w:tcBorders>
                          <w:top w:val="single" w:sz="8" w:space="0" w:color="999999"/>
                        </w:tcBorders>
                      </w:tcPr>
                      <w:p>
                        <w:pPr>
                          <w:pStyle w:val="TableParagraph"/>
                          <w:spacing w:before="44"/>
                          <w:ind w:left="151"/>
                          <w:rPr>
                            <w:sz w:val="18"/>
                          </w:rPr>
                        </w:pPr>
                        <w:r>
                          <w:rPr>
                            <w:w w:val="99"/>
                            <w:sz w:val="18"/>
                          </w:rPr>
                          <w:t>-</w:t>
                        </w:r>
                      </w:p>
                    </w:tc>
                    <w:tc>
                      <w:tcPr>
                        <w:tcW w:w="1389" w:type="dxa"/>
                        <w:tcBorders>
                          <w:top w:val="single" w:sz="8" w:space="0" w:color="999999"/>
                        </w:tcBorders>
                      </w:tcPr>
                      <w:p>
                        <w:pPr>
                          <w:pStyle w:val="TableParagraph"/>
                          <w:spacing w:before="44"/>
                          <w:ind w:left="273" w:right="122"/>
                          <w:rPr>
                            <w:sz w:val="18"/>
                          </w:rPr>
                        </w:pPr>
                        <w:r>
                          <w:rPr>
                            <w:w w:val="110"/>
                            <w:sz w:val="18"/>
                          </w:rPr>
                          <w:t>60.0%</w:t>
                        </w:r>
                      </w:p>
                    </w:tc>
                    <w:tc>
                      <w:tcPr>
                        <w:tcW w:w="1272" w:type="dxa"/>
                        <w:tcBorders>
                          <w:top w:val="single" w:sz="8" w:space="0" w:color="999999"/>
                        </w:tcBorders>
                      </w:tcPr>
                      <w:p>
                        <w:pPr>
                          <w:pStyle w:val="TableParagraph"/>
                          <w:spacing w:before="44"/>
                          <w:ind w:left="257" w:right="278"/>
                          <w:rPr>
                            <w:sz w:val="18"/>
                          </w:rPr>
                        </w:pPr>
                        <w:r>
                          <w:rPr>
                            <w:w w:val="110"/>
                            <w:sz w:val="18"/>
                          </w:rPr>
                          <w:t>40.0%</w:t>
                        </w:r>
                      </w:p>
                    </w:tc>
                    <w:tc>
                      <w:tcPr>
                        <w:tcW w:w="1347" w:type="dxa"/>
                        <w:tcBorders>
                          <w:top w:val="single" w:sz="8" w:space="0" w:color="999999"/>
                        </w:tcBorders>
                      </w:tcPr>
                      <w:p>
                        <w:pPr>
                          <w:pStyle w:val="TableParagraph"/>
                          <w:spacing w:before="44"/>
                          <w:ind w:left="283" w:right="323"/>
                          <w:rPr>
                            <w:sz w:val="18"/>
                          </w:rPr>
                        </w:pPr>
                        <w:r>
                          <w:rPr>
                            <w:w w:val="110"/>
                            <w:sz w:val="18"/>
                          </w:rPr>
                          <w:t>100.0%</w:t>
                        </w:r>
                      </w:p>
                    </w:tc>
                  </w:tr>
                  <w:tr>
                    <w:trPr>
                      <w:trHeight w:val="297" w:hRule="atLeast"/>
                    </w:trPr>
                    <w:tc>
                      <w:tcPr>
                        <w:tcW w:w="3881" w:type="dxa"/>
                        <w:tcBorders>
                          <w:bottom w:val="single" w:sz="4" w:space="0" w:color="92D050"/>
                        </w:tcBorders>
                      </w:tcPr>
                      <w:p>
                        <w:pPr>
                          <w:pStyle w:val="TableParagraph"/>
                          <w:spacing w:before="46"/>
                          <w:ind w:left="2062"/>
                          <w:jc w:val="left"/>
                          <w:rPr>
                            <w:sz w:val="18"/>
                          </w:rPr>
                        </w:pPr>
                        <w:r>
                          <w:rPr>
                            <w:sz w:val="18"/>
                          </w:rPr>
                          <w:t>Leasable Area (sf)</w:t>
                        </w:r>
                      </w:p>
                    </w:tc>
                    <w:tc>
                      <w:tcPr>
                        <w:tcW w:w="1519" w:type="dxa"/>
                        <w:tcBorders>
                          <w:bottom w:val="single" w:sz="4" w:space="0" w:color="92D050"/>
                        </w:tcBorders>
                      </w:tcPr>
                      <w:p>
                        <w:pPr>
                          <w:pStyle w:val="TableParagraph"/>
                          <w:spacing w:before="44"/>
                          <w:ind w:left="651"/>
                          <w:jc w:val="left"/>
                          <w:rPr>
                            <w:sz w:val="18"/>
                          </w:rPr>
                        </w:pPr>
                        <w:r>
                          <w:rPr>
                            <w:w w:val="99"/>
                            <w:sz w:val="18"/>
                          </w:rPr>
                          <w:t>-</w:t>
                        </w:r>
                      </w:p>
                    </w:tc>
                    <w:tc>
                      <w:tcPr>
                        <w:tcW w:w="1060" w:type="dxa"/>
                        <w:tcBorders>
                          <w:bottom w:val="single" w:sz="4" w:space="0" w:color="92D050"/>
                        </w:tcBorders>
                      </w:tcPr>
                      <w:p>
                        <w:pPr>
                          <w:pStyle w:val="TableParagraph"/>
                          <w:spacing w:before="44"/>
                          <w:ind w:left="151"/>
                          <w:rPr>
                            <w:sz w:val="18"/>
                          </w:rPr>
                        </w:pPr>
                        <w:r>
                          <w:rPr>
                            <w:w w:val="99"/>
                            <w:sz w:val="18"/>
                          </w:rPr>
                          <w:t>-</w:t>
                        </w:r>
                      </w:p>
                    </w:tc>
                    <w:tc>
                      <w:tcPr>
                        <w:tcW w:w="1389" w:type="dxa"/>
                        <w:tcBorders>
                          <w:bottom w:val="single" w:sz="4" w:space="0" w:color="92D050"/>
                        </w:tcBorders>
                      </w:tcPr>
                      <w:p>
                        <w:pPr>
                          <w:pStyle w:val="TableParagraph"/>
                          <w:spacing w:before="44"/>
                          <w:ind w:left="273" w:right="123"/>
                          <w:rPr>
                            <w:sz w:val="18"/>
                          </w:rPr>
                        </w:pPr>
                        <w:r>
                          <w:rPr>
                            <w:w w:val="110"/>
                            <w:sz w:val="18"/>
                          </w:rPr>
                          <w:t>442,200</w:t>
                        </w:r>
                      </w:p>
                    </w:tc>
                    <w:tc>
                      <w:tcPr>
                        <w:tcW w:w="1272" w:type="dxa"/>
                        <w:tcBorders>
                          <w:bottom w:val="single" w:sz="4" w:space="0" w:color="92D050"/>
                        </w:tcBorders>
                      </w:tcPr>
                      <w:p>
                        <w:pPr>
                          <w:pStyle w:val="TableParagraph"/>
                          <w:spacing w:before="44"/>
                          <w:ind w:left="257" w:right="278"/>
                          <w:rPr>
                            <w:sz w:val="18"/>
                          </w:rPr>
                        </w:pPr>
                        <w:r>
                          <w:rPr>
                            <w:w w:val="110"/>
                            <w:sz w:val="18"/>
                          </w:rPr>
                          <w:t>294,800</w:t>
                        </w:r>
                      </w:p>
                    </w:tc>
                    <w:tc>
                      <w:tcPr>
                        <w:tcW w:w="1347" w:type="dxa"/>
                        <w:tcBorders>
                          <w:bottom w:val="single" w:sz="4" w:space="0" w:color="92D050"/>
                        </w:tcBorders>
                      </w:tcPr>
                      <w:p>
                        <w:pPr>
                          <w:pStyle w:val="TableParagraph"/>
                          <w:spacing w:before="44"/>
                          <w:ind w:left="287" w:right="323"/>
                          <w:rPr>
                            <w:sz w:val="18"/>
                          </w:rPr>
                        </w:pPr>
                        <w:r>
                          <w:rPr>
                            <w:w w:val="110"/>
                            <w:sz w:val="18"/>
                          </w:rPr>
                          <w:t>737,000</w:t>
                        </w:r>
                      </w:p>
                    </w:tc>
                  </w:tr>
                </w:tbl>
                <w:p>
                  <w:pPr>
                    <w:pStyle w:val="BodyText"/>
                  </w:pPr>
                </w:p>
              </w:txbxContent>
            </v:textbox>
            <w10:wrap type="none"/>
          </v:shape>
        </w:pict>
      </w:r>
      <w:r>
        <w:rPr/>
        <w:t>The</w:t>
      </w:r>
      <w:r>
        <w:rPr>
          <w:spacing w:val="-28"/>
        </w:rPr>
        <w:t> </w:t>
      </w:r>
      <w:r>
        <w:rPr/>
        <w:t>absorption</w:t>
      </w:r>
      <w:r>
        <w:rPr>
          <w:spacing w:val="-27"/>
        </w:rPr>
        <w:t> </w:t>
      </w:r>
      <w:r>
        <w:rPr/>
        <w:t>period</w:t>
      </w:r>
      <w:r>
        <w:rPr>
          <w:spacing w:val="-26"/>
        </w:rPr>
        <w:t> </w:t>
      </w:r>
      <w:r>
        <w:rPr/>
        <w:t>assumed</w:t>
      </w:r>
      <w:r>
        <w:rPr>
          <w:spacing w:val="-26"/>
        </w:rPr>
        <w:t> </w:t>
      </w:r>
      <w:r>
        <w:rPr/>
        <w:t>for</w:t>
      </w:r>
      <w:r>
        <w:rPr>
          <w:spacing w:val="-27"/>
        </w:rPr>
        <w:t> </w:t>
      </w:r>
      <w:r>
        <w:rPr/>
        <w:t>the</w:t>
      </w:r>
      <w:r>
        <w:rPr>
          <w:spacing w:val="-27"/>
        </w:rPr>
        <w:t> </w:t>
      </w:r>
      <w:r>
        <w:rPr/>
        <w:t>subject</w:t>
      </w:r>
      <w:r>
        <w:rPr>
          <w:spacing w:val="-26"/>
        </w:rPr>
        <w:t> </w:t>
      </w:r>
      <w:r>
        <w:rPr/>
        <w:t>development</w:t>
      </w:r>
      <w:r>
        <w:rPr>
          <w:spacing w:val="-27"/>
        </w:rPr>
        <w:t> </w:t>
      </w:r>
      <w:r>
        <w:rPr/>
        <w:t>is</w:t>
      </w:r>
      <w:r>
        <w:rPr>
          <w:spacing w:val="-26"/>
        </w:rPr>
        <w:t> </w:t>
      </w:r>
      <w:r>
        <w:rPr/>
        <w:t>based</w:t>
      </w:r>
      <w:r>
        <w:rPr>
          <w:spacing w:val="-26"/>
        </w:rPr>
        <w:t> </w:t>
      </w:r>
      <w:r>
        <w:rPr/>
        <w:t>on</w:t>
      </w:r>
      <w:r>
        <w:rPr>
          <w:spacing w:val="-27"/>
        </w:rPr>
        <w:t> </w:t>
      </w:r>
      <w:r>
        <w:rPr/>
        <w:t>market</w:t>
      </w:r>
      <w:r>
        <w:rPr>
          <w:spacing w:val="-26"/>
        </w:rPr>
        <w:t> </w:t>
      </w:r>
      <w:r>
        <w:rPr/>
        <w:t>dynamics</w:t>
      </w:r>
      <w:r>
        <w:rPr>
          <w:spacing w:val="-26"/>
        </w:rPr>
        <w:t> </w:t>
      </w:r>
      <w:r>
        <w:rPr/>
        <w:t>and</w:t>
      </w:r>
      <w:r>
        <w:rPr>
          <w:spacing w:val="-26"/>
        </w:rPr>
        <w:t> </w:t>
      </w:r>
      <w:r>
        <w:rPr/>
        <w:t>extent</w:t>
      </w:r>
      <w:r>
        <w:rPr>
          <w:spacing w:val="-28"/>
        </w:rPr>
        <w:t> </w:t>
      </w:r>
      <w:r>
        <w:rPr/>
        <w:t>of development in the relevant sub-market, nature of subject development, competing supply of</w:t>
      </w:r>
      <w:r>
        <w:rPr>
          <w:spacing w:val="-41"/>
        </w:rPr>
        <w:t> </w:t>
      </w:r>
      <w:r>
        <w:rPr/>
        <w:t>same nature, location within the respective sub-market, etc. The table below highlights the absorption assumptions adopted for the subject</w:t>
      </w:r>
      <w:r>
        <w:rPr>
          <w:spacing w:val="-23"/>
        </w:rPr>
        <w:t> </w:t>
      </w:r>
      <w:r>
        <w:rPr/>
        <w:t>development:</w:t>
      </w:r>
    </w:p>
    <w:p>
      <w:pPr>
        <w:pStyle w:val="BodyText"/>
        <w:rPr>
          <w:sz w:val="26"/>
        </w:rPr>
      </w:pPr>
    </w:p>
    <w:p>
      <w:pPr>
        <w:pStyle w:val="BodyText"/>
        <w:rPr>
          <w:sz w:val="26"/>
        </w:rPr>
      </w:pPr>
    </w:p>
    <w:p>
      <w:pPr>
        <w:pStyle w:val="BodyText"/>
        <w:spacing w:before="7"/>
        <w:rPr>
          <w:sz w:val="20"/>
        </w:rPr>
      </w:pPr>
    </w:p>
    <w:p>
      <w:pPr>
        <w:spacing w:before="0"/>
        <w:ind w:left="726" w:right="0" w:firstLine="0"/>
        <w:jc w:val="both"/>
        <w:rPr>
          <w:i/>
          <w:sz w:val="18"/>
        </w:rPr>
      </w:pPr>
      <w:r>
        <w:rPr>
          <w:i/>
          <w:sz w:val="18"/>
        </w:rPr>
        <w:t>Tower 1</w:t>
      </w:r>
    </w:p>
    <w:p>
      <w:pPr>
        <w:pStyle w:val="BodyText"/>
        <w:spacing w:before="7"/>
        <w:rPr>
          <w:i/>
          <w:sz w:val="17"/>
        </w:rPr>
      </w:pPr>
    </w:p>
    <w:p>
      <w:pPr>
        <w:spacing w:before="0"/>
        <w:ind w:left="140" w:right="0" w:firstLine="0"/>
        <w:jc w:val="left"/>
        <w:rPr>
          <w:i/>
          <w:sz w:val="18"/>
        </w:rPr>
      </w:pPr>
      <w:r>
        <w:rPr>
          <w:i/>
          <w:sz w:val="18"/>
        </w:rPr>
        <w:t>Source: Valuer assessment</w:t>
      </w:r>
    </w:p>
    <w:p>
      <w:pPr>
        <w:spacing w:before="72"/>
        <w:ind w:left="140" w:right="0" w:firstLine="0"/>
        <w:jc w:val="left"/>
        <w:rPr>
          <w:i/>
          <w:sz w:val="18"/>
        </w:rPr>
      </w:pPr>
      <w:r>
        <w:rPr>
          <w:i/>
          <w:sz w:val="18"/>
        </w:rPr>
        <w:t>* Area leased/ committed till date of valuation as per Client’s inputs</w:t>
      </w:r>
    </w:p>
    <w:p>
      <w:pPr>
        <w:pStyle w:val="BodyText"/>
        <w:spacing w:before="10"/>
        <w:rPr>
          <w:i/>
          <w:sz w:val="26"/>
        </w:rPr>
      </w:pPr>
    </w:p>
    <w:p>
      <w:pPr>
        <w:pStyle w:val="ListParagraph"/>
        <w:numPr>
          <w:ilvl w:val="2"/>
          <w:numId w:val="14"/>
        </w:numPr>
        <w:tabs>
          <w:tab w:pos="861" w:val="left" w:leader="none"/>
        </w:tabs>
        <w:spacing w:line="240" w:lineRule="auto" w:before="0" w:after="0"/>
        <w:ind w:left="860" w:right="0" w:hanging="721"/>
        <w:jc w:val="both"/>
        <w:rPr>
          <w:sz w:val="22"/>
        </w:rPr>
      </w:pPr>
      <w:bookmarkStart w:name="_bookmark262" w:id="512"/>
      <w:bookmarkEnd w:id="512"/>
      <w:r>
        <w:rPr/>
      </w:r>
      <w:bookmarkStart w:name="_bookmark262" w:id="513"/>
      <w:bookmarkEnd w:id="513"/>
      <w:r>
        <w:rPr>
          <w:color w:val="1F664D"/>
          <w:w w:val="105"/>
          <w:sz w:val="22"/>
        </w:rPr>
        <w:t>R</w:t>
      </w:r>
      <w:r>
        <w:rPr>
          <w:color w:val="1F664D"/>
          <w:w w:val="105"/>
          <w:sz w:val="22"/>
        </w:rPr>
        <w:t>evenue</w:t>
      </w:r>
      <w:r>
        <w:rPr>
          <w:color w:val="1F664D"/>
          <w:spacing w:val="-4"/>
          <w:w w:val="105"/>
          <w:sz w:val="22"/>
        </w:rPr>
        <w:t> </w:t>
      </w:r>
      <w:r>
        <w:rPr>
          <w:color w:val="1F664D"/>
          <w:w w:val="105"/>
          <w:sz w:val="22"/>
        </w:rPr>
        <w:t>Assumptions</w:t>
      </w:r>
    </w:p>
    <w:p>
      <w:pPr>
        <w:pStyle w:val="BodyText"/>
        <w:spacing w:before="6"/>
        <w:rPr>
          <w:sz w:val="25"/>
        </w:rPr>
      </w:pPr>
    </w:p>
    <w:p>
      <w:pPr>
        <w:pStyle w:val="ListParagraph"/>
        <w:numPr>
          <w:ilvl w:val="3"/>
          <w:numId w:val="70"/>
        </w:numPr>
        <w:tabs>
          <w:tab w:pos="1005" w:val="left" w:leader="none"/>
        </w:tabs>
        <w:spacing w:line="240" w:lineRule="auto" w:before="1" w:after="0"/>
        <w:ind w:left="1004" w:right="0" w:hanging="865"/>
        <w:jc w:val="both"/>
        <w:rPr>
          <w:i/>
          <w:sz w:val="20"/>
        </w:rPr>
      </w:pPr>
      <w:r>
        <w:rPr>
          <w:i/>
          <w:color w:val="008000"/>
          <w:sz w:val="20"/>
        </w:rPr>
        <w:t>Lease rent</w:t>
      </w:r>
      <w:r>
        <w:rPr>
          <w:i/>
          <w:color w:val="008000"/>
          <w:spacing w:val="-8"/>
          <w:sz w:val="20"/>
        </w:rPr>
        <w:t> </w:t>
      </w:r>
      <w:r>
        <w:rPr>
          <w:i/>
          <w:color w:val="008000"/>
          <w:sz w:val="20"/>
        </w:rPr>
        <w:t>assumptions</w:t>
      </w:r>
    </w:p>
    <w:p>
      <w:pPr>
        <w:pStyle w:val="BodyText"/>
        <w:spacing w:line="321" w:lineRule="auto" w:before="75"/>
        <w:ind w:left="702" w:right="115"/>
        <w:jc w:val="both"/>
      </w:pPr>
      <w:r>
        <w:rPr/>
        <w:t>For</w:t>
      </w:r>
      <w:r>
        <w:rPr>
          <w:spacing w:val="-15"/>
        </w:rPr>
        <w:t> </w:t>
      </w:r>
      <w:r>
        <w:rPr/>
        <w:t>the</w:t>
      </w:r>
      <w:r>
        <w:rPr>
          <w:spacing w:val="-14"/>
        </w:rPr>
        <w:t> </w:t>
      </w:r>
      <w:r>
        <w:rPr/>
        <w:t>purpose</w:t>
      </w:r>
      <w:r>
        <w:rPr>
          <w:spacing w:val="-14"/>
        </w:rPr>
        <w:t> </w:t>
      </w:r>
      <w:r>
        <w:rPr/>
        <w:t>of</w:t>
      </w:r>
      <w:r>
        <w:rPr>
          <w:spacing w:val="-14"/>
        </w:rPr>
        <w:t> </w:t>
      </w:r>
      <w:r>
        <w:rPr/>
        <w:t>this</w:t>
      </w:r>
      <w:r>
        <w:rPr>
          <w:spacing w:val="-11"/>
        </w:rPr>
        <w:t> </w:t>
      </w:r>
      <w:r>
        <w:rPr/>
        <w:t>valuation</w:t>
      </w:r>
      <w:r>
        <w:rPr>
          <w:spacing w:val="-14"/>
        </w:rPr>
        <w:t> </w:t>
      </w:r>
      <w:r>
        <w:rPr/>
        <w:t>exercise,</w:t>
      </w:r>
      <w:r>
        <w:rPr>
          <w:spacing w:val="-14"/>
        </w:rPr>
        <w:t> </w:t>
      </w:r>
      <w:r>
        <w:rPr/>
        <w:t>the</w:t>
      </w:r>
      <w:r>
        <w:rPr>
          <w:spacing w:val="-14"/>
        </w:rPr>
        <w:t> </w:t>
      </w:r>
      <w:r>
        <w:rPr/>
        <w:t>lease</w:t>
      </w:r>
      <w:r>
        <w:rPr>
          <w:spacing w:val="-14"/>
        </w:rPr>
        <w:t> </w:t>
      </w:r>
      <w:r>
        <w:rPr/>
        <w:t>rent</w:t>
      </w:r>
      <w:r>
        <w:rPr>
          <w:spacing w:val="-14"/>
        </w:rPr>
        <w:t> </w:t>
      </w:r>
      <w:r>
        <w:rPr/>
        <w:t>adopted</w:t>
      </w:r>
      <w:r>
        <w:rPr>
          <w:spacing w:val="-14"/>
        </w:rPr>
        <w:t> </w:t>
      </w:r>
      <w:r>
        <w:rPr/>
        <w:t>for</w:t>
      </w:r>
      <w:r>
        <w:rPr>
          <w:spacing w:val="-15"/>
        </w:rPr>
        <w:t> </w:t>
      </w:r>
      <w:r>
        <w:rPr/>
        <w:t>the</w:t>
      </w:r>
      <w:r>
        <w:rPr>
          <w:spacing w:val="-14"/>
        </w:rPr>
        <w:t> </w:t>
      </w:r>
      <w:r>
        <w:rPr/>
        <w:t>area</w:t>
      </w:r>
      <w:r>
        <w:rPr>
          <w:spacing w:val="-14"/>
        </w:rPr>
        <w:t> </w:t>
      </w:r>
      <w:r>
        <w:rPr/>
        <w:t>already</w:t>
      </w:r>
      <w:r>
        <w:rPr>
          <w:spacing w:val="-12"/>
        </w:rPr>
        <w:t> </w:t>
      </w:r>
      <w:r>
        <w:rPr/>
        <w:t>leased</w:t>
      </w:r>
      <w:r>
        <w:rPr>
          <w:spacing w:val="-13"/>
        </w:rPr>
        <w:t> </w:t>
      </w:r>
      <w:r>
        <w:rPr/>
        <w:t>is</w:t>
      </w:r>
      <w:r>
        <w:rPr>
          <w:spacing w:val="-15"/>
        </w:rPr>
        <w:t> </w:t>
      </w:r>
      <w:r>
        <w:rPr/>
        <w:t>based on</w:t>
      </w:r>
      <w:r>
        <w:rPr>
          <w:spacing w:val="-14"/>
        </w:rPr>
        <w:t> </w:t>
      </w:r>
      <w:r>
        <w:rPr/>
        <w:t>the</w:t>
      </w:r>
      <w:r>
        <w:rPr>
          <w:spacing w:val="-14"/>
        </w:rPr>
        <w:t> </w:t>
      </w:r>
      <w:r>
        <w:rPr/>
        <w:t>rent</w:t>
      </w:r>
      <w:r>
        <w:rPr>
          <w:spacing w:val="-14"/>
        </w:rPr>
        <w:t> </w:t>
      </w:r>
      <w:r>
        <w:rPr/>
        <w:t>roll</w:t>
      </w:r>
      <w:r>
        <w:rPr>
          <w:spacing w:val="-13"/>
        </w:rPr>
        <w:t> </w:t>
      </w:r>
      <w:r>
        <w:rPr/>
        <w:t>shared</w:t>
      </w:r>
      <w:r>
        <w:rPr>
          <w:spacing w:val="-13"/>
        </w:rPr>
        <w:t> </w:t>
      </w:r>
      <w:r>
        <w:rPr/>
        <w:t>by</w:t>
      </w:r>
      <w:r>
        <w:rPr>
          <w:spacing w:val="-13"/>
        </w:rPr>
        <w:t> </w:t>
      </w:r>
      <w:r>
        <w:rPr/>
        <w:t>the</w:t>
      </w:r>
      <w:r>
        <w:rPr>
          <w:spacing w:val="-15"/>
        </w:rPr>
        <w:t> </w:t>
      </w:r>
      <w:r>
        <w:rPr/>
        <w:t>Client.</w:t>
      </w:r>
      <w:r>
        <w:rPr>
          <w:spacing w:val="-13"/>
        </w:rPr>
        <w:t> </w:t>
      </w:r>
      <w:r>
        <w:rPr/>
        <w:t>Further,</w:t>
      </w:r>
      <w:r>
        <w:rPr>
          <w:spacing w:val="-11"/>
        </w:rPr>
        <w:t> </w:t>
      </w:r>
      <w:r>
        <w:rPr/>
        <w:t>the</w:t>
      </w:r>
      <w:r>
        <w:rPr>
          <w:spacing w:val="-11"/>
        </w:rPr>
        <w:t> </w:t>
      </w:r>
      <w:r>
        <w:rPr/>
        <w:t>Valuer</w:t>
      </w:r>
      <w:r>
        <w:rPr>
          <w:spacing w:val="-12"/>
        </w:rPr>
        <w:t> </w:t>
      </w:r>
      <w:r>
        <w:rPr/>
        <w:t>has</w:t>
      </w:r>
      <w:r>
        <w:rPr>
          <w:spacing w:val="-13"/>
        </w:rPr>
        <w:t> </w:t>
      </w:r>
      <w:r>
        <w:rPr/>
        <w:t>undertaken</w:t>
      </w:r>
      <w:r>
        <w:rPr>
          <w:spacing w:val="-14"/>
        </w:rPr>
        <w:t> </w:t>
      </w:r>
      <w:r>
        <w:rPr/>
        <w:t>an</w:t>
      </w:r>
      <w:r>
        <w:rPr>
          <w:spacing w:val="-13"/>
        </w:rPr>
        <w:t> </w:t>
      </w:r>
      <w:r>
        <w:rPr/>
        <w:t>in-depth</w:t>
      </w:r>
      <w:r>
        <w:rPr>
          <w:spacing w:val="-14"/>
        </w:rPr>
        <w:t> </w:t>
      </w:r>
      <w:r>
        <w:rPr/>
        <w:t>market</w:t>
      </w:r>
      <w:r>
        <w:rPr>
          <w:spacing w:val="-13"/>
        </w:rPr>
        <w:t> </w:t>
      </w:r>
      <w:r>
        <w:rPr/>
        <w:t>research exercise</w:t>
      </w:r>
      <w:r>
        <w:rPr>
          <w:spacing w:val="-32"/>
        </w:rPr>
        <w:t> </w:t>
      </w:r>
      <w:r>
        <w:rPr/>
        <w:t>to</w:t>
      </w:r>
      <w:r>
        <w:rPr>
          <w:spacing w:val="-32"/>
        </w:rPr>
        <w:t> </w:t>
      </w:r>
      <w:r>
        <w:rPr/>
        <w:t>assess</w:t>
      </w:r>
      <w:r>
        <w:rPr>
          <w:spacing w:val="-32"/>
        </w:rPr>
        <w:t> </w:t>
      </w:r>
      <w:r>
        <w:rPr/>
        <w:t>the</w:t>
      </w:r>
      <w:r>
        <w:rPr>
          <w:spacing w:val="-32"/>
        </w:rPr>
        <w:t> </w:t>
      </w:r>
      <w:r>
        <w:rPr/>
        <w:t>prevailing</w:t>
      </w:r>
      <w:r>
        <w:rPr>
          <w:spacing w:val="-31"/>
        </w:rPr>
        <w:t> </w:t>
      </w:r>
      <w:r>
        <w:rPr/>
        <w:t>rental</w:t>
      </w:r>
      <w:r>
        <w:rPr>
          <w:spacing w:val="-31"/>
        </w:rPr>
        <w:t> </w:t>
      </w:r>
      <w:r>
        <w:rPr/>
        <w:t>values</w:t>
      </w:r>
      <w:r>
        <w:rPr>
          <w:spacing w:val="-31"/>
        </w:rPr>
        <w:t> </w:t>
      </w:r>
      <w:r>
        <w:rPr/>
        <w:t>in</w:t>
      </w:r>
      <w:r>
        <w:rPr>
          <w:spacing w:val="-31"/>
        </w:rPr>
        <w:t> </w:t>
      </w:r>
      <w:r>
        <w:rPr/>
        <w:t>the</w:t>
      </w:r>
      <w:r>
        <w:rPr>
          <w:spacing w:val="-33"/>
        </w:rPr>
        <w:t> </w:t>
      </w:r>
      <w:r>
        <w:rPr/>
        <w:t>subject</w:t>
      </w:r>
      <w:r>
        <w:rPr>
          <w:spacing w:val="-30"/>
        </w:rPr>
        <w:t> </w:t>
      </w:r>
      <w:r>
        <w:rPr/>
        <w:t>sub-market.</w:t>
      </w:r>
      <w:r>
        <w:rPr>
          <w:spacing w:val="-32"/>
        </w:rPr>
        <w:t> </w:t>
      </w:r>
      <w:r>
        <w:rPr/>
        <w:t>The</w:t>
      </w:r>
      <w:r>
        <w:rPr>
          <w:spacing w:val="-32"/>
        </w:rPr>
        <w:t> </w:t>
      </w:r>
      <w:r>
        <w:rPr/>
        <w:t>same</w:t>
      </w:r>
      <w:r>
        <w:rPr>
          <w:spacing w:val="-32"/>
        </w:rPr>
        <w:t> </w:t>
      </w:r>
      <w:r>
        <w:rPr/>
        <w:t>has</w:t>
      </w:r>
      <w:r>
        <w:rPr>
          <w:spacing w:val="-31"/>
        </w:rPr>
        <w:t> </w:t>
      </w:r>
      <w:r>
        <w:rPr/>
        <w:t>been</w:t>
      </w:r>
      <w:r>
        <w:rPr>
          <w:spacing w:val="-32"/>
        </w:rPr>
        <w:t> </w:t>
      </w:r>
      <w:r>
        <w:rPr/>
        <w:t>adopted</w:t>
      </w:r>
      <w:r>
        <w:rPr>
          <w:spacing w:val="-31"/>
        </w:rPr>
        <w:t> </w:t>
      </w:r>
      <w:r>
        <w:rPr/>
        <w:t>for reversion/</w:t>
      </w:r>
      <w:r>
        <w:rPr>
          <w:spacing w:val="-8"/>
        </w:rPr>
        <w:t> </w:t>
      </w:r>
      <w:r>
        <w:rPr/>
        <w:t>vacant</w:t>
      </w:r>
      <w:r>
        <w:rPr>
          <w:spacing w:val="-7"/>
        </w:rPr>
        <w:t> </w:t>
      </w:r>
      <w:r>
        <w:rPr/>
        <w:t>space</w:t>
      </w:r>
      <w:r>
        <w:rPr>
          <w:spacing w:val="-7"/>
        </w:rPr>
        <w:t> </w:t>
      </w:r>
      <w:r>
        <w:rPr/>
        <w:t>for</w:t>
      </w:r>
      <w:r>
        <w:rPr>
          <w:spacing w:val="-7"/>
        </w:rPr>
        <w:t> </w:t>
      </w:r>
      <w:r>
        <w:rPr/>
        <w:t>the</w:t>
      </w:r>
      <w:r>
        <w:rPr>
          <w:spacing w:val="-8"/>
        </w:rPr>
        <w:t> </w:t>
      </w:r>
      <w:r>
        <w:rPr/>
        <w:t>purpose</w:t>
      </w:r>
      <w:r>
        <w:rPr>
          <w:spacing w:val="-7"/>
        </w:rPr>
        <w:t> </w:t>
      </w:r>
      <w:r>
        <w:rPr/>
        <w:t>of</w:t>
      </w:r>
      <w:r>
        <w:rPr>
          <w:spacing w:val="-6"/>
        </w:rPr>
        <w:t> </w:t>
      </w:r>
      <w:r>
        <w:rPr/>
        <w:t>this</w:t>
      </w:r>
      <w:r>
        <w:rPr>
          <w:spacing w:val="-6"/>
        </w:rPr>
        <w:t> </w:t>
      </w:r>
      <w:r>
        <w:rPr/>
        <w:t>valuation</w:t>
      </w:r>
      <w:r>
        <w:rPr>
          <w:spacing w:val="-8"/>
        </w:rPr>
        <w:t> </w:t>
      </w:r>
      <w:r>
        <w:rPr/>
        <w:t>exercise.</w:t>
      </w:r>
    </w:p>
    <w:p>
      <w:pPr>
        <w:spacing w:after="0" w:line="321" w:lineRule="auto"/>
        <w:jc w:val="both"/>
        <w:sectPr>
          <w:pgSz w:w="11910" w:h="16840"/>
          <w:pgMar w:header="720" w:footer="921" w:top="1660" w:bottom="1120" w:left="580" w:right="600"/>
        </w:sectPr>
      </w:pPr>
    </w:p>
    <w:p>
      <w:pPr>
        <w:pStyle w:val="BodyText"/>
        <w:spacing w:before="7"/>
        <w:rPr>
          <w:sz w:val="9"/>
        </w:rPr>
      </w:pPr>
    </w:p>
    <w:p>
      <w:pPr>
        <w:pStyle w:val="BodyText"/>
        <w:spacing w:line="321" w:lineRule="auto" w:before="106"/>
        <w:ind w:left="702" w:right="124"/>
        <w:jc w:val="both"/>
      </w:pPr>
      <w:r>
        <w:rPr/>
        <w:t>Based</w:t>
      </w:r>
      <w:r>
        <w:rPr>
          <w:spacing w:val="-13"/>
        </w:rPr>
        <w:t> </w:t>
      </w:r>
      <w:r>
        <w:rPr/>
        <w:t>on</w:t>
      </w:r>
      <w:r>
        <w:rPr>
          <w:spacing w:val="-11"/>
        </w:rPr>
        <w:t> </w:t>
      </w:r>
      <w:r>
        <w:rPr/>
        <w:t>our</w:t>
      </w:r>
      <w:r>
        <w:rPr>
          <w:spacing w:val="-11"/>
        </w:rPr>
        <w:t> </w:t>
      </w:r>
      <w:r>
        <w:rPr/>
        <w:t>market</w:t>
      </w:r>
      <w:r>
        <w:rPr>
          <w:spacing w:val="-11"/>
        </w:rPr>
        <w:t> </w:t>
      </w:r>
      <w:r>
        <w:rPr/>
        <w:t>study</w:t>
      </w:r>
      <w:r>
        <w:rPr>
          <w:spacing w:val="-10"/>
        </w:rPr>
        <w:t> </w:t>
      </w:r>
      <w:r>
        <w:rPr/>
        <w:t>and</w:t>
      </w:r>
      <w:r>
        <w:rPr>
          <w:spacing w:val="-11"/>
        </w:rPr>
        <w:t> </w:t>
      </w:r>
      <w:r>
        <w:rPr/>
        <w:t>based</w:t>
      </w:r>
      <w:r>
        <w:rPr>
          <w:spacing w:val="-10"/>
        </w:rPr>
        <w:t> </w:t>
      </w:r>
      <w:r>
        <w:rPr/>
        <w:t>on</w:t>
      </w:r>
      <w:r>
        <w:rPr>
          <w:spacing w:val="-14"/>
        </w:rPr>
        <w:t> </w:t>
      </w:r>
      <w:r>
        <w:rPr/>
        <w:t>the</w:t>
      </w:r>
      <w:r>
        <w:rPr>
          <w:spacing w:val="-12"/>
        </w:rPr>
        <w:t> </w:t>
      </w:r>
      <w:r>
        <w:rPr/>
        <w:t>analysis</w:t>
      </w:r>
      <w:r>
        <w:rPr>
          <w:spacing w:val="-12"/>
        </w:rPr>
        <w:t> </w:t>
      </w:r>
      <w:r>
        <w:rPr/>
        <w:t>of</w:t>
      </w:r>
      <w:r>
        <w:rPr>
          <w:spacing w:val="-11"/>
        </w:rPr>
        <w:t> </w:t>
      </w:r>
      <w:r>
        <w:rPr/>
        <w:t>the</w:t>
      </w:r>
      <w:r>
        <w:rPr>
          <w:spacing w:val="-11"/>
        </w:rPr>
        <w:t> </w:t>
      </w:r>
      <w:r>
        <w:rPr/>
        <w:t>rent</w:t>
      </w:r>
      <w:r>
        <w:rPr>
          <w:spacing w:val="-12"/>
        </w:rPr>
        <w:t> </w:t>
      </w:r>
      <w:r>
        <w:rPr/>
        <w:t>roll</w:t>
      </w:r>
      <w:r>
        <w:rPr>
          <w:spacing w:val="-12"/>
        </w:rPr>
        <w:t> </w:t>
      </w:r>
      <w:r>
        <w:rPr/>
        <w:t>provided</w:t>
      </w:r>
      <w:r>
        <w:rPr>
          <w:spacing w:val="-11"/>
        </w:rPr>
        <w:t> </w:t>
      </w:r>
      <w:r>
        <w:rPr/>
        <w:t>by</w:t>
      </w:r>
      <w:r>
        <w:rPr>
          <w:spacing w:val="-10"/>
        </w:rPr>
        <w:t> </w:t>
      </w:r>
      <w:r>
        <w:rPr/>
        <w:t>the</w:t>
      </w:r>
      <w:r>
        <w:rPr>
          <w:spacing w:val="-14"/>
        </w:rPr>
        <w:t> </w:t>
      </w:r>
      <w:r>
        <w:rPr/>
        <w:t>Client,</w:t>
      </w:r>
      <w:r>
        <w:rPr>
          <w:spacing w:val="-11"/>
        </w:rPr>
        <w:t> </w:t>
      </w:r>
      <w:r>
        <w:rPr/>
        <w:t>following rents</w:t>
      </w:r>
      <w:r>
        <w:rPr>
          <w:spacing w:val="-10"/>
        </w:rPr>
        <w:t> </w:t>
      </w:r>
      <w:r>
        <w:rPr/>
        <w:t>have</w:t>
      </w:r>
      <w:r>
        <w:rPr>
          <w:spacing w:val="-11"/>
        </w:rPr>
        <w:t> </w:t>
      </w:r>
      <w:r>
        <w:rPr/>
        <w:t>been</w:t>
      </w:r>
      <w:r>
        <w:rPr>
          <w:spacing w:val="-12"/>
        </w:rPr>
        <w:t> </w:t>
      </w:r>
      <w:r>
        <w:rPr/>
        <w:t>adopted</w:t>
      </w:r>
      <w:r>
        <w:rPr>
          <w:spacing w:val="-13"/>
        </w:rPr>
        <w:t> </w:t>
      </w:r>
      <w:r>
        <w:rPr/>
        <w:t>for</w:t>
      </w:r>
      <w:r>
        <w:rPr>
          <w:spacing w:val="-11"/>
        </w:rPr>
        <w:t> </w:t>
      </w:r>
      <w:r>
        <w:rPr/>
        <w:t>the</w:t>
      </w:r>
      <w:r>
        <w:rPr>
          <w:spacing w:val="-12"/>
        </w:rPr>
        <w:t> </w:t>
      </w:r>
      <w:r>
        <w:rPr/>
        <w:t>purpose</w:t>
      </w:r>
      <w:r>
        <w:rPr>
          <w:spacing w:val="-11"/>
        </w:rPr>
        <w:t> </w:t>
      </w:r>
      <w:r>
        <w:rPr/>
        <w:t>of</w:t>
      </w:r>
      <w:r>
        <w:rPr>
          <w:spacing w:val="-11"/>
        </w:rPr>
        <w:t> </w:t>
      </w:r>
      <w:r>
        <w:rPr/>
        <w:t>value</w:t>
      </w:r>
      <w:r>
        <w:rPr>
          <w:spacing w:val="-11"/>
        </w:rPr>
        <w:t> </w:t>
      </w:r>
      <w:r>
        <w:rPr/>
        <w:t>assessment</w:t>
      </w:r>
      <w:r>
        <w:rPr>
          <w:spacing w:val="-11"/>
        </w:rPr>
        <w:t> </w:t>
      </w:r>
      <w:r>
        <w:rPr/>
        <w:t>of</w:t>
      </w:r>
      <w:r>
        <w:rPr>
          <w:spacing w:val="-10"/>
        </w:rPr>
        <w:t> </w:t>
      </w:r>
      <w:r>
        <w:rPr/>
        <w:t>the</w:t>
      </w:r>
      <w:r>
        <w:rPr>
          <w:spacing w:val="-14"/>
        </w:rPr>
        <w:t> </w:t>
      </w:r>
      <w:r>
        <w:rPr/>
        <w:t>subject</w:t>
      </w:r>
      <w:r>
        <w:rPr>
          <w:spacing w:val="-13"/>
        </w:rPr>
        <w:t> </w:t>
      </w:r>
      <w:r>
        <w:rPr/>
        <w:t>property.</w:t>
      </w:r>
    </w:p>
    <w:p>
      <w:pPr>
        <w:pStyle w:val="BodyText"/>
        <w:spacing w:before="1"/>
        <w:rPr>
          <w:sz w:val="10"/>
        </w:rPr>
      </w:pPr>
    </w:p>
    <w:tbl>
      <w:tblPr>
        <w:tblW w:w="0" w:type="auto"/>
        <w:jc w:val="left"/>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3"/>
        <w:gridCol w:w="2182"/>
        <w:gridCol w:w="1778"/>
        <w:gridCol w:w="2929"/>
        <w:gridCol w:w="1960"/>
      </w:tblGrid>
      <w:tr>
        <w:trPr>
          <w:trHeight w:val="431" w:hRule="atLeast"/>
        </w:trPr>
        <w:tc>
          <w:tcPr>
            <w:tcW w:w="1623" w:type="dxa"/>
            <w:tcBorders>
              <w:top w:val="single" w:sz="4" w:space="0" w:color="69BD28"/>
              <w:bottom w:val="single" w:sz="4" w:space="0" w:color="69BD28"/>
            </w:tcBorders>
            <w:shd w:val="clear" w:color="auto" w:fill="006A4D"/>
          </w:tcPr>
          <w:p>
            <w:pPr>
              <w:pStyle w:val="TableParagraph"/>
              <w:spacing w:before="111"/>
              <w:ind w:left="288" w:right="286"/>
              <w:rPr>
                <w:b/>
                <w:sz w:val="18"/>
              </w:rPr>
            </w:pPr>
            <w:r>
              <w:rPr>
                <w:b/>
                <w:color w:val="FFFFFF"/>
                <w:w w:val="105"/>
                <w:sz w:val="18"/>
              </w:rPr>
              <w:t>Component</w:t>
            </w:r>
          </w:p>
        </w:tc>
        <w:tc>
          <w:tcPr>
            <w:tcW w:w="2182" w:type="dxa"/>
            <w:tcBorders>
              <w:top w:val="single" w:sz="4" w:space="0" w:color="69BD28"/>
              <w:bottom w:val="single" w:sz="4" w:space="0" w:color="69BD28"/>
            </w:tcBorders>
            <w:shd w:val="clear" w:color="auto" w:fill="006A4D"/>
          </w:tcPr>
          <w:p>
            <w:pPr>
              <w:pStyle w:val="TableParagraph"/>
              <w:spacing w:before="111"/>
              <w:ind w:left="297" w:right="184"/>
              <w:rPr>
                <w:b/>
                <w:sz w:val="18"/>
              </w:rPr>
            </w:pPr>
            <w:r>
              <w:rPr>
                <w:b/>
                <w:color w:val="FFFFFF"/>
                <w:w w:val="110"/>
                <w:sz w:val="18"/>
              </w:rPr>
              <w:t>Leasable Area (sf)</w:t>
            </w:r>
          </w:p>
        </w:tc>
        <w:tc>
          <w:tcPr>
            <w:tcW w:w="1778" w:type="dxa"/>
            <w:tcBorders>
              <w:top w:val="single" w:sz="4" w:space="0" w:color="69BD28"/>
              <w:bottom w:val="single" w:sz="4" w:space="0" w:color="69BD28"/>
            </w:tcBorders>
            <w:shd w:val="clear" w:color="auto" w:fill="006A4D"/>
          </w:tcPr>
          <w:p>
            <w:pPr>
              <w:pStyle w:val="TableParagraph"/>
              <w:spacing w:before="111"/>
              <w:ind w:left="177" w:right="65"/>
              <w:rPr>
                <w:b/>
                <w:sz w:val="18"/>
              </w:rPr>
            </w:pPr>
            <w:r>
              <w:rPr>
                <w:b/>
                <w:color w:val="FFFFFF"/>
                <w:w w:val="110"/>
                <w:sz w:val="18"/>
              </w:rPr>
              <w:t>Leased Area (sf)</w:t>
            </w:r>
          </w:p>
        </w:tc>
        <w:tc>
          <w:tcPr>
            <w:tcW w:w="2929" w:type="dxa"/>
            <w:tcBorders>
              <w:top w:val="single" w:sz="4" w:space="0" w:color="69BD28"/>
              <w:bottom w:val="single" w:sz="4" w:space="0" w:color="69BD28"/>
            </w:tcBorders>
            <w:shd w:val="clear" w:color="auto" w:fill="006A4D"/>
          </w:tcPr>
          <w:p>
            <w:pPr>
              <w:pStyle w:val="TableParagraph"/>
              <w:spacing w:before="111"/>
              <w:ind w:left="271" w:right="269"/>
              <w:rPr>
                <w:b/>
                <w:sz w:val="18"/>
              </w:rPr>
            </w:pPr>
            <w:r>
              <w:rPr>
                <w:b/>
                <w:color w:val="FFFFFF"/>
                <w:w w:val="115"/>
                <w:sz w:val="18"/>
              </w:rPr>
              <w:t>Basis</w:t>
            </w:r>
          </w:p>
        </w:tc>
        <w:tc>
          <w:tcPr>
            <w:tcW w:w="1960" w:type="dxa"/>
            <w:tcBorders>
              <w:top w:val="single" w:sz="4" w:space="0" w:color="69BD28"/>
              <w:bottom w:val="single" w:sz="4" w:space="0" w:color="69BD28"/>
            </w:tcBorders>
            <w:shd w:val="clear" w:color="auto" w:fill="006A4D"/>
          </w:tcPr>
          <w:p>
            <w:pPr>
              <w:pStyle w:val="TableParagraph"/>
              <w:spacing w:before="3"/>
              <w:ind w:left="66" w:right="63"/>
              <w:rPr>
                <w:b/>
                <w:sz w:val="18"/>
              </w:rPr>
            </w:pPr>
            <w:r>
              <w:rPr>
                <w:b/>
                <w:color w:val="FFFFFF"/>
                <w:w w:val="110"/>
                <w:sz w:val="18"/>
              </w:rPr>
              <w:t>Rent Adopted* (INR</w:t>
            </w:r>
          </w:p>
          <w:p>
            <w:pPr>
              <w:pStyle w:val="TableParagraph"/>
              <w:spacing w:line="192" w:lineRule="exact" w:before="7"/>
              <w:ind w:left="66" w:right="61"/>
              <w:rPr>
                <w:b/>
                <w:sz w:val="18"/>
              </w:rPr>
            </w:pPr>
            <w:r>
              <w:rPr>
                <w:b/>
                <w:color w:val="FFFFFF"/>
                <w:w w:val="105"/>
                <w:sz w:val="18"/>
              </w:rPr>
              <w:t>psf pm)</w:t>
            </w:r>
          </w:p>
        </w:tc>
      </w:tr>
      <w:tr>
        <w:trPr>
          <w:trHeight w:val="277" w:hRule="atLeast"/>
        </w:trPr>
        <w:tc>
          <w:tcPr>
            <w:tcW w:w="1623" w:type="dxa"/>
            <w:shd w:val="clear" w:color="auto" w:fill="69BD28"/>
          </w:tcPr>
          <w:p>
            <w:pPr>
              <w:pStyle w:val="TableParagraph"/>
              <w:jc w:val="left"/>
              <w:rPr>
                <w:rFonts w:ascii="Times New Roman"/>
                <w:sz w:val="20"/>
              </w:rPr>
            </w:pPr>
          </w:p>
        </w:tc>
        <w:tc>
          <w:tcPr>
            <w:tcW w:w="2182" w:type="dxa"/>
            <w:tcBorders>
              <w:top w:val="single" w:sz="4" w:space="0" w:color="69BD28"/>
            </w:tcBorders>
          </w:tcPr>
          <w:p>
            <w:pPr>
              <w:pStyle w:val="TableParagraph"/>
              <w:jc w:val="left"/>
              <w:rPr>
                <w:rFonts w:ascii="Times New Roman"/>
                <w:sz w:val="20"/>
              </w:rPr>
            </w:pPr>
          </w:p>
        </w:tc>
        <w:tc>
          <w:tcPr>
            <w:tcW w:w="1778" w:type="dxa"/>
            <w:tcBorders>
              <w:top w:val="single" w:sz="4" w:space="0" w:color="69BD28"/>
            </w:tcBorders>
          </w:tcPr>
          <w:p>
            <w:pPr>
              <w:pStyle w:val="TableParagraph"/>
              <w:jc w:val="left"/>
              <w:rPr>
                <w:rFonts w:ascii="Times New Roman"/>
                <w:sz w:val="20"/>
              </w:rPr>
            </w:pPr>
          </w:p>
        </w:tc>
        <w:tc>
          <w:tcPr>
            <w:tcW w:w="2929" w:type="dxa"/>
            <w:tcBorders>
              <w:top w:val="single" w:sz="4" w:space="0" w:color="69BD28"/>
            </w:tcBorders>
          </w:tcPr>
          <w:p>
            <w:pPr>
              <w:pStyle w:val="TableParagraph"/>
              <w:spacing w:before="44"/>
              <w:ind w:left="271" w:right="269"/>
              <w:rPr>
                <w:sz w:val="18"/>
              </w:rPr>
            </w:pPr>
            <w:r>
              <w:rPr>
                <w:sz w:val="18"/>
              </w:rPr>
              <w:t>Current Rent for Leased area</w:t>
            </w:r>
          </w:p>
        </w:tc>
        <w:tc>
          <w:tcPr>
            <w:tcW w:w="1960" w:type="dxa"/>
            <w:tcBorders>
              <w:top w:val="single" w:sz="4" w:space="0" w:color="69BD28"/>
            </w:tcBorders>
          </w:tcPr>
          <w:p>
            <w:pPr>
              <w:pStyle w:val="TableParagraph"/>
              <w:spacing w:before="44"/>
              <w:ind w:left="65" w:right="63"/>
              <w:rPr>
                <w:sz w:val="18"/>
              </w:rPr>
            </w:pPr>
            <w:r>
              <w:rPr>
                <w:w w:val="125"/>
                <w:sz w:val="18"/>
              </w:rPr>
              <w:t>47.9^</w:t>
            </w:r>
          </w:p>
        </w:tc>
      </w:tr>
      <w:tr>
        <w:trPr>
          <w:trHeight w:val="540" w:hRule="atLeast"/>
        </w:trPr>
        <w:tc>
          <w:tcPr>
            <w:tcW w:w="1623" w:type="dxa"/>
            <w:shd w:val="clear" w:color="auto" w:fill="69BD28"/>
          </w:tcPr>
          <w:p>
            <w:pPr>
              <w:pStyle w:val="TableParagraph"/>
              <w:spacing w:before="26"/>
              <w:ind w:left="286" w:right="286"/>
              <w:rPr>
                <w:b/>
                <w:sz w:val="18"/>
              </w:rPr>
            </w:pPr>
            <w:r>
              <w:rPr>
                <w:b/>
                <w:color w:val="FFFFFF"/>
                <w:w w:val="105"/>
                <w:sz w:val="18"/>
              </w:rPr>
              <w:t>Office</w:t>
            </w:r>
          </w:p>
        </w:tc>
        <w:tc>
          <w:tcPr>
            <w:tcW w:w="2182" w:type="dxa"/>
            <w:tcBorders>
              <w:bottom w:val="single" w:sz="4" w:space="0" w:color="69BD28"/>
            </w:tcBorders>
          </w:tcPr>
          <w:p>
            <w:pPr>
              <w:pStyle w:val="TableParagraph"/>
              <w:spacing w:before="26"/>
              <w:ind w:left="297" w:right="183"/>
              <w:rPr>
                <w:sz w:val="18"/>
              </w:rPr>
            </w:pPr>
            <w:r>
              <w:rPr>
                <w:w w:val="105"/>
                <w:sz w:val="18"/>
              </w:rPr>
              <w:t>3,254,307</w:t>
            </w:r>
          </w:p>
        </w:tc>
        <w:tc>
          <w:tcPr>
            <w:tcW w:w="1778" w:type="dxa"/>
            <w:tcBorders>
              <w:bottom w:val="single" w:sz="4" w:space="0" w:color="69BD28"/>
            </w:tcBorders>
          </w:tcPr>
          <w:p>
            <w:pPr>
              <w:pStyle w:val="TableParagraph"/>
              <w:spacing w:before="26"/>
              <w:ind w:left="176" w:right="65"/>
              <w:rPr>
                <w:sz w:val="18"/>
              </w:rPr>
            </w:pPr>
            <w:r>
              <w:rPr>
                <w:w w:val="110"/>
                <w:sz w:val="18"/>
              </w:rPr>
              <w:t>2,114,985**</w:t>
            </w:r>
          </w:p>
        </w:tc>
        <w:tc>
          <w:tcPr>
            <w:tcW w:w="2929" w:type="dxa"/>
            <w:tcBorders>
              <w:bottom w:val="single" w:sz="4" w:space="0" w:color="69BD28"/>
            </w:tcBorders>
          </w:tcPr>
          <w:p>
            <w:pPr>
              <w:pStyle w:val="TableParagraph"/>
              <w:spacing w:line="247" w:lineRule="auto" w:before="71"/>
              <w:ind w:left="1285" w:right="78" w:hanging="1191"/>
              <w:jc w:val="left"/>
              <w:rPr>
                <w:sz w:val="18"/>
              </w:rPr>
            </w:pPr>
            <w:r>
              <w:rPr>
                <w:sz w:val="18"/>
              </w:rPr>
              <w:t>Marginal</w:t>
            </w:r>
            <w:r>
              <w:rPr>
                <w:spacing w:val="-27"/>
                <w:sz w:val="18"/>
              </w:rPr>
              <w:t> </w:t>
            </w:r>
            <w:r>
              <w:rPr>
                <w:sz w:val="18"/>
              </w:rPr>
              <w:t>rent</w:t>
            </w:r>
            <w:r>
              <w:rPr>
                <w:spacing w:val="-26"/>
                <w:sz w:val="18"/>
              </w:rPr>
              <w:t> </w:t>
            </w:r>
            <w:r>
              <w:rPr>
                <w:sz w:val="18"/>
              </w:rPr>
              <w:t>for</w:t>
            </w:r>
            <w:r>
              <w:rPr>
                <w:spacing w:val="-26"/>
                <w:sz w:val="18"/>
              </w:rPr>
              <w:t> </w:t>
            </w:r>
            <w:r>
              <w:rPr>
                <w:sz w:val="18"/>
              </w:rPr>
              <w:t>reversion/</w:t>
            </w:r>
            <w:r>
              <w:rPr>
                <w:spacing w:val="-26"/>
                <w:sz w:val="18"/>
              </w:rPr>
              <w:t> </w:t>
            </w:r>
            <w:r>
              <w:rPr>
                <w:sz w:val="18"/>
              </w:rPr>
              <w:t>vacant area</w:t>
            </w:r>
          </w:p>
        </w:tc>
        <w:tc>
          <w:tcPr>
            <w:tcW w:w="1960" w:type="dxa"/>
            <w:tcBorders>
              <w:bottom w:val="single" w:sz="4" w:space="0" w:color="69BD28"/>
            </w:tcBorders>
          </w:tcPr>
          <w:p>
            <w:pPr>
              <w:pStyle w:val="TableParagraph"/>
              <w:spacing w:before="179"/>
              <w:ind w:left="64" w:right="63"/>
              <w:rPr>
                <w:sz w:val="18"/>
              </w:rPr>
            </w:pPr>
            <w:r>
              <w:rPr>
                <w:w w:val="105"/>
                <w:sz w:val="18"/>
              </w:rPr>
              <w:t>54.0</w:t>
            </w:r>
          </w:p>
        </w:tc>
      </w:tr>
    </w:tbl>
    <w:p>
      <w:pPr>
        <w:spacing w:before="3"/>
        <w:ind w:left="140" w:right="0" w:firstLine="0"/>
        <w:jc w:val="left"/>
        <w:rPr>
          <w:i/>
          <w:sz w:val="18"/>
        </w:rPr>
      </w:pPr>
      <w:r>
        <w:rPr>
          <w:i/>
          <w:sz w:val="18"/>
        </w:rPr>
        <w:t>Source: Rent roll provided by the Client; Valuer Assessment</w:t>
      </w:r>
    </w:p>
    <w:p>
      <w:pPr>
        <w:spacing w:before="70"/>
        <w:ind w:left="140" w:right="0" w:firstLine="0"/>
        <w:jc w:val="left"/>
        <w:rPr>
          <w:i/>
          <w:sz w:val="18"/>
        </w:rPr>
      </w:pPr>
      <w:r>
        <w:rPr>
          <w:i/>
          <w:sz w:val="18"/>
        </w:rPr>
        <w:t>* The rents mentioned above exclude other income such as CAM charges, parking income received from the tenants, etc.</w:t>
      </w:r>
    </w:p>
    <w:p>
      <w:pPr>
        <w:spacing w:before="72"/>
        <w:ind w:left="140" w:right="0" w:firstLine="0"/>
        <w:jc w:val="left"/>
        <w:rPr>
          <w:i/>
          <w:sz w:val="18"/>
        </w:rPr>
      </w:pPr>
      <w:r>
        <w:rPr>
          <w:i/>
          <w:spacing w:val="-1"/>
          <w:w w:val="116"/>
          <w:sz w:val="18"/>
        </w:rPr>
        <w:t>*</w:t>
      </w:r>
      <w:r>
        <w:rPr>
          <w:i/>
          <w:w w:val="116"/>
          <w:sz w:val="18"/>
        </w:rPr>
        <w:t>*</w:t>
      </w:r>
      <w:r>
        <w:rPr>
          <w:i/>
          <w:spacing w:val="-3"/>
          <w:sz w:val="18"/>
        </w:rPr>
        <w:t> </w:t>
      </w:r>
      <w:r>
        <w:rPr>
          <w:i/>
          <w:w w:val="94"/>
          <w:sz w:val="18"/>
        </w:rPr>
        <w:t>I</w:t>
      </w:r>
      <w:r>
        <w:rPr>
          <w:i/>
          <w:w w:val="99"/>
          <w:sz w:val="18"/>
        </w:rPr>
        <w:t>n</w:t>
      </w:r>
      <w:r>
        <w:rPr>
          <w:i/>
          <w:w w:val="100"/>
          <w:sz w:val="18"/>
        </w:rPr>
        <w:t>c</w:t>
      </w:r>
      <w:r>
        <w:rPr>
          <w:i/>
          <w:spacing w:val="-1"/>
          <w:w w:val="85"/>
          <w:sz w:val="18"/>
        </w:rPr>
        <w:t>l</w:t>
      </w:r>
      <w:r>
        <w:rPr>
          <w:i/>
          <w:spacing w:val="-2"/>
          <w:w w:val="85"/>
          <w:sz w:val="18"/>
        </w:rPr>
        <w:t>u</w:t>
      </w:r>
      <w:r>
        <w:rPr>
          <w:i/>
          <w:w w:val="101"/>
          <w:sz w:val="18"/>
        </w:rPr>
        <w:t>d</w:t>
      </w:r>
      <w:r>
        <w:rPr>
          <w:i/>
          <w:w w:val="97"/>
          <w:sz w:val="18"/>
        </w:rPr>
        <w:t>es</w:t>
      </w:r>
      <w:r>
        <w:rPr>
          <w:i/>
          <w:spacing w:val="-3"/>
          <w:sz w:val="18"/>
        </w:rPr>
        <w:t> </w:t>
      </w:r>
      <w:r>
        <w:rPr>
          <w:i/>
          <w:w w:val="100"/>
          <w:sz w:val="18"/>
        </w:rPr>
        <w:t>c</w:t>
      </w:r>
      <w:r>
        <w:rPr>
          <w:i/>
          <w:spacing w:val="-1"/>
          <w:w w:val="102"/>
          <w:sz w:val="18"/>
        </w:rPr>
        <w:t>o</w:t>
      </w:r>
      <w:r>
        <w:rPr>
          <w:i/>
          <w:spacing w:val="-1"/>
          <w:w w:val="88"/>
          <w:sz w:val="18"/>
        </w:rPr>
        <w:t>mmi</w:t>
      </w:r>
      <w:r>
        <w:rPr>
          <w:i/>
          <w:spacing w:val="1"/>
          <w:w w:val="88"/>
          <w:sz w:val="18"/>
        </w:rPr>
        <w:t>t</w:t>
      </w:r>
      <w:r>
        <w:rPr>
          <w:i/>
          <w:w w:val="68"/>
          <w:sz w:val="18"/>
        </w:rPr>
        <w:t>t</w:t>
      </w:r>
      <w:r>
        <w:rPr>
          <w:i/>
          <w:spacing w:val="-3"/>
          <w:w w:val="94"/>
          <w:sz w:val="18"/>
        </w:rPr>
        <w:t>e</w:t>
      </w:r>
      <w:r>
        <w:rPr>
          <w:i/>
          <w:w w:val="101"/>
          <w:sz w:val="18"/>
        </w:rPr>
        <w:t>d</w:t>
      </w:r>
      <w:r>
        <w:rPr>
          <w:i/>
          <w:spacing w:val="-3"/>
          <w:sz w:val="18"/>
        </w:rPr>
        <w:t> </w:t>
      </w:r>
      <w:r>
        <w:rPr>
          <w:i/>
          <w:w w:val="107"/>
          <w:sz w:val="18"/>
        </w:rPr>
        <w:t>a</w:t>
      </w:r>
      <w:r>
        <w:rPr>
          <w:i/>
          <w:spacing w:val="-1"/>
          <w:w w:val="81"/>
          <w:sz w:val="18"/>
        </w:rPr>
        <w:t>r</w:t>
      </w:r>
      <w:r>
        <w:rPr>
          <w:i/>
          <w:w w:val="101"/>
          <w:sz w:val="18"/>
        </w:rPr>
        <w:t>e</w:t>
      </w:r>
      <w:r>
        <w:rPr>
          <w:i/>
          <w:spacing w:val="1"/>
          <w:w w:val="101"/>
          <w:sz w:val="18"/>
        </w:rPr>
        <w:t>a</w:t>
      </w:r>
      <w:r>
        <w:rPr>
          <w:i/>
          <w:w w:val="83"/>
          <w:sz w:val="18"/>
        </w:rPr>
        <w:t>;</w:t>
      </w:r>
      <w:r>
        <w:rPr>
          <w:i/>
          <w:spacing w:val="-2"/>
          <w:sz w:val="18"/>
        </w:rPr>
        <w:t> </w:t>
      </w:r>
      <w:r>
        <w:rPr>
          <w:i/>
          <w:spacing w:val="-3"/>
          <w:w w:val="190"/>
          <w:sz w:val="18"/>
        </w:rPr>
        <w:t>^</w:t>
      </w:r>
      <w:r>
        <w:rPr>
          <w:i/>
          <w:spacing w:val="-1"/>
          <w:w w:val="95"/>
          <w:sz w:val="18"/>
        </w:rPr>
        <w:t>w</w:t>
      </w:r>
      <w:r>
        <w:rPr>
          <w:i/>
          <w:w w:val="97"/>
          <w:sz w:val="18"/>
        </w:rPr>
        <w:t>eig</w:t>
      </w:r>
      <w:r>
        <w:rPr>
          <w:i/>
          <w:w w:val="97"/>
          <w:sz w:val="18"/>
        </w:rPr>
        <w:t>h</w:t>
      </w:r>
      <w:r>
        <w:rPr>
          <w:i/>
          <w:w w:val="68"/>
          <w:sz w:val="18"/>
        </w:rPr>
        <w:t>t</w:t>
      </w:r>
      <w:r>
        <w:rPr>
          <w:i/>
          <w:w w:val="98"/>
          <w:sz w:val="18"/>
        </w:rPr>
        <w:t>ed</w:t>
      </w:r>
      <w:r>
        <w:rPr>
          <w:i/>
          <w:spacing w:val="-4"/>
          <w:sz w:val="18"/>
        </w:rPr>
        <w:t> </w:t>
      </w:r>
      <w:r>
        <w:rPr>
          <w:i/>
          <w:w w:val="107"/>
          <w:sz w:val="18"/>
        </w:rPr>
        <w:t>a</w:t>
      </w:r>
      <w:r>
        <w:rPr>
          <w:i/>
          <w:w w:val="91"/>
          <w:sz w:val="18"/>
        </w:rPr>
        <w:t>v</w:t>
      </w:r>
      <w:r>
        <w:rPr>
          <w:i/>
          <w:w w:val="88"/>
          <w:sz w:val="18"/>
        </w:rPr>
        <w:t>e</w:t>
      </w:r>
      <w:r>
        <w:rPr>
          <w:i/>
          <w:spacing w:val="-4"/>
          <w:w w:val="88"/>
          <w:sz w:val="18"/>
        </w:rPr>
        <w:t>r</w:t>
      </w:r>
      <w:r>
        <w:rPr>
          <w:i/>
          <w:w w:val="107"/>
          <w:sz w:val="18"/>
        </w:rPr>
        <w:t>a</w:t>
      </w:r>
      <w:r>
        <w:rPr>
          <w:i/>
          <w:w w:val="112"/>
          <w:sz w:val="18"/>
        </w:rPr>
        <w:t>g</w:t>
      </w:r>
      <w:r>
        <w:rPr>
          <w:i/>
          <w:w w:val="94"/>
          <w:sz w:val="18"/>
        </w:rPr>
        <w:t>e</w:t>
      </w:r>
      <w:r>
        <w:rPr>
          <w:i/>
          <w:spacing w:val="-2"/>
          <w:sz w:val="18"/>
        </w:rPr>
        <w:t> </w:t>
      </w:r>
      <w:r>
        <w:rPr>
          <w:i/>
          <w:spacing w:val="-1"/>
          <w:w w:val="95"/>
          <w:sz w:val="18"/>
        </w:rPr>
        <w:t>w</w:t>
      </w:r>
      <w:r>
        <w:rPr>
          <w:i/>
          <w:w w:val="107"/>
          <w:sz w:val="18"/>
        </w:rPr>
        <w:t>a</w:t>
      </w:r>
      <w:r>
        <w:rPr>
          <w:i/>
          <w:spacing w:val="-1"/>
          <w:w w:val="81"/>
          <w:sz w:val="18"/>
        </w:rPr>
        <w:t>r</w:t>
      </w:r>
      <w:r>
        <w:rPr>
          <w:i/>
          <w:w w:val="94"/>
          <w:sz w:val="18"/>
        </w:rPr>
        <w:t>m</w:t>
      </w:r>
      <w:r>
        <w:rPr>
          <w:i/>
          <w:spacing w:val="-4"/>
          <w:sz w:val="18"/>
        </w:rPr>
        <w:t> </w:t>
      </w:r>
      <w:r>
        <w:rPr>
          <w:i/>
          <w:w w:val="101"/>
          <w:sz w:val="18"/>
        </w:rPr>
        <w:t>s</w:t>
      </w:r>
      <w:r>
        <w:rPr>
          <w:i/>
          <w:w w:val="97"/>
          <w:sz w:val="18"/>
        </w:rPr>
        <w:t>h</w:t>
      </w:r>
      <w:r>
        <w:rPr>
          <w:i/>
          <w:w w:val="84"/>
          <w:sz w:val="18"/>
        </w:rPr>
        <w:t>ell</w:t>
      </w:r>
      <w:r>
        <w:rPr>
          <w:i/>
          <w:sz w:val="18"/>
        </w:rPr>
        <w:t> </w:t>
      </w:r>
      <w:r>
        <w:rPr>
          <w:i/>
          <w:spacing w:val="-4"/>
          <w:w w:val="81"/>
          <w:sz w:val="18"/>
        </w:rPr>
        <w:t>r</w:t>
      </w:r>
      <w:r>
        <w:rPr>
          <w:i/>
          <w:w w:val="96"/>
          <w:sz w:val="18"/>
        </w:rPr>
        <w:t>en</w:t>
      </w:r>
      <w:r>
        <w:rPr>
          <w:i/>
          <w:w w:val="68"/>
          <w:sz w:val="18"/>
        </w:rPr>
        <w:t>t</w:t>
      </w:r>
      <w:r>
        <w:rPr>
          <w:i/>
          <w:spacing w:val="-1"/>
          <w:sz w:val="18"/>
        </w:rPr>
        <w:t> </w:t>
      </w:r>
      <w:r>
        <w:rPr>
          <w:i/>
          <w:spacing w:val="-1"/>
          <w:w w:val="77"/>
          <w:sz w:val="18"/>
        </w:rPr>
        <w:t>f</w:t>
      </w:r>
      <w:r>
        <w:rPr>
          <w:i/>
          <w:spacing w:val="-1"/>
          <w:w w:val="102"/>
          <w:sz w:val="18"/>
        </w:rPr>
        <w:t>o</w:t>
      </w:r>
      <w:r>
        <w:rPr>
          <w:i/>
          <w:w w:val="81"/>
          <w:sz w:val="18"/>
        </w:rPr>
        <w:t>r</w:t>
      </w:r>
      <w:r>
        <w:rPr>
          <w:i/>
          <w:spacing w:val="-3"/>
          <w:sz w:val="18"/>
        </w:rPr>
        <w:t> </w:t>
      </w:r>
      <w:r>
        <w:rPr>
          <w:i/>
          <w:w w:val="107"/>
          <w:sz w:val="18"/>
        </w:rPr>
        <w:t>a</w:t>
      </w:r>
      <w:r>
        <w:rPr>
          <w:i/>
          <w:spacing w:val="-1"/>
          <w:w w:val="81"/>
          <w:sz w:val="18"/>
        </w:rPr>
        <w:t>r</w:t>
      </w:r>
      <w:r>
        <w:rPr>
          <w:i/>
          <w:w w:val="101"/>
          <w:sz w:val="18"/>
        </w:rPr>
        <w:t>ea</w:t>
      </w:r>
      <w:r>
        <w:rPr>
          <w:i/>
          <w:spacing w:val="-4"/>
          <w:sz w:val="18"/>
        </w:rPr>
        <w:t> </w:t>
      </w:r>
      <w:r>
        <w:rPr>
          <w:i/>
          <w:w w:val="107"/>
          <w:sz w:val="18"/>
        </w:rPr>
        <w:t>a</w:t>
      </w:r>
      <w:r>
        <w:rPr>
          <w:i/>
          <w:spacing w:val="-1"/>
          <w:w w:val="78"/>
          <w:sz w:val="18"/>
        </w:rPr>
        <w:t>l</w:t>
      </w:r>
      <w:r>
        <w:rPr>
          <w:i/>
          <w:spacing w:val="-2"/>
          <w:w w:val="78"/>
          <w:sz w:val="18"/>
        </w:rPr>
        <w:t>r</w:t>
      </w:r>
      <w:r>
        <w:rPr>
          <w:i/>
          <w:w w:val="101"/>
          <w:sz w:val="18"/>
        </w:rPr>
        <w:t>ea</w:t>
      </w:r>
      <w:r>
        <w:rPr>
          <w:i/>
          <w:spacing w:val="-2"/>
          <w:w w:val="101"/>
          <w:sz w:val="18"/>
        </w:rPr>
        <w:t>d</w:t>
      </w:r>
      <w:r>
        <w:rPr>
          <w:i/>
          <w:w w:val="94"/>
          <w:sz w:val="18"/>
        </w:rPr>
        <w:t>y</w:t>
      </w:r>
      <w:r>
        <w:rPr>
          <w:i/>
          <w:spacing w:val="-2"/>
          <w:sz w:val="18"/>
        </w:rPr>
        <w:t> </w:t>
      </w:r>
      <w:r>
        <w:rPr>
          <w:i/>
          <w:spacing w:val="-1"/>
          <w:w w:val="95"/>
          <w:sz w:val="18"/>
        </w:rPr>
        <w:t>le</w:t>
      </w:r>
      <w:r>
        <w:rPr>
          <w:i/>
          <w:w w:val="95"/>
          <w:sz w:val="18"/>
        </w:rPr>
        <w:t>a</w:t>
      </w:r>
      <w:r>
        <w:rPr>
          <w:i/>
          <w:w w:val="101"/>
          <w:sz w:val="18"/>
        </w:rPr>
        <w:t>s</w:t>
      </w:r>
      <w:r>
        <w:rPr>
          <w:i/>
          <w:spacing w:val="-3"/>
          <w:w w:val="94"/>
          <w:sz w:val="18"/>
        </w:rPr>
        <w:t>e</w:t>
      </w:r>
      <w:r>
        <w:rPr>
          <w:i/>
          <w:w w:val="101"/>
          <w:sz w:val="18"/>
        </w:rPr>
        <w:t>d</w:t>
      </w:r>
      <w:r>
        <w:rPr>
          <w:i/>
          <w:sz w:val="18"/>
        </w:rPr>
        <w:t> </w:t>
      </w:r>
      <w:r>
        <w:rPr>
          <w:i/>
          <w:w w:val="136"/>
          <w:sz w:val="18"/>
        </w:rPr>
        <w:t>–</w:t>
      </w:r>
      <w:r>
        <w:rPr>
          <w:i/>
          <w:spacing w:val="-3"/>
          <w:sz w:val="18"/>
        </w:rPr>
        <w:t> </w:t>
      </w:r>
      <w:r>
        <w:rPr>
          <w:i/>
          <w:spacing w:val="-2"/>
          <w:w w:val="107"/>
          <w:sz w:val="18"/>
        </w:rPr>
        <w:t>a</w:t>
      </w:r>
      <w:r>
        <w:rPr>
          <w:i/>
          <w:w w:val="101"/>
          <w:sz w:val="18"/>
        </w:rPr>
        <w:t>s</w:t>
      </w:r>
      <w:r>
        <w:rPr>
          <w:i/>
          <w:spacing w:val="-2"/>
          <w:sz w:val="18"/>
        </w:rPr>
        <w:t> </w:t>
      </w:r>
      <w:r>
        <w:rPr>
          <w:i/>
          <w:w w:val="101"/>
          <w:sz w:val="18"/>
        </w:rPr>
        <w:t>p</w:t>
      </w:r>
      <w:r>
        <w:rPr>
          <w:i/>
          <w:w w:val="88"/>
          <w:sz w:val="18"/>
        </w:rPr>
        <w:t>er</w:t>
      </w:r>
      <w:r>
        <w:rPr>
          <w:i/>
          <w:spacing w:val="-3"/>
          <w:sz w:val="18"/>
        </w:rPr>
        <w:t> </w:t>
      </w:r>
      <w:r>
        <w:rPr>
          <w:i/>
          <w:spacing w:val="-1"/>
          <w:w w:val="81"/>
          <w:sz w:val="18"/>
        </w:rPr>
        <w:t>r</w:t>
      </w:r>
      <w:r>
        <w:rPr>
          <w:i/>
          <w:w w:val="96"/>
          <w:sz w:val="18"/>
        </w:rPr>
        <w:t>en</w:t>
      </w:r>
      <w:r>
        <w:rPr>
          <w:i/>
          <w:w w:val="68"/>
          <w:sz w:val="18"/>
        </w:rPr>
        <w:t>t</w:t>
      </w:r>
      <w:r>
        <w:rPr>
          <w:i/>
          <w:spacing w:val="-3"/>
          <w:sz w:val="18"/>
        </w:rPr>
        <w:t> </w:t>
      </w:r>
      <w:r>
        <w:rPr>
          <w:i/>
          <w:spacing w:val="-1"/>
          <w:w w:val="81"/>
          <w:sz w:val="18"/>
        </w:rPr>
        <w:t>r</w:t>
      </w:r>
      <w:r>
        <w:rPr>
          <w:i/>
          <w:spacing w:val="-1"/>
          <w:w w:val="102"/>
          <w:sz w:val="18"/>
        </w:rPr>
        <w:t>o</w:t>
      </w:r>
      <w:r>
        <w:rPr>
          <w:i/>
          <w:spacing w:val="-1"/>
          <w:w w:val="75"/>
          <w:sz w:val="18"/>
        </w:rPr>
        <w:t>l</w:t>
      </w:r>
      <w:r>
        <w:rPr>
          <w:i/>
          <w:w w:val="75"/>
          <w:sz w:val="18"/>
        </w:rPr>
        <w:t>l</w:t>
      </w:r>
      <w:r>
        <w:rPr>
          <w:i/>
          <w:spacing w:val="-3"/>
          <w:sz w:val="18"/>
        </w:rPr>
        <w:t> </w:t>
      </w:r>
      <w:r>
        <w:rPr>
          <w:i/>
          <w:w w:val="101"/>
          <w:sz w:val="18"/>
        </w:rPr>
        <w:t>s</w:t>
      </w:r>
      <w:r>
        <w:rPr>
          <w:i/>
          <w:w w:val="97"/>
          <w:sz w:val="18"/>
        </w:rPr>
        <w:t>h</w:t>
      </w:r>
      <w:r>
        <w:rPr>
          <w:i/>
          <w:w w:val="107"/>
          <w:sz w:val="18"/>
        </w:rPr>
        <w:t>a</w:t>
      </w:r>
      <w:r>
        <w:rPr>
          <w:i/>
          <w:spacing w:val="-1"/>
          <w:w w:val="81"/>
          <w:sz w:val="18"/>
        </w:rPr>
        <w:t>r</w:t>
      </w:r>
      <w:r>
        <w:rPr>
          <w:i/>
          <w:w w:val="98"/>
          <w:sz w:val="18"/>
        </w:rPr>
        <w:t>ed</w:t>
      </w:r>
      <w:r>
        <w:rPr>
          <w:i/>
          <w:spacing w:val="-4"/>
          <w:sz w:val="18"/>
        </w:rPr>
        <w:t> </w:t>
      </w:r>
      <w:r>
        <w:rPr>
          <w:i/>
          <w:spacing w:val="-2"/>
          <w:w w:val="101"/>
          <w:sz w:val="18"/>
        </w:rPr>
        <w:t>b</w:t>
      </w:r>
      <w:r>
        <w:rPr>
          <w:i/>
          <w:w w:val="94"/>
          <w:sz w:val="18"/>
        </w:rPr>
        <w:t>y</w:t>
      </w:r>
      <w:r>
        <w:rPr>
          <w:i/>
          <w:spacing w:val="-2"/>
          <w:sz w:val="18"/>
        </w:rPr>
        <w:t> </w:t>
      </w:r>
      <w:r>
        <w:rPr>
          <w:i/>
          <w:spacing w:val="-1"/>
          <w:w w:val="112"/>
          <w:sz w:val="18"/>
        </w:rPr>
        <w:t>C</w:t>
      </w:r>
      <w:r>
        <w:rPr>
          <w:i/>
          <w:spacing w:val="-1"/>
          <w:w w:val="85"/>
          <w:sz w:val="18"/>
        </w:rPr>
        <w:t>lie</w:t>
      </w:r>
      <w:r>
        <w:rPr>
          <w:i/>
          <w:w w:val="99"/>
          <w:sz w:val="18"/>
        </w:rPr>
        <w:t>n</w:t>
      </w:r>
      <w:r>
        <w:rPr>
          <w:i/>
          <w:w w:val="68"/>
          <w:sz w:val="18"/>
        </w:rPr>
        <w:t>t</w:t>
      </w:r>
    </w:p>
    <w:p>
      <w:pPr>
        <w:pStyle w:val="BodyText"/>
        <w:spacing w:before="11"/>
        <w:rPr>
          <w:i/>
          <w:sz w:val="26"/>
        </w:rPr>
      </w:pPr>
    </w:p>
    <w:p>
      <w:pPr>
        <w:pStyle w:val="BodyText"/>
        <w:spacing w:line="321" w:lineRule="auto"/>
        <w:ind w:left="702" w:right="114"/>
        <w:jc w:val="both"/>
      </w:pPr>
      <w:r>
        <w:rPr/>
        <w:t>The</w:t>
      </w:r>
      <w:r>
        <w:rPr>
          <w:spacing w:val="-31"/>
        </w:rPr>
        <w:t> </w:t>
      </w:r>
      <w:r>
        <w:rPr/>
        <w:t>above</w:t>
      </w:r>
      <w:r>
        <w:rPr>
          <w:spacing w:val="-30"/>
        </w:rPr>
        <w:t> </w:t>
      </w:r>
      <w:r>
        <w:rPr/>
        <w:t>marginal</w:t>
      </w:r>
      <w:r>
        <w:rPr>
          <w:spacing w:val="-30"/>
        </w:rPr>
        <w:t> </w:t>
      </w:r>
      <w:r>
        <w:rPr/>
        <w:t>rent</w:t>
      </w:r>
      <w:r>
        <w:rPr>
          <w:spacing w:val="-28"/>
        </w:rPr>
        <w:t> </w:t>
      </w:r>
      <w:r>
        <w:rPr/>
        <w:t>assumption</w:t>
      </w:r>
      <w:r>
        <w:rPr>
          <w:spacing w:val="-30"/>
        </w:rPr>
        <w:t> </w:t>
      </w:r>
      <w:r>
        <w:rPr/>
        <w:t>is</w:t>
      </w:r>
      <w:r>
        <w:rPr>
          <w:spacing w:val="-29"/>
        </w:rPr>
        <w:t> </w:t>
      </w:r>
      <w:r>
        <w:rPr/>
        <w:t>adopted</w:t>
      </w:r>
      <w:r>
        <w:rPr>
          <w:spacing w:val="-31"/>
        </w:rPr>
        <w:t> </w:t>
      </w:r>
      <w:r>
        <w:rPr/>
        <w:t>for</w:t>
      </w:r>
      <w:r>
        <w:rPr>
          <w:spacing w:val="-30"/>
        </w:rPr>
        <w:t> </w:t>
      </w:r>
      <w:r>
        <w:rPr/>
        <w:t>the</w:t>
      </w:r>
      <w:r>
        <w:rPr>
          <w:spacing w:val="-30"/>
        </w:rPr>
        <w:t> </w:t>
      </w:r>
      <w:r>
        <w:rPr/>
        <w:t>subject</w:t>
      </w:r>
      <w:r>
        <w:rPr>
          <w:spacing w:val="-29"/>
        </w:rPr>
        <w:t> </w:t>
      </w:r>
      <w:r>
        <w:rPr/>
        <w:t>development.</w:t>
      </w:r>
      <w:r>
        <w:rPr>
          <w:spacing w:val="-30"/>
        </w:rPr>
        <w:t> </w:t>
      </w:r>
      <w:r>
        <w:rPr/>
        <w:t>In</w:t>
      </w:r>
      <w:r>
        <w:rPr>
          <w:spacing w:val="-27"/>
        </w:rPr>
        <w:t> </w:t>
      </w:r>
      <w:r>
        <w:rPr/>
        <w:t>addition</w:t>
      </w:r>
      <w:r>
        <w:rPr>
          <w:spacing w:val="-30"/>
        </w:rPr>
        <w:t> </w:t>
      </w:r>
      <w:r>
        <w:rPr/>
        <w:t>to</w:t>
      </w:r>
      <w:r>
        <w:rPr>
          <w:spacing w:val="-30"/>
        </w:rPr>
        <w:t> </w:t>
      </w:r>
      <w:r>
        <w:rPr/>
        <w:t>undertaking an in-depth market analysis, a detailed analysis of the rent rolls was also undertaken to understand aspects such as area occupied, current rent and expiry analysis of the key tenants in the park. Additionally,</w:t>
      </w:r>
      <w:r>
        <w:rPr>
          <w:spacing w:val="-25"/>
        </w:rPr>
        <w:t> </w:t>
      </w:r>
      <w:r>
        <w:rPr/>
        <w:t>the</w:t>
      </w:r>
      <w:r>
        <w:rPr>
          <w:spacing w:val="-25"/>
        </w:rPr>
        <w:t> </w:t>
      </w:r>
      <w:r>
        <w:rPr/>
        <w:t>Valuer</w:t>
      </w:r>
      <w:r>
        <w:rPr>
          <w:spacing w:val="-26"/>
        </w:rPr>
        <w:t> </w:t>
      </w:r>
      <w:r>
        <w:rPr/>
        <w:t>has</w:t>
      </w:r>
      <w:r>
        <w:rPr>
          <w:spacing w:val="-24"/>
        </w:rPr>
        <w:t> </w:t>
      </w:r>
      <w:r>
        <w:rPr/>
        <w:t>also</w:t>
      </w:r>
      <w:r>
        <w:rPr>
          <w:spacing w:val="-25"/>
        </w:rPr>
        <w:t> </w:t>
      </w:r>
      <w:r>
        <w:rPr/>
        <w:t>analysed</w:t>
      </w:r>
      <w:r>
        <w:rPr>
          <w:spacing w:val="-24"/>
        </w:rPr>
        <w:t> </w:t>
      </w:r>
      <w:r>
        <w:rPr/>
        <w:t>the</w:t>
      </w:r>
      <w:r>
        <w:rPr>
          <w:spacing w:val="-25"/>
        </w:rPr>
        <w:t> </w:t>
      </w:r>
      <w:r>
        <w:rPr/>
        <w:t>historical</w:t>
      </w:r>
      <w:r>
        <w:rPr>
          <w:spacing w:val="-25"/>
        </w:rPr>
        <w:t> </w:t>
      </w:r>
      <w:r>
        <w:rPr/>
        <w:t>occupancy</w:t>
      </w:r>
      <w:r>
        <w:rPr>
          <w:spacing w:val="-25"/>
        </w:rPr>
        <w:t> </w:t>
      </w:r>
      <w:r>
        <w:rPr/>
        <w:t>pattern</w:t>
      </w:r>
      <w:r>
        <w:rPr>
          <w:spacing w:val="-26"/>
        </w:rPr>
        <w:t> </w:t>
      </w:r>
      <w:r>
        <w:rPr/>
        <w:t>at</w:t>
      </w:r>
      <w:r>
        <w:rPr>
          <w:spacing w:val="-24"/>
        </w:rPr>
        <w:t> </w:t>
      </w:r>
      <w:r>
        <w:rPr/>
        <w:t>the</w:t>
      </w:r>
      <w:r>
        <w:rPr>
          <w:spacing w:val="-27"/>
        </w:rPr>
        <w:t> </w:t>
      </w:r>
      <w:r>
        <w:rPr/>
        <w:t>subject</w:t>
      </w:r>
      <w:r>
        <w:rPr>
          <w:spacing w:val="-25"/>
        </w:rPr>
        <w:t> </w:t>
      </w:r>
      <w:r>
        <w:rPr/>
        <w:t>development and the sub </w:t>
      </w:r>
      <w:r>
        <w:rPr>
          <w:w w:val="105"/>
        </w:rPr>
        <w:t>– </w:t>
      </w:r>
      <w:r>
        <w:rPr/>
        <w:t>market and lease-up time frame for spaces being vacated by tenants during the last 3 years.</w:t>
      </w:r>
      <w:r>
        <w:rPr>
          <w:spacing w:val="-15"/>
        </w:rPr>
        <w:t> </w:t>
      </w:r>
      <w:r>
        <w:rPr/>
        <w:t>The</w:t>
      </w:r>
      <w:r>
        <w:rPr>
          <w:spacing w:val="-13"/>
        </w:rPr>
        <w:t> </w:t>
      </w:r>
      <w:r>
        <w:rPr/>
        <w:t>lease-up</w:t>
      </w:r>
      <w:r>
        <w:rPr>
          <w:spacing w:val="-14"/>
        </w:rPr>
        <w:t> </w:t>
      </w:r>
      <w:r>
        <w:rPr/>
        <w:t>time</w:t>
      </w:r>
      <w:r>
        <w:rPr>
          <w:spacing w:val="-15"/>
        </w:rPr>
        <w:t> </w:t>
      </w:r>
      <w:r>
        <w:rPr/>
        <w:t>was</w:t>
      </w:r>
      <w:r>
        <w:rPr>
          <w:spacing w:val="-12"/>
        </w:rPr>
        <w:t> </w:t>
      </w:r>
      <w:r>
        <w:rPr/>
        <w:t>observed</w:t>
      </w:r>
      <w:r>
        <w:rPr>
          <w:spacing w:val="-13"/>
        </w:rPr>
        <w:t> </w:t>
      </w:r>
      <w:r>
        <w:rPr/>
        <w:t>to</w:t>
      </w:r>
      <w:r>
        <w:rPr>
          <w:spacing w:val="-12"/>
        </w:rPr>
        <w:t> </w:t>
      </w:r>
      <w:r>
        <w:rPr/>
        <w:t>be</w:t>
      </w:r>
      <w:r>
        <w:rPr>
          <w:spacing w:val="-15"/>
        </w:rPr>
        <w:t> </w:t>
      </w:r>
      <w:r>
        <w:rPr/>
        <w:t>3</w:t>
      </w:r>
      <w:r>
        <w:rPr>
          <w:spacing w:val="-12"/>
        </w:rPr>
        <w:t> </w:t>
      </w:r>
      <w:r>
        <w:rPr>
          <w:w w:val="105"/>
        </w:rPr>
        <w:t>–</w:t>
      </w:r>
      <w:r>
        <w:rPr>
          <w:spacing w:val="-16"/>
          <w:w w:val="105"/>
        </w:rPr>
        <w:t> </w:t>
      </w:r>
      <w:r>
        <w:rPr/>
        <w:t>6</w:t>
      </w:r>
      <w:r>
        <w:rPr>
          <w:spacing w:val="-14"/>
        </w:rPr>
        <w:t> </w:t>
      </w:r>
      <w:r>
        <w:rPr/>
        <w:t>months</w:t>
      </w:r>
      <w:r>
        <w:rPr>
          <w:spacing w:val="-14"/>
        </w:rPr>
        <w:t> </w:t>
      </w:r>
      <w:r>
        <w:rPr/>
        <w:t>based</w:t>
      </w:r>
      <w:r>
        <w:rPr>
          <w:spacing w:val="-11"/>
        </w:rPr>
        <w:t> </w:t>
      </w:r>
      <w:r>
        <w:rPr/>
        <w:t>on</w:t>
      </w:r>
      <w:r>
        <w:rPr>
          <w:spacing w:val="-15"/>
        </w:rPr>
        <w:t> </w:t>
      </w:r>
      <w:r>
        <w:rPr/>
        <w:t>quantum</w:t>
      </w:r>
      <w:r>
        <w:rPr>
          <w:spacing w:val="-12"/>
        </w:rPr>
        <w:t> </w:t>
      </w:r>
      <w:r>
        <w:rPr/>
        <w:t>of</w:t>
      </w:r>
      <w:r>
        <w:rPr>
          <w:spacing w:val="-14"/>
        </w:rPr>
        <w:t> </w:t>
      </w:r>
      <w:r>
        <w:rPr/>
        <w:t>space</w:t>
      </w:r>
      <w:r>
        <w:rPr>
          <w:spacing w:val="-12"/>
        </w:rPr>
        <w:t> </w:t>
      </w:r>
      <w:r>
        <w:rPr/>
        <w:t>being</w:t>
      </w:r>
      <w:r>
        <w:rPr>
          <w:spacing w:val="-9"/>
        </w:rPr>
        <w:t> </w:t>
      </w:r>
      <w:r>
        <w:rPr/>
        <w:t>renewed/ re-leased.</w:t>
      </w:r>
    </w:p>
    <w:p>
      <w:pPr>
        <w:pStyle w:val="BodyText"/>
        <w:rPr>
          <w:sz w:val="21"/>
        </w:rPr>
      </w:pPr>
    </w:p>
    <w:p>
      <w:pPr>
        <w:pStyle w:val="BodyText"/>
        <w:spacing w:line="321" w:lineRule="auto"/>
        <w:ind w:left="702" w:right="114"/>
        <w:jc w:val="both"/>
      </w:pPr>
      <w:r>
        <w:rPr/>
        <w:pict>
          <v:group style="position:absolute;margin-left:35.279999pt;margin-top:91.468613pt;width:524.3pt;height:22.35pt;mso-position-horizontal-relative:page;mso-position-vertical-relative:paragraph;z-index:-15118336;mso-wrap-distance-left:0;mso-wrap-distance-right:0" coordorigin="706,1829" coordsize="10486,447">
            <v:shape style="position:absolute;left:720;top:1860;width:10472;height:401" coordorigin="720,1861" coordsize="10472,401" path="m11191,1861l5373,1861,720,1861,720,2261,5373,2261,11191,2261,11191,1861xe" filled="true" fillcolor="#006a4d" stroked="false">
              <v:path arrowok="t"/>
              <v:fill type="solid"/>
            </v:shape>
            <v:rect style="position:absolute;left:720;top:1829;width:4653;height:29" filled="true" fillcolor="#1b6b22" stroked="false">
              <v:fill type="solid"/>
            </v:rect>
            <v:shape style="position:absolute;left:720;top:1858;width:4682;height:3" coordorigin="720,1858" coordsize="4682,3" path="m5401,1858l5373,1858,720,1858,720,1861,5373,1861,5401,1861,5401,1858xe" filled="true" fillcolor="#006a4d" stroked="false">
              <v:path arrowok="t"/>
              <v:fill type="solid"/>
            </v:shape>
            <v:shape style="position:absolute;left:5372;top:1829;width:5819;height:29" coordorigin="5373,1829" coordsize="5819,29" path="m11191,1829l5401,1829,5373,1829,5373,1858,5401,1858,11191,1858,11191,1829xe" filled="true" fillcolor="#1b6b22" stroked="false">
              <v:path arrowok="t"/>
              <v:fill type="solid"/>
            </v:shape>
            <v:rect style="position:absolute;left:5401;top:1858;width:5790;height:3" filled="true" fillcolor="#006a4d" stroked="false">
              <v:fill type="solid"/>
            </v:rect>
            <v:shape style="position:absolute;left:720;top:2261;width:10472;height:15" coordorigin="720,2261" coordsize="10472,15" path="m11191,2261l5387,2261,5373,2261,720,2261,720,2276,5373,2276,5387,2276,11191,2276,11191,2261xe" filled="true" fillcolor="#69bd28" stroked="false">
              <v:path arrowok="t"/>
              <v:fill type="solid"/>
            </v:shape>
            <v:shape style="position:absolute;left:705;top:1858;width:10486;height:404" type="#_x0000_t202" filled="false" stroked="false">
              <v:textbox inset="0,0,0,0">
                <w:txbxContent>
                  <w:p>
                    <w:pPr>
                      <w:tabs>
                        <w:tab w:pos="4663" w:val="left" w:leader="none"/>
                      </w:tabs>
                      <w:spacing w:before="99"/>
                      <w:ind w:left="8" w:right="0" w:firstLine="0"/>
                      <w:jc w:val="center"/>
                      <w:rPr>
                        <w:b/>
                        <w:sz w:val="18"/>
                      </w:rPr>
                    </w:pPr>
                    <w:r>
                      <w:rPr>
                        <w:b/>
                        <w:color w:val="FFFFFF"/>
                        <w:w w:val="110"/>
                        <w:sz w:val="18"/>
                      </w:rPr>
                      <w:t>Area</w:t>
                    </w:r>
                    <w:r>
                      <w:rPr>
                        <w:b/>
                        <w:color w:val="FFFFFF"/>
                        <w:spacing w:val="-10"/>
                        <w:w w:val="110"/>
                        <w:sz w:val="18"/>
                      </w:rPr>
                      <w:t> </w:t>
                    </w:r>
                    <w:r>
                      <w:rPr>
                        <w:b/>
                        <w:color w:val="FFFFFF"/>
                        <w:w w:val="110"/>
                        <w:sz w:val="18"/>
                      </w:rPr>
                      <w:t>(msf)</w:t>
                      <w:tab/>
                      <w:t>Marginal Rent</w:t>
                    </w:r>
                    <w:r>
                      <w:rPr>
                        <w:b/>
                        <w:color w:val="FFFFFF"/>
                        <w:spacing w:val="-5"/>
                        <w:w w:val="110"/>
                        <w:sz w:val="18"/>
                      </w:rPr>
                      <w:t> </w:t>
                    </w:r>
                    <w:r>
                      <w:rPr>
                        <w:b/>
                        <w:color w:val="FFFFFF"/>
                        <w:w w:val="110"/>
                        <w:sz w:val="18"/>
                      </w:rPr>
                      <w:t>Strategy</w:t>
                    </w:r>
                  </w:p>
                </w:txbxContent>
              </v:textbox>
              <w10:wrap type="none"/>
            </v:shape>
            <w10:wrap type="topAndBottom"/>
          </v:group>
        </w:pict>
      </w:r>
      <w:r>
        <w:rPr/>
        <w:t>Based</w:t>
      </w:r>
      <w:r>
        <w:rPr>
          <w:spacing w:val="-9"/>
        </w:rPr>
        <w:t> </w:t>
      </w:r>
      <w:r>
        <w:rPr/>
        <w:t>on</w:t>
      </w:r>
      <w:r>
        <w:rPr>
          <w:spacing w:val="-9"/>
        </w:rPr>
        <w:t> </w:t>
      </w:r>
      <w:r>
        <w:rPr/>
        <w:t>the</w:t>
      </w:r>
      <w:r>
        <w:rPr>
          <w:spacing w:val="-10"/>
        </w:rPr>
        <w:t> </w:t>
      </w:r>
      <w:r>
        <w:rPr/>
        <w:t>size</w:t>
      </w:r>
      <w:r>
        <w:rPr>
          <w:spacing w:val="-11"/>
        </w:rPr>
        <w:t> </w:t>
      </w:r>
      <w:r>
        <w:rPr/>
        <w:t>and</w:t>
      </w:r>
      <w:r>
        <w:rPr>
          <w:spacing w:val="-9"/>
        </w:rPr>
        <w:t> </w:t>
      </w:r>
      <w:r>
        <w:rPr/>
        <w:t>scale</w:t>
      </w:r>
      <w:r>
        <w:rPr>
          <w:spacing w:val="-9"/>
        </w:rPr>
        <w:t> </w:t>
      </w:r>
      <w:r>
        <w:rPr/>
        <w:t>of</w:t>
      </w:r>
      <w:r>
        <w:rPr>
          <w:spacing w:val="-8"/>
        </w:rPr>
        <w:t> </w:t>
      </w:r>
      <w:r>
        <w:rPr/>
        <w:t>operations</w:t>
      </w:r>
      <w:r>
        <w:rPr>
          <w:spacing w:val="-7"/>
        </w:rPr>
        <w:t> </w:t>
      </w:r>
      <w:r>
        <w:rPr/>
        <w:t>of</w:t>
      </w:r>
      <w:r>
        <w:rPr>
          <w:spacing w:val="-8"/>
        </w:rPr>
        <w:t> </w:t>
      </w:r>
      <w:r>
        <w:rPr/>
        <w:t>these</w:t>
      </w:r>
      <w:r>
        <w:rPr>
          <w:spacing w:val="-8"/>
        </w:rPr>
        <w:t> </w:t>
      </w:r>
      <w:r>
        <w:rPr/>
        <w:t>tenants,</w:t>
      </w:r>
      <w:r>
        <w:rPr>
          <w:spacing w:val="-6"/>
        </w:rPr>
        <w:t> </w:t>
      </w:r>
      <w:r>
        <w:rPr/>
        <w:t>we</w:t>
      </w:r>
      <w:r>
        <w:rPr>
          <w:spacing w:val="-8"/>
        </w:rPr>
        <w:t> </w:t>
      </w:r>
      <w:r>
        <w:rPr/>
        <w:t>have</w:t>
      </w:r>
      <w:r>
        <w:rPr>
          <w:spacing w:val="-9"/>
        </w:rPr>
        <w:t> </w:t>
      </w:r>
      <w:r>
        <w:rPr/>
        <w:t>adopted</w:t>
      </w:r>
      <w:r>
        <w:rPr>
          <w:spacing w:val="-7"/>
        </w:rPr>
        <w:t> </w:t>
      </w:r>
      <w:r>
        <w:rPr/>
        <w:t>individual</w:t>
      </w:r>
      <w:r>
        <w:rPr>
          <w:spacing w:val="-8"/>
        </w:rPr>
        <w:t> </w:t>
      </w:r>
      <w:r>
        <w:rPr/>
        <w:t>marginal</w:t>
      </w:r>
      <w:r>
        <w:rPr>
          <w:spacing w:val="-9"/>
        </w:rPr>
        <w:t> </w:t>
      </w:r>
      <w:r>
        <w:rPr/>
        <w:t>rent assumptions</w:t>
      </w:r>
      <w:r>
        <w:rPr>
          <w:spacing w:val="-39"/>
        </w:rPr>
        <w:t> </w:t>
      </w:r>
      <w:r>
        <w:rPr/>
        <w:t>for</w:t>
      </w:r>
      <w:r>
        <w:rPr>
          <w:spacing w:val="-37"/>
        </w:rPr>
        <w:t> </w:t>
      </w:r>
      <w:r>
        <w:rPr/>
        <w:t>larger</w:t>
      </w:r>
      <w:r>
        <w:rPr>
          <w:spacing w:val="-37"/>
        </w:rPr>
        <w:t> </w:t>
      </w:r>
      <w:r>
        <w:rPr/>
        <w:t>tenants</w:t>
      </w:r>
      <w:r>
        <w:rPr>
          <w:spacing w:val="-37"/>
        </w:rPr>
        <w:t> </w:t>
      </w:r>
      <w:r>
        <w:rPr/>
        <w:t>in</w:t>
      </w:r>
      <w:r>
        <w:rPr>
          <w:spacing w:val="-37"/>
        </w:rPr>
        <w:t> </w:t>
      </w:r>
      <w:r>
        <w:rPr/>
        <w:t>the</w:t>
      </w:r>
      <w:r>
        <w:rPr>
          <w:spacing w:val="-38"/>
        </w:rPr>
        <w:t> </w:t>
      </w:r>
      <w:r>
        <w:rPr/>
        <w:t>subject</w:t>
      </w:r>
      <w:r>
        <w:rPr>
          <w:spacing w:val="-37"/>
        </w:rPr>
        <w:t> </w:t>
      </w:r>
      <w:r>
        <w:rPr/>
        <w:t>development.</w:t>
      </w:r>
      <w:r>
        <w:rPr>
          <w:spacing w:val="-37"/>
        </w:rPr>
        <w:t> </w:t>
      </w:r>
      <w:r>
        <w:rPr/>
        <w:t>For</w:t>
      </w:r>
      <w:r>
        <w:rPr>
          <w:spacing w:val="-37"/>
        </w:rPr>
        <w:t> </w:t>
      </w:r>
      <w:r>
        <w:rPr/>
        <w:t>the</w:t>
      </w:r>
      <w:r>
        <w:rPr>
          <w:spacing w:val="-37"/>
        </w:rPr>
        <w:t> </w:t>
      </w:r>
      <w:r>
        <w:rPr/>
        <w:t>larger</w:t>
      </w:r>
      <w:r>
        <w:rPr>
          <w:spacing w:val="-38"/>
        </w:rPr>
        <w:t> </w:t>
      </w:r>
      <w:r>
        <w:rPr/>
        <w:t>tenants,</w:t>
      </w:r>
      <w:r>
        <w:rPr>
          <w:spacing w:val="-34"/>
        </w:rPr>
        <w:t> </w:t>
      </w:r>
      <w:r>
        <w:rPr/>
        <w:t>we</w:t>
      </w:r>
      <w:r>
        <w:rPr>
          <w:spacing w:val="-37"/>
        </w:rPr>
        <w:t> </w:t>
      </w:r>
      <w:r>
        <w:rPr/>
        <w:t>have</w:t>
      </w:r>
      <w:r>
        <w:rPr>
          <w:spacing w:val="-38"/>
        </w:rPr>
        <w:t> </w:t>
      </w:r>
      <w:r>
        <w:rPr/>
        <w:t>assumed</w:t>
      </w:r>
      <w:r>
        <w:rPr>
          <w:spacing w:val="-36"/>
        </w:rPr>
        <w:t> </w:t>
      </w:r>
      <w:r>
        <w:rPr/>
        <w:t>that post</w:t>
      </w:r>
      <w:r>
        <w:rPr>
          <w:spacing w:val="-44"/>
        </w:rPr>
        <w:t> </w:t>
      </w:r>
      <w:r>
        <w:rPr/>
        <w:t>lease</w:t>
      </w:r>
      <w:r>
        <w:rPr>
          <w:spacing w:val="-43"/>
        </w:rPr>
        <w:t> </w:t>
      </w:r>
      <w:r>
        <w:rPr/>
        <w:t>expiry,</w:t>
      </w:r>
      <w:r>
        <w:rPr>
          <w:spacing w:val="-45"/>
        </w:rPr>
        <w:t> </w:t>
      </w:r>
      <w:r>
        <w:rPr/>
        <w:t>these</w:t>
      </w:r>
      <w:r>
        <w:rPr>
          <w:spacing w:val="-45"/>
        </w:rPr>
        <w:t> </w:t>
      </w:r>
      <w:r>
        <w:rPr/>
        <w:t>spaces</w:t>
      </w:r>
      <w:r>
        <w:rPr>
          <w:spacing w:val="-43"/>
        </w:rPr>
        <w:t> </w:t>
      </w:r>
      <w:r>
        <w:rPr/>
        <w:t>will</w:t>
      </w:r>
      <w:r>
        <w:rPr>
          <w:spacing w:val="-44"/>
        </w:rPr>
        <w:t> </w:t>
      </w:r>
      <w:r>
        <w:rPr/>
        <w:t>revert</w:t>
      </w:r>
      <w:r>
        <w:rPr>
          <w:spacing w:val="-43"/>
        </w:rPr>
        <w:t> </w:t>
      </w:r>
      <w:r>
        <w:rPr/>
        <w:t>to</w:t>
      </w:r>
      <w:r>
        <w:rPr>
          <w:spacing w:val="-44"/>
        </w:rPr>
        <w:t> </w:t>
      </w:r>
      <w:r>
        <w:rPr/>
        <w:t>marginal</w:t>
      </w:r>
      <w:r>
        <w:rPr>
          <w:spacing w:val="-43"/>
        </w:rPr>
        <w:t> </w:t>
      </w:r>
      <w:r>
        <w:rPr/>
        <w:t>rent</w:t>
      </w:r>
      <w:r>
        <w:rPr>
          <w:spacing w:val="-44"/>
        </w:rPr>
        <w:t> </w:t>
      </w:r>
      <w:r>
        <w:rPr/>
        <w:t>prevailing</w:t>
      </w:r>
      <w:r>
        <w:rPr>
          <w:spacing w:val="-43"/>
        </w:rPr>
        <w:t> </w:t>
      </w:r>
      <w:r>
        <w:rPr/>
        <w:t>at</w:t>
      </w:r>
      <w:r>
        <w:rPr>
          <w:spacing w:val="-44"/>
        </w:rPr>
        <w:t> </w:t>
      </w:r>
      <w:r>
        <w:rPr/>
        <w:t>that</w:t>
      </w:r>
      <w:r>
        <w:rPr>
          <w:spacing w:val="-43"/>
        </w:rPr>
        <w:t> </w:t>
      </w:r>
      <w:r>
        <w:rPr/>
        <w:t>point</w:t>
      </w:r>
      <w:r>
        <w:rPr>
          <w:spacing w:val="-43"/>
        </w:rPr>
        <w:t> </w:t>
      </w:r>
      <w:r>
        <w:rPr/>
        <w:t>in</w:t>
      </w:r>
      <w:r>
        <w:rPr>
          <w:spacing w:val="-44"/>
        </w:rPr>
        <w:t> </w:t>
      </w:r>
      <w:r>
        <w:rPr/>
        <w:t>time.</w:t>
      </w:r>
      <w:r>
        <w:rPr>
          <w:spacing w:val="-44"/>
        </w:rPr>
        <w:t> </w:t>
      </w:r>
      <w:r>
        <w:rPr/>
        <w:t>However,</w:t>
      </w:r>
      <w:r>
        <w:rPr>
          <w:spacing w:val="-43"/>
        </w:rPr>
        <w:t> </w:t>
      </w:r>
      <w:r>
        <w:rPr/>
        <w:t>given the</w:t>
      </w:r>
      <w:r>
        <w:rPr>
          <w:spacing w:val="-14"/>
        </w:rPr>
        <w:t> </w:t>
      </w:r>
      <w:r>
        <w:rPr/>
        <w:t>large</w:t>
      </w:r>
      <w:r>
        <w:rPr>
          <w:spacing w:val="-16"/>
        </w:rPr>
        <w:t> </w:t>
      </w:r>
      <w:r>
        <w:rPr/>
        <w:t>size</w:t>
      </w:r>
      <w:r>
        <w:rPr>
          <w:spacing w:val="-14"/>
        </w:rPr>
        <w:t> </w:t>
      </w:r>
      <w:r>
        <w:rPr/>
        <w:t>of</w:t>
      </w:r>
      <w:r>
        <w:rPr>
          <w:spacing w:val="-13"/>
        </w:rPr>
        <w:t> </w:t>
      </w:r>
      <w:r>
        <w:rPr/>
        <w:t>these</w:t>
      </w:r>
      <w:r>
        <w:rPr>
          <w:spacing w:val="-16"/>
        </w:rPr>
        <w:t> </w:t>
      </w:r>
      <w:r>
        <w:rPr/>
        <w:t>spaces,</w:t>
      </w:r>
      <w:r>
        <w:rPr>
          <w:spacing w:val="-13"/>
        </w:rPr>
        <w:t> </w:t>
      </w:r>
      <w:r>
        <w:rPr/>
        <w:t>a</w:t>
      </w:r>
      <w:r>
        <w:rPr>
          <w:spacing w:val="-14"/>
        </w:rPr>
        <w:t> </w:t>
      </w:r>
      <w:r>
        <w:rPr/>
        <w:t>longer</w:t>
      </w:r>
      <w:r>
        <w:rPr>
          <w:spacing w:val="-14"/>
        </w:rPr>
        <w:t> </w:t>
      </w:r>
      <w:r>
        <w:rPr/>
        <w:t>lease-up</w:t>
      </w:r>
      <w:r>
        <w:rPr>
          <w:spacing w:val="-15"/>
        </w:rPr>
        <w:t> </w:t>
      </w:r>
      <w:r>
        <w:rPr/>
        <w:t>time,</w:t>
      </w:r>
      <w:r>
        <w:rPr>
          <w:spacing w:val="-14"/>
        </w:rPr>
        <w:t> </w:t>
      </w:r>
      <w:r>
        <w:rPr/>
        <w:t>ranging</w:t>
      </w:r>
      <w:r>
        <w:rPr>
          <w:spacing w:val="-15"/>
        </w:rPr>
        <w:t> </w:t>
      </w:r>
      <w:r>
        <w:rPr/>
        <w:t>from</w:t>
      </w:r>
      <w:r>
        <w:rPr>
          <w:spacing w:val="-15"/>
        </w:rPr>
        <w:t> </w:t>
      </w:r>
      <w:r>
        <w:rPr/>
        <w:t>3</w:t>
      </w:r>
      <w:r>
        <w:rPr>
          <w:spacing w:val="-13"/>
        </w:rPr>
        <w:t> </w:t>
      </w:r>
      <w:r>
        <w:rPr>
          <w:w w:val="105"/>
        </w:rPr>
        <w:t>–</w:t>
      </w:r>
      <w:r>
        <w:rPr>
          <w:spacing w:val="-19"/>
          <w:w w:val="105"/>
        </w:rPr>
        <w:t> </w:t>
      </w:r>
      <w:r>
        <w:rPr/>
        <w:t>6</w:t>
      </w:r>
      <w:r>
        <w:rPr>
          <w:spacing w:val="-16"/>
        </w:rPr>
        <w:t> </w:t>
      </w:r>
      <w:r>
        <w:rPr/>
        <w:t>months</w:t>
      </w:r>
      <w:r>
        <w:rPr>
          <w:spacing w:val="-15"/>
        </w:rPr>
        <w:t> </w:t>
      </w:r>
      <w:r>
        <w:rPr/>
        <w:t>depending</w:t>
      </w:r>
      <w:r>
        <w:rPr>
          <w:spacing w:val="-14"/>
        </w:rPr>
        <w:t> </w:t>
      </w:r>
      <w:r>
        <w:rPr/>
        <w:t>on</w:t>
      </w:r>
      <w:r>
        <w:rPr>
          <w:spacing w:val="-14"/>
        </w:rPr>
        <w:t> </w:t>
      </w:r>
      <w:r>
        <w:rPr/>
        <w:t>area</w:t>
      </w:r>
      <w:r>
        <w:rPr>
          <w:spacing w:val="-14"/>
        </w:rPr>
        <w:t> </w:t>
      </w:r>
      <w:r>
        <w:rPr/>
        <w:t>to be leased, has been</w:t>
      </w:r>
      <w:r>
        <w:rPr>
          <w:spacing w:val="-14"/>
        </w:rPr>
        <w:t> </w:t>
      </w:r>
      <w:r>
        <w:rPr/>
        <w:t>incorporated.</w:t>
      </w:r>
    </w:p>
    <w:p>
      <w:pPr>
        <w:tabs>
          <w:tab w:pos="4673" w:val="left" w:leader="none"/>
        </w:tabs>
        <w:spacing w:before="114"/>
        <w:ind w:left="129" w:right="0" w:firstLine="0"/>
        <w:jc w:val="center"/>
        <w:rPr>
          <w:sz w:val="18"/>
        </w:rPr>
      </w:pPr>
      <w:r>
        <w:rPr>
          <w:sz w:val="18"/>
        </w:rPr>
        <w:t>Leasable Area </w:t>
      </w:r>
      <w:r>
        <w:rPr>
          <w:w w:val="130"/>
          <w:sz w:val="18"/>
        </w:rPr>
        <w:t>&gt;</w:t>
      </w:r>
      <w:r>
        <w:rPr>
          <w:spacing w:val="-11"/>
          <w:w w:val="130"/>
          <w:sz w:val="18"/>
        </w:rPr>
        <w:t> </w:t>
      </w:r>
      <w:r>
        <w:rPr>
          <w:sz w:val="18"/>
        </w:rPr>
        <w:t>0.35</w:t>
      </w:r>
      <w:r>
        <w:rPr>
          <w:spacing w:val="2"/>
          <w:sz w:val="18"/>
        </w:rPr>
        <w:t> </w:t>
      </w:r>
      <w:r>
        <w:rPr>
          <w:sz w:val="18"/>
        </w:rPr>
        <w:t>msf</w:t>
        <w:tab/>
        <w:t>Renewal</w:t>
      </w:r>
      <w:r>
        <w:rPr>
          <w:spacing w:val="-29"/>
          <w:sz w:val="18"/>
        </w:rPr>
        <w:t> </w:t>
      </w:r>
      <w:r>
        <w:rPr>
          <w:sz w:val="18"/>
        </w:rPr>
        <w:t>at</w:t>
      </w:r>
      <w:r>
        <w:rPr>
          <w:spacing w:val="-29"/>
          <w:sz w:val="18"/>
        </w:rPr>
        <w:t> </w:t>
      </w:r>
      <w:r>
        <w:rPr>
          <w:sz w:val="18"/>
        </w:rPr>
        <w:t>market</w:t>
      </w:r>
      <w:r>
        <w:rPr>
          <w:spacing w:val="-29"/>
          <w:sz w:val="18"/>
        </w:rPr>
        <w:t> </w:t>
      </w:r>
      <w:r>
        <w:rPr>
          <w:sz w:val="18"/>
        </w:rPr>
        <w:t>(6</w:t>
      </w:r>
      <w:r>
        <w:rPr>
          <w:spacing w:val="-29"/>
          <w:sz w:val="18"/>
        </w:rPr>
        <w:t> </w:t>
      </w:r>
      <w:r>
        <w:rPr>
          <w:sz w:val="18"/>
        </w:rPr>
        <w:t>months</w:t>
      </w:r>
      <w:r>
        <w:rPr>
          <w:spacing w:val="-28"/>
          <w:sz w:val="18"/>
        </w:rPr>
        <w:t> </w:t>
      </w:r>
      <w:r>
        <w:rPr>
          <w:sz w:val="18"/>
        </w:rPr>
        <w:t>lease-up</w:t>
      </w:r>
      <w:r>
        <w:rPr>
          <w:spacing w:val="-29"/>
          <w:sz w:val="18"/>
        </w:rPr>
        <w:t> </w:t>
      </w:r>
      <w:r>
        <w:rPr>
          <w:sz w:val="18"/>
        </w:rPr>
        <w:t>time)</w:t>
      </w:r>
    </w:p>
    <w:p>
      <w:pPr>
        <w:pStyle w:val="BodyText"/>
        <w:spacing w:before="10"/>
        <w:rPr>
          <w:sz w:val="8"/>
        </w:rPr>
      </w:pPr>
      <w:r>
        <w:rPr/>
        <w:pict>
          <v:shape style="position:absolute;margin-left:36pt;margin-top:7.12079pt;width:523.6pt;height:.75pt;mso-position-horizontal-relative:page;mso-position-vertical-relative:paragraph;z-index:-15117824;mso-wrap-distance-left:0;mso-wrap-distance-right:0" coordorigin="720,142" coordsize="10472,15" path="m11191,142l5387,142,5373,142,720,142,720,157,5373,157,5387,157,11191,157,11191,142xe" filled="true" fillcolor="#69bd28" stroked="false">
            <v:path arrowok="t"/>
            <v:fill type="solid"/>
            <w10:wrap type="topAndBottom"/>
          </v:shape>
        </w:pict>
      </w:r>
    </w:p>
    <w:p>
      <w:pPr>
        <w:tabs>
          <w:tab w:pos="5970" w:val="left" w:leader="none"/>
        </w:tabs>
        <w:spacing w:before="128"/>
        <w:ind w:left="618" w:right="0" w:firstLine="0"/>
        <w:jc w:val="both"/>
        <w:rPr>
          <w:sz w:val="18"/>
        </w:rPr>
      </w:pPr>
      <w:r>
        <w:rPr>
          <w:sz w:val="18"/>
        </w:rPr>
        <w:t>Leasable Area between 0.20 msf and</w:t>
      </w:r>
      <w:r>
        <w:rPr>
          <w:spacing w:val="-32"/>
          <w:sz w:val="18"/>
        </w:rPr>
        <w:t> </w:t>
      </w:r>
      <w:r>
        <w:rPr>
          <w:sz w:val="18"/>
        </w:rPr>
        <w:t>0.35</w:t>
      </w:r>
      <w:r>
        <w:rPr>
          <w:spacing w:val="-5"/>
          <w:sz w:val="18"/>
        </w:rPr>
        <w:t> </w:t>
      </w:r>
      <w:r>
        <w:rPr>
          <w:sz w:val="18"/>
        </w:rPr>
        <w:t>msf</w:t>
        <w:tab/>
        <w:t>Renewal</w:t>
      </w:r>
      <w:r>
        <w:rPr>
          <w:spacing w:val="-29"/>
          <w:sz w:val="18"/>
        </w:rPr>
        <w:t> </w:t>
      </w:r>
      <w:r>
        <w:rPr>
          <w:sz w:val="18"/>
        </w:rPr>
        <w:t>at</w:t>
      </w:r>
      <w:r>
        <w:rPr>
          <w:spacing w:val="-29"/>
          <w:sz w:val="18"/>
        </w:rPr>
        <w:t> </w:t>
      </w:r>
      <w:r>
        <w:rPr>
          <w:sz w:val="18"/>
        </w:rPr>
        <w:t>market</w:t>
      </w:r>
      <w:r>
        <w:rPr>
          <w:spacing w:val="-29"/>
          <w:sz w:val="18"/>
        </w:rPr>
        <w:t> </w:t>
      </w:r>
      <w:r>
        <w:rPr>
          <w:sz w:val="18"/>
        </w:rPr>
        <w:t>(3</w:t>
      </w:r>
      <w:r>
        <w:rPr>
          <w:spacing w:val="-29"/>
          <w:sz w:val="18"/>
        </w:rPr>
        <w:t> </w:t>
      </w:r>
      <w:r>
        <w:rPr>
          <w:sz w:val="18"/>
        </w:rPr>
        <w:t>months</w:t>
      </w:r>
      <w:r>
        <w:rPr>
          <w:spacing w:val="-28"/>
          <w:sz w:val="18"/>
        </w:rPr>
        <w:t> </w:t>
      </w:r>
      <w:r>
        <w:rPr>
          <w:sz w:val="18"/>
        </w:rPr>
        <w:t>lease-up</w:t>
      </w:r>
      <w:r>
        <w:rPr>
          <w:spacing w:val="-29"/>
          <w:sz w:val="18"/>
        </w:rPr>
        <w:t> </w:t>
      </w:r>
      <w:r>
        <w:rPr>
          <w:sz w:val="18"/>
        </w:rPr>
        <w:t>time)</w:t>
      </w:r>
    </w:p>
    <w:p>
      <w:pPr>
        <w:pStyle w:val="BodyText"/>
        <w:spacing w:before="11"/>
        <w:rPr>
          <w:sz w:val="9"/>
        </w:rPr>
      </w:pPr>
      <w:r>
        <w:rPr/>
        <w:pict>
          <v:shape style="position:absolute;margin-left:35.280003pt;margin-top:7.739791pt;width:524.3pt;height:.75pt;mso-position-horizontal-relative:page;mso-position-vertical-relative:paragraph;z-index:-15117312;mso-wrap-distance-left:0;mso-wrap-distance-right:0" coordorigin="706,155" coordsize="10486,15" path="m11191,155l5373,155,5358,155,706,155,706,169,5358,169,5373,169,11191,169,11191,155xe" filled="true" fillcolor="#69bd28" stroked="false">
            <v:path arrowok="t"/>
            <v:fill type="solid"/>
            <w10:wrap type="topAndBottom"/>
          </v:shape>
        </w:pict>
      </w:r>
    </w:p>
    <w:p>
      <w:pPr>
        <w:spacing w:before="0"/>
        <w:ind w:left="140" w:right="0" w:firstLine="0"/>
        <w:jc w:val="left"/>
        <w:rPr>
          <w:i/>
          <w:sz w:val="18"/>
        </w:rPr>
      </w:pPr>
      <w:r>
        <w:rPr>
          <w:i/>
          <w:sz w:val="18"/>
        </w:rPr>
        <w:t>Source: Valuer Assessment</w:t>
      </w:r>
    </w:p>
    <w:p>
      <w:pPr>
        <w:pStyle w:val="BodyText"/>
        <w:spacing w:line="321" w:lineRule="auto" w:before="193"/>
        <w:ind w:left="702" w:right="114"/>
        <w:jc w:val="both"/>
      </w:pPr>
      <w:r>
        <w:rPr/>
        <w:t>As</w:t>
      </w:r>
      <w:r>
        <w:rPr>
          <w:spacing w:val="-14"/>
        </w:rPr>
        <w:t> </w:t>
      </w:r>
      <w:r>
        <w:rPr/>
        <w:t>presented</w:t>
      </w:r>
      <w:r>
        <w:rPr>
          <w:spacing w:val="-13"/>
        </w:rPr>
        <w:t> </w:t>
      </w:r>
      <w:r>
        <w:rPr/>
        <w:t>in</w:t>
      </w:r>
      <w:r>
        <w:rPr>
          <w:spacing w:val="-14"/>
        </w:rPr>
        <w:t> </w:t>
      </w:r>
      <w:r>
        <w:rPr/>
        <w:t>the</w:t>
      </w:r>
      <w:r>
        <w:rPr>
          <w:spacing w:val="-14"/>
        </w:rPr>
        <w:t> </w:t>
      </w:r>
      <w:r>
        <w:rPr/>
        <w:t>table</w:t>
      </w:r>
      <w:r>
        <w:rPr>
          <w:spacing w:val="-14"/>
        </w:rPr>
        <w:t> </w:t>
      </w:r>
      <w:r>
        <w:rPr/>
        <w:t>above,</w:t>
      </w:r>
      <w:r>
        <w:rPr>
          <w:spacing w:val="-11"/>
        </w:rPr>
        <w:t> </w:t>
      </w:r>
      <w:r>
        <w:rPr/>
        <w:t>larger</w:t>
      </w:r>
      <w:r>
        <w:rPr>
          <w:spacing w:val="-13"/>
        </w:rPr>
        <w:t> </w:t>
      </w:r>
      <w:r>
        <w:rPr/>
        <w:t>tenants</w:t>
      </w:r>
      <w:r>
        <w:rPr>
          <w:spacing w:val="-12"/>
        </w:rPr>
        <w:t> </w:t>
      </w:r>
      <w:r>
        <w:rPr/>
        <w:t>will</w:t>
      </w:r>
      <w:r>
        <w:rPr>
          <w:spacing w:val="-13"/>
        </w:rPr>
        <w:t> </w:t>
      </w:r>
      <w:r>
        <w:rPr/>
        <w:t>be</w:t>
      </w:r>
      <w:r>
        <w:rPr>
          <w:spacing w:val="-14"/>
        </w:rPr>
        <w:t> </w:t>
      </w:r>
      <w:r>
        <w:rPr/>
        <w:t>renewed</w:t>
      </w:r>
      <w:r>
        <w:rPr>
          <w:spacing w:val="-12"/>
        </w:rPr>
        <w:t> </w:t>
      </w:r>
      <w:r>
        <w:rPr/>
        <w:t>at</w:t>
      </w:r>
      <w:r>
        <w:rPr>
          <w:spacing w:val="-13"/>
        </w:rPr>
        <w:t> </w:t>
      </w:r>
      <w:r>
        <w:rPr/>
        <w:t>market,</w:t>
      </w:r>
      <w:r>
        <w:rPr>
          <w:spacing w:val="-13"/>
        </w:rPr>
        <w:t> </w:t>
      </w:r>
      <w:r>
        <w:rPr/>
        <w:t>but</w:t>
      </w:r>
      <w:r>
        <w:rPr>
          <w:spacing w:val="-13"/>
        </w:rPr>
        <w:t> </w:t>
      </w:r>
      <w:r>
        <w:rPr/>
        <w:t>with</w:t>
      </w:r>
      <w:r>
        <w:rPr>
          <w:spacing w:val="-13"/>
        </w:rPr>
        <w:t> </w:t>
      </w:r>
      <w:r>
        <w:rPr/>
        <w:t>a</w:t>
      </w:r>
      <w:r>
        <w:rPr>
          <w:spacing w:val="-14"/>
        </w:rPr>
        <w:t> </w:t>
      </w:r>
      <w:r>
        <w:rPr/>
        <w:t>longer</w:t>
      </w:r>
      <w:r>
        <w:rPr>
          <w:spacing w:val="-14"/>
        </w:rPr>
        <w:t> </w:t>
      </w:r>
      <w:r>
        <w:rPr/>
        <w:t>lease-up time</w:t>
      </w:r>
      <w:r>
        <w:rPr>
          <w:spacing w:val="-3"/>
        </w:rPr>
        <w:t> </w:t>
      </w:r>
      <w:r>
        <w:rPr/>
        <w:t>frame.</w:t>
      </w:r>
    </w:p>
    <w:p>
      <w:pPr>
        <w:pStyle w:val="ListParagraph"/>
        <w:numPr>
          <w:ilvl w:val="3"/>
          <w:numId w:val="70"/>
        </w:numPr>
        <w:tabs>
          <w:tab w:pos="1005" w:val="left" w:leader="none"/>
        </w:tabs>
        <w:spacing w:line="240" w:lineRule="auto" w:before="211" w:after="0"/>
        <w:ind w:left="1004" w:right="0" w:hanging="865"/>
        <w:jc w:val="left"/>
        <w:rPr>
          <w:i/>
          <w:sz w:val="20"/>
        </w:rPr>
      </w:pPr>
      <w:r>
        <w:rPr>
          <w:i/>
          <w:color w:val="008000"/>
          <w:sz w:val="20"/>
        </w:rPr>
        <w:t>Rent</w:t>
      </w:r>
      <w:r>
        <w:rPr>
          <w:i/>
          <w:color w:val="008000"/>
          <w:spacing w:val="-4"/>
          <w:sz w:val="20"/>
        </w:rPr>
        <w:t> </w:t>
      </w:r>
      <w:r>
        <w:rPr>
          <w:i/>
          <w:color w:val="008000"/>
          <w:sz w:val="20"/>
        </w:rPr>
        <w:t>Escalation</w:t>
      </w:r>
    </w:p>
    <w:p>
      <w:pPr>
        <w:pStyle w:val="BodyText"/>
        <w:rPr>
          <w:i/>
        </w:rPr>
      </w:pPr>
    </w:p>
    <w:p>
      <w:pPr>
        <w:pStyle w:val="BodyText"/>
        <w:spacing w:line="321" w:lineRule="auto"/>
        <w:ind w:left="702" w:right="117"/>
        <w:jc w:val="both"/>
      </w:pPr>
      <w:r>
        <w:rPr/>
        <w:t>Based</w:t>
      </w:r>
      <w:r>
        <w:rPr>
          <w:spacing w:val="-43"/>
        </w:rPr>
        <w:t> </w:t>
      </w:r>
      <w:r>
        <w:rPr/>
        <w:t>on</w:t>
      </w:r>
      <w:r>
        <w:rPr>
          <w:spacing w:val="-42"/>
        </w:rPr>
        <w:t> </w:t>
      </w:r>
      <w:r>
        <w:rPr/>
        <w:t>an</w:t>
      </w:r>
      <w:r>
        <w:rPr>
          <w:spacing w:val="-43"/>
        </w:rPr>
        <w:t> </w:t>
      </w:r>
      <w:r>
        <w:rPr/>
        <w:t>analysis</w:t>
      </w:r>
      <w:r>
        <w:rPr>
          <w:spacing w:val="-42"/>
        </w:rPr>
        <w:t> </w:t>
      </w:r>
      <w:r>
        <w:rPr/>
        <w:t>of</w:t>
      </w:r>
      <w:r>
        <w:rPr>
          <w:spacing w:val="-42"/>
        </w:rPr>
        <w:t> </w:t>
      </w:r>
      <w:r>
        <w:rPr/>
        <w:t>existing</w:t>
      </w:r>
      <w:r>
        <w:rPr>
          <w:spacing w:val="-42"/>
        </w:rPr>
        <w:t> </w:t>
      </w:r>
      <w:r>
        <w:rPr/>
        <w:t>lease</w:t>
      </w:r>
      <w:r>
        <w:rPr>
          <w:spacing w:val="-43"/>
        </w:rPr>
        <w:t> </w:t>
      </w:r>
      <w:r>
        <w:rPr/>
        <w:t>rolls,</w:t>
      </w:r>
      <w:r>
        <w:rPr>
          <w:spacing w:val="-42"/>
        </w:rPr>
        <w:t> </w:t>
      </w:r>
      <w:r>
        <w:rPr/>
        <w:t>it</w:t>
      </w:r>
      <w:r>
        <w:rPr>
          <w:spacing w:val="-43"/>
        </w:rPr>
        <w:t> </w:t>
      </w:r>
      <w:r>
        <w:rPr/>
        <w:t>was</w:t>
      </w:r>
      <w:r>
        <w:rPr>
          <w:spacing w:val="-41"/>
        </w:rPr>
        <w:t> </w:t>
      </w:r>
      <w:r>
        <w:rPr/>
        <w:t>observed</w:t>
      </w:r>
      <w:r>
        <w:rPr>
          <w:spacing w:val="-43"/>
        </w:rPr>
        <w:t> </w:t>
      </w:r>
      <w:r>
        <w:rPr/>
        <w:t>that</w:t>
      </w:r>
      <w:r>
        <w:rPr>
          <w:spacing w:val="-42"/>
        </w:rPr>
        <w:t> </w:t>
      </w:r>
      <w:r>
        <w:rPr/>
        <w:t>the</w:t>
      </w:r>
      <w:r>
        <w:rPr>
          <w:spacing w:val="-42"/>
        </w:rPr>
        <w:t> </w:t>
      </w:r>
      <w:r>
        <w:rPr/>
        <w:t>typical</w:t>
      </w:r>
      <w:r>
        <w:rPr>
          <w:spacing w:val="-43"/>
        </w:rPr>
        <w:t> </w:t>
      </w:r>
      <w:r>
        <w:rPr/>
        <w:t>escalation</w:t>
      </w:r>
      <w:r>
        <w:rPr>
          <w:spacing w:val="-43"/>
        </w:rPr>
        <w:t> </w:t>
      </w:r>
      <w:r>
        <w:rPr/>
        <w:t>clause</w:t>
      </w:r>
      <w:r>
        <w:rPr>
          <w:spacing w:val="-42"/>
        </w:rPr>
        <w:t> </w:t>
      </w:r>
      <w:r>
        <w:rPr/>
        <w:t>in</w:t>
      </w:r>
      <w:r>
        <w:rPr>
          <w:spacing w:val="-43"/>
        </w:rPr>
        <w:t> </w:t>
      </w:r>
      <w:r>
        <w:rPr/>
        <w:t>the</w:t>
      </w:r>
      <w:r>
        <w:rPr>
          <w:spacing w:val="-42"/>
        </w:rPr>
        <w:t> </w:t>
      </w:r>
      <w:r>
        <w:rPr/>
        <w:t>subject property</w:t>
      </w:r>
      <w:r>
        <w:rPr>
          <w:spacing w:val="-20"/>
        </w:rPr>
        <w:t> </w:t>
      </w:r>
      <w:r>
        <w:rPr/>
        <w:t>is</w:t>
      </w:r>
      <w:r>
        <w:rPr>
          <w:spacing w:val="-21"/>
        </w:rPr>
        <w:t> </w:t>
      </w:r>
      <w:r>
        <w:rPr/>
        <w:t>approx.</w:t>
      </w:r>
      <w:r>
        <w:rPr>
          <w:spacing w:val="-21"/>
        </w:rPr>
        <w:t> </w:t>
      </w:r>
      <w:r>
        <w:rPr/>
        <w:t>15%</w:t>
      </w:r>
      <w:r>
        <w:rPr>
          <w:spacing w:val="-21"/>
        </w:rPr>
        <w:t> </w:t>
      </w:r>
      <w:r>
        <w:rPr/>
        <w:t>after</w:t>
      </w:r>
      <w:r>
        <w:rPr>
          <w:spacing w:val="-22"/>
        </w:rPr>
        <w:t> </w:t>
      </w:r>
      <w:r>
        <w:rPr/>
        <w:t>every</w:t>
      </w:r>
      <w:r>
        <w:rPr>
          <w:spacing w:val="-20"/>
        </w:rPr>
        <w:t> </w:t>
      </w:r>
      <w:r>
        <w:rPr/>
        <w:t>three</w:t>
      </w:r>
      <w:r>
        <w:rPr>
          <w:spacing w:val="-21"/>
        </w:rPr>
        <w:t> </w:t>
      </w:r>
      <w:r>
        <w:rPr/>
        <w:t>years,</w:t>
      </w:r>
      <w:r>
        <w:rPr>
          <w:spacing w:val="-21"/>
        </w:rPr>
        <w:t> </w:t>
      </w:r>
      <w:r>
        <w:rPr/>
        <w:t>which</w:t>
      </w:r>
      <w:r>
        <w:rPr>
          <w:spacing w:val="-21"/>
        </w:rPr>
        <w:t> </w:t>
      </w:r>
      <w:r>
        <w:rPr/>
        <w:t>is</w:t>
      </w:r>
      <w:r>
        <w:rPr>
          <w:spacing w:val="-21"/>
        </w:rPr>
        <w:t> </w:t>
      </w:r>
      <w:r>
        <w:rPr/>
        <w:t>in-line</w:t>
      </w:r>
      <w:r>
        <w:rPr>
          <w:spacing w:val="-21"/>
        </w:rPr>
        <w:t> </w:t>
      </w:r>
      <w:r>
        <w:rPr/>
        <w:t>with</w:t>
      </w:r>
      <w:r>
        <w:rPr>
          <w:spacing w:val="-22"/>
        </w:rPr>
        <w:t> </w:t>
      </w:r>
      <w:r>
        <w:rPr/>
        <w:t>the</w:t>
      </w:r>
      <w:r>
        <w:rPr>
          <w:spacing w:val="-21"/>
        </w:rPr>
        <w:t> </w:t>
      </w:r>
      <w:r>
        <w:rPr/>
        <w:t>trend</w:t>
      </w:r>
      <w:r>
        <w:rPr>
          <w:spacing w:val="-21"/>
        </w:rPr>
        <w:t> </w:t>
      </w:r>
      <w:r>
        <w:rPr/>
        <w:t>observed</w:t>
      </w:r>
      <w:r>
        <w:rPr>
          <w:spacing w:val="-20"/>
        </w:rPr>
        <w:t> </w:t>
      </w:r>
      <w:r>
        <w:rPr/>
        <w:t>in</w:t>
      </w:r>
      <w:r>
        <w:rPr>
          <w:spacing w:val="-22"/>
        </w:rPr>
        <w:t> </w:t>
      </w:r>
      <w:r>
        <w:rPr/>
        <w:t>the</w:t>
      </w:r>
      <w:r>
        <w:rPr>
          <w:spacing w:val="-21"/>
        </w:rPr>
        <w:t> </w:t>
      </w:r>
      <w:r>
        <w:rPr/>
        <w:t>market. The</w:t>
      </w:r>
      <w:r>
        <w:rPr>
          <w:spacing w:val="-20"/>
        </w:rPr>
        <w:t> </w:t>
      </w:r>
      <w:r>
        <w:rPr/>
        <w:t>same</w:t>
      </w:r>
      <w:r>
        <w:rPr>
          <w:spacing w:val="-19"/>
        </w:rPr>
        <w:t> </w:t>
      </w:r>
      <w:r>
        <w:rPr/>
        <w:t>has</w:t>
      </w:r>
      <w:r>
        <w:rPr>
          <w:spacing w:val="-20"/>
        </w:rPr>
        <w:t> </w:t>
      </w:r>
      <w:r>
        <w:rPr/>
        <w:t>been</w:t>
      </w:r>
      <w:r>
        <w:rPr>
          <w:spacing w:val="-19"/>
        </w:rPr>
        <w:t> </w:t>
      </w:r>
      <w:r>
        <w:rPr/>
        <w:t>adopted</w:t>
      </w:r>
      <w:r>
        <w:rPr>
          <w:spacing w:val="-19"/>
        </w:rPr>
        <w:t> </w:t>
      </w:r>
      <w:r>
        <w:rPr/>
        <w:t>by</w:t>
      </w:r>
      <w:r>
        <w:rPr>
          <w:spacing w:val="-17"/>
        </w:rPr>
        <w:t> </w:t>
      </w:r>
      <w:r>
        <w:rPr/>
        <w:t>the</w:t>
      </w:r>
      <w:r>
        <w:rPr>
          <w:spacing w:val="-19"/>
        </w:rPr>
        <w:t> </w:t>
      </w:r>
      <w:r>
        <w:rPr/>
        <w:t>Valuer</w:t>
      </w:r>
      <w:r>
        <w:rPr>
          <w:spacing w:val="-20"/>
        </w:rPr>
        <w:t> </w:t>
      </w:r>
      <w:r>
        <w:rPr/>
        <w:t>for</w:t>
      </w:r>
      <w:r>
        <w:rPr>
          <w:spacing w:val="-19"/>
        </w:rPr>
        <w:t> </w:t>
      </w:r>
      <w:r>
        <w:rPr/>
        <w:t>the</w:t>
      </w:r>
      <w:r>
        <w:rPr>
          <w:spacing w:val="-19"/>
        </w:rPr>
        <w:t> </w:t>
      </w:r>
      <w:r>
        <w:rPr/>
        <w:t>vacant</w:t>
      </w:r>
      <w:r>
        <w:rPr>
          <w:spacing w:val="-19"/>
        </w:rPr>
        <w:t> </w:t>
      </w:r>
      <w:r>
        <w:rPr/>
        <w:t>area</w:t>
      </w:r>
      <w:r>
        <w:rPr>
          <w:spacing w:val="-19"/>
        </w:rPr>
        <w:t> </w:t>
      </w:r>
      <w:r>
        <w:rPr/>
        <w:t>and</w:t>
      </w:r>
      <w:r>
        <w:rPr>
          <w:spacing w:val="-19"/>
        </w:rPr>
        <w:t> </w:t>
      </w:r>
      <w:r>
        <w:rPr/>
        <w:t>renewals</w:t>
      </w:r>
      <w:r>
        <w:rPr>
          <w:spacing w:val="-18"/>
        </w:rPr>
        <w:t> </w:t>
      </w:r>
      <w:r>
        <w:rPr/>
        <w:t>at</w:t>
      </w:r>
      <w:r>
        <w:rPr>
          <w:spacing w:val="-19"/>
        </w:rPr>
        <w:t> </w:t>
      </w:r>
      <w:r>
        <w:rPr/>
        <w:t>the</w:t>
      </w:r>
      <w:r>
        <w:rPr>
          <w:spacing w:val="-19"/>
        </w:rPr>
        <w:t> </w:t>
      </w:r>
      <w:r>
        <w:rPr/>
        <w:t>subject</w:t>
      </w:r>
      <w:r>
        <w:rPr>
          <w:spacing w:val="-19"/>
        </w:rPr>
        <w:t> </w:t>
      </w:r>
      <w:r>
        <w:rPr/>
        <w:t>property.</w:t>
      </w:r>
    </w:p>
    <w:p>
      <w:pPr>
        <w:pStyle w:val="BodyText"/>
        <w:spacing w:before="2"/>
        <w:rPr>
          <w:sz w:val="23"/>
        </w:rPr>
      </w:pPr>
    </w:p>
    <w:p>
      <w:pPr>
        <w:pStyle w:val="ListParagraph"/>
        <w:numPr>
          <w:ilvl w:val="3"/>
          <w:numId w:val="70"/>
        </w:numPr>
        <w:tabs>
          <w:tab w:pos="1005" w:val="left" w:leader="none"/>
        </w:tabs>
        <w:spacing w:line="240" w:lineRule="auto" w:before="0" w:after="0"/>
        <w:ind w:left="1004" w:right="0" w:hanging="865"/>
        <w:jc w:val="left"/>
        <w:rPr>
          <w:i/>
          <w:sz w:val="20"/>
        </w:rPr>
      </w:pPr>
      <w:r>
        <w:rPr>
          <w:i/>
          <w:color w:val="008000"/>
          <w:w w:val="95"/>
          <w:sz w:val="20"/>
        </w:rPr>
        <w:t>Fit-out</w:t>
      </w:r>
      <w:r>
        <w:rPr>
          <w:i/>
          <w:color w:val="008000"/>
          <w:spacing w:val="-1"/>
          <w:w w:val="95"/>
          <w:sz w:val="20"/>
        </w:rPr>
        <w:t> </w:t>
      </w:r>
      <w:r>
        <w:rPr>
          <w:i/>
          <w:color w:val="008000"/>
          <w:w w:val="95"/>
          <w:sz w:val="20"/>
        </w:rPr>
        <w:t>Rent</w:t>
      </w:r>
    </w:p>
    <w:p>
      <w:pPr>
        <w:pStyle w:val="BodyText"/>
        <w:rPr>
          <w:i/>
        </w:rPr>
      </w:pPr>
    </w:p>
    <w:p>
      <w:pPr>
        <w:pStyle w:val="BodyText"/>
        <w:spacing w:line="324" w:lineRule="auto"/>
        <w:ind w:left="702" w:right="122"/>
        <w:jc w:val="both"/>
      </w:pPr>
      <w:r>
        <w:rPr/>
        <w:t>As per the information (rent roll) provided by the Client, we understand that currently, the subject development does not receive any separate income from fit-out rentals from any of the tenants.</w:t>
      </w:r>
    </w:p>
    <w:p>
      <w:pPr>
        <w:spacing w:after="0" w:line="324" w:lineRule="auto"/>
        <w:jc w:val="both"/>
        <w:sectPr>
          <w:pgSz w:w="11910" w:h="16840"/>
          <w:pgMar w:header="720" w:footer="921" w:top="1660" w:bottom="1120" w:left="580" w:right="600"/>
        </w:sectPr>
      </w:pPr>
    </w:p>
    <w:p>
      <w:pPr>
        <w:pStyle w:val="BodyText"/>
        <w:spacing w:before="7"/>
        <w:rPr>
          <w:sz w:val="9"/>
        </w:rPr>
      </w:pPr>
    </w:p>
    <w:p>
      <w:pPr>
        <w:pStyle w:val="BodyText"/>
        <w:spacing w:line="321" w:lineRule="auto" w:before="106"/>
        <w:ind w:left="702" w:right="121"/>
        <w:jc w:val="both"/>
      </w:pPr>
      <w:r>
        <w:rPr/>
        <w:t>Moreover,</w:t>
      </w:r>
      <w:r>
        <w:rPr>
          <w:spacing w:val="-19"/>
        </w:rPr>
        <w:t> </w:t>
      </w:r>
      <w:r>
        <w:rPr/>
        <w:t>for</w:t>
      </w:r>
      <w:r>
        <w:rPr>
          <w:spacing w:val="-20"/>
        </w:rPr>
        <w:t> </w:t>
      </w:r>
      <w:r>
        <w:rPr/>
        <w:t>the</w:t>
      </w:r>
      <w:r>
        <w:rPr>
          <w:spacing w:val="-19"/>
        </w:rPr>
        <w:t> </w:t>
      </w:r>
      <w:r>
        <w:rPr/>
        <w:t>vacant</w:t>
      </w:r>
      <w:r>
        <w:rPr>
          <w:spacing w:val="-17"/>
        </w:rPr>
        <w:t> </w:t>
      </w:r>
      <w:r>
        <w:rPr/>
        <w:t>area</w:t>
      </w:r>
      <w:r>
        <w:rPr>
          <w:spacing w:val="-20"/>
        </w:rPr>
        <w:t> </w:t>
      </w:r>
      <w:r>
        <w:rPr/>
        <w:t>(in</w:t>
      </w:r>
      <w:r>
        <w:rPr>
          <w:spacing w:val="-18"/>
        </w:rPr>
        <w:t> </w:t>
      </w:r>
      <w:r>
        <w:rPr/>
        <w:t>completed/proposed</w:t>
      </w:r>
      <w:r>
        <w:rPr>
          <w:spacing w:val="-18"/>
        </w:rPr>
        <w:t> </w:t>
      </w:r>
      <w:r>
        <w:rPr/>
        <w:t>blocks),</w:t>
      </w:r>
      <w:r>
        <w:rPr>
          <w:spacing w:val="-19"/>
        </w:rPr>
        <w:t> </w:t>
      </w:r>
      <w:r>
        <w:rPr/>
        <w:t>we</w:t>
      </w:r>
      <w:r>
        <w:rPr>
          <w:spacing w:val="-19"/>
        </w:rPr>
        <w:t> </w:t>
      </w:r>
      <w:r>
        <w:rPr/>
        <w:t>have</w:t>
      </w:r>
      <w:r>
        <w:rPr>
          <w:spacing w:val="-20"/>
        </w:rPr>
        <w:t> </w:t>
      </w:r>
      <w:r>
        <w:rPr/>
        <w:t>assumed</w:t>
      </w:r>
      <w:r>
        <w:rPr>
          <w:spacing w:val="-18"/>
        </w:rPr>
        <w:t> </w:t>
      </w:r>
      <w:r>
        <w:rPr/>
        <w:t>that</w:t>
      </w:r>
      <w:r>
        <w:rPr>
          <w:spacing w:val="-18"/>
        </w:rPr>
        <w:t> </w:t>
      </w:r>
      <w:r>
        <w:rPr/>
        <w:t>the</w:t>
      </w:r>
      <w:r>
        <w:rPr>
          <w:spacing w:val="-21"/>
        </w:rPr>
        <w:t> </w:t>
      </w:r>
      <w:r>
        <w:rPr/>
        <w:t>same</w:t>
      </w:r>
      <w:r>
        <w:rPr>
          <w:spacing w:val="-19"/>
        </w:rPr>
        <w:t> </w:t>
      </w:r>
      <w:r>
        <w:rPr/>
        <w:t>would be</w:t>
      </w:r>
      <w:r>
        <w:rPr>
          <w:spacing w:val="-11"/>
        </w:rPr>
        <w:t> </w:t>
      </w:r>
      <w:r>
        <w:rPr/>
        <w:t>leased</w:t>
      </w:r>
      <w:r>
        <w:rPr>
          <w:spacing w:val="-10"/>
        </w:rPr>
        <w:t> </w:t>
      </w:r>
      <w:r>
        <w:rPr/>
        <w:t>on</w:t>
      </w:r>
      <w:r>
        <w:rPr>
          <w:spacing w:val="-11"/>
        </w:rPr>
        <w:t> </w:t>
      </w:r>
      <w:r>
        <w:rPr/>
        <w:t>warm</w:t>
      </w:r>
      <w:r>
        <w:rPr>
          <w:spacing w:val="-13"/>
        </w:rPr>
        <w:t> </w:t>
      </w:r>
      <w:r>
        <w:rPr/>
        <w:t>shell</w:t>
      </w:r>
      <w:r>
        <w:rPr>
          <w:spacing w:val="-11"/>
        </w:rPr>
        <w:t> </w:t>
      </w:r>
      <w:r>
        <w:rPr/>
        <w:t>specifications</w:t>
      </w:r>
      <w:r>
        <w:rPr>
          <w:spacing w:val="-13"/>
        </w:rPr>
        <w:t> </w:t>
      </w:r>
      <w:r>
        <w:rPr/>
        <w:t>with</w:t>
      </w:r>
      <w:r>
        <w:rPr>
          <w:spacing w:val="-11"/>
        </w:rPr>
        <w:t> </w:t>
      </w:r>
      <w:r>
        <w:rPr/>
        <w:t>no</w:t>
      </w:r>
      <w:r>
        <w:rPr>
          <w:spacing w:val="-11"/>
        </w:rPr>
        <w:t> </w:t>
      </w:r>
      <w:r>
        <w:rPr/>
        <w:t>applicable</w:t>
      </w:r>
      <w:r>
        <w:rPr>
          <w:spacing w:val="-11"/>
        </w:rPr>
        <w:t> </w:t>
      </w:r>
      <w:r>
        <w:rPr/>
        <w:t>fit-out</w:t>
      </w:r>
      <w:r>
        <w:rPr>
          <w:spacing w:val="-11"/>
        </w:rPr>
        <w:t> </w:t>
      </w:r>
      <w:r>
        <w:rPr/>
        <w:t>rentals</w:t>
      </w:r>
      <w:r>
        <w:rPr>
          <w:spacing w:val="-10"/>
        </w:rPr>
        <w:t> </w:t>
      </w:r>
      <w:r>
        <w:rPr/>
        <w:t>on</w:t>
      </w:r>
      <w:r>
        <w:rPr>
          <w:spacing w:val="-13"/>
        </w:rPr>
        <w:t> </w:t>
      </w:r>
      <w:r>
        <w:rPr/>
        <w:t>any</w:t>
      </w:r>
      <w:r>
        <w:rPr>
          <w:spacing w:val="-10"/>
        </w:rPr>
        <w:t> </w:t>
      </w:r>
      <w:r>
        <w:rPr/>
        <w:t>lease.</w:t>
      </w:r>
    </w:p>
    <w:p>
      <w:pPr>
        <w:pStyle w:val="BodyText"/>
        <w:spacing w:before="4"/>
        <w:rPr>
          <w:sz w:val="23"/>
        </w:rPr>
      </w:pPr>
    </w:p>
    <w:p>
      <w:pPr>
        <w:pStyle w:val="ListParagraph"/>
        <w:numPr>
          <w:ilvl w:val="3"/>
          <w:numId w:val="70"/>
        </w:numPr>
        <w:tabs>
          <w:tab w:pos="1005" w:val="left" w:leader="none"/>
        </w:tabs>
        <w:spacing w:line="240" w:lineRule="auto" w:before="0" w:after="0"/>
        <w:ind w:left="1004" w:right="0" w:hanging="865"/>
        <w:jc w:val="left"/>
        <w:rPr>
          <w:i/>
          <w:sz w:val="20"/>
        </w:rPr>
      </w:pPr>
      <w:r>
        <w:rPr>
          <w:i/>
          <w:color w:val="008000"/>
          <w:sz w:val="20"/>
        </w:rPr>
        <w:t>Other</w:t>
      </w:r>
      <w:r>
        <w:rPr>
          <w:i/>
          <w:color w:val="008000"/>
          <w:spacing w:val="-4"/>
          <w:sz w:val="20"/>
        </w:rPr>
        <w:t> </w:t>
      </w:r>
      <w:r>
        <w:rPr>
          <w:i/>
          <w:color w:val="008000"/>
          <w:sz w:val="20"/>
        </w:rPr>
        <w:t>Revenues</w:t>
      </w:r>
    </w:p>
    <w:p>
      <w:pPr>
        <w:pStyle w:val="BodyText"/>
        <w:rPr>
          <w:i/>
        </w:rPr>
      </w:pPr>
    </w:p>
    <w:p>
      <w:pPr>
        <w:pStyle w:val="BodyText"/>
        <w:spacing w:line="321" w:lineRule="auto"/>
        <w:ind w:left="702" w:right="112"/>
        <w:jc w:val="both"/>
      </w:pPr>
      <w:r>
        <w:rPr/>
        <w:t>In</w:t>
      </w:r>
      <w:r>
        <w:rPr>
          <w:spacing w:val="-46"/>
        </w:rPr>
        <w:t> </w:t>
      </w:r>
      <w:r>
        <w:rPr/>
        <w:t>addition</w:t>
      </w:r>
      <w:r>
        <w:rPr>
          <w:spacing w:val="-46"/>
        </w:rPr>
        <w:t> </w:t>
      </w:r>
      <w:r>
        <w:rPr/>
        <w:t>to</w:t>
      </w:r>
      <w:r>
        <w:rPr>
          <w:spacing w:val="-45"/>
        </w:rPr>
        <w:t> </w:t>
      </w:r>
      <w:r>
        <w:rPr/>
        <w:t>lease</w:t>
      </w:r>
      <w:r>
        <w:rPr>
          <w:spacing w:val="-46"/>
        </w:rPr>
        <w:t> </w:t>
      </w:r>
      <w:r>
        <w:rPr/>
        <w:t>rent</w:t>
      </w:r>
      <w:r>
        <w:rPr>
          <w:spacing w:val="-45"/>
        </w:rPr>
        <w:t> </w:t>
      </w:r>
      <w:r>
        <w:rPr/>
        <w:t>revenues,</w:t>
      </w:r>
      <w:r>
        <w:rPr>
          <w:spacing w:val="-45"/>
        </w:rPr>
        <w:t> </w:t>
      </w:r>
      <w:r>
        <w:rPr/>
        <w:t>office</w:t>
      </w:r>
      <w:r>
        <w:rPr>
          <w:spacing w:val="-45"/>
        </w:rPr>
        <w:t> </w:t>
      </w:r>
      <w:r>
        <w:rPr/>
        <w:t>parks</w:t>
      </w:r>
      <w:r>
        <w:rPr>
          <w:spacing w:val="-44"/>
        </w:rPr>
        <w:t> </w:t>
      </w:r>
      <w:r>
        <w:rPr/>
        <w:t>typically</w:t>
      </w:r>
      <w:r>
        <w:rPr>
          <w:spacing w:val="-45"/>
        </w:rPr>
        <w:t> </w:t>
      </w:r>
      <w:r>
        <w:rPr/>
        <w:t>have</w:t>
      </w:r>
      <w:r>
        <w:rPr>
          <w:spacing w:val="-46"/>
        </w:rPr>
        <w:t> </w:t>
      </w:r>
      <w:r>
        <w:rPr/>
        <w:t>additional</w:t>
      </w:r>
      <w:r>
        <w:rPr>
          <w:spacing w:val="-46"/>
        </w:rPr>
        <w:t> </w:t>
      </w:r>
      <w:r>
        <w:rPr/>
        <w:t>sources</w:t>
      </w:r>
      <w:r>
        <w:rPr>
          <w:spacing w:val="-44"/>
        </w:rPr>
        <w:t> </w:t>
      </w:r>
      <w:r>
        <w:rPr/>
        <w:t>of</w:t>
      </w:r>
      <w:r>
        <w:rPr>
          <w:spacing w:val="-45"/>
        </w:rPr>
        <w:t> </w:t>
      </w:r>
      <w:r>
        <w:rPr/>
        <w:t>revenue.</w:t>
      </w:r>
      <w:r>
        <w:rPr>
          <w:spacing w:val="-46"/>
        </w:rPr>
        <w:t> </w:t>
      </w:r>
      <w:r>
        <w:rPr/>
        <w:t>These</w:t>
      </w:r>
      <w:r>
        <w:rPr>
          <w:spacing w:val="-45"/>
        </w:rPr>
        <w:t> </w:t>
      </w:r>
      <w:r>
        <w:rPr/>
        <w:t>include revenues</w:t>
      </w:r>
      <w:r>
        <w:rPr>
          <w:spacing w:val="-38"/>
        </w:rPr>
        <w:t> </w:t>
      </w:r>
      <w:r>
        <w:rPr/>
        <w:t>on</w:t>
      </w:r>
      <w:r>
        <w:rPr>
          <w:spacing w:val="-39"/>
        </w:rPr>
        <w:t> </w:t>
      </w:r>
      <w:r>
        <w:rPr/>
        <w:t>account</w:t>
      </w:r>
      <w:r>
        <w:rPr>
          <w:spacing w:val="-38"/>
        </w:rPr>
        <w:t> </w:t>
      </w:r>
      <w:r>
        <w:rPr/>
        <w:t>of</w:t>
      </w:r>
      <w:r>
        <w:rPr>
          <w:spacing w:val="-37"/>
        </w:rPr>
        <w:t> </w:t>
      </w:r>
      <w:r>
        <w:rPr/>
        <w:t>security</w:t>
      </w:r>
      <w:r>
        <w:rPr>
          <w:spacing w:val="-38"/>
        </w:rPr>
        <w:t> </w:t>
      </w:r>
      <w:r>
        <w:rPr/>
        <w:t>deposit</w:t>
      </w:r>
      <w:r>
        <w:rPr>
          <w:spacing w:val="-39"/>
        </w:rPr>
        <w:t> </w:t>
      </w:r>
      <w:r>
        <w:rPr/>
        <w:t>(refunded</w:t>
      </w:r>
      <w:r>
        <w:rPr>
          <w:spacing w:val="-38"/>
        </w:rPr>
        <w:t> </w:t>
      </w:r>
      <w:r>
        <w:rPr/>
        <w:t>at</w:t>
      </w:r>
      <w:r>
        <w:rPr>
          <w:spacing w:val="-38"/>
        </w:rPr>
        <w:t> </w:t>
      </w:r>
      <w:r>
        <w:rPr/>
        <w:t>the</w:t>
      </w:r>
      <w:r>
        <w:rPr>
          <w:spacing w:val="-36"/>
        </w:rPr>
        <w:t> </w:t>
      </w:r>
      <w:r>
        <w:rPr/>
        <w:t>time</w:t>
      </w:r>
      <w:r>
        <w:rPr>
          <w:spacing w:val="-38"/>
        </w:rPr>
        <w:t> </w:t>
      </w:r>
      <w:r>
        <w:rPr/>
        <w:t>of</w:t>
      </w:r>
      <w:r>
        <w:rPr>
          <w:spacing w:val="-38"/>
        </w:rPr>
        <w:t> </w:t>
      </w:r>
      <w:r>
        <w:rPr/>
        <w:t>lease</w:t>
      </w:r>
      <w:r>
        <w:rPr>
          <w:spacing w:val="-38"/>
        </w:rPr>
        <w:t> </w:t>
      </w:r>
      <w:r>
        <w:rPr/>
        <w:t>expiry</w:t>
      </w:r>
      <w:r>
        <w:rPr>
          <w:spacing w:val="-37"/>
        </w:rPr>
        <w:t> </w:t>
      </w:r>
      <w:r>
        <w:rPr/>
        <w:t>/</w:t>
      </w:r>
      <w:r>
        <w:rPr>
          <w:spacing w:val="-39"/>
        </w:rPr>
        <w:t> </w:t>
      </w:r>
      <w:r>
        <w:rPr/>
        <w:t>exit),</w:t>
      </w:r>
      <w:r>
        <w:rPr>
          <w:spacing w:val="-38"/>
        </w:rPr>
        <w:t> </w:t>
      </w:r>
      <w:r>
        <w:rPr/>
        <w:t>other</w:t>
      </w:r>
      <w:r>
        <w:rPr>
          <w:spacing w:val="-38"/>
        </w:rPr>
        <w:t> </w:t>
      </w:r>
      <w:r>
        <w:rPr/>
        <w:t>miscellaneous income (such as parking, cell sites, retail areas, food court, kiosks, etc.), mark-up on Common Area Maintenance (CAM) charges/ CAM margin,</w:t>
      </w:r>
      <w:r>
        <w:rPr>
          <w:spacing w:val="-10"/>
        </w:rPr>
        <w:t> </w:t>
      </w:r>
      <w:r>
        <w:rPr/>
        <w:t>etc.</w:t>
      </w:r>
    </w:p>
    <w:p>
      <w:pPr>
        <w:pStyle w:val="BodyText"/>
        <w:spacing w:before="9"/>
        <w:rPr>
          <w:sz w:val="20"/>
        </w:rPr>
      </w:pPr>
    </w:p>
    <w:p>
      <w:pPr>
        <w:pStyle w:val="BodyText"/>
        <w:spacing w:line="321" w:lineRule="auto" w:before="1"/>
        <w:ind w:left="702" w:right="116"/>
        <w:jc w:val="both"/>
      </w:pPr>
      <w:r>
        <w:rPr/>
        <w:t>The assumptions considered for the aforementioned revenue heads for the purpose of this valuation exercise</w:t>
      </w:r>
      <w:r>
        <w:rPr>
          <w:spacing w:val="-39"/>
        </w:rPr>
        <w:t> </w:t>
      </w:r>
      <w:r>
        <w:rPr/>
        <w:t>are</w:t>
      </w:r>
      <w:r>
        <w:rPr>
          <w:spacing w:val="-39"/>
        </w:rPr>
        <w:t> </w:t>
      </w:r>
      <w:r>
        <w:rPr/>
        <w:t>based</w:t>
      </w:r>
      <w:r>
        <w:rPr>
          <w:spacing w:val="-38"/>
        </w:rPr>
        <w:t> </w:t>
      </w:r>
      <w:r>
        <w:rPr/>
        <w:t>on</w:t>
      </w:r>
      <w:r>
        <w:rPr>
          <w:spacing w:val="-39"/>
        </w:rPr>
        <w:t> </w:t>
      </w:r>
      <w:r>
        <w:rPr/>
        <w:t>the</w:t>
      </w:r>
      <w:r>
        <w:rPr>
          <w:spacing w:val="-39"/>
        </w:rPr>
        <w:t> </w:t>
      </w:r>
      <w:r>
        <w:rPr/>
        <w:t>rent</w:t>
      </w:r>
      <w:r>
        <w:rPr>
          <w:spacing w:val="-38"/>
        </w:rPr>
        <w:t> </w:t>
      </w:r>
      <w:r>
        <w:rPr/>
        <w:t>roll/</w:t>
      </w:r>
      <w:r>
        <w:rPr>
          <w:spacing w:val="-39"/>
        </w:rPr>
        <w:t> </w:t>
      </w:r>
      <w:r>
        <w:rPr/>
        <w:t>information</w:t>
      </w:r>
      <w:r>
        <w:rPr>
          <w:spacing w:val="-39"/>
        </w:rPr>
        <w:t> </w:t>
      </w:r>
      <w:r>
        <w:rPr/>
        <w:t>provided</w:t>
      </w:r>
      <w:r>
        <w:rPr>
          <w:spacing w:val="-38"/>
        </w:rPr>
        <w:t> </w:t>
      </w:r>
      <w:r>
        <w:rPr/>
        <w:t>by</w:t>
      </w:r>
      <w:r>
        <w:rPr>
          <w:spacing w:val="-38"/>
        </w:rPr>
        <w:t> </w:t>
      </w:r>
      <w:r>
        <w:rPr/>
        <w:t>the</w:t>
      </w:r>
      <w:r>
        <w:rPr>
          <w:spacing w:val="-39"/>
        </w:rPr>
        <w:t> </w:t>
      </w:r>
      <w:r>
        <w:rPr/>
        <w:t>Client.</w:t>
      </w:r>
      <w:r>
        <w:rPr>
          <w:spacing w:val="-38"/>
        </w:rPr>
        <w:t> </w:t>
      </w:r>
      <w:r>
        <w:rPr/>
        <w:t>The</w:t>
      </w:r>
      <w:r>
        <w:rPr>
          <w:spacing w:val="-40"/>
        </w:rPr>
        <w:t> </w:t>
      </w:r>
      <w:r>
        <w:rPr/>
        <w:t>same</w:t>
      </w:r>
      <w:r>
        <w:rPr>
          <w:spacing w:val="-38"/>
        </w:rPr>
        <w:t> </w:t>
      </w:r>
      <w:r>
        <w:rPr/>
        <w:t>has</w:t>
      </w:r>
      <w:r>
        <w:rPr>
          <w:spacing w:val="-38"/>
        </w:rPr>
        <w:t> </w:t>
      </w:r>
      <w:r>
        <w:rPr/>
        <w:t>been</w:t>
      </w:r>
      <w:r>
        <w:rPr>
          <w:spacing w:val="-38"/>
        </w:rPr>
        <w:t> </w:t>
      </w:r>
      <w:r>
        <w:rPr/>
        <w:t>cross-checked with</w:t>
      </w:r>
      <w:r>
        <w:rPr>
          <w:spacing w:val="-13"/>
        </w:rPr>
        <w:t> </w:t>
      </w:r>
      <w:r>
        <w:rPr/>
        <w:t>the</w:t>
      </w:r>
      <w:r>
        <w:rPr>
          <w:spacing w:val="-13"/>
        </w:rPr>
        <w:t> </w:t>
      </w:r>
      <w:r>
        <w:rPr/>
        <w:t>prevailing</w:t>
      </w:r>
      <w:r>
        <w:rPr>
          <w:spacing w:val="-11"/>
        </w:rPr>
        <w:t> </w:t>
      </w:r>
      <w:r>
        <w:rPr/>
        <w:t>market</w:t>
      </w:r>
      <w:r>
        <w:rPr>
          <w:spacing w:val="-12"/>
        </w:rPr>
        <w:t> </w:t>
      </w:r>
      <w:r>
        <w:rPr/>
        <w:t>norms</w:t>
      </w:r>
      <w:r>
        <w:rPr>
          <w:spacing w:val="-12"/>
        </w:rPr>
        <w:t> </w:t>
      </w:r>
      <w:r>
        <w:rPr/>
        <w:t>for</w:t>
      </w:r>
      <w:r>
        <w:rPr>
          <w:spacing w:val="-13"/>
        </w:rPr>
        <w:t> </w:t>
      </w:r>
      <w:r>
        <w:rPr/>
        <w:t>other</w:t>
      </w:r>
      <w:r>
        <w:rPr>
          <w:spacing w:val="-12"/>
        </w:rPr>
        <w:t> </w:t>
      </w:r>
      <w:r>
        <w:rPr/>
        <w:t>revenues</w:t>
      </w:r>
      <w:r>
        <w:rPr>
          <w:spacing w:val="-11"/>
        </w:rPr>
        <w:t> </w:t>
      </w:r>
      <w:r>
        <w:rPr/>
        <w:t>and</w:t>
      </w:r>
      <w:r>
        <w:rPr>
          <w:spacing w:val="-14"/>
        </w:rPr>
        <w:t> </w:t>
      </w:r>
      <w:r>
        <w:rPr/>
        <w:t>were</w:t>
      </w:r>
      <w:r>
        <w:rPr>
          <w:spacing w:val="-12"/>
        </w:rPr>
        <w:t> </w:t>
      </w:r>
      <w:r>
        <w:rPr/>
        <w:t>found</w:t>
      </w:r>
      <w:r>
        <w:rPr>
          <w:spacing w:val="-12"/>
        </w:rPr>
        <w:t> </w:t>
      </w:r>
      <w:r>
        <w:rPr/>
        <w:t>to</w:t>
      </w:r>
      <w:r>
        <w:rPr>
          <w:spacing w:val="-12"/>
        </w:rPr>
        <w:t> </w:t>
      </w:r>
      <w:r>
        <w:rPr/>
        <w:t>be</w:t>
      </w:r>
      <w:r>
        <w:rPr>
          <w:spacing w:val="-14"/>
        </w:rPr>
        <w:t> </w:t>
      </w:r>
      <w:r>
        <w:rPr/>
        <w:t>broadly</w:t>
      </w:r>
      <w:r>
        <w:rPr>
          <w:spacing w:val="-12"/>
        </w:rPr>
        <w:t> </w:t>
      </w:r>
      <w:r>
        <w:rPr/>
        <w:t>in</w:t>
      </w:r>
      <w:r>
        <w:rPr>
          <w:spacing w:val="-13"/>
        </w:rPr>
        <w:t> </w:t>
      </w:r>
      <w:r>
        <w:rPr/>
        <w:t>line.</w:t>
      </w:r>
    </w:p>
    <w:p>
      <w:pPr>
        <w:pStyle w:val="BodyText"/>
        <w:spacing w:before="8"/>
        <w:rPr>
          <w:sz w:val="20"/>
        </w:rPr>
      </w:pPr>
    </w:p>
    <w:p>
      <w:pPr>
        <w:pStyle w:val="BodyText"/>
        <w:ind w:left="702"/>
        <w:jc w:val="both"/>
      </w:pPr>
      <w:r>
        <w:rPr/>
        <w:t>The assumptions adopted for other revenues are as tabulated below:</w:t>
      </w:r>
    </w:p>
    <w:p>
      <w:pPr>
        <w:pStyle w:val="BodyText"/>
        <w:spacing w:before="9"/>
        <w:rPr>
          <w:sz w:val="27"/>
        </w:rPr>
      </w:pPr>
    </w:p>
    <w:p>
      <w:pPr>
        <w:pStyle w:val="BodyText"/>
        <w:ind w:left="125"/>
        <w:rPr>
          <w:sz w:val="20"/>
        </w:rPr>
      </w:pPr>
      <w:r>
        <w:rPr>
          <w:sz w:val="20"/>
        </w:rPr>
        <w:pict>
          <v:group style="width:524.3pt;height:19.45pt;mso-position-horizontal-relative:char;mso-position-vertical-relative:line" coordorigin="0,0" coordsize="10486,389">
            <v:shape style="position:absolute;left:14;top:16;width:10472;height:358" coordorigin="14,17" coordsize="10472,358" path="m10486,17l6998,17,3795,17,14,17,14,374,3795,374,6998,374,10486,374,10486,17xe" filled="true" fillcolor="#006a4d" stroked="false">
              <v:path arrowok="t"/>
              <v:fill type="solid"/>
            </v:shape>
            <v:shape style="position:absolute;left:14;top:0;width:10472;height:389" coordorigin="14,0" coordsize="10472,389" path="m10486,374l7012,374,6998,374,3810,374,3795,374,14,374,14,389,3795,389,3810,389,6998,389,7012,389,10486,389,10486,374xm10486,0l7012,0,6998,0,3810,0,3795,0,14,0,14,14,3795,14,3810,14,6998,14,7012,14,10486,14,10486,0xe" filled="true" fillcolor="#69bd28" stroked="false">
              <v:path arrowok="t"/>
              <v:fill type="solid"/>
            </v:shape>
            <v:shape style="position:absolute;left:0;top:14;width:10486;height:360" type="#_x0000_t202" filled="false" stroked="false">
              <v:textbox inset="0,0,0,0">
                <w:txbxContent>
                  <w:p>
                    <w:pPr>
                      <w:tabs>
                        <w:tab w:pos="5082" w:val="left" w:leader="none"/>
                        <w:tab w:pos="8507" w:val="left" w:leader="none"/>
                      </w:tabs>
                      <w:spacing w:before="75"/>
                      <w:ind w:left="1111" w:right="0" w:firstLine="0"/>
                      <w:jc w:val="left"/>
                      <w:rPr>
                        <w:b/>
                        <w:sz w:val="18"/>
                      </w:rPr>
                    </w:pPr>
                    <w:r>
                      <w:rPr>
                        <w:b/>
                        <w:color w:val="FFFFFF"/>
                        <w:w w:val="110"/>
                        <w:sz w:val="18"/>
                      </w:rPr>
                      <w:t>Nature</w:t>
                    </w:r>
                    <w:r>
                      <w:rPr>
                        <w:b/>
                        <w:color w:val="FFFFFF"/>
                        <w:spacing w:val="-8"/>
                        <w:w w:val="110"/>
                        <w:sz w:val="18"/>
                      </w:rPr>
                      <w:t> </w:t>
                    </w:r>
                    <w:r>
                      <w:rPr>
                        <w:b/>
                        <w:color w:val="FFFFFF"/>
                        <w:w w:val="110"/>
                        <w:sz w:val="18"/>
                      </w:rPr>
                      <w:t>of</w:t>
                    </w:r>
                    <w:r>
                      <w:rPr>
                        <w:b/>
                        <w:color w:val="FFFFFF"/>
                        <w:spacing w:val="-9"/>
                        <w:w w:val="110"/>
                        <w:sz w:val="18"/>
                      </w:rPr>
                      <w:t> </w:t>
                    </w:r>
                    <w:r>
                      <w:rPr>
                        <w:b/>
                        <w:color w:val="FFFFFF"/>
                        <w:w w:val="110"/>
                        <w:sz w:val="18"/>
                      </w:rPr>
                      <w:t>Income</w:t>
                      <w:tab/>
                      <w:t>Details</w:t>
                      <w:tab/>
                      <w:t>Units</w:t>
                    </w:r>
                  </w:p>
                </w:txbxContent>
              </v:textbox>
              <w10:wrap type="none"/>
            </v:shape>
          </v:group>
        </w:pict>
      </w:r>
      <w:r>
        <w:rPr>
          <w:sz w:val="20"/>
        </w:rPr>
      </w:r>
    </w:p>
    <w:p>
      <w:pPr>
        <w:spacing w:after="0"/>
        <w:rPr>
          <w:sz w:val="20"/>
        </w:rPr>
        <w:sectPr>
          <w:pgSz w:w="11910" w:h="16840"/>
          <w:pgMar w:header="720" w:footer="921" w:top="1660" w:bottom="1120" w:left="580" w:right="600"/>
        </w:sectPr>
      </w:pPr>
    </w:p>
    <w:p>
      <w:pPr>
        <w:spacing w:line="247" w:lineRule="auto" w:before="37"/>
        <w:ind w:left="257" w:right="37" w:firstLine="2"/>
        <w:jc w:val="left"/>
        <w:rPr>
          <w:sz w:val="18"/>
        </w:rPr>
      </w:pPr>
      <w:r>
        <w:rPr>
          <w:sz w:val="18"/>
        </w:rPr>
        <w:t>Miscellaneous</w:t>
      </w:r>
      <w:r>
        <w:rPr>
          <w:spacing w:val="-18"/>
          <w:sz w:val="18"/>
        </w:rPr>
        <w:t> </w:t>
      </w:r>
      <w:r>
        <w:rPr>
          <w:sz w:val="18"/>
        </w:rPr>
        <w:t>Income</w:t>
      </w:r>
      <w:r>
        <w:rPr>
          <w:spacing w:val="-17"/>
          <w:sz w:val="18"/>
        </w:rPr>
        <w:t> </w:t>
      </w:r>
      <w:r>
        <w:rPr>
          <w:sz w:val="18"/>
        </w:rPr>
        <w:t>(Income</w:t>
      </w:r>
      <w:r>
        <w:rPr>
          <w:spacing w:val="-18"/>
          <w:sz w:val="18"/>
        </w:rPr>
        <w:t> </w:t>
      </w:r>
      <w:r>
        <w:rPr>
          <w:sz w:val="18"/>
        </w:rPr>
        <w:t>from</w:t>
      </w:r>
      <w:r>
        <w:rPr>
          <w:spacing w:val="-17"/>
          <w:sz w:val="18"/>
        </w:rPr>
        <w:t> </w:t>
      </w:r>
      <w:r>
        <w:rPr>
          <w:sz w:val="18"/>
        </w:rPr>
        <w:t>parking, </w:t>
      </w:r>
      <w:r>
        <w:rPr>
          <w:w w:val="95"/>
          <w:sz w:val="18"/>
        </w:rPr>
        <w:t>cell</w:t>
      </w:r>
      <w:r>
        <w:rPr>
          <w:spacing w:val="-16"/>
          <w:w w:val="95"/>
          <w:sz w:val="18"/>
        </w:rPr>
        <w:t> </w:t>
      </w:r>
      <w:r>
        <w:rPr>
          <w:w w:val="95"/>
          <w:sz w:val="18"/>
        </w:rPr>
        <w:t>sites,</w:t>
      </w:r>
      <w:r>
        <w:rPr>
          <w:spacing w:val="-15"/>
          <w:w w:val="95"/>
          <w:sz w:val="18"/>
        </w:rPr>
        <w:t> </w:t>
      </w:r>
      <w:r>
        <w:rPr>
          <w:w w:val="95"/>
          <w:sz w:val="18"/>
        </w:rPr>
        <w:t>retail</w:t>
      </w:r>
      <w:r>
        <w:rPr>
          <w:spacing w:val="-15"/>
          <w:w w:val="95"/>
          <w:sz w:val="18"/>
        </w:rPr>
        <w:t> </w:t>
      </w:r>
      <w:r>
        <w:rPr>
          <w:w w:val="95"/>
          <w:sz w:val="18"/>
        </w:rPr>
        <w:t>areas,</w:t>
      </w:r>
      <w:r>
        <w:rPr>
          <w:spacing w:val="-15"/>
          <w:w w:val="95"/>
          <w:sz w:val="18"/>
        </w:rPr>
        <w:t> </w:t>
      </w:r>
      <w:r>
        <w:rPr>
          <w:w w:val="95"/>
          <w:sz w:val="18"/>
        </w:rPr>
        <w:t>food</w:t>
      </w:r>
      <w:r>
        <w:rPr>
          <w:spacing w:val="-16"/>
          <w:w w:val="95"/>
          <w:sz w:val="18"/>
        </w:rPr>
        <w:t> </w:t>
      </w:r>
      <w:r>
        <w:rPr>
          <w:w w:val="95"/>
          <w:sz w:val="18"/>
        </w:rPr>
        <w:t>court,</w:t>
      </w:r>
      <w:r>
        <w:rPr>
          <w:spacing w:val="-15"/>
          <w:w w:val="95"/>
          <w:sz w:val="18"/>
        </w:rPr>
        <w:t> </w:t>
      </w:r>
      <w:r>
        <w:rPr>
          <w:w w:val="95"/>
          <w:sz w:val="18"/>
        </w:rPr>
        <w:t>kiosks,</w:t>
      </w:r>
      <w:r>
        <w:rPr>
          <w:spacing w:val="-15"/>
          <w:w w:val="95"/>
          <w:sz w:val="18"/>
        </w:rPr>
        <w:t> </w:t>
      </w:r>
      <w:r>
        <w:rPr>
          <w:w w:val="95"/>
          <w:sz w:val="18"/>
        </w:rPr>
        <w:t>etc.)</w:t>
      </w:r>
    </w:p>
    <w:p>
      <w:pPr>
        <w:spacing w:before="18"/>
        <w:ind w:left="228" w:right="9" w:firstLine="0"/>
        <w:jc w:val="center"/>
        <w:rPr>
          <w:sz w:val="18"/>
        </w:rPr>
      </w:pPr>
      <w:r>
        <w:rPr/>
        <w:br w:type="column"/>
      </w:r>
      <w:r>
        <w:rPr>
          <w:w w:val="110"/>
          <w:sz w:val="18"/>
        </w:rPr>
        <w:t>1.7%</w:t>
      </w:r>
    </w:p>
    <w:p>
      <w:pPr>
        <w:spacing w:before="45"/>
        <w:ind w:left="228" w:right="11" w:firstLine="0"/>
        <w:jc w:val="center"/>
        <w:rPr>
          <w:sz w:val="18"/>
        </w:rPr>
      </w:pPr>
      <w:r>
        <w:rPr>
          <w:w w:val="105"/>
          <w:sz w:val="18"/>
        </w:rPr>
        <w:t>(INR 16.34 Mn)</w:t>
      </w:r>
    </w:p>
    <w:p>
      <w:pPr>
        <w:spacing w:before="145"/>
        <w:ind w:left="257" w:right="0" w:firstLine="0"/>
        <w:jc w:val="left"/>
        <w:rPr>
          <w:sz w:val="18"/>
        </w:rPr>
      </w:pPr>
      <w:r>
        <w:rPr/>
        <w:br w:type="column"/>
      </w:r>
      <w:r>
        <w:rPr>
          <w:w w:val="105"/>
          <w:sz w:val="18"/>
        </w:rPr>
        <w:t>% of rental income</w:t>
      </w:r>
    </w:p>
    <w:p>
      <w:pPr>
        <w:spacing w:after="0"/>
        <w:jc w:val="left"/>
        <w:rPr>
          <w:sz w:val="18"/>
        </w:rPr>
        <w:sectPr>
          <w:type w:val="continuous"/>
          <w:pgSz w:w="11910" w:h="16840"/>
          <w:pgMar w:top="800" w:bottom="280" w:left="580" w:right="600"/>
          <w:cols w:num="3" w:equalWidth="0">
            <w:col w:w="3841" w:space="812"/>
            <w:col w:w="1519" w:space="1702"/>
            <w:col w:w="2856"/>
          </w:cols>
        </w:sectPr>
      </w:pPr>
    </w:p>
    <w:p>
      <w:pPr>
        <w:pStyle w:val="BodyText"/>
        <w:spacing w:before="9"/>
        <w:rPr>
          <w:sz w:val="3"/>
        </w:rPr>
      </w:pPr>
    </w:p>
    <w:p>
      <w:pPr>
        <w:pStyle w:val="BodyText"/>
        <w:spacing w:line="20" w:lineRule="exact"/>
        <w:ind w:left="140"/>
        <w:rPr>
          <w:sz w:val="2"/>
        </w:rPr>
      </w:pPr>
      <w:r>
        <w:rPr>
          <w:sz w:val="2"/>
        </w:rPr>
        <w:pict>
          <v:group style="width:523.6pt;height:.75pt;mso-position-horizontal-relative:char;mso-position-vertical-relative:line" coordorigin="0,0" coordsize="10472,15">
            <v:rect style="position:absolute;left:0;top:0;width:10472;height:15" filled="true" fillcolor="#69bd28" stroked="false">
              <v:fill type="solid"/>
            </v:rect>
          </v:group>
        </w:pict>
      </w:r>
      <w:r>
        <w:rPr>
          <w:sz w:val="2"/>
        </w:rPr>
      </w:r>
    </w:p>
    <w:p>
      <w:pPr>
        <w:tabs>
          <w:tab w:pos="5154" w:val="left" w:leader="none"/>
          <w:tab w:pos="7605" w:val="left" w:leader="none"/>
        </w:tabs>
        <w:spacing w:before="40"/>
        <w:ind w:left="901" w:right="0" w:firstLine="0"/>
        <w:jc w:val="left"/>
        <w:rPr>
          <w:sz w:val="18"/>
        </w:rPr>
      </w:pPr>
      <w:r>
        <w:rPr/>
        <w:pict>
          <v:rect style="position:absolute;margin-left:36pt;margin-top:14.530672pt;width:523.560025pt;height:.72pt;mso-position-horizontal-relative:page;mso-position-vertical-relative:paragraph;z-index:-15115264;mso-wrap-distance-left:0;mso-wrap-distance-right:0" filled="true" fillcolor="#69bd28" stroked="false">
            <v:fill type="solid"/>
            <w10:wrap type="topAndBottom"/>
          </v:rect>
        </w:pict>
      </w:r>
      <w:r>
        <w:rPr>
          <w:sz w:val="18"/>
        </w:rPr>
        <w:t>Warm shell</w:t>
      </w:r>
      <w:r>
        <w:rPr>
          <w:spacing w:val="-35"/>
          <w:sz w:val="18"/>
        </w:rPr>
        <w:t> </w:t>
      </w:r>
      <w:r>
        <w:rPr>
          <w:sz w:val="18"/>
        </w:rPr>
        <w:t>Security</w:t>
      </w:r>
      <w:r>
        <w:rPr>
          <w:spacing w:val="-18"/>
          <w:sz w:val="18"/>
        </w:rPr>
        <w:t> </w:t>
      </w:r>
      <w:r>
        <w:rPr>
          <w:sz w:val="18"/>
        </w:rPr>
        <w:t>Deposit*</w:t>
        <w:tab/>
        <w:t>6</w:t>
      </w:r>
      <w:r>
        <w:rPr>
          <w:spacing w:val="-2"/>
          <w:sz w:val="18"/>
        </w:rPr>
        <w:t> </w:t>
      </w:r>
      <w:r>
        <w:rPr>
          <w:sz w:val="18"/>
        </w:rPr>
        <w:t>months</w:t>
        <w:tab/>
        <w:t>No. of months’ warm shell</w:t>
      </w:r>
      <w:r>
        <w:rPr>
          <w:spacing w:val="-38"/>
          <w:sz w:val="18"/>
        </w:rPr>
        <w:t> </w:t>
      </w:r>
      <w:r>
        <w:rPr>
          <w:sz w:val="18"/>
        </w:rPr>
        <w:t>rental</w:t>
      </w:r>
    </w:p>
    <w:p>
      <w:pPr>
        <w:tabs>
          <w:tab w:pos="5270" w:val="left" w:leader="none"/>
          <w:tab w:pos="8834" w:val="left" w:leader="none"/>
        </w:tabs>
        <w:spacing w:before="18" w:after="42"/>
        <w:ind w:left="757" w:right="0" w:firstLine="0"/>
        <w:jc w:val="left"/>
        <w:rPr>
          <w:sz w:val="18"/>
        </w:rPr>
      </w:pPr>
      <w:r>
        <w:rPr>
          <w:w w:val="110"/>
          <w:sz w:val="18"/>
        </w:rPr>
        <w:t>Mark-Up</w:t>
      </w:r>
      <w:r>
        <w:rPr>
          <w:spacing w:val="-22"/>
          <w:w w:val="110"/>
          <w:sz w:val="18"/>
        </w:rPr>
        <w:t> </w:t>
      </w:r>
      <w:r>
        <w:rPr>
          <w:w w:val="110"/>
          <w:sz w:val="18"/>
        </w:rPr>
        <w:t>on</w:t>
      </w:r>
      <w:r>
        <w:rPr>
          <w:spacing w:val="-21"/>
          <w:w w:val="110"/>
          <w:sz w:val="18"/>
        </w:rPr>
        <w:t> </w:t>
      </w:r>
      <w:r>
        <w:rPr>
          <w:w w:val="110"/>
          <w:sz w:val="18"/>
        </w:rPr>
        <w:t>CAM/</w:t>
      </w:r>
      <w:r>
        <w:rPr>
          <w:spacing w:val="-22"/>
          <w:w w:val="110"/>
          <w:sz w:val="18"/>
        </w:rPr>
        <w:t> </w:t>
      </w:r>
      <w:r>
        <w:rPr>
          <w:w w:val="110"/>
          <w:sz w:val="18"/>
        </w:rPr>
        <w:t>CAM</w:t>
      </w:r>
      <w:r>
        <w:rPr>
          <w:spacing w:val="-21"/>
          <w:w w:val="110"/>
          <w:sz w:val="18"/>
        </w:rPr>
        <w:t> </w:t>
      </w:r>
      <w:r>
        <w:rPr>
          <w:w w:val="110"/>
          <w:sz w:val="18"/>
        </w:rPr>
        <w:t>margin</w:t>
        <w:tab/>
        <w:t>15.0%</w:t>
        <w:tab/>
        <w:t>%</w:t>
      </w:r>
    </w:p>
    <w:p>
      <w:pPr>
        <w:pStyle w:val="BodyText"/>
        <w:spacing w:line="20" w:lineRule="exact"/>
        <w:ind w:left="12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118"/>
        <w:ind w:left="140" w:right="0" w:firstLine="0"/>
        <w:jc w:val="left"/>
        <w:rPr>
          <w:i/>
          <w:sz w:val="18"/>
        </w:rPr>
      </w:pPr>
      <w:r>
        <w:rPr>
          <w:i/>
          <w:sz w:val="18"/>
        </w:rPr>
        <w:t>Source: Client’s Inputs &amp; Valuer assessment; * Refunded at the time of lease expiry/ exit</w:t>
      </w:r>
    </w:p>
    <w:p>
      <w:pPr>
        <w:pStyle w:val="BodyText"/>
        <w:spacing w:before="10"/>
        <w:rPr>
          <w:i/>
          <w:sz w:val="26"/>
        </w:rPr>
      </w:pPr>
    </w:p>
    <w:p>
      <w:pPr>
        <w:pStyle w:val="ListParagraph"/>
        <w:numPr>
          <w:ilvl w:val="2"/>
          <w:numId w:val="14"/>
        </w:numPr>
        <w:tabs>
          <w:tab w:pos="861" w:val="left" w:leader="none"/>
        </w:tabs>
        <w:spacing w:line="240" w:lineRule="auto" w:before="1" w:after="0"/>
        <w:ind w:left="860" w:right="0" w:hanging="721"/>
        <w:jc w:val="left"/>
        <w:rPr>
          <w:sz w:val="22"/>
        </w:rPr>
      </w:pPr>
      <w:bookmarkStart w:name="_bookmark263" w:id="514"/>
      <w:bookmarkEnd w:id="514"/>
      <w:r>
        <w:rPr/>
      </w:r>
      <w:bookmarkStart w:name="_bookmark263" w:id="515"/>
      <w:bookmarkEnd w:id="515"/>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71"/>
        </w:numPr>
        <w:tabs>
          <w:tab w:pos="1005" w:val="left" w:leader="none"/>
        </w:tabs>
        <w:spacing w:line="240" w:lineRule="auto" w:before="0" w:after="0"/>
        <w:ind w:left="1004" w:right="0" w:hanging="865"/>
        <w:jc w:val="left"/>
        <w:rPr>
          <w:i/>
          <w:sz w:val="20"/>
        </w:rPr>
      </w:pPr>
      <w:r>
        <w:rPr>
          <w:i/>
          <w:color w:val="008000"/>
          <w:sz w:val="20"/>
        </w:rPr>
        <w:t>Development</w:t>
      </w:r>
      <w:r>
        <w:rPr>
          <w:i/>
          <w:color w:val="008000"/>
          <w:spacing w:val="-4"/>
          <w:sz w:val="20"/>
        </w:rPr>
        <w:t> </w:t>
      </w:r>
      <w:r>
        <w:rPr>
          <w:i/>
          <w:color w:val="008000"/>
          <w:sz w:val="20"/>
        </w:rPr>
        <w:t>Cost</w:t>
      </w:r>
    </w:p>
    <w:p>
      <w:pPr>
        <w:pStyle w:val="BodyText"/>
        <w:rPr>
          <w:i/>
        </w:rPr>
      </w:pPr>
    </w:p>
    <w:p>
      <w:pPr>
        <w:pStyle w:val="BodyText"/>
        <w:spacing w:line="321" w:lineRule="auto"/>
        <w:ind w:left="702"/>
      </w:pPr>
      <w:r>
        <w:rPr/>
        <w:t>The</w:t>
      </w:r>
      <w:r>
        <w:rPr>
          <w:spacing w:val="-25"/>
        </w:rPr>
        <w:t> </w:t>
      </w:r>
      <w:r>
        <w:rPr/>
        <w:t>following</w:t>
      </w:r>
      <w:r>
        <w:rPr>
          <w:spacing w:val="-24"/>
        </w:rPr>
        <w:t> </w:t>
      </w:r>
      <w:r>
        <w:rPr/>
        <w:t>table</w:t>
      </w:r>
      <w:r>
        <w:rPr>
          <w:spacing w:val="-24"/>
        </w:rPr>
        <w:t> </w:t>
      </w:r>
      <w:r>
        <w:rPr/>
        <w:t>highlights</w:t>
      </w:r>
      <w:r>
        <w:rPr>
          <w:spacing w:val="-23"/>
        </w:rPr>
        <w:t> </w:t>
      </w:r>
      <w:r>
        <w:rPr/>
        <w:t>the</w:t>
      </w:r>
      <w:r>
        <w:rPr>
          <w:spacing w:val="-24"/>
        </w:rPr>
        <w:t> </w:t>
      </w:r>
      <w:r>
        <w:rPr/>
        <w:t>assumptions</w:t>
      </w:r>
      <w:r>
        <w:rPr>
          <w:spacing w:val="-25"/>
        </w:rPr>
        <w:t> </w:t>
      </w:r>
      <w:r>
        <w:rPr/>
        <w:t>towards</w:t>
      </w:r>
      <w:r>
        <w:rPr>
          <w:spacing w:val="-23"/>
        </w:rPr>
        <w:t> </w:t>
      </w:r>
      <w:r>
        <w:rPr/>
        <w:t>the</w:t>
      </w:r>
      <w:r>
        <w:rPr>
          <w:spacing w:val="-25"/>
        </w:rPr>
        <w:t> </w:t>
      </w:r>
      <w:r>
        <w:rPr/>
        <w:t>development</w:t>
      </w:r>
      <w:r>
        <w:rPr>
          <w:spacing w:val="-24"/>
        </w:rPr>
        <w:t> </w:t>
      </w:r>
      <w:r>
        <w:rPr/>
        <w:t>cost</w:t>
      </w:r>
      <w:r>
        <w:rPr>
          <w:spacing w:val="-24"/>
        </w:rPr>
        <w:t> </w:t>
      </w:r>
      <w:r>
        <w:rPr/>
        <w:t>for</w:t>
      </w:r>
      <w:r>
        <w:rPr>
          <w:spacing w:val="-24"/>
        </w:rPr>
        <w:t> </w:t>
      </w:r>
      <w:r>
        <w:rPr/>
        <w:t>the</w:t>
      </w:r>
      <w:r>
        <w:rPr>
          <w:spacing w:val="-20"/>
        </w:rPr>
        <w:t> </w:t>
      </w:r>
      <w:r>
        <w:rPr/>
        <w:t>proposed</w:t>
      </w:r>
      <w:r>
        <w:rPr>
          <w:spacing w:val="-23"/>
        </w:rPr>
        <w:t> </w:t>
      </w:r>
      <w:r>
        <w:rPr/>
        <w:t>block</w:t>
      </w:r>
      <w:r>
        <w:rPr>
          <w:spacing w:val="-25"/>
        </w:rPr>
        <w:t> </w:t>
      </w:r>
      <w:r>
        <w:rPr/>
        <w:t>at the subject</w:t>
      </w:r>
      <w:r>
        <w:rPr>
          <w:spacing w:val="-7"/>
        </w:rPr>
        <w:t> </w:t>
      </w:r>
      <w:r>
        <w:rPr/>
        <w:t>development:</w:t>
      </w:r>
    </w:p>
    <w:p>
      <w:pPr>
        <w:pStyle w:val="BodyText"/>
        <w:spacing w:before="10"/>
        <w:rPr>
          <w:sz w:val="16"/>
        </w:rPr>
      </w:pPr>
      <w:r>
        <w:rPr/>
        <w:pict>
          <v:group style="position:absolute;margin-left:36pt;margin-top:11.76337pt;width:523.6pt;height:23.2pt;mso-position-horizontal-relative:page;mso-position-vertical-relative:paragraph;z-index:-15113216;mso-wrap-distance-left:0;mso-wrap-distance-right:0" coordorigin="720,235" coordsize="10472,464">
            <v:shape style="position:absolute;left:720;top:252;width:10472;height:432" coordorigin="720,252" coordsize="10472,432" path="m5956,252l3339,252,720,252,720,684,3339,684,5956,684,5956,252xm8575,252l5956,252,5956,684,8575,684,8575,252xm11191,252l8575,252,8575,684,11191,684,11191,252xe" filled="true" fillcolor="#006a4d" stroked="false">
              <v:path arrowok="t"/>
              <v:fill type="solid"/>
            </v:shape>
            <v:shape style="position:absolute;left:720;top:235;width:10472;height:464" coordorigin="720,235" coordsize="10472,464" path="m5956,684l3354,684,3339,684,720,684,720,698,3339,698,3354,698,5956,698,5956,684xm5956,235l3354,235,3339,235,720,235,720,250,3339,250,3354,250,5956,250,5956,235xm8575,684l5970,684,5956,684,5956,698,5970,698,8575,698,8575,684xm8575,235l5970,235,5956,235,5956,250,5970,250,8575,250,8575,235xm11191,684l8589,684,8575,684,8575,698,8589,698,11191,698,11191,684xm11191,235l8589,235,8575,235,8575,250,8589,250,11191,250,11191,235xe" filled="true" fillcolor="#69bd28" stroked="false">
              <v:path arrowok="t"/>
              <v:fill type="solid"/>
            </v:shape>
            <v:shape style="position:absolute;left:1786;top:359;width:510;height:216" type="#_x0000_t202" filled="false" stroked="false">
              <v:textbox inset="0,0,0,0">
                <w:txbxContent>
                  <w:p>
                    <w:pPr>
                      <w:spacing w:before="4"/>
                      <w:ind w:left="0" w:right="0" w:firstLine="0"/>
                      <w:jc w:val="left"/>
                      <w:rPr>
                        <w:b/>
                        <w:sz w:val="18"/>
                      </w:rPr>
                    </w:pPr>
                    <w:r>
                      <w:rPr>
                        <w:b/>
                        <w:color w:val="FFFFFF"/>
                        <w:w w:val="110"/>
                        <w:sz w:val="18"/>
                      </w:rPr>
                      <w:t>Block</w:t>
                    </w:r>
                  </w:p>
                </w:txbxContent>
              </v:textbox>
              <w10:wrap type="none"/>
            </v:shape>
            <v:shape style="position:absolute;left:3526;top:251;width:7510;height:432" type="#_x0000_t202" filled="false" stroked="false">
              <v:textbox inset="0,0,0,0">
                <w:txbxContent>
                  <w:p>
                    <w:pPr>
                      <w:tabs>
                        <w:tab w:pos="2592" w:val="left" w:leader="none"/>
                        <w:tab w:pos="3336" w:val="left" w:leader="none"/>
                        <w:tab w:pos="5216" w:val="left" w:leader="none"/>
                        <w:tab w:pos="5952" w:val="left" w:leader="none"/>
                      </w:tabs>
                      <w:spacing w:line="247" w:lineRule="auto" w:before="4"/>
                      <w:ind w:left="952" w:right="18" w:hanging="953"/>
                      <w:jc w:val="left"/>
                      <w:rPr>
                        <w:b/>
                        <w:sz w:val="18"/>
                      </w:rPr>
                    </w:pPr>
                    <w:r>
                      <w:rPr>
                        <w:b/>
                        <w:color w:val="FFFFFF"/>
                        <w:w w:val="105"/>
                        <w:sz w:val="18"/>
                      </w:rPr>
                      <w:t>Cost of</w:t>
                    </w:r>
                    <w:r>
                      <w:rPr>
                        <w:b/>
                        <w:color w:val="FFFFFF"/>
                        <w:spacing w:val="5"/>
                        <w:w w:val="105"/>
                        <w:sz w:val="18"/>
                      </w:rPr>
                      <w:t> </w:t>
                    </w:r>
                    <w:r>
                      <w:rPr>
                        <w:b/>
                        <w:color w:val="FFFFFF"/>
                        <w:w w:val="105"/>
                        <w:sz w:val="18"/>
                      </w:rPr>
                      <w:t>Construction</w:t>
                    </w:r>
                    <w:r>
                      <w:rPr>
                        <w:b/>
                        <w:color w:val="FFFFFF"/>
                        <w:spacing w:val="3"/>
                        <w:w w:val="105"/>
                        <w:sz w:val="18"/>
                      </w:rPr>
                      <w:t> </w:t>
                    </w:r>
                    <w:r>
                      <w:rPr>
                        <w:b/>
                        <w:color w:val="FFFFFF"/>
                        <w:w w:val="105"/>
                        <w:sz w:val="18"/>
                      </w:rPr>
                      <w:t>(INR</w:t>
                      <w:tab/>
                      <w:t>Total Cost</w:t>
                    </w:r>
                    <w:r>
                      <w:rPr>
                        <w:b/>
                        <w:color w:val="FFFFFF"/>
                        <w:spacing w:val="-11"/>
                        <w:w w:val="105"/>
                        <w:sz w:val="18"/>
                      </w:rPr>
                      <w:t> </w:t>
                    </w:r>
                    <w:r>
                      <w:rPr>
                        <w:b/>
                        <w:color w:val="FFFFFF"/>
                        <w:w w:val="105"/>
                        <w:sz w:val="18"/>
                      </w:rPr>
                      <w:t>of</w:t>
                    </w:r>
                    <w:r>
                      <w:rPr>
                        <w:b/>
                        <w:color w:val="FFFFFF"/>
                        <w:spacing w:val="-6"/>
                        <w:w w:val="105"/>
                        <w:sz w:val="18"/>
                      </w:rPr>
                      <w:t> </w:t>
                    </w:r>
                    <w:r>
                      <w:rPr>
                        <w:b/>
                        <w:color w:val="FFFFFF"/>
                        <w:w w:val="105"/>
                        <w:sz w:val="18"/>
                      </w:rPr>
                      <w:t>Construction</w:t>
                      <w:tab/>
                      <w:t>Pending Cost to be </w:t>
                    </w:r>
                    <w:r>
                      <w:rPr>
                        <w:b/>
                        <w:color w:val="FFFFFF"/>
                        <w:spacing w:val="-4"/>
                        <w:w w:val="105"/>
                        <w:sz w:val="18"/>
                      </w:rPr>
                      <w:t>Spent </w:t>
                    </w:r>
                    <w:r>
                      <w:rPr>
                        <w:b/>
                        <w:color w:val="FFFFFF"/>
                        <w:w w:val="105"/>
                        <w:sz w:val="18"/>
                      </w:rPr>
                      <w:t>psf)</w:t>
                      <w:tab/>
                      <w:tab/>
                      <w:t>(INR</w:t>
                    </w:r>
                    <w:r>
                      <w:rPr>
                        <w:b/>
                        <w:color w:val="FFFFFF"/>
                        <w:spacing w:val="20"/>
                        <w:w w:val="105"/>
                        <w:sz w:val="18"/>
                      </w:rPr>
                      <w:t> </w:t>
                    </w:r>
                    <w:r>
                      <w:rPr>
                        <w:b/>
                        <w:color w:val="FFFFFF"/>
                        <w:w w:val="105"/>
                        <w:sz w:val="18"/>
                      </w:rPr>
                      <w:t>Mn)</w:t>
                      <w:tab/>
                      <w:tab/>
                      <w:t>(INR</w:t>
                    </w:r>
                    <w:r>
                      <w:rPr>
                        <w:b/>
                        <w:color w:val="FFFFFF"/>
                        <w:spacing w:val="4"/>
                        <w:w w:val="105"/>
                        <w:sz w:val="18"/>
                      </w:rPr>
                      <w:t> </w:t>
                    </w:r>
                    <w:r>
                      <w:rPr>
                        <w:b/>
                        <w:color w:val="FFFFFF"/>
                        <w:w w:val="105"/>
                        <w:sz w:val="18"/>
                      </w:rPr>
                      <w:t>Mn)</w:t>
                    </w:r>
                  </w:p>
                </w:txbxContent>
              </v:textbox>
              <w10:wrap type="none"/>
            </v:shape>
            <w10:wrap type="topAndBottom"/>
          </v:group>
        </w:pict>
      </w:r>
    </w:p>
    <w:p>
      <w:pPr>
        <w:tabs>
          <w:tab w:pos="3827" w:val="left" w:leader="none"/>
          <w:tab w:pos="6311" w:val="left" w:leader="none"/>
          <w:tab w:pos="8928" w:val="left" w:leader="none"/>
        </w:tabs>
        <w:spacing w:before="16" w:after="42"/>
        <w:ind w:left="1138" w:right="0" w:firstLine="0"/>
        <w:jc w:val="left"/>
        <w:rPr>
          <w:sz w:val="18"/>
        </w:rPr>
      </w:pPr>
      <w:r>
        <w:rPr>
          <w:i/>
          <w:w w:val="105"/>
          <w:sz w:val="18"/>
        </w:rPr>
        <w:t>Tower</w:t>
      </w:r>
      <w:r>
        <w:rPr>
          <w:i/>
          <w:spacing w:val="-27"/>
          <w:w w:val="105"/>
          <w:sz w:val="18"/>
        </w:rPr>
        <w:t> </w:t>
      </w:r>
      <w:r>
        <w:rPr>
          <w:i/>
          <w:w w:val="105"/>
          <w:sz w:val="18"/>
        </w:rPr>
        <w:t>1</w:t>
        <w:tab/>
      </w:r>
      <w:r>
        <w:rPr>
          <w:w w:val="105"/>
          <w:sz w:val="18"/>
        </w:rPr>
        <w:t>4,003</w:t>
        <w:tab/>
        <w:t>2,950.00</w:t>
        <w:tab/>
        <w:t>2,872.97</w:t>
      </w:r>
    </w:p>
    <w:p>
      <w:pPr>
        <w:pStyle w:val="BodyText"/>
        <w:spacing w:line="20" w:lineRule="exact"/>
        <w:ind w:left="12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0"/>
        <w:ind w:left="140" w:right="0" w:firstLine="0"/>
        <w:jc w:val="left"/>
        <w:rPr>
          <w:i/>
          <w:sz w:val="18"/>
        </w:rPr>
      </w:pPr>
      <w:r>
        <w:rPr>
          <w:i/>
          <w:sz w:val="18"/>
        </w:rPr>
        <w:t>Source: Client’s input; Contingencies and escalations have been factored as part of the cost projections provided by the Client</w:t>
      </w:r>
    </w:p>
    <w:p>
      <w:pPr>
        <w:pStyle w:val="BodyText"/>
        <w:spacing w:before="4"/>
        <w:rPr>
          <w:i/>
          <w:sz w:val="29"/>
        </w:rPr>
      </w:pPr>
    </w:p>
    <w:p>
      <w:pPr>
        <w:pStyle w:val="ListParagraph"/>
        <w:numPr>
          <w:ilvl w:val="3"/>
          <w:numId w:val="71"/>
        </w:numPr>
        <w:tabs>
          <w:tab w:pos="1005" w:val="left" w:leader="none"/>
        </w:tabs>
        <w:spacing w:line="240" w:lineRule="auto" w:before="0" w:after="0"/>
        <w:ind w:left="1004" w:right="0" w:hanging="865"/>
        <w:jc w:val="left"/>
        <w:rPr>
          <w:i/>
          <w:sz w:val="20"/>
        </w:rPr>
      </w:pPr>
      <w:r>
        <w:rPr>
          <w:i/>
          <w:color w:val="008000"/>
          <w:sz w:val="20"/>
        </w:rPr>
        <w:t>FSI Purchase</w:t>
      </w:r>
      <w:r>
        <w:rPr>
          <w:i/>
          <w:color w:val="008000"/>
          <w:spacing w:val="-8"/>
          <w:sz w:val="20"/>
        </w:rPr>
        <w:t> </w:t>
      </w:r>
      <w:r>
        <w:rPr>
          <w:i/>
          <w:color w:val="008000"/>
          <w:sz w:val="20"/>
        </w:rPr>
        <w:t>Cost</w:t>
      </w:r>
    </w:p>
    <w:p>
      <w:pPr>
        <w:pStyle w:val="BodyText"/>
        <w:spacing w:before="1"/>
        <w:rPr>
          <w:i/>
        </w:rPr>
      </w:pPr>
    </w:p>
    <w:p>
      <w:pPr>
        <w:pStyle w:val="BodyText"/>
        <w:spacing w:line="321" w:lineRule="auto"/>
        <w:ind w:left="702"/>
      </w:pPr>
      <w:r>
        <w:rPr/>
        <w:t>Based on inputs of the Client, a cost of INR 70.00 Mn towards purchase of additional FSI has been factored in our valuation workings.</w:t>
      </w:r>
    </w:p>
    <w:p>
      <w:pPr>
        <w:pStyle w:val="BodyText"/>
        <w:spacing w:before="3"/>
        <w:rPr>
          <w:sz w:val="23"/>
        </w:rPr>
      </w:pPr>
    </w:p>
    <w:p>
      <w:pPr>
        <w:pStyle w:val="ListParagraph"/>
        <w:numPr>
          <w:ilvl w:val="3"/>
          <w:numId w:val="71"/>
        </w:numPr>
        <w:tabs>
          <w:tab w:pos="1005" w:val="left" w:leader="none"/>
        </w:tabs>
        <w:spacing w:line="240" w:lineRule="auto" w:before="0" w:after="0"/>
        <w:ind w:left="1004" w:right="0" w:hanging="865"/>
        <w:jc w:val="left"/>
        <w:rPr>
          <w:i/>
          <w:sz w:val="20"/>
        </w:rPr>
      </w:pPr>
      <w:r>
        <w:rPr>
          <w:i/>
          <w:color w:val="008000"/>
          <w:sz w:val="20"/>
        </w:rPr>
        <w:t>Refurbishment Expenses </w:t>
      </w:r>
      <w:r>
        <w:rPr>
          <w:i/>
          <w:color w:val="008000"/>
          <w:w w:val="105"/>
          <w:sz w:val="20"/>
        </w:rPr>
        <w:t>– </w:t>
      </w:r>
      <w:r>
        <w:rPr>
          <w:i/>
          <w:color w:val="008000"/>
          <w:sz w:val="20"/>
        </w:rPr>
        <w:t>Development level</w:t>
      </w:r>
      <w:r>
        <w:rPr>
          <w:i/>
          <w:color w:val="008000"/>
          <w:spacing w:val="-30"/>
          <w:sz w:val="20"/>
        </w:rPr>
        <w:t> </w:t>
      </w:r>
      <w:r>
        <w:rPr>
          <w:i/>
          <w:color w:val="008000"/>
          <w:sz w:val="20"/>
        </w:rPr>
        <w:t>expenses</w:t>
      </w:r>
    </w:p>
    <w:p>
      <w:pPr>
        <w:pStyle w:val="BodyText"/>
        <w:rPr>
          <w:i/>
        </w:rPr>
      </w:pPr>
    </w:p>
    <w:p>
      <w:pPr>
        <w:pStyle w:val="BodyText"/>
        <w:spacing w:line="321" w:lineRule="auto" w:before="1"/>
        <w:ind w:left="702"/>
      </w:pPr>
      <w:r>
        <w:rPr/>
        <w:t>The following table highlights the assumptions towards the refurbishment expenses/ infrastructure upgrade works in the subject development:</w:t>
      </w:r>
    </w:p>
    <w:p>
      <w:pPr>
        <w:spacing w:after="0" w:line="321" w:lineRule="auto"/>
        <w:sectPr>
          <w:type w:val="continuous"/>
          <w:pgSz w:w="11910" w:h="16840"/>
          <w:pgMar w:top="800" w:bottom="280" w:left="580" w:right="600"/>
        </w:sectPr>
      </w:pPr>
    </w:p>
    <w:p>
      <w:pPr>
        <w:pStyle w:val="BodyText"/>
        <w:spacing w:before="3" w:after="1"/>
        <w:rPr>
          <w:sz w:val="18"/>
        </w:rPr>
      </w:pPr>
    </w:p>
    <w:tbl>
      <w:tblPr>
        <w:tblW w:w="0" w:type="auto"/>
        <w:jc w:val="left"/>
        <w:tblInd w:w="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74"/>
        <w:gridCol w:w="3432"/>
        <w:gridCol w:w="3181"/>
      </w:tblGrid>
      <w:tr>
        <w:trPr>
          <w:trHeight w:val="287" w:hRule="atLeast"/>
        </w:trPr>
        <w:tc>
          <w:tcPr>
            <w:tcW w:w="3874" w:type="dxa"/>
            <w:tcBorders>
              <w:top w:val="single" w:sz="6" w:space="0" w:color="69BD28"/>
              <w:bottom w:val="single" w:sz="6" w:space="0" w:color="69BD28"/>
            </w:tcBorders>
            <w:shd w:val="clear" w:color="auto" w:fill="006A4D"/>
          </w:tcPr>
          <w:p>
            <w:pPr>
              <w:pStyle w:val="TableParagraph"/>
              <w:spacing w:before="47"/>
              <w:ind w:left="935" w:right="548"/>
              <w:rPr>
                <w:sz w:val="18"/>
              </w:rPr>
            </w:pPr>
            <w:r>
              <w:rPr>
                <w:color w:val="FFFFFF"/>
                <w:sz w:val="18"/>
              </w:rPr>
              <w:t>Nature of Expense</w:t>
            </w:r>
          </w:p>
        </w:tc>
        <w:tc>
          <w:tcPr>
            <w:tcW w:w="3432" w:type="dxa"/>
            <w:tcBorders>
              <w:top w:val="single" w:sz="6" w:space="0" w:color="69BD28"/>
              <w:bottom w:val="single" w:sz="6" w:space="0" w:color="69BD28"/>
            </w:tcBorders>
            <w:shd w:val="clear" w:color="auto" w:fill="006A4D"/>
          </w:tcPr>
          <w:p>
            <w:pPr>
              <w:pStyle w:val="TableParagraph"/>
              <w:spacing w:before="47"/>
              <w:ind w:left="567" w:right="508"/>
              <w:rPr>
                <w:sz w:val="18"/>
              </w:rPr>
            </w:pPr>
            <w:r>
              <w:rPr>
                <w:color w:val="FFFFFF"/>
                <w:sz w:val="18"/>
              </w:rPr>
              <w:t>Total Pending Cost (INR Mn)*</w:t>
            </w:r>
          </w:p>
        </w:tc>
        <w:tc>
          <w:tcPr>
            <w:tcW w:w="3181" w:type="dxa"/>
            <w:tcBorders>
              <w:top w:val="single" w:sz="6" w:space="0" w:color="69BD28"/>
              <w:bottom w:val="single" w:sz="6" w:space="0" w:color="69BD28"/>
            </w:tcBorders>
            <w:shd w:val="clear" w:color="auto" w:fill="006A4D"/>
          </w:tcPr>
          <w:p>
            <w:pPr>
              <w:pStyle w:val="TableParagraph"/>
              <w:spacing w:before="47"/>
              <w:ind w:left="507" w:right="814"/>
              <w:rPr>
                <w:sz w:val="18"/>
              </w:rPr>
            </w:pPr>
            <w:r>
              <w:rPr>
                <w:color w:val="FFFFFF"/>
                <w:sz w:val="18"/>
              </w:rPr>
              <w:t>Quarter of Completion</w:t>
            </w:r>
          </w:p>
        </w:tc>
      </w:tr>
      <w:tr>
        <w:trPr>
          <w:trHeight w:val="296" w:hRule="atLeast"/>
        </w:trPr>
        <w:tc>
          <w:tcPr>
            <w:tcW w:w="3874" w:type="dxa"/>
            <w:tcBorders>
              <w:top w:val="single" w:sz="6" w:space="0" w:color="69BD28"/>
              <w:bottom w:val="single" w:sz="6" w:space="0" w:color="69BD28"/>
            </w:tcBorders>
          </w:tcPr>
          <w:p>
            <w:pPr>
              <w:pStyle w:val="TableParagraph"/>
              <w:spacing w:before="52"/>
              <w:ind w:left="935" w:right="551"/>
              <w:rPr>
                <w:sz w:val="18"/>
              </w:rPr>
            </w:pPr>
            <w:r>
              <w:rPr>
                <w:sz w:val="18"/>
              </w:rPr>
              <w:t>Signage Rebranding</w:t>
            </w:r>
          </w:p>
        </w:tc>
        <w:tc>
          <w:tcPr>
            <w:tcW w:w="3432" w:type="dxa"/>
            <w:tcBorders>
              <w:top w:val="single" w:sz="6" w:space="0" w:color="69BD28"/>
              <w:bottom w:val="single" w:sz="6" w:space="0" w:color="69BD28"/>
            </w:tcBorders>
          </w:tcPr>
          <w:p>
            <w:pPr>
              <w:pStyle w:val="TableParagraph"/>
              <w:spacing w:before="52"/>
              <w:ind w:left="563" w:right="508"/>
              <w:rPr>
                <w:sz w:val="18"/>
              </w:rPr>
            </w:pPr>
            <w:r>
              <w:rPr>
                <w:w w:val="105"/>
                <w:sz w:val="18"/>
              </w:rPr>
              <w:t>4.81</w:t>
            </w:r>
          </w:p>
        </w:tc>
        <w:tc>
          <w:tcPr>
            <w:tcW w:w="3181" w:type="dxa"/>
            <w:tcBorders>
              <w:top w:val="single" w:sz="6" w:space="0" w:color="69BD28"/>
              <w:bottom w:val="single" w:sz="6" w:space="0" w:color="69BD28"/>
            </w:tcBorders>
          </w:tcPr>
          <w:p>
            <w:pPr>
              <w:pStyle w:val="TableParagraph"/>
              <w:spacing w:before="52"/>
              <w:ind w:left="503" w:right="814"/>
              <w:rPr>
                <w:sz w:val="18"/>
              </w:rPr>
            </w:pPr>
            <w:r>
              <w:rPr>
                <w:w w:val="105"/>
                <w:sz w:val="18"/>
              </w:rPr>
              <w:t>Q1, FY 2021</w:t>
            </w:r>
          </w:p>
        </w:tc>
      </w:tr>
      <w:tr>
        <w:trPr>
          <w:trHeight w:val="294" w:hRule="atLeast"/>
        </w:trPr>
        <w:tc>
          <w:tcPr>
            <w:tcW w:w="3874" w:type="dxa"/>
            <w:tcBorders>
              <w:top w:val="single" w:sz="6" w:space="0" w:color="69BD28"/>
              <w:bottom w:val="single" w:sz="6" w:space="0" w:color="69BD28"/>
            </w:tcBorders>
          </w:tcPr>
          <w:p>
            <w:pPr>
              <w:pStyle w:val="TableParagraph"/>
              <w:spacing w:before="52"/>
              <w:ind w:left="935" w:right="549"/>
              <w:rPr>
                <w:sz w:val="18"/>
              </w:rPr>
            </w:pPr>
            <w:r>
              <w:rPr>
                <w:sz w:val="18"/>
              </w:rPr>
              <w:t>Incubation space in FC</w:t>
            </w:r>
          </w:p>
        </w:tc>
        <w:tc>
          <w:tcPr>
            <w:tcW w:w="3432" w:type="dxa"/>
            <w:tcBorders>
              <w:top w:val="single" w:sz="6" w:space="0" w:color="69BD28"/>
              <w:bottom w:val="single" w:sz="6" w:space="0" w:color="69BD28"/>
            </w:tcBorders>
          </w:tcPr>
          <w:p>
            <w:pPr>
              <w:pStyle w:val="TableParagraph"/>
              <w:spacing w:before="52"/>
              <w:ind w:left="563" w:right="508"/>
              <w:rPr>
                <w:sz w:val="18"/>
              </w:rPr>
            </w:pPr>
            <w:r>
              <w:rPr>
                <w:w w:val="105"/>
                <w:sz w:val="18"/>
              </w:rPr>
              <w:t>36.81</w:t>
            </w:r>
          </w:p>
        </w:tc>
        <w:tc>
          <w:tcPr>
            <w:tcW w:w="3181" w:type="dxa"/>
            <w:tcBorders>
              <w:top w:val="single" w:sz="6" w:space="0" w:color="69BD28"/>
              <w:bottom w:val="single" w:sz="6" w:space="0" w:color="69BD28"/>
            </w:tcBorders>
          </w:tcPr>
          <w:p>
            <w:pPr>
              <w:pStyle w:val="TableParagraph"/>
              <w:spacing w:before="52"/>
              <w:ind w:left="503" w:right="814"/>
              <w:rPr>
                <w:sz w:val="18"/>
              </w:rPr>
            </w:pPr>
            <w:r>
              <w:rPr>
                <w:w w:val="105"/>
                <w:sz w:val="18"/>
              </w:rPr>
              <w:t>Q2, FY 2021</w:t>
            </w:r>
          </w:p>
        </w:tc>
      </w:tr>
      <w:tr>
        <w:trPr>
          <w:trHeight w:val="296" w:hRule="atLeast"/>
        </w:trPr>
        <w:tc>
          <w:tcPr>
            <w:tcW w:w="3874" w:type="dxa"/>
            <w:tcBorders>
              <w:top w:val="single" w:sz="6" w:space="0" w:color="69BD28"/>
              <w:bottom w:val="single" w:sz="6" w:space="0" w:color="69BD28"/>
            </w:tcBorders>
          </w:tcPr>
          <w:p>
            <w:pPr>
              <w:pStyle w:val="TableParagraph"/>
              <w:spacing w:before="52"/>
              <w:ind w:left="935" w:right="552"/>
              <w:rPr>
                <w:sz w:val="18"/>
              </w:rPr>
            </w:pPr>
            <w:r>
              <w:rPr>
                <w:sz w:val="18"/>
              </w:rPr>
              <w:t>Common Infrastructure Costs</w:t>
            </w:r>
          </w:p>
        </w:tc>
        <w:tc>
          <w:tcPr>
            <w:tcW w:w="3432" w:type="dxa"/>
            <w:tcBorders>
              <w:top w:val="single" w:sz="6" w:space="0" w:color="69BD28"/>
              <w:bottom w:val="single" w:sz="6" w:space="0" w:color="69BD28"/>
            </w:tcBorders>
          </w:tcPr>
          <w:p>
            <w:pPr>
              <w:pStyle w:val="TableParagraph"/>
              <w:spacing w:before="52"/>
              <w:ind w:left="563" w:right="508"/>
              <w:rPr>
                <w:sz w:val="18"/>
              </w:rPr>
            </w:pPr>
            <w:r>
              <w:rPr>
                <w:w w:val="105"/>
                <w:sz w:val="18"/>
              </w:rPr>
              <w:t>4.57</w:t>
            </w:r>
          </w:p>
        </w:tc>
        <w:tc>
          <w:tcPr>
            <w:tcW w:w="3181" w:type="dxa"/>
            <w:tcBorders>
              <w:top w:val="single" w:sz="6" w:space="0" w:color="69BD28"/>
              <w:bottom w:val="single" w:sz="6" w:space="0" w:color="69BD28"/>
            </w:tcBorders>
          </w:tcPr>
          <w:p>
            <w:pPr>
              <w:pStyle w:val="TableParagraph"/>
              <w:spacing w:before="52"/>
              <w:ind w:left="503" w:right="814"/>
              <w:rPr>
                <w:sz w:val="18"/>
              </w:rPr>
            </w:pPr>
            <w:r>
              <w:rPr>
                <w:w w:val="105"/>
                <w:sz w:val="18"/>
              </w:rPr>
              <w:t>Q1, FY 2021</w:t>
            </w:r>
          </w:p>
        </w:tc>
      </w:tr>
      <w:tr>
        <w:trPr>
          <w:trHeight w:val="294" w:hRule="atLeast"/>
        </w:trPr>
        <w:tc>
          <w:tcPr>
            <w:tcW w:w="3874" w:type="dxa"/>
            <w:tcBorders>
              <w:top w:val="single" w:sz="6" w:space="0" w:color="69BD28"/>
              <w:bottom w:val="single" w:sz="6" w:space="0" w:color="69BD28"/>
            </w:tcBorders>
          </w:tcPr>
          <w:p>
            <w:pPr>
              <w:pStyle w:val="TableParagraph"/>
              <w:spacing w:before="52"/>
              <w:ind w:left="935" w:right="552"/>
              <w:rPr>
                <w:sz w:val="18"/>
              </w:rPr>
            </w:pPr>
            <w:r>
              <w:rPr>
                <w:sz w:val="18"/>
              </w:rPr>
              <w:t>Tower 2 ML Retrofit Cost</w:t>
            </w:r>
          </w:p>
        </w:tc>
        <w:tc>
          <w:tcPr>
            <w:tcW w:w="3432" w:type="dxa"/>
            <w:tcBorders>
              <w:top w:val="single" w:sz="6" w:space="0" w:color="69BD28"/>
              <w:bottom w:val="single" w:sz="6" w:space="0" w:color="69BD28"/>
            </w:tcBorders>
          </w:tcPr>
          <w:p>
            <w:pPr>
              <w:pStyle w:val="TableParagraph"/>
              <w:spacing w:before="52"/>
              <w:ind w:left="563" w:right="508"/>
              <w:rPr>
                <w:sz w:val="18"/>
              </w:rPr>
            </w:pPr>
            <w:r>
              <w:rPr>
                <w:w w:val="105"/>
                <w:sz w:val="18"/>
              </w:rPr>
              <w:t>91.10</w:t>
            </w:r>
          </w:p>
        </w:tc>
        <w:tc>
          <w:tcPr>
            <w:tcW w:w="3181" w:type="dxa"/>
            <w:tcBorders>
              <w:top w:val="single" w:sz="6" w:space="0" w:color="69BD28"/>
              <w:bottom w:val="single" w:sz="6" w:space="0" w:color="69BD28"/>
            </w:tcBorders>
          </w:tcPr>
          <w:p>
            <w:pPr>
              <w:pStyle w:val="TableParagraph"/>
              <w:spacing w:before="52"/>
              <w:ind w:left="503" w:right="814"/>
              <w:rPr>
                <w:sz w:val="18"/>
              </w:rPr>
            </w:pPr>
            <w:r>
              <w:rPr>
                <w:w w:val="105"/>
                <w:sz w:val="18"/>
              </w:rPr>
              <w:t>Q2, FY 2021</w:t>
            </w:r>
          </w:p>
        </w:tc>
      </w:tr>
    </w:tbl>
    <w:p>
      <w:pPr>
        <w:spacing w:before="4"/>
        <w:ind w:left="140" w:right="0" w:firstLine="0"/>
        <w:jc w:val="left"/>
        <w:rPr>
          <w:i/>
          <w:sz w:val="18"/>
        </w:rPr>
      </w:pPr>
      <w:r>
        <w:rPr>
          <w:i/>
          <w:sz w:val="18"/>
        </w:rPr>
        <w:t>Source Client Input; Valuer Assessment</w:t>
      </w:r>
    </w:p>
    <w:p>
      <w:pPr>
        <w:pStyle w:val="BodyText"/>
        <w:spacing w:before="5"/>
        <w:rPr>
          <w:i/>
          <w:sz w:val="29"/>
        </w:rPr>
      </w:pPr>
    </w:p>
    <w:p>
      <w:pPr>
        <w:pStyle w:val="ListParagraph"/>
        <w:numPr>
          <w:ilvl w:val="3"/>
          <w:numId w:val="71"/>
        </w:numPr>
        <w:tabs>
          <w:tab w:pos="1005" w:val="left" w:leader="none"/>
        </w:tabs>
        <w:spacing w:line="240" w:lineRule="auto" w:before="0" w:after="0"/>
        <w:ind w:left="1004" w:right="0" w:hanging="865"/>
        <w:jc w:val="left"/>
        <w:rPr>
          <w:i/>
          <w:sz w:val="20"/>
        </w:rPr>
      </w:pPr>
      <w:r>
        <w:rPr>
          <w:i/>
          <w:color w:val="008000"/>
          <w:sz w:val="20"/>
        </w:rPr>
        <w:t>Other</w:t>
      </w:r>
      <w:r>
        <w:rPr>
          <w:i/>
          <w:color w:val="008000"/>
          <w:spacing w:val="-4"/>
          <w:sz w:val="20"/>
        </w:rPr>
        <w:t> </w:t>
      </w:r>
      <w:r>
        <w:rPr>
          <w:i/>
          <w:color w:val="008000"/>
          <w:sz w:val="20"/>
        </w:rPr>
        <w:t>Expenses</w:t>
      </w:r>
    </w:p>
    <w:p>
      <w:pPr>
        <w:pStyle w:val="BodyText"/>
        <w:rPr>
          <w:i/>
        </w:rPr>
      </w:pPr>
    </w:p>
    <w:p>
      <w:pPr>
        <w:pStyle w:val="BodyText"/>
        <w:ind w:left="702"/>
        <w:jc w:val="both"/>
      </w:pPr>
      <w:r>
        <w:rPr/>
        <w:t>The following table highlights the assumptions towards other expenses in the subject development:</w:t>
      </w:r>
    </w:p>
    <w:p>
      <w:pPr>
        <w:pStyle w:val="BodyText"/>
        <w:spacing w:before="6"/>
        <w:rPr>
          <w:sz w:val="28"/>
        </w:rPr>
      </w:pPr>
    </w:p>
    <w:tbl>
      <w:tblPr>
        <w:tblW w:w="0" w:type="auto"/>
        <w:jc w:val="left"/>
        <w:tblInd w:w="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93"/>
        <w:gridCol w:w="2412"/>
        <w:gridCol w:w="3479"/>
      </w:tblGrid>
      <w:tr>
        <w:trPr>
          <w:trHeight w:val="287" w:hRule="atLeast"/>
        </w:trPr>
        <w:tc>
          <w:tcPr>
            <w:tcW w:w="4593" w:type="dxa"/>
            <w:tcBorders>
              <w:top w:val="single" w:sz="6" w:space="0" w:color="69BD28"/>
              <w:bottom w:val="single" w:sz="6" w:space="0" w:color="69BD28"/>
            </w:tcBorders>
            <w:shd w:val="clear" w:color="auto" w:fill="006A4D"/>
          </w:tcPr>
          <w:p>
            <w:pPr>
              <w:pStyle w:val="TableParagraph"/>
              <w:spacing w:before="39"/>
              <w:ind w:left="52" w:right="381"/>
              <w:rPr>
                <w:sz w:val="18"/>
              </w:rPr>
            </w:pPr>
            <w:r>
              <w:rPr>
                <w:color w:val="FFFFFF"/>
                <w:sz w:val="18"/>
              </w:rPr>
              <w:t>Nature of Expense</w:t>
            </w:r>
          </w:p>
        </w:tc>
        <w:tc>
          <w:tcPr>
            <w:tcW w:w="2412" w:type="dxa"/>
            <w:tcBorders>
              <w:top w:val="single" w:sz="6" w:space="0" w:color="69BD28"/>
              <w:bottom w:val="single" w:sz="6" w:space="0" w:color="69BD28"/>
            </w:tcBorders>
            <w:shd w:val="clear" w:color="auto" w:fill="006A4D"/>
          </w:tcPr>
          <w:p>
            <w:pPr>
              <w:pStyle w:val="TableParagraph"/>
              <w:spacing w:before="39"/>
              <w:ind w:left="400" w:right="755"/>
              <w:rPr>
                <w:sz w:val="18"/>
              </w:rPr>
            </w:pPr>
            <w:r>
              <w:rPr>
                <w:color w:val="FFFFFF"/>
                <w:sz w:val="18"/>
              </w:rPr>
              <w:t>Details</w:t>
            </w:r>
          </w:p>
        </w:tc>
        <w:tc>
          <w:tcPr>
            <w:tcW w:w="3479" w:type="dxa"/>
            <w:tcBorders>
              <w:top w:val="single" w:sz="6" w:space="0" w:color="69BD28"/>
              <w:bottom w:val="single" w:sz="6" w:space="0" w:color="69BD28"/>
            </w:tcBorders>
            <w:shd w:val="clear" w:color="auto" w:fill="006A4D"/>
          </w:tcPr>
          <w:p>
            <w:pPr>
              <w:pStyle w:val="TableParagraph"/>
              <w:spacing w:before="3"/>
              <w:ind w:left="736" w:right="741"/>
              <w:rPr>
                <w:sz w:val="18"/>
              </w:rPr>
            </w:pPr>
            <w:r>
              <w:rPr>
                <w:color w:val="FFFFFF"/>
                <w:sz w:val="18"/>
              </w:rPr>
              <w:t>Unit</w:t>
            </w:r>
          </w:p>
        </w:tc>
      </w:tr>
      <w:tr>
        <w:trPr>
          <w:trHeight w:val="297" w:hRule="atLeast"/>
        </w:trPr>
        <w:tc>
          <w:tcPr>
            <w:tcW w:w="4593" w:type="dxa"/>
            <w:tcBorders>
              <w:top w:val="single" w:sz="6" w:space="0" w:color="69BD28"/>
              <w:bottom w:val="single" w:sz="6" w:space="0" w:color="69BD28"/>
            </w:tcBorders>
          </w:tcPr>
          <w:p>
            <w:pPr>
              <w:pStyle w:val="TableParagraph"/>
              <w:spacing w:before="46"/>
              <w:ind w:left="52" w:right="392"/>
              <w:rPr>
                <w:sz w:val="18"/>
              </w:rPr>
            </w:pPr>
            <w:r>
              <w:rPr>
                <w:sz w:val="18"/>
              </w:rPr>
              <w:t>Annual Lease Rentals (payable to NOIDA Authority)</w:t>
            </w:r>
          </w:p>
        </w:tc>
        <w:tc>
          <w:tcPr>
            <w:tcW w:w="2412" w:type="dxa"/>
            <w:tcBorders>
              <w:top w:val="single" w:sz="6" w:space="0" w:color="69BD28"/>
              <w:bottom w:val="single" w:sz="6" w:space="0" w:color="69BD28"/>
            </w:tcBorders>
          </w:tcPr>
          <w:p>
            <w:pPr>
              <w:pStyle w:val="TableParagraph"/>
              <w:spacing w:before="46"/>
              <w:ind w:left="447" w:right="755"/>
              <w:rPr>
                <w:sz w:val="18"/>
              </w:rPr>
            </w:pPr>
            <w:r>
              <w:rPr>
                <w:w w:val="105"/>
                <w:sz w:val="18"/>
              </w:rPr>
              <w:t>INR 14.70 Mn*</w:t>
            </w:r>
          </w:p>
        </w:tc>
        <w:tc>
          <w:tcPr>
            <w:tcW w:w="3479" w:type="dxa"/>
            <w:tcBorders>
              <w:top w:val="single" w:sz="6" w:space="0" w:color="69BD28"/>
              <w:bottom w:val="single" w:sz="6" w:space="0" w:color="69BD28"/>
            </w:tcBorders>
          </w:tcPr>
          <w:p>
            <w:pPr>
              <w:pStyle w:val="TableParagraph"/>
              <w:spacing w:before="46"/>
              <w:ind w:left="737" w:right="739"/>
              <w:rPr>
                <w:sz w:val="18"/>
              </w:rPr>
            </w:pPr>
            <w:r>
              <w:rPr>
                <w:w w:val="105"/>
                <w:sz w:val="18"/>
              </w:rPr>
              <w:t>INR Mn per annum</w:t>
            </w:r>
          </w:p>
        </w:tc>
      </w:tr>
      <w:tr>
        <w:trPr>
          <w:trHeight w:val="294" w:hRule="atLeast"/>
        </w:trPr>
        <w:tc>
          <w:tcPr>
            <w:tcW w:w="4593" w:type="dxa"/>
            <w:tcBorders>
              <w:top w:val="single" w:sz="6" w:space="0" w:color="69BD28"/>
              <w:bottom w:val="single" w:sz="6" w:space="0" w:color="69BD28"/>
            </w:tcBorders>
          </w:tcPr>
          <w:p>
            <w:pPr>
              <w:pStyle w:val="TableParagraph"/>
              <w:spacing w:before="44"/>
              <w:ind w:left="52" w:right="385"/>
              <w:rPr>
                <w:sz w:val="18"/>
              </w:rPr>
            </w:pPr>
            <w:r>
              <w:rPr>
                <w:sz w:val="18"/>
              </w:rPr>
              <w:t>Opex projects and admin expenses</w:t>
            </w:r>
          </w:p>
        </w:tc>
        <w:tc>
          <w:tcPr>
            <w:tcW w:w="2412" w:type="dxa"/>
            <w:tcBorders>
              <w:top w:val="single" w:sz="6" w:space="0" w:color="69BD28"/>
              <w:bottom w:val="single" w:sz="6" w:space="0" w:color="69BD28"/>
            </w:tcBorders>
          </w:tcPr>
          <w:p>
            <w:pPr>
              <w:pStyle w:val="TableParagraph"/>
              <w:spacing w:before="44"/>
              <w:ind w:left="398" w:right="755"/>
              <w:rPr>
                <w:sz w:val="18"/>
              </w:rPr>
            </w:pPr>
            <w:r>
              <w:rPr>
                <w:w w:val="110"/>
                <w:sz w:val="18"/>
              </w:rPr>
              <w:t>1.0%</w:t>
            </w:r>
          </w:p>
        </w:tc>
        <w:tc>
          <w:tcPr>
            <w:tcW w:w="3479" w:type="dxa"/>
            <w:tcBorders>
              <w:top w:val="single" w:sz="6" w:space="0" w:color="69BD28"/>
              <w:bottom w:val="single" w:sz="6" w:space="0" w:color="69BD28"/>
            </w:tcBorders>
          </w:tcPr>
          <w:p>
            <w:pPr>
              <w:pStyle w:val="TableParagraph"/>
              <w:spacing w:before="44"/>
              <w:ind w:left="737" w:right="740"/>
              <w:rPr>
                <w:sz w:val="18"/>
              </w:rPr>
            </w:pPr>
            <w:r>
              <w:rPr>
                <w:sz w:val="18"/>
              </w:rPr>
              <w:t>% of total income</w:t>
            </w:r>
          </w:p>
        </w:tc>
      </w:tr>
      <w:tr>
        <w:trPr>
          <w:trHeight w:val="297" w:hRule="atLeast"/>
        </w:trPr>
        <w:tc>
          <w:tcPr>
            <w:tcW w:w="4593" w:type="dxa"/>
            <w:tcBorders>
              <w:top w:val="single" w:sz="6" w:space="0" w:color="69BD28"/>
              <w:bottom w:val="single" w:sz="6" w:space="0" w:color="69BD28"/>
            </w:tcBorders>
          </w:tcPr>
          <w:p>
            <w:pPr>
              <w:pStyle w:val="TableParagraph"/>
              <w:spacing w:before="44"/>
              <w:ind w:left="52" w:right="381"/>
              <w:rPr>
                <w:sz w:val="18"/>
              </w:rPr>
            </w:pPr>
            <w:r>
              <w:rPr>
                <w:w w:val="103"/>
                <w:sz w:val="18"/>
              </w:rPr>
              <w:t>A</w:t>
            </w:r>
            <w:r>
              <w:rPr>
                <w:spacing w:val="1"/>
                <w:w w:val="103"/>
                <w:sz w:val="18"/>
              </w:rPr>
              <w:t>s</w:t>
            </w:r>
            <w:r>
              <w:rPr>
                <w:w w:val="100"/>
                <w:sz w:val="18"/>
              </w:rPr>
              <w:t>s</w:t>
            </w:r>
            <w:r>
              <w:rPr>
                <w:spacing w:val="1"/>
                <w:w w:val="94"/>
                <w:sz w:val="18"/>
              </w:rPr>
              <w:t>e</w:t>
            </w:r>
            <w:r>
              <w:rPr>
                <w:w w:val="65"/>
                <w:sz w:val="18"/>
              </w:rPr>
              <w:t>t</w:t>
            </w:r>
            <w:r>
              <w:rPr>
                <w:spacing w:val="-3"/>
                <w:sz w:val="18"/>
              </w:rPr>
              <w:t> </w:t>
            </w:r>
            <w:r>
              <w:rPr>
                <w:w w:val="113"/>
                <w:sz w:val="18"/>
              </w:rPr>
              <w:t>M</w:t>
            </w:r>
            <w:r>
              <w:rPr>
                <w:spacing w:val="-2"/>
                <w:w w:val="113"/>
                <w:sz w:val="18"/>
              </w:rPr>
              <w:t>a</w:t>
            </w:r>
            <w:r>
              <w:rPr>
                <w:w w:val="101"/>
                <w:sz w:val="18"/>
              </w:rPr>
              <w:t>n</w:t>
            </w:r>
            <w:r>
              <w:rPr>
                <w:w w:val="108"/>
                <w:sz w:val="18"/>
              </w:rPr>
              <w:t>a</w:t>
            </w:r>
            <w:r>
              <w:rPr>
                <w:spacing w:val="-2"/>
                <w:w w:val="113"/>
                <w:sz w:val="18"/>
              </w:rPr>
              <w:t>g</w:t>
            </w:r>
            <w:r>
              <w:rPr>
                <w:w w:val="94"/>
                <w:sz w:val="18"/>
              </w:rPr>
              <w:t>e</w:t>
            </w:r>
            <w:r>
              <w:rPr>
                <w:w w:val="102"/>
                <w:sz w:val="18"/>
              </w:rPr>
              <w:t>m</w:t>
            </w:r>
            <w:r>
              <w:rPr>
                <w:spacing w:val="-2"/>
                <w:w w:val="94"/>
                <w:sz w:val="18"/>
              </w:rPr>
              <w:t>e</w:t>
            </w:r>
            <w:r>
              <w:rPr>
                <w:w w:val="101"/>
                <w:sz w:val="18"/>
              </w:rPr>
              <w:t>n</w:t>
            </w:r>
            <w:r>
              <w:rPr>
                <w:w w:val="65"/>
                <w:sz w:val="18"/>
              </w:rPr>
              <w:t>t</w:t>
            </w:r>
            <w:r>
              <w:rPr>
                <w:spacing w:val="-3"/>
                <w:sz w:val="18"/>
              </w:rPr>
              <w:t> </w:t>
            </w:r>
            <w:r>
              <w:rPr>
                <w:w w:val="95"/>
                <w:sz w:val="18"/>
              </w:rPr>
              <w:t>Fe</w:t>
            </w:r>
            <w:r>
              <w:rPr>
                <w:w w:val="94"/>
                <w:sz w:val="18"/>
              </w:rPr>
              <w:t>e</w:t>
            </w:r>
            <w:r>
              <w:rPr>
                <w:w w:val="190"/>
                <w:sz w:val="18"/>
              </w:rPr>
              <w:t>^</w:t>
            </w:r>
          </w:p>
        </w:tc>
        <w:tc>
          <w:tcPr>
            <w:tcW w:w="2412" w:type="dxa"/>
            <w:tcBorders>
              <w:top w:val="single" w:sz="6" w:space="0" w:color="69BD28"/>
              <w:bottom w:val="single" w:sz="6" w:space="0" w:color="69BD28"/>
            </w:tcBorders>
          </w:tcPr>
          <w:p>
            <w:pPr>
              <w:pStyle w:val="TableParagraph"/>
              <w:spacing w:before="44"/>
              <w:ind w:left="398" w:right="755"/>
              <w:rPr>
                <w:sz w:val="18"/>
              </w:rPr>
            </w:pPr>
            <w:r>
              <w:rPr>
                <w:w w:val="110"/>
                <w:sz w:val="18"/>
              </w:rPr>
              <w:t>3.0%</w:t>
            </w:r>
          </w:p>
        </w:tc>
        <w:tc>
          <w:tcPr>
            <w:tcW w:w="3479" w:type="dxa"/>
            <w:tcBorders>
              <w:top w:val="single" w:sz="6" w:space="0" w:color="69BD28"/>
              <w:bottom w:val="single" w:sz="6" w:space="0" w:color="69BD28"/>
            </w:tcBorders>
          </w:tcPr>
          <w:p>
            <w:pPr>
              <w:pStyle w:val="TableParagraph"/>
              <w:spacing w:before="44"/>
              <w:ind w:left="737" w:right="741"/>
              <w:rPr>
                <w:sz w:val="18"/>
              </w:rPr>
            </w:pPr>
            <w:r>
              <w:rPr>
                <w:sz w:val="18"/>
              </w:rPr>
              <w:t>% of gross rental income</w:t>
            </w:r>
          </w:p>
        </w:tc>
      </w:tr>
      <w:tr>
        <w:trPr>
          <w:trHeight w:val="294" w:hRule="atLeast"/>
        </w:trPr>
        <w:tc>
          <w:tcPr>
            <w:tcW w:w="4593" w:type="dxa"/>
            <w:tcBorders>
              <w:top w:val="single" w:sz="6" w:space="0" w:color="69BD28"/>
              <w:bottom w:val="single" w:sz="6" w:space="0" w:color="69BD28"/>
            </w:tcBorders>
          </w:tcPr>
          <w:p>
            <w:pPr>
              <w:pStyle w:val="TableParagraph"/>
              <w:spacing w:before="44"/>
              <w:ind w:left="52" w:right="385"/>
              <w:rPr>
                <w:sz w:val="18"/>
              </w:rPr>
            </w:pPr>
            <w:r>
              <w:rPr>
                <w:sz w:val="18"/>
              </w:rPr>
              <w:t>Transaction cost on Exit</w:t>
            </w:r>
          </w:p>
        </w:tc>
        <w:tc>
          <w:tcPr>
            <w:tcW w:w="2412" w:type="dxa"/>
            <w:tcBorders>
              <w:top w:val="single" w:sz="6" w:space="0" w:color="69BD28"/>
              <w:bottom w:val="single" w:sz="6" w:space="0" w:color="69BD28"/>
            </w:tcBorders>
          </w:tcPr>
          <w:p>
            <w:pPr>
              <w:pStyle w:val="TableParagraph"/>
              <w:spacing w:before="44"/>
              <w:ind w:left="398" w:right="755"/>
              <w:rPr>
                <w:sz w:val="18"/>
              </w:rPr>
            </w:pPr>
            <w:r>
              <w:rPr>
                <w:w w:val="110"/>
                <w:sz w:val="18"/>
              </w:rPr>
              <w:t>1.0%</w:t>
            </w:r>
          </w:p>
        </w:tc>
        <w:tc>
          <w:tcPr>
            <w:tcW w:w="3479" w:type="dxa"/>
            <w:tcBorders>
              <w:top w:val="single" w:sz="6" w:space="0" w:color="69BD28"/>
              <w:bottom w:val="single" w:sz="6" w:space="0" w:color="69BD28"/>
            </w:tcBorders>
          </w:tcPr>
          <w:p>
            <w:pPr>
              <w:pStyle w:val="TableParagraph"/>
              <w:spacing w:before="44"/>
              <w:ind w:left="737" w:right="740"/>
              <w:rPr>
                <w:sz w:val="18"/>
              </w:rPr>
            </w:pPr>
            <w:r>
              <w:rPr>
                <w:sz w:val="18"/>
              </w:rPr>
              <w:t>% of terminal value</w:t>
            </w:r>
          </w:p>
        </w:tc>
      </w:tr>
    </w:tbl>
    <w:p>
      <w:pPr>
        <w:spacing w:before="116"/>
        <w:ind w:left="140" w:right="0" w:firstLine="0"/>
        <w:jc w:val="left"/>
        <w:rPr>
          <w:i/>
          <w:sz w:val="18"/>
        </w:rPr>
      </w:pPr>
      <w:r>
        <w:rPr>
          <w:i/>
          <w:sz w:val="18"/>
        </w:rPr>
        <w:t>Source: Client Input; Valuer assessment</w:t>
      </w:r>
    </w:p>
    <w:p>
      <w:pPr>
        <w:spacing w:before="72"/>
        <w:ind w:left="140" w:right="0" w:firstLine="0"/>
        <w:jc w:val="left"/>
        <w:rPr>
          <w:i/>
          <w:sz w:val="18"/>
        </w:rPr>
      </w:pPr>
      <w:r>
        <w:rPr>
          <w:i/>
          <w:sz w:val="18"/>
        </w:rPr>
        <w:t>*</w:t>
      </w:r>
      <w:r>
        <w:rPr>
          <w:i/>
          <w:spacing w:val="-21"/>
          <w:sz w:val="18"/>
        </w:rPr>
        <w:t> </w:t>
      </w:r>
      <w:r>
        <w:rPr>
          <w:i/>
          <w:sz w:val="18"/>
        </w:rPr>
        <w:t>Represents</w:t>
      </w:r>
      <w:r>
        <w:rPr>
          <w:i/>
          <w:spacing w:val="-21"/>
          <w:sz w:val="18"/>
        </w:rPr>
        <w:t> </w:t>
      </w:r>
      <w:r>
        <w:rPr>
          <w:i/>
          <w:sz w:val="18"/>
        </w:rPr>
        <w:t>the</w:t>
      </w:r>
      <w:r>
        <w:rPr>
          <w:i/>
          <w:spacing w:val="-20"/>
          <w:sz w:val="18"/>
        </w:rPr>
        <w:t> </w:t>
      </w:r>
      <w:r>
        <w:rPr>
          <w:i/>
          <w:sz w:val="18"/>
        </w:rPr>
        <w:t>current</w:t>
      </w:r>
      <w:r>
        <w:rPr>
          <w:i/>
          <w:spacing w:val="-19"/>
          <w:sz w:val="18"/>
        </w:rPr>
        <w:t> </w:t>
      </w:r>
      <w:r>
        <w:rPr>
          <w:i/>
          <w:sz w:val="18"/>
        </w:rPr>
        <w:t>lease</w:t>
      </w:r>
      <w:r>
        <w:rPr>
          <w:i/>
          <w:spacing w:val="-20"/>
          <w:sz w:val="18"/>
        </w:rPr>
        <w:t> </w:t>
      </w:r>
      <w:r>
        <w:rPr>
          <w:i/>
          <w:sz w:val="18"/>
        </w:rPr>
        <w:t>rental</w:t>
      </w:r>
      <w:r>
        <w:rPr>
          <w:i/>
          <w:spacing w:val="-22"/>
          <w:sz w:val="18"/>
        </w:rPr>
        <w:t> </w:t>
      </w:r>
      <w:r>
        <w:rPr>
          <w:i/>
          <w:sz w:val="18"/>
        </w:rPr>
        <w:t>payable</w:t>
      </w:r>
      <w:r>
        <w:rPr>
          <w:i/>
          <w:spacing w:val="-21"/>
          <w:sz w:val="18"/>
        </w:rPr>
        <w:t> </w:t>
      </w:r>
      <w:r>
        <w:rPr>
          <w:i/>
          <w:sz w:val="18"/>
        </w:rPr>
        <w:t>as</w:t>
      </w:r>
      <w:r>
        <w:rPr>
          <w:i/>
          <w:spacing w:val="-21"/>
          <w:sz w:val="18"/>
        </w:rPr>
        <w:t> </w:t>
      </w:r>
      <w:r>
        <w:rPr>
          <w:i/>
          <w:sz w:val="18"/>
        </w:rPr>
        <w:t>on</w:t>
      </w:r>
      <w:r>
        <w:rPr>
          <w:i/>
          <w:spacing w:val="-22"/>
          <w:sz w:val="18"/>
        </w:rPr>
        <w:t> </w:t>
      </w:r>
      <w:r>
        <w:rPr>
          <w:i/>
          <w:sz w:val="18"/>
        </w:rPr>
        <w:t>date</w:t>
      </w:r>
      <w:r>
        <w:rPr>
          <w:i/>
          <w:spacing w:val="-20"/>
          <w:sz w:val="18"/>
        </w:rPr>
        <w:t> </w:t>
      </w:r>
      <w:r>
        <w:rPr>
          <w:i/>
          <w:sz w:val="18"/>
        </w:rPr>
        <w:t>of</w:t>
      </w:r>
      <w:r>
        <w:rPr>
          <w:i/>
          <w:spacing w:val="-21"/>
          <w:sz w:val="18"/>
        </w:rPr>
        <w:t> </w:t>
      </w:r>
      <w:r>
        <w:rPr>
          <w:i/>
          <w:sz w:val="18"/>
        </w:rPr>
        <w:t>valuation.</w:t>
      </w:r>
      <w:r>
        <w:rPr>
          <w:i/>
          <w:spacing w:val="-19"/>
          <w:sz w:val="18"/>
        </w:rPr>
        <w:t> </w:t>
      </w:r>
      <w:r>
        <w:rPr>
          <w:i/>
          <w:sz w:val="18"/>
        </w:rPr>
        <w:t>The</w:t>
      </w:r>
      <w:r>
        <w:rPr>
          <w:i/>
          <w:spacing w:val="-20"/>
          <w:sz w:val="18"/>
        </w:rPr>
        <w:t> </w:t>
      </w:r>
      <w:r>
        <w:rPr>
          <w:i/>
          <w:sz w:val="18"/>
        </w:rPr>
        <w:t>same</w:t>
      </w:r>
      <w:r>
        <w:rPr>
          <w:i/>
          <w:spacing w:val="-20"/>
          <w:sz w:val="18"/>
        </w:rPr>
        <w:t> </w:t>
      </w:r>
      <w:r>
        <w:rPr>
          <w:i/>
          <w:sz w:val="18"/>
        </w:rPr>
        <w:t>shall</w:t>
      </w:r>
      <w:r>
        <w:rPr>
          <w:i/>
          <w:spacing w:val="-23"/>
          <w:sz w:val="18"/>
        </w:rPr>
        <w:t> </w:t>
      </w:r>
      <w:r>
        <w:rPr>
          <w:i/>
          <w:sz w:val="18"/>
        </w:rPr>
        <w:t>be</w:t>
      </w:r>
      <w:r>
        <w:rPr>
          <w:i/>
          <w:spacing w:val="-20"/>
          <w:sz w:val="18"/>
        </w:rPr>
        <w:t> </w:t>
      </w:r>
      <w:r>
        <w:rPr>
          <w:i/>
          <w:sz w:val="18"/>
        </w:rPr>
        <w:t>escalated</w:t>
      </w:r>
      <w:r>
        <w:rPr>
          <w:i/>
          <w:spacing w:val="-21"/>
          <w:sz w:val="18"/>
        </w:rPr>
        <w:t> </w:t>
      </w:r>
      <w:r>
        <w:rPr>
          <w:i/>
          <w:sz w:val="18"/>
        </w:rPr>
        <w:t>by</w:t>
      </w:r>
      <w:r>
        <w:rPr>
          <w:i/>
          <w:spacing w:val="-22"/>
          <w:sz w:val="18"/>
        </w:rPr>
        <w:t> </w:t>
      </w:r>
      <w:r>
        <w:rPr>
          <w:i/>
          <w:sz w:val="18"/>
        </w:rPr>
        <w:t>50%</w:t>
      </w:r>
      <w:r>
        <w:rPr>
          <w:i/>
          <w:spacing w:val="-20"/>
          <w:sz w:val="18"/>
        </w:rPr>
        <w:t> </w:t>
      </w:r>
      <w:r>
        <w:rPr>
          <w:i/>
          <w:sz w:val="18"/>
        </w:rPr>
        <w:t>at</w:t>
      </w:r>
      <w:r>
        <w:rPr>
          <w:i/>
          <w:spacing w:val="-20"/>
          <w:sz w:val="18"/>
        </w:rPr>
        <w:t> </w:t>
      </w:r>
      <w:r>
        <w:rPr>
          <w:i/>
          <w:sz w:val="18"/>
        </w:rPr>
        <w:t>the</w:t>
      </w:r>
      <w:r>
        <w:rPr>
          <w:i/>
          <w:spacing w:val="-21"/>
          <w:sz w:val="18"/>
        </w:rPr>
        <w:t> </w:t>
      </w:r>
      <w:r>
        <w:rPr>
          <w:i/>
          <w:sz w:val="18"/>
        </w:rPr>
        <w:t>end</w:t>
      </w:r>
      <w:r>
        <w:rPr>
          <w:i/>
          <w:spacing w:val="-11"/>
          <w:sz w:val="18"/>
        </w:rPr>
        <w:t> </w:t>
      </w:r>
      <w:r>
        <w:rPr>
          <w:i/>
          <w:sz w:val="18"/>
        </w:rPr>
        <w:t>of</w:t>
      </w:r>
      <w:r>
        <w:rPr>
          <w:i/>
          <w:spacing w:val="-21"/>
          <w:sz w:val="18"/>
        </w:rPr>
        <w:t> </w:t>
      </w:r>
      <w:r>
        <w:rPr>
          <w:i/>
          <w:sz w:val="18"/>
        </w:rPr>
        <w:t>every</w:t>
      </w:r>
      <w:r>
        <w:rPr>
          <w:i/>
          <w:spacing w:val="-20"/>
          <w:sz w:val="18"/>
        </w:rPr>
        <w:t> </w:t>
      </w:r>
      <w:r>
        <w:rPr>
          <w:i/>
          <w:sz w:val="18"/>
        </w:rPr>
        <w:t>10</w:t>
      </w:r>
      <w:r>
        <w:rPr>
          <w:i/>
          <w:spacing w:val="-21"/>
          <w:sz w:val="18"/>
        </w:rPr>
        <w:t> </w:t>
      </w:r>
      <w:r>
        <w:rPr>
          <w:i/>
          <w:sz w:val="18"/>
        </w:rPr>
        <w:t>years</w:t>
      </w:r>
    </w:p>
    <w:p>
      <w:pPr>
        <w:spacing w:before="72"/>
        <w:ind w:left="140" w:right="0" w:firstLine="0"/>
        <w:jc w:val="left"/>
        <w:rPr>
          <w:i/>
          <w:sz w:val="18"/>
        </w:rPr>
      </w:pPr>
      <w:r>
        <w:rPr>
          <w:i/>
          <w:w w:val="160"/>
          <w:sz w:val="18"/>
        </w:rPr>
        <w:t>^ </w:t>
      </w:r>
      <w:r>
        <w:rPr>
          <w:i/>
          <w:w w:val="105"/>
          <w:sz w:val="18"/>
        </w:rPr>
        <w:t>Asset Management fee has been considered a below the NOI line item</w:t>
      </w:r>
    </w:p>
    <w:p>
      <w:pPr>
        <w:pStyle w:val="BodyText"/>
        <w:spacing w:before="10"/>
        <w:rPr>
          <w:i/>
          <w:sz w:val="26"/>
        </w:rPr>
      </w:pPr>
    </w:p>
    <w:p>
      <w:pPr>
        <w:pStyle w:val="ListParagraph"/>
        <w:numPr>
          <w:ilvl w:val="2"/>
          <w:numId w:val="14"/>
        </w:numPr>
        <w:tabs>
          <w:tab w:pos="861" w:val="left" w:leader="none"/>
        </w:tabs>
        <w:spacing w:line="240" w:lineRule="auto" w:before="1" w:after="0"/>
        <w:ind w:left="860" w:right="0" w:hanging="721"/>
        <w:jc w:val="left"/>
        <w:rPr>
          <w:sz w:val="22"/>
        </w:rPr>
      </w:pPr>
      <w:bookmarkStart w:name="_bookmark264" w:id="516"/>
      <w:bookmarkEnd w:id="516"/>
      <w:r>
        <w:rPr/>
      </w:r>
      <w:bookmarkStart w:name="_bookmark264" w:id="517"/>
      <w:bookmarkEnd w:id="517"/>
      <w:r>
        <w:rPr>
          <w:color w:val="1F664D"/>
          <w:w w:val="105"/>
          <w:sz w:val="22"/>
        </w:rPr>
        <w:t>O</w:t>
      </w:r>
      <w:r>
        <w:rPr>
          <w:color w:val="1F664D"/>
          <w:w w:val="105"/>
          <w:sz w:val="22"/>
        </w:rPr>
        <w:t>ther</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72"/>
        </w:numPr>
        <w:tabs>
          <w:tab w:pos="1005" w:val="left" w:leader="none"/>
        </w:tabs>
        <w:spacing w:line="240" w:lineRule="auto" w:before="0" w:after="0"/>
        <w:ind w:left="1004" w:right="0" w:hanging="865"/>
        <w:jc w:val="left"/>
        <w:rPr>
          <w:i/>
          <w:sz w:val="20"/>
        </w:rPr>
      </w:pPr>
      <w:r>
        <w:rPr>
          <w:i/>
          <w:color w:val="008000"/>
          <w:sz w:val="20"/>
        </w:rPr>
        <w:t>Vacancy</w:t>
      </w:r>
      <w:r>
        <w:rPr>
          <w:i/>
          <w:color w:val="008000"/>
          <w:spacing w:val="-4"/>
          <w:sz w:val="20"/>
        </w:rPr>
        <w:t> </w:t>
      </w:r>
      <w:r>
        <w:rPr>
          <w:i/>
          <w:color w:val="008000"/>
          <w:sz w:val="20"/>
        </w:rPr>
        <w:t>provision</w:t>
      </w:r>
    </w:p>
    <w:p>
      <w:pPr>
        <w:pStyle w:val="BodyText"/>
        <w:rPr>
          <w:i/>
        </w:rPr>
      </w:pPr>
    </w:p>
    <w:p>
      <w:pPr>
        <w:pStyle w:val="BodyText"/>
        <w:spacing w:line="321" w:lineRule="auto" w:before="1"/>
        <w:ind w:left="702" w:right="117"/>
        <w:jc w:val="both"/>
      </w:pPr>
      <w:r>
        <w:rPr/>
        <w:t>Based on the prevailing market benchmarks, a vacancy provision of 2.5% has been adopted upon assessment of terminal value</w:t>
      </w:r>
    </w:p>
    <w:p>
      <w:pPr>
        <w:pStyle w:val="BodyText"/>
        <w:spacing w:before="3"/>
        <w:rPr>
          <w:sz w:val="23"/>
        </w:rPr>
      </w:pPr>
    </w:p>
    <w:p>
      <w:pPr>
        <w:pStyle w:val="ListParagraph"/>
        <w:numPr>
          <w:ilvl w:val="3"/>
          <w:numId w:val="72"/>
        </w:numPr>
        <w:tabs>
          <w:tab w:pos="1005" w:val="left" w:leader="none"/>
        </w:tabs>
        <w:spacing w:line="240" w:lineRule="auto" w:before="0" w:after="0"/>
        <w:ind w:left="1004" w:right="0" w:hanging="865"/>
        <w:jc w:val="left"/>
        <w:rPr>
          <w:i/>
          <w:sz w:val="20"/>
        </w:rPr>
      </w:pPr>
      <w:r>
        <w:rPr>
          <w:i/>
          <w:color w:val="008000"/>
          <w:sz w:val="20"/>
        </w:rPr>
        <w:t>Revenue</w:t>
      </w:r>
      <w:r>
        <w:rPr>
          <w:i/>
          <w:color w:val="008000"/>
          <w:spacing w:val="-4"/>
          <w:sz w:val="20"/>
        </w:rPr>
        <w:t> </w:t>
      </w:r>
      <w:r>
        <w:rPr>
          <w:i/>
          <w:color w:val="008000"/>
          <w:sz w:val="20"/>
        </w:rPr>
        <w:t>escalation</w:t>
      </w:r>
    </w:p>
    <w:p>
      <w:pPr>
        <w:pStyle w:val="BodyText"/>
        <w:rPr>
          <w:i/>
        </w:rPr>
      </w:pPr>
    </w:p>
    <w:p>
      <w:pPr>
        <w:pStyle w:val="BodyText"/>
        <w:spacing w:line="321" w:lineRule="auto"/>
        <w:ind w:left="702" w:right="120"/>
        <w:jc w:val="both"/>
      </w:pPr>
      <w:r>
        <w:rPr/>
        <w:t>Based</w:t>
      </w:r>
      <w:r>
        <w:rPr>
          <w:spacing w:val="-18"/>
        </w:rPr>
        <w:t> </w:t>
      </w:r>
      <w:r>
        <w:rPr/>
        <w:t>on</w:t>
      </w:r>
      <w:r>
        <w:rPr>
          <w:spacing w:val="-17"/>
        </w:rPr>
        <w:t> </w:t>
      </w:r>
      <w:r>
        <w:rPr/>
        <w:t>prevailing</w:t>
      </w:r>
      <w:r>
        <w:rPr>
          <w:spacing w:val="-17"/>
        </w:rPr>
        <w:t> </w:t>
      </w:r>
      <w:r>
        <w:rPr/>
        <w:t>market</w:t>
      </w:r>
      <w:r>
        <w:rPr>
          <w:spacing w:val="-17"/>
        </w:rPr>
        <w:t> </w:t>
      </w:r>
      <w:r>
        <w:rPr/>
        <w:t>condition,</w:t>
      </w:r>
      <w:r>
        <w:rPr>
          <w:spacing w:val="-19"/>
        </w:rPr>
        <w:t> </w:t>
      </w:r>
      <w:r>
        <w:rPr/>
        <w:t>historical</w:t>
      </w:r>
      <w:r>
        <w:rPr>
          <w:spacing w:val="-17"/>
        </w:rPr>
        <w:t> </w:t>
      </w:r>
      <w:r>
        <w:rPr/>
        <w:t>rent</w:t>
      </w:r>
      <w:r>
        <w:rPr>
          <w:spacing w:val="-18"/>
        </w:rPr>
        <w:t> </w:t>
      </w:r>
      <w:r>
        <w:rPr/>
        <w:t>growth</w:t>
      </w:r>
      <w:r>
        <w:rPr>
          <w:spacing w:val="-18"/>
        </w:rPr>
        <w:t> </w:t>
      </w:r>
      <w:r>
        <w:rPr/>
        <w:t>achieved</w:t>
      </w:r>
      <w:r>
        <w:rPr>
          <w:spacing w:val="-17"/>
        </w:rPr>
        <w:t> </w:t>
      </w:r>
      <w:r>
        <w:rPr/>
        <w:t>by</w:t>
      </w:r>
      <w:r>
        <w:rPr>
          <w:spacing w:val="-17"/>
        </w:rPr>
        <w:t> </w:t>
      </w:r>
      <w:r>
        <w:rPr/>
        <w:t>the</w:t>
      </w:r>
      <w:r>
        <w:rPr>
          <w:spacing w:val="-18"/>
        </w:rPr>
        <w:t> </w:t>
      </w:r>
      <w:r>
        <w:rPr/>
        <w:t>subject</w:t>
      </w:r>
      <w:r>
        <w:rPr>
          <w:spacing w:val="-17"/>
        </w:rPr>
        <w:t> </w:t>
      </w:r>
      <w:r>
        <w:rPr/>
        <w:t>property</w:t>
      </w:r>
      <w:r>
        <w:rPr>
          <w:spacing w:val="-17"/>
        </w:rPr>
        <w:t> </w:t>
      </w:r>
      <w:r>
        <w:rPr/>
        <w:t>and</w:t>
      </w:r>
      <w:r>
        <w:rPr>
          <w:spacing w:val="-19"/>
        </w:rPr>
        <w:t> </w:t>
      </w:r>
      <w:r>
        <w:rPr/>
        <w:t>our interactions</w:t>
      </w:r>
      <w:r>
        <w:rPr>
          <w:spacing w:val="-27"/>
        </w:rPr>
        <w:t> </w:t>
      </w:r>
      <w:r>
        <w:rPr/>
        <w:t>with</w:t>
      </w:r>
      <w:r>
        <w:rPr>
          <w:spacing w:val="-28"/>
        </w:rPr>
        <w:t> </w:t>
      </w:r>
      <w:r>
        <w:rPr/>
        <w:t>market</w:t>
      </w:r>
      <w:r>
        <w:rPr>
          <w:spacing w:val="-28"/>
        </w:rPr>
        <w:t> </w:t>
      </w:r>
      <w:r>
        <w:rPr/>
        <w:t>participants,</w:t>
      </w:r>
      <w:r>
        <w:rPr>
          <w:spacing w:val="-27"/>
        </w:rPr>
        <w:t> </w:t>
      </w:r>
      <w:r>
        <w:rPr/>
        <w:t>we</w:t>
      </w:r>
      <w:r>
        <w:rPr>
          <w:spacing w:val="-28"/>
        </w:rPr>
        <w:t> </w:t>
      </w:r>
      <w:r>
        <w:rPr/>
        <w:t>are</w:t>
      </w:r>
      <w:r>
        <w:rPr>
          <w:spacing w:val="-27"/>
        </w:rPr>
        <w:t> </w:t>
      </w:r>
      <w:r>
        <w:rPr/>
        <w:t>of</w:t>
      </w:r>
      <w:r>
        <w:rPr>
          <w:spacing w:val="-27"/>
        </w:rPr>
        <w:t> </w:t>
      </w:r>
      <w:r>
        <w:rPr/>
        <w:t>the</w:t>
      </w:r>
      <w:r>
        <w:rPr>
          <w:spacing w:val="-28"/>
        </w:rPr>
        <w:t> </w:t>
      </w:r>
      <w:r>
        <w:rPr/>
        <w:t>opinion</w:t>
      </w:r>
      <w:r>
        <w:rPr>
          <w:spacing w:val="-27"/>
        </w:rPr>
        <w:t> </w:t>
      </w:r>
      <w:r>
        <w:rPr/>
        <w:t>that</w:t>
      </w:r>
      <w:r>
        <w:rPr>
          <w:spacing w:val="-27"/>
        </w:rPr>
        <w:t> </w:t>
      </w:r>
      <w:r>
        <w:rPr/>
        <w:t>the</w:t>
      </w:r>
      <w:r>
        <w:rPr>
          <w:spacing w:val="-28"/>
        </w:rPr>
        <w:t> </w:t>
      </w:r>
      <w:r>
        <w:rPr/>
        <w:t>annual</w:t>
      </w:r>
      <w:r>
        <w:rPr>
          <w:spacing w:val="-27"/>
        </w:rPr>
        <w:t> </w:t>
      </w:r>
      <w:r>
        <w:rPr/>
        <w:t>rent</w:t>
      </w:r>
      <w:r>
        <w:rPr>
          <w:spacing w:val="-27"/>
        </w:rPr>
        <w:t> </w:t>
      </w:r>
      <w:r>
        <w:rPr/>
        <w:t>growth</w:t>
      </w:r>
      <w:r>
        <w:rPr>
          <w:spacing w:val="-29"/>
        </w:rPr>
        <w:t> </w:t>
      </w:r>
      <w:r>
        <w:rPr/>
        <w:t>for</w:t>
      </w:r>
      <w:r>
        <w:rPr>
          <w:spacing w:val="-27"/>
        </w:rPr>
        <w:t> </w:t>
      </w:r>
      <w:r>
        <w:rPr/>
        <w:t>the</w:t>
      </w:r>
      <w:r>
        <w:rPr>
          <w:spacing w:val="-28"/>
        </w:rPr>
        <w:t> </w:t>
      </w:r>
      <w:r>
        <w:rPr/>
        <w:t>subject property will be 5.0% from Q4, FY 2021</w:t>
      </w:r>
      <w:r>
        <w:rPr>
          <w:spacing w:val="-16"/>
        </w:rPr>
        <w:t> </w:t>
      </w:r>
      <w:r>
        <w:rPr/>
        <w:t>onwards.</w:t>
      </w:r>
    </w:p>
    <w:p>
      <w:pPr>
        <w:pStyle w:val="BodyText"/>
        <w:spacing w:before="3"/>
        <w:rPr>
          <w:sz w:val="23"/>
        </w:rPr>
      </w:pPr>
    </w:p>
    <w:p>
      <w:pPr>
        <w:pStyle w:val="ListParagraph"/>
        <w:numPr>
          <w:ilvl w:val="3"/>
          <w:numId w:val="72"/>
        </w:numPr>
        <w:tabs>
          <w:tab w:pos="1005" w:val="left" w:leader="none"/>
        </w:tabs>
        <w:spacing w:line="240" w:lineRule="auto" w:before="0" w:after="0"/>
        <w:ind w:left="1004" w:right="0" w:hanging="865"/>
        <w:jc w:val="left"/>
        <w:rPr>
          <w:i/>
          <w:sz w:val="20"/>
        </w:rPr>
      </w:pPr>
      <w:r>
        <w:rPr>
          <w:i/>
          <w:color w:val="008000"/>
          <w:sz w:val="20"/>
        </w:rPr>
        <w:t>Rent </w:t>
      </w:r>
      <w:r>
        <w:rPr>
          <w:i/>
          <w:color w:val="008000"/>
          <w:w w:val="105"/>
          <w:sz w:val="20"/>
        </w:rPr>
        <w:t>– </w:t>
      </w:r>
      <w:r>
        <w:rPr>
          <w:i/>
          <w:color w:val="008000"/>
          <w:sz w:val="20"/>
        </w:rPr>
        <w:t>free</w:t>
      </w:r>
      <w:r>
        <w:rPr>
          <w:i/>
          <w:color w:val="008000"/>
          <w:spacing w:val="-13"/>
          <w:sz w:val="20"/>
        </w:rPr>
        <w:t> </w:t>
      </w:r>
      <w:r>
        <w:rPr>
          <w:i/>
          <w:color w:val="008000"/>
          <w:sz w:val="20"/>
        </w:rPr>
        <w:t>period</w:t>
      </w:r>
    </w:p>
    <w:p>
      <w:pPr>
        <w:pStyle w:val="BodyText"/>
        <w:rPr>
          <w:i/>
        </w:rPr>
      </w:pPr>
    </w:p>
    <w:p>
      <w:pPr>
        <w:pStyle w:val="BodyText"/>
        <w:spacing w:line="321" w:lineRule="auto"/>
        <w:ind w:left="702" w:right="116"/>
        <w:jc w:val="both"/>
      </w:pPr>
      <w:r>
        <w:rPr/>
        <w:t>Based</w:t>
      </w:r>
      <w:r>
        <w:rPr>
          <w:spacing w:val="-8"/>
        </w:rPr>
        <w:t> </w:t>
      </w:r>
      <w:r>
        <w:rPr/>
        <w:t>on</w:t>
      </w:r>
      <w:r>
        <w:rPr>
          <w:spacing w:val="-7"/>
        </w:rPr>
        <w:t> </w:t>
      </w:r>
      <w:r>
        <w:rPr/>
        <w:t>the</w:t>
      </w:r>
      <w:r>
        <w:rPr>
          <w:spacing w:val="-9"/>
        </w:rPr>
        <w:t> </w:t>
      </w:r>
      <w:r>
        <w:rPr/>
        <w:t>trend</w:t>
      </w:r>
      <w:r>
        <w:rPr>
          <w:spacing w:val="-8"/>
        </w:rPr>
        <w:t> </w:t>
      </w:r>
      <w:r>
        <w:rPr/>
        <w:t>prevalent</w:t>
      </w:r>
      <w:r>
        <w:rPr>
          <w:spacing w:val="-7"/>
        </w:rPr>
        <w:t> </w:t>
      </w:r>
      <w:r>
        <w:rPr/>
        <w:t>in</w:t>
      </w:r>
      <w:r>
        <w:rPr>
          <w:spacing w:val="-7"/>
        </w:rPr>
        <w:t> </w:t>
      </w:r>
      <w:r>
        <w:rPr/>
        <w:t>the</w:t>
      </w:r>
      <w:r>
        <w:rPr>
          <w:spacing w:val="-7"/>
        </w:rPr>
        <w:t> </w:t>
      </w:r>
      <w:r>
        <w:rPr/>
        <w:t>subject</w:t>
      </w:r>
      <w:r>
        <w:rPr>
          <w:spacing w:val="-5"/>
        </w:rPr>
        <w:t> </w:t>
      </w:r>
      <w:r>
        <w:rPr/>
        <w:t>sub</w:t>
      </w:r>
      <w:r>
        <w:rPr>
          <w:spacing w:val="-7"/>
        </w:rPr>
        <w:t> </w:t>
      </w:r>
      <w:r>
        <w:rPr>
          <w:w w:val="105"/>
        </w:rPr>
        <w:t>–</w:t>
      </w:r>
      <w:r>
        <w:rPr>
          <w:spacing w:val="-11"/>
          <w:w w:val="105"/>
        </w:rPr>
        <w:t> </w:t>
      </w:r>
      <w:r>
        <w:rPr/>
        <w:t>market,</w:t>
      </w:r>
      <w:r>
        <w:rPr>
          <w:spacing w:val="-6"/>
        </w:rPr>
        <w:t> </w:t>
      </w:r>
      <w:r>
        <w:rPr/>
        <w:t>we</w:t>
      </w:r>
      <w:r>
        <w:rPr>
          <w:spacing w:val="-7"/>
        </w:rPr>
        <w:t> </w:t>
      </w:r>
      <w:r>
        <w:rPr/>
        <w:t>have</w:t>
      </w:r>
      <w:r>
        <w:rPr>
          <w:spacing w:val="-7"/>
        </w:rPr>
        <w:t> </w:t>
      </w:r>
      <w:r>
        <w:rPr/>
        <w:t>considered</w:t>
      </w:r>
      <w:r>
        <w:rPr>
          <w:spacing w:val="-6"/>
        </w:rPr>
        <w:t> </w:t>
      </w:r>
      <w:r>
        <w:rPr/>
        <w:t>a</w:t>
      </w:r>
      <w:r>
        <w:rPr>
          <w:spacing w:val="-7"/>
        </w:rPr>
        <w:t> </w:t>
      </w:r>
      <w:r>
        <w:rPr/>
        <w:t>rent</w:t>
      </w:r>
      <w:r>
        <w:rPr>
          <w:spacing w:val="-8"/>
        </w:rPr>
        <w:t> </w:t>
      </w:r>
      <w:r>
        <w:rPr/>
        <w:t>free</w:t>
      </w:r>
      <w:r>
        <w:rPr>
          <w:spacing w:val="-7"/>
        </w:rPr>
        <w:t> </w:t>
      </w:r>
      <w:r>
        <w:rPr/>
        <w:t>period</w:t>
      </w:r>
      <w:r>
        <w:rPr>
          <w:spacing w:val="-6"/>
        </w:rPr>
        <w:t> </w:t>
      </w:r>
      <w:r>
        <w:rPr/>
        <w:t>of</w:t>
      </w:r>
      <w:r>
        <w:rPr>
          <w:spacing w:val="-6"/>
        </w:rPr>
        <w:t> </w:t>
      </w:r>
      <w:r>
        <w:rPr/>
        <w:t>3 months</w:t>
      </w:r>
      <w:r>
        <w:rPr>
          <w:spacing w:val="-18"/>
        </w:rPr>
        <w:t> </w:t>
      </w:r>
      <w:r>
        <w:rPr/>
        <w:t>for</w:t>
      </w:r>
      <w:r>
        <w:rPr>
          <w:spacing w:val="-19"/>
        </w:rPr>
        <w:t> </w:t>
      </w:r>
      <w:r>
        <w:rPr/>
        <w:t>the</w:t>
      </w:r>
      <w:r>
        <w:rPr>
          <w:spacing w:val="-21"/>
        </w:rPr>
        <w:t> </w:t>
      </w:r>
      <w:r>
        <w:rPr/>
        <w:t>subject</w:t>
      </w:r>
      <w:r>
        <w:rPr>
          <w:spacing w:val="-18"/>
        </w:rPr>
        <w:t> </w:t>
      </w:r>
      <w:r>
        <w:rPr/>
        <w:t>property</w:t>
      </w:r>
      <w:r>
        <w:rPr>
          <w:spacing w:val="-19"/>
        </w:rPr>
        <w:t> </w:t>
      </w:r>
      <w:r>
        <w:rPr/>
        <w:t>from</w:t>
      </w:r>
      <w:r>
        <w:rPr>
          <w:spacing w:val="-19"/>
        </w:rPr>
        <w:t> </w:t>
      </w:r>
      <w:r>
        <w:rPr/>
        <w:t>the</w:t>
      </w:r>
      <w:r>
        <w:rPr>
          <w:spacing w:val="-19"/>
        </w:rPr>
        <w:t> </w:t>
      </w:r>
      <w:r>
        <w:rPr/>
        <w:t>lease</w:t>
      </w:r>
      <w:r>
        <w:rPr>
          <w:spacing w:val="-18"/>
        </w:rPr>
        <w:t> </w:t>
      </w:r>
      <w:r>
        <w:rPr/>
        <w:t>commencement</w:t>
      </w:r>
      <w:r>
        <w:rPr>
          <w:spacing w:val="-19"/>
        </w:rPr>
        <w:t> </w:t>
      </w:r>
      <w:r>
        <w:rPr/>
        <w:t>date</w:t>
      </w:r>
      <w:r>
        <w:rPr>
          <w:spacing w:val="-18"/>
        </w:rPr>
        <w:t> </w:t>
      </w:r>
      <w:r>
        <w:rPr/>
        <w:t>(for</w:t>
      </w:r>
      <w:r>
        <w:rPr>
          <w:spacing w:val="-19"/>
        </w:rPr>
        <w:t> </w:t>
      </w:r>
      <w:r>
        <w:rPr/>
        <w:t>future</w:t>
      </w:r>
      <w:r>
        <w:rPr>
          <w:spacing w:val="-18"/>
        </w:rPr>
        <w:t> </w:t>
      </w:r>
      <w:r>
        <w:rPr/>
        <w:t>/</w:t>
      </w:r>
      <w:r>
        <w:rPr>
          <w:spacing w:val="-19"/>
        </w:rPr>
        <w:t> </w:t>
      </w:r>
      <w:r>
        <w:rPr/>
        <w:t>new</w:t>
      </w:r>
      <w:r>
        <w:rPr>
          <w:spacing w:val="-18"/>
        </w:rPr>
        <w:t> </w:t>
      </w:r>
      <w:r>
        <w:rPr/>
        <w:t>leases)</w:t>
      </w:r>
    </w:p>
    <w:p>
      <w:pPr>
        <w:pStyle w:val="BodyText"/>
        <w:spacing w:before="4"/>
        <w:rPr>
          <w:sz w:val="23"/>
        </w:rPr>
      </w:pPr>
    </w:p>
    <w:p>
      <w:pPr>
        <w:pStyle w:val="ListParagraph"/>
        <w:numPr>
          <w:ilvl w:val="3"/>
          <w:numId w:val="72"/>
        </w:numPr>
        <w:tabs>
          <w:tab w:pos="1005" w:val="left" w:leader="none"/>
        </w:tabs>
        <w:spacing w:line="240" w:lineRule="auto" w:before="0" w:after="0"/>
        <w:ind w:left="1004" w:right="0" w:hanging="865"/>
        <w:jc w:val="left"/>
        <w:rPr>
          <w:i/>
          <w:sz w:val="20"/>
        </w:rPr>
      </w:pPr>
      <w:r>
        <w:rPr>
          <w:i/>
          <w:color w:val="008000"/>
          <w:sz w:val="20"/>
        </w:rPr>
        <w:t>Brokerage</w:t>
      </w:r>
    </w:p>
    <w:p>
      <w:pPr>
        <w:pStyle w:val="BodyText"/>
        <w:rPr>
          <w:i/>
        </w:rPr>
      </w:pPr>
    </w:p>
    <w:p>
      <w:pPr>
        <w:pStyle w:val="BodyText"/>
        <w:spacing w:line="321" w:lineRule="auto"/>
        <w:ind w:left="702" w:right="115"/>
        <w:jc w:val="both"/>
      </w:pPr>
      <w:r>
        <w:rPr/>
        <w:t>Based</w:t>
      </w:r>
      <w:r>
        <w:rPr>
          <w:spacing w:val="-14"/>
        </w:rPr>
        <w:t> </w:t>
      </w:r>
      <w:r>
        <w:rPr/>
        <w:t>on</w:t>
      </w:r>
      <w:r>
        <w:rPr>
          <w:spacing w:val="-12"/>
        </w:rPr>
        <w:t> </w:t>
      </w:r>
      <w:r>
        <w:rPr/>
        <w:t>prevalent</w:t>
      </w:r>
      <w:r>
        <w:rPr>
          <w:spacing w:val="-12"/>
        </w:rPr>
        <w:t> </w:t>
      </w:r>
      <w:r>
        <w:rPr/>
        <w:t>market</w:t>
      </w:r>
      <w:r>
        <w:rPr>
          <w:spacing w:val="-12"/>
        </w:rPr>
        <w:t> </w:t>
      </w:r>
      <w:r>
        <w:rPr/>
        <w:t>dynamics,</w:t>
      </w:r>
      <w:r>
        <w:rPr>
          <w:spacing w:val="-14"/>
        </w:rPr>
        <w:t> </w:t>
      </w:r>
      <w:r>
        <w:rPr/>
        <w:t>we</w:t>
      </w:r>
      <w:r>
        <w:rPr>
          <w:spacing w:val="-13"/>
        </w:rPr>
        <w:t> </w:t>
      </w:r>
      <w:r>
        <w:rPr/>
        <w:t>have</w:t>
      </w:r>
      <w:r>
        <w:rPr>
          <w:spacing w:val="-12"/>
        </w:rPr>
        <w:t> </w:t>
      </w:r>
      <w:r>
        <w:rPr/>
        <w:t>considered</w:t>
      </w:r>
      <w:r>
        <w:rPr>
          <w:spacing w:val="-13"/>
        </w:rPr>
        <w:t> </w:t>
      </w:r>
      <w:r>
        <w:rPr/>
        <w:t>brokerage</w:t>
      </w:r>
      <w:r>
        <w:rPr>
          <w:spacing w:val="-13"/>
        </w:rPr>
        <w:t> </w:t>
      </w:r>
      <w:r>
        <w:rPr/>
        <w:t>equivalent</w:t>
      </w:r>
      <w:r>
        <w:rPr>
          <w:spacing w:val="-12"/>
        </w:rPr>
        <w:t> </w:t>
      </w:r>
      <w:r>
        <w:rPr/>
        <w:t>to</w:t>
      </w:r>
      <w:r>
        <w:rPr>
          <w:spacing w:val="-9"/>
        </w:rPr>
        <w:t> </w:t>
      </w:r>
      <w:r>
        <w:rPr/>
        <w:t>2</w:t>
      </w:r>
      <w:r>
        <w:rPr>
          <w:spacing w:val="-12"/>
        </w:rPr>
        <w:t> </w:t>
      </w:r>
      <w:r>
        <w:rPr/>
        <w:t>months</w:t>
      </w:r>
      <w:r>
        <w:rPr>
          <w:spacing w:val="-12"/>
        </w:rPr>
        <w:t> </w:t>
      </w:r>
      <w:r>
        <w:rPr/>
        <w:t>of</w:t>
      </w:r>
      <w:r>
        <w:rPr>
          <w:spacing w:val="-12"/>
        </w:rPr>
        <w:t> </w:t>
      </w:r>
      <w:r>
        <w:rPr/>
        <w:t>rental income for future / new</w:t>
      </w:r>
      <w:r>
        <w:rPr>
          <w:spacing w:val="-18"/>
        </w:rPr>
        <w:t> </w:t>
      </w:r>
      <w:r>
        <w:rPr/>
        <w:t>leases</w:t>
      </w:r>
    </w:p>
    <w:p>
      <w:pPr>
        <w:pStyle w:val="BodyText"/>
        <w:spacing w:before="10"/>
        <w:rPr>
          <w:sz w:val="20"/>
        </w:rPr>
      </w:pPr>
    </w:p>
    <w:p>
      <w:pPr>
        <w:pStyle w:val="ListParagraph"/>
        <w:numPr>
          <w:ilvl w:val="2"/>
          <w:numId w:val="14"/>
        </w:numPr>
        <w:tabs>
          <w:tab w:pos="861" w:val="left" w:leader="none"/>
        </w:tabs>
        <w:spacing w:line="240" w:lineRule="auto" w:before="0" w:after="0"/>
        <w:ind w:left="860" w:right="0" w:hanging="721"/>
        <w:jc w:val="left"/>
        <w:rPr>
          <w:sz w:val="22"/>
        </w:rPr>
      </w:pPr>
      <w:bookmarkStart w:name="_bookmark265" w:id="518"/>
      <w:bookmarkEnd w:id="518"/>
      <w:r>
        <w:rPr/>
      </w:r>
      <w:bookmarkStart w:name="_bookmark265" w:id="519"/>
      <w:bookmarkEnd w:id="519"/>
      <w:r>
        <w:rPr>
          <w:color w:val="1F664D"/>
          <w:sz w:val="22"/>
        </w:rPr>
        <w:t>Ca</w:t>
      </w:r>
      <w:r>
        <w:rPr>
          <w:color w:val="1F664D"/>
          <w:sz w:val="22"/>
        </w:rPr>
        <w:t>pitalization</w:t>
      </w:r>
      <w:r>
        <w:rPr>
          <w:color w:val="1F664D"/>
          <w:spacing w:val="-2"/>
          <w:sz w:val="22"/>
        </w:rPr>
        <w:t> </w:t>
      </w:r>
      <w:r>
        <w:rPr>
          <w:color w:val="1F664D"/>
          <w:sz w:val="22"/>
        </w:rPr>
        <w:t>Rates</w:t>
      </w:r>
    </w:p>
    <w:p>
      <w:pPr>
        <w:pStyle w:val="BodyText"/>
        <w:spacing w:before="206"/>
        <w:ind w:left="771"/>
        <w:jc w:val="both"/>
      </w:pPr>
      <w:r>
        <w:rPr/>
        <w:t>As highlighted in section 3.3, the cap rate adopted for the office space is 8.25%.</w:t>
      </w:r>
    </w:p>
    <w:p>
      <w:pPr>
        <w:spacing w:after="0"/>
        <w:jc w:val="both"/>
        <w:sectPr>
          <w:pgSz w:w="11910" w:h="16840"/>
          <w:pgMar w:header="720" w:footer="921" w:top="1660" w:bottom="1120" w:left="580" w:right="600"/>
        </w:sectPr>
      </w:pPr>
    </w:p>
    <w:p>
      <w:pPr>
        <w:pStyle w:val="BodyText"/>
        <w:spacing w:before="7"/>
        <w:rPr>
          <w:sz w:val="9"/>
        </w:rPr>
      </w:pPr>
    </w:p>
    <w:p>
      <w:pPr>
        <w:pStyle w:val="ListParagraph"/>
        <w:numPr>
          <w:ilvl w:val="2"/>
          <w:numId w:val="14"/>
        </w:numPr>
        <w:tabs>
          <w:tab w:pos="861" w:val="left" w:leader="none"/>
        </w:tabs>
        <w:spacing w:line="240" w:lineRule="auto" w:before="106" w:after="0"/>
        <w:ind w:left="860" w:right="0" w:hanging="721"/>
        <w:jc w:val="left"/>
        <w:rPr>
          <w:sz w:val="22"/>
        </w:rPr>
      </w:pPr>
      <w:bookmarkStart w:name="_bookmark266" w:id="520"/>
      <w:bookmarkEnd w:id="520"/>
      <w:r>
        <w:rPr/>
      </w:r>
      <w:bookmarkStart w:name="_bookmark266" w:id="521"/>
      <w:bookmarkEnd w:id="521"/>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8"/>
        <w:ind w:left="771" w:right="118"/>
        <w:jc w:val="both"/>
      </w:pPr>
      <w:r>
        <w:rPr/>
        <w:t>For</w:t>
      </w:r>
      <w:r>
        <w:rPr>
          <w:spacing w:val="-6"/>
        </w:rPr>
        <w:t> </w:t>
      </w:r>
      <w:r>
        <w:rPr/>
        <w:t>discounting</w:t>
      </w:r>
      <w:r>
        <w:rPr>
          <w:spacing w:val="-5"/>
        </w:rPr>
        <w:t> </w:t>
      </w:r>
      <w:r>
        <w:rPr/>
        <w:t>the</w:t>
      </w:r>
      <w:r>
        <w:rPr>
          <w:spacing w:val="-6"/>
        </w:rPr>
        <w:t> </w:t>
      </w:r>
      <w:r>
        <w:rPr/>
        <w:t>cash</w:t>
      </w:r>
      <w:r>
        <w:rPr>
          <w:spacing w:val="-7"/>
        </w:rPr>
        <w:t> </w:t>
      </w:r>
      <w:r>
        <w:rPr/>
        <w:t>flows,</w:t>
      </w:r>
      <w:r>
        <w:rPr>
          <w:spacing w:val="-5"/>
        </w:rPr>
        <w:t> </w:t>
      </w:r>
      <w:r>
        <w:rPr/>
        <w:t>the</w:t>
      </w:r>
      <w:r>
        <w:rPr>
          <w:spacing w:val="-6"/>
        </w:rPr>
        <w:t> </w:t>
      </w:r>
      <w:r>
        <w:rPr/>
        <w:t>appropriate</w:t>
      </w:r>
      <w:r>
        <w:rPr>
          <w:spacing w:val="-5"/>
        </w:rPr>
        <w:t> </w:t>
      </w:r>
      <w:r>
        <w:rPr/>
        <w:t>discounting</w:t>
      </w:r>
      <w:r>
        <w:rPr>
          <w:spacing w:val="-5"/>
        </w:rPr>
        <w:t> </w:t>
      </w:r>
      <w:r>
        <w:rPr/>
        <w:t>rate</w:t>
      </w:r>
      <w:r>
        <w:rPr>
          <w:spacing w:val="-5"/>
        </w:rPr>
        <w:t> </w:t>
      </w:r>
      <w:r>
        <w:rPr/>
        <w:t>has</w:t>
      </w:r>
      <w:r>
        <w:rPr>
          <w:spacing w:val="-5"/>
        </w:rPr>
        <w:t> </w:t>
      </w:r>
      <w:r>
        <w:rPr/>
        <w:t>been</w:t>
      </w:r>
      <w:r>
        <w:rPr>
          <w:spacing w:val="-5"/>
        </w:rPr>
        <w:t> </w:t>
      </w:r>
      <w:r>
        <w:rPr/>
        <w:t>calculated</w:t>
      </w:r>
      <w:r>
        <w:rPr>
          <w:spacing w:val="-5"/>
        </w:rPr>
        <w:t> </w:t>
      </w:r>
      <w:r>
        <w:rPr/>
        <w:t>on</w:t>
      </w:r>
      <w:r>
        <w:rPr>
          <w:spacing w:val="-6"/>
        </w:rPr>
        <w:t> </w:t>
      </w:r>
      <w:r>
        <w:rPr/>
        <w:t>the</w:t>
      </w:r>
      <w:r>
        <w:rPr>
          <w:spacing w:val="-4"/>
        </w:rPr>
        <w:t> </w:t>
      </w:r>
      <w:r>
        <w:rPr/>
        <w:t>basis</w:t>
      </w:r>
      <w:r>
        <w:rPr>
          <w:spacing w:val="-7"/>
        </w:rPr>
        <w:t> </w:t>
      </w:r>
      <w:r>
        <w:rPr/>
        <w:t>of estimated ‘Weighted Average Cost of Capital’ (WACC). The detailed analysis of WACC rate adopted for</w:t>
      </w:r>
      <w:r>
        <w:rPr>
          <w:spacing w:val="-9"/>
        </w:rPr>
        <w:t> </w:t>
      </w:r>
      <w:r>
        <w:rPr/>
        <w:t>the</w:t>
      </w:r>
      <w:r>
        <w:rPr>
          <w:spacing w:val="-9"/>
        </w:rPr>
        <w:t> </w:t>
      </w:r>
      <w:r>
        <w:rPr/>
        <w:t>subject</w:t>
      </w:r>
      <w:r>
        <w:rPr>
          <w:spacing w:val="-10"/>
        </w:rPr>
        <w:t> </w:t>
      </w:r>
      <w:r>
        <w:rPr/>
        <w:t>property</w:t>
      </w:r>
      <w:r>
        <w:rPr>
          <w:spacing w:val="-6"/>
        </w:rPr>
        <w:t> </w:t>
      </w:r>
      <w:r>
        <w:rPr/>
        <w:t>has</w:t>
      </w:r>
      <w:r>
        <w:rPr>
          <w:spacing w:val="-7"/>
        </w:rPr>
        <w:t> </w:t>
      </w:r>
      <w:r>
        <w:rPr/>
        <w:t>been</w:t>
      </w:r>
      <w:r>
        <w:rPr>
          <w:spacing w:val="-10"/>
        </w:rPr>
        <w:t> </w:t>
      </w:r>
      <w:r>
        <w:rPr/>
        <w:t>detailed</w:t>
      </w:r>
      <w:r>
        <w:rPr>
          <w:spacing w:val="-5"/>
        </w:rPr>
        <w:t> </w:t>
      </w:r>
      <w:r>
        <w:rPr/>
        <w:t>in</w:t>
      </w:r>
      <w:r>
        <w:rPr>
          <w:spacing w:val="-9"/>
        </w:rPr>
        <w:t> </w:t>
      </w:r>
      <w:r>
        <w:rPr/>
        <w:t>Section</w:t>
      </w:r>
      <w:r>
        <w:rPr>
          <w:spacing w:val="-9"/>
        </w:rPr>
        <w:t> </w:t>
      </w:r>
      <w:r>
        <w:rPr/>
        <w:t>3.4</w:t>
      </w:r>
      <w:r>
        <w:rPr>
          <w:spacing w:val="-9"/>
        </w:rPr>
        <w:t> </w:t>
      </w:r>
      <w:r>
        <w:rPr/>
        <w:t>of</w:t>
      </w:r>
      <w:r>
        <w:rPr>
          <w:spacing w:val="-8"/>
        </w:rPr>
        <w:t> </w:t>
      </w:r>
      <w:r>
        <w:rPr/>
        <w:t>this</w:t>
      </w:r>
      <w:r>
        <w:rPr>
          <w:spacing w:val="-6"/>
        </w:rPr>
        <w:t> </w:t>
      </w:r>
      <w:r>
        <w:rPr/>
        <w:t>report.</w:t>
      </w:r>
    </w:p>
    <w:p>
      <w:pPr>
        <w:pStyle w:val="BodyText"/>
        <w:spacing w:before="8"/>
        <w:rPr>
          <w:sz w:val="20"/>
        </w:rPr>
      </w:pPr>
    </w:p>
    <w:p>
      <w:pPr>
        <w:pStyle w:val="BodyText"/>
        <w:ind w:left="140"/>
      </w:pPr>
      <w:bookmarkStart w:name="_bookmark267" w:id="522"/>
      <w:bookmarkEnd w:id="522"/>
      <w:r>
        <w:rPr/>
      </w:r>
      <w:r>
        <w:rPr>
          <w:color w:val="1F6647"/>
        </w:rPr>
        <w:t>12.5 Value of the Subject Property</w:t>
      </w:r>
    </w:p>
    <w:p>
      <w:pPr>
        <w:pStyle w:val="BodyText"/>
        <w:spacing w:before="208"/>
        <w:ind w:left="771"/>
        <w:jc w:val="both"/>
      </w:pPr>
      <w:r>
        <w:rPr/>
        <w:t>Based on the above mentioned analysis, the value of the subject property is estimated as follows:</w:t>
      </w:r>
    </w:p>
    <w:p>
      <w:pPr>
        <w:pStyle w:val="BodyText"/>
        <w:spacing w:after="1"/>
        <w:rPr>
          <w:sz w:val="29"/>
        </w:rPr>
      </w:pPr>
    </w:p>
    <w:tbl>
      <w:tblPr>
        <w:tblW w:w="0" w:type="auto"/>
        <w:jc w:val="left"/>
        <w:tblInd w:w="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4"/>
        <w:gridCol w:w="2137"/>
        <w:gridCol w:w="1966"/>
        <w:gridCol w:w="2441"/>
      </w:tblGrid>
      <w:tr>
        <w:trPr>
          <w:trHeight w:val="347" w:hRule="atLeast"/>
        </w:trPr>
        <w:tc>
          <w:tcPr>
            <w:tcW w:w="3944" w:type="dxa"/>
            <w:tcBorders>
              <w:top w:val="single" w:sz="12" w:space="0" w:color="1F6B16"/>
              <w:bottom w:val="single" w:sz="6" w:space="0" w:color="69BD28"/>
            </w:tcBorders>
            <w:shd w:val="clear" w:color="auto" w:fill="006A4D"/>
          </w:tcPr>
          <w:p>
            <w:pPr>
              <w:pStyle w:val="TableParagraph"/>
              <w:spacing w:before="68"/>
              <w:ind w:left="232" w:right="652"/>
              <w:rPr>
                <w:sz w:val="18"/>
              </w:rPr>
            </w:pPr>
            <w:r>
              <w:rPr>
                <w:color w:val="FFFFFF"/>
                <w:sz w:val="18"/>
              </w:rPr>
              <w:t>Component</w:t>
            </w:r>
          </w:p>
        </w:tc>
        <w:tc>
          <w:tcPr>
            <w:tcW w:w="2137" w:type="dxa"/>
            <w:tcBorders>
              <w:top w:val="single" w:sz="12" w:space="0" w:color="1F6B16"/>
              <w:bottom w:val="single" w:sz="6" w:space="0" w:color="69BD28"/>
            </w:tcBorders>
            <w:shd w:val="clear" w:color="auto" w:fill="006A4D"/>
          </w:tcPr>
          <w:p>
            <w:pPr>
              <w:pStyle w:val="TableParagraph"/>
              <w:spacing w:before="68"/>
              <w:ind w:left="625" w:right="154"/>
              <w:rPr>
                <w:sz w:val="18"/>
              </w:rPr>
            </w:pPr>
            <w:r>
              <w:rPr>
                <w:color w:val="FFFFFF"/>
                <w:sz w:val="18"/>
              </w:rPr>
              <w:t>Value (INR Mn)</w:t>
            </w:r>
          </w:p>
        </w:tc>
        <w:tc>
          <w:tcPr>
            <w:tcW w:w="1966" w:type="dxa"/>
            <w:tcBorders>
              <w:top w:val="single" w:sz="12" w:space="0" w:color="1F6B16"/>
              <w:bottom w:val="single" w:sz="6" w:space="0" w:color="69BD28"/>
            </w:tcBorders>
            <w:shd w:val="clear" w:color="auto" w:fill="006A4D"/>
          </w:tcPr>
          <w:p>
            <w:pPr>
              <w:pStyle w:val="TableParagraph"/>
              <w:jc w:val="left"/>
              <w:rPr>
                <w:rFonts w:ascii="Times New Roman"/>
                <w:sz w:val="20"/>
              </w:rPr>
            </w:pPr>
          </w:p>
        </w:tc>
        <w:tc>
          <w:tcPr>
            <w:tcW w:w="2441" w:type="dxa"/>
            <w:tcBorders>
              <w:top w:val="single" w:sz="12" w:space="0" w:color="1F6B16"/>
              <w:bottom w:val="single" w:sz="6" w:space="0" w:color="69BD28"/>
            </w:tcBorders>
            <w:shd w:val="clear" w:color="auto" w:fill="006A4D"/>
          </w:tcPr>
          <w:p>
            <w:pPr>
              <w:pStyle w:val="TableParagraph"/>
              <w:spacing w:before="68"/>
              <w:ind w:left="374"/>
              <w:jc w:val="left"/>
              <w:rPr>
                <w:sz w:val="18"/>
              </w:rPr>
            </w:pPr>
            <w:r>
              <w:rPr>
                <w:color w:val="FFFFFF"/>
                <w:w w:val="110"/>
                <w:sz w:val="18"/>
              </w:rPr>
              <w:t>% Share</w:t>
            </w:r>
          </w:p>
        </w:tc>
      </w:tr>
      <w:tr>
        <w:trPr>
          <w:trHeight w:val="364" w:hRule="atLeast"/>
        </w:trPr>
        <w:tc>
          <w:tcPr>
            <w:tcW w:w="3944" w:type="dxa"/>
            <w:tcBorders>
              <w:top w:val="single" w:sz="6" w:space="0" w:color="69BD28"/>
              <w:bottom w:val="single" w:sz="6" w:space="0" w:color="69BD28"/>
            </w:tcBorders>
          </w:tcPr>
          <w:p>
            <w:pPr>
              <w:pStyle w:val="TableParagraph"/>
              <w:spacing w:before="78"/>
              <w:ind w:left="232" w:right="654"/>
              <w:rPr>
                <w:sz w:val="18"/>
              </w:rPr>
            </w:pPr>
            <w:r>
              <w:rPr>
                <w:sz w:val="18"/>
              </w:rPr>
              <w:t>Completed Blocks</w:t>
            </w:r>
          </w:p>
        </w:tc>
        <w:tc>
          <w:tcPr>
            <w:tcW w:w="2137" w:type="dxa"/>
            <w:tcBorders>
              <w:top w:val="single" w:sz="6" w:space="0" w:color="69BD28"/>
              <w:bottom w:val="single" w:sz="6" w:space="0" w:color="69BD28"/>
            </w:tcBorders>
          </w:tcPr>
          <w:p>
            <w:pPr>
              <w:pStyle w:val="TableParagraph"/>
              <w:spacing w:before="78"/>
              <w:ind w:left="625" w:right="154"/>
              <w:rPr>
                <w:sz w:val="18"/>
              </w:rPr>
            </w:pPr>
            <w:r>
              <w:rPr>
                <w:w w:val="110"/>
                <w:sz w:val="18"/>
              </w:rPr>
              <w:t>19,492</w:t>
            </w:r>
          </w:p>
        </w:tc>
        <w:tc>
          <w:tcPr>
            <w:tcW w:w="1966" w:type="dxa"/>
            <w:tcBorders>
              <w:top w:val="single" w:sz="6" w:space="0" w:color="69BD28"/>
              <w:bottom w:val="single" w:sz="6" w:space="0" w:color="69BD28"/>
            </w:tcBorders>
          </w:tcPr>
          <w:p>
            <w:pPr>
              <w:pStyle w:val="TableParagraph"/>
              <w:jc w:val="left"/>
              <w:rPr>
                <w:rFonts w:ascii="Times New Roman"/>
                <w:sz w:val="20"/>
              </w:rPr>
            </w:pPr>
          </w:p>
        </w:tc>
        <w:tc>
          <w:tcPr>
            <w:tcW w:w="2441" w:type="dxa"/>
            <w:tcBorders>
              <w:top w:val="single" w:sz="6" w:space="0" w:color="69BD28"/>
              <w:bottom w:val="single" w:sz="6" w:space="0" w:color="69BD28"/>
            </w:tcBorders>
          </w:tcPr>
          <w:p>
            <w:pPr>
              <w:pStyle w:val="TableParagraph"/>
              <w:spacing w:before="78"/>
              <w:ind w:left="441"/>
              <w:jc w:val="left"/>
              <w:rPr>
                <w:sz w:val="18"/>
              </w:rPr>
            </w:pPr>
            <w:r>
              <w:rPr>
                <w:w w:val="110"/>
                <w:sz w:val="18"/>
              </w:rPr>
              <w:t>91.0%</w:t>
            </w:r>
          </w:p>
        </w:tc>
      </w:tr>
      <w:tr>
        <w:trPr>
          <w:trHeight w:val="362" w:hRule="atLeast"/>
        </w:trPr>
        <w:tc>
          <w:tcPr>
            <w:tcW w:w="3944" w:type="dxa"/>
            <w:tcBorders>
              <w:top w:val="single" w:sz="6" w:space="0" w:color="69BD28"/>
            </w:tcBorders>
          </w:tcPr>
          <w:p>
            <w:pPr>
              <w:pStyle w:val="TableParagraph"/>
              <w:spacing w:before="78"/>
              <w:ind w:left="232" w:right="658"/>
              <w:rPr>
                <w:sz w:val="18"/>
              </w:rPr>
            </w:pPr>
            <w:r>
              <w:rPr>
                <w:sz w:val="18"/>
              </w:rPr>
              <w:t>Under-Construction/ Proposed Blocks</w:t>
            </w:r>
          </w:p>
        </w:tc>
        <w:tc>
          <w:tcPr>
            <w:tcW w:w="2137" w:type="dxa"/>
            <w:tcBorders>
              <w:top w:val="single" w:sz="6" w:space="0" w:color="69BD28"/>
            </w:tcBorders>
          </w:tcPr>
          <w:p>
            <w:pPr>
              <w:pStyle w:val="TableParagraph"/>
              <w:spacing w:before="78"/>
              <w:ind w:left="625" w:right="154"/>
              <w:rPr>
                <w:sz w:val="18"/>
              </w:rPr>
            </w:pPr>
            <w:r>
              <w:rPr>
                <w:w w:val="105"/>
                <w:sz w:val="18"/>
              </w:rPr>
              <w:t>1,924</w:t>
            </w:r>
          </w:p>
        </w:tc>
        <w:tc>
          <w:tcPr>
            <w:tcW w:w="1966" w:type="dxa"/>
            <w:tcBorders>
              <w:top w:val="single" w:sz="6" w:space="0" w:color="69BD28"/>
            </w:tcBorders>
          </w:tcPr>
          <w:p>
            <w:pPr>
              <w:pStyle w:val="TableParagraph"/>
              <w:jc w:val="left"/>
              <w:rPr>
                <w:rFonts w:ascii="Times New Roman"/>
                <w:sz w:val="20"/>
              </w:rPr>
            </w:pPr>
          </w:p>
        </w:tc>
        <w:tc>
          <w:tcPr>
            <w:tcW w:w="2441" w:type="dxa"/>
            <w:tcBorders>
              <w:top w:val="single" w:sz="6" w:space="0" w:color="69BD28"/>
            </w:tcBorders>
          </w:tcPr>
          <w:p>
            <w:pPr>
              <w:pStyle w:val="TableParagraph"/>
              <w:spacing w:before="78"/>
              <w:ind w:left="494"/>
              <w:jc w:val="left"/>
              <w:rPr>
                <w:sz w:val="18"/>
              </w:rPr>
            </w:pPr>
            <w:r>
              <w:rPr>
                <w:w w:val="105"/>
                <w:sz w:val="18"/>
              </w:rPr>
              <w:t>9.0%</w:t>
            </w:r>
          </w:p>
        </w:tc>
      </w:tr>
      <w:tr>
        <w:trPr>
          <w:trHeight w:val="396" w:hRule="atLeast"/>
        </w:trPr>
        <w:tc>
          <w:tcPr>
            <w:tcW w:w="3944" w:type="dxa"/>
            <w:shd w:val="clear" w:color="auto" w:fill="69BD28"/>
          </w:tcPr>
          <w:p>
            <w:pPr>
              <w:pStyle w:val="TableParagraph"/>
              <w:spacing w:before="95"/>
              <w:ind w:left="232" w:right="656"/>
              <w:rPr>
                <w:b/>
                <w:sz w:val="18"/>
              </w:rPr>
            </w:pPr>
            <w:r>
              <w:rPr>
                <w:b/>
                <w:color w:val="FFFFFF"/>
                <w:w w:val="110"/>
                <w:sz w:val="18"/>
              </w:rPr>
              <w:t>Embassy Oxygen</w:t>
            </w:r>
          </w:p>
        </w:tc>
        <w:tc>
          <w:tcPr>
            <w:tcW w:w="2137" w:type="dxa"/>
            <w:shd w:val="clear" w:color="auto" w:fill="69BD28"/>
          </w:tcPr>
          <w:p>
            <w:pPr>
              <w:pStyle w:val="TableParagraph"/>
              <w:jc w:val="left"/>
              <w:rPr>
                <w:rFonts w:ascii="Times New Roman"/>
                <w:sz w:val="20"/>
              </w:rPr>
            </w:pPr>
          </w:p>
        </w:tc>
        <w:tc>
          <w:tcPr>
            <w:tcW w:w="1966" w:type="dxa"/>
            <w:shd w:val="clear" w:color="auto" w:fill="69BD28"/>
          </w:tcPr>
          <w:p>
            <w:pPr>
              <w:pStyle w:val="TableParagraph"/>
              <w:spacing w:before="95"/>
              <w:ind w:left="237"/>
              <w:jc w:val="left"/>
              <w:rPr>
                <w:b/>
                <w:sz w:val="18"/>
              </w:rPr>
            </w:pPr>
            <w:r>
              <w:rPr>
                <w:b/>
                <w:color w:val="FFFFFF"/>
                <w:w w:val="110"/>
                <w:sz w:val="18"/>
              </w:rPr>
              <w:t>INR 21,416 Mn</w:t>
            </w:r>
          </w:p>
        </w:tc>
        <w:tc>
          <w:tcPr>
            <w:tcW w:w="2441" w:type="dxa"/>
            <w:shd w:val="clear" w:color="auto" w:fill="69BD28"/>
          </w:tcPr>
          <w:p>
            <w:pPr>
              <w:pStyle w:val="TableParagraph"/>
              <w:jc w:val="left"/>
              <w:rPr>
                <w:rFonts w:ascii="Times New Roman"/>
                <w:sz w:val="20"/>
              </w:rPr>
            </w:pPr>
          </w:p>
        </w:tc>
      </w:tr>
    </w:tbl>
    <w:p>
      <w:pPr>
        <w:spacing w:after="0"/>
        <w:jc w:val="left"/>
        <w:rPr>
          <w:rFonts w:ascii="Times New Roman"/>
          <w:sz w:val="20"/>
        </w:rPr>
        <w:sectPr>
          <w:pgSz w:w="11910" w:h="16840"/>
          <w:pgMar w:header="720" w:footer="921" w:top="1660" w:bottom="1120" w:left="580" w:right="600"/>
        </w:sectPr>
      </w:pPr>
    </w:p>
    <w:p>
      <w:pPr>
        <w:pStyle w:val="BodyText"/>
        <w:spacing w:before="7"/>
        <w:rPr>
          <w:sz w:val="9"/>
        </w:rPr>
      </w:pPr>
    </w:p>
    <w:p>
      <w:pPr>
        <w:pStyle w:val="Heading5"/>
        <w:numPr>
          <w:ilvl w:val="0"/>
          <w:numId w:val="14"/>
        </w:numPr>
        <w:tabs>
          <w:tab w:pos="573" w:val="left" w:leader="none"/>
        </w:tabs>
        <w:spacing w:line="240" w:lineRule="auto" w:before="106" w:after="0"/>
        <w:ind w:left="572" w:right="0" w:hanging="433"/>
        <w:jc w:val="left"/>
        <w:rPr>
          <w:rFonts w:ascii="Arial"/>
        </w:rPr>
      </w:pPr>
      <w:bookmarkStart w:name="_bookmark268" w:id="523"/>
      <w:bookmarkEnd w:id="523"/>
      <w:r>
        <w:rPr>
          <w:b w:val="0"/>
        </w:rPr>
      </w:r>
      <w:bookmarkStart w:name="_bookmark268" w:id="524"/>
      <w:bookmarkEnd w:id="524"/>
      <w:r>
        <w:rPr>
          <w:rFonts w:ascii="Arial"/>
          <w:color w:val="1F664D"/>
        </w:rPr>
        <w:t>E</w:t>
      </w:r>
      <w:r>
        <w:rPr>
          <w:rFonts w:ascii="Arial"/>
          <w:color w:val="1F664D"/>
        </w:rPr>
        <w:t>mbassy</w:t>
      </w:r>
      <w:r>
        <w:rPr>
          <w:rFonts w:ascii="Arial"/>
          <w:color w:val="1F664D"/>
          <w:spacing w:val="4"/>
        </w:rPr>
        <w:t> </w:t>
      </w:r>
      <w:r>
        <w:rPr>
          <w:rFonts w:ascii="Arial"/>
          <w:color w:val="1F664D"/>
        </w:rPr>
        <w:t>Galaxy</w:t>
      </w:r>
    </w:p>
    <w:p>
      <w:pPr>
        <w:pStyle w:val="BodyText"/>
        <w:spacing w:before="8"/>
        <w:rPr>
          <w:rFonts w:ascii="Arial"/>
          <w:b/>
          <w:sz w:val="28"/>
        </w:rPr>
      </w:pPr>
    </w:p>
    <w:p>
      <w:pPr>
        <w:pStyle w:val="ListParagraph"/>
        <w:numPr>
          <w:ilvl w:val="1"/>
          <w:numId w:val="14"/>
        </w:numPr>
        <w:tabs>
          <w:tab w:pos="717" w:val="left" w:leader="none"/>
        </w:tabs>
        <w:spacing w:line="240" w:lineRule="auto" w:before="1" w:after="0"/>
        <w:ind w:left="716" w:right="0" w:hanging="577"/>
        <w:jc w:val="left"/>
        <w:rPr>
          <w:color w:val="1F6647"/>
          <w:sz w:val="22"/>
        </w:rPr>
      </w:pPr>
      <w:bookmarkStart w:name="_bookmark269" w:id="525"/>
      <w:bookmarkEnd w:id="525"/>
      <w:r>
        <w:rPr/>
      </w:r>
      <w:bookmarkStart w:name="_bookmark269" w:id="526"/>
      <w:bookmarkEnd w:id="526"/>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5"/>
        <w:rPr>
          <w:sz w:val="17"/>
        </w:rPr>
      </w:pPr>
    </w:p>
    <w:tbl>
      <w:tblPr>
        <w:tblW w:w="0" w:type="auto"/>
        <w:jc w:val="left"/>
        <w:tblInd w:w="1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0"/>
        <w:gridCol w:w="7456"/>
      </w:tblGrid>
      <w:tr>
        <w:trPr>
          <w:trHeight w:val="251" w:hRule="atLeast"/>
        </w:trPr>
        <w:tc>
          <w:tcPr>
            <w:tcW w:w="10486" w:type="dxa"/>
            <w:gridSpan w:val="2"/>
            <w:tcBorders>
              <w:top w:val="single" w:sz="12" w:space="0" w:color="1F6B16"/>
              <w:bottom w:val="single" w:sz="6" w:space="0" w:color="69BD28"/>
            </w:tcBorders>
            <w:shd w:val="clear" w:color="auto" w:fill="006A4D"/>
          </w:tcPr>
          <w:p>
            <w:pPr>
              <w:pStyle w:val="TableParagraph"/>
              <w:spacing w:line="209" w:lineRule="exact" w:before="22"/>
              <w:ind w:left="142" w:right="130"/>
              <w:rPr>
                <w:b/>
                <w:sz w:val="18"/>
              </w:rPr>
            </w:pPr>
            <w:r>
              <w:rPr>
                <w:b/>
                <w:color w:val="FFFFFF"/>
                <w:w w:val="105"/>
                <w:sz w:val="18"/>
              </w:rPr>
              <w:t>Brief Description</w:t>
            </w:r>
          </w:p>
        </w:tc>
      </w:tr>
      <w:tr>
        <w:trPr>
          <w:trHeight w:val="359" w:hRule="atLeast"/>
        </w:trPr>
        <w:tc>
          <w:tcPr>
            <w:tcW w:w="3030" w:type="dxa"/>
            <w:tcBorders>
              <w:top w:val="single" w:sz="6" w:space="0" w:color="69BD28"/>
            </w:tcBorders>
            <w:shd w:val="clear" w:color="auto" w:fill="006A4D"/>
          </w:tcPr>
          <w:p>
            <w:pPr>
              <w:pStyle w:val="TableParagraph"/>
              <w:spacing w:before="75"/>
              <w:ind w:left="798" w:right="798"/>
              <w:rPr>
                <w:b/>
                <w:sz w:val="18"/>
              </w:rPr>
            </w:pPr>
            <w:r>
              <w:rPr>
                <w:b/>
                <w:color w:val="FFFFFF"/>
                <w:w w:val="105"/>
                <w:sz w:val="18"/>
              </w:rPr>
              <w:t>Particulars</w:t>
            </w:r>
          </w:p>
        </w:tc>
        <w:tc>
          <w:tcPr>
            <w:tcW w:w="7456" w:type="dxa"/>
            <w:tcBorders>
              <w:top w:val="single" w:sz="6" w:space="0" w:color="69BD28"/>
              <w:bottom w:val="single" w:sz="6" w:space="0" w:color="69BD28"/>
            </w:tcBorders>
            <w:shd w:val="clear" w:color="auto" w:fill="006A4D"/>
          </w:tcPr>
          <w:p>
            <w:pPr>
              <w:pStyle w:val="TableParagraph"/>
              <w:spacing w:before="75"/>
              <w:ind w:left="1218" w:right="1231"/>
              <w:rPr>
                <w:b/>
                <w:sz w:val="18"/>
              </w:rPr>
            </w:pPr>
            <w:r>
              <w:rPr>
                <w:b/>
                <w:color w:val="FFFFFF"/>
                <w:w w:val="110"/>
                <w:sz w:val="18"/>
              </w:rPr>
              <w:t>Details</w:t>
            </w:r>
          </w:p>
        </w:tc>
      </w:tr>
      <w:tr>
        <w:trPr>
          <w:trHeight w:val="637" w:hRule="atLeast"/>
        </w:trPr>
        <w:tc>
          <w:tcPr>
            <w:tcW w:w="3030" w:type="dxa"/>
            <w:shd w:val="clear" w:color="auto" w:fill="69BD28"/>
          </w:tcPr>
          <w:p>
            <w:pPr>
              <w:pStyle w:val="TableParagraph"/>
              <w:spacing w:before="5"/>
              <w:jc w:val="left"/>
              <w:rPr>
                <w:sz w:val="18"/>
              </w:rPr>
            </w:pPr>
          </w:p>
          <w:p>
            <w:pPr>
              <w:pStyle w:val="TableParagraph"/>
              <w:ind w:left="798" w:right="799"/>
              <w:rPr>
                <w:b/>
                <w:sz w:val="18"/>
              </w:rPr>
            </w:pPr>
            <w:r>
              <w:rPr>
                <w:b/>
                <w:color w:val="FFFFFF"/>
                <w:w w:val="110"/>
                <w:sz w:val="18"/>
              </w:rPr>
              <w:t>Property Name</w:t>
            </w:r>
          </w:p>
        </w:tc>
        <w:tc>
          <w:tcPr>
            <w:tcW w:w="7456" w:type="dxa"/>
            <w:tcBorders>
              <w:top w:val="single" w:sz="6" w:space="0" w:color="69BD28"/>
              <w:bottom w:val="single" w:sz="6" w:space="0" w:color="69BD28"/>
            </w:tcBorders>
          </w:tcPr>
          <w:p>
            <w:pPr>
              <w:pStyle w:val="TableParagraph"/>
              <w:spacing w:before="5"/>
              <w:jc w:val="left"/>
              <w:rPr>
                <w:sz w:val="18"/>
              </w:rPr>
            </w:pPr>
          </w:p>
          <w:p>
            <w:pPr>
              <w:pStyle w:val="TableParagraph"/>
              <w:ind w:left="1218" w:right="1233"/>
              <w:rPr>
                <w:sz w:val="18"/>
              </w:rPr>
            </w:pPr>
            <w:r>
              <w:rPr>
                <w:sz w:val="18"/>
              </w:rPr>
              <w:t>Embassy Galaxy</w:t>
            </w:r>
          </w:p>
        </w:tc>
      </w:tr>
      <w:tr>
        <w:trPr>
          <w:trHeight w:val="563" w:hRule="atLeast"/>
        </w:trPr>
        <w:tc>
          <w:tcPr>
            <w:tcW w:w="3030" w:type="dxa"/>
            <w:shd w:val="clear" w:color="auto" w:fill="69BD28"/>
          </w:tcPr>
          <w:p>
            <w:pPr>
              <w:pStyle w:val="TableParagraph"/>
              <w:spacing w:before="176"/>
              <w:ind w:left="798" w:right="798"/>
              <w:rPr>
                <w:b/>
                <w:sz w:val="18"/>
              </w:rPr>
            </w:pPr>
            <w:r>
              <w:rPr>
                <w:b/>
                <w:color w:val="FFFFFF"/>
                <w:w w:val="110"/>
                <w:sz w:val="18"/>
              </w:rPr>
              <w:t>Address</w:t>
            </w:r>
          </w:p>
        </w:tc>
        <w:tc>
          <w:tcPr>
            <w:tcW w:w="7456" w:type="dxa"/>
            <w:tcBorders>
              <w:top w:val="single" w:sz="6" w:space="0" w:color="69BD28"/>
              <w:bottom w:val="single" w:sz="6" w:space="0" w:color="69BD28"/>
            </w:tcBorders>
          </w:tcPr>
          <w:p>
            <w:pPr>
              <w:pStyle w:val="TableParagraph"/>
              <w:spacing w:before="176"/>
              <w:ind w:left="1218" w:right="1233"/>
              <w:rPr>
                <w:sz w:val="18"/>
              </w:rPr>
            </w:pPr>
            <w:r>
              <w:rPr>
                <w:w w:val="105"/>
                <w:sz w:val="18"/>
              </w:rPr>
              <w:t>A-44 &amp; 45, Sector 62, Noida, Uttar Pradesh, India – 201309</w:t>
            </w:r>
          </w:p>
        </w:tc>
      </w:tr>
      <w:tr>
        <w:trPr>
          <w:trHeight w:val="520" w:hRule="atLeast"/>
        </w:trPr>
        <w:tc>
          <w:tcPr>
            <w:tcW w:w="3030" w:type="dxa"/>
            <w:shd w:val="clear" w:color="auto" w:fill="69BD28"/>
          </w:tcPr>
          <w:p>
            <w:pPr>
              <w:pStyle w:val="TableParagraph"/>
              <w:spacing w:before="157"/>
              <w:ind w:left="798" w:right="798"/>
              <w:rPr>
                <w:b/>
                <w:sz w:val="18"/>
              </w:rPr>
            </w:pPr>
            <w:r>
              <w:rPr>
                <w:b/>
                <w:color w:val="FFFFFF"/>
                <w:w w:val="110"/>
                <w:sz w:val="18"/>
              </w:rPr>
              <w:t>Land Area</w:t>
            </w:r>
          </w:p>
        </w:tc>
        <w:tc>
          <w:tcPr>
            <w:tcW w:w="7456" w:type="dxa"/>
            <w:tcBorders>
              <w:top w:val="single" w:sz="6" w:space="0" w:color="69BD28"/>
              <w:bottom w:val="single" w:sz="6" w:space="0" w:color="69BD28"/>
            </w:tcBorders>
          </w:tcPr>
          <w:p>
            <w:pPr>
              <w:pStyle w:val="TableParagraph"/>
              <w:spacing w:before="157"/>
              <w:ind w:left="2753"/>
              <w:jc w:val="left"/>
              <w:rPr>
                <w:sz w:val="18"/>
              </w:rPr>
            </w:pPr>
            <w:r>
              <w:rPr>
                <w:w w:val="105"/>
                <w:sz w:val="18"/>
              </w:rPr>
              <w:t>9.88 acres/ 40,000 sqm</w:t>
            </w:r>
          </w:p>
        </w:tc>
      </w:tr>
      <w:tr>
        <w:trPr>
          <w:trHeight w:val="611" w:hRule="atLeast"/>
        </w:trPr>
        <w:tc>
          <w:tcPr>
            <w:tcW w:w="3030" w:type="dxa"/>
            <w:shd w:val="clear" w:color="auto" w:fill="69BD28"/>
          </w:tcPr>
          <w:p>
            <w:pPr>
              <w:pStyle w:val="TableParagraph"/>
              <w:spacing w:before="2"/>
              <w:jc w:val="left"/>
              <w:rPr>
                <w:sz w:val="17"/>
              </w:rPr>
            </w:pPr>
          </w:p>
          <w:p>
            <w:pPr>
              <w:pStyle w:val="TableParagraph"/>
              <w:spacing w:before="1"/>
              <w:ind w:left="798" w:right="798"/>
              <w:rPr>
                <w:b/>
                <w:sz w:val="18"/>
              </w:rPr>
            </w:pPr>
            <w:r>
              <w:rPr>
                <w:b/>
                <w:color w:val="FFFFFF"/>
                <w:w w:val="110"/>
                <w:sz w:val="18"/>
              </w:rPr>
              <w:t>Leasable Area</w:t>
            </w:r>
          </w:p>
        </w:tc>
        <w:tc>
          <w:tcPr>
            <w:tcW w:w="7456" w:type="dxa"/>
            <w:tcBorders>
              <w:top w:val="single" w:sz="6" w:space="0" w:color="69BD28"/>
              <w:bottom w:val="single" w:sz="6" w:space="0" w:color="69BD28"/>
            </w:tcBorders>
          </w:tcPr>
          <w:p>
            <w:pPr>
              <w:pStyle w:val="TableParagraph"/>
              <w:spacing w:before="2"/>
              <w:jc w:val="left"/>
              <w:rPr>
                <w:sz w:val="17"/>
              </w:rPr>
            </w:pPr>
          </w:p>
          <w:p>
            <w:pPr>
              <w:pStyle w:val="TableParagraph"/>
              <w:spacing w:before="1"/>
              <w:ind w:left="1218" w:right="1228"/>
              <w:rPr>
                <w:sz w:val="18"/>
              </w:rPr>
            </w:pPr>
            <w:r>
              <w:rPr>
                <w:w w:val="105"/>
                <w:sz w:val="18"/>
              </w:rPr>
              <w:t>Completed Bocks – 1.36 msf</w:t>
            </w:r>
          </w:p>
        </w:tc>
      </w:tr>
    </w:tbl>
    <w:p>
      <w:pPr>
        <w:spacing w:before="47"/>
        <w:ind w:left="140" w:right="0" w:firstLine="0"/>
        <w:jc w:val="left"/>
        <w:rPr>
          <w:i/>
          <w:sz w:val="18"/>
        </w:rPr>
      </w:pPr>
      <w:bookmarkStart w:name="_bookmark270" w:id="527"/>
      <w:bookmarkEnd w:id="527"/>
      <w:r>
        <w:rPr/>
      </w:r>
      <w:r>
        <w:rPr>
          <w:i/>
          <w:sz w:val="18"/>
        </w:rPr>
        <w:t>Source: Lease Deed (dated March 27, 2006), Title Report, Architect Certificate</w:t>
      </w:r>
    </w:p>
    <w:p>
      <w:pPr>
        <w:pStyle w:val="BodyText"/>
        <w:spacing w:before="10"/>
        <w:rPr>
          <w:i/>
          <w:sz w:val="20"/>
        </w:rPr>
      </w:pPr>
    </w:p>
    <w:p>
      <w:pPr>
        <w:pStyle w:val="ListParagraph"/>
        <w:numPr>
          <w:ilvl w:val="2"/>
          <w:numId w:val="14"/>
        </w:numPr>
        <w:tabs>
          <w:tab w:pos="861" w:val="left" w:leader="none"/>
        </w:tabs>
        <w:spacing w:line="240" w:lineRule="auto" w:before="0" w:after="0"/>
        <w:ind w:left="860" w:right="0" w:hanging="721"/>
        <w:jc w:val="left"/>
        <w:rPr>
          <w:sz w:val="22"/>
        </w:rPr>
      </w:pPr>
      <w:r>
        <w:rPr>
          <w:color w:val="1F664D"/>
          <w:sz w:val="22"/>
        </w:rPr>
        <w:t>Site Details</w:t>
      </w:r>
    </w:p>
    <w:p>
      <w:pPr>
        <w:pStyle w:val="BodyText"/>
        <w:spacing w:before="3"/>
        <w:rPr>
          <w:sz w:val="28"/>
        </w:rPr>
      </w:pPr>
    </w:p>
    <w:p>
      <w:pPr>
        <w:pStyle w:val="BodyText"/>
        <w:tabs>
          <w:tab w:pos="2682" w:val="left" w:leader="none"/>
        </w:tabs>
        <w:spacing w:line="319" w:lineRule="auto"/>
        <w:ind w:left="2682" w:right="222" w:hanging="1878"/>
        <w:jc w:val="both"/>
      </w:pPr>
      <w:r>
        <w:rPr/>
        <w:t>Situation:</w:t>
        <w:tab/>
        <w:t>Subject</w:t>
      </w:r>
      <w:r>
        <w:rPr>
          <w:spacing w:val="-35"/>
        </w:rPr>
        <w:t> </w:t>
      </w:r>
      <w:r>
        <w:rPr/>
        <w:t>property</w:t>
      </w:r>
      <w:r>
        <w:rPr>
          <w:spacing w:val="-33"/>
        </w:rPr>
        <w:t> </w:t>
      </w:r>
      <w:r>
        <w:rPr>
          <w:w w:val="105"/>
        </w:rPr>
        <w:t>–</w:t>
      </w:r>
      <w:r>
        <w:rPr>
          <w:spacing w:val="-37"/>
          <w:w w:val="105"/>
        </w:rPr>
        <w:t> </w:t>
      </w:r>
      <w:r>
        <w:rPr/>
        <w:t>‘Embassy</w:t>
      </w:r>
      <w:r>
        <w:rPr>
          <w:spacing w:val="-34"/>
        </w:rPr>
        <w:t> </w:t>
      </w:r>
      <w:r>
        <w:rPr/>
        <w:t>Galaxy’</w:t>
      </w:r>
      <w:r>
        <w:rPr>
          <w:spacing w:val="-35"/>
        </w:rPr>
        <w:t> </w:t>
      </w:r>
      <w:r>
        <w:rPr/>
        <w:t>is</w:t>
      </w:r>
      <w:r>
        <w:rPr>
          <w:spacing w:val="-33"/>
        </w:rPr>
        <w:t> </w:t>
      </w:r>
      <w:r>
        <w:rPr/>
        <w:t>an</w:t>
      </w:r>
      <w:r>
        <w:rPr>
          <w:spacing w:val="-35"/>
        </w:rPr>
        <w:t> </w:t>
      </w:r>
      <w:r>
        <w:rPr/>
        <w:t>operational</w:t>
      </w:r>
      <w:r>
        <w:rPr>
          <w:spacing w:val="-34"/>
        </w:rPr>
        <w:t> </w:t>
      </w:r>
      <w:r>
        <w:rPr/>
        <w:t>office</w:t>
      </w:r>
      <w:r>
        <w:rPr>
          <w:spacing w:val="-34"/>
        </w:rPr>
        <w:t> </w:t>
      </w:r>
      <w:r>
        <w:rPr/>
        <w:t>park</w:t>
      </w:r>
      <w:r>
        <w:rPr>
          <w:spacing w:val="-35"/>
        </w:rPr>
        <w:t> </w:t>
      </w:r>
      <w:r>
        <w:rPr/>
        <w:t>located</w:t>
      </w:r>
      <w:r>
        <w:rPr>
          <w:spacing w:val="-33"/>
        </w:rPr>
        <w:t> </w:t>
      </w:r>
      <w:r>
        <w:rPr/>
        <w:t>at</w:t>
      </w:r>
      <w:r>
        <w:rPr>
          <w:spacing w:val="-35"/>
        </w:rPr>
        <w:t> </w:t>
      </w:r>
      <w:r>
        <w:rPr/>
        <w:t>Sector 62, Noida, Uttar</w:t>
      </w:r>
      <w:r>
        <w:rPr>
          <w:spacing w:val="-9"/>
        </w:rPr>
        <w:t> </w:t>
      </w:r>
      <w:r>
        <w:rPr/>
        <w:t>Pradesh.</w:t>
      </w:r>
    </w:p>
    <w:p>
      <w:pPr>
        <w:pStyle w:val="BodyText"/>
        <w:spacing w:before="8"/>
        <w:rPr>
          <w:sz w:val="27"/>
        </w:rPr>
      </w:pPr>
    </w:p>
    <w:p>
      <w:pPr>
        <w:pStyle w:val="BodyText"/>
        <w:tabs>
          <w:tab w:pos="2682" w:val="left" w:leader="none"/>
        </w:tabs>
        <w:spacing w:line="321" w:lineRule="auto"/>
        <w:ind w:left="2682" w:right="219" w:hanging="1878"/>
        <w:jc w:val="both"/>
      </w:pPr>
      <w:r>
        <w:rPr/>
        <w:t>Location:</w:t>
        <w:tab/>
        <w:t>The subject property is located in Sector </w:t>
      </w:r>
      <w:r>
        <w:rPr>
          <w:w w:val="105"/>
        </w:rPr>
        <w:t>– </w:t>
      </w:r>
      <w:r>
        <w:rPr/>
        <w:t>62, Noida which is an established commercial vector situated towards the northern periphery of the city and is a preferred</w:t>
      </w:r>
      <w:r>
        <w:rPr>
          <w:spacing w:val="-26"/>
        </w:rPr>
        <w:t> </w:t>
      </w:r>
      <w:r>
        <w:rPr/>
        <w:t>office</w:t>
      </w:r>
      <w:r>
        <w:rPr>
          <w:spacing w:val="-27"/>
        </w:rPr>
        <w:t> </w:t>
      </w:r>
      <w:r>
        <w:rPr/>
        <w:t>destination</w:t>
      </w:r>
      <w:r>
        <w:rPr>
          <w:spacing w:val="-27"/>
        </w:rPr>
        <w:t> </w:t>
      </w:r>
      <w:r>
        <w:rPr/>
        <w:t>in</w:t>
      </w:r>
      <w:r>
        <w:rPr>
          <w:spacing w:val="-27"/>
        </w:rPr>
        <w:t> </w:t>
      </w:r>
      <w:r>
        <w:rPr/>
        <w:t>Noida.</w:t>
      </w:r>
      <w:r>
        <w:rPr>
          <w:spacing w:val="-27"/>
        </w:rPr>
        <w:t> </w:t>
      </w:r>
      <w:r>
        <w:rPr/>
        <w:t>The</w:t>
      </w:r>
      <w:r>
        <w:rPr>
          <w:spacing w:val="-27"/>
        </w:rPr>
        <w:t> </w:t>
      </w:r>
      <w:r>
        <w:rPr/>
        <w:t>property</w:t>
      </w:r>
      <w:r>
        <w:rPr>
          <w:spacing w:val="-25"/>
        </w:rPr>
        <w:t> </w:t>
      </w:r>
      <w:r>
        <w:rPr/>
        <w:t>is</w:t>
      </w:r>
      <w:r>
        <w:rPr>
          <w:spacing w:val="-26"/>
        </w:rPr>
        <w:t> </w:t>
      </w:r>
      <w:r>
        <w:rPr/>
        <w:t>accessible</w:t>
      </w:r>
      <w:r>
        <w:rPr>
          <w:spacing w:val="-27"/>
        </w:rPr>
        <w:t> </w:t>
      </w:r>
      <w:r>
        <w:rPr/>
        <w:t>via</w:t>
      </w:r>
      <w:r>
        <w:rPr>
          <w:spacing w:val="-27"/>
        </w:rPr>
        <w:t> </w:t>
      </w:r>
      <w:r>
        <w:rPr/>
        <w:t>an</w:t>
      </w:r>
      <w:r>
        <w:rPr>
          <w:spacing w:val="-27"/>
        </w:rPr>
        <w:t> </w:t>
      </w:r>
      <w:r>
        <w:rPr/>
        <w:t>approx.</w:t>
      </w:r>
      <w:r>
        <w:rPr>
          <w:spacing w:val="-26"/>
        </w:rPr>
        <w:t> </w:t>
      </w:r>
      <w:r>
        <w:rPr/>
        <w:t>45 m</w:t>
      </w:r>
      <w:r>
        <w:rPr>
          <w:spacing w:val="-35"/>
        </w:rPr>
        <w:t> </w:t>
      </w:r>
      <w:r>
        <w:rPr/>
        <w:t>wide</w:t>
      </w:r>
      <w:r>
        <w:rPr>
          <w:spacing w:val="-34"/>
        </w:rPr>
        <w:t> </w:t>
      </w:r>
      <w:r>
        <w:rPr/>
        <w:t>internal</w:t>
      </w:r>
      <w:r>
        <w:rPr>
          <w:spacing w:val="-34"/>
        </w:rPr>
        <w:t> </w:t>
      </w:r>
      <w:r>
        <w:rPr/>
        <w:t>sector</w:t>
      </w:r>
      <w:r>
        <w:rPr>
          <w:spacing w:val="-35"/>
        </w:rPr>
        <w:t> </w:t>
      </w:r>
      <w:r>
        <w:rPr/>
        <w:t>road</w:t>
      </w:r>
      <w:r>
        <w:rPr>
          <w:spacing w:val="-33"/>
        </w:rPr>
        <w:t> </w:t>
      </w:r>
      <w:r>
        <w:rPr/>
        <w:t>of</w:t>
      </w:r>
      <w:r>
        <w:rPr>
          <w:spacing w:val="-34"/>
        </w:rPr>
        <w:t> </w:t>
      </w:r>
      <w:r>
        <w:rPr/>
        <w:t>Sector</w:t>
      </w:r>
      <w:r>
        <w:rPr>
          <w:spacing w:val="-34"/>
        </w:rPr>
        <w:t> </w:t>
      </w:r>
      <w:r>
        <w:rPr/>
        <w:t>62.</w:t>
      </w:r>
      <w:r>
        <w:rPr>
          <w:spacing w:val="-35"/>
        </w:rPr>
        <w:t> </w:t>
      </w:r>
      <w:r>
        <w:rPr/>
        <w:t>The</w:t>
      </w:r>
      <w:r>
        <w:rPr>
          <w:spacing w:val="-35"/>
        </w:rPr>
        <w:t> </w:t>
      </w:r>
      <w:r>
        <w:rPr/>
        <w:t>subject</w:t>
      </w:r>
      <w:r>
        <w:rPr>
          <w:spacing w:val="-33"/>
        </w:rPr>
        <w:t> </w:t>
      </w:r>
      <w:r>
        <w:rPr/>
        <w:t>property</w:t>
      </w:r>
      <w:r>
        <w:rPr>
          <w:spacing w:val="-34"/>
        </w:rPr>
        <w:t> </w:t>
      </w:r>
      <w:r>
        <w:rPr/>
        <w:t>is</w:t>
      </w:r>
      <w:r>
        <w:rPr>
          <w:spacing w:val="-33"/>
        </w:rPr>
        <w:t> </w:t>
      </w:r>
      <w:r>
        <w:rPr/>
        <w:t>well</w:t>
      </w:r>
      <w:r>
        <w:rPr>
          <w:spacing w:val="-35"/>
        </w:rPr>
        <w:t> </w:t>
      </w:r>
      <w:r>
        <w:rPr/>
        <w:t>connected</w:t>
      </w:r>
      <w:r>
        <w:rPr>
          <w:spacing w:val="-33"/>
        </w:rPr>
        <w:t> </w:t>
      </w:r>
      <w:r>
        <w:rPr/>
        <w:t>to other</w:t>
      </w:r>
      <w:r>
        <w:rPr>
          <w:spacing w:val="-11"/>
        </w:rPr>
        <w:t> </w:t>
      </w:r>
      <w:r>
        <w:rPr/>
        <w:t>parts</w:t>
      </w:r>
      <w:r>
        <w:rPr>
          <w:spacing w:val="-10"/>
        </w:rPr>
        <w:t> </w:t>
      </w:r>
      <w:r>
        <w:rPr/>
        <w:t>of</w:t>
      </w:r>
      <w:r>
        <w:rPr>
          <w:spacing w:val="-10"/>
        </w:rPr>
        <w:t> </w:t>
      </w:r>
      <w:r>
        <w:rPr/>
        <w:t>Noida</w:t>
      </w:r>
      <w:r>
        <w:rPr>
          <w:spacing w:val="-11"/>
        </w:rPr>
        <w:t> </w:t>
      </w:r>
      <w:r>
        <w:rPr/>
        <w:t>and</w:t>
      </w:r>
      <w:r>
        <w:rPr>
          <w:spacing w:val="-11"/>
        </w:rPr>
        <w:t> </w:t>
      </w:r>
      <w:r>
        <w:rPr/>
        <w:t>Delhi</w:t>
      </w:r>
      <w:r>
        <w:rPr>
          <w:spacing w:val="-11"/>
        </w:rPr>
        <w:t> </w:t>
      </w:r>
      <w:r>
        <w:rPr/>
        <w:t>owing</w:t>
      </w:r>
      <w:r>
        <w:rPr>
          <w:spacing w:val="-10"/>
        </w:rPr>
        <w:t> </w:t>
      </w:r>
      <w:r>
        <w:rPr/>
        <w:t>to</w:t>
      </w:r>
      <w:r>
        <w:rPr>
          <w:spacing w:val="-11"/>
        </w:rPr>
        <w:t> </w:t>
      </w:r>
      <w:r>
        <w:rPr/>
        <w:t>its</w:t>
      </w:r>
      <w:r>
        <w:rPr>
          <w:spacing w:val="-10"/>
        </w:rPr>
        <w:t> </w:t>
      </w:r>
      <w:r>
        <w:rPr/>
        <w:t>strategic</w:t>
      </w:r>
      <w:r>
        <w:rPr>
          <w:spacing w:val="-12"/>
        </w:rPr>
        <w:t> </w:t>
      </w:r>
      <w:r>
        <w:rPr/>
        <w:t>location</w:t>
      </w:r>
      <w:r>
        <w:rPr>
          <w:spacing w:val="-10"/>
        </w:rPr>
        <w:t> </w:t>
      </w:r>
      <w:r>
        <w:rPr/>
        <w:t>i.e.</w:t>
      </w:r>
      <w:r>
        <w:rPr>
          <w:spacing w:val="-10"/>
        </w:rPr>
        <w:t> </w:t>
      </w:r>
      <w:r>
        <w:rPr/>
        <w:t>it</w:t>
      </w:r>
      <w:r>
        <w:rPr>
          <w:spacing w:val="-10"/>
        </w:rPr>
        <w:t> </w:t>
      </w:r>
      <w:r>
        <w:rPr/>
        <w:t>is</w:t>
      </w:r>
      <w:r>
        <w:rPr>
          <w:spacing w:val="-10"/>
        </w:rPr>
        <w:t> </w:t>
      </w:r>
      <w:r>
        <w:rPr/>
        <w:t>situated</w:t>
      </w:r>
      <w:r>
        <w:rPr>
          <w:spacing w:val="-10"/>
        </w:rPr>
        <w:t> </w:t>
      </w:r>
      <w:r>
        <w:rPr/>
        <w:t>in close</w:t>
      </w:r>
      <w:r>
        <w:rPr>
          <w:spacing w:val="-25"/>
        </w:rPr>
        <w:t> </w:t>
      </w:r>
      <w:r>
        <w:rPr/>
        <w:t>proximity</w:t>
      </w:r>
      <w:r>
        <w:rPr>
          <w:spacing w:val="-23"/>
        </w:rPr>
        <w:t> </w:t>
      </w:r>
      <w:r>
        <w:rPr/>
        <w:t>to</w:t>
      </w:r>
      <w:r>
        <w:rPr>
          <w:spacing w:val="-26"/>
        </w:rPr>
        <w:t> </w:t>
      </w:r>
      <w:r>
        <w:rPr/>
        <w:t>National</w:t>
      </w:r>
      <w:r>
        <w:rPr>
          <w:spacing w:val="-25"/>
        </w:rPr>
        <w:t> </w:t>
      </w:r>
      <w:r>
        <w:rPr/>
        <w:t>Highway</w:t>
      </w:r>
      <w:r>
        <w:rPr>
          <w:spacing w:val="-25"/>
        </w:rPr>
        <w:t> </w:t>
      </w:r>
      <w:r>
        <w:rPr/>
        <w:t>(NH)</w:t>
      </w:r>
      <w:r>
        <w:rPr>
          <w:spacing w:val="-22"/>
        </w:rPr>
        <w:t> </w:t>
      </w:r>
      <w:r>
        <w:rPr>
          <w:w w:val="105"/>
        </w:rPr>
        <w:t>–</w:t>
      </w:r>
      <w:r>
        <w:rPr>
          <w:spacing w:val="-27"/>
          <w:w w:val="105"/>
        </w:rPr>
        <w:t> </w:t>
      </w:r>
      <w:r>
        <w:rPr/>
        <w:t>24/</w:t>
      </w:r>
      <w:r>
        <w:rPr>
          <w:spacing w:val="-27"/>
        </w:rPr>
        <w:t> </w:t>
      </w:r>
      <w:r>
        <w:rPr/>
        <w:t>Delhi-Meerut</w:t>
      </w:r>
      <w:r>
        <w:rPr>
          <w:spacing w:val="-24"/>
        </w:rPr>
        <w:t> </w:t>
      </w:r>
      <w:r>
        <w:rPr/>
        <w:t>Expressway</w:t>
      </w:r>
      <w:r>
        <w:rPr>
          <w:spacing w:val="-25"/>
        </w:rPr>
        <w:t> </w:t>
      </w:r>
      <w:r>
        <w:rPr/>
        <w:t>(located at</w:t>
      </w:r>
      <w:r>
        <w:rPr>
          <w:spacing w:val="-6"/>
        </w:rPr>
        <w:t> </w:t>
      </w:r>
      <w:r>
        <w:rPr/>
        <w:t>a</w:t>
      </w:r>
      <w:r>
        <w:rPr>
          <w:spacing w:val="-7"/>
        </w:rPr>
        <w:t> </w:t>
      </w:r>
      <w:r>
        <w:rPr/>
        <w:t>distance</w:t>
      </w:r>
      <w:r>
        <w:rPr>
          <w:spacing w:val="-6"/>
        </w:rPr>
        <w:t> </w:t>
      </w:r>
      <w:r>
        <w:rPr/>
        <w:t>of</w:t>
      </w:r>
      <w:r>
        <w:rPr>
          <w:spacing w:val="-5"/>
        </w:rPr>
        <w:t> </w:t>
      </w:r>
      <w:r>
        <w:rPr/>
        <w:t>approx.</w:t>
      </w:r>
      <w:r>
        <w:rPr>
          <w:spacing w:val="-8"/>
        </w:rPr>
        <w:t> </w:t>
      </w:r>
      <w:r>
        <w:rPr/>
        <w:t>1</w:t>
      </w:r>
      <w:r>
        <w:rPr>
          <w:spacing w:val="-6"/>
        </w:rPr>
        <w:t> </w:t>
      </w:r>
      <w:r>
        <w:rPr/>
        <w:t>km</w:t>
      </w:r>
      <w:r>
        <w:rPr>
          <w:spacing w:val="-6"/>
        </w:rPr>
        <w:t> </w:t>
      </w:r>
      <w:r>
        <w:rPr/>
        <w:t>and</w:t>
      </w:r>
      <w:r>
        <w:rPr>
          <w:spacing w:val="-8"/>
        </w:rPr>
        <w:t> </w:t>
      </w:r>
      <w:r>
        <w:rPr/>
        <w:t>provides</w:t>
      </w:r>
      <w:r>
        <w:rPr>
          <w:spacing w:val="-6"/>
        </w:rPr>
        <w:t> </w:t>
      </w:r>
      <w:r>
        <w:rPr/>
        <w:t>direct</w:t>
      </w:r>
      <w:r>
        <w:rPr>
          <w:spacing w:val="-6"/>
        </w:rPr>
        <w:t> </w:t>
      </w:r>
      <w:r>
        <w:rPr/>
        <w:t>connectivity</w:t>
      </w:r>
      <w:r>
        <w:rPr>
          <w:spacing w:val="-5"/>
        </w:rPr>
        <w:t> </w:t>
      </w:r>
      <w:r>
        <w:rPr/>
        <w:t>with</w:t>
      </w:r>
      <w:r>
        <w:rPr>
          <w:spacing w:val="-8"/>
        </w:rPr>
        <w:t> </w:t>
      </w:r>
      <w:r>
        <w:rPr/>
        <w:t>Eastern</w:t>
      </w:r>
      <w:r>
        <w:rPr>
          <w:spacing w:val="-7"/>
        </w:rPr>
        <w:t> </w:t>
      </w:r>
      <w:r>
        <w:rPr/>
        <w:t>and Central Delhi), which makes it easily accessible from other regions of NCR (National Capital</w:t>
      </w:r>
      <w:r>
        <w:rPr>
          <w:spacing w:val="-8"/>
        </w:rPr>
        <w:t> </w:t>
      </w:r>
      <w:r>
        <w:rPr/>
        <w:t>Region).</w:t>
      </w:r>
    </w:p>
    <w:p>
      <w:pPr>
        <w:pStyle w:val="BodyText"/>
        <w:spacing w:line="321" w:lineRule="auto" w:before="124"/>
        <w:ind w:left="2682" w:right="220"/>
        <w:jc w:val="both"/>
      </w:pPr>
      <w:r>
        <w:rPr>
          <w:w w:val="95"/>
        </w:rPr>
        <w:t>As</w:t>
      </w:r>
      <w:r>
        <w:rPr>
          <w:spacing w:val="-19"/>
          <w:w w:val="95"/>
        </w:rPr>
        <w:t> </w:t>
      </w:r>
      <w:r>
        <w:rPr>
          <w:w w:val="95"/>
        </w:rPr>
        <w:t>mentioned</w:t>
      </w:r>
      <w:r>
        <w:rPr>
          <w:spacing w:val="-16"/>
          <w:w w:val="95"/>
        </w:rPr>
        <w:t> </w:t>
      </w:r>
      <w:r>
        <w:rPr>
          <w:w w:val="95"/>
        </w:rPr>
        <w:t>earlier,</w:t>
      </w:r>
      <w:r>
        <w:rPr>
          <w:spacing w:val="-17"/>
          <w:w w:val="95"/>
        </w:rPr>
        <w:t> </w:t>
      </w:r>
      <w:r>
        <w:rPr>
          <w:w w:val="95"/>
        </w:rPr>
        <w:t>the</w:t>
      </w:r>
      <w:r>
        <w:rPr>
          <w:spacing w:val="-20"/>
          <w:w w:val="95"/>
        </w:rPr>
        <w:t> </w:t>
      </w:r>
      <w:r>
        <w:rPr>
          <w:w w:val="95"/>
        </w:rPr>
        <w:t>subject</w:t>
      </w:r>
      <w:r>
        <w:rPr>
          <w:spacing w:val="-17"/>
          <w:w w:val="95"/>
        </w:rPr>
        <w:t> </w:t>
      </w:r>
      <w:r>
        <w:rPr>
          <w:w w:val="95"/>
        </w:rPr>
        <w:t>vector,</w:t>
      </w:r>
      <w:r>
        <w:rPr>
          <w:spacing w:val="-17"/>
          <w:w w:val="95"/>
        </w:rPr>
        <w:t> </w:t>
      </w:r>
      <w:r>
        <w:rPr>
          <w:w w:val="95"/>
        </w:rPr>
        <w:t>i.e.</w:t>
      </w:r>
      <w:r>
        <w:rPr>
          <w:spacing w:val="-17"/>
          <w:w w:val="95"/>
        </w:rPr>
        <w:t> </w:t>
      </w:r>
      <w:r>
        <w:rPr>
          <w:w w:val="95"/>
        </w:rPr>
        <w:t>Sector</w:t>
      </w:r>
      <w:r>
        <w:rPr>
          <w:spacing w:val="-20"/>
          <w:w w:val="95"/>
        </w:rPr>
        <w:t> </w:t>
      </w:r>
      <w:r>
        <w:rPr>
          <w:w w:val="95"/>
        </w:rPr>
        <w:t>62</w:t>
      </w:r>
      <w:r>
        <w:rPr>
          <w:spacing w:val="-18"/>
          <w:w w:val="95"/>
        </w:rPr>
        <w:t> </w:t>
      </w:r>
      <w:r>
        <w:rPr>
          <w:w w:val="95"/>
        </w:rPr>
        <w:t>is</w:t>
      </w:r>
      <w:r>
        <w:rPr>
          <w:spacing w:val="-16"/>
          <w:w w:val="95"/>
        </w:rPr>
        <w:t> </w:t>
      </w:r>
      <w:r>
        <w:rPr>
          <w:w w:val="95"/>
        </w:rPr>
        <w:t>an</w:t>
      </w:r>
      <w:r>
        <w:rPr>
          <w:spacing w:val="-17"/>
          <w:w w:val="95"/>
        </w:rPr>
        <w:t> </w:t>
      </w:r>
      <w:r>
        <w:rPr>
          <w:w w:val="95"/>
        </w:rPr>
        <w:t>established</w:t>
      </w:r>
      <w:r>
        <w:rPr>
          <w:spacing w:val="-17"/>
          <w:w w:val="95"/>
        </w:rPr>
        <w:t> </w:t>
      </w:r>
      <w:r>
        <w:rPr>
          <w:w w:val="95"/>
        </w:rPr>
        <w:t>commercial </w:t>
      </w:r>
      <w:r>
        <w:rPr/>
        <w:t>vector</w:t>
      </w:r>
      <w:r>
        <w:rPr>
          <w:spacing w:val="-38"/>
        </w:rPr>
        <w:t> </w:t>
      </w:r>
      <w:r>
        <w:rPr/>
        <w:t>of</w:t>
      </w:r>
      <w:r>
        <w:rPr>
          <w:spacing w:val="-36"/>
        </w:rPr>
        <w:t> </w:t>
      </w:r>
      <w:r>
        <w:rPr/>
        <w:t>Noida.</w:t>
      </w:r>
      <w:r>
        <w:rPr>
          <w:spacing w:val="-37"/>
        </w:rPr>
        <w:t> </w:t>
      </w:r>
      <w:r>
        <w:rPr/>
        <w:t>The</w:t>
      </w:r>
      <w:r>
        <w:rPr>
          <w:spacing w:val="-38"/>
        </w:rPr>
        <w:t> </w:t>
      </w:r>
      <w:r>
        <w:rPr/>
        <w:t>said</w:t>
      </w:r>
      <w:r>
        <w:rPr>
          <w:spacing w:val="-38"/>
        </w:rPr>
        <w:t> </w:t>
      </w:r>
      <w:r>
        <w:rPr/>
        <w:t>vector</w:t>
      </w:r>
      <w:r>
        <w:rPr>
          <w:spacing w:val="-37"/>
        </w:rPr>
        <w:t> </w:t>
      </w:r>
      <w:r>
        <w:rPr/>
        <w:t>has</w:t>
      </w:r>
      <w:r>
        <w:rPr>
          <w:spacing w:val="-36"/>
        </w:rPr>
        <w:t> </w:t>
      </w:r>
      <w:r>
        <w:rPr/>
        <w:t>been</w:t>
      </w:r>
      <w:r>
        <w:rPr>
          <w:spacing w:val="-37"/>
        </w:rPr>
        <w:t> </w:t>
      </w:r>
      <w:r>
        <w:rPr/>
        <w:t>earmarked</w:t>
      </w:r>
      <w:r>
        <w:rPr>
          <w:spacing w:val="-36"/>
        </w:rPr>
        <w:t> </w:t>
      </w:r>
      <w:r>
        <w:rPr/>
        <w:t>for</w:t>
      </w:r>
      <w:r>
        <w:rPr>
          <w:spacing w:val="-37"/>
        </w:rPr>
        <w:t> </w:t>
      </w:r>
      <w:r>
        <w:rPr/>
        <w:t>institutional</w:t>
      </w:r>
      <w:r>
        <w:rPr>
          <w:spacing w:val="-38"/>
        </w:rPr>
        <w:t> </w:t>
      </w:r>
      <w:r>
        <w:rPr/>
        <w:t>development (which</w:t>
      </w:r>
      <w:r>
        <w:rPr>
          <w:spacing w:val="-29"/>
        </w:rPr>
        <w:t> </w:t>
      </w:r>
      <w:r>
        <w:rPr/>
        <w:t>permits</w:t>
      </w:r>
      <w:r>
        <w:rPr>
          <w:spacing w:val="-27"/>
        </w:rPr>
        <w:t> </w:t>
      </w:r>
      <w:r>
        <w:rPr/>
        <w:t>IT/ITeS</w:t>
      </w:r>
      <w:r>
        <w:rPr>
          <w:spacing w:val="-28"/>
        </w:rPr>
        <w:t> </w:t>
      </w:r>
      <w:r>
        <w:rPr/>
        <w:t>usage)</w:t>
      </w:r>
      <w:r>
        <w:rPr>
          <w:spacing w:val="-29"/>
        </w:rPr>
        <w:t> </w:t>
      </w:r>
      <w:r>
        <w:rPr/>
        <w:t>by</w:t>
      </w:r>
      <w:r>
        <w:rPr>
          <w:spacing w:val="-27"/>
        </w:rPr>
        <w:t> </w:t>
      </w:r>
      <w:r>
        <w:rPr/>
        <w:t>Noida</w:t>
      </w:r>
      <w:r>
        <w:rPr>
          <w:spacing w:val="-28"/>
        </w:rPr>
        <w:t> </w:t>
      </w:r>
      <w:r>
        <w:rPr/>
        <w:t>Authority</w:t>
      </w:r>
      <w:r>
        <w:rPr>
          <w:spacing w:val="-29"/>
        </w:rPr>
        <w:t> </w:t>
      </w:r>
      <w:r>
        <w:rPr/>
        <w:t>and</w:t>
      </w:r>
      <w:r>
        <w:rPr>
          <w:spacing w:val="-28"/>
        </w:rPr>
        <w:t> </w:t>
      </w:r>
      <w:r>
        <w:rPr/>
        <w:t>the</w:t>
      </w:r>
      <w:r>
        <w:rPr>
          <w:spacing w:val="-28"/>
        </w:rPr>
        <w:t> </w:t>
      </w:r>
      <w:r>
        <w:rPr/>
        <w:t>same</w:t>
      </w:r>
      <w:r>
        <w:rPr>
          <w:spacing w:val="-29"/>
        </w:rPr>
        <w:t> </w:t>
      </w:r>
      <w:r>
        <w:rPr/>
        <w:t>has</w:t>
      </w:r>
      <w:r>
        <w:rPr>
          <w:spacing w:val="-27"/>
        </w:rPr>
        <w:t> </w:t>
      </w:r>
      <w:r>
        <w:rPr/>
        <w:t>resulted</w:t>
      </w:r>
      <w:r>
        <w:rPr>
          <w:spacing w:val="-27"/>
        </w:rPr>
        <w:t> </w:t>
      </w:r>
      <w:r>
        <w:rPr/>
        <w:t>in</w:t>
      </w:r>
      <w:r>
        <w:rPr>
          <w:spacing w:val="-29"/>
        </w:rPr>
        <w:t> </w:t>
      </w:r>
      <w:r>
        <w:rPr/>
        <w:t>the emergence</w:t>
      </w:r>
      <w:r>
        <w:rPr>
          <w:spacing w:val="-33"/>
        </w:rPr>
        <w:t> </w:t>
      </w:r>
      <w:r>
        <w:rPr/>
        <w:t>of</w:t>
      </w:r>
      <w:r>
        <w:rPr>
          <w:spacing w:val="-32"/>
        </w:rPr>
        <w:t> </w:t>
      </w:r>
      <w:r>
        <w:rPr/>
        <w:t>the</w:t>
      </w:r>
      <w:r>
        <w:rPr>
          <w:spacing w:val="-32"/>
        </w:rPr>
        <w:t> </w:t>
      </w:r>
      <w:r>
        <w:rPr/>
        <w:t>said</w:t>
      </w:r>
      <w:r>
        <w:rPr>
          <w:spacing w:val="-32"/>
        </w:rPr>
        <w:t> </w:t>
      </w:r>
      <w:r>
        <w:rPr/>
        <w:t>vector</w:t>
      </w:r>
      <w:r>
        <w:rPr>
          <w:spacing w:val="-32"/>
        </w:rPr>
        <w:t> </w:t>
      </w:r>
      <w:r>
        <w:rPr/>
        <w:t>as</w:t>
      </w:r>
      <w:r>
        <w:rPr>
          <w:spacing w:val="-31"/>
        </w:rPr>
        <w:t> </w:t>
      </w:r>
      <w:r>
        <w:rPr/>
        <w:t>an</w:t>
      </w:r>
      <w:r>
        <w:rPr>
          <w:spacing w:val="-32"/>
        </w:rPr>
        <w:t> </w:t>
      </w:r>
      <w:r>
        <w:rPr/>
        <w:t>alternate</w:t>
      </w:r>
      <w:r>
        <w:rPr>
          <w:spacing w:val="-33"/>
        </w:rPr>
        <w:t> </w:t>
      </w:r>
      <w:r>
        <w:rPr/>
        <w:t>business</w:t>
      </w:r>
      <w:r>
        <w:rPr>
          <w:spacing w:val="-33"/>
        </w:rPr>
        <w:t> </w:t>
      </w:r>
      <w:r>
        <w:rPr/>
        <w:t>district</w:t>
      </w:r>
      <w:r>
        <w:rPr>
          <w:spacing w:val="-31"/>
        </w:rPr>
        <w:t> </w:t>
      </w:r>
      <w:r>
        <w:rPr/>
        <w:t>for</w:t>
      </w:r>
      <w:r>
        <w:rPr>
          <w:spacing w:val="-33"/>
        </w:rPr>
        <w:t> </w:t>
      </w:r>
      <w:r>
        <w:rPr/>
        <w:t>the</w:t>
      </w:r>
      <w:r>
        <w:rPr>
          <w:spacing w:val="-32"/>
        </w:rPr>
        <w:t> </w:t>
      </w:r>
      <w:r>
        <w:rPr/>
        <w:t>city</w:t>
      </w:r>
      <w:r>
        <w:rPr>
          <w:spacing w:val="-31"/>
        </w:rPr>
        <w:t> </w:t>
      </w:r>
      <w:r>
        <w:rPr/>
        <w:t>of</w:t>
      </w:r>
      <w:r>
        <w:rPr>
          <w:spacing w:val="-33"/>
        </w:rPr>
        <w:t> </w:t>
      </w:r>
      <w:r>
        <w:rPr/>
        <w:t>Noida. The</w:t>
      </w:r>
      <w:r>
        <w:rPr>
          <w:spacing w:val="-29"/>
        </w:rPr>
        <w:t> </w:t>
      </w:r>
      <w:r>
        <w:rPr/>
        <w:t>subject</w:t>
      </w:r>
      <w:r>
        <w:rPr>
          <w:spacing w:val="-28"/>
        </w:rPr>
        <w:t> </w:t>
      </w:r>
      <w:r>
        <w:rPr/>
        <w:t>region</w:t>
      </w:r>
      <w:r>
        <w:rPr>
          <w:spacing w:val="-28"/>
        </w:rPr>
        <w:t> </w:t>
      </w:r>
      <w:r>
        <w:rPr/>
        <w:t>has</w:t>
      </w:r>
      <w:r>
        <w:rPr>
          <w:spacing w:val="-29"/>
        </w:rPr>
        <w:t> </w:t>
      </w:r>
      <w:r>
        <w:rPr/>
        <w:t>witnessed</w:t>
      </w:r>
      <w:r>
        <w:rPr>
          <w:spacing w:val="-28"/>
        </w:rPr>
        <w:t> </w:t>
      </w:r>
      <w:r>
        <w:rPr/>
        <w:t>significant</w:t>
      </w:r>
      <w:r>
        <w:rPr>
          <w:spacing w:val="-29"/>
        </w:rPr>
        <w:t> </w:t>
      </w:r>
      <w:r>
        <w:rPr/>
        <w:t>development</w:t>
      </w:r>
      <w:r>
        <w:rPr>
          <w:spacing w:val="-28"/>
        </w:rPr>
        <w:t> </w:t>
      </w:r>
      <w:r>
        <w:rPr/>
        <w:t>activity</w:t>
      </w:r>
      <w:r>
        <w:rPr>
          <w:spacing w:val="-27"/>
        </w:rPr>
        <w:t> </w:t>
      </w:r>
      <w:r>
        <w:rPr/>
        <w:t>(across</w:t>
      </w:r>
      <w:r>
        <w:rPr>
          <w:spacing w:val="-29"/>
        </w:rPr>
        <w:t> </w:t>
      </w:r>
      <w:r>
        <w:rPr/>
        <w:t>IT/ITeS office</w:t>
      </w:r>
      <w:r>
        <w:rPr>
          <w:spacing w:val="-44"/>
        </w:rPr>
        <w:t> </w:t>
      </w:r>
      <w:r>
        <w:rPr/>
        <w:t>space)</w:t>
      </w:r>
      <w:r>
        <w:rPr>
          <w:spacing w:val="-43"/>
        </w:rPr>
        <w:t> </w:t>
      </w:r>
      <w:r>
        <w:rPr/>
        <w:t>over</w:t>
      </w:r>
      <w:r>
        <w:rPr>
          <w:spacing w:val="-43"/>
        </w:rPr>
        <w:t> </w:t>
      </w:r>
      <w:r>
        <w:rPr/>
        <w:t>the</w:t>
      </w:r>
      <w:r>
        <w:rPr>
          <w:spacing w:val="-44"/>
        </w:rPr>
        <w:t> </w:t>
      </w:r>
      <w:r>
        <w:rPr/>
        <w:t>past</w:t>
      </w:r>
      <w:r>
        <w:rPr>
          <w:spacing w:val="-43"/>
        </w:rPr>
        <w:t> </w:t>
      </w:r>
      <w:r>
        <w:rPr/>
        <w:t>few</w:t>
      </w:r>
      <w:r>
        <w:rPr>
          <w:spacing w:val="-44"/>
        </w:rPr>
        <w:t> </w:t>
      </w:r>
      <w:r>
        <w:rPr/>
        <w:t>years.</w:t>
      </w:r>
      <w:r>
        <w:rPr>
          <w:spacing w:val="-44"/>
        </w:rPr>
        <w:t> </w:t>
      </w:r>
      <w:r>
        <w:rPr/>
        <w:t>Few</w:t>
      </w:r>
      <w:r>
        <w:rPr>
          <w:spacing w:val="-43"/>
        </w:rPr>
        <w:t> </w:t>
      </w:r>
      <w:r>
        <w:rPr/>
        <w:t>of</w:t>
      </w:r>
      <w:r>
        <w:rPr>
          <w:spacing w:val="-43"/>
        </w:rPr>
        <w:t> </w:t>
      </w:r>
      <w:r>
        <w:rPr/>
        <w:t>the</w:t>
      </w:r>
      <w:r>
        <w:rPr>
          <w:spacing w:val="-43"/>
        </w:rPr>
        <w:t> </w:t>
      </w:r>
      <w:r>
        <w:rPr/>
        <w:t>prominent</w:t>
      </w:r>
      <w:r>
        <w:rPr>
          <w:spacing w:val="-43"/>
        </w:rPr>
        <w:t> </w:t>
      </w:r>
      <w:r>
        <w:rPr/>
        <w:t>investment</w:t>
      </w:r>
      <w:r>
        <w:rPr>
          <w:spacing w:val="-43"/>
        </w:rPr>
        <w:t> </w:t>
      </w:r>
      <w:r>
        <w:rPr/>
        <w:t>grade</w:t>
      </w:r>
      <w:r>
        <w:rPr>
          <w:spacing w:val="-44"/>
        </w:rPr>
        <w:t> </w:t>
      </w:r>
      <w:r>
        <w:rPr/>
        <w:t>office developments</w:t>
      </w:r>
      <w:r>
        <w:rPr>
          <w:spacing w:val="-31"/>
        </w:rPr>
        <w:t> </w:t>
      </w:r>
      <w:r>
        <w:rPr/>
        <w:t>located</w:t>
      </w:r>
      <w:r>
        <w:rPr>
          <w:spacing w:val="-31"/>
        </w:rPr>
        <w:t> </w:t>
      </w:r>
      <w:r>
        <w:rPr/>
        <w:t>in</w:t>
      </w:r>
      <w:r>
        <w:rPr>
          <w:spacing w:val="-33"/>
        </w:rPr>
        <w:t> </w:t>
      </w:r>
      <w:r>
        <w:rPr/>
        <w:t>the</w:t>
      </w:r>
      <w:r>
        <w:rPr>
          <w:spacing w:val="-33"/>
        </w:rPr>
        <w:t> </w:t>
      </w:r>
      <w:r>
        <w:rPr/>
        <w:t>subject</w:t>
      </w:r>
      <w:r>
        <w:rPr>
          <w:spacing w:val="-31"/>
        </w:rPr>
        <w:t> </w:t>
      </w:r>
      <w:r>
        <w:rPr/>
        <w:t>region</w:t>
      </w:r>
      <w:r>
        <w:rPr>
          <w:spacing w:val="-31"/>
        </w:rPr>
        <w:t> </w:t>
      </w:r>
      <w:r>
        <w:rPr/>
        <w:t>include</w:t>
      </w:r>
      <w:r>
        <w:rPr>
          <w:spacing w:val="-32"/>
        </w:rPr>
        <w:t> </w:t>
      </w:r>
      <w:r>
        <w:rPr/>
        <w:t>3C</w:t>
      </w:r>
      <w:r>
        <w:rPr>
          <w:spacing w:val="-31"/>
        </w:rPr>
        <w:t> </w:t>
      </w:r>
      <w:r>
        <w:rPr/>
        <w:t>Green</w:t>
      </w:r>
      <w:r>
        <w:rPr>
          <w:spacing w:val="-32"/>
        </w:rPr>
        <w:t> </w:t>
      </w:r>
      <w:r>
        <w:rPr/>
        <w:t>Boulevard,</w:t>
      </w:r>
      <w:r>
        <w:rPr>
          <w:spacing w:val="-32"/>
        </w:rPr>
        <w:t> </w:t>
      </w:r>
      <w:r>
        <w:rPr/>
        <w:t>Stellar</w:t>
      </w:r>
      <w:r>
        <w:rPr>
          <w:spacing w:val="-31"/>
        </w:rPr>
        <w:t> </w:t>
      </w:r>
      <w:r>
        <w:rPr/>
        <w:t>IT Park, Logix Cyber Park, Candor Techspace, Embassy Galaxy (‘the subject property‘), Okaya Center,</w:t>
      </w:r>
      <w:r>
        <w:rPr>
          <w:spacing w:val="-12"/>
        </w:rPr>
        <w:t> </w:t>
      </w:r>
      <w:r>
        <w:rPr/>
        <w:t>etc.</w:t>
      </w:r>
    </w:p>
    <w:p>
      <w:pPr>
        <w:pStyle w:val="BodyText"/>
        <w:spacing w:line="324" w:lineRule="auto" w:before="126"/>
        <w:ind w:left="2682" w:right="220"/>
        <w:jc w:val="both"/>
      </w:pPr>
      <w:r>
        <w:rPr/>
        <w:t>By virtue of being promoted as an institutional sector, the subject vector also comprises of some prominent educational institutions such as Jaypee Business</w:t>
      </w:r>
    </w:p>
    <w:p>
      <w:pPr>
        <w:spacing w:after="0" w:line="324" w:lineRule="auto"/>
        <w:jc w:val="both"/>
        <w:sectPr>
          <w:pgSz w:w="11910" w:h="16840"/>
          <w:pgMar w:header="720" w:footer="921" w:top="1660" w:bottom="1120" w:left="580" w:right="600"/>
        </w:sectPr>
      </w:pPr>
    </w:p>
    <w:p>
      <w:pPr>
        <w:pStyle w:val="BodyText"/>
        <w:spacing w:before="7"/>
        <w:rPr>
          <w:sz w:val="9"/>
        </w:rPr>
      </w:pPr>
    </w:p>
    <w:p>
      <w:pPr>
        <w:pStyle w:val="BodyText"/>
        <w:spacing w:line="321" w:lineRule="auto" w:before="106"/>
        <w:ind w:left="2682" w:right="220"/>
        <w:jc w:val="both"/>
      </w:pPr>
      <w:r>
        <w:rPr/>
        <w:t>School, Symbiosis Law School, IIM Lucknow (Noida Campus), etc. In addition to this, Fortis Hospital (a prominent hospital in the region) is also located in</w:t>
      </w:r>
      <w:r>
        <w:rPr>
          <w:spacing w:val="-36"/>
        </w:rPr>
        <w:t> </w:t>
      </w:r>
      <w:r>
        <w:rPr/>
        <w:t>close proximity</w:t>
      </w:r>
      <w:r>
        <w:rPr>
          <w:spacing w:val="-38"/>
        </w:rPr>
        <w:t> </w:t>
      </w:r>
      <w:r>
        <w:rPr/>
        <w:t>to</w:t>
      </w:r>
      <w:r>
        <w:rPr>
          <w:spacing w:val="-39"/>
        </w:rPr>
        <w:t> </w:t>
      </w:r>
      <w:r>
        <w:rPr/>
        <w:t>the</w:t>
      </w:r>
      <w:r>
        <w:rPr>
          <w:spacing w:val="-39"/>
        </w:rPr>
        <w:t> </w:t>
      </w:r>
      <w:r>
        <w:rPr/>
        <w:t>subject</w:t>
      </w:r>
      <w:r>
        <w:rPr>
          <w:spacing w:val="-38"/>
        </w:rPr>
        <w:t> </w:t>
      </w:r>
      <w:r>
        <w:rPr/>
        <w:t>property.</w:t>
      </w:r>
      <w:r>
        <w:rPr>
          <w:spacing w:val="-38"/>
        </w:rPr>
        <w:t> </w:t>
      </w:r>
      <w:r>
        <w:rPr/>
        <w:t>The</w:t>
      </w:r>
      <w:r>
        <w:rPr>
          <w:spacing w:val="-39"/>
        </w:rPr>
        <w:t> </w:t>
      </w:r>
      <w:r>
        <w:rPr/>
        <w:t>subject</w:t>
      </w:r>
      <w:r>
        <w:rPr>
          <w:spacing w:val="-39"/>
        </w:rPr>
        <w:t> </w:t>
      </w:r>
      <w:r>
        <w:rPr/>
        <w:t>property</w:t>
      </w:r>
      <w:r>
        <w:rPr>
          <w:spacing w:val="-37"/>
        </w:rPr>
        <w:t> </w:t>
      </w:r>
      <w:r>
        <w:rPr/>
        <w:t>is</w:t>
      </w:r>
      <w:r>
        <w:rPr>
          <w:spacing w:val="-39"/>
        </w:rPr>
        <w:t> </w:t>
      </w:r>
      <w:r>
        <w:rPr/>
        <w:t>also</w:t>
      </w:r>
      <w:r>
        <w:rPr>
          <w:spacing w:val="-39"/>
        </w:rPr>
        <w:t> </w:t>
      </w:r>
      <w:r>
        <w:rPr/>
        <w:t>located</w:t>
      </w:r>
      <w:r>
        <w:rPr>
          <w:spacing w:val="-38"/>
        </w:rPr>
        <w:t> </w:t>
      </w:r>
      <w:r>
        <w:rPr/>
        <w:t>in</w:t>
      </w:r>
      <w:r>
        <w:rPr>
          <w:spacing w:val="-38"/>
        </w:rPr>
        <w:t> </w:t>
      </w:r>
      <w:r>
        <w:rPr/>
        <w:t>proximity to</w:t>
      </w:r>
      <w:r>
        <w:rPr>
          <w:spacing w:val="-8"/>
        </w:rPr>
        <w:t> </w:t>
      </w:r>
      <w:r>
        <w:rPr/>
        <w:t>established</w:t>
      </w:r>
      <w:r>
        <w:rPr>
          <w:spacing w:val="-7"/>
        </w:rPr>
        <w:t> </w:t>
      </w:r>
      <w:r>
        <w:rPr/>
        <w:t>residential</w:t>
      </w:r>
      <w:r>
        <w:rPr>
          <w:spacing w:val="-10"/>
        </w:rPr>
        <w:t> </w:t>
      </w:r>
      <w:r>
        <w:rPr/>
        <w:t>hubs</w:t>
      </w:r>
      <w:r>
        <w:rPr>
          <w:spacing w:val="-6"/>
        </w:rPr>
        <w:t> </w:t>
      </w:r>
      <w:r>
        <w:rPr/>
        <w:t>such</w:t>
      </w:r>
      <w:r>
        <w:rPr>
          <w:spacing w:val="-8"/>
        </w:rPr>
        <w:t> </w:t>
      </w:r>
      <w:r>
        <w:rPr/>
        <w:t>as</w:t>
      </w:r>
      <w:r>
        <w:rPr>
          <w:spacing w:val="-6"/>
        </w:rPr>
        <w:t> </w:t>
      </w:r>
      <w:r>
        <w:rPr/>
        <w:t>Indirapuram,</w:t>
      </w:r>
      <w:r>
        <w:rPr>
          <w:spacing w:val="-8"/>
        </w:rPr>
        <w:t> </w:t>
      </w:r>
      <w:r>
        <w:rPr/>
        <w:t>Vaishali,</w:t>
      </w:r>
      <w:r>
        <w:rPr>
          <w:spacing w:val="-9"/>
        </w:rPr>
        <w:t> </w:t>
      </w:r>
      <w:r>
        <w:rPr/>
        <w:t>etc.</w:t>
      </w:r>
      <w:r>
        <w:rPr>
          <w:spacing w:val="-7"/>
        </w:rPr>
        <w:t> </w:t>
      </w:r>
      <w:r>
        <w:rPr/>
        <w:t>which</w:t>
      </w:r>
      <w:r>
        <w:rPr>
          <w:spacing w:val="-7"/>
        </w:rPr>
        <w:t> </w:t>
      </w:r>
      <w:r>
        <w:rPr/>
        <w:t>offer</w:t>
      </w:r>
      <w:r>
        <w:rPr>
          <w:spacing w:val="-7"/>
        </w:rPr>
        <w:t> </w:t>
      </w:r>
      <w:r>
        <w:rPr/>
        <w:t>a range</w:t>
      </w:r>
      <w:r>
        <w:rPr>
          <w:spacing w:val="-10"/>
        </w:rPr>
        <w:t> </w:t>
      </w:r>
      <w:r>
        <w:rPr/>
        <w:t>of</w:t>
      </w:r>
      <w:r>
        <w:rPr>
          <w:spacing w:val="-8"/>
        </w:rPr>
        <w:t> </w:t>
      </w:r>
      <w:r>
        <w:rPr/>
        <w:t>affordable</w:t>
      </w:r>
      <w:r>
        <w:rPr>
          <w:spacing w:val="-11"/>
        </w:rPr>
        <w:t> </w:t>
      </w:r>
      <w:r>
        <w:rPr/>
        <w:t>to</w:t>
      </w:r>
      <w:r>
        <w:rPr>
          <w:spacing w:val="-10"/>
        </w:rPr>
        <w:t> </w:t>
      </w:r>
      <w:r>
        <w:rPr/>
        <w:t>mid-end</w:t>
      </w:r>
      <w:r>
        <w:rPr>
          <w:spacing w:val="-9"/>
        </w:rPr>
        <w:t> </w:t>
      </w:r>
      <w:r>
        <w:rPr/>
        <w:t>housing</w:t>
      </w:r>
      <w:r>
        <w:rPr>
          <w:spacing w:val="-8"/>
        </w:rPr>
        <w:t> </w:t>
      </w:r>
      <w:r>
        <w:rPr/>
        <w:t>options</w:t>
      </w:r>
      <w:r>
        <w:rPr>
          <w:spacing w:val="-8"/>
        </w:rPr>
        <w:t> </w:t>
      </w:r>
      <w:r>
        <w:rPr/>
        <w:t>and</w:t>
      </w:r>
      <w:r>
        <w:rPr>
          <w:spacing w:val="-9"/>
        </w:rPr>
        <w:t> </w:t>
      </w:r>
      <w:r>
        <w:rPr/>
        <w:t>also</w:t>
      </w:r>
      <w:r>
        <w:rPr>
          <w:spacing w:val="-10"/>
        </w:rPr>
        <w:t> </w:t>
      </w:r>
      <w:r>
        <w:rPr/>
        <w:t>enables</w:t>
      </w:r>
      <w:r>
        <w:rPr>
          <w:spacing w:val="-9"/>
        </w:rPr>
        <w:t> </w:t>
      </w:r>
      <w:r>
        <w:rPr/>
        <w:t>a</w:t>
      </w:r>
      <w:r>
        <w:rPr>
          <w:spacing w:val="-11"/>
        </w:rPr>
        <w:t> </w:t>
      </w:r>
      <w:r>
        <w:rPr/>
        <w:t>walk-to-work culture.</w:t>
      </w:r>
    </w:p>
    <w:p>
      <w:pPr>
        <w:pStyle w:val="BodyText"/>
        <w:spacing w:before="11"/>
        <w:rPr>
          <w:sz w:val="20"/>
        </w:rPr>
      </w:pPr>
    </w:p>
    <w:p>
      <w:pPr>
        <w:pStyle w:val="BodyText"/>
        <w:spacing w:line="321" w:lineRule="auto"/>
        <w:ind w:left="2682" w:right="226"/>
        <w:jc w:val="both"/>
      </w:pPr>
      <w:r>
        <w:rPr/>
        <w:t>The distances from key hubs to the subject property are presented in the</w:t>
      </w:r>
      <w:r>
        <w:rPr>
          <w:spacing w:val="-43"/>
        </w:rPr>
        <w:t> </w:t>
      </w:r>
      <w:r>
        <w:rPr/>
        <w:t>table below:</w:t>
      </w:r>
    </w:p>
    <w:p>
      <w:pPr>
        <w:pStyle w:val="BodyText"/>
        <w:spacing w:before="1"/>
        <w:rPr>
          <w:sz w:val="21"/>
        </w:rPr>
      </w:pPr>
    </w:p>
    <w:tbl>
      <w:tblPr>
        <w:tblW w:w="0" w:type="auto"/>
        <w:jc w:val="left"/>
        <w:tblInd w:w="27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43"/>
        <w:gridCol w:w="2353"/>
      </w:tblGrid>
      <w:tr>
        <w:trPr>
          <w:trHeight w:val="251" w:hRule="atLeast"/>
        </w:trPr>
        <w:tc>
          <w:tcPr>
            <w:tcW w:w="5443" w:type="dxa"/>
            <w:tcBorders>
              <w:top w:val="single" w:sz="6" w:space="0" w:color="69BD28"/>
              <w:bottom w:val="single" w:sz="6" w:space="0" w:color="69BD28"/>
            </w:tcBorders>
            <w:shd w:val="clear" w:color="auto" w:fill="006A4D"/>
          </w:tcPr>
          <w:p>
            <w:pPr>
              <w:pStyle w:val="TableParagraph"/>
              <w:spacing w:before="20"/>
              <w:ind w:left="747" w:right="572"/>
              <w:rPr>
                <w:b/>
                <w:sz w:val="18"/>
              </w:rPr>
            </w:pPr>
            <w:r>
              <w:rPr>
                <w:b/>
                <w:color w:val="FFFFFF"/>
                <w:w w:val="110"/>
                <w:sz w:val="18"/>
              </w:rPr>
              <w:t>Landmark</w:t>
            </w:r>
          </w:p>
        </w:tc>
        <w:tc>
          <w:tcPr>
            <w:tcW w:w="2353" w:type="dxa"/>
            <w:tcBorders>
              <w:top w:val="single" w:sz="6" w:space="0" w:color="69BD28"/>
              <w:bottom w:val="single" w:sz="6" w:space="0" w:color="69BD28"/>
            </w:tcBorders>
            <w:shd w:val="clear" w:color="auto" w:fill="006A4D"/>
          </w:tcPr>
          <w:p>
            <w:pPr>
              <w:pStyle w:val="TableParagraph"/>
              <w:spacing w:before="20"/>
              <w:ind w:left="605" w:right="436"/>
              <w:rPr>
                <w:b/>
                <w:sz w:val="18"/>
              </w:rPr>
            </w:pPr>
            <w:r>
              <w:rPr>
                <w:b/>
                <w:color w:val="FFFFFF"/>
                <w:w w:val="110"/>
                <w:sz w:val="18"/>
              </w:rPr>
              <w:t>Distance (km)</w:t>
            </w:r>
          </w:p>
        </w:tc>
      </w:tr>
      <w:tr>
        <w:trPr>
          <w:trHeight w:val="313" w:hRule="atLeast"/>
        </w:trPr>
        <w:tc>
          <w:tcPr>
            <w:tcW w:w="5443" w:type="dxa"/>
            <w:tcBorders>
              <w:top w:val="single" w:sz="6" w:space="0" w:color="69BD28"/>
              <w:bottom w:val="single" w:sz="6" w:space="0" w:color="69BD28"/>
            </w:tcBorders>
          </w:tcPr>
          <w:p>
            <w:pPr>
              <w:pStyle w:val="TableParagraph"/>
              <w:spacing w:before="51"/>
              <w:ind w:left="747" w:right="575"/>
              <w:rPr>
                <w:sz w:val="18"/>
              </w:rPr>
            </w:pPr>
            <w:r>
              <w:rPr>
                <w:w w:val="105"/>
                <w:sz w:val="18"/>
              </w:rPr>
              <w:t>NH – 24/ Delhi-Meerut Expressway</w:t>
            </w:r>
          </w:p>
        </w:tc>
        <w:tc>
          <w:tcPr>
            <w:tcW w:w="2353" w:type="dxa"/>
            <w:tcBorders>
              <w:top w:val="single" w:sz="6" w:space="0" w:color="69BD28"/>
              <w:bottom w:val="single" w:sz="6" w:space="0" w:color="69BD28"/>
            </w:tcBorders>
          </w:tcPr>
          <w:p>
            <w:pPr>
              <w:pStyle w:val="TableParagraph"/>
              <w:spacing w:before="46"/>
              <w:ind w:left="605" w:right="435"/>
              <w:rPr>
                <w:sz w:val="18"/>
              </w:rPr>
            </w:pPr>
            <w:r>
              <w:rPr>
                <w:w w:val="120"/>
                <w:sz w:val="18"/>
              </w:rPr>
              <w:t>0 – 1</w:t>
            </w:r>
          </w:p>
        </w:tc>
      </w:tr>
      <w:tr>
        <w:trPr>
          <w:trHeight w:val="311" w:hRule="atLeast"/>
        </w:trPr>
        <w:tc>
          <w:tcPr>
            <w:tcW w:w="5443" w:type="dxa"/>
            <w:tcBorders>
              <w:top w:val="single" w:sz="6" w:space="0" w:color="69BD28"/>
              <w:bottom w:val="single" w:sz="6" w:space="0" w:color="69BD28"/>
            </w:tcBorders>
          </w:tcPr>
          <w:p>
            <w:pPr>
              <w:pStyle w:val="TableParagraph"/>
              <w:spacing w:before="51"/>
              <w:ind w:left="747" w:right="577"/>
              <w:rPr>
                <w:sz w:val="18"/>
              </w:rPr>
            </w:pPr>
            <w:r>
              <w:rPr>
                <w:sz w:val="18"/>
              </w:rPr>
              <w:t>Sector-18, Central Business District (CBD) of Noida</w:t>
            </w:r>
          </w:p>
        </w:tc>
        <w:tc>
          <w:tcPr>
            <w:tcW w:w="2353" w:type="dxa"/>
            <w:tcBorders>
              <w:top w:val="single" w:sz="6" w:space="0" w:color="69BD28"/>
              <w:bottom w:val="single" w:sz="6" w:space="0" w:color="69BD28"/>
            </w:tcBorders>
          </w:tcPr>
          <w:p>
            <w:pPr>
              <w:pStyle w:val="TableParagraph"/>
              <w:spacing w:before="44"/>
              <w:ind w:left="605" w:right="435"/>
              <w:rPr>
                <w:sz w:val="18"/>
              </w:rPr>
            </w:pPr>
            <w:r>
              <w:rPr>
                <w:w w:val="120"/>
                <w:sz w:val="18"/>
              </w:rPr>
              <w:t>9 – 10</w:t>
            </w:r>
          </w:p>
        </w:tc>
      </w:tr>
      <w:tr>
        <w:trPr>
          <w:trHeight w:val="340" w:hRule="atLeast"/>
        </w:trPr>
        <w:tc>
          <w:tcPr>
            <w:tcW w:w="5443" w:type="dxa"/>
            <w:tcBorders>
              <w:top w:val="single" w:sz="6" w:space="0" w:color="69BD28"/>
              <w:bottom w:val="single" w:sz="6" w:space="0" w:color="69BD28"/>
            </w:tcBorders>
          </w:tcPr>
          <w:p>
            <w:pPr>
              <w:pStyle w:val="TableParagraph"/>
              <w:spacing w:before="66"/>
              <w:ind w:left="747" w:right="576"/>
              <w:rPr>
                <w:sz w:val="18"/>
              </w:rPr>
            </w:pPr>
            <w:r>
              <w:rPr>
                <w:w w:val="105"/>
                <w:sz w:val="18"/>
              </w:rPr>
              <w:t>DND Flyway</w:t>
            </w:r>
          </w:p>
        </w:tc>
        <w:tc>
          <w:tcPr>
            <w:tcW w:w="2353" w:type="dxa"/>
            <w:tcBorders>
              <w:top w:val="single" w:sz="6" w:space="0" w:color="69BD28"/>
              <w:bottom w:val="single" w:sz="6" w:space="0" w:color="69BD28"/>
            </w:tcBorders>
          </w:tcPr>
          <w:p>
            <w:pPr>
              <w:pStyle w:val="TableParagraph"/>
              <w:spacing w:before="61"/>
              <w:ind w:left="605" w:right="435"/>
              <w:rPr>
                <w:sz w:val="18"/>
              </w:rPr>
            </w:pPr>
            <w:r>
              <w:rPr>
                <w:w w:val="120"/>
                <w:sz w:val="18"/>
              </w:rPr>
              <w:t>10 – 11</w:t>
            </w:r>
          </w:p>
        </w:tc>
      </w:tr>
      <w:tr>
        <w:trPr>
          <w:trHeight w:val="359" w:hRule="atLeast"/>
        </w:trPr>
        <w:tc>
          <w:tcPr>
            <w:tcW w:w="5443" w:type="dxa"/>
            <w:tcBorders>
              <w:top w:val="single" w:sz="6" w:space="0" w:color="69BD28"/>
              <w:bottom w:val="single" w:sz="6" w:space="0" w:color="69BD28"/>
            </w:tcBorders>
          </w:tcPr>
          <w:p>
            <w:pPr>
              <w:pStyle w:val="TableParagraph"/>
              <w:spacing w:before="75"/>
              <w:ind w:left="747" w:right="574"/>
              <w:rPr>
                <w:sz w:val="18"/>
              </w:rPr>
            </w:pPr>
            <w:r>
              <w:rPr>
                <w:sz w:val="18"/>
              </w:rPr>
              <w:t>Connaught Place, CBD of Delhi</w:t>
            </w:r>
          </w:p>
        </w:tc>
        <w:tc>
          <w:tcPr>
            <w:tcW w:w="2353" w:type="dxa"/>
            <w:tcBorders>
              <w:top w:val="single" w:sz="6" w:space="0" w:color="69BD28"/>
              <w:bottom w:val="single" w:sz="6" w:space="0" w:color="69BD28"/>
            </w:tcBorders>
          </w:tcPr>
          <w:p>
            <w:pPr>
              <w:pStyle w:val="TableParagraph"/>
              <w:spacing w:before="68"/>
              <w:ind w:left="605" w:right="435"/>
              <w:rPr>
                <w:sz w:val="18"/>
              </w:rPr>
            </w:pPr>
            <w:r>
              <w:rPr>
                <w:w w:val="120"/>
                <w:sz w:val="18"/>
              </w:rPr>
              <w:t>18 – 19</w:t>
            </w:r>
          </w:p>
        </w:tc>
      </w:tr>
      <w:tr>
        <w:trPr>
          <w:trHeight w:val="337" w:hRule="atLeast"/>
        </w:trPr>
        <w:tc>
          <w:tcPr>
            <w:tcW w:w="5443" w:type="dxa"/>
            <w:tcBorders>
              <w:top w:val="single" w:sz="6" w:space="0" w:color="69BD28"/>
              <w:bottom w:val="single" w:sz="6" w:space="0" w:color="69BD28"/>
            </w:tcBorders>
          </w:tcPr>
          <w:p>
            <w:pPr>
              <w:pStyle w:val="TableParagraph"/>
              <w:spacing w:before="66"/>
              <w:ind w:left="747" w:right="577"/>
              <w:rPr>
                <w:sz w:val="18"/>
              </w:rPr>
            </w:pPr>
            <w:r>
              <w:rPr>
                <w:sz w:val="18"/>
              </w:rPr>
              <w:t>New Delhi Railway Station</w:t>
            </w:r>
          </w:p>
        </w:tc>
        <w:tc>
          <w:tcPr>
            <w:tcW w:w="2353" w:type="dxa"/>
            <w:tcBorders>
              <w:top w:val="single" w:sz="6" w:space="0" w:color="69BD28"/>
              <w:bottom w:val="single" w:sz="6" w:space="0" w:color="69BD28"/>
            </w:tcBorders>
          </w:tcPr>
          <w:p>
            <w:pPr>
              <w:pStyle w:val="TableParagraph"/>
              <w:spacing w:before="58"/>
              <w:ind w:left="605" w:right="435"/>
              <w:rPr>
                <w:sz w:val="18"/>
              </w:rPr>
            </w:pPr>
            <w:r>
              <w:rPr>
                <w:w w:val="120"/>
                <w:sz w:val="18"/>
              </w:rPr>
              <w:t>18 – 19</w:t>
            </w:r>
          </w:p>
        </w:tc>
      </w:tr>
      <w:tr>
        <w:trPr>
          <w:trHeight w:val="340" w:hRule="atLeast"/>
        </w:trPr>
        <w:tc>
          <w:tcPr>
            <w:tcW w:w="5443" w:type="dxa"/>
            <w:tcBorders>
              <w:top w:val="single" w:sz="6" w:space="0" w:color="69BD28"/>
              <w:bottom w:val="single" w:sz="6" w:space="0" w:color="69BD28"/>
            </w:tcBorders>
          </w:tcPr>
          <w:p>
            <w:pPr>
              <w:pStyle w:val="TableParagraph"/>
              <w:spacing w:before="66"/>
              <w:ind w:left="747" w:right="577"/>
              <w:rPr>
                <w:sz w:val="18"/>
              </w:rPr>
            </w:pPr>
            <w:r>
              <w:rPr>
                <w:sz w:val="18"/>
              </w:rPr>
              <w:t>Indira Gandhi International Airport, Delhi</w:t>
            </w:r>
          </w:p>
        </w:tc>
        <w:tc>
          <w:tcPr>
            <w:tcW w:w="2353" w:type="dxa"/>
            <w:tcBorders>
              <w:top w:val="single" w:sz="6" w:space="0" w:color="69BD28"/>
              <w:bottom w:val="single" w:sz="6" w:space="0" w:color="69BD28"/>
            </w:tcBorders>
          </w:tcPr>
          <w:p>
            <w:pPr>
              <w:pStyle w:val="TableParagraph"/>
              <w:spacing w:before="61"/>
              <w:ind w:left="605" w:right="435"/>
              <w:rPr>
                <w:sz w:val="18"/>
              </w:rPr>
            </w:pPr>
            <w:r>
              <w:rPr>
                <w:w w:val="120"/>
                <w:sz w:val="18"/>
              </w:rPr>
              <w:t>31 – 32</w:t>
            </w:r>
          </w:p>
        </w:tc>
      </w:tr>
    </w:tbl>
    <w:p>
      <w:pPr>
        <w:spacing w:before="42"/>
        <w:ind w:left="2802" w:right="0" w:firstLine="0"/>
        <w:jc w:val="left"/>
        <w:rPr>
          <w:i/>
          <w:sz w:val="18"/>
        </w:rPr>
      </w:pPr>
      <w:r>
        <w:rPr>
          <w:i/>
          <w:sz w:val="18"/>
        </w:rPr>
        <w:t>Source: Consultants’ Research</w:t>
      </w:r>
    </w:p>
    <w:p>
      <w:pPr>
        <w:pStyle w:val="BodyText"/>
        <w:spacing w:before="7"/>
        <w:rPr>
          <w:i/>
          <w:sz w:val="18"/>
        </w:rPr>
      </w:pPr>
    </w:p>
    <w:p>
      <w:pPr>
        <w:pStyle w:val="BodyText"/>
        <w:tabs>
          <w:tab w:pos="2682" w:val="left" w:leader="none"/>
        </w:tabs>
        <w:spacing w:before="1"/>
        <w:ind w:left="805"/>
      </w:pPr>
      <w:r>
        <w:rPr/>
        <w:t>Surrounds:</w:t>
        <w:tab/>
        <w:t>The</w:t>
      </w:r>
      <w:r>
        <w:rPr>
          <w:spacing w:val="-11"/>
        </w:rPr>
        <w:t> </w:t>
      </w:r>
      <w:r>
        <w:rPr/>
        <w:t>immediate</w:t>
      </w:r>
      <w:r>
        <w:rPr>
          <w:spacing w:val="-9"/>
        </w:rPr>
        <w:t> </w:t>
      </w:r>
      <w:r>
        <w:rPr/>
        <w:t>surrounding</w:t>
      </w:r>
      <w:r>
        <w:rPr>
          <w:spacing w:val="-10"/>
        </w:rPr>
        <w:t> </w:t>
      </w:r>
      <w:r>
        <w:rPr/>
        <w:t>of</w:t>
      </w:r>
      <w:r>
        <w:rPr>
          <w:spacing w:val="-9"/>
        </w:rPr>
        <w:t> </w:t>
      </w:r>
      <w:r>
        <w:rPr/>
        <w:t>the</w:t>
      </w:r>
      <w:r>
        <w:rPr>
          <w:spacing w:val="-12"/>
        </w:rPr>
        <w:t> </w:t>
      </w:r>
      <w:r>
        <w:rPr/>
        <w:t>subject</w:t>
      </w:r>
      <w:r>
        <w:rPr>
          <w:spacing w:val="-10"/>
        </w:rPr>
        <w:t> </w:t>
      </w:r>
      <w:r>
        <w:rPr/>
        <w:t>property</w:t>
      </w:r>
      <w:r>
        <w:rPr>
          <w:spacing w:val="-9"/>
        </w:rPr>
        <w:t> </w:t>
      </w:r>
      <w:r>
        <w:rPr/>
        <w:t>is</w:t>
      </w:r>
      <w:r>
        <w:rPr>
          <w:spacing w:val="-9"/>
        </w:rPr>
        <w:t> </w:t>
      </w:r>
      <w:r>
        <w:rPr/>
        <w:t>as</w:t>
      </w:r>
      <w:r>
        <w:rPr>
          <w:spacing w:val="-9"/>
        </w:rPr>
        <w:t> </w:t>
      </w:r>
      <w:r>
        <w:rPr/>
        <w:t>follows:</w:t>
      </w:r>
    </w:p>
    <w:p>
      <w:pPr>
        <w:pStyle w:val="BodyText"/>
        <w:spacing w:before="1"/>
        <w:rPr>
          <w:sz w:val="19"/>
        </w:rPr>
      </w:pPr>
    </w:p>
    <w:p>
      <w:pPr>
        <w:spacing w:after="0"/>
        <w:rPr>
          <w:sz w:val="19"/>
        </w:rPr>
        <w:sectPr>
          <w:pgSz w:w="11910" w:h="16840"/>
          <w:pgMar w:header="720" w:footer="921" w:top="1660" w:bottom="1120" w:left="580" w:right="60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
        <w:rPr>
          <w:sz w:val="26"/>
        </w:rPr>
      </w:pPr>
    </w:p>
    <w:p>
      <w:pPr>
        <w:pStyle w:val="BodyText"/>
        <w:spacing w:line="321" w:lineRule="auto" w:before="1"/>
        <w:ind w:left="805"/>
      </w:pPr>
      <w:r>
        <w:rPr/>
        <w:t>Potential changes in </w:t>
      </w:r>
      <w:r>
        <w:rPr>
          <w:w w:val="95"/>
        </w:rPr>
        <w:t>surroundings:</w:t>
      </w:r>
    </w:p>
    <w:p>
      <w:pPr>
        <w:pStyle w:val="ListParagraph"/>
        <w:numPr>
          <w:ilvl w:val="0"/>
          <w:numId w:val="73"/>
        </w:numPr>
        <w:tabs>
          <w:tab w:pos="1234" w:val="left" w:leader="none"/>
          <w:tab w:pos="1236" w:val="left" w:leader="none"/>
        </w:tabs>
        <w:spacing w:line="240" w:lineRule="auto" w:before="101" w:after="0"/>
        <w:ind w:left="1235" w:right="0" w:hanging="361"/>
        <w:jc w:val="left"/>
        <w:rPr>
          <w:sz w:val="22"/>
        </w:rPr>
      </w:pPr>
      <w:r>
        <w:rPr>
          <w:spacing w:val="-1"/>
          <w:w w:val="121"/>
          <w:sz w:val="22"/>
        </w:rPr>
        <w:br w:type="column"/>
      </w:r>
      <w:r>
        <w:rPr>
          <w:sz w:val="22"/>
        </w:rPr>
        <w:t>North: Other’s</w:t>
      </w:r>
      <w:r>
        <w:rPr>
          <w:spacing w:val="-5"/>
          <w:sz w:val="22"/>
        </w:rPr>
        <w:t> </w:t>
      </w:r>
      <w:r>
        <w:rPr>
          <w:sz w:val="22"/>
        </w:rPr>
        <w:t>property</w:t>
      </w:r>
    </w:p>
    <w:p>
      <w:pPr>
        <w:pStyle w:val="ListParagraph"/>
        <w:numPr>
          <w:ilvl w:val="0"/>
          <w:numId w:val="73"/>
        </w:numPr>
        <w:tabs>
          <w:tab w:pos="1234" w:val="left" w:leader="none"/>
          <w:tab w:pos="1236" w:val="left" w:leader="none"/>
        </w:tabs>
        <w:spacing w:line="240" w:lineRule="auto" w:before="203" w:after="0"/>
        <w:ind w:left="1235" w:right="0" w:hanging="361"/>
        <w:jc w:val="left"/>
        <w:rPr>
          <w:sz w:val="22"/>
        </w:rPr>
      </w:pPr>
      <w:r>
        <w:rPr>
          <w:sz w:val="22"/>
        </w:rPr>
        <w:t>South:</w:t>
      </w:r>
      <w:r>
        <w:rPr>
          <w:spacing w:val="-12"/>
          <w:sz w:val="22"/>
        </w:rPr>
        <w:t> </w:t>
      </w:r>
      <w:r>
        <w:rPr>
          <w:sz w:val="22"/>
        </w:rPr>
        <w:t>Approx.</w:t>
      </w:r>
      <w:r>
        <w:rPr>
          <w:spacing w:val="-12"/>
          <w:sz w:val="22"/>
        </w:rPr>
        <w:t> </w:t>
      </w:r>
      <w:r>
        <w:rPr>
          <w:sz w:val="22"/>
        </w:rPr>
        <w:t>45</w:t>
      </w:r>
      <w:r>
        <w:rPr>
          <w:spacing w:val="-11"/>
          <w:sz w:val="22"/>
        </w:rPr>
        <w:t> </w:t>
      </w:r>
      <w:r>
        <w:rPr>
          <w:sz w:val="22"/>
        </w:rPr>
        <w:t>m</w:t>
      </w:r>
      <w:r>
        <w:rPr>
          <w:spacing w:val="-13"/>
          <w:sz w:val="22"/>
        </w:rPr>
        <w:t> </w:t>
      </w:r>
      <w:r>
        <w:rPr>
          <w:sz w:val="22"/>
        </w:rPr>
        <w:t>wide</w:t>
      </w:r>
      <w:r>
        <w:rPr>
          <w:spacing w:val="-11"/>
          <w:sz w:val="22"/>
        </w:rPr>
        <w:t> </w:t>
      </w:r>
      <w:r>
        <w:rPr>
          <w:sz w:val="22"/>
        </w:rPr>
        <w:t>internal</w:t>
      </w:r>
      <w:r>
        <w:rPr>
          <w:spacing w:val="-12"/>
          <w:sz w:val="22"/>
        </w:rPr>
        <w:t> </w:t>
      </w:r>
      <w:r>
        <w:rPr>
          <w:sz w:val="22"/>
        </w:rPr>
        <w:t>sector</w:t>
      </w:r>
      <w:r>
        <w:rPr>
          <w:spacing w:val="-12"/>
          <w:sz w:val="22"/>
        </w:rPr>
        <w:t> </w:t>
      </w:r>
      <w:r>
        <w:rPr>
          <w:sz w:val="22"/>
        </w:rPr>
        <w:t>road</w:t>
      </w:r>
      <w:r>
        <w:rPr>
          <w:spacing w:val="-10"/>
          <w:sz w:val="22"/>
        </w:rPr>
        <w:t> </w:t>
      </w:r>
      <w:r>
        <w:rPr>
          <w:sz w:val="22"/>
        </w:rPr>
        <w:t>(primary</w:t>
      </w:r>
      <w:r>
        <w:rPr>
          <w:spacing w:val="-11"/>
          <w:sz w:val="22"/>
        </w:rPr>
        <w:t> </w:t>
      </w:r>
      <w:r>
        <w:rPr>
          <w:sz w:val="22"/>
        </w:rPr>
        <w:t>access</w:t>
      </w:r>
      <w:r>
        <w:rPr>
          <w:spacing w:val="-10"/>
          <w:sz w:val="22"/>
        </w:rPr>
        <w:t> </w:t>
      </w:r>
      <w:r>
        <w:rPr>
          <w:sz w:val="22"/>
        </w:rPr>
        <w:t>road)</w:t>
      </w:r>
    </w:p>
    <w:p>
      <w:pPr>
        <w:pStyle w:val="ListParagraph"/>
        <w:numPr>
          <w:ilvl w:val="0"/>
          <w:numId w:val="73"/>
        </w:numPr>
        <w:tabs>
          <w:tab w:pos="1234" w:val="left" w:leader="none"/>
          <w:tab w:pos="1236" w:val="left" w:leader="none"/>
        </w:tabs>
        <w:spacing w:line="240" w:lineRule="auto" w:before="203" w:after="0"/>
        <w:ind w:left="1235" w:right="0" w:hanging="361"/>
        <w:jc w:val="left"/>
        <w:rPr>
          <w:sz w:val="22"/>
        </w:rPr>
      </w:pPr>
      <w:r>
        <w:rPr>
          <w:sz w:val="22"/>
        </w:rPr>
        <w:t>East: Other’s</w:t>
      </w:r>
      <w:r>
        <w:rPr>
          <w:spacing w:val="-14"/>
          <w:sz w:val="22"/>
        </w:rPr>
        <w:t> </w:t>
      </w:r>
      <w:r>
        <w:rPr>
          <w:sz w:val="22"/>
        </w:rPr>
        <w:t>property</w:t>
      </w:r>
    </w:p>
    <w:p>
      <w:pPr>
        <w:pStyle w:val="ListParagraph"/>
        <w:numPr>
          <w:ilvl w:val="0"/>
          <w:numId w:val="73"/>
        </w:numPr>
        <w:tabs>
          <w:tab w:pos="1234" w:val="left" w:leader="none"/>
          <w:tab w:pos="1236" w:val="left" w:leader="none"/>
        </w:tabs>
        <w:spacing w:line="240" w:lineRule="auto" w:before="202" w:after="0"/>
        <w:ind w:left="1235" w:right="0" w:hanging="361"/>
        <w:jc w:val="left"/>
        <w:rPr>
          <w:sz w:val="22"/>
        </w:rPr>
      </w:pPr>
      <w:r>
        <w:rPr>
          <w:sz w:val="22"/>
        </w:rPr>
        <w:t>West: Other’s</w:t>
      </w:r>
      <w:r>
        <w:rPr>
          <w:spacing w:val="-8"/>
          <w:sz w:val="22"/>
        </w:rPr>
        <w:t> </w:t>
      </w:r>
      <w:r>
        <w:rPr>
          <w:sz w:val="22"/>
        </w:rPr>
        <w:t>property</w:t>
      </w:r>
    </w:p>
    <w:p>
      <w:pPr>
        <w:pStyle w:val="BodyText"/>
        <w:spacing w:line="321" w:lineRule="auto" w:before="206"/>
        <w:ind w:left="515" w:right="223"/>
        <w:jc w:val="both"/>
      </w:pPr>
      <w:r>
        <w:rPr/>
        <w:t>As highlighted earlier, the subject sub-market has emerged as an alternate business</w:t>
      </w:r>
      <w:r>
        <w:rPr>
          <w:spacing w:val="-8"/>
        </w:rPr>
        <w:t> </w:t>
      </w:r>
      <w:r>
        <w:rPr/>
        <w:t>district</w:t>
      </w:r>
      <w:r>
        <w:rPr>
          <w:spacing w:val="-7"/>
        </w:rPr>
        <w:t> </w:t>
      </w:r>
      <w:r>
        <w:rPr/>
        <w:t>to</w:t>
      </w:r>
      <w:r>
        <w:rPr>
          <w:spacing w:val="-8"/>
        </w:rPr>
        <w:t> </w:t>
      </w:r>
      <w:r>
        <w:rPr/>
        <w:t>the</w:t>
      </w:r>
      <w:r>
        <w:rPr>
          <w:spacing w:val="-8"/>
        </w:rPr>
        <w:t> </w:t>
      </w:r>
      <w:r>
        <w:rPr/>
        <w:t>city</w:t>
      </w:r>
      <w:r>
        <w:rPr>
          <w:spacing w:val="-6"/>
        </w:rPr>
        <w:t> </w:t>
      </w:r>
      <w:r>
        <w:rPr/>
        <w:t>of</w:t>
      </w:r>
      <w:r>
        <w:rPr>
          <w:spacing w:val="-8"/>
        </w:rPr>
        <w:t> </w:t>
      </w:r>
      <w:r>
        <w:rPr/>
        <w:t>Noida</w:t>
      </w:r>
      <w:r>
        <w:rPr>
          <w:spacing w:val="-7"/>
        </w:rPr>
        <w:t> </w:t>
      </w:r>
      <w:r>
        <w:rPr/>
        <w:t>and</w:t>
      </w:r>
      <w:r>
        <w:rPr>
          <w:spacing w:val="-9"/>
        </w:rPr>
        <w:t> </w:t>
      </w:r>
      <w:r>
        <w:rPr/>
        <w:t>has</w:t>
      </w:r>
      <w:r>
        <w:rPr>
          <w:spacing w:val="-8"/>
        </w:rPr>
        <w:t> </w:t>
      </w:r>
      <w:r>
        <w:rPr/>
        <w:t>witnessed</w:t>
      </w:r>
      <w:r>
        <w:rPr>
          <w:spacing w:val="-8"/>
        </w:rPr>
        <w:t> </w:t>
      </w:r>
      <w:r>
        <w:rPr/>
        <w:t>significant</w:t>
      </w:r>
      <w:r>
        <w:rPr>
          <w:spacing w:val="-8"/>
        </w:rPr>
        <w:t> </w:t>
      </w:r>
      <w:r>
        <w:rPr/>
        <w:t>supply</w:t>
      </w:r>
      <w:r>
        <w:rPr>
          <w:spacing w:val="-8"/>
        </w:rPr>
        <w:t> </w:t>
      </w:r>
      <w:r>
        <w:rPr/>
        <w:t>across commercial</w:t>
      </w:r>
      <w:r>
        <w:rPr>
          <w:spacing w:val="-18"/>
        </w:rPr>
        <w:t> </w:t>
      </w:r>
      <w:r>
        <w:rPr/>
        <w:t>office</w:t>
      </w:r>
      <w:r>
        <w:rPr>
          <w:spacing w:val="-18"/>
        </w:rPr>
        <w:t> </w:t>
      </w:r>
      <w:r>
        <w:rPr/>
        <w:t>developments.</w:t>
      </w:r>
      <w:r>
        <w:rPr>
          <w:spacing w:val="-17"/>
        </w:rPr>
        <w:t> </w:t>
      </w:r>
      <w:r>
        <w:rPr/>
        <w:t>Moreover,</w:t>
      </w:r>
      <w:r>
        <w:rPr>
          <w:spacing w:val="-18"/>
        </w:rPr>
        <w:t> </w:t>
      </w:r>
      <w:r>
        <w:rPr/>
        <w:t>few</w:t>
      </w:r>
      <w:r>
        <w:rPr>
          <w:spacing w:val="-16"/>
        </w:rPr>
        <w:t> </w:t>
      </w:r>
      <w:r>
        <w:rPr/>
        <w:t>developments</w:t>
      </w:r>
      <w:r>
        <w:rPr>
          <w:spacing w:val="-17"/>
        </w:rPr>
        <w:t> </w:t>
      </w:r>
      <w:r>
        <w:rPr/>
        <w:t>in</w:t>
      </w:r>
      <w:r>
        <w:rPr>
          <w:spacing w:val="-18"/>
        </w:rPr>
        <w:t> </w:t>
      </w:r>
      <w:r>
        <w:rPr/>
        <w:t>the</w:t>
      </w:r>
      <w:r>
        <w:rPr>
          <w:spacing w:val="-17"/>
        </w:rPr>
        <w:t> </w:t>
      </w:r>
      <w:r>
        <w:rPr/>
        <w:t>region</w:t>
      </w:r>
      <w:r>
        <w:rPr>
          <w:spacing w:val="-18"/>
        </w:rPr>
        <w:t> </w:t>
      </w:r>
      <w:r>
        <w:rPr/>
        <w:t>are currently under construction and are expected to be completed in the short to medium</w:t>
      </w:r>
      <w:r>
        <w:rPr>
          <w:spacing w:val="-3"/>
        </w:rPr>
        <w:t> </w:t>
      </w:r>
      <w:r>
        <w:rPr/>
        <w:t>term.</w:t>
      </w:r>
    </w:p>
    <w:p>
      <w:pPr>
        <w:pStyle w:val="BodyText"/>
        <w:spacing w:before="125"/>
        <w:ind w:left="515"/>
        <w:jc w:val="both"/>
      </w:pPr>
      <w:r>
        <w:rPr/>
        <w:t>Additionally,</w:t>
      </w:r>
      <w:r>
        <w:rPr>
          <w:spacing w:val="-31"/>
        </w:rPr>
        <w:t> </w:t>
      </w:r>
      <w:r>
        <w:rPr/>
        <w:t>an</w:t>
      </w:r>
      <w:r>
        <w:rPr>
          <w:spacing w:val="-30"/>
        </w:rPr>
        <w:t> </w:t>
      </w:r>
      <w:r>
        <w:rPr/>
        <w:t>MRTS</w:t>
      </w:r>
      <w:r>
        <w:rPr>
          <w:spacing w:val="-31"/>
        </w:rPr>
        <w:t> </w:t>
      </w:r>
      <w:r>
        <w:rPr/>
        <w:t>rail</w:t>
      </w:r>
      <w:r>
        <w:rPr>
          <w:spacing w:val="-31"/>
        </w:rPr>
        <w:t> </w:t>
      </w:r>
      <w:r>
        <w:rPr/>
        <w:t>link</w:t>
      </w:r>
      <w:r>
        <w:rPr>
          <w:spacing w:val="-31"/>
        </w:rPr>
        <w:t> </w:t>
      </w:r>
      <w:r>
        <w:rPr/>
        <w:t>connecting</w:t>
      </w:r>
      <w:r>
        <w:rPr>
          <w:spacing w:val="-29"/>
        </w:rPr>
        <w:t> </w:t>
      </w:r>
      <w:r>
        <w:rPr/>
        <w:t>Noida</w:t>
      </w:r>
      <w:r>
        <w:rPr>
          <w:spacing w:val="-31"/>
        </w:rPr>
        <w:t> </w:t>
      </w:r>
      <w:r>
        <w:rPr/>
        <w:t>City</w:t>
      </w:r>
      <w:r>
        <w:rPr>
          <w:spacing w:val="-30"/>
        </w:rPr>
        <w:t> </w:t>
      </w:r>
      <w:r>
        <w:rPr/>
        <w:t>Centre</w:t>
      </w:r>
      <w:r>
        <w:rPr>
          <w:spacing w:val="-30"/>
        </w:rPr>
        <w:t> </w:t>
      </w:r>
      <w:r>
        <w:rPr/>
        <w:t>(Sector</w:t>
      </w:r>
      <w:r>
        <w:rPr>
          <w:spacing w:val="-29"/>
        </w:rPr>
        <w:t> </w:t>
      </w:r>
      <w:r>
        <w:rPr/>
        <w:t>–</w:t>
      </w:r>
      <w:r>
        <w:rPr>
          <w:spacing w:val="-31"/>
        </w:rPr>
        <w:t> </w:t>
      </w:r>
      <w:r>
        <w:rPr/>
        <w:t>32)</w:t>
      </w:r>
      <w:r>
        <w:rPr>
          <w:spacing w:val="-30"/>
        </w:rPr>
        <w:t> </w:t>
      </w:r>
      <w:r>
        <w:rPr/>
        <w:t>to</w:t>
      </w:r>
      <w:r>
        <w:rPr>
          <w:spacing w:val="-31"/>
        </w:rPr>
        <w:t> </w:t>
      </w:r>
      <w:r>
        <w:rPr/>
        <w:t>Sector</w:t>
      </w:r>
    </w:p>
    <w:p>
      <w:pPr>
        <w:pStyle w:val="BodyText"/>
        <w:spacing w:line="321" w:lineRule="auto" w:before="85"/>
        <w:ind w:left="515" w:right="223"/>
        <w:jc w:val="both"/>
      </w:pPr>
      <w:r>
        <w:rPr>
          <w:w w:val="105"/>
        </w:rPr>
        <w:t>– </w:t>
      </w:r>
      <w:r>
        <w:rPr/>
        <w:t>62 touching NH-24 has been jointly developed by DMRC (Delhi Metro Rail Corporation) and NMRC (Noida Metro Rail Corporation). The said corridor is an extension</w:t>
      </w:r>
      <w:r>
        <w:rPr>
          <w:spacing w:val="-39"/>
        </w:rPr>
        <w:t> </w:t>
      </w:r>
      <w:r>
        <w:rPr/>
        <w:t>to</w:t>
      </w:r>
      <w:r>
        <w:rPr>
          <w:spacing w:val="-38"/>
        </w:rPr>
        <w:t> </w:t>
      </w:r>
      <w:r>
        <w:rPr/>
        <w:t>the</w:t>
      </w:r>
      <w:r>
        <w:rPr>
          <w:spacing w:val="-38"/>
        </w:rPr>
        <w:t> </w:t>
      </w:r>
      <w:r>
        <w:rPr/>
        <w:t>existing</w:t>
      </w:r>
      <w:r>
        <w:rPr>
          <w:spacing w:val="-39"/>
        </w:rPr>
        <w:t> </w:t>
      </w:r>
      <w:r>
        <w:rPr/>
        <w:t>metro</w:t>
      </w:r>
      <w:r>
        <w:rPr>
          <w:spacing w:val="-38"/>
        </w:rPr>
        <w:t> </w:t>
      </w:r>
      <w:r>
        <w:rPr/>
        <w:t>line</w:t>
      </w:r>
      <w:r>
        <w:rPr>
          <w:spacing w:val="-39"/>
        </w:rPr>
        <w:t> </w:t>
      </w:r>
      <w:r>
        <w:rPr/>
        <w:t>(till</w:t>
      </w:r>
      <w:r>
        <w:rPr>
          <w:spacing w:val="-38"/>
        </w:rPr>
        <w:t> </w:t>
      </w:r>
      <w:r>
        <w:rPr/>
        <w:t>Noida</w:t>
      </w:r>
      <w:r>
        <w:rPr>
          <w:spacing w:val="-38"/>
        </w:rPr>
        <w:t> </w:t>
      </w:r>
      <w:r>
        <w:rPr/>
        <w:t>City</w:t>
      </w:r>
      <w:r>
        <w:rPr>
          <w:spacing w:val="-39"/>
        </w:rPr>
        <w:t> </w:t>
      </w:r>
      <w:r>
        <w:rPr/>
        <w:t>Centre)</w:t>
      </w:r>
      <w:r>
        <w:rPr>
          <w:spacing w:val="-38"/>
        </w:rPr>
        <w:t> </w:t>
      </w:r>
      <w:r>
        <w:rPr/>
        <w:t>which</w:t>
      </w:r>
      <w:r>
        <w:rPr>
          <w:spacing w:val="-38"/>
        </w:rPr>
        <w:t> </w:t>
      </w:r>
      <w:r>
        <w:rPr/>
        <w:t>directly</w:t>
      </w:r>
      <w:r>
        <w:rPr>
          <w:spacing w:val="-38"/>
        </w:rPr>
        <w:t> </w:t>
      </w:r>
      <w:r>
        <w:rPr/>
        <w:t>connects Noida</w:t>
      </w:r>
      <w:r>
        <w:rPr>
          <w:spacing w:val="-23"/>
        </w:rPr>
        <w:t> </w:t>
      </w:r>
      <w:r>
        <w:rPr/>
        <w:t>to</w:t>
      </w:r>
      <w:r>
        <w:rPr>
          <w:spacing w:val="-22"/>
        </w:rPr>
        <w:t> </w:t>
      </w:r>
      <w:r>
        <w:rPr/>
        <w:t>Connaught</w:t>
      </w:r>
      <w:r>
        <w:rPr>
          <w:spacing w:val="-22"/>
        </w:rPr>
        <w:t> </w:t>
      </w:r>
      <w:r>
        <w:rPr/>
        <w:t>Place</w:t>
      </w:r>
      <w:r>
        <w:rPr>
          <w:spacing w:val="-22"/>
        </w:rPr>
        <w:t> </w:t>
      </w:r>
      <w:r>
        <w:rPr/>
        <w:t>(CBD</w:t>
      </w:r>
      <w:r>
        <w:rPr>
          <w:spacing w:val="-21"/>
        </w:rPr>
        <w:t> </w:t>
      </w:r>
      <w:r>
        <w:rPr/>
        <w:t>of</w:t>
      </w:r>
      <w:r>
        <w:rPr>
          <w:spacing w:val="-22"/>
        </w:rPr>
        <w:t> </w:t>
      </w:r>
      <w:r>
        <w:rPr/>
        <w:t>Delhi)</w:t>
      </w:r>
      <w:r>
        <w:rPr>
          <w:spacing w:val="-21"/>
        </w:rPr>
        <w:t> </w:t>
      </w:r>
      <w:r>
        <w:rPr/>
        <w:t>and</w:t>
      </w:r>
      <w:r>
        <w:rPr>
          <w:spacing w:val="-21"/>
        </w:rPr>
        <w:t> </w:t>
      </w:r>
      <w:r>
        <w:rPr/>
        <w:t>further</w:t>
      </w:r>
      <w:r>
        <w:rPr>
          <w:spacing w:val="-22"/>
        </w:rPr>
        <w:t> </w:t>
      </w:r>
      <w:r>
        <w:rPr/>
        <w:t>up</w:t>
      </w:r>
      <w:r>
        <w:rPr>
          <w:spacing w:val="-22"/>
        </w:rPr>
        <w:t> </w:t>
      </w:r>
      <w:r>
        <w:rPr/>
        <w:t>to</w:t>
      </w:r>
      <w:r>
        <w:rPr>
          <w:spacing w:val="-22"/>
        </w:rPr>
        <w:t> </w:t>
      </w:r>
      <w:r>
        <w:rPr/>
        <w:t>Dwarka</w:t>
      </w:r>
      <w:r>
        <w:rPr>
          <w:spacing w:val="-22"/>
        </w:rPr>
        <w:t> </w:t>
      </w:r>
      <w:r>
        <w:rPr/>
        <w:t>(situated</w:t>
      </w:r>
      <w:r>
        <w:rPr>
          <w:spacing w:val="-21"/>
        </w:rPr>
        <w:t> </w:t>
      </w:r>
      <w:r>
        <w:rPr/>
        <w:t>close to</w:t>
      </w:r>
      <w:r>
        <w:rPr>
          <w:spacing w:val="-27"/>
        </w:rPr>
        <w:t> </w:t>
      </w:r>
      <w:r>
        <w:rPr/>
        <w:t>Delhi</w:t>
      </w:r>
      <w:r>
        <w:rPr>
          <w:spacing w:val="-27"/>
        </w:rPr>
        <w:t> </w:t>
      </w:r>
      <w:r>
        <w:rPr/>
        <w:t>International</w:t>
      </w:r>
      <w:r>
        <w:rPr>
          <w:spacing w:val="-27"/>
        </w:rPr>
        <w:t> </w:t>
      </w:r>
      <w:r>
        <w:rPr/>
        <w:t>Airport</w:t>
      </w:r>
      <w:r>
        <w:rPr>
          <w:spacing w:val="-27"/>
        </w:rPr>
        <w:t> </w:t>
      </w:r>
      <w:r>
        <w:rPr/>
        <w:t>and</w:t>
      </w:r>
      <w:r>
        <w:rPr>
          <w:spacing w:val="-26"/>
        </w:rPr>
        <w:t> </w:t>
      </w:r>
      <w:r>
        <w:rPr/>
        <w:t>Gurgaon).</w:t>
      </w:r>
      <w:r>
        <w:rPr>
          <w:spacing w:val="-26"/>
        </w:rPr>
        <w:t> </w:t>
      </w:r>
      <w:r>
        <w:rPr/>
        <w:t>The</w:t>
      </w:r>
      <w:r>
        <w:rPr>
          <w:spacing w:val="-29"/>
        </w:rPr>
        <w:t> </w:t>
      </w:r>
      <w:r>
        <w:rPr/>
        <w:t>stretch</w:t>
      </w:r>
      <w:r>
        <w:rPr>
          <w:spacing w:val="-27"/>
        </w:rPr>
        <w:t> </w:t>
      </w:r>
      <w:r>
        <w:rPr/>
        <w:t>passes</w:t>
      </w:r>
      <w:r>
        <w:rPr>
          <w:spacing w:val="-25"/>
        </w:rPr>
        <w:t> </w:t>
      </w:r>
      <w:r>
        <w:rPr/>
        <w:t>through</w:t>
      </w:r>
      <w:r>
        <w:rPr>
          <w:spacing w:val="-27"/>
        </w:rPr>
        <w:t> </w:t>
      </w:r>
      <w:r>
        <w:rPr/>
        <w:t>Sector-71 crossing</w:t>
      </w:r>
      <w:r>
        <w:rPr>
          <w:spacing w:val="-13"/>
        </w:rPr>
        <w:t> </w:t>
      </w:r>
      <w:r>
        <w:rPr/>
        <w:t>and</w:t>
      </w:r>
      <w:r>
        <w:rPr>
          <w:spacing w:val="-13"/>
        </w:rPr>
        <w:t> </w:t>
      </w:r>
      <w:r>
        <w:rPr/>
        <w:t>provides</w:t>
      </w:r>
      <w:r>
        <w:rPr>
          <w:spacing w:val="-12"/>
        </w:rPr>
        <w:t> </w:t>
      </w:r>
      <w:r>
        <w:rPr/>
        <w:t>connectivity</w:t>
      </w:r>
      <w:r>
        <w:rPr>
          <w:spacing w:val="-13"/>
        </w:rPr>
        <w:t> </w:t>
      </w:r>
      <w:r>
        <w:rPr/>
        <w:t>to</w:t>
      </w:r>
      <w:r>
        <w:rPr>
          <w:spacing w:val="-14"/>
        </w:rPr>
        <w:t> </w:t>
      </w:r>
      <w:r>
        <w:rPr/>
        <w:t>Sectors</w:t>
      </w:r>
      <w:r>
        <w:rPr>
          <w:spacing w:val="-13"/>
        </w:rPr>
        <w:t> </w:t>
      </w:r>
      <w:r>
        <w:rPr/>
        <w:t>32,</w:t>
      </w:r>
      <w:r>
        <w:rPr>
          <w:spacing w:val="-13"/>
        </w:rPr>
        <w:t> </w:t>
      </w:r>
      <w:r>
        <w:rPr/>
        <w:t>34,</w:t>
      </w:r>
      <w:r>
        <w:rPr>
          <w:spacing w:val="-14"/>
        </w:rPr>
        <w:t> </w:t>
      </w:r>
      <w:r>
        <w:rPr/>
        <w:t>35,</w:t>
      </w:r>
      <w:r>
        <w:rPr>
          <w:spacing w:val="-13"/>
        </w:rPr>
        <w:t> </w:t>
      </w:r>
      <w:r>
        <w:rPr/>
        <w:t>Hoshiarpur,</w:t>
      </w:r>
      <w:r>
        <w:rPr>
          <w:spacing w:val="-14"/>
        </w:rPr>
        <w:t> </w:t>
      </w:r>
      <w:r>
        <w:rPr/>
        <w:t>Sectors</w:t>
      </w:r>
      <w:r>
        <w:rPr>
          <w:spacing w:val="-13"/>
        </w:rPr>
        <w:t> </w:t>
      </w:r>
      <w:r>
        <w:rPr/>
        <w:t>51,</w:t>
      </w:r>
    </w:p>
    <w:p>
      <w:pPr>
        <w:spacing w:after="0" w:line="321" w:lineRule="auto"/>
        <w:jc w:val="both"/>
        <w:sectPr>
          <w:type w:val="continuous"/>
          <w:pgSz w:w="11910" w:h="16840"/>
          <w:pgMar w:top="800" w:bottom="280" w:left="580" w:right="600"/>
          <w:cols w:num="2" w:equalWidth="0">
            <w:col w:w="2128" w:space="40"/>
            <w:col w:w="8562"/>
          </w:cols>
        </w:sectPr>
      </w:pPr>
    </w:p>
    <w:p>
      <w:pPr>
        <w:pStyle w:val="BodyText"/>
        <w:spacing w:before="7"/>
        <w:rPr>
          <w:sz w:val="9"/>
        </w:rPr>
      </w:pPr>
    </w:p>
    <w:p>
      <w:pPr>
        <w:pStyle w:val="BodyText"/>
        <w:spacing w:line="321" w:lineRule="auto" w:before="106"/>
        <w:ind w:left="2682" w:right="221"/>
        <w:jc w:val="both"/>
      </w:pPr>
      <w:r>
        <w:rPr/>
        <w:t>52, 71, Sarfabad, Sectors 60, 61, 62, 63 and NH-24. The same was opened to public in March 2019.</w:t>
      </w:r>
    </w:p>
    <w:p>
      <w:pPr>
        <w:pStyle w:val="BodyText"/>
        <w:spacing w:line="321" w:lineRule="auto" w:before="122"/>
        <w:ind w:left="2682" w:right="223"/>
        <w:jc w:val="both"/>
      </w:pPr>
      <w:r>
        <w:rPr/>
        <w:t>Moreover,</w:t>
      </w:r>
      <w:r>
        <w:rPr>
          <w:spacing w:val="-12"/>
        </w:rPr>
        <w:t> </w:t>
      </w:r>
      <w:r>
        <w:rPr/>
        <w:t>NH</w:t>
      </w:r>
      <w:r>
        <w:rPr>
          <w:spacing w:val="-10"/>
        </w:rPr>
        <w:t> </w:t>
      </w:r>
      <w:r>
        <w:rPr>
          <w:w w:val="105"/>
        </w:rPr>
        <w:t>–</w:t>
      </w:r>
      <w:r>
        <w:rPr>
          <w:spacing w:val="-14"/>
          <w:w w:val="105"/>
        </w:rPr>
        <w:t> </w:t>
      </w:r>
      <w:r>
        <w:rPr/>
        <w:t>24/</w:t>
      </w:r>
      <w:r>
        <w:rPr>
          <w:spacing w:val="-13"/>
        </w:rPr>
        <w:t> </w:t>
      </w:r>
      <w:r>
        <w:rPr/>
        <w:t>Delhi-Meerut</w:t>
      </w:r>
      <w:r>
        <w:rPr>
          <w:spacing w:val="-10"/>
        </w:rPr>
        <w:t> </w:t>
      </w:r>
      <w:r>
        <w:rPr/>
        <w:t>Expressway</w:t>
      </w:r>
      <w:r>
        <w:rPr>
          <w:spacing w:val="-9"/>
        </w:rPr>
        <w:t> </w:t>
      </w:r>
      <w:r>
        <w:rPr/>
        <w:t>(located</w:t>
      </w:r>
      <w:r>
        <w:rPr>
          <w:spacing w:val="-11"/>
        </w:rPr>
        <w:t> </w:t>
      </w:r>
      <w:r>
        <w:rPr/>
        <w:t>at</w:t>
      </w:r>
      <w:r>
        <w:rPr>
          <w:spacing w:val="-10"/>
        </w:rPr>
        <w:t> </w:t>
      </w:r>
      <w:r>
        <w:rPr/>
        <w:t>a</w:t>
      </w:r>
      <w:r>
        <w:rPr>
          <w:spacing w:val="-12"/>
        </w:rPr>
        <w:t> </w:t>
      </w:r>
      <w:r>
        <w:rPr/>
        <w:t>distance</w:t>
      </w:r>
      <w:r>
        <w:rPr>
          <w:spacing w:val="-13"/>
        </w:rPr>
        <w:t> </w:t>
      </w:r>
      <w:r>
        <w:rPr/>
        <w:t>of</w:t>
      </w:r>
      <w:r>
        <w:rPr>
          <w:spacing w:val="-10"/>
        </w:rPr>
        <w:t> </w:t>
      </w:r>
      <w:r>
        <w:rPr/>
        <w:t>approx.</w:t>
      </w:r>
      <w:r>
        <w:rPr>
          <w:spacing w:val="-12"/>
        </w:rPr>
        <w:t> </w:t>
      </w:r>
      <w:r>
        <w:rPr/>
        <w:t>1 km</w:t>
      </w:r>
      <w:r>
        <w:rPr>
          <w:spacing w:val="-11"/>
        </w:rPr>
        <w:t> </w:t>
      </w:r>
      <w:r>
        <w:rPr/>
        <w:t>from</w:t>
      </w:r>
      <w:r>
        <w:rPr>
          <w:spacing w:val="-12"/>
        </w:rPr>
        <w:t> </w:t>
      </w:r>
      <w:r>
        <w:rPr/>
        <w:t>subject</w:t>
      </w:r>
      <w:r>
        <w:rPr>
          <w:spacing w:val="-11"/>
        </w:rPr>
        <w:t> </w:t>
      </w:r>
      <w:r>
        <w:rPr/>
        <w:t>property)</w:t>
      </w:r>
      <w:r>
        <w:rPr>
          <w:spacing w:val="-9"/>
        </w:rPr>
        <w:t> </w:t>
      </w:r>
      <w:r>
        <w:rPr/>
        <w:t>is</w:t>
      </w:r>
      <w:r>
        <w:rPr>
          <w:spacing w:val="-11"/>
        </w:rPr>
        <w:t> </w:t>
      </w:r>
      <w:r>
        <w:rPr/>
        <w:t>being</w:t>
      </w:r>
      <w:r>
        <w:rPr>
          <w:spacing w:val="-11"/>
        </w:rPr>
        <w:t> </w:t>
      </w:r>
      <w:r>
        <w:rPr/>
        <w:t>converted</w:t>
      </w:r>
      <w:r>
        <w:rPr>
          <w:spacing w:val="-10"/>
        </w:rPr>
        <w:t> </w:t>
      </w:r>
      <w:r>
        <w:rPr/>
        <w:t>to</w:t>
      </w:r>
      <w:r>
        <w:rPr>
          <w:spacing w:val="-10"/>
        </w:rPr>
        <w:t> </w:t>
      </w:r>
      <w:r>
        <w:rPr/>
        <w:t>a</w:t>
      </w:r>
      <w:r>
        <w:rPr>
          <w:spacing w:val="-13"/>
        </w:rPr>
        <w:t> </w:t>
      </w:r>
      <w:r>
        <w:rPr/>
        <w:t>16-lane</w:t>
      </w:r>
      <w:r>
        <w:rPr>
          <w:spacing w:val="-11"/>
        </w:rPr>
        <w:t> </w:t>
      </w:r>
      <w:r>
        <w:rPr/>
        <w:t>expressway</w:t>
      </w:r>
      <w:r>
        <w:rPr>
          <w:spacing w:val="-11"/>
        </w:rPr>
        <w:t> </w:t>
      </w:r>
      <w:r>
        <w:rPr/>
        <w:t>providing dedicated 8 lanes on the main carriage-way and additional 8 lanes for transit traffic</w:t>
      </w:r>
      <w:r>
        <w:rPr>
          <w:spacing w:val="-5"/>
        </w:rPr>
        <w:t> </w:t>
      </w:r>
      <w:r>
        <w:rPr/>
        <w:t>to</w:t>
      </w:r>
      <w:r>
        <w:rPr>
          <w:spacing w:val="-4"/>
        </w:rPr>
        <w:t> </w:t>
      </w:r>
      <w:r>
        <w:rPr/>
        <w:t>the</w:t>
      </w:r>
      <w:r>
        <w:rPr>
          <w:spacing w:val="-5"/>
        </w:rPr>
        <w:t> </w:t>
      </w:r>
      <w:r>
        <w:rPr/>
        <w:t>city</w:t>
      </w:r>
      <w:r>
        <w:rPr>
          <w:spacing w:val="-3"/>
        </w:rPr>
        <w:t> </w:t>
      </w:r>
      <w:r>
        <w:rPr/>
        <w:t>nodes.</w:t>
      </w:r>
      <w:r>
        <w:rPr>
          <w:spacing w:val="-5"/>
        </w:rPr>
        <w:t> </w:t>
      </w:r>
      <w:r>
        <w:rPr/>
        <w:t>The</w:t>
      </w:r>
      <w:r>
        <w:rPr>
          <w:spacing w:val="-5"/>
        </w:rPr>
        <w:t> </w:t>
      </w:r>
      <w:r>
        <w:rPr/>
        <w:t>development</w:t>
      </w:r>
      <w:r>
        <w:rPr>
          <w:spacing w:val="-6"/>
        </w:rPr>
        <w:t> </w:t>
      </w:r>
      <w:r>
        <w:rPr/>
        <w:t>work</w:t>
      </w:r>
      <w:r>
        <w:rPr>
          <w:spacing w:val="-6"/>
        </w:rPr>
        <w:t> </w:t>
      </w:r>
      <w:r>
        <w:rPr/>
        <w:t>on</w:t>
      </w:r>
      <w:r>
        <w:rPr>
          <w:spacing w:val="-5"/>
        </w:rPr>
        <w:t> </w:t>
      </w:r>
      <w:r>
        <w:rPr/>
        <w:t>the</w:t>
      </w:r>
      <w:r>
        <w:rPr>
          <w:spacing w:val="-5"/>
        </w:rPr>
        <w:t> </w:t>
      </w:r>
      <w:r>
        <w:rPr/>
        <w:t>same</w:t>
      </w:r>
      <w:r>
        <w:rPr>
          <w:spacing w:val="-5"/>
        </w:rPr>
        <w:t> </w:t>
      </w:r>
      <w:r>
        <w:rPr/>
        <w:t>is</w:t>
      </w:r>
      <w:r>
        <w:rPr>
          <w:spacing w:val="-3"/>
        </w:rPr>
        <w:t> </w:t>
      </w:r>
      <w:r>
        <w:rPr/>
        <w:t>currently</w:t>
      </w:r>
      <w:r>
        <w:rPr>
          <w:spacing w:val="-5"/>
        </w:rPr>
        <w:t> </w:t>
      </w:r>
      <w:r>
        <w:rPr/>
        <w:t>under progress and is expected to be completed by Year 2020 </w:t>
      </w:r>
      <w:r>
        <w:rPr>
          <w:w w:val="105"/>
        </w:rPr>
        <w:t>–</w:t>
      </w:r>
      <w:r>
        <w:rPr>
          <w:spacing w:val="-47"/>
          <w:w w:val="105"/>
        </w:rPr>
        <w:t> </w:t>
      </w:r>
      <w:r>
        <w:rPr/>
        <w:t>21.</w:t>
      </w:r>
    </w:p>
    <w:p>
      <w:pPr>
        <w:pStyle w:val="BodyText"/>
        <w:spacing w:line="321" w:lineRule="auto" w:before="122"/>
        <w:ind w:left="2682" w:right="224"/>
        <w:jc w:val="both"/>
      </w:pPr>
      <w:r>
        <w:rPr/>
        <w:t>Thus,</w:t>
      </w:r>
      <w:r>
        <w:rPr>
          <w:spacing w:val="-26"/>
        </w:rPr>
        <w:t> </w:t>
      </w:r>
      <w:r>
        <w:rPr/>
        <w:t>considering</w:t>
      </w:r>
      <w:r>
        <w:rPr>
          <w:spacing w:val="-26"/>
        </w:rPr>
        <w:t> </w:t>
      </w:r>
      <w:r>
        <w:rPr/>
        <w:t>the</w:t>
      </w:r>
      <w:r>
        <w:rPr>
          <w:spacing w:val="-26"/>
        </w:rPr>
        <w:t> </w:t>
      </w:r>
      <w:r>
        <w:rPr/>
        <w:t>development</w:t>
      </w:r>
      <w:r>
        <w:rPr>
          <w:spacing w:val="-25"/>
        </w:rPr>
        <w:t> </w:t>
      </w:r>
      <w:r>
        <w:rPr/>
        <w:t>activity</w:t>
      </w:r>
      <w:r>
        <w:rPr>
          <w:spacing w:val="-25"/>
        </w:rPr>
        <w:t> </w:t>
      </w:r>
      <w:r>
        <w:rPr/>
        <w:t>witnessed</w:t>
      </w:r>
      <w:r>
        <w:rPr>
          <w:spacing w:val="-25"/>
        </w:rPr>
        <w:t> </w:t>
      </w:r>
      <w:r>
        <w:rPr/>
        <w:t>and</w:t>
      </w:r>
      <w:r>
        <w:rPr>
          <w:spacing w:val="-25"/>
        </w:rPr>
        <w:t> </w:t>
      </w:r>
      <w:r>
        <w:rPr/>
        <w:t>ongoing</w:t>
      </w:r>
      <w:r>
        <w:rPr>
          <w:spacing w:val="-25"/>
        </w:rPr>
        <w:t> </w:t>
      </w:r>
      <w:r>
        <w:rPr/>
        <w:t>infrastructure initiatives,</w:t>
      </w:r>
      <w:r>
        <w:rPr>
          <w:spacing w:val="-32"/>
        </w:rPr>
        <w:t> </w:t>
      </w:r>
      <w:r>
        <w:rPr/>
        <w:t>the</w:t>
      </w:r>
      <w:r>
        <w:rPr>
          <w:spacing w:val="-32"/>
        </w:rPr>
        <w:t> </w:t>
      </w:r>
      <w:r>
        <w:rPr/>
        <w:t>attractiveness</w:t>
      </w:r>
      <w:r>
        <w:rPr>
          <w:spacing w:val="-31"/>
        </w:rPr>
        <w:t> </w:t>
      </w:r>
      <w:r>
        <w:rPr/>
        <w:t>of</w:t>
      </w:r>
      <w:r>
        <w:rPr>
          <w:spacing w:val="-33"/>
        </w:rPr>
        <w:t> </w:t>
      </w:r>
      <w:r>
        <w:rPr/>
        <w:t>the</w:t>
      </w:r>
      <w:r>
        <w:rPr>
          <w:spacing w:val="-32"/>
        </w:rPr>
        <w:t> </w:t>
      </w:r>
      <w:r>
        <w:rPr/>
        <w:t>subject</w:t>
      </w:r>
      <w:r>
        <w:rPr>
          <w:spacing w:val="-30"/>
        </w:rPr>
        <w:t> </w:t>
      </w:r>
      <w:r>
        <w:rPr/>
        <w:t>sub-market</w:t>
      </w:r>
      <w:r>
        <w:rPr>
          <w:spacing w:val="-31"/>
        </w:rPr>
        <w:t> </w:t>
      </w:r>
      <w:r>
        <w:rPr/>
        <w:t>is</w:t>
      </w:r>
      <w:r>
        <w:rPr>
          <w:spacing w:val="-32"/>
        </w:rPr>
        <w:t> </w:t>
      </w:r>
      <w:r>
        <w:rPr/>
        <w:t>expected</w:t>
      </w:r>
      <w:r>
        <w:rPr>
          <w:spacing w:val="-31"/>
        </w:rPr>
        <w:t> </w:t>
      </w:r>
      <w:r>
        <w:rPr/>
        <w:t>to</w:t>
      </w:r>
      <w:r>
        <w:rPr>
          <w:spacing w:val="-32"/>
        </w:rPr>
        <w:t> </w:t>
      </w:r>
      <w:r>
        <w:rPr/>
        <w:t>enhance</w:t>
      </w:r>
      <w:r>
        <w:rPr>
          <w:spacing w:val="-32"/>
        </w:rPr>
        <w:t> </w:t>
      </w:r>
      <w:r>
        <w:rPr/>
        <w:t>in the short-medium</w:t>
      </w:r>
      <w:r>
        <w:rPr>
          <w:spacing w:val="-8"/>
        </w:rPr>
        <w:t> </w:t>
      </w:r>
      <w:r>
        <w:rPr/>
        <w:t>term.</w:t>
      </w:r>
    </w:p>
    <w:p>
      <w:pPr>
        <w:pStyle w:val="BodyText"/>
        <w:spacing w:before="7"/>
        <w:rPr>
          <w:sz w:val="11"/>
        </w:rPr>
      </w:pPr>
    </w:p>
    <w:p>
      <w:pPr>
        <w:spacing w:after="0"/>
        <w:rPr>
          <w:sz w:val="11"/>
        </w:rPr>
        <w:sectPr>
          <w:pgSz w:w="11910" w:h="16840"/>
          <w:pgMar w:header="720" w:footer="921" w:top="1660" w:bottom="1120" w:left="580" w:right="600"/>
        </w:sectPr>
      </w:pPr>
    </w:p>
    <w:p>
      <w:pPr>
        <w:pStyle w:val="BodyText"/>
        <w:spacing w:line="321" w:lineRule="auto" w:before="106"/>
        <w:ind w:left="805" w:right="-14"/>
      </w:pPr>
      <w:r>
        <w:rPr>
          <w:w w:val="95"/>
        </w:rPr>
        <w:t>Suitability</w:t>
      </w:r>
      <w:r>
        <w:rPr>
          <w:spacing w:val="-39"/>
          <w:w w:val="95"/>
        </w:rPr>
        <w:t> </w:t>
      </w:r>
      <w:r>
        <w:rPr>
          <w:w w:val="95"/>
        </w:rPr>
        <w:t>of existing</w:t>
      </w:r>
      <w:r>
        <w:rPr>
          <w:spacing w:val="-5"/>
          <w:w w:val="95"/>
        </w:rPr>
        <w:t> use:</w:t>
      </w:r>
    </w:p>
    <w:p>
      <w:pPr>
        <w:pStyle w:val="BodyText"/>
        <w:spacing w:line="321" w:lineRule="auto" w:before="106"/>
        <w:ind w:left="667"/>
      </w:pPr>
      <w:r>
        <w:rPr/>
        <w:br w:type="column"/>
      </w:r>
      <w:r>
        <w:rPr/>
        <w:t>Considering the profile of surrounding developments, the subject property is opined to be suited for its current use viz. IT/ ITeS office park.</w:t>
      </w:r>
    </w:p>
    <w:p>
      <w:pPr>
        <w:spacing w:after="0" w:line="321" w:lineRule="auto"/>
        <w:sectPr>
          <w:type w:val="continuous"/>
          <w:pgSz w:w="11910" w:h="16840"/>
          <w:pgMar w:top="800" w:bottom="280" w:left="580" w:right="600"/>
          <w:cols w:num="2" w:equalWidth="0">
            <w:col w:w="1975" w:space="40"/>
            <w:col w:w="8715"/>
          </w:cols>
        </w:sectPr>
      </w:pPr>
    </w:p>
    <w:p>
      <w:pPr>
        <w:spacing w:before="75"/>
        <w:ind w:left="211" w:right="0" w:firstLine="0"/>
        <w:jc w:val="left"/>
        <w:rPr>
          <w:sz w:val="20"/>
        </w:rPr>
      </w:pPr>
      <w:r>
        <w:rPr/>
        <w:drawing>
          <wp:anchor distT="0" distB="0" distL="0" distR="0" allowOverlap="1" layoutInCell="1" locked="0" behindDoc="0" simplePos="0" relativeHeight="1204">
            <wp:simplePos x="0" y="0"/>
            <wp:positionH relativeFrom="page">
              <wp:posOffset>832485</wp:posOffset>
            </wp:positionH>
            <wp:positionV relativeFrom="paragraph">
              <wp:posOffset>283078</wp:posOffset>
            </wp:positionV>
            <wp:extent cx="9725902" cy="79248"/>
            <wp:effectExtent l="0" t="0" r="0" b="0"/>
            <wp:wrapTopAndBottom/>
            <wp:docPr id="247" name="image78.png"/>
            <wp:cNvGraphicFramePr>
              <a:graphicFrameLocks noChangeAspect="1"/>
            </wp:cNvGraphicFramePr>
            <a:graphic>
              <a:graphicData uri="http://schemas.openxmlformats.org/drawingml/2006/picture">
                <pic:pic>
                  <pic:nvPicPr>
                    <pic:cNvPr id="248" name="image78.png"/>
                    <pic:cNvPicPr/>
                  </pic:nvPicPr>
                  <pic:blipFill>
                    <a:blip r:embed="rId106" cstate="print"/>
                    <a:stretch>
                      <a:fillRect/>
                    </a:stretch>
                  </pic:blipFill>
                  <pic:spPr>
                    <a:xfrm>
                      <a:off x="0" y="0"/>
                      <a:ext cx="9725902" cy="79248"/>
                    </a:xfrm>
                    <a:prstGeom prst="rect">
                      <a:avLst/>
                    </a:prstGeom>
                  </pic:spPr>
                </pic:pic>
              </a:graphicData>
            </a:graphic>
          </wp:anchor>
        </w:drawing>
      </w:r>
      <w:r>
        <w:rPr/>
        <w:drawing>
          <wp:anchor distT="0" distB="0" distL="0" distR="0" allowOverlap="1" layoutInCell="1" locked="0" behindDoc="0" simplePos="0" relativeHeight="16347136">
            <wp:simplePos x="0" y="0"/>
            <wp:positionH relativeFrom="page">
              <wp:posOffset>7715250</wp:posOffset>
            </wp:positionH>
            <wp:positionV relativeFrom="page">
              <wp:posOffset>7056222</wp:posOffset>
            </wp:positionV>
            <wp:extent cx="1079500" cy="300457"/>
            <wp:effectExtent l="0" t="0" r="0" b="0"/>
            <wp:wrapNone/>
            <wp:docPr id="249" name="image3.jpeg"/>
            <wp:cNvGraphicFramePr>
              <a:graphicFrameLocks noChangeAspect="1"/>
            </wp:cNvGraphicFramePr>
            <a:graphic>
              <a:graphicData uri="http://schemas.openxmlformats.org/drawingml/2006/picture">
                <pic:pic>
                  <pic:nvPicPr>
                    <pic:cNvPr id="250"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6347648">
            <wp:simplePos x="0" y="0"/>
            <wp:positionH relativeFrom="page">
              <wp:posOffset>8915582</wp:posOffset>
            </wp:positionH>
            <wp:positionV relativeFrom="page">
              <wp:posOffset>6920670</wp:posOffset>
            </wp:positionV>
            <wp:extent cx="909288" cy="433873"/>
            <wp:effectExtent l="0" t="0" r="0" b="0"/>
            <wp:wrapNone/>
            <wp:docPr id="251" name="image4.png"/>
            <wp:cNvGraphicFramePr>
              <a:graphicFrameLocks noChangeAspect="1"/>
            </wp:cNvGraphicFramePr>
            <a:graphic>
              <a:graphicData uri="http://schemas.openxmlformats.org/drawingml/2006/picture">
                <pic:pic>
                  <pic:nvPicPr>
                    <pic:cNvPr id="252"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BodyText"/>
        <w:rPr>
          <w:sz w:val="24"/>
        </w:rPr>
      </w:pPr>
    </w:p>
    <w:p>
      <w:pPr>
        <w:pStyle w:val="BodyText"/>
        <w:spacing w:before="179"/>
        <w:ind w:left="211"/>
      </w:pPr>
      <w:r>
        <w:rPr/>
        <w:t>The following map indicates the location of the subject property and surrounding developments:</w:t>
      </w:r>
    </w:p>
    <w:p>
      <w:pPr>
        <w:pStyle w:val="BodyText"/>
        <w:spacing w:before="8"/>
        <w:rPr>
          <w:sz w:val="19"/>
        </w:rPr>
      </w:pPr>
      <w:r>
        <w:rPr/>
        <w:pict>
          <v:group style="position:absolute;margin-left:70.559998pt;margin-top:13.403945pt;width:676.95pt;height:14.2pt;mso-position-horizontal-relative:page;mso-position-vertical-relative:paragraph;z-index:-15111168;mso-wrap-distance-left:0;mso-wrap-distance-right:0" coordorigin="1411,268" coordsize="13539,284">
            <v:rect style="position:absolute;left:1411;top:299;width:13539;height:252" filled="true" fillcolor="#006a4d" stroked="false">
              <v:fill type="solid"/>
            </v:rect>
            <v:rect style="position:absolute;left:1411;top:268;width:13539;height:29" filled="true" fillcolor="#1f6b16" stroked="false">
              <v:fill type="solid"/>
            </v:rect>
            <v:rect style="position:absolute;left:1411;top:296;width:13539;height:3" filled="true" fillcolor="#006a4d" stroked="false">
              <v:fill type="solid"/>
            </v:rect>
            <v:shape style="position:absolute;left:1411;top:299;width:13539;height:252" type="#_x0000_t202" filled="false" stroked="false">
              <v:textbox inset="0,0,0,0">
                <w:txbxContent>
                  <w:p>
                    <w:pPr>
                      <w:spacing w:before="23"/>
                      <w:ind w:left="5053" w:right="5054" w:firstLine="0"/>
                      <w:jc w:val="center"/>
                      <w:rPr>
                        <w:b/>
                        <w:sz w:val="18"/>
                      </w:rPr>
                    </w:pPr>
                    <w:r>
                      <w:rPr>
                        <w:b/>
                        <w:color w:val="FFFFFF"/>
                        <w:w w:val="105"/>
                        <w:sz w:val="18"/>
                      </w:rPr>
                      <w:t>Location Map for the Subject Property</w:t>
                    </w:r>
                  </w:p>
                </w:txbxContent>
              </v:textbox>
              <w10:wrap type="none"/>
            </v:shape>
            <w10:wrap type="topAndBottom"/>
          </v:group>
        </w:pict>
      </w:r>
      <w:r>
        <w:rPr/>
        <w:drawing>
          <wp:anchor distT="0" distB="0" distL="0" distR="0" allowOverlap="1" layoutInCell="1" locked="0" behindDoc="0" simplePos="0" relativeHeight="1207">
            <wp:simplePos x="0" y="0"/>
            <wp:positionH relativeFrom="page">
              <wp:posOffset>1432327</wp:posOffset>
            </wp:positionH>
            <wp:positionV relativeFrom="paragraph">
              <wp:posOffset>482650</wp:posOffset>
            </wp:positionV>
            <wp:extent cx="7649527" cy="4462272"/>
            <wp:effectExtent l="0" t="0" r="0" b="0"/>
            <wp:wrapTopAndBottom/>
            <wp:docPr id="253" name="image186.png"/>
            <wp:cNvGraphicFramePr>
              <a:graphicFrameLocks noChangeAspect="1"/>
            </wp:cNvGraphicFramePr>
            <a:graphic>
              <a:graphicData uri="http://schemas.openxmlformats.org/drawingml/2006/picture">
                <pic:pic>
                  <pic:nvPicPr>
                    <pic:cNvPr id="254" name="image186.png"/>
                    <pic:cNvPicPr/>
                  </pic:nvPicPr>
                  <pic:blipFill>
                    <a:blip r:embed="rId247" cstate="print"/>
                    <a:stretch>
                      <a:fillRect/>
                    </a:stretch>
                  </pic:blipFill>
                  <pic:spPr>
                    <a:xfrm>
                      <a:off x="0" y="0"/>
                      <a:ext cx="7649527" cy="4462272"/>
                    </a:xfrm>
                    <a:prstGeom prst="rect">
                      <a:avLst/>
                    </a:prstGeom>
                  </pic:spPr>
                </pic:pic>
              </a:graphicData>
            </a:graphic>
          </wp:anchor>
        </w:drawing>
      </w:r>
    </w:p>
    <w:p>
      <w:pPr>
        <w:pStyle w:val="BodyText"/>
        <w:spacing w:before="1"/>
        <w:rPr>
          <w:sz w:val="12"/>
        </w:rPr>
      </w:pPr>
    </w:p>
    <w:p>
      <w:pPr>
        <w:spacing w:before="161"/>
        <w:ind w:left="886" w:right="0" w:firstLine="0"/>
        <w:jc w:val="left"/>
        <w:rPr>
          <w:i/>
          <w:sz w:val="18"/>
        </w:rPr>
      </w:pPr>
      <w:r>
        <w:rPr>
          <w:i/>
          <w:sz w:val="18"/>
        </w:rPr>
        <w:t>Source: Consultants’ Research</w:t>
      </w:r>
    </w:p>
    <w:p>
      <w:pPr>
        <w:spacing w:after="0"/>
        <w:jc w:val="left"/>
        <w:rPr>
          <w:sz w:val="18"/>
        </w:rPr>
        <w:sectPr>
          <w:headerReference w:type="default" r:id="rId245"/>
          <w:footerReference w:type="default" r:id="rId246"/>
          <w:pgSz w:w="16840" w:h="11910" w:orient="landscape"/>
          <w:pgMar w:header="0" w:footer="504" w:top="640" w:bottom="700" w:left="1200" w:right="200"/>
        </w:sectPr>
      </w:pPr>
    </w:p>
    <w:p>
      <w:pPr>
        <w:pStyle w:val="BodyText"/>
        <w:spacing w:before="7"/>
        <w:rPr>
          <w:i/>
          <w:sz w:val="9"/>
        </w:rPr>
      </w:pPr>
    </w:p>
    <w:p>
      <w:pPr>
        <w:pStyle w:val="BodyText"/>
        <w:tabs>
          <w:tab w:pos="2715" w:val="left" w:leader="none"/>
        </w:tabs>
        <w:spacing w:line="321" w:lineRule="auto" w:before="106"/>
        <w:ind w:left="2715" w:right="223" w:hanging="1931"/>
        <w:jc w:val="both"/>
      </w:pPr>
      <w:r>
        <w:rPr/>
        <w:t>Shape:</w:t>
        <w:tab/>
        <w:t>Based on the review of site plan provided by the Client and visual inspection undertaken</w:t>
      </w:r>
      <w:r>
        <w:rPr>
          <w:spacing w:val="-9"/>
        </w:rPr>
        <w:t> </w:t>
      </w:r>
      <w:r>
        <w:rPr/>
        <w:t>during</w:t>
      </w:r>
      <w:r>
        <w:rPr>
          <w:spacing w:val="-7"/>
        </w:rPr>
        <w:t> </w:t>
      </w:r>
      <w:r>
        <w:rPr/>
        <w:t>the</w:t>
      </w:r>
      <w:r>
        <w:rPr>
          <w:spacing w:val="-8"/>
        </w:rPr>
        <w:t> </w:t>
      </w:r>
      <w:r>
        <w:rPr/>
        <w:t>site</w:t>
      </w:r>
      <w:r>
        <w:rPr>
          <w:spacing w:val="-8"/>
        </w:rPr>
        <w:t> </w:t>
      </w:r>
      <w:r>
        <w:rPr/>
        <w:t>visit,</w:t>
      </w:r>
      <w:r>
        <w:rPr>
          <w:spacing w:val="-9"/>
        </w:rPr>
        <w:t> </w:t>
      </w:r>
      <w:r>
        <w:rPr/>
        <w:t>it</w:t>
      </w:r>
      <w:r>
        <w:rPr>
          <w:spacing w:val="-8"/>
        </w:rPr>
        <w:t> </w:t>
      </w:r>
      <w:r>
        <w:rPr/>
        <w:t>is</w:t>
      </w:r>
      <w:r>
        <w:rPr>
          <w:spacing w:val="-8"/>
        </w:rPr>
        <w:t> </w:t>
      </w:r>
      <w:r>
        <w:rPr/>
        <w:t>understood</w:t>
      </w:r>
      <w:r>
        <w:rPr>
          <w:spacing w:val="-7"/>
        </w:rPr>
        <w:t> </w:t>
      </w:r>
      <w:r>
        <w:rPr/>
        <w:t>that</w:t>
      </w:r>
      <w:r>
        <w:rPr>
          <w:spacing w:val="-8"/>
        </w:rPr>
        <w:t> </w:t>
      </w:r>
      <w:r>
        <w:rPr/>
        <w:t>the</w:t>
      </w:r>
      <w:r>
        <w:rPr>
          <w:spacing w:val="-5"/>
        </w:rPr>
        <w:t> </w:t>
      </w:r>
      <w:r>
        <w:rPr/>
        <w:t>subject</w:t>
      </w:r>
      <w:r>
        <w:rPr>
          <w:spacing w:val="-8"/>
        </w:rPr>
        <w:t> </w:t>
      </w:r>
      <w:r>
        <w:rPr/>
        <w:t>land</w:t>
      </w:r>
      <w:r>
        <w:rPr>
          <w:spacing w:val="-8"/>
        </w:rPr>
        <w:t> </w:t>
      </w:r>
      <w:r>
        <w:rPr/>
        <w:t>parcel</w:t>
      </w:r>
      <w:r>
        <w:rPr>
          <w:spacing w:val="-8"/>
        </w:rPr>
        <w:t> </w:t>
      </w:r>
      <w:r>
        <w:rPr/>
        <w:t>is regular in</w:t>
      </w:r>
      <w:r>
        <w:rPr>
          <w:spacing w:val="-6"/>
        </w:rPr>
        <w:t> </w:t>
      </w:r>
      <w:r>
        <w:rPr/>
        <w:t>shape.</w:t>
      </w:r>
    </w:p>
    <w:p>
      <w:pPr>
        <w:pStyle w:val="BodyText"/>
        <w:tabs>
          <w:tab w:pos="2715" w:val="left" w:leader="none"/>
        </w:tabs>
        <w:spacing w:line="321" w:lineRule="auto" w:before="121"/>
        <w:ind w:left="2715" w:right="227" w:hanging="1931"/>
        <w:jc w:val="both"/>
      </w:pPr>
      <w:r>
        <w:rPr/>
        <w:t>Topography:</w:t>
        <w:tab/>
        <w:t>Based</w:t>
      </w:r>
      <w:r>
        <w:rPr>
          <w:spacing w:val="-20"/>
        </w:rPr>
        <w:t> </w:t>
      </w:r>
      <w:r>
        <w:rPr/>
        <w:t>on</w:t>
      </w:r>
      <w:r>
        <w:rPr>
          <w:spacing w:val="-19"/>
        </w:rPr>
        <w:t> </w:t>
      </w:r>
      <w:r>
        <w:rPr/>
        <w:t>the</w:t>
      </w:r>
      <w:r>
        <w:rPr>
          <w:spacing w:val="-20"/>
        </w:rPr>
        <w:t> </w:t>
      </w:r>
      <w:r>
        <w:rPr/>
        <w:t>site</w:t>
      </w:r>
      <w:r>
        <w:rPr>
          <w:spacing w:val="-20"/>
        </w:rPr>
        <w:t> </w:t>
      </w:r>
      <w:r>
        <w:rPr/>
        <w:t>plan</w:t>
      </w:r>
      <w:r>
        <w:rPr>
          <w:spacing w:val="-20"/>
        </w:rPr>
        <w:t> </w:t>
      </w:r>
      <w:r>
        <w:rPr/>
        <w:t>and</w:t>
      </w:r>
      <w:r>
        <w:rPr>
          <w:spacing w:val="-17"/>
        </w:rPr>
        <w:t> </w:t>
      </w:r>
      <w:r>
        <w:rPr/>
        <w:t>as</w:t>
      </w:r>
      <w:r>
        <w:rPr>
          <w:spacing w:val="-18"/>
        </w:rPr>
        <w:t> </w:t>
      </w:r>
      <w:r>
        <w:rPr/>
        <w:t>corroborated</w:t>
      </w:r>
      <w:r>
        <w:rPr>
          <w:spacing w:val="-19"/>
        </w:rPr>
        <w:t> </w:t>
      </w:r>
      <w:r>
        <w:rPr/>
        <w:t>with</w:t>
      </w:r>
      <w:r>
        <w:rPr>
          <w:spacing w:val="-20"/>
        </w:rPr>
        <w:t> </w:t>
      </w:r>
      <w:r>
        <w:rPr/>
        <w:t>our</w:t>
      </w:r>
      <w:r>
        <w:rPr>
          <w:spacing w:val="-20"/>
        </w:rPr>
        <w:t> </w:t>
      </w:r>
      <w:r>
        <w:rPr/>
        <w:t>site</w:t>
      </w:r>
      <w:r>
        <w:rPr>
          <w:spacing w:val="-20"/>
        </w:rPr>
        <w:t> </w:t>
      </w:r>
      <w:r>
        <w:rPr/>
        <w:t>visit,</w:t>
      </w:r>
      <w:r>
        <w:rPr>
          <w:spacing w:val="-19"/>
        </w:rPr>
        <w:t> </w:t>
      </w:r>
      <w:r>
        <w:rPr/>
        <w:t>the</w:t>
      </w:r>
      <w:r>
        <w:rPr>
          <w:spacing w:val="-20"/>
        </w:rPr>
        <w:t> </w:t>
      </w:r>
      <w:r>
        <w:rPr/>
        <w:t>site</w:t>
      </w:r>
      <w:r>
        <w:rPr>
          <w:spacing w:val="-19"/>
        </w:rPr>
        <w:t> </w:t>
      </w:r>
      <w:r>
        <w:rPr/>
        <w:t>appears</w:t>
      </w:r>
      <w:r>
        <w:rPr>
          <w:spacing w:val="-18"/>
        </w:rPr>
        <w:t> </w:t>
      </w:r>
      <w:r>
        <w:rPr/>
        <w:t>to be</w:t>
      </w:r>
      <w:r>
        <w:rPr>
          <w:spacing w:val="-17"/>
        </w:rPr>
        <w:t> </w:t>
      </w:r>
      <w:r>
        <w:rPr/>
        <w:t>even</w:t>
      </w:r>
      <w:r>
        <w:rPr>
          <w:spacing w:val="-17"/>
        </w:rPr>
        <w:t> </w:t>
      </w:r>
      <w:r>
        <w:rPr/>
        <w:t>and</w:t>
      </w:r>
      <w:r>
        <w:rPr>
          <w:spacing w:val="-16"/>
        </w:rPr>
        <w:t> </w:t>
      </w:r>
      <w:r>
        <w:rPr/>
        <w:t>on</w:t>
      </w:r>
      <w:r>
        <w:rPr>
          <w:spacing w:val="-17"/>
        </w:rPr>
        <w:t> </w:t>
      </w:r>
      <w:r>
        <w:rPr/>
        <w:t>the</w:t>
      </w:r>
      <w:r>
        <w:rPr>
          <w:spacing w:val="-17"/>
        </w:rPr>
        <w:t> </w:t>
      </w:r>
      <w:r>
        <w:rPr/>
        <w:t>same</w:t>
      </w:r>
      <w:r>
        <w:rPr>
          <w:spacing w:val="-18"/>
        </w:rPr>
        <w:t> </w:t>
      </w:r>
      <w:r>
        <w:rPr/>
        <w:t>level</w:t>
      </w:r>
      <w:r>
        <w:rPr>
          <w:spacing w:val="-17"/>
        </w:rPr>
        <w:t> </w:t>
      </w:r>
      <w:r>
        <w:rPr/>
        <w:t>as</w:t>
      </w:r>
      <w:r>
        <w:rPr>
          <w:spacing w:val="-16"/>
        </w:rPr>
        <w:t> </w:t>
      </w:r>
      <w:r>
        <w:rPr/>
        <w:t>abutting</w:t>
      </w:r>
      <w:r>
        <w:rPr>
          <w:spacing w:val="-15"/>
        </w:rPr>
        <w:t> </w:t>
      </w:r>
      <w:r>
        <w:rPr/>
        <w:t>access</w:t>
      </w:r>
      <w:r>
        <w:rPr>
          <w:spacing w:val="-16"/>
        </w:rPr>
        <w:t> </w:t>
      </w:r>
      <w:r>
        <w:rPr/>
        <w:t>road</w:t>
      </w:r>
      <w:r>
        <w:rPr>
          <w:spacing w:val="-15"/>
        </w:rPr>
        <w:t> </w:t>
      </w:r>
      <w:r>
        <w:rPr/>
        <w:t>and</w:t>
      </w:r>
      <w:r>
        <w:rPr>
          <w:spacing w:val="-17"/>
        </w:rPr>
        <w:t> </w:t>
      </w:r>
      <w:r>
        <w:rPr/>
        <w:t>adjoining</w:t>
      </w:r>
      <w:r>
        <w:rPr>
          <w:spacing w:val="-15"/>
        </w:rPr>
        <w:t> </w:t>
      </w:r>
      <w:r>
        <w:rPr/>
        <w:t>properties.</w:t>
      </w:r>
    </w:p>
    <w:p>
      <w:pPr>
        <w:pStyle w:val="BodyText"/>
        <w:tabs>
          <w:tab w:pos="2715" w:val="left" w:leader="none"/>
        </w:tabs>
        <w:spacing w:line="321" w:lineRule="auto" w:before="121"/>
        <w:ind w:left="2715" w:right="220" w:hanging="1931"/>
        <w:jc w:val="both"/>
      </w:pPr>
      <w:r>
        <w:rPr>
          <w:w w:val="95"/>
        </w:rPr>
        <w:t>Accessibility:</w:t>
        <w:tab/>
      </w:r>
      <w:r>
        <w:rPr/>
        <w:t>Based on the review of site plan provided by the Client coupled with visual inspection</w:t>
      </w:r>
      <w:r>
        <w:rPr>
          <w:spacing w:val="-24"/>
        </w:rPr>
        <w:t> </w:t>
      </w:r>
      <w:r>
        <w:rPr/>
        <w:t>undertaken,</w:t>
      </w:r>
      <w:r>
        <w:rPr>
          <w:spacing w:val="-24"/>
        </w:rPr>
        <w:t> </w:t>
      </w:r>
      <w:r>
        <w:rPr/>
        <w:t>it</w:t>
      </w:r>
      <w:r>
        <w:rPr>
          <w:spacing w:val="-25"/>
        </w:rPr>
        <w:t> </w:t>
      </w:r>
      <w:r>
        <w:rPr/>
        <w:t>was</w:t>
      </w:r>
      <w:r>
        <w:rPr>
          <w:spacing w:val="-22"/>
        </w:rPr>
        <w:t> </w:t>
      </w:r>
      <w:r>
        <w:rPr/>
        <w:t>observed</w:t>
      </w:r>
      <w:r>
        <w:rPr>
          <w:spacing w:val="-24"/>
        </w:rPr>
        <w:t> </w:t>
      </w:r>
      <w:r>
        <w:rPr/>
        <w:t>that</w:t>
      </w:r>
      <w:r>
        <w:rPr>
          <w:spacing w:val="-23"/>
        </w:rPr>
        <w:t> </w:t>
      </w:r>
      <w:r>
        <w:rPr/>
        <w:t>the</w:t>
      </w:r>
      <w:r>
        <w:rPr>
          <w:spacing w:val="-26"/>
        </w:rPr>
        <w:t> </w:t>
      </w:r>
      <w:r>
        <w:rPr/>
        <w:t>access</w:t>
      </w:r>
      <w:r>
        <w:rPr>
          <w:spacing w:val="-24"/>
        </w:rPr>
        <w:t> </w:t>
      </w:r>
      <w:r>
        <w:rPr/>
        <w:t>to</w:t>
      </w:r>
      <w:r>
        <w:rPr>
          <w:spacing w:val="-24"/>
        </w:rPr>
        <w:t> </w:t>
      </w:r>
      <w:r>
        <w:rPr/>
        <w:t>the</w:t>
      </w:r>
      <w:r>
        <w:rPr>
          <w:spacing w:val="-25"/>
        </w:rPr>
        <w:t> </w:t>
      </w:r>
      <w:r>
        <w:rPr/>
        <w:t>subject</w:t>
      </w:r>
      <w:r>
        <w:rPr>
          <w:spacing w:val="-24"/>
        </w:rPr>
        <w:t> </w:t>
      </w:r>
      <w:r>
        <w:rPr/>
        <w:t>property</w:t>
      </w:r>
      <w:r>
        <w:rPr>
          <w:spacing w:val="-23"/>
        </w:rPr>
        <w:t> </w:t>
      </w:r>
      <w:r>
        <w:rPr>
          <w:spacing w:val="-3"/>
        </w:rPr>
        <w:t>is </w:t>
      </w:r>
      <w:r>
        <w:rPr/>
        <w:t>via</w:t>
      </w:r>
      <w:r>
        <w:rPr>
          <w:spacing w:val="-30"/>
        </w:rPr>
        <w:t> </w:t>
      </w:r>
      <w:r>
        <w:rPr/>
        <w:t>a</w:t>
      </w:r>
      <w:r>
        <w:rPr>
          <w:spacing w:val="-30"/>
        </w:rPr>
        <w:t> </w:t>
      </w:r>
      <w:r>
        <w:rPr/>
        <w:t>sector</w:t>
      </w:r>
      <w:r>
        <w:rPr>
          <w:spacing w:val="-30"/>
        </w:rPr>
        <w:t> </w:t>
      </w:r>
      <w:r>
        <w:rPr/>
        <w:t>road</w:t>
      </w:r>
      <w:r>
        <w:rPr>
          <w:spacing w:val="-29"/>
        </w:rPr>
        <w:t> </w:t>
      </w:r>
      <w:r>
        <w:rPr/>
        <w:t>of</w:t>
      </w:r>
      <w:r>
        <w:rPr>
          <w:spacing w:val="-28"/>
        </w:rPr>
        <w:t> </w:t>
      </w:r>
      <w:r>
        <w:rPr/>
        <w:t>Sector</w:t>
      </w:r>
      <w:r>
        <w:rPr>
          <w:spacing w:val="-29"/>
        </w:rPr>
        <w:t> </w:t>
      </w:r>
      <w:r>
        <w:rPr/>
        <w:t>62,</w:t>
      </w:r>
      <w:r>
        <w:rPr>
          <w:spacing w:val="-29"/>
        </w:rPr>
        <w:t> </w:t>
      </w:r>
      <w:r>
        <w:rPr/>
        <w:t>which</w:t>
      </w:r>
      <w:r>
        <w:rPr>
          <w:spacing w:val="-29"/>
        </w:rPr>
        <w:t> </w:t>
      </w:r>
      <w:r>
        <w:rPr/>
        <w:t>is</w:t>
      </w:r>
      <w:r>
        <w:rPr>
          <w:spacing w:val="-29"/>
        </w:rPr>
        <w:t> </w:t>
      </w:r>
      <w:r>
        <w:rPr/>
        <w:t>an</w:t>
      </w:r>
      <w:r>
        <w:rPr>
          <w:spacing w:val="-27"/>
        </w:rPr>
        <w:t> </w:t>
      </w:r>
      <w:r>
        <w:rPr/>
        <w:t>approx.</w:t>
      </w:r>
      <w:r>
        <w:rPr>
          <w:spacing w:val="-30"/>
        </w:rPr>
        <w:t> </w:t>
      </w:r>
      <w:r>
        <w:rPr/>
        <w:t>45</w:t>
      </w:r>
      <w:r>
        <w:rPr>
          <w:spacing w:val="-29"/>
        </w:rPr>
        <w:t> </w:t>
      </w:r>
      <w:r>
        <w:rPr/>
        <w:t>m</w:t>
      </w:r>
      <w:r>
        <w:rPr>
          <w:spacing w:val="-29"/>
        </w:rPr>
        <w:t> </w:t>
      </w:r>
      <w:r>
        <w:rPr/>
        <w:t>wide</w:t>
      </w:r>
      <w:r>
        <w:rPr>
          <w:spacing w:val="-29"/>
        </w:rPr>
        <w:t> </w:t>
      </w:r>
      <w:r>
        <w:rPr/>
        <w:t>road</w:t>
      </w:r>
      <w:r>
        <w:rPr>
          <w:spacing w:val="-29"/>
        </w:rPr>
        <w:t> </w:t>
      </w:r>
      <w:r>
        <w:rPr/>
        <w:t>located</w:t>
      </w:r>
      <w:r>
        <w:rPr>
          <w:spacing w:val="-28"/>
        </w:rPr>
        <w:t> </w:t>
      </w:r>
      <w:r>
        <w:rPr/>
        <w:t>towards the</w:t>
      </w:r>
      <w:r>
        <w:rPr>
          <w:spacing w:val="-42"/>
        </w:rPr>
        <w:t> </w:t>
      </w:r>
      <w:r>
        <w:rPr/>
        <w:t>south</w:t>
      </w:r>
      <w:r>
        <w:rPr>
          <w:spacing w:val="-42"/>
        </w:rPr>
        <w:t> </w:t>
      </w:r>
      <w:r>
        <w:rPr/>
        <w:t>of</w:t>
      </w:r>
      <w:r>
        <w:rPr>
          <w:spacing w:val="-42"/>
        </w:rPr>
        <w:t> </w:t>
      </w:r>
      <w:r>
        <w:rPr/>
        <w:t>the</w:t>
      </w:r>
      <w:r>
        <w:rPr>
          <w:spacing w:val="-42"/>
        </w:rPr>
        <w:t> </w:t>
      </w:r>
      <w:r>
        <w:rPr/>
        <w:t>subject</w:t>
      </w:r>
      <w:r>
        <w:rPr>
          <w:spacing w:val="-41"/>
        </w:rPr>
        <w:t> </w:t>
      </w:r>
      <w:r>
        <w:rPr/>
        <w:t>property.</w:t>
      </w:r>
      <w:r>
        <w:rPr>
          <w:spacing w:val="-43"/>
        </w:rPr>
        <w:t> </w:t>
      </w:r>
      <w:r>
        <w:rPr/>
        <w:t>The</w:t>
      </w:r>
      <w:r>
        <w:rPr>
          <w:spacing w:val="-42"/>
        </w:rPr>
        <w:t> </w:t>
      </w:r>
      <w:r>
        <w:rPr/>
        <w:t>subject</w:t>
      </w:r>
      <w:r>
        <w:rPr>
          <w:spacing w:val="-42"/>
        </w:rPr>
        <w:t> </w:t>
      </w:r>
      <w:r>
        <w:rPr/>
        <w:t>property</w:t>
      </w:r>
      <w:r>
        <w:rPr>
          <w:spacing w:val="-40"/>
        </w:rPr>
        <w:t> </w:t>
      </w:r>
      <w:r>
        <w:rPr/>
        <w:t>enjoys</w:t>
      </w:r>
      <w:r>
        <w:rPr>
          <w:spacing w:val="-41"/>
        </w:rPr>
        <w:t> </w:t>
      </w:r>
      <w:r>
        <w:rPr/>
        <w:t>significant</w:t>
      </w:r>
      <w:r>
        <w:rPr>
          <w:spacing w:val="-41"/>
        </w:rPr>
        <w:t> </w:t>
      </w:r>
      <w:r>
        <w:rPr/>
        <w:t>frontage along the access</w:t>
      </w:r>
      <w:r>
        <w:rPr>
          <w:spacing w:val="-7"/>
        </w:rPr>
        <w:t> </w:t>
      </w:r>
      <w:r>
        <w:rPr/>
        <w:t>road.</w:t>
      </w:r>
    </w:p>
    <w:p>
      <w:pPr>
        <w:pStyle w:val="BodyText"/>
        <w:tabs>
          <w:tab w:pos="2715" w:val="left" w:leader="none"/>
        </w:tabs>
        <w:spacing w:line="321" w:lineRule="auto" w:before="123"/>
        <w:ind w:left="2715" w:right="227" w:hanging="1931"/>
        <w:jc w:val="both"/>
      </w:pPr>
      <w:r>
        <w:rPr/>
        <w:t>Frontage:</w:t>
        <w:tab/>
        <w:t>Based on review of site plan, visual inspection and measurements made on Google</w:t>
      </w:r>
      <w:r>
        <w:rPr>
          <w:spacing w:val="-37"/>
        </w:rPr>
        <w:t> </w:t>
      </w:r>
      <w:r>
        <w:rPr/>
        <w:t>maps,</w:t>
      </w:r>
      <w:r>
        <w:rPr>
          <w:spacing w:val="-35"/>
        </w:rPr>
        <w:t> </w:t>
      </w:r>
      <w:r>
        <w:rPr/>
        <w:t>we</w:t>
      </w:r>
      <w:r>
        <w:rPr>
          <w:spacing w:val="-36"/>
        </w:rPr>
        <w:t> </w:t>
      </w:r>
      <w:r>
        <w:rPr/>
        <w:t>understand</w:t>
      </w:r>
      <w:r>
        <w:rPr>
          <w:spacing w:val="-35"/>
        </w:rPr>
        <w:t> </w:t>
      </w:r>
      <w:r>
        <w:rPr/>
        <w:t>that</w:t>
      </w:r>
      <w:r>
        <w:rPr>
          <w:spacing w:val="-35"/>
        </w:rPr>
        <w:t> </w:t>
      </w:r>
      <w:r>
        <w:rPr/>
        <w:t>the</w:t>
      </w:r>
      <w:r>
        <w:rPr>
          <w:spacing w:val="-35"/>
        </w:rPr>
        <w:t> </w:t>
      </w:r>
      <w:r>
        <w:rPr/>
        <w:t>subject</w:t>
      </w:r>
      <w:r>
        <w:rPr>
          <w:spacing w:val="-36"/>
        </w:rPr>
        <w:t> </w:t>
      </w:r>
      <w:r>
        <w:rPr/>
        <w:t>site</w:t>
      </w:r>
      <w:r>
        <w:rPr>
          <w:spacing w:val="-35"/>
        </w:rPr>
        <w:t> </w:t>
      </w:r>
      <w:r>
        <w:rPr/>
        <w:t>has</w:t>
      </w:r>
      <w:r>
        <w:rPr>
          <w:spacing w:val="-35"/>
        </w:rPr>
        <w:t> </w:t>
      </w:r>
      <w:r>
        <w:rPr/>
        <w:t>a</w:t>
      </w:r>
      <w:r>
        <w:rPr>
          <w:spacing w:val="-36"/>
        </w:rPr>
        <w:t> </w:t>
      </w:r>
      <w:r>
        <w:rPr/>
        <w:t>frontage</w:t>
      </w:r>
      <w:r>
        <w:rPr>
          <w:spacing w:val="-35"/>
        </w:rPr>
        <w:t> </w:t>
      </w:r>
      <w:r>
        <w:rPr/>
        <w:t>of</w:t>
      </w:r>
      <w:r>
        <w:rPr>
          <w:spacing w:val="-35"/>
        </w:rPr>
        <w:t> </w:t>
      </w:r>
      <w:r>
        <w:rPr/>
        <w:t>approximately 200 meters along the access</w:t>
      </w:r>
      <w:r>
        <w:rPr>
          <w:spacing w:val="-12"/>
        </w:rPr>
        <w:t> </w:t>
      </w:r>
      <w:r>
        <w:rPr/>
        <w:t>road.</w:t>
      </w:r>
    </w:p>
    <w:p>
      <w:pPr>
        <w:pStyle w:val="BodyText"/>
        <w:spacing w:before="123"/>
        <w:ind w:left="2715"/>
        <w:jc w:val="both"/>
      </w:pPr>
      <w:r>
        <w:rPr/>
        <w:t>Please refer Exhibit &amp; Addenda for the site plan of the subject property.</w:t>
      </w:r>
    </w:p>
    <w:p>
      <w:pPr>
        <w:pStyle w:val="BodyText"/>
        <w:rPr>
          <w:sz w:val="26"/>
        </w:rPr>
      </w:pPr>
    </w:p>
    <w:p>
      <w:pPr>
        <w:pStyle w:val="BodyText"/>
        <w:spacing w:before="2"/>
        <w:rPr>
          <w:sz w:val="33"/>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71" w:id="528"/>
      <w:bookmarkEnd w:id="528"/>
      <w:r>
        <w:rPr/>
      </w:r>
      <w:bookmarkStart w:name="_bookmark271" w:id="529"/>
      <w:bookmarkEnd w:id="529"/>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6"/>
        <w:ind w:left="686" w:right="116"/>
        <w:jc w:val="both"/>
      </w:pPr>
      <w:r>
        <w:rPr/>
        <w:t>As per the title due diligence undertaken by M/s Cyril Amarchand Mangaldas and lease deed (dated March</w:t>
      </w:r>
      <w:r>
        <w:rPr>
          <w:spacing w:val="-27"/>
        </w:rPr>
        <w:t> </w:t>
      </w:r>
      <w:r>
        <w:rPr/>
        <w:t>27,</w:t>
      </w:r>
      <w:r>
        <w:rPr>
          <w:spacing w:val="-26"/>
        </w:rPr>
        <w:t> </w:t>
      </w:r>
      <w:r>
        <w:rPr/>
        <w:t>2006)</w:t>
      </w:r>
      <w:r>
        <w:rPr>
          <w:spacing w:val="-25"/>
        </w:rPr>
        <w:t> </w:t>
      </w:r>
      <w:r>
        <w:rPr/>
        <w:t>provided</w:t>
      </w:r>
      <w:r>
        <w:rPr>
          <w:spacing w:val="-25"/>
        </w:rPr>
        <w:t> </w:t>
      </w:r>
      <w:r>
        <w:rPr/>
        <w:t>by</w:t>
      </w:r>
      <w:r>
        <w:rPr>
          <w:spacing w:val="-27"/>
        </w:rPr>
        <w:t> </w:t>
      </w:r>
      <w:r>
        <w:rPr/>
        <w:t>the</w:t>
      </w:r>
      <w:r>
        <w:rPr>
          <w:spacing w:val="-25"/>
        </w:rPr>
        <w:t> </w:t>
      </w:r>
      <w:r>
        <w:rPr/>
        <w:t>Client,</w:t>
      </w:r>
      <w:r>
        <w:rPr>
          <w:spacing w:val="-28"/>
        </w:rPr>
        <w:t> </w:t>
      </w:r>
      <w:r>
        <w:rPr/>
        <w:t>we</w:t>
      </w:r>
      <w:r>
        <w:rPr>
          <w:spacing w:val="-26"/>
        </w:rPr>
        <w:t> </w:t>
      </w:r>
      <w:r>
        <w:rPr/>
        <w:t>understand</w:t>
      </w:r>
      <w:r>
        <w:rPr>
          <w:spacing w:val="-26"/>
        </w:rPr>
        <w:t> </w:t>
      </w:r>
      <w:r>
        <w:rPr/>
        <w:t>that</w:t>
      </w:r>
      <w:r>
        <w:rPr>
          <w:spacing w:val="-28"/>
        </w:rPr>
        <w:t> </w:t>
      </w:r>
      <w:r>
        <w:rPr/>
        <w:t>the</w:t>
      </w:r>
      <w:r>
        <w:rPr>
          <w:spacing w:val="-25"/>
        </w:rPr>
        <w:t> </w:t>
      </w:r>
      <w:r>
        <w:rPr/>
        <w:t>exact</w:t>
      </w:r>
      <w:r>
        <w:rPr>
          <w:spacing w:val="-26"/>
        </w:rPr>
        <w:t> </w:t>
      </w:r>
      <w:r>
        <w:rPr/>
        <w:t>address</w:t>
      </w:r>
      <w:r>
        <w:rPr>
          <w:spacing w:val="-27"/>
        </w:rPr>
        <w:t> </w:t>
      </w:r>
      <w:r>
        <w:rPr/>
        <w:t>of</w:t>
      </w:r>
      <w:r>
        <w:rPr>
          <w:spacing w:val="-25"/>
        </w:rPr>
        <w:t> </w:t>
      </w:r>
      <w:r>
        <w:rPr/>
        <w:t>the</w:t>
      </w:r>
      <w:r>
        <w:rPr>
          <w:spacing w:val="-28"/>
        </w:rPr>
        <w:t> </w:t>
      </w:r>
      <w:r>
        <w:rPr/>
        <w:t>subject</w:t>
      </w:r>
      <w:r>
        <w:rPr>
          <w:spacing w:val="-24"/>
        </w:rPr>
        <w:t> </w:t>
      </w:r>
      <w:r>
        <w:rPr/>
        <w:t>property</w:t>
      </w:r>
      <w:r>
        <w:rPr>
          <w:spacing w:val="-25"/>
        </w:rPr>
        <w:t> </w:t>
      </w:r>
      <w:r>
        <w:rPr/>
        <w:t>is A-44</w:t>
      </w:r>
      <w:r>
        <w:rPr>
          <w:spacing w:val="-13"/>
        </w:rPr>
        <w:t> </w:t>
      </w:r>
      <w:r>
        <w:rPr/>
        <w:t>&amp;</w:t>
      </w:r>
      <w:r>
        <w:rPr>
          <w:spacing w:val="-10"/>
        </w:rPr>
        <w:t> </w:t>
      </w:r>
      <w:r>
        <w:rPr/>
        <w:t>45,</w:t>
      </w:r>
      <w:r>
        <w:rPr>
          <w:spacing w:val="-11"/>
        </w:rPr>
        <w:t> </w:t>
      </w:r>
      <w:r>
        <w:rPr/>
        <w:t>Sector</w:t>
      </w:r>
      <w:r>
        <w:rPr>
          <w:spacing w:val="-11"/>
        </w:rPr>
        <w:t> </w:t>
      </w:r>
      <w:r>
        <w:rPr/>
        <w:t>62,</w:t>
      </w:r>
      <w:r>
        <w:rPr>
          <w:spacing w:val="-11"/>
        </w:rPr>
        <w:t> </w:t>
      </w:r>
      <w:r>
        <w:rPr/>
        <w:t>Noida,</w:t>
      </w:r>
      <w:r>
        <w:rPr>
          <w:spacing w:val="-11"/>
        </w:rPr>
        <w:t> </w:t>
      </w:r>
      <w:r>
        <w:rPr/>
        <w:t>Uttar</w:t>
      </w:r>
      <w:r>
        <w:rPr>
          <w:spacing w:val="-12"/>
        </w:rPr>
        <w:t> </w:t>
      </w:r>
      <w:r>
        <w:rPr/>
        <w:t>Pradesh.</w:t>
      </w:r>
      <w:r>
        <w:rPr>
          <w:spacing w:val="-11"/>
        </w:rPr>
        <w:t> </w:t>
      </w:r>
      <w:r>
        <w:rPr/>
        <w:t>Additionally,</w:t>
      </w:r>
      <w:r>
        <w:rPr>
          <w:spacing w:val="-11"/>
        </w:rPr>
        <w:t> </w:t>
      </w:r>
      <w:r>
        <w:rPr/>
        <w:t>it</w:t>
      </w:r>
      <w:r>
        <w:rPr>
          <w:spacing w:val="-11"/>
        </w:rPr>
        <w:t> </w:t>
      </w:r>
      <w:r>
        <w:rPr/>
        <w:t>is</w:t>
      </w:r>
      <w:r>
        <w:rPr>
          <w:spacing w:val="-11"/>
        </w:rPr>
        <w:t> </w:t>
      </w:r>
      <w:r>
        <w:rPr/>
        <w:t>understood</w:t>
      </w:r>
      <w:r>
        <w:rPr>
          <w:spacing w:val="-12"/>
        </w:rPr>
        <w:t> </w:t>
      </w:r>
      <w:r>
        <w:rPr/>
        <w:t>that</w:t>
      </w:r>
      <w:r>
        <w:rPr>
          <w:spacing w:val="-10"/>
        </w:rPr>
        <w:t> </w:t>
      </w:r>
      <w:r>
        <w:rPr/>
        <w:t>the</w:t>
      </w:r>
      <w:r>
        <w:rPr>
          <w:spacing w:val="-13"/>
        </w:rPr>
        <w:t> </w:t>
      </w:r>
      <w:r>
        <w:rPr/>
        <w:t>subject</w:t>
      </w:r>
      <w:r>
        <w:rPr>
          <w:spacing w:val="-12"/>
        </w:rPr>
        <w:t> </w:t>
      </w:r>
      <w:r>
        <w:rPr/>
        <w:t>property</w:t>
      </w:r>
      <w:r>
        <w:rPr>
          <w:spacing w:val="-11"/>
        </w:rPr>
        <w:t> </w:t>
      </w:r>
      <w:r>
        <w:rPr/>
        <w:t>is leasehold</w:t>
      </w:r>
      <w:r>
        <w:rPr>
          <w:spacing w:val="-6"/>
        </w:rPr>
        <w:t> </w:t>
      </w:r>
      <w:r>
        <w:rPr/>
        <w:t>in</w:t>
      </w:r>
      <w:r>
        <w:rPr>
          <w:spacing w:val="-7"/>
        </w:rPr>
        <w:t> </w:t>
      </w:r>
      <w:r>
        <w:rPr/>
        <w:t>nature,</w:t>
      </w:r>
      <w:r>
        <w:rPr>
          <w:spacing w:val="-5"/>
        </w:rPr>
        <w:t> </w:t>
      </w:r>
      <w:r>
        <w:rPr/>
        <w:t>with</w:t>
      </w:r>
      <w:r>
        <w:rPr>
          <w:spacing w:val="-7"/>
        </w:rPr>
        <w:t> </w:t>
      </w:r>
      <w:r>
        <w:rPr/>
        <w:t>remaining</w:t>
      </w:r>
      <w:r>
        <w:rPr>
          <w:spacing w:val="-4"/>
        </w:rPr>
        <w:t> </w:t>
      </w:r>
      <w:r>
        <w:rPr/>
        <w:t>lease</w:t>
      </w:r>
      <w:r>
        <w:rPr>
          <w:spacing w:val="-6"/>
        </w:rPr>
        <w:t> </w:t>
      </w:r>
      <w:r>
        <w:rPr/>
        <w:t>term</w:t>
      </w:r>
      <w:r>
        <w:rPr>
          <w:spacing w:val="-6"/>
        </w:rPr>
        <w:t> </w:t>
      </w:r>
      <w:r>
        <w:rPr/>
        <w:t>of</w:t>
      </w:r>
      <w:r>
        <w:rPr>
          <w:spacing w:val="-4"/>
        </w:rPr>
        <w:t> </w:t>
      </w:r>
      <w:r>
        <w:rPr/>
        <w:t>approx.</w:t>
      </w:r>
      <w:r>
        <w:rPr>
          <w:spacing w:val="-3"/>
        </w:rPr>
        <w:t> </w:t>
      </w:r>
      <w:r>
        <w:rPr/>
        <w:t>76</w:t>
      </w:r>
      <w:r>
        <w:rPr>
          <w:spacing w:val="-7"/>
        </w:rPr>
        <w:t> </w:t>
      </w:r>
      <w:r>
        <w:rPr/>
        <w:t>years.</w:t>
      </w:r>
    </w:p>
    <w:p>
      <w:pPr>
        <w:pStyle w:val="BodyText"/>
        <w:rPr>
          <w:sz w:val="21"/>
        </w:rPr>
      </w:pPr>
    </w:p>
    <w:p>
      <w:pPr>
        <w:pStyle w:val="BodyText"/>
        <w:spacing w:line="321" w:lineRule="auto"/>
        <w:ind w:left="686" w:right="116"/>
        <w:jc w:val="both"/>
      </w:pPr>
      <w:r>
        <w:rPr/>
        <w:t>Further,</w:t>
      </w:r>
      <w:r>
        <w:rPr>
          <w:spacing w:val="-26"/>
        </w:rPr>
        <w:t> </w:t>
      </w:r>
      <w:r>
        <w:rPr/>
        <w:t>this</w:t>
      </w:r>
      <w:r>
        <w:rPr>
          <w:spacing w:val="-25"/>
        </w:rPr>
        <w:t> </w:t>
      </w:r>
      <w:r>
        <w:rPr/>
        <w:t>valuation</w:t>
      </w:r>
      <w:r>
        <w:rPr>
          <w:spacing w:val="-25"/>
        </w:rPr>
        <w:t> </w:t>
      </w:r>
      <w:r>
        <w:rPr/>
        <w:t>exercise</w:t>
      </w:r>
      <w:r>
        <w:rPr>
          <w:spacing w:val="-27"/>
        </w:rPr>
        <w:t> </w:t>
      </w:r>
      <w:r>
        <w:rPr/>
        <w:t>is</w:t>
      </w:r>
      <w:r>
        <w:rPr>
          <w:spacing w:val="-25"/>
        </w:rPr>
        <w:t> </w:t>
      </w:r>
      <w:r>
        <w:rPr/>
        <w:t>based</w:t>
      </w:r>
      <w:r>
        <w:rPr>
          <w:spacing w:val="-25"/>
        </w:rPr>
        <w:t> </w:t>
      </w:r>
      <w:r>
        <w:rPr/>
        <w:t>on</w:t>
      </w:r>
      <w:r>
        <w:rPr>
          <w:spacing w:val="-26"/>
        </w:rPr>
        <w:t> </w:t>
      </w:r>
      <w:r>
        <w:rPr/>
        <w:t>the</w:t>
      </w:r>
      <w:r>
        <w:rPr>
          <w:spacing w:val="-27"/>
        </w:rPr>
        <w:t> </w:t>
      </w:r>
      <w:r>
        <w:rPr/>
        <w:t>premise</w:t>
      </w:r>
      <w:r>
        <w:rPr>
          <w:spacing w:val="-27"/>
        </w:rPr>
        <w:t> </w:t>
      </w:r>
      <w:r>
        <w:rPr/>
        <w:t>that</w:t>
      </w:r>
      <w:r>
        <w:rPr>
          <w:spacing w:val="-25"/>
        </w:rPr>
        <w:t> </w:t>
      </w:r>
      <w:r>
        <w:rPr/>
        <w:t>the</w:t>
      </w:r>
      <w:r>
        <w:rPr>
          <w:spacing w:val="-27"/>
        </w:rPr>
        <w:t> </w:t>
      </w:r>
      <w:r>
        <w:rPr/>
        <w:t>subject</w:t>
      </w:r>
      <w:r>
        <w:rPr>
          <w:spacing w:val="-27"/>
        </w:rPr>
        <w:t> </w:t>
      </w:r>
      <w:r>
        <w:rPr/>
        <w:t>property</w:t>
      </w:r>
      <w:r>
        <w:rPr>
          <w:spacing w:val="-25"/>
        </w:rPr>
        <w:t> </w:t>
      </w:r>
      <w:r>
        <w:rPr/>
        <w:t>has</w:t>
      </w:r>
      <w:r>
        <w:rPr>
          <w:spacing w:val="-25"/>
        </w:rPr>
        <w:t> </w:t>
      </w:r>
      <w:r>
        <w:rPr/>
        <w:t>a</w:t>
      </w:r>
      <w:r>
        <w:rPr>
          <w:spacing w:val="-26"/>
        </w:rPr>
        <w:t> </w:t>
      </w:r>
      <w:r>
        <w:rPr/>
        <w:t>clear</w:t>
      </w:r>
      <w:r>
        <w:rPr>
          <w:spacing w:val="-26"/>
        </w:rPr>
        <w:t> </w:t>
      </w:r>
      <w:r>
        <w:rPr/>
        <w:t>title</w:t>
      </w:r>
      <w:r>
        <w:rPr>
          <w:spacing w:val="-26"/>
        </w:rPr>
        <w:t> </w:t>
      </w:r>
      <w:r>
        <w:rPr/>
        <w:t>and</w:t>
      </w:r>
      <w:r>
        <w:rPr>
          <w:spacing w:val="-26"/>
        </w:rPr>
        <w:t> </w:t>
      </w:r>
      <w:r>
        <w:rPr/>
        <w:t>is free</w:t>
      </w:r>
      <w:r>
        <w:rPr>
          <w:spacing w:val="-28"/>
        </w:rPr>
        <w:t> </w:t>
      </w:r>
      <w:r>
        <w:rPr/>
        <w:t>from</w:t>
      </w:r>
      <w:r>
        <w:rPr>
          <w:spacing w:val="-26"/>
        </w:rPr>
        <w:t> </w:t>
      </w:r>
      <w:r>
        <w:rPr/>
        <w:t>any</w:t>
      </w:r>
      <w:r>
        <w:rPr>
          <w:spacing w:val="-28"/>
        </w:rPr>
        <w:t> </w:t>
      </w:r>
      <w:r>
        <w:rPr/>
        <w:t>encumbrances,</w:t>
      </w:r>
      <w:r>
        <w:rPr>
          <w:spacing w:val="-27"/>
        </w:rPr>
        <w:t> </w:t>
      </w:r>
      <w:r>
        <w:rPr/>
        <w:t>disputes,</w:t>
      </w:r>
      <w:r>
        <w:rPr>
          <w:spacing w:val="-26"/>
        </w:rPr>
        <w:t> </w:t>
      </w:r>
      <w:r>
        <w:rPr/>
        <w:t>claims,</w:t>
      </w:r>
      <w:r>
        <w:rPr>
          <w:spacing w:val="-27"/>
        </w:rPr>
        <w:t> </w:t>
      </w:r>
      <w:r>
        <w:rPr/>
        <w:t>etc.</w:t>
      </w:r>
      <w:r>
        <w:rPr>
          <w:spacing w:val="-23"/>
        </w:rPr>
        <w:t> </w:t>
      </w:r>
      <w:r>
        <w:rPr/>
        <w:t>The</w:t>
      </w:r>
      <w:r>
        <w:rPr>
          <w:spacing w:val="-28"/>
        </w:rPr>
        <w:t> </w:t>
      </w:r>
      <w:r>
        <w:rPr/>
        <w:t>Consultants</w:t>
      </w:r>
      <w:r>
        <w:rPr>
          <w:spacing w:val="-24"/>
        </w:rPr>
        <w:t> </w:t>
      </w:r>
      <w:r>
        <w:rPr/>
        <w:t>have</w:t>
      </w:r>
      <w:r>
        <w:rPr>
          <w:spacing w:val="-28"/>
        </w:rPr>
        <w:t> </w:t>
      </w:r>
      <w:r>
        <w:rPr/>
        <w:t>not</w:t>
      </w:r>
      <w:r>
        <w:rPr>
          <w:spacing w:val="-26"/>
        </w:rPr>
        <w:t> </w:t>
      </w:r>
      <w:r>
        <w:rPr/>
        <w:t>made</w:t>
      </w:r>
      <w:r>
        <w:rPr>
          <w:spacing w:val="-27"/>
        </w:rPr>
        <w:t> </w:t>
      </w:r>
      <w:r>
        <w:rPr/>
        <w:t>any</w:t>
      </w:r>
      <w:r>
        <w:rPr>
          <w:spacing w:val="-26"/>
        </w:rPr>
        <w:t> </w:t>
      </w:r>
      <w:r>
        <w:rPr/>
        <w:t>inquiries</w:t>
      </w:r>
      <w:r>
        <w:rPr>
          <w:spacing w:val="-26"/>
        </w:rPr>
        <w:t> </w:t>
      </w:r>
      <w:r>
        <w:rPr/>
        <w:t>in</w:t>
      </w:r>
      <w:r>
        <w:rPr>
          <w:spacing w:val="-29"/>
        </w:rPr>
        <w:t> </w:t>
      </w:r>
      <w:r>
        <w:rPr/>
        <w:t>this regard with the relevant legal/ statutory</w:t>
      </w:r>
      <w:r>
        <w:rPr>
          <w:spacing w:val="-38"/>
        </w:rPr>
        <w:t> </w:t>
      </w:r>
      <w:r>
        <w:rPr/>
        <w:t>authorities.</w:t>
      </w:r>
    </w:p>
    <w:p>
      <w:pPr>
        <w:pStyle w:val="BodyText"/>
        <w:spacing w:before="8"/>
        <w:rPr>
          <w:sz w:val="20"/>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72" w:id="530"/>
      <w:bookmarkEnd w:id="530"/>
      <w:r>
        <w:rPr/>
      </w:r>
      <w:bookmarkStart w:name="_bookmark272" w:id="531"/>
      <w:bookmarkEnd w:id="531"/>
      <w:r>
        <w:rPr>
          <w:color w:val="1F664D"/>
          <w:w w:val="105"/>
          <w:sz w:val="22"/>
        </w:rPr>
        <w:t>Town</w:t>
      </w:r>
      <w:r>
        <w:rPr>
          <w:color w:val="1F664D"/>
          <w:spacing w:val="-4"/>
          <w:w w:val="105"/>
          <w:sz w:val="22"/>
        </w:rPr>
        <w:t> </w:t>
      </w:r>
      <w:r>
        <w:rPr>
          <w:color w:val="1F664D"/>
          <w:w w:val="105"/>
          <w:sz w:val="22"/>
        </w:rPr>
        <w:t>Planning</w:t>
      </w:r>
    </w:p>
    <w:p>
      <w:pPr>
        <w:pStyle w:val="BodyText"/>
        <w:tabs>
          <w:tab w:pos="2193" w:val="left" w:leader="none"/>
        </w:tabs>
        <w:spacing w:line="321" w:lineRule="auto" w:before="208"/>
        <w:ind w:left="2193" w:right="139" w:hanging="1409"/>
        <w:jc w:val="both"/>
      </w:pPr>
      <w:r>
        <w:rPr>
          <w:position w:val="12"/>
        </w:rPr>
        <w:t>Zoning</w:t>
        <w:tab/>
      </w:r>
      <w:r>
        <w:rPr/>
        <w:t>As</w:t>
      </w:r>
      <w:r>
        <w:rPr>
          <w:spacing w:val="-5"/>
        </w:rPr>
        <w:t> </w:t>
      </w:r>
      <w:r>
        <w:rPr/>
        <w:t>per</w:t>
      </w:r>
      <w:r>
        <w:rPr>
          <w:spacing w:val="-5"/>
        </w:rPr>
        <w:t> </w:t>
      </w:r>
      <w:r>
        <w:rPr/>
        <w:t>the</w:t>
      </w:r>
      <w:r>
        <w:rPr>
          <w:spacing w:val="-5"/>
        </w:rPr>
        <w:t> </w:t>
      </w:r>
      <w:r>
        <w:rPr/>
        <w:t>review</w:t>
      </w:r>
      <w:r>
        <w:rPr>
          <w:spacing w:val="-3"/>
        </w:rPr>
        <w:t> </w:t>
      </w:r>
      <w:r>
        <w:rPr/>
        <w:t>of</w:t>
      </w:r>
      <w:r>
        <w:rPr>
          <w:spacing w:val="-6"/>
        </w:rPr>
        <w:t> </w:t>
      </w:r>
      <w:r>
        <w:rPr/>
        <w:t>Occupancy</w:t>
      </w:r>
      <w:r>
        <w:rPr>
          <w:spacing w:val="-4"/>
        </w:rPr>
        <w:t> </w:t>
      </w:r>
      <w:r>
        <w:rPr/>
        <w:t>Certificates</w:t>
      </w:r>
      <w:r>
        <w:rPr>
          <w:spacing w:val="-4"/>
        </w:rPr>
        <w:t> </w:t>
      </w:r>
      <w:r>
        <w:rPr/>
        <w:t>/</w:t>
      </w:r>
      <w:r>
        <w:rPr>
          <w:spacing w:val="-5"/>
        </w:rPr>
        <w:t> </w:t>
      </w:r>
      <w:r>
        <w:rPr/>
        <w:t>Lease</w:t>
      </w:r>
      <w:r>
        <w:rPr>
          <w:spacing w:val="-5"/>
        </w:rPr>
        <w:t> </w:t>
      </w:r>
      <w:r>
        <w:rPr/>
        <w:t>Deed</w:t>
      </w:r>
      <w:r>
        <w:rPr>
          <w:spacing w:val="-4"/>
        </w:rPr>
        <w:t> </w:t>
      </w:r>
      <w:r>
        <w:rPr/>
        <w:t>provided</w:t>
      </w:r>
      <w:r>
        <w:rPr>
          <w:spacing w:val="-4"/>
        </w:rPr>
        <w:t> </w:t>
      </w:r>
      <w:r>
        <w:rPr/>
        <w:t>by</w:t>
      </w:r>
      <w:r>
        <w:rPr>
          <w:spacing w:val="-4"/>
        </w:rPr>
        <w:t> </w:t>
      </w:r>
      <w:r>
        <w:rPr/>
        <w:t>the</w:t>
      </w:r>
      <w:r>
        <w:rPr>
          <w:spacing w:val="-7"/>
        </w:rPr>
        <w:t> </w:t>
      </w:r>
      <w:r>
        <w:rPr/>
        <w:t>Client,</w:t>
      </w:r>
      <w:r>
        <w:rPr>
          <w:spacing w:val="-4"/>
        </w:rPr>
        <w:t> </w:t>
      </w:r>
      <w:r>
        <w:rPr/>
        <w:t>we understand</w:t>
      </w:r>
      <w:r>
        <w:rPr>
          <w:spacing w:val="-25"/>
        </w:rPr>
        <w:t> </w:t>
      </w:r>
      <w:r>
        <w:rPr/>
        <w:t>that</w:t>
      </w:r>
      <w:r>
        <w:rPr>
          <w:spacing w:val="-23"/>
        </w:rPr>
        <w:t> </w:t>
      </w:r>
      <w:r>
        <w:rPr/>
        <w:t>the</w:t>
      </w:r>
      <w:r>
        <w:rPr>
          <w:spacing w:val="-24"/>
        </w:rPr>
        <w:t> </w:t>
      </w:r>
      <w:r>
        <w:rPr/>
        <w:t>subject</w:t>
      </w:r>
      <w:r>
        <w:rPr>
          <w:spacing w:val="-23"/>
        </w:rPr>
        <w:t> </w:t>
      </w:r>
      <w:r>
        <w:rPr/>
        <w:t>property</w:t>
      </w:r>
      <w:r>
        <w:rPr>
          <w:spacing w:val="-23"/>
        </w:rPr>
        <w:t> </w:t>
      </w:r>
      <w:r>
        <w:rPr/>
        <w:t>is</w:t>
      </w:r>
      <w:r>
        <w:rPr>
          <w:spacing w:val="-22"/>
        </w:rPr>
        <w:t> </w:t>
      </w:r>
      <w:r>
        <w:rPr/>
        <w:t>zoned</w:t>
      </w:r>
      <w:r>
        <w:rPr>
          <w:spacing w:val="-24"/>
        </w:rPr>
        <w:t> </w:t>
      </w:r>
      <w:r>
        <w:rPr/>
        <w:t>for</w:t>
      </w:r>
      <w:r>
        <w:rPr>
          <w:spacing w:val="-22"/>
        </w:rPr>
        <w:t> </w:t>
      </w:r>
      <w:r>
        <w:rPr/>
        <w:t>Institutional</w:t>
      </w:r>
      <w:r>
        <w:rPr>
          <w:spacing w:val="-23"/>
        </w:rPr>
        <w:t> </w:t>
      </w:r>
      <w:r>
        <w:rPr/>
        <w:t>Use</w:t>
      </w:r>
      <w:r>
        <w:rPr>
          <w:spacing w:val="-24"/>
        </w:rPr>
        <w:t> </w:t>
      </w:r>
      <w:r>
        <w:rPr/>
        <w:t>(with</w:t>
      </w:r>
      <w:r>
        <w:rPr>
          <w:spacing w:val="-24"/>
        </w:rPr>
        <w:t> </w:t>
      </w:r>
      <w:r>
        <w:rPr/>
        <w:t>permission</w:t>
      </w:r>
      <w:r>
        <w:rPr>
          <w:spacing w:val="-23"/>
        </w:rPr>
        <w:t> </w:t>
      </w:r>
      <w:r>
        <w:rPr/>
        <w:t>for IT/ ITeS development). It is located within the jurisdiction of New Okhla Industrial Development</w:t>
      </w:r>
      <w:r>
        <w:rPr>
          <w:spacing w:val="-19"/>
        </w:rPr>
        <w:t> </w:t>
      </w:r>
      <w:r>
        <w:rPr/>
        <w:t>Authority</w:t>
      </w:r>
      <w:r>
        <w:rPr>
          <w:spacing w:val="-18"/>
        </w:rPr>
        <w:t> </w:t>
      </w:r>
      <w:r>
        <w:rPr/>
        <w:t>(NOIDA).</w:t>
      </w:r>
      <w:r>
        <w:rPr>
          <w:spacing w:val="-21"/>
        </w:rPr>
        <w:t> </w:t>
      </w:r>
      <w:r>
        <w:rPr/>
        <w:t>The</w:t>
      </w:r>
      <w:r>
        <w:rPr>
          <w:spacing w:val="-19"/>
        </w:rPr>
        <w:t> </w:t>
      </w:r>
      <w:r>
        <w:rPr/>
        <w:t>same</w:t>
      </w:r>
      <w:r>
        <w:rPr>
          <w:spacing w:val="-19"/>
        </w:rPr>
        <w:t> </w:t>
      </w:r>
      <w:r>
        <w:rPr/>
        <w:t>has</w:t>
      </w:r>
      <w:r>
        <w:rPr>
          <w:spacing w:val="-17"/>
        </w:rPr>
        <w:t> </w:t>
      </w:r>
      <w:r>
        <w:rPr/>
        <w:t>been</w:t>
      </w:r>
      <w:r>
        <w:rPr>
          <w:spacing w:val="-20"/>
        </w:rPr>
        <w:t> </w:t>
      </w:r>
      <w:r>
        <w:rPr/>
        <w:t>considered</w:t>
      </w:r>
      <w:r>
        <w:rPr>
          <w:spacing w:val="-18"/>
        </w:rPr>
        <w:t> </w:t>
      </w:r>
      <w:r>
        <w:rPr/>
        <w:t>for</w:t>
      </w:r>
      <w:r>
        <w:rPr>
          <w:spacing w:val="-19"/>
        </w:rPr>
        <w:t> </w:t>
      </w:r>
      <w:r>
        <w:rPr/>
        <w:t>the</w:t>
      </w:r>
      <w:r>
        <w:rPr>
          <w:spacing w:val="-19"/>
        </w:rPr>
        <w:t> </w:t>
      </w:r>
      <w:r>
        <w:rPr/>
        <w:t>purpose</w:t>
      </w:r>
      <w:r>
        <w:rPr>
          <w:spacing w:val="-19"/>
        </w:rPr>
        <w:t> </w:t>
      </w:r>
      <w:r>
        <w:rPr/>
        <w:t>of</w:t>
      </w:r>
      <w:r>
        <w:rPr>
          <w:spacing w:val="-18"/>
        </w:rPr>
        <w:t> </w:t>
      </w:r>
      <w:r>
        <w:rPr/>
        <w:t>this valuation.</w:t>
      </w:r>
      <w:r>
        <w:rPr>
          <w:spacing w:val="-19"/>
        </w:rPr>
        <w:t> </w:t>
      </w:r>
      <w:r>
        <w:rPr/>
        <w:t>The</w:t>
      </w:r>
      <w:r>
        <w:rPr>
          <w:spacing w:val="-20"/>
        </w:rPr>
        <w:t> </w:t>
      </w:r>
      <w:r>
        <w:rPr/>
        <w:t>Consultants</w:t>
      </w:r>
      <w:r>
        <w:rPr>
          <w:spacing w:val="-17"/>
        </w:rPr>
        <w:t> </w:t>
      </w:r>
      <w:r>
        <w:rPr/>
        <w:t>have</w:t>
      </w:r>
      <w:r>
        <w:rPr>
          <w:spacing w:val="-19"/>
        </w:rPr>
        <w:t> </w:t>
      </w:r>
      <w:r>
        <w:rPr/>
        <w:t>made</w:t>
      </w:r>
      <w:r>
        <w:rPr>
          <w:spacing w:val="-18"/>
        </w:rPr>
        <w:t> </w:t>
      </w:r>
      <w:r>
        <w:rPr/>
        <w:t>no</w:t>
      </w:r>
      <w:r>
        <w:rPr>
          <w:spacing w:val="-20"/>
        </w:rPr>
        <w:t> </w:t>
      </w:r>
      <w:r>
        <w:rPr/>
        <w:t>further</w:t>
      </w:r>
      <w:r>
        <w:rPr>
          <w:spacing w:val="-19"/>
        </w:rPr>
        <w:t> </w:t>
      </w:r>
      <w:r>
        <w:rPr/>
        <w:t>inquiries</w:t>
      </w:r>
      <w:r>
        <w:rPr>
          <w:spacing w:val="-18"/>
        </w:rPr>
        <w:t> </w:t>
      </w:r>
      <w:r>
        <w:rPr/>
        <w:t>with</w:t>
      </w:r>
      <w:r>
        <w:rPr>
          <w:spacing w:val="-19"/>
        </w:rPr>
        <w:t> </w:t>
      </w:r>
      <w:r>
        <w:rPr/>
        <w:t>the</w:t>
      </w:r>
      <w:r>
        <w:rPr>
          <w:spacing w:val="-20"/>
        </w:rPr>
        <w:t> </w:t>
      </w:r>
      <w:r>
        <w:rPr/>
        <w:t>local</w:t>
      </w:r>
      <w:r>
        <w:rPr>
          <w:spacing w:val="-19"/>
        </w:rPr>
        <w:t> </w:t>
      </w:r>
      <w:r>
        <w:rPr/>
        <w:t>authorities</w:t>
      </w:r>
      <w:r>
        <w:rPr>
          <w:spacing w:val="-18"/>
        </w:rPr>
        <w:t> </w:t>
      </w:r>
      <w:r>
        <w:rPr/>
        <w:t>in this</w:t>
      </w:r>
      <w:r>
        <w:rPr>
          <w:spacing w:val="-2"/>
        </w:rPr>
        <w:t> </w:t>
      </w:r>
      <w:r>
        <w:rPr/>
        <w:t>regard.</w:t>
      </w:r>
    </w:p>
    <w:p>
      <w:pPr>
        <w:pStyle w:val="BodyText"/>
        <w:spacing w:line="321" w:lineRule="auto" w:before="123"/>
        <w:ind w:left="2193" w:right="137"/>
        <w:jc w:val="both"/>
      </w:pPr>
      <w:r>
        <w:rPr/>
        <w:t>The</w:t>
      </w:r>
      <w:r>
        <w:rPr>
          <w:spacing w:val="-21"/>
        </w:rPr>
        <w:t> </w:t>
      </w:r>
      <w:r>
        <w:rPr/>
        <w:t>permissible</w:t>
      </w:r>
      <w:r>
        <w:rPr>
          <w:spacing w:val="-21"/>
        </w:rPr>
        <w:t> </w:t>
      </w:r>
      <w:r>
        <w:rPr/>
        <w:t>land</w:t>
      </w:r>
      <w:r>
        <w:rPr>
          <w:spacing w:val="-21"/>
        </w:rPr>
        <w:t> </w:t>
      </w:r>
      <w:r>
        <w:rPr/>
        <w:t>use</w:t>
      </w:r>
      <w:r>
        <w:rPr>
          <w:spacing w:val="-22"/>
        </w:rPr>
        <w:t> </w:t>
      </w:r>
      <w:r>
        <w:rPr/>
        <w:t>adopted</w:t>
      </w:r>
      <w:r>
        <w:rPr>
          <w:spacing w:val="-19"/>
        </w:rPr>
        <w:t> </w:t>
      </w:r>
      <w:r>
        <w:rPr/>
        <w:t>by</w:t>
      </w:r>
      <w:r>
        <w:rPr>
          <w:spacing w:val="-18"/>
        </w:rPr>
        <w:t> </w:t>
      </w:r>
      <w:r>
        <w:rPr/>
        <w:t>the</w:t>
      </w:r>
      <w:r>
        <w:rPr>
          <w:spacing w:val="-20"/>
        </w:rPr>
        <w:t> </w:t>
      </w:r>
      <w:r>
        <w:rPr/>
        <w:t>Consultants</w:t>
      </w:r>
      <w:r>
        <w:rPr>
          <w:spacing w:val="-19"/>
        </w:rPr>
        <w:t> </w:t>
      </w:r>
      <w:r>
        <w:rPr/>
        <w:t>for</w:t>
      </w:r>
      <w:r>
        <w:rPr>
          <w:spacing w:val="-21"/>
        </w:rPr>
        <w:t> </w:t>
      </w:r>
      <w:r>
        <w:rPr/>
        <w:t>the</w:t>
      </w:r>
      <w:r>
        <w:rPr>
          <w:spacing w:val="-21"/>
        </w:rPr>
        <w:t> </w:t>
      </w:r>
      <w:r>
        <w:rPr/>
        <w:t>subject</w:t>
      </w:r>
      <w:r>
        <w:rPr>
          <w:spacing w:val="-19"/>
        </w:rPr>
        <w:t> </w:t>
      </w:r>
      <w:r>
        <w:rPr/>
        <w:t>property</w:t>
      </w:r>
      <w:r>
        <w:rPr>
          <w:spacing w:val="-18"/>
        </w:rPr>
        <w:t> </w:t>
      </w:r>
      <w:r>
        <w:rPr/>
        <w:t>has</w:t>
      </w:r>
      <w:r>
        <w:rPr>
          <w:spacing w:val="-20"/>
        </w:rPr>
        <w:t> </w:t>
      </w:r>
      <w:r>
        <w:rPr/>
        <w:t>been based</w:t>
      </w:r>
      <w:r>
        <w:rPr>
          <w:spacing w:val="-19"/>
        </w:rPr>
        <w:t> </w:t>
      </w:r>
      <w:r>
        <w:rPr/>
        <w:t>on</w:t>
      </w:r>
      <w:r>
        <w:rPr>
          <w:spacing w:val="-20"/>
        </w:rPr>
        <w:t> </w:t>
      </w:r>
      <w:r>
        <w:rPr/>
        <w:t>review</w:t>
      </w:r>
      <w:r>
        <w:rPr>
          <w:spacing w:val="-19"/>
        </w:rPr>
        <w:t> </w:t>
      </w:r>
      <w:r>
        <w:rPr/>
        <w:t>of</w:t>
      </w:r>
      <w:r>
        <w:rPr>
          <w:spacing w:val="-17"/>
        </w:rPr>
        <w:t> </w:t>
      </w:r>
      <w:r>
        <w:rPr/>
        <w:t>Noida</w:t>
      </w:r>
      <w:r>
        <w:rPr>
          <w:spacing w:val="-21"/>
        </w:rPr>
        <w:t> </w:t>
      </w:r>
      <w:r>
        <w:rPr/>
        <w:t>Master</w:t>
      </w:r>
      <w:r>
        <w:rPr>
          <w:spacing w:val="-20"/>
        </w:rPr>
        <w:t> </w:t>
      </w:r>
      <w:r>
        <w:rPr/>
        <w:t>Plan</w:t>
      </w:r>
      <w:r>
        <w:rPr>
          <w:spacing w:val="-20"/>
        </w:rPr>
        <w:t> </w:t>
      </w:r>
      <w:r>
        <w:rPr/>
        <w:t>and</w:t>
      </w:r>
      <w:r>
        <w:rPr>
          <w:spacing w:val="-21"/>
        </w:rPr>
        <w:t> </w:t>
      </w:r>
      <w:r>
        <w:rPr/>
        <w:t>various</w:t>
      </w:r>
      <w:r>
        <w:rPr>
          <w:spacing w:val="-19"/>
        </w:rPr>
        <w:t> </w:t>
      </w:r>
      <w:r>
        <w:rPr/>
        <w:t>documents/</w:t>
      </w:r>
      <w:r>
        <w:rPr>
          <w:spacing w:val="-21"/>
        </w:rPr>
        <w:t> </w:t>
      </w:r>
      <w:r>
        <w:rPr/>
        <w:t>information</w:t>
      </w:r>
      <w:r>
        <w:rPr>
          <w:spacing w:val="-21"/>
        </w:rPr>
        <w:t> </w:t>
      </w:r>
      <w:r>
        <w:rPr/>
        <w:t>provided</w:t>
      </w:r>
      <w:r>
        <w:rPr>
          <w:spacing w:val="-21"/>
        </w:rPr>
        <w:t> </w:t>
      </w:r>
      <w:r>
        <w:rPr/>
        <w:t>by the</w:t>
      </w:r>
      <w:r>
        <w:rPr>
          <w:spacing w:val="-16"/>
        </w:rPr>
        <w:t> </w:t>
      </w:r>
      <w:r>
        <w:rPr/>
        <w:t>Client.</w:t>
      </w:r>
      <w:r>
        <w:rPr>
          <w:spacing w:val="-15"/>
        </w:rPr>
        <w:t> </w:t>
      </w:r>
      <w:r>
        <w:rPr/>
        <w:t>It</w:t>
      </w:r>
      <w:r>
        <w:rPr>
          <w:spacing w:val="-16"/>
        </w:rPr>
        <w:t> </w:t>
      </w:r>
      <w:r>
        <w:rPr/>
        <w:t>must</w:t>
      </w:r>
      <w:r>
        <w:rPr>
          <w:spacing w:val="-15"/>
        </w:rPr>
        <w:t> </w:t>
      </w:r>
      <w:r>
        <w:rPr/>
        <w:t>be</w:t>
      </w:r>
      <w:r>
        <w:rPr>
          <w:spacing w:val="-15"/>
        </w:rPr>
        <w:t> </w:t>
      </w:r>
      <w:r>
        <w:rPr/>
        <w:t>noted</w:t>
      </w:r>
      <w:r>
        <w:rPr>
          <w:spacing w:val="-14"/>
        </w:rPr>
        <w:t> </w:t>
      </w:r>
      <w:r>
        <w:rPr/>
        <w:t>that</w:t>
      </w:r>
      <w:r>
        <w:rPr>
          <w:spacing w:val="-15"/>
        </w:rPr>
        <w:t> </w:t>
      </w:r>
      <w:r>
        <w:rPr/>
        <w:t>all</w:t>
      </w:r>
      <w:r>
        <w:rPr>
          <w:spacing w:val="-17"/>
        </w:rPr>
        <w:t> </w:t>
      </w:r>
      <w:r>
        <w:rPr/>
        <w:t>factual</w:t>
      </w:r>
      <w:r>
        <w:rPr>
          <w:spacing w:val="-15"/>
        </w:rPr>
        <w:t> </w:t>
      </w:r>
      <w:r>
        <w:rPr/>
        <w:t>data</w:t>
      </w:r>
      <w:r>
        <w:rPr>
          <w:spacing w:val="-16"/>
        </w:rPr>
        <w:t> </w:t>
      </w:r>
      <w:r>
        <w:rPr/>
        <w:t>viz.</w:t>
      </w:r>
      <w:r>
        <w:rPr>
          <w:spacing w:val="-15"/>
        </w:rPr>
        <w:t> </w:t>
      </w:r>
      <w:r>
        <w:rPr/>
        <w:t>permissible</w:t>
      </w:r>
      <w:r>
        <w:rPr>
          <w:spacing w:val="-17"/>
        </w:rPr>
        <w:t> </w:t>
      </w:r>
      <w:r>
        <w:rPr/>
        <w:t>development</w:t>
      </w:r>
      <w:r>
        <w:rPr>
          <w:spacing w:val="-15"/>
        </w:rPr>
        <w:t> </w:t>
      </w:r>
      <w:r>
        <w:rPr/>
        <w:t>control regulations,</w:t>
      </w:r>
      <w:r>
        <w:rPr>
          <w:spacing w:val="-18"/>
        </w:rPr>
        <w:t> </w:t>
      </w:r>
      <w:r>
        <w:rPr/>
        <w:t>land</w:t>
      </w:r>
      <w:r>
        <w:rPr>
          <w:spacing w:val="-17"/>
        </w:rPr>
        <w:t> </w:t>
      </w:r>
      <w:r>
        <w:rPr/>
        <w:t>area</w:t>
      </w:r>
      <w:r>
        <w:rPr>
          <w:spacing w:val="-15"/>
        </w:rPr>
        <w:t> </w:t>
      </w:r>
      <w:r>
        <w:rPr/>
        <w:t>and</w:t>
      </w:r>
      <w:r>
        <w:rPr>
          <w:spacing w:val="-17"/>
        </w:rPr>
        <w:t> </w:t>
      </w:r>
      <w:r>
        <w:rPr/>
        <w:t>achievable</w:t>
      </w:r>
      <w:r>
        <w:rPr>
          <w:spacing w:val="-18"/>
        </w:rPr>
        <w:t> </w:t>
      </w:r>
      <w:r>
        <w:rPr/>
        <w:t>FSI</w:t>
      </w:r>
      <w:r>
        <w:rPr>
          <w:spacing w:val="-17"/>
        </w:rPr>
        <w:t> </w:t>
      </w:r>
      <w:r>
        <w:rPr/>
        <w:t>have</w:t>
      </w:r>
      <w:r>
        <w:rPr>
          <w:spacing w:val="-17"/>
        </w:rPr>
        <w:t> </w:t>
      </w:r>
      <w:r>
        <w:rPr/>
        <w:t>also</w:t>
      </w:r>
      <w:r>
        <w:rPr>
          <w:spacing w:val="-17"/>
        </w:rPr>
        <w:t> </w:t>
      </w:r>
      <w:r>
        <w:rPr/>
        <w:t>been</w:t>
      </w:r>
      <w:r>
        <w:rPr>
          <w:spacing w:val="-18"/>
        </w:rPr>
        <w:t> </w:t>
      </w:r>
      <w:r>
        <w:rPr/>
        <w:t>based</w:t>
      </w:r>
      <w:r>
        <w:rPr>
          <w:spacing w:val="-16"/>
        </w:rPr>
        <w:t> </w:t>
      </w:r>
      <w:r>
        <w:rPr/>
        <w:t>on</w:t>
      </w:r>
      <w:r>
        <w:rPr>
          <w:spacing w:val="-18"/>
        </w:rPr>
        <w:t> </w:t>
      </w:r>
      <w:r>
        <w:rPr/>
        <w:t>information/review</w:t>
      </w:r>
    </w:p>
    <w:p>
      <w:pPr>
        <w:spacing w:after="0" w:line="321" w:lineRule="auto"/>
        <w:jc w:val="both"/>
        <w:sectPr>
          <w:headerReference w:type="default" r:id="rId248"/>
          <w:footerReference w:type="default" r:id="rId249"/>
          <w:pgSz w:w="11910" w:h="16840"/>
          <w:pgMar w:header="720" w:footer="921" w:top="1660" w:bottom="1120" w:left="600" w:right="600"/>
          <w:pgNumType w:start="231"/>
        </w:sectPr>
      </w:pPr>
    </w:p>
    <w:p>
      <w:pPr>
        <w:pStyle w:val="BodyText"/>
        <w:spacing w:before="7"/>
        <w:rPr>
          <w:sz w:val="9"/>
        </w:rPr>
      </w:pPr>
    </w:p>
    <w:p>
      <w:pPr>
        <w:spacing w:after="0"/>
        <w:rPr>
          <w:sz w:val="9"/>
        </w:rPr>
        <w:sectPr>
          <w:pgSz w:w="11910" w:h="16840"/>
          <w:pgMar w:header="720" w:footer="921" w:top="1660" w:bottom="1120" w:left="600" w:right="60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
        <w:rPr>
          <w:sz w:val="32"/>
        </w:rPr>
      </w:pPr>
    </w:p>
    <w:p>
      <w:pPr>
        <w:pStyle w:val="BodyText"/>
        <w:spacing w:line="319" w:lineRule="auto"/>
        <w:ind w:left="785" w:right="-18"/>
      </w:pPr>
      <w:r>
        <w:rPr/>
        <w:t>Approved Usage:</w:t>
      </w:r>
    </w:p>
    <w:p>
      <w:pPr>
        <w:pStyle w:val="BodyText"/>
        <w:spacing w:line="321" w:lineRule="auto" w:before="106"/>
        <w:ind w:left="438" w:right="142"/>
        <w:jc w:val="both"/>
      </w:pPr>
      <w:r>
        <w:rPr/>
        <w:br w:type="column"/>
      </w:r>
      <w:r>
        <w:rPr>
          <w:w w:val="95"/>
        </w:rPr>
        <w:t>of</w:t>
      </w:r>
      <w:r>
        <w:rPr>
          <w:spacing w:val="-18"/>
          <w:w w:val="95"/>
        </w:rPr>
        <w:t> </w:t>
      </w:r>
      <w:r>
        <w:rPr>
          <w:w w:val="95"/>
        </w:rPr>
        <w:t>various</w:t>
      </w:r>
      <w:r>
        <w:rPr>
          <w:spacing w:val="-17"/>
          <w:w w:val="95"/>
        </w:rPr>
        <w:t> </w:t>
      </w:r>
      <w:r>
        <w:rPr>
          <w:w w:val="95"/>
        </w:rPr>
        <w:t>documents</w:t>
      </w:r>
      <w:r>
        <w:rPr>
          <w:spacing w:val="-19"/>
          <w:w w:val="95"/>
        </w:rPr>
        <w:t> </w:t>
      </w:r>
      <w:r>
        <w:rPr>
          <w:w w:val="95"/>
        </w:rPr>
        <w:t>(such</w:t>
      </w:r>
      <w:r>
        <w:rPr>
          <w:spacing w:val="-18"/>
          <w:w w:val="95"/>
        </w:rPr>
        <w:t> </w:t>
      </w:r>
      <w:r>
        <w:rPr>
          <w:w w:val="95"/>
        </w:rPr>
        <w:t>as</w:t>
      </w:r>
      <w:r>
        <w:rPr>
          <w:spacing w:val="-17"/>
          <w:w w:val="95"/>
        </w:rPr>
        <w:t> </w:t>
      </w:r>
      <w:r>
        <w:rPr>
          <w:w w:val="95"/>
        </w:rPr>
        <w:t>title</w:t>
      </w:r>
      <w:r>
        <w:rPr>
          <w:spacing w:val="-19"/>
          <w:w w:val="95"/>
        </w:rPr>
        <w:t> </w:t>
      </w:r>
      <w:r>
        <w:rPr>
          <w:w w:val="95"/>
        </w:rPr>
        <w:t>report,</w:t>
      </w:r>
      <w:r>
        <w:rPr>
          <w:spacing w:val="-18"/>
          <w:w w:val="95"/>
        </w:rPr>
        <w:t> </w:t>
      </w:r>
      <w:r>
        <w:rPr>
          <w:w w:val="95"/>
        </w:rPr>
        <w:t>lease</w:t>
      </w:r>
      <w:r>
        <w:rPr>
          <w:spacing w:val="-18"/>
          <w:w w:val="95"/>
        </w:rPr>
        <w:t> </w:t>
      </w:r>
      <w:r>
        <w:rPr>
          <w:w w:val="95"/>
        </w:rPr>
        <w:t>deed,</w:t>
      </w:r>
      <w:r>
        <w:rPr>
          <w:spacing w:val="-18"/>
          <w:w w:val="95"/>
        </w:rPr>
        <w:t> </w:t>
      </w:r>
      <w:r>
        <w:rPr>
          <w:w w:val="95"/>
        </w:rPr>
        <w:t>plan</w:t>
      </w:r>
      <w:r>
        <w:rPr>
          <w:spacing w:val="-19"/>
          <w:w w:val="95"/>
        </w:rPr>
        <w:t> </w:t>
      </w:r>
      <w:r>
        <w:rPr>
          <w:w w:val="95"/>
        </w:rPr>
        <w:t>sanction</w:t>
      </w:r>
      <w:r>
        <w:rPr>
          <w:spacing w:val="-18"/>
          <w:w w:val="95"/>
        </w:rPr>
        <w:t> </w:t>
      </w:r>
      <w:r>
        <w:rPr>
          <w:w w:val="95"/>
        </w:rPr>
        <w:t>letter,</w:t>
      </w:r>
      <w:r>
        <w:rPr>
          <w:spacing w:val="-18"/>
          <w:w w:val="95"/>
        </w:rPr>
        <w:t> </w:t>
      </w:r>
      <w:r>
        <w:rPr>
          <w:w w:val="95"/>
        </w:rPr>
        <w:t>site</w:t>
      </w:r>
      <w:r>
        <w:rPr>
          <w:spacing w:val="-18"/>
          <w:w w:val="95"/>
        </w:rPr>
        <w:t> </w:t>
      </w:r>
      <w:r>
        <w:rPr>
          <w:w w:val="95"/>
        </w:rPr>
        <w:t>plan,</w:t>
      </w:r>
      <w:r>
        <w:rPr>
          <w:spacing w:val="-19"/>
          <w:w w:val="95"/>
        </w:rPr>
        <w:t> </w:t>
      </w:r>
      <w:r>
        <w:rPr>
          <w:w w:val="95"/>
        </w:rPr>
        <w:t>etc.) </w:t>
      </w:r>
      <w:r>
        <w:rPr/>
        <w:t>provided by the Client or assumed based on building regulations, and no physical verification/ measurement has been undertaken for the purpose of this valuation exercise.</w:t>
      </w:r>
    </w:p>
    <w:p>
      <w:pPr>
        <w:pStyle w:val="BodyText"/>
        <w:spacing w:line="321" w:lineRule="auto" w:before="121"/>
        <w:ind w:left="438" w:right="140"/>
        <w:jc w:val="both"/>
      </w:pPr>
      <w:r>
        <w:rPr/>
        <w:t>For</w:t>
      </w:r>
      <w:r>
        <w:rPr>
          <w:spacing w:val="-13"/>
        </w:rPr>
        <w:t> </w:t>
      </w:r>
      <w:r>
        <w:rPr/>
        <w:t>the</w:t>
      </w:r>
      <w:r>
        <w:rPr>
          <w:spacing w:val="-13"/>
        </w:rPr>
        <w:t> </w:t>
      </w:r>
      <w:r>
        <w:rPr/>
        <w:t>purpose</w:t>
      </w:r>
      <w:r>
        <w:rPr>
          <w:spacing w:val="-13"/>
        </w:rPr>
        <w:t> </w:t>
      </w:r>
      <w:r>
        <w:rPr/>
        <w:t>of</w:t>
      </w:r>
      <w:r>
        <w:rPr>
          <w:spacing w:val="-12"/>
        </w:rPr>
        <w:t> </w:t>
      </w:r>
      <w:r>
        <w:rPr/>
        <w:t>this</w:t>
      </w:r>
      <w:r>
        <w:rPr>
          <w:spacing w:val="-12"/>
        </w:rPr>
        <w:t> </w:t>
      </w:r>
      <w:r>
        <w:rPr/>
        <w:t>exercise,</w:t>
      </w:r>
      <w:r>
        <w:rPr>
          <w:spacing w:val="-13"/>
        </w:rPr>
        <w:t> </w:t>
      </w:r>
      <w:r>
        <w:rPr/>
        <w:t>it</w:t>
      </w:r>
      <w:r>
        <w:rPr>
          <w:spacing w:val="-13"/>
        </w:rPr>
        <w:t> </w:t>
      </w:r>
      <w:r>
        <w:rPr/>
        <w:t>has</w:t>
      </w:r>
      <w:r>
        <w:rPr>
          <w:spacing w:val="-12"/>
        </w:rPr>
        <w:t> </w:t>
      </w:r>
      <w:r>
        <w:rPr/>
        <w:t>been</w:t>
      </w:r>
      <w:r>
        <w:rPr>
          <w:spacing w:val="-13"/>
        </w:rPr>
        <w:t> </w:t>
      </w:r>
      <w:r>
        <w:rPr/>
        <w:t>assumed</w:t>
      </w:r>
      <w:r>
        <w:rPr>
          <w:spacing w:val="-12"/>
        </w:rPr>
        <w:t> </w:t>
      </w:r>
      <w:r>
        <w:rPr/>
        <w:t>that</w:t>
      </w:r>
      <w:r>
        <w:rPr>
          <w:spacing w:val="-12"/>
        </w:rPr>
        <w:t> </w:t>
      </w:r>
      <w:r>
        <w:rPr/>
        <w:t>all</w:t>
      </w:r>
      <w:r>
        <w:rPr>
          <w:spacing w:val="-14"/>
        </w:rPr>
        <w:t> </w:t>
      </w:r>
      <w:r>
        <w:rPr/>
        <w:t>developments</w:t>
      </w:r>
      <w:r>
        <w:rPr>
          <w:spacing w:val="-11"/>
        </w:rPr>
        <w:t> </w:t>
      </w:r>
      <w:r>
        <w:rPr/>
        <w:t>adhere</w:t>
      </w:r>
      <w:r>
        <w:rPr>
          <w:spacing w:val="-13"/>
        </w:rPr>
        <w:t> </w:t>
      </w:r>
      <w:r>
        <w:rPr/>
        <w:t>to building</w:t>
      </w:r>
      <w:r>
        <w:rPr>
          <w:spacing w:val="-30"/>
        </w:rPr>
        <w:t> </w:t>
      </w:r>
      <w:r>
        <w:rPr/>
        <w:t>regulations</w:t>
      </w:r>
      <w:r>
        <w:rPr>
          <w:spacing w:val="-30"/>
        </w:rPr>
        <w:t> </w:t>
      </w:r>
      <w:r>
        <w:rPr/>
        <w:t>as</w:t>
      </w:r>
      <w:r>
        <w:rPr>
          <w:spacing w:val="-32"/>
        </w:rPr>
        <w:t> </w:t>
      </w:r>
      <w:r>
        <w:rPr/>
        <w:t>prescribed</w:t>
      </w:r>
      <w:r>
        <w:rPr>
          <w:spacing w:val="-30"/>
        </w:rPr>
        <w:t> </w:t>
      </w:r>
      <w:r>
        <w:rPr/>
        <w:t>by</w:t>
      </w:r>
      <w:r>
        <w:rPr>
          <w:spacing w:val="-30"/>
        </w:rPr>
        <w:t> </w:t>
      </w:r>
      <w:r>
        <w:rPr/>
        <w:t>the</w:t>
      </w:r>
      <w:r>
        <w:rPr>
          <w:spacing w:val="-31"/>
        </w:rPr>
        <w:t> </w:t>
      </w:r>
      <w:r>
        <w:rPr/>
        <w:t>relevant</w:t>
      </w:r>
      <w:r>
        <w:rPr>
          <w:spacing w:val="-29"/>
        </w:rPr>
        <w:t> </w:t>
      </w:r>
      <w:r>
        <w:rPr/>
        <w:t>authorities.</w:t>
      </w:r>
      <w:r>
        <w:rPr>
          <w:spacing w:val="-27"/>
        </w:rPr>
        <w:t> </w:t>
      </w:r>
      <w:r>
        <w:rPr/>
        <w:t>The</w:t>
      </w:r>
      <w:r>
        <w:rPr>
          <w:spacing w:val="-32"/>
        </w:rPr>
        <w:t> </w:t>
      </w:r>
      <w:r>
        <w:rPr/>
        <w:t>Consultants</w:t>
      </w:r>
      <w:r>
        <w:rPr>
          <w:spacing w:val="-28"/>
        </w:rPr>
        <w:t> </w:t>
      </w:r>
      <w:r>
        <w:rPr/>
        <w:t>have</w:t>
      </w:r>
      <w:r>
        <w:rPr>
          <w:spacing w:val="-31"/>
        </w:rPr>
        <w:t> </w:t>
      </w:r>
      <w:r>
        <w:rPr/>
        <w:t>not validated the information provided by the Client with the relevant development authorities.</w:t>
      </w:r>
    </w:p>
    <w:p>
      <w:pPr>
        <w:pStyle w:val="BodyText"/>
        <w:spacing w:line="321" w:lineRule="auto" w:before="125"/>
        <w:ind w:left="520" w:right="136"/>
        <w:jc w:val="both"/>
      </w:pPr>
      <w:r>
        <w:rPr/>
        <w:t>Based</w:t>
      </w:r>
      <w:r>
        <w:rPr>
          <w:spacing w:val="-5"/>
        </w:rPr>
        <w:t> </w:t>
      </w:r>
      <w:r>
        <w:rPr/>
        <w:t>on</w:t>
      </w:r>
      <w:r>
        <w:rPr>
          <w:spacing w:val="-5"/>
        </w:rPr>
        <w:t> </w:t>
      </w:r>
      <w:r>
        <w:rPr/>
        <w:t>Occupancy</w:t>
      </w:r>
      <w:r>
        <w:rPr>
          <w:spacing w:val="-3"/>
        </w:rPr>
        <w:t> </w:t>
      </w:r>
      <w:r>
        <w:rPr/>
        <w:t>Certificates</w:t>
      </w:r>
      <w:r>
        <w:rPr>
          <w:spacing w:val="-4"/>
        </w:rPr>
        <w:t> </w:t>
      </w:r>
      <w:r>
        <w:rPr/>
        <w:t>provided</w:t>
      </w:r>
      <w:r>
        <w:rPr>
          <w:spacing w:val="-4"/>
        </w:rPr>
        <w:t> </w:t>
      </w:r>
      <w:r>
        <w:rPr/>
        <w:t>by</w:t>
      </w:r>
      <w:r>
        <w:rPr>
          <w:spacing w:val="-3"/>
        </w:rPr>
        <w:t> </w:t>
      </w:r>
      <w:r>
        <w:rPr/>
        <w:t>the</w:t>
      </w:r>
      <w:r>
        <w:rPr>
          <w:spacing w:val="-8"/>
        </w:rPr>
        <w:t> </w:t>
      </w:r>
      <w:r>
        <w:rPr/>
        <w:t>Client</w:t>
      </w:r>
      <w:r>
        <w:rPr>
          <w:spacing w:val="-5"/>
        </w:rPr>
        <w:t> </w:t>
      </w:r>
      <w:r>
        <w:rPr/>
        <w:t>and</w:t>
      </w:r>
      <w:r>
        <w:rPr>
          <w:spacing w:val="-4"/>
        </w:rPr>
        <w:t> </w:t>
      </w:r>
      <w:r>
        <w:rPr/>
        <w:t>visual</w:t>
      </w:r>
      <w:r>
        <w:rPr>
          <w:spacing w:val="-5"/>
        </w:rPr>
        <w:t> </w:t>
      </w:r>
      <w:r>
        <w:rPr/>
        <w:t>inspection</w:t>
      </w:r>
      <w:r>
        <w:rPr>
          <w:spacing w:val="-5"/>
        </w:rPr>
        <w:t> </w:t>
      </w:r>
      <w:r>
        <w:rPr/>
        <w:t>during our</w:t>
      </w:r>
      <w:r>
        <w:rPr>
          <w:spacing w:val="-6"/>
        </w:rPr>
        <w:t> </w:t>
      </w:r>
      <w:r>
        <w:rPr/>
        <w:t>site</w:t>
      </w:r>
      <w:r>
        <w:rPr>
          <w:spacing w:val="-6"/>
        </w:rPr>
        <w:t> </w:t>
      </w:r>
      <w:r>
        <w:rPr/>
        <w:t>visit,</w:t>
      </w:r>
      <w:r>
        <w:rPr>
          <w:spacing w:val="-7"/>
        </w:rPr>
        <w:t> </w:t>
      </w:r>
      <w:r>
        <w:rPr/>
        <w:t>we</w:t>
      </w:r>
      <w:r>
        <w:rPr>
          <w:spacing w:val="-6"/>
        </w:rPr>
        <w:t> </w:t>
      </w:r>
      <w:r>
        <w:rPr/>
        <w:t>understand</w:t>
      </w:r>
      <w:r>
        <w:rPr>
          <w:spacing w:val="-5"/>
        </w:rPr>
        <w:t> </w:t>
      </w:r>
      <w:r>
        <w:rPr/>
        <w:t>that</w:t>
      </w:r>
      <w:r>
        <w:rPr>
          <w:spacing w:val="-6"/>
        </w:rPr>
        <w:t> </w:t>
      </w:r>
      <w:r>
        <w:rPr/>
        <w:t>the</w:t>
      </w:r>
      <w:r>
        <w:rPr>
          <w:spacing w:val="-5"/>
        </w:rPr>
        <w:t> </w:t>
      </w:r>
      <w:r>
        <w:rPr/>
        <w:t>subject</w:t>
      </w:r>
      <w:r>
        <w:rPr>
          <w:spacing w:val="-5"/>
        </w:rPr>
        <w:t> </w:t>
      </w:r>
      <w:r>
        <w:rPr/>
        <w:t>property</w:t>
      </w:r>
      <w:r>
        <w:rPr>
          <w:spacing w:val="-6"/>
        </w:rPr>
        <w:t> </w:t>
      </w:r>
      <w:r>
        <w:rPr/>
        <w:t>is</w:t>
      </w:r>
      <w:r>
        <w:rPr>
          <w:spacing w:val="-5"/>
        </w:rPr>
        <w:t> </w:t>
      </w:r>
      <w:r>
        <w:rPr/>
        <w:t>an</w:t>
      </w:r>
      <w:r>
        <w:rPr>
          <w:spacing w:val="-6"/>
        </w:rPr>
        <w:t> </w:t>
      </w:r>
      <w:r>
        <w:rPr/>
        <w:t>operational</w:t>
      </w:r>
      <w:r>
        <w:rPr>
          <w:spacing w:val="-5"/>
        </w:rPr>
        <w:t> </w:t>
      </w:r>
      <w:r>
        <w:rPr/>
        <w:t>office</w:t>
      </w:r>
      <w:r>
        <w:rPr>
          <w:spacing w:val="-1"/>
        </w:rPr>
        <w:t> </w:t>
      </w:r>
      <w:r>
        <w:rPr/>
        <w:t>park, comprising</w:t>
      </w:r>
      <w:r>
        <w:rPr>
          <w:spacing w:val="-12"/>
        </w:rPr>
        <w:t> </w:t>
      </w:r>
      <w:r>
        <w:rPr/>
        <w:t>of</w:t>
      </w:r>
      <w:r>
        <w:rPr>
          <w:spacing w:val="-10"/>
        </w:rPr>
        <w:t> </w:t>
      </w:r>
      <w:r>
        <w:rPr/>
        <w:t>5</w:t>
      </w:r>
      <w:r>
        <w:rPr>
          <w:spacing w:val="-13"/>
        </w:rPr>
        <w:t> </w:t>
      </w:r>
      <w:r>
        <w:rPr/>
        <w:t>blocks.</w:t>
      </w:r>
      <w:r>
        <w:rPr>
          <w:spacing w:val="-15"/>
        </w:rPr>
        <w:t> </w:t>
      </w:r>
      <w:r>
        <w:rPr/>
        <w:t>The</w:t>
      </w:r>
      <w:r>
        <w:rPr>
          <w:spacing w:val="-12"/>
        </w:rPr>
        <w:t> </w:t>
      </w:r>
      <w:r>
        <w:rPr/>
        <w:t>current</w:t>
      </w:r>
      <w:r>
        <w:rPr>
          <w:spacing w:val="-11"/>
        </w:rPr>
        <w:t> </w:t>
      </w:r>
      <w:r>
        <w:rPr/>
        <w:t>use</w:t>
      </w:r>
      <w:r>
        <w:rPr>
          <w:spacing w:val="-10"/>
        </w:rPr>
        <w:t> </w:t>
      </w:r>
      <w:r>
        <w:rPr/>
        <w:t>of</w:t>
      </w:r>
      <w:r>
        <w:rPr>
          <w:spacing w:val="-13"/>
        </w:rPr>
        <w:t> </w:t>
      </w:r>
      <w:r>
        <w:rPr/>
        <w:t>the</w:t>
      </w:r>
      <w:r>
        <w:rPr>
          <w:spacing w:val="-12"/>
        </w:rPr>
        <w:t> </w:t>
      </w:r>
      <w:r>
        <w:rPr/>
        <w:t>subject</w:t>
      </w:r>
      <w:r>
        <w:rPr>
          <w:spacing w:val="-10"/>
        </w:rPr>
        <w:t> </w:t>
      </w:r>
      <w:r>
        <w:rPr/>
        <w:t>property</w:t>
      </w:r>
      <w:r>
        <w:rPr>
          <w:spacing w:val="-11"/>
        </w:rPr>
        <w:t> </w:t>
      </w:r>
      <w:r>
        <w:rPr/>
        <w:t>has</w:t>
      </w:r>
      <w:r>
        <w:rPr>
          <w:spacing w:val="-11"/>
        </w:rPr>
        <w:t> </w:t>
      </w:r>
      <w:r>
        <w:rPr/>
        <w:t>been</w:t>
      </w:r>
      <w:r>
        <w:rPr>
          <w:spacing w:val="-13"/>
        </w:rPr>
        <w:t> </w:t>
      </w:r>
      <w:r>
        <w:rPr/>
        <w:t>provided</w:t>
      </w:r>
      <w:r>
        <w:rPr>
          <w:spacing w:val="-13"/>
        </w:rPr>
        <w:t> </w:t>
      </w:r>
      <w:r>
        <w:rPr/>
        <w:t>by the</w:t>
      </w:r>
      <w:r>
        <w:rPr>
          <w:spacing w:val="-18"/>
        </w:rPr>
        <w:t> </w:t>
      </w:r>
      <w:r>
        <w:rPr/>
        <w:t>Client</w:t>
      </w:r>
      <w:r>
        <w:rPr>
          <w:spacing w:val="-17"/>
        </w:rPr>
        <w:t> </w:t>
      </w:r>
      <w:r>
        <w:rPr/>
        <w:t>and</w:t>
      </w:r>
      <w:r>
        <w:rPr>
          <w:spacing w:val="-17"/>
        </w:rPr>
        <w:t> </w:t>
      </w:r>
      <w:r>
        <w:rPr/>
        <w:t>is</w:t>
      </w:r>
      <w:r>
        <w:rPr>
          <w:spacing w:val="-17"/>
        </w:rPr>
        <w:t> </w:t>
      </w:r>
      <w:r>
        <w:rPr/>
        <w:t>broadly</w:t>
      </w:r>
      <w:r>
        <w:rPr>
          <w:spacing w:val="-18"/>
        </w:rPr>
        <w:t> </w:t>
      </w:r>
      <w:r>
        <w:rPr/>
        <w:t>in</w:t>
      </w:r>
      <w:r>
        <w:rPr>
          <w:spacing w:val="-18"/>
        </w:rPr>
        <w:t> </w:t>
      </w:r>
      <w:r>
        <w:rPr/>
        <w:t>agreement</w:t>
      </w:r>
      <w:r>
        <w:rPr>
          <w:spacing w:val="-18"/>
        </w:rPr>
        <w:t> </w:t>
      </w:r>
      <w:r>
        <w:rPr/>
        <w:t>with</w:t>
      </w:r>
      <w:r>
        <w:rPr>
          <w:spacing w:val="-17"/>
        </w:rPr>
        <w:t> </w:t>
      </w:r>
      <w:r>
        <w:rPr/>
        <w:t>the</w:t>
      </w:r>
      <w:r>
        <w:rPr>
          <w:spacing w:val="-18"/>
        </w:rPr>
        <w:t> </w:t>
      </w:r>
      <w:r>
        <w:rPr/>
        <w:t>rules</w:t>
      </w:r>
      <w:r>
        <w:rPr>
          <w:spacing w:val="-16"/>
        </w:rPr>
        <w:t> </w:t>
      </w:r>
      <w:r>
        <w:rPr/>
        <w:t>and</w:t>
      </w:r>
      <w:r>
        <w:rPr>
          <w:spacing w:val="-17"/>
        </w:rPr>
        <w:t> </w:t>
      </w:r>
      <w:r>
        <w:rPr/>
        <w:t>regulations</w:t>
      </w:r>
      <w:r>
        <w:rPr>
          <w:spacing w:val="-17"/>
        </w:rPr>
        <w:t> </w:t>
      </w:r>
      <w:r>
        <w:rPr/>
        <w:t>as</w:t>
      </w:r>
      <w:r>
        <w:rPr>
          <w:spacing w:val="-18"/>
        </w:rPr>
        <w:t> </w:t>
      </w:r>
      <w:r>
        <w:rPr/>
        <w:t>prescribed</w:t>
      </w:r>
      <w:r>
        <w:rPr>
          <w:spacing w:val="-18"/>
        </w:rPr>
        <w:t> </w:t>
      </w:r>
      <w:r>
        <w:rPr/>
        <w:t>by the</w:t>
      </w:r>
      <w:r>
        <w:rPr>
          <w:spacing w:val="-47"/>
        </w:rPr>
        <w:t> </w:t>
      </w:r>
      <w:r>
        <w:rPr/>
        <w:t>local</w:t>
      </w:r>
      <w:r>
        <w:rPr>
          <w:spacing w:val="-46"/>
        </w:rPr>
        <w:t> </w:t>
      </w:r>
      <w:r>
        <w:rPr/>
        <w:t>development</w:t>
      </w:r>
      <w:r>
        <w:rPr>
          <w:spacing w:val="-47"/>
        </w:rPr>
        <w:t> </w:t>
      </w:r>
      <w:r>
        <w:rPr/>
        <w:t>authority.</w:t>
      </w:r>
      <w:r>
        <w:rPr>
          <w:spacing w:val="-46"/>
        </w:rPr>
        <w:t> </w:t>
      </w:r>
      <w:r>
        <w:rPr/>
        <w:t>However,</w:t>
      </w:r>
      <w:r>
        <w:rPr>
          <w:spacing w:val="-46"/>
        </w:rPr>
        <w:t> </w:t>
      </w:r>
      <w:r>
        <w:rPr/>
        <w:t>the</w:t>
      </w:r>
      <w:r>
        <w:rPr>
          <w:spacing w:val="-46"/>
        </w:rPr>
        <w:t> </w:t>
      </w:r>
      <w:r>
        <w:rPr/>
        <w:t>Consultants</w:t>
      </w:r>
      <w:r>
        <w:rPr>
          <w:spacing w:val="-45"/>
        </w:rPr>
        <w:t> </w:t>
      </w:r>
      <w:r>
        <w:rPr/>
        <w:t>have</w:t>
      </w:r>
      <w:r>
        <w:rPr>
          <w:spacing w:val="-47"/>
        </w:rPr>
        <w:t> </w:t>
      </w:r>
      <w:r>
        <w:rPr/>
        <w:t>not</w:t>
      </w:r>
      <w:r>
        <w:rPr>
          <w:spacing w:val="-46"/>
        </w:rPr>
        <w:t> </w:t>
      </w:r>
      <w:r>
        <w:rPr/>
        <w:t>made</w:t>
      </w:r>
      <w:r>
        <w:rPr>
          <w:spacing w:val="-47"/>
        </w:rPr>
        <w:t> </w:t>
      </w:r>
      <w:r>
        <w:rPr/>
        <w:t>any</w:t>
      </w:r>
      <w:r>
        <w:rPr>
          <w:spacing w:val="-45"/>
        </w:rPr>
        <w:t> </w:t>
      </w:r>
      <w:r>
        <w:rPr/>
        <w:t>enquiries with</w:t>
      </w:r>
      <w:r>
        <w:rPr>
          <w:spacing w:val="-46"/>
        </w:rPr>
        <w:t> </w:t>
      </w:r>
      <w:r>
        <w:rPr/>
        <w:t>the</w:t>
      </w:r>
      <w:r>
        <w:rPr>
          <w:spacing w:val="-46"/>
        </w:rPr>
        <w:t> </w:t>
      </w:r>
      <w:r>
        <w:rPr/>
        <w:t>relevant</w:t>
      </w:r>
      <w:r>
        <w:rPr>
          <w:spacing w:val="-46"/>
        </w:rPr>
        <w:t> </w:t>
      </w:r>
      <w:r>
        <w:rPr/>
        <w:t>local</w:t>
      </w:r>
      <w:r>
        <w:rPr>
          <w:spacing w:val="-45"/>
        </w:rPr>
        <w:t> </w:t>
      </w:r>
      <w:r>
        <w:rPr/>
        <w:t>authorities</w:t>
      </w:r>
      <w:r>
        <w:rPr>
          <w:spacing w:val="-45"/>
        </w:rPr>
        <w:t> </w:t>
      </w:r>
      <w:r>
        <w:rPr/>
        <w:t>to</w:t>
      </w:r>
      <w:r>
        <w:rPr>
          <w:spacing w:val="-46"/>
        </w:rPr>
        <w:t> </w:t>
      </w:r>
      <w:r>
        <w:rPr/>
        <w:t>validate</w:t>
      </w:r>
      <w:r>
        <w:rPr>
          <w:spacing w:val="-45"/>
        </w:rPr>
        <w:t> </w:t>
      </w:r>
      <w:r>
        <w:rPr/>
        <w:t>the</w:t>
      </w:r>
      <w:r>
        <w:rPr>
          <w:spacing w:val="-46"/>
        </w:rPr>
        <w:t> </w:t>
      </w:r>
      <w:r>
        <w:rPr/>
        <w:t>same</w:t>
      </w:r>
      <w:r>
        <w:rPr>
          <w:spacing w:val="-46"/>
        </w:rPr>
        <w:t> </w:t>
      </w:r>
      <w:r>
        <w:rPr/>
        <w:t>for</w:t>
      </w:r>
      <w:r>
        <w:rPr>
          <w:spacing w:val="-46"/>
        </w:rPr>
        <w:t> </w:t>
      </w:r>
      <w:r>
        <w:rPr/>
        <w:t>its</w:t>
      </w:r>
      <w:r>
        <w:rPr>
          <w:spacing w:val="-45"/>
        </w:rPr>
        <w:t> </w:t>
      </w:r>
      <w:r>
        <w:rPr/>
        <w:t>specific</w:t>
      </w:r>
      <w:r>
        <w:rPr>
          <w:spacing w:val="-46"/>
        </w:rPr>
        <w:t> </w:t>
      </w:r>
      <w:r>
        <w:rPr/>
        <w:t>applicability</w:t>
      </w:r>
      <w:r>
        <w:rPr>
          <w:spacing w:val="-45"/>
        </w:rPr>
        <w:t> </w:t>
      </w:r>
      <w:r>
        <w:rPr/>
        <w:t>to</w:t>
      </w:r>
      <w:r>
        <w:rPr>
          <w:spacing w:val="-45"/>
        </w:rPr>
        <w:t> </w:t>
      </w:r>
      <w:r>
        <w:rPr/>
        <w:t>the subject</w:t>
      </w:r>
      <w:r>
        <w:rPr>
          <w:spacing w:val="-4"/>
        </w:rPr>
        <w:t> </w:t>
      </w:r>
      <w:r>
        <w:rPr/>
        <w:t>property.</w:t>
      </w:r>
    </w:p>
    <w:p>
      <w:pPr>
        <w:spacing w:after="0" w:line="321" w:lineRule="auto"/>
        <w:jc w:val="both"/>
        <w:sectPr>
          <w:type w:val="continuous"/>
          <w:pgSz w:w="11910" w:h="16840"/>
          <w:pgMar w:top="800" w:bottom="280" w:left="600" w:right="600"/>
          <w:cols w:num="2" w:equalWidth="0">
            <w:col w:w="1716" w:space="40"/>
            <w:col w:w="8954"/>
          </w:cols>
        </w:sectPr>
      </w:pPr>
    </w:p>
    <w:p>
      <w:pPr>
        <w:pStyle w:val="BodyText"/>
        <w:tabs>
          <w:tab w:pos="2275" w:val="left" w:leader="none"/>
        </w:tabs>
        <w:spacing w:line="319" w:lineRule="auto" w:before="124"/>
        <w:ind w:left="2275" w:right="141" w:hanging="1491"/>
      </w:pPr>
      <w:r>
        <w:rPr>
          <w:w w:val="95"/>
        </w:rPr>
        <w:t>Restrictions:</w:t>
        <w:tab/>
      </w:r>
      <w:r>
        <w:rPr/>
        <w:t>As</w:t>
      </w:r>
      <w:r>
        <w:rPr>
          <w:spacing w:val="-35"/>
        </w:rPr>
        <w:t> </w:t>
      </w:r>
      <w:r>
        <w:rPr/>
        <w:t>per</w:t>
      </w:r>
      <w:r>
        <w:rPr>
          <w:spacing w:val="-34"/>
        </w:rPr>
        <w:t> </w:t>
      </w:r>
      <w:r>
        <w:rPr/>
        <w:t>feedback</w:t>
      </w:r>
      <w:r>
        <w:rPr>
          <w:spacing w:val="-34"/>
        </w:rPr>
        <w:t> </w:t>
      </w:r>
      <w:r>
        <w:rPr/>
        <w:t>received</w:t>
      </w:r>
      <w:r>
        <w:rPr>
          <w:spacing w:val="-33"/>
        </w:rPr>
        <w:t> </w:t>
      </w:r>
      <w:r>
        <w:rPr/>
        <w:t>from</w:t>
      </w:r>
      <w:r>
        <w:rPr>
          <w:spacing w:val="-34"/>
        </w:rPr>
        <w:t> </w:t>
      </w:r>
      <w:r>
        <w:rPr/>
        <w:t>the</w:t>
      </w:r>
      <w:r>
        <w:rPr>
          <w:spacing w:val="-34"/>
        </w:rPr>
        <w:t> </w:t>
      </w:r>
      <w:r>
        <w:rPr/>
        <w:t>Client,</w:t>
      </w:r>
      <w:r>
        <w:rPr>
          <w:spacing w:val="-34"/>
        </w:rPr>
        <w:t> </w:t>
      </w:r>
      <w:r>
        <w:rPr/>
        <w:t>there</w:t>
      </w:r>
      <w:r>
        <w:rPr>
          <w:spacing w:val="-34"/>
        </w:rPr>
        <w:t> </w:t>
      </w:r>
      <w:r>
        <w:rPr/>
        <w:t>are</w:t>
      </w:r>
      <w:r>
        <w:rPr>
          <w:spacing w:val="-34"/>
        </w:rPr>
        <w:t> </w:t>
      </w:r>
      <w:r>
        <w:rPr/>
        <w:t>no</w:t>
      </w:r>
      <w:r>
        <w:rPr>
          <w:spacing w:val="-34"/>
        </w:rPr>
        <w:t> </w:t>
      </w:r>
      <w:r>
        <w:rPr/>
        <w:t>restrictions</w:t>
      </w:r>
      <w:r>
        <w:rPr>
          <w:spacing w:val="-33"/>
        </w:rPr>
        <w:t> </w:t>
      </w:r>
      <w:r>
        <w:rPr/>
        <w:t>on</w:t>
      </w:r>
      <w:r>
        <w:rPr>
          <w:spacing w:val="-34"/>
        </w:rPr>
        <w:t> </w:t>
      </w:r>
      <w:r>
        <w:rPr/>
        <w:t>the</w:t>
      </w:r>
      <w:r>
        <w:rPr>
          <w:spacing w:val="-34"/>
        </w:rPr>
        <w:t> </w:t>
      </w:r>
      <w:r>
        <w:rPr/>
        <w:t>current</w:t>
      </w:r>
      <w:r>
        <w:rPr>
          <w:spacing w:val="-34"/>
        </w:rPr>
        <w:t> </w:t>
      </w:r>
      <w:r>
        <w:rPr/>
        <w:t>use</w:t>
      </w:r>
      <w:r>
        <w:rPr>
          <w:spacing w:val="-34"/>
        </w:rPr>
        <w:t> </w:t>
      </w:r>
      <w:r>
        <w:rPr/>
        <w:t>of the</w:t>
      </w:r>
      <w:r>
        <w:rPr>
          <w:spacing w:val="-3"/>
        </w:rPr>
        <w:t> </w:t>
      </w:r>
      <w:r>
        <w:rPr/>
        <w:t>property.</w:t>
      </w:r>
    </w:p>
    <w:p>
      <w:pPr>
        <w:spacing w:after="0" w:line="319" w:lineRule="auto"/>
        <w:sectPr>
          <w:type w:val="continuous"/>
          <w:pgSz w:w="11910" w:h="16840"/>
          <w:pgMar w:top="800" w:bottom="280" w:left="600" w:right="600"/>
        </w:sectPr>
      </w:pPr>
    </w:p>
    <w:p>
      <w:pPr>
        <w:pStyle w:val="BodyText"/>
        <w:tabs>
          <w:tab w:pos="1773" w:val="left" w:leader="none"/>
        </w:tabs>
        <w:spacing w:line="321" w:lineRule="auto" w:before="124"/>
        <w:ind w:left="785"/>
      </w:pPr>
      <w:r>
        <w:rPr/>
        <w:t>Natural</w:t>
        <w:tab/>
      </w:r>
      <w:r>
        <w:rPr>
          <w:spacing w:val="-11"/>
        </w:rPr>
        <w:t>or </w:t>
      </w:r>
      <w:r>
        <w:rPr/>
        <w:t>induced hazards:</w:t>
      </w:r>
    </w:p>
    <w:p>
      <w:pPr>
        <w:pStyle w:val="BodyText"/>
        <w:spacing w:line="321" w:lineRule="auto" w:before="124"/>
        <w:ind w:left="259"/>
      </w:pPr>
      <w:r>
        <w:rPr/>
        <w:br w:type="column"/>
      </w:r>
      <w:r>
        <w:rPr/>
        <w:t>We</w:t>
      </w:r>
      <w:r>
        <w:rPr>
          <w:spacing w:val="-30"/>
        </w:rPr>
        <w:t> </w:t>
      </w:r>
      <w:r>
        <w:rPr/>
        <w:t>are</w:t>
      </w:r>
      <w:r>
        <w:rPr>
          <w:spacing w:val="-30"/>
        </w:rPr>
        <w:t> </w:t>
      </w:r>
      <w:r>
        <w:rPr/>
        <w:t>of</w:t>
      </w:r>
      <w:r>
        <w:rPr>
          <w:spacing w:val="-29"/>
        </w:rPr>
        <w:t> </w:t>
      </w:r>
      <w:r>
        <w:rPr/>
        <w:t>the</w:t>
      </w:r>
      <w:r>
        <w:rPr>
          <w:spacing w:val="-30"/>
        </w:rPr>
        <w:t> </w:t>
      </w:r>
      <w:r>
        <w:rPr/>
        <w:t>opinion</w:t>
      </w:r>
      <w:r>
        <w:rPr>
          <w:spacing w:val="-30"/>
        </w:rPr>
        <w:t> </w:t>
      </w:r>
      <w:r>
        <w:rPr/>
        <w:t>that</w:t>
      </w:r>
      <w:r>
        <w:rPr>
          <w:spacing w:val="-29"/>
        </w:rPr>
        <w:t> </w:t>
      </w:r>
      <w:r>
        <w:rPr/>
        <w:t>the</w:t>
      </w:r>
      <w:r>
        <w:rPr>
          <w:spacing w:val="-30"/>
        </w:rPr>
        <w:t> </w:t>
      </w:r>
      <w:r>
        <w:rPr/>
        <w:t>project/</w:t>
      </w:r>
      <w:r>
        <w:rPr>
          <w:spacing w:val="-30"/>
        </w:rPr>
        <w:t> </w:t>
      </w:r>
      <w:r>
        <w:rPr/>
        <w:t>site</w:t>
      </w:r>
      <w:r>
        <w:rPr>
          <w:spacing w:val="-30"/>
        </w:rPr>
        <w:t> </w:t>
      </w:r>
      <w:r>
        <w:rPr/>
        <w:t>has</w:t>
      </w:r>
      <w:r>
        <w:rPr>
          <w:spacing w:val="-30"/>
        </w:rPr>
        <w:t> </w:t>
      </w:r>
      <w:r>
        <w:rPr/>
        <w:t>been</w:t>
      </w:r>
      <w:r>
        <w:rPr>
          <w:spacing w:val="-30"/>
        </w:rPr>
        <w:t> </w:t>
      </w:r>
      <w:r>
        <w:rPr/>
        <w:t>developed</w:t>
      </w:r>
      <w:r>
        <w:rPr>
          <w:spacing w:val="-29"/>
        </w:rPr>
        <w:t> </w:t>
      </w:r>
      <w:r>
        <w:rPr/>
        <w:t>to</w:t>
      </w:r>
      <w:r>
        <w:rPr>
          <w:spacing w:val="-31"/>
        </w:rPr>
        <w:t> </w:t>
      </w:r>
      <w:r>
        <w:rPr/>
        <w:t>withstand</w:t>
      </w:r>
      <w:r>
        <w:rPr>
          <w:spacing w:val="-29"/>
        </w:rPr>
        <w:t> </w:t>
      </w:r>
      <w:r>
        <w:rPr/>
        <w:t>natural</w:t>
      </w:r>
      <w:r>
        <w:rPr>
          <w:spacing w:val="-30"/>
        </w:rPr>
        <w:t> </w:t>
      </w:r>
      <w:r>
        <w:rPr/>
        <w:t>or induced</w:t>
      </w:r>
      <w:r>
        <w:rPr>
          <w:spacing w:val="-18"/>
        </w:rPr>
        <w:t> </w:t>
      </w:r>
      <w:r>
        <w:rPr/>
        <w:t>hazards</w:t>
      </w:r>
      <w:r>
        <w:rPr>
          <w:spacing w:val="-18"/>
        </w:rPr>
        <w:t> </w:t>
      </w:r>
      <w:r>
        <w:rPr/>
        <w:t>(with</w:t>
      </w:r>
      <w:r>
        <w:rPr>
          <w:spacing w:val="-19"/>
        </w:rPr>
        <w:t> </w:t>
      </w:r>
      <w:r>
        <w:rPr/>
        <w:t>the</w:t>
      </w:r>
      <w:r>
        <w:rPr>
          <w:spacing w:val="-21"/>
        </w:rPr>
        <w:t> </w:t>
      </w:r>
      <w:r>
        <w:rPr/>
        <w:t>exception</w:t>
      </w:r>
      <w:r>
        <w:rPr>
          <w:spacing w:val="-19"/>
        </w:rPr>
        <w:t> </w:t>
      </w:r>
      <w:r>
        <w:rPr/>
        <w:t>of</w:t>
      </w:r>
      <w:r>
        <w:rPr>
          <w:spacing w:val="-17"/>
        </w:rPr>
        <w:t> </w:t>
      </w:r>
      <w:r>
        <w:rPr/>
        <w:t>extreme/</w:t>
      </w:r>
      <w:r>
        <w:rPr>
          <w:spacing w:val="-20"/>
        </w:rPr>
        <w:t> </w:t>
      </w:r>
      <w:r>
        <w:rPr/>
        <w:t>out</w:t>
      </w:r>
      <w:r>
        <w:rPr>
          <w:spacing w:val="-18"/>
        </w:rPr>
        <w:t> </w:t>
      </w:r>
      <w:r>
        <w:rPr/>
        <w:t>of</w:t>
      </w:r>
      <w:r>
        <w:rPr>
          <w:spacing w:val="-18"/>
        </w:rPr>
        <w:t> </w:t>
      </w:r>
      <w:r>
        <w:rPr/>
        <w:t>the</w:t>
      </w:r>
      <w:r>
        <w:rPr>
          <w:spacing w:val="-19"/>
        </w:rPr>
        <w:t> </w:t>
      </w:r>
      <w:r>
        <w:rPr/>
        <w:t>ordinary</w:t>
      </w:r>
      <w:r>
        <w:rPr>
          <w:spacing w:val="-18"/>
        </w:rPr>
        <w:t> </w:t>
      </w:r>
      <w:r>
        <w:rPr/>
        <w:t>hazards).</w:t>
      </w:r>
    </w:p>
    <w:p>
      <w:pPr>
        <w:spacing w:after="0" w:line="321" w:lineRule="auto"/>
        <w:sectPr>
          <w:type w:val="continuous"/>
          <w:pgSz w:w="11910" w:h="16840"/>
          <w:pgMar w:top="800" w:bottom="280" w:left="600" w:right="600"/>
          <w:cols w:num="2" w:equalWidth="0">
            <w:col w:w="1977" w:space="40"/>
            <w:col w:w="8693"/>
          </w:cols>
        </w:sectPr>
      </w:pPr>
    </w:p>
    <w:p>
      <w:pPr>
        <w:pStyle w:val="BodyText"/>
        <w:spacing w:before="1"/>
      </w:pPr>
    </w:p>
    <w:p>
      <w:pPr>
        <w:pStyle w:val="ListParagraph"/>
        <w:numPr>
          <w:ilvl w:val="2"/>
          <w:numId w:val="14"/>
        </w:numPr>
        <w:tabs>
          <w:tab w:pos="841" w:val="left" w:leader="none"/>
        </w:tabs>
        <w:spacing w:line="240" w:lineRule="auto" w:before="107" w:after="0"/>
        <w:ind w:left="840" w:right="0" w:hanging="721"/>
        <w:jc w:val="left"/>
        <w:rPr>
          <w:sz w:val="22"/>
        </w:rPr>
      </w:pPr>
      <w:bookmarkStart w:name="_bookmark273" w:id="532"/>
      <w:bookmarkEnd w:id="532"/>
      <w:r>
        <w:rPr/>
      </w:r>
      <w:bookmarkStart w:name="_bookmark273" w:id="533"/>
      <w:bookmarkEnd w:id="533"/>
      <w:r>
        <w:rPr>
          <w:color w:val="1F664D"/>
          <w:sz w:val="22"/>
        </w:rPr>
        <w:t>S</w:t>
      </w:r>
      <w:r>
        <w:rPr>
          <w:color w:val="1F664D"/>
          <w:sz w:val="22"/>
        </w:rPr>
        <w:t>tatutory Approvals, One Time Sanctions &amp; Periodic</w:t>
      </w:r>
      <w:r>
        <w:rPr>
          <w:color w:val="1F664D"/>
          <w:spacing w:val="1"/>
          <w:sz w:val="22"/>
        </w:rPr>
        <w:t> </w:t>
      </w:r>
      <w:r>
        <w:rPr>
          <w:color w:val="1F664D"/>
          <w:sz w:val="22"/>
        </w:rPr>
        <w:t>Clearances</w:t>
      </w:r>
    </w:p>
    <w:p>
      <w:pPr>
        <w:pStyle w:val="BodyText"/>
        <w:spacing w:before="2"/>
        <w:rPr>
          <w:sz w:val="28"/>
        </w:rPr>
      </w:pPr>
    </w:p>
    <w:p>
      <w:pPr>
        <w:pStyle w:val="BodyText"/>
        <w:ind w:left="686"/>
      </w:pPr>
      <w:r>
        <w:rPr/>
        <w:t>Please refer section 18.3 on Statutory Approvals, One time Sanctions &amp; Periodic Clearances</w:t>
      </w:r>
    </w:p>
    <w:p>
      <w:pPr>
        <w:spacing w:after="0"/>
        <w:sectPr>
          <w:type w:val="continuous"/>
          <w:pgSz w:w="11910" w:h="16840"/>
          <w:pgMar w:top="800" w:bottom="280" w:left="600" w:right="600"/>
        </w:sectPr>
      </w:pPr>
    </w:p>
    <w:p>
      <w:pPr>
        <w:pStyle w:val="BodyText"/>
        <w:spacing w:before="7"/>
        <w:rPr>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274" w:id="534"/>
      <w:bookmarkEnd w:id="534"/>
      <w:r>
        <w:rPr/>
      </w:r>
      <w:bookmarkStart w:name="_bookmark274" w:id="535"/>
      <w:bookmarkEnd w:id="535"/>
      <w:r>
        <w:rPr>
          <w:color w:val="1F664D"/>
          <w:sz w:val="22"/>
        </w:rPr>
        <w:t>Are</w:t>
      </w:r>
      <w:r>
        <w:rPr>
          <w:color w:val="1F664D"/>
          <w:sz w:val="22"/>
        </w:rPr>
        <w:t>a Details, Type and Age of Existing</w:t>
      </w:r>
      <w:r>
        <w:rPr>
          <w:color w:val="1F664D"/>
          <w:spacing w:val="-6"/>
          <w:sz w:val="22"/>
        </w:rPr>
        <w:t> </w:t>
      </w:r>
      <w:r>
        <w:rPr>
          <w:color w:val="1F664D"/>
          <w:sz w:val="22"/>
        </w:rPr>
        <w:t>Structures</w:t>
      </w:r>
    </w:p>
    <w:p>
      <w:pPr>
        <w:pStyle w:val="BodyText"/>
        <w:spacing w:before="208"/>
        <w:ind w:left="660"/>
      </w:pPr>
      <w:r>
        <w:rPr/>
        <w:pict>
          <v:shape style="position:absolute;margin-left:35.279999pt;margin-top:34.048607pt;width:524.3pt;height:50.5pt;mso-position-horizontal-relative:page;mso-position-vertical-relative:paragraph;z-index:1636044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337"/>
                    <w:gridCol w:w="2137"/>
                    <w:gridCol w:w="2010"/>
                  </w:tblGrid>
                  <w:tr>
                    <w:trPr>
                      <w:trHeight w:val="495" w:hRule="atLeast"/>
                    </w:trPr>
                    <w:tc>
                      <w:tcPr>
                        <w:tcW w:w="6337" w:type="dxa"/>
                        <w:tcBorders>
                          <w:top w:val="single" w:sz="12" w:space="0" w:color="1F6B16"/>
                          <w:bottom w:val="single" w:sz="6" w:space="0" w:color="69BD28"/>
                        </w:tcBorders>
                        <w:shd w:val="clear" w:color="auto" w:fill="006A4D"/>
                      </w:tcPr>
                      <w:p>
                        <w:pPr>
                          <w:pStyle w:val="TableParagraph"/>
                          <w:tabs>
                            <w:tab w:pos="2825" w:val="left" w:leader="none"/>
                            <w:tab w:pos="4378" w:val="left" w:leader="none"/>
                          </w:tabs>
                          <w:spacing w:before="32"/>
                          <w:ind w:left="377"/>
                          <w:jc w:val="left"/>
                          <w:rPr>
                            <w:b/>
                            <w:sz w:val="18"/>
                          </w:rPr>
                        </w:pPr>
                        <w:r>
                          <w:rPr>
                            <w:b/>
                            <w:color w:val="FFFFFF"/>
                            <w:w w:val="110"/>
                            <w:sz w:val="18"/>
                          </w:rPr>
                          <w:t>Development Name</w:t>
                          <w:tab/>
                        </w:r>
                        <w:r>
                          <w:rPr>
                            <w:b/>
                            <w:color w:val="FFFFFF"/>
                            <w:w w:val="110"/>
                            <w:position w:val="11"/>
                            <w:sz w:val="18"/>
                          </w:rPr>
                          <w:t>Developable</w:t>
                          <w:tab/>
                        </w:r>
                        <w:r>
                          <w:rPr>
                            <w:b/>
                            <w:color w:val="FFFFFF"/>
                            <w:w w:val="110"/>
                            <w:sz w:val="18"/>
                          </w:rPr>
                          <w:t>Completed Area</w:t>
                        </w:r>
                        <w:r>
                          <w:rPr>
                            <w:b/>
                            <w:color w:val="FFFFFF"/>
                            <w:spacing w:val="-25"/>
                            <w:w w:val="110"/>
                            <w:sz w:val="18"/>
                          </w:rPr>
                          <w:t> </w:t>
                        </w:r>
                        <w:r>
                          <w:rPr>
                            <w:b/>
                            <w:color w:val="FFFFFF"/>
                            <w:w w:val="110"/>
                            <w:sz w:val="18"/>
                          </w:rPr>
                          <w:t>(sf)</w:t>
                        </w:r>
                      </w:p>
                    </w:tc>
                    <w:tc>
                      <w:tcPr>
                        <w:tcW w:w="2137" w:type="dxa"/>
                        <w:tcBorders>
                          <w:top w:val="single" w:sz="12" w:space="0" w:color="1F6B16"/>
                          <w:bottom w:val="single" w:sz="6" w:space="0" w:color="69BD28"/>
                        </w:tcBorders>
                        <w:shd w:val="clear" w:color="auto" w:fill="006A4D"/>
                      </w:tcPr>
                      <w:p>
                        <w:pPr>
                          <w:pStyle w:val="TableParagraph"/>
                          <w:spacing w:before="142"/>
                          <w:ind w:left="148" w:right="162"/>
                          <w:rPr>
                            <w:b/>
                            <w:sz w:val="18"/>
                          </w:rPr>
                        </w:pPr>
                        <w:r>
                          <w:rPr>
                            <w:b/>
                            <w:color w:val="FFFFFF"/>
                            <w:w w:val="105"/>
                            <w:sz w:val="18"/>
                          </w:rPr>
                          <w:t>Committed Area (sf)</w:t>
                        </w:r>
                      </w:p>
                    </w:tc>
                    <w:tc>
                      <w:tcPr>
                        <w:tcW w:w="2010" w:type="dxa"/>
                        <w:tcBorders>
                          <w:top w:val="single" w:sz="12" w:space="0" w:color="1F6B16"/>
                          <w:bottom w:val="single" w:sz="6" w:space="0" w:color="69BD28"/>
                        </w:tcBorders>
                        <w:shd w:val="clear" w:color="auto" w:fill="006A4D"/>
                      </w:tcPr>
                      <w:p>
                        <w:pPr>
                          <w:pStyle w:val="TableParagraph"/>
                          <w:spacing w:before="142"/>
                          <w:ind w:left="169" w:right="164"/>
                          <w:rPr>
                            <w:b/>
                            <w:sz w:val="18"/>
                          </w:rPr>
                        </w:pPr>
                        <w:r>
                          <w:rPr>
                            <w:b/>
                            <w:color w:val="FFFFFF"/>
                            <w:w w:val="105"/>
                            <w:sz w:val="18"/>
                          </w:rPr>
                          <w:t>Occupied Area (sf)</w:t>
                        </w:r>
                      </w:p>
                    </w:tc>
                  </w:tr>
                  <w:tr>
                    <w:trPr>
                      <w:trHeight w:val="253" w:hRule="atLeast"/>
                    </w:trPr>
                    <w:tc>
                      <w:tcPr>
                        <w:tcW w:w="6337" w:type="dxa"/>
                        <w:tcBorders>
                          <w:top w:val="single" w:sz="6" w:space="0" w:color="69BD28"/>
                          <w:bottom w:val="single" w:sz="6" w:space="0" w:color="69BD28"/>
                        </w:tcBorders>
                      </w:tcPr>
                      <w:p>
                        <w:pPr>
                          <w:pStyle w:val="TableParagraph"/>
                          <w:tabs>
                            <w:tab w:pos="2976" w:val="left" w:leader="none"/>
                            <w:tab w:pos="4856" w:val="left" w:leader="none"/>
                          </w:tabs>
                          <w:spacing w:before="22"/>
                          <w:ind w:left="646"/>
                          <w:jc w:val="left"/>
                          <w:rPr>
                            <w:sz w:val="18"/>
                          </w:rPr>
                        </w:pPr>
                        <w:r>
                          <w:rPr>
                            <w:w w:val="105"/>
                            <w:sz w:val="18"/>
                          </w:rPr>
                          <w:t>Embassy</w:t>
                        </w:r>
                        <w:r>
                          <w:rPr>
                            <w:spacing w:val="-23"/>
                            <w:w w:val="105"/>
                            <w:sz w:val="18"/>
                          </w:rPr>
                          <w:t> </w:t>
                        </w:r>
                        <w:r>
                          <w:rPr>
                            <w:w w:val="105"/>
                            <w:sz w:val="18"/>
                          </w:rPr>
                          <w:t>Galaxy</w:t>
                          <w:tab/>
                          <w:t>1,018,420</w:t>
                          <w:tab/>
                          <w:t>1,357,029</w:t>
                        </w:r>
                      </w:p>
                    </w:tc>
                    <w:tc>
                      <w:tcPr>
                        <w:tcW w:w="2137" w:type="dxa"/>
                        <w:tcBorders>
                          <w:top w:val="single" w:sz="6" w:space="0" w:color="69BD28"/>
                          <w:bottom w:val="single" w:sz="6" w:space="0" w:color="69BD28"/>
                        </w:tcBorders>
                      </w:tcPr>
                      <w:p>
                        <w:pPr>
                          <w:pStyle w:val="TableParagraph"/>
                          <w:spacing w:before="22"/>
                          <w:ind w:left="149" w:right="162"/>
                          <w:rPr>
                            <w:sz w:val="18"/>
                          </w:rPr>
                        </w:pPr>
                        <w:r>
                          <w:rPr>
                            <w:w w:val="105"/>
                            <w:sz w:val="18"/>
                          </w:rPr>
                          <w:t>1,342,494</w:t>
                        </w:r>
                      </w:p>
                    </w:tc>
                    <w:tc>
                      <w:tcPr>
                        <w:tcW w:w="2010" w:type="dxa"/>
                        <w:tcBorders>
                          <w:top w:val="single" w:sz="6" w:space="0" w:color="69BD28"/>
                          <w:bottom w:val="single" w:sz="6" w:space="0" w:color="69BD28"/>
                        </w:tcBorders>
                      </w:tcPr>
                      <w:p>
                        <w:pPr>
                          <w:pStyle w:val="TableParagraph"/>
                          <w:spacing w:before="22"/>
                          <w:ind w:left="168" w:right="164"/>
                          <w:rPr>
                            <w:sz w:val="18"/>
                          </w:rPr>
                        </w:pPr>
                        <w:r>
                          <w:rPr>
                            <w:w w:val="105"/>
                            <w:sz w:val="18"/>
                          </w:rPr>
                          <w:t>1,342,494</w:t>
                        </w:r>
                      </w:p>
                    </w:tc>
                  </w:tr>
                  <w:tr>
                    <w:trPr>
                      <w:trHeight w:val="214" w:hRule="atLeast"/>
                    </w:trPr>
                    <w:tc>
                      <w:tcPr>
                        <w:tcW w:w="10484" w:type="dxa"/>
                        <w:gridSpan w:val="3"/>
                      </w:tcPr>
                      <w:p>
                        <w:pPr>
                          <w:pStyle w:val="TableParagraph"/>
                          <w:spacing w:line="191" w:lineRule="exact" w:before="3"/>
                          <w:ind w:left="14"/>
                          <w:jc w:val="left"/>
                          <w:rPr>
                            <w:i/>
                            <w:sz w:val="18"/>
                          </w:rPr>
                        </w:pPr>
                        <w:r>
                          <w:rPr>
                            <w:i/>
                            <w:sz w:val="18"/>
                          </w:rPr>
                          <w:t>Source: Rent roll, Architect Certificate provided by Client, * represents achieved FSI area</w:t>
                        </w:r>
                      </w:p>
                    </w:tc>
                  </w:tr>
                </w:tbl>
                <w:p>
                  <w:pPr>
                    <w:pStyle w:val="BodyText"/>
                  </w:pPr>
                </w:p>
              </w:txbxContent>
            </v:textbox>
            <w10:wrap type="none"/>
          </v:shape>
        </w:pict>
      </w:r>
      <w:r>
        <w:rPr/>
        <w:t>The table below highlights the detailed area break-up of the subject development:</w:t>
      </w:r>
    </w:p>
    <w:p>
      <w:pPr>
        <w:pStyle w:val="BodyText"/>
        <w:rPr>
          <w:sz w:val="26"/>
        </w:rPr>
      </w:pPr>
    </w:p>
    <w:p>
      <w:pPr>
        <w:spacing w:before="181"/>
        <w:ind w:left="3073" w:right="0" w:firstLine="0"/>
        <w:jc w:val="left"/>
        <w:rPr>
          <w:b/>
          <w:sz w:val="18"/>
        </w:rPr>
      </w:pPr>
      <w:r>
        <w:rPr/>
        <w:pict>
          <v:group style="position:absolute;margin-left:36pt;margin-top:66.1007pt;width:523.6pt;height:23.05pt;mso-position-horizontal-relative:page;mso-position-vertical-relative:paragraph;z-index:-34268160" coordorigin="720,1322" coordsize="10472,461">
            <v:shape style="position:absolute;left:720;top:1350;width:10472;height:432" coordorigin="720,1351" coordsize="10472,432" path="m7619,1351l5898,1351,3421,1351,720,1351,720,1783,3421,1783,5898,1783,7619,1783,7619,1351xm11191,1351l9547,1351,7620,1351,7620,1783,9547,1783,11191,1783,11191,1351xe" filled="true" fillcolor="#006a4d" stroked="false">
              <v:path arrowok="t"/>
              <v:fill type="solid"/>
            </v:shape>
            <v:rect style="position:absolute;left:720;top:1322;width:2701;height:29" filled="true" fillcolor="#1f6b16" stroked="false">
              <v:fill type="solid"/>
            </v:rect>
            <v:shape style="position:absolute;left:720;top:1350;width:2730;height:3" coordorigin="720,1351" coordsize="2730,3" path="m3450,1351l3421,1351,720,1351,720,1353,3421,1353,3450,1353,3450,1351xe" filled="true" fillcolor="#006a4d" stroked="false">
              <v:path arrowok="t"/>
              <v:fill type="solid"/>
            </v:shape>
            <v:shape style="position:absolute;left:3421;top:1322;width:2478;height:29" coordorigin="3421,1322" coordsize="2478,29" path="m5898,1322l3450,1322,3421,1322,3421,1351,3450,1351,5898,1351,5898,1322xe" filled="true" fillcolor="#1f6b16" stroked="false">
              <v:path arrowok="t"/>
              <v:fill type="solid"/>
            </v:shape>
            <v:shape style="position:absolute;left:3449;top:1350;width:2478;height:3" coordorigin="3450,1351" coordsize="2478,3" path="m5927,1351l5898,1351,3450,1351,3450,1353,5898,1353,5927,1353,5927,1351xe" filled="true" fillcolor="#006a4d" stroked="false">
              <v:path arrowok="t"/>
              <v:fill type="solid"/>
            </v:shape>
            <v:shape style="position:absolute;left:5898;top:1322;width:1722;height:29" coordorigin="5898,1322" coordsize="1722,29" path="m7619,1322l5927,1322,5898,1322,5898,1351,5927,1351,7619,1351,7619,1322xe" filled="true" fillcolor="#1f6b16" stroked="false">
              <v:path arrowok="t"/>
              <v:fill type="solid"/>
            </v:shape>
            <v:shape style="position:absolute;left:5927;top:1350;width:1722;height:3" coordorigin="5927,1351" coordsize="1722,3" path="m7619,1351l5927,1351,5927,1353,7619,1353,7619,1351xm7648,1351l7620,1351,7620,1353,7648,1353,7648,1351xe" filled="true" fillcolor="#006a4d" stroked="false">
              <v:path arrowok="t"/>
              <v:fill type="solid"/>
            </v:shape>
            <v:shape style="position:absolute;left:7619;top:1322;width:1928;height:29" coordorigin="7620,1322" coordsize="1928,29" path="m9547,1322l7648,1322,7620,1322,7620,1351,7648,1351,9547,1351,9547,1322xe" filled="true" fillcolor="#1f6b16" stroked="false">
              <v:path arrowok="t"/>
              <v:fill type="solid"/>
            </v:shape>
            <v:shape style="position:absolute;left:7648;top:1350;width:1928;height:3" coordorigin="7648,1351" coordsize="1928,3" path="m9576,1351l9547,1351,7648,1351,7648,1353,9547,1353,9576,1353,9576,1351xe" filled="true" fillcolor="#006a4d" stroked="false">
              <v:path arrowok="t"/>
              <v:fill type="solid"/>
            </v:shape>
            <v:shape style="position:absolute;left:9546;top:1322;width:1645;height:29" coordorigin="9547,1322" coordsize="1645,29" path="m11191,1322l9576,1322,9547,1322,9547,1351,9576,1351,11191,1351,11191,1322xe" filled="true" fillcolor="#1f6b16" stroked="false">
              <v:path arrowok="t"/>
              <v:fill type="solid"/>
            </v:shape>
            <v:rect style="position:absolute;left:9575;top:1350;width:1616;height:3" filled="true" fillcolor="#006a4d" stroked="false">
              <v:fill type="solid"/>
            </v:rect>
            <v:shape style="position:absolute;left:1824;top:1350;width:510;height:216" type="#_x0000_t202" filled="false" stroked="false">
              <v:textbox inset="0,0,0,0">
                <w:txbxContent>
                  <w:p>
                    <w:pPr>
                      <w:spacing w:before="4"/>
                      <w:ind w:left="0" w:right="0" w:firstLine="0"/>
                      <w:jc w:val="left"/>
                      <w:rPr>
                        <w:b/>
                        <w:sz w:val="18"/>
                      </w:rPr>
                    </w:pPr>
                    <w:r>
                      <w:rPr>
                        <w:b/>
                        <w:color w:val="FFFFFF"/>
                        <w:w w:val="110"/>
                        <w:sz w:val="18"/>
                      </w:rPr>
                      <w:t>Block</w:t>
                    </w:r>
                  </w:p>
                </w:txbxContent>
              </v:textbox>
              <w10:wrap type="none"/>
            </v:shape>
            <v:shape style="position:absolute;left:3831;top:1458;width:1675;height:216" type="#_x0000_t202" filled="false" stroked="false">
              <v:textbox inset="0,0,0,0">
                <w:txbxContent>
                  <w:p>
                    <w:pPr>
                      <w:spacing w:before="4"/>
                      <w:ind w:left="0" w:right="0" w:firstLine="0"/>
                      <w:jc w:val="left"/>
                      <w:rPr>
                        <w:b/>
                        <w:sz w:val="18"/>
                      </w:rPr>
                    </w:pPr>
                    <w:r>
                      <w:rPr>
                        <w:b/>
                        <w:color w:val="FFFFFF"/>
                        <w:w w:val="110"/>
                        <w:sz w:val="18"/>
                      </w:rPr>
                      <w:t>Building Elevation</w:t>
                    </w:r>
                  </w:p>
                </w:txbxContent>
              </v:textbox>
              <w10:wrap type="none"/>
            </v:shape>
            <v:shape style="position:absolute;left:6155;top:1458;width:1227;height:216" type="#_x0000_t202" filled="false" stroked="false">
              <v:textbox inset="0,0,0,0">
                <w:txbxContent>
                  <w:p>
                    <w:pPr>
                      <w:spacing w:before="4"/>
                      <w:ind w:left="0" w:right="0" w:firstLine="0"/>
                      <w:jc w:val="left"/>
                      <w:rPr>
                        <w:b/>
                        <w:sz w:val="18"/>
                      </w:rPr>
                    </w:pPr>
                    <w:r>
                      <w:rPr>
                        <w:b/>
                        <w:color w:val="FFFFFF"/>
                        <w:w w:val="115"/>
                        <w:sz w:val="18"/>
                      </w:rPr>
                      <w:t>SEZ/Non-SEZ</w:t>
                    </w:r>
                  </w:p>
                </w:txbxContent>
              </v:textbox>
              <w10:wrap type="none"/>
            </v:shape>
            <v:shape style="position:absolute;left:8404;top:1350;width:380;height:216" type="#_x0000_t202" filled="false" stroked="false">
              <v:textbox inset="0,0,0,0">
                <w:txbxContent>
                  <w:p>
                    <w:pPr>
                      <w:spacing w:before="4"/>
                      <w:ind w:left="0" w:right="0" w:firstLine="0"/>
                      <w:jc w:val="left"/>
                      <w:rPr>
                        <w:b/>
                        <w:sz w:val="18"/>
                      </w:rPr>
                    </w:pPr>
                    <w:r>
                      <w:rPr>
                        <w:b/>
                        <w:color w:val="FFFFFF"/>
                        <w:w w:val="115"/>
                        <w:sz w:val="18"/>
                      </w:rPr>
                      <w:t>Age</w:t>
                    </w:r>
                  </w:p>
                </w:txbxContent>
              </v:textbox>
              <w10:wrap type="none"/>
            </v:shape>
            <v:shape style="position:absolute;left:9712;top:1350;width:1331;height:216" type="#_x0000_t202" filled="false" stroked="false">
              <v:textbox inset="0,0,0,0">
                <w:txbxContent>
                  <w:p>
                    <w:pPr>
                      <w:spacing w:before="4"/>
                      <w:ind w:left="0" w:right="0" w:firstLine="0"/>
                      <w:jc w:val="left"/>
                      <w:rPr>
                        <w:b/>
                        <w:sz w:val="18"/>
                      </w:rPr>
                    </w:pPr>
                    <w:r>
                      <w:rPr>
                        <w:b/>
                        <w:color w:val="FFFFFF"/>
                        <w:w w:val="110"/>
                        <w:sz w:val="18"/>
                      </w:rPr>
                      <w:t>Leasable Area</w:t>
                    </w:r>
                  </w:p>
                </w:txbxContent>
              </v:textbox>
              <w10:wrap type="none"/>
            </v:shape>
            <w10:wrap type="none"/>
          </v:group>
        </w:pict>
      </w:r>
      <w:r>
        <w:rPr>
          <w:b/>
          <w:color w:val="FFFFFF"/>
          <w:w w:val="110"/>
          <w:sz w:val="18"/>
        </w:rPr>
        <w:t>Area (sf)*</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after="1"/>
        <w:rPr>
          <w:b/>
          <w:sz w:val="21"/>
        </w:rPr>
      </w:pPr>
    </w:p>
    <w:tbl>
      <w:tblPr>
        <w:tblW w:w="0" w:type="auto"/>
        <w:jc w:val="left"/>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89"/>
        <w:gridCol w:w="2309"/>
        <w:gridCol w:w="1812"/>
        <w:gridCol w:w="1927"/>
        <w:gridCol w:w="1644"/>
      </w:tblGrid>
      <w:tr>
        <w:trPr>
          <w:trHeight w:val="222" w:hRule="atLeast"/>
        </w:trPr>
        <w:tc>
          <w:tcPr>
            <w:tcW w:w="2789" w:type="dxa"/>
            <w:tcBorders>
              <w:bottom w:val="single" w:sz="6" w:space="0" w:color="69BD28"/>
            </w:tcBorders>
            <w:shd w:val="clear" w:color="auto" w:fill="006A4D"/>
          </w:tcPr>
          <w:p>
            <w:pPr>
              <w:pStyle w:val="TableParagraph"/>
              <w:spacing w:line="199" w:lineRule="exact" w:before="4"/>
              <w:ind w:left="520" w:right="584"/>
              <w:rPr>
                <w:b/>
                <w:sz w:val="18"/>
              </w:rPr>
            </w:pPr>
            <w:r>
              <w:rPr>
                <w:b/>
                <w:color w:val="FFFFFF"/>
                <w:w w:val="115"/>
                <w:sz w:val="18"/>
              </w:rPr>
              <w:t>Name</w:t>
            </w:r>
          </w:p>
        </w:tc>
        <w:tc>
          <w:tcPr>
            <w:tcW w:w="2309" w:type="dxa"/>
            <w:tcBorders>
              <w:bottom w:val="single" w:sz="6" w:space="0" w:color="69BD28"/>
            </w:tcBorders>
            <w:shd w:val="clear" w:color="auto" w:fill="006A4D"/>
          </w:tcPr>
          <w:p>
            <w:pPr>
              <w:pStyle w:val="TableParagraph"/>
              <w:jc w:val="left"/>
              <w:rPr>
                <w:rFonts w:ascii="Times New Roman"/>
                <w:sz w:val="14"/>
              </w:rPr>
            </w:pPr>
          </w:p>
        </w:tc>
        <w:tc>
          <w:tcPr>
            <w:tcW w:w="1812" w:type="dxa"/>
            <w:tcBorders>
              <w:bottom w:val="single" w:sz="6" w:space="0" w:color="69BD28"/>
            </w:tcBorders>
            <w:shd w:val="clear" w:color="auto" w:fill="006A4D"/>
          </w:tcPr>
          <w:p>
            <w:pPr>
              <w:pStyle w:val="TableParagraph"/>
              <w:jc w:val="left"/>
              <w:rPr>
                <w:rFonts w:ascii="Times New Roman"/>
                <w:sz w:val="14"/>
              </w:rPr>
            </w:pPr>
          </w:p>
        </w:tc>
        <w:tc>
          <w:tcPr>
            <w:tcW w:w="1927" w:type="dxa"/>
            <w:tcBorders>
              <w:bottom w:val="single" w:sz="6" w:space="0" w:color="69BD28"/>
            </w:tcBorders>
            <w:shd w:val="clear" w:color="auto" w:fill="006A4D"/>
          </w:tcPr>
          <w:p>
            <w:pPr>
              <w:pStyle w:val="TableParagraph"/>
              <w:spacing w:line="199" w:lineRule="exact" w:before="4"/>
              <w:ind w:left="424" w:right="423"/>
              <w:rPr>
                <w:b/>
                <w:sz w:val="18"/>
              </w:rPr>
            </w:pPr>
            <w:r>
              <w:rPr>
                <w:b/>
                <w:color w:val="FFFFFF"/>
                <w:w w:val="105"/>
                <w:sz w:val="18"/>
              </w:rPr>
              <w:t>(Years)</w:t>
            </w:r>
          </w:p>
        </w:tc>
        <w:tc>
          <w:tcPr>
            <w:tcW w:w="1644" w:type="dxa"/>
            <w:tcBorders>
              <w:bottom w:val="single" w:sz="6" w:space="0" w:color="69BD28"/>
            </w:tcBorders>
            <w:shd w:val="clear" w:color="auto" w:fill="006A4D"/>
          </w:tcPr>
          <w:p>
            <w:pPr>
              <w:pStyle w:val="TableParagraph"/>
              <w:spacing w:line="199" w:lineRule="exact" w:before="4"/>
              <w:ind w:left="385" w:right="385"/>
              <w:rPr>
                <w:b/>
                <w:sz w:val="18"/>
              </w:rPr>
            </w:pPr>
            <w:r>
              <w:rPr>
                <w:b/>
                <w:color w:val="FFFFFF"/>
                <w:sz w:val="18"/>
              </w:rPr>
              <w:t>(sf)</w:t>
            </w:r>
          </w:p>
        </w:tc>
      </w:tr>
      <w:tr>
        <w:trPr>
          <w:trHeight w:val="201" w:hRule="atLeast"/>
        </w:trPr>
        <w:tc>
          <w:tcPr>
            <w:tcW w:w="2789" w:type="dxa"/>
            <w:shd w:val="clear" w:color="auto" w:fill="69BD28"/>
          </w:tcPr>
          <w:p>
            <w:pPr>
              <w:pStyle w:val="TableParagraph"/>
              <w:spacing w:line="181" w:lineRule="exact"/>
              <w:ind w:left="523" w:right="584"/>
              <w:rPr>
                <w:b/>
                <w:sz w:val="18"/>
              </w:rPr>
            </w:pPr>
            <w:r>
              <w:rPr>
                <w:b/>
                <w:color w:val="FFFFFF"/>
                <w:w w:val="110"/>
                <w:sz w:val="18"/>
              </w:rPr>
              <w:t>Completed Blocks</w:t>
            </w:r>
          </w:p>
        </w:tc>
        <w:tc>
          <w:tcPr>
            <w:tcW w:w="2309" w:type="dxa"/>
            <w:shd w:val="clear" w:color="auto" w:fill="69BD28"/>
          </w:tcPr>
          <w:p>
            <w:pPr>
              <w:pStyle w:val="TableParagraph"/>
              <w:jc w:val="left"/>
              <w:rPr>
                <w:rFonts w:ascii="Times New Roman"/>
                <w:sz w:val="14"/>
              </w:rPr>
            </w:pPr>
          </w:p>
        </w:tc>
        <w:tc>
          <w:tcPr>
            <w:tcW w:w="1812" w:type="dxa"/>
            <w:shd w:val="clear" w:color="auto" w:fill="69BD28"/>
          </w:tcPr>
          <w:p>
            <w:pPr>
              <w:pStyle w:val="TableParagraph"/>
              <w:jc w:val="left"/>
              <w:rPr>
                <w:rFonts w:ascii="Times New Roman"/>
                <w:sz w:val="14"/>
              </w:rPr>
            </w:pPr>
          </w:p>
        </w:tc>
        <w:tc>
          <w:tcPr>
            <w:tcW w:w="1927" w:type="dxa"/>
            <w:shd w:val="clear" w:color="auto" w:fill="69BD28"/>
          </w:tcPr>
          <w:p>
            <w:pPr>
              <w:pStyle w:val="TableParagraph"/>
              <w:jc w:val="left"/>
              <w:rPr>
                <w:rFonts w:ascii="Times New Roman"/>
                <w:sz w:val="14"/>
              </w:rPr>
            </w:pPr>
          </w:p>
        </w:tc>
        <w:tc>
          <w:tcPr>
            <w:tcW w:w="1644" w:type="dxa"/>
            <w:shd w:val="clear" w:color="auto" w:fill="69BD28"/>
          </w:tcPr>
          <w:p>
            <w:pPr>
              <w:pStyle w:val="TableParagraph"/>
              <w:jc w:val="left"/>
              <w:rPr>
                <w:rFonts w:ascii="Times New Roman"/>
                <w:sz w:val="14"/>
              </w:rPr>
            </w:pPr>
          </w:p>
        </w:tc>
      </w:tr>
      <w:tr>
        <w:trPr>
          <w:trHeight w:val="263" w:hRule="atLeast"/>
        </w:trPr>
        <w:tc>
          <w:tcPr>
            <w:tcW w:w="2789" w:type="dxa"/>
            <w:tcBorders>
              <w:top w:val="single" w:sz="6" w:space="0" w:color="69BD28"/>
              <w:bottom w:val="single" w:sz="6" w:space="0" w:color="69BD28"/>
            </w:tcBorders>
          </w:tcPr>
          <w:p>
            <w:pPr>
              <w:pStyle w:val="TableParagraph"/>
              <w:spacing w:before="33"/>
              <w:ind w:right="64"/>
              <w:rPr>
                <w:sz w:val="18"/>
              </w:rPr>
            </w:pPr>
            <w:r>
              <w:rPr>
                <w:w w:val="105"/>
                <w:sz w:val="18"/>
              </w:rPr>
              <w:t>A</w:t>
            </w:r>
          </w:p>
        </w:tc>
        <w:tc>
          <w:tcPr>
            <w:tcW w:w="2309" w:type="dxa"/>
            <w:tcBorders>
              <w:top w:val="single" w:sz="6" w:space="0" w:color="69BD28"/>
              <w:bottom w:val="single" w:sz="6" w:space="0" w:color="69BD28"/>
            </w:tcBorders>
          </w:tcPr>
          <w:p>
            <w:pPr>
              <w:pStyle w:val="TableParagraph"/>
              <w:spacing w:before="33"/>
              <w:ind w:right="660"/>
              <w:jc w:val="right"/>
              <w:rPr>
                <w:sz w:val="18"/>
              </w:rPr>
            </w:pPr>
            <w:r>
              <w:rPr>
                <w:w w:val="125"/>
                <w:sz w:val="18"/>
              </w:rPr>
              <w:t>2B </w:t>
            </w:r>
            <w:r>
              <w:rPr>
                <w:w w:val="140"/>
                <w:sz w:val="18"/>
              </w:rPr>
              <w:t>+ </w:t>
            </w:r>
            <w:r>
              <w:rPr>
                <w:w w:val="125"/>
                <w:sz w:val="18"/>
              </w:rPr>
              <w:t>G </w:t>
            </w:r>
            <w:r>
              <w:rPr>
                <w:w w:val="140"/>
                <w:sz w:val="18"/>
              </w:rPr>
              <w:t>+ </w:t>
            </w:r>
            <w:r>
              <w:rPr>
                <w:w w:val="125"/>
                <w:sz w:val="18"/>
              </w:rPr>
              <w:t>5</w:t>
            </w:r>
          </w:p>
        </w:tc>
        <w:tc>
          <w:tcPr>
            <w:tcW w:w="1812" w:type="dxa"/>
            <w:tcBorders>
              <w:top w:val="single" w:sz="6" w:space="0" w:color="69BD28"/>
              <w:bottom w:val="single" w:sz="6" w:space="0" w:color="69BD28"/>
            </w:tcBorders>
          </w:tcPr>
          <w:p>
            <w:pPr>
              <w:pStyle w:val="TableParagraph"/>
              <w:spacing w:before="33"/>
              <w:ind w:right="515"/>
              <w:jc w:val="right"/>
              <w:rPr>
                <w:sz w:val="18"/>
              </w:rPr>
            </w:pPr>
            <w:r>
              <w:rPr>
                <w:w w:val="105"/>
                <w:sz w:val="18"/>
              </w:rPr>
              <w:t>Non SEZ</w:t>
            </w:r>
          </w:p>
        </w:tc>
        <w:tc>
          <w:tcPr>
            <w:tcW w:w="1927" w:type="dxa"/>
            <w:tcBorders>
              <w:top w:val="single" w:sz="6" w:space="0" w:color="69BD28"/>
            </w:tcBorders>
          </w:tcPr>
          <w:p>
            <w:pPr>
              <w:pStyle w:val="TableParagraph"/>
              <w:jc w:val="left"/>
              <w:rPr>
                <w:rFonts w:ascii="Times New Roman"/>
                <w:sz w:val="18"/>
              </w:rPr>
            </w:pPr>
          </w:p>
        </w:tc>
        <w:tc>
          <w:tcPr>
            <w:tcW w:w="1644" w:type="dxa"/>
            <w:tcBorders>
              <w:top w:val="single" w:sz="6" w:space="0" w:color="69BD28"/>
              <w:bottom w:val="single" w:sz="6" w:space="0" w:color="69BD28"/>
            </w:tcBorders>
          </w:tcPr>
          <w:p>
            <w:pPr>
              <w:pStyle w:val="TableParagraph"/>
              <w:spacing w:before="33"/>
              <w:ind w:left="384" w:right="385"/>
              <w:rPr>
                <w:sz w:val="18"/>
              </w:rPr>
            </w:pPr>
            <w:r>
              <w:rPr>
                <w:w w:val="110"/>
                <w:sz w:val="18"/>
              </w:rPr>
              <w:t>278,374</w:t>
            </w:r>
          </w:p>
        </w:tc>
      </w:tr>
      <w:tr>
        <w:trPr>
          <w:trHeight w:val="253" w:hRule="atLeast"/>
        </w:trPr>
        <w:tc>
          <w:tcPr>
            <w:tcW w:w="2789" w:type="dxa"/>
            <w:tcBorders>
              <w:top w:val="single" w:sz="6" w:space="0" w:color="69BD28"/>
              <w:bottom w:val="single" w:sz="6" w:space="0" w:color="69BD28"/>
            </w:tcBorders>
          </w:tcPr>
          <w:p>
            <w:pPr>
              <w:pStyle w:val="TableParagraph"/>
              <w:spacing w:before="22"/>
              <w:ind w:right="66"/>
              <w:rPr>
                <w:sz w:val="18"/>
              </w:rPr>
            </w:pPr>
            <w:r>
              <w:rPr>
                <w:w w:val="99"/>
                <w:sz w:val="18"/>
              </w:rPr>
              <w:t>B</w:t>
            </w:r>
          </w:p>
        </w:tc>
        <w:tc>
          <w:tcPr>
            <w:tcW w:w="2309" w:type="dxa"/>
            <w:tcBorders>
              <w:top w:val="single" w:sz="6" w:space="0" w:color="69BD28"/>
              <w:bottom w:val="single" w:sz="6" w:space="0" w:color="69BD28"/>
            </w:tcBorders>
          </w:tcPr>
          <w:p>
            <w:pPr>
              <w:pStyle w:val="TableParagraph"/>
              <w:spacing w:before="22"/>
              <w:ind w:right="660"/>
              <w:jc w:val="right"/>
              <w:rPr>
                <w:sz w:val="18"/>
              </w:rPr>
            </w:pPr>
            <w:r>
              <w:rPr>
                <w:w w:val="125"/>
                <w:sz w:val="18"/>
              </w:rPr>
              <w:t>2B </w:t>
            </w:r>
            <w:r>
              <w:rPr>
                <w:w w:val="140"/>
                <w:sz w:val="18"/>
              </w:rPr>
              <w:t>+ </w:t>
            </w:r>
            <w:r>
              <w:rPr>
                <w:w w:val="125"/>
                <w:sz w:val="18"/>
              </w:rPr>
              <w:t>G </w:t>
            </w:r>
            <w:r>
              <w:rPr>
                <w:w w:val="140"/>
                <w:sz w:val="18"/>
              </w:rPr>
              <w:t>+ </w:t>
            </w:r>
            <w:r>
              <w:rPr>
                <w:w w:val="125"/>
                <w:sz w:val="18"/>
              </w:rPr>
              <w:t>6</w:t>
            </w:r>
          </w:p>
        </w:tc>
        <w:tc>
          <w:tcPr>
            <w:tcW w:w="1812" w:type="dxa"/>
            <w:tcBorders>
              <w:top w:val="single" w:sz="6" w:space="0" w:color="69BD28"/>
              <w:bottom w:val="single" w:sz="6" w:space="0" w:color="69BD28"/>
            </w:tcBorders>
          </w:tcPr>
          <w:p>
            <w:pPr>
              <w:pStyle w:val="TableParagraph"/>
              <w:spacing w:before="22"/>
              <w:ind w:right="515"/>
              <w:jc w:val="right"/>
              <w:rPr>
                <w:sz w:val="18"/>
              </w:rPr>
            </w:pPr>
            <w:r>
              <w:rPr>
                <w:w w:val="105"/>
                <w:sz w:val="18"/>
              </w:rPr>
              <w:t>Non SEZ</w:t>
            </w:r>
          </w:p>
        </w:tc>
        <w:tc>
          <w:tcPr>
            <w:tcW w:w="1927" w:type="dxa"/>
          </w:tcPr>
          <w:p>
            <w:pPr>
              <w:pStyle w:val="TableParagraph"/>
              <w:jc w:val="left"/>
              <w:rPr>
                <w:rFonts w:ascii="Times New Roman"/>
                <w:sz w:val="18"/>
              </w:rPr>
            </w:pPr>
          </w:p>
        </w:tc>
        <w:tc>
          <w:tcPr>
            <w:tcW w:w="1644" w:type="dxa"/>
            <w:tcBorders>
              <w:top w:val="single" w:sz="6" w:space="0" w:color="69BD28"/>
              <w:bottom w:val="single" w:sz="6" w:space="0" w:color="69BD28"/>
            </w:tcBorders>
          </w:tcPr>
          <w:p>
            <w:pPr>
              <w:pStyle w:val="TableParagraph"/>
              <w:spacing w:before="22"/>
              <w:ind w:left="384" w:right="385"/>
              <w:rPr>
                <w:sz w:val="18"/>
              </w:rPr>
            </w:pPr>
            <w:r>
              <w:rPr>
                <w:w w:val="110"/>
                <w:sz w:val="18"/>
              </w:rPr>
              <w:t>344,329</w:t>
            </w:r>
          </w:p>
        </w:tc>
      </w:tr>
      <w:tr>
        <w:trPr>
          <w:trHeight w:val="256" w:hRule="atLeast"/>
        </w:trPr>
        <w:tc>
          <w:tcPr>
            <w:tcW w:w="2789" w:type="dxa"/>
            <w:tcBorders>
              <w:top w:val="single" w:sz="6" w:space="0" w:color="69BD28"/>
              <w:bottom w:val="single" w:sz="6" w:space="0" w:color="69BD28"/>
            </w:tcBorders>
          </w:tcPr>
          <w:p>
            <w:pPr>
              <w:pStyle w:val="TableParagraph"/>
              <w:spacing w:before="25"/>
              <w:ind w:right="65"/>
              <w:rPr>
                <w:sz w:val="18"/>
              </w:rPr>
            </w:pPr>
            <w:r>
              <w:rPr>
                <w:w w:val="121"/>
                <w:sz w:val="18"/>
              </w:rPr>
              <w:t>C</w:t>
            </w:r>
          </w:p>
        </w:tc>
        <w:tc>
          <w:tcPr>
            <w:tcW w:w="2309" w:type="dxa"/>
            <w:tcBorders>
              <w:top w:val="single" w:sz="6" w:space="0" w:color="69BD28"/>
              <w:bottom w:val="single" w:sz="6" w:space="0" w:color="69BD28"/>
            </w:tcBorders>
          </w:tcPr>
          <w:p>
            <w:pPr>
              <w:pStyle w:val="TableParagraph"/>
              <w:spacing w:before="25"/>
              <w:ind w:right="607"/>
              <w:jc w:val="right"/>
              <w:rPr>
                <w:sz w:val="18"/>
              </w:rPr>
            </w:pPr>
            <w:r>
              <w:rPr>
                <w:w w:val="125"/>
                <w:sz w:val="18"/>
              </w:rPr>
              <w:t>2B </w:t>
            </w:r>
            <w:r>
              <w:rPr>
                <w:w w:val="140"/>
                <w:sz w:val="18"/>
              </w:rPr>
              <w:t>+ </w:t>
            </w:r>
            <w:r>
              <w:rPr>
                <w:w w:val="125"/>
                <w:sz w:val="18"/>
              </w:rPr>
              <w:t>G </w:t>
            </w:r>
            <w:r>
              <w:rPr>
                <w:w w:val="140"/>
                <w:sz w:val="18"/>
              </w:rPr>
              <w:t>+ </w:t>
            </w:r>
            <w:r>
              <w:rPr>
                <w:w w:val="125"/>
                <w:sz w:val="18"/>
              </w:rPr>
              <w:t>10</w:t>
            </w:r>
          </w:p>
        </w:tc>
        <w:tc>
          <w:tcPr>
            <w:tcW w:w="1812" w:type="dxa"/>
            <w:tcBorders>
              <w:top w:val="single" w:sz="6" w:space="0" w:color="69BD28"/>
              <w:bottom w:val="single" w:sz="6" w:space="0" w:color="69BD28"/>
            </w:tcBorders>
          </w:tcPr>
          <w:p>
            <w:pPr>
              <w:pStyle w:val="TableParagraph"/>
              <w:spacing w:before="25"/>
              <w:ind w:right="515"/>
              <w:jc w:val="right"/>
              <w:rPr>
                <w:sz w:val="18"/>
              </w:rPr>
            </w:pPr>
            <w:r>
              <w:rPr>
                <w:w w:val="105"/>
                <w:sz w:val="18"/>
              </w:rPr>
              <w:t>Non SEZ</w:t>
            </w:r>
          </w:p>
        </w:tc>
        <w:tc>
          <w:tcPr>
            <w:tcW w:w="1927" w:type="dxa"/>
          </w:tcPr>
          <w:p>
            <w:pPr>
              <w:pStyle w:val="TableParagraph"/>
              <w:spacing w:before="25"/>
              <w:ind w:left="424" w:right="424"/>
              <w:rPr>
                <w:sz w:val="18"/>
              </w:rPr>
            </w:pPr>
            <w:r>
              <w:rPr>
                <w:sz w:val="18"/>
              </w:rPr>
              <w:t>9 to 13 years</w:t>
            </w:r>
          </w:p>
        </w:tc>
        <w:tc>
          <w:tcPr>
            <w:tcW w:w="1644" w:type="dxa"/>
            <w:tcBorders>
              <w:top w:val="single" w:sz="6" w:space="0" w:color="69BD28"/>
              <w:bottom w:val="single" w:sz="6" w:space="0" w:color="69BD28"/>
            </w:tcBorders>
          </w:tcPr>
          <w:p>
            <w:pPr>
              <w:pStyle w:val="TableParagraph"/>
              <w:spacing w:before="25"/>
              <w:ind w:left="384" w:right="385"/>
              <w:rPr>
                <w:sz w:val="18"/>
              </w:rPr>
            </w:pPr>
            <w:r>
              <w:rPr>
                <w:w w:val="110"/>
                <w:sz w:val="18"/>
              </w:rPr>
              <w:t>318,156</w:t>
            </w:r>
          </w:p>
        </w:tc>
      </w:tr>
      <w:tr>
        <w:trPr>
          <w:trHeight w:val="253" w:hRule="atLeast"/>
        </w:trPr>
        <w:tc>
          <w:tcPr>
            <w:tcW w:w="2789" w:type="dxa"/>
            <w:tcBorders>
              <w:top w:val="single" w:sz="6" w:space="0" w:color="69BD28"/>
              <w:bottom w:val="single" w:sz="6" w:space="0" w:color="69BD28"/>
            </w:tcBorders>
          </w:tcPr>
          <w:p>
            <w:pPr>
              <w:pStyle w:val="TableParagraph"/>
              <w:spacing w:before="22"/>
              <w:ind w:right="65"/>
              <w:rPr>
                <w:sz w:val="18"/>
              </w:rPr>
            </w:pPr>
            <w:r>
              <w:rPr>
                <w:w w:val="118"/>
                <w:sz w:val="18"/>
              </w:rPr>
              <w:t>D</w:t>
            </w:r>
          </w:p>
        </w:tc>
        <w:tc>
          <w:tcPr>
            <w:tcW w:w="2309" w:type="dxa"/>
            <w:tcBorders>
              <w:top w:val="single" w:sz="6" w:space="0" w:color="69BD28"/>
              <w:bottom w:val="single" w:sz="6" w:space="0" w:color="69BD28"/>
            </w:tcBorders>
          </w:tcPr>
          <w:p>
            <w:pPr>
              <w:pStyle w:val="TableParagraph"/>
              <w:spacing w:before="22"/>
              <w:ind w:right="607"/>
              <w:jc w:val="right"/>
              <w:rPr>
                <w:sz w:val="18"/>
              </w:rPr>
            </w:pPr>
            <w:r>
              <w:rPr>
                <w:w w:val="125"/>
                <w:sz w:val="18"/>
              </w:rPr>
              <w:t>2B </w:t>
            </w:r>
            <w:r>
              <w:rPr>
                <w:w w:val="140"/>
                <w:sz w:val="18"/>
              </w:rPr>
              <w:t>+ </w:t>
            </w:r>
            <w:r>
              <w:rPr>
                <w:w w:val="125"/>
                <w:sz w:val="18"/>
              </w:rPr>
              <w:t>G </w:t>
            </w:r>
            <w:r>
              <w:rPr>
                <w:w w:val="140"/>
                <w:sz w:val="18"/>
              </w:rPr>
              <w:t>+ </w:t>
            </w:r>
            <w:r>
              <w:rPr>
                <w:w w:val="125"/>
                <w:sz w:val="18"/>
              </w:rPr>
              <w:t>10</w:t>
            </w:r>
          </w:p>
        </w:tc>
        <w:tc>
          <w:tcPr>
            <w:tcW w:w="1812" w:type="dxa"/>
            <w:tcBorders>
              <w:top w:val="single" w:sz="6" w:space="0" w:color="69BD28"/>
              <w:bottom w:val="single" w:sz="6" w:space="0" w:color="69BD28"/>
            </w:tcBorders>
          </w:tcPr>
          <w:p>
            <w:pPr>
              <w:pStyle w:val="TableParagraph"/>
              <w:spacing w:before="22"/>
              <w:ind w:right="515"/>
              <w:jc w:val="right"/>
              <w:rPr>
                <w:sz w:val="18"/>
              </w:rPr>
            </w:pPr>
            <w:r>
              <w:rPr>
                <w:w w:val="105"/>
                <w:sz w:val="18"/>
              </w:rPr>
              <w:t>Non SEZ</w:t>
            </w:r>
          </w:p>
        </w:tc>
        <w:tc>
          <w:tcPr>
            <w:tcW w:w="1927" w:type="dxa"/>
          </w:tcPr>
          <w:p>
            <w:pPr>
              <w:pStyle w:val="TableParagraph"/>
              <w:jc w:val="left"/>
              <w:rPr>
                <w:rFonts w:ascii="Times New Roman"/>
                <w:sz w:val="18"/>
              </w:rPr>
            </w:pPr>
          </w:p>
        </w:tc>
        <w:tc>
          <w:tcPr>
            <w:tcW w:w="1644" w:type="dxa"/>
            <w:tcBorders>
              <w:top w:val="single" w:sz="6" w:space="0" w:color="69BD28"/>
              <w:bottom w:val="single" w:sz="6" w:space="0" w:color="69BD28"/>
            </w:tcBorders>
          </w:tcPr>
          <w:p>
            <w:pPr>
              <w:pStyle w:val="TableParagraph"/>
              <w:spacing w:before="22"/>
              <w:ind w:left="384" w:right="385"/>
              <w:rPr>
                <w:sz w:val="18"/>
              </w:rPr>
            </w:pPr>
            <w:r>
              <w:rPr>
                <w:w w:val="110"/>
                <w:sz w:val="18"/>
              </w:rPr>
              <w:t>403,872</w:t>
            </w:r>
          </w:p>
        </w:tc>
      </w:tr>
      <w:tr>
        <w:trPr>
          <w:trHeight w:val="256" w:hRule="atLeast"/>
        </w:trPr>
        <w:tc>
          <w:tcPr>
            <w:tcW w:w="2789" w:type="dxa"/>
            <w:tcBorders>
              <w:top w:val="single" w:sz="6" w:space="0" w:color="69BD28"/>
              <w:bottom w:val="single" w:sz="6" w:space="0" w:color="69BD28"/>
            </w:tcBorders>
          </w:tcPr>
          <w:p>
            <w:pPr>
              <w:pStyle w:val="TableParagraph"/>
              <w:spacing w:before="25"/>
              <w:ind w:right="63"/>
              <w:rPr>
                <w:sz w:val="18"/>
              </w:rPr>
            </w:pPr>
            <w:r>
              <w:rPr>
                <w:w w:val="97"/>
                <w:sz w:val="18"/>
              </w:rPr>
              <w:t>E</w:t>
            </w:r>
          </w:p>
        </w:tc>
        <w:tc>
          <w:tcPr>
            <w:tcW w:w="2309" w:type="dxa"/>
            <w:tcBorders>
              <w:top w:val="single" w:sz="6" w:space="0" w:color="69BD28"/>
              <w:bottom w:val="single" w:sz="6" w:space="0" w:color="69BD28"/>
            </w:tcBorders>
          </w:tcPr>
          <w:p>
            <w:pPr>
              <w:pStyle w:val="TableParagraph"/>
              <w:spacing w:before="25"/>
              <w:ind w:right="660"/>
              <w:jc w:val="right"/>
              <w:rPr>
                <w:sz w:val="18"/>
              </w:rPr>
            </w:pPr>
            <w:r>
              <w:rPr>
                <w:w w:val="125"/>
                <w:sz w:val="18"/>
              </w:rPr>
              <w:t>2B </w:t>
            </w:r>
            <w:r>
              <w:rPr>
                <w:w w:val="140"/>
                <w:sz w:val="18"/>
              </w:rPr>
              <w:t>+ </w:t>
            </w:r>
            <w:r>
              <w:rPr>
                <w:w w:val="125"/>
                <w:sz w:val="18"/>
              </w:rPr>
              <w:t>G </w:t>
            </w:r>
            <w:r>
              <w:rPr>
                <w:w w:val="140"/>
                <w:sz w:val="18"/>
              </w:rPr>
              <w:t>+ </w:t>
            </w:r>
            <w:r>
              <w:rPr>
                <w:w w:val="125"/>
                <w:sz w:val="18"/>
              </w:rPr>
              <w:t>2</w:t>
            </w:r>
          </w:p>
        </w:tc>
        <w:tc>
          <w:tcPr>
            <w:tcW w:w="1812" w:type="dxa"/>
            <w:tcBorders>
              <w:top w:val="single" w:sz="6" w:space="0" w:color="69BD28"/>
              <w:bottom w:val="single" w:sz="6" w:space="0" w:color="69BD28"/>
            </w:tcBorders>
          </w:tcPr>
          <w:p>
            <w:pPr>
              <w:pStyle w:val="TableParagraph"/>
              <w:spacing w:before="25"/>
              <w:ind w:right="515"/>
              <w:jc w:val="right"/>
              <w:rPr>
                <w:sz w:val="18"/>
              </w:rPr>
            </w:pPr>
            <w:r>
              <w:rPr>
                <w:w w:val="105"/>
                <w:sz w:val="18"/>
              </w:rPr>
              <w:t>Non SEZ</w:t>
            </w:r>
          </w:p>
        </w:tc>
        <w:tc>
          <w:tcPr>
            <w:tcW w:w="1927" w:type="dxa"/>
            <w:tcBorders>
              <w:bottom w:val="single" w:sz="6" w:space="0" w:color="69BD28"/>
            </w:tcBorders>
          </w:tcPr>
          <w:p>
            <w:pPr>
              <w:pStyle w:val="TableParagraph"/>
              <w:jc w:val="left"/>
              <w:rPr>
                <w:rFonts w:ascii="Times New Roman"/>
                <w:sz w:val="18"/>
              </w:rPr>
            </w:pPr>
          </w:p>
        </w:tc>
        <w:tc>
          <w:tcPr>
            <w:tcW w:w="1644" w:type="dxa"/>
            <w:tcBorders>
              <w:top w:val="single" w:sz="6" w:space="0" w:color="69BD28"/>
              <w:bottom w:val="single" w:sz="6" w:space="0" w:color="69BD28"/>
            </w:tcBorders>
          </w:tcPr>
          <w:p>
            <w:pPr>
              <w:pStyle w:val="TableParagraph"/>
              <w:spacing w:before="25"/>
              <w:ind w:left="385" w:right="385"/>
              <w:rPr>
                <w:sz w:val="18"/>
              </w:rPr>
            </w:pPr>
            <w:r>
              <w:rPr>
                <w:w w:val="110"/>
                <w:sz w:val="18"/>
              </w:rPr>
              <w:t>12,298</w:t>
            </w:r>
          </w:p>
        </w:tc>
      </w:tr>
      <w:tr>
        <w:trPr>
          <w:trHeight w:val="256" w:hRule="atLeast"/>
        </w:trPr>
        <w:tc>
          <w:tcPr>
            <w:tcW w:w="2789" w:type="dxa"/>
            <w:tcBorders>
              <w:top w:val="single" w:sz="6" w:space="0" w:color="69BD28"/>
              <w:bottom w:val="single" w:sz="6" w:space="0" w:color="69BD28"/>
            </w:tcBorders>
          </w:tcPr>
          <w:p>
            <w:pPr>
              <w:pStyle w:val="TableParagraph"/>
              <w:spacing w:before="22"/>
              <w:ind w:left="520" w:right="584"/>
              <w:rPr>
                <w:sz w:val="18"/>
              </w:rPr>
            </w:pPr>
            <w:r>
              <w:rPr>
                <w:sz w:val="18"/>
              </w:rPr>
              <w:t>Total</w:t>
            </w:r>
          </w:p>
        </w:tc>
        <w:tc>
          <w:tcPr>
            <w:tcW w:w="2309" w:type="dxa"/>
            <w:tcBorders>
              <w:top w:val="single" w:sz="6" w:space="0" w:color="69BD28"/>
              <w:bottom w:val="single" w:sz="6" w:space="0" w:color="69BD28"/>
            </w:tcBorders>
          </w:tcPr>
          <w:p>
            <w:pPr>
              <w:pStyle w:val="TableParagraph"/>
              <w:jc w:val="left"/>
              <w:rPr>
                <w:rFonts w:ascii="Times New Roman"/>
                <w:sz w:val="18"/>
              </w:rPr>
            </w:pPr>
          </w:p>
        </w:tc>
        <w:tc>
          <w:tcPr>
            <w:tcW w:w="1812" w:type="dxa"/>
            <w:tcBorders>
              <w:top w:val="single" w:sz="6" w:space="0" w:color="69BD28"/>
              <w:bottom w:val="single" w:sz="6" w:space="0" w:color="69BD28"/>
            </w:tcBorders>
          </w:tcPr>
          <w:p>
            <w:pPr>
              <w:pStyle w:val="TableParagraph"/>
              <w:jc w:val="left"/>
              <w:rPr>
                <w:rFonts w:ascii="Times New Roman"/>
                <w:sz w:val="18"/>
              </w:rPr>
            </w:pPr>
          </w:p>
        </w:tc>
        <w:tc>
          <w:tcPr>
            <w:tcW w:w="1927" w:type="dxa"/>
            <w:tcBorders>
              <w:top w:val="single" w:sz="6" w:space="0" w:color="69BD28"/>
              <w:bottom w:val="single" w:sz="6" w:space="0" w:color="69BD28"/>
            </w:tcBorders>
          </w:tcPr>
          <w:p>
            <w:pPr>
              <w:pStyle w:val="TableParagraph"/>
              <w:jc w:val="left"/>
              <w:rPr>
                <w:rFonts w:ascii="Times New Roman"/>
                <w:sz w:val="18"/>
              </w:rPr>
            </w:pPr>
          </w:p>
        </w:tc>
        <w:tc>
          <w:tcPr>
            <w:tcW w:w="1644" w:type="dxa"/>
            <w:tcBorders>
              <w:top w:val="single" w:sz="6" w:space="0" w:color="69BD28"/>
              <w:bottom w:val="single" w:sz="6" w:space="0" w:color="69BD28"/>
            </w:tcBorders>
          </w:tcPr>
          <w:p>
            <w:pPr>
              <w:pStyle w:val="TableParagraph"/>
              <w:spacing w:before="22"/>
              <w:ind w:left="385" w:right="385"/>
              <w:rPr>
                <w:sz w:val="18"/>
              </w:rPr>
            </w:pPr>
            <w:r>
              <w:rPr>
                <w:w w:val="105"/>
                <w:sz w:val="18"/>
              </w:rPr>
              <w:t>1,357,029</w:t>
            </w:r>
          </w:p>
        </w:tc>
      </w:tr>
    </w:tbl>
    <w:p>
      <w:pPr>
        <w:spacing w:before="0"/>
        <w:ind w:left="120" w:right="0" w:firstLine="0"/>
        <w:jc w:val="left"/>
        <w:rPr>
          <w:i/>
          <w:sz w:val="18"/>
        </w:rPr>
      </w:pPr>
      <w:r>
        <w:rPr>
          <w:i/>
          <w:sz w:val="18"/>
        </w:rPr>
        <w:t>Source: Rent roll, Occupancy/ Completion Certificate provided by Client</w:t>
      </w:r>
    </w:p>
    <w:p>
      <w:pPr>
        <w:pStyle w:val="BodyText"/>
        <w:spacing w:before="4"/>
        <w:rPr>
          <w:i/>
          <w:sz w:val="23"/>
        </w:rPr>
      </w:pPr>
      <w:r>
        <w:rPr/>
        <w:pict>
          <v:group style="position:absolute;margin-left:35.279999pt;margin-top:15.520492pt;width:524.3pt;height:15.85pt;mso-position-horizontal-relative:page;mso-position-vertical-relative:paragraph;z-index:-15108608;mso-wrap-distance-left:0;mso-wrap-distance-right:0" coordorigin="706,310" coordsize="10486,317">
            <v:shape style="position:absolute;left:720;top:324;width:10472;height:288" coordorigin="720,325" coordsize="10472,288" path="m11191,325l6481,325,720,325,720,613,6481,613,11191,613,11191,325xe" filled="true" fillcolor="#006a4d" stroked="false">
              <v:path arrowok="t"/>
              <v:fill type="solid"/>
            </v:shape>
            <v:shape style="position:absolute;left:720;top:310;width:10472;height:317" coordorigin="720,310" coordsize="10472,317" path="m11191,613l6496,613,6481,613,720,613,720,627,6481,627,6496,627,11191,627,11191,613xm11191,310l6496,310,6481,310,720,310,720,325,6481,325,6496,325,11191,325,11191,310xe" filled="true" fillcolor="#69bd28" stroked="false">
              <v:path arrowok="t"/>
              <v:fill type="solid"/>
            </v:shape>
            <v:shape style="position:absolute;left:705;top:324;width:10486;height:288" type="#_x0000_t202" filled="false" stroked="false">
              <v:textbox inset="0,0,0,0">
                <w:txbxContent>
                  <w:p>
                    <w:pPr>
                      <w:tabs>
                        <w:tab w:pos="7326" w:val="left" w:leader="none"/>
                      </w:tabs>
                      <w:spacing w:before="39"/>
                      <w:ind w:left="2581" w:right="0" w:firstLine="0"/>
                      <w:jc w:val="left"/>
                      <w:rPr>
                        <w:b/>
                        <w:sz w:val="18"/>
                      </w:rPr>
                    </w:pPr>
                    <w:r>
                      <w:rPr>
                        <w:b/>
                        <w:color w:val="FFFFFF"/>
                        <w:w w:val="110"/>
                        <w:sz w:val="18"/>
                      </w:rPr>
                      <w:t>Details</w:t>
                      <w:tab/>
                      <w:t>Completed</w:t>
                    </w:r>
                    <w:r>
                      <w:rPr>
                        <w:b/>
                        <w:color w:val="FFFFFF"/>
                        <w:spacing w:val="-5"/>
                        <w:w w:val="110"/>
                        <w:sz w:val="18"/>
                      </w:rPr>
                      <w:t> </w:t>
                    </w:r>
                    <w:r>
                      <w:rPr>
                        <w:b/>
                        <w:color w:val="FFFFFF"/>
                        <w:w w:val="110"/>
                        <w:sz w:val="18"/>
                      </w:rPr>
                      <w:t>Blocks</w:t>
                    </w:r>
                  </w:p>
                </w:txbxContent>
              </v:textbox>
              <w10:wrap type="none"/>
            </v:shape>
            <w10:wrap type="topAndBottom"/>
          </v:group>
        </w:pict>
      </w:r>
    </w:p>
    <w:p>
      <w:pPr>
        <w:tabs>
          <w:tab w:pos="5761" w:val="left" w:leader="none"/>
        </w:tabs>
        <w:spacing w:before="13" w:after="39"/>
        <w:ind w:left="14" w:right="0" w:firstLine="0"/>
        <w:jc w:val="center"/>
        <w:rPr>
          <w:sz w:val="18"/>
        </w:rPr>
      </w:pPr>
      <w:r>
        <w:rPr>
          <w:sz w:val="18"/>
        </w:rPr>
        <w:t>Grade of</w:t>
      </w:r>
      <w:r>
        <w:rPr>
          <w:spacing w:val="-13"/>
          <w:sz w:val="18"/>
        </w:rPr>
        <w:t> </w:t>
      </w:r>
      <w:r>
        <w:rPr>
          <w:sz w:val="18"/>
        </w:rPr>
        <w:t>the</w:t>
      </w:r>
      <w:r>
        <w:rPr>
          <w:spacing w:val="-6"/>
          <w:sz w:val="18"/>
        </w:rPr>
        <w:t> </w:t>
      </w:r>
      <w:r>
        <w:rPr>
          <w:sz w:val="18"/>
        </w:rPr>
        <w:t>Building</w:t>
        <w:tab/>
        <w:t>Grade A</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776,0,5761,0,0,0,0,14,5761,14,5776,14,10471,14,10471,0xe" filled="true" fillcolor="#69bd28" stroked="false">
              <v:path arrowok="t"/>
              <v:fill type="solid"/>
            </v:shape>
          </v:group>
        </w:pict>
      </w:r>
      <w:r>
        <w:rPr>
          <w:sz w:val="2"/>
        </w:rPr>
      </w:r>
    </w:p>
    <w:p>
      <w:pPr>
        <w:tabs>
          <w:tab w:pos="5761" w:val="left" w:leader="none"/>
        </w:tabs>
        <w:spacing w:before="34"/>
        <w:ind w:left="11" w:right="0" w:firstLine="0"/>
        <w:jc w:val="center"/>
        <w:rPr>
          <w:sz w:val="18"/>
        </w:rPr>
      </w:pPr>
      <w:r>
        <w:rPr/>
        <w:pict>
          <v:shape style="position:absolute;margin-left:36pt;margin-top:14.110658pt;width:523.6pt;height:.75pt;mso-position-horizontal-relative:page;mso-position-vertical-relative:paragraph;z-index:-15107584;mso-wrap-distance-left:0;mso-wrap-distance-right:0" coordorigin="720,282" coordsize="10472,15" path="m11191,282l6496,282,6481,282,720,282,720,297,6481,297,6496,297,11191,297,11191,282xe" filled="true" fillcolor="#69bd28" stroked="false">
            <v:path arrowok="t"/>
            <v:fill type="solid"/>
            <w10:wrap type="topAndBottom"/>
          </v:shape>
        </w:pict>
      </w:r>
      <w:r>
        <w:rPr>
          <w:sz w:val="18"/>
        </w:rPr>
        <w:t>IGBC</w:t>
      </w:r>
      <w:r>
        <w:rPr>
          <w:spacing w:val="-15"/>
          <w:sz w:val="18"/>
        </w:rPr>
        <w:t> </w:t>
      </w:r>
      <w:r>
        <w:rPr>
          <w:sz w:val="18"/>
        </w:rPr>
        <w:t>Certification</w:t>
        <w:tab/>
        <w:t>Gold</w:t>
      </w:r>
    </w:p>
    <w:p>
      <w:pPr>
        <w:tabs>
          <w:tab w:pos="7295" w:val="left" w:leader="none"/>
        </w:tabs>
        <w:spacing w:before="10" w:after="39"/>
        <w:ind w:left="2333" w:right="0" w:firstLine="0"/>
        <w:jc w:val="left"/>
        <w:rPr>
          <w:sz w:val="18"/>
        </w:rPr>
      </w:pPr>
      <w:r>
        <w:rPr>
          <w:sz w:val="18"/>
        </w:rPr>
        <w:t>Structural</w:t>
      </w:r>
      <w:r>
        <w:rPr>
          <w:spacing w:val="-21"/>
          <w:sz w:val="18"/>
        </w:rPr>
        <w:t> </w:t>
      </w:r>
      <w:r>
        <w:rPr>
          <w:sz w:val="18"/>
        </w:rPr>
        <w:t>Design</w:t>
        <w:tab/>
      </w:r>
      <w:r>
        <w:rPr>
          <w:w w:val="105"/>
          <w:sz w:val="18"/>
        </w:rPr>
        <w:t>2B+G+2 to</w:t>
      </w:r>
      <w:r>
        <w:rPr>
          <w:spacing w:val="7"/>
          <w:w w:val="105"/>
          <w:sz w:val="18"/>
        </w:rPr>
        <w:t> </w:t>
      </w:r>
      <w:r>
        <w:rPr>
          <w:w w:val="105"/>
          <w:sz w:val="18"/>
        </w:rPr>
        <w:t>2B+G+10</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776,0,5761,0,0,0,0,14,5761,14,5776,14,10471,14,10471,0xe" filled="true" fillcolor="#69bd28" stroked="false">
              <v:path arrowok="t"/>
              <v:fill type="solid"/>
            </v:shape>
          </v:group>
        </w:pict>
      </w:r>
      <w:r>
        <w:rPr>
          <w:sz w:val="2"/>
        </w:rPr>
      </w:r>
    </w:p>
    <w:p>
      <w:pPr>
        <w:tabs>
          <w:tab w:pos="7782" w:val="left" w:leader="none"/>
        </w:tabs>
        <w:spacing w:before="34"/>
        <w:ind w:left="2290" w:right="0" w:firstLine="0"/>
        <w:jc w:val="left"/>
        <w:rPr>
          <w:sz w:val="18"/>
        </w:rPr>
      </w:pPr>
      <w:r>
        <w:rPr/>
        <w:pict>
          <v:shape style="position:absolute;margin-left:36pt;margin-top:14.110649pt;width:523.6pt;height:.75pt;mso-position-horizontal-relative:page;mso-position-vertical-relative:paragraph;z-index:-15106560;mso-wrap-distance-left:0;mso-wrap-distance-right:0" coordorigin="720,282" coordsize="10472,15" path="m11191,282l6496,282,6481,282,720,282,720,297,6481,297,6496,297,11191,297,11191,282xe" filled="true" fillcolor="#69bd28" stroked="false">
            <v:path arrowok="t"/>
            <v:fill type="solid"/>
            <w10:wrap type="topAndBottom"/>
          </v:shape>
        </w:pict>
      </w:r>
      <w:r>
        <w:rPr>
          <w:sz w:val="18"/>
        </w:rPr>
        <w:t>Status</w:t>
      </w:r>
      <w:r>
        <w:rPr>
          <w:spacing w:val="-17"/>
          <w:sz w:val="18"/>
        </w:rPr>
        <w:t> </w:t>
      </w:r>
      <w:r>
        <w:rPr>
          <w:sz w:val="18"/>
        </w:rPr>
        <w:t>of</w:t>
      </w:r>
      <w:r>
        <w:rPr>
          <w:spacing w:val="-17"/>
          <w:sz w:val="18"/>
        </w:rPr>
        <w:t> </w:t>
      </w:r>
      <w:r>
        <w:rPr>
          <w:sz w:val="18"/>
        </w:rPr>
        <w:t>Finishing</w:t>
        <w:tab/>
        <w:t>Warm</w:t>
      </w:r>
      <w:r>
        <w:rPr>
          <w:spacing w:val="-1"/>
          <w:sz w:val="18"/>
        </w:rPr>
        <w:t> </w:t>
      </w:r>
      <w:r>
        <w:rPr>
          <w:sz w:val="18"/>
        </w:rPr>
        <w:t>Shell</w:t>
      </w:r>
    </w:p>
    <w:p>
      <w:pPr>
        <w:tabs>
          <w:tab w:pos="6654" w:val="left" w:leader="none"/>
        </w:tabs>
        <w:spacing w:before="13" w:after="39"/>
        <w:ind w:left="1843" w:right="0" w:firstLine="0"/>
        <w:jc w:val="left"/>
        <w:rPr>
          <w:sz w:val="18"/>
        </w:rPr>
      </w:pPr>
      <w:r>
        <w:rPr>
          <w:sz w:val="18"/>
        </w:rPr>
        <w:t>Comments</w:t>
      </w:r>
      <w:r>
        <w:rPr>
          <w:spacing w:val="-2"/>
          <w:sz w:val="18"/>
        </w:rPr>
        <w:t> </w:t>
      </w:r>
      <w:r>
        <w:rPr>
          <w:sz w:val="18"/>
        </w:rPr>
        <w:t>on </w:t>
      </w:r>
      <w:r>
        <w:rPr>
          <w:spacing w:val="10"/>
          <w:sz w:val="18"/>
        </w:rPr>
        <w:t> </w:t>
      </w:r>
      <w:r>
        <w:rPr>
          <w:sz w:val="18"/>
        </w:rPr>
        <w:t>Obsolescence</w:t>
        <w:tab/>
        <w:t>The</w:t>
      </w:r>
      <w:r>
        <w:rPr>
          <w:spacing w:val="-8"/>
          <w:sz w:val="18"/>
        </w:rPr>
        <w:t> </w:t>
      </w:r>
      <w:r>
        <w:rPr>
          <w:sz w:val="18"/>
        </w:rPr>
        <w:t>building</w:t>
      </w:r>
      <w:r>
        <w:rPr>
          <w:spacing w:val="-8"/>
          <w:sz w:val="18"/>
        </w:rPr>
        <w:t> </w:t>
      </w:r>
      <w:r>
        <w:rPr>
          <w:sz w:val="18"/>
        </w:rPr>
        <w:t>is</w:t>
      </w:r>
      <w:r>
        <w:rPr>
          <w:spacing w:val="-9"/>
          <w:sz w:val="18"/>
        </w:rPr>
        <w:t> </w:t>
      </w:r>
      <w:r>
        <w:rPr>
          <w:sz w:val="18"/>
        </w:rPr>
        <w:t>currently</w:t>
      </w:r>
      <w:r>
        <w:rPr>
          <w:spacing w:val="-10"/>
          <w:sz w:val="18"/>
        </w:rPr>
        <w:t> </w:t>
      </w:r>
      <w:r>
        <w:rPr>
          <w:sz w:val="18"/>
        </w:rPr>
        <w:t>well</w:t>
      </w:r>
      <w:r>
        <w:rPr>
          <w:spacing w:val="-9"/>
          <w:sz w:val="18"/>
        </w:rPr>
        <w:t> </w:t>
      </w:r>
      <w:r>
        <w:rPr>
          <w:sz w:val="18"/>
        </w:rPr>
        <w:t>maintained</w:t>
      </w:r>
    </w:p>
    <w:p>
      <w:pPr>
        <w:pStyle w:val="BodyText"/>
        <w:spacing w:line="20" w:lineRule="exact"/>
        <w:ind w:left="105"/>
        <w:rPr>
          <w:sz w:val="2"/>
        </w:rPr>
      </w:pPr>
      <w:r>
        <w:rPr>
          <w:sz w:val="2"/>
        </w:rPr>
        <w:pict>
          <v:group style="width:524.3pt;height:.75pt;mso-position-horizontal-relative:char;mso-position-vertical-relative:line" coordorigin="0,0" coordsize="10486,15">
            <v:shape style="position:absolute;left:0;top:0;width:10486;height:15" coordorigin="0,0" coordsize="10486,15" path="m10486,0l5776,0,5761,0,0,0,0,14,5761,14,5776,14,10486,14,10486,0xe" filled="true" fillcolor="#69bd28" stroked="false">
              <v:path arrowok="t"/>
              <v:fill type="solid"/>
            </v:shape>
          </v:group>
        </w:pict>
      </w:r>
      <w:r>
        <w:rPr>
          <w:sz w:val="2"/>
        </w:rPr>
      </w:r>
    </w:p>
    <w:p>
      <w:pPr>
        <w:spacing w:before="0"/>
        <w:ind w:left="172" w:right="0" w:firstLine="0"/>
        <w:jc w:val="left"/>
        <w:rPr>
          <w:i/>
          <w:sz w:val="18"/>
        </w:rPr>
      </w:pPr>
      <w:r>
        <w:rPr>
          <w:i/>
          <w:sz w:val="18"/>
        </w:rPr>
        <w:t>Source: Rent roll/ information provided by Client, Site visit undertaken by the Consultants</w:t>
      </w:r>
    </w:p>
    <w:p>
      <w:pPr>
        <w:pStyle w:val="BodyText"/>
        <w:rPr>
          <w:i/>
        </w:rPr>
      </w:pPr>
    </w:p>
    <w:p>
      <w:pPr>
        <w:pStyle w:val="BodyText"/>
        <w:rPr>
          <w:i/>
          <w:sz w:val="20"/>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75" w:id="536"/>
      <w:bookmarkEnd w:id="536"/>
      <w:r>
        <w:rPr/>
      </w:r>
      <w:bookmarkStart w:name="_bookmark275" w:id="537"/>
      <w:bookmarkEnd w:id="537"/>
      <w:r>
        <w:rPr>
          <w:color w:val="1F664D"/>
          <w:sz w:val="22"/>
        </w:rPr>
        <w:t>S</w:t>
      </w:r>
      <w:r>
        <w:rPr>
          <w:color w:val="1F664D"/>
          <w:sz w:val="22"/>
        </w:rPr>
        <w:t>ite Services and</w:t>
      </w:r>
      <w:r>
        <w:rPr>
          <w:color w:val="1F664D"/>
          <w:spacing w:val="-4"/>
          <w:sz w:val="22"/>
        </w:rPr>
        <w:t> </w:t>
      </w:r>
      <w:r>
        <w:rPr>
          <w:color w:val="1F664D"/>
          <w:sz w:val="22"/>
        </w:rPr>
        <w:t>Finishes</w:t>
      </w:r>
    </w:p>
    <w:p>
      <w:pPr>
        <w:pStyle w:val="BodyText"/>
        <w:spacing w:before="10"/>
        <w:rPr>
          <w:sz w:val="13"/>
        </w:rPr>
      </w:pPr>
      <w:r>
        <w:rPr/>
        <w:pict>
          <v:group style="position:absolute;margin-left:35.279999pt;margin-top:10.044226pt;width:524.3pt;height:16pt;mso-position-horizontal-relative:page;mso-position-vertical-relative:paragraph;z-index:-15105024;mso-wrap-distance-left:0;mso-wrap-distance-right:0" coordorigin="706,201" coordsize="10486,320">
            <v:shape style="position:absolute;left:720;top:217;width:10472;height:288" coordorigin="720,218" coordsize="10472,288" path="m11191,218l5956,218,720,218,720,506,5956,506,11191,506,11191,218xe" filled="true" fillcolor="#006a4d" stroked="false">
              <v:path arrowok="t"/>
              <v:fill type="solid"/>
            </v:shape>
            <v:shape style="position:absolute;left:720;top:200;width:10472;height:320" coordorigin="720,201" coordsize="10472,320" path="m11191,506l5970,506,5956,506,720,506,720,520,5956,520,5970,520,11191,520,11191,506xm11191,201l5970,201,5956,201,720,201,720,215,5956,215,5970,215,11191,215,11191,201xe" filled="true" fillcolor="#69bd28" stroked="false">
              <v:path arrowok="t"/>
              <v:fill type="solid"/>
            </v:shape>
            <v:shape style="position:absolute;left:705;top:215;width:10486;height:291" type="#_x0000_t202" filled="false" stroked="false">
              <v:textbox inset="0,0,0,0">
                <w:txbxContent>
                  <w:p>
                    <w:pPr>
                      <w:tabs>
                        <w:tab w:pos="5406" w:val="left" w:leader="none"/>
                      </w:tabs>
                      <w:spacing w:before="42"/>
                      <w:ind w:left="0" w:right="155" w:firstLine="0"/>
                      <w:jc w:val="center"/>
                      <w:rPr>
                        <w:b/>
                        <w:sz w:val="18"/>
                      </w:rPr>
                    </w:pPr>
                    <w:r>
                      <w:rPr>
                        <w:b/>
                        <w:color w:val="FFFFFF"/>
                        <w:w w:val="110"/>
                        <w:sz w:val="18"/>
                      </w:rPr>
                      <w:t>Particulars</w:t>
                      <w:tab/>
                      <w:t>Details</w:t>
                    </w:r>
                  </w:p>
                </w:txbxContent>
              </v:textbox>
              <w10:wrap type="none"/>
            </v:shape>
            <w10:wrap type="topAndBottom"/>
          </v:group>
        </w:pict>
      </w:r>
    </w:p>
    <w:p>
      <w:pPr>
        <w:tabs>
          <w:tab w:pos="7518" w:val="left" w:leader="none"/>
        </w:tabs>
        <w:spacing w:before="10" w:after="39"/>
        <w:ind w:left="1961" w:right="0" w:firstLine="0"/>
        <w:jc w:val="left"/>
        <w:rPr>
          <w:sz w:val="18"/>
        </w:rPr>
      </w:pPr>
      <w:r>
        <w:rPr>
          <w:sz w:val="18"/>
        </w:rPr>
        <w:t>Handover</w:t>
      </w:r>
      <w:r>
        <w:rPr>
          <w:spacing w:val="-12"/>
          <w:sz w:val="18"/>
        </w:rPr>
        <w:t> </w:t>
      </w:r>
      <w:r>
        <w:rPr>
          <w:sz w:val="18"/>
        </w:rPr>
        <w:t>condition</w:t>
        <w:tab/>
        <w:t>Warm</w:t>
      </w:r>
      <w:r>
        <w:rPr>
          <w:spacing w:val="-1"/>
          <w:sz w:val="18"/>
        </w:rPr>
        <w:t> </w:t>
      </w:r>
      <w:r>
        <w:rPr>
          <w:sz w:val="18"/>
        </w:rPr>
        <w:t>Shell</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7633" w:val="left" w:leader="none"/>
        </w:tabs>
        <w:spacing w:before="34"/>
        <w:ind w:left="1966" w:right="0" w:firstLine="0"/>
        <w:jc w:val="left"/>
        <w:rPr>
          <w:sz w:val="18"/>
        </w:rPr>
      </w:pPr>
      <w:r>
        <w:rPr/>
        <w:pict>
          <v:shape style="position:absolute;margin-left:36pt;margin-top:14.111656pt;width:523.6pt;height:.75pt;mso-position-horizontal-relative:page;mso-position-vertical-relative:paragraph;z-index:-15104000;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Passenger</w:t>
      </w:r>
      <w:r>
        <w:rPr>
          <w:spacing w:val="-21"/>
          <w:sz w:val="18"/>
        </w:rPr>
        <w:t> </w:t>
      </w:r>
      <w:r>
        <w:rPr>
          <w:sz w:val="18"/>
        </w:rPr>
        <w:t>elevators</w:t>
        <w:tab/>
        <w:t>Provided</w:t>
      </w:r>
    </w:p>
    <w:p>
      <w:pPr>
        <w:tabs>
          <w:tab w:pos="5545" w:val="left" w:leader="none"/>
        </w:tabs>
        <w:spacing w:before="10" w:after="39"/>
        <w:ind w:left="0" w:right="2392" w:firstLine="0"/>
        <w:jc w:val="right"/>
        <w:rPr>
          <w:sz w:val="18"/>
        </w:rPr>
      </w:pPr>
      <w:r>
        <w:rPr>
          <w:sz w:val="18"/>
        </w:rPr>
        <w:t>Service</w:t>
      </w:r>
      <w:r>
        <w:rPr>
          <w:spacing w:val="-33"/>
          <w:sz w:val="18"/>
        </w:rPr>
        <w:t> </w:t>
      </w:r>
      <w:r>
        <w:rPr>
          <w:sz w:val="18"/>
        </w:rPr>
        <w:t>elevators</w:t>
        <w:tab/>
      </w:r>
      <w:r>
        <w:rPr>
          <w:spacing w:val="-1"/>
          <w:w w:val="95"/>
          <w:sz w:val="18"/>
        </w:rPr>
        <w:t>Provided</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480" w:val="left" w:leader="none"/>
        </w:tabs>
        <w:spacing w:before="36"/>
        <w:ind w:left="0" w:right="2392" w:firstLine="0"/>
        <w:jc w:val="right"/>
        <w:rPr>
          <w:sz w:val="18"/>
        </w:rPr>
      </w:pPr>
      <w:r>
        <w:rPr/>
        <w:pict>
          <v:shape style="position:absolute;margin-left:36pt;margin-top:14.240672pt;width:523.6pt;height:.75pt;mso-position-horizontal-relative:page;mso-position-vertical-relative:paragraph;z-index:-15102976;mso-wrap-distance-left:0;mso-wrap-distance-right:0" coordorigin="720,285" coordsize="10472,15" path="m11191,285l5970,285,5956,285,720,285,720,299,5956,299,5970,299,11191,299,11191,285xe" filled="true" fillcolor="#69bd28" stroked="false">
            <v:path arrowok="t"/>
            <v:fill type="solid"/>
            <w10:wrap type="topAndBottom"/>
          </v:shape>
        </w:pict>
      </w:r>
      <w:r>
        <w:rPr>
          <w:sz w:val="18"/>
        </w:rPr>
        <w:t>Power</w:t>
      </w:r>
      <w:r>
        <w:rPr>
          <w:spacing w:val="-11"/>
          <w:sz w:val="18"/>
        </w:rPr>
        <w:t> </w:t>
      </w:r>
      <w:r>
        <w:rPr>
          <w:sz w:val="18"/>
        </w:rPr>
        <w:t>back-up</w:t>
        <w:tab/>
      </w:r>
      <w:r>
        <w:rPr>
          <w:spacing w:val="-1"/>
          <w:w w:val="95"/>
          <w:sz w:val="18"/>
        </w:rPr>
        <w:t>Provided</w:t>
      </w:r>
    </w:p>
    <w:p>
      <w:pPr>
        <w:tabs>
          <w:tab w:pos="6049" w:val="left" w:leader="none"/>
        </w:tabs>
        <w:spacing w:before="10" w:after="39"/>
        <w:ind w:left="0" w:right="2392" w:firstLine="0"/>
        <w:jc w:val="right"/>
        <w:rPr>
          <w:sz w:val="18"/>
        </w:rPr>
      </w:pPr>
      <w:r>
        <w:rPr>
          <w:sz w:val="18"/>
        </w:rPr>
        <w:t>Building</w:t>
      </w:r>
      <w:r>
        <w:rPr>
          <w:spacing w:val="-15"/>
          <w:sz w:val="18"/>
        </w:rPr>
        <w:t> </w:t>
      </w:r>
      <w:r>
        <w:rPr>
          <w:sz w:val="18"/>
        </w:rPr>
        <w:t>management</w:t>
      </w:r>
      <w:r>
        <w:rPr>
          <w:spacing w:val="-15"/>
          <w:sz w:val="18"/>
        </w:rPr>
        <w:t> </w:t>
      </w:r>
      <w:r>
        <w:rPr>
          <w:sz w:val="18"/>
        </w:rPr>
        <w:t>system</w:t>
        <w:tab/>
      </w:r>
      <w:r>
        <w:rPr>
          <w:spacing w:val="-1"/>
          <w:w w:val="95"/>
          <w:sz w:val="18"/>
        </w:rPr>
        <w:t>Provided</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516" w:val="left" w:leader="none"/>
        </w:tabs>
        <w:spacing w:before="34"/>
        <w:ind w:left="0" w:right="2392" w:firstLine="0"/>
        <w:jc w:val="right"/>
        <w:rPr>
          <w:sz w:val="18"/>
        </w:rPr>
      </w:pPr>
      <w:r>
        <w:rPr/>
        <w:pict>
          <v:shape style="position:absolute;margin-left:36pt;margin-top:14.11167pt;width:523.6pt;height:.75pt;mso-position-horizontal-relative:page;mso-position-vertical-relative:paragraph;z-index:-15101952;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Security</w:t>
      </w:r>
      <w:r>
        <w:rPr>
          <w:spacing w:val="-36"/>
          <w:sz w:val="18"/>
        </w:rPr>
        <w:t> </w:t>
      </w:r>
      <w:r>
        <w:rPr>
          <w:sz w:val="18"/>
        </w:rPr>
        <w:t>systems</w:t>
        <w:tab/>
      </w:r>
      <w:r>
        <w:rPr>
          <w:spacing w:val="-1"/>
          <w:w w:val="95"/>
          <w:sz w:val="18"/>
        </w:rPr>
        <w:t>Provided</w:t>
      </w:r>
    </w:p>
    <w:p>
      <w:pPr>
        <w:tabs>
          <w:tab w:pos="5516" w:val="left" w:leader="none"/>
        </w:tabs>
        <w:spacing w:before="10" w:after="39"/>
        <w:ind w:left="0" w:right="2392" w:firstLine="0"/>
        <w:jc w:val="right"/>
        <w:rPr>
          <w:sz w:val="18"/>
        </w:rPr>
      </w:pPr>
      <w:r>
        <w:rPr>
          <w:sz w:val="18"/>
        </w:rPr>
        <w:t>Air</w:t>
      </w:r>
      <w:r>
        <w:rPr>
          <w:spacing w:val="-16"/>
          <w:sz w:val="18"/>
        </w:rPr>
        <w:t> </w:t>
      </w:r>
      <w:r>
        <w:rPr>
          <w:sz w:val="18"/>
        </w:rPr>
        <w:t>conditioning</w:t>
        <w:tab/>
      </w:r>
      <w:r>
        <w:rPr>
          <w:spacing w:val="-1"/>
          <w:w w:val="95"/>
          <w:sz w:val="18"/>
        </w:rPr>
        <w:t>Provided</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665" w:val="left" w:leader="none"/>
        </w:tabs>
        <w:spacing w:before="36"/>
        <w:ind w:left="0" w:right="2392" w:firstLine="0"/>
        <w:jc w:val="right"/>
        <w:rPr>
          <w:sz w:val="18"/>
        </w:rPr>
      </w:pPr>
      <w:r>
        <w:rPr/>
        <w:pict>
          <v:shape style="position:absolute;margin-left:36pt;margin-top:14.21167pt;width:523.6pt;height:.75pt;mso-position-horizontal-relative:page;mso-position-vertical-relative:paragraph;z-index:-15100928;mso-wrap-distance-left:0;mso-wrap-distance-right:0" coordorigin="720,284" coordsize="10472,15" path="m11191,284l5970,284,5956,284,720,284,720,299,5956,299,5970,299,11191,299,11191,284xe" filled="true" fillcolor="#69bd28" stroked="false">
            <v:path arrowok="t"/>
            <v:fill type="solid"/>
            <w10:wrap type="topAndBottom"/>
          </v:shape>
        </w:pict>
      </w:r>
      <w:r>
        <w:rPr>
          <w:sz w:val="18"/>
        </w:rPr>
        <w:t>Firefighting</w:t>
      </w:r>
      <w:r>
        <w:rPr>
          <w:spacing w:val="-36"/>
          <w:sz w:val="18"/>
        </w:rPr>
        <w:t> </w:t>
      </w:r>
      <w:r>
        <w:rPr>
          <w:sz w:val="18"/>
        </w:rPr>
        <w:t>services</w:t>
        <w:tab/>
      </w:r>
      <w:r>
        <w:rPr>
          <w:spacing w:val="-1"/>
          <w:w w:val="95"/>
          <w:sz w:val="18"/>
        </w:rPr>
        <w:t>Provided</w:t>
      </w:r>
    </w:p>
    <w:p>
      <w:pPr>
        <w:tabs>
          <w:tab w:pos="6843" w:val="left" w:leader="none"/>
        </w:tabs>
        <w:spacing w:before="10" w:after="39"/>
        <w:ind w:left="1975" w:right="0" w:firstLine="0"/>
        <w:jc w:val="left"/>
        <w:rPr>
          <w:sz w:val="18"/>
        </w:rPr>
      </w:pPr>
      <w:r>
        <w:rPr>
          <w:sz w:val="18"/>
        </w:rPr>
        <w:t>Car</w:t>
      </w:r>
      <w:r>
        <w:rPr>
          <w:spacing w:val="-1"/>
          <w:sz w:val="18"/>
        </w:rPr>
        <w:t> </w:t>
      </w:r>
      <w:r>
        <w:rPr>
          <w:sz w:val="18"/>
        </w:rPr>
        <w:t>parks</w:t>
      </w:r>
      <w:r>
        <w:rPr>
          <w:spacing w:val="1"/>
          <w:sz w:val="18"/>
        </w:rPr>
        <w:t> </w:t>
      </w:r>
      <w:r>
        <w:rPr>
          <w:sz w:val="18"/>
        </w:rPr>
        <w:t>provided</w:t>
        <w:tab/>
        <w:t>Covered and open car</w:t>
      </w:r>
      <w:r>
        <w:rPr>
          <w:spacing w:val="-11"/>
          <w:sz w:val="18"/>
        </w:rPr>
        <w:t> </w:t>
      </w:r>
      <w:r>
        <w:rPr>
          <w:sz w:val="18"/>
        </w:rPr>
        <w:t>parks</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9806,0l5250,0,5236,0,0,0,0,14,5236,14,5250,14,9806,14,9806,0xm9821,0l9806,0,9806,14,9821,14,9821,0xm10471,0l9835,0,9821,0,9821,14,9835,14,10471,14,10471,0xe" filled="true" fillcolor="#69bd28" stroked="false">
              <v:path arrowok="t"/>
              <v:fill type="solid"/>
            </v:shape>
          </v:group>
        </w:pict>
      </w:r>
      <w:r>
        <w:rPr>
          <w:sz w:val="2"/>
        </w:rPr>
      </w:r>
    </w:p>
    <w:p>
      <w:pPr>
        <w:spacing w:before="34"/>
        <w:ind w:left="14" w:right="3117" w:firstLine="0"/>
        <w:jc w:val="center"/>
        <w:rPr>
          <w:i/>
          <w:sz w:val="18"/>
        </w:rPr>
      </w:pPr>
      <w:r>
        <w:rPr>
          <w:i/>
          <w:sz w:val="18"/>
        </w:rPr>
        <w:t>Source:</w:t>
      </w:r>
      <w:r>
        <w:rPr>
          <w:i/>
          <w:spacing w:val="-32"/>
          <w:sz w:val="18"/>
        </w:rPr>
        <w:t> </w:t>
      </w:r>
      <w:r>
        <w:rPr>
          <w:i/>
          <w:sz w:val="18"/>
        </w:rPr>
        <w:t>Information</w:t>
      </w:r>
      <w:r>
        <w:rPr>
          <w:i/>
          <w:spacing w:val="-31"/>
          <w:sz w:val="18"/>
        </w:rPr>
        <w:t> </w:t>
      </w:r>
      <w:r>
        <w:rPr>
          <w:i/>
          <w:sz w:val="18"/>
        </w:rPr>
        <w:t>provided</w:t>
      </w:r>
      <w:r>
        <w:rPr>
          <w:i/>
          <w:spacing w:val="-33"/>
          <w:sz w:val="18"/>
        </w:rPr>
        <w:t> </w:t>
      </w:r>
      <w:r>
        <w:rPr>
          <w:i/>
          <w:sz w:val="18"/>
        </w:rPr>
        <w:t>by</w:t>
      </w:r>
      <w:r>
        <w:rPr>
          <w:i/>
          <w:spacing w:val="-31"/>
          <w:sz w:val="18"/>
        </w:rPr>
        <w:t> </w:t>
      </w:r>
      <w:r>
        <w:rPr>
          <w:i/>
          <w:sz w:val="18"/>
        </w:rPr>
        <w:t>Client,</w:t>
      </w:r>
      <w:r>
        <w:rPr>
          <w:i/>
          <w:spacing w:val="-31"/>
          <w:sz w:val="18"/>
        </w:rPr>
        <w:t> </w:t>
      </w:r>
      <w:r>
        <w:rPr>
          <w:i/>
          <w:sz w:val="18"/>
        </w:rPr>
        <w:t>Site</w:t>
      </w:r>
      <w:r>
        <w:rPr>
          <w:i/>
          <w:spacing w:val="-32"/>
          <w:sz w:val="18"/>
        </w:rPr>
        <w:t> </w:t>
      </w:r>
      <w:r>
        <w:rPr>
          <w:i/>
          <w:sz w:val="18"/>
        </w:rPr>
        <w:t>visit</w:t>
      </w:r>
      <w:r>
        <w:rPr>
          <w:i/>
          <w:spacing w:val="-32"/>
          <w:sz w:val="18"/>
        </w:rPr>
        <w:t> </w:t>
      </w:r>
      <w:r>
        <w:rPr>
          <w:i/>
          <w:sz w:val="18"/>
        </w:rPr>
        <w:t>undertaken</w:t>
      </w:r>
      <w:r>
        <w:rPr>
          <w:i/>
          <w:spacing w:val="-31"/>
          <w:sz w:val="18"/>
        </w:rPr>
        <w:t> </w:t>
      </w:r>
      <w:r>
        <w:rPr>
          <w:i/>
          <w:sz w:val="18"/>
        </w:rPr>
        <w:t>by</w:t>
      </w:r>
      <w:r>
        <w:rPr>
          <w:i/>
          <w:spacing w:val="-31"/>
          <w:sz w:val="18"/>
        </w:rPr>
        <w:t> </w:t>
      </w:r>
      <w:r>
        <w:rPr>
          <w:i/>
          <w:sz w:val="18"/>
        </w:rPr>
        <w:t>the</w:t>
      </w:r>
      <w:r>
        <w:rPr>
          <w:i/>
          <w:spacing w:val="-32"/>
          <w:sz w:val="18"/>
        </w:rPr>
        <w:t> </w:t>
      </w:r>
      <w:r>
        <w:rPr>
          <w:i/>
          <w:sz w:val="18"/>
        </w:rPr>
        <w:t>Consultants,</w:t>
      </w:r>
      <w:r>
        <w:rPr>
          <w:i/>
          <w:spacing w:val="-33"/>
          <w:sz w:val="18"/>
        </w:rPr>
        <w:t> </w:t>
      </w:r>
      <w:r>
        <w:rPr>
          <w:i/>
          <w:sz w:val="18"/>
        </w:rPr>
        <w:t>lease</w:t>
      </w:r>
      <w:r>
        <w:rPr>
          <w:i/>
          <w:spacing w:val="-32"/>
          <w:sz w:val="18"/>
        </w:rPr>
        <w:t> </w:t>
      </w:r>
      <w:r>
        <w:rPr>
          <w:i/>
          <w:sz w:val="18"/>
        </w:rPr>
        <w:t>deeds</w:t>
      </w:r>
    </w:p>
    <w:p>
      <w:pPr>
        <w:pStyle w:val="BodyText"/>
        <w:spacing w:before="3"/>
        <w:rPr>
          <w:i/>
          <w:sz w:val="15"/>
        </w:rPr>
      </w:pPr>
    </w:p>
    <w:p>
      <w:pPr>
        <w:pStyle w:val="BodyText"/>
        <w:spacing w:line="321" w:lineRule="auto" w:before="107"/>
        <w:ind w:left="667" w:right="148"/>
      </w:pPr>
      <w:r>
        <w:rPr/>
        <w:t>The property is an open-campus style development with a range of amenities including a recently refurbished state-of-the-art food court, cafes and numerous retail options.</w:t>
      </w:r>
    </w:p>
    <w:p>
      <w:pPr>
        <w:spacing w:after="0" w:line="321" w:lineRule="auto"/>
        <w:sectPr>
          <w:pgSz w:w="11910" w:h="16840"/>
          <w:pgMar w:header="720" w:footer="921" w:top="1660" w:bottom="1120" w:left="600" w:right="600"/>
        </w:sectPr>
      </w:pPr>
    </w:p>
    <w:p>
      <w:pPr>
        <w:pStyle w:val="BodyText"/>
        <w:spacing w:before="7"/>
        <w:rPr>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276" w:id="538"/>
      <w:bookmarkEnd w:id="538"/>
      <w:r>
        <w:rPr/>
      </w:r>
      <w:bookmarkStart w:name="_bookmark276" w:id="539"/>
      <w:bookmarkEnd w:id="539"/>
      <w:r>
        <w:rPr>
          <w:color w:val="1F664D"/>
          <w:sz w:val="22"/>
        </w:rPr>
        <w:t>Condition</w:t>
      </w:r>
      <w:r>
        <w:rPr>
          <w:color w:val="1F664D"/>
          <w:sz w:val="22"/>
        </w:rPr>
        <w:t> &amp;</w:t>
      </w:r>
      <w:r>
        <w:rPr>
          <w:color w:val="1F664D"/>
          <w:spacing w:val="-4"/>
          <w:sz w:val="22"/>
        </w:rPr>
        <w:t> </w:t>
      </w:r>
      <w:r>
        <w:rPr>
          <w:color w:val="1F664D"/>
          <w:sz w:val="22"/>
        </w:rPr>
        <w:t>Repair</w:t>
      </w:r>
    </w:p>
    <w:p>
      <w:pPr>
        <w:pStyle w:val="BodyText"/>
        <w:spacing w:line="321" w:lineRule="auto" w:before="208"/>
        <w:ind w:left="667" w:right="111"/>
        <w:jc w:val="both"/>
      </w:pPr>
      <w:r>
        <w:rPr/>
        <w:t>Subject property is developed and managed to international standards offering best-in-class asset management</w:t>
      </w:r>
      <w:r>
        <w:rPr>
          <w:spacing w:val="-33"/>
        </w:rPr>
        <w:t> </w:t>
      </w:r>
      <w:r>
        <w:rPr/>
        <w:t>and</w:t>
      </w:r>
      <w:r>
        <w:rPr>
          <w:spacing w:val="-33"/>
        </w:rPr>
        <w:t> </w:t>
      </w:r>
      <w:r>
        <w:rPr/>
        <w:t>environment</w:t>
      </w:r>
      <w:r>
        <w:rPr>
          <w:spacing w:val="-32"/>
        </w:rPr>
        <w:t> </w:t>
      </w:r>
      <w:r>
        <w:rPr/>
        <w:t>friendly</w:t>
      </w:r>
      <w:r>
        <w:rPr>
          <w:spacing w:val="-33"/>
        </w:rPr>
        <w:t> </w:t>
      </w:r>
      <w:r>
        <w:rPr/>
        <w:t>green</w:t>
      </w:r>
      <w:r>
        <w:rPr>
          <w:spacing w:val="-32"/>
        </w:rPr>
        <w:t> </w:t>
      </w:r>
      <w:r>
        <w:rPr/>
        <w:t>initiatives,</w:t>
      </w:r>
      <w:r>
        <w:rPr>
          <w:spacing w:val="-32"/>
        </w:rPr>
        <w:t> </w:t>
      </w:r>
      <w:r>
        <w:rPr/>
        <w:t>which</w:t>
      </w:r>
      <w:r>
        <w:rPr>
          <w:spacing w:val="-32"/>
        </w:rPr>
        <w:t> </w:t>
      </w:r>
      <w:r>
        <w:rPr/>
        <w:t>makes</w:t>
      </w:r>
      <w:r>
        <w:rPr>
          <w:spacing w:val="-33"/>
        </w:rPr>
        <w:t> </w:t>
      </w:r>
      <w:r>
        <w:rPr/>
        <w:t>it</w:t>
      </w:r>
      <w:r>
        <w:rPr>
          <w:spacing w:val="-32"/>
        </w:rPr>
        <w:t> </w:t>
      </w:r>
      <w:r>
        <w:rPr/>
        <w:t>a</w:t>
      </w:r>
      <w:r>
        <w:rPr>
          <w:spacing w:val="-33"/>
        </w:rPr>
        <w:t> </w:t>
      </w:r>
      <w:r>
        <w:rPr/>
        <w:t>preferred</w:t>
      </w:r>
      <w:r>
        <w:rPr>
          <w:spacing w:val="-31"/>
        </w:rPr>
        <w:t> </w:t>
      </w:r>
      <w:r>
        <w:rPr/>
        <w:t>option</w:t>
      </w:r>
      <w:r>
        <w:rPr>
          <w:spacing w:val="-33"/>
        </w:rPr>
        <w:t> </w:t>
      </w:r>
      <w:r>
        <w:rPr/>
        <w:t>for</w:t>
      </w:r>
      <w:r>
        <w:rPr>
          <w:spacing w:val="-33"/>
        </w:rPr>
        <w:t> </w:t>
      </w:r>
      <w:r>
        <w:rPr/>
        <w:t>domestic as wells as Multinational Corporations (MNCs). Based on information provided by the Client and site visit,</w:t>
      </w:r>
      <w:r>
        <w:rPr>
          <w:spacing w:val="-12"/>
        </w:rPr>
        <w:t> </w:t>
      </w:r>
      <w:r>
        <w:rPr/>
        <w:t>it</w:t>
      </w:r>
      <w:r>
        <w:rPr>
          <w:spacing w:val="-11"/>
        </w:rPr>
        <w:t> </w:t>
      </w:r>
      <w:r>
        <w:rPr/>
        <w:t>is</w:t>
      </w:r>
      <w:r>
        <w:rPr>
          <w:spacing w:val="-11"/>
        </w:rPr>
        <w:t> </w:t>
      </w:r>
      <w:r>
        <w:rPr/>
        <w:t>understood</w:t>
      </w:r>
      <w:r>
        <w:rPr>
          <w:spacing w:val="-11"/>
        </w:rPr>
        <w:t> </w:t>
      </w:r>
      <w:r>
        <w:rPr/>
        <w:t>that</w:t>
      </w:r>
      <w:r>
        <w:rPr>
          <w:spacing w:val="-12"/>
        </w:rPr>
        <w:t> </w:t>
      </w:r>
      <w:r>
        <w:rPr/>
        <w:t>the</w:t>
      </w:r>
      <w:r>
        <w:rPr>
          <w:spacing w:val="-12"/>
        </w:rPr>
        <w:t> </w:t>
      </w:r>
      <w:r>
        <w:rPr/>
        <w:t>subject</w:t>
      </w:r>
      <w:r>
        <w:rPr>
          <w:spacing w:val="-11"/>
        </w:rPr>
        <w:t> </w:t>
      </w:r>
      <w:r>
        <w:rPr/>
        <w:t>property</w:t>
      </w:r>
      <w:r>
        <w:rPr>
          <w:spacing w:val="-10"/>
        </w:rPr>
        <w:t> </w:t>
      </w:r>
      <w:r>
        <w:rPr/>
        <w:t>is</w:t>
      </w:r>
      <w:r>
        <w:rPr>
          <w:spacing w:val="-10"/>
        </w:rPr>
        <w:t> </w:t>
      </w:r>
      <w:r>
        <w:rPr/>
        <w:t>in</w:t>
      </w:r>
      <w:r>
        <w:rPr>
          <w:spacing w:val="-12"/>
        </w:rPr>
        <w:t> </w:t>
      </w:r>
      <w:r>
        <w:rPr/>
        <w:t>good</w:t>
      </w:r>
      <w:r>
        <w:rPr>
          <w:spacing w:val="-10"/>
        </w:rPr>
        <w:t> </w:t>
      </w:r>
      <w:r>
        <w:rPr/>
        <w:t>condition</w:t>
      </w:r>
      <w:r>
        <w:rPr>
          <w:spacing w:val="-12"/>
        </w:rPr>
        <w:t> </w:t>
      </w:r>
      <w:r>
        <w:rPr/>
        <w:t>and</w:t>
      </w:r>
      <w:r>
        <w:rPr>
          <w:spacing w:val="-11"/>
        </w:rPr>
        <w:t> </w:t>
      </w:r>
      <w:r>
        <w:rPr/>
        <w:t>is</w:t>
      </w:r>
      <w:r>
        <w:rPr>
          <w:spacing w:val="-13"/>
        </w:rPr>
        <w:t> </w:t>
      </w:r>
      <w:r>
        <w:rPr/>
        <w:t>being</w:t>
      </w:r>
      <w:r>
        <w:rPr>
          <w:spacing w:val="-10"/>
        </w:rPr>
        <w:t> </w:t>
      </w:r>
      <w:r>
        <w:rPr/>
        <w:t>maintained</w:t>
      </w:r>
      <w:r>
        <w:rPr>
          <w:spacing w:val="-10"/>
        </w:rPr>
        <w:t> </w:t>
      </w:r>
      <w:r>
        <w:rPr/>
        <w:t>well.</w:t>
      </w:r>
      <w:r>
        <w:rPr>
          <w:spacing w:val="-7"/>
        </w:rPr>
        <w:t> </w:t>
      </w:r>
      <w:r>
        <w:rPr/>
        <w:t>The table below highlights the major repairs and maintenance work/ infrastructure upgrade works undertaken</w:t>
      </w:r>
      <w:r>
        <w:rPr>
          <w:spacing w:val="-20"/>
        </w:rPr>
        <w:t> </w:t>
      </w:r>
      <w:r>
        <w:rPr/>
        <w:t>(in</w:t>
      </w:r>
      <w:r>
        <w:rPr>
          <w:spacing w:val="-19"/>
        </w:rPr>
        <w:t> </w:t>
      </w:r>
      <w:r>
        <w:rPr/>
        <w:t>the</w:t>
      </w:r>
      <w:r>
        <w:rPr>
          <w:spacing w:val="-19"/>
        </w:rPr>
        <w:t> </w:t>
      </w:r>
      <w:r>
        <w:rPr/>
        <w:t>past</w:t>
      </w:r>
      <w:r>
        <w:rPr>
          <w:spacing w:val="-20"/>
        </w:rPr>
        <w:t> </w:t>
      </w:r>
      <w:r>
        <w:rPr/>
        <w:t>few</w:t>
      </w:r>
      <w:r>
        <w:rPr>
          <w:spacing w:val="-17"/>
        </w:rPr>
        <w:t> </w:t>
      </w:r>
      <w:r>
        <w:rPr/>
        <w:t>years)/</w:t>
      </w:r>
      <w:r>
        <w:rPr>
          <w:spacing w:val="-20"/>
        </w:rPr>
        <w:t> </w:t>
      </w:r>
      <w:r>
        <w:rPr/>
        <w:t>currently</w:t>
      </w:r>
      <w:r>
        <w:rPr>
          <w:spacing w:val="-17"/>
        </w:rPr>
        <w:t> </w:t>
      </w:r>
      <w:r>
        <w:rPr/>
        <w:t>being</w:t>
      </w:r>
      <w:r>
        <w:rPr>
          <w:spacing w:val="-20"/>
        </w:rPr>
        <w:t> </w:t>
      </w:r>
      <w:r>
        <w:rPr/>
        <w:t>undertaken</w:t>
      </w:r>
      <w:r>
        <w:rPr>
          <w:spacing w:val="-20"/>
        </w:rPr>
        <w:t> </w:t>
      </w:r>
      <w:r>
        <w:rPr/>
        <w:t>at</w:t>
      </w:r>
      <w:r>
        <w:rPr>
          <w:spacing w:val="-18"/>
        </w:rPr>
        <w:t> </w:t>
      </w:r>
      <w:r>
        <w:rPr/>
        <w:t>the</w:t>
      </w:r>
      <w:r>
        <w:rPr>
          <w:spacing w:val="-19"/>
        </w:rPr>
        <w:t> </w:t>
      </w:r>
      <w:r>
        <w:rPr/>
        <w:t>subject</w:t>
      </w:r>
      <w:r>
        <w:rPr>
          <w:spacing w:val="-20"/>
        </w:rPr>
        <w:t> </w:t>
      </w:r>
      <w:r>
        <w:rPr/>
        <w:t>development:</w:t>
      </w:r>
    </w:p>
    <w:p>
      <w:pPr>
        <w:pStyle w:val="BodyText"/>
        <w:spacing w:before="2"/>
        <w:rPr>
          <w:sz w:val="21"/>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05"/>
        <w:gridCol w:w="1962"/>
        <w:gridCol w:w="2026"/>
        <w:gridCol w:w="2193"/>
      </w:tblGrid>
      <w:tr>
        <w:trPr>
          <w:trHeight w:val="444" w:hRule="atLeast"/>
        </w:trPr>
        <w:tc>
          <w:tcPr>
            <w:tcW w:w="4305" w:type="dxa"/>
            <w:tcBorders>
              <w:top w:val="single" w:sz="6" w:space="0" w:color="69BD28"/>
              <w:bottom w:val="single" w:sz="6" w:space="0" w:color="69BD28"/>
            </w:tcBorders>
            <w:shd w:val="clear" w:color="auto" w:fill="006A4D"/>
          </w:tcPr>
          <w:p>
            <w:pPr>
              <w:pStyle w:val="TableParagraph"/>
              <w:tabs>
                <w:tab w:pos="4191" w:val="left" w:leader="none"/>
              </w:tabs>
              <w:spacing w:before="118"/>
              <w:ind w:left="1270"/>
              <w:jc w:val="left"/>
              <w:rPr>
                <w:b/>
                <w:sz w:val="18"/>
              </w:rPr>
            </w:pPr>
            <w:r>
              <w:rPr>
                <w:b/>
                <w:color w:val="FFFFFF"/>
                <w:w w:val="105"/>
                <w:sz w:val="18"/>
              </w:rPr>
              <w:t>Expense</w:t>
            </w:r>
            <w:r>
              <w:rPr>
                <w:b/>
                <w:color w:val="FFFFFF"/>
                <w:spacing w:val="16"/>
                <w:w w:val="105"/>
                <w:sz w:val="18"/>
              </w:rPr>
              <w:t> </w:t>
            </w:r>
            <w:r>
              <w:rPr>
                <w:b/>
                <w:color w:val="FFFFFF"/>
                <w:w w:val="105"/>
                <w:sz w:val="18"/>
              </w:rPr>
              <w:t>Head</w:t>
              <w:tab/>
            </w:r>
            <w:r>
              <w:rPr>
                <w:b/>
                <w:color w:val="FFFFFF"/>
                <w:w w:val="95"/>
                <w:sz w:val="18"/>
              </w:rPr>
              <w:t>T</w:t>
            </w:r>
          </w:p>
        </w:tc>
        <w:tc>
          <w:tcPr>
            <w:tcW w:w="1962" w:type="dxa"/>
            <w:tcBorders>
              <w:top w:val="single" w:sz="6" w:space="0" w:color="69BD28"/>
              <w:bottom w:val="single" w:sz="6" w:space="0" w:color="69BD28"/>
            </w:tcBorders>
            <w:shd w:val="clear" w:color="auto" w:fill="006A4D"/>
          </w:tcPr>
          <w:p>
            <w:pPr>
              <w:pStyle w:val="TableParagraph"/>
              <w:spacing w:before="118"/>
              <w:ind w:left="-13" w:right="323"/>
              <w:rPr>
                <w:b/>
                <w:sz w:val="18"/>
              </w:rPr>
            </w:pPr>
            <w:r>
              <w:rPr>
                <w:b/>
                <w:color w:val="FFFFFF"/>
                <w:w w:val="105"/>
                <w:sz w:val="18"/>
              </w:rPr>
              <w:t>otal Cost (INR</w:t>
            </w:r>
            <w:r>
              <w:rPr>
                <w:b/>
                <w:color w:val="FFFFFF"/>
                <w:spacing w:val="51"/>
                <w:w w:val="105"/>
                <w:sz w:val="18"/>
              </w:rPr>
              <w:t> </w:t>
            </w:r>
            <w:r>
              <w:rPr>
                <w:b/>
                <w:color w:val="FFFFFF"/>
                <w:spacing w:val="-6"/>
                <w:w w:val="105"/>
                <w:sz w:val="18"/>
              </w:rPr>
              <w:t>mn)</w:t>
            </w:r>
          </w:p>
        </w:tc>
        <w:tc>
          <w:tcPr>
            <w:tcW w:w="4219" w:type="dxa"/>
            <w:gridSpan w:val="2"/>
            <w:tcBorders>
              <w:top w:val="single" w:sz="6" w:space="0" w:color="69BD28"/>
              <w:bottom w:val="single" w:sz="6" w:space="0" w:color="69BD28"/>
            </w:tcBorders>
            <w:shd w:val="clear" w:color="auto" w:fill="006A4D"/>
          </w:tcPr>
          <w:p>
            <w:pPr>
              <w:pStyle w:val="TableParagraph"/>
              <w:tabs>
                <w:tab w:pos="2759" w:val="left" w:leader="none"/>
              </w:tabs>
              <w:spacing w:line="269" w:lineRule="exact" w:before="8"/>
              <w:ind w:left="140"/>
              <w:jc w:val="left"/>
              <w:rPr>
                <w:b/>
                <w:sz w:val="18"/>
              </w:rPr>
            </w:pPr>
            <w:r>
              <w:rPr>
                <w:b/>
                <w:color w:val="FFFFFF"/>
                <w:w w:val="110"/>
                <w:sz w:val="18"/>
              </w:rPr>
              <w:t>Balance Cost</w:t>
            </w:r>
            <w:r>
              <w:rPr>
                <w:b/>
                <w:color w:val="FFFFFF"/>
                <w:spacing w:val="-11"/>
                <w:w w:val="110"/>
                <w:sz w:val="18"/>
              </w:rPr>
              <w:t> </w:t>
            </w:r>
            <w:r>
              <w:rPr>
                <w:b/>
                <w:color w:val="FFFFFF"/>
                <w:w w:val="110"/>
                <w:sz w:val="18"/>
              </w:rPr>
              <w:t>(INR</w:t>
            </w:r>
            <w:r>
              <w:rPr>
                <w:b/>
                <w:color w:val="FFFFFF"/>
                <w:spacing w:val="-4"/>
                <w:w w:val="110"/>
                <w:sz w:val="18"/>
              </w:rPr>
              <w:t> </w:t>
            </w:r>
            <w:r>
              <w:rPr>
                <w:b/>
                <w:color w:val="FFFFFF"/>
                <w:w w:val="110"/>
                <w:sz w:val="18"/>
              </w:rPr>
              <w:t>mn)</w:t>
              <w:tab/>
            </w:r>
            <w:r>
              <w:rPr>
                <w:b/>
                <w:color w:val="FFFFFF"/>
                <w:w w:val="110"/>
                <w:position w:val="11"/>
                <w:sz w:val="18"/>
              </w:rPr>
              <w:t>Quarter</w:t>
            </w:r>
            <w:r>
              <w:rPr>
                <w:b/>
                <w:color w:val="FFFFFF"/>
                <w:spacing w:val="-16"/>
                <w:w w:val="110"/>
                <w:position w:val="11"/>
                <w:sz w:val="18"/>
              </w:rPr>
              <w:t> </w:t>
            </w:r>
            <w:r>
              <w:rPr>
                <w:b/>
                <w:color w:val="FFFFFF"/>
                <w:w w:val="110"/>
                <w:position w:val="11"/>
                <w:sz w:val="18"/>
              </w:rPr>
              <w:t>of</w:t>
            </w:r>
          </w:p>
          <w:p>
            <w:pPr>
              <w:pStyle w:val="TableParagraph"/>
              <w:spacing w:line="147" w:lineRule="exact"/>
              <w:ind w:left="2721"/>
              <w:jc w:val="left"/>
              <w:rPr>
                <w:b/>
                <w:sz w:val="18"/>
              </w:rPr>
            </w:pPr>
            <w:r>
              <w:rPr>
                <w:b/>
                <w:color w:val="FFFFFF"/>
                <w:w w:val="105"/>
                <w:sz w:val="18"/>
              </w:rPr>
              <w:t>Completion</w:t>
            </w:r>
          </w:p>
        </w:tc>
      </w:tr>
      <w:tr>
        <w:trPr>
          <w:trHeight w:val="296" w:hRule="atLeast"/>
        </w:trPr>
        <w:tc>
          <w:tcPr>
            <w:tcW w:w="4305" w:type="dxa"/>
            <w:tcBorders>
              <w:top w:val="single" w:sz="6" w:space="0" w:color="69BD28"/>
              <w:bottom w:val="single" w:sz="6" w:space="0" w:color="69BD28"/>
            </w:tcBorders>
          </w:tcPr>
          <w:p>
            <w:pPr>
              <w:pStyle w:val="TableParagraph"/>
              <w:spacing w:before="46"/>
              <w:ind w:left="1207"/>
              <w:jc w:val="left"/>
              <w:rPr>
                <w:sz w:val="18"/>
              </w:rPr>
            </w:pPr>
            <w:r>
              <w:rPr>
                <w:sz w:val="18"/>
              </w:rPr>
              <w:t>Operations Office</w:t>
            </w:r>
          </w:p>
        </w:tc>
        <w:tc>
          <w:tcPr>
            <w:tcW w:w="1962" w:type="dxa"/>
            <w:tcBorders>
              <w:top w:val="single" w:sz="6" w:space="0" w:color="69BD28"/>
              <w:bottom w:val="single" w:sz="6" w:space="0" w:color="69BD28"/>
            </w:tcBorders>
          </w:tcPr>
          <w:p>
            <w:pPr>
              <w:pStyle w:val="TableParagraph"/>
              <w:spacing w:before="46"/>
              <w:ind w:left="506" w:right="949"/>
              <w:rPr>
                <w:sz w:val="18"/>
              </w:rPr>
            </w:pPr>
            <w:r>
              <w:rPr>
                <w:w w:val="105"/>
                <w:sz w:val="18"/>
              </w:rPr>
              <w:t>7.35</w:t>
            </w:r>
          </w:p>
        </w:tc>
        <w:tc>
          <w:tcPr>
            <w:tcW w:w="2026" w:type="dxa"/>
            <w:tcBorders>
              <w:top w:val="single" w:sz="6" w:space="0" w:color="69BD28"/>
              <w:bottom w:val="single" w:sz="6" w:space="0" w:color="69BD28"/>
            </w:tcBorders>
          </w:tcPr>
          <w:p>
            <w:pPr>
              <w:pStyle w:val="TableParagraph"/>
              <w:spacing w:before="46"/>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6"/>
              <w:ind w:right="460"/>
              <w:jc w:val="right"/>
              <w:rPr>
                <w:sz w:val="18"/>
              </w:rPr>
            </w:pPr>
            <w:r>
              <w:rPr>
                <w:w w:val="105"/>
                <w:sz w:val="18"/>
              </w:rPr>
              <w:t>Q2, FY 2017</w:t>
            </w:r>
          </w:p>
        </w:tc>
      </w:tr>
      <w:tr>
        <w:trPr>
          <w:trHeight w:val="294" w:hRule="atLeast"/>
        </w:trPr>
        <w:tc>
          <w:tcPr>
            <w:tcW w:w="4305" w:type="dxa"/>
            <w:tcBorders>
              <w:top w:val="single" w:sz="6" w:space="0" w:color="69BD28"/>
              <w:bottom w:val="single" w:sz="6" w:space="0" w:color="69BD28"/>
            </w:tcBorders>
          </w:tcPr>
          <w:p>
            <w:pPr>
              <w:pStyle w:val="TableParagraph"/>
              <w:spacing w:before="44"/>
              <w:ind w:left="1397"/>
              <w:jc w:val="left"/>
              <w:rPr>
                <w:sz w:val="18"/>
              </w:rPr>
            </w:pPr>
            <w:r>
              <w:rPr>
                <w:sz w:val="18"/>
              </w:rPr>
              <w:t>Retail Phase I</w:t>
            </w:r>
          </w:p>
        </w:tc>
        <w:tc>
          <w:tcPr>
            <w:tcW w:w="1962" w:type="dxa"/>
            <w:tcBorders>
              <w:top w:val="single" w:sz="6" w:space="0" w:color="69BD28"/>
              <w:bottom w:val="single" w:sz="6" w:space="0" w:color="69BD28"/>
            </w:tcBorders>
          </w:tcPr>
          <w:p>
            <w:pPr>
              <w:pStyle w:val="TableParagraph"/>
              <w:spacing w:before="44"/>
              <w:ind w:left="506" w:right="949"/>
              <w:rPr>
                <w:sz w:val="18"/>
              </w:rPr>
            </w:pPr>
            <w:r>
              <w:rPr>
                <w:w w:val="105"/>
                <w:sz w:val="18"/>
              </w:rPr>
              <w:t>10.39</w:t>
            </w:r>
          </w:p>
        </w:tc>
        <w:tc>
          <w:tcPr>
            <w:tcW w:w="2026" w:type="dxa"/>
            <w:tcBorders>
              <w:top w:val="single" w:sz="6" w:space="0" w:color="69BD28"/>
              <w:bottom w:val="single" w:sz="6" w:space="0" w:color="69BD28"/>
            </w:tcBorders>
          </w:tcPr>
          <w:p>
            <w:pPr>
              <w:pStyle w:val="TableParagraph"/>
              <w:spacing w:before="44"/>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4"/>
              <w:ind w:right="460"/>
              <w:jc w:val="right"/>
              <w:rPr>
                <w:sz w:val="18"/>
              </w:rPr>
            </w:pPr>
            <w:r>
              <w:rPr>
                <w:w w:val="105"/>
                <w:sz w:val="18"/>
              </w:rPr>
              <w:t>Q3, FY 2017</w:t>
            </w:r>
          </w:p>
        </w:tc>
      </w:tr>
      <w:tr>
        <w:trPr>
          <w:trHeight w:val="297" w:hRule="atLeast"/>
        </w:trPr>
        <w:tc>
          <w:tcPr>
            <w:tcW w:w="4305" w:type="dxa"/>
            <w:tcBorders>
              <w:top w:val="single" w:sz="6" w:space="0" w:color="69BD28"/>
              <w:bottom w:val="single" w:sz="6" w:space="0" w:color="69BD28"/>
            </w:tcBorders>
          </w:tcPr>
          <w:p>
            <w:pPr>
              <w:pStyle w:val="TableParagraph"/>
              <w:spacing w:before="46"/>
              <w:ind w:left="43"/>
              <w:jc w:val="left"/>
              <w:rPr>
                <w:sz w:val="18"/>
              </w:rPr>
            </w:pPr>
            <w:r>
              <w:rPr>
                <w:sz w:val="18"/>
              </w:rPr>
              <w:t>Installation of New Elevators in Towers C and D</w:t>
            </w:r>
          </w:p>
        </w:tc>
        <w:tc>
          <w:tcPr>
            <w:tcW w:w="1962" w:type="dxa"/>
            <w:tcBorders>
              <w:top w:val="single" w:sz="6" w:space="0" w:color="69BD28"/>
              <w:bottom w:val="single" w:sz="6" w:space="0" w:color="69BD28"/>
            </w:tcBorders>
          </w:tcPr>
          <w:p>
            <w:pPr>
              <w:pStyle w:val="TableParagraph"/>
              <w:spacing w:before="46"/>
              <w:ind w:left="506" w:right="949"/>
              <w:rPr>
                <w:sz w:val="18"/>
              </w:rPr>
            </w:pPr>
            <w:r>
              <w:rPr>
                <w:w w:val="105"/>
                <w:sz w:val="18"/>
              </w:rPr>
              <w:t>12.83</w:t>
            </w:r>
          </w:p>
        </w:tc>
        <w:tc>
          <w:tcPr>
            <w:tcW w:w="2026" w:type="dxa"/>
            <w:tcBorders>
              <w:top w:val="single" w:sz="6" w:space="0" w:color="69BD28"/>
              <w:bottom w:val="single" w:sz="6" w:space="0" w:color="69BD28"/>
            </w:tcBorders>
          </w:tcPr>
          <w:p>
            <w:pPr>
              <w:pStyle w:val="TableParagraph"/>
              <w:spacing w:before="46"/>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6"/>
              <w:ind w:right="460"/>
              <w:jc w:val="right"/>
              <w:rPr>
                <w:sz w:val="18"/>
              </w:rPr>
            </w:pPr>
            <w:r>
              <w:rPr>
                <w:w w:val="105"/>
                <w:sz w:val="18"/>
              </w:rPr>
              <w:t>Q4, FY 2017</w:t>
            </w:r>
          </w:p>
        </w:tc>
      </w:tr>
      <w:tr>
        <w:trPr>
          <w:trHeight w:val="294" w:hRule="atLeast"/>
        </w:trPr>
        <w:tc>
          <w:tcPr>
            <w:tcW w:w="4305" w:type="dxa"/>
            <w:tcBorders>
              <w:top w:val="single" w:sz="6" w:space="0" w:color="69BD28"/>
              <w:bottom w:val="single" w:sz="6" w:space="0" w:color="69BD28"/>
            </w:tcBorders>
          </w:tcPr>
          <w:p>
            <w:pPr>
              <w:pStyle w:val="TableParagraph"/>
              <w:spacing w:before="44"/>
              <w:ind w:left="1210"/>
              <w:jc w:val="left"/>
              <w:rPr>
                <w:sz w:val="18"/>
              </w:rPr>
            </w:pPr>
            <w:r>
              <w:rPr>
                <w:sz w:val="18"/>
              </w:rPr>
              <w:t>Exterior paintwork</w:t>
            </w:r>
          </w:p>
        </w:tc>
        <w:tc>
          <w:tcPr>
            <w:tcW w:w="1962" w:type="dxa"/>
            <w:tcBorders>
              <w:top w:val="single" w:sz="6" w:space="0" w:color="69BD28"/>
              <w:bottom w:val="single" w:sz="6" w:space="0" w:color="69BD28"/>
            </w:tcBorders>
          </w:tcPr>
          <w:p>
            <w:pPr>
              <w:pStyle w:val="TableParagraph"/>
              <w:spacing w:before="44"/>
              <w:ind w:left="506" w:right="949"/>
              <w:rPr>
                <w:sz w:val="18"/>
              </w:rPr>
            </w:pPr>
            <w:r>
              <w:rPr>
                <w:w w:val="105"/>
                <w:sz w:val="18"/>
              </w:rPr>
              <w:t>3.13</w:t>
            </w:r>
          </w:p>
        </w:tc>
        <w:tc>
          <w:tcPr>
            <w:tcW w:w="2026" w:type="dxa"/>
            <w:tcBorders>
              <w:top w:val="single" w:sz="6" w:space="0" w:color="69BD28"/>
              <w:bottom w:val="single" w:sz="6" w:space="0" w:color="69BD28"/>
            </w:tcBorders>
          </w:tcPr>
          <w:p>
            <w:pPr>
              <w:pStyle w:val="TableParagraph"/>
              <w:spacing w:before="44"/>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4"/>
              <w:ind w:right="460"/>
              <w:jc w:val="right"/>
              <w:rPr>
                <w:sz w:val="18"/>
              </w:rPr>
            </w:pPr>
            <w:r>
              <w:rPr>
                <w:w w:val="105"/>
                <w:sz w:val="18"/>
              </w:rPr>
              <w:t>Q1, FY 2018</w:t>
            </w:r>
          </w:p>
        </w:tc>
      </w:tr>
      <w:tr>
        <w:trPr>
          <w:trHeight w:val="296" w:hRule="atLeast"/>
        </w:trPr>
        <w:tc>
          <w:tcPr>
            <w:tcW w:w="4305" w:type="dxa"/>
            <w:tcBorders>
              <w:top w:val="single" w:sz="6" w:space="0" w:color="69BD28"/>
              <w:bottom w:val="single" w:sz="6" w:space="0" w:color="69BD28"/>
            </w:tcBorders>
          </w:tcPr>
          <w:p>
            <w:pPr>
              <w:pStyle w:val="TableParagraph"/>
              <w:spacing w:before="46"/>
              <w:ind w:left="1260"/>
              <w:jc w:val="left"/>
              <w:rPr>
                <w:sz w:val="18"/>
              </w:rPr>
            </w:pPr>
            <w:r>
              <w:rPr>
                <w:sz w:val="18"/>
              </w:rPr>
              <w:t>Fiserv Relocation</w:t>
            </w:r>
          </w:p>
        </w:tc>
        <w:tc>
          <w:tcPr>
            <w:tcW w:w="1962" w:type="dxa"/>
            <w:tcBorders>
              <w:top w:val="single" w:sz="6" w:space="0" w:color="69BD28"/>
              <w:bottom w:val="single" w:sz="6" w:space="0" w:color="69BD28"/>
            </w:tcBorders>
          </w:tcPr>
          <w:p>
            <w:pPr>
              <w:pStyle w:val="TableParagraph"/>
              <w:spacing w:before="46"/>
              <w:ind w:left="506" w:right="949"/>
              <w:rPr>
                <w:sz w:val="18"/>
              </w:rPr>
            </w:pPr>
            <w:r>
              <w:rPr>
                <w:w w:val="105"/>
                <w:sz w:val="18"/>
              </w:rPr>
              <w:t>9.24</w:t>
            </w:r>
          </w:p>
        </w:tc>
        <w:tc>
          <w:tcPr>
            <w:tcW w:w="2026" w:type="dxa"/>
            <w:tcBorders>
              <w:top w:val="single" w:sz="6" w:space="0" w:color="69BD28"/>
              <w:bottom w:val="single" w:sz="6" w:space="0" w:color="69BD28"/>
            </w:tcBorders>
          </w:tcPr>
          <w:p>
            <w:pPr>
              <w:pStyle w:val="TableParagraph"/>
              <w:spacing w:before="46"/>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6"/>
              <w:ind w:right="461"/>
              <w:jc w:val="right"/>
              <w:rPr>
                <w:sz w:val="18"/>
              </w:rPr>
            </w:pPr>
            <w:r>
              <w:rPr>
                <w:w w:val="105"/>
                <w:sz w:val="18"/>
              </w:rPr>
              <w:t>Q3, FY 2018</w:t>
            </w:r>
          </w:p>
        </w:tc>
      </w:tr>
      <w:tr>
        <w:trPr>
          <w:trHeight w:val="294" w:hRule="atLeast"/>
        </w:trPr>
        <w:tc>
          <w:tcPr>
            <w:tcW w:w="4305" w:type="dxa"/>
            <w:tcBorders>
              <w:top w:val="single" w:sz="6" w:space="0" w:color="69BD28"/>
              <w:bottom w:val="single" w:sz="6" w:space="0" w:color="69BD28"/>
            </w:tcBorders>
          </w:tcPr>
          <w:p>
            <w:pPr>
              <w:pStyle w:val="TableParagraph"/>
              <w:spacing w:before="44"/>
              <w:ind w:left="1258"/>
              <w:jc w:val="left"/>
              <w:rPr>
                <w:sz w:val="18"/>
              </w:rPr>
            </w:pPr>
            <w:r>
              <w:rPr>
                <w:sz w:val="18"/>
              </w:rPr>
              <w:t>Looks Relocation</w:t>
            </w:r>
          </w:p>
        </w:tc>
        <w:tc>
          <w:tcPr>
            <w:tcW w:w="1962" w:type="dxa"/>
            <w:tcBorders>
              <w:top w:val="single" w:sz="6" w:space="0" w:color="69BD28"/>
              <w:bottom w:val="single" w:sz="6" w:space="0" w:color="69BD28"/>
            </w:tcBorders>
          </w:tcPr>
          <w:p>
            <w:pPr>
              <w:pStyle w:val="TableParagraph"/>
              <w:spacing w:before="44"/>
              <w:ind w:left="506" w:right="949"/>
              <w:rPr>
                <w:sz w:val="18"/>
              </w:rPr>
            </w:pPr>
            <w:r>
              <w:rPr>
                <w:w w:val="105"/>
                <w:sz w:val="18"/>
              </w:rPr>
              <w:t>1.50</w:t>
            </w:r>
          </w:p>
        </w:tc>
        <w:tc>
          <w:tcPr>
            <w:tcW w:w="2026" w:type="dxa"/>
            <w:tcBorders>
              <w:top w:val="single" w:sz="6" w:space="0" w:color="69BD28"/>
              <w:bottom w:val="single" w:sz="6" w:space="0" w:color="69BD28"/>
            </w:tcBorders>
          </w:tcPr>
          <w:p>
            <w:pPr>
              <w:pStyle w:val="TableParagraph"/>
              <w:spacing w:before="44"/>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4"/>
              <w:ind w:right="460"/>
              <w:jc w:val="right"/>
              <w:rPr>
                <w:sz w:val="18"/>
              </w:rPr>
            </w:pPr>
            <w:r>
              <w:rPr>
                <w:w w:val="105"/>
                <w:sz w:val="18"/>
              </w:rPr>
              <w:t>Q3, FY 2018</w:t>
            </w:r>
          </w:p>
        </w:tc>
      </w:tr>
      <w:tr>
        <w:trPr>
          <w:trHeight w:val="297" w:hRule="atLeast"/>
        </w:trPr>
        <w:tc>
          <w:tcPr>
            <w:tcW w:w="4305" w:type="dxa"/>
            <w:tcBorders>
              <w:top w:val="single" w:sz="6" w:space="0" w:color="69BD28"/>
              <w:bottom w:val="single" w:sz="6" w:space="0" w:color="69BD28"/>
            </w:tcBorders>
          </w:tcPr>
          <w:p>
            <w:pPr>
              <w:pStyle w:val="TableParagraph"/>
              <w:spacing w:before="46"/>
              <w:ind w:left="1373"/>
              <w:jc w:val="left"/>
              <w:rPr>
                <w:sz w:val="18"/>
              </w:rPr>
            </w:pPr>
            <w:r>
              <w:rPr>
                <w:sz w:val="18"/>
              </w:rPr>
              <w:t>Retail Phase II</w:t>
            </w:r>
          </w:p>
        </w:tc>
        <w:tc>
          <w:tcPr>
            <w:tcW w:w="1962" w:type="dxa"/>
            <w:tcBorders>
              <w:top w:val="single" w:sz="6" w:space="0" w:color="69BD28"/>
              <w:bottom w:val="single" w:sz="6" w:space="0" w:color="69BD28"/>
            </w:tcBorders>
          </w:tcPr>
          <w:p>
            <w:pPr>
              <w:pStyle w:val="TableParagraph"/>
              <w:spacing w:before="46"/>
              <w:ind w:left="506" w:right="949"/>
              <w:rPr>
                <w:sz w:val="18"/>
              </w:rPr>
            </w:pPr>
            <w:r>
              <w:rPr>
                <w:w w:val="105"/>
                <w:sz w:val="18"/>
              </w:rPr>
              <w:t>98.73</w:t>
            </w:r>
          </w:p>
        </w:tc>
        <w:tc>
          <w:tcPr>
            <w:tcW w:w="2026" w:type="dxa"/>
            <w:tcBorders>
              <w:top w:val="single" w:sz="6" w:space="0" w:color="69BD28"/>
              <w:bottom w:val="single" w:sz="6" w:space="0" w:color="69BD28"/>
            </w:tcBorders>
          </w:tcPr>
          <w:p>
            <w:pPr>
              <w:pStyle w:val="TableParagraph"/>
              <w:spacing w:before="46"/>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6"/>
              <w:ind w:right="460"/>
              <w:jc w:val="right"/>
              <w:rPr>
                <w:sz w:val="18"/>
              </w:rPr>
            </w:pPr>
            <w:r>
              <w:rPr>
                <w:w w:val="105"/>
                <w:sz w:val="18"/>
              </w:rPr>
              <w:t>Q3, FY 2018</w:t>
            </w:r>
          </w:p>
        </w:tc>
      </w:tr>
      <w:tr>
        <w:trPr>
          <w:trHeight w:val="294" w:hRule="atLeast"/>
        </w:trPr>
        <w:tc>
          <w:tcPr>
            <w:tcW w:w="4305" w:type="dxa"/>
            <w:tcBorders>
              <w:top w:val="single" w:sz="6" w:space="0" w:color="69BD28"/>
              <w:bottom w:val="single" w:sz="6" w:space="0" w:color="69BD28"/>
            </w:tcBorders>
          </w:tcPr>
          <w:p>
            <w:pPr>
              <w:pStyle w:val="TableParagraph"/>
              <w:spacing w:before="44"/>
              <w:ind w:left="475"/>
              <w:jc w:val="left"/>
              <w:rPr>
                <w:sz w:val="18"/>
              </w:rPr>
            </w:pPr>
            <w:r>
              <w:rPr>
                <w:sz w:val="18"/>
              </w:rPr>
              <w:t>Structural Strengthening of all towers</w:t>
            </w:r>
          </w:p>
        </w:tc>
        <w:tc>
          <w:tcPr>
            <w:tcW w:w="1962" w:type="dxa"/>
            <w:tcBorders>
              <w:top w:val="single" w:sz="6" w:space="0" w:color="69BD28"/>
              <w:bottom w:val="single" w:sz="6" w:space="0" w:color="69BD28"/>
            </w:tcBorders>
          </w:tcPr>
          <w:p>
            <w:pPr>
              <w:pStyle w:val="TableParagraph"/>
              <w:spacing w:before="44"/>
              <w:ind w:left="506" w:right="949"/>
              <w:rPr>
                <w:sz w:val="18"/>
              </w:rPr>
            </w:pPr>
            <w:r>
              <w:rPr>
                <w:w w:val="105"/>
                <w:sz w:val="18"/>
              </w:rPr>
              <w:t>6.75</w:t>
            </w:r>
          </w:p>
        </w:tc>
        <w:tc>
          <w:tcPr>
            <w:tcW w:w="2026" w:type="dxa"/>
            <w:tcBorders>
              <w:top w:val="single" w:sz="6" w:space="0" w:color="69BD28"/>
              <w:bottom w:val="single" w:sz="6" w:space="0" w:color="69BD28"/>
            </w:tcBorders>
          </w:tcPr>
          <w:p>
            <w:pPr>
              <w:pStyle w:val="TableParagraph"/>
              <w:spacing w:before="44"/>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4"/>
              <w:ind w:right="460"/>
              <w:jc w:val="right"/>
              <w:rPr>
                <w:sz w:val="18"/>
              </w:rPr>
            </w:pPr>
            <w:r>
              <w:rPr>
                <w:w w:val="105"/>
                <w:sz w:val="18"/>
              </w:rPr>
              <w:t>Q3, FY 2018</w:t>
            </w:r>
          </w:p>
        </w:tc>
      </w:tr>
      <w:tr>
        <w:trPr>
          <w:trHeight w:val="297" w:hRule="atLeast"/>
        </w:trPr>
        <w:tc>
          <w:tcPr>
            <w:tcW w:w="4305" w:type="dxa"/>
            <w:tcBorders>
              <w:top w:val="single" w:sz="6" w:space="0" w:color="69BD28"/>
              <w:bottom w:val="single" w:sz="6" w:space="0" w:color="69BD28"/>
            </w:tcBorders>
          </w:tcPr>
          <w:p>
            <w:pPr>
              <w:pStyle w:val="TableParagraph"/>
              <w:spacing w:before="46"/>
              <w:ind w:left="1575" w:right="2048"/>
              <w:rPr>
                <w:sz w:val="18"/>
              </w:rPr>
            </w:pPr>
            <w:r>
              <w:rPr>
                <w:w w:val="105"/>
                <w:sz w:val="18"/>
              </w:rPr>
              <w:t>Signage</w:t>
            </w:r>
          </w:p>
        </w:tc>
        <w:tc>
          <w:tcPr>
            <w:tcW w:w="1962" w:type="dxa"/>
            <w:tcBorders>
              <w:top w:val="single" w:sz="6" w:space="0" w:color="69BD28"/>
              <w:bottom w:val="single" w:sz="6" w:space="0" w:color="69BD28"/>
            </w:tcBorders>
          </w:tcPr>
          <w:p>
            <w:pPr>
              <w:pStyle w:val="TableParagraph"/>
              <w:spacing w:before="46"/>
              <w:ind w:left="506" w:right="949"/>
              <w:rPr>
                <w:sz w:val="18"/>
              </w:rPr>
            </w:pPr>
            <w:r>
              <w:rPr>
                <w:w w:val="105"/>
                <w:sz w:val="18"/>
              </w:rPr>
              <w:t>6.32</w:t>
            </w:r>
          </w:p>
        </w:tc>
        <w:tc>
          <w:tcPr>
            <w:tcW w:w="2026" w:type="dxa"/>
            <w:tcBorders>
              <w:top w:val="single" w:sz="6" w:space="0" w:color="69BD28"/>
              <w:bottom w:val="single" w:sz="6" w:space="0" w:color="69BD28"/>
            </w:tcBorders>
          </w:tcPr>
          <w:p>
            <w:pPr>
              <w:pStyle w:val="TableParagraph"/>
              <w:spacing w:before="46"/>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6"/>
              <w:ind w:right="460"/>
              <w:jc w:val="right"/>
              <w:rPr>
                <w:sz w:val="18"/>
              </w:rPr>
            </w:pPr>
            <w:r>
              <w:rPr>
                <w:w w:val="105"/>
                <w:sz w:val="18"/>
              </w:rPr>
              <w:t>Q3, FY 2018</w:t>
            </w:r>
          </w:p>
        </w:tc>
      </w:tr>
      <w:tr>
        <w:trPr>
          <w:trHeight w:val="294" w:hRule="atLeast"/>
        </w:trPr>
        <w:tc>
          <w:tcPr>
            <w:tcW w:w="4305" w:type="dxa"/>
            <w:tcBorders>
              <w:top w:val="single" w:sz="6" w:space="0" w:color="69BD28"/>
              <w:bottom w:val="single" w:sz="6" w:space="0" w:color="69BD28"/>
            </w:tcBorders>
          </w:tcPr>
          <w:p>
            <w:pPr>
              <w:pStyle w:val="TableParagraph"/>
              <w:spacing w:before="44"/>
              <w:ind w:left="1325"/>
              <w:jc w:val="left"/>
              <w:rPr>
                <w:sz w:val="18"/>
              </w:rPr>
            </w:pPr>
            <w:r>
              <w:rPr>
                <w:sz w:val="18"/>
              </w:rPr>
              <w:t>Water Proofing</w:t>
            </w:r>
          </w:p>
        </w:tc>
        <w:tc>
          <w:tcPr>
            <w:tcW w:w="1962" w:type="dxa"/>
            <w:tcBorders>
              <w:top w:val="single" w:sz="6" w:space="0" w:color="69BD28"/>
              <w:bottom w:val="single" w:sz="6" w:space="0" w:color="69BD28"/>
            </w:tcBorders>
          </w:tcPr>
          <w:p>
            <w:pPr>
              <w:pStyle w:val="TableParagraph"/>
              <w:spacing w:before="44"/>
              <w:ind w:left="506" w:right="949"/>
              <w:rPr>
                <w:sz w:val="18"/>
              </w:rPr>
            </w:pPr>
            <w:r>
              <w:rPr>
                <w:w w:val="105"/>
                <w:sz w:val="18"/>
              </w:rPr>
              <w:t>56.05</w:t>
            </w:r>
          </w:p>
        </w:tc>
        <w:tc>
          <w:tcPr>
            <w:tcW w:w="2026" w:type="dxa"/>
            <w:tcBorders>
              <w:top w:val="single" w:sz="6" w:space="0" w:color="69BD28"/>
              <w:bottom w:val="single" w:sz="6" w:space="0" w:color="69BD28"/>
            </w:tcBorders>
          </w:tcPr>
          <w:p>
            <w:pPr>
              <w:pStyle w:val="TableParagraph"/>
              <w:spacing w:before="44"/>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4"/>
              <w:ind w:right="460"/>
              <w:jc w:val="right"/>
              <w:rPr>
                <w:sz w:val="18"/>
              </w:rPr>
            </w:pPr>
            <w:r>
              <w:rPr>
                <w:w w:val="105"/>
                <w:sz w:val="18"/>
              </w:rPr>
              <w:t>Q3, FY 2018</w:t>
            </w:r>
          </w:p>
        </w:tc>
      </w:tr>
      <w:tr>
        <w:trPr>
          <w:trHeight w:val="297" w:hRule="atLeast"/>
        </w:trPr>
        <w:tc>
          <w:tcPr>
            <w:tcW w:w="4305" w:type="dxa"/>
            <w:tcBorders>
              <w:top w:val="single" w:sz="6" w:space="0" w:color="69BD28"/>
              <w:bottom w:val="single" w:sz="6" w:space="0" w:color="69BD28"/>
            </w:tcBorders>
          </w:tcPr>
          <w:p>
            <w:pPr>
              <w:pStyle w:val="TableParagraph"/>
              <w:spacing w:before="47"/>
              <w:ind w:left="1008"/>
              <w:jc w:val="left"/>
              <w:rPr>
                <w:sz w:val="18"/>
              </w:rPr>
            </w:pPr>
            <w:r>
              <w:rPr>
                <w:sz w:val="18"/>
              </w:rPr>
              <w:t>Basement Upgradation</w:t>
            </w:r>
          </w:p>
        </w:tc>
        <w:tc>
          <w:tcPr>
            <w:tcW w:w="1962" w:type="dxa"/>
            <w:tcBorders>
              <w:top w:val="single" w:sz="6" w:space="0" w:color="69BD28"/>
              <w:bottom w:val="single" w:sz="6" w:space="0" w:color="69BD28"/>
            </w:tcBorders>
          </w:tcPr>
          <w:p>
            <w:pPr>
              <w:pStyle w:val="TableParagraph"/>
              <w:spacing w:before="47"/>
              <w:ind w:left="506" w:right="949"/>
              <w:rPr>
                <w:sz w:val="18"/>
              </w:rPr>
            </w:pPr>
            <w:r>
              <w:rPr>
                <w:w w:val="105"/>
                <w:sz w:val="18"/>
              </w:rPr>
              <w:t>5.60</w:t>
            </w:r>
          </w:p>
        </w:tc>
        <w:tc>
          <w:tcPr>
            <w:tcW w:w="2026" w:type="dxa"/>
            <w:tcBorders>
              <w:top w:val="single" w:sz="6" w:space="0" w:color="69BD28"/>
              <w:bottom w:val="single" w:sz="6" w:space="0" w:color="69BD28"/>
            </w:tcBorders>
          </w:tcPr>
          <w:p>
            <w:pPr>
              <w:pStyle w:val="TableParagraph"/>
              <w:spacing w:before="47"/>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7"/>
              <w:ind w:right="460"/>
              <w:jc w:val="right"/>
              <w:rPr>
                <w:sz w:val="18"/>
              </w:rPr>
            </w:pPr>
            <w:r>
              <w:rPr>
                <w:w w:val="105"/>
                <w:sz w:val="18"/>
              </w:rPr>
              <w:t>Q4, FY 2018</w:t>
            </w:r>
          </w:p>
        </w:tc>
      </w:tr>
      <w:tr>
        <w:trPr>
          <w:trHeight w:val="294" w:hRule="atLeast"/>
        </w:trPr>
        <w:tc>
          <w:tcPr>
            <w:tcW w:w="4305" w:type="dxa"/>
            <w:tcBorders>
              <w:top w:val="single" w:sz="6" w:space="0" w:color="69BD28"/>
              <w:bottom w:val="single" w:sz="6" w:space="0" w:color="69BD28"/>
            </w:tcBorders>
          </w:tcPr>
          <w:p>
            <w:pPr>
              <w:pStyle w:val="TableParagraph"/>
              <w:spacing w:before="44"/>
              <w:ind w:left="1205"/>
              <w:jc w:val="left"/>
              <w:rPr>
                <w:sz w:val="18"/>
              </w:rPr>
            </w:pPr>
            <w:r>
              <w:rPr>
                <w:sz w:val="18"/>
              </w:rPr>
              <w:t>Central Courtyard</w:t>
            </w:r>
          </w:p>
        </w:tc>
        <w:tc>
          <w:tcPr>
            <w:tcW w:w="1962" w:type="dxa"/>
            <w:tcBorders>
              <w:top w:val="single" w:sz="6" w:space="0" w:color="69BD28"/>
              <w:bottom w:val="single" w:sz="6" w:space="0" w:color="69BD28"/>
            </w:tcBorders>
          </w:tcPr>
          <w:p>
            <w:pPr>
              <w:pStyle w:val="TableParagraph"/>
              <w:spacing w:before="44"/>
              <w:ind w:left="506" w:right="949"/>
              <w:rPr>
                <w:sz w:val="18"/>
              </w:rPr>
            </w:pPr>
            <w:r>
              <w:rPr>
                <w:w w:val="105"/>
                <w:sz w:val="18"/>
              </w:rPr>
              <w:t>34.26</w:t>
            </w:r>
          </w:p>
        </w:tc>
        <w:tc>
          <w:tcPr>
            <w:tcW w:w="2026" w:type="dxa"/>
            <w:tcBorders>
              <w:top w:val="single" w:sz="6" w:space="0" w:color="69BD28"/>
              <w:bottom w:val="single" w:sz="6" w:space="0" w:color="69BD28"/>
            </w:tcBorders>
          </w:tcPr>
          <w:p>
            <w:pPr>
              <w:pStyle w:val="TableParagraph"/>
              <w:spacing w:before="44"/>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4"/>
              <w:ind w:right="460"/>
              <w:jc w:val="right"/>
              <w:rPr>
                <w:sz w:val="18"/>
              </w:rPr>
            </w:pPr>
            <w:r>
              <w:rPr>
                <w:w w:val="105"/>
                <w:sz w:val="18"/>
              </w:rPr>
              <w:t>Q4, FY 2018</w:t>
            </w:r>
          </w:p>
        </w:tc>
      </w:tr>
      <w:tr>
        <w:trPr>
          <w:trHeight w:val="297" w:hRule="atLeast"/>
        </w:trPr>
        <w:tc>
          <w:tcPr>
            <w:tcW w:w="4305" w:type="dxa"/>
            <w:tcBorders>
              <w:top w:val="single" w:sz="6" w:space="0" w:color="69BD28"/>
              <w:bottom w:val="single" w:sz="6" w:space="0" w:color="69BD28"/>
            </w:tcBorders>
          </w:tcPr>
          <w:p>
            <w:pPr>
              <w:pStyle w:val="TableParagraph"/>
              <w:spacing w:before="46"/>
              <w:ind w:left="1056"/>
              <w:jc w:val="left"/>
              <w:rPr>
                <w:sz w:val="18"/>
              </w:rPr>
            </w:pPr>
            <w:r>
              <w:rPr>
                <w:sz w:val="18"/>
              </w:rPr>
              <w:t>DG Pipe Replacement</w:t>
            </w:r>
          </w:p>
        </w:tc>
        <w:tc>
          <w:tcPr>
            <w:tcW w:w="1962" w:type="dxa"/>
            <w:tcBorders>
              <w:top w:val="single" w:sz="6" w:space="0" w:color="69BD28"/>
              <w:bottom w:val="single" w:sz="6" w:space="0" w:color="69BD28"/>
            </w:tcBorders>
          </w:tcPr>
          <w:p>
            <w:pPr>
              <w:pStyle w:val="TableParagraph"/>
              <w:spacing w:before="46"/>
              <w:ind w:left="506" w:right="949"/>
              <w:rPr>
                <w:sz w:val="18"/>
              </w:rPr>
            </w:pPr>
            <w:r>
              <w:rPr>
                <w:w w:val="105"/>
                <w:sz w:val="18"/>
              </w:rPr>
              <w:t>3.49</w:t>
            </w:r>
          </w:p>
        </w:tc>
        <w:tc>
          <w:tcPr>
            <w:tcW w:w="2026" w:type="dxa"/>
            <w:tcBorders>
              <w:top w:val="single" w:sz="6" w:space="0" w:color="69BD28"/>
              <w:bottom w:val="single" w:sz="6" w:space="0" w:color="69BD28"/>
            </w:tcBorders>
          </w:tcPr>
          <w:p>
            <w:pPr>
              <w:pStyle w:val="TableParagraph"/>
              <w:spacing w:before="46"/>
              <w:ind w:left="279"/>
              <w:rPr>
                <w:sz w:val="18"/>
              </w:rPr>
            </w:pPr>
            <w:r>
              <w:rPr>
                <w:w w:val="99"/>
                <w:sz w:val="18"/>
              </w:rPr>
              <w:t>-</w:t>
            </w:r>
          </w:p>
        </w:tc>
        <w:tc>
          <w:tcPr>
            <w:tcW w:w="2193" w:type="dxa"/>
            <w:tcBorders>
              <w:top w:val="single" w:sz="6" w:space="0" w:color="69BD28"/>
              <w:bottom w:val="single" w:sz="6" w:space="0" w:color="69BD28"/>
            </w:tcBorders>
          </w:tcPr>
          <w:p>
            <w:pPr>
              <w:pStyle w:val="TableParagraph"/>
              <w:spacing w:before="46"/>
              <w:ind w:right="460"/>
              <w:jc w:val="right"/>
              <w:rPr>
                <w:sz w:val="18"/>
              </w:rPr>
            </w:pPr>
            <w:r>
              <w:rPr>
                <w:w w:val="105"/>
                <w:sz w:val="18"/>
              </w:rPr>
              <w:t>Q4, FY 2018</w:t>
            </w:r>
          </w:p>
        </w:tc>
      </w:tr>
      <w:tr>
        <w:trPr>
          <w:trHeight w:val="296" w:hRule="atLeast"/>
        </w:trPr>
        <w:tc>
          <w:tcPr>
            <w:tcW w:w="4305" w:type="dxa"/>
            <w:tcBorders>
              <w:top w:val="single" w:sz="6" w:space="0" w:color="69BD28"/>
              <w:bottom w:val="single" w:sz="6" w:space="0" w:color="69BD28"/>
            </w:tcBorders>
          </w:tcPr>
          <w:p>
            <w:pPr>
              <w:pStyle w:val="TableParagraph"/>
              <w:spacing w:before="44"/>
              <w:ind w:left="1116"/>
              <w:jc w:val="left"/>
              <w:rPr>
                <w:sz w:val="18"/>
              </w:rPr>
            </w:pPr>
            <w:r>
              <w:rPr>
                <w:sz w:val="18"/>
              </w:rPr>
              <w:t>Signage Rebranding</w:t>
            </w:r>
          </w:p>
        </w:tc>
        <w:tc>
          <w:tcPr>
            <w:tcW w:w="1962" w:type="dxa"/>
            <w:tcBorders>
              <w:top w:val="single" w:sz="6" w:space="0" w:color="69BD28"/>
              <w:bottom w:val="single" w:sz="6" w:space="0" w:color="69BD28"/>
            </w:tcBorders>
          </w:tcPr>
          <w:p>
            <w:pPr>
              <w:pStyle w:val="TableParagraph"/>
              <w:spacing w:before="44"/>
              <w:ind w:left="506" w:right="949"/>
              <w:rPr>
                <w:sz w:val="18"/>
              </w:rPr>
            </w:pPr>
            <w:r>
              <w:rPr>
                <w:w w:val="105"/>
                <w:sz w:val="18"/>
              </w:rPr>
              <w:t>8.02</w:t>
            </w:r>
          </w:p>
        </w:tc>
        <w:tc>
          <w:tcPr>
            <w:tcW w:w="2026" w:type="dxa"/>
            <w:tcBorders>
              <w:top w:val="single" w:sz="6" w:space="0" w:color="69BD28"/>
              <w:bottom w:val="single" w:sz="6" w:space="0" w:color="69BD28"/>
            </w:tcBorders>
          </w:tcPr>
          <w:p>
            <w:pPr>
              <w:pStyle w:val="TableParagraph"/>
              <w:spacing w:before="44"/>
              <w:ind w:left="947" w:right="671"/>
              <w:rPr>
                <w:sz w:val="18"/>
              </w:rPr>
            </w:pPr>
            <w:r>
              <w:rPr>
                <w:w w:val="105"/>
                <w:sz w:val="18"/>
              </w:rPr>
              <w:t>4.17</w:t>
            </w:r>
          </w:p>
        </w:tc>
        <w:tc>
          <w:tcPr>
            <w:tcW w:w="2193" w:type="dxa"/>
            <w:tcBorders>
              <w:top w:val="single" w:sz="6" w:space="0" w:color="69BD28"/>
              <w:bottom w:val="single" w:sz="6" w:space="0" w:color="69BD28"/>
            </w:tcBorders>
          </w:tcPr>
          <w:p>
            <w:pPr>
              <w:pStyle w:val="TableParagraph"/>
              <w:spacing w:before="44"/>
              <w:ind w:right="460"/>
              <w:jc w:val="right"/>
              <w:rPr>
                <w:sz w:val="18"/>
              </w:rPr>
            </w:pPr>
            <w:r>
              <w:rPr>
                <w:w w:val="105"/>
                <w:sz w:val="18"/>
              </w:rPr>
              <w:t>Q1, FY 2021</w:t>
            </w:r>
          </w:p>
        </w:tc>
      </w:tr>
    </w:tbl>
    <w:p>
      <w:pPr>
        <w:spacing w:before="0"/>
        <w:ind w:left="120" w:right="0" w:firstLine="0"/>
        <w:jc w:val="left"/>
        <w:rPr>
          <w:i/>
          <w:sz w:val="18"/>
        </w:rPr>
      </w:pPr>
      <w:r>
        <w:rPr>
          <w:i/>
          <w:sz w:val="18"/>
        </w:rPr>
        <w:t>Source: Information provided by Client</w:t>
      </w:r>
    </w:p>
    <w:p>
      <w:pPr>
        <w:spacing w:after="0"/>
        <w:jc w:val="left"/>
        <w:rPr>
          <w:sz w:val="18"/>
        </w:rPr>
        <w:sectPr>
          <w:pgSz w:w="11910" w:h="16840"/>
          <w:pgMar w:header="720" w:footer="921" w:top="1660" w:bottom="1120" w:left="600" w:right="600"/>
        </w:sectPr>
      </w:pPr>
    </w:p>
    <w:p>
      <w:pPr>
        <w:pStyle w:val="BodyText"/>
        <w:spacing w:before="7"/>
        <w:rPr>
          <w:i/>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277" w:id="540"/>
      <w:bookmarkEnd w:id="540"/>
      <w:r>
        <w:rPr/>
      </w:r>
      <w:bookmarkStart w:name="_bookmark277" w:id="541"/>
      <w:bookmarkEnd w:id="541"/>
      <w:r>
        <w:rPr>
          <w:color w:val="1F664D"/>
          <w:sz w:val="22"/>
        </w:rPr>
        <w:t>Pro</w:t>
      </w:r>
      <w:r>
        <w:rPr>
          <w:color w:val="1F664D"/>
          <w:sz w:val="22"/>
        </w:rPr>
        <w:t>perty Photographs</w:t>
      </w:r>
    </w:p>
    <w:p>
      <w:pPr>
        <w:pStyle w:val="BodyText"/>
        <w:spacing w:before="208"/>
        <w:ind w:left="667"/>
      </w:pPr>
      <w:r>
        <w:rPr/>
        <w:t>Please refer to the property photographs highlighted below:</w:t>
      </w:r>
    </w:p>
    <w:p>
      <w:pPr>
        <w:pStyle w:val="BodyText"/>
        <w:spacing w:before="5"/>
        <w:rPr>
          <w:sz w:val="24"/>
        </w:rPr>
      </w:pPr>
      <w:r>
        <w:rPr/>
        <w:pict>
          <v:group style="position:absolute;margin-left:108.860001pt;margin-top:16.171974pt;width:389.65pt;height:15pt;mso-position-horizontal-relative:page;mso-position-vertical-relative:paragraph;z-index:-15095808;mso-wrap-distance-left:0;mso-wrap-distance-right:0" coordorigin="2177,323" coordsize="7793,300">
            <v:rect style="position:absolute;left:2177;top:333;width:7793;height:291" filled="true" fillcolor="#006a4d" stroked="false">
              <v:fill type="solid"/>
            </v:rect>
            <v:rect style="position:absolute;left:2179;top:323;width:7790;height:10" filled="true" fillcolor="#000000" stroked="false">
              <v:fill type="solid"/>
            </v:rect>
            <v:shape style="position:absolute;left:2177;top:333;width:7793;height:291" type="#_x0000_t202" filled="false" stroked="false">
              <v:textbox inset="0,0,0,0">
                <w:txbxContent>
                  <w:p>
                    <w:pPr>
                      <w:spacing w:before="28"/>
                      <w:ind w:left="1917" w:right="1918" w:firstLine="0"/>
                      <w:jc w:val="center"/>
                      <w:rPr>
                        <w:sz w:val="20"/>
                      </w:rPr>
                    </w:pPr>
                    <w:r>
                      <w:rPr>
                        <w:color w:val="FFFFFF"/>
                        <w:sz w:val="20"/>
                      </w:rPr>
                      <w:t>Embassy Galaxy</w:t>
                    </w:r>
                  </w:p>
                </w:txbxContent>
              </v:textbox>
              <w10:wrap type="none"/>
            </v:shape>
            <w10:wrap type="topAndBottom"/>
          </v:group>
        </w:pict>
      </w:r>
      <w:r>
        <w:rPr/>
        <w:pict>
          <v:group style="position:absolute;margin-left:111.699997pt;margin-top:39.791973pt;width:186.1pt;height:130.65pt;mso-position-horizontal-relative:page;mso-position-vertical-relative:paragraph;z-index:-15095296;mso-wrap-distance-left:0;mso-wrap-distance-right:0" coordorigin="2234,796" coordsize="3722,2613">
            <v:rect style="position:absolute;left:2239;top:800;width:3712;height:2603" filled="false" stroked="true" strokeweight=".5pt" strokecolor="#000000">
              <v:stroke dashstyle="solid"/>
            </v:rect>
            <v:shape style="position:absolute;left:2418;top:908;width:3302;height:2420" type="#_x0000_t75" stroked="false">
              <v:imagedata r:id="rId250" o:title=""/>
            </v:shape>
            <v:shape style="position:absolute;left:2410;top:900;width:3317;height:2429" coordorigin="2410,901" coordsize="3317,2429" path="m5727,3329l5727,901,2410,901,2410,3329e" filled="false" stroked="true" strokeweight=".75pt" strokecolor="#000000">
              <v:path arrowok="t"/>
              <v:stroke dashstyle="solid"/>
            </v:shape>
            <w10:wrap type="topAndBottom"/>
          </v:group>
        </w:pict>
      </w:r>
      <w:r>
        <w:rPr/>
        <w:pict>
          <v:group style="position:absolute;margin-left:306.700012pt;margin-top:38.231976pt;width:186.1pt;height:130.65pt;mso-position-horizontal-relative:page;mso-position-vertical-relative:paragraph;z-index:-15094784;mso-wrap-distance-left:0;mso-wrap-distance-right:0" coordorigin="6134,765" coordsize="3722,2613">
            <v:rect style="position:absolute;left:6139;top:769;width:3712;height:2603" filled="false" stroked="true" strokeweight=".5pt" strokecolor="#000000">
              <v:stroke dashstyle="solid"/>
            </v:rect>
            <v:shape style="position:absolute;left:6318;top:876;width:3383;height:2418" type="#_x0000_t75" stroked="false">
              <v:imagedata r:id="rId251" o:title=""/>
            </v:shape>
            <v:shape style="position:absolute;left:6310;top:868;width:3392;height:2427" coordorigin="6310,869" coordsize="3392,2427" path="m9702,869l6310,869,6310,3295e" filled="false" stroked="true" strokeweight=".75pt" strokecolor="#000000">
              <v:path arrowok="t"/>
              <v:stroke dashstyle="solid"/>
            </v:shape>
            <w10:wrap type="topAndBottom"/>
          </v:group>
        </w:pict>
      </w:r>
    </w:p>
    <w:p>
      <w:pPr>
        <w:pStyle w:val="BodyText"/>
        <w:spacing w:before="3"/>
        <w:rPr>
          <w:sz w:val="6"/>
        </w:rPr>
      </w:pPr>
    </w:p>
    <w:p>
      <w:pPr>
        <w:pStyle w:val="BodyText"/>
        <w:spacing w:before="2"/>
        <w:rPr>
          <w:sz w:val="9"/>
        </w:rPr>
      </w:pPr>
    </w:p>
    <w:p>
      <w:pPr>
        <w:tabs>
          <w:tab w:pos="4596" w:val="left" w:leader="none"/>
        </w:tabs>
        <w:spacing w:before="105"/>
        <w:ind w:left="0" w:right="2455" w:firstLine="0"/>
        <w:jc w:val="right"/>
        <w:rPr>
          <w:sz w:val="18"/>
        </w:rPr>
      </w:pPr>
      <w:r>
        <w:rPr>
          <w:sz w:val="18"/>
        </w:rPr>
        <w:t>External</w:t>
      </w:r>
      <w:r>
        <w:rPr>
          <w:spacing w:val="-35"/>
          <w:sz w:val="18"/>
        </w:rPr>
        <w:t> </w:t>
      </w:r>
      <w:r>
        <w:rPr>
          <w:sz w:val="18"/>
        </w:rPr>
        <w:t>view</w:t>
      </w:r>
      <w:r>
        <w:rPr>
          <w:spacing w:val="-35"/>
          <w:sz w:val="18"/>
        </w:rPr>
        <w:t> </w:t>
      </w:r>
      <w:r>
        <w:rPr>
          <w:sz w:val="18"/>
        </w:rPr>
        <w:t>of</w:t>
      </w:r>
      <w:r>
        <w:rPr>
          <w:spacing w:val="-35"/>
          <w:sz w:val="18"/>
        </w:rPr>
        <w:t> </w:t>
      </w:r>
      <w:r>
        <w:rPr>
          <w:sz w:val="18"/>
        </w:rPr>
        <w:t>the</w:t>
      </w:r>
      <w:r>
        <w:rPr>
          <w:spacing w:val="-34"/>
          <w:sz w:val="18"/>
        </w:rPr>
        <w:t> </w:t>
      </w:r>
      <w:r>
        <w:rPr>
          <w:sz w:val="18"/>
        </w:rPr>
        <w:t>subject</w:t>
      </w:r>
      <w:r>
        <w:rPr>
          <w:spacing w:val="-36"/>
          <w:sz w:val="18"/>
        </w:rPr>
        <w:t> </w:t>
      </w:r>
      <w:r>
        <w:rPr>
          <w:sz w:val="18"/>
        </w:rPr>
        <w:t>property</w:t>
      </w:r>
      <w:r>
        <w:rPr>
          <w:spacing w:val="-35"/>
          <w:sz w:val="18"/>
        </w:rPr>
        <w:t> </w:t>
      </w:r>
      <w:r>
        <w:rPr>
          <w:sz w:val="18"/>
        </w:rPr>
        <w:t>(SP)</w:t>
        <w:tab/>
        <w:t>External</w:t>
      </w:r>
      <w:r>
        <w:rPr>
          <w:spacing w:val="-34"/>
          <w:sz w:val="18"/>
        </w:rPr>
        <w:t> </w:t>
      </w:r>
      <w:r>
        <w:rPr>
          <w:sz w:val="18"/>
        </w:rPr>
        <w:t>view</w:t>
      </w:r>
      <w:r>
        <w:rPr>
          <w:spacing w:val="-34"/>
          <w:sz w:val="18"/>
        </w:rPr>
        <w:t> </w:t>
      </w:r>
      <w:r>
        <w:rPr>
          <w:sz w:val="18"/>
        </w:rPr>
        <w:t>of</w:t>
      </w:r>
      <w:r>
        <w:rPr>
          <w:spacing w:val="-34"/>
          <w:sz w:val="18"/>
        </w:rPr>
        <w:t> </w:t>
      </w:r>
      <w:r>
        <w:rPr>
          <w:sz w:val="18"/>
        </w:rPr>
        <w:t>the</w:t>
      </w:r>
      <w:r>
        <w:rPr>
          <w:spacing w:val="-34"/>
          <w:sz w:val="18"/>
        </w:rPr>
        <w:t> </w:t>
      </w:r>
      <w:r>
        <w:rPr>
          <w:sz w:val="18"/>
        </w:rPr>
        <w:t>SP</w:t>
      </w:r>
    </w:p>
    <w:p>
      <w:pPr>
        <w:pStyle w:val="BodyText"/>
        <w:spacing w:before="10"/>
        <w:rPr>
          <w:sz w:val="15"/>
        </w:rPr>
      </w:pPr>
      <w:r>
        <w:rPr/>
        <w:pict>
          <v:group style="position:absolute;margin-left:113.25pt;margin-top:11.164707pt;width:186.1pt;height:130.65pt;mso-position-horizontal-relative:page;mso-position-vertical-relative:paragraph;z-index:-15094272;mso-wrap-distance-left:0;mso-wrap-distance-right:0" coordorigin="2265,223" coordsize="3722,2613">
            <v:rect style="position:absolute;left:2270;top:228;width:3712;height:2603" filled="false" stroked="true" strokeweight=".5pt" strokecolor="#000000">
              <v:stroke dashstyle="solid"/>
            </v:rect>
            <v:shape style="position:absolute;left:2449;top:334;width:3383;height:2418" type="#_x0000_t75" stroked="false">
              <v:imagedata r:id="rId252" o:title=""/>
            </v:shape>
            <v:shape style="position:absolute;left:2441;top:327;width:3392;height:2427" coordorigin="2441,327" coordsize="3392,2427" path="m5833,327l2441,327,2441,2754e" filled="false" stroked="true" strokeweight=".75pt" strokecolor="#000000">
              <v:path arrowok="t"/>
              <v:stroke dashstyle="solid"/>
            </v:shape>
            <w10:wrap type="topAndBottom"/>
          </v:group>
        </w:pict>
      </w:r>
      <w:r>
        <w:rPr/>
        <w:pict>
          <v:group style="position:absolute;margin-left:308.75pt;margin-top:11.964707pt;width:186.1pt;height:130.65pt;mso-position-horizontal-relative:page;mso-position-vertical-relative:paragraph;z-index:-15093760;mso-wrap-distance-left:0;mso-wrap-distance-right:0" coordorigin="6175,239" coordsize="3722,2613">
            <v:rect style="position:absolute;left:6180;top:244;width:3712;height:2603" filled="false" stroked="true" strokeweight=".5pt" strokecolor="#000000">
              <v:stroke dashstyle="solid"/>
            </v:rect>
            <v:shape style="position:absolute;left:6329;top:321;width:3415;height:2448" type="#_x0000_t75" stroked="false">
              <v:imagedata r:id="rId253" o:title=""/>
            </v:shape>
            <w10:wrap type="topAndBottom"/>
          </v:group>
        </w:pict>
      </w:r>
    </w:p>
    <w:p>
      <w:pPr>
        <w:tabs>
          <w:tab w:pos="4188" w:val="left" w:leader="none"/>
        </w:tabs>
        <w:spacing w:before="80"/>
        <w:ind w:left="0" w:right="2468" w:firstLine="0"/>
        <w:jc w:val="right"/>
        <w:rPr>
          <w:sz w:val="18"/>
        </w:rPr>
      </w:pPr>
      <w:r>
        <w:rPr>
          <w:sz w:val="18"/>
        </w:rPr>
        <w:t>View</w:t>
      </w:r>
      <w:r>
        <w:rPr>
          <w:spacing w:val="-13"/>
          <w:sz w:val="18"/>
        </w:rPr>
        <w:t> </w:t>
      </w:r>
      <w:r>
        <w:rPr>
          <w:sz w:val="18"/>
        </w:rPr>
        <w:t>of</w:t>
      </w:r>
      <w:r>
        <w:rPr>
          <w:spacing w:val="-12"/>
          <w:sz w:val="18"/>
        </w:rPr>
        <w:t> </w:t>
      </w:r>
      <w:r>
        <w:rPr>
          <w:sz w:val="18"/>
        </w:rPr>
        <w:t>landscaping</w:t>
      </w:r>
      <w:r>
        <w:rPr>
          <w:spacing w:val="-12"/>
          <w:sz w:val="18"/>
        </w:rPr>
        <w:t> </w:t>
      </w:r>
      <w:r>
        <w:rPr>
          <w:sz w:val="18"/>
        </w:rPr>
        <w:t>at</w:t>
      </w:r>
      <w:r>
        <w:rPr>
          <w:spacing w:val="-13"/>
          <w:sz w:val="18"/>
        </w:rPr>
        <w:t> </w:t>
      </w:r>
      <w:r>
        <w:rPr>
          <w:sz w:val="18"/>
        </w:rPr>
        <w:t>the</w:t>
      </w:r>
      <w:r>
        <w:rPr>
          <w:spacing w:val="-12"/>
          <w:sz w:val="18"/>
        </w:rPr>
        <w:t> </w:t>
      </w:r>
      <w:r>
        <w:rPr>
          <w:sz w:val="18"/>
        </w:rPr>
        <w:t>SP</w:t>
        <w:tab/>
        <w:t>Internal</w:t>
      </w:r>
      <w:r>
        <w:rPr>
          <w:spacing w:val="-31"/>
          <w:sz w:val="18"/>
        </w:rPr>
        <w:t> </w:t>
      </w:r>
      <w:r>
        <w:rPr>
          <w:sz w:val="18"/>
        </w:rPr>
        <w:t>view</w:t>
      </w:r>
      <w:r>
        <w:rPr>
          <w:spacing w:val="-31"/>
          <w:sz w:val="18"/>
        </w:rPr>
        <w:t> </w:t>
      </w:r>
      <w:r>
        <w:rPr>
          <w:sz w:val="18"/>
        </w:rPr>
        <w:t>of</w:t>
      </w:r>
      <w:r>
        <w:rPr>
          <w:spacing w:val="-30"/>
          <w:sz w:val="18"/>
        </w:rPr>
        <w:t> </w:t>
      </w:r>
      <w:r>
        <w:rPr>
          <w:sz w:val="18"/>
        </w:rPr>
        <w:t>the</w:t>
      </w:r>
      <w:r>
        <w:rPr>
          <w:spacing w:val="-31"/>
          <w:sz w:val="18"/>
        </w:rPr>
        <w:t> </w:t>
      </w:r>
      <w:r>
        <w:rPr>
          <w:sz w:val="18"/>
        </w:rPr>
        <w:t>SP</w:t>
      </w:r>
    </w:p>
    <w:p>
      <w:pPr>
        <w:pStyle w:val="BodyText"/>
        <w:spacing w:before="2"/>
        <w:rPr>
          <w:sz w:val="13"/>
        </w:rPr>
      </w:pPr>
      <w:r>
        <w:rPr/>
        <w:pict>
          <v:group style="position:absolute;margin-left:112.449997pt;margin-top:9.639805pt;width:186.1pt;height:130.65pt;mso-position-horizontal-relative:page;mso-position-vertical-relative:paragraph;z-index:-15093248;mso-wrap-distance-left:0;mso-wrap-distance-right:0" coordorigin="2249,193" coordsize="3722,2613">
            <v:rect style="position:absolute;left:2254;top:197;width:3712;height:2603" filled="false" stroked="true" strokeweight=".5pt" strokecolor="#000000">
              <v:stroke dashstyle="solid"/>
            </v:rect>
            <v:shape style="position:absolute;left:2433;top:304;width:3385;height:2420" type="#_x0000_t75" stroked="false">
              <v:imagedata r:id="rId254" o:title=""/>
            </v:shape>
            <v:shape style="position:absolute;left:2425;top:297;width:3394;height:2429" coordorigin="2425,297" coordsize="3394,2429" path="m5819,297l2425,297,2425,2725e" filled="false" stroked="true" strokeweight=".75pt" strokecolor="#000000">
              <v:path arrowok="t"/>
              <v:stroke dashstyle="solid"/>
            </v:shape>
            <w10:wrap type="topAndBottom"/>
          </v:group>
        </w:pict>
      </w:r>
      <w:r>
        <w:rPr/>
        <w:pict>
          <v:group style="position:absolute;margin-left:312.850006pt;margin-top:11.619804pt;width:186.1pt;height:130.65pt;mso-position-horizontal-relative:page;mso-position-vertical-relative:paragraph;z-index:-15092736;mso-wrap-distance-left:0;mso-wrap-distance-right:0" coordorigin="6257,232" coordsize="3722,2613">
            <v:rect style="position:absolute;left:6262;top:237;width:3712;height:2603" filled="false" stroked="true" strokeweight=".5pt" strokecolor="#000000">
              <v:stroke dashstyle="solid"/>
            </v:rect>
            <v:shape style="position:absolute;left:6411;top:314;width:3415;height:2448" type="#_x0000_t75" stroked="false">
              <v:imagedata r:id="rId255" o:title=""/>
            </v:shape>
            <w10:wrap type="topAndBottom"/>
          </v:group>
        </w:pict>
      </w:r>
    </w:p>
    <w:p>
      <w:pPr>
        <w:tabs>
          <w:tab w:pos="5744" w:val="left" w:leader="none"/>
        </w:tabs>
        <w:spacing w:before="83"/>
        <w:ind w:left="2378" w:right="0" w:firstLine="0"/>
        <w:jc w:val="left"/>
        <w:rPr>
          <w:sz w:val="18"/>
        </w:rPr>
      </w:pPr>
      <w:r>
        <w:rPr>
          <w:sz w:val="18"/>
        </w:rPr>
        <w:t>View</w:t>
      </w:r>
      <w:r>
        <w:rPr>
          <w:spacing w:val="-18"/>
          <w:sz w:val="18"/>
        </w:rPr>
        <w:t> </w:t>
      </w:r>
      <w:r>
        <w:rPr>
          <w:sz w:val="18"/>
        </w:rPr>
        <w:t>of</w:t>
      </w:r>
      <w:r>
        <w:rPr>
          <w:spacing w:val="-16"/>
          <w:sz w:val="18"/>
        </w:rPr>
        <w:t> </w:t>
      </w:r>
      <w:r>
        <w:rPr>
          <w:sz w:val="18"/>
        </w:rPr>
        <w:t>internal</w:t>
      </w:r>
      <w:r>
        <w:rPr>
          <w:spacing w:val="-17"/>
          <w:sz w:val="18"/>
        </w:rPr>
        <w:t> </w:t>
      </w:r>
      <w:r>
        <w:rPr>
          <w:sz w:val="18"/>
        </w:rPr>
        <w:t>access</w:t>
      </w:r>
      <w:r>
        <w:rPr>
          <w:spacing w:val="-17"/>
          <w:sz w:val="18"/>
        </w:rPr>
        <w:t> </w:t>
      </w:r>
      <w:r>
        <w:rPr>
          <w:sz w:val="18"/>
        </w:rPr>
        <w:t>road</w:t>
        <w:tab/>
        <w:t>View of the primary access</w:t>
      </w:r>
      <w:r>
        <w:rPr>
          <w:spacing w:val="-28"/>
          <w:sz w:val="18"/>
        </w:rPr>
        <w:t> </w:t>
      </w:r>
      <w:r>
        <w:rPr>
          <w:sz w:val="18"/>
        </w:rPr>
        <w:t>road/entrance</w:t>
      </w:r>
    </w:p>
    <w:p>
      <w:pPr>
        <w:pStyle w:val="BodyText"/>
        <w:spacing w:before="6"/>
        <w:rPr>
          <w:sz w:val="9"/>
        </w:rPr>
      </w:pPr>
      <w:r>
        <w:rPr/>
        <w:pict>
          <v:shape style="position:absolute;margin-left:108.260002pt;margin-top:7.500795pt;width:390.25pt;height:.5pt;mso-position-horizontal-relative:page;mso-position-vertical-relative:paragraph;z-index:-15092224;mso-wrap-distance-left:0;mso-wrap-distance-right:0" coordorigin="2165,150" coordsize="7805,10" path="m9970,150l5985,150,5980,150,5970,150,2165,150,2165,160,5970,160,5980,160,5985,160,9970,160,9970,150xe" filled="true" fillcolor="#92d050" stroked="false">
            <v:path arrowok="t"/>
            <v:fill type="solid"/>
            <w10:wrap type="topAndBottom"/>
          </v:shape>
        </w:pict>
      </w:r>
    </w:p>
    <w:p>
      <w:pPr>
        <w:spacing w:after="0"/>
        <w:rPr>
          <w:sz w:val="9"/>
        </w:rPr>
        <w:sectPr>
          <w:pgSz w:w="11910" w:h="16840"/>
          <w:pgMar w:header="720" w:footer="921" w:top="1660" w:bottom="1120" w:left="600" w:right="600"/>
        </w:sectPr>
      </w:pPr>
    </w:p>
    <w:p>
      <w:pPr>
        <w:pStyle w:val="BodyText"/>
        <w:spacing w:before="7"/>
        <w:rPr>
          <w:sz w:val="9"/>
        </w:rPr>
      </w:pPr>
    </w:p>
    <w:p>
      <w:pPr>
        <w:pStyle w:val="ListParagraph"/>
        <w:numPr>
          <w:ilvl w:val="1"/>
          <w:numId w:val="14"/>
        </w:numPr>
        <w:tabs>
          <w:tab w:pos="697" w:val="left" w:leader="none"/>
        </w:tabs>
        <w:spacing w:line="240" w:lineRule="auto" w:before="106" w:after="0"/>
        <w:ind w:left="696" w:right="0" w:hanging="577"/>
        <w:jc w:val="left"/>
        <w:rPr>
          <w:color w:val="1F6647"/>
          <w:sz w:val="22"/>
        </w:rPr>
      </w:pPr>
      <w:bookmarkStart w:name="_bookmark278" w:id="542"/>
      <w:bookmarkEnd w:id="542"/>
      <w:r>
        <w:rPr/>
      </w:r>
      <w:bookmarkStart w:name="_bookmark278" w:id="543"/>
      <w:bookmarkEnd w:id="543"/>
      <w:r>
        <w:rPr>
          <w:color w:val="1F6647"/>
          <w:sz w:val="22"/>
        </w:rPr>
        <w:t>Tena</w:t>
      </w:r>
      <w:r>
        <w:rPr>
          <w:color w:val="1F6647"/>
          <w:sz w:val="22"/>
        </w:rPr>
        <w:t>ncy Analysis</w:t>
      </w:r>
    </w:p>
    <w:p>
      <w:pPr>
        <w:pStyle w:val="BodyText"/>
        <w:spacing w:before="3"/>
        <w:rPr>
          <w:sz w:val="28"/>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79" w:id="544"/>
      <w:bookmarkEnd w:id="544"/>
      <w:r>
        <w:rPr/>
      </w:r>
      <w:bookmarkStart w:name="_bookmark279" w:id="545"/>
      <w:bookmarkEnd w:id="545"/>
      <w:r>
        <w:rPr>
          <w:color w:val="1F664D"/>
          <w:sz w:val="22"/>
        </w:rPr>
        <w:t>Histori</w:t>
      </w:r>
      <w:r>
        <w:rPr>
          <w:color w:val="1F664D"/>
          <w:sz w:val="22"/>
        </w:rPr>
        <w:t>cal Committed Occupancy</w:t>
      </w:r>
      <w:r>
        <w:rPr>
          <w:color w:val="1F664D"/>
          <w:spacing w:val="2"/>
          <w:sz w:val="22"/>
        </w:rPr>
        <w:t> </w:t>
      </w:r>
      <w:r>
        <w:rPr>
          <w:color w:val="1F664D"/>
          <w:sz w:val="22"/>
        </w:rPr>
        <w:t>Rates</w:t>
      </w:r>
    </w:p>
    <w:p>
      <w:pPr>
        <w:pStyle w:val="BodyText"/>
        <w:spacing w:before="208"/>
        <w:ind w:left="660"/>
      </w:pPr>
      <w:r>
        <w:rPr/>
        <w:t>The table below highlights the historical occupancy rates at the subject development:</w:t>
      </w:r>
    </w:p>
    <w:p>
      <w:pPr>
        <w:pStyle w:val="BodyText"/>
        <w:spacing w:before="2"/>
        <w:rPr>
          <w:sz w:val="28"/>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5"/>
        <w:gridCol w:w="2619"/>
        <w:gridCol w:w="2618"/>
        <w:gridCol w:w="2615"/>
      </w:tblGrid>
      <w:tr>
        <w:trPr>
          <w:trHeight w:val="260" w:hRule="atLeast"/>
        </w:trPr>
        <w:tc>
          <w:tcPr>
            <w:tcW w:w="2635" w:type="dxa"/>
            <w:tcBorders>
              <w:top w:val="single" w:sz="6" w:space="0" w:color="69BD28"/>
              <w:bottom w:val="single" w:sz="6" w:space="0" w:color="69BD28"/>
            </w:tcBorders>
            <w:shd w:val="clear" w:color="auto" w:fill="006A4D"/>
          </w:tcPr>
          <w:p>
            <w:pPr>
              <w:pStyle w:val="TableParagraph"/>
              <w:spacing w:before="27"/>
              <w:ind w:left="415" w:right="399"/>
              <w:rPr>
                <w:b/>
                <w:sz w:val="18"/>
              </w:rPr>
            </w:pPr>
            <w:r>
              <w:rPr>
                <w:b/>
                <w:color w:val="FFFFFF"/>
                <w:w w:val="110"/>
                <w:sz w:val="18"/>
              </w:rPr>
              <w:t>March 31, 2017</w:t>
            </w:r>
          </w:p>
        </w:tc>
        <w:tc>
          <w:tcPr>
            <w:tcW w:w="2619" w:type="dxa"/>
            <w:tcBorders>
              <w:top w:val="single" w:sz="6" w:space="0" w:color="69BD28"/>
              <w:bottom w:val="single" w:sz="6" w:space="0" w:color="69BD28"/>
            </w:tcBorders>
            <w:shd w:val="clear" w:color="auto" w:fill="006A4D"/>
          </w:tcPr>
          <w:p>
            <w:pPr>
              <w:pStyle w:val="TableParagraph"/>
              <w:spacing w:before="27"/>
              <w:ind w:left="536" w:right="536"/>
              <w:rPr>
                <w:b/>
                <w:sz w:val="18"/>
              </w:rPr>
            </w:pPr>
            <w:r>
              <w:rPr>
                <w:b/>
                <w:color w:val="FFFFFF"/>
                <w:w w:val="110"/>
                <w:sz w:val="18"/>
              </w:rPr>
              <w:t>March 31, 2018</w:t>
            </w:r>
          </w:p>
        </w:tc>
        <w:tc>
          <w:tcPr>
            <w:tcW w:w="2618" w:type="dxa"/>
            <w:tcBorders>
              <w:top w:val="single" w:sz="6" w:space="0" w:color="69BD28"/>
              <w:bottom w:val="single" w:sz="6" w:space="0" w:color="69BD28"/>
            </w:tcBorders>
            <w:shd w:val="clear" w:color="auto" w:fill="006A4D"/>
          </w:tcPr>
          <w:p>
            <w:pPr>
              <w:pStyle w:val="TableParagraph"/>
              <w:spacing w:before="27"/>
              <w:ind w:left="566" w:right="564"/>
              <w:rPr>
                <w:b/>
                <w:sz w:val="18"/>
              </w:rPr>
            </w:pPr>
            <w:r>
              <w:rPr>
                <w:b/>
                <w:color w:val="FFFFFF"/>
                <w:w w:val="110"/>
                <w:sz w:val="18"/>
              </w:rPr>
              <w:t>March 31, 2019</w:t>
            </w:r>
          </w:p>
        </w:tc>
        <w:tc>
          <w:tcPr>
            <w:tcW w:w="2615" w:type="dxa"/>
            <w:tcBorders>
              <w:top w:val="single" w:sz="6" w:space="0" w:color="69BD28"/>
              <w:bottom w:val="single" w:sz="6" w:space="0" w:color="69BD28"/>
            </w:tcBorders>
            <w:shd w:val="clear" w:color="auto" w:fill="006A4D"/>
          </w:tcPr>
          <w:p>
            <w:pPr>
              <w:pStyle w:val="TableParagraph"/>
              <w:spacing w:before="27"/>
              <w:ind w:left="178" w:right="179"/>
              <w:rPr>
                <w:b/>
                <w:sz w:val="18"/>
              </w:rPr>
            </w:pPr>
            <w:r>
              <w:rPr>
                <w:b/>
                <w:color w:val="FFFFFF"/>
                <w:w w:val="110"/>
                <w:sz w:val="18"/>
              </w:rPr>
              <w:t>March 31, 2020</w:t>
            </w:r>
          </w:p>
        </w:tc>
      </w:tr>
      <w:tr>
        <w:trPr>
          <w:trHeight w:val="261" w:hRule="atLeast"/>
        </w:trPr>
        <w:tc>
          <w:tcPr>
            <w:tcW w:w="2635" w:type="dxa"/>
            <w:tcBorders>
              <w:top w:val="single" w:sz="6" w:space="0" w:color="69BD28"/>
              <w:bottom w:val="single" w:sz="6" w:space="0" w:color="69BD28"/>
            </w:tcBorders>
          </w:tcPr>
          <w:p>
            <w:pPr>
              <w:pStyle w:val="TableParagraph"/>
              <w:spacing w:line="227" w:lineRule="exact" w:before="13"/>
              <w:ind w:left="410" w:right="399"/>
              <w:rPr>
                <w:sz w:val="20"/>
              </w:rPr>
            </w:pPr>
            <w:r>
              <w:rPr>
                <w:w w:val="110"/>
                <w:sz w:val="20"/>
              </w:rPr>
              <w:t>98.94%</w:t>
            </w:r>
          </w:p>
        </w:tc>
        <w:tc>
          <w:tcPr>
            <w:tcW w:w="2619" w:type="dxa"/>
            <w:tcBorders>
              <w:top w:val="single" w:sz="6" w:space="0" w:color="69BD28"/>
              <w:bottom w:val="single" w:sz="6" w:space="0" w:color="69BD28"/>
            </w:tcBorders>
          </w:tcPr>
          <w:p>
            <w:pPr>
              <w:pStyle w:val="TableParagraph"/>
              <w:spacing w:line="227" w:lineRule="exact" w:before="13"/>
              <w:ind w:left="536" w:right="536"/>
              <w:rPr>
                <w:sz w:val="20"/>
              </w:rPr>
            </w:pPr>
            <w:r>
              <w:rPr>
                <w:w w:val="110"/>
                <w:sz w:val="20"/>
              </w:rPr>
              <w:t>99.97%</w:t>
            </w:r>
          </w:p>
        </w:tc>
        <w:tc>
          <w:tcPr>
            <w:tcW w:w="2618" w:type="dxa"/>
            <w:tcBorders>
              <w:top w:val="single" w:sz="6" w:space="0" w:color="69BD28"/>
              <w:bottom w:val="single" w:sz="6" w:space="0" w:color="69BD28"/>
            </w:tcBorders>
          </w:tcPr>
          <w:p>
            <w:pPr>
              <w:pStyle w:val="TableParagraph"/>
              <w:spacing w:line="227" w:lineRule="exact" w:before="13"/>
              <w:ind w:left="563" w:right="565"/>
              <w:rPr>
                <w:sz w:val="20"/>
              </w:rPr>
            </w:pPr>
            <w:r>
              <w:rPr>
                <w:w w:val="110"/>
                <w:sz w:val="20"/>
              </w:rPr>
              <w:t>100.0%</w:t>
            </w:r>
          </w:p>
        </w:tc>
        <w:tc>
          <w:tcPr>
            <w:tcW w:w="2615" w:type="dxa"/>
            <w:tcBorders>
              <w:top w:val="single" w:sz="6" w:space="0" w:color="69BD28"/>
              <w:bottom w:val="single" w:sz="6" w:space="0" w:color="69BD28"/>
            </w:tcBorders>
          </w:tcPr>
          <w:p>
            <w:pPr>
              <w:pStyle w:val="TableParagraph"/>
              <w:spacing w:line="227" w:lineRule="exact" w:before="13"/>
              <w:ind w:left="178" w:right="182"/>
              <w:rPr>
                <w:sz w:val="20"/>
              </w:rPr>
            </w:pPr>
            <w:r>
              <w:rPr>
                <w:w w:val="110"/>
                <w:sz w:val="20"/>
              </w:rPr>
              <w:t>98.9%</w:t>
            </w:r>
          </w:p>
        </w:tc>
      </w:tr>
    </w:tbl>
    <w:p>
      <w:pPr>
        <w:spacing w:before="0"/>
        <w:ind w:left="120" w:right="0" w:firstLine="0"/>
        <w:jc w:val="left"/>
        <w:rPr>
          <w:i/>
          <w:sz w:val="18"/>
        </w:rPr>
      </w:pPr>
      <w:r>
        <w:rPr>
          <w:i/>
          <w:sz w:val="18"/>
        </w:rPr>
        <w:t>Source: Rent rolls provided by the Client; Indicative of committed occupancy</w:t>
      </w:r>
    </w:p>
    <w:p>
      <w:pPr>
        <w:pStyle w:val="BodyText"/>
        <w:spacing w:before="10"/>
        <w:rPr>
          <w:i/>
          <w:sz w:val="26"/>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80" w:id="546"/>
      <w:bookmarkEnd w:id="546"/>
      <w:r>
        <w:rPr/>
      </w:r>
      <w:bookmarkStart w:name="_bookmark280" w:id="547"/>
      <w:bookmarkEnd w:id="547"/>
      <w:r>
        <w:rPr>
          <w:color w:val="1F664D"/>
          <w:sz w:val="22"/>
        </w:rPr>
        <w:t>Le</w:t>
      </w:r>
      <w:r>
        <w:rPr>
          <w:color w:val="1F664D"/>
          <w:sz w:val="22"/>
        </w:rPr>
        <w:t>ase Expiry</w:t>
      </w:r>
      <w:r>
        <w:rPr>
          <w:color w:val="1F664D"/>
          <w:spacing w:val="-3"/>
          <w:sz w:val="22"/>
        </w:rPr>
        <w:t> </w:t>
      </w:r>
      <w:r>
        <w:rPr>
          <w:color w:val="1F664D"/>
          <w:sz w:val="22"/>
        </w:rPr>
        <w:t>Analysis</w:t>
      </w:r>
    </w:p>
    <w:p>
      <w:pPr>
        <w:pStyle w:val="BodyText"/>
        <w:spacing w:before="209"/>
        <w:ind w:left="660"/>
      </w:pPr>
      <w:r>
        <w:rPr/>
        <w:t>The graph below highlights the area/leases due for expiry in the coming years:</w:t>
      </w:r>
    </w:p>
    <w:p>
      <w:pPr>
        <w:pStyle w:val="BodyText"/>
        <w:spacing w:before="3"/>
        <w:rPr>
          <w:sz w:val="24"/>
        </w:rPr>
      </w:pPr>
      <w:r>
        <w:rPr/>
        <w:pict>
          <v:group style="position:absolute;margin-left:35.279999pt;margin-top:16.040859pt;width:524.3pt;height:14.2pt;mso-position-horizontal-relative:page;mso-position-vertical-relative:paragraph;z-index:-15091200;mso-wrap-distance-left:0;mso-wrap-distance-right:0" coordorigin="706,321" coordsize="10486,284">
            <v:rect style="position:absolute;left:720;top:352;width:10472;height:252" filled="true" fillcolor="#006a4d" stroked="false">
              <v:fill type="solid"/>
            </v:rect>
            <v:rect style="position:absolute;left:720;top:320;width:10472;height:29" filled="true" fillcolor="#1f6b16" stroked="false">
              <v:fill type="solid"/>
            </v:rect>
            <v:rect style="position:absolute;left:720;top:349;width:10472;height:3" filled="true" fillcolor="#006a4d" stroked="false">
              <v:fill type="solid"/>
            </v:rect>
            <v:shape style="position:absolute;left:705;top:349;width:10486;height:255" type="#_x0000_t202" filled="false" stroked="false">
              <v:textbox inset="0,0,0,0">
                <w:txbxContent>
                  <w:p>
                    <w:pPr>
                      <w:spacing w:before="25"/>
                      <w:ind w:left="142" w:right="129" w:firstLine="0"/>
                      <w:jc w:val="center"/>
                      <w:rPr>
                        <w:b/>
                        <w:sz w:val="18"/>
                      </w:rPr>
                    </w:pPr>
                    <w:r>
                      <w:rPr>
                        <w:b/>
                        <w:color w:val="FFFFFF"/>
                        <w:w w:val="105"/>
                        <w:sz w:val="18"/>
                      </w:rPr>
                      <w:t>Lease Expiry</w:t>
                    </w:r>
                  </w:p>
                </w:txbxContent>
              </v:textbox>
              <w10:wrap type="none"/>
            </v:shape>
            <w10:wrap type="topAndBottom"/>
          </v:group>
        </w:pict>
      </w:r>
    </w:p>
    <w:p>
      <w:pPr>
        <w:pStyle w:val="BodyText"/>
        <w:rPr>
          <w:sz w:val="20"/>
        </w:rPr>
      </w:pPr>
    </w:p>
    <w:p>
      <w:pPr>
        <w:pStyle w:val="BodyText"/>
        <w:spacing w:before="9"/>
        <w:rPr>
          <w:sz w:val="21"/>
        </w:rPr>
      </w:pPr>
      <w:r>
        <w:rPr/>
        <w:drawing>
          <wp:anchor distT="0" distB="0" distL="0" distR="0" allowOverlap="1" layoutInCell="1" locked="0" behindDoc="0" simplePos="0" relativeHeight="1246">
            <wp:simplePos x="0" y="0"/>
            <wp:positionH relativeFrom="page">
              <wp:posOffset>834464</wp:posOffset>
            </wp:positionH>
            <wp:positionV relativeFrom="paragraph">
              <wp:posOffset>185843</wp:posOffset>
            </wp:positionV>
            <wp:extent cx="4983241" cy="2034539"/>
            <wp:effectExtent l="0" t="0" r="0" b="0"/>
            <wp:wrapTopAndBottom/>
            <wp:docPr id="261" name="image193.jpeg"/>
            <wp:cNvGraphicFramePr>
              <a:graphicFrameLocks noChangeAspect="1"/>
            </wp:cNvGraphicFramePr>
            <a:graphic>
              <a:graphicData uri="http://schemas.openxmlformats.org/drawingml/2006/picture">
                <pic:pic>
                  <pic:nvPicPr>
                    <pic:cNvPr id="262" name="image193.jpeg"/>
                    <pic:cNvPicPr/>
                  </pic:nvPicPr>
                  <pic:blipFill>
                    <a:blip r:embed="rId256" cstate="print"/>
                    <a:stretch>
                      <a:fillRect/>
                    </a:stretch>
                  </pic:blipFill>
                  <pic:spPr>
                    <a:xfrm>
                      <a:off x="0" y="0"/>
                      <a:ext cx="4983241" cy="2034539"/>
                    </a:xfrm>
                    <a:prstGeom prst="rect">
                      <a:avLst/>
                    </a:prstGeom>
                  </pic:spPr>
                </pic:pic>
              </a:graphicData>
            </a:graphic>
          </wp:anchor>
        </w:drawing>
      </w:r>
    </w:p>
    <w:p>
      <w:pPr>
        <w:pStyle w:val="BodyText"/>
        <w:spacing w:before="6"/>
        <w:rPr>
          <w:sz w:val="7"/>
        </w:rPr>
      </w:pPr>
    </w:p>
    <w:p>
      <w:pPr>
        <w:spacing w:before="104"/>
        <w:ind w:left="694" w:right="0" w:firstLine="0"/>
        <w:jc w:val="both"/>
        <w:rPr>
          <w:i/>
          <w:sz w:val="18"/>
        </w:rPr>
      </w:pPr>
      <w:r>
        <w:rPr>
          <w:i/>
          <w:w w:val="95"/>
          <w:sz w:val="18"/>
        </w:rPr>
        <w:t>Source:</w:t>
      </w:r>
      <w:r>
        <w:rPr>
          <w:i/>
          <w:spacing w:val="-21"/>
          <w:w w:val="95"/>
          <w:sz w:val="18"/>
        </w:rPr>
        <w:t> </w:t>
      </w:r>
      <w:r>
        <w:rPr>
          <w:i/>
          <w:w w:val="95"/>
          <w:sz w:val="18"/>
        </w:rPr>
        <w:t>Rent</w:t>
      </w:r>
      <w:r>
        <w:rPr>
          <w:i/>
          <w:spacing w:val="-20"/>
          <w:w w:val="95"/>
          <w:sz w:val="18"/>
        </w:rPr>
        <w:t> </w:t>
      </w:r>
      <w:r>
        <w:rPr>
          <w:i/>
          <w:w w:val="95"/>
          <w:sz w:val="18"/>
        </w:rPr>
        <w:t>Roll</w:t>
      </w:r>
      <w:r>
        <w:rPr>
          <w:i/>
          <w:spacing w:val="-21"/>
          <w:w w:val="95"/>
          <w:sz w:val="18"/>
        </w:rPr>
        <w:t> </w:t>
      </w:r>
      <w:r>
        <w:rPr>
          <w:i/>
          <w:w w:val="95"/>
          <w:sz w:val="18"/>
        </w:rPr>
        <w:t>(representative</w:t>
      </w:r>
      <w:r>
        <w:rPr>
          <w:i/>
          <w:spacing w:val="-22"/>
          <w:w w:val="95"/>
          <w:sz w:val="18"/>
        </w:rPr>
        <w:t> </w:t>
      </w:r>
      <w:r>
        <w:rPr>
          <w:i/>
          <w:w w:val="95"/>
          <w:sz w:val="18"/>
        </w:rPr>
        <w:t>of</w:t>
      </w:r>
      <w:r>
        <w:rPr>
          <w:i/>
          <w:spacing w:val="-20"/>
          <w:w w:val="95"/>
          <w:sz w:val="18"/>
        </w:rPr>
        <w:t> </w:t>
      </w:r>
      <w:r>
        <w:rPr>
          <w:i/>
          <w:w w:val="95"/>
          <w:sz w:val="18"/>
        </w:rPr>
        <w:t>financial</w:t>
      </w:r>
      <w:r>
        <w:rPr>
          <w:i/>
          <w:spacing w:val="-20"/>
          <w:w w:val="95"/>
          <w:sz w:val="18"/>
        </w:rPr>
        <w:t> </w:t>
      </w:r>
      <w:r>
        <w:rPr>
          <w:i/>
          <w:w w:val="95"/>
          <w:sz w:val="18"/>
        </w:rPr>
        <w:t>years)</w:t>
      </w:r>
    </w:p>
    <w:p>
      <w:pPr>
        <w:pStyle w:val="BodyText"/>
        <w:spacing w:before="5"/>
        <w:rPr>
          <w:i/>
          <w:sz w:val="30"/>
        </w:rPr>
      </w:pPr>
    </w:p>
    <w:p>
      <w:pPr>
        <w:pStyle w:val="BodyText"/>
        <w:spacing w:line="321" w:lineRule="auto"/>
        <w:ind w:left="660" w:right="116"/>
        <w:jc w:val="both"/>
      </w:pPr>
      <w:r>
        <w:rPr/>
        <w:t>Consultants</w:t>
      </w:r>
      <w:r>
        <w:rPr>
          <w:spacing w:val="-16"/>
        </w:rPr>
        <w:t> </w:t>
      </w:r>
      <w:r>
        <w:rPr/>
        <w:t>have</w:t>
      </w:r>
      <w:r>
        <w:rPr>
          <w:spacing w:val="-18"/>
        </w:rPr>
        <w:t> </w:t>
      </w:r>
      <w:r>
        <w:rPr/>
        <w:t>undertaken</w:t>
      </w:r>
      <w:r>
        <w:rPr>
          <w:spacing w:val="-19"/>
        </w:rPr>
        <w:t> </w:t>
      </w:r>
      <w:r>
        <w:rPr/>
        <w:t>an</w:t>
      </w:r>
      <w:r>
        <w:rPr>
          <w:spacing w:val="-17"/>
        </w:rPr>
        <w:t> </w:t>
      </w:r>
      <w:r>
        <w:rPr/>
        <w:t>in-depth</w:t>
      </w:r>
      <w:r>
        <w:rPr>
          <w:spacing w:val="-18"/>
        </w:rPr>
        <w:t> </w:t>
      </w:r>
      <w:r>
        <w:rPr/>
        <w:t>analysis</w:t>
      </w:r>
      <w:r>
        <w:rPr>
          <w:spacing w:val="-17"/>
        </w:rPr>
        <w:t> </w:t>
      </w:r>
      <w:r>
        <w:rPr/>
        <w:t>of</w:t>
      </w:r>
      <w:r>
        <w:rPr>
          <w:spacing w:val="-17"/>
        </w:rPr>
        <w:t> </w:t>
      </w:r>
      <w:r>
        <w:rPr/>
        <w:t>the</w:t>
      </w:r>
      <w:r>
        <w:rPr>
          <w:spacing w:val="-19"/>
        </w:rPr>
        <w:t> </w:t>
      </w:r>
      <w:r>
        <w:rPr/>
        <w:t>rent</w:t>
      </w:r>
      <w:r>
        <w:rPr>
          <w:spacing w:val="-18"/>
        </w:rPr>
        <w:t> </w:t>
      </w:r>
      <w:r>
        <w:rPr/>
        <w:t>roll/</w:t>
      </w:r>
      <w:r>
        <w:rPr>
          <w:spacing w:val="-17"/>
        </w:rPr>
        <w:t> </w:t>
      </w:r>
      <w:r>
        <w:rPr/>
        <w:t>lease</w:t>
      </w:r>
      <w:r>
        <w:rPr>
          <w:spacing w:val="-18"/>
        </w:rPr>
        <w:t> </w:t>
      </w:r>
      <w:r>
        <w:rPr/>
        <w:t>deeds</w:t>
      </w:r>
      <w:r>
        <w:rPr>
          <w:spacing w:val="-18"/>
        </w:rPr>
        <w:t> </w:t>
      </w:r>
      <w:r>
        <w:rPr/>
        <w:t>shared</w:t>
      </w:r>
      <w:r>
        <w:rPr>
          <w:spacing w:val="-17"/>
        </w:rPr>
        <w:t> </w:t>
      </w:r>
      <w:r>
        <w:rPr/>
        <w:t>by</w:t>
      </w:r>
      <w:r>
        <w:rPr>
          <w:spacing w:val="-17"/>
        </w:rPr>
        <w:t> </w:t>
      </w:r>
      <w:r>
        <w:rPr/>
        <w:t>the</w:t>
      </w:r>
      <w:r>
        <w:rPr>
          <w:spacing w:val="-19"/>
        </w:rPr>
        <w:t> </w:t>
      </w:r>
      <w:r>
        <w:rPr/>
        <w:t>Client,</w:t>
      </w:r>
      <w:r>
        <w:rPr>
          <w:spacing w:val="-19"/>
        </w:rPr>
        <w:t> </w:t>
      </w:r>
      <w:r>
        <w:rPr/>
        <w:t>to understand</w:t>
      </w:r>
      <w:r>
        <w:rPr>
          <w:spacing w:val="-28"/>
        </w:rPr>
        <w:t> </w:t>
      </w:r>
      <w:r>
        <w:rPr/>
        <w:t>the</w:t>
      </w:r>
      <w:r>
        <w:rPr>
          <w:spacing w:val="-26"/>
        </w:rPr>
        <w:t> </w:t>
      </w:r>
      <w:r>
        <w:rPr/>
        <w:t>lease</w:t>
      </w:r>
      <w:r>
        <w:rPr>
          <w:spacing w:val="-27"/>
        </w:rPr>
        <w:t> </w:t>
      </w:r>
      <w:r>
        <w:rPr/>
        <w:t>expiry</w:t>
      </w:r>
      <w:r>
        <w:rPr>
          <w:spacing w:val="-25"/>
        </w:rPr>
        <w:t> </w:t>
      </w:r>
      <w:r>
        <w:rPr/>
        <w:t>schedule</w:t>
      </w:r>
      <w:r>
        <w:rPr>
          <w:spacing w:val="-27"/>
        </w:rPr>
        <w:t> </w:t>
      </w:r>
      <w:r>
        <w:rPr/>
        <w:t>of</w:t>
      </w:r>
      <w:r>
        <w:rPr>
          <w:spacing w:val="-27"/>
        </w:rPr>
        <w:t> </w:t>
      </w:r>
      <w:r>
        <w:rPr/>
        <w:t>top</w:t>
      </w:r>
      <w:r>
        <w:rPr>
          <w:spacing w:val="-27"/>
        </w:rPr>
        <w:t> </w:t>
      </w:r>
      <w:r>
        <w:rPr/>
        <w:t>tenants</w:t>
      </w:r>
      <w:r>
        <w:rPr>
          <w:spacing w:val="-26"/>
        </w:rPr>
        <w:t> </w:t>
      </w:r>
      <w:r>
        <w:rPr/>
        <w:t>at</w:t>
      </w:r>
      <w:r>
        <w:rPr>
          <w:spacing w:val="-26"/>
        </w:rPr>
        <w:t> </w:t>
      </w:r>
      <w:r>
        <w:rPr/>
        <w:t>the</w:t>
      </w:r>
      <w:r>
        <w:rPr>
          <w:spacing w:val="-28"/>
        </w:rPr>
        <w:t> </w:t>
      </w:r>
      <w:r>
        <w:rPr/>
        <w:t>subject</w:t>
      </w:r>
      <w:r>
        <w:rPr>
          <w:spacing w:val="-24"/>
        </w:rPr>
        <w:t> </w:t>
      </w:r>
      <w:r>
        <w:rPr/>
        <w:t>property</w:t>
      </w:r>
      <w:r>
        <w:rPr>
          <w:spacing w:val="-27"/>
        </w:rPr>
        <w:t> </w:t>
      </w:r>
      <w:r>
        <w:rPr/>
        <w:t>and</w:t>
      </w:r>
      <w:r>
        <w:rPr>
          <w:spacing w:val="-26"/>
        </w:rPr>
        <w:t> </w:t>
      </w:r>
      <w:r>
        <w:rPr/>
        <w:t>rent</w:t>
      </w:r>
      <w:r>
        <w:rPr>
          <w:spacing w:val="-25"/>
        </w:rPr>
        <w:t> </w:t>
      </w:r>
      <w:r>
        <w:rPr/>
        <w:t>for</w:t>
      </w:r>
      <w:r>
        <w:rPr>
          <w:spacing w:val="-26"/>
        </w:rPr>
        <w:t> </w:t>
      </w:r>
      <w:r>
        <w:rPr/>
        <w:t>those</w:t>
      </w:r>
      <w:r>
        <w:rPr>
          <w:spacing w:val="-27"/>
        </w:rPr>
        <w:t> </w:t>
      </w:r>
      <w:r>
        <w:rPr/>
        <w:t>spaces</w:t>
      </w:r>
      <w:r>
        <w:rPr>
          <w:spacing w:val="-27"/>
        </w:rPr>
        <w:t> </w:t>
      </w:r>
      <w:r>
        <w:rPr/>
        <w:t>as of</w:t>
      </w:r>
      <w:r>
        <w:rPr>
          <w:spacing w:val="-26"/>
        </w:rPr>
        <w:t> </w:t>
      </w:r>
      <w:r>
        <w:rPr/>
        <w:t>date</w:t>
      </w:r>
      <w:r>
        <w:rPr>
          <w:spacing w:val="-25"/>
        </w:rPr>
        <w:t> </w:t>
      </w:r>
      <w:r>
        <w:rPr/>
        <w:t>of</w:t>
      </w:r>
      <w:r>
        <w:rPr>
          <w:spacing w:val="-25"/>
        </w:rPr>
        <w:t> </w:t>
      </w:r>
      <w:r>
        <w:rPr/>
        <w:t>valuation.</w:t>
      </w:r>
      <w:r>
        <w:rPr>
          <w:spacing w:val="-26"/>
        </w:rPr>
        <w:t> </w:t>
      </w:r>
      <w:r>
        <w:rPr/>
        <w:t>The</w:t>
      </w:r>
      <w:r>
        <w:rPr>
          <w:spacing w:val="-24"/>
        </w:rPr>
        <w:t> </w:t>
      </w:r>
      <w:r>
        <w:rPr/>
        <w:t>intent</w:t>
      </w:r>
      <w:r>
        <w:rPr>
          <w:spacing w:val="-26"/>
        </w:rPr>
        <w:t> </w:t>
      </w:r>
      <w:r>
        <w:rPr/>
        <w:t>of</w:t>
      </w:r>
      <w:r>
        <w:rPr>
          <w:spacing w:val="-25"/>
        </w:rPr>
        <w:t> </w:t>
      </w:r>
      <w:r>
        <w:rPr/>
        <w:t>the</w:t>
      </w:r>
      <w:r>
        <w:rPr>
          <w:spacing w:val="-26"/>
        </w:rPr>
        <w:t> </w:t>
      </w:r>
      <w:r>
        <w:rPr/>
        <w:t>same</w:t>
      </w:r>
      <w:r>
        <w:rPr>
          <w:spacing w:val="-25"/>
        </w:rPr>
        <w:t> </w:t>
      </w:r>
      <w:r>
        <w:rPr/>
        <w:t>is</w:t>
      </w:r>
      <w:r>
        <w:rPr>
          <w:spacing w:val="-25"/>
        </w:rPr>
        <w:t> </w:t>
      </w:r>
      <w:r>
        <w:rPr/>
        <w:t>to</w:t>
      </w:r>
      <w:r>
        <w:rPr>
          <w:spacing w:val="-26"/>
        </w:rPr>
        <w:t> </w:t>
      </w:r>
      <w:r>
        <w:rPr/>
        <w:t>analyse</w:t>
      </w:r>
      <w:r>
        <w:rPr>
          <w:spacing w:val="-26"/>
        </w:rPr>
        <w:t> </w:t>
      </w:r>
      <w:r>
        <w:rPr/>
        <w:t>the</w:t>
      </w:r>
      <w:r>
        <w:rPr>
          <w:spacing w:val="-24"/>
        </w:rPr>
        <w:t> </w:t>
      </w:r>
      <w:r>
        <w:rPr/>
        <w:t>risk</w:t>
      </w:r>
      <w:r>
        <w:rPr>
          <w:spacing w:val="-26"/>
        </w:rPr>
        <w:t> </w:t>
      </w:r>
      <w:r>
        <w:rPr/>
        <w:t>of</w:t>
      </w:r>
      <w:r>
        <w:rPr>
          <w:spacing w:val="-25"/>
        </w:rPr>
        <w:t> </w:t>
      </w:r>
      <w:r>
        <w:rPr/>
        <w:t>tenant</w:t>
      </w:r>
      <w:r>
        <w:rPr>
          <w:spacing w:val="-25"/>
        </w:rPr>
        <w:t> </w:t>
      </w:r>
      <w:r>
        <w:rPr/>
        <w:t>churn</w:t>
      </w:r>
      <w:r>
        <w:rPr>
          <w:spacing w:val="-26"/>
        </w:rPr>
        <w:t> </w:t>
      </w:r>
      <w:r>
        <w:rPr/>
        <w:t>as</w:t>
      </w:r>
      <w:r>
        <w:rPr>
          <w:spacing w:val="-24"/>
        </w:rPr>
        <w:t> </w:t>
      </w:r>
      <w:r>
        <w:rPr/>
        <w:t>well</w:t>
      </w:r>
      <w:r>
        <w:rPr>
          <w:spacing w:val="-27"/>
        </w:rPr>
        <w:t> </w:t>
      </w:r>
      <w:r>
        <w:rPr/>
        <w:t>as</w:t>
      </w:r>
      <w:r>
        <w:rPr>
          <w:spacing w:val="-24"/>
        </w:rPr>
        <w:t> </w:t>
      </w:r>
      <w:r>
        <w:rPr/>
        <w:t>assessing</w:t>
      </w:r>
      <w:r>
        <w:rPr>
          <w:spacing w:val="-26"/>
        </w:rPr>
        <w:t> </w:t>
      </w:r>
      <w:r>
        <w:rPr/>
        <w:t>the re-leasing risk for the property along with opining on the timeframe to lease-up the spaces in case</w:t>
      </w:r>
      <w:r>
        <w:rPr>
          <w:spacing w:val="-31"/>
        </w:rPr>
        <w:t> </w:t>
      </w:r>
      <w:r>
        <w:rPr/>
        <w:t>a significant vacancy arises at the</w:t>
      </w:r>
      <w:r>
        <w:rPr>
          <w:spacing w:val="-22"/>
        </w:rPr>
        <w:t> </w:t>
      </w:r>
      <w:r>
        <w:rPr/>
        <w:t>property.</w:t>
      </w:r>
    </w:p>
    <w:p>
      <w:pPr>
        <w:pStyle w:val="BodyText"/>
        <w:spacing w:before="10"/>
        <w:rPr>
          <w:sz w:val="20"/>
        </w:rPr>
      </w:pPr>
    </w:p>
    <w:p>
      <w:pPr>
        <w:pStyle w:val="ListParagraph"/>
        <w:numPr>
          <w:ilvl w:val="2"/>
          <w:numId w:val="14"/>
        </w:numPr>
        <w:tabs>
          <w:tab w:pos="841" w:val="left" w:leader="none"/>
        </w:tabs>
        <w:spacing w:line="240" w:lineRule="auto" w:before="1" w:after="0"/>
        <w:ind w:left="840" w:right="0" w:hanging="721"/>
        <w:jc w:val="left"/>
        <w:rPr>
          <w:sz w:val="22"/>
        </w:rPr>
      </w:pPr>
      <w:bookmarkStart w:name="_bookmark281" w:id="548"/>
      <w:bookmarkEnd w:id="548"/>
      <w:r>
        <w:rPr/>
      </w:r>
      <w:bookmarkStart w:name="_bookmark281" w:id="549"/>
      <w:bookmarkEnd w:id="549"/>
      <w:r>
        <w:rPr>
          <w:color w:val="1F664D"/>
          <w:sz w:val="22"/>
        </w:rPr>
        <w:t>Esc</w:t>
      </w:r>
      <w:r>
        <w:rPr>
          <w:color w:val="1F664D"/>
          <w:sz w:val="22"/>
        </w:rPr>
        <w:t>alation</w:t>
      </w:r>
      <w:r>
        <w:rPr>
          <w:color w:val="1F664D"/>
          <w:spacing w:val="-3"/>
          <w:sz w:val="22"/>
        </w:rPr>
        <w:t> </w:t>
      </w:r>
      <w:r>
        <w:rPr>
          <w:color w:val="1F664D"/>
          <w:sz w:val="22"/>
        </w:rPr>
        <w:t>Analysis</w:t>
      </w:r>
    </w:p>
    <w:p>
      <w:pPr>
        <w:pStyle w:val="BodyText"/>
        <w:spacing w:line="321" w:lineRule="auto" w:before="207"/>
        <w:ind w:left="660" w:right="114"/>
        <w:jc w:val="both"/>
      </w:pPr>
      <w:r>
        <w:rPr/>
        <w:t>As</w:t>
      </w:r>
      <w:r>
        <w:rPr>
          <w:spacing w:val="-41"/>
        </w:rPr>
        <w:t> </w:t>
      </w:r>
      <w:r>
        <w:rPr/>
        <w:t>per</w:t>
      </w:r>
      <w:r>
        <w:rPr>
          <w:spacing w:val="-40"/>
        </w:rPr>
        <w:t> </w:t>
      </w:r>
      <w:r>
        <w:rPr/>
        <w:t>the</w:t>
      </w:r>
      <w:r>
        <w:rPr>
          <w:spacing w:val="-40"/>
        </w:rPr>
        <w:t> </w:t>
      </w:r>
      <w:r>
        <w:rPr/>
        <w:t>review</w:t>
      </w:r>
      <w:r>
        <w:rPr>
          <w:spacing w:val="-39"/>
        </w:rPr>
        <w:t> </w:t>
      </w:r>
      <w:r>
        <w:rPr/>
        <w:t>of</w:t>
      </w:r>
      <w:r>
        <w:rPr>
          <w:spacing w:val="-38"/>
        </w:rPr>
        <w:t> </w:t>
      </w:r>
      <w:r>
        <w:rPr/>
        <w:t>recently</w:t>
      </w:r>
      <w:r>
        <w:rPr>
          <w:spacing w:val="-39"/>
        </w:rPr>
        <w:t> </w:t>
      </w:r>
      <w:r>
        <w:rPr/>
        <w:t>executed</w:t>
      </w:r>
      <w:r>
        <w:rPr>
          <w:spacing w:val="-39"/>
        </w:rPr>
        <w:t> </w:t>
      </w:r>
      <w:r>
        <w:rPr/>
        <w:t>leases</w:t>
      </w:r>
      <w:r>
        <w:rPr>
          <w:spacing w:val="-39"/>
        </w:rPr>
        <w:t> </w:t>
      </w:r>
      <w:r>
        <w:rPr/>
        <w:t>at</w:t>
      </w:r>
      <w:r>
        <w:rPr>
          <w:spacing w:val="-40"/>
        </w:rPr>
        <w:t> </w:t>
      </w:r>
      <w:r>
        <w:rPr/>
        <w:t>the</w:t>
      </w:r>
      <w:r>
        <w:rPr>
          <w:spacing w:val="-40"/>
        </w:rPr>
        <w:t> </w:t>
      </w:r>
      <w:r>
        <w:rPr/>
        <w:t>subject</w:t>
      </w:r>
      <w:r>
        <w:rPr>
          <w:spacing w:val="-39"/>
        </w:rPr>
        <w:t> </w:t>
      </w:r>
      <w:r>
        <w:rPr/>
        <w:t>property,</w:t>
      </w:r>
      <w:r>
        <w:rPr>
          <w:spacing w:val="-40"/>
        </w:rPr>
        <w:t> </w:t>
      </w:r>
      <w:r>
        <w:rPr/>
        <w:t>it</w:t>
      </w:r>
      <w:r>
        <w:rPr>
          <w:spacing w:val="-40"/>
        </w:rPr>
        <w:t> </w:t>
      </w:r>
      <w:r>
        <w:rPr/>
        <w:t>is</w:t>
      </w:r>
      <w:r>
        <w:rPr>
          <w:spacing w:val="-39"/>
        </w:rPr>
        <w:t> </w:t>
      </w:r>
      <w:r>
        <w:rPr/>
        <w:t>understood</w:t>
      </w:r>
      <w:r>
        <w:rPr>
          <w:spacing w:val="-39"/>
        </w:rPr>
        <w:t> </w:t>
      </w:r>
      <w:r>
        <w:rPr/>
        <w:t>that</w:t>
      </w:r>
      <w:r>
        <w:rPr>
          <w:spacing w:val="-40"/>
        </w:rPr>
        <w:t> </w:t>
      </w:r>
      <w:r>
        <w:rPr/>
        <w:t>the</w:t>
      </w:r>
      <w:r>
        <w:rPr>
          <w:spacing w:val="-39"/>
        </w:rPr>
        <w:t> </w:t>
      </w:r>
      <w:r>
        <w:rPr/>
        <w:t>contracted escalation terms for these leases are 15% every 3 years, which are in line with the prevailing</w:t>
      </w:r>
      <w:r>
        <w:rPr>
          <w:spacing w:val="-35"/>
        </w:rPr>
        <w:t> </w:t>
      </w:r>
      <w:r>
        <w:rPr/>
        <w:t>market practice witnessed across the sub-market and</w:t>
      </w:r>
      <w:r>
        <w:rPr>
          <w:spacing w:val="-24"/>
        </w:rPr>
        <w:t> </w:t>
      </w:r>
      <w:r>
        <w:rPr/>
        <w:t>Noida.</w:t>
      </w:r>
    </w:p>
    <w:p>
      <w:pPr>
        <w:pStyle w:val="BodyText"/>
        <w:spacing w:before="11"/>
        <w:rPr>
          <w:sz w:val="20"/>
        </w:rPr>
      </w:pPr>
    </w:p>
    <w:p>
      <w:pPr>
        <w:pStyle w:val="ListParagraph"/>
        <w:numPr>
          <w:ilvl w:val="1"/>
          <w:numId w:val="14"/>
        </w:numPr>
        <w:tabs>
          <w:tab w:pos="697" w:val="left" w:leader="none"/>
        </w:tabs>
        <w:spacing w:line="240" w:lineRule="auto" w:before="0" w:after="0"/>
        <w:ind w:left="696" w:right="0" w:hanging="577"/>
        <w:jc w:val="left"/>
        <w:rPr>
          <w:color w:val="1F6647"/>
          <w:sz w:val="22"/>
        </w:rPr>
      </w:pPr>
      <w:bookmarkStart w:name="_bookmark282" w:id="550"/>
      <w:bookmarkEnd w:id="550"/>
      <w:r>
        <w:rPr/>
      </w:r>
      <w:bookmarkStart w:name="_bookmark282" w:id="551"/>
      <w:bookmarkEnd w:id="551"/>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line="324" w:lineRule="auto" w:before="208"/>
        <w:ind w:left="660" w:right="114"/>
        <w:jc w:val="both"/>
      </w:pPr>
      <w:r>
        <w:rPr/>
        <w:t>As highlighted earlier, the subject property is an operational office park located in Sector 62, an established commercial hub of Noida situated towards the geographical northern periphery of Noida</w:t>
      </w:r>
    </w:p>
    <w:p>
      <w:pPr>
        <w:spacing w:after="0" w:line="324" w:lineRule="auto"/>
        <w:jc w:val="both"/>
        <w:sectPr>
          <w:pgSz w:w="11910" w:h="16840"/>
          <w:pgMar w:header="720" w:footer="921" w:top="1660" w:bottom="1120" w:left="600" w:right="600"/>
        </w:sectPr>
      </w:pPr>
    </w:p>
    <w:p>
      <w:pPr>
        <w:pStyle w:val="BodyText"/>
        <w:spacing w:before="7"/>
        <w:rPr>
          <w:sz w:val="9"/>
        </w:rPr>
      </w:pPr>
    </w:p>
    <w:p>
      <w:pPr>
        <w:pStyle w:val="BodyText"/>
        <w:spacing w:line="321" w:lineRule="auto" w:before="106"/>
        <w:ind w:left="660" w:right="118"/>
        <w:jc w:val="both"/>
      </w:pPr>
      <w:r>
        <w:rPr/>
        <w:t>City.</w:t>
      </w:r>
      <w:r>
        <w:rPr>
          <w:spacing w:val="-34"/>
        </w:rPr>
        <w:t> </w:t>
      </w:r>
      <w:r>
        <w:rPr/>
        <w:t>The</w:t>
      </w:r>
      <w:r>
        <w:rPr>
          <w:spacing w:val="-35"/>
        </w:rPr>
        <w:t> </w:t>
      </w:r>
      <w:r>
        <w:rPr/>
        <w:t>subject</w:t>
      </w:r>
      <w:r>
        <w:rPr>
          <w:spacing w:val="-33"/>
        </w:rPr>
        <w:t> </w:t>
      </w:r>
      <w:r>
        <w:rPr/>
        <w:t>region</w:t>
      </w:r>
      <w:r>
        <w:rPr>
          <w:spacing w:val="-34"/>
        </w:rPr>
        <w:t> </w:t>
      </w:r>
      <w:r>
        <w:rPr/>
        <w:t>is</w:t>
      </w:r>
      <w:r>
        <w:rPr>
          <w:spacing w:val="-33"/>
        </w:rPr>
        <w:t> </w:t>
      </w:r>
      <w:r>
        <w:rPr/>
        <w:t>well</w:t>
      </w:r>
      <w:r>
        <w:rPr>
          <w:spacing w:val="-35"/>
        </w:rPr>
        <w:t> </w:t>
      </w:r>
      <w:r>
        <w:rPr/>
        <w:t>connected</w:t>
      </w:r>
      <w:r>
        <w:rPr>
          <w:spacing w:val="-32"/>
        </w:rPr>
        <w:t> </w:t>
      </w:r>
      <w:r>
        <w:rPr/>
        <w:t>to</w:t>
      </w:r>
      <w:r>
        <w:rPr>
          <w:spacing w:val="-33"/>
        </w:rPr>
        <w:t> </w:t>
      </w:r>
      <w:r>
        <w:rPr/>
        <w:t>other</w:t>
      </w:r>
      <w:r>
        <w:rPr>
          <w:spacing w:val="-33"/>
        </w:rPr>
        <w:t> </w:t>
      </w:r>
      <w:r>
        <w:rPr/>
        <w:t>parts</w:t>
      </w:r>
      <w:r>
        <w:rPr>
          <w:spacing w:val="-33"/>
        </w:rPr>
        <w:t> </w:t>
      </w:r>
      <w:r>
        <w:rPr/>
        <w:t>of</w:t>
      </w:r>
      <w:r>
        <w:rPr>
          <w:spacing w:val="-32"/>
        </w:rPr>
        <w:t> </w:t>
      </w:r>
      <w:r>
        <w:rPr/>
        <w:t>Noida</w:t>
      </w:r>
      <w:r>
        <w:rPr>
          <w:spacing w:val="-34"/>
        </w:rPr>
        <w:t> </w:t>
      </w:r>
      <w:r>
        <w:rPr/>
        <w:t>and</w:t>
      </w:r>
      <w:r>
        <w:rPr>
          <w:spacing w:val="-33"/>
        </w:rPr>
        <w:t> </w:t>
      </w:r>
      <w:r>
        <w:rPr/>
        <w:t>Delhi</w:t>
      </w:r>
      <w:r>
        <w:rPr>
          <w:spacing w:val="-34"/>
        </w:rPr>
        <w:t> </w:t>
      </w:r>
      <w:r>
        <w:rPr/>
        <w:t>owing</w:t>
      </w:r>
      <w:r>
        <w:rPr>
          <w:spacing w:val="-33"/>
        </w:rPr>
        <w:t> </w:t>
      </w:r>
      <w:r>
        <w:rPr/>
        <w:t>to</w:t>
      </w:r>
      <w:r>
        <w:rPr>
          <w:spacing w:val="-33"/>
        </w:rPr>
        <w:t> </w:t>
      </w:r>
      <w:r>
        <w:rPr/>
        <w:t>its</w:t>
      </w:r>
      <w:r>
        <w:rPr>
          <w:spacing w:val="-34"/>
        </w:rPr>
        <w:t> </w:t>
      </w:r>
      <w:r>
        <w:rPr/>
        <w:t>strategic</w:t>
      </w:r>
      <w:r>
        <w:rPr>
          <w:spacing w:val="-34"/>
        </w:rPr>
        <w:t> </w:t>
      </w:r>
      <w:r>
        <w:rPr/>
        <w:t>location in</w:t>
      </w:r>
      <w:r>
        <w:rPr>
          <w:spacing w:val="-8"/>
        </w:rPr>
        <w:t> </w:t>
      </w:r>
      <w:r>
        <w:rPr/>
        <w:t>proximity</w:t>
      </w:r>
      <w:r>
        <w:rPr>
          <w:spacing w:val="-5"/>
        </w:rPr>
        <w:t> </w:t>
      </w:r>
      <w:r>
        <w:rPr/>
        <w:t>to</w:t>
      </w:r>
      <w:r>
        <w:rPr>
          <w:spacing w:val="-7"/>
        </w:rPr>
        <w:t> </w:t>
      </w:r>
      <w:r>
        <w:rPr/>
        <w:t>NH</w:t>
      </w:r>
      <w:r>
        <w:rPr>
          <w:spacing w:val="-7"/>
        </w:rPr>
        <w:t> </w:t>
      </w:r>
      <w:r>
        <w:rPr>
          <w:w w:val="105"/>
        </w:rPr>
        <w:t>–</w:t>
      </w:r>
      <w:r>
        <w:rPr>
          <w:spacing w:val="-9"/>
          <w:w w:val="105"/>
        </w:rPr>
        <w:t> </w:t>
      </w:r>
      <w:r>
        <w:rPr/>
        <w:t>24,</w:t>
      </w:r>
      <w:r>
        <w:rPr>
          <w:spacing w:val="-10"/>
        </w:rPr>
        <w:t> </w:t>
      </w:r>
      <w:r>
        <w:rPr/>
        <w:t>which</w:t>
      </w:r>
      <w:r>
        <w:rPr>
          <w:spacing w:val="-7"/>
        </w:rPr>
        <w:t> </w:t>
      </w:r>
      <w:r>
        <w:rPr/>
        <w:t>makes</w:t>
      </w:r>
      <w:r>
        <w:rPr>
          <w:spacing w:val="-6"/>
        </w:rPr>
        <w:t> </w:t>
      </w:r>
      <w:r>
        <w:rPr/>
        <w:t>it</w:t>
      </w:r>
      <w:r>
        <w:rPr>
          <w:spacing w:val="-7"/>
        </w:rPr>
        <w:t> </w:t>
      </w:r>
      <w:r>
        <w:rPr/>
        <w:t>easily</w:t>
      </w:r>
      <w:r>
        <w:rPr>
          <w:spacing w:val="-5"/>
        </w:rPr>
        <w:t> </w:t>
      </w:r>
      <w:r>
        <w:rPr/>
        <w:t>accessible</w:t>
      </w:r>
      <w:r>
        <w:rPr>
          <w:spacing w:val="-8"/>
        </w:rPr>
        <w:t> </w:t>
      </w:r>
      <w:r>
        <w:rPr/>
        <w:t>from</w:t>
      </w:r>
      <w:r>
        <w:rPr>
          <w:spacing w:val="-7"/>
        </w:rPr>
        <w:t> </w:t>
      </w:r>
      <w:r>
        <w:rPr/>
        <w:t>other</w:t>
      </w:r>
      <w:r>
        <w:rPr>
          <w:spacing w:val="-6"/>
        </w:rPr>
        <w:t> </w:t>
      </w:r>
      <w:r>
        <w:rPr/>
        <w:t>regions</w:t>
      </w:r>
      <w:r>
        <w:rPr>
          <w:spacing w:val="-6"/>
        </w:rPr>
        <w:t> </w:t>
      </w:r>
      <w:r>
        <w:rPr/>
        <w:t>of</w:t>
      </w:r>
      <w:r>
        <w:rPr>
          <w:spacing w:val="-6"/>
        </w:rPr>
        <w:t> </w:t>
      </w:r>
      <w:r>
        <w:rPr/>
        <w:t>NCR.</w:t>
      </w:r>
    </w:p>
    <w:p>
      <w:pPr>
        <w:pStyle w:val="BodyText"/>
        <w:spacing w:before="10"/>
        <w:rPr>
          <w:sz w:val="20"/>
        </w:rPr>
      </w:pPr>
    </w:p>
    <w:p>
      <w:pPr>
        <w:pStyle w:val="BodyText"/>
        <w:spacing w:line="321" w:lineRule="auto"/>
        <w:ind w:left="682" w:right="113" w:hanging="22"/>
        <w:jc w:val="both"/>
      </w:pPr>
      <w:r>
        <w:rPr/>
        <w:t>The subject sub-market has witnessed significant development activity over the past few years in commercial</w:t>
      </w:r>
      <w:r>
        <w:rPr>
          <w:spacing w:val="-21"/>
        </w:rPr>
        <w:t> </w:t>
      </w:r>
      <w:r>
        <w:rPr/>
        <w:t>office</w:t>
      </w:r>
      <w:r>
        <w:rPr>
          <w:spacing w:val="-20"/>
        </w:rPr>
        <w:t> </w:t>
      </w:r>
      <w:r>
        <w:rPr/>
        <w:t>segment</w:t>
      </w:r>
      <w:r>
        <w:rPr>
          <w:spacing w:val="-20"/>
        </w:rPr>
        <w:t> </w:t>
      </w:r>
      <w:r>
        <w:rPr/>
        <w:t>with</w:t>
      </w:r>
      <w:r>
        <w:rPr>
          <w:spacing w:val="-22"/>
        </w:rPr>
        <w:t> </w:t>
      </w:r>
      <w:r>
        <w:rPr/>
        <w:t>facilities</w:t>
      </w:r>
      <w:r>
        <w:rPr>
          <w:spacing w:val="-21"/>
        </w:rPr>
        <w:t> </w:t>
      </w:r>
      <w:r>
        <w:rPr/>
        <w:t>being</w:t>
      </w:r>
      <w:r>
        <w:rPr>
          <w:spacing w:val="-20"/>
        </w:rPr>
        <w:t> </w:t>
      </w:r>
      <w:r>
        <w:rPr/>
        <w:t>developed</w:t>
      </w:r>
      <w:r>
        <w:rPr>
          <w:spacing w:val="-20"/>
        </w:rPr>
        <w:t> </w:t>
      </w:r>
      <w:r>
        <w:rPr/>
        <w:t>by</w:t>
      </w:r>
      <w:r>
        <w:rPr>
          <w:spacing w:val="-19"/>
        </w:rPr>
        <w:t> </w:t>
      </w:r>
      <w:r>
        <w:rPr/>
        <w:t>local</w:t>
      </w:r>
      <w:r>
        <w:rPr>
          <w:spacing w:val="-20"/>
        </w:rPr>
        <w:t> </w:t>
      </w:r>
      <w:r>
        <w:rPr/>
        <w:t>as</w:t>
      </w:r>
      <w:r>
        <w:rPr>
          <w:spacing w:val="-20"/>
        </w:rPr>
        <w:t> </w:t>
      </w:r>
      <w:r>
        <w:rPr/>
        <w:t>well</w:t>
      </w:r>
      <w:r>
        <w:rPr>
          <w:spacing w:val="-22"/>
        </w:rPr>
        <w:t> </w:t>
      </w:r>
      <w:r>
        <w:rPr/>
        <w:t>as</w:t>
      </w:r>
      <w:r>
        <w:rPr>
          <w:spacing w:val="-19"/>
        </w:rPr>
        <w:t> </w:t>
      </w:r>
      <w:r>
        <w:rPr/>
        <w:t>regional</w:t>
      </w:r>
      <w:r>
        <w:rPr>
          <w:spacing w:val="-20"/>
        </w:rPr>
        <w:t> </w:t>
      </w:r>
      <w:r>
        <w:rPr/>
        <w:t>developers.</w:t>
      </w:r>
      <w:r>
        <w:rPr>
          <w:spacing w:val="-21"/>
        </w:rPr>
        <w:t> </w:t>
      </w:r>
      <w:r>
        <w:rPr/>
        <w:t>The subject</w:t>
      </w:r>
      <w:r>
        <w:rPr>
          <w:spacing w:val="-33"/>
        </w:rPr>
        <w:t> </w:t>
      </w:r>
      <w:r>
        <w:rPr/>
        <w:t>sub-market</w:t>
      </w:r>
      <w:r>
        <w:rPr>
          <w:spacing w:val="-32"/>
        </w:rPr>
        <w:t> </w:t>
      </w:r>
      <w:r>
        <w:rPr/>
        <w:t>has</w:t>
      </w:r>
      <w:r>
        <w:rPr>
          <w:spacing w:val="-31"/>
        </w:rPr>
        <w:t> </w:t>
      </w:r>
      <w:r>
        <w:rPr/>
        <w:t>witnessed</w:t>
      </w:r>
      <w:r>
        <w:rPr>
          <w:spacing w:val="-32"/>
        </w:rPr>
        <w:t> </w:t>
      </w:r>
      <w:r>
        <w:rPr/>
        <w:t>robust</w:t>
      </w:r>
      <w:r>
        <w:rPr>
          <w:spacing w:val="-32"/>
        </w:rPr>
        <w:t> </w:t>
      </w:r>
      <w:r>
        <w:rPr/>
        <w:t>demand</w:t>
      </w:r>
      <w:r>
        <w:rPr>
          <w:spacing w:val="-34"/>
        </w:rPr>
        <w:t> </w:t>
      </w:r>
      <w:r>
        <w:rPr/>
        <w:t>from</w:t>
      </w:r>
      <w:r>
        <w:rPr>
          <w:spacing w:val="-32"/>
        </w:rPr>
        <w:t> </w:t>
      </w:r>
      <w:r>
        <w:rPr/>
        <w:t>the</w:t>
      </w:r>
      <w:r>
        <w:rPr>
          <w:spacing w:val="-33"/>
        </w:rPr>
        <w:t> </w:t>
      </w:r>
      <w:r>
        <w:rPr/>
        <w:t>technology</w:t>
      </w:r>
      <w:r>
        <w:rPr>
          <w:spacing w:val="-31"/>
        </w:rPr>
        <w:t> </w:t>
      </w:r>
      <w:r>
        <w:rPr/>
        <w:t>sector,</w:t>
      </w:r>
      <w:r>
        <w:rPr>
          <w:spacing w:val="-33"/>
        </w:rPr>
        <w:t> </w:t>
      </w:r>
      <w:r>
        <w:rPr/>
        <w:t>owing</w:t>
      </w:r>
      <w:r>
        <w:rPr>
          <w:spacing w:val="-32"/>
        </w:rPr>
        <w:t> </w:t>
      </w:r>
      <w:r>
        <w:rPr/>
        <w:t>to</w:t>
      </w:r>
      <w:r>
        <w:rPr>
          <w:spacing w:val="-32"/>
        </w:rPr>
        <w:t> </w:t>
      </w:r>
      <w:r>
        <w:rPr/>
        <w:t>its</w:t>
      </w:r>
      <w:r>
        <w:rPr>
          <w:spacing w:val="-32"/>
        </w:rPr>
        <w:t> </w:t>
      </w:r>
      <w:r>
        <w:rPr/>
        <w:t>positioning</w:t>
      </w:r>
      <w:r>
        <w:rPr>
          <w:spacing w:val="-33"/>
        </w:rPr>
        <w:t> </w:t>
      </w:r>
      <w:r>
        <w:rPr/>
        <w:t>as a</w:t>
      </w:r>
      <w:r>
        <w:rPr>
          <w:spacing w:val="-17"/>
        </w:rPr>
        <w:t> </w:t>
      </w:r>
      <w:r>
        <w:rPr/>
        <w:t>technology</w:t>
      </w:r>
      <w:r>
        <w:rPr>
          <w:spacing w:val="-15"/>
        </w:rPr>
        <w:t> </w:t>
      </w:r>
      <w:r>
        <w:rPr/>
        <w:t>hub.</w:t>
      </w:r>
      <w:r>
        <w:rPr>
          <w:spacing w:val="-18"/>
        </w:rPr>
        <w:t> </w:t>
      </w:r>
      <w:r>
        <w:rPr/>
        <w:t>Sector</w:t>
      </w:r>
      <w:r>
        <w:rPr>
          <w:spacing w:val="-17"/>
        </w:rPr>
        <w:t> </w:t>
      </w:r>
      <w:r>
        <w:rPr/>
        <w:t>62</w:t>
      </w:r>
      <w:r>
        <w:rPr>
          <w:spacing w:val="-16"/>
        </w:rPr>
        <w:t> </w:t>
      </w:r>
      <w:r>
        <w:rPr/>
        <w:t>also</w:t>
      </w:r>
      <w:r>
        <w:rPr>
          <w:spacing w:val="-17"/>
        </w:rPr>
        <w:t> </w:t>
      </w:r>
      <w:r>
        <w:rPr/>
        <w:t>comprises</w:t>
      </w:r>
      <w:r>
        <w:rPr>
          <w:spacing w:val="-15"/>
        </w:rPr>
        <w:t> </w:t>
      </w:r>
      <w:r>
        <w:rPr/>
        <w:t>of</w:t>
      </w:r>
      <w:r>
        <w:rPr>
          <w:spacing w:val="-15"/>
        </w:rPr>
        <w:t> </w:t>
      </w:r>
      <w:r>
        <w:rPr/>
        <w:t>some</w:t>
      </w:r>
      <w:r>
        <w:rPr>
          <w:spacing w:val="-16"/>
        </w:rPr>
        <w:t> </w:t>
      </w:r>
      <w:r>
        <w:rPr/>
        <w:t>prominent</w:t>
      </w:r>
      <w:r>
        <w:rPr>
          <w:spacing w:val="-16"/>
        </w:rPr>
        <w:t> </w:t>
      </w:r>
      <w:r>
        <w:rPr/>
        <w:t>educational</w:t>
      </w:r>
      <w:r>
        <w:rPr>
          <w:spacing w:val="-17"/>
        </w:rPr>
        <w:t> </w:t>
      </w:r>
      <w:r>
        <w:rPr/>
        <w:t>institutions</w:t>
      </w:r>
      <w:r>
        <w:rPr>
          <w:spacing w:val="-17"/>
        </w:rPr>
        <w:t> </w:t>
      </w:r>
      <w:r>
        <w:rPr/>
        <w:t>such</w:t>
      </w:r>
      <w:r>
        <w:rPr>
          <w:spacing w:val="-16"/>
        </w:rPr>
        <w:t> </w:t>
      </w:r>
      <w:r>
        <w:rPr/>
        <w:t>as</w:t>
      </w:r>
      <w:r>
        <w:rPr>
          <w:spacing w:val="-17"/>
        </w:rPr>
        <w:t> </w:t>
      </w:r>
      <w:r>
        <w:rPr/>
        <w:t>Jaypee Business School, Symbiosis Law School, IIM Lucknow (Noida Campus), etc. In addition to this, Fortis Hospital is also located in the subject region. The region is also located in proximity to established residential</w:t>
      </w:r>
      <w:r>
        <w:rPr>
          <w:spacing w:val="-33"/>
        </w:rPr>
        <w:t> </w:t>
      </w:r>
      <w:r>
        <w:rPr/>
        <w:t>hubs</w:t>
      </w:r>
      <w:r>
        <w:rPr>
          <w:spacing w:val="-33"/>
        </w:rPr>
        <w:t> </w:t>
      </w:r>
      <w:r>
        <w:rPr/>
        <w:t>such</w:t>
      </w:r>
      <w:r>
        <w:rPr>
          <w:spacing w:val="-33"/>
        </w:rPr>
        <w:t> </w:t>
      </w:r>
      <w:r>
        <w:rPr/>
        <w:t>as</w:t>
      </w:r>
      <w:r>
        <w:rPr>
          <w:spacing w:val="-32"/>
        </w:rPr>
        <w:t> </w:t>
      </w:r>
      <w:r>
        <w:rPr/>
        <w:t>Indirapuram,</w:t>
      </w:r>
      <w:r>
        <w:rPr>
          <w:spacing w:val="-32"/>
        </w:rPr>
        <w:t> </w:t>
      </w:r>
      <w:r>
        <w:rPr/>
        <w:t>Vaishali,</w:t>
      </w:r>
      <w:r>
        <w:rPr>
          <w:spacing w:val="-33"/>
        </w:rPr>
        <w:t> </w:t>
      </w:r>
      <w:r>
        <w:rPr/>
        <w:t>etc.</w:t>
      </w:r>
      <w:r>
        <w:rPr>
          <w:spacing w:val="-32"/>
        </w:rPr>
        <w:t> </w:t>
      </w:r>
      <w:r>
        <w:rPr/>
        <w:t>which</w:t>
      </w:r>
      <w:r>
        <w:rPr>
          <w:spacing w:val="-33"/>
        </w:rPr>
        <w:t> </w:t>
      </w:r>
      <w:r>
        <w:rPr/>
        <w:t>offer</w:t>
      </w:r>
      <w:r>
        <w:rPr>
          <w:spacing w:val="-33"/>
        </w:rPr>
        <w:t> </w:t>
      </w:r>
      <w:r>
        <w:rPr/>
        <w:t>a</w:t>
      </w:r>
      <w:r>
        <w:rPr>
          <w:spacing w:val="-33"/>
        </w:rPr>
        <w:t> </w:t>
      </w:r>
      <w:r>
        <w:rPr/>
        <w:t>range</w:t>
      </w:r>
      <w:r>
        <w:rPr>
          <w:spacing w:val="-32"/>
        </w:rPr>
        <w:t> </w:t>
      </w:r>
      <w:r>
        <w:rPr/>
        <w:t>of</w:t>
      </w:r>
      <w:r>
        <w:rPr>
          <w:spacing w:val="-32"/>
        </w:rPr>
        <w:t> </w:t>
      </w:r>
      <w:r>
        <w:rPr/>
        <w:t>affordable</w:t>
      </w:r>
      <w:r>
        <w:rPr>
          <w:spacing w:val="-32"/>
        </w:rPr>
        <w:t> </w:t>
      </w:r>
      <w:r>
        <w:rPr/>
        <w:t>to</w:t>
      </w:r>
      <w:r>
        <w:rPr>
          <w:spacing w:val="-33"/>
        </w:rPr>
        <w:t> </w:t>
      </w:r>
      <w:r>
        <w:rPr/>
        <w:t>mid-end</w:t>
      </w:r>
      <w:r>
        <w:rPr>
          <w:spacing w:val="-32"/>
        </w:rPr>
        <w:t> </w:t>
      </w:r>
      <w:r>
        <w:rPr/>
        <w:t>housing options.</w:t>
      </w:r>
    </w:p>
    <w:p>
      <w:pPr>
        <w:pStyle w:val="BodyText"/>
        <w:spacing w:before="10"/>
        <w:rPr>
          <w:sz w:val="20"/>
        </w:rPr>
      </w:pPr>
    </w:p>
    <w:p>
      <w:pPr>
        <w:pStyle w:val="BodyText"/>
        <w:spacing w:line="321" w:lineRule="auto" w:before="1"/>
        <w:ind w:left="682" w:right="115" w:hanging="22"/>
        <w:jc w:val="both"/>
      </w:pPr>
      <w:r>
        <w:rPr/>
        <w:t>Sector 62 is perceived as a favourable destination for technology companies owing to established </w:t>
      </w:r>
      <w:r>
        <w:rPr>
          <w:w w:val="95"/>
        </w:rPr>
        <w:t>infrastructure,</w:t>
      </w:r>
      <w:r>
        <w:rPr>
          <w:spacing w:val="-15"/>
          <w:w w:val="95"/>
        </w:rPr>
        <w:t> </w:t>
      </w:r>
      <w:r>
        <w:rPr>
          <w:w w:val="95"/>
        </w:rPr>
        <w:t>excellent</w:t>
      </w:r>
      <w:r>
        <w:rPr>
          <w:spacing w:val="-14"/>
          <w:w w:val="95"/>
        </w:rPr>
        <w:t> </w:t>
      </w:r>
      <w:r>
        <w:rPr>
          <w:w w:val="95"/>
        </w:rPr>
        <w:t>connectivity,</w:t>
      </w:r>
      <w:r>
        <w:rPr>
          <w:spacing w:val="-14"/>
          <w:w w:val="95"/>
        </w:rPr>
        <w:t> </w:t>
      </w:r>
      <w:r>
        <w:rPr>
          <w:w w:val="95"/>
        </w:rPr>
        <w:t>cluster</w:t>
      </w:r>
      <w:r>
        <w:rPr>
          <w:spacing w:val="-14"/>
          <w:w w:val="95"/>
        </w:rPr>
        <w:t> </w:t>
      </w:r>
      <w:r>
        <w:rPr>
          <w:w w:val="95"/>
        </w:rPr>
        <w:t>of</w:t>
      </w:r>
      <w:r>
        <w:rPr>
          <w:spacing w:val="-15"/>
          <w:w w:val="95"/>
        </w:rPr>
        <w:t> </w:t>
      </w:r>
      <w:r>
        <w:rPr>
          <w:w w:val="95"/>
        </w:rPr>
        <w:t>similar</w:t>
      </w:r>
      <w:r>
        <w:rPr>
          <w:spacing w:val="-15"/>
          <w:w w:val="95"/>
        </w:rPr>
        <w:t> </w:t>
      </w:r>
      <w:r>
        <w:rPr>
          <w:w w:val="95"/>
        </w:rPr>
        <w:t>companies</w:t>
      </w:r>
      <w:r>
        <w:rPr>
          <w:spacing w:val="-13"/>
          <w:w w:val="95"/>
        </w:rPr>
        <w:t> </w:t>
      </w:r>
      <w:r>
        <w:rPr>
          <w:w w:val="95"/>
        </w:rPr>
        <w:t>in</w:t>
      </w:r>
      <w:r>
        <w:rPr>
          <w:spacing w:val="-14"/>
          <w:w w:val="95"/>
        </w:rPr>
        <w:t> </w:t>
      </w:r>
      <w:r>
        <w:rPr>
          <w:w w:val="95"/>
        </w:rPr>
        <w:t>the</w:t>
      </w:r>
      <w:r>
        <w:rPr>
          <w:spacing w:val="-17"/>
          <w:w w:val="95"/>
        </w:rPr>
        <w:t> </w:t>
      </w:r>
      <w:r>
        <w:rPr>
          <w:w w:val="95"/>
        </w:rPr>
        <w:t>immediate</w:t>
      </w:r>
      <w:r>
        <w:rPr>
          <w:spacing w:val="-10"/>
          <w:w w:val="95"/>
        </w:rPr>
        <w:t> </w:t>
      </w:r>
      <w:r>
        <w:rPr>
          <w:w w:val="95"/>
        </w:rPr>
        <w:t>vicinity,</w:t>
      </w:r>
      <w:r>
        <w:rPr>
          <w:spacing w:val="-14"/>
          <w:w w:val="95"/>
        </w:rPr>
        <w:t> </w:t>
      </w:r>
      <w:r>
        <w:rPr>
          <w:w w:val="95"/>
        </w:rPr>
        <w:t>etc.</w:t>
      </w:r>
      <w:r>
        <w:rPr>
          <w:spacing w:val="-16"/>
          <w:w w:val="95"/>
        </w:rPr>
        <w:t> </w:t>
      </w:r>
      <w:r>
        <w:rPr>
          <w:w w:val="95"/>
        </w:rPr>
        <w:t>Some</w:t>
      </w:r>
      <w:r>
        <w:rPr>
          <w:spacing w:val="-14"/>
          <w:w w:val="95"/>
        </w:rPr>
        <w:t> </w:t>
      </w:r>
      <w:r>
        <w:rPr>
          <w:w w:val="95"/>
        </w:rPr>
        <w:t>of </w:t>
      </w:r>
      <w:r>
        <w:rPr/>
        <w:t>the</w:t>
      </w:r>
      <w:r>
        <w:rPr>
          <w:spacing w:val="-28"/>
        </w:rPr>
        <w:t> </w:t>
      </w:r>
      <w:r>
        <w:rPr/>
        <w:t>prominent</w:t>
      </w:r>
      <w:r>
        <w:rPr>
          <w:spacing w:val="-28"/>
        </w:rPr>
        <w:t> </w:t>
      </w:r>
      <w:r>
        <w:rPr/>
        <w:t>commercial</w:t>
      </w:r>
      <w:r>
        <w:rPr>
          <w:spacing w:val="-28"/>
        </w:rPr>
        <w:t> </w:t>
      </w:r>
      <w:r>
        <w:rPr/>
        <w:t>developments</w:t>
      </w:r>
      <w:r>
        <w:rPr>
          <w:spacing w:val="-27"/>
        </w:rPr>
        <w:t> </w:t>
      </w:r>
      <w:r>
        <w:rPr/>
        <w:t>in</w:t>
      </w:r>
      <w:r>
        <w:rPr>
          <w:spacing w:val="-28"/>
        </w:rPr>
        <w:t> </w:t>
      </w:r>
      <w:r>
        <w:rPr/>
        <w:t>the</w:t>
      </w:r>
      <w:r>
        <w:rPr>
          <w:spacing w:val="-28"/>
        </w:rPr>
        <w:t> </w:t>
      </w:r>
      <w:r>
        <w:rPr/>
        <w:t>subject</w:t>
      </w:r>
      <w:r>
        <w:rPr>
          <w:spacing w:val="-27"/>
        </w:rPr>
        <w:t> </w:t>
      </w:r>
      <w:r>
        <w:rPr/>
        <w:t>sub-market</w:t>
      </w:r>
      <w:r>
        <w:rPr>
          <w:spacing w:val="-27"/>
        </w:rPr>
        <w:t> </w:t>
      </w:r>
      <w:r>
        <w:rPr/>
        <w:t>are</w:t>
      </w:r>
      <w:r>
        <w:rPr>
          <w:spacing w:val="-28"/>
        </w:rPr>
        <w:t> </w:t>
      </w:r>
      <w:r>
        <w:rPr/>
        <w:t>Stellar</w:t>
      </w:r>
      <w:r>
        <w:rPr>
          <w:spacing w:val="-27"/>
        </w:rPr>
        <w:t> </w:t>
      </w:r>
      <w:r>
        <w:rPr/>
        <w:t>IT</w:t>
      </w:r>
      <w:r>
        <w:rPr>
          <w:spacing w:val="-27"/>
        </w:rPr>
        <w:t> </w:t>
      </w:r>
      <w:r>
        <w:rPr/>
        <w:t>Park,</w:t>
      </w:r>
      <w:r>
        <w:rPr>
          <w:spacing w:val="-28"/>
        </w:rPr>
        <w:t> </w:t>
      </w:r>
      <w:r>
        <w:rPr/>
        <w:t>Embassy</w:t>
      </w:r>
      <w:r>
        <w:rPr>
          <w:spacing w:val="-26"/>
        </w:rPr>
        <w:t> </w:t>
      </w:r>
      <w:r>
        <w:rPr/>
        <w:t>Galaxy (‘the</w:t>
      </w:r>
      <w:r>
        <w:rPr>
          <w:spacing w:val="-31"/>
        </w:rPr>
        <w:t> </w:t>
      </w:r>
      <w:r>
        <w:rPr/>
        <w:t>subject</w:t>
      </w:r>
      <w:r>
        <w:rPr>
          <w:spacing w:val="-30"/>
        </w:rPr>
        <w:t> </w:t>
      </w:r>
      <w:r>
        <w:rPr/>
        <w:t>property’),</w:t>
      </w:r>
      <w:r>
        <w:rPr>
          <w:spacing w:val="-29"/>
        </w:rPr>
        <w:t> </w:t>
      </w:r>
      <w:r>
        <w:rPr/>
        <w:t>Knowledge</w:t>
      </w:r>
      <w:r>
        <w:rPr>
          <w:spacing w:val="-32"/>
        </w:rPr>
        <w:t> </w:t>
      </w:r>
      <w:r>
        <w:rPr/>
        <w:t>Boulevard,</w:t>
      </w:r>
      <w:r>
        <w:rPr>
          <w:spacing w:val="-30"/>
        </w:rPr>
        <w:t> </w:t>
      </w:r>
      <w:r>
        <w:rPr/>
        <w:t>Candor</w:t>
      </w:r>
      <w:r>
        <w:rPr>
          <w:spacing w:val="-31"/>
        </w:rPr>
        <w:t> </w:t>
      </w:r>
      <w:r>
        <w:rPr/>
        <w:t>Techspace,</w:t>
      </w:r>
      <w:r>
        <w:rPr>
          <w:spacing w:val="-31"/>
        </w:rPr>
        <w:t> </w:t>
      </w:r>
      <w:r>
        <w:rPr/>
        <w:t>Logix</w:t>
      </w:r>
      <w:r>
        <w:rPr>
          <w:spacing w:val="-31"/>
        </w:rPr>
        <w:t> </w:t>
      </w:r>
      <w:r>
        <w:rPr/>
        <w:t>Cyber</w:t>
      </w:r>
      <w:r>
        <w:rPr>
          <w:spacing w:val="-32"/>
        </w:rPr>
        <w:t> </w:t>
      </w:r>
      <w:r>
        <w:rPr/>
        <w:t>Park,</w:t>
      </w:r>
      <w:r>
        <w:rPr>
          <w:spacing w:val="-31"/>
        </w:rPr>
        <w:t> </w:t>
      </w:r>
      <w:r>
        <w:rPr/>
        <w:t>Green</w:t>
      </w:r>
      <w:r>
        <w:rPr>
          <w:spacing w:val="-30"/>
        </w:rPr>
        <w:t> </w:t>
      </w:r>
      <w:r>
        <w:rPr/>
        <w:t>Boulevard, Okaya Center,</w:t>
      </w:r>
      <w:r>
        <w:rPr>
          <w:spacing w:val="-5"/>
        </w:rPr>
        <w:t> </w:t>
      </w:r>
      <w:r>
        <w:rPr/>
        <w:t>etc.</w:t>
      </w:r>
    </w:p>
    <w:p>
      <w:pPr>
        <w:pStyle w:val="BodyText"/>
        <w:rPr>
          <w:sz w:val="21"/>
        </w:rPr>
      </w:pPr>
    </w:p>
    <w:p>
      <w:pPr>
        <w:pStyle w:val="BodyText"/>
        <w:spacing w:line="321" w:lineRule="auto"/>
        <w:ind w:left="682" w:right="116" w:hanging="22"/>
        <w:jc w:val="both"/>
      </w:pPr>
      <w:r>
        <w:rPr/>
        <w:t>Further,</w:t>
      </w:r>
      <w:r>
        <w:rPr>
          <w:spacing w:val="-34"/>
        </w:rPr>
        <w:t> </w:t>
      </w:r>
      <w:r>
        <w:rPr/>
        <w:t>due</w:t>
      </w:r>
      <w:r>
        <w:rPr>
          <w:spacing w:val="-33"/>
        </w:rPr>
        <w:t> </w:t>
      </w:r>
      <w:r>
        <w:rPr/>
        <w:t>to</w:t>
      </w:r>
      <w:r>
        <w:rPr>
          <w:spacing w:val="-33"/>
        </w:rPr>
        <w:t> </w:t>
      </w:r>
      <w:r>
        <w:rPr/>
        <w:t>sustained</w:t>
      </w:r>
      <w:r>
        <w:rPr>
          <w:spacing w:val="-34"/>
        </w:rPr>
        <w:t> </w:t>
      </w:r>
      <w:r>
        <w:rPr/>
        <w:t>demand</w:t>
      </w:r>
      <w:r>
        <w:rPr>
          <w:spacing w:val="-33"/>
        </w:rPr>
        <w:t> </w:t>
      </w:r>
      <w:r>
        <w:rPr/>
        <w:t>and</w:t>
      </w:r>
      <w:r>
        <w:rPr>
          <w:spacing w:val="-34"/>
        </w:rPr>
        <w:t> </w:t>
      </w:r>
      <w:r>
        <w:rPr/>
        <w:t>positive</w:t>
      </w:r>
      <w:r>
        <w:rPr>
          <w:spacing w:val="-33"/>
        </w:rPr>
        <w:t> </w:t>
      </w:r>
      <w:r>
        <w:rPr/>
        <w:t>future</w:t>
      </w:r>
      <w:r>
        <w:rPr>
          <w:spacing w:val="-33"/>
        </w:rPr>
        <w:t> </w:t>
      </w:r>
      <w:r>
        <w:rPr/>
        <w:t>perception</w:t>
      </w:r>
      <w:r>
        <w:rPr>
          <w:spacing w:val="-33"/>
        </w:rPr>
        <w:t> </w:t>
      </w:r>
      <w:r>
        <w:rPr/>
        <w:t>of</w:t>
      </w:r>
      <w:r>
        <w:rPr>
          <w:spacing w:val="-34"/>
        </w:rPr>
        <w:t> </w:t>
      </w:r>
      <w:r>
        <w:rPr/>
        <w:t>the</w:t>
      </w:r>
      <w:r>
        <w:rPr>
          <w:spacing w:val="-33"/>
        </w:rPr>
        <w:t> </w:t>
      </w:r>
      <w:r>
        <w:rPr/>
        <w:t>subject</w:t>
      </w:r>
      <w:r>
        <w:rPr>
          <w:spacing w:val="-33"/>
        </w:rPr>
        <w:t> </w:t>
      </w:r>
      <w:r>
        <w:rPr/>
        <w:t>vector,</w:t>
      </w:r>
      <w:r>
        <w:rPr>
          <w:spacing w:val="-33"/>
        </w:rPr>
        <w:t> </w:t>
      </w:r>
      <w:r>
        <w:rPr/>
        <w:t>a</w:t>
      </w:r>
      <w:r>
        <w:rPr>
          <w:spacing w:val="-33"/>
        </w:rPr>
        <w:t> </w:t>
      </w:r>
      <w:r>
        <w:rPr/>
        <w:t>few</w:t>
      </w:r>
      <w:r>
        <w:rPr>
          <w:spacing w:val="-33"/>
        </w:rPr>
        <w:t> </w:t>
      </w:r>
      <w:r>
        <w:rPr/>
        <w:t>developers have</w:t>
      </w:r>
      <w:r>
        <w:rPr>
          <w:spacing w:val="-8"/>
        </w:rPr>
        <w:t> </w:t>
      </w:r>
      <w:r>
        <w:rPr/>
        <w:t>commenced</w:t>
      </w:r>
      <w:r>
        <w:rPr>
          <w:spacing w:val="-6"/>
        </w:rPr>
        <w:t> </w:t>
      </w:r>
      <w:r>
        <w:rPr/>
        <w:t>construction</w:t>
      </w:r>
      <w:r>
        <w:rPr>
          <w:spacing w:val="-7"/>
        </w:rPr>
        <w:t> </w:t>
      </w:r>
      <w:r>
        <w:rPr/>
        <w:t>of</w:t>
      </w:r>
      <w:r>
        <w:rPr>
          <w:spacing w:val="-7"/>
        </w:rPr>
        <w:t> </w:t>
      </w:r>
      <w:r>
        <w:rPr/>
        <w:t>commercial</w:t>
      </w:r>
      <w:r>
        <w:rPr>
          <w:spacing w:val="-7"/>
        </w:rPr>
        <w:t> </w:t>
      </w:r>
      <w:r>
        <w:rPr/>
        <w:t>developments</w:t>
      </w:r>
      <w:r>
        <w:rPr>
          <w:spacing w:val="-6"/>
        </w:rPr>
        <w:t> </w:t>
      </w:r>
      <w:r>
        <w:rPr/>
        <w:t>in</w:t>
      </w:r>
      <w:r>
        <w:rPr>
          <w:spacing w:val="-8"/>
        </w:rPr>
        <w:t> </w:t>
      </w:r>
      <w:r>
        <w:rPr/>
        <w:t>the</w:t>
      </w:r>
      <w:r>
        <w:rPr>
          <w:spacing w:val="-8"/>
        </w:rPr>
        <w:t> </w:t>
      </w:r>
      <w:r>
        <w:rPr/>
        <w:t>subject</w:t>
      </w:r>
      <w:r>
        <w:rPr>
          <w:spacing w:val="-7"/>
        </w:rPr>
        <w:t> </w:t>
      </w:r>
      <w:r>
        <w:rPr/>
        <w:t>sub-market.</w:t>
      </w:r>
      <w:r>
        <w:rPr>
          <w:spacing w:val="-7"/>
        </w:rPr>
        <w:t> </w:t>
      </w:r>
      <w:r>
        <w:rPr/>
        <w:t>Additionally, relatively</w:t>
      </w:r>
      <w:r>
        <w:rPr>
          <w:spacing w:val="-22"/>
        </w:rPr>
        <w:t> </w:t>
      </w:r>
      <w:r>
        <w:rPr/>
        <w:t>lower</w:t>
      </w:r>
      <w:r>
        <w:rPr>
          <w:spacing w:val="-23"/>
        </w:rPr>
        <w:t> </w:t>
      </w:r>
      <w:r>
        <w:rPr/>
        <w:t>rentals</w:t>
      </w:r>
      <w:r>
        <w:rPr>
          <w:spacing w:val="-21"/>
        </w:rPr>
        <w:t> </w:t>
      </w:r>
      <w:r>
        <w:rPr/>
        <w:t>and</w:t>
      </w:r>
      <w:r>
        <w:rPr>
          <w:spacing w:val="-24"/>
        </w:rPr>
        <w:t> </w:t>
      </w:r>
      <w:r>
        <w:rPr/>
        <w:t>significant</w:t>
      </w:r>
      <w:r>
        <w:rPr>
          <w:spacing w:val="-23"/>
        </w:rPr>
        <w:t> </w:t>
      </w:r>
      <w:r>
        <w:rPr/>
        <w:t>grade</w:t>
      </w:r>
      <w:r>
        <w:rPr>
          <w:spacing w:val="-25"/>
        </w:rPr>
        <w:t> </w:t>
      </w:r>
      <w:r>
        <w:rPr/>
        <w:t>A</w:t>
      </w:r>
      <w:r>
        <w:rPr>
          <w:spacing w:val="-22"/>
        </w:rPr>
        <w:t> </w:t>
      </w:r>
      <w:r>
        <w:rPr/>
        <w:t>supply</w:t>
      </w:r>
      <w:r>
        <w:rPr>
          <w:spacing w:val="-19"/>
        </w:rPr>
        <w:t> </w:t>
      </w:r>
      <w:r>
        <w:rPr/>
        <w:t>in</w:t>
      </w:r>
      <w:r>
        <w:rPr>
          <w:spacing w:val="-23"/>
        </w:rPr>
        <w:t> </w:t>
      </w:r>
      <w:r>
        <w:rPr/>
        <w:t>the</w:t>
      </w:r>
      <w:r>
        <w:rPr>
          <w:spacing w:val="-24"/>
        </w:rPr>
        <w:t> </w:t>
      </w:r>
      <w:r>
        <w:rPr/>
        <w:t>subject</w:t>
      </w:r>
      <w:r>
        <w:rPr>
          <w:spacing w:val="-21"/>
        </w:rPr>
        <w:t> </w:t>
      </w:r>
      <w:r>
        <w:rPr/>
        <w:t>sub-market,</w:t>
      </w:r>
      <w:r>
        <w:rPr>
          <w:spacing w:val="-22"/>
        </w:rPr>
        <w:t> </w:t>
      </w:r>
      <w:r>
        <w:rPr/>
        <w:t>has</w:t>
      </w:r>
      <w:r>
        <w:rPr>
          <w:spacing w:val="-22"/>
        </w:rPr>
        <w:t> </w:t>
      </w:r>
      <w:r>
        <w:rPr/>
        <w:t>led</w:t>
      </w:r>
      <w:r>
        <w:rPr>
          <w:spacing w:val="-23"/>
        </w:rPr>
        <w:t> </w:t>
      </w:r>
      <w:r>
        <w:rPr/>
        <w:t>to</w:t>
      </w:r>
      <w:r>
        <w:rPr>
          <w:spacing w:val="-22"/>
        </w:rPr>
        <w:t> </w:t>
      </w:r>
      <w:r>
        <w:rPr/>
        <w:t>emergence of</w:t>
      </w:r>
      <w:r>
        <w:rPr>
          <w:spacing w:val="-5"/>
        </w:rPr>
        <w:t> </w:t>
      </w:r>
      <w:r>
        <w:rPr/>
        <w:t>the</w:t>
      </w:r>
      <w:r>
        <w:rPr>
          <w:spacing w:val="-7"/>
        </w:rPr>
        <w:t> </w:t>
      </w:r>
      <w:r>
        <w:rPr/>
        <w:t>subject</w:t>
      </w:r>
      <w:r>
        <w:rPr>
          <w:spacing w:val="-6"/>
        </w:rPr>
        <w:t> </w:t>
      </w:r>
      <w:r>
        <w:rPr/>
        <w:t>vector</w:t>
      </w:r>
      <w:r>
        <w:rPr>
          <w:spacing w:val="-7"/>
        </w:rPr>
        <w:t> </w:t>
      </w:r>
      <w:r>
        <w:rPr/>
        <w:t>as</w:t>
      </w:r>
      <w:r>
        <w:rPr>
          <w:spacing w:val="-5"/>
        </w:rPr>
        <w:t> </w:t>
      </w:r>
      <w:r>
        <w:rPr/>
        <w:t>a</w:t>
      </w:r>
      <w:r>
        <w:rPr>
          <w:spacing w:val="-9"/>
        </w:rPr>
        <w:t> </w:t>
      </w:r>
      <w:r>
        <w:rPr/>
        <w:t>prominent</w:t>
      </w:r>
      <w:r>
        <w:rPr>
          <w:spacing w:val="-6"/>
        </w:rPr>
        <w:t> </w:t>
      </w:r>
      <w:r>
        <w:rPr/>
        <w:t>technology</w:t>
      </w:r>
      <w:r>
        <w:rPr>
          <w:spacing w:val="-5"/>
        </w:rPr>
        <w:t> </w:t>
      </w:r>
      <w:r>
        <w:rPr/>
        <w:t>hub</w:t>
      </w:r>
      <w:r>
        <w:rPr>
          <w:spacing w:val="-5"/>
        </w:rPr>
        <w:t> </w:t>
      </w:r>
      <w:r>
        <w:rPr/>
        <w:t>of</w:t>
      </w:r>
      <w:r>
        <w:rPr>
          <w:spacing w:val="-5"/>
        </w:rPr>
        <w:t> </w:t>
      </w:r>
      <w:r>
        <w:rPr/>
        <w:t>Noida</w:t>
      </w:r>
      <w:r>
        <w:rPr>
          <w:spacing w:val="-7"/>
        </w:rPr>
        <w:t> </w:t>
      </w:r>
      <w:r>
        <w:rPr/>
        <w:t>as</w:t>
      </w:r>
      <w:r>
        <w:rPr>
          <w:spacing w:val="-7"/>
        </w:rPr>
        <w:t> </w:t>
      </w:r>
      <w:r>
        <w:rPr/>
        <w:t>well</w:t>
      </w:r>
      <w:r>
        <w:rPr>
          <w:spacing w:val="-6"/>
        </w:rPr>
        <w:t> </w:t>
      </w:r>
      <w:r>
        <w:rPr/>
        <w:t>as</w:t>
      </w:r>
      <w:r>
        <w:rPr>
          <w:spacing w:val="-5"/>
        </w:rPr>
        <w:t> </w:t>
      </w:r>
      <w:r>
        <w:rPr/>
        <w:t>NCR.</w:t>
      </w:r>
    </w:p>
    <w:p>
      <w:pPr>
        <w:pStyle w:val="BodyText"/>
        <w:spacing w:before="9"/>
        <w:rPr>
          <w:sz w:val="20"/>
        </w:rPr>
      </w:pPr>
    </w:p>
    <w:p>
      <w:pPr>
        <w:pStyle w:val="ListParagraph"/>
        <w:numPr>
          <w:ilvl w:val="2"/>
          <w:numId w:val="14"/>
        </w:numPr>
        <w:tabs>
          <w:tab w:pos="841" w:val="left" w:leader="none"/>
        </w:tabs>
        <w:spacing w:line="240" w:lineRule="auto" w:before="1" w:after="0"/>
        <w:ind w:left="840" w:right="0" w:hanging="721"/>
        <w:jc w:val="left"/>
        <w:rPr>
          <w:sz w:val="22"/>
        </w:rPr>
      </w:pPr>
      <w:bookmarkStart w:name="_bookmark283" w:id="552"/>
      <w:bookmarkEnd w:id="552"/>
      <w:r>
        <w:rPr/>
      </w:r>
      <w:bookmarkStart w:name="_bookmark283" w:id="553"/>
      <w:bookmarkEnd w:id="553"/>
      <w:r>
        <w:rPr>
          <w:color w:val="1F664D"/>
          <w:w w:val="105"/>
          <w:sz w:val="22"/>
        </w:rPr>
        <w:t>De</w:t>
      </w:r>
      <w:r>
        <w:rPr>
          <w:color w:val="1F664D"/>
          <w:w w:val="105"/>
          <w:sz w:val="22"/>
        </w:rPr>
        <w:t>mand and Supply</w:t>
      </w:r>
      <w:r>
        <w:rPr>
          <w:color w:val="1F664D"/>
          <w:spacing w:val="-17"/>
          <w:w w:val="105"/>
          <w:sz w:val="22"/>
        </w:rPr>
        <w:t> </w:t>
      </w:r>
      <w:r>
        <w:rPr>
          <w:color w:val="1F664D"/>
          <w:w w:val="105"/>
          <w:sz w:val="22"/>
        </w:rPr>
        <w:t>Dynamics</w:t>
      </w:r>
    </w:p>
    <w:p>
      <w:pPr>
        <w:pStyle w:val="BodyText"/>
        <w:spacing w:before="6"/>
        <w:rPr>
          <w:sz w:val="25"/>
        </w:rPr>
      </w:pPr>
    </w:p>
    <w:p>
      <w:pPr>
        <w:pStyle w:val="ListParagraph"/>
        <w:numPr>
          <w:ilvl w:val="3"/>
          <w:numId w:val="74"/>
        </w:numPr>
        <w:tabs>
          <w:tab w:pos="985" w:val="left" w:leader="none"/>
        </w:tabs>
        <w:spacing w:line="240" w:lineRule="auto" w:before="0" w:after="0"/>
        <w:ind w:left="984" w:right="0" w:hanging="865"/>
        <w:jc w:val="left"/>
        <w:rPr>
          <w:i/>
          <w:sz w:val="20"/>
        </w:rPr>
      </w:pPr>
      <w:r>
        <w:rPr>
          <w:i/>
          <w:color w:val="008000"/>
          <w:w w:val="105"/>
          <w:sz w:val="20"/>
        </w:rPr>
        <w:t>Demand,</w:t>
      </w:r>
      <w:r>
        <w:rPr>
          <w:i/>
          <w:color w:val="008000"/>
          <w:spacing w:val="-18"/>
          <w:w w:val="105"/>
          <w:sz w:val="20"/>
        </w:rPr>
        <w:t> </w:t>
      </w:r>
      <w:r>
        <w:rPr>
          <w:i/>
          <w:color w:val="008000"/>
          <w:w w:val="105"/>
          <w:sz w:val="20"/>
        </w:rPr>
        <w:t>Supply</w:t>
      </w:r>
      <w:r>
        <w:rPr>
          <w:i/>
          <w:color w:val="008000"/>
          <w:spacing w:val="-18"/>
          <w:w w:val="105"/>
          <w:sz w:val="20"/>
        </w:rPr>
        <w:t> </w:t>
      </w:r>
      <w:r>
        <w:rPr>
          <w:i/>
          <w:color w:val="008000"/>
          <w:w w:val="105"/>
          <w:sz w:val="20"/>
        </w:rPr>
        <w:t>and</w:t>
      </w:r>
      <w:r>
        <w:rPr>
          <w:i/>
          <w:color w:val="008000"/>
          <w:spacing w:val="-18"/>
          <w:w w:val="105"/>
          <w:sz w:val="20"/>
        </w:rPr>
        <w:t> </w:t>
      </w:r>
      <w:r>
        <w:rPr>
          <w:i/>
          <w:color w:val="008000"/>
          <w:w w:val="105"/>
          <w:sz w:val="20"/>
        </w:rPr>
        <w:t>Vacancy</w:t>
      </w:r>
      <w:r>
        <w:rPr>
          <w:i/>
          <w:color w:val="008000"/>
          <w:spacing w:val="-18"/>
          <w:w w:val="105"/>
          <w:sz w:val="20"/>
        </w:rPr>
        <w:t> </w:t>
      </w:r>
      <w:r>
        <w:rPr>
          <w:i/>
          <w:color w:val="008000"/>
          <w:w w:val="105"/>
          <w:sz w:val="20"/>
        </w:rPr>
        <w:t>Trends</w:t>
      </w:r>
      <w:r>
        <w:rPr>
          <w:i/>
          <w:color w:val="008000"/>
          <w:spacing w:val="-16"/>
          <w:w w:val="105"/>
          <w:sz w:val="20"/>
        </w:rPr>
        <w:t> </w:t>
      </w:r>
      <w:r>
        <w:rPr>
          <w:i/>
          <w:color w:val="008000"/>
          <w:w w:val="105"/>
          <w:sz w:val="20"/>
        </w:rPr>
        <w:t>–</w:t>
      </w:r>
      <w:r>
        <w:rPr>
          <w:i/>
          <w:color w:val="008000"/>
          <w:spacing w:val="-16"/>
          <w:w w:val="105"/>
          <w:sz w:val="20"/>
        </w:rPr>
        <w:t> </w:t>
      </w:r>
      <w:r>
        <w:rPr>
          <w:i/>
          <w:color w:val="008000"/>
          <w:w w:val="105"/>
          <w:sz w:val="20"/>
        </w:rPr>
        <w:t>Noida</w:t>
      </w:r>
      <w:r>
        <w:rPr>
          <w:i/>
          <w:color w:val="008000"/>
          <w:spacing w:val="-18"/>
          <w:w w:val="105"/>
          <w:sz w:val="20"/>
        </w:rPr>
        <w:t> </w:t>
      </w:r>
      <w:r>
        <w:rPr>
          <w:i/>
          <w:color w:val="008000"/>
          <w:w w:val="105"/>
          <w:sz w:val="20"/>
        </w:rPr>
        <w:t>and</w:t>
      </w:r>
      <w:r>
        <w:rPr>
          <w:i/>
          <w:color w:val="008000"/>
          <w:spacing w:val="-17"/>
          <w:w w:val="105"/>
          <w:sz w:val="20"/>
        </w:rPr>
        <w:t> </w:t>
      </w:r>
      <w:r>
        <w:rPr>
          <w:i/>
          <w:color w:val="008000"/>
          <w:w w:val="105"/>
          <w:sz w:val="20"/>
        </w:rPr>
        <w:t>Sector</w:t>
      </w:r>
      <w:r>
        <w:rPr>
          <w:i/>
          <w:color w:val="008000"/>
          <w:spacing w:val="-18"/>
          <w:w w:val="105"/>
          <w:sz w:val="20"/>
        </w:rPr>
        <w:t> </w:t>
      </w:r>
      <w:r>
        <w:rPr>
          <w:i/>
          <w:color w:val="008000"/>
          <w:w w:val="105"/>
          <w:sz w:val="20"/>
        </w:rPr>
        <w:t>62/</w:t>
      </w:r>
      <w:r>
        <w:rPr>
          <w:i/>
          <w:color w:val="008000"/>
          <w:spacing w:val="-18"/>
          <w:w w:val="105"/>
          <w:sz w:val="20"/>
        </w:rPr>
        <w:t> </w:t>
      </w:r>
      <w:r>
        <w:rPr>
          <w:i/>
          <w:color w:val="008000"/>
          <w:w w:val="105"/>
          <w:sz w:val="20"/>
        </w:rPr>
        <w:t>Peripheral</w:t>
      </w:r>
      <w:r>
        <w:rPr>
          <w:i/>
          <w:color w:val="008000"/>
          <w:spacing w:val="-17"/>
          <w:w w:val="105"/>
          <w:sz w:val="20"/>
        </w:rPr>
        <w:t> </w:t>
      </w:r>
      <w:r>
        <w:rPr>
          <w:i/>
          <w:color w:val="008000"/>
          <w:w w:val="105"/>
          <w:sz w:val="20"/>
        </w:rPr>
        <w:t>Noida</w:t>
      </w:r>
      <w:r>
        <w:rPr>
          <w:i/>
          <w:color w:val="008000"/>
          <w:spacing w:val="-16"/>
          <w:w w:val="105"/>
          <w:sz w:val="20"/>
        </w:rPr>
        <w:t> </w:t>
      </w:r>
      <w:r>
        <w:rPr>
          <w:i/>
          <w:color w:val="008000"/>
          <w:w w:val="105"/>
          <w:sz w:val="20"/>
        </w:rPr>
        <w:t>sub-market</w:t>
      </w:r>
    </w:p>
    <w:p>
      <w:pPr>
        <w:pStyle w:val="BodyText"/>
        <w:spacing w:line="321" w:lineRule="auto" w:before="76" w:after="57"/>
        <w:ind w:left="682" w:right="117" w:hanging="22"/>
        <w:jc w:val="both"/>
      </w:pPr>
      <w:r>
        <w:rPr/>
        <w:t>Total completed Grade A office stock in Noida as of Q4, 2019 is approx. 20.87 msf (for competition set), out of which Sector 62/ Peripheral Noida accounts for approx. 33.52%.</w:t>
      </w: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27"/>
        <w:gridCol w:w="3291"/>
        <w:gridCol w:w="2846"/>
      </w:tblGrid>
      <w:tr>
        <w:trPr>
          <w:trHeight w:val="700" w:hRule="atLeast"/>
        </w:trPr>
        <w:tc>
          <w:tcPr>
            <w:tcW w:w="4227" w:type="dxa"/>
            <w:tcBorders>
              <w:top w:val="single" w:sz="12" w:space="0" w:color="1F6B16"/>
            </w:tcBorders>
            <w:shd w:val="clear" w:color="auto" w:fill="006A4D"/>
          </w:tcPr>
          <w:p>
            <w:pPr>
              <w:pStyle w:val="TableParagraph"/>
              <w:spacing w:before="6"/>
              <w:jc w:val="left"/>
              <w:rPr>
                <w:sz w:val="20"/>
              </w:rPr>
            </w:pPr>
          </w:p>
          <w:p>
            <w:pPr>
              <w:pStyle w:val="TableParagraph"/>
              <w:ind w:left="203" w:right="276"/>
              <w:rPr>
                <w:b/>
                <w:sz w:val="18"/>
              </w:rPr>
            </w:pPr>
            <w:r>
              <w:rPr>
                <w:b/>
                <w:color w:val="FFFFFF"/>
                <w:w w:val="105"/>
                <w:sz w:val="18"/>
              </w:rPr>
              <w:t>Particular</w:t>
            </w:r>
          </w:p>
        </w:tc>
        <w:tc>
          <w:tcPr>
            <w:tcW w:w="3291" w:type="dxa"/>
            <w:tcBorders>
              <w:top w:val="single" w:sz="12" w:space="0" w:color="1F6B16"/>
              <w:bottom w:val="single" w:sz="6" w:space="0" w:color="69BD28"/>
            </w:tcBorders>
            <w:shd w:val="clear" w:color="auto" w:fill="006A4D"/>
          </w:tcPr>
          <w:p>
            <w:pPr>
              <w:pStyle w:val="TableParagraph"/>
              <w:spacing w:before="6"/>
              <w:jc w:val="left"/>
              <w:rPr>
                <w:sz w:val="20"/>
              </w:rPr>
            </w:pPr>
          </w:p>
          <w:p>
            <w:pPr>
              <w:pStyle w:val="TableParagraph"/>
              <w:ind w:left="429" w:right="461"/>
              <w:rPr>
                <w:sz w:val="16"/>
              </w:rPr>
            </w:pPr>
            <w:r>
              <w:rPr>
                <w:b/>
                <w:color w:val="FFFFFF"/>
                <w:w w:val="110"/>
                <w:sz w:val="18"/>
              </w:rPr>
              <w:t>Noida (competition set)*</w:t>
            </w:r>
            <w:r>
              <w:rPr>
                <w:color w:val="FFFFFF"/>
                <w:w w:val="110"/>
                <w:sz w:val="16"/>
              </w:rPr>
              <w:t>^</w:t>
            </w:r>
          </w:p>
        </w:tc>
        <w:tc>
          <w:tcPr>
            <w:tcW w:w="2846" w:type="dxa"/>
            <w:tcBorders>
              <w:top w:val="single" w:sz="12" w:space="0" w:color="1F6B16"/>
              <w:bottom w:val="single" w:sz="6" w:space="0" w:color="69BD28"/>
            </w:tcBorders>
            <w:shd w:val="clear" w:color="auto" w:fill="006A4D"/>
          </w:tcPr>
          <w:p>
            <w:pPr>
              <w:pStyle w:val="TableParagraph"/>
              <w:spacing w:line="264" w:lineRule="auto" w:before="123"/>
              <w:ind w:left="1035" w:right="364" w:hanging="562"/>
              <w:jc w:val="left"/>
              <w:rPr>
                <w:sz w:val="16"/>
              </w:rPr>
            </w:pPr>
            <w:r>
              <w:rPr>
                <w:b/>
                <w:color w:val="FFFFFF"/>
                <w:w w:val="110"/>
                <w:sz w:val="18"/>
              </w:rPr>
              <w:t>Sector 62/ Peripheral </w:t>
            </w:r>
            <w:r>
              <w:rPr>
                <w:b/>
                <w:color w:val="FFFFFF"/>
                <w:w w:val="115"/>
                <w:sz w:val="18"/>
              </w:rPr>
              <w:t>Noida*</w:t>
            </w:r>
            <w:r>
              <w:rPr>
                <w:color w:val="FFFFFF"/>
                <w:w w:val="115"/>
                <w:sz w:val="16"/>
              </w:rPr>
              <w:t>^</w:t>
            </w:r>
          </w:p>
        </w:tc>
      </w:tr>
      <w:tr>
        <w:trPr>
          <w:trHeight w:val="520" w:hRule="atLeast"/>
        </w:trPr>
        <w:tc>
          <w:tcPr>
            <w:tcW w:w="4227" w:type="dxa"/>
            <w:vMerge w:val="restart"/>
            <w:shd w:val="clear" w:color="auto" w:fill="69BD28"/>
          </w:tcPr>
          <w:p>
            <w:pPr>
              <w:pStyle w:val="TableParagraph"/>
              <w:spacing w:line="621" w:lineRule="auto" w:before="123"/>
              <w:ind w:left="367" w:right="276"/>
              <w:rPr>
                <w:sz w:val="18"/>
              </w:rPr>
            </w:pPr>
            <w:r>
              <w:rPr>
                <w:color w:val="FFFFFF"/>
                <w:sz w:val="18"/>
              </w:rPr>
              <w:t>Cumulative</w:t>
            </w:r>
            <w:r>
              <w:rPr>
                <w:color w:val="FFFFFF"/>
                <w:spacing w:val="-18"/>
                <w:sz w:val="18"/>
              </w:rPr>
              <w:t> </w:t>
            </w:r>
            <w:r>
              <w:rPr>
                <w:color w:val="FFFFFF"/>
                <w:sz w:val="18"/>
              </w:rPr>
              <w:t>completed</w:t>
            </w:r>
            <w:r>
              <w:rPr>
                <w:color w:val="FFFFFF"/>
                <w:spacing w:val="-17"/>
                <w:sz w:val="18"/>
              </w:rPr>
              <w:t> </w:t>
            </w:r>
            <w:r>
              <w:rPr>
                <w:color w:val="FFFFFF"/>
                <w:sz w:val="18"/>
              </w:rPr>
              <w:t>office</w:t>
            </w:r>
            <w:r>
              <w:rPr>
                <w:color w:val="FFFFFF"/>
                <w:spacing w:val="-17"/>
                <w:sz w:val="18"/>
              </w:rPr>
              <w:t> </w:t>
            </w:r>
            <w:r>
              <w:rPr>
                <w:color w:val="FFFFFF"/>
                <w:sz w:val="18"/>
              </w:rPr>
              <w:t>stock</w:t>
            </w:r>
            <w:r>
              <w:rPr>
                <w:color w:val="FFFFFF"/>
                <w:spacing w:val="-19"/>
                <w:sz w:val="18"/>
              </w:rPr>
              <w:t> </w:t>
            </w:r>
            <w:r>
              <w:rPr>
                <w:color w:val="FFFFFF"/>
                <w:sz w:val="18"/>
              </w:rPr>
              <w:t>(Q4</w:t>
            </w:r>
            <w:r>
              <w:rPr>
                <w:color w:val="FFFFFF"/>
                <w:spacing w:val="-18"/>
                <w:sz w:val="18"/>
              </w:rPr>
              <w:t> </w:t>
            </w:r>
            <w:r>
              <w:rPr>
                <w:color w:val="FFFFFF"/>
                <w:sz w:val="18"/>
              </w:rPr>
              <w:t>2019) Cumulative occupied stock (Q4 2019) Current Vacancy (Q4</w:t>
            </w:r>
            <w:r>
              <w:rPr>
                <w:color w:val="FFFFFF"/>
                <w:spacing w:val="-2"/>
                <w:sz w:val="18"/>
              </w:rPr>
              <w:t> </w:t>
            </w:r>
            <w:r>
              <w:rPr>
                <w:color w:val="FFFFFF"/>
                <w:sz w:val="18"/>
              </w:rPr>
              <w:t>2019)</w:t>
            </w:r>
          </w:p>
          <w:p>
            <w:pPr>
              <w:pStyle w:val="TableParagraph"/>
              <w:spacing w:line="207" w:lineRule="exact"/>
              <w:ind w:left="127" w:right="37"/>
              <w:rPr>
                <w:sz w:val="18"/>
              </w:rPr>
            </w:pPr>
            <w:r>
              <w:rPr>
                <w:color w:val="FFFFFF"/>
                <w:w w:val="105"/>
                <w:sz w:val="18"/>
              </w:rPr>
              <w:t>Average Annual Office Absorption (2014 – 2019)</w:t>
            </w:r>
          </w:p>
        </w:tc>
        <w:tc>
          <w:tcPr>
            <w:tcW w:w="3291" w:type="dxa"/>
            <w:tcBorders>
              <w:top w:val="single" w:sz="6" w:space="0" w:color="69BD28"/>
              <w:bottom w:val="single" w:sz="6" w:space="0" w:color="69BD28"/>
            </w:tcBorders>
          </w:tcPr>
          <w:p>
            <w:pPr>
              <w:pStyle w:val="TableParagraph"/>
              <w:spacing w:before="123"/>
              <w:ind w:left="429" w:right="389"/>
              <w:rPr>
                <w:sz w:val="18"/>
              </w:rPr>
            </w:pPr>
            <w:r>
              <w:rPr>
                <w:sz w:val="18"/>
              </w:rPr>
              <w:t>Approx. 20.87 msf</w:t>
            </w:r>
          </w:p>
        </w:tc>
        <w:tc>
          <w:tcPr>
            <w:tcW w:w="2846" w:type="dxa"/>
            <w:tcBorders>
              <w:top w:val="single" w:sz="6" w:space="0" w:color="69BD28"/>
              <w:bottom w:val="single" w:sz="6" w:space="0" w:color="69BD28"/>
            </w:tcBorders>
          </w:tcPr>
          <w:p>
            <w:pPr>
              <w:pStyle w:val="TableParagraph"/>
              <w:spacing w:before="123"/>
              <w:ind w:left="733" w:right="695"/>
              <w:rPr>
                <w:sz w:val="18"/>
              </w:rPr>
            </w:pPr>
            <w:r>
              <w:rPr>
                <w:sz w:val="18"/>
              </w:rPr>
              <w:t>Approx. 7.00 msf</w:t>
            </w:r>
          </w:p>
        </w:tc>
      </w:tr>
      <w:tr>
        <w:trPr>
          <w:trHeight w:val="525" w:hRule="atLeast"/>
        </w:trPr>
        <w:tc>
          <w:tcPr>
            <w:tcW w:w="4227" w:type="dxa"/>
            <w:vMerge/>
            <w:tcBorders>
              <w:top w:val="nil"/>
            </w:tcBorders>
            <w:shd w:val="clear" w:color="auto" w:fill="69BD28"/>
          </w:tcPr>
          <w:p>
            <w:pPr>
              <w:rPr>
                <w:sz w:val="2"/>
                <w:szCs w:val="2"/>
              </w:rPr>
            </w:pPr>
          </w:p>
        </w:tc>
        <w:tc>
          <w:tcPr>
            <w:tcW w:w="3291" w:type="dxa"/>
            <w:tcBorders>
              <w:top w:val="single" w:sz="6" w:space="0" w:color="69BD28"/>
              <w:bottom w:val="single" w:sz="6" w:space="0" w:color="69BD28"/>
            </w:tcBorders>
          </w:tcPr>
          <w:p>
            <w:pPr>
              <w:pStyle w:val="TableParagraph"/>
              <w:spacing w:before="128"/>
              <w:ind w:left="429" w:right="389"/>
              <w:rPr>
                <w:sz w:val="18"/>
              </w:rPr>
            </w:pPr>
            <w:r>
              <w:rPr>
                <w:sz w:val="18"/>
              </w:rPr>
              <w:t>Approx. 18.43 msf</w:t>
            </w:r>
          </w:p>
        </w:tc>
        <w:tc>
          <w:tcPr>
            <w:tcW w:w="2846" w:type="dxa"/>
            <w:tcBorders>
              <w:top w:val="single" w:sz="6" w:space="0" w:color="69BD28"/>
              <w:bottom w:val="single" w:sz="6" w:space="0" w:color="69BD28"/>
            </w:tcBorders>
          </w:tcPr>
          <w:p>
            <w:pPr>
              <w:pStyle w:val="TableParagraph"/>
              <w:spacing w:before="128"/>
              <w:ind w:left="733" w:right="695"/>
              <w:rPr>
                <w:sz w:val="18"/>
              </w:rPr>
            </w:pPr>
            <w:r>
              <w:rPr>
                <w:sz w:val="18"/>
              </w:rPr>
              <w:t>Approx. 6.29 msf</w:t>
            </w:r>
          </w:p>
        </w:tc>
      </w:tr>
      <w:tr>
        <w:trPr>
          <w:trHeight w:val="527" w:hRule="atLeast"/>
        </w:trPr>
        <w:tc>
          <w:tcPr>
            <w:tcW w:w="4227" w:type="dxa"/>
            <w:vMerge/>
            <w:tcBorders>
              <w:top w:val="nil"/>
            </w:tcBorders>
            <w:shd w:val="clear" w:color="auto" w:fill="69BD28"/>
          </w:tcPr>
          <w:p>
            <w:pPr>
              <w:rPr>
                <w:sz w:val="2"/>
                <w:szCs w:val="2"/>
              </w:rPr>
            </w:pPr>
          </w:p>
        </w:tc>
        <w:tc>
          <w:tcPr>
            <w:tcW w:w="3291" w:type="dxa"/>
            <w:tcBorders>
              <w:top w:val="single" w:sz="6" w:space="0" w:color="69BD28"/>
              <w:bottom w:val="single" w:sz="6" w:space="0" w:color="69BD28"/>
            </w:tcBorders>
          </w:tcPr>
          <w:p>
            <w:pPr>
              <w:pStyle w:val="TableParagraph"/>
              <w:spacing w:before="130"/>
              <w:ind w:left="429" w:right="392"/>
              <w:rPr>
                <w:sz w:val="18"/>
              </w:rPr>
            </w:pPr>
            <w:r>
              <w:rPr>
                <w:w w:val="105"/>
                <w:sz w:val="18"/>
              </w:rPr>
              <w:t>Approx. 11.7%</w:t>
            </w:r>
          </w:p>
        </w:tc>
        <w:tc>
          <w:tcPr>
            <w:tcW w:w="2846" w:type="dxa"/>
            <w:tcBorders>
              <w:top w:val="single" w:sz="6" w:space="0" w:color="69BD28"/>
              <w:bottom w:val="single" w:sz="6" w:space="0" w:color="69BD28"/>
            </w:tcBorders>
          </w:tcPr>
          <w:p>
            <w:pPr>
              <w:pStyle w:val="TableParagraph"/>
              <w:spacing w:before="130"/>
              <w:ind w:left="731" w:right="695"/>
              <w:rPr>
                <w:sz w:val="18"/>
              </w:rPr>
            </w:pPr>
            <w:r>
              <w:rPr>
                <w:w w:val="105"/>
                <w:sz w:val="18"/>
              </w:rPr>
              <w:t>Approx. 10.1%</w:t>
            </w:r>
          </w:p>
        </w:tc>
      </w:tr>
      <w:tr>
        <w:trPr>
          <w:trHeight w:val="525" w:hRule="atLeast"/>
        </w:trPr>
        <w:tc>
          <w:tcPr>
            <w:tcW w:w="4227" w:type="dxa"/>
            <w:vMerge/>
            <w:tcBorders>
              <w:top w:val="nil"/>
            </w:tcBorders>
            <w:shd w:val="clear" w:color="auto" w:fill="69BD28"/>
          </w:tcPr>
          <w:p>
            <w:pPr>
              <w:rPr>
                <w:sz w:val="2"/>
                <w:szCs w:val="2"/>
              </w:rPr>
            </w:pPr>
          </w:p>
        </w:tc>
        <w:tc>
          <w:tcPr>
            <w:tcW w:w="3291" w:type="dxa"/>
            <w:tcBorders>
              <w:top w:val="single" w:sz="6" w:space="0" w:color="69BD28"/>
              <w:bottom w:val="single" w:sz="6" w:space="0" w:color="69BD28"/>
            </w:tcBorders>
          </w:tcPr>
          <w:p>
            <w:pPr>
              <w:pStyle w:val="TableParagraph"/>
              <w:spacing w:before="128"/>
              <w:ind w:left="429" w:right="389"/>
              <w:rPr>
                <w:sz w:val="18"/>
              </w:rPr>
            </w:pPr>
            <w:r>
              <w:rPr>
                <w:sz w:val="18"/>
              </w:rPr>
              <w:t>Approx. 1.28 msf</w:t>
            </w:r>
          </w:p>
        </w:tc>
        <w:tc>
          <w:tcPr>
            <w:tcW w:w="2846" w:type="dxa"/>
            <w:tcBorders>
              <w:top w:val="single" w:sz="6" w:space="0" w:color="69BD28"/>
              <w:bottom w:val="single" w:sz="6" w:space="0" w:color="69BD28"/>
            </w:tcBorders>
          </w:tcPr>
          <w:p>
            <w:pPr>
              <w:pStyle w:val="TableParagraph"/>
              <w:spacing w:before="128"/>
              <w:ind w:left="733" w:right="695"/>
              <w:rPr>
                <w:sz w:val="18"/>
              </w:rPr>
            </w:pPr>
            <w:r>
              <w:rPr>
                <w:sz w:val="18"/>
              </w:rPr>
              <w:t>Approx. 0.45 msf</w:t>
            </w:r>
          </w:p>
        </w:tc>
      </w:tr>
    </w:tbl>
    <w:p>
      <w:pPr>
        <w:spacing w:before="8"/>
        <w:ind w:left="120" w:right="0" w:firstLine="0"/>
        <w:jc w:val="both"/>
        <w:rPr>
          <w:i/>
          <w:sz w:val="18"/>
        </w:rPr>
      </w:pPr>
      <w:r>
        <w:rPr>
          <w:i/>
          <w:sz w:val="18"/>
        </w:rPr>
        <w:t>Source: CBRE Research</w:t>
      </w:r>
    </w:p>
    <w:p>
      <w:pPr>
        <w:spacing w:line="321" w:lineRule="auto" w:before="72"/>
        <w:ind w:left="120" w:right="112" w:firstLine="0"/>
        <w:jc w:val="both"/>
        <w:rPr>
          <w:i/>
          <w:sz w:val="18"/>
        </w:rPr>
      </w:pPr>
      <w:r>
        <w:rPr>
          <w:i/>
          <w:sz w:val="18"/>
        </w:rPr>
        <w:t>*</w:t>
      </w:r>
      <w:r>
        <w:rPr>
          <w:i/>
          <w:spacing w:val="-22"/>
          <w:sz w:val="18"/>
        </w:rPr>
        <w:t> </w:t>
      </w:r>
      <w:r>
        <w:rPr>
          <w:i/>
          <w:sz w:val="18"/>
        </w:rPr>
        <w:t>The</w:t>
      </w:r>
      <w:r>
        <w:rPr>
          <w:i/>
          <w:spacing w:val="-25"/>
          <w:sz w:val="18"/>
        </w:rPr>
        <w:t> </w:t>
      </w:r>
      <w:r>
        <w:rPr>
          <w:i/>
          <w:sz w:val="18"/>
        </w:rPr>
        <w:t>Noida</w:t>
      </w:r>
      <w:r>
        <w:rPr>
          <w:i/>
          <w:spacing w:val="-26"/>
          <w:sz w:val="18"/>
        </w:rPr>
        <w:t> </w:t>
      </w:r>
      <w:r>
        <w:rPr>
          <w:i/>
          <w:sz w:val="18"/>
        </w:rPr>
        <w:t>commercial</w:t>
      </w:r>
      <w:r>
        <w:rPr>
          <w:i/>
          <w:spacing w:val="-25"/>
          <w:sz w:val="18"/>
        </w:rPr>
        <w:t> </w:t>
      </w:r>
      <w:r>
        <w:rPr>
          <w:i/>
          <w:sz w:val="18"/>
        </w:rPr>
        <w:t>market</w:t>
      </w:r>
      <w:r>
        <w:rPr>
          <w:i/>
          <w:spacing w:val="-25"/>
          <w:sz w:val="18"/>
        </w:rPr>
        <w:t> </w:t>
      </w:r>
      <w:r>
        <w:rPr>
          <w:i/>
          <w:sz w:val="18"/>
        </w:rPr>
        <w:t>is</w:t>
      </w:r>
      <w:r>
        <w:rPr>
          <w:i/>
          <w:spacing w:val="-26"/>
          <w:sz w:val="18"/>
        </w:rPr>
        <w:t> </w:t>
      </w:r>
      <w:r>
        <w:rPr>
          <w:i/>
          <w:sz w:val="18"/>
        </w:rPr>
        <w:t>highly</w:t>
      </w:r>
      <w:r>
        <w:rPr>
          <w:i/>
          <w:spacing w:val="-23"/>
          <w:sz w:val="18"/>
        </w:rPr>
        <w:t> </w:t>
      </w:r>
      <w:r>
        <w:rPr>
          <w:i/>
          <w:sz w:val="18"/>
        </w:rPr>
        <w:t>fragmented</w:t>
      </w:r>
      <w:r>
        <w:rPr>
          <w:i/>
          <w:spacing w:val="-26"/>
          <w:sz w:val="18"/>
        </w:rPr>
        <w:t> </w:t>
      </w:r>
      <w:r>
        <w:rPr>
          <w:i/>
          <w:sz w:val="18"/>
        </w:rPr>
        <w:t>and</w:t>
      </w:r>
      <w:r>
        <w:rPr>
          <w:i/>
          <w:spacing w:val="-26"/>
          <w:sz w:val="18"/>
        </w:rPr>
        <w:t> </w:t>
      </w:r>
      <w:r>
        <w:rPr>
          <w:i/>
          <w:sz w:val="18"/>
        </w:rPr>
        <w:t>comprises</w:t>
      </w:r>
      <w:r>
        <w:rPr>
          <w:i/>
          <w:spacing w:val="-25"/>
          <w:sz w:val="18"/>
        </w:rPr>
        <w:t> </w:t>
      </w:r>
      <w:r>
        <w:rPr>
          <w:i/>
          <w:sz w:val="18"/>
        </w:rPr>
        <w:t>of</w:t>
      </w:r>
      <w:r>
        <w:rPr>
          <w:i/>
          <w:spacing w:val="-25"/>
          <w:sz w:val="18"/>
        </w:rPr>
        <w:t> </w:t>
      </w:r>
      <w:r>
        <w:rPr>
          <w:i/>
          <w:sz w:val="18"/>
        </w:rPr>
        <w:t>commercial</w:t>
      </w:r>
      <w:r>
        <w:rPr>
          <w:i/>
          <w:spacing w:val="-26"/>
          <w:sz w:val="18"/>
        </w:rPr>
        <w:t> </w:t>
      </w:r>
      <w:r>
        <w:rPr>
          <w:i/>
          <w:sz w:val="18"/>
        </w:rPr>
        <w:t>buildings</w:t>
      </w:r>
      <w:r>
        <w:rPr>
          <w:i/>
          <w:spacing w:val="-27"/>
          <w:sz w:val="18"/>
        </w:rPr>
        <w:t> </w:t>
      </w:r>
      <w:r>
        <w:rPr>
          <w:i/>
          <w:sz w:val="18"/>
        </w:rPr>
        <w:t>which</w:t>
      </w:r>
      <w:r>
        <w:rPr>
          <w:i/>
          <w:spacing w:val="-24"/>
          <w:sz w:val="18"/>
        </w:rPr>
        <w:t> </w:t>
      </w:r>
      <w:r>
        <w:rPr>
          <w:i/>
          <w:sz w:val="18"/>
        </w:rPr>
        <w:t>do</w:t>
      </w:r>
      <w:r>
        <w:rPr>
          <w:i/>
          <w:spacing w:val="-27"/>
          <w:sz w:val="18"/>
        </w:rPr>
        <w:t> </w:t>
      </w:r>
      <w:r>
        <w:rPr>
          <w:i/>
          <w:sz w:val="18"/>
        </w:rPr>
        <w:t>not</w:t>
      </w:r>
      <w:r>
        <w:rPr>
          <w:i/>
          <w:spacing w:val="-26"/>
          <w:sz w:val="18"/>
        </w:rPr>
        <w:t> </w:t>
      </w:r>
      <w:r>
        <w:rPr>
          <w:i/>
          <w:sz w:val="18"/>
        </w:rPr>
        <w:t>qualify</w:t>
      </w:r>
      <w:r>
        <w:rPr>
          <w:i/>
          <w:spacing w:val="-25"/>
          <w:sz w:val="18"/>
        </w:rPr>
        <w:t> </w:t>
      </w:r>
      <w:r>
        <w:rPr>
          <w:i/>
          <w:sz w:val="18"/>
        </w:rPr>
        <w:t>as</w:t>
      </w:r>
      <w:r>
        <w:rPr>
          <w:i/>
          <w:spacing w:val="-26"/>
          <w:sz w:val="18"/>
        </w:rPr>
        <w:t> </w:t>
      </w:r>
      <w:r>
        <w:rPr>
          <w:i/>
          <w:sz w:val="18"/>
        </w:rPr>
        <w:t>a</w:t>
      </w:r>
      <w:r>
        <w:rPr>
          <w:i/>
          <w:spacing w:val="-25"/>
          <w:sz w:val="18"/>
        </w:rPr>
        <w:t> </w:t>
      </w:r>
      <w:r>
        <w:rPr>
          <w:i/>
          <w:sz w:val="18"/>
        </w:rPr>
        <w:t>competition</w:t>
      </w:r>
      <w:r>
        <w:rPr>
          <w:i/>
          <w:spacing w:val="-24"/>
          <w:sz w:val="18"/>
        </w:rPr>
        <w:t> </w:t>
      </w:r>
      <w:r>
        <w:rPr>
          <w:i/>
          <w:sz w:val="18"/>
        </w:rPr>
        <w:t>set </w:t>
      </w:r>
      <w:r>
        <w:rPr>
          <w:i/>
          <w:sz w:val="18"/>
        </w:rPr>
        <w:t>for</w:t>
      </w:r>
      <w:r>
        <w:rPr>
          <w:i/>
          <w:spacing w:val="-23"/>
          <w:sz w:val="18"/>
        </w:rPr>
        <w:t> </w:t>
      </w:r>
      <w:r>
        <w:rPr>
          <w:i/>
          <w:sz w:val="18"/>
        </w:rPr>
        <w:t>Embassy</w:t>
      </w:r>
      <w:r>
        <w:rPr>
          <w:i/>
          <w:spacing w:val="-22"/>
          <w:sz w:val="18"/>
        </w:rPr>
        <w:t> </w:t>
      </w:r>
      <w:r>
        <w:rPr>
          <w:i/>
          <w:sz w:val="18"/>
        </w:rPr>
        <w:t>REIT</w:t>
      </w:r>
      <w:r>
        <w:rPr>
          <w:i/>
          <w:spacing w:val="-23"/>
          <w:sz w:val="18"/>
        </w:rPr>
        <w:t> </w:t>
      </w:r>
      <w:r>
        <w:rPr>
          <w:i/>
          <w:sz w:val="18"/>
        </w:rPr>
        <w:t>properties.</w:t>
      </w:r>
      <w:r>
        <w:rPr>
          <w:i/>
          <w:spacing w:val="-22"/>
          <w:sz w:val="18"/>
        </w:rPr>
        <w:t> </w:t>
      </w:r>
      <w:r>
        <w:rPr>
          <w:i/>
          <w:sz w:val="18"/>
        </w:rPr>
        <w:t>The</w:t>
      </w:r>
      <w:r>
        <w:rPr>
          <w:i/>
          <w:spacing w:val="-22"/>
          <w:sz w:val="18"/>
        </w:rPr>
        <w:t> </w:t>
      </w:r>
      <w:r>
        <w:rPr>
          <w:i/>
          <w:sz w:val="18"/>
        </w:rPr>
        <w:t>characteristics</w:t>
      </w:r>
      <w:r>
        <w:rPr>
          <w:i/>
          <w:spacing w:val="-22"/>
          <w:sz w:val="18"/>
        </w:rPr>
        <w:t> </w:t>
      </w:r>
      <w:r>
        <w:rPr>
          <w:i/>
          <w:sz w:val="18"/>
        </w:rPr>
        <w:t>of</w:t>
      </w:r>
      <w:r>
        <w:rPr>
          <w:i/>
          <w:spacing w:val="-22"/>
          <w:sz w:val="18"/>
        </w:rPr>
        <w:t> </w:t>
      </w:r>
      <w:r>
        <w:rPr>
          <w:i/>
          <w:sz w:val="18"/>
        </w:rPr>
        <w:t>these</w:t>
      </w:r>
      <w:r>
        <w:rPr>
          <w:i/>
          <w:spacing w:val="-23"/>
          <w:sz w:val="18"/>
        </w:rPr>
        <w:t> </w:t>
      </w:r>
      <w:r>
        <w:rPr>
          <w:i/>
          <w:sz w:val="18"/>
        </w:rPr>
        <w:t>buildings</w:t>
      </w:r>
      <w:r>
        <w:rPr>
          <w:i/>
          <w:spacing w:val="-23"/>
          <w:sz w:val="18"/>
        </w:rPr>
        <w:t> </w:t>
      </w:r>
      <w:r>
        <w:rPr>
          <w:i/>
          <w:sz w:val="18"/>
        </w:rPr>
        <w:t>are</w:t>
      </w:r>
      <w:r>
        <w:rPr>
          <w:i/>
          <w:spacing w:val="-22"/>
          <w:sz w:val="18"/>
        </w:rPr>
        <w:t> </w:t>
      </w:r>
      <w:r>
        <w:rPr>
          <w:i/>
          <w:sz w:val="18"/>
        </w:rPr>
        <w:t>inferior</w:t>
      </w:r>
      <w:r>
        <w:rPr>
          <w:i/>
          <w:spacing w:val="-23"/>
          <w:sz w:val="18"/>
        </w:rPr>
        <w:t> </w:t>
      </w:r>
      <w:r>
        <w:rPr>
          <w:i/>
          <w:sz w:val="18"/>
        </w:rPr>
        <w:t>as</w:t>
      </w:r>
      <w:r>
        <w:rPr>
          <w:i/>
          <w:spacing w:val="-22"/>
          <w:sz w:val="18"/>
        </w:rPr>
        <w:t> </w:t>
      </w:r>
      <w:r>
        <w:rPr>
          <w:i/>
          <w:sz w:val="18"/>
        </w:rPr>
        <w:t>compared</w:t>
      </w:r>
      <w:r>
        <w:rPr>
          <w:i/>
          <w:spacing w:val="-23"/>
          <w:sz w:val="18"/>
        </w:rPr>
        <w:t> </w:t>
      </w:r>
      <w:r>
        <w:rPr>
          <w:i/>
          <w:sz w:val="18"/>
        </w:rPr>
        <w:t>to</w:t>
      </w:r>
      <w:r>
        <w:rPr>
          <w:i/>
          <w:spacing w:val="-22"/>
          <w:sz w:val="18"/>
        </w:rPr>
        <w:t> </w:t>
      </w:r>
      <w:r>
        <w:rPr>
          <w:i/>
          <w:sz w:val="18"/>
        </w:rPr>
        <w:t>typical</w:t>
      </w:r>
      <w:r>
        <w:rPr>
          <w:i/>
          <w:spacing w:val="-24"/>
          <w:sz w:val="18"/>
        </w:rPr>
        <w:t> </w:t>
      </w:r>
      <w:r>
        <w:rPr>
          <w:i/>
          <w:sz w:val="18"/>
        </w:rPr>
        <w:t>Grade</w:t>
      </w:r>
      <w:r>
        <w:rPr>
          <w:i/>
          <w:spacing w:val="-22"/>
          <w:sz w:val="18"/>
        </w:rPr>
        <w:t> </w:t>
      </w:r>
      <w:r>
        <w:rPr>
          <w:i/>
          <w:sz w:val="18"/>
        </w:rPr>
        <w:t>A</w:t>
      </w:r>
      <w:r>
        <w:rPr>
          <w:i/>
          <w:spacing w:val="-22"/>
          <w:sz w:val="18"/>
        </w:rPr>
        <w:t> </w:t>
      </w:r>
      <w:r>
        <w:rPr>
          <w:i/>
          <w:sz w:val="18"/>
        </w:rPr>
        <w:t>commercial</w:t>
      </w:r>
      <w:r>
        <w:rPr>
          <w:i/>
          <w:spacing w:val="-23"/>
          <w:sz w:val="18"/>
        </w:rPr>
        <w:t> </w:t>
      </w:r>
      <w:r>
        <w:rPr>
          <w:i/>
          <w:sz w:val="18"/>
        </w:rPr>
        <w:t>buildings and</w:t>
      </w:r>
      <w:r>
        <w:rPr>
          <w:i/>
          <w:spacing w:val="-23"/>
          <w:sz w:val="18"/>
        </w:rPr>
        <w:t> </w:t>
      </w:r>
      <w:r>
        <w:rPr>
          <w:i/>
          <w:sz w:val="18"/>
        </w:rPr>
        <w:t>the</w:t>
      </w:r>
      <w:r>
        <w:rPr>
          <w:i/>
          <w:spacing w:val="-25"/>
          <w:sz w:val="18"/>
        </w:rPr>
        <w:t> </w:t>
      </w:r>
      <w:r>
        <w:rPr>
          <w:i/>
          <w:sz w:val="18"/>
        </w:rPr>
        <w:t>ownership</w:t>
      </w:r>
      <w:r>
        <w:rPr>
          <w:i/>
          <w:spacing w:val="-21"/>
          <w:sz w:val="18"/>
        </w:rPr>
        <w:t> </w:t>
      </w:r>
      <w:r>
        <w:rPr>
          <w:i/>
          <w:sz w:val="18"/>
        </w:rPr>
        <w:t>is</w:t>
      </w:r>
      <w:r>
        <w:rPr>
          <w:i/>
          <w:spacing w:val="-24"/>
          <w:sz w:val="18"/>
        </w:rPr>
        <w:t> </w:t>
      </w:r>
      <w:r>
        <w:rPr>
          <w:i/>
          <w:sz w:val="18"/>
        </w:rPr>
        <w:t>typically</w:t>
      </w:r>
      <w:r>
        <w:rPr>
          <w:i/>
          <w:spacing w:val="-22"/>
          <w:sz w:val="18"/>
        </w:rPr>
        <w:t> </w:t>
      </w:r>
      <w:r>
        <w:rPr>
          <w:i/>
          <w:sz w:val="18"/>
        </w:rPr>
        <w:t>on</w:t>
      </w:r>
      <w:r>
        <w:rPr>
          <w:i/>
          <w:spacing w:val="-22"/>
          <w:sz w:val="18"/>
        </w:rPr>
        <w:t> </w:t>
      </w:r>
      <w:r>
        <w:rPr>
          <w:i/>
          <w:sz w:val="18"/>
        </w:rPr>
        <w:t>strata</w:t>
      </w:r>
      <w:r>
        <w:rPr>
          <w:i/>
          <w:spacing w:val="-23"/>
          <w:sz w:val="18"/>
        </w:rPr>
        <w:t> </w:t>
      </w:r>
      <w:r>
        <w:rPr>
          <w:i/>
          <w:sz w:val="18"/>
        </w:rPr>
        <w:t>holding</w:t>
      </w:r>
      <w:r>
        <w:rPr>
          <w:i/>
          <w:spacing w:val="-23"/>
          <w:sz w:val="18"/>
        </w:rPr>
        <w:t> </w:t>
      </w:r>
      <w:r>
        <w:rPr>
          <w:i/>
          <w:sz w:val="18"/>
        </w:rPr>
        <w:t>basis.</w:t>
      </w:r>
      <w:r>
        <w:rPr>
          <w:i/>
          <w:spacing w:val="-22"/>
          <w:sz w:val="18"/>
        </w:rPr>
        <w:t> </w:t>
      </w:r>
      <w:r>
        <w:rPr>
          <w:i/>
          <w:sz w:val="18"/>
        </w:rPr>
        <w:t>Hence,</w:t>
      </w:r>
      <w:r>
        <w:rPr>
          <w:i/>
          <w:spacing w:val="-22"/>
          <w:sz w:val="18"/>
        </w:rPr>
        <w:t> </w:t>
      </w:r>
      <w:r>
        <w:rPr>
          <w:i/>
          <w:sz w:val="18"/>
        </w:rPr>
        <w:t>for</w:t>
      </w:r>
      <w:r>
        <w:rPr>
          <w:i/>
          <w:spacing w:val="-23"/>
          <w:sz w:val="18"/>
        </w:rPr>
        <w:t> </w:t>
      </w:r>
      <w:r>
        <w:rPr>
          <w:i/>
          <w:sz w:val="18"/>
        </w:rPr>
        <w:t>the</w:t>
      </w:r>
      <w:r>
        <w:rPr>
          <w:i/>
          <w:spacing w:val="-22"/>
          <w:sz w:val="18"/>
        </w:rPr>
        <w:t> </w:t>
      </w:r>
      <w:r>
        <w:rPr>
          <w:i/>
          <w:sz w:val="18"/>
        </w:rPr>
        <w:t>purpose</w:t>
      </w:r>
      <w:r>
        <w:rPr>
          <w:i/>
          <w:spacing w:val="-23"/>
          <w:sz w:val="18"/>
        </w:rPr>
        <w:t> </w:t>
      </w:r>
      <w:r>
        <w:rPr>
          <w:i/>
          <w:sz w:val="18"/>
        </w:rPr>
        <w:t>of</w:t>
      </w:r>
      <w:r>
        <w:rPr>
          <w:i/>
          <w:spacing w:val="-23"/>
          <w:sz w:val="18"/>
        </w:rPr>
        <w:t> </w:t>
      </w:r>
      <w:r>
        <w:rPr>
          <w:i/>
          <w:sz w:val="18"/>
        </w:rPr>
        <w:t>analysing</w:t>
      </w:r>
      <w:r>
        <w:rPr>
          <w:i/>
          <w:spacing w:val="-23"/>
          <w:sz w:val="18"/>
        </w:rPr>
        <w:t> </w:t>
      </w:r>
      <w:r>
        <w:rPr>
          <w:i/>
          <w:sz w:val="18"/>
        </w:rPr>
        <w:t>the</w:t>
      </w:r>
      <w:r>
        <w:rPr>
          <w:i/>
          <w:spacing w:val="-24"/>
          <w:sz w:val="18"/>
        </w:rPr>
        <w:t> </w:t>
      </w:r>
      <w:r>
        <w:rPr>
          <w:i/>
          <w:sz w:val="18"/>
        </w:rPr>
        <w:t>demand</w:t>
      </w:r>
      <w:r>
        <w:rPr>
          <w:i/>
          <w:spacing w:val="-23"/>
          <w:sz w:val="18"/>
        </w:rPr>
        <w:t> </w:t>
      </w:r>
      <w:r>
        <w:rPr>
          <w:i/>
          <w:sz w:val="18"/>
        </w:rPr>
        <w:t>and</w:t>
      </w:r>
      <w:r>
        <w:rPr>
          <w:i/>
          <w:spacing w:val="-22"/>
          <w:sz w:val="18"/>
        </w:rPr>
        <w:t> </w:t>
      </w:r>
      <w:r>
        <w:rPr>
          <w:i/>
          <w:sz w:val="18"/>
        </w:rPr>
        <w:t>supply</w:t>
      </w:r>
      <w:r>
        <w:rPr>
          <w:i/>
          <w:spacing w:val="-22"/>
          <w:sz w:val="18"/>
        </w:rPr>
        <w:t> </w:t>
      </w:r>
      <w:r>
        <w:rPr>
          <w:i/>
          <w:sz w:val="18"/>
        </w:rPr>
        <w:t>dynamics</w:t>
      </w:r>
      <w:r>
        <w:rPr>
          <w:i/>
          <w:spacing w:val="-23"/>
          <w:sz w:val="18"/>
        </w:rPr>
        <w:t> </w:t>
      </w:r>
      <w:r>
        <w:rPr>
          <w:i/>
          <w:sz w:val="18"/>
        </w:rPr>
        <w:t>of</w:t>
      </w:r>
      <w:r>
        <w:rPr>
          <w:i/>
          <w:spacing w:val="-23"/>
          <w:sz w:val="18"/>
        </w:rPr>
        <w:t> </w:t>
      </w:r>
      <w:r>
        <w:rPr>
          <w:i/>
          <w:sz w:val="18"/>
        </w:rPr>
        <w:t>Noida, the</w:t>
      </w:r>
      <w:r>
        <w:rPr>
          <w:i/>
          <w:spacing w:val="-31"/>
          <w:sz w:val="18"/>
        </w:rPr>
        <w:t> </w:t>
      </w:r>
      <w:r>
        <w:rPr>
          <w:i/>
          <w:sz w:val="18"/>
        </w:rPr>
        <w:t>total</w:t>
      </w:r>
      <w:r>
        <w:rPr>
          <w:i/>
          <w:spacing w:val="-30"/>
          <w:sz w:val="18"/>
        </w:rPr>
        <w:t> </w:t>
      </w:r>
      <w:r>
        <w:rPr>
          <w:i/>
          <w:sz w:val="18"/>
        </w:rPr>
        <w:t>stock</w:t>
      </w:r>
      <w:r>
        <w:rPr>
          <w:i/>
          <w:spacing w:val="-30"/>
          <w:sz w:val="18"/>
        </w:rPr>
        <w:t> </w:t>
      </w:r>
      <w:r>
        <w:rPr>
          <w:i/>
          <w:sz w:val="18"/>
        </w:rPr>
        <w:t>has</w:t>
      </w:r>
      <w:r>
        <w:rPr>
          <w:i/>
          <w:spacing w:val="-29"/>
          <w:sz w:val="18"/>
        </w:rPr>
        <w:t> </w:t>
      </w:r>
      <w:r>
        <w:rPr>
          <w:i/>
          <w:sz w:val="18"/>
        </w:rPr>
        <w:t>been</w:t>
      </w:r>
      <w:r>
        <w:rPr>
          <w:i/>
          <w:spacing w:val="-32"/>
          <w:sz w:val="18"/>
        </w:rPr>
        <w:t> </w:t>
      </w:r>
      <w:r>
        <w:rPr>
          <w:i/>
          <w:sz w:val="18"/>
        </w:rPr>
        <w:t>bifurcated</w:t>
      </w:r>
      <w:r>
        <w:rPr>
          <w:i/>
          <w:spacing w:val="-30"/>
          <w:sz w:val="18"/>
        </w:rPr>
        <w:t> </w:t>
      </w:r>
      <w:r>
        <w:rPr>
          <w:i/>
          <w:sz w:val="18"/>
        </w:rPr>
        <w:t>to</w:t>
      </w:r>
      <w:r>
        <w:rPr>
          <w:i/>
          <w:spacing w:val="-29"/>
          <w:sz w:val="18"/>
        </w:rPr>
        <w:t> </w:t>
      </w:r>
      <w:r>
        <w:rPr>
          <w:i/>
          <w:sz w:val="18"/>
        </w:rPr>
        <w:t>include</w:t>
      </w:r>
      <w:r>
        <w:rPr>
          <w:i/>
          <w:spacing w:val="-30"/>
          <w:sz w:val="18"/>
        </w:rPr>
        <w:t> </w:t>
      </w:r>
      <w:r>
        <w:rPr>
          <w:i/>
          <w:sz w:val="18"/>
        </w:rPr>
        <w:t>a</w:t>
      </w:r>
      <w:r>
        <w:rPr>
          <w:i/>
          <w:spacing w:val="-30"/>
          <w:sz w:val="18"/>
        </w:rPr>
        <w:t> </w:t>
      </w:r>
      <w:r>
        <w:rPr>
          <w:i/>
          <w:sz w:val="18"/>
        </w:rPr>
        <w:t>competition</w:t>
      </w:r>
      <w:r>
        <w:rPr>
          <w:i/>
          <w:spacing w:val="-30"/>
          <w:sz w:val="18"/>
        </w:rPr>
        <w:t> </w:t>
      </w:r>
      <w:r>
        <w:rPr>
          <w:i/>
          <w:sz w:val="18"/>
        </w:rPr>
        <w:t>set,</w:t>
      </w:r>
      <w:r>
        <w:rPr>
          <w:i/>
          <w:spacing w:val="-29"/>
          <w:sz w:val="18"/>
        </w:rPr>
        <w:t> </w:t>
      </w:r>
      <w:r>
        <w:rPr>
          <w:i/>
          <w:sz w:val="18"/>
        </w:rPr>
        <w:t>comprising</w:t>
      </w:r>
      <w:r>
        <w:rPr>
          <w:i/>
          <w:spacing w:val="-30"/>
          <w:sz w:val="18"/>
        </w:rPr>
        <w:t> </w:t>
      </w:r>
      <w:r>
        <w:rPr>
          <w:i/>
          <w:sz w:val="18"/>
        </w:rPr>
        <w:t>of</w:t>
      </w:r>
      <w:r>
        <w:rPr>
          <w:i/>
          <w:spacing w:val="-29"/>
          <w:sz w:val="18"/>
        </w:rPr>
        <w:t> </w:t>
      </w:r>
      <w:r>
        <w:rPr>
          <w:i/>
          <w:sz w:val="18"/>
        </w:rPr>
        <w:t>buildings</w:t>
      </w:r>
      <w:r>
        <w:rPr>
          <w:i/>
          <w:spacing w:val="-30"/>
          <w:sz w:val="18"/>
        </w:rPr>
        <w:t> </w:t>
      </w:r>
      <w:r>
        <w:rPr>
          <w:i/>
          <w:sz w:val="18"/>
        </w:rPr>
        <w:t>with</w:t>
      </w:r>
      <w:r>
        <w:rPr>
          <w:i/>
          <w:spacing w:val="-30"/>
          <w:sz w:val="18"/>
        </w:rPr>
        <w:t> </w:t>
      </w:r>
      <w:r>
        <w:rPr>
          <w:i/>
          <w:sz w:val="18"/>
        </w:rPr>
        <w:t>area</w:t>
      </w:r>
      <w:r>
        <w:rPr>
          <w:i/>
          <w:spacing w:val="-29"/>
          <w:sz w:val="18"/>
        </w:rPr>
        <w:t> </w:t>
      </w:r>
      <w:r>
        <w:rPr>
          <w:i/>
          <w:sz w:val="18"/>
        </w:rPr>
        <w:t>not</w:t>
      </w:r>
      <w:r>
        <w:rPr>
          <w:i/>
          <w:spacing w:val="-29"/>
          <w:sz w:val="18"/>
        </w:rPr>
        <w:t> </w:t>
      </w:r>
      <w:r>
        <w:rPr>
          <w:i/>
          <w:sz w:val="18"/>
        </w:rPr>
        <w:t>less</w:t>
      </w:r>
      <w:r>
        <w:rPr>
          <w:i/>
          <w:spacing w:val="-30"/>
          <w:sz w:val="18"/>
        </w:rPr>
        <w:t> </w:t>
      </w:r>
      <w:r>
        <w:rPr>
          <w:i/>
          <w:sz w:val="18"/>
        </w:rPr>
        <w:t>than</w:t>
      </w:r>
      <w:r>
        <w:rPr>
          <w:i/>
          <w:spacing w:val="-30"/>
          <w:sz w:val="18"/>
        </w:rPr>
        <w:t> </w:t>
      </w:r>
      <w:r>
        <w:rPr>
          <w:i/>
          <w:sz w:val="18"/>
        </w:rPr>
        <w:t>75,000</w:t>
      </w:r>
      <w:r>
        <w:rPr>
          <w:i/>
          <w:spacing w:val="-29"/>
          <w:sz w:val="18"/>
        </w:rPr>
        <w:t> </w:t>
      </w:r>
      <w:r>
        <w:rPr>
          <w:i/>
          <w:sz w:val="18"/>
        </w:rPr>
        <w:t>sf,</w:t>
      </w:r>
      <w:r>
        <w:rPr>
          <w:i/>
          <w:spacing w:val="-30"/>
          <w:sz w:val="18"/>
        </w:rPr>
        <w:t> </w:t>
      </w:r>
      <w:r>
        <w:rPr>
          <w:i/>
          <w:sz w:val="18"/>
        </w:rPr>
        <w:t>an</w:t>
      </w:r>
      <w:r>
        <w:rPr>
          <w:i/>
          <w:spacing w:val="-31"/>
          <w:sz w:val="18"/>
        </w:rPr>
        <w:t> </w:t>
      </w:r>
      <w:r>
        <w:rPr>
          <w:i/>
          <w:sz w:val="18"/>
        </w:rPr>
        <w:t>open</w:t>
      </w:r>
      <w:r>
        <w:rPr>
          <w:i/>
          <w:spacing w:val="-30"/>
          <w:sz w:val="18"/>
        </w:rPr>
        <w:t> </w:t>
      </w:r>
      <w:r>
        <w:rPr>
          <w:i/>
          <w:sz w:val="18"/>
        </w:rPr>
        <w:t>plan</w:t>
      </w:r>
    </w:p>
    <w:p>
      <w:pPr>
        <w:spacing w:after="0" w:line="321" w:lineRule="auto"/>
        <w:jc w:val="both"/>
        <w:rPr>
          <w:sz w:val="18"/>
        </w:rPr>
        <w:sectPr>
          <w:pgSz w:w="11910" w:h="16840"/>
          <w:pgMar w:header="720" w:footer="921" w:top="1660" w:bottom="1120" w:left="600" w:right="600"/>
        </w:sectPr>
      </w:pPr>
    </w:p>
    <w:p>
      <w:pPr>
        <w:pStyle w:val="BodyText"/>
        <w:spacing w:before="8"/>
        <w:rPr>
          <w:i/>
          <w:sz w:val="9"/>
        </w:rPr>
      </w:pPr>
    </w:p>
    <w:p>
      <w:pPr>
        <w:spacing w:line="321" w:lineRule="auto" w:before="104"/>
        <w:ind w:left="120" w:right="0" w:firstLine="0"/>
        <w:jc w:val="left"/>
        <w:rPr>
          <w:i/>
          <w:sz w:val="18"/>
        </w:rPr>
      </w:pPr>
      <w:r>
        <w:rPr>
          <w:i/>
          <w:sz w:val="18"/>
        </w:rPr>
        <w:t>office</w:t>
      </w:r>
      <w:r>
        <w:rPr>
          <w:i/>
          <w:spacing w:val="-34"/>
          <w:sz w:val="18"/>
        </w:rPr>
        <w:t> </w:t>
      </w:r>
      <w:r>
        <w:rPr>
          <w:i/>
          <w:sz w:val="18"/>
        </w:rPr>
        <w:t>with</w:t>
      </w:r>
      <w:r>
        <w:rPr>
          <w:i/>
          <w:spacing w:val="-33"/>
          <w:sz w:val="18"/>
        </w:rPr>
        <w:t> </w:t>
      </w:r>
      <w:r>
        <w:rPr>
          <w:i/>
          <w:sz w:val="18"/>
        </w:rPr>
        <w:t>large</w:t>
      </w:r>
      <w:r>
        <w:rPr>
          <w:i/>
          <w:spacing w:val="-33"/>
          <w:sz w:val="18"/>
        </w:rPr>
        <w:t> </w:t>
      </w:r>
      <w:r>
        <w:rPr>
          <w:i/>
          <w:sz w:val="18"/>
        </w:rPr>
        <w:t>size</w:t>
      </w:r>
      <w:r>
        <w:rPr>
          <w:i/>
          <w:spacing w:val="-33"/>
          <w:sz w:val="18"/>
        </w:rPr>
        <w:t> </w:t>
      </w:r>
      <w:r>
        <w:rPr>
          <w:i/>
          <w:sz w:val="18"/>
        </w:rPr>
        <w:t>floor</w:t>
      </w:r>
      <w:r>
        <w:rPr>
          <w:i/>
          <w:spacing w:val="-34"/>
          <w:sz w:val="18"/>
        </w:rPr>
        <w:t> </w:t>
      </w:r>
      <w:r>
        <w:rPr>
          <w:i/>
          <w:sz w:val="18"/>
        </w:rPr>
        <w:t>plates,</w:t>
      </w:r>
      <w:r>
        <w:rPr>
          <w:i/>
          <w:spacing w:val="-34"/>
          <w:sz w:val="18"/>
        </w:rPr>
        <w:t> </w:t>
      </w:r>
      <w:r>
        <w:rPr>
          <w:i/>
          <w:sz w:val="18"/>
        </w:rPr>
        <w:t>adequate</w:t>
      </w:r>
      <w:r>
        <w:rPr>
          <w:i/>
          <w:spacing w:val="-33"/>
          <w:sz w:val="18"/>
        </w:rPr>
        <w:t> </w:t>
      </w:r>
      <w:r>
        <w:rPr>
          <w:i/>
          <w:sz w:val="18"/>
        </w:rPr>
        <w:t>ceiling</w:t>
      </w:r>
      <w:r>
        <w:rPr>
          <w:i/>
          <w:spacing w:val="-34"/>
          <w:sz w:val="18"/>
        </w:rPr>
        <w:t> </w:t>
      </w:r>
      <w:r>
        <w:rPr>
          <w:i/>
          <w:sz w:val="18"/>
        </w:rPr>
        <w:t>height,</w:t>
      </w:r>
      <w:r>
        <w:rPr>
          <w:i/>
          <w:spacing w:val="-34"/>
          <w:sz w:val="18"/>
        </w:rPr>
        <w:t> </w:t>
      </w:r>
      <w:r>
        <w:rPr>
          <w:i/>
          <w:sz w:val="18"/>
        </w:rPr>
        <w:t>24</w:t>
      </w:r>
      <w:r>
        <w:rPr>
          <w:i/>
          <w:spacing w:val="-34"/>
          <w:sz w:val="18"/>
        </w:rPr>
        <w:t> </w:t>
      </w:r>
      <w:r>
        <w:rPr>
          <w:i/>
          <w:sz w:val="18"/>
        </w:rPr>
        <w:t>X</w:t>
      </w:r>
      <w:r>
        <w:rPr>
          <w:i/>
          <w:spacing w:val="-33"/>
          <w:sz w:val="18"/>
        </w:rPr>
        <w:t> </w:t>
      </w:r>
      <w:r>
        <w:rPr>
          <w:i/>
          <w:sz w:val="18"/>
        </w:rPr>
        <w:t>7</w:t>
      </w:r>
      <w:r>
        <w:rPr>
          <w:i/>
          <w:spacing w:val="-34"/>
          <w:sz w:val="18"/>
        </w:rPr>
        <w:t> </w:t>
      </w:r>
      <w:r>
        <w:rPr>
          <w:i/>
          <w:sz w:val="18"/>
        </w:rPr>
        <w:t>power</w:t>
      </w:r>
      <w:r>
        <w:rPr>
          <w:i/>
          <w:spacing w:val="-35"/>
          <w:sz w:val="18"/>
        </w:rPr>
        <w:t> </w:t>
      </w:r>
      <w:r>
        <w:rPr>
          <w:i/>
          <w:sz w:val="18"/>
        </w:rPr>
        <w:t>back-up,</w:t>
      </w:r>
      <w:r>
        <w:rPr>
          <w:i/>
          <w:spacing w:val="-33"/>
          <w:sz w:val="18"/>
        </w:rPr>
        <w:t> </w:t>
      </w:r>
      <w:r>
        <w:rPr>
          <w:i/>
          <w:sz w:val="18"/>
        </w:rPr>
        <w:t>supply</w:t>
      </w:r>
      <w:r>
        <w:rPr>
          <w:i/>
          <w:spacing w:val="-34"/>
          <w:sz w:val="18"/>
        </w:rPr>
        <w:t> </w:t>
      </w:r>
      <w:r>
        <w:rPr>
          <w:i/>
          <w:sz w:val="18"/>
        </w:rPr>
        <w:t>of</w:t>
      </w:r>
      <w:r>
        <w:rPr>
          <w:i/>
          <w:spacing w:val="-35"/>
          <w:sz w:val="18"/>
        </w:rPr>
        <w:t> </w:t>
      </w:r>
      <w:r>
        <w:rPr>
          <w:i/>
          <w:sz w:val="18"/>
        </w:rPr>
        <w:t>telephone</w:t>
      </w:r>
      <w:r>
        <w:rPr>
          <w:i/>
          <w:spacing w:val="-33"/>
          <w:sz w:val="18"/>
        </w:rPr>
        <w:t> </w:t>
      </w:r>
      <w:r>
        <w:rPr>
          <w:i/>
          <w:sz w:val="18"/>
        </w:rPr>
        <w:t>lines,</w:t>
      </w:r>
      <w:r>
        <w:rPr>
          <w:i/>
          <w:spacing w:val="-33"/>
          <w:sz w:val="18"/>
        </w:rPr>
        <w:t> </w:t>
      </w:r>
      <w:r>
        <w:rPr>
          <w:i/>
          <w:sz w:val="18"/>
        </w:rPr>
        <w:t>infrastructure</w:t>
      </w:r>
      <w:r>
        <w:rPr>
          <w:i/>
          <w:spacing w:val="-34"/>
          <w:sz w:val="18"/>
        </w:rPr>
        <w:t> </w:t>
      </w:r>
      <w:r>
        <w:rPr>
          <w:i/>
          <w:sz w:val="18"/>
        </w:rPr>
        <w:t>for</w:t>
      </w:r>
      <w:r>
        <w:rPr>
          <w:i/>
          <w:spacing w:val="-33"/>
          <w:sz w:val="18"/>
        </w:rPr>
        <w:t> </w:t>
      </w:r>
      <w:r>
        <w:rPr>
          <w:i/>
          <w:sz w:val="18"/>
        </w:rPr>
        <w:t>access</w:t>
      </w:r>
      <w:r>
        <w:rPr>
          <w:i/>
          <w:spacing w:val="-34"/>
          <w:sz w:val="18"/>
        </w:rPr>
        <w:t> </w:t>
      </w:r>
      <w:r>
        <w:rPr>
          <w:i/>
          <w:sz w:val="18"/>
        </w:rPr>
        <w:t>to </w:t>
      </w:r>
      <w:r>
        <w:rPr>
          <w:i/>
          <w:w w:val="95"/>
          <w:sz w:val="18"/>
        </w:rPr>
        <w:t>internet,</w:t>
      </w:r>
      <w:r>
        <w:rPr>
          <w:i/>
          <w:spacing w:val="-19"/>
          <w:w w:val="95"/>
          <w:sz w:val="18"/>
        </w:rPr>
        <w:t> </w:t>
      </w:r>
      <w:r>
        <w:rPr>
          <w:i/>
          <w:w w:val="95"/>
          <w:sz w:val="18"/>
        </w:rPr>
        <w:t>central</w:t>
      </w:r>
      <w:r>
        <w:rPr>
          <w:i/>
          <w:spacing w:val="-19"/>
          <w:w w:val="95"/>
          <w:sz w:val="18"/>
        </w:rPr>
        <w:t> </w:t>
      </w:r>
      <w:r>
        <w:rPr>
          <w:i/>
          <w:w w:val="95"/>
          <w:sz w:val="18"/>
        </w:rPr>
        <w:t>air-conditioning,</w:t>
      </w:r>
      <w:r>
        <w:rPr>
          <w:i/>
          <w:spacing w:val="-16"/>
          <w:w w:val="95"/>
          <w:sz w:val="18"/>
        </w:rPr>
        <w:t> </w:t>
      </w:r>
      <w:r>
        <w:rPr>
          <w:i/>
          <w:w w:val="95"/>
          <w:sz w:val="18"/>
        </w:rPr>
        <w:t>spacious</w:t>
      </w:r>
      <w:r>
        <w:rPr>
          <w:i/>
          <w:spacing w:val="-17"/>
          <w:w w:val="95"/>
          <w:sz w:val="18"/>
        </w:rPr>
        <w:t> </w:t>
      </w:r>
      <w:r>
        <w:rPr>
          <w:i/>
          <w:w w:val="95"/>
          <w:sz w:val="18"/>
        </w:rPr>
        <w:t>and</w:t>
      </w:r>
      <w:r>
        <w:rPr>
          <w:i/>
          <w:spacing w:val="-16"/>
          <w:w w:val="95"/>
          <w:sz w:val="18"/>
        </w:rPr>
        <w:t> </w:t>
      </w:r>
      <w:r>
        <w:rPr>
          <w:i/>
          <w:w w:val="95"/>
          <w:sz w:val="18"/>
        </w:rPr>
        <w:t>well</w:t>
      </w:r>
      <w:r>
        <w:rPr>
          <w:i/>
          <w:spacing w:val="-18"/>
          <w:w w:val="95"/>
          <w:sz w:val="18"/>
        </w:rPr>
        <w:t> </w:t>
      </w:r>
      <w:r>
        <w:rPr>
          <w:i/>
          <w:w w:val="95"/>
          <w:sz w:val="18"/>
        </w:rPr>
        <w:t>decorated</w:t>
      </w:r>
      <w:r>
        <w:rPr>
          <w:i/>
          <w:spacing w:val="-18"/>
          <w:w w:val="95"/>
          <w:sz w:val="18"/>
        </w:rPr>
        <w:t> </w:t>
      </w:r>
      <w:r>
        <w:rPr>
          <w:i/>
          <w:w w:val="95"/>
          <w:sz w:val="18"/>
        </w:rPr>
        <w:t>lobbies,</w:t>
      </w:r>
      <w:r>
        <w:rPr>
          <w:i/>
          <w:spacing w:val="-18"/>
          <w:w w:val="95"/>
          <w:sz w:val="18"/>
        </w:rPr>
        <w:t> </w:t>
      </w:r>
      <w:r>
        <w:rPr>
          <w:i/>
          <w:w w:val="95"/>
          <w:sz w:val="18"/>
        </w:rPr>
        <w:t>circulation</w:t>
      </w:r>
      <w:r>
        <w:rPr>
          <w:i/>
          <w:spacing w:val="-18"/>
          <w:w w:val="95"/>
          <w:sz w:val="18"/>
        </w:rPr>
        <w:t> </w:t>
      </w:r>
      <w:r>
        <w:rPr>
          <w:i/>
          <w:w w:val="95"/>
          <w:sz w:val="18"/>
        </w:rPr>
        <w:t>areas,</w:t>
      </w:r>
      <w:r>
        <w:rPr>
          <w:i/>
          <w:spacing w:val="-16"/>
          <w:w w:val="95"/>
          <w:sz w:val="18"/>
        </w:rPr>
        <w:t> </w:t>
      </w:r>
      <w:r>
        <w:rPr>
          <w:i/>
          <w:w w:val="95"/>
          <w:sz w:val="18"/>
        </w:rPr>
        <w:t>lift</w:t>
      </w:r>
      <w:r>
        <w:rPr>
          <w:i/>
          <w:spacing w:val="-18"/>
          <w:w w:val="95"/>
          <w:sz w:val="18"/>
        </w:rPr>
        <w:t> </w:t>
      </w:r>
      <w:r>
        <w:rPr>
          <w:i/>
          <w:w w:val="95"/>
          <w:sz w:val="18"/>
        </w:rPr>
        <w:t>services,</w:t>
      </w:r>
      <w:r>
        <w:rPr>
          <w:i/>
          <w:spacing w:val="-16"/>
          <w:w w:val="95"/>
          <w:sz w:val="18"/>
        </w:rPr>
        <w:t> </w:t>
      </w:r>
      <w:r>
        <w:rPr>
          <w:i/>
          <w:w w:val="95"/>
          <w:sz w:val="18"/>
        </w:rPr>
        <w:t>sufficient</w:t>
      </w:r>
      <w:r>
        <w:rPr>
          <w:i/>
          <w:spacing w:val="-18"/>
          <w:w w:val="95"/>
          <w:sz w:val="18"/>
        </w:rPr>
        <w:t> </w:t>
      </w:r>
      <w:r>
        <w:rPr>
          <w:i/>
          <w:w w:val="95"/>
          <w:sz w:val="18"/>
        </w:rPr>
        <w:t>parking</w:t>
      </w:r>
      <w:r>
        <w:rPr>
          <w:i/>
          <w:spacing w:val="-16"/>
          <w:w w:val="95"/>
          <w:sz w:val="18"/>
        </w:rPr>
        <w:t> </w:t>
      </w:r>
      <w:r>
        <w:rPr>
          <w:i/>
          <w:w w:val="95"/>
          <w:sz w:val="18"/>
        </w:rPr>
        <w:t>facilities,</w:t>
      </w:r>
      <w:r>
        <w:rPr>
          <w:i/>
          <w:spacing w:val="-17"/>
          <w:w w:val="95"/>
          <w:sz w:val="18"/>
        </w:rPr>
        <w:t> </w:t>
      </w:r>
      <w:r>
        <w:rPr>
          <w:i/>
          <w:w w:val="95"/>
          <w:sz w:val="18"/>
        </w:rPr>
        <w:t>etc.</w:t>
      </w:r>
    </w:p>
    <w:p>
      <w:pPr>
        <w:spacing w:before="2"/>
        <w:ind w:left="120" w:right="0" w:firstLine="0"/>
        <w:jc w:val="left"/>
        <w:rPr>
          <w:i/>
          <w:sz w:val="18"/>
        </w:rPr>
      </w:pPr>
      <w:r>
        <w:rPr>
          <w:i/>
          <w:sz w:val="18"/>
        </w:rPr>
        <w:t>^includes IT/ ITeS and SEZ stock</w:t>
      </w:r>
    </w:p>
    <w:p>
      <w:pPr>
        <w:pStyle w:val="BodyText"/>
        <w:spacing w:before="9"/>
        <w:rPr>
          <w:i/>
          <w:sz w:val="17"/>
        </w:rPr>
      </w:pPr>
      <w:r>
        <w:rPr/>
        <w:pict>
          <v:group style="position:absolute;margin-left:36.599998pt;margin-top:12.290177pt;width:522.5pt;height:15.6pt;mso-position-horizontal-relative:page;mso-position-vertical-relative:paragraph;z-index:-15089664;mso-wrap-distance-left:0;mso-wrap-distance-right:0" coordorigin="732,246" coordsize="10450,312">
            <v:rect style="position:absolute;left:732;top:277;width:10448;height:281" filled="true" fillcolor="#006a4d" stroked="false">
              <v:fill type="solid"/>
            </v:rect>
            <v:rect style="position:absolute;left:732;top:245;width:10450;height:29" filled="true" fillcolor="#1f6b16" stroked="false">
              <v:fill type="solid"/>
            </v:rect>
            <v:rect style="position:absolute;left:732;top:274;width:10450;height:3" filled="true" fillcolor="#006a4d" stroked="false">
              <v:fill type="solid"/>
            </v:rect>
            <v:shape style="position:absolute;left:732;top:274;width:10450;height:284" type="#_x0000_t202" filled="false" stroked="false">
              <v:textbox inset="0,0,0,0">
                <w:txbxContent>
                  <w:p>
                    <w:pPr>
                      <w:spacing w:before="32"/>
                      <w:ind w:left="3539" w:right="3541" w:firstLine="0"/>
                      <w:jc w:val="center"/>
                      <w:rPr>
                        <w:b/>
                        <w:sz w:val="18"/>
                      </w:rPr>
                    </w:pPr>
                    <w:r>
                      <w:rPr>
                        <w:b/>
                        <w:color w:val="FFFFFF"/>
                        <w:w w:val="115"/>
                        <w:sz w:val="18"/>
                      </w:rPr>
                      <w:t>Demand – Supply Dynamics</w:t>
                    </w:r>
                    <w:r>
                      <w:rPr>
                        <w:b/>
                        <w:color w:val="FFFFFF"/>
                        <w:spacing w:val="-29"/>
                        <w:w w:val="115"/>
                        <w:sz w:val="18"/>
                      </w:rPr>
                      <w:t> </w:t>
                    </w:r>
                    <w:r>
                      <w:rPr>
                        <w:b/>
                        <w:color w:val="FFFFFF"/>
                        <w:w w:val="115"/>
                        <w:sz w:val="18"/>
                      </w:rPr>
                      <w:t>(Noida)</w:t>
                    </w:r>
                  </w:p>
                </w:txbxContent>
              </v:textbox>
              <w10:wrap type="none"/>
            </v:shape>
            <w10:wrap type="topAndBottom"/>
          </v:group>
        </w:pict>
      </w:r>
      <w:r>
        <w:rPr/>
        <w:drawing>
          <wp:anchor distT="0" distB="0" distL="0" distR="0" allowOverlap="1" layoutInCell="1" locked="0" behindDoc="0" simplePos="0" relativeHeight="1249">
            <wp:simplePos x="0" y="0"/>
            <wp:positionH relativeFrom="page">
              <wp:posOffset>1058209</wp:posOffset>
            </wp:positionH>
            <wp:positionV relativeFrom="paragraph">
              <wp:posOffset>564128</wp:posOffset>
            </wp:positionV>
            <wp:extent cx="5783592" cy="3161252"/>
            <wp:effectExtent l="0" t="0" r="0" b="0"/>
            <wp:wrapTopAndBottom/>
            <wp:docPr id="263" name="image184.jpeg"/>
            <wp:cNvGraphicFramePr>
              <a:graphicFrameLocks noChangeAspect="1"/>
            </wp:cNvGraphicFramePr>
            <a:graphic>
              <a:graphicData uri="http://schemas.openxmlformats.org/drawingml/2006/picture">
                <pic:pic>
                  <pic:nvPicPr>
                    <pic:cNvPr id="264" name="image184.jpeg"/>
                    <pic:cNvPicPr/>
                  </pic:nvPicPr>
                  <pic:blipFill>
                    <a:blip r:embed="rId243" cstate="print"/>
                    <a:stretch>
                      <a:fillRect/>
                    </a:stretch>
                  </pic:blipFill>
                  <pic:spPr>
                    <a:xfrm>
                      <a:off x="0" y="0"/>
                      <a:ext cx="5783592" cy="3161252"/>
                    </a:xfrm>
                    <a:prstGeom prst="rect">
                      <a:avLst/>
                    </a:prstGeom>
                  </pic:spPr>
                </pic:pic>
              </a:graphicData>
            </a:graphic>
          </wp:anchor>
        </w:drawing>
      </w:r>
    </w:p>
    <w:p>
      <w:pPr>
        <w:pStyle w:val="BodyText"/>
        <w:spacing w:before="7"/>
        <w:rPr>
          <w:i/>
        </w:rPr>
      </w:pPr>
    </w:p>
    <w:p>
      <w:pPr>
        <w:tabs>
          <w:tab w:pos="2732" w:val="left" w:leader="none"/>
          <w:tab w:pos="10579" w:val="left" w:leader="none"/>
        </w:tabs>
        <w:spacing w:before="153"/>
        <w:ind w:left="132" w:right="0" w:firstLine="0"/>
        <w:jc w:val="both"/>
        <w:rPr>
          <w:b/>
          <w:sz w:val="18"/>
        </w:rPr>
      </w:pPr>
      <w:r>
        <w:rPr>
          <w:b/>
          <w:color w:val="FFFFFF"/>
          <w:w w:val="103"/>
          <w:sz w:val="18"/>
          <w:shd w:fill="006A4D" w:color="auto" w:val="clear"/>
        </w:rPr>
        <w:t> </w:t>
      </w:r>
      <w:r>
        <w:rPr>
          <w:b/>
          <w:color w:val="FFFFFF"/>
          <w:sz w:val="18"/>
          <w:shd w:fill="006A4D" w:color="auto" w:val="clear"/>
        </w:rPr>
        <w:tab/>
      </w:r>
      <w:r>
        <w:rPr>
          <w:b/>
          <w:color w:val="FFFFFF"/>
          <w:w w:val="115"/>
          <w:sz w:val="18"/>
          <w:shd w:fill="006A4D" w:color="auto" w:val="clear"/>
        </w:rPr>
        <w:t>Demand</w:t>
      </w:r>
      <w:r>
        <w:rPr>
          <w:b/>
          <w:color w:val="FFFFFF"/>
          <w:spacing w:val="-39"/>
          <w:w w:val="115"/>
          <w:sz w:val="18"/>
          <w:shd w:fill="006A4D" w:color="auto" w:val="clear"/>
        </w:rPr>
        <w:t> </w:t>
      </w:r>
      <w:r>
        <w:rPr>
          <w:b/>
          <w:color w:val="FFFFFF"/>
          <w:w w:val="115"/>
          <w:sz w:val="18"/>
          <w:shd w:fill="006A4D" w:color="auto" w:val="clear"/>
        </w:rPr>
        <w:t>–</w:t>
      </w:r>
      <w:r>
        <w:rPr>
          <w:b/>
          <w:color w:val="FFFFFF"/>
          <w:spacing w:val="-39"/>
          <w:w w:val="115"/>
          <w:sz w:val="18"/>
          <w:shd w:fill="006A4D" w:color="auto" w:val="clear"/>
        </w:rPr>
        <w:t> </w:t>
      </w:r>
      <w:r>
        <w:rPr>
          <w:b/>
          <w:color w:val="FFFFFF"/>
          <w:w w:val="115"/>
          <w:sz w:val="18"/>
          <w:shd w:fill="006A4D" w:color="auto" w:val="clear"/>
        </w:rPr>
        <w:t>Supply</w:t>
      </w:r>
      <w:r>
        <w:rPr>
          <w:b/>
          <w:color w:val="FFFFFF"/>
          <w:spacing w:val="-38"/>
          <w:w w:val="115"/>
          <w:sz w:val="18"/>
          <w:shd w:fill="006A4D" w:color="auto" w:val="clear"/>
        </w:rPr>
        <w:t> </w:t>
      </w:r>
      <w:r>
        <w:rPr>
          <w:b/>
          <w:color w:val="FFFFFF"/>
          <w:w w:val="115"/>
          <w:sz w:val="18"/>
          <w:shd w:fill="006A4D" w:color="auto" w:val="clear"/>
        </w:rPr>
        <w:t>Dynamics</w:t>
      </w:r>
      <w:r>
        <w:rPr>
          <w:b/>
          <w:color w:val="FFFFFF"/>
          <w:spacing w:val="-39"/>
          <w:w w:val="115"/>
          <w:sz w:val="18"/>
          <w:shd w:fill="006A4D" w:color="auto" w:val="clear"/>
        </w:rPr>
        <w:t> </w:t>
      </w:r>
      <w:r>
        <w:rPr>
          <w:b/>
          <w:color w:val="FFFFFF"/>
          <w:w w:val="115"/>
          <w:sz w:val="18"/>
          <w:shd w:fill="006A4D" w:color="auto" w:val="clear"/>
        </w:rPr>
        <w:t>(Sector</w:t>
      </w:r>
      <w:r>
        <w:rPr>
          <w:b/>
          <w:color w:val="FFFFFF"/>
          <w:spacing w:val="-39"/>
          <w:w w:val="115"/>
          <w:sz w:val="18"/>
          <w:shd w:fill="006A4D" w:color="auto" w:val="clear"/>
        </w:rPr>
        <w:t> </w:t>
      </w:r>
      <w:r>
        <w:rPr>
          <w:b/>
          <w:color w:val="FFFFFF"/>
          <w:w w:val="115"/>
          <w:sz w:val="18"/>
          <w:shd w:fill="006A4D" w:color="auto" w:val="clear"/>
        </w:rPr>
        <w:t>62/</w:t>
      </w:r>
      <w:r>
        <w:rPr>
          <w:b/>
          <w:color w:val="FFFFFF"/>
          <w:spacing w:val="-39"/>
          <w:w w:val="115"/>
          <w:sz w:val="18"/>
          <w:shd w:fill="006A4D" w:color="auto" w:val="clear"/>
        </w:rPr>
        <w:t> </w:t>
      </w:r>
      <w:r>
        <w:rPr>
          <w:b/>
          <w:color w:val="FFFFFF"/>
          <w:w w:val="115"/>
          <w:sz w:val="18"/>
          <w:shd w:fill="006A4D" w:color="auto" w:val="clear"/>
        </w:rPr>
        <w:t>Peripheral</w:t>
      </w:r>
      <w:r>
        <w:rPr>
          <w:b/>
          <w:color w:val="FFFFFF"/>
          <w:spacing w:val="-39"/>
          <w:w w:val="115"/>
          <w:sz w:val="18"/>
          <w:shd w:fill="006A4D" w:color="auto" w:val="clear"/>
        </w:rPr>
        <w:t> </w:t>
      </w:r>
      <w:r>
        <w:rPr>
          <w:b/>
          <w:color w:val="FFFFFF"/>
          <w:w w:val="115"/>
          <w:sz w:val="18"/>
          <w:shd w:fill="006A4D" w:color="auto" w:val="clear"/>
        </w:rPr>
        <w:t>Noida)</w:t>
      </w:r>
      <w:r>
        <w:rPr>
          <w:b/>
          <w:color w:val="FFFFFF"/>
          <w:sz w:val="18"/>
          <w:shd w:fill="006A4D" w:color="auto" w:val="clear"/>
        </w:rPr>
        <w:tab/>
      </w:r>
    </w:p>
    <w:p>
      <w:pPr>
        <w:pStyle w:val="BodyText"/>
        <w:rPr>
          <w:b/>
          <w:sz w:val="20"/>
        </w:rPr>
      </w:pPr>
    </w:p>
    <w:p>
      <w:pPr>
        <w:pStyle w:val="BodyText"/>
        <w:spacing w:before="4"/>
        <w:rPr>
          <w:b/>
          <w:sz w:val="14"/>
        </w:rPr>
      </w:pPr>
      <w:r>
        <w:rPr/>
        <w:drawing>
          <wp:anchor distT="0" distB="0" distL="0" distR="0" allowOverlap="1" layoutInCell="1" locked="0" behindDoc="0" simplePos="0" relativeHeight="1250">
            <wp:simplePos x="0" y="0"/>
            <wp:positionH relativeFrom="page">
              <wp:posOffset>1044706</wp:posOffset>
            </wp:positionH>
            <wp:positionV relativeFrom="paragraph">
              <wp:posOffset>130646</wp:posOffset>
            </wp:positionV>
            <wp:extent cx="5869638" cy="2959989"/>
            <wp:effectExtent l="0" t="0" r="0" b="0"/>
            <wp:wrapTopAndBottom/>
            <wp:docPr id="265" name="image194.jpeg"/>
            <wp:cNvGraphicFramePr>
              <a:graphicFrameLocks noChangeAspect="1"/>
            </wp:cNvGraphicFramePr>
            <a:graphic>
              <a:graphicData uri="http://schemas.openxmlformats.org/drawingml/2006/picture">
                <pic:pic>
                  <pic:nvPicPr>
                    <pic:cNvPr id="266" name="image194.jpeg"/>
                    <pic:cNvPicPr/>
                  </pic:nvPicPr>
                  <pic:blipFill>
                    <a:blip r:embed="rId257" cstate="print"/>
                    <a:stretch>
                      <a:fillRect/>
                    </a:stretch>
                  </pic:blipFill>
                  <pic:spPr>
                    <a:xfrm>
                      <a:off x="0" y="0"/>
                      <a:ext cx="5869638" cy="2959989"/>
                    </a:xfrm>
                    <a:prstGeom prst="rect">
                      <a:avLst/>
                    </a:prstGeom>
                  </pic:spPr>
                </pic:pic>
              </a:graphicData>
            </a:graphic>
          </wp:anchor>
        </w:drawing>
      </w:r>
    </w:p>
    <w:p>
      <w:pPr>
        <w:pStyle w:val="BodyText"/>
        <w:rPr>
          <w:b/>
        </w:rPr>
      </w:pPr>
    </w:p>
    <w:p>
      <w:pPr>
        <w:spacing w:line="321" w:lineRule="auto" w:before="149"/>
        <w:ind w:left="120" w:right="114" w:firstLine="0"/>
        <w:jc w:val="both"/>
        <w:rPr>
          <w:i/>
          <w:sz w:val="18"/>
        </w:rPr>
      </w:pPr>
      <w:r>
        <w:rPr>
          <w:i/>
          <w:sz w:val="18"/>
        </w:rPr>
        <w:t>Source:</w:t>
      </w:r>
      <w:r>
        <w:rPr>
          <w:i/>
          <w:spacing w:val="-31"/>
          <w:sz w:val="18"/>
        </w:rPr>
        <w:t> </w:t>
      </w:r>
      <w:r>
        <w:rPr>
          <w:i/>
          <w:sz w:val="18"/>
        </w:rPr>
        <w:t>CBRE</w:t>
      </w:r>
      <w:r>
        <w:rPr>
          <w:i/>
          <w:spacing w:val="-29"/>
          <w:sz w:val="18"/>
        </w:rPr>
        <w:t> </w:t>
      </w:r>
      <w:r>
        <w:rPr>
          <w:i/>
          <w:sz w:val="18"/>
        </w:rPr>
        <w:t>Research;</w:t>
      </w:r>
      <w:r>
        <w:rPr>
          <w:i/>
          <w:spacing w:val="-30"/>
          <w:sz w:val="18"/>
        </w:rPr>
        <w:t> </w:t>
      </w:r>
      <w:r>
        <w:rPr>
          <w:i/>
          <w:sz w:val="18"/>
        </w:rPr>
        <w:t>Note:</w:t>
      </w:r>
      <w:r>
        <w:rPr>
          <w:i/>
          <w:spacing w:val="-30"/>
          <w:sz w:val="18"/>
        </w:rPr>
        <w:t> </w:t>
      </w:r>
      <w:r>
        <w:rPr>
          <w:i/>
          <w:sz w:val="18"/>
        </w:rPr>
        <w:t>Supply</w:t>
      </w:r>
      <w:r>
        <w:rPr>
          <w:i/>
          <w:spacing w:val="-29"/>
          <w:sz w:val="18"/>
        </w:rPr>
        <w:t> </w:t>
      </w:r>
      <w:r>
        <w:rPr>
          <w:i/>
          <w:w w:val="105"/>
          <w:sz w:val="18"/>
        </w:rPr>
        <w:t>–</w:t>
      </w:r>
      <w:r>
        <w:rPr>
          <w:i/>
          <w:spacing w:val="-32"/>
          <w:w w:val="105"/>
          <w:sz w:val="18"/>
        </w:rPr>
        <w:t> </w:t>
      </w:r>
      <w:r>
        <w:rPr>
          <w:i/>
          <w:sz w:val="18"/>
        </w:rPr>
        <w:t>refers</w:t>
      </w:r>
      <w:r>
        <w:rPr>
          <w:i/>
          <w:spacing w:val="-30"/>
          <w:sz w:val="18"/>
        </w:rPr>
        <w:t> </w:t>
      </w:r>
      <w:r>
        <w:rPr>
          <w:i/>
          <w:sz w:val="18"/>
        </w:rPr>
        <w:t>to</w:t>
      </w:r>
      <w:r>
        <w:rPr>
          <w:i/>
          <w:spacing w:val="-30"/>
          <w:sz w:val="18"/>
        </w:rPr>
        <w:t> </w:t>
      </w:r>
      <w:r>
        <w:rPr>
          <w:i/>
          <w:sz w:val="18"/>
        </w:rPr>
        <w:t>fresh</w:t>
      </w:r>
      <w:r>
        <w:rPr>
          <w:i/>
          <w:spacing w:val="-29"/>
          <w:sz w:val="18"/>
        </w:rPr>
        <w:t> </w:t>
      </w:r>
      <w:r>
        <w:rPr>
          <w:i/>
          <w:sz w:val="18"/>
        </w:rPr>
        <w:t>completed</w:t>
      </w:r>
      <w:r>
        <w:rPr>
          <w:i/>
          <w:spacing w:val="-30"/>
          <w:sz w:val="18"/>
        </w:rPr>
        <w:t> </w:t>
      </w:r>
      <w:r>
        <w:rPr>
          <w:i/>
          <w:sz w:val="18"/>
        </w:rPr>
        <w:t>supply</w:t>
      </w:r>
      <w:r>
        <w:rPr>
          <w:i/>
          <w:spacing w:val="-30"/>
          <w:sz w:val="18"/>
        </w:rPr>
        <w:t> </w:t>
      </w:r>
      <w:r>
        <w:rPr>
          <w:i/>
          <w:sz w:val="18"/>
        </w:rPr>
        <w:t>added</w:t>
      </w:r>
      <w:r>
        <w:rPr>
          <w:i/>
          <w:spacing w:val="-30"/>
          <w:sz w:val="18"/>
        </w:rPr>
        <w:t> </w:t>
      </w:r>
      <w:r>
        <w:rPr>
          <w:i/>
          <w:sz w:val="18"/>
        </w:rPr>
        <w:t>each</w:t>
      </w:r>
      <w:r>
        <w:rPr>
          <w:i/>
          <w:spacing w:val="-29"/>
          <w:sz w:val="18"/>
        </w:rPr>
        <w:t> </w:t>
      </w:r>
      <w:r>
        <w:rPr>
          <w:i/>
          <w:sz w:val="18"/>
        </w:rPr>
        <w:t>year;</w:t>
      </w:r>
      <w:r>
        <w:rPr>
          <w:i/>
          <w:spacing w:val="-30"/>
          <w:sz w:val="18"/>
        </w:rPr>
        <w:t> </w:t>
      </w:r>
      <w:r>
        <w:rPr>
          <w:i/>
          <w:sz w:val="18"/>
        </w:rPr>
        <w:t>Absorption</w:t>
      </w:r>
      <w:r>
        <w:rPr>
          <w:i/>
          <w:spacing w:val="-29"/>
          <w:sz w:val="18"/>
        </w:rPr>
        <w:t> </w:t>
      </w:r>
      <w:r>
        <w:rPr>
          <w:i/>
          <w:w w:val="105"/>
          <w:sz w:val="18"/>
        </w:rPr>
        <w:t>–</w:t>
      </w:r>
      <w:r>
        <w:rPr>
          <w:i/>
          <w:spacing w:val="-32"/>
          <w:w w:val="105"/>
          <w:sz w:val="18"/>
        </w:rPr>
        <w:t> </w:t>
      </w:r>
      <w:r>
        <w:rPr>
          <w:i/>
          <w:sz w:val="18"/>
        </w:rPr>
        <w:t>refers</w:t>
      </w:r>
      <w:r>
        <w:rPr>
          <w:i/>
          <w:spacing w:val="-30"/>
          <w:sz w:val="18"/>
        </w:rPr>
        <w:t> </w:t>
      </w:r>
      <w:r>
        <w:rPr>
          <w:i/>
          <w:sz w:val="18"/>
        </w:rPr>
        <w:t>to</w:t>
      </w:r>
      <w:r>
        <w:rPr>
          <w:i/>
          <w:spacing w:val="-30"/>
          <w:sz w:val="18"/>
        </w:rPr>
        <w:t> </w:t>
      </w:r>
      <w:r>
        <w:rPr>
          <w:i/>
          <w:sz w:val="18"/>
        </w:rPr>
        <w:t>the</w:t>
      </w:r>
      <w:r>
        <w:rPr>
          <w:i/>
          <w:spacing w:val="-30"/>
          <w:sz w:val="18"/>
        </w:rPr>
        <w:t> </w:t>
      </w:r>
      <w:r>
        <w:rPr>
          <w:i/>
          <w:sz w:val="18"/>
        </w:rPr>
        <w:t>quantum</w:t>
      </w:r>
      <w:r>
        <w:rPr>
          <w:i/>
          <w:spacing w:val="-30"/>
          <w:sz w:val="18"/>
        </w:rPr>
        <w:t> </w:t>
      </w:r>
      <w:r>
        <w:rPr>
          <w:i/>
          <w:sz w:val="18"/>
        </w:rPr>
        <w:t>of</w:t>
      </w:r>
      <w:r>
        <w:rPr>
          <w:i/>
          <w:spacing w:val="-30"/>
          <w:sz w:val="18"/>
        </w:rPr>
        <w:t> </w:t>
      </w:r>
      <w:r>
        <w:rPr>
          <w:i/>
          <w:sz w:val="18"/>
        </w:rPr>
        <w:t>leasing </w:t>
      </w:r>
      <w:r>
        <w:rPr>
          <w:i/>
          <w:sz w:val="18"/>
        </w:rPr>
        <w:t>witnessed</w:t>
      </w:r>
      <w:r>
        <w:rPr>
          <w:i/>
          <w:spacing w:val="-35"/>
          <w:sz w:val="18"/>
        </w:rPr>
        <w:t> </w:t>
      </w:r>
      <w:r>
        <w:rPr>
          <w:i/>
          <w:sz w:val="18"/>
        </w:rPr>
        <w:t>in</w:t>
      </w:r>
      <w:r>
        <w:rPr>
          <w:i/>
          <w:spacing w:val="-35"/>
          <w:sz w:val="18"/>
        </w:rPr>
        <w:t> </w:t>
      </w:r>
      <w:r>
        <w:rPr>
          <w:i/>
          <w:sz w:val="18"/>
        </w:rPr>
        <w:t>each</w:t>
      </w:r>
      <w:r>
        <w:rPr>
          <w:i/>
          <w:spacing w:val="-35"/>
          <w:sz w:val="18"/>
        </w:rPr>
        <w:t> </w:t>
      </w:r>
      <w:r>
        <w:rPr>
          <w:i/>
          <w:sz w:val="18"/>
        </w:rPr>
        <w:t>year</w:t>
      </w:r>
      <w:r>
        <w:rPr>
          <w:i/>
          <w:spacing w:val="-35"/>
          <w:sz w:val="18"/>
        </w:rPr>
        <w:t> </w:t>
      </w:r>
      <w:r>
        <w:rPr>
          <w:i/>
          <w:sz w:val="18"/>
        </w:rPr>
        <w:t>as</w:t>
      </w:r>
      <w:r>
        <w:rPr>
          <w:i/>
          <w:spacing w:val="-36"/>
          <w:sz w:val="18"/>
        </w:rPr>
        <w:t> </w:t>
      </w:r>
      <w:r>
        <w:rPr>
          <w:i/>
          <w:sz w:val="18"/>
        </w:rPr>
        <w:t>part</w:t>
      </w:r>
      <w:r>
        <w:rPr>
          <w:i/>
          <w:spacing w:val="-35"/>
          <w:sz w:val="18"/>
        </w:rPr>
        <w:t> </w:t>
      </w:r>
      <w:r>
        <w:rPr>
          <w:i/>
          <w:sz w:val="18"/>
        </w:rPr>
        <w:t>of</w:t>
      </w:r>
      <w:r>
        <w:rPr>
          <w:i/>
          <w:spacing w:val="-36"/>
          <w:sz w:val="18"/>
        </w:rPr>
        <w:t> </w:t>
      </w:r>
      <w:r>
        <w:rPr>
          <w:i/>
          <w:sz w:val="18"/>
        </w:rPr>
        <w:t>completed</w:t>
      </w:r>
      <w:r>
        <w:rPr>
          <w:i/>
          <w:spacing w:val="-35"/>
          <w:sz w:val="18"/>
        </w:rPr>
        <w:t> </w:t>
      </w:r>
      <w:r>
        <w:rPr>
          <w:i/>
          <w:sz w:val="18"/>
        </w:rPr>
        <w:t>space;</w:t>
      </w:r>
      <w:r>
        <w:rPr>
          <w:i/>
          <w:spacing w:val="-35"/>
          <w:sz w:val="18"/>
        </w:rPr>
        <w:t> </w:t>
      </w:r>
      <w:r>
        <w:rPr>
          <w:i/>
          <w:sz w:val="18"/>
        </w:rPr>
        <w:t>the</w:t>
      </w:r>
      <w:r>
        <w:rPr>
          <w:i/>
          <w:spacing w:val="-36"/>
          <w:sz w:val="18"/>
        </w:rPr>
        <w:t> </w:t>
      </w:r>
      <w:r>
        <w:rPr>
          <w:i/>
          <w:sz w:val="18"/>
        </w:rPr>
        <w:t>vacancy</w:t>
      </w:r>
      <w:r>
        <w:rPr>
          <w:i/>
          <w:spacing w:val="-36"/>
          <w:sz w:val="18"/>
        </w:rPr>
        <w:t> </w:t>
      </w:r>
      <w:r>
        <w:rPr>
          <w:i/>
          <w:sz w:val="18"/>
        </w:rPr>
        <w:t>in</w:t>
      </w:r>
      <w:r>
        <w:rPr>
          <w:i/>
          <w:spacing w:val="-35"/>
          <w:sz w:val="18"/>
        </w:rPr>
        <w:t> </w:t>
      </w:r>
      <w:r>
        <w:rPr>
          <w:i/>
          <w:sz w:val="18"/>
        </w:rPr>
        <w:t>the</w:t>
      </w:r>
      <w:r>
        <w:rPr>
          <w:i/>
          <w:spacing w:val="-36"/>
          <w:sz w:val="18"/>
        </w:rPr>
        <w:t> </w:t>
      </w:r>
      <w:r>
        <w:rPr>
          <w:i/>
          <w:sz w:val="18"/>
        </w:rPr>
        <w:t>chart</w:t>
      </w:r>
      <w:r>
        <w:rPr>
          <w:i/>
          <w:spacing w:val="-35"/>
          <w:sz w:val="18"/>
        </w:rPr>
        <w:t> </w:t>
      </w:r>
      <w:r>
        <w:rPr>
          <w:i/>
          <w:sz w:val="18"/>
        </w:rPr>
        <w:t>accounts</w:t>
      </w:r>
      <w:r>
        <w:rPr>
          <w:i/>
          <w:spacing w:val="-35"/>
          <w:sz w:val="18"/>
        </w:rPr>
        <w:t> </w:t>
      </w:r>
      <w:r>
        <w:rPr>
          <w:i/>
          <w:sz w:val="18"/>
        </w:rPr>
        <w:t>for</w:t>
      </w:r>
      <w:r>
        <w:rPr>
          <w:i/>
          <w:spacing w:val="-35"/>
          <w:sz w:val="18"/>
        </w:rPr>
        <w:t> </w:t>
      </w:r>
      <w:r>
        <w:rPr>
          <w:i/>
          <w:sz w:val="18"/>
        </w:rPr>
        <w:t>the</w:t>
      </w:r>
      <w:r>
        <w:rPr>
          <w:i/>
          <w:spacing w:val="-35"/>
          <w:sz w:val="18"/>
        </w:rPr>
        <w:t> </w:t>
      </w:r>
      <w:r>
        <w:rPr>
          <w:i/>
          <w:sz w:val="18"/>
        </w:rPr>
        <w:t>gap</w:t>
      </w:r>
      <w:r>
        <w:rPr>
          <w:i/>
          <w:spacing w:val="-35"/>
          <w:sz w:val="18"/>
        </w:rPr>
        <w:t> </w:t>
      </w:r>
      <w:r>
        <w:rPr>
          <w:i/>
          <w:sz w:val="18"/>
        </w:rPr>
        <w:t>between</w:t>
      </w:r>
      <w:r>
        <w:rPr>
          <w:i/>
          <w:spacing w:val="-34"/>
          <w:sz w:val="18"/>
        </w:rPr>
        <w:t> </w:t>
      </w:r>
      <w:r>
        <w:rPr>
          <w:i/>
          <w:sz w:val="18"/>
        </w:rPr>
        <w:t>cumulative</w:t>
      </w:r>
      <w:r>
        <w:rPr>
          <w:i/>
          <w:spacing w:val="-36"/>
          <w:sz w:val="18"/>
        </w:rPr>
        <w:t> </w:t>
      </w:r>
      <w:r>
        <w:rPr>
          <w:i/>
          <w:sz w:val="18"/>
        </w:rPr>
        <w:t>stock</w:t>
      </w:r>
      <w:r>
        <w:rPr>
          <w:i/>
          <w:spacing w:val="-36"/>
          <w:sz w:val="18"/>
        </w:rPr>
        <w:t> </w:t>
      </w:r>
      <w:r>
        <w:rPr>
          <w:i/>
          <w:sz w:val="18"/>
        </w:rPr>
        <w:t>and</w:t>
      </w:r>
      <w:r>
        <w:rPr>
          <w:i/>
          <w:spacing w:val="-30"/>
          <w:sz w:val="18"/>
        </w:rPr>
        <w:t> </w:t>
      </w:r>
      <w:r>
        <w:rPr>
          <w:i/>
          <w:sz w:val="18"/>
        </w:rPr>
        <w:t>occupied stock in any given</w:t>
      </w:r>
      <w:r>
        <w:rPr>
          <w:i/>
          <w:spacing w:val="-15"/>
          <w:sz w:val="18"/>
        </w:rPr>
        <w:t> </w:t>
      </w:r>
      <w:r>
        <w:rPr>
          <w:i/>
          <w:sz w:val="18"/>
        </w:rPr>
        <w:t>year</w:t>
      </w:r>
    </w:p>
    <w:p>
      <w:pPr>
        <w:spacing w:after="0" w:line="321" w:lineRule="auto"/>
        <w:jc w:val="both"/>
        <w:rPr>
          <w:sz w:val="18"/>
        </w:rPr>
        <w:sectPr>
          <w:pgSz w:w="11910" w:h="16840"/>
          <w:pgMar w:header="720" w:footer="921" w:top="1660" w:bottom="1120" w:left="600" w:right="600"/>
        </w:sectPr>
      </w:pPr>
    </w:p>
    <w:p>
      <w:pPr>
        <w:pStyle w:val="BodyText"/>
        <w:spacing w:before="7"/>
        <w:rPr>
          <w:i/>
          <w:sz w:val="9"/>
        </w:rPr>
      </w:pPr>
    </w:p>
    <w:p>
      <w:pPr>
        <w:pStyle w:val="BodyText"/>
        <w:spacing w:line="321" w:lineRule="auto" w:before="106"/>
        <w:ind w:left="682" w:right="113" w:hanging="22"/>
        <w:jc w:val="both"/>
      </w:pPr>
      <w:r>
        <w:rPr/>
        <w:t>As</w:t>
      </w:r>
      <w:r>
        <w:rPr>
          <w:spacing w:val="-18"/>
        </w:rPr>
        <w:t> </w:t>
      </w:r>
      <w:r>
        <w:rPr/>
        <w:t>mentioned</w:t>
      </w:r>
      <w:r>
        <w:rPr>
          <w:spacing w:val="-17"/>
        </w:rPr>
        <w:t> </w:t>
      </w:r>
      <w:r>
        <w:rPr/>
        <w:t>earlier,</w:t>
      </w:r>
      <w:r>
        <w:rPr>
          <w:spacing w:val="-19"/>
        </w:rPr>
        <w:t> </w:t>
      </w:r>
      <w:r>
        <w:rPr/>
        <w:t>the</w:t>
      </w:r>
      <w:r>
        <w:rPr>
          <w:spacing w:val="-18"/>
        </w:rPr>
        <w:t> </w:t>
      </w:r>
      <w:r>
        <w:rPr/>
        <w:t>subject</w:t>
      </w:r>
      <w:r>
        <w:rPr>
          <w:spacing w:val="-18"/>
        </w:rPr>
        <w:t> </w:t>
      </w:r>
      <w:r>
        <w:rPr/>
        <w:t>region</w:t>
      </w:r>
      <w:r>
        <w:rPr>
          <w:spacing w:val="-19"/>
        </w:rPr>
        <w:t> </w:t>
      </w:r>
      <w:r>
        <w:rPr/>
        <w:t>is</w:t>
      </w:r>
      <w:r>
        <w:rPr>
          <w:spacing w:val="-17"/>
        </w:rPr>
        <w:t> </w:t>
      </w:r>
      <w:r>
        <w:rPr/>
        <w:t>an</w:t>
      </w:r>
      <w:r>
        <w:rPr>
          <w:spacing w:val="-19"/>
        </w:rPr>
        <w:t> </w:t>
      </w:r>
      <w:r>
        <w:rPr/>
        <w:t>established</w:t>
      </w:r>
      <w:r>
        <w:rPr>
          <w:spacing w:val="-18"/>
        </w:rPr>
        <w:t> </w:t>
      </w:r>
      <w:r>
        <w:rPr/>
        <w:t>commercial</w:t>
      </w:r>
      <w:r>
        <w:rPr>
          <w:spacing w:val="-18"/>
        </w:rPr>
        <w:t> </w:t>
      </w:r>
      <w:r>
        <w:rPr/>
        <w:t>vector</w:t>
      </w:r>
      <w:r>
        <w:rPr>
          <w:spacing w:val="-18"/>
        </w:rPr>
        <w:t> </w:t>
      </w:r>
      <w:r>
        <w:rPr/>
        <w:t>of</w:t>
      </w:r>
      <w:r>
        <w:rPr>
          <w:spacing w:val="-13"/>
        </w:rPr>
        <w:t> </w:t>
      </w:r>
      <w:r>
        <w:rPr/>
        <w:t>Noida.</w:t>
      </w:r>
      <w:r>
        <w:rPr>
          <w:spacing w:val="-19"/>
        </w:rPr>
        <w:t> </w:t>
      </w:r>
      <w:r>
        <w:rPr/>
        <w:t>The</w:t>
      </w:r>
      <w:r>
        <w:rPr>
          <w:spacing w:val="-19"/>
        </w:rPr>
        <w:t> </w:t>
      </w:r>
      <w:r>
        <w:rPr/>
        <w:t>said</w:t>
      </w:r>
      <w:r>
        <w:rPr>
          <w:spacing w:val="-18"/>
        </w:rPr>
        <w:t> </w:t>
      </w:r>
      <w:r>
        <w:rPr/>
        <w:t>vector has</w:t>
      </w:r>
      <w:r>
        <w:rPr>
          <w:spacing w:val="-33"/>
        </w:rPr>
        <w:t> </w:t>
      </w:r>
      <w:r>
        <w:rPr/>
        <w:t>been</w:t>
      </w:r>
      <w:r>
        <w:rPr>
          <w:spacing w:val="-33"/>
        </w:rPr>
        <w:t> </w:t>
      </w:r>
      <w:r>
        <w:rPr/>
        <w:t>earmarked</w:t>
      </w:r>
      <w:r>
        <w:rPr>
          <w:spacing w:val="-34"/>
        </w:rPr>
        <w:t> </w:t>
      </w:r>
      <w:r>
        <w:rPr/>
        <w:t>for</w:t>
      </w:r>
      <w:r>
        <w:rPr>
          <w:spacing w:val="-34"/>
        </w:rPr>
        <w:t> </w:t>
      </w:r>
      <w:r>
        <w:rPr/>
        <w:t>institutional</w:t>
      </w:r>
      <w:r>
        <w:rPr>
          <w:spacing w:val="-33"/>
        </w:rPr>
        <w:t> </w:t>
      </w:r>
      <w:r>
        <w:rPr/>
        <w:t>development</w:t>
      </w:r>
      <w:r>
        <w:rPr>
          <w:spacing w:val="-35"/>
        </w:rPr>
        <w:t> </w:t>
      </w:r>
      <w:r>
        <w:rPr/>
        <w:t>(which</w:t>
      </w:r>
      <w:r>
        <w:rPr>
          <w:spacing w:val="-33"/>
        </w:rPr>
        <w:t> </w:t>
      </w:r>
      <w:r>
        <w:rPr/>
        <w:t>permits</w:t>
      </w:r>
      <w:r>
        <w:rPr>
          <w:spacing w:val="-34"/>
        </w:rPr>
        <w:t> </w:t>
      </w:r>
      <w:r>
        <w:rPr/>
        <w:t>IT/ITeS</w:t>
      </w:r>
      <w:r>
        <w:rPr>
          <w:spacing w:val="-34"/>
        </w:rPr>
        <w:t> </w:t>
      </w:r>
      <w:r>
        <w:rPr/>
        <w:t>usage)</w:t>
      </w:r>
      <w:r>
        <w:rPr>
          <w:spacing w:val="-34"/>
        </w:rPr>
        <w:t> </w:t>
      </w:r>
      <w:r>
        <w:rPr/>
        <w:t>by</w:t>
      </w:r>
      <w:r>
        <w:rPr>
          <w:spacing w:val="-33"/>
        </w:rPr>
        <w:t> </w:t>
      </w:r>
      <w:r>
        <w:rPr/>
        <w:t>Noida</w:t>
      </w:r>
      <w:r>
        <w:rPr>
          <w:spacing w:val="-35"/>
        </w:rPr>
        <w:t> </w:t>
      </w:r>
      <w:r>
        <w:rPr/>
        <w:t>Authority</w:t>
      </w:r>
      <w:r>
        <w:rPr>
          <w:spacing w:val="-34"/>
        </w:rPr>
        <w:t> </w:t>
      </w:r>
      <w:r>
        <w:rPr/>
        <w:t>and the</w:t>
      </w:r>
      <w:r>
        <w:rPr>
          <w:spacing w:val="-29"/>
        </w:rPr>
        <w:t> </w:t>
      </w:r>
      <w:r>
        <w:rPr/>
        <w:t>same</w:t>
      </w:r>
      <w:r>
        <w:rPr>
          <w:spacing w:val="-29"/>
        </w:rPr>
        <w:t> </w:t>
      </w:r>
      <w:r>
        <w:rPr/>
        <w:t>has</w:t>
      </w:r>
      <w:r>
        <w:rPr>
          <w:spacing w:val="-27"/>
        </w:rPr>
        <w:t> </w:t>
      </w:r>
      <w:r>
        <w:rPr/>
        <w:t>resulted</w:t>
      </w:r>
      <w:r>
        <w:rPr>
          <w:spacing w:val="-27"/>
        </w:rPr>
        <w:t> </w:t>
      </w:r>
      <w:r>
        <w:rPr/>
        <w:t>in</w:t>
      </w:r>
      <w:r>
        <w:rPr>
          <w:spacing w:val="-30"/>
        </w:rPr>
        <w:t> </w:t>
      </w:r>
      <w:r>
        <w:rPr/>
        <w:t>the</w:t>
      </w:r>
      <w:r>
        <w:rPr>
          <w:spacing w:val="-29"/>
        </w:rPr>
        <w:t> </w:t>
      </w:r>
      <w:r>
        <w:rPr/>
        <w:t>emergence</w:t>
      </w:r>
      <w:r>
        <w:rPr>
          <w:spacing w:val="-28"/>
        </w:rPr>
        <w:t> </w:t>
      </w:r>
      <w:r>
        <w:rPr/>
        <w:t>of</w:t>
      </w:r>
      <w:r>
        <w:rPr>
          <w:spacing w:val="-29"/>
        </w:rPr>
        <w:t> </w:t>
      </w:r>
      <w:r>
        <w:rPr/>
        <w:t>the</w:t>
      </w:r>
      <w:r>
        <w:rPr>
          <w:spacing w:val="-28"/>
        </w:rPr>
        <w:t> </w:t>
      </w:r>
      <w:r>
        <w:rPr/>
        <w:t>said</w:t>
      </w:r>
      <w:r>
        <w:rPr>
          <w:spacing w:val="-28"/>
        </w:rPr>
        <w:t> </w:t>
      </w:r>
      <w:r>
        <w:rPr/>
        <w:t>vector</w:t>
      </w:r>
      <w:r>
        <w:rPr>
          <w:spacing w:val="-28"/>
        </w:rPr>
        <w:t> </w:t>
      </w:r>
      <w:r>
        <w:rPr/>
        <w:t>as</w:t>
      </w:r>
      <w:r>
        <w:rPr>
          <w:spacing w:val="-29"/>
        </w:rPr>
        <w:t> </w:t>
      </w:r>
      <w:r>
        <w:rPr/>
        <w:t>an</w:t>
      </w:r>
      <w:r>
        <w:rPr>
          <w:spacing w:val="-25"/>
        </w:rPr>
        <w:t> </w:t>
      </w:r>
      <w:r>
        <w:rPr/>
        <w:t>alternate</w:t>
      </w:r>
      <w:r>
        <w:rPr>
          <w:spacing w:val="-29"/>
        </w:rPr>
        <w:t> </w:t>
      </w:r>
      <w:r>
        <w:rPr/>
        <w:t>business</w:t>
      </w:r>
      <w:r>
        <w:rPr>
          <w:spacing w:val="-28"/>
        </w:rPr>
        <w:t> </w:t>
      </w:r>
      <w:r>
        <w:rPr/>
        <w:t>district</w:t>
      </w:r>
      <w:r>
        <w:rPr>
          <w:spacing w:val="-28"/>
        </w:rPr>
        <w:t> </w:t>
      </w:r>
      <w:r>
        <w:rPr/>
        <w:t>for</w:t>
      </w:r>
      <w:r>
        <w:rPr>
          <w:spacing w:val="-29"/>
        </w:rPr>
        <w:t> </w:t>
      </w:r>
      <w:r>
        <w:rPr/>
        <w:t>the</w:t>
      </w:r>
      <w:r>
        <w:rPr>
          <w:spacing w:val="-28"/>
        </w:rPr>
        <w:t> </w:t>
      </w:r>
      <w:r>
        <w:rPr/>
        <w:t>city</w:t>
      </w:r>
      <w:r>
        <w:rPr>
          <w:spacing w:val="-28"/>
        </w:rPr>
        <w:t> </w:t>
      </w:r>
      <w:r>
        <w:rPr/>
        <w:t>of Noida.</w:t>
      </w:r>
      <w:r>
        <w:rPr>
          <w:spacing w:val="-20"/>
        </w:rPr>
        <w:t> </w:t>
      </w:r>
      <w:r>
        <w:rPr/>
        <w:t>The</w:t>
      </w:r>
      <w:r>
        <w:rPr>
          <w:spacing w:val="-20"/>
        </w:rPr>
        <w:t> </w:t>
      </w:r>
      <w:r>
        <w:rPr/>
        <w:t>subject</w:t>
      </w:r>
      <w:r>
        <w:rPr>
          <w:spacing w:val="-19"/>
        </w:rPr>
        <w:t> </w:t>
      </w:r>
      <w:r>
        <w:rPr/>
        <w:t>region</w:t>
      </w:r>
      <w:r>
        <w:rPr>
          <w:spacing w:val="-19"/>
        </w:rPr>
        <w:t> </w:t>
      </w:r>
      <w:r>
        <w:rPr/>
        <w:t>has</w:t>
      </w:r>
      <w:r>
        <w:rPr>
          <w:spacing w:val="-18"/>
        </w:rPr>
        <w:t> </w:t>
      </w:r>
      <w:r>
        <w:rPr/>
        <w:t>witnessed</w:t>
      </w:r>
      <w:r>
        <w:rPr>
          <w:spacing w:val="-20"/>
        </w:rPr>
        <w:t> </w:t>
      </w:r>
      <w:r>
        <w:rPr/>
        <w:t>significant</w:t>
      </w:r>
      <w:r>
        <w:rPr>
          <w:spacing w:val="-20"/>
        </w:rPr>
        <w:t> </w:t>
      </w:r>
      <w:r>
        <w:rPr/>
        <w:t>development</w:t>
      </w:r>
      <w:r>
        <w:rPr>
          <w:spacing w:val="-19"/>
        </w:rPr>
        <w:t> </w:t>
      </w:r>
      <w:r>
        <w:rPr/>
        <w:t>activity</w:t>
      </w:r>
      <w:r>
        <w:rPr>
          <w:spacing w:val="-19"/>
        </w:rPr>
        <w:t> </w:t>
      </w:r>
      <w:r>
        <w:rPr/>
        <w:t>(across</w:t>
      </w:r>
      <w:r>
        <w:rPr>
          <w:spacing w:val="-18"/>
        </w:rPr>
        <w:t> </w:t>
      </w:r>
      <w:r>
        <w:rPr/>
        <w:t>IT/ITeS</w:t>
      </w:r>
      <w:r>
        <w:rPr>
          <w:spacing w:val="-19"/>
        </w:rPr>
        <w:t> </w:t>
      </w:r>
      <w:r>
        <w:rPr/>
        <w:t>office</w:t>
      </w:r>
      <w:r>
        <w:rPr>
          <w:spacing w:val="-20"/>
        </w:rPr>
        <w:t> </w:t>
      </w:r>
      <w:r>
        <w:rPr/>
        <w:t>space) over</w:t>
      </w:r>
      <w:r>
        <w:rPr>
          <w:spacing w:val="-33"/>
        </w:rPr>
        <w:t> </w:t>
      </w:r>
      <w:r>
        <w:rPr/>
        <w:t>the</w:t>
      </w:r>
      <w:r>
        <w:rPr>
          <w:spacing w:val="-32"/>
        </w:rPr>
        <w:t> </w:t>
      </w:r>
      <w:r>
        <w:rPr/>
        <w:t>past</w:t>
      </w:r>
      <w:r>
        <w:rPr>
          <w:spacing w:val="-32"/>
        </w:rPr>
        <w:t> </w:t>
      </w:r>
      <w:r>
        <w:rPr/>
        <w:t>few</w:t>
      </w:r>
      <w:r>
        <w:rPr>
          <w:spacing w:val="-32"/>
        </w:rPr>
        <w:t> </w:t>
      </w:r>
      <w:r>
        <w:rPr/>
        <w:t>years.</w:t>
      </w:r>
      <w:r>
        <w:rPr>
          <w:spacing w:val="-32"/>
        </w:rPr>
        <w:t> </w:t>
      </w:r>
      <w:r>
        <w:rPr/>
        <w:t>Few</w:t>
      </w:r>
      <w:r>
        <w:rPr>
          <w:spacing w:val="-32"/>
        </w:rPr>
        <w:t> </w:t>
      </w:r>
      <w:r>
        <w:rPr/>
        <w:t>of</w:t>
      </w:r>
      <w:r>
        <w:rPr>
          <w:spacing w:val="-32"/>
        </w:rPr>
        <w:t> </w:t>
      </w:r>
      <w:r>
        <w:rPr/>
        <w:t>the</w:t>
      </w:r>
      <w:r>
        <w:rPr>
          <w:spacing w:val="-33"/>
        </w:rPr>
        <w:t> </w:t>
      </w:r>
      <w:r>
        <w:rPr/>
        <w:t>prominent</w:t>
      </w:r>
      <w:r>
        <w:rPr>
          <w:spacing w:val="-32"/>
        </w:rPr>
        <w:t> </w:t>
      </w:r>
      <w:r>
        <w:rPr/>
        <w:t>office</w:t>
      </w:r>
      <w:r>
        <w:rPr>
          <w:spacing w:val="-33"/>
        </w:rPr>
        <w:t> </w:t>
      </w:r>
      <w:r>
        <w:rPr/>
        <w:t>developments</w:t>
      </w:r>
      <w:r>
        <w:rPr>
          <w:spacing w:val="-32"/>
        </w:rPr>
        <w:t> </w:t>
      </w:r>
      <w:r>
        <w:rPr/>
        <w:t>located</w:t>
      </w:r>
      <w:r>
        <w:rPr>
          <w:spacing w:val="-32"/>
        </w:rPr>
        <w:t> </w:t>
      </w:r>
      <w:r>
        <w:rPr/>
        <w:t>in</w:t>
      </w:r>
      <w:r>
        <w:rPr>
          <w:spacing w:val="-32"/>
        </w:rPr>
        <w:t> </w:t>
      </w:r>
      <w:r>
        <w:rPr/>
        <w:t>the</w:t>
      </w:r>
      <w:r>
        <w:rPr>
          <w:spacing w:val="-33"/>
        </w:rPr>
        <w:t> </w:t>
      </w:r>
      <w:r>
        <w:rPr/>
        <w:t>subject</w:t>
      </w:r>
      <w:r>
        <w:rPr>
          <w:spacing w:val="-32"/>
        </w:rPr>
        <w:t> </w:t>
      </w:r>
      <w:r>
        <w:rPr/>
        <w:t>region</w:t>
      </w:r>
      <w:r>
        <w:rPr>
          <w:spacing w:val="-32"/>
        </w:rPr>
        <w:t> </w:t>
      </w:r>
      <w:r>
        <w:rPr/>
        <w:t>include 3C</w:t>
      </w:r>
      <w:r>
        <w:rPr>
          <w:spacing w:val="-28"/>
        </w:rPr>
        <w:t> </w:t>
      </w:r>
      <w:r>
        <w:rPr/>
        <w:t>Green</w:t>
      </w:r>
      <w:r>
        <w:rPr>
          <w:spacing w:val="-29"/>
        </w:rPr>
        <w:t> </w:t>
      </w:r>
      <w:r>
        <w:rPr/>
        <w:t>Boulevard,</w:t>
      </w:r>
      <w:r>
        <w:rPr>
          <w:spacing w:val="-29"/>
        </w:rPr>
        <w:t> </w:t>
      </w:r>
      <w:r>
        <w:rPr/>
        <w:t>Stellar</w:t>
      </w:r>
      <w:r>
        <w:rPr>
          <w:spacing w:val="-28"/>
        </w:rPr>
        <w:t> </w:t>
      </w:r>
      <w:r>
        <w:rPr/>
        <w:t>IT</w:t>
      </w:r>
      <w:r>
        <w:rPr>
          <w:spacing w:val="-28"/>
        </w:rPr>
        <w:t> </w:t>
      </w:r>
      <w:r>
        <w:rPr/>
        <w:t>Park,</w:t>
      </w:r>
      <w:r>
        <w:rPr>
          <w:spacing w:val="-28"/>
        </w:rPr>
        <w:t> </w:t>
      </w:r>
      <w:r>
        <w:rPr/>
        <w:t>Logix</w:t>
      </w:r>
      <w:r>
        <w:rPr>
          <w:spacing w:val="-30"/>
        </w:rPr>
        <w:t> </w:t>
      </w:r>
      <w:r>
        <w:rPr/>
        <w:t>Cyber</w:t>
      </w:r>
      <w:r>
        <w:rPr>
          <w:spacing w:val="-29"/>
        </w:rPr>
        <w:t> </w:t>
      </w:r>
      <w:r>
        <w:rPr/>
        <w:t>Park,</w:t>
      </w:r>
      <w:r>
        <w:rPr>
          <w:spacing w:val="-29"/>
        </w:rPr>
        <w:t> </w:t>
      </w:r>
      <w:r>
        <w:rPr/>
        <w:t>Candor</w:t>
      </w:r>
      <w:r>
        <w:rPr>
          <w:spacing w:val="-28"/>
        </w:rPr>
        <w:t> </w:t>
      </w:r>
      <w:r>
        <w:rPr/>
        <w:t>Techspace,</w:t>
      </w:r>
      <w:r>
        <w:rPr>
          <w:spacing w:val="-30"/>
        </w:rPr>
        <w:t> </w:t>
      </w:r>
      <w:r>
        <w:rPr/>
        <w:t>Embassy</w:t>
      </w:r>
      <w:r>
        <w:rPr>
          <w:spacing w:val="-29"/>
        </w:rPr>
        <w:t> </w:t>
      </w:r>
      <w:r>
        <w:rPr/>
        <w:t>Galaxy</w:t>
      </w:r>
      <w:r>
        <w:rPr>
          <w:spacing w:val="-28"/>
        </w:rPr>
        <w:t> </w:t>
      </w:r>
      <w:r>
        <w:rPr/>
        <w:t>(‘the</w:t>
      </w:r>
      <w:r>
        <w:rPr>
          <w:spacing w:val="-29"/>
        </w:rPr>
        <w:t> </w:t>
      </w:r>
      <w:r>
        <w:rPr/>
        <w:t>subject property‘), Okaya Center,</w:t>
      </w:r>
      <w:r>
        <w:rPr>
          <w:spacing w:val="-11"/>
        </w:rPr>
        <w:t> </w:t>
      </w:r>
      <w:r>
        <w:rPr/>
        <w:t>etc.</w:t>
      </w:r>
    </w:p>
    <w:p>
      <w:pPr>
        <w:pStyle w:val="BodyText"/>
        <w:rPr>
          <w:sz w:val="21"/>
        </w:rPr>
      </w:pPr>
    </w:p>
    <w:p>
      <w:pPr>
        <w:pStyle w:val="BodyText"/>
        <w:spacing w:line="321" w:lineRule="auto"/>
        <w:ind w:left="667" w:right="113"/>
        <w:jc w:val="both"/>
      </w:pPr>
      <w:r>
        <w:rPr/>
        <w:t>The</w:t>
      </w:r>
      <w:r>
        <w:rPr>
          <w:spacing w:val="-6"/>
        </w:rPr>
        <w:t> </w:t>
      </w:r>
      <w:r>
        <w:rPr/>
        <w:t>subject</w:t>
      </w:r>
      <w:r>
        <w:rPr>
          <w:spacing w:val="-3"/>
        </w:rPr>
        <w:t> </w:t>
      </w:r>
      <w:r>
        <w:rPr/>
        <w:t>region</w:t>
      </w:r>
      <w:r>
        <w:rPr>
          <w:spacing w:val="-6"/>
        </w:rPr>
        <w:t> </w:t>
      </w:r>
      <w:r>
        <w:rPr/>
        <w:t>has</w:t>
      </w:r>
      <w:r>
        <w:rPr>
          <w:spacing w:val="-5"/>
        </w:rPr>
        <w:t> </w:t>
      </w:r>
      <w:r>
        <w:rPr/>
        <w:t>witnessed</w:t>
      </w:r>
      <w:r>
        <w:rPr>
          <w:spacing w:val="-6"/>
        </w:rPr>
        <w:t> </w:t>
      </w:r>
      <w:r>
        <w:rPr/>
        <w:t>significant</w:t>
      </w:r>
      <w:r>
        <w:rPr>
          <w:spacing w:val="-4"/>
        </w:rPr>
        <w:t> </w:t>
      </w:r>
      <w:r>
        <w:rPr/>
        <w:t>demand</w:t>
      </w:r>
      <w:r>
        <w:rPr>
          <w:spacing w:val="-5"/>
        </w:rPr>
        <w:t> </w:t>
      </w:r>
      <w:r>
        <w:rPr/>
        <w:t>from</w:t>
      </w:r>
      <w:r>
        <w:rPr>
          <w:spacing w:val="-4"/>
        </w:rPr>
        <w:t> </w:t>
      </w:r>
      <w:r>
        <w:rPr/>
        <w:t>technology</w:t>
      </w:r>
      <w:r>
        <w:rPr>
          <w:spacing w:val="-4"/>
        </w:rPr>
        <w:t> </w:t>
      </w:r>
      <w:r>
        <w:rPr/>
        <w:t>occupiers.</w:t>
      </w:r>
      <w:r>
        <w:rPr>
          <w:spacing w:val="-5"/>
        </w:rPr>
        <w:t> </w:t>
      </w:r>
      <w:r>
        <w:rPr/>
        <w:t>Availability</w:t>
      </w:r>
      <w:r>
        <w:rPr>
          <w:spacing w:val="-3"/>
        </w:rPr>
        <w:t> </w:t>
      </w:r>
      <w:r>
        <w:rPr/>
        <w:t>of</w:t>
      </w:r>
      <w:r>
        <w:rPr>
          <w:spacing w:val="-6"/>
        </w:rPr>
        <w:t> </w:t>
      </w:r>
      <w:r>
        <w:rPr/>
        <w:t>good quality</w:t>
      </w:r>
      <w:r>
        <w:rPr>
          <w:spacing w:val="-28"/>
        </w:rPr>
        <w:t> </w:t>
      </w:r>
      <w:r>
        <w:rPr/>
        <w:t>office</w:t>
      </w:r>
      <w:r>
        <w:rPr>
          <w:spacing w:val="-29"/>
        </w:rPr>
        <w:t> </w:t>
      </w:r>
      <w:r>
        <w:rPr/>
        <w:t>space</w:t>
      </w:r>
      <w:r>
        <w:rPr>
          <w:spacing w:val="-30"/>
        </w:rPr>
        <w:t> </w:t>
      </w:r>
      <w:r>
        <w:rPr/>
        <w:t>at</w:t>
      </w:r>
      <w:r>
        <w:rPr>
          <w:spacing w:val="-28"/>
        </w:rPr>
        <w:t> </w:t>
      </w:r>
      <w:r>
        <w:rPr/>
        <w:t>affordable</w:t>
      </w:r>
      <w:r>
        <w:rPr>
          <w:spacing w:val="-29"/>
        </w:rPr>
        <w:t> </w:t>
      </w:r>
      <w:r>
        <w:rPr/>
        <w:t>rents,</w:t>
      </w:r>
      <w:r>
        <w:rPr>
          <w:spacing w:val="-29"/>
        </w:rPr>
        <w:t> </w:t>
      </w:r>
      <w:r>
        <w:rPr/>
        <w:t>presence</w:t>
      </w:r>
      <w:r>
        <w:rPr>
          <w:spacing w:val="-29"/>
        </w:rPr>
        <w:t> </w:t>
      </w:r>
      <w:r>
        <w:rPr/>
        <w:t>of</w:t>
      </w:r>
      <w:r>
        <w:rPr>
          <w:spacing w:val="-28"/>
        </w:rPr>
        <w:t> </w:t>
      </w:r>
      <w:r>
        <w:rPr/>
        <w:t>skilled</w:t>
      </w:r>
      <w:r>
        <w:rPr>
          <w:spacing w:val="-29"/>
        </w:rPr>
        <w:t> </w:t>
      </w:r>
      <w:r>
        <w:rPr/>
        <w:t>manpower</w:t>
      </w:r>
      <w:r>
        <w:rPr>
          <w:spacing w:val="-29"/>
        </w:rPr>
        <w:t> </w:t>
      </w:r>
      <w:r>
        <w:rPr/>
        <w:t>along</w:t>
      </w:r>
      <w:r>
        <w:rPr>
          <w:spacing w:val="-30"/>
        </w:rPr>
        <w:t> </w:t>
      </w:r>
      <w:r>
        <w:rPr/>
        <w:t>with</w:t>
      </w:r>
      <w:r>
        <w:rPr>
          <w:spacing w:val="-29"/>
        </w:rPr>
        <w:t> </w:t>
      </w:r>
      <w:r>
        <w:rPr/>
        <w:t>good</w:t>
      </w:r>
      <w:r>
        <w:rPr>
          <w:spacing w:val="-28"/>
        </w:rPr>
        <w:t> </w:t>
      </w:r>
      <w:r>
        <w:rPr/>
        <w:t>connectivity</w:t>
      </w:r>
      <w:r>
        <w:rPr>
          <w:spacing w:val="-28"/>
        </w:rPr>
        <w:t> </w:t>
      </w:r>
      <w:r>
        <w:rPr/>
        <w:t>and improved infrastructure are some of the reasons that have spurred demand for office space from corporate</w:t>
      </w:r>
      <w:r>
        <w:rPr>
          <w:spacing w:val="-3"/>
        </w:rPr>
        <w:t> </w:t>
      </w:r>
      <w:r>
        <w:rPr/>
        <w:t>occupiers.</w:t>
      </w:r>
    </w:p>
    <w:p>
      <w:pPr>
        <w:pStyle w:val="BodyText"/>
        <w:spacing w:before="4"/>
        <w:rPr>
          <w:sz w:val="23"/>
        </w:rPr>
      </w:pPr>
    </w:p>
    <w:p>
      <w:pPr>
        <w:pStyle w:val="ListParagraph"/>
        <w:numPr>
          <w:ilvl w:val="3"/>
          <w:numId w:val="74"/>
        </w:numPr>
        <w:tabs>
          <w:tab w:pos="985" w:val="left" w:leader="none"/>
        </w:tabs>
        <w:spacing w:line="240" w:lineRule="auto" w:before="0" w:after="0"/>
        <w:ind w:left="984" w:right="0" w:hanging="865"/>
        <w:jc w:val="left"/>
        <w:rPr>
          <w:i/>
          <w:sz w:val="20"/>
        </w:rPr>
      </w:pPr>
      <w:r>
        <w:rPr>
          <w:i/>
          <w:color w:val="008000"/>
          <w:sz w:val="20"/>
        </w:rPr>
        <w:t>Key Developments in</w:t>
      </w:r>
      <w:r>
        <w:rPr>
          <w:i/>
          <w:color w:val="008000"/>
          <w:spacing w:val="-11"/>
          <w:sz w:val="20"/>
        </w:rPr>
        <w:t> </w:t>
      </w:r>
      <w:r>
        <w:rPr>
          <w:i/>
          <w:color w:val="008000"/>
          <w:sz w:val="20"/>
        </w:rPr>
        <w:t>Sub-Market</w:t>
      </w:r>
    </w:p>
    <w:p>
      <w:pPr>
        <w:pStyle w:val="BodyText"/>
        <w:spacing w:line="321" w:lineRule="auto" w:before="76"/>
        <w:ind w:left="686" w:right="114"/>
        <w:jc w:val="both"/>
      </w:pPr>
      <w:r>
        <w:rPr/>
        <w:pict>
          <v:group style="position:absolute;margin-left:36pt;margin-top:46.888626pt;width:523.6pt;height:25.2pt;mso-position-horizontal-relative:page;mso-position-vertical-relative:paragraph;z-index:-34256384" coordorigin="720,938" coordsize="10472,504">
            <v:shape style="position:absolute;left:720;top:1427;width:10472;height:15" coordorigin="720,1427" coordsize="10472,15" path="m7653,1427l5829,1427,5814,1427,3716,1427,3702,1427,720,1427,720,1442,3702,1442,3716,1442,5814,1442,5829,1442,7653,1442,7653,1427xm11191,1427l9273,1427,9259,1427,7668,1427,7653,1427,7653,1442,7668,1442,9259,1442,9273,1442,11191,1442,11191,1427xe" filled="true" fillcolor="#69bd28" stroked="false">
              <v:path arrowok="t"/>
              <v:fill type="solid"/>
            </v:shape>
            <v:shape style="position:absolute;left:720;top:966;width:10472;height:461" coordorigin="720,967" coordsize="10472,461" path="m7653,967l5814,967,3702,967,720,967,720,1427,3702,1427,5814,1427,7653,1427,7653,967xm11191,967l9259,967,7653,967,7653,1427,9259,1427,11191,1427,11191,967xe" filled="true" fillcolor="#006a4d" stroked="false">
              <v:path arrowok="t"/>
              <v:fill type="solid"/>
            </v:shape>
            <v:rect style="position:absolute;left:720;top:937;width:2982;height:29" filled="true" fillcolor="#1f6b16" stroked="false">
              <v:fill type="solid"/>
            </v:rect>
            <v:shape style="position:absolute;left:720;top:966;width:3011;height:3" coordorigin="720,967" coordsize="3011,3" path="m3731,967l3702,967,720,967,720,969,3702,969,3731,969,3731,967xe" filled="true" fillcolor="#006a4d" stroked="false">
              <v:path arrowok="t"/>
              <v:fill type="solid"/>
            </v:shape>
            <v:shape style="position:absolute;left:3701;top:937;width:2113;height:29" coordorigin="3702,938" coordsize="2113,29" path="m5814,938l3731,938,3702,938,3702,967,3731,967,5814,967,5814,938xe" filled="true" fillcolor="#1f6b16" stroked="false">
              <v:path arrowok="t"/>
              <v:fill type="solid"/>
            </v:shape>
            <v:shape style="position:absolute;left:3730;top:966;width:2113;height:3" coordorigin="3731,967" coordsize="2113,3" path="m5843,967l5814,967,3731,967,3731,969,5814,969,5843,969,5843,967xe" filled="true" fillcolor="#006a4d" stroked="false">
              <v:path arrowok="t"/>
              <v:fill type="solid"/>
            </v:shape>
            <v:shape style="position:absolute;left:5814;top:937;width:1839;height:29" coordorigin="5814,938" coordsize="1839,29" path="m7653,938l5843,938,5814,938,5814,967,5843,967,7653,967,7653,938xe" filled="true" fillcolor="#1f6b16" stroked="false">
              <v:path arrowok="t"/>
              <v:fill type="solid"/>
            </v:shape>
            <v:shape style="position:absolute;left:5843;top:966;width:1839;height:3" coordorigin="5843,967" coordsize="1839,3" path="m7653,967l5843,967,5843,969,7653,969,7653,967xm7682,967l7653,967,7653,969,7682,969,7682,967xe" filled="true" fillcolor="#006a4d" stroked="false">
              <v:path arrowok="t"/>
              <v:fill type="solid"/>
            </v:shape>
            <v:shape style="position:absolute;left:7653;top:937;width:1606;height:29" coordorigin="7653,938" coordsize="1606,29" path="m9259,938l7682,938,7653,938,7653,967,7682,967,9259,967,9259,938xe" filled="true" fillcolor="#1f6b16" stroked="false">
              <v:path arrowok="t"/>
              <v:fill type="solid"/>
            </v:shape>
            <v:shape style="position:absolute;left:7682;top:966;width:1606;height:3" coordorigin="7682,967" coordsize="1606,3" path="m9288,967l9259,967,7682,967,7682,969,9259,969,9288,969,9288,967xe" filled="true" fillcolor="#006a4d" stroked="false">
              <v:path arrowok="t"/>
              <v:fill type="solid"/>
            </v:shape>
            <v:shape style="position:absolute;left:9258;top:937;width:1933;height:29" coordorigin="9259,938" coordsize="1933,29" path="m11191,938l9288,938,9259,938,9259,967,9288,967,11191,967,11191,938xe" filled="true" fillcolor="#1f6b16" stroked="false">
              <v:path arrowok="t"/>
              <v:fill type="solid"/>
            </v:shape>
            <v:rect style="position:absolute;left:9287;top:966;width:1904;height:3" filled="true" fillcolor="#006a4d" stroked="false">
              <v:fill type="solid"/>
            </v:rect>
            <v:shape style="position:absolute;left:1526;top:1081;width:1390;height:216" type="#_x0000_t202" filled="false" stroked="false">
              <v:textbox inset="0,0,0,0">
                <w:txbxContent>
                  <w:p>
                    <w:pPr>
                      <w:spacing w:before="4"/>
                      <w:ind w:left="0" w:right="0" w:firstLine="0"/>
                      <w:jc w:val="left"/>
                      <w:rPr>
                        <w:b/>
                        <w:sz w:val="18"/>
                      </w:rPr>
                    </w:pPr>
                    <w:r>
                      <w:rPr>
                        <w:b/>
                        <w:color w:val="FFFFFF"/>
                        <w:w w:val="115"/>
                        <w:sz w:val="18"/>
                      </w:rPr>
                      <w:t>Building Name</w:t>
                    </w:r>
                  </w:p>
                </w:txbxContent>
              </v:textbox>
              <w10:wrap type="none"/>
            </v:shape>
            <v:shape style="position:absolute;left:3913;top:1081;width:1711;height:216" type="#_x0000_t202" filled="false" stroked="false">
              <v:textbox inset="0,0,0,0">
                <w:txbxContent>
                  <w:p>
                    <w:pPr>
                      <w:spacing w:before="4"/>
                      <w:ind w:left="0" w:right="0" w:firstLine="0"/>
                      <w:jc w:val="left"/>
                      <w:rPr>
                        <w:b/>
                        <w:sz w:val="18"/>
                      </w:rPr>
                    </w:pPr>
                    <w:r>
                      <w:rPr>
                        <w:b/>
                        <w:color w:val="FFFFFF"/>
                        <w:w w:val="105"/>
                        <w:sz w:val="18"/>
                      </w:rPr>
                      <w:t>Development Type</w:t>
                    </w:r>
                  </w:p>
                </w:txbxContent>
              </v:textbox>
              <w10:wrap type="none"/>
            </v:shape>
            <v:shape style="position:absolute;left:6078;top:966;width:1331;height:216" type="#_x0000_t202" filled="false" stroked="false">
              <v:textbox inset="0,0,0,0">
                <w:txbxContent>
                  <w:p>
                    <w:pPr>
                      <w:spacing w:before="4"/>
                      <w:ind w:left="0" w:right="0" w:firstLine="0"/>
                      <w:jc w:val="left"/>
                      <w:rPr>
                        <w:b/>
                        <w:sz w:val="18"/>
                      </w:rPr>
                    </w:pPr>
                    <w:r>
                      <w:rPr>
                        <w:b/>
                        <w:color w:val="FFFFFF"/>
                        <w:w w:val="110"/>
                        <w:sz w:val="18"/>
                      </w:rPr>
                      <w:t>Leasable Area</w:t>
                    </w:r>
                  </w:p>
                </w:txbxContent>
              </v:textbox>
              <w10:wrap type="none"/>
            </v:shape>
            <v:shape style="position:absolute;left:8097;top:966;width:734;height:216" type="#_x0000_t202" filled="false" stroked="false">
              <v:textbox inset="0,0,0,0">
                <w:txbxContent>
                  <w:p>
                    <w:pPr>
                      <w:spacing w:before="4"/>
                      <w:ind w:left="0" w:right="0" w:firstLine="0"/>
                      <w:jc w:val="left"/>
                      <w:rPr>
                        <w:b/>
                        <w:sz w:val="18"/>
                      </w:rPr>
                    </w:pPr>
                    <w:r>
                      <w:rPr>
                        <w:b/>
                        <w:color w:val="FFFFFF"/>
                        <w:w w:val="105"/>
                        <w:sz w:val="18"/>
                      </w:rPr>
                      <w:t>Approx.</w:t>
                    </w:r>
                  </w:p>
                </w:txbxContent>
              </v:textbox>
              <w10:wrap type="none"/>
            </v:shape>
            <v:shape style="position:absolute;left:9424;top:1081;width:1621;height:216" type="#_x0000_t202" filled="false" stroked="false">
              <v:textbox inset="0,0,0,0">
                <w:txbxContent>
                  <w:p>
                    <w:pPr>
                      <w:spacing w:before="4"/>
                      <w:ind w:left="0" w:right="0" w:firstLine="0"/>
                      <w:jc w:val="left"/>
                      <w:rPr>
                        <w:b/>
                        <w:sz w:val="18"/>
                      </w:rPr>
                    </w:pPr>
                    <w:r>
                      <w:rPr>
                        <w:b/>
                        <w:color w:val="FFFFFF"/>
                        <w:w w:val="110"/>
                        <w:sz w:val="18"/>
                      </w:rPr>
                      <w:t>Rent (INR psf</w:t>
                    </w:r>
                    <w:r>
                      <w:rPr>
                        <w:b/>
                        <w:color w:val="FFFFFF"/>
                        <w:spacing w:val="-26"/>
                        <w:w w:val="110"/>
                        <w:sz w:val="18"/>
                      </w:rPr>
                      <w:t> </w:t>
                    </w:r>
                    <w:r>
                      <w:rPr>
                        <w:b/>
                        <w:color w:val="FFFFFF"/>
                        <w:w w:val="110"/>
                        <w:sz w:val="18"/>
                      </w:rPr>
                      <w:t>pm)</w:t>
                    </w:r>
                  </w:p>
                </w:txbxContent>
              </v:textbox>
              <w10:wrap type="none"/>
            </v:shape>
            <w10:wrap type="none"/>
          </v:group>
        </w:pict>
      </w:r>
      <w:r>
        <w:rPr/>
        <w:t>The</w:t>
      </w:r>
      <w:r>
        <w:rPr>
          <w:spacing w:val="-47"/>
        </w:rPr>
        <w:t> </w:t>
      </w:r>
      <w:r>
        <w:rPr/>
        <w:t>table</w:t>
      </w:r>
      <w:r>
        <w:rPr>
          <w:spacing w:val="-46"/>
        </w:rPr>
        <w:t> </w:t>
      </w:r>
      <w:r>
        <w:rPr/>
        <w:t>below</w:t>
      </w:r>
      <w:r>
        <w:rPr>
          <w:spacing w:val="-46"/>
        </w:rPr>
        <w:t> </w:t>
      </w:r>
      <w:r>
        <w:rPr/>
        <w:t>highlights</w:t>
      </w:r>
      <w:r>
        <w:rPr>
          <w:spacing w:val="-46"/>
        </w:rPr>
        <w:t> </w:t>
      </w:r>
      <w:r>
        <w:rPr/>
        <w:t>the</w:t>
      </w:r>
      <w:r>
        <w:rPr>
          <w:spacing w:val="-45"/>
        </w:rPr>
        <w:t> </w:t>
      </w:r>
      <w:r>
        <w:rPr/>
        <w:t>prominent</w:t>
      </w:r>
      <w:r>
        <w:rPr>
          <w:spacing w:val="-47"/>
        </w:rPr>
        <w:t> </w:t>
      </w:r>
      <w:r>
        <w:rPr/>
        <w:t>competing</w:t>
      </w:r>
      <w:r>
        <w:rPr>
          <w:spacing w:val="-45"/>
        </w:rPr>
        <w:t> </w:t>
      </w:r>
      <w:r>
        <w:rPr/>
        <w:t>developments</w:t>
      </w:r>
      <w:r>
        <w:rPr>
          <w:spacing w:val="-46"/>
        </w:rPr>
        <w:t> </w:t>
      </w:r>
      <w:r>
        <w:rPr/>
        <w:t>in</w:t>
      </w:r>
      <w:r>
        <w:rPr>
          <w:spacing w:val="-47"/>
        </w:rPr>
        <w:t> </w:t>
      </w:r>
      <w:r>
        <w:rPr/>
        <w:t>the</w:t>
      </w:r>
      <w:r>
        <w:rPr>
          <w:spacing w:val="-46"/>
        </w:rPr>
        <w:t> </w:t>
      </w:r>
      <w:r>
        <w:rPr/>
        <w:t>subject</w:t>
      </w:r>
      <w:r>
        <w:rPr>
          <w:spacing w:val="-46"/>
        </w:rPr>
        <w:t> </w:t>
      </w:r>
      <w:r>
        <w:rPr/>
        <w:t>sub-market</w:t>
      </w:r>
      <w:r>
        <w:rPr>
          <w:spacing w:val="-46"/>
        </w:rPr>
        <w:t> </w:t>
      </w:r>
      <w:r>
        <w:rPr/>
        <w:t>(completed blocks):</w:t>
      </w:r>
    </w:p>
    <w:p>
      <w:pPr>
        <w:pStyle w:val="BodyText"/>
        <w:rPr>
          <w:sz w:val="20"/>
        </w:rPr>
      </w:pPr>
    </w:p>
    <w:p>
      <w:pPr>
        <w:pStyle w:val="BodyText"/>
        <w:spacing w:before="9"/>
        <w:rPr>
          <w:sz w:val="16"/>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0"/>
        <w:gridCol w:w="2085"/>
        <w:gridCol w:w="1769"/>
        <w:gridCol w:w="1890"/>
        <w:gridCol w:w="1811"/>
      </w:tblGrid>
      <w:tr>
        <w:trPr>
          <w:trHeight w:val="250" w:hRule="atLeast"/>
        </w:trPr>
        <w:tc>
          <w:tcPr>
            <w:tcW w:w="5015" w:type="dxa"/>
            <w:gridSpan w:val="2"/>
            <w:shd w:val="clear" w:color="auto" w:fill="006A4D"/>
          </w:tcPr>
          <w:p>
            <w:pPr>
              <w:pStyle w:val="TableParagraph"/>
              <w:jc w:val="left"/>
              <w:rPr>
                <w:rFonts w:ascii="Times New Roman"/>
                <w:sz w:val="18"/>
              </w:rPr>
            </w:pPr>
          </w:p>
        </w:tc>
        <w:tc>
          <w:tcPr>
            <w:tcW w:w="1769" w:type="dxa"/>
            <w:shd w:val="clear" w:color="auto" w:fill="006A4D"/>
          </w:tcPr>
          <w:p>
            <w:pPr>
              <w:pStyle w:val="TableParagraph"/>
              <w:spacing w:before="12"/>
              <w:ind w:left="652" w:right="398"/>
              <w:rPr>
                <w:b/>
                <w:sz w:val="18"/>
              </w:rPr>
            </w:pPr>
            <w:r>
              <w:rPr>
                <w:b/>
                <w:color w:val="FFFFFF"/>
                <w:w w:val="105"/>
                <w:sz w:val="18"/>
              </w:rPr>
              <w:t>(in msf)</w:t>
            </w:r>
          </w:p>
        </w:tc>
        <w:tc>
          <w:tcPr>
            <w:tcW w:w="1890" w:type="dxa"/>
            <w:shd w:val="clear" w:color="auto" w:fill="006A4D"/>
          </w:tcPr>
          <w:p>
            <w:pPr>
              <w:pStyle w:val="TableParagraph"/>
              <w:spacing w:before="12"/>
              <w:ind w:left="396" w:right="354"/>
              <w:rPr>
                <w:b/>
                <w:sz w:val="18"/>
              </w:rPr>
            </w:pPr>
            <w:r>
              <w:rPr>
                <w:b/>
                <w:color w:val="FFFFFF"/>
                <w:w w:val="110"/>
                <w:sz w:val="18"/>
              </w:rPr>
              <w:t>Vacancy (%)</w:t>
            </w:r>
          </w:p>
        </w:tc>
        <w:tc>
          <w:tcPr>
            <w:tcW w:w="1811" w:type="dxa"/>
            <w:shd w:val="clear" w:color="auto" w:fill="006A4D"/>
          </w:tcPr>
          <w:p>
            <w:pPr>
              <w:pStyle w:val="TableParagraph"/>
              <w:jc w:val="left"/>
              <w:rPr>
                <w:rFonts w:ascii="Times New Roman"/>
                <w:sz w:val="18"/>
              </w:rPr>
            </w:pPr>
          </w:p>
        </w:tc>
      </w:tr>
      <w:tr>
        <w:trPr>
          <w:trHeight w:val="356" w:hRule="atLeast"/>
        </w:trPr>
        <w:tc>
          <w:tcPr>
            <w:tcW w:w="2930" w:type="dxa"/>
            <w:tcBorders>
              <w:bottom w:val="single" w:sz="6" w:space="0" w:color="69BD28"/>
            </w:tcBorders>
          </w:tcPr>
          <w:p>
            <w:pPr>
              <w:pStyle w:val="TableParagraph"/>
              <w:spacing w:before="74"/>
              <w:ind w:right="825"/>
              <w:jc w:val="right"/>
              <w:rPr>
                <w:sz w:val="18"/>
              </w:rPr>
            </w:pPr>
            <w:r>
              <w:rPr>
                <w:sz w:val="18"/>
              </w:rPr>
              <w:t>Development 1</w:t>
            </w:r>
          </w:p>
        </w:tc>
        <w:tc>
          <w:tcPr>
            <w:tcW w:w="2085" w:type="dxa"/>
            <w:tcBorders>
              <w:bottom w:val="single" w:sz="6" w:space="0" w:color="69BD28"/>
            </w:tcBorders>
          </w:tcPr>
          <w:p>
            <w:pPr>
              <w:pStyle w:val="TableParagraph"/>
              <w:spacing w:before="47"/>
              <w:ind w:right="669"/>
              <w:jc w:val="right"/>
              <w:rPr>
                <w:sz w:val="18"/>
              </w:rPr>
            </w:pPr>
            <w:r>
              <w:rPr>
                <w:w w:val="95"/>
                <w:sz w:val="18"/>
              </w:rPr>
              <w:t>IT/ ITeS</w:t>
            </w:r>
          </w:p>
        </w:tc>
        <w:tc>
          <w:tcPr>
            <w:tcW w:w="1769" w:type="dxa"/>
            <w:tcBorders>
              <w:bottom w:val="single" w:sz="6" w:space="0" w:color="69BD28"/>
            </w:tcBorders>
          </w:tcPr>
          <w:p>
            <w:pPr>
              <w:pStyle w:val="TableParagraph"/>
              <w:spacing w:before="47"/>
              <w:ind w:left="652" w:right="395"/>
              <w:rPr>
                <w:sz w:val="18"/>
              </w:rPr>
            </w:pPr>
            <w:r>
              <w:rPr>
                <w:w w:val="105"/>
                <w:sz w:val="18"/>
              </w:rPr>
              <w:t>1.9</w:t>
            </w:r>
          </w:p>
        </w:tc>
        <w:tc>
          <w:tcPr>
            <w:tcW w:w="1890" w:type="dxa"/>
            <w:tcBorders>
              <w:bottom w:val="single" w:sz="6" w:space="0" w:color="69BD28"/>
            </w:tcBorders>
          </w:tcPr>
          <w:p>
            <w:pPr>
              <w:pStyle w:val="TableParagraph"/>
              <w:spacing w:before="74"/>
              <w:ind w:left="392" w:right="354"/>
              <w:rPr>
                <w:sz w:val="18"/>
              </w:rPr>
            </w:pPr>
            <w:r>
              <w:rPr>
                <w:w w:val="115"/>
                <w:sz w:val="18"/>
              </w:rPr>
              <w:t>20% - 25%</w:t>
            </w:r>
          </w:p>
        </w:tc>
        <w:tc>
          <w:tcPr>
            <w:tcW w:w="1811" w:type="dxa"/>
            <w:tcBorders>
              <w:bottom w:val="single" w:sz="6" w:space="0" w:color="69BD28"/>
            </w:tcBorders>
          </w:tcPr>
          <w:p>
            <w:pPr>
              <w:pStyle w:val="TableParagraph"/>
              <w:spacing w:before="74"/>
              <w:ind w:left="376"/>
              <w:jc w:val="left"/>
              <w:rPr>
                <w:sz w:val="18"/>
              </w:rPr>
            </w:pPr>
            <w:r>
              <w:rPr>
                <w:w w:val="115"/>
                <w:sz w:val="18"/>
              </w:rPr>
              <w:t>45.0 – 50.0</w:t>
            </w:r>
          </w:p>
        </w:tc>
      </w:tr>
      <w:tr>
        <w:trPr>
          <w:trHeight w:val="359" w:hRule="atLeast"/>
        </w:trPr>
        <w:tc>
          <w:tcPr>
            <w:tcW w:w="2930" w:type="dxa"/>
            <w:tcBorders>
              <w:top w:val="single" w:sz="6" w:space="0" w:color="69BD28"/>
              <w:bottom w:val="single" w:sz="6" w:space="0" w:color="69BD28"/>
            </w:tcBorders>
          </w:tcPr>
          <w:p>
            <w:pPr>
              <w:pStyle w:val="TableParagraph"/>
              <w:spacing w:before="77"/>
              <w:ind w:right="824"/>
              <w:jc w:val="right"/>
              <w:rPr>
                <w:sz w:val="18"/>
              </w:rPr>
            </w:pPr>
            <w:r>
              <w:rPr>
                <w:sz w:val="18"/>
              </w:rPr>
              <w:t>Development 2</w:t>
            </w:r>
          </w:p>
        </w:tc>
        <w:tc>
          <w:tcPr>
            <w:tcW w:w="2085" w:type="dxa"/>
            <w:tcBorders>
              <w:top w:val="single" w:sz="6" w:space="0" w:color="69BD28"/>
              <w:bottom w:val="single" w:sz="6" w:space="0" w:color="69BD28"/>
            </w:tcBorders>
          </w:tcPr>
          <w:p>
            <w:pPr>
              <w:pStyle w:val="TableParagraph"/>
              <w:spacing w:before="50"/>
              <w:ind w:right="669"/>
              <w:jc w:val="right"/>
              <w:rPr>
                <w:sz w:val="18"/>
              </w:rPr>
            </w:pPr>
            <w:r>
              <w:rPr>
                <w:w w:val="95"/>
                <w:sz w:val="18"/>
              </w:rPr>
              <w:t>IT/ ITeS</w:t>
            </w:r>
          </w:p>
        </w:tc>
        <w:tc>
          <w:tcPr>
            <w:tcW w:w="1769" w:type="dxa"/>
            <w:tcBorders>
              <w:top w:val="single" w:sz="6" w:space="0" w:color="69BD28"/>
              <w:bottom w:val="single" w:sz="6" w:space="0" w:color="69BD28"/>
            </w:tcBorders>
          </w:tcPr>
          <w:p>
            <w:pPr>
              <w:pStyle w:val="TableParagraph"/>
              <w:spacing w:before="50"/>
              <w:ind w:left="652" w:right="395"/>
              <w:rPr>
                <w:sz w:val="18"/>
              </w:rPr>
            </w:pPr>
            <w:r>
              <w:rPr>
                <w:w w:val="105"/>
                <w:sz w:val="18"/>
              </w:rPr>
              <w:t>1.2</w:t>
            </w:r>
          </w:p>
        </w:tc>
        <w:tc>
          <w:tcPr>
            <w:tcW w:w="1890" w:type="dxa"/>
            <w:tcBorders>
              <w:top w:val="single" w:sz="6" w:space="0" w:color="69BD28"/>
              <w:bottom w:val="single" w:sz="6" w:space="0" w:color="69BD28"/>
            </w:tcBorders>
          </w:tcPr>
          <w:p>
            <w:pPr>
              <w:pStyle w:val="TableParagraph"/>
              <w:spacing w:before="77"/>
              <w:ind w:left="395" w:right="354"/>
              <w:rPr>
                <w:sz w:val="18"/>
              </w:rPr>
            </w:pPr>
            <w:r>
              <w:rPr>
                <w:w w:val="140"/>
                <w:sz w:val="18"/>
              </w:rPr>
              <w:t>&lt; </w:t>
            </w:r>
            <w:r>
              <w:rPr>
                <w:w w:val="135"/>
                <w:sz w:val="18"/>
              </w:rPr>
              <w:t>5%</w:t>
            </w:r>
          </w:p>
        </w:tc>
        <w:tc>
          <w:tcPr>
            <w:tcW w:w="1811" w:type="dxa"/>
            <w:tcBorders>
              <w:top w:val="single" w:sz="6" w:space="0" w:color="69BD28"/>
              <w:bottom w:val="single" w:sz="6" w:space="0" w:color="69BD28"/>
            </w:tcBorders>
          </w:tcPr>
          <w:p>
            <w:pPr>
              <w:pStyle w:val="TableParagraph"/>
              <w:spacing w:before="77"/>
              <w:ind w:left="376"/>
              <w:jc w:val="left"/>
              <w:rPr>
                <w:sz w:val="18"/>
              </w:rPr>
            </w:pPr>
            <w:r>
              <w:rPr>
                <w:w w:val="115"/>
                <w:sz w:val="18"/>
              </w:rPr>
              <w:t>40.0 – 45.0</w:t>
            </w:r>
          </w:p>
        </w:tc>
      </w:tr>
      <w:tr>
        <w:trPr>
          <w:trHeight w:val="359" w:hRule="atLeast"/>
        </w:trPr>
        <w:tc>
          <w:tcPr>
            <w:tcW w:w="2930" w:type="dxa"/>
            <w:tcBorders>
              <w:top w:val="single" w:sz="6" w:space="0" w:color="69BD28"/>
              <w:bottom w:val="single" w:sz="6" w:space="0" w:color="69BD28"/>
            </w:tcBorders>
          </w:tcPr>
          <w:p>
            <w:pPr>
              <w:pStyle w:val="TableParagraph"/>
              <w:spacing w:before="76"/>
              <w:ind w:right="824"/>
              <w:jc w:val="right"/>
              <w:rPr>
                <w:sz w:val="18"/>
              </w:rPr>
            </w:pPr>
            <w:r>
              <w:rPr>
                <w:sz w:val="18"/>
              </w:rPr>
              <w:t>Development 3</w:t>
            </w:r>
          </w:p>
        </w:tc>
        <w:tc>
          <w:tcPr>
            <w:tcW w:w="2085" w:type="dxa"/>
            <w:tcBorders>
              <w:top w:val="single" w:sz="6" w:space="0" w:color="69BD28"/>
              <w:bottom w:val="single" w:sz="6" w:space="0" w:color="69BD28"/>
            </w:tcBorders>
          </w:tcPr>
          <w:p>
            <w:pPr>
              <w:pStyle w:val="TableParagraph"/>
              <w:spacing w:before="50"/>
              <w:ind w:right="669"/>
              <w:jc w:val="right"/>
              <w:rPr>
                <w:sz w:val="18"/>
              </w:rPr>
            </w:pPr>
            <w:r>
              <w:rPr>
                <w:w w:val="95"/>
                <w:sz w:val="18"/>
              </w:rPr>
              <w:t>IT/ ITeS</w:t>
            </w:r>
          </w:p>
        </w:tc>
        <w:tc>
          <w:tcPr>
            <w:tcW w:w="1769" w:type="dxa"/>
            <w:tcBorders>
              <w:top w:val="single" w:sz="6" w:space="0" w:color="69BD28"/>
              <w:bottom w:val="single" w:sz="6" w:space="0" w:color="69BD28"/>
            </w:tcBorders>
          </w:tcPr>
          <w:p>
            <w:pPr>
              <w:pStyle w:val="TableParagraph"/>
              <w:spacing w:before="50"/>
              <w:ind w:left="652" w:right="395"/>
              <w:rPr>
                <w:sz w:val="18"/>
              </w:rPr>
            </w:pPr>
            <w:r>
              <w:rPr>
                <w:w w:val="105"/>
                <w:sz w:val="18"/>
              </w:rPr>
              <w:t>0.6</w:t>
            </w:r>
          </w:p>
        </w:tc>
        <w:tc>
          <w:tcPr>
            <w:tcW w:w="1890" w:type="dxa"/>
            <w:tcBorders>
              <w:top w:val="single" w:sz="6" w:space="0" w:color="69BD28"/>
              <w:bottom w:val="single" w:sz="6" w:space="0" w:color="69BD28"/>
            </w:tcBorders>
          </w:tcPr>
          <w:p>
            <w:pPr>
              <w:pStyle w:val="TableParagraph"/>
              <w:spacing w:before="76"/>
              <w:ind w:left="392" w:right="354"/>
              <w:rPr>
                <w:sz w:val="18"/>
              </w:rPr>
            </w:pPr>
            <w:r>
              <w:rPr>
                <w:w w:val="110"/>
                <w:sz w:val="18"/>
              </w:rPr>
              <w:t>4% - 6%</w:t>
            </w:r>
          </w:p>
        </w:tc>
        <w:tc>
          <w:tcPr>
            <w:tcW w:w="1811" w:type="dxa"/>
            <w:tcBorders>
              <w:top w:val="single" w:sz="6" w:space="0" w:color="69BD28"/>
              <w:bottom w:val="single" w:sz="6" w:space="0" w:color="69BD28"/>
            </w:tcBorders>
          </w:tcPr>
          <w:p>
            <w:pPr>
              <w:pStyle w:val="TableParagraph"/>
              <w:spacing w:before="76"/>
              <w:ind w:left="376"/>
              <w:jc w:val="left"/>
              <w:rPr>
                <w:sz w:val="18"/>
              </w:rPr>
            </w:pPr>
            <w:r>
              <w:rPr>
                <w:w w:val="115"/>
                <w:sz w:val="18"/>
              </w:rPr>
              <w:t>45.0 – 50.0</w:t>
            </w:r>
          </w:p>
        </w:tc>
      </w:tr>
      <w:tr>
        <w:trPr>
          <w:trHeight w:val="359" w:hRule="atLeast"/>
        </w:trPr>
        <w:tc>
          <w:tcPr>
            <w:tcW w:w="2930" w:type="dxa"/>
            <w:tcBorders>
              <w:top w:val="single" w:sz="6" w:space="0" w:color="69BD28"/>
              <w:bottom w:val="single" w:sz="6" w:space="0" w:color="69BD28"/>
            </w:tcBorders>
          </w:tcPr>
          <w:p>
            <w:pPr>
              <w:pStyle w:val="TableParagraph"/>
              <w:spacing w:before="76"/>
              <w:ind w:right="824"/>
              <w:jc w:val="right"/>
              <w:rPr>
                <w:sz w:val="18"/>
              </w:rPr>
            </w:pPr>
            <w:r>
              <w:rPr>
                <w:sz w:val="18"/>
              </w:rPr>
              <w:t>Development 4</w:t>
            </w:r>
          </w:p>
        </w:tc>
        <w:tc>
          <w:tcPr>
            <w:tcW w:w="2085" w:type="dxa"/>
            <w:tcBorders>
              <w:top w:val="single" w:sz="6" w:space="0" w:color="69BD28"/>
              <w:bottom w:val="single" w:sz="6" w:space="0" w:color="69BD28"/>
            </w:tcBorders>
          </w:tcPr>
          <w:p>
            <w:pPr>
              <w:pStyle w:val="TableParagraph"/>
              <w:spacing w:before="52"/>
              <w:ind w:right="669"/>
              <w:jc w:val="right"/>
              <w:rPr>
                <w:sz w:val="18"/>
              </w:rPr>
            </w:pPr>
            <w:r>
              <w:rPr>
                <w:w w:val="95"/>
                <w:sz w:val="18"/>
              </w:rPr>
              <w:t>IT/ ITeS</w:t>
            </w:r>
          </w:p>
        </w:tc>
        <w:tc>
          <w:tcPr>
            <w:tcW w:w="1769" w:type="dxa"/>
            <w:tcBorders>
              <w:top w:val="single" w:sz="6" w:space="0" w:color="69BD28"/>
              <w:bottom w:val="single" w:sz="6" w:space="0" w:color="69BD28"/>
            </w:tcBorders>
          </w:tcPr>
          <w:p>
            <w:pPr>
              <w:pStyle w:val="TableParagraph"/>
              <w:spacing w:before="52"/>
              <w:ind w:left="652" w:right="395"/>
              <w:rPr>
                <w:sz w:val="18"/>
              </w:rPr>
            </w:pPr>
            <w:r>
              <w:rPr>
                <w:w w:val="105"/>
                <w:sz w:val="18"/>
              </w:rPr>
              <w:t>0.7</w:t>
            </w:r>
          </w:p>
        </w:tc>
        <w:tc>
          <w:tcPr>
            <w:tcW w:w="1890" w:type="dxa"/>
            <w:tcBorders>
              <w:top w:val="single" w:sz="6" w:space="0" w:color="69BD28"/>
              <w:bottom w:val="single" w:sz="6" w:space="0" w:color="69BD28"/>
            </w:tcBorders>
          </w:tcPr>
          <w:p>
            <w:pPr>
              <w:pStyle w:val="TableParagraph"/>
              <w:spacing w:before="76"/>
              <w:ind w:left="394" w:right="354"/>
              <w:rPr>
                <w:sz w:val="18"/>
              </w:rPr>
            </w:pPr>
            <w:r>
              <w:rPr>
                <w:sz w:val="18"/>
              </w:rPr>
              <w:t>Minimal</w:t>
            </w:r>
          </w:p>
        </w:tc>
        <w:tc>
          <w:tcPr>
            <w:tcW w:w="1811" w:type="dxa"/>
            <w:tcBorders>
              <w:top w:val="single" w:sz="6" w:space="0" w:color="69BD28"/>
              <w:bottom w:val="single" w:sz="6" w:space="0" w:color="69BD28"/>
            </w:tcBorders>
          </w:tcPr>
          <w:p>
            <w:pPr>
              <w:pStyle w:val="TableParagraph"/>
              <w:spacing w:before="76"/>
              <w:ind w:left="376"/>
              <w:jc w:val="left"/>
              <w:rPr>
                <w:sz w:val="18"/>
              </w:rPr>
            </w:pPr>
            <w:r>
              <w:rPr>
                <w:w w:val="115"/>
                <w:sz w:val="18"/>
              </w:rPr>
              <w:t>45.0 – 50.0</w:t>
            </w:r>
          </w:p>
        </w:tc>
      </w:tr>
      <w:tr>
        <w:trPr>
          <w:trHeight w:val="361" w:hRule="atLeast"/>
        </w:trPr>
        <w:tc>
          <w:tcPr>
            <w:tcW w:w="2930" w:type="dxa"/>
            <w:tcBorders>
              <w:top w:val="single" w:sz="6" w:space="0" w:color="69BD28"/>
              <w:bottom w:val="single" w:sz="6" w:space="0" w:color="69BD28"/>
            </w:tcBorders>
          </w:tcPr>
          <w:p>
            <w:pPr>
              <w:pStyle w:val="TableParagraph"/>
              <w:spacing w:before="79"/>
              <w:ind w:right="824"/>
              <w:jc w:val="right"/>
              <w:rPr>
                <w:sz w:val="18"/>
              </w:rPr>
            </w:pPr>
            <w:r>
              <w:rPr>
                <w:sz w:val="18"/>
              </w:rPr>
              <w:t>Development 5</w:t>
            </w:r>
          </w:p>
        </w:tc>
        <w:tc>
          <w:tcPr>
            <w:tcW w:w="2085" w:type="dxa"/>
            <w:tcBorders>
              <w:top w:val="single" w:sz="6" w:space="0" w:color="69BD28"/>
              <w:bottom w:val="single" w:sz="6" w:space="0" w:color="69BD28"/>
            </w:tcBorders>
          </w:tcPr>
          <w:p>
            <w:pPr>
              <w:pStyle w:val="TableParagraph"/>
              <w:spacing w:before="52"/>
              <w:ind w:right="669"/>
              <w:jc w:val="right"/>
              <w:rPr>
                <w:sz w:val="18"/>
              </w:rPr>
            </w:pPr>
            <w:r>
              <w:rPr>
                <w:w w:val="95"/>
                <w:sz w:val="18"/>
              </w:rPr>
              <w:t>IT/ ITeS</w:t>
            </w:r>
          </w:p>
        </w:tc>
        <w:tc>
          <w:tcPr>
            <w:tcW w:w="1769" w:type="dxa"/>
            <w:tcBorders>
              <w:top w:val="single" w:sz="6" w:space="0" w:color="69BD28"/>
              <w:bottom w:val="single" w:sz="6" w:space="0" w:color="69BD28"/>
            </w:tcBorders>
          </w:tcPr>
          <w:p>
            <w:pPr>
              <w:pStyle w:val="TableParagraph"/>
              <w:spacing w:before="52"/>
              <w:ind w:left="652" w:right="395"/>
              <w:rPr>
                <w:sz w:val="18"/>
              </w:rPr>
            </w:pPr>
            <w:r>
              <w:rPr>
                <w:w w:val="105"/>
                <w:sz w:val="18"/>
              </w:rPr>
              <w:t>0.7</w:t>
            </w:r>
          </w:p>
        </w:tc>
        <w:tc>
          <w:tcPr>
            <w:tcW w:w="1890" w:type="dxa"/>
            <w:tcBorders>
              <w:top w:val="single" w:sz="6" w:space="0" w:color="69BD28"/>
              <w:bottom w:val="single" w:sz="6" w:space="0" w:color="69BD28"/>
            </w:tcBorders>
          </w:tcPr>
          <w:p>
            <w:pPr>
              <w:pStyle w:val="TableParagraph"/>
              <w:spacing w:before="79"/>
              <w:ind w:left="394" w:right="354"/>
              <w:rPr>
                <w:sz w:val="18"/>
              </w:rPr>
            </w:pPr>
            <w:r>
              <w:rPr>
                <w:sz w:val="18"/>
              </w:rPr>
              <w:t>Minimal</w:t>
            </w:r>
          </w:p>
        </w:tc>
        <w:tc>
          <w:tcPr>
            <w:tcW w:w="1811" w:type="dxa"/>
            <w:tcBorders>
              <w:top w:val="single" w:sz="6" w:space="0" w:color="69BD28"/>
              <w:bottom w:val="single" w:sz="6" w:space="0" w:color="69BD28"/>
            </w:tcBorders>
          </w:tcPr>
          <w:p>
            <w:pPr>
              <w:pStyle w:val="TableParagraph"/>
              <w:spacing w:before="79"/>
              <w:ind w:left="376"/>
              <w:jc w:val="left"/>
              <w:rPr>
                <w:sz w:val="18"/>
              </w:rPr>
            </w:pPr>
            <w:r>
              <w:rPr>
                <w:w w:val="115"/>
                <w:sz w:val="18"/>
              </w:rPr>
              <w:t>45.0 – 50.0</w:t>
            </w:r>
          </w:p>
        </w:tc>
      </w:tr>
      <w:tr>
        <w:trPr>
          <w:trHeight w:val="359" w:hRule="atLeast"/>
        </w:trPr>
        <w:tc>
          <w:tcPr>
            <w:tcW w:w="2930" w:type="dxa"/>
            <w:tcBorders>
              <w:top w:val="single" w:sz="6" w:space="0" w:color="69BD28"/>
              <w:bottom w:val="single" w:sz="6" w:space="0" w:color="69BD28"/>
            </w:tcBorders>
          </w:tcPr>
          <w:p>
            <w:pPr>
              <w:pStyle w:val="TableParagraph"/>
              <w:spacing w:before="76"/>
              <w:ind w:right="824"/>
              <w:jc w:val="right"/>
              <w:rPr>
                <w:sz w:val="18"/>
              </w:rPr>
            </w:pPr>
            <w:r>
              <w:rPr>
                <w:sz w:val="18"/>
              </w:rPr>
              <w:t>Development 6</w:t>
            </w:r>
          </w:p>
        </w:tc>
        <w:tc>
          <w:tcPr>
            <w:tcW w:w="2085" w:type="dxa"/>
            <w:tcBorders>
              <w:top w:val="single" w:sz="6" w:space="0" w:color="69BD28"/>
              <w:bottom w:val="single" w:sz="6" w:space="0" w:color="69BD28"/>
            </w:tcBorders>
          </w:tcPr>
          <w:p>
            <w:pPr>
              <w:pStyle w:val="TableParagraph"/>
              <w:spacing w:before="50"/>
              <w:ind w:right="669"/>
              <w:jc w:val="right"/>
              <w:rPr>
                <w:sz w:val="18"/>
              </w:rPr>
            </w:pPr>
            <w:r>
              <w:rPr>
                <w:w w:val="95"/>
                <w:sz w:val="18"/>
              </w:rPr>
              <w:t>IT/ ITeS</w:t>
            </w:r>
          </w:p>
        </w:tc>
        <w:tc>
          <w:tcPr>
            <w:tcW w:w="1769" w:type="dxa"/>
            <w:tcBorders>
              <w:top w:val="single" w:sz="6" w:space="0" w:color="69BD28"/>
              <w:bottom w:val="single" w:sz="6" w:space="0" w:color="69BD28"/>
            </w:tcBorders>
          </w:tcPr>
          <w:p>
            <w:pPr>
              <w:pStyle w:val="TableParagraph"/>
              <w:spacing w:before="50"/>
              <w:ind w:left="652" w:right="395"/>
              <w:rPr>
                <w:sz w:val="18"/>
              </w:rPr>
            </w:pPr>
            <w:r>
              <w:rPr>
                <w:w w:val="105"/>
                <w:sz w:val="18"/>
              </w:rPr>
              <w:t>0.8</w:t>
            </w:r>
          </w:p>
        </w:tc>
        <w:tc>
          <w:tcPr>
            <w:tcW w:w="1890" w:type="dxa"/>
            <w:tcBorders>
              <w:top w:val="single" w:sz="6" w:space="0" w:color="69BD28"/>
              <w:bottom w:val="single" w:sz="6" w:space="0" w:color="69BD28"/>
            </w:tcBorders>
          </w:tcPr>
          <w:p>
            <w:pPr>
              <w:pStyle w:val="TableParagraph"/>
              <w:spacing w:before="76"/>
              <w:ind w:left="392" w:right="354"/>
              <w:rPr>
                <w:sz w:val="18"/>
              </w:rPr>
            </w:pPr>
            <w:r>
              <w:rPr>
                <w:w w:val="110"/>
                <w:sz w:val="18"/>
              </w:rPr>
              <w:t>4% - 6%</w:t>
            </w:r>
          </w:p>
        </w:tc>
        <w:tc>
          <w:tcPr>
            <w:tcW w:w="1811" w:type="dxa"/>
            <w:tcBorders>
              <w:top w:val="single" w:sz="6" w:space="0" w:color="69BD28"/>
              <w:bottom w:val="single" w:sz="6" w:space="0" w:color="69BD28"/>
            </w:tcBorders>
          </w:tcPr>
          <w:p>
            <w:pPr>
              <w:pStyle w:val="TableParagraph"/>
              <w:spacing w:before="76"/>
              <w:ind w:left="376"/>
              <w:jc w:val="left"/>
              <w:rPr>
                <w:sz w:val="18"/>
              </w:rPr>
            </w:pPr>
            <w:r>
              <w:rPr>
                <w:w w:val="115"/>
                <w:sz w:val="18"/>
              </w:rPr>
              <w:t>45.0 – 50.0</w:t>
            </w:r>
          </w:p>
        </w:tc>
      </w:tr>
    </w:tbl>
    <w:p>
      <w:pPr>
        <w:spacing w:before="4"/>
        <w:ind w:left="120" w:right="0" w:firstLine="0"/>
        <w:jc w:val="left"/>
        <w:rPr>
          <w:i/>
          <w:sz w:val="16"/>
        </w:rPr>
      </w:pPr>
      <w:r>
        <w:rPr>
          <w:i/>
          <w:sz w:val="16"/>
        </w:rPr>
        <w:t>Source: CBRE Research</w:t>
      </w:r>
    </w:p>
    <w:p>
      <w:pPr>
        <w:pStyle w:val="BodyText"/>
        <w:spacing w:before="4"/>
        <w:rPr>
          <w:i/>
          <w:sz w:val="21"/>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84" w:id="554"/>
      <w:bookmarkEnd w:id="554"/>
      <w:r>
        <w:rPr/>
      </w:r>
      <w:bookmarkStart w:name="_bookmark284" w:id="555"/>
      <w:bookmarkEnd w:id="555"/>
      <w:r>
        <w:rPr>
          <w:color w:val="1F664D"/>
          <w:sz w:val="22"/>
        </w:rPr>
        <w:t>Le</w:t>
      </w:r>
      <w:r>
        <w:rPr>
          <w:color w:val="1F664D"/>
          <w:sz w:val="22"/>
        </w:rPr>
        <w:t>ase Rent</w:t>
      </w:r>
      <w:r>
        <w:rPr>
          <w:color w:val="1F664D"/>
          <w:spacing w:val="-3"/>
          <w:sz w:val="22"/>
        </w:rPr>
        <w:t> </w:t>
      </w:r>
      <w:r>
        <w:rPr>
          <w:color w:val="1F664D"/>
          <w:sz w:val="22"/>
        </w:rPr>
        <w:t>Analysis</w:t>
      </w:r>
    </w:p>
    <w:p>
      <w:pPr>
        <w:pStyle w:val="BodyText"/>
        <w:spacing w:line="321" w:lineRule="auto" w:before="208"/>
        <w:ind w:left="682" w:right="114"/>
        <w:jc w:val="both"/>
      </w:pPr>
      <w:r>
        <w:rPr/>
        <w:t>As</w:t>
      </w:r>
      <w:r>
        <w:rPr>
          <w:spacing w:val="-27"/>
        </w:rPr>
        <w:t> </w:t>
      </w:r>
      <w:r>
        <w:rPr/>
        <w:t>highlighted</w:t>
      </w:r>
      <w:r>
        <w:rPr>
          <w:spacing w:val="-26"/>
        </w:rPr>
        <w:t> </w:t>
      </w:r>
      <w:r>
        <w:rPr/>
        <w:t>above,</w:t>
      </w:r>
      <w:r>
        <w:rPr>
          <w:spacing w:val="-25"/>
        </w:rPr>
        <w:t> </w:t>
      </w:r>
      <w:r>
        <w:rPr/>
        <w:t>the</w:t>
      </w:r>
      <w:r>
        <w:rPr>
          <w:spacing w:val="-28"/>
        </w:rPr>
        <w:t> </w:t>
      </w:r>
      <w:r>
        <w:rPr/>
        <w:t>current</w:t>
      </w:r>
      <w:r>
        <w:rPr>
          <w:spacing w:val="-25"/>
        </w:rPr>
        <w:t> </w:t>
      </w:r>
      <w:r>
        <w:rPr/>
        <w:t>rents</w:t>
      </w:r>
      <w:r>
        <w:rPr>
          <w:spacing w:val="-25"/>
        </w:rPr>
        <w:t> </w:t>
      </w:r>
      <w:r>
        <w:rPr/>
        <w:t>in</w:t>
      </w:r>
      <w:r>
        <w:rPr>
          <w:spacing w:val="-27"/>
        </w:rPr>
        <w:t> </w:t>
      </w:r>
      <w:r>
        <w:rPr/>
        <w:t>subject</w:t>
      </w:r>
      <w:r>
        <w:rPr>
          <w:spacing w:val="-26"/>
        </w:rPr>
        <w:t> </w:t>
      </w:r>
      <w:r>
        <w:rPr/>
        <w:t>sub-market</w:t>
      </w:r>
      <w:r>
        <w:rPr>
          <w:spacing w:val="-25"/>
        </w:rPr>
        <w:t> </w:t>
      </w:r>
      <w:r>
        <w:rPr/>
        <w:t>typically</w:t>
      </w:r>
      <w:r>
        <w:rPr>
          <w:spacing w:val="-25"/>
        </w:rPr>
        <w:t> </w:t>
      </w:r>
      <w:r>
        <w:rPr/>
        <w:t>vary</w:t>
      </w:r>
      <w:r>
        <w:rPr>
          <w:spacing w:val="-27"/>
        </w:rPr>
        <w:t> </w:t>
      </w:r>
      <w:r>
        <w:rPr/>
        <w:t>between</w:t>
      </w:r>
      <w:r>
        <w:rPr>
          <w:spacing w:val="-28"/>
        </w:rPr>
        <w:t> </w:t>
      </w:r>
      <w:r>
        <w:rPr/>
        <w:t>INR</w:t>
      </w:r>
      <w:r>
        <w:rPr>
          <w:spacing w:val="-25"/>
        </w:rPr>
        <w:t> </w:t>
      </w:r>
      <w:r>
        <w:rPr/>
        <w:t>40.0</w:t>
      </w:r>
      <w:r>
        <w:rPr>
          <w:spacing w:val="-26"/>
        </w:rPr>
        <w:t> </w:t>
      </w:r>
      <w:r>
        <w:rPr>
          <w:w w:val="105"/>
        </w:rPr>
        <w:t>–</w:t>
      </w:r>
      <w:r>
        <w:rPr>
          <w:spacing w:val="-30"/>
          <w:w w:val="105"/>
        </w:rPr>
        <w:t> </w:t>
      </w:r>
      <w:r>
        <w:rPr/>
        <w:t>50.0</w:t>
      </w:r>
      <w:r>
        <w:rPr>
          <w:spacing w:val="-27"/>
        </w:rPr>
        <w:t> </w:t>
      </w:r>
      <w:r>
        <w:rPr/>
        <w:t>psf pm</w:t>
      </w:r>
      <w:r>
        <w:rPr>
          <w:spacing w:val="-18"/>
        </w:rPr>
        <w:t> </w:t>
      </w:r>
      <w:r>
        <w:rPr/>
        <w:t>on</w:t>
      </w:r>
      <w:r>
        <w:rPr>
          <w:spacing w:val="-17"/>
        </w:rPr>
        <w:t> </w:t>
      </w:r>
      <w:r>
        <w:rPr/>
        <w:t>leasable</w:t>
      </w:r>
      <w:r>
        <w:rPr>
          <w:spacing w:val="-17"/>
        </w:rPr>
        <w:t> </w:t>
      </w:r>
      <w:r>
        <w:rPr/>
        <w:t>area</w:t>
      </w:r>
      <w:r>
        <w:rPr>
          <w:spacing w:val="-18"/>
        </w:rPr>
        <w:t> </w:t>
      </w:r>
      <w:r>
        <w:rPr/>
        <w:t>basis</w:t>
      </w:r>
      <w:r>
        <w:rPr>
          <w:spacing w:val="-17"/>
        </w:rPr>
        <w:t> </w:t>
      </w:r>
      <w:r>
        <w:rPr/>
        <w:t>(for</w:t>
      </w:r>
      <w:r>
        <w:rPr>
          <w:spacing w:val="-17"/>
        </w:rPr>
        <w:t> </w:t>
      </w:r>
      <w:r>
        <w:rPr/>
        <w:t>warm</w:t>
      </w:r>
      <w:r>
        <w:rPr>
          <w:spacing w:val="-19"/>
        </w:rPr>
        <w:t> </w:t>
      </w:r>
      <w:r>
        <w:rPr/>
        <w:t>shell</w:t>
      </w:r>
      <w:r>
        <w:rPr>
          <w:spacing w:val="-18"/>
        </w:rPr>
        <w:t> </w:t>
      </w:r>
      <w:r>
        <w:rPr/>
        <w:t>spaces)</w:t>
      </w:r>
      <w:r>
        <w:rPr>
          <w:spacing w:val="-18"/>
        </w:rPr>
        <w:t> </w:t>
      </w:r>
      <w:r>
        <w:rPr/>
        <w:t>depending</w:t>
      </w:r>
      <w:r>
        <w:rPr>
          <w:spacing w:val="-16"/>
        </w:rPr>
        <w:t> </w:t>
      </w:r>
      <w:r>
        <w:rPr/>
        <w:t>upon</w:t>
      </w:r>
      <w:r>
        <w:rPr>
          <w:spacing w:val="-17"/>
        </w:rPr>
        <w:t> </w:t>
      </w:r>
      <w:r>
        <w:rPr/>
        <w:t>specifications</w:t>
      </w:r>
      <w:r>
        <w:rPr>
          <w:spacing w:val="-16"/>
        </w:rPr>
        <w:t> </w:t>
      </w:r>
      <w:r>
        <w:rPr/>
        <w:t>offered,</w:t>
      </w:r>
      <w:r>
        <w:rPr>
          <w:spacing w:val="-17"/>
        </w:rPr>
        <w:t> </w:t>
      </w:r>
      <w:r>
        <w:rPr/>
        <w:t>location</w:t>
      </w:r>
      <w:r>
        <w:rPr>
          <w:spacing w:val="-17"/>
        </w:rPr>
        <w:t> </w:t>
      </w:r>
      <w:r>
        <w:rPr/>
        <w:t>and </w:t>
      </w:r>
      <w:r>
        <w:rPr>
          <w:w w:val="95"/>
        </w:rPr>
        <w:t>accessibility</w:t>
      </w:r>
      <w:r>
        <w:rPr>
          <w:spacing w:val="-14"/>
          <w:w w:val="95"/>
        </w:rPr>
        <w:t> </w:t>
      </w:r>
      <w:r>
        <w:rPr>
          <w:w w:val="95"/>
        </w:rPr>
        <w:t>of</w:t>
      </w:r>
      <w:r>
        <w:rPr>
          <w:spacing w:val="-11"/>
          <w:w w:val="95"/>
        </w:rPr>
        <w:t> </w:t>
      </w:r>
      <w:r>
        <w:rPr>
          <w:w w:val="95"/>
        </w:rPr>
        <w:t>the</w:t>
      </w:r>
      <w:r>
        <w:rPr>
          <w:spacing w:val="-14"/>
          <w:w w:val="95"/>
        </w:rPr>
        <w:t> </w:t>
      </w:r>
      <w:r>
        <w:rPr>
          <w:w w:val="95"/>
        </w:rPr>
        <w:t>development</w:t>
      </w:r>
      <w:r>
        <w:rPr>
          <w:spacing w:val="-15"/>
          <w:w w:val="95"/>
        </w:rPr>
        <w:t> </w:t>
      </w:r>
      <w:r>
        <w:rPr>
          <w:w w:val="95"/>
        </w:rPr>
        <w:t>(viz.</w:t>
      </w:r>
      <w:r>
        <w:rPr>
          <w:spacing w:val="-11"/>
          <w:w w:val="95"/>
        </w:rPr>
        <w:t> </w:t>
      </w:r>
      <w:r>
        <w:rPr>
          <w:w w:val="95"/>
        </w:rPr>
        <w:t>along/off</w:t>
      </w:r>
      <w:r>
        <w:rPr>
          <w:spacing w:val="-8"/>
          <w:w w:val="95"/>
        </w:rPr>
        <w:t> </w:t>
      </w:r>
      <w:r>
        <w:rPr>
          <w:w w:val="95"/>
        </w:rPr>
        <w:t>the</w:t>
      </w:r>
      <w:r>
        <w:rPr>
          <w:spacing w:val="-15"/>
          <w:w w:val="95"/>
        </w:rPr>
        <w:t> </w:t>
      </w:r>
      <w:r>
        <w:rPr>
          <w:w w:val="95"/>
        </w:rPr>
        <w:t>main</w:t>
      </w:r>
      <w:r>
        <w:rPr>
          <w:spacing w:val="-13"/>
          <w:w w:val="95"/>
        </w:rPr>
        <w:t> </w:t>
      </w:r>
      <w:r>
        <w:rPr>
          <w:w w:val="95"/>
        </w:rPr>
        <w:t>roads),</w:t>
      </w:r>
      <w:r>
        <w:rPr>
          <w:spacing w:val="-15"/>
          <w:w w:val="95"/>
        </w:rPr>
        <w:t> </w:t>
      </w:r>
      <w:r>
        <w:rPr>
          <w:w w:val="95"/>
        </w:rPr>
        <w:t>quality</w:t>
      </w:r>
      <w:r>
        <w:rPr>
          <w:spacing w:val="-12"/>
          <w:w w:val="95"/>
        </w:rPr>
        <w:t> </w:t>
      </w:r>
      <w:r>
        <w:rPr>
          <w:w w:val="95"/>
        </w:rPr>
        <w:t>of</w:t>
      </w:r>
      <w:r>
        <w:rPr>
          <w:spacing w:val="-11"/>
          <w:w w:val="95"/>
        </w:rPr>
        <w:t> </w:t>
      </w:r>
      <w:r>
        <w:rPr>
          <w:w w:val="95"/>
        </w:rPr>
        <w:t>construction,</w:t>
      </w:r>
      <w:r>
        <w:rPr>
          <w:spacing w:val="-13"/>
          <w:w w:val="95"/>
        </w:rPr>
        <w:t> </w:t>
      </w:r>
      <w:r>
        <w:rPr>
          <w:w w:val="95"/>
        </w:rPr>
        <w:t>developer</w:t>
      </w:r>
      <w:r>
        <w:rPr>
          <w:spacing w:val="-12"/>
          <w:w w:val="95"/>
        </w:rPr>
        <w:t> </w:t>
      </w:r>
      <w:r>
        <w:rPr>
          <w:w w:val="95"/>
        </w:rPr>
        <w:t>brand, </w:t>
      </w:r>
      <w:r>
        <w:rPr/>
        <w:t>amenities</w:t>
      </w:r>
      <w:r>
        <w:rPr>
          <w:spacing w:val="-43"/>
        </w:rPr>
        <w:t> </w:t>
      </w:r>
      <w:r>
        <w:rPr/>
        <w:t>offered,</w:t>
      </w:r>
      <w:r>
        <w:rPr>
          <w:spacing w:val="-45"/>
        </w:rPr>
        <w:t> </w:t>
      </w:r>
      <w:r>
        <w:rPr/>
        <w:t>space</w:t>
      </w:r>
      <w:r>
        <w:rPr>
          <w:spacing w:val="-44"/>
        </w:rPr>
        <w:t> </w:t>
      </w:r>
      <w:r>
        <w:rPr/>
        <w:t>off</w:t>
      </w:r>
      <w:r>
        <w:rPr>
          <w:spacing w:val="-43"/>
        </w:rPr>
        <w:t> </w:t>
      </w:r>
      <w:r>
        <w:rPr/>
        <w:t>take,</w:t>
      </w:r>
      <w:r>
        <w:rPr>
          <w:spacing w:val="-44"/>
        </w:rPr>
        <w:t> </w:t>
      </w:r>
      <w:r>
        <w:rPr/>
        <w:t>related</w:t>
      </w:r>
      <w:r>
        <w:rPr>
          <w:spacing w:val="-44"/>
        </w:rPr>
        <w:t> </w:t>
      </w:r>
      <w:r>
        <w:rPr/>
        <w:t>infrastructure</w:t>
      </w:r>
      <w:r>
        <w:rPr>
          <w:spacing w:val="-43"/>
        </w:rPr>
        <w:t> </w:t>
      </w:r>
      <w:r>
        <w:rPr/>
        <w:t>provision</w:t>
      </w:r>
      <w:r>
        <w:rPr>
          <w:spacing w:val="-44"/>
        </w:rPr>
        <w:t> </w:t>
      </w:r>
      <w:r>
        <w:rPr/>
        <w:t>for</w:t>
      </w:r>
      <w:r>
        <w:rPr>
          <w:spacing w:val="-44"/>
        </w:rPr>
        <w:t> </w:t>
      </w:r>
      <w:r>
        <w:rPr/>
        <w:t>the</w:t>
      </w:r>
      <w:r>
        <w:rPr>
          <w:spacing w:val="-44"/>
        </w:rPr>
        <w:t> </w:t>
      </w:r>
      <w:r>
        <w:rPr/>
        <w:t>site,</w:t>
      </w:r>
      <w:r>
        <w:rPr>
          <w:spacing w:val="-43"/>
        </w:rPr>
        <w:t> </w:t>
      </w:r>
      <w:r>
        <w:rPr/>
        <w:t>distance</w:t>
      </w:r>
      <w:r>
        <w:rPr>
          <w:spacing w:val="-44"/>
        </w:rPr>
        <w:t> </w:t>
      </w:r>
      <w:r>
        <w:rPr/>
        <w:t>from</w:t>
      </w:r>
      <w:r>
        <w:rPr>
          <w:spacing w:val="-44"/>
        </w:rPr>
        <w:t> </w:t>
      </w:r>
      <w:r>
        <w:rPr/>
        <w:t>the</w:t>
      </w:r>
      <w:r>
        <w:rPr>
          <w:spacing w:val="-44"/>
        </w:rPr>
        <w:t> </w:t>
      </w:r>
      <w:r>
        <w:rPr/>
        <w:t>key</w:t>
      </w:r>
      <w:r>
        <w:rPr>
          <w:spacing w:val="-44"/>
        </w:rPr>
        <w:t> </w:t>
      </w:r>
      <w:r>
        <w:rPr/>
        <w:t>hubs of the city,</w:t>
      </w:r>
      <w:r>
        <w:rPr>
          <w:spacing w:val="-11"/>
        </w:rPr>
        <w:t> </w:t>
      </w:r>
      <w:r>
        <w:rPr/>
        <w:t>etc.</w:t>
      </w:r>
    </w:p>
    <w:p>
      <w:pPr>
        <w:pStyle w:val="BodyText"/>
        <w:spacing w:before="10"/>
        <w:rPr>
          <w:sz w:val="20"/>
        </w:rPr>
      </w:pPr>
    </w:p>
    <w:p>
      <w:pPr>
        <w:pStyle w:val="BodyText"/>
        <w:spacing w:line="321" w:lineRule="auto"/>
        <w:ind w:left="682" w:right="113"/>
        <w:jc w:val="both"/>
      </w:pPr>
      <w:r>
        <w:rPr/>
        <w:t>Based</w:t>
      </w:r>
      <w:r>
        <w:rPr>
          <w:spacing w:val="-19"/>
        </w:rPr>
        <w:t> </w:t>
      </w:r>
      <w:r>
        <w:rPr/>
        <w:t>on</w:t>
      </w:r>
      <w:r>
        <w:rPr>
          <w:spacing w:val="-19"/>
        </w:rPr>
        <w:t> </w:t>
      </w:r>
      <w:r>
        <w:rPr/>
        <w:t>our</w:t>
      </w:r>
      <w:r>
        <w:rPr>
          <w:spacing w:val="-20"/>
        </w:rPr>
        <w:t> </w:t>
      </w:r>
      <w:r>
        <w:rPr/>
        <w:t>market</w:t>
      </w:r>
      <w:r>
        <w:rPr>
          <w:spacing w:val="-19"/>
        </w:rPr>
        <w:t> </w:t>
      </w:r>
      <w:r>
        <w:rPr/>
        <w:t>research,</w:t>
      </w:r>
      <w:r>
        <w:rPr>
          <w:spacing w:val="-19"/>
        </w:rPr>
        <w:t> </w:t>
      </w:r>
      <w:r>
        <w:rPr/>
        <w:t>we</w:t>
      </w:r>
      <w:r>
        <w:rPr>
          <w:spacing w:val="-19"/>
        </w:rPr>
        <w:t> </w:t>
      </w:r>
      <w:r>
        <w:rPr/>
        <w:t>understand</w:t>
      </w:r>
      <w:r>
        <w:rPr>
          <w:spacing w:val="-19"/>
        </w:rPr>
        <w:t> </w:t>
      </w:r>
      <w:r>
        <w:rPr/>
        <w:t>that</w:t>
      </w:r>
      <w:r>
        <w:rPr>
          <w:spacing w:val="-19"/>
        </w:rPr>
        <w:t> </w:t>
      </w:r>
      <w:r>
        <w:rPr/>
        <w:t>the</w:t>
      </w:r>
      <w:r>
        <w:rPr>
          <w:spacing w:val="-19"/>
        </w:rPr>
        <w:t> </w:t>
      </w:r>
      <w:r>
        <w:rPr/>
        <w:t>rents</w:t>
      </w:r>
      <w:r>
        <w:rPr>
          <w:spacing w:val="-18"/>
        </w:rPr>
        <w:t> </w:t>
      </w:r>
      <w:r>
        <w:rPr/>
        <w:t>in</w:t>
      </w:r>
      <w:r>
        <w:rPr>
          <w:spacing w:val="-20"/>
        </w:rPr>
        <w:t> </w:t>
      </w:r>
      <w:r>
        <w:rPr/>
        <w:t>the</w:t>
      </w:r>
      <w:r>
        <w:rPr>
          <w:spacing w:val="-20"/>
        </w:rPr>
        <w:t> </w:t>
      </w:r>
      <w:r>
        <w:rPr/>
        <w:t>subject</w:t>
      </w:r>
      <w:r>
        <w:rPr>
          <w:spacing w:val="-17"/>
        </w:rPr>
        <w:t> </w:t>
      </w:r>
      <w:r>
        <w:rPr/>
        <w:t>sub-market</w:t>
      </w:r>
      <w:r>
        <w:rPr>
          <w:spacing w:val="-19"/>
        </w:rPr>
        <w:t> </w:t>
      </w:r>
      <w:r>
        <w:rPr/>
        <w:t>have</w:t>
      </w:r>
      <w:r>
        <w:rPr>
          <w:spacing w:val="-19"/>
        </w:rPr>
        <w:t> </w:t>
      </w:r>
      <w:r>
        <w:rPr/>
        <w:t>witnessed an</w:t>
      </w:r>
      <w:r>
        <w:rPr>
          <w:spacing w:val="-26"/>
        </w:rPr>
        <w:t> </w:t>
      </w:r>
      <w:r>
        <w:rPr/>
        <w:t>average</w:t>
      </w:r>
      <w:r>
        <w:rPr>
          <w:spacing w:val="-26"/>
        </w:rPr>
        <w:t> </w:t>
      </w:r>
      <w:r>
        <w:rPr/>
        <w:t>annual</w:t>
      </w:r>
      <w:r>
        <w:rPr>
          <w:spacing w:val="-23"/>
        </w:rPr>
        <w:t> </w:t>
      </w:r>
      <w:r>
        <w:rPr/>
        <w:t>appreciation</w:t>
      </w:r>
      <w:r>
        <w:rPr>
          <w:spacing w:val="-25"/>
        </w:rPr>
        <w:t> </w:t>
      </w:r>
      <w:r>
        <w:rPr/>
        <w:t>of</w:t>
      </w:r>
      <w:r>
        <w:rPr>
          <w:spacing w:val="-22"/>
        </w:rPr>
        <w:t> </w:t>
      </w:r>
      <w:r>
        <w:rPr/>
        <w:t>approx.</w:t>
      </w:r>
      <w:r>
        <w:rPr>
          <w:spacing w:val="-25"/>
        </w:rPr>
        <w:t> </w:t>
      </w:r>
      <w:r>
        <w:rPr/>
        <w:t>4.6%</w:t>
      </w:r>
      <w:r>
        <w:rPr>
          <w:spacing w:val="-25"/>
        </w:rPr>
        <w:t> </w:t>
      </w:r>
      <w:r>
        <w:rPr/>
        <w:t>between</w:t>
      </w:r>
      <w:r>
        <w:rPr>
          <w:spacing w:val="-25"/>
        </w:rPr>
        <w:t> </w:t>
      </w:r>
      <w:r>
        <w:rPr/>
        <w:t>2014</w:t>
      </w:r>
      <w:r>
        <w:rPr>
          <w:spacing w:val="-25"/>
        </w:rPr>
        <w:t> </w:t>
      </w:r>
      <w:r>
        <w:rPr/>
        <w:t>and</w:t>
      </w:r>
      <w:r>
        <w:rPr>
          <w:spacing w:val="-24"/>
        </w:rPr>
        <w:t> </w:t>
      </w:r>
      <w:r>
        <w:rPr/>
        <w:t>2019.</w:t>
      </w:r>
      <w:r>
        <w:rPr>
          <w:spacing w:val="-23"/>
        </w:rPr>
        <w:t> </w:t>
      </w:r>
      <w:r>
        <w:rPr/>
        <w:t>Further,</w:t>
      </w:r>
      <w:r>
        <w:rPr>
          <w:spacing w:val="-25"/>
        </w:rPr>
        <w:t> </w:t>
      </w:r>
      <w:r>
        <w:rPr/>
        <w:t>the</w:t>
      </w:r>
      <w:r>
        <w:rPr>
          <w:spacing w:val="-26"/>
        </w:rPr>
        <w:t> </w:t>
      </w:r>
      <w:r>
        <w:rPr/>
        <w:t>said</w:t>
      </w:r>
      <w:r>
        <w:rPr>
          <w:spacing w:val="-25"/>
        </w:rPr>
        <w:t> </w:t>
      </w:r>
      <w:r>
        <w:rPr/>
        <w:t>appreciation in</w:t>
      </w:r>
      <w:r>
        <w:rPr>
          <w:spacing w:val="-7"/>
        </w:rPr>
        <w:t> </w:t>
      </w:r>
      <w:r>
        <w:rPr/>
        <w:t>the</w:t>
      </w:r>
      <w:r>
        <w:rPr>
          <w:spacing w:val="-6"/>
        </w:rPr>
        <w:t> </w:t>
      </w:r>
      <w:r>
        <w:rPr/>
        <w:t>region</w:t>
      </w:r>
      <w:r>
        <w:rPr>
          <w:spacing w:val="-6"/>
        </w:rPr>
        <w:t> </w:t>
      </w:r>
      <w:r>
        <w:rPr/>
        <w:t>is</w:t>
      </w:r>
      <w:r>
        <w:rPr>
          <w:spacing w:val="-6"/>
        </w:rPr>
        <w:t> </w:t>
      </w:r>
      <w:r>
        <w:rPr/>
        <w:t>understood</w:t>
      </w:r>
      <w:r>
        <w:rPr>
          <w:spacing w:val="-5"/>
        </w:rPr>
        <w:t> </w:t>
      </w:r>
      <w:r>
        <w:rPr/>
        <w:t>to</w:t>
      </w:r>
      <w:r>
        <w:rPr>
          <w:spacing w:val="-5"/>
        </w:rPr>
        <w:t> </w:t>
      </w:r>
      <w:r>
        <w:rPr/>
        <w:t>be</w:t>
      </w:r>
      <w:r>
        <w:rPr>
          <w:spacing w:val="-6"/>
        </w:rPr>
        <w:t> </w:t>
      </w:r>
      <w:r>
        <w:rPr/>
        <w:t>on</w:t>
      </w:r>
      <w:r>
        <w:rPr>
          <w:spacing w:val="-7"/>
        </w:rPr>
        <w:t> </w:t>
      </w:r>
      <w:r>
        <w:rPr/>
        <w:t>account</w:t>
      </w:r>
      <w:r>
        <w:rPr>
          <w:spacing w:val="-5"/>
        </w:rPr>
        <w:t> </w:t>
      </w:r>
      <w:r>
        <w:rPr/>
        <w:t>of</w:t>
      </w:r>
      <w:r>
        <w:rPr>
          <w:spacing w:val="-5"/>
        </w:rPr>
        <w:t> </w:t>
      </w:r>
      <w:r>
        <w:rPr/>
        <w:t>low</w:t>
      </w:r>
      <w:r>
        <w:rPr>
          <w:spacing w:val="-5"/>
        </w:rPr>
        <w:t> </w:t>
      </w:r>
      <w:r>
        <w:rPr/>
        <w:t>vacancy</w:t>
      </w:r>
      <w:r>
        <w:rPr>
          <w:spacing w:val="-4"/>
        </w:rPr>
        <w:t> </w:t>
      </w:r>
      <w:r>
        <w:rPr/>
        <w:t>levels</w:t>
      </w:r>
      <w:r>
        <w:rPr>
          <w:spacing w:val="-6"/>
        </w:rPr>
        <w:t> </w:t>
      </w:r>
      <w:r>
        <w:rPr/>
        <w:t>in</w:t>
      </w:r>
      <w:r>
        <w:rPr>
          <w:spacing w:val="-6"/>
        </w:rPr>
        <w:t> </w:t>
      </w:r>
      <w:r>
        <w:rPr/>
        <w:t>the</w:t>
      </w:r>
      <w:r>
        <w:rPr>
          <w:spacing w:val="-4"/>
        </w:rPr>
        <w:t> </w:t>
      </w:r>
      <w:r>
        <w:rPr/>
        <w:t>developments</w:t>
      </w:r>
      <w:r>
        <w:rPr>
          <w:spacing w:val="-5"/>
        </w:rPr>
        <w:t> </w:t>
      </w:r>
      <w:r>
        <w:rPr/>
        <w:t>coupled</w:t>
      </w:r>
      <w:r>
        <w:rPr>
          <w:spacing w:val="-5"/>
        </w:rPr>
        <w:t> </w:t>
      </w:r>
      <w:r>
        <w:rPr/>
        <w:t>with rising</w:t>
      </w:r>
      <w:r>
        <w:rPr>
          <w:spacing w:val="-10"/>
        </w:rPr>
        <w:t> </w:t>
      </w:r>
      <w:r>
        <w:rPr/>
        <w:t>interest</w:t>
      </w:r>
      <w:r>
        <w:rPr>
          <w:spacing w:val="-9"/>
        </w:rPr>
        <w:t> </w:t>
      </w:r>
      <w:r>
        <w:rPr/>
        <w:t>from</w:t>
      </w:r>
      <w:r>
        <w:rPr>
          <w:spacing w:val="-12"/>
        </w:rPr>
        <w:t> </w:t>
      </w:r>
      <w:r>
        <w:rPr/>
        <w:t>technology</w:t>
      </w:r>
      <w:r>
        <w:rPr>
          <w:spacing w:val="-9"/>
        </w:rPr>
        <w:t> </w:t>
      </w:r>
      <w:r>
        <w:rPr/>
        <w:t>occupiers.</w:t>
      </w:r>
      <w:r>
        <w:rPr>
          <w:spacing w:val="-12"/>
        </w:rPr>
        <w:t> </w:t>
      </w:r>
      <w:r>
        <w:rPr/>
        <w:t>Hence,</w:t>
      </w:r>
      <w:r>
        <w:rPr>
          <w:spacing w:val="-10"/>
        </w:rPr>
        <w:t> </w:t>
      </w:r>
      <w:r>
        <w:rPr/>
        <w:t>with</w:t>
      </w:r>
      <w:r>
        <w:rPr>
          <w:spacing w:val="-11"/>
        </w:rPr>
        <w:t> </w:t>
      </w:r>
      <w:r>
        <w:rPr/>
        <w:t>low</w:t>
      </w:r>
      <w:r>
        <w:rPr>
          <w:spacing w:val="-9"/>
        </w:rPr>
        <w:t> </w:t>
      </w:r>
      <w:r>
        <w:rPr/>
        <w:t>levels</w:t>
      </w:r>
      <w:r>
        <w:rPr>
          <w:spacing w:val="-11"/>
        </w:rPr>
        <w:t> </w:t>
      </w:r>
      <w:r>
        <w:rPr/>
        <w:t>of</w:t>
      </w:r>
      <w:r>
        <w:rPr>
          <w:spacing w:val="-9"/>
        </w:rPr>
        <w:t> </w:t>
      </w:r>
      <w:r>
        <w:rPr/>
        <w:t>ready</w:t>
      </w:r>
      <w:r>
        <w:rPr>
          <w:spacing w:val="-11"/>
        </w:rPr>
        <w:t> </w:t>
      </w:r>
      <w:r>
        <w:rPr/>
        <w:t>to</w:t>
      </w:r>
      <w:r>
        <w:rPr>
          <w:spacing w:val="-11"/>
        </w:rPr>
        <w:t> </w:t>
      </w:r>
      <w:r>
        <w:rPr/>
        <w:t>move-in</w:t>
      </w:r>
      <w:r>
        <w:rPr>
          <w:spacing w:val="-11"/>
        </w:rPr>
        <w:t> </w:t>
      </w:r>
      <w:r>
        <w:rPr/>
        <w:t>supply</w:t>
      </w:r>
      <w:r>
        <w:rPr>
          <w:spacing w:val="-9"/>
        </w:rPr>
        <w:t> </w:t>
      </w:r>
      <w:r>
        <w:rPr/>
        <w:t>in</w:t>
      </w:r>
      <w:r>
        <w:rPr>
          <w:spacing w:val="-11"/>
        </w:rPr>
        <w:t> </w:t>
      </w:r>
      <w:r>
        <w:rPr/>
        <w:t>large- scale</w:t>
      </w:r>
      <w:r>
        <w:rPr>
          <w:spacing w:val="-26"/>
        </w:rPr>
        <w:t> </w:t>
      </w:r>
      <w:r>
        <w:rPr/>
        <w:t>business</w:t>
      </w:r>
      <w:r>
        <w:rPr>
          <w:spacing w:val="-25"/>
        </w:rPr>
        <w:t> </w:t>
      </w:r>
      <w:r>
        <w:rPr/>
        <w:t>parks</w:t>
      </w:r>
      <w:r>
        <w:rPr>
          <w:spacing w:val="-25"/>
        </w:rPr>
        <w:t> </w:t>
      </w:r>
      <w:r>
        <w:rPr/>
        <w:t>coupled</w:t>
      </w:r>
      <w:r>
        <w:rPr>
          <w:spacing w:val="-26"/>
        </w:rPr>
        <w:t> </w:t>
      </w:r>
      <w:r>
        <w:rPr/>
        <w:t>with</w:t>
      </w:r>
      <w:r>
        <w:rPr>
          <w:spacing w:val="-25"/>
        </w:rPr>
        <w:t> </w:t>
      </w:r>
      <w:r>
        <w:rPr/>
        <w:t>limited</w:t>
      </w:r>
      <w:r>
        <w:rPr>
          <w:spacing w:val="-25"/>
        </w:rPr>
        <w:t> </w:t>
      </w:r>
      <w:r>
        <w:rPr/>
        <w:t>upcoming</w:t>
      </w:r>
      <w:r>
        <w:rPr>
          <w:spacing w:val="-26"/>
        </w:rPr>
        <w:t> </w:t>
      </w:r>
      <w:r>
        <w:rPr/>
        <w:t>supply</w:t>
      </w:r>
      <w:r>
        <w:rPr>
          <w:spacing w:val="-25"/>
        </w:rPr>
        <w:t> </w:t>
      </w:r>
      <w:r>
        <w:rPr/>
        <w:t>and</w:t>
      </w:r>
      <w:r>
        <w:rPr>
          <w:spacing w:val="-25"/>
        </w:rPr>
        <w:t> </w:t>
      </w:r>
      <w:r>
        <w:rPr/>
        <w:t>sustained</w:t>
      </w:r>
      <w:r>
        <w:rPr>
          <w:spacing w:val="-26"/>
        </w:rPr>
        <w:t> </w:t>
      </w:r>
      <w:r>
        <w:rPr/>
        <w:t>occupier</w:t>
      </w:r>
      <w:r>
        <w:rPr>
          <w:spacing w:val="-25"/>
        </w:rPr>
        <w:t> </w:t>
      </w:r>
      <w:r>
        <w:rPr/>
        <w:t>demand,</w:t>
      </w:r>
      <w:r>
        <w:rPr>
          <w:spacing w:val="-24"/>
        </w:rPr>
        <w:t> </w:t>
      </w:r>
      <w:r>
        <w:rPr/>
        <w:t>the</w:t>
      </w:r>
      <w:r>
        <w:rPr>
          <w:spacing w:val="-27"/>
        </w:rPr>
        <w:t> </w:t>
      </w:r>
      <w:r>
        <w:rPr/>
        <w:t>market is</w:t>
      </w:r>
      <w:r>
        <w:rPr>
          <w:spacing w:val="-6"/>
        </w:rPr>
        <w:t> </w:t>
      </w:r>
      <w:r>
        <w:rPr/>
        <w:t>expected</w:t>
      </w:r>
      <w:r>
        <w:rPr>
          <w:spacing w:val="-5"/>
        </w:rPr>
        <w:t> </w:t>
      </w:r>
      <w:r>
        <w:rPr/>
        <w:t>to</w:t>
      </w:r>
      <w:r>
        <w:rPr>
          <w:spacing w:val="-7"/>
        </w:rPr>
        <w:t> </w:t>
      </w:r>
      <w:r>
        <w:rPr/>
        <w:t>continue</w:t>
      </w:r>
      <w:r>
        <w:rPr>
          <w:spacing w:val="-6"/>
        </w:rPr>
        <w:t> </w:t>
      </w:r>
      <w:r>
        <w:rPr/>
        <w:t>to</w:t>
      </w:r>
      <w:r>
        <w:rPr>
          <w:spacing w:val="-6"/>
        </w:rPr>
        <w:t> </w:t>
      </w:r>
      <w:r>
        <w:rPr/>
        <w:t>achieve</w:t>
      </w:r>
      <w:r>
        <w:rPr>
          <w:spacing w:val="-6"/>
        </w:rPr>
        <w:t> </w:t>
      </w:r>
      <w:r>
        <w:rPr/>
        <w:t>steady</w:t>
      </w:r>
      <w:r>
        <w:rPr>
          <w:spacing w:val="-6"/>
        </w:rPr>
        <w:t> </w:t>
      </w:r>
      <w:r>
        <w:rPr/>
        <w:t>growth</w:t>
      </w:r>
      <w:r>
        <w:rPr>
          <w:spacing w:val="-6"/>
        </w:rPr>
        <w:t> </w:t>
      </w:r>
      <w:r>
        <w:rPr/>
        <w:t>going</w:t>
      </w:r>
      <w:r>
        <w:rPr>
          <w:spacing w:val="-5"/>
        </w:rPr>
        <w:t> </w:t>
      </w:r>
      <w:r>
        <w:rPr/>
        <w:t>forward.</w:t>
      </w:r>
    </w:p>
    <w:p>
      <w:pPr>
        <w:spacing w:after="0" w:line="321" w:lineRule="auto"/>
        <w:jc w:val="both"/>
        <w:sectPr>
          <w:pgSz w:w="11910" w:h="16840"/>
          <w:pgMar w:header="720" w:footer="921" w:top="1660" w:bottom="1120" w:left="600" w:right="600"/>
        </w:sectPr>
      </w:pPr>
    </w:p>
    <w:p>
      <w:pPr>
        <w:pStyle w:val="BodyText"/>
        <w:spacing w:before="7"/>
        <w:rPr>
          <w:sz w:val="9"/>
        </w:rPr>
      </w:pPr>
    </w:p>
    <w:p>
      <w:pPr>
        <w:pStyle w:val="BodyText"/>
        <w:spacing w:line="321" w:lineRule="auto" w:before="106"/>
        <w:ind w:left="682" w:right="115"/>
        <w:jc w:val="both"/>
      </w:pPr>
      <w:r>
        <w:rPr/>
        <w:t>The</w:t>
      </w:r>
      <w:r>
        <w:rPr>
          <w:spacing w:val="-15"/>
        </w:rPr>
        <w:t> </w:t>
      </w:r>
      <w:r>
        <w:rPr/>
        <w:t>table</w:t>
      </w:r>
      <w:r>
        <w:rPr>
          <w:spacing w:val="-14"/>
        </w:rPr>
        <w:t> </w:t>
      </w:r>
      <w:r>
        <w:rPr/>
        <w:t>below</w:t>
      </w:r>
      <w:r>
        <w:rPr>
          <w:spacing w:val="-13"/>
        </w:rPr>
        <w:t> </w:t>
      </w:r>
      <w:r>
        <w:rPr/>
        <w:t>highlights</w:t>
      </w:r>
      <w:r>
        <w:rPr>
          <w:spacing w:val="-14"/>
        </w:rPr>
        <w:t> </w:t>
      </w:r>
      <w:r>
        <w:rPr/>
        <w:t>some</w:t>
      </w:r>
      <w:r>
        <w:rPr>
          <w:spacing w:val="-14"/>
        </w:rPr>
        <w:t> </w:t>
      </w:r>
      <w:r>
        <w:rPr/>
        <w:t>of</w:t>
      </w:r>
      <w:r>
        <w:rPr>
          <w:spacing w:val="-14"/>
        </w:rPr>
        <w:t> </w:t>
      </w:r>
      <w:r>
        <w:rPr/>
        <w:t>the</w:t>
      </w:r>
      <w:r>
        <w:rPr>
          <w:spacing w:val="-14"/>
        </w:rPr>
        <w:t> </w:t>
      </w:r>
      <w:r>
        <w:rPr/>
        <w:t>recent</w:t>
      </w:r>
      <w:r>
        <w:rPr>
          <w:spacing w:val="-14"/>
        </w:rPr>
        <w:t> </w:t>
      </w:r>
      <w:r>
        <w:rPr/>
        <w:t>transacted</w:t>
      </w:r>
      <w:r>
        <w:rPr>
          <w:spacing w:val="-13"/>
        </w:rPr>
        <w:t> </w:t>
      </w:r>
      <w:r>
        <w:rPr/>
        <w:t>rental</w:t>
      </w:r>
      <w:r>
        <w:rPr>
          <w:spacing w:val="-14"/>
        </w:rPr>
        <w:t> </w:t>
      </w:r>
      <w:r>
        <w:rPr/>
        <w:t>values</w:t>
      </w:r>
      <w:r>
        <w:rPr>
          <w:spacing w:val="-14"/>
        </w:rPr>
        <w:t> </w:t>
      </w:r>
      <w:r>
        <w:rPr/>
        <w:t>for</w:t>
      </w:r>
      <w:r>
        <w:rPr>
          <w:spacing w:val="-14"/>
        </w:rPr>
        <w:t> </w:t>
      </w:r>
      <w:r>
        <w:rPr/>
        <w:t>office</w:t>
      </w:r>
      <w:r>
        <w:rPr>
          <w:spacing w:val="-14"/>
        </w:rPr>
        <w:t> </w:t>
      </w:r>
      <w:r>
        <w:rPr/>
        <w:t>developments</w:t>
      </w:r>
      <w:r>
        <w:rPr>
          <w:spacing w:val="-13"/>
        </w:rPr>
        <w:t> </w:t>
      </w:r>
      <w:r>
        <w:rPr/>
        <w:t>in</w:t>
      </w:r>
      <w:r>
        <w:rPr>
          <w:spacing w:val="-15"/>
        </w:rPr>
        <w:t> </w:t>
      </w:r>
      <w:r>
        <w:rPr/>
        <w:t>the influence region of the subject</w:t>
      </w:r>
      <w:r>
        <w:rPr>
          <w:spacing w:val="-24"/>
        </w:rPr>
        <w:t> </w:t>
      </w:r>
      <w:r>
        <w:rPr/>
        <w:t>property:</w:t>
      </w:r>
    </w:p>
    <w:p>
      <w:pPr>
        <w:pStyle w:val="BodyText"/>
        <w:spacing w:before="1"/>
        <w:rPr>
          <w:sz w:val="21"/>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5"/>
        <w:gridCol w:w="1919"/>
        <w:gridCol w:w="2158"/>
        <w:gridCol w:w="3773"/>
      </w:tblGrid>
      <w:tr>
        <w:trPr>
          <w:trHeight w:val="320" w:hRule="atLeast"/>
        </w:trPr>
        <w:tc>
          <w:tcPr>
            <w:tcW w:w="2635" w:type="dxa"/>
            <w:tcBorders>
              <w:top w:val="single" w:sz="6" w:space="0" w:color="69BD28"/>
              <w:bottom w:val="single" w:sz="6" w:space="0" w:color="69BD28"/>
            </w:tcBorders>
            <w:shd w:val="clear" w:color="auto" w:fill="006A4D"/>
          </w:tcPr>
          <w:p>
            <w:pPr>
              <w:pStyle w:val="TableParagraph"/>
              <w:spacing w:before="49"/>
              <w:ind w:left="461" w:right="399"/>
              <w:rPr>
                <w:b/>
                <w:sz w:val="18"/>
              </w:rPr>
            </w:pPr>
            <w:r>
              <w:rPr>
                <w:b/>
                <w:color w:val="FFFFFF"/>
                <w:w w:val="105"/>
                <w:sz w:val="18"/>
              </w:rPr>
              <w:t>Date of Transaction</w:t>
            </w:r>
          </w:p>
        </w:tc>
        <w:tc>
          <w:tcPr>
            <w:tcW w:w="1919" w:type="dxa"/>
            <w:tcBorders>
              <w:top w:val="single" w:sz="6" w:space="0" w:color="69BD28"/>
              <w:bottom w:val="single" w:sz="6" w:space="0" w:color="69BD28"/>
            </w:tcBorders>
            <w:shd w:val="clear" w:color="auto" w:fill="006A4D"/>
          </w:tcPr>
          <w:p>
            <w:pPr>
              <w:pStyle w:val="TableParagraph"/>
              <w:spacing w:before="49"/>
              <w:ind w:left="399"/>
              <w:jc w:val="left"/>
              <w:rPr>
                <w:b/>
                <w:sz w:val="18"/>
              </w:rPr>
            </w:pPr>
            <w:r>
              <w:rPr>
                <w:b/>
                <w:color w:val="FFFFFF"/>
                <w:w w:val="110"/>
                <w:sz w:val="18"/>
              </w:rPr>
              <w:t>Area (sf)</w:t>
            </w:r>
          </w:p>
        </w:tc>
        <w:tc>
          <w:tcPr>
            <w:tcW w:w="2158" w:type="dxa"/>
            <w:tcBorders>
              <w:top w:val="single" w:sz="6" w:space="0" w:color="69BD28"/>
              <w:bottom w:val="single" w:sz="6" w:space="0" w:color="69BD28"/>
            </w:tcBorders>
            <w:shd w:val="clear" w:color="auto" w:fill="006A4D"/>
          </w:tcPr>
          <w:p>
            <w:pPr>
              <w:pStyle w:val="TableParagraph"/>
              <w:spacing w:before="49"/>
              <w:ind w:left="777"/>
              <w:jc w:val="left"/>
              <w:rPr>
                <w:b/>
                <w:sz w:val="18"/>
              </w:rPr>
            </w:pPr>
            <w:r>
              <w:rPr>
                <w:b/>
                <w:color w:val="FFFFFF"/>
                <w:w w:val="105"/>
                <w:sz w:val="18"/>
              </w:rPr>
              <w:t>Tenant</w:t>
            </w:r>
          </w:p>
        </w:tc>
        <w:tc>
          <w:tcPr>
            <w:tcW w:w="3773" w:type="dxa"/>
            <w:tcBorders>
              <w:top w:val="single" w:sz="6" w:space="0" w:color="69BD28"/>
              <w:bottom w:val="single" w:sz="6" w:space="0" w:color="69BD28"/>
            </w:tcBorders>
            <w:shd w:val="clear" w:color="auto" w:fill="006A4D"/>
          </w:tcPr>
          <w:p>
            <w:pPr>
              <w:pStyle w:val="TableParagraph"/>
              <w:spacing w:before="49"/>
              <w:ind w:left="675" w:right="263"/>
              <w:rPr>
                <w:b/>
                <w:sz w:val="18"/>
              </w:rPr>
            </w:pPr>
            <w:r>
              <w:rPr>
                <w:b/>
                <w:color w:val="FFFFFF"/>
                <w:w w:val="110"/>
                <w:sz w:val="18"/>
              </w:rPr>
              <w:t>Transacted Rent (INR psf pm)*</w:t>
            </w:r>
          </w:p>
        </w:tc>
      </w:tr>
      <w:tr>
        <w:trPr>
          <w:trHeight w:val="309" w:hRule="atLeast"/>
        </w:trPr>
        <w:tc>
          <w:tcPr>
            <w:tcW w:w="2635" w:type="dxa"/>
            <w:tcBorders>
              <w:top w:val="single" w:sz="6" w:space="0" w:color="69BD28"/>
              <w:bottom w:val="single" w:sz="6" w:space="0" w:color="69BD28"/>
            </w:tcBorders>
          </w:tcPr>
          <w:p>
            <w:pPr>
              <w:pStyle w:val="TableParagraph"/>
              <w:spacing w:before="44"/>
              <w:ind w:left="458" w:right="399"/>
              <w:rPr>
                <w:sz w:val="18"/>
              </w:rPr>
            </w:pPr>
            <w:r>
              <w:rPr>
                <w:w w:val="110"/>
                <w:sz w:val="18"/>
              </w:rPr>
              <w:t>Q1, 2020</w:t>
            </w:r>
          </w:p>
        </w:tc>
        <w:tc>
          <w:tcPr>
            <w:tcW w:w="1919" w:type="dxa"/>
            <w:tcBorders>
              <w:top w:val="single" w:sz="6" w:space="0" w:color="69BD28"/>
              <w:bottom w:val="single" w:sz="6" w:space="0" w:color="69BD28"/>
            </w:tcBorders>
          </w:tcPr>
          <w:p>
            <w:pPr>
              <w:pStyle w:val="TableParagraph"/>
              <w:spacing w:before="44"/>
              <w:ind w:left="548"/>
              <w:jc w:val="left"/>
              <w:rPr>
                <w:sz w:val="18"/>
              </w:rPr>
            </w:pPr>
            <w:r>
              <w:rPr>
                <w:w w:val="105"/>
                <w:sz w:val="18"/>
              </w:rPr>
              <w:t>5,500</w:t>
            </w:r>
          </w:p>
        </w:tc>
        <w:tc>
          <w:tcPr>
            <w:tcW w:w="2158" w:type="dxa"/>
            <w:tcBorders>
              <w:top w:val="single" w:sz="6" w:space="0" w:color="69BD28"/>
              <w:bottom w:val="single" w:sz="6" w:space="0" w:color="69BD28"/>
            </w:tcBorders>
          </w:tcPr>
          <w:p>
            <w:pPr>
              <w:pStyle w:val="TableParagraph"/>
              <w:spacing w:before="44"/>
              <w:ind w:left="744"/>
              <w:jc w:val="left"/>
              <w:rPr>
                <w:sz w:val="18"/>
              </w:rPr>
            </w:pPr>
            <w:r>
              <w:rPr>
                <w:sz w:val="18"/>
              </w:rPr>
              <w:t>Tenant 1</w:t>
            </w:r>
          </w:p>
        </w:tc>
        <w:tc>
          <w:tcPr>
            <w:tcW w:w="3773" w:type="dxa"/>
            <w:tcBorders>
              <w:top w:val="single" w:sz="6" w:space="0" w:color="69BD28"/>
              <w:bottom w:val="single" w:sz="6" w:space="0" w:color="69BD28"/>
            </w:tcBorders>
          </w:tcPr>
          <w:p>
            <w:pPr>
              <w:pStyle w:val="TableParagraph"/>
              <w:spacing w:before="44"/>
              <w:ind w:left="675" w:right="261"/>
              <w:rPr>
                <w:sz w:val="18"/>
              </w:rPr>
            </w:pPr>
            <w:r>
              <w:rPr>
                <w:w w:val="105"/>
                <w:sz w:val="18"/>
              </w:rPr>
              <w:t>45.0 - 50.0 (WS)</w:t>
            </w:r>
          </w:p>
        </w:tc>
      </w:tr>
      <w:tr>
        <w:trPr>
          <w:trHeight w:val="308" w:hRule="atLeast"/>
        </w:trPr>
        <w:tc>
          <w:tcPr>
            <w:tcW w:w="2635" w:type="dxa"/>
            <w:tcBorders>
              <w:top w:val="single" w:sz="6" w:space="0" w:color="69BD28"/>
              <w:bottom w:val="single" w:sz="6" w:space="0" w:color="69BD28"/>
            </w:tcBorders>
          </w:tcPr>
          <w:p>
            <w:pPr>
              <w:pStyle w:val="TableParagraph"/>
              <w:spacing w:before="44"/>
              <w:ind w:left="458" w:right="399"/>
              <w:rPr>
                <w:sz w:val="18"/>
              </w:rPr>
            </w:pPr>
            <w:r>
              <w:rPr>
                <w:w w:val="110"/>
                <w:sz w:val="18"/>
              </w:rPr>
              <w:t>Q1, 2020</w:t>
            </w:r>
          </w:p>
        </w:tc>
        <w:tc>
          <w:tcPr>
            <w:tcW w:w="1919" w:type="dxa"/>
            <w:tcBorders>
              <w:top w:val="single" w:sz="6" w:space="0" w:color="69BD28"/>
              <w:bottom w:val="single" w:sz="6" w:space="0" w:color="69BD28"/>
            </w:tcBorders>
          </w:tcPr>
          <w:p>
            <w:pPr>
              <w:pStyle w:val="TableParagraph"/>
              <w:spacing w:before="44"/>
              <w:ind w:left="495"/>
              <w:jc w:val="left"/>
              <w:rPr>
                <w:sz w:val="18"/>
              </w:rPr>
            </w:pPr>
            <w:r>
              <w:rPr>
                <w:w w:val="110"/>
                <w:sz w:val="18"/>
              </w:rPr>
              <w:t>25,000</w:t>
            </w:r>
          </w:p>
        </w:tc>
        <w:tc>
          <w:tcPr>
            <w:tcW w:w="2158" w:type="dxa"/>
            <w:tcBorders>
              <w:top w:val="single" w:sz="6" w:space="0" w:color="69BD28"/>
              <w:bottom w:val="single" w:sz="6" w:space="0" w:color="69BD28"/>
            </w:tcBorders>
          </w:tcPr>
          <w:p>
            <w:pPr>
              <w:pStyle w:val="TableParagraph"/>
              <w:spacing w:before="44"/>
              <w:ind w:left="744"/>
              <w:jc w:val="left"/>
              <w:rPr>
                <w:sz w:val="18"/>
              </w:rPr>
            </w:pPr>
            <w:r>
              <w:rPr>
                <w:sz w:val="18"/>
              </w:rPr>
              <w:t>Tenant 2</w:t>
            </w:r>
          </w:p>
        </w:tc>
        <w:tc>
          <w:tcPr>
            <w:tcW w:w="3773" w:type="dxa"/>
            <w:tcBorders>
              <w:top w:val="single" w:sz="6" w:space="0" w:color="69BD28"/>
              <w:bottom w:val="single" w:sz="6" w:space="0" w:color="69BD28"/>
            </w:tcBorders>
          </w:tcPr>
          <w:p>
            <w:pPr>
              <w:pStyle w:val="TableParagraph"/>
              <w:spacing w:before="44"/>
              <w:ind w:left="675" w:right="261"/>
              <w:rPr>
                <w:sz w:val="18"/>
              </w:rPr>
            </w:pPr>
            <w:r>
              <w:rPr>
                <w:w w:val="105"/>
                <w:sz w:val="18"/>
              </w:rPr>
              <w:t>45.0 - 50.0 (WS)</w:t>
            </w:r>
          </w:p>
        </w:tc>
      </w:tr>
      <w:tr>
        <w:trPr>
          <w:trHeight w:val="309" w:hRule="atLeast"/>
        </w:trPr>
        <w:tc>
          <w:tcPr>
            <w:tcW w:w="2635" w:type="dxa"/>
            <w:tcBorders>
              <w:top w:val="single" w:sz="6" w:space="0" w:color="69BD28"/>
              <w:bottom w:val="single" w:sz="6" w:space="0" w:color="69BD28"/>
            </w:tcBorders>
          </w:tcPr>
          <w:p>
            <w:pPr>
              <w:pStyle w:val="TableParagraph"/>
              <w:spacing w:before="44"/>
              <w:ind w:left="458" w:right="399"/>
              <w:rPr>
                <w:sz w:val="18"/>
              </w:rPr>
            </w:pPr>
            <w:r>
              <w:rPr>
                <w:w w:val="110"/>
                <w:sz w:val="18"/>
              </w:rPr>
              <w:t>Q4, 2019</w:t>
            </w:r>
          </w:p>
        </w:tc>
        <w:tc>
          <w:tcPr>
            <w:tcW w:w="1919" w:type="dxa"/>
            <w:tcBorders>
              <w:top w:val="single" w:sz="6" w:space="0" w:color="69BD28"/>
              <w:bottom w:val="single" w:sz="6" w:space="0" w:color="69BD28"/>
            </w:tcBorders>
          </w:tcPr>
          <w:p>
            <w:pPr>
              <w:pStyle w:val="TableParagraph"/>
              <w:spacing w:before="44"/>
              <w:ind w:left="495"/>
              <w:jc w:val="left"/>
              <w:rPr>
                <w:sz w:val="18"/>
              </w:rPr>
            </w:pPr>
            <w:r>
              <w:rPr>
                <w:w w:val="110"/>
                <w:sz w:val="18"/>
              </w:rPr>
              <w:t>25,000</w:t>
            </w:r>
          </w:p>
        </w:tc>
        <w:tc>
          <w:tcPr>
            <w:tcW w:w="2158" w:type="dxa"/>
            <w:tcBorders>
              <w:top w:val="single" w:sz="6" w:space="0" w:color="69BD28"/>
              <w:bottom w:val="single" w:sz="6" w:space="0" w:color="69BD28"/>
            </w:tcBorders>
          </w:tcPr>
          <w:p>
            <w:pPr>
              <w:pStyle w:val="TableParagraph"/>
              <w:spacing w:before="44"/>
              <w:ind w:left="744"/>
              <w:jc w:val="left"/>
              <w:rPr>
                <w:sz w:val="18"/>
              </w:rPr>
            </w:pPr>
            <w:r>
              <w:rPr>
                <w:sz w:val="18"/>
              </w:rPr>
              <w:t>Tenant 3</w:t>
            </w:r>
          </w:p>
        </w:tc>
        <w:tc>
          <w:tcPr>
            <w:tcW w:w="3773" w:type="dxa"/>
            <w:tcBorders>
              <w:top w:val="single" w:sz="6" w:space="0" w:color="69BD28"/>
              <w:bottom w:val="single" w:sz="6" w:space="0" w:color="69BD28"/>
            </w:tcBorders>
          </w:tcPr>
          <w:p>
            <w:pPr>
              <w:pStyle w:val="TableParagraph"/>
              <w:spacing w:before="44"/>
              <w:ind w:left="675" w:right="261"/>
              <w:rPr>
                <w:sz w:val="18"/>
              </w:rPr>
            </w:pPr>
            <w:r>
              <w:rPr>
                <w:w w:val="105"/>
                <w:sz w:val="18"/>
              </w:rPr>
              <w:t>45.0 - 50.0 (WS)</w:t>
            </w:r>
          </w:p>
        </w:tc>
      </w:tr>
      <w:tr>
        <w:trPr>
          <w:trHeight w:val="308" w:hRule="atLeast"/>
        </w:trPr>
        <w:tc>
          <w:tcPr>
            <w:tcW w:w="2635" w:type="dxa"/>
            <w:tcBorders>
              <w:top w:val="single" w:sz="6" w:space="0" w:color="69BD28"/>
              <w:bottom w:val="single" w:sz="6" w:space="0" w:color="69BD28"/>
            </w:tcBorders>
          </w:tcPr>
          <w:p>
            <w:pPr>
              <w:pStyle w:val="TableParagraph"/>
              <w:spacing w:before="44"/>
              <w:ind w:left="458" w:right="399"/>
              <w:rPr>
                <w:sz w:val="18"/>
              </w:rPr>
            </w:pPr>
            <w:r>
              <w:rPr>
                <w:w w:val="110"/>
                <w:sz w:val="18"/>
              </w:rPr>
              <w:t>Q4, 2019</w:t>
            </w:r>
          </w:p>
        </w:tc>
        <w:tc>
          <w:tcPr>
            <w:tcW w:w="1919" w:type="dxa"/>
            <w:tcBorders>
              <w:top w:val="single" w:sz="6" w:space="0" w:color="69BD28"/>
              <w:bottom w:val="single" w:sz="6" w:space="0" w:color="69BD28"/>
            </w:tcBorders>
          </w:tcPr>
          <w:p>
            <w:pPr>
              <w:pStyle w:val="TableParagraph"/>
              <w:spacing w:before="44"/>
              <w:ind w:left="495"/>
              <w:jc w:val="left"/>
              <w:rPr>
                <w:sz w:val="18"/>
              </w:rPr>
            </w:pPr>
            <w:r>
              <w:rPr>
                <w:w w:val="110"/>
                <w:sz w:val="18"/>
              </w:rPr>
              <w:t>30,000</w:t>
            </w:r>
          </w:p>
        </w:tc>
        <w:tc>
          <w:tcPr>
            <w:tcW w:w="2158" w:type="dxa"/>
            <w:tcBorders>
              <w:top w:val="single" w:sz="6" w:space="0" w:color="69BD28"/>
              <w:bottom w:val="single" w:sz="6" w:space="0" w:color="69BD28"/>
            </w:tcBorders>
          </w:tcPr>
          <w:p>
            <w:pPr>
              <w:pStyle w:val="TableParagraph"/>
              <w:spacing w:before="44"/>
              <w:ind w:left="744"/>
              <w:jc w:val="left"/>
              <w:rPr>
                <w:sz w:val="18"/>
              </w:rPr>
            </w:pPr>
            <w:r>
              <w:rPr>
                <w:sz w:val="18"/>
              </w:rPr>
              <w:t>Tenant 4</w:t>
            </w:r>
          </w:p>
        </w:tc>
        <w:tc>
          <w:tcPr>
            <w:tcW w:w="3773" w:type="dxa"/>
            <w:tcBorders>
              <w:top w:val="single" w:sz="6" w:space="0" w:color="69BD28"/>
              <w:bottom w:val="single" w:sz="6" w:space="0" w:color="69BD28"/>
            </w:tcBorders>
          </w:tcPr>
          <w:p>
            <w:pPr>
              <w:pStyle w:val="TableParagraph"/>
              <w:spacing w:before="44"/>
              <w:ind w:left="675" w:right="261"/>
              <w:rPr>
                <w:sz w:val="18"/>
              </w:rPr>
            </w:pPr>
            <w:r>
              <w:rPr>
                <w:w w:val="105"/>
                <w:sz w:val="18"/>
              </w:rPr>
              <w:t>40.0 </w:t>
            </w:r>
            <w:r>
              <w:rPr>
                <w:w w:val="110"/>
                <w:sz w:val="18"/>
              </w:rPr>
              <w:t>– </w:t>
            </w:r>
            <w:r>
              <w:rPr>
                <w:w w:val="105"/>
                <w:sz w:val="18"/>
              </w:rPr>
              <w:t>45.0 (WS)</w:t>
            </w:r>
          </w:p>
        </w:tc>
      </w:tr>
      <w:tr>
        <w:trPr>
          <w:trHeight w:val="309" w:hRule="atLeast"/>
        </w:trPr>
        <w:tc>
          <w:tcPr>
            <w:tcW w:w="2635" w:type="dxa"/>
            <w:tcBorders>
              <w:top w:val="single" w:sz="6" w:space="0" w:color="69BD28"/>
              <w:bottom w:val="single" w:sz="6" w:space="0" w:color="69BD28"/>
            </w:tcBorders>
          </w:tcPr>
          <w:p>
            <w:pPr>
              <w:pStyle w:val="TableParagraph"/>
              <w:spacing w:before="44"/>
              <w:ind w:left="458" w:right="399"/>
              <w:rPr>
                <w:sz w:val="18"/>
              </w:rPr>
            </w:pPr>
            <w:r>
              <w:rPr>
                <w:w w:val="110"/>
                <w:sz w:val="18"/>
              </w:rPr>
              <w:t>Q4, 2019</w:t>
            </w:r>
          </w:p>
        </w:tc>
        <w:tc>
          <w:tcPr>
            <w:tcW w:w="1919" w:type="dxa"/>
            <w:tcBorders>
              <w:top w:val="single" w:sz="6" w:space="0" w:color="69BD28"/>
              <w:bottom w:val="single" w:sz="6" w:space="0" w:color="69BD28"/>
            </w:tcBorders>
          </w:tcPr>
          <w:p>
            <w:pPr>
              <w:pStyle w:val="TableParagraph"/>
              <w:spacing w:before="44"/>
              <w:ind w:left="495"/>
              <w:jc w:val="left"/>
              <w:rPr>
                <w:sz w:val="18"/>
              </w:rPr>
            </w:pPr>
            <w:r>
              <w:rPr>
                <w:w w:val="110"/>
                <w:sz w:val="18"/>
              </w:rPr>
              <w:t>10,000</w:t>
            </w:r>
          </w:p>
        </w:tc>
        <w:tc>
          <w:tcPr>
            <w:tcW w:w="2158" w:type="dxa"/>
            <w:tcBorders>
              <w:top w:val="single" w:sz="6" w:space="0" w:color="69BD28"/>
              <w:bottom w:val="single" w:sz="6" w:space="0" w:color="69BD28"/>
            </w:tcBorders>
          </w:tcPr>
          <w:p>
            <w:pPr>
              <w:pStyle w:val="TableParagraph"/>
              <w:spacing w:before="44"/>
              <w:ind w:left="744"/>
              <w:jc w:val="left"/>
              <w:rPr>
                <w:sz w:val="18"/>
              </w:rPr>
            </w:pPr>
            <w:r>
              <w:rPr>
                <w:sz w:val="18"/>
              </w:rPr>
              <w:t>Tenant 5</w:t>
            </w:r>
          </w:p>
        </w:tc>
        <w:tc>
          <w:tcPr>
            <w:tcW w:w="3773" w:type="dxa"/>
            <w:tcBorders>
              <w:top w:val="single" w:sz="6" w:space="0" w:color="69BD28"/>
              <w:bottom w:val="single" w:sz="6" w:space="0" w:color="69BD28"/>
            </w:tcBorders>
          </w:tcPr>
          <w:p>
            <w:pPr>
              <w:pStyle w:val="TableParagraph"/>
              <w:spacing w:before="44"/>
              <w:ind w:left="675" w:right="261"/>
              <w:rPr>
                <w:sz w:val="18"/>
              </w:rPr>
            </w:pPr>
            <w:r>
              <w:rPr>
                <w:w w:val="105"/>
                <w:sz w:val="18"/>
              </w:rPr>
              <w:t>65.0 - 70.0 (FF)</w:t>
            </w:r>
          </w:p>
        </w:tc>
      </w:tr>
      <w:tr>
        <w:trPr>
          <w:trHeight w:val="309" w:hRule="atLeast"/>
        </w:trPr>
        <w:tc>
          <w:tcPr>
            <w:tcW w:w="2635" w:type="dxa"/>
            <w:tcBorders>
              <w:top w:val="single" w:sz="6" w:space="0" w:color="69BD28"/>
              <w:bottom w:val="single" w:sz="6" w:space="0" w:color="69BD28"/>
            </w:tcBorders>
          </w:tcPr>
          <w:p>
            <w:pPr>
              <w:pStyle w:val="TableParagraph"/>
              <w:spacing w:before="45"/>
              <w:ind w:left="458" w:right="399"/>
              <w:rPr>
                <w:sz w:val="18"/>
              </w:rPr>
            </w:pPr>
            <w:r>
              <w:rPr>
                <w:w w:val="110"/>
                <w:sz w:val="18"/>
              </w:rPr>
              <w:t>Q4, 2019</w:t>
            </w:r>
          </w:p>
        </w:tc>
        <w:tc>
          <w:tcPr>
            <w:tcW w:w="1919" w:type="dxa"/>
            <w:tcBorders>
              <w:top w:val="single" w:sz="6" w:space="0" w:color="69BD28"/>
              <w:bottom w:val="single" w:sz="6" w:space="0" w:color="69BD28"/>
            </w:tcBorders>
          </w:tcPr>
          <w:p>
            <w:pPr>
              <w:pStyle w:val="TableParagraph"/>
              <w:spacing w:before="45"/>
              <w:ind w:left="495"/>
              <w:jc w:val="left"/>
              <w:rPr>
                <w:sz w:val="18"/>
              </w:rPr>
            </w:pPr>
            <w:r>
              <w:rPr>
                <w:w w:val="110"/>
                <w:sz w:val="18"/>
              </w:rPr>
              <w:t>12,000</w:t>
            </w:r>
          </w:p>
        </w:tc>
        <w:tc>
          <w:tcPr>
            <w:tcW w:w="2158" w:type="dxa"/>
            <w:tcBorders>
              <w:top w:val="single" w:sz="6" w:space="0" w:color="69BD28"/>
              <w:bottom w:val="single" w:sz="6" w:space="0" w:color="69BD28"/>
            </w:tcBorders>
          </w:tcPr>
          <w:p>
            <w:pPr>
              <w:pStyle w:val="TableParagraph"/>
              <w:spacing w:before="45"/>
              <w:ind w:left="744"/>
              <w:jc w:val="left"/>
              <w:rPr>
                <w:sz w:val="18"/>
              </w:rPr>
            </w:pPr>
            <w:r>
              <w:rPr>
                <w:sz w:val="18"/>
              </w:rPr>
              <w:t>Tenant 6</w:t>
            </w:r>
          </w:p>
        </w:tc>
        <w:tc>
          <w:tcPr>
            <w:tcW w:w="3773" w:type="dxa"/>
            <w:tcBorders>
              <w:top w:val="single" w:sz="6" w:space="0" w:color="69BD28"/>
              <w:bottom w:val="single" w:sz="6" w:space="0" w:color="69BD28"/>
            </w:tcBorders>
          </w:tcPr>
          <w:p>
            <w:pPr>
              <w:pStyle w:val="TableParagraph"/>
              <w:spacing w:before="45"/>
              <w:ind w:left="675" w:right="261"/>
              <w:rPr>
                <w:sz w:val="18"/>
              </w:rPr>
            </w:pPr>
            <w:r>
              <w:rPr>
                <w:w w:val="105"/>
                <w:sz w:val="18"/>
              </w:rPr>
              <w:t>63.0 - 67.0 (FF)</w:t>
            </w:r>
          </w:p>
        </w:tc>
      </w:tr>
      <w:tr>
        <w:trPr>
          <w:trHeight w:val="308" w:hRule="atLeast"/>
        </w:trPr>
        <w:tc>
          <w:tcPr>
            <w:tcW w:w="2635" w:type="dxa"/>
            <w:tcBorders>
              <w:top w:val="single" w:sz="6" w:space="0" w:color="69BD28"/>
              <w:bottom w:val="single" w:sz="6" w:space="0" w:color="69BD28"/>
            </w:tcBorders>
          </w:tcPr>
          <w:p>
            <w:pPr>
              <w:pStyle w:val="TableParagraph"/>
              <w:spacing w:before="44"/>
              <w:ind w:left="458" w:right="399"/>
              <w:rPr>
                <w:sz w:val="18"/>
              </w:rPr>
            </w:pPr>
            <w:r>
              <w:rPr>
                <w:w w:val="110"/>
                <w:sz w:val="18"/>
              </w:rPr>
              <w:t>Q3, 2019</w:t>
            </w:r>
          </w:p>
        </w:tc>
        <w:tc>
          <w:tcPr>
            <w:tcW w:w="1919" w:type="dxa"/>
            <w:tcBorders>
              <w:top w:val="single" w:sz="6" w:space="0" w:color="69BD28"/>
              <w:bottom w:val="single" w:sz="6" w:space="0" w:color="69BD28"/>
            </w:tcBorders>
          </w:tcPr>
          <w:p>
            <w:pPr>
              <w:pStyle w:val="TableParagraph"/>
              <w:spacing w:before="44"/>
              <w:ind w:left="495"/>
              <w:jc w:val="left"/>
              <w:rPr>
                <w:sz w:val="18"/>
              </w:rPr>
            </w:pPr>
            <w:r>
              <w:rPr>
                <w:w w:val="110"/>
                <w:sz w:val="18"/>
              </w:rPr>
              <w:t>13,000</w:t>
            </w:r>
          </w:p>
        </w:tc>
        <w:tc>
          <w:tcPr>
            <w:tcW w:w="2158" w:type="dxa"/>
            <w:tcBorders>
              <w:top w:val="single" w:sz="6" w:space="0" w:color="69BD28"/>
              <w:bottom w:val="single" w:sz="6" w:space="0" w:color="69BD28"/>
            </w:tcBorders>
          </w:tcPr>
          <w:p>
            <w:pPr>
              <w:pStyle w:val="TableParagraph"/>
              <w:spacing w:before="44"/>
              <w:ind w:left="744"/>
              <w:jc w:val="left"/>
              <w:rPr>
                <w:sz w:val="18"/>
              </w:rPr>
            </w:pPr>
            <w:r>
              <w:rPr>
                <w:sz w:val="18"/>
              </w:rPr>
              <w:t>Tenant 7</w:t>
            </w:r>
          </w:p>
        </w:tc>
        <w:tc>
          <w:tcPr>
            <w:tcW w:w="3773" w:type="dxa"/>
            <w:tcBorders>
              <w:top w:val="single" w:sz="6" w:space="0" w:color="69BD28"/>
              <w:bottom w:val="single" w:sz="6" w:space="0" w:color="69BD28"/>
            </w:tcBorders>
          </w:tcPr>
          <w:p>
            <w:pPr>
              <w:pStyle w:val="TableParagraph"/>
              <w:spacing w:before="44"/>
              <w:ind w:left="675" w:right="261"/>
              <w:rPr>
                <w:sz w:val="18"/>
              </w:rPr>
            </w:pPr>
            <w:r>
              <w:rPr>
                <w:w w:val="105"/>
                <w:sz w:val="18"/>
              </w:rPr>
              <w:t>45.0 - 50.0 (WS)</w:t>
            </w:r>
          </w:p>
        </w:tc>
      </w:tr>
      <w:tr>
        <w:trPr>
          <w:trHeight w:val="309" w:hRule="atLeast"/>
        </w:trPr>
        <w:tc>
          <w:tcPr>
            <w:tcW w:w="2635" w:type="dxa"/>
            <w:tcBorders>
              <w:top w:val="single" w:sz="6" w:space="0" w:color="69BD28"/>
              <w:bottom w:val="single" w:sz="6" w:space="0" w:color="69BD28"/>
            </w:tcBorders>
          </w:tcPr>
          <w:p>
            <w:pPr>
              <w:pStyle w:val="TableParagraph"/>
              <w:spacing w:before="44"/>
              <w:ind w:left="458" w:right="399"/>
              <w:rPr>
                <w:sz w:val="18"/>
              </w:rPr>
            </w:pPr>
            <w:r>
              <w:rPr>
                <w:w w:val="110"/>
                <w:sz w:val="18"/>
              </w:rPr>
              <w:t>Q2, 2019</w:t>
            </w:r>
          </w:p>
        </w:tc>
        <w:tc>
          <w:tcPr>
            <w:tcW w:w="1919" w:type="dxa"/>
            <w:tcBorders>
              <w:top w:val="single" w:sz="6" w:space="0" w:color="69BD28"/>
              <w:bottom w:val="single" w:sz="6" w:space="0" w:color="69BD28"/>
            </w:tcBorders>
          </w:tcPr>
          <w:p>
            <w:pPr>
              <w:pStyle w:val="TableParagraph"/>
              <w:spacing w:before="44"/>
              <w:ind w:left="495"/>
              <w:jc w:val="left"/>
              <w:rPr>
                <w:sz w:val="18"/>
              </w:rPr>
            </w:pPr>
            <w:r>
              <w:rPr>
                <w:w w:val="110"/>
                <w:sz w:val="18"/>
              </w:rPr>
              <w:t>18,000</w:t>
            </w:r>
          </w:p>
        </w:tc>
        <w:tc>
          <w:tcPr>
            <w:tcW w:w="2158" w:type="dxa"/>
            <w:tcBorders>
              <w:top w:val="single" w:sz="6" w:space="0" w:color="69BD28"/>
              <w:bottom w:val="single" w:sz="6" w:space="0" w:color="69BD28"/>
            </w:tcBorders>
          </w:tcPr>
          <w:p>
            <w:pPr>
              <w:pStyle w:val="TableParagraph"/>
              <w:spacing w:before="44"/>
              <w:ind w:left="744"/>
              <w:jc w:val="left"/>
              <w:rPr>
                <w:sz w:val="18"/>
              </w:rPr>
            </w:pPr>
            <w:r>
              <w:rPr>
                <w:sz w:val="18"/>
              </w:rPr>
              <w:t>Tenant 8</w:t>
            </w:r>
          </w:p>
        </w:tc>
        <w:tc>
          <w:tcPr>
            <w:tcW w:w="3773" w:type="dxa"/>
            <w:tcBorders>
              <w:top w:val="single" w:sz="6" w:space="0" w:color="69BD28"/>
              <w:bottom w:val="single" w:sz="6" w:space="0" w:color="69BD28"/>
            </w:tcBorders>
          </w:tcPr>
          <w:p>
            <w:pPr>
              <w:pStyle w:val="TableParagraph"/>
              <w:spacing w:before="44"/>
              <w:ind w:left="675" w:right="261"/>
              <w:rPr>
                <w:sz w:val="18"/>
              </w:rPr>
            </w:pPr>
            <w:r>
              <w:rPr>
                <w:w w:val="105"/>
                <w:sz w:val="18"/>
              </w:rPr>
              <w:t>43.0 - 47.0 (WS)</w:t>
            </w:r>
          </w:p>
        </w:tc>
      </w:tr>
      <w:tr>
        <w:trPr>
          <w:trHeight w:val="309" w:hRule="atLeast"/>
        </w:trPr>
        <w:tc>
          <w:tcPr>
            <w:tcW w:w="2635" w:type="dxa"/>
            <w:tcBorders>
              <w:top w:val="single" w:sz="6" w:space="0" w:color="69BD28"/>
              <w:bottom w:val="single" w:sz="6" w:space="0" w:color="69BD28"/>
            </w:tcBorders>
          </w:tcPr>
          <w:p>
            <w:pPr>
              <w:pStyle w:val="TableParagraph"/>
              <w:spacing w:before="44"/>
              <w:ind w:left="458" w:right="399"/>
              <w:rPr>
                <w:sz w:val="18"/>
              </w:rPr>
            </w:pPr>
            <w:r>
              <w:rPr>
                <w:w w:val="110"/>
                <w:sz w:val="18"/>
              </w:rPr>
              <w:t>Q2, 2019</w:t>
            </w:r>
          </w:p>
        </w:tc>
        <w:tc>
          <w:tcPr>
            <w:tcW w:w="1919" w:type="dxa"/>
            <w:tcBorders>
              <w:top w:val="single" w:sz="6" w:space="0" w:color="69BD28"/>
              <w:bottom w:val="single" w:sz="6" w:space="0" w:color="69BD28"/>
            </w:tcBorders>
          </w:tcPr>
          <w:p>
            <w:pPr>
              <w:pStyle w:val="TableParagraph"/>
              <w:spacing w:before="44"/>
              <w:ind w:left="495"/>
              <w:jc w:val="left"/>
              <w:rPr>
                <w:sz w:val="18"/>
              </w:rPr>
            </w:pPr>
            <w:r>
              <w:rPr>
                <w:w w:val="110"/>
                <w:sz w:val="18"/>
              </w:rPr>
              <w:t>30,000</w:t>
            </w:r>
          </w:p>
        </w:tc>
        <w:tc>
          <w:tcPr>
            <w:tcW w:w="2158" w:type="dxa"/>
            <w:tcBorders>
              <w:top w:val="single" w:sz="6" w:space="0" w:color="69BD28"/>
              <w:bottom w:val="single" w:sz="6" w:space="0" w:color="69BD28"/>
            </w:tcBorders>
          </w:tcPr>
          <w:p>
            <w:pPr>
              <w:pStyle w:val="TableParagraph"/>
              <w:spacing w:before="44"/>
              <w:ind w:left="744"/>
              <w:jc w:val="left"/>
              <w:rPr>
                <w:sz w:val="18"/>
              </w:rPr>
            </w:pPr>
            <w:r>
              <w:rPr>
                <w:sz w:val="18"/>
              </w:rPr>
              <w:t>Tenant 9</w:t>
            </w:r>
          </w:p>
        </w:tc>
        <w:tc>
          <w:tcPr>
            <w:tcW w:w="3773" w:type="dxa"/>
            <w:tcBorders>
              <w:top w:val="single" w:sz="6" w:space="0" w:color="69BD28"/>
              <w:bottom w:val="single" w:sz="6" w:space="0" w:color="69BD28"/>
            </w:tcBorders>
          </w:tcPr>
          <w:p>
            <w:pPr>
              <w:pStyle w:val="TableParagraph"/>
              <w:spacing w:before="44"/>
              <w:ind w:left="675" w:right="261"/>
              <w:rPr>
                <w:sz w:val="18"/>
              </w:rPr>
            </w:pPr>
            <w:r>
              <w:rPr>
                <w:w w:val="105"/>
                <w:sz w:val="18"/>
              </w:rPr>
              <w:t>40.0 - 45.0 (WS)</w:t>
            </w:r>
          </w:p>
        </w:tc>
      </w:tr>
    </w:tbl>
    <w:p>
      <w:pPr>
        <w:spacing w:line="321" w:lineRule="auto" w:before="116"/>
        <w:ind w:left="120" w:right="0" w:firstLine="0"/>
        <w:jc w:val="left"/>
        <w:rPr>
          <w:i/>
          <w:sz w:val="18"/>
        </w:rPr>
      </w:pPr>
      <w:r>
        <w:rPr>
          <w:i/>
          <w:sz w:val="18"/>
        </w:rPr>
        <w:t>Source:</w:t>
      </w:r>
      <w:r>
        <w:rPr>
          <w:i/>
          <w:spacing w:val="-30"/>
          <w:sz w:val="18"/>
        </w:rPr>
        <w:t> </w:t>
      </w:r>
      <w:r>
        <w:rPr>
          <w:i/>
          <w:sz w:val="18"/>
        </w:rPr>
        <w:t>CBRE</w:t>
      </w:r>
      <w:r>
        <w:rPr>
          <w:i/>
          <w:spacing w:val="-30"/>
          <w:sz w:val="18"/>
        </w:rPr>
        <w:t> </w:t>
      </w:r>
      <w:r>
        <w:rPr>
          <w:i/>
          <w:sz w:val="18"/>
        </w:rPr>
        <w:t>Research*</w:t>
      </w:r>
      <w:r>
        <w:rPr>
          <w:i/>
          <w:spacing w:val="-31"/>
          <w:sz w:val="18"/>
        </w:rPr>
        <w:t> </w:t>
      </w:r>
      <w:r>
        <w:rPr>
          <w:i/>
          <w:sz w:val="18"/>
        </w:rPr>
        <w:t>Rents</w:t>
      </w:r>
      <w:r>
        <w:rPr>
          <w:i/>
          <w:spacing w:val="-30"/>
          <w:sz w:val="18"/>
        </w:rPr>
        <w:t> </w:t>
      </w:r>
      <w:r>
        <w:rPr>
          <w:i/>
          <w:sz w:val="18"/>
        </w:rPr>
        <w:t>are</w:t>
      </w:r>
      <w:r>
        <w:rPr>
          <w:i/>
          <w:spacing w:val="-30"/>
          <w:sz w:val="18"/>
        </w:rPr>
        <w:t> </w:t>
      </w:r>
      <w:r>
        <w:rPr>
          <w:i/>
          <w:sz w:val="18"/>
        </w:rPr>
        <w:t>gross</w:t>
      </w:r>
      <w:r>
        <w:rPr>
          <w:i/>
          <w:spacing w:val="-31"/>
          <w:sz w:val="18"/>
        </w:rPr>
        <w:t> </w:t>
      </w:r>
      <w:r>
        <w:rPr>
          <w:i/>
          <w:sz w:val="18"/>
        </w:rPr>
        <w:t>rents</w:t>
      </w:r>
      <w:r>
        <w:rPr>
          <w:i/>
          <w:spacing w:val="-30"/>
          <w:sz w:val="18"/>
        </w:rPr>
        <w:t> </w:t>
      </w:r>
      <w:r>
        <w:rPr>
          <w:i/>
          <w:sz w:val="18"/>
        </w:rPr>
        <w:t>(viz.</w:t>
      </w:r>
      <w:r>
        <w:rPr>
          <w:i/>
          <w:spacing w:val="-29"/>
          <w:sz w:val="18"/>
        </w:rPr>
        <w:t> </w:t>
      </w:r>
      <w:r>
        <w:rPr>
          <w:i/>
          <w:sz w:val="18"/>
        </w:rPr>
        <w:t>exclusive</w:t>
      </w:r>
      <w:r>
        <w:rPr>
          <w:i/>
          <w:spacing w:val="-30"/>
          <w:sz w:val="18"/>
        </w:rPr>
        <w:t> </w:t>
      </w:r>
      <w:r>
        <w:rPr>
          <w:i/>
          <w:sz w:val="18"/>
        </w:rPr>
        <w:t>of</w:t>
      </w:r>
      <w:r>
        <w:rPr>
          <w:i/>
          <w:spacing w:val="-32"/>
          <w:sz w:val="18"/>
        </w:rPr>
        <w:t> </w:t>
      </w:r>
      <w:r>
        <w:rPr>
          <w:i/>
          <w:sz w:val="18"/>
        </w:rPr>
        <w:t>property</w:t>
      </w:r>
      <w:r>
        <w:rPr>
          <w:i/>
          <w:spacing w:val="-30"/>
          <w:sz w:val="18"/>
        </w:rPr>
        <w:t> </w:t>
      </w:r>
      <w:r>
        <w:rPr>
          <w:i/>
          <w:sz w:val="18"/>
        </w:rPr>
        <w:t>tax</w:t>
      </w:r>
      <w:r>
        <w:rPr>
          <w:i/>
          <w:spacing w:val="-31"/>
          <w:sz w:val="18"/>
        </w:rPr>
        <w:t> </w:t>
      </w:r>
      <w:r>
        <w:rPr>
          <w:i/>
          <w:sz w:val="18"/>
        </w:rPr>
        <w:t>&amp;</w:t>
      </w:r>
      <w:r>
        <w:rPr>
          <w:i/>
          <w:spacing w:val="-30"/>
          <w:sz w:val="18"/>
        </w:rPr>
        <w:t> </w:t>
      </w:r>
      <w:r>
        <w:rPr>
          <w:i/>
          <w:sz w:val="18"/>
        </w:rPr>
        <w:t>insurance)</w:t>
      </w:r>
      <w:r>
        <w:rPr>
          <w:i/>
          <w:spacing w:val="-31"/>
          <w:sz w:val="18"/>
        </w:rPr>
        <w:t> </w:t>
      </w:r>
      <w:r>
        <w:rPr>
          <w:i/>
          <w:sz w:val="18"/>
        </w:rPr>
        <w:t>on</w:t>
      </w:r>
      <w:r>
        <w:rPr>
          <w:i/>
          <w:spacing w:val="-30"/>
          <w:sz w:val="18"/>
        </w:rPr>
        <w:t> </w:t>
      </w:r>
      <w:r>
        <w:rPr>
          <w:i/>
          <w:sz w:val="18"/>
        </w:rPr>
        <w:t>leasable</w:t>
      </w:r>
      <w:r>
        <w:rPr>
          <w:i/>
          <w:spacing w:val="-31"/>
          <w:sz w:val="18"/>
        </w:rPr>
        <w:t> </w:t>
      </w:r>
      <w:r>
        <w:rPr>
          <w:i/>
          <w:sz w:val="18"/>
        </w:rPr>
        <w:t>area</w:t>
      </w:r>
      <w:r>
        <w:rPr>
          <w:i/>
          <w:spacing w:val="-31"/>
          <w:sz w:val="18"/>
        </w:rPr>
        <w:t> </w:t>
      </w:r>
      <w:r>
        <w:rPr>
          <w:i/>
          <w:sz w:val="18"/>
        </w:rPr>
        <w:t>basis;</w:t>
      </w:r>
      <w:r>
        <w:rPr>
          <w:i/>
          <w:spacing w:val="-25"/>
          <w:sz w:val="18"/>
        </w:rPr>
        <w:t> </w:t>
      </w:r>
      <w:r>
        <w:rPr>
          <w:i/>
          <w:sz w:val="18"/>
        </w:rPr>
        <w:t>Note:</w:t>
      </w:r>
      <w:r>
        <w:rPr>
          <w:i/>
          <w:spacing w:val="-32"/>
          <w:sz w:val="18"/>
        </w:rPr>
        <w:t> </w:t>
      </w:r>
      <w:r>
        <w:rPr>
          <w:i/>
          <w:sz w:val="18"/>
        </w:rPr>
        <w:t>WS</w:t>
      </w:r>
      <w:r>
        <w:rPr>
          <w:i/>
          <w:spacing w:val="-31"/>
          <w:sz w:val="18"/>
        </w:rPr>
        <w:t> </w:t>
      </w:r>
      <w:r>
        <w:rPr>
          <w:i/>
          <w:w w:val="105"/>
          <w:sz w:val="18"/>
        </w:rPr>
        <w:t>–</w:t>
      </w:r>
      <w:r>
        <w:rPr>
          <w:i/>
          <w:spacing w:val="-34"/>
          <w:w w:val="105"/>
          <w:sz w:val="18"/>
        </w:rPr>
        <w:t> </w:t>
      </w:r>
      <w:r>
        <w:rPr>
          <w:i/>
          <w:sz w:val="18"/>
        </w:rPr>
        <w:t>Warm</w:t>
      </w:r>
      <w:r>
        <w:rPr>
          <w:i/>
          <w:spacing w:val="-30"/>
          <w:sz w:val="18"/>
        </w:rPr>
        <w:t> </w:t>
      </w:r>
      <w:r>
        <w:rPr>
          <w:i/>
          <w:sz w:val="18"/>
        </w:rPr>
        <w:t>shell; </w:t>
      </w:r>
      <w:r>
        <w:rPr>
          <w:i/>
          <w:sz w:val="18"/>
        </w:rPr>
        <w:t>FF </w:t>
      </w:r>
      <w:r>
        <w:rPr>
          <w:i/>
          <w:w w:val="105"/>
          <w:sz w:val="18"/>
        </w:rPr>
        <w:t>– </w:t>
      </w:r>
      <w:r>
        <w:rPr>
          <w:i/>
          <w:sz w:val="18"/>
        </w:rPr>
        <w:t>Fully</w:t>
      </w:r>
      <w:r>
        <w:rPr>
          <w:i/>
          <w:spacing w:val="-11"/>
          <w:sz w:val="18"/>
        </w:rPr>
        <w:t> </w:t>
      </w:r>
      <w:r>
        <w:rPr>
          <w:i/>
          <w:sz w:val="18"/>
        </w:rPr>
        <w:t>Fitted-out</w:t>
      </w:r>
    </w:p>
    <w:p>
      <w:pPr>
        <w:pStyle w:val="BodyText"/>
        <w:spacing w:before="10"/>
        <w:rPr>
          <w:i/>
          <w:sz w:val="20"/>
        </w:rPr>
      </w:pPr>
    </w:p>
    <w:p>
      <w:pPr>
        <w:pStyle w:val="BodyText"/>
        <w:spacing w:line="321" w:lineRule="auto"/>
        <w:ind w:left="682" w:right="113"/>
        <w:jc w:val="both"/>
      </w:pPr>
      <w:r>
        <w:rPr/>
        <w:t>The</w:t>
      </w:r>
      <w:r>
        <w:rPr>
          <w:spacing w:val="-37"/>
        </w:rPr>
        <w:t> </w:t>
      </w:r>
      <w:r>
        <w:rPr/>
        <w:t>rentals</w:t>
      </w:r>
      <w:r>
        <w:rPr>
          <w:spacing w:val="-36"/>
        </w:rPr>
        <w:t> </w:t>
      </w:r>
      <w:r>
        <w:rPr/>
        <w:t>in</w:t>
      </w:r>
      <w:r>
        <w:rPr>
          <w:spacing w:val="-36"/>
        </w:rPr>
        <w:t> </w:t>
      </w:r>
      <w:r>
        <w:rPr/>
        <w:t>the</w:t>
      </w:r>
      <w:r>
        <w:rPr>
          <w:spacing w:val="-36"/>
        </w:rPr>
        <w:t> </w:t>
      </w:r>
      <w:r>
        <w:rPr/>
        <w:t>subject</w:t>
      </w:r>
      <w:r>
        <w:rPr>
          <w:spacing w:val="-37"/>
        </w:rPr>
        <w:t> </w:t>
      </w:r>
      <w:r>
        <w:rPr/>
        <w:t>vector</w:t>
      </w:r>
      <w:r>
        <w:rPr>
          <w:spacing w:val="-36"/>
        </w:rPr>
        <w:t> </w:t>
      </w:r>
      <w:r>
        <w:rPr/>
        <w:t>for</w:t>
      </w:r>
      <w:r>
        <w:rPr>
          <w:spacing w:val="-36"/>
        </w:rPr>
        <w:t> </w:t>
      </w:r>
      <w:r>
        <w:rPr/>
        <w:t>IT/ITeS</w:t>
      </w:r>
      <w:r>
        <w:rPr>
          <w:spacing w:val="-36"/>
        </w:rPr>
        <w:t> </w:t>
      </w:r>
      <w:r>
        <w:rPr/>
        <w:t>developments</w:t>
      </w:r>
      <w:r>
        <w:rPr>
          <w:spacing w:val="-35"/>
        </w:rPr>
        <w:t> </w:t>
      </w:r>
      <w:r>
        <w:rPr/>
        <w:t>have</w:t>
      </w:r>
      <w:r>
        <w:rPr>
          <w:spacing w:val="-36"/>
        </w:rPr>
        <w:t> </w:t>
      </w:r>
      <w:r>
        <w:rPr/>
        <w:t>witnessed</w:t>
      </w:r>
      <w:r>
        <w:rPr>
          <w:spacing w:val="-37"/>
        </w:rPr>
        <w:t> </w:t>
      </w:r>
      <w:r>
        <w:rPr/>
        <w:t>steady</w:t>
      </w:r>
      <w:r>
        <w:rPr>
          <w:spacing w:val="-37"/>
        </w:rPr>
        <w:t> </w:t>
      </w:r>
      <w:r>
        <w:rPr/>
        <w:t>growth</w:t>
      </w:r>
      <w:r>
        <w:rPr>
          <w:spacing w:val="-35"/>
        </w:rPr>
        <w:t> </w:t>
      </w:r>
      <w:r>
        <w:rPr/>
        <w:t>over</w:t>
      </w:r>
      <w:r>
        <w:rPr>
          <w:spacing w:val="-36"/>
        </w:rPr>
        <w:t> </w:t>
      </w:r>
      <w:r>
        <w:rPr/>
        <w:t>the</w:t>
      </w:r>
      <w:r>
        <w:rPr>
          <w:spacing w:val="-34"/>
        </w:rPr>
        <w:t> </w:t>
      </w:r>
      <w:r>
        <w:rPr/>
        <w:t>last</w:t>
      </w:r>
      <w:r>
        <w:rPr>
          <w:spacing w:val="-37"/>
        </w:rPr>
        <w:t> </w:t>
      </w:r>
      <w:r>
        <w:rPr/>
        <w:t>4</w:t>
      </w:r>
      <w:r>
        <w:rPr>
          <w:spacing w:val="-36"/>
        </w:rPr>
        <w:t> </w:t>
      </w:r>
      <w:r>
        <w:rPr>
          <w:w w:val="105"/>
        </w:rPr>
        <w:t>– </w:t>
      </w:r>
      <w:r>
        <w:rPr/>
        <w:t>5 years owing to sustained occupier demand and limited availability of ready to occupy Grade-A developments.</w:t>
      </w:r>
      <w:r>
        <w:rPr>
          <w:spacing w:val="-37"/>
        </w:rPr>
        <w:t> </w:t>
      </w:r>
      <w:r>
        <w:rPr/>
        <w:t>Further,</w:t>
      </w:r>
      <w:r>
        <w:rPr>
          <w:spacing w:val="-35"/>
        </w:rPr>
        <w:t> </w:t>
      </w:r>
      <w:r>
        <w:rPr/>
        <w:t>the</w:t>
      </w:r>
      <w:r>
        <w:rPr>
          <w:spacing w:val="-36"/>
        </w:rPr>
        <w:t> </w:t>
      </w:r>
      <w:r>
        <w:rPr/>
        <w:t>completion</w:t>
      </w:r>
      <w:r>
        <w:rPr>
          <w:spacing w:val="-36"/>
        </w:rPr>
        <w:t> </w:t>
      </w:r>
      <w:r>
        <w:rPr/>
        <w:t>of</w:t>
      </w:r>
      <w:r>
        <w:rPr>
          <w:spacing w:val="-35"/>
        </w:rPr>
        <w:t> </w:t>
      </w:r>
      <w:r>
        <w:rPr/>
        <w:t>various</w:t>
      </w:r>
      <w:r>
        <w:rPr>
          <w:spacing w:val="-35"/>
        </w:rPr>
        <w:t> </w:t>
      </w:r>
      <w:r>
        <w:rPr/>
        <w:t>infrastructure</w:t>
      </w:r>
      <w:r>
        <w:rPr>
          <w:spacing w:val="-36"/>
        </w:rPr>
        <w:t> </w:t>
      </w:r>
      <w:r>
        <w:rPr/>
        <w:t>initiatives</w:t>
      </w:r>
      <w:r>
        <w:rPr>
          <w:spacing w:val="-35"/>
        </w:rPr>
        <w:t> </w:t>
      </w:r>
      <w:r>
        <w:rPr/>
        <w:t>(such</w:t>
      </w:r>
      <w:r>
        <w:rPr>
          <w:spacing w:val="-35"/>
        </w:rPr>
        <w:t> </w:t>
      </w:r>
      <w:r>
        <w:rPr/>
        <w:t>as</w:t>
      </w:r>
      <w:r>
        <w:rPr>
          <w:spacing w:val="-36"/>
        </w:rPr>
        <w:t> </w:t>
      </w:r>
      <w:r>
        <w:rPr/>
        <w:t>metro</w:t>
      </w:r>
      <w:r>
        <w:rPr>
          <w:spacing w:val="-35"/>
        </w:rPr>
        <w:t> </w:t>
      </w:r>
      <w:r>
        <w:rPr/>
        <w:t>connectivity, widening</w:t>
      </w:r>
      <w:r>
        <w:rPr>
          <w:spacing w:val="-31"/>
        </w:rPr>
        <w:t> </w:t>
      </w:r>
      <w:r>
        <w:rPr/>
        <w:t>of</w:t>
      </w:r>
      <w:r>
        <w:rPr>
          <w:spacing w:val="-28"/>
        </w:rPr>
        <w:t> </w:t>
      </w:r>
      <w:r>
        <w:rPr/>
        <w:t>NH</w:t>
      </w:r>
      <w:r>
        <w:rPr>
          <w:spacing w:val="-32"/>
        </w:rPr>
        <w:t> </w:t>
      </w:r>
      <w:r>
        <w:rPr/>
        <w:t>24,</w:t>
      </w:r>
      <w:r>
        <w:rPr>
          <w:spacing w:val="-29"/>
        </w:rPr>
        <w:t> </w:t>
      </w:r>
      <w:r>
        <w:rPr/>
        <w:t>etc.)</w:t>
      </w:r>
      <w:r>
        <w:rPr>
          <w:spacing w:val="-31"/>
        </w:rPr>
        <w:t> </w:t>
      </w:r>
      <w:r>
        <w:rPr/>
        <w:t>is</w:t>
      </w:r>
      <w:r>
        <w:rPr>
          <w:spacing w:val="-29"/>
        </w:rPr>
        <w:t> </w:t>
      </w:r>
      <w:r>
        <w:rPr/>
        <w:t>expected</w:t>
      </w:r>
      <w:r>
        <w:rPr>
          <w:spacing w:val="-31"/>
        </w:rPr>
        <w:t> </w:t>
      </w:r>
      <w:r>
        <w:rPr/>
        <w:t>to</w:t>
      </w:r>
      <w:r>
        <w:rPr>
          <w:spacing w:val="-30"/>
        </w:rPr>
        <w:t> </w:t>
      </w:r>
      <w:r>
        <w:rPr/>
        <w:t>further</w:t>
      </w:r>
      <w:r>
        <w:rPr>
          <w:spacing w:val="-28"/>
        </w:rPr>
        <w:t> </w:t>
      </w:r>
      <w:r>
        <w:rPr/>
        <w:t>enhance</w:t>
      </w:r>
      <w:r>
        <w:rPr>
          <w:spacing w:val="-30"/>
        </w:rPr>
        <w:t> </w:t>
      </w:r>
      <w:r>
        <w:rPr/>
        <w:t>the</w:t>
      </w:r>
      <w:r>
        <w:rPr>
          <w:spacing w:val="-30"/>
        </w:rPr>
        <w:t> </w:t>
      </w:r>
      <w:r>
        <w:rPr/>
        <w:t>profile</w:t>
      </w:r>
      <w:r>
        <w:rPr>
          <w:spacing w:val="-30"/>
        </w:rPr>
        <w:t> </w:t>
      </w:r>
      <w:r>
        <w:rPr/>
        <w:t>of</w:t>
      </w:r>
      <w:r>
        <w:rPr>
          <w:spacing w:val="-30"/>
        </w:rPr>
        <w:t> </w:t>
      </w:r>
      <w:r>
        <w:rPr/>
        <w:t>the</w:t>
      </w:r>
      <w:r>
        <w:rPr>
          <w:spacing w:val="-31"/>
        </w:rPr>
        <w:t> </w:t>
      </w:r>
      <w:r>
        <w:rPr/>
        <w:t>subject</w:t>
      </w:r>
      <w:r>
        <w:rPr>
          <w:spacing w:val="-29"/>
        </w:rPr>
        <w:t> </w:t>
      </w:r>
      <w:r>
        <w:rPr/>
        <w:t>location</w:t>
      </w:r>
      <w:r>
        <w:rPr>
          <w:spacing w:val="-29"/>
        </w:rPr>
        <w:t> </w:t>
      </w:r>
      <w:r>
        <w:rPr/>
        <w:t>in</w:t>
      </w:r>
      <w:r>
        <w:rPr>
          <w:spacing w:val="-31"/>
        </w:rPr>
        <w:t> </w:t>
      </w:r>
      <w:r>
        <w:rPr/>
        <w:t>the</w:t>
      </w:r>
      <w:r>
        <w:rPr>
          <w:spacing w:val="-30"/>
        </w:rPr>
        <w:t> </w:t>
      </w:r>
      <w:r>
        <w:rPr/>
        <w:t>short</w:t>
      </w:r>
      <w:r>
        <w:rPr>
          <w:spacing w:val="-31"/>
        </w:rPr>
        <w:t> </w:t>
      </w:r>
      <w:r>
        <w:rPr/>
        <w:t>to medium</w:t>
      </w:r>
      <w:r>
        <w:rPr>
          <w:spacing w:val="-24"/>
        </w:rPr>
        <w:t> </w:t>
      </w:r>
      <w:r>
        <w:rPr/>
        <w:t>term.</w:t>
      </w:r>
      <w:r>
        <w:rPr>
          <w:spacing w:val="-24"/>
        </w:rPr>
        <w:t> </w:t>
      </w:r>
      <w:r>
        <w:rPr/>
        <w:t>Hence,</w:t>
      </w:r>
      <w:r>
        <w:rPr>
          <w:spacing w:val="-23"/>
        </w:rPr>
        <w:t> </w:t>
      </w:r>
      <w:r>
        <w:rPr/>
        <w:t>going</w:t>
      </w:r>
      <w:r>
        <w:rPr>
          <w:spacing w:val="-22"/>
        </w:rPr>
        <w:t> </w:t>
      </w:r>
      <w:r>
        <w:rPr/>
        <w:t>forward,</w:t>
      </w:r>
      <w:r>
        <w:rPr>
          <w:spacing w:val="-24"/>
        </w:rPr>
        <w:t> </w:t>
      </w:r>
      <w:r>
        <w:rPr/>
        <w:t>given</w:t>
      </w:r>
      <w:r>
        <w:rPr>
          <w:spacing w:val="-23"/>
        </w:rPr>
        <w:t> </w:t>
      </w:r>
      <w:r>
        <w:rPr/>
        <w:t>the</w:t>
      </w:r>
      <w:r>
        <w:rPr>
          <w:spacing w:val="-25"/>
        </w:rPr>
        <w:t> </w:t>
      </w:r>
      <w:r>
        <w:rPr/>
        <w:t>demand</w:t>
      </w:r>
      <w:r>
        <w:rPr>
          <w:spacing w:val="-24"/>
        </w:rPr>
        <w:t> </w:t>
      </w:r>
      <w:r>
        <w:rPr/>
        <w:t>for</w:t>
      </w:r>
      <w:r>
        <w:rPr>
          <w:spacing w:val="-24"/>
        </w:rPr>
        <w:t> </w:t>
      </w:r>
      <w:r>
        <w:rPr/>
        <w:t>office</w:t>
      </w:r>
      <w:r>
        <w:rPr>
          <w:spacing w:val="-23"/>
        </w:rPr>
        <w:t> </w:t>
      </w:r>
      <w:r>
        <w:rPr/>
        <w:t>space</w:t>
      </w:r>
      <w:r>
        <w:rPr>
          <w:spacing w:val="-24"/>
        </w:rPr>
        <w:t> </w:t>
      </w:r>
      <w:r>
        <w:rPr/>
        <w:t>in</w:t>
      </w:r>
      <w:r>
        <w:rPr>
          <w:spacing w:val="-26"/>
        </w:rPr>
        <w:t> </w:t>
      </w:r>
      <w:r>
        <w:rPr/>
        <w:t>this</w:t>
      </w:r>
      <w:r>
        <w:rPr>
          <w:spacing w:val="-22"/>
        </w:rPr>
        <w:t> </w:t>
      </w:r>
      <w:r>
        <w:rPr/>
        <w:t>vector,</w:t>
      </w:r>
      <w:r>
        <w:rPr>
          <w:spacing w:val="-24"/>
        </w:rPr>
        <w:t> </w:t>
      </w:r>
      <w:r>
        <w:rPr/>
        <w:t>proximity</w:t>
      </w:r>
      <w:r>
        <w:rPr>
          <w:spacing w:val="-22"/>
        </w:rPr>
        <w:t> </w:t>
      </w:r>
      <w:r>
        <w:rPr/>
        <w:t>to</w:t>
      </w:r>
      <w:r>
        <w:rPr>
          <w:spacing w:val="-24"/>
        </w:rPr>
        <w:t> </w:t>
      </w:r>
      <w:r>
        <w:rPr/>
        <w:t>key residential hubs of Indirapuram, Vaishali, etc. (offering affordable to mid-end housing options), </w:t>
      </w:r>
      <w:r>
        <w:rPr>
          <w:w w:val="95"/>
        </w:rPr>
        <w:t>completed/</w:t>
      </w:r>
      <w:r>
        <w:rPr>
          <w:spacing w:val="-10"/>
          <w:w w:val="95"/>
        </w:rPr>
        <w:t> </w:t>
      </w:r>
      <w:r>
        <w:rPr>
          <w:w w:val="95"/>
        </w:rPr>
        <w:t>ongoing</w:t>
      </w:r>
      <w:r>
        <w:rPr>
          <w:spacing w:val="-8"/>
          <w:w w:val="95"/>
        </w:rPr>
        <w:t> </w:t>
      </w:r>
      <w:r>
        <w:rPr>
          <w:w w:val="95"/>
        </w:rPr>
        <w:t>infrastructure</w:t>
      </w:r>
      <w:r>
        <w:rPr>
          <w:spacing w:val="-9"/>
          <w:w w:val="95"/>
        </w:rPr>
        <w:t> </w:t>
      </w:r>
      <w:r>
        <w:rPr>
          <w:w w:val="95"/>
        </w:rPr>
        <w:t>initiatives,</w:t>
      </w:r>
      <w:r>
        <w:rPr>
          <w:spacing w:val="-9"/>
          <w:w w:val="95"/>
        </w:rPr>
        <w:t> </w:t>
      </w:r>
      <w:r>
        <w:rPr>
          <w:w w:val="95"/>
        </w:rPr>
        <w:t>low</w:t>
      </w:r>
      <w:r>
        <w:rPr>
          <w:spacing w:val="-8"/>
          <w:w w:val="95"/>
        </w:rPr>
        <w:t> </w:t>
      </w:r>
      <w:r>
        <w:rPr>
          <w:w w:val="95"/>
        </w:rPr>
        <w:t>vacancy</w:t>
      </w:r>
      <w:r>
        <w:rPr>
          <w:spacing w:val="-7"/>
          <w:w w:val="95"/>
        </w:rPr>
        <w:t> </w:t>
      </w:r>
      <w:r>
        <w:rPr>
          <w:w w:val="95"/>
        </w:rPr>
        <w:t>levels,</w:t>
      </w:r>
      <w:r>
        <w:rPr>
          <w:spacing w:val="-9"/>
          <w:w w:val="95"/>
        </w:rPr>
        <w:t> </w:t>
      </w:r>
      <w:r>
        <w:rPr>
          <w:w w:val="95"/>
        </w:rPr>
        <w:t>limited</w:t>
      </w:r>
      <w:r>
        <w:rPr>
          <w:spacing w:val="-8"/>
          <w:w w:val="95"/>
        </w:rPr>
        <w:t> </w:t>
      </w:r>
      <w:r>
        <w:rPr>
          <w:w w:val="95"/>
        </w:rPr>
        <w:t>upcoming</w:t>
      </w:r>
      <w:r>
        <w:rPr>
          <w:spacing w:val="-8"/>
          <w:w w:val="95"/>
        </w:rPr>
        <w:t> </w:t>
      </w:r>
      <w:r>
        <w:rPr>
          <w:w w:val="95"/>
        </w:rPr>
        <w:t>supply</w:t>
      </w:r>
      <w:r>
        <w:rPr>
          <w:spacing w:val="-8"/>
          <w:w w:val="95"/>
        </w:rPr>
        <w:t> </w:t>
      </w:r>
      <w:r>
        <w:rPr>
          <w:w w:val="95"/>
        </w:rPr>
        <w:t>and</w:t>
      </w:r>
      <w:r>
        <w:rPr>
          <w:spacing w:val="-8"/>
          <w:w w:val="95"/>
        </w:rPr>
        <w:t> </w:t>
      </w:r>
      <w:r>
        <w:rPr>
          <w:w w:val="95"/>
        </w:rPr>
        <w:t>continued </w:t>
      </w:r>
      <w:r>
        <w:rPr/>
        <w:t>interest</w:t>
      </w:r>
      <w:r>
        <w:rPr>
          <w:spacing w:val="-30"/>
        </w:rPr>
        <w:t> </w:t>
      </w:r>
      <w:r>
        <w:rPr/>
        <w:t>of</w:t>
      </w:r>
      <w:r>
        <w:rPr>
          <w:spacing w:val="-28"/>
        </w:rPr>
        <w:t> </w:t>
      </w:r>
      <w:r>
        <w:rPr/>
        <w:t>occupiers,</w:t>
      </w:r>
      <w:r>
        <w:rPr>
          <w:spacing w:val="-29"/>
        </w:rPr>
        <w:t> </w:t>
      </w:r>
      <w:r>
        <w:rPr/>
        <w:t>the</w:t>
      </w:r>
      <w:r>
        <w:rPr>
          <w:spacing w:val="-31"/>
        </w:rPr>
        <w:t> </w:t>
      </w:r>
      <w:r>
        <w:rPr/>
        <w:t>subject</w:t>
      </w:r>
      <w:r>
        <w:rPr>
          <w:spacing w:val="-30"/>
        </w:rPr>
        <w:t> </w:t>
      </w:r>
      <w:r>
        <w:rPr/>
        <w:t>sub-market</w:t>
      </w:r>
      <w:r>
        <w:rPr>
          <w:spacing w:val="-29"/>
        </w:rPr>
        <w:t> </w:t>
      </w:r>
      <w:r>
        <w:rPr/>
        <w:t>is</w:t>
      </w:r>
      <w:r>
        <w:rPr>
          <w:spacing w:val="-29"/>
        </w:rPr>
        <w:t> </w:t>
      </w:r>
      <w:r>
        <w:rPr/>
        <w:t>expected</w:t>
      </w:r>
      <w:r>
        <w:rPr>
          <w:spacing w:val="-29"/>
        </w:rPr>
        <w:t> </w:t>
      </w:r>
      <w:r>
        <w:rPr/>
        <w:t>to</w:t>
      </w:r>
      <w:r>
        <w:rPr>
          <w:spacing w:val="-29"/>
        </w:rPr>
        <w:t> </w:t>
      </w:r>
      <w:r>
        <w:rPr/>
        <w:t>witness</w:t>
      </w:r>
      <w:r>
        <w:rPr>
          <w:spacing w:val="-28"/>
        </w:rPr>
        <w:t> </w:t>
      </w:r>
      <w:r>
        <w:rPr/>
        <w:t>a</w:t>
      </w:r>
      <w:r>
        <w:rPr>
          <w:spacing w:val="-30"/>
        </w:rPr>
        <w:t> </w:t>
      </w:r>
      <w:r>
        <w:rPr/>
        <w:t>consistent</w:t>
      </w:r>
      <w:r>
        <w:rPr>
          <w:spacing w:val="-29"/>
        </w:rPr>
        <w:t> </w:t>
      </w:r>
      <w:r>
        <w:rPr/>
        <w:t>increase</w:t>
      </w:r>
      <w:r>
        <w:rPr>
          <w:spacing w:val="-29"/>
        </w:rPr>
        <w:t> </w:t>
      </w:r>
      <w:r>
        <w:rPr/>
        <w:t>in</w:t>
      </w:r>
      <w:r>
        <w:rPr>
          <w:spacing w:val="-30"/>
        </w:rPr>
        <w:t> </w:t>
      </w:r>
      <w:r>
        <w:rPr/>
        <w:t>rentals.</w:t>
      </w:r>
    </w:p>
    <w:p>
      <w:pPr>
        <w:spacing w:after="0" w:line="321" w:lineRule="auto"/>
        <w:jc w:val="both"/>
        <w:sectPr>
          <w:pgSz w:w="11910" w:h="16840"/>
          <w:pgMar w:header="720" w:footer="921" w:top="1660" w:bottom="1120" w:left="600" w:right="600"/>
        </w:sectPr>
      </w:pPr>
    </w:p>
    <w:p>
      <w:pPr>
        <w:pStyle w:val="BodyText"/>
        <w:spacing w:before="7"/>
        <w:rPr>
          <w:sz w:val="9"/>
        </w:rPr>
      </w:pPr>
    </w:p>
    <w:p>
      <w:pPr>
        <w:pStyle w:val="ListParagraph"/>
        <w:numPr>
          <w:ilvl w:val="1"/>
          <w:numId w:val="14"/>
        </w:numPr>
        <w:tabs>
          <w:tab w:pos="697" w:val="left" w:leader="none"/>
        </w:tabs>
        <w:spacing w:line="240" w:lineRule="auto" w:before="106" w:after="0"/>
        <w:ind w:left="696" w:right="0" w:hanging="577"/>
        <w:jc w:val="left"/>
        <w:rPr>
          <w:color w:val="1F6647"/>
          <w:sz w:val="22"/>
        </w:rPr>
      </w:pPr>
      <w:bookmarkStart w:name="_bookmark285" w:id="556"/>
      <w:bookmarkEnd w:id="556"/>
      <w:r>
        <w:rPr/>
      </w:r>
      <w:bookmarkStart w:name="_bookmark285" w:id="557"/>
      <w:bookmarkEnd w:id="557"/>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BodyText"/>
        <w:spacing w:before="3"/>
        <w:rPr>
          <w:sz w:val="28"/>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86" w:id="558"/>
      <w:bookmarkEnd w:id="558"/>
      <w:r>
        <w:rPr/>
      </w:r>
      <w:bookmarkStart w:name="_bookmark286" w:id="559"/>
      <w:bookmarkEnd w:id="559"/>
      <w:r>
        <w:rPr>
          <w:color w:val="1F664D"/>
          <w:w w:val="105"/>
          <w:sz w:val="22"/>
        </w:rPr>
        <w:t>A</w:t>
      </w:r>
      <w:r>
        <w:rPr>
          <w:color w:val="1F664D"/>
          <w:w w:val="105"/>
          <w:sz w:val="22"/>
        </w:rPr>
        <w:t>dopted</w:t>
      </w:r>
      <w:r>
        <w:rPr>
          <w:color w:val="1F664D"/>
          <w:spacing w:val="-2"/>
          <w:w w:val="105"/>
          <w:sz w:val="22"/>
        </w:rPr>
        <w:t> </w:t>
      </w:r>
      <w:r>
        <w:rPr>
          <w:color w:val="1F664D"/>
          <w:w w:val="105"/>
          <w:sz w:val="22"/>
        </w:rPr>
        <w:t>Methodology</w:t>
      </w:r>
    </w:p>
    <w:p>
      <w:pPr>
        <w:pStyle w:val="BodyText"/>
        <w:spacing w:line="321" w:lineRule="auto" w:before="208"/>
        <w:ind w:left="660" w:right="117"/>
        <w:jc w:val="both"/>
      </w:pPr>
      <w:r>
        <w:rPr/>
        <w:t>We</w:t>
      </w:r>
      <w:r>
        <w:rPr>
          <w:spacing w:val="-27"/>
        </w:rPr>
        <w:t> </w:t>
      </w:r>
      <w:r>
        <w:rPr/>
        <w:t>acknowledge</w:t>
      </w:r>
      <w:r>
        <w:rPr>
          <w:spacing w:val="-27"/>
        </w:rPr>
        <w:t> </w:t>
      </w:r>
      <w:r>
        <w:rPr/>
        <w:t>that</w:t>
      </w:r>
      <w:r>
        <w:rPr>
          <w:spacing w:val="-26"/>
        </w:rPr>
        <w:t> </w:t>
      </w:r>
      <w:r>
        <w:rPr/>
        <w:t>the</w:t>
      </w:r>
      <w:r>
        <w:rPr>
          <w:spacing w:val="-27"/>
        </w:rPr>
        <w:t> </w:t>
      </w:r>
      <w:r>
        <w:rPr/>
        <w:t>approaches</w:t>
      </w:r>
      <w:r>
        <w:rPr>
          <w:spacing w:val="-26"/>
        </w:rPr>
        <w:t> </w:t>
      </w:r>
      <w:r>
        <w:rPr/>
        <w:t>to</w:t>
      </w:r>
      <w:r>
        <w:rPr>
          <w:spacing w:val="-26"/>
        </w:rPr>
        <w:t> </w:t>
      </w:r>
      <w:r>
        <w:rPr/>
        <w:t>valuation</w:t>
      </w:r>
      <w:r>
        <w:rPr>
          <w:spacing w:val="-25"/>
        </w:rPr>
        <w:t> </w:t>
      </w:r>
      <w:r>
        <w:rPr/>
        <w:t>differ</w:t>
      </w:r>
      <w:r>
        <w:rPr>
          <w:spacing w:val="-26"/>
        </w:rPr>
        <w:t> </w:t>
      </w:r>
      <w:r>
        <w:rPr/>
        <w:t>considerably</w:t>
      </w:r>
      <w:r>
        <w:rPr>
          <w:spacing w:val="-26"/>
        </w:rPr>
        <w:t> </w:t>
      </w:r>
      <w:r>
        <w:rPr/>
        <w:t>and</w:t>
      </w:r>
      <w:r>
        <w:rPr>
          <w:spacing w:val="-27"/>
        </w:rPr>
        <w:t> </w:t>
      </w:r>
      <w:r>
        <w:rPr/>
        <w:t>that</w:t>
      </w:r>
      <w:r>
        <w:rPr>
          <w:spacing w:val="-26"/>
        </w:rPr>
        <w:t> </w:t>
      </w:r>
      <w:r>
        <w:rPr/>
        <w:t>for</w:t>
      </w:r>
      <w:r>
        <w:rPr>
          <w:spacing w:val="-27"/>
        </w:rPr>
        <w:t> </w:t>
      </w:r>
      <w:r>
        <w:rPr/>
        <w:t>a</w:t>
      </w:r>
      <w:r>
        <w:rPr>
          <w:spacing w:val="-27"/>
        </w:rPr>
        <w:t> </w:t>
      </w:r>
      <w:r>
        <w:rPr/>
        <w:t>particular</w:t>
      </w:r>
      <w:r>
        <w:rPr>
          <w:spacing w:val="-27"/>
        </w:rPr>
        <w:t> </w:t>
      </w:r>
      <w:r>
        <w:rPr/>
        <w:t>purpose, alternative</w:t>
      </w:r>
      <w:r>
        <w:rPr>
          <w:spacing w:val="-22"/>
        </w:rPr>
        <w:t> </w:t>
      </w:r>
      <w:r>
        <w:rPr/>
        <w:t>approaches</w:t>
      </w:r>
      <w:r>
        <w:rPr>
          <w:spacing w:val="-21"/>
        </w:rPr>
        <w:t> </w:t>
      </w:r>
      <w:r>
        <w:rPr/>
        <w:t>to</w:t>
      </w:r>
      <w:r>
        <w:rPr>
          <w:spacing w:val="-21"/>
        </w:rPr>
        <w:t> </w:t>
      </w:r>
      <w:r>
        <w:rPr/>
        <w:t>valuation</w:t>
      </w:r>
      <w:r>
        <w:rPr>
          <w:spacing w:val="-22"/>
        </w:rPr>
        <w:t> </w:t>
      </w:r>
      <w:r>
        <w:rPr/>
        <w:t>can</w:t>
      </w:r>
      <w:r>
        <w:rPr>
          <w:spacing w:val="-20"/>
        </w:rPr>
        <w:t> </w:t>
      </w:r>
      <w:r>
        <w:rPr/>
        <w:t>be</w:t>
      </w:r>
      <w:r>
        <w:rPr>
          <w:spacing w:val="-22"/>
        </w:rPr>
        <w:t> </w:t>
      </w:r>
      <w:r>
        <w:rPr/>
        <w:t>utilized</w:t>
      </w:r>
      <w:r>
        <w:rPr>
          <w:spacing w:val="-20"/>
        </w:rPr>
        <w:t> </w:t>
      </w:r>
      <w:r>
        <w:rPr/>
        <w:t>subject</w:t>
      </w:r>
      <w:r>
        <w:rPr>
          <w:spacing w:val="-21"/>
        </w:rPr>
        <w:t> </w:t>
      </w:r>
      <w:r>
        <w:rPr/>
        <w:t>to</w:t>
      </w:r>
      <w:r>
        <w:rPr>
          <w:spacing w:val="-22"/>
        </w:rPr>
        <w:t> </w:t>
      </w:r>
      <w:r>
        <w:rPr/>
        <w:t>the</w:t>
      </w:r>
      <w:r>
        <w:rPr>
          <w:spacing w:val="-22"/>
        </w:rPr>
        <w:t> </w:t>
      </w:r>
      <w:r>
        <w:rPr/>
        <w:t>Client’s</w:t>
      </w:r>
      <w:r>
        <w:rPr>
          <w:spacing w:val="-21"/>
        </w:rPr>
        <w:t> </w:t>
      </w:r>
      <w:r>
        <w:rPr/>
        <w:t>consultations</w:t>
      </w:r>
      <w:r>
        <w:rPr>
          <w:spacing w:val="-21"/>
        </w:rPr>
        <w:t> </w:t>
      </w:r>
      <w:r>
        <w:rPr/>
        <w:t>and</w:t>
      </w:r>
      <w:r>
        <w:rPr>
          <w:spacing w:val="-21"/>
        </w:rPr>
        <w:t> </w:t>
      </w:r>
      <w:r>
        <w:rPr/>
        <w:t>giving</w:t>
      </w:r>
      <w:r>
        <w:rPr>
          <w:spacing w:val="-20"/>
        </w:rPr>
        <w:t> </w:t>
      </w:r>
      <w:r>
        <w:rPr/>
        <w:t>due consideration</w:t>
      </w:r>
      <w:r>
        <w:rPr>
          <w:spacing w:val="-25"/>
        </w:rPr>
        <w:t> </w:t>
      </w:r>
      <w:r>
        <w:rPr/>
        <w:t>to</w:t>
      </w:r>
      <w:r>
        <w:rPr>
          <w:spacing w:val="-25"/>
        </w:rPr>
        <w:t> </w:t>
      </w:r>
      <w:r>
        <w:rPr/>
        <w:t>the</w:t>
      </w:r>
      <w:r>
        <w:rPr>
          <w:spacing w:val="-25"/>
        </w:rPr>
        <w:t> </w:t>
      </w:r>
      <w:r>
        <w:rPr/>
        <w:t>Client’s</w:t>
      </w:r>
      <w:r>
        <w:rPr>
          <w:spacing w:val="-24"/>
        </w:rPr>
        <w:t> </w:t>
      </w:r>
      <w:r>
        <w:rPr/>
        <w:t>requirements.</w:t>
      </w:r>
      <w:r>
        <w:rPr>
          <w:spacing w:val="-25"/>
        </w:rPr>
        <w:t> </w:t>
      </w:r>
      <w:r>
        <w:rPr/>
        <w:t>Considering</w:t>
      </w:r>
      <w:r>
        <w:rPr>
          <w:spacing w:val="-24"/>
        </w:rPr>
        <w:t> </w:t>
      </w:r>
      <w:r>
        <w:rPr/>
        <w:t>the</w:t>
      </w:r>
      <w:r>
        <w:rPr>
          <w:spacing w:val="-25"/>
        </w:rPr>
        <w:t> </w:t>
      </w:r>
      <w:r>
        <w:rPr/>
        <w:t>objective</w:t>
      </w:r>
      <w:r>
        <w:rPr>
          <w:spacing w:val="-25"/>
        </w:rPr>
        <w:t> </w:t>
      </w:r>
      <w:r>
        <w:rPr/>
        <w:t>of</w:t>
      </w:r>
      <w:r>
        <w:rPr>
          <w:spacing w:val="-24"/>
        </w:rPr>
        <w:t> </w:t>
      </w:r>
      <w:r>
        <w:rPr/>
        <w:t>this</w:t>
      </w:r>
      <w:r>
        <w:rPr>
          <w:spacing w:val="-24"/>
        </w:rPr>
        <w:t> </w:t>
      </w:r>
      <w:r>
        <w:rPr/>
        <w:t>exercise</w:t>
      </w:r>
      <w:r>
        <w:rPr>
          <w:spacing w:val="-25"/>
        </w:rPr>
        <w:t> </w:t>
      </w:r>
      <w:r>
        <w:rPr/>
        <w:t>and</w:t>
      </w:r>
      <w:r>
        <w:rPr>
          <w:spacing w:val="-25"/>
        </w:rPr>
        <w:t> </w:t>
      </w:r>
      <w:r>
        <w:rPr/>
        <w:t>the</w:t>
      </w:r>
      <w:r>
        <w:rPr>
          <w:spacing w:val="-25"/>
        </w:rPr>
        <w:t> </w:t>
      </w:r>
      <w:r>
        <w:rPr/>
        <w:t>nature</w:t>
      </w:r>
      <w:r>
        <w:rPr>
          <w:spacing w:val="-25"/>
        </w:rPr>
        <w:t> </w:t>
      </w:r>
      <w:r>
        <w:rPr/>
        <w:t>of asset</w:t>
      </w:r>
      <w:r>
        <w:rPr>
          <w:spacing w:val="-21"/>
        </w:rPr>
        <w:t> </w:t>
      </w:r>
      <w:r>
        <w:rPr/>
        <w:t>involved,</w:t>
      </w:r>
      <w:r>
        <w:rPr>
          <w:spacing w:val="-21"/>
        </w:rPr>
        <w:t> </w:t>
      </w:r>
      <w:r>
        <w:rPr/>
        <w:t>the</w:t>
      </w:r>
      <w:r>
        <w:rPr>
          <w:spacing w:val="-21"/>
        </w:rPr>
        <w:t> </w:t>
      </w:r>
      <w:r>
        <w:rPr/>
        <w:t>value</w:t>
      </w:r>
      <w:r>
        <w:rPr>
          <w:spacing w:val="-21"/>
        </w:rPr>
        <w:t> </w:t>
      </w:r>
      <w:r>
        <w:rPr/>
        <w:t>of</w:t>
      </w:r>
      <w:r>
        <w:rPr>
          <w:spacing w:val="-20"/>
        </w:rPr>
        <w:t> </w:t>
      </w:r>
      <w:r>
        <w:rPr/>
        <w:t>the</w:t>
      </w:r>
      <w:r>
        <w:rPr>
          <w:spacing w:val="-22"/>
        </w:rPr>
        <w:t> </w:t>
      </w:r>
      <w:r>
        <w:rPr/>
        <w:t>subject</w:t>
      </w:r>
      <w:r>
        <w:rPr>
          <w:spacing w:val="-22"/>
        </w:rPr>
        <w:t> </w:t>
      </w:r>
      <w:r>
        <w:rPr/>
        <w:t>property</w:t>
      </w:r>
      <w:r>
        <w:rPr>
          <w:spacing w:val="-20"/>
        </w:rPr>
        <w:t> </w:t>
      </w:r>
      <w:r>
        <w:rPr/>
        <w:t>has</w:t>
      </w:r>
      <w:r>
        <w:rPr>
          <w:spacing w:val="-21"/>
        </w:rPr>
        <w:t> </w:t>
      </w:r>
      <w:r>
        <w:rPr/>
        <w:t>been</w:t>
      </w:r>
      <w:r>
        <w:rPr>
          <w:spacing w:val="-21"/>
        </w:rPr>
        <w:t> </w:t>
      </w:r>
      <w:r>
        <w:rPr/>
        <w:t>assessed</w:t>
      </w:r>
      <w:r>
        <w:rPr>
          <w:spacing w:val="-20"/>
        </w:rPr>
        <w:t> </w:t>
      </w:r>
      <w:r>
        <w:rPr/>
        <w:t>through</w:t>
      </w:r>
      <w:r>
        <w:rPr>
          <w:spacing w:val="-23"/>
        </w:rPr>
        <w:t> </w:t>
      </w:r>
      <w:r>
        <w:rPr/>
        <w:t>the</w:t>
      </w:r>
      <w:r>
        <w:rPr>
          <w:spacing w:val="-21"/>
        </w:rPr>
        <w:t> </w:t>
      </w:r>
      <w:r>
        <w:rPr/>
        <w:t>following</w:t>
      </w:r>
      <w:r>
        <w:rPr>
          <w:spacing w:val="-20"/>
        </w:rPr>
        <w:t> </w:t>
      </w:r>
      <w:r>
        <w:rPr/>
        <w:t>approach:</w:t>
      </w:r>
    </w:p>
    <w:p>
      <w:pPr>
        <w:pStyle w:val="BodyText"/>
        <w:spacing w:before="4"/>
        <w:rPr>
          <w:sz w:val="20"/>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2"/>
        <w:gridCol w:w="3821"/>
        <w:gridCol w:w="3679"/>
      </w:tblGrid>
      <w:tr>
        <w:trPr>
          <w:trHeight w:val="393" w:hRule="atLeast"/>
        </w:trPr>
        <w:tc>
          <w:tcPr>
            <w:tcW w:w="2972" w:type="dxa"/>
            <w:tcBorders>
              <w:top w:val="single" w:sz="6" w:space="0" w:color="69BD28"/>
              <w:bottom w:val="single" w:sz="6" w:space="0" w:color="69BD28"/>
            </w:tcBorders>
            <w:shd w:val="clear" w:color="auto" w:fill="006A4D"/>
          </w:tcPr>
          <w:p>
            <w:pPr>
              <w:pStyle w:val="TableParagraph"/>
              <w:spacing w:before="92"/>
              <w:ind w:left="412" w:right="412"/>
              <w:rPr>
                <w:b/>
                <w:sz w:val="18"/>
              </w:rPr>
            </w:pPr>
            <w:r>
              <w:rPr>
                <w:b/>
                <w:color w:val="FFFFFF"/>
                <w:w w:val="105"/>
                <w:sz w:val="18"/>
              </w:rPr>
              <w:t>Particulars</w:t>
            </w:r>
          </w:p>
        </w:tc>
        <w:tc>
          <w:tcPr>
            <w:tcW w:w="3821" w:type="dxa"/>
            <w:tcBorders>
              <w:top w:val="single" w:sz="6" w:space="0" w:color="69BD28"/>
              <w:bottom w:val="single" w:sz="6" w:space="0" w:color="69BD28"/>
            </w:tcBorders>
            <w:shd w:val="clear" w:color="auto" w:fill="006A4D"/>
          </w:tcPr>
          <w:p>
            <w:pPr>
              <w:pStyle w:val="TableParagraph"/>
              <w:spacing w:before="92"/>
              <w:ind w:left="1128"/>
              <w:jc w:val="left"/>
              <w:rPr>
                <w:b/>
                <w:sz w:val="18"/>
              </w:rPr>
            </w:pPr>
            <w:r>
              <w:rPr>
                <w:b/>
                <w:color w:val="FFFFFF"/>
                <w:w w:val="110"/>
                <w:sz w:val="18"/>
              </w:rPr>
              <w:t>Completed Blocks</w:t>
            </w:r>
          </w:p>
        </w:tc>
        <w:tc>
          <w:tcPr>
            <w:tcW w:w="3679" w:type="dxa"/>
            <w:tcBorders>
              <w:top w:val="single" w:sz="6" w:space="0" w:color="69BD28"/>
              <w:bottom w:val="single" w:sz="6" w:space="0" w:color="69BD28"/>
            </w:tcBorders>
            <w:shd w:val="clear" w:color="auto" w:fill="006A4D"/>
          </w:tcPr>
          <w:p>
            <w:pPr>
              <w:pStyle w:val="TableParagraph"/>
              <w:spacing w:before="92"/>
              <w:ind w:left="122" w:right="74"/>
              <w:rPr>
                <w:b/>
                <w:sz w:val="18"/>
              </w:rPr>
            </w:pPr>
            <w:r>
              <w:rPr>
                <w:b/>
                <w:color w:val="FFFFFF"/>
                <w:w w:val="110"/>
                <w:sz w:val="18"/>
              </w:rPr>
              <w:t>Under Construction/ Proposed Blocks</w:t>
            </w:r>
          </w:p>
        </w:tc>
      </w:tr>
      <w:tr>
        <w:trPr>
          <w:trHeight w:val="674" w:hRule="atLeast"/>
        </w:trPr>
        <w:tc>
          <w:tcPr>
            <w:tcW w:w="2972" w:type="dxa"/>
            <w:shd w:val="clear" w:color="auto" w:fill="69BD28"/>
          </w:tcPr>
          <w:p>
            <w:pPr>
              <w:pStyle w:val="TableParagraph"/>
              <w:spacing w:before="1"/>
              <w:jc w:val="left"/>
              <w:rPr>
                <w:sz w:val="20"/>
              </w:rPr>
            </w:pPr>
          </w:p>
          <w:p>
            <w:pPr>
              <w:pStyle w:val="TableParagraph"/>
              <w:spacing w:before="1"/>
              <w:ind w:left="412" w:right="412"/>
              <w:rPr>
                <w:b/>
                <w:sz w:val="18"/>
              </w:rPr>
            </w:pPr>
            <w:r>
              <w:rPr>
                <w:b/>
                <w:color w:val="FFFFFF"/>
                <w:w w:val="110"/>
                <w:sz w:val="18"/>
              </w:rPr>
              <w:t>Valuation Methodology</w:t>
            </w:r>
          </w:p>
        </w:tc>
        <w:tc>
          <w:tcPr>
            <w:tcW w:w="3821" w:type="dxa"/>
            <w:tcBorders>
              <w:top w:val="single" w:sz="6" w:space="0" w:color="69BD28"/>
              <w:bottom w:val="single" w:sz="6" w:space="0" w:color="69BD28"/>
            </w:tcBorders>
          </w:tcPr>
          <w:p>
            <w:pPr>
              <w:pStyle w:val="TableParagraph"/>
              <w:spacing w:line="247" w:lineRule="auto" w:before="123"/>
              <w:ind w:left="1142" w:hanging="924"/>
              <w:jc w:val="left"/>
              <w:rPr>
                <w:sz w:val="18"/>
              </w:rPr>
            </w:pPr>
            <w:r>
              <w:rPr>
                <w:sz w:val="18"/>
              </w:rPr>
              <w:t>Discounted Cash Flow Method (using rental reversion approach)</w:t>
            </w:r>
          </w:p>
        </w:tc>
        <w:tc>
          <w:tcPr>
            <w:tcW w:w="3679" w:type="dxa"/>
            <w:tcBorders>
              <w:top w:val="single" w:sz="6" w:space="0" w:color="69BD28"/>
              <w:bottom w:val="single" w:sz="6" w:space="0" w:color="69BD28"/>
            </w:tcBorders>
          </w:tcPr>
          <w:p>
            <w:pPr>
              <w:pStyle w:val="TableParagraph"/>
              <w:spacing w:before="1"/>
              <w:jc w:val="left"/>
              <w:rPr>
                <w:sz w:val="20"/>
              </w:rPr>
            </w:pPr>
          </w:p>
          <w:p>
            <w:pPr>
              <w:pStyle w:val="TableParagraph"/>
              <w:spacing w:before="1"/>
              <w:ind w:left="118" w:right="74"/>
              <w:rPr>
                <w:sz w:val="18"/>
              </w:rPr>
            </w:pPr>
            <w:r>
              <w:rPr>
                <w:w w:val="115"/>
                <w:sz w:val="18"/>
              </w:rPr>
              <w:t>NA</w:t>
            </w:r>
          </w:p>
        </w:tc>
      </w:tr>
    </w:tbl>
    <w:p>
      <w:pPr>
        <w:pStyle w:val="BodyText"/>
        <w:rPr>
          <w:sz w:val="21"/>
        </w:rPr>
      </w:pPr>
    </w:p>
    <w:p>
      <w:pPr>
        <w:pStyle w:val="BodyText"/>
        <w:spacing w:line="321" w:lineRule="auto"/>
        <w:ind w:left="660" w:right="115"/>
        <w:jc w:val="both"/>
      </w:pPr>
      <w:r>
        <w:rPr/>
        <w:t>The</w:t>
      </w:r>
      <w:r>
        <w:rPr>
          <w:spacing w:val="-23"/>
        </w:rPr>
        <w:t> </w:t>
      </w:r>
      <w:r>
        <w:rPr/>
        <w:t>sections</w:t>
      </w:r>
      <w:r>
        <w:rPr>
          <w:spacing w:val="-22"/>
        </w:rPr>
        <w:t> </w:t>
      </w:r>
      <w:r>
        <w:rPr/>
        <w:t>below</w:t>
      </w:r>
      <w:r>
        <w:rPr>
          <w:spacing w:val="-21"/>
        </w:rPr>
        <w:t> </w:t>
      </w:r>
      <w:r>
        <w:rPr/>
        <w:t>highlight</w:t>
      </w:r>
      <w:r>
        <w:rPr>
          <w:spacing w:val="-23"/>
        </w:rPr>
        <w:t> </w:t>
      </w:r>
      <w:r>
        <w:rPr/>
        <w:t>detailed</w:t>
      </w:r>
      <w:r>
        <w:rPr>
          <w:spacing w:val="-21"/>
        </w:rPr>
        <w:t> </w:t>
      </w:r>
      <w:r>
        <w:rPr/>
        <w:t>valuation</w:t>
      </w:r>
      <w:r>
        <w:rPr>
          <w:spacing w:val="-22"/>
        </w:rPr>
        <w:t> </w:t>
      </w:r>
      <w:r>
        <w:rPr/>
        <w:t>workings</w:t>
      </w:r>
      <w:r>
        <w:rPr>
          <w:spacing w:val="-21"/>
        </w:rPr>
        <w:t> </w:t>
      </w:r>
      <w:r>
        <w:rPr/>
        <w:t>for</w:t>
      </w:r>
      <w:r>
        <w:rPr>
          <w:spacing w:val="-22"/>
        </w:rPr>
        <w:t> </w:t>
      </w:r>
      <w:r>
        <w:rPr/>
        <w:t>the</w:t>
      </w:r>
      <w:r>
        <w:rPr>
          <w:spacing w:val="-23"/>
        </w:rPr>
        <w:t> </w:t>
      </w:r>
      <w:r>
        <w:rPr/>
        <w:t>subject</w:t>
      </w:r>
      <w:r>
        <w:rPr>
          <w:spacing w:val="-23"/>
        </w:rPr>
        <w:t> </w:t>
      </w:r>
      <w:r>
        <w:rPr/>
        <w:t>property.</w:t>
      </w:r>
      <w:r>
        <w:rPr>
          <w:spacing w:val="-18"/>
        </w:rPr>
        <w:t> </w:t>
      </w:r>
      <w:r>
        <w:rPr/>
        <w:t>Please</w:t>
      </w:r>
      <w:r>
        <w:rPr>
          <w:spacing w:val="-23"/>
        </w:rPr>
        <w:t> </w:t>
      </w:r>
      <w:r>
        <w:rPr/>
        <w:t>note</w:t>
      </w:r>
      <w:r>
        <w:rPr>
          <w:spacing w:val="-21"/>
        </w:rPr>
        <w:t> </w:t>
      </w:r>
      <w:r>
        <w:rPr/>
        <w:t>that</w:t>
      </w:r>
      <w:r>
        <w:rPr>
          <w:spacing w:val="-23"/>
        </w:rPr>
        <w:t> </w:t>
      </w:r>
      <w:r>
        <w:rPr/>
        <w:t>the assumptions/</w:t>
      </w:r>
      <w:r>
        <w:rPr>
          <w:spacing w:val="-29"/>
        </w:rPr>
        <w:t> </w:t>
      </w:r>
      <w:r>
        <w:rPr/>
        <w:t>opinions</w:t>
      </w:r>
      <w:r>
        <w:rPr>
          <w:spacing w:val="-27"/>
        </w:rPr>
        <w:t> </w:t>
      </w:r>
      <w:r>
        <w:rPr/>
        <w:t>highlighted</w:t>
      </w:r>
      <w:r>
        <w:rPr>
          <w:spacing w:val="-27"/>
        </w:rPr>
        <w:t> </w:t>
      </w:r>
      <w:r>
        <w:rPr/>
        <w:t>in</w:t>
      </w:r>
      <w:r>
        <w:rPr>
          <w:spacing w:val="-28"/>
        </w:rPr>
        <w:t> </w:t>
      </w:r>
      <w:r>
        <w:rPr/>
        <w:t>the</w:t>
      </w:r>
      <w:r>
        <w:rPr>
          <w:spacing w:val="-28"/>
        </w:rPr>
        <w:t> </w:t>
      </w:r>
      <w:r>
        <w:rPr/>
        <w:t>subsequent</w:t>
      </w:r>
      <w:r>
        <w:rPr>
          <w:spacing w:val="-28"/>
        </w:rPr>
        <w:t> </w:t>
      </w:r>
      <w:r>
        <w:rPr/>
        <w:t>sections</w:t>
      </w:r>
      <w:r>
        <w:rPr>
          <w:spacing w:val="-27"/>
        </w:rPr>
        <w:t> </w:t>
      </w:r>
      <w:r>
        <w:rPr/>
        <w:t>are</w:t>
      </w:r>
      <w:r>
        <w:rPr>
          <w:spacing w:val="-28"/>
        </w:rPr>
        <w:t> </w:t>
      </w:r>
      <w:r>
        <w:rPr/>
        <w:t>to</w:t>
      </w:r>
      <w:r>
        <w:rPr>
          <w:spacing w:val="-28"/>
        </w:rPr>
        <w:t> </w:t>
      </w:r>
      <w:r>
        <w:rPr/>
        <w:t>be</w:t>
      </w:r>
      <w:r>
        <w:rPr>
          <w:spacing w:val="-23"/>
        </w:rPr>
        <w:t> </w:t>
      </w:r>
      <w:r>
        <w:rPr/>
        <w:t>read</w:t>
      </w:r>
      <w:r>
        <w:rPr>
          <w:spacing w:val="-27"/>
        </w:rPr>
        <w:t> </w:t>
      </w:r>
      <w:r>
        <w:rPr/>
        <w:t>in</w:t>
      </w:r>
      <w:r>
        <w:rPr>
          <w:spacing w:val="-28"/>
        </w:rPr>
        <w:t> </w:t>
      </w:r>
      <w:r>
        <w:rPr/>
        <w:t>conjunction</w:t>
      </w:r>
      <w:r>
        <w:rPr>
          <w:spacing w:val="-27"/>
        </w:rPr>
        <w:t> </w:t>
      </w:r>
      <w:r>
        <w:rPr/>
        <w:t>with</w:t>
      </w:r>
      <w:r>
        <w:rPr>
          <w:spacing w:val="-29"/>
        </w:rPr>
        <w:t> </w:t>
      </w:r>
      <w:r>
        <w:rPr/>
        <w:t>Section</w:t>
      </w:r>
    </w:p>
    <w:p>
      <w:pPr>
        <w:pStyle w:val="BodyText"/>
        <w:spacing w:line="255" w:lineRule="exact"/>
        <w:ind w:left="660"/>
      </w:pPr>
      <w:r>
        <w:rPr/>
        <w:t>1.11 and the following:</w:t>
      </w:r>
    </w:p>
    <w:p>
      <w:pPr>
        <w:pStyle w:val="BodyText"/>
        <w:spacing w:before="3"/>
        <w:rPr>
          <w:sz w:val="28"/>
        </w:rPr>
      </w:pPr>
    </w:p>
    <w:p>
      <w:pPr>
        <w:spacing w:line="321" w:lineRule="auto" w:before="0"/>
        <w:ind w:left="660" w:right="11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rPr>
          <w:i/>
          <w:sz w:val="21"/>
        </w:rPr>
      </w:pPr>
    </w:p>
    <w:p>
      <w:pPr>
        <w:pStyle w:val="ListParagraph"/>
        <w:numPr>
          <w:ilvl w:val="0"/>
          <w:numId w:val="75"/>
        </w:numPr>
        <w:tabs>
          <w:tab w:pos="1565" w:val="left" w:leader="none"/>
          <w:tab w:pos="1566" w:val="left" w:leader="none"/>
        </w:tabs>
        <w:spacing w:line="240" w:lineRule="auto" w:before="0" w:after="0"/>
        <w:ind w:left="1565" w:right="0" w:hanging="361"/>
        <w:jc w:val="left"/>
        <w:rPr>
          <w:i/>
          <w:sz w:val="22"/>
        </w:rPr>
      </w:pPr>
      <w:r>
        <w:rPr>
          <w:i/>
          <w:sz w:val="22"/>
        </w:rPr>
        <w:t>Limited/</w:t>
      </w:r>
      <w:r>
        <w:rPr>
          <w:i/>
          <w:spacing w:val="-13"/>
          <w:sz w:val="22"/>
        </w:rPr>
        <w:t> </w:t>
      </w:r>
      <w:r>
        <w:rPr>
          <w:i/>
          <w:sz w:val="22"/>
        </w:rPr>
        <w:t>no</w:t>
      </w:r>
      <w:r>
        <w:rPr>
          <w:i/>
          <w:spacing w:val="-13"/>
          <w:sz w:val="22"/>
        </w:rPr>
        <w:t> </w:t>
      </w:r>
      <w:r>
        <w:rPr>
          <w:i/>
          <w:sz w:val="22"/>
        </w:rPr>
        <w:t>growth</w:t>
      </w:r>
      <w:r>
        <w:rPr>
          <w:i/>
          <w:spacing w:val="-15"/>
          <w:sz w:val="22"/>
        </w:rPr>
        <w:t> </w:t>
      </w:r>
      <w:r>
        <w:rPr>
          <w:i/>
          <w:sz w:val="22"/>
        </w:rPr>
        <w:t>in</w:t>
      </w:r>
      <w:r>
        <w:rPr>
          <w:i/>
          <w:spacing w:val="-15"/>
          <w:sz w:val="22"/>
        </w:rPr>
        <w:t> </w:t>
      </w:r>
      <w:r>
        <w:rPr>
          <w:i/>
          <w:sz w:val="22"/>
        </w:rPr>
        <w:t>rent</w:t>
      </w:r>
      <w:r>
        <w:rPr>
          <w:i/>
          <w:spacing w:val="-12"/>
          <w:sz w:val="22"/>
        </w:rPr>
        <w:t> </w:t>
      </w:r>
      <w:r>
        <w:rPr>
          <w:i/>
          <w:sz w:val="22"/>
        </w:rPr>
        <w:t>has</w:t>
      </w:r>
      <w:r>
        <w:rPr>
          <w:i/>
          <w:spacing w:val="-14"/>
          <w:sz w:val="22"/>
        </w:rPr>
        <w:t> </w:t>
      </w:r>
      <w:r>
        <w:rPr>
          <w:i/>
          <w:sz w:val="22"/>
        </w:rPr>
        <w:t>been</w:t>
      </w:r>
      <w:r>
        <w:rPr>
          <w:i/>
          <w:spacing w:val="-15"/>
          <w:sz w:val="22"/>
        </w:rPr>
        <w:t> </w:t>
      </w:r>
      <w:r>
        <w:rPr>
          <w:i/>
          <w:sz w:val="22"/>
        </w:rPr>
        <w:t>considered</w:t>
      </w:r>
      <w:r>
        <w:rPr>
          <w:i/>
          <w:spacing w:val="-13"/>
          <w:sz w:val="22"/>
        </w:rPr>
        <w:t> </w:t>
      </w:r>
      <w:r>
        <w:rPr>
          <w:i/>
          <w:sz w:val="22"/>
        </w:rPr>
        <w:t>over</w:t>
      </w:r>
      <w:r>
        <w:rPr>
          <w:i/>
          <w:spacing w:val="-13"/>
          <w:sz w:val="22"/>
        </w:rPr>
        <w:t> </w:t>
      </w:r>
      <w:r>
        <w:rPr>
          <w:i/>
          <w:sz w:val="22"/>
        </w:rPr>
        <w:t>the</w:t>
      </w:r>
      <w:r>
        <w:rPr>
          <w:i/>
          <w:spacing w:val="-13"/>
          <w:sz w:val="22"/>
        </w:rPr>
        <w:t> </w:t>
      </w:r>
      <w:r>
        <w:rPr>
          <w:i/>
          <w:sz w:val="22"/>
        </w:rPr>
        <w:t>next</w:t>
      </w:r>
      <w:r>
        <w:rPr>
          <w:i/>
          <w:spacing w:val="-16"/>
          <w:sz w:val="22"/>
        </w:rPr>
        <w:t> </w:t>
      </w:r>
      <w:r>
        <w:rPr>
          <w:i/>
          <w:sz w:val="22"/>
        </w:rPr>
        <w:t>few</w:t>
      </w:r>
      <w:r>
        <w:rPr>
          <w:i/>
          <w:spacing w:val="-14"/>
          <w:sz w:val="22"/>
        </w:rPr>
        <w:t> </w:t>
      </w:r>
      <w:r>
        <w:rPr>
          <w:i/>
          <w:sz w:val="22"/>
        </w:rPr>
        <w:t>quarters</w:t>
      </w:r>
    </w:p>
    <w:p>
      <w:pPr>
        <w:pStyle w:val="ListParagraph"/>
        <w:numPr>
          <w:ilvl w:val="0"/>
          <w:numId w:val="75"/>
        </w:numPr>
        <w:tabs>
          <w:tab w:pos="1565" w:val="left" w:leader="none"/>
          <w:tab w:pos="1566" w:val="left" w:leader="none"/>
        </w:tabs>
        <w:spacing w:line="268" w:lineRule="auto" w:before="28" w:after="0"/>
        <w:ind w:left="1565" w:right="112" w:hanging="360"/>
        <w:jc w:val="left"/>
        <w:rPr>
          <w:i/>
          <w:sz w:val="22"/>
        </w:rPr>
      </w:pPr>
      <w:r>
        <w:rPr>
          <w:i/>
          <w:sz w:val="22"/>
        </w:rPr>
        <w:t>Considering</w:t>
      </w:r>
      <w:r>
        <w:rPr>
          <w:i/>
          <w:spacing w:val="-44"/>
          <w:sz w:val="22"/>
        </w:rPr>
        <w:t> </w:t>
      </w:r>
      <w:r>
        <w:rPr>
          <w:i/>
          <w:sz w:val="22"/>
        </w:rPr>
        <w:t>challenges</w:t>
      </w:r>
      <w:r>
        <w:rPr>
          <w:i/>
          <w:spacing w:val="-42"/>
          <w:sz w:val="22"/>
        </w:rPr>
        <w:t> </w:t>
      </w:r>
      <w:r>
        <w:rPr>
          <w:i/>
          <w:sz w:val="22"/>
        </w:rPr>
        <w:t>in</w:t>
      </w:r>
      <w:r>
        <w:rPr>
          <w:i/>
          <w:spacing w:val="-43"/>
          <w:sz w:val="22"/>
        </w:rPr>
        <w:t> </w:t>
      </w:r>
      <w:r>
        <w:rPr>
          <w:i/>
          <w:sz w:val="22"/>
        </w:rPr>
        <w:t>the</w:t>
      </w:r>
      <w:r>
        <w:rPr>
          <w:i/>
          <w:spacing w:val="-42"/>
          <w:sz w:val="22"/>
        </w:rPr>
        <w:t> </w:t>
      </w:r>
      <w:r>
        <w:rPr>
          <w:i/>
          <w:sz w:val="22"/>
        </w:rPr>
        <w:t>short</w:t>
      </w:r>
      <w:r>
        <w:rPr>
          <w:i/>
          <w:spacing w:val="-43"/>
          <w:sz w:val="22"/>
        </w:rPr>
        <w:t> </w:t>
      </w:r>
      <w:r>
        <w:rPr>
          <w:i/>
          <w:sz w:val="22"/>
        </w:rPr>
        <w:t>term,</w:t>
      </w:r>
      <w:r>
        <w:rPr>
          <w:i/>
          <w:spacing w:val="-41"/>
          <w:sz w:val="22"/>
        </w:rPr>
        <w:t> </w:t>
      </w:r>
      <w:r>
        <w:rPr>
          <w:i/>
          <w:sz w:val="22"/>
        </w:rPr>
        <w:t>timelines</w:t>
      </w:r>
      <w:r>
        <w:rPr>
          <w:i/>
          <w:spacing w:val="-44"/>
          <w:sz w:val="22"/>
        </w:rPr>
        <w:t> </w:t>
      </w:r>
      <w:r>
        <w:rPr>
          <w:i/>
          <w:sz w:val="22"/>
        </w:rPr>
        <w:t>have</w:t>
      </w:r>
      <w:r>
        <w:rPr>
          <w:i/>
          <w:spacing w:val="-41"/>
          <w:sz w:val="22"/>
        </w:rPr>
        <w:t> </w:t>
      </w:r>
      <w:r>
        <w:rPr>
          <w:i/>
          <w:sz w:val="22"/>
        </w:rPr>
        <w:t>been</w:t>
      </w:r>
      <w:r>
        <w:rPr>
          <w:i/>
          <w:spacing w:val="-43"/>
          <w:sz w:val="22"/>
        </w:rPr>
        <w:t> </w:t>
      </w:r>
      <w:r>
        <w:rPr>
          <w:i/>
          <w:sz w:val="22"/>
        </w:rPr>
        <w:t>extended</w:t>
      </w:r>
      <w:r>
        <w:rPr>
          <w:i/>
          <w:spacing w:val="-42"/>
          <w:sz w:val="22"/>
        </w:rPr>
        <w:t> </w:t>
      </w:r>
      <w:r>
        <w:rPr>
          <w:i/>
          <w:sz w:val="22"/>
        </w:rPr>
        <w:t>for</w:t>
      </w:r>
      <w:r>
        <w:rPr>
          <w:i/>
          <w:spacing w:val="-43"/>
          <w:sz w:val="22"/>
        </w:rPr>
        <w:t> </w:t>
      </w:r>
      <w:r>
        <w:rPr>
          <w:i/>
          <w:sz w:val="22"/>
        </w:rPr>
        <w:t>new</w:t>
      </w:r>
      <w:r>
        <w:rPr>
          <w:i/>
          <w:spacing w:val="-42"/>
          <w:sz w:val="22"/>
        </w:rPr>
        <w:t> </w:t>
      </w:r>
      <w:r>
        <w:rPr>
          <w:i/>
          <w:sz w:val="22"/>
        </w:rPr>
        <w:t>space</w:t>
      </w:r>
      <w:r>
        <w:rPr>
          <w:i/>
          <w:spacing w:val="-43"/>
          <w:sz w:val="22"/>
        </w:rPr>
        <w:t> </w:t>
      </w:r>
      <w:r>
        <w:rPr>
          <w:i/>
          <w:sz w:val="22"/>
        </w:rPr>
        <w:t>take-up/ </w:t>
      </w:r>
      <w:r>
        <w:rPr>
          <w:i/>
          <w:sz w:val="22"/>
        </w:rPr>
        <w:t>future</w:t>
      </w:r>
      <w:r>
        <w:rPr>
          <w:i/>
          <w:spacing w:val="-3"/>
          <w:sz w:val="22"/>
        </w:rPr>
        <w:t> </w:t>
      </w:r>
      <w:r>
        <w:rPr>
          <w:i/>
          <w:sz w:val="22"/>
        </w:rPr>
        <w:t>leasing</w:t>
      </w:r>
    </w:p>
    <w:p>
      <w:pPr>
        <w:pStyle w:val="ListParagraph"/>
        <w:numPr>
          <w:ilvl w:val="0"/>
          <w:numId w:val="75"/>
        </w:numPr>
        <w:tabs>
          <w:tab w:pos="1565" w:val="left" w:leader="none"/>
          <w:tab w:pos="1566" w:val="left" w:leader="none"/>
        </w:tabs>
        <w:spacing w:line="268" w:lineRule="auto" w:before="0" w:after="0"/>
        <w:ind w:left="1565" w:right="111" w:hanging="360"/>
        <w:jc w:val="left"/>
        <w:rPr>
          <w:i/>
          <w:sz w:val="22"/>
        </w:rPr>
      </w:pPr>
      <w:r>
        <w:rPr>
          <w:i/>
          <w:sz w:val="22"/>
        </w:rPr>
        <w:t>Additional</w:t>
      </w:r>
      <w:r>
        <w:rPr>
          <w:i/>
          <w:spacing w:val="-28"/>
          <w:sz w:val="22"/>
        </w:rPr>
        <w:t> </w:t>
      </w:r>
      <w:r>
        <w:rPr>
          <w:i/>
          <w:sz w:val="22"/>
        </w:rPr>
        <w:t>fit-out</w:t>
      </w:r>
      <w:r>
        <w:rPr>
          <w:i/>
          <w:spacing w:val="-27"/>
          <w:sz w:val="22"/>
        </w:rPr>
        <w:t> </w:t>
      </w:r>
      <w:r>
        <w:rPr>
          <w:i/>
          <w:sz w:val="22"/>
        </w:rPr>
        <w:t>period/</w:t>
      </w:r>
      <w:r>
        <w:rPr>
          <w:i/>
          <w:spacing w:val="-27"/>
          <w:sz w:val="22"/>
        </w:rPr>
        <w:t> </w:t>
      </w:r>
      <w:r>
        <w:rPr>
          <w:i/>
          <w:sz w:val="22"/>
        </w:rPr>
        <w:t>rent</w:t>
      </w:r>
      <w:r>
        <w:rPr>
          <w:i/>
          <w:spacing w:val="-28"/>
          <w:sz w:val="22"/>
        </w:rPr>
        <w:t> </w:t>
      </w:r>
      <w:r>
        <w:rPr>
          <w:i/>
          <w:sz w:val="22"/>
        </w:rPr>
        <w:t>free</w:t>
      </w:r>
      <w:r>
        <w:rPr>
          <w:i/>
          <w:spacing w:val="-27"/>
          <w:sz w:val="22"/>
        </w:rPr>
        <w:t> </w:t>
      </w:r>
      <w:r>
        <w:rPr>
          <w:i/>
          <w:sz w:val="22"/>
        </w:rPr>
        <w:t>months</w:t>
      </w:r>
      <w:r>
        <w:rPr>
          <w:i/>
          <w:spacing w:val="-26"/>
          <w:sz w:val="22"/>
        </w:rPr>
        <w:t> </w:t>
      </w:r>
      <w:r>
        <w:rPr>
          <w:i/>
          <w:sz w:val="22"/>
        </w:rPr>
        <w:t>have</w:t>
      </w:r>
      <w:r>
        <w:rPr>
          <w:i/>
          <w:spacing w:val="-27"/>
          <w:sz w:val="22"/>
        </w:rPr>
        <w:t> </w:t>
      </w:r>
      <w:r>
        <w:rPr>
          <w:i/>
          <w:sz w:val="22"/>
        </w:rPr>
        <w:t>been</w:t>
      </w:r>
      <w:r>
        <w:rPr>
          <w:i/>
          <w:spacing w:val="-27"/>
          <w:sz w:val="22"/>
        </w:rPr>
        <w:t> </w:t>
      </w:r>
      <w:r>
        <w:rPr>
          <w:i/>
          <w:sz w:val="22"/>
        </w:rPr>
        <w:t>incorporated</w:t>
      </w:r>
      <w:r>
        <w:rPr>
          <w:i/>
          <w:spacing w:val="-28"/>
          <w:sz w:val="22"/>
        </w:rPr>
        <w:t> </w:t>
      </w:r>
      <w:r>
        <w:rPr>
          <w:i/>
          <w:sz w:val="22"/>
        </w:rPr>
        <w:t>where</w:t>
      </w:r>
      <w:r>
        <w:rPr>
          <w:i/>
          <w:spacing w:val="-27"/>
          <w:sz w:val="22"/>
        </w:rPr>
        <w:t> </w:t>
      </w:r>
      <w:r>
        <w:rPr>
          <w:i/>
          <w:sz w:val="22"/>
        </w:rPr>
        <w:t>fit-out</w:t>
      </w:r>
      <w:r>
        <w:rPr>
          <w:i/>
          <w:spacing w:val="-28"/>
          <w:sz w:val="22"/>
        </w:rPr>
        <w:t> </w:t>
      </w:r>
      <w:r>
        <w:rPr>
          <w:i/>
          <w:sz w:val="22"/>
        </w:rPr>
        <w:t>works</w:t>
      </w:r>
      <w:r>
        <w:rPr>
          <w:i/>
          <w:spacing w:val="-27"/>
          <w:sz w:val="22"/>
        </w:rPr>
        <w:t> </w:t>
      </w:r>
      <w:r>
        <w:rPr>
          <w:i/>
          <w:sz w:val="22"/>
        </w:rPr>
        <w:t>have </w:t>
      </w:r>
      <w:r>
        <w:rPr>
          <w:i/>
          <w:sz w:val="22"/>
        </w:rPr>
        <w:t>commenced”</w:t>
      </w:r>
    </w:p>
    <w:p>
      <w:pPr>
        <w:pStyle w:val="BodyText"/>
        <w:spacing w:before="3"/>
        <w:rPr>
          <w:i/>
          <w:sz w:val="20"/>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87" w:id="560"/>
      <w:bookmarkEnd w:id="560"/>
      <w:r>
        <w:rPr/>
      </w:r>
      <w:bookmarkStart w:name="_bookmark287" w:id="561"/>
      <w:bookmarkEnd w:id="561"/>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6"/>
        <w:ind w:left="686" w:right="122"/>
        <w:jc w:val="both"/>
      </w:pPr>
      <w:r>
        <w:rPr/>
        <w:t>Based</w:t>
      </w:r>
      <w:r>
        <w:rPr>
          <w:spacing w:val="-47"/>
        </w:rPr>
        <w:t> </w:t>
      </w:r>
      <w:r>
        <w:rPr/>
        <w:t>on</w:t>
      </w:r>
      <w:r>
        <w:rPr>
          <w:spacing w:val="-47"/>
        </w:rPr>
        <w:t> </w:t>
      </w:r>
      <w:r>
        <w:rPr/>
        <w:t>information/rent</w:t>
      </w:r>
      <w:r>
        <w:rPr>
          <w:spacing w:val="-47"/>
        </w:rPr>
        <w:t> </w:t>
      </w:r>
      <w:r>
        <w:rPr/>
        <w:t>roll</w:t>
      </w:r>
      <w:r>
        <w:rPr>
          <w:spacing w:val="-48"/>
        </w:rPr>
        <w:t> </w:t>
      </w:r>
      <w:r>
        <w:rPr/>
        <w:t>provided</w:t>
      </w:r>
      <w:r>
        <w:rPr>
          <w:spacing w:val="-47"/>
        </w:rPr>
        <w:t> </w:t>
      </w:r>
      <w:r>
        <w:rPr/>
        <w:t>by</w:t>
      </w:r>
      <w:r>
        <w:rPr>
          <w:spacing w:val="-47"/>
        </w:rPr>
        <w:t> </w:t>
      </w:r>
      <w:r>
        <w:rPr/>
        <w:t>the</w:t>
      </w:r>
      <w:r>
        <w:rPr>
          <w:spacing w:val="-47"/>
        </w:rPr>
        <w:t> </w:t>
      </w:r>
      <w:r>
        <w:rPr/>
        <w:t>Client,</w:t>
      </w:r>
      <w:r>
        <w:rPr>
          <w:spacing w:val="-47"/>
        </w:rPr>
        <w:t> </w:t>
      </w:r>
      <w:r>
        <w:rPr/>
        <w:t>we</w:t>
      </w:r>
      <w:r>
        <w:rPr>
          <w:spacing w:val="-47"/>
        </w:rPr>
        <w:t> </w:t>
      </w:r>
      <w:r>
        <w:rPr/>
        <w:t>understand</w:t>
      </w:r>
      <w:r>
        <w:rPr>
          <w:spacing w:val="-47"/>
        </w:rPr>
        <w:t> </w:t>
      </w:r>
      <w:r>
        <w:rPr/>
        <w:t>that</w:t>
      </w:r>
      <w:r>
        <w:rPr>
          <w:spacing w:val="-46"/>
        </w:rPr>
        <w:t> </w:t>
      </w:r>
      <w:r>
        <w:rPr/>
        <w:t>the</w:t>
      </w:r>
      <w:r>
        <w:rPr>
          <w:spacing w:val="-49"/>
        </w:rPr>
        <w:t> </w:t>
      </w:r>
      <w:r>
        <w:rPr/>
        <w:t>subject</w:t>
      </w:r>
      <w:r>
        <w:rPr>
          <w:spacing w:val="-46"/>
        </w:rPr>
        <w:t> </w:t>
      </w:r>
      <w:r>
        <w:rPr/>
        <w:t>property</w:t>
      </w:r>
      <w:r>
        <w:rPr>
          <w:spacing w:val="-46"/>
        </w:rPr>
        <w:t> </w:t>
      </w:r>
      <w:r>
        <w:rPr/>
        <w:t>is</w:t>
      </w:r>
      <w:r>
        <w:rPr>
          <w:spacing w:val="-47"/>
        </w:rPr>
        <w:t> </w:t>
      </w:r>
      <w:r>
        <w:rPr/>
        <w:t>an</w:t>
      </w:r>
      <w:r>
        <w:rPr>
          <w:spacing w:val="-48"/>
        </w:rPr>
        <w:t> </w:t>
      </w:r>
      <w:r>
        <w:rPr/>
        <w:t>office park.</w:t>
      </w:r>
      <w:r>
        <w:rPr>
          <w:spacing w:val="-15"/>
        </w:rPr>
        <w:t> </w:t>
      </w:r>
      <w:r>
        <w:rPr/>
        <w:t>Further,</w:t>
      </w:r>
      <w:r>
        <w:rPr>
          <w:spacing w:val="-15"/>
        </w:rPr>
        <w:t> </w:t>
      </w:r>
      <w:r>
        <w:rPr/>
        <w:t>the</w:t>
      </w:r>
      <w:r>
        <w:rPr>
          <w:spacing w:val="-15"/>
        </w:rPr>
        <w:t> </w:t>
      </w:r>
      <w:r>
        <w:rPr/>
        <w:t>table</w:t>
      </w:r>
      <w:r>
        <w:rPr>
          <w:spacing w:val="-15"/>
        </w:rPr>
        <w:t> </w:t>
      </w:r>
      <w:r>
        <w:rPr/>
        <w:t>below</w:t>
      </w:r>
      <w:r>
        <w:rPr>
          <w:spacing w:val="-14"/>
        </w:rPr>
        <w:t> </w:t>
      </w:r>
      <w:r>
        <w:rPr/>
        <w:t>highlights</w:t>
      </w:r>
      <w:r>
        <w:rPr>
          <w:spacing w:val="-14"/>
        </w:rPr>
        <w:t> </w:t>
      </w:r>
      <w:r>
        <w:rPr/>
        <w:t>the</w:t>
      </w:r>
      <w:r>
        <w:rPr>
          <w:spacing w:val="-14"/>
        </w:rPr>
        <w:t> </w:t>
      </w:r>
      <w:r>
        <w:rPr/>
        <w:t>area</w:t>
      </w:r>
      <w:r>
        <w:rPr>
          <w:spacing w:val="-15"/>
        </w:rPr>
        <w:t> </w:t>
      </w:r>
      <w:r>
        <w:rPr/>
        <w:t>configuration</w:t>
      </w:r>
      <w:r>
        <w:rPr>
          <w:spacing w:val="-16"/>
        </w:rPr>
        <w:t> </w:t>
      </w:r>
      <w:r>
        <w:rPr/>
        <w:t>of</w:t>
      </w:r>
      <w:r>
        <w:rPr>
          <w:spacing w:val="-13"/>
        </w:rPr>
        <w:t> </w:t>
      </w:r>
      <w:r>
        <w:rPr/>
        <w:t>the</w:t>
      </w:r>
      <w:r>
        <w:rPr>
          <w:spacing w:val="-16"/>
        </w:rPr>
        <w:t> </w:t>
      </w:r>
      <w:r>
        <w:rPr/>
        <w:t>subject</w:t>
      </w:r>
      <w:r>
        <w:rPr>
          <w:spacing w:val="-13"/>
        </w:rPr>
        <w:t> </w:t>
      </w:r>
      <w:r>
        <w:rPr/>
        <w:t>property:</w:t>
      </w:r>
    </w:p>
    <w:p>
      <w:pPr>
        <w:pStyle w:val="BodyText"/>
        <w:spacing w:before="1"/>
        <w:rPr>
          <w:sz w:val="17"/>
        </w:rPr>
      </w:pPr>
      <w:r>
        <w:rPr/>
        <w:pict>
          <v:group style="position:absolute;margin-left:35.279999pt;margin-top:11.890448pt;width:524.3pt;height:14.65pt;mso-position-horizontal-relative:page;mso-position-vertical-relative:paragraph;z-index:-15084544;mso-wrap-distance-left:0;mso-wrap-distance-right:0" coordorigin="706,238" coordsize="10486,293">
            <v:shape style="position:absolute;left:720;top:269;width:10472;height:248" coordorigin="720,269" coordsize="10472,248" path="m11191,269l5055,269,720,269,720,516,5055,516,11191,516,11191,269xe" filled="true" fillcolor="#006a4d" stroked="false">
              <v:path arrowok="t"/>
              <v:fill type="solid"/>
            </v:shape>
            <v:rect style="position:absolute;left:720;top:237;width:4336;height:29" filled="true" fillcolor="#1b6b22" stroked="false">
              <v:fill type="solid"/>
            </v:rect>
            <v:shape style="position:absolute;left:720;top:266;width:4365;height:3" coordorigin="720,267" coordsize="4365,3" path="m5084,267l5055,267,720,267,720,269,5055,269,5084,269,5084,267xe" filled="true" fillcolor="#006a4d" stroked="false">
              <v:path arrowok="t"/>
              <v:fill type="solid"/>
            </v:shape>
            <v:shape style="position:absolute;left:5055;top:237;width:6136;height:29" coordorigin="5055,238" coordsize="6136,29" path="m11191,238l5084,238,5055,238,5055,267,5084,267,11191,267,11191,238xe" filled="true" fillcolor="#1b6b22" stroked="false">
              <v:path arrowok="t"/>
              <v:fill type="solid"/>
            </v:shape>
            <v:rect style="position:absolute;left:5084;top:266;width:6107;height:3" filled="true" fillcolor="#006a4d" stroked="false">
              <v:fill type="solid"/>
            </v:rect>
            <v:shape style="position:absolute;left:720;top:516;width:10472;height:15" coordorigin="720,516" coordsize="10472,15" path="m11191,516l5070,516,5055,516,720,516,720,531,5055,531,5070,531,11191,531,11191,516xe" filled="true" fillcolor="#69bd28" stroked="false">
              <v:path arrowok="t"/>
              <v:fill type="solid"/>
            </v:shape>
            <v:shape style="position:absolute;left:705;top:266;width:10486;height:250" type="#_x0000_t202" filled="false" stroked="false">
              <v:textbox inset="0,0,0,0">
                <w:txbxContent>
                  <w:p>
                    <w:pPr>
                      <w:tabs>
                        <w:tab w:pos="6483" w:val="left" w:leader="none"/>
                      </w:tabs>
                      <w:spacing w:before="20"/>
                      <w:ind w:left="1663" w:right="0" w:firstLine="0"/>
                      <w:jc w:val="left"/>
                      <w:rPr>
                        <w:b/>
                        <w:sz w:val="18"/>
                      </w:rPr>
                    </w:pPr>
                    <w:r>
                      <w:rPr>
                        <w:b/>
                        <w:color w:val="FFFFFF"/>
                        <w:w w:val="105"/>
                        <w:sz w:val="18"/>
                      </w:rPr>
                      <w:t>Component</w:t>
                      <w:tab/>
                      <w:t>Leasable area (in</w:t>
                    </w:r>
                    <w:r>
                      <w:rPr>
                        <w:b/>
                        <w:color w:val="FFFFFF"/>
                        <w:spacing w:val="3"/>
                        <w:w w:val="105"/>
                        <w:sz w:val="18"/>
                      </w:rPr>
                      <w:t> </w:t>
                    </w:r>
                    <w:r>
                      <w:rPr>
                        <w:b/>
                        <w:color w:val="FFFFFF"/>
                        <w:w w:val="105"/>
                        <w:sz w:val="18"/>
                      </w:rPr>
                      <w:t>sf)</w:t>
                    </w:r>
                  </w:p>
                </w:txbxContent>
              </v:textbox>
              <w10:wrap type="none"/>
            </v:shape>
            <w10:wrap type="topAndBottom"/>
          </v:group>
        </w:pict>
      </w:r>
    </w:p>
    <w:p>
      <w:pPr>
        <w:tabs>
          <w:tab w:pos="7098" w:val="left" w:leader="none"/>
        </w:tabs>
        <w:spacing w:before="46" w:after="74"/>
        <w:ind w:left="1582" w:right="0" w:firstLine="0"/>
        <w:jc w:val="left"/>
        <w:rPr>
          <w:sz w:val="18"/>
        </w:rPr>
      </w:pPr>
      <w:r>
        <w:rPr>
          <w:sz w:val="18"/>
        </w:rPr>
        <w:t>Completed</w:t>
      </w:r>
      <w:r>
        <w:rPr>
          <w:spacing w:val="-12"/>
          <w:sz w:val="18"/>
        </w:rPr>
        <w:t> </w:t>
      </w:r>
      <w:r>
        <w:rPr>
          <w:sz w:val="18"/>
        </w:rPr>
        <w:t>Blocks</w:t>
        <w:tab/>
        <w:t>1,357,029</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350,0,4335,0,0,0,0,14,4335,14,4350,14,10471,14,10471,0xe" filled="true" fillcolor="#69bd28" stroked="false">
              <v:path arrowok="t"/>
              <v:fill type="solid"/>
            </v:shape>
          </v:group>
        </w:pict>
      </w:r>
      <w:r>
        <w:rPr>
          <w:sz w:val="2"/>
        </w:rPr>
      </w:r>
    </w:p>
    <w:p>
      <w:pPr>
        <w:tabs>
          <w:tab w:pos="6239" w:val="left" w:leader="none"/>
        </w:tabs>
        <w:spacing w:before="70"/>
        <w:ind w:left="0" w:right="3150" w:firstLine="0"/>
        <w:jc w:val="right"/>
        <w:rPr>
          <w:sz w:val="18"/>
        </w:rPr>
      </w:pPr>
      <w:r>
        <w:rPr/>
        <w:pict>
          <v:shape style="position:absolute;margin-left:36pt;margin-top:17.710674pt;width:523.6pt;height:.75pt;mso-position-horizontal-relative:page;mso-position-vertical-relative:paragraph;z-index:-15083520;mso-wrap-distance-left:0;mso-wrap-distance-right:0" coordorigin="720,354" coordsize="10472,15" path="m11191,354l5070,354,5055,354,720,354,720,369,5055,369,5070,369,11191,369,11191,354xe" filled="true" fillcolor="#69bd28" stroked="false">
            <v:path arrowok="t"/>
            <v:fill type="solid"/>
            <w10:wrap type="topAndBottom"/>
          </v:shape>
        </w:pict>
      </w:r>
      <w:r>
        <w:rPr>
          <w:sz w:val="18"/>
        </w:rPr>
        <w:t>Under</w:t>
      </w:r>
      <w:r>
        <w:rPr>
          <w:spacing w:val="-16"/>
          <w:sz w:val="18"/>
        </w:rPr>
        <w:t> </w:t>
      </w:r>
      <w:r>
        <w:rPr>
          <w:sz w:val="18"/>
        </w:rPr>
        <w:t>Construction</w:t>
      </w:r>
      <w:r>
        <w:rPr>
          <w:spacing w:val="-15"/>
          <w:sz w:val="18"/>
        </w:rPr>
        <w:t> </w:t>
      </w:r>
      <w:r>
        <w:rPr>
          <w:sz w:val="18"/>
        </w:rPr>
        <w:t>Blocks</w:t>
        <w:tab/>
      </w:r>
      <w:r>
        <w:rPr>
          <w:w w:val="95"/>
          <w:sz w:val="18"/>
        </w:rPr>
        <w:t>-</w:t>
      </w:r>
    </w:p>
    <w:p>
      <w:pPr>
        <w:tabs>
          <w:tab w:pos="5840" w:val="left" w:leader="none"/>
        </w:tabs>
        <w:spacing w:before="37" w:after="66"/>
        <w:ind w:left="0" w:right="3150" w:firstLine="0"/>
        <w:jc w:val="right"/>
        <w:rPr>
          <w:sz w:val="18"/>
        </w:rPr>
      </w:pPr>
      <w:r>
        <w:rPr>
          <w:sz w:val="18"/>
        </w:rPr>
        <w:t>Proposed</w:t>
      </w:r>
      <w:r>
        <w:rPr>
          <w:spacing w:val="-10"/>
          <w:sz w:val="18"/>
        </w:rPr>
        <w:t> </w:t>
      </w:r>
      <w:r>
        <w:rPr>
          <w:sz w:val="18"/>
        </w:rPr>
        <w:t>Blocks</w:t>
        <w:tab/>
      </w:r>
      <w:r>
        <w:rPr>
          <w:w w:val="95"/>
          <w:sz w:val="18"/>
        </w:rPr>
        <w:t>-</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350,0,4335,0,0,0,0,14,4335,14,4350,14,10471,14,10471,0xe" filled="true" fillcolor="#69bd28" stroked="false">
              <v:path arrowok="t"/>
              <v:fill type="solid"/>
            </v:shape>
          </v:group>
        </w:pict>
      </w:r>
      <w:r>
        <w:rPr>
          <w:sz w:val="2"/>
        </w:rPr>
      </w:r>
    </w:p>
    <w:p>
      <w:pPr>
        <w:tabs>
          <w:tab w:pos="7098" w:val="left" w:leader="none"/>
        </w:tabs>
        <w:spacing w:before="65"/>
        <w:ind w:left="2093" w:right="0" w:firstLine="0"/>
        <w:jc w:val="left"/>
        <w:rPr>
          <w:sz w:val="18"/>
        </w:rPr>
      </w:pPr>
      <w:r>
        <w:rPr/>
        <w:pict>
          <v:shape style="position:absolute;margin-left:35.280003pt;margin-top:17.220671pt;width:524.3pt;height:.75pt;mso-position-horizontal-relative:page;mso-position-vertical-relative:paragraph;z-index:-15082496;mso-wrap-distance-left:0;mso-wrap-distance-right:0" coordorigin="706,344" coordsize="10486,15" path="m11191,344l5055,344,5041,344,706,344,706,359,5041,359,5055,359,11191,359,11191,344xe" filled="true" fillcolor="#69bd28" stroked="false">
            <v:path arrowok="t"/>
            <v:fill type="solid"/>
            <w10:wrap type="topAndBottom"/>
          </v:shape>
        </w:pict>
      </w:r>
      <w:r>
        <w:rPr>
          <w:sz w:val="18"/>
        </w:rPr>
        <w:t>Total</w:t>
        <w:tab/>
        <w:t>1,357,029</w:t>
      </w:r>
    </w:p>
    <w:p>
      <w:pPr>
        <w:spacing w:before="0"/>
        <w:ind w:left="120" w:right="0" w:firstLine="0"/>
        <w:jc w:val="left"/>
        <w:rPr>
          <w:i/>
          <w:sz w:val="18"/>
        </w:rPr>
      </w:pPr>
      <w:r>
        <w:rPr>
          <w:i/>
          <w:sz w:val="18"/>
        </w:rPr>
        <w:t>Source: Architect certificate and Rent roll provided by Client</w:t>
      </w:r>
    </w:p>
    <w:p>
      <w:pPr>
        <w:pStyle w:val="BodyText"/>
        <w:spacing w:before="1"/>
        <w:rPr>
          <w:i/>
          <w:sz w:val="21"/>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88" w:id="562"/>
      <w:bookmarkEnd w:id="562"/>
      <w:r>
        <w:rPr/>
      </w:r>
      <w:bookmarkStart w:name="_bookmark288" w:id="563"/>
      <w:bookmarkEnd w:id="563"/>
      <w:r>
        <w:rPr>
          <w:color w:val="1F664D"/>
          <w:sz w:val="22"/>
        </w:rPr>
        <w:t>Con</w:t>
      </w:r>
      <w:r>
        <w:rPr>
          <w:color w:val="1F664D"/>
          <w:sz w:val="22"/>
        </w:rPr>
        <w:t>struction Timelines</w:t>
      </w:r>
    </w:p>
    <w:p>
      <w:pPr>
        <w:pStyle w:val="BodyText"/>
        <w:spacing w:line="324" w:lineRule="auto" w:before="208"/>
        <w:ind w:left="686"/>
      </w:pPr>
      <w:r>
        <w:rPr/>
        <w:t>As</w:t>
      </w:r>
      <w:r>
        <w:rPr>
          <w:spacing w:val="-29"/>
        </w:rPr>
        <w:t> </w:t>
      </w:r>
      <w:r>
        <w:rPr/>
        <w:t>highlighted</w:t>
      </w:r>
      <w:r>
        <w:rPr>
          <w:spacing w:val="-29"/>
        </w:rPr>
        <w:t> </w:t>
      </w:r>
      <w:r>
        <w:rPr/>
        <w:t>earlier,</w:t>
      </w:r>
      <w:r>
        <w:rPr>
          <w:spacing w:val="-30"/>
        </w:rPr>
        <w:t> </w:t>
      </w:r>
      <w:r>
        <w:rPr/>
        <w:t>the</w:t>
      </w:r>
      <w:r>
        <w:rPr>
          <w:spacing w:val="-29"/>
        </w:rPr>
        <w:t> </w:t>
      </w:r>
      <w:r>
        <w:rPr/>
        <w:t>subject</w:t>
      </w:r>
      <w:r>
        <w:rPr>
          <w:spacing w:val="-29"/>
        </w:rPr>
        <w:t> </w:t>
      </w:r>
      <w:r>
        <w:rPr/>
        <w:t>property</w:t>
      </w:r>
      <w:r>
        <w:rPr>
          <w:spacing w:val="-29"/>
        </w:rPr>
        <w:t> </w:t>
      </w:r>
      <w:r>
        <w:rPr/>
        <w:t>has</w:t>
      </w:r>
      <w:r>
        <w:rPr>
          <w:spacing w:val="-29"/>
        </w:rPr>
        <w:t> </w:t>
      </w:r>
      <w:r>
        <w:rPr/>
        <w:t>approx.</w:t>
      </w:r>
      <w:r>
        <w:rPr>
          <w:spacing w:val="-29"/>
        </w:rPr>
        <w:t> </w:t>
      </w:r>
      <w:r>
        <w:rPr/>
        <w:t>1.36</w:t>
      </w:r>
      <w:r>
        <w:rPr>
          <w:spacing w:val="-29"/>
        </w:rPr>
        <w:t> </w:t>
      </w:r>
      <w:r>
        <w:rPr/>
        <w:t>msf</w:t>
      </w:r>
      <w:r>
        <w:rPr>
          <w:spacing w:val="-28"/>
        </w:rPr>
        <w:t> </w:t>
      </w:r>
      <w:r>
        <w:rPr/>
        <w:t>of</w:t>
      </w:r>
      <w:r>
        <w:rPr>
          <w:spacing w:val="-29"/>
        </w:rPr>
        <w:t> </w:t>
      </w:r>
      <w:r>
        <w:rPr/>
        <w:t>completed</w:t>
      </w:r>
      <w:r>
        <w:rPr>
          <w:spacing w:val="-29"/>
        </w:rPr>
        <w:t> </w:t>
      </w:r>
      <w:r>
        <w:rPr/>
        <w:t>office</w:t>
      </w:r>
      <w:r>
        <w:rPr>
          <w:spacing w:val="-30"/>
        </w:rPr>
        <w:t> </w:t>
      </w:r>
      <w:r>
        <w:rPr/>
        <w:t>development</w:t>
      </w:r>
      <w:r>
        <w:rPr>
          <w:spacing w:val="-31"/>
        </w:rPr>
        <w:t> </w:t>
      </w:r>
      <w:r>
        <w:rPr/>
        <w:t>with no</w:t>
      </w:r>
      <w:r>
        <w:rPr>
          <w:spacing w:val="-9"/>
        </w:rPr>
        <w:t> </w:t>
      </w:r>
      <w:r>
        <w:rPr/>
        <w:t>pending</w:t>
      </w:r>
      <w:r>
        <w:rPr>
          <w:spacing w:val="-7"/>
        </w:rPr>
        <w:t> </w:t>
      </w:r>
      <w:r>
        <w:rPr/>
        <w:t>cost</w:t>
      </w:r>
      <w:r>
        <w:rPr>
          <w:spacing w:val="-8"/>
        </w:rPr>
        <w:t> </w:t>
      </w:r>
      <w:r>
        <w:rPr/>
        <w:t>to</w:t>
      </w:r>
      <w:r>
        <w:rPr>
          <w:spacing w:val="-8"/>
        </w:rPr>
        <w:t> </w:t>
      </w:r>
      <w:r>
        <w:rPr/>
        <w:t>complete</w:t>
      </w:r>
      <w:r>
        <w:rPr>
          <w:spacing w:val="-8"/>
        </w:rPr>
        <w:t> </w:t>
      </w:r>
      <w:r>
        <w:rPr/>
        <w:t>as</w:t>
      </w:r>
      <w:r>
        <w:rPr>
          <w:spacing w:val="-8"/>
        </w:rPr>
        <w:t> </w:t>
      </w:r>
      <w:r>
        <w:rPr/>
        <w:t>of</w:t>
      </w:r>
      <w:r>
        <w:rPr>
          <w:spacing w:val="-7"/>
        </w:rPr>
        <w:t> </w:t>
      </w:r>
      <w:r>
        <w:rPr/>
        <w:t>date</w:t>
      </w:r>
      <w:r>
        <w:rPr>
          <w:spacing w:val="-8"/>
        </w:rPr>
        <w:t> </w:t>
      </w:r>
      <w:r>
        <w:rPr/>
        <w:t>of</w:t>
      </w:r>
      <w:r>
        <w:rPr>
          <w:spacing w:val="-7"/>
        </w:rPr>
        <w:t> </w:t>
      </w:r>
      <w:r>
        <w:rPr/>
        <w:t>valuation</w:t>
      </w:r>
      <w:r>
        <w:rPr>
          <w:spacing w:val="-9"/>
        </w:rPr>
        <w:t> </w:t>
      </w:r>
      <w:r>
        <w:rPr/>
        <w:t>for</w:t>
      </w:r>
      <w:r>
        <w:rPr>
          <w:spacing w:val="-8"/>
        </w:rPr>
        <w:t> </w:t>
      </w:r>
      <w:r>
        <w:rPr/>
        <w:t>the</w:t>
      </w:r>
      <w:r>
        <w:rPr>
          <w:spacing w:val="-8"/>
        </w:rPr>
        <w:t> </w:t>
      </w:r>
      <w:r>
        <w:rPr/>
        <w:t>completed</w:t>
      </w:r>
      <w:r>
        <w:rPr>
          <w:spacing w:val="-8"/>
        </w:rPr>
        <w:t> </w:t>
      </w:r>
      <w:r>
        <w:rPr/>
        <w:t>blocks.</w:t>
      </w:r>
    </w:p>
    <w:p>
      <w:pPr>
        <w:spacing w:after="0" w:line="324" w:lineRule="auto"/>
        <w:sectPr>
          <w:pgSz w:w="11910" w:h="16840"/>
          <w:pgMar w:header="720" w:footer="921" w:top="1660" w:bottom="1120" w:left="600" w:right="600"/>
        </w:sectPr>
      </w:pPr>
    </w:p>
    <w:p>
      <w:pPr>
        <w:pStyle w:val="BodyText"/>
        <w:spacing w:before="7"/>
        <w:rPr>
          <w:sz w:val="9"/>
        </w:rPr>
      </w:pPr>
    </w:p>
    <w:p>
      <w:pPr>
        <w:pStyle w:val="ListParagraph"/>
        <w:numPr>
          <w:ilvl w:val="2"/>
          <w:numId w:val="14"/>
        </w:numPr>
        <w:tabs>
          <w:tab w:pos="841" w:val="left" w:leader="none"/>
        </w:tabs>
        <w:spacing w:line="240" w:lineRule="auto" w:before="106" w:after="0"/>
        <w:ind w:left="840" w:right="0" w:hanging="721"/>
        <w:jc w:val="left"/>
        <w:rPr>
          <w:sz w:val="22"/>
        </w:rPr>
      </w:pPr>
      <w:bookmarkStart w:name="_bookmark289" w:id="564"/>
      <w:bookmarkEnd w:id="564"/>
      <w:r>
        <w:rPr/>
      </w:r>
      <w:bookmarkStart w:name="_bookmark289" w:id="565"/>
      <w:bookmarkEnd w:id="565"/>
      <w:r>
        <w:rPr>
          <w:color w:val="1F664D"/>
          <w:sz w:val="22"/>
        </w:rPr>
        <w:t>A</w:t>
      </w:r>
      <w:r>
        <w:rPr>
          <w:color w:val="1F664D"/>
          <w:sz w:val="22"/>
        </w:rPr>
        <w:t>bsorption/ Leasing Velocity and Occupancy</w:t>
      </w:r>
      <w:r>
        <w:rPr>
          <w:color w:val="1F664D"/>
          <w:spacing w:val="1"/>
          <w:sz w:val="22"/>
        </w:rPr>
        <w:t> </w:t>
      </w:r>
      <w:r>
        <w:rPr>
          <w:color w:val="1F664D"/>
          <w:sz w:val="22"/>
        </w:rPr>
        <w:t>Profile</w:t>
      </w:r>
    </w:p>
    <w:p>
      <w:pPr>
        <w:pStyle w:val="BodyText"/>
        <w:spacing w:line="321" w:lineRule="auto" w:before="208"/>
        <w:ind w:left="682" w:right="112"/>
        <w:jc w:val="both"/>
      </w:pPr>
      <w:r>
        <w:rPr/>
        <w:t>Based</w:t>
      </w:r>
      <w:r>
        <w:rPr>
          <w:spacing w:val="-15"/>
        </w:rPr>
        <w:t> </w:t>
      </w:r>
      <w:r>
        <w:rPr/>
        <w:t>on</w:t>
      </w:r>
      <w:r>
        <w:rPr>
          <w:spacing w:val="-15"/>
        </w:rPr>
        <w:t> </w:t>
      </w:r>
      <w:r>
        <w:rPr/>
        <w:t>the</w:t>
      </w:r>
      <w:r>
        <w:rPr>
          <w:spacing w:val="-16"/>
        </w:rPr>
        <w:t> </w:t>
      </w:r>
      <w:r>
        <w:rPr/>
        <w:t>rent</w:t>
      </w:r>
      <w:r>
        <w:rPr>
          <w:spacing w:val="-15"/>
        </w:rPr>
        <w:t> </w:t>
      </w:r>
      <w:r>
        <w:rPr/>
        <w:t>roll</w:t>
      </w:r>
      <w:r>
        <w:rPr>
          <w:spacing w:val="-14"/>
        </w:rPr>
        <w:t> </w:t>
      </w:r>
      <w:r>
        <w:rPr/>
        <w:t>provided</w:t>
      </w:r>
      <w:r>
        <w:rPr>
          <w:spacing w:val="-15"/>
        </w:rPr>
        <w:t> </w:t>
      </w:r>
      <w:r>
        <w:rPr/>
        <w:t>by</w:t>
      </w:r>
      <w:r>
        <w:rPr>
          <w:spacing w:val="-14"/>
        </w:rPr>
        <w:t> </w:t>
      </w:r>
      <w:r>
        <w:rPr/>
        <w:t>the</w:t>
      </w:r>
      <w:r>
        <w:rPr>
          <w:spacing w:val="-16"/>
        </w:rPr>
        <w:t> </w:t>
      </w:r>
      <w:r>
        <w:rPr/>
        <w:t>Client</w:t>
      </w:r>
      <w:r>
        <w:rPr>
          <w:spacing w:val="-15"/>
        </w:rPr>
        <w:t> </w:t>
      </w:r>
      <w:r>
        <w:rPr/>
        <w:t>and</w:t>
      </w:r>
      <w:r>
        <w:rPr>
          <w:spacing w:val="-14"/>
        </w:rPr>
        <w:t> </w:t>
      </w:r>
      <w:r>
        <w:rPr/>
        <w:t>visual</w:t>
      </w:r>
      <w:r>
        <w:rPr>
          <w:spacing w:val="-12"/>
        </w:rPr>
        <w:t> </w:t>
      </w:r>
      <w:r>
        <w:rPr/>
        <w:t>inspection</w:t>
      </w:r>
      <w:r>
        <w:rPr>
          <w:spacing w:val="-16"/>
        </w:rPr>
        <w:t> </w:t>
      </w:r>
      <w:r>
        <w:rPr/>
        <w:t>during</w:t>
      </w:r>
      <w:r>
        <w:rPr>
          <w:spacing w:val="-12"/>
        </w:rPr>
        <w:t> </w:t>
      </w:r>
      <w:r>
        <w:rPr/>
        <w:t>the</w:t>
      </w:r>
      <w:r>
        <w:rPr>
          <w:spacing w:val="-16"/>
        </w:rPr>
        <w:t> </w:t>
      </w:r>
      <w:r>
        <w:rPr/>
        <w:t>site</w:t>
      </w:r>
      <w:r>
        <w:rPr>
          <w:spacing w:val="-16"/>
        </w:rPr>
        <w:t> </w:t>
      </w:r>
      <w:r>
        <w:rPr/>
        <w:t>visit,</w:t>
      </w:r>
      <w:r>
        <w:rPr>
          <w:spacing w:val="-15"/>
        </w:rPr>
        <w:t> </w:t>
      </w:r>
      <w:r>
        <w:rPr/>
        <w:t>we</w:t>
      </w:r>
      <w:r>
        <w:rPr>
          <w:spacing w:val="-16"/>
        </w:rPr>
        <w:t> </w:t>
      </w:r>
      <w:r>
        <w:rPr/>
        <w:t>understand that the subject property is fully operational and there are no under-construction blocks. As per</w:t>
      </w:r>
      <w:r>
        <w:rPr>
          <w:spacing w:val="-42"/>
        </w:rPr>
        <w:t> </w:t>
      </w:r>
      <w:r>
        <w:rPr/>
        <w:t>the analysis of the rent roll, it was observed that there is a vacancy of approx. 14,535 sf at the subject property as of date of valuation and we are of the opinion that the same would be leased by Q3, FY 2021.</w:t>
      </w:r>
    </w:p>
    <w:p>
      <w:pPr>
        <w:pStyle w:val="BodyText"/>
        <w:spacing w:before="10"/>
        <w:rPr>
          <w:sz w:val="20"/>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90" w:id="566"/>
      <w:bookmarkEnd w:id="566"/>
      <w:r>
        <w:rPr/>
      </w:r>
      <w:bookmarkStart w:name="_bookmark290" w:id="567"/>
      <w:bookmarkEnd w:id="567"/>
      <w:r>
        <w:rPr>
          <w:color w:val="1F664D"/>
          <w:w w:val="105"/>
          <w:sz w:val="22"/>
        </w:rPr>
        <w:t>R</w:t>
      </w:r>
      <w:r>
        <w:rPr>
          <w:color w:val="1F664D"/>
          <w:w w:val="105"/>
          <w:sz w:val="22"/>
        </w:rPr>
        <w:t>evenue</w:t>
      </w:r>
      <w:r>
        <w:rPr>
          <w:color w:val="1F664D"/>
          <w:spacing w:val="-4"/>
          <w:w w:val="105"/>
          <w:sz w:val="22"/>
        </w:rPr>
        <w:t> </w:t>
      </w:r>
      <w:r>
        <w:rPr>
          <w:color w:val="1F664D"/>
          <w:w w:val="105"/>
          <w:sz w:val="22"/>
        </w:rPr>
        <w:t>Assumptions</w:t>
      </w:r>
    </w:p>
    <w:p>
      <w:pPr>
        <w:pStyle w:val="BodyText"/>
        <w:spacing w:before="7"/>
        <w:rPr>
          <w:sz w:val="25"/>
        </w:rPr>
      </w:pPr>
    </w:p>
    <w:p>
      <w:pPr>
        <w:pStyle w:val="ListParagraph"/>
        <w:numPr>
          <w:ilvl w:val="3"/>
          <w:numId w:val="76"/>
        </w:numPr>
        <w:tabs>
          <w:tab w:pos="985" w:val="left" w:leader="none"/>
        </w:tabs>
        <w:spacing w:line="240" w:lineRule="auto" w:before="0" w:after="0"/>
        <w:ind w:left="984" w:right="0" w:hanging="865"/>
        <w:jc w:val="left"/>
        <w:rPr>
          <w:i/>
          <w:sz w:val="20"/>
        </w:rPr>
      </w:pPr>
      <w:r>
        <w:rPr>
          <w:i/>
          <w:color w:val="008000"/>
          <w:sz w:val="20"/>
        </w:rPr>
        <w:t>Lease rent</w:t>
      </w:r>
      <w:r>
        <w:rPr>
          <w:i/>
          <w:color w:val="008000"/>
          <w:spacing w:val="-8"/>
          <w:sz w:val="20"/>
        </w:rPr>
        <w:t> </w:t>
      </w:r>
      <w:r>
        <w:rPr>
          <w:i/>
          <w:color w:val="008000"/>
          <w:sz w:val="20"/>
        </w:rPr>
        <w:t>assumptions</w:t>
      </w:r>
    </w:p>
    <w:p>
      <w:pPr>
        <w:pStyle w:val="BodyText"/>
        <w:rPr>
          <w:i/>
        </w:rPr>
      </w:pPr>
    </w:p>
    <w:p>
      <w:pPr>
        <w:pStyle w:val="BodyText"/>
        <w:spacing w:line="321" w:lineRule="auto"/>
        <w:ind w:left="682" w:right="115"/>
        <w:jc w:val="both"/>
      </w:pPr>
      <w:r>
        <w:rPr/>
        <w:t>For</w:t>
      </w:r>
      <w:r>
        <w:rPr>
          <w:spacing w:val="-15"/>
        </w:rPr>
        <w:t> </w:t>
      </w:r>
      <w:r>
        <w:rPr/>
        <w:t>the</w:t>
      </w:r>
      <w:r>
        <w:rPr>
          <w:spacing w:val="-14"/>
        </w:rPr>
        <w:t> </w:t>
      </w:r>
      <w:r>
        <w:rPr/>
        <w:t>purpose</w:t>
      </w:r>
      <w:r>
        <w:rPr>
          <w:spacing w:val="-14"/>
        </w:rPr>
        <w:t> </w:t>
      </w:r>
      <w:r>
        <w:rPr/>
        <w:t>of</w:t>
      </w:r>
      <w:r>
        <w:rPr>
          <w:spacing w:val="-14"/>
        </w:rPr>
        <w:t> </w:t>
      </w:r>
      <w:r>
        <w:rPr/>
        <w:t>this</w:t>
      </w:r>
      <w:r>
        <w:rPr>
          <w:spacing w:val="-11"/>
        </w:rPr>
        <w:t> </w:t>
      </w:r>
      <w:r>
        <w:rPr/>
        <w:t>valuation</w:t>
      </w:r>
      <w:r>
        <w:rPr>
          <w:spacing w:val="-14"/>
        </w:rPr>
        <w:t> </w:t>
      </w:r>
      <w:r>
        <w:rPr/>
        <w:t>exercise,</w:t>
      </w:r>
      <w:r>
        <w:rPr>
          <w:spacing w:val="-14"/>
        </w:rPr>
        <w:t> </w:t>
      </w:r>
      <w:r>
        <w:rPr/>
        <w:t>the</w:t>
      </w:r>
      <w:r>
        <w:rPr>
          <w:spacing w:val="-14"/>
        </w:rPr>
        <w:t> </w:t>
      </w:r>
      <w:r>
        <w:rPr/>
        <w:t>lease</w:t>
      </w:r>
      <w:r>
        <w:rPr>
          <w:spacing w:val="-14"/>
        </w:rPr>
        <w:t> </w:t>
      </w:r>
      <w:r>
        <w:rPr/>
        <w:t>rent</w:t>
      </w:r>
      <w:r>
        <w:rPr>
          <w:spacing w:val="-14"/>
        </w:rPr>
        <w:t> </w:t>
      </w:r>
      <w:r>
        <w:rPr/>
        <w:t>adopted</w:t>
      </w:r>
      <w:r>
        <w:rPr>
          <w:spacing w:val="-14"/>
        </w:rPr>
        <w:t> </w:t>
      </w:r>
      <w:r>
        <w:rPr/>
        <w:t>for</w:t>
      </w:r>
      <w:r>
        <w:rPr>
          <w:spacing w:val="-15"/>
        </w:rPr>
        <w:t> </w:t>
      </w:r>
      <w:r>
        <w:rPr/>
        <w:t>the</w:t>
      </w:r>
      <w:r>
        <w:rPr>
          <w:spacing w:val="-14"/>
        </w:rPr>
        <w:t> </w:t>
      </w:r>
      <w:r>
        <w:rPr/>
        <w:t>area</w:t>
      </w:r>
      <w:r>
        <w:rPr>
          <w:spacing w:val="-14"/>
        </w:rPr>
        <w:t> </w:t>
      </w:r>
      <w:r>
        <w:rPr/>
        <w:t>already</w:t>
      </w:r>
      <w:r>
        <w:rPr>
          <w:spacing w:val="-12"/>
        </w:rPr>
        <w:t> </w:t>
      </w:r>
      <w:r>
        <w:rPr/>
        <w:t>leased</w:t>
      </w:r>
      <w:r>
        <w:rPr>
          <w:spacing w:val="-13"/>
        </w:rPr>
        <w:t> </w:t>
      </w:r>
      <w:r>
        <w:rPr/>
        <w:t>is</w:t>
      </w:r>
      <w:r>
        <w:rPr>
          <w:spacing w:val="-15"/>
        </w:rPr>
        <w:t> </w:t>
      </w:r>
      <w:r>
        <w:rPr/>
        <w:t>based on</w:t>
      </w:r>
      <w:r>
        <w:rPr>
          <w:spacing w:val="-14"/>
        </w:rPr>
        <w:t> </w:t>
      </w:r>
      <w:r>
        <w:rPr/>
        <w:t>the</w:t>
      </w:r>
      <w:r>
        <w:rPr>
          <w:spacing w:val="-14"/>
        </w:rPr>
        <w:t> </w:t>
      </w:r>
      <w:r>
        <w:rPr/>
        <w:t>rent</w:t>
      </w:r>
      <w:r>
        <w:rPr>
          <w:spacing w:val="-13"/>
        </w:rPr>
        <w:t> </w:t>
      </w:r>
      <w:r>
        <w:rPr/>
        <w:t>roll</w:t>
      </w:r>
      <w:r>
        <w:rPr>
          <w:spacing w:val="-14"/>
        </w:rPr>
        <w:t> </w:t>
      </w:r>
      <w:r>
        <w:rPr/>
        <w:t>shared</w:t>
      </w:r>
      <w:r>
        <w:rPr>
          <w:spacing w:val="-13"/>
        </w:rPr>
        <w:t> </w:t>
      </w:r>
      <w:r>
        <w:rPr/>
        <w:t>by</w:t>
      </w:r>
      <w:r>
        <w:rPr>
          <w:spacing w:val="-13"/>
        </w:rPr>
        <w:t> </w:t>
      </w:r>
      <w:r>
        <w:rPr/>
        <w:t>the</w:t>
      </w:r>
      <w:r>
        <w:rPr>
          <w:spacing w:val="-14"/>
        </w:rPr>
        <w:t> </w:t>
      </w:r>
      <w:r>
        <w:rPr/>
        <w:t>Client.</w:t>
      </w:r>
      <w:r>
        <w:rPr>
          <w:spacing w:val="-14"/>
        </w:rPr>
        <w:t> </w:t>
      </w:r>
      <w:r>
        <w:rPr/>
        <w:t>Further,</w:t>
      </w:r>
      <w:r>
        <w:rPr>
          <w:spacing w:val="-11"/>
        </w:rPr>
        <w:t> </w:t>
      </w:r>
      <w:r>
        <w:rPr/>
        <w:t>the</w:t>
      </w:r>
      <w:r>
        <w:rPr>
          <w:spacing w:val="-11"/>
        </w:rPr>
        <w:t> </w:t>
      </w:r>
      <w:r>
        <w:rPr/>
        <w:t>Valuer</w:t>
      </w:r>
      <w:r>
        <w:rPr>
          <w:spacing w:val="-12"/>
        </w:rPr>
        <w:t> </w:t>
      </w:r>
      <w:r>
        <w:rPr/>
        <w:t>has</w:t>
      </w:r>
      <w:r>
        <w:rPr>
          <w:spacing w:val="-13"/>
        </w:rPr>
        <w:t> </w:t>
      </w:r>
      <w:r>
        <w:rPr/>
        <w:t>undertaken</w:t>
      </w:r>
      <w:r>
        <w:rPr>
          <w:spacing w:val="-13"/>
        </w:rPr>
        <w:t> </w:t>
      </w:r>
      <w:r>
        <w:rPr/>
        <w:t>an</w:t>
      </w:r>
      <w:r>
        <w:rPr>
          <w:spacing w:val="-14"/>
        </w:rPr>
        <w:t> </w:t>
      </w:r>
      <w:r>
        <w:rPr/>
        <w:t>in-depth</w:t>
      </w:r>
      <w:r>
        <w:rPr>
          <w:spacing w:val="-14"/>
        </w:rPr>
        <w:t> </w:t>
      </w:r>
      <w:r>
        <w:rPr/>
        <w:t>market</w:t>
      </w:r>
      <w:r>
        <w:rPr>
          <w:spacing w:val="-13"/>
        </w:rPr>
        <w:t> </w:t>
      </w:r>
      <w:r>
        <w:rPr/>
        <w:t>research exercise</w:t>
      </w:r>
      <w:r>
        <w:rPr>
          <w:spacing w:val="-32"/>
        </w:rPr>
        <w:t> </w:t>
      </w:r>
      <w:r>
        <w:rPr/>
        <w:t>to</w:t>
      </w:r>
      <w:r>
        <w:rPr>
          <w:spacing w:val="-32"/>
        </w:rPr>
        <w:t> </w:t>
      </w:r>
      <w:r>
        <w:rPr/>
        <w:t>assess</w:t>
      </w:r>
      <w:r>
        <w:rPr>
          <w:spacing w:val="-32"/>
        </w:rPr>
        <w:t> </w:t>
      </w:r>
      <w:r>
        <w:rPr/>
        <w:t>the</w:t>
      </w:r>
      <w:r>
        <w:rPr>
          <w:spacing w:val="-32"/>
        </w:rPr>
        <w:t> </w:t>
      </w:r>
      <w:r>
        <w:rPr/>
        <w:t>prevailing</w:t>
      </w:r>
      <w:r>
        <w:rPr>
          <w:spacing w:val="-32"/>
        </w:rPr>
        <w:t> </w:t>
      </w:r>
      <w:r>
        <w:rPr/>
        <w:t>rental</w:t>
      </w:r>
      <w:r>
        <w:rPr>
          <w:spacing w:val="-31"/>
        </w:rPr>
        <w:t> </w:t>
      </w:r>
      <w:r>
        <w:rPr/>
        <w:t>values</w:t>
      </w:r>
      <w:r>
        <w:rPr>
          <w:spacing w:val="-31"/>
        </w:rPr>
        <w:t> </w:t>
      </w:r>
      <w:r>
        <w:rPr/>
        <w:t>in</w:t>
      </w:r>
      <w:r>
        <w:rPr>
          <w:spacing w:val="-31"/>
        </w:rPr>
        <w:t> </w:t>
      </w:r>
      <w:r>
        <w:rPr/>
        <w:t>the</w:t>
      </w:r>
      <w:r>
        <w:rPr>
          <w:spacing w:val="-33"/>
        </w:rPr>
        <w:t> </w:t>
      </w:r>
      <w:r>
        <w:rPr/>
        <w:t>subject</w:t>
      </w:r>
      <w:r>
        <w:rPr>
          <w:spacing w:val="-31"/>
        </w:rPr>
        <w:t> </w:t>
      </w:r>
      <w:r>
        <w:rPr/>
        <w:t>sub-market.</w:t>
      </w:r>
      <w:r>
        <w:rPr>
          <w:spacing w:val="-32"/>
        </w:rPr>
        <w:t> </w:t>
      </w:r>
      <w:r>
        <w:rPr/>
        <w:t>The</w:t>
      </w:r>
      <w:r>
        <w:rPr>
          <w:spacing w:val="-32"/>
        </w:rPr>
        <w:t> </w:t>
      </w:r>
      <w:r>
        <w:rPr/>
        <w:t>same</w:t>
      </w:r>
      <w:r>
        <w:rPr>
          <w:spacing w:val="-32"/>
        </w:rPr>
        <w:t> </w:t>
      </w:r>
      <w:r>
        <w:rPr/>
        <w:t>has</w:t>
      </w:r>
      <w:r>
        <w:rPr>
          <w:spacing w:val="-32"/>
        </w:rPr>
        <w:t> </w:t>
      </w:r>
      <w:r>
        <w:rPr/>
        <w:t>been</w:t>
      </w:r>
      <w:r>
        <w:rPr>
          <w:spacing w:val="-32"/>
        </w:rPr>
        <w:t> </w:t>
      </w:r>
      <w:r>
        <w:rPr/>
        <w:t>adopted</w:t>
      </w:r>
      <w:r>
        <w:rPr>
          <w:spacing w:val="-31"/>
        </w:rPr>
        <w:t> </w:t>
      </w:r>
      <w:r>
        <w:rPr/>
        <w:t>for reversion/</w:t>
      </w:r>
      <w:r>
        <w:rPr>
          <w:spacing w:val="-8"/>
        </w:rPr>
        <w:t> </w:t>
      </w:r>
      <w:r>
        <w:rPr/>
        <w:t>vacant</w:t>
      </w:r>
      <w:r>
        <w:rPr>
          <w:spacing w:val="-7"/>
        </w:rPr>
        <w:t> </w:t>
      </w:r>
      <w:r>
        <w:rPr/>
        <w:t>space</w:t>
      </w:r>
      <w:r>
        <w:rPr>
          <w:spacing w:val="-7"/>
        </w:rPr>
        <w:t> </w:t>
      </w:r>
      <w:r>
        <w:rPr/>
        <w:t>for</w:t>
      </w:r>
      <w:r>
        <w:rPr>
          <w:spacing w:val="-7"/>
        </w:rPr>
        <w:t> </w:t>
      </w:r>
      <w:r>
        <w:rPr/>
        <w:t>the</w:t>
      </w:r>
      <w:r>
        <w:rPr>
          <w:spacing w:val="-8"/>
        </w:rPr>
        <w:t> </w:t>
      </w:r>
      <w:r>
        <w:rPr/>
        <w:t>purpose</w:t>
      </w:r>
      <w:r>
        <w:rPr>
          <w:spacing w:val="-7"/>
        </w:rPr>
        <w:t> </w:t>
      </w:r>
      <w:r>
        <w:rPr/>
        <w:t>of</w:t>
      </w:r>
      <w:r>
        <w:rPr>
          <w:spacing w:val="-6"/>
        </w:rPr>
        <w:t> </w:t>
      </w:r>
      <w:r>
        <w:rPr/>
        <w:t>this</w:t>
      </w:r>
      <w:r>
        <w:rPr>
          <w:spacing w:val="-6"/>
        </w:rPr>
        <w:t> </w:t>
      </w:r>
      <w:r>
        <w:rPr/>
        <w:t>valuation</w:t>
      </w:r>
      <w:r>
        <w:rPr>
          <w:spacing w:val="-8"/>
        </w:rPr>
        <w:t> </w:t>
      </w:r>
      <w:r>
        <w:rPr/>
        <w:t>exercise.</w:t>
      </w:r>
    </w:p>
    <w:p>
      <w:pPr>
        <w:pStyle w:val="BodyText"/>
        <w:spacing w:before="9"/>
        <w:rPr>
          <w:sz w:val="20"/>
        </w:rPr>
      </w:pPr>
    </w:p>
    <w:p>
      <w:pPr>
        <w:pStyle w:val="BodyText"/>
        <w:spacing w:line="321" w:lineRule="auto"/>
        <w:ind w:left="682" w:right="125"/>
        <w:jc w:val="both"/>
      </w:pPr>
      <w:r>
        <w:rPr/>
        <w:t>Based</w:t>
      </w:r>
      <w:r>
        <w:rPr>
          <w:spacing w:val="-13"/>
        </w:rPr>
        <w:t> </w:t>
      </w:r>
      <w:r>
        <w:rPr/>
        <w:t>on</w:t>
      </w:r>
      <w:r>
        <w:rPr>
          <w:spacing w:val="-11"/>
        </w:rPr>
        <w:t> </w:t>
      </w:r>
      <w:r>
        <w:rPr/>
        <w:t>our</w:t>
      </w:r>
      <w:r>
        <w:rPr>
          <w:spacing w:val="-12"/>
        </w:rPr>
        <w:t> </w:t>
      </w:r>
      <w:r>
        <w:rPr/>
        <w:t>market</w:t>
      </w:r>
      <w:r>
        <w:rPr>
          <w:spacing w:val="-11"/>
        </w:rPr>
        <w:t> </w:t>
      </w:r>
      <w:r>
        <w:rPr/>
        <w:t>study</w:t>
      </w:r>
      <w:r>
        <w:rPr>
          <w:spacing w:val="-10"/>
        </w:rPr>
        <w:t> </w:t>
      </w:r>
      <w:r>
        <w:rPr/>
        <w:t>and</w:t>
      </w:r>
      <w:r>
        <w:rPr>
          <w:spacing w:val="-11"/>
        </w:rPr>
        <w:t> </w:t>
      </w:r>
      <w:r>
        <w:rPr/>
        <w:t>based</w:t>
      </w:r>
      <w:r>
        <w:rPr>
          <w:spacing w:val="-10"/>
        </w:rPr>
        <w:t> </w:t>
      </w:r>
      <w:r>
        <w:rPr/>
        <w:t>on</w:t>
      </w:r>
      <w:r>
        <w:rPr>
          <w:spacing w:val="-14"/>
        </w:rPr>
        <w:t> </w:t>
      </w:r>
      <w:r>
        <w:rPr/>
        <w:t>the</w:t>
      </w:r>
      <w:r>
        <w:rPr>
          <w:spacing w:val="-12"/>
        </w:rPr>
        <w:t> </w:t>
      </w:r>
      <w:r>
        <w:rPr/>
        <w:t>analysis</w:t>
      </w:r>
      <w:r>
        <w:rPr>
          <w:spacing w:val="-12"/>
        </w:rPr>
        <w:t> </w:t>
      </w:r>
      <w:r>
        <w:rPr/>
        <w:t>of</w:t>
      </w:r>
      <w:r>
        <w:rPr>
          <w:spacing w:val="-11"/>
        </w:rPr>
        <w:t> </w:t>
      </w:r>
      <w:r>
        <w:rPr/>
        <w:t>the</w:t>
      </w:r>
      <w:r>
        <w:rPr>
          <w:spacing w:val="-11"/>
        </w:rPr>
        <w:t> </w:t>
      </w:r>
      <w:r>
        <w:rPr/>
        <w:t>rent</w:t>
      </w:r>
      <w:r>
        <w:rPr>
          <w:spacing w:val="-12"/>
        </w:rPr>
        <w:t> </w:t>
      </w:r>
      <w:r>
        <w:rPr/>
        <w:t>roll</w:t>
      </w:r>
      <w:r>
        <w:rPr>
          <w:spacing w:val="-12"/>
        </w:rPr>
        <w:t> </w:t>
      </w:r>
      <w:r>
        <w:rPr/>
        <w:t>provided</w:t>
      </w:r>
      <w:r>
        <w:rPr>
          <w:spacing w:val="-11"/>
        </w:rPr>
        <w:t> </w:t>
      </w:r>
      <w:r>
        <w:rPr/>
        <w:t>by</w:t>
      </w:r>
      <w:r>
        <w:rPr>
          <w:spacing w:val="-10"/>
        </w:rPr>
        <w:t> </w:t>
      </w:r>
      <w:r>
        <w:rPr/>
        <w:t>the</w:t>
      </w:r>
      <w:r>
        <w:rPr>
          <w:spacing w:val="-14"/>
        </w:rPr>
        <w:t> </w:t>
      </w:r>
      <w:r>
        <w:rPr/>
        <w:t>Client,</w:t>
      </w:r>
      <w:r>
        <w:rPr>
          <w:spacing w:val="-11"/>
        </w:rPr>
        <w:t> </w:t>
      </w:r>
      <w:r>
        <w:rPr/>
        <w:t>following rents</w:t>
      </w:r>
      <w:r>
        <w:rPr>
          <w:spacing w:val="-11"/>
        </w:rPr>
        <w:t> </w:t>
      </w:r>
      <w:r>
        <w:rPr/>
        <w:t>have</w:t>
      </w:r>
      <w:r>
        <w:rPr>
          <w:spacing w:val="-11"/>
        </w:rPr>
        <w:t> </w:t>
      </w:r>
      <w:r>
        <w:rPr/>
        <w:t>been</w:t>
      </w:r>
      <w:r>
        <w:rPr>
          <w:spacing w:val="-12"/>
        </w:rPr>
        <w:t> </w:t>
      </w:r>
      <w:r>
        <w:rPr/>
        <w:t>adopted</w:t>
      </w:r>
      <w:r>
        <w:rPr>
          <w:spacing w:val="-13"/>
        </w:rPr>
        <w:t> </w:t>
      </w:r>
      <w:r>
        <w:rPr/>
        <w:t>for</w:t>
      </w:r>
      <w:r>
        <w:rPr>
          <w:spacing w:val="-11"/>
        </w:rPr>
        <w:t> </w:t>
      </w:r>
      <w:r>
        <w:rPr/>
        <w:t>the</w:t>
      </w:r>
      <w:r>
        <w:rPr>
          <w:spacing w:val="-12"/>
        </w:rPr>
        <w:t> </w:t>
      </w:r>
      <w:r>
        <w:rPr/>
        <w:t>purpose</w:t>
      </w:r>
      <w:r>
        <w:rPr>
          <w:spacing w:val="-11"/>
        </w:rPr>
        <w:t> </w:t>
      </w:r>
      <w:r>
        <w:rPr/>
        <w:t>of</w:t>
      </w:r>
      <w:r>
        <w:rPr>
          <w:spacing w:val="-11"/>
        </w:rPr>
        <w:t> </w:t>
      </w:r>
      <w:r>
        <w:rPr/>
        <w:t>value</w:t>
      </w:r>
      <w:r>
        <w:rPr>
          <w:spacing w:val="-11"/>
        </w:rPr>
        <w:t> </w:t>
      </w:r>
      <w:r>
        <w:rPr/>
        <w:t>assessment</w:t>
      </w:r>
      <w:r>
        <w:rPr>
          <w:spacing w:val="-11"/>
        </w:rPr>
        <w:t> </w:t>
      </w:r>
      <w:r>
        <w:rPr/>
        <w:t>of</w:t>
      </w:r>
      <w:r>
        <w:rPr>
          <w:spacing w:val="-10"/>
        </w:rPr>
        <w:t> </w:t>
      </w:r>
      <w:r>
        <w:rPr/>
        <w:t>the</w:t>
      </w:r>
      <w:r>
        <w:rPr>
          <w:spacing w:val="-14"/>
        </w:rPr>
        <w:t> </w:t>
      </w:r>
      <w:r>
        <w:rPr/>
        <w:t>subject</w:t>
      </w:r>
      <w:r>
        <w:rPr>
          <w:spacing w:val="-13"/>
        </w:rPr>
        <w:t> </w:t>
      </w:r>
      <w:r>
        <w:rPr/>
        <w:t>property.</w:t>
      </w:r>
    </w:p>
    <w:p>
      <w:pPr>
        <w:pStyle w:val="BodyText"/>
        <w:spacing w:before="5"/>
        <w:rPr>
          <w:sz w:val="20"/>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2"/>
        <w:gridCol w:w="2149"/>
        <w:gridCol w:w="1754"/>
        <w:gridCol w:w="2951"/>
        <w:gridCol w:w="1986"/>
      </w:tblGrid>
      <w:tr>
        <w:trPr>
          <w:trHeight w:val="432" w:hRule="atLeast"/>
        </w:trPr>
        <w:tc>
          <w:tcPr>
            <w:tcW w:w="1632" w:type="dxa"/>
            <w:tcBorders>
              <w:top w:val="single" w:sz="4" w:space="0" w:color="69BD28"/>
            </w:tcBorders>
            <w:shd w:val="clear" w:color="auto" w:fill="006A4D"/>
          </w:tcPr>
          <w:p>
            <w:pPr>
              <w:pStyle w:val="TableParagraph"/>
              <w:spacing w:before="111"/>
              <w:ind w:left="289" w:right="293"/>
              <w:rPr>
                <w:b/>
                <w:sz w:val="18"/>
              </w:rPr>
            </w:pPr>
            <w:r>
              <w:rPr>
                <w:b/>
                <w:color w:val="FFFFFF"/>
                <w:w w:val="105"/>
                <w:sz w:val="18"/>
              </w:rPr>
              <w:t>Component</w:t>
            </w:r>
          </w:p>
        </w:tc>
        <w:tc>
          <w:tcPr>
            <w:tcW w:w="2149" w:type="dxa"/>
            <w:tcBorders>
              <w:top w:val="single" w:sz="4" w:space="0" w:color="69BD28"/>
              <w:bottom w:val="single" w:sz="4" w:space="0" w:color="69BD28"/>
            </w:tcBorders>
            <w:shd w:val="clear" w:color="auto" w:fill="006A4D"/>
          </w:tcPr>
          <w:p>
            <w:pPr>
              <w:pStyle w:val="TableParagraph"/>
              <w:spacing w:before="111"/>
              <w:ind w:left="288" w:right="160"/>
              <w:rPr>
                <w:b/>
                <w:sz w:val="18"/>
              </w:rPr>
            </w:pPr>
            <w:r>
              <w:rPr>
                <w:b/>
                <w:color w:val="FFFFFF"/>
                <w:w w:val="110"/>
                <w:sz w:val="18"/>
              </w:rPr>
              <w:t>Leasable Area (sf)</w:t>
            </w:r>
          </w:p>
        </w:tc>
        <w:tc>
          <w:tcPr>
            <w:tcW w:w="1754" w:type="dxa"/>
            <w:tcBorders>
              <w:top w:val="single" w:sz="4" w:space="0" w:color="69BD28"/>
              <w:bottom w:val="single" w:sz="4" w:space="0" w:color="69BD28"/>
            </w:tcBorders>
            <w:shd w:val="clear" w:color="auto" w:fill="006A4D"/>
          </w:tcPr>
          <w:p>
            <w:pPr>
              <w:pStyle w:val="TableParagraph"/>
              <w:spacing w:before="111"/>
              <w:ind w:left="154" w:right="61"/>
              <w:rPr>
                <w:b/>
                <w:sz w:val="18"/>
              </w:rPr>
            </w:pPr>
            <w:r>
              <w:rPr>
                <w:b/>
                <w:color w:val="FFFFFF"/>
                <w:w w:val="110"/>
                <w:sz w:val="18"/>
              </w:rPr>
              <w:t>Leased Area (sf)</w:t>
            </w:r>
          </w:p>
        </w:tc>
        <w:tc>
          <w:tcPr>
            <w:tcW w:w="2951" w:type="dxa"/>
            <w:tcBorders>
              <w:top w:val="single" w:sz="4" w:space="0" w:color="69BD28"/>
              <w:bottom w:val="single" w:sz="4" w:space="0" w:color="69BD28"/>
            </w:tcBorders>
            <w:shd w:val="clear" w:color="auto" w:fill="006A4D"/>
          </w:tcPr>
          <w:p>
            <w:pPr>
              <w:pStyle w:val="TableParagraph"/>
              <w:spacing w:before="111"/>
              <w:ind w:left="272" w:right="285"/>
              <w:rPr>
                <w:b/>
                <w:sz w:val="18"/>
              </w:rPr>
            </w:pPr>
            <w:r>
              <w:rPr>
                <w:b/>
                <w:color w:val="FFFFFF"/>
                <w:w w:val="115"/>
                <w:sz w:val="18"/>
              </w:rPr>
              <w:t>Basis</w:t>
            </w:r>
          </w:p>
        </w:tc>
        <w:tc>
          <w:tcPr>
            <w:tcW w:w="1986" w:type="dxa"/>
            <w:tcBorders>
              <w:top w:val="single" w:sz="4" w:space="0" w:color="69BD28"/>
              <w:bottom w:val="single" w:sz="4" w:space="0" w:color="69BD28"/>
            </w:tcBorders>
            <w:shd w:val="clear" w:color="auto" w:fill="006A4D"/>
          </w:tcPr>
          <w:p>
            <w:pPr>
              <w:pStyle w:val="TableParagraph"/>
              <w:spacing w:before="3"/>
              <w:ind w:left="92" w:right="63"/>
              <w:rPr>
                <w:b/>
                <w:sz w:val="18"/>
              </w:rPr>
            </w:pPr>
            <w:r>
              <w:rPr>
                <w:b/>
                <w:color w:val="FFFFFF"/>
                <w:w w:val="110"/>
                <w:sz w:val="18"/>
              </w:rPr>
              <w:t>Rent Adopted* (INR</w:t>
            </w:r>
          </w:p>
          <w:p>
            <w:pPr>
              <w:pStyle w:val="TableParagraph"/>
              <w:spacing w:line="192" w:lineRule="exact" w:before="8"/>
              <w:ind w:left="92" w:right="61"/>
              <w:rPr>
                <w:b/>
                <w:sz w:val="18"/>
              </w:rPr>
            </w:pPr>
            <w:r>
              <w:rPr>
                <w:b/>
                <w:color w:val="FFFFFF"/>
                <w:w w:val="105"/>
                <w:sz w:val="18"/>
              </w:rPr>
              <w:t>psf pm)</w:t>
            </w:r>
          </w:p>
        </w:tc>
      </w:tr>
      <w:tr>
        <w:trPr>
          <w:trHeight w:val="278" w:hRule="atLeast"/>
        </w:trPr>
        <w:tc>
          <w:tcPr>
            <w:tcW w:w="1632" w:type="dxa"/>
            <w:shd w:val="clear" w:color="auto" w:fill="69BD28"/>
          </w:tcPr>
          <w:p>
            <w:pPr>
              <w:pStyle w:val="TableParagraph"/>
              <w:jc w:val="left"/>
              <w:rPr>
                <w:rFonts w:ascii="Times New Roman"/>
                <w:sz w:val="20"/>
              </w:rPr>
            </w:pPr>
          </w:p>
        </w:tc>
        <w:tc>
          <w:tcPr>
            <w:tcW w:w="2149" w:type="dxa"/>
            <w:tcBorders>
              <w:top w:val="single" w:sz="4" w:space="0" w:color="69BD28"/>
            </w:tcBorders>
          </w:tcPr>
          <w:p>
            <w:pPr>
              <w:pStyle w:val="TableParagraph"/>
              <w:jc w:val="left"/>
              <w:rPr>
                <w:rFonts w:ascii="Times New Roman"/>
                <w:sz w:val="20"/>
              </w:rPr>
            </w:pPr>
          </w:p>
        </w:tc>
        <w:tc>
          <w:tcPr>
            <w:tcW w:w="1754" w:type="dxa"/>
            <w:tcBorders>
              <w:top w:val="single" w:sz="4" w:space="0" w:color="69BD28"/>
            </w:tcBorders>
          </w:tcPr>
          <w:p>
            <w:pPr>
              <w:pStyle w:val="TableParagraph"/>
              <w:jc w:val="left"/>
              <w:rPr>
                <w:rFonts w:ascii="Times New Roman"/>
                <w:sz w:val="20"/>
              </w:rPr>
            </w:pPr>
          </w:p>
        </w:tc>
        <w:tc>
          <w:tcPr>
            <w:tcW w:w="2951" w:type="dxa"/>
            <w:tcBorders>
              <w:top w:val="single" w:sz="4" w:space="0" w:color="69BD28"/>
            </w:tcBorders>
          </w:tcPr>
          <w:p>
            <w:pPr>
              <w:pStyle w:val="TableParagraph"/>
              <w:spacing w:before="44"/>
              <w:ind w:left="272" w:right="289"/>
              <w:rPr>
                <w:sz w:val="18"/>
              </w:rPr>
            </w:pPr>
            <w:r>
              <w:rPr>
                <w:sz w:val="18"/>
              </w:rPr>
              <w:t>Current Rent for Leased area</w:t>
            </w:r>
          </w:p>
        </w:tc>
        <w:tc>
          <w:tcPr>
            <w:tcW w:w="1986" w:type="dxa"/>
            <w:tcBorders>
              <w:top w:val="single" w:sz="4" w:space="0" w:color="69BD28"/>
            </w:tcBorders>
          </w:tcPr>
          <w:p>
            <w:pPr>
              <w:pStyle w:val="TableParagraph"/>
              <w:spacing w:before="44"/>
              <w:ind w:left="91" w:right="63"/>
              <w:rPr>
                <w:sz w:val="18"/>
              </w:rPr>
            </w:pPr>
            <w:r>
              <w:rPr>
                <w:w w:val="125"/>
                <w:sz w:val="18"/>
              </w:rPr>
              <w:t>33.7^</w:t>
            </w:r>
          </w:p>
        </w:tc>
      </w:tr>
      <w:tr>
        <w:trPr>
          <w:trHeight w:val="539" w:hRule="atLeast"/>
        </w:trPr>
        <w:tc>
          <w:tcPr>
            <w:tcW w:w="1632" w:type="dxa"/>
            <w:shd w:val="clear" w:color="auto" w:fill="69BD28"/>
          </w:tcPr>
          <w:p>
            <w:pPr>
              <w:pStyle w:val="TableParagraph"/>
              <w:spacing w:before="27"/>
              <w:ind w:left="286" w:right="293"/>
              <w:rPr>
                <w:b/>
                <w:sz w:val="18"/>
              </w:rPr>
            </w:pPr>
            <w:r>
              <w:rPr>
                <w:b/>
                <w:color w:val="FFFFFF"/>
                <w:w w:val="105"/>
                <w:sz w:val="18"/>
              </w:rPr>
              <w:t>Office</w:t>
            </w:r>
          </w:p>
        </w:tc>
        <w:tc>
          <w:tcPr>
            <w:tcW w:w="2149" w:type="dxa"/>
            <w:tcBorders>
              <w:bottom w:val="single" w:sz="4" w:space="0" w:color="69BD28"/>
            </w:tcBorders>
          </w:tcPr>
          <w:p>
            <w:pPr>
              <w:pStyle w:val="TableParagraph"/>
              <w:spacing w:before="27"/>
              <w:ind w:left="288" w:right="159"/>
              <w:rPr>
                <w:sz w:val="18"/>
              </w:rPr>
            </w:pPr>
            <w:r>
              <w:rPr>
                <w:w w:val="105"/>
                <w:sz w:val="18"/>
              </w:rPr>
              <w:t>1,357,029</w:t>
            </w:r>
          </w:p>
        </w:tc>
        <w:tc>
          <w:tcPr>
            <w:tcW w:w="1754" w:type="dxa"/>
            <w:tcBorders>
              <w:bottom w:val="single" w:sz="4" w:space="0" w:color="69BD28"/>
            </w:tcBorders>
          </w:tcPr>
          <w:p>
            <w:pPr>
              <w:pStyle w:val="TableParagraph"/>
              <w:spacing w:before="27"/>
              <w:ind w:left="154" w:right="62"/>
              <w:rPr>
                <w:sz w:val="18"/>
              </w:rPr>
            </w:pPr>
            <w:r>
              <w:rPr>
                <w:w w:val="105"/>
                <w:sz w:val="18"/>
              </w:rPr>
              <w:t>1,342,494</w:t>
            </w:r>
          </w:p>
        </w:tc>
        <w:tc>
          <w:tcPr>
            <w:tcW w:w="2951" w:type="dxa"/>
            <w:tcBorders>
              <w:bottom w:val="single" w:sz="4" w:space="0" w:color="69BD28"/>
            </w:tcBorders>
          </w:tcPr>
          <w:p>
            <w:pPr>
              <w:pStyle w:val="TableParagraph"/>
              <w:spacing w:line="247" w:lineRule="auto" w:before="70"/>
              <w:ind w:left="1287" w:right="103" w:hanging="1194"/>
              <w:jc w:val="left"/>
              <w:rPr>
                <w:sz w:val="18"/>
              </w:rPr>
            </w:pPr>
            <w:r>
              <w:rPr>
                <w:sz w:val="18"/>
              </w:rPr>
              <w:t>Marginal</w:t>
            </w:r>
            <w:r>
              <w:rPr>
                <w:spacing w:val="-27"/>
                <w:sz w:val="18"/>
              </w:rPr>
              <w:t> </w:t>
            </w:r>
            <w:r>
              <w:rPr>
                <w:sz w:val="18"/>
              </w:rPr>
              <w:t>rent</w:t>
            </w:r>
            <w:r>
              <w:rPr>
                <w:spacing w:val="-27"/>
                <w:sz w:val="18"/>
              </w:rPr>
              <w:t> </w:t>
            </w:r>
            <w:r>
              <w:rPr>
                <w:sz w:val="18"/>
              </w:rPr>
              <w:t>for</w:t>
            </w:r>
            <w:r>
              <w:rPr>
                <w:spacing w:val="-27"/>
                <w:sz w:val="18"/>
              </w:rPr>
              <w:t> </w:t>
            </w:r>
            <w:r>
              <w:rPr>
                <w:sz w:val="18"/>
              </w:rPr>
              <w:t>reversion/</w:t>
            </w:r>
            <w:r>
              <w:rPr>
                <w:spacing w:val="-26"/>
                <w:sz w:val="18"/>
              </w:rPr>
              <w:t> </w:t>
            </w:r>
            <w:r>
              <w:rPr>
                <w:sz w:val="18"/>
              </w:rPr>
              <w:t>vacant area</w:t>
            </w:r>
          </w:p>
        </w:tc>
        <w:tc>
          <w:tcPr>
            <w:tcW w:w="1986" w:type="dxa"/>
            <w:tcBorders>
              <w:bottom w:val="single" w:sz="4" w:space="0" w:color="69BD28"/>
            </w:tcBorders>
          </w:tcPr>
          <w:p>
            <w:pPr>
              <w:pStyle w:val="TableParagraph"/>
              <w:spacing w:before="181"/>
              <w:ind w:left="89" w:right="63"/>
              <w:rPr>
                <w:sz w:val="18"/>
              </w:rPr>
            </w:pPr>
            <w:r>
              <w:rPr>
                <w:w w:val="105"/>
                <w:sz w:val="18"/>
              </w:rPr>
              <w:t>45.0</w:t>
            </w:r>
          </w:p>
        </w:tc>
      </w:tr>
    </w:tbl>
    <w:p>
      <w:pPr>
        <w:spacing w:before="3"/>
        <w:ind w:left="120" w:right="0" w:firstLine="0"/>
        <w:jc w:val="left"/>
        <w:rPr>
          <w:i/>
          <w:sz w:val="18"/>
        </w:rPr>
      </w:pPr>
      <w:r>
        <w:rPr>
          <w:i/>
          <w:sz w:val="18"/>
        </w:rPr>
        <w:t>Source: Rent roll provided by the Client; Valuer Assessment</w:t>
      </w:r>
    </w:p>
    <w:p>
      <w:pPr>
        <w:spacing w:before="72"/>
        <w:ind w:left="120" w:right="0" w:firstLine="0"/>
        <w:jc w:val="left"/>
        <w:rPr>
          <w:i/>
          <w:sz w:val="18"/>
        </w:rPr>
      </w:pPr>
      <w:r>
        <w:rPr>
          <w:i/>
          <w:sz w:val="18"/>
        </w:rPr>
        <w:t>* The rents mentioned above exclude other income such as CAM charges, parking income received from the tenants, etc.</w:t>
      </w:r>
    </w:p>
    <w:p>
      <w:pPr>
        <w:spacing w:before="72"/>
        <w:ind w:left="120" w:right="0" w:firstLine="0"/>
        <w:jc w:val="left"/>
        <w:rPr>
          <w:i/>
          <w:sz w:val="18"/>
        </w:rPr>
      </w:pPr>
      <w:r>
        <w:rPr>
          <w:i/>
          <w:sz w:val="18"/>
        </w:rPr>
        <w:t>^weighted average warm shell rent for area already leased </w:t>
      </w:r>
      <w:r>
        <w:rPr>
          <w:i/>
          <w:w w:val="105"/>
          <w:sz w:val="18"/>
        </w:rPr>
        <w:t>– </w:t>
      </w:r>
      <w:r>
        <w:rPr>
          <w:i/>
          <w:sz w:val="18"/>
        </w:rPr>
        <w:t>as per rent roll shared by Client</w:t>
      </w:r>
    </w:p>
    <w:p>
      <w:pPr>
        <w:pStyle w:val="BodyText"/>
        <w:spacing w:before="8"/>
        <w:rPr>
          <w:i/>
          <w:sz w:val="26"/>
        </w:rPr>
      </w:pPr>
    </w:p>
    <w:p>
      <w:pPr>
        <w:pStyle w:val="BodyText"/>
        <w:spacing w:line="321" w:lineRule="auto"/>
        <w:ind w:left="682" w:right="114"/>
        <w:jc w:val="both"/>
      </w:pPr>
      <w:r>
        <w:rPr/>
        <w:t>The</w:t>
      </w:r>
      <w:r>
        <w:rPr>
          <w:spacing w:val="-31"/>
        </w:rPr>
        <w:t> </w:t>
      </w:r>
      <w:r>
        <w:rPr/>
        <w:t>above</w:t>
      </w:r>
      <w:r>
        <w:rPr>
          <w:spacing w:val="-30"/>
        </w:rPr>
        <w:t> </w:t>
      </w:r>
      <w:r>
        <w:rPr/>
        <w:t>marginal</w:t>
      </w:r>
      <w:r>
        <w:rPr>
          <w:spacing w:val="-29"/>
        </w:rPr>
        <w:t> </w:t>
      </w:r>
      <w:r>
        <w:rPr/>
        <w:t>rent</w:t>
      </w:r>
      <w:r>
        <w:rPr>
          <w:spacing w:val="-28"/>
        </w:rPr>
        <w:t> </w:t>
      </w:r>
      <w:r>
        <w:rPr/>
        <w:t>assumption</w:t>
      </w:r>
      <w:r>
        <w:rPr>
          <w:spacing w:val="-30"/>
        </w:rPr>
        <w:t> </w:t>
      </w:r>
      <w:r>
        <w:rPr/>
        <w:t>is</w:t>
      </w:r>
      <w:r>
        <w:rPr>
          <w:spacing w:val="-29"/>
        </w:rPr>
        <w:t> </w:t>
      </w:r>
      <w:r>
        <w:rPr/>
        <w:t>adopted</w:t>
      </w:r>
      <w:r>
        <w:rPr>
          <w:spacing w:val="-30"/>
        </w:rPr>
        <w:t> </w:t>
      </w:r>
      <w:r>
        <w:rPr/>
        <w:t>for</w:t>
      </w:r>
      <w:r>
        <w:rPr>
          <w:spacing w:val="-30"/>
        </w:rPr>
        <w:t> </w:t>
      </w:r>
      <w:r>
        <w:rPr/>
        <w:t>the</w:t>
      </w:r>
      <w:r>
        <w:rPr>
          <w:spacing w:val="-30"/>
        </w:rPr>
        <w:t> </w:t>
      </w:r>
      <w:r>
        <w:rPr/>
        <w:t>subject</w:t>
      </w:r>
      <w:r>
        <w:rPr>
          <w:spacing w:val="-29"/>
        </w:rPr>
        <w:t> </w:t>
      </w:r>
      <w:r>
        <w:rPr/>
        <w:t>development.</w:t>
      </w:r>
      <w:r>
        <w:rPr>
          <w:spacing w:val="-30"/>
        </w:rPr>
        <w:t> </w:t>
      </w:r>
      <w:r>
        <w:rPr/>
        <w:t>In</w:t>
      </w:r>
      <w:r>
        <w:rPr>
          <w:spacing w:val="-29"/>
        </w:rPr>
        <w:t> </w:t>
      </w:r>
      <w:r>
        <w:rPr/>
        <w:t>addition</w:t>
      </w:r>
      <w:r>
        <w:rPr>
          <w:spacing w:val="-30"/>
        </w:rPr>
        <w:t> </w:t>
      </w:r>
      <w:r>
        <w:rPr/>
        <w:t>to</w:t>
      </w:r>
      <w:r>
        <w:rPr>
          <w:spacing w:val="-29"/>
        </w:rPr>
        <w:t> </w:t>
      </w:r>
      <w:r>
        <w:rPr/>
        <w:t>undertaking an in-depth market analysis, a detailed analysis of the rent rolls was also undertaken to understand aspects such as area occupied, current rent and expiry analysis of the key tenants in the park. Additionally,</w:t>
      </w:r>
      <w:r>
        <w:rPr>
          <w:spacing w:val="-28"/>
        </w:rPr>
        <w:t> </w:t>
      </w:r>
      <w:r>
        <w:rPr/>
        <w:t>the</w:t>
      </w:r>
      <w:r>
        <w:rPr>
          <w:spacing w:val="-28"/>
        </w:rPr>
        <w:t> </w:t>
      </w:r>
      <w:r>
        <w:rPr/>
        <w:t>Valuer</w:t>
      </w:r>
      <w:r>
        <w:rPr>
          <w:spacing w:val="-26"/>
        </w:rPr>
        <w:t> </w:t>
      </w:r>
      <w:r>
        <w:rPr/>
        <w:t>also</w:t>
      </w:r>
      <w:r>
        <w:rPr>
          <w:spacing w:val="-28"/>
        </w:rPr>
        <w:t> </w:t>
      </w:r>
      <w:r>
        <w:rPr/>
        <w:t>analysed</w:t>
      </w:r>
      <w:r>
        <w:rPr>
          <w:spacing w:val="-27"/>
        </w:rPr>
        <w:t> </w:t>
      </w:r>
      <w:r>
        <w:rPr/>
        <w:t>the</w:t>
      </w:r>
      <w:r>
        <w:rPr>
          <w:spacing w:val="-28"/>
        </w:rPr>
        <w:t> </w:t>
      </w:r>
      <w:r>
        <w:rPr/>
        <w:t>historical</w:t>
      </w:r>
      <w:r>
        <w:rPr>
          <w:spacing w:val="-27"/>
        </w:rPr>
        <w:t> </w:t>
      </w:r>
      <w:r>
        <w:rPr/>
        <w:t>occupancy</w:t>
      </w:r>
      <w:r>
        <w:rPr>
          <w:spacing w:val="-27"/>
        </w:rPr>
        <w:t> </w:t>
      </w:r>
      <w:r>
        <w:rPr/>
        <w:t>pattern</w:t>
      </w:r>
      <w:r>
        <w:rPr>
          <w:spacing w:val="-27"/>
        </w:rPr>
        <w:t> </w:t>
      </w:r>
      <w:r>
        <w:rPr/>
        <w:t>at</w:t>
      </w:r>
      <w:r>
        <w:rPr>
          <w:spacing w:val="-28"/>
        </w:rPr>
        <w:t> </w:t>
      </w:r>
      <w:r>
        <w:rPr/>
        <w:t>the</w:t>
      </w:r>
      <w:r>
        <w:rPr>
          <w:spacing w:val="-28"/>
        </w:rPr>
        <w:t> </w:t>
      </w:r>
      <w:r>
        <w:rPr/>
        <w:t>subject</w:t>
      </w:r>
      <w:r>
        <w:rPr>
          <w:spacing w:val="-27"/>
        </w:rPr>
        <w:t> </w:t>
      </w:r>
      <w:r>
        <w:rPr/>
        <w:t>development</w:t>
      </w:r>
      <w:r>
        <w:rPr>
          <w:spacing w:val="-28"/>
        </w:rPr>
        <w:t> </w:t>
      </w:r>
      <w:r>
        <w:rPr/>
        <w:t>and the</w:t>
      </w:r>
      <w:r>
        <w:rPr>
          <w:spacing w:val="-14"/>
        </w:rPr>
        <w:t> </w:t>
      </w:r>
      <w:r>
        <w:rPr/>
        <w:t>sub</w:t>
      </w:r>
      <w:r>
        <w:rPr>
          <w:spacing w:val="-13"/>
        </w:rPr>
        <w:t> </w:t>
      </w:r>
      <w:r>
        <w:rPr>
          <w:w w:val="105"/>
        </w:rPr>
        <w:t>–</w:t>
      </w:r>
      <w:r>
        <w:rPr>
          <w:spacing w:val="-15"/>
          <w:w w:val="105"/>
        </w:rPr>
        <w:t> </w:t>
      </w:r>
      <w:r>
        <w:rPr/>
        <w:t>market</w:t>
      </w:r>
      <w:r>
        <w:rPr>
          <w:spacing w:val="-12"/>
        </w:rPr>
        <w:t> </w:t>
      </w:r>
      <w:r>
        <w:rPr/>
        <w:t>and</w:t>
      </w:r>
      <w:r>
        <w:rPr>
          <w:spacing w:val="-12"/>
        </w:rPr>
        <w:t> </w:t>
      </w:r>
      <w:r>
        <w:rPr/>
        <w:t>lease-up</w:t>
      </w:r>
      <w:r>
        <w:rPr>
          <w:spacing w:val="-14"/>
        </w:rPr>
        <w:t> </w:t>
      </w:r>
      <w:r>
        <w:rPr/>
        <w:t>time</w:t>
      </w:r>
      <w:r>
        <w:rPr>
          <w:spacing w:val="-13"/>
        </w:rPr>
        <w:t> </w:t>
      </w:r>
      <w:r>
        <w:rPr/>
        <w:t>frame</w:t>
      </w:r>
      <w:r>
        <w:rPr>
          <w:spacing w:val="-14"/>
        </w:rPr>
        <w:t> </w:t>
      </w:r>
      <w:r>
        <w:rPr/>
        <w:t>for</w:t>
      </w:r>
      <w:r>
        <w:rPr>
          <w:spacing w:val="-13"/>
        </w:rPr>
        <w:t> </w:t>
      </w:r>
      <w:r>
        <w:rPr/>
        <w:t>spaces</w:t>
      </w:r>
      <w:r>
        <w:rPr>
          <w:spacing w:val="-12"/>
        </w:rPr>
        <w:t> </w:t>
      </w:r>
      <w:r>
        <w:rPr/>
        <w:t>being</w:t>
      </w:r>
      <w:r>
        <w:rPr>
          <w:spacing w:val="-11"/>
        </w:rPr>
        <w:t> </w:t>
      </w:r>
      <w:r>
        <w:rPr/>
        <w:t>vacated</w:t>
      </w:r>
      <w:r>
        <w:rPr>
          <w:spacing w:val="-12"/>
        </w:rPr>
        <w:t> </w:t>
      </w:r>
      <w:r>
        <w:rPr/>
        <w:t>by</w:t>
      </w:r>
      <w:r>
        <w:rPr>
          <w:spacing w:val="-11"/>
        </w:rPr>
        <w:t> </w:t>
      </w:r>
      <w:r>
        <w:rPr/>
        <w:t>tenants</w:t>
      </w:r>
      <w:r>
        <w:rPr>
          <w:spacing w:val="-12"/>
        </w:rPr>
        <w:t> </w:t>
      </w:r>
      <w:r>
        <w:rPr/>
        <w:t>during</w:t>
      </w:r>
      <w:r>
        <w:rPr>
          <w:spacing w:val="-11"/>
        </w:rPr>
        <w:t> </w:t>
      </w:r>
      <w:r>
        <w:rPr/>
        <w:t>the</w:t>
      </w:r>
      <w:r>
        <w:rPr>
          <w:spacing w:val="-13"/>
        </w:rPr>
        <w:t> </w:t>
      </w:r>
      <w:r>
        <w:rPr/>
        <w:t>last</w:t>
      </w:r>
      <w:r>
        <w:rPr>
          <w:spacing w:val="-14"/>
        </w:rPr>
        <w:t> </w:t>
      </w:r>
      <w:r>
        <w:rPr/>
        <w:t>3</w:t>
      </w:r>
      <w:r>
        <w:rPr>
          <w:spacing w:val="-13"/>
        </w:rPr>
        <w:t> </w:t>
      </w:r>
      <w:r>
        <w:rPr/>
        <w:t>years. The lease-up time was observed to be 3 </w:t>
      </w:r>
      <w:r>
        <w:rPr>
          <w:w w:val="105"/>
        </w:rPr>
        <w:t>– </w:t>
      </w:r>
      <w:r>
        <w:rPr/>
        <w:t>6 months based on quantum of space being renewed/ re- leased.</w:t>
      </w:r>
    </w:p>
    <w:p>
      <w:pPr>
        <w:pStyle w:val="BodyText"/>
        <w:spacing w:line="321" w:lineRule="auto" w:before="125"/>
        <w:ind w:left="682" w:right="114"/>
        <w:jc w:val="both"/>
      </w:pPr>
      <w:r>
        <w:rPr/>
        <w:pict>
          <v:group style="position:absolute;margin-left:35.279999pt;margin-top:63.498608pt;width:524.3pt;height:19.350pt;mso-position-horizontal-relative:page;mso-position-vertical-relative:paragraph;z-index:-15081472;mso-wrap-distance-left:0;mso-wrap-distance-right:0" coordorigin="706,1270" coordsize="10486,387">
            <v:shape style="position:absolute;left:720;top:1298;width:10472;height:344" coordorigin="720,1299" coordsize="10472,344" path="m11191,1299l5373,1299,720,1299,720,1642,5373,1642,11191,1642,11191,1299xe" filled="true" fillcolor="#006a4d" stroked="false">
              <v:path arrowok="t"/>
              <v:fill type="solid"/>
            </v:shape>
            <v:rect style="position:absolute;left:720;top:1269;width:4653;height:29" filled="true" fillcolor="#1b6b22" stroked="false">
              <v:fill type="solid"/>
            </v:rect>
            <v:shape style="position:absolute;left:720;top:1298;width:4682;height:3" coordorigin="720,1299" coordsize="4682,3" path="m5401,1299l5373,1299,720,1299,720,1301,5373,1301,5401,1301,5401,1299xe" filled="true" fillcolor="#006a4d" stroked="false">
              <v:path arrowok="t"/>
              <v:fill type="solid"/>
            </v:shape>
            <v:shape style="position:absolute;left:5372;top:1269;width:5819;height:29" coordorigin="5373,1270" coordsize="5819,29" path="m11191,1270l5401,1270,5373,1270,5373,1299,5401,1299,11191,1299,11191,1270xe" filled="true" fillcolor="#1b6b22" stroked="false">
              <v:path arrowok="t"/>
              <v:fill type="solid"/>
            </v:shape>
            <v:rect style="position:absolute;left:5401;top:1298;width:5790;height:3" filled="true" fillcolor="#006a4d" stroked="false">
              <v:fill type="solid"/>
            </v:rect>
            <v:shape style="position:absolute;left:720;top:1642;width:10472;height:15" coordorigin="720,1642" coordsize="10472,15" path="m11191,1642l5387,1642,5373,1642,720,1642,720,1656,5373,1656,5387,1656,11191,1656,11191,1642xe" filled="true" fillcolor="#69bd28" stroked="false">
              <v:path arrowok="t"/>
              <v:fill type="solid"/>
            </v:shape>
            <v:shape style="position:absolute;left:705;top:1298;width:10486;height:344" type="#_x0000_t202" filled="false" stroked="false">
              <v:textbox inset="0,0,0,0">
                <w:txbxContent>
                  <w:p>
                    <w:pPr>
                      <w:tabs>
                        <w:tab w:pos="4661" w:val="left" w:leader="none"/>
                      </w:tabs>
                      <w:spacing w:before="68"/>
                      <w:ind w:left="7" w:right="0" w:firstLine="0"/>
                      <w:jc w:val="center"/>
                      <w:rPr>
                        <w:b/>
                        <w:sz w:val="18"/>
                      </w:rPr>
                    </w:pPr>
                    <w:r>
                      <w:rPr>
                        <w:b/>
                        <w:color w:val="FFFFFF"/>
                        <w:w w:val="110"/>
                        <w:sz w:val="18"/>
                      </w:rPr>
                      <w:t>Area</w:t>
                    </w:r>
                    <w:r>
                      <w:rPr>
                        <w:b/>
                        <w:color w:val="FFFFFF"/>
                        <w:spacing w:val="-10"/>
                        <w:w w:val="110"/>
                        <w:sz w:val="18"/>
                      </w:rPr>
                      <w:t> </w:t>
                    </w:r>
                    <w:r>
                      <w:rPr>
                        <w:b/>
                        <w:color w:val="FFFFFF"/>
                        <w:w w:val="110"/>
                        <w:sz w:val="18"/>
                      </w:rPr>
                      <w:t>(msf)</w:t>
                      <w:tab/>
                      <w:t>Marginal Rent</w:t>
                    </w:r>
                    <w:r>
                      <w:rPr>
                        <w:b/>
                        <w:color w:val="FFFFFF"/>
                        <w:spacing w:val="-6"/>
                        <w:w w:val="110"/>
                        <w:sz w:val="18"/>
                      </w:rPr>
                      <w:t> </w:t>
                    </w:r>
                    <w:r>
                      <w:rPr>
                        <w:b/>
                        <w:color w:val="FFFFFF"/>
                        <w:w w:val="110"/>
                        <w:sz w:val="18"/>
                      </w:rPr>
                      <w:t>Strategy</w:t>
                    </w:r>
                  </w:p>
                </w:txbxContent>
              </v:textbox>
              <w10:wrap type="none"/>
            </v:shape>
            <w10:wrap type="topAndBottom"/>
          </v:group>
        </w:pict>
      </w:r>
      <w:r>
        <w:rPr/>
        <w:t>Based</w:t>
      </w:r>
      <w:r>
        <w:rPr>
          <w:spacing w:val="-23"/>
        </w:rPr>
        <w:t> </w:t>
      </w:r>
      <w:r>
        <w:rPr/>
        <w:t>on</w:t>
      </w:r>
      <w:r>
        <w:rPr>
          <w:spacing w:val="-21"/>
        </w:rPr>
        <w:t> </w:t>
      </w:r>
      <w:r>
        <w:rPr/>
        <w:t>the</w:t>
      </w:r>
      <w:r>
        <w:rPr>
          <w:spacing w:val="-22"/>
        </w:rPr>
        <w:t> </w:t>
      </w:r>
      <w:r>
        <w:rPr/>
        <w:t>size</w:t>
      </w:r>
      <w:r>
        <w:rPr>
          <w:spacing w:val="-22"/>
        </w:rPr>
        <w:t> </w:t>
      </w:r>
      <w:r>
        <w:rPr/>
        <w:t>and</w:t>
      </w:r>
      <w:r>
        <w:rPr>
          <w:spacing w:val="-23"/>
        </w:rPr>
        <w:t> </w:t>
      </w:r>
      <w:r>
        <w:rPr/>
        <w:t>scale</w:t>
      </w:r>
      <w:r>
        <w:rPr>
          <w:spacing w:val="-22"/>
        </w:rPr>
        <w:t> </w:t>
      </w:r>
      <w:r>
        <w:rPr/>
        <w:t>of</w:t>
      </w:r>
      <w:r>
        <w:rPr>
          <w:spacing w:val="-20"/>
        </w:rPr>
        <w:t> </w:t>
      </w:r>
      <w:r>
        <w:rPr/>
        <w:t>operations</w:t>
      </w:r>
      <w:r>
        <w:rPr>
          <w:spacing w:val="-21"/>
        </w:rPr>
        <w:t> </w:t>
      </w:r>
      <w:r>
        <w:rPr/>
        <w:t>of</w:t>
      </w:r>
      <w:r>
        <w:rPr>
          <w:spacing w:val="-22"/>
        </w:rPr>
        <w:t> </w:t>
      </w:r>
      <w:r>
        <w:rPr/>
        <w:t>these</w:t>
      </w:r>
      <w:r>
        <w:rPr>
          <w:spacing w:val="-23"/>
        </w:rPr>
        <w:t> </w:t>
      </w:r>
      <w:r>
        <w:rPr/>
        <w:t>tenants,</w:t>
      </w:r>
      <w:r>
        <w:rPr>
          <w:spacing w:val="-22"/>
        </w:rPr>
        <w:t> </w:t>
      </w:r>
      <w:r>
        <w:rPr/>
        <w:t>the</w:t>
      </w:r>
      <w:r>
        <w:rPr>
          <w:spacing w:val="-22"/>
        </w:rPr>
        <w:t> </w:t>
      </w:r>
      <w:r>
        <w:rPr/>
        <w:t>Valuer</w:t>
      </w:r>
      <w:r>
        <w:rPr>
          <w:spacing w:val="-21"/>
        </w:rPr>
        <w:t> </w:t>
      </w:r>
      <w:r>
        <w:rPr/>
        <w:t>adopted</w:t>
      </w:r>
      <w:r>
        <w:rPr>
          <w:spacing w:val="-21"/>
        </w:rPr>
        <w:t> </w:t>
      </w:r>
      <w:r>
        <w:rPr/>
        <w:t>individual</w:t>
      </w:r>
      <w:r>
        <w:rPr>
          <w:spacing w:val="-22"/>
        </w:rPr>
        <w:t> </w:t>
      </w:r>
      <w:r>
        <w:rPr/>
        <w:t>marginal</w:t>
      </w:r>
      <w:r>
        <w:rPr>
          <w:spacing w:val="-22"/>
        </w:rPr>
        <w:t> </w:t>
      </w:r>
      <w:r>
        <w:rPr/>
        <w:t>rent assumptions</w:t>
      </w:r>
      <w:r>
        <w:rPr>
          <w:spacing w:val="-33"/>
        </w:rPr>
        <w:t> </w:t>
      </w:r>
      <w:r>
        <w:rPr/>
        <w:t>for</w:t>
      </w:r>
      <w:r>
        <w:rPr>
          <w:spacing w:val="-32"/>
        </w:rPr>
        <w:t> </w:t>
      </w:r>
      <w:r>
        <w:rPr/>
        <w:t>larger</w:t>
      </w:r>
      <w:r>
        <w:rPr>
          <w:spacing w:val="-32"/>
        </w:rPr>
        <w:t> </w:t>
      </w:r>
      <w:r>
        <w:rPr/>
        <w:t>tenants</w:t>
      </w:r>
      <w:r>
        <w:rPr>
          <w:spacing w:val="-31"/>
        </w:rPr>
        <w:t> </w:t>
      </w:r>
      <w:r>
        <w:rPr/>
        <w:t>in</w:t>
      </w:r>
      <w:r>
        <w:rPr>
          <w:spacing w:val="-32"/>
        </w:rPr>
        <w:t> </w:t>
      </w:r>
      <w:r>
        <w:rPr/>
        <w:t>the</w:t>
      </w:r>
      <w:r>
        <w:rPr>
          <w:spacing w:val="-32"/>
        </w:rPr>
        <w:t> </w:t>
      </w:r>
      <w:r>
        <w:rPr/>
        <w:t>subject</w:t>
      </w:r>
      <w:r>
        <w:rPr>
          <w:spacing w:val="-32"/>
        </w:rPr>
        <w:t> </w:t>
      </w:r>
      <w:r>
        <w:rPr/>
        <w:t>development.</w:t>
      </w:r>
      <w:r>
        <w:rPr>
          <w:spacing w:val="-30"/>
        </w:rPr>
        <w:t> </w:t>
      </w:r>
      <w:r>
        <w:rPr/>
        <w:t>The</w:t>
      </w:r>
      <w:r>
        <w:rPr>
          <w:spacing w:val="-32"/>
        </w:rPr>
        <w:t> </w:t>
      </w:r>
      <w:r>
        <w:rPr/>
        <w:t>details</w:t>
      </w:r>
      <w:r>
        <w:rPr>
          <w:spacing w:val="-31"/>
        </w:rPr>
        <w:t> </w:t>
      </w:r>
      <w:r>
        <w:rPr/>
        <w:t>of</w:t>
      </w:r>
      <w:r>
        <w:rPr>
          <w:spacing w:val="-32"/>
        </w:rPr>
        <w:t> </w:t>
      </w:r>
      <w:r>
        <w:rPr/>
        <w:t>the</w:t>
      </w:r>
      <w:r>
        <w:rPr>
          <w:spacing w:val="-31"/>
        </w:rPr>
        <w:t> </w:t>
      </w:r>
      <w:r>
        <w:rPr/>
        <w:t>same</w:t>
      </w:r>
      <w:r>
        <w:rPr>
          <w:spacing w:val="-32"/>
        </w:rPr>
        <w:t> </w:t>
      </w:r>
      <w:r>
        <w:rPr/>
        <w:t>have</w:t>
      </w:r>
      <w:r>
        <w:rPr>
          <w:spacing w:val="-32"/>
        </w:rPr>
        <w:t> </w:t>
      </w:r>
      <w:r>
        <w:rPr/>
        <w:t>been</w:t>
      </w:r>
      <w:r>
        <w:rPr>
          <w:spacing w:val="-32"/>
        </w:rPr>
        <w:t> </w:t>
      </w:r>
      <w:r>
        <w:rPr/>
        <w:t>tabulated below:</w:t>
      </w:r>
    </w:p>
    <w:p>
      <w:pPr>
        <w:tabs>
          <w:tab w:pos="3502" w:val="left" w:leader="none"/>
        </w:tabs>
        <w:spacing w:before="42" w:after="70"/>
        <w:ind w:left="0" w:right="252" w:firstLine="0"/>
        <w:jc w:val="right"/>
        <w:rPr>
          <w:sz w:val="18"/>
        </w:rPr>
      </w:pPr>
      <w:r>
        <w:rPr>
          <w:sz w:val="18"/>
        </w:rPr>
        <w:t>Leasable Area </w:t>
      </w:r>
      <w:r>
        <w:rPr>
          <w:w w:val="130"/>
          <w:sz w:val="18"/>
        </w:rPr>
        <w:t>&gt;</w:t>
      </w:r>
      <w:r>
        <w:rPr>
          <w:spacing w:val="-10"/>
          <w:w w:val="130"/>
          <w:sz w:val="18"/>
        </w:rPr>
        <w:t> </w:t>
      </w:r>
      <w:r>
        <w:rPr>
          <w:sz w:val="18"/>
        </w:rPr>
        <w:t>0.35</w:t>
      </w:r>
      <w:r>
        <w:rPr>
          <w:spacing w:val="3"/>
          <w:sz w:val="18"/>
        </w:rPr>
        <w:t> </w:t>
      </w:r>
      <w:r>
        <w:rPr>
          <w:sz w:val="18"/>
        </w:rPr>
        <w:t>msf</w:t>
        <w:tab/>
        <w:t>Renewal</w:t>
      </w:r>
      <w:r>
        <w:rPr>
          <w:spacing w:val="-24"/>
          <w:sz w:val="18"/>
        </w:rPr>
        <w:t> </w:t>
      </w:r>
      <w:r>
        <w:rPr>
          <w:sz w:val="18"/>
        </w:rPr>
        <w:t>at</w:t>
      </w:r>
      <w:r>
        <w:rPr>
          <w:spacing w:val="-23"/>
          <w:sz w:val="18"/>
        </w:rPr>
        <w:t> </w:t>
      </w:r>
      <w:r>
        <w:rPr>
          <w:sz w:val="18"/>
        </w:rPr>
        <w:t>market</w:t>
      </w:r>
      <w:r>
        <w:rPr>
          <w:spacing w:val="-24"/>
          <w:sz w:val="18"/>
        </w:rPr>
        <w:t> </w:t>
      </w:r>
      <w:r>
        <w:rPr>
          <w:sz w:val="18"/>
        </w:rPr>
        <w:t>(6</w:t>
      </w:r>
      <w:r>
        <w:rPr>
          <w:spacing w:val="-23"/>
          <w:sz w:val="18"/>
        </w:rPr>
        <w:t> </w:t>
      </w:r>
      <w:r>
        <w:rPr>
          <w:sz w:val="18"/>
        </w:rPr>
        <w:t>months</w:t>
      </w:r>
      <w:r>
        <w:rPr>
          <w:spacing w:val="-21"/>
          <w:sz w:val="18"/>
        </w:rPr>
        <w:t> </w:t>
      </w:r>
      <w:r>
        <w:rPr>
          <w:sz w:val="18"/>
        </w:rPr>
        <w:t>lease-up</w:t>
      </w:r>
      <w:r>
        <w:rPr>
          <w:spacing w:val="-23"/>
          <w:sz w:val="18"/>
        </w:rPr>
        <w:t> </w:t>
      </w:r>
      <w:r>
        <w:rPr>
          <w:sz w:val="18"/>
        </w:rPr>
        <w:t>time)/</w:t>
      </w:r>
      <w:r>
        <w:rPr>
          <w:spacing w:val="-24"/>
          <w:sz w:val="18"/>
        </w:rPr>
        <w:t> </w:t>
      </w:r>
      <w:r>
        <w:rPr>
          <w:sz w:val="18"/>
        </w:rPr>
        <w:t>Renewal</w:t>
      </w:r>
      <w:r>
        <w:rPr>
          <w:spacing w:val="-23"/>
          <w:sz w:val="18"/>
        </w:rPr>
        <w:t> </w:t>
      </w:r>
      <w:r>
        <w:rPr>
          <w:sz w:val="18"/>
        </w:rPr>
        <w:t>at</w:t>
      </w:r>
      <w:r>
        <w:rPr>
          <w:spacing w:val="-24"/>
          <w:sz w:val="18"/>
        </w:rPr>
        <w:t> </w:t>
      </w:r>
      <w:r>
        <w:rPr>
          <w:sz w:val="18"/>
        </w:rPr>
        <w:t>10%</w:t>
      </w:r>
      <w:r>
        <w:rPr>
          <w:spacing w:val="-23"/>
          <w:sz w:val="18"/>
        </w:rPr>
        <w:t> </w:t>
      </w:r>
      <w:r>
        <w:rPr>
          <w:sz w:val="18"/>
        </w:rPr>
        <w:t>discount</w:t>
      </w:r>
    </w:p>
    <w:p>
      <w:pPr>
        <w:pStyle w:val="BodyText"/>
        <w:spacing w:line="20" w:lineRule="exact"/>
        <w:ind w:left="12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667,0,4653,0,0,0,0,14,4653,14,4667,14,10471,14,10471,0xe" filled="true" fillcolor="#69bd28" stroked="false">
              <v:path arrowok="t"/>
              <v:fill type="solid"/>
            </v:shape>
          </v:group>
        </w:pict>
      </w:r>
      <w:r>
        <w:rPr>
          <w:sz w:val="2"/>
        </w:rPr>
      </w:r>
    </w:p>
    <w:p>
      <w:pPr>
        <w:tabs>
          <w:tab w:pos="4364" w:val="left" w:leader="none"/>
        </w:tabs>
        <w:spacing w:before="106"/>
        <w:ind w:left="0" w:right="305" w:firstLine="0"/>
        <w:jc w:val="right"/>
        <w:rPr>
          <w:sz w:val="18"/>
        </w:rPr>
      </w:pPr>
      <w:r>
        <w:rPr/>
        <w:pict>
          <v:shape style="position:absolute;margin-left:35.280003pt;margin-top:21.31068pt;width:524.3pt;height:.75pt;mso-position-horizontal-relative:page;mso-position-vertical-relative:paragraph;z-index:-15080448;mso-wrap-distance-left:0;mso-wrap-distance-right:0" coordorigin="706,426" coordsize="10486,15" path="m11191,426l5373,426,5358,426,706,426,706,441,5358,441,5373,441,11191,441,11191,426xe" filled="true" fillcolor="#69bd28" stroked="false">
            <v:path arrowok="t"/>
            <v:fill type="solid"/>
            <w10:wrap type="topAndBottom"/>
          </v:shape>
        </w:pict>
      </w:r>
      <w:r>
        <w:rPr>
          <w:sz w:val="18"/>
        </w:rPr>
        <w:t>Leasable Area between 0.20 msf and</w:t>
      </w:r>
      <w:r>
        <w:rPr>
          <w:spacing w:val="-32"/>
          <w:sz w:val="18"/>
        </w:rPr>
        <w:t> </w:t>
      </w:r>
      <w:r>
        <w:rPr>
          <w:sz w:val="18"/>
        </w:rPr>
        <w:t>0.35</w:t>
      </w:r>
      <w:r>
        <w:rPr>
          <w:spacing w:val="-5"/>
          <w:sz w:val="18"/>
        </w:rPr>
        <w:t> </w:t>
      </w:r>
      <w:r>
        <w:rPr>
          <w:sz w:val="18"/>
        </w:rPr>
        <w:t>msf</w:t>
        <w:tab/>
        <w:t>Renewal</w:t>
      </w:r>
      <w:r>
        <w:rPr>
          <w:spacing w:val="-24"/>
          <w:sz w:val="18"/>
        </w:rPr>
        <w:t> </w:t>
      </w:r>
      <w:r>
        <w:rPr>
          <w:sz w:val="18"/>
        </w:rPr>
        <w:t>at</w:t>
      </w:r>
      <w:r>
        <w:rPr>
          <w:spacing w:val="-25"/>
          <w:sz w:val="18"/>
        </w:rPr>
        <w:t> </w:t>
      </w:r>
      <w:r>
        <w:rPr>
          <w:sz w:val="18"/>
        </w:rPr>
        <w:t>market</w:t>
      </w:r>
      <w:r>
        <w:rPr>
          <w:spacing w:val="-25"/>
          <w:sz w:val="18"/>
        </w:rPr>
        <w:t> </w:t>
      </w:r>
      <w:r>
        <w:rPr>
          <w:sz w:val="18"/>
        </w:rPr>
        <w:t>(3</w:t>
      </w:r>
      <w:r>
        <w:rPr>
          <w:spacing w:val="-24"/>
          <w:sz w:val="18"/>
        </w:rPr>
        <w:t> </w:t>
      </w:r>
      <w:r>
        <w:rPr>
          <w:sz w:val="18"/>
        </w:rPr>
        <w:t>months</w:t>
      </w:r>
      <w:r>
        <w:rPr>
          <w:spacing w:val="-24"/>
          <w:sz w:val="18"/>
        </w:rPr>
        <w:t> </w:t>
      </w:r>
      <w:r>
        <w:rPr>
          <w:sz w:val="18"/>
        </w:rPr>
        <w:t>lease-up</w:t>
      </w:r>
      <w:r>
        <w:rPr>
          <w:spacing w:val="-24"/>
          <w:sz w:val="18"/>
        </w:rPr>
        <w:t> </w:t>
      </w:r>
      <w:r>
        <w:rPr>
          <w:sz w:val="18"/>
        </w:rPr>
        <w:t>time)/</w:t>
      </w:r>
      <w:r>
        <w:rPr>
          <w:spacing w:val="-25"/>
          <w:sz w:val="18"/>
        </w:rPr>
        <w:t> </w:t>
      </w:r>
      <w:r>
        <w:rPr>
          <w:sz w:val="18"/>
        </w:rPr>
        <w:t>Renewal</w:t>
      </w:r>
      <w:r>
        <w:rPr>
          <w:spacing w:val="-24"/>
          <w:sz w:val="18"/>
        </w:rPr>
        <w:t> </w:t>
      </w:r>
      <w:r>
        <w:rPr>
          <w:sz w:val="18"/>
        </w:rPr>
        <w:t>at</w:t>
      </w:r>
      <w:r>
        <w:rPr>
          <w:spacing w:val="-24"/>
          <w:sz w:val="18"/>
        </w:rPr>
        <w:t> </w:t>
      </w:r>
      <w:r>
        <w:rPr>
          <w:sz w:val="18"/>
        </w:rPr>
        <w:t>5%</w:t>
      </w:r>
      <w:r>
        <w:rPr>
          <w:spacing w:val="-23"/>
          <w:sz w:val="18"/>
        </w:rPr>
        <w:t> </w:t>
      </w:r>
      <w:r>
        <w:rPr>
          <w:sz w:val="18"/>
        </w:rPr>
        <w:t>discount</w:t>
      </w:r>
    </w:p>
    <w:p>
      <w:pPr>
        <w:spacing w:before="0"/>
        <w:ind w:left="120" w:right="0" w:firstLine="0"/>
        <w:jc w:val="left"/>
        <w:rPr>
          <w:i/>
          <w:sz w:val="18"/>
        </w:rPr>
      </w:pPr>
      <w:r>
        <w:rPr>
          <w:i/>
          <w:sz w:val="18"/>
        </w:rPr>
        <w:t>Source: Valuer Assessment</w:t>
      </w:r>
    </w:p>
    <w:p>
      <w:pPr>
        <w:spacing w:after="0"/>
        <w:jc w:val="left"/>
        <w:rPr>
          <w:sz w:val="18"/>
        </w:rPr>
        <w:sectPr>
          <w:pgSz w:w="11910" w:h="16840"/>
          <w:pgMar w:header="720" w:footer="921" w:top="1660" w:bottom="1120" w:left="600" w:right="600"/>
        </w:sectPr>
      </w:pPr>
    </w:p>
    <w:p>
      <w:pPr>
        <w:pStyle w:val="BodyText"/>
        <w:spacing w:before="7"/>
        <w:rPr>
          <w:i/>
          <w:sz w:val="9"/>
        </w:rPr>
      </w:pPr>
    </w:p>
    <w:p>
      <w:pPr>
        <w:pStyle w:val="BodyText"/>
        <w:spacing w:line="321" w:lineRule="auto" w:before="106"/>
        <w:ind w:left="682" w:right="114"/>
        <w:jc w:val="both"/>
      </w:pPr>
      <w:r>
        <w:rPr/>
        <w:t>As</w:t>
      </w:r>
      <w:r>
        <w:rPr>
          <w:spacing w:val="-29"/>
        </w:rPr>
        <w:t> </w:t>
      </w:r>
      <w:r>
        <w:rPr/>
        <w:t>presented</w:t>
      </w:r>
      <w:r>
        <w:rPr>
          <w:spacing w:val="-28"/>
        </w:rPr>
        <w:t> </w:t>
      </w:r>
      <w:r>
        <w:rPr/>
        <w:t>in</w:t>
      </w:r>
      <w:r>
        <w:rPr>
          <w:spacing w:val="-29"/>
        </w:rPr>
        <w:t> </w:t>
      </w:r>
      <w:r>
        <w:rPr/>
        <w:t>the</w:t>
      </w:r>
      <w:r>
        <w:rPr>
          <w:spacing w:val="-29"/>
        </w:rPr>
        <w:t> </w:t>
      </w:r>
      <w:r>
        <w:rPr/>
        <w:t>table</w:t>
      </w:r>
      <w:r>
        <w:rPr>
          <w:spacing w:val="-29"/>
        </w:rPr>
        <w:t> </w:t>
      </w:r>
      <w:r>
        <w:rPr/>
        <w:t>above,</w:t>
      </w:r>
      <w:r>
        <w:rPr>
          <w:spacing w:val="-28"/>
        </w:rPr>
        <w:t> </w:t>
      </w:r>
      <w:r>
        <w:rPr/>
        <w:t>larger</w:t>
      </w:r>
      <w:r>
        <w:rPr>
          <w:spacing w:val="-29"/>
        </w:rPr>
        <w:t> </w:t>
      </w:r>
      <w:r>
        <w:rPr/>
        <w:t>tenants</w:t>
      </w:r>
      <w:r>
        <w:rPr>
          <w:spacing w:val="-29"/>
        </w:rPr>
        <w:t> </w:t>
      </w:r>
      <w:r>
        <w:rPr/>
        <w:t>will</w:t>
      </w:r>
      <w:r>
        <w:rPr>
          <w:spacing w:val="-27"/>
        </w:rPr>
        <w:t> </w:t>
      </w:r>
      <w:r>
        <w:rPr/>
        <w:t>either</w:t>
      </w:r>
      <w:r>
        <w:rPr>
          <w:spacing w:val="-27"/>
        </w:rPr>
        <w:t> </w:t>
      </w:r>
      <w:r>
        <w:rPr/>
        <w:t>be</w:t>
      </w:r>
      <w:r>
        <w:rPr>
          <w:spacing w:val="-29"/>
        </w:rPr>
        <w:t> </w:t>
      </w:r>
      <w:r>
        <w:rPr/>
        <w:t>renewed</w:t>
      </w:r>
      <w:r>
        <w:rPr>
          <w:spacing w:val="-29"/>
        </w:rPr>
        <w:t> </w:t>
      </w:r>
      <w:r>
        <w:rPr/>
        <w:t>at</w:t>
      </w:r>
      <w:r>
        <w:rPr>
          <w:spacing w:val="-28"/>
        </w:rPr>
        <w:t> </w:t>
      </w:r>
      <w:r>
        <w:rPr/>
        <w:t>market</w:t>
      </w:r>
      <w:r>
        <w:rPr>
          <w:spacing w:val="-28"/>
        </w:rPr>
        <w:t> </w:t>
      </w:r>
      <w:r>
        <w:rPr/>
        <w:t>(with</w:t>
      </w:r>
      <w:r>
        <w:rPr>
          <w:spacing w:val="-30"/>
        </w:rPr>
        <w:t> </w:t>
      </w:r>
      <w:r>
        <w:rPr/>
        <w:t>a</w:t>
      </w:r>
      <w:r>
        <w:rPr>
          <w:spacing w:val="-29"/>
        </w:rPr>
        <w:t> </w:t>
      </w:r>
      <w:r>
        <w:rPr/>
        <w:t>longer</w:t>
      </w:r>
      <w:r>
        <w:rPr>
          <w:spacing w:val="-28"/>
        </w:rPr>
        <w:t> </w:t>
      </w:r>
      <w:r>
        <w:rPr/>
        <w:t>lease-up time</w:t>
      </w:r>
      <w:r>
        <w:rPr>
          <w:spacing w:val="-11"/>
        </w:rPr>
        <w:t> </w:t>
      </w:r>
      <w:r>
        <w:rPr/>
        <w:t>frame)</w:t>
      </w:r>
      <w:r>
        <w:rPr>
          <w:spacing w:val="-9"/>
        </w:rPr>
        <w:t> </w:t>
      </w:r>
      <w:r>
        <w:rPr/>
        <w:t>or</w:t>
      </w:r>
      <w:r>
        <w:rPr>
          <w:spacing w:val="-10"/>
        </w:rPr>
        <w:t> </w:t>
      </w:r>
      <w:r>
        <w:rPr/>
        <w:t>they</w:t>
      </w:r>
      <w:r>
        <w:rPr>
          <w:spacing w:val="-11"/>
        </w:rPr>
        <w:t> </w:t>
      </w:r>
      <w:r>
        <w:rPr/>
        <w:t>will</w:t>
      </w:r>
      <w:r>
        <w:rPr>
          <w:spacing w:val="-11"/>
        </w:rPr>
        <w:t> </w:t>
      </w:r>
      <w:r>
        <w:rPr/>
        <w:t>attract</w:t>
      </w:r>
      <w:r>
        <w:rPr>
          <w:spacing w:val="-10"/>
        </w:rPr>
        <w:t> </w:t>
      </w:r>
      <w:r>
        <w:rPr/>
        <w:t>a</w:t>
      </w:r>
      <w:r>
        <w:rPr>
          <w:spacing w:val="-10"/>
        </w:rPr>
        <w:t> </w:t>
      </w:r>
      <w:r>
        <w:rPr/>
        <w:t>discount</w:t>
      </w:r>
      <w:r>
        <w:rPr>
          <w:spacing w:val="-10"/>
        </w:rPr>
        <w:t> </w:t>
      </w:r>
      <w:r>
        <w:rPr/>
        <w:t>in</w:t>
      </w:r>
      <w:r>
        <w:rPr>
          <w:spacing w:val="-11"/>
        </w:rPr>
        <w:t> </w:t>
      </w:r>
      <w:r>
        <w:rPr/>
        <w:t>rents</w:t>
      </w:r>
      <w:r>
        <w:rPr>
          <w:spacing w:val="-10"/>
        </w:rPr>
        <w:t> </w:t>
      </w:r>
      <w:r>
        <w:rPr/>
        <w:t>compared</w:t>
      </w:r>
      <w:r>
        <w:rPr>
          <w:spacing w:val="-9"/>
        </w:rPr>
        <w:t> </w:t>
      </w:r>
      <w:r>
        <w:rPr/>
        <w:t>to</w:t>
      </w:r>
      <w:r>
        <w:rPr>
          <w:spacing w:val="-10"/>
        </w:rPr>
        <w:t> </w:t>
      </w:r>
      <w:r>
        <w:rPr/>
        <w:t>the</w:t>
      </w:r>
      <w:r>
        <w:rPr>
          <w:spacing w:val="-11"/>
        </w:rPr>
        <w:t> </w:t>
      </w:r>
      <w:r>
        <w:rPr/>
        <w:t>market.</w:t>
      </w:r>
    </w:p>
    <w:p>
      <w:pPr>
        <w:pStyle w:val="ListParagraph"/>
        <w:numPr>
          <w:ilvl w:val="3"/>
          <w:numId w:val="76"/>
        </w:numPr>
        <w:tabs>
          <w:tab w:pos="985" w:val="left" w:leader="none"/>
        </w:tabs>
        <w:spacing w:line="240" w:lineRule="auto" w:before="211" w:after="0"/>
        <w:ind w:left="984" w:right="0" w:hanging="865"/>
        <w:jc w:val="left"/>
        <w:rPr>
          <w:i/>
          <w:sz w:val="20"/>
        </w:rPr>
      </w:pPr>
      <w:r>
        <w:rPr>
          <w:i/>
          <w:color w:val="008000"/>
          <w:sz w:val="20"/>
        </w:rPr>
        <w:t>Rent</w:t>
      </w:r>
      <w:r>
        <w:rPr>
          <w:i/>
          <w:color w:val="008000"/>
          <w:spacing w:val="-4"/>
          <w:sz w:val="20"/>
        </w:rPr>
        <w:t> </w:t>
      </w:r>
      <w:r>
        <w:rPr>
          <w:i/>
          <w:color w:val="008000"/>
          <w:sz w:val="20"/>
        </w:rPr>
        <w:t>Escalation</w:t>
      </w:r>
    </w:p>
    <w:p>
      <w:pPr>
        <w:pStyle w:val="BodyText"/>
        <w:rPr>
          <w:i/>
        </w:rPr>
      </w:pPr>
    </w:p>
    <w:p>
      <w:pPr>
        <w:pStyle w:val="BodyText"/>
        <w:spacing w:line="321" w:lineRule="auto"/>
        <w:ind w:left="682" w:right="117"/>
        <w:jc w:val="both"/>
      </w:pPr>
      <w:r>
        <w:rPr/>
        <w:t>Based</w:t>
      </w:r>
      <w:r>
        <w:rPr>
          <w:spacing w:val="-43"/>
        </w:rPr>
        <w:t> </w:t>
      </w:r>
      <w:r>
        <w:rPr/>
        <w:t>on</w:t>
      </w:r>
      <w:r>
        <w:rPr>
          <w:spacing w:val="-42"/>
        </w:rPr>
        <w:t> </w:t>
      </w:r>
      <w:r>
        <w:rPr/>
        <w:t>an</w:t>
      </w:r>
      <w:r>
        <w:rPr>
          <w:spacing w:val="-43"/>
        </w:rPr>
        <w:t> </w:t>
      </w:r>
      <w:r>
        <w:rPr/>
        <w:t>analysis</w:t>
      </w:r>
      <w:r>
        <w:rPr>
          <w:spacing w:val="-42"/>
        </w:rPr>
        <w:t> </w:t>
      </w:r>
      <w:r>
        <w:rPr/>
        <w:t>of</w:t>
      </w:r>
      <w:r>
        <w:rPr>
          <w:spacing w:val="-43"/>
        </w:rPr>
        <w:t> </w:t>
      </w:r>
      <w:r>
        <w:rPr/>
        <w:t>existing</w:t>
      </w:r>
      <w:r>
        <w:rPr>
          <w:spacing w:val="-41"/>
        </w:rPr>
        <w:t> </w:t>
      </w:r>
      <w:r>
        <w:rPr/>
        <w:t>lease</w:t>
      </w:r>
      <w:r>
        <w:rPr>
          <w:spacing w:val="-43"/>
        </w:rPr>
        <w:t> </w:t>
      </w:r>
      <w:r>
        <w:rPr/>
        <w:t>rolls,</w:t>
      </w:r>
      <w:r>
        <w:rPr>
          <w:spacing w:val="-43"/>
        </w:rPr>
        <w:t> </w:t>
      </w:r>
      <w:r>
        <w:rPr/>
        <w:t>it</w:t>
      </w:r>
      <w:r>
        <w:rPr>
          <w:spacing w:val="-43"/>
        </w:rPr>
        <w:t> </w:t>
      </w:r>
      <w:r>
        <w:rPr/>
        <w:t>was</w:t>
      </w:r>
      <w:r>
        <w:rPr>
          <w:spacing w:val="-41"/>
        </w:rPr>
        <w:t> </w:t>
      </w:r>
      <w:r>
        <w:rPr/>
        <w:t>observed</w:t>
      </w:r>
      <w:r>
        <w:rPr>
          <w:spacing w:val="-43"/>
        </w:rPr>
        <w:t> </w:t>
      </w:r>
      <w:r>
        <w:rPr/>
        <w:t>that</w:t>
      </w:r>
      <w:r>
        <w:rPr>
          <w:spacing w:val="-42"/>
        </w:rPr>
        <w:t> </w:t>
      </w:r>
      <w:r>
        <w:rPr/>
        <w:t>the</w:t>
      </w:r>
      <w:r>
        <w:rPr>
          <w:spacing w:val="-43"/>
        </w:rPr>
        <w:t> </w:t>
      </w:r>
      <w:r>
        <w:rPr/>
        <w:t>typical</w:t>
      </w:r>
      <w:r>
        <w:rPr>
          <w:spacing w:val="-42"/>
        </w:rPr>
        <w:t> </w:t>
      </w:r>
      <w:r>
        <w:rPr/>
        <w:t>escalation</w:t>
      </w:r>
      <w:r>
        <w:rPr>
          <w:spacing w:val="-40"/>
        </w:rPr>
        <w:t> </w:t>
      </w:r>
      <w:r>
        <w:rPr/>
        <w:t>clause</w:t>
      </w:r>
      <w:r>
        <w:rPr>
          <w:spacing w:val="-43"/>
        </w:rPr>
        <w:t> </w:t>
      </w:r>
      <w:r>
        <w:rPr/>
        <w:t>in</w:t>
      </w:r>
      <w:r>
        <w:rPr>
          <w:spacing w:val="-43"/>
        </w:rPr>
        <w:t> </w:t>
      </w:r>
      <w:r>
        <w:rPr/>
        <w:t>the</w:t>
      </w:r>
      <w:r>
        <w:rPr>
          <w:spacing w:val="-42"/>
        </w:rPr>
        <w:t> </w:t>
      </w:r>
      <w:r>
        <w:rPr/>
        <w:t>subject property</w:t>
      </w:r>
      <w:r>
        <w:rPr>
          <w:spacing w:val="-20"/>
        </w:rPr>
        <w:t> </w:t>
      </w:r>
      <w:r>
        <w:rPr/>
        <w:t>is</w:t>
      </w:r>
      <w:r>
        <w:rPr>
          <w:spacing w:val="-20"/>
        </w:rPr>
        <w:t> </w:t>
      </w:r>
      <w:r>
        <w:rPr/>
        <w:t>approx.</w:t>
      </w:r>
      <w:r>
        <w:rPr>
          <w:spacing w:val="-22"/>
        </w:rPr>
        <w:t> </w:t>
      </w:r>
      <w:r>
        <w:rPr/>
        <w:t>15%</w:t>
      </w:r>
      <w:r>
        <w:rPr>
          <w:spacing w:val="-21"/>
        </w:rPr>
        <w:t> </w:t>
      </w:r>
      <w:r>
        <w:rPr/>
        <w:t>after</w:t>
      </w:r>
      <w:r>
        <w:rPr>
          <w:spacing w:val="-21"/>
        </w:rPr>
        <w:t> </w:t>
      </w:r>
      <w:r>
        <w:rPr/>
        <w:t>every</w:t>
      </w:r>
      <w:r>
        <w:rPr>
          <w:spacing w:val="-20"/>
        </w:rPr>
        <w:t> </w:t>
      </w:r>
      <w:r>
        <w:rPr/>
        <w:t>three</w:t>
      </w:r>
      <w:r>
        <w:rPr>
          <w:spacing w:val="-21"/>
        </w:rPr>
        <w:t> </w:t>
      </w:r>
      <w:r>
        <w:rPr/>
        <w:t>years,</w:t>
      </w:r>
      <w:r>
        <w:rPr>
          <w:spacing w:val="-21"/>
        </w:rPr>
        <w:t> </w:t>
      </w:r>
      <w:r>
        <w:rPr/>
        <w:t>which</w:t>
      </w:r>
      <w:r>
        <w:rPr>
          <w:spacing w:val="-22"/>
        </w:rPr>
        <w:t> </w:t>
      </w:r>
      <w:r>
        <w:rPr/>
        <w:t>is</w:t>
      </w:r>
      <w:r>
        <w:rPr>
          <w:spacing w:val="-20"/>
        </w:rPr>
        <w:t> </w:t>
      </w:r>
      <w:r>
        <w:rPr/>
        <w:t>in-line</w:t>
      </w:r>
      <w:r>
        <w:rPr>
          <w:spacing w:val="-21"/>
        </w:rPr>
        <w:t> </w:t>
      </w:r>
      <w:r>
        <w:rPr/>
        <w:t>with</w:t>
      </w:r>
      <w:r>
        <w:rPr>
          <w:spacing w:val="-22"/>
        </w:rPr>
        <w:t> </w:t>
      </w:r>
      <w:r>
        <w:rPr/>
        <w:t>the</w:t>
      </w:r>
      <w:r>
        <w:rPr>
          <w:spacing w:val="-21"/>
        </w:rPr>
        <w:t> </w:t>
      </w:r>
      <w:r>
        <w:rPr/>
        <w:t>trend</w:t>
      </w:r>
      <w:r>
        <w:rPr>
          <w:spacing w:val="-21"/>
        </w:rPr>
        <w:t> </w:t>
      </w:r>
      <w:r>
        <w:rPr/>
        <w:t>observed</w:t>
      </w:r>
      <w:r>
        <w:rPr>
          <w:spacing w:val="-21"/>
        </w:rPr>
        <w:t> </w:t>
      </w:r>
      <w:r>
        <w:rPr/>
        <w:t>in</w:t>
      </w:r>
      <w:r>
        <w:rPr>
          <w:spacing w:val="-22"/>
        </w:rPr>
        <w:t> </w:t>
      </w:r>
      <w:r>
        <w:rPr/>
        <w:t>the</w:t>
      </w:r>
      <w:r>
        <w:rPr>
          <w:spacing w:val="-21"/>
        </w:rPr>
        <w:t> </w:t>
      </w:r>
      <w:r>
        <w:rPr/>
        <w:t>market. The</w:t>
      </w:r>
      <w:r>
        <w:rPr>
          <w:spacing w:val="-20"/>
        </w:rPr>
        <w:t> </w:t>
      </w:r>
      <w:r>
        <w:rPr/>
        <w:t>same</w:t>
      </w:r>
      <w:r>
        <w:rPr>
          <w:spacing w:val="-19"/>
        </w:rPr>
        <w:t> </w:t>
      </w:r>
      <w:r>
        <w:rPr/>
        <w:t>has</w:t>
      </w:r>
      <w:r>
        <w:rPr>
          <w:spacing w:val="-20"/>
        </w:rPr>
        <w:t> </w:t>
      </w:r>
      <w:r>
        <w:rPr/>
        <w:t>been</w:t>
      </w:r>
      <w:r>
        <w:rPr>
          <w:spacing w:val="-19"/>
        </w:rPr>
        <w:t> </w:t>
      </w:r>
      <w:r>
        <w:rPr/>
        <w:t>adopted</w:t>
      </w:r>
      <w:r>
        <w:rPr>
          <w:spacing w:val="-19"/>
        </w:rPr>
        <w:t> </w:t>
      </w:r>
      <w:r>
        <w:rPr/>
        <w:t>by</w:t>
      </w:r>
      <w:r>
        <w:rPr>
          <w:spacing w:val="-19"/>
        </w:rPr>
        <w:t> </w:t>
      </w:r>
      <w:r>
        <w:rPr/>
        <w:t>the</w:t>
      </w:r>
      <w:r>
        <w:rPr>
          <w:spacing w:val="-19"/>
        </w:rPr>
        <w:t> </w:t>
      </w:r>
      <w:r>
        <w:rPr/>
        <w:t>Valuer</w:t>
      </w:r>
      <w:r>
        <w:rPr>
          <w:spacing w:val="-20"/>
        </w:rPr>
        <w:t> </w:t>
      </w:r>
      <w:r>
        <w:rPr/>
        <w:t>for</w:t>
      </w:r>
      <w:r>
        <w:rPr>
          <w:spacing w:val="-19"/>
        </w:rPr>
        <w:t> </w:t>
      </w:r>
      <w:r>
        <w:rPr/>
        <w:t>the</w:t>
      </w:r>
      <w:r>
        <w:rPr>
          <w:spacing w:val="-20"/>
        </w:rPr>
        <w:t> </w:t>
      </w:r>
      <w:r>
        <w:rPr/>
        <w:t>vacant</w:t>
      </w:r>
      <w:r>
        <w:rPr>
          <w:spacing w:val="-18"/>
        </w:rPr>
        <w:t> </w:t>
      </w:r>
      <w:r>
        <w:rPr/>
        <w:t>area</w:t>
      </w:r>
      <w:r>
        <w:rPr>
          <w:spacing w:val="-19"/>
        </w:rPr>
        <w:t> </w:t>
      </w:r>
      <w:r>
        <w:rPr/>
        <w:t>and</w:t>
      </w:r>
      <w:r>
        <w:rPr>
          <w:spacing w:val="-19"/>
        </w:rPr>
        <w:t> </w:t>
      </w:r>
      <w:r>
        <w:rPr/>
        <w:t>renewals</w:t>
      </w:r>
      <w:r>
        <w:rPr>
          <w:spacing w:val="-19"/>
        </w:rPr>
        <w:t> </w:t>
      </w:r>
      <w:r>
        <w:rPr/>
        <w:t>at</w:t>
      </w:r>
      <w:r>
        <w:rPr>
          <w:spacing w:val="-18"/>
        </w:rPr>
        <w:t> </w:t>
      </w:r>
      <w:r>
        <w:rPr/>
        <w:t>the</w:t>
      </w:r>
      <w:r>
        <w:rPr>
          <w:spacing w:val="-19"/>
        </w:rPr>
        <w:t> </w:t>
      </w:r>
      <w:r>
        <w:rPr/>
        <w:t>subject</w:t>
      </w:r>
      <w:r>
        <w:rPr>
          <w:spacing w:val="-19"/>
        </w:rPr>
        <w:t> </w:t>
      </w:r>
      <w:r>
        <w:rPr/>
        <w:t>property.</w:t>
      </w:r>
    </w:p>
    <w:p>
      <w:pPr>
        <w:pStyle w:val="BodyText"/>
        <w:spacing w:before="2"/>
        <w:rPr>
          <w:sz w:val="23"/>
        </w:rPr>
      </w:pPr>
    </w:p>
    <w:p>
      <w:pPr>
        <w:pStyle w:val="ListParagraph"/>
        <w:numPr>
          <w:ilvl w:val="3"/>
          <w:numId w:val="76"/>
        </w:numPr>
        <w:tabs>
          <w:tab w:pos="985" w:val="left" w:leader="none"/>
        </w:tabs>
        <w:spacing w:line="240" w:lineRule="auto" w:before="0" w:after="0"/>
        <w:ind w:left="984" w:right="0" w:hanging="865"/>
        <w:jc w:val="left"/>
        <w:rPr>
          <w:i/>
          <w:sz w:val="20"/>
        </w:rPr>
      </w:pPr>
      <w:r>
        <w:rPr>
          <w:i/>
          <w:color w:val="008000"/>
          <w:w w:val="95"/>
          <w:sz w:val="20"/>
        </w:rPr>
        <w:t>Fit-out</w:t>
      </w:r>
      <w:r>
        <w:rPr>
          <w:i/>
          <w:color w:val="008000"/>
          <w:spacing w:val="-1"/>
          <w:w w:val="95"/>
          <w:sz w:val="20"/>
        </w:rPr>
        <w:t> </w:t>
      </w:r>
      <w:r>
        <w:rPr>
          <w:i/>
          <w:color w:val="008000"/>
          <w:w w:val="95"/>
          <w:sz w:val="20"/>
        </w:rPr>
        <w:t>Rent</w:t>
      </w:r>
    </w:p>
    <w:p>
      <w:pPr>
        <w:pStyle w:val="BodyText"/>
        <w:spacing w:before="1"/>
        <w:rPr>
          <w:i/>
        </w:rPr>
      </w:pPr>
    </w:p>
    <w:p>
      <w:pPr>
        <w:pStyle w:val="BodyText"/>
        <w:spacing w:line="321" w:lineRule="auto"/>
        <w:ind w:left="682" w:right="122"/>
        <w:jc w:val="both"/>
      </w:pPr>
      <w:r>
        <w:rPr/>
        <w:t>As per the information (rent roll) provided by the Client, we understand that currently, the subject development does not receive any income from fit-out rentals from any of the tenants.</w:t>
      </w:r>
    </w:p>
    <w:p>
      <w:pPr>
        <w:pStyle w:val="BodyText"/>
        <w:spacing w:before="3"/>
        <w:rPr>
          <w:sz w:val="23"/>
        </w:rPr>
      </w:pPr>
    </w:p>
    <w:p>
      <w:pPr>
        <w:pStyle w:val="ListParagraph"/>
        <w:numPr>
          <w:ilvl w:val="3"/>
          <w:numId w:val="76"/>
        </w:numPr>
        <w:tabs>
          <w:tab w:pos="985" w:val="left" w:leader="none"/>
        </w:tabs>
        <w:spacing w:line="240" w:lineRule="auto" w:before="1" w:after="0"/>
        <w:ind w:left="984" w:right="0" w:hanging="865"/>
        <w:jc w:val="left"/>
        <w:rPr>
          <w:i/>
          <w:sz w:val="20"/>
        </w:rPr>
      </w:pPr>
      <w:r>
        <w:rPr>
          <w:i/>
          <w:color w:val="008000"/>
          <w:sz w:val="20"/>
        </w:rPr>
        <w:t>Other</w:t>
      </w:r>
      <w:r>
        <w:rPr>
          <w:i/>
          <w:color w:val="008000"/>
          <w:spacing w:val="-4"/>
          <w:sz w:val="20"/>
        </w:rPr>
        <w:t> </w:t>
      </w:r>
      <w:r>
        <w:rPr>
          <w:i/>
          <w:color w:val="008000"/>
          <w:sz w:val="20"/>
        </w:rPr>
        <w:t>Revenues</w:t>
      </w:r>
    </w:p>
    <w:p>
      <w:pPr>
        <w:pStyle w:val="BodyText"/>
        <w:rPr>
          <w:i/>
        </w:rPr>
      </w:pPr>
    </w:p>
    <w:p>
      <w:pPr>
        <w:pStyle w:val="BodyText"/>
        <w:spacing w:line="321" w:lineRule="auto"/>
        <w:ind w:left="682" w:right="112"/>
        <w:jc w:val="both"/>
      </w:pPr>
      <w:r>
        <w:rPr/>
        <w:t>In</w:t>
      </w:r>
      <w:r>
        <w:rPr>
          <w:spacing w:val="-46"/>
        </w:rPr>
        <w:t> </w:t>
      </w:r>
      <w:r>
        <w:rPr/>
        <w:t>addition</w:t>
      </w:r>
      <w:r>
        <w:rPr>
          <w:spacing w:val="-46"/>
        </w:rPr>
        <w:t> </w:t>
      </w:r>
      <w:r>
        <w:rPr/>
        <w:t>to</w:t>
      </w:r>
      <w:r>
        <w:rPr>
          <w:spacing w:val="-45"/>
        </w:rPr>
        <w:t> </w:t>
      </w:r>
      <w:r>
        <w:rPr/>
        <w:t>lease</w:t>
      </w:r>
      <w:r>
        <w:rPr>
          <w:spacing w:val="-46"/>
        </w:rPr>
        <w:t> </w:t>
      </w:r>
      <w:r>
        <w:rPr/>
        <w:t>rent</w:t>
      </w:r>
      <w:r>
        <w:rPr>
          <w:spacing w:val="-45"/>
        </w:rPr>
        <w:t> </w:t>
      </w:r>
      <w:r>
        <w:rPr/>
        <w:t>revenues,</w:t>
      </w:r>
      <w:r>
        <w:rPr>
          <w:spacing w:val="-45"/>
        </w:rPr>
        <w:t> </w:t>
      </w:r>
      <w:r>
        <w:rPr/>
        <w:t>office</w:t>
      </w:r>
      <w:r>
        <w:rPr>
          <w:spacing w:val="-45"/>
        </w:rPr>
        <w:t> </w:t>
      </w:r>
      <w:r>
        <w:rPr/>
        <w:t>parks</w:t>
      </w:r>
      <w:r>
        <w:rPr>
          <w:spacing w:val="-44"/>
        </w:rPr>
        <w:t> </w:t>
      </w:r>
      <w:r>
        <w:rPr/>
        <w:t>typically</w:t>
      </w:r>
      <w:r>
        <w:rPr>
          <w:spacing w:val="-45"/>
        </w:rPr>
        <w:t> </w:t>
      </w:r>
      <w:r>
        <w:rPr/>
        <w:t>have</w:t>
      </w:r>
      <w:r>
        <w:rPr>
          <w:spacing w:val="-46"/>
        </w:rPr>
        <w:t> </w:t>
      </w:r>
      <w:r>
        <w:rPr/>
        <w:t>additional</w:t>
      </w:r>
      <w:r>
        <w:rPr>
          <w:spacing w:val="-46"/>
        </w:rPr>
        <w:t> </w:t>
      </w:r>
      <w:r>
        <w:rPr/>
        <w:t>sources</w:t>
      </w:r>
      <w:r>
        <w:rPr>
          <w:spacing w:val="-45"/>
        </w:rPr>
        <w:t> </w:t>
      </w:r>
      <w:r>
        <w:rPr/>
        <w:t>of</w:t>
      </w:r>
      <w:r>
        <w:rPr>
          <w:spacing w:val="-45"/>
        </w:rPr>
        <w:t> </w:t>
      </w:r>
      <w:r>
        <w:rPr/>
        <w:t>revenue.</w:t>
      </w:r>
      <w:r>
        <w:rPr>
          <w:spacing w:val="-45"/>
        </w:rPr>
        <w:t> </w:t>
      </w:r>
      <w:r>
        <w:rPr/>
        <w:t>These</w:t>
      </w:r>
      <w:r>
        <w:rPr>
          <w:spacing w:val="-46"/>
        </w:rPr>
        <w:t> </w:t>
      </w:r>
      <w:r>
        <w:rPr/>
        <w:t>include revenues</w:t>
      </w:r>
      <w:r>
        <w:rPr>
          <w:spacing w:val="-38"/>
        </w:rPr>
        <w:t> </w:t>
      </w:r>
      <w:r>
        <w:rPr/>
        <w:t>on</w:t>
      </w:r>
      <w:r>
        <w:rPr>
          <w:spacing w:val="-38"/>
        </w:rPr>
        <w:t> </w:t>
      </w:r>
      <w:r>
        <w:rPr/>
        <w:t>account</w:t>
      </w:r>
      <w:r>
        <w:rPr>
          <w:spacing w:val="-38"/>
        </w:rPr>
        <w:t> </w:t>
      </w:r>
      <w:r>
        <w:rPr/>
        <w:t>of</w:t>
      </w:r>
      <w:r>
        <w:rPr>
          <w:spacing w:val="-38"/>
        </w:rPr>
        <w:t> </w:t>
      </w:r>
      <w:r>
        <w:rPr/>
        <w:t>security</w:t>
      </w:r>
      <w:r>
        <w:rPr>
          <w:spacing w:val="-37"/>
        </w:rPr>
        <w:t> </w:t>
      </w:r>
      <w:r>
        <w:rPr/>
        <w:t>deposit</w:t>
      </w:r>
      <w:r>
        <w:rPr>
          <w:spacing w:val="-39"/>
        </w:rPr>
        <w:t> </w:t>
      </w:r>
      <w:r>
        <w:rPr/>
        <w:t>(refunded</w:t>
      </w:r>
      <w:r>
        <w:rPr>
          <w:spacing w:val="-38"/>
        </w:rPr>
        <w:t> </w:t>
      </w:r>
      <w:r>
        <w:rPr/>
        <w:t>at</w:t>
      </w:r>
      <w:r>
        <w:rPr>
          <w:spacing w:val="-37"/>
        </w:rPr>
        <w:t> </w:t>
      </w:r>
      <w:r>
        <w:rPr/>
        <w:t>the</w:t>
      </w:r>
      <w:r>
        <w:rPr>
          <w:spacing w:val="-39"/>
        </w:rPr>
        <w:t> </w:t>
      </w:r>
      <w:r>
        <w:rPr/>
        <w:t>time</w:t>
      </w:r>
      <w:r>
        <w:rPr>
          <w:spacing w:val="-38"/>
        </w:rPr>
        <w:t> </w:t>
      </w:r>
      <w:r>
        <w:rPr/>
        <w:t>of</w:t>
      </w:r>
      <w:r>
        <w:rPr>
          <w:spacing w:val="-37"/>
        </w:rPr>
        <w:t> </w:t>
      </w:r>
      <w:r>
        <w:rPr/>
        <w:t>lease</w:t>
      </w:r>
      <w:r>
        <w:rPr>
          <w:spacing w:val="-39"/>
        </w:rPr>
        <w:t> </w:t>
      </w:r>
      <w:r>
        <w:rPr/>
        <w:t>expiry</w:t>
      </w:r>
      <w:r>
        <w:rPr>
          <w:spacing w:val="-37"/>
        </w:rPr>
        <w:t> </w:t>
      </w:r>
      <w:r>
        <w:rPr/>
        <w:t>/</w:t>
      </w:r>
      <w:r>
        <w:rPr>
          <w:spacing w:val="-39"/>
        </w:rPr>
        <w:t> </w:t>
      </w:r>
      <w:r>
        <w:rPr/>
        <w:t>exit),</w:t>
      </w:r>
      <w:r>
        <w:rPr>
          <w:spacing w:val="-38"/>
        </w:rPr>
        <w:t> </w:t>
      </w:r>
      <w:r>
        <w:rPr/>
        <w:t>other</w:t>
      </w:r>
      <w:r>
        <w:rPr>
          <w:spacing w:val="-38"/>
        </w:rPr>
        <w:t> </w:t>
      </w:r>
      <w:r>
        <w:rPr/>
        <w:t>miscellaneous income (such as parking, cell sites, retail areas, food court, kiosks, etc.), mark-up on Common Area Maintenance (CAM) charges/ CAM margin,</w:t>
      </w:r>
      <w:r>
        <w:rPr>
          <w:spacing w:val="-13"/>
        </w:rPr>
        <w:t> </w:t>
      </w:r>
      <w:r>
        <w:rPr/>
        <w:t>etc.</w:t>
      </w:r>
    </w:p>
    <w:p>
      <w:pPr>
        <w:pStyle w:val="BodyText"/>
        <w:spacing w:before="9"/>
        <w:rPr>
          <w:sz w:val="20"/>
        </w:rPr>
      </w:pPr>
    </w:p>
    <w:p>
      <w:pPr>
        <w:pStyle w:val="BodyText"/>
        <w:spacing w:line="321" w:lineRule="auto"/>
        <w:ind w:left="682" w:right="116"/>
        <w:jc w:val="both"/>
      </w:pPr>
      <w:r>
        <w:rPr/>
        <w:t>The assumptions considered for the aforementioned revenue heads for the purpose of this valuation exercise</w:t>
      </w:r>
      <w:r>
        <w:rPr>
          <w:spacing w:val="-39"/>
        </w:rPr>
        <w:t> </w:t>
      </w:r>
      <w:r>
        <w:rPr/>
        <w:t>are</w:t>
      </w:r>
      <w:r>
        <w:rPr>
          <w:spacing w:val="-39"/>
        </w:rPr>
        <w:t> </w:t>
      </w:r>
      <w:r>
        <w:rPr/>
        <w:t>based</w:t>
      </w:r>
      <w:r>
        <w:rPr>
          <w:spacing w:val="-38"/>
        </w:rPr>
        <w:t> </w:t>
      </w:r>
      <w:r>
        <w:rPr/>
        <w:t>on</w:t>
      </w:r>
      <w:r>
        <w:rPr>
          <w:spacing w:val="-39"/>
        </w:rPr>
        <w:t> </w:t>
      </w:r>
      <w:r>
        <w:rPr/>
        <w:t>the</w:t>
      </w:r>
      <w:r>
        <w:rPr>
          <w:spacing w:val="-39"/>
        </w:rPr>
        <w:t> </w:t>
      </w:r>
      <w:r>
        <w:rPr/>
        <w:t>rent</w:t>
      </w:r>
      <w:r>
        <w:rPr>
          <w:spacing w:val="-38"/>
        </w:rPr>
        <w:t> </w:t>
      </w:r>
      <w:r>
        <w:rPr/>
        <w:t>roll/</w:t>
      </w:r>
      <w:r>
        <w:rPr>
          <w:spacing w:val="-39"/>
        </w:rPr>
        <w:t> </w:t>
      </w:r>
      <w:r>
        <w:rPr/>
        <w:t>information</w:t>
      </w:r>
      <w:r>
        <w:rPr>
          <w:spacing w:val="-39"/>
        </w:rPr>
        <w:t> </w:t>
      </w:r>
      <w:r>
        <w:rPr/>
        <w:t>provided</w:t>
      </w:r>
      <w:r>
        <w:rPr>
          <w:spacing w:val="-38"/>
        </w:rPr>
        <w:t> </w:t>
      </w:r>
      <w:r>
        <w:rPr/>
        <w:t>by</w:t>
      </w:r>
      <w:r>
        <w:rPr>
          <w:spacing w:val="-38"/>
        </w:rPr>
        <w:t> </w:t>
      </w:r>
      <w:r>
        <w:rPr/>
        <w:t>the</w:t>
      </w:r>
      <w:r>
        <w:rPr>
          <w:spacing w:val="-39"/>
        </w:rPr>
        <w:t> </w:t>
      </w:r>
      <w:r>
        <w:rPr/>
        <w:t>Client.</w:t>
      </w:r>
      <w:r>
        <w:rPr>
          <w:spacing w:val="-38"/>
        </w:rPr>
        <w:t> </w:t>
      </w:r>
      <w:r>
        <w:rPr/>
        <w:t>The</w:t>
      </w:r>
      <w:r>
        <w:rPr>
          <w:spacing w:val="-40"/>
        </w:rPr>
        <w:t> </w:t>
      </w:r>
      <w:r>
        <w:rPr/>
        <w:t>same</w:t>
      </w:r>
      <w:r>
        <w:rPr>
          <w:spacing w:val="-38"/>
        </w:rPr>
        <w:t> </w:t>
      </w:r>
      <w:r>
        <w:rPr/>
        <w:t>has</w:t>
      </w:r>
      <w:r>
        <w:rPr>
          <w:spacing w:val="-38"/>
        </w:rPr>
        <w:t> </w:t>
      </w:r>
      <w:r>
        <w:rPr/>
        <w:t>been</w:t>
      </w:r>
      <w:r>
        <w:rPr>
          <w:spacing w:val="-38"/>
        </w:rPr>
        <w:t> </w:t>
      </w:r>
      <w:r>
        <w:rPr/>
        <w:t>cross-checked with</w:t>
      </w:r>
      <w:r>
        <w:rPr>
          <w:spacing w:val="-13"/>
        </w:rPr>
        <w:t> </w:t>
      </w:r>
      <w:r>
        <w:rPr/>
        <w:t>the</w:t>
      </w:r>
      <w:r>
        <w:rPr>
          <w:spacing w:val="-13"/>
        </w:rPr>
        <w:t> </w:t>
      </w:r>
      <w:r>
        <w:rPr/>
        <w:t>prevailing</w:t>
      </w:r>
      <w:r>
        <w:rPr>
          <w:spacing w:val="-12"/>
        </w:rPr>
        <w:t> </w:t>
      </w:r>
      <w:r>
        <w:rPr/>
        <w:t>market</w:t>
      </w:r>
      <w:r>
        <w:rPr>
          <w:spacing w:val="-12"/>
        </w:rPr>
        <w:t> </w:t>
      </w:r>
      <w:r>
        <w:rPr/>
        <w:t>norms</w:t>
      </w:r>
      <w:r>
        <w:rPr>
          <w:spacing w:val="-11"/>
        </w:rPr>
        <w:t> </w:t>
      </w:r>
      <w:r>
        <w:rPr/>
        <w:t>for</w:t>
      </w:r>
      <w:r>
        <w:rPr>
          <w:spacing w:val="-13"/>
        </w:rPr>
        <w:t> </w:t>
      </w:r>
      <w:r>
        <w:rPr/>
        <w:t>other</w:t>
      </w:r>
      <w:r>
        <w:rPr>
          <w:spacing w:val="-12"/>
        </w:rPr>
        <w:t> </w:t>
      </w:r>
      <w:r>
        <w:rPr/>
        <w:t>revenues</w:t>
      </w:r>
      <w:r>
        <w:rPr>
          <w:spacing w:val="-11"/>
        </w:rPr>
        <w:t> </w:t>
      </w:r>
      <w:r>
        <w:rPr/>
        <w:t>and</w:t>
      </w:r>
      <w:r>
        <w:rPr>
          <w:spacing w:val="-14"/>
        </w:rPr>
        <w:t> </w:t>
      </w:r>
      <w:r>
        <w:rPr/>
        <w:t>were</w:t>
      </w:r>
      <w:r>
        <w:rPr>
          <w:spacing w:val="-12"/>
        </w:rPr>
        <w:t> </w:t>
      </w:r>
      <w:r>
        <w:rPr/>
        <w:t>found</w:t>
      </w:r>
      <w:r>
        <w:rPr>
          <w:spacing w:val="-12"/>
        </w:rPr>
        <w:t> </w:t>
      </w:r>
      <w:r>
        <w:rPr/>
        <w:t>to</w:t>
      </w:r>
      <w:r>
        <w:rPr>
          <w:spacing w:val="-12"/>
        </w:rPr>
        <w:t> </w:t>
      </w:r>
      <w:r>
        <w:rPr/>
        <w:t>be</w:t>
      </w:r>
      <w:r>
        <w:rPr>
          <w:spacing w:val="-14"/>
        </w:rPr>
        <w:t> </w:t>
      </w:r>
      <w:r>
        <w:rPr/>
        <w:t>broadly</w:t>
      </w:r>
      <w:r>
        <w:rPr>
          <w:spacing w:val="-12"/>
        </w:rPr>
        <w:t> </w:t>
      </w:r>
      <w:r>
        <w:rPr/>
        <w:t>in</w:t>
      </w:r>
      <w:r>
        <w:rPr>
          <w:spacing w:val="-13"/>
        </w:rPr>
        <w:t> </w:t>
      </w:r>
      <w:r>
        <w:rPr/>
        <w:t>line.</w:t>
      </w:r>
    </w:p>
    <w:p>
      <w:pPr>
        <w:pStyle w:val="BodyText"/>
        <w:spacing w:before="11"/>
        <w:rPr>
          <w:sz w:val="20"/>
        </w:rPr>
      </w:pPr>
    </w:p>
    <w:p>
      <w:pPr>
        <w:pStyle w:val="BodyText"/>
        <w:ind w:left="682"/>
        <w:jc w:val="both"/>
      </w:pPr>
      <w:r>
        <w:rPr/>
        <w:t>The assumptions adopted for other revenues are as tabulated below:</w:t>
      </w:r>
    </w:p>
    <w:p>
      <w:pPr>
        <w:pStyle w:val="BodyText"/>
        <w:spacing w:before="9"/>
        <w:rPr>
          <w:sz w:val="27"/>
        </w:rPr>
      </w:pPr>
    </w:p>
    <w:p>
      <w:pPr>
        <w:pStyle w:val="BodyText"/>
        <w:ind w:left="105"/>
        <w:rPr>
          <w:sz w:val="20"/>
        </w:rPr>
      </w:pPr>
      <w:r>
        <w:rPr>
          <w:sz w:val="20"/>
        </w:rPr>
        <w:pict>
          <v:group style="width:524.3pt;height:18.850pt;mso-position-horizontal-relative:char;mso-position-vertical-relative:line" coordorigin="0,0" coordsize="10486,377">
            <v:shape style="position:absolute;left:14;top:14;width:10472;height:348" coordorigin="14,14" coordsize="10472,348" path="m10486,14l6998,14,3887,14,14,14,14,362,3887,362,6998,362,10486,362,10486,14xe" filled="true" fillcolor="#006a4d" stroked="false">
              <v:path arrowok="t"/>
              <v:fill type="solid"/>
            </v:shape>
            <v:shape style="position:absolute;left:14;top:0;width:10472;height:377" coordorigin="14,0" coordsize="10472,377" path="m10486,362l7012,362,6998,362,3901,362,3887,362,14,362,14,377,3887,377,3901,377,6998,377,7012,377,10486,377,10486,362xm10486,0l7012,0,6998,0,3901,0,3887,0,14,0,14,14,3887,14,3901,14,6998,14,7012,14,10486,14,10486,0xe" filled="true" fillcolor="#69bd28" stroked="false">
              <v:path arrowok="t"/>
              <v:fill type="solid"/>
            </v:shape>
            <v:shape style="position:absolute;left:0;top:14;width:10486;height:348" type="#_x0000_t202" filled="false" stroked="false">
              <v:textbox inset="0,0,0,0">
                <w:txbxContent>
                  <w:p>
                    <w:pPr>
                      <w:tabs>
                        <w:tab w:pos="5125" w:val="left" w:leader="none"/>
                        <w:tab w:pos="8550" w:val="left" w:leader="none"/>
                      </w:tabs>
                      <w:spacing w:before="71"/>
                      <w:ind w:left="1157" w:right="0" w:firstLine="0"/>
                      <w:jc w:val="left"/>
                      <w:rPr>
                        <w:b/>
                        <w:sz w:val="18"/>
                      </w:rPr>
                    </w:pPr>
                    <w:r>
                      <w:rPr>
                        <w:b/>
                        <w:color w:val="FFFFFF"/>
                        <w:w w:val="105"/>
                        <w:sz w:val="18"/>
                      </w:rPr>
                      <w:t>Nature</w:t>
                    </w:r>
                    <w:r>
                      <w:rPr>
                        <w:b/>
                        <w:color w:val="FFFFFF"/>
                        <w:spacing w:val="12"/>
                        <w:w w:val="105"/>
                        <w:sz w:val="18"/>
                      </w:rPr>
                      <w:t> </w:t>
                    </w:r>
                    <w:r>
                      <w:rPr>
                        <w:b/>
                        <w:color w:val="FFFFFF"/>
                        <w:w w:val="105"/>
                        <w:sz w:val="18"/>
                      </w:rPr>
                      <w:t>of</w:t>
                    </w:r>
                    <w:r>
                      <w:rPr>
                        <w:b/>
                        <w:color w:val="FFFFFF"/>
                        <w:spacing w:val="11"/>
                        <w:w w:val="105"/>
                        <w:sz w:val="18"/>
                      </w:rPr>
                      <w:t> </w:t>
                    </w:r>
                    <w:r>
                      <w:rPr>
                        <w:b/>
                        <w:color w:val="FFFFFF"/>
                        <w:w w:val="105"/>
                        <w:sz w:val="18"/>
                      </w:rPr>
                      <w:t>Income</w:t>
                      <w:tab/>
                      <w:t>Details</w:t>
                      <w:tab/>
                      <w:t>Unit</w:t>
                    </w:r>
                  </w:p>
                </w:txbxContent>
              </v:textbox>
              <w10:wrap type="none"/>
            </v:shape>
          </v:group>
        </w:pict>
      </w:r>
      <w:r>
        <w:rPr>
          <w:sz w:val="20"/>
        </w:rPr>
      </w:r>
    </w:p>
    <w:p>
      <w:pPr>
        <w:spacing w:after="0"/>
        <w:rPr>
          <w:sz w:val="20"/>
        </w:rPr>
        <w:sectPr>
          <w:pgSz w:w="11910" w:h="16840"/>
          <w:pgMar w:header="720" w:footer="921" w:top="1660" w:bottom="1120" w:left="600" w:right="600"/>
        </w:sectPr>
      </w:pPr>
    </w:p>
    <w:p>
      <w:pPr>
        <w:spacing w:line="247" w:lineRule="auto" w:before="25"/>
        <w:ind w:left="280" w:right="0" w:firstLine="2"/>
        <w:jc w:val="left"/>
        <w:rPr>
          <w:sz w:val="18"/>
        </w:rPr>
      </w:pPr>
      <w:r>
        <w:rPr>
          <w:sz w:val="18"/>
        </w:rPr>
        <w:t>Miscellaneous</w:t>
      </w:r>
      <w:r>
        <w:rPr>
          <w:spacing w:val="-17"/>
          <w:sz w:val="18"/>
        </w:rPr>
        <w:t> </w:t>
      </w:r>
      <w:r>
        <w:rPr>
          <w:sz w:val="18"/>
        </w:rPr>
        <w:t>Income</w:t>
      </w:r>
      <w:r>
        <w:rPr>
          <w:spacing w:val="-17"/>
          <w:sz w:val="18"/>
        </w:rPr>
        <w:t> </w:t>
      </w:r>
      <w:r>
        <w:rPr>
          <w:sz w:val="18"/>
        </w:rPr>
        <w:t>(Income</w:t>
      </w:r>
      <w:r>
        <w:rPr>
          <w:spacing w:val="-19"/>
          <w:sz w:val="18"/>
        </w:rPr>
        <w:t> </w:t>
      </w:r>
      <w:r>
        <w:rPr>
          <w:sz w:val="18"/>
        </w:rPr>
        <w:t>from</w:t>
      </w:r>
      <w:r>
        <w:rPr>
          <w:spacing w:val="-16"/>
          <w:sz w:val="18"/>
        </w:rPr>
        <w:t> </w:t>
      </w:r>
      <w:r>
        <w:rPr>
          <w:sz w:val="18"/>
        </w:rPr>
        <w:t>parking, </w:t>
      </w:r>
      <w:r>
        <w:rPr>
          <w:w w:val="95"/>
          <w:sz w:val="18"/>
        </w:rPr>
        <w:t>cell</w:t>
      </w:r>
      <w:r>
        <w:rPr>
          <w:spacing w:val="-15"/>
          <w:w w:val="95"/>
          <w:sz w:val="18"/>
        </w:rPr>
        <w:t> </w:t>
      </w:r>
      <w:r>
        <w:rPr>
          <w:w w:val="95"/>
          <w:sz w:val="18"/>
        </w:rPr>
        <w:t>sites,</w:t>
      </w:r>
      <w:r>
        <w:rPr>
          <w:spacing w:val="-14"/>
          <w:w w:val="95"/>
          <w:sz w:val="18"/>
        </w:rPr>
        <w:t> </w:t>
      </w:r>
      <w:r>
        <w:rPr>
          <w:w w:val="95"/>
          <w:sz w:val="18"/>
        </w:rPr>
        <w:t>retail</w:t>
      </w:r>
      <w:r>
        <w:rPr>
          <w:spacing w:val="-15"/>
          <w:w w:val="95"/>
          <w:sz w:val="18"/>
        </w:rPr>
        <w:t> </w:t>
      </w:r>
      <w:r>
        <w:rPr>
          <w:w w:val="95"/>
          <w:sz w:val="18"/>
        </w:rPr>
        <w:t>areas,</w:t>
      </w:r>
      <w:r>
        <w:rPr>
          <w:spacing w:val="-14"/>
          <w:w w:val="95"/>
          <w:sz w:val="18"/>
        </w:rPr>
        <w:t> </w:t>
      </w:r>
      <w:r>
        <w:rPr>
          <w:w w:val="95"/>
          <w:sz w:val="18"/>
        </w:rPr>
        <w:t>food</w:t>
      </w:r>
      <w:r>
        <w:rPr>
          <w:spacing w:val="-16"/>
          <w:w w:val="95"/>
          <w:sz w:val="18"/>
        </w:rPr>
        <w:t> </w:t>
      </w:r>
      <w:r>
        <w:rPr>
          <w:w w:val="95"/>
          <w:sz w:val="18"/>
        </w:rPr>
        <w:t>court,</w:t>
      </w:r>
      <w:r>
        <w:rPr>
          <w:spacing w:val="-15"/>
          <w:w w:val="95"/>
          <w:sz w:val="18"/>
        </w:rPr>
        <w:t> </w:t>
      </w:r>
      <w:r>
        <w:rPr>
          <w:w w:val="95"/>
          <w:sz w:val="18"/>
        </w:rPr>
        <w:t>kiosks,</w:t>
      </w:r>
      <w:r>
        <w:rPr>
          <w:spacing w:val="-14"/>
          <w:w w:val="95"/>
          <w:sz w:val="18"/>
        </w:rPr>
        <w:t> </w:t>
      </w:r>
      <w:r>
        <w:rPr>
          <w:w w:val="95"/>
          <w:sz w:val="18"/>
        </w:rPr>
        <w:t>etc.)</w:t>
      </w:r>
    </w:p>
    <w:p>
      <w:pPr>
        <w:spacing w:before="6"/>
        <w:ind w:left="248" w:right="11" w:firstLine="0"/>
        <w:jc w:val="center"/>
        <w:rPr>
          <w:sz w:val="18"/>
        </w:rPr>
      </w:pPr>
      <w:r>
        <w:rPr/>
        <w:br w:type="column"/>
      </w:r>
      <w:r>
        <w:rPr>
          <w:w w:val="110"/>
          <w:sz w:val="18"/>
        </w:rPr>
        <w:t>4.1%</w:t>
      </w:r>
    </w:p>
    <w:p>
      <w:pPr>
        <w:spacing w:before="48"/>
        <w:ind w:left="251" w:right="11" w:firstLine="0"/>
        <w:jc w:val="center"/>
        <w:rPr>
          <w:sz w:val="18"/>
        </w:rPr>
      </w:pPr>
      <w:r>
        <w:rPr>
          <w:w w:val="105"/>
          <w:sz w:val="18"/>
        </w:rPr>
        <w:t>(INR 20.86 Mn)</w:t>
      </w:r>
    </w:p>
    <w:p>
      <w:pPr>
        <w:spacing w:before="136"/>
        <w:ind w:left="280" w:right="0" w:firstLine="0"/>
        <w:jc w:val="left"/>
        <w:rPr>
          <w:sz w:val="18"/>
        </w:rPr>
      </w:pPr>
      <w:r>
        <w:rPr/>
        <w:br w:type="column"/>
      </w:r>
      <w:r>
        <w:rPr>
          <w:w w:val="105"/>
          <w:sz w:val="18"/>
        </w:rPr>
        <w:t>% of rental income</w:t>
      </w:r>
    </w:p>
    <w:p>
      <w:pPr>
        <w:spacing w:after="0"/>
        <w:jc w:val="left"/>
        <w:rPr>
          <w:sz w:val="18"/>
        </w:rPr>
        <w:sectPr>
          <w:type w:val="continuous"/>
          <w:pgSz w:w="11910" w:h="16840"/>
          <w:pgMar w:top="800" w:bottom="280" w:left="600" w:right="600"/>
          <w:cols w:num="3" w:equalWidth="0">
            <w:col w:w="3868" w:space="787"/>
            <w:col w:w="1542" w:space="1634"/>
            <w:col w:w="2879"/>
          </w:cols>
        </w:sectPr>
      </w:pPr>
    </w:p>
    <w:p>
      <w:pPr>
        <w:pStyle w:val="BodyText"/>
        <w:spacing w:before="6"/>
        <w:rPr>
          <w:sz w:val="3"/>
        </w:rPr>
      </w:pPr>
    </w:p>
    <w:p>
      <w:pPr>
        <w:pStyle w:val="BodyText"/>
        <w:spacing w:line="20" w:lineRule="exact"/>
        <w:ind w:left="120"/>
        <w:rPr>
          <w:sz w:val="2"/>
        </w:rPr>
      </w:pPr>
      <w:r>
        <w:rPr>
          <w:sz w:val="2"/>
        </w:rPr>
        <w:pict>
          <v:group style="width:523.6pt;height:.75pt;mso-position-horizontal-relative:char;mso-position-vertical-relative:line" coordorigin="0,0" coordsize="10472,15">
            <v:rect style="position:absolute;left:0;top:0;width:10472;height:15" filled="true" fillcolor="#69bd28" stroked="false">
              <v:fill type="solid"/>
            </v:rect>
          </v:group>
        </w:pict>
      </w:r>
      <w:r>
        <w:rPr>
          <w:sz w:val="2"/>
        </w:rPr>
      </w:r>
    </w:p>
    <w:p>
      <w:pPr>
        <w:tabs>
          <w:tab w:pos="5178" w:val="left" w:leader="none"/>
          <w:tab w:pos="7585" w:val="left" w:leader="none"/>
        </w:tabs>
        <w:spacing w:before="42"/>
        <w:ind w:left="926" w:right="0" w:firstLine="0"/>
        <w:jc w:val="left"/>
        <w:rPr>
          <w:sz w:val="18"/>
        </w:rPr>
      </w:pPr>
      <w:r>
        <w:rPr/>
        <w:pict>
          <v:rect style="position:absolute;margin-left:36pt;margin-top:14.630684pt;width:523.560025pt;height:.72pt;mso-position-horizontal-relative:page;mso-position-vertical-relative:paragraph;z-index:-15078400;mso-wrap-distance-left:0;mso-wrap-distance-right:0" filled="true" fillcolor="#69bd28" stroked="false">
            <v:fill type="solid"/>
            <w10:wrap type="topAndBottom"/>
          </v:rect>
        </w:pict>
      </w:r>
      <w:r>
        <w:rPr>
          <w:sz w:val="18"/>
        </w:rPr>
        <w:t>Warm shell</w:t>
      </w:r>
      <w:r>
        <w:rPr>
          <w:spacing w:val="-35"/>
          <w:sz w:val="18"/>
        </w:rPr>
        <w:t> </w:t>
      </w:r>
      <w:r>
        <w:rPr>
          <w:sz w:val="18"/>
        </w:rPr>
        <w:t>Security</w:t>
      </w:r>
      <w:r>
        <w:rPr>
          <w:spacing w:val="-18"/>
          <w:sz w:val="18"/>
        </w:rPr>
        <w:t> </w:t>
      </w:r>
      <w:r>
        <w:rPr>
          <w:sz w:val="18"/>
        </w:rPr>
        <w:t>Deposit*</w:t>
        <w:tab/>
        <w:t>6</w:t>
      </w:r>
      <w:r>
        <w:rPr>
          <w:spacing w:val="-2"/>
          <w:sz w:val="18"/>
        </w:rPr>
        <w:t> </w:t>
      </w:r>
      <w:r>
        <w:rPr>
          <w:sz w:val="18"/>
        </w:rPr>
        <w:t>months</w:t>
        <w:tab/>
        <w:t>No. of months’ warm shell</w:t>
      </w:r>
      <w:r>
        <w:rPr>
          <w:spacing w:val="-38"/>
          <w:sz w:val="18"/>
        </w:rPr>
        <w:t> </w:t>
      </w:r>
      <w:r>
        <w:rPr>
          <w:sz w:val="18"/>
        </w:rPr>
        <w:t>rental</w:t>
      </w:r>
    </w:p>
    <w:p>
      <w:pPr>
        <w:tabs>
          <w:tab w:pos="5293" w:val="left" w:leader="none"/>
          <w:tab w:pos="8814" w:val="left" w:leader="none"/>
        </w:tabs>
        <w:spacing w:before="15" w:after="45"/>
        <w:ind w:left="782" w:right="0" w:firstLine="0"/>
        <w:jc w:val="left"/>
        <w:rPr>
          <w:sz w:val="18"/>
        </w:rPr>
      </w:pPr>
      <w:r>
        <w:rPr>
          <w:w w:val="110"/>
          <w:sz w:val="18"/>
        </w:rPr>
        <w:t>Mark-Up</w:t>
      </w:r>
      <w:r>
        <w:rPr>
          <w:spacing w:val="-22"/>
          <w:w w:val="110"/>
          <w:sz w:val="18"/>
        </w:rPr>
        <w:t> </w:t>
      </w:r>
      <w:r>
        <w:rPr>
          <w:w w:val="110"/>
          <w:sz w:val="18"/>
        </w:rPr>
        <w:t>on</w:t>
      </w:r>
      <w:r>
        <w:rPr>
          <w:spacing w:val="-21"/>
          <w:w w:val="110"/>
          <w:sz w:val="18"/>
        </w:rPr>
        <w:t> </w:t>
      </w:r>
      <w:r>
        <w:rPr>
          <w:w w:val="110"/>
          <w:sz w:val="18"/>
        </w:rPr>
        <w:t>CAM/</w:t>
      </w:r>
      <w:r>
        <w:rPr>
          <w:spacing w:val="-22"/>
          <w:w w:val="110"/>
          <w:sz w:val="18"/>
        </w:rPr>
        <w:t> </w:t>
      </w:r>
      <w:r>
        <w:rPr>
          <w:w w:val="110"/>
          <w:sz w:val="18"/>
        </w:rPr>
        <w:t>CAM</w:t>
      </w:r>
      <w:r>
        <w:rPr>
          <w:spacing w:val="-21"/>
          <w:w w:val="110"/>
          <w:sz w:val="18"/>
        </w:rPr>
        <w:t> </w:t>
      </w:r>
      <w:r>
        <w:rPr>
          <w:w w:val="110"/>
          <w:sz w:val="18"/>
        </w:rPr>
        <w:t>margin</w:t>
        <w:tab/>
        <w:t>20.0%</w:t>
        <w:tab/>
        <w:t>%</w:t>
      </w:r>
    </w:p>
    <w:p>
      <w:pPr>
        <w:pStyle w:val="BodyText"/>
        <w:spacing w:line="20" w:lineRule="exact"/>
        <w:ind w:left="10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118"/>
        <w:ind w:left="120" w:right="0" w:firstLine="0"/>
        <w:jc w:val="left"/>
        <w:rPr>
          <w:i/>
          <w:sz w:val="18"/>
        </w:rPr>
      </w:pPr>
      <w:r>
        <w:rPr>
          <w:i/>
          <w:sz w:val="18"/>
        </w:rPr>
        <w:t>Source: Client’s Inputs &amp; Valuer assessment; * Refunded at the time of lease expiry/ exit</w:t>
      </w:r>
    </w:p>
    <w:p>
      <w:pPr>
        <w:pStyle w:val="BodyText"/>
        <w:spacing w:before="8"/>
        <w:rPr>
          <w:i/>
          <w:sz w:val="26"/>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91" w:id="568"/>
      <w:bookmarkEnd w:id="568"/>
      <w:r>
        <w:rPr/>
      </w:r>
      <w:bookmarkStart w:name="_bookmark291" w:id="569"/>
      <w:bookmarkEnd w:id="569"/>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77"/>
        </w:numPr>
        <w:tabs>
          <w:tab w:pos="985" w:val="left" w:leader="none"/>
        </w:tabs>
        <w:spacing w:line="240" w:lineRule="auto" w:before="0" w:after="0"/>
        <w:ind w:left="984" w:right="0" w:hanging="865"/>
        <w:jc w:val="left"/>
        <w:rPr>
          <w:i/>
          <w:sz w:val="20"/>
        </w:rPr>
      </w:pPr>
      <w:r>
        <w:rPr>
          <w:i/>
          <w:color w:val="008000"/>
          <w:sz w:val="20"/>
        </w:rPr>
        <w:t>Refurbishment Expenses </w:t>
      </w:r>
      <w:r>
        <w:rPr>
          <w:i/>
          <w:color w:val="008000"/>
          <w:w w:val="105"/>
          <w:sz w:val="20"/>
        </w:rPr>
        <w:t>– </w:t>
      </w:r>
      <w:r>
        <w:rPr>
          <w:i/>
          <w:color w:val="008000"/>
          <w:sz w:val="20"/>
        </w:rPr>
        <w:t>Development level</w:t>
      </w:r>
      <w:r>
        <w:rPr>
          <w:i/>
          <w:color w:val="008000"/>
          <w:spacing w:val="-30"/>
          <w:sz w:val="20"/>
        </w:rPr>
        <w:t> </w:t>
      </w:r>
      <w:r>
        <w:rPr>
          <w:i/>
          <w:color w:val="008000"/>
          <w:sz w:val="20"/>
        </w:rPr>
        <w:t>expenses</w:t>
      </w:r>
    </w:p>
    <w:p>
      <w:pPr>
        <w:pStyle w:val="BodyText"/>
        <w:spacing w:before="1"/>
        <w:rPr>
          <w:i/>
        </w:rPr>
      </w:pPr>
    </w:p>
    <w:p>
      <w:pPr>
        <w:pStyle w:val="BodyText"/>
        <w:spacing w:line="321" w:lineRule="auto"/>
        <w:ind w:left="682" w:right="148"/>
      </w:pPr>
      <w:r>
        <w:rPr/>
        <w:pict>
          <v:group style="position:absolute;margin-left:35.279999pt;margin-top:40.088589pt;width:524.3pt;height:15.85pt;mso-position-horizontal-relative:page;mso-position-vertical-relative:paragraph;z-index:-15076864;mso-wrap-distance-left:0;mso-wrap-distance-right:0" coordorigin="706,802" coordsize="10486,317">
            <v:shape style="position:absolute;left:720;top:816;width:10472;height:288" coordorigin="720,816" coordsize="10472,288" path="m11191,816l7701,816,4211,816,720,816,720,1104,4211,1104,7701,1104,11191,1104,11191,816xe" filled="true" fillcolor="#006a4d" stroked="false">
              <v:path arrowok="t"/>
              <v:fill type="solid"/>
            </v:shape>
            <v:shape style="position:absolute;left:720;top:801;width:10472;height:317" coordorigin="720,802" coordsize="10472,317" path="m11191,1104l7716,1104,7701,1104,4225,1104,4211,1104,720,1104,720,1119,4211,1119,4225,1119,7701,1119,7716,1119,11191,1119,11191,1104xm11191,802l7716,802,7701,802,4225,802,4211,802,720,802,720,816,4211,816,4225,816,7701,816,7716,816,11191,816,11191,802xe" filled="true" fillcolor="#69bd28" stroked="false">
              <v:path arrowok="t"/>
              <v:fill type="solid"/>
            </v:shape>
            <v:shape style="position:absolute;left:705;top:816;width:10486;height:288" type="#_x0000_t202" filled="false" stroked="false">
              <v:textbox inset="0,0,0,0">
                <w:txbxContent>
                  <w:p>
                    <w:pPr>
                      <w:tabs>
                        <w:tab w:pos="3970" w:val="left" w:leader="none"/>
                        <w:tab w:pos="7739" w:val="left" w:leader="none"/>
                      </w:tabs>
                      <w:spacing w:before="8"/>
                      <w:ind w:left="960" w:right="0" w:firstLine="0"/>
                      <w:jc w:val="left"/>
                      <w:rPr>
                        <w:sz w:val="20"/>
                      </w:rPr>
                    </w:pPr>
                    <w:r>
                      <w:rPr>
                        <w:color w:val="FFFFFF"/>
                        <w:sz w:val="20"/>
                      </w:rPr>
                      <w:t>Nature</w:t>
                    </w:r>
                    <w:r>
                      <w:rPr>
                        <w:color w:val="FFFFFF"/>
                        <w:spacing w:val="-12"/>
                        <w:sz w:val="20"/>
                      </w:rPr>
                      <w:t> </w:t>
                    </w:r>
                    <w:r>
                      <w:rPr>
                        <w:color w:val="FFFFFF"/>
                        <w:sz w:val="20"/>
                      </w:rPr>
                      <w:t>of</w:t>
                    </w:r>
                    <w:r>
                      <w:rPr>
                        <w:color w:val="FFFFFF"/>
                        <w:spacing w:val="-11"/>
                        <w:sz w:val="20"/>
                      </w:rPr>
                      <w:t> </w:t>
                    </w:r>
                    <w:r>
                      <w:rPr>
                        <w:color w:val="FFFFFF"/>
                        <w:sz w:val="20"/>
                      </w:rPr>
                      <w:t>Expense</w:t>
                      <w:tab/>
                      <w:t>Total Pending Cost</w:t>
                    </w:r>
                    <w:r>
                      <w:rPr>
                        <w:color w:val="FFFFFF"/>
                        <w:spacing w:val="-17"/>
                        <w:sz w:val="20"/>
                      </w:rPr>
                      <w:t> </w:t>
                    </w:r>
                    <w:r>
                      <w:rPr>
                        <w:color w:val="FFFFFF"/>
                        <w:sz w:val="20"/>
                      </w:rPr>
                      <w:t>(INR</w:t>
                    </w:r>
                    <w:r>
                      <w:rPr>
                        <w:color w:val="FFFFFF"/>
                        <w:spacing w:val="-6"/>
                        <w:sz w:val="20"/>
                      </w:rPr>
                      <w:t> </w:t>
                    </w:r>
                    <w:r>
                      <w:rPr>
                        <w:color w:val="FFFFFF"/>
                        <w:sz w:val="20"/>
                      </w:rPr>
                      <w:t>Mn)*</w:t>
                      <w:tab/>
                    </w:r>
                    <w:r>
                      <w:rPr>
                        <w:color w:val="FFFFFF"/>
                        <w:position w:val="2"/>
                        <w:sz w:val="20"/>
                      </w:rPr>
                      <w:t>Quarter of</w:t>
                    </w:r>
                    <w:r>
                      <w:rPr>
                        <w:color w:val="FFFFFF"/>
                        <w:spacing w:val="-5"/>
                        <w:position w:val="2"/>
                        <w:sz w:val="20"/>
                      </w:rPr>
                      <w:t> </w:t>
                    </w:r>
                    <w:r>
                      <w:rPr>
                        <w:color w:val="FFFFFF"/>
                        <w:position w:val="2"/>
                        <w:sz w:val="20"/>
                      </w:rPr>
                      <w:t>Completion</w:t>
                    </w:r>
                  </w:p>
                </w:txbxContent>
              </v:textbox>
              <w10:wrap type="none"/>
            </v:shape>
            <w10:wrap type="topAndBottom"/>
          </v:group>
        </w:pict>
      </w:r>
      <w:r>
        <w:rPr/>
        <w:t>The following table highlights the assumptions towards the refurbishment expenses in the subject development:</w:t>
      </w:r>
    </w:p>
    <w:p>
      <w:pPr>
        <w:tabs>
          <w:tab w:pos="5168" w:val="left" w:leader="none"/>
          <w:tab w:pos="8325" w:val="left" w:leader="none"/>
        </w:tabs>
        <w:spacing w:before="15" w:after="45"/>
        <w:ind w:left="1066" w:right="0" w:firstLine="0"/>
        <w:jc w:val="left"/>
        <w:rPr>
          <w:sz w:val="18"/>
        </w:rPr>
      </w:pPr>
      <w:r>
        <w:rPr>
          <w:sz w:val="18"/>
        </w:rPr>
        <w:t>Signage</w:t>
      </w:r>
      <w:r>
        <w:rPr>
          <w:spacing w:val="6"/>
          <w:sz w:val="18"/>
        </w:rPr>
        <w:t> </w:t>
      </w:r>
      <w:r>
        <w:rPr>
          <w:sz w:val="18"/>
        </w:rPr>
        <w:t>Rebranding</w:t>
        <w:tab/>
        <w:t>4.17</w:t>
        <w:tab/>
        <w:t>Q1, FY</w:t>
      </w:r>
      <w:r>
        <w:rPr>
          <w:spacing w:val="2"/>
          <w:sz w:val="18"/>
        </w:rPr>
        <w:t> </w:t>
      </w:r>
      <w:r>
        <w:rPr>
          <w:sz w:val="18"/>
        </w:rPr>
        <w:t>2021</w:t>
      </w:r>
    </w:p>
    <w:p>
      <w:pPr>
        <w:pStyle w:val="BodyText"/>
        <w:spacing w:line="20" w:lineRule="exact"/>
        <w:ind w:left="10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0"/>
        <w:ind w:left="120" w:right="0" w:firstLine="0"/>
        <w:jc w:val="left"/>
        <w:rPr>
          <w:i/>
          <w:sz w:val="18"/>
        </w:rPr>
      </w:pPr>
      <w:r>
        <w:rPr>
          <w:i/>
          <w:sz w:val="18"/>
        </w:rPr>
        <w:t>Source Client Input; Valuer Assessment</w:t>
      </w:r>
    </w:p>
    <w:p>
      <w:pPr>
        <w:spacing w:after="0"/>
        <w:jc w:val="left"/>
        <w:rPr>
          <w:sz w:val="18"/>
        </w:rPr>
        <w:sectPr>
          <w:type w:val="continuous"/>
          <w:pgSz w:w="11910" w:h="16840"/>
          <w:pgMar w:top="800" w:bottom="280" w:left="600" w:right="600"/>
        </w:sectPr>
      </w:pPr>
    </w:p>
    <w:p>
      <w:pPr>
        <w:pStyle w:val="BodyText"/>
        <w:spacing w:before="1"/>
        <w:rPr>
          <w:i/>
          <w:sz w:val="12"/>
        </w:rPr>
      </w:pPr>
    </w:p>
    <w:p>
      <w:pPr>
        <w:pStyle w:val="ListParagraph"/>
        <w:numPr>
          <w:ilvl w:val="3"/>
          <w:numId w:val="77"/>
        </w:numPr>
        <w:tabs>
          <w:tab w:pos="985" w:val="left" w:leader="none"/>
        </w:tabs>
        <w:spacing w:line="240" w:lineRule="auto" w:before="106" w:after="0"/>
        <w:ind w:left="984" w:right="0" w:hanging="865"/>
        <w:jc w:val="left"/>
        <w:rPr>
          <w:i/>
          <w:sz w:val="20"/>
        </w:rPr>
      </w:pPr>
      <w:r>
        <w:rPr>
          <w:i/>
          <w:color w:val="008000"/>
          <w:sz w:val="20"/>
        </w:rPr>
        <w:t>Other</w:t>
      </w:r>
      <w:r>
        <w:rPr>
          <w:i/>
          <w:color w:val="008000"/>
          <w:spacing w:val="-4"/>
          <w:sz w:val="20"/>
        </w:rPr>
        <w:t> </w:t>
      </w:r>
      <w:r>
        <w:rPr>
          <w:i/>
          <w:color w:val="008000"/>
          <w:sz w:val="20"/>
        </w:rPr>
        <w:t>Expenses</w:t>
      </w:r>
    </w:p>
    <w:p>
      <w:pPr>
        <w:pStyle w:val="BodyText"/>
        <w:rPr>
          <w:i/>
        </w:rPr>
      </w:pPr>
    </w:p>
    <w:p>
      <w:pPr>
        <w:pStyle w:val="BodyText"/>
        <w:spacing w:before="1"/>
        <w:ind w:left="682"/>
        <w:jc w:val="both"/>
      </w:pPr>
      <w:r>
        <w:rPr/>
        <w:t>The following table highlights the assumptions towards other expenses in the subject development:</w:t>
      </w:r>
    </w:p>
    <w:p>
      <w:pPr>
        <w:pStyle w:val="BodyText"/>
        <w:spacing w:before="1"/>
        <w:rPr>
          <w:sz w:val="18"/>
        </w:rPr>
      </w:pPr>
    </w:p>
    <w:tbl>
      <w:tblPr>
        <w:tblW w:w="0" w:type="auto"/>
        <w:jc w:val="lef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22"/>
        <w:gridCol w:w="2358"/>
        <w:gridCol w:w="3506"/>
      </w:tblGrid>
      <w:tr>
        <w:trPr>
          <w:trHeight w:val="287" w:hRule="atLeast"/>
        </w:trPr>
        <w:tc>
          <w:tcPr>
            <w:tcW w:w="4622" w:type="dxa"/>
            <w:tcBorders>
              <w:top w:val="single" w:sz="6" w:space="0" w:color="69BD28"/>
              <w:bottom w:val="single" w:sz="6" w:space="0" w:color="69BD28"/>
            </w:tcBorders>
            <w:shd w:val="clear" w:color="auto" w:fill="006A4D"/>
          </w:tcPr>
          <w:p>
            <w:pPr>
              <w:pStyle w:val="TableParagraph"/>
              <w:spacing w:before="28"/>
              <w:ind w:left="54" w:right="417"/>
              <w:rPr>
                <w:sz w:val="20"/>
              </w:rPr>
            </w:pPr>
            <w:r>
              <w:rPr>
                <w:color w:val="FFFFFF"/>
                <w:sz w:val="20"/>
              </w:rPr>
              <w:t>Nature of Expense</w:t>
            </w:r>
          </w:p>
        </w:tc>
        <w:tc>
          <w:tcPr>
            <w:tcW w:w="2358" w:type="dxa"/>
            <w:tcBorders>
              <w:top w:val="single" w:sz="6" w:space="0" w:color="69BD28"/>
              <w:bottom w:val="single" w:sz="6" w:space="0" w:color="69BD28"/>
            </w:tcBorders>
            <w:shd w:val="clear" w:color="auto" w:fill="006A4D"/>
          </w:tcPr>
          <w:p>
            <w:pPr>
              <w:pStyle w:val="TableParagraph"/>
              <w:spacing w:before="28"/>
              <w:ind w:left="416" w:right="779"/>
              <w:rPr>
                <w:sz w:val="20"/>
              </w:rPr>
            </w:pPr>
            <w:r>
              <w:rPr>
                <w:color w:val="FFFFFF"/>
                <w:sz w:val="20"/>
              </w:rPr>
              <w:t>Details</w:t>
            </w:r>
          </w:p>
        </w:tc>
        <w:tc>
          <w:tcPr>
            <w:tcW w:w="3506" w:type="dxa"/>
            <w:tcBorders>
              <w:top w:val="single" w:sz="6" w:space="0" w:color="69BD28"/>
              <w:bottom w:val="single" w:sz="6" w:space="0" w:color="69BD28"/>
            </w:tcBorders>
            <w:shd w:val="clear" w:color="auto" w:fill="006A4D"/>
          </w:tcPr>
          <w:p>
            <w:pPr>
              <w:pStyle w:val="TableParagraph"/>
              <w:spacing w:before="4"/>
              <w:ind w:left="760" w:right="745"/>
              <w:rPr>
                <w:sz w:val="20"/>
              </w:rPr>
            </w:pPr>
            <w:r>
              <w:rPr>
                <w:color w:val="FFFFFF"/>
                <w:sz w:val="20"/>
              </w:rPr>
              <w:t>Unit</w:t>
            </w:r>
          </w:p>
        </w:tc>
      </w:tr>
      <w:tr>
        <w:trPr>
          <w:trHeight w:val="294" w:hRule="atLeast"/>
        </w:trPr>
        <w:tc>
          <w:tcPr>
            <w:tcW w:w="4622" w:type="dxa"/>
            <w:tcBorders>
              <w:top w:val="single" w:sz="6" w:space="0" w:color="69BD28"/>
              <w:bottom w:val="single" w:sz="6" w:space="0" w:color="69BD28"/>
            </w:tcBorders>
          </w:tcPr>
          <w:p>
            <w:pPr>
              <w:pStyle w:val="TableParagraph"/>
              <w:spacing w:before="44"/>
              <w:ind w:left="54" w:right="419"/>
              <w:rPr>
                <w:sz w:val="18"/>
              </w:rPr>
            </w:pPr>
            <w:r>
              <w:rPr>
                <w:sz w:val="18"/>
              </w:rPr>
              <w:t>Annual Lease Rentals (payable to NOIDA Authority)</w:t>
            </w:r>
          </w:p>
        </w:tc>
        <w:tc>
          <w:tcPr>
            <w:tcW w:w="2358" w:type="dxa"/>
            <w:tcBorders>
              <w:top w:val="single" w:sz="6" w:space="0" w:color="69BD28"/>
              <w:bottom w:val="single" w:sz="6" w:space="0" w:color="69BD28"/>
            </w:tcBorders>
          </w:tcPr>
          <w:p>
            <w:pPr>
              <w:pStyle w:val="TableParagraph"/>
              <w:spacing w:before="44"/>
              <w:ind w:left="467" w:right="779"/>
              <w:rPr>
                <w:sz w:val="18"/>
              </w:rPr>
            </w:pPr>
            <w:r>
              <w:rPr>
                <w:w w:val="105"/>
                <w:sz w:val="18"/>
              </w:rPr>
              <w:t>INR 5.66 Mn*</w:t>
            </w:r>
          </w:p>
        </w:tc>
        <w:tc>
          <w:tcPr>
            <w:tcW w:w="3506" w:type="dxa"/>
            <w:tcBorders>
              <w:top w:val="single" w:sz="6" w:space="0" w:color="69BD28"/>
              <w:bottom w:val="single" w:sz="6" w:space="0" w:color="69BD28"/>
            </w:tcBorders>
          </w:tcPr>
          <w:p>
            <w:pPr>
              <w:pStyle w:val="TableParagraph"/>
              <w:spacing w:before="44"/>
              <w:ind w:left="758" w:right="745"/>
              <w:rPr>
                <w:sz w:val="18"/>
              </w:rPr>
            </w:pPr>
            <w:r>
              <w:rPr>
                <w:w w:val="105"/>
                <w:sz w:val="18"/>
              </w:rPr>
              <w:t>INR Mn per annum</w:t>
            </w:r>
          </w:p>
        </w:tc>
      </w:tr>
      <w:tr>
        <w:trPr>
          <w:trHeight w:val="297" w:hRule="atLeast"/>
        </w:trPr>
        <w:tc>
          <w:tcPr>
            <w:tcW w:w="4622" w:type="dxa"/>
            <w:tcBorders>
              <w:top w:val="single" w:sz="6" w:space="0" w:color="69BD28"/>
              <w:bottom w:val="single" w:sz="6" w:space="0" w:color="69BD28"/>
            </w:tcBorders>
          </w:tcPr>
          <w:p>
            <w:pPr>
              <w:pStyle w:val="TableParagraph"/>
              <w:spacing w:before="46"/>
              <w:ind w:left="54" w:right="416"/>
              <w:rPr>
                <w:sz w:val="18"/>
              </w:rPr>
            </w:pPr>
            <w:r>
              <w:rPr>
                <w:sz w:val="18"/>
              </w:rPr>
              <w:t>Opex projects and admin expenses</w:t>
            </w:r>
          </w:p>
        </w:tc>
        <w:tc>
          <w:tcPr>
            <w:tcW w:w="2358" w:type="dxa"/>
            <w:tcBorders>
              <w:top w:val="single" w:sz="6" w:space="0" w:color="69BD28"/>
              <w:bottom w:val="single" w:sz="6" w:space="0" w:color="69BD28"/>
            </w:tcBorders>
          </w:tcPr>
          <w:p>
            <w:pPr>
              <w:pStyle w:val="TableParagraph"/>
              <w:spacing w:before="46"/>
              <w:ind w:left="418" w:right="779"/>
              <w:rPr>
                <w:sz w:val="18"/>
              </w:rPr>
            </w:pPr>
            <w:r>
              <w:rPr>
                <w:w w:val="110"/>
                <w:sz w:val="18"/>
              </w:rPr>
              <w:t>1.0%</w:t>
            </w:r>
          </w:p>
        </w:tc>
        <w:tc>
          <w:tcPr>
            <w:tcW w:w="3506" w:type="dxa"/>
            <w:tcBorders>
              <w:top w:val="single" w:sz="6" w:space="0" w:color="69BD28"/>
              <w:bottom w:val="single" w:sz="6" w:space="0" w:color="69BD28"/>
            </w:tcBorders>
          </w:tcPr>
          <w:p>
            <w:pPr>
              <w:pStyle w:val="TableParagraph"/>
              <w:spacing w:before="46"/>
              <w:ind w:left="761" w:right="743"/>
              <w:rPr>
                <w:sz w:val="18"/>
              </w:rPr>
            </w:pPr>
            <w:r>
              <w:rPr>
                <w:sz w:val="18"/>
              </w:rPr>
              <w:t>% of total income</w:t>
            </w:r>
          </w:p>
        </w:tc>
      </w:tr>
      <w:tr>
        <w:trPr>
          <w:trHeight w:val="294" w:hRule="atLeast"/>
        </w:trPr>
        <w:tc>
          <w:tcPr>
            <w:tcW w:w="4622" w:type="dxa"/>
            <w:tcBorders>
              <w:top w:val="single" w:sz="6" w:space="0" w:color="69BD28"/>
              <w:bottom w:val="single" w:sz="6" w:space="0" w:color="69BD28"/>
            </w:tcBorders>
          </w:tcPr>
          <w:p>
            <w:pPr>
              <w:pStyle w:val="TableParagraph"/>
              <w:spacing w:before="44"/>
              <w:ind w:left="54" w:right="410"/>
              <w:rPr>
                <w:sz w:val="18"/>
              </w:rPr>
            </w:pPr>
            <w:r>
              <w:rPr>
                <w:w w:val="103"/>
                <w:sz w:val="18"/>
              </w:rPr>
              <w:t>A</w:t>
            </w:r>
            <w:r>
              <w:rPr>
                <w:spacing w:val="1"/>
                <w:w w:val="103"/>
                <w:sz w:val="18"/>
              </w:rPr>
              <w:t>s</w:t>
            </w:r>
            <w:r>
              <w:rPr>
                <w:w w:val="100"/>
                <w:sz w:val="18"/>
              </w:rPr>
              <w:t>s</w:t>
            </w:r>
            <w:r>
              <w:rPr>
                <w:w w:val="94"/>
                <w:sz w:val="18"/>
              </w:rPr>
              <w:t>e</w:t>
            </w:r>
            <w:r>
              <w:rPr>
                <w:w w:val="65"/>
                <w:sz w:val="18"/>
              </w:rPr>
              <w:t>t</w:t>
            </w:r>
            <w:r>
              <w:rPr>
                <w:spacing w:val="-3"/>
                <w:sz w:val="18"/>
              </w:rPr>
              <w:t> </w:t>
            </w:r>
            <w:r>
              <w:rPr>
                <w:w w:val="113"/>
                <w:sz w:val="18"/>
              </w:rPr>
              <w:t>M</w:t>
            </w:r>
            <w:r>
              <w:rPr>
                <w:spacing w:val="-2"/>
                <w:w w:val="113"/>
                <w:sz w:val="18"/>
              </w:rPr>
              <w:t>a</w:t>
            </w:r>
            <w:r>
              <w:rPr>
                <w:w w:val="101"/>
                <w:sz w:val="18"/>
              </w:rPr>
              <w:t>n</w:t>
            </w:r>
            <w:r>
              <w:rPr>
                <w:w w:val="108"/>
                <w:sz w:val="18"/>
              </w:rPr>
              <w:t>a</w:t>
            </w:r>
            <w:r>
              <w:rPr>
                <w:spacing w:val="-2"/>
                <w:w w:val="113"/>
                <w:sz w:val="18"/>
              </w:rPr>
              <w:t>g</w:t>
            </w:r>
            <w:r>
              <w:rPr>
                <w:w w:val="94"/>
                <w:sz w:val="18"/>
              </w:rPr>
              <w:t>e</w:t>
            </w:r>
            <w:r>
              <w:rPr>
                <w:w w:val="102"/>
                <w:sz w:val="18"/>
              </w:rPr>
              <w:t>m</w:t>
            </w:r>
            <w:r>
              <w:rPr>
                <w:spacing w:val="-2"/>
                <w:w w:val="94"/>
                <w:sz w:val="18"/>
              </w:rPr>
              <w:t>e</w:t>
            </w:r>
            <w:r>
              <w:rPr>
                <w:w w:val="101"/>
                <w:sz w:val="18"/>
              </w:rPr>
              <w:t>n</w:t>
            </w:r>
            <w:r>
              <w:rPr>
                <w:w w:val="65"/>
                <w:sz w:val="18"/>
              </w:rPr>
              <w:t>t</w:t>
            </w:r>
            <w:r>
              <w:rPr>
                <w:spacing w:val="-3"/>
                <w:sz w:val="18"/>
              </w:rPr>
              <w:t> </w:t>
            </w:r>
            <w:r>
              <w:rPr>
                <w:w w:val="95"/>
                <w:sz w:val="18"/>
              </w:rPr>
              <w:t>Fe</w:t>
            </w:r>
            <w:r>
              <w:rPr>
                <w:spacing w:val="3"/>
                <w:w w:val="94"/>
                <w:sz w:val="18"/>
              </w:rPr>
              <w:t>e</w:t>
            </w:r>
            <w:r>
              <w:rPr>
                <w:w w:val="190"/>
                <w:sz w:val="18"/>
              </w:rPr>
              <w:t>^</w:t>
            </w:r>
          </w:p>
        </w:tc>
        <w:tc>
          <w:tcPr>
            <w:tcW w:w="2358" w:type="dxa"/>
            <w:tcBorders>
              <w:top w:val="single" w:sz="6" w:space="0" w:color="69BD28"/>
              <w:bottom w:val="single" w:sz="6" w:space="0" w:color="69BD28"/>
            </w:tcBorders>
          </w:tcPr>
          <w:p>
            <w:pPr>
              <w:pStyle w:val="TableParagraph"/>
              <w:spacing w:before="44"/>
              <w:ind w:left="418" w:right="779"/>
              <w:rPr>
                <w:sz w:val="18"/>
              </w:rPr>
            </w:pPr>
            <w:r>
              <w:rPr>
                <w:w w:val="110"/>
                <w:sz w:val="18"/>
              </w:rPr>
              <w:t>3.0%</w:t>
            </w:r>
          </w:p>
        </w:tc>
        <w:tc>
          <w:tcPr>
            <w:tcW w:w="3506" w:type="dxa"/>
            <w:tcBorders>
              <w:top w:val="single" w:sz="6" w:space="0" w:color="69BD28"/>
              <w:bottom w:val="single" w:sz="6" w:space="0" w:color="69BD28"/>
            </w:tcBorders>
          </w:tcPr>
          <w:p>
            <w:pPr>
              <w:pStyle w:val="TableParagraph"/>
              <w:spacing w:before="44"/>
              <w:ind w:left="761" w:right="745"/>
              <w:rPr>
                <w:sz w:val="18"/>
              </w:rPr>
            </w:pPr>
            <w:r>
              <w:rPr>
                <w:sz w:val="18"/>
              </w:rPr>
              <w:t>% of gross rental income</w:t>
            </w:r>
          </w:p>
        </w:tc>
      </w:tr>
      <w:tr>
        <w:trPr>
          <w:trHeight w:val="297" w:hRule="atLeast"/>
        </w:trPr>
        <w:tc>
          <w:tcPr>
            <w:tcW w:w="4622" w:type="dxa"/>
            <w:tcBorders>
              <w:top w:val="single" w:sz="6" w:space="0" w:color="69BD28"/>
              <w:bottom w:val="single" w:sz="6" w:space="0" w:color="69BD28"/>
            </w:tcBorders>
          </w:tcPr>
          <w:p>
            <w:pPr>
              <w:pStyle w:val="TableParagraph"/>
              <w:spacing w:before="46"/>
              <w:ind w:left="54" w:right="416"/>
              <w:rPr>
                <w:sz w:val="18"/>
              </w:rPr>
            </w:pPr>
            <w:r>
              <w:rPr>
                <w:sz w:val="18"/>
              </w:rPr>
              <w:t>Transaction cost on Exit</w:t>
            </w:r>
          </w:p>
        </w:tc>
        <w:tc>
          <w:tcPr>
            <w:tcW w:w="2358" w:type="dxa"/>
            <w:tcBorders>
              <w:top w:val="single" w:sz="6" w:space="0" w:color="69BD28"/>
              <w:bottom w:val="single" w:sz="6" w:space="0" w:color="69BD28"/>
            </w:tcBorders>
          </w:tcPr>
          <w:p>
            <w:pPr>
              <w:pStyle w:val="TableParagraph"/>
              <w:spacing w:before="46"/>
              <w:ind w:left="418" w:right="779"/>
              <w:rPr>
                <w:sz w:val="18"/>
              </w:rPr>
            </w:pPr>
            <w:r>
              <w:rPr>
                <w:w w:val="110"/>
                <w:sz w:val="18"/>
              </w:rPr>
              <w:t>1.0%</w:t>
            </w:r>
          </w:p>
        </w:tc>
        <w:tc>
          <w:tcPr>
            <w:tcW w:w="3506" w:type="dxa"/>
            <w:tcBorders>
              <w:top w:val="single" w:sz="6" w:space="0" w:color="69BD28"/>
              <w:bottom w:val="single" w:sz="6" w:space="0" w:color="69BD28"/>
            </w:tcBorders>
          </w:tcPr>
          <w:p>
            <w:pPr>
              <w:pStyle w:val="TableParagraph"/>
              <w:spacing w:before="46"/>
              <w:ind w:left="761" w:right="744"/>
              <w:rPr>
                <w:sz w:val="18"/>
              </w:rPr>
            </w:pPr>
            <w:r>
              <w:rPr>
                <w:sz w:val="18"/>
              </w:rPr>
              <w:t>% of terminal value</w:t>
            </w:r>
          </w:p>
        </w:tc>
      </w:tr>
    </w:tbl>
    <w:p>
      <w:pPr>
        <w:spacing w:before="116"/>
        <w:ind w:left="120" w:right="0" w:firstLine="0"/>
        <w:jc w:val="left"/>
        <w:rPr>
          <w:i/>
          <w:sz w:val="18"/>
        </w:rPr>
      </w:pPr>
      <w:r>
        <w:rPr>
          <w:i/>
          <w:sz w:val="18"/>
        </w:rPr>
        <w:t>Source: Client Input; Valuer assessment</w:t>
      </w:r>
    </w:p>
    <w:p>
      <w:pPr>
        <w:spacing w:before="73"/>
        <w:ind w:left="120" w:right="0" w:firstLine="0"/>
        <w:jc w:val="left"/>
        <w:rPr>
          <w:i/>
          <w:sz w:val="18"/>
        </w:rPr>
      </w:pPr>
      <w:r>
        <w:rPr>
          <w:i/>
          <w:sz w:val="18"/>
        </w:rPr>
        <w:t>*</w:t>
      </w:r>
      <w:r>
        <w:rPr>
          <w:i/>
          <w:spacing w:val="-23"/>
          <w:sz w:val="18"/>
        </w:rPr>
        <w:t> </w:t>
      </w:r>
      <w:r>
        <w:rPr>
          <w:i/>
          <w:sz w:val="18"/>
        </w:rPr>
        <w:t>Represents</w:t>
      </w:r>
      <w:r>
        <w:rPr>
          <w:i/>
          <w:spacing w:val="-23"/>
          <w:sz w:val="18"/>
        </w:rPr>
        <w:t> </w:t>
      </w:r>
      <w:r>
        <w:rPr>
          <w:i/>
          <w:sz w:val="18"/>
        </w:rPr>
        <w:t>the</w:t>
      </w:r>
      <w:r>
        <w:rPr>
          <w:i/>
          <w:spacing w:val="-24"/>
          <w:sz w:val="18"/>
        </w:rPr>
        <w:t> </w:t>
      </w:r>
      <w:r>
        <w:rPr>
          <w:i/>
          <w:sz w:val="18"/>
        </w:rPr>
        <w:t>current</w:t>
      </w:r>
      <w:r>
        <w:rPr>
          <w:i/>
          <w:spacing w:val="-21"/>
          <w:sz w:val="18"/>
        </w:rPr>
        <w:t> </w:t>
      </w:r>
      <w:r>
        <w:rPr>
          <w:i/>
          <w:sz w:val="18"/>
        </w:rPr>
        <w:t>lease</w:t>
      </w:r>
      <w:r>
        <w:rPr>
          <w:i/>
          <w:spacing w:val="-24"/>
          <w:sz w:val="18"/>
        </w:rPr>
        <w:t> </w:t>
      </w:r>
      <w:r>
        <w:rPr>
          <w:i/>
          <w:sz w:val="18"/>
        </w:rPr>
        <w:t>rental</w:t>
      </w:r>
      <w:r>
        <w:rPr>
          <w:i/>
          <w:spacing w:val="-24"/>
          <w:sz w:val="18"/>
        </w:rPr>
        <w:t> </w:t>
      </w:r>
      <w:r>
        <w:rPr>
          <w:i/>
          <w:sz w:val="18"/>
        </w:rPr>
        <w:t>payable</w:t>
      </w:r>
      <w:r>
        <w:rPr>
          <w:i/>
          <w:spacing w:val="-24"/>
          <w:sz w:val="18"/>
        </w:rPr>
        <w:t> </w:t>
      </w:r>
      <w:r>
        <w:rPr>
          <w:i/>
          <w:sz w:val="18"/>
        </w:rPr>
        <w:t>as</w:t>
      </w:r>
      <w:r>
        <w:rPr>
          <w:i/>
          <w:spacing w:val="-23"/>
          <w:sz w:val="18"/>
        </w:rPr>
        <w:t> </w:t>
      </w:r>
      <w:r>
        <w:rPr>
          <w:i/>
          <w:sz w:val="18"/>
        </w:rPr>
        <w:t>on</w:t>
      </w:r>
      <w:r>
        <w:rPr>
          <w:i/>
          <w:spacing w:val="-23"/>
          <w:sz w:val="18"/>
        </w:rPr>
        <w:t> </w:t>
      </w:r>
      <w:r>
        <w:rPr>
          <w:i/>
          <w:sz w:val="18"/>
        </w:rPr>
        <w:t>date</w:t>
      </w:r>
      <w:r>
        <w:rPr>
          <w:i/>
          <w:spacing w:val="-24"/>
          <w:sz w:val="18"/>
        </w:rPr>
        <w:t> </w:t>
      </w:r>
      <w:r>
        <w:rPr>
          <w:i/>
          <w:sz w:val="18"/>
        </w:rPr>
        <w:t>of</w:t>
      </w:r>
      <w:r>
        <w:rPr>
          <w:i/>
          <w:spacing w:val="-23"/>
          <w:sz w:val="18"/>
        </w:rPr>
        <w:t> </w:t>
      </w:r>
      <w:r>
        <w:rPr>
          <w:i/>
          <w:sz w:val="18"/>
        </w:rPr>
        <w:t>valuation.</w:t>
      </w:r>
      <w:r>
        <w:rPr>
          <w:i/>
          <w:spacing w:val="-21"/>
          <w:sz w:val="18"/>
        </w:rPr>
        <w:t> </w:t>
      </w:r>
      <w:r>
        <w:rPr>
          <w:i/>
          <w:sz w:val="18"/>
        </w:rPr>
        <w:t>The</w:t>
      </w:r>
      <w:r>
        <w:rPr>
          <w:i/>
          <w:spacing w:val="-22"/>
          <w:sz w:val="18"/>
        </w:rPr>
        <w:t> </w:t>
      </w:r>
      <w:r>
        <w:rPr>
          <w:i/>
          <w:sz w:val="18"/>
        </w:rPr>
        <w:t>same</w:t>
      </w:r>
      <w:r>
        <w:rPr>
          <w:i/>
          <w:spacing w:val="-23"/>
          <w:sz w:val="18"/>
        </w:rPr>
        <w:t> </w:t>
      </w:r>
      <w:r>
        <w:rPr>
          <w:i/>
          <w:sz w:val="18"/>
        </w:rPr>
        <w:t>shall</w:t>
      </w:r>
      <w:r>
        <w:rPr>
          <w:i/>
          <w:spacing w:val="-24"/>
          <w:sz w:val="18"/>
        </w:rPr>
        <w:t> </w:t>
      </w:r>
      <w:r>
        <w:rPr>
          <w:i/>
          <w:sz w:val="18"/>
        </w:rPr>
        <w:t>be</w:t>
      </w:r>
      <w:r>
        <w:rPr>
          <w:i/>
          <w:spacing w:val="-22"/>
          <w:sz w:val="18"/>
        </w:rPr>
        <w:t> </w:t>
      </w:r>
      <w:r>
        <w:rPr>
          <w:i/>
          <w:sz w:val="18"/>
        </w:rPr>
        <w:t>escalated</w:t>
      </w:r>
      <w:r>
        <w:rPr>
          <w:i/>
          <w:spacing w:val="-23"/>
          <w:sz w:val="18"/>
        </w:rPr>
        <w:t> </w:t>
      </w:r>
      <w:r>
        <w:rPr>
          <w:i/>
          <w:sz w:val="18"/>
        </w:rPr>
        <w:t>by</w:t>
      </w:r>
      <w:r>
        <w:rPr>
          <w:i/>
          <w:spacing w:val="-23"/>
          <w:sz w:val="18"/>
        </w:rPr>
        <w:t> </w:t>
      </w:r>
      <w:r>
        <w:rPr>
          <w:i/>
          <w:sz w:val="18"/>
        </w:rPr>
        <w:t>50%</w:t>
      </w:r>
      <w:r>
        <w:rPr>
          <w:i/>
          <w:spacing w:val="-22"/>
          <w:sz w:val="18"/>
        </w:rPr>
        <w:t> </w:t>
      </w:r>
      <w:r>
        <w:rPr>
          <w:i/>
          <w:sz w:val="18"/>
        </w:rPr>
        <w:t>at</w:t>
      </w:r>
      <w:r>
        <w:rPr>
          <w:i/>
          <w:spacing w:val="-23"/>
          <w:sz w:val="18"/>
        </w:rPr>
        <w:t> </w:t>
      </w:r>
      <w:r>
        <w:rPr>
          <w:i/>
          <w:sz w:val="18"/>
        </w:rPr>
        <w:t>the</w:t>
      </w:r>
      <w:r>
        <w:rPr>
          <w:i/>
          <w:spacing w:val="-22"/>
          <w:sz w:val="18"/>
        </w:rPr>
        <w:t> </w:t>
      </w:r>
      <w:r>
        <w:rPr>
          <w:i/>
          <w:sz w:val="18"/>
        </w:rPr>
        <w:t>end</w:t>
      </w:r>
      <w:r>
        <w:rPr>
          <w:i/>
          <w:spacing w:val="-21"/>
          <w:sz w:val="18"/>
        </w:rPr>
        <w:t> </w:t>
      </w:r>
      <w:r>
        <w:rPr>
          <w:i/>
          <w:sz w:val="18"/>
        </w:rPr>
        <w:t>of</w:t>
      </w:r>
      <w:r>
        <w:rPr>
          <w:i/>
          <w:spacing w:val="-23"/>
          <w:sz w:val="18"/>
        </w:rPr>
        <w:t> </w:t>
      </w:r>
      <w:r>
        <w:rPr>
          <w:i/>
          <w:sz w:val="18"/>
        </w:rPr>
        <w:t>every</w:t>
      </w:r>
      <w:r>
        <w:rPr>
          <w:i/>
          <w:spacing w:val="-22"/>
          <w:sz w:val="18"/>
        </w:rPr>
        <w:t> </w:t>
      </w:r>
      <w:r>
        <w:rPr>
          <w:i/>
          <w:sz w:val="18"/>
        </w:rPr>
        <w:t>10</w:t>
      </w:r>
      <w:r>
        <w:rPr>
          <w:i/>
          <w:spacing w:val="-22"/>
          <w:sz w:val="18"/>
        </w:rPr>
        <w:t> </w:t>
      </w:r>
      <w:r>
        <w:rPr>
          <w:i/>
          <w:sz w:val="18"/>
        </w:rPr>
        <w:t>years;</w:t>
      </w:r>
    </w:p>
    <w:p>
      <w:pPr>
        <w:spacing w:before="71"/>
        <w:ind w:left="120" w:right="0" w:firstLine="0"/>
        <w:jc w:val="left"/>
        <w:rPr>
          <w:i/>
          <w:sz w:val="18"/>
        </w:rPr>
      </w:pPr>
      <w:r>
        <w:rPr>
          <w:i/>
          <w:w w:val="160"/>
          <w:sz w:val="18"/>
        </w:rPr>
        <w:t>^ </w:t>
      </w:r>
      <w:r>
        <w:rPr>
          <w:i/>
          <w:w w:val="105"/>
          <w:sz w:val="18"/>
        </w:rPr>
        <w:t>Asset Management fee has been considered a below the NOI line item</w:t>
      </w:r>
    </w:p>
    <w:p>
      <w:pPr>
        <w:pStyle w:val="BodyText"/>
        <w:spacing w:before="11"/>
        <w:rPr>
          <w:i/>
          <w:sz w:val="26"/>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92" w:id="570"/>
      <w:bookmarkEnd w:id="570"/>
      <w:r>
        <w:rPr/>
      </w:r>
      <w:bookmarkStart w:name="_bookmark292" w:id="571"/>
      <w:bookmarkEnd w:id="571"/>
      <w:r>
        <w:rPr>
          <w:color w:val="1F664D"/>
          <w:w w:val="105"/>
          <w:sz w:val="22"/>
        </w:rPr>
        <w:t>O</w:t>
      </w:r>
      <w:r>
        <w:rPr>
          <w:color w:val="1F664D"/>
          <w:w w:val="105"/>
          <w:sz w:val="22"/>
        </w:rPr>
        <w:t>ther</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78"/>
        </w:numPr>
        <w:tabs>
          <w:tab w:pos="985" w:val="left" w:leader="none"/>
        </w:tabs>
        <w:spacing w:line="240" w:lineRule="auto" w:before="0" w:after="0"/>
        <w:ind w:left="984" w:right="0" w:hanging="865"/>
        <w:jc w:val="left"/>
        <w:rPr>
          <w:i/>
          <w:sz w:val="20"/>
        </w:rPr>
      </w:pPr>
      <w:r>
        <w:rPr>
          <w:i/>
          <w:color w:val="008000"/>
          <w:w w:val="95"/>
          <w:sz w:val="20"/>
        </w:rPr>
        <w:t>Vacancy</w:t>
      </w:r>
      <w:r>
        <w:rPr>
          <w:i/>
          <w:color w:val="008000"/>
          <w:spacing w:val="32"/>
          <w:w w:val="95"/>
          <w:sz w:val="20"/>
        </w:rPr>
        <w:t> </w:t>
      </w:r>
      <w:r>
        <w:rPr>
          <w:i/>
          <w:color w:val="008000"/>
          <w:w w:val="95"/>
          <w:sz w:val="20"/>
        </w:rPr>
        <w:t>provision</w:t>
      </w:r>
    </w:p>
    <w:p>
      <w:pPr>
        <w:pStyle w:val="BodyText"/>
        <w:spacing w:before="1"/>
        <w:rPr>
          <w:i/>
        </w:rPr>
      </w:pPr>
    </w:p>
    <w:p>
      <w:pPr>
        <w:pStyle w:val="BodyText"/>
        <w:spacing w:line="319" w:lineRule="auto"/>
        <w:ind w:left="682" w:right="118"/>
        <w:jc w:val="both"/>
      </w:pPr>
      <w:r>
        <w:rPr/>
        <w:t>Based on the prevailing market benchmarks, a vacancy provision of 2.5% has been adopted upon assessment of terminal</w:t>
      </w:r>
      <w:r>
        <w:rPr>
          <w:spacing w:val="-10"/>
        </w:rPr>
        <w:t> </w:t>
      </w:r>
      <w:r>
        <w:rPr/>
        <w:t>value.</w:t>
      </w:r>
    </w:p>
    <w:p>
      <w:pPr>
        <w:pStyle w:val="BodyText"/>
        <w:spacing w:before="6"/>
        <w:rPr>
          <w:sz w:val="23"/>
        </w:rPr>
      </w:pPr>
    </w:p>
    <w:p>
      <w:pPr>
        <w:pStyle w:val="ListParagraph"/>
        <w:numPr>
          <w:ilvl w:val="3"/>
          <w:numId w:val="78"/>
        </w:numPr>
        <w:tabs>
          <w:tab w:pos="985" w:val="left" w:leader="none"/>
        </w:tabs>
        <w:spacing w:line="240" w:lineRule="auto" w:before="0" w:after="0"/>
        <w:ind w:left="984" w:right="0" w:hanging="865"/>
        <w:jc w:val="left"/>
        <w:rPr>
          <w:i/>
          <w:sz w:val="20"/>
        </w:rPr>
      </w:pPr>
      <w:r>
        <w:rPr>
          <w:i/>
          <w:color w:val="008000"/>
          <w:sz w:val="20"/>
        </w:rPr>
        <w:t>Revenue</w:t>
      </w:r>
      <w:r>
        <w:rPr>
          <w:i/>
          <w:color w:val="008000"/>
          <w:spacing w:val="-4"/>
          <w:sz w:val="20"/>
        </w:rPr>
        <w:t> </w:t>
      </w:r>
      <w:r>
        <w:rPr>
          <w:i/>
          <w:color w:val="008000"/>
          <w:sz w:val="20"/>
        </w:rPr>
        <w:t>escalation</w:t>
      </w:r>
    </w:p>
    <w:p>
      <w:pPr>
        <w:pStyle w:val="BodyText"/>
        <w:spacing w:before="1"/>
        <w:rPr>
          <w:i/>
        </w:rPr>
      </w:pPr>
    </w:p>
    <w:p>
      <w:pPr>
        <w:pStyle w:val="BodyText"/>
        <w:spacing w:line="321" w:lineRule="auto"/>
        <w:ind w:left="682" w:right="115"/>
        <w:jc w:val="both"/>
      </w:pPr>
      <w:r>
        <w:rPr/>
        <w:t>Based</w:t>
      </w:r>
      <w:r>
        <w:rPr>
          <w:spacing w:val="-17"/>
        </w:rPr>
        <w:t> </w:t>
      </w:r>
      <w:r>
        <w:rPr/>
        <w:t>on</w:t>
      </w:r>
      <w:r>
        <w:rPr>
          <w:spacing w:val="-17"/>
        </w:rPr>
        <w:t> </w:t>
      </w:r>
      <w:r>
        <w:rPr/>
        <w:t>prevailing</w:t>
      </w:r>
      <w:r>
        <w:rPr>
          <w:spacing w:val="-16"/>
        </w:rPr>
        <w:t> </w:t>
      </w:r>
      <w:r>
        <w:rPr/>
        <w:t>market</w:t>
      </w:r>
      <w:r>
        <w:rPr>
          <w:spacing w:val="-17"/>
        </w:rPr>
        <w:t> </w:t>
      </w:r>
      <w:r>
        <w:rPr/>
        <w:t>condition,</w:t>
      </w:r>
      <w:r>
        <w:rPr>
          <w:spacing w:val="-18"/>
        </w:rPr>
        <w:t> </w:t>
      </w:r>
      <w:r>
        <w:rPr/>
        <w:t>historical</w:t>
      </w:r>
      <w:r>
        <w:rPr>
          <w:spacing w:val="-18"/>
        </w:rPr>
        <w:t> </w:t>
      </w:r>
      <w:r>
        <w:rPr/>
        <w:t>rent</w:t>
      </w:r>
      <w:r>
        <w:rPr>
          <w:spacing w:val="-17"/>
        </w:rPr>
        <w:t> </w:t>
      </w:r>
      <w:r>
        <w:rPr/>
        <w:t>growth</w:t>
      </w:r>
      <w:r>
        <w:rPr>
          <w:spacing w:val="-18"/>
        </w:rPr>
        <w:t> </w:t>
      </w:r>
      <w:r>
        <w:rPr/>
        <w:t>achieved</w:t>
      </w:r>
      <w:r>
        <w:rPr>
          <w:spacing w:val="-17"/>
        </w:rPr>
        <w:t> </w:t>
      </w:r>
      <w:r>
        <w:rPr/>
        <w:t>by</w:t>
      </w:r>
      <w:r>
        <w:rPr>
          <w:spacing w:val="-17"/>
        </w:rPr>
        <w:t> </w:t>
      </w:r>
      <w:r>
        <w:rPr/>
        <w:t>the</w:t>
      </w:r>
      <w:r>
        <w:rPr>
          <w:spacing w:val="-18"/>
        </w:rPr>
        <w:t> </w:t>
      </w:r>
      <w:r>
        <w:rPr/>
        <w:t>subject</w:t>
      </w:r>
      <w:r>
        <w:rPr>
          <w:spacing w:val="-17"/>
        </w:rPr>
        <w:t> </w:t>
      </w:r>
      <w:r>
        <w:rPr/>
        <w:t>property</w:t>
      </w:r>
      <w:r>
        <w:rPr>
          <w:spacing w:val="-13"/>
        </w:rPr>
        <w:t> </w:t>
      </w:r>
      <w:r>
        <w:rPr/>
        <w:t>and</w:t>
      </w:r>
      <w:r>
        <w:rPr>
          <w:spacing w:val="-19"/>
        </w:rPr>
        <w:t> </w:t>
      </w:r>
      <w:r>
        <w:rPr/>
        <w:t>our interactions</w:t>
      </w:r>
      <w:r>
        <w:rPr>
          <w:spacing w:val="-27"/>
        </w:rPr>
        <w:t> </w:t>
      </w:r>
      <w:r>
        <w:rPr/>
        <w:t>with</w:t>
      </w:r>
      <w:r>
        <w:rPr>
          <w:spacing w:val="-28"/>
        </w:rPr>
        <w:t> </w:t>
      </w:r>
      <w:r>
        <w:rPr/>
        <w:t>market</w:t>
      </w:r>
      <w:r>
        <w:rPr>
          <w:spacing w:val="-28"/>
        </w:rPr>
        <w:t> </w:t>
      </w:r>
      <w:r>
        <w:rPr/>
        <w:t>participants,</w:t>
      </w:r>
      <w:r>
        <w:rPr>
          <w:spacing w:val="-27"/>
        </w:rPr>
        <w:t> </w:t>
      </w:r>
      <w:r>
        <w:rPr/>
        <w:t>we</w:t>
      </w:r>
      <w:r>
        <w:rPr>
          <w:spacing w:val="-27"/>
        </w:rPr>
        <w:t> </w:t>
      </w:r>
      <w:r>
        <w:rPr/>
        <w:t>are</w:t>
      </w:r>
      <w:r>
        <w:rPr>
          <w:spacing w:val="-27"/>
        </w:rPr>
        <w:t> </w:t>
      </w:r>
      <w:r>
        <w:rPr/>
        <w:t>of</w:t>
      </w:r>
      <w:r>
        <w:rPr>
          <w:spacing w:val="-27"/>
        </w:rPr>
        <w:t> </w:t>
      </w:r>
      <w:r>
        <w:rPr/>
        <w:t>the</w:t>
      </w:r>
      <w:r>
        <w:rPr>
          <w:spacing w:val="-27"/>
        </w:rPr>
        <w:t> </w:t>
      </w:r>
      <w:r>
        <w:rPr/>
        <w:t>opinion</w:t>
      </w:r>
      <w:r>
        <w:rPr>
          <w:spacing w:val="-28"/>
        </w:rPr>
        <w:t> </w:t>
      </w:r>
      <w:r>
        <w:rPr/>
        <w:t>that</w:t>
      </w:r>
      <w:r>
        <w:rPr>
          <w:spacing w:val="-27"/>
        </w:rPr>
        <w:t> </w:t>
      </w:r>
      <w:r>
        <w:rPr/>
        <w:t>the</w:t>
      </w:r>
      <w:r>
        <w:rPr>
          <w:spacing w:val="-26"/>
        </w:rPr>
        <w:t> </w:t>
      </w:r>
      <w:r>
        <w:rPr/>
        <w:t>annual</w:t>
      </w:r>
      <w:r>
        <w:rPr>
          <w:spacing w:val="-27"/>
        </w:rPr>
        <w:t> </w:t>
      </w:r>
      <w:r>
        <w:rPr/>
        <w:t>rent</w:t>
      </w:r>
      <w:r>
        <w:rPr>
          <w:spacing w:val="-27"/>
        </w:rPr>
        <w:t> </w:t>
      </w:r>
      <w:r>
        <w:rPr/>
        <w:t>growth</w:t>
      </w:r>
      <w:r>
        <w:rPr>
          <w:spacing w:val="-29"/>
        </w:rPr>
        <w:t> </w:t>
      </w:r>
      <w:r>
        <w:rPr/>
        <w:t>for</w:t>
      </w:r>
      <w:r>
        <w:rPr>
          <w:spacing w:val="-27"/>
        </w:rPr>
        <w:t> </w:t>
      </w:r>
      <w:r>
        <w:rPr/>
        <w:t>the</w:t>
      </w:r>
      <w:r>
        <w:rPr>
          <w:spacing w:val="-27"/>
        </w:rPr>
        <w:t> </w:t>
      </w:r>
      <w:r>
        <w:rPr/>
        <w:t>subject property will be 5.0% from Q4, FY 2021</w:t>
      </w:r>
      <w:r>
        <w:rPr>
          <w:spacing w:val="-18"/>
        </w:rPr>
        <w:t> </w:t>
      </w:r>
      <w:r>
        <w:rPr/>
        <w:t>onwards.</w:t>
      </w:r>
    </w:p>
    <w:p>
      <w:pPr>
        <w:pStyle w:val="BodyText"/>
        <w:spacing w:before="4"/>
        <w:rPr>
          <w:sz w:val="23"/>
        </w:rPr>
      </w:pPr>
    </w:p>
    <w:p>
      <w:pPr>
        <w:pStyle w:val="ListParagraph"/>
        <w:numPr>
          <w:ilvl w:val="3"/>
          <w:numId w:val="78"/>
        </w:numPr>
        <w:tabs>
          <w:tab w:pos="985" w:val="left" w:leader="none"/>
        </w:tabs>
        <w:spacing w:line="240" w:lineRule="auto" w:before="0" w:after="0"/>
        <w:ind w:left="984" w:right="0" w:hanging="865"/>
        <w:jc w:val="left"/>
        <w:rPr>
          <w:i/>
          <w:sz w:val="20"/>
        </w:rPr>
      </w:pPr>
      <w:r>
        <w:rPr>
          <w:i/>
          <w:color w:val="008000"/>
          <w:sz w:val="20"/>
        </w:rPr>
        <w:t>Rent </w:t>
      </w:r>
      <w:r>
        <w:rPr>
          <w:i/>
          <w:color w:val="008000"/>
          <w:w w:val="105"/>
          <w:sz w:val="20"/>
        </w:rPr>
        <w:t>– </w:t>
      </w:r>
      <w:r>
        <w:rPr>
          <w:i/>
          <w:color w:val="008000"/>
          <w:sz w:val="20"/>
        </w:rPr>
        <w:t>free</w:t>
      </w:r>
      <w:r>
        <w:rPr>
          <w:i/>
          <w:color w:val="008000"/>
          <w:spacing w:val="-13"/>
          <w:sz w:val="20"/>
        </w:rPr>
        <w:t> </w:t>
      </w:r>
      <w:r>
        <w:rPr>
          <w:i/>
          <w:color w:val="008000"/>
          <w:sz w:val="20"/>
        </w:rPr>
        <w:t>period</w:t>
      </w:r>
    </w:p>
    <w:p>
      <w:pPr>
        <w:pStyle w:val="BodyText"/>
        <w:rPr>
          <w:i/>
        </w:rPr>
      </w:pPr>
    </w:p>
    <w:p>
      <w:pPr>
        <w:pStyle w:val="BodyText"/>
        <w:spacing w:line="321" w:lineRule="auto"/>
        <w:ind w:left="682" w:right="115"/>
        <w:jc w:val="both"/>
      </w:pPr>
      <w:r>
        <w:rPr/>
        <w:t>Based</w:t>
      </w:r>
      <w:r>
        <w:rPr>
          <w:spacing w:val="-8"/>
        </w:rPr>
        <w:t> </w:t>
      </w:r>
      <w:r>
        <w:rPr/>
        <w:t>on</w:t>
      </w:r>
      <w:r>
        <w:rPr>
          <w:spacing w:val="-7"/>
        </w:rPr>
        <w:t> </w:t>
      </w:r>
      <w:r>
        <w:rPr/>
        <w:t>the</w:t>
      </w:r>
      <w:r>
        <w:rPr>
          <w:spacing w:val="-9"/>
        </w:rPr>
        <w:t> </w:t>
      </w:r>
      <w:r>
        <w:rPr/>
        <w:t>trend</w:t>
      </w:r>
      <w:r>
        <w:rPr>
          <w:spacing w:val="-8"/>
        </w:rPr>
        <w:t> </w:t>
      </w:r>
      <w:r>
        <w:rPr/>
        <w:t>prevalent</w:t>
      </w:r>
      <w:r>
        <w:rPr>
          <w:spacing w:val="-6"/>
        </w:rPr>
        <w:t> </w:t>
      </w:r>
      <w:r>
        <w:rPr/>
        <w:t>in</w:t>
      </w:r>
      <w:r>
        <w:rPr>
          <w:spacing w:val="-8"/>
        </w:rPr>
        <w:t> </w:t>
      </w:r>
      <w:r>
        <w:rPr/>
        <w:t>the</w:t>
      </w:r>
      <w:r>
        <w:rPr>
          <w:spacing w:val="-7"/>
        </w:rPr>
        <w:t> </w:t>
      </w:r>
      <w:r>
        <w:rPr/>
        <w:t>subject</w:t>
      </w:r>
      <w:r>
        <w:rPr>
          <w:spacing w:val="-5"/>
        </w:rPr>
        <w:t> </w:t>
      </w:r>
      <w:r>
        <w:rPr/>
        <w:t>sub</w:t>
      </w:r>
      <w:r>
        <w:rPr>
          <w:spacing w:val="-6"/>
        </w:rPr>
        <w:t> </w:t>
      </w:r>
      <w:r>
        <w:rPr>
          <w:w w:val="105"/>
        </w:rPr>
        <w:t>–</w:t>
      </w:r>
      <w:r>
        <w:rPr>
          <w:spacing w:val="-12"/>
          <w:w w:val="105"/>
        </w:rPr>
        <w:t> </w:t>
      </w:r>
      <w:r>
        <w:rPr/>
        <w:t>market,</w:t>
      </w:r>
      <w:r>
        <w:rPr>
          <w:spacing w:val="-6"/>
        </w:rPr>
        <w:t> </w:t>
      </w:r>
      <w:r>
        <w:rPr/>
        <w:t>we</w:t>
      </w:r>
      <w:r>
        <w:rPr>
          <w:spacing w:val="-7"/>
        </w:rPr>
        <w:t> </w:t>
      </w:r>
      <w:r>
        <w:rPr/>
        <w:t>have</w:t>
      </w:r>
      <w:r>
        <w:rPr>
          <w:spacing w:val="-6"/>
        </w:rPr>
        <w:t> </w:t>
      </w:r>
      <w:r>
        <w:rPr/>
        <w:t>considered</w:t>
      </w:r>
      <w:r>
        <w:rPr>
          <w:spacing w:val="-6"/>
        </w:rPr>
        <w:t> </w:t>
      </w:r>
      <w:r>
        <w:rPr/>
        <w:t>a</w:t>
      </w:r>
      <w:r>
        <w:rPr>
          <w:spacing w:val="-7"/>
        </w:rPr>
        <w:t> </w:t>
      </w:r>
      <w:r>
        <w:rPr/>
        <w:t>rent</w:t>
      </w:r>
      <w:r>
        <w:rPr>
          <w:spacing w:val="-8"/>
        </w:rPr>
        <w:t> </w:t>
      </w:r>
      <w:r>
        <w:rPr/>
        <w:t>free</w:t>
      </w:r>
      <w:r>
        <w:rPr>
          <w:spacing w:val="-7"/>
        </w:rPr>
        <w:t> </w:t>
      </w:r>
      <w:r>
        <w:rPr/>
        <w:t>period</w:t>
      </w:r>
      <w:r>
        <w:rPr>
          <w:spacing w:val="-6"/>
        </w:rPr>
        <w:t> </w:t>
      </w:r>
      <w:r>
        <w:rPr/>
        <w:t>of</w:t>
      </w:r>
      <w:r>
        <w:rPr>
          <w:spacing w:val="-6"/>
        </w:rPr>
        <w:t> </w:t>
      </w:r>
      <w:r>
        <w:rPr/>
        <w:t>3 months</w:t>
      </w:r>
      <w:r>
        <w:rPr>
          <w:spacing w:val="-18"/>
        </w:rPr>
        <w:t> </w:t>
      </w:r>
      <w:r>
        <w:rPr/>
        <w:t>for</w:t>
      </w:r>
      <w:r>
        <w:rPr>
          <w:spacing w:val="-19"/>
        </w:rPr>
        <w:t> </w:t>
      </w:r>
      <w:r>
        <w:rPr/>
        <w:t>the</w:t>
      </w:r>
      <w:r>
        <w:rPr>
          <w:spacing w:val="-21"/>
        </w:rPr>
        <w:t> </w:t>
      </w:r>
      <w:r>
        <w:rPr/>
        <w:t>subject</w:t>
      </w:r>
      <w:r>
        <w:rPr>
          <w:spacing w:val="-18"/>
        </w:rPr>
        <w:t> </w:t>
      </w:r>
      <w:r>
        <w:rPr/>
        <w:t>property</w:t>
      </w:r>
      <w:r>
        <w:rPr>
          <w:spacing w:val="-20"/>
        </w:rPr>
        <w:t> </w:t>
      </w:r>
      <w:r>
        <w:rPr/>
        <w:t>from</w:t>
      </w:r>
      <w:r>
        <w:rPr>
          <w:spacing w:val="-18"/>
        </w:rPr>
        <w:t> </w:t>
      </w:r>
      <w:r>
        <w:rPr/>
        <w:t>the</w:t>
      </w:r>
      <w:r>
        <w:rPr>
          <w:spacing w:val="-19"/>
        </w:rPr>
        <w:t> </w:t>
      </w:r>
      <w:r>
        <w:rPr/>
        <w:t>lease</w:t>
      </w:r>
      <w:r>
        <w:rPr>
          <w:spacing w:val="-19"/>
        </w:rPr>
        <w:t> </w:t>
      </w:r>
      <w:r>
        <w:rPr/>
        <w:t>commencement</w:t>
      </w:r>
      <w:r>
        <w:rPr>
          <w:spacing w:val="-18"/>
        </w:rPr>
        <w:t> </w:t>
      </w:r>
      <w:r>
        <w:rPr/>
        <w:t>date</w:t>
      </w:r>
      <w:r>
        <w:rPr>
          <w:spacing w:val="-18"/>
        </w:rPr>
        <w:t> </w:t>
      </w:r>
      <w:r>
        <w:rPr/>
        <w:t>(for</w:t>
      </w:r>
      <w:r>
        <w:rPr>
          <w:spacing w:val="-19"/>
        </w:rPr>
        <w:t> </w:t>
      </w:r>
      <w:r>
        <w:rPr/>
        <w:t>future</w:t>
      </w:r>
      <w:r>
        <w:rPr>
          <w:spacing w:val="-18"/>
        </w:rPr>
        <w:t> </w:t>
      </w:r>
      <w:r>
        <w:rPr/>
        <w:t>/</w:t>
      </w:r>
      <w:r>
        <w:rPr>
          <w:spacing w:val="-19"/>
        </w:rPr>
        <w:t> </w:t>
      </w:r>
      <w:r>
        <w:rPr/>
        <w:t>new</w:t>
      </w:r>
      <w:r>
        <w:rPr>
          <w:spacing w:val="-18"/>
        </w:rPr>
        <w:t> </w:t>
      </w:r>
      <w:r>
        <w:rPr/>
        <w:t>leases)</w:t>
      </w:r>
    </w:p>
    <w:p>
      <w:pPr>
        <w:pStyle w:val="BodyText"/>
        <w:spacing w:before="4"/>
        <w:rPr>
          <w:sz w:val="23"/>
        </w:rPr>
      </w:pPr>
    </w:p>
    <w:p>
      <w:pPr>
        <w:pStyle w:val="ListParagraph"/>
        <w:numPr>
          <w:ilvl w:val="3"/>
          <w:numId w:val="78"/>
        </w:numPr>
        <w:tabs>
          <w:tab w:pos="985" w:val="left" w:leader="none"/>
        </w:tabs>
        <w:spacing w:line="240" w:lineRule="auto" w:before="0" w:after="0"/>
        <w:ind w:left="984" w:right="0" w:hanging="865"/>
        <w:jc w:val="left"/>
        <w:rPr>
          <w:i/>
          <w:sz w:val="20"/>
        </w:rPr>
      </w:pPr>
      <w:r>
        <w:rPr>
          <w:i/>
          <w:color w:val="008000"/>
          <w:sz w:val="20"/>
        </w:rPr>
        <w:t>Brokerage</w:t>
      </w:r>
    </w:p>
    <w:p>
      <w:pPr>
        <w:pStyle w:val="BodyText"/>
        <w:spacing w:before="1"/>
        <w:rPr>
          <w:i/>
        </w:rPr>
      </w:pPr>
    </w:p>
    <w:p>
      <w:pPr>
        <w:pStyle w:val="BodyText"/>
        <w:spacing w:line="319" w:lineRule="auto"/>
        <w:ind w:left="682" w:right="115"/>
        <w:jc w:val="both"/>
      </w:pPr>
      <w:r>
        <w:rPr/>
        <w:t>Based</w:t>
      </w:r>
      <w:r>
        <w:rPr>
          <w:spacing w:val="-14"/>
        </w:rPr>
        <w:t> </w:t>
      </w:r>
      <w:r>
        <w:rPr/>
        <w:t>on</w:t>
      </w:r>
      <w:r>
        <w:rPr>
          <w:spacing w:val="-13"/>
        </w:rPr>
        <w:t> </w:t>
      </w:r>
      <w:r>
        <w:rPr/>
        <w:t>prevalent</w:t>
      </w:r>
      <w:r>
        <w:rPr>
          <w:spacing w:val="-11"/>
        </w:rPr>
        <w:t> </w:t>
      </w:r>
      <w:r>
        <w:rPr/>
        <w:t>market</w:t>
      </w:r>
      <w:r>
        <w:rPr>
          <w:spacing w:val="-12"/>
        </w:rPr>
        <w:t> </w:t>
      </w:r>
      <w:r>
        <w:rPr/>
        <w:t>dynamics,</w:t>
      </w:r>
      <w:r>
        <w:rPr>
          <w:spacing w:val="-15"/>
        </w:rPr>
        <w:t> </w:t>
      </w:r>
      <w:r>
        <w:rPr/>
        <w:t>we</w:t>
      </w:r>
      <w:r>
        <w:rPr>
          <w:spacing w:val="-12"/>
        </w:rPr>
        <w:t> </w:t>
      </w:r>
      <w:r>
        <w:rPr/>
        <w:t>have</w:t>
      </w:r>
      <w:r>
        <w:rPr>
          <w:spacing w:val="-13"/>
        </w:rPr>
        <w:t> </w:t>
      </w:r>
      <w:r>
        <w:rPr/>
        <w:t>considered</w:t>
      </w:r>
      <w:r>
        <w:rPr>
          <w:spacing w:val="-13"/>
        </w:rPr>
        <w:t> </w:t>
      </w:r>
      <w:r>
        <w:rPr/>
        <w:t>brokerage</w:t>
      </w:r>
      <w:r>
        <w:rPr>
          <w:spacing w:val="-13"/>
        </w:rPr>
        <w:t> </w:t>
      </w:r>
      <w:r>
        <w:rPr/>
        <w:t>equivalent</w:t>
      </w:r>
      <w:r>
        <w:rPr>
          <w:spacing w:val="-12"/>
        </w:rPr>
        <w:t> </w:t>
      </w:r>
      <w:r>
        <w:rPr/>
        <w:t>to</w:t>
      </w:r>
      <w:r>
        <w:rPr>
          <w:spacing w:val="-7"/>
        </w:rPr>
        <w:t> </w:t>
      </w:r>
      <w:r>
        <w:rPr/>
        <w:t>2</w:t>
      </w:r>
      <w:r>
        <w:rPr>
          <w:spacing w:val="-13"/>
        </w:rPr>
        <w:t> </w:t>
      </w:r>
      <w:r>
        <w:rPr/>
        <w:t>months</w:t>
      </w:r>
      <w:r>
        <w:rPr>
          <w:spacing w:val="-11"/>
        </w:rPr>
        <w:t> </w:t>
      </w:r>
      <w:r>
        <w:rPr/>
        <w:t>of</w:t>
      </w:r>
      <w:r>
        <w:rPr>
          <w:spacing w:val="-13"/>
        </w:rPr>
        <w:t> </w:t>
      </w:r>
      <w:r>
        <w:rPr/>
        <w:t>rental income for future / new</w:t>
      </w:r>
      <w:r>
        <w:rPr>
          <w:spacing w:val="-18"/>
        </w:rPr>
        <w:t> </w:t>
      </w:r>
      <w:r>
        <w:rPr/>
        <w:t>leases</w:t>
      </w:r>
    </w:p>
    <w:p>
      <w:pPr>
        <w:pStyle w:val="BodyText"/>
        <w:rPr>
          <w:sz w:val="21"/>
        </w:rPr>
      </w:pPr>
    </w:p>
    <w:p>
      <w:pPr>
        <w:pStyle w:val="ListParagraph"/>
        <w:numPr>
          <w:ilvl w:val="2"/>
          <w:numId w:val="14"/>
        </w:numPr>
        <w:tabs>
          <w:tab w:pos="841" w:val="left" w:leader="none"/>
        </w:tabs>
        <w:spacing w:line="240" w:lineRule="auto" w:before="1" w:after="0"/>
        <w:ind w:left="840" w:right="0" w:hanging="721"/>
        <w:jc w:val="left"/>
        <w:rPr>
          <w:sz w:val="22"/>
        </w:rPr>
      </w:pPr>
      <w:bookmarkStart w:name="_bookmark293" w:id="572"/>
      <w:bookmarkEnd w:id="572"/>
      <w:r>
        <w:rPr/>
      </w:r>
      <w:bookmarkStart w:name="_bookmark293" w:id="573"/>
      <w:bookmarkEnd w:id="573"/>
      <w:r>
        <w:rPr>
          <w:color w:val="1F664D"/>
          <w:sz w:val="22"/>
        </w:rPr>
        <w:t>Ca</w:t>
      </w:r>
      <w:r>
        <w:rPr>
          <w:color w:val="1F664D"/>
          <w:sz w:val="22"/>
        </w:rPr>
        <w:t>pitalization</w:t>
      </w:r>
      <w:r>
        <w:rPr>
          <w:color w:val="1F664D"/>
          <w:spacing w:val="-2"/>
          <w:sz w:val="22"/>
        </w:rPr>
        <w:t> </w:t>
      </w:r>
      <w:r>
        <w:rPr>
          <w:color w:val="1F664D"/>
          <w:sz w:val="22"/>
        </w:rPr>
        <w:t>Rates</w:t>
      </w:r>
    </w:p>
    <w:p>
      <w:pPr>
        <w:pStyle w:val="BodyText"/>
        <w:spacing w:before="207"/>
        <w:ind w:left="751"/>
        <w:jc w:val="both"/>
      </w:pPr>
      <w:r>
        <w:rPr/>
        <w:t>As highlighted in section 3.3, the cap rate adopted for the office space is 8.25%.</w:t>
      </w:r>
    </w:p>
    <w:p>
      <w:pPr>
        <w:pStyle w:val="BodyText"/>
        <w:spacing w:before="3"/>
        <w:rPr>
          <w:sz w:val="28"/>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94" w:id="574"/>
      <w:bookmarkEnd w:id="574"/>
      <w:r>
        <w:rPr/>
      </w:r>
      <w:bookmarkStart w:name="_bookmark294" w:id="575"/>
      <w:bookmarkEnd w:id="575"/>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8"/>
        <w:ind w:left="751" w:right="114"/>
        <w:jc w:val="both"/>
      </w:pPr>
      <w:r>
        <w:rPr/>
        <w:t>For</w:t>
      </w:r>
      <w:r>
        <w:rPr>
          <w:spacing w:val="-6"/>
        </w:rPr>
        <w:t> </w:t>
      </w:r>
      <w:r>
        <w:rPr/>
        <w:t>discounting</w:t>
      </w:r>
      <w:r>
        <w:rPr>
          <w:spacing w:val="-5"/>
        </w:rPr>
        <w:t> </w:t>
      </w:r>
      <w:r>
        <w:rPr/>
        <w:t>the</w:t>
      </w:r>
      <w:r>
        <w:rPr>
          <w:spacing w:val="-6"/>
        </w:rPr>
        <w:t> </w:t>
      </w:r>
      <w:r>
        <w:rPr/>
        <w:t>cash</w:t>
      </w:r>
      <w:r>
        <w:rPr>
          <w:spacing w:val="-7"/>
        </w:rPr>
        <w:t> </w:t>
      </w:r>
      <w:r>
        <w:rPr/>
        <w:t>flows,</w:t>
      </w:r>
      <w:r>
        <w:rPr>
          <w:spacing w:val="-6"/>
        </w:rPr>
        <w:t> </w:t>
      </w:r>
      <w:r>
        <w:rPr/>
        <w:t>the</w:t>
      </w:r>
      <w:r>
        <w:rPr>
          <w:spacing w:val="-6"/>
        </w:rPr>
        <w:t> </w:t>
      </w:r>
      <w:r>
        <w:rPr/>
        <w:t>appropriate</w:t>
      </w:r>
      <w:r>
        <w:rPr>
          <w:spacing w:val="-5"/>
        </w:rPr>
        <w:t> </w:t>
      </w:r>
      <w:r>
        <w:rPr/>
        <w:t>discounting</w:t>
      </w:r>
      <w:r>
        <w:rPr>
          <w:spacing w:val="-4"/>
        </w:rPr>
        <w:t> </w:t>
      </w:r>
      <w:r>
        <w:rPr/>
        <w:t>rate</w:t>
      </w:r>
      <w:r>
        <w:rPr>
          <w:spacing w:val="-6"/>
        </w:rPr>
        <w:t> </w:t>
      </w:r>
      <w:r>
        <w:rPr/>
        <w:t>has</w:t>
      </w:r>
      <w:r>
        <w:rPr>
          <w:spacing w:val="-4"/>
        </w:rPr>
        <w:t> </w:t>
      </w:r>
      <w:r>
        <w:rPr/>
        <w:t>been</w:t>
      </w:r>
      <w:r>
        <w:rPr>
          <w:spacing w:val="-6"/>
        </w:rPr>
        <w:t> </w:t>
      </w:r>
      <w:r>
        <w:rPr/>
        <w:t>calculated</w:t>
      </w:r>
      <w:r>
        <w:rPr>
          <w:spacing w:val="-5"/>
        </w:rPr>
        <w:t> </w:t>
      </w:r>
      <w:r>
        <w:rPr/>
        <w:t>on</w:t>
      </w:r>
      <w:r>
        <w:rPr>
          <w:spacing w:val="-6"/>
        </w:rPr>
        <w:t> </w:t>
      </w:r>
      <w:r>
        <w:rPr/>
        <w:t>the</w:t>
      </w:r>
      <w:r>
        <w:rPr>
          <w:spacing w:val="-4"/>
        </w:rPr>
        <w:t> </w:t>
      </w:r>
      <w:r>
        <w:rPr/>
        <w:t>basis</w:t>
      </w:r>
      <w:r>
        <w:rPr>
          <w:spacing w:val="-7"/>
        </w:rPr>
        <w:t> </w:t>
      </w:r>
      <w:r>
        <w:rPr/>
        <w:t>of estimated ‘Weighted Average Cost of Capital’ (WACC). The detailed analysis of WACC rate adopted for</w:t>
      </w:r>
      <w:r>
        <w:rPr>
          <w:spacing w:val="-9"/>
        </w:rPr>
        <w:t> </w:t>
      </w:r>
      <w:r>
        <w:rPr/>
        <w:t>the</w:t>
      </w:r>
      <w:r>
        <w:rPr>
          <w:spacing w:val="-9"/>
        </w:rPr>
        <w:t> </w:t>
      </w:r>
      <w:r>
        <w:rPr/>
        <w:t>subject</w:t>
      </w:r>
      <w:r>
        <w:rPr>
          <w:spacing w:val="-10"/>
        </w:rPr>
        <w:t> </w:t>
      </w:r>
      <w:r>
        <w:rPr/>
        <w:t>property</w:t>
      </w:r>
      <w:r>
        <w:rPr>
          <w:spacing w:val="-6"/>
        </w:rPr>
        <w:t> </w:t>
      </w:r>
      <w:r>
        <w:rPr/>
        <w:t>has</w:t>
      </w:r>
      <w:r>
        <w:rPr>
          <w:spacing w:val="-7"/>
        </w:rPr>
        <w:t> </w:t>
      </w:r>
      <w:r>
        <w:rPr/>
        <w:t>been</w:t>
      </w:r>
      <w:r>
        <w:rPr>
          <w:spacing w:val="-9"/>
        </w:rPr>
        <w:t> </w:t>
      </w:r>
      <w:r>
        <w:rPr/>
        <w:t>detailed</w:t>
      </w:r>
      <w:r>
        <w:rPr>
          <w:spacing w:val="-8"/>
        </w:rPr>
        <w:t> </w:t>
      </w:r>
      <w:r>
        <w:rPr/>
        <w:t>in</w:t>
      </w:r>
      <w:r>
        <w:rPr>
          <w:spacing w:val="-7"/>
        </w:rPr>
        <w:t> </w:t>
      </w:r>
      <w:r>
        <w:rPr/>
        <w:t>Section</w:t>
      </w:r>
      <w:r>
        <w:rPr>
          <w:spacing w:val="-9"/>
        </w:rPr>
        <w:t> </w:t>
      </w:r>
      <w:r>
        <w:rPr/>
        <w:t>3.4</w:t>
      </w:r>
      <w:r>
        <w:rPr>
          <w:spacing w:val="-9"/>
        </w:rPr>
        <w:t> </w:t>
      </w:r>
      <w:r>
        <w:rPr/>
        <w:t>of</w:t>
      </w:r>
      <w:r>
        <w:rPr>
          <w:spacing w:val="-7"/>
        </w:rPr>
        <w:t> </w:t>
      </w:r>
      <w:r>
        <w:rPr/>
        <w:t>this</w:t>
      </w:r>
      <w:r>
        <w:rPr>
          <w:spacing w:val="-7"/>
        </w:rPr>
        <w:t> </w:t>
      </w:r>
      <w:r>
        <w:rPr/>
        <w:t>report.</w:t>
      </w:r>
    </w:p>
    <w:p>
      <w:pPr>
        <w:spacing w:after="0" w:line="321" w:lineRule="auto"/>
        <w:jc w:val="both"/>
        <w:sectPr>
          <w:pgSz w:w="11910" w:h="16840"/>
          <w:pgMar w:header="720" w:footer="921" w:top="1660" w:bottom="1120" w:left="600" w:right="600"/>
        </w:sectPr>
      </w:pPr>
    </w:p>
    <w:p>
      <w:pPr>
        <w:pStyle w:val="BodyText"/>
        <w:spacing w:before="7"/>
        <w:rPr>
          <w:sz w:val="9"/>
        </w:rPr>
      </w:pPr>
    </w:p>
    <w:p>
      <w:pPr>
        <w:pStyle w:val="BodyText"/>
        <w:spacing w:before="106"/>
        <w:ind w:left="120"/>
      </w:pPr>
      <w:bookmarkStart w:name="_bookmark295" w:id="576"/>
      <w:bookmarkEnd w:id="576"/>
      <w:r>
        <w:rPr/>
      </w:r>
      <w:r>
        <w:rPr>
          <w:color w:val="1F6647"/>
        </w:rPr>
        <w:t>13.5 Value of the Subject Property</w:t>
      </w:r>
    </w:p>
    <w:p>
      <w:pPr>
        <w:pStyle w:val="BodyText"/>
        <w:spacing w:before="208"/>
        <w:ind w:left="751"/>
      </w:pPr>
      <w:r>
        <w:rPr/>
        <w:t>Based on the above mentioned analysis, the value of the subject property is estimated as follows:</w:t>
      </w:r>
    </w:p>
    <w:p>
      <w:pPr>
        <w:pStyle w:val="BodyText"/>
        <w:spacing w:before="1"/>
        <w:rPr>
          <w:sz w:val="29"/>
        </w:rPr>
      </w:pPr>
    </w:p>
    <w:tbl>
      <w:tblPr>
        <w:tblW w:w="0" w:type="auto"/>
        <w:jc w:val="left"/>
        <w:tblInd w:w="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40"/>
        <w:gridCol w:w="2596"/>
        <w:gridCol w:w="1859"/>
        <w:gridCol w:w="2484"/>
      </w:tblGrid>
      <w:tr>
        <w:trPr>
          <w:trHeight w:val="344" w:hRule="atLeast"/>
        </w:trPr>
        <w:tc>
          <w:tcPr>
            <w:tcW w:w="3540" w:type="dxa"/>
            <w:tcBorders>
              <w:top w:val="single" w:sz="12" w:space="0" w:color="1F6B16"/>
              <w:bottom w:val="single" w:sz="6" w:space="0" w:color="69BD28"/>
            </w:tcBorders>
            <w:shd w:val="clear" w:color="auto" w:fill="006A4D"/>
          </w:tcPr>
          <w:p>
            <w:pPr>
              <w:pStyle w:val="TableParagraph"/>
              <w:spacing w:before="56"/>
              <w:ind w:left="1006" w:right="1033"/>
              <w:rPr>
                <w:sz w:val="20"/>
              </w:rPr>
            </w:pPr>
            <w:r>
              <w:rPr>
                <w:color w:val="FFFFFF"/>
                <w:sz w:val="20"/>
              </w:rPr>
              <w:t>Component</w:t>
            </w:r>
          </w:p>
        </w:tc>
        <w:tc>
          <w:tcPr>
            <w:tcW w:w="2596" w:type="dxa"/>
            <w:tcBorders>
              <w:top w:val="single" w:sz="12" w:space="0" w:color="1F6B16"/>
              <w:bottom w:val="single" w:sz="6" w:space="0" w:color="69BD28"/>
            </w:tcBorders>
            <w:shd w:val="clear" w:color="auto" w:fill="006A4D"/>
          </w:tcPr>
          <w:p>
            <w:pPr>
              <w:pStyle w:val="TableParagraph"/>
              <w:spacing w:before="56"/>
              <w:ind w:left="1024" w:right="212"/>
              <w:rPr>
                <w:sz w:val="20"/>
              </w:rPr>
            </w:pPr>
            <w:r>
              <w:rPr>
                <w:color w:val="FFFFFF"/>
                <w:sz w:val="20"/>
              </w:rPr>
              <w:t>Value (INR Mn)</w:t>
            </w:r>
          </w:p>
        </w:tc>
        <w:tc>
          <w:tcPr>
            <w:tcW w:w="1859" w:type="dxa"/>
            <w:tcBorders>
              <w:top w:val="single" w:sz="12" w:space="0" w:color="1F6B16"/>
              <w:bottom w:val="single" w:sz="6" w:space="0" w:color="69BD28"/>
            </w:tcBorders>
            <w:shd w:val="clear" w:color="auto" w:fill="006A4D"/>
          </w:tcPr>
          <w:p>
            <w:pPr>
              <w:pStyle w:val="TableParagraph"/>
              <w:jc w:val="left"/>
              <w:rPr>
                <w:rFonts w:ascii="Times New Roman"/>
                <w:sz w:val="18"/>
              </w:rPr>
            </w:pPr>
          </w:p>
        </w:tc>
        <w:tc>
          <w:tcPr>
            <w:tcW w:w="2484" w:type="dxa"/>
            <w:tcBorders>
              <w:top w:val="single" w:sz="12" w:space="0" w:color="1F6B16"/>
              <w:bottom w:val="single" w:sz="6" w:space="0" w:color="69BD28"/>
            </w:tcBorders>
            <w:shd w:val="clear" w:color="auto" w:fill="006A4D"/>
          </w:tcPr>
          <w:p>
            <w:pPr>
              <w:pStyle w:val="TableParagraph"/>
              <w:spacing w:before="56"/>
              <w:ind w:left="389"/>
              <w:jc w:val="left"/>
              <w:rPr>
                <w:sz w:val="20"/>
              </w:rPr>
            </w:pPr>
            <w:r>
              <w:rPr>
                <w:color w:val="FFFFFF"/>
                <w:w w:val="110"/>
                <w:sz w:val="20"/>
              </w:rPr>
              <w:t>% Share</w:t>
            </w:r>
          </w:p>
        </w:tc>
      </w:tr>
      <w:tr>
        <w:trPr>
          <w:trHeight w:val="364" w:hRule="atLeast"/>
        </w:trPr>
        <w:tc>
          <w:tcPr>
            <w:tcW w:w="3540" w:type="dxa"/>
            <w:tcBorders>
              <w:top w:val="single" w:sz="6" w:space="0" w:color="69BD28"/>
            </w:tcBorders>
          </w:tcPr>
          <w:p>
            <w:pPr>
              <w:pStyle w:val="TableParagraph"/>
              <w:spacing w:before="80"/>
              <w:ind w:left="1008" w:right="1033"/>
              <w:rPr>
                <w:sz w:val="18"/>
              </w:rPr>
            </w:pPr>
            <w:r>
              <w:rPr>
                <w:sz w:val="18"/>
              </w:rPr>
              <w:t>Completed Blocks</w:t>
            </w:r>
          </w:p>
        </w:tc>
        <w:tc>
          <w:tcPr>
            <w:tcW w:w="2596" w:type="dxa"/>
            <w:tcBorders>
              <w:top w:val="single" w:sz="6" w:space="0" w:color="69BD28"/>
            </w:tcBorders>
          </w:tcPr>
          <w:p>
            <w:pPr>
              <w:pStyle w:val="TableParagraph"/>
              <w:spacing w:before="80"/>
              <w:ind w:left="1024" w:right="209"/>
              <w:rPr>
                <w:sz w:val="18"/>
              </w:rPr>
            </w:pPr>
            <w:r>
              <w:rPr>
                <w:w w:val="105"/>
                <w:sz w:val="18"/>
              </w:rPr>
              <w:t>8,696</w:t>
            </w:r>
          </w:p>
        </w:tc>
        <w:tc>
          <w:tcPr>
            <w:tcW w:w="1859" w:type="dxa"/>
            <w:tcBorders>
              <w:top w:val="single" w:sz="6" w:space="0" w:color="69BD28"/>
            </w:tcBorders>
          </w:tcPr>
          <w:p>
            <w:pPr>
              <w:pStyle w:val="TableParagraph"/>
              <w:jc w:val="left"/>
              <w:rPr>
                <w:rFonts w:ascii="Times New Roman"/>
                <w:sz w:val="18"/>
              </w:rPr>
            </w:pPr>
          </w:p>
        </w:tc>
        <w:tc>
          <w:tcPr>
            <w:tcW w:w="2484" w:type="dxa"/>
            <w:tcBorders>
              <w:top w:val="single" w:sz="6" w:space="0" w:color="69BD28"/>
            </w:tcBorders>
          </w:tcPr>
          <w:p>
            <w:pPr>
              <w:pStyle w:val="TableParagraph"/>
              <w:spacing w:before="80"/>
              <w:ind w:left="437"/>
              <w:jc w:val="left"/>
              <w:rPr>
                <w:sz w:val="18"/>
              </w:rPr>
            </w:pPr>
            <w:r>
              <w:rPr>
                <w:w w:val="110"/>
                <w:sz w:val="18"/>
              </w:rPr>
              <w:t>100.0%</w:t>
            </w:r>
          </w:p>
        </w:tc>
      </w:tr>
      <w:tr>
        <w:trPr>
          <w:trHeight w:val="393" w:hRule="atLeast"/>
        </w:trPr>
        <w:tc>
          <w:tcPr>
            <w:tcW w:w="3540" w:type="dxa"/>
            <w:shd w:val="clear" w:color="auto" w:fill="69BD28"/>
          </w:tcPr>
          <w:p>
            <w:pPr>
              <w:pStyle w:val="TableParagraph"/>
              <w:spacing w:before="95"/>
              <w:ind w:left="1009" w:right="1033"/>
              <w:rPr>
                <w:b/>
                <w:sz w:val="18"/>
              </w:rPr>
            </w:pPr>
            <w:r>
              <w:rPr>
                <w:b/>
                <w:color w:val="FFFFFF"/>
                <w:w w:val="110"/>
                <w:sz w:val="18"/>
              </w:rPr>
              <w:t>Embassy Galaxy</w:t>
            </w:r>
          </w:p>
        </w:tc>
        <w:tc>
          <w:tcPr>
            <w:tcW w:w="2596" w:type="dxa"/>
            <w:shd w:val="clear" w:color="auto" w:fill="69BD28"/>
          </w:tcPr>
          <w:p>
            <w:pPr>
              <w:pStyle w:val="TableParagraph"/>
              <w:jc w:val="left"/>
              <w:rPr>
                <w:rFonts w:ascii="Times New Roman"/>
                <w:sz w:val="18"/>
              </w:rPr>
            </w:pPr>
          </w:p>
        </w:tc>
        <w:tc>
          <w:tcPr>
            <w:tcW w:w="1859" w:type="dxa"/>
            <w:shd w:val="clear" w:color="auto" w:fill="69BD28"/>
          </w:tcPr>
          <w:p>
            <w:pPr>
              <w:pStyle w:val="TableParagraph"/>
              <w:spacing w:before="95"/>
              <w:ind w:left="236"/>
              <w:jc w:val="left"/>
              <w:rPr>
                <w:b/>
                <w:sz w:val="18"/>
              </w:rPr>
            </w:pPr>
            <w:r>
              <w:rPr>
                <w:b/>
                <w:color w:val="FFFFFF"/>
                <w:w w:val="110"/>
                <w:sz w:val="18"/>
              </w:rPr>
              <w:t>INR 8,696 Mn</w:t>
            </w:r>
          </w:p>
        </w:tc>
        <w:tc>
          <w:tcPr>
            <w:tcW w:w="2484" w:type="dxa"/>
            <w:shd w:val="clear" w:color="auto" w:fill="69BD28"/>
          </w:tcPr>
          <w:p>
            <w:pPr>
              <w:pStyle w:val="TableParagraph"/>
              <w:jc w:val="left"/>
              <w:rPr>
                <w:rFonts w:ascii="Times New Roman"/>
                <w:sz w:val="18"/>
              </w:rPr>
            </w:pPr>
          </w:p>
        </w:tc>
      </w:tr>
    </w:tbl>
    <w:p>
      <w:pPr>
        <w:spacing w:after="0"/>
        <w:jc w:val="left"/>
        <w:rPr>
          <w:rFonts w:ascii="Times New Roman"/>
          <w:sz w:val="18"/>
        </w:rPr>
        <w:sectPr>
          <w:pgSz w:w="11910" w:h="16840"/>
          <w:pgMar w:header="720" w:footer="921" w:top="1660" w:bottom="1120" w:left="600" w:right="600"/>
        </w:sectPr>
      </w:pPr>
    </w:p>
    <w:p>
      <w:pPr>
        <w:pStyle w:val="BodyText"/>
        <w:spacing w:before="7"/>
        <w:rPr>
          <w:sz w:val="9"/>
        </w:rPr>
      </w:pPr>
    </w:p>
    <w:p>
      <w:pPr>
        <w:pStyle w:val="Heading5"/>
        <w:numPr>
          <w:ilvl w:val="0"/>
          <w:numId w:val="14"/>
        </w:numPr>
        <w:tabs>
          <w:tab w:pos="553" w:val="left" w:leader="none"/>
        </w:tabs>
        <w:spacing w:line="240" w:lineRule="auto" w:before="106" w:after="0"/>
        <w:ind w:left="552" w:right="0" w:hanging="433"/>
        <w:jc w:val="left"/>
        <w:rPr>
          <w:rFonts w:ascii="Arial"/>
        </w:rPr>
      </w:pPr>
      <w:bookmarkStart w:name="_bookmark296" w:id="577"/>
      <w:bookmarkEnd w:id="577"/>
      <w:r>
        <w:rPr>
          <w:b w:val="0"/>
        </w:rPr>
      </w:r>
      <w:bookmarkStart w:name="_bookmark296" w:id="578"/>
      <w:bookmarkEnd w:id="578"/>
      <w:r>
        <w:rPr>
          <w:rFonts w:ascii="Arial"/>
          <w:color w:val="1F664D"/>
        </w:rPr>
        <w:t>E</w:t>
      </w:r>
      <w:r>
        <w:rPr>
          <w:rFonts w:ascii="Arial"/>
          <w:color w:val="1F664D"/>
        </w:rPr>
        <w:t>mbassy</w:t>
      </w:r>
      <w:r>
        <w:rPr>
          <w:rFonts w:ascii="Arial"/>
          <w:color w:val="1F664D"/>
          <w:spacing w:val="4"/>
        </w:rPr>
        <w:t> </w:t>
      </w:r>
      <w:r>
        <w:rPr>
          <w:rFonts w:ascii="Arial"/>
          <w:color w:val="1F664D"/>
        </w:rPr>
        <w:t>GolfLinks</w:t>
      </w:r>
    </w:p>
    <w:p>
      <w:pPr>
        <w:pStyle w:val="BodyText"/>
        <w:spacing w:before="8"/>
        <w:rPr>
          <w:rFonts w:ascii="Arial"/>
          <w:b/>
          <w:sz w:val="28"/>
        </w:rPr>
      </w:pPr>
    </w:p>
    <w:p>
      <w:pPr>
        <w:pStyle w:val="ListParagraph"/>
        <w:numPr>
          <w:ilvl w:val="1"/>
          <w:numId w:val="14"/>
        </w:numPr>
        <w:tabs>
          <w:tab w:pos="697" w:val="left" w:leader="none"/>
        </w:tabs>
        <w:spacing w:line="240" w:lineRule="auto" w:before="1" w:after="0"/>
        <w:ind w:left="696" w:right="0" w:hanging="577"/>
        <w:jc w:val="left"/>
        <w:rPr>
          <w:color w:val="1F6647"/>
          <w:sz w:val="22"/>
        </w:rPr>
      </w:pPr>
      <w:bookmarkStart w:name="_bookmark297" w:id="579"/>
      <w:bookmarkEnd w:id="579"/>
      <w:r>
        <w:rPr/>
      </w:r>
      <w:bookmarkStart w:name="_bookmark297" w:id="580"/>
      <w:bookmarkEnd w:id="580"/>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5"/>
        <w:rPr>
          <w:sz w:val="17"/>
        </w:rPr>
      </w:pPr>
    </w:p>
    <w:tbl>
      <w:tblPr>
        <w:tblW w:w="0" w:type="auto"/>
        <w:jc w:val="left"/>
        <w:tblInd w:w="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15"/>
        <w:gridCol w:w="7455"/>
      </w:tblGrid>
      <w:tr>
        <w:trPr>
          <w:trHeight w:val="251" w:hRule="atLeast"/>
        </w:trPr>
        <w:tc>
          <w:tcPr>
            <w:tcW w:w="10470" w:type="dxa"/>
            <w:gridSpan w:val="2"/>
            <w:tcBorders>
              <w:top w:val="single" w:sz="12" w:space="0" w:color="1F6B16"/>
              <w:bottom w:val="single" w:sz="6" w:space="0" w:color="69BD28"/>
            </w:tcBorders>
            <w:shd w:val="clear" w:color="auto" w:fill="006A4D"/>
          </w:tcPr>
          <w:p>
            <w:pPr>
              <w:pStyle w:val="TableParagraph"/>
              <w:spacing w:line="209" w:lineRule="exact" w:before="22"/>
              <w:ind w:left="4469" w:right="4469"/>
              <w:rPr>
                <w:b/>
                <w:sz w:val="18"/>
              </w:rPr>
            </w:pPr>
            <w:r>
              <w:rPr>
                <w:b/>
                <w:color w:val="FFFFFF"/>
                <w:w w:val="105"/>
                <w:sz w:val="18"/>
              </w:rPr>
              <w:t>Brief Description</w:t>
            </w:r>
          </w:p>
        </w:tc>
      </w:tr>
      <w:tr>
        <w:trPr>
          <w:trHeight w:val="369" w:hRule="atLeast"/>
        </w:trPr>
        <w:tc>
          <w:tcPr>
            <w:tcW w:w="3015" w:type="dxa"/>
            <w:tcBorders>
              <w:top w:val="single" w:sz="6" w:space="0" w:color="69BD28"/>
            </w:tcBorders>
            <w:shd w:val="clear" w:color="auto" w:fill="006A4D"/>
          </w:tcPr>
          <w:p>
            <w:pPr>
              <w:pStyle w:val="TableParagraph"/>
              <w:spacing w:before="68"/>
              <w:ind w:left="407" w:right="422"/>
              <w:rPr>
                <w:sz w:val="20"/>
              </w:rPr>
            </w:pPr>
            <w:r>
              <w:rPr>
                <w:color w:val="FFFFFF"/>
                <w:sz w:val="20"/>
              </w:rPr>
              <w:t>Particulars</w:t>
            </w:r>
          </w:p>
        </w:tc>
        <w:tc>
          <w:tcPr>
            <w:tcW w:w="7455" w:type="dxa"/>
            <w:tcBorders>
              <w:top w:val="single" w:sz="6" w:space="0" w:color="69BD28"/>
              <w:bottom w:val="single" w:sz="6" w:space="0" w:color="69BD28"/>
            </w:tcBorders>
            <w:shd w:val="clear" w:color="auto" w:fill="006A4D"/>
          </w:tcPr>
          <w:p>
            <w:pPr>
              <w:pStyle w:val="TableParagraph"/>
              <w:spacing w:before="80"/>
              <w:ind w:left="1540" w:right="1550"/>
              <w:rPr>
                <w:b/>
                <w:sz w:val="18"/>
              </w:rPr>
            </w:pPr>
            <w:r>
              <w:rPr>
                <w:b/>
                <w:color w:val="FFFFFF"/>
                <w:w w:val="110"/>
                <w:sz w:val="18"/>
              </w:rPr>
              <w:t>Details</w:t>
            </w:r>
          </w:p>
        </w:tc>
      </w:tr>
      <w:tr>
        <w:trPr>
          <w:trHeight w:val="635" w:hRule="atLeast"/>
        </w:trPr>
        <w:tc>
          <w:tcPr>
            <w:tcW w:w="3015" w:type="dxa"/>
            <w:shd w:val="clear" w:color="auto" w:fill="69BD28"/>
          </w:tcPr>
          <w:p>
            <w:pPr>
              <w:pStyle w:val="TableParagraph"/>
              <w:spacing w:before="5"/>
              <w:jc w:val="left"/>
              <w:rPr>
                <w:sz w:val="18"/>
              </w:rPr>
            </w:pPr>
          </w:p>
          <w:p>
            <w:pPr>
              <w:pStyle w:val="TableParagraph"/>
              <w:ind w:left="408" w:right="421"/>
              <w:rPr>
                <w:b/>
                <w:sz w:val="18"/>
              </w:rPr>
            </w:pPr>
            <w:r>
              <w:rPr>
                <w:b/>
                <w:color w:val="FFFFFF"/>
                <w:w w:val="110"/>
                <w:sz w:val="18"/>
              </w:rPr>
              <w:t>Property Name</w:t>
            </w:r>
          </w:p>
        </w:tc>
        <w:tc>
          <w:tcPr>
            <w:tcW w:w="7455" w:type="dxa"/>
            <w:tcBorders>
              <w:top w:val="single" w:sz="6" w:space="0" w:color="69BD28"/>
              <w:bottom w:val="single" w:sz="6" w:space="0" w:color="69BD28"/>
            </w:tcBorders>
          </w:tcPr>
          <w:p>
            <w:pPr>
              <w:pStyle w:val="TableParagraph"/>
              <w:spacing w:before="5"/>
              <w:jc w:val="left"/>
              <w:rPr>
                <w:sz w:val="18"/>
              </w:rPr>
            </w:pPr>
          </w:p>
          <w:p>
            <w:pPr>
              <w:pStyle w:val="TableParagraph"/>
              <w:ind w:left="1540" w:right="1550"/>
              <w:rPr>
                <w:sz w:val="18"/>
              </w:rPr>
            </w:pPr>
            <w:r>
              <w:rPr>
                <w:sz w:val="18"/>
              </w:rPr>
              <w:t>Embassy GolfLinks</w:t>
            </w:r>
          </w:p>
        </w:tc>
      </w:tr>
      <w:tr>
        <w:trPr>
          <w:trHeight w:val="565" w:hRule="atLeast"/>
        </w:trPr>
        <w:tc>
          <w:tcPr>
            <w:tcW w:w="3015" w:type="dxa"/>
            <w:shd w:val="clear" w:color="auto" w:fill="69BD28"/>
          </w:tcPr>
          <w:p>
            <w:pPr>
              <w:pStyle w:val="TableParagraph"/>
              <w:spacing w:before="178"/>
              <w:ind w:left="408" w:right="419"/>
              <w:rPr>
                <w:b/>
                <w:sz w:val="18"/>
              </w:rPr>
            </w:pPr>
            <w:r>
              <w:rPr>
                <w:b/>
                <w:color w:val="FFFFFF"/>
                <w:w w:val="110"/>
                <w:sz w:val="18"/>
              </w:rPr>
              <w:t>Address</w:t>
            </w:r>
          </w:p>
        </w:tc>
        <w:tc>
          <w:tcPr>
            <w:tcW w:w="7455" w:type="dxa"/>
            <w:tcBorders>
              <w:top w:val="single" w:sz="6" w:space="0" w:color="69BD28"/>
              <w:bottom w:val="single" w:sz="6" w:space="0" w:color="69BD28"/>
            </w:tcBorders>
          </w:tcPr>
          <w:p>
            <w:pPr>
              <w:pStyle w:val="TableParagraph"/>
              <w:spacing w:line="247" w:lineRule="auto" w:before="70"/>
              <w:ind w:left="2859" w:hanging="2082"/>
              <w:jc w:val="left"/>
              <w:rPr>
                <w:sz w:val="18"/>
              </w:rPr>
            </w:pPr>
            <w:r>
              <w:rPr>
                <w:sz w:val="18"/>
              </w:rPr>
              <w:t>Challaghatta</w:t>
            </w:r>
            <w:r>
              <w:rPr>
                <w:spacing w:val="-16"/>
                <w:sz w:val="18"/>
              </w:rPr>
              <w:t> </w:t>
            </w:r>
            <w:r>
              <w:rPr>
                <w:sz w:val="18"/>
              </w:rPr>
              <w:t>Village,</w:t>
            </w:r>
            <w:r>
              <w:rPr>
                <w:spacing w:val="-17"/>
                <w:sz w:val="18"/>
              </w:rPr>
              <w:t> </w:t>
            </w:r>
            <w:r>
              <w:rPr>
                <w:sz w:val="18"/>
              </w:rPr>
              <w:t>Varthur</w:t>
            </w:r>
            <w:r>
              <w:rPr>
                <w:spacing w:val="-16"/>
                <w:sz w:val="18"/>
              </w:rPr>
              <w:t> </w:t>
            </w:r>
            <w:r>
              <w:rPr>
                <w:sz w:val="18"/>
              </w:rPr>
              <w:t>Hobli,</w:t>
            </w:r>
            <w:r>
              <w:rPr>
                <w:spacing w:val="-16"/>
                <w:sz w:val="18"/>
              </w:rPr>
              <w:t> </w:t>
            </w:r>
            <w:r>
              <w:rPr>
                <w:sz w:val="18"/>
              </w:rPr>
              <w:t>Mahadevapura,</w:t>
            </w:r>
            <w:r>
              <w:rPr>
                <w:spacing w:val="-14"/>
                <w:sz w:val="18"/>
              </w:rPr>
              <w:t> </w:t>
            </w:r>
            <w:r>
              <w:rPr>
                <w:sz w:val="18"/>
              </w:rPr>
              <w:t>Bengaluru</w:t>
            </w:r>
            <w:r>
              <w:rPr>
                <w:spacing w:val="-15"/>
                <w:sz w:val="18"/>
              </w:rPr>
              <w:t> </w:t>
            </w:r>
            <w:r>
              <w:rPr>
                <w:sz w:val="18"/>
              </w:rPr>
              <w:t>East</w:t>
            </w:r>
            <w:r>
              <w:rPr>
                <w:spacing w:val="-18"/>
                <w:sz w:val="18"/>
              </w:rPr>
              <w:t> </w:t>
            </w:r>
            <w:r>
              <w:rPr>
                <w:sz w:val="18"/>
              </w:rPr>
              <w:t>Taluk, Bengaluru,</w:t>
            </w:r>
            <w:r>
              <w:rPr>
                <w:spacing w:val="-3"/>
                <w:sz w:val="18"/>
              </w:rPr>
              <w:t> </w:t>
            </w:r>
            <w:r>
              <w:rPr>
                <w:sz w:val="18"/>
              </w:rPr>
              <w:t>Karnataka</w:t>
            </w:r>
          </w:p>
        </w:tc>
      </w:tr>
      <w:tr>
        <w:trPr>
          <w:trHeight w:val="520" w:hRule="atLeast"/>
        </w:trPr>
        <w:tc>
          <w:tcPr>
            <w:tcW w:w="3015" w:type="dxa"/>
            <w:shd w:val="clear" w:color="auto" w:fill="69BD28"/>
          </w:tcPr>
          <w:p>
            <w:pPr>
              <w:pStyle w:val="TableParagraph"/>
              <w:spacing w:before="157"/>
              <w:ind w:left="408" w:right="419"/>
              <w:rPr>
                <w:b/>
                <w:sz w:val="18"/>
              </w:rPr>
            </w:pPr>
            <w:r>
              <w:rPr>
                <w:b/>
                <w:color w:val="FFFFFF"/>
                <w:w w:val="110"/>
                <w:sz w:val="18"/>
              </w:rPr>
              <w:t>Land Area</w:t>
            </w:r>
          </w:p>
        </w:tc>
        <w:tc>
          <w:tcPr>
            <w:tcW w:w="7455" w:type="dxa"/>
            <w:tcBorders>
              <w:top w:val="single" w:sz="6" w:space="0" w:color="69BD28"/>
              <w:bottom w:val="single" w:sz="6" w:space="0" w:color="69BD28"/>
            </w:tcBorders>
          </w:tcPr>
          <w:p>
            <w:pPr>
              <w:pStyle w:val="TableParagraph"/>
              <w:spacing w:line="244" w:lineRule="auto" w:before="49"/>
              <w:ind w:left="1173" w:right="115" w:hanging="524"/>
              <w:jc w:val="left"/>
              <w:rPr>
                <w:sz w:val="18"/>
              </w:rPr>
            </w:pPr>
            <w:r>
              <w:rPr>
                <w:sz w:val="18"/>
              </w:rPr>
              <w:t>Based</w:t>
            </w:r>
            <w:r>
              <w:rPr>
                <w:spacing w:val="-27"/>
                <w:sz w:val="18"/>
              </w:rPr>
              <w:t> </w:t>
            </w:r>
            <w:r>
              <w:rPr>
                <w:sz w:val="18"/>
              </w:rPr>
              <w:t>on</w:t>
            </w:r>
            <w:r>
              <w:rPr>
                <w:spacing w:val="-25"/>
                <w:sz w:val="18"/>
              </w:rPr>
              <w:t> </w:t>
            </w:r>
            <w:r>
              <w:rPr>
                <w:sz w:val="18"/>
              </w:rPr>
              <w:t>the</w:t>
            </w:r>
            <w:r>
              <w:rPr>
                <w:spacing w:val="-26"/>
                <w:sz w:val="18"/>
              </w:rPr>
              <w:t> </w:t>
            </w:r>
            <w:r>
              <w:rPr>
                <w:sz w:val="18"/>
              </w:rPr>
              <w:t>review</w:t>
            </w:r>
            <w:r>
              <w:rPr>
                <w:spacing w:val="-27"/>
                <w:sz w:val="18"/>
              </w:rPr>
              <w:t> </w:t>
            </w:r>
            <w:r>
              <w:rPr>
                <w:sz w:val="18"/>
              </w:rPr>
              <w:t>of</w:t>
            </w:r>
            <w:r>
              <w:rPr>
                <w:spacing w:val="-26"/>
                <w:sz w:val="18"/>
              </w:rPr>
              <w:t> </w:t>
            </w:r>
            <w:r>
              <w:rPr>
                <w:sz w:val="18"/>
              </w:rPr>
              <w:t>the</w:t>
            </w:r>
            <w:r>
              <w:rPr>
                <w:spacing w:val="-25"/>
                <w:sz w:val="18"/>
              </w:rPr>
              <w:t> </w:t>
            </w:r>
            <w:r>
              <w:rPr>
                <w:sz w:val="18"/>
              </w:rPr>
              <w:t>title</w:t>
            </w:r>
            <w:r>
              <w:rPr>
                <w:spacing w:val="-26"/>
                <w:sz w:val="18"/>
              </w:rPr>
              <w:t> </w:t>
            </w:r>
            <w:r>
              <w:rPr>
                <w:sz w:val="18"/>
              </w:rPr>
              <w:t>report,</w:t>
            </w:r>
            <w:r>
              <w:rPr>
                <w:spacing w:val="-26"/>
                <w:sz w:val="18"/>
              </w:rPr>
              <w:t> </w:t>
            </w:r>
            <w:r>
              <w:rPr>
                <w:sz w:val="18"/>
              </w:rPr>
              <w:t>we</w:t>
            </w:r>
            <w:r>
              <w:rPr>
                <w:spacing w:val="-26"/>
                <w:sz w:val="18"/>
              </w:rPr>
              <w:t> </w:t>
            </w:r>
            <w:r>
              <w:rPr>
                <w:sz w:val="18"/>
              </w:rPr>
              <w:t>understand</w:t>
            </w:r>
            <w:r>
              <w:rPr>
                <w:spacing w:val="-26"/>
                <w:sz w:val="18"/>
              </w:rPr>
              <w:t> </w:t>
            </w:r>
            <w:r>
              <w:rPr>
                <w:sz w:val="18"/>
              </w:rPr>
              <w:t>that</w:t>
            </w:r>
            <w:r>
              <w:rPr>
                <w:spacing w:val="-27"/>
                <w:sz w:val="18"/>
              </w:rPr>
              <w:t> </w:t>
            </w:r>
            <w:r>
              <w:rPr>
                <w:sz w:val="18"/>
              </w:rPr>
              <w:t>the</w:t>
            </w:r>
            <w:r>
              <w:rPr>
                <w:spacing w:val="-26"/>
                <w:sz w:val="18"/>
              </w:rPr>
              <w:t> </w:t>
            </w:r>
            <w:r>
              <w:rPr>
                <w:sz w:val="18"/>
              </w:rPr>
              <w:t>land</w:t>
            </w:r>
            <w:r>
              <w:rPr>
                <w:spacing w:val="-26"/>
                <w:sz w:val="18"/>
              </w:rPr>
              <w:t> </w:t>
            </w:r>
            <w:r>
              <w:rPr>
                <w:sz w:val="18"/>
              </w:rPr>
              <w:t>area</w:t>
            </w:r>
            <w:r>
              <w:rPr>
                <w:spacing w:val="-26"/>
                <w:sz w:val="18"/>
              </w:rPr>
              <w:t> </w:t>
            </w:r>
            <w:r>
              <w:rPr>
                <w:sz w:val="18"/>
              </w:rPr>
              <w:t>of</w:t>
            </w:r>
            <w:r>
              <w:rPr>
                <w:spacing w:val="-26"/>
                <w:sz w:val="18"/>
              </w:rPr>
              <w:t> </w:t>
            </w:r>
            <w:r>
              <w:rPr>
                <w:sz w:val="18"/>
              </w:rPr>
              <w:t>the subject</w:t>
            </w:r>
            <w:r>
              <w:rPr>
                <w:spacing w:val="-14"/>
                <w:sz w:val="18"/>
              </w:rPr>
              <w:t> </w:t>
            </w:r>
            <w:r>
              <w:rPr>
                <w:sz w:val="18"/>
              </w:rPr>
              <w:t>property</w:t>
            </w:r>
            <w:r>
              <w:rPr>
                <w:spacing w:val="-13"/>
                <w:sz w:val="18"/>
              </w:rPr>
              <w:t> </w:t>
            </w:r>
            <w:r>
              <w:rPr>
                <w:sz w:val="18"/>
              </w:rPr>
              <w:t>under</w:t>
            </w:r>
            <w:r>
              <w:rPr>
                <w:spacing w:val="-12"/>
                <w:sz w:val="18"/>
              </w:rPr>
              <w:t> </w:t>
            </w:r>
            <w:r>
              <w:rPr>
                <w:sz w:val="18"/>
              </w:rPr>
              <w:t>the</w:t>
            </w:r>
            <w:r>
              <w:rPr>
                <w:spacing w:val="-12"/>
                <w:sz w:val="18"/>
              </w:rPr>
              <w:t> </w:t>
            </w:r>
            <w:r>
              <w:rPr>
                <w:sz w:val="18"/>
              </w:rPr>
              <w:t>ownership</w:t>
            </w:r>
            <w:r>
              <w:rPr>
                <w:spacing w:val="-13"/>
                <w:sz w:val="18"/>
              </w:rPr>
              <w:t> </w:t>
            </w:r>
            <w:r>
              <w:rPr>
                <w:sz w:val="18"/>
              </w:rPr>
              <w:t>of</w:t>
            </w:r>
            <w:r>
              <w:rPr>
                <w:spacing w:val="-12"/>
                <w:sz w:val="18"/>
              </w:rPr>
              <w:t> </w:t>
            </w:r>
            <w:r>
              <w:rPr>
                <w:sz w:val="18"/>
              </w:rPr>
              <w:t>the</w:t>
            </w:r>
            <w:r>
              <w:rPr>
                <w:spacing w:val="-12"/>
                <w:sz w:val="18"/>
              </w:rPr>
              <w:t> </w:t>
            </w:r>
            <w:r>
              <w:rPr>
                <w:sz w:val="18"/>
              </w:rPr>
              <w:t>Client</w:t>
            </w:r>
            <w:r>
              <w:rPr>
                <w:spacing w:val="-13"/>
                <w:sz w:val="18"/>
              </w:rPr>
              <w:t> </w:t>
            </w:r>
            <w:r>
              <w:rPr>
                <w:sz w:val="18"/>
              </w:rPr>
              <w:t>is</w:t>
            </w:r>
            <w:r>
              <w:rPr>
                <w:spacing w:val="-12"/>
                <w:sz w:val="18"/>
              </w:rPr>
              <w:t> </w:t>
            </w:r>
            <w:r>
              <w:rPr>
                <w:sz w:val="18"/>
              </w:rPr>
              <w:t>37.11</w:t>
            </w:r>
            <w:r>
              <w:rPr>
                <w:spacing w:val="-13"/>
                <w:sz w:val="18"/>
              </w:rPr>
              <w:t> </w:t>
            </w:r>
            <w:r>
              <w:rPr>
                <w:sz w:val="18"/>
              </w:rPr>
              <w:t>Acres</w:t>
            </w:r>
          </w:p>
        </w:tc>
      </w:tr>
      <w:tr>
        <w:trPr>
          <w:trHeight w:val="611" w:hRule="atLeast"/>
        </w:trPr>
        <w:tc>
          <w:tcPr>
            <w:tcW w:w="3015" w:type="dxa"/>
            <w:shd w:val="clear" w:color="auto" w:fill="69BD28"/>
          </w:tcPr>
          <w:p>
            <w:pPr>
              <w:pStyle w:val="TableParagraph"/>
              <w:spacing w:before="2"/>
              <w:jc w:val="left"/>
              <w:rPr>
                <w:sz w:val="17"/>
              </w:rPr>
            </w:pPr>
          </w:p>
          <w:p>
            <w:pPr>
              <w:pStyle w:val="TableParagraph"/>
              <w:spacing w:before="1"/>
              <w:ind w:left="408" w:right="422"/>
              <w:rPr>
                <w:b/>
                <w:sz w:val="18"/>
              </w:rPr>
            </w:pPr>
            <w:r>
              <w:rPr>
                <w:b/>
                <w:color w:val="FFFFFF"/>
                <w:w w:val="110"/>
                <w:sz w:val="18"/>
              </w:rPr>
              <w:t>Leasable/Saleable Area</w:t>
            </w:r>
          </w:p>
        </w:tc>
        <w:tc>
          <w:tcPr>
            <w:tcW w:w="7455" w:type="dxa"/>
            <w:tcBorders>
              <w:top w:val="single" w:sz="6" w:space="0" w:color="69BD28"/>
              <w:bottom w:val="single" w:sz="6" w:space="0" w:color="69BD28"/>
            </w:tcBorders>
          </w:tcPr>
          <w:p>
            <w:pPr>
              <w:pStyle w:val="TableParagraph"/>
              <w:spacing w:before="2"/>
              <w:jc w:val="left"/>
              <w:rPr>
                <w:sz w:val="17"/>
              </w:rPr>
            </w:pPr>
          </w:p>
          <w:p>
            <w:pPr>
              <w:pStyle w:val="TableParagraph"/>
              <w:spacing w:before="1"/>
              <w:ind w:left="1540" w:right="1550"/>
              <w:rPr>
                <w:sz w:val="18"/>
              </w:rPr>
            </w:pPr>
            <w:r>
              <w:rPr>
                <w:w w:val="105"/>
                <w:sz w:val="18"/>
              </w:rPr>
              <w:t>Total Operational Area – 2.74 msf</w:t>
            </w:r>
          </w:p>
        </w:tc>
      </w:tr>
    </w:tbl>
    <w:p>
      <w:pPr>
        <w:spacing w:before="42"/>
        <w:ind w:left="120" w:right="0" w:firstLine="0"/>
        <w:jc w:val="left"/>
        <w:rPr>
          <w:i/>
          <w:sz w:val="20"/>
        </w:rPr>
      </w:pPr>
      <w:r>
        <w:rPr>
          <w:i/>
          <w:sz w:val="18"/>
        </w:rPr>
        <w:t>Source: </w:t>
      </w:r>
      <w:r>
        <w:rPr>
          <w:i/>
          <w:sz w:val="20"/>
        </w:rPr>
        <w:t>Title Report, Architect Certificate</w:t>
      </w:r>
    </w:p>
    <w:p>
      <w:pPr>
        <w:pStyle w:val="BodyText"/>
        <w:rPr>
          <w:i/>
          <w:sz w:val="21"/>
        </w:rPr>
      </w:pPr>
    </w:p>
    <w:p>
      <w:pPr>
        <w:pStyle w:val="ListParagraph"/>
        <w:numPr>
          <w:ilvl w:val="2"/>
          <w:numId w:val="14"/>
        </w:numPr>
        <w:tabs>
          <w:tab w:pos="841" w:val="left" w:leader="none"/>
        </w:tabs>
        <w:spacing w:line="240" w:lineRule="auto" w:before="0" w:after="0"/>
        <w:ind w:left="840" w:right="0" w:hanging="721"/>
        <w:jc w:val="left"/>
        <w:rPr>
          <w:sz w:val="22"/>
        </w:rPr>
      </w:pPr>
      <w:bookmarkStart w:name="_bookmark298" w:id="581"/>
      <w:bookmarkEnd w:id="581"/>
      <w:r>
        <w:rPr/>
      </w:r>
      <w:bookmarkStart w:name="_bookmark298" w:id="582"/>
      <w:bookmarkEnd w:id="582"/>
      <w:r>
        <w:rPr>
          <w:color w:val="1F664D"/>
          <w:sz w:val="22"/>
        </w:rPr>
        <w:t>S</w:t>
      </w:r>
      <w:r>
        <w:rPr>
          <w:color w:val="1F664D"/>
          <w:sz w:val="22"/>
        </w:rPr>
        <w:t>ite Details</w:t>
      </w:r>
    </w:p>
    <w:p>
      <w:pPr>
        <w:pStyle w:val="BodyText"/>
        <w:spacing w:before="2"/>
        <w:rPr>
          <w:sz w:val="28"/>
        </w:rPr>
      </w:pPr>
    </w:p>
    <w:p>
      <w:pPr>
        <w:pStyle w:val="BodyText"/>
        <w:tabs>
          <w:tab w:pos="2662" w:val="left" w:leader="none"/>
        </w:tabs>
        <w:spacing w:line="321" w:lineRule="auto"/>
        <w:ind w:left="2662" w:right="222" w:hanging="1878"/>
        <w:jc w:val="both"/>
      </w:pPr>
      <w:r>
        <w:rPr/>
        <w:t>Situation:</w:t>
        <w:tab/>
      </w:r>
      <w:r>
        <w:rPr>
          <w:w w:val="105"/>
        </w:rPr>
        <w:t>Subject</w:t>
      </w:r>
      <w:r>
        <w:rPr>
          <w:spacing w:val="-18"/>
          <w:w w:val="105"/>
        </w:rPr>
        <w:t> </w:t>
      </w:r>
      <w:r>
        <w:rPr>
          <w:w w:val="105"/>
        </w:rPr>
        <w:t>property</w:t>
      </w:r>
      <w:r>
        <w:rPr>
          <w:spacing w:val="-16"/>
          <w:w w:val="105"/>
        </w:rPr>
        <w:t> </w:t>
      </w:r>
      <w:r>
        <w:rPr>
          <w:w w:val="105"/>
        </w:rPr>
        <w:t>–</w:t>
      </w:r>
      <w:r>
        <w:rPr>
          <w:spacing w:val="-17"/>
          <w:w w:val="105"/>
        </w:rPr>
        <w:t> </w:t>
      </w:r>
      <w:r>
        <w:rPr>
          <w:w w:val="105"/>
        </w:rPr>
        <w:t>Embassy</w:t>
      </w:r>
      <w:r>
        <w:rPr>
          <w:spacing w:val="-17"/>
          <w:w w:val="105"/>
        </w:rPr>
        <w:t> </w:t>
      </w:r>
      <w:r>
        <w:rPr>
          <w:w w:val="105"/>
        </w:rPr>
        <w:t>GolfLinks</w:t>
      </w:r>
      <w:r>
        <w:rPr>
          <w:spacing w:val="-16"/>
          <w:w w:val="105"/>
        </w:rPr>
        <w:t> </w:t>
      </w:r>
      <w:r>
        <w:rPr>
          <w:w w:val="105"/>
        </w:rPr>
        <w:t>is</w:t>
      </w:r>
      <w:r>
        <w:rPr>
          <w:spacing w:val="-17"/>
          <w:w w:val="105"/>
        </w:rPr>
        <w:t> </w:t>
      </w:r>
      <w:r>
        <w:rPr>
          <w:w w:val="105"/>
        </w:rPr>
        <w:t>an</w:t>
      </w:r>
      <w:r>
        <w:rPr>
          <w:spacing w:val="-18"/>
          <w:w w:val="105"/>
        </w:rPr>
        <w:t> </w:t>
      </w:r>
      <w:r>
        <w:rPr>
          <w:w w:val="105"/>
        </w:rPr>
        <w:t>operational</w:t>
      </w:r>
      <w:r>
        <w:rPr>
          <w:spacing w:val="-17"/>
          <w:w w:val="105"/>
        </w:rPr>
        <w:t> </w:t>
      </w:r>
      <w:r>
        <w:rPr>
          <w:w w:val="105"/>
        </w:rPr>
        <w:t>Office</w:t>
      </w:r>
      <w:r>
        <w:rPr>
          <w:spacing w:val="-17"/>
          <w:w w:val="105"/>
        </w:rPr>
        <w:t> </w:t>
      </w:r>
      <w:r>
        <w:rPr>
          <w:w w:val="105"/>
        </w:rPr>
        <w:t>Park</w:t>
      </w:r>
      <w:r>
        <w:rPr>
          <w:spacing w:val="-18"/>
          <w:w w:val="105"/>
        </w:rPr>
        <w:t> </w:t>
      </w:r>
      <w:r>
        <w:rPr>
          <w:w w:val="105"/>
        </w:rPr>
        <w:t>located</w:t>
      </w:r>
      <w:r>
        <w:rPr>
          <w:spacing w:val="-17"/>
          <w:w w:val="105"/>
        </w:rPr>
        <w:t> </w:t>
      </w:r>
      <w:r>
        <w:rPr>
          <w:w w:val="105"/>
        </w:rPr>
        <w:t>in Challaghatta Village, Varthur Hobli, Mahadevapura, Bengaluru East Taluk, Bengaluru,</w:t>
      </w:r>
      <w:r>
        <w:rPr>
          <w:spacing w:val="-7"/>
          <w:w w:val="105"/>
        </w:rPr>
        <w:t> </w:t>
      </w:r>
      <w:r>
        <w:rPr>
          <w:w w:val="105"/>
        </w:rPr>
        <w:t>Karnataka.</w:t>
      </w:r>
    </w:p>
    <w:p>
      <w:pPr>
        <w:pStyle w:val="BodyText"/>
        <w:tabs>
          <w:tab w:pos="2662" w:val="left" w:leader="none"/>
        </w:tabs>
        <w:spacing w:line="218" w:lineRule="auto" w:before="131"/>
        <w:ind w:left="2662" w:right="221" w:hanging="1878"/>
        <w:jc w:val="both"/>
      </w:pPr>
      <w:r>
        <w:rPr>
          <w:position w:val="-11"/>
        </w:rPr>
        <w:t>Location:</w:t>
        <w:tab/>
      </w:r>
      <w:r>
        <w:rPr/>
        <w:t>The subject property is located in the heart of Bengaluru city, along the Koramangala </w:t>
      </w:r>
      <w:r>
        <w:rPr>
          <w:w w:val="105"/>
        </w:rPr>
        <w:t>– </w:t>
      </w:r>
      <w:r>
        <w:rPr/>
        <w:t>Indiranagar Intermediate Ring Road towards the eastern part</w:t>
      </w:r>
      <w:r>
        <w:rPr>
          <w:spacing w:val="11"/>
        </w:rPr>
        <w:t> </w:t>
      </w:r>
      <w:r>
        <w:rPr/>
        <w:t>of</w:t>
      </w:r>
    </w:p>
    <w:p>
      <w:pPr>
        <w:pStyle w:val="BodyText"/>
        <w:spacing w:line="321" w:lineRule="auto" w:before="94"/>
        <w:ind w:left="2662" w:right="221"/>
        <w:jc w:val="both"/>
      </w:pPr>
      <w:r>
        <w:rPr/>
        <w:t>Bengaluru,</w:t>
      </w:r>
      <w:r>
        <w:rPr>
          <w:spacing w:val="-26"/>
        </w:rPr>
        <w:t> </w:t>
      </w:r>
      <w:r>
        <w:rPr/>
        <w:t>in</w:t>
      </w:r>
      <w:r>
        <w:rPr>
          <w:spacing w:val="-26"/>
        </w:rPr>
        <w:t> </w:t>
      </w:r>
      <w:r>
        <w:rPr/>
        <w:t>close</w:t>
      </w:r>
      <w:r>
        <w:rPr>
          <w:spacing w:val="-26"/>
        </w:rPr>
        <w:t> </w:t>
      </w:r>
      <w:r>
        <w:rPr/>
        <w:t>proximity</w:t>
      </w:r>
      <w:r>
        <w:rPr>
          <w:spacing w:val="-25"/>
        </w:rPr>
        <w:t> </w:t>
      </w:r>
      <w:r>
        <w:rPr/>
        <w:t>to</w:t>
      </w:r>
      <w:r>
        <w:rPr>
          <w:spacing w:val="-25"/>
        </w:rPr>
        <w:t> </w:t>
      </w:r>
      <w:r>
        <w:rPr/>
        <w:t>the</w:t>
      </w:r>
      <w:r>
        <w:rPr>
          <w:spacing w:val="-26"/>
        </w:rPr>
        <w:t> </w:t>
      </w:r>
      <w:r>
        <w:rPr/>
        <w:t>Domlur</w:t>
      </w:r>
      <w:r>
        <w:rPr>
          <w:spacing w:val="-26"/>
        </w:rPr>
        <w:t> </w:t>
      </w:r>
      <w:r>
        <w:rPr/>
        <w:t>Flyover.</w:t>
      </w:r>
      <w:r>
        <w:rPr>
          <w:spacing w:val="-25"/>
        </w:rPr>
        <w:t> </w:t>
      </w:r>
      <w:r>
        <w:rPr/>
        <w:t>The</w:t>
      </w:r>
      <w:r>
        <w:rPr>
          <w:spacing w:val="-26"/>
        </w:rPr>
        <w:t> </w:t>
      </w:r>
      <w:r>
        <w:rPr/>
        <w:t>immediate</w:t>
      </w:r>
      <w:r>
        <w:rPr>
          <w:spacing w:val="-26"/>
        </w:rPr>
        <w:t> </w:t>
      </w:r>
      <w:r>
        <w:rPr/>
        <w:t>surroundings of the subject property comprises of large aggregates of land owned by the Defence</w:t>
      </w:r>
      <w:r>
        <w:rPr>
          <w:spacing w:val="-36"/>
        </w:rPr>
        <w:t> </w:t>
      </w:r>
      <w:r>
        <w:rPr/>
        <w:t>Services</w:t>
      </w:r>
      <w:r>
        <w:rPr>
          <w:spacing w:val="-34"/>
        </w:rPr>
        <w:t> </w:t>
      </w:r>
      <w:r>
        <w:rPr/>
        <w:t>of</w:t>
      </w:r>
      <w:r>
        <w:rPr>
          <w:spacing w:val="-34"/>
        </w:rPr>
        <w:t> </w:t>
      </w:r>
      <w:r>
        <w:rPr/>
        <w:t>the</w:t>
      </w:r>
      <w:r>
        <w:rPr>
          <w:spacing w:val="-35"/>
        </w:rPr>
        <w:t> </w:t>
      </w:r>
      <w:r>
        <w:rPr/>
        <w:t>Country</w:t>
      </w:r>
      <w:r>
        <w:rPr>
          <w:spacing w:val="-34"/>
        </w:rPr>
        <w:t> </w:t>
      </w:r>
      <w:r>
        <w:rPr/>
        <w:t>and</w:t>
      </w:r>
      <w:r>
        <w:rPr>
          <w:spacing w:val="-34"/>
        </w:rPr>
        <w:t> </w:t>
      </w:r>
      <w:r>
        <w:rPr/>
        <w:t>prominent</w:t>
      </w:r>
      <w:r>
        <w:rPr>
          <w:spacing w:val="-35"/>
        </w:rPr>
        <w:t> </w:t>
      </w:r>
      <w:r>
        <w:rPr/>
        <w:t>developments</w:t>
      </w:r>
      <w:r>
        <w:rPr>
          <w:spacing w:val="-34"/>
        </w:rPr>
        <w:t> </w:t>
      </w:r>
      <w:r>
        <w:rPr/>
        <w:t>such</w:t>
      </w:r>
      <w:r>
        <w:rPr>
          <w:spacing w:val="-35"/>
        </w:rPr>
        <w:t> </w:t>
      </w:r>
      <w:r>
        <w:rPr/>
        <w:t>as</w:t>
      </w:r>
      <w:r>
        <w:rPr>
          <w:spacing w:val="-34"/>
        </w:rPr>
        <w:t> </w:t>
      </w:r>
      <w:r>
        <w:rPr/>
        <w:t>the</w:t>
      </w:r>
      <w:r>
        <w:rPr>
          <w:spacing w:val="-35"/>
        </w:rPr>
        <w:t> </w:t>
      </w:r>
      <w:r>
        <w:rPr/>
        <w:t>Embassy GolfLinks</w:t>
      </w:r>
      <w:r>
        <w:rPr>
          <w:spacing w:val="-33"/>
        </w:rPr>
        <w:t> </w:t>
      </w:r>
      <w:r>
        <w:rPr/>
        <w:t>(“the</w:t>
      </w:r>
      <w:r>
        <w:rPr>
          <w:spacing w:val="-31"/>
        </w:rPr>
        <w:t> </w:t>
      </w:r>
      <w:r>
        <w:rPr/>
        <w:t>subject</w:t>
      </w:r>
      <w:r>
        <w:rPr>
          <w:spacing w:val="-31"/>
        </w:rPr>
        <w:t> </w:t>
      </w:r>
      <w:r>
        <w:rPr/>
        <w:t>property”),</w:t>
      </w:r>
      <w:r>
        <w:rPr>
          <w:spacing w:val="-32"/>
        </w:rPr>
        <w:t> </w:t>
      </w:r>
      <w:r>
        <w:rPr/>
        <w:t>Karnataka</w:t>
      </w:r>
      <w:r>
        <w:rPr>
          <w:spacing w:val="-32"/>
        </w:rPr>
        <w:t> </w:t>
      </w:r>
      <w:r>
        <w:rPr/>
        <w:t>Golf</w:t>
      </w:r>
      <w:r>
        <w:rPr>
          <w:spacing w:val="-32"/>
        </w:rPr>
        <w:t> </w:t>
      </w:r>
      <w:r>
        <w:rPr/>
        <w:t>Association,</w:t>
      </w:r>
      <w:r>
        <w:rPr>
          <w:spacing w:val="-32"/>
        </w:rPr>
        <w:t> </w:t>
      </w:r>
      <w:r>
        <w:rPr/>
        <w:t>Diamond</w:t>
      </w:r>
      <w:r>
        <w:rPr>
          <w:spacing w:val="-32"/>
        </w:rPr>
        <w:t> </w:t>
      </w:r>
      <w:r>
        <w:rPr/>
        <w:t>District, DivyaSree Greens, Maruthi Infotech Park etc. and also in proximity to affluent residential</w:t>
      </w:r>
      <w:r>
        <w:rPr>
          <w:spacing w:val="-44"/>
        </w:rPr>
        <w:t> </w:t>
      </w:r>
      <w:r>
        <w:rPr/>
        <w:t>neighbourhood.</w:t>
      </w:r>
      <w:r>
        <w:rPr>
          <w:spacing w:val="-43"/>
        </w:rPr>
        <w:t> </w:t>
      </w:r>
      <w:r>
        <w:rPr/>
        <w:t>In</w:t>
      </w:r>
      <w:r>
        <w:rPr>
          <w:spacing w:val="-43"/>
        </w:rPr>
        <w:t> </w:t>
      </w:r>
      <w:r>
        <w:rPr/>
        <w:t>addition,</w:t>
      </w:r>
      <w:r>
        <w:rPr>
          <w:spacing w:val="-44"/>
        </w:rPr>
        <w:t> </w:t>
      </w:r>
      <w:r>
        <w:rPr/>
        <w:t>the</w:t>
      </w:r>
      <w:r>
        <w:rPr>
          <w:spacing w:val="-45"/>
        </w:rPr>
        <w:t> </w:t>
      </w:r>
      <w:r>
        <w:rPr/>
        <w:t>subject</w:t>
      </w:r>
      <w:r>
        <w:rPr>
          <w:spacing w:val="-44"/>
        </w:rPr>
        <w:t> </w:t>
      </w:r>
      <w:r>
        <w:rPr/>
        <w:t>property</w:t>
      </w:r>
      <w:r>
        <w:rPr>
          <w:spacing w:val="-43"/>
        </w:rPr>
        <w:t> </w:t>
      </w:r>
      <w:r>
        <w:rPr/>
        <w:t>is</w:t>
      </w:r>
      <w:r>
        <w:rPr>
          <w:spacing w:val="-43"/>
        </w:rPr>
        <w:t> </w:t>
      </w:r>
      <w:r>
        <w:rPr/>
        <w:t>located</w:t>
      </w:r>
      <w:r>
        <w:rPr>
          <w:spacing w:val="-43"/>
        </w:rPr>
        <w:t> </w:t>
      </w:r>
      <w:r>
        <w:rPr/>
        <w:t>in</w:t>
      </w:r>
      <w:r>
        <w:rPr>
          <w:spacing w:val="-44"/>
        </w:rPr>
        <w:t> </w:t>
      </w:r>
      <w:r>
        <w:rPr/>
        <w:t>proximity to locations such as Indiranagar, Koramangala etc. which are considered as established residential and commercial locations within the city enabling easy access for the employees of GolfLinks’ occupiers. The Old Airport road, (a prominent</w:t>
      </w:r>
      <w:r>
        <w:rPr>
          <w:spacing w:val="-36"/>
        </w:rPr>
        <w:t> </w:t>
      </w:r>
      <w:r>
        <w:rPr/>
        <w:t>vector,</w:t>
      </w:r>
      <w:r>
        <w:rPr>
          <w:spacing w:val="-36"/>
        </w:rPr>
        <w:t> </w:t>
      </w:r>
      <w:r>
        <w:rPr/>
        <w:t>located</w:t>
      </w:r>
      <w:r>
        <w:rPr>
          <w:spacing w:val="-36"/>
        </w:rPr>
        <w:t> </w:t>
      </w:r>
      <w:r>
        <w:rPr/>
        <w:t>in</w:t>
      </w:r>
      <w:r>
        <w:rPr>
          <w:spacing w:val="-36"/>
        </w:rPr>
        <w:t> </w:t>
      </w:r>
      <w:r>
        <w:rPr/>
        <w:t>close</w:t>
      </w:r>
      <w:r>
        <w:rPr>
          <w:spacing w:val="-37"/>
        </w:rPr>
        <w:t> </w:t>
      </w:r>
      <w:r>
        <w:rPr/>
        <w:t>proximity</w:t>
      </w:r>
      <w:r>
        <w:rPr>
          <w:spacing w:val="-36"/>
        </w:rPr>
        <w:t> </w:t>
      </w:r>
      <w:r>
        <w:rPr/>
        <w:t>to</w:t>
      </w:r>
      <w:r>
        <w:rPr>
          <w:spacing w:val="-37"/>
        </w:rPr>
        <w:t> </w:t>
      </w:r>
      <w:r>
        <w:rPr/>
        <w:t>the</w:t>
      </w:r>
      <w:r>
        <w:rPr>
          <w:spacing w:val="-36"/>
        </w:rPr>
        <w:t> </w:t>
      </w:r>
      <w:r>
        <w:rPr/>
        <w:t>subject</w:t>
      </w:r>
      <w:r>
        <w:rPr>
          <w:spacing w:val="-37"/>
        </w:rPr>
        <w:t> </w:t>
      </w:r>
      <w:r>
        <w:rPr/>
        <w:t>property)</w:t>
      </w:r>
      <w:r>
        <w:rPr>
          <w:spacing w:val="-36"/>
        </w:rPr>
        <w:t> </w:t>
      </w:r>
      <w:r>
        <w:rPr/>
        <w:t>connects</w:t>
      </w:r>
      <w:r>
        <w:rPr>
          <w:spacing w:val="-36"/>
        </w:rPr>
        <w:t> </w:t>
      </w:r>
      <w:r>
        <w:rPr/>
        <w:t>the city</w:t>
      </w:r>
      <w:r>
        <w:rPr>
          <w:spacing w:val="-38"/>
        </w:rPr>
        <w:t> </w:t>
      </w:r>
      <w:r>
        <w:rPr/>
        <w:t>centre</w:t>
      </w:r>
      <w:r>
        <w:rPr>
          <w:spacing w:val="-39"/>
        </w:rPr>
        <w:t> </w:t>
      </w:r>
      <w:r>
        <w:rPr/>
        <w:t>to</w:t>
      </w:r>
      <w:r>
        <w:rPr>
          <w:spacing w:val="-38"/>
        </w:rPr>
        <w:t> </w:t>
      </w:r>
      <w:r>
        <w:rPr/>
        <w:t>locations</w:t>
      </w:r>
      <w:r>
        <w:rPr>
          <w:spacing w:val="-38"/>
        </w:rPr>
        <w:t> </w:t>
      </w:r>
      <w:r>
        <w:rPr/>
        <w:t>such</w:t>
      </w:r>
      <w:r>
        <w:rPr>
          <w:spacing w:val="-39"/>
        </w:rPr>
        <w:t> </w:t>
      </w:r>
      <w:r>
        <w:rPr/>
        <w:t>as</w:t>
      </w:r>
      <w:r>
        <w:rPr>
          <w:spacing w:val="-38"/>
        </w:rPr>
        <w:t> </w:t>
      </w:r>
      <w:r>
        <w:rPr/>
        <w:t>Marathahalli,</w:t>
      </w:r>
      <w:r>
        <w:rPr>
          <w:spacing w:val="-38"/>
        </w:rPr>
        <w:t> </w:t>
      </w:r>
      <w:r>
        <w:rPr/>
        <w:t>Outer</w:t>
      </w:r>
      <w:r>
        <w:rPr>
          <w:spacing w:val="-39"/>
        </w:rPr>
        <w:t> </w:t>
      </w:r>
      <w:r>
        <w:rPr/>
        <w:t>Ring</w:t>
      </w:r>
      <w:r>
        <w:rPr>
          <w:spacing w:val="-37"/>
        </w:rPr>
        <w:t> </w:t>
      </w:r>
      <w:r>
        <w:rPr/>
        <w:t>Road,</w:t>
      </w:r>
      <w:r>
        <w:rPr>
          <w:spacing w:val="-39"/>
        </w:rPr>
        <w:t> </w:t>
      </w:r>
      <w:r>
        <w:rPr/>
        <w:t>Whitefield,</w:t>
      </w:r>
      <w:r>
        <w:rPr>
          <w:spacing w:val="-38"/>
        </w:rPr>
        <w:t> </w:t>
      </w:r>
      <w:r>
        <w:rPr/>
        <w:t>etc.</w:t>
      </w:r>
      <w:r>
        <w:rPr>
          <w:spacing w:val="-39"/>
        </w:rPr>
        <w:t> </w:t>
      </w:r>
      <w:r>
        <w:rPr/>
        <w:t>The location is marked by presence of prominent hotels (viz. Leela Palace, Royal Orchid,</w:t>
      </w:r>
      <w:r>
        <w:rPr>
          <w:spacing w:val="-14"/>
        </w:rPr>
        <w:t> </w:t>
      </w:r>
      <w:r>
        <w:rPr/>
        <w:t>Hilton,</w:t>
      </w:r>
      <w:r>
        <w:rPr>
          <w:spacing w:val="-14"/>
        </w:rPr>
        <w:t> </w:t>
      </w:r>
      <w:r>
        <w:rPr/>
        <w:t>etc.)</w:t>
      </w:r>
      <w:r>
        <w:rPr>
          <w:spacing w:val="-13"/>
        </w:rPr>
        <w:t> </w:t>
      </w:r>
      <w:r>
        <w:rPr/>
        <w:t>and</w:t>
      </w:r>
      <w:r>
        <w:rPr>
          <w:spacing w:val="-14"/>
        </w:rPr>
        <w:t> </w:t>
      </w:r>
      <w:r>
        <w:rPr/>
        <w:t>hospitals</w:t>
      </w:r>
      <w:r>
        <w:rPr>
          <w:spacing w:val="-15"/>
        </w:rPr>
        <w:t> </w:t>
      </w:r>
      <w:r>
        <w:rPr/>
        <w:t>(viz.</w:t>
      </w:r>
      <w:r>
        <w:rPr>
          <w:spacing w:val="-14"/>
        </w:rPr>
        <w:t> </w:t>
      </w:r>
      <w:r>
        <w:rPr/>
        <w:t>Manipal</w:t>
      </w:r>
      <w:r>
        <w:rPr>
          <w:spacing w:val="-14"/>
        </w:rPr>
        <w:t> </w:t>
      </w:r>
      <w:r>
        <w:rPr/>
        <w:t>Hospital,</w:t>
      </w:r>
      <w:r>
        <w:rPr>
          <w:spacing w:val="-15"/>
        </w:rPr>
        <w:t> </w:t>
      </w:r>
      <w:r>
        <w:rPr/>
        <w:t>Cloud</w:t>
      </w:r>
      <w:r>
        <w:rPr>
          <w:spacing w:val="-13"/>
        </w:rPr>
        <w:t> </w:t>
      </w:r>
      <w:r>
        <w:rPr/>
        <w:t>9,</w:t>
      </w:r>
      <w:r>
        <w:rPr>
          <w:spacing w:val="-14"/>
        </w:rPr>
        <w:t> </w:t>
      </w:r>
      <w:r>
        <w:rPr/>
        <w:t>etc.).</w:t>
      </w:r>
    </w:p>
    <w:p>
      <w:pPr>
        <w:pStyle w:val="BodyText"/>
        <w:spacing w:before="4"/>
        <w:rPr>
          <w:sz w:val="21"/>
        </w:rPr>
      </w:pPr>
    </w:p>
    <w:p>
      <w:pPr>
        <w:pStyle w:val="BodyText"/>
        <w:spacing w:line="319" w:lineRule="auto"/>
        <w:ind w:left="2662" w:right="226"/>
        <w:jc w:val="both"/>
      </w:pPr>
      <w:r>
        <w:rPr/>
        <w:t>The distances from key hubs to the subject property are presented in the</w:t>
      </w:r>
      <w:r>
        <w:rPr>
          <w:spacing w:val="-43"/>
        </w:rPr>
        <w:t> </w:t>
      </w:r>
      <w:r>
        <w:rPr/>
        <w:t>table below:</w:t>
      </w:r>
    </w:p>
    <w:p>
      <w:pPr>
        <w:spacing w:after="0" w:line="319" w:lineRule="auto"/>
        <w:jc w:val="both"/>
        <w:sectPr>
          <w:pgSz w:w="11910" w:h="16840"/>
          <w:pgMar w:header="720" w:footer="921" w:top="1660" w:bottom="1120" w:left="600" w:right="600"/>
        </w:sectPr>
      </w:pPr>
    </w:p>
    <w:p>
      <w:pPr>
        <w:pStyle w:val="BodyText"/>
        <w:rPr>
          <w:sz w:val="19"/>
        </w:rPr>
      </w:pPr>
    </w:p>
    <w:tbl>
      <w:tblPr>
        <w:tblW w:w="0" w:type="auto"/>
        <w:jc w:val="left"/>
        <w:tblInd w:w="26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52"/>
        <w:gridCol w:w="2745"/>
      </w:tblGrid>
      <w:tr>
        <w:trPr>
          <w:trHeight w:val="251" w:hRule="atLeast"/>
        </w:trPr>
        <w:tc>
          <w:tcPr>
            <w:tcW w:w="5052" w:type="dxa"/>
            <w:tcBorders>
              <w:top w:val="single" w:sz="6" w:space="0" w:color="69BD28"/>
              <w:bottom w:val="single" w:sz="6" w:space="0" w:color="69BD28"/>
            </w:tcBorders>
            <w:shd w:val="clear" w:color="auto" w:fill="006A4D"/>
          </w:tcPr>
          <w:p>
            <w:pPr>
              <w:pStyle w:val="TableParagraph"/>
              <w:spacing w:line="209" w:lineRule="exact" w:before="22"/>
              <w:ind w:left="1525" w:right="959"/>
              <w:rPr>
                <w:b/>
                <w:sz w:val="18"/>
              </w:rPr>
            </w:pPr>
            <w:r>
              <w:rPr>
                <w:b/>
                <w:color w:val="FFFFFF"/>
                <w:w w:val="110"/>
                <w:sz w:val="18"/>
              </w:rPr>
              <w:t>Landmark</w:t>
            </w:r>
          </w:p>
        </w:tc>
        <w:tc>
          <w:tcPr>
            <w:tcW w:w="2745" w:type="dxa"/>
            <w:tcBorders>
              <w:top w:val="single" w:sz="6" w:space="0" w:color="69BD28"/>
              <w:bottom w:val="single" w:sz="6" w:space="0" w:color="69BD28"/>
            </w:tcBorders>
            <w:shd w:val="clear" w:color="auto" w:fill="006A4D"/>
          </w:tcPr>
          <w:p>
            <w:pPr>
              <w:pStyle w:val="TableParagraph"/>
              <w:spacing w:line="209" w:lineRule="exact" w:before="22"/>
              <w:ind w:left="995" w:right="436"/>
              <w:rPr>
                <w:b/>
                <w:sz w:val="18"/>
              </w:rPr>
            </w:pPr>
            <w:r>
              <w:rPr>
                <w:b/>
                <w:color w:val="FFFFFF"/>
                <w:w w:val="110"/>
                <w:sz w:val="18"/>
              </w:rPr>
              <w:t>Distance (km)</w:t>
            </w:r>
          </w:p>
        </w:tc>
      </w:tr>
      <w:tr>
        <w:trPr>
          <w:trHeight w:val="251" w:hRule="atLeast"/>
        </w:trPr>
        <w:tc>
          <w:tcPr>
            <w:tcW w:w="5052" w:type="dxa"/>
            <w:tcBorders>
              <w:top w:val="single" w:sz="6" w:space="0" w:color="69BD28"/>
              <w:bottom w:val="single" w:sz="6" w:space="0" w:color="69BD28"/>
            </w:tcBorders>
          </w:tcPr>
          <w:p>
            <w:pPr>
              <w:pStyle w:val="TableParagraph"/>
              <w:spacing w:line="209" w:lineRule="exact" w:before="22"/>
              <w:ind w:left="1525" w:right="962"/>
              <w:rPr>
                <w:sz w:val="18"/>
              </w:rPr>
            </w:pPr>
            <w:r>
              <w:rPr>
                <w:sz w:val="18"/>
              </w:rPr>
              <w:t>Domlur Flyover</w:t>
            </w:r>
          </w:p>
        </w:tc>
        <w:tc>
          <w:tcPr>
            <w:tcW w:w="2745" w:type="dxa"/>
            <w:tcBorders>
              <w:top w:val="single" w:sz="6" w:space="0" w:color="69BD28"/>
              <w:bottom w:val="single" w:sz="6" w:space="0" w:color="69BD28"/>
            </w:tcBorders>
          </w:tcPr>
          <w:p>
            <w:pPr>
              <w:pStyle w:val="TableParagraph"/>
              <w:spacing w:before="15"/>
              <w:ind w:left="996" w:right="432"/>
              <w:rPr>
                <w:sz w:val="18"/>
              </w:rPr>
            </w:pPr>
            <w:r>
              <w:rPr>
                <w:w w:val="135"/>
                <w:sz w:val="18"/>
              </w:rPr>
              <w:t>&lt;1</w:t>
            </w:r>
          </w:p>
        </w:tc>
      </w:tr>
      <w:tr>
        <w:trPr>
          <w:trHeight w:val="215" w:hRule="atLeast"/>
        </w:trPr>
        <w:tc>
          <w:tcPr>
            <w:tcW w:w="5052" w:type="dxa"/>
            <w:tcBorders>
              <w:top w:val="single" w:sz="6" w:space="0" w:color="69BD28"/>
              <w:bottom w:val="single" w:sz="6" w:space="0" w:color="69BD28"/>
            </w:tcBorders>
          </w:tcPr>
          <w:p>
            <w:pPr>
              <w:pStyle w:val="TableParagraph"/>
              <w:spacing w:line="192" w:lineRule="exact" w:before="3"/>
              <w:ind w:left="1525" w:right="961"/>
              <w:rPr>
                <w:sz w:val="18"/>
              </w:rPr>
            </w:pPr>
            <w:r>
              <w:rPr>
                <w:sz w:val="18"/>
              </w:rPr>
              <w:t>Indiranagar</w:t>
            </w:r>
          </w:p>
        </w:tc>
        <w:tc>
          <w:tcPr>
            <w:tcW w:w="2745" w:type="dxa"/>
            <w:tcBorders>
              <w:top w:val="single" w:sz="6" w:space="0" w:color="69BD28"/>
              <w:bottom w:val="single" w:sz="6" w:space="0" w:color="69BD28"/>
            </w:tcBorders>
          </w:tcPr>
          <w:p>
            <w:pPr>
              <w:pStyle w:val="TableParagraph"/>
              <w:spacing w:line="195" w:lineRule="exact"/>
              <w:ind w:left="996" w:right="436"/>
              <w:rPr>
                <w:sz w:val="18"/>
              </w:rPr>
            </w:pPr>
            <w:r>
              <w:rPr>
                <w:w w:val="120"/>
                <w:sz w:val="18"/>
              </w:rPr>
              <w:t>1 – 2</w:t>
            </w:r>
          </w:p>
        </w:tc>
      </w:tr>
      <w:tr>
        <w:trPr>
          <w:trHeight w:val="325" w:hRule="atLeast"/>
        </w:trPr>
        <w:tc>
          <w:tcPr>
            <w:tcW w:w="5052" w:type="dxa"/>
            <w:tcBorders>
              <w:top w:val="single" w:sz="6" w:space="0" w:color="69BD28"/>
              <w:bottom w:val="single" w:sz="6" w:space="0" w:color="69BD28"/>
            </w:tcBorders>
          </w:tcPr>
          <w:p>
            <w:pPr>
              <w:pStyle w:val="TableParagraph"/>
              <w:spacing w:before="58"/>
              <w:ind w:left="1525" w:right="960"/>
              <w:rPr>
                <w:sz w:val="18"/>
              </w:rPr>
            </w:pPr>
            <w:r>
              <w:rPr>
                <w:w w:val="105"/>
                <w:sz w:val="18"/>
              </w:rPr>
              <w:t>Koramangala</w:t>
            </w:r>
          </w:p>
        </w:tc>
        <w:tc>
          <w:tcPr>
            <w:tcW w:w="2745" w:type="dxa"/>
            <w:tcBorders>
              <w:top w:val="single" w:sz="6" w:space="0" w:color="69BD28"/>
              <w:bottom w:val="single" w:sz="6" w:space="0" w:color="69BD28"/>
            </w:tcBorders>
          </w:tcPr>
          <w:p>
            <w:pPr>
              <w:pStyle w:val="TableParagraph"/>
              <w:spacing w:before="54"/>
              <w:ind w:left="996" w:right="436"/>
              <w:rPr>
                <w:sz w:val="18"/>
              </w:rPr>
            </w:pPr>
            <w:r>
              <w:rPr>
                <w:w w:val="120"/>
                <w:sz w:val="18"/>
              </w:rPr>
              <w:t>2 – 3</w:t>
            </w:r>
          </w:p>
        </w:tc>
      </w:tr>
      <w:tr>
        <w:trPr>
          <w:trHeight w:val="251" w:hRule="atLeast"/>
        </w:trPr>
        <w:tc>
          <w:tcPr>
            <w:tcW w:w="5052" w:type="dxa"/>
            <w:tcBorders>
              <w:top w:val="single" w:sz="6" w:space="0" w:color="69BD28"/>
              <w:bottom w:val="single" w:sz="6" w:space="0" w:color="69BD28"/>
            </w:tcBorders>
          </w:tcPr>
          <w:p>
            <w:pPr>
              <w:pStyle w:val="TableParagraph"/>
              <w:spacing w:line="209" w:lineRule="exact" w:before="22"/>
              <w:ind w:left="1524" w:right="963"/>
              <w:rPr>
                <w:sz w:val="18"/>
              </w:rPr>
            </w:pPr>
            <w:r>
              <w:rPr>
                <w:w w:val="105"/>
                <w:sz w:val="18"/>
              </w:rPr>
              <w:t>MG Road (CBD)</w:t>
            </w:r>
          </w:p>
        </w:tc>
        <w:tc>
          <w:tcPr>
            <w:tcW w:w="2745" w:type="dxa"/>
            <w:tcBorders>
              <w:top w:val="single" w:sz="6" w:space="0" w:color="69BD28"/>
              <w:bottom w:val="single" w:sz="6" w:space="0" w:color="69BD28"/>
            </w:tcBorders>
          </w:tcPr>
          <w:p>
            <w:pPr>
              <w:pStyle w:val="TableParagraph"/>
              <w:spacing w:before="15"/>
              <w:ind w:left="996" w:right="436"/>
              <w:rPr>
                <w:sz w:val="18"/>
              </w:rPr>
            </w:pPr>
            <w:r>
              <w:rPr>
                <w:w w:val="120"/>
                <w:sz w:val="18"/>
              </w:rPr>
              <w:t>7 – 8</w:t>
            </w:r>
          </w:p>
        </w:tc>
      </w:tr>
      <w:tr>
        <w:trPr>
          <w:trHeight w:val="253" w:hRule="atLeast"/>
        </w:trPr>
        <w:tc>
          <w:tcPr>
            <w:tcW w:w="5052" w:type="dxa"/>
            <w:tcBorders>
              <w:top w:val="single" w:sz="6" w:space="0" w:color="69BD28"/>
              <w:bottom w:val="single" w:sz="6" w:space="0" w:color="69BD28"/>
            </w:tcBorders>
          </w:tcPr>
          <w:p>
            <w:pPr>
              <w:pStyle w:val="TableParagraph"/>
              <w:spacing w:before="22"/>
              <w:ind w:left="1525" w:right="963"/>
              <w:rPr>
                <w:sz w:val="18"/>
              </w:rPr>
            </w:pPr>
            <w:r>
              <w:rPr>
                <w:sz w:val="18"/>
              </w:rPr>
              <w:t>Bengaluru International Airport</w:t>
            </w:r>
          </w:p>
        </w:tc>
        <w:tc>
          <w:tcPr>
            <w:tcW w:w="2745" w:type="dxa"/>
            <w:tcBorders>
              <w:top w:val="single" w:sz="6" w:space="0" w:color="69BD28"/>
              <w:bottom w:val="single" w:sz="6" w:space="0" w:color="69BD28"/>
            </w:tcBorders>
          </w:tcPr>
          <w:p>
            <w:pPr>
              <w:pStyle w:val="TableParagraph"/>
              <w:spacing w:before="18"/>
              <w:ind w:left="996" w:right="436"/>
              <w:rPr>
                <w:sz w:val="18"/>
              </w:rPr>
            </w:pPr>
            <w:r>
              <w:rPr>
                <w:w w:val="120"/>
                <w:sz w:val="18"/>
              </w:rPr>
              <w:t>43 – 45</w:t>
            </w:r>
          </w:p>
        </w:tc>
      </w:tr>
    </w:tbl>
    <w:p>
      <w:pPr>
        <w:spacing w:before="39"/>
        <w:ind w:left="14" w:right="2821" w:firstLine="0"/>
        <w:jc w:val="center"/>
        <w:rPr>
          <w:i/>
          <w:sz w:val="18"/>
        </w:rPr>
      </w:pPr>
      <w:r>
        <w:rPr>
          <w:i/>
          <w:sz w:val="18"/>
        </w:rPr>
        <w:t>Source: Consultants’ Research</w:t>
      </w:r>
    </w:p>
    <w:p>
      <w:pPr>
        <w:pStyle w:val="BodyText"/>
        <w:spacing w:before="10"/>
        <w:rPr>
          <w:i/>
          <w:sz w:val="18"/>
        </w:rPr>
      </w:pPr>
    </w:p>
    <w:p>
      <w:pPr>
        <w:pStyle w:val="BodyText"/>
        <w:tabs>
          <w:tab w:pos="1877" w:val="left" w:leader="none"/>
        </w:tabs>
        <w:spacing w:before="1"/>
        <w:ind w:right="2880"/>
        <w:jc w:val="center"/>
      </w:pPr>
      <w:r>
        <w:rPr/>
        <w:t>Surrounds:</w:t>
        <w:tab/>
        <w:t>The</w:t>
      </w:r>
      <w:r>
        <w:rPr>
          <w:spacing w:val="-15"/>
        </w:rPr>
        <w:t> </w:t>
      </w:r>
      <w:r>
        <w:rPr/>
        <w:t>subject</w:t>
      </w:r>
      <w:r>
        <w:rPr>
          <w:spacing w:val="-15"/>
        </w:rPr>
        <w:t> </w:t>
      </w:r>
      <w:r>
        <w:rPr/>
        <w:t>property</w:t>
      </w:r>
      <w:r>
        <w:rPr>
          <w:spacing w:val="-13"/>
        </w:rPr>
        <w:t> </w:t>
      </w:r>
      <w:r>
        <w:rPr/>
        <w:t>is</w:t>
      </w:r>
      <w:r>
        <w:rPr>
          <w:spacing w:val="-14"/>
        </w:rPr>
        <w:t> </w:t>
      </w:r>
      <w:r>
        <w:rPr/>
        <w:t>surrounded</w:t>
      </w:r>
      <w:r>
        <w:rPr>
          <w:spacing w:val="-14"/>
        </w:rPr>
        <w:t> </w:t>
      </w:r>
      <w:r>
        <w:rPr/>
        <w:t>as</w:t>
      </w:r>
      <w:r>
        <w:rPr>
          <w:spacing w:val="-13"/>
        </w:rPr>
        <w:t> </w:t>
      </w:r>
      <w:r>
        <w:rPr/>
        <w:t>follows:</w:t>
      </w:r>
    </w:p>
    <w:p>
      <w:pPr>
        <w:pStyle w:val="BodyText"/>
        <w:spacing w:before="9"/>
        <w:rPr>
          <w:sz w:val="27"/>
        </w:rPr>
      </w:pPr>
    </w:p>
    <w:p>
      <w:pPr>
        <w:pStyle w:val="ListParagraph"/>
        <w:numPr>
          <w:ilvl w:val="0"/>
          <w:numId w:val="79"/>
        </w:numPr>
        <w:tabs>
          <w:tab w:pos="3382" w:val="left" w:leader="none"/>
          <w:tab w:pos="3383" w:val="left" w:leader="none"/>
        </w:tabs>
        <w:spacing w:line="240" w:lineRule="auto" w:before="0" w:after="0"/>
        <w:ind w:left="3382" w:right="0" w:hanging="361"/>
        <w:jc w:val="left"/>
        <w:rPr>
          <w:sz w:val="22"/>
        </w:rPr>
      </w:pPr>
      <w:r>
        <w:rPr>
          <w:sz w:val="22"/>
        </w:rPr>
        <w:t>North:</w:t>
      </w:r>
      <w:r>
        <w:rPr>
          <w:spacing w:val="-18"/>
          <w:sz w:val="22"/>
        </w:rPr>
        <w:t> </w:t>
      </w:r>
      <w:r>
        <w:rPr>
          <w:sz w:val="22"/>
        </w:rPr>
        <w:t>Private</w:t>
      </w:r>
      <w:r>
        <w:rPr>
          <w:spacing w:val="-17"/>
          <w:sz w:val="22"/>
        </w:rPr>
        <w:t> </w:t>
      </w:r>
      <w:r>
        <w:rPr>
          <w:sz w:val="22"/>
        </w:rPr>
        <w:t>Property</w:t>
      </w:r>
      <w:r>
        <w:rPr>
          <w:spacing w:val="-18"/>
          <w:sz w:val="22"/>
        </w:rPr>
        <w:t> </w:t>
      </w:r>
      <w:r>
        <w:rPr>
          <w:sz w:val="22"/>
        </w:rPr>
        <w:t>(Residential</w:t>
      </w:r>
      <w:r>
        <w:rPr>
          <w:spacing w:val="-17"/>
          <w:sz w:val="22"/>
        </w:rPr>
        <w:t> </w:t>
      </w:r>
      <w:r>
        <w:rPr>
          <w:sz w:val="22"/>
        </w:rPr>
        <w:t>development</w:t>
      </w:r>
      <w:r>
        <w:rPr>
          <w:spacing w:val="-17"/>
          <w:sz w:val="22"/>
        </w:rPr>
        <w:t> </w:t>
      </w:r>
      <w:r>
        <w:rPr>
          <w:sz w:val="22"/>
        </w:rPr>
        <w:t>and</w:t>
      </w:r>
      <w:r>
        <w:rPr>
          <w:spacing w:val="-16"/>
          <w:sz w:val="22"/>
        </w:rPr>
        <w:t> </w:t>
      </w:r>
      <w:r>
        <w:rPr>
          <w:sz w:val="22"/>
        </w:rPr>
        <w:t>KGA</w:t>
      </w:r>
      <w:r>
        <w:rPr>
          <w:spacing w:val="-17"/>
          <w:sz w:val="22"/>
        </w:rPr>
        <w:t> </w:t>
      </w:r>
      <w:r>
        <w:rPr>
          <w:sz w:val="22"/>
        </w:rPr>
        <w:t>Golf</w:t>
      </w:r>
      <w:r>
        <w:rPr>
          <w:spacing w:val="-16"/>
          <w:sz w:val="22"/>
        </w:rPr>
        <w:t> </w:t>
      </w:r>
      <w:r>
        <w:rPr>
          <w:sz w:val="22"/>
        </w:rPr>
        <w:t>Course)</w:t>
      </w:r>
    </w:p>
    <w:p>
      <w:pPr>
        <w:pStyle w:val="ListParagraph"/>
        <w:numPr>
          <w:ilvl w:val="0"/>
          <w:numId w:val="79"/>
        </w:numPr>
        <w:tabs>
          <w:tab w:pos="3382" w:val="left" w:leader="none"/>
          <w:tab w:pos="3383" w:val="left" w:leader="none"/>
        </w:tabs>
        <w:spacing w:line="240" w:lineRule="auto" w:before="201" w:after="0"/>
        <w:ind w:left="3382" w:right="0" w:hanging="361"/>
        <w:jc w:val="left"/>
        <w:rPr>
          <w:sz w:val="22"/>
        </w:rPr>
      </w:pPr>
      <w:r>
        <w:rPr>
          <w:sz w:val="22"/>
        </w:rPr>
        <w:t>South: Defence</w:t>
      </w:r>
      <w:r>
        <w:rPr>
          <w:spacing w:val="-7"/>
          <w:sz w:val="22"/>
        </w:rPr>
        <w:t> </w:t>
      </w:r>
      <w:r>
        <w:rPr>
          <w:sz w:val="22"/>
        </w:rPr>
        <w:t>Land</w:t>
      </w:r>
    </w:p>
    <w:p>
      <w:pPr>
        <w:pStyle w:val="ListParagraph"/>
        <w:numPr>
          <w:ilvl w:val="0"/>
          <w:numId w:val="79"/>
        </w:numPr>
        <w:tabs>
          <w:tab w:pos="3382" w:val="left" w:leader="none"/>
          <w:tab w:pos="3383" w:val="left" w:leader="none"/>
        </w:tabs>
        <w:spacing w:line="240" w:lineRule="auto" w:before="202" w:after="0"/>
        <w:ind w:left="3382" w:right="0" w:hanging="361"/>
        <w:jc w:val="left"/>
        <w:rPr>
          <w:sz w:val="22"/>
        </w:rPr>
      </w:pPr>
      <w:r>
        <w:rPr>
          <w:sz w:val="22"/>
        </w:rPr>
        <w:t>East: KGA Golf</w:t>
      </w:r>
      <w:r>
        <w:rPr>
          <w:spacing w:val="-7"/>
          <w:sz w:val="22"/>
        </w:rPr>
        <w:t> </w:t>
      </w:r>
      <w:r>
        <w:rPr>
          <w:sz w:val="22"/>
        </w:rPr>
        <w:t>Course</w:t>
      </w:r>
    </w:p>
    <w:p>
      <w:pPr>
        <w:pStyle w:val="ListParagraph"/>
        <w:numPr>
          <w:ilvl w:val="0"/>
          <w:numId w:val="79"/>
        </w:numPr>
        <w:tabs>
          <w:tab w:pos="3382" w:val="left" w:leader="none"/>
          <w:tab w:pos="3383" w:val="left" w:leader="none"/>
        </w:tabs>
        <w:spacing w:line="240" w:lineRule="auto" w:before="203" w:after="0"/>
        <w:ind w:left="3382" w:right="0" w:hanging="361"/>
        <w:jc w:val="left"/>
        <w:rPr>
          <w:sz w:val="22"/>
        </w:rPr>
      </w:pPr>
      <w:r>
        <w:rPr>
          <w:sz w:val="22"/>
        </w:rPr>
        <w:t>West: Primary access road (Intermediate Ring</w:t>
      </w:r>
      <w:r>
        <w:rPr>
          <w:spacing w:val="-45"/>
          <w:sz w:val="22"/>
        </w:rPr>
        <w:t> </w:t>
      </w:r>
      <w:r>
        <w:rPr>
          <w:sz w:val="22"/>
        </w:rPr>
        <w:t>Road)</w:t>
      </w:r>
    </w:p>
    <w:p>
      <w:pPr>
        <w:pStyle w:val="BodyText"/>
        <w:spacing w:before="1"/>
        <w:rPr>
          <w:sz w:val="19"/>
        </w:rPr>
      </w:pPr>
    </w:p>
    <w:p>
      <w:pPr>
        <w:spacing w:after="0"/>
        <w:rPr>
          <w:sz w:val="19"/>
        </w:rPr>
        <w:sectPr>
          <w:pgSz w:w="11910" w:h="16840"/>
          <w:pgMar w:header="720" w:footer="921" w:top="1660" w:bottom="1120" w:left="600" w:right="600"/>
        </w:sectPr>
      </w:pPr>
    </w:p>
    <w:p>
      <w:pPr>
        <w:pStyle w:val="BodyText"/>
        <w:spacing w:line="321" w:lineRule="auto" w:before="106"/>
        <w:ind w:left="785"/>
      </w:pPr>
      <w:r>
        <w:rPr/>
        <w:t>Potential changes in </w:t>
      </w:r>
      <w:r>
        <w:rPr>
          <w:w w:val="95"/>
        </w:rPr>
        <w:t>surroundings:</w:t>
      </w:r>
    </w:p>
    <w:p>
      <w:pPr>
        <w:pStyle w:val="BodyText"/>
        <w:spacing w:line="321" w:lineRule="auto" w:before="106"/>
        <w:ind w:left="515" w:right="222"/>
        <w:jc w:val="both"/>
      </w:pPr>
      <w:r>
        <w:rPr/>
        <w:br w:type="column"/>
      </w:r>
      <w:r>
        <w:rPr/>
        <w:t>The subject sub market is amongst the most prominent commercial hubs in</w:t>
      </w:r>
      <w:r>
        <w:rPr>
          <w:spacing w:val="-42"/>
        </w:rPr>
        <w:t> </w:t>
      </w:r>
      <w:r>
        <w:rPr/>
        <w:t>the non-CBD area of the Bengaluru office market and enjoys good connectivity and accessibility</w:t>
      </w:r>
      <w:r>
        <w:rPr>
          <w:spacing w:val="-42"/>
        </w:rPr>
        <w:t> </w:t>
      </w:r>
      <w:r>
        <w:rPr/>
        <w:t>through</w:t>
      </w:r>
      <w:r>
        <w:rPr>
          <w:spacing w:val="-40"/>
        </w:rPr>
        <w:t> </w:t>
      </w:r>
      <w:r>
        <w:rPr/>
        <w:t>the</w:t>
      </w:r>
      <w:r>
        <w:rPr>
          <w:spacing w:val="-41"/>
        </w:rPr>
        <w:t> </w:t>
      </w:r>
      <w:r>
        <w:rPr/>
        <w:t>Intermediate</w:t>
      </w:r>
      <w:r>
        <w:rPr>
          <w:spacing w:val="-41"/>
        </w:rPr>
        <w:t> </w:t>
      </w:r>
      <w:r>
        <w:rPr/>
        <w:t>Ring</w:t>
      </w:r>
      <w:r>
        <w:rPr>
          <w:spacing w:val="-41"/>
        </w:rPr>
        <w:t> </w:t>
      </w:r>
      <w:r>
        <w:rPr/>
        <w:t>Road.</w:t>
      </w:r>
      <w:r>
        <w:rPr>
          <w:spacing w:val="-41"/>
        </w:rPr>
        <w:t> </w:t>
      </w:r>
      <w:r>
        <w:rPr/>
        <w:t>The</w:t>
      </w:r>
      <w:r>
        <w:rPr>
          <w:spacing w:val="-41"/>
        </w:rPr>
        <w:t> </w:t>
      </w:r>
      <w:r>
        <w:rPr/>
        <w:t>first</w:t>
      </w:r>
      <w:r>
        <w:rPr>
          <w:spacing w:val="-41"/>
        </w:rPr>
        <w:t> </w:t>
      </w:r>
      <w:r>
        <w:rPr/>
        <w:t>notable</w:t>
      </w:r>
      <w:r>
        <w:rPr>
          <w:spacing w:val="-41"/>
        </w:rPr>
        <w:t> </w:t>
      </w:r>
      <w:r>
        <w:rPr/>
        <w:t>development</w:t>
      </w:r>
      <w:r>
        <w:rPr>
          <w:spacing w:val="-41"/>
        </w:rPr>
        <w:t> </w:t>
      </w:r>
      <w:r>
        <w:rPr/>
        <w:t>in the</w:t>
      </w:r>
      <w:r>
        <w:rPr>
          <w:spacing w:val="-6"/>
        </w:rPr>
        <w:t> </w:t>
      </w:r>
      <w:r>
        <w:rPr/>
        <w:t>subject</w:t>
      </w:r>
      <w:r>
        <w:rPr>
          <w:spacing w:val="-5"/>
        </w:rPr>
        <w:t> </w:t>
      </w:r>
      <w:r>
        <w:rPr/>
        <w:t>region</w:t>
      </w:r>
      <w:r>
        <w:rPr>
          <w:spacing w:val="-6"/>
        </w:rPr>
        <w:t> </w:t>
      </w:r>
      <w:r>
        <w:rPr/>
        <w:t>was</w:t>
      </w:r>
      <w:r>
        <w:rPr>
          <w:spacing w:val="-6"/>
        </w:rPr>
        <w:t> </w:t>
      </w:r>
      <w:r>
        <w:rPr/>
        <w:t>Diamond</w:t>
      </w:r>
      <w:r>
        <w:rPr>
          <w:spacing w:val="-4"/>
        </w:rPr>
        <w:t> </w:t>
      </w:r>
      <w:r>
        <w:rPr/>
        <w:t>District,</w:t>
      </w:r>
      <w:r>
        <w:rPr>
          <w:spacing w:val="-7"/>
        </w:rPr>
        <w:t> </w:t>
      </w:r>
      <w:r>
        <w:rPr/>
        <w:t>by</w:t>
      </w:r>
      <w:r>
        <w:rPr>
          <w:spacing w:val="-6"/>
        </w:rPr>
        <w:t> </w:t>
      </w:r>
      <w:r>
        <w:rPr/>
        <w:t>India</w:t>
      </w:r>
      <w:r>
        <w:rPr>
          <w:spacing w:val="-7"/>
        </w:rPr>
        <w:t> </w:t>
      </w:r>
      <w:r>
        <w:rPr/>
        <w:t>Builders</w:t>
      </w:r>
      <w:r>
        <w:rPr>
          <w:spacing w:val="-6"/>
        </w:rPr>
        <w:t> </w:t>
      </w:r>
      <w:r>
        <w:rPr/>
        <w:t>Corporation,</w:t>
      </w:r>
      <w:r>
        <w:rPr>
          <w:spacing w:val="-5"/>
        </w:rPr>
        <w:t> </w:t>
      </w:r>
      <w:r>
        <w:rPr/>
        <w:t>a</w:t>
      </w:r>
      <w:r>
        <w:rPr>
          <w:spacing w:val="-8"/>
        </w:rPr>
        <w:t> </w:t>
      </w:r>
      <w:r>
        <w:rPr/>
        <w:t>dense mixed used development comprising of commercial office developments, residential</w:t>
      </w:r>
      <w:r>
        <w:rPr>
          <w:spacing w:val="-45"/>
        </w:rPr>
        <w:t> </w:t>
      </w:r>
      <w:r>
        <w:rPr/>
        <w:t>apartments</w:t>
      </w:r>
      <w:r>
        <w:rPr>
          <w:spacing w:val="-44"/>
        </w:rPr>
        <w:t> </w:t>
      </w:r>
      <w:r>
        <w:rPr/>
        <w:t>and</w:t>
      </w:r>
      <w:r>
        <w:rPr>
          <w:spacing w:val="-43"/>
        </w:rPr>
        <w:t> </w:t>
      </w:r>
      <w:r>
        <w:rPr/>
        <w:t>support</w:t>
      </w:r>
      <w:r>
        <w:rPr>
          <w:spacing w:val="-45"/>
        </w:rPr>
        <w:t> </w:t>
      </w:r>
      <w:r>
        <w:rPr/>
        <w:t>retail.</w:t>
      </w:r>
      <w:r>
        <w:rPr>
          <w:spacing w:val="-45"/>
        </w:rPr>
        <w:t> </w:t>
      </w:r>
      <w:r>
        <w:rPr/>
        <w:t>Further,</w:t>
      </w:r>
      <w:r>
        <w:rPr>
          <w:spacing w:val="-44"/>
        </w:rPr>
        <w:t> </w:t>
      </w:r>
      <w:r>
        <w:rPr/>
        <w:t>from</w:t>
      </w:r>
      <w:r>
        <w:rPr>
          <w:spacing w:val="-44"/>
        </w:rPr>
        <w:t> </w:t>
      </w:r>
      <w:r>
        <w:rPr/>
        <w:t>2003</w:t>
      </w:r>
      <w:r>
        <w:rPr>
          <w:spacing w:val="-45"/>
        </w:rPr>
        <w:t> </w:t>
      </w:r>
      <w:r>
        <w:rPr/>
        <w:t>onwards,</w:t>
      </w:r>
      <w:r>
        <w:rPr>
          <w:spacing w:val="-45"/>
        </w:rPr>
        <w:t> </w:t>
      </w:r>
      <w:r>
        <w:rPr/>
        <w:t>the</w:t>
      </w:r>
      <w:r>
        <w:rPr>
          <w:spacing w:val="-44"/>
        </w:rPr>
        <w:t> </w:t>
      </w:r>
      <w:r>
        <w:rPr/>
        <w:t>subject region has witnessed emergence of commercial developments such as Embassy GolfLinks</w:t>
      </w:r>
      <w:r>
        <w:rPr>
          <w:spacing w:val="-30"/>
        </w:rPr>
        <w:t> </w:t>
      </w:r>
      <w:r>
        <w:rPr/>
        <w:t>(subject</w:t>
      </w:r>
      <w:r>
        <w:rPr>
          <w:spacing w:val="-29"/>
        </w:rPr>
        <w:t> </w:t>
      </w:r>
      <w:r>
        <w:rPr/>
        <w:t>property),</w:t>
      </w:r>
      <w:r>
        <w:rPr>
          <w:spacing w:val="-29"/>
        </w:rPr>
        <w:t> </w:t>
      </w:r>
      <w:r>
        <w:rPr/>
        <w:t>DivyaSree</w:t>
      </w:r>
      <w:r>
        <w:rPr>
          <w:spacing w:val="-29"/>
        </w:rPr>
        <w:t> </w:t>
      </w:r>
      <w:r>
        <w:rPr/>
        <w:t>Greens,</w:t>
      </w:r>
      <w:r>
        <w:rPr>
          <w:spacing w:val="-29"/>
        </w:rPr>
        <w:t> </w:t>
      </w:r>
      <w:r>
        <w:rPr/>
        <w:t>Maruthi</w:t>
      </w:r>
      <w:r>
        <w:rPr>
          <w:spacing w:val="-30"/>
        </w:rPr>
        <w:t> </w:t>
      </w:r>
      <w:r>
        <w:rPr/>
        <w:t>Info</w:t>
      </w:r>
      <w:r>
        <w:rPr>
          <w:spacing w:val="-30"/>
        </w:rPr>
        <w:t> </w:t>
      </w:r>
      <w:r>
        <w:rPr/>
        <w:t>Tech</w:t>
      </w:r>
      <w:r>
        <w:rPr>
          <w:spacing w:val="-29"/>
        </w:rPr>
        <w:t> </w:t>
      </w:r>
      <w:r>
        <w:rPr/>
        <w:t>etc.</w:t>
      </w:r>
      <w:r>
        <w:rPr>
          <w:spacing w:val="-29"/>
        </w:rPr>
        <w:t> </w:t>
      </w:r>
      <w:r>
        <w:rPr/>
        <w:t>Prominent hotels</w:t>
      </w:r>
      <w:r>
        <w:rPr>
          <w:spacing w:val="-36"/>
        </w:rPr>
        <w:t> </w:t>
      </w:r>
      <w:r>
        <w:rPr/>
        <w:t>located</w:t>
      </w:r>
      <w:r>
        <w:rPr>
          <w:spacing w:val="-35"/>
        </w:rPr>
        <w:t> </w:t>
      </w:r>
      <w:r>
        <w:rPr/>
        <w:t>in</w:t>
      </w:r>
      <w:r>
        <w:rPr>
          <w:spacing w:val="-36"/>
        </w:rPr>
        <w:t> </w:t>
      </w:r>
      <w:r>
        <w:rPr/>
        <w:t>the</w:t>
      </w:r>
      <w:r>
        <w:rPr>
          <w:spacing w:val="-36"/>
        </w:rPr>
        <w:t> </w:t>
      </w:r>
      <w:r>
        <w:rPr/>
        <w:t>immediate</w:t>
      </w:r>
      <w:r>
        <w:rPr>
          <w:spacing w:val="-36"/>
        </w:rPr>
        <w:t> </w:t>
      </w:r>
      <w:r>
        <w:rPr/>
        <w:t>vicinity</w:t>
      </w:r>
      <w:r>
        <w:rPr>
          <w:spacing w:val="-35"/>
        </w:rPr>
        <w:t> </w:t>
      </w:r>
      <w:r>
        <w:rPr/>
        <w:t>of</w:t>
      </w:r>
      <w:r>
        <w:rPr>
          <w:spacing w:val="-35"/>
        </w:rPr>
        <w:t> </w:t>
      </w:r>
      <w:r>
        <w:rPr/>
        <w:t>the</w:t>
      </w:r>
      <w:r>
        <w:rPr>
          <w:spacing w:val="-36"/>
        </w:rPr>
        <w:t> </w:t>
      </w:r>
      <w:r>
        <w:rPr/>
        <w:t>subject</w:t>
      </w:r>
      <w:r>
        <w:rPr>
          <w:spacing w:val="-35"/>
        </w:rPr>
        <w:t> </w:t>
      </w:r>
      <w:r>
        <w:rPr/>
        <w:t>property</w:t>
      </w:r>
      <w:r>
        <w:rPr>
          <w:spacing w:val="-35"/>
        </w:rPr>
        <w:t> </w:t>
      </w:r>
      <w:r>
        <w:rPr/>
        <w:t>includes</w:t>
      </w:r>
      <w:r>
        <w:rPr>
          <w:spacing w:val="-35"/>
        </w:rPr>
        <w:t> </w:t>
      </w:r>
      <w:r>
        <w:rPr/>
        <w:t>The</w:t>
      </w:r>
      <w:r>
        <w:rPr>
          <w:spacing w:val="-38"/>
        </w:rPr>
        <w:t> </w:t>
      </w:r>
      <w:r>
        <w:rPr/>
        <w:t>Leela Palace,</w:t>
      </w:r>
      <w:r>
        <w:rPr>
          <w:spacing w:val="-30"/>
        </w:rPr>
        <w:t> </w:t>
      </w:r>
      <w:r>
        <w:rPr/>
        <w:t>Hilton</w:t>
      </w:r>
      <w:r>
        <w:rPr>
          <w:spacing w:val="-31"/>
        </w:rPr>
        <w:t> </w:t>
      </w:r>
      <w:r>
        <w:rPr/>
        <w:t>(within</w:t>
      </w:r>
      <w:r>
        <w:rPr>
          <w:spacing w:val="-30"/>
        </w:rPr>
        <w:t> </w:t>
      </w:r>
      <w:r>
        <w:rPr/>
        <w:t>the</w:t>
      </w:r>
      <w:r>
        <w:rPr>
          <w:spacing w:val="-31"/>
        </w:rPr>
        <w:t> </w:t>
      </w:r>
      <w:r>
        <w:rPr/>
        <w:t>larger</w:t>
      </w:r>
      <w:r>
        <w:rPr>
          <w:spacing w:val="-30"/>
        </w:rPr>
        <w:t> </w:t>
      </w:r>
      <w:r>
        <w:rPr/>
        <w:t>development),</w:t>
      </w:r>
      <w:r>
        <w:rPr>
          <w:spacing w:val="-31"/>
        </w:rPr>
        <w:t> </w:t>
      </w:r>
      <w:r>
        <w:rPr/>
        <w:t>Royal</w:t>
      </w:r>
      <w:r>
        <w:rPr>
          <w:spacing w:val="-29"/>
        </w:rPr>
        <w:t> </w:t>
      </w:r>
      <w:r>
        <w:rPr/>
        <w:t>Orchid,</w:t>
      </w:r>
      <w:r>
        <w:rPr>
          <w:spacing w:val="-30"/>
        </w:rPr>
        <w:t> </w:t>
      </w:r>
      <w:r>
        <w:rPr/>
        <w:t>The</w:t>
      </w:r>
      <w:r>
        <w:rPr>
          <w:spacing w:val="-31"/>
        </w:rPr>
        <w:t> </w:t>
      </w:r>
      <w:r>
        <w:rPr/>
        <w:t>Paul</w:t>
      </w:r>
      <w:r>
        <w:rPr>
          <w:spacing w:val="-30"/>
        </w:rPr>
        <w:t> </w:t>
      </w:r>
      <w:r>
        <w:rPr/>
        <w:t>etc.</w:t>
      </w:r>
      <w:r>
        <w:rPr>
          <w:spacing w:val="-30"/>
        </w:rPr>
        <w:t> </w:t>
      </w:r>
      <w:r>
        <w:rPr/>
        <w:t>which emerged</w:t>
      </w:r>
      <w:r>
        <w:rPr>
          <w:spacing w:val="-26"/>
        </w:rPr>
        <w:t> </w:t>
      </w:r>
      <w:r>
        <w:rPr/>
        <w:t>owing</w:t>
      </w:r>
      <w:r>
        <w:rPr>
          <w:spacing w:val="-26"/>
        </w:rPr>
        <w:t> </w:t>
      </w:r>
      <w:r>
        <w:rPr/>
        <w:t>to</w:t>
      </w:r>
      <w:r>
        <w:rPr>
          <w:spacing w:val="-26"/>
        </w:rPr>
        <w:t> </w:t>
      </w:r>
      <w:r>
        <w:rPr/>
        <w:t>the</w:t>
      </w:r>
      <w:r>
        <w:rPr>
          <w:spacing w:val="-27"/>
        </w:rPr>
        <w:t> </w:t>
      </w:r>
      <w:r>
        <w:rPr/>
        <w:t>tourist</w:t>
      </w:r>
      <w:r>
        <w:rPr>
          <w:spacing w:val="-25"/>
        </w:rPr>
        <w:t> </w:t>
      </w:r>
      <w:r>
        <w:rPr/>
        <w:t>demand</w:t>
      </w:r>
      <w:r>
        <w:rPr>
          <w:spacing w:val="-27"/>
        </w:rPr>
        <w:t> </w:t>
      </w:r>
      <w:r>
        <w:rPr/>
        <w:t>on</w:t>
      </w:r>
      <w:r>
        <w:rPr>
          <w:spacing w:val="-26"/>
        </w:rPr>
        <w:t> </w:t>
      </w:r>
      <w:r>
        <w:rPr/>
        <w:t>account</w:t>
      </w:r>
      <w:r>
        <w:rPr>
          <w:spacing w:val="-26"/>
        </w:rPr>
        <w:t> </w:t>
      </w:r>
      <w:r>
        <w:rPr/>
        <w:t>of</w:t>
      </w:r>
      <w:r>
        <w:rPr>
          <w:spacing w:val="-26"/>
        </w:rPr>
        <w:t> </w:t>
      </w:r>
      <w:r>
        <w:rPr/>
        <w:t>presence</w:t>
      </w:r>
      <w:r>
        <w:rPr>
          <w:spacing w:val="-26"/>
        </w:rPr>
        <w:t> </w:t>
      </w:r>
      <w:r>
        <w:rPr/>
        <w:t>of</w:t>
      </w:r>
      <w:r>
        <w:rPr>
          <w:spacing w:val="-26"/>
        </w:rPr>
        <w:t> </w:t>
      </w:r>
      <w:r>
        <w:rPr/>
        <w:t>Old</w:t>
      </w:r>
      <w:r>
        <w:rPr>
          <w:spacing w:val="-25"/>
        </w:rPr>
        <w:t> </w:t>
      </w:r>
      <w:r>
        <w:rPr/>
        <w:t>International Airport</w:t>
      </w:r>
      <w:r>
        <w:rPr>
          <w:spacing w:val="-36"/>
        </w:rPr>
        <w:t> </w:t>
      </w:r>
      <w:r>
        <w:rPr/>
        <w:t>and</w:t>
      </w:r>
      <w:r>
        <w:rPr>
          <w:spacing w:val="-36"/>
        </w:rPr>
        <w:t> </w:t>
      </w:r>
      <w:r>
        <w:rPr/>
        <w:t>demand</w:t>
      </w:r>
      <w:r>
        <w:rPr>
          <w:spacing w:val="-36"/>
        </w:rPr>
        <w:t> </w:t>
      </w:r>
      <w:r>
        <w:rPr/>
        <w:t>from</w:t>
      </w:r>
      <w:r>
        <w:rPr>
          <w:spacing w:val="-36"/>
        </w:rPr>
        <w:t> </w:t>
      </w:r>
      <w:r>
        <w:rPr/>
        <w:t>commercial</w:t>
      </w:r>
      <w:r>
        <w:rPr>
          <w:spacing w:val="-36"/>
        </w:rPr>
        <w:t> </w:t>
      </w:r>
      <w:r>
        <w:rPr/>
        <w:t>developments</w:t>
      </w:r>
      <w:r>
        <w:rPr>
          <w:spacing w:val="-35"/>
        </w:rPr>
        <w:t> </w:t>
      </w:r>
      <w:r>
        <w:rPr/>
        <w:t>located</w:t>
      </w:r>
      <w:r>
        <w:rPr>
          <w:spacing w:val="-35"/>
        </w:rPr>
        <w:t> </w:t>
      </w:r>
      <w:r>
        <w:rPr/>
        <w:t>in</w:t>
      </w:r>
      <w:r>
        <w:rPr>
          <w:spacing w:val="-38"/>
        </w:rPr>
        <w:t> </w:t>
      </w:r>
      <w:r>
        <w:rPr/>
        <w:t>the</w:t>
      </w:r>
      <w:r>
        <w:rPr>
          <w:spacing w:val="-36"/>
        </w:rPr>
        <w:t> </w:t>
      </w:r>
      <w:r>
        <w:rPr/>
        <w:t>subject</w:t>
      </w:r>
      <w:r>
        <w:rPr>
          <w:spacing w:val="-37"/>
        </w:rPr>
        <w:t> </w:t>
      </w:r>
      <w:r>
        <w:rPr/>
        <w:t>region. Going</w:t>
      </w:r>
      <w:r>
        <w:rPr>
          <w:spacing w:val="-19"/>
        </w:rPr>
        <w:t> </w:t>
      </w:r>
      <w:r>
        <w:rPr/>
        <w:t>forward,</w:t>
      </w:r>
      <w:r>
        <w:rPr>
          <w:spacing w:val="-19"/>
        </w:rPr>
        <w:t> </w:t>
      </w:r>
      <w:r>
        <w:rPr/>
        <w:t>the</w:t>
      </w:r>
      <w:r>
        <w:rPr>
          <w:spacing w:val="-18"/>
        </w:rPr>
        <w:t> </w:t>
      </w:r>
      <w:r>
        <w:rPr/>
        <w:t>location</w:t>
      </w:r>
      <w:r>
        <w:rPr>
          <w:spacing w:val="-17"/>
        </w:rPr>
        <w:t> </w:t>
      </w:r>
      <w:r>
        <w:rPr/>
        <w:t>is</w:t>
      </w:r>
      <w:r>
        <w:rPr>
          <w:spacing w:val="-18"/>
        </w:rPr>
        <w:t> </w:t>
      </w:r>
      <w:r>
        <w:rPr/>
        <w:t>expected</w:t>
      </w:r>
      <w:r>
        <w:rPr>
          <w:spacing w:val="-18"/>
        </w:rPr>
        <w:t> </w:t>
      </w:r>
      <w:r>
        <w:rPr/>
        <w:t>to</w:t>
      </w:r>
      <w:r>
        <w:rPr>
          <w:spacing w:val="-19"/>
        </w:rPr>
        <w:t> </w:t>
      </w:r>
      <w:r>
        <w:rPr/>
        <w:t>witness</w:t>
      </w:r>
      <w:r>
        <w:rPr>
          <w:spacing w:val="-17"/>
        </w:rPr>
        <w:t> </w:t>
      </w:r>
      <w:r>
        <w:rPr/>
        <w:t>limited</w:t>
      </w:r>
      <w:r>
        <w:rPr>
          <w:spacing w:val="-18"/>
        </w:rPr>
        <w:t> </w:t>
      </w:r>
      <w:r>
        <w:rPr/>
        <w:t>real</w:t>
      </w:r>
      <w:r>
        <w:rPr>
          <w:spacing w:val="-18"/>
        </w:rPr>
        <w:t> </w:t>
      </w:r>
      <w:r>
        <w:rPr/>
        <w:t>estate</w:t>
      </w:r>
      <w:r>
        <w:rPr>
          <w:spacing w:val="-17"/>
        </w:rPr>
        <w:t> </w:t>
      </w:r>
      <w:r>
        <w:rPr/>
        <w:t>activity</w:t>
      </w:r>
      <w:r>
        <w:rPr>
          <w:spacing w:val="-17"/>
        </w:rPr>
        <w:t> </w:t>
      </w:r>
      <w:r>
        <w:rPr/>
        <w:t>on account</w:t>
      </w:r>
      <w:r>
        <w:rPr>
          <w:spacing w:val="-30"/>
        </w:rPr>
        <w:t> </w:t>
      </w:r>
      <w:r>
        <w:rPr/>
        <w:t>of</w:t>
      </w:r>
      <w:r>
        <w:rPr>
          <w:spacing w:val="-28"/>
        </w:rPr>
        <w:t> </w:t>
      </w:r>
      <w:r>
        <w:rPr/>
        <w:t>lack</w:t>
      </w:r>
      <w:r>
        <w:rPr>
          <w:spacing w:val="-29"/>
        </w:rPr>
        <w:t> </w:t>
      </w:r>
      <w:r>
        <w:rPr/>
        <w:t>of</w:t>
      </w:r>
      <w:r>
        <w:rPr>
          <w:spacing w:val="-29"/>
        </w:rPr>
        <w:t> </w:t>
      </w:r>
      <w:r>
        <w:rPr/>
        <w:t>developable</w:t>
      </w:r>
      <w:r>
        <w:rPr>
          <w:spacing w:val="-29"/>
        </w:rPr>
        <w:t> </w:t>
      </w:r>
      <w:r>
        <w:rPr/>
        <w:t>land</w:t>
      </w:r>
      <w:r>
        <w:rPr>
          <w:spacing w:val="-29"/>
        </w:rPr>
        <w:t> </w:t>
      </w:r>
      <w:r>
        <w:rPr/>
        <w:t>with</w:t>
      </w:r>
      <w:r>
        <w:rPr>
          <w:spacing w:val="-29"/>
        </w:rPr>
        <w:t> </w:t>
      </w:r>
      <w:r>
        <w:rPr/>
        <w:t>large</w:t>
      </w:r>
      <w:r>
        <w:rPr>
          <w:spacing w:val="-29"/>
        </w:rPr>
        <w:t> </w:t>
      </w:r>
      <w:r>
        <w:rPr/>
        <w:t>proportion</w:t>
      </w:r>
      <w:r>
        <w:rPr>
          <w:spacing w:val="-29"/>
        </w:rPr>
        <w:t> </w:t>
      </w:r>
      <w:r>
        <w:rPr/>
        <w:t>of</w:t>
      </w:r>
      <w:r>
        <w:rPr>
          <w:spacing w:val="-28"/>
        </w:rPr>
        <w:t> </w:t>
      </w:r>
      <w:r>
        <w:rPr/>
        <w:t>vacant</w:t>
      </w:r>
      <w:r>
        <w:rPr>
          <w:spacing w:val="-29"/>
        </w:rPr>
        <w:t> </w:t>
      </w:r>
      <w:r>
        <w:rPr/>
        <w:t>land</w:t>
      </w:r>
      <w:r>
        <w:rPr>
          <w:spacing w:val="-29"/>
        </w:rPr>
        <w:t> </w:t>
      </w:r>
      <w:r>
        <w:rPr/>
        <w:t>currently under the ownership of Defence</w:t>
      </w:r>
      <w:r>
        <w:rPr>
          <w:spacing w:val="-27"/>
        </w:rPr>
        <w:t> </w:t>
      </w:r>
      <w:r>
        <w:rPr/>
        <w:t>services.</w:t>
      </w:r>
    </w:p>
    <w:p>
      <w:pPr>
        <w:spacing w:after="0" w:line="321" w:lineRule="auto"/>
        <w:jc w:val="both"/>
        <w:sectPr>
          <w:type w:val="continuous"/>
          <w:pgSz w:w="11910" w:h="16840"/>
          <w:pgMar w:top="800" w:bottom="280" w:left="600" w:right="600"/>
          <w:cols w:num="2" w:equalWidth="0">
            <w:col w:w="2108" w:space="40"/>
            <w:col w:w="8562"/>
          </w:cols>
        </w:sectPr>
      </w:pPr>
    </w:p>
    <w:p>
      <w:pPr>
        <w:pStyle w:val="BodyText"/>
        <w:spacing w:before="2"/>
        <w:rPr>
          <w:sz w:val="12"/>
        </w:rPr>
      </w:pPr>
    </w:p>
    <w:p>
      <w:pPr>
        <w:spacing w:after="0"/>
        <w:rPr>
          <w:sz w:val="12"/>
        </w:rPr>
        <w:sectPr>
          <w:type w:val="continuous"/>
          <w:pgSz w:w="11910" w:h="16840"/>
          <w:pgMar w:top="800" w:bottom="280" w:left="600" w:right="600"/>
        </w:sectPr>
      </w:pPr>
    </w:p>
    <w:p>
      <w:pPr>
        <w:pStyle w:val="BodyText"/>
        <w:spacing w:line="321" w:lineRule="auto" w:before="106"/>
        <w:ind w:left="785" w:right="-14"/>
      </w:pPr>
      <w:r>
        <w:rPr>
          <w:w w:val="95"/>
        </w:rPr>
        <w:t>Suitability</w:t>
      </w:r>
      <w:r>
        <w:rPr>
          <w:spacing w:val="-39"/>
          <w:w w:val="95"/>
        </w:rPr>
        <w:t> </w:t>
      </w:r>
      <w:r>
        <w:rPr>
          <w:w w:val="95"/>
        </w:rPr>
        <w:t>of existing</w:t>
      </w:r>
      <w:r>
        <w:rPr>
          <w:spacing w:val="-5"/>
          <w:w w:val="95"/>
        </w:rPr>
        <w:t> use:</w:t>
      </w:r>
    </w:p>
    <w:p>
      <w:pPr>
        <w:pStyle w:val="BodyText"/>
        <w:spacing w:line="321" w:lineRule="auto" w:before="106"/>
        <w:ind w:left="667"/>
      </w:pPr>
      <w:r>
        <w:rPr/>
        <w:br w:type="column"/>
      </w:r>
      <w:r>
        <w:rPr/>
        <w:t>Considering the profile of surrounding developments, the subject property is opined to be suited for its current use viz. Office Park.</w:t>
      </w:r>
    </w:p>
    <w:p>
      <w:pPr>
        <w:spacing w:after="0" w:line="321" w:lineRule="auto"/>
        <w:sectPr>
          <w:type w:val="continuous"/>
          <w:pgSz w:w="11910" w:h="16840"/>
          <w:pgMar w:top="800" w:bottom="280" w:left="600" w:right="600"/>
          <w:cols w:num="2" w:equalWidth="0">
            <w:col w:w="1955" w:space="40"/>
            <w:col w:w="8715"/>
          </w:cols>
        </w:sectPr>
      </w:pPr>
    </w:p>
    <w:p>
      <w:pPr>
        <w:spacing w:before="75"/>
        <w:ind w:left="211" w:right="0" w:firstLine="0"/>
        <w:jc w:val="left"/>
        <w:rPr>
          <w:sz w:val="20"/>
        </w:rPr>
      </w:pPr>
      <w:r>
        <w:rPr/>
        <w:drawing>
          <wp:anchor distT="0" distB="0" distL="0" distR="0" allowOverlap="1" layoutInCell="1" locked="0" behindDoc="0" simplePos="0" relativeHeight="1275">
            <wp:simplePos x="0" y="0"/>
            <wp:positionH relativeFrom="page">
              <wp:posOffset>832485</wp:posOffset>
            </wp:positionH>
            <wp:positionV relativeFrom="paragraph">
              <wp:posOffset>283078</wp:posOffset>
            </wp:positionV>
            <wp:extent cx="9725902" cy="79248"/>
            <wp:effectExtent l="0" t="0" r="0" b="0"/>
            <wp:wrapTopAndBottom/>
            <wp:docPr id="267" name="image78.png"/>
            <wp:cNvGraphicFramePr>
              <a:graphicFrameLocks noChangeAspect="1"/>
            </wp:cNvGraphicFramePr>
            <a:graphic>
              <a:graphicData uri="http://schemas.openxmlformats.org/drawingml/2006/picture">
                <pic:pic>
                  <pic:nvPicPr>
                    <pic:cNvPr id="268" name="image78.png"/>
                    <pic:cNvPicPr/>
                  </pic:nvPicPr>
                  <pic:blipFill>
                    <a:blip r:embed="rId106" cstate="print"/>
                    <a:stretch>
                      <a:fillRect/>
                    </a:stretch>
                  </pic:blipFill>
                  <pic:spPr>
                    <a:xfrm>
                      <a:off x="0" y="0"/>
                      <a:ext cx="9725902" cy="79248"/>
                    </a:xfrm>
                    <a:prstGeom prst="rect">
                      <a:avLst/>
                    </a:prstGeom>
                  </pic:spPr>
                </pic:pic>
              </a:graphicData>
            </a:graphic>
          </wp:anchor>
        </w:drawing>
      </w:r>
      <w:r>
        <w:rPr/>
        <w:drawing>
          <wp:anchor distT="0" distB="0" distL="0" distR="0" allowOverlap="1" layoutInCell="1" locked="0" behindDoc="0" simplePos="0" relativeHeight="16382976">
            <wp:simplePos x="0" y="0"/>
            <wp:positionH relativeFrom="page">
              <wp:posOffset>7620634</wp:posOffset>
            </wp:positionH>
            <wp:positionV relativeFrom="page">
              <wp:posOffset>7067651</wp:posOffset>
            </wp:positionV>
            <wp:extent cx="1079500" cy="300457"/>
            <wp:effectExtent l="0" t="0" r="0" b="0"/>
            <wp:wrapNone/>
            <wp:docPr id="269" name="image3.jpeg"/>
            <wp:cNvGraphicFramePr>
              <a:graphicFrameLocks noChangeAspect="1"/>
            </wp:cNvGraphicFramePr>
            <a:graphic>
              <a:graphicData uri="http://schemas.openxmlformats.org/drawingml/2006/picture">
                <pic:pic>
                  <pic:nvPicPr>
                    <pic:cNvPr id="270"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6383488">
            <wp:simplePos x="0" y="0"/>
            <wp:positionH relativeFrom="page">
              <wp:posOffset>8833032</wp:posOffset>
            </wp:positionH>
            <wp:positionV relativeFrom="page">
              <wp:posOffset>6937815</wp:posOffset>
            </wp:positionV>
            <wp:extent cx="909288" cy="433873"/>
            <wp:effectExtent l="0" t="0" r="0" b="0"/>
            <wp:wrapNone/>
            <wp:docPr id="271" name="image4.png"/>
            <wp:cNvGraphicFramePr>
              <a:graphicFrameLocks noChangeAspect="1"/>
            </wp:cNvGraphicFramePr>
            <a:graphic>
              <a:graphicData uri="http://schemas.openxmlformats.org/drawingml/2006/picture">
                <pic:pic>
                  <pic:nvPicPr>
                    <pic:cNvPr id="272"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BodyText"/>
        <w:rPr>
          <w:sz w:val="24"/>
        </w:rPr>
      </w:pPr>
    </w:p>
    <w:p>
      <w:pPr>
        <w:pStyle w:val="BodyText"/>
        <w:spacing w:before="179"/>
        <w:ind w:left="211"/>
      </w:pPr>
      <w:r>
        <w:rPr/>
        <w:t>The following map indicates the location of the subject property and surrounding developments:</w:t>
      </w:r>
    </w:p>
    <w:p>
      <w:pPr>
        <w:pStyle w:val="BodyText"/>
        <w:spacing w:before="8"/>
        <w:rPr>
          <w:sz w:val="19"/>
        </w:rPr>
      </w:pPr>
      <w:r>
        <w:rPr/>
        <w:pict>
          <v:group style="position:absolute;margin-left:70.559998pt;margin-top:13.403945pt;width:676.95pt;height:14.2pt;mso-position-horizontal-relative:page;mso-position-vertical-relative:paragraph;z-index:-15074816;mso-wrap-distance-left:0;mso-wrap-distance-right:0" coordorigin="1411,268" coordsize="13539,284">
            <v:rect style="position:absolute;left:1411;top:299;width:13539;height:252" filled="true" fillcolor="#006a4d" stroked="false">
              <v:fill type="solid"/>
            </v:rect>
            <v:rect style="position:absolute;left:1411;top:268;width:13539;height:29" filled="true" fillcolor="#1f6b16" stroked="false">
              <v:fill type="solid"/>
            </v:rect>
            <v:rect style="position:absolute;left:1411;top:296;width:13539;height:3" filled="true" fillcolor="#006a4d" stroked="false">
              <v:fill type="solid"/>
            </v:rect>
            <v:shape style="position:absolute;left:1411;top:299;width:13539;height:252" type="#_x0000_t202" filled="false" stroked="false">
              <v:textbox inset="0,0,0,0">
                <w:txbxContent>
                  <w:p>
                    <w:pPr>
                      <w:spacing w:before="23"/>
                      <w:ind w:left="5053" w:right="5054" w:firstLine="0"/>
                      <w:jc w:val="center"/>
                      <w:rPr>
                        <w:b/>
                        <w:sz w:val="18"/>
                      </w:rPr>
                    </w:pPr>
                    <w:r>
                      <w:rPr>
                        <w:b/>
                        <w:color w:val="FFFFFF"/>
                        <w:w w:val="105"/>
                        <w:sz w:val="18"/>
                      </w:rPr>
                      <w:t>Location Map for the Subject Property</w:t>
                    </w:r>
                  </w:p>
                </w:txbxContent>
              </v:textbox>
              <w10:wrap type="none"/>
            </v:shape>
            <w10:wrap type="topAndBottom"/>
          </v:group>
        </w:pict>
      </w:r>
    </w:p>
    <w:p>
      <w:pPr>
        <w:pStyle w:val="BodyText"/>
        <w:spacing w:before="5"/>
        <w:rPr>
          <w:sz w:val="7"/>
        </w:rPr>
      </w:pPr>
    </w:p>
    <w:p>
      <w:pPr>
        <w:pStyle w:val="BodyText"/>
        <w:ind w:left="1630"/>
        <w:rPr>
          <w:sz w:val="20"/>
        </w:rPr>
      </w:pPr>
      <w:r>
        <w:rPr>
          <w:sz w:val="20"/>
        </w:rPr>
        <w:drawing>
          <wp:inline distT="0" distB="0" distL="0" distR="0">
            <wp:extent cx="6196510" cy="4497324"/>
            <wp:effectExtent l="0" t="0" r="0" b="0"/>
            <wp:docPr id="273" name="image195.png"/>
            <wp:cNvGraphicFramePr>
              <a:graphicFrameLocks noChangeAspect="1"/>
            </wp:cNvGraphicFramePr>
            <a:graphic>
              <a:graphicData uri="http://schemas.openxmlformats.org/drawingml/2006/picture">
                <pic:pic>
                  <pic:nvPicPr>
                    <pic:cNvPr id="274" name="image195.png"/>
                    <pic:cNvPicPr/>
                  </pic:nvPicPr>
                  <pic:blipFill>
                    <a:blip r:embed="rId260" cstate="print"/>
                    <a:stretch>
                      <a:fillRect/>
                    </a:stretch>
                  </pic:blipFill>
                  <pic:spPr>
                    <a:xfrm>
                      <a:off x="0" y="0"/>
                      <a:ext cx="6196510" cy="4497324"/>
                    </a:xfrm>
                    <a:prstGeom prst="rect">
                      <a:avLst/>
                    </a:prstGeom>
                  </pic:spPr>
                </pic:pic>
              </a:graphicData>
            </a:graphic>
          </wp:inline>
        </w:drawing>
      </w:r>
      <w:r>
        <w:rPr>
          <w:sz w:val="20"/>
        </w:rPr>
      </w:r>
    </w:p>
    <w:p>
      <w:pPr>
        <w:pStyle w:val="BodyText"/>
        <w:spacing w:before="9"/>
        <w:rPr>
          <w:sz w:val="9"/>
        </w:rPr>
      </w:pPr>
    </w:p>
    <w:p>
      <w:pPr>
        <w:spacing w:before="105"/>
        <w:ind w:left="1610" w:right="0" w:firstLine="0"/>
        <w:jc w:val="left"/>
        <w:rPr>
          <w:i/>
          <w:sz w:val="18"/>
        </w:rPr>
      </w:pPr>
      <w:r>
        <w:rPr>
          <w:i/>
          <w:sz w:val="18"/>
        </w:rPr>
        <w:t>Source: Consultants’ Research</w:t>
      </w:r>
    </w:p>
    <w:p>
      <w:pPr>
        <w:spacing w:after="0"/>
        <w:jc w:val="left"/>
        <w:rPr>
          <w:sz w:val="18"/>
        </w:rPr>
        <w:sectPr>
          <w:headerReference w:type="default" r:id="rId258"/>
          <w:footerReference w:type="default" r:id="rId259"/>
          <w:pgSz w:w="16840" w:h="11910" w:orient="landscape"/>
          <w:pgMar w:header="0" w:footer="504" w:top="640" w:bottom="700" w:left="1200" w:right="200"/>
        </w:sectPr>
      </w:pPr>
    </w:p>
    <w:p>
      <w:pPr>
        <w:pStyle w:val="BodyText"/>
        <w:rPr>
          <w:i/>
          <w:sz w:val="20"/>
        </w:rPr>
      </w:pPr>
    </w:p>
    <w:p>
      <w:pPr>
        <w:pStyle w:val="BodyText"/>
        <w:spacing w:before="6"/>
        <w:rPr>
          <w:i/>
          <w:sz w:val="21"/>
        </w:rPr>
      </w:pPr>
    </w:p>
    <w:p>
      <w:pPr>
        <w:pStyle w:val="BodyText"/>
        <w:tabs>
          <w:tab w:pos="2695" w:val="left" w:leader="none"/>
        </w:tabs>
        <w:spacing w:line="321" w:lineRule="auto"/>
        <w:ind w:left="2695" w:right="227" w:hanging="1931"/>
        <w:jc w:val="both"/>
      </w:pPr>
      <w:r>
        <w:rPr/>
        <w:t>Shape:</w:t>
        <w:tab/>
        <w:t>Based</w:t>
      </w:r>
      <w:r>
        <w:rPr>
          <w:spacing w:val="-37"/>
        </w:rPr>
        <w:t> </w:t>
      </w:r>
      <w:r>
        <w:rPr/>
        <w:t>on</w:t>
      </w:r>
      <w:r>
        <w:rPr>
          <w:spacing w:val="-38"/>
        </w:rPr>
        <w:t> </w:t>
      </w:r>
      <w:r>
        <w:rPr/>
        <w:t>site</w:t>
      </w:r>
      <w:r>
        <w:rPr>
          <w:spacing w:val="-36"/>
        </w:rPr>
        <w:t> </w:t>
      </w:r>
      <w:r>
        <w:rPr/>
        <w:t>plan</w:t>
      </w:r>
      <w:r>
        <w:rPr>
          <w:spacing w:val="-37"/>
        </w:rPr>
        <w:t> </w:t>
      </w:r>
      <w:r>
        <w:rPr/>
        <w:t>provided</w:t>
      </w:r>
      <w:r>
        <w:rPr>
          <w:spacing w:val="-36"/>
        </w:rPr>
        <w:t> </w:t>
      </w:r>
      <w:r>
        <w:rPr/>
        <w:t>by</w:t>
      </w:r>
      <w:r>
        <w:rPr>
          <w:spacing w:val="-36"/>
        </w:rPr>
        <w:t> </w:t>
      </w:r>
      <w:r>
        <w:rPr/>
        <w:t>the</w:t>
      </w:r>
      <w:r>
        <w:rPr>
          <w:spacing w:val="-36"/>
        </w:rPr>
        <w:t> </w:t>
      </w:r>
      <w:r>
        <w:rPr/>
        <w:t>Client</w:t>
      </w:r>
      <w:r>
        <w:rPr>
          <w:spacing w:val="-36"/>
        </w:rPr>
        <w:t> </w:t>
      </w:r>
      <w:r>
        <w:rPr/>
        <w:t>and</w:t>
      </w:r>
      <w:r>
        <w:rPr>
          <w:spacing w:val="-36"/>
        </w:rPr>
        <w:t> </w:t>
      </w:r>
      <w:r>
        <w:rPr/>
        <w:t>visual</w:t>
      </w:r>
      <w:r>
        <w:rPr>
          <w:spacing w:val="-36"/>
        </w:rPr>
        <w:t> </w:t>
      </w:r>
      <w:r>
        <w:rPr/>
        <w:t>inspection</w:t>
      </w:r>
      <w:r>
        <w:rPr>
          <w:spacing w:val="-37"/>
        </w:rPr>
        <w:t> </w:t>
      </w:r>
      <w:r>
        <w:rPr/>
        <w:t>during</w:t>
      </w:r>
      <w:r>
        <w:rPr>
          <w:spacing w:val="-36"/>
        </w:rPr>
        <w:t> </w:t>
      </w:r>
      <w:r>
        <w:rPr/>
        <w:t>the</w:t>
      </w:r>
      <w:r>
        <w:rPr>
          <w:spacing w:val="-37"/>
        </w:rPr>
        <w:t> </w:t>
      </w:r>
      <w:r>
        <w:rPr/>
        <w:t>site</w:t>
      </w:r>
      <w:r>
        <w:rPr>
          <w:spacing w:val="-36"/>
        </w:rPr>
        <w:t> </w:t>
      </w:r>
      <w:r>
        <w:rPr/>
        <w:t>visit, it</w:t>
      </w:r>
      <w:r>
        <w:rPr>
          <w:spacing w:val="-19"/>
        </w:rPr>
        <w:t> </w:t>
      </w:r>
      <w:r>
        <w:rPr/>
        <w:t>is</w:t>
      </w:r>
      <w:r>
        <w:rPr>
          <w:spacing w:val="-19"/>
        </w:rPr>
        <w:t> </w:t>
      </w:r>
      <w:r>
        <w:rPr/>
        <w:t>understood</w:t>
      </w:r>
      <w:r>
        <w:rPr>
          <w:spacing w:val="-18"/>
        </w:rPr>
        <w:t> </w:t>
      </w:r>
      <w:r>
        <w:rPr/>
        <w:t>that</w:t>
      </w:r>
      <w:r>
        <w:rPr>
          <w:spacing w:val="-19"/>
        </w:rPr>
        <w:t> </w:t>
      </w:r>
      <w:r>
        <w:rPr/>
        <w:t>the</w:t>
      </w:r>
      <w:r>
        <w:rPr>
          <w:spacing w:val="-21"/>
        </w:rPr>
        <w:t> </w:t>
      </w:r>
      <w:r>
        <w:rPr/>
        <w:t>subject</w:t>
      </w:r>
      <w:r>
        <w:rPr>
          <w:spacing w:val="-18"/>
        </w:rPr>
        <w:t> </w:t>
      </w:r>
      <w:r>
        <w:rPr/>
        <w:t>property</w:t>
      </w:r>
      <w:r>
        <w:rPr>
          <w:spacing w:val="-18"/>
        </w:rPr>
        <w:t> </w:t>
      </w:r>
      <w:r>
        <w:rPr/>
        <w:t>is</w:t>
      </w:r>
      <w:r>
        <w:rPr>
          <w:spacing w:val="-18"/>
        </w:rPr>
        <w:t> </w:t>
      </w:r>
      <w:r>
        <w:rPr/>
        <w:t>an</w:t>
      </w:r>
      <w:r>
        <w:rPr>
          <w:spacing w:val="-20"/>
        </w:rPr>
        <w:t> </w:t>
      </w:r>
      <w:r>
        <w:rPr/>
        <w:t>irregular</w:t>
      </w:r>
      <w:r>
        <w:rPr>
          <w:spacing w:val="-19"/>
        </w:rPr>
        <w:t> </w:t>
      </w:r>
      <w:r>
        <w:rPr/>
        <w:t>shaped</w:t>
      </w:r>
      <w:r>
        <w:rPr>
          <w:spacing w:val="-18"/>
        </w:rPr>
        <w:t> </w:t>
      </w:r>
      <w:r>
        <w:rPr/>
        <w:t>land</w:t>
      </w:r>
      <w:r>
        <w:rPr>
          <w:spacing w:val="-18"/>
        </w:rPr>
        <w:t> </w:t>
      </w:r>
      <w:r>
        <w:rPr/>
        <w:t>parcel.</w:t>
      </w:r>
    </w:p>
    <w:p>
      <w:pPr>
        <w:pStyle w:val="BodyText"/>
        <w:tabs>
          <w:tab w:pos="2695" w:val="left" w:leader="none"/>
        </w:tabs>
        <w:spacing w:line="321" w:lineRule="auto" w:before="119"/>
        <w:ind w:left="2695" w:right="226" w:hanging="1931"/>
        <w:jc w:val="both"/>
      </w:pPr>
      <w:r>
        <w:rPr/>
        <w:t>Topography:</w:t>
        <w:tab/>
        <w:t>Based</w:t>
      </w:r>
      <w:r>
        <w:rPr>
          <w:spacing w:val="-20"/>
        </w:rPr>
        <w:t> </w:t>
      </w:r>
      <w:r>
        <w:rPr/>
        <w:t>on</w:t>
      </w:r>
      <w:r>
        <w:rPr>
          <w:spacing w:val="-19"/>
        </w:rPr>
        <w:t> </w:t>
      </w:r>
      <w:r>
        <w:rPr/>
        <w:t>the</w:t>
      </w:r>
      <w:r>
        <w:rPr>
          <w:spacing w:val="-20"/>
        </w:rPr>
        <w:t> </w:t>
      </w:r>
      <w:r>
        <w:rPr/>
        <w:t>site</w:t>
      </w:r>
      <w:r>
        <w:rPr>
          <w:spacing w:val="-20"/>
        </w:rPr>
        <w:t> </w:t>
      </w:r>
      <w:r>
        <w:rPr/>
        <w:t>plan</w:t>
      </w:r>
      <w:r>
        <w:rPr>
          <w:spacing w:val="-20"/>
        </w:rPr>
        <w:t> </w:t>
      </w:r>
      <w:r>
        <w:rPr/>
        <w:t>and</w:t>
      </w:r>
      <w:r>
        <w:rPr>
          <w:spacing w:val="-17"/>
        </w:rPr>
        <w:t> </w:t>
      </w:r>
      <w:r>
        <w:rPr/>
        <w:t>as</w:t>
      </w:r>
      <w:r>
        <w:rPr>
          <w:spacing w:val="-18"/>
        </w:rPr>
        <w:t> </w:t>
      </w:r>
      <w:r>
        <w:rPr/>
        <w:t>corroborated</w:t>
      </w:r>
      <w:r>
        <w:rPr>
          <w:spacing w:val="-19"/>
        </w:rPr>
        <w:t> </w:t>
      </w:r>
      <w:r>
        <w:rPr/>
        <w:t>with</w:t>
      </w:r>
      <w:r>
        <w:rPr>
          <w:spacing w:val="-20"/>
        </w:rPr>
        <w:t> </w:t>
      </w:r>
      <w:r>
        <w:rPr/>
        <w:t>our</w:t>
      </w:r>
      <w:r>
        <w:rPr>
          <w:spacing w:val="-20"/>
        </w:rPr>
        <w:t> </w:t>
      </w:r>
      <w:r>
        <w:rPr/>
        <w:t>site</w:t>
      </w:r>
      <w:r>
        <w:rPr>
          <w:spacing w:val="-19"/>
        </w:rPr>
        <w:t> </w:t>
      </w:r>
      <w:r>
        <w:rPr/>
        <w:t>visit,</w:t>
      </w:r>
      <w:r>
        <w:rPr>
          <w:spacing w:val="-20"/>
        </w:rPr>
        <w:t> </w:t>
      </w:r>
      <w:r>
        <w:rPr/>
        <w:t>the</w:t>
      </w:r>
      <w:r>
        <w:rPr>
          <w:spacing w:val="-20"/>
        </w:rPr>
        <w:t> </w:t>
      </w:r>
      <w:r>
        <w:rPr/>
        <w:t>site</w:t>
      </w:r>
      <w:r>
        <w:rPr>
          <w:spacing w:val="-18"/>
        </w:rPr>
        <w:t> </w:t>
      </w:r>
      <w:r>
        <w:rPr/>
        <w:t>appears</w:t>
      </w:r>
      <w:r>
        <w:rPr>
          <w:spacing w:val="-19"/>
        </w:rPr>
        <w:t> </w:t>
      </w:r>
      <w:r>
        <w:rPr/>
        <w:t>to be</w:t>
      </w:r>
      <w:r>
        <w:rPr>
          <w:spacing w:val="-24"/>
        </w:rPr>
        <w:t> </w:t>
      </w:r>
      <w:r>
        <w:rPr/>
        <w:t>even</w:t>
      </w:r>
      <w:r>
        <w:rPr>
          <w:spacing w:val="-24"/>
        </w:rPr>
        <w:t> </w:t>
      </w:r>
      <w:r>
        <w:rPr/>
        <w:t>and</w:t>
      </w:r>
      <w:r>
        <w:rPr>
          <w:spacing w:val="-23"/>
        </w:rPr>
        <w:t> </w:t>
      </w:r>
      <w:r>
        <w:rPr/>
        <w:t>on</w:t>
      </w:r>
      <w:r>
        <w:rPr>
          <w:spacing w:val="-23"/>
        </w:rPr>
        <w:t> </w:t>
      </w:r>
      <w:r>
        <w:rPr/>
        <w:t>the</w:t>
      </w:r>
      <w:r>
        <w:rPr>
          <w:spacing w:val="-23"/>
        </w:rPr>
        <w:t> </w:t>
      </w:r>
      <w:r>
        <w:rPr/>
        <w:t>same</w:t>
      </w:r>
      <w:r>
        <w:rPr>
          <w:spacing w:val="-23"/>
        </w:rPr>
        <w:t> </w:t>
      </w:r>
      <w:r>
        <w:rPr/>
        <w:t>level</w:t>
      </w:r>
      <w:r>
        <w:rPr>
          <w:spacing w:val="-22"/>
        </w:rPr>
        <w:t> </w:t>
      </w:r>
      <w:r>
        <w:rPr/>
        <w:t>as</w:t>
      </w:r>
      <w:r>
        <w:rPr>
          <w:spacing w:val="-22"/>
        </w:rPr>
        <w:t> </w:t>
      </w:r>
      <w:r>
        <w:rPr/>
        <w:t>abutting</w:t>
      </w:r>
      <w:r>
        <w:rPr>
          <w:spacing w:val="-23"/>
        </w:rPr>
        <w:t> </w:t>
      </w:r>
      <w:r>
        <w:rPr/>
        <w:t>access</w:t>
      </w:r>
      <w:r>
        <w:rPr>
          <w:spacing w:val="-22"/>
        </w:rPr>
        <w:t> </w:t>
      </w:r>
      <w:r>
        <w:rPr/>
        <w:t>roads</w:t>
      </w:r>
      <w:r>
        <w:rPr>
          <w:spacing w:val="-22"/>
        </w:rPr>
        <w:t> </w:t>
      </w:r>
      <w:r>
        <w:rPr/>
        <w:t>and</w:t>
      </w:r>
      <w:r>
        <w:rPr>
          <w:spacing w:val="-23"/>
        </w:rPr>
        <w:t> </w:t>
      </w:r>
      <w:r>
        <w:rPr/>
        <w:t>adjoining</w:t>
      </w:r>
      <w:r>
        <w:rPr>
          <w:spacing w:val="-22"/>
        </w:rPr>
        <w:t> </w:t>
      </w:r>
      <w:r>
        <w:rPr/>
        <w:t>properties.</w:t>
      </w:r>
    </w:p>
    <w:p>
      <w:pPr>
        <w:pStyle w:val="BodyText"/>
        <w:tabs>
          <w:tab w:pos="2695" w:val="left" w:leader="none"/>
        </w:tabs>
        <w:spacing w:line="321" w:lineRule="auto" w:before="122"/>
        <w:ind w:left="2695" w:right="227" w:hanging="1931"/>
        <w:jc w:val="both"/>
      </w:pPr>
      <w:r>
        <w:rPr/>
        <w:t>Frontage:</w:t>
        <w:tab/>
        <w:t>Based on review of site plan, visual inspection and measurements made on Google</w:t>
      </w:r>
      <w:r>
        <w:rPr>
          <w:spacing w:val="-23"/>
        </w:rPr>
        <w:t> </w:t>
      </w:r>
      <w:r>
        <w:rPr/>
        <w:t>maps,</w:t>
      </w:r>
      <w:r>
        <w:rPr>
          <w:spacing w:val="-22"/>
        </w:rPr>
        <w:t> </w:t>
      </w:r>
      <w:r>
        <w:rPr/>
        <w:t>we</w:t>
      </w:r>
      <w:r>
        <w:rPr>
          <w:spacing w:val="-22"/>
        </w:rPr>
        <w:t> </w:t>
      </w:r>
      <w:r>
        <w:rPr/>
        <w:t>understand</w:t>
      </w:r>
      <w:r>
        <w:rPr>
          <w:spacing w:val="-20"/>
        </w:rPr>
        <w:t> </w:t>
      </w:r>
      <w:r>
        <w:rPr/>
        <w:t>that</w:t>
      </w:r>
      <w:r>
        <w:rPr>
          <w:spacing w:val="-21"/>
        </w:rPr>
        <w:t> </w:t>
      </w:r>
      <w:r>
        <w:rPr/>
        <w:t>the</w:t>
      </w:r>
      <w:r>
        <w:rPr>
          <w:spacing w:val="-22"/>
        </w:rPr>
        <w:t> </w:t>
      </w:r>
      <w:r>
        <w:rPr/>
        <w:t>frontage</w:t>
      </w:r>
      <w:r>
        <w:rPr>
          <w:spacing w:val="-21"/>
        </w:rPr>
        <w:t> </w:t>
      </w:r>
      <w:r>
        <w:rPr/>
        <w:t>is</w:t>
      </w:r>
      <w:r>
        <w:rPr>
          <w:spacing w:val="-22"/>
        </w:rPr>
        <w:t> </w:t>
      </w:r>
      <w:r>
        <w:rPr/>
        <w:t>approximately</w:t>
      </w:r>
      <w:r>
        <w:rPr>
          <w:spacing w:val="-20"/>
        </w:rPr>
        <w:t> </w:t>
      </w:r>
      <w:r>
        <w:rPr/>
        <w:t>30</w:t>
      </w:r>
      <w:r>
        <w:rPr>
          <w:spacing w:val="-21"/>
        </w:rPr>
        <w:t> </w:t>
      </w:r>
      <w:r>
        <w:rPr/>
        <w:t>meters</w:t>
      </w:r>
      <w:r>
        <w:rPr>
          <w:spacing w:val="-22"/>
        </w:rPr>
        <w:t> </w:t>
      </w:r>
      <w:r>
        <w:rPr/>
        <w:t>along the</w:t>
      </w:r>
      <w:r>
        <w:rPr>
          <w:spacing w:val="-7"/>
        </w:rPr>
        <w:t> </w:t>
      </w:r>
      <w:r>
        <w:rPr/>
        <w:t>along</w:t>
      </w:r>
      <w:r>
        <w:rPr>
          <w:spacing w:val="-6"/>
        </w:rPr>
        <w:t> </w:t>
      </w:r>
      <w:r>
        <w:rPr/>
        <w:t>the</w:t>
      </w:r>
      <w:r>
        <w:rPr>
          <w:spacing w:val="-6"/>
        </w:rPr>
        <w:t> </w:t>
      </w:r>
      <w:r>
        <w:rPr/>
        <w:t>primary</w:t>
      </w:r>
      <w:r>
        <w:rPr>
          <w:spacing w:val="-5"/>
        </w:rPr>
        <w:t> </w:t>
      </w:r>
      <w:r>
        <w:rPr/>
        <w:t>access</w:t>
      </w:r>
      <w:r>
        <w:rPr>
          <w:spacing w:val="-6"/>
        </w:rPr>
        <w:t> </w:t>
      </w:r>
      <w:r>
        <w:rPr/>
        <w:t>road</w:t>
      </w:r>
      <w:r>
        <w:rPr>
          <w:spacing w:val="-8"/>
        </w:rPr>
        <w:t> </w:t>
      </w:r>
      <w:r>
        <w:rPr/>
        <w:t>(viz.</w:t>
      </w:r>
      <w:r>
        <w:rPr>
          <w:spacing w:val="-6"/>
        </w:rPr>
        <w:t> </w:t>
      </w:r>
      <w:r>
        <w:rPr/>
        <w:t>Inner</w:t>
      </w:r>
      <w:r>
        <w:rPr>
          <w:spacing w:val="-6"/>
        </w:rPr>
        <w:t> </w:t>
      </w:r>
      <w:r>
        <w:rPr/>
        <w:t>Ring</w:t>
      </w:r>
      <w:r>
        <w:rPr>
          <w:spacing w:val="-7"/>
        </w:rPr>
        <w:t> </w:t>
      </w:r>
      <w:r>
        <w:rPr/>
        <w:t>Road).</w:t>
      </w:r>
    </w:p>
    <w:p>
      <w:pPr>
        <w:pStyle w:val="BodyText"/>
        <w:tabs>
          <w:tab w:pos="2695" w:val="left" w:leader="none"/>
        </w:tabs>
        <w:spacing w:line="321" w:lineRule="auto" w:before="123"/>
        <w:ind w:left="2695" w:right="223" w:hanging="1931"/>
        <w:jc w:val="both"/>
      </w:pPr>
      <w:r>
        <w:rPr>
          <w:w w:val="95"/>
        </w:rPr>
        <w:t>Accessibility:</w:t>
        <w:tab/>
      </w:r>
      <w:r>
        <w:rPr/>
        <w:t>Based on site maps provided by the Client coupled with visual inspection undertaken, it was observed that the subject property is accessible by the Intermediate</w:t>
      </w:r>
      <w:r>
        <w:rPr>
          <w:spacing w:val="-30"/>
        </w:rPr>
        <w:t> </w:t>
      </w:r>
      <w:r>
        <w:rPr/>
        <w:t>Ring</w:t>
      </w:r>
      <w:r>
        <w:rPr>
          <w:spacing w:val="-28"/>
        </w:rPr>
        <w:t> </w:t>
      </w:r>
      <w:r>
        <w:rPr/>
        <w:t>Road,</w:t>
      </w:r>
      <w:r>
        <w:rPr>
          <w:spacing w:val="-31"/>
        </w:rPr>
        <w:t> </w:t>
      </w:r>
      <w:r>
        <w:rPr/>
        <w:t>which</w:t>
      </w:r>
      <w:r>
        <w:rPr>
          <w:spacing w:val="-29"/>
        </w:rPr>
        <w:t> </w:t>
      </w:r>
      <w:r>
        <w:rPr/>
        <w:t>acts</w:t>
      </w:r>
      <w:r>
        <w:rPr>
          <w:spacing w:val="-28"/>
        </w:rPr>
        <w:t> </w:t>
      </w:r>
      <w:r>
        <w:rPr/>
        <w:t>as</w:t>
      </w:r>
      <w:r>
        <w:rPr>
          <w:spacing w:val="-28"/>
        </w:rPr>
        <w:t> </w:t>
      </w:r>
      <w:r>
        <w:rPr/>
        <w:t>the</w:t>
      </w:r>
      <w:r>
        <w:rPr>
          <w:spacing w:val="-30"/>
        </w:rPr>
        <w:t> </w:t>
      </w:r>
      <w:r>
        <w:rPr/>
        <w:t>primary.</w:t>
      </w:r>
      <w:r>
        <w:rPr>
          <w:spacing w:val="-29"/>
        </w:rPr>
        <w:t> </w:t>
      </w:r>
      <w:r>
        <w:rPr/>
        <w:t>The</w:t>
      </w:r>
      <w:r>
        <w:rPr>
          <w:spacing w:val="-30"/>
        </w:rPr>
        <w:t> </w:t>
      </w:r>
      <w:r>
        <w:rPr/>
        <w:t>subject</w:t>
      </w:r>
      <w:r>
        <w:rPr>
          <w:spacing w:val="-28"/>
        </w:rPr>
        <w:t> </w:t>
      </w:r>
      <w:r>
        <w:rPr/>
        <w:t>property</w:t>
      </w:r>
      <w:r>
        <w:rPr>
          <w:spacing w:val="-29"/>
        </w:rPr>
        <w:t> </w:t>
      </w:r>
      <w:r>
        <w:rPr/>
        <w:t>can</w:t>
      </w:r>
      <w:r>
        <w:rPr>
          <w:spacing w:val="-29"/>
        </w:rPr>
        <w:t> </w:t>
      </w:r>
      <w:r>
        <w:rPr/>
        <w:t>also be</w:t>
      </w:r>
      <w:r>
        <w:rPr>
          <w:spacing w:val="-18"/>
        </w:rPr>
        <w:t> </w:t>
      </w:r>
      <w:r>
        <w:rPr/>
        <w:t>accesses</w:t>
      </w:r>
      <w:r>
        <w:rPr>
          <w:spacing w:val="-17"/>
        </w:rPr>
        <w:t> </w:t>
      </w:r>
      <w:r>
        <w:rPr/>
        <w:t>through</w:t>
      </w:r>
      <w:r>
        <w:rPr>
          <w:spacing w:val="-18"/>
        </w:rPr>
        <w:t> </w:t>
      </w:r>
      <w:r>
        <w:rPr/>
        <w:t>Wind</w:t>
      </w:r>
      <w:r>
        <w:rPr>
          <w:spacing w:val="-16"/>
        </w:rPr>
        <w:t> </w:t>
      </w:r>
      <w:r>
        <w:rPr/>
        <w:t>Tunnel</w:t>
      </w:r>
      <w:r>
        <w:rPr>
          <w:spacing w:val="-19"/>
        </w:rPr>
        <w:t> </w:t>
      </w:r>
      <w:r>
        <w:rPr/>
        <w:t>Road,</w:t>
      </w:r>
      <w:r>
        <w:rPr>
          <w:spacing w:val="-17"/>
        </w:rPr>
        <w:t> </w:t>
      </w:r>
      <w:r>
        <w:rPr/>
        <w:t>which</w:t>
      </w:r>
      <w:r>
        <w:rPr>
          <w:spacing w:val="-18"/>
        </w:rPr>
        <w:t> </w:t>
      </w:r>
      <w:r>
        <w:rPr/>
        <w:t>acts</w:t>
      </w:r>
      <w:r>
        <w:rPr>
          <w:spacing w:val="-16"/>
        </w:rPr>
        <w:t> </w:t>
      </w:r>
      <w:r>
        <w:rPr/>
        <w:t>as</w:t>
      </w:r>
      <w:r>
        <w:rPr>
          <w:spacing w:val="-17"/>
        </w:rPr>
        <w:t> </w:t>
      </w:r>
      <w:r>
        <w:rPr/>
        <w:t>a</w:t>
      </w:r>
      <w:r>
        <w:rPr>
          <w:spacing w:val="-18"/>
        </w:rPr>
        <w:t> </w:t>
      </w:r>
      <w:r>
        <w:rPr/>
        <w:t>secondary</w:t>
      </w:r>
      <w:r>
        <w:rPr>
          <w:spacing w:val="-17"/>
        </w:rPr>
        <w:t> </w:t>
      </w:r>
      <w:r>
        <w:rPr/>
        <w:t>access</w:t>
      </w:r>
      <w:r>
        <w:rPr>
          <w:spacing w:val="-16"/>
        </w:rPr>
        <w:t> </w:t>
      </w:r>
      <w:r>
        <w:rPr/>
        <w:t>for</w:t>
      </w:r>
      <w:r>
        <w:rPr>
          <w:spacing w:val="-18"/>
        </w:rPr>
        <w:t> </w:t>
      </w:r>
      <w:r>
        <w:rPr/>
        <w:t>the development.</w:t>
      </w:r>
    </w:p>
    <w:p>
      <w:pPr>
        <w:pStyle w:val="BodyText"/>
        <w:spacing w:before="122"/>
        <w:ind w:left="2695"/>
        <w:jc w:val="both"/>
      </w:pPr>
      <w:r>
        <w:rPr/>
        <w:t>Please refer Exhibit &amp; Addenda for the site plan of the subject property.</w:t>
      </w:r>
    </w:p>
    <w:p>
      <w:pPr>
        <w:pStyle w:val="BodyText"/>
        <w:rPr>
          <w:sz w:val="26"/>
        </w:rPr>
      </w:pPr>
    </w:p>
    <w:p>
      <w:pPr>
        <w:pStyle w:val="BodyText"/>
        <w:spacing w:before="10"/>
      </w:pPr>
    </w:p>
    <w:p>
      <w:pPr>
        <w:pStyle w:val="ListParagraph"/>
        <w:numPr>
          <w:ilvl w:val="2"/>
          <w:numId w:val="14"/>
        </w:numPr>
        <w:tabs>
          <w:tab w:pos="821" w:val="left" w:leader="none"/>
        </w:tabs>
        <w:spacing w:line="240" w:lineRule="auto" w:before="1" w:after="0"/>
        <w:ind w:left="820" w:right="0" w:hanging="721"/>
        <w:jc w:val="left"/>
        <w:rPr>
          <w:sz w:val="22"/>
        </w:rPr>
      </w:pPr>
      <w:bookmarkStart w:name="_bookmark299" w:id="583"/>
      <w:bookmarkEnd w:id="583"/>
      <w:r>
        <w:rPr/>
      </w:r>
      <w:bookmarkStart w:name="_bookmark299" w:id="584"/>
      <w:bookmarkEnd w:id="584"/>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5"/>
        <w:ind w:left="666" w:right="112"/>
        <w:jc w:val="both"/>
      </w:pPr>
      <w:r>
        <w:rPr/>
        <w:t>As per the title due diligence undertaken by King &amp; Partridge and as provided by the Client, we understand that the exact address of the subject property is Challaghatta Village, Varthur Hobli, Mahadevapura, Bengaluru East Taluk, Bengaluru, Karnataka. Additionally, it is understood that the subject property is freehold in nature.</w:t>
      </w:r>
    </w:p>
    <w:p>
      <w:pPr>
        <w:pStyle w:val="BodyText"/>
        <w:rPr>
          <w:sz w:val="21"/>
        </w:rPr>
      </w:pPr>
    </w:p>
    <w:p>
      <w:pPr>
        <w:pStyle w:val="BodyText"/>
        <w:spacing w:line="321" w:lineRule="auto"/>
        <w:ind w:left="666" w:right="116"/>
        <w:jc w:val="both"/>
      </w:pPr>
      <w:r>
        <w:rPr/>
        <w:t>Further,</w:t>
      </w:r>
      <w:r>
        <w:rPr>
          <w:spacing w:val="-26"/>
        </w:rPr>
        <w:t> </w:t>
      </w:r>
      <w:r>
        <w:rPr/>
        <w:t>this</w:t>
      </w:r>
      <w:r>
        <w:rPr>
          <w:spacing w:val="-24"/>
        </w:rPr>
        <w:t> </w:t>
      </w:r>
      <w:r>
        <w:rPr/>
        <w:t>appraisal</w:t>
      </w:r>
      <w:r>
        <w:rPr>
          <w:spacing w:val="-25"/>
        </w:rPr>
        <w:t> </w:t>
      </w:r>
      <w:r>
        <w:rPr/>
        <w:t>exercise</w:t>
      </w:r>
      <w:r>
        <w:rPr>
          <w:spacing w:val="-26"/>
        </w:rPr>
        <w:t> </w:t>
      </w:r>
      <w:r>
        <w:rPr/>
        <w:t>is</w:t>
      </w:r>
      <w:r>
        <w:rPr>
          <w:spacing w:val="-24"/>
        </w:rPr>
        <w:t> </w:t>
      </w:r>
      <w:r>
        <w:rPr/>
        <w:t>based</w:t>
      </w:r>
      <w:r>
        <w:rPr>
          <w:spacing w:val="-25"/>
        </w:rPr>
        <w:t> </w:t>
      </w:r>
      <w:r>
        <w:rPr/>
        <w:t>on</w:t>
      </w:r>
      <w:r>
        <w:rPr>
          <w:spacing w:val="-25"/>
        </w:rPr>
        <w:t> </w:t>
      </w:r>
      <w:r>
        <w:rPr/>
        <w:t>the</w:t>
      </w:r>
      <w:r>
        <w:rPr>
          <w:spacing w:val="-26"/>
        </w:rPr>
        <w:t> </w:t>
      </w:r>
      <w:r>
        <w:rPr/>
        <w:t>premise</w:t>
      </w:r>
      <w:r>
        <w:rPr>
          <w:spacing w:val="-25"/>
        </w:rPr>
        <w:t> </w:t>
      </w:r>
      <w:r>
        <w:rPr/>
        <w:t>that</w:t>
      </w:r>
      <w:r>
        <w:rPr>
          <w:spacing w:val="-25"/>
        </w:rPr>
        <w:t> </w:t>
      </w:r>
      <w:r>
        <w:rPr/>
        <w:t>the</w:t>
      </w:r>
      <w:r>
        <w:rPr>
          <w:spacing w:val="-25"/>
        </w:rPr>
        <w:t> </w:t>
      </w:r>
      <w:r>
        <w:rPr/>
        <w:t>subject</w:t>
      </w:r>
      <w:r>
        <w:rPr>
          <w:spacing w:val="-25"/>
        </w:rPr>
        <w:t> </w:t>
      </w:r>
      <w:r>
        <w:rPr/>
        <w:t>property</w:t>
      </w:r>
      <w:r>
        <w:rPr>
          <w:spacing w:val="-24"/>
        </w:rPr>
        <w:t> </w:t>
      </w:r>
      <w:r>
        <w:rPr/>
        <w:t>has</w:t>
      </w:r>
      <w:r>
        <w:rPr>
          <w:spacing w:val="-24"/>
        </w:rPr>
        <w:t> </w:t>
      </w:r>
      <w:r>
        <w:rPr/>
        <w:t>a</w:t>
      </w:r>
      <w:r>
        <w:rPr>
          <w:spacing w:val="-25"/>
        </w:rPr>
        <w:t> </w:t>
      </w:r>
      <w:r>
        <w:rPr/>
        <w:t>clear</w:t>
      </w:r>
      <w:r>
        <w:rPr>
          <w:spacing w:val="-25"/>
        </w:rPr>
        <w:t> </w:t>
      </w:r>
      <w:r>
        <w:rPr/>
        <w:t>title</w:t>
      </w:r>
      <w:r>
        <w:rPr>
          <w:spacing w:val="-24"/>
        </w:rPr>
        <w:t> </w:t>
      </w:r>
      <w:r>
        <w:rPr/>
        <w:t>and</w:t>
      </w:r>
      <w:r>
        <w:rPr>
          <w:spacing w:val="-25"/>
        </w:rPr>
        <w:t> </w:t>
      </w:r>
      <w:r>
        <w:rPr/>
        <w:t>is free</w:t>
      </w:r>
      <w:r>
        <w:rPr>
          <w:spacing w:val="-22"/>
        </w:rPr>
        <w:t> </w:t>
      </w:r>
      <w:r>
        <w:rPr/>
        <w:t>from</w:t>
      </w:r>
      <w:r>
        <w:rPr>
          <w:spacing w:val="-22"/>
        </w:rPr>
        <w:t> </w:t>
      </w:r>
      <w:r>
        <w:rPr/>
        <w:t>any</w:t>
      </w:r>
      <w:r>
        <w:rPr>
          <w:spacing w:val="-21"/>
        </w:rPr>
        <w:t> </w:t>
      </w:r>
      <w:r>
        <w:rPr/>
        <w:t>encumbrances,</w:t>
      </w:r>
      <w:r>
        <w:rPr>
          <w:spacing w:val="-22"/>
        </w:rPr>
        <w:t> </w:t>
      </w:r>
      <w:r>
        <w:rPr/>
        <w:t>disputes,</w:t>
      </w:r>
      <w:r>
        <w:rPr>
          <w:spacing w:val="-21"/>
        </w:rPr>
        <w:t> </w:t>
      </w:r>
      <w:r>
        <w:rPr/>
        <w:t>claims,</w:t>
      </w:r>
      <w:r>
        <w:rPr>
          <w:spacing w:val="-22"/>
        </w:rPr>
        <w:t> </w:t>
      </w:r>
      <w:r>
        <w:rPr/>
        <w:t>etc.</w:t>
      </w:r>
      <w:r>
        <w:rPr>
          <w:spacing w:val="-19"/>
        </w:rPr>
        <w:t> </w:t>
      </w:r>
      <w:r>
        <w:rPr/>
        <w:t>We</w:t>
      </w:r>
      <w:r>
        <w:rPr>
          <w:spacing w:val="-21"/>
        </w:rPr>
        <w:t> </w:t>
      </w:r>
      <w:r>
        <w:rPr/>
        <w:t>have</w:t>
      </w:r>
      <w:r>
        <w:rPr>
          <w:spacing w:val="-20"/>
        </w:rPr>
        <w:t> </w:t>
      </w:r>
      <w:r>
        <w:rPr/>
        <w:t>not</w:t>
      </w:r>
      <w:r>
        <w:rPr>
          <w:spacing w:val="-21"/>
        </w:rPr>
        <w:t> </w:t>
      </w:r>
      <w:r>
        <w:rPr/>
        <w:t>made</w:t>
      </w:r>
      <w:r>
        <w:rPr>
          <w:spacing w:val="-21"/>
        </w:rPr>
        <w:t> </w:t>
      </w:r>
      <w:r>
        <w:rPr/>
        <w:t>any</w:t>
      </w:r>
      <w:r>
        <w:rPr>
          <w:spacing w:val="-20"/>
        </w:rPr>
        <w:t> </w:t>
      </w:r>
      <w:r>
        <w:rPr/>
        <w:t>inquiries</w:t>
      </w:r>
      <w:r>
        <w:rPr>
          <w:spacing w:val="-21"/>
        </w:rPr>
        <w:t> </w:t>
      </w:r>
      <w:r>
        <w:rPr/>
        <w:t>in</w:t>
      </w:r>
      <w:r>
        <w:rPr>
          <w:spacing w:val="-22"/>
        </w:rPr>
        <w:t> </w:t>
      </w:r>
      <w:r>
        <w:rPr/>
        <w:t>this</w:t>
      </w:r>
      <w:r>
        <w:rPr>
          <w:spacing w:val="-21"/>
        </w:rPr>
        <w:t> </w:t>
      </w:r>
      <w:r>
        <w:rPr/>
        <w:t>regard</w:t>
      </w:r>
      <w:r>
        <w:rPr>
          <w:spacing w:val="-21"/>
        </w:rPr>
        <w:t> </w:t>
      </w:r>
      <w:r>
        <w:rPr/>
        <w:t>with the relevant legal/ statutory</w:t>
      </w:r>
      <w:r>
        <w:rPr>
          <w:spacing w:val="-21"/>
        </w:rPr>
        <w:t> </w:t>
      </w:r>
      <w:r>
        <w:rPr/>
        <w:t>authorities.</w:t>
      </w:r>
    </w:p>
    <w:p>
      <w:pPr>
        <w:pStyle w:val="BodyText"/>
        <w:spacing w:before="8"/>
        <w:rPr>
          <w:sz w:val="20"/>
        </w:rPr>
      </w:pPr>
    </w:p>
    <w:p>
      <w:pPr>
        <w:pStyle w:val="ListParagraph"/>
        <w:numPr>
          <w:ilvl w:val="2"/>
          <w:numId w:val="14"/>
        </w:numPr>
        <w:tabs>
          <w:tab w:pos="821" w:val="left" w:leader="none"/>
        </w:tabs>
        <w:spacing w:line="240" w:lineRule="auto" w:before="0" w:after="0"/>
        <w:ind w:left="820" w:right="0" w:hanging="721"/>
        <w:jc w:val="left"/>
        <w:rPr>
          <w:sz w:val="22"/>
        </w:rPr>
      </w:pPr>
      <w:bookmarkStart w:name="_bookmark300" w:id="585"/>
      <w:bookmarkEnd w:id="585"/>
      <w:r>
        <w:rPr/>
      </w:r>
      <w:bookmarkStart w:name="_bookmark300" w:id="586"/>
      <w:bookmarkEnd w:id="586"/>
      <w:r>
        <w:rPr>
          <w:color w:val="1F664D"/>
          <w:w w:val="105"/>
          <w:sz w:val="22"/>
        </w:rPr>
        <w:t>Town</w:t>
      </w:r>
      <w:r>
        <w:rPr>
          <w:color w:val="1F664D"/>
          <w:spacing w:val="-4"/>
          <w:w w:val="105"/>
          <w:sz w:val="22"/>
        </w:rPr>
        <w:t> </w:t>
      </w:r>
      <w:r>
        <w:rPr>
          <w:color w:val="1F664D"/>
          <w:w w:val="105"/>
          <w:sz w:val="22"/>
        </w:rPr>
        <w:t>Planning</w:t>
      </w:r>
    </w:p>
    <w:p>
      <w:pPr>
        <w:pStyle w:val="BodyText"/>
        <w:tabs>
          <w:tab w:pos="2173" w:val="left" w:leader="none"/>
        </w:tabs>
        <w:spacing w:line="321" w:lineRule="auto" w:before="209"/>
        <w:ind w:left="2173" w:right="137" w:hanging="1409"/>
        <w:jc w:val="both"/>
      </w:pPr>
      <w:r>
        <w:rPr>
          <w:position w:val="12"/>
        </w:rPr>
        <w:t>Zoning</w:t>
        <w:tab/>
      </w:r>
      <w:r>
        <w:rPr/>
        <w:t>As</w:t>
      </w:r>
      <w:r>
        <w:rPr>
          <w:spacing w:val="-31"/>
        </w:rPr>
        <w:t> </w:t>
      </w:r>
      <w:r>
        <w:rPr/>
        <w:t>per</w:t>
      </w:r>
      <w:r>
        <w:rPr>
          <w:spacing w:val="-29"/>
        </w:rPr>
        <w:t> </w:t>
      </w:r>
      <w:r>
        <w:rPr/>
        <w:t>the</w:t>
      </w:r>
      <w:r>
        <w:rPr>
          <w:spacing w:val="-30"/>
        </w:rPr>
        <w:t> </w:t>
      </w:r>
      <w:r>
        <w:rPr/>
        <w:t>RMP</w:t>
      </w:r>
      <w:r>
        <w:rPr>
          <w:spacing w:val="-28"/>
        </w:rPr>
        <w:t> </w:t>
      </w:r>
      <w:r>
        <w:rPr/>
        <w:t>2015,</w:t>
      </w:r>
      <w:r>
        <w:rPr>
          <w:spacing w:val="-30"/>
        </w:rPr>
        <w:t> </w:t>
      </w:r>
      <w:r>
        <w:rPr/>
        <w:t>we</w:t>
      </w:r>
      <w:r>
        <w:rPr>
          <w:spacing w:val="-30"/>
        </w:rPr>
        <w:t> </w:t>
      </w:r>
      <w:r>
        <w:rPr/>
        <w:t>understand</w:t>
      </w:r>
      <w:r>
        <w:rPr>
          <w:spacing w:val="-28"/>
        </w:rPr>
        <w:t> </w:t>
      </w:r>
      <w:r>
        <w:rPr/>
        <w:t>that</w:t>
      </w:r>
      <w:r>
        <w:rPr>
          <w:spacing w:val="-30"/>
        </w:rPr>
        <w:t> </w:t>
      </w:r>
      <w:r>
        <w:rPr/>
        <w:t>the</w:t>
      </w:r>
      <w:r>
        <w:rPr>
          <w:spacing w:val="-30"/>
        </w:rPr>
        <w:t> </w:t>
      </w:r>
      <w:r>
        <w:rPr/>
        <w:t>subject</w:t>
      </w:r>
      <w:r>
        <w:rPr>
          <w:spacing w:val="-29"/>
        </w:rPr>
        <w:t> </w:t>
      </w:r>
      <w:r>
        <w:rPr/>
        <w:t>property</w:t>
      </w:r>
      <w:r>
        <w:rPr>
          <w:spacing w:val="-28"/>
        </w:rPr>
        <w:t> </w:t>
      </w:r>
      <w:r>
        <w:rPr/>
        <w:t>is</w:t>
      </w:r>
      <w:r>
        <w:rPr>
          <w:spacing w:val="-28"/>
        </w:rPr>
        <w:t> </w:t>
      </w:r>
      <w:r>
        <w:rPr/>
        <w:t>zoned</w:t>
      </w:r>
      <w:r>
        <w:rPr>
          <w:spacing w:val="-29"/>
        </w:rPr>
        <w:t> </w:t>
      </w:r>
      <w:r>
        <w:rPr/>
        <w:t>as</w:t>
      </w:r>
      <w:r>
        <w:rPr>
          <w:spacing w:val="-28"/>
        </w:rPr>
        <w:t> </w:t>
      </w:r>
      <w:r>
        <w:rPr/>
        <w:t>“Industrial</w:t>
      </w:r>
      <w:r>
        <w:rPr>
          <w:spacing w:val="-30"/>
        </w:rPr>
        <w:t> </w:t>
      </w:r>
      <w:r>
        <w:rPr/>
        <w:t>Hi- Tech”.</w:t>
      </w:r>
      <w:r>
        <w:rPr>
          <w:spacing w:val="-44"/>
        </w:rPr>
        <w:t> </w:t>
      </w:r>
      <w:r>
        <w:rPr/>
        <w:t>As</w:t>
      </w:r>
      <w:r>
        <w:rPr>
          <w:spacing w:val="-42"/>
        </w:rPr>
        <w:t> </w:t>
      </w:r>
      <w:r>
        <w:rPr/>
        <w:t>per</w:t>
      </w:r>
      <w:r>
        <w:rPr>
          <w:spacing w:val="-42"/>
        </w:rPr>
        <w:t> </w:t>
      </w:r>
      <w:r>
        <w:rPr/>
        <w:t>the</w:t>
      </w:r>
      <w:r>
        <w:rPr>
          <w:spacing w:val="-42"/>
        </w:rPr>
        <w:t> </w:t>
      </w:r>
      <w:r>
        <w:rPr/>
        <w:t>Occupancy</w:t>
      </w:r>
      <w:r>
        <w:rPr>
          <w:spacing w:val="-42"/>
        </w:rPr>
        <w:t> </w:t>
      </w:r>
      <w:r>
        <w:rPr/>
        <w:t>Certificates</w:t>
      </w:r>
      <w:r>
        <w:rPr>
          <w:spacing w:val="-41"/>
        </w:rPr>
        <w:t> </w:t>
      </w:r>
      <w:r>
        <w:rPr/>
        <w:t>it</w:t>
      </w:r>
      <w:r>
        <w:rPr>
          <w:spacing w:val="-41"/>
        </w:rPr>
        <w:t> </w:t>
      </w:r>
      <w:r>
        <w:rPr/>
        <w:t>is</w:t>
      </w:r>
      <w:r>
        <w:rPr>
          <w:spacing w:val="-42"/>
        </w:rPr>
        <w:t> </w:t>
      </w:r>
      <w:r>
        <w:rPr/>
        <w:t>located</w:t>
      </w:r>
      <w:r>
        <w:rPr>
          <w:spacing w:val="-41"/>
        </w:rPr>
        <w:t> </w:t>
      </w:r>
      <w:r>
        <w:rPr/>
        <w:t>within</w:t>
      </w:r>
      <w:r>
        <w:rPr>
          <w:spacing w:val="-43"/>
        </w:rPr>
        <w:t> </w:t>
      </w:r>
      <w:r>
        <w:rPr/>
        <w:t>the</w:t>
      </w:r>
      <w:r>
        <w:rPr>
          <w:spacing w:val="-42"/>
        </w:rPr>
        <w:t> </w:t>
      </w:r>
      <w:r>
        <w:rPr/>
        <w:t>jurisdiction</w:t>
      </w:r>
      <w:r>
        <w:rPr>
          <w:spacing w:val="-42"/>
        </w:rPr>
        <w:t> </w:t>
      </w:r>
      <w:r>
        <w:rPr/>
        <w:t>of</w:t>
      </w:r>
      <w:r>
        <w:rPr>
          <w:spacing w:val="-42"/>
        </w:rPr>
        <w:t> </w:t>
      </w:r>
      <w:r>
        <w:rPr/>
        <w:t>Bengaluru Development Authority (BDA) (earlier under Office of City Municipal Council, Mahadevapura). The same has been considered for the purpose of this appraisal. We has</w:t>
      </w:r>
      <w:r>
        <w:rPr>
          <w:spacing w:val="-10"/>
        </w:rPr>
        <w:t> </w:t>
      </w:r>
      <w:r>
        <w:rPr/>
        <w:t>made</w:t>
      </w:r>
      <w:r>
        <w:rPr>
          <w:spacing w:val="-10"/>
        </w:rPr>
        <w:t> </w:t>
      </w:r>
      <w:r>
        <w:rPr/>
        <w:t>no</w:t>
      </w:r>
      <w:r>
        <w:rPr>
          <w:spacing w:val="-11"/>
        </w:rPr>
        <w:t> </w:t>
      </w:r>
      <w:r>
        <w:rPr/>
        <w:t>further</w:t>
      </w:r>
      <w:r>
        <w:rPr>
          <w:spacing w:val="-10"/>
        </w:rPr>
        <w:t> </w:t>
      </w:r>
      <w:r>
        <w:rPr/>
        <w:t>inquiries</w:t>
      </w:r>
      <w:r>
        <w:rPr>
          <w:spacing w:val="-10"/>
        </w:rPr>
        <w:t> </w:t>
      </w:r>
      <w:r>
        <w:rPr/>
        <w:t>with</w:t>
      </w:r>
      <w:r>
        <w:rPr>
          <w:spacing w:val="-10"/>
        </w:rPr>
        <w:t> </w:t>
      </w:r>
      <w:r>
        <w:rPr/>
        <w:t>the</w:t>
      </w:r>
      <w:r>
        <w:rPr>
          <w:spacing w:val="-10"/>
        </w:rPr>
        <w:t> </w:t>
      </w:r>
      <w:r>
        <w:rPr/>
        <w:t>local</w:t>
      </w:r>
      <w:r>
        <w:rPr>
          <w:spacing w:val="-12"/>
        </w:rPr>
        <w:t> </w:t>
      </w:r>
      <w:r>
        <w:rPr/>
        <w:t>authorities</w:t>
      </w:r>
      <w:r>
        <w:rPr>
          <w:spacing w:val="-9"/>
        </w:rPr>
        <w:t> </w:t>
      </w:r>
      <w:r>
        <w:rPr/>
        <w:t>in</w:t>
      </w:r>
      <w:r>
        <w:rPr>
          <w:spacing w:val="-11"/>
        </w:rPr>
        <w:t> </w:t>
      </w:r>
      <w:r>
        <w:rPr/>
        <w:t>this</w:t>
      </w:r>
      <w:r>
        <w:rPr>
          <w:spacing w:val="-10"/>
        </w:rPr>
        <w:t> </w:t>
      </w:r>
      <w:r>
        <w:rPr/>
        <w:t>regard.</w:t>
      </w:r>
    </w:p>
    <w:p>
      <w:pPr>
        <w:pStyle w:val="BodyText"/>
        <w:spacing w:line="321" w:lineRule="auto" w:before="124"/>
        <w:ind w:left="2173" w:right="137"/>
        <w:jc w:val="both"/>
      </w:pPr>
      <w:r>
        <w:rPr/>
        <w:t>The</w:t>
      </w:r>
      <w:r>
        <w:rPr>
          <w:spacing w:val="-27"/>
        </w:rPr>
        <w:t> </w:t>
      </w:r>
      <w:r>
        <w:rPr/>
        <w:t>permissible</w:t>
      </w:r>
      <w:r>
        <w:rPr>
          <w:spacing w:val="-27"/>
        </w:rPr>
        <w:t> </w:t>
      </w:r>
      <w:r>
        <w:rPr/>
        <w:t>land</w:t>
      </w:r>
      <w:r>
        <w:rPr>
          <w:spacing w:val="-26"/>
        </w:rPr>
        <w:t> </w:t>
      </w:r>
      <w:r>
        <w:rPr/>
        <w:t>use</w:t>
      </w:r>
      <w:r>
        <w:rPr>
          <w:spacing w:val="-27"/>
        </w:rPr>
        <w:t> </w:t>
      </w:r>
      <w:r>
        <w:rPr/>
        <w:t>adopted</w:t>
      </w:r>
      <w:r>
        <w:rPr>
          <w:spacing w:val="-26"/>
        </w:rPr>
        <w:t> </w:t>
      </w:r>
      <w:r>
        <w:rPr/>
        <w:t>by</w:t>
      </w:r>
      <w:r>
        <w:rPr>
          <w:spacing w:val="-23"/>
        </w:rPr>
        <w:t> </w:t>
      </w:r>
      <w:r>
        <w:rPr/>
        <w:t>the</w:t>
      </w:r>
      <w:r>
        <w:rPr>
          <w:spacing w:val="-27"/>
        </w:rPr>
        <w:t> </w:t>
      </w:r>
      <w:r>
        <w:rPr/>
        <w:t>Consultants’</w:t>
      </w:r>
      <w:r>
        <w:rPr>
          <w:spacing w:val="-26"/>
        </w:rPr>
        <w:t> </w:t>
      </w:r>
      <w:r>
        <w:rPr/>
        <w:t>for</w:t>
      </w:r>
      <w:r>
        <w:rPr>
          <w:spacing w:val="-27"/>
        </w:rPr>
        <w:t> </w:t>
      </w:r>
      <w:r>
        <w:rPr/>
        <w:t>the</w:t>
      </w:r>
      <w:r>
        <w:rPr>
          <w:spacing w:val="-27"/>
        </w:rPr>
        <w:t> </w:t>
      </w:r>
      <w:r>
        <w:rPr/>
        <w:t>subject</w:t>
      </w:r>
      <w:r>
        <w:rPr>
          <w:spacing w:val="-25"/>
        </w:rPr>
        <w:t> </w:t>
      </w:r>
      <w:r>
        <w:rPr/>
        <w:t>property</w:t>
      </w:r>
      <w:r>
        <w:rPr>
          <w:spacing w:val="-25"/>
        </w:rPr>
        <w:t> </w:t>
      </w:r>
      <w:r>
        <w:rPr/>
        <w:t>has</w:t>
      </w:r>
      <w:r>
        <w:rPr>
          <w:spacing w:val="-27"/>
        </w:rPr>
        <w:t> </w:t>
      </w:r>
      <w:r>
        <w:rPr/>
        <w:t>been based</w:t>
      </w:r>
      <w:r>
        <w:rPr>
          <w:spacing w:val="-8"/>
        </w:rPr>
        <w:t> </w:t>
      </w:r>
      <w:r>
        <w:rPr/>
        <w:t>on</w:t>
      </w:r>
      <w:r>
        <w:rPr>
          <w:spacing w:val="-9"/>
        </w:rPr>
        <w:t> </w:t>
      </w:r>
      <w:r>
        <w:rPr/>
        <w:t>information/review</w:t>
      </w:r>
      <w:r>
        <w:rPr>
          <w:spacing w:val="-7"/>
        </w:rPr>
        <w:t> </w:t>
      </w:r>
      <w:r>
        <w:rPr/>
        <w:t>of</w:t>
      </w:r>
      <w:r>
        <w:rPr>
          <w:spacing w:val="-8"/>
        </w:rPr>
        <w:t> </w:t>
      </w:r>
      <w:r>
        <w:rPr/>
        <w:t>various</w:t>
      </w:r>
      <w:r>
        <w:rPr>
          <w:spacing w:val="-9"/>
        </w:rPr>
        <w:t> </w:t>
      </w:r>
      <w:r>
        <w:rPr/>
        <w:t>documents</w:t>
      </w:r>
      <w:r>
        <w:rPr>
          <w:spacing w:val="-9"/>
        </w:rPr>
        <w:t> </w:t>
      </w:r>
      <w:r>
        <w:rPr/>
        <w:t>provided</w:t>
      </w:r>
      <w:r>
        <w:rPr>
          <w:spacing w:val="-10"/>
        </w:rPr>
        <w:t> </w:t>
      </w:r>
      <w:r>
        <w:rPr/>
        <w:t>by</w:t>
      </w:r>
      <w:r>
        <w:rPr>
          <w:spacing w:val="-9"/>
        </w:rPr>
        <w:t> </w:t>
      </w:r>
      <w:r>
        <w:rPr/>
        <w:t>the</w:t>
      </w:r>
      <w:r>
        <w:rPr>
          <w:spacing w:val="-8"/>
        </w:rPr>
        <w:t> </w:t>
      </w:r>
      <w:r>
        <w:rPr/>
        <w:t>Client.</w:t>
      </w:r>
      <w:r>
        <w:rPr>
          <w:spacing w:val="-9"/>
        </w:rPr>
        <w:t> </w:t>
      </w:r>
      <w:r>
        <w:rPr/>
        <w:t>It</w:t>
      </w:r>
      <w:r>
        <w:rPr>
          <w:spacing w:val="-9"/>
        </w:rPr>
        <w:t> </w:t>
      </w:r>
      <w:r>
        <w:rPr/>
        <w:t>must</w:t>
      </w:r>
      <w:r>
        <w:rPr>
          <w:spacing w:val="-9"/>
        </w:rPr>
        <w:t> </w:t>
      </w:r>
      <w:r>
        <w:rPr/>
        <w:t>be noted</w:t>
      </w:r>
      <w:r>
        <w:rPr>
          <w:spacing w:val="-21"/>
        </w:rPr>
        <w:t> </w:t>
      </w:r>
      <w:r>
        <w:rPr/>
        <w:t>that</w:t>
      </w:r>
      <w:r>
        <w:rPr>
          <w:spacing w:val="-21"/>
        </w:rPr>
        <w:t> </w:t>
      </w:r>
      <w:r>
        <w:rPr/>
        <w:t>all</w:t>
      </w:r>
      <w:r>
        <w:rPr>
          <w:spacing w:val="-22"/>
        </w:rPr>
        <w:t> </w:t>
      </w:r>
      <w:r>
        <w:rPr/>
        <w:t>factual</w:t>
      </w:r>
      <w:r>
        <w:rPr>
          <w:spacing w:val="-21"/>
        </w:rPr>
        <w:t> </w:t>
      </w:r>
      <w:r>
        <w:rPr/>
        <w:t>data</w:t>
      </w:r>
      <w:r>
        <w:rPr>
          <w:spacing w:val="-21"/>
        </w:rPr>
        <w:t> </w:t>
      </w:r>
      <w:r>
        <w:rPr/>
        <w:t>viz.</w:t>
      </w:r>
      <w:r>
        <w:rPr>
          <w:spacing w:val="-21"/>
        </w:rPr>
        <w:t> </w:t>
      </w:r>
      <w:r>
        <w:rPr/>
        <w:t>permissible</w:t>
      </w:r>
      <w:r>
        <w:rPr>
          <w:spacing w:val="-22"/>
        </w:rPr>
        <w:t> </w:t>
      </w:r>
      <w:r>
        <w:rPr/>
        <w:t>development</w:t>
      </w:r>
      <w:r>
        <w:rPr>
          <w:spacing w:val="-21"/>
        </w:rPr>
        <w:t> </w:t>
      </w:r>
      <w:r>
        <w:rPr/>
        <w:t>control</w:t>
      </w:r>
      <w:r>
        <w:rPr>
          <w:spacing w:val="-22"/>
        </w:rPr>
        <w:t> </w:t>
      </w:r>
      <w:r>
        <w:rPr/>
        <w:t>regulations,</w:t>
      </w:r>
      <w:r>
        <w:rPr>
          <w:spacing w:val="-21"/>
        </w:rPr>
        <w:t> </w:t>
      </w:r>
      <w:r>
        <w:rPr/>
        <w:t>land</w:t>
      </w:r>
      <w:r>
        <w:rPr>
          <w:spacing w:val="-21"/>
        </w:rPr>
        <w:t> </w:t>
      </w:r>
      <w:r>
        <w:rPr/>
        <w:t>area and</w:t>
      </w:r>
      <w:r>
        <w:rPr>
          <w:spacing w:val="-12"/>
        </w:rPr>
        <w:t> </w:t>
      </w:r>
      <w:r>
        <w:rPr/>
        <w:t>achievable</w:t>
      </w:r>
      <w:r>
        <w:rPr>
          <w:spacing w:val="-12"/>
        </w:rPr>
        <w:t> </w:t>
      </w:r>
      <w:r>
        <w:rPr/>
        <w:t>FSI</w:t>
      </w:r>
      <w:r>
        <w:rPr>
          <w:spacing w:val="-11"/>
        </w:rPr>
        <w:t> </w:t>
      </w:r>
      <w:r>
        <w:rPr/>
        <w:t>have</w:t>
      </w:r>
      <w:r>
        <w:rPr>
          <w:spacing w:val="-10"/>
        </w:rPr>
        <w:t> </w:t>
      </w:r>
      <w:r>
        <w:rPr/>
        <w:t>also</w:t>
      </w:r>
      <w:r>
        <w:rPr>
          <w:spacing w:val="-13"/>
        </w:rPr>
        <w:t> </w:t>
      </w:r>
      <w:r>
        <w:rPr/>
        <w:t>been</w:t>
      </w:r>
      <w:r>
        <w:rPr>
          <w:spacing w:val="-12"/>
        </w:rPr>
        <w:t> </w:t>
      </w:r>
      <w:r>
        <w:rPr/>
        <w:t>based</w:t>
      </w:r>
      <w:r>
        <w:rPr>
          <w:spacing w:val="-11"/>
        </w:rPr>
        <w:t> </w:t>
      </w:r>
      <w:r>
        <w:rPr/>
        <w:t>on</w:t>
      </w:r>
      <w:r>
        <w:rPr>
          <w:spacing w:val="-12"/>
        </w:rPr>
        <w:t> </w:t>
      </w:r>
      <w:r>
        <w:rPr/>
        <w:t>information/review</w:t>
      </w:r>
      <w:r>
        <w:rPr>
          <w:spacing w:val="-11"/>
        </w:rPr>
        <w:t> </w:t>
      </w:r>
      <w:r>
        <w:rPr/>
        <w:t>of</w:t>
      </w:r>
      <w:r>
        <w:rPr>
          <w:spacing w:val="-11"/>
        </w:rPr>
        <w:t> </w:t>
      </w:r>
      <w:r>
        <w:rPr/>
        <w:t>various</w:t>
      </w:r>
      <w:r>
        <w:rPr>
          <w:spacing w:val="-11"/>
        </w:rPr>
        <w:t> </w:t>
      </w:r>
      <w:r>
        <w:rPr/>
        <w:t>documents (such</w:t>
      </w:r>
      <w:r>
        <w:rPr>
          <w:spacing w:val="-42"/>
        </w:rPr>
        <w:t> </w:t>
      </w:r>
      <w:r>
        <w:rPr/>
        <w:t>as</w:t>
      </w:r>
      <w:r>
        <w:rPr>
          <w:spacing w:val="-41"/>
        </w:rPr>
        <w:t> </w:t>
      </w:r>
      <w:r>
        <w:rPr/>
        <w:t>title</w:t>
      </w:r>
      <w:r>
        <w:rPr>
          <w:spacing w:val="-43"/>
        </w:rPr>
        <w:t> </w:t>
      </w:r>
      <w:r>
        <w:rPr/>
        <w:t>deed,</w:t>
      </w:r>
      <w:r>
        <w:rPr>
          <w:spacing w:val="-42"/>
        </w:rPr>
        <w:t> </w:t>
      </w:r>
      <w:r>
        <w:rPr/>
        <w:t>plan</w:t>
      </w:r>
      <w:r>
        <w:rPr>
          <w:spacing w:val="-42"/>
        </w:rPr>
        <w:t> </w:t>
      </w:r>
      <w:r>
        <w:rPr/>
        <w:t>sanction</w:t>
      </w:r>
      <w:r>
        <w:rPr>
          <w:spacing w:val="-42"/>
        </w:rPr>
        <w:t> </w:t>
      </w:r>
      <w:r>
        <w:rPr/>
        <w:t>letter,</w:t>
      </w:r>
      <w:r>
        <w:rPr>
          <w:spacing w:val="-42"/>
        </w:rPr>
        <w:t> </w:t>
      </w:r>
      <w:r>
        <w:rPr/>
        <w:t>site</w:t>
      </w:r>
      <w:r>
        <w:rPr>
          <w:spacing w:val="-41"/>
        </w:rPr>
        <w:t> </w:t>
      </w:r>
      <w:r>
        <w:rPr/>
        <w:t>plan,</w:t>
      </w:r>
      <w:r>
        <w:rPr>
          <w:spacing w:val="-42"/>
        </w:rPr>
        <w:t> </w:t>
      </w:r>
      <w:r>
        <w:rPr/>
        <w:t>etc.)</w:t>
      </w:r>
      <w:r>
        <w:rPr>
          <w:spacing w:val="-41"/>
        </w:rPr>
        <w:t> </w:t>
      </w:r>
      <w:r>
        <w:rPr/>
        <w:t>provided</w:t>
      </w:r>
      <w:r>
        <w:rPr>
          <w:spacing w:val="-40"/>
        </w:rPr>
        <w:t> </w:t>
      </w:r>
      <w:r>
        <w:rPr/>
        <w:t>by</w:t>
      </w:r>
      <w:r>
        <w:rPr>
          <w:spacing w:val="-42"/>
        </w:rPr>
        <w:t> </w:t>
      </w:r>
      <w:r>
        <w:rPr/>
        <w:t>the</w:t>
      </w:r>
      <w:r>
        <w:rPr>
          <w:spacing w:val="-42"/>
        </w:rPr>
        <w:t> </w:t>
      </w:r>
      <w:r>
        <w:rPr/>
        <w:t>Client</w:t>
      </w:r>
      <w:r>
        <w:rPr>
          <w:spacing w:val="-42"/>
        </w:rPr>
        <w:t> </w:t>
      </w:r>
      <w:r>
        <w:rPr/>
        <w:t>or</w:t>
      </w:r>
      <w:r>
        <w:rPr>
          <w:spacing w:val="-42"/>
        </w:rPr>
        <w:t> </w:t>
      </w:r>
      <w:r>
        <w:rPr/>
        <w:t>assumed</w:t>
      </w:r>
    </w:p>
    <w:p>
      <w:pPr>
        <w:spacing w:after="0" w:line="321" w:lineRule="auto"/>
        <w:jc w:val="both"/>
        <w:sectPr>
          <w:headerReference w:type="default" r:id="rId261"/>
          <w:footerReference w:type="default" r:id="rId262"/>
          <w:pgSz w:w="11910" w:h="16840"/>
          <w:pgMar w:header="720" w:footer="921" w:top="1660" w:bottom="1120" w:left="620" w:right="600"/>
          <w:pgNumType w:start="249"/>
        </w:sectPr>
      </w:pPr>
    </w:p>
    <w:p>
      <w:pPr>
        <w:pStyle w:val="BodyText"/>
        <w:spacing w:before="7"/>
        <w:rPr>
          <w:sz w:val="9"/>
        </w:rPr>
      </w:pPr>
    </w:p>
    <w:p>
      <w:pPr>
        <w:spacing w:after="0"/>
        <w:rPr>
          <w:sz w:val="9"/>
        </w:rPr>
        <w:sectPr>
          <w:pgSz w:w="11910" w:h="16840"/>
          <w:pgMar w:header="720" w:footer="921" w:top="1660" w:bottom="1120" w:left="620" w:right="60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21"/>
        </w:rPr>
      </w:pPr>
    </w:p>
    <w:p>
      <w:pPr>
        <w:pStyle w:val="BodyText"/>
        <w:spacing w:line="321" w:lineRule="auto" w:before="1"/>
        <w:ind w:left="765" w:right="-18"/>
      </w:pPr>
      <w:r>
        <w:rPr/>
        <w:t>Approved Usage:</w:t>
      </w:r>
    </w:p>
    <w:p>
      <w:pPr>
        <w:pStyle w:val="BodyText"/>
        <w:spacing w:line="321" w:lineRule="auto" w:before="106"/>
        <w:ind w:left="438" w:right="136"/>
        <w:jc w:val="both"/>
      </w:pPr>
      <w:r>
        <w:rPr/>
        <w:br w:type="column"/>
      </w:r>
      <w:r>
        <w:rPr/>
        <w:t>based on building regulations, and no physical verification/ measurement has been undertaken for the purpose of this valuation exercise.</w:t>
      </w:r>
    </w:p>
    <w:p>
      <w:pPr>
        <w:pStyle w:val="BodyText"/>
        <w:spacing w:line="321" w:lineRule="auto" w:before="122"/>
        <w:ind w:left="520" w:right="137"/>
        <w:jc w:val="both"/>
      </w:pPr>
      <w:r>
        <w:rPr/>
        <w:t>For</w:t>
      </w:r>
      <w:r>
        <w:rPr>
          <w:spacing w:val="-18"/>
        </w:rPr>
        <w:t> </w:t>
      </w:r>
      <w:r>
        <w:rPr/>
        <w:t>the</w:t>
      </w:r>
      <w:r>
        <w:rPr>
          <w:spacing w:val="-20"/>
        </w:rPr>
        <w:t> </w:t>
      </w:r>
      <w:r>
        <w:rPr/>
        <w:t>purpose</w:t>
      </w:r>
      <w:r>
        <w:rPr>
          <w:spacing w:val="-20"/>
        </w:rPr>
        <w:t> </w:t>
      </w:r>
      <w:r>
        <w:rPr/>
        <w:t>of</w:t>
      </w:r>
      <w:r>
        <w:rPr>
          <w:spacing w:val="-19"/>
        </w:rPr>
        <w:t> </w:t>
      </w:r>
      <w:r>
        <w:rPr/>
        <w:t>this</w:t>
      </w:r>
      <w:r>
        <w:rPr>
          <w:spacing w:val="-18"/>
        </w:rPr>
        <w:t> </w:t>
      </w:r>
      <w:r>
        <w:rPr/>
        <w:t>exercise,</w:t>
      </w:r>
      <w:r>
        <w:rPr>
          <w:spacing w:val="-18"/>
        </w:rPr>
        <w:t> </w:t>
      </w:r>
      <w:r>
        <w:rPr/>
        <w:t>it</w:t>
      </w:r>
      <w:r>
        <w:rPr>
          <w:spacing w:val="-18"/>
        </w:rPr>
        <w:t> </w:t>
      </w:r>
      <w:r>
        <w:rPr/>
        <w:t>has</w:t>
      </w:r>
      <w:r>
        <w:rPr>
          <w:spacing w:val="-18"/>
        </w:rPr>
        <w:t> </w:t>
      </w:r>
      <w:r>
        <w:rPr/>
        <w:t>been</w:t>
      </w:r>
      <w:r>
        <w:rPr>
          <w:spacing w:val="-20"/>
        </w:rPr>
        <w:t> </w:t>
      </w:r>
      <w:r>
        <w:rPr/>
        <w:t>assumed</w:t>
      </w:r>
      <w:r>
        <w:rPr>
          <w:spacing w:val="-17"/>
        </w:rPr>
        <w:t> </w:t>
      </w:r>
      <w:r>
        <w:rPr/>
        <w:t>that</w:t>
      </w:r>
      <w:r>
        <w:rPr>
          <w:spacing w:val="-19"/>
        </w:rPr>
        <w:t> </w:t>
      </w:r>
      <w:r>
        <w:rPr/>
        <w:t>all</w:t>
      </w:r>
      <w:r>
        <w:rPr>
          <w:spacing w:val="-19"/>
        </w:rPr>
        <w:t> </w:t>
      </w:r>
      <w:r>
        <w:rPr/>
        <w:t>developments</w:t>
      </w:r>
      <w:r>
        <w:rPr>
          <w:spacing w:val="-17"/>
        </w:rPr>
        <w:t> </w:t>
      </w:r>
      <w:r>
        <w:rPr/>
        <w:t>adhere</w:t>
      </w:r>
      <w:r>
        <w:rPr>
          <w:spacing w:val="-17"/>
        </w:rPr>
        <w:t> </w:t>
      </w:r>
      <w:r>
        <w:rPr/>
        <w:t>to building</w:t>
      </w:r>
      <w:r>
        <w:rPr>
          <w:spacing w:val="-31"/>
        </w:rPr>
        <w:t> </w:t>
      </w:r>
      <w:r>
        <w:rPr/>
        <w:t>regulations</w:t>
      </w:r>
      <w:r>
        <w:rPr>
          <w:spacing w:val="-31"/>
        </w:rPr>
        <w:t> </w:t>
      </w:r>
      <w:r>
        <w:rPr/>
        <w:t>as</w:t>
      </w:r>
      <w:r>
        <w:rPr>
          <w:spacing w:val="-32"/>
        </w:rPr>
        <w:t> </w:t>
      </w:r>
      <w:r>
        <w:rPr/>
        <w:t>prescribed</w:t>
      </w:r>
      <w:r>
        <w:rPr>
          <w:spacing w:val="-33"/>
        </w:rPr>
        <w:t> </w:t>
      </w:r>
      <w:r>
        <w:rPr/>
        <w:t>by</w:t>
      </w:r>
      <w:r>
        <w:rPr>
          <w:spacing w:val="-32"/>
        </w:rPr>
        <w:t> </w:t>
      </w:r>
      <w:r>
        <w:rPr/>
        <w:t>the</w:t>
      </w:r>
      <w:r>
        <w:rPr>
          <w:spacing w:val="-32"/>
        </w:rPr>
        <w:t> </w:t>
      </w:r>
      <w:r>
        <w:rPr/>
        <w:t>relevant</w:t>
      </w:r>
      <w:r>
        <w:rPr>
          <w:spacing w:val="-32"/>
        </w:rPr>
        <w:t> </w:t>
      </w:r>
      <w:r>
        <w:rPr/>
        <w:t>authorities.</w:t>
      </w:r>
      <w:r>
        <w:rPr>
          <w:spacing w:val="-30"/>
        </w:rPr>
        <w:t> </w:t>
      </w:r>
      <w:r>
        <w:rPr/>
        <w:t>We</w:t>
      </w:r>
      <w:r>
        <w:rPr>
          <w:spacing w:val="-32"/>
        </w:rPr>
        <w:t> </w:t>
      </w:r>
      <w:r>
        <w:rPr/>
        <w:t>has</w:t>
      </w:r>
      <w:r>
        <w:rPr>
          <w:spacing w:val="-31"/>
        </w:rPr>
        <w:t> </w:t>
      </w:r>
      <w:r>
        <w:rPr/>
        <w:t>not</w:t>
      </w:r>
      <w:r>
        <w:rPr>
          <w:spacing w:val="-32"/>
        </w:rPr>
        <w:t> </w:t>
      </w:r>
      <w:r>
        <w:rPr/>
        <w:t>validated</w:t>
      </w:r>
      <w:r>
        <w:rPr>
          <w:spacing w:val="-31"/>
        </w:rPr>
        <w:t> </w:t>
      </w:r>
      <w:r>
        <w:rPr/>
        <w:t>the information</w:t>
      </w:r>
      <w:r>
        <w:rPr>
          <w:spacing w:val="-22"/>
        </w:rPr>
        <w:t> </w:t>
      </w:r>
      <w:r>
        <w:rPr/>
        <w:t>provided</w:t>
      </w:r>
      <w:r>
        <w:rPr>
          <w:spacing w:val="-19"/>
        </w:rPr>
        <w:t> </w:t>
      </w:r>
      <w:r>
        <w:rPr/>
        <w:t>by</w:t>
      </w:r>
      <w:r>
        <w:rPr>
          <w:spacing w:val="-20"/>
        </w:rPr>
        <w:t> </w:t>
      </w:r>
      <w:r>
        <w:rPr/>
        <w:t>the</w:t>
      </w:r>
      <w:r>
        <w:rPr>
          <w:spacing w:val="-21"/>
        </w:rPr>
        <w:t> </w:t>
      </w:r>
      <w:r>
        <w:rPr/>
        <w:t>Client</w:t>
      </w:r>
      <w:r>
        <w:rPr>
          <w:spacing w:val="-20"/>
        </w:rPr>
        <w:t> </w:t>
      </w:r>
      <w:r>
        <w:rPr/>
        <w:t>with</w:t>
      </w:r>
      <w:r>
        <w:rPr>
          <w:spacing w:val="-20"/>
        </w:rPr>
        <w:t> </w:t>
      </w:r>
      <w:r>
        <w:rPr/>
        <w:t>the</w:t>
      </w:r>
      <w:r>
        <w:rPr>
          <w:spacing w:val="-21"/>
        </w:rPr>
        <w:t> </w:t>
      </w:r>
      <w:r>
        <w:rPr/>
        <w:t>relevant</w:t>
      </w:r>
      <w:r>
        <w:rPr>
          <w:spacing w:val="-20"/>
        </w:rPr>
        <w:t> </w:t>
      </w:r>
      <w:r>
        <w:rPr/>
        <w:t>development</w:t>
      </w:r>
      <w:r>
        <w:rPr>
          <w:spacing w:val="-20"/>
        </w:rPr>
        <w:t> </w:t>
      </w:r>
      <w:r>
        <w:rPr/>
        <w:t>authorities.</w:t>
      </w:r>
    </w:p>
    <w:p>
      <w:pPr>
        <w:pStyle w:val="BodyText"/>
        <w:spacing w:line="321" w:lineRule="auto" w:before="120"/>
        <w:ind w:left="520" w:right="138"/>
        <w:jc w:val="both"/>
      </w:pPr>
      <w:r>
        <w:rPr/>
        <w:t>Based on Occupancy Certificates provided by the Client and visual inspection</w:t>
      </w:r>
      <w:r>
        <w:rPr>
          <w:spacing w:val="-46"/>
        </w:rPr>
        <w:t> </w:t>
      </w:r>
      <w:r>
        <w:rPr/>
        <w:t>during our</w:t>
      </w:r>
      <w:r>
        <w:rPr>
          <w:spacing w:val="-37"/>
        </w:rPr>
        <w:t> </w:t>
      </w:r>
      <w:r>
        <w:rPr/>
        <w:t>site</w:t>
      </w:r>
      <w:r>
        <w:rPr>
          <w:spacing w:val="-36"/>
        </w:rPr>
        <w:t> </w:t>
      </w:r>
      <w:r>
        <w:rPr/>
        <w:t>visit,</w:t>
      </w:r>
      <w:r>
        <w:rPr>
          <w:spacing w:val="-38"/>
        </w:rPr>
        <w:t> </w:t>
      </w:r>
      <w:r>
        <w:rPr/>
        <w:t>we</w:t>
      </w:r>
      <w:r>
        <w:rPr>
          <w:spacing w:val="-36"/>
        </w:rPr>
        <w:t> </w:t>
      </w:r>
      <w:r>
        <w:rPr/>
        <w:t>understand</w:t>
      </w:r>
      <w:r>
        <w:rPr>
          <w:spacing w:val="-37"/>
        </w:rPr>
        <w:t> </w:t>
      </w:r>
      <w:r>
        <w:rPr/>
        <w:t>that</w:t>
      </w:r>
      <w:r>
        <w:rPr>
          <w:spacing w:val="-37"/>
        </w:rPr>
        <w:t> </w:t>
      </w:r>
      <w:r>
        <w:rPr/>
        <w:t>the</w:t>
      </w:r>
      <w:r>
        <w:rPr>
          <w:spacing w:val="-36"/>
        </w:rPr>
        <w:t> </w:t>
      </w:r>
      <w:r>
        <w:rPr/>
        <w:t>subject</w:t>
      </w:r>
      <w:r>
        <w:rPr>
          <w:spacing w:val="-36"/>
        </w:rPr>
        <w:t> </w:t>
      </w:r>
      <w:r>
        <w:rPr/>
        <w:t>property</w:t>
      </w:r>
      <w:r>
        <w:rPr>
          <w:spacing w:val="-35"/>
        </w:rPr>
        <w:t> </w:t>
      </w:r>
      <w:r>
        <w:rPr/>
        <w:t>is</w:t>
      </w:r>
      <w:r>
        <w:rPr>
          <w:spacing w:val="-36"/>
        </w:rPr>
        <w:t> </w:t>
      </w:r>
      <w:r>
        <w:rPr/>
        <w:t>a</w:t>
      </w:r>
      <w:r>
        <w:rPr>
          <w:spacing w:val="-37"/>
        </w:rPr>
        <w:t> </w:t>
      </w:r>
      <w:r>
        <w:rPr/>
        <w:t>Commercial</w:t>
      </w:r>
      <w:r>
        <w:rPr>
          <w:spacing w:val="-36"/>
        </w:rPr>
        <w:t> </w:t>
      </w:r>
      <w:r>
        <w:rPr/>
        <w:t>(Non-SEZ)</w:t>
      </w:r>
      <w:r>
        <w:rPr>
          <w:spacing w:val="-36"/>
        </w:rPr>
        <w:t> </w:t>
      </w:r>
      <w:r>
        <w:rPr/>
        <w:t>Office Park,</w:t>
      </w:r>
      <w:r>
        <w:rPr>
          <w:spacing w:val="-23"/>
        </w:rPr>
        <w:t> </w:t>
      </w:r>
      <w:r>
        <w:rPr/>
        <w:t>comprising</w:t>
      </w:r>
      <w:r>
        <w:rPr>
          <w:spacing w:val="-21"/>
        </w:rPr>
        <w:t> </w:t>
      </w:r>
      <w:r>
        <w:rPr/>
        <w:t>of</w:t>
      </w:r>
      <w:r>
        <w:rPr>
          <w:spacing w:val="-21"/>
        </w:rPr>
        <w:t> </w:t>
      </w:r>
      <w:r>
        <w:rPr/>
        <w:t>14</w:t>
      </w:r>
      <w:r>
        <w:rPr>
          <w:spacing w:val="-23"/>
        </w:rPr>
        <w:t> </w:t>
      </w:r>
      <w:r>
        <w:rPr/>
        <w:t>operational</w:t>
      </w:r>
      <w:r>
        <w:rPr>
          <w:spacing w:val="-22"/>
        </w:rPr>
        <w:t> </w:t>
      </w:r>
      <w:r>
        <w:rPr/>
        <w:t>blocks.</w:t>
      </w:r>
      <w:r>
        <w:rPr>
          <w:spacing w:val="-22"/>
        </w:rPr>
        <w:t> </w:t>
      </w:r>
      <w:r>
        <w:rPr/>
        <w:t>The</w:t>
      </w:r>
      <w:r>
        <w:rPr>
          <w:spacing w:val="-22"/>
        </w:rPr>
        <w:t> </w:t>
      </w:r>
      <w:r>
        <w:rPr/>
        <w:t>current</w:t>
      </w:r>
      <w:r>
        <w:rPr>
          <w:spacing w:val="-23"/>
        </w:rPr>
        <w:t> </w:t>
      </w:r>
      <w:r>
        <w:rPr/>
        <w:t>use</w:t>
      </w:r>
      <w:r>
        <w:rPr>
          <w:spacing w:val="-22"/>
        </w:rPr>
        <w:t> </w:t>
      </w:r>
      <w:r>
        <w:rPr/>
        <w:t>of</w:t>
      </w:r>
      <w:r>
        <w:rPr>
          <w:spacing w:val="-21"/>
        </w:rPr>
        <w:t> </w:t>
      </w:r>
      <w:r>
        <w:rPr/>
        <w:t>the</w:t>
      </w:r>
      <w:r>
        <w:rPr>
          <w:spacing w:val="-22"/>
        </w:rPr>
        <w:t> </w:t>
      </w:r>
      <w:r>
        <w:rPr/>
        <w:t>subject</w:t>
      </w:r>
      <w:r>
        <w:rPr>
          <w:spacing w:val="-22"/>
        </w:rPr>
        <w:t> </w:t>
      </w:r>
      <w:r>
        <w:rPr/>
        <w:t>property</w:t>
      </w:r>
      <w:r>
        <w:rPr>
          <w:spacing w:val="-20"/>
        </w:rPr>
        <w:t> </w:t>
      </w:r>
      <w:r>
        <w:rPr/>
        <w:t>has been</w:t>
      </w:r>
      <w:r>
        <w:rPr>
          <w:spacing w:val="-25"/>
        </w:rPr>
        <w:t> </w:t>
      </w:r>
      <w:r>
        <w:rPr/>
        <w:t>provided</w:t>
      </w:r>
      <w:r>
        <w:rPr>
          <w:spacing w:val="-25"/>
        </w:rPr>
        <w:t> </w:t>
      </w:r>
      <w:r>
        <w:rPr/>
        <w:t>by</w:t>
      </w:r>
      <w:r>
        <w:rPr>
          <w:spacing w:val="-24"/>
        </w:rPr>
        <w:t> </w:t>
      </w:r>
      <w:r>
        <w:rPr/>
        <w:t>the</w:t>
      </w:r>
      <w:r>
        <w:rPr>
          <w:spacing w:val="-25"/>
        </w:rPr>
        <w:t> </w:t>
      </w:r>
      <w:r>
        <w:rPr/>
        <w:t>Client</w:t>
      </w:r>
      <w:r>
        <w:rPr>
          <w:spacing w:val="-24"/>
        </w:rPr>
        <w:t> </w:t>
      </w:r>
      <w:r>
        <w:rPr/>
        <w:t>and</w:t>
      </w:r>
      <w:r>
        <w:rPr>
          <w:spacing w:val="-23"/>
        </w:rPr>
        <w:t> </w:t>
      </w:r>
      <w:r>
        <w:rPr/>
        <w:t>is</w:t>
      </w:r>
      <w:r>
        <w:rPr>
          <w:spacing w:val="-24"/>
        </w:rPr>
        <w:t> </w:t>
      </w:r>
      <w:r>
        <w:rPr/>
        <w:t>broadly</w:t>
      </w:r>
      <w:r>
        <w:rPr>
          <w:spacing w:val="-23"/>
        </w:rPr>
        <w:t> </w:t>
      </w:r>
      <w:r>
        <w:rPr/>
        <w:t>in</w:t>
      </w:r>
      <w:r>
        <w:rPr>
          <w:spacing w:val="-25"/>
        </w:rPr>
        <w:t> </w:t>
      </w:r>
      <w:r>
        <w:rPr/>
        <w:t>agreement</w:t>
      </w:r>
      <w:r>
        <w:rPr>
          <w:spacing w:val="-24"/>
        </w:rPr>
        <w:t> </w:t>
      </w:r>
      <w:r>
        <w:rPr/>
        <w:t>with</w:t>
      </w:r>
      <w:r>
        <w:rPr>
          <w:spacing w:val="-25"/>
        </w:rPr>
        <w:t> </w:t>
      </w:r>
      <w:r>
        <w:rPr/>
        <w:t>the</w:t>
      </w:r>
      <w:r>
        <w:rPr>
          <w:spacing w:val="-24"/>
        </w:rPr>
        <w:t> </w:t>
      </w:r>
      <w:r>
        <w:rPr/>
        <w:t>rules</w:t>
      </w:r>
      <w:r>
        <w:rPr>
          <w:spacing w:val="-23"/>
        </w:rPr>
        <w:t> </w:t>
      </w:r>
      <w:r>
        <w:rPr/>
        <w:t>and</w:t>
      </w:r>
      <w:r>
        <w:rPr>
          <w:spacing w:val="-23"/>
        </w:rPr>
        <w:t> </w:t>
      </w:r>
      <w:r>
        <w:rPr/>
        <w:t>regulations as prescribed by the local development authority. However, we have not made any enquiries with the relevant local authorities to validate the same for its specific applicability to the subject</w:t>
      </w:r>
      <w:r>
        <w:rPr>
          <w:spacing w:val="-25"/>
        </w:rPr>
        <w:t> </w:t>
      </w:r>
      <w:r>
        <w:rPr/>
        <w:t>property.</w:t>
      </w:r>
    </w:p>
    <w:p>
      <w:pPr>
        <w:spacing w:after="0" w:line="321" w:lineRule="auto"/>
        <w:jc w:val="both"/>
        <w:sectPr>
          <w:type w:val="continuous"/>
          <w:pgSz w:w="11910" w:h="16840"/>
          <w:pgMar w:top="800" w:bottom="280" w:left="620" w:right="600"/>
          <w:cols w:num="2" w:equalWidth="0">
            <w:col w:w="1696" w:space="40"/>
            <w:col w:w="8954"/>
          </w:cols>
        </w:sectPr>
      </w:pPr>
    </w:p>
    <w:p>
      <w:pPr>
        <w:pStyle w:val="BodyText"/>
        <w:tabs>
          <w:tab w:pos="2255" w:val="left" w:leader="none"/>
        </w:tabs>
        <w:spacing w:line="321" w:lineRule="auto" w:before="125"/>
        <w:ind w:left="2255" w:right="139" w:hanging="1491"/>
      </w:pPr>
      <w:r>
        <w:rPr>
          <w:w w:val="95"/>
        </w:rPr>
        <w:t>Restrictions:</w:t>
        <w:tab/>
      </w:r>
      <w:r>
        <w:rPr/>
        <w:t>As</w:t>
      </w:r>
      <w:r>
        <w:rPr>
          <w:spacing w:val="-35"/>
        </w:rPr>
        <w:t> </w:t>
      </w:r>
      <w:r>
        <w:rPr/>
        <w:t>per</w:t>
      </w:r>
      <w:r>
        <w:rPr>
          <w:spacing w:val="-34"/>
        </w:rPr>
        <w:t> </w:t>
      </w:r>
      <w:r>
        <w:rPr/>
        <w:t>feedback</w:t>
      </w:r>
      <w:r>
        <w:rPr>
          <w:spacing w:val="-33"/>
        </w:rPr>
        <w:t> </w:t>
      </w:r>
      <w:r>
        <w:rPr/>
        <w:t>received</w:t>
      </w:r>
      <w:r>
        <w:rPr>
          <w:spacing w:val="-34"/>
        </w:rPr>
        <w:t> </w:t>
      </w:r>
      <w:r>
        <w:rPr/>
        <w:t>from</w:t>
      </w:r>
      <w:r>
        <w:rPr>
          <w:spacing w:val="-33"/>
        </w:rPr>
        <w:t> </w:t>
      </w:r>
      <w:r>
        <w:rPr/>
        <w:t>the</w:t>
      </w:r>
      <w:r>
        <w:rPr>
          <w:spacing w:val="-34"/>
        </w:rPr>
        <w:t> </w:t>
      </w:r>
      <w:r>
        <w:rPr/>
        <w:t>Client,</w:t>
      </w:r>
      <w:r>
        <w:rPr>
          <w:spacing w:val="-34"/>
        </w:rPr>
        <w:t> </w:t>
      </w:r>
      <w:r>
        <w:rPr/>
        <w:t>there</w:t>
      </w:r>
      <w:r>
        <w:rPr>
          <w:spacing w:val="-34"/>
        </w:rPr>
        <w:t> </w:t>
      </w:r>
      <w:r>
        <w:rPr/>
        <w:t>are</w:t>
      </w:r>
      <w:r>
        <w:rPr>
          <w:spacing w:val="-33"/>
        </w:rPr>
        <w:t> </w:t>
      </w:r>
      <w:r>
        <w:rPr/>
        <w:t>no</w:t>
      </w:r>
      <w:r>
        <w:rPr>
          <w:spacing w:val="-35"/>
        </w:rPr>
        <w:t> </w:t>
      </w:r>
      <w:r>
        <w:rPr/>
        <w:t>restrictions</w:t>
      </w:r>
      <w:r>
        <w:rPr>
          <w:spacing w:val="-33"/>
        </w:rPr>
        <w:t> </w:t>
      </w:r>
      <w:r>
        <w:rPr/>
        <w:t>on</w:t>
      </w:r>
      <w:r>
        <w:rPr>
          <w:spacing w:val="-34"/>
        </w:rPr>
        <w:t> </w:t>
      </w:r>
      <w:r>
        <w:rPr/>
        <w:t>the</w:t>
      </w:r>
      <w:r>
        <w:rPr>
          <w:spacing w:val="-34"/>
        </w:rPr>
        <w:t> </w:t>
      </w:r>
      <w:r>
        <w:rPr/>
        <w:t>current</w:t>
      </w:r>
      <w:r>
        <w:rPr>
          <w:spacing w:val="-33"/>
        </w:rPr>
        <w:t> </w:t>
      </w:r>
      <w:r>
        <w:rPr/>
        <w:t>use</w:t>
      </w:r>
      <w:r>
        <w:rPr>
          <w:spacing w:val="-34"/>
        </w:rPr>
        <w:t> </w:t>
      </w:r>
      <w:r>
        <w:rPr/>
        <w:t>of the</w:t>
      </w:r>
      <w:r>
        <w:rPr>
          <w:spacing w:val="-3"/>
        </w:rPr>
        <w:t> </w:t>
      </w:r>
      <w:r>
        <w:rPr/>
        <w:t>property.</w:t>
      </w:r>
    </w:p>
    <w:p>
      <w:pPr>
        <w:spacing w:after="0" w:line="321" w:lineRule="auto"/>
        <w:sectPr>
          <w:type w:val="continuous"/>
          <w:pgSz w:w="11910" w:h="16840"/>
          <w:pgMar w:top="800" w:bottom="280" w:left="620" w:right="600"/>
        </w:sectPr>
      </w:pPr>
    </w:p>
    <w:p>
      <w:pPr>
        <w:pStyle w:val="BodyText"/>
        <w:tabs>
          <w:tab w:pos="1753" w:val="left" w:leader="none"/>
        </w:tabs>
        <w:spacing w:line="321" w:lineRule="auto" w:before="122"/>
        <w:ind w:left="765"/>
      </w:pPr>
      <w:r>
        <w:rPr/>
        <w:t>Natural</w:t>
        <w:tab/>
      </w:r>
      <w:r>
        <w:rPr>
          <w:spacing w:val="-11"/>
        </w:rPr>
        <w:t>or </w:t>
      </w:r>
      <w:r>
        <w:rPr/>
        <w:t>induced hazards:</w:t>
      </w:r>
    </w:p>
    <w:p>
      <w:pPr>
        <w:pStyle w:val="BodyText"/>
        <w:spacing w:line="321" w:lineRule="auto" w:before="122"/>
        <w:ind w:left="259"/>
      </w:pPr>
      <w:r>
        <w:rPr/>
        <w:br w:type="column"/>
      </w:r>
      <w:r>
        <w:rPr/>
        <w:t>We</w:t>
      </w:r>
      <w:r>
        <w:rPr>
          <w:spacing w:val="-30"/>
        </w:rPr>
        <w:t> </w:t>
      </w:r>
      <w:r>
        <w:rPr/>
        <w:t>are</w:t>
      </w:r>
      <w:r>
        <w:rPr>
          <w:spacing w:val="-30"/>
        </w:rPr>
        <w:t> </w:t>
      </w:r>
      <w:r>
        <w:rPr/>
        <w:t>of</w:t>
      </w:r>
      <w:r>
        <w:rPr>
          <w:spacing w:val="-29"/>
        </w:rPr>
        <w:t> </w:t>
      </w:r>
      <w:r>
        <w:rPr/>
        <w:t>the</w:t>
      </w:r>
      <w:r>
        <w:rPr>
          <w:spacing w:val="-31"/>
        </w:rPr>
        <w:t> </w:t>
      </w:r>
      <w:r>
        <w:rPr/>
        <w:t>opinion</w:t>
      </w:r>
      <w:r>
        <w:rPr>
          <w:spacing w:val="-30"/>
        </w:rPr>
        <w:t> </w:t>
      </w:r>
      <w:r>
        <w:rPr/>
        <w:t>that</w:t>
      </w:r>
      <w:r>
        <w:rPr>
          <w:spacing w:val="-30"/>
        </w:rPr>
        <w:t> </w:t>
      </w:r>
      <w:r>
        <w:rPr/>
        <w:t>the</w:t>
      </w:r>
      <w:r>
        <w:rPr>
          <w:spacing w:val="-30"/>
        </w:rPr>
        <w:t> </w:t>
      </w:r>
      <w:r>
        <w:rPr/>
        <w:t>project/</w:t>
      </w:r>
      <w:r>
        <w:rPr>
          <w:spacing w:val="-29"/>
        </w:rPr>
        <w:t> </w:t>
      </w:r>
      <w:r>
        <w:rPr/>
        <w:t>site</w:t>
      </w:r>
      <w:r>
        <w:rPr>
          <w:spacing w:val="-31"/>
        </w:rPr>
        <w:t> </w:t>
      </w:r>
      <w:r>
        <w:rPr/>
        <w:t>has</w:t>
      </w:r>
      <w:r>
        <w:rPr>
          <w:spacing w:val="-30"/>
        </w:rPr>
        <w:t> </w:t>
      </w:r>
      <w:r>
        <w:rPr/>
        <w:t>been</w:t>
      </w:r>
      <w:r>
        <w:rPr>
          <w:spacing w:val="-30"/>
        </w:rPr>
        <w:t> </w:t>
      </w:r>
      <w:r>
        <w:rPr/>
        <w:t>developed</w:t>
      </w:r>
      <w:r>
        <w:rPr>
          <w:spacing w:val="-30"/>
        </w:rPr>
        <w:t> </w:t>
      </w:r>
      <w:r>
        <w:rPr/>
        <w:t>to</w:t>
      </w:r>
      <w:r>
        <w:rPr>
          <w:spacing w:val="-31"/>
        </w:rPr>
        <w:t> </w:t>
      </w:r>
      <w:r>
        <w:rPr/>
        <w:t>withstand</w:t>
      </w:r>
      <w:r>
        <w:rPr>
          <w:spacing w:val="-29"/>
        </w:rPr>
        <w:t> </w:t>
      </w:r>
      <w:r>
        <w:rPr/>
        <w:t>natural</w:t>
      </w:r>
      <w:r>
        <w:rPr>
          <w:spacing w:val="-31"/>
        </w:rPr>
        <w:t> </w:t>
      </w:r>
      <w:r>
        <w:rPr/>
        <w:t>or induced</w:t>
      </w:r>
      <w:r>
        <w:rPr>
          <w:spacing w:val="-18"/>
        </w:rPr>
        <w:t> </w:t>
      </w:r>
      <w:r>
        <w:rPr/>
        <w:t>hazards</w:t>
      </w:r>
      <w:r>
        <w:rPr>
          <w:spacing w:val="-18"/>
        </w:rPr>
        <w:t> </w:t>
      </w:r>
      <w:r>
        <w:rPr/>
        <w:t>(with</w:t>
      </w:r>
      <w:r>
        <w:rPr>
          <w:spacing w:val="-19"/>
        </w:rPr>
        <w:t> </w:t>
      </w:r>
      <w:r>
        <w:rPr/>
        <w:t>the</w:t>
      </w:r>
      <w:r>
        <w:rPr>
          <w:spacing w:val="-20"/>
        </w:rPr>
        <w:t> </w:t>
      </w:r>
      <w:r>
        <w:rPr/>
        <w:t>exception</w:t>
      </w:r>
      <w:r>
        <w:rPr>
          <w:spacing w:val="-19"/>
        </w:rPr>
        <w:t> </w:t>
      </w:r>
      <w:r>
        <w:rPr/>
        <w:t>of</w:t>
      </w:r>
      <w:r>
        <w:rPr>
          <w:spacing w:val="-18"/>
        </w:rPr>
        <w:t> </w:t>
      </w:r>
      <w:r>
        <w:rPr/>
        <w:t>extreme/</w:t>
      </w:r>
      <w:r>
        <w:rPr>
          <w:spacing w:val="-19"/>
        </w:rPr>
        <w:t> </w:t>
      </w:r>
      <w:r>
        <w:rPr/>
        <w:t>out</w:t>
      </w:r>
      <w:r>
        <w:rPr>
          <w:spacing w:val="-18"/>
        </w:rPr>
        <w:t> </w:t>
      </w:r>
      <w:r>
        <w:rPr/>
        <w:t>of</w:t>
      </w:r>
      <w:r>
        <w:rPr>
          <w:spacing w:val="-18"/>
        </w:rPr>
        <w:t> </w:t>
      </w:r>
      <w:r>
        <w:rPr/>
        <w:t>the</w:t>
      </w:r>
      <w:r>
        <w:rPr>
          <w:spacing w:val="-19"/>
        </w:rPr>
        <w:t> </w:t>
      </w:r>
      <w:r>
        <w:rPr/>
        <w:t>ordinary</w:t>
      </w:r>
      <w:r>
        <w:rPr>
          <w:spacing w:val="-18"/>
        </w:rPr>
        <w:t> </w:t>
      </w:r>
      <w:r>
        <w:rPr/>
        <w:t>hazards).</w:t>
      </w:r>
    </w:p>
    <w:p>
      <w:pPr>
        <w:spacing w:after="0" w:line="321" w:lineRule="auto"/>
        <w:sectPr>
          <w:type w:val="continuous"/>
          <w:pgSz w:w="11910" w:h="16840"/>
          <w:pgMar w:top="800" w:bottom="280" w:left="620" w:right="600"/>
          <w:cols w:num="2" w:equalWidth="0">
            <w:col w:w="1957" w:space="40"/>
            <w:col w:w="8693"/>
          </w:cols>
        </w:sectPr>
      </w:pPr>
    </w:p>
    <w:p>
      <w:pPr>
        <w:pStyle w:val="BodyText"/>
        <w:spacing w:before="10"/>
        <w:rPr>
          <w:sz w:val="21"/>
        </w:rPr>
      </w:pPr>
    </w:p>
    <w:p>
      <w:pPr>
        <w:pStyle w:val="ListParagraph"/>
        <w:numPr>
          <w:ilvl w:val="2"/>
          <w:numId w:val="14"/>
        </w:numPr>
        <w:tabs>
          <w:tab w:pos="821" w:val="left" w:leader="none"/>
        </w:tabs>
        <w:spacing w:line="240" w:lineRule="auto" w:before="106" w:after="0"/>
        <w:ind w:left="820" w:right="0" w:hanging="721"/>
        <w:jc w:val="left"/>
        <w:rPr>
          <w:sz w:val="22"/>
        </w:rPr>
      </w:pPr>
      <w:bookmarkStart w:name="_bookmark301" w:id="587"/>
      <w:bookmarkEnd w:id="587"/>
      <w:r>
        <w:rPr/>
      </w:r>
      <w:bookmarkStart w:name="_bookmark301" w:id="588"/>
      <w:bookmarkEnd w:id="588"/>
      <w:r>
        <w:rPr>
          <w:color w:val="1F664D"/>
          <w:sz w:val="22"/>
        </w:rPr>
        <w:t>S</w:t>
      </w:r>
      <w:r>
        <w:rPr>
          <w:color w:val="1F664D"/>
          <w:sz w:val="22"/>
        </w:rPr>
        <w:t>tatutory Approvals, One Time Sanctions &amp; Periodic</w:t>
      </w:r>
      <w:r>
        <w:rPr>
          <w:color w:val="1F664D"/>
          <w:spacing w:val="1"/>
          <w:sz w:val="22"/>
        </w:rPr>
        <w:t> </w:t>
      </w:r>
      <w:r>
        <w:rPr>
          <w:color w:val="1F664D"/>
          <w:sz w:val="22"/>
        </w:rPr>
        <w:t>Clearances</w:t>
      </w:r>
    </w:p>
    <w:p>
      <w:pPr>
        <w:pStyle w:val="BodyText"/>
        <w:spacing w:before="208"/>
        <w:ind w:left="666"/>
      </w:pPr>
      <w:r>
        <w:rPr/>
        <w:t>Please refer section 18.3 on Statutory Approvals, One time Sanctions &amp; Periodic Clearances</w:t>
      </w:r>
    </w:p>
    <w:p>
      <w:pPr>
        <w:spacing w:after="0"/>
        <w:sectPr>
          <w:type w:val="continuous"/>
          <w:pgSz w:w="11910" w:h="16840"/>
          <w:pgMar w:top="800" w:bottom="280" w:left="620" w:right="600"/>
        </w:sectPr>
      </w:pPr>
    </w:p>
    <w:p>
      <w:pPr>
        <w:spacing w:before="75"/>
        <w:ind w:left="1051" w:right="0" w:firstLine="0"/>
        <w:jc w:val="left"/>
        <w:rPr>
          <w:sz w:val="20"/>
        </w:rPr>
      </w:pPr>
      <w:r>
        <w:rPr/>
        <w:drawing>
          <wp:anchor distT="0" distB="0" distL="0" distR="0" allowOverlap="1" layoutInCell="1" locked="0" behindDoc="0" simplePos="0" relativeHeight="1280">
            <wp:simplePos x="0" y="0"/>
            <wp:positionH relativeFrom="page">
              <wp:posOffset>832485</wp:posOffset>
            </wp:positionH>
            <wp:positionV relativeFrom="paragraph">
              <wp:posOffset>283078</wp:posOffset>
            </wp:positionV>
            <wp:extent cx="9725902" cy="79248"/>
            <wp:effectExtent l="0" t="0" r="0" b="0"/>
            <wp:wrapTopAndBottom/>
            <wp:docPr id="281" name="image78.png"/>
            <wp:cNvGraphicFramePr>
              <a:graphicFrameLocks noChangeAspect="1"/>
            </wp:cNvGraphicFramePr>
            <a:graphic>
              <a:graphicData uri="http://schemas.openxmlformats.org/drawingml/2006/picture">
                <pic:pic>
                  <pic:nvPicPr>
                    <pic:cNvPr id="282" name="image78.png"/>
                    <pic:cNvPicPr/>
                  </pic:nvPicPr>
                  <pic:blipFill>
                    <a:blip r:embed="rId106" cstate="print"/>
                    <a:stretch>
                      <a:fillRect/>
                    </a:stretch>
                  </pic:blipFill>
                  <pic:spPr>
                    <a:xfrm>
                      <a:off x="0" y="0"/>
                      <a:ext cx="9725902" cy="79248"/>
                    </a:xfrm>
                    <a:prstGeom prst="rect">
                      <a:avLst/>
                    </a:prstGeom>
                  </pic:spPr>
                </pic:pic>
              </a:graphicData>
            </a:graphic>
          </wp:anchor>
        </w:drawing>
      </w:r>
      <w:r>
        <w:rPr/>
        <w:drawing>
          <wp:anchor distT="0" distB="0" distL="0" distR="0" allowOverlap="1" layoutInCell="1" locked="0" behindDoc="0" simplePos="0" relativeHeight="16384512">
            <wp:simplePos x="0" y="0"/>
            <wp:positionH relativeFrom="page">
              <wp:posOffset>7688580</wp:posOffset>
            </wp:positionH>
            <wp:positionV relativeFrom="page">
              <wp:posOffset>7055586</wp:posOffset>
            </wp:positionV>
            <wp:extent cx="1079500" cy="300457"/>
            <wp:effectExtent l="0" t="0" r="0" b="0"/>
            <wp:wrapNone/>
            <wp:docPr id="283" name="image3.jpeg"/>
            <wp:cNvGraphicFramePr>
              <a:graphicFrameLocks noChangeAspect="1"/>
            </wp:cNvGraphicFramePr>
            <a:graphic>
              <a:graphicData uri="http://schemas.openxmlformats.org/drawingml/2006/picture">
                <pic:pic>
                  <pic:nvPicPr>
                    <pic:cNvPr id="284"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6385024">
            <wp:simplePos x="0" y="0"/>
            <wp:positionH relativeFrom="page">
              <wp:posOffset>8868592</wp:posOffset>
            </wp:positionH>
            <wp:positionV relativeFrom="page">
              <wp:posOffset>6927122</wp:posOffset>
            </wp:positionV>
            <wp:extent cx="909288" cy="433873"/>
            <wp:effectExtent l="0" t="0" r="0" b="0"/>
            <wp:wrapNone/>
            <wp:docPr id="285" name="image4.png"/>
            <wp:cNvGraphicFramePr>
              <a:graphicFrameLocks noChangeAspect="1"/>
            </wp:cNvGraphicFramePr>
            <a:graphic>
              <a:graphicData uri="http://schemas.openxmlformats.org/drawingml/2006/picture">
                <pic:pic>
                  <pic:nvPicPr>
                    <pic:cNvPr id="286"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ListParagraph"/>
        <w:numPr>
          <w:ilvl w:val="2"/>
          <w:numId w:val="14"/>
        </w:numPr>
        <w:tabs>
          <w:tab w:pos="1772" w:val="left" w:leader="none"/>
        </w:tabs>
        <w:spacing w:line="240" w:lineRule="auto" w:before="196" w:after="0"/>
        <w:ind w:left="1771" w:right="0" w:hanging="721"/>
        <w:jc w:val="left"/>
        <w:rPr>
          <w:sz w:val="22"/>
        </w:rPr>
      </w:pPr>
      <w:bookmarkStart w:name="_bookmark302" w:id="589"/>
      <w:bookmarkEnd w:id="589"/>
      <w:r>
        <w:rPr/>
      </w:r>
      <w:bookmarkStart w:name="_bookmark302" w:id="590"/>
      <w:bookmarkEnd w:id="590"/>
      <w:r>
        <w:rPr>
          <w:color w:val="1F664D"/>
          <w:sz w:val="22"/>
        </w:rPr>
        <w:t>Are</w:t>
      </w:r>
      <w:r>
        <w:rPr>
          <w:color w:val="1F664D"/>
          <w:sz w:val="22"/>
        </w:rPr>
        <w:t>a Details, Type and Age of Existing</w:t>
      </w:r>
      <w:r>
        <w:rPr>
          <w:color w:val="1F664D"/>
          <w:spacing w:val="-7"/>
          <w:sz w:val="22"/>
        </w:rPr>
        <w:t> </w:t>
      </w:r>
      <w:r>
        <w:rPr>
          <w:color w:val="1F664D"/>
          <w:sz w:val="22"/>
        </w:rPr>
        <w:t>Structures</w:t>
      </w:r>
    </w:p>
    <w:p>
      <w:pPr>
        <w:pStyle w:val="BodyText"/>
        <w:spacing w:before="205"/>
        <w:ind w:left="1051"/>
      </w:pPr>
      <w:r>
        <w:rPr/>
        <w:t>The table below highlights the area details of the subject property:</w:t>
      </w:r>
    </w:p>
    <w:p>
      <w:pPr>
        <w:pStyle w:val="BodyText"/>
        <w:spacing w:before="3"/>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37"/>
        <w:gridCol w:w="3828"/>
        <w:gridCol w:w="3068"/>
        <w:gridCol w:w="2676"/>
        <w:gridCol w:w="2604"/>
      </w:tblGrid>
      <w:tr>
        <w:trPr>
          <w:trHeight w:val="323" w:hRule="atLeast"/>
        </w:trPr>
        <w:tc>
          <w:tcPr>
            <w:tcW w:w="3237" w:type="dxa"/>
            <w:tcBorders>
              <w:top w:val="single" w:sz="12" w:space="0" w:color="1F6B16"/>
              <w:bottom w:val="single" w:sz="6" w:space="0" w:color="69BD28"/>
            </w:tcBorders>
            <w:shd w:val="clear" w:color="auto" w:fill="006A4D"/>
          </w:tcPr>
          <w:p>
            <w:pPr>
              <w:pStyle w:val="TableParagraph"/>
              <w:spacing w:before="58"/>
              <w:ind w:left="746"/>
              <w:jc w:val="left"/>
              <w:rPr>
                <w:b/>
                <w:sz w:val="18"/>
              </w:rPr>
            </w:pPr>
            <w:r>
              <w:rPr>
                <w:b/>
                <w:color w:val="FFFFFF"/>
                <w:w w:val="105"/>
                <w:sz w:val="18"/>
              </w:rPr>
              <w:t>Subject Property</w:t>
            </w:r>
          </w:p>
        </w:tc>
        <w:tc>
          <w:tcPr>
            <w:tcW w:w="3828" w:type="dxa"/>
            <w:tcBorders>
              <w:top w:val="single" w:sz="12" w:space="0" w:color="1F6B16"/>
              <w:bottom w:val="single" w:sz="6" w:space="0" w:color="69BD28"/>
            </w:tcBorders>
            <w:shd w:val="clear" w:color="auto" w:fill="006A4D"/>
          </w:tcPr>
          <w:p>
            <w:pPr>
              <w:pStyle w:val="TableParagraph"/>
              <w:spacing w:before="58"/>
              <w:ind w:left="989" w:right="827"/>
              <w:rPr>
                <w:b/>
                <w:sz w:val="18"/>
              </w:rPr>
            </w:pPr>
            <w:r>
              <w:rPr>
                <w:b/>
                <w:color w:val="FFFFFF"/>
                <w:w w:val="110"/>
                <w:sz w:val="18"/>
              </w:rPr>
              <w:t>Developable area (sf)</w:t>
            </w:r>
          </w:p>
        </w:tc>
        <w:tc>
          <w:tcPr>
            <w:tcW w:w="3068" w:type="dxa"/>
            <w:tcBorders>
              <w:top w:val="single" w:sz="12" w:space="0" w:color="1F6B16"/>
              <w:bottom w:val="single" w:sz="6" w:space="0" w:color="69BD28"/>
            </w:tcBorders>
            <w:shd w:val="clear" w:color="auto" w:fill="006A4D"/>
          </w:tcPr>
          <w:p>
            <w:pPr>
              <w:pStyle w:val="TableParagraph"/>
              <w:spacing w:before="58"/>
              <w:ind w:left="845" w:right="415"/>
              <w:rPr>
                <w:b/>
                <w:sz w:val="18"/>
              </w:rPr>
            </w:pPr>
            <w:r>
              <w:rPr>
                <w:b/>
                <w:color w:val="FFFFFF"/>
                <w:w w:val="105"/>
                <w:sz w:val="18"/>
              </w:rPr>
              <w:t>Completed Area (sf)</w:t>
            </w:r>
          </w:p>
        </w:tc>
        <w:tc>
          <w:tcPr>
            <w:tcW w:w="2676" w:type="dxa"/>
            <w:tcBorders>
              <w:top w:val="single" w:sz="12" w:space="0" w:color="1F6B16"/>
              <w:bottom w:val="single" w:sz="6" w:space="0" w:color="69BD28"/>
            </w:tcBorders>
            <w:shd w:val="clear" w:color="auto" w:fill="006A4D"/>
          </w:tcPr>
          <w:p>
            <w:pPr>
              <w:pStyle w:val="TableParagraph"/>
              <w:spacing w:before="58"/>
              <w:ind w:left="410" w:right="439"/>
              <w:rPr>
                <w:b/>
                <w:sz w:val="18"/>
              </w:rPr>
            </w:pPr>
            <w:r>
              <w:rPr>
                <w:b/>
                <w:color w:val="FFFFFF"/>
                <w:w w:val="105"/>
                <w:sz w:val="18"/>
              </w:rPr>
              <w:t>Committed Area (sf)</w:t>
            </w:r>
          </w:p>
        </w:tc>
        <w:tc>
          <w:tcPr>
            <w:tcW w:w="2604" w:type="dxa"/>
            <w:tcBorders>
              <w:top w:val="single" w:sz="12" w:space="0" w:color="1F6B16"/>
              <w:bottom w:val="single" w:sz="6" w:space="0" w:color="69BD28"/>
            </w:tcBorders>
            <w:shd w:val="clear" w:color="auto" w:fill="006A4D"/>
          </w:tcPr>
          <w:p>
            <w:pPr>
              <w:pStyle w:val="TableParagraph"/>
              <w:spacing w:before="58"/>
              <w:ind w:left="446" w:right="481"/>
              <w:rPr>
                <w:b/>
                <w:sz w:val="18"/>
              </w:rPr>
            </w:pPr>
            <w:r>
              <w:rPr>
                <w:b/>
                <w:color w:val="FFFFFF"/>
                <w:w w:val="105"/>
                <w:sz w:val="18"/>
              </w:rPr>
              <w:t>Occupied Area (sf)</w:t>
            </w:r>
          </w:p>
        </w:tc>
      </w:tr>
      <w:tr>
        <w:trPr>
          <w:trHeight w:val="256" w:hRule="atLeast"/>
        </w:trPr>
        <w:tc>
          <w:tcPr>
            <w:tcW w:w="3237" w:type="dxa"/>
            <w:tcBorders>
              <w:top w:val="single" w:sz="6" w:space="0" w:color="69BD28"/>
              <w:bottom w:val="single" w:sz="6" w:space="0" w:color="69BD28"/>
            </w:tcBorders>
          </w:tcPr>
          <w:p>
            <w:pPr>
              <w:pStyle w:val="TableParagraph"/>
              <w:spacing w:before="25"/>
              <w:ind w:left="753"/>
              <w:jc w:val="left"/>
              <w:rPr>
                <w:sz w:val="18"/>
              </w:rPr>
            </w:pPr>
            <w:r>
              <w:rPr>
                <w:sz w:val="18"/>
              </w:rPr>
              <w:t>Embassy GolfLinks</w:t>
            </w:r>
          </w:p>
        </w:tc>
        <w:tc>
          <w:tcPr>
            <w:tcW w:w="3828" w:type="dxa"/>
            <w:tcBorders>
              <w:top w:val="single" w:sz="6" w:space="0" w:color="69BD28"/>
              <w:bottom w:val="single" w:sz="6" w:space="0" w:color="69BD28"/>
            </w:tcBorders>
          </w:tcPr>
          <w:p>
            <w:pPr>
              <w:pStyle w:val="TableParagraph"/>
              <w:spacing w:before="25"/>
              <w:ind w:left="989" w:right="827"/>
              <w:rPr>
                <w:sz w:val="18"/>
              </w:rPr>
            </w:pPr>
            <w:r>
              <w:rPr>
                <w:w w:val="105"/>
                <w:sz w:val="18"/>
              </w:rPr>
              <w:t>3,709,892</w:t>
            </w:r>
          </w:p>
        </w:tc>
        <w:tc>
          <w:tcPr>
            <w:tcW w:w="3068" w:type="dxa"/>
            <w:tcBorders>
              <w:top w:val="single" w:sz="6" w:space="0" w:color="69BD28"/>
              <w:bottom w:val="single" w:sz="6" w:space="0" w:color="69BD28"/>
            </w:tcBorders>
          </w:tcPr>
          <w:p>
            <w:pPr>
              <w:pStyle w:val="TableParagraph"/>
              <w:spacing w:before="25"/>
              <w:ind w:left="845" w:right="412"/>
              <w:rPr>
                <w:sz w:val="18"/>
              </w:rPr>
            </w:pPr>
            <w:r>
              <w:rPr>
                <w:w w:val="105"/>
                <w:sz w:val="18"/>
              </w:rPr>
              <w:t>2,737,442</w:t>
            </w:r>
          </w:p>
        </w:tc>
        <w:tc>
          <w:tcPr>
            <w:tcW w:w="2676" w:type="dxa"/>
            <w:tcBorders>
              <w:top w:val="single" w:sz="6" w:space="0" w:color="69BD28"/>
              <w:bottom w:val="single" w:sz="6" w:space="0" w:color="69BD28"/>
            </w:tcBorders>
          </w:tcPr>
          <w:p>
            <w:pPr>
              <w:pStyle w:val="TableParagraph"/>
              <w:spacing w:before="25"/>
              <w:ind w:left="407" w:right="439"/>
              <w:rPr>
                <w:sz w:val="18"/>
              </w:rPr>
            </w:pPr>
            <w:r>
              <w:rPr>
                <w:w w:val="105"/>
                <w:sz w:val="18"/>
              </w:rPr>
              <w:t>2,690,359</w:t>
            </w:r>
          </w:p>
        </w:tc>
        <w:tc>
          <w:tcPr>
            <w:tcW w:w="2604" w:type="dxa"/>
            <w:tcBorders>
              <w:top w:val="single" w:sz="6" w:space="0" w:color="69BD28"/>
              <w:bottom w:val="single" w:sz="6" w:space="0" w:color="69BD28"/>
            </w:tcBorders>
          </w:tcPr>
          <w:p>
            <w:pPr>
              <w:pStyle w:val="TableParagraph"/>
              <w:spacing w:before="25"/>
              <w:ind w:left="444" w:right="481"/>
              <w:rPr>
                <w:sz w:val="18"/>
              </w:rPr>
            </w:pPr>
            <w:r>
              <w:rPr>
                <w:w w:val="105"/>
                <w:sz w:val="18"/>
              </w:rPr>
              <w:t>2,690,359</w:t>
            </w:r>
          </w:p>
        </w:tc>
      </w:tr>
    </w:tbl>
    <w:p>
      <w:pPr>
        <w:spacing w:before="0"/>
        <w:ind w:left="1051" w:right="0" w:firstLine="0"/>
        <w:jc w:val="left"/>
        <w:rPr>
          <w:i/>
          <w:sz w:val="18"/>
        </w:rPr>
      </w:pPr>
      <w:r>
        <w:rPr>
          <w:sz w:val="18"/>
        </w:rPr>
        <w:t>Source: </w:t>
      </w:r>
      <w:r>
        <w:rPr>
          <w:i/>
          <w:sz w:val="18"/>
        </w:rPr>
        <w:t>Rent roll, lease deeds, Architect Certificate provided by Client</w:t>
      </w:r>
    </w:p>
    <w:p>
      <w:pPr>
        <w:pStyle w:val="BodyText"/>
        <w:spacing w:before="10"/>
        <w:rPr>
          <w:i/>
          <w:sz w:val="26"/>
        </w:rPr>
      </w:pPr>
    </w:p>
    <w:p>
      <w:pPr>
        <w:pStyle w:val="BodyText"/>
        <w:ind w:left="1591"/>
      </w:pPr>
      <w:r>
        <w:rPr/>
        <w:t>The table below highlights the detailed area break-up of the subject development:</w:t>
      </w:r>
    </w:p>
    <w:p>
      <w:pPr>
        <w:pStyle w:val="BodyText"/>
        <w:spacing w:before="9"/>
        <w:rPr>
          <w:sz w:val="18"/>
        </w:rPr>
      </w:pPr>
    </w:p>
    <w:tbl>
      <w:tblPr>
        <w:tblW w:w="0" w:type="auto"/>
        <w:jc w:val="left"/>
        <w:tblInd w:w="1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86"/>
        <w:gridCol w:w="2140"/>
        <w:gridCol w:w="2801"/>
        <w:gridCol w:w="2387"/>
        <w:gridCol w:w="2728"/>
      </w:tblGrid>
      <w:tr>
        <w:trPr>
          <w:trHeight w:val="431" w:hRule="atLeast"/>
        </w:trPr>
        <w:tc>
          <w:tcPr>
            <w:tcW w:w="3486" w:type="dxa"/>
            <w:tcBorders>
              <w:top w:val="single" w:sz="12" w:space="0" w:color="1F6B16"/>
              <w:bottom w:val="single" w:sz="6" w:space="0" w:color="69BD28"/>
            </w:tcBorders>
            <w:shd w:val="clear" w:color="auto" w:fill="006A4D"/>
          </w:tcPr>
          <w:p>
            <w:pPr>
              <w:pStyle w:val="TableParagraph"/>
              <w:spacing w:before="3"/>
              <w:ind w:left="1385" w:right="1136"/>
              <w:rPr>
                <w:b/>
                <w:sz w:val="18"/>
              </w:rPr>
            </w:pPr>
            <w:r>
              <w:rPr>
                <w:b/>
                <w:color w:val="FFFFFF"/>
                <w:w w:val="110"/>
                <w:sz w:val="18"/>
              </w:rPr>
              <w:t>Block</w:t>
            </w:r>
          </w:p>
          <w:p>
            <w:pPr>
              <w:pStyle w:val="TableParagraph"/>
              <w:spacing w:line="192" w:lineRule="exact" w:before="7"/>
              <w:ind w:left="1385" w:right="1134"/>
              <w:rPr>
                <w:b/>
                <w:sz w:val="18"/>
              </w:rPr>
            </w:pPr>
            <w:r>
              <w:rPr>
                <w:b/>
                <w:color w:val="FFFFFF"/>
                <w:w w:val="115"/>
                <w:sz w:val="18"/>
              </w:rPr>
              <w:t>Name</w:t>
            </w:r>
          </w:p>
        </w:tc>
        <w:tc>
          <w:tcPr>
            <w:tcW w:w="2140" w:type="dxa"/>
            <w:tcBorders>
              <w:top w:val="single" w:sz="12" w:space="0" w:color="1F6B16"/>
              <w:bottom w:val="single" w:sz="6" w:space="0" w:color="69BD28"/>
            </w:tcBorders>
            <w:shd w:val="clear" w:color="auto" w:fill="006A4D"/>
          </w:tcPr>
          <w:p>
            <w:pPr>
              <w:pStyle w:val="TableParagraph"/>
              <w:spacing w:before="111"/>
              <w:ind w:left="572"/>
              <w:rPr>
                <w:b/>
                <w:sz w:val="18"/>
              </w:rPr>
            </w:pPr>
            <w:r>
              <w:rPr>
                <w:b/>
                <w:color w:val="FFFFFF"/>
                <w:w w:val="110"/>
                <w:sz w:val="18"/>
              </w:rPr>
              <w:t>Building Elevatio</w:t>
            </w:r>
          </w:p>
        </w:tc>
        <w:tc>
          <w:tcPr>
            <w:tcW w:w="2801" w:type="dxa"/>
            <w:tcBorders>
              <w:top w:val="single" w:sz="12" w:space="0" w:color="1F6B16"/>
              <w:bottom w:val="single" w:sz="6" w:space="0" w:color="69BD28"/>
            </w:tcBorders>
            <w:shd w:val="clear" w:color="auto" w:fill="006A4D"/>
          </w:tcPr>
          <w:p>
            <w:pPr>
              <w:pStyle w:val="TableParagraph"/>
              <w:tabs>
                <w:tab w:pos="1015" w:val="left" w:leader="none"/>
              </w:tabs>
              <w:spacing w:before="111"/>
              <w:ind w:left="-15"/>
              <w:jc w:val="left"/>
              <w:rPr>
                <w:b/>
                <w:sz w:val="18"/>
              </w:rPr>
            </w:pPr>
            <w:r>
              <w:rPr>
                <w:b/>
                <w:color w:val="FFFFFF"/>
                <w:w w:val="115"/>
                <w:sz w:val="18"/>
              </w:rPr>
              <w:t>n</w:t>
              <w:tab/>
              <w:t>SEZ/Non-SEZ</w:t>
            </w:r>
          </w:p>
        </w:tc>
        <w:tc>
          <w:tcPr>
            <w:tcW w:w="2387" w:type="dxa"/>
            <w:tcBorders>
              <w:top w:val="single" w:sz="12" w:space="0" w:color="1F6B16"/>
              <w:bottom w:val="single" w:sz="6" w:space="0" w:color="69BD28"/>
            </w:tcBorders>
            <w:shd w:val="clear" w:color="auto" w:fill="006A4D"/>
          </w:tcPr>
          <w:p>
            <w:pPr>
              <w:pStyle w:val="TableParagraph"/>
              <w:spacing w:before="3"/>
              <w:ind w:left="826" w:right="891"/>
              <w:rPr>
                <w:b/>
                <w:sz w:val="18"/>
              </w:rPr>
            </w:pPr>
            <w:r>
              <w:rPr>
                <w:b/>
                <w:color w:val="FFFFFF"/>
                <w:w w:val="115"/>
                <w:sz w:val="18"/>
              </w:rPr>
              <w:t>Age</w:t>
            </w:r>
          </w:p>
          <w:p>
            <w:pPr>
              <w:pStyle w:val="TableParagraph"/>
              <w:spacing w:line="192" w:lineRule="exact" w:before="7"/>
              <w:ind w:left="826" w:right="893"/>
              <w:rPr>
                <w:b/>
                <w:sz w:val="18"/>
              </w:rPr>
            </w:pPr>
            <w:r>
              <w:rPr>
                <w:b/>
                <w:color w:val="FFFFFF"/>
                <w:w w:val="105"/>
                <w:sz w:val="18"/>
              </w:rPr>
              <w:t>(Years)</w:t>
            </w:r>
          </w:p>
        </w:tc>
        <w:tc>
          <w:tcPr>
            <w:tcW w:w="2728" w:type="dxa"/>
            <w:tcBorders>
              <w:top w:val="single" w:sz="12" w:space="0" w:color="1F6B16"/>
              <w:bottom w:val="single" w:sz="6" w:space="0" w:color="69BD28"/>
            </w:tcBorders>
            <w:shd w:val="clear" w:color="auto" w:fill="006A4D"/>
          </w:tcPr>
          <w:p>
            <w:pPr>
              <w:pStyle w:val="TableParagraph"/>
              <w:spacing w:before="111"/>
              <w:ind w:left="491" w:right="536"/>
              <w:rPr>
                <w:b/>
                <w:sz w:val="18"/>
              </w:rPr>
            </w:pPr>
            <w:r>
              <w:rPr>
                <w:b/>
                <w:color w:val="FFFFFF"/>
                <w:w w:val="110"/>
                <w:sz w:val="18"/>
              </w:rPr>
              <w:t>Leasable Area (sf)</w:t>
            </w:r>
          </w:p>
        </w:tc>
      </w:tr>
      <w:tr>
        <w:trPr>
          <w:trHeight w:val="263" w:hRule="atLeast"/>
        </w:trPr>
        <w:tc>
          <w:tcPr>
            <w:tcW w:w="3486" w:type="dxa"/>
            <w:shd w:val="clear" w:color="auto" w:fill="69BD28"/>
          </w:tcPr>
          <w:p>
            <w:pPr>
              <w:pStyle w:val="TableParagraph"/>
              <w:jc w:val="left"/>
              <w:rPr>
                <w:rFonts w:ascii="Times New Roman"/>
                <w:sz w:val="18"/>
              </w:rPr>
            </w:pPr>
          </w:p>
        </w:tc>
        <w:tc>
          <w:tcPr>
            <w:tcW w:w="2140" w:type="dxa"/>
            <w:shd w:val="clear" w:color="auto" w:fill="69BD28"/>
          </w:tcPr>
          <w:p>
            <w:pPr>
              <w:pStyle w:val="TableParagraph"/>
              <w:jc w:val="left"/>
              <w:rPr>
                <w:rFonts w:ascii="Times New Roman"/>
                <w:sz w:val="18"/>
              </w:rPr>
            </w:pPr>
          </w:p>
        </w:tc>
        <w:tc>
          <w:tcPr>
            <w:tcW w:w="2801" w:type="dxa"/>
            <w:shd w:val="clear" w:color="auto" w:fill="69BD28"/>
          </w:tcPr>
          <w:p>
            <w:pPr>
              <w:pStyle w:val="TableParagraph"/>
              <w:spacing w:before="20"/>
              <w:ind w:left="346"/>
              <w:jc w:val="left"/>
              <w:rPr>
                <w:b/>
                <w:sz w:val="18"/>
              </w:rPr>
            </w:pPr>
            <w:r>
              <w:rPr>
                <w:b/>
                <w:color w:val="FFFFFF"/>
                <w:w w:val="110"/>
                <w:sz w:val="18"/>
              </w:rPr>
              <w:t>Completed Blocks</w:t>
            </w:r>
          </w:p>
        </w:tc>
        <w:tc>
          <w:tcPr>
            <w:tcW w:w="2387" w:type="dxa"/>
            <w:shd w:val="clear" w:color="auto" w:fill="69BD28"/>
          </w:tcPr>
          <w:p>
            <w:pPr>
              <w:pStyle w:val="TableParagraph"/>
              <w:jc w:val="left"/>
              <w:rPr>
                <w:rFonts w:ascii="Times New Roman"/>
                <w:sz w:val="18"/>
              </w:rPr>
            </w:pPr>
          </w:p>
        </w:tc>
        <w:tc>
          <w:tcPr>
            <w:tcW w:w="2728" w:type="dxa"/>
            <w:shd w:val="clear" w:color="auto" w:fill="69BD28"/>
          </w:tcPr>
          <w:p>
            <w:pPr>
              <w:pStyle w:val="TableParagraph"/>
              <w:jc w:val="left"/>
              <w:rPr>
                <w:rFonts w:ascii="Times New Roman"/>
                <w:sz w:val="18"/>
              </w:rPr>
            </w:pPr>
          </w:p>
        </w:tc>
      </w:tr>
      <w:tr>
        <w:trPr>
          <w:trHeight w:val="249" w:hRule="atLeast"/>
        </w:trPr>
        <w:tc>
          <w:tcPr>
            <w:tcW w:w="3486" w:type="dxa"/>
            <w:tcBorders>
              <w:bottom w:val="single" w:sz="6" w:space="0" w:color="69BD28"/>
            </w:tcBorders>
          </w:tcPr>
          <w:p>
            <w:pPr>
              <w:pStyle w:val="TableParagraph"/>
              <w:spacing w:line="209" w:lineRule="exact" w:before="20"/>
              <w:ind w:left="1385" w:right="1135"/>
              <w:rPr>
                <w:sz w:val="18"/>
              </w:rPr>
            </w:pPr>
            <w:r>
              <w:rPr>
                <w:sz w:val="18"/>
              </w:rPr>
              <w:t>Augusta</w:t>
            </w:r>
          </w:p>
        </w:tc>
        <w:tc>
          <w:tcPr>
            <w:tcW w:w="2140" w:type="dxa"/>
            <w:tcBorders>
              <w:bottom w:val="single" w:sz="6" w:space="0" w:color="69BD28"/>
            </w:tcBorders>
          </w:tcPr>
          <w:p>
            <w:pPr>
              <w:pStyle w:val="TableParagraph"/>
              <w:spacing w:line="209" w:lineRule="exact" w:before="20"/>
              <w:ind w:left="694"/>
              <w:rPr>
                <w:sz w:val="18"/>
              </w:rPr>
            </w:pPr>
            <w:r>
              <w:rPr>
                <w:w w:val="130"/>
                <w:sz w:val="18"/>
              </w:rPr>
              <w:t>B+G+5</w:t>
            </w:r>
          </w:p>
        </w:tc>
        <w:tc>
          <w:tcPr>
            <w:tcW w:w="2801" w:type="dxa"/>
            <w:tcBorders>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bottom w:val="single" w:sz="6" w:space="0" w:color="69BD28"/>
            </w:tcBorders>
          </w:tcPr>
          <w:p>
            <w:pPr>
              <w:pStyle w:val="TableParagraph"/>
              <w:spacing w:line="209" w:lineRule="exact" w:before="20"/>
              <w:ind w:left="1051"/>
              <w:jc w:val="left"/>
              <w:rPr>
                <w:sz w:val="18"/>
              </w:rPr>
            </w:pPr>
            <w:r>
              <w:rPr>
                <w:w w:val="110"/>
                <w:sz w:val="18"/>
              </w:rPr>
              <w:t>13</w:t>
            </w:r>
          </w:p>
        </w:tc>
        <w:tc>
          <w:tcPr>
            <w:tcW w:w="2728" w:type="dxa"/>
            <w:tcBorders>
              <w:bottom w:val="single" w:sz="6" w:space="0" w:color="69BD28"/>
            </w:tcBorders>
          </w:tcPr>
          <w:p>
            <w:pPr>
              <w:pStyle w:val="TableParagraph"/>
              <w:spacing w:line="209" w:lineRule="exact" w:before="20"/>
              <w:ind w:left="487" w:right="536"/>
              <w:rPr>
                <w:sz w:val="18"/>
              </w:rPr>
            </w:pPr>
            <w:r>
              <w:rPr>
                <w:w w:val="110"/>
                <w:sz w:val="18"/>
              </w:rPr>
              <w:t>171,249</w:t>
            </w:r>
          </w:p>
        </w:tc>
      </w:tr>
      <w:tr>
        <w:trPr>
          <w:trHeight w:val="248" w:hRule="atLeast"/>
        </w:trPr>
        <w:tc>
          <w:tcPr>
            <w:tcW w:w="3486" w:type="dxa"/>
            <w:tcBorders>
              <w:top w:val="single" w:sz="6" w:space="0" w:color="69BD28"/>
              <w:bottom w:val="single" w:sz="6" w:space="0" w:color="69BD28"/>
            </w:tcBorders>
          </w:tcPr>
          <w:p>
            <w:pPr>
              <w:pStyle w:val="TableParagraph"/>
              <w:spacing w:line="209" w:lineRule="exact" w:before="20"/>
              <w:ind w:left="1385" w:right="1137"/>
              <w:rPr>
                <w:sz w:val="18"/>
              </w:rPr>
            </w:pPr>
            <w:r>
              <w:rPr>
                <w:sz w:val="18"/>
              </w:rPr>
              <w:t>Blue Bay</w:t>
            </w:r>
          </w:p>
        </w:tc>
        <w:tc>
          <w:tcPr>
            <w:tcW w:w="2140" w:type="dxa"/>
            <w:tcBorders>
              <w:top w:val="single" w:sz="6" w:space="0" w:color="69BD28"/>
              <w:bottom w:val="single" w:sz="6" w:space="0" w:color="69BD28"/>
            </w:tcBorders>
          </w:tcPr>
          <w:p>
            <w:pPr>
              <w:pStyle w:val="TableParagraph"/>
              <w:spacing w:line="209" w:lineRule="exact" w:before="20"/>
              <w:ind w:left="694"/>
              <w:rPr>
                <w:sz w:val="18"/>
              </w:rPr>
            </w:pPr>
            <w:r>
              <w:rPr>
                <w:w w:val="130"/>
                <w:sz w:val="18"/>
              </w:rPr>
              <w:t>B+G+3</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14</w:t>
            </w:r>
          </w:p>
        </w:tc>
        <w:tc>
          <w:tcPr>
            <w:tcW w:w="2728" w:type="dxa"/>
            <w:tcBorders>
              <w:top w:val="single" w:sz="6" w:space="0" w:color="69BD28"/>
              <w:bottom w:val="single" w:sz="6" w:space="0" w:color="69BD28"/>
            </w:tcBorders>
          </w:tcPr>
          <w:p>
            <w:pPr>
              <w:pStyle w:val="TableParagraph"/>
              <w:spacing w:line="209" w:lineRule="exact" w:before="20"/>
              <w:ind w:left="487" w:right="536"/>
              <w:rPr>
                <w:sz w:val="18"/>
              </w:rPr>
            </w:pPr>
            <w:r>
              <w:rPr>
                <w:w w:val="110"/>
                <w:sz w:val="18"/>
              </w:rPr>
              <w:t>225,313</w:t>
            </w:r>
          </w:p>
        </w:tc>
      </w:tr>
      <w:tr>
        <w:trPr>
          <w:trHeight w:val="249" w:hRule="atLeast"/>
        </w:trPr>
        <w:tc>
          <w:tcPr>
            <w:tcW w:w="3486" w:type="dxa"/>
            <w:tcBorders>
              <w:top w:val="single" w:sz="6" w:space="0" w:color="69BD28"/>
              <w:bottom w:val="single" w:sz="6" w:space="0" w:color="69BD28"/>
            </w:tcBorders>
          </w:tcPr>
          <w:p>
            <w:pPr>
              <w:pStyle w:val="TableParagraph"/>
              <w:spacing w:line="209" w:lineRule="exact" w:before="20"/>
              <w:ind w:left="1306"/>
              <w:jc w:val="left"/>
              <w:rPr>
                <w:sz w:val="18"/>
              </w:rPr>
            </w:pPr>
            <w:r>
              <w:rPr>
                <w:sz w:val="18"/>
              </w:rPr>
              <w:t>Crystal Downs</w:t>
            </w:r>
          </w:p>
        </w:tc>
        <w:tc>
          <w:tcPr>
            <w:tcW w:w="2140" w:type="dxa"/>
            <w:tcBorders>
              <w:top w:val="single" w:sz="6" w:space="0" w:color="69BD28"/>
              <w:bottom w:val="single" w:sz="6" w:space="0" w:color="69BD28"/>
            </w:tcBorders>
          </w:tcPr>
          <w:p>
            <w:pPr>
              <w:pStyle w:val="TableParagraph"/>
              <w:spacing w:line="209" w:lineRule="exact" w:before="20"/>
              <w:ind w:left="694"/>
              <w:rPr>
                <w:sz w:val="18"/>
              </w:rPr>
            </w:pPr>
            <w:r>
              <w:rPr>
                <w:w w:val="130"/>
                <w:sz w:val="18"/>
              </w:rPr>
              <w:t>B+G+3</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15</w:t>
            </w:r>
          </w:p>
        </w:tc>
        <w:tc>
          <w:tcPr>
            <w:tcW w:w="2728" w:type="dxa"/>
            <w:tcBorders>
              <w:top w:val="single" w:sz="6" w:space="0" w:color="69BD28"/>
              <w:bottom w:val="single" w:sz="6" w:space="0" w:color="69BD28"/>
            </w:tcBorders>
          </w:tcPr>
          <w:p>
            <w:pPr>
              <w:pStyle w:val="TableParagraph"/>
              <w:spacing w:line="209" w:lineRule="exact" w:before="20"/>
              <w:ind w:left="487" w:right="536"/>
              <w:rPr>
                <w:sz w:val="18"/>
              </w:rPr>
            </w:pPr>
            <w:r>
              <w:rPr>
                <w:w w:val="110"/>
                <w:sz w:val="18"/>
              </w:rPr>
              <w:t>205,000</w:t>
            </w:r>
          </w:p>
        </w:tc>
      </w:tr>
      <w:tr>
        <w:trPr>
          <w:trHeight w:val="248" w:hRule="atLeast"/>
        </w:trPr>
        <w:tc>
          <w:tcPr>
            <w:tcW w:w="3486" w:type="dxa"/>
            <w:tcBorders>
              <w:top w:val="single" w:sz="6" w:space="0" w:color="69BD28"/>
              <w:bottom w:val="single" w:sz="6" w:space="0" w:color="69BD28"/>
            </w:tcBorders>
          </w:tcPr>
          <w:p>
            <w:pPr>
              <w:pStyle w:val="TableParagraph"/>
              <w:spacing w:line="209" w:lineRule="exact" w:before="20"/>
              <w:ind w:left="1404"/>
              <w:jc w:val="left"/>
              <w:rPr>
                <w:sz w:val="18"/>
              </w:rPr>
            </w:pPr>
            <w:r>
              <w:rPr>
                <w:sz w:val="18"/>
              </w:rPr>
              <w:t>Eagle Ridge</w:t>
            </w:r>
          </w:p>
        </w:tc>
        <w:tc>
          <w:tcPr>
            <w:tcW w:w="2140" w:type="dxa"/>
            <w:tcBorders>
              <w:top w:val="single" w:sz="6" w:space="0" w:color="69BD28"/>
              <w:bottom w:val="single" w:sz="6" w:space="0" w:color="69BD28"/>
            </w:tcBorders>
          </w:tcPr>
          <w:p>
            <w:pPr>
              <w:pStyle w:val="TableParagraph"/>
              <w:spacing w:line="209" w:lineRule="exact" w:before="20"/>
              <w:ind w:left="694"/>
              <w:rPr>
                <w:sz w:val="18"/>
              </w:rPr>
            </w:pPr>
            <w:r>
              <w:rPr>
                <w:w w:val="130"/>
                <w:sz w:val="18"/>
              </w:rPr>
              <w:t>B+G+3</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14</w:t>
            </w:r>
          </w:p>
        </w:tc>
        <w:tc>
          <w:tcPr>
            <w:tcW w:w="2728" w:type="dxa"/>
            <w:tcBorders>
              <w:top w:val="single" w:sz="6" w:space="0" w:color="69BD28"/>
              <w:bottom w:val="single" w:sz="6" w:space="0" w:color="69BD28"/>
            </w:tcBorders>
          </w:tcPr>
          <w:p>
            <w:pPr>
              <w:pStyle w:val="TableParagraph"/>
              <w:spacing w:line="209" w:lineRule="exact" w:before="20"/>
              <w:ind w:left="487" w:right="536"/>
              <w:rPr>
                <w:sz w:val="18"/>
              </w:rPr>
            </w:pPr>
            <w:r>
              <w:rPr>
                <w:w w:val="110"/>
                <w:sz w:val="18"/>
              </w:rPr>
              <w:t>153,150</w:t>
            </w:r>
          </w:p>
        </w:tc>
      </w:tr>
      <w:tr>
        <w:trPr>
          <w:trHeight w:val="248" w:hRule="atLeast"/>
        </w:trPr>
        <w:tc>
          <w:tcPr>
            <w:tcW w:w="3486" w:type="dxa"/>
            <w:tcBorders>
              <w:top w:val="single" w:sz="6" w:space="0" w:color="69BD28"/>
              <w:bottom w:val="single" w:sz="6" w:space="0" w:color="69BD28"/>
            </w:tcBorders>
          </w:tcPr>
          <w:p>
            <w:pPr>
              <w:pStyle w:val="TableParagraph"/>
              <w:spacing w:line="209" w:lineRule="exact" w:before="20"/>
              <w:ind w:left="1385" w:right="1135"/>
              <w:rPr>
                <w:sz w:val="18"/>
              </w:rPr>
            </w:pPr>
            <w:r>
              <w:rPr>
                <w:sz w:val="18"/>
              </w:rPr>
              <w:t>Fairwinds</w:t>
            </w:r>
          </w:p>
        </w:tc>
        <w:tc>
          <w:tcPr>
            <w:tcW w:w="2140" w:type="dxa"/>
            <w:tcBorders>
              <w:top w:val="single" w:sz="6" w:space="0" w:color="69BD28"/>
              <w:bottom w:val="single" w:sz="6" w:space="0" w:color="69BD28"/>
            </w:tcBorders>
          </w:tcPr>
          <w:p>
            <w:pPr>
              <w:pStyle w:val="TableParagraph"/>
              <w:spacing w:line="209" w:lineRule="exact" w:before="20"/>
              <w:ind w:left="694"/>
              <w:rPr>
                <w:sz w:val="18"/>
              </w:rPr>
            </w:pPr>
            <w:r>
              <w:rPr>
                <w:w w:val="130"/>
                <w:sz w:val="18"/>
              </w:rPr>
              <w:t>B+G+5</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14</w:t>
            </w:r>
          </w:p>
        </w:tc>
        <w:tc>
          <w:tcPr>
            <w:tcW w:w="2728" w:type="dxa"/>
            <w:tcBorders>
              <w:top w:val="single" w:sz="6" w:space="0" w:color="69BD28"/>
              <w:bottom w:val="single" w:sz="6" w:space="0" w:color="69BD28"/>
            </w:tcBorders>
          </w:tcPr>
          <w:p>
            <w:pPr>
              <w:pStyle w:val="TableParagraph"/>
              <w:spacing w:line="209" w:lineRule="exact" w:before="20"/>
              <w:ind w:left="487" w:right="536"/>
              <w:rPr>
                <w:sz w:val="18"/>
              </w:rPr>
            </w:pPr>
            <w:r>
              <w:rPr>
                <w:w w:val="110"/>
                <w:sz w:val="18"/>
              </w:rPr>
              <w:t>188,217</w:t>
            </w:r>
          </w:p>
        </w:tc>
      </w:tr>
      <w:tr>
        <w:trPr>
          <w:trHeight w:val="248" w:hRule="atLeast"/>
        </w:trPr>
        <w:tc>
          <w:tcPr>
            <w:tcW w:w="3486" w:type="dxa"/>
            <w:tcBorders>
              <w:top w:val="single" w:sz="6" w:space="0" w:color="69BD28"/>
              <w:bottom w:val="single" w:sz="6" w:space="0" w:color="69BD28"/>
            </w:tcBorders>
          </w:tcPr>
          <w:p>
            <w:pPr>
              <w:pStyle w:val="TableParagraph"/>
              <w:spacing w:line="209" w:lineRule="exact" w:before="20"/>
              <w:ind w:left="1284"/>
              <w:jc w:val="left"/>
              <w:rPr>
                <w:sz w:val="18"/>
              </w:rPr>
            </w:pPr>
            <w:r>
              <w:rPr>
                <w:sz w:val="18"/>
              </w:rPr>
              <w:t>Fountain Head</w:t>
            </w:r>
          </w:p>
        </w:tc>
        <w:tc>
          <w:tcPr>
            <w:tcW w:w="2140" w:type="dxa"/>
            <w:tcBorders>
              <w:top w:val="single" w:sz="6" w:space="0" w:color="69BD28"/>
              <w:bottom w:val="single" w:sz="6" w:space="0" w:color="69BD28"/>
            </w:tcBorders>
          </w:tcPr>
          <w:p>
            <w:pPr>
              <w:pStyle w:val="TableParagraph"/>
              <w:spacing w:line="209" w:lineRule="exact" w:before="20"/>
              <w:ind w:left="694"/>
              <w:rPr>
                <w:sz w:val="18"/>
              </w:rPr>
            </w:pPr>
            <w:r>
              <w:rPr>
                <w:w w:val="130"/>
                <w:sz w:val="18"/>
              </w:rPr>
              <w:t>B+G+2</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14</w:t>
            </w:r>
          </w:p>
        </w:tc>
        <w:tc>
          <w:tcPr>
            <w:tcW w:w="2728" w:type="dxa"/>
            <w:tcBorders>
              <w:top w:val="single" w:sz="6" w:space="0" w:color="69BD28"/>
              <w:bottom w:val="single" w:sz="6" w:space="0" w:color="69BD28"/>
            </w:tcBorders>
          </w:tcPr>
          <w:p>
            <w:pPr>
              <w:pStyle w:val="TableParagraph"/>
              <w:spacing w:line="209" w:lineRule="exact" w:before="20"/>
              <w:ind w:left="487" w:right="536"/>
              <w:rPr>
                <w:sz w:val="18"/>
              </w:rPr>
            </w:pPr>
            <w:r>
              <w:rPr>
                <w:w w:val="110"/>
                <w:sz w:val="18"/>
              </w:rPr>
              <w:t>148,474</w:t>
            </w:r>
          </w:p>
        </w:tc>
      </w:tr>
      <w:tr>
        <w:trPr>
          <w:trHeight w:val="249" w:hRule="atLeast"/>
        </w:trPr>
        <w:tc>
          <w:tcPr>
            <w:tcW w:w="3486" w:type="dxa"/>
            <w:tcBorders>
              <w:top w:val="single" w:sz="6" w:space="0" w:color="69BD28"/>
              <w:bottom w:val="single" w:sz="6" w:space="0" w:color="69BD28"/>
            </w:tcBorders>
          </w:tcPr>
          <w:p>
            <w:pPr>
              <w:pStyle w:val="TableParagraph"/>
              <w:spacing w:line="209" w:lineRule="exact" w:before="20"/>
              <w:ind w:left="1344"/>
              <w:jc w:val="left"/>
              <w:rPr>
                <w:sz w:val="18"/>
              </w:rPr>
            </w:pPr>
            <w:r>
              <w:rPr>
                <w:sz w:val="18"/>
              </w:rPr>
              <w:t>Pacific Dunes</w:t>
            </w:r>
          </w:p>
        </w:tc>
        <w:tc>
          <w:tcPr>
            <w:tcW w:w="2140" w:type="dxa"/>
            <w:tcBorders>
              <w:top w:val="single" w:sz="6" w:space="0" w:color="69BD28"/>
              <w:bottom w:val="single" w:sz="6" w:space="0" w:color="69BD28"/>
            </w:tcBorders>
          </w:tcPr>
          <w:p>
            <w:pPr>
              <w:pStyle w:val="TableParagraph"/>
              <w:spacing w:line="209" w:lineRule="exact" w:before="20"/>
              <w:ind w:left="694"/>
              <w:rPr>
                <w:sz w:val="18"/>
              </w:rPr>
            </w:pPr>
            <w:r>
              <w:rPr>
                <w:w w:val="130"/>
                <w:sz w:val="18"/>
              </w:rPr>
              <w:t>B+G+7</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16</w:t>
            </w:r>
          </w:p>
        </w:tc>
        <w:tc>
          <w:tcPr>
            <w:tcW w:w="2728" w:type="dxa"/>
            <w:tcBorders>
              <w:top w:val="single" w:sz="6" w:space="0" w:color="69BD28"/>
              <w:bottom w:val="single" w:sz="6" w:space="0" w:color="69BD28"/>
            </w:tcBorders>
          </w:tcPr>
          <w:p>
            <w:pPr>
              <w:pStyle w:val="TableParagraph"/>
              <w:spacing w:line="209" w:lineRule="exact" w:before="20"/>
              <w:ind w:left="487" w:right="536"/>
              <w:rPr>
                <w:sz w:val="18"/>
              </w:rPr>
            </w:pPr>
            <w:r>
              <w:rPr>
                <w:w w:val="110"/>
                <w:sz w:val="18"/>
              </w:rPr>
              <w:t>297,748</w:t>
            </w:r>
          </w:p>
        </w:tc>
      </w:tr>
      <w:tr>
        <w:trPr>
          <w:trHeight w:val="248" w:hRule="atLeast"/>
        </w:trPr>
        <w:tc>
          <w:tcPr>
            <w:tcW w:w="3486" w:type="dxa"/>
            <w:tcBorders>
              <w:top w:val="single" w:sz="6" w:space="0" w:color="69BD28"/>
              <w:bottom w:val="single" w:sz="6" w:space="0" w:color="69BD28"/>
            </w:tcBorders>
          </w:tcPr>
          <w:p>
            <w:pPr>
              <w:pStyle w:val="TableParagraph"/>
              <w:spacing w:line="209" w:lineRule="exact" w:before="20"/>
              <w:ind w:left="1385" w:right="1136"/>
              <w:rPr>
                <w:sz w:val="18"/>
              </w:rPr>
            </w:pPr>
            <w:r>
              <w:rPr>
                <w:sz w:val="18"/>
              </w:rPr>
              <w:t>Peach Tree</w:t>
            </w:r>
          </w:p>
        </w:tc>
        <w:tc>
          <w:tcPr>
            <w:tcW w:w="2140" w:type="dxa"/>
            <w:tcBorders>
              <w:top w:val="single" w:sz="6" w:space="0" w:color="69BD28"/>
              <w:bottom w:val="single" w:sz="6" w:space="0" w:color="69BD28"/>
            </w:tcBorders>
          </w:tcPr>
          <w:p>
            <w:pPr>
              <w:pStyle w:val="TableParagraph"/>
              <w:spacing w:line="209" w:lineRule="exact" w:before="20"/>
              <w:ind w:left="694"/>
              <w:rPr>
                <w:sz w:val="18"/>
              </w:rPr>
            </w:pPr>
            <w:r>
              <w:rPr>
                <w:w w:val="130"/>
                <w:sz w:val="18"/>
              </w:rPr>
              <w:t>B+G+8</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15</w:t>
            </w:r>
          </w:p>
        </w:tc>
        <w:tc>
          <w:tcPr>
            <w:tcW w:w="2728" w:type="dxa"/>
            <w:tcBorders>
              <w:top w:val="single" w:sz="6" w:space="0" w:color="69BD28"/>
              <w:bottom w:val="single" w:sz="6" w:space="0" w:color="69BD28"/>
            </w:tcBorders>
          </w:tcPr>
          <w:p>
            <w:pPr>
              <w:pStyle w:val="TableParagraph"/>
              <w:spacing w:line="209" w:lineRule="exact" w:before="20"/>
              <w:ind w:left="487" w:right="536"/>
              <w:rPr>
                <w:sz w:val="18"/>
              </w:rPr>
            </w:pPr>
            <w:r>
              <w:rPr>
                <w:w w:val="110"/>
                <w:sz w:val="18"/>
              </w:rPr>
              <w:t>373,119</w:t>
            </w:r>
          </w:p>
        </w:tc>
      </w:tr>
      <w:tr>
        <w:trPr>
          <w:trHeight w:val="248" w:hRule="atLeast"/>
        </w:trPr>
        <w:tc>
          <w:tcPr>
            <w:tcW w:w="3486" w:type="dxa"/>
            <w:tcBorders>
              <w:top w:val="single" w:sz="6" w:space="0" w:color="69BD28"/>
              <w:bottom w:val="single" w:sz="6" w:space="0" w:color="69BD28"/>
            </w:tcBorders>
          </w:tcPr>
          <w:p>
            <w:pPr>
              <w:pStyle w:val="TableParagraph"/>
              <w:spacing w:line="209" w:lineRule="exact" w:before="20"/>
              <w:ind w:left="1385" w:right="1137"/>
              <w:rPr>
                <w:sz w:val="18"/>
              </w:rPr>
            </w:pPr>
            <w:r>
              <w:rPr>
                <w:sz w:val="18"/>
              </w:rPr>
              <w:t>Pine Valley</w:t>
            </w:r>
          </w:p>
        </w:tc>
        <w:tc>
          <w:tcPr>
            <w:tcW w:w="2140" w:type="dxa"/>
            <w:tcBorders>
              <w:top w:val="single" w:sz="6" w:space="0" w:color="69BD28"/>
              <w:bottom w:val="single" w:sz="6" w:space="0" w:color="69BD28"/>
            </w:tcBorders>
          </w:tcPr>
          <w:p>
            <w:pPr>
              <w:pStyle w:val="TableParagraph"/>
              <w:spacing w:line="209" w:lineRule="exact" w:before="20"/>
              <w:ind w:left="694"/>
              <w:rPr>
                <w:sz w:val="18"/>
              </w:rPr>
            </w:pPr>
            <w:r>
              <w:rPr>
                <w:w w:val="130"/>
                <w:sz w:val="18"/>
              </w:rPr>
              <w:t>B+G+4</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13</w:t>
            </w:r>
          </w:p>
        </w:tc>
        <w:tc>
          <w:tcPr>
            <w:tcW w:w="2728" w:type="dxa"/>
            <w:tcBorders>
              <w:top w:val="single" w:sz="6" w:space="0" w:color="69BD28"/>
              <w:bottom w:val="single" w:sz="6" w:space="0" w:color="69BD28"/>
            </w:tcBorders>
          </w:tcPr>
          <w:p>
            <w:pPr>
              <w:pStyle w:val="TableParagraph"/>
              <w:spacing w:line="209" w:lineRule="exact" w:before="20"/>
              <w:ind w:left="487" w:right="536"/>
              <w:rPr>
                <w:sz w:val="18"/>
              </w:rPr>
            </w:pPr>
            <w:r>
              <w:rPr>
                <w:w w:val="110"/>
                <w:sz w:val="18"/>
              </w:rPr>
              <w:t>444,577</w:t>
            </w:r>
          </w:p>
        </w:tc>
      </w:tr>
      <w:tr>
        <w:trPr>
          <w:trHeight w:val="248" w:hRule="atLeast"/>
        </w:trPr>
        <w:tc>
          <w:tcPr>
            <w:tcW w:w="3486" w:type="dxa"/>
            <w:tcBorders>
              <w:top w:val="single" w:sz="6" w:space="0" w:color="69BD28"/>
              <w:bottom w:val="single" w:sz="6" w:space="0" w:color="69BD28"/>
            </w:tcBorders>
          </w:tcPr>
          <w:p>
            <w:pPr>
              <w:pStyle w:val="TableParagraph"/>
              <w:spacing w:line="209" w:lineRule="exact" w:before="20"/>
              <w:ind w:left="1385" w:right="1138"/>
              <w:rPr>
                <w:sz w:val="18"/>
              </w:rPr>
            </w:pPr>
            <w:r>
              <w:rPr>
                <w:sz w:val="18"/>
              </w:rPr>
              <w:t>Prince Ville</w:t>
            </w:r>
          </w:p>
        </w:tc>
        <w:tc>
          <w:tcPr>
            <w:tcW w:w="2140" w:type="dxa"/>
            <w:tcBorders>
              <w:top w:val="single" w:sz="6" w:space="0" w:color="69BD28"/>
              <w:bottom w:val="single" w:sz="6" w:space="0" w:color="69BD28"/>
            </w:tcBorders>
          </w:tcPr>
          <w:p>
            <w:pPr>
              <w:pStyle w:val="TableParagraph"/>
              <w:spacing w:line="209" w:lineRule="exact" w:before="20"/>
              <w:ind w:left="689"/>
              <w:rPr>
                <w:sz w:val="18"/>
              </w:rPr>
            </w:pPr>
            <w:r>
              <w:rPr>
                <w:w w:val="125"/>
                <w:sz w:val="18"/>
              </w:rPr>
              <w:t>2B+G+9</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13</w:t>
            </w:r>
          </w:p>
        </w:tc>
        <w:tc>
          <w:tcPr>
            <w:tcW w:w="2728" w:type="dxa"/>
            <w:tcBorders>
              <w:top w:val="single" w:sz="6" w:space="0" w:color="69BD28"/>
              <w:bottom w:val="single" w:sz="6" w:space="0" w:color="69BD28"/>
            </w:tcBorders>
          </w:tcPr>
          <w:p>
            <w:pPr>
              <w:pStyle w:val="TableParagraph"/>
              <w:spacing w:line="209" w:lineRule="exact" w:before="20"/>
              <w:ind w:left="490" w:right="536"/>
              <w:rPr>
                <w:sz w:val="18"/>
              </w:rPr>
            </w:pPr>
            <w:r>
              <w:rPr>
                <w:w w:val="110"/>
                <w:sz w:val="18"/>
              </w:rPr>
              <w:t>27,485</w:t>
            </w:r>
          </w:p>
        </w:tc>
      </w:tr>
      <w:tr>
        <w:trPr>
          <w:trHeight w:val="249" w:hRule="atLeast"/>
        </w:trPr>
        <w:tc>
          <w:tcPr>
            <w:tcW w:w="3486" w:type="dxa"/>
            <w:tcBorders>
              <w:top w:val="single" w:sz="6" w:space="0" w:color="69BD28"/>
              <w:bottom w:val="single" w:sz="6" w:space="0" w:color="69BD28"/>
            </w:tcBorders>
          </w:tcPr>
          <w:p>
            <w:pPr>
              <w:pStyle w:val="TableParagraph"/>
              <w:spacing w:line="209" w:lineRule="exact" w:before="21"/>
              <w:ind w:left="1385" w:right="1136"/>
              <w:rPr>
                <w:sz w:val="18"/>
              </w:rPr>
            </w:pPr>
            <w:r>
              <w:rPr>
                <w:sz w:val="18"/>
              </w:rPr>
              <w:t>Rivera FC</w:t>
            </w:r>
          </w:p>
        </w:tc>
        <w:tc>
          <w:tcPr>
            <w:tcW w:w="2140" w:type="dxa"/>
            <w:tcBorders>
              <w:top w:val="single" w:sz="6" w:space="0" w:color="69BD28"/>
              <w:bottom w:val="single" w:sz="6" w:space="0" w:color="69BD28"/>
            </w:tcBorders>
          </w:tcPr>
          <w:p>
            <w:pPr>
              <w:pStyle w:val="TableParagraph"/>
              <w:spacing w:line="209" w:lineRule="exact" w:before="21"/>
              <w:ind w:left="694"/>
              <w:rPr>
                <w:sz w:val="18"/>
              </w:rPr>
            </w:pPr>
            <w:r>
              <w:rPr>
                <w:w w:val="130"/>
                <w:sz w:val="18"/>
              </w:rPr>
              <w:t>B+G+1</w:t>
            </w:r>
          </w:p>
        </w:tc>
        <w:tc>
          <w:tcPr>
            <w:tcW w:w="2801" w:type="dxa"/>
            <w:tcBorders>
              <w:top w:val="single" w:sz="6" w:space="0" w:color="69BD28"/>
              <w:bottom w:val="single" w:sz="6" w:space="0" w:color="69BD28"/>
            </w:tcBorders>
          </w:tcPr>
          <w:p>
            <w:pPr>
              <w:pStyle w:val="TableParagraph"/>
              <w:spacing w:line="209" w:lineRule="exact" w:before="21"/>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1"/>
              <w:ind w:left="1051"/>
              <w:jc w:val="left"/>
              <w:rPr>
                <w:sz w:val="18"/>
              </w:rPr>
            </w:pPr>
            <w:r>
              <w:rPr>
                <w:w w:val="110"/>
                <w:sz w:val="18"/>
              </w:rPr>
              <w:t>15</w:t>
            </w:r>
          </w:p>
        </w:tc>
        <w:tc>
          <w:tcPr>
            <w:tcW w:w="2728" w:type="dxa"/>
            <w:tcBorders>
              <w:top w:val="single" w:sz="6" w:space="0" w:color="69BD28"/>
              <w:bottom w:val="single" w:sz="6" w:space="0" w:color="69BD28"/>
            </w:tcBorders>
          </w:tcPr>
          <w:p>
            <w:pPr>
              <w:pStyle w:val="TableParagraph"/>
              <w:spacing w:line="209" w:lineRule="exact" w:before="21"/>
              <w:ind w:left="490" w:right="536"/>
              <w:rPr>
                <w:sz w:val="18"/>
              </w:rPr>
            </w:pPr>
            <w:r>
              <w:rPr>
                <w:w w:val="110"/>
                <w:sz w:val="18"/>
              </w:rPr>
              <w:t>62,242</w:t>
            </w:r>
          </w:p>
        </w:tc>
      </w:tr>
      <w:tr>
        <w:trPr>
          <w:trHeight w:val="248" w:hRule="atLeast"/>
        </w:trPr>
        <w:tc>
          <w:tcPr>
            <w:tcW w:w="3486" w:type="dxa"/>
            <w:tcBorders>
              <w:top w:val="single" w:sz="6" w:space="0" w:color="69BD28"/>
              <w:bottom w:val="single" w:sz="6" w:space="0" w:color="69BD28"/>
            </w:tcBorders>
          </w:tcPr>
          <w:p>
            <w:pPr>
              <w:pStyle w:val="TableParagraph"/>
              <w:spacing w:line="209" w:lineRule="exact" w:before="20"/>
              <w:ind w:left="1409"/>
              <w:jc w:val="left"/>
              <w:rPr>
                <w:sz w:val="18"/>
              </w:rPr>
            </w:pPr>
            <w:r>
              <w:rPr>
                <w:sz w:val="18"/>
              </w:rPr>
              <w:t>St. Andrews</w:t>
            </w:r>
          </w:p>
        </w:tc>
        <w:tc>
          <w:tcPr>
            <w:tcW w:w="2140" w:type="dxa"/>
            <w:tcBorders>
              <w:top w:val="single" w:sz="6" w:space="0" w:color="69BD28"/>
              <w:bottom w:val="single" w:sz="6" w:space="0" w:color="69BD28"/>
            </w:tcBorders>
          </w:tcPr>
          <w:p>
            <w:pPr>
              <w:pStyle w:val="TableParagraph"/>
              <w:spacing w:line="209" w:lineRule="exact" w:before="20"/>
              <w:ind w:left="689"/>
              <w:rPr>
                <w:sz w:val="18"/>
              </w:rPr>
            </w:pPr>
            <w:r>
              <w:rPr>
                <w:w w:val="125"/>
                <w:sz w:val="18"/>
              </w:rPr>
              <w:t>2B+G+7</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14</w:t>
            </w:r>
          </w:p>
        </w:tc>
        <w:tc>
          <w:tcPr>
            <w:tcW w:w="2728" w:type="dxa"/>
            <w:tcBorders>
              <w:top w:val="single" w:sz="6" w:space="0" w:color="69BD28"/>
              <w:bottom w:val="single" w:sz="6" w:space="0" w:color="69BD28"/>
            </w:tcBorders>
          </w:tcPr>
          <w:p>
            <w:pPr>
              <w:pStyle w:val="TableParagraph"/>
              <w:spacing w:line="209" w:lineRule="exact" w:before="20"/>
              <w:ind w:left="490" w:right="536"/>
              <w:rPr>
                <w:sz w:val="18"/>
              </w:rPr>
            </w:pPr>
            <w:r>
              <w:rPr>
                <w:w w:val="110"/>
                <w:sz w:val="18"/>
              </w:rPr>
              <w:t>98,886</w:t>
            </w:r>
          </w:p>
        </w:tc>
      </w:tr>
      <w:tr>
        <w:trPr>
          <w:trHeight w:val="249" w:hRule="atLeast"/>
        </w:trPr>
        <w:tc>
          <w:tcPr>
            <w:tcW w:w="3486" w:type="dxa"/>
            <w:tcBorders>
              <w:top w:val="single" w:sz="6" w:space="0" w:color="69BD28"/>
              <w:bottom w:val="single" w:sz="6" w:space="0" w:color="69BD28"/>
            </w:tcBorders>
          </w:tcPr>
          <w:p>
            <w:pPr>
              <w:pStyle w:val="TableParagraph"/>
              <w:spacing w:line="209" w:lineRule="exact" w:before="20"/>
              <w:ind w:left="1377"/>
              <w:jc w:val="left"/>
              <w:rPr>
                <w:sz w:val="18"/>
              </w:rPr>
            </w:pPr>
            <w:r>
              <w:rPr>
                <w:sz w:val="18"/>
              </w:rPr>
              <w:t>Sunningdale</w:t>
            </w:r>
          </w:p>
        </w:tc>
        <w:tc>
          <w:tcPr>
            <w:tcW w:w="2140" w:type="dxa"/>
            <w:tcBorders>
              <w:top w:val="single" w:sz="6" w:space="0" w:color="69BD28"/>
              <w:bottom w:val="single" w:sz="6" w:space="0" w:color="69BD28"/>
            </w:tcBorders>
          </w:tcPr>
          <w:p>
            <w:pPr>
              <w:pStyle w:val="TableParagraph"/>
              <w:spacing w:line="209" w:lineRule="exact" w:before="20"/>
              <w:ind w:left="694"/>
              <w:rPr>
                <w:sz w:val="18"/>
              </w:rPr>
            </w:pPr>
            <w:r>
              <w:rPr>
                <w:w w:val="130"/>
                <w:sz w:val="18"/>
              </w:rPr>
              <w:t>B+G+3</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14</w:t>
            </w:r>
          </w:p>
        </w:tc>
        <w:tc>
          <w:tcPr>
            <w:tcW w:w="2728" w:type="dxa"/>
            <w:tcBorders>
              <w:top w:val="single" w:sz="6" w:space="0" w:color="69BD28"/>
              <w:bottom w:val="single" w:sz="6" w:space="0" w:color="69BD28"/>
            </w:tcBorders>
          </w:tcPr>
          <w:p>
            <w:pPr>
              <w:pStyle w:val="TableParagraph"/>
              <w:spacing w:line="209" w:lineRule="exact" w:before="20"/>
              <w:ind w:left="490" w:right="536"/>
              <w:rPr>
                <w:sz w:val="18"/>
              </w:rPr>
            </w:pPr>
            <w:r>
              <w:rPr>
                <w:w w:val="110"/>
                <w:sz w:val="18"/>
              </w:rPr>
              <w:t>82,270</w:t>
            </w:r>
          </w:p>
        </w:tc>
      </w:tr>
      <w:tr>
        <w:trPr>
          <w:trHeight w:val="248" w:hRule="atLeast"/>
        </w:trPr>
        <w:tc>
          <w:tcPr>
            <w:tcW w:w="3486" w:type="dxa"/>
            <w:tcBorders>
              <w:top w:val="single" w:sz="6" w:space="0" w:color="69BD28"/>
              <w:bottom w:val="single" w:sz="6" w:space="0" w:color="69BD28"/>
            </w:tcBorders>
          </w:tcPr>
          <w:p>
            <w:pPr>
              <w:pStyle w:val="TableParagraph"/>
              <w:spacing w:line="209" w:lineRule="exact" w:before="20"/>
              <w:ind w:left="1394"/>
              <w:jc w:val="left"/>
              <w:rPr>
                <w:sz w:val="18"/>
              </w:rPr>
            </w:pPr>
            <w:r>
              <w:rPr>
                <w:sz w:val="18"/>
              </w:rPr>
              <w:t>Torrey Pines</w:t>
            </w:r>
          </w:p>
        </w:tc>
        <w:tc>
          <w:tcPr>
            <w:tcW w:w="2140" w:type="dxa"/>
            <w:tcBorders>
              <w:top w:val="single" w:sz="6" w:space="0" w:color="69BD28"/>
              <w:bottom w:val="single" w:sz="6" w:space="0" w:color="69BD28"/>
            </w:tcBorders>
          </w:tcPr>
          <w:p>
            <w:pPr>
              <w:pStyle w:val="TableParagraph"/>
              <w:spacing w:line="209" w:lineRule="exact" w:before="20"/>
              <w:ind w:left="694"/>
              <w:rPr>
                <w:sz w:val="18"/>
              </w:rPr>
            </w:pPr>
            <w:r>
              <w:rPr>
                <w:w w:val="130"/>
                <w:sz w:val="18"/>
              </w:rPr>
              <w:t>B+G+5</w:t>
            </w:r>
          </w:p>
        </w:tc>
        <w:tc>
          <w:tcPr>
            <w:tcW w:w="2801" w:type="dxa"/>
            <w:tcBorders>
              <w:top w:val="single" w:sz="6" w:space="0" w:color="69BD28"/>
              <w:bottom w:val="single" w:sz="6" w:space="0" w:color="69BD28"/>
            </w:tcBorders>
          </w:tcPr>
          <w:p>
            <w:pPr>
              <w:pStyle w:val="TableParagraph"/>
              <w:spacing w:line="209" w:lineRule="exact" w:before="20"/>
              <w:ind w:left="1277"/>
              <w:jc w:val="left"/>
              <w:rPr>
                <w:sz w:val="18"/>
              </w:rPr>
            </w:pPr>
            <w:r>
              <w:rPr>
                <w:w w:val="105"/>
                <w:sz w:val="18"/>
              </w:rPr>
              <w:t>Non SEZ</w:t>
            </w:r>
          </w:p>
        </w:tc>
        <w:tc>
          <w:tcPr>
            <w:tcW w:w="2387" w:type="dxa"/>
            <w:tcBorders>
              <w:top w:val="single" w:sz="6" w:space="0" w:color="69BD28"/>
              <w:bottom w:val="single" w:sz="6" w:space="0" w:color="69BD28"/>
            </w:tcBorders>
          </w:tcPr>
          <w:p>
            <w:pPr>
              <w:pStyle w:val="TableParagraph"/>
              <w:spacing w:line="209" w:lineRule="exact" w:before="20"/>
              <w:ind w:left="1051"/>
              <w:jc w:val="left"/>
              <w:rPr>
                <w:sz w:val="18"/>
              </w:rPr>
            </w:pPr>
            <w:r>
              <w:rPr>
                <w:w w:val="110"/>
                <w:sz w:val="18"/>
              </w:rPr>
              <w:t>13</w:t>
            </w:r>
          </w:p>
        </w:tc>
        <w:tc>
          <w:tcPr>
            <w:tcW w:w="2728" w:type="dxa"/>
            <w:tcBorders>
              <w:top w:val="single" w:sz="6" w:space="0" w:color="69BD28"/>
              <w:bottom w:val="single" w:sz="6" w:space="0" w:color="69BD28"/>
            </w:tcBorders>
          </w:tcPr>
          <w:p>
            <w:pPr>
              <w:pStyle w:val="TableParagraph"/>
              <w:spacing w:line="209" w:lineRule="exact" w:before="20"/>
              <w:ind w:left="487" w:right="536"/>
              <w:rPr>
                <w:sz w:val="18"/>
              </w:rPr>
            </w:pPr>
            <w:r>
              <w:rPr>
                <w:w w:val="110"/>
                <w:sz w:val="18"/>
              </w:rPr>
              <w:t>259,712</w:t>
            </w:r>
          </w:p>
        </w:tc>
      </w:tr>
      <w:tr>
        <w:trPr>
          <w:trHeight w:val="251" w:hRule="atLeast"/>
        </w:trPr>
        <w:tc>
          <w:tcPr>
            <w:tcW w:w="3486" w:type="dxa"/>
            <w:tcBorders>
              <w:top w:val="single" w:sz="6" w:space="0" w:color="69BD28"/>
              <w:bottom w:val="single" w:sz="6" w:space="0" w:color="69BD28"/>
            </w:tcBorders>
          </w:tcPr>
          <w:p>
            <w:pPr>
              <w:pStyle w:val="TableParagraph"/>
              <w:spacing w:before="20"/>
              <w:ind w:left="1384" w:right="1138"/>
              <w:rPr>
                <w:sz w:val="18"/>
              </w:rPr>
            </w:pPr>
            <w:r>
              <w:rPr>
                <w:sz w:val="18"/>
              </w:rPr>
              <w:t>Total</w:t>
            </w:r>
          </w:p>
        </w:tc>
        <w:tc>
          <w:tcPr>
            <w:tcW w:w="2140" w:type="dxa"/>
            <w:tcBorders>
              <w:top w:val="single" w:sz="6" w:space="0" w:color="69BD28"/>
              <w:bottom w:val="single" w:sz="6" w:space="0" w:color="69BD28"/>
            </w:tcBorders>
          </w:tcPr>
          <w:p>
            <w:pPr>
              <w:pStyle w:val="TableParagraph"/>
              <w:jc w:val="left"/>
              <w:rPr>
                <w:rFonts w:ascii="Times New Roman"/>
                <w:sz w:val="18"/>
              </w:rPr>
            </w:pPr>
          </w:p>
        </w:tc>
        <w:tc>
          <w:tcPr>
            <w:tcW w:w="2801" w:type="dxa"/>
            <w:tcBorders>
              <w:top w:val="single" w:sz="6" w:space="0" w:color="69BD28"/>
              <w:bottom w:val="single" w:sz="6" w:space="0" w:color="69BD28"/>
            </w:tcBorders>
          </w:tcPr>
          <w:p>
            <w:pPr>
              <w:pStyle w:val="TableParagraph"/>
              <w:jc w:val="left"/>
              <w:rPr>
                <w:rFonts w:ascii="Times New Roman"/>
                <w:sz w:val="18"/>
              </w:rPr>
            </w:pPr>
          </w:p>
        </w:tc>
        <w:tc>
          <w:tcPr>
            <w:tcW w:w="2387" w:type="dxa"/>
            <w:tcBorders>
              <w:top w:val="single" w:sz="6" w:space="0" w:color="69BD28"/>
              <w:bottom w:val="single" w:sz="6" w:space="0" w:color="69BD28"/>
            </w:tcBorders>
          </w:tcPr>
          <w:p>
            <w:pPr>
              <w:pStyle w:val="TableParagraph"/>
              <w:jc w:val="left"/>
              <w:rPr>
                <w:rFonts w:ascii="Times New Roman"/>
                <w:sz w:val="18"/>
              </w:rPr>
            </w:pPr>
          </w:p>
        </w:tc>
        <w:tc>
          <w:tcPr>
            <w:tcW w:w="2728" w:type="dxa"/>
            <w:tcBorders>
              <w:top w:val="single" w:sz="6" w:space="0" w:color="69BD28"/>
              <w:bottom w:val="single" w:sz="6" w:space="0" w:color="69BD28"/>
            </w:tcBorders>
          </w:tcPr>
          <w:p>
            <w:pPr>
              <w:pStyle w:val="TableParagraph"/>
              <w:spacing w:before="20"/>
              <w:ind w:left="490" w:right="536"/>
              <w:rPr>
                <w:sz w:val="18"/>
              </w:rPr>
            </w:pPr>
            <w:r>
              <w:rPr>
                <w:w w:val="105"/>
                <w:sz w:val="18"/>
              </w:rPr>
              <w:t>2,737,442</w:t>
            </w:r>
          </w:p>
        </w:tc>
      </w:tr>
    </w:tbl>
    <w:p>
      <w:pPr>
        <w:spacing w:before="0"/>
        <w:ind w:left="1051" w:right="0" w:firstLine="0"/>
        <w:jc w:val="left"/>
        <w:rPr>
          <w:i/>
          <w:sz w:val="18"/>
        </w:rPr>
      </w:pPr>
      <w:r>
        <w:rPr>
          <w:i/>
          <w:sz w:val="18"/>
        </w:rPr>
        <w:t>Source: Rent roll, lease deeds, Architect Certificate, Occupancy Certificate provided by Client</w:t>
      </w:r>
    </w:p>
    <w:p>
      <w:pPr>
        <w:spacing w:after="0"/>
        <w:jc w:val="left"/>
        <w:rPr>
          <w:sz w:val="18"/>
        </w:rPr>
        <w:sectPr>
          <w:headerReference w:type="default" r:id="rId263"/>
          <w:footerReference w:type="default" r:id="rId264"/>
          <w:pgSz w:w="16840" w:h="11910" w:orient="landscape"/>
          <w:pgMar w:header="0" w:footer="504" w:top="640" w:bottom="700" w:left="360" w:right="200"/>
        </w:sectPr>
      </w:pPr>
    </w:p>
    <w:p>
      <w:pPr>
        <w:pStyle w:val="BodyText"/>
        <w:spacing w:before="6"/>
        <w:rPr>
          <w:i/>
          <w:sz w:val="17"/>
        </w:rPr>
      </w:pPr>
    </w:p>
    <w:p>
      <w:pPr>
        <w:pStyle w:val="BodyText"/>
        <w:ind w:left="218"/>
        <w:rPr>
          <w:sz w:val="20"/>
        </w:rPr>
      </w:pPr>
      <w:r>
        <w:rPr>
          <w:sz w:val="20"/>
        </w:rPr>
        <w:pict>
          <v:group style="width:524.65pt;height:15.85pt;mso-position-horizontal-relative:char;mso-position-vertical-relative:line" coordorigin="0,0" coordsize="10493,317">
            <v:shape style="position:absolute;left:14;top:14;width:10472;height:288" coordorigin="14,14" coordsize="10472,288" path="m10486,14l5776,14,14,14,14,302,5776,302,10486,302,10486,14xe" filled="true" fillcolor="#006a4d" stroked="false">
              <v:path arrowok="t"/>
              <v:fill type="solid"/>
            </v:shape>
            <v:shape style="position:absolute;left:14;top:0;width:10472;height:317" coordorigin="14,0" coordsize="10472,317" path="m10486,302l5790,302,5776,302,14,302,14,317,5776,317,5790,317,10486,317,10486,302xm10486,0l5790,0,5776,0,14,0,14,14,5776,14,5790,14,10486,14,10486,0xe" filled="true" fillcolor="#69bd28" stroked="false">
              <v:path arrowok="t"/>
              <v:fill type="solid"/>
            </v:shape>
            <v:shape style="position:absolute;left:0;top:14;width:10493;height:288" type="#_x0000_t202" filled="false" stroked="false">
              <v:textbox inset="0,0,0,0">
                <w:txbxContent>
                  <w:p>
                    <w:pPr>
                      <w:tabs>
                        <w:tab w:pos="7326" w:val="left" w:leader="none"/>
                      </w:tabs>
                      <w:spacing w:before="39"/>
                      <w:ind w:left="2581" w:right="0" w:firstLine="0"/>
                      <w:jc w:val="left"/>
                      <w:rPr>
                        <w:b/>
                        <w:sz w:val="18"/>
                      </w:rPr>
                    </w:pPr>
                    <w:r>
                      <w:rPr>
                        <w:b/>
                        <w:color w:val="FFFFFF"/>
                        <w:w w:val="110"/>
                        <w:sz w:val="18"/>
                      </w:rPr>
                      <w:t>Details</w:t>
                      <w:tab/>
                      <w:t>Completed</w:t>
                    </w:r>
                    <w:r>
                      <w:rPr>
                        <w:b/>
                        <w:color w:val="FFFFFF"/>
                        <w:spacing w:val="-5"/>
                        <w:w w:val="110"/>
                        <w:sz w:val="18"/>
                      </w:rPr>
                      <w:t> </w:t>
                    </w:r>
                    <w:r>
                      <w:rPr>
                        <w:b/>
                        <w:color w:val="FFFFFF"/>
                        <w:w w:val="110"/>
                        <w:sz w:val="18"/>
                      </w:rPr>
                      <w:t>Blocks</w:t>
                    </w:r>
                  </w:p>
                </w:txbxContent>
              </v:textbox>
              <w10:wrap type="none"/>
            </v:shape>
          </v:group>
        </w:pict>
      </w:r>
      <w:r>
        <w:rPr>
          <w:sz w:val="20"/>
        </w:rPr>
      </w:r>
    </w:p>
    <w:p>
      <w:pPr>
        <w:tabs>
          <w:tab w:pos="5747" w:val="left" w:leader="none"/>
        </w:tabs>
        <w:spacing w:before="1"/>
        <w:ind w:left="0" w:right="0" w:firstLine="0"/>
        <w:jc w:val="center"/>
        <w:rPr>
          <w:sz w:val="18"/>
        </w:rPr>
      </w:pPr>
      <w:r>
        <w:rPr/>
        <w:pict>
          <v:shape style="position:absolute;margin-left:35.640003pt;margin-top:12.461628pt;width:523.6pt;height:.75pt;mso-position-horizontal-relative:page;mso-position-vertical-relative:paragraph;z-index:-15070720;mso-wrap-distance-left:0;mso-wrap-distance-right:0" coordorigin="713,249" coordsize="10472,15" path="m11184,249l6489,249,6474,249,713,249,713,264,6474,264,6489,264,11184,264,11184,249xe" filled="true" fillcolor="#69bd28" stroked="false">
            <v:path arrowok="t"/>
            <v:fill type="solid"/>
            <w10:wrap type="topAndBottom"/>
          </v:shape>
        </w:pict>
      </w:r>
      <w:r>
        <w:rPr>
          <w:sz w:val="18"/>
        </w:rPr>
        <w:t>Grade of</w:t>
      </w:r>
      <w:r>
        <w:rPr>
          <w:spacing w:val="-13"/>
          <w:sz w:val="18"/>
        </w:rPr>
        <w:t> </w:t>
      </w:r>
      <w:r>
        <w:rPr>
          <w:sz w:val="18"/>
        </w:rPr>
        <w:t>the</w:t>
      </w:r>
      <w:r>
        <w:rPr>
          <w:spacing w:val="-6"/>
          <w:sz w:val="18"/>
        </w:rPr>
        <w:t> </w:t>
      </w:r>
      <w:r>
        <w:rPr>
          <w:sz w:val="18"/>
        </w:rPr>
        <w:t>Building</w:t>
        <w:tab/>
        <w:t>Grade A</w:t>
      </w:r>
    </w:p>
    <w:p>
      <w:pPr>
        <w:tabs>
          <w:tab w:pos="5809" w:val="left" w:leader="none"/>
        </w:tabs>
        <w:spacing w:before="10" w:after="39"/>
        <w:ind w:left="0" w:right="60" w:firstLine="0"/>
        <w:jc w:val="center"/>
        <w:rPr>
          <w:sz w:val="18"/>
        </w:rPr>
      </w:pPr>
      <w:r>
        <w:rPr>
          <w:sz w:val="18"/>
        </w:rPr>
        <w:t>LEED</w:t>
      </w:r>
      <w:r>
        <w:rPr>
          <w:spacing w:val="-28"/>
          <w:sz w:val="18"/>
        </w:rPr>
        <w:t> </w:t>
      </w:r>
      <w:r>
        <w:rPr>
          <w:sz w:val="18"/>
        </w:rPr>
        <w:t>Certification</w:t>
        <w:tab/>
        <w:t>NA</w:t>
      </w:r>
    </w:p>
    <w:p>
      <w:pPr>
        <w:pStyle w:val="BodyText"/>
        <w:spacing w:line="20" w:lineRule="exact"/>
        <w:ind w:left="232"/>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776,0,5761,0,0,0,0,14,5761,14,5776,14,10471,14,10471,0xe" filled="true" fillcolor="#69bd28" stroked="false">
              <v:path arrowok="t"/>
              <v:fill type="solid"/>
            </v:shape>
          </v:group>
        </w:pict>
      </w:r>
      <w:r>
        <w:rPr>
          <w:sz w:val="2"/>
        </w:rPr>
      </w:r>
    </w:p>
    <w:p>
      <w:pPr>
        <w:tabs>
          <w:tab w:pos="7513" w:val="left" w:leader="none"/>
        </w:tabs>
        <w:spacing w:before="36"/>
        <w:ind w:left="2446" w:right="0" w:firstLine="0"/>
        <w:jc w:val="left"/>
        <w:rPr>
          <w:sz w:val="18"/>
        </w:rPr>
      </w:pPr>
      <w:r>
        <w:rPr/>
        <w:pict>
          <v:shape style="position:absolute;margin-left:35.640003pt;margin-top:14.210644pt;width:523.6pt;height:.75pt;mso-position-horizontal-relative:page;mso-position-vertical-relative:paragraph;z-index:-15069696;mso-wrap-distance-left:0;mso-wrap-distance-right:0" coordorigin="713,284" coordsize="10472,15" path="m11184,284l6489,284,6474,284,713,284,713,299,6474,299,6489,299,11184,299,11184,284xe" filled="true" fillcolor="#69bd28" stroked="false">
            <v:path arrowok="t"/>
            <v:fill type="solid"/>
            <w10:wrap type="topAndBottom"/>
          </v:shape>
        </w:pict>
      </w:r>
      <w:r>
        <w:rPr>
          <w:sz w:val="18"/>
        </w:rPr>
        <w:t>Structural</w:t>
      </w:r>
      <w:r>
        <w:rPr>
          <w:spacing w:val="-21"/>
          <w:sz w:val="18"/>
        </w:rPr>
        <w:t> </w:t>
      </w:r>
      <w:r>
        <w:rPr>
          <w:sz w:val="18"/>
        </w:rPr>
        <w:t>Design</w:t>
        <w:tab/>
      </w:r>
      <w:r>
        <w:rPr>
          <w:w w:val="110"/>
          <w:sz w:val="18"/>
        </w:rPr>
        <w:t>B+G+3 to</w:t>
      </w:r>
      <w:r>
        <w:rPr>
          <w:spacing w:val="-5"/>
          <w:w w:val="110"/>
          <w:sz w:val="18"/>
        </w:rPr>
        <w:t> </w:t>
      </w:r>
      <w:r>
        <w:rPr>
          <w:w w:val="110"/>
          <w:sz w:val="18"/>
        </w:rPr>
        <w:t>2B+G+9</w:t>
      </w:r>
    </w:p>
    <w:p>
      <w:pPr>
        <w:tabs>
          <w:tab w:pos="7895" w:val="left" w:leader="none"/>
        </w:tabs>
        <w:spacing w:before="10" w:after="39"/>
        <w:ind w:left="2402" w:right="0" w:firstLine="0"/>
        <w:jc w:val="left"/>
        <w:rPr>
          <w:sz w:val="18"/>
        </w:rPr>
      </w:pPr>
      <w:r>
        <w:rPr>
          <w:sz w:val="18"/>
        </w:rPr>
        <w:t>Status</w:t>
      </w:r>
      <w:r>
        <w:rPr>
          <w:spacing w:val="-17"/>
          <w:sz w:val="18"/>
        </w:rPr>
        <w:t> </w:t>
      </w:r>
      <w:r>
        <w:rPr>
          <w:sz w:val="18"/>
        </w:rPr>
        <w:t>of</w:t>
      </w:r>
      <w:r>
        <w:rPr>
          <w:spacing w:val="-17"/>
          <w:sz w:val="18"/>
        </w:rPr>
        <w:t> </w:t>
      </w:r>
      <w:r>
        <w:rPr>
          <w:sz w:val="18"/>
        </w:rPr>
        <w:t>Finishing</w:t>
        <w:tab/>
        <w:t>Warm</w:t>
      </w:r>
      <w:r>
        <w:rPr>
          <w:spacing w:val="-1"/>
          <w:sz w:val="18"/>
        </w:rPr>
        <w:t> </w:t>
      </w:r>
      <w:r>
        <w:rPr>
          <w:sz w:val="18"/>
        </w:rPr>
        <w:t>Shell</w:t>
      </w:r>
    </w:p>
    <w:p>
      <w:pPr>
        <w:pStyle w:val="BodyText"/>
        <w:spacing w:line="20" w:lineRule="exact"/>
        <w:ind w:left="232"/>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776,0,5761,0,0,0,0,14,5761,14,5776,14,10471,14,10471,0xe" filled="true" fillcolor="#69bd28" stroked="false">
              <v:path arrowok="t"/>
              <v:fill type="solid"/>
            </v:shape>
          </v:group>
        </w:pict>
      </w:r>
      <w:r>
        <w:rPr>
          <w:sz w:val="2"/>
        </w:rPr>
      </w:r>
    </w:p>
    <w:p>
      <w:pPr>
        <w:tabs>
          <w:tab w:pos="6766" w:val="left" w:leader="none"/>
        </w:tabs>
        <w:spacing w:before="34"/>
        <w:ind w:left="1956" w:right="0" w:firstLine="0"/>
        <w:jc w:val="left"/>
        <w:rPr>
          <w:sz w:val="18"/>
        </w:rPr>
      </w:pPr>
      <w:r>
        <w:rPr/>
        <w:pict>
          <v:shape style="position:absolute;margin-left:34.920002pt;margin-top:14.110655pt;width:524.3pt;height:.75pt;mso-position-horizontal-relative:page;mso-position-vertical-relative:paragraph;z-index:-15068672;mso-wrap-distance-left:0;mso-wrap-distance-right:0" coordorigin="698,282" coordsize="10486,15" path="m11184,282l6474,282,6460,282,698,282,698,297,6460,297,6474,297,11184,297,11184,282xe" filled="true" fillcolor="#69bd28" stroked="false">
            <v:path arrowok="t"/>
            <v:fill type="solid"/>
            <w10:wrap type="topAndBottom"/>
          </v:shape>
        </w:pict>
      </w:r>
      <w:r>
        <w:rPr>
          <w:sz w:val="18"/>
        </w:rPr>
        <w:t>Comments</w:t>
      </w:r>
      <w:r>
        <w:rPr>
          <w:spacing w:val="-2"/>
          <w:sz w:val="18"/>
        </w:rPr>
        <w:t> </w:t>
      </w:r>
      <w:r>
        <w:rPr>
          <w:sz w:val="18"/>
        </w:rPr>
        <w:t>on </w:t>
      </w:r>
      <w:r>
        <w:rPr>
          <w:spacing w:val="10"/>
          <w:sz w:val="18"/>
        </w:rPr>
        <w:t> </w:t>
      </w:r>
      <w:r>
        <w:rPr>
          <w:sz w:val="18"/>
        </w:rPr>
        <w:t>Obsolescence</w:t>
        <w:tab/>
        <w:t>The building is currently well</w:t>
      </w:r>
      <w:r>
        <w:rPr>
          <w:spacing w:val="-40"/>
          <w:sz w:val="18"/>
        </w:rPr>
        <w:t> </w:t>
      </w:r>
      <w:r>
        <w:rPr>
          <w:sz w:val="18"/>
        </w:rPr>
        <w:t>maintained</w:t>
      </w:r>
    </w:p>
    <w:p>
      <w:pPr>
        <w:spacing w:before="0"/>
        <w:ind w:left="240" w:right="0" w:firstLine="0"/>
        <w:jc w:val="left"/>
        <w:rPr>
          <w:i/>
          <w:sz w:val="18"/>
        </w:rPr>
      </w:pPr>
      <w:r>
        <w:rPr>
          <w:i/>
          <w:sz w:val="18"/>
        </w:rPr>
        <w:t>Source: Client provided Rent Roll, lease deeds, approval documents, etc.</w:t>
      </w:r>
    </w:p>
    <w:p>
      <w:pPr>
        <w:pStyle w:val="BodyText"/>
        <w:spacing w:before="4"/>
        <w:rPr>
          <w:i/>
          <w:sz w:val="21"/>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03" w:id="591"/>
      <w:bookmarkEnd w:id="591"/>
      <w:r>
        <w:rPr/>
      </w:r>
      <w:bookmarkStart w:name="_bookmark303" w:id="592"/>
      <w:bookmarkEnd w:id="592"/>
      <w:r>
        <w:rPr>
          <w:color w:val="1F664D"/>
          <w:sz w:val="22"/>
        </w:rPr>
        <w:t>S</w:t>
      </w:r>
      <w:r>
        <w:rPr>
          <w:color w:val="1F664D"/>
          <w:sz w:val="22"/>
        </w:rPr>
        <w:t>ite Services and</w:t>
      </w:r>
      <w:r>
        <w:rPr>
          <w:color w:val="1F664D"/>
          <w:spacing w:val="-3"/>
          <w:sz w:val="22"/>
        </w:rPr>
        <w:t> </w:t>
      </w:r>
      <w:r>
        <w:rPr>
          <w:color w:val="1F664D"/>
          <w:sz w:val="22"/>
        </w:rPr>
        <w:t>Finishes</w:t>
      </w:r>
    </w:p>
    <w:p>
      <w:pPr>
        <w:pStyle w:val="BodyText"/>
        <w:spacing w:before="1"/>
        <w:rPr>
          <w:sz w:val="14"/>
        </w:rPr>
      </w:pPr>
      <w:r>
        <w:rPr/>
        <w:pict>
          <v:group style="position:absolute;margin-left:34.919998pt;margin-top:10.156128pt;width:524.65pt;height:15pt;mso-position-horizontal-relative:page;mso-position-vertical-relative:paragraph;z-index:-15067648;mso-wrap-distance-left:0;mso-wrap-distance-right:0" coordorigin="698,203" coordsize="10493,300">
            <v:shape style="position:absolute;left:720;top:217;width:10472;height:272" coordorigin="720,218" coordsize="10472,272" path="m11191,218l6268,218,720,218,720,489,6268,489,11191,489,11191,218xe" filled="true" fillcolor="#006a4d" stroked="false">
              <v:path arrowok="t"/>
              <v:fill type="solid"/>
            </v:shape>
            <v:shape style="position:absolute;left:720;top:203;width:10472;height:300" coordorigin="720,203" coordsize="10472,300" path="m11191,489l6282,489,6268,489,720,489,720,503,6268,503,6282,503,11191,503,11191,489xm11191,203l6282,203,6268,203,720,203,720,218,6268,218,6282,218,11191,218,11191,203xe" filled="true" fillcolor="#69bd28" stroked="false">
              <v:path arrowok="t"/>
              <v:fill type="solid"/>
            </v:shape>
            <v:shape style="position:absolute;left:698;top:217;width:10493;height:272" type="#_x0000_t202" filled="false" stroked="false">
              <v:textbox inset="0,0,0,0">
                <w:txbxContent>
                  <w:p>
                    <w:pPr>
                      <w:tabs>
                        <w:tab w:pos="5567" w:val="left" w:leader="none"/>
                      </w:tabs>
                      <w:spacing w:before="32"/>
                      <w:ind w:left="161" w:right="0" w:firstLine="0"/>
                      <w:jc w:val="center"/>
                      <w:rPr>
                        <w:b/>
                        <w:sz w:val="18"/>
                      </w:rPr>
                    </w:pPr>
                    <w:r>
                      <w:rPr>
                        <w:b/>
                        <w:color w:val="FFFFFF"/>
                        <w:w w:val="110"/>
                        <w:sz w:val="18"/>
                      </w:rPr>
                      <w:t>Particulars</w:t>
                      <w:tab/>
                      <w:t>Details</w:t>
                    </w:r>
                  </w:p>
                </w:txbxContent>
              </v:textbox>
              <w10:wrap type="none"/>
            </v:shape>
            <w10:wrap type="topAndBottom"/>
          </v:group>
        </w:pict>
      </w:r>
    </w:p>
    <w:p>
      <w:pPr>
        <w:tabs>
          <w:tab w:pos="7794" w:val="left" w:leader="none"/>
        </w:tabs>
        <w:spacing w:before="4" w:after="30"/>
        <w:ind w:left="2237" w:right="0" w:firstLine="0"/>
        <w:jc w:val="left"/>
        <w:rPr>
          <w:sz w:val="18"/>
        </w:rPr>
      </w:pPr>
      <w:r>
        <w:rPr>
          <w:sz w:val="18"/>
        </w:rPr>
        <w:t>Handover</w:t>
      </w:r>
      <w:r>
        <w:rPr>
          <w:spacing w:val="-12"/>
          <w:sz w:val="18"/>
        </w:rPr>
        <w:t> </w:t>
      </w:r>
      <w:r>
        <w:rPr>
          <w:sz w:val="18"/>
        </w:rPr>
        <w:t>condition</w:t>
        <w:tab/>
        <w:t>Warm</w:t>
      </w:r>
      <w:r>
        <w:rPr>
          <w:spacing w:val="-1"/>
          <w:sz w:val="18"/>
        </w:rPr>
        <w:t> </w:t>
      </w:r>
      <w:r>
        <w:rPr>
          <w:sz w:val="18"/>
        </w:rPr>
        <w:t>Shell</w:t>
      </w:r>
    </w:p>
    <w:p>
      <w:pPr>
        <w:pStyle w:val="BodyText"/>
        <w:spacing w:line="20" w:lineRule="exact"/>
        <w:ind w:left="2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62,0,5548,0,0,0,0,14,5548,14,5562,14,10471,14,10471,0xe" filled="true" fillcolor="#69bd28" stroked="false">
              <v:path arrowok="t"/>
              <v:fill type="solid"/>
            </v:shape>
          </v:group>
        </w:pict>
      </w:r>
      <w:r>
        <w:rPr>
          <w:sz w:val="2"/>
        </w:rPr>
      </w:r>
    </w:p>
    <w:p>
      <w:pPr>
        <w:tabs>
          <w:tab w:pos="7909" w:val="left" w:leader="none"/>
        </w:tabs>
        <w:spacing w:before="27"/>
        <w:ind w:left="2242" w:right="0" w:firstLine="0"/>
        <w:jc w:val="left"/>
        <w:rPr>
          <w:sz w:val="18"/>
        </w:rPr>
      </w:pPr>
      <w:r>
        <w:rPr/>
        <w:pict>
          <v:shape style="position:absolute;margin-left:36pt;margin-top:13.40063pt;width:523.6pt;height:.75pt;mso-position-horizontal-relative:page;mso-position-vertical-relative:paragraph;z-index:-15066624;mso-wrap-distance-left:0;mso-wrap-distance-right:0" coordorigin="720,268" coordsize="10472,15" path="m11191,268l6282,268,6268,268,720,268,720,282,6268,282,6282,282,11191,282,11191,268xe" filled="true" fillcolor="#69bd28" stroked="false">
            <v:path arrowok="t"/>
            <v:fill type="solid"/>
            <w10:wrap type="topAndBottom"/>
          </v:shape>
        </w:pict>
      </w:r>
      <w:r>
        <w:rPr>
          <w:sz w:val="18"/>
        </w:rPr>
        <w:t>Passenger</w:t>
      </w:r>
      <w:r>
        <w:rPr>
          <w:spacing w:val="-21"/>
          <w:sz w:val="18"/>
        </w:rPr>
        <w:t> </w:t>
      </w:r>
      <w:r>
        <w:rPr>
          <w:sz w:val="18"/>
        </w:rPr>
        <w:t>elevators</w:t>
        <w:tab/>
        <w:t>Provided</w:t>
      </w:r>
    </w:p>
    <w:p>
      <w:pPr>
        <w:tabs>
          <w:tab w:pos="5545" w:val="left" w:leader="none"/>
        </w:tabs>
        <w:spacing w:before="1" w:after="32"/>
        <w:ind w:left="0" w:right="2356" w:firstLine="0"/>
        <w:jc w:val="right"/>
        <w:rPr>
          <w:sz w:val="18"/>
        </w:rPr>
      </w:pPr>
      <w:r>
        <w:rPr>
          <w:sz w:val="18"/>
        </w:rPr>
        <w:t>Service</w:t>
      </w:r>
      <w:r>
        <w:rPr>
          <w:spacing w:val="-33"/>
          <w:sz w:val="18"/>
        </w:rPr>
        <w:t> </w:t>
      </w:r>
      <w:r>
        <w:rPr>
          <w:sz w:val="18"/>
        </w:rPr>
        <w:t>elevators</w:t>
        <w:tab/>
      </w:r>
      <w:r>
        <w:rPr>
          <w:spacing w:val="-1"/>
          <w:w w:val="95"/>
          <w:sz w:val="18"/>
        </w:rPr>
        <w:t>Provided</w:t>
      </w:r>
    </w:p>
    <w:p>
      <w:pPr>
        <w:pStyle w:val="BodyText"/>
        <w:spacing w:line="20" w:lineRule="exact"/>
        <w:ind w:left="2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62,0,5548,0,0,0,0,14,5548,14,5562,14,10471,14,10471,0xe" filled="true" fillcolor="#69bd28" stroked="false">
              <v:path arrowok="t"/>
              <v:fill type="solid"/>
            </v:shape>
          </v:group>
        </w:pict>
      </w:r>
      <w:r>
        <w:rPr>
          <w:sz w:val="2"/>
        </w:rPr>
      </w:r>
    </w:p>
    <w:p>
      <w:pPr>
        <w:tabs>
          <w:tab w:pos="5480" w:val="left" w:leader="none"/>
        </w:tabs>
        <w:spacing w:before="24"/>
        <w:ind w:left="0" w:right="2356" w:firstLine="0"/>
        <w:jc w:val="right"/>
        <w:rPr>
          <w:sz w:val="18"/>
        </w:rPr>
      </w:pPr>
      <w:r>
        <w:rPr/>
        <w:pict>
          <v:shape style="position:absolute;margin-left:36pt;margin-top:13.250633pt;width:523.6pt;height:.75pt;mso-position-horizontal-relative:page;mso-position-vertical-relative:paragraph;z-index:-15065600;mso-wrap-distance-left:0;mso-wrap-distance-right:0" coordorigin="720,265" coordsize="10472,15" path="m11191,265l6282,265,6268,265,720,265,720,279,6268,279,6282,279,11191,279,11191,265xe" filled="true" fillcolor="#69bd28" stroked="false">
            <v:path arrowok="t"/>
            <v:fill type="solid"/>
            <w10:wrap type="topAndBottom"/>
          </v:shape>
        </w:pict>
      </w:r>
      <w:r>
        <w:rPr>
          <w:sz w:val="18"/>
        </w:rPr>
        <w:t>Power</w:t>
      </w:r>
      <w:r>
        <w:rPr>
          <w:spacing w:val="-11"/>
          <w:sz w:val="18"/>
        </w:rPr>
        <w:t> </w:t>
      </w:r>
      <w:r>
        <w:rPr>
          <w:sz w:val="18"/>
        </w:rPr>
        <w:t>back-up</w:t>
        <w:tab/>
      </w:r>
      <w:r>
        <w:rPr>
          <w:spacing w:val="-1"/>
          <w:w w:val="95"/>
          <w:sz w:val="18"/>
        </w:rPr>
        <w:t>Provided</w:t>
      </w:r>
    </w:p>
    <w:p>
      <w:pPr>
        <w:tabs>
          <w:tab w:pos="6049" w:val="left" w:leader="none"/>
        </w:tabs>
        <w:spacing w:before="3" w:after="30"/>
        <w:ind w:left="0" w:right="2356" w:firstLine="0"/>
        <w:jc w:val="right"/>
        <w:rPr>
          <w:sz w:val="18"/>
        </w:rPr>
      </w:pPr>
      <w:r>
        <w:rPr>
          <w:sz w:val="18"/>
        </w:rPr>
        <w:t>Building</w:t>
      </w:r>
      <w:r>
        <w:rPr>
          <w:spacing w:val="-16"/>
          <w:sz w:val="18"/>
        </w:rPr>
        <w:t> </w:t>
      </w:r>
      <w:r>
        <w:rPr>
          <w:sz w:val="18"/>
        </w:rPr>
        <w:t>management</w:t>
      </w:r>
      <w:r>
        <w:rPr>
          <w:spacing w:val="-16"/>
          <w:sz w:val="18"/>
        </w:rPr>
        <w:t> </w:t>
      </w:r>
      <w:r>
        <w:rPr>
          <w:sz w:val="18"/>
        </w:rPr>
        <w:t>system</w:t>
        <w:tab/>
      </w:r>
      <w:r>
        <w:rPr>
          <w:spacing w:val="-1"/>
          <w:w w:val="95"/>
          <w:sz w:val="18"/>
        </w:rPr>
        <w:t>Provided</w:t>
      </w:r>
    </w:p>
    <w:p>
      <w:pPr>
        <w:pStyle w:val="BodyText"/>
        <w:spacing w:line="20" w:lineRule="exact"/>
        <w:ind w:left="2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62,0,5548,0,0,0,0,14,5548,14,5562,14,10471,14,10471,0xe" filled="true" fillcolor="#69bd28" stroked="false">
              <v:path arrowok="t"/>
              <v:fill type="solid"/>
            </v:shape>
          </v:group>
        </w:pict>
      </w:r>
      <w:r>
        <w:rPr>
          <w:sz w:val="2"/>
        </w:rPr>
      </w:r>
    </w:p>
    <w:p>
      <w:pPr>
        <w:tabs>
          <w:tab w:pos="5516" w:val="left" w:leader="none"/>
        </w:tabs>
        <w:spacing w:before="27"/>
        <w:ind w:left="0" w:right="2356" w:firstLine="0"/>
        <w:jc w:val="right"/>
        <w:rPr>
          <w:sz w:val="18"/>
        </w:rPr>
      </w:pPr>
      <w:r>
        <w:rPr/>
        <w:pict>
          <v:shape style="position:absolute;margin-left:36pt;margin-top:13.280643pt;width:523.6pt;height:.75pt;mso-position-horizontal-relative:page;mso-position-vertical-relative:paragraph;z-index:-15064576;mso-wrap-distance-left:0;mso-wrap-distance-right:0" coordorigin="720,266" coordsize="10472,15" path="m11191,266l6282,266,6268,266,720,266,720,280,6268,280,6282,280,11191,280,11191,266xe" filled="true" fillcolor="#69bd28" stroked="false">
            <v:path arrowok="t"/>
            <v:fill type="solid"/>
            <w10:wrap type="topAndBottom"/>
          </v:shape>
        </w:pict>
      </w:r>
      <w:r>
        <w:rPr>
          <w:sz w:val="18"/>
        </w:rPr>
        <w:t>Security</w:t>
      </w:r>
      <w:r>
        <w:rPr>
          <w:spacing w:val="-36"/>
          <w:sz w:val="18"/>
        </w:rPr>
        <w:t> </w:t>
      </w:r>
      <w:r>
        <w:rPr>
          <w:sz w:val="18"/>
        </w:rPr>
        <w:t>systems</w:t>
        <w:tab/>
      </w:r>
      <w:r>
        <w:rPr>
          <w:spacing w:val="-1"/>
          <w:w w:val="95"/>
          <w:sz w:val="18"/>
        </w:rPr>
        <w:t>Provided</w:t>
      </w:r>
    </w:p>
    <w:p>
      <w:pPr>
        <w:tabs>
          <w:tab w:pos="5835" w:val="left" w:leader="none"/>
        </w:tabs>
        <w:spacing w:before="3" w:after="33"/>
        <w:ind w:left="0" w:right="2356" w:firstLine="0"/>
        <w:jc w:val="right"/>
        <w:rPr>
          <w:sz w:val="18"/>
        </w:rPr>
      </w:pPr>
      <w:r>
        <w:rPr>
          <w:sz w:val="18"/>
        </w:rPr>
        <w:t>Air</w:t>
      </w:r>
      <w:r>
        <w:rPr>
          <w:spacing w:val="-10"/>
          <w:sz w:val="18"/>
        </w:rPr>
        <w:t> </w:t>
      </w:r>
      <w:r>
        <w:rPr>
          <w:sz w:val="18"/>
        </w:rPr>
        <w:t>conditioning</w:t>
      </w:r>
      <w:r>
        <w:rPr>
          <w:spacing w:val="-8"/>
          <w:sz w:val="18"/>
        </w:rPr>
        <w:t> </w:t>
      </w:r>
      <w:r>
        <w:rPr>
          <w:sz w:val="18"/>
        </w:rPr>
        <w:t>(HVAC)</w:t>
        <w:tab/>
      </w:r>
      <w:r>
        <w:rPr>
          <w:spacing w:val="-1"/>
          <w:w w:val="95"/>
          <w:sz w:val="18"/>
        </w:rPr>
        <w:t>Provided</w:t>
      </w:r>
    </w:p>
    <w:p>
      <w:pPr>
        <w:pStyle w:val="BodyText"/>
        <w:spacing w:line="20" w:lineRule="exact"/>
        <w:ind w:left="2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562,0,5548,0,0,0,0,14,5548,14,5562,14,10471,14,10471,0xe" filled="true" fillcolor="#69bd28" stroked="false">
              <v:path arrowok="t"/>
              <v:fill type="solid"/>
            </v:shape>
          </v:group>
        </w:pict>
      </w:r>
      <w:r>
        <w:rPr>
          <w:sz w:val="2"/>
        </w:rPr>
      </w:r>
    </w:p>
    <w:p>
      <w:pPr>
        <w:tabs>
          <w:tab w:pos="5665" w:val="left" w:leader="none"/>
        </w:tabs>
        <w:spacing w:before="24"/>
        <w:ind w:left="0" w:right="2356" w:firstLine="0"/>
        <w:jc w:val="right"/>
        <w:rPr>
          <w:sz w:val="18"/>
        </w:rPr>
      </w:pPr>
      <w:r>
        <w:rPr/>
        <w:pict>
          <v:shape style="position:absolute;margin-left:36pt;margin-top:13.250646pt;width:523.6pt;height:.75pt;mso-position-horizontal-relative:page;mso-position-vertical-relative:paragraph;z-index:-15063552;mso-wrap-distance-left:0;mso-wrap-distance-right:0" coordorigin="720,265" coordsize="10472,15" path="m11191,265l6282,265,6268,265,720,265,720,279,6268,279,6282,279,11191,279,11191,265xe" filled="true" fillcolor="#69bd28" stroked="false">
            <v:path arrowok="t"/>
            <v:fill type="solid"/>
            <w10:wrap type="topAndBottom"/>
          </v:shape>
        </w:pict>
      </w:r>
      <w:r>
        <w:rPr>
          <w:sz w:val="18"/>
        </w:rPr>
        <w:t>Firefighting</w:t>
      </w:r>
      <w:r>
        <w:rPr>
          <w:spacing w:val="-36"/>
          <w:sz w:val="18"/>
        </w:rPr>
        <w:t> </w:t>
      </w:r>
      <w:r>
        <w:rPr>
          <w:sz w:val="18"/>
        </w:rPr>
        <w:t>services</w:t>
        <w:tab/>
      </w:r>
      <w:r>
        <w:rPr>
          <w:spacing w:val="-1"/>
          <w:w w:val="95"/>
          <w:sz w:val="18"/>
        </w:rPr>
        <w:t>Provided</w:t>
      </w:r>
    </w:p>
    <w:p>
      <w:pPr>
        <w:tabs>
          <w:tab w:pos="6404" w:val="left" w:leader="none"/>
        </w:tabs>
        <w:spacing w:before="1" w:after="32"/>
        <w:ind w:left="2251" w:right="0" w:firstLine="0"/>
        <w:jc w:val="left"/>
        <w:rPr>
          <w:sz w:val="18"/>
        </w:rPr>
      </w:pPr>
      <w:r>
        <w:rPr>
          <w:sz w:val="18"/>
        </w:rPr>
        <w:t>Car</w:t>
      </w:r>
      <w:r>
        <w:rPr>
          <w:spacing w:val="-1"/>
          <w:sz w:val="18"/>
        </w:rPr>
        <w:t> </w:t>
      </w:r>
      <w:r>
        <w:rPr>
          <w:sz w:val="18"/>
        </w:rPr>
        <w:t>parks</w:t>
      </w:r>
      <w:r>
        <w:rPr>
          <w:spacing w:val="1"/>
          <w:sz w:val="18"/>
        </w:rPr>
        <w:t> </w:t>
      </w:r>
      <w:r>
        <w:rPr>
          <w:sz w:val="18"/>
        </w:rPr>
        <w:t>provided</w:t>
        <w:tab/>
        <w:t>MLCP, Basement, Covered and open car</w:t>
      </w:r>
      <w:r>
        <w:rPr>
          <w:spacing w:val="-18"/>
          <w:sz w:val="18"/>
        </w:rPr>
        <w:t> </w:t>
      </w:r>
      <w:r>
        <w:rPr>
          <w:sz w:val="18"/>
        </w:rPr>
        <w:t>parks</w:t>
      </w:r>
    </w:p>
    <w:p>
      <w:pPr>
        <w:pStyle w:val="BodyText"/>
        <w:spacing w:line="20" w:lineRule="exact"/>
        <w:ind w:left="2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40,0l10426,0,5562,0,5548,0,0,0,0,14,5548,14,5562,14,10426,14,10440,14,10440,0xm10471,0l10454,0,10440,0,10440,14,10454,14,10471,14,10471,0xe" filled="true" fillcolor="#69bd28" stroked="false">
              <v:path arrowok="t"/>
              <v:fill type="solid"/>
            </v:shape>
          </v:group>
        </w:pict>
      </w:r>
      <w:r>
        <w:rPr>
          <w:sz w:val="2"/>
        </w:rPr>
      </w:r>
    </w:p>
    <w:p>
      <w:pPr>
        <w:spacing w:before="0"/>
        <w:ind w:left="348" w:right="0" w:firstLine="0"/>
        <w:jc w:val="left"/>
        <w:rPr>
          <w:i/>
          <w:sz w:val="18"/>
        </w:rPr>
      </w:pPr>
      <w:r>
        <w:rPr>
          <w:i/>
          <w:sz w:val="18"/>
        </w:rPr>
        <w:t>Source: Information provided by Client, site visit, lease deeds</w:t>
      </w:r>
    </w:p>
    <w:p>
      <w:pPr>
        <w:pStyle w:val="BodyText"/>
        <w:spacing w:before="3"/>
        <w:rPr>
          <w:i/>
          <w:sz w:val="19"/>
        </w:rPr>
      </w:pPr>
    </w:p>
    <w:p>
      <w:pPr>
        <w:pStyle w:val="BodyText"/>
        <w:spacing w:line="321" w:lineRule="auto"/>
        <w:ind w:left="895" w:right="389"/>
        <w:jc w:val="both"/>
      </w:pPr>
      <w:r>
        <w:rPr/>
        <w:t>Based on information provided by the Client and visual inspection, the park offers high end specifications,</w:t>
      </w:r>
      <w:r>
        <w:rPr>
          <w:spacing w:val="-17"/>
        </w:rPr>
        <w:t> </w:t>
      </w:r>
      <w:r>
        <w:rPr/>
        <w:t>a</w:t>
      </w:r>
      <w:r>
        <w:rPr>
          <w:spacing w:val="-16"/>
        </w:rPr>
        <w:t> </w:t>
      </w:r>
      <w:r>
        <w:rPr/>
        <w:t>lush</w:t>
      </w:r>
      <w:r>
        <w:rPr>
          <w:spacing w:val="-16"/>
        </w:rPr>
        <w:t> </w:t>
      </w:r>
      <w:r>
        <w:rPr/>
        <w:t>green</w:t>
      </w:r>
      <w:r>
        <w:rPr>
          <w:spacing w:val="-17"/>
        </w:rPr>
        <w:t> </w:t>
      </w:r>
      <w:r>
        <w:rPr/>
        <w:t>landscape</w:t>
      </w:r>
      <w:r>
        <w:rPr>
          <w:spacing w:val="-16"/>
        </w:rPr>
        <w:t> </w:t>
      </w:r>
      <w:r>
        <w:rPr/>
        <w:t>and</w:t>
      </w:r>
      <w:r>
        <w:rPr>
          <w:spacing w:val="-15"/>
        </w:rPr>
        <w:t> </w:t>
      </w:r>
      <w:r>
        <w:rPr/>
        <w:t>community</w:t>
      </w:r>
      <w:r>
        <w:rPr>
          <w:spacing w:val="-15"/>
        </w:rPr>
        <w:t> </w:t>
      </w:r>
      <w:r>
        <w:rPr/>
        <w:t>spaces</w:t>
      </w:r>
      <w:r>
        <w:rPr>
          <w:spacing w:val="-15"/>
        </w:rPr>
        <w:t> </w:t>
      </w:r>
      <w:r>
        <w:rPr/>
        <w:t>offering</w:t>
      </w:r>
      <w:r>
        <w:rPr>
          <w:spacing w:val="-17"/>
        </w:rPr>
        <w:t> </w:t>
      </w:r>
      <w:r>
        <w:rPr/>
        <w:t>a</w:t>
      </w:r>
      <w:r>
        <w:rPr>
          <w:spacing w:val="-16"/>
        </w:rPr>
        <w:t> </w:t>
      </w:r>
      <w:r>
        <w:rPr/>
        <w:t>full</w:t>
      </w:r>
      <w:r>
        <w:rPr>
          <w:spacing w:val="-17"/>
        </w:rPr>
        <w:t> </w:t>
      </w:r>
      <w:r>
        <w:rPr/>
        <w:t>suite</w:t>
      </w:r>
      <w:r>
        <w:rPr>
          <w:spacing w:val="-16"/>
        </w:rPr>
        <w:t> </w:t>
      </w:r>
      <w:r>
        <w:rPr/>
        <w:t>of</w:t>
      </w:r>
      <w:r>
        <w:rPr>
          <w:spacing w:val="-16"/>
        </w:rPr>
        <w:t> </w:t>
      </w:r>
      <w:r>
        <w:rPr/>
        <w:t>amenities</w:t>
      </w:r>
      <w:r>
        <w:rPr>
          <w:spacing w:val="-16"/>
        </w:rPr>
        <w:t> </w:t>
      </w:r>
      <w:r>
        <w:rPr/>
        <w:t>to</w:t>
      </w:r>
      <w:r>
        <w:rPr>
          <w:spacing w:val="-17"/>
        </w:rPr>
        <w:t> </w:t>
      </w:r>
      <w:r>
        <w:rPr/>
        <w:t>its occupiers including various F&amp;B options, intra-park shuttles, golf-buggy services, ambulance and crèche.</w:t>
      </w:r>
    </w:p>
    <w:p>
      <w:pPr>
        <w:pStyle w:val="BodyText"/>
        <w:rPr>
          <w:sz w:val="20"/>
        </w:rPr>
      </w:pPr>
    </w:p>
    <w:p>
      <w:pPr>
        <w:pStyle w:val="BodyText"/>
        <w:spacing w:before="5"/>
        <w:rPr>
          <w:sz w:val="21"/>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04" w:id="593"/>
      <w:bookmarkEnd w:id="593"/>
      <w:r>
        <w:rPr/>
      </w:r>
      <w:bookmarkStart w:name="_bookmark304" w:id="594"/>
      <w:bookmarkEnd w:id="594"/>
      <w:r>
        <w:rPr>
          <w:color w:val="1F664D"/>
          <w:sz w:val="22"/>
        </w:rPr>
        <w:t>Condition</w:t>
      </w:r>
      <w:r>
        <w:rPr>
          <w:color w:val="1F664D"/>
          <w:sz w:val="22"/>
        </w:rPr>
        <w:t> &amp;</w:t>
      </w:r>
      <w:r>
        <w:rPr>
          <w:color w:val="1F664D"/>
          <w:spacing w:val="-4"/>
          <w:sz w:val="22"/>
        </w:rPr>
        <w:t> </w:t>
      </w:r>
      <w:r>
        <w:rPr>
          <w:color w:val="1F664D"/>
          <w:sz w:val="22"/>
        </w:rPr>
        <w:t>Repair</w:t>
      </w:r>
    </w:p>
    <w:p>
      <w:pPr>
        <w:pStyle w:val="BodyText"/>
        <w:spacing w:line="321" w:lineRule="auto" w:before="208"/>
        <w:ind w:left="787" w:right="233"/>
        <w:jc w:val="both"/>
      </w:pPr>
      <w:r>
        <w:rPr/>
        <w:t>Based</w:t>
      </w:r>
      <w:r>
        <w:rPr>
          <w:spacing w:val="-43"/>
        </w:rPr>
        <w:t> </w:t>
      </w:r>
      <w:r>
        <w:rPr/>
        <w:t>on</w:t>
      </w:r>
      <w:r>
        <w:rPr>
          <w:spacing w:val="-43"/>
        </w:rPr>
        <w:t> </w:t>
      </w:r>
      <w:r>
        <w:rPr/>
        <w:t>information</w:t>
      </w:r>
      <w:r>
        <w:rPr>
          <w:spacing w:val="-42"/>
        </w:rPr>
        <w:t> </w:t>
      </w:r>
      <w:r>
        <w:rPr/>
        <w:t>provided</w:t>
      </w:r>
      <w:r>
        <w:rPr>
          <w:spacing w:val="-42"/>
        </w:rPr>
        <w:t> </w:t>
      </w:r>
      <w:r>
        <w:rPr/>
        <w:t>by</w:t>
      </w:r>
      <w:r>
        <w:rPr>
          <w:spacing w:val="-41"/>
        </w:rPr>
        <w:t> </w:t>
      </w:r>
      <w:r>
        <w:rPr/>
        <w:t>the</w:t>
      </w:r>
      <w:r>
        <w:rPr>
          <w:spacing w:val="-44"/>
        </w:rPr>
        <w:t> </w:t>
      </w:r>
      <w:r>
        <w:rPr/>
        <w:t>Client,</w:t>
      </w:r>
      <w:r>
        <w:rPr>
          <w:spacing w:val="-42"/>
        </w:rPr>
        <w:t> </w:t>
      </w:r>
      <w:r>
        <w:rPr/>
        <w:t>it</w:t>
      </w:r>
      <w:r>
        <w:rPr>
          <w:spacing w:val="-43"/>
        </w:rPr>
        <w:t> </w:t>
      </w:r>
      <w:r>
        <w:rPr/>
        <w:t>is</w:t>
      </w:r>
      <w:r>
        <w:rPr>
          <w:spacing w:val="-41"/>
        </w:rPr>
        <w:t> </w:t>
      </w:r>
      <w:r>
        <w:rPr/>
        <w:t>understood</w:t>
      </w:r>
      <w:r>
        <w:rPr>
          <w:spacing w:val="-43"/>
        </w:rPr>
        <w:t> </w:t>
      </w:r>
      <w:r>
        <w:rPr/>
        <w:t>that</w:t>
      </w:r>
      <w:r>
        <w:rPr>
          <w:spacing w:val="-42"/>
        </w:rPr>
        <w:t> </w:t>
      </w:r>
      <w:r>
        <w:rPr/>
        <w:t>the</w:t>
      </w:r>
      <w:r>
        <w:rPr>
          <w:spacing w:val="-44"/>
        </w:rPr>
        <w:t> </w:t>
      </w:r>
      <w:r>
        <w:rPr/>
        <w:t>subject</w:t>
      </w:r>
      <w:r>
        <w:rPr>
          <w:spacing w:val="-43"/>
        </w:rPr>
        <w:t> </w:t>
      </w:r>
      <w:r>
        <w:rPr/>
        <w:t>property</w:t>
      </w:r>
      <w:r>
        <w:rPr>
          <w:spacing w:val="-42"/>
        </w:rPr>
        <w:t> </w:t>
      </w:r>
      <w:r>
        <w:rPr/>
        <w:t>is</w:t>
      </w:r>
      <w:r>
        <w:rPr>
          <w:spacing w:val="-42"/>
        </w:rPr>
        <w:t> </w:t>
      </w:r>
      <w:r>
        <w:rPr/>
        <w:t>in</w:t>
      </w:r>
      <w:r>
        <w:rPr>
          <w:spacing w:val="-44"/>
        </w:rPr>
        <w:t> </w:t>
      </w:r>
      <w:r>
        <w:rPr/>
        <w:t>good</w:t>
      </w:r>
      <w:r>
        <w:rPr>
          <w:spacing w:val="-41"/>
        </w:rPr>
        <w:t> </w:t>
      </w:r>
      <w:r>
        <w:rPr/>
        <w:t>condition and</w:t>
      </w:r>
      <w:r>
        <w:rPr>
          <w:spacing w:val="-40"/>
        </w:rPr>
        <w:t> </w:t>
      </w:r>
      <w:r>
        <w:rPr/>
        <w:t>is</w:t>
      </w:r>
      <w:r>
        <w:rPr>
          <w:spacing w:val="-39"/>
        </w:rPr>
        <w:t> </w:t>
      </w:r>
      <w:r>
        <w:rPr/>
        <w:t>being</w:t>
      </w:r>
      <w:r>
        <w:rPr>
          <w:spacing w:val="-38"/>
        </w:rPr>
        <w:t> </w:t>
      </w:r>
      <w:r>
        <w:rPr/>
        <w:t>maintained</w:t>
      </w:r>
      <w:r>
        <w:rPr>
          <w:spacing w:val="-41"/>
        </w:rPr>
        <w:t> </w:t>
      </w:r>
      <w:r>
        <w:rPr/>
        <w:t>well.</w:t>
      </w:r>
      <w:r>
        <w:rPr>
          <w:spacing w:val="-38"/>
        </w:rPr>
        <w:t> </w:t>
      </w:r>
      <w:r>
        <w:rPr/>
        <w:t>The</w:t>
      </w:r>
      <w:r>
        <w:rPr>
          <w:spacing w:val="-40"/>
        </w:rPr>
        <w:t> </w:t>
      </w:r>
      <w:r>
        <w:rPr/>
        <w:t>subject</w:t>
      </w:r>
      <w:r>
        <w:rPr>
          <w:spacing w:val="-39"/>
        </w:rPr>
        <w:t> </w:t>
      </w:r>
      <w:r>
        <w:rPr/>
        <w:t>property</w:t>
      </w:r>
      <w:r>
        <w:rPr>
          <w:spacing w:val="-40"/>
        </w:rPr>
        <w:t> </w:t>
      </w:r>
      <w:r>
        <w:rPr/>
        <w:t>is</w:t>
      </w:r>
      <w:r>
        <w:rPr>
          <w:spacing w:val="-39"/>
        </w:rPr>
        <w:t> </w:t>
      </w:r>
      <w:r>
        <w:rPr/>
        <w:t>developed</w:t>
      </w:r>
      <w:r>
        <w:rPr>
          <w:spacing w:val="-39"/>
        </w:rPr>
        <w:t> </w:t>
      </w:r>
      <w:r>
        <w:rPr/>
        <w:t>and</w:t>
      </w:r>
      <w:r>
        <w:rPr>
          <w:spacing w:val="-39"/>
        </w:rPr>
        <w:t> </w:t>
      </w:r>
      <w:r>
        <w:rPr/>
        <w:t>managed</w:t>
      </w:r>
      <w:r>
        <w:rPr>
          <w:spacing w:val="-40"/>
        </w:rPr>
        <w:t> </w:t>
      </w:r>
      <w:r>
        <w:rPr/>
        <w:t>to</w:t>
      </w:r>
      <w:r>
        <w:rPr>
          <w:spacing w:val="-39"/>
        </w:rPr>
        <w:t> </w:t>
      </w:r>
      <w:r>
        <w:rPr/>
        <w:t>international</w:t>
      </w:r>
      <w:r>
        <w:rPr>
          <w:spacing w:val="-40"/>
        </w:rPr>
        <w:t> </w:t>
      </w:r>
      <w:r>
        <w:rPr/>
        <w:t>standards. Further</w:t>
      </w:r>
      <w:r>
        <w:rPr>
          <w:spacing w:val="-42"/>
        </w:rPr>
        <w:t> </w:t>
      </w:r>
      <w:r>
        <w:rPr/>
        <w:t>it</w:t>
      </w:r>
      <w:r>
        <w:rPr>
          <w:spacing w:val="-41"/>
        </w:rPr>
        <w:t> </w:t>
      </w:r>
      <w:r>
        <w:rPr/>
        <w:t>offers</w:t>
      </w:r>
      <w:r>
        <w:rPr>
          <w:spacing w:val="-41"/>
        </w:rPr>
        <w:t> </w:t>
      </w:r>
      <w:r>
        <w:rPr/>
        <w:t>international</w:t>
      </w:r>
      <w:r>
        <w:rPr>
          <w:spacing w:val="-41"/>
        </w:rPr>
        <w:t> </w:t>
      </w:r>
      <w:r>
        <w:rPr/>
        <w:t>standard</w:t>
      </w:r>
      <w:r>
        <w:rPr>
          <w:spacing w:val="-41"/>
        </w:rPr>
        <w:t> </w:t>
      </w:r>
      <w:r>
        <w:rPr/>
        <w:t>infrastructure,</w:t>
      </w:r>
      <w:r>
        <w:rPr>
          <w:spacing w:val="-39"/>
        </w:rPr>
        <w:t> </w:t>
      </w:r>
      <w:r>
        <w:rPr/>
        <w:t>best-in-class</w:t>
      </w:r>
      <w:r>
        <w:rPr>
          <w:spacing w:val="-41"/>
        </w:rPr>
        <w:t> </w:t>
      </w:r>
      <w:r>
        <w:rPr/>
        <w:t>asset</w:t>
      </w:r>
      <w:r>
        <w:rPr>
          <w:spacing w:val="-41"/>
        </w:rPr>
        <w:t> </w:t>
      </w:r>
      <w:r>
        <w:rPr/>
        <w:t>management</w:t>
      </w:r>
      <w:r>
        <w:rPr>
          <w:spacing w:val="-41"/>
        </w:rPr>
        <w:t> </w:t>
      </w:r>
      <w:r>
        <w:rPr/>
        <w:t>and</w:t>
      </w:r>
      <w:r>
        <w:rPr>
          <w:spacing w:val="-41"/>
        </w:rPr>
        <w:t> </w:t>
      </w:r>
      <w:r>
        <w:rPr/>
        <w:t>environment friendly</w:t>
      </w:r>
      <w:r>
        <w:rPr>
          <w:spacing w:val="-33"/>
        </w:rPr>
        <w:t> </w:t>
      </w:r>
      <w:r>
        <w:rPr/>
        <w:t>green</w:t>
      </w:r>
      <w:r>
        <w:rPr>
          <w:spacing w:val="-33"/>
        </w:rPr>
        <w:t> </w:t>
      </w:r>
      <w:r>
        <w:rPr/>
        <w:t>initiatives.</w:t>
      </w:r>
      <w:r>
        <w:rPr>
          <w:spacing w:val="-32"/>
        </w:rPr>
        <w:t> </w:t>
      </w:r>
      <w:r>
        <w:rPr/>
        <w:t>The</w:t>
      </w:r>
      <w:r>
        <w:rPr>
          <w:spacing w:val="-33"/>
        </w:rPr>
        <w:t> </w:t>
      </w:r>
      <w:r>
        <w:rPr/>
        <w:t>table</w:t>
      </w:r>
      <w:r>
        <w:rPr>
          <w:spacing w:val="-33"/>
        </w:rPr>
        <w:t> </w:t>
      </w:r>
      <w:r>
        <w:rPr/>
        <w:t>below</w:t>
      </w:r>
      <w:r>
        <w:rPr>
          <w:spacing w:val="-32"/>
        </w:rPr>
        <w:t> </w:t>
      </w:r>
      <w:r>
        <w:rPr/>
        <w:t>highlights</w:t>
      </w:r>
      <w:r>
        <w:rPr>
          <w:spacing w:val="-32"/>
        </w:rPr>
        <w:t> </w:t>
      </w:r>
      <w:r>
        <w:rPr/>
        <w:t>the</w:t>
      </w:r>
      <w:r>
        <w:rPr>
          <w:spacing w:val="-33"/>
        </w:rPr>
        <w:t> </w:t>
      </w:r>
      <w:r>
        <w:rPr/>
        <w:t>major</w:t>
      </w:r>
      <w:r>
        <w:rPr>
          <w:spacing w:val="-33"/>
        </w:rPr>
        <w:t> </w:t>
      </w:r>
      <w:r>
        <w:rPr/>
        <w:t>repairs</w:t>
      </w:r>
      <w:r>
        <w:rPr>
          <w:spacing w:val="-32"/>
        </w:rPr>
        <w:t> </w:t>
      </w:r>
      <w:r>
        <w:rPr/>
        <w:t>and</w:t>
      </w:r>
      <w:r>
        <w:rPr>
          <w:spacing w:val="-32"/>
        </w:rPr>
        <w:t> </w:t>
      </w:r>
      <w:r>
        <w:rPr/>
        <w:t>maintenance/</w:t>
      </w:r>
      <w:r>
        <w:rPr>
          <w:spacing w:val="-33"/>
        </w:rPr>
        <w:t> </w:t>
      </w:r>
      <w:r>
        <w:rPr/>
        <w:t>infrastructure upgrade</w:t>
      </w:r>
      <w:r>
        <w:rPr>
          <w:spacing w:val="-8"/>
        </w:rPr>
        <w:t> </w:t>
      </w:r>
      <w:r>
        <w:rPr/>
        <w:t>works</w:t>
      </w:r>
      <w:r>
        <w:rPr>
          <w:spacing w:val="-3"/>
        </w:rPr>
        <w:t> </w:t>
      </w:r>
      <w:r>
        <w:rPr/>
        <w:t>to</w:t>
      </w:r>
      <w:r>
        <w:rPr>
          <w:spacing w:val="-8"/>
        </w:rPr>
        <w:t> </w:t>
      </w:r>
      <w:r>
        <w:rPr/>
        <w:t>be</w:t>
      </w:r>
      <w:r>
        <w:rPr>
          <w:spacing w:val="-5"/>
        </w:rPr>
        <w:t> </w:t>
      </w:r>
      <w:r>
        <w:rPr/>
        <w:t>undertaken</w:t>
      </w:r>
      <w:r>
        <w:rPr>
          <w:spacing w:val="-6"/>
        </w:rPr>
        <w:t> </w:t>
      </w:r>
      <w:r>
        <w:rPr/>
        <w:t>over</w:t>
      </w:r>
      <w:r>
        <w:rPr>
          <w:spacing w:val="-5"/>
        </w:rPr>
        <w:t> </w:t>
      </w:r>
      <w:r>
        <w:rPr/>
        <w:t>the</w:t>
      </w:r>
      <w:r>
        <w:rPr>
          <w:spacing w:val="-6"/>
        </w:rPr>
        <w:t> </w:t>
      </w:r>
      <w:r>
        <w:rPr/>
        <w:t>next</w:t>
      </w:r>
      <w:r>
        <w:rPr>
          <w:spacing w:val="-3"/>
        </w:rPr>
        <w:t> </w:t>
      </w:r>
      <w:r>
        <w:rPr/>
        <w:t>few</w:t>
      </w:r>
      <w:r>
        <w:rPr>
          <w:spacing w:val="-6"/>
        </w:rPr>
        <w:t> </w:t>
      </w:r>
      <w:r>
        <w:rPr/>
        <w:t>years:</w:t>
      </w:r>
    </w:p>
    <w:p>
      <w:pPr>
        <w:pStyle w:val="BodyText"/>
        <w:spacing w:before="1" w:after="1"/>
        <w:rPr>
          <w:sz w:val="21"/>
        </w:rPr>
      </w:pPr>
    </w:p>
    <w:tbl>
      <w:tblPr>
        <w:tblW w:w="0" w:type="auto"/>
        <w:jc w:val="left"/>
        <w:tblInd w:w="2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27"/>
        <w:gridCol w:w="1702"/>
        <w:gridCol w:w="1605"/>
        <w:gridCol w:w="1880"/>
        <w:gridCol w:w="1098"/>
        <w:gridCol w:w="881"/>
      </w:tblGrid>
      <w:tr>
        <w:trPr>
          <w:trHeight w:val="433" w:hRule="atLeast"/>
        </w:trPr>
        <w:tc>
          <w:tcPr>
            <w:tcW w:w="6634" w:type="dxa"/>
            <w:gridSpan w:val="3"/>
            <w:tcBorders>
              <w:top w:val="single" w:sz="6" w:space="0" w:color="69BD28"/>
              <w:bottom w:val="single" w:sz="6" w:space="0" w:color="69BD28"/>
            </w:tcBorders>
            <w:shd w:val="clear" w:color="auto" w:fill="006A4D"/>
          </w:tcPr>
          <w:p>
            <w:pPr>
              <w:pStyle w:val="TableParagraph"/>
              <w:tabs>
                <w:tab w:pos="3255" w:val="left" w:leader="none"/>
                <w:tab w:pos="5490" w:val="left" w:leader="none"/>
              </w:tabs>
              <w:spacing w:line="269" w:lineRule="exact" w:before="4"/>
              <w:ind w:left="998"/>
              <w:jc w:val="left"/>
              <w:rPr>
                <w:b/>
                <w:sz w:val="18"/>
              </w:rPr>
            </w:pPr>
            <w:r>
              <w:rPr>
                <w:b/>
                <w:color w:val="FFFFFF"/>
                <w:w w:val="105"/>
                <w:sz w:val="18"/>
              </w:rPr>
              <w:t>Expense</w:t>
            </w:r>
            <w:r>
              <w:rPr>
                <w:b/>
                <w:color w:val="FFFFFF"/>
                <w:spacing w:val="11"/>
                <w:w w:val="105"/>
                <w:sz w:val="18"/>
              </w:rPr>
              <w:t> </w:t>
            </w:r>
            <w:r>
              <w:rPr>
                <w:b/>
                <w:color w:val="FFFFFF"/>
                <w:w w:val="105"/>
                <w:sz w:val="18"/>
              </w:rPr>
              <w:t>Head</w:t>
              <w:tab/>
              <w:t>Total Cost</w:t>
            </w:r>
            <w:r>
              <w:rPr>
                <w:b/>
                <w:color w:val="FFFFFF"/>
                <w:spacing w:val="16"/>
                <w:w w:val="105"/>
                <w:sz w:val="18"/>
              </w:rPr>
              <w:t> </w:t>
            </w:r>
            <w:r>
              <w:rPr>
                <w:b/>
                <w:color w:val="FFFFFF"/>
                <w:w w:val="105"/>
                <w:sz w:val="18"/>
              </w:rPr>
              <w:t>(INR</w:t>
            </w:r>
            <w:r>
              <w:rPr>
                <w:b/>
                <w:color w:val="FFFFFF"/>
                <w:spacing w:val="9"/>
                <w:w w:val="105"/>
                <w:sz w:val="18"/>
              </w:rPr>
              <w:t> </w:t>
            </w:r>
            <w:r>
              <w:rPr>
                <w:b/>
                <w:color w:val="FFFFFF"/>
                <w:w w:val="105"/>
                <w:sz w:val="18"/>
              </w:rPr>
              <w:t>Mn)</w:t>
              <w:tab/>
            </w:r>
            <w:r>
              <w:rPr>
                <w:b/>
                <w:color w:val="FFFFFF"/>
                <w:w w:val="105"/>
                <w:position w:val="11"/>
                <w:sz w:val="18"/>
              </w:rPr>
              <w:t>Total</w:t>
            </w:r>
            <w:r>
              <w:rPr>
                <w:b/>
                <w:color w:val="FFFFFF"/>
                <w:spacing w:val="-2"/>
                <w:w w:val="105"/>
                <w:position w:val="11"/>
                <w:sz w:val="18"/>
              </w:rPr>
              <w:t> </w:t>
            </w:r>
            <w:r>
              <w:rPr>
                <w:b/>
                <w:color w:val="FFFFFF"/>
                <w:w w:val="105"/>
                <w:position w:val="11"/>
                <w:sz w:val="18"/>
              </w:rPr>
              <w:t>Cost</w:t>
            </w:r>
          </w:p>
          <w:p>
            <w:pPr>
              <w:pStyle w:val="TableParagraph"/>
              <w:spacing w:line="141" w:lineRule="exact"/>
              <w:ind w:right="11"/>
              <w:jc w:val="right"/>
              <w:rPr>
                <w:b/>
                <w:sz w:val="18"/>
              </w:rPr>
            </w:pPr>
            <w:r>
              <w:rPr>
                <w:b/>
                <w:color w:val="FFFFFF"/>
                <w:w w:val="110"/>
                <w:sz w:val="18"/>
              </w:rPr>
              <w:t>Spent (INR Mn)</w:t>
            </w:r>
          </w:p>
        </w:tc>
        <w:tc>
          <w:tcPr>
            <w:tcW w:w="3859" w:type="dxa"/>
            <w:gridSpan w:val="3"/>
            <w:tcBorders>
              <w:top w:val="single" w:sz="6" w:space="0" w:color="69BD28"/>
              <w:bottom w:val="single" w:sz="6" w:space="0" w:color="69BD28"/>
            </w:tcBorders>
            <w:shd w:val="clear" w:color="auto" w:fill="006A4D"/>
          </w:tcPr>
          <w:p>
            <w:pPr>
              <w:pStyle w:val="TableParagraph"/>
              <w:tabs>
                <w:tab w:pos="2394" w:val="left" w:leader="none"/>
                <w:tab w:pos="2433" w:val="left" w:leader="none"/>
              </w:tabs>
              <w:spacing w:line="216" w:lineRule="exact" w:before="2"/>
              <w:ind w:left="704" w:right="430" w:hanging="444"/>
              <w:jc w:val="left"/>
              <w:rPr>
                <w:b/>
                <w:sz w:val="18"/>
              </w:rPr>
            </w:pPr>
            <w:r>
              <w:rPr>
                <w:b/>
                <w:color w:val="FFFFFF"/>
                <w:w w:val="105"/>
                <w:sz w:val="18"/>
              </w:rPr>
              <w:t>Total</w:t>
            </w:r>
            <w:r>
              <w:rPr>
                <w:b/>
                <w:color w:val="FFFFFF"/>
                <w:spacing w:val="17"/>
                <w:w w:val="105"/>
                <w:sz w:val="18"/>
              </w:rPr>
              <w:t> </w:t>
            </w:r>
            <w:r>
              <w:rPr>
                <w:b/>
                <w:color w:val="FFFFFF"/>
                <w:w w:val="105"/>
                <w:sz w:val="18"/>
              </w:rPr>
              <w:t>Pending</w:t>
            </w:r>
            <w:r>
              <w:rPr>
                <w:b/>
                <w:color w:val="FFFFFF"/>
                <w:spacing w:val="17"/>
                <w:w w:val="105"/>
                <w:sz w:val="18"/>
              </w:rPr>
              <w:t> </w:t>
            </w:r>
            <w:r>
              <w:rPr>
                <w:b/>
                <w:color w:val="FFFFFF"/>
                <w:w w:val="105"/>
                <w:sz w:val="18"/>
              </w:rPr>
              <w:t>Cost</w:t>
              <w:tab/>
              <w:tab/>
              <w:t>Quarter of (INR</w:t>
            </w:r>
            <w:r>
              <w:rPr>
                <w:b/>
                <w:color w:val="FFFFFF"/>
                <w:spacing w:val="20"/>
                <w:w w:val="105"/>
                <w:sz w:val="18"/>
              </w:rPr>
              <w:t> </w:t>
            </w:r>
            <w:r>
              <w:rPr>
                <w:b/>
                <w:color w:val="FFFFFF"/>
                <w:w w:val="105"/>
                <w:sz w:val="18"/>
              </w:rPr>
              <w:t>Mn)</w:t>
              <w:tab/>
              <w:t>Completion</w:t>
            </w:r>
          </w:p>
        </w:tc>
      </w:tr>
      <w:tr>
        <w:trPr>
          <w:trHeight w:val="294" w:hRule="atLeast"/>
        </w:trPr>
        <w:tc>
          <w:tcPr>
            <w:tcW w:w="3327" w:type="dxa"/>
            <w:tcBorders>
              <w:bottom w:val="single" w:sz="6" w:space="0" w:color="69BD28"/>
            </w:tcBorders>
          </w:tcPr>
          <w:p>
            <w:pPr>
              <w:pStyle w:val="TableParagraph"/>
              <w:spacing w:before="37"/>
              <w:ind w:left="425" w:right="461"/>
              <w:rPr>
                <w:sz w:val="18"/>
              </w:rPr>
            </w:pPr>
            <w:r>
              <w:rPr>
                <w:sz w:val="18"/>
              </w:rPr>
              <w:t>Master Plan Upgradation</w:t>
            </w:r>
          </w:p>
        </w:tc>
        <w:tc>
          <w:tcPr>
            <w:tcW w:w="1702" w:type="dxa"/>
            <w:tcBorders>
              <w:bottom w:val="single" w:sz="6" w:space="0" w:color="69BD28"/>
            </w:tcBorders>
          </w:tcPr>
          <w:p>
            <w:pPr>
              <w:pStyle w:val="TableParagraph"/>
              <w:spacing w:before="37"/>
              <w:ind w:left="509"/>
              <w:jc w:val="left"/>
              <w:rPr>
                <w:sz w:val="18"/>
              </w:rPr>
            </w:pPr>
            <w:r>
              <w:rPr>
                <w:w w:val="110"/>
                <w:sz w:val="18"/>
              </w:rPr>
              <w:t>139.36</w:t>
            </w:r>
          </w:p>
        </w:tc>
        <w:tc>
          <w:tcPr>
            <w:tcW w:w="1605" w:type="dxa"/>
            <w:tcBorders>
              <w:bottom w:val="single" w:sz="6" w:space="0" w:color="69BD28"/>
            </w:tcBorders>
          </w:tcPr>
          <w:p>
            <w:pPr>
              <w:pStyle w:val="TableParagraph"/>
              <w:spacing w:before="37"/>
              <w:ind w:left="612"/>
              <w:jc w:val="left"/>
              <w:rPr>
                <w:sz w:val="18"/>
              </w:rPr>
            </w:pPr>
            <w:r>
              <w:rPr>
                <w:w w:val="110"/>
                <w:sz w:val="18"/>
              </w:rPr>
              <w:t>102.94</w:t>
            </w:r>
          </w:p>
        </w:tc>
        <w:tc>
          <w:tcPr>
            <w:tcW w:w="1880" w:type="dxa"/>
            <w:tcBorders>
              <w:bottom w:val="single" w:sz="6" w:space="0" w:color="69BD28"/>
            </w:tcBorders>
          </w:tcPr>
          <w:p>
            <w:pPr>
              <w:pStyle w:val="TableParagraph"/>
              <w:spacing w:before="37"/>
              <w:ind w:right="534"/>
              <w:jc w:val="right"/>
              <w:rPr>
                <w:sz w:val="18"/>
              </w:rPr>
            </w:pPr>
            <w:r>
              <w:rPr>
                <w:w w:val="105"/>
                <w:sz w:val="18"/>
              </w:rPr>
              <w:t>36.43</w:t>
            </w:r>
          </w:p>
        </w:tc>
        <w:tc>
          <w:tcPr>
            <w:tcW w:w="1098" w:type="dxa"/>
            <w:tcBorders>
              <w:bottom w:val="single" w:sz="6" w:space="0" w:color="69BD28"/>
            </w:tcBorders>
          </w:tcPr>
          <w:p>
            <w:pPr>
              <w:pStyle w:val="TableParagraph"/>
              <w:spacing w:before="37"/>
              <w:ind w:right="50"/>
              <w:jc w:val="right"/>
              <w:rPr>
                <w:sz w:val="18"/>
              </w:rPr>
            </w:pPr>
            <w:r>
              <w:rPr>
                <w:w w:val="105"/>
                <w:sz w:val="18"/>
              </w:rPr>
              <w:t>Q2, FY</w:t>
            </w:r>
          </w:p>
        </w:tc>
        <w:tc>
          <w:tcPr>
            <w:tcW w:w="881" w:type="dxa"/>
            <w:tcBorders>
              <w:bottom w:val="single" w:sz="6" w:space="0" w:color="69BD28"/>
            </w:tcBorders>
          </w:tcPr>
          <w:p>
            <w:pPr>
              <w:pStyle w:val="TableParagraph"/>
              <w:spacing w:before="37"/>
              <w:ind w:left="52"/>
              <w:jc w:val="left"/>
              <w:rPr>
                <w:sz w:val="18"/>
              </w:rPr>
            </w:pPr>
            <w:r>
              <w:rPr>
                <w:w w:val="110"/>
                <w:sz w:val="18"/>
              </w:rPr>
              <w:t>2022</w:t>
            </w:r>
          </w:p>
        </w:tc>
      </w:tr>
      <w:tr>
        <w:trPr>
          <w:trHeight w:val="296" w:hRule="atLeast"/>
        </w:trPr>
        <w:tc>
          <w:tcPr>
            <w:tcW w:w="3327" w:type="dxa"/>
            <w:tcBorders>
              <w:top w:val="single" w:sz="6" w:space="0" w:color="69BD28"/>
              <w:bottom w:val="single" w:sz="6" w:space="0" w:color="69BD28"/>
            </w:tcBorders>
          </w:tcPr>
          <w:p>
            <w:pPr>
              <w:pStyle w:val="TableParagraph"/>
              <w:spacing w:before="44"/>
              <w:ind w:left="425" w:right="460"/>
              <w:rPr>
                <w:sz w:val="18"/>
              </w:rPr>
            </w:pPr>
            <w:r>
              <w:rPr>
                <w:sz w:val="18"/>
              </w:rPr>
              <w:t>Lobby Upgrade</w:t>
            </w:r>
          </w:p>
        </w:tc>
        <w:tc>
          <w:tcPr>
            <w:tcW w:w="1702" w:type="dxa"/>
            <w:tcBorders>
              <w:top w:val="single" w:sz="6" w:space="0" w:color="69BD28"/>
              <w:bottom w:val="single" w:sz="6" w:space="0" w:color="69BD28"/>
            </w:tcBorders>
          </w:tcPr>
          <w:p>
            <w:pPr>
              <w:pStyle w:val="TableParagraph"/>
              <w:spacing w:before="44"/>
              <w:ind w:left="562"/>
              <w:jc w:val="left"/>
              <w:rPr>
                <w:sz w:val="18"/>
              </w:rPr>
            </w:pPr>
            <w:r>
              <w:rPr>
                <w:w w:val="105"/>
                <w:sz w:val="18"/>
              </w:rPr>
              <w:t>39.50</w:t>
            </w:r>
          </w:p>
        </w:tc>
        <w:tc>
          <w:tcPr>
            <w:tcW w:w="1605" w:type="dxa"/>
            <w:tcBorders>
              <w:top w:val="single" w:sz="6" w:space="0" w:color="69BD28"/>
              <w:bottom w:val="single" w:sz="6" w:space="0" w:color="69BD28"/>
            </w:tcBorders>
          </w:tcPr>
          <w:p>
            <w:pPr>
              <w:pStyle w:val="TableParagraph"/>
              <w:spacing w:before="44"/>
              <w:ind w:left="665"/>
              <w:jc w:val="left"/>
              <w:rPr>
                <w:sz w:val="18"/>
              </w:rPr>
            </w:pPr>
            <w:r>
              <w:rPr>
                <w:w w:val="105"/>
                <w:sz w:val="18"/>
              </w:rPr>
              <w:t>33.21</w:t>
            </w:r>
          </w:p>
        </w:tc>
        <w:tc>
          <w:tcPr>
            <w:tcW w:w="1880" w:type="dxa"/>
            <w:tcBorders>
              <w:top w:val="single" w:sz="6" w:space="0" w:color="69BD28"/>
              <w:bottom w:val="single" w:sz="6" w:space="0" w:color="69BD28"/>
            </w:tcBorders>
          </w:tcPr>
          <w:p>
            <w:pPr>
              <w:pStyle w:val="TableParagraph"/>
              <w:spacing w:before="44"/>
              <w:ind w:right="586"/>
              <w:jc w:val="right"/>
              <w:rPr>
                <w:sz w:val="18"/>
              </w:rPr>
            </w:pPr>
            <w:r>
              <w:rPr>
                <w:w w:val="105"/>
                <w:sz w:val="18"/>
              </w:rPr>
              <w:t>6.29</w:t>
            </w:r>
          </w:p>
        </w:tc>
        <w:tc>
          <w:tcPr>
            <w:tcW w:w="1098" w:type="dxa"/>
            <w:tcBorders>
              <w:top w:val="single" w:sz="6" w:space="0" w:color="69BD28"/>
              <w:bottom w:val="single" w:sz="6" w:space="0" w:color="69BD28"/>
            </w:tcBorders>
          </w:tcPr>
          <w:p>
            <w:pPr>
              <w:pStyle w:val="TableParagraph"/>
              <w:spacing w:before="44"/>
              <w:ind w:right="50"/>
              <w:jc w:val="right"/>
              <w:rPr>
                <w:sz w:val="18"/>
              </w:rPr>
            </w:pPr>
            <w:r>
              <w:rPr>
                <w:w w:val="105"/>
                <w:sz w:val="18"/>
              </w:rPr>
              <w:t>Q3, FY</w:t>
            </w:r>
          </w:p>
        </w:tc>
        <w:tc>
          <w:tcPr>
            <w:tcW w:w="881" w:type="dxa"/>
            <w:tcBorders>
              <w:top w:val="single" w:sz="6" w:space="0" w:color="69BD28"/>
              <w:bottom w:val="single" w:sz="6" w:space="0" w:color="69BD28"/>
            </w:tcBorders>
          </w:tcPr>
          <w:p>
            <w:pPr>
              <w:pStyle w:val="TableParagraph"/>
              <w:spacing w:before="44"/>
              <w:ind w:left="52"/>
              <w:jc w:val="left"/>
              <w:rPr>
                <w:sz w:val="18"/>
              </w:rPr>
            </w:pPr>
            <w:r>
              <w:rPr>
                <w:w w:val="110"/>
                <w:sz w:val="18"/>
              </w:rPr>
              <w:t>2021</w:t>
            </w:r>
          </w:p>
        </w:tc>
      </w:tr>
      <w:tr>
        <w:trPr>
          <w:trHeight w:val="294" w:hRule="atLeast"/>
        </w:trPr>
        <w:tc>
          <w:tcPr>
            <w:tcW w:w="3327" w:type="dxa"/>
            <w:tcBorders>
              <w:top w:val="single" w:sz="6" w:space="0" w:color="69BD28"/>
              <w:bottom w:val="single" w:sz="6" w:space="0" w:color="69BD28"/>
            </w:tcBorders>
          </w:tcPr>
          <w:p>
            <w:pPr>
              <w:pStyle w:val="TableParagraph"/>
              <w:spacing w:before="44"/>
              <w:ind w:left="424" w:right="462"/>
              <w:rPr>
                <w:sz w:val="18"/>
              </w:rPr>
            </w:pPr>
            <w:r>
              <w:rPr>
                <w:sz w:val="18"/>
              </w:rPr>
              <w:t>Pyramid Food Court</w:t>
            </w:r>
          </w:p>
        </w:tc>
        <w:tc>
          <w:tcPr>
            <w:tcW w:w="1702" w:type="dxa"/>
            <w:tcBorders>
              <w:top w:val="single" w:sz="6" w:space="0" w:color="69BD28"/>
              <w:bottom w:val="single" w:sz="6" w:space="0" w:color="69BD28"/>
            </w:tcBorders>
          </w:tcPr>
          <w:p>
            <w:pPr>
              <w:pStyle w:val="TableParagraph"/>
              <w:spacing w:before="44"/>
              <w:ind w:left="562"/>
              <w:jc w:val="left"/>
              <w:rPr>
                <w:sz w:val="18"/>
              </w:rPr>
            </w:pPr>
            <w:r>
              <w:rPr>
                <w:w w:val="105"/>
                <w:sz w:val="18"/>
              </w:rPr>
              <w:t>64.63</w:t>
            </w:r>
          </w:p>
        </w:tc>
        <w:tc>
          <w:tcPr>
            <w:tcW w:w="1605" w:type="dxa"/>
            <w:tcBorders>
              <w:top w:val="single" w:sz="6" w:space="0" w:color="69BD28"/>
              <w:bottom w:val="single" w:sz="6" w:space="0" w:color="69BD28"/>
            </w:tcBorders>
          </w:tcPr>
          <w:p>
            <w:pPr>
              <w:pStyle w:val="TableParagraph"/>
              <w:spacing w:before="44"/>
              <w:ind w:left="665"/>
              <w:jc w:val="left"/>
              <w:rPr>
                <w:sz w:val="18"/>
              </w:rPr>
            </w:pPr>
            <w:r>
              <w:rPr>
                <w:w w:val="105"/>
                <w:sz w:val="18"/>
              </w:rPr>
              <w:t>57.70</w:t>
            </w:r>
          </w:p>
        </w:tc>
        <w:tc>
          <w:tcPr>
            <w:tcW w:w="1880" w:type="dxa"/>
            <w:tcBorders>
              <w:top w:val="single" w:sz="6" w:space="0" w:color="69BD28"/>
              <w:bottom w:val="single" w:sz="6" w:space="0" w:color="69BD28"/>
            </w:tcBorders>
          </w:tcPr>
          <w:p>
            <w:pPr>
              <w:pStyle w:val="TableParagraph"/>
              <w:spacing w:before="44"/>
              <w:ind w:right="586"/>
              <w:jc w:val="right"/>
              <w:rPr>
                <w:sz w:val="18"/>
              </w:rPr>
            </w:pPr>
            <w:r>
              <w:rPr>
                <w:w w:val="105"/>
                <w:sz w:val="18"/>
              </w:rPr>
              <w:t>6.93</w:t>
            </w:r>
          </w:p>
        </w:tc>
        <w:tc>
          <w:tcPr>
            <w:tcW w:w="1098" w:type="dxa"/>
            <w:tcBorders>
              <w:top w:val="single" w:sz="6" w:space="0" w:color="69BD28"/>
              <w:bottom w:val="single" w:sz="6" w:space="0" w:color="69BD28"/>
            </w:tcBorders>
          </w:tcPr>
          <w:p>
            <w:pPr>
              <w:pStyle w:val="TableParagraph"/>
              <w:spacing w:before="44"/>
              <w:ind w:right="50"/>
              <w:jc w:val="right"/>
              <w:rPr>
                <w:sz w:val="18"/>
              </w:rPr>
            </w:pPr>
            <w:r>
              <w:rPr>
                <w:w w:val="105"/>
                <w:sz w:val="18"/>
              </w:rPr>
              <w:t>Q3, FY</w:t>
            </w:r>
          </w:p>
        </w:tc>
        <w:tc>
          <w:tcPr>
            <w:tcW w:w="881" w:type="dxa"/>
            <w:tcBorders>
              <w:top w:val="single" w:sz="6" w:space="0" w:color="69BD28"/>
              <w:bottom w:val="single" w:sz="6" w:space="0" w:color="69BD28"/>
            </w:tcBorders>
          </w:tcPr>
          <w:p>
            <w:pPr>
              <w:pStyle w:val="TableParagraph"/>
              <w:spacing w:before="44"/>
              <w:ind w:left="53"/>
              <w:jc w:val="left"/>
              <w:rPr>
                <w:sz w:val="18"/>
              </w:rPr>
            </w:pPr>
            <w:r>
              <w:rPr>
                <w:w w:val="110"/>
                <w:sz w:val="18"/>
              </w:rPr>
              <w:t>2021</w:t>
            </w:r>
          </w:p>
        </w:tc>
      </w:tr>
      <w:tr>
        <w:trPr>
          <w:trHeight w:val="296" w:hRule="atLeast"/>
        </w:trPr>
        <w:tc>
          <w:tcPr>
            <w:tcW w:w="3327" w:type="dxa"/>
            <w:tcBorders>
              <w:top w:val="single" w:sz="6" w:space="0" w:color="69BD28"/>
              <w:bottom w:val="single" w:sz="6" w:space="0" w:color="69BD28"/>
            </w:tcBorders>
          </w:tcPr>
          <w:p>
            <w:pPr>
              <w:pStyle w:val="TableParagraph"/>
              <w:spacing w:before="44"/>
              <w:ind w:left="425" w:right="461"/>
              <w:rPr>
                <w:sz w:val="18"/>
              </w:rPr>
            </w:pPr>
            <w:r>
              <w:rPr>
                <w:sz w:val="18"/>
              </w:rPr>
              <w:t>Fairwinds Refurbishment</w:t>
            </w:r>
          </w:p>
        </w:tc>
        <w:tc>
          <w:tcPr>
            <w:tcW w:w="1702" w:type="dxa"/>
            <w:tcBorders>
              <w:top w:val="single" w:sz="6" w:space="0" w:color="69BD28"/>
              <w:bottom w:val="single" w:sz="6" w:space="0" w:color="69BD28"/>
            </w:tcBorders>
          </w:tcPr>
          <w:p>
            <w:pPr>
              <w:pStyle w:val="TableParagraph"/>
              <w:spacing w:before="44"/>
              <w:ind w:left="562"/>
              <w:jc w:val="left"/>
              <w:rPr>
                <w:sz w:val="18"/>
              </w:rPr>
            </w:pPr>
            <w:r>
              <w:rPr>
                <w:w w:val="105"/>
                <w:sz w:val="18"/>
              </w:rPr>
              <w:t>39.83</w:t>
            </w:r>
          </w:p>
        </w:tc>
        <w:tc>
          <w:tcPr>
            <w:tcW w:w="1605" w:type="dxa"/>
            <w:tcBorders>
              <w:top w:val="single" w:sz="6" w:space="0" w:color="69BD28"/>
              <w:bottom w:val="single" w:sz="6" w:space="0" w:color="69BD28"/>
            </w:tcBorders>
          </w:tcPr>
          <w:p>
            <w:pPr>
              <w:pStyle w:val="TableParagraph"/>
              <w:spacing w:before="44"/>
              <w:ind w:left="665"/>
              <w:jc w:val="left"/>
              <w:rPr>
                <w:sz w:val="18"/>
              </w:rPr>
            </w:pPr>
            <w:r>
              <w:rPr>
                <w:w w:val="105"/>
                <w:sz w:val="18"/>
              </w:rPr>
              <w:t>28.43</w:t>
            </w:r>
          </w:p>
        </w:tc>
        <w:tc>
          <w:tcPr>
            <w:tcW w:w="1880" w:type="dxa"/>
            <w:tcBorders>
              <w:top w:val="single" w:sz="6" w:space="0" w:color="69BD28"/>
              <w:bottom w:val="single" w:sz="6" w:space="0" w:color="69BD28"/>
            </w:tcBorders>
          </w:tcPr>
          <w:p>
            <w:pPr>
              <w:pStyle w:val="TableParagraph"/>
              <w:spacing w:before="44"/>
              <w:ind w:right="534"/>
              <w:jc w:val="right"/>
              <w:rPr>
                <w:sz w:val="18"/>
              </w:rPr>
            </w:pPr>
            <w:r>
              <w:rPr>
                <w:w w:val="105"/>
                <w:sz w:val="18"/>
              </w:rPr>
              <w:t>11.40</w:t>
            </w:r>
          </w:p>
        </w:tc>
        <w:tc>
          <w:tcPr>
            <w:tcW w:w="1098" w:type="dxa"/>
            <w:tcBorders>
              <w:top w:val="single" w:sz="6" w:space="0" w:color="69BD28"/>
              <w:bottom w:val="single" w:sz="6" w:space="0" w:color="69BD28"/>
            </w:tcBorders>
          </w:tcPr>
          <w:p>
            <w:pPr>
              <w:pStyle w:val="TableParagraph"/>
              <w:spacing w:before="44"/>
              <w:ind w:right="50"/>
              <w:jc w:val="right"/>
              <w:rPr>
                <w:sz w:val="18"/>
              </w:rPr>
            </w:pPr>
            <w:r>
              <w:rPr>
                <w:w w:val="105"/>
                <w:sz w:val="18"/>
              </w:rPr>
              <w:t>Q3, FY</w:t>
            </w:r>
          </w:p>
        </w:tc>
        <w:tc>
          <w:tcPr>
            <w:tcW w:w="881" w:type="dxa"/>
            <w:tcBorders>
              <w:top w:val="single" w:sz="6" w:space="0" w:color="69BD28"/>
              <w:bottom w:val="single" w:sz="6" w:space="0" w:color="69BD28"/>
            </w:tcBorders>
          </w:tcPr>
          <w:p>
            <w:pPr>
              <w:pStyle w:val="TableParagraph"/>
              <w:spacing w:before="44"/>
              <w:ind w:left="53"/>
              <w:jc w:val="left"/>
              <w:rPr>
                <w:sz w:val="18"/>
              </w:rPr>
            </w:pPr>
            <w:r>
              <w:rPr>
                <w:w w:val="110"/>
                <w:sz w:val="18"/>
              </w:rPr>
              <w:t>2021</w:t>
            </w:r>
          </w:p>
        </w:tc>
      </w:tr>
      <w:tr>
        <w:trPr>
          <w:trHeight w:val="294" w:hRule="atLeast"/>
        </w:trPr>
        <w:tc>
          <w:tcPr>
            <w:tcW w:w="3327" w:type="dxa"/>
            <w:tcBorders>
              <w:top w:val="single" w:sz="6" w:space="0" w:color="69BD28"/>
              <w:bottom w:val="single" w:sz="6" w:space="0" w:color="69BD28"/>
            </w:tcBorders>
          </w:tcPr>
          <w:p>
            <w:pPr>
              <w:pStyle w:val="TableParagraph"/>
              <w:spacing w:before="44"/>
              <w:ind w:left="425" w:right="460"/>
              <w:rPr>
                <w:sz w:val="18"/>
              </w:rPr>
            </w:pPr>
            <w:r>
              <w:rPr>
                <w:sz w:val="18"/>
              </w:rPr>
              <w:t>St Andrews - Refurb works</w:t>
            </w:r>
          </w:p>
        </w:tc>
        <w:tc>
          <w:tcPr>
            <w:tcW w:w="1702" w:type="dxa"/>
            <w:tcBorders>
              <w:top w:val="single" w:sz="6" w:space="0" w:color="69BD28"/>
              <w:bottom w:val="single" w:sz="6" w:space="0" w:color="69BD28"/>
            </w:tcBorders>
          </w:tcPr>
          <w:p>
            <w:pPr>
              <w:pStyle w:val="TableParagraph"/>
              <w:spacing w:before="44"/>
              <w:ind w:left="562"/>
              <w:jc w:val="left"/>
              <w:rPr>
                <w:sz w:val="18"/>
              </w:rPr>
            </w:pPr>
            <w:r>
              <w:rPr>
                <w:w w:val="105"/>
                <w:sz w:val="18"/>
              </w:rPr>
              <w:t>54.63</w:t>
            </w:r>
          </w:p>
        </w:tc>
        <w:tc>
          <w:tcPr>
            <w:tcW w:w="1605" w:type="dxa"/>
            <w:tcBorders>
              <w:top w:val="single" w:sz="6" w:space="0" w:color="69BD28"/>
              <w:bottom w:val="single" w:sz="6" w:space="0" w:color="69BD28"/>
            </w:tcBorders>
          </w:tcPr>
          <w:p>
            <w:pPr>
              <w:pStyle w:val="TableParagraph"/>
              <w:spacing w:before="44"/>
              <w:ind w:left="665"/>
              <w:jc w:val="left"/>
              <w:rPr>
                <w:sz w:val="18"/>
              </w:rPr>
            </w:pPr>
            <w:r>
              <w:rPr>
                <w:w w:val="105"/>
                <w:sz w:val="18"/>
              </w:rPr>
              <w:t>51.56</w:t>
            </w:r>
          </w:p>
        </w:tc>
        <w:tc>
          <w:tcPr>
            <w:tcW w:w="1880" w:type="dxa"/>
            <w:tcBorders>
              <w:top w:val="single" w:sz="6" w:space="0" w:color="69BD28"/>
              <w:bottom w:val="single" w:sz="6" w:space="0" w:color="69BD28"/>
            </w:tcBorders>
          </w:tcPr>
          <w:p>
            <w:pPr>
              <w:pStyle w:val="TableParagraph"/>
              <w:spacing w:before="44"/>
              <w:ind w:right="586"/>
              <w:jc w:val="right"/>
              <w:rPr>
                <w:sz w:val="18"/>
              </w:rPr>
            </w:pPr>
            <w:r>
              <w:rPr>
                <w:w w:val="105"/>
                <w:sz w:val="18"/>
              </w:rPr>
              <w:t>3.07</w:t>
            </w:r>
          </w:p>
        </w:tc>
        <w:tc>
          <w:tcPr>
            <w:tcW w:w="1098" w:type="dxa"/>
            <w:tcBorders>
              <w:top w:val="single" w:sz="6" w:space="0" w:color="69BD28"/>
              <w:bottom w:val="single" w:sz="6" w:space="0" w:color="69BD28"/>
            </w:tcBorders>
          </w:tcPr>
          <w:p>
            <w:pPr>
              <w:pStyle w:val="TableParagraph"/>
              <w:spacing w:before="44"/>
              <w:ind w:right="50"/>
              <w:jc w:val="right"/>
              <w:rPr>
                <w:sz w:val="18"/>
              </w:rPr>
            </w:pPr>
            <w:r>
              <w:rPr>
                <w:w w:val="105"/>
                <w:sz w:val="18"/>
              </w:rPr>
              <w:t>Q3, FY</w:t>
            </w:r>
          </w:p>
        </w:tc>
        <w:tc>
          <w:tcPr>
            <w:tcW w:w="881" w:type="dxa"/>
            <w:tcBorders>
              <w:top w:val="single" w:sz="6" w:space="0" w:color="69BD28"/>
              <w:bottom w:val="single" w:sz="6" w:space="0" w:color="69BD28"/>
            </w:tcBorders>
          </w:tcPr>
          <w:p>
            <w:pPr>
              <w:pStyle w:val="TableParagraph"/>
              <w:spacing w:before="44"/>
              <w:ind w:left="53"/>
              <w:jc w:val="left"/>
              <w:rPr>
                <w:sz w:val="18"/>
              </w:rPr>
            </w:pPr>
            <w:r>
              <w:rPr>
                <w:w w:val="110"/>
                <w:sz w:val="18"/>
              </w:rPr>
              <w:t>2021</w:t>
            </w:r>
          </w:p>
        </w:tc>
      </w:tr>
      <w:tr>
        <w:trPr>
          <w:trHeight w:val="297" w:hRule="atLeast"/>
        </w:trPr>
        <w:tc>
          <w:tcPr>
            <w:tcW w:w="3327" w:type="dxa"/>
            <w:tcBorders>
              <w:top w:val="single" w:sz="6" w:space="0" w:color="69BD28"/>
              <w:bottom w:val="single" w:sz="6" w:space="0" w:color="69BD28"/>
            </w:tcBorders>
          </w:tcPr>
          <w:p>
            <w:pPr>
              <w:pStyle w:val="TableParagraph"/>
              <w:spacing w:before="44"/>
              <w:ind w:left="425" w:right="462"/>
              <w:rPr>
                <w:sz w:val="18"/>
              </w:rPr>
            </w:pPr>
            <w:r>
              <w:rPr>
                <w:sz w:val="18"/>
              </w:rPr>
              <w:t>Fountain Head - Refurb works</w:t>
            </w:r>
          </w:p>
        </w:tc>
        <w:tc>
          <w:tcPr>
            <w:tcW w:w="1702" w:type="dxa"/>
            <w:tcBorders>
              <w:top w:val="single" w:sz="6" w:space="0" w:color="69BD28"/>
              <w:bottom w:val="single" w:sz="6" w:space="0" w:color="69BD28"/>
            </w:tcBorders>
          </w:tcPr>
          <w:p>
            <w:pPr>
              <w:pStyle w:val="TableParagraph"/>
              <w:spacing w:before="44"/>
              <w:ind w:left="562"/>
              <w:jc w:val="left"/>
              <w:rPr>
                <w:sz w:val="18"/>
              </w:rPr>
            </w:pPr>
            <w:r>
              <w:rPr>
                <w:w w:val="105"/>
                <w:sz w:val="18"/>
              </w:rPr>
              <w:t>63.58</w:t>
            </w:r>
          </w:p>
        </w:tc>
        <w:tc>
          <w:tcPr>
            <w:tcW w:w="1605" w:type="dxa"/>
            <w:tcBorders>
              <w:top w:val="single" w:sz="6" w:space="0" w:color="69BD28"/>
              <w:bottom w:val="single" w:sz="6" w:space="0" w:color="69BD28"/>
            </w:tcBorders>
          </w:tcPr>
          <w:p>
            <w:pPr>
              <w:pStyle w:val="TableParagraph"/>
              <w:spacing w:before="44"/>
              <w:ind w:left="665"/>
              <w:jc w:val="left"/>
              <w:rPr>
                <w:sz w:val="18"/>
              </w:rPr>
            </w:pPr>
            <w:r>
              <w:rPr>
                <w:w w:val="105"/>
                <w:sz w:val="18"/>
              </w:rPr>
              <w:t>38.75</w:t>
            </w:r>
          </w:p>
        </w:tc>
        <w:tc>
          <w:tcPr>
            <w:tcW w:w="1880" w:type="dxa"/>
            <w:tcBorders>
              <w:top w:val="single" w:sz="6" w:space="0" w:color="69BD28"/>
              <w:bottom w:val="single" w:sz="6" w:space="0" w:color="69BD28"/>
            </w:tcBorders>
          </w:tcPr>
          <w:p>
            <w:pPr>
              <w:pStyle w:val="TableParagraph"/>
              <w:spacing w:before="44"/>
              <w:ind w:right="534"/>
              <w:jc w:val="right"/>
              <w:rPr>
                <w:sz w:val="18"/>
              </w:rPr>
            </w:pPr>
            <w:r>
              <w:rPr>
                <w:w w:val="105"/>
                <w:sz w:val="18"/>
              </w:rPr>
              <w:t>24.82</w:t>
            </w:r>
          </w:p>
        </w:tc>
        <w:tc>
          <w:tcPr>
            <w:tcW w:w="1098" w:type="dxa"/>
            <w:tcBorders>
              <w:top w:val="single" w:sz="6" w:space="0" w:color="69BD28"/>
              <w:bottom w:val="single" w:sz="6" w:space="0" w:color="69BD28"/>
            </w:tcBorders>
          </w:tcPr>
          <w:p>
            <w:pPr>
              <w:pStyle w:val="TableParagraph"/>
              <w:spacing w:before="44"/>
              <w:ind w:right="50"/>
              <w:jc w:val="right"/>
              <w:rPr>
                <w:sz w:val="18"/>
              </w:rPr>
            </w:pPr>
            <w:r>
              <w:rPr>
                <w:w w:val="105"/>
                <w:sz w:val="18"/>
              </w:rPr>
              <w:t>Q3, FY</w:t>
            </w:r>
          </w:p>
        </w:tc>
        <w:tc>
          <w:tcPr>
            <w:tcW w:w="881" w:type="dxa"/>
            <w:tcBorders>
              <w:top w:val="single" w:sz="6" w:space="0" w:color="69BD28"/>
              <w:bottom w:val="single" w:sz="6" w:space="0" w:color="69BD28"/>
            </w:tcBorders>
          </w:tcPr>
          <w:p>
            <w:pPr>
              <w:pStyle w:val="TableParagraph"/>
              <w:spacing w:before="44"/>
              <w:ind w:left="53"/>
              <w:jc w:val="left"/>
              <w:rPr>
                <w:sz w:val="18"/>
              </w:rPr>
            </w:pPr>
            <w:r>
              <w:rPr>
                <w:w w:val="110"/>
                <w:sz w:val="18"/>
              </w:rPr>
              <w:t>2021</w:t>
            </w:r>
          </w:p>
        </w:tc>
      </w:tr>
      <w:tr>
        <w:trPr>
          <w:trHeight w:val="294" w:hRule="atLeast"/>
        </w:trPr>
        <w:tc>
          <w:tcPr>
            <w:tcW w:w="3327" w:type="dxa"/>
            <w:tcBorders>
              <w:top w:val="single" w:sz="6" w:space="0" w:color="69BD28"/>
              <w:bottom w:val="single" w:sz="6" w:space="0" w:color="69BD28"/>
            </w:tcBorders>
          </w:tcPr>
          <w:p>
            <w:pPr>
              <w:pStyle w:val="TableParagraph"/>
              <w:spacing w:before="44"/>
              <w:ind w:left="425" w:right="460"/>
              <w:rPr>
                <w:sz w:val="18"/>
              </w:rPr>
            </w:pPr>
            <w:r>
              <w:rPr>
                <w:sz w:val="18"/>
              </w:rPr>
              <w:t>Augusta - Refurb Works</w:t>
            </w:r>
          </w:p>
        </w:tc>
        <w:tc>
          <w:tcPr>
            <w:tcW w:w="1702" w:type="dxa"/>
            <w:tcBorders>
              <w:top w:val="single" w:sz="6" w:space="0" w:color="69BD28"/>
              <w:bottom w:val="single" w:sz="6" w:space="0" w:color="69BD28"/>
            </w:tcBorders>
          </w:tcPr>
          <w:p>
            <w:pPr>
              <w:pStyle w:val="TableParagraph"/>
              <w:spacing w:before="44"/>
              <w:ind w:left="509"/>
              <w:jc w:val="left"/>
              <w:rPr>
                <w:sz w:val="18"/>
              </w:rPr>
            </w:pPr>
            <w:r>
              <w:rPr>
                <w:w w:val="110"/>
                <w:sz w:val="18"/>
              </w:rPr>
              <w:t>102.83</w:t>
            </w:r>
          </w:p>
        </w:tc>
        <w:tc>
          <w:tcPr>
            <w:tcW w:w="1605" w:type="dxa"/>
            <w:tcBorders>
              <w:top w:val="single" w:sz="6" w:space="0" w:color="69BD28"/>
              <w:bottom w:val="single" w:sz="6" w:space="0" w:color="69BD28"/>
            </w:tcBorders>
          </w:tcPr>
          <w:p>
            <w:pPr>
              <w:pStyle w:val="TableParagraph"/>
              <w:spacing w:before="44"/>
              <w:ind w:left="612"/>
              <w:jc w:val="left"/>
              <w:rPr>
                <w:sz w:val="18"/>
              </w:rPr>
            </w:pPr>
            <w:r>
              <w:rPr>
                <w:w w:val="110"/>
                <w:sz w:val="18"/>
              </w:rPr>
              <w:t>101.03</w:t>
            </w:r>
          </w:p>
        </w:tc>
        <w:tc>
          <w:tcPr>
            <w:tcW w:w="1880" w:type="dxa"/>
            <w:tcBorders>
              <w:top w:val="single" w:sz="6" w:space="0" w:color="69BD28"/>
              <w:bottom w:val="single" w:sz="6" w:space="0" w:color="69BD28"/>
            </w:tcBorders>
          </w:tcPr>
          <w:p>
            <w:pPr>
              <w:pStyle w:val="TableParagraph"/>
              <w:spacing w:before="44"/>
              <w:ind w:right="586"/>
              <w:jc w:val="right"/>
              <w:rPr>
                <w:sz w:val="18"/>
              </w:rPr>
            </w:pPr>
            <w:r>
              <w:rPr>
                <w:w w:val="105"/>
                <w:sz w:val="18"/>
              </w:rPr>
              <w:t>1.80</w:t>
            </w:r>
          </w:p>
        </w:tc>
        <w:tc>
          <w:tcPr>
            <w:tcW w:w="1098" w:type="dxa"/>
            <w:tcBorders>
              <w:top w:val="single" w:sz="6" w:space="0" w:color="69BD28"/>
              <w:bottom w:val="single" w:sz="6" w:space="0" w:color="69BD28"/>
            </w:tcBorders>
          </w:tcPr>
          <w:p>
            <w:pPr>
              <w:pStyle w:val="TableParagraph"/>
              <w:spacing w:before="44"/>
              <w:ind w:right="50"/>
              <w:jc w:val="right"/>
              <w:rPr>
                <w:sz w:val="18"/>
              </w:rPr>
            </w:pPr>
            <w:r>
              <w:rPr>
                <w:w w:val="105"/>
                <w:sz w:val="18"/>
              </w:rPr>
              <w:t>Q3, FY</w:t>
            </w:r>
          </w:p>
        </w:tc>
        <w:tc>
          <w:tcPr>
            <w:tcW w:w="881" w:type="dxa"/>
            <w:tcBorders>
              <w:top w:val="single" w:sz="6" w:space="0" w:color="69BD28"/>
              <w:bottom w:val="single" w:sz="6" w:space="0" w:color="69BD28"/>
            </w:tcBorders>
          </w:tcPr>
          <w:p>
            <w:pPr>
              <w:pStyle w:val="TableParagraph"/>
              <w:spacing w:before="44"/>
              <w:ind w:left="52"/>
              <w:jc w:val="left"/>
              <w:rPr>
                <w:sz w:val="18"/>
              </w:rPr>
            </w:pPr>
            <w:r>
              <w:rPr>
                <w:w w:val="110"/>
                <w:sz w:val="18"/>
              </w:rPr>
              <w:t>2021</w:t>
            </w:r>
          </w:p>
        </w:tc>
      </w:tr>
      <w:tr>
        <w:trPr>
          <w:trHeight w:val="297" w:hRule="atLeast"/>
        </w:trPr>
        <w:tc>
          <w:tcPr>
            <w:tcW w:w="3327" w:type="dxa"/>
            <w:tcBorders>
              <w:top w:val="single" w:sz="6" w:space="0" w:color="69BD28"/>
              <w:bottom w:val="single" w:sz="6" w:space="0" w:color="69BD28"/>
            </w:tcBorders>
          </w:tcPr>
          <w:p>
            <w:pPr>
              <w:pStyle w:val="TableParagraph"/>
              <w:spacing w:before="44"/>
              <w:ind w:left="425" w:right="459"/>
              <w:rPr>
                <w:sz w:val="18"/>
              </w:rPr>
            </w:pPr>
            <w:r>
              <w:rPr>
                <w:sz w:val="18"/>
              </w:rPr>
              <w:t>Army land drain works</w:t>
            </w:r>
          </w:p>
        </w:tc>
        <w:tc>
          <w:tcPr>
            <w:tcW w:w="1702" w:type="dxa"/>
            <w:tcBorders>
              <w:top w:val="single" w:sz="6" w:space="0" w:color="69BD28"/>
              <w:bottom w:val="single" w:sz="6" w:space="0" w:color="69BD28"/>
            </w:tcBorders>
          </w:tcPr>
          <w:p>
            <w:pPr>
              <w:pStyle w:val="TableParagraph"/>
              <w:spacing w:before="44"/>
              <w:ind w:left="509"/>
              <w:jc w:val="left"/>
              <w:rPr>
                <w:sz w:val="18"/>
              </w:rPr>
            </w:pPr>
            <w:r>
              <w:rPr>
                <w:w w:val="110"/>
                <w:sz w:val="18"/>
              </w:rPr>
              <w:t>100.00</w:t>
            </w:r>
          </w:p>
        </w:tc>
        <w:tc>
          <w:tcPr>
            <w:tcW w:w="1605" w:type="dxa"/>
            <w:tcBorders>
              <w:top w:val="single" w:sz="6" w:space="0" w:color="69BD28"/>
              <w:bottom w:val="single" w:sz="6" w:space="0" w:color="69BD28"/>
            </w:tcBorders>
          </w:tcPr>
          <w:p>
            <w:pPr>
              <w:pStyle w:val="TableParagraph"/>
              <w:spacing w:before="44"/>
              <w:ind w:left="717"/>
              <w:jc w:val="left"/>
              <w:rPr>
                <w:sz w:val="18"/>
              </w:rPr>
            </w:pPr>
            <w:r>
              <w:rPr>
                <w:w w:val="105"/>
                <w:sz w:val="18"/>
              </w:rPr>
              <w:t>0.00</w:t>
            </w:r>
          </w:p>
        </w:tc>
        <w:tc>
          <w:tcPr>
            <w:tcW w:w="1880" w:type="dxa"/>
            <w:tcBorders>
              <w:top w:val="single" w:sz="6" w:space="0" w:color="69BD28"/>
              <w:bottom w:val="single" w:sz="6" w:space="0" w:color="69BD28"/>
            </w:tcBorders>
          </w:tcPr>
          <w:p>
            <w:pPr>
              <w:pStyle w:val="TableParagraph"/>
              <w:spacing w:before="44"/>
              <w:ind w:right="481"/>
              <w:jc w:val="right"/>
              <w:rPr>
                <w:sz w:val="18"/>
              </w:rPr>
            </w:pPr>
            <w:r>
              <w:rPr>
                <w:w w:val="105"/>
                <w:sz w:val="18"/>
              </w:rPr>
              <w:t>100.00</w:t>
            </w:r>
          </w:p>
        </w:tc>
        <w:tc>
          <w:tcPr>
            <w:tcW w:w="1098" w:type="dxa"/>
            <w:tcBorders>
              <w:top w:val="single" w:sz="6" w:space="0" w:color="69BD28"/>
              <w:bottom w:val="single" w:sz="6" w:space="0" w:color="69BD28"/>
            </w:tcBorders>
          </w:tcPr>
          <w:p>
            <w:pPr>
              <w:pStyle w:val="TableParagraph"/>
              <w:spacing w:before="44"/>
              <w:ind w:right="50"/>
              <w:jc w:val="right"/>
              <w:rPr>
                <w:sz w:val="18"/>
              </w:rPr>
            </w:pPr>
            <w:r>
              <w:rPr>
                <w:w w:val="110"/>
                <w:sz w:val="18"/>
              </w:rPr>
              <w:t>Q4, FY</w:t>
            </w:r>
          </w:p>
        </w:tc>
        <w:tc>
          <w:tcPr>
            <w:tcW w:w="881" w:type="dxa"/>
            <w:tcBorders>
              <w:top w:val="single" w:sz="6" w:space="0" w:color="69BD28"/>
              <w:bottom w:val="single" w:sz="6" w:space="0" w:color="69BD28"/>
            </w:tcBorders>
          </w:tcPr>
          <w:p>
            <w:pPr>
              <w:pStyle w:val="TableParagraph"/>
              <w:spacing w:before="44"/>
              <w:ind w:left="52"/>
              <w:jc w:val="left"/>
              <w:rPr>
                <w:sz w:val="18"/>
              </w:rPr>
            </w:pPr>
            <w:r>
              <w:rPr>
                <w:w w:val="110"/>
                <w:sz w:val="18"/>
              </w:rPr>
              <w:t>2022</w:t>
            </w:r>
          </w:p>
        </w:tc>
      </w:tr>
    </w:tbl>
    <w:p>
      <w:pPr>
        <w:spacing w:after="0"/>
        <w:jc w:val="left"/>
        <w:rPr>
          <w:sz w:val="18"/>
        </w:rPr>
        <w:sectPr>
          <w:headerReference w:type="default" r:id="rId265"/>
          <w:footerReference w:type="default" r:id="rId266"/>
          <w:pgSz w:w="11910" w:h="16840"/>
          <w:pgMar w:header="720" w:footer="862" w:top="1660" w:bottom="1060" w:left="480" w:right="480"/>
          <w:pgNumType w:start="252"/>
        </w:sectPr>
      </w:pPr>
    </w:p>
    <w:p>
      <w:pPr>
        <w:pStyle w:val="BodyText"/>
        <w:spacing w:before="3" w:after="1"/>
        <w:rPr>
          <w:sz w:val="18"/>
        </w:rPr>
      </w:pPr>
    </w:p>
    <w:tbl>
      <w:tblPr>
        <w:tblW w:w="0" w:type="auto"/>
        <w:jc w:val="left"/>
        <w:tblInd w:w="2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32"/>
        <w:gridCol w:w="1846"/>
        <w:gridCol w:w="1606"/>
        <w:gridCol w:w="1881"/>
        <w:gridCol w:w="1099"/>
        <w:gridCol w:w="839"/>
      </w:tblGrid>
      <w:tr>
        <w:trPr>
          <w:trHeight w:val="431" w:hRule="atLeast"/>
        </w:trPr>
        <w:tc>
          <w:tcPr>
            <w:tcW w:w="6584" w:type="dxa"/>
            <w:gridSpan w:val="3"/>
            <w:tcBorders>
              <w:top w:val="single" w:sz="6" w:space="0" w:color="69BD28"/>
              <w:bottom w:val="single" w:sz="6" w:space="0" w:color="69BD28"/>
            </w:tcBorders>
            <w:shd w:val="clear" w:color="auto" w:fill="006A4D"/>
          </w:tcPr>
          <w:p>
            <w:pPr>
              <w:pStyle w:val="TableParagraph"/>
              <w:tabs>
                <w:tab w:pos="3202" w:val="left" w:leader="none"/>
                <w:tab w:pos="5437" w:val="left" w:leader="none"/>
              </w:tabs>
              <w:spacing w:line="269" w:lineRule="exact" w:before="9"/>
              <w:ind w:left="946"/>
              <w:jc w:val="left"/>
              <w:rPr>
                <w:b/>
                <w:sz w:val="18"/>
              </w:rPr>
            </w:pPr>
            <w:r>
              <w:rPr>
                <w:b/>
                <w:color w:val="FFFFFF"/>
                <w:w w:val="105"/>
                <w:sz w:val="18"/>
              </w:rPr>
              <w:t>Expense</w:t>
            </w:r>
            <w:r>
              <w:rPr>
                <w:b/>
                <w:color w:val="FFFFFF"/>
                <w:spacing w:val="11"/>
                <w:w w:val="105"/>
                <w:sz w:val="18"/>
              </w:rPr>
              <w:t> </w:t>
            </w:r>
            <w:r>
              <w:rPr>
                <w:b/>
                <w:color w:val="FFFFFF"/>
                <w:w w:val="105"/>
                <w:sz w:val="18"/>
              </w:rPr>
              <w:t>Head</w:t>
              <w:tab/>
              <w:t>Total Cost</w:t>
            </w:r>
            <w:r>
              <w:rPr>
                <w:b/>
                <w:color w:val="FFFFFF"/>
                <w:spacing w:val="16"/>
                <w:w w:val="105"/>
                <w:sz w:val="18"/>
              </w:rPr>
              <w:t> </w:t>
            </w:r>
            <w:r>
              <w:rPr>
                <w:b/>
                <w:color w:val="FFFFFF"/>
                <w:w w:val="105"/>
                <w:sz w:val="18"/>
              </w:rPr>
              <w:t>(INR</w:t>
            </w:r>
            <w:r>
              <w:rPr>
                <w:b/>
                <w:color w:val="FFFFFF"/>
                <w:spacing w:val="9"/>
                <w:w w:val="105"/>
                <w:sz w:val="18"/>
              </w:rPr>
              <w:t> </w:t>
            </w:r>
            <w:r>
              <w:rPr>
                <w:b/>
                <w:color w:val="FFFFFF"/>
                <w:w w:val="105"/>
                <w:sz w:val="18"/>
              </w:rPr>
              <w:t>Mn)</w:t>
              <w:tab/>
            </w:r>
            <w:r>
              <w:rPr>
                <w:b/>
                <w:color w:val="FFFFFF"/>
                <w:w w:val="105"/>
                <w:position w:val="11"/>
                <w:sz w:val="18"/>
              </w:rPr>
              <w:t>Total</w:t>
            </w:r>
            <w:r>
              <w:rPr>
                <w:b/>
                <w:color w:val="FFFFFF"/>
                <w:spacing w:val="-2"/>
                <w:w w:val="105"/>
                <w:position w:val="11"/>
                <w:sz w:val="18"/>
              </w:rPr>
              <w:t> </w:t>
            </w:r>
            <w:r>
              <w:rPr>
                <w:b/>
                <w:color w:val="FFFFFF"/>
                <w:w w:val="105"/>
                <w:position w:val="11"/>
                <w:sz w:val="18"/>
              </w:rPr>
              <w:t>Cost</w:t>
            </w:r>
          </w:p>
          <w:p>
            <w:pPr>
              <w:pStyle w:val="TableParagraph"/>
              <w:spacing w:line="134" w:lineRule="exact"/>
              <w:ind w:right="14"/>
              <w:jc w:val="right"/>
              <w:rPr>
                <w:b/>
                <w:sz w:val="18"/>
              </w:rPr>
            </w:pPr>
            <w:r>
              <w:rPr>
                <w:b/>
                <w:color w:val="FFFFFF"/>
                <w:w w:val="110"/>
                <w:sz w:val="18"/>
              </w:rPr>
              <w:t>Spent (INR Mn)</w:t>
            </w:r>
          </w:p>
        </w:tc>
        <w:tc>
          <w:tcPr>
            <w:tcW w:w="3819" w:type="dxa"/>
            <w:gridSpan w:val="3"/>
            <w:tcBorders>
              <w:top w:val="single" w:sz="6" w:space="0" w:color="69BD28"/>
              <w:bottom w:val="single" w:sz="6" w:space="0" w:color="69BD28"/>
            </w:tcBorders>
            <w:shd w:val="clear" w:color="auto" w:fill="006A4D"/>
          </w:tcPr>
          <w:p>
            <w:pPr>
              <w:pStyle w:val="TableParagraph"/>
              <w:tabs>
                <w:tab w:pos="2391" w:val="left" w:leader="none"/>
                <w:tab w:pos="2430" w:val="left" w:leader="none"/>
              </w:tabs>
              <w:spacing w:line="210" w:lineRule="atLeast" w:before="10"/>
              <w:ind w:left="702" w:right="393" w:hanging="444"/>
              <w:jc w:val="left"/>
              <w:rPr>
                <w:b/>
                <w:sz w:val="18"/>
              </w:rPr>
            </w:pPr>
            <w:r>
              <w:rPr>
                <w:b/>
                <w:color w:val="FFFFFF"/>
                <w:w w:val="105"/>
                <w:sz w:val="18"/>
              </w:rPr>
              <w:t>Total</w:t>
            </w:r>
            <w:r>
              <w:rPr>
                <w:b/>
                <w:color w:val="FFFFFF"/>
                <w:spacing w:val="17"/>
                <w:w w:val="105"/>
                <w:sz w:val="18"/>
              </w:rPr>
              <w:t> </w:t>
            </w:r>
            <w:r>
              <w:rPr>
                <w:b/>
                <w:color w:val="FFFFFF"/>
                <w:w w:val="105"/>
                <w:sz w:val="18"/>
              </w:rPr>
              <w:t>Pending</w:t>
            </w:r>
            <w:r>
              <w:rPr>
                <w:b/>
                <w:color w:val="FFFFFF"/>
                <w:spacing w:val="17"/>
                <w:w w:val="105"/>
                <w:sz w:val="18"/>
              </w:rPr>
              <w:t> </w:t>
            </w:r>
            <w:r>
              <w:rPr>
                <w:b/>
                <w:color w:val="FFFFFF"/>
                <w:w w:val="105"/>
                <w:sz w:val="18"/>
              </w:rPr>
              <w:t>Cost</w:t>
              <w:tab/>
              <w:tab/>
              <w:t>Quarter of (INR</w:t>
            </w:r>
            <w:r>
              <w:rPr>
                <w:b/>
                <w:color w:val="FFFFFF"/>
                <w:spacing w:val="20"/>
                <w:w w:val="105"/>
                <w:sz w:val="18"/>
              </w:rPr>
              <w:t> </w:t>
            </w:r>
            <w:r>
              <w:rPr>
                <w:b/>
                <w:color w:val="FFFFFF"/>
                <w:w w:val="105"/>
                <w:sz w:val="18"/>
              </w:rPr>
              <w:t>Mn)</w:t>
              <w:tab/>
              <w:t>Completion</w:t>
            </w:r>
          </w:p>
        </w:tc>
      </w:tr>
      <w:tr>
        <w:trPr>
          <w:trHeight w:val="297" w:hRule="atLeast"/>
        </w:trPr>
        <w:tc>
          <w:tcPr>
            <w:tcW w:w="3132" w:type="dxa"/>
            <w:tcBorders>
              <w:bottom w:val="single" w:sz="6" w:space="0" w:color="69BD28"/>
            </w:tcBorders>
          </w:tcPr>
          <w:p>
            <w:pPr>
              <w:pStyle w:val="TableParagraph"/>
              <w:spacing w:before="45"/>
              <w:ind w:left="524" w:right="476"/>
              <w:rPr>
                <w:sz w:val="18"/>
              </w:rPr>
            </w:pPr>
            <w:r>
              <w:rPr>
                <w:sz w:val="18"/>
              </w:rPr>
              <w:t>Signage Works</w:t>
            </w:r>
          </w:p>
        </w:tc>
        <w:tc>
          <w:tcPr>
            <w:tcW w:w="1846" w:type="dxa"/>
            <w:tcBorders>
              <w:bottom w:val="single" w:sz="6" w:space="0" w:color="69BD28"/>
            </w:tcBorders>
          </w:tcPr>
          <w:p>
            <w:pPr>
              <w:pStyle w:val="TableParagraph"/>
              <w:spacing w:before="45"/>
              <w:ind w:left="704"/>
              <w:jc w:val="left"/>
              <w:rPr>
                <w:sz w:val="18"/>
              </w:rPr>
            </w:pPr>
            <w:r>
              <w:rPr>
                <w:w w:val="105"/>
                <w:sz w:val="18"/>
              </w:rPr>
              <w:t>17.00</w:t>
            </w:r>
          </w:p>
        </w:tc>
        <w:tc>
          <w:tcPr>
            <w:tcW w:w="1606" w:type="dxa"/>
            <w:tcBorders>
              <w:bottom w:val="single" w:sz="6" w:space="0" w:color="69BD28"/>
            </w:tcBorders>
          </w:tcPr>
          <w:p>
            <w:pPr>
              <w:pStyle w:val="TableParagraph"/>
              <w:spacing w:before="45"/>
              <w:ind w:left="716"/>
              <w:jc w:val="left"/>
              <w:rPr>
                <w:sz w:val="18"/>
              </w:rPr>
            </w:pPr>
            <w:r>
              <w:rPr>
                <w:w w:val="105"/>
                <w:sz w:val="18"/>
              </w:rPr>
              <w:t>0.00</w:t>
            </w:r>
          </w:p>
        </w:tc>
        <w:tc>
          <w:tcPr>
            <w:tcW w:w="1881" w:type="dxa"/>
            <w:tcBorders>
              <w:bottom w:val="single" w:sz="6" w:space="0" w:color="69BD28"/>
            </w:tcBorders>
          </w:tcPr>
          <w:p>
            <w:pPr>
              <w:pStyle w:val="TableParagraph"/>
              <w:spacing w:before="45"/>
              <w:ind w:right="537"/>
              <w:jc w:val="right"/>
              <w:rPr>
                <w:sz w:val="18"/>
              </w:rPr>
            </w:pPr>
            <w:r>
              <w:rPr>
                <w:w w:val="105"/>
                <w:sz w:val="18"/>
              </w:rPr>
              <w:t>17.00</w:t>
            </w:r>
          </w:p>
        </w:tc>
        <w:tc>
          <w:tcPr>
            <w:tcW w:w="1099" w:type="dxa"/>
            <w:tcBorders>
              <w:bottom w:val="single" w:sz="6" w:space="0" w:color="69BD28"/>
            </w:tcBorders>
          </w:tcPr>
          <w:p>
            <w:pPr>
              <w:pStyle w:val="TableParagraph"/>
              <w:spacing w:before="45"/>
              <w:ind w:right="55"/>
              <w:jc w:val="right"/>
              <w:rPr>
                <w:sz w:val="18"/>
              </w:rPr>
            </w:pPr>
            <w:r>
              <w:rPr>
                <w:w w:val="105"/>
                <w:sz w:val="18"/>
              </w:rPr>
              <w:t>Q2, FY</w:t>
            </w:r>
          </w:p>
        </w:tc>
        <w:tc>
          <w:tcPr>
            <w:tcW w:w="839" w:type="dxa"/>
            <w:tcBorders>
              <w:bottom w:val="single" w:sz="6" w:space="0" w:color="69BD28"/>
            </w:tcBorders>
          </w:tcPr>
          <w:p>
            <w:pPr>
              <w:pStyle w:val="TableParagraph"/>
              <w:spacing w:before="45"/>
              <w:ind w:left="47"/>
              <w:jc w:val="left"/>
              <w:rPr>
                <w:sz w:val="18"/>
              </w:rPr>
            </w:pPr>
            <w:r>
              <w:rPr>
                <w:w w:val="110"/>
                <w:sz w:val="18"/>
              </w:rPr>
              <w:t>2021</w:t>
            </w:r>
          </w:p>
        </w:tc>
      </w:tr>
      <w:tr>
        <w:trPr>
          <w:trHeight w:val="294" w:hRule="atLeast"/>
        </w:trPr>
        <w:tc>
          <w:tcPr>
            <w:tcW w:w="3132" w:type="dxa"/>
            <w:tcBorders>
              <w:top w:val="single" w:sz="6" w:space="0" w:color="69BD28"/>
              <w:bottom w:val="single" w:sz="6" w:space="0" w:color="69BD28"/>
            </w:tcBorders>
          </w:tcPr>
          <w:p>
            <w:pPr>
              <w:pStyle w:val="TableParagraph"/>
              <w:spacing w:before="52"/>
              <w:ind w:left="524" w:right="476"/>
              <w:rPr>
                <w:sz w:val="18"/>
              </w:rPr>
            </w:pPr>
            <w:r>
              <w:rPr>
                <w:sz w:val="18"/>
              </w:rPr>
              <w:t>GS Exit Refurb Works</w:t>
            </w:r>
          </w:p>
        </w:tc>
        <w:tc>
          <w:tcPr>
            <w:tcW w:w="1846" w:type="dxa"/>
            <w:tcBorders>
              <w:top w:val="single" w:sz="6" w:space="0" w:color="69BD28"/>
              <w:bottom w:val="single" w:sz="6" w:space="0" w:color="69BD28"/>
            </w:tcBorders>
          </w:tcPr>
          <w:p>
            <w:pPr>
              <w:pStyle w:val="TableParagraph"/>
              <w:spacing w:before="52"/>
              <w:ind w:left="651"/>
              <w:jc w:val="left"/>
              <w:rPr>
                <w:sz w:val="18"/>
              </w:rPr>
            </w:pPr>
            <w:r>
              <w:rPr>
                <w:w w:val="110"/>
                <w:sz w:val="18"/>
              </w:rPr>
              <w:t>225.73</w:t>
            </w:r>
          </w:p>
        </w:tc>
        <w:tc>
          <w:tcPr>
            <w:tcW w:w="1606" w:type="dxa"/>
            <w:tcBorders>
              <w:top w:val="single" w:sz="6" w:space="0" w:color="69BD28"/>
              <w:bottom w:val="single" w:sz="6" w:space="0" w:color="69BD28"/>
            </w:tcBorders>
          </w:tcPr>
          <w:p>
            <w:pPr>
              <w:pStyle w:val="TableParagraph"/>
              <w:spacing w:before="52"/>
              <w:ind w:left="610"/>
              <w:jc w:val="left"/>
              <w:rPr>
                <w:sz w:val="18"/>
              </w:rPr>
            </w:pPr>
            <w:r>
              <w:rPr>
                <w:w w:val="110"/>
                <w:sz w:val="18"/>
              </w:rPr>
              <w:t>128.80</w:t>
            </w:r>
          </w:p>
        </w:tc>
        <w:tc>
          <w:tcPr>
            <w:tcW w:w="1881" w:type="dxa"/>
            <w:tcBorders>
              <w:top w:val="single" w:sz="6" w:space="0" w:color="69BD28"/>
              <w:bottom w:val="single" w:sz="6" w:space="0" w:color="69BD28"/>
            </w:tcBorders>
          </w:tcPr>
          <w:p>
            <w:pPr>
              <w:pStyle w:val="TableParagraph"/>
              <w:spacing w:before="52"/>
              <w:ind w:right="537"/>
              <w:jc w:val="right"/>
              <w:rPr>
                <w:sz w:val="18"/>
              </w:rPr>
            </w:pPr>
            <w:r>
              <w:rPr>
                <w:w w:val="105"/>
                <w:sz w:val="18"/>
              </w:rPr>
              <w:t>96.93</w:t>
            </w:r>
          </w:p>
        </w:tc>
        <w:tc>
          <w:tcPr>
            <w:tcW w:w="1099" w:type="dxa"/>
            <w:tcBorders>
              <w:top w:val="single" w:sz="6" w:space="0" w:color="69BD28"/>
              <w:bottom w:val="single" w:sz="6" w:space="0" w:color="69BD28"/>
            </w:tcBorders>
          </w:tcPr>
          <w:p>
            <w:pPr>
              <w:pStyle w:val="TableParagraph"/>
              <w:spacing w:before="52"/>
              <w:ind w:right="55"/>
              <w:jc w:val="right"/>
              <w:rPr>
                <w:sz w:val="18"/>
              </w:rPr>
            </w:pPr>
            <w:r>
              <w:rPr>
                <w:w w:val="110"/>
                <w:sz w:val="18"/>
              </w:rPr>
              <w:t>Q4, FY</w:t>
            </w:r>
          </w:p>
        </w:tc>
        <w:tc>
          <w:tcPr>
            <w:tcW w:w="839" w:type="dxa"/>
            <w:tcBorders>
              <w:top w:val="single" w:sz="6" w:space="0" w:color="69BD28"/>
              <w:bottom w:val="single" w:sz="6" w:space="0" w:color="69BD28"/>
            </w:tcBorders>
          </w:tcPr>
          <w:p>
            <w:pPr>
              <w:pStyle w:val="TableParagraph"/>
              <w:spacing w:before="52"/>
              <w:ind w:left="47"/>
              <w:jc w:val="left"/>
              <w:rPr>
                <w:sz w:val="18"/>
              </w:rPr>
            </w:pPr>
            <w:r>
              <w:rPr>
                <w:w w:val="110"/>
                <w:sz w:val="18"/>
              </w:rPr>
              <w:t>2021</w:t>
            </w:r>
          </w:p>
        </w:tc>
      </w:tr>
      <w:tr>
        <w:trPr>
          <w:trHeight w:val="297" w:hRule="atLeast"/>
        </w:trPr>
        <w:tc>
          <w:tcPr>
            <w:tcW w:w="3132" w:type="dxa"/>
            <w:tcBorders>
              <w:top w:val="single" w:sz="6" w:space="0" w:color="69BD28"/>
              <w:bottom w:val="single" w:sz="6" w:space="0" w:color="69BD28"/>
            </w:tcBorders>
          </w:tcPr>
          <w:p>
            <w:pPr>
              <w:pStyle w:val="TableParagraph"/>
              <w:spacing w:before="52"/>
              <w:ind w:left="524" w:right="476"/>
              <w:rPr>
                <w:sz w:val="18"/>
              </w:rPr>
            </w:pPr>
            <w:r>
              <w:rPr>
                <w:sz w:val="18"/>
              </w:rPr>
              <w:t>Other Refurb Expenses</w:t>
            </w:r>
          </w:p>
        </w:tc>
        <w:tc>
          <w:tcPr>
            <w:tcW w:w="1846" w:type="dxa"/>
            <w:tcBorders>
              <w:top w:val="single" w:sz="6" w:space="0" w:color="69BD28"/>
              <w:bottom w:val="single" w:sz="6" w:space="0" w:color="69BD28"/>
            </w:tcBorders>
          </w:tcPr>
          <w:p>
            <w:pPr>
              <w:pStyle w:val="TableParagraph"/>
              <w:spacing w:before="52"/>
              <w:ind w:left="651"/>
              <w:jc w:val="left"/>
              <w:rPr>
                <w:sz w:val="18"/>
              </w:rPr>
            </w:pPr>
            <w:r>
              <w:rPr>
                <w:w w:val="110"/>
                <w:sz w:val="18"/>
              </w:rPr>
              <w:t>274.67</w:t>
            </w:r>
          </w:p>
        </w:tc>
        <w:tc>
          <w:tcPr>
            <w:tcW w:w="1606" w:type="dxa"/>
            <w:tcBorders>
              <w:top w:val="single" w:sz="6" w:space="0" w:color="69BD28"/>
              <w:bottom w:val="single" w:sz="6" w:space="0" w:color="69BD28"/>
            </w:tcBorders>
          </w:tcPr>
          <w:p>
            <w:pPr>
              <w:pStyle w:val="TableParagraph"/>
              <w:spacing w:before="52"/>
              <w:ind w:left="663"/>
              <w:jc w:val="left"/>
              <w:rPr>
                <w:sz w:val="18"/>
              </w:rPr>
            </w:pPr>
            <w:r>
              <w:rPr>
                <w:w w:val="105"/>
                <w:sz w:val="18"/>
              </w:rPr>
              <w:t>15.45</w:t>
            </w:r>
          </w:p>
        </w:tc>
        <w:tc>
          <w:tcPr>
            <w:tcW w:w="1881" w:type="dxa"/>
            <w:tcBorders>
              <w:top w:val="single" w:sz="6" w:space="0" w:color="69BD28"/>
              <w:bottom w:val="single" w:sz="6" w:space="0" w:color="69BD28"/>
            </w:tcBorders>
          </w:tcPr>
          <w:p>
            <w:pPr>
              <w:pStyle w:val="TableParagraph"/>
              <w:spacing w:before="52"/>
              <w:ind w:right="485"/>
              <w:jc w:val="right"/>
              <w:rPr>
                <w:sz w:val="18"/>
              </w:rPr>
            </w:pPr>
            <w:r>
              <w:rPr>
                <w:w w:val="105"/>
                <w:sz w:val="18"/>
              </w:rPr>
              <w:t>259.22</w:t>
            </w:r>
          </w:p>
        </w:tc>
        <w:tc>
          <w:tcPr>
            <w:tcW w:w="1099" w:type="dxa"/>
            <w:tcBorders>
              <w:top w:val="single" w:sz="6" w:space="0" w:color="69BD28"/>
              <w:bottom w:val="single" w:sz="6" w:space="0" w:color="69BD28"/>
            </w:tcBorders>
          </w:tcPr>
          <w:p>
            <w:pPr>
              <w:pStyle w:val="TableParagraph"/>
              <w:spacing w:before="52"/>
              <w:ind w:right="55"/>
              <w:jc w:val="right"/>
              <w:rPr>
                <w:sz w:val="18"/>
              </w:rPr>
            </w:pPr>
            <w:r>
              <w:rPr>
                <w:w w:val="105"/>
                <w:sz w:val="18"/>
              </w:rPr>
              <w:t>Q3, FY</w:t>
            </w:r>
          </w:p>
        </w:tc>
        <w:tc>
          <w:tcPr>
            <w:tcW w:w="839" w:type="dxa"/>
            <w:tcBorders>
              <w:top w:val="single" w:sz="6" w:space="0" w:color="69BD28"/>
              <w:bottom w:val="single" w:sz="6" w:space="0" w:color="69BD28"/>
            </w:tcBorders>
          </w:tcPr>
          <w:p>
            <w:pPr>
              <w:pStyle w:val="TableParagraph"/>
              <w:spacing w:before="52"/>
              <w:ind w:left="48"/>
              <w:jc w:val="left"/>
              <w:rPr>
                <w:sz w:val="18"/>
              </w:rPr>
            </w:pPr>
            <w:r>
              <w:rPr>
                <w:w w:val="110"/>
                <w:sz w:val="18"/>
              </w:rPr>
              <w:t>2021</w:t>
            </w:r>
          </w:p>
        </w:tc>
      </w:tr>
    </w:tbl>
    <w:p>
      <w:pPr>
        <w:spacing w:before="4"/>
        <w:ind w:left="240" w:right="0" w:firstLine="0"/>
        <w:jc w:val="left"/>
        <w:rPr>
          <w:i/>
          <w:sz w:val="18"/>
        </w:rPr>
      </w:pPr>
      <w:r>
        <w:rPr>
          <w:i/>
          <w:sz w:val="18"/>
        </w:rPr>
        <w:t>Source: Information provided by Client</w:t>
      </w:r>
    </w:p>
    <w:p>
      <w:pPr>
        <w:pStyle w:val="BodyText"/>
        <w:spacing w:before="4"/>
        <w:rPr>
          <w:i/>
          <w:sz w:val="21"/>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05" w:id="595"/>
      <w:bookmarkEnd w:id="595"/>
      <w:r>
        <w:rPr/>
      </w:r>
      <w:bookmarkStart w:name="_bookmark305" w:id="596"/>
      <w:bookmarkEnd w:id="596"/>
      <w:r>
        <w:rPr>
          <w:color w:val="1F664D"/>
          <w:sz w:val="22"/>
        </w:rPr>
        <w:t>Pro</w:t>
      </w:r>
      <w:r>
        <w:rPr>
          <w:color w:val="1F664D"/>
          <w:sz w:val="22"/>
        </w:rPr>
        <w:t>perty Photographs</w:t>
      </w:r>
    </w:p>
    <w:p>
      <w:pPr>
        <w:pStyle w:val="BodyText"/>
        <w:spacing w:before="208"/>
        <w:ind w:left="787"/>
      </w:pPr>
      <w:r>
        <w:rPr/>
        <w:t>Please refer to the property photographs highlighted below:</w:t>
      </w:r>
    </w:p>
    <w:p>
      <w:pPr>
        <w:pStyle w:val="BodyText"/>
        <w:spacing w:before="3"/>
        <w:rPr>
          <w:sz w:val="24"/>
        </w:rPr>
      </w:pPr>
      <w:r>
        <w:rPr/>
        <w:pict>
          <v:group style="position:absolute;margin-left:108.860001pt;margin-top:16.038994pt;width:389.65pt;height:15.15pt;mso-position-horizontal-relative:page;mso-position-vertical-relative:paragraph;z-index:-15062016;mso-wrap-distance-left:0;mso-wrap-distance-right:0" coordorigin="2177,321" coordsize="7793,303">
            <v:rect style="position:absolute;left:2177;top:332;width:7793;height:291" filled="true" fillcolor="#006a4d" stroked="false">
              <v:fill type="solid"/>
            </v:rect>
            <v:rect style="position:absolute;left:2179;top:320;width:7790;height:10" filled="true" fillcolor="#000000" stroked="false">
              <v:fill type="solid"/>
            </v:rect>
            <v:shape style="position:absolute;left:2177;top:330;width:7793;height:294" type="#_x0000_t202" filled="false" stroked="false">
              <v:textbox inset="0,0,0,0">
                <w:txbxContent>
                  <w:p>
                    <w:pPr>
                      <w:spacing w:before="31"/>
                      <w:ind w:left="1917" w:right="1918" w:firstLine="0"/>
                      <w:jc w:val="center"/>
                      <w:rPr>
                        <w:sz w:val="20"/>
                      </w:rPr>
                    </w:pPr>
                    <w:r>
                      <w:rPr>
                        <w:color w:val="FFFFFF"/>
                        <w:sz w:val="20"/>
                      </w:rPr>
                      <w:t>Embassy GolfLinks</w:t>
                    </w:r>
                  </w:p>
                </w:txbxContent>
              </v:textbox>
              <w10:wrap type="none"/>
            </v:shape>
            <w10:wrap type="topAndBottom"/>
          </v:group>
        </w:pict>
      </w:r>
      <w:r>
        <w:rPr/>
        <w:pict>
          <v:group style="position:absolute;margin-left:111.699997pt;margin-top:39.759003pt;width:186.1pt;height:130.65pt;mso-position-horizontal-relative:page;mso-position-vertical-relative:paragraph;z-index:-15061504;mso-wrap-distance-left:0;mso-wrap-distance-right:0" coordorigin="2234,795" coordsize="3722,2613">
            <v:rect style="position:absolute;left:2239;top:800;width:3712;height:2603" filled="false" stroked="true" strokeweight=".5pt" strokecolor="#000000">
              <v:stroke dashstyle="solid"/>
            </v:rect>
            <v:shape style="position:absolute;left:2388;top:877;width:3382;height:2442" type="#_x0000_t75" stroked="false">
              <v:imagedata r:id="rId267" o:title=""/>
            </v:shape>
            <w10:wrap type="topAndBottom"/>
          </v:group>
        </w:pict>
      </w:r>
      <w:r>
        <w:rPr/>
        <w:pict>
          <v:group style="position:absolute;margin-left:306.700012pt;margin-top:38.199005pt;width:186.1pt;height:130.65pt;mso-position-horizontal-relative:page;mso-position-vertical-relative:paragraph;z-index:-15060992;mso-wrap-distance-left:0;mso-wrap-distance-right:0" coordorigin="6134,764" coordsize="3722,2613">
            <v:rect style="position:absolute;left:6139;top:768;width:3712;height:2603" filled="false" stroked="true" strokeweight=".5pt" strokecolor="#000000">
              <v:stroke dashstyle="solid"/>
            </v:rect>
            <v:shape style="position:absolute;left:6288;top:845;width:3413;height:2448" type="#_x0000_t75" stroked="false">
              <v:imagedata r:id="rId268" o:title=""/>
            </v:shape>
            <w10:wrap type="topAndBottom"/>
          </v:group>
        </w:pict>
      </w:r>
    </w:p>
    <w:p>
      <w:pPr>
        <w:pStyle w:val="BodyText"/>
        <w:spacing w:before="2"/>
        <w:rPr>
          <w:sz w:val="6"/>
        </w:rPr>
      </w:pPr>
    </w:p>
    <w:p>
      <w:pPr>
        <w:pStyle w:val="BodyText"/>
        <w:spacing w:before="3"/>
        <w:rPr>
          <w:sz w:val="9"/>
        </w:rPr>
      </w:pPr>
    </w:p>
    <w:p>
      <w:pPr>
        <w:tabs>
          <w:tab w:pos="4596" w:val="left" w:leader="none"/>
        </w:tabs>
        <w:spacing w:before="105"/>
        <w:ind w:left="0" w:right="2575" w:firstLine="0"/>
        <w:jc w:val="right"/>
        <w:rPr>
          <w:sz w:val="18"/>
        </w:rPr>
      </w:pPr>
      <w:r>
        <w:rPr>
          <w:sz w:val="18"/>
        </w:rPr>
        <w:t>External</w:t>
      </w:r>
      <w:r>
        <w:rPr>
          <w:spacing w:val="-35"/>
          <w:sz w:val="18"/>
        </w:rPr>
        <w:t> </w:t>
      </w:r>
      <w:r>
        <w:rPr>
          <w:sz w:val="18"/>
        </w:rPr>
        <w:t>view</w:t>
      </w:r>
      <w:r>
        <w:rPr>
          <w:spacing w:val="-35"/>
          <w:sz w:val="18"/>
        </w:rPr>
        <w:t> </w:t>
      </w:r>
      <w:r>
        <w:rPr>
          <w:sz w:val="18"/>
        </w:rPr>
        <w:t>of</w:t>
      </w:r>
      <w:r>
        <w:rPr>
          <w:spacing w:val="-35"/>
          <w:sz w:val="18"/>
        </w:rPr>
        <w:t> </w:t>
      </w:r>
      <w:r>
        <w:rPr>
          <w:sz w:val="18"/>
        </w:rPr>
        <w:t>the</w:t>
      </w:r>
      <w:r>
        <w:rPr>
          <w:spacing w:val="-34"/>
          <w:sz w:val="18"/>
        </w:rPr>
        <w:t> </w:t>
      </w:r>
      <w:r>
        <w:rPr>
          <w:sz w:val="18"/>
        </w:rPr>
        <w:t>subject</w:t>
      </w:r>
      <w:r>
        <w:rPr>
          <w:spacing w:val="-36"/>
          <w:sz w:val="18"/>
        </w:rPr>
        <w:t> </w:t>
      </w:r>
      <w:r>
        <w:rPr>
          <w:sz w:val="18"/>
        </w:rPr>
        <w:t>property</w:t>
      </w:r>
      <w:r>
        <w:rPr>
          <w:spacing w:val="-35"/>
          <w:sz w:val="18"/>
        </w:rPr>
        <w:t> </w:t>
      </w:r>
      <w:r>
        <w:rPr>
          <w:sz w:val="18"/>
        </w:rPr>
        <w:t>(SP)</w:t>
        <w:tab/>
        <w:t>External</w:t>
      </w:r>
      <w:r>
        <w:rPr>
          <w:spacing w:val="-34"/>
          <w:sz w:val="18"/>
        </w:rPr>
        <w:t> </w:t>
      </w:r>
      <w:r>
        <w:rPr>
          <w:sz w:val="18"/>
        </w:rPr>
        <w:t>view</w:t>
      </w:r>
      <w:r>
        <w:rPr>
          <w:spacing w:val="-34"/>
          <w:sz w:val="18"/>
        </w:rPr>
        <w:t> </w:t>
      </w:r>
      <w:r>
        <w:rPr>
          <w:sz w:val="18"/>
        </w:rPr>
        <w:t>of</w:t>
      </w:r>
      <w:r>
        <w:rPr>
          <w:spacing w:val="-34"/>
          <w:sz w:val="18"/>
        </w:rPr>
        <w:t> </w:t>
      </w:r>
      <w:r>
        <w:rPr>
          <w:sz w:val="18"/>
        </w:rPr>
        <w:t>the</w:t>
      </w:r>
      <w:r>
        <w:rPr>
          <w:spacing w:val="-34"/>
          <w:sz w:val="18"/>
        </w:rPr>
        <w:t> </w:t>
      </w:r>
      <w:r>
        <w:rPr>
          <w:sz w:val="18"/>
        </w:rPr>
        <w:t>SP</w:t>
      </w:r>
    </w:p>
    <w:p>
      <w:pPr>
        <w:pStyle w:val="BodyText"/>
        <w:spacing w:before="9"/>
        <w:rPr>
          <w:sz w:val="15"/>
        </w:rPr>
      </w:pPr>
      <w:r>
        <w:rPr/>
        <w:pict>
          <v:group style="position:absolute;margin-left:113.25pt;margin-top:11.114707pt;width:186.1pt;height:130.65pt;mso-position-horizontal-relative:page;mso-position-vertical-relative:paragraph;z-index:-15060480;mso-wrap-distance-left:0;mso-wrap-distance-right:0" coordorigin="2265,222" coordsize="3722,2613">
            <v:rect style="position:absolute;left:2270;top:227;width:3712;height:2603" filled="false" stroked="true" strokeweight=".5pt" strokecolor="#000000">
              <v:stroke dashstyle="solid"/>
            </v:rect>
            <v:shape style="position:absolute;left:2419;top:304;width:3413;height:2400" type="#_x0000_t75" stroked="false">
              <v:imagedata r:id="rId269" o:title=""/>
            </v:shape>
            <w10:wrap type="topAndBottom"/>
          </v:group>
        </w:pict>
      </w:r>
      <w:r>
        <w:rPr/>
        <w:pict>
          <v:group style="position:absolute;margin-left:308.75pt;margin-top:11.914707pt;width:186.1pt;height:130.65pt;mso-position-horizontal-relative:page;mso-position-vertical-relative:paragraph;z-index:-15059968;mso-wrap-distance-left:0;mso-wrap-distance-right:0" coordorigin="6175,238" coordsize="3722,2613">
            <v:rect style="position:absolute;left:6180;top:243;width:3712;height:2603" filled="false" stroked="true" strokeweight=".5pt" strokecolor="#000000">
              <v:stroke dashstyle="solid"/>
            </v:rect>
            <v:shape style="position:absolute;left:6329;top:320;width:3414;height:2448" type="#_x0000_t75" stroked="false">
              <v:imagedata r:id="rId270" o:title=""/>
            </v:shape>
            <w10:wrap type="topAndBottom"/>
          </v:group>
        </w:pict>
      </w:r>
    </w:p>
    <w:p>
      <w:pPr>
        <w:tabs>
          <w:tab w:pos="3896" w:val="left" w:leader="none"/>
        </w:tabs>
        <w:spacing w:before="81"/>
        <w:ind w:left="0" w:right="2575" w:firstLine="0"/>
        <w:jc w:val="right"/>
        <w:rPr>
          <w:sz w:val="18"/>
        </w:rPr>
      </w:pPr>
      <w:r>
        <w:rPr>
          <w:sz w:val="18"/>
        </w:rPr>
        <w:t>External</w:t>
      </w:r>
      <w:r>
        <w:rPr>
          <w:spacing w:val="-24"/>
          <w:sz w:val="18"/>
        </w:rPr>
        <w:t> </w:t>
      </w:r>
      <w:r>
        <w:rPr>
          <w:sz w:val="18"/>
        </w:rPr>
        <w:t>view</w:t>
      </w:r>
      <w:r>
        <w:rPr>
          <w:spacing w:val="-24"/>
          <w:sz w:val="18"/>
        </w:rPr>
        <w:t> </w:t>
      </w:r>
      <w:r>
        <w:rPr>
          <w:sz w:val="18"/>
        </w:rPr>
        <w:t>of</w:t>
      </w:r>
      <w:r>
        <w:rPr>
          <w:spacing w:val="-22"/>
          <w:sz w:val="18"/>
        </w:rPr>
        <w:t> </w:t>
      </w:r>
      <w:r>
        <w:rPr>
          <w:sz w:val="18"/>
        </w:rPr>
        <w:t>the</w:t>
      </w:r>
      <w:r>
        <w:rPr>
          <w:spacing w:val="-23"/>
          <w:sz w:val="18"/>
        </w:rPr>
        <w:t> </w:t>
      </w:r>
      <w:r>
        <w:rPr>
          <w:sz w:val="18"/>
        </w:rPr>
        <w:t>SP</w:t>
        <w:tab/>
        <w:t>External</w:t>
      </w:r>
      <w:r>
        <w:rPr>
          <w:spacing w:val="-35"/>
          <w:sz w:val="18"/>
        </w:rPr>
        <w:t> </w:t>
      </w:r>
      <w:r>
        <w:rPr>
          <w:sz w:val="18"/>
        </w:rPr>
        <w:t>view</w:t>
      </w:r>
      <w:r>
        <w:rPr>
          <w:spacing w:val="-34"/>
          <w:sz w:val="18"/>
        </w:rPr>
        <w:t> </w:t>
      </w:r>
      <w:r>
        <w:rPr>
          <w:sz w:val="18"/>
        </w:rPr>
        <w:t>of</w:t>
      </w:r>
      <w:r>
        <w:rPr>
          <w:spacing w:val="-34"/>
          <w:sz w:val="18"/>
        </w:rPr>
        <w:t> </w:t>
      </w:r>
      <w:r>
        <w:rPr>
          <w:sz w:val="18"/>
        </w:rPr>
        <w:t>the</w:t>
      </w:r>
      <w:r>
        <w:rPr>
          <w:spacing w:val="-33"/>
          <w:sz w:val="18"/>
        </w:rPr>
        <w:t> </w:t>
      </w:r>
      <w:r>
        <w:rPr>
          <w:sz w:val="18"/>
        </w:rPr>
        <w:t>SP</w:t>
      </w:r>
    </w:p>
    <w:p>
      <w:pPr>
        <w:pStyle w:val="BodyText"/>
        <w:spacing w:before="1"/>
        <w:rPr>
          <w:sz w:val="13"/>
        </w:rPr>
      </w:pPr>
      <w:r>
        <w:rPr/>
        <w:pict>
          <v:group style="position:absolute;margin-left:112.449997pt;margin-top:9.589805pt;width:186.1pt;height:130.65pt;mso-position-horizontal-relative:page;mso-position-vertical-relative:paragraph;z-index:-15059456;mso-wrap-distance-left:0;mso-wrap-distance-right:0" coordorigin="2249,192" coordsize="3722,2613">
            <v:rect style="position:absolute;left:2254;top:196;width:3712;height:2603" filled="false" stroked="true" strokeweight=".5pt" strokecolor="#000000">
              <v:stroke dashstyle="solid"/>
            </v:rect>
            <v:shape style="position:absolute;left:2403;top:273;width:3414;height:2450" type="#_x0000_t75" stroked="false">
              <v:imagedata r:id="rId271" o:title=""/>
            </v:shape>
            <w10:wrap type="topAndBottom"/>
          </v:group>
        </w:pict>
      </w:r>
      <w:r>
        <w:rPr/>
        <w:pict>
          <v:group style="position:absolute;margin-left:312.850006pt;margin-top:11.569805pt;width:186.1pt;height:130.65pt;mso-position-horizontal-relative:page;mso-position-vertical-relative:paragraph;z-index:-15058944;mso-wrap-distance-left:0;mso-wrap-distance-right:0" coordorigin="6257,231" coordsize="3722,2613">
            <v:rect style="position:absolute;left:6262;top:236;width:3712;height:2603" filled="false" stroked="true" strokeweight=".5pt" strokecolor="#000000">
              <v:stroke dashstyle="solid"/>
            </v:rect>
            <v:shape style="position:absolute;left:6411;top:313;width:3414;height:2448" type="#_x0000_t75" stroked="false">
              <v:imagedata r:id="rId272" o:title=""/>
            </v:shape>
            <w10:wrap type="topAndBottom"/>
          </v:group>
        </w:pict>
      </w:r>
    </w:p>
    <w:p>
      <w:pPr>
        <w:tabs>
          <w:tab w:pos="4038" w:val="left" w:leader="none"/>
        </w:tabs>
        <w:spacing w:before="0"/>
        <w:ind w:left="296" w:right="0" w:firstLine="0"/>
        <w:jc w:val="center"/>
        <w:rPr>
          <w:sz w:val="18"/>
        </w:rPr>
      </w:pPr>
      <w:r>
        <w:rPr>
          <w:sz w:val="18"/>
        </w:rPr>
        <w:t>View</w:t>
      </w:r>
      <w:r>
        <w:rPr>
          <w:spacing w:val="-18"/>
          <w:sz w:val="18"/>
        </w:rPr>
        <w:t> </w:t>
      </w:r>
      <w:r>
        <w:rPr>
          <w:sz w:val="18"/>
        </w:rPr>
        <w:t>of</w:t>
      </w:r>
      <w:r>
        <w:rPr>
          <w:spacing w:val="-16"/>
          <w:sz w:val="18"/>
        </w:rPr>
        <w:t> </w:t>
      </w:r>
      <w:r>
        <w:rPr>
          <w:sz w:val="18"/>
        </w:rPr>
        <w:t>internal</w:t>
      </w:r>
      <w:r>
        <w:rPr>
          <w:spacing w:val="-17"/>
          <w:sz w:val="18"/>
        </w:rPr>
        <w:t> </w:t>
      </w:r>
      <w:r>
        <w:rPr>
          <w:sz w:val="18"/>
        </w:rPr>
        <w:t>access</w:t>
      </w:r>
      <w:r>
        <w:rPr>
          <w:spacing w:val="-17"/>
          <w:sz w:val="18"/>
        </w:rPr>
        <w:t> </w:t>
      </w:r>
      <w:r>
        <w:rPr>
          <w:sz w:val="18"/>
        </w:rPr>
        <w:t>road</w:t>
        <w:tab/>
        <w:t>View of the primary access</w:t>
      </w:r>
      <w:r>
        <w:rPr>
          <w:spacing w:val="-17"/>
          <w:sz w:val="18"/>
        </w:rPr>
        <w:t> </w:t>
      </w:r>
      <w:r>
        <w:rPr>
          <w:sz w:val="18"/>
        </w:rPr>
        <w:t>road</w:t>
      </w:r>
    </w:p>
    <w:p>
      <w:pPr>
        <w:pStyle w:val="BodyText"/>
        <w:spacing w:before="6"/>
        <w:rPr>
          <w:sz w:val="9"/>
        </w:rPr>
      </w:pPr>
      <w:r>
        <w:rPr/>
        <w:pict>
          <v:shape style="position:absolute;margin-left:108.260002pt;margin-top:7.480484pt;width:390.25pt;height:.5pt;mso-position-horizontal-relative:page;mso-position-vertical-relative:paragraph;z-index:-15058432;mso-wrap-distance-left:0;mso-wrap-distance-right:0" coordorigin="2165,150" coordsize="7805,10" path="m9970,150l5985,150,5980,150,5970,150,2165,150,2165,159,5970,159,5980,159,5985,159,9970,159,9970,150xe" filled="true" fillcolor="#92d050" stroked="false">
            <v:path arrowok="t"/>
            <v:fill type="solid"/>
            <w10:wrap type="topAndBottom"/>
          </v:shape>
        </w:pict>
      </w:r>
    </w:p>
    <w:p>
      <w:pPr>
        <w:spacing w:after="0"/>
        <w:rPr>
          <w:sz w:val="9"/>
        </w:rPr>
        <w:sectPr>
          <w:pgSz w:w="11910" w:h="16840"/>
          <w:pgMar w:header="720" w:footer="862" w:top="1660" w:bottom="1060" w:left="480" w:right="480"/>
        </w:sectPr>
      </w:pPr>
    </w:p>
    <w:p>
      <w:pPr>
        <w:pStyle w:val="BodyText"/>
        <w:spacing w:before="7"/>
        <w:rPr>
          <w:sz w:val="9"/>
        </w:rPr>
      </w:pPr>
    </w:p>
    <w:p>
      <w:pPr>
        <w:pStyle w:val="ListParagraph"/>
        <w:numPr>
          <w:ilvl w:val="1"/>
          <w:numId w:val="14"/>
        </w:numPr>
        <w:tabs>
          <w:tab w:pos="817" w:val="left" w:leader="none"/>
        </w:tabs>
        <w:spacing w:line="240" w:lineRule="auto" w:before="106" w:after="0"/>
        <w:ind w:left="816" w:right="0" w:hanging="577"/>
        <w:jc w:val="left"/>
        <w:rPr>
          <w:color w:val="1F6647"/>
          <w:sz w:val="22"/>
        </w:rPr>
      </w:pPr>
      <w:bookmarkStart w:name="_bookmark306" w:id="597"/>
      <w:bookmarkEnd w:id="597"/>
      <w:r>
        <w:rPr/>
      </w:r>
      <w:bookmarkStart w:name="_bookmark306" w:id="598"/>
      <w:bookmarkEnd w:id="598"/>
      <w:r>
        <w:rPr>
          <w:color w:val="1F6647"/>
          <w:sz w:val="22"/>
        </w:rPr>
        <w:t>Tena</w:t>
      </w:r>
      <w:r>
        <w:rPr>
          <w:color w:val="1F6647"/>
          <w:sz w:val="22"/>
        </w:rPr>
        <w:t>ncy Analysis</w:t>
      </w:r>
    </w:p>
    <w:p>
      <w:pPr>
        <w:pStyle w:val="BodyText"/>
        <w:spacing w:before="3"/>
        <w:rPr>
          <w:sz w:val="28"/>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07" w:id="599"/>
      <w:bookmarkEnd w:id="599"/>
      <w:r>
        <w:rPr/>
      </w:r>
      <w:bookmarkStart w:name="_bookmark307" w:id="600"/>
      <w:bookmarkEnd w:id="600"/>
      <w:r>
        <w:rPr>
          <w:color w:val="1F664D"/>
          <w:sz w:val="22"/>
        </w:rPr>
        <w:t>Histori</w:t>
      </w:r>
      <w:r>
        <w:rPr>
          <w:color w:val="1F664D"/>
          <w:sz w:val="22"/>
        </w:rPr>
        <w:t>cal Committed Occupancy Rates</w:t>
      </w:r>
    </w:p>
    <w:p>
      <w:pPr>
        <w:pStyle w:val="BodyText"/>
        <w:spacing w:before="208"/>
        <w:ind w:left="780"/>
      </w:pPr>
      <w:r>
        <w:rPr/>
        <w:t>The table below highlights the historical occupancy rates at the subject development:</w:t>
      </w:r>
    </w:p>
    <w:p>
      <w:pPr>
        <w:pStyle w:val="BodyText"/>
        <w:spacing w:before="2"/>
        <w:rPr>
          <w:sz w:val="28"/>
        </w:rPr>
      </w:pPr>
    </w:p>
    <w:tbl>
      <w:tblPr>
        <w:tblW w:w="0" w:type="auto"/>
        <w:jc w:val="left"/>
        <w:tblInd w:w="2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6"/>
        <w:gridCol w:w="2620"/>
        <w:gridCol w:w="2616"/>
        <w:gridCol w:w="2613"/>
      </w:tblGrid>
      <w:tr>
        <w:trPr>
          <w:trHeight w:val="297" w:hRule="atLeast"/>
        </w:trPr>
        <w:tc>
          <w:tcPr>
            <w:tcW w:w="2636" w:type="dxa"/>
            <w:tcBorders>
              <w:top w:val="single" w:sz="6" w:space="0" w:color="69BD28"/>
              <w:bottom w:val="single" w:sz="6" w:space="0" w:color="69BD28"/>
            </w:tcBorders>
            <w:shd w:val="clear" w:color="auto" w:fill="006A4D"/>
          </w:tcPr>
          <w:p>
            <w:pPr>
              <w:pStyle w:val="TableParagraph"/>
              <w:spacing w:before="44"/>
              <w:ind w:left="583" w:right="568"/>
              <w:rPr>
                <w:b/>
                <w:sz w:val="18"/>
              </w:rPr>
            </w:pPr>
            <w:r>
              <w:rPr>
                <w:b/>
                <w:color w:val="FFFFFF"/>
                <w:w w:val="110"/>
                <w:sz w:val="18"/>
              </w:rPr>
              <w:t>March 31, 2017</w:t>
            </w:r>
          </w:p>
        </w:tc>
        <w:tc>
          <w:tcPr>
            <w:tcW w:w="2620" w:type="dxa"/>
            <w:tcBorders>
              <w:top w:val="single" w:sz="6" w:space="0" w:color="69BD28"/>
              <w:bottom w:val="single" w:sz="6" w:space="0" w:color="69BD28"/>
            </w:tcBorders>
            <w:shd w:val="clear" w:color="auto" w:fill="006A4D"/>
          </w:tcPr>
          <w:p>
            <w:pPr>
              <w:pStyle w:val="TableParagraph"/>
              <w:spacing w:before="44"/>
              <w:ind w:left="568" w:right="567"/>
              <w:rPr>
                <w:b/>
                <w:sz w:val="18"/>
              </w:rPr>
            </w:pPr>
            <w:r>
              <w:rPr>
                <w:b/>
                <w:color w:val="FFFFFF"/>
                <w:w w:val="110"/>
                <w:sz w:val="18"/>
              </w:rPr>
              <w:t>March 31, 2018</w:t>
            </w:r>
          </w:p>
        </w:tc>
        <w:tc>
          <w:tcPr>
            <w:tcW w:w="2616" w:type="dxa"/>
            <w:tcBorders>
              <w:top w:val="single" w:sz="6" w:space="0" w:color="69BD28"/>
              <w:bottom w:val="single" w:sz="6" w:space="0" w:color="69BD28"/>
            </w:tcBorders>
            <w:shd w:val="clear" w:color="auto" w:fill="006A4D"/>
          </w:tcPr>
          <w:p>
            <w:pPr>
              <w:pStyle w:val="TableParagraph"/>
              <w:spacing w:before="44"/>
              <w:ind w:left="565" w:right="560"/>
              <w:rPr>
                <w:b/>
                <w:sz w:val="18"/>
              </w:rPr>
            </w:pPr>
            <w:r>
              <w:rPr>
                <w:b/>
                <w:color w:val="FFFFFF"/>
                <w:w w:val="110"/>
                <w:sz w:val="18"/>
              </w:rPr>
              <w:t>March 31, 2019</w:t>
            </w:r>
          </w:p>
        </w:tc>
        <w:tc>
          <w:tcPr>
            <w:tcW w:w="2613" w:type="dxa"/>
            <w:tcBorders>
              <w:top w:val="single" w:sz="6" w:space="0" w:color="69BD28"/>
              <w:bottom w:val="single" w:sz="6" w:space="0" w:color="69BD28"/>
            </w:tcBorders>
            <w:shd w:val="clear" w:color="auto" w:fill="006A4D"/>
          </w:tcPr>
          <w:p>
            <w:pPr>
              <w:pStyle w:val="TableParagraph"/>
              <w:spacing w:before="44"/>
              <w:ind w:left="564" w:right="564"/>
              <w:rPr>
                <w:b/>
                <w:sz w:val="18"/>
              </w:rPr>
            </w:pPr>
            <w:r>
              <w:rPr>
                <w:b/>
                <w:color w:val="FFFFFF"/>
                <w:w w:val="110"/>
                <w:sz w:val="18"/>
              </w:rPr>
              <w:t>March 31, 2020</w:t>
            </w:r>
          </w:p>
        </w:tc>
      </w:tr>
      <w:tr>
        <w:trPr>
          <w:trHeight w:val="294" w:hRule="atLeast"/>
        </w:trPr>
        <w:tc>
          <w:tcPr>
            <w:tcW w:w="2636" w:type="dxa"/>
            <w:tcBorders>
              <w:top w:val="single" w:sz="6" w:space="0" w:color="69BD28"/>
              <w:bottom w:val="single" w:sz="6" w:space="0" w:color="69BD28"/>
            </w:tcBorders>
          </w:tcPr>
          <w:p>
            <w:pPr>
              <w:pStyle w:val="TableParagraph"/>
              <w:spacing w:before="30"/>
              <w:ind w:left="578" w:right="568"/>
              <w:rPr>
                <w:sz w:val="20"/>
              </w:rPr>
            </w:pPr>
            <w:r>
              <w:rPr>
                <w:w w:val="110"/>
                <w:sz w:val="20"/>
              </w:rPr>
              <w:t>100.0%</w:t>
            </w:r>
          </w:p>
        </w:tc>
        <w:tc>
          <w:tcPr>
            <w:tcW w:w="2620" w:type="dxa"/>
            <w:tcBorders>
              <w:top w:val="single" w:sz="6" w:space="0" w:color="69BD28"/>
              <w:bottom w:val="single" w:sz="6" w:space="0" w:color="69BD28"/>
            </w:tcBorders>
          </w:tcPr>
          <w:p>
            <w:pPr>
              <w:pStyle w:val="TableParagraph"/>
              <w:spacing w:before="30"/>
              <w:ind w:left="567" w:right="567"/>
              <w:rPr>
                <w:sz w:val="20"/>
              </w:rPr>
            </w:pPr>
            <w:r>
              <w:rPr>
                <w:w w:val="110"/>
                <w:sz w:val="20"/>
              </w:rPr>
              <w:t>100.0%</w:t>
            </w:r>
          </w:p>
        </w:tc>
        <w:tc>
          <w:tcPr>
            <w:tcW w:w="2616" w:type="dxa"/>
            <w:tcBorders>
              <w:top w:val="single" w:sz="6" w:space="0" w:color="69BD28"/>
              <w:bottom w:val="single" w:sz="6" w:space="0" w:color="69BD28"/>
            </w:tcBorders>
          </w:tcPr>
          <w:p>
            <w:pPr>
              <w:pStyle w:val="TableParagraph"/>
              <w:spacing w:before="30"/>
              <w:ind w:left="564" w:right="563"/>
              <w:rPr>
                <w:sz w:val="20"/>
              </w:rPr>
            </w:pPr>
            <w:r>
              <w:rPr>
                <w:w w:val="110"/>
                <w:sz w:val="20"/>
              </w:rPr>
              <w:t>98.0%</w:t>
            </w:r>
          </w:p>
        </w:tc>
        <w:tc>
          <w:tcPr>
            <w:tcW w:w="2613" w:type="dxa"/>
            <w:tcBorders>
              <w:top w:val="single" w:sz="6" w:space="0" w:color="69BD28"/>
              <w:bottom w:val="single" w:sz="6" w:space="0" w:color="69BD28"/>
            </w:tcBorders>
          </w:tcPr>
          <w:p>
            <w:pPr>
              <w:pStyle w:val="TableParagraph"/>
              <w:spacing w:before="30"/>
              <w:ind w:left="563" w:right="564"/>
              <w:rPr>
                <w:sz w:val="20"/>
              </w:rPr>
            </w:pPr>
            <w:r>
              <w:rPr>
                <w:w w:val="110"/>
                <w:sz w:val="20"/>
              </w:rPr>
              <w:t>98.3%</w:t>
            </w:r>
          </w:p>
        </w:tc>
      </w:tr>
    </w:tbl>
    <w:p>
      <w:pPr>
        <w:spacing w:before="0"/>
        <w:ind w:left="240" w:right="0" w:firstLine="0"/>
        <w:jc w:val="left"/>
        <w:rPr>
          <w:i/>
          <w:sz w:val="20"/>
        </w:rPr>
      </w:pPr>
      <w:r>
        <w:rPr>
          <w:i/>
          <w:sz w:val="20"/>
        </w:rPr>
        <w:t>Source: Rent rolls provided by the Client, Indicative of committed occupancy</w:t>
      </w:r>
    </w:p>
    <w:p>
      <w:pPr>
        <w:pStyle w:val="BodyText"/>
        <w:spacing w:before="6"/>
        <w:rPr>
          <w:i/>
          <w:sz w:val="27"/>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08" w:id="601"/>
      <w:bookmarkEnd w:id="601"/>
      <w:r>
        <w:rPr/>
      </w:r>
      <w:bookmarkStart w:name="_bookmark308" w:id="602"/>
      <w:bookmarkEnd w:id="602"/>
      <w:r>
        <w:rPr>
          <w:color w:val="1F664D"/>
          <w:sz w:val="22"/>
        </w:rPr>
        <w:t>Le</w:t>
      </w:r>
      <w:r>
        <w:rPr>
          <w:color w:val="1F664D"/>
          <w:sz w:val="22"/>
        </w:rPr>
        <w:t>ase Expiry</w:t>
      </w:r>
      <w:r>
        <w:rPr>
          <w:color w:val="1F664D"/>
          <w:spacing w:val="-4"/>
          <w:sz w:val="22"/>
        </w:rPr>
        <w:t> </w:t>
      </w:r>
      <w:r>
        <w:rPr>
          <w:color w:val="1F664D"/>
          <w:sz w:val="22"/>
        </w:rPr>
        <w:t>Analysis</w:t>
      </w:r>
    </w:p>
    <w:p>
      <w:pPr>
        <w:pStyle w:val="BodyText"/>
        <w:spacing w:before="209"/>
        <w:ind w:left="780"/>
      </w:pPr>
      <w:r>
        <w:rPr/>
        <w:t>The graph below highlights the area/leases due for expiry in the coming years:</w:t>
      </w:r>
    </w:p>
    <w:p>
      <w:pPr>
        <w:pStyle w:val="BodyText"/>
        <w:spacing w:before="5"/>
        <w:rPr>
          <w:sz w:val="24"/>
        </w:rPr>
      </w:pPr>
      <w:r>
        <w:rPr/>
        <w:pict>
          <v:group style="position:absolute;margin-left:35.279999pt;margin-top:16.158123pt;width:524.3pt;height:14.05pt;mso-position-horizontal-relative:page;mso-position-vertical-relative:paragraph;z-index:-15057408;mso-wrap-distance-left:0;mso-wrap-distance-right:0" coordorigin="706,323" coordsize="10486,281">
            <v:rect style="position:absolute;left:720;top:351;width:10472;height:252" filled="true" fillcolor="#006a4d" stroked="false">
              <v:fill type="solid"/>
            </v:rect>
            <v:rect style="position:absolute;left:720;top:323;width:10472;height:29" filled="true" fillcolor="#1f6b16" stroked="false">
              <v:fill type="solid"/>
            </v:rect>
            <v:rect style="position:absolute;left:720;top:351;width:10472;height:3" filled="true" fillcolor="#006a4d" stroked="false">
              <v:fill type="solid"/>
            </v:rect>
            <v:shape style="position:absolute;left:705;top:351;width:10486;height:252" type="#_x0000_t202" filled="false" stroked="false">
              <v:textbox inset="0,0,0,0">
                <w:txbxContent>
                  <w:p>
                    <w:pPr>
                      <w:spacing w:before="23"/>
                      <w:ind w:left="142" w:right="129" w:firstLine="0"/>
                      <w:jc w:val="center"/>
                      <w:rPr>
                        <w:b/>
                        <w:sz w:val="18"/>
                      </w:rPr>
                    </w:pPr>
                    <w:r>
                      <w:rPr>
                        <w:b/>
                        <w:color w:val="FFFFFF"/>
                        <w:w w:val="105"/>
                        <w:sz w:val="18"/>
                      </w:rPr>
                      <w:t>Lease Expiry</w:t>
                    </w:r>
                  </w:p>
                </w:txbxContent>
              </v:textbox>
              <w10:wrap type="none"/>
            </v:shape>
            <w10:wrap type="topAndBottom"/>
          </v:group>
        </w:pict>
      </w:r>
    </w:p>
    <w:p>
      <w:pPr>
        <w:pStyle w:val="BodyText"/>
        <w:rPr>
          <w:sz w:val="20"/>
        </w:rPr>
      </w:pPr>
    </w:p>
    <w:p>
      <w:pPr>
        <w:pStyle w:val="BodyText"/>
        <w:spacing w:before="2"/>
        <w:rPr>
          <w:sz w:val="18"/>
        </w:rPr>
      </w:pPr>
      <w:r>
        <w:rPr/>
        <w:drawing>
          <wp:anchor distT="0" distB="0" distL="0" distR="0" allowOverlap="1" layoutInCell="1" locked="0" behindDoc="0" simplePos="0" relativeHeight="1312">
            <wp:simplePos x="0" y="0"/>
            <wp:positionH relativeFrom="page">
              <wp:posOffset>998640</wp:posOffset>
            </wp:positionH>
            <wp:positionV relativeFrom="paragraph">
              <wp:posOffset>159289</wp:posOffset>
            </wp:positionV>
            <wp:extent cx="4973426" cy="2034539"/>
            <wp:effectExtent l="0" t="0" r="0" b="0"/>
            <wp:wrapTopAndBottom/>
            <wp:docPr id="293" name="image202.jpeg"/>
            <wp:cNvGraphicFramePr>
              <a:graphicFrameLocks noChangeAspect="1"/>
            </wp:cNvGraphicFramePr>
            <a:graphic>
              <a:graphicData uri="http://schemas.openxmlformats.org/drawingml/2006/picture">
                <pic:pic>
                  <pic:nvPicPr>
                    <pic:cNvPr id="294" name="image202.jpeg"/>
                    <pic:cNvPicPr/>
                  </pic:nvPicPr>
                  <pic:blipFill>
                    <a:blip r:embed="rId273" cstate="print"/>
                    <a:stretch>
                      <a:fillRect/>
                    </a:stretch>
                  </pic:blipFill>
                  <pic:spPr>
                    <a:xfrm>
                      <a:off x="0" y="0"/>
                      <a:ext cx="4973426" cy="2034539"/>
                    </a:xfrm>
                    <a:prstGeom prst="rect">
                      <a:avLst/>
                    </a:prstGeom>
                  </pic:spPr>
                </pic:pic>
              </a:graphicData>
            </a:graphic>
          </wp:anchor>
        </w:drawing>
      </w:r>
    </w:p>
    <w:p>
      <w:pPr>
        <w:pStyle w:val="BodyText"/>
        <w:spacing w:before="3"/>
        <w:rPr>
          <w:sz w:val="10"/>
        </w:rPr>
      </w:pPr>
    </w:p>
    <w:p>
      <w:pPr>
        <w:spacing w:before="104"/>
        <w:ind w:left="780" w:right="0" w:firstLine="0"/>
        <w:jc w:val="both"/>
        <w:rPr>
          <w:i/>
          <w:sz w:val="18"/>
        </w:rPr>
      </w:pPr>
      <w:r>
        <w:rPr>
          <w:i/>
          <w:sz w:val="18"/>
        </w:rPr>
        <w:t>Source: Rent Rolls and lease deeds (representative of financial year ending)</w:t>
      </w:r>
    </w:p>
    <w:p>
      <w:pPr>
        <w:pStyle w:val="BodyText"/>
        <w:spacing w:before="9"/>
        <w:rPr>
          <w:i/>
          <w:sz w:val="26"/>
        </w:rPr>
      </w:pPr>
    </w:p>
    <w:p>
      <w:pPr>
        <w:pStyle w:val="BodyText"/>
        <w:spacing w:line="321" w:lineRule="auto"/>
        <w:ind w:left="780" w:right="236"/>
        <w:jc w:val="both"/>
        <w:rPr>
          <w:sz w:val="20"/>
        </w:rPr>
      </w:pPr>
      <w:r>
        <w:rPr/>
        <w:t>Consultants</w:t>
      </w:r>
      <w:r>
        <w:rPr>
          <w:spacing w:val="-17"/>
        </w:rPr>
        <w:t> </w:t>
      </w:r>
      <w:r>
        <w:rPr/>
        <w:t>have</w:t>
      </w:r>
      <w:r>
        <w:rPr>
          <w:spacing w:val="-19"/>
        </w:rPr>
        <w:t> </w:t>
      </w:r>
      <w:r>
        <w:rPr/>
        <w:t>undertaken</w:t>
      </w:r>
      <w:r>
        <w:rPr>
          <w:spacing w:val="-18"/>
        </w:rPr>
        <w:t> </w:t>
      </w:r>
      <w:r>
        <w:rPr/>
        <w:t>an</w:t>
      </w:r>
      <w:r>
        <w:rPr>
          <w:spacing w:val="-17"/>
        </w:rPr>
        <w:t> </w:t>
      </w:r>
      <w:r>
        <w:rPr/>
        <w:t>in-depth</w:t>
      </w:r>
      <w:r>
        <w:rPr>
          <w:spacing w:val="-18"/>
        </w:rPr>
        <w:t> </w:t>
      </w:r>
      <w:r>
        <w:rPr/>
        <w:t>analysis</w:t>
      </w:r>
      <w:r>
        <w:rPr>
          <w:spacing w:val="-18"/>
        </w:rPr>
        <w:t> </w:t>
      </w:r>
      <w:r>
        <w:rPr/>
        <w:t>of</w:t>
      </w:r>
      <w:r>
        <w:rPr>
          <w:spacing w:val="-17"/>
        </w:rPr>
        <w:t> </w:t>
      </w:r>
      <w:r>
        <w:rPr/>
        <w:t>the</w:t>
      </w:r>
      <w:r>
        <w:rPr>
          <w:spacing w:val="-19"/>
        </w:rPr>
        <w:t> </w:t>
      </w:r>
      <w:r>
        <w:rPr/>
        <w:t>rent</w:t>
      </w:r>
      <w:r>
        <w:rPr>
          <w:spacing w:val="-19"/>
        </w:rPr>
        <w:t> </w:t>
      </w:r>
      <w:r>
        <w:rPr/>
        <w:t>roll/</w:t>
      </w:r>
      <w:r>
        <w:rPr>
          <w:spacing w:val="-16"/>
        </w:rPr>
        <w:t> </w:t>
      </w:r>
      <w:r>
        <w:rPr/>
        <w:t>lease</w:t>
      </w:r>
      <w:r>
        <w:rPr>
          <w:spacing w:val="-19"/>
        </w:rPr>
        <w:t> </w:t>
      </w:r>
      <w:r>
        <w:rPr/>
        <w:t>deeds</w:t>
      </w:r>
      <w:r>
        <w:rPr>
          <w:spacing w:val="-18"/>
        </w:rPr>
        <w:t> </w:t>
      </w:r>
      <w:r>
        <w:rPr/>
        <w:t>shared</w:t>
      </w:r>
      <w:r>
        <w:rPr>
          <w:spacing w:val="-17"/>
        </w:rPr>
        <w:t> </w:t>
      </w:r>
      <w:r>
        <w:rPr/>
        <w:t>by</w:t>
      </w:r>
      <w:r>
        <w:rPr>
          <w:spacing w:val="-18"/>
        </w:rPr>
        <w:t> </w:t>
      </w:r>
      <w:r>
        <w:rPr/>
        <w:t>the</w:t>
      </w:r>
      <w:r>
        <w:rPr>
          <w:spacing w:val="-19"/>
        </w:rPr>
        <w:t> </w:t>
      </w:r>
      <w:r>
        <w:rPr/>
        <w:t>Client,</w:t>
      </w:r>
      <w:r>
        <w:rPr>
          <w:spacing w:val="-19"/>
        </w:rPr>
        <w:t> </w:t>
      </w:r>
      <w:r>
        <w:rPr/>
        <w:t>to understand</w:t>
      </w:r>
      <w:r>
        <w:rPr>
          <w:spacing w:val="-28"/>
        </w:rPr>
        <w:t> </w:t>
      </w:r>
      <w:r>
        <w:rPr/>
        <w:t>the</w:t>
      </w:r>
      <w:r>
        <w:rPr>
          <w:spacing w:val="-26"/>
        </w:rPr>
        <w:t> </w:t>
      </w:r>
      <w:r>
        <w:rPr/>
        <w:t>lease</w:t>
      </w:r>
      <w:r>
        <w:rPr>
          <w:spacing w:val="-27"/>
        </w:rPr>
        <w:t> </w:t>
      </w:r>
      <w:r>
        <w:rPr/>
        <w:t>expiry</w:t>
      </w:r>
      <w:r>
        <w:rPr>
          <w:spacing w:val="-25"/>
        </w:rPr>
        <w:t> </w:t>
      </w:r>
      <w:r>
        <w:rPr/>
        <w:t>schedule</w:t>
      </w:r>
      <w:r>
        <w:rPr>
          <w:spacing w:val="-27"/>
        </w:rPr>
        <w:t> </w:t>
      </w:r>
      <w:r>
        <w:rPr/>
        <w:t>of</w:t>
      </w:r>
      <w:r>
        <w:rPr>
          <w:spacing w:val="-27"/>
        </w:rPr>
        <w:t> </w:t>
      </w:r>
      <w:r>
        <w:rPr/>
        <w:t>top</w:t>
      </w:r>
      <w:r>
        <w:rPr>
          <w:spacing w:val="-27"/>
        </w:rPr>
        <w:t> </w:t>
      </w:r>
      <w:r>
        <w:rPr/>
        <w:t>tenants</w:t>
      </w:r>
      <w:r>
        <w:rPr>
          <w:spacing w:val="-26"/>
        </w:rPr>
        <w:t> </w:t>
      </w:r>
      <w:r>
        <w:rPr/>
        <w:t>at</w:t>
      </w:r>
      <w:r>
        <w:rPr>
          <w:spacing w:val="-23"/>
        </w:rPr>
        <w:t> </w:t>
      </w:r>
      <w:r>
        <w:rPr/>
        <w:t>the</w:t>
      </w:r>
      <w:r>
        <w:rPr>
          <w:spacing w:val="-28"/>
        </w:rPr>
        <w:t> </w:t>
      </w:r>
      <w:r>
        <w:rPr/>
        <w:t>subject</w:t>
      </w:r>
      <w:r>
        <w:rPr>
          <w:spacing w:val="-27"/>
        </w:rPr>
        <w:t> </w:t>
      </w:r>
      <w:r>
        <w:rPr/>
        <w:t>property</w:t>
      </w:r>
      <w:r>
        <w:rPr>
          <w:spacing w:val="-27"/>
        </w:rPr>
        <w:t> </w:t>
      </w:r>
      <w:r>
        <w:rPr/>
        <w:t>and</w:t>
      </w:r>
      <w:r>
        <w:rPr>
          <w:spacing w:val="-26"/>
        </w:rPr>
        <w:t> </w:t>
      </w:r>
      <w:r>
        <w:rPr/>
        <w:t>rent</w:t>
      </w:r>
      <w:r>
        <w:rPr>
          <w:spacing w:val="-25"/>
        </w:rPr>
        <w:t> </w:t>
      </w:r>
      <w:r>
        <w:rPr/>
        <w:t>for</w:t>
      </w:r>
      <w:r>
        <w:rPr>
          <w:spacing w:val="-26"/>
        </w:rPr>
        <w:t> </w:t>
      </w:r>
      <w:r>
        <w:rPr/>
        <w:t>those</w:t>
      </w:r>
      <w:r>
        <w:rPr>
          <w:spacing w:val="-27"/>
        </w:rPr>
        <w:t> </w:t>
      </w:r>
      <w:r>
        <w:rPr/>
        <w:t>spaces</w:t>
      </w:r>
      <w:r>
        <w:rPr>
          <w:spacing w:val="-27"/>
        </w:rPr>
        <w:t> </w:t>
      </w:r>
      <w:r>
        <w:rPr/>
        <w:t>as of</w:t>
      </w:r>
      <w:r>
        <w:rPr>
          <w:spacing w:val="-25"/>
        </w:rPr>
        <w:t> </w:t>
      </w:r>
      <w:r>
        <w:rPr/>
        <w:t>date</w:t>
      </w:r>
      <w:r>
        <w:rPr>
          <w:spacing w:val="-26"/>
        </w:rPr>
        <w:t> </w:t>
      </w:r>
      <w:r>
        <w:rPr/>
        <w:t>of</w:t>
      </w:r>
      <w:r>
        <w:rPr>
          <w:spacing w:val="-25"/>
        </w:rPr>
        <w:t> </w:t>
      </w:r>
      <w:r>
        <w:rPr/>
        <w:t>valuation.</w:t>
      </w:r>
      <w:r>
        <w:rPr>
          <w:spacing w:val="-26"/>
        </w:rPr>
        <w:t> </w:t>
      </w:r>
      <w:r>
        <w:rPr/>
        <w:t>The</w:t>
      </w:r>
      <w:r>
        <w:rPr>
          <w:spacing w:val="-24"/>
        </w:rPr>
        <w:t> </w:t>
      </w:r>
      <w:r>
        <w:rPr/>
        <w:t>intent</w:t>
      </w:r>
      <w:r>
        <w:rPr>
          <w:spacing w:val="-26"/>
        </w:rPr>
        <w:t> </w:t>
      </w:r>
      <w:r>
        <w:rPr/>
        <w:t>of</w:t>
      </w:r>
      <w:r>
        <w:rPr>
          <w:spacing w:val="-25"/>
        </w:rPr>
        <w:t> </w:t>
      </w:r>
      <w:r>
        <w:rPr/>
        <w:t>the</w:t>
      </w:r>
      <w:r>
        <w:rPr>
          <w:spacing w:val="-25"/>
        </w:rPr>
        <w:t> </w:t>
      </w:r>
      <w:r>
        <w:rPr/>
        <w:t>same</w:t>
      </w:r>
      <w:r>
        <w:rPr>
          <w:spacing w:val="-26"/>
        </w:rPr>
        <w:t> </w:t>
      </w:r>
      <w:r>
        <w:rPr/>
        <w:t>is</w:t>
      </w:r>
      <w:r>
        <w:rPr>
          <w:spacing w:val="-25"/>
        </w:rPr>
        <w:t> </w:t>
      </w:r>
      <w:r>
        <w:rPr/>
        <w:t>to</w:t>
      </w:r>
      <w:r>
        <w:rPr>
          <w:spacing w:val="-26"/>
        </w:rPr>
        <w:t> </w:t>
      </w:r>
      <w:r>
        <w:rPr/>
        <w:t>analyse</w:t>
      </w:r>
      <w:r>
        <w:rPr>
          <w:spacing w:val="-25"/>
        </w:rPr>
        <w:t> </w:t>
      </w:r>
      <w:r>
        <w:rPr/>
        <w:t>the</w:t>
      </w:r>
      <w:r>
        <w:rPr>
          <w:spacing w:val="-26"/>
        </w:rPr>
        <w:t> </w:t>
      </w:r>
      <w:r>
        <w:rPr/>
        <w:t>risk</w:t>
      </w:r>
      <w:r>
        <w:rPr>
          <w:spacing w:val="-26"/>
        </w:rPr>
        <w:t> </w:t>
      </w:r>
      <w:r>
        <w:rPr/>
        <w:t>of</w:t>
      </w:r>
      <w:r>
        <w:rPr>
          <w:spacing w:val="-24"/>
        </w:rPr>
        <w:t> </w:t>
      </w:r>
      <w:r>
        <w:rPr/>
        <w:t>tenant</w:t>
      </w:r>
      <w:r>
        <w:rPr>
          <w:spacing w:val="-26"/>
        </w:rPr>
        <w:t> </w:t>
      </w:r>
      <w:r>
        <w:rPr/>
        <w:t>churn</w:t>
      </w:r>
      <w:r>
        <w:rPr>
          <w:spacing w:val="-26"/>
        </w:rPr>
        <w:t> </w:t>
      </w:r>
      <w:r>
        <w:rPr/>
        <w:t>as</w:t>
      </w:r>
      <w:r>
        <w:rPr>
          <w:spacing w:val="-24"/>
        </w:rPr>
        <w:t> </w:t>
      </w:r>
      <w:r>
        <w:rPr/>
        <w:t>well</w:t>
      </w:r>
      <w:r>
        <w:rPr>
          <w:spacing w:val="-26"/>
        </w:rPr>
        <w:t> </w:t>
      </w:r>
      <w:r>
        <w:rPr/>
        <w:t>as</w:t>
      </w:r>
      <w:r>
        <w:rPr>
          <w:spacing w:val="-25"/>
        </w:rPr>
        <w:t> </w:t>
      </w:r>
      <w:r>
        <w:rPr/>
        <w:t>assessing</w:t>
      </w:r>
      <w:r>
        <w:rPr>
          <w:spacing w:val="-26"/>
        </w:rPr>
        <w:t> </w:t>
      </w:r>
      <w:r>
        <w:rPr/>
        <w:t>the re-leasing risk for the property along with opining on the timeframe to lease-up the spaces in case</w:t>
      </w:r>
      <w:r>
        <w:rPr>
          <w:spacing w:val="-31"/>
        </w:rPr>
        <w:t> </w:t>
      </w:r>
      <w:r>
        <w:rPr/>
        <w:t>a significant vacancy arises at the</w:t>
      </w:r>
      <w:r>
        <w:rPr>
          <w:spacing w:val="-22"/>
        </w:rPr>
        <w:t> </w:t>
      </w:r>
      <w:r>
        <w:rPr/>
        <w:t>property</w:t>
      </w:r>
      <w:r>
        <w:rPr>
          <w:sz w:val="20"/>
        </w:rPr>
        <w:t>.</w:t>
      </w:r>
    </w:p>
    <w:p>
      <w:pPr>
        <w:pStyle w:val="BodyText"/>
        <w:spacing w:before="1"/>
        <w:rPr>
          <w:sz w:val="21"/>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09" w:id="603"/>
      <w:bookmarkEnd w:id="603"/>
      <w:r>
        <w:rPr/>
      </w:r>
      <w:bookmarkStart w:name="_bookmark309" w:id="604"/>
      <w:bookmarkEnd w:id="604"/>
      <w:r>
        <w:rPr>
          <w:color w:val="1F664D"/>
          <w:sz w:val="22"/>
        </w:rPr>
        <w:t>Esc</w:t>
      </w:r>
      <w:r>
        <w:rPr>
          <w:color w:val="1F664D"/>
          <w:sz w:val="22"/>
        </w:rPr>
        <w:t>alation</w:t>
      </w:r>
      <w:r>
        <w:rPr>
          <w:color w:val="1F664D"/>
          <w:spacing w:val="-3"/>
          <w:sz w:val="22"/>
        </w:rPr>
        <w:t> </w:t>
      </w:r>
      <w:r>
        <w:rPr>
          <w:color w:val="1F664D"/>
          <w:sz w:val="22"/>
        </w:rPr>
        <w:t>Analysis</w:t>
      </w:r>
    </w:p>
    <w:p>
      <w:pPr>
        <w:pStyle w:val="BodyText"/>
        <w:spacing w:line="321" w:lineRule="auto" w:before="208"/>
        <w:ind w:left="780" w:right="235"/>
        <w:jc w:val="both"/>
      </w:pPr>
      <w:r>
        <w:rPr/>
        <w:t>As</w:t>
      </w:r>
      <w:r>
        <w:rPr>
          <w:spacing w:val="-25"/>
        </w:rPr>
        <w:t> </w:t>
      </w:r>
      <w:r>
        <w:rPr/>
        <w:t>per</w:t>
      </w:r>
      <w:r>
        <w:rPr>
          <w:spacing w:val="-26"/>
        </w:rPr>
        <w:t> </w:t>
      </w:r>
      <w:r>
        <w:rPr/>
        <w:t>the</w:t>
      </w:r>
      <w:r>
        <w:rPr>
          <w:spacing w:val="-26"/>
        </w:rPr>
        <w:t> </w:t>
      </w:r>
      <w:r>
        <w:rPr/>
        <w:t>review</w:t>
      </w:r>
      <w:r>
        <w:rPr>
          <w:spacing w:val="-24"/>
        </w:rPr>
        <w:t> </w:t>
      </w:r>
      <w:r>
        <w:rPr/>
        <w:t>of</w:t>
      </w:r>
      <w:r>
        <w:rPr>
          <w:spacing w:val="-24"/>
        </w:rPr>
        <w:t> </w:t>
      </w:r>
      <w:r>
        <w:rPr/>
        <w:t>recent</w:t>
      </w:r>
      <w:r>
        <w:rPr>
          <w:spacing w:val="-25"/>
        </w:rPr>
        <w:t> </w:t>
      </w:r>
      <w:r>
        <w:rPr/>
        <w:t>executed</w:t>
      </w:r>
      <w:r>
        <w:rPr>
          <w:spacing w:val="-25"/>
        </w:rPr>
        <w:t> </w:t>
      </w:r>
      <w:r>
        <w:rPr/>
        <w:t>leases</w:t>
      </w:r>
      <w:r>
        <w:rPr>
          <w:spacing w:val="-24"/>
        </w:rPr>
        <w:t> </w:t>
      </w:r>
      <w:r>
        <w:rPr/>
        <w:t>at</w:t>
      </w:r>
      <w:r>
        <w:rPr>
          <w:spacing w:val="-25"/>
        </w:rPr>
        <w:t> </w:t>
      </w:r>
      <w:r>
        <w:rPr/>
        <w:t>the</w:t>
      </w:r>
      <w:r>
        <w:rPr>
          <w:spacing w:val="-26"/>
        </w:rPr>
        <w:t> </w:t>
      </w:r>
      <w:r>
        <w:rPr/>
        <w:t>subject</w:t>
      </w:r>
      <w:r>
        <w:rPr>
          <w:spacing w:val="-26"/>
        </w:rPr>
        <w:t> </w:t>
      </w:r>
      <w:r>
        <w:rPr/>
        <w:t>property</w:t>
      </w:r>
      <w:r>
        <w:rPr>
          <w:spacing w:val="-24"/>
        </w:rPr>
        <w:t> </w:t>
      </w:r>
      <w:r>
        <w:rPr/>
        <w:t>it</w:t>
      </w:r>
      <w:r>
        <w:rPr>
          <w:spacing w:val="-25"/>
        </w:rPr>
        <w:t> </w:t>
      </w:r>
      <w:r>
        <w:rPr/>
        <w:t>is</w:t>
      </w:r>
      <w:r>
        <w:rPr>
          <w:spacing w:val="-25"/>
        </w:rPr>
        <w:t> </w:t>
      </w:r>
      <w:r>
        <w:rPr/>
        <w:t>understood</w:t>
      </w:r>
      <w:r>
        <w:rPr>
          <w:spacing w:val="-25"/>
        </w:rPr>
        <w:t> </w:t>
      </w:r>
      <w:r>
        <w:rPr/>
        <w:t>that</w:t>
      </w:r>
      <w:r>
        <w:rPr>
          <w:spacing w:val="-26"/>
        </w:rPr>
        <w:t> </w:t>
      </w:r>
      <w:r>
        <w:rPr/>
        <w:t>the</w:t>
      </w:r>
      <w:r>
        <w:rPr>
          <w:spacing w:val="-25"/>
        </w:rPr>
        <w:t> </w:t>
      </w:r>
      <w:r>
        <w:rPr/>
        <w:t>contracted escalation</w:t>
      </w:r>
      <w:r>
        <w:rPr>
          <w:spacing w:val="-16"/>
        </w:rPr>
        <w:t> </w:t>
      </w:r>
      <w:r>
        <w:rPr/>
        <w:t>terms</w:t>
      </w:r>
      <w:r>
        <w:rPr>
          <w:spacing w:val="-13"/>
        </w:rPr>
        <w:t> </w:t>
      </w:r>
      <w:r>
        <w:rPr/>
        <w:t>for</w:t>
      </w:r>
      <w:r>
        <w:rPr>
          <w:spacing w:val="-15"/>
        </w:rPr>
        <w:t> </w:t>
      </w:r>
      <w:r>
        <w:rPr/>
        <w:t>these</w:t>
      </w:r>
      <w:r>
        <w:rPr>
          <w:spacing w:val="-17"/>
        </w:rPr>
        <w:t> </w:t>
      </w:r>
      <w:r>
        <w:rPr/>
        <w:t>leases</w:t>
      </w:r>
      <w:r>
        <w:rPr>
          <w:spacing w:val="-14"/>
        </w:rPr>
        <w:t> </w:t>
      </w:r>
      <w:r>
        <w:rPr/>
        <w:t>are</w:t>
      </w:r>
      <w:r>
        <w:rPr>
          <w:spacing w:val="-14"/>
        </w:rPr>
        <w:t> </w:t>
      </w:r>
      <w:r>
        <w:rPr/>
        <w:t>in</w:t>
      </w:r>
      <w:r>
        <w:rPr>
          <w:spacing w:val="-15"/>
        </w:rPr>
        <w:t> </w:t>
      </w:r>
      <w:r>
        <w:rPr/>
        <w:t>the</w:t>
      </w:r>
      <w:r>
        <w:rPr>
          <w:spacing w:val="-15"/>
        </w:rPr>
        <w:t> </w:t>
      </w:r>
      <w:r>
        <w:rPr/>
        <w:t>range</w:t>
      </w:r>
      <w:r>
        <w:rPr>
          <w:spacing w:val="-14"/>
        </w:rPr>
        <w:t> </w:t>
      </w:r>
      <w:r>
        <w:rPr/>
        <w:t>of</w:t>
      </w:r>
      <w:r>
        <w:rPr>
          <w:spacing w:val="-14"/>
        </w:rPr>
        <w:t> </w:t>
      </w:r>
      <w:r>
        <w:rPr/>
        <w:t>10.0%</w:t>
      </w:r>
      <w:r>
        <w:rPr>
          <w:spacing w:val="3"/>
        </w:rPr>
        <w:t> </w:t>
      </w:r>
      <w:r>
        <w:rPr/>
        <w:t>to</w:t>
      </w:r>
      <w:r>
        <w:rPr>
          <w:spacing w:val="2"/>
        </w:rPr>
        <w:t> </w:t>
      </w:r>
      <w:r>
        <w:rPr/>
        <w:t>15.0%</w:t>
      </w:r>
      <w:r>
        <w:rPr>
          <w:spacing w:val="3"/>
        </w:rPr>
        <w:t> </w:t>
      </w:r>
      <w:r>
        <w:rPr/>
        <w:t>every</w:t>
      </w:r>
      <w:r>
        <w:rPr>
          <w:spacing w:val="2"/>
        </w:rPr>
        <w:t> </w:t>
      </w:r>
      <w:r>
        <w:rPr/>
        <w:t>3 years</w:t>
      </w:r>
      <w:r>
        <w:rPr>
          <w:spacing w:val="3"/>
        </w:rPr>
        <w:t> </w:t>
      </w:r>
      <w:r>
        <w:rPr/>
        <w:t>are</w:t>
      </w:r>
      <w:r>
        <w:rPr>
          <w:spacing w:val="3"/>
        </w:rPr>
        <w:t> </w:t>
      </w:r>
      <w:r>
        <w:rPr/>
        <w:t>in</w:t>
      </w:r>
      <w:r>
        <w:rPr>
          <w:spacing w:val="2"/>
        </w:rPr>
        <w:t> </w:t>
      </w:r>
      <w:r>
        <w:rPr/>
        <w:t>line with</w:t>
      </w:r>
      <w:r>
        <w:rPr>
          <w:spacing w:val="2"/>
        </w:rPr>
        <w:t> </w:t>
      </w:r>
      <w:r>
        <w:rPr/>
        <w:t>the prevailing</w:t>
      </w:r>
      <w:r>
        <w:rPr>
          <w:spacing w:val="-7"/>
        </w:rPr>
        <w:t> </w:t>
      </w:r>
      <w:r>
        <w:rPr/>
        <w:t>market</w:t>
      </w:r>
      <w:r>
        <w:rPr>
          <w:spacing w:val="-7"/>
        </w:rPr>
        <w:t> </w:t>
      </w:r>
      <w:r>
        <w:rPr/>
        <w:t>practise</w:t>
      </w:r>
      <w:r>
        <w:rPr>
          <w:spacing w:val="-7"/>
        </w:rPr>
        <w:t> </w:t>
      </w:r>
      <w:r>
        <w:rPr/>
        <w:t>witnessed</w:t>
      </w:r>
      <w:r>
        <w:rPr>
          <w:spacing w:val="-6"/>
        </w:rPr>
        <w:t> </w:t>
      </w:r>
      <w:r>
        <w:rPr/>
        <w:t>across</w:t>
      </w:r>
      <w:r>
        <w:rPr>
          <w:spacing w:val="-6"/>
        </w:rPr>
        <w:t> </w:t>
      </w:r>
      <w:r>
        <w:rPr/>
        <w:t>the</w:t>
      </w:r>
      <w:r>
        <w:rPr>
          <w:spacing w:val="-6"/>
        </w:rPr>
        <w:t> </w:t>
      </w:r>
      <w:r>
        <w:rPr/>
        <w:t>sub</w:t>
      </w:r>
      <w:r>
        <w:rPr>
          <w:spacing w:val="-6"/>
        </w:rPr>
        <w:t> </w:t>
      </w:r>
      <w:r>
        <w:rPr/>
        <w:t>market</w:t>
      </w:r>
      <w:r>
        <w:rPr>
          <w:spacing w:val="-7"/>
        </w:rPr>
        <w:t> </w:t>
      </w:r>
      <w:r>
        <w:rPr/>
        <w:t>and</w:t>
      </w:r>
      <w:r>
        <w:rPr>
          <w:spacing w:val="-7"/>
        </w:rPr>
        <w:t> </w:t>
      </w:r>
      <w:r>
        <w:rPr/>
        <w:t>Bengaluru.</w:t>
      </w:r>
    </w:p>
    <w:p>
      <w:pPr>
        <w:pStyle w:val="BodyText"/>
        <w:spacing w:before="8"/>
        <w:rPr>
          <w:sz w:val="20"/>
        </w:rPr>
      </w:pPr>
    </w:p>
    <w:p>
      <w:pPr>
        <w:pStyle w:val="ListParagraph"/>
        <w:numPr>
          <w:ilvl w:val="1"/>
          <w:numId w:val="14"/>
        </w:numPr>
        <w:tabs>
          <w:tab w:pos="817" w:val="left" w:leader="none"/>
        </w:tabs>
        <w:spacing w:line="240" w:lineRule="auto" w:before="0" w:after="0"/>
        <w:ind w:left="816" w:right="0" w:hanging="577"/>
        <w:jc w:val="left"/>
        <w:rPr>
          <w:color w:val="1F6647"/>
          <w:sz w:val="22"/>
        </w:rPr>
      </w:pPr>
      <w:bookmarkStart w:name="_bookmark310" w:id="605"/>
      <w:bookmarkEnd w:id="605"/>
      <w:r>
        <w:rPr/>
      </w:r>
      <w:bookmarkStart w:name="_bookmark310" w:id="606"/>
      <w:bookmarkEnd w:id="606"/>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line="324" w:lineRule="auto" w:before="208"/>
        <w:ind w:left="780" w:right="238"/>
        <w:jc w:val="both"/>
      </w:pPr>
      <w:r>
        <w:rPr/>
        <w:t>The subject property is located along Intermediate Ring Road, which connects Indiranagar to Koramangala.</w:t>
      </w:r>
      <w:r>
        <w:rPr>
          <w:spacing w:val="-20"/>
        </w:rPr>
        <w:t> </w:t>
      </w:r>
      <w:r>
        <w:rPr/>
        <w:t>The</w:t>
      </w:r>
      <w:r>
        <w:rPr>
          <w:spacing w:val="-20"/>
        </w:rPr>
        <w:t> </w:t>
      </w:r>
      <w:r>
        <w:rPr/>
        <w:t>erstwhile</w:t>
      </w:r>
      <w:r>
        <w:rPr>
          <w:spacing w:val="-21"/>
        </w:rPr>
        <w:t> </w:t>
      </w:r>
      <w:r>
        <w:rPr/>
        <w:t>International</w:t>
      </w:r>
      <w:r>
        <w:rPr>
          <w:spacing w:val="-19"/>
        </w:rPr>
        <w:t> </w:t>
      </w:r>
      <w:r>
        <w:rPr/>
        <w:t>Airport</w:t>
      </w:r>
      <w:r>
        <w:rPr>
          <w:spacing w:val="-20"/>
        </w:rPr>
        <w:t> </w:t>
      </w:r>
      <w:r>
        <w:rPr/>
        <w:t>and</w:t>
      </w:r>
      <w:r>
        <w:rPr>
          <w:spacing w:val="-19"/>
        </w:rPr>
        <w:t> </w:t>
      </w:r>
      <w:r>
        <w:rPr/>
        <w:t>spill</w:t>
      </w:r>
      <w:r>
        <w:rPr>
          <w:spacing w:val="-20"/>
        </w:rPr>
        <w:t> </w:t>
      </w:r>
      <w:r>
        <w:rPr/>
        <w:t>over</w:t>
      </w:r>
      <w:r>
        <w:rPr>
          <w:spacing w:val="-20"/>
        </w:rPr>
        <w:t> </w:t>
      </w:r>
      <w:r>
        <w:rPr/>
        <w:t>of</w:t>
      </w:r>
      <w:r>
        <w:rPr>
          <w:spacing w:val="-19"/>
        </w:rPr>
        <w:t> </w:t>
      </w:r>
      <w:r>
        <w:rPr/>
        <w:t>activities</w:t>
      </w:r>
      <w:r>
        <w:rPr>
          <w:spacing w:val="-19"/>
        </w:rPr>
        <w:t> </w:t>
      </w:r>
      <w:r>
        <w:rPr/>
        <w:t>from</w:t>
      </w:r>
      <w:r>
        <w:rPr>
          <w:spacing w:val="-19"/>
        </w:rPr>
        <w:t> </w:t>
      </w:r>
      <w:r>
        <w:rPr/>
        <w:t>the</w:t>
      </w:r>
      <w:r>
        <w:rPr>
          <w:spacing w:val="-22"/>
        </w:rPr>
        <w:t> </w:t>
      </w:r>
      <w:r>
        <w:rPr/>
        <w:t>CBD</w:t>
      </w:r>
      <w:r>
        <w:rPr>
          <w:spacing w:val="-19"/>
        </w:rPr>
        <w:t> </w:t>
      </w:r>
      <w:r>
        <w:rPr/>
        <w:t>initiated</w:t>
      </w:r>
      <w:r>
        <w:rPr>
          <w:spacing w:val="-20"/>
        </w:rPr>
        <w:t> </w:t>
      </w:r>
      <w:r>
        <w:rPr/>
        <w:t>the</w:t>
      </w:r>
    </w:p>
    <w:p>
      <w:pPr>
        <w:spacing w:after="0" w:line="324" w:lineRule="auto"/>
        <w:jc w:val="both"/>
        <w:sectPr>
          <w:pgSz w:w="11910" w:h="16840"/>
          <w:pgMar w:header="720" w:footer="862" w:top="1660" w:bottom="1060" w:left="480" w:right="480"/>
        </w:sectPr>
      </w:pPr>
    </w:p>
    <w:p>
      <w:pPr>
        <w:pStyle w:val="BodyText"/>
        <w:spacing w:before="7"/>
        <w:rPr>
          <w:sz w:val="9"/>
        </w:rPr>
      </w:pPr>
    </w:p>
    <w:p>
      <w:pPr>
        <w:pStyle w:val="BodyText"/>
        <w:spacing w:line="321" w:lineRule="auto" w:before="106"/>
        <w:ind w:left="780" w:right="233"/>
        <w:jc w:val="both"/>
      </w:pPr>
      <w:r>
        <w:rPr/>
        <w:t>commencement</w:t>
      </w:r>
      <w:r>
        <w:rPr>
          <w:spacing w:val="-34"/>
        </w:rPr>
        <w:t> </w:t>
      </w:r>
      <w:r>
        <w:rPr/>
        <w:t>of</w:t>
      </w:r>
      <w:r>
        <w:rPr>
          <w:spacing w:val="-32"/>
        </w:rPr>
        <w:t> </w:t>
      </w:r>
      <w:r>
        <w:rPr/>
        <w:t>commercial</w:t>
      </w:r>
      <w:r>
        <w:rPr>
          <w:spacing w:val="-33"/>
        </w:rPr>
        <w:t> </w:t>
      </w:r>
      <w:r>
        <w:rPr/>
        <w:t>activities</w:t>
      </w:r>
      <w:r>
        <w:rPr>
          <w:spacing w:val="-32"/>
        </w:rPr>
        <w:t> </w:t>
      </w:r>
      <w:r>
        <w:rPr/>
        <w:t>and</w:t>
      </w:r>
      <w:r>
        <w:rPr>
          <w:spacing w:val="-33"/>
        </w:rPr>
        <w:t> </w:t>
      </w:r>
      <w:r>
        <w:rPr/>
        <w:t>redevelopment</w:t>
      </w:r>
      <w:r>
        <w:rPr>
          <w:spacing w:val="-33"/>
        </w:rPr>
        <w:t> </w:t>
      </w:r>
      <w:r>
        <w:rPr/>
        <w:t>of</w:t>
      </w:r>
      <w:r>
        <w:rPr>
          <w:spacing w:val="-32"/>
        </w:rPr>
        <w:t> </w:t>
      </w:r>
      <w:r>
        <w:rPr/>
        <w:t>residential</w:t>
      </w:r>
      <w:r>
        <w:rPr>
          <w:spacing w:val="-33"/>
        </w:rPr>
        <w:t> </w:t>
      </w:r>
      <w:r>
        <w:rPr/>
        <w:t>houses</w:t>
      </w:r>
      <w:r>
        <w:rPr>
          <w:spacing w:val="-32"/>
        </w:rPr>
        <w:t> </w:t>
      </w:r>
      <w:r>
        <w:rPr/>
        <w:t>in</w:t>
      </w:r>
      <w:r>
        <w:rPr>
          <w:spacing w:val="-34"/>
        </w:rPr>
        <w:t> </w:t>
      </w:r>
      <w:r>
        <w:rPr/>
        <w:t>the</w:t>
      </w:r>
      <w:r>
        <w:rPr>
          <w:spacing w:val="-32"/>
        </w:rPr>
        <w:t> </w:t>
      </w:r>
      <w:r>
        <w:rPr/>
        <w:t>sub</w:t>
      </w:r>
      <w:r>
        <w:rPr>
          <w:spacing w:val="-32"/>
        </w:rPr>
        <w:t> </w:t>
      </w:r>
      <w:r>
        <w:rPr/>
        <w:t>market.</w:t>
      </w:r>
      <w:r>
        <w:rPr>
          <w:spacing w:val="-34"/>
        </w:rPr>
        <w:t> </w:t>
      </w:r>
      <w:r>
        <w:rPr/>
        <w:t>On account of good connectivity to CBD, the subject region started witnessing large scale commercial developments such as Embassy GolfLinks (subject property), Diamond District etc. in early 2000. Increased</w:t>
      </w:r>
      <w:r>
        <w:rPr>
          <w:spacing w:val="-46"/>
        </w:rPr>
        <w:t> </w:t>
      </w:r>
      <w:r>
        <w:rPr/>
        <w:t>commercial</w:t>
      </w:r>
      <w:r>
        <w:rPr>
          <w:spacing w:val="-47"/>
        </w:rPr>
        <w:t> </w:t>
      </w:r>
      <w:r>
        <w:rPr/>
        <w:t>activities</w:t>
      </w:r>
      <w:r>
        <w:rPr>
          <w:spacing w:val="-45"/>
        </w:rPr>
        <w:t> </w:t>
      </w:r>
      <w:r>
        <w:rPr/>
        <w:t>in</w:t>
      </w:r>
      <w:r>
        <w:rPr>
          <w:spacing w:val="-47"/>
        </w:rPr>
        <w:t> </w:t>
      </w:r>
      <w:r>
        <w:rPr/>
        <w:t>the</w:t>
      </w:r>
      <w:r>
        <w:rPr>
          <w:spacing w:val="-46"/>
        </w:rPr>
        <w:t> </w:t>
      </w:r>
      <w:r>
        <w:rPr/>
        <w:t>subject</w:t>
      </w:r>
      <w:r>
        <w:rPr>
          <w:spacing w:val="-47"/>
        </w:rPr>
        <w:t> </w:t>
      </w:r>
      <w:r>
        <w:rPr/>
        <w:t>sub</w:t>
      </w:r>
      <w:r>
        <w:rPr>
          <w:spacing w:val="-45"/>
        </w:rPr>
        <w:t> </w:t>
      </w:r>
      <w:r>
        <w:rPr/>
        <w:t>market</w:t>
      </w:r>
      <w:r>
        <w:rPr>
          <w:spacing w:val="-46"/>
        </w:rPr>
        <w:t> </w:t>
      </w:r>
      <w:r>
        <w:rPr/>
        <w:t>have</w:t>
      </w:r>
      <w:r>
        <w:rPr>
          <w:spacing w:val="-47"/>
        </w:rPr>
        <w:t> </w:t>
      </w:r>
      <w:r>
        <w:rPr/>
        <w:t>led</w:t>
      </w:r>
      <w:r>
        <w:rPr>
          <w:spacing w:val="-45"/>
        </w:rPr>
        <w:t> </w:t>
      </w:r>
      <w:r>
        <w:rPr/>
        <w:t>to</w:t>
      </w:r>
      <w:r>
        <w:rPr>
          <w:spacing w:val="-46"/>
        </w:rPr>
        <w:t> </w:t>
      </w:r>
      <w:r>
        <w:rPr/>
        <w:t>the</w:t>
      </w:r>
      <w:r>
        <w:rPr>
          <w:spacing w:val="-47"/>
        </w:rPr>
        <w:t> </w:t>
      </w:r>
      <w:r>
        <w:rPr/>
        <w:t>transformation</w:t>
      </w:r>
      <w:r>
        <w:rPr>
          <w:spacing w:val="-46"/>
        </w:rPr>
        <w:t> </w:t>
      </w:r>
      <w:r>
        <w:rPr/>
        <w:t>of</w:t>
      </w:r>
      <w:r>
        <w:rPr>
          <w:spacing w:val="-47"/>
        </w:rPr>
        <w:t> </w:t>
      </w:r>
      <w:r>
        <w:rPr/>
        <w:t>the</w:t>
      </w:r>
      <w:r>
        <w:rPr>
          <w:spacing w:val="-46"/>
        </w:rPr>
        <w:t> </w:t>
      </w:r>
      <w:r>
        <w:rPr/>
        <w:t>residential profile around the subject sub market to a preferred location for the affluent and further led to commensurate</w:t>
      </w:r>
      <w:r>
        <w:rPr>
          <w:spacing w:val="-39"/>
        </w:rPr>
        <w:t> </w:t>
      </w:r>
      <w:r>
        <w:rPr/>
        <w:t>increase</w:t>
      </w:r>
      <w:r>
        <w:rPr>
          <w:spacing w:val="-39"/>
        </w:rPr>
        <w:t> </w:t>
      </w:r>
      <w:r>
        <w:rPr/>
        <w:t>in</w:t>
      </w:r>
      <w:r>
        <w:rPr>
          <w:spacing w:val="-39"/>
        </w:rPr>
        <w:t> </w:t>
      </w:r>
      <w:r>
        <w:rPr/>
        <w:t>capital</w:t>
      </w:r>
      <w:r>
        <w:rPr>
          <w:spacing w:val="-39"/>
        </w:rPr>
        <w:t> </w:t>
      </w:r>
      <w:r>
        <w:rPr/>
        <w:t>values.</w:t>
      </w:r>
      <w:r>
        <w:rPr>
          <w:spacing w:val="-39"/>
        </w:rPr>
        <w:t> </w:t>
      </w:r>
      <w:r>
        <w:rPr/>
        <w:t>The</w:t>
      </w:r>
      <w:r>
        <w:rPr>
          <w:spacing w:val="-39"/>
        </w:rPr>
        <w:t> </w:t>
      </w:r>
      <w:r>
        <w:rPr/>
        <w:t>subject</w:t>
      </w:r>
      <w:r>
        <w:rPr>
          <w:spacing w:val="-38"/>
        </w:rPr>
        <w:t> </w:t>
      </w:r>
      <w:r>
        <w:rPr/>
        <w:t>sub</w:t>
      </w:r>
      <w:r>
        <w:rPr>
          <w:spacing w:val="-39"/>
        </w:rPr>
        <w:t> </w:t>
      </w:r>
      <w:r>
        <w:rPr/>
        <w:t>market</w:t>
      </w:r>
      <w:r>
        <w:rPr>
          <w:spacing w:val="-38"/>
        </w:rPr>
        <w:t> </w:t>
      </w:r>
      <w:r>
        <w:rPr/>
        <w:t>has</w:t>
      </w:r>
      <w:r>
        <w:rPr>
          <w:spacing w:val="-38"/>
        </w:rPr>
        <w:t> </w:t>
      </w:r>
      <w:r>
        <w:rPr/>
        <w:t>also</w:t>
      </w:r>
      <w:r>
        <w:rPr>
          <w:spacing w:val="-39"/>
        </w:rPr>
        <w:t> </w:t>
      </w:r>
      <w:r>
        <w:rPr/>
        <w:t>emerged</w:t>
      </w:r>
      <w:r>
        <w:rPr>
          <w:spacing w:val="-38"/>
        </w:rPr>
        <w:t> </w:t>
      </w:r>
      <w:r>
        <w:rPr/>
        <w:t>as</w:t>
      </w:r>
      <w:r>
        <w:rPr>
          <w:spacing w:val="-38"/>
        </w:rPr>
        <w:t> </w:t>
      </w:r>
      <w:r>
        <w:rPr/>
        <w:t>a</w:t>
      </w:r>
      <w:r>
        <w:rPr>
          <w:spacing w:val="-39"/>
        </w:rPr>
        <w:t> </w:t>
      </w:r>
      <w:r>
        <w:rPr/>
        <w:t>retail</w:t>
      </w:r>
      <w:r>
        <w:rPr>
          <w:spacing w:val="-39"/>
        </w:rPr>
        <w:t> </w:t>
      </w:r>
      <w:r>
        <w:rPr/>
        <w:t>destination and</w:t>
      </w:r>
      <w:r>
        <w:rPr>
          <w:spacing w:val="-37"/>
        </w:rPr>
        <w:t> </w:t>
      </w:r>
      <w:r>
        <w:rPr/>
        <w:t>is</w:t>
      </w:r>
      <w:r>
        <w:rPr>
          <w:spacing w:val="-37"/>
        </w:rPr>
        <w:t> </w:t>
      </w:r>
      <w:r>
        <w:rPr/>
        <w:t>primarily</w:t>
      </w:r>
      <w:r>
        <w:rPr>
          <w:spacing w:val="-36"/>
        </w:rPr>
        <w:t> </w:t>
      </w:r>
      <w:r>
        <w:rPr/>
        <w:t>in</w:t>
      </w:r>
      <w:r>
        <w:rPr>
          <w:spacing w:val="-38"/>
        </w:rPr>
        <w:t> </w:t>
      </w:r>
      <w:r>
        <w:rPr/>
        <w:t>the</w:t>
      </w:r>
      <w:r>
        <w:rPr>
          <w:spacing w:val="-37"/>
        </w:rPr>
        <w:t> </w:t>
      </w:r>
      <w:r>
        <w:rPr/>
        <w:t>form</w:t>
      </w:r>
      <w:r>
        <w:rPr>
          <w:spacing w:val="-37"/>
        </w:rPr>
        <w:t> </w:t>
      </w:r>
      <w:r>
        <w:rPr/>
        <w:t>of</w:t>
      </w:r>
      <w:r>
        <w:rPr>
          <w:spacing w:val="-36"/>
        </w:rPr>
        <w:t> </w:t>
      </w:r>
      <w:r>
        <w:rPr/>
        <w:t>high-street</w:t>
      </w:r>
      <w:r>
        <w:rPr>
          <w:spacing w:val="-37"/>
        </w:rPr>
        <w:t> </w:t>
      </w:r>
      <w:r>
        <w:rPr/>
        <w:t>formats</w:t>
      </w:r>
      <w:r>
        <w:rPr>
          <w:spacing w:val="-36"/>
        </w:rPr>
        <w:t> </w:t>
      </w:r>
      <w:r>
        <w:rPr/>
        <w:t>housing</w:t>
      </w:r>
      <w:r>
        <w:rPr>
          <w:spacing w:val="-37"/>
        </w:rPr>
        <w:t> </w:t>
      </w:r>
      <w:r>
        <w:rPr/>
        <w:t>standalone</w:t>
      </w:r>
      <w:r>
        <w:rPr>
          <w:spacing w:val="-37"/>
        </w:rPr>
        <w:t> </w:t>
      </w:r>
      <w:r>
        <w:rPr/>
        <w:t>units,</w:t>
      </w:r>
      <w:r>
        <w:rPr>
          <w:spacing w:val="-37"/>
        </w:rPr>
        <w:t> </w:t>
      </w:r>
      <w:r>
        <w:rPr/>
        <w:t>typically</w:t>
      </w:r>
      <w:r>
        <w:rPr>
          <w:spacing w:val="-36"/>
        </w:rPr>
        <w:t> </w:t>
      </w:r>
      <w:r>
        <w:rPr/>
        <w:t>witnessed</w:t>
      </w:r>
      <w:r>
        <w:rPr>
          <w:spacing w:val="-37"/>
        </w:rPr>
        <w:t> </w:t>
      </w:r>
      <w:r>
        <w:rPr/>
        <w:t>along</w:t>
      </w:r>
      <w:r>
        <w:rPr>
          <w:spacing w:val="-37"/>
        </w:rPr>
        <w:t> </w:t>
      </w:r>
      <w:r>
        <w:rPr/>
        <w:t>the 100 feet</w:t>
      </w:r>
      <w:r>
        <w:rPr>
          <w:spacing w:val="-5"/>
        </w:rPr>
        <w:t> </w:t>
      </w:r>
      <w:r>
        <w:rPr/>
        <w:t>road.</w:t>
      </w:r>
    </w:p>
    <w:p>
      <w:pPr>
        <w:pStyle w:val="BodyText"/>
        <w:spacing w:before="2"/>
        <w:rPr>
          <w:sz w:val="21"/>
        </w:rPr>
      </w:pPr>
    </w:p>
    <w:p>
      <w:pPr>
        <w:pStyle w:val="BodyText"/>
        <w:spacing w:line="321" w:lineRule="auto"/>
        <w:ind w:left="780" w:right="234"/>
        <w:jc w:val="both"/>
      </w:pPr>
      <w:r>
        <w:rPr/>
        <w:t>In</w:t>
      </w:r>
      <w:r>
        <w:rPr>
          <w:spacing w:val="-40"/>
        </w:rPr>
        <w:t> </w:t>
      </w:r>
      <w:r>
        <w:rPr/>
        <w:t>addition,</w:t>
      </w:r>
      <w:r>
        <w:rPr>
          <w:spacing w:val="-40"/>
        </w:rPr>
        <w:t> </w:t>
      </w:r>
      <w:r>
        <w:rPr/>
        <w:t>the</w:t>
      </w:r>
      <w:r>
        <w:rPr>
          <w:spacing w:val="-40"/>
        </w:rPr>
        <w:t> </w:t>
      </w:r>
      <w:r>
        <w:rPr/>
        <w:t>subject</w:t>
      </w:r>
      <w:r>
        <w:rPr>
          <w:spacing w:val="-39"/>
        </w:rPr>
        <w:t> </w:t>
      </w:r>
      <w:r>
        <w:rPr/>
        <w:t>sub</w:t>
      </w:r>
      <w:r>
        <w:rPr>
          <w:spacing w:val="-39"/>
        </w:rPr>
        <w:t> </w:t>
      </w:r>
      <w:r>
        <w:rPr/>
        <w:t>market</w:t>
      </w:r>
      <w:r>
        <w:rPr>
          <w:spacing w:val="-39"/>
        </w:rPr>
        <w:t> </w:t>
      </w:r>
      <w:r>
        <w:rPr/>
        <w:t>is</w:t>
      </w:r>
      <w:r>
        <w:rPr>
          <w:spacing w:val="-40"/>
        </w:rPr>
        <w:t> </w:t>
      </w:r>
      <w:r>
        <w:rPr/>
        <w:t>well</w:t>
      </w:r>
      <w:r>
        <w:rPr>
          <w:spacing w:val="-41"/>
        </w:rPr>
        <w:t> </w:t>
      </w:r>
      <w:r>
        <w:rPr/>
        <w:t>connected</w:t>
      </w:r>
      <w:r>
        <w:rPr>
          <w:spacing w:val="-39"/>
        </w:rPr>
        <w:t> </w:t>
      </w:r>
      <w:r>
        <w:rPr/>
        <w:t>by</w:t>
      </w:r>
      <w:r>
        <w:rPr>
          <w:spacing w:val="-39"/>
        </w:rPr>
        <w:t> </w:t>
      </w:r>
      <w:r>
        <w:rPr/>
        <w:t>various</w:t>
      </w:r>
      <w:r>
        <w:rPr>
          <w:spacing w:val="-40"/>
        </w:rPr>
        <w:t> </w:t>
      </w:r>
      <w:r>
        <w:rPr/>
        <w:t>prominent</w:t>
      </w:r>
      <w:r>
        <w:rPr>
          <w:spacing w:val="-40"/>
        </w:rPr>
        <w:t> </w:t>
      </w:r>
      <w:r>
        <w:rPr/>
        <w:t>roads</w:t>
      </w:r>
      <w:r>
        <w:rPr>
          <w:spacing w:val="-40"/>
        </w:rPr>
        <w:t> </w:t>
      </w:r>
      <w:r>
        <w:rPr/>
        <w:t>such</w:t>
      </w:r>
      <w:r>
        <w:rPr>
          <w:spacing w:val="-40"/>
        </w:rPr>
        <w:t> </w:t>
      </w:r>
      <w:r>
        <w:rPr/>
        <w:t>as</w:t>
      </w:r>
      <w:r>
        <w:rPr>
          <w:spacing w:val="-40"/>
        </w:rPr>
        <w:t> </w:t>
      </w:r>
      <w:r>
        <w:rPr/>
        <w:t>the</w:t>
      </w:r>
      <w:r>
        <w:rPr>
          <w:spacing w:val="-40"/>
        </w:rPr>
        <w:t> </w:t>
      </w:r>
      <w:r>
        <w:rPr/>
        <w:t>Intermediate Ring Road, Old Airport Road and the Old Madras road which has made the subject sub market easily accessible</w:t>
      </w:r>
      <w:r>
        <w:rPr>
          <w:spacing w:val="-37"/>
        </w:rPr>
        <w:t> </w:t>
      </w:r>
      <w:r>
        <w:rPr/>
        <w:t>to</w:t>
      </w:r>
      <w:r>
        <w:rPr>
          <w:spacing w:val="-37"/>
        </w:rPr>
        <w:t> </w:t>
      </w:r>
      <w:r>
        <w:rPr/>
        <w:t>the</w:t>
      </w:r>
      <w:r>
        <w:rPr>
          <w:spacing w:val="-37"/>
        </w:rPr>
        <w:t> </w:t>
      </w:r>
      <w:r>
        <w:rPr/>
        <w:t>city</w:t>
      </w:r>
      <w:r>
        <w:rPr>
          <w:spacing w:val="-36"/>
        </w:rPr>
        <w:t> </w:t>
      </w:r>
      <w:r>
        <w:rPr/>
        <w:t>centre,</w:t>
      </w:r>
      <w:r>
        <w:rPr>
          <w:spacing w:val="-36"/>
        </w:rPr>
        <w:t> </w:t>
      </w:r>
      <w:r>
        <w:rPr/>
        <w:t>established</w:t>
      </w:r>
      <w:r>
        <w:rPr>
          <w:spacing w:val="-36"/>
        </w:rPr>
        <w:t> </w:t>
      </w:r>
      <w:r>
        <w:rPr/>
        <w:t>residential</w:t>
      </w:r>
      <w:r>
        <w:rPr>
          <w:spacing w:val="-38"/>
        </w:rPr>
        <w:t> </w:t>
      </w:r>
      <w:r>
        <w:rPr/>
        <w:t>locations</w:t>
      </w:r>
      <w:r>
        <w:rPr>
          <w:spacing w:val="-36"/>
        </w:rPr>
        <w:t> </w:t>
      </w:r>
      <w:r>
        <w:rPr/>
        <w:t>of</w:t>
      </w:r>
      <w:r>
        <w:rPr>
          <w:spacing w:val="-35"/>
        </w:rPr>
        <w:t> </w:t>
      </w:r>
      <w:r>
        <w:rPr/>
        <w:t>Koramangala,</w:t>
      </w:r>
      <w:r>
        <w:rPr>
          <w:spacing w:val="-37"/>
        </w:rPr>
        <w:t> </w:t>
      </w:r>
      <w:r>
        <w:rPr/>
        <w:t>Old</w:t>
      </w:r>
      <w:r>
        <w:rPr>
          <w:spacing w:val="-36"/>
        </w:rPr>
        <w:t> </w:t>
      </w:r>
      <w:r>
        <w:rPr/>
        <w:t>Airport</w:t>
      </w:r>
      <w:r>
        <w:rPr>
          <w:spacing w:val="-36"/>
        </w:rPr>
        <w:t> </w:t>
      </w:r>
      <w:r>
        <w:rPr/>
        <w:t>Road</w:t>
      </w:r>
      <w:r>
        <w:rPr>
          <w:spacing w:val="-35"/>
        </w:rPr>
        <w:t> </w:t>
      </w:r>
      <w:r>
        <w:rPr/>
        <w:t>etc.</w:t>
      </w:r>
      <w:r>
        <w:rPr>
          <w:spacing w:val="-37"/>
        </w:rPr>
        <w:t> </w:t>
      </w:r>
      <w:r>
        <w:rPr/>
        <w:t>and commercial office destinations such as Whitefield, Old Madras Road etc. The Metro, which passes through</w:t>
      </w:r>
      <w:r>
        <w:rPr>
          <w:spacing w:val="-23"/>
        </w:rPr>
        <w:t> </w:t>
      </w:r>
      <w:r>
        <w:rPr/>
        <w:t>Indiranagar</w:t>
      </w:r>
      <w:r>
        <w:rPr>
          <w:spacing w:val="-22"/>
        </w:rPr>
        <w:t> </w:t>
      </w:r>
      <w:r>
        <w:rPr/>
        <w:t>and</w:t>
      </w:r>
      <w:r>
        <w:rPr>
          <w:spacing w:val="-23"/>
        </w:rPr>
        <w:t> </w:t>
      </w:r>
      <w:r>
        <w:rPr/>
        <w:t>Swami</w:t>
      </w:r>
      <w:r>
        <w:rPr>
          <w:spacing w:val="-22"/>
        </w:rPr>
        <w:t> </w:t>
      </w:r>
      <w:r>
        <w:rPr/>
        <w:t>Vivekanand</w:t>
      </w:r>
      <w:r>
        <w:rPr>
          <w:spacing w:val="-22"/>
        </w:rPr>
        <w:t> </w:t>
      </w:r>
      <w:r>
        <w:rPr/>
        <w:t>road,</w:t>
      </w:r>
      <w:r>
        <w:rPr>
          <w:spacing w:val="-22"/>
        </w:rPr>
        <w:t> </w:t>
      </w:r>
      <w:r>
        <w:rPr/>
        <w:t>has</w:t>
      </w:r>
      <w:r>
        <w:rPr>
          <w:spacing w:val="-21"/>
        </w:rPr>
        <w:t> </w:t>
      </w:r>
      <w:r>
        <w:rPr/>
        <w:t>further</w:t>
      </w:r>
      <w:r>
        <w:rPr>
          <w:spacing w:val="-22"/>
        </w:rPr>
        <w:t> </w:t>
      </w:r>
      <w:r>
        <w:rPr/>
        <w:t>increased</w:t>
      </w:r>
      <w:r>
        <w:rPr>
          <w:spacing w:val="-21"/>
        </w:rPr>
        <w:t> </w:t>
      </w:r>
      <w:r>
        <w:rPr/>
        <w:t>the</w:t>
      </w:r>
      <w:r>
        <w:rPr>
          <w:spacing w:val="-24"/>
        </w:rPr>
        <w:t> </w:t>
      </w:r>
      <w:r>
        <w:rPr/>
        <w:t>connectivity</w:t>
      </w:r>
      <w:r>
        <w:rPr>
          <w:spacing w:val="-21"/>
        </w:rPr>
        <w:t> </w:t>
      </w:r>
      <w:r>
        <w:rPr/>
        <w:t>of</w:t>
      </w:r>
      <w:r>
        <w:rPr>
          <w:spacing w:val="-21"/>
        </w:rPr>
        <w:t> </w:t>
      </w:r>
      <w:r>
        <w:rPr/>
        <w:t>the</w:t>
      </w:r>
      <w:r>
        <w:rPr>
          <w:spacing w:val="-23"/>
        </w:rPr>
        <w:t> </w:t>
      </w:r>
      <w:r>
        <w:rPr/>
        <w:t>region.</w:t>
      </w:r>
    </w:p>
    <w:p>
      <w:pPr>
        <w:pStyle w:val="BodyText"/>
        <w:spacing w:before="9"/>
        <w:rPr>
          <w:sz w:val="20"/>
        </w:rPr>
      </w:pPr>
    </w:p>
    <w:p>
      <w:pPr>
        <w:pStyle w:val="BodyText"/>
        <w:spacing w:line="321" w:lineRule="auto" w:before="1"/>
        <w:ind w:left="780" w:right="235"/>
        <w:jc w:val="both"/>
      </w:pPr>
      <w:r>
        <w:rPr/>
        <w:t>This</w:t>
      </w:r>
      <w:r>
        <w:rPr>
          <w:spacing w:val="-31"/>
        </w:rPr>
        <w:t> </w:t>
      </w:r>
      <w:r>
        <w:rPr/>
        <w:t>location</w:t>
      </w:r>
      <w:r>
        <w:rPr>
          <w:spacing w:val="-31"/>
        </w:rPr>
        <w:t> </w:t>
      </w:r>
      <w:r>
        <w:rPr/>
        <w:t>is</w:t>
      </w:r>
      <w:r>
        <w:rPr>
          <w:spacing w:val="-30"/>
        </w:rPr>
        <w:t> </w:t>
      </w:r>
      <w:r>
        <w:rPr/>
        <w:t>also</w:t>
      </w:r>
      <w:r>
        <w:rPr>
          <w:spacing w:val="-32"/>
        </w:rPr>
        <w:t> </w:t>
      </w:r>
      <w:r>
        <w:rPr/>
        <w:t>home</w:t>
      </w:r>
      <w:r>
        <w:rPr>
          <w:spacing w:val="-31"/>
        </w:rPr>
        <w:t> </w:t>
      </w:r>
      <w:r>
        <w:rPr/>
        <w:t>to</w:t>
      </w:r>
      <w:r>
        <w:rPr>
          <w:spacing w:val="-31"/>
        </w:rPr>
        <w:t> </w:t>
      </w:r>
      <w:r>
        <w:rPr/>
        <w:t>several</w:t>
      </w:r>
      <w:r>
        <w:rPr>
          <w:spacing w:val="-31"/>
        </w:rPr>
        <w:t> </w:t>
      </w:r>
      <w:r>
        <w:rPr/>
        <w:t>educational</w:t>
      </w:r>
      <w:r>
        <w:rPr>
          <w:spacing w:val="-32"/>
        </w:rPr>
        <w:t> </w:t>
      </w:r>
      <w:r>
        <w:rPr/>
        <w:t>institutions</w:t>
      </w:r>
      <w:r>
        <w:rPr>
          <w:spacing w:val="-30"/>
        </w:rPr>
        <w:t> </w:t>
      </w:r>
      <w:r>
        <w:rPr/>
        <w:t>and</w:t>
      </w:r>
      <w:r>
        <w:rPr>
          <w:spacing w:val="-31"/>
        </w:rPr>
        <w:t> </w:t>
      </w:r>
      <w:r>
        <w:rPr/>
        <w:t>hospitals,</w:t>
      </w:r>
      <w:r>
        <w:rPr>
          <w:spacing w:val="-32"/>
        </w:rPr>
        <w:t> </w:t>
      </w:r>
      <w:r>
        <w:rPr/>
        <w:t>which</w:t>
      </w:r>
      <w:r>
        <w:rPr>
          <w:spacing w:val="-32"/>
        </w:rPr>
        <w:t> </w:t>
      </w:r>
      <w:r>
        <w:rPr/>
        <w:t>emerged,</w:t>
      </w:r>
      <w:r>
        <w:rPr>
          <w:spacing w:val="-31"/>
        </w:rPr>
        <w:t> </w:t>
      </w:r>
      <w:r>
        <w:rPr/>
        <w:t>owing</w:t>
      </w:r>
      <w:r>
        <w:rPr>
          <w:spacing w:val="-30"/>
        </w:rPr>
        <w:t> </w:t>
      </w:r>
      <w:r>
        <w:rPr/>
        <w:t>to</w:t>
      </w:r>
      <w:r>
        <w:rPr>
          <w:spacing w:val="-32"/>
        </w:rPr>
        <w:t> </w:t>
      </w:r>
      <w:r>
        <w:rPr/>
        <w:t>the large</w:t>
      </w:r>
      <w:r>
        <w:rPr>
          <w:spacing w:val="-33"/>
        </w:rPr>
        <w:t> </w:t>
      </w:r>
      <w:r>
        <w:rPr/>
        <w:t>residential</w:t>
      </w:r>
      <w:r>
        <w:rPr>
          <w:spacing w:val="-32"/>
        </w:rPr>
        <w:t> </w:t>
      </w:r>
      <w:r>
        <w:rPr/>
        <w:t>catchment.</w:t>
      </w:r>
      <w:r>
        <w:rPr>
          <w:spacing w:val="-32"/>
        </w:rPr>
        <w:t> </w:t>
      </w:r>
      <w:r>
        <w:rPr/>
        <w:t>Some</w:t>
      </w:r>
      <w:r>
        <w:rPr>
          <w:spacing w:val="-32"/>
        </w:rPr>
        <w:t> </w:t>
      </w:r>
      <w:r>
        <w:rPr/>
        <w:t>of</w:t>
      </w:r>
      <w:r>
        <w:rPr>
          <w:spacing w:val="-31"/>
        </w:rPr>
        <w:t> </w:t>
      </w:r>
      <w:r>
        <w:rPr/>
        <w:t>the</w:t>
      </w:r>
      <w:r>
        <w:rPr>
          <w:spacing w:val="-34"/>
        </w:rPr>
        <w:t> </w:t>
      </w:r>
      <w:r>
        <w:rPr/>
        <w:t>prominent</w:t>
      </w:r>
      <w:r>
        <w:rPr>
          <w:spacing w:val="-32"/>
        </w:rPr>
        <w:t> </w:t>
      </w:r>
      <w:r>
        <w:rPr/>
        <w:t>educational</w:t>
      </w:r>
      <w:r>
        <w:rPr>
          <w:spacing w:val="-32"/>
        </w:rPr>
        <w:t> </w:t>
      </w:r>
      <w:r>
        <w:rPr/>
        <w:t>institutes</w:t>
      </w:r>
      <w:r>
        <w:rPr>
          <w:spacing w:val="-31"/>
        </w:rPr>
        <w:t> </w:t>
      </w:r>
      <w:r>
        <w:rPr/>
        <w:t>include</w:t>
      </w:r>
      <w:r>
        <w:rPr>
          <w:spacing w:val="-32"/>
        </w:rPr>
        <w:t> </w:t>
      </w:r>
      <w:r>
        <w:rPr/>
        <w:t>Cauvery</w:t>
      </w:r>
      <w:r>
        <w:rPr>
          <w:spacing w:val="-31"/>
        </w:rPr>
        <w:t> </w:t>
      </w:r>
      <w:r>
        <w:rPr/>
        <w:t>High</w:t>
      </w:r>
      <w:r>
        <w:rPr>
          <w:spacing w:val="-32"/>
        </w:rPr>
        <w:t> </w:t>
      </w:r>
      <w:r>
        <w:rPr/>
        <w:t>School, Frank</w:t>
      </w:r>
      <w:r>
        <w:rPr>
          <w:spacing w:val="-21"/>
        </w:rPr>
        <w:t> </w:t>
      </w:r>
      <w:r>
        <w:rPr/>
        <w:t>Anthony</w:t>
      </w:r>
      <w:r>
        <w:rPr>
          <w:spacing w:val="-20"/>
        </w:rPr>
        <w:t> </w:t>
      </w:r>
      <w:r>
        <w:rPr/>
        <w:t>Public</w:t>
      </w:r>
      <w:r>
        <w:rPr>
          <w:spacing w:val="-19"/>
        </w:rPr>
        <w:t> </w:t>
      </w:r>
      <w:r>
        <w:rPr/>
        <w:t>School</w:t>
      </w:r>
      <w:r>
        <w:rPr>
          <w:spacing w:val="-19"/>
        </w:rPr>
        <w:t> </w:t>
      </w:r>
      <w:r>
        <w:rPr/>
        <w:t>and</w:t>
      </w:r>
      <w:r>
        <w:rPr>
          <w:spacing w:val="-19"/>
        </w:rPr>
        <w:t> </w:t>
      </w:r>
      <w:r>
        <w:rPr/>
        <w:t>prominent</w:t>
      </w:r>
      <w:r>
        <w:rPr>
          <w:spacing w:val="-19"/>
        </w:rPr>
        <w:t> </w:t>
      </w:r>
      <w:r>
        <w:rPr/>
        <w:t>hospitals</w:t>
      </w:r>
      <w:r>
        <w:rPr>
          <w:spacing w:val="-19"/>
        </w:rPr>
        <w:t> </w:t>
      </w:r>
      <w:r>
        <w:rPr/>
        <w:t>include</w:t>
      </w:r>
      <w:r>
        <w:rPr>
          <w:spacing w:val="-17"/>
        </w:rPr>
        <w:t> </w:t>
      </w:r>
      <w:r>
        <w:rPr/>
        <w:t>Manipal</w:t>
      </w:r>
      <w:r>
        <w:rPr>
          <w:spacing w:val="-20"/>
        </w:rPr>
        <w:t> </w:t>
      </w:r>
      <w:r>
        <w:rPr/>
        <w:t>Hospital,</w:t>
      </w:r>
      <w:r>
        <w:rPr>
          <w:spacing w:val="-18"/>
        </w:rPr>
        <w:t> </w:t>
      </w:r>
      <w:r>
        <w:rPr/>
        <w:t>ESI</w:t>
      </w:r>
      <w:r>
        <w:rPr>
          <w:spacing w:val="-20"/>
        </w:rPr>
        <w:t> </w:t>
      </w:r>
      <w:r>
        <w:rPr/>
        <w:t>Hospital,</w:t>
      </w:r>
      <w:r>
        <w:rPr>
          <w:spacing w:val="-19"/>
        </w:rPr>
        <w:t> </w:t>
      </w:r>
      <w:r>
        <w:rPr/>
        <w:t>Chinmaya Mission Hospital, Sai Baba Hospital, etc. In addition, the sub market has presence of recreational developments</w:t>
      </w:r>
      <w:r>
        <w:rPr>
          <w:spacing w:val="-36"/>
        </w:rPr>
        <w:t> </w:t>
      </w:r>
      <w:r>
        <w:rPr/>
        <w:t>such</w:t>
      </w:r>
      <w:r>
        <w:rPr>
          <w:spacing w:val="-35"/>
        </w:rPr>
        <w:t> </w:t>
      </w:r>
      <w:r>
        <w:rPr/>
        <w:t>as</w:t>
      </w:r>
      <w:r>
        <w:rPr>
          <w:spacing w:val="-36"/>
        </w:rPr>
        <w:t> </w:t>
      </w:r>
      <w:r>
        <w:rPr/>
        <w:t>Domlur</w:t>
      </w:r>
      <w:r>
        <w:rPr>
          <w:spacing w:val="-35"/>
        </w:rPr>
        <w:t> </w:t>
      </w:r>
      <w:r>
        <w:rPr/>
        <w:t>club,</w:t>
      </w:r>
      <w:r>
        <w:rPr>
          <w:spacing w:val="-35"/>
        </w:rPr>
        <w:t> </w:t>
      </w:r>
      <w:r>
        <w:rPr/>
        <w:t>Indiranagar</w:t>
      </w:r>
      <w:r>
        <w:rPr>
          <w:spacing w:val="-35"/>
        </w:rPr>
        <w:t> </w:t>
      </w:r>
      <w:r>
        <w:rPr/>
        <w:t>club,</w:t>
      </w:r>
      <w:r>
        <w:rPr>
          <w:spacing w:val="-35"/>
        </w:rPr>
        <w:t> </w:t>
      </w:r>
      <w:r>
        <w:rPr/>
        <w:t>etc.</w:t>
      </w:r>
      <w:r>
        <w:rPr>
          <w:spacing w:val="-35"/>
        </w:rPr>
        <w:t> </w:t>
      </w:r>
      <w:r>
        <w:rPr/>
        <w:t>catering</w:t>
      </w:r>
      <w:r>
        <w:rPr>
          <w:spacing w:val="-34"/>
        </w:rPr>
        <w:t> </w:t>
      </w:r>
      <w:r>
        <w:rPr/>
        <w:t>to</w:t>
      </w:r>
      <w:r>
        <w:rPr>
          <w:spacing w:val="-35"/>
        </w:rPr>
        <w:t> </w:t>
      </w:r>
      <w:r>
        <w:rPr/>
        <w:t>the</w:t>
      </w:r>
      <w:r>
        <w:rPr>
          <w:spacing w:val="-33"/>
        </w:rPr>
        <w:t> </w:t>
      </w:r>
      <w:r>
        <w:rPr/>
        <w:t>upper</w:t>
      </w:r>
      <w:r>
        <w:rPr>
          <w:spacing w:val="-35"/>
        </w:rPr>
        <w:t> </w:t>
      </w:r>
      <w:r>
        <w:rPr/>
        <w:t>middle</w:t>
      </w:r>
      <w:r>
        <w:rPr>
          <w:spacing w:val="-36"/>
        </w:rPr>
        <w:t> </w:t>
      </w:r>
      <w:r>
        <w:rPr/>
        <w:t>class</w:t>
      </w:r>
      <w:r>
        <w:rPr>
          <w:spacing w:val="-34"/>
        </w:rPr>
        <w:t> </w:t>
      </w:r>
      <w:r>
        <w:rPr/>
        <w:t>and</w:t>
      </w:r>
      <w:r>
        <w:rPr>
          <w:spacing w:val="-35"/>
        </w:rPr>
        <w:t> </w:t>
      </w:r>
      <w:r>
        <w:rPr/>
        <w:t>affluent populace.</w:t>
      </w:r>
    </w:p>
    <w:p>
      <w:pPr>
        <w:pStyle w:val="BodyText"/>
        <w:spacing w:before="11"/>
        <w:rPr>
          <w:sz w:val="20"/>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11" w:id="607"/>
      <w:bookmarkEnd w:id="607"/>
      <w:r>
        <w:rPr/>
      </w:r>
      <w:bookmarkStart w:name="_bookmark311" w:id="608"/>
      <w:bookmarkEnd w:id="608"/>
      <w:r>
        <w:rPr>
          <w:color w:val="1F664D"/>
          <w:w w:val="105"/>
          <w:sz w:val="22"/>
        </w:rPr>
        <w:t>De</w:t>
      </w:r>
      <w:r>
        <w:rPr>
          <w:color w:val="1F664D"/>
          <w:w w:val="105"/>
          <w:sz w:val="22"/>
        </w:rPr>
        <w:t>mand and Supply</w:t>
      </w:r>
      <w:r>
        <w:rPr>
          <w:color w:val="1F664D"/>
          <w:spacing w:val="-17"/>
          <w:w w:val="105"/>
          <w:sz w:val="22"/>
        </w:rPr>
        <w:t> </w:t>
      </w:r>
      <w:r>
        <w:rPr>
          <w:color w:val="1F664D"/>
          <w:w w:val="105"/>
          <w:sz w:val="22"/>
        </w:rPr>
        <w:t>Dynamics</w:t>
      </w:r>
    </w:p>
    <w:p>
      <w:pPr>
        <w:pStyle w:val="BodyText"/>
        <w:spacing w:before="6"/>
        <w:rPr>
          <w:sz w:val="25"/>
        </w:rPr>
      </w:pPr>
    </w:p>
    <w:p>
      <w:pPr>
        <w:spacing w:before="0"/>
        <w:ind w:left="240" w:right="0" w:firstLine="0"/>
        <w:jc w:val="left"/>
        <w:rPr>
          <w:i/>
          <w:sz w:val="20"/>
        </w:rPr>
      </w:pPr>
      <w:r>
        <w:rPr>
          <w:i/>
          <w:color w:val="008000"/>
          <w:sz w:val="22"/>
        </w:rPr>
        <w:t>14.3.1.1 </w:t>
      </w:r>
      <w:r>
        <w:rPr>
          <w:i/>
          <w:color w:val="008000"/>
          <w:sz w:val="20"/>
        </w:rPr>
        <w:t>Demand, Supply and Vacancy Trends </w:t>
      </w:r>
      <w:r>
        <w:rPr>
          <w:i/>
          <w:color w:val="008000"/>
          <w:w w:val="105"/>
          <w:sz w:val="20"/>
        </w:rPr>
        <w:t>– </w:t>
      </w:r>
      <w:r>
        <w:rPr>
          <w:i/>
          <w:color w:val="008000"/>
          <w:sz w:val="20"/>
        </w:rPr>
        <w:t>Bengaluru and Extended Business District (EBD) sub-market</w:t>
      </w:r>
    </w:p>
    <w:p>
      <w:pPr>
        <w:pStyle w:val="BodyText"/>
        <w:spacing w:before="6"/>
        <w:rPr>
          <w:i/>
          <w:sz w:val="24"/>
        </w:rPr>
      </w:pPr>
    </w:p>
    <w:p>
      <w:pPr>
        <w:pStyle w:val="BodyText"/>
        <w:spacing w:line="280" w:lineRule="auto"/>
        <w:ind w:left="780" w:right="237"/>
        <w:jc w:val="both"/>
      </w:pPr>
      <w:r>
        <w:rPr/>
        <w:t>Total</w:t>
      </w:r>
      <w:r>
        <w:rPr>
          <w:spacing w:val="-18"/>
        </w:rPr>
        <w:t> </w:t>
      </w:r>
      <w:r>
        <w:rPr/>
        <w:t>completed</w:t>
      </w:r>
      <w:r>
        <w:rPr>
          <w:spacing w:val="-16"/>
        </w:rPr>
        <w:t> </w:t>
      </w:r>
      <w:r>
        <w:rPr/>
        <w:t>stock</w:t>
      </w:r>
      <w:r>
        <w:rPr>
          <w:spacing w:val="-17"/>
        </w:rPr>
        <w:t> </w:t>
      </w:r>
      <w:r>
        <w:rPr/>
        <w:t>in</w:t>
      </w:r>
      <w:r>
        <w:rPr>
          <w:spacing w:val="-16"/>
        </w:rPr>
        <w:t> </w:t>
      </w:r>
      <w:r>
        <w:rPr/>
        <w:t>Bengaluru</w:t>
      </w:r>
      <w:r>
        <w:rPr>
          <w:spacing w:val="-17"/>
        </w:rPr>
        <w:t> </w:t>
      </w:r>
      <w:r>
        <w:rPr/>
        <w:t>as</w:t>
      </w:r>
      <w:r>
        <w:rPr>
          <w:spacing w:val="-16"/>
        </w:rPr>
        <w:t> </w:t>
      </w:r>
      <w:r>
        <w:rPr/>
        <w:t>of</w:t>
      </w:r>
      <w:r>
        <w:rPr>
          <w:spacing w:val="-16"/>
        </w:rPr>
        <w:t> </w:t>
      </w:r>
      <w:r>
        <w:rPr/>
        <w:t>Q4,</w:t>
      </w:r>
      <w:r>
        <w:rPr>
          <w:spacing w:val="-17"/>
        </w:rPr>
        <w:t> </w:t>
      </w:r>
      <w:r>
        <w:rPr/>
        <w:t>2019</w:t>
      </w:r>
      <w:r>
        <w:rPr>
          <w:spacing w:val="-18"/>
        </w:rPr>
        <w:t> </w:t>
      </w:r>
      <w:r>
        <w:rPr/>
        <w:t>is</w:t>
      </w:r>
      <w:r>
        <w:rPr>
          <w:spacing w:val="-16"/>
        </w:rPr>
        <w:t> </w:t>
      </w:r>
      <w:r>
        <w:rPr/>
        <w:t>157.47</w:t>
      </w:r>
      <w:r>
        <w:rPr>
          <w:spacing w:val="-18"/>
        </w:rPr>
        <w:t> </w:t>
      </w:r>
      <w:r>
        <w:rPr/>
        <w:t>msf,</w:t>
      </w:r>
      <w:r>
        <w:rPr>
          <w:spacing w:val="-17"/>
        </w:rPr>
        <w:t> </w:t>
      </w:r>
      <w:r>
        <w:rPr/>
        <w:t>out</w:t>
      </w:r>
      <w:r>
        <w:rPr>
          <w:spacing w:val="-17"/>
        </w:rPr>
        <w:t> </w:t>
      </w:r>
      <w:r>
        <w:rPr/>
        <w:t>of</w:t>
      </w:r>
      <w:r>
        <w:rPr>
          <w:spacing w:val="-16"/>
        </w:rPr>
        <w:t> </w:t>
      </w:r>
      <w:r>
        <w:rPr/>
        <w:t>which</w:t>
      </w:r>
      <w:r>
        <w:rPr>
          <w:spacing w:val="-17"/>
        </w:rPr>
        <w:t> </w:t>
      </w:r>
      <w:r>
        <w:rPr/>
        <w:t>EBD</w:t>
      </w:r>
      <w:r>
        <w:rPr>
          <w:spacing w:val="-16"/>
        </w:rPr>
        <w:t> </w:t>
      </w:r>
      <w:r>
        <w:rPr/>
        <w:t>account</w:t>
      </w:r>
      <w:r>
        <w:rPr>
          <w:spacing w:val="-17"/>
        </w:rPr>
        <w:t> </w:t>
      </w:r>
      <w:r>
        <w:rPr/>
        <w:t>for</w:t>
      </w:r>
      <w:r>
        <w:rPr>
          <w:spacing w:val="-17"/>
        </w:rPr>
        <w:t> </w:t>
      </w:r>
      <w:r>
        <w:rPr/>
        <w:t>Approx. 13.20%.</w:t>
      </w:r>
    </w:p>
    <w:p>
      <w:pPr>
        <w:pStyle w:val="BodyText"/>
        <w:spacing w:before="7"/>
        <w:rPr>
          <w:sz w:val="7"/>
        </w:rPr>
      </w:pPr>
    </w:p>
    <w:tbl>
      <w:tblPr>
        <w:tblW w:w="0" w:type="auto"/>
        <w:jc w:val="left"/>
        <w:tblInd w:w="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30"/>
        <w:gridCol w:w="3081"/>
        <w:gridCol w:w="3063"/>
      </w:tblGrid>
      <w:tr>
        <w:trPr>
          <w:trHeight w:val="455" w:hRule="atLeast"/>
        </w:trPr>
        <w:tc>
          <w:tcPr>
            <w:tcW w:w="4230" w:type="dxa"/>
            <w:tcBorders>
              <w:top w:val="single" w:sz="12" w:space="0" w:color="1F6B16"/>
              <w:bottom w:val="single" w:sz="6" w:space="0" w:color="69BD28"/>
            </w:tcBorders>
            <w:shd w:val="clear" w:color="auto" w:fill="006A4D"/>
          </w:tcPr>
          <w:p>
            <w:pPr>
              <w:pStyle w:val="TableParagraph"/>
              <w:spacing w:before="123"/>
              <w:ind w:left="205" w:right="277"/>
              <w:rPr>
                <w:b/>
                <w:sz w:val="18"/>
              </w:rPr>
            </w:pPr>
            <w:r>
              <w:rPr>
                <w:b/>
                <w:color w:val="FFFFFF"/>
                <w:w w:val="105"/>
                <w:sz w:val="18"/>
              </w:rPr>
              <w:t>Particular</w:t>
            </w:r>
          </w:p>
        </w:tc>
        <w:tc>
          <w:tcPr>
            <w:tcW w:w="3081" w:type="dxa"/>
            <w:tcBorders>
              <w:top w:val="single" w:sz="12" w:space="0" w:color="1F6B16"/>
              <w:bottom w:val="single" w:sz="6" w:space="0" w:color="69BD28"/>
            </w:tcBorders>
            <w:shd w:val="clear" w:color="auto" w:fill="006A4D"/>
          </w:tcPr>
          <w:p>
            <w:pPr>
              <w:pStyle w:val="TableParagraph"/>
              <w:spacing w:before="123"/>
              <w:ind w:left="647" w:right="761"/>
              <w:rPr>
                <w:b/>
                <w:sz w:val="18"/>
              </w:rPr>
            </w:pPr>
            <w:r>
              <w:rPr>
                <w:b/>
                <w:color w:val="FFFFFF"/>
                <w:w w:val="110"/>
                <w:sz w:val="18"/>
              </w:rPr>
              <w:t>Bengaluru</w:t>
            </w:r>
          </w:p>
        </w:tc>
        <w:tc>
          <w:tcPr>
            <w:tcW w:w="3063" w:type="dxa"/>
            <w:tcBorders>
              <w:top w:val="single" w:sz="12" w:space="0" w:color="1F6B16"/>
              <w:bottom w:val="single" w:sz="6" w:space="0" w:color="69BD28"/>
            </w:tcBorders>
            <w:shd w:val="clear" w:color="auto" w:fill="006A4D"/>
          </w:tcPr>
          <w:p>
            <w:pPr>
              <w:pStyle w:val="TableParagraph"/>
              <w:spacing w:before="123"/>
              <w:ind w:left="755" w:right="795"/>
              <w:rPr>
                <w:b/>
                <w:sz w:val="18"/>
              </w:rPr>
            </w:pPr>
            <w:r>
              <w:rPr>
                <w:b/>
                <w:color w:val="FFFFFF"/>
                <w:w w:val="110"/>
                <w:sz w:val="18"/>
              </w:rPr>
              <w:t>EBD</w:t>
            </w:r>
          </w:p>
        </w:tc>
      </w:tr>
      <w:tr>
        <w:trPr>
          <w:trHeight w:val="520" w:hRule="atLeast"/>
        </w:trPr>
        <w:tc>
          <w:tcPr>
            <w:tcW w:w="4230" w:type="dxa"/>
            <w:vMerge w:val="restart"/>
            <w:shd w:val="clear" w:color="auto" w:fill="69BD28"/>
          </w:tcPr>
          <w:p>
            <w:pPr>
              <w:pStyle w:val="TableParagraph"/>
              <w:spacing w:line="619" w:lineRule="auto" w:before="126"/>
              <w:ind w:left="367" w:right="277"/>
              <w:rPr>
                <w:sz w:val="18"/>
              </w:rPr>
            </w:pPr>
            <w:r>
              <w:rPr>
                <w:color w:val="FFFFFF"/>
                <w:sz w:val="18"/>
              </w:rPr>
              <w:t>Cumulative</w:t>
            </w:r>
            <w:r>
              <w:rPr>
                <w:color w:val="FFFFFF"/>
                <w:spacing w:val="-17"/>
                <w:sz w:val="18"/>
              </w:rPr>
              <w:t> </w:t>
            </w:r>
            <w:r>
              <w:rPr>
                <w:color w:val="FFFFFF"/>
                <w:sz w:val="18"/>
              </w:rPr>
              <w:t>completed</w:t>
            </w:r>
            <w:r>
              <w:rPr>
                <w:color w:val="FFFFFF"/>
                <w:spacing w:val="-18"/>
                <w:sz w:val="18"/>
              </w:rPr>
              <w:t> </w:t>
            </w:r>
            <w:r>
              <w:rPr>
                <w:color w:val="FFFFFF"/>
                <w:sz w:val="18"/>
              </w:rPr>
              <w:t>office</w:t>
            </w:r>
            <w:r>
              <w:rPr>
                <w:color w:val="FFFFFF"/>
                <w:spacing w:val="-17"/>
                <w:sz w:val="18"/>
              </w:rPr>
              <w:t> </w:t>
            </w:r>
            <w:r>
              <w:rPr>
                <w:color w:val="FFFFFF"/>
                <w:sz w:val="18"/>
              </w:rPr>
              <w:t>stock</w:t>
            </w:r>
            <w:r>
              <w:rPr>
                <w:color w:val="FFFFFF"/>
                <w:spacing w:val="-17"/>
                <w:sz w:val="18"/>
              </w:rPr>
              <w:t> </w:t>
            </w:r>
            <w:r>
              <w:rPr>
                <w:color w:val="FFFFFF"/>
                <w:sz w:val="18"/>
              </w:rPr>
              <w:t>(Q4</w:t>
            </w:r>
            <w:r>
              <w:rPr>
                <w:color w:val="FFFFFF"/>
                <w:spacing w:val="-18"/>
                <w:sz w:val="18"/>
              </w:rPr>
              <w:t> </w:t>
            </w:r>
            <w:r>
              <w:rPr>
                <w:color w:val="FFFFFF"/>
                <w:sz w:val="18"/>
              </w:rPr>
              <w:t>2019) Cumulative occupied stock (Q4 2019) Current vacancy (Q4</w:t>
            </w:r>
            <w:r>
              <w:rPr>
                <w:color w:val="FFFFFF"/>
                <w:spacing w:val="-3"/>
                <w:sz w:val="18"/>
              </w:rPr>
              <w:t> </w:t>
            </w:r>
            <w:r>
              <w:rPr>
                <w:color w:val="FFFFFF"/>
                <w:sz w:val="18"/>
              </w:rPr>
              <w:t>2019)</w:t>
            </w:r>
          </w:p>
          <w:p>
            <w:pPr>
              <w:pStyle w:val="TableParagraph"/>
              <w:spacing w:before="2"/>
              <w:ind w:left="152" w:right="65"/>
              <w:rPr>
                <w:sz w:val="18"/>
              </w:rPr>
            </w:pPr>
            <w:r>
              <w:rPr>
                <w:color w:val="FFFFFF"/>
                <w:w w:val="105"/>
                <w:sz w:val="18"/>
              </w:rPr>
              <w:t>Average annual office absorption (2014 – 2019)</w:t>
            </w:r>
          </w:p>
        </w:tc>
        <w:tc>
          <w:tcPr>
            <w:tcW w:w="3081" w:type="dxa"/>
            <w:tcBorders>
              <w:top w:val="single" w:sz="6" w:space="0" w:color="69BD28"/>
              <w:bottom w:val="single" w:sz="6" w:space="0" w:color="69BD28"/>
            </w:tcBorders>
          </w:tcPr>
          <w:p>
            <w:pPr>
              <w:pStyle w:val="TableParagraph"/>
              <w:spacing w:before="126"/>
              <w:ind w:left="715" w:right="761"/>
              <w:rPr>
                <w:sz w:val="18"/>
              </w:rPr>
            </w:pPr>
            <w:r>
              <w:rPr>
                <w:sz w:val="18"/>
              </w:rPr>
              <w:t>Approx. 157.47 msf</w:t>
            </w:r>
          </w:p>
        </w:tc>
        <w:tc>
          <w:tcPr>
            <w:tcW w:w="3063" w:type="dxa"/>
            <w:tcBorders>
              <w:top w:val="single" w:sz="6" w:space="0" w:color="69BD28"/>
              <w:bottom w:val="single" w:sz="6" w:space="0" w:color="69BD28"/>
            </w:tcBorders>
          </w:tcPr>
          <w:p>
            <w:pPr>
              <w:pStyle w:val="TableParagraph"/>
              <w:spacing w:before="126"/>
              <w:ind w:left="757" w:right="795"/>
              <w:rPr>
                <w:sz w:val="18"/>
              </w:rPr>
            </w:pPr>
            <w:r>
              <w:rPr>
                <w:sz w:val="18"/>
              </w:rPr>
              <w:t>Approx. 20.76 msf</w:t>
            </w:r>
          </w:p>
        </w:tc>
      </w:tr>
      <w:tr>
        <w:trPr>
          <w:trHeight w:val="527" w:hRule="atLeast"/>
        </w:trPr>
        <w:tc>
          <w:tcPr>
            <w:tcW w:w="4230" w:type="dxa"/>
            <w:vMerge/>
            <w:tcBorders>
              <w:top w:val="nil"/>
            </w:tcBorders>
            <w:shd w:val="clear" w:color="auto" w:fill="69BD28"/>
          </w:tcPr>
          <w:p>
            <w:pPr>
              <w:rPr>
                <w:sz w:val="2"/>
                <w:szCs w:val="2"/>
              </w:rPr>
            </w:pPr>
          </w:p>
        </w:tc>
        <w:tc>
          <w:tcPr>
            <w:tcW w:w="3081" w:type="dxa"/>
            <w:tcBorders>
              <w:top w:val="single" w:sz="6" w:space="0" w:color="69BD28"/>
              <w:bottom w:val="single" w:sz="6" w:space="0" w:color="69BD28"/>
            </w:tcBorders>
          </w:tcPr>
          <w:p>
            <w:pPr>
              <w:pStyle w:val="TableParagraph"/>
              <w:spacing w:before="130"/>
              <w:ind w:left="715" w:right="761"/>
              <w:rPr>
                <w:sz w:val="18"/>
              </w:rPr>
            </w:pPr>
            <w:r>
              <w:rPr>
                <w:sz w:val="18"/>
              </w:rPr>
              <w:t>Approx. 151.00 msf</w:t>
            </w:r>
          </w:p>
        </w:tc>
        <w:tc>
          <w:tcPr>
            <w:tcW w:w="3063" w:type="dxa"/>
            <w:tcBorders>
              <w:top w:val="single" w:sz="6" w:space="0" w:color="69BD28"/>
              <w:bottom w:val="single" w:sz="6" w:space="0" w:color="69BD28"/>
            </w:tcBorders>
          </w:tcPr>
          <w:p>
            <w:pPr>
              <w:pStyle w:val="TableParagraph"/>
              <w:spacing w:before="130"/>
              <w:ind w:left="757" w:right="795"/>
              <w:rPr>
                <w:sz w:val="18"/>
              </w:rPr>
            </w:pPr>
            <w:r>
              <w:rPr>
                <w:sz w:val="18"/>
              </w:rPr>
              <w:t>Approx. 20.52 msf</w:t>
            </w:r>
          </w:p>
        </w:tc>
      </w:tr>
      <w:tr>
        <w:trPr>
          <w:trHeight w:val="525" w:hRule="atLeast"/>
        </w:trPr>
        <w:tc>
          <w:tcPr>
            <w:tcW w:w="4230" w:type="dxa"/>
            <w:vMerge/>
            <w:tcBorders>
              <w:top w:val="nil"/>
            </w:tcBorders>
            <w:shd w:val="clear" w:color="auto" w:fill="69BD28"/>
          </w:tcPr>
          <w:p>
            <w:pPr>
              <w:rPr>
                <w:sz w:val="2"/>
                <w:szCs w:val="2"/>
              </w:rPr>
            </w:pPr>
          </w:p>
        </w:tc>
        <w:tc>
          <w:tcPr>
            <w:tcW w:w="3081" w:type="dxa"/>
            <w:tcBorders>
              <w:top w:val="single" w:sz="6" w:space="0" w:color="69BD28"/>
              <w:bottom w:val="single" w:sz="6" w:space="0" w:color="69BD28"/>
            </w:tcBorders>
          </w:tcPr>
          <w:p>
            <w:pPr>
              <w:pStyle w:val="TableParagraph"/>
              <w:spacing w:before="128"/>
              <w:ind w:left="715" w:right="758"/>
              <w:rPr>
                <w:sz w:val="18"/>
              </w:rPr>
            </w:pPr>
            <w:r>
              <w:rPr>
                <w:w w:val="105"/>
                <w:sz w:val="18"/>
              </w:rPr>
              <w:t>Approx. 4.1%</w:t>
            </w:r>
          </w:p>
        </w:tc>
        <w:tc>
          <w:tcPr>
            <w:tcW w:w="3063" w:type="dxa"/>
            <w:tcBorders>
              <w:top w:val="single" w:sz="6" w:space="0" w:color="69BD28"/>
              <w:bottom w:val="single" w:sz="6" w:space="0" w:color="69BD28"/>
            </w:tcBorders>
          </w:tcPr>
          <w:p>
            <w:pPr>
              <w:pStyle w:val="TableParagraph"/>
              <w:spacing w:before="128"/>
              <w:ind w:left="752" w:right="795"/>
              <w:rPr>
                <w:sz w:val="18"/>
              </w:rPr>
            </w:pPr>
            <w:r>
              <w:rPr>
                <w:w w:val="105"/>
                <w:sz w:val="18"/>
              </w:rPr>
              <w:t>Approx. 1.2%</w:t>
            </w:r>
          </w:p>
        </w:tc>
      </w:tr>
      <w:tr>
        <w:trPr>
          <w:trHeight w:val="525" w:hRule="atLeast"/>
        </w:trPr>
        <w:tc>
          <w:tcPr>
            <w:tcW w:w="4230" w:type="dxa"/>
            <w:vMerge/>
            <w:tcBorders>
              <w:top w:val="nil"/>
            </w:tcBorders>
            <w:shd w:val="clear" w:color="auto" w:fill="69BD28"/>
          </w:tcPr>
          <w:p>
            <w:pPr>
              <w:rPr>
                <w:sz w:val="2"/>
                <w:szCs w:val="2"/>
              </w:rPr>
            </w:pPr>
          </w:p>
        </w:tc>
        <w:tc>
          <w:tcPr>
            <w:tcW w:w="3081" w:type="dxa"/>
            <w:tcBorders>
              <w:top w:val="single" w:sz="6" w:space="0" w:color="69BD28"/>
              <w:bottom w:val="single" w:sz="6" w:space="0" w:color="69BD28"/>
            </w:tcBorders>
          </w:tcPr>
          <w:p>
            <w:pPr>
              <w:pStyle w:val="TableParagraph"/>
              <w:spacing w:before="128"/>
              <w:ind w:left="1166"/>
              <w:jc w:val="left"/>
              <w:rPr>
                <w:sz w:val="18"/>
              </w:rPr>
            </w:pPr>
            <w:r>
              <w:rPr>
                <w:w w:val="105"/>
                <w:sz w:val="18"/>
              </w:rPr>
              <w:t>11.3 msf</w:t>
            </w:r>
          </w:p>
        </w:tc>
        <w:tc>
          <w:tcPr>
            <w:tcW w:w="3063" w:type="dxa"/>
            <w:tcBorders>
              <w:top w:val="single" w:sz="6" w:space="0" w:color="69BD28"/>
              <w:bottom w:val="single" w:sz="6" w:space="0" w:color="69BD28"/>
            </w:tcBorders>
          </w:tcPr>
          <w:p>
            <w:pPr>
              <w:pStyle w:val="TableParagraph"/>
              <w:spacing w:before="128"/>
              <w:ind w:left="1158"/>
              <w:jc w:val="left"/>
              <w:rPr>
                <w:sz w:val="18"/>
              </w:rPr>
            </w:pPr>
            <w:r>
              <w:rPr>
                <w:w w:val="105"/>
                <w:sz w:val="18"/>
              </w:rPr>
              <w:t>1.10 msf</w:t>
            </w:r>
          </w:p>
        </w:tc>
      </w:tr>
    </w:tbl>
    <w:p>
      <w:pPr>
        <w:spacing w:before="9"/>
        <w:ind w:left="806" w:right="0" w:firstLine="0"/>
        <w:jc w:val="both"/>
        <w:rPr>
          <w:i/>
          <w:sz w:val="18"/>
        </w:rPr>
      </w:pPr>
      <w:r>
        <w:rPr>
          <w:i/>
          <w:sz w:val="18"/>
        </w:rPr>
        <w:t>Source: CBRE Research</w:t>
      </w:r>
    </w:p>
    <w:p>
      <w:pPr>
        <w:spacing w:after="0"/>
        <w:jc w:val="both"/>
        <w:rPr>
          <w:sz w:val="18"/>
        </w:rPr>
        <w:sectPr>
          <w:pgSz w:w="11910" w:h="16840"/>
          <w:pgMar w:header="720" w:footer="862" w:top="1660" w:bottom="1060" w:left="480" w:right="480"/>
        </w:sectPr>
      </w:pPr>
    </w:p>
    <w:p>
      <w:pPr>
        <w:pStyle w:val="BodyText"/>
        <w:spacing w:before="4"/>
        <w:rPr>
          <w:i/>
          <w:sz w:val="18"/>
        </w:rPr>
      </w:pPr>
    </w:p>
    <w:p>
      <w:pPr>
        <w:pStyle w:val="BodyText"/>
        <w:ind w:left="117"/>
        <w:rPr>
          <w:sz w:val="20"/>
        </w:rPr>
      </w:pPr>
      <w:r>
        <w:rPr>
          <w:sz w:val="20"/>
        </w:rPr>
        <w:pict>
          <v:group style="width:535.950pt;height:15.5pt;mso-position-horizontal-relative:char;mso-position-vertical-relative:line" coordorigin="0,0" coordsize="10719,310">
            <v:rect style="position:absolute;left:0;top:28;width:10719;height:281" filled="true" fillcolor="#006a4d" stroked="false">
              <v:fill type="solid"/>
            </v:rect>
            <v:rect style="position:absolute;left:0;top:0;width:10719;height:29" filled="true" fillcolor="#1f6b16" stroked="false">
              <v:fill type="solid"/>
            </v:rect>
            <v:rect style="position:absolute;left:0;top:28;width:10719;height:3" filled="true" fillcolor="#006a4d" stroked="false">
              <v:fill type="solid"/>
            </v:rect>
            <v:shape style="position:absolute;left:0;top:28;width:10719;height:281" type="#_x0000_t202" filled="false" stroked="false">
              <v:textbox inset="0,0,0,0">
                <w:txbxContent>
                  <w:p>
                    <w:pPr>
                      <w:spacing w:before="37"/>
                      <w:ind w:left="3447" w:right="3446" w:firstLine="0"/>
                      <w:jc w:val="center"/>
                      <w:rPr>
                        <w:b/>
                        <w:sz w:val="18"/>
                      </w:rPr>
                    </w:pPr>
                    <w:r>
                      <w:rPr>
                        <w:b/>
                        <w:color w:val="FFFFFF"/>
                        <w:w w:val="115"/>
                        <w:sz w:val="18"/>
                      </w:rPr>
                      <w:t>Demand – Supply Dynamics (Bengaluru)</w:t>
                    </w:r>
                  </w:p>
                </w:txbxContent>
              </v:textbox>
              <w10:wrap type="none"/>
            </v:shape>
          </v:group>
        </w:pict>
      </w:r>
      <w:r>
        <w:rPr>
          <w:sz w:val="20"/>
        </w:rPr>
      </w:r>
    </w:p>
    <w:p>
      <w:pPr>
        <w:pStyle w:val="BodyText"/>
        <w:spacing w:before="10"/>
        <w:rPr>
          <w:i/>
          <w:sz w:val="11"/>
        </w:rPr>
      </w:pPr>
    </w:p>
    <w:p>
      <w:pPr>
        <w:spacing w:after="0"/>
        <w:rPr>
          <w:sz w:val="11"/>
        </w:rPr>
        <w:sectPr>
          <w:pgSz w:w="11910" w:h="16840"/>
          <w:pgMar w:header="720" w:footer="862" w:top="1660" w:bottom="1060" w:left="480" w:right="480"/>
        </w:sectPr>
      </w:pPr>
    </w:p>
    <w:p>
      <w:pPr>
        <w:spacing w:before="106"/>
        <w:ind w:left="0" w:right="0" w:firstLine="0"/>
        <w:jc w:val="right"/>
        <w:rPr>
          <w:sz w:val="24"/>
        </w:rPr>
      </w:pPr>
      <w:r>
        <w:rPr>
          <w:w w:val="105"/>
          <w:sz w:val="24"/>
        </w:rPr>
        <w:t>16.0</w:t>
      </w:r>
    </w:p>
    <w:p>
      <w:pPr>
        <w:spacing w:before="13"/>
        <w:ind w:left="0" w:right="0" w:firstLine="0"/>
        <w:jc w:val="right"/>
        <w:rPr>
          <w:sz w:val="24"/>
        </w:rPr>
      </w:pPr>
      <w:r>
        <w:rPr/>
        <w:pict>
          <v:shape style="position:absolute;margin-left:64.749306pt;margin-top:11.679636pt;width:16.4pt;height:120.55pt;mso-position-horizontal-relative:page;mso-position-vertical-relative:paragraph;z-index:16420352" type="#_x0000_t202" filled="false" stroked="false">
            <v:textbox inset="0,0,0,0" style="layout-flow:vertical;mso-layout-flow-alt:bottom-to-top">
              <w:txbxContent>
                <w:p>
                  <w:pPr>
                    <w:spacing w:before="25"/>
                    <w:ind w:left="20" w:right="0" w:firstLine="0"/>
                    <w:jc w:val="left"/>
                    <w:rPr>
                      <w:sz w:val="24"/>
                    </w:rPr>
                  </w:pPr>
                  <w:r>
                    <w:rPr>
                      <w:w w:val="95"/>
                      <w:sz w:val="24"/>
                    </w:rPr>
                    <w:t>Suply/Absorption (msf)</w:t>
                  </w:r>
                </w:p>
              </w:txbxContent>
            </v:textbox>
            <w10:wrap type="none"/>
          </v:shape>
        </w:pict>
      </w:r>
      <w:r>
        <w:rPr>
          <w:w w:val="105"/>
          <w:sz w:val="24"/>
        </w:rPr>
        <w:t>14.0</w:t>
      </w:r>
    </w:p>
    <w:p>
      <w:pPr>
        <w:spacing w:before="12"/>
        <w:ind w:left="0" w:right="0" w:firstLine="0"/>
        <w:jc w:val="right"/>
        <w:rPr>
          <w:sz w:val="24"/>
        </w:rPr>
      </w:pPr>
      <w:r>
        <w:rPr>
          <w:w w:val="105"/>
          <w:sz w:val="24"/>
        </w:rPr>
        <w:t>12.0</w:t>
      </w:r>
    </w:p>
    <w:p>
      <w:pPr>
        <w:spacing w:before="13"/>
        <w:ind w:left="0" w:right="0" w:firstLine="0"/>
        <w:jc w:val="right"/>
        <w:rPr>
          <w:sz w:val="24"/>
        </w:rPr>
      </w:pPr>
      <w:r>
        <w:rPr>
          <w:w w:val="105"/>
          <w:sz w:val="24"/>
        </w:rPr>
        <w:t>10.0</w:t>
      </w:r>
    </w:p>
    <w:p>
      <w:pPr>
        <w:spacing w:before="12"/>
        <w:ind w:left="0" w:right="0" w:firstLine="0"/>
        <w:jc w:val="right"/>
        <w:rPr>
          <w:sz w:val="24"/>
        </w:rPr>
      </w:pPr>
      <w:r>
        <w:rPr>
          <w:sz w:val="24"/>
        </w:rPr>
        <w:t>8.0</w:t>
      </w:r>
    </w:p>
    <w:p>
      <w:pPr>
        <w:spacing w:before="12"/>
        <w:ind w:left="0" w:right="0" w:firstLine="0"/>
        <w:jc w:val="right"/>
        <w:rPr>
          <w:sz w:val="24"/>
        </w:rPr>
      </w:pPr>
      <w:r>
        <w:rPr>
          <w:sz w:val="24"/>
        </w:rPr>
        <w:t>6.0</w:t>
      </w:r>
    </w:p>
    <w:p>
      <w:pPr>
        <w:spacing w:before="12"/>
        <w:ind w:left="0" w:right="0" w:firstLine="0"/>
        <w:jc w:val="right"/>
        <w:rPr>
          <w:sz w:val="24"/>
        </w:rPr>
      </w:pPr>
      <w:r>
        <w:rPr>
          <w:sz w:val="24"/>
        </w:rPr>
        <w:t>4.0</w:t>
      </w:r>
    </w:p>
    <w:p>
      <w:pPr>
        <w:spacing w:before="12"/>
        <w:ind w:left="0" w:right="0" w:firstLine="0"/>
        <w:jc w:val="right"/>
        <w:rPr>
          <w:sz w:val="24"/>
        </w:rPr>
      </w:pPr>
      <w:r>
        <w:rPr>
          <w:sz w:val="24"/>
        </w:rPr>
        <w:t>2.0</w:t>
      </w:r>
    </w:p>
    <w:p>
      <w:pPr>
        <w:spacing w:before="13"/>
        <w:ind w:left="0" w:right="1" w:firstLine="0"/>
        <w:jc w:val="right"/>
        <w:rPr>
          <w:sz w:val="24"/>
        </w:rPr>
      </w:pPr>
      <w:r>
        <w:rPr>
          <w:w w:val="112"/>
          <w:sz w:val="24"/>
        </w:rPr>
        <w:t>0</w:t>
      </w:r>
    </w:p>
    <w:p>
      <w:pPr>
        <w:pStyle w:val="BodyText"/>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40"/>
        </w:rPr>
      </w:pPr>
    </w:p>
    <w:p>
      <w:pPr>
        <w:tabs>
          <w:tab w:pos="1496" w:val="left" w:leader="none"/>
          <w:tab w:pos="2563" w:val="left" w:leader="none"/>
          <w:tab w:pos="3629" w:val="left" w:leader="none"/>
          <w:tab w:pos="4696" w:val="left" w:leader="none"/>
          <w:tab w:pos="5762" w:val="left" w:leader="none"/>
        </w:tabs>
        <w:spacing w:before="0"/>
        <w:ind w:left="429" w:right="0" w:firstLine="0"/>
        <w:jc w:val="left"/>
        <w:rPr>
          <w:sz w:val="24"/>
        </w:rPr>
      </w:pPr>
      <w:r>
        <w:rPr>
          <w:w w:val="110"/>
          <w:sz w:val="24"/>
        </w:rPr>
        <w:t>2014</w:t>
        <w:tab/>
        <w:t>2015</w:t>
        <w:tab/>
        <w:t>2016</w:t>
        <w:tab/>
        <w:t>2017</w:t>
        <w:tab/>
        <w:t>2018</w:t>
        <w:tab/>
      </w:r>
      <w:r>
        <w:rPr>
          <w:spacing w:val="-5"/>
          <w:w w:val="110"/>
          <w:sz w:val="24"/>
        </w:rPr>
        <w:t>2019</w:t>
      </w:r>
    </w:p>
    <w:p>
      <w:pPr>
        <w:spacing w:before="106"/>
        <w:ind w:left="431" w:right="0" w:firstLine="0"/>
        <w:jc w:val="left"/>
        <w:rPr>
          <w:sz w:val="24"/>
        </w:rPr>
      </w:pPr>
      <w:r>
        <w:rPr/>
        <w:br w:type="column"/>
      </w:r>
      <w:r>
        <w:rPr>
          <w:w w:val="110"/>
          <w:sz w:val="24"/>
        </w:rPr>
        <w:t>12.0%</w:t>
      </w:r>
    </w:p>
    <w:p>
      <w:pPr>
        <w:spacing w:before="110"/>
        <w:ind w:left="431" w:right="0" w:firstLine="0"/>
        <w:jc w:val="left"/>
        <w:rPr>
          <w:sz w:val="24"/>
        </w:rPr>
      </w:pPr>
      <w:r>
        <w:rPr/>
        <w:pict>
          <v:group style="position:absolute;margin-left:131.029999pt;margin-top:-16.018444pt;width:327.650pt;height:126.75pt;mso-position-horizontal-relative:page;mso-position-vertical-relative:paragraph;z-index:16406528" coordorigin="2621,-320" coordsize="6553,2535">
            <v:rect style="position:absolute;left:2786;top:643;width:444;height:1556" filled="true" fillcolor="#006a4d" stroked="false">
              <v:fill type="solid"/>
            </v:rect>
            <v:rect style="position:absolute;left:3230;top:574;width:444;height:1625" filled="true" fillcolor="#69bd28" stroked="false">
              <v:fill type="solid"/>
            </v:rect>
            <v:rect style="position:absolute;left:3852;top:355;width:447;height:1844" filled="true" fillcolor="#006a4d" stroked="false">
              <v:fill type="solid"/>
            </v:rect>
            <v:rect style="position:absolute;left:4298;top:447;width:444;height:1753" filled="true" fillcolor="#69bd28" stroked="false">
              <v:fill type="solid"/>
            </v:rect>
            <v:rect style="position:absolute;left:4920;top:1044;width:444;height:1155" filled="true" fillcolor="#006a4d" stroked="false">
              <v:fill type="solid"/>
            </v:rect>
            <v:rect style="position:absolute;left:5364;top:466;width:444;height:1733" filled="true" fillcolor="#69bd28" stroked="false">
              <v:fill type="solid"/>
            </v:rect>
            <v:rect style="position:absolute;left:5985;top:1073;width:444;height:1126" filled="true" fillcolor="#006a4d" stroked="false">
              <v:fill type="solid"/>
            </v:rect>
            <v:rect style="position:absolute;left:6429;top:847;width:444;height:1352" filled="true" fillcolor="#69bd28" stroked="false">
              <v:fill type="solid"/>
            </v:rect>
            <v:rect style="position:absolute;left:7051;top:463;width:447;height:1736" filled="true" fillcolor="#006a4d" stroked="false">
              <v:fill type="solid"/>
            </v:rect>
            <v:rect style="position:absolute;left:7497;top:259;width:444;height:1940" filled="true" fillcolor="#69bd28" stroked="false">
              <v:fill type="solid"/>
            </v:rect>
            <v:rect style="position:absolute;left:8119;top:627;width:444;height:1573" filled="true" fillcolor="#006a4d" stroked="false">
              <v:fill type="solid"/>
            </v:rect>
            <v:rect style="position:absolute;left:8563;top:775;width:444;height:1424" filled="true" fillcolor="#69bd28" stroked="false">
              <v:fill type="solid"/>
            </v:rect>
            <v:shape style="position:absolute;left:2620;top:-128;width:6553;height:2328" coordorigin="2621,-128" coordsize="6553,2328" path="m9096,2199l9096,-128m9096,2199l9173,2199m9096,1810l9173,1810m9096,1424l9173,1424m9096,1035l9173,1035m9096,649l9173,649m9096,260l9173,260m9096,-128l9173,-128m2698,2199l2698,-128m2621,2199l2698,2199m2621,1909l2698,1909m2621,1618l2698,1618m2621,1326l2698,1326m2621,1035l2698,1035m2621,745l2698,745m2621,454l2698,454m2621,164l2698,164m2621,-128l2698,-128m2698,2199l9096,2199e" filled="false" stroked="true" strokeweight="1.5pt" strokecolor="#000000">
              <v:path arrowok="t"/>
              <v:stroke dashstyle="solid"/>
            </v:shape>
            <v:shape style="position:absolute;left:3231;top:55;width:5332;height:1425" coordorigin="3231,56" coordsize="5332,1425" path="m3231,56l4298,181,5364,915,6430,1213,7498,1480,8563,1402e" filled="false" stroked="true" strokeweight=".25pt" strokecolor="#c00000">
              <v:path arrowok="t"/>
              <v:stroke dashstyle="solid"/>
            </v:shape>
            <v:shape style="position:absolute;left:3152;top:-20;width:154;height:154" type="#_x0000_t75" stroked="false">
              <v:imagedata r:id="rId274" o:title=""/>
            </v:shape>
            <v:shape style="position:absolute;left:4220;top:104;width:154;height:154" type="#_x0000_t75" stroked="false">
              <v:imagedata r:id="rId275" o:title=""/>
            </v:shape>
            <v:shape style="position:absolute;left:5286;top:839;width:154;height:154" type="#_x0000_t75" stroked="false">
              <v:imagedata r:id="rId275" o:title=""/>
            </v:shape>
            <v:shape style="position:absolute;left:6351;top:1136;width:154;height:154" type="#_x0000_t75" stroked="false">
              <v:imagedata r:id="rId276" o:title=""/>
            </v:shape>
            <v:shape style="position:absolute;left:7419;top:1403;width:154;height:154" type="#_x0000_t75" stroked="false">
              <v:imagedata r:id="rId274" o:title=""/>
            </v:shape>
            <v:shape style="position:absolute;left:8485;top:1326;width:154;height:154" type="#_x0000_t75" stroked="false">
              <v:imagedata r:id="rId277" o:title=""/>
            </v:shape>
            <v:shape style="position:absolute;left:2978;top:-321;width:523;height:216" type="#_x0000_t202" filled="false" stroked="false">
              <v:textbox inset="0,0,0,0">
                <w:txbxContent>
                  <w:p>
                    <w:pPr>
                      <w:spacing w:before="4"/>
                      <w:ind w:left="0" w:right="0" w:firstLine="0"/>
                      <w:jc w:val="left"/>
                      <w:rPr>
                        <w:sz w:val="18"/>
                      </w:rPr>
                    </w:pPr>
                    <w:r>
                      <w:rPr>
                        <w:w w:val="110"/>
                        <w:sz w:val="18"/>
                      </w:rPr>
                      <w:t>11.1%</w:t>
                    </w:r>
                  </w:p>
                </w:txbxContent>
              </v:textbox>
              <w10:wrap type="none"/>
            </v:shape>
            <v:shape style="position:absolute;left:4045;top:-195;width:523;height:216" type="#_x0000_t202" filled="false" stroked="false">
              <v:textbox inset="0,0,0,0">
                <w:txbxContent>
                  <w:p>
                    <w:pPr>
                      <w:spacing w:before="4"/>
                      <w:ind w:left="0" w:right="0" w:firstLine="0"/>
                      <w:jc w:val="left"/>
                      <w:rPr>
                        <w:sz w:val="18"/>
                      </w:rPr>
                    </w:pPr>
                    <w:r>
                      <w:rPr>
                        <w:w w:val="110"/>
                        <w:sz w:val="18"/>
                      </w:rPr>
                      <w:t>10.4%</w:t>
                    </w:r>
                  </w:p>
                </w:txbxContent>
              </v:textbox>
              <w10:wrap type="none"/>
            </v:shape>
            <v:shape style="position:absolute;left:5438;top:664;width:418;height:216" type="#_x0000_t202" filled="false" stroked="false">
              <v:textbox inset="0,0,0,0">
                <w:txbxContent>
                  <w:p>
                    <w:pPr>
                      <w:spacing w:before="4"/>
                      <w:ind w:left="0" w:right="0" w:firstLine="0"/>
                      <w:jc w:val="left"/>
                      <w:rPr>
                        <w:sz w:val="18"/>
                      </w:rPr>
                    </w:pPr>
                    <w:r>
                      <w:rPr>
                        <w:w w:val="110"/>
                        <w:sz w:val="18"/>
                      </w:rPr>
                      <w:t>6.6%</w:t>
                    </w:r>
                  </w:p>
                </w:txbxContent>
              </v:textbox>
              <w10:wrap type="none"/>
            </v:shape>
            <v:shape style="position:absolute;left:6230;top:837;width:418;height:216" type="#_x0000_t202" filled="false" stroked="false">
              <v:textbox inset="0,0,0,0">
                <w:txbxContent>
                  <w:p>
                    <w:pPr>
                      <w:spacing w:before="4"/>
                      <w:ind w:left="0" w:right="0" w:firstLine="0"/>
                      <w:jc w:val="left"/>
                      <w:rPr>
                        <w:sz w:val="18"/>
                      </w:rPr>
                    </w:pPr>
                    <w:r>
                      <w:rPr>
                        <w:w w:val="110"/>
                        <w:sz w:val="18"/>
                      </w:rPr>
                      <w:t>5.1%</w:t>
                    </w:r>
                  </w:p>
                </w:txbxContent>
              </v:textbox>
              <w10:wrap type="none"/>
            </v:shape>
            <v:shape style="position:absolute;left:7537;top:1152;width:418;height:216" type="#_x0000_t202" filled="false" stroked="false">
              <v:textbox inset="0,0,0,0">
                <w:txbxContent>
                  <w:p>
                    <w:pPr>
                      <w:spacing w:before="4"/>
                      <w:ind w:left="0" w:right="0" w:firstLine="0"/>
                      <w:jc w:val="left"/>
                      <w:rPr>
                        <w:sz w:val="18"/>
                      </w:rPr>
                    </w:pPr>
                    <w:r>
                      <w:rPr>
                        <w:w w:val="110"/>
                        <w:sz w:val="18"/>
                      </w:rPr>
                      <w:t>3.7%</w:t>
                    </w:r>
                  </w:p>
                </w:txbxContent>
              </v:textbox>
              <w10:wrap type="none"/>
            </v:shape>
            <v:shape style="position:absolute;left:8706;top:1101;width:418;height:216" type="#_x0000_t202" filled="false" stroked="false">
              <v:textbox inset="0,0,0,0">
                <w:txbxContent>
                  <w:p>
                    <w:pPr>
                      <w:spacing w:before="4"/>
                      <w:ind w:left="0" w:right="0" w:firstLine="0"/>
                      <w:jc w:val="left"/>
                      <w:rPr>
                        <w:sz w:val="18"/>
                      </w:rPr>
                    </w:pPr>
                    <w:r>
                      <w:rPr>
                        <w:w w:val="110"/>
                        <w:sz w:val="18"/>
                      </w:rPr>
                      <w:t>4.1%</w:t>
                    </w:r>
                  </w:p>
                </w:txbxContent>
              </v:textbox>
              <w10:wrap type="none"/>
            </v:shape>
            <v:shape style="position:absolute;left:2840;top:1917;width:355;height:193" type="#_x0000_t202" filled="false" stroked="false">
              <v:textbox inset="0,0,0,0">
                <w:txbxContent>
                  <w:p>
                    <w:pPr>
                      <w:spacing w:before="4"/>
                      <w:ind w:left="0" w:right="0" w:firstLine="0"/>
                      <w:jc w:val="left"/>
                      <w:rPr>
                        <w:sz w:val="16"/>
                      </w:rPr>
                    </w:pPr>
                    <w:r>
                      <w:rPr>
                        <w:color w:val="FFFFFF"/>
                        <w:w w:val="105"/>
                        <w:sz w:val="16"/>
                      </w:rPr>
                      <w:t>10.7</w:t>
                    </w:r>
                  </w:p>
                </w:txbxContent>
              </v:textbox>
              <w10:wrap type="none"/>
            </v:shape>
            <v:shape style="position:absolute;left:3906;top:1917;width:5018;height:193" type="#_x0000_t202" filled="false" stroked="false">
              <v:textbox inset="0,0,0,0">
                <w:txbxContent>
                  <w:p>
                    <w:pPr>
                      <w:tabs>
                        <w:tab w:pos="1114" w:val="left" w:leader="none"/>
                        <w:tab w:pos="2180" w:val="left" w:leader="none"/>
                        <w:tab w:pos="2625" w:val="left" w:leader="none"/>
                        <w:tab w:pos="3199" w:val="left" w:leader="none"/>
                        <w:tab w:pos="4266" w:val="left" w:leader="none"/>
                      </w:tabs>
                      <w:spacing w:before="4"/>
                      <w:ind w:left="0" w:right="0" w:firstLine="0"/>
                      <w:jc w:val="left"/>
                      <w:rPr>
                        <w:sz w:val="16"/>
                      </w:rPr>
                    </w:pPr>
                    <w:r>
                      <w:rPr>
                        <w:color w:val="FFFFFF"/>
                        <w:w w:val="105"/>
                        <w:sz w:val="16"/>
                      </w:rPr>
                      <w:t>12.7 </w:t>
                    </w:r>
                    <w:r>
                      <w:rPr>
                        <w:color w:val="FFFFFF"/>
                        <w:spacing w:val="14"/>
                        <w:w w:val="105"/>
                        <w:sz w:val="16"/>
                      </w:rPr>
                      <w:t> </w:t>
                    </w:r>
                    <w:r>
                      <w:rPr>
                        <w:w w:val="105"/>
                        <w:sz w:val="16"/>
                      </w:rPr>
                      <w:t>12.0</w:t>
                      <w:tab/>
                    </w:r>
                    <w:r>
                      <w:rPr>
                        <w:color w:val="FFFFFF"/>
                        <w:w w:val="105"/>
                        <w:sz w:val="16"/>
                      </w:rPr>
                      <w:t>7.9  </w:t>
                    </w:r>
                    <w:r>
                      <w:rPr>
                        <w:color w:val="FFFFFF"/>
                        <w:spacing w:val="9"/>
                        <w:w w:val="105"/>
                        <w:sz w:val="16"/>
                      </w:rPr>
                      <w:t> </w:t>
                    </w:r>
                    <w:r>
                      <w:rPr>
                        <w:w w:val="105"/>
                        <w:sz w:val="16"/>
                      </w:rPr>
                      <w:t>11.9</w:t>
                      <w:tab/>
                    </w:r>
                    <w:r>
                      <w:rPr>
                        <w:color w:val="FFFFFF"/>
                        <w:w w:val="105"/>
                        <w:sz w:val="16"/>
                      </w:rPr>
                      <w:t>7.7</w:t>
                      <w:tab/>
                    </w:r>
                    <w:r>
                      <w:rPr>
                        <w:w w:val="105"/>
                        <w:sz w:val="16"/>
                      </w:rPr>
                      <w:t>9.3</w:t>
                      <w:tab/>
                    </w:r>
                    <w:r>
                      <w:rPr>
                        <w:color w:val="FFFFFF"/>
                        <w:w w:val="105"/>
                        <w:sz w:val="16"/>
                      </w:rPr>
                      <w:t>11.9 </w:t>
                    </w:r>
                    <w:r>
                      <w:rPr>
                        <w:color w:val="FFFFFF"/>
                        <w:spacing w:val="15"/>
                        <w:w w:val="105"/>
                        <w:sz w:val="16"/>
                      </w:rPr>
                      <w:t> </w:t>
                    </w:r>
                    <w:r>
                      <w:rPr>
                        <w:w w:val="105"/>
                        <w:sz w:val="16"/>
                      </w:rPr>
                      <w:t>13.3</w:t>
                      <w:tab/>
                    </w:r>
                    <w:r>
                      <w:rPr>
                        <w:color w:val="FFFFFF"/>
                        <w:w w:val="105"/>
                        <w:sz w:val="16"/>
                      </w:rPr>
                      <w:t>10.8</w:t>
                    </w:r>
                    <w:r>
                      <w:rPr>
                        <w:color w:val="FFFFFF"/>
                        <w:spacing w:val="10"/>
                        <w:w w:val="105"/>
                        <w:sz w:val="16"/>
                      </w:rPr>
                      <w:t> </w:t>
                    </w:r>
                    <w:r>
                      <w:rPr>
                        <w:w w:val="105"/>
                        <w:sz w:val="16"/>
                      </w:rPr>
                      <w:t>9.8</w:t>
                    </w:r>
                  </w:p>
                </w:txbxContent>
              </v:textbox>
              <w10:wrap type="none"/>
            </v:shape>
            <v:shape style="position:absolute;left:3230;top:574;width:444;height:1625" type="#_x0000_t202" filled="false" stroked="false">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26"/>
                      </w:rPr>
                    </w:pPr>
                  </w:p>
                  <w:p>
                    <w:pPr>
                      <w:spacing w:before="0"/>
                      <w:ind w:left="54" w:right="0" w:firstLine="0"/>
                      <w:jc w:val="left"/>
                      <w:rPr>
                        <w:sz w:val="16"/>
                      </w:rPr>
                    </w:pPr>
                    <w:r>
                      <w:rPr>
                        <w:w w:val="105"/>
                        <w:sz w:val="16"/>
                      </w:rPr>
                      <w:t>11.2</w:t>
                    </w:r>
                  </w:p>
                </w:txbxContent>
              </v:textbox>
              <w10:wrap type="none"/>
            </v:shape>
            <w10:wrap type="none"/>
          </v:group>
        </w:pict>
      </w:r>
      <w:r>
        <w:rPr>
          <w:w w:val="110"/>
          <w:sz w:val="24"/>
        </w:rPr>
        <w:t>10.0%</w:t>
      </w:r>
    </w:p>
    <w:p>
      <w:pPr>
        <w:spacing w:before="109"/>
        <w:ind w:left="431" w:right="0" w:firstLine="0"/>
        <w:jc w:val="left"/>
        <w:rPr>
          <w:sz w:val="24"/>
        </w:rPr>
      </w:pPr>
      <w:r>
        <w:rPr>
          <w:w w:val="110"/>
          <w:sz w:val="24"/>
        </w:rPr>
        <w:t>8.0%</w:t>
      </w:r>
    </w:p>
    <w:p>
      <w:pPr>
        <w:spacing w:before="109"/>
        <w:ind w:left="431" w:right="0" w:firstLine="0"/>
        <w:jc w:val="left"/>
        <w:rPr>
          <w:sz w:val="24"/>
        </w:rPr>
      </w:pPr>
      <w:r>
        <w:rPr>
          <w:w w:val="110"/>
          <w:sz w:val="24"/>
        </w:rPr>
        <w:t>6.0%</w:t>
      </w:r>
    </w:p>
    <w:p>
      <w:pPr>
        <w:spacing w:before="110"/>
        <w:ind w:left="431" w:right="0" w:firstLine="0"/>
        <w:jc w:val="left"/>
        <w:rPr>
          <w:sz w:val="24"/>
        </w:rPr>
      </w:pPr>
      <w:r>
        <w:rPr>
          <w:w w:val="110"/>
          <w:sz w:val="24"/>
        </w:rPr>
        <w:t>4.0%</w:t>
      </w:r>
    </w:p>
    <w:p>
      <w:pPr>
        <w:spacing w:before="109"/>
        <w:ind w:left="431" w:right="0" w:firstLine="0"/>
        <w:jc w:val="left"/>
        <w:rPr>
          <w:sz w:val="24"/>
        </w:rPr>
      </w:pPr>
      <w:r>
        <w:rPr>
          <w:w w:val="110"/>
          <w:sz w:val="24"/>
        </w:rPr>
        <w:t>2.0%</w:t>
      </w:r>
    </w:p>
    <w:p>
      <w:pPr>
        <w:spacing w:before="109"/>
        <w:ind w:left="431" w:right="0" w:firstLine="0"/>
        <w:jc w:val="left"/>
        <w:rPr>
          <w:sz w:val="24"/>
        </w:rPr>
      </w:pPr>
      <w:r>
        <w:rPr>
          <w:w w:val="110"/>
          <w:sz w:val="24"/>
        </w:rPr>
        <w:t>0.0%</w:t>
      </w:r>
    </w:p>
    <w:p>
      <w:pPr>
        <w:spacing w:after="0"/>
        <w:jc w:val="left"/>
        <w:rPr>
          <w:sz w:val="24"/>
        </w:rPr>
        <w:sectPr>
          <w:type w:val="continuous"/>
          <w:pgSz w:w="11910" w:h="16840"/>
          <w:pgMar w:top="800" w:bottom="280" w:left="480" w:right="480"/>
          <w:cols w:num="3" w:equalWidth="0">
            <w:col w:w="1999" w:space="40"/>
            <w:col w:w="6330" w:space="39"/>
            <w:col w:w="2542"/>
          </w:cols>
        </w:sectPr>
      </w:pPr>
    </w:p>
    <w:p>
      <w:pPr>
        <w:pStyle w:val="BodyText"/>
        <w:rPr>
          <w:sz w:val="20"/>
        </w:rPr>
      </w:pPr>
    </w:p>
    <w:p>
      <w:pPr>
        <w:pStyle w:val="BodyText"/>
        <w:spacing w:before="6"/>
        <w:rPr>
          <w:sz w:val="24"/>
        </w:rPr>
      </w:pPr>
    </w:p>
    <w:p>
      <w:pPr>
        <w:tabs>
          <w:tab w:pos="2556" w:val="left" w:leader="none"/>
          <w:tab w:pos="5498" w:val="left" w:leader="none"/>
        </w:tabs>
        <w:spacing w:before="0"/>
        <w:ind w:left="497" w:right="0" w:firstLine="0"/>
        <w:jc w:val="center"/>
        <w:rPr>
          <w:sz w:val="24"/>
        </w:rPr>
      </w:pPr>
      <w:r>
        <w:rPr/>
        <w:pict>
          <v:rect style="position:absolute;margin-left:132.529999pt;margin-top:4.264371pt;width:19.2pt;height:6.4732pt;mso-position-horizontal-relative:page;mso-position-vertical-relative:paragraph;z-index:16407040" filled="true" fillcolor="#006a4d" stroked="false">
            <v:fill type="solid"/>
            <w10:wrap type="none"/>
          </v:rect>
        </w:pict>
      </w:r>
      <w:r>
        <w:rPr/>
        <w:pict>
          <v:rect style="position:absolute;margin-left:235.460007pt;margin-top:4.264371pt;width:19.2pt;height:6.4732pt;mso-position-horizontal-relative:page;mso-position-vertical-relative:paragraph;z-index:-34220544" filled="true" fillcolor="#69bd28" stroked="false">
            <v:fill type="solid"/>
            <w10:wrap type="none"/>
          </v:rect>
        </w:pict>
      </w:r>
      <w:r>
        <w:rPr/>
        <w:drawing>
          <wp:anchor distT="0" distB="0" distL="0" distR="0" allowOverlap="1" layoutInCell="1" locked="0" behindDoc="1" simplePos="0" relativeHeight="469096448">
            <wp:simplePos x="0" y="0"/>
            <wp:positionH relativeFrom="page">
              <wp:posOffset>4858130</wp:posOffset>
            </wp:positionH>
            <wp:positionV relativeFrom="paragraph">
              <wp:posOffset>45308</wp:posOffset>
            </wp:positionV>
            <wp:extent cx="243840" cy="97536"/>
            <wp:effectExtent l="0" t="0" r="0" b="0"/>
            <wp:wrapNone/>
            <wp:docPr id="295" name="image207.png"/>
            <wp:cNvGraphicFramePr>
              <a:graphicFrameLocks noChangeAspect="1"/>
            </wp:cNvGraphicFramePr>
            <a:graphic>
              <a:graphicData uri="http://schemas.openxmlformats.org/drawingml/2006/picture">
                <pic:pic>
                  <pic:nvPicPr>
                    <pic:cNvPr id="296" name="image207.png"/>
                    <pic:cNvPicPr/>
                  </pic:nvPicPr>
                  <pic:blipFill>
                    <a:blip r:embed="rId278" cstate="print"/>
                    <a:stretch>
                      <a:fillRect/>
                    </a:stretch>
                  </pic:blipFill>
                  <pic:spPr>
                    <a:xfrm>
                      <a:off x="0" y="0"/>
                      <a:ext cx="243840" cy="97536"/>
                    </a:xfrm>
                    <a:prstGeom prst="rect">
                      <a:avLst/>
                    </a:prstGeom>
                  </pic:spPr>
                </pic:pic>
              </a:graphicData>
            </a:graphic>
          </wp:anchor>
        </w:drawing>
      </w:r>
      <w:r>
        <w:rPr>
          <w:sz w:val="24"/>
        </w:rPr>
        <w:t>Supply</w:t>
      </w:r>
      <w:r>
        <w:rPr>
          <w:spacing w:val="-26"/>
          <w:sz w:val="24"/>
        </w:rPr>
        <w:t> </w:t>
      </w:r>
      <w:r>
        <w:rPr>
          <w:sz w:val="24"/>
        </w:rPr>
        <w:t>(msf)</w:t>
        <w:tab/>
        <w:t>Net</w:t>
      </w:r>
      <w:r>
        <w:rPr>
          <w:spacing w:val="-24"/>
          <w:sz w:val="24"/>
        </w:rPr>
        <w:t> </w:t>
      </w:r>
      <w:r>
        <w:rPr>
          <w:sz w:val="24"/>
        </w:rPr>
        <w:t>Absoprtion</w:t>
      </w:r>
      <w:r>
        <w:rPr>
          <w:spacing w:val="-24"/>
          <w:sz w:val="24"/>
        </w:rPr>
        <w:t> </w:t>
      </w:r>
      <w:r>
        <w:rPr>
          <w:sz w:val="24"/>
        </w:rPr>
        <w:t>(msf)</w:t>
        <w:tab/>
        <w:t>Vacancy</w:t>
      </w:r>
      <w:r>
        <w:rPr>
          <w:spacing w:val="-1"/>
          <w:sz w:val="24"/>
        </w:rPr>
        <w:t> </w:t>
      </w:r>
      <w:r>
        <w:rPr>
          <w:sz w:val="24"/>
        </w:rPr>
        <w:t>(%)</w:t>
      </w:r>
    </w:p>
    <w:p>
      <w:pPr>
        <w:pStyle w:val="BodyText"/>
        <w:spacing w:before="7"/>
        <w:rPr>
          <w:sz w:val="29"/>
        </w:rPr>
      </w:pPr>
    </w:p>
    <w:p>
      <w:pPr>
        <w:tabs>
          <w:tab w:pos="3946" w:val="left" w:leader="none"/>
          <w:tab w:pos="10835" w:val="left" w:leader="none"/>
        </w:tabs>
        <w:spacing w:before="104"/>
        <w:ind w:left="117" w:right="0" w:firstLine="0"/>
        <w:jc w:val="left"/>
        <w:rPr>
          <w:b/>
          <w:sz w:val="18"/>
        </w:rPr>
      </w:pPr>
      <w:r>
        <w:rPr>
          <w:b/>
          <w:color w:val="FFFFFF"/>
          <w:w w:val="103"/>
          <w:sz w:val="18"/>
          <w:shd w:fill="006A4D" w:color="auto" w:val="clear"/>
        </w:rPr>
        <w:t> </w:t>
      </w:r>
      <w:r>
        <w:rPr>
          <w:b/>
          <w:color w:val="FFFFFF"/>
          <w:sz w:val="18"/>
          <w:shd w:fill="006A4D" w:color="auto" w:val="clear"/>
        </w:rPr>
        <w:tab/>
      </w:r>
      <w:r>
        <w:rPr>
          <w:b/>
          <w:color w:val="FFFFFF"/>
          <w:w w:val="115"/>
          <w:sz w:val="18"/>
          <w:shd w:fill="006A4D" w:color="auto" w:val="clear"/>
        </w:rPr>
        <w:t>Demand</w:t>
      </w:r>
      <w:r>
        <w:rPr>
          <w:b/>
          <w:color w:val="FFFFFF"/>
          <w:spacing w:val="-35"/>
          <w:w w:val="115"/>
          <w:sz w:val="18"/>
          <w:shd w:fill="006A4D" w:color="auto" w:val="clear"/>
        </w:rPr>
        <w:t> </w:t>
      </w:r>
      <w:r>
        <w:rPr>
          <w:b/>
          <w:color w:val="FFFFFF"/>
          <w:w w:val="115"/>
          <w:sz w:val="18"/>
          <w:shd w:fill="006A4D" w:color="auto" w:val="clear"/>
        </w:rPr>
        <w:t>–</w:t>
      </w:r>
      <w:r>
        <w:rPr>
          <w:b/>
          <w:color w:val="FFFFFF"/>
          <w:spacing w:val="-35"/>
          <w:w w:val="115"/>
          <w:sz w:val="18"/>
          <w:shd w:fill="006A4D" w:color="auto" w:val="clear"/>
        </w:rPr>
        <w:t> </w:t>
      </w:r>
      <w:r>
        <w:rPr>
          <w:b/>
          <w:color w:val="FFFFFF"/>
          <w:w w:val="115"/>
          <w:sz w:val="18"/>
          <w:shd w:fill="006A4D" w:color="auto" w:val="clear"/>
        </w:rPr>
        <w:t>Supply</w:t>
      </w:r>
      <w:r>
        <w:rPr>
          <w:b/>
          <w:color w:val="FFFFFF"/>
          <w:spacing w:val="-35"/>
          <w:w w:val="115"/>
          <w:sz w:val="18"/>
          <w:shd w:fill="006A4D" w:color="auto" w:val="clear"/>
        </w:rPr>
        <w:t> </w:t>
      </w:r>
      <w:r>
        <w:rPr>
          <w:b/>
          <w:color w:val="FFFFFF"/>
          <w:w w:val="115"/>
          <w:sz w:val="18"/>
          <w:shd w:fill="006A4D" w:color="auto" w:val="clear"/>
        </w:rPr>
        <w:t>Dynamics</w:t>
      </w:r>
      <w:r>
        <w:rPr>
          <w:b/>
          <w:color w:val="FFFFFF"/>
          <w:spacing w:val="-35"/>
          <w:w w:val="115"/>
          <w:sz w:val="18"/>
          <w:shd w:fill="006A4D" w:color="auto" w:val="clear"/>
        </w:rPr>
        <w:t> </w:t>
      </w:r>
      <w:r>
        <w:rPr>
          <w:b/>
          <w:color w:val="FFFFFF"/>
          <w:w w:val="115"/>
          <w:sz w:val="18"/>
          <w:shd w:fill="006A4D" w:color="auto" w:val="clear"/>
        </w:rPr>
        <w:t>(EBD)</w:t>
      </w:r>
      <w:r>
        <w:rPr>
          <w:b/>
          <w:color w:val="FFFFFF"/>
          <w:sz w:val="18"/>
          <w:shd w:fill="006A4D" w:color="auto" w:val="clear"/>
        </w:rPr>
        <w:tab/>
      </w:r>
    </w:p>
    <w:p>
      <w:pPr>
        <w:pStyle w:val="BodyText"/>
        <w:rPr>
          <w:b/>
          <w:sz w:val="20"/>
        </w:rPr>
      </w:pPr>
    </w:p>
    <w:p>
      <w:pPr>
        <w:pStyle w:val="BodyText"/>
        <w:rPr>
          <w:b/>
          <w:sz w:val="20"/>
        </w:rPr>
      </w:pPr>
    </w:p>
    <w:p>
      <w:pPr>
        <w:pStyle w:val="BodyText"/>
        <w:spacing w:before="3"/>
        <w:rPr>
          <w:b/>
          <w:sz w:val="18"/>
        </w:rPr>
      </w:pPr>
    </w:p>
    <w:p>
      <w:pPr>
        <w:spacing w:after="0"/>
        <w:rPr>
          <w:sz w:val="18"/>
        </w:rPr>
        <w:sectPr>
          <w:type w:val="continuous"/>
          <w:pgSz w:w="11910" w:h="16840"/>
          <w:pgMar w:top="800" w:bottom="280" w:left="480" w:right="480"/>
        </w:sectPr>
      </w:pPr>
    </w:p>
    <w:p>
      <w:pPr>
        <w:pStyle w:val="Heading4"/>
        <w:spacing w:before="106"/>
        <w:jc w:val="right"/>
      </w:pPr>
      <w:r>
        <w:rPr/>
        <w:pict>
          <v:shape style="position:absolute;margin-left:93.305305pt;margin-top:16.349594pt;width:16.4pt;height:120.55pt;mso-position-horizontal-relative:page;mso-position-vertical-relative:paragraph;z-index:16420864" type="#_x0000_t202" filled="false" stroked="false">
            <v:textbox inset="0,0,0,0" style="layout-flow:vertical;mso-layout-flow-alt:bottom-to-top">
              <w:txbxContent>
                <w:p>
                  <w:pPr>
                    <w:spacing w:before="25"/>
                    <w:ind w:left="20" w:right="0" w:firstLine="0"/>
                    <w:jc w:val="left"/>
                    <w:rPr>
                      <w:sz w:val="24"/>
                    </w:rPr>
                  </w:pPr>
                  <w:r>
                    <w:rPr>
                      <w:w w:val="95"/>
                      <w:sz w:val="24"/>
                    </w:rPr>
                    <w:t>Suply/Absorption (msf)</w:t>
                  </w:r>
                </w:p>
              </w:txbxContent>
            </v:textbox>
            <w10:wrap type="none"/>
          </v:shape>
        </w:pict>
      </w:r>
      <w:r>
        <w:rPr/>
        <w:t>2.5</w:t>
      </w:r>
    </w:p>
    <w:p>
      <w:pPr>
        <w:spacing w:before="210"/>
        <w:ind w:left="0" w:right="0" w:firstLine="0"/>
        <w:jc w:val="right"/>
        <w:rPr>
          <w:sz w:val="24"/>
        </w:rPr>
      </w:pPr>
      <w:r>
        <w:rPr>
          <w:sz w:val="24"/>
        </w:rPr>
        <w:t>2.0</w:t>
      </w:r>
    </w:p>
    <w:p>
      <w:pPr>
        <w:spacing w:before="210"/>
        <w:ind w:left="0" w:right="0" w:firstLine="0"/>
        <w:jc w:val="right"/>
        <w:rPr>
          <w:sz w:val="24"/>
        </w:rPr>
      </w:pPr>
      <w:r>
        <w:rPr>
          <w:sz w:val="24"/>
        </w:rPr>
        <w:t>1.5</w:t>
      </w:r>
    </w:p>
    <w:p>
      <w:pPr>
        <w:spacing w:before="210"/>
        <w:ind w:left="0" w:right="0" w:firstLine="0"/>
        <w:jc w:val="right"/>
        <w:rPr>
          <w:sz w:val="24"/>
        </w:rPr>
      </w:pPr>
      <w:r>
        <w:rPr>
          <w:sz w:val="24"/>
        </w:rPr>
        <w:t>1.0</w:t>
      </w:r>
    </w:p>
    <w:p>
      <w:pPr>
        <w:spacing w:before="209"/>
        <w:ind w:left="0" w:right="0" w:firstLine="0"/>
        <w:jc w:val="right"/>
        <w:rPr>
          <w:sz w:val="24"/>
        </w:rPr>
      </w:pPr>
      <w:r>
        <w:rPr>
          <w:sz w:val="24"/>
        </w:rPr>
        <w:t>0.5</w:t>
      </w:r>
    </w:p>
    <w:p>
      <w:pPr>
        <w:spacing w:before="211"/>
        <w:ind w:left="0" w:right="1" w:firstLine="0"/>
        <w:jc w:val="right"/>
        <w:rPr>
          <w:sz w:val="24"/>
        </w:rPr>
      </w:pPr>
      <w:r>
        <w:rPr>
          <w:w w:val="112"/>
          <w:sz w:val="24"/>
        </w:rPr>
        <w:t>0</w:t>
      </w:r>
    </w:p>
    <w:p>
      <w:pPr>
        <w:pStyle w:val="BodyText"/>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
      </w:pPr>
    </w:p>
    <w:p>
      <w:pPr>
        <w:tabs>
          <w:tab w:pos="1422" w:val="left" w:leader="none"/>
          <w:tab w:pos="2440" w:val="left" w:leader="none"/>
          <w:tab w:pos="3457" w:val="left" w:leader="none"/>
          <w:tab w:pos="4475" w:val="left" w:leader="none"/>
          <w:tab w:pos="5492" w:val="left" w:leader="none"/>
        </w:tabs>
        <w:spacing w:before="1"/>
        <w:ind w:left="405" w:right="0" w:firstLine="0"/>
        <w:jc w:val="left"/>
        <w:rPr>
          <w:sz w:val="24"/>
        </w:rPr>
      </w:pPr>
      <w:r>
        <w:rPr>
          <w:w w:val="110"/>
          <w:sz w:val="24"/>
        </w:rPr>
        <w:t>2014</w:t>
        <w:tab/>
        <w:t>2015</w:t>
        <w:tab/>
        <w:t>2016</w:t>
        <w:tab/>
        <w:t>2017</w:t>
        <w:tab/>
        <w:t>2018</w:t>
        <w:tab/>
      </w:r>
      <w:r>
        <w:rPr>
          <w:spacing w:val="-5"/>
          <w:w w:val="110"/>
          <w:sz w:val="24"/>
        </w:rPr>
        <w:t>2019</w:t>
      </w:r>
    </w:p>
    <w:p>
      <w:pPr>
        <w:spacing w:before="106"/>
        <w:ind w:left="404" w:right="0" w:firstLine="0"/>
        <w:jc w:val="left"/>
        <w:rPr>
          <w:sz w:val="24"/>
        </w:rPr>
      </w:pPr>
      <w:r>
        <w:rPr/>
        <w:br w:type="column"/>
      </w:r>
      <w:r>
        <w:rPr>
          <w:w w:val="110"/>
          <w:sz w:val="24"/>
        </w:rPr>
        <w:t>20.0%</w:t>
      </w:r>
    </w:p>
    <w:p>
      <w:pPr>
        <w:pStyle w:val="BodyText"/>
        <w:spacing w:before="6"/>
        <w:rPr>
          <w:sz w:val="28"/>
        </w:rPr>
      </w:pPr>
    </w:p>
    <w:p>
      <w:pPr>
        <w:spacing w:before="0"/>
        <w:ind w:left="404" w:right="0" w:firstLine="0"/>
        <w:jc w:val="left"/>
        <w:rPr>
          <w:sz w:val="24"/>
        </w:rPr>
      </w:pPr>
      <w:r>
        <w:rPr/>
        <w:pict>
          <v:group style="position:absolute;margin-left:150.570007pt;margin-top:-27.468439pt;width:312.9pt;height:128.25pt;mso-position-horizontal-relative:page;mso-position-vertical-relative:paragraph;z-index:16417792" coordorigin="3011,-549" coordsize="6258,2565">
            <v:rect style="position:absolute;left:3172;top:1640;width:425;height:341" filled="true" fillcolor="#006a4d" stroked="false">
              <v:fill type="solid"/>
            </v:rect>
            <v:rect style="position:absolute;left:3597;top:808;width:423;height:1174" filled="true" fillcolor="#69bd28" stroked="false">
              <v:fill type="solid"/>
            </v:rect>
            <v:shape style="position:absolute;left:3011;top:-462;width:77;height:2443" coordorigin="3011,-461" coordsize="77,2443" path="m3088,1982l3088,-461m3011,1982l3088,1982m3011,1492l3088,1492m3011,1005l3088,1005m3011,515l3088,515m3011,28l3088,28m3011,-461l3088,-461e" filled="false" stroked="true" strokeweight="1.5pt" strokecolor="#000000">
              <v:path arrowok="t"/>
              <v:stroke dashstyle="solid"/>
            </v:shape>
            <v:rect style="position:absolute;left:4190;top:1717;width:425;height:265" filled="true" fillcolor="#006a4d" stroked="false">
              <v:fill type="solid"/>
            </v:rect>
            <v:rect style="position:absolute;left:4615;top:-71;width:423;height:2053" filled="true" fillcolor="#69bd28" stroked="false">
              <v:fill type="solid"/>
            </v:rect>
            <v:rect style="position:absolute;left:5208;top:1825;width:425;height:157" filled="true" fillcolor="#006a4d" stroked="false">
              <v:fill type="solid"/>
            </v:rect>
            <v:rect style="position:absolute;left:5632;top:505;width:423;height:1477" filled="true" fillcolor="#69bd28" stroked="false">
              <v:fill type="solid"/>
            </v:rect>
            <v:rect style="position:absolute;left:6225;top:1196;width:423;height:785" filled="true" fillcolor="#006a4d" stroked="false">
              <v:fill type="solid"/>
            </v:rect>
            <v:rect style="position:absolute;left:6648;top:1391;width:425;height:591" filled="true" fillcolor="#69bd28" stroked="false">
              <v:fill type="solid"/>
            </v:rect>
            <v:rect style="position:absolute;left:7243;top:1170;width:423;height:812" filled="true" fillcolor="#006a4d" stroked="false">
              <v:fill type="solid"/>
            </v:rect>
            <v:rect style="position:absolute;left:7665;top:1091;width:425;height:891" filled="true" fillcolor="#69bd28" stroked="false">
              <v:fill type="solid"/>
            </v:rect>
            <v:rect style="position:absolute;left:8258;top:1645;width:425;height:337" filled="true" fillcolor="#006a4d" stroked="false">
              <v:fill type="solid"/>
            </v:rect>
            <v:rect style="position:absolute;left:8683;top:1710;width:425;height:272" filled="true" fillcolor="#69bd28" stroked="false">
              <v:fill type="solid"/>
            </v:rect>
            <v:shape style="position:absolute;left:9192;top:-462;width:78;height:2443" coordorigin="9192,-461" coordsize="78,2443" path="m9192,1982l9192,-461m9192,1982l9269,1982m9192,1372l9269,1372m9192,760l9269,760m9192,151l9269,151m9192,-461l9269,-461e" filled="false" stroked="true" strokeweight="2pt" strokecolor="#000000">
              <v:path arrowok="t"/>
              <v:stroke dashstyle="solid"/>
            </v:shape>
            <v:line style="position:absolute" from="3088,1982" to="9192,1982" stroked="true" strokeweight="1.5pt" strokecolor="#000000">
              <v:stroke dashstyle="solid"/>
            </v:line>
            <v:shape style="position:absolute;left:3597;top:-174;width:5087;height:2117" coordorigin="3597,-174" coordsize="5087,2117" path="m3597,-174l4615,1058,5633,1943,6648,1819,7666,1874,8683,1838e" filled="false" stroked="true" strokeweight="2pt" strokecolor="#c00000">
              <v:path arrowok="t"/>
              <v:stroke dashstyle="solid"/>
            </v:shape>
            <v:shape style="position:absolute;left:3525;top:-246;width:144;height:144" type="#_x0000_t75" stroked="false">
              <v:imagedata r:id="rId279" o:title=""/>
            </v:shape>
            <v:shape style="position:absolute;left:4543;top:985;width:144;height:144" type="#_x0000_t75" stroked="false">
              <v:imagedata r:id="rId279" o:title=""/>
            </v:shape>
            <v:shape style="position:absolute;left:5560;top:1871;width:144;height:144" type="#_x0000_t75" stroked="false">
              <v:imagedata r:id="rId280" o:title=""/>
            </v:shape>
            <v:shape style="position:absolute;left:6575;top:1746;width:144;height:144" type="#_x0000_t75" stroked="false">
              <v:imagedata r:id="rId279" o:title=""/>
            </v:shape>
            <v:shape style="position:absolute;left:7593;top:1801;width:144;height:144" type="#_x0000_t75" stroked="false">
              <v:imagedata r:id="rId281" o:title=""/>
            </v:shape>
            <v:shape style="position:absolute;left:8611;top:1765;width:144;height:144" type="#_x0000_t75" stroked="false">
              <v:imagedata r:id="rId279" o:title=""/>
            </v:shape>
            <v:shape style="position:absolute;left:3346;top:-550;width:523;height:216" type="#_x0000_t202" filled="false" stroked="false">
              <v:textbox inset="0,0,0,0">
                <w:txbxContent>
                  <w:p>
                    <w:pPr>
                      <w:spacing w:before="4"/>
                      <w:ind w:left="0" w:right="0" w:firstLine="0"/>
                      <w:jc w:val="left"/>
                      <w:rPr>
                        <w:sz w:val="18"/>
                      </w:rPr>
                    </w:pPr>
                    <w:r>
                      <w:rPr>
                        <w:w w:val="110"/>
                        <w:sz w:val="18"/>
                      </w:rPr>
                      <w:t>17.6%</w:t>
                    </w:r>
                  </w:p>
                </w:txbxContent>
              </v:textbox>
              <w10:wrap type="none"/>
            </v:shape>
            <v:shape style="position:absolute;left:4724;top:-327;width:225;height:167" type="#_x0000_t202" filled="false" stroked="false">
              <v:textbox inset="0,0,0,0">
                <w:txbxContent>
                  <w:p>
                    <w:pPr>
                      <w:spacing w:before="2"/>
                      <w:ind w:left="0" w:right="0" w:firstLine="0"/>
                      <w:jc w:val="left"/>
                      <w:rPr>
                        <w:sz w:val="14"/>
                      </w:rPr>
                    </w:pPr>
                    <w:r>
                      <w:rPr>
                        <w:w w:val="105"/>
                        <w:sz w:val="14"/>
                      </w:rPr>
                      <w:t>2.1</w:t>
                    </w:r>
                  </w:p>
                </w:txbxContent>
              </v:textbox>
              <w10:wrap type="none"/>
            </v:shape>
            <v:shape style="position:absolute;left:5741;top:250;width:225;height:167" type="#_x0000_t202" filled="false" stroked="false">
              <v:textbox inset="0,0,0,0">
                <w:txbxContent>
                  <w:p>
                    <w:pPr>
                      <w:spacing w:before="2"/>
                      <w:ind w:left="0" w:right="0" w:firstLine="0"/>
                      <w:jc w:val="left"/>
                      <w:rPr>
                        <w:sz w:val="14"/>
                      </w:rPr>
                    </w:pPr>
                    <w:r>
                      <w:rPr>
                        <w:w w:val="105"/>
                        <w:sz w:val="14"/>
                      </w:rPr>
                      <w:t>1.5</w:t>
                    </w:r>
                  </w:p>
                </w:txbxContent>
              </v:textbox>
              <w10:wrap type="none"/>
            </v:shape>
            <v:shape style="position:absolute;left:3706;top:553;width:225;height:167" type="#_x0000_t202" filled="false" stroked="false">
              <v:textbox inset="0,0,0,0">
                <w:txbxContent>
                  <w:p>
                    <w:pPr>
                      <w:spacing w:before="2"/>
                      <w:ind w:left="0" w:right="0" w:firstLine="0"/>
                      <w:jc w:val="left"/>
                      <w:rPr>
                        <w:sz w:val="14"/>
                      </w:rPr>
                    </w:pPr>
                    <w:r>
                      <w:rPr>
                        <w:w w:val="105"/>
                        <w:sz w:val="14"/>
                      </w:rPr>
                      <w:t>1.2</w:t>
                    </w:r>
                  </w:p>
                </w:txbxContent>
              </v:textbox>
              <w10:wrap type="none"/>
            </v:shape>
            <v:shape style="position:absolute;left:4744;top:873;width:418;height:216" type="#_x0000_t202" filled="false" stroked="false">
              <v:textbox inset="0,0,0,0">
                <w:txbxContent>
                  <w:p>
                    <w:pPr>
                      <w:spacing w:before="4"/>
                      <w:ind w:left="0" w:right="0" w:firstLine="0"/>
                      <w:jc w:val="left"/>
                      <w:rPr>
                        <w:sz w:val="18"/>
                      </w:rPr>
                    </w:pPr>
                    <w:r>
                      <w:rPr>
                        <w:w w:val="110"/>
                        <w:sz w:val="18"/>
                      </w:rPr>
                      <w:t>7.6%</w:t>
                    </w:r>
                  </w:p>
                </w:txbxContent>
              </v:textbox>
              <w10:wrap type="none"/>
            </v:shape>
            <v:shape style="position:absolute;left:6335;top:940;width:225;height:167" type="#_x0000_t202" filled="false" stroked="false">
              <v:textbox inset="0,0,0,0">
                <w:txbxContent>
                  <w:p>
                    <w:pPr>
                      <w:spacing w:before="2"/>
                      <w:ind w:left="0" w:right="0" w:firstLine="0"/>
                      <w:jc w:val="left"/>
                      <w:rPr>
                        <w:sz w:val="14"/>
                      </w:rPr>
                    </w:pPr>
                    <w:r>
                      <w:rPr>
                        <w:w w:val="105"/>
                        <w:sz w:val="14"/>
                      </w:rPr>
                      <w:t>0.8</w:t>
                    </w:r>
                  </w:p>
                </w:txbxContent>
              </v:textbox>
              <w10:wrap type="none"/>
            </v:shape>
            <v:shape style="position:absolute;left:7352;top:915;width:225;height:167" type="#_x0000_t202" filled="false" stroked="false">
              <v:textbox inset="0,0,0,0">
                <w:txbxContent>
                  <w:p>
                    <w:pPr>
                      <w:spacing w:before="2"/>
                      <w:ind w:left="0" w:right="0" w:firstLine="0"/>
                      <w:jc w:val="left"/>
                      <w:rPr>
                        <w:sz w:val="14"/>
                      </w:rPr>
                    </w:pPr>
                    <w:r>
                      <w:rPr>
                        <w:w w:val="105"/>
                        <w:sz w:val="14"/>
                      </w:rPr>
                      <w:t>0.8</w:t>
                    </w:r>
                  </w:p>
                </w:txbxContent>
              </v:textbox>
              <w10:wrap type="none"/>
            </v:shape>
            <v:shape style="position:absolute;left:7776;top:836;width:225;height:167" type="#_x0000_t202" filled="false" stroked="false">
              <v:textbox inset="0,0,0,0">
                <w:txbxContent>
                  <w:p>
                    <w:pPr>
                      <w:spacing w:before="2"/>
                      <w:ind w:left="0" w:right="0" w:firstLine="0"/>
                      <w:jc w:val="left"/>
                      <w:rPr>
                        <w:sz w:val="14"/>
                      </w:rPr>
                    </w:pPr>
                    <w:r>
                      <w:rPr>
                        <w:w w:val="105"/>
                        <w:sz w:val="14"/>
                      </w:rPr>
                      <w:t>0.9</w:t>
                    </w:r>
                  </w:p>
                </w:txbxContent>
              </v:textbox>
              <w10:wrap type="none"/>
            </v:shape>
            <v:shape style="position:absolute;left:6759;top:1136;width:225;height:167" type="#_x0000_t202" filled="false" stroked="false">
              <v:textbox inset="0,0,0,0">
                <w:txbxContent>
                  <w:p>
                    <w:pPr>
                      <w:spacing w:before="2"/>
                      <w:ind w:left="0" w:right="0" w:firstLine="0"/>
                      <w:jc w:val="left"/>
                      <w:rPr>
                        <w:sz w:val="14"/>
                      </w:rPr>
                    </w:pPr>
                    <w:r>
                      <w:rPr>
                        <w:w w:val="105"/>
                        <w:sz w:val="14"/>
                      </w:rPr>
                      <w:t>0.6</w:t>
                    </w:r>
                  </w:p>
                </w:txbxContent>
              </v:textbox>
              <w10:wrap type="none"/>
            </v:shape>
            <v:shape style="position:absolute;left:3282;top:1384;width:225;height:167" type="#_x0000_t202" filled="false" stroked="false">
              <v:textbox inset="0,0,0,0">
                <w:txbxContent>
                  <w:p>
                    <w:pPr>
                      <w:spacing w:before="2"/>
                      <w:ind w:left="0" w:right="0" w:firstLine="0"/>
                      <w:jc w:val="left"/>
                      <w:rPr>
                        <w:sz w:val="14"/>
                      </w:rPr>
                    </w:pPr>
                    <w:r>
                      <w:rPr>
                        <w:w w:val="105"/>
                        <w:sz w:val="14"/>
                      </w:rPr>
                      <w:t>0.4</w:t>
                    </w:r>
                  </w:p>
                </w:txbxContent>
              </v:textbox>
              <w10:wrap type="none"/>
            </v:shape>
            <v:shape style="position:absolute;left:4300;top:1462;width:225;height:167" type="#_x0000_t202" filled="false" stroked="false">
              <v:textbox inset="0,0,0,0">
                <w:txbxContent>
                  <w:p>
                    <w:pPr>
                      <w:spacing w:before="2"/>
                      <w:ind w:left="0" w:right="0" w:firstLine="0"/>
                      <w:jc w:val="left"/>
                      <w:rPr>
                        <w:sz w:val="14"/>
                      </w:rPr>
                    </w:pPr>
                    <w:r>
                      <w:rPr>
                        <w:w w:val="105"/>
                        <w:sz w:val="14"/>
                      </w:rPr>
                      <w:t>0.3</w:t>
                    </w:r>
                  </w:p>
                </w:txbxContent>
              </v:textbox>
              <w10:wrap type="none"/>
            </v:shape>
            <v:shape style="position:absolute;left:5318;top:1569;width:225;height:167" type="#_x0000_t202" filled="false" stroked="false">
              <v:textbox inset="0,0,0,0">
                <w:txbxContent>
                  <w:p>
                    <w:pPr>
                      <w:spacing w:before="2"/>
                      <w:ind w:left="0" w:right="0" w:firstLine="0"/>
                      <w:jc w:val="left"/>
                      <w:rPr>
                        <w:sz w:val="14"/>
                      </w:rPr>
                    </w:pPr>
                    <w:r>
                      <w:rPr>
                        <w:w w:val="105"/>
                        <w:sz w:val="14"/>
                      </w:rPr>
                      <w:t>0.2</w:t>
                    </w:r>
                  </w:p>
                </w:txbxContent>
              </v:textbox>
              <w10:wrap type="none"/>
            </v:shape>
            <v:shape style="position:absolute;left:6451;top:1444;width:418;height:216" type="#_x0000_t202" filled="false" stroked="false">
              <v:textbox inset="0,0,0,0">
                <w:txbxContent>
                  <w:p>
                    <w:pPr>
                      <w:spacing w:before="4"/>
                      <w:ind w:left="0" w:right="0" w:firstLine="0"/>
                      <w:jc w:val="left"/>
                      <w:rPr>
                        <w:sz w:val="18"/>
                      </w:rPr>
                    </w:pPr>
                    <w:r>
                      <w:rPr>
                        <w:w w:val="110"/>
                        <w:sz w:val="18"/>
                      </w:rPr>
                      <w:t>1.3%</w:t>
                    </w:r>
                  </w:p>
                </w:txbxContent>
              </v:textbox>
              <w10:wrap type="none"/>
            </v:shape>
            <v:shape style="position:absolute;left:7468;top:1499;width:418;height:216" type="#_x0000_t202" filled="false" stroked="false">
              <v:textbox inset="0,0,0,0">
                <w:txbxContent>
                  <w:p>
                    <w:pPr>
                      <w:spacing w:before="4"/>
                      <w:ind w:left="0" w:right="0" w:firstLine="0"/>
                      <w:jc w:val="left"/>
                      <w:rPr>
                        <w:sz w:val="18"/>
                      </w:rPr>
                    </w:pPr>
                    <w:r>
                      <w:rPr>
                        <w:w w:val="110"/>
                        <w:sz w:val="18"/>
                      </w:rPr>
                      <w:t>0.9%</w:t>
                    </w:r>
                  </w:p>
                </w:txbxContent>
              </v:textbox>
              <w10:wrap type="none"/>
            </v:shape>
            <v:shape style="position:absolute;left:8370;top:1390;width:225;height:167" type="#_x0000_t202" filled="false" stroked="false">
              <v:textbox inset="0,0,0,0">
                <w:txbxContent>
                  <w:p>
                    <w:pPr>
                      <w:spacing w:before="2"/>
                      <w:ind w:left="0" w:right="0" w:firstLine="0"/>
                      <w:jc w:val="left"/>
                      <w:rPr>
                        <w:sz w:val="14"/>
                      </w:rPr>
                    </w:pPr>
                    <w:r>
                      <w:rPr>
                        <w:w w:val="105"/>
                        <w:sz w:val="14"/>
                      </w:rPr>
                      <w:t>0.3</w:t>
                    </w:r>
                  </w:p>
                </w:txbxContent>
              </v:textbox>
              <w10:wrap type="none"/>
            </v:shape>
            <v:shape style="position:absolute;left:8719;top:1567;width:418;height:216" type="#_x0000_t202" filled="false" stroked="false">
              <v:textbox inset="0,0,0,0">
                <w:txbxContent>
                  <w:p>
                    <w:pPr>
                      <w:spacing w:before="4"/>
                      <w:ind w:left="0" w:right="0" w:firstLine="0"/>
                      <w:jc w:val="left"/>
                      <w:rPr>
                        <w:sz w:val="18"/>
                      </w:rPr>
                    </w:pPr>
                    <w:r>
                      <w:rPr>
                        <w:w w:val="110"/>
                        <w:sz w:val="18"/>
                      </w:rPr>
                      <w:t>1.2%</w:t>
                    </w:r>
                  </w:p>
                </w:txbxContent>
              </v:textbox>
              <w10:wrap type="none"/>
            </v:shape>
            <v:shape style="position:absolute;left:8794;top:1453;width:225;height:167" type="#_x0000_t202" filled="false" stroked="false">
              <v:textbox inset="0,0,0,0">
                <w:txbxContent>
                  <w:p>
                    <w:pPr>
                      <w:spacing w:before="2"/>
                      <w:ind w:left="0" w:right="0" w:firstLine="0"/>
                      <w:jc w:val="left"/>
                      <w:rPr>
                        <w:sz w:val="14"/>
                      </w:rPr>
                    </w:pPr>
                    <w:r>
                      <w:rPr>
                        <w:w w:val="105"/>
                        <w:sz w:val="14"/>
                      </w:rPr>
                      <w:t>0.3</w:t>
                    </w:r>
                  </w:p>
                </w:txbxContent>
              </v:textbox>
              <w10:wrap type="none"/>
            </v:shape>
            <v:shape style="position:absolute;left:5632;top:505;width:423;height:1477" type="#_x0000_t202"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5"/>
                      <w:rPr>
                        <w:sz w:val="29"/>
                      </w:rPr>
                    </w:pPr>
                  </w:p>
                  <w:p>
                    <w:pPr>
                      <w:spacing w:before="0"/>
                      <w:ind w:left="17" w:right="0" w:firstLine="0"/>
                      <w:jc w:val="left"/>
                      <w:rPr>
                        <w:sz w:val="18"/>
                      </w:rPr>
                    </w:pPr>
                    <w:r>
                      <w:rPr>
                        <w:w w:val="110"/>
                        <w:sz w:val="18"/>
                      </w:rPr>
                      <w:t>0.3%</w:t>
                    </w:r>
                  </w:p>
                </w:txbxContent>
              </v:textbox>
              <w10:wrap type="none"/>
            </v:shape>
            <w10:wrap type="none"/>
          </v:group>
        </w:pict>
      </w:r>
      <w:r>
        <w:rPr/>
        <w:pict>
          <v:shape style="position:absolute;margin-left:530.549927pt;margin-top:20.497578pt;width:16.4pt;height:64pt;mso-position-horizontal-relative:page;mso-position-vertical-relative:paragraph;z-index:16419840" type="#_x0000_t202" filled="false" stroked="false">
            <v:textbox inset="0,0,0,0" style="layout-flow:vertical">
              <w:txbxContent>
                <w:p>
                  <w:pPr>
                    <w:spacing w:before="25"/>
                    <w:ind w:left="20" w:right="0" w:firstLine="0"/>
                    <w:jc w:val="left"/>
                    <w:rPr>
                      <w:sz w:val="24"/>
                    </w:rPr>
                  </w:pPr>
                  <w:r>
                    <w:rPr>
                      <w:sz w:val="24"/>
                    </w:rPr>
                    <w:t>Vacancy</w:t>
                  </w:r>
                  <w:r>
                    <w:rPr>
                      <w:spacing w:val="-30"/>
                      <w:sz w:val="24"/>
                    </w:rPr>
                    <w:t> </w:t>
                  </w:r>
                  <w:r>
                    <w:rPr>
                      <w:sz w:val="24"/>
                    </w:rPr>
                    <w:t>(%)</w:t>
                  </w:r>
                </w:p>
              </w:txbxContent>
            </v:textbox>
            <w10:wrap type="none"/>
          </v:shape>
        </w:pict>
      </w:r>
      <w:r>
        <w:rPr>
          <w:w w:val="110"/>
          <w:sz w:val="24"/>
        </w:rPr>
        <w:t>15.0%</w:t>
      </w:r>
    </w:p>
    <w:p>
      <w:pPr>
        <w:pStyle w:val="BodyText"/>
        <w:spacing w:before="8"/>
        <w:rPr>
          <w:sz w:val="28"/>
        </w:rPr>
      </w:pPr>
    </w:p>
    <w:p>
      <w:pPr>
        <w:spacing w:before="0"/>
        <w:ind w:left="404" w:right="0" w:firstLine="0"/>
        <w:jc w:val="left"/>
        <w:rPr>
          <w:sz w:val="24"/>
        </w:rPr>
      </w:pPr>
      <w:r>
        <w:rPr>
          <w:w w:val="110"/>
          <w:sz w:val="24"/>
        </w:rPr>
        <w:t>10.0%</w:t>
      </w:r>
    </w:p>
    <w:p>
      <w:pPr>
        <w:pStyle w:val="BodyText"/>
        <w:spacing w:before="6"/>
        <w:rPr>
          <w:sz w:val="28"/>
        </w:rPr>
      </w:pPr>
    </w:p>
    <w:p>
      <w:pPr>
        <w:spacing w:before="0"/>
        <w:ind w:left="404" w:right="0" w:firstLine="0"/>
        <w:jc w:val="left"/>
        <w:rPr>
          <w:sz w:val="24"/>
        </w:rPr>
      </w:pPr>
      <w:r>
        <w:rPr>
          <w:w w:val="110"/>
          <w:sz w:val="24"/>
        </w:rPr>
        <w:t>5.0%</w:t>
      </w:r>
    </w:p>
    <w:p>
      <w:pPr>
        <w:pStyle w:val="BodyText"/>
        <w:spacing w:before="8"/>
        <w:rPr>
          <w:sz w:val="28"/>
        </w:rPr>
      </w:pPr>
    </w:p>
    <w:p>
      <w:pPr>
        <w:spacing w:before="0"/>
        <w:ind w:left="404" w:right="0" w:firstLine="0"/>
        <w:jc w:val="left"/>
        <w:rPr>
          <w:sz w:val="24"/>
        </w:rPr>
      </w:pPr>
      <w:r>
        <w:rPr>
          <w:w w:val="120"/>
          <w:sz w:val="24"/>
        </w:rPr>
        <w:t>0%</w:t>
      </w:r>
    </w:p>
    <w:p>
      <w:pPr>
        <w:spacing w:after="0"/>
        <w:jc w:val="left"/>
        <w:rPr>
          <w:sz w:val="24"/>
        </w:rPr>
        <w:sectPr>
          <w:type w:val="continuous"/>
          <w:pgSz w:w="11910" w:h="16840"/>
          <w:pgMar w:top="800" w:bottom="280" w:left="480" w:right="480"/>
          <w:cols w:num="3" w:equalWidth="0">
            <w:col w:w="2390" w:space="40"/>
            <w:col w:w="6062" w:space="39"/>
            <w:col w:w="2419"/>
          </w:cols>
        </w:sectPr>
      </w:pPr>
    </w:p>
    <w:p>
      <w:pPr>
        <w:pStyle w:val="BodyText"/>
        <w:spacing w:before="2"/>
        <w:rPr>
          <w:sz w:val="11"/>
        </w:rPr>
      </w:pPr>
    </w:p>
    <w:p>
      <w:pPr>
        <w:tabs>
          <w:tab w:pos="4887" w:val="left" w:leader="none"/>
          <w:tab w:pos="7829" w:val="left" w:leader="none"/>
        </w:tabs>
        <w:spacing w:before="106"/>
        <w:ind w:left="2828" w:right="0" w:firstLine="0"/>
        <w:jc w:val="left"/>
        <w:rPr>
          <w:sz w:val="24"/>
        </w:rPr>
      </w:pPr>
      <w:r>
        <w:rPr/>
        <w:pict>
          <v:rect style="position:absolute;margin-left:144.160004pt;margin-top:9.504393pt;width:19.2pt;height:6.4732pt;mso-position-horizontal-relative:page;mso-position-vertical-relative:paragraph;z-index:16418304" filled="true" fillcolor="#006a4d" stroked="false">
            <v:fill type="solid"/>
            <w10:wrap type="none"/>
          </v:rect>
        </w:pict>
      </w:r>
      <w:r>
        <w:rPr/>
        <w:pict>
          <v:rect style="position:absolute;margin-left:247.080002pt;margin-top:9.504393pt;width:19.2pt;height:6.4732pt;mso-position-horizontal-relative:page;mso-position-vertical-relative:paragraph;z-index:-34209280" filled="true" fillcolor="#69bd28" stroked="false">
            <v:fill type="solid"/>
            <w10:wrap type="none"/>
          </v:rect>
        </w:pict>
      </w:r>
      <w:r>
        <w:rPr/>
        <w:drawing>
          <wp:anchor distT="0" distB="0" distL="0" distR="0" allowOverlap="1" layoutInCell="1" locked="0" behindDoc="1" simplePos="0" relativeHeight="469107712">
            <wp:simplePos x="0" y="0"/>
            <wp:positionH relativeFrom="page">
              <wp:posOffset>5005704</wp:posOffset>
            </wp:positionH>
            <wp:positionV relativeFrom="paragraph">
              <wp:posOffset>115031</wp:posOffset>
            </wp:positionV>
            <wp:extent cx="243840" cy="91439"/>
            <wp:effectExtent l="0" t="0" r="0" b="0"/>
            <wp:wrapNone/>
            <wp:docPr id="297" name="image211.png"/>
            <wp:cNvGraphicFramePr>
              <a:graphicFrameLocks noChangeAspect="1"/>
            </wp:cNvGraphicFramePr>
            <a:graphic>
              <a:graphicData uri="http://schemas.openxmlformats.org/drawingml/2006/picture">
                <pic:pic>
                  <pic:nvPicPr>
                    <pic:cNvPr id="298" name="image211.png"/>
                    <pic:cNvPicPr/>
                  </pic:nvPicPr>
                  <pic:blipFill>
                    <a:blip r:embed="rId282" cstate="print"/>
                    <a:stretch>
                      <a:fillRect/>
                    </a:stretch>
                  </pic:blipFill>
                  <pic:spPr>
                    <a:xfrm>
                      <a:off x="0" y="0"/>
                      <a:ext cx="243840" cy="91439"/>
                    </a:xfrm>
                    <a:prstGeom prst="rect">
                      <a:avLst/>
                    </a:prstGeom>
                  </pic:spPr>
                </pic:pic>
              </a:graphicData>
            </a:graphic>
          </wp:anchor>
        </w:drawing>
      </w:r>
      <w:r>
        <w:rPr>
          <w:sz w:val="24"/>
        </w:rPr>
        <w:t>Supply</w:t>
      </w:r>
      <w:r>
        <w:rPr>
          <w:spacing w:val="-26"/>
          <w:sz w:val="24"/>
        </w:rPr>
        <w:t> </w:t>
      </w:r>
      <w:r>
        <w:rPr>
          <w:sz w:val="24"/>
        </w:rPr>
        <w:t>(msf)</w:t>
        <w:tab/>
        <w:t>Net</w:t>
      </w:r>
      <w:r>
        <w:rPr>
          <w:spacing w:val="-24"/>
          <w:sz w:val="24"/>
        </w:rPr>
        <w:t> </w:t>
      </w:r>
      <w:r>
        <w:rPr>
          <w:sz w:val="24"/>
        </w:rPr>
        <w:t>Absoprtion</w:t>
      </w:r>
      <w:r>
        <w:rPr>
          <w:spacing w:val="-24"/>
          <w:sz w:val="24"/>
        </w:rPr>
        <w:t> </w:t>
      </w:r>
      <w:r>
        <w:rPr>
          <w:sz w:val="24"/>
        </w:rPr>
        <w:t>(msf)</w:t>
        <w:tab/>
        <w:t>Vacancy</w:t>
      </w:r>
      <w:r>
        <w:rPr>
          <w:spacing w:val="-2"/>
          <w:sz w:val="24"/>
        </w:rPr>
        <w:t> </w:t>
      </w:r>
      <w:r>
        <w:rPr>
          <w:sz w:val="24"/>
        </w:rPr>
        <w:t>(%)</w:t>
      </w:r>
    </w:p>
    <w:p>
      <w:pPr>
        <w:pStyle w:val="BodyText"/>
        <w:spacing w:before="3"/>
        <w:rPr>
          <w:sz w:val="14"/>
        </w:rPr>
      </w:pPr>
    </w:p>
    <w:p>
      <w:pPr>
        <w:spacing w:line="321" w:lineRule="auto" w:before="105"/>
        <w:ind w:left="787" w:right="234" w:firstLine="0"/>
        <w:jc w:val="both"/>
        <w:rPr>
          <w:i/>
          <w:sz w:val="18"/>
        </w:rPr>
      </w:pPr>
      <w:r>
        <w:rPr>
          <w:i/>
          <w:sz w:val="18"/>
        </w:rPr>
        <w:t>Source:</w:t>
      </w:r>
      <w:r>
        <w:rPr>
          <w:i/>
          <w:spacing w:val="-28"/>
          <w:sz w:val="18"/>
        </w:rPr>
        <w:t> </w:t>
      </w:r>
      <w:r>
        <w:rPr>
          <w:i/>
          <w:sz w:val="18"/>
        </w:rPr>
        <w:t>CBRE</w:t>
      </w:r>
      <w:r>
        <w:rPr>
          <w:i/>
          <w:spacing w:val="-27"/>
          <w:sz w:val="18"/>
        </w:rPr>
        <w:t> </w:t>
      </w:r>
      <w:r>
        <w:rPr>
          <w:i/>
          <w:sz w:val="18"/>
        </w:rPr>
        <w:t>Research;</w:t>
      </w:r>
      <w:r>
        <w:rPr>
          <w:i/>
          <w:spacing w:val="-29"/>
          <w:sz w:val="18"/>
        </w:rPr>
        <w:t> </w:t>
      </w:r>
      <w:r>
        <w:rPr>
          <w:i/>
          <w:sz w:val="18"/>
        </w:rPr>
        <w:t>Note:</w:t>
      </w:r>
      <w:r>
        <w:rPr>
          <w:i/>
          <w:spacing w:val="-28"/>
          <w:sz w:val="18"/>
        </w:rPr>
        <w:t> </w:t>
      </w:r>
      <w:r>
        <w:rPr>
          <w:i/>
          <w:sz w:val="18"/>
        </w:rPr>
        <w:t>Supply</w:t>
      </w:r>
      <w:r>
        <w:rPr>
          <w:i/>
          <w:spacing w:val="-28"/>
          <w:sz w:val="18"/>
        </w:rPr>
        <w:t> </w:t>
      </w:r>
      <w:r>
        <w:rPr>
          <w:i/>
          <w:w w:val="105"/>
          <w:sz w:val="18"/>
        </w:rPr>
        <w:t>–</w:t>
      </w:r>
      <w:r>
        <w:rPr>
          <w:i/>
          <w:spacing w:val="-30"/>
          <w:w w:val="105"/>
          <w:sz w:val="18"/>
        </w:rPr>
        <w:t> </w:t>
      </w:r>
      <w:r>
        <w:rPr>
          <w:i/>
          <w:sz w:val="18"/>
        </w:rPr>
        <w:t>refers</w:t>
      </w:r>
      <w:r>
        <w:rPr>
          <w:i/>
          <w:spacing w:val="-27"/>
          <w:sz w:val="18"/>
        </w:rPr>
        <w:t> </w:t>
      </w:r>
      <w:r>
        <w:rPr>
          <w:i/>
          <w:sz w:val="18"/>
        </w:rPr>
        <w:t>to</w:t>
      </w:r>
      <w:r>
        <w:rPr>
          <w:i/>
          <w:spacing w:val="-28"/>
          <w:sz w:val="18"/>
        </w:rPr>
        <w:t> </w:t>
      </w:r>
      <w:r>
        <w:rPr>
          <w:i/>
          <w:sz w:val="18"/>
        </w:rPr>
        <w:t>fresh</w:t>
      </w:r>
      <w:r>
        <w:rPr>
          <w:i/>
          <w:spacing w:val="-28"/>
          <w:sz w:val="18"/>
        </w:rPr>
        <w:t> </w:t>
      </w:r>
      <w:r>
        <w:rPr>
          <w:i/>
          <w:sz w:val="18"/>
        </w:rPr>
        <w:t>completed</w:t>
      </w:r>
      <w:r>
        <w:rPr>
          <w:i/>
          <w:spacing w:val="-26"/>
          <w:sz w:val="18"/>
        </w:rPr>
        <w:t> </w:t>
      </w:r>
      <w:r>
        <w:rPr>
          <w:i/>
          <w:sz w:val="18"/>
        </w:rPr>
        <w:t>supply</w:t>
      </w:r>
      <w:r>
        <w:rPr>
          <w:i/>
          <w:spacing w:val="-27"/>
          <w:sz w:val="18"/>
        </w:rPr>
        <w:t> </w:t>
      </w:r>
      <w:r>
        <w:rPr>
          <w:i/>
          <w:sz w:val="18"/>
        </w:rPr>
        <w:t>added</w:t>
      </w:r>
      <w:r>
        <w:rPr>
          <w:i/>
          <w:spacing w:val="-27"/>
          <w:sz w:val="18"/>
        </w:rPr>
        <w:t> </w:t>
      </w:r>
      <w:r>
        <w:rPr>
          <w:i/>
          <w:sz w:val="18"/>
        </w:rPr>
        <w:t>each</w:t>
      </w:r>
      <w:r>
        <w:rPr>
          <w:i/>
          <w:spacing w:val="-28"/>
          <w:sz w:val="18"/>
        </w:rPr>
        <w:t> </w:t>
      </w:r>
      <w:r>
        <w:rPr>
          <w:i/>
          <w:sz w:val="18"/>
        </w:rPr>
        <w:t>year;</w:t>
      </w:r>
      <w:r>
        <w:rPr>
          <w:i/>
          <w:spacing w:val="-27"/>
          <w:sz w:val="18"/>
        </w:rPr>
        <w:t> </w:t>
      </w:r>
      <w:r>
        <w:rPr>
          <w:i/>
          <w:sz w:val="18"/>
        </w:rPr>
        <w:t>Absorption</w:t>
      </w:r>
      <w:r>
        <w:rPr>
          <w:i/>
          <w:spacing w:val="-26"/>
          <w:sz w:val="18"/>
        </w:rPr>
        <w:t> </w:t>
      </w:r>
      <w:r>
        <w:rPr>
          <w:i/>
          <w:w w:val="105"/>
          <w:sz w:val="18"/>
        </w:rPr>
        <w:t>–</w:t>
      </w:r>
      <w:r>
        <w:rPr>
          <w:i/>
          <w:spacing w:val="-30"/>
          <w:w w:val="105"/>
          <w:sz w:val="18"/>
        </w:rPr>
        <w:t> </w:t>
      </w:r>
      <w:r>
        <w:rPr>
          <w:i/>
          <w:sz w:val="18"/>
        </w:rPr>
        <w:t>refers</w:t>
      </w:r>
      <w:r>
        <w:rPr>
          <w:i/>
          <w:spacing w:val="-28"/>
          <w:sz w:val="18"/>
        </w:rPr>
        <w:t> </w:t>
      </w:r>
      <w:r>
        <w:rPr>
          <w:i/>
          <w:sz w:val="18"/>
        </w:rPr>
        <w:t>to</w:t>
      </w:r>
      <w:r>
        <w:rPr>
          <w:i/>
          <w:spacing w:val="-29"/>
          <w:sz w:val="18"/>
        </w:rPr>
        <w:t> </w:t>
      </w:r>
      <w:r>
        <w:rPr>
          <w:i/>
          <w:sz w:val="18"/>
        </w:rPr>
        <w:t>the</w:t>
      </w:r>
      <w:r>
        <w:rPr>
          <w:i/>
          <w:spacing w:val="-29"/>
          <w:sz w:val="18"/>
        </w:rPr>
        <w:t> </w:t>
      </w:r>
      <w:r>
        <w:rPr>
          <w:i/>
          <w:sz w:val="18"/>
        </w:rPr>
        <w:t>quantum</w:t>
      </w:r>
      <w:r>
        <w:rPr>
          <w:i/>
          <w:spacing w:val="-27"/>
          <w:sz w:val="18"/>
        </w:rPr>
        <w:t> </w:t>
      </w:r>
      <w:r>
        <w:rPr>
          <w:i/>
          <w:sz w:val="18"/>
        </w:rPr>
        <w:t>of </w:t>
      </w:r>
      <w:r>
        <w:rPr>
          <w:i/>
          <w:sz w:val="18"/>
        </w:rPr>
        <w:t>leasing</w:t>
      </w:r>
      <w:r>
        <w:rPr>
          <w:i/>
          <w:spacing w:val="-19"/>
          <w:sz w:val="18"/>
        </w:rPr>
        <w:t> </w:t>
      </w:r>
      <w:r>
        <w:rPr>
          <w:i/>
          <w:sz w:val="18"/>
        </w:rPr>
        <w:t>witnessed</w:t>
      </w:r>
      <w:r>
        <w:rPr>
          <w:i/>
          <w:spacing w:val="-17"/>
          <w:sz w:val="18"/>
        </w:rPr>
        <w:t> </w:t>
      </w:r>
      <w:r>
        <w:rPr>
          <w:i/>
          <w:sz w:val="18"/>
        </w:rPr>
        <w:t>in</w:t>
      </w:r>
      <w:r>
        <w:rPr>
          <w:i/>
          <w:spacing w:val="-18"/>
          <w:sz w:val="18"/>
        </w:rPr>
        <w:t> </w:t>
      </w:r>
      <w:r>
        <w:rPr>
          <w:i/>
          <w:sz w:val="18"/>
        </w:rPr>
        <w:t>each</w:t>
      </w:r>
      <w:r>
        <w:rPr>
          <w:i/>
          <w:spacing w:val="-17"/>
          <w:sz w:val="18"/>
        </w:rPr>
        <w:t> </w:t>
      </w:r>
      <w:r>
        <w:rPr>
          <w:i/>
          <w:sz w:val="18"/>
        </w:rPr>
        <w:t>year</w:t>
      </w:r>
      <w:r>
        <w:rPr>
          <w:i/>
          <w:spacing w:val="-18"/>
          <w:sz w:val="18"/>
        </w:rPr>
        <w:t> </w:t>
      </w:r>
      <w:r>
        <w:rPr>
          <w:i/>
          <w:sz w:val="18"/>
        </w:rPr>
        <w:t>as</w:t>
      </w:r>
      <w:r>
        <w:rPr>
          <w:i/>
          <w:spacing w:val="-19"/>
          <w:sz w:val="18"/>
        </w:rPr>
        <w:t> </w:t>
      </w:r>
      <w:r>
        <w:rPr>
          <w:i/>
          <w:sz w:val="18"/>
        </w:rPr>
        <w:t>part</w:t>
      </w:r>
      <w:r>
        <w:rPr>
          <w:i/>
          <w:spacing w:val="-17"/>
          <w:sz w:val="18"/>
        </w:rPr>
        <w:t> </w:t>
      </w:r>
      <w:r>
        <w:rPr>
          <w:i/>
          <w:sz w:val="18"/>
        </w:rPr>
        <w:t>of</w:t>
      </w:r>
      <w:r>
        <w:rPr>
          <w:i/>
          <w:spacing w:val="-18"/>
          <w:sz w:val="18"/>
        </w:rPr>
        <w:t> </w:t>
      </w:r>
      <w:r>
        <w:rPr>
          <w:i/>
          <w:sz w:val="18"/>
        </w:rPr>
        <w:t>completed</w:t>
      </w:r>
      <w:r>
        <w:rPr>
          <w:i/>
          <w:spacing w:val="-18"/>
          <w:sz w:val="18"/>
        </w:rPr>
        <w:t> </w:t>
      </w:r>
      <w:r>
        <w:rPr>
          <w:i/>
          <w:sz w:val="18"/>
        </w:rPr>
        <w:t>space;</w:t>
      </w:r>
      <w:r>
        <w:rPr>
          <w:i/>
          <w:spacing w:val="-18"/>
          <w:sz w:val="18"/>
        </w:rPr>
        <w:t> </w:t>
      </w:r>
      <w:r>
        <w:rPr>
          <w:i/>
          <w:sz w:val="18"/>
        </w:rPr>
        <w:t>the</w:t>
      </w:r>
      <w:r>
        <w:rPr>
          <w:i/>
          <w:spacing w:val="-18"/>
          <w:sz w:val="18"/>
        </w:rPr>
        <w:t> </w:t>
      </w:r>
      <w:r>
        <w:rPr>
          <w:i/>
          <w:sz w:val="18"/>
        </w:rPr>
        <w:t>vacancy</w:t>
      </w:r>
      <w:r>
        <w:rPr>
          <w:i/>
          <w:spacing w:val="-19"/>
          <w:sz w:val="18"/>
        </w:rPr>
        <w:t> </w:t>
      </w:r>
      <w:r>
        <w:rPr>
          <w:i/>
          <w:sz w:val="18"/>
        </w:rPr>
        <w:t>in</w:t>
      </w:r>
      <w:r>
        <w:rPr>
          <w:i/>
          <w:spacing w:val="-18"/>
          <w:sz w:val="18"/>
        </w:rPr>
        <w:t> </w:t>
      </w:r>
      <w:r>
        <w:rPr>
          <w:i/>
          <w:sz w:val="18"/>
        </w:rPr>
        <w:t>the</w:t>
      </w:r>
      <w:r>
        <w:rPr>
          <w:i/>
          <w:spacing w:val="-19"/>
          <w:sz w:val="18"/>
        </w:rPr>
        <w:t> </w:t>
      </w:r>
      <w:r>
        <w:rPr>
          <w:i/>
          <w:sz w:val="18"/>
        </w:rPr>
        <w:t>chart</w:t>
      </w:r>
      <w:r>
        <w:rPr>
          <w:i/>
          <w:spacing w:val="-17"/>
          <w:sz w:val="18"/>
        </w:rPr>
        <w:t> </w:t>
      </w:r>
      <w:r>
        <w:rPr>
          <w:i/>
          <w:sz w:val="18"/>
        </w:rPr>
        <w:t>accounts</w:t>
      </w:r>
      <w:r>
        <w:rPr>
          <w:i/>
          <w:spacing w:val="-17"/>
          <w:sz w:val="18"/>
        </w:rPr>
        <w:t> </w:t>
      </w:r>
      <w:r>
        <w:rPr>
          <w:i/>
          <w:sz w:val="18"/>
        </w:rPr>
        <w:t>for</w:t>
      </w:r>
      <w:r>
        <w:rPr>
          <w:i/>
          <w:spacing w:val="-18"/>
          <w:sz w:val="18"/>
        </w:rPr>
        <w:t> </w:t>
      </w:r>
      <w:r>
        <w:rPr>
          <w:i/>
          <w:sz w:val="18"/>
        </w:rPr>
        <w:t>the</w:t>
      </w:r>
      <w:r>
        <w:rPr>
          <w:i/>
          <w:spacing w:val="-19"/>
          <w:sz w:val="18"/>
        </w:rPr>
        <w:t> </w:t>
      </w:r>
      <w:r>
        <w:rPr>
          <w:i/>
          <w:sz w:val="18"/>
        </w:rPr>
        <w:t>gap</w:t>
      </w:r>
      <w:r>
        <w:rPr>
          <w:i/>
          <w:spacing w:val="-18"/>
          <w:sz w:val="18"/>
        </w:rPr>
        <w:t> </w:t>
      </w:r>
      <w:r>
        <w:rPr>
          <w:i/>
          <w:sz w:val="18"/>
        </w:rPr>
        <w:t>between</w:t>
      </w:r>
      <w:r>
        <w:rPr>
          <w:i/>
          <w:spacing w:val="-17"/>
          <w:sz w:val="18"/>
        </w:rPr>
        <w:t> </w:t>
      </w:r>
      <w:r>
        <w:rPr>
          <w:i/>
          <w:sz w:val="18"/>
        </w:rPr>
        <w:t>cumulative stock and demand in the city in any</w:t>
      </w:r>
      <w:r>
        <w:rPr>
          <w:i/>
          <w:spacing w:val="-40"/>
          <w:sz w:val="18"/>
        </w:rPr>
        <w:t> </w:t>
      </w:r>
      <w:r>
        <w:rPr>
          <w:i/>
          <w:sz w:val="18"/>
        </w:rPr>
        <w:t>given year.</w:t>
      </w:r>
    </w:p>
    <w:p>
      <w:pPr>
        <w:pStyle w:val="BodyText"/>
        <w:spacing w:before="10"/>
        <w:rPr>
          <w:i/>
          <w:sz w:val="20"/>
        </w:rPr>
      </w:pPr>
    </w:p>
    <w:p>
      <w:pPr>
        <w:pStyle w:val="BodyText"/>
        <w:spacing w:line="321" w:lineRule="auto" w:before="1"/>
        <w:ind w:left="787" w:right="232"/>
        <w:jc w:val="both"/>
      </w:pPr>
      <w:r>
        <w:rPr/>
        <w:t>The</w:t>
      </w:r>
      <w:r>
        <w:rPr>
          <w:spacing w:val="-37"/>
        </w:rPr>
        <w:t> </w:t>
      </w:r>
      <w:r>
        <w:rPr/>
        <w:t>Extended</w:t>
      </w:r>
      <w:r>
        <w:rPr>
          <w:spacing w:val="-35"/>
        </w:rPr>
        <w:t> </w:t>
      </w:r>
      <w:r>
        <w:rPr/>
        <w:t>Business</w:t>
      </w:r>
      <w:r>
        <w:rPr>
          <w:spacing w:val="-36"/>
        </w:rPr>
        <w:t> </w:t>
      </w:r>
      <w:r>
        <w:rPr/>
        <w:t>District</w:t>
      </w:r>
      <w:r>
        <w:rPr>
          <w:spacing w:val="-35"/>
        </w:rPr>
        <w:t> </w:t>
      </w:r>
      <w:r>
        <w:rPr/>
        <w:t>(EBD)</w:t>
      </w:r>
      <w:r>
        <w:rPr>
          <w:spacing w:val="-35"/>
        </w:rPr>
        <w:t> </w:t>
      </w:r>
      <w:r>
        <w:rPr/>
        <w:t>brought</w:t>
      </w:r>
      <w:r>
        <w:rPr>
          <w:spacing w:val="-35"/>
        </w:rPr>
        <w:t> </w:t>
      </w:r>
      <w:r>
        <w:rPr/>
        <w:t>about</w:t>
      </w:r>
      <w:r>
        <w:rPr>
          <w:spacing w:val="-37"/>
        </w:rPr>
        <w:t> </w:t>
      </w:r>
      <w:r>
        <w:rPr/>
        <w:t>the</w:t>
      </w:r>
      <w:r>
        <w:rPr>
          <w:spacing w:val="-36"/>
        </w:rPr>
        <w:t> </w:t>
      </w:r>
      <w:r>
        <w:rPr/>
        <w:t>first</w:t>
      </w:r>
      <w:r>
        <w:rPr>
          <w:spacing w:val="-35"/>
        </w:rPr>
        <w:t> </w:t>
      </w:r>
      <w:r>
        <w:rPr/>
        <w:t>wave</w:t>
      </w:r>
      <w:r>
        <w:rPr>
          <w:spacing w:val="-35"/>
        </w:rPr>
        <w:t> </w:t>
      </w:r>
      <w:r>
        <w:rPr/>
        <w:t>of</w:t>
      </w:r>
      <w:r>
        <w:rPr>
          <w:spacing w:val="-35"/>
        </w:rPr>
        <w:t> </w:t>
      </w:r>
      <w:r>
        <w:rPr/>
        <w:t>expansion</w:t>
      </w:r>
      <w:r>
        <w:rPr>
          <w:spacing w:val="-36"/>
        </w:rPr>
        <w:t> </w:t>
      </w:r>
      <w:r>
        <w:rPr/>
        <w:t>of</w:t>
      </w:r>
      <w:r>
        <w:rPr>
          <w:spacing w:val="-35"/>
        </w:rPr>
        <w:t> </w:t>
      </w:r>
      <w:r>
        <w:rPr/>
        <w:t>Technology</w:t>
      </w:r>
      <w:r>
        <w:rPr>
          <w:spacing w:val="-35"/>
        </w:rPr>
        <w:t> </w:t>
      </w:r>
      <w:r>
        <w:rPr/>
        <w:t>corporates in</w:t>
      </w:r>
      <w:r>
        <w:rPr>
          <w:spacing w:val="-27"/>
        </w:rPr>
        <w:t> </w:t>
      </w:r>
      <w:r>
        <w:rPr/>
        <w:t>the</w:t>
      </w:r>
      <w:r>
        <w:rPr>
          <w:spacing w:val="-26"/>
        </w:rPr>
        <w:t> </w:t>
      </w:r>
      <w:r>
        <w:rPr/>
        <w:t>city</w:t>
      </w:r>
      <w:r>
        <w:rPr>
          <w:spacing w:val="-25"/>
        </w:rPr>
        <w:t> </w:t>
      </w:r>
      <w:r>
        <w:rPr/>
        <w:t>in</w:t>
      </w:r>
      <w:r>
        <w:rPr>
          <w:spacing w:val="-25"/>
        </w:rPr>
        <w:t> </w:t>
      </w:r>
      <w:r>
        <w:rPr/>
        <w:t>the</w:t>
      </w:r>
      <w:r>
        <w:rPr>
          <w:spacing w:val="-26"/>
        </w:rPr>
        <w:t> </w:t>
      </w:r>
      <w:r>
        <w:rPr/>
        <w:t>early</w:t>
      </w:r>
      <w:r>
        <w:rPr>
          <w:spacing w:val="-26"/>
        </w:rPr>
        <w:t> </w:t>
      </w:r>
      <w:r>
        <w:rPr/>
        <w:t>2000s.</w:t>
      </w:r>
      <w:r>
        <w:rPr>
          <w:spacing w:val="-26"/>
        </w:rPr>
        <w:t> </w:t>
      </w:r>
      <w:r>
        <w:rPr/>
        <w:t>The</w:t>
      </w:r>
      <w:r>
        <w:rPr>
          <w:spacing w:val="-25"/>
        </w:rPr>
        <w:t> </w:t>
      </w:r>
      <w:r>
        <w:rPr/>
        <w:t>region</w:t>
      </w:r>
      <w:r>
        <w:rPr>
          <w:spacing w:val="-26"/>
        </w:rPr>
        <w:t> </w:t>
      </w:r>
      <w:r>
        <w:rPr/>
        <w:t>has</w:t>
      </w:r>
      <w:r>
        <w:rPr>
          <w:spacing w:val="-25"/>
        </w:rPr>
        <w:t> </w:t>
      </w:r>
      <w:r>
        <w:rPr/>
        <w:t>since</w:t>
      </w:r>
      <w:r>
        <w:rPr>
          <w:spacing w:val="-26"/>
        </w:rPr>
        <w:t> </w:t>
      </w:r>
      <w:r>
        <w:rPr/>
        <w:t>witnessed</w:t>
      </w:r>
      <w:r>
        <w:rPr>
          <w:spacing w:val="-26"/>
        </w:rPr>
        <w:t> </w:t>
      </w:r>
      <w:r>
        <w:rPr/>
        <w:t>the</w:t>
      </w:r>
      <w:r>
        <w:rPr>
          <w:spacing w:val="-26"/>
        </w:rPr>
        <w:t> </w:t>
      </w:r>
      <w:r>
        <w:rPr/>
        <w:t>development</w:t>
      </w:r>
      <w:r>
        <w:rPr>
          <w:spacing w:val="-26"/>
        </w:rPr>
        <w:t> </w:t>
      </w:r>
      <w:r>
        <w:rPr/>
        <w:t>of</w:t>
      </w:r>
      <w:r>
        <w:rPr>
          <w:spacing w:val="-26"/>
        </w:rPr>
        <w:t> </w:t>
      </w:r>
      <w:r>
        <w:rPr/>
        <w:t>a</w:t>
      </w:r>
      <w:r>
        <w:rPr>
          <w:spacing w:val="-26"/>
        </w:rPr>
        <w:t> </w:t>
      </w:r>
      <w:r>
        <w:rPr/>
        <w:t>few</w:t>
      </w:r>
      <w:r>
        <w:rPr>
          <w:spacing w:val="-25"/>
        </w:rPr>
        <w:t> </w:t>
      </w:r>
      <w:r>
        <w:rPr/>
        <w:t>large</w:t>
      </w:r>
      <w:r>
        <w:rPr>
          <w:spacing w:val="-26"/>
        </w:rPr>
        <w:t> </w:t>
      </w:r>
      <w:r>
        <w:rPr/>
        <w:t>technology parks</w:t>
      </w:r>
      <w:r>
        <w:rPr>
          <w:spacing w:val="-37"/>
        </w:rPr>
        <w:t> </w:t>
      </w:r>
      <w:r>
        <w:rPr/>
        <w:t>as</w:t>
      </w:r>
      <w:r>
        <w:rPr>
          <w:spacing w:val="-36"/>
        </w:rPr>
        <w:t> </w:t>
      </w:r>
      <w:r>
        <w:rPr/>
        <w:t>well</w:t>
      </w:r>
      <w:r>
        <w:rPr>
          <w:spacing w:val="-37"/>
        </w:rPr>
        <w:t> </w:t>
      </w:r>
      <w:r>
        <w:rPr/>
        <w:t>as</w:t>
      </w:r>
      <w:r>
        <w:rPr>
          <w:spacing w:val="-37"/>
        </w:rPr>
        <w:t> </w:t>
      </w:r>
      <w:r>
        <w:rPr/>
        <w:t>a</w:t>
      </w:r>
      <w:r>
        <w:rPr>
          <w:spacing w:val="-37"/>
        </w:rPr>
        <w:t> </w:t>
      </w:r>
      <w:r>
        <w:rPr/>
        <w:t>number</w:t>
      </w:r>
      <w:r>
        <w:rPr>
          <w:spacing w:val="-36"/>
        </w:rPr>
        <w:t> </w:t>
      </w:r>
      <w:r>
        <w:rPr/>
        <w:t>of</w:t>
      </w:r>
      <w:r>
        <w:rPr>
          <w:spacing w:val="-36"/>
        </w:rPr>
        <w:t> </w:t>
      </w:r>
      <w:r>
        <w:rPr/>
        <w:t>small</w:t>
      </w:r>
      <w:r>
        <w:rPr>
          <w:spacing w:val="-37"/>
        </w:rPr>
        <w:t> </w:t>
      </w:r>
      <w:r>
        <w:rPr/>
        <w:t>and</w:t>
      </w:r>
      <w:r>
        <w:rPr>
          <w:spacing w:val="-36"/>
        </w:rPr>
        <w:t> </w:t>
      </w:r>
      <w:r>
        <w:rPr/>
        <w:t>medium</w:t>
      </w:r>
      <w:r>
        <w:rPr>
          <w:spacing w:val="-37"/>
        </w:rPr>
        <w:t> </w:t>
      </w:r>
      <w:r>
        <w:rPr/>
        <w:t>sized</w:t>
      </w:r>
      <w:r>
        <w:rPr>
          <w:spacing w:val="-36"/>
        </w:rPr>
        <w:t> </w:t>
      </w:r>
      <w:r>
        <w:rPr/>
        <w:t>commercial</w:t>
      </w:r>
      <w:r>
        <w:rPr>
          <w:spacing w:val="-37"/>
        </w:rPr>
        <w:t> </w:t>
      </w:r>
      <w:r>
        <w:rPr/>
        <w:t>office</w:t>
      </w:r>
      <w:r>
        <w:rPr>
          <w:spacing w:val="-38"/>
        </w:rPr>
        <w:t> </w:t>
      </w:r>
      <w:r>
        <w:rPr/>
        <w:t>developments.</w:t>
      </w:r>
      <w:r>
        <w:rPr>
          <w:spacing w:val="-37"/>
        </w:rPr>
        <w:t> </w:t>
      </w:r>
      <w:r>
        <w:rPr/>
        <w:t>With</w:t>
      </w:r>
      <w:r>
        <w:rPr>
          <w:spacing w:val="-37"/>
        </w:rPr>
        <w:t> </w:t>
      </w:r>
      <w:r>
        <w:rPr/>
        <w:t>the</w:t>
      </w:r>
      <w:r>
        <w:rPr>
          <w:spacing w:val="-38"/>
        </w:rPr>
        <w:t> </w:t>
      </w:r>
      <w:r>
        <w:rPr/>
        <w:t>presence of</w:t>
      </w:r>
      <w:r>
        <w:rPr>
          <w:spacing w:val="-25"/>
        </w:rPr>
        <w:t> </w:t>
      </w:r>
      <w:r>
        <w:rPr/>
        <w:t>large</w:t>
      </w:r>
      <w:r>
        <w:rPr>
          <w:spacing w:val="-24"/>
        </w:rPr>
        <w:t> </w:t>
      </w:r>
      <w:r>
        <w:rPr/>
        <w:t>campus-styled</w:t>
      </w:r>
      <w:r>
        <w:rPr>
          <w:spacing w:val="-26"/>
        </w:rPr>
        <w:t> </w:t>
      </w:r>
      <w:r>
        <w:rPr/>
        <w:t>developments</w:t>
      </w:r>
      <w:r>
        <w:rPr>
          <w:spacing w:val="-25"/>
        </w:rPr>
        <w:t> </w:t>
      </w:r>
      <w:r>
        <w:rPr/>
        <w:t>such</w:t>
      </w:r>
      <w:r>
        <w:rPr>
          <w:spacing w:val="-25"/>
        </w:rPr>
        <w:t> </w:t>
      </w:r>
      <w:r>
        <w:rPr/>
        <w:t>as</w:t>
      </w:r>
      <w:r>
        <w:rPr>
          <w:spacing w:val="-25"/>
        </w:rPr>
        <w:t> </w:t>
      </w:r>
      <w:r>
        <w:rPr/>
        <w:t>the</w:t>
      </w:r>
      <w:r>
        <w:rPr>
          <w:spacing w:val="-27"/>
        </w:rPr>
        <w:t> </w:t>
      </w:r>
      <w:r>
        <w:rPr/>
        <w:t>Embassy</w:t>
      </w:r>
      <w:r>
        <w:rPr>
          <w:spacing w:val="-23"/>
        </w:rPr>
        <w:t> </w:t>
      </w:r>
      <w:r>
        <w:rPr/>
        <w:t>GolfLinks</w:t>
      </w:r>
      <w:r>
        <w:rPr>
          <w:spacing w:val="-24"/>
        </w:rPr>
        <w:t> </w:t>
      </w:r>
      <w:r>
        <w:rPr/>
        <w:t>(subject</w:t>
      </w:r>
      <w:r>
        <w:rPr>
          <w:spacing w:val="-25"/>
        </w:rPr>
        <w:t> </w:t>
      </w:r>
      <w:r>
        <w:rPr/>
        <w:t>property),</w:t>
      </w:r>
      <w:r>
        <w:rPr>
          <w:spacing w:val="-24"/>
        </w:rPr>
        <w:t> </w:t>
      </w:r>
      <w:r>
        <w:rPr/>
        <w:t>occupiers</w:t>
      </w:r>
      <w:r>
        <w:rPr>
          <w:spacing w:val="-25"/>
        </w:rPr>
        <w:t> </w:t>
      </w:r>
      <w:r>
        <w:rPr/>
        <w:t>have since migrated their operations from CBD into this region. Occupiers across industries with space requirement</w:t>
      </w:r>
      <w:r>
        <w:rPr>
          <w:spacing w:val="-6"/>
        </w:rPr>
        <w:t> </w:t>
      </w:r>
      <w:r>
        <w:rPr/>
        <w:t>of</w:t>
      </w:r>
      <w:r>
        <w:rPr>
          <w:spacing w:val="-5"/>
        </w:rPr>
        <w:t> </w:t>
      </w:r>
      <w:r>
        <w:rPr/>
        <w:t>0.10</w:t>
      </w:r>
      <w:r>
        <w:rPr>
          <w:spacing w:val="-7"/>
        </w:rPr>
        <w:t> </w:t>
      </w:r>
      <w:r>
        <w:rPr>
          <w:w w:val="105"/>
        </w:rPr>
        <w:t>–</w:t>
      </w:r>
      <w:r>
        <w:rPr>
          <w:spacing w:val="-9"/>
          <w:w w:val="105"/>
        </w:rPr>
        <w:t> </w:t>
      </w:r>
      <w:r>
        <w:rPr/>
        <w:t>0.15</w:t>
      </w:r>
      <w:r>
        <w:rPr>
          <w:spacing w:val="-7"/>
        </w:rPr>
        <w:t> </w:t>
      </w:r>
      <w:r>
        <w:rPr/>
        <w:t>msf</w:t>
      </w:r>
      <w:r>
        <w:rPr>
          <w:spacing w:val="-5"/>
        </w:rPr>
        <w:t> </w:t>
      </w:r>
      <w:r>
        <w:rPr/>
        <w:t>could</w:t>
      </w:r>
      <w:r>
        <w:rPr>
          <w:spacing w:val="-7"/>
        </w:rPr>
        <w:t> </w:t>
      </w:r>
      <w:r>
        <w:rPr/>
        <w:t>lease</w:t>
      </w:r>
      <w:r>
        <w:rPr>
          <w:spacing w:val="-7"/>
        </w:rPr>
        <w:t> </w:t>
      </w:r>
      <w:r>
        <w:rPr/>
        <w:t>an</w:t>
      </w:r>
      <w:r>
        <w:rPr>
          <w:spacing w:val="-6"/>
        </w:rPr>
        <w:t> </w:t>
      </w:r>
      <w:r>
        <w:rPr/>
        <w:t>entire</w:t>
      </w:r>
      <w:r>
        <w:rPr>
          <w:spacing w:val="-7"/>
        </w:rPr>
        <w:t> </w:t>
      </w:r>
      <w:r>
        <w:rPr/>
        <w:t>building</w:t>
      </w:r>
      <w:r>
        <w:rPr>
          <w:spacing w:val="-7"/>
        </w:rPr>
        <w:t> </w:t>
      </w:r>
      <w:r>
        <w:rPr/>
        <w:t>in</w:t>
      </w:r>
      <w:r>
        <w:rPr>
          <w:spacing w:val="-6"/>
        </w:rPr>
        <w:t> </w:t>
      </w:r>
      <w:r>
        <w:rPr/>
        <w:t>parks</w:t>
      </w:r>
      <w:r>
        <w:rPr>
          <w:spacing w:val="-7"/>
        </w:rPr>
        <w:t> </w:t>
      </w:r>
      <w:r>
        <w:rPr/>
        <w:t>such</w:t>
      </w:r>
      <w:r>
        <w:rPr>
          <w:spacing w:val="-7"/>
        </w:rPr>
        <w:t> </w:t>
      </w:r>
      <w:r>
        <w:rPr/>
        <w:t>as</w:t>
      </w:r>
      <w:r>
        <w:rPr>
          <w:spacing w:val="-6"/>
        </w:rPr>
        <w:t> </w:t>
      </w:r>
      <w:r>
        <w:rPr/>
        <w:t>the</w:t>
      </w:r>
      <w:r>
        <w:rPr>
          <w:spacing w:val="-2"/>
        </w:rPr>
        <w:t> </w:t>
      </w:r>
      <w:r>
        <w:rPr/>
        <w:t>Embassy</w:t>
      </w:r>
      <w:r>
        <w:rPr>
          <w:spacing w:val="-6"/>
        </w:rPr>
        <w:t> </w:t>
      </w:r>
      <w:r>
        <w:rPr/>
        <w:t>GolfLinks, resulting</w:t>
      </w:r>
      <w:r>
        <w:rPr>
          <w:spacing w:val="-12"/>
        </w:rPr>
        <w:t> </w:t>
      </w:r>
      <w:r>
        <w:rPr/>
        <w:t>in</w:t>
      </w:r>
      <w:r>
        <w:rPr>
          <w:spacing w:val="-12"/>
        </w:rPr>
        <w:t> </w:t>
      </w:r>
      <w:r>
        <w:rPr/>
        <w:t>benefits</w:t>
      </w:r>
      <w:r>
        <w:rPr>
          <w:spacing w:val="-10"/>
        </w:rPr>
        <w:t> </w:t>
      </w:r>
      <w:r>
        <w:rPr/>
        <w:t>such</w:t>
      </w:r>
      <w:r>
        <w:rPr>
          <w:spacing w:val="-13"/>
        </w:rPr>
        <w:t> </w:t>
      </w:r>
      <w:r>
        <w:rPr/>
        <w:t>as</w:t>
      </w:r>
      <w:r>
        <w:rPr>
          <w:spacing w:val="-11"/>
        </w:rPr>
        <w:t> </w:t>
      </w:r>
      <w:r>
        <w:rPr/>
        <w:t>standalone</w:t>
      </w:r>
      <w:r>
        <w:rPr>
          <w:spacing w:val="-11"/>
        </w:rPr>
        <w:t> </w:t>
      </w:r>
      <w:r>
        <w:rPr/>
        <w:t>occupancy</w:t>
      </w:r>
      <w:r>
        <w:rPr>
          <w:spacing w:val="-10"/>
        </w:rPr>
        <w:t> </w:t>
      </w:r>
      <w:r>
        <w:rPr/>
        <w:t>as</w:t>
      </w:r>
      <w:r>
        <w:rPr>
          <w:spacing w:val="-10"/>
        </w:rPr>
        <w:t> </w:t>
      </w:r>
      <w:r>
        <w:rPr/>
        <w:t>well</w:t>
      </w:r>
      <w:r>
        <w:rPr>
          <w:spacing w:val="-12"/>
        </w:rPr>
        <w:t> </w:t>
      </w:r>
      <w:r>
        <w:rPr/>
        <w:t>as</w:t>
      </w:r>
      <w:r>
        <w:rPr>
          <w:spacing w:val="-11"/>
        </w:rPr>
        <w:t> </w:t>
      </w:r>
      <w:r>
        <w:rPr/>
        <w:t>campus</w:t>
      </w:r>
      <w:r>
        <w:rPr>
          <w:spacing w:val="-12"/>
        </w:rPr>
        <w:t> </w:t>
      </w:r>
      <w:r>
        <w:rPr/>
        <w:t>style</w:t>
      </w:r>
      <w:r>
        <w:rPr>
          <w:spacing w:val="-12"/>
        </w:rPr>
        <w:t> </w:t>
      </w:r>
      <w:r>
        <w:rPr/>
        <w:t>environment.</w:t>
      </w:r>
    </w:p>
    <w:p>
      <w:pPr>
        <w:spacing w:after="0" w:line="321" w:lineRule="auto"/>
        <w:jc w:val="both"/>
        <w:sectPr>
          <w:type w:val="continuous"/>
          <w:pgSz w:w="11910" w:h="16840"/>
          <w:pgMar w:top="800" w:bottom="280" w:left="480" w:right="480"/>
        </w:sectPr>
      </w:pPr>
    </w:p>
    <w:p>
      <w:pPr>
        <w:pStyle w:val="BodyText"/>
        <w:spacing w:before="7"/>
        <w:rPr>
          <w:sz w:val="9"/>
        </w:rPr>
      </w:pPr>
    </w:p>
    <w:p>
      <w:pPr>
        <w:pStyle w:val="BodyText"/>
        <w:spacing w:line="321" w:lineRule="auto" w:before="106"/>
        <w:ind w:left="787" w:right="233"/>
        <w:jc w:val="both"/>
      </w:pPr>
      <w:r>
        <w:rPr/>
        <w:t>Additionally,</w:t>
      </w:r>
      <w:r>
        <w:rPr>
          <w:spacing w:val="-30"/>
        </w:rPr>
        <w:t> </w:t>
      </w:r>
      <w:r>
        <w:rPr/>
        <w:t>over</w:t>
      </w:r>
      <w:r>
        <w:rPr>
          <w:spacing w:val="-29"/>
        </w:rPr>
        <w:t> </w:t>
      </w:r>
      <w:r>
        <w:rPr/>
        <w:t>the</w:t>
      </w:r>
      <w:r>
        <w:rPr>
          <w:spacing w:val="-30"/>
        </w:rPr>
        <w:t> </w:t>
      </w:r>
      <w:r>
        <w:rPr/>
        <w:t>period</w:t>
      </w:r>
      <w:r>
        <w:rPr>
          <w:spacing w:val="-28"/>
        </w:rPr>
        <w:t> </w:t>
      </w:r>
      <w:r>
        <w:rPr/>
        <w:t>of</w:t>
      </w:r>
      <w:r>
        <w:rPr>
          <w:spacing w:val="-29"/>
        </w:rPr>
        <w:t> </w:t>
      </w:r>
      <w:r>
        <w:rPr/>
        <w:t>time,</w:t>
      </w:r>
      <w:r>
        <w:rPr>
          <w:spacing w:val="-30"/>
        </w:rPr>
        <w:t> </w:t>
      </w:r>
      <w:r>
        <w:rPr/>
        <w:t>the</w:t>
      </w:r>
      <w:r>
        <w:rPr>
          <w:spacing w:val="-29"/>
        </w:rPr>
        <w:t> </w:t>
      </w:r>
      <w:r>
        <w:rPr/>
        <w:t>EBD</w:t>
      </w:r>
      <w:r>
        <w:rPr>
          <w:spacing w:val="-27"/>
        </w:rPr>
        <w:t> </w:t>
      </w:r>
      <w:r>
        <w:rPr/>
        <w:t>sub-market</w:t>
      </w:r>
      <w:r>
        <w:rPr>
          <w:spacing w:val="-29"/>
        </w:rPr>
        <w:t> </w:t>
      </w:r>
      <w:r>
        <w:rPr/>
        <w:t>was</w:t>
      </w:r>
      <w:r>
        <w:rPr>
          <w:spacing w:val="-29"/>
        </w:rPr>
        <w:t> </w:t>
      </w:r>
      <w:r>
        <w:rPr/>
        <w:t>seen</w:t>
      </w:r>
      <w:r>
        <w:rPr>
          <w:spacing w:val="-29"/>
        </w:rPr>
        <w:t> </w:t>
      </w:r>
      <w:r>
        <w:rPr/>
        <w:t>as</w:t>
      </w:r>
      <w:r>
        <w:rPr>
          <w:spacing w:val="-29"/>
        </w:rPr>
        <w:t> </w:t>
      </w:r>
      <w:r>
        <w:rPr/>
        <w:t>a</w:t>
      </w:r>
      <w:r>
        <w:rPr>
          <w:spacing w:val="-29"/>
        </w:rPr>
        <w:t> </w:t>
      </w:r>
      <w:r>
        <w:rPr/>
        <w:t>location</w:t>
      </w:r>
      <w:r>
        <w:rPr>
          <w:spacing w:val="-30"/>
        </w:rPr>
        <w:t> </w:t>
      </w:r>
      <w:r>
        <w:rPr/>
        <w:t>by</w:t>
      </w:r>
      <w:r>
        <w:rPr>
          <w:spacing w:val="-28"/>
        </w:rPr>
        <w:t> </w:t>
      </w:r>
      <w:r>
        <w:rPr/>
        <w:t>CBD</w:t>
      </w:r>
      <w:r>
        <w:rPr>
          <w:spacing w:val="-28"/>
        </w:rPr>
        <w:t> </w:t>
      </w:r>
      <w:r>
        <w:rPr/>
        <w:t>tenants</w:t>
      </w:r>
      <w:r>
        <w:rPr>
          <w:spacing w:val="-29"/>
        </w:rPr>
        <w:t> </w:t>
      </w:r>
      <w:r>
        <w:rPr/>
        <w:t>to</w:t>
      </w:r>
      <w:r>
        <w:rPr>
          <w:spacing w:val="-31"/>
        </w:rPr>
        <w:t> </w:t>
      </w:r>
      <w:r>
        <w:rPr/>
        <w:t>move their</w:t>
      </w:r>
      <w:r>
        <w:rPr>
          <w:spacing w:val="-14"/>
        </w:rPr>
        <w:t> </w:t>
      </w:r>
      <w:r>
        <w:rPr/>
        <w:t>high</w:t>
      </w:r>
      <w:r>
        <w:rPr>
          <w:spacing w:val="-14"/>
        </w:rPr>
        <w:t> </w:t>
      </w:r>
      <w:r>
        <w:rPr/>
        <w:t>value</w:t>
      </w:r>
      <w:r>
        <w:rPr>
          <w:spacing w:val="-13"/>
        </w:rPr>
        <w:t> </w:t>
      </w:r>
      <w:r>
        <w:rPr/>
        <w:t>operations</w:t>
      </w:r>
      <w:r>
        <w:rPr>
          <w:spacing w:val="-12"/>
        </w:rPr>
        <w:t> </w:t>
      </w:r>
      <w:r>
        <w:rPr/>
        <w:t>into</w:t>
      </w:r>
      <w:r>
        <w:rPr>
          <w:spacing w:val="-13"/>
        </w:rPr>
        <w:t> </w:t>
      </w:r>
      <w:r>
        <w:rPr/>
        <w:t>the</w:t>
      </w:r>
      <w:r>
        <w:rPr>
          <w:spacing w:val="-13"/>
        </w:rPr>
        <w:t> </w:t>
      </w:r>
      <w:r>
        <w:rPr/>
        <w:t>region.</w:t>
      </w:r>
      <w:r>
        <w:rPr>
          <w:spacing w:val="-14"/>
        </w:rPr>
        <w:t> </w:t>
      </w:r>
      <w:r>
        <w:rPr/>
        <w:t>A</w:t>
      </w:r>
      <w:r>
        <w:rPr>
          <w:spacing w:val="-11"/>
        </w:rPr>
        <w:t> </w:t>
      </w:r>
      <w:r>
        <w:rPr/>
        <w:t>case</w:t>
      </w:r>
      <w:r>
        <w:rPr>
          <w:spacing w:val="-13"/>
        </w:rPr>
        <w:t> </w:t>
      </w:r>
      <w:r>
        <w:rPr/>
        <w:t>in</w:t>
      </w:r>
      <w:r>
        <w:rPr>
          <w:spacing w:val="-14"/>
        </w:rPr>
        <w:t> </w:t>
      </w:r>
      <w:r>
        <w:rPr/>
        <w:t>point</w:t>
      </w:r>
      <w:r>
        <w:rPr>
          <w:spacing w:val="-13"/>
        </w:rPr>
        <w:t> </w:t>
      </w:r>
      <w:r>
        <w:rPr/>
        <w:t>is</w:t>
      </w:r>
      <w:r>
        <w:rPr>
          <w:spacing w:val="-12"/>
        </w:rPr>
        <w:t> </w:t>
      </w:r>
      <w:r>
        <w:rPr/>
        <w:t>a</w:t>
      </w:r>
      <w:r>
        <w:rPr>
          <w:spacing w:val="-13"/>
        </w:rPr>
        <w:t> </w:t>
      </w:r>
      <w:r>
        <w:rPr/>
        <w:t>prominent</w:t>
      </w:r>
      <w:r>
        <w:rPr>
          <w:spacing w:val="-7"/>
        </w:rPr>
        <w:t> </w:t>
      </w:r>
      <w:r>
        <w:rPr/>
        <w:t>Financial</w:t>
      </w:r>
      <w:r>
        <w:rPr>
          <w:spacing w:val="-11"/>
        </w:rPr>
        <w:t> </w:t>
      </w:r>
      <w:r>
        <w:rPr/>
        <w:t>Services</w:t>
      </w:r>
      <w:r>
        <w:rPr>
          <w:spacing w:val="-11"/>
        </w:rPr>
        <w:t> </w:t>
      </w:r>
      <w:r>
        <w:rPr/>
        <w:t>occupier, who relocated from the CBD region into the EBD (Embassy GolfLinks), leasing a block within the</w:t>
      </w:r>
      <w:r>
        <w:rPr>
          <w:spacing w:val="-40"/>
        </w:rPr>
        <w:t> </w:t>
      </w:r>
      <w:r>
        <w:rPr/>
        <w:t>EOP Park</w:t>
      </w:r>
      <w:r>
        <w:rPr>
          <w:spacing w:val="-21"/>
        </w:rPr>
        <w:t> </w:t>
      </w:r>
      <w:r>
        <w:rPr/>
        <w:t>for</w:t>
      </w:r>
      <w:r>
        <w:rPr>
          <w:spacing w:val="-21"/>
        </w:rPr>
        <w:t> </w:t>
      </w:r>
      <w:r>
        <w:rPr/>
        <w:t>their</w:t>
      </w:r>
      <w:r>
        <w:rPr>
          <w:spacing w:val="-20"/>
        </w:rPr>
        <w:t> </w:t>
      </w:r>
      <w:r>
        <w:rPr/>
        <w:t>operations.</w:t>
      </w:r>
      <w:r>
        <w:rPr>
          <w:spacing w:val="-22"/>
        </w:rPr>
        <w:t> </w:t>
      </w:r>
      <w:r>
        <w:rPr/>
        <w:t>In</w:t>
      </w:r>
      <w:r>
        <w:rPr>
          <w:spacing w:val="-20"/>
        </w:rPr>
        <w:t> </w:t>
      </w:r>
      <w:r>
        <w:rPr/>
        <w:t>addition,</w:t>
      </w:r>
      <w:r>
        <w:rPr>
          <w:spacing w:val="-21"/>
        </w:rPr>
        <w:t> </w:t>
      </w:r>
      <w:r>
        <w:rPr/>
        <w:t>tenants</w:t>
      </w:r>
      <w:r>
        <w:rPr>
          <w:spacing w:val="-21"/>
        </w:rPr>
        <w:t> </w:t>
      </w:r>
      <w:r>
        <w:rPr/>
        <w:t>within</w:t>
      </w:r>
      <w:r>
        <w:rPr>
          <w:spacing w:val="-20"/>
        </w:rPr>
        <w:t> </w:t>
      </w:r>
      <w:r>
        <w:rPr/>
        <w:t>EBD</w:t>
      </w:r>
      <w:r>
        <w:rPr>
          <w:spacing w:val="-21"/>
        </w:rPr>
        <w:t> </w:t>
      </w:r>
      <w:r>
        <w:rPr/>
        <w:t>have</w:t>
      </w:r>
      <w:r>
        <w:rPr>
          <w:spacing w:val="-21"/>
        </w:rPr>
        <w:t> </w:t>
      </w:r>
      <w:r>
        <w:rPr/>
        <w:t>also</w:t>
      </w:r>
      <w:r>
        <w:rPr>
          <w:spacing w:val="-21"/>
        </w:rPr>
        <w:t> </w:t>
      </w:r>
      <w:r>
        <w:rPr/>
        <w:t>expanded</w:t>
      </w:r>
      <w:r>
        <w:rPr>
          <w:spacing w:val="-19"/>
        </w:rPr>
        <w:t> </w:t>
      </w:r>
      <w:r>
        <w:rPr/>
        <w:t>within</w:t>
      </w:r>
      <w:r>
        <w:rPr>
          <w:spacing w:val="-23"/>
        </w:rPr>
        <w:t> </w:t>
      </w:r>
      <w:r>
        <w:rPr/>
        <w:t>the</w:t>
      </w:r>
      <w:r>
        <w:rPr>
          <w:spacing w:val="-20"/>
        </w:rPr>
        <w:t> </w:t>
      </w:r>
      <w:r>
        <w:rPr/>
        <w:t>business</w:t>
      </w:r>
      <w:r>
        <w:rPr>
          <w:spacing w:val="-20"/>
        </w:rPr>
        <w:t> </w:t>
      </w:r>
      <w:r>
        <w:rPr/>
        <w:t>parks where</w:t>
      </w:r>
      <w:r>
        <w:rPr>
          <w:spacing w:val="-18"/>
        </w:rPr>
        <w:t> </w:t>
      </w:r>
      <w:r>
        <w:rPr/>
        <w:t>they</w:t>
      </w:r>
      <w:r>
        <w:rPr>
          <w:spacing w:val="-16"/>
        </w:rPr>
        <w:t> </w:t>
      </w:r>
      <w:r>
        <w:rPr/>
        <w:t>have</w:t>
      </w:r>
      <w:r>
        <w:rPr>
          <w:spacing w:val="-18"/>
        </w:rPr>
        <w:t> </w:t>
      </w:r>
      <w:r>
        <w:rPr/>
        <w:t>been</w:t>
      </w:r>
      <w:r>
        <w:rPr>
          <w:spacing w:val="-16"/>
        </w:rPr>
        <w:t> </w:t>
      </w:r>
      <w:r>
        <w:rPr/>
        <w:t>operating.</w:t>
      </w:r>
      <w:r>
        <w:rPr>
          <w:spacing w:val="-17"/>
        </w:rPr>
        <w:t> </w:t>
      </w:r>
      <w:r>
        <w:rPr/>
        <w:t>A</w:t>
      </w:r>
      <w:r>
        <w:rPr>
          <w:spacing w:val="-16"/>
        </w:rPr>
        <w:t> </w:t>
      </w:r>
      <w:r>
        <w:rPr/>
        <w:t>case</w:t>
      </w:r>
      <w:r>
        <w:rPr>
          <w:spacing w:val="-18"/>
        </w:rPr>
        <w:t> </w:t>
      </w:r>
      <w:r>
        <w:rPr/>
        <w:t>in</w:t>
      </w:r>
      <w:r>
        <w:rPr>
          <w:spacing w:val="-17"/>
        </w:rPr>
        <w:t> </w:t>
      </w:r>
      <w:r>
        <w:rPr/>
        <w:t>point</w:t>
      </w:r>
      <w:r>
        <w:rPr>
          <w:spacing w:val="-16"/>
        </w:rPr>
        <w:t> </w:t>
      </w:r>
      <w:r>
        <w:rPr/>
        <w:t>is</w:t>
      </w:r>
      <w:r>
        <w:rPr>
          <w:spacing w:val="-12"/>
        </w:rPr>
        <w:t> </w:t>
      </w:r>
      <w:r>
        <w:rPr/>
        <w:t>a</w:t>
      </w:r>
      <w:r>
        <w:rPr>
          <w:spacing w:val="-18"/>
        </w:rPr>
        <w:t> </w:t>
      </w:r>
      <w:r>
        <w:rPr/>
        <w:t>consulting</w:t>
      </w:r>
      <w:r>
        <w:rPr>
          <w:spacing w:val="-16"/>
        </w:rPr>
        <w:t> </w:t>
      </w:r>
      <w:r>
        <w:rPr/>
        <w:t>and</w:t>
      </w:r>
      <w:r>
        <w:rPr>
          <w:spacing w:val="-16"/>
        </w:rPr>
        <w:t> </w:t>
      </w:r>
      <w:r>
        <w:rPr/>
        <w:t>research</w:t>
      </w:r>
      <w:r>
        <w:rPr>
          <w:spacing w:val="-17"/>
        </w:rPr>
        <w:t> </w:t>
      </w:r>
      <w:r>
        <w:rPr/>
        <w:t>occupier</w:t>
      </w:r>
      <w:r>
        <w:rPr>
          <w:spacing w:val="-17"/>
        </w:rPr>
        <w:t> </w:t>
      </w:r>
      <w:r>
        <w:rPr/>
        <w:t>which</w:t>
      </w:r>
      <w:r>
        <w:rPr>
          <w:spacing w:val="-16"/>
        </w:rPr>
        <w:t> </w:t>
      </w:r>
      <w:r>
        <w:rPr/>
        <w:t>has</w:t>
      </w:r>
      <w:r>
        <w:rPr>
          <w:spacing w:val="-16"/>
        </w:rPr>
        <w:t> </w:t>
      </w:r>
      <w:r>
        <w:rPr/>
        <w:t>taken additional space over the years within subject property. Further, large MNC corporates who have expanded</w:t>
      </w:r>
      <w:r>
        <w:rPr>
          <w:spacing w:val="-29"/>
        </w:rPr>
        <w:t> </w:t>
      </w:r>
      <w:r>
        <w:rPr/>
        <w:t>into</w:t>
      </w:r>
      <w:r>
        <w:rPr>
          <w:spacing w:val="-29"/>
        </w:rPr>
        <w:t> </w:t>
      </w:r>
      <w:r>
        <w:rPr/>
        <w:t>other</w:t>
      </w:r>
      <w:r>
        <w:rPr>
          <w:spacing w:val="-29"/>
        </w:rPr>
        <w:t> </w:t>
      </w:r>
      <w:r>
        <w:rPr/>
        <w:t>markets</w:t>
      </w:r>
      <w:r>
        <w:rPr>
          <w:spacing w:val="-28"/>
        </w:rPr>
        <w:t> </w:t>
      </w:r>
      <w:r>
        <w:rPr/>
        <w:t>such</w:t>
      </w:r>
      <w:r>
        <w:rPr>
          <w:spacing w:val="-30"/>
        </w:rPr>
        <w:t> </w:t>
      </w:r>
      <w:r>
        <w:rPr/>
        <w:t>as</w:t>
      </w:r>
      <w:r>
        <w:rPr>
          <w:spacing w:val="-28"/>
        </w:rPr>
        <w:t> </w:t>
      </w:r>
      <w:r>
        <w:rPr/>
        <w:t>ORR,</w:t>
      </w:r>
      <w:r>
        <w:rPr>
          <w:spacing w:val="-29"/>
        </w:rPr>
        <w:t> </w:t>
      </w:r>
      <w:r>
        <w:rPr/>
        <w:t>Whitefield,</w:t>
      </w:r>
      <w:r>
        <w:rPr>
          <w:spacing w:val="-30"/>
        </w:rPr>
        <w:t> </w:t>
      </w:r>
      <w:r>
        <w:rPr/>
        <w:t>etc.</w:t>
      </w:r>
      <w:r>
        <w:rPr>
          <w:spacing w:val="-29"/>
        </w:rPr>
        <w:t> </w:t>
      </w:r>
      <w:r>
        <w:rPr/>
        <w:t>have</w:t>
      </w:r>
      <w:r>
        <w:rPr>
          <w:spacing w:val="-29"/>
        </w:rPr>
        <w:t> </w:t>
      </w:r>
      <w:r>
        <w:rPr/>
        <w:t>retained</w:t>
      </w:r>
      <w:r>
        <w:rPr>
          <w:spacing w:val="-29"/>
        </w:rPr>
        <w:t> </w:t>
      </w:r>
      <w:r>
        <w:rPr/>
        <w:t>space</w:t>
      </w:r>
      <w:r>
        <w:rPr>
          <w:spacing w:val="-29"/>
        </w:rPr>
        <w:t> </w:t>
      </w:r>
      <w:r>
        <w:rPr/>
        <w:t>as</w:t>
      </w:r>
      <w:r>
        <w:rPr>
          <w:spacing w:val="-28"/>
        </w:rPr>
        <w:t> </w:t>
      </w:r>
      <w:r>
        <w:rPr/>
        <w:t>part</w:t>
      </w:r>
      <w:r>
        <w:rPr>
          <w:spacing w:val="-29"/>
        </w:rPr>
        <w:t> </w:t>
      </w:r>
      <w:r>
        <w:rPr/>
        <w:t>of</w:t>
      </w:r>
      <w:r>
        <w:rPr>
          <w:spacing w:val="-30"/>
        </w:rPr>
        <w:t> </w:t>
      </w:r>
      <w:r>
        <w:rPr/>
        <w:t>business</w:t>
      </w:r>
      <w:r>
        <w:rPr>
          <w:spacing w:val="-30"/>
        </w:rPr>
        <w:t> </w:t>
      </w:r>
      <w:r>
        <w:rPr/>
        <w:t>parks in EBD (largely for senior management staff as well as high-value operations) owing to proximity to prominent</w:t>
      </w:r>
      <w:r>
        <w:rPr>
          <w:spacing w:val="-8"/>
        </w:rPr>
        <w:t> </w:t>
      </w:r>
      <w:r>
        <w:rPr/>
        <w:t>residential</w:t>
      </w:r>
      <w:r>
        <w:rPr>
          <w:spacing w:val="-8"/>
        </w:rPr>
        <w:t> </w:t>
      </w:r>
      <w:r>
        <w:rPr/>
        <w:t>pockets</w:t>
      </w:r>
      <w:r>
        <w:rPr>
          <w:spacing w:val="-6"/>
        </w:rPr>
        <w:t> </w:t>
      </w:r>
      <w:r>
        <w:rPr/>
        <w:t>and</w:t>
      </w:r>
      <w:r>
        <w:rPr>
          <w:spacing w:val="-8"/>
        </w:rPr>
        <w:t> </w:t>
      </w:r>
      <w:r>
        <w:rPr/>
        <w:t>high-street</w:t>
      </w:r>
      <w:r>
        <w:rPr>
          <w:spacing w:val="-7"/>
        </w:rPr>
        <w:t> </w:t>
      </w:r>
      <w:r>
        <w:rPr/>
        <w:t>destinations</w:t>
      </w:r>
      <w:r>
        <w:rPr>
          <w:spacing w:val="-7"/>
        </w:rPr>
        <w:t> </w:t>
      </w:r>
      <w:r>
        <w:rPr/>
        <w:t>of</w:t>
      </w:r>
      <w:r>
        <w:rPr>
          <w:spacing w:val="-7"/>
        </w:rPr>
        <w:t> </w:t>
      </w:r>
      <w:r>
        <w:rPr/>
        <w:t>the</w:t>
      </w:r>
      <w:r>
        <w:rPr>
          <w:spacing w:val="-8"/>
        </w:rPr>
        <w:t> </w:t>
      </w:r>
      <w:r>
        <w:rPr/>
        <w:t>EBD.</w:t>
      </w:r>
    </w:p>
    <w:p>
      <w:pPr>
        <w:pStyle w:val="BodyText"/>
        <w:rPr>
          <w:sz w:val="21"/>
        </w:rPr>
      </w:pPr>
    </w:p>
    <w:p>
      <w:pPr>
        <w:pStyle w:val="BodyText"/>
        <w:spacing w:line="321" w:lineRule="auto"/>
        <w:ind w:left="787" w:right="235"/>
        <w:jc w:val="both"/>
      </w:pPr>
      <w:r>
        <w:rPr/>
        <w:t>Prominent</w:t>
      </w:r>
      <w:r>
        <w:rPr>
          <w:spacing w:val="-24"/>
        </w:rPr>
        <w:t> </w:t>
      </w:r>
      <w:r>
        <w:rPr/>
        <w:t>office</w:t>
      </w:r>
      <w:r>
        <w:rPr>
          <w:spacing w:val="-23"/>
        </w:rPr>
        <w:t> </w:t>
      </w:r>
      <w:r>
        <w:rPr/>
        <w:t>locations</w:t>
      </w:r>
      <w:r>
        <w:rPr>
          <w:spacing w:val="-21"/>
        </w:rPr>
        <w:t> </w:t>
      </w:r>
      <w:r>
        <w:rPr/>
        <w:t>in</w:t>
      </w:r>
      <w:r>
        <w:rPr>
          <w:spacing w:val="-24"/>
        </w:rPr>
        <w:t> </w:t>
      </w:r>
      <w:r>
        <w:rPr/>
        <w:t>the</w:t>
      </w:r>
      <w:r>
        <w:rPr>
          <w:spacing w:val="-23"/>
        </w:rPr>
        <w:t> </w:t>
      </w:r>
      <w:r>
        <w:rPr/>
        <w:t>EBD</w:t>
      </w:r>
      <w:r>
        <w:rPr>
          <w:spacing w:val="-20"/>
        </w:rPr>
        <w:t> </w:t>
      </w:r>
      <w:r>
        <w:rPr/>
        <w:t>sub</w:t>
      </w:r>
      <w:r>
        <w:rPr>
          <w:spacing w:val="-22"/>
        </w:rPr>
        <w:t> </w:t>
      </w:r>
      <w:r>
        <w:rPr/>
        <w:t>market</w:t>
      </w:r>
      <w:r>
        <w:rPr>
          <w:spacing w:val="-22"/>
        </w:rPr>
        <w:t> </w:t>
      </w:r>
      <w:r>
        <w:rPr/>
        <w:t>include</w:t>
      </w:r>
      <w:r>
        <w:rPr>
          <w:spacing w:val="-23"/>
        </w:rPr>
        <w:t> </w:t>
      </w:r>
      <w:r>
        <w:rPr/>
        <w:t>Domlur-Intermediate</w:t>
      </w:r>
      <w:r>
        <w:rPr>
          <w:spacing w:val="-23"/>
        </w:rPr>
        <w:t> </w:t>
      </w:r>
      <w:r>
        <w:rPr/>
        <w:t>Ring</w:t>
      </w:r>
      <w:r>
        <w:rPr>
          <w:spacing w:val="-23"/>
        </w:rPr>
        <w:t> </w:t>
      </w:r>
      <w:r>
        <w:rPr/>
        <w:t>Road,</w:t>
      </w:r>
      <w:r>
        <w:rPr>
          <w:spacing w:val="-23"/>
        </w:rPr>
        <w:t> </w:t>
      </w:r>
      <w:r>
        <w:rPr/>
        <w:t>Indiranagar, Koramangala, Old Airport Road, parts of Old Madras Road, CV Raman Nagar, etc. Prominent developments</w:t>
      </w:r>
      <w:r>
        <w:rPr>
          <w:spacing w:val="-5"/>
        </w:rPr>
        <w:t> </w:t>
      </w:r>
      <w:r>
        <w:rPr/>
        <w:t>in</w:t>
      </w:r>
      <w:r>
        <w:rPr>
          <w:spacing w:val="-6"/>
        </w:rPr>
        <w:t> </w:t>
      </w:r>
      <w:r>
        <w:rPr/>
        <w:t>the</w:t>
      </w:r>
      <w:r>
        <w:rPr>
          <w:spacing w:val="-4"/>
        </w:rPr>
        <w:t> </w:t>
      </w:r>
      <w:r>
        <w:rPr/>
        <w:t>sub</w:t>
      </w:r>
      <w:r>
        <w:rPr>
          <w:spacing w:val="-6"/>
        </w:rPr>
        <w:t> </w:t>
      </w:r>
      <w:r>
        <w:rPr/>
        <w:t>market</w:t>
      </w:r>
      <w:r>
        <w:rPr>
          <w:spacing w:val="-4"/>
        </w:rPr>
        <w:t> </w:t>
      </w:r>
      <w:r>
        <w:rPr/>
        <w:t>include</w:t>
      </w:r>
      <w:r>
        <w:rPr>
          <w:spacing w:val="-6"/>
        </w:rPr>
        <w:t> </w:t>
      </w:r>
      <w:r>
        <w:rPr/>
        <w:t>Embassy</w:t>
      </w:r>
      <w:r>
        <w:rPr>
          <w:spacing w:val="-5"/>
        </w:rPr>
        <w:t> </w:t>
      </w:r>
      <w:r>
        <w:rPr/>
        <w:t>GolfLinks</w:t>
      </w:r>
      <w:r>
        <w:rPr>
          <w:spacing w:val="-4"/>
        </w:rPr>
        <w:t> </w:t>
      </w:r>
      <w:r>
        <w:rPr/>
        <w:t>on</w:t>
      </w:r>
      <w:r>
        <w:rPr>
          <w:spacing w:val="-5"/>
        </w:rPr>
        <w:t> </w:t>
      </w:r>
      <w:r>
        <w:rPr/>
        <w:t>the</w:t>
      </w:r>
      <w:r>
        <w:rPr>
          <w:spacing w:val="-6"/>
        </w:rPr>
        <w:t> </w:t>
      </w:r>
      <w:r>
        <w:rPr/>
        <w:t>Intermediate</w:t>
      </w:r>
      <w:r>
        <w:rPr>
          <w:spacing w:val="-5"/>
        </w:rPr>
        <w:t> </w:t>
      </w:r>
      <w:r>
        <w:rPr/>
        <w:t>Ring</w:t>
      </w:r>
      <w:r>
        <w:rPr>
          <w:spacing w:val="-5"/>
        </w:rPr>
        <w:t> </w:t>
      </w:r>
      <w:r>
        <w:rPr/>
        <w:t>Road,</w:t>
      </w:r>
      <w:r>
        <w:rPr>
          <w:spacing w:val="-6"/>
        </w:rPr>
        <w:t> </w:t>
      </w:r>
      <w:r>
        <w:rPr/>
        <w:t>Bagmane Tech Park in CV Raman Nagar, Divyasree Technopolis Off Old Airport Road and RMZ Infinity on Old Madras Road,</w:t>
      </w:r>
      <w:r>
        <w:rPr>
          <w:spacing w:val="-4"/>
        </w:rPr>
        <w:t> </w:t>
      </w:r>
      <w:r>
        <w:rPr/>
        <w:t>etc.</w:t>
      </w:r>
    </w:p>
    <w:p>
      <w:pPr>
        <w:pStyle w:val="BodyText"/>
        <w:spacing w:before="6"/>
        <w:rPr>
          <w:sz w:val="23"/>
        </w:rPr>
      </w:pPr>
    </w:p>
    <w:p>
      <w:pPr>
        <w:spacing w:before="1"/>
        <w:ind w:left="240" w:right="0" w:firstLine="0"/>
        <w:jc w:val="left"/>
        <w:rPr>
          <w:i/>
          <w:sz w:val="20"/>
        </w:rPr>
      </w:pPr>
      <w:r>
        <w:rPr>
          <w:i/>
          <w:color w:val="008000"/>
          <w:sz w:val="22"/>
        </w:rPr>
        <w:t>14.3.1.2 </w:t>
      </w:r>
      <w:r>
        <w:rPr>
          <w:i/>
          <w:color w:val="008000"/>
          <w:sz w:val="20"/>
        </w:rPr>
        <w:t>Key Developments in Sub Market</w:t>
      </w:r>
    </w:p>
    <w:p>
      <w:pPr>
        <w:pStyle w:val="BodyText"/>
        <w:spacing w:before="75"/>
        <w:ind w:left="806"/>
        <w:jc w:val="both"/>
      </w:pPr>
      <w:r>
        <w:rPr/>
        <w:pict>
          <v:group style="position:absolute;margin-left:36pt;margin-top:29.678614pt;width:523.6pt;height:23.8pt;mso-position-horizontal-relative:page;mso-position-vertical-relative:paragraph;z-index:-34204160" coordorigin="720,594" coordsize="10472,476">
            <v:shape style="position:absolute;left:720;top:1054;width:10472;height:15" coordorigin="720,1055" coordsize="10472,15" path="m4967,1055l3356,1055,3342,1055,720,1055,720,1069,3342,1069,3356,1069,4967,1069,4967,1055xm9187,1055l7197,1055,7182,1055,4981,1055,4967,1055,4967,1069,4981,1069,7182,1069,7197,1069,9187,1069,9187,1055xm11191,1055l9201,1055,9187,1055,9187,1069,9201,1069,11191,1069,11191,1055xe" filled="true" fillcolor="#69bd28" stroked="false">
              <v:path arrowok="t"/>
              <v:fill type="solid"/>
            </v:shape>
            <v:shape style="position:absolute;left:720;top:622;width:10472;height:433" coordorigin="720,622" coordsize="10472,433" path="m4967,622l3342,622,720,622,720,1055,3342,1055,4967,1055,4967,622xm9187,622l7182,622,4967,622,4967,1055,7182,1055,9187,1055,9187,622xm11191,622l9187,622,9187,1055,11191,1055,11191,622xe" filled="true" fillcolor="#006a4d" stroked="false">
              <v:path arrowok="t"/>
              <v:fill type="solid"/>
            </v:shape>
            <v:rect style="position:absolute;left:720;top:593;width:2622;height:29" filled="true" fillcolor="#1f6b16" stroked="false">
              <v:fill type="solid"/>
            </v:rect>
            <v:shape style="position:absolute;left:720;top:622;width:2651;height:3" coordorigin="720,622" coordsize="2651,3" path="m3371,622l3342,622,720,622,720,625,3342,625,3371,625,3371,622xe" filled="true" fillcolor="#006a4d" stroked="false">
              <v:path arrowok="t"/>
              <v:fill type="solid"/>
            </v:shape>
            <v:shape style="position:absolute;left:3341;top:593;width:1625;height:29" coordorigin="3342,594" coordsize="1625,29" path="m4967,594l3371,594,3342,594,3342,622,3371,622,4967,622,4967,594xe" filled="true" fillcolor="#1f6b16" stroked="false">
              <v:path arrowok="t"/>
              <v:fill type="solid"/>
            </v:shape>
            <v:shape style="position:absolute;left:3370;top:622;width:1625;height:3" coordorigin="3371,622" coordsize="1625,3" path="m4967,622l3371,622,3371,625,4967,625,4967,622xm4995,622l4967,622,4967,625,4995,625,4995,622xe" filled="true" fillcolor="#006a4d" stroked="false">
              <v:path arrowok="t"/>
              <v:fill type="solid"/>
            </v:shape>
            <v:shape style="position:absolute;left:4966;top:593;width:2216;height:29" coordorigin="4967,594" coordsize="2216,29" path="m7182,594l4995,594,4967,594,4967,622,4995,622,7182,622,7182,594xe" filled="true" fillcolor="#1f6b16" stroked="false">
              <v:path arrowok="t"/>
              <v:fill type="solid"/>
            </v:shape>
            <v:shape style="position:absolute;left:4995;top:622;width:2216;height:3" coordorigin="4995,622" coordsize="2216,3" path="m7211,622l7182,622,4995,622,4995,625,7182,625,7211,625,7211,622xe" filled="true" fillcolor="#006a4d" stroked="false">
              <v:path arrowok="t"/>
              <v:fill type="solid"/>
            </v:shape>
            <v:shape style="position:absolute;left:7182;top:593;width:2005;height:29" coordorigin="7182,594" coordsize="2005,29" path="m9187,594l7211,594,7182,594,7182,622,7211,622,9187,622,9187,594xe" filled="true" fillcolor="#1f6b16" stroked="false">
              <v:path arrowok="t"/>
              <v:fill type="solid"/>
            </v:shape>
            <v:shape style="position:absolute;left:7211;top:622;width:2005;height:3" coordorigin="7211,622" coordsize="2005,3" path="m9187,622l7211,622,7211,625,9187,625,9187,622xm9216,622l9187,622,9187,625,9216,625,9216,622xe" filled="true" fillcolor="#006a4d" stroked="false">
              <v:path arrowok="t"/>
              <v:fill type="solid"/>
            </v:shape>
            <v:shape style="position:absolute;left:9186;top:593;width:2005;height:29" coordorigin="9187,594" coordsize="2005,29" path="m11191,594l9216,594,9187,594,9187,622,9216,622,11191,622,11191,594xe" filled="true" fillcolor="#1f6b16" stroked="false">
              <v:path arrowok="t"/>
              <v:fill type="solid"/>
            </v:shape>
            <v:rect style="position:absolute;left:9215;top:622;width:1976;height:3" filled="true" fillcolor="#006a4d" stroked="false">
              <v:fill type="solid"/>
            </v:rect>
            <v:shape style="position:absolute;left:1346;top:730;width:1390;height:216" type="#_x0000_t202" filled="false" stroked="false">
              <v:textbox inset="0,0,0,0">
                <w:txbxContent>
                  <w:p>
                    <w:pPr>
                      <w:spacing w:before="4"/>
                      <w:ind w:left="0" w:right="0" w:firstLine="0"/>
                      <w:jc w:val="left"/>
                      <w:rPr>
                        <w:b/>
                        <w:sz w:val="18"/>
                      </w:rPr>
                    </w:pPr>
                    <w:r>
                      <w:rPr>
                        <w:b/>
                        <w:color w:val="FFFFFF"/>
                        <w:w w:val="115"/>
                        <w:sz w:val="18"/>
                      </w:rPr>
                      <w:t>Building Name</w:t>
                    </w:r>
                  </w:p>
                </w:txbxContent>
              </v:textbox>
              <w10:wrap type="none"/>
            </v:shape>
            <v:shape style="position:absolute;left:3548;top:621;width:1228;height:216" type="#_x0000_t202" filled="false" stroked="false">
              <v:textbox inset="0,0,0,0">
                <w:txbxContent>
                  <w:p>
                    <w:pPr>
                      <w:spacing w:before="4"/>
                      <w:ind w:left="0" w:right="0" w:firstLine="0"/>
                      <w:jc w:val="left"/>
                      <w:rPr>
                        <w:b/>
                        <w:sz w:val="18"/>
                      </w:rPr>
                    </w:pPr>
                    <w:r>
                      <w:rPr>
                        <w:b/>
                        <w:color w:val="FFFFFF"/>
                        <w:w w:val="105"/>
                        <w:sz w:val="18"/>
                      </w:rPr>
                      <w:t>Development</w:t>
                    </w:r>
                  </w:p>
                </w:txbxContent>
              </v:textbox>
              <w10:wrap type="none"/>
            </v:shape>
            <v:shape style="position:absolute;left:5418;top:621;width:1331;height:216" type="#_x0000_t202" filled="false" stroked="false">
              <v:textbox inset="0,0,0,0">
                <w:txbxContent>
                  <w:p>
                    <w:pPr>
                      <w:spacing w:before="4"/>
                      <w:ind w:left="0" w:right="0" w:firstLine="0"/>
                      <w:jc w:val="left"/>
                      <w:rPr>
                        <w:b/>
                        <w:sz w:val="18"/>
                      </w:rPr>
                    </w:pPr>
                    <w:r>
                      <w:rPr>
                        <w:b/>
                        <w:color w:val="FFFFFF"/>
                        <w:w w:val="110"/>
                        <w:sz w:val="18"/>
                      </w:rPr>
                      <w:t>Leasable Area</w:t>
                    </w:r>
                  </w:p>
                </w:txbxContent>
              </v:textbox>
              <w10:wrap type="none"/>
            </v:shape>
            <v:shape style="position:absolute;left:7427;top:621;width:1534;height:216" type="#_x0000_t202" filled="false" stroked="false">
              <v:textbox inset="0,0,0,0">
                <w:txbxContent>
                  <w:p>
                    <w:pPr>
                      <w:spacing w:before="4"/>
                      <w:ind w:left="0" w:right="0" w:firstLine="0"/>
                      <w:jc w:val="left"/>
                      <w:rPr>
                        <w:b/>
                        <w:sz w:val="18"/>
                      </w:rPr>
                    </w:pPr>
                    <w:r>
                      <w:rPr>
                        <w:b/>
                        <w:color w:val="FFFFFF"/>
                        <w:w w:val="105"/>
                        <w:sz w:val="18"/>
                      </w:rPr>
                      <w:t>Approx. Vacancy</w:t>
                    </w:r>
                  </w:p>
                </w:txbxContent>
              </v:textbox>
              <w10:wrap type="none"/>
            </v:shape>
            <v:shape style="position:absolute;left:9621;top:621;width:1157;height:216" type="#_x0000_t202" filled="false" stroked="false">
              <v:textbox inset="0,0,0,0">
                <w:txbxContent>
                  <w:p>
                    <w:pPr>
                      <w:spacing w:before="4"/>
                      <w:ind w:left="0" w:right="0" w:firstLine="0"/>
                      <w:jc w:val="left"/>
                      <w:rPr>
                        <w:b/>
                        <w:sz w:val="18"/>
                      </w:rPr>
                    </w:pPr>
                    <w:r>
                      <w:rPr>
                        <w:b/>
                        <w:color w:val="FFFFFF"/>
                        <w:w w:val="105"/>
                        <w:sz w:val="18"/>
                      </w:rPr>
                      <w:t>Quoted Rent</w:t>
                    </w:r>
                  </w:p>
                </w:txbxContent>
              </v:textbox>
              <w10:wrap type="none"/>
            </v:shape>
            <w10:wrap type="none"/>
          </v:group>
        </w:pict>
      </w:r>
      <w:r>
        <w:rPr/>
        <w:t>The table below highlights the prominent competing developments in the subject sub market:</w:t>
      </w:r>
    </w:p>
    <w:p>
      <w:pPr>
        <w:pStyle w:val="BodyText"/>
        <w:rPr>
          <w:sz w:val="20"/>
        </w:rPr>
      </w:pPr>
    </w:p>
    <w:p>
      <w:pPr>
        <w:pStyle w:val="BodyText"/>
        <w:rPr>
          <w:sz w:val="23"/>
        </w:rPr>
      </w:pPr>
    </w:p>
    <w:tbl>
      <w:tblPr>
        <w:tblW w:w="0" w:type="auto"/>
        <w:jc w:val="left"/>
        <w:tblInd w:w="2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11"/>
        <w:gridCol w:w="1901"/>
        <w:gridCol w:w="2020"/>
        <w:gridCol w:w="1918"/>
        <w:gridCol w:w="2132"/>
      </w:tblGrid>
      <w:tr>
        <w:trPr>
          <w:trHeight w:val="581" w:hRule="atLeast"/>
        </w:trPr>
        <w:tc>
          <w:tcPr>
            <w:tcW w:w="2511" w:type="dxa"/>
            <w:tcBorders>
              <w:bottom w:val="single" w:sz="6" w:space="0" w:color="69BD28"/>
            </w:tcBorders>
          </w:tcPr>
          <w:p>
            <w:pPr>
              <w:pStyle w:val="TableParagraph"/>
              <w:spacing w:before="8"/>
              <w:jc w:val="left"/>
              <w:rPr>
                <w:sz w:val="26"/>
              </w:rPr>
            </w:pPr>
          </w:p>
          <w:p>
            <w:pPr>
              <w:pStyle w:val="TableParagraph"/>
              <w:ind w:right="586"/>
              <w:jc w:val="right"/>
              <w:rPr>
                <w:sz w:val="18"/>
              </w:rPr>
            </w:pPr>
            <w:r>
              <w:rPr>
                <w:sz w:val="18"/>
              </w:rPr>
              <w:t>Development 1</w:t>
            </w:r>
          </w:p>
        </w:tc>
        <w:tc>
          <w:tcPr>
            <w:tcW w:w="1901" w:type="dxa"/>
            <w:tcBorders>
              <w:bottom w:val="single" w:sz="6" w:space="0" w:color="69BD28"/>
            </w:tcBorders>
          </w:tcPr>
          <w:p>
            <w:pPr>
              <w:pStyle w:val="TableParagraph"/>
              <w:spacing w:before="12"/>
              <w:ind w:left="574" w:right="596"/>
              <w:rPr>
                <w:b/>
                <w:sz w:val="18"/>
              </w:rPr>
            </w:pPr>
            <w:r>
              <w:rPr>
                <w:b/>
                <w:color w:val="FFFFFF"/>
                <w:w w:val="105"/>
                <w:sz w:val="18"/>
              </w:rPr>
              <w:t>Type</w:t>
            </w:r>
          </w:p>
          <w:p>
            <w:pPr>
              <w:pStyle w:val="TableParagraph"/>
              <w:spacing w:before="89"/>
              <w:ind w:left="574" w:right="596"/>
              <w:rPr>
                <w:sz w:val="18"/>
              </w:rPr>
            </w:pPr>
            <w:r>
              <w:rPr>
                <w:w w:val="105"/>
                <w:sz w:val="18"/>
              </w:rPr>
              <w:t>Non-SEZ</w:t>
            </w:r>
          </w:p>
        </w:tc>
        <w:tc>
          <w:tcPr>
            <w:tcW w:w="2020" w:type="dxa"/>
            <w:tcBorders>
              <w:bottom w:val="single" w:sz="6" w:space="0" w:color="69BD28"/>
            </w:tcBorders>
          </w:tcPr>
          <w:p>
            <w:pPr>
              <w:pStyle w:val="TableParagraph"/>
              <w:spacing w:before="12"/>
              <w:ind w:left="597" w:right="705"/>
              <w:rPr>
                <w:b/>
                <w:sz w:val="18"/>
              </w:rPr>
            </w:pPr>
            <w:r>
              <w:rPr>
                <w:b/>
                <w:color w:val="FFFFFF"/>
                <w:w w:val="105"/>
                <w:sz w:val="18"/>
              </w:rPr>
              <w:t>(in msf)</w:t>
            </w:r>
          </w:p>
          <w:p>
            <w:pPr>
              <w:pStyle w:val="TableParagraph"/>
              <w:spacing w:before="89"/>
              <w:ind w:left="597" w:right="702"/>
              <w:rPr>
                <w:sz w:val="18"/>
              </w:rPr>
            </w:pPr>
            <w:r>
              <w:rPr>
                <w:w w:val="105"/>
                <w:sz w:val="18"/>
              </w:rPr>
              <w:t>3.1</w:t>
            </w:r>
          </w:p>
        </w:tc>
        <w:tc>
          <w:tcPr>
            <w:tcW w:w="1918" w:type="dxa"/>
            <w:tcBorders>
              <w:bottom w:val="single" w:sz="6" w:space="0" w:color="69BD28"/>
            </w:tcBorders>
          </w:tcPr>
          <w:p>
            <w:pPr>
              <w:pStyle w:val="TableParagraph"/>
              <w:spacing w:before="12"/>
              <w:ind w:left="711" w:right="537"/>
              <w:rPr>
                <w:b/>
                <w:sz w:val="18"/>
              </w:rPr>
            </w:pPr>
            <w:r>
              <w:rPr>
                <w:b/>
                <w:color w:val="FFFFFF"/>
                <w:w w:val="115"/>
                <w:sz w:val="18"/>
              </w:rPr>
              <w:t>(%)</w:t>
            </w:r>
          </w:p>
          <w:p>
            <w:pPr>
              <w:pStyle w:val="TableParagraph"/>
              <w:spacing w:before="89"/>
              <w:ind w:left="715" w:right="537"/>
              <w:rPr>
                <w:sz w:val="18"/>
              </w:rPr>
            </w:pPr>
            <w:r>
              <w:rPr>
                <w:sz w:val="18"/>
              </w:rPr>
              <w:t>Minimal</w:t>
            </w:r>
          </w:p>
        </w:tc>
        <w:tc>
          <w:tcPr>
            <w:tcW w:w="2132" w:type="dxa"/>
            <w:tcBorders>
              <w:bottom w:val="single" w:sz="6" w:space="0" w:color="69BD28"/>
            </w:tcBorders>
          </w:tcPr>
          <w:p>
            <w:pPr>
              <w:pStyle w:val="TableParagraph"/>
              <w:spacing w:before="12"/>
              <w:ind w:left="565"/>
              <w:jc w:val="left"/>
              <w:rPr>
                <w:b/>
                <w:sz w:val="18"/>
              </w:rPr>
            </w:pPr>
            <w:r>
              <w:rPr>
                <w:b/>
                <w:color w:val="FFFFFF"/>
                <w:w w:val="110"/>
                <w:sz w:val="18"/>
              </w:rPr>
              <w:t>(INR psf</w:t>
            </w:r>
            <w:r>
              <w:rPr>
                <w:b/>
                <w:color w:val="FFFFFF"/>
                <w:spacing w:val="1"/>
                <w:w w:val="110"/>
                <w:sz w:val="18"/>
              </w:rPr>
              <w:t> </w:t>
            </w:r>
            <w:r>
              <w:rPr>
                <w:b/>
                <w:color w:val="FFFFFF"/>
                <w:w w:val="110"/>
                <w:sz w:val="18"/>
              </w:rPr>
              <w:t>pm)</w:t>
            </w:r>
          </w:p>
          <w:p>
            <w:pPr>
              <w:pStyle w:val="TableParagraph"/>
              <w:spacing w:before="89"/>
              <w:ind w:left="556"/>
              <w:jc w:val="left"/>
              <w:rPr>
                <w:sz w:val="18"/>
              </w:rPr>
            </w:pPr>
            <w:r>
              <w:rPr>
                <w:w w:val="115"/>
                <w:sz w:val="18"/>
              </w:rPr>
              <w:t>115.0</w:t>
            </w:r>
            <w:r>
              <w:rPr>
                <w:spacing w:val="-39"/>
                <w:w w:val="115"/>
                <w:sz w:val="18"/>
              </w:rPr>
              <w:t> </w:t>
            </w:r>
            <w:r>
              <w:rPr>
                <w:w w:val="115"/>
                <w:sz w:val="18"/>
              </w:rPr>
              <w:t>–</w:t>
            </w:r>
            <w:r>
              <w:rPr>
                <w:spacing w:val="-37"/>
                <w:w w:val="115"/>
                <w:sz w:val="18"/>
              </w:rPr>
              <w:t> </w:t>
            </w:r>
            <w:r>
              <w:rPr>
                <w:w w:val="115"/>
                <w:sz w:val="18"/>
              </w:rPr>
              <w:t>125.0</w:t>
            </w:r>
          </w:p>
        </w:tc>
      </w:tr>
      <w:tr>
        <w:trPr>
          <w:trHeight w:val="349" w:hRule="atLeast"/>
        </w:trPr>
        <w:tc>
          <w:tcPr>
            <w:tcW w:w="2511" w:type="dxa"/>
            <w:tcBorders>
              <w:top w:val="single" w:sz="6" w:space="0" w:color="69BD28"/>
              <w:bottom w:val="single" w:sz="6" w:space="0" w:color="69BD28"/>
            </w:tcBorders>
          </w:tcPr>
          <w:p>
            <w:pPr>
              <w:pStyle w:val="TableParagraph"/>
              <w:spacing w:before="79"/>
              <w:ind w:right="585"/>
              <w:jc w:val="right"/>
              <w:rPr>
                <w:sz w:val="18"/>
              </w:rPr>
            </w:pPr>
            <w:r>
              <w:rPr>
                <w:sz w:val="18"/>
              </w:rPr>
              <w:t>Development 2</w:t>
            </w:r>
          </w:p>
        </w:tc>
        <w:tc>
          <w:tcPr>
            <w:tcW w:w="1901" w:type="dxa"/>
            <w:tcBorders>
              <w:top w:val="single" w:sz="6" w:space="0" w:color="69BD28"/>
              <w:bottom w:val="single" w:sz="6" w:space="0" w:color="69BD28"/>
            </w:tcBorders>
          </w:tcPr>
          <w:p>
            <w:pPr>
              <w:pStyle w:val="TableParagraph"/>
              <w:spacing w:before="79"/>
              <w:ind w:left="574" w:right="596"/>
              <w:rPr>
                <w:sz w:val="18"/>
              </w:rPr>
            </w:pPr>
            <w:r>
              <w:rPr>
                <w:w w:val="105"/>
                <w:sz w:val="18"/>
              </w:rPr>
              <w:t>Non-SEZ</w:t>
            </w:r>
          </w:p>
        </w:tc>
        <w:tc>
          <w:tcPr>
            <w:tcW w:w="2020" w:type="dxa"/>
            <w:tcBorders>
              <w:top w:val="single" w:sz="6" w:space="0" w:color="69BD28"/>
              <w:bottom w:val="single" w:sz="6" w:space="0" w:color="69BD28"/>
            </w:tcBorders>
          </w:tcPr>
          <w:p>
            <w:pPr>
              <w:pStyle w:val="TableParagraph"/>
              <w:spacing w:before="79"/>
              <w:ind w:left="823"/>
              <w:jc w:val="left"/>
              <w:rPr>
                <w:sz w:val="18"/>
              </w:rPr>
            </w:pPr>
            <w:r>
              <w:rPr>
                <w:w w:val="105"/>
                <w:sz w:val="18"/>
              </w:rPr>
              <w:t>2.6</w:t>
            </w:r>
          </w:p>
        </w:tc>
        <w:tc>
          <w:tcPr>
            <w:tcW w:w="1918" w:type="dxa"/>
            <w:tcBorders>
              <w:top w:val="single" w:sz="6" w:space="0" w:color="69BD28"/>
              <w:bottom w:val="single" w:sz="6" w:space="0" w:color="69BD28"/>
            </w:tcBorders>
          </w:tcPr>
          <w:p>
            <w:pPr>
              <w:pStyle w:val="TableParagraph"/>
              <w:spacing w:before="79"/>
              <w:ind w:right="548"/>
              <w:jc w:val="right"/>
              <w:rPr>
                <w:sz w:val="18"/>
              </w:rPr>
            </w:pPr>
            <w:r>
              <w:rPr>
                <w:sz w:val="18"/>
              </w:rPr>
              <w:t>Minimal</w:t>
            </w:r>
          </w:p>
        </w:tc>
        <w:tc>
          <w:tcPr>
            <w:tcW w:w="2132" w:type="dxa"/>
            <w:tcBorders>
              <w:top w:val="single" w:sz="6" w:space="0" w:color="69BD28"/>
              <w:bottom w:val="single" w:sz="6" w:space="0" w:color="69BD28"/>
            </w:tcBorders>
          </w:tcPr>
          <w:p>
            <w:pPr>
              <w:pStyle w:val="TableParagraph"/>
              <w:spacing w:before="79"/>
              <w:ind w:left="609"/>
              <w:jc w:val="left"/>
              <w:rPr>
                <w:sz w:val="18"/>
              </w:rPr>
            </w:pPr>
            <w:r>
              <w:rPr>
                <w:w w:val="115"/>
                <w:sz w:val="18"/>
              </w:rPr>
              <w:t>95.0 – 105.0</w:t>
            </w:r>
          </w:p>
        </w:tc>
      </w:tr>
      <w:tr>
        <w:trPr>
          <w:trHeight w:val="349" w:hRule="atLeast"/>
        </w:trPr>
        <w:tc>
          <w:tcPr>
            <w:tcW w:w="2511" w:type="dxa"/>
            <w:tcBorders>
              <w:top w:val="single" w:sz="6" w:space="0" w:color="69BD28"/>
              <w:bottom w:val="single" w:sz="6" w:space="0" w:color="69BD28"/>
            </w:tcBorders>
          </w:tcPr>
          <w:p>
            <w:pPr>
              <w:pStyle w:val="TableParagraph"/>
              <w:spacing w:before="79"/>
              <w:ind w:right="585"/>
              <w:jc w:val="right"/>
              <w:rPr>
                <w:sz w:val="18"/>
              </w:rPr>
            </w:pPr>
            <w:r>
              <w:rPr>
                <w:sz w:val="18"/>
              </w:rPr>
              <w:t>Development 3</w:t>
            </w:r>
          </w:p>
        </w:tc>
        <w:tc>
          <w:tcPr>
            <w:tcW w:w="1901" w:type="dxa"/>
            <w:tcBorders>
              <w:top w:val="single" w:sz="6" w:space="0" w:color="69BD28"/>
              <w:bottom w:val="single" w:sz="6" w:space="0" w:color="69BD28"/>
            </w:tcBorders>
          </w:tcPr>
          <w:p>
            <w:pPr>
              <w:pStyle w:val="TableParagraph"/>
              <w:spacing w:before="79"/>
              <w:ind w:left="574" w:right="596"/>
              <w:rPr>
                <w:sz w:val="18"/>
              </w:rPr>
            </w:pPr>
            <w:r>
              <w:rPr>
                <w:w w:val="105"/>
                <w:sz w:val="18"/>
              </w:rPr>
              <w:t>Non-SEZ</w:t>
            </w:r>
          </w:p>
        </w:tc>
        <w:tc>
          <w:tcPr>
            <w:tcW w:w="2020" w:type="dxa"/>
            <w:tcBorders>
              <w:top w:val="single" w:sz="6" w:space="0" w:color="69BD28"/>
              <w:bottom w:val="single" w:sz="6" w:space="0" w:color="69BD28"/>
            </w:tcBorders>
          </w:tcPr>
          <w:p>
            <w:pPr>
              <w:pStyle w:val="TableParagraph"/>
              <w:spacing w:before="79"/>
              <w:ind w:left="823"/>
              <w:jc w:val="left"/>
              <w:rPr>
                <w:sz w:val="18"/>
              </w:rPr>
            </w:pPr>
            <w:r>
              <w:rPr>
                <w:w w:val="105"/>
                <w:sz w:val="18"/>
              </w:rPr>
              <w:t>1.3</w:t>
            </w:r>
          </w:p>
        </w:tc>
        <w:tc>
          <w:tcPr>
            <w:tcW w:w="1918" w:type="dxa"/>
            <w:tcBorders>
              <w:top w:val="single" w:sz="6" w:space="0" w:color="69BD28"/>
              <w:bottom w:val="single" w:sz="6" w:space="0" w:color="69BD28"/>
            </w:tcBorders>
          </w:tcPr>
          <w:p>
            <w:pPr>
              <w:pStyle w:val="TableParagraph"/>
              <w:spacing w:before="79"/>
              <w:ind w:right="548"/>
              <w:jc w:val="right"/>
              <w:rPr>
                <w:sz w:val="18"/>
              </w:rPr>
            </w:pPr>
            <w:r>
              <w:rPr>
                <w:sz w:val="18"/>
              </w:rPr>
              <w:t>Minimal</w:t>
            </w:r>
          </w:p>
        </w:tc>
        <w:tc>
          <w:tcPr>
            <w:tcW w:w="2132" w:type="dxa"/>
            <w:tcBorders>
              <w:top w:val="single" w:sz="6" w:space="0" w:color="69BD28"/>
              <w:bottom w:val="single" w:sz="6" w:space="0" w:color="69BD28"/>
            </w:tcBorders>
          </w:tcPr>
          <w:p>
            <w:pPr>
              <w:pStyle w:val="TableParagraph"/>
              <w:spacing w:before="79"/>
              <w:ind w:left="609"/>
              <w:jc w:val="left"/>
              <w:rPr>
                <w:sz w:val="18"/>
              </w:rPr>
            </w:pPr>
            <w:r>
              <w:rPr>
                <w:w w:val="115"/>
                <w:sz w:val="18"/>
              </w:rPr>
              <w:t>95.0 – 105.0</w:t>
            </w:r>
          </w:p>
        </w:tc>
      </w:tr>
      <w:tr>
        <w:trPr>
          <w:trHeight w:val="349" w:hRule="atLeast"/>
        </w:trPr>
        <w:tc>
          <w:tcPr>
            <w:tcW w:w="2511" w:type="dxa"/>
            <w:tcBorders>
              <w:top w:val="single" w:sz="6" w:space="0" w:color="69BD28"/>
              <w:bottom w:val="single" w:sz="6" w:space="0" w:color="69BD28"/>
            </w:tcBorders>
          </w:tcPr>
          <w:p>
            <w:pPr>
              <w:pStyle w:val="TableParagraph"/>
              <w:spacing w:before="79"/>
              <w:ind w:right="585"/>
              <w:jc w:val="right"/>
              <w:rPr>
                <w:sz w:val="18"/>
              </w:rPr>
            </w:pPr>
            <w:r>
              <w:rPr>
                <w:sz w:val="18"/>
              </w:rPr>
              <w:t>Development 4</w:t>
            </w:r>
          </w:p>
        </w:tc>
        <w:tc>
          <w:tcPr>
            <w:tcW w:w="1901" w:type="dxa"/>
            <w:tcBorders>
              <w:top w:val="single" w:sz="6" w:space="0" w:color="69BD28"/>
              <w:bottom w:val="single" w:sz="6" w:space="0" w:color="69BD28"/>
            </w:tcBorders>
          </w:tcPr>
          <w:p>
            <w:pPr>
              <w:pStyle w:val="TableParagraph"/>
              <w:spacing w:before="79"/>
              <w:ind w:left="574" w:right="596"/>
              <w:rPr>
                <w:sz w:val="18"/>
              </w:rPr>
            </w:pPr>
            <w:r>
              <w:rPr>
                <w:w w:val="105"/>
                <w:sz w:val="18"/>
              </w:rPr>
              <w:t>Non-SEZ</w:t>
            </w:r>
          </w:p>
        </w:tc>
        <w:tc>
          <w:tcPr>
            <w:tcW w:w="2020" w:type="dxa"/>
            <w:tcBorders>
              <w:top w:val="single" w:sz="6" w:space="0" w:color="69BD28"/>
              <w:bottom w:val="single" w:sz="6" w:space="0" w:color="69BD28"/>
            </w:tcBorders>
          </w:tcPr>
          <w:p>
            <w:pPr>
              <w:pStyle w:val="TableParagraph"/>
              <w:spacing w:before="79"/>
              <w:ind w:left="823"/>
              <w:jc w:val="left"/>
              <w:rPr>
                <w:sz w:val="18"/>
              </w:rPr>
            </w:pPr>
            <w:r>
              <w:rPr>
                <w:w w:val="105"/>
                <w:sz w:val="18"/>
              </w:rPr>
              <w:t>0.7</w:t>
            </w:r>
          </w:p>
        </w:tc>
        <w:tc>
          <w:tcPr>
            <w:tcW w:w="1918" w:type="dxa"/>
            <w:tcBorders>
              <w:top w:val="single" w:sz="6" w:space="0" w:color="69BD28"/>
              <w:bottom w:val="single" w:sz="6" w:space="0" w:color="69BD28"/>
            </w:tcBorders>
          </w:tcPr>
          <w:p>
            <w:pPr>
              <w:pStyle w:val="TableParagraph"/>
              <w:spacing w:before="79"/>
              <w:ind w:right="548"/>
              <w:jc w:val="right"/>
              <w:rPr>
                <w:sz w:val="18"/>
              </w:rPr>
            </w:pPr>
            <w:r>
              <w:rPr>
                <w:sz w:val="18"/>
              </w:rPr>
              <w:t>Minimal</w:t>
            </w:r>
          </w:p>
        </w:tc>
        <w:tc>
          <w:tcPr>
            <w:tcW w:w="2132" w:type="dxa"/>
            <w:tcBorders>
              <w:top w:val="single" w:sz="6" w:space="0" w:color="69BD28"/>
              <w:bottom w:val="single" w:sz="6" w:space="0" w:color="69BD28"/>
            </w:tcBorders>
          </w:tcPr>
          <w:p>
            <w:pPr>
              <w:pStyle w:val="TableParagraph"/>
              <w:spacing w:before="79"/>
              <w:ind w:left="556"/>
              <w:jc w:val="left"/>
              <w:rPr>
                <w:sz w:val="18"/>
              </w:rPr>
            </w:pPr>
            <w:r>
              <w:rPr>
                <w:w w:val="115"/>
                <w:sz w:val="18"/>
              </w:rPr>
              <w:t>105.0 – 115.0</w:t>
            </w:r>
          </w:p>
        </w:tc>
      </w:tr>
      <w:tr>
        <w:trPr>
          <w:trHeight w:val="349" w:hRule="atLeast"/>
        </w:trPr>
        <w:tc>
          <w:tcPr>
            <w:tcW w:w="2511" w:type="dxa"/>
            <w:tcBorders>
              <w:top w:val="single" w:sz="6" w:space="0" w:color="69BD28"/>
              <w:bottom w:val="single" w:sz="6" w:space="0" w:color="69BD28"/>
            </w:tcBorders>
          </w:tcPr>
          <w:p>
            <w:pPr>
              <w:pStyle w:val="TableParagraph"/>
              <w:spacing w:before="79"/>
              <w:ind w:right="585"/>
              <w:jc w:val="right"/>
              <w:rPr>
                <w:sz w:val="18"/>
              </w:rPr>
            </w:pPr>
            <w:r>
              <w:rPr>
                <w:sz w:val="18"/>
              </w:rPr>
              <w:t>Development 5</w:t>
            </w:r>
          </w:p>
        </w:tc>
        <w:tc>
          <w:tcPr>
            <w:tcW w:w="1901" w:type="dxa"/>
            <w:tcBorders>
              <w:top w:val="single" w:sz="6" w:space="0" w:color="69BD28"/>
              <w:bottom w:val="single" w:sz="6" w:space="0" w:color="69BD28"/>
            </w:tcBorders>
          </w:tcPr>
          <w:p>
            <w:pPr>
              <w:pStyle w:val="TableParagraph"/>
              <w:spacing w:before="79"/>
              <w:ind w:left="574" w:right="596"/>
              <w:rPr>
                <w:sz w:val="18"/>
              </w:rPr>
            </w:pPr>
            <w:r>
              <w:rPr>
                <w:w w:val="105"/>
                <w:sz w:val="18"/>
              </w:rPr>
              <w:t>Non-SEZ</w:t>
            </w:r>
          </w:p>
        </w:tc>
        <w:tc>
          <w:tcPr>
            <w:tcW w:w="2020" w:type="dxa"/>
            <w:tcBorders>
              <w:top w:val="single" w:sz="6" w:space="0" w:color="69BD28"/>
              <w:bottom w:val="single" w:sz="6" w:space="0" w:color="69BD28"/>
            </w:tcBorders>
          </w:tcPr>
          <w:p>
            <w:pPr>
              <w:pStyle w:val="TableParagraph"/>
              <w:spacing w:before="79"/>
              <w:ind w:left="823"/>
              <w:jc w:val="left"/>
              <w:rPr>
                <w:sz w:val="18"/>
              </w:rPr>
            </w:pPr>
            <w:r>
              <w:rPr>
                <w:w w:val="105"/>
                <w:sz w:val="18"/>
              </w:rPr>
              <w:t>0.6</w:t>
            </w:r>
          </w:p>
        </w:tc>
        <w:tc>
          <w:tcPr>
            <w:tcW w:w="1918" w:type="dxa"/>
            <w:tcBorders>
              <w:top w:val="single" w:sz="6" w:space="0" w:color="69BD28"/>
              <w:bottom w:val="single" w:sz="6" w:space="0" w:color="69BD28"/>
            </w:tcBorders>
          </w:tcPr>
          <w:p>
            <w:pPr>
              <w:pStyle w:val="TableParagraph"/>
              <w:spacing w:before="79"/>
              <w:ind w:right="548"/>
              <w:jc w:val="right"/>
              <w:rPr>
                <w:sz w:val="18"/>
              </w:rPr>
            </w:pPr>
            <w:r>
              <w:rPr>
                <w:sz w:val="18"/>
              </w:rPr>
              <w:t>Minimal</w:t>
            </w:r>
          </w:p>
        </w:tc>
        <w:tc>
          <w:tcPr>
            <w:tcW w:w="2132" w:type="dxa"/>
            <w:tcBorders>
              <w:top w:val="single" w:sz="6" w:space="0" w:color="69BD28"/>
              <w:bottom w:val="single" w:sz="6" w:space="0" w:color="69BD28"/>
            </w:tcBorders>
          </w:tcPr>
          <w:p>
            <w:pPr>
              <w:pStyle w:val="TableParagraph"/>
              <w:spacing w:before="79"/>
              <w:ind w:left="556"/>
              <w:jc w:val="left"/>
              <w:rPr>
                <w:sz w:val="18"/>
              </w:rPr>
            </w:pPr>
            <w:r>
              <w:rPr>
                <w:w w:val="115"/>
                <w:sz w:val="18"/>
              </w:rPr>
              <w:t>115.0 – 120.0</w:t>
            </w:r>
          </w:p>
        </w:tc>
      </w:tr>
      <w:tr>
        <w:trPr>
          <w:trHeight w:val="352" w:hRule="atLeast"/>
        </w:trPr>
        <w:tc>
          <w:tcPr>
            <w:tcW w:w="2511" w:type="dxa"/>
            <w:tcBorders>
              <w:top w:val="single" w:sz="6" w:space="0" w:color="69BD28"/>
              <w:bottom w:val="single" w:sz="6" w:space="0" w:color="69BD28"/>
            </w:tcBorders>
          </w:tcPr>
          <w:p>
            <w:pPr>
              <w:pStyle w:val="TableParagraph"/>
              <w:spacing w:before="81"/>
              <w:ind w:right="585"/>
              <w:jc w:val="right"/>
              <w:rPr>
                <w:sz w:val="18"/>
              </w:rPr>
            </w:pPr>
            <w:r>
              <w:rPr>
                <w:sz w:val="18"/>
              </w:rPr>
              <w:t>Development 6</w:t>
            </w:r>
          </w:p>
        </w:tc>
        <w:tc>
          <w:tcPr>
            <w:tcW w:w="1901" w:type="dxa"/>
            <w:tcBorders>
              <w:top w:val="single" w:sz="6" w:space="0" w:color="69BD28"/>
              <w:bottom w:val="single" w:sz="6" w:space="0" w:color="69BD28"/>
            </w:tcBorders>
          </w:tcPr>
          <w:p>
            <w:pPr>
              <w:pStyle w:val="TableParagraph"/>
              <w:spacing w:before="79"/>
              <w:ind w:left="574" w:right="596"/>
              <w:rPr>
                <w:sz w:val="18"/>
              </w:rPr>
            </w:pPr>
            <w:r>
              <w:rPr>
                <w:w w:val="105"/>
                <w:sz w:val="18"/>
              </w:rPr>
              <w:t>Non-SEZ</w:t>
            </w:r>
          </w:p>
        </w:tc>
        <w:tc>
          <w:tcPr>
            <w:tcW w:w="2020" w:type="dxa"/>
            <w:tcBorders>
              <w:top w:val="single" w:sz="6" w:space="0" w:color="69BD28"/>
              <w:bottom w:val="single" w:sz="6" w:space="0" w:color="69BD28"/>
            </w:tcBorders>
          </w:tcPr>
          <w:p>
            <w:pPr>
              <w:pStyle w:val="TableParagraph"/>
              <w:spacing w:before="79"/>
              <w:ind w:left="823"/>
              <w:jc w:val="left"/>
              <w:rPr>
                <w:sz w:val="18"/>
              </w:rPr>
            </w:pPr>
            <w:r>
              <w:rPr>
                <w:w w:val="105"/>
                <w:sz w:val="18"/>
              </w:rPr>
              <w:t>0.5</w:t>
            </w:r>
          </w:p>
        </w:tc>
        <w:tc>
          <w:tcPr>
            <w:tcW w:w="1918" w:type="dxa"/>
            <w:tcBorders>
              <w:top w:val="single" w:sz="6" w:space="0" w:color="69BD28"/>
              <w:bottom w:val="single" w:sz="6" w:space="0" w:color="69BD28"/>
            </w:tcBorders>
          </w:tcPr>
          <w:p>
            <w:pPr>
              <w:pStyle w:val="TableParagraph"/>
              <w:spacing w:before="81"/>
              <w:ind w:right="548"/>
              <w:jc w:val="right"/>
              <w:rPr>
                <w:sz w:val="18"/>
              </w:rPr>
            </w:pPr>
            <w:r>
              <w:rPr>
                <w:sz w:val="18"/>
              </w:rPr>
              <w:t>Minimal</w:t>
            </w:r>
          </w:p>
        </w:tc>
        <w:tc>
          <w:tcPr>
            <w:tcW w:w="2132" w:type="dxa"/>
            <w:tcBorders>
              <w:top w:val="single" w:sz="6" w:space="0" w:color="69BD28"/>
              <w:bottom w:val="single" w:sz="6" w:space="0" w:color="69BD28"/>
            </w:tcBorders>
          </w:tcPr>
          <w:p>
            <w:pPr>
              <w:pStyle w:val="TableParagraph"/>
              <w:spacing w:before="81"/>
              <w:ind w:left="664"/>
              <w:jc w:val="left"/>
              <w:rPr>
                <w:sz w:val="18"/>
              </w:rPr>
            </w:pPr>
            <w:r>
              <w:rPr>
                <w:w w:val="115"/>
                <w:sz w:val="18"/>
              </w:rPr>
              <w:t>80.0 – 90.0</w:t>
            </w:r>
          </w:p>
        </w:tc>
      </w:tr>
      <w:tr>
        <w:trPr>
          <w:trHeight w:val="349" w:hRule="atLeast"/>
        </w:trPr>
        <w:tc>
          <w:tcPr>
            <w:tcW w:w="2511" w:type="dxa"/>
            <w:tcBorders>
              <w:top w:val="single" w:sz="6" w:space="0" w:color="69BD28"/>
              <w:bottom w:val="single" w:sz="6" w:space="0" w:color="69BD28"/>
            </w:tcBorders>
          </w:tcPr>
          <w:p>
            <w:pPr>
              <w:pStyle w:val="TableParagraph"/>
              <w:spacing w:before="79"/>
              <w:ind w:right="585"/>
              <w:jc w:val="right"/>
              <w:rPr>
                <w:sz w:val="18"/>
              </w:rPr>
            </w:pPr>
            <w:r>
              <w:rPr>
                <w:sz w:val="18"/>
              </w:rPr>
              <w:t>Development 7</w:t>
            </w:r>
          </w:p>
        </w:tc>
        <w:tc>
          <w:tcPr>
            <w:tcW w:w="1901" w:type="dxa"/>
            <w:tcBorders>
              <w:top w:val="single" w:sz="6" w:space="0" w:color="69BD28"/>
              <w:bottom w:val="single" w:sz="6" w:space="0" w:color="69BD28"/>
            </w:tcBorders>
          </w:tcPr>
          <w:p>
            <w:pPr>
              <w:pStyle w:val="TableParagraph"/>
              <w:spacing w:before="79"/>
              <w:ind w:left="574" w:right="596"/>
              <w:rPr>
                <w:sz w:val="18"/>
              </w:rPr>
            </w:pPr>
            <w:r>
              <w:rPr>
                <w:w w:val="105"/>
                <w:sz w:val="18"/>
              </w:rPr>
              <w:t>Non-SEZ</w:t>
            </w:r>
          </w:p>
        </w:tc>
        <w:tc>
          <w:tcPr>
            <w:tcW w:w="2020" w:type="dxa"/>
            <w:tcBorders>
              <w:top w:val="single" w:sz="6" w:space="0" w:color="69BD28"/>
              <w:bottom w:val="single" w:sz="6" w:space="0" w:color="69BD28"/>
            </w:tcBorders>
          </w:tcPr>
          <w:p>
            <w:pPr>
              <w:pStyle w:val="TableParagraph"/>
              <w:spacing w:before="79"/>
              <w:ind w:left="823"/>
              <w:jc w:val="left"/>
              <w:rPr>
                <w:sz w:val="18"/>
              </w:rPr>
            </w:pPr>
            <w:r>
              <w:rPr>
                <w:w w:val="105"/>
                <w:sz w:val="18"/>
              </w:rPr>
              <w:t>0.4</w:t>
            </w:r>
          </w:p>
        </w:tc>
        <w:tc>
          <w:tcPr>
            <w:tcW w:w="1918" w:type="dxa"/>
            <w:tcBorders>
              <w:top w:val="single" w:sz="6" w:space="0" w:color="69BD28"/>
              <w:bottom w:val="single" w:sz="6" w:space="0" w:color="69BD28"/>
            </w:tcBorders>
          </w:tcPr>
          <w:p>
            <w:pPr>
              <w:pStyle w:val="TableParagraph"/>
              <w:spacing w:before="79"/>
              <w:ind w:right="548"/>
              <w:jc w:val="right"/>
              <w:rPr>
                <w:sz w:val="18"/>
              </w:rPr>
            </w:pPr>
            <w:r>
              <w:rPr>
                <w:sz w:val="18"/>
              </w:rPr>
              <w:t>Minimal</w:t>
            </w:r>
          </w:p>
        </w:tc>
        <w:tc>
          <w:tcPr>
            <w:tcW w:w="2132" w:type="dxa"/>
            <w:tcBorders>
              <w:top w:val="single" w:sz="6" w:space="0" w:color="69BD28"/>
              <w:bottom w:val="single" w:sz="6" w:space="0" w:color="69BD28"/>
            </w:tcBorders>
          </w:tcPr>
          <w:p>
            <w:pPr>
              <w:pStyle w:val="TableParagraph"/>
              <w:spacing w:before="79"/>
              <w:ind w:left="556"/>
              <w:jc w:val="left"/>
              <w:rPr>
                <w:sz w:val="18"/>
              </w:rPr>
            </w:pPr>
            <w:r>
              <w:rPr>
                <w:w w:val="115"/>
                <w:sz w:val="18"/>
              </w:rPr>
              <w:t>100.0 – 110.0</w:t>
            </w:r>
          </w:p>
        </w:tc>
      </w:tr>
    </w:tbl>
    <w:p>
      <w:pPr>
        <w:spacing w:before="4"/>
        <w:ind w:left="240" w:right="0" w:firstLine="0"/>
        <w:jc w:val="left"/>
        <w:rPr>
          <w:i/>
          <w:sz w:val="16"/>
        </w:rPr>
      </w:pPr>
      <w:r>
        <w:rPr>
          <w:i/>
          <w:sz w:val="16"/>
        </w:rPr>
        <w:t>Source: CBRE Research</w:t>
      </w:r>
    </w:p>
    <w:p>
      <w:pPr>
        <w:pStyle w:val="BodyText"/>
        <w:rPr>
          <w:i/>
          <w:sz w:val="18"/>
        </w:rPr>
      </w:pPr>
    </w:p>
    <w:p>
      <w:pPr>
        <w:pStyle w:val="BodyText"/>
        <w:spacing w:before="11"/>
        <w:rPr>
          <w:i/>
          <w:sz w:val="19"/>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12" w:id="609"/>
      <w:bookmarkEnd w:id="609"/>
      <w:r>
        <w:rPr/>
      </w:r>
      <w:bookmarkStart w:name="_bookmark312" w:id="610"/>
      <w:bookmarkEnd w:id="610"/>
      <w:r>
        <w:rPr>
          <w:color w:val="1F664D"/>
          <w:sz w:val="22"/>
        </w:rPr>
        <w:t>Le</w:t>
      </w:r>
      <w:r>
        <w:rPr>
          <w:color w:val="1F664D"/>
          <w:sz w:val="22"/>
        </w:rPr>
        <w:t>ase Rent</w:t>
      </w:r>
      <w:r>
        <w:rPr>
          <w:color w:val="1F664D"/>
          <w:spacing w:val="-3"/>
          <w:sz w:val="22"/>
        </w:rPr>
        <w:t> </w:t>
      </w:r>
      <w:r>
        <w:rPr>
          <w:color w:val="1F664D"/>
          <w:sz w:val="22"/>
        </w:rPr>
        <w:t>Analysis</w:t>
      </w:r>
    </w:p>
    <w:p>
      <w:pPr>
        <w:pStyle w:val="BodyText"/>
        <w:spacing w:line="321" w:lineRule="auto" w:before="208"/>
        <w:ind w:left="802" w:right="235"/>
        <w:jc w:val="both"/>
      </w:pPr>
      <w:r>
        <w:rPr/>
        <w:t>The</w:t>
      </w:r>
      <w:r>
        <w:rPr>
          <w:spacing w:val="-21"/>
        </w:rPr>
        <w:t> </w:t>
      </w:r>
      <w:r>
        <w:rPr/>
        <w:t>current</w:t>
      </w:r>
      <w:r>
        <w:rPr>
          <w:spacing w:val="-19"/>
        </w:rPr>
        <w:t> </w:t>
      </w:r>
      <w:r>
        <w:rPr/>
        <w:t>rent</w:t>
      </w:r>
      <w:r>
        <w:rPr>
          <w:spacing w:val="-20"/>
        </w:rPr>
        <w:t> </w:t>
      </w:r>
      <w:r>
        <w:rPr/>
        <w:t>in</w:t>
      </w:r>
      <w:r>
        <w:rPr>
          <w:spacing w:val="-20"/>
        </w:rPr>
        <w:t> </w:t>
      </w:r>
      <w:r>
        <w:rPr/>
        <w:t>subject</w:t>
      </w:r>
      <w:r>
        <w:rPr>
          <w:spacing w:val="-18"/>
        </w:rPr>
        <w:t> </w:t>
      </w:r>
      <w:r>
        <w:rPr/>
        <w:t>sub</w:t>
      </w:r>
      <w:r>
        <w:rPr>
          <w:spacing w:val="-19"/>
        </w:rPr>
        <w:t> </w:t>
      </w:r>
      <w:r>
        <w:rPr/>
        <w:t>market</w:t>
      </w:r>
      <w:r>
        <w:rPr>
          <w:spacing w:val="-20"/>
        </w:rPr>
        <w:t> </w:t>
      </w:r>
      <w:r>
        <w:rPr/>
        <w:t>typically</w:t>
      </w:r>
      <w:r>
        <w:rPr>
          <w:spacing w:val="-18"/>
        </w:rPr>
        <w:t> </w:t>
      </w:r>
      <w:r>
        <w:rPr/>
        <w:t>vary</w:t>
      </w:r>
      <w:r>
        <w:rPr>
          <w:spacing w:val="-19"/>
        </w:rPr>
        <w:t> </w:t>
      </w:r>
      <w:r>
        <w:rPr/>
        <w:t>between</w:t>
      </w:r>
      <w:r>
        <w:rPr>
          <w:spacing w:val="-20"/>
        </w:rPr>
        <w:t> </w:t>
      </w:r>
      <w:r>
        <w:rPr/>
        <w:t>INR</w:t>
      </w:r>
      <w:r>
        <w:rPr>
          <w:spacing w:val="-19"/>
        </w:rPr>
        <w:t> </w:t>
      </w:r>
      <w:r>
        <w:rPr/>
        <w:t>95.0</w:t>
      </w:r>
      <w:r>
        <w:rPr>
          <w:spacing w:val="-20"/>
        </w:rPr>
        <w:t> </w:t>
      </w:r>
      <w:r>
        <w:rPr>
          <w:w w:val="105"/>
        </w:rPr>
        <w:t>–</w:t>
      </w:r>
      <w:r>
        <w:rPr>
          <w:spacing w:val="-23"/>
          <w:w w:val="105"/>
        </w:rPr>
        <w:t> </w:t>
      </w:r>
      <w:r>
        <w:rPr/>
        <w:t>125.0</w:t>
      </w:r>
      <w:r>
        <w:rPr>
          <w:spacing w:val="-21"/>
        </w:rPr>
        <w:t> </w:t>
      </w:r>
      <w:r>
        <w:rPr/>
        <w:t>psf</w:t>
      </w:r>
      <w:r>
        <w:rPr>
          <w:spacing w:val="-18"/>
        </w:rPr>
        <w:t> </w:t>
      </w:r>
      <w:r>
        <w:rPr/>
        <w:t>pm</w:t>
      </w:r>
      <w:r>
        <w:rPr>
          <w:spacing w:val="-20"/>
        </w:rPr>
        <w:t> </w:t>
      </w:r>
      <w:r>
        <w:rPr/>
        <w:t>on</w:t>
      </w:r>
      <w:r>
        <w:rPr>
          <w:spacing w:val="-20"/>
        </w:rPr>
        <w:t> </w:t>
      </w:r>
      <w:r>
        <w:rPr/>
        <w:t>leasable</w:t>
      </w:r>
      <w:r>
        <w:rPr>
          <w:spacing w:val="-20"/>
        </w:rPr>
        <w:t> </w:t>
      </w:r>
      <w:r>
        <w:rPr/>
        <w:t>area basis</w:t>
      </w:r>
      <w:r>
        <w:rPr>
          <w:spacing w:val="-48"/>
        </w:rPr>
        <w:t> </w:t>
      </w:r>
      <w:r>
        <w:rPr/>
        <w:t>depending</w:t>
      </w:r>
      <w:r>
        <w:rPr>
          <w:spacing w:val="-47"/>
        </w:rPr>
        <w:t> </w:t>
      </w:r>
      <w:r>
        <w:rPr/>
        <w:t>upon</w:t>
      </w:r>
      <w:r>
        <w:rPr>
          <w:spacing w:val="-49"/>
        </w:rPr>
        <w:t> </w:t>
      </w:r>
      <w:r>
        <w:rPr/>
        <w:t>specifications</w:t>
      </w:r>
      <w:r>
        <w:rPr>
          <w:spacing w:val="-48"/>
        </w:rPr>
        <w:t> </w:t>
      </w:r>
      <w:r>
        <w:rPr/>
        <w:t>offered,</w:t>
      </w:r>
      <w:r>
        <w:rPr>
          <w:spacing w:val="-47"/>
        </w:rPr>
        <w:t> </w:t>
      </w:r>
      <w:r>
        <w:rPr/>
        <w:t>location</w:t>
      </w:r>
      <w:r>
        <w:rPr>
          <w:spacing w:val="-48"/>
        </w:rPr>
        <w:t> </w:t>
      </w:r>
      <w:r>
        <w:rPr/>
        <w:t>and</w:t>
      </w:r>
      <w:r>
        <w:rPr>
          <w:spacing w:val="-47"/>
        </w:rPr>
        <w:t> </w:t>
      </w:r>
      <w:r>
        <w:rPr/>
        <w:t>accessibility</w:t>
      </w:r>
      <w:r>
        <w:rPr>
          <w:spacing w:val="-48"/>
        </w:rPr>
        <w:t> </w:t>
      </w:r>
      <w:r>
        <w:rPr/>
        <w:t>of</w:t>
      </w:r>
      <w:r>
        <w:rPr>
          <w:spacing w:val="-48"/>
        </w:rPr>
        <w:t> </w:t>
      </w:r>
      <w:r>
        <w:rPr/>
        <w:t>the</w:t>
      </w:r>
      <w:r>
        <w:rPr>
          <w:spacing w:val="-47"/>
        </w:rPr>
        <w:t> </w:t>
      </w:r>
      <w:r>
        <w:rPr/>
        <w:t>development</w:t>
      </w:r>
      <w:r>
        <w:rPr>
          <w:spacing w:val="-49"/>
        </w:rPr>
        <w:t> </w:t>
      </w:r>
      <w:r>
        <w:rPr/>
        <w:t>(viz.</w:t>
      </w:r>
      <w:r>
        <w:rPr>
          <w:spacing w:val="-48"/>
        </w:rPr>
        <w:t> </w:t>
      </w:r>
      <w:r>
        <w:rPr/>
        <w:t>along/off the</w:t>
      </w:r>
      <w:r>
        <w:rPr>
          <w:spacing w:val="-37"/>
        </w:rPr>
        <w:t> </w:t>
      </w:r>
      <w:r>
        <w:rPr/>
        <w:t>main</w:t>
      </w:r>
      <w:r>
        <w:rPr>
          <w:spacing w:val="-37"/>
        </w:rPr>
        <w:t> </w:t>
      </w:r>
      <w:r>
        <w:rPr/>
        <w:t>arterial</w:t>
      </w:r>
      <w:r>
        <w:rPr>
          <w:spacing w:val="-36"/>
        </w:rPr>
        <w:t> </w:t>
      </w:r>
      <w:r>
        <w:rPr/>
        <w:t>roads),</w:t>
      </w:r>
      <w:r>
        <w:rPr>
          <w:spacing w:val="-38"/>
        </w:rPr>
        <w:t> </w:t>
      </w:r>
      <w:r>
        <w:rPr/>
        <w:t>quality</w:t>
      </w:r>
      <w:r>
        <w:rPr>
          <w:spacing w:val="-36"/>
        </w:rPr>
        <w:t> </w:t>
      </w:r>
      <w:r>
        <w:rPr/>
        <w:t>of</w:t>
      </w:r>
      <w:r>
        <w:rPr>
          <w:spacing w:val="-36"/>
        </w:rPr>
        <w:t> </w:t>
      </w:r>
      <w:r>
        <w:rPr/>
        <w:t>construction,</w:t>
      </w:r>
      <w:r>
        <w:rPr>
          <w:spacing w:val="-36"/>
        </w:rPr>
        <w:t> </w:t>
      </w:r>
      <w:r>
        <w:rPr/>
        <w:t>developer</w:t>
      </w:r>
      <w:r>
        <w:rPr>
          <w:spacing w:val="-37"/>
        </w:rPr>
        <w:t> </w:t>
      </w:r>
      <w:r>
        <w:rPr/>
        <w:t>brand,</w:t>
      </w:r>
      <w:r>
        <w:rPr>
          <w:spacing w:val="-36"/>
        </w:rPr>
        <w:t> </w:t>
      </w:r>
      <w:r>
        <w:rPr/>
        <w:t>amenities</w:t>
      </w:r>
      <w:r>
        <w:rPr>
          <w:spacing w:val="-36"/>
        </w:rPr>
        <w:t> </w:t>
      </w:r>
      <w:r>
        <w:rPr/>
        <w:t>offered,</w:t>
      </w:r>
      <w:r>
        <w:rPr>
          <w:spacing w:val="-37"/>
        </w:rPr>
        <w:t> </w:t>
      </w:r>
      <w:r>
        <w:rPr/>
        <w:t>etc.</w:t>
      </w:r>
      <w:r>
        <w:rPr>
          <w:spacing w:val="-33"/>
        </w:rPr>
        <w:t> </w:t>
      </w:r>
      <w:r>
        <w:rPr/>
        <w:t>Recent</w:t>
      </w:r>
      <w:r>
        <w:rPr>
          <w:spacing w:val="-37"/>
        </w:rPr>
        <w:t> </w:t>
      </w:r>
      <w:r>
        <w:rPr/>
        <w:t>leases in</w:t>
      </w:r>
      <w:r>
        <w:rPr>
          <w:spacing w:val="-13"/>
        </w:rPr>
        <w:t> </w:t>
      </w:r>
      <w:r>
        <w:rPr/>
        <w:t>the</w:t>
      </w:r>
      <w:r>
        <w:rPr>
          <w:spacing w:val="-12"/>
        </w:rPr>
        <w:t> </w:t>
      </w:r>
      <w:r>
        <w:rPr/>
        <w:t>subject</w:t>
      </w:r>
      <w:r>
        <w:rPr>
          <w:spacing w:val="-12"/>
        </w:rPr>
        <w:t> </w:t>
      </w:r>
      <w:r>
        <w:rPr/>
        <w:t>property</w:t>
      </w:r>
      <w:r>
        <w:rPr>
          <w:spacing w:val="-10"/>
        </w:rPr>
        <w:t> </w:t>
      </w:r>
      <w:r>
        <w:rPr/>
        <w:t>range</w:t>
      </w:r>
      <w:r>
        <w:rPr>
          <w:spacing w:val="-11"/>
        </w:rPr>
        <w:t> </w:t>
      </w:r>
      <w:r>
        <w:rPr/>
        <w:t>between</w:t>
      </w:r>
      <w:r>
        <w:rPr>
          <w:spacing w:val="-11"/>
        </w:rPr>
        <w:t> </w:t>
      </w:r>
      <w:r>
        <w:rPr/>
        <w:t>INR</w:t>
      </w:r>
      <w:r>
        <w:rPr>
          <w:spacing w:val="-13"/>
        </w:rPr>
        <w:t> </w:t>
      </w:r>
      <w:r>
        <w:rPr/>
        <w:t>140.0</w:t>
      </w:r>
      <w:r>
        <w:rPr>
          <w:spacing w:val="-12"/>
        </w:rPr>
        <w:t> </w:t>
      </w:r>
      <w:r>
        <w:rPr>
          <w:w w:val="105"/>
        </w:rPr>
        <w:t>–</w:t>
      </w:r>
      <w:r>
        <w:rPr>
          <w:spacing w:val="-14"/>
          <w:w w:val="105"/>
        </w:rPr>
        <w:t> </w:t>
      </w:r>
      <w:r>
        <w:rPr/>
        <w:t>150.0</w:t>
      </w:r>
      <w:r>
        <w:rPr>
          <w:spacing w:val="-12"/>
        </w:rPr>
        <w:t> </w:t>
      </w:r>
      <w:r>
        <w:rPr/>
        <w:t>psf</w:t>
      </w:r>
      <w:r>
        <w:rPr>
          <w:spacing w:val="-13"/>
        </w:rPr>
        <w:t> </w:t>
      </w:r>
      <w:r>
        <w:rPr/>
        <w:t>pm.</w:t>
      </w:r>
      <w:r>
        <w:rPr>
          <w:spacing w:val="-12"/>
        </w:rPr>
        <w:t> </w:t>
      </w:r>
      <w:r>
        <w:rPr/>
        <w:t>In</w:t>
      </w:r>
      <w:r>
        <w:rPr>
          <w:spacing w:val="-12"/>
        </w:rPr>
        <w:t> </w:t>
      </w:r>
      <w:r>
        <w:rPr/>
        <w:t>addition,</w:t>
      </w:r>
      <w:r>
        <w:rPr>
          <w:spacing w:val="-12"/>
        </w:rPr>
        <w:t> </w:t>
      </w:r>
      <w:r>
        <w:rPr/>
        <w:t>the</w:t>
      </w:r>
      <w:r>
        <w:rPr>
          <w:spacing w:val="-12"/>
        </w:rPr>
        <w:t> </w:t>
      </w:r>
      <w:r>
        <w:rPr/>
        <w:t>maintenance</w:t>
      </w:r>
      <w:r>
        <w:rPr>
          <w:spacing w:val="-12"/>
        </w:rPr>
        <w:t> </w:t>
      </w:r>
      <w:r>
        <w:rPr/>
        <w:t>charge for these developments varies in the range of INR 8.0 </w:t>
      </w:r>
      <w:r>
        <w:rPr>
          <w:w w:val="105"/>
        </w:rPr>
        <w:t>– </w:t>
      </w:r>
      <w:r>
        <w:rPr/>
        <w:t>13.0 psf pm. The parking charges in such developments</w:t>
      </w:r>
      <w:r>
        <w:rPr>
          <w:spacing w:val="-5"/>
        </w:rPr>
        <w:t> </w:t>
      </w:r>
      <w:r>
        <w:rPr/>
        <w:t>range</w:t>
      </w:r>
      <w:r>
        <w:rPr>
          <w:spacing w:val="-5"/>
        </w:rPr>
        <w:t> </w:t>
      </w:r>
      <w:r>
        <w:rPr/>
        <w:t>between</w:t>
      </w:r>
      <w:r>
        <w:rPr>
          <w:spacing w:val="-6"/>
        </w:rPr>
        <w:t> </w:t>
      </w:r>
      <w:r>
        <w:rPr/>
        <w:t>INR</w:t>
      </w:r>
      <w:r>
        <w:rPr>
          <w:spacing w:val="-5"/>
        </w:rPr>
        <w:t> </w:t>
      </w:r>
      <w:r>
        <w:rPr/>
        <w:t>3,500</w:t>
      </w:r>
      <w:r>
        <w:rPr>
          <w:spacing w:val="-4"/>
        </w:rPr>
        <w:t> </w:t>
      </w:r>
      <w:r>
        <w:rPr>
          <w:w w:val="105"/>
        </w:rPr>
        <w:t>–</w:t>
      </w:r>
      <w:r>
        <w:rPr>
          <w:spacing w:val="-9"/>
          <w:w w:val="105"/>
        </w:rPr>
        <w:t> </w:t>
      </w:r>
      <w:r>
        <w:rPr/>
        <w:t>6,000</w:t>
      </w:r>
      <w:r>
        <w:rPr>
          <w:spacing w:val="-5"/>
        </w:rPr>
        <w:t> </w:t>
      </w:r>
      <w:r>
        <w:rPr/>
        <w:t>per</w:t>
      </w:r>
      <w:r>
        <w:rPr>
          <w:spacing w:val="-5"/>
        </w:rPr>
        <w:t> </w:t>
      </w:r>
      <w:r>
        <w:rPr/>
        <w:t>bay</w:t>
      </w:r>
      <w:r>
        <w:rPr>
          <w:spacing w:val="-7"/>
        </w:rPr>
        <w:t> </w:t>
      </w:r>
      <w:r>
        <w:rPr/>
        <w:t>per</w:t>
      </w:r>
      <w:r>
        <w:rPr>
          <w:spacing w:val="-5"/>
        </w:rPr>
        <w:t> </w:t>
      </w:r>
      <w:r>
        <w:rPr/>
        <w:t>month</w:t>
      </w:r>
      <w:r>
        <w:rPr>
          <w:spacing w:val="-6"/>
        </w:rPr>
        <w:t> </w:t>
      </w:r>
      <w:r>
        <w:rPr/>
        <w:t>for</w:t>
      </w:r>
      <w:r>
        <w:rPr>
          <w:spacing w:val="-6"/>
        </w:rPr>
        <w:t> </w:t>
      </w:r>
      <w:r>
        <w:rPr/>
        <w:t>covered</w:t>
      </w:r>
      <w:r>
        <w:rPr>
          <w:spacing w:val="-4"/>
        </w:rPr>
        <w:t> </w:t>
      </w:r>
      <w:r>
        <w:rPr/>
        <w:t>car</w:t>
      </w:r>
      <w:r>
        <w:rPr>
          <w:spacing w:val="-5"/>
        </w:rPr>
        <w:t> </w:t>
      </w:r>
      <w:r>
        <w:rPr/>
        <w:t>parks.</w:t>
      </w:r>
    </w:p>
    <w:p>
      <w:pPr>
        <w:pStyle w:val="BodyText"/>
        <w:spacing w:before="10"/>
        <w:rPr>
          <w:sz w:val="20"/>
        </w:rPr>
      </w:pPr>
    </w:p>
    <w:p>
      <w:pPr>
        <w:pStyle w:val="BodyText"/>
        <w:spacing w:line="321" w:lineRule="auto"/>
        <w:ind w:left="802" w:right="235"/>
        <w:jc w:val="both"/>
      </w:pPr>
      <w:r>
        <w:rPr/>
        <w:t>Based</w:t>
      </w:r>
      <w:r>
        <w:rPr>
          <w:spacing w:val="-24"/>
        </w:rPr>
        <w:t> </w:t>
      </w:r>
      <w:r>
        <w:rPr/>
        <w:t>on</w:t>
      </w:r>
      <w:r>
        <w:rPr>
          <w:spacing w:val="-23"/>
        </w:rPr>
        <w:t> </w:t>
      </w:r>
      <w:r>
        <w:rPr/>
        <w:t>our</w:t>
      </w:r>
      <w:r>
        <w:rPr>
          <w:spacing w:val="-23"/>
        </w:rPr>
        <w:t> </w:t>
      </w:r>
      <w:r>
        <w:rPr/>
        <w:t>market</w:t>
      </w:r>
      <w:r>
        <w:rPr>
          <w:spacing w:val="-22"/>
        </w:rPr>
        <w:t> </w:t>
      </w:r>
      <w:r>
        <w:rPr/>
        <w:t>research</w:t>
      </w:r>
      <w:r>
        <w:rPr>
          <w:spacing w:val="-23"/>
        </w:rPr>
        <w:t> </w:t>
      </w:r>
      <w:r>
        <w:rPr/>
        <w:t>the</w:t>
      </w:r>
      <w:r>
        <w:rPr>
          <w:spacing w:val="-23"/>
        </w:rPr>
        <w:t> </w:t>
      </w:r>
      <w:r>
        <w:rPr/>
        <w:t>rent</w:t>
      </w:r>
      <w:r>
        <w:rPr>
          <w:spacing w:val="-23"/>
        </w:rPr>
        <w:t> </w:t>
      </w:r>
      <w:r>
        <w:rPr/>
        <w:t>in</w:t>
      </w:r>
      <w:r>
        <w:rPr>
          <w:spacing w:val="-23"/>
        </w:rPr>
        <w:t> </w:t>
      </w:r>
      <w:r>
        <w:rPr/>
        <w:t>the</w:t>
      </w:r>
      <w:r>
        <w:rPr>
          <w:spacing w:val="-25"/>
        </w:rPr>
        <w:t> </w:t>
      </w:r>
      <w:r>
        <w:rPr/>
        <w:t>subject</w:t>
      </w:r>
      <w:r>
        <w:rPr>
          <w:spacing w:val="-22"/>
        </w:rPr>
        <w:t> </w:t>
      </w:r>
      <w:r>
        <w:rPr/>
        <w:t>sub</w:t>
      </w:r>
      <w:r>
        <w:rPr>
          <w:spacing w:val="-24"/>
        </w:rPr>
        <w:t> </w:t>
      </w:r>
      <w:r>
        <w:rPr/>
        <w:t>market</w:t>
      </w:r>
      <w:r>
        <w:rPr>
          <w:spacing w:val="-22"/>
        </w:rPr>
        <w:t> </w:t>
      </w:r>
      <w:r>
        <w:rPr/>
        <w:t>has</w:t>
      </w:r>
      <w:r>
        <w:rPr>
          <w:spacing w:val="-23"/>
        </w:rPr>
        <w:t> </w:t>
      </w:r>
      <w:r>
        <w:rPr/>
        <w:t>witnessed</w:t>
      </w:r>
      <w:r>
        <w:rPr>
          <w:spacing w:val="-22"/>
        </w:rPr>
        <w:t> </w:t>
      </w:r>
      <w:r>
        <w:rPr/>
        <w:t>appreciation</w:t>
      </w:r>
      <w:r>
        <w:rPr>
          <w:spacing w:val="-23"/>
        </w:rPr>
        <w:t> </w:t>
      </w:r>
      <w:r>
        <w:rPr/>
        <w:t>of</w:t>
      </w:r>
      <w:r>
        <w:rPr>
          <w:spacing w:val="-22"/>
        </w:rPr>
        <w:t> </w:t>
      </w:r>
      <w:r>
        <w:rPr/>
        <w:t>approx. 10.8%</w:t>
      </w:r>
      <w:r>
        <w:rPr>
          <w:spacing w:val="-16"/>
        </w:rPr>
        <w:t> </w:t>
      </w:r>
      <w:r>
        <w:rPr/>
        <w:t>in</w:t>
      </w:r>
      <w:r>
        <w:rPr>
          <w:spacing w:val="-17"/>
        </w:rPr>
        <w:t> </w:t>
      </w:r>
      <w:r>
        <w:rPr/>
        <w:t>between</w:t>
      </w:r>
      <w:r>
        <w:rPr>
          <w:spacing w:val="-16"/>
        </w:rPr>
        <w:t> </w:t>
      </w:r>
      <w:r>
        <w:rPr/>
        <w:t>2014</w:t>
      </w:r>
      <w:r>
        <w:rPr>
          <w:spacing w:val="-18"/>
        </w:rPr>
        <w:t> </w:t>
      </w:r>
      <w:r>
        <w:rPr/>
        <w:t>&amp;</w:t>
      </w:r>
      <w:r>
        <w:rPr>
          <w:spacing w:val="-15"/>
        </w:rPr>
        <w:t> </w:t>
      </w:r>
      <w:r>
        <w:rPr/>
        <w:t>2019.</w:t>
      </w:r>
      <w:r>
        <w:rPr>
          <w:spacing w:val="-16"/>
        </w:rPr>
        <w:t> </w:t>
      </w:r>
      <w:r>
        <w:rPr/>
        <w:t>Given</w:t>
      </w:r>
      <w:r>
        <w:rPr>
          <w:spacing w:val="-16"/>
        </w:rPr>
        <w:t> </w:t>
      </w:r>
      <w:r>
        <w:rPr/>
        <w:t>limited</w:t>
      </w:r>
      <w:r>
        <w:rPr>
          <w:spacing w:val="-15"/>
        </w:rPr>
        <w:t> </w:t>
      </w:r>
      <w:r>
        <w:rPr/>
        <w:t>competition</w:t>
      </w:r>
      <w:r>
        <w:rPr>
          <w:spacing w:val="-16"/>
        </w:rPr>
        <w:t> </w:t>
      </w:r>
      <w:r>
        <w:rPr/>
        <w:t>from</w:t>
      </w:r>
      <w:r>
        <w:rPr>
          <w:spacing w:val="-18"/>
        </w:rPr>
        <w:t> </w:t>
      </w:r>
      <w:r>
        <w:rPr/>
        <w:t>upcoming</w:t>
      </w:r>
      <w:r>
        <w:rPr>
          <w:spacing w:val="-16"/>
        </w:rPr>
        <w:t> </w:t>
      </w:r>
      <w:r>
        <w:rPr/>
        <w:t>supply</w:t>
      </w:r>
      <w:r>
        <w:rPr>
          <w:spacing w:val="-15"/>
        </w:rPr>
        <w:t> </w:t>
      </w:r>
      <w:r>
        <w:rPr/>
        <w:t>in</w:t>
      </w:r>
      <w:r>
        <w:rPr>
          <w:spacing w:val="-16"/>
        </w:rPr>
        <w:t> </w:t>
      </w:r>
      <w:r>
        <w:rPr/>
        <w:t>the</w:t>
      </w:r>
      <w:r>
        <w:rPr>
          <w:spacing w:val="-18"/>
        </w:rPr>
        <w:t> </w:t>
      </w:r>
      <w:r>
        <w:rPr/>
        <w:t>micro-market, subject</w:t>
      </w:r>
      <w:r>
        <w:rPr>
          <w:spacing w:val="-17"/>
        </w:rPr>
        <w:t> </w:t>
      </w:r>
      <w:r>
        <w:rPr/>
        <w:t>property</w:t>
      </w:r>
      <w:r>
        <w:rPr>
          <w:spacing w:val="-18"/>
        </w:rPr>
        <w:t> </w:t>
      </w:r>
      <w:r>
        <w:rPr/>
        <w:t>will</w:t>
      </w:r>
      <w:r>
        <w:rPr>
          <w:spacing w:val="-18"/>
        </w:rPr>
        <w:t> </w:t>
      </w:r>
      <w:r>
        <w:rPr/>
        <w:t>continue</w:t>
      </w:r>
      <w:r>
        <w:rPr>
          <w:spacing w:val="-17"/>
        </w:rPr>
        <w:t> </w:t>
      </w:r>
      <w:r>
        <w:rPr/>
        <w:t>to</w:t>
      </w:r>
      <w:r>
        <w:rPr>
          <w:spacing w:val="-17"/>
        </w:rPr>
        <w:t> </w:t>
      </w:r>
      <w:r>
        <w:rPr/>
        <w:t>retain</w:t>
      </w:r>
      <w:r>
        <w:rPr>
          <w:spacing w:val="-18"/>
        </w:rPr>
        <w:t> </w:t>
      </w:r>
      <w:r>
        <w:rPr/>
        <w:t>its</w:t>
      </w:r>
      <w:r>
        <w:rPr>
          <w:spacing w:val="-16"/>
        </w:rPr>
        <w:t> </w:t>
      </w:r>
      <w:r>
        <w:rPr/>
        <w:t>market</w:t>
      </w:r>
      <w:r>
        <w:rPr>
          <w:spacing w:val="-17"/>
        </w:rPr>
        <w:t> </w:t>
      </w:r>
      <w:r>
        <w:rPr/>
        <w:t>position</w:t>
      </w:r>
      <w:r>
        <w:rPr>
          <w:spacing w:val="-18"/>
        </w:rPr>
        <w:t> </w:t>
      </w:r>
      <w:r>
        <w:rPr/>
        <w:t>as</w:t>
      </w:r>
      <w:r>
        <w:rPr>
          <w:spacing w:val="-16"/>
        </w:rPr>
        <w:t> </w:t>
      </w:r>
      <w:r>
        <w:rPr/>
        <w:t>a</w:t>
      </w:r>
      <w:r>
        <w:rPr>
          <w:spacing w:val="-18"/>
        </w:rPr>
        <w:t> </w:t>
      </w:r>
      <w:r>
        <w:rPr/>
        <w:t>landmark</w:t>
      </w:r>
      <w:r>
        <w:rPr>
          <w:spacing w:val="-17"/>
        </w:rPr>
        <w:t> </w:t>
      </w:r>
      <w:r>
        <w:rPr/>
        <w:t>development</w:t>
      </w:r>
      <w:r>
        <w:rPr>
          <w:spacing w:val="-17"/>
        </w:rPr>
        <w:t> </w:t>
      </w:r>
      <w:r>
        <w:rPr/>
        <w:t>in</w:t>
      </w:r>
      <w:r>
        <w:rPr>
          <w:spacing w:val="-18"/>
        </w:rPr>
        <w:t> </w:t>
      </w:r>
      <w:r>
        <w:rPr/>
        <w:t>EBD.</w:t>
      </w:r>
    </w:p>
    <w:p>
      <w:pPr>
        <w:spacing w:after="0" w:line="321" w:lineRule="auto"/>
        <w:jc w:val="both"/>
        <w:sectPr>
          <w:pgSz w:w="11910" w:h="16840"/>
          <w:pgMar w:header="720" w:footer="862" w:top="1660" w:bottom="1060" w:left="480" w:right="480"/>
        </w:sectPr>
      </w:pPr>
    </w:p>
    <w:p>
      <w:pPr>
        <w:pStyle w:val="BodyText"/>
        <w:spacing w:before="7"/>
        <w:rPr>
          <w:sz w:val="9"/>
        </w:rPr>
      </w:pPr>
    </w:p>
    <w:p>
      <w:pPr>
        <w:pStyle w:val="BodyText"/>
        <w:spacing w:line="321" w:lineRule="auto" w:before="106"/>
        <w:ind w:left="802" w:right="237"/>
        <w:jc w:val="both"/>
      </w:pPr>
      <w:r>
        <w:rPr/>
        <w:t>The</w:t>
      </w:r>
      <w:r>
        <w:rPr>
          <w:spacing w:val="-8"/>
        </w:rPr>
        <w:t> </w:t>
      </w:r>
      <w:r>
        <w:rPr/>
        <w:t>table</w:t>
      </w:r>
      <w:r>
        <w:rPr>
          <w:spacing w:val="-8"/>
        </w:rPr>
        <w:t> </w:t>
      </w:r>
      <w:r>
        <w:rPr/>
        <w:t>below</w:t>
      </w:r>
      <w:r>
        <w:rPr>
          <w:spacing w:val="-6"/>
        </w:rPr>
        <w:t> </w:t>
      </w:r>
      <w:r>
        <w:rPr/>
        <w:t>highlights</w:t>
      </w:r>
      <w:r>
        <w:rPr>
          <w:spacing w:val="-7"/>
        </w:rPr>
        <w:t> </w:t>
      </w:r>
      <w:r>
        <w:rPr/>
        <w:t>some</w:t>
      </w:r>
      <w:r>
        <w:rPr>
          <w:spacing w:val="-6"/>
        </w:rPr>
        <w:t> </w:t>
      </w:r>
      <w:r>
        <w:rPr/>
        <w:t>of</w:t>
      </w:r>
      <w:r>
        <w:rPr>
          <w:spacing w:val="-7"/>
        </w:rPr>
        <w:t> </w:t>
      </w:r>
      <w:r>
        <w:rPr/>
        <w:t>the</w:t>
      </w:r>
      <w:r>
        <w:rPr>
          <w:spacing w:val="-8"/>
        </w:rPr>
        <w:t> </w:t>
      </w:r>
      <w:r>
        <w:rPr/>
        <w:t>recent</w:t>
      </w:r>
      <w:r>
        <w:rPr>
          <w:spacing w:val="-6"/>
        </w:rPr>
        <w:t> </w:t>
      </w:r>
      <w:r>
        <w:rPr/>
        <w:t>transacted</w:t>
      </w:r>
      <w:r>
        <w:rPr>
          <w:spacing w:val="-6"/>
        </w:rPr>
        <w:t> </w:t>
      </w:r>
      <w:r>
        <w:rPr/>
        <w:t>rent</w:t>
      </w:r>
      <w:r>
        <w:rPr>
          <w:spacing w:val="-6"/>
        </w:rPr>
        <w:t> </w:t>
      </w:r>
      <w:r>
        <w:rPr/>
        <w:t>values</w:t>
      </w:r>
      <w:r>
        <w:rPr>
          <w:spacing w:val="-7"/>
        </w:rPr>
        <w:t> </w:t>
      </w:r>
      <w:r>
        <w:rPr/>
        <w:t>for</w:t>
      </w:r>
      <w:r>
        <w:rPr>
          <w:spacing w:val="-4"/>
        </w:rPr>
        <w:t> </w:t>
      </w:r>
      <w:r>
        <w:rPr/>
        <w:t>Office</w:t>
      </w:r>
      <w:r>
        <w:rPr>
          <w:spacing w:val="-7"/>
        </w:rPr>
        <w:t> </w:t>
      </w:r>
      <w:r>
        <w:rPr/>
        <w:t>Park</w:t>
      </w:r>
      <w:r>
        <w:rPr>
          <w:spacing w:val="-5"/>
        </w:rPr>
        <w:t> </w:t>
      </w:r>
      <w:r>
        <w:rPr/>
        <w:t>in</w:t>
      </w:r>
      <w:r>
        <w:rPr>
          <w:spacing w:val="-7"/>
        </w:rPr>
        <w:t> </w:t>
      </w:r>
      <w:r>
        <w:rPr/>
        <w:t>the</w:t>
      </w:r>
      <w:r>
        <w:rPr>
          <w:spacing w:val="-8"/>
        </w:rPr>
        <w:t> </w:t>
      </w:r>
      <w:r>
        <w:rPr/>
        <w:t>influence region of the subject</w:t>
      </w:r>
      <w:r>
        <w:rPr>
          <w:spacing w:val="-18"/>
        </w:rPr>
        <w:t> </w:t>
      </w:r>
      <w:r>
        <w:rPr/>
        <w:t>property:</w:t>
      </w:r>
    </w:p>
    <w:p>
      <w:pPr>
        <w:pStyle w:val="BodyText"/>
        <w:spacing w:before="1"/>
        <w:rPr>
          <w:sz w:val="21"/>
        </w:rPr>
      </w:pPr>
    </w:p>
    <w:tbl>
      <w:tblPr>
        <w:tblW w:w="0" w:type="auto"/>
        <w:jc w:val="left"/>
        <w:tblInd w:w="2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66"/>
        <w:gridCol w:w="1996"/>
        <w:gridCol w:w="1890"/>
        <w:gridCol w:w="3935"/>
      </w:tblGrid>
      <w:tr>
        <w:trPr>
          <w:trHeight w:val="308" w:hRule="atLeast"/>
        </w:trPr>
        <w:tc>
          <w:tcPr>
            <w:tcW w:w="2666" w:type="dxa"/>
            <w:tcBorders>
              <w:top w:val="single" w:sz="6" w:space="0" w:color="69BD28"/>
              <w:bottom w:val="single" w:sz="6" w:space="0" w:color="69BD28"/>
            </w:tcBorders>
            <w:shd w:val="clear" w:color="auto" w:fill="006A4D"/>
          </w:tcPr>
          <w:p>
            <w:pPr>
              <w:pStyle w:val="TableParagraph"/>
              <w:spacing w:before="49"/>
              <w:ind w:left="354" w:right="537"/>
              <w:rPr>
                <w:b/>
                <w:sz w:val="18"/>
              </w:rPr>
            </w:pPr>
            <w:r>
              <w:rPr>
                <w:b/>
                <w:color w:val="FFFFFF"/>
                <w:w w:val="105"/>
                <w:sz w:val="18"/>
              </w:rPr>
              <w:t>Date of Transaction</w:t>
            </w:r>
          </w:p>
        </w:tc>
        <w:tc>
          <w:tcPr>
            <w:tcW w:w="1996" w:type="dxa"/>
            <w:tcBorders>
              <w:top w:val="single" w:sz="6" w:space="0" w:color="69BD28"/>
              <w:bottom w:val="single" w:sz="6" w:space="0" w:color="69BD28"/>
            </w:tcBorders>
            <w:shd w:val="clear" w:color="auto" w:fill="006A4D"/>
          </w:tcPr>
          <w:p>
            <w:pPr>
              <w:pStyle w:val="TableParagraph"/>
              <w:spacing w:before="49"/>
              <w:ind w:left="511" w:right="651"/>
              <w:rPr>
                <w:b/>
                <w:sz w:val="18"/>
              </w:rPr>
            </w:pPr>
            <w:r>
              <w:rPr>
                <w:b/>
                <w:color w:val="FFFFFF"/>
                <w:w w:val="110"/>
                <w:sz w:val="18"/>
              </w:rPr>
              <w:t>Area (sf)</w:t>
            </w:r>
          </w:p>
        </w:tc>
        <w:tc>
          <w:tcPr>
            <w:tcW w:w="1890" w:type="dxa"/>
            <w:tcBorders>
              <w:top w:val="single" w:sz="6" w:space="0" w:color="69BD28"/>
              <w:bottom w:val="single" w:sz="6" w:space="0" w:color="69BD28"/>
            </w:tcBorders>
            <w:shd w:val="clear" w:color="auto" w:fill="006A4D"/>
          </w:tcPr>
          <w:p>
            <w:pPr>
              <w:pStyle w:val="TableParagraph"/>
              <w:spacing w:before="49"/>
              <w:ind w:left="768"/>
              <w:jc w:val="left"/>
              <w:rPr>
                <w:b/>
                <w:sz w:val="18"/>
              </w:rPr>
            </w:pPr>
            <w:r>
              <w:rPr>
                <w:b/>
                <w:color w:val="FFFFFF"/>
                <w:w w:val="105"/>
                <w:sz w:val="18"/>
              </w:rPr>
              <w:t>Tenant</w:t>
            </w:r>
          </w:p>
        </w:tc>
        <w:tc>
          <w:tcPr>
            <w:tcW w:w="3935" w:type="dxa"/>
            <w:tcBorders>
              <w:top w:val="single" w:sz="6" w:space="0" w:color="69BD28"/>
              <w:bottom w:val="single" w:sz="6" w:space="0" w:color="69BD28"/>
            </w:tcBorders>
            <w:shd w:val="clear" w:color="auto" w:fill="006A4D"/>
          </w:tcPr>
          <w:p>
            <w:pPr>
              <w:pStyle w:val="TableParagraph"/>
              <w:spacing w:before="49"/>
              <w:ind w:left="367" w:right="156"/>
              <w:rPr>
                <w:b/>
                <w:sz w:val="18"/>
              </w:rPr>
            </w:pPr>
            <w:r>
              <w:rPr>
                <w:b/>
                <w:color w:val="FFFFFF"/>
                <w:w w:val="110"/>
                <w:sz w:val="18"/>
              </w:rPr>
              <w:t>Transacted Rent Value (INR psf pm)*</w:t>
            </w:r>
          </w:p>
        </w:tc>
      </w:tr>
      <w:tr>
        <w:trPr>
          <w:trHeight w:val="309"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Q4, 2019</w:t>
            </w:r>
          </w:p>
        </w:tc>
        <w:tc>
          <w:tcPr>
            <w:tcW w:w="1996" w:type="dxa"/>
            <w:tcBorders>
              <w:top w:val="single" w:sz="6" w:space="0" w:color="69BD28"/>
              <w:bottom w:val="single" w:sz="6" w:space="0" w:color="69BD28"/>
            </w:tcBorders>
          </w:tcPr>
          <w:p>
            <w:pPr>
              <w:pStyle w:val="TableParagraph"/>
              <w:spacing w:before="49"/>
              <w:ind w:left="511" w:right="648"/>
              <w:rPr>
                <w:sz w:val="18"/>
              </w:rPr>
            </w:pPr>
            <w:r>
              <w:rPr>
                <w:w w:val="110"/>
                <w:sz w:val="18"/>
              </w:rPr>
              <w:t>20,000</w:t>
            </w:r>
          </w:p>
        </w:tc>
        <w:tc>
          <w:tcPr>
            <w:tcW w:w="1890" w:type="dxa"/>
            <w:tcBorders>
              <w:top w:val="single" w:sz="6" w:space="0" w:color="69BD28"/>
              <w:bottom w:val="single" w:sz="6" w:space="0" w:color="69BD28"/>
            </w:tcBorders>
          </w:tcPr>
          <w:p>
            <w:pPr>
              <w:pStyle w:val="TableParagraph"/>
              <w:spacing w:before="49"/>
              <w:ind w:left="734"/>
              <w:jc w:val="left"/>
              <w:rPr>
                <w:sz w:val="18"/>
              </w:rPr>
            </w:pPr>
            <w:r>
              <w:rPr>
                <w:sz w:val="18"/>
              </w:rPr>
              <w:t>Tenant 1</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130.0 - 135.0 (WS)</w:t>
            </w:r>
          </w:p>
        </w:tc>
      </w:tr>
      <w:tr>
        <w:trPr>
          <w:trHeight w:val="308"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Q4, 2019</w:t>
            </w:r>
          </w:p>
        </w:tc>
        <w:tc>
          <w:tcPr>
            <w:tcW w:w="1996" w:type="dxa"/>
            <w:tcBorders>
              <w:top w:val="single" w:sz="6" w:space="0" w:color="69BD28"/>
              <w:bottom w:val="single" w:sz="6" w:space="0" w:color="69BD28"/>
            </w:tcBorders>
          </w:tcPr>
          <w:p>
            <w:pPr>
              <w:pStyle w:val="TableParagraph"/>
              <w:spacing w:before="49"/>
              <w:ind w:left="511" w:right="651"/>
              <w:rPr>
                <w:sz w:val="18"/>
              </w:rPr>
            </w:pPr>
            <w:r>
              <w:rPr>
                <w:w w:val="110"/>
                <w:sz w:val="18"/>
              </w:rPr>
              <w:t>240,000</w:t>
            </w:r>
          </w:p>
        </w:tc>
        <w:tc>
          <w:tcPr>
            <w:tcW w:w="1890" w:type="dxa"/>
            <w:tcBorders>
              <w:top w:val="single" w:sz="6" w:space="0" w:color="69BD28"/>
              <w:bottom w:val="single" w:sz="6" w:space="0" w:color="69BD28"/>
            </w:tcBorders>
          </w:tcPr>
          <w:p>
            <w:pPr>
              <w:pStyle w:val="TableParagraph"/>
              <w:spacing w:before="49"/>
              <w:ind w:left="734"/>
              <w:jc w:val="left"/>
              <w:rPr>
                <w:sz w:val="18"/>
              </w:rPr>
            </w:pPr>
            <w:r>
              <w:rPr>
                <w:sz w:val="18"/>
              </w:rPr>
              <w:t>Tenant 2</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80.0 - 85.0 (WS)</w:t>
            </w:r>
          </w:p>
        </w:tc>
      </w:tr>
      <w:tr>
        <w:trPr>
          <w:trHeight w:val="309"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Q4, 2019</w:t>
            </w:r>
          </w:p>
        </w:tc>
        <w:tc>
          <w:tcPr>
            <w:tcW w:w="1996" w:type="dxa"/>
            <w:tcBorders>
              <w:top w:val="single" w:sz="6" w:space="0" w:color="69BD28"/>
              <w:bottom w:val="single" w:sz="6" w:space="0" w:color="69BD28"/>
            </w:tcBorders>
          </w:tcPr>
          <w:p>
            <w:pPr>
              <w:pStyle w:val="TableParagraph"/>
              <w:spacing w:before="49"/>
              <w:ind w:left="511" w:right="648"/>
              <w:rPr>
                <w:sz w:val="18"/>
              </w:rPr>
            </w:pPr>
            <w:r>
              <w:rPr>
                <w:w w:val="110"/>
                <w:sz w:val="18"/>
              </w:rPr>
              <w:t>15,000</w:t>
            </w:r>
          </w:p>
        </w:tc>
        <w:tc>
          <w:tcPr>
            <w:tcW w:w="1890" w:type="dxa"/>
            <w:tcBorders>
              <w:top w:val="single" w:sz="6" w:space="0" w:color="69BD28"/>
              <w:bottom w:val="single" w:sz="6" w:space="0" w:color="69BD28"/>
            </w:tcBorders>
          </w:tcPr>
          <w:p>
            <w:pPr>
              <w:pStyle w:val="TableParagraph"/>
              <w:spacing w:before="49"/>
              <w:ind w:left="734"/>
              <w:jc w:val="left"/>
              <w:rPr>
                <w:sz w:val="18"/>
              </w:rPr>
            </w:pPr>
            <w:r>
              <w:rPr>
                <w:sz w:val="18"/>
              </w:rPr>
              <w:t>Tenant 3</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93.0 - 97.0 (WS)</w:t>
            </w:r>
          </w:p>
        </w:tc>
      </w:tr>
      <w:tr>
        <w:trPr>
          <w:trHeight w:val="309"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Q3, 2019</w:t>
            </w:r>
          </w:p>
        </w:tc>
        <w:tc>
          <w:tcPr>
            <w:tcW w:w="1996" w:type="dxa"/>
            <w:tcBorders>
              <w:top w:val="single" w:sz="6" w:space="0" w:color="69BD28"/>
              <w:bottom w:val="single" w:sz="6" w:space="0" w:color="69BD28"/>
            </w:tcBorders>
          </w:tcPr>
          <w:p>
            <w:pPr>
              <w:pStyle w:val="TableParagraph"/>
              <w:spacing w:before="49"/>
              <w:ind w:left="511" w:right="648"/>
              <w:rPr>
                <w:sz w:val="18"/>
              </w:rPr>
            </w:pPr>
            <w:r>
              <w:rPr>
                <w:w w:val="110"/>
                <w:sz w:val="18"/>
              </w:rPr>
              <w:t>70,000</w:t>
            </w:r>
          </w:p>
        </w:tc>
        <w:tc>
          <w:tcPr>
            <w:tcW w:w="1890" w:type="dxa"/>
            <w:tcBorders>
              <w:top w:val="single" w:sz="6" w:space="0" w:color="69BD28"/>
              <w:bottom w:val="single" w:sz="6" w:space="0" w:color="69BD28"/>
            </w:tcBorders>
          </w:tcPr>
          <w:p>
            <w:pPr>
              <w:pStyle w:val="TableParagraph"/>
              <w:spacing w:before="49"/>
              <w:ind w:left="734"/>
              <w:jc w:val="left"/>
              <w:rPr>
                <w:sz w:val="18"/>
              </w:rPr>
            </w:pPr>
            <w:r>
              <w:rPr>
                <w:sz w:val="18"/>
              </w:rPr>
              <w:t>Tenant 4</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108.0 - 112.0 (WS)</w:t>
            </w:r>
          </w:p>
        </w:tc>
      </w:tr>
      <w:tr>
        <w:trPr>
          <w:trHeight w:val="308"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Q3, 2019</w:t>
            </w:r>
          </w:p>
        </w:tc>
        <w:tc>
          <w:tcPr>
            <w:tcW w:w="1996" w:type="dxa"/>
            <w:tcBorders>
              <w:top w:val="single" w:sz="6" w:space="0" w:color="69BD28"/>
              <w:bottom w:val="single" w:sz="6" w:space="0" w:color="69BD28"/>
            </w:tcBorders>
          </w:tcPr>
          <w:p>
            <w:pPr>
              <w:pStyle w:val="TableParagraph"/>
              <w:spacing w:before="49"/>
              <w:ind w:left="511" w:right="651"/>
              <w:rPr>
                <w:sz w:val="18"/>
              </w:rPr>
            </w:pPr>
            <w:r>
              <w:rPr>
                <w:w w:val="110"/>
                <w:sz w:val="18"/>
              </w:rPr>
              <w:t>150,000</w:t>
            </w:r>
          </w:p>
        </w:tc>
        <w:tc>
          <w:tcPr>
            <w:tcW w:w="1890" w:type="dxa"/>
            <w:tcBorders>
              <w:top w:val="single" w:sz="6" w:space="0" w:color="69BD28"/>
              <w:bottom w:val="single" w:sz="6" w:space="0" w:color="69BD28"/>
            </w:tcBorders>
          </w:tcPr>
          <w:p>
            <w:pPr>
              <w:pStyle w:val="TableParagraph"/>
              <w:spacing w:before="49"/>
              <w:ind w:left="734"/>
              <w:jc w:val="left"/>
              <w:rPr>
                <w:sz w:val="18"/>
              </w:rPr>
            </w:pPr>
            <w:r>
              <w:rPr>
                <w:sz w:val="18"/>
              </w:rPr>
              <w:t>Tenant 5</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108.0 - 112.0 (WS)</w:t>
            </w:r>
          </w:p>
        </w:tc>
      </w:tr>
      <w:tr>
        <w:trPr>
          <w:trHeight w:val="309"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Q2, 2019</w:t>
            </w:r>
          </w:p>
        </w:tc>
        <w:tc>
          <w:tcPr>
            <w:tcW w:w="1996" w:type="dxa"/>
            <w:tcBorders>
              <w:top w:val="single" w:sz="6" w:space="0" w:color="69BD28"/>
              <w:bottom w:val="single" w:sz="6" w:space="0" w:color="69BD28"/>
            </w:tcBorders>
          </w:tcPr>
          <w:p>
            <w:pPr>
              <w:pStyle w:val="TableParagraph"/>
              <w:spacing w:before="49"/>
              <w:ind w:left="511" w:right="648"/>
              <w:rPr>
                <w:sz w:val="18"/>
              </w:rPr>
            </w:pPr>
            <w:r>
              <w:rPr>
                <w:w w:val="110"/>
                <w:sz w:val="18"/>
              </w:rPr>
              <w:t>20,000</w:t>
            </w:r>
          </w:p>
        </w:tc>
        <w:tc>
          <w:tcPr>
            <w:tcW w:w="1890" w:type="dxa"/>
            <w:tcBorders>
              <w:top w:val="single" w:sz="6" w:space="0" w:color="69BD28"/>
              <w:bottom w:val="single" w:sz="6" w:space="0" w:color="69BD28"/>
            </w:tcBorders>
          </w:tcPr>
          <w:p>
            <w:pPr>
              <w:pStyle w:val="TableParagraph"/>
              <w:spacing w:before="49"/>
              <w:ind w:left="734"/>
              <w:jc w:val="left"/>
              <w:rPr>
                <w:sz w:val="18"/>
              </w:rPr>
            </w:pPr>
            <w:r>
              <w:rPr>
                <w:sz w:val="18"/>
              </w:rPr>
              <w:t>Tenant 6</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113.0 - 117.0 (WS)</w:t>
            </w:r>
          </w:p>
        </w:tc>
      </w:tr>
      <w:tr>
        <w:trPr>
          <w:trHeight w:val="309"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Q2, 2019</w:t>
            </w:r>
          </w:p>
        </w:tc>
        <w:tc>
          <w:tcPr>
            <w:tcW w:w="1996" w:type="dxa"/>
            <w:tcBorders>
              <w:top w:val="single" w:sz="6" w:space="0" w:color="69BD28"/>
              <w:bottom w:val="single" w:sz="6" w:space="0" w:color="69BD28"/>
            </w:tcBorders>
          </w:tcPr>
          <w:p>
            <w:pPr>
              <w:pStyle w:val="TableParagraph"/>
              <w:spacing w:before="49"/>
              <w:ind w:left="511" w:right="648"/>
              <w:rPr>
                <w:sz w:val="18"/>
              </w:rPr>
            </w:pPr>
            <w:r>
              <w:rPr>
                <w:w w:val="110"/>
                <w:sz w:val="18"/>
              </w:rPr>
              <w:t>25,000</w:t>
            </w:r>
          </w:p>
        </w:tc>
        <w:tc>
          <w:tcPr>
            <w:tcW w:w="1890" w:type="dxa"/>
            <w:tcBorders>
              <w:top w:val="single" w:sz="6" w:space="0" w:color="69BD28"/>
              <w:bottom w:val="single" w:sz="6" w:space="0" w:color="69BD28"/>
            </w:tcBorders>
          </w:tcPr>
          <w:p>
            <w:pPr>
              <w:pStyle w:val="TableParagraph"/>
              <w:spacing w:before="49"/>
              <w:ind w:left="734"/>
              <w:jc w:val="left"/>
              <w:rPr>
                <w:sz w:val="18"/>
              </w:rPr>
            </w:pPr>
            <w:r>
              <w:rPr>
                <w:sz w:val="18"/>
              </w:rPr>
              <w:t>Tenant 7</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113.0 - 117.0 (WS)</w:t>
            </w:r>
          </w:p>
        </w:tc>
      </w:tr>
      <w:tr>
        <w:trPr>
          <w:trHeight w:val="308"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Q2, 2019</w:t>
            </w:r>
          </w:p>
        </w:tc>
        <w:tc>
          <w:tcPr>
            <w:tcW w:w="1996" w:type="dxa"/>
            <w:tcBorders>
              <w:top w:val="single" w:sz="6" w:space="0" w:color="69BD28"/>
              <w:bottom w:val="single" w:sz="6" w:space="0" w:color="69BD28"/>
            </w:tcBorders>
          </w:tcPr>
          <w:p>
            <w:pPr>
              <w:pStyle w:val="TableParagraph"/>
              <w:spacing w:before="49"/>
              <w:ind w:left="511" w:right="648"/>
              <w:rPr>
                <w:sz w:val="18"/>
              </w:rPr>
            </w:pPr>
            <w:r>
              <w:rPr>
                <w:w w:val="110"/>
                <w:sz w:val="18"/>
              </w:rPr>
              <w:t>20,000</w:t>
            </w:r>
          </w:p>
        </w:tc>
        <w:tc>
          <w:tcPr>
            <w:tcW w:w="1890" w:type="dxa"/>
            <w:tcBorders>
              <w:top w:val="single" w:sz="6" w:space="0" w:color="69BD28"/>
              <w:bottom w:val="single" w:sz="6" w:space="0" w:color="69BD28"/>
            </w:tcBorders>
          </w:tcPr>
          <w:p>
            <w:pPr>
              <w:pStyle w:val="TableParagraph"/>
              <w:spacing w:before="49"/>
              <w:ind w:left="734"/>
              <w:jc w:val="left"/>
              <w:rPr>
                <w:sz w:val="18"/>
              </w:rPr>
            </w:pPr>
            <w:r>
              <w:rPr>
                <w:sz w:val="18"/>
              </w:rPr>
              <w:t>Tenant 8</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103.0 - 107.0 (WS)</w:t>
            </w:r>
          </w:p>
        </w:tc>
      </w:tr>
      <w:tr>
        <w:trPr>
          <w:trHeight w:val="309"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Q2, 2019</w:t>
            </w:r>
          </w:p>
        </w:tc>
        <w:tc>
          <w:tcPr>
            <w:tcW w:w="1996" w:type="dxa"/>
            <w:tcBorders>
              <w:top w:val="single" w:sz="6" w:space="0" w:color="69BD28"/>
              <w:bottom w:val="single" w:sz="6" w:space="0" w:color="69BD28"/>
            </w:tcBorders>
          </w:tcPr>
          <w:p>
            <w:pPr>
              <w:pStyle w:val="TableParagraph"/>
              <w:spacing w:before="49"/>
              <w:ind w:left="511" w:right="648"/>
              <w:rPr>
                <w:sz w:val="18"/>
              </w:rPr>
            </w:pPr>
            <w:r>
              <w:rPr>
                <w:w w:val="110"/>
                <w:sz w:val="18"/>
              </w:rPr>
              <w:t>35,000</w:t>
            </w:r>
          </w:p>
        </w:tc>
        <w:tc>
          <w:tcPr>
            <w:tcW w:w="1890" w:type="dxa"/>
            <w:tcBorders>
              <w:top w:val="single" w:sz="6" w:space="0" w:color="69BD28"/>
              <w:bottom w:val="single" w:sz="6" w:space="0" w:color="69BD28"/>
            </w:tcBorders>
          </w:tcPr>
          <w:p>
            <w:pPr>
              <w:pStyle w:val="TableParagraph"/>
              <w:spacing w:before="49"/>
              <w:ind w:left="734"/>
              <w:jc w:val="left"/>
              <w:rPr>
                <w:sz w:val="18"/>
              </w:rPr>
            </w:pPr>
            <w:r>
              <w:rPr>
                <w:sz w:val="18"/>
              </w:rPr>
              <w:t>Tenant 9</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105.0 - 110.0 (WS)</w:t>
            </w:r>
          </w:p>
        </w:tc>
      </w:tr>
      <w:tr>
        <w:trPr>
          <w:trHeight w:val="308"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Q2, 2019</w:t>
            </w:r>
          </w:p>
        </w:tc>
        <w:tc>
          <w:tcPr>
            <w:tcW w:w="1996" w:type="dxa"/>
            <w:tcBorders>
              <w:top w:val="single" w:sz="6" w:space="0" w:color="69BD28"/>
              <w:bottom w:val="single" w:sz="6" w:space="0" w:color="69BD28"/>
            </w:tcBorders>
          </w:tcPr>
          <w:p>
            <w:pPr>
              <w:pStyle w:val="TableParagraph"/>
              <w:spacing w:before="49"/>
              <w:ind w:left="511" w:right="648"/>
              <w:rPr>
                <w:sz w:val="18"/>
              </w:rPr>
            </w:pPr>
            <w:r>
              <w:rPr>
                <w:w w:val="110"/>
                <w:sz w:val="18"/>
              </w:rPr>
              <w:t>15,000</w:t>
            </w:r>
          </w:p>
        </w:tc>
        <w:tc>
          <w:tcPr>
            <w:tcW w:w="1890" w:type="dxa"/>
            <w:tcBorders>
              <w:top w:val="single" w:sz="6" w:space="0" w:color="69BD28"/>
              <w:bottom w:val="single" w:sz="6" w:space="0" w:color="69BD28"/>
            </w:tcBorders>
          </w:tcPr>
          <w:p>
            <w:pPr>
              <w:pStyle w:val="TableParagraph"/>
              <w:spacing w:before="49"/>
              <w:ind w:left="681"/>
              <w:jc w:val="left"/>
              <w:rPr>
                <w:sz w:val="18"/>
              </w:rPr>
            </w:pPr>
            <w:r>
              <w:rPr>
                <w:sz w:val="18"/>
              </w:rPr>
              <w:t>Tenant 10</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88.0 - 92.0 (WS)</w:t>
            </w:r>
          </w:p>
        </w:tc>
      </w:tr>
      <w:tr>
        <w:trPr>
          <w:trHeight w:val="309"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Q1, 2019</w:t>
            </w:r>
          </w:p>
        </w:tc>
        <w:tc>
          <w:tcPr>
            <w:tcW w:w="1996" w:type="dxa"/>
            <w:tcBorders>
              <w:top w:val="single" w:sz="6" w:space="0" w:color="69BD28"/>
              <w:bottom w:val="single" w:sz="6" w:space="0" w:color="69BD28"/>
            </w:tcBorders>
          </w:tcPr>
          <w:p>
            <w:pPr>
              <w:pStyle w:val="TableParagraph"/>
              <w:spacing w:before="49"/>
              <w:ind w:left="511" w:right="648"/>
              <w:rPr>
                <w:sz w:val="18"/>
              </w:rPr>
            </w:pPr>
            <w:r>
              <w:rPr>
                <w:w w:val="110"/>
                <w:sz w:val="18"/>
              </w:rPr>
              <w:t>35,000</w:t>
            </w:r>
          </w:p>
        </w:tc>
        <w:tc>
          <w:tcPr>
            <w:tcW w:w="1890" w:type="dxa"/>
            <w:tcBorders>
              <w:top w:val="single" w:sz="6" w:space="0" w:color="69BD28"/>
              <w:bottom w:val="single" w:sz="6" w:space="0" w:color="69BD28"/>
            </w:tcBorders>
          </w:tcPr>
          <w:p>
            <w:pPr>
              <w:pStyle w:val="TableParagraph"/>
              <w:spacing w:before="49"/>
              <w:ind w:left="681"/>
              <w:jc w:val="left"/>
              <w:rPr>
                <w:sz w:val="18"/>
              </w:rPr>
            </w:pPr>
            <w:r>
              <w:rPr>
                <w:sz w:val="18"/>
              </w:rPr>
              <w:t>Tenant 11</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108.0 - 112.0 (WS)</w:t>
            </w:r>
          </w:p>
        </w:tc>
      </w:tr>
      <w:tr>
        <w:trPr>
          <w:trHeight w:val="308" w:hRule="atLeast"/>
        </w:trPr>
        <w:tc>
          <w:tcPr>
            <w:tcW w:w="2666" w:type="dxa"/>
            <w:tcBorders>
              <w:top w:val="single" w:sz="6" w:space="0" w:color="69BD28"/>
              <w:bottom w:val="single" w:sz="6" w:space="0" w:color="69BD28"/>
            </w:tcBorders>
          </w:tcPr>
          <w:p>
            <w:pPr>
              <w:pStyle w:val="TableParagraph"/>
              <w:spacing w:before="49"/>
              <w:ind w:left="352" w:right="537"/>
              <w:rPr>
                <w:sz w:val="18"/>
              </w:rPr>
            </w:pPr>
            <w:r>
              <w:rPr>
                <w:w w:val="110"/>
                <w:sz w:val="18"/>
              </w:rPr>
              <w:t>Q1, 2019</w:t>
            </w:r>
          </w:p>
        </w:tc>
        <w:tc>
          <w:tcPr>
            <w:tcW w:w="1996" w:type="dxa"/>
            <w:tcBorders>
              <w:top w:val="single" w:sz="6" w:space="0" w:color="69BD28"/>
              <w:bottom w:val="single" w:sz="6" w:space="0" w:color="69BD28"/>
            </w:tcBorders>
          </w:tcPr>
          <w:p>
            <w:pPr>
              <w:pStyle w:val="TableParagraph"/>
              <w:spacing w:before="49"/>
              <w:ind w:left="511" w:right="648"/>
              <w:rPr>
                <w:sz w:val="18"/>
              </w:rPr>
            </w:pPr>
            <w:r>
              <w:rPr>
                <w:w w:val="110"/>
                <w:sz w:val="18"/>
              </w:rPr>
              <w:t>45,000</w:t>
            </w:r>
          </w:p>
        </w:tc>
        <w:tc>
          <w:tcPr>
            <w:tcW w:w="1890" w:type="dxa"/>
            <w:tcBorders>
              <w:top w:val="single" w:sz="6" w:space="0" w:color="69BD28"/>
              <w:bottom w:val="single" w:sz="6" w:space="0" w:color="69BD28"/>
            </w:tcBorders>
          </w:tcPr>
          <w:p>
            <w:pPr>
              <w:pStyle w:val="TableParagraph"/>
              <w:spacing w:before="49"/>
              <w:ind w:left="681"/>
              <w:jc w:val="left"/>
              <w:rPr>
                <w:sz w:val="18"/>
              </w:rPr>
            </w:pPr>
            <w:r>
              <w:rPr>
                <w:sz w:val="18"/>
              </w:rPr>
              <w:t>Tenant 12</w:t>
            </w:r>
          </w:p>
        </w:tc>
        <w:tc>
          <w:tcPr>
            <w:tcW w:w="3935" w:type="dxa"/>
            <w:tcBorders>
              <w:top w:val="single" w:sz="6" w:space="0" w:color="69BD28"/>
              <w:bottom w:val="single" w:sz="6" w:space="0" w:color="69BD28"/>
            </w:tcBorders>
          </w:tcPr>
          <w:p>
            <w:pPr>
              <w:pStyle w:val="TableParagraph"/>
              <w:spacing w:before="49"/>
              <w:ind w:left="367" w:right="155"/>
              <w:rPr>
                <w:sz w:val="18"/>
              </w:rPr>
            </w:pPr>
            <w:r>
              <w:rPr>
                <w:w w:val="105"/>
                <w:sz w:val="18"/>
              </w:rPr>
              <w:t>108.0 - 112.0 (WS)</w:t>
            </w:r>
          </w:p>
        </w:tc>
      </w:tr>
    </w:tbl>
    <w:p>
      <w:pPr>
        <w:spacing w:before="116"/>
        <w:ind w:left="240" w:right="0" w:firstLine="0"/>
        <w:jc w:val="left"/>
        <w:rPr>
          <w:i/>
          <w:sz w:val="18"/>
        </w:rPr>
      </w:pPr>
      <w:r>
        <w:rPr>
          <w:i/>
          <w:sz w:val="18"/>
        </w:rPr>
        <w:t>Source: CBRE Research</w:t>
      </w:r>
    </w:p>
    <w:p>
      <w:pPr>
        <w:spacing w:before="72"/>
        <w:ind w:left="240" w:right="0" w:firstLine="0"/>
        <w:jc w:val="left"/>
        <w:rPr>
          <w:i/>
          <w:sz w:val="18"/>
        </w:rPr>
      </w:pPr>
      <w:r>
        <w:rPr>
          <w:i/>
          <w:sz w:val="18"/>
        </w:rPr>
        <w:t>* Rent is gross rent (viz. exclusive of property tax &amp; insurance) on leasable area basis; Note: WS </w:t>
      </w:r>
      <w:r>
        <w:rPr>
          <w:i/>
          <w:w w:val="105"/>
          <w:sz w:val="18"/>
        </w:rPr>
        <w:t>– </w:t>
      </w:r>
      <w:r>
        <w:rPr>
          <w:i/>
          <w:sz w:val="18"/>
        </w:rPr>
        <w:t>Warm shell; FF </w:t>
      </w:r>
      <w:r>
        <w:rPr>
          <w:i/>
          <w:w w:val="105"/>
          <w:sz w:val="18"/>
        </w:rPr>
        <w:t>– </w:t>
      </w:r>
      <w:r>
        <w:rPr>
          <w:i/>
          <w:sz w:val="18"/>
        </w:rPr>
        <w:t>Fully Fitted-out</w:t>
      </w:r>
    </w:p>
    <w:p>
      <w:pPr>
        <w:pStyle w:val="BodyText"/>
        <w:spacing w:before="11"/>
        <w:rPr>
          <w:i/>
          <w:sz w:val="26"/>
        </w:rPr>
      </w:pPr>
    </w:p>
    <w:p>
      <w:pPr>
        <w:pStyle w:val="BodyText"/>
        <w:spacing w:line="321" w:lineRule="auto"/>
        <w:ind w:left="802" w:right="235"/>
        <w:jc w:val="both"/>
      </w:pPr>
      <w:r>
        <w:rPr/>
        <w:t>Given the location advantage, presence of a well-developed social infrastructure and nature of operations by tenants in the Extended Business District (EBD), demand for commercial real estate is expected to be stable in this sub market. EBD is expected to continue as a preferred destination for occupiers engaged in activates higher in the value chain. Due to limited space availability in the operational</w:t>
      </w:r>
      <w:r>
        <w:rPr>
          <w:spacing w:val="-15"/>
        </w:rPr>
        <w:t> </w:t>
      </w:r>
      <w:r>
        <w:rPr/>
        <w:t>buildings</w:t>
      </w:r>
      <w:r>
        <w:rPr>
          <w:spacing w:val="-14"/>
        </w:rPr>
        <w:t> </w:t>
      </w:r>
      <w:r>
        <w:rPr/>
        <w:t>and</w:t>
      </w:r>
      <w:r>
        <w:rPr>
          <w:spacing w:val="-14"/>
        </w:rPr>
        <w:t> </w:t>
      </w:r>
      <w:r>
        <w:rPr/>
        <w:t>sustained</w:t>
      </w:r>
      <w:r>
        <w:rPr>
          <w:spacing w:val="-13"/>
        </w:rPr>
        <w:t> </w:t>
      </w:r>
      <w:r>
        <w:rPr/>
        <w:t>occupier</w:t>
      </w:r>
      <w:r>
        <w:rPr>
          <w:spacing w:val="-15"/>
        </w:rPr>
        <w:t> </w:t>
      </w:r>
      <w:r>
        <w:rPr/>
        <w:t>interest</w:t>
      </w:r>
      <w:r>
        <w:rPr>
          <w:spacing w:val="-14"/>
        </w:rPr>
        <w:t> </w:t>
      </w:r>
      <w:r>
        <w:rPr/>
        <w:t>in</w:t>
      </w:r>
      <w:r>
        <w:rPr>
          <w:spacing w:val="-15"/>
        </w:rPr>
        <w:t> </w:t>
      </w:r>
      <w:r>
        <w:rPr/>
        <w:t>the</w:t>
      </w:r>
      <w:r>
        <w:rPr>
          <w:spacing w:val="-15"/>
        </w:rPr>
        <w:t> </w:t>
      </w:r>
      <w:r>
        <w:rPr/>
        <w:t>market,</w:t>
      </w:r>
      <w:r>
        <w:rPr>
          <w:spacing w:val="-14"/>
        </w:rPr>
        <w:t> </w:t>
      </w:r>
      <w:r>
        <w:rPr/>
        <w:t>future</w:t>
      </w:r>
      <w:r>
        <w:rPr>
          <w:spacing w:val="-13"/>
        </w:rPr>
        <w:t> </w:t>
      </w:r>
      <w:r>
        <w:rPr/>
        <w:t>churn</w:t>
      </w:r>
      <w:r>
        <w:rPr>
          <w:spacing w:val="-15"/>
        </w:rPr>
        <w:t> </w:t>
      </w:r>
      <w:r>
        <w:rPr/>
        <w:t>and</w:t>
      </w:r>
      <w:r>
        <w:rPr>
          <w:spacing w:val="-14"/>
        </w:rPr>
        <w:t> </w:t>
      </w:r>
      <w:r>
        <w:rPr/>
        <w:t>space</w:t>
      </w:r>
      <w:r>
        <w:rPr>
          <w:spacing w:val="-14"/>
        </w:rPr>
        <w:t> </w:t>
      </w:r>
      <w:r>
        <w:rPr/>
        <w:t>as</w:t>
      </w:r>
      <w:r>
        <w:rPr>
          <w:spacing w:val="-14"/>
        </w:rPr>
        <w:t> </w:t>
      </w:r>
      <w:r>
        <w:rPr/>
        <w:t>part</w:t>
      </w:r>
      <w:r>
        <w:rPr>
          <w:spacing w:val="-14"/>
        </w:rPr>
        <w:t> </w:t>
      </w:r>
      <w:r>
        <w:rPr/>
        <w:t>of under</w:t>
      </w:r>
      <w:r>
        <w:rPr>
          <w:spacing w:val="-19"/>
        </w:rPr>
        <w:t> </w:t>
      </w:r>
      <w:r>
        <w:rPr/>
        <w:t>construction</w:t>
      </w:r>
      <w:r>
        <w:rPr>
          <w:spacing w:val="-18"/>
        </w:rPr>
        <w:t> </w:t>
      </w:r>
      <w:r>
        <w:rPr/>
        <w:t>developments</w:t>
      </w:r>
      <w:r>
        <w:rPr>
          <w:spacing w:val="-17"/>
        </w:rPr>
        <w:t> </w:t>
      </w:r>
      <w:r>
        <w:rPr/>
        <w:t>are</w:t>
      </w:r>
      <w:r>
        <w:rPr>
          <w:spacing w:val="-18"/>
        </w:rPr>
        <w:t> </w:t>
      </w:r>
      <w:r>
        <w:rPr/>
        <w:t>expected</w:t>
      </w:r>
      <w:r>
        <w:rPr>
          <w:spacing w:val="-17"/>
        </w:rPr>
        <w:t> </w:t>
      </w:r>
      <w:r>
        <w:rPr/>
        <w:t>to</w:t>
      </w:r>
      <w:r>
        <w:rPr>
          <w:spacing w:val="-20"/>
        </w:rPr>
        <w:t> </w:t>
      </w:r>
      <w:r>
        <w:rPr/>
        <w:t>cater</w:t>
      </w:r>
      <w:r>
        <w:rPr>
          <w:spacing w:val="-18"/>
        </w:rPr>
        <w:t> </w:t>
      </w:r>
      <w:r>
        <w:rPr/>
        <w:t>to</w:t>
      </w:r>
      <w:r>
        <w:rPr>
          <w:spacing w:val="-18"/>
        </w:rPr>
        <w:t> </w:t>
      </w:r>
      <w:r>
        <w:rPr/>
        <w:t>future</w:t>
      </w:r>
      <w:r>
        <w:rPr>
          <w:spacing w:val="-17"/>
        </w:rPr>
        <w:t> </w:t>
      </w:r>
      <w:r>
        <w:rPr/>
        <w:t>occupier</w:t>
      </w:r>
      <w:r>
        <w:rPr>
          <w:spacing w:val="-18"/>
        </w:rPr>
        <w:t> </w:t>
      </w:r>
      <w:r>
        <w:rPr/>
        <w:t>interests</w:t>
      </w:r>
      <w:r>
        <w:rPr>
          <w:spacing w:val="-16"/>
        </w:rPr>
        <w:t> </w:t>
      </w:r>
      <w:r>
        <w:rPr/>
        <w:t>in</w:t>
      </w:r>
      <w:r>
        <w:rPr>
          <w:spacing w:val="-18"/>
        </w:rPr>
        <w:t> </w:t>
      </w:r>
      <w:r>
        <w:rPr/>
        <w:t>EBD.</w:t>
      </w:r>
    </w:p>
    <w:p>
      <w:pPr>
        <w:pStyle w:val="BodyText"/>
        <w:spacing w:before="11"/>
        <w:rPr>
          <w:sz w:val="20"/>
        </w:rPr>
      </w:pPr>
    </w:p>
    <w:p>
      <w:pPr>
        <w:pStyle w:val="BodyText"/>
        <w:spacing w:line="321" w:lineRule="auto"/>
        <w:ind w:left="802" w:right="237"/>
        <w:jc w:val="both"/>
      </w:pPr>
      <w:r>
        <w:rPr/>
        <w:t>Rent</w:t>
      </w:r>
      <w:r>
        <w:rPr>
          <w:spacing w:val="-40"/>
        </w:rPr>
        <w:t> </w:t>
      </w:r>
      <w:r>
        <w:rPr/>
        <w:t>will</w:t>
      </w:r>
      <w:r>
        <w:rPr>
          <w:spacing w:val="-41"/>
        </w:rPr>
        <w:t> </w:t>
      </w:r>
      <w:r>
        <w:rPr/>
        <w:t>continue</w:t>
      </w:r>
      <w:r>
        <w:rPr>
          <w:spacing w:val="-40"/>
        </w:rPr>
        <w:t> </w:t>
      </w:r>
      <w:r>
        <w:rPr/>
        <w:t>to</w:t>
      </w:r>
      <w:r>
        <w:rPr>
          <w:spacing w:val="-40"/>
        </w:rPr>
        <w:t> </w:t>
      </w:r>
      <w:r>
        <w:rPr/>
        <w:t>witness</w:t>
      </w:r>
      <w:r>
        <w:rPr>
          <w:spacing w:val="-39"/>
        </w:rPr>
        <w:t> </w:t>
      </w:r>
      <w:r>
        <w:rPr/>
        <w:t>stable</w:t>
      </w:r>
      <w:r>
        <w:rPr>
          <w:spacing w:val="-40"/>
        </w:rPr>
        <w:t> </w:t>
      </w:r>
      <w:r>
        <w:rPr/>
        <w:t>appreciation,</w:t>
      </w:r>
      <w:r>
        <w:rPr>
          <w:spacing w:val="-41"/>
        </w:rPr>
        <w:t> </w:t>
      </w:r>
      <w:r>
        <w:rPr/>
        <w:t>as</w:t>
      </w:r>
      <w:r>
        <w:rPr>
          <w:spacing w:val="-39"/>
        </w:rPr>
        <w:t> </w:t>
      </w:r>
      <w:r>
        <w:rPr/>
        <w:t>prominent</w:t>
      </w:r>
      <w:r>
        <w:rPr>
          <w:spacing w:val="-40"/>
        </w:rPr>
        <w:t> </w:t>
      </w:r>
      <w:r>
        <w:rPr/>
        <w:t>tenants</w:t>
      </w:r>
      <w:r>
        <w:rPr>
          <w:spacing w:val="-40"/>
        </w:rPr>
        <w:t> </w:t>
      </w:r>
      <w:r>
        <w:rPr/>
        <w:t>are</w:t>
      </w:r>
      <w:r>
        <w:rPr>
          <w:spacing w:val="-40"/>
        </w:rPr>
        <w:t> </w:t>
      </w:r>
      <w:r>
        <w:rPr/>
        <w:t>expected</w:t>
      </w:r>
      <w:r>
        <w:rPr>
          <w:spacing w:val="-40"/>
        </w:rPr>
        <w:t> </w:t>
      </w:r>
      <w:r>
        <w:rPr/>
        <w:t>to</w:t>
      </w:r>
      <w:r>
        <w:rPr>
          <w:spacing w:val="-40"/>
        </w:rPr>
        <w:t> </w:t>
      </w:r>
      <w:r>
        <w:rPr/>
        <w:t>continue</w:t>
      </w:r>
      <w:r>
        <w:rPr>
          <w:spacing w:val="-40"/>
        </w:rPr>
        <w:t> </w:t>
      </w:r>
      <w:r>
        <w:rPr/>
        <w:t>to</w:t>
      </w:r>
      <w:r>
        <w:rPr>
          <w:spacing w:val="-40"/>
        </w:rPr>
        <w:t> </w:t>
      </w:r>
      <w:r>
        <w:rPr/>
        <w:t>carry out</w:t>
      </w:r>
      <w:r>
        <w:rPr>
          <w:spacing w:val="-35"/>
        </w:rPr>
        <w:t> </w:t>
      </w:r>
      <w:r>
        <w:rPr/>
        <w:t>their</w:t>
      </w:r>
      <w:r>
        <w:rPr>
          <w:spacing w:val="-35"/>
        </w:rPr>
        <w:t> </w:t>
      </w:r>
      <w:r>
        <w:rPr/>
        <w:t>high-value</w:t>
      </w:r>
      <w:r>
        <w:rPr>
          <w:spacing w:val="-35"/>
        </w:rPr>
        <w:t> </w:t>
      </w:r>
      <w:r>
        <w:rPr/>
        <w:t>operations</w:t>
      </w:r>
      <w:r>
        <w:rPr>
          <w:spacing w:val="-34"/>
        </w:rPr>
        <w:t> </w:t>
      </w:r>
      <w:r>
        <w:rPr/>
        <w:t>from</w:t>
      </w:r>
      <w:r>
        <w:rPr>
          <w:spacing w:val="-35"/>
        </w:rPr>
        <w:t> </w:t>
      </w:r>
      <w:r>
        <w:rPr/>
        <w:t>EBD</w:t>
      </w:r>
      <w:r>
        <w:rPr>
          <w:spacing w:val="-33"/>
        </w:rPr>
        <w:t> </w:t>
      </w:r>
      <w:r>
        <w:rPr/>
        <w:t>sub</w:t>
      </w:r>
      <w:r>
        <w:rPr>
          <w:spacing w:val="-34"/>
        </w:rPr>
        <w:t> </w:t>
      </w:r>
      <w:r>
        <w:rPr/>
        <w:t>market,</w:t>
      </w:r>
      <w:r>
        <w:rPr>
          <w:spacing w:val="-34"/>
        </w:rPr>
        <w:t> </w:t>
      </w:r>
      <w:r>
        <w:rPr/>
        <w:t>hence</w:t>
      </w:r>
      <w:r>
        <w:rPr>
          <w:spacing w:val="-35"/>
        </w:rPr>
        <w:t> </w:t>
      </w:r>
      <w:r>
        <w:rPr/>
        <w:t>resulting</w:t>
      </w:r>
      <w:r>
        <w:rPr>
          <w:spacing w:val="-35"/>
        </w:rPr>
        <w:t> </w:t>
      </w:r>
      <w:r>
        <w:rPr/>
        <w:t>in</w:t>
      </w:r>
      <w:r>
        <w:rPr>
          <w:spacing w:val="-35"/>
        </w:rPr>
        <w:t> </w:t>
      </w:r>
      <w:r>
        <w:rPr/>
        <w:t>limited</w:t>
      </w:r>
      <w:r>
        <w:rPr>
          <w:spacing w:val="-34"/>
        </w:rPr>
        <w:t> </w:t>
      </w:r>
      <w:r>
        <w:rPr/>
        <w:t>churn</w:t>
      </w:r>
      <w:r>
        <w:rPr>
          <w:spacing w:val="-35"/>
        </w:rPr>
        <w:t> </w:t>
      </w:r>
      <w:r>
        <w:rPr/>
        <w:t>and</w:t>
      </w:r>
      <w:r>
        <w:rPr>
          <w:spacing w:val="-34"/>
        </w:rPr>
        <w:t> </w:t>
      </w:r>
      <w:r>
        <w:rPr/>
        <w:t>lower</w:t>
      </w:r>
      <w:r>
        <w:rPr>
          <w:spacing w:val="-35"/>
        </w:rPr>
        <w:t> </w:t>
      </w:r>
      <w:r>
        <w:rPr/>
        <w:t>vacancy pressures.</w:t>
      </w:r>
    </w:p>
    <w:p>
      <w:pPr>
        <w:spacing w:after="0" w:line="321" w:lineRule="auto"/>
        <w:jc w:val="both"/>
        <w:sectPr>
          <w:pgSz w:w="11910" w:h="16840"/>
          <w:pgMar w:header="720" w:footer="862" w:top="1660" w:bottom="1060" w:left="480" w:right="480"/>
        </w:sectPr>
      </w:pPr>
    </w:p>
    <w:p>
      <w:pPr>
        <w:pStyle w:val="BodyText"/>
        <w:spacing w:before="7"/>
        <w:rPr>
          <w:sz w:val="9"/>
        </w:rPr>
      </w:pPr>
    </w:p>
    <w:p>
      <w:pPr>
        <w:pStyle w:val="ListParagraph"/>
        <w:numPr>
          <w:ilvl w:val="1"/>
          <w:numId w:val="14"/>
        </w:numPr>
        <w:tabs>
          <w:tab w:pos="817" w:val="left" w:leader="none"/>
        </w:tabs>
        <w:spacing w:line="240" w:lineRule="auto" w:before="106" w:after="0"/>
        <w:ind w:left="816" w:right="0" w:hanging="577"/>
        <w:jc w:val="left"/>
        <w:rPr>
          <w:color w:val="1F6647"/>
          <w:sz w:val="22"/>
        </w:rPr>
      </w:pPr>
      <w:bookmarkStart w:name="_bookmark313" w:id="611"/>
      <w:bookmarkEnd w:id="611"/>
      <w:r>
        <w:rPr/>
      </w:r>
      <w:bookmarkStart w:name="_bookmark313" w:id="612"/>
      <w:bookmarkEnd w:id="612"/>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BodyText"/>
        <w:spacing w:before="3"/>
        <w:rPr>
          <w:sz w:val="28"/>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14" w:id="613"/>
      <w:bookmarkEnd w:id="613"/>
      <w:r>
        <w:rPr/>
      </w:r>
      <w:bookmarkStart w:name="_bookmark314" w:id="614"/>
      <w:bookmarkEnd w:id="614"/>
      <w:r>
        <w:rPr>
          <w:color w:val="1F664D"/>
          <w:w w:val="105"/>
          <w:sz w:val="22"/>
        </w:rPr>
        <w:t>A</w:t>
      </w:r>
      <w:r>
        <w:rPr>
          <w:color w:val="1F664D"/>
          <w:w w:val="105"/>
          <w:sz w:val="22"/>
        </w:rPr>
        <w:t>dopted</w:t>
      </w:r>
      <w:r>
        <w:rPr>
          <w:color w:val="1F664D"/>
          <w:spacing w:val="-3"/>
          <w:w w:val="105"/>
          <w:sz w:val="22"/>
        </w:rPr>
        <w:t> </w:t>
      </w:r>
      <w:r>
        <w:rPr>
          <w:color w:val="1F664D"/>
          <w:w w:val="105"/>
          <w:sz w:val="22"/>
        </w:rPr>
        <w:t>Methodology</w:t>
      </w:r>
    </w:p>
    <w:p>
      <w:pPr>
        <w:pStyle w:val="BodyText"/>
        <w:spacing w:line="321" w:lineRule="auto" w:before="208"/>
        <w:ind w:left="780" w:right="236"/>
        <w:jc w:val="both"/>
      </w:pPr>
      <w:r>
        <w:rPr/>
        <w:t>We</w:t>
      </w:r>
      <w:r>
        <w:rPr>
          <w:spacing w:val="-27"/>
        </w:rPr>
        <w:t> </w:t>
      </w:r>
      <w:r>
        <w:rPr/>
        <w:t>acknowledge</w:t>
      </w:r>
      <w:r>
        <w:rPr>
          <w:spacing w:val="-27"/>
        </w:rPr>
        <w:t> </w:t>
      </w:r>
      <w:r>
        <w:rPr/>
        <w:t>that</w:t>
      </w:r>
      <w:r>
        <w:rPr>
          <w:spacing w:val="-26"/>
        </w:rPr>
        <w:t> </w:t>
      </w:r>
      <w:r>
        <w:rPr/>
        <w:t>the</w:t>
      </w:r>
      <w:r>
        <w:rPr>
          <w:spacing w:val="-27"/>
        </w:rPr>
        <w:t> </w:t>
      </w:r>
      <w:r>
        <w:rPr/>
        <w:t>approaches</w:t>
      </w:r>
      <w:r>
        <w:rPr>
          <w:spacing w:val="-26"/>
        </w:rPr>
        <w:t> </w:t>
      </w:r>
      <w:r>
        <w:rPr/>
        <w:t>to</w:t>
      </w:r>
      <w:r>
        <w:rPr>
          <w:spacing w:val="-26"/>
        </w:rPr>
        <w:t> </w:t>
      </w:r>
      <w:r>
        <w:rPr/>
        <w:t>valuation</w:t>
      </w:r>
      <w:r>
        <w:rPr>
          <w:spacing w:val="-24"/>
        </w:rPr>
        <w:t> </w:t>
      </w:r>
      <w:r>
        <w:rPr/>
        <w:t>differ</w:t>
      </w:r>
      <w:r>
        <w:rPr>
          <w:spacing w:val="-27"/>
        </w:rPr>
        <w:t> </w:t>
      </w:r>
      <w:r>
        <w:rPr/>
        <w:t>considerably</w:t>
      </w:r>
      <w:r>
        <w:rPr>
          <w:spacing w:val="-26"/>
        </w:rPr>
        <w:t> </w:t>
      </w:r>
      <w:r>
        <w:rPr/>
        <w:t>and</w:t>
      </w:r>
      <w:r>
        <w:rPr>
          <w:spacing w:val="-26"/>
        </w:rPr>
        <w:t> </w:t>
      </w:r>
      <w:r>
        <w:rPr/>
        <w:t>that</w:t>
      </w:r>
      <w:r>
        <w:rPr>
          <w:spacing w:val="-27"/>
        </w:rPr>
        <w:t> </w:t>
      </w:r>
      <w:r>
        <w:rPr/>
        <w:t>for</w:t>
      </w:r>
      <w:r>
        <w:rPr>
          <w:spacing w:val="-27"/>
        </w:rPr>
        <w:t> </w:t>
      </w:r>
      <w:r>
        <w:rPr/>
        <w:t>a</w:t>
      </w:r>
      <w:r>
        <w:rPr>
          <w:spacing w:val="-27"/>
        </w:rPr>
        <w:t> </w:t>
      </w:r>
      <w:r>
        <w:rPr/>
        <w:t>particular</w:t>
      </w:r>
      <w:r>
        <w:rPr>
          <w:spacing w:val="-26"/>
        </w:rPr>
        <w:t> </w:t>
      </w:r>
      <w:r>
        <w:rPr/>
        <w:t>purpose, alternative</w:t>
      </w:r>
      <w:r>
        <w:rPr>
          <w:spacing w:val="-19"/>
        </w:rPr>
        <w:t> </w:t>
      </w:r>
      <w:r>
        <w:rPr/>
        <w:t>approaches</w:t>
      </w:r>
      <w:r>
        <w:rPr>
          <w:spacing w:val="-18"/>
        </w:rPr>
        <w:t> </w:t>
      </w:r>
      <w:r>
        <w:rPr/>
        <w:t>to</w:t>
      </w:r>
      <w:r>
        <w:rPr>
          <w:spacing w:val="-19"/>
        </w:rPr>
        <w:t> </w:t>
      </w:r>
      <w:r>
        <w:rPr/>
        <w:t>the</w:t>
      </w:r>
      <w:r>
        <w:rPr>
          <w:spacing w:val="-18"/>
        </w:rPr>
        <w:t> </w:t>
      </w:r>
      <w:r>
        <w:rPr/>
        <w:t>valuation</w:t>
      </w:r>
      <w:r>
        <w:rPr>
          <w:spacing w:val="-19"/>
        </w:rPr>
        <w:t> </w:t>
      </w:r>
      <w:r>
        <w:rPr/>
        <w:t>can</w:t>
      </w:r>
      <w:r>
        <w:rPr>
          <w:spacing w:val="-18"/>
        </w:rPr>
        <w:t> </w:t>
      </w:r>
      <w:r>
        <w:rPr/>
        <w:t>be</w:t>
      </w:r>
      <w:r>
        <w:rPr>
          <w:spacing w:val="-19"/>
        </w:rPr>
        <w:t> </w:t>
      </w:r>
      <w:r>
        <w:rPr/>
        <w:t>utilized</w:t>
      </w:r>
      <w:r>
        <w:rPr>
          <w:spacing w:val="-18"/>
        </w:rPr>
        <w:t> </w:t>
      </w:r>
      <w:r>
        <w:rPr/>
        <w:t>subject</w:t>
      </w:r>
      <w:r>
        <w:rPr>
          <w:spacing w:val="-19"/>
        </w:rPr>
        <w:t> </w:t>
      </w:r>
      <w:r>
        <w:rPr/>
        <w:t>to</w:t>
      </w:r>
      <w:r>
        <w:rPr>
          <w:spacing w:val="-18"/>
        </w:rPr>
        <w:t> </w:t>
      </w:r>
      <w:r>
        <w:rPr/>
        <w:t>the</w:t>
      </w:r>
      <w:r>
        <w:rPr>
          <w:spacing w:val="-19"/>
        </w:rPr>
        <w:t> </w:t>
      </w:r>
      <w:r>
        <w:rPr/>
        <w:t>Client’s</w:t>
      </w:r>
      <w:r>
        <w:rPr>
          <w:spacing w:val="-18"/>
        </w:rPr>
        <w:t> </w:t>
      </w:r>
      <w:r>
        <w:rPr/>
        <w:t>consultations</w:t>
      </w:r>
      <w:r>
        <w:rPr>
          <w:spacing w:val="-18"/>
        </w:rPr>
        <w:t> </w:t>
      </w:r>
      <w:r>
        <w:rPr/>
        <w:t>and</w:t>
      </w:r>
      <w:r>
        <w:rPr>
          <w:spacing w:val="-19"/>
        </w:rPr>
        <w:t> </w:t>
      </w:r>
      <w:r>
        <w:rPr/>
        <w:t>giving due</w:t>
      </w:r>
      <w:r>
        <w:rPr>
          <w:spacing w:val="-37"/>
        </w:rPr>
        <w:t> </w:t>
      </w:r>
      <w:r>
        <w:rPr/>
        <w:t>consideration</w:t>
      </w:r>
      <w:r>
        <w:rPr>
          <w:spacing w:val="-36"/>
        </w:rPr>
        <w:t> </w:t>
      </w:r>
      <w:r>
        <w:rPr/>
        <w:t>to</w:t>
      </w:r>
      <w:r>
        <w:rPr>
          <w:spacing w:val="-35"/>
        </w:rPr>
        <w:t> </w:t>
      </w:r>
      <w:r>
        <w:rPr/>
        <w:t>the</w:t>
      </w:r>
      <w:r>
        <w:rPr>
          <w:spacing w:val="-37"/>
        </w:rPr>
        <w:t> </w:t>
      </w:r>
      <w:r>
        <w:rPr/>
        <w:t>Client’s</w:t>
      </w:r>
      <w:r>
        <w:rPr>
          <w:spacing w:val="-36"/>
        </w:rPr>
        <w:t> </w:t>
      </w:r>
      <w:r>
        <w:rPr/>
        <w:t>requirements.</w:t>
      </w:r>
      <w:r>
        <w:rPr>
          <w:spacing w:val="-35"/>
        </w:rPr>
        <w:t> </w:t>
      </w:r>
      <w:r>
        <w:rPr/>
        <w:t>Considering</w:t>
      </w:r>
      <w:r>
        <w:rPr>
          <w:spacing w:val="-37"/>
        </w:rPr>
        <w:t> </w:t>
      </w:r>
      <w:r>
        <w:rPr/>
        <w:t>the</w:t>
      </w:r>
      <w:r>
        <w:rPr>
          <w:spacing w:val="-36"/>
        </w:rPr>
        <w:t> </w:t>
      </w:r>
      <w:r>
        <w:rPr/>
        <w:t>objective</w:t>
      </w:r>
      <w:r>
        <w:rPr>
          <w:spacing w:val="-36"/>
        </w:rPr>
        <w:t> </w:t>
      </w:r>
      <w:r>
        <w:rPr/>
        <w:t>of</w:t>
      </w:r>
      <w:r>
        <w:rPr>
          <w:spacing w:val="-37"/>
        </w:rPr>
        <w:t> </w:t>
      </w:r>
      <w:r>
        <w:rPr/>
        <w:t>this</w:t>
      </w:r>
      <w:r>
        <w:rPr>
          <w:spacing w:val="-35"/>
        </w:rPr>
        <w:t> </w:t>
      </w:r>
      <w:r>
        <w:rPr/>
        <w:t>exercise</w:t>
      </w:r>
      <w:r>
        <w:rPr>
          <w:spacing w:val="-36"/>
        </w:rPr>
        <w:t> </w:t>
      </w:r>
      <w:r>
        <w:rPr/>
        <w:t>and</w:t>
      </w:r>
      <w:r>
        <w:rPr>
          <w:spacing w:val="-36"/>
        </w:rPr>
        <w:t> </w:t>
      </w:r>
      <w:r>
        <w:rPr/>
        <w:t>the</w:t>
      </w:r>
      <w:r>
        <w:rPr>
          <w:spacing w:val="-36"/>
        </w:rPr>
        <w:t> </w:t>
      </w:r>
      <w:r>
        <w:rPr/>
        <w:t>nature of</w:t>
      </w:r>
      <w:r>
        <w:rPr>
          <w:spacing w:val="-34"/>
        </w:rPr>
        <w:t> </w:t>
      </w:r>
      <w:r>
        <w:rPr/>
        <w:t>asset</w:t>
      </w:r>
      <w:r>
        <w:rPr>
          <w:spacing w:val="-33"/>
        </w:rPr>
        <w:t> </w:t>
      </w:r>
      <w:r>
        <w:rPr/>
        <w:t>involved,</w:t>
      </w:r>
      <w:r>
        <w:rPr>
          <w:spacing w:val="-33"/>
        </w:rPr>
        <w:t> </w:t>
      </w:r>
      <w:r>
        <w:rPr/>
        <w:t>the</w:t>
      </w:r>
      <w:r>
        <w:rPr>
          <w:spacing w:val="-34"/>
        </w:rPr>
        <w:t> </w:t>
      </w:r>
      <w:r>
        <w:rPr/>
        <w:t>value</w:t>
      </w:r>
      <w:r>
        <w:rPr>
          <w:spacing w:val="-34"/>
        </w:rPr>
        <w:t> </w:t>
      </w:r>
      <w:r>
        <w:rPr/>
        <w:t>of</w:t>
      </w:r>
      <w:r>
        <w:rPr>
          <w:spacing w:val="-33"/>
        </w:rPr>
        <w:t> </w:t>
      </w:r>
      <w:r>
        <w:rPr/>
        <w:t>the</w:t>
      </w:r>
      <w:r>
        <w:rPr>
          <w:spacing w:val="-34"/>
        </w:rPr>
        <w:t> </w:t>
      </w:r>
      <w:r>
        <w:rPr/>
        <w:t>subject</w:t>
      </w:r>
      <w:r>
        <w:rPr>
          <w:spacing w:val="-33"/>
        </w:rPr>
        <w:t> </w:t>
      </w:r>
      <w:r>
        <w:rPr/>
        <w:t>property</w:t>
      </w:r>
      <w:r>
        <w:rPr>
          <w:spacing w:val="-34"/>
        </w:rPr>
        <w:t> </w:t>
      </w:r>
      <w:r>
        <w:rPr/>
        <w:t>has</w:t>
      </w:r>
      <w:r>
        <w:rPr>
          <w:spacing w:val="-33"/>
        </w:rPr>
        <w:t> </w:t>
      </w:r>
      <w:r>
        <w:rPr/>
        <w:t>been</w:t>
      </w:r>
      <w:r>
        <w:rPr>
          <w:spacing w:val="-34"/>
        </w:rPr>
        <w:t> </w:t>
      </w:r>
      <w:r>
        <w:rPr/>
        <w:t>assessed</w:t>
      </w:r>
      <w:r>
        <w:rPr>
          <w:spacing w:val="-33"/>
        </w:rPr>
        <w:t> </w:t>
      </w:r>
      <w:r>
        <w:rPr/>
        <w:t>through</w:t>
      </w:r>
      <w:r>
        <w:rPr>
          <w:spacing w:val="-34"/>
        </w:rPr>
        <w:t> </w:t>
      </w:r>
      <w:r>
        <w:rPr/>
        <w:t>the</w:t>
      </w:r>
      <w:r>
        <w:rPr>
          <w:spacing w:val="-34"/>
        </w:rPr>
        <w:t> </w:t>
      </w:r>
      <w:r>
        <w:rPr/>
        <w:t>following</w:t>
      </w:r>
      <w:r>
        <w:rPr>
          <w:spacing w:val="-33"/>
        </w:rPr>
        <w:t> </w:t>
      </w:r>
      <w:r>
        <w:rPr/>
        <w:t>approaches:</w:t>
      </w:r>
    </w:p>
    <w:p>
      <w:pPr>
        <w:pStyle w:val="BodyText"/>
        <w:spacing w:before="4"/>
        <w:rPr>
          <w:sz w:val="20"/>
        </w:rPr>
      </w:pPr>
    </w:p>
    <w:tbl>
      <w:tblPr>
        <w:tblW w:w="0" w:type="auto"/>
        <w:jc w:val="left"/>
        <w:tblInd w:w="2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31"/>
        <w:gridCol w:w="3472"/>
        <w:gridCol w:w="3481"/>
      </w:tblGrid>
      <w:tr>
        <w:trPr>
          <w:trHeight w:val="432" w:hRule="atLeast"/>
        </w:trPr>
        <w:tc>
          <w:tcPr>
            <w:tcW w:w="3531" w:type="dxa"/>
            <w:tcBorders>
              <w:top w:val="single" w:sz="6" w:space="0" w:color="69BD28"/>
            </w:tcBorders>
            <w:shd w:val="clear" w:color="auto" w:fill="006A4D"/>
          </w:tcPr>
          <w:p>
            <w:pPr>
              <w:pStyle w:val="TableParagraph"/>
              <w:spacing w:before="111"/>
              <w:ind w:left="692" w:right="690"/>
              <w:rPr>
                <w:b/>
                <w:sz w:val="18"/>
              </w:rPr>
            </w:pPr>
            <w:r>
              <w:rPr>
                <w:b/>
                <w:color w:val="FFFFFF"/>
                <w:w w:val="105"/>
                <w:sz w:val="18"/>
              </w:rPr>
              <w:t>Particulars</w:t>
            </w:r>
          </w:p>
        </w:tc>
        <w:tc>
          <w:tcPr>
            <w:tcW w:w="3472" w:type="dxa"/>
            <w:tcBorders>
              <w:top w:val="single" w:sz="6" w:space="0" w:color="69BD28"/>
              <w:bottom w:val="single" w:sz="6" w:space="0" w:color="69BD28"/>
            </w:tcBorders>
            <w:shd w:val="clear" w:color="auto" w:fill="006A4D"/>
          </w:tcPr>
          <w:p>
            <w:pPr>
              <w:pStyle w:val="TableParagraph"/>
              <w:spacing w:before="111"/>
              <w:ind w:left="924"/>
              <w:jc w:val="left"/>
              <w:rPr>
                <w:b/>
                <w:sz w:val="18"/>
              </w:rPr>
            </w:pPr>
            <w:r>
              <w:rPr>
                <w:b/>
                <w:color w:val="FFFFFF"/>
                <w:w w:val="110"/>
                <w:sz w:val="18"/>
              </w:rPr>
              <w:t>Completed Blocks</w:t>
            </w:r>
          </w:p>
        </w:tc>
        <w:tc>
          <w:tcPr>
            <w:tcW w:w="3481" w:type="dxa"/>
            <w:tcBorders>
              <w:top w:val="single" w:sz="6" w:space="0" w:color="69BD28"/>
              <w:bottom w:val="single" w:sz="6" w:space="0" w:color="69BD28"/>
            </w:tcBorders>
            <w:shd w:val="clear" w:color="auto" w:fill="006A4D"/>
          </w:tcPr>
          <w:p>
            <w:pPr>
              <w:pStyle w:val="TableParagraph"/>
              <w:spacing w:before="3"/>
              <w:ind w:left="244" w:right="246"/>
              <w:rPr>
                <w:b/>
                <w:sz w:val="18"/>
              </w:rPr>
            </w:pPr>
            <w:r>
              <w:rPr>
                <w:b/>
                <w:color w:val="FFFFFF"/>
                <w:w w:val="110"/>
                <w:sz w:val="18"/>
              </w:rPr>
              <w:t>Under Construction/ Land Stage</w:t>
            </w:r>
          </w:p>
          <w:p>
            <w:pPr>
              <w:pStyle w:val="TableParagraph"/>
              <w:spacing w:line="193" w:lineRule="exact" w:before="7"/>
              <w:ind w:left="244" w:right="244"/>
              <w:rPr>
                <w:b/>
                <w:sz w:val="18"/>
              </w:rPr>
            </w:pPr>
            <w:r>
              <w:rPr>
                <w:b/>
                <w:color w:val="FFFFFF"/>
                <w:w w:val="110"/>
                <w:sz w:val="18"/>
              </w:rPr>
              <w:t>Blocks</w:t>
            </w:r>
          </w:p>
        </w:tc>
      </w:tr>
      <w:tr>
        <w:trPr>
          <w:trHeight w:val="671" w:hRule="atLeast"/>
        </w:trPr>
        <w:tc>
          <w:tcPr>
            <w:tcW w:w="3531" w:type="dxa"/>
            <w:shd w:val="clear" w:color="auto" w:fill="69BD28"/>
          </w:tcPr>
          <w:p>
            <w:pPr>
              <w:pStyle w:val="TableParagraph"/>
              <w:spacing w:before="10"/>
              <w:jc w:val="left"/>
              <w:rPr>
                <w:sz w:val="19"/>
              </w:rPr>
            </w:pPr>
          </w:p>
          <w:p>
            <w:pPr>
              <w:pStyle w:val="TableParagraph"/>
              <w:spacing w:before="1"/>
              <w:ind w:left="692" w:right="691"/>
              <w:rPr>
                <w:b/>
                <w:sz w:val="18"/>
              </w:rPr>
            </w:pPr>
            <w:r>
              <w:rPr>
                <w:b/>
                <w:color w:val="FFFFFF"/>
                <w:w w:val="110"/>
                <w:sz w:val="18"/>
              </w:rPr>
              <w:t>Valuation Methodology</w:t>
            </w:r>
          </w:p>
        </w:tc>
        <w:tc>
          <w:tcPr>
            <w:tcW w:w="3472" w:type="dxa"/>
            <w:tcBorders>
              <w:top w:val="single" w:sz="6" w:space="0" w:color="69BD28"/>
              <w:bottom w:val="single" w:sz="6" w:space="0" w:color="69BD28"/>
            </w:tcBorders>
          </w:tcPr>
          <w:p>
            <w:pPr>
              <w:pStyle w:val="TableParagraph"/>
              <w:spacing w:line="247" w:lineRule="auto" w:before="123"/>
              <w:ind w:left="761" w:hanging="495"/>
              <w:jc w:val="left"/>
              <w:rPr>
                <w:sz w:val="18"/>
              </w:rPr>
            </w:pPr>
            <w:r>
              <w:rPr>
                <w:sz w:val="18"/>
              </w:rPr>
              <w:t>Discounted Cash Flow Method (using rent reversion approach)</w:t>
            </w:r>
          </w:p>
        </w:tc>
        <w:tc>
          <w:tcPr>
            <w:tcW w:w="3481" w:type="dxa"/>
            <w:tcBorders>
              <w:top w:val="single" w:sz="6" w:space="0" w:color="69BD28"/>
              <w:bottom w:val="single" w:sz="6" w:space="0" w:color="69BD28"/>
            </w:tcBorders>
          </w:tcPr>
          <w:p>
            <w:pPr>
              <w:pStyle w:val="TableParagraph"/>
              <w:spacing w:before="10"/>
              <w:jc w:val="left"/>
              <w:rPr>
                <w:sz w:val="19"/>
              </w:rPr>
            </w:pPr>
          </w:p>
          <w:p>
            <w:pPr>
              <w:pStyle w:val="TableParagraph"/>
              <w:spacing w:before="1"/>
              <w:ind w:left="244" w:right="246"/>
              <w:rPr>
                <w:sz w:val="18"/>
              </w:rPr>
            </w:pPr>
            <w:r>
              <w:rPr>
                <w:w w:val="115"/>
                <w:sz w:val="18"/>
              </w:rPr>
              <w:t>NA</w:t>
            </w:r>
          </w:p>
        </w:tc>
      </w:tr>
    </w:tbl>
    <w:p>
      <w:pPr>
        <w:pStyle w:val="BodyText"/>
        <w:rPr>
          <w:sz w:val="21"/>
        </w:rPr>
      </w:pPr>
    </w:p>
    <w:p>
      <w:pPr>
        <w:pStyle w:val="BodyText"/>
        <w:spacing w:line="321" w:lineRule="auto"/>
        <w:ind w:left="780" w:right="235"/>
        <w:jc w:val="both"/>
      </w:pPr>
      <w:r>
        <w:rPr/>
        <w:t>The</w:t>
      </w:r>
      <w:r>
        <w:rPr>
          <w:spacing w:val="-23"/>
        </w:rPr>
        <w:t> </w:t>
      </w:r>
      <w:r>
        <w:rPr/>
        <w:t>sections</w:t>
      </w:r>
      <w:r>
        <w:rPr>
          <w:spacing w:val="-22"/>
        </w:rPr>
        <w:t> </w:t>
      </w:r>
      <w:r>
        <w:rPr/>
        <w:t>below</w:t>
      </w:r>
      <w:r>
        <w:rPr>
          <w:spacing w:val="-21"/>
        </w:rPr>
        <w:t> </w:t>
      </w:r>
      <w:r>
        <w:rPr/>
        <w:t>highlight</w:t>
      </w:r>
      <w:r>
        <w:rPr>
          <w:spacing w:val="-23"/>
        </w:rPr>
        <w:t> </w:t>
      </w:r>
      <w:r>
        <w:rPr/>
        <w:t>detailed</w:t>
      </w:r>
      <w:r>
        <w:rPr>
          <w:spacing w:val="-21"/>
        </w:rPr>
        <w:t> </w:t>
      </w:r>
      <w:r>
        <w:rPr/>
        <w:t>valuation</w:t>
      </w:r>
      <w:r>
        <w:rPr>
          <w:spacing w:val="-22"/>
        </w:rPr>
        <w:t> </w:t>
      </w:r>
      <w:r>
        <w:rPr/>
        <w:t>workings</w:t>
      </w:r>
      <w:r>
        <w:rPr>
          <w:spacing w:val="-21"/>
        </w:rPr>
        <w:t> </w:t>
      </w:r>
      <w:r>
        <w:rPr/>
        <w:t>for</w:t>
      </w:r>
      <w:r>
        <w:rPr>
          <w:spacing w:val="-22"/>
        </w:rPr>
        <w:t> </w:t>
      </w:r>
      <w:r>
        <w:rPr/>
        <w:t>the</w:t>
      </w:r>
      <w:r>
        <w:rPr>
          <w:spacing w:val="-23"/>
        </w:rPr>
        <w:t> </w:t>
      </w:r>
      <w:r>
        <w:rPr/>
        <w:t>subject</w:t>
      </w:r>
      <w:r>
        <w:rPr>
          <w:spacing w:val="-23"/>
        </w:rPr>
        <w:t> </w:t>
      </w:r>
      <w:r>
        <w:rPr/>
        <w:t>property.</w:t>
      </w:r>
      <w:r>
        <w:rPr>
          <w:spacing w:val="-18"/>
        </w:rPr>
        <w:t> </w:t>
      </w:r>
      <w:r>
        <w:rPr/>
        <w:t>Please</w:t>
      </w:r>
      <w:r>
        <w:rPr>
          <w:spacing w:val="-23"/>
        </w:rPr>
        <w:t> </w:t>
      </w:r>
      <w:r>
        <w:rPr/>
        <w:t>note</w:t>
      </w:r>
      <w:r>
        <w:rPr>
          <w:spacing w:val="-21"/>
        </w:rPr>
        <w:t> </w:t>
      </w:r>
      <w:r>
        <w:rPr/>
        <w:t>that</w:t>
      </w:r>
      <w:r>
        <w:rPr>
          <w:spacing w:val="-23"/>
        </w:rPr>
        <w:t> </w:t>
      </w:r>
      <w:r>
        <w:rPr/>
        <w:t>the assumptions/</w:t>
      </w:r>
      <w:r>
        <w:rPr>
          <w:spacing w:val="-30"/>
        </w:rPr>
        <w:t> </w:t>
      </w:r>
      <w:r>
        <w:rPr/>
        <w:t>opinions</w:t>
      </w:r>
      <w:r>
        <w:rPr>
          <w:spacing w:val="-29"/>
        </w:rPr>
        <w:t> </w:t>
      </w:r>
      <w:r>
        <w:rPr/>
        <w:t>highlighted</w:t>
      </w:r>
      <w:r>
        <w:rPr>
          <w:spacing w:val="-29"/>
        </w:rPr>
        <w:t> </w:t>
      </w:r>
      <w:r>
        <w:rPr/>
        <w:t>in</w:t>
      </w:r>
      <w:r>
        <w:rPr>
          <w:spacing w:val="-30"/>
        </w:rPr>
        <w:t> </w:t>
      </w:r>
      <w:r>
        <w:rPr/>
        <w:t>the</w:t>
      </w:r>
      <w:r>
        <w:rPr>
          <w:spacing w:val="-30"/>
        </w:rPr>
        <w:t> </w:t>
      </w:r>
      <w:r>
        <w:rPr/>
        <w:t>subsequent</w:t>
      </w:r>
      <w:r>
        <w:rPr>
          <w:spacing w:val="-29"/>
        </w:rPr>
        <w:t> </w:t>
      </w:r>
      <w:r>
        <w:rPr/>
        <w:t>sections</w:t>
      </w:r>
      <w:r>
        <w:rPr>
          <w:spacing w:val="-29"/>
        </w:rPr>
        <w:t> </w:t>
      </w:r>
      <w:r>
        <w:rPr/>
        <w:t>are</w:t>
      </w:r>
      <w:r>
        <w:rPr>
          <w:spacing w:val="-30"/>
        </w:rPr>
        <w:t> </w:t>
      </w:r>
      <w:r>
        <w:rPr/>
        <w:t>to</w:t>
      </w:r>
      <w:r>
        <w:rPr>
          <w:spacing w:val="-29"/>
        </w:rPr>
        <w:t> </w:t>
      </w:r>
      <w:r>
        <w:rPr/>
        <w:t>be</w:t>
      </w:r>
      <w:r>
        <w:rPr>
          <w:spacing w:val="-30"/>
        </w:rPr>
        <w:t> </w:t>
      </w:r>
      <w:r>
        <w:rPr/>
        <w:t>read</w:t>
      </w:r>
      <w:r>
        <w:rPr>
          <w:spacing w:val="-29"/>
        </w:rPr>
        <w:t> </w:t>
      </w:r>
      <w:r>
        <w:rPr/>
        <w:t>in</w:t>
      </w:r>
      <w:r>
        <w:rPr>
          <w:spacing w:val="-30"/>
        </w:rPr>
        <w:t> </w:t>
      </w:r>
      <w:r>
        <w:rPr/>
        <w:t>conjunction</w:t>
      </w:r>
      <w:r>
        <w:rPr>
          <w:spacing w:val="-29"/>
        </w:rPr>
        <w:t> </w:t>
      </w:r>
      <w:r>
        <w:rPr/>
        <w:t>with</w:t>
      </w:r>
      <w:r>
        <w:rPr>
          <w:spacing w:val="-30"/>
        </w:rPr>
        <w:t> </w:t>
      </w:r>
      <w:r>
        <w:rPr/>
        <w:t>Section</w:t>
      </w:r>
    </w:p>
    <w:p>
      <w:pPr>
        <w:pStyle w:val="BodyText"/>
        <w:spacing w:before="2"/>
        <w:ind w:left="780"/>
      </w:pPr>
      <w:r>
        <w:rPr/>
        <w:t>1.11 and the following:</w:t>
      </w:r>
    </w:p>
    <w:p>
      <w:pPr>
        <w:pStyle w:val="BodyText"/>
        <w:spacing w:before="3"/>
        <w:rPr>
          <w:sz w:val="28"/>
        </w:rPr>
      </w:pPr>
    </w:p>
    <w:p>
      <w:pPr>
        <w:spacing w:line="321" w:lineRule="auto" w:before="0"/>
        <w:ind w:left="780" w:right="23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spacing w:before="9"/>
        <w:rPr>
          <w:i/>
          <w:sz w:val="20"/>
        </w:rPr>
      </w:pPr>
    </w:p>
    <w:p>
      <w:pPr>
        <w:pStyle w:val="ListParagraph"/>
        <w:numPr>
          <w:ilvl w:val="0"/>
          <w:numId w:val="80"/>
        </w:numPr>
        <w:tabs>
          <w:tab w:pos="1685" w:val="left" w:leader="none"/>
          <w:tab w:pos="1686" w:val="left" w:leader="none"/>
        </w:tabs>
        <w:spacing w:line="240" w:lineRule="auto" w:before="0" w:after="0"/>
        <w:ind w:left="1685" w:right="0" w:hanging="361"/>
        <w:jc w:val="left"/>
        <w:rPr>
          <w:i/>
          <w:sz w:val="22"/>
        </w:rPr>
      </w:pPr>
      <w:r>
        <w:rPr>
          <w:i/>
          <w:sz w:val="22"/>
        </w:rPr>
        <w:t>Limited/</w:t>
      </w:r>
      <w:r>
        <w:rPr>
          <w:i/>
          <w:spacing w:val="-13"/>
          <w:sz w:val="22"/>
        </w:rPr>
        <w:t> </w:t>
      </w:r>
      <w:r>
        <w:rPr>
          <w:i/>
          <w:sz w:val="22"/>
        </w:rPr>
        <w:t>no</w:t>
      </w:r>
      <w:r>
        <w:rPr>
          <w:i/>
          <w:spacing w:val="-12"/>
          <w:sz w:val="22"/>
        </w:rPr>
        <w:t> </w:t>
      </w:r>
      <w:r>
        <w:rPr>
          <w:i/>
          <w:sz w:val="22"/>
        </w:rPr>
        <w:t>growth</w:t>
      </w:r>
      <w:r>
        <w:rPr>
          <w:i/>
          <w:spacing w:val="-14"/>
          <w:sz w:val="22"/>
        </w:rPr>
        <w:t> </w:t>
      </w:r>
      <w:r>
        <w:rPr>
          <w:i/>
          <w:sz w:val="22"/>
        </w:rPr>
        <w:t>in</w:t>
      </w:r>
      <w:r>
        <w:rPr>
          <w:i/>
          <w:spacing w:val="-15"/>
          <w:sz w:val="22"/>
        </w:rPr>
        <w:t> </w:t>
      </w:r>
      <w:r>
        <w:rPr>
          <w:i/>
          <w:sz w:val="22"/>
        </w:rPr>
        <w:t>rent</w:t>
      </w:r>
      <w:r>
        <w:rPr>
          <w:i/>
          <w:spacing w:val="-12"/>
          <w:sz w:val="22"/>
        </w:rPr>
        <w:t> </w:t>
      </w:r>
      <w:r>
        <w:rPr>
          <w:i/>
          <w:sz w:val="22"/>
        </w:rPr>
        <w:t>has</w:t>
      </w:r>
      <w:r>
        <w:rPr>
          <w:i/>
          <w:spacing w:val="-14"/>
          <w:sz w:val="22"/>
        </w:rPr>
        <w:t> </w:t>
      </w:r>
      <w:r>
        <w:rPr>
          <w:i/>
          <w:sz w:val="22"/>
        </w:rPr>
        <w:t>been</w:t>
      </w:r>
      <w:r>
        <w:rPr>
          <w:i/>
          <w:spacing w:val="-14"/>
          <w:sz w:val="22"/>
        </w:rPr>
        <w:t> </w:t>
      </w:r>
      <w:r>
        <w:rPr>
          <w:i/>
          <w:sz w:val="22"/>
        </w:rPr>
        <w:t>considered</w:t>
      </w:r>
      <w:r>
        <w:rPr>
          <w:i/>
          <w:spacing w:val="-13"/>
          <w:sz w:val="22"/>
        </w:rPr>
        <w:t> </w:t>
      </w:r>
      <w:r>
        <w:rPr>
          <w:i/>
          <w:sz w:val="22"/>
        </w:rPr>
        <w:t>over</w:t>
      </w:r>
      <w:r>
        <w:rPr>
          <w:i/>
          <w:spacing w:val="-12"/>
          <w:sz w:val="22"/>
        </w:rPr>
        <w:t> </w:t>
      </w:r>
      <w:r>
        <w:rPr>
          <w:i/>
          <w:sz w:val="22"/>
        </w:rPr>
        <w:t>the</w:t>
      </w:r>
      <w:r>
        <w:rPr>
          <w:i/>
          <w:spacing w:val="-13"/>
          <w:sz w:val="22"/>
        </w:rPr>
        <w:t> </w:t>
      </w:r>
      <w:r>
        <w:rPr>
          <w:i/>
          <w:sz w:val="22"/>
        </w:rPr>
        <w:t>next</w:t>
      </w:r>
      <w:r>
        <w:rPr>
          <w:i/>
          <w:spacing w:val="-15"/>
          <w:sz w:val="22"/>
        </w:rPr>
        <w:t> </w:t>
      </w:r>
      <w:r>
        <w:rPr>
          <w:i/>
          <w:sz w:val="22"/>
        </w:rPr>
        <w:t>few</w:t>
      </w:r>
      <w:r>
        <w:rPr>
          <w:i/>
          <w:spacing w:val="-14"/>
          <w:sz w:val="22"/>
        </w:rPr>
        <w:t> </w:t>
      </w:r>
      <w:r>
        <w:rPr>
          <w:i/>
          <w:sz w:val="22"/>
        </w:rPr>
        <w:t>quarters</w:t>
      </w:r>
    </w:p>
    <w:p>
      <w:pPr>
        <w:pStyle w:val="ListParagraph"/>
        <w:numPr>
          <w:ilvl w:val="0"/>
          <w:numId w:val="80"/>
        </w:numPr>
        <w:tabs>
          <w:tab w:pos="1685" w:val="left" w:leader="none"/>
          <w:tab w:pos="1686" w:val="left" w:leader="none"/>
        </w:tabs>
        <w:spacing w:line="268" w:lineRule="auto" w:before="30" w:after="0"/>
        <w:ind w:left="1685" w:right="232" w:hanging="360"/>
        <w:jc w:val="left"/>
        <w:rPr>
          <w:i/>
          <w:sz w:val="22"/>
        </w:rPr>
      </w:pPr>
      <w:r>
        <w:rPr>
          <w:i/>
          <w:sz w:val="22"/>
        </w:rPr>
        <w:t>Considering</w:t>
      </w:r>
      <w:r>
        <w:rPr>
          <w:i/>
          <w:spacing w:val="-44"/>
          <w:sz w:val="22"/>
        </w:rPr>
        <w:t> </w:t>
      </w:r>
      <w:r>
        <w:rPr>
          <w:i/>
          <w:sz w:val="22"/>
        </w:rPr>
        <w:t>challenges</w:t>
      </w:r>
      <w:r>
        <w:rPr>
          <w:i/>
          <w:spacing w:val="-42"/>
          <w:sz w:val="22"/>
        </w:rPr>
        <w:t> </w:t>
      </w:r>
      <w:r>
        <w:rPr>
          <w:i/>
          <w:sz w:val="22"/>
        </w:rPr>
        <w:t>in</w:t>
      </w:r>
      <w:r>
        <w:rPr>
          <w:i/>
          <w:spacing w:val="-43"/>
          <w:sz w:val="22"/>
        </w:rPr>
        <w:t> </w:t>
      </w:r>
      <w:r>
        <w:rPr>
          <w:i/>
          <w:sz w:val="22"/>
        </w:rPr>
        <w:t>the</w:t>
      </w:r>
      <w:r>
        <w:rPr>
          <w:i/>
          <w:spacing w:val="-42"/>
          <w:sz w:val="22"/>
        </w:rPr>
        <w:t> </w:t>
      </w:r>
      <w:r>
        <w:rPr>
          <w:i/>
          <w:sz w:val="22"/>
        </w:rPr>
        <w:t>short</w:t>
      </w:r>
      <w:r>
        <w:rPr>
          <w:i/>
          <w:spacing w:val="-43"/>
          <w:sz w:val="22"/>
        </w:rPr>
        <w:t> </w:t>
      </w:r>
      <w:r>
        <w:rPr>
          <w:i/>
          <w:sz w:val="22"/>
        </w:rPr>
        <w:t>term,</w:t>
      </w:r>
      <w:r>
        <w:rPr>
          <w:i/>
          <w:spacing w:val="-41"/>
          <w:sz w:val="22"/>
        </w:rPr>
        <w:t> </w:t>
      </w:r>
      <w:r>
        <w:rPr>
          <w:i/>
          <w:sz w:val="22"/>
        </w:rPr>
        <w:t>timelines</w:t>
      </w:r>
      <w:r>
        <w:rPr>
          <w:i/>
          <w:spacing w:val="-44"/>
          <w:sz w:val="22"/>
        </w:rPr>
        <w:t> </w:t>
      </w:r>
      <w:r>
        <w:rPr>
          <w:i/>
          <w:sz w:val="22"/>
        </w:rPr>
        <w:t>have</w:t>
      </w:r>
      <w:r>
        <w:rPr>
          <w:i/>
          <w:spacing w:val="-41"/>
          <w:sz w:val="22"/>
        </w:rPr>
        <w:t> </w:t>
      </w:r>
      <w:r>
        <w:rPr>
          <w:i/>
          <w:sz w:val="22"/>
        </w:rPr>
        <w:t>been</w:t>
      </w:r>
      <w:r>
        <w:rPr>
          <w:i/>
          <w:spacing w:val="-43"/>
          <w:sz w:val="22"/>
        </w:rPr>
        <w:t> </w:t>
      </w:r>
      <w:r>
        <w:rPr>
          <w:i/>
          <w:sz w:val="22"/>
        </w:rPr>
        <w:t>extended</w:t>
      </w:r>
      <w:r>
        <w:rPr>
          <w:i/>
          <w:spacing w:val="-42"/>
          <w:sz w:val="22"/>
        </w:rPr>
        <w:t> </w:t>
      </w:r>
      <w:r>
        <w:rPr>
          <w:i/>
          <w:sz w:val="22"/>
        </w:rPr>
        <w:t>for</w:t>
      </w:r>
      <w:r>
        <w:rPr>
          <w:i/>
          <w:spacing w:val="-43"/>
          <w:sz w:val="22"/>
        </w:rPr>
        <w:t> </w:t>
      </w:r>
      <w:r>
        <w:rPr>
          <w:i/>
          <w:sz w:val="22"/>
        </w:rPr>
        <w:t>new</w:t>
      </w:r>
      <w:r>
        <w:rPr>
          <w:i/>
          <w:spacing w:val="-42"/>
          <w:sz w:val="22"/>
        </w:rPr>
        <w:t> </w:t>
      </w:r>
      <w:r>
        <w:rPr>
          <w:i/>
          <w:sz w:val="22"/>
        </w:rPr>
        <w:t>space</w:t>
      </w:r>
      <w:r>
        <w:rPr>
          <w:i/>
          <w:spacing w:val="-43"/>
          <w:sz w:val="22"/>
        </w:rPr>
        <w:t> </w:t>
      </w:r>
      <w:r>
        <w:rPr>
          <w:i/>
          <w:sz w:val="22"/>
        </w:rPr>
        <w:t>take-up/ </w:t>
      </w:r>
      <w:r>
        <w:rPr>
          <w:i/>
          <w:sz w:val="22"/>
        </w:rPr>
        <w:t>future</w:t>
      </w:r>
      <w:r>
        <w:rPr>
          <w:i/>
          <w:spacing w:val="-3"/>
          <w:sz w:val="22"/>
        </w:rPr>
        <w:t> </w:t>
      </w:r>
      <w:r>
        <w:rPr>
          <w:i/>
          <w:sz w:val="22"/>
        </w:rPr>
        <w:t>leasing</w:t>
      </w:r>
    </w:p>
    <w:p>
      <w:pPr>
        <w:pStyle w:val="ListParagraph"/>
        <w:numPr>
          <w:ilvl w:val="0"/>
          <w:numId w:val="80"/>
        </w:numPr>
        <w:tabs>
          <w:tab w:pos="1685" w:val="left" w:leader="none"/>
          <w:tab w:pos="1686" w:val="left" w:leader="none"/>
        </w:tabs>
        <w:spacing w:line="268" w:lineRule="auto" w:before="0" w:after="0"/>
        <w:ind w:left="1685" w:right="231" w:hanging="360"/>
        <w:jc w:val="left"/>
        <w:rPr>
          <w:i/>
          <w:sz w:val="22"/>
        </w:rPr>
      </w:pPr>
      <w:r>
        <w:rPr>
          <w:i/>
          <w:sz w:val="22"/>
        </w:rPr>
        <w:t>Additional</w:t>
      </w:r>
      <w:r>
        <w:rPr>
          <w:i/>
          <w:spacing w:val="-28"/>
          <w:sz w:val="22"/>
        </w:rPr>
        <w:t> </w:t>
      </w:r>
      <w:r>
        <w:rPr>
          <w:i/>
          <w:sz w:val="22"/>
        </w:rPr>
        <w:t>fit-out</w:t>
      </w:r>
      <w:r>
        <w:rPr>
          <w:i/>
          <w:spacing w:val="-27"/>
          <w:sz w:val="22"/>
        </w:rPr>
        <w:t> </w:t>
      </w:r>
      <w:r>
        <w:rPr>
          <w:i/>
          <w:sz w:val="22"/>
        </w:rPr>
        <w:t>period/</w:t>
      </w:r>
      <w:r>
        <w:rPr>
          <w:i/>
          <w:spacing w:val="-27"/>
          <w:sz w:val="22"/>
        </w:rPr>
        <w:t> </w:t>
      </w:r>
      <w:r>
        <w:rPr>
          <w:i/>
          <w:sz w:val="22"/>
        </w:rPr>
        <w:t>rent</w:t>
      </w:r>
      <w:r>
        <w:rPr>
          <w:i/>
          <w:spacing w:val="-28"/>
          <w:sz w:val="22"/>
        </w:rPr>
        <w:t> </w:t>
      </w:r>
      <w:r>
        <w:rPr>
          <w:i/>
          <w:sz w:val="22"/>
        </w:rPr>
        <w:t>free</w:t>
      </w:r>
      <w:r>
        <w:rPr>
          <w:i/>
          <w:spacing w:val="-27"/>
          <w:sz w:val="22"/>
        </w:rPr>
        <w:t> </w:t>
      </w:r>
      <w:r>
        <w:rPr>
          <w:i/>
          <w:sz w:val="22"/>
        </w:rPr>
        <w:t>months</w:t>
      </w:r>
      <w:r>
        <w:rPr>
          <w:i/>
          <w:spacing w:val="-26"/>
          <w:sz w:val="22"/>
        </w:rPr>
        <w:t> </w:t>
      </w:r>
      <w:r>
        <w:rPr>
          <w:i/>
          <w:sz w:val="22"/>
        </w:rPr>
        <w:t>have</w:t>
      </w:r>
      <w:r>
        <w:rPr>
          <w:i/>
          <w:spacing w:val="-27"/>
          <w:sz w:val="22"/>
        </w:rPr>
        <w:t> </w:t>
      </w:r>
      <w:r>
        <w:rPr>
          <w:i/>
          <w:sz w:val="22"/>
        </w:rPr>
        <w:t>been</w:t>
      </w:r>
      <w:r>
        <w:rPr>
          <w:i/>
          <w:spacing w:val="-27"/>
          <w:sz w:val="22"/>
        </w:rPr>
        <w:t> </w:t>
      </w:r>
      <w:r>
        <w:rPr>
          <w:i/>
          <w:sz w:val="22"/>
        </w:rPr>
        <w:t>incorporated</w:t>
      </w:r>
      <w:r>
        <w:rPr>
          <w:i/>
          <w:spacing w:val="-28"/>
          <w:sz w:val="22"/>
        </w:rPr>
        <w:t> </w:t>
      </w:r>
      <w:r>
        <w:rPr>
          <w:i/>
          <w:sz w:val="22"/>
        </w:rPr>
        <w:t>where</w:t>
      </w:r>
      <w:r>
        <w:rPr>
          <w:i/>
          <w:spacing w:val="-27"/>
          <w:sz w:val="22"/>
        </w:rPr>
        <w:t> </w:t>
      </w:r>
      <w:r>
        <w:rPr>
          <w:i/>
          <w:sz w:val="22"/>
        </w:rPr>
        <w:t>fit-out</w:t>
      </w:r>
      <w:r>
        <w:rPr>
          <w:i/>
          <w:spacing w:val="-28"/>
          <w:sz w:val="22"/>
        </w:rPr>
        <w:t> </w:t>
      </w:r>
      <w:r>
        <w:rPr>
          <w:i/>
          <w:sz w:val="22"/>
        </w:rPr>
        <w:t>works</w:t>
      </w:r>
      <w:r>
        <w:rPr>
          <w:i/>
          <w:spacing w:val="-27"/>
          <w:sz w:val="22"/>
        </w:rPr>
        <w:t> </w:t>
      </w:r>
      <w:r>
        <w:rPr>
          <w:i/>
          <w:sz w:val="22"/>
        </w:rPr>
        <w:t>have </w:t>
      </w:r>
      <w:r>
        <w:rPr>
          <w:i/>
          <w:sz w:val="22"/>
        </w:rPr>
        <w:t>commenced”</w:t>
      </w:r>
    </w:p>
    <w:p>
      <w:pPr>
        <w:pStyle w:val="ListParagraph"/>
        <w:numPr>
          <w:ilvl w:val="2"/>
          <w:numId w:val="14"/>
        </w:numPr>
        <w:tabs>
          <w:tab w:pos="961" w:val="left" w:leader="none"/>
        </w:tabs>
        <w:spacing w:line="240" w:lineRule="auto" w:before="234" w:after="0"/>
        <w:ind w:left="960" w:right="0" w:hanging="721"/>
        <w:jc w:val="left"/>
        <w:rPr>
          <w:sz w:val="22"/>
        </w:rPr>
      </w:pPr>
      <w:bookmarkStart w:name="_bookmark315" w:id="615"/>
      <w:bookmarkEnd w:id="615"/>
      <w:r>
        <w:rPr/>
      </w:r>
      <w:bookmarkStart w:name="_bookmark315" w:id="616"/>
      <w:bookmarkEnd w:id="616"/>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7"/>
        <w:ind w:left="806" w:right="238"/>
        <w:jc w:val="both"/>
      </w:pPr>
      <w:r>
        <w:rPr/>
        <w:t>Based</w:t>
      </w:r>
      <w:r>
        <w:rPr>
          <w:spacing w:val="-36"/>
        </w:rPr>
        <w:t> </w:t>
      </w:r>
      <w:r>
        <w:rPr/>
        <w:t>on</w:t>
      </w:r>
      <w:r>
        <w:rPr>
          <w:spacing w:val="-36"/>
        </w:rPr>
        <w:t> </w:t>
      </w:r>
      <w:r>
        <w:rPr/>
        <w:t>information/rent</w:t>
      </w:r>
      <w:r>
        <w:rPr>
          <w:spacing w:val="-36"/>
        </w:rPr>
        <w:t> </w:t>
      </w:r>
      <w:r>
        <w:rPr/>
        <w:t>roll,</w:t>
      </w:r>
      <w:r>
        <w:rPr>
          <w:spacing w:val="-34"/>
        </w:rPr>
        <w:t> </w:t>
      </w:r>
      <w:r>
        <w:rPr/>
        <w:t>lease</w:t>
      </w:r>
      <w:r>
        <w:rPr>
          <w:spacing w:val="-36"/>
        </w:rPr>
        <w:t> </w:t>
      </w:r>
      <w:r>
        <w:rPr/>
        <w:t>deeds</w:t>
      </w:r>
      <w:r>
        <w:rPr>
          <w:spacing w:val="-35"/>
        </w:rPr>
        <w:t> </w:t>
      </w:r>
      <w:r>
        <w:rPr/>
        <w:t>provided</w:t>
      </w:r>
      <w:r>
        <w:rPr>
          <w:spacing w:val="-36"/>
        </w:rPr>
        <w:t> </w:t>
      </w:r>
      <w:r>
        <w:rPr/>
        <w:t>by</w:t>
      </w:r>
      <w:r>
        <w:rPr>
          <w:spacing w:val="-35"/>
        </w:rPr>
        <w:t> </w:t>
      </w:r>
      <w:r>
        <w:rPr/>
        <w:t>the</w:t>
      </w:r>
      <w:r>
        <w:rPr>
          <w:spacing w:val="-36"/>
        </w:rPr>
        <w:t> </w:t>
      </w:r>
      <w:r>
        <w:rPr/>
        <w:t>Client,</w:t>
      </w:r>
      <w:r>
        <w:rPr>
          <w:spacing w:val="-36"/>
        </w:rPr>
        <w:t> </w:t>
      </w:r>
      <w:r>
        <w:rPr/>
        <w:t>we</w:t>
      </w:r>
      <w:r>
        <w:rPr>
          <w:spacing w:val="-36"/>
        </w:rPr>
        <w:t> </w:t>
      </w:r>
      <w:r>
        <w:rPr/>
        <w:t>understand</w:t>
      </w:r>
      <w:r>
        <w:rPr>
          <w:spacing w:val="-35"/>
        </w:rPr>
        <w:t> </w:t>
      </w:r>
      <w:r>
        <w:rPr/>
        <w:t>that</w:t>
      </w:r>
      <w:r>
        <w:rPr>
          <w:spacing w:val="-36"/>
        </w:rPr>
        <w:t> </w:t>
      </w:r>
      <w:r>
        <w:rPr/>
        <w:t>subject</w:t>
      </w:r>
      <w:r>
        <w:rPr>
          <w:spacing w:val="-36"/>
        </w:rPr>
        <w:t> </w:t>
      </w:r>
      <w:r>
        <w:rPr/>
        <w:t>property is</w:t>
      </w:r>
      <w:r>
        <w:rPr>
          <w:spacing w:val="-24"/>
        </w:rPr>
        <w:t> </w:t>
      </w:r>
      <w:r>
        <w:rPr/>
        <w:t>an</w:t>
      </w:r>
      <w:r>
        <w:rPr>
          <w:spacing w:val="-25"/>
        </w:rPr>
        <w:t> </w:t>
      </w:r>
      <w:r>
        <w:rPr/>
        <w:t>Office</w:t>
      </w:r>
      <w:r>
        <w:rPr>
          <w:spacing w:val="-24"/>
        </w:rPr>
        <w:t> </w:t>
      </w:r>
      <w:r>
        <w:rPr/>
        <w:t>Park.</w:t>
      </w:r>
      <w:r>
        <w:rPr>
          <w:spacing w:val="-24"/>
        </w:rPr>
        <w:t> </w:t>
      </w:r>
      <w:r>
        <w:rPr/>
        <w:t>Further,</w:t>
      </w:r>
      <w:r>
        <w:rPr>
          <w:spacing w:val="-25"/>
        </w:rPr>
        <w:t> </w:t>
      </w:r>
      <w:r>
        <w:rPr/>
        <w:t>the</w:t>
      </w:r>
      <w:r>
        <w:rPr>
          <w:spacing w:val="-24"/>
        </w:rPr>
        <w:t> </w:t>
      </w:r>
      <w:r>
        <w:rPr/>
        <w:t>table</w:t>
      </w:r>
      <w:r>
        <w:rPr>
          <w:spacing w:val="-25"/>
        </w:rPr>
        <w:t> </w:t>
      </w:r>
      <w:r>
        <w:rPr/>
        <w:t>below</w:t>
      </w:r>
      <w:r>
        <w:rPr>
          <w:spacing w:val="-24"/>
        </w:rPr>
        <w:t> </w:t>
      </w:r>
      <w:r>
        <w:rPr/>
        <w:t>highlights</w:t>
      </w:r>
      <w:r>
        <w:rPr>
          <w:spacing w:val="-23"/>
        </w:rPr>
        <w:t> </w:t>
      </w:r>
      <w:r>
        <w:rPr/>
        <w:t>the</w:t>
      </w:r>
      <w:r>
        <w:rPr>
          <w:spacing w:val="-25"/>
        </w:rPr>
        <w:t> </w:t>
      </w:r>
      <w:r>
        <w:rPr/>
        <w:t>area</w:t>
      </w:r>
      <w:r>
        <w:rPr>
          <w:spacing w:val="-24"/>
        </w:rPr>
        <w:t> </w:t>
      </w:r>
      <w:r>
        <w:rPr/>
        <w:t>configuration</w:t>
      </w:r>
      <w:r>
        <w:rPr>
          <w:spacing w:val="-25"/>
        </w:rPr>
        <w:t> </w:t>
      </w:r>
      <w:r>
        <w:rPr/>
        <w:t>of</w:t>
      </w:r>
      <w:r>
        <w:rPr>
          <w:spacing w:val="-24"/>
        </w:rPr>
        <w:t> </w:t>
      </w:r>
      <w:r>
        <w:rPr/>
        <w:t>the</w:t>
      </w:r>
      <w:r>
        <w:rPr>
          <w:spacing w:val="-25"/>
        </w:rPr>
        <w:t> </w:t>
      </w:r>
      <w:r>
        <w:rPr/>
        <w:t>subject</w:t>
      </w:r>
      <w:r>
        <w:rPr>
          <w:spacing w:val="-25"/>
        </w:rPr>
        <w:t> </w:t>
      </w:r>
      <w:r>
        <w:rPr/>
        <w:t>property:</w:t>
      </w:r>
    </w:p>
    <w:p>
      <w:pPr>
        <w:pStyle w:val="BodyText"/>
        <w:spacing w:before="2"/>
        <w:rPr>
          <w:sz w:val="17"/>
        </w:rPr>
      </w:pPr>
      <w:r>
        <w:rPr/>
        <w:pict>
          <v:group style="position:absolute;margin-left:35.279999pt;margin-top:11.922129pt;width:524.3pt;height:14.65pt;mso-position-horizontal-relative:page;mso-position-vertical-relative:paragraph;z-index:-15032320;mso-wrap-distance-left:0;mso-wrap-distance-right:0" coordorigin="706,238" coordsize="10486,293">
            <v:shape style="position:absolute;left:720;top:267;width:10472;height:250" coordorigin="720,267" coordsize="10472,250" path="m11191,267l5055,267,720,267,720,517,5055,517,11191,517,11191,267xe" filled="true" fillcolor="#006a4d" stroked="false">
              <v:path arrowok="t"/>
              <v:fill type="solid"/>
            </v:shape>
            <v:rect style="position:absolute;left:720;top:238;width:4336;height:29" filled="true" fillcolor="#1b6b22" stroked="false">
              <v:fill type="solid"/>
            </v:rect>
            <v:shape style="position:absolute;left:720;top:267;width:4365;height:3" coordorigin="720,267" coordsize="4365,3" path="m5084,267l5055,267,720,267,720,270,5055,270,5084,270,5084,267xe" filled="true" fillcolor="#006a4d" stroked="false">
              <v:path arrowok="t"/>
              <v:fill type="solid"/>
            </v:shape>
            <v:shape style="position:absolute;left:5055;top:238;width:6136;height:29" coordorigin="5055,238" coordsize="6136,29" path="m11191,238l5084,238,5055,238,5055,267,5084,267,11191,267,11191,238xe" filled="true" fillcolor="#1b6b22" stroked="false">
              <v:path arrowok="t"/>
              <v:fill type="solid"/>
            </v:shape>
            <v:rect style="position:absolute;left:5084;top:267;width:6107;height:3" filled="true" fillcolor="#006a4d" stroked="false">
              <v:fill type="solid"/>
            </v:rect>
            <v:shape style="position:absolute;left:720;top:516;width:10472;height:15" coordorigin="720,517" coordsize="10472,15" path="m11191,517l5070,517,5055,517,720,517,720,531,5055,531,5070,531,11191,531,11191,517xe" filled="true" fillcolor="#69bd28" stroked="false">
              <v:path arrowok="t"/>
              <v:fill type="solid"/>
            </v:shape>
            <v:shape style="position:absolute;left:705;top:267;width:10486;height:250" type="#_x0000_t202" filled="false" stroked="false">
              <v:textbox inset="0,0,0,0">
                <w:txbxContent>
                  <w:p>
                    <w:pPr>
                      <w:tabs>
                        <w:tab w:pos="4349" w:val="left" w:leader="none"/>
                      </w:tabs>
                      <w:spacing w:before="20"/>
                      <w:ind w:left="47" w:right="0" w:firstLine="0"/>
                      <w:jc w:val="center"/>
                      <w:rPr>
                        <w:b/>
                        <w:sz w:val="18"/>
                      </w:rPr>
                    </w:pPr>
                    <w:r>
                      <w:rPr>
                        <w:b/>
                        <w:color w:val="FFFFFF"/>
                        <w:w w:val="110"/>
                        <w:sz w:val="18"/>
                      </w:rPr>
                      <w:t>Components</w:t>
                      <w:tab/>
                      <w:t>Operational leasable area (in</w:t>
                    </w:r>
                    <w:r>
                      <w:rPr>
                        <w:b/>
                        <w:color w:val="FFFFFF"/>
                        <w:spacing w:val="-11"/>
                        <w:w w:val="110"/>
                        <w:sz w:val="18"/>
                      </w:rPr>
                      <w:t> </w:t>
                    </w:r>
                    <w:r>
                      <w:rPr>
                        <w:b/>
                        <w:color w:val="FFFFFF"/>
                        <w:w w:val="110"/>
                        <w:sz w:val="18"/>
                      </w:rPr>
                      <w:t>sf)</w:t>
                    </w:r>
                  </w:p>
                </w:txbxContent>
              </v:textbox>
              <w10:wrap type="none"/>
            </v:shape>
            <w10:wrap type="topAndBottom"/>
          </v:group>
        </w:pict>
      </w:r>
    </w:p>
    <w:p>
      <w:pPr>
        <w:tabs>
          <w:tab w:pos="5262" w:val="left" w:leader="none"/>
        </w:tabs>
        <w:spacing w:line="201" w:lineRule="exact" w:before="0" w:after="18"/>
        <w:ind w:left="0" w:right="2880" w:firstLine="0"/>
        <w:jc w:val="right"/>
        <w:rPr>
          <w:sz w:val="18"/>
        </w:rPr>
      </w:pPr>
      <w:r>
        <w:rPr>
          <w:w w:val="105"/>
          <w:sz w:val="18"/>
        </w:rPr>
        <w:t>Office</w:t>
      </w:r>
      <w:r>
        <w:rPr>
          <w:spacing w:val="-24"/>
          <w:w w:val="105"/>
          <w:sz w:val="18"/>
        </w:rPr>
        <w:t> </w:t>
      </w:r>
      <w:r>
        <w:rPr>
          <w:w w:val="105"/>
          <w:sz w:val="18"/>
        </w:rPr>
        <w:t>Area</w:t>
        <w:tab/>
        <w:t>2,737,442</w:t>
      </w:r>
    </w:p>
    <w:p>
      <w:pPr>
        <w:pStyle w:val="BodyText"/>
        <w:spacing w:line="20" w:lineRule="exact"/>
        <w:ind w:left="24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350,0,4335,0,0,0,0,14,4335,14,4350,14,10471,14,10471,0xe" filled="true" fillcolor="#69bd28" stroked="false">
              <v:path arrowok="t"/>
              <v:fill type="solid"/>
            </v:shape>
          </v:group>
        </w:pict>
      </w:r>
      <w:r>
        <w:rPr>
          <w:sz w:val="2"/>
        </w:rPr>
      </w:r>
    </w:p>
    <w:p>
      <w:pPr>
        <w:tabs>
          <w:tab w:pos="5005" w:val="left" w:leader="none"/>
        </w:tabs>
        <w:spacing w:before="15" w:after="19"/>
        <w:ind w:left="0" w:right="2877" w:firstLine="0"/>
        <w:jc w:val="right"/>
        <w:rPr>
          <w:sz w:val="18"/>
        </w:rPr>
      </w:pPr>
      <w:r>
        <w:rPr>
          <w:sz w:val="18"/>
        </w:rPr>
        <w:t>Total</w:t>
        <w:tab/>
        <w:t>2,737,442</w:t>
      </w:r>
    </w:p>
    <w:p>
      <w:pPr>
        <w:pStyle w:val="BodyText"/>
        <w:spacing w:line="20" w:lineRule="exact"/>
        <w:ind w:left="225"/>
        <w:rPr>
          <w:sz w:val="2"/>
        </w:rPr>
      </w:pPr>
      <w:r>
        <w:rPr>
          <w:sz w:val="2"/>
        </w:rPr>
        <w:pict>
          <v:group style="width:524.3pt;height:.75pt;mso-position-horizontal-relative:char;mso-position-vertical-relative:line" coordorigin="0,0" coordsize="10486,15">
            <v:shape style="position:absolute;left:0;top:0;width:10486;height:15" coordorigin="0,0" coordsize="10486,15" path="m10486,0l4350,0,4335,0,0,0,0,14,4335,14,4350,14,10486,14,10486,0xe" filled="true" fillcolor="#69bd28" stroked="false">
              <v:path arrowok="t"/>
              <v:fill type="solid"/>
            </v:shape>
          </v:group>
        </w:pict>
      </w:r>
      <w:r>
        <w:rPr>
          <w:sz w:val="2"/>
        </w:rPr>
      </w:r>
    </w:p>
    <w:p>
      <w:pPr>
        <w:spacing w:before="0"/>
        <w:ind w:left="240" w:right="0" w:firstLine="0"/>
        <w:jc w:val="left"/>
        <w:rPr>
          <w:i/>
          <w:sz w:val="18"/>
        </w:rPr>
      </w:pPr>
      <w:r>
        <w:rPr>
          <w:i/>
          <w:sz w:val="18"/>
        </w:rPr>
        <w:t>Source: Architect certificate and Rent roll provided by Client</w:t>
      </w:r>
    </w:p>
    <w:p>
      <w:pPr>
        <w:pStyle w:val="BodyText"/>
        <w:spacing w:before="4"/>
        <w:rPr>
          <w:i/>
          <w:sz w:val="21"/>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16" w:id="617"/>
      <w:bookmarkEnd w:id="617"/>
      <w:r>
        <w:rPr/>
      </w:r>
      <w:bookmarkStart w:name="_bookmark316" w:id="618"/>
      <w:bookmarkEnd w:id="618"/>
      <w:r>
        <w:rPr>
          <w:color w:val="1F664D"/>
          <w:sz w:val="22"/>
        </w:rPr>
        <w:t>Con</w:t>
      </w:r>
      <w:r>
        <w:rPr>
          <w:color w:val="1F664D"/>
          <w:sz w:val="22"/>
        </w:rPr>
        <w:t>struction Timelines</w:t>
      </w:r>
    </w:p>
    <w:p>
      <w:pPr>
        <w:pStyle w:val="BodyText"/>
        <w:spacing w:before="6"/>
        <w:rPr>
          <w:sz w:val="25"/>
        </w:rPr>
      </w:pPr>
    </w:p>
    <w:p>
      <w:pPr>
        <w:spacing w:before="0"/>
        <w:ind w:left="240" w:right="0" w:firstLine="0"/>
        <w:jc w:val="left"/>
        <w:rPr>
          <w:i/>
          <w:sz w:val="20"/>
        </w:rPr>
      </w:pPr>
      <w:r>
        <w:rPr>
          <w:i/>
          <w:color w:val="008000"/>
          <w:sz w:val="22"/>
        </w:rPr>
        <w:t>14.4.3.1 </w:t>
      </w:r>
      <w:r>
        <w:rPr>
          <w:i/>
          <w:color w:val="008000"/>
          <w:sz w:val="20"/>
        </w:rPr>
        <w:t>Completed Blocks</w:t>
      </w:r>
    </w:p>
    <w:p>
      <w:pPr>
        <w:pStyle w:val="BodyText"/>
        <w:spacing w:line="321" w:lineRule="auto" w:before="76"/>
        <w:ind w:left="806"/>
      </w:pPr>
      <w:r>
        <w:rPr/>
        <w:t>As highlighted earlier, the subject property has 2.74 msf of leasable area and no pending cost to complete is remaining as of date of valuation for the completed blocks.</w:t>
      </w:r>
    </w:p>
    <w:p>
      <w:pPr>
        <w:spacing w:after="0" w:line="321" w:lineRule="auto"/>
        <w:sectPr>
          <w:pgSz w:w="11910" w:h="16840"/>
          <w:pgMar w:header="720" w:footer="862" w:top="1660" w:bottom="1060" w:left="480" w:right="480"/>
        </w:sectPr>
      </w:pPr>
    </w:p>
    <w:p>
      <w:pPr>
        <w:pStyle w:val="BodyText"/>
        <w:spacing w:before="7"/>
        <w:rPr>
          <w:sz w:val="9"/>
        </w:rPr>
      </w:pPr>
    </w:p>
    <w:p>
      <w:pPr>
        <w:pStyle w:val="ListParagraph"/>
        <w:numPr>
          <w:ilvl w:val="2"/>
          <w:numId w:val="14"/>
        </w:numPr>
        <w:tabs>
          <w:tab w:pos="961" w:val="left" w:leader="none"/>
        </w:tabs>
        <w:spacing w:line="240" w:lineRule="auto" w:before="106" w:after="0"/>
        <w:ind w:left="960" w:right="0" w:hanging="721"/>
        <w:jc w:val="both"/>
        <w:rPr>
          <w:sz w:val="22"/>
        </w:rPr>
      </w:pPr>
      <w:bookmarkStart w:name="_bookmark317" w:id="619"/>
      <w:bookmarkEnd w:id="619"/>
      <w:r>
        <w:rPr/>
      </w:r>
      <w:bookmarkStart w:name="_bookmark317" w:id="620"/>
      <w:bookmarkEnd w:id="620"/>
      <w:r>
        <w:rPr>
          <w:color w:val="1F664D"/>
          <w:sz w:val="22"/>
        </w:rPr>
        <w:t>A</w:t>
      </w:r>
      <w:r>
        <w:rPr>
          <w:color w:val="1F664D"/>
          <w:sz w:val="22"/>
        </w:rPr>
        <w:t>bsorption/ Leasing Velocity and Occupancy</w:t>
      </w:r>
      <w:r>
        <w:rPr>
          <w:color w:val="1F664D"/>
          <w:spacing w:val="1"/>
          <w:sz w:val="22"/>
        </w:rPr>
        <w:t> </w:t>
      </w:r>
      <w:r>
        <w:rPr>
          <w:color w:val="1F664D"/>
          <w:sz w:val="22"/>
        </w:rPr>
        <w:t>Profile</w:t>
      </w:r>
    </w:p>
    <w:p>
      <w:pPr>
        <w:pStyle w:val="BodyText"/>
        <w:spacing w:before="6"/>
        <w:rPr>
          <w:sz w:val="25"/>
        </w:rPr>
      </w:pPr>
    </w:p>
    <w:p>
      <w:pPr>
        <w:spacing w:before="1"/>
        <w:ind w:left="240" w:right="0" w:firstLine="0"/>
        <w:jc w:val="both"/>
        <w:rPr>
          <w:i/>
          <w:sz w:val="20"/>
        </w:rPr>
      </w:pPr>
      <w:r>
        <w:rPr>
          <w:i/>
          <w:color w:val="008000"/>
          <w:sz w:val="22"/>
        </w:rPr>
        <w:t>14.4.4.1 </w:t>
      </w:r>
      <w:r>
        <w:rPr>
          <w:i/>
          <w:color w:val="008000"/>
          <w:sz w:val="20"/>
        </w:rPr>
        <w:t>Completed Blocks</w:t>
      </w:r>
    </w:p>
    <w:p>
      <w:pPr>
        <w:pStyle w:val="BodyText"/>
        <w:spacing w:line="321" w:lineRule="auto" w:before="135"/>
        <w:ind w:left="802" w:right="235"/>
        <w:jc w:val="both"/>
      </w:pPr>
      <w:r>
        <w:rPr/>
        <w:t>Based</w:t>
      </w:r>
      <w:r>
        <w:rPr>
          <w:spacing w:val="-32"/>
        </w:rPr>
        <w:t> </w:t>
      </w:r>
      <w:r>
        <w:rPr/>
        <w:t>on</w:t>
      </w:r>
      <w:r>
        <w:rPr>
          <w:spacing w:val="-33"/>
        </w:rPr>
        <w:t> </w:t>
      </w:r>
      <w:r>
        <w:rPr/>
        <w:t>the</w:t>
      </w:r>
      <w:r>
        <w:rPr>
          <w:spacing w:val="-33"/>
        </w:rPr>
        <w:t> </w:t>
      </w:r>
      <w:r>
        <w:rPr/>
        <w:t>rent</w:t>
      </w:r>
      <w:r>
        <w:rPr>
          <w:spacing w:val="-31"/>
        </w:rPr>
        <w:t> </w:t>
      </w:r>
      <w:r>
        <w:rPr/>
        <w:t>roll</w:t>
      </w:r>
      <w:r>
        <w:rPr>
          <w:spacing w:val="-33"/>
        </w:rPr>
        <w:t> </w:t>
      </w:r>
      <w:r>
        <w:rPr/>
        <w:t>provided</w:t>
      </w:r>
      <w:r>
        <w:rPr>
          <w:spacing w:val="-32"/>
        </w:rPr>
        <w:t> </w:t>
      </w:r>
      <w:r>
        <w:rPr/>
        <w:t>by</w:t>
      </w:r>
      <w:r>
        <w:rPr>
          <w:spacing w:val="-33"/>
        </w:rPr>
        <w:t> </w:t>
      </w:r>
      <w:r>
        <w:rPr/>
        <w:t>the</w:t>
      </w:r>
      <w:r>
        <w:rPr>
          <w:spacing w:val="-33"/>
        </w:rPr>
        <w:t> </w:t>
      </w:r>
      <w:r>
        <w:rPr/>
        <w:t>Client</w:t>
      </w:r>
      <w:r>
        <w:rPr>
          <w:spacing w:val="-32"/>
        </w:rPr>
        <w:t> </w:t>
      </w:r>
      <w:r>
        <w:rPr/>
        <w:t>and</w:t>
      </w:r>
      <w:r>
        <w:rPr>
          <w:spacing w:val="-30"/>
        </w:rPr>
        <w:t> </w:t>
      </w:r>
      <w:r>
        <w:rPr/>
        <w:t>occupancy</w:t>
      </w:r>
      <w:r>
        <w:rPr>
          <w:spacing w:val="-32"/>
        </w:rPr>
        <w:t> </w:t>
      </w:r>
      <w:r>
        <w:rPr/>
        <w:t>certificates,</w:t>
      </w:r>
      <w:r>
        <w:rPr>
          <w:spacing w:val="-32"/>
        </w:rPr>
        <w:t> </w:t>
      </w:r>
      <w:r>
        <w:rPr/>
        <w:t>we</w:t>
      </w:r>
      <w:r>
        <w:rPr>
          <w:spacing w:val="-33"/>
        </w:rPr>
        <w:t> </w:t>
      </w:r>
      <w:r>
        <w:rPr/>
        <w:t>understand</w:t>
      </w:r>
      <w:r>
        <w:rPr>
          <w:spacing w:val="-32"/>
        </w:rPr>
        <w:t> </w:t>
      </w:r>
      <w:r>
        <w:rPr/>
        <w:t>that</w:t>
      </w:r>
      <w:r>
        <w:rPr>
          <w:spacing w:val="-32"/>
        </w:rPr>
        <w:t> </w:t>
      </w:r>
      <w:r>
        <w:rPr/>
        <w:t>the</w:t>
      </w:r>
      <w:r>
        <w:rPr>
          <w:spacing w:val="-33"/>
        </w:rPr>
        <w:t> </w:t>
      </w:r>
      <w:r>
        <w:rPr/>
        <w:t>subject property</w:t>
      </w:r>
      <w:r>
        <w:rPr>
          <w:spacing w:val="-21"/>
        </w:rPr>
        <w:t> </w:t>
      </w:r>
      <w:r>
        <w:rPr/>
        <w:t>is</w:t>
      </w:r>
      <w:r>
        <w:rPr>
          <w:spacing w:val="-22"/>
        </w:rPr>
        <w:t> </w:t>
      </w:r>
      <w:r>
        <w:rPr/>
        <w:t>fully</w:t>
      </w:r>
      <w:r>
        <w:rPr>
          <w:spacing w:val="-21"/>
        </w:rPr>
        <w:t> </w:t>
      </w:r>
      <w:r>
        <w:rPr/>
        <w:t>operational</w:t>
      </w:r>
      <w:r>
        <w:rPr>
          <w:spacing w:val="-23"/>
        </w:rPr>
        <w:t> </w:t>
      </w:r>
      <w:r>
        <w:rPr/>
        <w:t>and</w:t>
      </w:r>
      <w:r>
        <w:rPr>
          <w:spacing w:val="-22"/>
        </w:rPr>
        <w:t> </w:t>
      </w:r>
      <w:r>
        <w:rPr/>
        <w:t>there</w:t>
      </w:r>
      <w:r>
        <w:rPr>
          <w:spacing w:val="-22"/>
        </w:rPr>
        <w:t> </w:t>
      </w:r>
      <w:r>
        <w:rPr/>
        <w:t>are</w:t>
      </w:r>
      <w:r>
        <w:rPr>
          <w:spacing w:val="-21"/>
        </w:rPr>
        <w:t> </w:t>
      </w:r>
      <w:r>
        <w:rPr/>
        <w:t>no</w:t>
      </w:r>
      <w:r>
        <w:rPr>
          <w:spacing w:val="-23"/>
        </w:rPr>
        <w:t> </w:t>
      </w:r>
      <w:r>
        <w:rPr/>
        <w:t>under-construction</w:t>
      </w:r>
      <w:r>
        <w:rPr>
          <w:spacing w:val="-22"/>
        </w:rPr>
        <w:t> </w:t>
      </w:r>
      <w:r>
        <w:rPr/>
        <w:t>blocks.</w:t>
      </w:r>
      <w:r>
        <w:rPr>
          <w:spacing w:val="-22"/>
        </w:rPr>
        <w:t> </w:t>
      </w:r>
      <w:r>
        <w:rPr/>
        <w:t>As</w:t>
      </w:r>
      <w:r>
        <w:rPr>
          <w:spacing w:val="-22"/>
        </w:rPr>
        <w:t> </w:t>
      </w:r>
      <w:r>
        <w:rPr/>
        <w:t>per</w:t>
      </w:r>
      <w:r>
        <w:rPr>
          <w:spacing w:val="-22"/>
        </w:rPr>
        <w:t> </w:t>
      </w:r>
      <w:r>
        <w:rPr/>
        <w:t>the</w:t>
      </w:r>
      <w:r>
        <w:rPr>
          <w:spacing w:val="-23"/>
        </w:rPr>
        <w:t> </w:t>
      </w:r>
      <w:r>
        <w:rPr/>
        <w:t>analysis</w:t>
      </w:r>
      <w:r>
        <w:rPr>
          <w:spacing w:val="-21"/>
        </w:rPr>
        <w:t> </w:t>
      </w:r>
      <w:r>
        <w:rPr/>
        <w:t>of</w:t>
      </w:r>
      <w:r>
        <w:rPr>
          <w:spacing w:val="-22"/>
        </w:rPr>
        <w:t> </w:t>
      </w:r>
      <w:r>
        <w:rPr/>
        <w:t>the</w:t>
      </w:r>
      <w:r>
        <w:rPr>
          <w:spacing w:val="-22"/>
        </w:rPr>
        <w:t> </w:t>
      </w:r>
      <w:r>
        <w:rPr/>
        <w:t>rent roll,</w:t>
      </w:r>
      <w:r>
        <w:rPr>
          <w:spacing w:val="-26"/>
        </w:rPr>
        <w:t> </w:t>
      </w:r>
      <w:r>
        <w:rPr/>
        <w:t>it</w:t>
      </w:r>
      <w:r>
        <w:rPr>
          <w:spacing w:val="-26"/>
        </w:rPr>
        <w:t> </w:t>
      </w:r>
      <w:r>
        <w:rPr/>
        <w:t>was</w:t>
      </w:r>
      <w:r>
        <w:rPr>
          <w:spacing w:val="-26"/>
        </w:rPr>
        <w:t> </w:t>
      </w:r>
      <w:r>
        <w:rPr/>
        <w:t>observed</w:t>
      </w:r>
      <w:r>
        <w:rPr>
          <w:spacing w:val="-27"/>
        </w:rPr>
        <w:t> </w:t>
      </w:r>
      <w:r>
        <w:rPr/>
        <w:t>that</w:t>
      </w:r>
      <w:r>
        <w:rPr>
          <w:spacing w:val="-27"/>
        </w:rPr>
        <w:t> </w:t>
      </w:r>
      <w:r>
        <w:rPr/>
        <w:t>there</w:t>
      </w:r>
      <w:r>
        <w:rPr>
          <w:spacing w:val="-27"/>
        </w:rPr>
        <w:t> </w:t>
      </w:r>
      <w:r>
        <w:rPr/>
        <w:t>are</w:t>
      </w:r>
      <w:r>
        <w:rPr>
          <w:spacing w:val="-26"/>
        </w:rPr>
        <w:t> </w:t>
      </w:r>
      <w:r>
        <w:rPr/>
        <w:t>vacant</w:t>
      </w:r>
      <w:r>
        <w:rPr>
          <w:spacing w:val="-26"/>
        </w:rPr>
        <w:t> </w:t>
      </w:r>
      <w:r>
        <w:rPr/>
        <w:t>spaces</w:t>
      </w:r>
      <w:r>
        <w:rPr>
          <w:spacing w:val="-25"/>
        </w:rPr>
        <w:t> </w:t>
      </w:r>
      <w:r>
        <w:rPr/>
        <w:t>in</w:t>
      </w:r>
      <w:r>
        <w:rPr>
          <w:spacing w:val="-26"/>
        </w:rPr>
        <w:t> </w:t>
      </w:r>
      <w:r>
        <w:rPr/>
        <w:t>the</w:t>
      </w:r>
      <w:r>
        <w:rPr>
          <w:spacing w:val="-28"/>
        </w:rPr>
        <w:t> </w:t>
      </w:r>
      <w:r>
        <w:rPr/>
        <w:t>subject</w:t>
      </w:r>
      <w:r>
        <w:rPr>
          <w:spacing w:val="-27"/>
        </w:rPr>
        <w:t> </w:t>
      </w:r>
      <w:r>
        <w:rPr/>
        <w:t>property.</w:t>
      </w:r>
      <w:r>
        <w:rPr>
          <w:spacing w:val="-27"/>
        </w:rPr>
        <w:t> </w:t>
      </w:r>
      <w:r>
        <w:rPr/>
        <w:t>The</w:t>
      </w:r>
      <w:r>
        <w:rPr>
          <w:spacing w:val="-26"/>
        </w:rPr>
        <w:t> </w:t>
      </w:r>
      <w:r>
        <w:rPr/>
        <w:t>subject</w:t>
      </w:r>
      <w:r>
        <w:rPr>
          <w:spacing w:val="-27"/>
        </w:rPr>
        <w:t> </w:t>
      </w:r>
      <w:r>
        <w:rPr/>
        <w:t>property</w:t>
      </w:r>
      <w:r>
        <w:rPr>
          <w:spacing w:val="-27"/>
        </w:rPr>
        <w:t> </w:t>
      </w:r>
      <w:r>
        <w:rPr/>
        <w:t>is</w:t>
      </w:r>
      <w:r>
        <w:rPr>
          <w:spacing w:val="-23"/>
        </w:rPr>
        <w:t> </w:t>
      </w:r>
      <w:r>
        <w:rPr/>
        <w:t>98.3% leased</w:t>
      </w:r>
      <w:r>
        <w:rPr>
          <w:spacing w:val="-23"/>
        </w:rPr>
        <w:t> </w:t>
      </w:r>
      <w:r>
        <w:rPr/>
        <w:t>as</w:t>
      </w:r>
      <w:r>
        <w:rPr>
          <w:spacing w:val="-23"/>
        </w:rPr>
        <w:t> </w:t>
      </w:r>
      <w:r>
        <w:rPr/>
        <w:t>of</w:t>
      </w:r>
      <w:r>
        <w:rPr>
          <w:spacing w:val="-23"/>
        </w:rPr>
        <w:t> </w:t>
      </w:r>
      <w:r>
        <w:rPr/>
        <w:t>date</w:t>
      </w:r>
      <w:r>
        <w:rPr>
          <w:spacing w:val="-23"/>
        </w:rPr>
        <w:t> </w:t>
      </w:r>
      <w:r>
        <w:rPr/>
        <w:t>of</w:t>
      </w:r>
      <w:r>
        <w:rPr>
          <w:spacing w:val="-23"/>
        </w:rPr>
        <w:t> </w:t>
      </w:r>
      <w:r>
        <w:rPr/>
        <w:t>valuation.</w:t>
      </w:r>
      <w:r>
        <w:rPr>
          <w:spacing w:val="-22"/>
        </w:rPr>
        <w:t> </w:t>
      </w:r>
      <w:r>
        <w:rPr/>
        <w:t>In</w:t>
      </w:r>
      <w:r>
        <w:rPr>
          <w:spacing w:val="-24"/>
        </w:rPr>
        <w:t> </w:t>
      </w:r>
      <w:r>
        <w:rPr/>
        <w:t>order</w:t>
      </w:r>
      <w:r>
        <w:rPr>
          <w:spacing w:val="-23"/>
        </w:rPr>
        <w:t> </w:t>
      </w:r>
      <w:r>
        <w:rPr/>
        <w:t>to</w:t>
      </w:r>
      <w:r>
        <w:rPr>
          <w:spacing w:val="-24"/>
        </w:rPr>
        <w:t> </w:t>
      </w:r>
      <w:r>
        <w:rPr/>
        <w:t>arrive</w:t>
      </w:r>
      <w:r>
        <w:rPr>
          <w:spacing w:val="-23"/>
        </w:rPr>
        <w:t> </w:t>
      </w:r>
      <w:r>
        <w:rPr/>
        <w:t>at</w:t>
      </w:r>
      <w:r>
        <w:rPr>
          <w:spacing w:val="-23"/>
        </w:rPr>
        <w:t> </w:t>
      </w:r>
      <w:r>
        <w:rPr/>
        <w:t>the</w:t>
      </w:r>
      <w:r>
        <w:rPr>
          <w:spacing w:val="-23"/>
        </w:rPr>
        <w:t> </w:t>
      </w:r>
      <w:r>
        <w:rPr/>
        <w:t>future</w:t>
      </w:r>
      <w:r>
        <w:rPr>
          <w:spacing w:val="-24"/>
        </w:rPr>
        <w:t> </w:t>
      </w:r>
      <w:r>
        <w:rPr/>
        <w:t>absorption</w:t>
      </w:r>
      <w:r>
        <w:rPr>
          <w:spacing w:val="-23"/>
        </w:rPr>
        <w:t> </w:t>
      </w:r>
      <w:r>
        <w:rPr/>
        <w:t>levels</w:t>
      </w:r>
      <w:r>
        <w:rPr>
          <w:spacing w:val="-23"/>
        </w:rPr>
        <w:t> </w:t>
      </w:r>
      <w:r>
        <w:rPr/>
        <w:t>at</w:t>
      </w:r>
      <w:r>
        <w:rPr>
          <w:spacing w:val="-23"/>
        </w:rPr>
        <w:t> </w:t>
      </w:r>
      <w:r>
        <w:rPr/>
        <w:t>the</w:t>
      </w:r>
      <w:r>
        <w:rPr>
          <w:spacing w:val="-24"/>
        </w:rPr>
        <w:t> </w:t>
      </w:r>
      <w:r>
        <w:rPr/>
        <w:t>subject</w:t>
      </w:r>
      <w:r>
        <w:rPr>
          <w:spacing w:val="-22"/>
        </w:rPr>
        <w:t> </w:t>
      </w:r>
      <w:r>
        <w:rPr/>
        <w:t>property, we</w:t>
      </w:r>
      <w:r>
        <w:rPr>
          <w:spacing w:val="-26"/>
        </w:rPr>
        <w:t> </w:t>
      </w:r>
      <w:r>
        <w:rPr/>
        <w:t>have</w:t>
      </w:r>
      <w:r>
        <w:rPr>
          <w:spacing w:val="-25"/>
        </w:rPr>
        <w:t> </w:t>
      </w:r>
      <w:r>
        <w:rPr/>
        <w:t>analysed</w:t>
      </w:r>
      <w:r>
        <w:rPr>
          <w:spacing w:val="-25"/>
        </w:rPr>
        <w:t> </w:t>
      </w:r>
      <w:r>
        <w:rPr/>
        <w:t>the</w:t>
      </w:r>
      <w:r>
        <w:rPr>
          <w:spacing w:val="-25"/>
        </w:rPr>
        <w:t> </w:t>
      </w:r>
      <w:r>
        <w:rPr/>
        <w:t>historical</w:t>
      </w:r>
      <w:r>
        <w:rPr>
          <w:spacing w:val="-26"/>
        </w:rPr>
        <w:t> </w:t>
      </w:r>
      <w:r>
        <w:rPr/>
        <w:t>demand</w:t>
      </w:r>
      <w:r>
        <w:rPr>
          <w:spacing w:val="-24"/>
        </w:rPr>
        <w:t> </w:t>
      </w:r>
      <w:r>
        <w:rPr/>
        <w:t>and</w:t>
      </w:r>
      <w:r>
        <w:rPr>
          <w:spacing w:val="-26"/>
        </w:rPr>
        <w:t> </w:t>
      </w:r>
      <w:r>
        <w:rPr/>
        <w:t>supply</w:t>
      </w:r>
      <w:r>
        <w:rPr>
          <w:spacing w:val="-24"/>
        </w:rPr>
        <w:t> </w:t>
      </w:r>
      <w:r>
        <w:rPr/>
        <w:t>trends</w:t>
      </w:r>
      <w:r>
        <w:rPr>
          <w:spacing w:val="-24"/>
        </w:rPr>
        <w:t> </w:t>
      </w:r>
      <w:r>
        <w:rPr/>
        <w:t>coupled</w:t>
      </w:r>
      <w:r>
        <w:rPr>
          <w:spacing w:val="-26"/>
        </w:rPr>
        <w:t> </w:t>
      </w:r>
      <w:r>
        <w:rPr/>
        <w:t>with</w:t>
      </w:r>
      <w:r>
        <w:rPr>
          <w:spacing w:val="-25"/>
        </w:rPr>
        <w:t> </w:t>
      </w:r>
      <w:r>
        <w:rPr/>
        <w:t>the</w:t>
      </w:r>
      <w:r>
        <w:rPr>
          <w:spacing w:val="-27"/>
        </w:rPr>
        <w:t> </w:t>
      </w:r>
      <w:r>
        <w:rPr/>
        <w:t>estimation</w:t>
      </w:r>
      <w:r>
        <w:rPr>
          <w:spacing w:val="-25"/>
        </w:rPr>
        <w:t> </w:t>
      </w:r>
      <w:r>
        <w:rPr/>
        <w:t>of</w:t>
      </w:r>
      <w:r>
        <w:rPr>
          <w:spacing w:val="-25"/>
        </w:rPr>
        <w:t> </w:t>
      </w:r>
      <w:r>
        <w:rPr/>
        <w:t>future</w:t>
      </w:r>
      <w:r>
        <w:rPr>
          <w:spacing w:val="-26"/>
        </w:rPr>
        <w:t> </w:t>
      </w:r>
      <w:r>
        <w:rPr/>
        <w:t>supply proposed to be introduced in the subject sub</w:t>
      </w:r>
      <w:r>
        <w:rPr>
          <w:spacing w:val="-40"/>
        </w:rPr>
        <w:t> </w:t>
      </w:r>
      <w:r>
        <w:rPr/>
        <w:t>market.</w:t>
      </w:r>
    </w:p>
    <w:p>
      <w:pPr>
        <w:pStyle w:val="BodyText"/>
        <w:spacing w:line="321" w:lineRule="auto" w:before="124"/>
        <w:ind w:left="802" w:right="241"/>
        <w:jc w:val="both"/>
      </w:pPr>
      <w:r>
        <w:rPr/>
        <w:t>Keeping</w:t>
      </w:r>
      <w:r>
        <w:rPr>
          <w:spacing w:val="-35"/>
        </w:rPr>
        <w:t> </w:t>
      </w:r>
      <w:r>
        <w:rPr/>
        <w:t>the</w:t>
      </w:r>
      <w:r>
        <w:rPr>
          <w:spacing w:val="-36"/>
        </w:rPr>
        <w:t> </w:t>
      </w:r>
      <w:r>
        <w:rPr/>
        <w:t>same</w:t>
      </w:r>
      <w:r>
        <w:rPr>
          <w:spacing w:val="-35"/>
        </w:rPr>
        <w:t> </w:t>
      </w:r>
      <w:r>
        <w:rPr/>
        <w:t>in</w:t>
      </w:r>
      <w:r>
        <w:rPr>
          <w:spacing w:val="-35"/>
        </w:rPr>
        <w:t> </w:t>
      </w:r>
      <w:r>
        <w:rPr/>
        <w:t>perspective,</w:t>
      </w:r>
      <w:r>
        <w:rPr>
          <w:spacing w:val="-34"/>
        </w:rPr>
        <w:t> </w:t>
      </w:r>
      <w:r>
        <w:rPr/>
        <w:t>we</w:t>
      </w:r>
      <w:r>
        <w:rPr>
          <w:spacing w:val="-35"/>
        </w:rPr>
        <w:t> </w:t>
      </w:r>
      <w:r>
        <w:rPr/>
        <w:t>opine</w:t>
      </w:r>
      <w:r>
        <w:rPr>
          <w:spacing w:val="-35"/>
        </w:rPr>
        <w:t> </w:t>
      </w:r>
      <w:r>
        <w:rPr/>
        <w:t>that</w:t>
      </w:r>
      <w:r>
        <w:rPr>
          <w:spacing w:val="-36"/>
        </w:rPr>
        <w:t> </w:t>
      </w:r>
      <w:r>
        <w:rPr/>
        <w:t>the</w:t>
      </w:r>
      <w:r>
        <w:rPr>
          <w:spacing w:val="-36"/>
        </w:rPr>
        <w:t> </w:t>
      </w:r>
      <w:r>
        <w:rPr/>
        <w:t>vacant</w:t>
      </w:r>
      <w:r>
        <w:rPr>
          <w:spacing w:val="-34"/>
        </w:rPr>
        <w:t> </w:t>
      </w:r>
      <w:r>
        <w:rPr/>
        <w:t>space</w:t>
      </w:r>
      <w:r>
        <w:rPr>
          <w:spacing w:val="-35"/>
        </w:rPr>
        <w:t> </w:t>
      </w:r>
      <w:r>
        <w:rPr/>
        <w:t>in</w:t>
      </w:r>
      <w:r>
        <w:rPr>
          <w:spacing w:val="-35"/>
        </w:rPr>
        <w:t> </w:t>
      </w:r>
      <w:r>
        <w:rPr/>
        <w:t>the</w:t>
      </w:r>
      <w:r>
        <w:rPr>
          <w:spacing w:val="-37"/>
        </w:rPr>
        <w:t> </w:t>
      </w:r>
      <w:r>
        <w:rPr/>
        <w:t>subject</w:t>
      </w:r>
      <w:r>
        <w:rPr>
          <w:spacing w:val="-34"/>
        </w:rPr>
        <w:t> </w:t>
      </w:r>
      <w:r>
        <w:rPr/>
        <w:t>property</w:t>
      </w:r>
      <w:r>
        <w:rPr>
          <w:spacing w:val="-35"/>
        </w:rPr>
        <w:t> </w:t>
      </w:r>
      <w:r>
        <w:rPr/>
        <w:t>would</w:t>
      </w:r>
      <w:r>
        <w:rPr>
          <w:spacing w:val="-35"/>
        </w:rPr>
        <w:t> </w:t>
      </w:r>
      <w:r>
        <w:rPr/>
        <w:t>be</w:t>
      </w:r>
      <w:r>
        <w:rPr>
          <w:spacing w:val="-36"/>
        </w:rPr>
        <w:t> </w:t>
      </w:r>
      <w:r>
        <w:rPr/>
        <w:t>leased by </w:t>
      </w:r>
      <w:r>
        <w:rPr>
          <w:spacing w:val="-2"/>
        </w:rPr>
        <w:t>end </w:t>
      </w:r>
      <w:r>
        <w:rPr/>
        <w:t>of Q3, FY</w:t>
      </w:r>
      <w:r>
        <w:rPr>
          <w:spacing w:val="-2"/>
        </w:rPr>
        <w:t> </w:t>
      </w:r>
      <w:r>
        <w:rPr/>
        <w:t>2021.</w:t>
      </w:r>
    </w:p>
    <w:p>
      <w:pPr>
        <w:pStyle w:val="BodyText"/>
        <w:spacing w:before="7"/>
        <w:rPr>
          <w:sz w:val="20"/>
        </w:rPr>
      </w:pPr>
    </w:p>
    <w:p>
      <w:pPr>
        <w:pStyle w:val="ListParagraph"/>
        <w:numPr>
          <w:ilvl w:val="2"/>
          <w:numId w:val="14"/>
        </w:numPr>
        <w:tabs>
          <w:tab w:pos="961" w:val="left" w:leader="none"/>
        </w:tabs>
        <w:spacing w:line="240" w:lineRule="auto" w:before="0" w:after="0"/>
        <w:ind w:left="960" w:right="0" w:hanging="721"/>
        <w:jc w:val="both"/>
        <w:rPr>
          <w:sz w:val="22"/>
        </w:rPr>
      </w:pPr>
      <w:bookmarkStart w:name="_bookmark318" w:id="621"/>
      <w:bookmarkEnd w:id="621"/>
      <w:r>
        <w:rPr/>
      </w:r>
      <w:bookmarkStart w:name="_bookmark318" w:id="622"/>
      <w:bookmarkEnd w:id="622"/>
      <w:r>
        <w:rPr>
          <w:color w:val="1F664D"/>
          <w:w w:val="105"/>
          <w:sz w:val="22"/>
        </w:rPr>
        <w:t>R</w:t>
      </w:r>
      <w:r>
        <w:rPr>
          <w:color w:val="1F664D"/>
          <w:w w:val="105"/>
          <w:sz w:val="22"/>
        </w:rPr>
        <w:t>evenue</w:t>
      </w:r>
      <w:r>
        <w:rPr>
          <w:color w:val="1F664D"/>
          <w:spacing w:val="-4"/>
          <w:w w:val="105"/>
          <w:sz w:val="22"/>
        </w:rPr>
        <w:t> </w:t>
      </w:r>
      <w:r>
        <w:rPr>
          <w:color w:val="1F664D"/>
          <w:w w:val="105"/>
          <w:sz w:val="22"/>
        </w:rPr>
        <w:t>Assumptions</w:t>
      </w:r>
    </w:p>
    <w:p>
      <w:pPr>
        <w:pStyle w:val="BodyText"/>
        <w:spacing w:before="6"/>
        <w:rPr>
          <w:sz w:val="25"/>
        </w:rPr>
      </w:pPr>
    </w:p>
    <w:p>
      <w:pPr>
        <w:pStyle w:val="ListParagraph"/>
        <w:numPr>
          <w:ilvl w:val="3"/>
          <w:numId w:val="81"/>
        </w:numPr>
        <w:tabs>
          <w:tab w:pos="1105" w:val="left" w:leader="none"/>
        </w:tabs>
        <w:spacing w:line="240" w:lineRule="auto" w:before="0" w:after="0"/>
        <w:ind w:left="1104" w:right="0" w:hanging="865"/>
        <w:jc w:val="both"/>
        <w:rPr>
          <w:i/>
          <w:sz w:val="20"/>
        </w:rPr>
      </w:pPr>
      <w:r>
        <w:rPr>
          <w:i/>
          <w:color w:val="008000"/>
          <w:sz w:val="20"/>
        </w:rPr>
        <w:t>Lease rent</w:t>
      </w:r>
      <w:r>
        <w:rPr>
          <w:i/>
          <w:color w:val="008000"/>
          <w:spacing w:val="-8"/>
          <w:sz w:val="20"/>
        </w:rPr>
        <w:t> </w:t>
      </w:r>
      <w:r>
        <w:rPr>
          <w:i/>
          <w:color w:val="008000"/>
          <w:sz w:val="20"/>
        </w:rPr>
        <w:t>assumptions</w:t>
      </w:r>
    </w:p>
    <w:p>
      <w:pPr>
        <w:pStyle w:val="BodyText"/>
        <w:rPr>
          <w:i/>
        </w:rPr>
      </w:pPr>
    </w:p>
    <w:p>
      <w:pPr>
        <w:pStyle w:val="BodyText"/>
        <w:spacing w:line="321" w:lineRule="auto" w:before="1"/>
        <w:ind w:left="802" w:right="236"/>
        <w:jc w:val="both"/>
      </w:pPr>
      <w:r>
        <w:rPr/>
        <w:t>For</w:t>
      </w:r>
      <w:r>
        <w:rPr>
          <w:spacing w:val="-13"/>
        </w:rPr>
        <w:t> </w:t>
      </w:r>
      <w:r>
        <w:rPr/>
        <w:t>the</w:t>
      </w:r>
      <w:r>
        <w:rPr>
          <w:spacing w:val="-13"/>
        </w:rPr>
        <w:t> </w:t>
      </w:r>
      <w:r>
        <w:rPr/>
        <w:t>purpose</w:t>
      </w:r>
      <w:r>
        <w:rPr>
          <w:spacing w:val="-13"/>
        </w:rPr>
        <w:t> </w:t>
      </w:r>
      <w:r>
        <w:rPr/>
        <w:t>of</w:t>
      </w:r>
      <w:r>
        <w:rPr>
          <w:spacing w:val="-11"/>
        </w:rPr>
        <w:t> </w:t>
      </w:r>
      <w:r>
        <w:rPr/>
        <w:t>this</w:t>
      </w:r>
      <w:r>
        <w:rPr>
          <w:spacing w:val="-12"/>
        </w:rPr>
        <w:t> </w:t>
      </w:r>
      <w:r>
        <w:rPr/>
        <w:t>appraisal</w:t>
      </w:r>
      <w:r>
        <w:rPr>
          <w:spacing w:val="-13"/>
        </w:rPr>
        <w:t> </w:t>
      </w:r>
      <w:r>
        <w:rPr/>
        <w:t>exercise,</w:t>
      </w:r>
      <w:r>
        <w:rPr>
          <w:spacing w:val="-13"/>
        </w:rPr>
        <w:t> </w:t>
      </w:r>
      <w:r>
        <w:rPr/>
        <w:t>the</w:t>
      </w:r>
      <w:r>
        <w:rPr>
          <w:spacing w:val="-12"/>
        </w:rPr>
        <w:t> </w:t>
      </w:r>
      <w:r>
        <w:rPr/>
        <w:t>lease</w:t>
      </w:r>
      <w:r>
        <w:rPr>
          <w:spacing w:val="-13"/>
        </w:rPr>
        <w:t> </w:t>
      </w:r>
      <w:r>
        <w:rPr/>
        <w:t>rent</w:t>
      </w:r>
      <w:r>
        <w:rPr>
          <w:spacing w:val="-13"/>
        </w:rPr>
        <w:t> </w:t>
      </w:r>
      <w:r>
        <w:rPr/>
        <w:t>adopted</w:t>
      </w:r>
      <w:r>
        <w:rPr>
          <w:spacing w:val="-12"/>
        </w:rPr>
        <w:t> </w:t>
      </w:r>
      <w:r>
        <w:rPr/>
        <w:t>for</w:t>
      </w:r>
      <w:r>
        <w:rPr>
          <w:spacing w:val="-12"/>
        </w:rPr>
        <w:t> </w:t>
      </w:r>
      <w:r>
        <w:rPr/>
        <w:t>the</w:t>
      </w:r>
      <w:r>
        <w:rPr>
          <w:spacing w:val="-13"/>
        </w:rPr>
        <w:t> </w:t>
      </w:r>
      <w:r>
        <w:rPr/>
        <w:t>area</w:t>
      </w:r>
      <w:r>
        <w:rPr>
          <w:spacing w:val="-13"/>
        </w:rPr>
        <w:t> </w:t>
      </w:r>
      <w:r>
        <w:rPr/>
        <w:t>already</w:t>
      </w:r>
      <w:r>
        <w:rPr>
          <w:spacing w:val="-11"/>
        </w:rPr>
        <w:t> </w:t>
      </w:r>
      <w:r>
        <w:rPr/>
        <w:t>leased</w:t>
      </w:r>
      <w:r>
        <w:rPr>
          <w:spacing w:val="-12"/>
        </w:rPr>
        <w:t> </w:t>
      </w:r>
      <w:r>
        <w:rPr/>
        <w:t>is</w:t>
      </w:r>
      <w:r>
        <w:rPr>
          <w:spacing w:val="-12"/>
        </w:rPr>
        <w:t> </w:t>
      </w:r>
      <w:r>
        <w:rPr/>
        <w:t>based on</w:t>
      </w:r>
      <w:r>
        <w:rPr>
          <w:spacing w:val="-22"/>
        </w:rPr>
        <w:t> </w:t>
      </w:r>
      <w:r>
        <w:rPr/>
        <w:t>the</w:t>
      </w:r>
      <w:r>
        <w:rPr>
          <w:spacing w:val="-22"/>
        </w:rPr>
        <w:t> </w:t>
      </w:r>
      <w:r>
        <w:rPr/>
        <w:t>rent</w:t>
      </w:r>
      <w:r>
        <w:rPr>
          <w:spacing w:val="-21"/>
        </w:rPr>
        <w:t> </w:t>
      </w:r>
      <w:r>
        <w:rPr/>
        <w:t>roll</w:t>
      </w:r>
      <w:r>
        <w:rPr>
          <w:spacing w:val="-22"/>
        </w:rPr>
        <w:t> </w:t>
      </w:r>
      <w:r>
        <w:rPr/>
        <w:t>shared</w:t>
      </w:r>
      <w:r>
        <w:rPr>
          <w:spacing w:val="-23"/>
        </w:rPr>
        <w:t> </w:t>
      </w:r>
      <w:r>
        <w:rPr/>
        <w:t>by</w:t>
      </w:r>
      <w:r>
        <w:rPr>
          <w:spacing w:val="-20"/>
        </w:rPr>
        <w:t> </w:t>
      </w:r>
      <w:r>
        <w:rPr/>
        <w:t>the</w:t>
      </w:r>
      <w:r>
        <w:rPr>
          <w:spacing w:val="-23"/>
        </w:rPr>
        <w:t> </w:t>
      </w:r>
      <w:r>
        <w:rPr/>
        <w:t>Client.</w:t>
      </w:r>
      <w:r>
        <w:rPr>
          <w:spacing w:val="-22"/>
        </w:rPr>
        <w:t> </w:t>
      </w:r>
      <w:r>
        <w:rPr/>
        <w:t>Further,</w:t>
      </w:r>
      <w:r>
        <w:rPr>
          <w:spacing w:val="-20"/>
        </w:rPr>
        <w:t> </w:t>
      </w:r>
      <w:r>
        <w:rPr/>
        <w:t>we</w:t>
      </w:r>
      <w:r>
        <w:rPr>
          <w:spacing w:val="-23"/>
        </w:rPr>
        <w:t> </w:t>
      </w:r>
      <w:r>
        <w:rPr/>
        <w:t>has</w:t>
      </w:r>
      <w:r>
        <w:rPr>
          <w:spacing w:val="-21"/>
        </w:rPr>
        <w:t> </w:t>
      </w:r>
      <w:r>
        <w:rPr/>
        <w:t>undertaken</w:t>
      </w:r>
      <w:r>
        <w:rPr>
          <w:spacing w:val="-22"/>
        </w:rPr>
        <w:t> </w:t>
      </w:r>
      <w:r>
        <w:rPr/>
        <w:t>an</w:t>
      </w:r>
      <w:r>
        <w:rPr>
          <w:spacing w:val="-21"/>
        </w:rPr>
        <w:t> </w:t>
      </w:r>
      <w:r>
        <w:rPr/>
        <w:t>in-depth</w:t>
      </w:r>
      <w:r>
        <w:rPr>
          <w:spacing w:val="-22"/>
        </w:rPr>
        <w:t> </w:t>
      </w:r>
      <w:r>
        <w:rPr/>
        <w:t>market</w:t>
      </w:r>
      <w:r>
        <w:rPr>
          <w:spacing w:val="-21"/>
        </w:rPr>
        <w:t> </w:t>
      </w:r>
      <w:r>
        <w:rPr/>
        <w:t>research</w:t>
      </w:r>
      <w:r>
        <w:rPr>
          <w:spacing w:val="-22"/>
        </w:rPr>
        <w:t> </w:t>
      </w:r>
      <w:r>
        <w:rPr/>
        <w:t>exercise to assess the prevailing marginal rent values in the sub market. The same has been adopted for the vacant</w:t>
      </w:r>
      <w:r>
        <w:rPr>
          <w:spacing w:val="-34"/>
        </w:rPr>
        <w:t> </w:t>
      </w:r>
      <w:r>
        <w:rPr/>
        <w:t>space/</w:t>
      </w:r>
      <w:r>
        <w:rPr>
          <w:spacing w:val="-34"/>
        </w:rPr>
        <w:t> </w:t>
      </w:r>
      <w:r>
        <w:rPr/>
        <w:t>on</w:t>
      </w:r>
      <w:r>
        <w:rPr>
          <w:spacing w:val="-34"/>
        </w:rPr>
        <w:t> </w:t>
      </w:r>
      <w:r>
        <w:rPr/>
        <w:t>reversion</w:t>
      </w:r>
      <w:r>
        <w:rPr>
          <w:spacing w:val="-33"/>
        </w:rPr>
        <w:t> </w:t>
      </w:r>
      <w:r>
        <w:rPr/>
        <w:t>of</w:t>
      </w:r>
      <w:r>
        <w:rPr>
          <w:spacing w:val="-33"/>
        </w:rPr>
        <w:t> </w:t>
      </w:r>
      <w:r>
        <w:rPr/>
        <w:t>existing</w:t>
      </w:r>
      <w:r>
        <w:rPr>
          <w:spacing w:val="-33"/>
        </w:rPr>
        <w:t> </w:t>
      </w:r>
      <w:r>
        <w:rPr/>
        <w:t>leases</w:t>
      </w:r>
      <w:r>
        <w:rPr>
          <w:spacing w:val="-33"/>
        </w:rPr>
        <w:t> </w:t>
      </w:r>
      <w:r>
        <w:rPr/>
        <w:t>to</w:t>
      </w:r>
      <w:r>
        <w:rPr>
          <w:spacing w:val="-33"/>
        </w:rPr>
        <w:t> </w:t>
      </w:r>
      <w:r>
        <w:rPr/>
        <w:t>market</w:t>
      </w:r>
      <w:r>
        <w:rPr>
          <w:spacing w:val="-34"/>
        </w:rPr>
        <w:t> </w:t>
      </w:r>
      <w:r>
        <w:rPr/>
        <w:t>(duly</w:t>
      </w:r>
      <w:r>
        <w:rPr>
          <w:spacing w:val="-33"/>
        </w:rPr>
        <w:t> </w:t>
      </w:r>
      <w:r>
        <w:rPr/>
        <w:t>factoring</w:t>
      </w:r>
      <w:r>
        <w:rPr>
          <w:spacing w:val="-32"/>
        </w:rPr>
        <w:t> </w:t>
      </w:r>
      <w:r>
        <w:rPr/>
        <w:t>escalation)</w:t>
      </w:r>
      <w:r>
        <w:rPr>
          <w:spacing w:val="-33"/>
        </w:rPr>
        <w:t> </w:t>
      </w:r>
      <w:r>
        <w:rPr/>
        <w:t>for</w:t>
      </w:r>
      <w:r>
        <w:rPr>
          <w:spacing w:val="-34"/>
        </w:rPr>
        <w:t> </w:t>
      </w:r>
      <w:r>
        <w:rPr/>
        <w:t>the</w:t>
      </w:r>
      <w:r>
        <w:rPr>
          <w:spacing w:val="-34"/>
        </w:rPr>
        <w:t> </w:t>
      </w:r>
      <w:r>
        <w:rPr/>
        <w:t>purpose</w:t>
      </w:r>
      <w:r>
        <w:rPr>
          <w:spacing w:val="-34"/>
        </w:rPr>
        <w:t> </w:t>
      </w:r>
      <w:r>
        <w:rPr/>
        <w:t>of</w:t>
      </w:r>
      <w:r>
        <w:rPr>
          <w:spacing w:val="-34"/>
        </w:rPr>
        <w:t> </w:t>
      </w:r>
      <w:r>
        <w:rPr/>
        <w:t>this valuation</w:t>
      </w:r>
      <w:r>
        <w:rPr>
          <w:spacing w:val="-4"/>
        </w:rPr>
        <w:t> </w:t>
      </w:r>
      <w:r>
        <w:rPr/>
        <w:t>exercise.</w:t>
      </w:r>
    </w:p>
    <w:p>
      <w:pPr>
        <w:pStyle w:val="BodyText"/>
        <w:rPr>
          <w:sz w:val="21"/>
        </w:rPr>
      </w:pPr>
    </w:p>
    <w:p>
      <w:pPr>
        <w:pStyle w:val="BodyText"/>
        <w:spacing w:line="319" w:lineRule="auto" w:before="1"/>
        <w:ind w:left="802" w:right="233"/>
        <w:jc w:val="both"/>
      </w:pPr>
      <w:r>
        <w:rPr/>
        <w:t>Based</w:t>
      </w:r>
      <w:r>
        <w:rPr>
          <w:spacing w:val="-8"/>
        </w:rPr>
        <w:t> </w:t>
      </w:r>
      <w:r>
        <w:rPr/>
        <w:t>on</w:t>
      </w:r>
      <w:r>
        <w:rPr>
          <w:spacing w:val="-7"/>
        </w:rPr>
        <w:t> </w:t>
      </w:r>
      <w:r>
        <w:rPr/>
        <w:t>our</w:t>
      </w:r>
      <w:r>
        <w:rPr>
          <w:spacing w:val="-7"/>
        </w:rPr>
        <w:t> </w:t>
      </w:r>
      <w:r>
        <w:rPr/>
        <w:t>market</w:t>
      </w:r>
      <w:r>
        <w:rPr>
          <w:spacing w:val="-7"/>
        </w:rPr>
        <w:t> </w:t>
      </w:r>
      <w:r>
        <w:rPr/>
        <w:t>study</w:t>
      </w:r>
      <w:r>
        <w:rPr>
          <w:spacing w:val="-8"/>
        </w:rPr>
        <w:t> </w:t>
      </w:r>
      <w:r>
        <w:rPr/>
        <w:t>and</w:t>
      </w:r>
      <w:r>
        <w:rPr>
          <w:spacing w:val="-9"/>
        </w:rPr>
        <w:t> </w:t>
      </w:r>
      <w:r>
        <w:rPr/>
        <w:t>based</w:t>
      </w:r>
      <w:r>
        <w:rPr>
          <w:spacing w:val="-6"/>
        </w:rPr>
        <w:t> </w:t>
      </w:r>
      <w:r>
        <w:rPr/>
        <w:t>on</w:t>
      </w:r>
      <w:r>
        <w:rPr>
          <w:spacing w:val="-9"/>
        </w:rPr>
        <w:t> </w:t>
      </w:r>
      <w:r>
        <w:rPr/>
        <w:t>the</w:t>
      </w:r>
      <w:r>
        <w:rPr>
          <w:spacing w:val="-7"/>
        </w:rPr>
        <w:t> </w:t>
      </w:r>
      <w:r>
        <w:rPr/>
        <w:t>analysis</w:t>
      </w:r>
      <w:r>
        <w:rPr>
          <w:spacing w:val="-7"/>
        </w:rPr>
        <w:t> </w:t>
      </w:r>
      <w:r>
        <w:rPr/>
        <w:t>of</w:t>
      </w:r>
      <w:r>
        <w:rPr>
          <w:spacing w:val="-8"/>
        </w:rPr>
        <w:t> </w:t>
      </w:r>
      <w:r>
        <w:rPr/>
        <w:t>the</w:t>
      </w:r>
      <w:r>
        <w:rPr>
          <w:spacing w:val="-7"/>
        </w:rPr>
        <w:t> </w:t>
      </w:r>
      <w:r>
        <w:rPr/>
        <w:t>rent</w:t>
      </w:r>
      <w:r>
        <w:rPr>
          <w:spacing w:val="-7"/>
        </w:rPr>
        <w:t> </w:t>
      </w:r>
      <w:r>
        <w:rPr/>
        <w:t>roll</w:t>
      </w:r>
      <w:r>
        <w:rPr>
          <w:spacing w:val="-2"/>
        </w:rPr>
        <w:t> </w:t>
      </w:r>
      <w:r>
        <w:rPr/>
        <w:t>and</w:t>
      </w:r>
      <w:r>
        <w:rPr>
          <w:spacing w:val="-8"/>
        </w:rPr>
        <w:t> </w:t>
      </w:r>
      <w:r>
        <w:rPr/>
        <w:t>lease</w:t>
      </w:r>
      <w:r>
        <w:rPr>
          <w:spacing w:val="-7"/>
        </w:rPr>
        <w:t> </w:t>
      </w:r>
      <w:r>
        <w:rPr/>
        <w:t>deeds</w:t>
      </w:r>
      <w:r>
        <w:rPr>
          <w:spacing w:val="-6"/>
        </w:rPr>
        <w:t> </w:t>
      </w:r>
      <w:r>
        <w:rPr/>
        <w:t>provided</w:t>
      </w:r>
      <w:r>
        <w:rPr>
          <w:spacing w:val="-6"/>
        </w:rPr>
        <w:t> </w:t>
      </w:r>
      <w:r>
        <w:rPr/>
        <w:t>by</w:t>
      </w:r>
      <w:r>
        <w:rPr>
          <w:spacing w:val="-8"/>
        </w:rPr>
        <w:t> </w:t>
      </w:r>
      <w:r>
        <w:rPr/>
        <w:t>the Client,</w:t>
      </w:r>
      <w:r>
        <w:rPr>
          <w:spacing w:val="-27"/>
        </w:rPr>
        <w:t> </w:t>
      </w:r>
      <w:r>
        <w:rPr/>
        <w:t>following</w:t>
      </w:r>
      <w:r>
        <w:rPr>
          <w:spacing w:val="-26"/>
        </w:rPr>
        <w:t> </w:t>
      </w:r>
      <w:r>
        <w:rPr/>
        <w:t>rent</w:t>
      </w:r>
      <w:r>
        <w:rPr>
          <w:spacing w:val="-26"/>
        </w:rPr>
        <w:t> </w:t>
      </w:r>
      <w:r>
        <w:rPr/>
        <w:t>have</w:t>
      </w:r>
      <w:r>
        <w:rPr>
          <w:spacing w:val="-27"/>
        </w:rPr>
        <w:t> </w:t>
      </w:r>
      <w:r>
        <w:rPr/>
        <w:t>been</w:t>
      </w:r>
      <w:r>
        <w:rPr>
          <w:spacing w:val="-27"/>
        </w:rPr>
        <w:t> </w:t>
      </w:r>
      <w:r>
        <w:rPr/>
        <w:t>adopted</w:t>
      </w:r>
      <w:r>
        <w:rPr>
          <w:spacing w:val="-25"/>
        </w:rPr>
        <w:t> </w:t>
      </w:r>
      <w:r>
        <w:rPr/>
        <w:t>for</w:t>
      </w:r>
      <w:r>
        <w:rPr>
          <w:spacing w:val="-27"/>
        </w:rPr>
        <w:t> </w:t>
      </w:r>
      <w:r>
        <w:rPr/>
        <w:t>the</w:t>
      </w:r>
      <w:r>
        <w:rPr>
          <w:spacing w:val="-27"/>
        </w:rPr>
        <w:t> </w:t>
      </w:r>
      <w:r>
        <w:rPr/>
        <w:t>purpose</w:t>
      </w:r>
      <w:r>
        <w:rPr>
          <w:spacing w:val="-27"/>
        </w:rPr>
        <w:t> </w:t>
      </w:r>
      <w:r>
        <w:rPr/>
        <w:t>of</w:t>
      </w:r>
      <w:r>
        <w:rPr>
          <w:spacing w:val="-23"/>
        </w:rPr>
        <w:t> </w:t>
      </w:r>
      <w:r>
        <w:rPr/>
        <w:t>value</w:t>
      </w:r>
      <w:r>
        <w:rPr>
          <w:spacing w:val="-27"/>
        </w:rPr>
        <w:t> </w:t>
      </w:r>
      <w:r>
        <w:rPr/>
        <w:t>assessment</w:t>
      </w:r>
      <w:r>
        <w:rPr>
          <w:spacing w:val="-26"/>
        </w:rPr>
        <w:t> </w:t>
      </w:r>
      <w:r>
        <w:rPr/>
        <w:t>of</w:t>
      </w:r>
      <w:r>
        <w:rPr>
          <w:spacing w:val="-26"/>
        </w:rPr>
        <w:t> </w:t>
      </w:r>
      <w:r>
        <w:rPr/>
        <w:t>the</w:t>
      </w:r>
      <w:r>
        <w:rPr>
          <w:spacing w:val="-27"/>
        </w:rPr>
        <w:t> </w:t>
      </w:r>
      <w:r>
        <w:rPr/>
        <w:t>subject</w:t>
      </w:r>
      <w:r>
        <w:rPr>
          <w:spacing w:val="-26"/>
        </w:rPr>
        <w:t> </w:t>
      </w:r>
      <w:r>
        <w:rPr/>
        <w:t>property.</w:t>
      </w:r>
    </w:p>
    <w:p>
      <w:pPr>
        <w:pStyle w:val="BodyText"/>
        <w:spacing w:before="7"/>
        <w:rPr>
          <w:sz w:val="20"/>
        </w:rPr>
      </w:pPr>
    </w:p>
    <w:tbl>
      <w:tblPr>
        <w:tblW w:w="0" w:type="auto"/>
        <w:jc w:val="left"/>
        <w:tblInd w:w="2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23"/>
        <w:gridCol w:w="2243"/>
        <w:gridCol w:w="1585"/>
        <w:gridCol w:w="3058"/>
        <w:gridCol w:w="1963"/>
      </w:tblGrid>
      <w:tr>
        <w:trPr>
          <w:trHeight w:val="431" w:hRule="atLeast"/>
        </w:trPr>
        <w:tc>
          <w:tcPr>
            <w:tcW w:w="1623" w:type="dxa"/>
            <w:tcBorders>
              <w:top w:val="single" w:sz="4" w:space="0" w:color="69BD28"/>
              <w:bottom w:val="single" w:sz="4" w:space="0" w:color="69BD28"/>
            </w:tcBorders>
            <w:shd w:val="clear" w:color="auto" w:fill="006A4D"/>
          </w:tcPr>
          <w:p>
            <w:pPr>
              <w:pStyle w:val="TableParagraph"/>
              <w:spacing w:before="111"/>
              <w:ind w:left="288" w:right="286"/>
              <w:rPr>
                <w:b/>
                <w:sz w:val="18"/>
              </w:rPr>
            </w:pPr>
            <w:r>
              <w:rPr>
                <w:b/>
                <w:color w:val="FFFFFF"/>
                <w:w w:val="105"/>
                <w:sz w:val="18"/>
              </w:rPr>
              <w:t>Component</w:t>
            </w:r>
          </w:p>
        </w:tc>
        <w:tc>
          <w:tcPr>
            <w:tcW w:w="2243" w:type="dxa"/>
            <w:tcBorders>
              <w:top w:val="single" w:sz="4" w:space="0" w:color="69BD28"/>
              <w:bottom w:val="single" w:sz="4" w:space="0" w:color="69BD28"/>
            </w:tcBorders>
            <w:shd w:val="clear" w:color="auto" w:fill="006A4D"/>
          </w:tcPr>
          <w:p>
            <w:pPr>
              <w:pStyle w:val="TableParagraph"/>
              <w:spacing w:before="111"/>
              <w:ind w:left="297" w:right="245"/>
              <w:rPr>
                <w:b/>
                <w:sz w:val="18"/>
              </w:rPr>
            </w:pPr>
            <w:r>
              <w:rPr>
                <w:b/>
                <w:color w:val="FFFFFF"/>
                <w:w w:val="110"/>
                <w:sz w:val="18"/>
              </w:rPr>
              <w:t>Leasable Area (sf)</w:t>
            </w:r>
          </w:p>
        </w:tc>
        <w:tc>
          <w:tcPr>
            <w:tcW w:w="1585" w:type="dxa"/>
            <w:tcBorders>
              <w:top w:val="single" w:sz="4" w:space="0" w:color="69BD28"/>
              <w:bottom w:val="single" w:sz="4" w:space="0" w:color="69BD28"/>
            </w:tcBorders>
            <w:shd w:val="clear" w:color="auto" w:fill="006A4D"/>
          </w:tcPr>
          <w:p>
            <w:pPr>
              <w:pStyle w:val="TableParagraph"/>
              <w:spacing w:line="216" w:lineRule="exact"/>
              <w:ind w:left="651" w:right="164" w:hanging="382"/>
              <w:jc w:val="left"/>
              <w:rPr>
                <w:b/>
                <w:sz w:val="18"/>
              </w:rPr>
            </w:pPr>
            <w:r>
              <w:rPr>
                <w:b/>
                <w:color w:val="FFFFFF"/>
                <w:w w:val="110"/>
                <w:sz w:val="18"/>
              </w:rPr>
              <w:t>Leased Area (sf)*</w:t>
            </w:r>
          </w:p>
        </w:tc>
        <w:tc>
          <w:tcPr>
            <w:tcW w:w="3058" w:type="dxa"/>
            <w:tcBorders>
              <w:top w:val="single" w:sz="4" w:space="0" w:color="69BD28"/>
              <w:bottom w:val="single" w:sz="4" w:space="0" w:color="69BD28"/>
            </w:tcBorders>
            <w:shd w:val="clear" w:color="auto" w:fill="006A4D"/>
          </w:tcPr>
          <w:p>
            <w:pPr>
              <w:pStyle w:val="TableParagraph"/>
              <w:spacing w:before="111"/>
              <w:ind w:left="356" w:right="311"/>
              <w:rPr>
                <w:b/>
                <w:sz w:val="18"/>
              </w:rPr>
            </w:pPr>
            <w:r>
              <w:rPr>
                <w:b/>
                <w:color w:val="FFFFFF"/>
                <w:w w:val="115"/>
                <w:sz w:val="18"/>
              </w:rPr>
              <w:t>Basis</w:t>
            </w:r>
          </w:p>
        </w:tc>
        <w:tc>
          <w:tcPr>
            <w:tcW w:w="1963" w:type="dxa"/>
            <w:tcBorders>
              <w:top w:val="single" w:sz="4" w:space="0" w:color="69BD28"/>
              <w:bottom w:val="single" w:sz="4" w:space="0" w:color="69BD28"/>
            </w:tcBorders>
            <w:shd w:val="clear" w:color="auto" w:fill="006A4D"/>
          </w:tcPr>
          <w:p>
            <w:pPr>
              <w:pStyle w:val="TableParagraph"/>
              <w:spacing w:line="216" w:lineRule="exact"/>
              <w:ind w:left="644" w:hanging="507"/>
              <w:jc w:val="left"/>
              <w:rPr>
                <w:b/>
                <w:sz w:val="18"/>
              </w:rPr>
            </w:pPr>
            <w:r>
              <w:rPr>
                <w:b/>
                <w:color w:val="FFFFFF"/>
                <w:w w:val="110"/>
                <w:sz w:val="18"/>
              </w:rPr>
              <w:t>Rent Adopted (INR psf pm)</w:t>
            </w:r>
          </w:p>
        </w:tc>
      </w:tr>
      <w:tr>
        <w:trPr>
          <w:trHeight w:val="279" w:hRule="atLeast"/>
        </w:trPr>
        <w:tc>
          <w:tcPr>
            <w:tcW w:w="1623" w:type="dxa"/>
            <w:shd w:val="clear" w:color="auto" w:fill="69BD28"/>
          </w:tcPr>
          <w:p>
            <w:pPr>
              <w:pStyle w:val="TableParagraph"/>
              <w:jc w:val="left"/>
              <w:rPr>
                <w:rFonts w:ascii="Times New Roman"/>
                <w:sz w:val="20"/>
              </w:rPr>
            </w:pPr>
          </w:p>
        </w:tc>
        <w:tc>
          <w:tcPr>
            <w:tcW w:w="2243" w:type="dxa"/>
            <w:tcBorders>
              <w:top w:val="single" w:sz="4" w:space="0" w:color="69BD28"/>
            </w:tcBorders>
          </w:tcPr>
          <w:p>
            <w:pPr>
              <w:pStyle w:val="TableParagraph"/>
              <w:jc w:val="left"/>
              <w:rPr>
                <w:rFonts w:ascii="Times New Roman"/>
                <w:sz w:val="20"/>
              </w:rPr>
            </w:pPr>
          </w:p>
        </w:tc>
        <w:tc>
          <w:tcPr>
            <w:tcW w:w="1585" w:type="dxa"/>
            <w:tcBorders>
              <w:top w:val="single" w:sz="4" w:space="0" w:color="69BD28"/>
            </w:tcBorders>
          </w:tcPr>
          <w:p>
            <w:pPr>
              <w:pStyle w:val="TableParagraph"/>
              <w:jc w:val="left"/>
              <w:rPr>
                <w:rFonts w:ascii="Times New Roman"/>
                <w:sz w:val="20"/>
              </w:rPr>
            </w:pPr>
          </w:p>
        </w:tc>
        <w:tc>
          <w:tcPr>
            <w:tcW w:w="3058" w:type="dxa"/>
            <w:tcBorders>
              <w:top w:val="single" w:sz="4" w:space="0" w:color="69BD28"/>
            </w:tcBorders>
          </w:tcPr>
          <w:p>
            <w:pPr>
              <w:pStyle w:val="TableParagraph"/>
              <w:spacing w:before="46"/>
              <w:ind w:left="356" w:right="313"/>
              <w:rPr>
                <w:sz w:val="18"/>
              </w:rPr>
            </w:pPr>
            <w:r>
              <w:rPr>
                <w:sz w:val="18"/>
              </w:rPr>
              <w:t>Current Rent for Leased area</w:t>
            </w:r>
          </w:p>
        </w:tc>
        <w:tc>
          <w:tcPr>
            <w:tcW w:w="1963" w:type="dxa"/>
            <w:tcBorders>
              <w:top w:val="single" w:sz="4" w:space="0" w:color="69BD28"/>
            </w:tcBorders>
          </w:tcPr>
          <w:p>
            <w:pPr>
              <w:pStyle w:val="TableParagraph"/>
              <w:spacing w:before="46"/>
              <w:ind w:right="739"/>
              <w:jc w:val="right"/>
              <w:rPr>
                <w:sz w:val="18"/>
              </w:rPr>
            </w:pPr>
            <w:r>
              <w:rPr>
                <w:w w:val="105"/>
                <w:sz w:val="18"/>
              </w:rPr>
              <w:t>114.8</w:t>
            </w:r>
          </w:p>
        </w:tc>
      </w:tr>
      <w:tr>
        <w:trPr>
          <w:trHeight w:val="538" w:hRule="atLeast"/>
        </w:trPr>
        <w:tc>
          <w:tcPr>
            <w:tcW w:w="1623" w:type="dxa"/>
            <w:shd w:val="clear" w:color="auto" w:fill="69BD28"/>
          </w:tcPr>
          <w:p>
            <w:pPr>
              <w:pStyle w:val="TableParagraph"/>
              <w:spacing w:before="26"/>
              <w:ind w:left="286" w:right="286"/>
              <w:rPr>
                <w:b/>
                <w:sz w:val="18"/>
              </w:rPr>
            </w:pPr>
            <w:r>
              <w:rPr>
                <w:b/>
                <w:color w:val="FFFFFF"/>
                <w:w w:val="105"/>
                <w:sz w:val="18"/>
              </w:rPr>
              <w:t>Office</w:t>
            </w:r>
          </w:p>
        </w:tc>
        <w:tc>
          <w:tcPr>
            <w:tcW w:w="2243" w:type="dxa"/>
            <w:tcBorders>
              <w:bottom w:val="single" w:sz="4" w:space="0" w:color="69BD28"/>
            </w:tcBorders>
          </w:tcPr>
          <w:p>
            <w:pPr>
              <w:pStyle w:val="TableParagraph"/>
              <w:spacing w:before="26"/>
              <w:ind w:left="297" w:right="243"/>
              <w:rPr>
                <w:sz w:val="18"/>
              </w:rPr>
            </w:pPr>
            <w:r>
              <w:rPr>
                <w:w w:val="105"/>
                <w:sz w:val="18"/>
              </w:rPr>
              <w:t>2,737,442</w:t>
            </w:r>
          </w:p>
        </w:tc>
        <w:tc>
          <w:tcPr>
            <w:tcW w:w="1585" w:type="dxa"/>
            <w:tcBorders>
              <w:bottom w:val="single" w:sz="4" w:space="0" w:color="69BD28"/>
            </w:tcBorders>
          </w:tcPr>
          <w:p>
            <w:pPr>
              <w:pStyle w:val="TableParagraph"/>
              <w:spacing w:before="26"/>
              <w:ind w:left="414"/>
              <w:jc w:val="left"/>
              <w:rPr>
                <w:sz w:val="18"/>
              </w:rPr>
            </w:pPr>
            <w:r>
              <w:rPr>
                <w:w w:val="105"/>
                <w:sz w:val="18"/>
              </w:rPr>
              <w:t>2,690,359</w:t>
            </w:r>
          </w:p>
        </w:tc>
        <w:tc>
          <w:tcPr>
            <w:tcW w:w="3058" w:type="dxa"/>
            <w:tcBorders>
              <w:bottom w:val="single" w:sz="4" w:space="0" w:color="69BD28"/>
            </w:tcBorders>
          </w:tcPr>
          <w:p>
            <w:pPr>
              <w:pStyle w:val="TableParagraph"/>
              <w:spacing w:line="247" w:lineRule="auto" w:before="71"/>
              <w:ind w:left="1371" w:right="126" w:hanging="1194"/>
              <w:jc w:val="left"/>
              <w:rPr>
                <w:sz w:val="18"/>
              </w:rPr>
            </w:pPr>
            <w:r>
              <w:rPr>
                <w:sz w:val="18"/>
              </w:rPr>
              <w:t>Marginal</w:t>
            </w:r>
            <w:r>
              <w:rPr>
                <w:spacing w:val="-27"/>
                <w:sz w:val="18"/>
              </w:rPr>
              <w:t> </w:t>
            </w:r>
            <w:r>
              <w:rPr>
                <w:sz w:val="18"/>
              </w:rPr>
              <w:t>rent</w:t>
            </w:r>
            <w:r>
              <w:rPr>
                <w:spacing w:val="-27"/>
                <w:sz w:val="18"/>
              </w:rPr>
              <w:t> </w:t>
            </w:r>
            <w:r>
              <w:rPr>
                <w:sz w:val="18"/>
              </w:rPr>
              <w:t>for</w:t>
            </w:r>
            <w:r>
              <w:rPr>
                <w:spacing w:val="-27"/>
                <w:sz w:val="18"/>
              </w:rPr>
              <w:t> </w:t>
            </w:r>
            <w:r>
              <w:rPr>
                <w:sz w:val="18"/>
              </w:rPr>
              <w:t>reversion/</w:t>
            </w:r>
            <w:r>
              <w:rPr>
                <w:spacing w:val="-26"/>
                <w:sz w:val="18"/>
              </w:rPr>
              <w:t> </w:t>
            </w:r>
            <w:r>
              <w:rPr>
                <w:sz w:val="18"/>
              </w:rPr>
              <w:t>vacant area</w:t>
            </w:r>
          </w:p>
        </w:tc>
        <w:tc>
          <w:tcPr>
            <w:tcW w:w="1963" w:type="dxa"/>
            <w:tcBorders>
              <w:bottom w:val="single" w:sz="4" w:space="0" w:color="69BD28"/>
            </w:tcBorders>
          </w:tcPr>
          <w:p>
            <w:pPr>
              <w:pStyle w:val="TableParagraph"/>
              <w:spacing w:before="179"/>
              <w:ind w:right="739"/>
              <w:jc w:val="right"/>
              <w:rPr>
                <w:sz w:val="18"/>
              </w:rPr>
            </w:pPr>
            <w:r>
              <w:rPr>
                <w:w w:val="105"/>
                <w:sz w:val="18"/>
              </w:rPr>
              <w:t>148.0</w:t>
            </w:r>
          </w:p>
        </w:tc>
      </w:tr>
    </w:tbl>
    <w:p>
      <w:pPr>
        <w:spacing w:before="4"/>
        <w:ind w:left="240" w:right="0" w:firstLine="0"/>
        <w:jc w:val="left"/>
        <w:rPr>
          <w:i/>
          <w:sz w:val="18"/>
        </w:rPr>
      </w:pPr>
      <w:r>
        <w:rPr>
          <w:i/>
          <w:sz w:val="18"/>
        </w:rPr>
        <w:t>Source: Rent roll provided by the Client; Valuer’s Assessment</w:t>
      </w:r>
      <w:r>
        <w:rPr>
          <w:sz w:val="22"/>
        </w:rPr>
        <w:t>; </w:t>
      </w:r>
      <w:r>
        <w:rPr>
          <w:i/>
          <w:sz w:val="18"/>
        </w:rPr>
        <w:t>* Indicates committed occupancy</w:t>
      </w:r>
    </w:p>
    <w:p>
      <w:pPr>
        <w:pStyle w:val="BodyText"/>
        <w:spacing w:before="2"/>
        <w:rPr>
          <w:i/>
          <w:sz w:val="37"/>
        </w:rPr>
      </w:pPr>
    </w:p>
    <w:p>
      <w:pPr>
        <w:pStyle w:val="BodyText"/>
        <w:spacing w:line="321" w:lineRule="auto"/>
        <w:ind w:left="802" w:right="234"/>
        <w:jc w:val="both"/>
      </w:pPr>
      <w:r>
        <w:rPr/>
        <w:t>The</w:t>
      </w:r>
      <w:r>
        <w:rPr>
          <w:spacing w:val="-43"/>
        </w:rPr>
        <w:t> </w:t>
      </w:r>
      <w:r>
        <w:rPr/>
        <w:t>above</w:t>
      </w:r>
      <w:r>
        <w:rPr>
          <w:spacing w:val="-42"/>
        </w:rPr>
        <w:t> </w:t>
      </w:r>
      <w:r>
        <w:rPr/>
        <w:t>marginal</w:t>
      </w:r>
      <w:r>
        <w:rPr>
          <w:spacing w:val="-42"/>
        </w:rPr>
        <w:t> </w:t>
      </w:r>
      <w:r>
        <w:rPr/>
        <w:t>rent</w:t>
      </w:r>
      <w:r>
        <w:rPr>
          <w:spacing w:val="-44"/>
        </w:rPr>
        <w:t> </w:t>
      </w:r>
      <w:r>
        <w:rPr/>
        <w:t>assumption</w:t>
      </w:r>
      <w:r>
        <w:rPr>
          <w:spacing w:val="-42"/>
        </w:rPr>
        <w:t> </w:t>
      </w:r>
      <w:r>
        <w:rPr/>
        <w:t>is</w:t>
      </w:r>
      <w:r>
        <w:rPr>
          <w:spacing w:val="-43"/>
        </w:rPr>
        <w:t> </w:t>
      </w:r>
      <w:r>
        <w:rPr/>
        <w:t>adopted</w:t>
      </w:r>
      <w:r>
        <w:rPr>
          <w:spacing w:val="-42"/>
        </w:rPr>
        <w:t> </w:t>
      </w:r>
      <w:r>
        <w:rPr/>
        <w:t>for</w:t>
      </w:r>
      <w:r>
        <w:rPr>
          <w:spacing w:val="-43"/>
        </w:rPr>
        <w:t> </w:t>
      </w:r>
      <w:r>
        <w:rPr/>
        <w:t>the</w:t>
      </w:r>
      <w:r>
        <w:rPr>
          <w:spacing w:val="-42"/>
        </w:rPr>
        <w:t> </w:t>
      </w:r>
      <w:r>
        <w:rPr/>
        <w:t>entire</w:t>
      </w:r>
      <w:r>
        <w:rPr>
          <w:spacing w:val="-42"/>
        </w:rPr>
        <w:t> </w:t>
      </w:r>
      <w:r>
        <w:rPr/>
        <w:t>subject</w:t>
      </w:r>
      <w:r>
        <w:rPr>
          <w:spacing w:val="-41"/>
        </w:rPr>
        <w:t> </w:t>
      </w:r>
      <w:r>
        <w:rPr/>
        <w:t>property.</w:t>
      </w:r>
      <w:r>
        <w:rPr>
          <w:spacing w:val="-42"/>
        </w:rPr>
        <w:t> </w:t>
      </w:r>
      <w:r>
        <w:rPr/>
        <w:t>In</w:t>
      </w:r>
      <w:r>
        <w:rPr>
          <w:spacing w:val="-43"/>
        </w:rPr>
        <w:t> </w:t>
      </w:r>
      <w:r>
        <w:rPr/>
        <w:t>addition</w:t>
      </w:r>
      <w:r>
        <w:rPr>
          <w:spacing w:val="-42"/>
        </w:rPr>
        <w:t> </w:t>
      </w:r>
      <w:r>
        <w:rPr/>
        <w:t>to</w:t>
      </w:r>
      <w:r>
        <w:rPr>
          <w:spacing w:val="-42"/>
        </w:rPr>
        <w:t> </w:t>
      </w:r>
      <w:r>
        <w:rPr/>
        <w:t>undertaking an in-depth market analysis, a detailed analysis of the rent roll was also undertaken to understand aspects such as area occupied, current rent and expiry analysis of the key tenants in the park. Additionally,</w:t>
      </w:r>
      <w:r>
        <w:rPr>
          <w:spacing w:val="-39"/>
        </w:rPr>
        <w:t> </w:t>
      </w:r>
      <w:r>
        <w:rPr/>
        <w:t>we</w:t>
      </w:r>
      <w:r>
        <w:rPr>
          <w:spacing w:val="-39"/>
        </w:rPr>
        <w:t> </w:t>
      </w:r>
      <w:r>
        <w:rPr/>
        <w:t>also</w:t>
      </w:r>
      <w:r>
        <w:rPr>
          <w:spacing w:val="-39"/>
        </w:rPr>
        <w:t> </w:t>
      </w:r>
      <w:r>
        <w:rPr/>
        <w:t>analysed</w:t>
      </w:r>
      <w:r>
        <w:rPr>
          <w:spacing w:val="-39"/>
        </w:rPr>
        <w:t> </w:t>
      </w:r>
      <w:r>
        <w:rPr/>
        <w:t>the</w:t>
      </w:r>
      <w:r>
        <w:rPr>
          <w:spacing w:val="-39"/>
        </w:rPr>
        <w:t> </w:t>
      </w:r>
      <w:r>
        <w:rPr/>
        <w:t>historical</w:t>
      </w:r>
      <w:r>
        <w:rPr>
          <w:spacing w:val="-39"/>
        </w:rPr>
        <w:t> </w:t>
      </w:r>
      <w:r>
        <w:rPr/>
        <w:t>occupancy</w:t>
      </w:r>
      <w:r>
        <w:rPr>
          <w:spacing w:val="-38"/>
        </w:rPr>
        <w:t> </w:t>
      </w:r>
      <w:r>
        <w:rPr/>
        <w:t>pattern</w:t>
      </w:r>
      <w:r>
        <w:rPr>
          <w:spacing w:val="-39"/>
        </w:rPr>
        <w:t> </w:t>
      </w:r>
      <w:r>
        <w:rPr/>
        <w:t>at</w:t>
      </w:r>
      <w:r>
        <w:rPr>
          <w:spacing w:val="-40"/>
        </w:rPr>
        <w:t> </w:t>
      </w:r>
      <w:r>
        <w:rPr/>
        <w:t>the</w:t>
      </w:r>
      <w:r>
        <w:rPr>
          <w:spacing w:val="-40"/>
        </w:rPr>
        <w:t> </w:t>
      </w:r>
      <w:r>
        <w:rPr/>
        <w:t>subject</w:t>
      </w:r>
      <w:r>
        <w:rPr>
          <w:spacing w:val="-39"/>
        </w:rPr>
        <w:t> </w:t>
      </w:r>
      <w:r>
        <w:rPr/>
        <w:t>development</w:t>
      </w:r>
      <w:r>
        <w:rPr>
          <w:spacing w:val="-39"/>
        </w:rPr>
        <w:t> </w:t>
      </w:r>
      <w:r>
        <w:rPr/>
        <w:t>and</w:t>
      </w:r>
      <w:r>
        <w:rPr>
          <w:spacing w:val="-38"/>
        </w:rPr>
        <w:t> </w:t>
      </w:r>
      <w:r>
        <w:rPr/>
        <w:t>lease-up time</w:t>
      </w:r>
      <w:r>
        <w:rPr>
          <w:spacing w:val="-26"/>
        </w:rPr>
        <w:t> </w:t>
      </w:r>
      <w:r>
        <w:rPr/>
        <w:t>frame</w:t>
      </w:r>
      <w:r>
        <w:rPr>
          <w:spacing w:val="-25"/>
        </w:rPr>
        <w:t> </w:t>
      </w:r>
      <w:r>
        <w:rPr/>
        <w:t>for</w:t>
      </w:r>
      <w:r>
        <w:rPr>
          <w:spacing w:val="-25"/>
        </w:rPr>
        <w:t> </w:t>
      </w:r>
      <w:r>
        <w:rPr/>
        <w:t>spaces</w:t>
      </w:r>
      <w:r>
        <w:rPr>
          <w:spacing w:val="-24"/>
        </w:rPr>
        <w:t> </w:t>
      </w:r>
      <w:r>
        <w:rPr/>
        <w:t>being</w:t>
      </w:r>
      <w:r>
        <w:rPr>
          <w:spacing w:val="-25"/>
        </w:rPr>
        <w:t> </w:t>
      </w:r>
      <w:r>
        <w:rPr/>
        <w:t>vacated</w:t>
      </w:r>
      <w:r>
        <w:rPr>
          <w:spacing w:val="-24"/>
        </w:rPr>
        <w:t> </w:t>
      </w:r>
      <w:r>
        <w:rPr/>
        <w:t>by</w:t>
      </w:r>
      <w:r>
        <w:rPr>
          <w:spacing w:val="-24"/>
        </w:rPr>
        <w:t> </w:t>
      </w:r>
      <w:r>
        <w:rPr/>
        <w:t>tenants</w:t>
      </w:r>
      <w:r>
        <w:rPr>
          <w:spacing w:val="-26"/>
        </w:rPr>
        <w:t> </w:t>
      </w:r>
      <w:r>
        <w:rPr/>
        <w:t>during</w:t>
      </w:r>
      <w:r>
        <w:rPr>
          <w:spacing w:val="-24"/>
        </w:rPr>
        <w:t> </w:t>
      </w:r>
      <w:r>
        <w:rPr/>
        <w:t>the</w:t>
      </w:r>
      <w:r>
        <w:rPr>
          <w:spacing w:val="-25"/>
        </w:rPr>
        <w:t> </w:t>
      </w:r>
      <w:r>
        <w:rPr/>
        <w:t>last</w:t>
      </w:r>
      <w:r>
        <w:rPr>
          <w:spacing w:val="-25"/>
        </w:rPr>
        <w:t> </w:t>
      </w:r>
      <w:r>
        <w:rPr/>
        <w:t>3</w:t>
      </w:r>
      <w:r>
        <w:rPr>
          <w:spacing w:val="-25"/>
        </w:rPr>
        <w:t> </w:t>
      </w:r>
      <w:r>
        <w:rPr/>
        <w:t>years.</w:t>
      </w:r>
      <w:r>
        <w:rPr>
          <w:spacing w:val="-25"/>
        </w:rPr>
        <w:t> </w:t>
      </w:r>
      <w:r>
        <w:rPr/>
        <w:t>The</w:t>
      </w:r>
      <w:r>
        <w:rPr>
          <w:spacing w:val="-26"/>
        </w:rPr>
        <w:t> </w:t>
      </w:r>
      <w:r>
        <w:rPr/>
        <w:t>lease-up</w:t>
      </w:r>
      <w:r>
        <w:rPr>
          <w:spacing w:val="-25"/>
        </w:rPr>
        <w:t> </w:t>
      </w:r>
      <w:r>
        <w:rPr/>
        <w:t>time</w:t>
      </w:r>
      <w:r>
        <w:rPr>
          <w:spacing w:val="-25"/>
        </w:rPr>
        <w:t> </w:t>
      </w:r>
      <w:r>
        <w:rPr/>
        <w:t>was</w:t>
      </w:r>
      <w:r>
        <w:rPr>
          <w:spacing w:val="-24"/>
        </w:rPr>
        <w:t> </w:t>
      </w:r>
      <w:r>
        <w:rPr/>
        <w:t>observed to</w:t>
      </w:r>
      <w:r>
        <w:rPr>
          <w:spacing w:val="-5"/>
        </w:rPr>
        <w:t> </w:t>
      </w:r>
      <w:r>
        <w:rPr/>
        <w:t>be</w:t>
      </w:r>
      <w:r>
        <w:rPr>
          <w:spacing w:val="-4"/>
        </w:rPr>
        <w:t> </w:t>
      </w:r>
      <w:r>
        <w:rPr/>
        <w:t>3</w:t>
      </w:r>
      <w:r>
        <w:rPr>
          <w:spacing w:val="-6"/>
        </w:rPr>
        <w:t> </w:t>
      </w:r>
      <w:r>
        <w:rPr/>
        <w:t>-</w:t>
      </w:r>
      <w:r>
        <w:rPr>
          <w:spacing w:val="-3"/>
        </w:rPr>
        <w:t> </w:t>
      </w:r>
      <w:r>
        <w:rPr/>
        <w:t>9</w:t>
      </w:r>
      <w:r>
        <w:rPr>
          <w:spacing w:val="-5"/>
        </w:rPr>
        <w:t> </w:t>
      </w:r>
      <w:r>
        <w:rPr/>
        <w:t>months</w:t>
      </w:r>
      <w:r>
        <w:rPr>
          <w:spacing w:val="-4"/>
        </w:rPr>
        <w:t> </w:t>
      </w:r>
      <w:r>
        <w:rPr/>
        <w:t>based</w:t>
      </w:r>
      <w:r>
        <w:rPr>
          <w:spacing w:val="-5"/>
        </w:rPr>
        <w:t> </w:t>
      </w:r>
      <w:r>
        <w:rPr/>
        <w:t>on</w:t>
      </w:r>
      <w:r>
        <w:rPr>
          <w:spacing w:val="-5"/>
        </w:rPr>
        <w:t> </w:t>
      </w:r>
      <w:r>
        <w:rPr/>
        <w:t>quantum</w:t>
      </w:r>
      <w:r>
        <w:rPr>
          <w:spacing w:val="-5"/>
        </w:rPr>
        <w:t> </w:t>
      </w:r>
      <w:r>
        <w:rPr/>
        <w:t>of</w:t>
      </w:r>
      <w:r>
        <w:rPr>
          <w:spacing w:val="-3"/>
        </w:rPr>
        <w:t> </w:t>
      </w:r>
      <w:r>
        <w:rPr/>
        <w:t>space</w:t>
      </w:r>
      <w:r>
        <w:rPr>
          <w:spacing w:val="-4"/>
        </w:rPr>
        <w:t> </w:t>
      </w:r>
      <w:r>
        <w:rPr/>
        <w:t>being</w:t>
      </w:r>
      <w:r>
        <w:rPr>
          <w:spacing w:val="-4"/>
        </w:rPr>
        <w:t> </w:t>
      </w:r>
      <w:r>
        <w:rPr/>
        <w:t>renewed/</w:t>
      </w:r>
      <w:r>
        <w:rPr>
          <w:spacing w:val="-5"/>
        </w:rPr>
        <w:t> </w:t>
      </w:r>
      <w:r>
        <w:rPr/>
        <w:t>re-leased.</w:t>
      </w:r>
    </w:p>
    <w:p>
      <w:pPr>
        <w:pStyle w:val="BodyText"/>
        <w:spacing w:before="11"/>
        <w:rPr>
          <w:sz w:val="20"/>
        </w:rPr>
      </w:pPr>
    </w:p>
    <w:p>
      <w:pPr>
        <w:pStyle w:val="BodyText"/>
        <w:spacing w:line="321" w:lineRule="auto"/>
        <w:ind w:left="802" w:right="233"/>
        <w:jc w:val="both"/>
      </w:pPr>
      <w:r>
        <w:rPr/>
        <w:t>Based on the size and scale of operations of these tenants, we adopted individual marginal rent assumptions</w:t>
      </w:r>
      <w:r>
        <w:rPr>
          <w:spacing w:val="-36"/>
        </w:rPr>
        <w:t> </w:t>
      </w:r>
      <w:r>
        <w:rPr/>
        <w:t>for</w:t>
      </w:r>
      <w:r>
        <w:rPr>
          <w:spacing w:val="-35"/>
        </w:rPr>
        <w:t> </w:t>
      </w:r>
      <w:r>
        <w:rPr/>
        <w:t>larger</w:t>
      </w:r>
      <w:r>
        <w:rPr>
          <w:spacing w:val="-35"/>
        </w:rPr>
        <w:t> </w:t>
      </w:r>
      <w:r>
        <w:rPr/>
        <w:t>tenants</w:t>
      </w:r>
      <w:r>
        <w:rPr>
          <w:spacing w:val="-35"/>
        </w:rPr>
        <w:t> </w:t>
      </w:r>
      <w:r>
        <w:rPr/>
        <w:t>in</w:t>
      </w:r>
      <w:r>
        <w:rPr>
          <w:spacing w:val="-35"/>
        </w:rPr>
        <w:t> </w:t>
      </w:r>
      <w:r>
        <w:rPr/>
        <w:t>the</w:t>
      </w:r>
      <w:r>
        <w:rPr>
          <w:spacing w:val="-36"/>
        </w:rPr>
        <w:t> </w:t>
      </w:r>
      <w:r>
        <w:rPr/>
        <w:t>subject</w:t>
      </w:r>
      <w:r>
        <w:rPr>
          <w:spacing w:val="-34"/>
        </w:rPr>
        <w:t> </w:t>
      </w:r>
      <w:r>
        <w:rPr/>
        <w:t>development.</w:t>
      </w:r>
      <w:r>
        <w:rPr>
          <w:spacing w:val="-35"/>
        </w:rPr>
        <w:t> </w:t>
      </w:r>
      <w:r>
        <w:rPr/>
        <w:t>For</w:t>
      </w:r>
      <w:r>
        <w:rPr>
          <w:spacing w:val="-36"/>
        </w:rPr>
        <w:t> </w:t>
      </w:r>
      <w:r>
        <w:rPr/>
        <w:t>the</w:t>
      </w:r>
      <w:r>
        <w:rPr>
          <w:spacing w:val="-36"/>
        </w:rPr>
        <w:t> </w:t>
      </w:r>
      <w:r>
        <w:rPr/>
        <w:t>larger</w:t>
      </w:r>
      <w:r>
        <w:rPr>
          <w:spacing w:val="-35"/>
        </w:rPr>
        <w:t> </w:t>
      </w:r>
      <w:r>
        <w:rPr/>
        <w:t>tenants</w:t>
      </w:r>
      <w:r>
        <w:rPr>
          <w:spacing w:val="-35"/>
        </w:rPr>
        <w:t> </w:t>
      </w:r>
      <w:r>
        <w:rPr/>
        <w:t>(except</w:t>
      </w:r>
      <w:r>
        <w:rPr>
          <w:spacing w:val="-31"/>
        </w:rPr>
        <w:t> </w:t>
      </w:r>
      <w:r>
        <w:rPr/>
        <w:t>large</w:t>
      </w:r>
      <w:r>
        <w:rPr>
          <w:spacing w:val="-35"/>
        </w:rPr>
        <w:t> </w:t>
      </w:r>
      <w:r>
        <w:rPr/>
        <w:t>anchor), we</w:t>
      </w:r>
      <w:r>
        <w:rPr>
          <w:spacing w:val="-18"/>
        </w:rPr>
        <w:t> </w:t>
      </w:r>
      <w:r>
        <w:rPr/>
        <w:t>assumed</w:t>
      </w:r>
      <w:r>
        <w:rPr>
          <w:spacing w:val="-17"/>
        </w:rPr>
        <w:t> </w:t>
      </w:r>
      <w:r>
        <w:rPr/>
        <w:t>that</w:t>
      </w:r>
      <w:r>
        <w:rPr>
          <w:spacing w:val="-18"/>
        </w:rPr>
        <w:t> </w:t>
      </w:r>
      <w:r>
        <w:rPr/>
        <w:t>post</w:t>
      </w:r>
      <w:r>
        <w:rPr>
          <w:spacing w:val="-17"/>
        </w:rPr>
        <w:t> </w:t>
      </w:r>
      <w:r>
        <w:rPr/>
        <w:t>lease</w:t>
      </w:r>
      <w:r>
        <w:rPr>
          <w:spacing w:val="-17"/>
        </w:rPr>
        <w:t> </w:t>
      </w:r>
      <w:r>
        <w:rPr/>
        <w:t>expiry,</w:t>
      </w:r>
      <w:r>
        <w:rPr>
          <w:spacing w:val="-18"/>
        </w:rPr>
        <w:t> </w:t>
      </w:r>
      <w:r>
        <w:rPr/>
        <w:t>these</w:t>
      </w:r>
      <w:r>
        <w:rPr>
          <w:spacing w:val="-17"/>
        </w:rPr>
        <w:t> </w:t>
      </w:r>
      <w:r>
        <w:rPr/>
        <w:t>spaces</w:t>
      </w:r>
      <w:r>
        <w:rPr>
          <w:spacing w:val="-18"/>
        </w:rPr>
        <w:t> </w:t>
      </w:r>
      <w:r>
        <w:rPr/>
        <w:t>will</w:t>
      </w:r>
      <w:r>
        <w:rPr>
          <w:spacing w:val="-17"/>
        </w:rPr>
        <w:t> </w:t>
      </w:r>
      <w:r>
        <w:rPr/>
        <w:t>revert</w:t>
      </w:r>
      <w:r>
        <w:rPr>
          <w:spacing w:val="-17"/>
        </w:rPr>
        <w:t> </w:t>
      </w:r>
      <w:r>
        <w:rPr/>
        <w:t>to</w:t>
      </w:r>
      <w:r>
        <w:rPr>
          <w:spacing w:val="-18"/>
        </w:rPr>
        <w:t> </w:t>
      </w:r>
      <w:r>
        <w:rPr/>
        <w:t>marginal</w:t>
      </w:r>
      <w:r>
        <w:rPr>
          <w:spacing w:val="-17"/>
        </w:rPr>
        <w:t> </w:t>
      </w:r>
      <w:r>
        <w:rPr/>
        <w:t>rent</w:t>
      </w:r>
      <w:r>
        <w:rPr>
          <w:spacing w:val="-17"/>
        </w:rPr>
        <w:t> </w:t>
      </w:r>
      <w:r>
        <w:rPr/>
        <w:t>prevailing</w:t>
      </w:r>
      <w:r>
        <w:rPr>
          <w:spacing w:val="-17"/>
        </w:rPr>
        <w:t> </w:t>
      </w:r>
      <w:r>
        <w:rPr/>
        <w:t>at</w:t>
      </w:r>
      <w:r>
        <w:rPr>
          <w:spacing w:val="-17"/>
        </w:rPr>
        <w:t> </w:t>
      </w:r>
      <w:r>
        <w:rPr/>
        <w:t>that</w:t>
      </w:r>
      <w:r>
        <w:rPr>
          <w:spacing w:val="-16"/>
        </w:rPr>
        <w:t> </w:t>
      </w:r>
      <w:r>
        <w:rPr/>
        <w:t>point</w:t>
      </w:r>
      <w:r>
        <w:rPr>
          <w:spacing w:val="-17"/>
        </w:rPr>
        <w:t> </w:t>
      </w:r>
      <w:r>
        <w:rPr/>
        <w:t>in</w:t>
      </w:r>
    </w:p>
    <w:p>
      <w:pPr>
        <w:spacing w:after="0" w:line="321" w:lineRule="auto"/>
        <w:jc w:val="both"/>
        <w:sectPr>
          <w:pgSz w:w="11910" w:h="16840"/>
          <w:pgMar w:header="720" w:footer="862" w:top="1660" w:bottom="1060" w:left="480" w:right="480"/>
        </w:sectPr>
      </w:pPr>
    </w:p>
    <w:p>
      <w:pPr>
        <w:pStyle w:val="BodyText"/>
        <w:spacing w:before="7"/>
        <w:rPr>
          <w:sz w:val="9"/>
        </w:rPr>
      </w:pPr>
    </w:p>
    <w:p>
      <w:pPr>
        <w:pStyle w:val="BodyText"/>
        <w:spacing w:line="321" w:lineRule="auto" w:before="106"/>
        <w:ind w:left="802" w:right="235"/>
        <w:jc w:val="both"/>
      </w:pPr>
      <w:r>
        <w:rPr/>
        <w:pict>
          <v:group style="position:absolute;margin-left:35.279999pt;margin-top:62.428642pt;width:524.3pt;height:16.7pt;mso-position-horizontal-relative:page;mso-position-vertical-relative:paragraph;z-index:-15030272;mso-wrap-distance-left:0;mso-wrap-distance-right:0" coordorigin="706,1249" coordsize="10486,334">
            <v:shape style="position:absolute;left:720;top:1279;width:10472;height:288" coordorigin="720,1280" coordsize="10472,288" path="m11191,1280l4950,1280,720,1280,720,1568,4950,1568,11191,1568,11191,1280xe" filled="true" fillcolor="#006a4d" stroked="false">
              <v:path arrowok="t"/>
              <v:fill type="solid"/>
            </v:shape>
            <v:rect style="position:absolute;left:720;top:1248;width:4230;height:29" filled="true" fillcolor="#1b6b22" stroked="false">
              <v:fill type="solid"/>
            </v:rect>
            <v:shape style="position:absolute;left:720;top:1277;width:4259;height:3" coordorigin="720,1277" coordsize="4259,3" path="m4979,1277l4950,1277,720,1277,720,1280,4950,1280,4979,1280,4979,1277xe" filled="true" fillcolor="#006a4d" stroked="false">
              <v:path arrowok="t"/>
              <v:fill type="solid"/>
            </v:shape>
            <v:shape style="position:absolute;left:4949;top:1248;width:6242;height:29" coordorigin="4950,1249" coordsize="6242,29" path="m11191,1249l4979,1249,4950,1249,4950,1277,4979,1277,11191,1277,11191,1249xe" filled="true" fillcolor="#1b6b22" stroked="false">
              <v:path arrowok="t"/>
              <v:fill type="solid"/>
            </v:shape>
            <v:rect style="position:absolute;left:4978;top:1277;width:6213;height:3" filled="true" fillcolor="#006a4d" stroked="false">
              <v:fill type="solid"/>
            </v:rect>
            <v:shape style="position:absolute;left:720;top:1567;width:10472;height:15" coordorigin="720,1568" coordsize="10472,15" path="m11191,1568l4964,1568,4950,1568,720,1568,720,1582,4950,1582,4964,1582,11191,1582,11191,1568xe" filled="true" fillcolor="#69bd28" stroked="false">
              <v:path arrowok="t"/>
              <v:fill type="solid"/>
            </v:shape>
            <v:shape style="position:absolute;left:705;top:1277;width:10486;height:291" type="#_x0000_t202" filled="false" stroked="false">
              <v:textbox inset="0,0,0,0">
                <w:txbxContent>
                  <w:p>
                    <w:pPr>
                      <w:tabs>
                        <w:tab w:pos="4392" w:val="left" w:leader="none"/>
                      </w:tabs>
                      <w:spacing w:before="42"/>
                      <w:ind w:left="1908" w:right="0" w:firstLine="0"/>
                      <w:jc w:val="left"/>
                      <w:rPr>
                        <w:b/>
                        <w:sz w:val="18"/>
                      </w:rPr>
                    </w:pPr>
                    <w:r>
                      <w:rPr>
                        <w:b/>
                        <w:color w:val="FFFFFF"/>
                        <w:w w:val="105"/>
                        <w:sz w:val="18"/>
                      </w:rPr>
                      <w:t>Area</w:t>
                      <w:tab/>
                      <w:t>Marginal</w:t>
                    </w:r>
                    <w:r>
                      <w:rPr>
                        <w:b/>
                        <w:color w:val="FFFFFF"/>
                        <w:spacing w:val="14"/>
                        <w:w w:val="105"/>
                        <w:sz w:val="18"/>
                      </w:rPr>
                      <w:t> </w:t>
                    </w:r>
                    <w:r>
                      <w:rPr>
                        <w:b/>
                        <w:color w:val="FFFFFF"/>
                        <w:w w:val="105"/>
                        <w:sz w:val="18"/>
                      </w:rPr>
                      <w:t>Rent</w:t>
                    </w:r>
                    <w:r>
                      <w:rPr>
                        <w:b/>
                        <w:color w:val="FFFFFF"/>
                        <w:spacing w:val="14"/>
                        <w:w w:val="105"/>
                        <w:sz w:val="18"/>
                      </w:rPr>
                      <w:t> </w:t>
                    </w:r>
                    <w:r>
                      <w:rPr>
                        <w:b/>
                        <w:color w:val="FFFFFF"/>
                        <w:w w:val="105"/>
                        <w:sz w:val="18"/>
                      </w:rPr>
                      <w:t>Strategy</w:t>
                    </w:r>
                    <w:r>
                      <w:rPr>
                        <w:b/>
                        <w:color w:val="FFFFFF"/>
                        <w:spacing w:val="14"/>
                        <w:w w:val="105"/>
                        <w:sz w:val="18"/>
                      </w:rPr>
                      <w:t> </w:t>
                    </w:r>
                    <w:r>
                      <w:rPr>
                        <w:b/>
                        <w:color w:val="FFFFFF"/>
                        <w:w w:val="105"/>
                        <w:sz w:val="18"/>
                      </w:rPr>
                      <w:t>(Discount</w:t>
                    </w:r>
                    <w:r>
                      <w:rPr>
                        <w:b/>
                        <w:color w:val="FFFFFF"/>
                        <w:spacing w:val="14"/>
                        <w:w w:val="105"/>
                        <w:sz w:val="18"/>
                      </w:rPr>
                      <w:t> </w:t>
                    </w:r>
                    <w:r>
                      <w:rPr>
                        <w:b/>
                        <w:color w:val="FFFFFF"/>
                        <w:w w:val="105"/>
                        <w:sz w:val="18"/>
                      </w:rPr>
                      <w:t>to</w:t>
                    </w:r>
                    <w:r>
                      <w:rPr>
                        <w:b/>
                        <w:color w:val="FFFFFF"/>
                        <w:spacing w:val="15"/>
                        <w:w w:val="105"/>
                        <w:sz w:val="18"/>
                      </w:rPr>
                      <w:t> </w:t>
                    </w:r>
                    <w:r>
                      <w:rPr>
                        <w:b/>
                        <w:color w:val="FFFFFF"/>
                        <w:w w:val="105"/>
                        <w:sz w:val="18"/>
                      </w:rPr>
                      <w:t>Market</w:t>
                    </w:r>
                    <w:r>
                      <w:rPr>
                        <w:b/>
                        <w:color w:val="FFFFFF"/>
                        <w:spacing w:val="16"/>
                        <w:w w:val="105"/>
                        <w:sz w:val="18"/>
                      </w:rPr>
                      <w:t> </w:t>
                    </w:r>
                    <w:r>
                      <w:rPr>
                        <w:b/>
                        <w:color w:val="FFFFFF"/>
                        <w:w w:val="105"/>
                        <w:sz w:val="18"/>
                      </w:rPr>
                      <w:t>Rent/</w:t>
                    </w:r>
                    <w:r>
                      <w:rPr>
                        <w:b/>
                        <w:color w:val="FFFFFF"/>
                        <w:spacing w:val="13"/>
                        <w:w w:val="105"/>
                        <w:sz w:val="18"/>
                      </w:rPr>
                      <w:t> </w:t>
                    </w:r>
                    <w:r>
                      <w:rPr>
                        <w:b/>
                        <w:color w:val="FFFFFF"/>
                        <w:w w:val="105"/>
                        <w:sz w:val="18"/>
                      </w:rPr>
                      <w:t>Lease-up</w:t>
                    </w:r>
                    <w:r>
                      <w:rPr>
                        <w:b/>
                        <w:color w:val="FFFFFF"/>
                        <w:spacing w:val="16"/>
                        <w:w w:val="105"/>
                        <w:sz w:val="18"/>
                      </w:rPr>
                      <w:t> </w:t>
                    </w:r>
                    <w:r>
                      <w:rPr>
                        <w:b/>
                        <w:color w:val="FFFFFF"/>
                        <w:w w:val="105"/>
                        <w:sz w:val="18"/>
                      </w:rPr>
                      <w:t>Time)</w:t>
                    </w:r>
                  </w:p>
                </w:txbxContent>
              </v:textbox>
              <w10:wrap type="none"/>
            </v:shape>
            <w10:wrap type="topAndBottom"/>
          </v:group>
        </w:pict>
      </w:r>
      <w:r>
        <w:rPr/>
        <w:t>time. However, given the large size of these spaces, the Client will require longer lease-up time. Therefore, Valuer has adopted a higher lease-up time, ranging from 6 </w:t>
      </w:r>
      <w:r>
        <w:rPr>
          <w:w w:val="105"/>
        </w:rPr>
        <w:t>– </w:t>
      </w:r>
      <w:r>
        <w:rPr/>
        <w:t>9 months depending on</w:t>
      </w:r>
      <w:r>
        <w:rPr>
          <w:spacing w:val="-45"/>
        </w:rPr>
        <w:t> </w:t>
      </w:r>
      <w:r>
        <w:rPr/>
        <w:t>area to be</w:t>
      </w:r>
      <w:r>
        <w:rPr>
          <w:spacing w:val="-5"/>
        </w:rPr>
        <w:t> </w:t>
      </w:r>
      <w:r>
        <w:rPr/>
        <w:t>leased.</w:t>
      </w:r>
    </w:p>
    <w:p>
      <w:pPr>
        <w:tabs>
          <w:tab w:pos="4400" w:val="left" w:leader="none"/>
        </w:tabs>
        <w:spacing w:line="156" w:lineRule="auto" w:before="0"/>
        <w:ind w:left="0" w:right="169" w:firstLine="0"/>
        <w:jc w:val="center"/>
        <w:rPr>
          <w:sz w:val="18"/>
        </w:rPr>
      </w:pPr>
      <w:r>
        <w:rPr>
          <w:w w:val="105"/>
          <w:position w:val="-10"/>
          <w:sz w:val="18"/>
        </w:rPr>
        <w:t>Leased area </w:t>
      </w:r>
      <w:r>
        <w:rPr>
          <w:w w:val="130"/>
          <w:position w:val="-10"/>
          <w:sz w:val="18"/>
        </w:rPr>
        <w:t>&gt;</w:t>
      </w:r>
      <w:r>
        <w:rPr>
          <w:spacing w:val="-50"/>
          <w:w w:val="130"/>
          <w:position w:val="-10"/>
          <w:sz w:val="18"/>
        </w:rPr>
        <w:t> </w:t>
      </w:r>
      <w:r>
        <w:rPr>
          <w:w w:val="105"/>
          <w:position w:val="-10"/>
          <w:sz w:val="18"/>
        </w:rPr>
        <w:t>0.50</w:t>
      </w:r>
      <w:r>
        <w:rPr>
          <w:spacing w:val="-11"/>
          <w:w w:val="105"/>
          <w:position w:val="-10"/>
          <w:sz w:val="18"/>
        </w:rPr>
        <w:t> </w:t>
      </w:r>
      <w:r>
        <w:rPr>
          <w:w w:val="105"/>
          <w:position w:val="-10"/>
          <w:sz w:val="18"/>
        </w:rPr>
        <w:t>msf</w:t>
        <w:tab/>
      </w:r>
      <w:r>
        <w:rPr>
          <w:w w:val="105"/>
          <w:sz w:val="18"/>
        </w:rPr>
        <w:t>Renewal</w:t>
      </w:r>
      <w:r>
        <w:rPr>
          <w:spacing w:val="-12"/>
          <w:w w:val="105"/>
          <w:sz w:val="18"/>
        </w:rPr>
        <w:t> </w:t>
      </w:r>
      <w:r>
        <w:rPr>
          <w:w w:val="105"/>
          <w:sz w:val="18"/>
        </w:rPr>
        <w:t>at</w:t>
      </w:r>
      <w:r>
        <w:rPr>
          <w:spacing w:val="-13"/>
          <w:w w:val="105"/>
          <w:sz w:val="18"/>
        </w:rPr>
        <w:t> </w:t>
      </w:r>
      <w:r>
        <w:rPr>
          <w:w w:val="105"/>
          <w:sz w:val="18"/>
        </w:rPr>
        <w:t>20.0%</w:t>
      </w:r>
      <w:r>
        <w:rPr>
          <w:spacing w:val="-12"/>
          <w:w w:val="105"/>
          <w:sz w:val="18"/>
        </w:rPr>
        <w:t> </w:t>
      </w:r>
      <w:r>
        <w:rPr>
          <w:w w:val="105"/>
          <w:sz w:val="18"/>
        </w:rPr>
        <w:t>discount</w:t>
      </w:r>
      <w:r>
        <w:rPr>
          <w:spacing w:val="-13"/>
          <w:w w:val="105"/>
          <w:sz w:val="18"/>
        </w:rPr>
        <w:t> </w:t>
      </w:r>
      <w:r>
        <w:rPr>
          <w:w w:val="105"/>
          <w:sz w:val="18"/>
        </w:rPr>
        <w:t>for</w:t>
      </w:r>
      <w:r>
        <w:rPr>
          <w:spacing w:val="-12"/>
          <w:w w:val="105"/>
          <w:sz w:val="18"/>
        </w:rPr>
        <w:t> </w:t>
      </w:r>
      <w:r>
        <w:rPr>
          <w:w w:val="105"/>
          <w:sz w:val="18"/>
        </w:rPr>
        <w:t>smaller</w:t>
      </w:r>
      <w:r>
        <w:rPr>
          <w:spacing w:val="-12"/>
          <w:w w:val="105"/>
          <w:sz w:val="18"/>
        </w:rPr>
        <w:t> </w:t>
      </w:r>
      <w:r>
        <w:rPr>
          <w:w w:val="105"/>
          <w:sz w:val="18"/>
        </w:rPr>
        <w:t>spaces</w:t>
      </w:r>
    </w:p>
    <w:p>
      <w:pPr>
        <w:tabs>
          <w:tab w:pos="5847" w:val="left" w:leader="none"/>
          <w:tab w:pos="10711" w:val="left" w:leader="none"/>
        </w:tabs>
        <w:spacing w:line="157" w:lineRule="exact" w:before="0"/>
        <w:ind w:left="240" w:right="0" w:firstLine="0"/>
        <w:jc w:val="left"/>
        <w:rPr>
          <w:sz w:val="18"/>
        </w:rPr>
      </w:pPr>
      <w:r>
        <w:rPr>
          <w:w w:val="97"/>
          <w:sz w:val="18"/>
          <w:u w:val="single" w:color="69BD28"/>
        </w:rPr>
        <w:t> </w:t>
      </w:r>
      <w:r>
        <w:rPr>
          <w:sz w:val="18"/>
          <w:u w:val="single" w:color="69BD28"/>
        </w:rPr>
        <w:tab/>
        <w:t>Renewal</w:t>
      </w:r>
      <w:r>
        <w:rPr>
          <w:spacing w:val="-13"/>
          <w:sz w:val="18"/>
          <w:u w:val="single" w:color="69BD28"/>
        </w:rPr>
        <w:t> </w:t>
      </w:r>
      <w:r>
        <w:rPr>
          <w:sz w:val="18"/>
          <w:u w:val="single" w:color="69BD28"/>
        </w:rPr>
        <w:t>at</w:t>
      </w:r>
      <w:r>
        <w:rPr>
          <w:spacing w:val="-14"/>
          <w:sz w:val="18"/>
          <w:u w:val="single" w:color="69BD28"/>
        </w:rPr>
        <w:t> </w:t>
      </w:r>
      <w:r>
        <w:rPr>
          <w:sz w:val="18"/>
          <w:u w:val="single" w:color="69BD28"/>
        </w:rPr>
        <w:t>35.0%</w:t>
      </w:r>
      <w:r>
        <w:rPr>
          <w:spacing w:val="-12"/>
          <w:sz w:val="18"/>
          <w:u w:val="single" w:color="69BD28"/>
        </w:rPr>
        <w:t> </w:t>
      </w:r>
      <w:r>
        <w:rPr>
          <w:sz w:val="18"/>
          <w:u w:val="single" w:color="69BD28"/>
        </w:rPr>
        <w:t>discount</w:t>
      </w:r>
      <w:r>
        <w:rPr>
          <w:spacing w:val="-13"/>
          <w:sz w:val="18"/>
          <w:u w:val="single" w:color="69BD28"/>
        </w:rPr>
        <w:t> </w:t>
      </w:r>
      <w:r>
        <w:rPr>
          <w:sz w:val="18"/>
          <w:u w:val="single" w:color="69BD28"/>
        </w:rPr>
        <w:t>for</w:t>
      </w:r>
      <w:r>
        <w:rPr>
          <w:spacing w:val="-13"/>
          <w:sz w:val="18"/>
          <w:u w:val="single" w:color="69BD28"/>
        </w:rPr>
        <w:t> </w:t>
      </w:r>
      <w:r>
        <w:rPr>
          <w:sz w:val="18"/>
          <w:u w:val="single" w:color="69BD28"/>
        </w:rPr>
        <w:t>larger</w:t>
      </w:r>
      <w:r>
        <w:rPr>
          <w:spacing w:val="-11"/>
          <w:sz w:val="18"/>
          <w:u w:val="single" w:color="69BD28"/>
        </w:rPr>
        <w:t> </w:t>
      </w:r>
      <w:r>
        <w:rPr>
          <w:sz w:val="18"/>
          <w:u w:val="single" w:color="69BD28"/>
        </w:rPr>
        <w:t>spaces</w:t>
        <w:tab/>
      </w:r>
    </w:p>
    <w:p>
      <w:pPr>
        <w:tabs>
          <w:tab w:pos="5859" w:val="left" w:leader="none"/>
        </w:tabs>
        <w:spacing w:line="348" w:lineRule="auto" w:before="52"/>
        <w:ind w:left="1394" w:right="1626" w:hanging="315"/>
        <w:jc w:val="left"/>
        <w:rPr>
          <w:sz w:val="18"/>
        </w:rPr>
      </w:pPr>
      <w:r>
        <w:rPr/>
        <w:pict>
          <v:shape style="position:absolute;margin-left:36pt;margin-top:15.010632pt;width:523.6pt;height:.75pt;mso-position-horizontal-relative:page;mso-position-vertical-relative:paragraph;z-index:-34199552" coordorigin="720,300" coordsize="10472,15" path="m11191,300l4964,300,4950,300,720,300,720,315,4950,315,4964,315,11191,315,11191,300xe" filled="true" fillcolor="#69bd28" stroked="false">
            <v:path arrowok="t"/>
            <v:fill type="solid"/>
            <w10:wrap type="none"/>
          </v:shape>
        </w:pict>
      </w:r>
      <w:r>
        <w:rPr/>
        <w:pict>
          <v:shape style="position:absolute;margin-left:35.280003pt;margin-top:30.251633pt;width:524.3pt;height:.75pt;mso-position-horizontal-relative:page;mso-position-vertical-relative:paragraph;z-index:-34199040" coordorigin="706,605" coordsize="10486,15" path="m11191,605l4950,605,4935,605,706,605,706,619,4935,619,4950,619,11191,619,11191,605xe" filled="true" fillcolor="#69bd28" stroked="false">
            <v:path arrowok="t"/>
            <v:fill type="solid"/>
            <w10:wrap type="none"/>
          </v:shape>
        </w:pict>
      </w:r>
      <w:r>
        <w:rPr>
          <w:w w:val="105"/>
          <w:sz w:val="18"/>
        </w:rPr>
        <w:t>Leased</w:t>
      </w:r>
      <w:r>
        <w:rPr>
          <w:spacing w:val="-7"/>
          <w:w w:val="105"/>
          <w:sz w:val="18"/>
        </w:rPr>
        <w:t> </w:t>
      </w:r>
      <w:r>
        <w:rPr>
          <w:w w:val="105"/>
          <w:sz w:val="18"/>
        </w:rPr>
        <w:t>area</w:t>
      </w:r>
      <w:r>
        <w:rPr>
          <w:spacing w:val="-9"/>
          <w:w w:val="105"/>
          <w:sz w:val="18"/>
        </w:rPr>
        <w:t> </w:t>
      </w:r>
      <w:r>
        <w:rPr>
          <w:w w:val="130"/>
          <w:sz w:val="18"/>
        </w:rPr>
        <w:t>&gt;</w:t>
      </w:r>
      <w:r>
        <w:rPr>
          <w:spacing w:val="-19"/>
          <w:w w:val="130"/>
          <w:sz w:val="18"/>
        </w:rPr>
        <w:t> </w:t>
      </w:r>
      <w:r>
        <w:rPr>
          <w:w w:val="105"/>
          <w:sz w:val="18"/>
        </w:rPr>
        <w:t>0.20</w:t>
      </w:r>
      <w:r>
        <w:rPr>
          <w:spacing w:val="-7"/>
          <w:w w:val="105"/>
          <w:sz w:val="18"/>
        </w:rPr>
        <w:t> </w:t>
      </w:r>
      <w:r>
        <w:rPr>
          <w:w w:val="130"/>
          <w:sz w:val="18"/>
        </w:rPr>
        <w:t>&lt;</w:t>
      </w:r>
      <w:r>
        <w:rPr>
          <w:spacing w:val="-20"/>
          <w:w w:val="130"/>
          <w:sz w:val="18"/>
        </w:rPr>
        <w:t> </w:t>
      </w:r>
      <w:r>
        <w:rPr>
          <w:w w:val="105"/>
          <w:sz w:val="18"/>
        </w:rPr>
        <w:t>0.50</w:t>
      </w:r>
      <w:r>
        <w:rPr>
          <w:spacing w:val="-5"/>
          <w:w w:val="105"/>
          <w:sz w:val="18"/>
        </w:rPr>
        <w:t> </w:t>
      </w:r>
      <w:r>
        <w:rPr>
          <w:w w:val="105"/>
          <w:sz w:val="18"/>
        </w:rPr>
        <w:t>msf</w:t>
        <w:tab/>
      </w:r>
      <w:r>
        <w:rPr>
          <w:sz w:val="18"/>
        </w:rPr>
        <w:t>Renewal</w:t>
      </w:r>
      <w:r>
        <w:rPr>
          <w:spacing w:val="-26"/>
          <w:sz w:val="18"/>
        </w:rPr>
        <w:t> </w:t>
      </w:r>
      <w:r>
        <w:rPr>
          <w:sz w:val="18"/>
        </w:rPr>
        <w:t>at</w:t>
      </w:r>
      <w:r>
        <w:rPr>
          <w:spacing w:val="-27"/>
          <w:sz w:val="18"/>
        </w:rPr>
        <w:t> </w:t>
      </w:r>
      <w:r>
        <w:rPr>
          <w:sz w:val="18"/>
        </w:rPr>
        <w:t>market</w:t>
      </w:r>
      <w:r>
        <w:rPr>
          <w:spacing w:val="-28"/>
          <w:sz w:val="18"/>
        </w:rPr>
        <w:t> </w:t>
      </w:r>
      <w:r>
        <w:rPr>
          <w:sz w:val="18"/>
        </w:rPr>
        <w:t>(9</w:t>
      </w:r>
      <w:r>
        <w:rPr>
          <w:spacing w:val="-26"/>
          <w:sz w:val="18"/>
        </w:rPr>
        <w:t> </w:t>
      </w:r>
      <w:r>
        <w:rPr>
          <w:sz w:val="18"/>
        </w:rPr>
        <w:t>months</w:t>
      </w:r>
      <w:r>
        <w:rPr>
          <w:spacing w:val="-27"/>
          <w:sz w:val="18"/>
        </w:rPr>
        <w:t> </w:t>
      </w:r>
      <w:r>
        <w:rPr>
          <w:sz w:val="18"/>
        </w:rPr>
        <w:t>lease-up</w:t>
      </w:r>
      <w:r>
        <w:rPr>
          <w:spacing w:val="-26"/>
          <w:sz w:val="18"/>
        </w:rPr>
        <w:t> </w:t>
      </w:r>
      <w:r>
        <w:rPr>
          <w:sz w:val="18"/>
        </w:rPr>
        <w:t>time) </w:t>
      </w:r>
      <w:r>
        <w:rPr>
          <w:w w:val="105"/>
          <w:sz w:val="18"/>
        </w:rPr>
        <w:t>Leased area </w:t>
      </w:r>
      <w:r>
        <w:rPr>
          <w:w w:val="130"/>
          <w:sz w:val="18"/>
        </w:rPr>
        <w:t>&gt;</w:t>
      </w:r>
      <w:r>
        <w:rPr>
          <w:spacing w:val="-54"/>
          <w:w w:val="130"/>
          <w:sz w:val="18"/>
        </w:rPr>
        <w:t> </w:t>
      </w:r>
      <w:r>
        <w:rPr>
          <w:w w:val="105"/>
          <w:sz w:val="18"/>
        </w:rPr>
        <w:t>0.10</w:t>
      </w:r>
      <w:r>
        <w:rPr>
          <w:spacing w:val="-12"/>
          <w:w w:val="105"/>
          <w:sz w:val="18"/>
        </w:rPr>
        <w:t> </w:t>
      </w:r>
      <w:r>
        <w:rPr>
          <w:w w:val="105"/>
          <w:sz w:val="18"/>
        </w:rPr>
        <w:t>msf</w:t>
        <w:tab/>
      </w:r>
      <w:r>
        <w:rPr>
          <w:sz w:val="18"/>
        </w:rPr>
        <w:t>Renewal</w:t>
      </w:r>
      <w:r>
        <w:rPr>
          <w:spacing w:val="-27"/>
          <w:sz w:val="18"/>
        </w:rPr>
        <w:t> </w:t>
      </w:r>
      <w:r>
        <w:rPr>
          <w:sz w:val="18"/>
        </w:rPr>
        <w:t>at</w:t>
      </w:r>
      <w:r>
        <w:rPr>
          <w:spacing w:val="-27"/>
          <w:sz w:val="18"/>
        </w:rPr>
        <w:t> </w:t>
      </w:r>
      <w:r>
        <w:rPr>
          <w:sz w:val="18"/>
        </w:rPr>
        <w:t>market</w:t>
      </w:r>
      <w:r>
        <w:rPr>
          <w:spacing w:val="-27"/>
          <w:sz w:val="18"/>
        </w:rPr>
        <w:t> </w:t>
      </w:r>
      <w:r>
        <w:rPr>
          <w:sz w:val="18"/>
        </w:rPr>
        <w:t>(6</w:t>
      </w:r>
      <w:r>
        <w:rPr>
          <w:spacing w:val="-27"/>
          <w:sz w:val="18"/>
        </w:rPr>
        <w:t> </w:t>
      </w:r>
      <w:r>
        <w:rPr>
          <w:sz w:val="18"/>
        </w:rPr>
        <w:t>months</w:t>
      </w:r>
      <w:r>
        <w:rPr>
          <w:spacing w:val="-26"/>
          <w:sz w:val="18"/>
        </w:rPr>
        <w:t> </w:t>
      </w:r>
      <w:r>
        <w:rPr>
          <w:sz w:val="18"/>
        </w:rPr>
        <w:t>lease-up</w:t>
      </w:r>
      <w:r>
        <w:rPr>
          <w:spacing w:val="-27"/>
          <w:sz w:val="18"/>
        </w:rPr>
        <w:t> </w:t>
      </w:r>
      <w:r>
        <w:rPr>
          <w:sz w:val="18"/>
        </w:rPr>
        <w:t>time)</w:t>
      </w:r>
    </w:p>
    <w:p>
      <w:pPr>
        <w:spacing w:line="174" w:lineRule="exact" w:before="0"/>
        <w:ind w:left="240" w:right="0" w:firstLine="0"/>
        <w:jc w:val="left"/>
        <w:rPr>
          <w:i/>
          <w:sz w:val="18"/>
        </w:rPr>
      </w:pPr>
      <w:r>
        <w:rPr>
          <w:i/>
          <w:sz w:val="18"/>
        </w:rPr>
        <w:t>Source: Valuer’s Assessment</w:t>
      </w:r>
    </w:p>
    <w:p>
      <w:pPr>
        <w:pStyle w:val="BodyText"/>
        <w:spacing w:line="321" w:lineRule="auto" w:before="193"/>
        <w:ind w:left="802" w:right="232"/>
        <w:jc w:val="both"/>
      </w:pPr>
      <w:r>
        <w:rPr/>
        <w:t>As</w:t>
      </w:r>
      <w:r>
        <w:rPr>
          <w:spacing w:val="-16"/>
        </w:rPr>
        <w:t> </w:t>
      </w:r>
      <w:r>
        <w:rPr/>
        <w:t>presented</w:t>
      </w:r>
      <w:r>
        <w:rPr>
          <w:spacing w:val="-14"/>
        </w:rPr>
        <w:t> </w:t>
      </w:r>
      <w:r>
        <w:rPr/>
        <w:t>in</w:t>
      </w:r>
      <w:r>
        <w:rPr>
          <w:spacing w:val="-16"/>
        </w:rPr>
        <w:t> </w:t>
      </w:r>
      <w:r>
        <w:rPr/>
        <w:t>the</w:t>
      </w:r>
      <w:r>
        <w:rPr>
          <w:spacing w:val="-17"/>
        </w:rPr>
        <w:t> </w:t>
      </w:r>
      <w:r>
        <w:rPr/>
        <w:t>table</w:t>
      </w:r>
      <w:r>
        <w:rPr>
          <w:spacing w:val="-17"/>
        </w:rPr>
        <w:t> </w:t>
      </w:r>
      <w:r>
        <w:rPr/>
        <w:t>above,</w:t>
      </w:r>
      <w:r>
        <w:rPr>
          <w:spacing w:val="-15"/>
        </w:rPr>
        <w:t> </w:t>
      </w:r>
      <w:r>
        <w:rPr/>
        <w:t>all</w:t>
      </w:r>
      <w:r>
        <w:rPr>
          <w:spacing w:val="-15"/>
        </w:rPr>
        <w:t> </w:t>
      </w:r>
      <w:r>
        <w:rPr/>
        <w:t>leases</w:t>
      </w:r>
      <w:r>
        <w:rPr>
          <w:spacing w:val="-15"/>
        </w:rPr>
        <w:t> </w:t>
      </w:r>
      <w:r>
        <w:rPr/>
        <w:t>except</w:t>
      </w:r>
      <w:r>
        <w:rPr>
          <w:spacing w:val="-16"/>
        </w:rPr>
        <w:t> </w:t>
      </w:r>
      <w:r>
        <w:rPr/>
        <w:t>for</w:t>
      </w:r>
      <w:r>
        <w:rPr>
          <w:spacing w:val="-12"/>
        </w:rPr>
        <w:t> </w:t>
      </w:r>
      <w:r>
        <w:rPr/>
        <w:t>anchor</w:t>
      </w:r>
      <w:r>
        <w:rPr>
          <w:spacing w:val="-15"/>
        </w:rPr>
        <w:t> </w:t>
      </w:r>
      <w:r>
        <w:rPr/>
        <w:t>tenant</w:t>
      </w:r>
      <w:r>
        <w:rPr>
          <w:spacing w:val="-15"/>
        </w:rPr>
        <w:t> </w:t>
      </w:r>
      <w:r>
        <w:rPr/>
        <w:t>will</w:t>
      </w:r>
      <w:r>
        <w:rPr>
          <w:spacing w:val="-15"/>
        </w:rPr>
        <w:t> </w:t>
      </w:r>
      <w:r>
        <w:rPr/>
        <w:t>be</w:t>
      </w:r>
      <w:r>
        <w:rPr>
          <w:spacing w:val="-15"/>
        </w:rPr>
        <w:t> </w:t>
      </w:r>
      <w:r>
        <w:rPr/>
        <w:t>renewed</w:t>
      </w:r>
      <w:r>
        <w:rPr>
          <w:spacing w:val="-14"/>
        </w:rPr>
        <w:t> </w:t>
      </w:r>
      <w:r>
        <w:rPr/>
        <w:t>at</w:t>
      </w:r>
      <w:r>
        <w:rPr>
          <w:spacing w:val="-14"/>
        </w:rPr>
        <w:t> </w:t>
      </w:r>
      <w:r>
        <w:rPr/>
        <w:t>marginal</w:t>
      </w:r>
      <w:r>
        <w:rPr>
          <w:spacing w:val="-15"/>
        </w:rPr>
        <w:t> </w:t>
      </w:r>
      <w:r>
        <w:rPr/>
        <w:t>rent, but with a longer lease-up time frame. Anchor tenant in the subject development has a history of renewing</w:t>
      </w:r>
      <w:r>
        <w:rPr>
          <w:spacing w:val="-15"/>
        </w:rPr>
        <w:t> </w:t>
      </w:r>
      <w:r>
        <w:rPr/>
        <w:t>the</w:t>
      </w:r>
      <w:r>
        <w:rPr>
          <w:spacing w:val="-15"/>
        </w:rPr>
        <w:t> </w:t>
      </w:r>
      <w:r>
        <w:rPr/>
        <w:t>spaces</w:t>
      </w:r>
      <w:r>
        <w:rPr>
          <w:spacing w:val="-16"/>
        </w:rPr>
        <w:t> </w:t>
      </w:r>
      <w:r>
        <w:rPr/>
        <w:t>within</w:t>
      </w:r>
      <w:r>
        <w:rPr>
          <w:spacing w:val="-14"/>
        </w:rPr>
        <w:t> </w:t>
      </w:r>
      <w:r>
        <w:rPr/>
        <w:t>subject</w:t>
      </w:r>
      <w:r>
        <w:rPr>
          <w:spacing w:val="-15"/>
        </w:rPr>
        <w:t> </w:t>
      </w:r>
      <w:r>
        <w:rPr/>
        <w:t>property.</w:t>
      </w:r>
      <w:r>
        <w:rPr>
          <w:spacing w:val="-16"/>
        </w:rPr>
        <w:t> </w:t>
      </w:r>
      <w:r>
        <w:rPr/>
        <w:t>Going</w:t>
      </w:r>
      <w:r>
        <w:rPr>
          <w:spacing w:val="-14"/>
        </w:rPr>
        <w:t> </w:t>
      </w:r>
      <w:r>
        <w:rPr/>
        <w:t>forward,</w:t>
      </w:r>
      <w:r>
        <w:rPr>
          <w:spacing w:val="-15"/>
        </w:rPr>
        <w:t> </w:t>
      </w:r>
      <w:r>
        <w:rPr/>
        <w:t>it</w:t>
      </w:r>
      <w:r>
        <w:rPr>
          <w:spacing w:val="-15"/>
        </w:rPr>
        <w:t> </w:t>
      </w:r>
      <w:r>
        <w:rPr/>
        <w:t>is</w:t>
      </w:r>
      <w:r>
        <w:rPr>
          <w:spacing w:val="-16"/>
        </w:rPr>
        <w:t> </w:t>
      </w:r>
      <w:r>
        <w:rPr/>
        <w:t>assumed</w:t>
      </w:r>
      <w:r>
        <w:rPr>
          <w:spacing w:val="-16"/>
        </w:rPr>
        <w:t> </w:t>
      </w:r>
      <w:r>
        <w:rPr/>
        <w:t>that</w:t>
      </w:r>
      <w:r>
        <w:rPr>
          <w:spacing w:val="-14"/>
        </w:rPr>
        <w:t> </w:t>
      </w:r>
      <w:r>
        <w:rPr/>
        <w:t>the</w:t>
      </w:r>
      <w:r>
        <w:rPr>
          <w:spacing w:val="-16"/>
        </w:rPr>
        <w:t> </w:t>
      </w:r>
      <w:r>
        <w:rPr/>
        <w:t>anchor</w:t>
      </w:r>
      <w:r>
        <w:rPr>
          <w:spacing w:val="-14"/>
        </w:rPr>
        <w:t> </w:t>
      </w:r>
      <w:r>
        <w:rPr/>
        <w:t>tenant</w:t>
      </w:r>
      <w:r>
        <w:rPr>
          <w:spacing w:val="-15"/>
        </w:rPr>
        <w:t> </w:t>
      </w:r>
      <w:r>
        <w:rPr/>
        <w:t>will continue</w:t>
      </w:r>
      <w:r>
        <w:rPr>
          <w:spacing w:val="-44"/>
        </w:rPr>
        <w:t> </w:t>
      </w:r>
      <w:r>
        <w:rPr/>
        <w:t>to</w:t>
      </w:r>
      <w:r>
        <w:rPr>
          <w:spacing w:val="-44"/>
        </w:rPr>
        <w:t> </w:t>
      </w:r>
      <w:r>
        <w:rPr/>
        <w:t>renew</w:t>
      </w:r>
      <w:r>
        <w:rPr>
          <w:spacing w:val="-43"/>
        </w:rPr>
        <w:t> </w:t>
      </w:r>
      <w:r>
        <w:rPr/>
        <w:t>its</w:t>
      </w:r>
      <w:r>
        <w:rPr>
          <w:spacing w:val="-43"/>
        </w:rPr>
        <w:t> </w:t>
      </w:r>
      <w:r>
        <w:rPr/>
        <w:t>leases</w:t>
      </w:r>
      <w:r>
        <w:rPr>
          <w:spacing w:val="-44"/>
        </w:rPr>
        <w:t> </w:t>
      </w:r>
      <w:r>
        <w:rPr/>
        <w:t>at</w:t>
      </w:r>
      <w:r>
        <w:rPr>
          <w:spacing w:val="-44"/>
        </w:rPr>
        <w:t> </w:t>
      </w:r>
      <w:r>
        <w:rPr/>
        <w:t>the</w:t>
      </w:r>
      <w:r>
        <w:rPr>
          <w:spacing w:val="-44"/>
        </w:rPr>
        <w:t> </w:t>
      </w:r>
      <w:r>
        <w:rPr/>
        <w:t>subject</w:t>
      </w:r>
      <w:r>
        <w:rPr>
          <w:spacing w:val="-44"/>
        </w:rPr>
        <w:t> </w:t>
      </w:r>
      <w:r>
        <w:rPr/>
        <w:t>development;</w:t>
      </w:r>
      <w:r>
        <w:rPr>
          <w:spacing w:val="-44"/>
        </w:rPr>
        <w:t> </w:t>
      </w:r>
      <w:r>
        <w:rPr/>
        <w:t>however,</w:t>
      </w:r>
      <w:r>
        <w:rPr>
          <w:spacing w:val="-44"/>
        </w:rPr>
        <w:t> </w:t>
      </w:r>
      <w:r>
        <w:rPr/>
        <w:t>they</w:t>
      </w:r>
      <w:r>
        <w:rPr>
          <w:spacing w:val="-44"/>
        </w:rPr>
        <w:t> </w:t>
      </w:r>
      <w:r>
        <w:rPr/>
        <w:t>will</w:t>
      </w:r>
      <w:r>
        <w:rPr>
          <w:spacing w:val="-44"/>
        </w:rPr>
        <w:t> </w:t>
      </w:r>
      <w:r>
        <w:rPr/>
        <w:t>continue</w:t>
      </w:r>
      <w:r>
        <w:rPr>
          <w:spacing w:val="-44"/>
        </w:rPr>
        <w:t> </w:t>
      </w:r>
      <w:r>
        <w:rPr/>
        <w:t>to</w:t>
      </w:r>
      <w:r>
        <w:rPr>
          <w:spacing w:val="-44"/>
        </w:rPr>
        <w:t> </w:t>
      </w:r>
      <w:r>
        <w:rPr/>
        <w:t>attract</w:t>
      </w:r>
      <w:r>
        <w:rPr>
          <w:spacing w:val="-44"/>
        </w:rPr>
        <w:t> </w:t>
      </w:r>
      <w:r>
        <w:rPr/>
        <w:t>a</w:t>
      </w:r>
      <w:r>
        <w:rPr>
          <w:spacing w:val="-43"/>
        </w:rPr>
        <w:t> </w:t>
      </w:r>
      <w:r>
        <w:rPr/>
        <w:t>discount in rent compared to the marginal</w:t>
      </w:r>
      <w:r>
        <w:rPr>
          <w:spacing w:val="-24"/>
        </w:rPr>
        <w:t> </w:t>
      </w:r>
      <w:r>
        <w:rPr/>
        <w:t>rent.</w:t>
      </w:r>
    </w:p>
    <w:p>
      <w:pPr>
        <w:pStyle w:val="ListParagraph"/>
        <w:numPr>
          <w:ilvl w:val="3"/>
          <w:numId w:val="81"/>
        </w:numPr>
        <w:tabs>
          <w:tab w:pos="1105" w:val="left" w:leader="none"/>
        </w:tabs>
        <w:spacing w:line="240" w:lineRule="auto" w:before="211" w:after="0"/>
        <w:ind w:left="1104" w:right="0" w:hanging="865"/>
        <w:jc w:val="both"/>
        <w:rPr>
          <w:i/>
          <w:sz w:val="20"/>
        </w:rPr>
      </w:pPr>
      <w:r>
        <w:rPr>
          <w:i/>
          <w:color w:val="008000"/>
          <w:sz w:val="20"/>
        </w:rPr>
        <w:t>Rent</w:t>
      </w:r>
      <w:r>
        <w:rPr>
          <w:i/>
          <w:color w:val="008000"/>
          <w:spacing w:val="-4"/>
          <w:sz w:val="20"/>
        </w:rPr>
        <w:t> </w:t>
      </w:r>
      <w:r>
        <w:rPr>
          <w:i/>
          <w:color w:val="008000"/>
          <w:sz w:val="20"/>
        </w:rPr>
        <w:t>Escalation</w:t>
      </w:r>
    </w:p>
    <w:p>
      <w:pPr>
        <w:pStyle w:val="BodyText"/>
        <w:rPr>
          <w:i/>
        </w:rPr>
      </w:pPr>
    </w:p>
    <w:p>
      <w:pPr>
        <w:pStyle w:val="BodyText"/>
        <w:spacing w:line="321" w:lineRule="auto"/>
        <w:ind w:left="802" w:right="236"/>
        <w:jc w:val="both"/>
      </w:pPr>
      <w:r>
        <w:rPr/>
        <w:t>Based</w:t>
      </w:r>
      <w:r>
        <w:rPr>
          <w:spacing w:val="-19"/>
        </w:rPr>
        <w:t> </w:t>
      </w:r>
      <w:r>
        <w:rPr/>
        <w:t>on</w:t>
      </w:r>
      <w:r>
        <w:rPr>
          <w:spacing w:val="-17"/>
        </w:rPr>
        <w:t> </w:t>
      </w:r>
      <w:r>
        <w:rPr/>
        <w:t>an</w:t>
      </w:r>
      <w:r>
        <w:rPr>
          <w:spacing w:val="-17"/>
        </w:rPr>
        <w:t> </w:t>
      </w:r>
      <w:r>
        <w:rPr/>
        <w:t>analysis</w:t>
      </w:r>
      <w:r>
        <w:rPr>
          <w:spacing w:val="-16"/>
        </w:rPr>
        <w:t> </w:t>
      </w:r>
      <w:r>
        <w:rPr/>
        <w:t>of</w:t>
      </w:r>
      <w:r>
        <w:rPr>
          <w:spacing w:val="-20"/>
        </w:rPr>
        <w:t> </w:t>
      </w:r>
      <w:r>
        <w:rPr/>
        <w:t>existing</w:t>
      </w:r>
      <w:r>
        <w:rPr>
          <w:spacing w:val="-17"/>
        </w:rPr>
        <w:t> </w:t>
      </w:r>
      <w:r>
        <w:rPr/>
        <w:t>lease</w:t>
      </w:r>
      <w:r>
        <w:rPr>
          <w:spacing w:val="-15"/>
        </w:rPr>
        <w:t> </w:t>
      </w:r>
      <w:r>
        <w:rPr/>
        <w:t>rolls</w:t>
      </w:r>
      <w:r>
        <w:rPr>
          <w:spacing w:val="-15"/>
        </w:rPr>
        <w:t> </w:t>
      </w:r>
      <w:r>
        <w:rPr/>
        <w:t>and</w:t>
      </w:r>
      <w:r>
        <w:rPr>
          <w:spacing w:val="-18"/>
        </w:rPr>
        <w:t> </w:t>
      </w:r>
      <w:r>
        <w:rPr/>
        <w:t>lease</w:t>
      </w:r>
      <w:r>
        <w:rPr>
          <w:spacing w:val="-18"/>
        </w:rPr>
        <w:t> </w:t>
      </w:r>
      <w:r>
        <w:rPr/>
        <w:t>deeds,</w:t>
      </w:r>
      <w:r>
        <w:rPr>
          <w:spacing w:val="-17"/>
        </w:rPr>
        <w:t> </w:t>
      </w:r>
      <w:r>
        <w:rPr/>
        <w:t>it</w:t>
      </w:r>
      <w:r>
        <w:rPr>
          <w:spacing w:val="-18"/>
        </w:rPr>
        <w:t> </w:t>
      </w:r>
      <w:r>
        <w:rPr/>
        <w:t>was</w:t>
      </w:r>
      <w:r>
        <w:rPr>
          <w:spacing w:val="-16"/>
        </w:rPr>
        <w:t> </w:t>
      </w:r>
      <w:r>
        <w:rPr/>
        <w:t>observed</w:t>
      </w:r>
      <w:r>
        <w:rPr>
          <w:spacing w:val="-16"/>
        </w:rPr>
        <w:t> </w:t>
      </w:r>
      <w:r>
        <w:rPr/>
        <w:t>that</w:t>
      </w:r>
      <w:r>
        <w:rPr>
          <w:spacing w:val="-19"/>
        </w:rPr>
        <w:t> </w:t>
      </w:r>
      <w:r>
        <w:rPr/>
        <w:t>the</w:t>
      </w:r>
      <w:r>
        <w:rPr>
          <w:spacing w:val="-17"/>
        </w:rPr>
        <w:t> </w:t>
      </w:r>
      <w:r>
        <w:rPr/>
        <w:t>typical</w:t>
      </w:r>
      <w:r>
        <w:rPr>
          <w:spacing w:val="-17"/>
        </w:rPr>
        <w:t> </w:t>
      </w:r>
      <w:r>
        <w:rPr/>
        <w:t>escalation clause</w:t>
      </w:r>
      <w:r>
        <w:rPr>
          <w:spacing w:val="-27"/>
        </w:rPr>
        <w:t> </w:t>
      </w:r>
      <w:r>
        <w:rPr/>
        <w:t>for</w:t>
      </w:r>
      <w:r>
        <w:rPr>
          <w:spacing w:val="-28"/>
        </w:rPr>
        <w:t> </w:t>
      </w:r>
      <w:r>
        <w:rPr/>
        <w:t>recent</w:t>
      </w:r>
      <w:r>
        <w:rPr>
          <w:spacing w:val="-27"/>
        </w:rPr>
        <w:t> </w:t>
      </w:r>
      <w:r>
        <w:rPr/>
        <w:t>leases</w:t>
      </w:r>
      <w:r>
        <w:rPr>
          <w:spacing w:val="-25"/>
        </w:rPr>
        <w:t> </w:t>
      </w:r>
      <w:r>
        <w:rPr/>
        <w:t>in</w:t>
      </w:r>
      <w:r>
        <w:rPr>
          <w:spacing w:val="-27"/>
        </w:rPr>
        <w:t> </w:t>
      </w:r>
      <w:r>
        <w:rPr/>
        <w:t>the</w:t>
      </w:r>
      <w:r>
        <w:rPr>
          <w:spacing w:val="-28"/>
        </w:rPr>
        <w:t> </w:t>
      </w:r>
      <w:r>
        <w:rPr/>
        <w:t>subject</w:t>
      </w:r>
      <w:r>
        <w:rPr>
          <w:spacing w:val="-27"/>
        </w:rPr>
        <w:t> </w:t>
      </w:r>
      <w:r>
        <w:rPr/>
        <w:t>property</w:t>
      </w:r>
      <w:r>
        <w:rPr>
          <w:spacing w:val="-27"/>
        </w:rPr>
        <w:t> </w:t>
      </w:r>
      <w:r>
        <w:rPr/>
        <w:t>is</w:t>
      </w:r>
      <w:r>
        <w:rPr>
          <w:spacing w:val="-28"/>
        </w:rPr>
        <w:t> </w:t>
      </w:r>
      <w:r>
        <w:rPr/>
        <w:t>approx.</w:t>
      </w:r>
      <w:r>
        <w:rPr>
          <w:spacing w:val="-26"/>
        </w:rPr>
        <w:t> </w:t>
      </w:r>
      <w:r>
        <w:rPr/>
        <w:t>15.0%</w:t>
      </w:r>
      <w:r>
        <w:rPr>
          <w:spacing w:val="-28"/>
        </w:rPr>
        <w:t> </w:t>
      </w:r>
      <w:r>
        <w:rPr/>
        <w:t>after</w:t>
      </w:r>
      <w:r>
        <w:rPr>
          <w:spacing w:val="-27"/>
        </w:rPr>
        <w:t> </w:t>
      </w:r>
      <w:r>
        <w:rPr/>
        <w:t>every</w:t>
      </w:r>
      <w:r>
        <w:rPr>
          <w:spacing w:val="-26"/>
        </w:rPr>
        <w:t> </w:t>
      </w:r>
      <w:r>
        <w:rPr/>
        <w:t>three</w:t>
      </w:r>
      <w:r>
        <w:rPr>
          <w:spacing w:val="-27"/>
        </w:rPr>
        <w:t> </w:t>
      </w:r>
      <w:r>
        <w:rPr/>
        <w:t>years,</w:t>
      </w:r>
      <w:r>
        <w:rPr>
          <w:spacing w:val="-28"/>
        </w:rPr>
        <w:t> </w:t>
      </w:r>
      <w:r>
        <w:rPr/>
        <w:t>which</w:t>
      </w:r>
      <w:r>
        <w:rPr>
          <w:spacing w:val="-27"/>
        </w:rPr>
        <w:t> </w:t>
      </w:r>
      <w:r>
        <w:rPr/>
        <w:t>is</w:t>
      </w:r>
      <w:r>
        <w:rPr>
          <w:spacing w:val="-28"/>
        </w:rPr>
        <w:t> </w:t>
      </w:r>
      <w:r>
        <w:rPr/>
        <w:t>in-line with</w:t>
      </w:r>
      <w:r>
        <w:rPr>
          <w:spacing w:val="-20"/>
        </w:rPr>
        <w:t> </w:t>
      </w:r>
      <w:r>
        <w:rPr/>
        <w:t>the</w:t>
      </w:r>
      <w:r>
        <w:rPr>
          <w:spacing w:val="-20"/>
        </w:rPr>
        <w:t> </w:t>
      </w:r>
      <w:r>
        <w:rPr/>
        <w:t>trend</w:t>
      </w:r>
      <w:r>
        <w:rPr>
          <w:spacing w:val="-18"/>
        </w:rPr>
        <w:t> </w:t>
      </w:r>
      <w:r>
        <w:rPr/>
        <w:t>observed</w:t>
      </w:r>
      <w:r>
        <w:rPr>
          <w:spacing w:val="-19"/>
        </w:rPr>
        <w:t> </w:t>
      </w:r>
      <w:r>
        <w:rPr/>
        <w:t>in</w:t>
      </w:r>
      <w:r>
        <w:rPr>
          <w:spacing w:val="-19"/>
        </w:rPr>
        <w:t> </w:t>
      </w:r>
      <w:r>
        <w:rPr/>
        <w:t>the</w:t>
      </w:r>
      <w:r>
        <w:rPr>
          <w:spacing w:val="-19"/>
        </w:rPr>
        <w:t> </w:t>
      </w:r>
      <w:r>
        <w:rPr/>
        <w:t>market.</w:t>
      </w:r>
      <w:r>
        <w:rPr>
          <w:spacing w:val="-19"/>
        </w:rPr>
        <w:t> </w:t>
      </w:r>
      <w:r>
        <w:rPr/>
        <w:t>The</w:t>
      </w:r>
      <w:r>
        <w:rPr>
          <w:spacing w:val="-19"/>
        </w:rPr>
        <w:t> </w:t>
      </w:r>
      <w:r>
        <w:rPr/>
        <w:t>same</w:t>
      </w:r>
      <w:r>
        <w:rPr>
          <w:spacing w:val="-18"/>
        </w:rPr>
        <w:t> </w:t>
      </w:r>
      <w:r>
        <w:rPr/>
        <w:t>has</w:t>
      </w:r>
      <w:r>
        <w:rPr>
          <w:spacing w:val="-18"/>
        </w:rPr>
        <w:t> </w:t>
      </w:r>
      <w:r>
        <w:rPr/>
        <w:t>been</w:t>
      </w:r>
      <w:r>
        <w:rPr>
          <w:spacing w:val="-20"/>
        </w:rPr>
        <w:t> </w:t>
      </w:r>
      <w:r>
        <w:rPr/>
        <w:t>adopted</w:t>
      </w:r>
      <w:r>
        <w:rPr>
          <w:spacing w:val="-20"/>
        </w:rPr>
        <w:t> </w:t>
      </w:r>
      <w:r>
        <w:rPr/>
        <w:t>by</w:t>
      </w:r>
      <w:r>
        <w:rPr>
          <w:spacing w:val="-18"/>
        </w:rPr>
        <w:t> </w:t>
      </w:r>
      <w:r>
        <w:rPr/>
        <w:t>Valuer</w:t>
      </w:r>
      <w:r>
        <w:rPr>
          <w:spacing w:val="8"/>
        </w:rPr>
        <w:t> </w:t>
      </w:r>
      <w:r>
        <w:rPr/>
        <w:t>for</w:t>
      </w:r>
      <w:r>
        <w:rPr>
          <w:spacing w:val="8"/>
        </w:rPr>
        <w:t> </w:t>
      </w:r>
      <w:r>
        <w:rPr/>
        <w:t>the</w:t>
      </w:r>
      <w:r>
        <w:rPr>
          <w:spacing w:val="7"/>
        </w:rPr>
        <w:t> </w:t>
      </w:r>
      <w:r>
        <w:rPr/>
        <w:t>vacant</w:t>
      </w:r>
      <w:r>
        <w:rPr>
          <w:spacing w:val="7"/>
        </w:rPr>
        <w:t> </w:t>
      </w:r>
      <w:r>
        <w:rPr/>
        <w:t>area</w:t>
      </w:r>
      <w:r>
        <w:rPr>
          <w:spacing w:val="7"/>
        </w:rPr>
        <w:t> </w:t>
      </w:r>
      <w:r>
        <w:rPr/>
        <w:t>and renewals at the subject</w:t>
      </w:r>
      <w:r>
        <w:rPr>
          <w:spacing w:val="-16"/>
        </w:rPr>
        <w:t> </w:t>
      </w:r>
      <w:r>
        <w:rPr/>
        <w:t>property.</w:t>
      </w:r>
    </w:p>
    <w:p>
      <w:pPr>
        <w:pStyle w:val="BodyText"/>
        <w:spacing w:before="4"/>
        <w:rPr>
          <w:sz w:val="23"/>
        </w:rPr>
      </w:pPr>
    </w:p>
    <w:p>
      <w:pPr>
        <w:pStyle w:val="ListParagraph"/>
        <w:numPr>
          <w:ilvl w:val="3"/>
          <w:numId w:val="81"/>
        </w:numPr>
        <w:tabs>
          <w:tab w:pos="1105" w:val="left" w:leader="none"/>
        </w:tabs>
        <w:spacing w:line="240" w:lineRule="auto" w:before="0" w:after="0"/>
        <w:ind w:left="1104" w:right="0" w:hanging="865"/>
        <w:jc w:val="both"/>
        <w:rPr>
          <w:i/>
          <w:sz w:val="20"/>
        </w:rPr>
      </w:pPr>
      <w:r>
        <w:rPr>
          <w:i/>
          <w:color w:val="008000"/>
          <w:sz w:val="20"/>
        </w:rPr>
        <w:t>Parking</w:t>
      </w:r>
      <w:r>
        <w:rPr>
          <w:i/>
          <w:color w:val="008000"/>
          <w:spacing w:val="-2"/>
          <w:sz w:val="20"/>
        </w:rPr>
        <w:t> </w:t>
      </w:r>
      <w:r>
        <w:rPr>
          <w:i/>
          <w:color w:val="008000"/>
          <w:sz w:val="20"/>
        </w:rPr>
        <w:t>Assumptions</w:t>
      </w:r>
    </w:p>
    <w:p>
      <w:pPr>
        <w:pStyle w:val="BodyText"/>
        <w:spacing w:line="321" w:lineRule="auto" w:before="75"/>
        <w:ind w:left="802" w:right="233"/>
        <w:jc w:val="both"/>
      </w:pPr>
      <w:r>
        <w:rPr/>
        <w:t>Based on the prevailing car parking rate in the subject development and EBD sub market, we have assumed a car park charge of INR 6,000 per month per bay, with 25.0% of car park allocated to a tenant</w:t>
      </w:r>
      <w:r>
        <w:rPr>
          <w:spacing w:val="-19"/>
        </w:rPr>
        <w:t> </w:t>
      </w:r>
      <w:r>
        <w:rPr/>
        <w:t>to</w:t>
      </w:r>
      <w:r>
        <w:rPr>
          <w:spacing w:val="-18"/>
        </w:rPr>
        <w:t> </w:t>
      </w:r>
      <w:r>
        <w:rPr/>
        <w:t>be</w:t>
      </w:r>
      <w:r>
        <w:rPr>
          <w:spacing w:val="-18"/>
        </w:rPr>
        <w:t> </w:t>
      </w:r>
      <w:r>
        <w:rPr/>
        <w:t>free</w:t>
      </w:r>
      <w:r>
        <w:rPr>
          <w:spacing w:val="-19"/>
        </w:rPr>
        <w:t> </w:t>
      </w:r>
      <w:r>
        <w:rPr/>
        <w:t>of</w:t>
      </w:r>
      <w:r>
        <w:rPr>
          <w:spacing w:val="-16"/>
        </w:rPr>
        <w:t> </w:t>
      </w:r>
      <w:r>
        <w:rPr/>
        <w:t>cost.</w:t>
      </w:r>
      <w:r>
        <w:rPr>
          <w:spacing w:val="-18"/>
        </w:rPr>
        <w:t> </w:t>
      </w:r>
      <w:r>
        <w:rPr/>
        <w:t>Effective</w:t>
      </w:r>
      <w:r>
        <w:rPr>
          <w:spacing w:val="-19"/>
        </w:rPr>
        <w:t> </w:t>
      </w:r>
      <w:r>
        <w:rPr/>
        <w:t>car</w:t>
      </w:r>
      <w:r>
        <w:rPr>
          <w:spacing w:val="-19"/>
        </w:rPr>
        <w:t> </w:t>
      </w:r>
      <w:r>
        <w:rPr/>
        <w:t>parking</w:t>
      </w:r>
      <w:r>
        <w:rPr>
          <w:spacing w:val="-17"/>
        </w:rPr>
        <w:t> </w:t>
      </w:r>
      <w:r>
        <w:rPr/>
        <w:t>charges</w:t>
      </w:r>
      <w:r>
        <w:rPr>
          <w:spacing w:val="-18"/>
        </w:rPr>
        <w:t> </w:t>
      </w:r>
      <w:r>
        <w:rPr/>
        <w:t>adopted</w:t>
      </w:r>
      <w:r>
        <w:rPr>
          <w:spacing w:val="-17"/>
        </w:rPr>
        <w:t> </w:t>
      </w:r>
      <w:r>
        <w:rPr/>
        <w:t>for</w:t>
      </w:r>
      <w:r>
        <w:rPr>
          <w:spacing w:val="-19"/>
        </w:rPr>
        <w:t> </w:t>
      </w:r>
      <w:r>
        <w:rPr/>
        <w:t>the</w:t>
      </w:r>
      <w:r>
        <w:rPr>
          <w:spacing w:val="-19"/>
        </w:rPr>
        <w:t> </w:t>
      </w:r>
      <w:r>
        <w:rPr/>
        <w:t>purpose</w:t>
      </w:r>
      <w:r>
        <w:rPr>
          <w:spacing w:val="-18"/>
        </w:rPr>
        <w:t> </w:t>
      </w:r>
      <w:r>
        <w:rPr/>
        <w:t>of</w:t>
      </w:r>
      <w:r>
        <w:rPr>
          <w:spacing w:val="-18"/>
        </w:rPr>
        <w:t> </w:t>
      </w:r>
      <w:r>
        <w:rPr/>
        <w:t>this</w:t>
      </w:r>
      <w:r>
        <w:rPr>
          <w:spacing w:val="-17"/>
        </w:rPr>
        <w:t> </w:t>
      </w:r>
      <w:r>
        <w:rPr/>
        <w:t>valuation</w:t>
      </w:r>
      <w:r>
        <w:rPr>
          <w:spacing w:val="-19"/>
        </w:rPr>
        <w:t> </w:t>
      </w:r>
      <w:r>
        <w:rPr/>
        <w:t>is</w:t>
      </w:r>
      <w:r>
        <w:rPr>
          <w:spacing w:val="-18"/>
        </w:rPr>
        <w:t> </w:t>
      </w:r>
      <w:r>
        <w:rPr/>
        <w:t>INR 4,500 per month per</w:t>
      </w:r>
      <w:r>
        <w:rPr>
          <w:spacing w:val="-9"/>
        </w:rPr>
        <w:t> </w:t>
      </w:r>
      <w:r>
        <w:rPr/>
        <w:t>bay.</w:t>
      </w:r>
    </w:p>
    <w:p>
      <w:pPr>
        <w:pStyle w:val="BodyText"/>
        <w:spacing w:before="6"/>
        <w:rPr>
          <w:sz w:val="23"/>
        </w:rPr>
      </w:pPr>
    </w:p>
    <w:p>
      <w:pPr>
        <w:pStyle w:val="ListParagraph"/>
        <w:numPr>
          <w:ilvl w:val="3"/>
          <w:numId w:val="81"/>
        </w:numPr>
        <w:tabs>
          <w:tab w:pos="1105" w:val="left" w:leader="none"/>
        </w:tabs>
        <w:spacing w:line="240" w:lineRule="auto" w:before="0" w:after="0"/>
        <w:ind w:left="1104" w:right="0" w:hanging="865"/>
        <w:jc w:val="left"/>
        <w:rPr>
          <w:i/>
          <w:sz w:val="20"/>
        </w:rPr>
      </w:pPr>
      <w:r>
        <w:rPr>
          <w:i/>
          <w:color w:val="008000"/>
          <w:sz w:val="20"/>
        </w:rPr>
        <w:t>Revenue from Cinnabar Hills</w:t>
      </w:r>
      <w:r>
        <w:rPr>
          <w:i/>
          <w:color w:val="008000"/>
          <w:spacing w:val="-17"/>
          <w:sz w:val="20"/>
        </w:rPr>
        <w:t> </w:t>
      </w:r>
      <w:r>
        <w:rPr>
          <w:i/>
          <w:color w:val="008000"/>
          <w:sz w:val="20"/>
        </w:rPr>
        <w:t>Block</w:t>
      </w:r>
    </w:p>
    <w:p>
      <w:pPr>
        <w:pStyle w:val="BodyText"/>
        <w:rPr>
          <w:i/>
          <w:sz w:val="27"/>
        </w:rPr>
      </w:pPr>
    </w:p>
    <w:p>
      <w:pPr>
        <w:pStyle w:val="BodyText"/>
        <w:spacing w:line="321" w:lineRule="auto"/>
        <w:ind w:left="802" w:right="235"/>
        <w:jc w:val="both"/>
      </w:pPr>
      <w:r>
        <w:rPr/>
        <w:t>As</w:t>
      </w:r>
      <w:r>
        <w:rPr>
          <w:spacing w:val="-9"/>
        </w:rPr>
        <w:t> </w:t>
      </w:r>
      <w:r>
        <w:rPr/>
        <w:t>per</w:t>
      </w:r>
      <w:r>
        <w:rPr>
          <w:spacing w:val="-7"/>
        </w:rPr>
        <w:t> </w:t>
      </w:r>
      <w:r>
        <w:rPr/>
        <w:t>the</w:t>
      </w:r>
      <w:r>
        <w:rPr>
          <w:spacing w:val="-8"/>
        </w:rPr>
        <w:t> </w:t>
      </w:r>
      <w:r>
        <w:rPr/>
        <w:t>information</w:t>
      </w:r>
      <w:r>
        <w:rPr>
          <w:spacing w:val="-8"/>
        </w:rPr>
        <w:t> </w:t>
      </w:r>
      <w:r>
        <w:rPr/>
        <w:t>provided</w:t>
      </w:r>
      <w:r>
        <w:rPr>
          <w:spacing w:val="-6"/>
        </w:rPr>
        <w:t> </w:t>
      </w:r>
      <w:r>
        <w:rPr/>
        <w:t>by</w:t>
      </w:r>
      <w:r>
        <w:rPr>
          <w:spacing w:val="-7"/>
        </w:rPr>
        <w:t> </w:t>
      </w:r>
      <w:r>
        <w:rPr/>
        <w:t>the</w:t>
      </w:r>
      <w:r>
        <w:rPr>
          <w:spacing w:val="-8"/>
        </w:rPr>
        <w:t> </w:t>
      </w:r>
      <w:r>
        <w:rPr/>
        <w:t>Client,</w:t>
      </w:r>
      <w:r>
        <w:rPr>
          <w:spacing w:val="-8"/>
        </w:rPr>
        <w:t> </w:t>
      </w:r>
      <w:r>
        <w:rPr/>
        <w:t>it</w:t>
      </w:r>
      <w:r>
        <w:rPr>
          <w:spacing w:val="-7"/>
        </w:rPr>
        <w:t> </w:t>
      </w:r>
      <w:r>
        <w:rPr/>
        <w:t>is</w:t>
      </w:r>
      <w:r>
        <w:rPr>
          <w:spacing w:val="-7"/>
        </w:rPr>
        <w:t> </w:t>
      </w:r>
      <w:r>
        <w:rPr/>
        <w:t>understood</w:t>
      </w:r>
      <w:r>
        <w:rPr>
          <w:spacing w:val="-6"/>
        </w:rPr>
        <w:t> </w:t>
      </w:r>
      <w:r>
        <w:rPr/>
        <w:t>that</w:t>
      </w:r>
      <w:r>
        <w:rPr>
          <w:spacing w:val="-3"/>
        </w:rPr>
        <w:t> </w:t>
      </w:r>
      <w:r>
        <w:rPr/>
        <w:t>the</w:t>
      </w:r>
      <w:r>
        <w:rPr>
          <w:spacing w:val="-9"/>
        </w:rPr>
        <w:t> </w:t>
      </w:r>
      <w:r>
        <w:rPr/>
        <w:t>Client</w:t>
      </w:r>
      <w:r>
        <w:rPr>
          <w:spacing w:val="-8"/>
        </w:rPr>
        <w:t> </w:t>
      </w:r>
      <w:r>
        <w:rPr/>
        <w:t>has</w:t>
      </w:r>
      <w:r>
        <w:rPr>
          <w:spacing w:val="-6"/>
        </w:rPr>
        <w:t> </w:t>
      </w:r>
      <w:r>
        <w:rPr/>
        <w:t>leased</w:t>
      </w:r>
      <w:r>
        <w:rPr>
          <w:spacing w:val="-7"/>
        </w:rPr>
        <w:t> </w:t>
      </w:r>
      <w:r>
        <w:rPr/>
        <w:t>56,014</w:t>
      </w:r>
      <w:r>
        <w:rPr>
          <w:spacing w:val="-7"/>
        </w:rPr>
        <w:t> </w:t>
      </w:r>
      <w:r>
        <w:rPr/>
        <w:t>sf</w:t>
      </w:r>
      <w:r>
        <w:rPr>
          <w:spacing w:val="-7"/>
        </w:rPr>
        <w:t> </w:t>
      </w:r>
      <w:r>
        <w:rPr/>
        <w:t>in one of the landowner’s block “Cinnabar Hills” and have subleased the same to another tenant. The terms of lease are highlighted in the table</w:t>
      </w:r>
      <w:r>
        <w:rPr>
          <w:spacing w:val="-35"/>
        </w:rPr>
        <w:t> </w:t>
      </w:r>
      <w:r>
        <w:rPr/>
        <w:t>below:</w:t>
      </w:r>
    </w:p>
    <w:p>
      <w:pPr>
        <w:pStyle w:val="BodyText"/>
        <w:spacing w:before="6"/>
        <w:rPr>
          <w:sz w:val="20"/>
        </w:rPr>
      </w:pPr>
    </w:p>
    <w:tbl>
      <w:tblPr>
        <w:tblCellSpacing w:w="27" w:type="dxa"/>
        <w:tblW w:w="0" w:type="auto"/>
        <w:jc w:val="left"/>
        <w:tblInd w:w="29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3"/>
        <w:gridCol w:w="3491"/>
        <w:gridCol w:w="3460"/>
      </w:tblGrid>
      <w:tr>
        <w:trPr>
          <w:trHeight w:val="160" w:hRule="atLeast"/>
        </w:trPr>
        <w:tc>
          <w:tcPr>
            <w:tcW w:w="3463" w:type="dxa"/>
            <w:tcBorders>
              <w:left w:val="nil"/>
              <w:right w:val="nil"/>
            </w:tcBorders>
            <w:shd w:val="clear" w:color="auto" w:fill="006A4D"/>
          </w:tcPr>
          <w:p>
            <w:pPr>
              <w:pStyle w:val="TableParagraph"/>
              <w:spacing w:line="192" w:lineRule="exact" w:before="3"/>
              <w:ind w:left="931"/>
              <w:jc w:val="left"/>
              <w:rPr>
                <w:b/>
                <w:sz w:val="18"/>
              </w:rPr>
            </w:pPr>
            <w:r>
              <w:rPr>
                <w:b/>
                <w:color w:val="FFFFFF"/>
                <w:w w:val="105"/>
                <w:sz w:val="18"/>
              </w:rPr>
              <w:t>Nature of Income</w:t>
            </w:r>
          </w:p>
        </w:tc>
        <w:tc>
          <w:tcPr>
            <w:tcW w:w="3491" w:type="dxa"/>
            <w:tcBorders>
              <w:left w:val="nil"/>
              <w:right w:val="nil"/>
            </w:tcBorders>
            <w:shd w:val="clear" w:color="auto" w:fill="006A4D"/>
          </w:tcPr>
          <w:p>
            <w:pPr>
              <w:pStyle w:val="TableParagraph"/>
              <w:spacing w:line="192" w:lineRule="exact" w:before="3"/>
              <w:ind w:left="1240" w:right="1229"/>
              <w:rPr>
                <w:b/>
                <w:sz w:val="18"/>
              </w:rPr>
            </w:pPr>
            <w:r>
              <w:rPr>
                <w:b/>
                <w:color w:val="FFFFFF"/>
                <w:w w:val="110"/>
                <w:sz w:val="18"/>
              </w:rPr>
              <w:t>Details</w:t>
            </w:r>
          </w:p>
        </w:tc>
        <w:tc>
          <w:tcPr>
            <w:tcW w:w="3460" w:type="dxa"/>
            <w:tcBorders>
              <w:left w:val="nil"/>
              <w:right w:val="nil"/>
            </w:tcBorders>
            <w:shd w:val="clear" w:color="auto" w:fill="006A4D"/>
          </w:tcPr>
          <w:p>
            <w:pPr>
              <w:pStyle w:val="TableParagraph"/>
              <w:spacing w:line="192" w:lineRule="exact" w:before="3"/>
              <w:ind w:left="959"/>
              <w:jc w:val="left"/>
              <w:rPr>
                <w:b/>
                <w:sz w:val="18"/>
              </w:rPr>
            </w:pPr>
            <w:r>
              <w:rPr>
                <w:b/>
                <w:color w:val="FFFFFF"/>
                <w:w w:val="105"/>
                <w:sz w:val="18"/>
              </w:rPr>
              <w:t>Escalation Terms</w:t>
            </w:r>
          </w:p>
        </w:tc>
      </w:tr>
    </w:tbl>
    <w:p>
      <w:pPr>
        <w:tabs>
          <w:tab w:pos="3818" w:val="left" w:leader="none"/>
          <w:tab w:pos="7307" w:val="left" w:leader="none"/>
        </w:tabs>
        <w:spacing w:before="47"/>
        <w:ind w:left="0" w:right="1238" w:firstLine="0"/>
        <w:jc w:val="right"/>
        <w:rPr>
          <w:sz w:val="18"/>
        </w:rPr>
      </w:pPr>
      <w:r>
        <w:rPr/>
        <w:pict>
          <v:rect style="position:absolute;margin-left:36pt;margin-top:14.88167pt;width:523.560025pt;height:.719pt;mso-position-horizontal-relative:page;mso-position-vertical-relative:paragraph;z-index:-15029760;mso-wrap-distance-left:0;mso-wrap-distance-right:0" filled="true" fillcolor="#69bd28" stroked="false">
            <v:fill type="solid"/>
            <w10:wrap type="topAndBottom"/>
          </v:rect>
        </w:pict>
      </w:r>
      <w:r>
        <w:rPr>
          <w:sz w:val="18"/>
        </w:rPr>
        <w:t>Rent Outflow</w:t>
      </w:r>
      <w:r>
        <w:rPr>
          <w:spacing w:val="-41"/>
          <w:sz w:val="18"/>
        </w:rPr>
        <w:t> </w:t>
      </w:r>
      <w:r>
        <w:rPr>
          <w:sz w:val="18"/>
        </w:rPr>
        <w:t>to</w:t>
      </w:r>
      <w:r>
        <w:rPr>
          <w:spacing w:val="-20"/>
          <w:sz w:val="18"/>
        </w:rPr>
        <w:t> </w:t>
      </w:r>
      <w:r>
        <w:rPr>
          <w:sz w:val="18"/>
        </w:rPr>
        <w:t>Landowner</w:t>
        <w:tab/>
        <w:t>INR 57.25</w:t>
      </w:r>
      <w:r>
        <w:rPr>
          <w:spacing w:val="15"/>
          <w:sz w:val="18"/>
        </w:rPr>
        <w:t> </w:t>
      </w:r>
      <w:r>
        <w:rPr>
          <w:sz w:val="18"/>
        </w:rPr>
        <w:t>psf</w:t>
      </w:r>
      <w:r>
        <w:rPr>
          <w:spacing w:val="8"/>
          <w:sz w:val="18"/>
        </w:rPr>
        <w:t> </w:t>
      </w:r>
      <w:r>
        <w:rPr>
          <w:sz w:val="18"/>
        </w:rPr>
        <w:t>pm*</w:t>
        <w:tab/>
        <w:t>7.0% every 3</w:t>
      </w:r>
      <w:r>
        <w:rPr>
          <w:spacing w:val="-11"/>
          <w:sz w:val="18"/>
        </w:rPr>
        <w:t> </w:t>
      </w:r>
      <w:r>
        <w:rPr>
          <w:sz w:val="18"/>
        </w:rPr>
        <w:t>years</w:t>
      </w:r>
    </w:p>
    <w:p>
      <w:pPr>
        <w:tabs>
          <w:tab w:pos="3670" w:val="left" w:leader="none"/>
          <w:tab w:pos="7153" w:val="left" w:leader="none"/>
        </w:tabs>
        <w:spacing w:before="15" w:after="42"/>
        <w:ind w:left="0" w:right="1152" w:firstLine="0"/>
        <w:jc w:val="right"/>
        <w:rPr>
          <w:sz w:val="18"/>
        </w:rPr>
      </w:pPr>
      <w:r>
        <w:rPr>
          <w:sz w:val="18"/>
        </w:rPr>
        <w:t>Rent</w:t>
      </w:r>
      <w:r>
        <w:rPr>
          <w:spacing w:val="-27"/>
          <w:sz w:val="18"/>
        </w:rPr>
        <w:t> </w:t>
      </w:r>
      <w:r>
        <w:rPr>
          <w:sz w:val="18"/>
        </w:rPr>
        <w:t>Inflow</w:t>
      </w:r>
      <w:r>
        <w:rPr>
          <w:spacing w:val="-25"/>
          <w:sz w:val="18"/>
        </w:rPr>
        <w:t> </w:t>
      </w:r>
      <w:r>
        <w:rPr>
          <w:sz w:val="18"/>
        </w:rPr>
        <w:t>from</w:t>
      </w:r>
      <w:r>
        <w:rPr>
          <w:spacing w:val="-25"/>
          <w:sz w:val="18"/>
        </w:rPr>
        <w:t> </w:t>
      </w:r>
      <w:r>
        <w:rPr>
          <w:sz w:val="18"/>
        </w:rPr>
        <w:t>Tenant</w:t>
        <w:tab/>
        <w:t>INR 100.00</w:t>
      </w:r>
      <w:r>
        <w:rPr>
          <w:spacing w:val="15"/>
          <w:sz w:val="18"/>
        </w:rPr>
        <w:t> </w:t>
      </w:r>
      <w:r>
        <w:rPr>
          <w:sz w:val="18"/>
        </w:rPr>
        <w:t>psf</w:t>
      </w:r>
      <w:r>
        <w:rPr>
          <w:spacing w:val="9"/>
          <w:sz w:val="18"/>
        </w:rPr>
        <w:t> </w:t>
      </w:r>
      <w:r>
        <w:rPr>
          <w:sz w:val="18"/>
        </w:rPr>
        <w:t>pm</w:t>
        <w:tab/>
        <w:t>12.0% every 3 years</w:t>
      </w:r>
    </w:p>
    <w:p>
      <w:pPr>
        <w:pStyle w:val="BodyText"/>
        <w:spacing w:line="20" w:lineRule="exact"/>
        <w:ind w:left="22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line="321" w:lineRule="auto" w:before="0"/>
        <w:ind w:left="802" w:right="237" w:firstLine="0"/>
        <w:jc w:val="both"/>
        <w:rPr>
          <w:i/>
          <w:sz w:val="18"/>
        </w:rPr>
      </w:pPr>
      <w:r>
        <w:rPr>
          <w:i/>
          <w:sz w:val="18"/>
        </w:rPr>
        <w:t>Source:</w:t>
      </w:r>
      <w:r>
        <w:rPr>
          <w:i/>
          <w:spacing w:val="-29"/>
          <w:sz w:val="18"/>
        </w:rPr>
        <w:t> </w:t>
      </w:r>
      <w:r>
        <w:rPr>
          <w:i/>
          <w:sz w:val="18"/>
        </w:rPr>
        <w:t>Client;</w:t>
      </w:r>
      <w:r>
        <w:rPr>
          <w:i/>
          <w:spacing w:val="-28"/>
          <w:sz w:val="18"/>
        </w:rPr>
        <w:t> </w:t>
      </w:r>
      <w:r>
        <w:rPr>
          <w:i/>
          <w:sz w:val="18"/>
        </w:rPr>
        <w:t>cash</w:t>
      </w:r>
      <w:r>
        <w:rPr>
          <w:i/>
          <w:spacing w:val="-29"/>
          <w:sz w:val="18"/>
        </w:rPr>
        <w:t> </w:t>
      </w:r>
      <w:r>
        <w:rPr>
          <w:i/>
          <w:sz w:val="18"/>
        </w:rPr>
        <w:t>flows</w:t>
      </w:r>
      <w:r>
        <w:rPr>
          <w:i/>
          <w:spacing w:val="-28"/>
          <w:sz w:val="18"/>
        </w:rPr>
        <w:t> </w:t>
      </w:r>
      <w:r>
        <w:rPr>
          <w:i/>
          <w:sz w:val="18"/>
        </w:rPr>
        <w:t>from</w:t>
      </w:r>
      <w:r>
        <w:rPr>
          <w:i/>
          <w:spacing w:val="-29"/>
          <w:sz w:val="18"/>
        </w:rPr>
        <w:t> </w:t>
      </w:r>
      <w:r>
        <w:rPr>
          <w:i/>
          <w:sz w:val="18"/>
        </w:rPr>
        <w:t>the</w:t>
      </w:r>
      <w:r>
        <w:rPr>
          <w:i/>
          <w:spacing w:val="-29"/>
          <w:sz w:val="18"/>
        </w:rPr>
        <w:t> </w:t>
      </w:r>
      <w:r>
        <w:rPr>
          <w:i/>
          <w:sz w:val="18"/>
        </w:rPr>
        <w:t>space</w:t>
      </w:r>
      <w:r>
        <w:rPr>
          <w:i/>
          <w:spacing w:val="-30"/>
          <w:sz w:val="18"/>
        </w:rPr>
        <w:t> </w:t>
      </w:r>
      <w:r>
        <w:rPr>
          <w:i/>
          <w:sz w:val="18"/>
        </w:rPr>
        <w:t>considered</w:t>
      </w:r>
      <w:r>
        <w:rPr>
          <w:i/>
          <w:spacing w:val="-29"/>
          <w:sz w:val="18"/>
        </w:rPr>
        <w:t> </w:t>
      </w:r>
      <w:r>
        <w:rPr>
          <w:i/>
          <w:sz w:val="18"/>
        </w:rPr>
        <w:t>till</w:t>
      </w:r>
      <w:r>
        <w:rPr>
          <w:i/>
          <w:spacing w:val="-28"/>
          <w:sz w:val="18"/>
        </w:rPr>
        <w:t> </w:t>
      </w:r>
      <w:r>
        <w:rPr>
          <w:i/>
          <w:sz w:val="18"/>
        </w:rPr>
        <w:t>lease</w:t>
      </w:r>
      <w:r>
        <w:rPr>
          <w:i/>
          <w:spacing w:val="-30"/>
          <w:sz w:val="18"/>
        </w:rPr>
        <w:t> </w:t>
      </w:r>
      <w:r>
        <w:rPr>
          <w:i/>
          <w:sz w:val="18"/>
        </w:rPr>
        <w:t>expiry</w:t>
      </w:r>
      <w:r>
        <w:rPr>
          <w:i/>
          <w:spacing w:val="-28"/>
          <w:sz w:val="18"/>
        </w:rPr>
        <w:t> </w:t>
      </w:r>
      <w:r>
        <w:rPr>
          <w:i/>
          <w:sz w:val="18"/>
        </w:rPr>
        <w:t>i.e.</w:t>
      </w:r>
      <w:r>
        <w:rPr>
          <w:i/>
          <w:spacing w:val="-29"/>
          <w:sz w:val="18"/>
        </w:rPr>
        <w:t> </w:t>
      </w:r>
      <w:r>
        <w:rPr>
          <w:i/>
          <w:sz w:val="18"/>
        </w:rPr>
        <w:t>October</w:t>
      </w:r>
      <w:r>
        <w:rPr>
          <w:i/>
          <w:spacing w:val="-28"/>
          <w:sz w:val="18"/>
        </w:rPr>
        <w:t> </w:t>
      </w:r>
      <w:r>
        <w:rPr>
          <w:i/>
          <w:sz w:val="18"/>
        </w:rPr>
        <w:t>2030;</w:t>
      </w:r>
      <w:r>
        <w:rPr>
          <w:i/>
          <w:spacing w:val="-28"/>
          <w:sz w:val="18"/>
        </w:rPr>
        <w:t> </w:t>
      </w:r>
      <w:r>
        <w:rPr>
          <w:i/>
          <w:sz w:val="18"/>
        </w:rPr>
        <w:t>*</w:t>
      </w:r>
      <w:r>
        <w:rPr>
          <w:i/>
          <w:spacing w:val="-30"/>
          <w:sz w:val="18"/>
        </w:rPr>
        <w:t> </w:t>
      </w:r>
      <w:r>
        <w:rPr>
          <w:i/>
          <w:sz w:val="18"/>
        </w:rPr>
        <w:t>Additional</w:t>
      </w:r>
      <w:r>
        <w:rPr>
          <w:i/>
          <w:spacing w:val="-28"/>
          <w:sz w:val="18"/>
        </w:rPr>
        <w:t> </w:t>
      </w:r>
      <w:r>
        <w:rPr>
          <w:i/>
          <w:sz w:val="18"/>
        </w:rPr>
        <w:t>outflow</w:t>
      </w:r>
      <w:r>
        <w:rPr>
          <w:i/>
          <w:spacing w:val="-28"/>
          <w:sz w:val="18"/>
        </w:rPr>
        <w:t> </w:t>
      </w:r>
      <w:r>
        <w:rPr>
          <w:i/>
          <w:sz w:val="18"/>
        </w:rPr>
        <w:t>of</w:t>
      </w:r>
      <w:r>
        <w:rPr>
          <w:i/>
          <w:spacing w:val="-29"/>
          <w:sz w:val="18"/>
        </w:rPr>
        <w:t> </w:t>
      </w:r>
      <w:r>
        <w:rPr>
          <w:i/>
          <w:sz w:val="18"/>
        </w:rPr>
        <w:t>INR</w:t>
      </w:r>
      <w:r>
        <w:rPr>
          <w:i/>
          <w:spacing w:val="-29"/>
          <w:sz w:val="18"/>
        </w:rPr>
        <w:t> </w:t>
      </w:r>
      <w:r>
        <w:rPr>
          <w:i/>
          <w:sz w:val="18"/>
        </w:rPr>
        <w:t>142,500</w:t>
      </w:r>
      <w:r>
        <w:rPr>
          <w:i/>
          <w:spacing w:val="-26"/>
          <w:sz w:val="18"/>
        </w:rPr>
        <w:t> </w:t>
      </w:r>
      <w:r>
        <w:rPr>
          <w:i/>
          <w:sz w:val="18"/>
        </w:rPr>
        <w:t>per </w:t>
      </w:r>
      <w:r>
        <w:rPr>
          <w:i/>
          <w:sz w:val="18"/>
        </w:rPr>
        <w:t>month towards car parking</w:t>
      </w:r>
      <w:r>
        <w:rPr>
          <w:i/>
          <w:spacing w:val="-18"/>
          <w:sz w:val="18"/>
        </w:rPr>
        <w:t> </w:t>
      </w:r>
      <w:r>
        <w:rPr>
          <w:i/>
          <w:sz w:val="18"/>
        </w:rPr>
        <w:t>rental</w:t>
      </w:r>
    </w:p>
    <w:p>
      <w:pPr>
        <w:spacing w:after="0" w:line="321" w:lineRule="auto"/>
        <w:jc w:val="both"/>
        <w:rPr>
          <w:sz w:val="18"/>
        </w:rPr>
        <w:sectPr>
          <w:pgSz w:w="11910" w:h="16840"/>
          <w:pgMar w:header="720" w:footer="862" w:top="1660" w:bottom="1060" w:left="480" w:right="480"/>
        </w:sectPr>
      </w:pPr>
    </w:p>
    <w:p>
      <w:pPr>
        <w:pStyle w:val="BodyText"/>
        <w:spacing w:before="1"/>
        <w:rPr>
          <w:i/>
          <w:sz w:val="12"/>
        </w:rPr>
      </w:pPr>
    </w:p>
    <w:p>
      <w:pPr>
        <w:pStyle w:val="ListParagraph"/>
        <w:numPr>
          <w:ilvl w:val="3"/>
          <w:numId w:val="81"/>
        </w:numPr>
        <w:tabs>
          <w:tab w:pos="1105" w:val="left" w:leader="none"/>
        </w:tabs>
        <w:spacing w:line="240" w:lineRule="auto" w:before="106" w:after="0"/>
        <w:ind w:left="1104" w:right="0" w:hanging="865"/>
        <w:jc w:val="both"/>
        <w:rPr>
          <w:i/>
          <w:sz w:val="20"/>
        </w:rPr>
      </w:pPr>
      <w:r>
        <w:rPr>
          <w:i/>
          <w:color w:val="008000"/>
          <w:sz w:val="20"/>
        </w:rPr>
        <w:t>Facebook Sub-Lease Revenue from Facebook</w:t>
      </w:r>
      <w:r>
        <w:rPr>
          <w:i/>
          <w:color w:val="008000"/>
          <w:spacing w:val="-22"/>
          <w:sz w:val="20"/>
        </w:rPr>
        <w:t> </w:t>
      </w:r>
      <w:r>
        <w:rPr>
          <w:i/>
          <w:color w:val="008000"/>
          <w:sz w:val="20"/>
        </w:rPr>
        <w:t>Sublease</w:t>
      </w:r>
    </w:p>
    <w:p>
      <w:pPr>
        <w:pStyle w:val="BodyText"/>
        <w:spacing w:before="2"/>
        <w:rPr>
          <w:i/>
          <w:sz w:val="27"/>
        </w:rPr>
      </w:pPr>
    </w:p>
    <w:p>
      <w:pPr>
        <w:pStyle w:val="BodyText"/>
        <w:spacing w:line="321" w:lineRule="auto"/>
        <w:ind w:left="802" w:right="234"/>
        <w:jc w:val="both"/>
      </w:pPr>
      <w:r>
        <w:rPr/>
        <w:t>As</w:t>
      </w:r>
      <w:r>
        <w:rPr>
          <w:spacing w:val="-15"/>
        </w:rPr>
        <w:t> </w:t>
      </w:r>
      <w:r>
        <w:rPr/>
        <w:t>per</w:t>
      </w:r>
      <w:r>
        <w:rPr>
          <w:spacing w:val="-14"/>
        </w:rPr>
        <w:t> </w:t>
      </w:r>
      <w:r>
        <w:rPr/>
        <w:t>the</w:t>
      </w:r>
      <w:r>
        <w:rPr>
          <w:spacing w:val="-15"/>
        </w:rPr>
        <w:t> </w:t>
      </w:r>
      <w:r>
        <w:rPr/>
        <w:t>information</w:t>
      </w:r>
      <w:r>
        <w:rPr>
          <w:spacing w:val="-14"/>
        </w:rPr>
        <w:t> </w:t>
      </w:r>
      <w:r>
        <w:rPr/>
        <w:t>provided</w:t>
      </w:r>
      <w:r>
        <w:rPr>
          <w:spacing w:val="-14"/>
        </w:rPr>
        <w:t> </w:t>
      </w:r>
      <w:r>
        <w:rPr/>
        <w:t>by</w:t>
      </w:r>
      <w:r>
        <w:rPr>
          <w:spacing w:val="-13"/>
        </w:rPr>
        <w:t> </w:t>
      </w:r>
      <w:r>
        <w:rPr/>
        <w:t>the</w:t>
      </w:r>
      <w:r>
        <w:rPr>
          <w:spacing w:val="-14"/>
        </w:rPr>
        <w:t> </w:t>
      </w:r>
      <w:r>
        <w:rPr/>
        <w:t>Client,</w:t>
      </w:r>
      <w:r>
        <w:rPr>
          <w:spacing w:val="-14"/>
        </w:rPr>
        <w:t> </w:t>
      </w:r>
      <w:r>
        <w:rPr/>
        <w:t>it</w:t>
      </w:r>
      <w:r>
        <w:rPr>
          <w:spacing w:val="-14"/>
        </w:rPr>
        <w:t> </w:t>
      </w:r>
      <w:r>
        <w:rPr/>
        <w:t>is</w:t>
      </w:r>
      <w:r>
        <w:rPr>
          <w:spacing w:val="-15"/>
        </w:rPr>
        <w:t> </w:t>
      </w:r>
      <w:r>
        <w:rPr/>
        <w:t>understood</w:t>
      </w:r>
      <w:r>
        <w:rPr>
          <w:spacing w:val="-13"/>
        </w:rPr>
        <w:t> </w:t>
      </w:r>
      <w:r>
        <w:rPr/>
        <w:t>that</w:t>
      </w:r>
      <w:r>
        <w:rPr>
          <w:spacing w:val="-9"/>
        </w:rPr>
        <w:t> </w:t>
      </w:r>
      <w:r>
        <w:rPr/>
        <w:t>the</w:t>
      </w:r>
      <w:r>
        <w:rPr>
          <w:spacing w:val="-15"/>
        </w:rPr>
        <w:t> </w:t>
      </w:r>
      <w:r>
        <w:rPr/>
        <w:t>Client</w:t>
      </w:r>
      <w:r>
        <w:rPr>
          <w:spacing w:val="-13"/>
        </w:rPr>
        <w:t> </w:t>
      </w:r>
      <w:r>
        <w:rPr/>
        <w:t>has</w:t>
      </w:r>
      <w:r>
        <w:rPr>
          <w:spacing w:val="-13"/>
        </w:rPr>
        <w:t> </w:t>
      </w:r>
      <w:r>
        <w:rPr/>
        <w:t>leased</w:t>
      </w:r>
      <w:r>
        <w:rPr>
          <w:spacing w:val="-12"/>
        </w:rPr>
        <w:t> </w:t>
      </w:r>
      <w:r>
        <w:rPr/>
        <w:t>119,554</w:t>
      </w:r>
      <w:r>
        <w:rPr>
          <w:spacing w:val="-13"/>
        </w:rPr>
        <w:t> </w:t>
      </w:r>
      <w:r>
        <w:rPr/>
        <w:t>sf</w:t>
      </w:r>
      <w:r>
        <w:rPr>
          <w:spacing w:val="-15"/>
        </w:rPr>
        <w:t> </w:t>
      </w:r>
      <w:r>
        <w:rPr/>
        <w:t>in one</w:t>
      </w:r>
      <w:r>
        <w:rPr>
          <w:spacing w:val="-25"/>
        </w:rPr>
        <w:t> </w:t>
      </w:r>
      <w:r>
        <w:rPr/>
        <w:t>of</w:t>
      </w:r>
      <w:r>
        <w:rPr>
          <w:spacing w:val="-23"/>
        </w:rPr>
        <w:t> </w:t>
      </w:r>
      <w:r>
        <w:rPr/>
        <w:t>the</w:t>
      </w:r>
      <w:r>
        <w:rPr>
          <w:spacing w:val="-24"/>
        </w:rPr>
        <w:t> </w:t>
      </w:r>
      <w:r>
        <w:rPr/>
        <w:t>landowner’s</w:t>
      </w:r>
      <w:r>
        <w:rPr>
          <w:spacing w:val="-23"/>
        </w:rPr>
        <w:t> </w:t>
      </w:r>
      <w:r>
        <w:rPr/>
        <w:t>block</w:t>
      </w:r>
      <w:r>
        <w:rPr>
          <w:spacing w:val="-24"/>
        </w:rPr>
        <w:t> </w:t>
      </w:r>
      <w:r>
        <w:rPr/>
        <w:t>“St.</w:t>
      </w:r>
      <w:r>
        <w:rPr>
          <w:spacing w:val="-24"/>
        </w:rPr>
        <w:t> </w:t>
      </w:r>
      <w:r>
        <w:rPr/>
        <w:t>Andrews”</w:t>
      </w:r>
      <w:r>
        <w:rPr>
          <w:spacing w:val="-24"/>
        </w:rPr>
        <w:t> </w:t>
      </w:r>
      <w:r>
        <w:rPr/>
        <w:t>and</w:t>
      </w:r>
      <w:r>
        <w:rPr>
          <w:spacing w:val="-22"/>
        </w:rPr>
        <w:t> </w:t>
      </w:r>
      <w:r>
        <w:rPr/>
        <w:t>have</w:t>
      </w:r>
      <w:r>
        <w:rPr>
          <w:spacing w:val="-25"/>
        </w:rPr>
        <w:t> </w:t>
      </w:r>
      <w:r>
        <w:rPr/>
        <w:t>subleased</w:t>
      </w:r>
      <w:r>
        <w:rPr>
          <w:spacing w:val="-23"/>
        </w:rPr>
        <w:t> </w:t>
      </w:r>
      <w:r>
        <w:rPr/>
        <w:t>the</w:t>
      </w:r>
      <w:r>
        <w:rPr>
          <w:spacing w:val="-24"/>
        </w:rPr>
        <w:t> </w:t>
      </w:r>
      <w:r>
        <w:rPr/>
        <w:t>same</w:t>
      </w:r>
      <w:r>
        <w:rPr>
          <w:spacing w:val="-24"/>
        </w:rPr>
        <w:t> </w:t>
      </w:r>
      <w:r>
        <w:rPr/>
        <w:t>to</w:t>
      </w:r>
      <w:r>
        <w:rPr>
          <w:spacing w:val="-25"/>
        </w:rPr>
        <w:t> </w:t>
      </w:r>
      <w:r>
        <w:rPr/>
        <w:t>another</w:t>
      </w:r>
      <w:r>
        <w:rPr>
          <w:spacing w:val="-24"/>
        </w:rPr>
        <w:t> </w:t>
      </w:r>
      <w:r>
        <w:rPr/>
        <w:t>tenant.</w:t>
      </w:r>
      <w:r>
        <w:rPr>
          <w:spacing w:val="-23"/>
        </w:rPr>
        <w:t> </w:t>
      </w:r>
      <w:r>
        <w:rPr/>
        <w:t>The</w:t>
      </w:r>
      <w:r>
        <w:rPr>
          <w:spacing w:val="-25"/>
        </w:rPr>
        <w:t> </w:t>
      </w:r>
      <w:r>
        <w:rPr/>
        <w:t>terms of lease are highlighted in the table</w:t>
      </w:r>
      <w:r>
        <w:rPr>
          <w:spacing w:val="-26"/>
        </w:rPr>
        <w:t> </w:t>
      </w:r>
      <w:r>
        <w:rPr/>
        <w:t>below:</w:t>
      </w:r>
    </w:p>
    <w:p>
      <w:pPr>
        <w:pStyle w:val="BodyText"/>
        <w:spacing w:before="4"/>
        <w:rPr>
          <w:sz w:val="20"/>
        </w:rPr>
      </w:pPr>
    </w:p>
    <w:tbl>
      <w:tblPr>
        <w:tblCellSpacing w:w="27" w:type="dxa"/>
        <w:tblW w:w="0" w:type="auto"/>
        <w:jc w:val="left"/>
        <w:tblInd w:w="29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3"/>
        <w:gridCol w:w="3491"/>
        <w:gridCol w:w="3460"/>
      </w:tblGrid>
      <w:tr>
        <w:trPr>
          <w:trHeight w:val="162" w:hRule="atLeast"/>
        </w:trPr>
        <w:tc>
          <w:tcPr>
            <w:tcW w:w="3463" w:type="dxa"/>
            <w:tcBorders>
              <w:left w:val="nil"/>
              <w:right w:val="nil"/>
            </w:tcBorders>
            <w:shd w:val="clear" w:color="auto" w:fill="006A4D"/>
          </w:tcPr>
          <w:p>
            <w:pPr>
              <w:pStyle w:val="TableParagraph"/>
              <w:spacing w:line="192" w:lineRule="exact" w:before="6"/>
              <w:ind w:left="931"/>
              <w:jc w:val="left"/>
              <w:rPr>
                <w:b/>
                <w:sz w:val="18"/>
              </w:rPr>
            </w:pPr>
            <w:r>
              <w:rPr>
                <w:b/>
                <w:color w:val="FFFFFF"/>
                <w:w w:val="105"/>
                <w:sz w:val="18"/>
              </w:rPr>
              <w:t>Nature of Income</w:t>
            </w:r>
          </w:p>
        </w:tc>
        <w:tc>
          <w:tcPr>
            <w:tcW w:w="3491" w:type="dxa"/>
            <w:tcBorders>
              <w:left w:val="nil"/>
              <w:right w:val="nil"/>
            </w:tcBorders>
            <w:shd w:val="clear" w:color="auto" w:fill="006A4D"/>
          </w:tcPr>
          <w:p>
            <w:pPr>
              <w:pStyle w:val="TableParagraph"/>
              <w:spacing w:line="192" w:lineRule="exact" w:before="6"/>
              <w:ind w:left="1242" w:right="1229"/>
              <w:rPr>
                <w:b/>
                <w:sz w:val="18"/>
              </w:rPr>
            </w:pPr>
            <w:r>
              <w:rPr>
                <w:b/>
                <w:color w:val="FFFFFF"/>
                <w:w w:val="110"/>
                <w:sz w:val="18"/>
              </w:rPr>
              <w:t>Details*</w:t>
            </w:r>
          </w:p>
        </w:tc>
        <w:tc>
          <w:tcPr>
            <w:tcW w:w="3460" w:type="dxa"/>
            <w:tcBorders>
              <w:left w:val="nil"/>
              <w:right w:val="nil"/>
            </w:tcBorders>
            <w:shd w:val="clear" w:color="auto" w:fill="006A4D"/>
          </w:tcPr>
          <w:p>
            <w:pPr>
              <w:pStyle w:val="TableParagraph"/>
              <w:spacing w:line="192" w:lineRule="exact" w:before="6"/>
              <w:ind w:left="959"/>
              <w:jc w:val="left"/>
              <w:rPr>
                <w:b/>
                <w:sz w:val="18"/>
              </w:rPr>
            </w:pPr>
            <w:r>
              <w:rPr>
                <w:b/>
                <w:color w:val="FFFFFF"/>
                <w:w w:val="105"/>
                <w:sz w:val="18"/>
              </w:rPr>
              <w:t>Escalation Terms</w:t>
            </w:r>
          </w:p>
        </w:tc>
      </w:tr>
    </w:tbl>
    <w:p>
      <w:pPr>
        <w:pStyle w:val="BodyText"/>
        <w:spacing w:before="5"/>
        <w:rPr>
          <w:sz w:val="3"/>
        </w:rPr>
      </w:pPr>
    </w:p>
    <w:tbl>
      <w:tblPr>
        <w:tblW w:w="0" w:type="auto"/>
        <w:jc w:val="left"/>
        <w:tblInd w:w="2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83"/>
        <w:gridCol w:w="3000"/>
        <w:gridCol w:w="3796"/>
      </w:tblGrid>
      <w:tr>
        <w:trPr>
          <w:trHeight w:val="254" w:hRule="atLeast"/>
        </w:trPr>
        <w:tc>
          <w:tcPr>
            <w:tcW w:w="3683" w:type="dxa"/>
            <w:tcBorders>
              <w:bottom w:val="single" w:sz="6" w:space="0" w:color="69BD28"/>
            </w:tcBorders>
          </w:tcPr>
          <w:p>
            <w:pPr>
              <w:pStyle w:val="TableParagraph"/>
              <w:spacing w:before="4"/>
              <w:ind w:left="622" w:right="794"/>
              <w:rPr>
                <w:sz w:val="18"/>
              </w:rPr>
            </w:pPr>
            <w:r>
              <w:rPr>
                <w:sz w:val="18"/>
              </w:rPr>
              <w:t>Rent Outflow to Landowner</w:t>
            </w:r>
          </w:p>
        </w:tc>
        <w:tc>
          <w:tcPr>
            <w:tcW w:w="3000" w:type="dxa"/>
            <w:tcBorders>
              <w:bottom w:val="single" w:sz="6" w:space="0" w:color="69BD28"/>
            </w:tcBorders>
          </w:tcPr>
          <w:p>
            <w:pPr>
              <w:pStyle w:val="TableParagraph"/>
              <w:spacing w:before="4"/>
              <w:ind w:right="735"/>
              <w:jc w:val="right"/>
              <w:rPr>
                <w:sz w:val="18"/>
              </w:rPr>
            </w:pPr>
            <w:r>
              <w:rPr>
                <w:w w:val="105"/>
                <w:sz w:val="18"/>
              </w:rPr>
              <w:t>INR 135.5 psf pm</w:t>
            </w:r>
          </w:p>
        </w:tc>
        <w:tc>
          <w:tcPr>
            <w:tcW w:w="3796" w:type="dxa"/>
            <w:tcBorders>
              <w:bottom w:val="single" w:sz="6" w:space="0" w:color="69BD28"/>
            </w:tcBorders>
          </w:tcPr>
          <w:p>
            <w:pPr>
              <w:pStyle w:val="TableParagraph"/>
              <w:spacing w:before="4"/>
              <w:ind w:right="431"/>
              <w:jc w:val="right"/>
              <w:rPr>
                <w:sz w:val="18"/>
              </w:rPr>
            </w:pPr>
            <w:r>
              <w:rPr>
                <w:sz w:val="18"/>
              </w:rPr>
              <w:t>15.0% every 3 years on base rent</w:t>
            </w:r>
          </w:p>
        </w:tc>
      </w:tr>
      <w:tr>
        <w:trPr>
          <w:trHeight w:val="297" w:hRule="atLeast"/>
        </w:trPr>
        <w:tc>
          <w:tcPr>
            <w:tcW w:w="3683" w:type="dxa"/>
            <w:tcBorders>
              <w:top w:val="single" w:sz="6" w:space="0" w:color="69BD28"/>
              <w:bottom w:val="single" w:sz="6" w:space="0" w:color="69BD28"/>
            </w:tcBorders>
          </w:tcPr>
          <w:p>
            <w:pPr>
              <w:pStyle w:val="TableParagraph"/>
              <w:spacing w:before="44"/>
              <w:ind w:left="620" w:right="794"/>
              <w:rPr>
                <w:sz w:val="18"/>
              </w:rPr>
            </w:pPr>
            <w:r>
              <w:rPr>
                <w:sz w:val="18"/>
              </w:rPr>
              <w:t>Rent Inflow from Tenant</w:t>
            </w:r>
          </w:p>
        </w:tc>
        <w:tc>
          <w:tcPr>
            <w:tcW w:w="3000" w:type="dxa"/>
            <w:tcBorders>
              <w:top w:val="single" w:sz="6" w:space="0" w:color="69BD28"/>
              <w:bottom w:val="single" w:sz="6" w:space="0" w:color="69BD28"/>
            </w:tcBorders>
          </w:tcPr>
          <w:p>
            <w:pPr>
              <w:pStyle w:val="TableParagraph"/>
              <w:spacing w:before="44"/>
              <w:ind w:right="735"/>
              <w:jc w:val="right"/>
              <w:rPr>
                <w:sz w:val="18"/>
              </w:rPr>
            </w:pPr>
            <w:r>
              <w:rPr>
                <w:w w:val="105"/>
                <w:sz w:val="18"/>
              </w:rPr>
              <w:t>INR 140.4 psf pm</w:t>
            </w:r>
          </w:p>
        </w:tc>
        <w:tc>
          <w:tcPr>
            <w:tcW w:w="3796" w:type="dxa"/>
            <w:tcBorders>
              <w:top w:val="single" w:sz="6" w:space="0" w:color="69BD28"/>
              <w:bottom w:val="single" w:sz="6" w:space="0" w:color="69BD28"/>
            </w:tcBorders>
          </w:tcPr>
          <w:p>
            <w:pPr>
              <w:pStyle w:val="TableParagraph"/>
              <w:spacing w:before="44"/>
              <w:ind w:right="395"/>
              <w:jc w:val="right"/>
              <w:rPr>
                <w:sz w:val="18"/>
              </w:rPr>
            </w:pPr>
            <w:r>
              <w:rPr>
                <w:sz w:val="18"/>
              </w:rPr>
              <w:t>15.0% every 3 years on base rent</w:t>
            </w:r>
          </w:p>
        </w:tc>
      </w:tr>
    </w:tbl>
    <w:p>
      <w:pPr>
        <w:spacing w:before="0"/>
        <w:ind w:left="240" w:right="0" w:firstLine="0"/>
        <w:jc w:val="left"/>
        <w:rPr>
          <w:i/>
          <w:sz w:val="18"/>
        </w:rPr>
      </w:pPr>
      <w:r>
        <w:rPr>
          <w:i/>
          <w:sz w:val="18"/>
        </w:rPr>
        <w:t>Source: Client; cash flows from the space considered till lease expiry i.e. October 2030; * includes car parking rental</w:t>
      </w:r>
    </w:p>
    <w:p>
      <w:pPr>
        <w:pStyle w:val="BodyText"/>
        <w:rPr>
          <w:i/>
        </w:rPr>
      </w:pPr>
    </w:p>
    <w:p>
      <w:pPr>
        <w:pStyle w:val="BodyText"/>
        <w:spacing w:before="4"/>
        <w:rPr>
          <w:i/>
          <w:sz w:val="17"/>
        </w:rPr>
      </w:pPr>
    </w:p>
    <w:p>
      <w:pPr>
        <w:pStyle w:val="ListParagraph"/>
        <w:numPr>
          <w:ilvl w:val="3"/>
          <w:numId w:val="81"/>
        </w:numPr>
        <w:tabs>
          <w:tab w:pos="1105" w:val="left" w:leader="none"/>
        </w:tabs>
        <w:spacing w:line="240" w:lineRule="auto" w:before="0" w:after="0"/>
        <w:ind w:left="1104" w:right="0" w:hanging="865"/>
        <w:jc w:val="both"/>
        <w:rPr>
          <w:i/>
          <w:sz w:val="20"/>
        </w:rPr>
      </w:pPr>
      <w:r>
        <w:rPr>
          <w:i/>
          <w:color w:val="008000"/>
          <w:sz w:val="20"/>
        </w:rPr>
        <w:t>Other</w:t>
      </w:r>
      <w:r>
        <w:rPr>
          <w:i/>
          <w:color w:val="008000"/>
          <w:spacing w:val="-4"/>
          <w:sz w:val="20"/>
        </w:rPr>
        <w:t> </w:t>
      </w:r>
      <w:r>
        <w:rPr>
          <w:i/>
          <w:color w:val="008000"/>
          <w:sz w:val="20"/>
        </w:rPr>
        <w:t>Revenues</w:t>
      </w:r>
    </w:p>
    <w:p>
      <w:pPr>
        <w:pStyle w:val="BodyText"/>
        <w:spacing w:line="321" w:lineRule="auto" w:before="76"/>
        <w:ind w:left="802" w:right="235"/>
        <w:jc w:val="both"/>
      </w:pPr>
      <w:r>
        <w:rPr/>
        <w:t>In</w:t>
      </w:r>
      <w:r>
        <w:rPr>
          <w:spacing w:val="-43"/>
        </w:rPr>
        <w:t> </w:t>
      </w:r>
      <w:r>
        <w:rPr/>
        <w:t>addition</w:t>
      </w:r>
      <w:r>
        <w:rPr>
          <w:spacing w:val="-44"/>
        </w:rPr>
        <w:t> </w:t>
      </w:r>
      <w:r>
        <w:rPr/>
        <w:t>to</w:t>
      </w:r>
      <w:r>
        <w:rPr>
          <w:spacing w:val="-43"/>
        </w:rPr>
        <w:t> </w:t>
      </w:r>
      <w:r>
        <w:rPr/>
        <w:t>lease</w:t>
      </w:r>
      <w:r>
        <w:rPr>
          <w:spacing w:val="-43"/>
        </w:rPr>
        <w:t> </w:t>
      </w:r>
      <w:r>
        <w:rPr/>
        <w:t>rent</w:t>
      </w:r>
      <w:r>
        <w:rPr>
          <w:spacing w:val="-43"/>
        </w:rPr>
        <w:t> </w:t>
      </w:r>
      <w:r>
        <w:rPr/>
        <w:t>revenues,</w:t>
      </w:r>
      <w:r>
        <w:rPr>
          <w:spacing w:val="-43"/>
        </w:rPr>
        <w:t> </w:t>
      </w:r>
      <w:r>
        <w:rPr/>
        <w:t>office</w:t>
      </w:r>
      <w:r>
        <w:rPr>
          <w:spacing w:val="-43"/>
        </w:rPr>
        <w:t> </w:t>
      </w:r>
      <w:r>
        <w:rPr/>
        <w:t>assets/parks</w:t>
      </w:r>
      <w:r>
        <w:rPr>
          <w:spacing w:val="-42"/>
        </w:rPr>
        <w:t> </w:t>
      </w:r>
      <w:r>
        <w:rPr/>
        <w:t>typically</w:t>
      </w:r>
      <w:r>
        <w:rPr>
          <w:spacing w:val="-42"/>
        </w:rPr>
        <w:t> </w:t>
      </w:r>
      <w:r>
        <w:rPr/>
        <w:t>have</w:t>
      </w:r>
      <w:r>
        <w:rPr>
          <w:spacing w:val="-43"/>
        </w:rPr>
        <w:t> </w:t>
      </w:r>
      <w:r>
        <w:rPr/>
        <w:t>additional</w:t>
      </w:r>
      <w:r>
        <w:rPr>
          <w:spacing w:val="-44"/>
        </w:rPr>
        <w:t> </w:t>
      </w:r>
      <w:r>
        <w:rPr/>
        <w:t>sources</w:t>
      </w:r>
      <w:r>
        <w:rPr>
          <w:spacing w:val="-42"/>
        </w:rPr>
        <w:t> </w:t>
      </w:r>
      <w:r>
        <w:rPr/>
        <w:t>of</w:t>
      </w:r>
      <w:r>
        <w:rPr>
          <w:spacing w:val="-43"/>
        </w:rPr>
        <w:t> </w:t>
      </w:r>
      <w:r>
        <w:rPr/>
        <w:t>revenue.</w:t>
      </w:r>
      <w:r>
        <w:rPr>
          <w:spacing w:val="-43"/>
        </w:rPr>
        <w:t> </w:t>
      </w:r>
      <w:r>
        <w:rPr/>
        <w:t>These include revenues on account of security deposit (refunded at the time of lease expiry / exit), other miscellaneous</w:t>
      </w:r>
      <w:r>
        <w:rPr>
          <w:spacing w:val="-10"/>
        </w:rPr>
        <w:t> </w:t>
      </w:r>
      <w:r>
        <w:rPr/>
        <w:t>income</w:t>
      </w:r>
      <w:r>
        <w:rPr>
          <w:spacing w:val="-11"/>
        </w:rPr>
        <w:t> </w:t>
      </w:r>
      <w:r>
        <w:rPr/>
        <w:t>(such</w:t>
      </w:r>
      <w:r>
        <w:rPr>
          <w:spacing w:val="-11"/>
        </w:rPr>
        <w:t> </w:t>
      </w:r>
      <w:r>
        <w:rPr/>
        <w:t>as</w:t>
      </w:r>
      <w:r>
        <w:rPr>
          <w:spacing w:val="-10"/>
        </w:rPr>
        <w:t> </w:t>
      </w:r>
      <w:r>
        <w:rPr/>
        <w:t>cell</w:t>
      </w:r>
      <w:r>
        <w:rPr>
          <w:spacing w:val="-11"/>
        </w:rPr>
        <w:t> </w:t>
      </w:r>
      <w:r>
        <w:rPr/>
        <w:t>sites,</w:t>
      </w:r>
      <w:r>
        <w:rPr>
          <w:spacing w:val="-11"/>
        </w:rPr>
        <w:t> </w:t>
      </w:r>
      <w:r>
        <w:rPr/>
        <w:t>retail</w:t>
      </w:r>
      <w:r>
        <w:rPr>
          <w:spacing w:val="-11"/>
        </w:rPr>
        <w:t> </w:t>
      </w:r>
      <w:r>
        <w:rPr/>
        <w:t>areas,</w:t>
      </w:r>
      <w:r>
        <w:rPr>
          <w:spacing w:val="-11"/>
        </w:rPr>
        <w:t> </w:t>
      </w:r>
      <w:r>
        <w:rPr/>
        <w:t>food</w:t>
      </w:r>
      <w:r>
        <w:rPr>
          <w:spacing w:val="-9"/>
        </w:rPr>
        <w:t> </w:t>
      </w:r>
      <w:r>
        <w:rPr/>
        <w:t>court,</w:t>
      </w:r>
      <w:r>
        <w:rPr>
          <w:spacing w:val="-11"/>
        </w:rPr>
        <w:t> </w:t>
      </w:r>
      <w:r>
        <w:rPr/>
        <w:t>etc.),</w:t>
      </w:r>
      <w:r>
        <w:rPr>
          <w:spacing w:val="-10"/>
        </w:rPr>
        <w:t> </w:t>
      </w:r>
      <w:r>
        <w:rPr/>
        <w:t>etc.</w:t>
      </w:r>
    </w:p>
    <w:p>
      <w:pPr>
        <w:pStyle w:val="BodyText"/>
        <w:spacing w:before="8"/>
        <w:rPr>
          <w:sz w:val="20"/>
        </w:rPr>
      </w:pPr>
    </w:p>
    <w:p>
      <w:pPr>
        <w:pStyle w:val="BodyText"/>
        <w:spacing w:line="321" w:lineRule="auto"/>
        <w:ind w:left="802" w:right="236"/>
        <w:jc w:val="both"/>
      </w:pPr>
      <w:r>
        <w:rPr/>
        <w:t>Additionally,</w:t>
      </w:r>
      <w:r>
        <w:rPr>
          <w:spacing w:val="-36"/>
        </w:rPr>
        <w:t> </w:t>
      </w:r>
      <w:r>
        <w:rPr/>
        <w:t>we</w:t>
      </w:r>
      <w:r>
        <w:rPr>
          <w:spacing w:val="-37"/>
        </w:rPr>
        <w:t> </w:t>
      </w:r>
      <w:r>
        <w:rPr/>
        <w:t>understand</w:t>
      </w:r>
      <w:r>
        <w:rPr>
          <w:spacing w:val="-36"/>
        </w:rPr>
        <w:t> </w:t>
      </w:r>
      <w:r>
        <w:rPr/>
        <w:t>that</w:t>
      </w:r>
      <w:r>
        <w:rPr>
          <w:spacing w:val="-36"/>
        </w:rPr>
        <w:t> </w:t>
      </w:r>
      <w:r>
        <w:rPr/>
        <w:t>the</w:t>
      </w:r>
      <w:r>
        <w:rPr>
          <w:spacing w:val="-37"/>
        </w:rPr>
        <w:t> </w:t>
      </w:r>
      <w:r>
        <w:rPr/>
        <w:t>CAM</w:t>
      </w:r>
      <w:r>
        <w:rPr>
          <w:spacing w:val="-36"/>
        </w:rPr>
        <w:t> </w:t>
      </w:r>
      <w:r>
        <w:rPr/>
        <w:t>is</w:t>
      </w:r>
      <w:r>
        <w:rPr>
          <w:spacing w:val="-36"/>
        </w:rPr>
        <w:t> </w:t>
      </w:r>
      <w:r>
        <w:rPr/>
        <w:t>being</w:t>
      </w:r>
      <w:r>
        <w:rPr>
          <w:spacing w:val="-36"/>
        </w:rPr>
        <w:t> </w:t>
      </w:r>
      <w:r>
        <w:rPr/>
        <w:t>charged</w:t>
      </w:r>
      <w:r>
        <w:rPr>
          <w:spacing w:val="-35"/>
        </w:rPr>
        <w:t> </w:t>
      </w:r>
      <w:r>
        <w:rPr/>
        <w:t>by</w:t>
      </w:r>
      <w:r>
        <w:rPr>
          <w:spacing w:val="-36"/>
        </w:rPr>
        <w:t> </w:t>
      </w:r>
      <w:r>
        <w:rPr/>
        <w:t>an</w:t>
      </w:r>
      <w:r>
        <w:rPr>
          <w:spacing w:val="-34"/>
        </w:rPr>
        <w:t> </w:t>
      </w:r>
      <w:r>
        <w:rPr/>
        <w:t>agency</w:t>
      </w:r>
      <w:r>
        <w:rPr>
          <w:spacing w:val="-35"/>
        </w:rPr>
        <w:t> </w:t>
      </w:r>
      <w:r>
        <w:rPr/>
        <w:t>which</w:t>
      </w:r>
      <w:r>
        <w:rPr>
          <w:spacing w:val="-37"/>
        </w:rPr>
        <w:t> </w:t>
      </w:r>
      <w:r>
        <w:rPr/>
        <w:t>is</w:t>
      </w:r>
      <w:r>
        <w:rPr>
          <w:spacing w:val="-37"/>
        </w:rPr>
        <w:t> </w:t>
      </w:r>
      <w:r>
        <w:rPr/>
        <w:t>external</w:t>
      </w:r>
      <w:r>
        <w:rPr>
          <w:spacing w:val="-36"/>
        </w:rPr>
        <w:t> </w:t>
      </w:r>
      <w:r>
        <w:rPr/>
        <w:t>to</w:t>
      </w:r>
      <w:r>
        <w:rPr>
          <w:spacing w:val="-35"/>
        </w:rPr>
        <w:t> </w:t>
      </w:r>
      <w:r>
        <w:rPr/>
        <w:t>the</w:t>
      </w:r>
      <w:r>
        <w:rPr>
          <w:spacing w:val="-37"/>
        </w:rPr>
        <w:t> </w:t>
      </w:r>
      <w:r>
        <w:rPr/>
        <w:t>interests of</w:t>
      </w:r>
      <w:r>
        <w:rPr>
          <w:spacing w:val="-7"/>
        </w:rPr>
        <w:t> </w:t>
      </w:r>
      <w:r>
        <w:rPr/>
        <w:t>the</w:t>
      </w:r>
      <w:r>
        <w:rPr>
          <w:spacing w:val="-8"/>
        </w:rPr>
        <w:t> </w:t>
      </w:r>
      <w:r>
        <w:rPr/>
        <w:t>Client,</w:t>
      </w:r>
      <w:r>
        <w:rPr>
          <w:spacing w:val="-7"/>
        </w:rPr>
        <w:t> </w:t>
      </w:r>
      <w:r>
        <w:rPr/>
        <w:t>hence</w:t>
      </w:r>
      <w:r>
        <w:rPr>
          <w:spacing w:val="-8"/>
        </w:rPr>
        <w:t> </w:t>
      </w:r>
      <w:r>
        <w:rPr/>
        <w:t>we</w:t>
      </w:r>
      <w:r>
        <w:rPr>
          <w:spacing w:val="-8"/>
        </w:rPr>
        <w:t> </w:t>
      </w:r>
      <w:r>
        <w:rPr/>
        <w:t>have</w:t>
      </w:r>
      <w:r>
        <w:rPr>
          <w:spacing w:val="-8"/>
        </w:rPr>
        <w:t> </w:t>
      </w:r>
      <w:r>
        <w:rPr/>
        <w:t>not</w:t>
      </w:r>
      <w:r>
        <w:rPr>
          <w:spacing w:val="-6"/>
        </w:rPr>
        <w:t> </w:t>
      </w:r>
      <w:r>
        <w:rPr/>
        <w:t>considered</w:t>
      </w:r>
      <w:r>
        <w:rPr>
          <w:spacing w:val="-7"/>
        </w:rPr>
        <w:t> </w:t>
      </w:r>
      <w:r>
        <w:rPr/>
        <w:t>any</w:t>
      </w:r>
      <w:r>
        <w:rPr>
          <w:spacing w:val="-7"/>
        </w:rPr>
        <w:t> </w:t>
      </w:r>
      <w:r>
        <w:rPr/>
        <w:t>margin</w:t>
      </w:r>
      <w:r>
        <w:rPr>
          <w:spacing w:val="-8"/>
        </w:rPr>
        <w:t> </w:t>
      </w:r>
      <w:r>
        <w:rPr/>
        <w:t>on</w:t>
      </w:r>
      <w:r>
        <w:rPr>
          <w:spacing w:val="-8"/>
        </w:rPr>
        <w:t> </w:t>
      </w:r>
      <w:r>
        <w:rPr/>
        <w:t>CAM</w:t>
      </w:r>
      <w:r>
        <w:rPr>
          <w:spacing w:val="-7"/>
        </w:rPr>
        <w:t> </w:t>
      </w:r>
      <w:r>
        <w:rPr/>
        <w:t>during</w:t>
      </w:r>
      <w:r>
        <w:rPr>
          <w:spacing w:val="-6"/>
        </w:rPr>
        <w:t> </w:t>
      </w:r>
      <w:r>
        <w:rPr/>
        <w:t>the</w:t>
      </w:r>
      <w:r>
        <w:rPr>
          <w:spacing w:val="-8"/>
        </w:rPr>
        <w:t> </w:t>
      </w:r>
      <w:r>
        <w:rPr/>
        <w:t>holding</w:t>
      </w:r>
      <w:r>
        <w:rPr>
          <w:spacing w:val="-7"/>
        </w:rPr>
        <w:t> </w:t>
      </w:r>
      <w:r>
        <w:rPr/>
        <w:t>period.</w:t>
      </w:r>
      <w:r>
        <w:rPr>
          <w:spacing w:val="-7"/>
        </w:rPr>
        <w:t> </w:t>
      </w:r>
      <w:r>
        <w:rPr/>
        <w:t>However, at</w:t>
      </w:r>
      <w:r>
        <w:rPr>
          <w:spacing w:val="-14"/>
        </w:rPr>
        <w:t> </w:t>
      </w:r>
      <w:r>
        <w:rPr/>
        <w:t>the</w:t>
      </w:r>
      <w:r>
        <w:rPr>
          <w:spacing w:val="-14"/>
        </w:rPr>
        <w:t> </w:t>
      </w:r>
      <w:r>
        <w:rPr/>
        <w:t>time</w:t>
      </w:r>
      <w:r>
        <w:rPr>
          <w:spacing w:val="-15"/>
        </w:rPr>
        <w:t> </w:t>
      </w:r>
      <w:r>
        <w:rPr/>
        <w:t>of</w:t>
      </w:r>
      <w:r>
        <w:rPr>
          <w:spacing w:val="-13"/>
        </w:rPr>
        <w:t> </w:t>
      </w:r>
      <w:r>
        <w:rPr/>
        <w:t>notional</w:t>
      </w:r>
      <w:r>
        <w:rPr>
          <w:spacing w:val="-15"/>
        </w:rPr>
        <w:t> </w:t>
      </w:r>
      <w:r>
        <w:rPr/>
        <w:t>exit,</w:t>
      </w:r>
      <w:r>
        <w:rPr>
          <w:spacing w:val="-14"/>
        </w:rPr>
        <w:t> </w:t>
      </w:r>
      <w:r>
        <w:rPr/>
        <w:t>margin</w:t>
      </w:r>
      <w:r>
        <w:rPr>
          <w:spacing w:val="-15"/>
        </w:rPr>
        <w:t> </w:t>
      </w:r>
      <w:r>
        <w:rPr/>
        <w:t>of</w:t>
      </w:r>
      <w:r>
        <w:rPr>
          <w:spacing w:val="-14"/>
        </w:rPr>
        <w:t> </w:t>
      </w:r>
      <w:r>
        <w:rPr/>
        <w:t>CAM</w:t>
      </w:r>
      <w:r>
        <w:rPr>
          <w:spacing w:val="-14"/>
        </w:rPr>
        <w:t> </w:t>
      </w:r>
      <w:r>
        <w:rPr/>
        <w:t>is</w:t>
      </w:r>
      <w:r>
        <w:rPr>
          <w:spacing w:val="-14"/>
        </w:rPr>
        <w:t> </w:t>
      </w:r>
      <w:r>
        <w:rPr/>
        <w:t>included</w:t>
      </w:r>
      <w:r>
        <w:rPr>
          <w:spacing w:val="-13"/>
        </w:rPr>
        <w:t> </w:t>
      </w:r>
      <w:r>
        <w:rPr/>
        <w:t>in</w:t>
      </w:r>
      <w:r>
        <w:rPr>
          <w:spacing w:val="-15"/>
        </w:rPr>
        <w:t> </w:t>
      </w:r>
      <w:r>
        <w:rPr/>
        <w:t>the</w:t>
      </w:r>
      <w:r>
        <w:rPr>
          <w:spacing w:val="-15"/>
        </w:rPr>
        <w:t> </w:t>
      </w:r>
      <w:r>
        <w:rPr/>
        <w:t>financial</w:t>
      </w:r>
      <w:r>
        <w:rPr>
          <w:spacing w:val="-9"/>
        </w:rPr>
        <w:t> </w:t>
      </w:r>
      <w:r>
        <w:rPr/>
        <w:t>as</w:t>
      </w:r>
      <w:r>
        <w:rPr>
          <w:spacing w:val="-15"/>
        </w:rPr>
        <w:t> </w:t>
      </w:r>
      <w:r>
        <w:rPr/>
        <w:t>per</w:t>
      </w:r>
      <w:r>
        <w:rPr>
          <w:spacing w:val="-15"/>
        </w:rPr>
        <w:t> </w:t>
      </w:r>
      <w:r>
        <w:rPr/>
        <w:t>market</w:t>
      </w:r>
      <w:r>
        <w:rPr>
          <w:spacing w:val="-13"/>
        </w:rPr>
        <w:t> </w:t>
      </w:r>
      <w:r>
        <w:rPr/>
        <w:t>benchmarks</w:t>
      </w:r>
      <w:r>
        <w:rPr>
          <w:spacing w:val="-14"/>
        </w:rPr>
        <w:t> </w:t>
      </w:r>
      <w:r>
        <w:rPr/>
        <w:t>(i.e. INR 11.0 psf pm CAM </w:t>
      </w:r>
      <w:r>
        <w:rPr>
          <w:spacing w:val="-2"/>
        </w:rPr>
        <w:t>and </w:t>
      </w:r>
      <w:r>
        <w:rPr/>
        <w:t>15.0% margin on</w:t>
      </w:r>
      <w:r>
        <w:rPr>
          <w:spacing w:val="1"/>
        </w:rPr>
        <w:t> </w:t>
      </w:r>
      <w:r>
        <w:rPr/>
        <w:t>CAM).</w:t>
      </w:r>
    </w:p>
    <w:p>
      <w:pPr>
        <w:pStyle w:val="BodyText"/>
        <w:spacing w:before="9"/>
        <w:rPr>
          <w:sz w:val="20"/>
        </w:rPr>
      </w:pPr>
    </w:p>
    <w:p>
      <w:pPr>
        <w:pStyle w:val="BodyText"/>
        <w:spacing w:line="321" w:lineRule="auto"/>
        <w:ind w:left="802" w:right="233"/>
        <w:jc w:val="both"/>
      </w:pPr>
      <w:r>
        <w:rPr/>
        <w:t>The assumptions considered for the aforementioned revenue heads for the purpose of this valuation exercise</w:t>
      </w:r>
      <w:r>
        <w:rPr>
          <w:spacing w:val="-11"/>
        </w:rPr>
        <w:t> </w:t>
      </w:r>
      <w:r>
        <w:rPr/>
        <w:t>are</w:t>
      </w:r>
      <w:r>
        <w:rPr>
          <w:spacing w:val="-10"/>
        </w:rPr>
        <w:t> </w:t>
      </w:r>
      <w:r>
        <w:rPr/>
        <w:t>based</w:t>
      </w:r>
      <w:r>
        <w:rPr>
          <w:spacing w:val="-10"/>
        </w:rPr>
        <w:t> </w:t>
      </w:r>
      <w:r>
        <w:rPr/>
        <w:t>on</w:t>
      </w:r>
      <w:r>
        <w:rPr>
          <w:spacing w:val="-10"/>
        </w:rPr>
        <w:t> </w:t>
      </w:r>
      <w:r>
        <w:rPr/>
        <w:t>the</w:t>
      </w:r>
      <w:r>
        <w:rPr>
          <w:spacing w:val="-11"/>
        </w:rPr>
        <w:t> </w:t>
      </w:r>
      <w:r>
        <w:rPr/>
        <w:t>rent</w:t>
      </w:r>
      <w:r>
        <w:rPr>
          <w:spacing w:val="-10"/>
        </w:rPr>
        <w:t> </w:t>
      </w:r>
      <w:r>
        <w:rPr/>
        <w:t>roll</w:t>
      </w:r>
      <w:r>
        <w:rPr>
          <w:spacing w:val="-11"/>
        </w:rPr>
        <w:t> </w:t>
      </w:r>
      <w:r>
        <w:rPr/>
        <w:t>provided</w:t>
      </w:r>
      <w:r>
        <w:rPr>
          <w:spacing w:val="-10"/>
        </w:rPr>
        <w:t> </w:t>
      </w:r>
      <w:r>
        <w:rPr/>
        <w:t>by</w:t>
      </w:r>
      <w:r>
        <w:rPr>
          <w:spacing w:val="-10"/>
        </w:rPr>
        <w:t> </w:t>
      </w:r>
      <w:r>
        <w:rPr/>
        <w:t>the</w:t>
      </w:r>
      <w:r>
        <w:rPr>
          <w:spacing w:val="-11"/>
        </w:rPr>
        <w:t> </w:t>
      </w:r>
      <w:r>
        <w:rPr/>
        <w:t>Client.</w:t>
      </w:r>
      <w:r>
        <w:rPr>
          <w:spacing w:val="-10"/>
        </w:rPr>
        <w:t> </w:t>
      </w:r>
      <w:r>
        <w:rPr/>
        <w:t>The</w:t>
      </w:r>
      <w:r>
        <w:rPr>
          <w:spacing w:val="-11"/>
        </w:rPr>
        <w:t> </w:t>
      </w:r>
      <w:r>
        <w:rPr/>
        <w:t>same</w:t>
      </w:r>
      <w:r>
        <w:rPr>
          <w:spacing w:val="-11"/>
        </w:rPr>
        <w:t> </w:t>
      </w:r>
      <w:r>
        <w:rPr/>
        <w:t>has</w:t>
      </w:r>
      <w:r>
        <w:rPr>
          <w:spacing w:val="-7"/>
        </w:rPr>
        <w:t> </w:t>
      </w:r>
      <w:r>
        <w:rPr/>
        <w:t>been</w:t>
      </w:r>
      <w:r>
        <w:rPr>
          <w:spacing w:val="-11"/>
        </w:rPr>
        <w:t> </w:t>
      </w:r>
      <w:r>
        <w:rPr/>
        <w:t>cross-checked</w:t>
      </w:r>
      <w:r>
        <w:rPr>
          <w:spacing w:val="-9"/>
        </w:rPr>
        <w:t> </w:t>
      </w:r>
      <w:r>
        <w:rPr/>
        <w:t>with</w:t>
      </w:r>
      <w:r>
        <w:rPr>
          <w:spacing w:val="-13"/>
        </w:rPr>
        <w:t> </w:t>
      </w:r>
      <w:r>
        <w:rPr/>
        <w:t>the prevailing</w:t>
      </w:r>
      <w:r>
        <w:rPr>
          <w:spacing w:val="-8"/>
        </w:rPr>
        <w:t> </w:t>
      </w:r>
      <w:r>
        <w:rPr/>
        <w:t>market</w:t>
      </w:r>
      <w:r>
        <w:rPr>
          <w:spacing w:val="-8"/>
        </w:rPr>
        <w:t> </w:t>
      </w:r>
      <w:r>
        <w:rPr/>
        <w:t>norms</w:t>
      </w:r>
      <w:r>
        <w:rPr>
          <w:spacing w:val="-7"/>
        </w:rPr>
        <w:t> </w:t>
      </w:r>
      <w:r>
        <w:rPr/>
        <w:t>for</w:t>
      </w:r>
      <w:r>
        <w:rPr>
          <w:spacing w:val="-9"/>
        </w:rPr>
        <w:t> </w:t>
      </w:r>
      <w:r>
        <w:rPr/>
        <w:t>other</w:t>
      </w:r>
      <w:r>
        <w:rPr>
          <w:spacing w:val="-8"/>
        </w:rPr>
        <w:t> </w:t>
      </w:r>
      <w:r>
        <w:rPr/>
        <w:t>revenues</w:t>
      </w:r>
      <w:r>
        <w:rPr>
          <w:spacing w:val="-7"/>
        </w:rPr>
        <w:t> </w:t>
      </w:r>
      <w:r>
        <w:rPr/>
        <w:t>and</w:t>
      </w:r>
      <w:r>
        <w:rPr>
          <w:spacing w:val="-8"/>
        </w:rPr>
        <w:t> </w:t>
      </w:r>
      <w:r>
        <w:rPr/>
        <w:t>were</w:t>
      </w:r>
      <w:r>
        <w:rPr>
          <w:spacing w:val="-8"/>
        </w:rPr>
        <w:t> </w:t>
      </w:r>
      <w:r>
        <w:rPr/>
        <w:t>found</w:t>
      </w:r>
      <w:r>
        <w:rPr>
          <w:spacing w:val="-8"/>
        </w:rPr>
        <w:t> </w:t>
      </w:r>
      <w:r>
        <w:rPr/>
        <w:t>to</w:t>
      </w:r>
      <w:r>
        <w:rPr>
          <w:spacing w:val="-9"/>
        </w:rPr>
        <w:t> </w:t>
      </w:r>
      <w:r>
        <w:rPr/>
        <w:t>be</w:t>
      </w:r>
      <w:r>
        <w:rPr>
          <w:spacing w:val="-8"/>
        </w:rPr>
        <w:t> </w:t>
      </w:r>
      <w:r>
        <w:rPr/>
        <w:t>broadly</w:t>
      </w:r>
      <w:r>
        <w:rPr>
          <w:spacing w:val="-7"/>
        </w:rPr>
        <w:t> </w:t>
      </w:r>
      <w:r>
        <w:rPr/>
        <w:t>in</w:t>
      </w:r>
      <w:r>
        <w:rPr>
          <w:spacing w:val="-9"/>
        </w:rPr>
        <w:t> </w:t>
      </w:r>
      <w:r>
        <w:rPr/>
        <w:t>line.</w:t>
      </w:r>
    </w:p>
    <w:p>
      <w:pPr>
        <w:pStyle w:val="BodyText"/>
        <w:spacing w:before="11"/>
        <w:rPr>
          <w:sz w:val="20"/>
        </w:rPr>
      </w:pPr>
    </w:p>
    <w:p>
      <w:pPr>
        <w:pStyle w:val="BodyText"/>
        <w:ind w:left="802"/>
        <w:jc w:val="both"/>
      </w:pPr>
      <w:r>
        <w:rPr/>
        <w:t>The assumptions adopted for other revenues are as tabulated below:</w:t>
      </w:r>
    </w:p>
    <w:p>
      <w:pPr>
        <w:pStyle w:val="BodyText"/>
        <w:spacing w:before="9"/>
        <w:rPr>
          <w:sz w:val="27"/>
        </w:rPr>
      </w:pPr>
    </w:p>
    <w:tbl>
      <w:tblPr>
        <w:tblCellSpacing w:w="27" w:type="dxa"/>
        <w:tblW w:w="0" w:type="auto"/>
        <w:jc w:val="left"/>
        <w:tblInd w:w="29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3"/>
        <w:gridCol w:w="3491"/>
        <w:gridCol w:w="3460"/>
      </w:tblGrid>
      <w:tr>
        <w:trPr>
          <w:trHeight w:val="160" w:hRule="atLeast"/>
        </w:trPr>
        <w:tc>
          <w:tcPr>
            <w:tcW w:w="3463" w:type="dxa"/>
            <w:tcBorders>
              <w:left w:val="nil"/>
              <w:right w:val="nil"/>
            </w:tcBorders>
            <w:shd w:val="clear" w:color="auto" w:fill="006A4D"/>
          </w:tcPr>
          <w:p>
            <w:pPr>
              <w:pStyle w:val="TableParagraph"/>
              <w:spacing w:line="192" w:lineRule="exact" w:before="3"/>
              <w:ind w:left="931"/>
              <w:jc w:val="left"/>
              <w:rPr>
                <w:b/>
                <w:sz w:val="18"/>
              </w:rPr>
            </w:pPr>
            <w:r>
              <w:rPr>
                <w:b/>
                <w:color w:val="FFFFFF"/>
                <w:w w:val="105"/>
                <w:sz w:val="18"/>
              </w:rPr>
              <w:t>Nature of Income</w:t>
            </w:r>
          </w:p>
        </w:tc>
        <w:tc>
          <w:tcPr>
            <w:tcW w:w="3491" w:type="dxa"/>
            <w:tcBorders>
              <w:left w:val="nil"/>
              <w:right w:val="nil"/>
            </w:tcBorders>
            <w:shd w:val="clear" w:color="auto" w:fill="006A4D"/>
          </w:tcPr>
          <w:p>
            <w:pPr>
              <w:pStyle w:val="TableParagraph"/>
              <w:spacing w:line="192" w:lineRule="exact" w:before="3"/>
              <w:ind w:left="1240" w:right="1229"/>
              <w:rPr>
                <w:b/>
                <w:sz w:val="18"/>
              </w:rPr>
            </w:pPr>
            <w:r>
              <w:rPr>
                <w:b/>
                <w:color w:val="FFFFFF"/>
                <w:w w:val="110"/>
                <w:sz w:val="18"/>
              </w:rPr>
              <w:t>Details</w:t>
            </w:r>
          </w:p>
        </w:tc>
        <w:tc>
          <w:tcPr>
            <w:tcW w:w="3460" w:type="dxa"/>
            <w:tcBorders>
              <w:left w:val="nil"/>
              <w:right w:val="nil"/>
            </w:tcBorders>
            <w:shd w:val="clear" w:color="auto" w:fill="006A4D"/>
          </w:tcPr>
          <w:p>
            <w:pPr>
              <w:pStyle w:val="TableParagraph"/>
              <w:spacing w:line="192" w:lineRule="exact" w:before="3"/>
              <w:ind w:left="1455" w:right="1444"/>
              <w:rPr>
                <w:b/>
                <w:sz w:val="18"/>
              </w:rPr>
            </w:pPr>
            <w:r>
              <w:rPr>
                <w:b/>
                <w:color w:val="FFFFFF"/>
                <w:w w:val="105"/>
                <w:sz w:val="18"/>
              </w:rPr>
              <w:t>Units</w:t>
            </w:r>
          </w:p>
        </w:tc>
      </w:tr>
    </w:tbl>
    <w:p>
      <w:pPr>
        <w:spacing w:after="0" w:line="192" w:lineRule="exact"/>
        <w:rPr>
          <w:sz w:val="18"/>
        </w:rPr>
        <w:sectPr>
          <w:pgSz w:w="11910" w:h="16840"/>
          <w:pgMar w:header="720" w:footer="862" w:top="1660" w:bottom="1060" w:left="480" w:right="480"/>
        </w:sectPr>
      </w:pPr>
    </w:p>
    <w:p>
      <w:pPr>
        <w:spacing w:line="247" w:lineRule="auto" w:before="63"/>
        <w:ind w:left="1795" w:right="32" w:hanging="1383"/>
        <w:jc w:val="left"/>
        <w:rPr>
          <w:sz w:val="18"/>
        </w:rPr>
      </w:pPr>
      <w:r>
        <w:rPr>
          <w:sz w:val="18"/>
        </w:rPr>
        <w:t>Miscellaneous</w:t>
      </w:r>
      <w:r>
        <w:rPr>
          <w:spacing w:val="-24"/>
          <w:sz w:val="18"/>
        </w:rPr>
        <w:t> </w:t>
      </w:r>
      <w:r>
        <w:rPr>
          <w:sz w:val="18"/>
        </w:rPr>
        <w:t>Income</w:t>
      </w:r>
      <w:r>
        <w:rPr>
          <w:spacing w:val="-23"/>
          <w:sz w:val="18"/>
        </w:rPr>
        <w:t> </w:t>
      </w:r>
      <w:r>
        <w:rPr>
          <w:sz w:val="18"/>
        </w:rPr>
        <w:t>(Income</w:t>
      </w:r>
      <w:r>
        <w:rPr>
          <w:spacing w:val="-24"/>
          <w:sz w:val="18"/>
        </w:rPr>
        <w:t> </w:t>
      </w:r>
      <w:r>
        <w:rPr>
          <w:sz w:val="18"/>
        </w:rPr>
        <w:t>from</w:t>
      </w:r>
      <w:r>
        <w:rPr>
          <w:spacing w:val="-23"/>
          <w:sz w:val="18"/>
        </w:rPr>
        <w:t> </w:t>
      </w:r>
      <w:r>
        <w:rPr>
          <w:sz w:val="18"/>
        </w:rPr>
        <w:t>cell sites)</w:t>
      </w:r>
    </w:p>
    <w:p>
      <w:pPr>
        <w:spacing w:before="44"/>
        <w:ind w:left="368" w:right="0" w:firstLine="0"/>
        <w:jc w:val="center"/>
        <w:rPr>
          <w:sz w:val="18"/>
        </w:rPr>
      </w:pPr>
      <w:r>
        <w:rPr/>
        <w:br w:type="column"/>
      </w:r>
      <w:r>
        <w:rPr>
          <w:w w:val="110"/>
          <w:sz w:val="18"/>
        </w:rPr>
        <w:t>1.3%</w:t>
      </w:r>
    </w:p>
    <w:p>
      <w:pPr>
        <w:spacing w:before="48"/>
        <w:ind w:left="372" w:right="0" w:firstLine="0"/>
        <w:jc w:val="center"/>
        <w:rPr>
          <w:sz w:val="18"/>
        </w:rPr>
      </w:pPr>
      <w:r>
        <w:rPr>
          <w:w w:val="105"/>
          <w:sz w:val="18"/>
        </w:rPr>
        <w:t>(INR 48.73 mn pa)</w:t>
      </w:r>
    </w:p>
    <w:p>
      <w:pPr>
        <w:spacing w:before="174"/>
        <w:ind w:left="412" w:right="0" w:firstLine="0"/>
        <w:jc w:val="left"/>
        <w:rPr>
          <w:sz w:val="18"/>
        </w:rPr>
      </w:pPr>
      <w:r>
        <w:rPr/>
        <w:br w:type="column"/>
      </w:r>
      <w:r>
        <w:rPr>
          <w:sz w:val="18"/>
        </w:rPr>
        <w:t>% of gross rental income</w:t>
      </w:r>
    </w:p>
    <w:p>
      <w:pPr>
        <w:spacing w:after="0"/>
        <w:jc w:val="left"/>
        <w:rPr>
          <w:sz w:val="18"/>
        </w:rPr>
        <w:sectPr>
          <w:type w:val="continuous"/>
          <w:pgSz w:w="11910" w:h="16840"/>
          <w:pgMar w:top="800" w:bottom="280" w:left="480" w:right="480"/>
          <w:cols w:num="3" w:equalWidth="0">
            <w:col w:w="3597" w:space="726"/>
            <w:col w:w="1936" w:space="1325"/>
            <w:col w:w="3366"/>
          </w:cols>
        </w:sectPr>
      </w:pPr>
    </w:p>
    <w:p>
      <w:pPr>
        <w:pStyle w:val="BodyText"/>
        <w:spacing w:before="7"/>
        <w:rPr>
          <w:sz w:val="3"/>
        </w:rPr>
      </w:pPr>
    </w:p>
    <w:p>
      <w:pPr>
        <w:pStyle w:val="BodyText"/>
        <w:spacing w:line="20" w:lineRule="exact"/>
        <w:ind w:left="240"/>
        <w:rPr>
          <w:sz w:val="2"/>
        </w:rPr>
      </w:pPr>
      <w:r>
        <w:rPr>
          <w:sz w:val="2"/>
        </w:rPr>
        <w:pict>
          <v:group style="width:523.6pt;height:.75pt;mso-position-horizontal-relative:char;mso-position-vertical-relative:line" coordorigin="0,0" coordsize="10472,15">
            <v:rect style="position:absolute;left:0;top:0;width:10472;height:15" filled="true" fillcolor="#69bd28" stroked="false">
              <v:fill type="solid"/>
            </v:rect>
          </v:group>
        </w:pict>
      </w:r>
      <w:r>
        <w:rPr>
          <w:sz w:val="2"/>
        </w:rPr>
      </w:r>
    </w:p>
    <w:p>
      <w:pPr>
        <w:tabs>
          <w:tab w:pos="5108" w:val="left" w:leader="none"/>
          <w:tab w:pos="7705" w:val="left" w:leader="none"/>
        </w:tabs>
        <w:spacing w:before="39"/>
        <w:ind w:left="857" w:right="0" w:firstLine="0"/>
        <w:jc w:val="left"/>
        <w:rPr>
          <w:sz w:val="18"/>
        </w:rPr>
      </w:pPr>
      <w:r>
        <w:rPr/>
        <w:pict>
          <v:rect style="position:absolute;margin-left:36pt;margin-top:14.601664pt;width:523.560025pt;height:.719pt;mso-position-horizontal-relative:page;mso-position-vertical-relative:paragraph;z-index:16430592" filled="true" fillcolor="#69bd28" stroked="false">
            <v:fill type="solid"/>
            <w10:wrap type="none"/>
          </v:rect>
        </w:pict>
      </w:r>
      <w:r>
        <w:rPr>
          <w:sz w:val="18"/>
        </w:rPr>
        <w:t>Warm shell</w:t>
      </w:r>
      <w:r>
        <w:rPr>
          <w:spacing w:val="-35"/>
          <w:sz w:val="18"/>
        </w:rPr>
        <w:t> </w:t>
      </w:r>
      <w:r>
        <w:rPr>
          <w:sz w:val="18"/>
        </w:rPr>
        <w:t>Security</w:t>
      </w:r>
      <w:r>
        <w:rPr>
          <w:spacing w:val="-18"/>
          <w:sz w:val="18"/>
        </w:rPr>
        <w:t> </w:t>
      </w:r>
      <w:r>
        <w:rPr>
          <w:sz w:val="18"/>
        </w:rPr>
        <w:t>Deposit*</w:t>
        <w:tab/>
        <w:t>6</w:t>
      </w:r>
      <w:r>
        <w:rPr>
          <w:spacing w:val="-2"/>
          <w:sz w:val="18"/>
        </w:rPr>
        <w:t> </w:t>
      </w:r>
      <w:r>
        <w:rPr>
          <w:sz w:val="18"/>
        </w:rPr>
        <w:t>months</w:t>
        <w:tab/>
        <w:t>No. of months’ warm shell</w:t>
      </w:r>
      <w:r>
        <w:rPr>
          <w:spacing w:val="-34"/>
          <w:sz w:val="18"/>
        </w:rPr>
        <w:t> </w:t>
      </w:r>
      <w:r>
        <w:rPr>
          <w:sz w:val="18"/>
        </w:rPr>
        <w:t>rental</w:t>
      </w:r>
    </w:p>
    <w:p>
      <w:pPr>
        <w:spacing w:after="0"/>
        <w:jc w:val="left"/>
        <w:rPr>
          <w:sz w:val="18"/>
        </w:rPr>
        <w:sectPr>
          <w:type w:val="continuous"/>
          <w:pgSz w:w="11910" w:h="16840"/>
          <w:pgMar w:top="800" w:bottom="280" w:left="480" w:right="480"/>
        </w:sectPr>
      </w:pPr>
    </w:p>
    <w:p>
      <w:pPr>
        <w:spacing w:line="247" w:lineRule="auto" w:before="101"/>
        <w:ind w:left="1366" w:right="10" w:hanging="791"/>
        <w:jc w:val="left"/>
        <w:rPr>
          <w:sz w:val="18"/>
        </w:rPr>
      </w:pPr>
      <w:r>
        <w:rPr>
          <w:sz w:val="18"/>
        </w:rPr>
        <w:t>Parking Income (For vacant and UC </w:t>
      </w:r>
      <w:r>
        <w:rPr>
          <w:w w:val="98"/>
          <w:sz w:val="18"/>
        </w:rPr>
        <w:t>de</w:t>
      </w:r>
      <w:r>
        <w:rPr>
          <w:w w:val="91"/>
          <w:sz w:val="18"/>
        </w:rPr>
        <w:t>v</w:t>
      </w:r>
      <w:r>
        <w:rPr>
          <w:w w:val="94"/>
          <w:sz w:val="18"/>
        </w:rPr>
        <w:t>e</w:t>
      </w:r>
      <w:r>
        <w:rPr>
          <w:w w:val="97"/>
          <w:sz w:val="18"/>
        </w:rPr>
        <w:t>lo</w:t>
      </w:r>
      <w:r>
        <w:rPr>
          <w:w w:val="102"/>
          <w:sz w:val="18"/>
        </w:rPr>
        <w:t>pm</w:t>
      </w:r>
      <w:r>
        <w:rPr>
          <w:w w:val="94"/>
          <w:sz w:val="18"/>
        </w:rPr>
        <w:t>e</w:t>
      </w:r>
      <w:r>
        <w:rPr>
          <w:w w:val="101"/>
          <w:sz w:val="18"/>
        </w:rPr>
        <w:t>n</w:t>
      </w:r>
      <w:r>
        <w:rPr>
          <w:w w:val="65"/>
          <w:sz w:val="18"/>
        </w:rPr>
        <w:t>t</w:t>
      </w:r>
      <w:r>
        <w:rPr>
          <w:w w:val="78"/>
          <w:sz w:val="18"/>
        </w:rPr>
        <w:t>)</w:t>
      </w:r>
      <w:r>
        <w:rPr>
          <w:w w:val="190"/>
          <w:sz w:val="18"/>
        </w:rPr>
        <w:t>^</w:t>
      </w:r>
    </w:p>
    <w:p>
      <w:pPr>
        <w:pStyle w:val="BodyText"/>
        <w:spacing w:before="2"/>
        <w:rPr>
          <w:sz w:val="18"/>
        </w:rPr>
      </w:pPr>
      <w:r>
        <w:rPr/>
        <w:br w:type="column"/>
      </w:r>
      <w:r>
        <w:rPr>
          <w:sz w:val="18"/>
        </w:rPr>
      </w:r>
    </w:p>
    <w:p>
      <w:pPr>
        <w:tabs>
          <w:tab w:pos="4022" w:val="left" w:leader="none"/>
        </w:tabs>
        <w:spacing w:before="0"/>
        <w:ind w:left="576" w:right="0" w:firstLine="0"/>
        <w:jc w:val="left"/>
        <w:rPr>
          <w:sz w:val="18"/>
        </w:rPr>
      </w:pPr>
      <w:r>
        <w:rPr>
          <w:sz w:val="18"/>
        </w:rPr>
        <w:t>INR</w:t>
      </w:r>
      <w:r>
        <w:rPr>
          <w:spacing w:val="12"/>
          <w:sz w:val="18"/>
        </w:rPr>
        <w:t> </w:t>
      </w:r>
      <w:r>
        <w:rPr>
          <w:sz w:val="18"/>
        </w:rPr>
        <w:t>4,500</w:t>
        <w:tab/>
        <w:t>per car</w:t>
      </w:r>
      <w:r>
        <w:rPr>
          <w:spacing w:val="-5"/>
          <w:sz w:val="18"/>
        </w:rPr>
        <w:t> </w:t>
      </w:r>
      <w:r>
        <w:rPr>
          <w:sz w:val="18"/>
        </w:rPr>
        <w:t>park</w:t>
      </w:r>
    </w:p>
    <w:p>
      <w:pPr>
        <w:spacing w:after="0"/>
        <w:jc w:val="left"/>
        <w:rPr>
          <w:sz w:val="18"/>
        </w:rPr>
        <w:sectPr>
          <w:type w:val="continuous"/>
          <w:pgSz w:w="11910" w:h="16840"/>
          <w:pgMar w:top="800" w:bottom="280" w:left="480" w:right="480"/>
          <w:cols w:num="2" w:equalWidth="0">
            <w:col w:w="3435" w:space="1059"/>
            <w:col w:w="6456"/>
          </w:cols>
        </w:sectPr>
      </w:pPr>
    </w:p>
    <w:p>
      <w:pPr>
        <w:pStyle w:val="BodyText"/>
        <w:spacing w:before="3"/>
        <w:rPr>
          <w:sz w:val="3"/>
        </w:rPr>
      </w:pPr>
    </w:p>
    <w:p>
      <w:pPr>
        <w:pStyle w:val="BodyText"/>
        <w:spacing w:line="20" w:lineRule="exact"/>
        <w:ind w:left="22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line="321" w:lineRule="auto" w:before="119"/>
        <w:ind w:left="240" w:right="0" w:firstLine="0"/>
        <w:jc w:val="left"/>
        <w:rPr>
          <w:i/>
          <w:sz w:val="18"/>
        </w:rPr>
      </w:pPr>
      <w:r>
        <w:rPr>
          <w:i/>
          <w:w w:val="103"/>
          <w:sz w:val="18"/>
        </w:rPr>
        <w:t>So</w:t>
      </w:r>
      <w:r>
        <w:rPr>
          <w:i/>
          <w:w w:val="92"/>
          <w:sz w:val="18"/>
        </w:rPr>
        <w:t>u</w:t>
      </w:r>
      <w:r>
        <w:rPr>
          <w:i/>
          <w:w w:val="81"/>
          <w:sz w:val="18"/>
        </w:rPr>
        <w:t>r</w:t>
      </w:r>
      <w:r>
        <w:rPr>
          <w:i/>
          <w:w w:val="100"/>
          <w:sz w:val="18"/>
        </w:rPr>
        <w:t>c</w:t>
      </w:r>
      <w:r>
        <w:rPr>
          <w:i/>
          <w:w w:val="90"/>
          <w:sz w:val="18"/>
        </w:rPr>
        <w:t>e:</w:t>
      </w:r>
      <w:r>
        <w:rPr>
          <w:i/>
          <w:sz w:val="18"/>
        </w:rPr>
        <w:t> </w:t>
      </w:r>
      <w:r>
        <w:rPr>
          <w:i/>
          <w:w w:val="112"/>
          <w:sz w:val="18"/>
        </w:rPr>
        <w:t>C</w:t>
      </w:r>
      <w:r>
        <w:rPr>
          <w:i/>
          <w:w w:val="85"/>
          <w:sz w:val="18"/>
        </w:rPr>
        <w:t>lie</w:t>
      </w:r>
      <w:r>
        <w:rPr>
          <w:i/>
          <w:w w:val="99"/>
          <w:sz w:val="18"/>
        </w:rPr>
        <w:t>n</w:t>
      </w:r>
      <w:r>
        <w:rPr>
          <w:i/>
          <w:w w:val="68"/>
          <w:sz w:val="18"/>
        </w:rPr>
        <w:t>t</w:t>
      </w:r>
      <w:r>
        <w:rPr>
          <w:i/>
          <w:w w:val="78"/>
          <w:sz w:val="18"/>
        </w:rPr>
        <w:t>’</w:t>
      </w:r>
      <w:r>
        <w:rPr>
          <w:i/>
          <w:w w:val="101"/>
          <w:sz w:val="18"/>
        </w:rPr>
        <w:t>s</w:t>
      </w:r>
      <w:r>
        <w:rPr>
          <w:i/>
          <w:sz w:val="18"/>
        </w:rPr>
        <w:t> </w:t>
      </w:r>
      <w:r>
        <w:rPr>
          <w:i/>
          <w:w w:val="97"/>
          <w:sz w:val="18"/>
        </w:rPr>
        <w:t>In</w:t>
      </w:r>
      <w:r>
        <w:rPr>
          <w:i/>
          <w:w w:val="101"/>
          <w:sz w:val="18"/>
        </w:rPr>
        <w:t>p</w:t>
      </w:r>
      <w:r>
        <w:rPr>
          <w:i/>
          <w:w w:val="92"/>
          <w:sz w:val="18"/>
        </w:rPr>
        <w:t>u</w:t>
      </w:r>
      <w:r>
        <w:rPr>
          <w:i/>
          <w:w w:val="68"/>
          <w:sz w:val="18"/>
        </w:rPr>
        <w:t>t</w:t>
      </w:r>
      <w:r>
        <w:rPr>
          <w:i/>
          <w:w w:val="101"/>
          <w:sz w:val="18"/>
        </w:rPr>
        <w:t>s</w:t>
      </w:r>
      <w:r>
        <w:rPr>
          <w:i/>
          <w:sz w:val="18"/>
        </w:rPr>
        <w:t> </w:t>
      </w:r>
      <w:r>
        <w:rPr>
          <w:i/>
          <w:w w:val="88"/>
          <w:sz w:val="18"/>
        </w:rPr>
        <w:t>&amp;</w:t>
      </w:r>
      <w:r>
        <w:rPr>
          <w:i/>
          <w:sz w:val="18"/>
        </w:rPr>
        <w:t> </w:t>
      </w:r>
      <w:r>
        <w:rPr>
          <w:i/>
          <w:w w:val="101"/>
          <w:sz w:val="18"/>
        </w:rPr>
        <w:t>Va</w:t>
      </w:r>
      <w:r>
        <w:rPr>
          <w:i/>
          <w:w w:val="85"/>
          <w:sz w:val="18"/>
        </w:rPr>
        <w:t>lu</w:t>
      </w:r>
      <w:r>
        <w:rPr>
          <w:i/>
          <w:w w:val="88"/>
          <w:sz w:val="18"/>
        </w:rPr>
        <w:t>er</w:t>
      </w:r>
      <w:r>
        <w:rPr>
          <w:i/>
          <w:w w:val="78"/>
          <w:sz w:val="18"/>
        </w:rPr>
        <w:t>’</w:t>
      </w:r>
      <w:r>
        <w:rPr>
          <w:i/>
          <w:w w:val="101"/>
          <w:sz w:val="18"/>
        </w:rPr>
        <w:t>s</w:t>
      </w:r>
      <w:r>
        <w:rPr>
          <w:i/>
          <w:sz w:val="18"/>
        </w:rPr>
        <w:t> </w:t>
      </w:r>
      <w:r>
        <w:rPr>
          <w:i/>
          <w:w w:val="107"/>
          <w:sz w:val="18"/>
        </w:rPr>
        <w:t>a</w:t>
      </w:r>
      <w:r>
        <w:rPr>
          <w:i/>
          <w:w w:val="101"/>
          <w:sz w:val="18"/>
        </w:rPr>
        <w:t>ss</w:t>
      </w:r>
      <w:r>
        <w:rPr>
          <w:i/>
          <w:w w:val="94"/>
          <w:sz w:val="18"/>
        </w:rPr>
        <w:t>e</w:t>
      </w:r>
      <w:r>
        <w:rPr>
          <w:i/>
          <w:w w:val="101"/>
          <w:sz w:val="18"/>
        </w:rPr>
        <w:t>ss</w:t>
      </w:r>
      <w:r>
        <w:rPr>
          <w:i/>
          <w:w w:val="95"/>
          <w:sz w:val="18"/>
        </w:rPr>
        <w:t>men</w:t>
      </w:r>
      <w:r>
        <w:rPr>
          <w:i/>
          <w:w w:val="68"/>
          <w:sz w:val="18"/>
        </w:rPr>
        <w:t>t</w:t>
      </w:r>
      <w:r>
        <w:rPr>
          <w:i/>
          <w:w w:val="83"/>
          <w:sz w:val="18"/>
        </w:rPr>
        <w:t>;</w:t>
      </w:r>
      <w:r>
        <w:rPr>
          <w:i/>
          <w:sz w:val="18"/>
        </w:rPr>
        <w:t> </w:t>
      </w:r>
      <w:r>
        <w:rPr>
          <w:i/>
          <w:w w:val="116"/>
          <w:sz w:val="18"/>
        </w:rPr>
        <w:t>*</w:t>
      </w:r>
      <w:r>
        <w:rPr>
          <w:i/>
          <w:sz w:val="18"/>
        </w:rPr>
        <w:t> </w:t>
      </w:r>
      <w:r>
        <w:rPr>
          <w:i/>
          <w:w w:val="89"/>
          <w:sz w:val="18"/>
        </w:rPr>
        <w:t>Ref</w:t>
      </w:r>
      <w:r>
        <w:rPr>
          <w:i/>
          <w:w w:val="92"/>
          <w:sz w:val="18"/>
        </w:rPr>
        <w:t>u</w:t>
      </w:r>
      <w:r>
        <w:rPr>
          <w:i/>
          <w:w w:val="99"/>
          <w:sz w:val="18"/>
        </w:rPr>
        <w:t>n</w:t>
      </w:r>
      <w:r>
        <w:rPr>
          <w:i/>
          <w:w w:val="101"/>
          <w:sz w:val="18"/>
        </w:rPr>
        <w:t>d</w:t>
      </w:r>
      <w:r>
        <w:rPr>
          <w:i/>
          <w:w w:val="98"/>
          <w:sz w:val="18"/>
        </w:rPr>
        <w:t>ed</w:t>
      </w:r>
      <w:r>
        <w:rPr>
          <w:i/>
          <w:sz w:val="18"/>
        </w:rPr>
        <w:t> </w:t>
      </w:r>
      <w:r>
        <w:rPr>
          <w:i/>
          <w:w w:val="107"/>
          <w:sz w:val="18"/>
        </w:rPr>
        <w:t>a</w:t>
      </w:r>
      <w:r>
        <w:rPr>
          <w:i/>
          <w:w w:val="68"/>
          <w:sz w:val="18"/>
        </w:rPr>
        <w:t>t</w:t>
      </w:r>
      <w:r>
        <w:rPr>
          <w:i/>
          <w:sz w:val="18"/>
        </w:rPr>
        <w:t> </w:t>
      </w:r>
      <w:r>
        <w:rPr>
          <w:i/>
          <w:w w:val="68"/>
          <w:sz w:val="18"/>
        </w:rPr>
        <w:t>t</w:t>
      </w:r>
      <w:r>
        <w:rPr>
          <w:i/>
          <w:w w:val="97"/>
          <w:sz w:val="18"/>
        </w:rPr>
        <w:t>h</w:t>
      </w:r>
      <w:r>
        <w:rPr>
          <w:i/>
          <w:w w:val="94"/>
          <w:sz w:val="18"/>
        </w:rPr>
        <w:t>e</w:t>
      </w:r>
      <w:r>
        <w:rPr>
          <w:i/>
          <w:sz w:val="18"/>
        </w:rPr>
        <w:t> </w:t>
      </w:r>
      <w:r>
        <w:rPr>
          <w:i/>
          <w:w w:val="68"/>
          <w:sz w:val="18"/>
        </w:rPr>
        <w:t>t</w:t>
      </w:r>
      <w:r>
        <w:rPr>
          <w:i/>
          <w:w w:val="91"/>
          <w:sz w:val="18"/>
        </w:rPr>
        <w:t>ime</w:t>
      </w:r>
      <w:r>
        <w:rPr>
          <w:i/>
          <w:sz w:val="18"/>
        </w:rPr>
        <w:t> </w:t>
      </w:r>
      <w:r>
        <w:rPr>
          <w:i/>
          <w:w w:val="102"/>
          <w:sz w:val="18"/>
        </w:rPr>
        <w:t>o</w:t>
      </w:r>
      <w:r>
        <w:rPr>
          <w:i/>
          <w:w w:val="77"/>
          <w:sz w:val="18"/>
        </w:rPr>
        <w:t>f</w:t>
      </w:r>
      <w:r>
        <w:rPr>
          <w:i/>
          <w:sz w:val="18"/>
        </w:rPr>
        <w:t> </w:t>
      </w:r>
      <w:r>
        <w:rPr>
          <w:i/>
          <w:w w:val="95"/>
          <w:sz w:val="18"/>
        </w:rPr>
        <w:t>lea</w:t>
      </w:r>
      <w:r>
        <w:rPr>
          <w:i/>
          <w:w w:val="101"/>
          <w:sz w:val="18"/>
        </w:rPr>
        <w:t>s</w:t>
      </w:r>
      <w:r>
        <w:rPr>
          <w:i/>
          <w:w w:val="94"/>
          <w:sz w:val="18"/>
        </w:rPr>
        <w:t>e</w:t>
      </w:r>
      <w:r>
        <w:rPr>
          <w:i/>
          <w:sz w:val="18"/>
        </w:rPr>
        <w:t> </w:t>
      </w:r>
      <w:r>
        <w:rPr>
          <w:i/>
          <w:w w:val="92"/>
          <w:sz w:val="18"/>
        </w:rPr>
        <w:t>ex</w:t>
      </w:r>
      <w:r>
        <w:rPr>
          <w:i/>
          <w:w w:val="101"/>
          <w:sz w:val="18"/>
        </w:rPr>
        <w:t>p</w:t>
      </w:r>
      <w:r>
        <w:rPr>
          <w:i/>
          <w:w w:val="80"/>
          <w:sz w:val="18"/>
        </w:rPr>
        <w:t>ir</w:t>
      </w:r>
      <w:r>
        <w:rPr>
          <w:i/>
          <w:w w:val="89"/>
          <w:sz w:val="18"/>
        </w:rPr>
        <w:t>y/</w:t>
      </w:r>
      <w:r>
        <w:rPr>
          <w:i/>
          <w:sz w:val="18"/>
        </w:rPr>
        <w:t> </w:t>
      </w:r>
      <w:r>
        <w:rPr>
          <w:i/>
          <w:w w:val="84"/>
          <w:sz w:val="18"/>
        </w:rPr>
        <w:t>exit</w:t>
      </w:r>
      <w:r>
        <w:rPr>
          <w:i/>
          <w:w w:val="83"/>
          <w:sz w:val="18"/>
        </w:rPr>
        <w:t>;</w:t>
      </w:r>
      <w:r>
        <w:rPr>
          <w:i/>
          <w:sz w:val="18"/>
        </w:rPr>
        <w:t> </w:t>
      </w:r>
      <w:r>
        <w:rPr>
          <w:i/>
          <w:w w:val="191"/>
          <w:position w:val="6"/>
          <w:sz w:val="11"/>
        </w:rPr>
        <w:t>^</w:t>
      </w:r>
      <w:r>
        <w:rPr>
          <w:i/>
          <w:w w:val="107"/>
          <w:sz w:val="18"/>
        </w:rPr>
        <w:t>a</w:t>
      </w:r>
      <w:r>
        <w:rPr>
          <w:i/>
          <w:w w:val="101"/>
          <w:sz w:val="18"/>
        </w:rPr>
        <w:t>ss</w:t>
      </w:r>
      <w:r>
        <w:rPr>
          <w:i/>
          <w:w w:val="92"/>
          <w:sz w:val="18"/>
        </w:rPr>
        <w:t>u</w:t>
      </w:r>
      <w:r>
        <w:rPr>
          <w:i/>
          <w:w w:val="96"/>
          <w:sz w:val="18"/>
        </w:rPr>
        <w:t>med</w:t>
      </w:r>
      <w:r>
        <w:rPr>
          <w:i/>
          <w:sz w:val="18"/>
        </w:rPr>
        <w:t> </w:t>
      </w:r>
      <w:r>
        <w:rPr>
          <w:i/>
          <w:w w:val="107"/>
          <w:sz w:val="18"/>
        </w:rPr>
        <w:t>a</w:t>
      </w:r>
      <w:r>
        <w:rPr>
          <w:i/>
          <w:w w:val="68"/>
          <w:sz w:val="18"/>
        </w:rPr>
        <w:t>t</w:t>
      </w:r>
      <w:r>
        <w:rPr>
          <w:i/>
          <w:sz w:val="18"/>
        </w:rPr>
        <w:t> </w:t>
      </w:r>
      <w:r>
        <w:rPr>
          <w:i/>
          <w:w w:val="104"/>
          <w:sz w:val="18"/>
        </w:rPr>
        <w:t>INR</w:t>
      </w:r>
      <w:r>
        <w:rPr>
          <w:i/>
          <w:sz w:val="18"/>
        </w:rPr>
        <w:t> </w:t>
      </w:r>
      <w:r>
        <w:rPr>
          <w:i/>
          <w:w w:val="105"/>
          <w:sz w:val="18"/>
        </w:rPr>
        <w:t>6,000</w:t>
      </w:r>
      <w:r>
        <w:rPr>
          <w:i/>
          <w:sz w:val="18"/>
        </w:rPr>
        <w:t> </w:t>
      </w:r>
      <w:r>
        <w:rPr>
          <w:i/>
          <w:w w:val="101"/>
          <w:sz w:val="18"/>
        </w:rPr>
        <w:t>p</w:t>
      </w:r>
      <w:r>
        <w:rPr>
          <w:i/>
          <w:w w:val="88"/>
          <w:sz w:val="18"/>
        </w:rPr>
        <w:t>er</w:t>
      </w:r>
      <w:r>
        <w:rPr>
          <w:i/>
          <w:sz w:val="18"/>
        </w:rPr>
        <w:t> </w:t>
      </w:r>
      <w:r>
        <w:rPr>
          <w:i/>
          <w:w w:val="101"/>
          <w:sz w:val="18"/>
        </w:rPr>
        <w:t>b</w:t>
      </w:r>
      <w:r>
        <w:rPr>
          <w:i/>
          <w:w w:val="107"/>
          <w:sz w:val="18"/>
        </w:rPr>
        <w:t>a</w:t>
      </w:r>
      <w:r>
        <w:rPr>
          <w:i/>
          <w:w w:val="94"/>
          <w:sz w:val="18"/>
        </w:rPr>
        <w:t>y</w:t>
      </w:r>
      <w:r>
        <w:rPr>
          <w:i/>
          <w:sz w:val="18"/>
        </w:rPr>
        <w:t> </w:t>
      </w:r>
      <w:r>
        <w:rPr>
          <w:i/>
          <w:w w:val="101"/>
          <w:sz w:val="18"/>
        </w:rPr>
        <w:t>p</w:t>
      </w:r>
      <w:r>
        <w:rPr>
          <w:i/>
          <w:w w:val="88"/>
          <w:sz w:val="18"/>
        </w:rPr>
        <w:t>er</w:t>
      </w:r>
      <w:r>
        <w:rPr>
          <w:i/>
          <w:sz w:val="18"/>
        </w:rPr>
        <w:t> </w:t>
      </w:r>
      <w:r>
        <w:rPr>
          <w:i/>
          <w:w w:val="97"/>
          <w:sz w:val="18"/>
        </w:rPr>
        <w:t>mo</w:t>
      </w:r>
      <w:r>
        <w:rPr>
          <w:i/>
          <w:w w:val="99"/>
          <w:sz w:val="18"/>
        </w:rPr>
        <w:t>n</w:t>
      </w:r>
      <w:r>
        <w:rPr>
          <w:i/>
          <w:w w:val="68"/>
          <w:sz w:val="18"/>
        </w:rPr>
        <w:t>t</w:t>
      </w:r>
      <w:r>
        <w:rPr>
          <w:i/>
          <w:w w:val="97"/>
          <w:sz w:val="18"/>
        </w:rPr>
        <w:t>h</w:t>
      </w:r>
      <w:r>
        <w:rPr>
          <w:i/>
          <w:w w:val="78"/>
          <w:sz w:val="18"/>
        </w:rPr>
        <w:t>,</w:t>
      </w:r>
      <w:r>
        <w:rPr>
          <w:i/>
          <w:w w:val="78"/>
          <w:sz w:val="18"/>
        </w:rPr>
        <w:t> </w:t>
      </w:r>
      <w:r>
        <w:rPr>
          <w:i/>
          <w:sz w:val="18"/>
        </w:rPr>
        <w:t>with 25.0% free car park</w:t>
      </w:r>
    </w:p>
    <w:p>
      <w:pPr>
        <w:pStyle w:val="BodyText"/>
        <w:spacing w:before="10"/>
        <w:rPr>
          <w:i/>
          <w:sz w:val="20"/>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19" w:id="623"/>
      <w:bookmarkEnd w:id="623"/>
      <w:r>
        <w:rPr/>
      </w:r>
      <w:bookmarkStart w:name="_bookmark319" w:id="624"/>
      <w:bookmarkEnd w:id="624"/>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82"/>
        </w:numPr>
        <w:tabs>
          <w:tab w:pos="1105" w:val="left" w:leader="none"/>
        </w:tabs>
        <w:spacing w:line="240" w:lineRule="auto" w:before="0" w:after="0"/>
        <w:ind w:left="1104" w:right="0" w:hanging="865"/>
        <w:jc w:val="left"/>
        <w:rPr>
          <w:i/>
          <w:sz w:val="20"/>
        </w:rPr>
      </w:pPr>
      <w:r>
        <w:rPr>
          <w:i/>
          <w:color w:val="008000"/>
          <w:sz w:val="20"/>
        </w:rPr>
        <w:t>Major Repair and</w:t>
      </w:r>
      <w:r>
        <w:rPr>
          <w:i/>
          <w:color w:val="008000"/>
          <w:spacing w:val="-11"/>
          <w:sz w:val="20"/>
        </w:rPr>
        <w:t> </w:t>
      </w:r>
      <w:r>
        <w:rPr>
          <w:i/>
          <w:color w:val="008000"/>
          <w:sz w:val="20"/>
        </w:rPr>
        <w:t>improvements</w:t>
      </w:r>
    </w:p>
    <w:p>
      <w:pPr>
        <w:pStyle w:val="BodyText"/>
        <w:spacing w:line="321" w:lineRule="auto" w:before="76"/>
        <w:ind w:left="802"/>
      </w:pPr>
      <w:r>
        <w:rPr/>
        <w:t>The following table highlights the assumptions towards the refurbishment expenses/ infrastructure upgrade works in the subject development:</w:t>
      </w:r>
    </w:p>
    <w:p>
      <w:pPr>
        <w:pStyle w:val="BodyText"/>
        <w:rPr>
          <w:sz w:val="21"/>
        </w:rPr>
      </w:pPr>
    </w:p>
    <w:tbl>
      <w:tblPr>
        <w:tblW w:w="0" w:type="auto"/>
        <w:jc w:val="left"/>
        <w:tblInd w:w="5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64"/>
        <w:gridCol w:w="3563"/>
        <w:gridCol w:w="2609"/>
      </w:tblGrid>
      <w:tr>
        <w:trPr>
          <w:trHeight w:val="331" w:hRule="atLeast"/>
        </w:trPr>
        <w:tc>
          <w:tcPr>
            <w:tcW w:w="3664" w:type="dxa"/>
            <w:tcBorders>
              <w:top w:val="single" w:sz="6" w:space="0" w:color="69BD28"/>
              <w:bottom w:val="single" w:sz="6" w:space="0" w:color="69BD28"/>
            </w:tcBorders>
            <w:shd w:val="clear" w:color="auto" w:fill="006A4D"/>
          </w:tcPr>
          <w:p>
            <w:pPr>
              <w:pStyle w:val="TableParagraph"/>
              <w:spacing w:before="61"/>
              <w:ind w:left="977" w:right="668"/>
              <w:rPr>
                <w:b/>
                <w:sz w:val="18"/>
              </w:rPr>
            </w:pPr>
            <w:r>
              <w:rPr>
                <w:b/>
                <w:color w:val="FFFFFF"/>
                <w:w w:val="110"/>
                <w:sz w:val="18"/>
              </w:rPr>
              <w:t>Expense Head</w:t>
            </w:r>
          </w:p>
        </w:tc>
        <w:tc>
          <w:tcPr>
            <w:tcW w:w="3563" w:type="dxa"/>
            <w:tcBorders>
              <w:top w:val="single" w:sz="6" w:space="0" w:color="69BD28"/>
              <w:bottom w:val="single" w:sz="6" w:space="0" w:color="69BD28"/>
            </w:tcBorders>
            <w:shd w:val="clear" w:color="auto" w:fill="006A4D"/>
          </w:tcPr>
          <w:p>
            <w:pPr>
              <w:pStyle w:val="TableParagraph"/>
              <w:spacing w:before="61"/>
              <w:ind w:left="665" w:right="291"/>
              <w:rPr>
                <w:b/>
                <w:sz w:val="18"/>
              </w:rPr>
            </w:pPr>
            <w:r>
              <w:rPr>
                <w:b/>
                <w:color w:val="FFFFFF"/>
                <w:w w:val="110"/>
                <w:sz w:val="18"/>
              </w:rPr>
              <w:t>Total Pending Cost (INR Mn)</w:t>
            </w:r>
          </w:p>
        </w:tc>
        <w:tc>
          <w:tcPr>
            <w:tcW w:w="2609" w:type="dxa"/>
            <w:tcBorders>
              <w:top w:val="single" w:sz="6" w:space="0" w:color="69BD28"/>
              <w:bottom w:val="single" w:sz="6" w:space="0" w:color="69BD28"/>
            </w:tcBorders>
            <w:shd w:val="clear" w:color="auto" w:fill="006A4D"/>
          </w:tcPr>
          <w:p>
            <w:pPr>
              <w:pStyle w:val="TableParagraph"/>
              <w:spacing w:before="61"/>
              <w:ind w:left="324" w:right="252"/>
              <w:rPr>
                <w:b/>
                <w:sz w:val="18"/>
              </w:rPr>
            </w:pPr>
            <w:r>
              <w:rPr>
                <w:b/>
                <w:color w:val="FFFFFF"/>
                <w:w w:val="105"/>
                <w:sz w:val="18"/>
              </w:rPr>
              <w:t>Quarter of Completion</w:t>
            </w:r>
          </w:p>
        </w:tc>
      </w:tr>
      <w:tr>
        <w:trPr>
          <w:trHeight w:val="294" w:hRule="atLeast"/>
        </w:trPr>
        <w:tc>
          <w:tcPr>
            <w:tcW w:w="3664" w:type="dxa"/>
            <w:tcBorders>
              <w:top w:val="single" w:sz="6" w:space="0" w:color="69BD28"/>
              <w:bottom w:val="single" w:sz="6" w:space="0" w:color="69BD28"/>
            </w:tcBorders>
          </w:tcPr>
          <w:p>
            <w:pPr>
              <w:pStyle w:val="TableParagraph"/>
              <w:spacing w:before="44"/>
              <w:ind w:left="977" w:right="672"/>
              <w:rPr>
                <w:sz w:val="18"/>
              </w:rPr>
            </w:pPr>
            <w:r>
              <w:rPr>
                <w:sz w:val="18"/>
              </w:rPr>
              <w:t>Master Plan Upgradation</w:t>
            </w:r>
          </w:p>
        </w:tc>
        <w:tc>
          <w:tcPr>
            <w:tcW w:w="3563" w:type="dxa"/>
            <w:tcBorders>
              <w:top w:val="single" w:sz="6" w:space="0" w:color="69BD28"/>
              <w:bottom w:val="single" w:sz="6" w:space="0" w:color="69BD28"/>
            </w:tcBorders>
          </w:tcPr>
          <w:p>
            <w:pPr>
              <w:pStyle w:val="TableParagraph"/>
              <w:spacing w:before="44"/>
              <w:ind w:left="664" w:right="291"/>
              <w:rPr>
                <w:sz w:val="18"/>
              </w:rPr>
            </w:pPr>
            <w:r>
              <w:rPr>
                <w:w w:val="105"/>
                <w:sz w:val="18"/>
              </w:rPr>
              <w:t>36.43</w:t>
            </w:r>
          </w:p>
        </w:tc>
        <w:tc>
          <w:tcPr>
            <w:tcW w:w="2609" w:type="dxa"/>
            <w:tcBorders>
              <w:top w:val="single" w:sz="6" w:space="0" w:color="69BD28"/>
              <w:bottom w:val="single" w:sz="6" w:space="0" w:color="69BD28"/>
            </w:tcBorders>
          </w:tcPr>
          <w:p>
            <w:pPr>
              <w:pStyle w:val="TableParagraph"/>
              <w:spacing w:before="44"/>
              <w:ind w:left="322" w:right="252"/>
              <w:rPr>
                <w:sz w:val="18"/>
              </w:rPr>
            </w:pPr>
            <w:r>
              <w:rPr>
                <w:w w:val="105"/>
                <w:sz w:val="18"/>
              </w:rPr>
              <w:t>Q2, FY 2022</w:t>
            </w:r>
          </w:p>
        </w:tc>
      </w:tr>
    </w:tbl>
    <w:p>
      <w:pPr>
        <w:spacing w:after="0"/>
        <w:rPr>
          <w:sz w:val="18"/>
        </w:rPr>
        <w:sectPr>
          <w:type w:val="continuous"/>
          <w:pgSz w:w="11910" w:h="16840"/>
          <w:pgMar w:top="800" w:bottom="280" w:left="480" w:right="480"/>
        </w:sectPr>
      </w:pPr>
    </w:p>
    <w:p>
      <w:pPr>
        <w:pStyle w:val="BodyText"/>
        <w:rPr>
          <w:sz w:val="19"/>
        </w:rPr>
      </w:pPr>
    </w:p>
    <w:tbl>
      <w:tblPr>
        <w:tblW w:w="0" w:type="auto"/>
        <w:jc w:val="left"/>
        <w:tblInd w:w="5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60"/>
        <w:gridCol w:w="3469"/>
        <w:gridCol w:w="2610"/>
      </w:tblGrid>
      <w:tr>
        <w:trPr>
          <w:trHeight w:val="330" w:hRule="atLeast"/>
        </w:trPr>
        <w:tc>
          <w:tcPr>
            <w:tcW w:w="3760" w:type="dxa"/>
            <w:tcBorders>
              <w:top w:val="single" w:sz="6" w:space="0" w:color="69BD28"/>
              <w:bottom w:val="single" w:sz="6" w:space="0" w:color="69BD28"/>
            </w:tcBorders>
            <w:shd w:val="clear" w:color="auto" w:fill="006A4D"/>
          </w:tcPr>
          <w:p>
            <w:pPr>
              <w:pStyle w:val="TableParagraph"/>
              <w:spacing w:before="61"/>
              <w:ind w:left="766" w:right="553"/>
              <w:rPr>
                <w:b/>
                <w:sz w:val="18"/>
              </w:rPr>
            </w:pPr>
            <w:r>
              <w:rPr>
                <w:b/>
                <w:color w:val="FFFFFF"/>
                <w:w w:val="110"/>
                <w:sz w:val="18"/>
              </w:rPr>
              <w:t>Expense Head</w:t>
            </w:r>
          </w:p>
        </w:tc>
        <w:tc>
          <w:tcPr>
            <w:tcW w:w="3469" w:type="dxa"/>
            <w:tcBorders>
              <w:top w:val="single" w:sz="6" w:space="0" w:color="69BD28"/>
              <w:bottom w:val="single" w:sz="6" w:space="0" w:color="69BD28"/>
            </w:tcBorders>
            <w:shd w:val="clear" w:color="auto" w:fill="006A4D"/>
          </w:tcPr>
          <w:p>
            <w:pPr>
              <w:pStyle w:val="TableParagraph"/>
              <w:spacing w:before="61"/>
              <w:ind w:left="569" w:right="293"/>
              <w:rPr>
                <w:b/>
                <w:sz w:val="18"/>
              </w:rPr>
            </w:pPr>
            <w:r>
              <w:rPr>
                <w:b/>
                <w:color w:val="FFFFFF"/>
                <w:w w:val="110"/>
                <w:sz w:val="18"/>
              </w:rPr>
              <w:t>Total Pending Cost (INR Mn)</w:t>
            </w:r>
          </w:p>
        </w:tc>
        <w:tc>
          <w:tcPr>
            <w:tcW w:w="2610" w:type="dxa"/>
            <w:tcBorders>
              <w:top w:val="single" w:sz="6" w:space="0" w:color="69BD28"/>
              <w:bottom w:val="single" w:sz="6" w:space="0" w:color="69BD28"/>
            </w:tcBorders>
            <w:shd w:val="clear" w:color="auto" w:fill="006A4D"/>
          </w:tcPr>
          <w:p>
            <w:pPr>
              <w:pStyle w:val="TableParagraph"/>
              <w:spacing w:before="61"/>
              <w:ind w:left="322" w:right="255"/>
              <w:rPr>
                <w:b/>
                <w:sz w:val="18"/>
              </w:rPr>
            </w:pPr>
            <w:r>
              <w:rPr>
                <w:b/>
                <w:color w:val="FFFFFF"/>
                <w:w w:val="105"/>
                <w:sz w:val="18"/>
              </w:rPr>
              <w:t>Quarter of Completion</w:t>
            </w:r>
          </w:p>
        </w:tc>
      </w:tr>
      <w:tr>
        <w:trPr>
          <w:trHeight w:val="294" w:hRule="atLeast"/>
        </w:trPr>
        <w:tc>
          <w:tcPr>
            <w:tcW w:w="3760" w:type="dxa"/>
            <w:tcBorders>
              <w:top w:val="single" w:sz="6" w:space="0" w:color="69BD28"/>
              <w:bottom w:val="single" w:sz="6" w:space="0" w:color="69BD28"/>
            </w:tcBorders>
          </w:tcPr>
          <w:p>
            <w:pPr>
              <w:pStyle w:val="TableParagraph"/>
              <w:spacing w:before="44"/>
              <w:ind w:left="764" w:right="553"/>
              <w:rPr>
                <w:sz w:val="18"/>
              </w:rPr>
            </w:pPr>
            <w:r>
              <w:rPr>
                <w:sz w:val="18"/>
              </w:rPr>
              <w:t>Lobby Upgrade</w:t>
            </w:r>
          </w:p>
        </w:tc>
        <w:tc>
          <w:tcPr>
            <w:tcW w:w="3469" w:type="dxa"/>
            <w:tcBorders>
              <w:top w:val="single" w:sz="6" w:space="0" w:color="69BD28"/>
              <w:bottom w:val="single" w:sz="6" w:space="0" w:color="69BD28"/>
            </w:tcBorders>
          </w:tcPr>
          <w:p>
            <w:pPr>
              <w:pStyle w:val="TableParagraph"/>
              <w:spacing w:before="44"/>
              <w:ind w:left="568" w:right="293"/>
              <w:rPr>
                <w:sz w:val="18"/>
              </w:rPr>
            </w:pPr>
            <w:r>
              <w:rPr>
                <w:w w:val="105"/>
                <w:sz w:val="18"/>
              </w:rPr>
              <w:t>6.29</w:t>
            </w:r>
          </w:p>
        </w:tc>
        <w:tc>
          <w:tcPr>
            <w:tcW w:w="2610" w:type="dxa"/>
            <w:tcBorders>
              <w:top w:val="single" w:sz="6" w:space="0" w:color="69BD28"/>
              <w:bottom w:val="single" w:sz="6" w:space="0" w:color="69BD28"/>
            </w:tcBorders>
          </w:tcPr>
          <w:p>
            <w:pPr>
              <w:pStyle w:val="TableParagraph"/>
              <w:spacing w:before="44"/>
              <w:ind w:left="320" w:right="255"/>
              <w:rPr>
                <w:sz w:val="18"/>
              </w:rPr>
            </w:pPr>
            <w:r>
              <w:rPr>
                <w:w w:val="105"/>
                <w:sz w:val="18"/>
              </w:rPr>
              <w:t>Q3, FY 2021</w:t>
            </w:r>
          </w:p>
        </w:tc>
      </w:tr>
      <w:tr>
        <w:trPr>
          <w:trHeight w:val="296" w:hRule="atLeast"/>
        </w:trPr>
        <w:tc>
          <w:tcPr>
            <w:tcW w:w="3760" w:type="dxa"/>
            <w:tcBorders>
              <w:top w:val="single" w:sz="6" w:space="0" w:color="69BD28"/>
              <w:bottom w:val="single" w:sz="6" w:space="0" w:color="69BD28"/>
            </w:tcBorders>
          </w:tcPr>
          <w:p>
            <w:pPr>
              <w:pStyle w:val="TableParagraph"/>
              <w:spacing w:before="46"/>
              <w:ind w:left="765" w:right="553"/>
              <w:rPr>
                <w:sz w:val="18"/>
              </w:rPr>
            </w:pPr>
            <w:r>
              <w:rPr>
                <w:sz w:val="18"/>
              </w:rPr>
              <w:t>Pyramid Food Court</w:t>
            </w:r>
          </w:p>
        </w:tc>
        <w:tc>
          <w:tcPr>
            <w:tcW w:w="3469" w:type="dxa"/>
            <w:tcBorders>
              <w:top w:val="single" w:sz="6" w:space="0" w:color="69BD28"/>
              <w:bottom w:val="single" w:sz="6" w:space="0" w:color="69BD28"/>
            </w:tcBorders>
          </w:tcPr>
          <w:p>
            <w:pPr>
              <w:pStyle w:val="TableParagraph"/>
              <w:spacing w:before="46"/>
              <w:ind w:left="568" w:right="293"/>
              <w:rPr>
                <w:sz w:val="18"/>
              </w:rPr>
            </w:pPr>
            <w:r>
              <w:rPr>
                <w:w w:val="105"/>
                <w:sz w:val="18"/>
              </w:rPr>
              <w:t>6.93</w:t>
            </w:r>
          </w:p>
        </w:tc>
        <w:tc>
          <w:tcPr>
            <w:tcW w:w="2610" w:type="dxa"/>
            <w:tcBorders>
              <w:top w:val="single" w:sz="6" w:space="0" w:color="69BD28"/>
              <w:bottom w:val="single" w:sz="6" w:space="0" w:color="69BD28"/>
            </w:tcBorders>
          </w:tcPr>
          <w:p>
            <w:pPr>
              <w:pStyle w:val="TableParagraph"/>
              <w:spacing w:before="46"/>
              <w:ind w:left="320" w:right="255"/>
              <w:rPr>
                <w:sz w:val="18"/>
              </w:rPr>
            </w:pPr>
            <w:r>
              <w:rPr>
                <w:w w:val="105"/>
                <w:sz w:val="18"/>
              </w:rPr>
              <w:t>Q3, FY 2021</w:t>
            </w:r>
          </w:p>
        </w:tc>
      </w:tr>
      <w:tr>
        <w:trPr>
          <w:trHeight w:val="294" w:hRule="atLeast"/>
        </w:trPr>
        <w:tc>
          <w:tcPr>
            <w:tcW w:w="3760" w:type="dxa"/>
            <w:tcBorders>
              <w:top w:val="single" w:sz="6" w:space="0" w:color="69BD28"/>
              <w:bottom w:val="single" w:sz="6" w:space="0" w:color="69BD28"/>
            </w:tcBorders>
          </w:tcPr>
          <w:p>
            <w:pPr>
              <w:pStyle w:val="TableParagraph"/>
              <w:spacing w:before="44"/>
              <w:ind w:left="766" w:right="551"/>
              <w:rPr>
                <w:sz w:val="18"/>
              </w:rPr>
            </w:pPr>
            <w:r>
              <w:rPr>
                <w:sz w:val="18"/>
              </w:rPr>
              <w:t>Fairwinds Refurbishment</w:t>
            </w:r>
          </w:p>
        </w:tc>
        <w:tc>
          <w:tcPr>
            <w:tcW w:w="3469" w:type="dxa"/>
            <w:tcBorders>
              <w:top w:val="single" w:sz="6" w:space="0" w:color="69BD28"/>
              <w:bottom w:val="single" w:sz="6" w:space="0" w:color="69BD28"/>
            </w:tcBorders>
          </w:tcPr>
          <w:p>
            <w:pPr>
              <w:pStyle w:val="TableParagraph"/>
              <w:spacing w:before="44"/>
              <w:ind w:left="568" w:right="293"/>
              <w:rPr>
                <w:sz w:val="18"/>
              </w:rPr>
            </w:pPr>
            <w:r>
              <w:rPr>
                <w:w w:val="105"/>
                <w:sz w:val="18"/>
              </w:rPr>
              <w:t>11.40</w:t>
            </w:r>
          </w:p>
        </w:tc>
        <w:tc>
          <w:tcPr>
            <w:tcW w:w="2610" w:type="dxa"/>
            <w:tcBorders>
              <w:top w:val="single" w:sz="6" w:space="0" w:color="69BD28"/>
              <w:bottom w:val="single" w:sz="6" w:space="0" w:color="69BD28"/>
            </w:tcBorders>
          </w:tcPr>
          <w:p>
            <w:pPr>
              <w:pStyle w:val="TableParagraph"/>
              <w:spacing w:before="44"/>
              <w:ind w:left="320" w:right="255"/>
              <w:rPr>
                <w:sz w:val="18"/>
              </w:rPr>
            </w:pPr>
            <w:r>
              <w:rPr>
                <w:w w:val="105"/>
                <w:sz w:val="18"/>
              </w:rPr>
              <w:t>Q3, FY 2021</w:t>
            </w:r>
          </w:p>
        </w:tc>
      </w:tr>
      <w:tr>
        <w:trPr>
          <w:trHeight w:val="297" w:hRule="atLeast"/>
        </w:trPr>
        <w:tc>
          <w:tcPr>
            <w:tcW w:w="3760" w:type="dxa"/>
            <w:tcBorders>
              <w:top w:val="single" w:sz="6" w:space="0" w:color="69BD28"/>
              <w:bottom w:val="single" w:sz="6" w:space="0" w:color="69BD28"/>
            </w:tcBorders>
          </w:tcPr>
          <w:p>
            <w:pPr>
              <w:pStyle w:val="TableParagraph"/>
              <w:spacing w:before="46"/>
              <w:ind w:left="764" w:right="553"/>
              <w:rPr>
                <w:sz w:val="18"/>
              </w:rPr>
            </w:pPr>
            <w:r>
              <w:rPr>
                <w:sz w:val="18"/>
              </w:rPr>
              <w:t>St Andrews - Refurb works</w:t>
            </w:r>
          </w:p>
        </w:tc>
        <w:tc>
          <w:tcPr>
            <w:tcW w:w="3469" w:type="dxa"/>
            <w:tcBorders>
              <w:top w:val="single" w:sz="6" w:space="0" w:color="69BD28"/>
              <w:bottom w:val="single" w:sz="6" w:space="0" w:color="69BD28"/>
            </w:tcBorders>
          </w:tcPr>
          <w:p>
            <w:pPr>
              <w:pStyle w:val="TableParagraph"/>
              <w:spacing w:before="46"/>
              <w:ind w:left="568" w:right="293"/>
              <w:rPr>
                <w:sz w:val="18"/>
              </w:rPr>
            </w:pPr>
            <w:r>
              <w:rPr>
                <w:w w:val="105"/>
                <w:sz w:val="18"/>
              </w:rPr>
              <w:t>3.07</w:t>
            </w:r>
          </w:p>
        </w:tc>
        <w:tc>
          <w:tcPr>
            <w:tcW w:w="2610" w:type="dxa"/>
            <w:tcBorders>
              <w:top w:val="single" w:sz="6" w:space="0" w:color="69BD28"/>
              <w:bottom w:val="single" w:sz="6" w:space="0" w:color="69BD28"/>
            </w:tcBorders>
          </w:tcPr>
          <w:p>
            <w:pPr>
              <w:pStyle w:val="TableParagraph"/>
              <w:spacing w:before="46"/>
              <w:ind w:left="320" w:right="255"/>
              <w:rPr>
                <w:sz w:val="18"/>
              </w:rPr>
            </w:pPr>
            <w:r>
              <w:rPr>
                <w:w w:val="105"/>
                <w:sz w:val="18"/>
              </w:rPr>
              <w:t>Q3, FY 2021</w:t>
            </w:r>
          </w:p>
        </w:tc>
      </w:tr>
      <w:tr>
        <w:trPr>
          <w:trHeight w:val="294" w:hRule="atLeast"/>
        </w:trPr>
        <w:tc>
          <w:tcPr>
            <w:tcW w:w="3760" w:type="dxa"/>
            <w:tcBorders>
              <w:top w:val="single" w:sz="6" w:space="0" w:color="69BD28"/>
              <w:bottom w:val="single" w:sz="6" w:space="0" w:color="69BD28"/>
            </w:tcBorders>
          </w:tcPr>
          <w:p>
            <w:pPr>
              <w:pStyle w:val="TableParagraph"/>
              <w:spacing w:before="44"/>
              <w:ind w:left="766" w:right="553"/>
              <w:rPr>
                <w:sz w:val="18"/>
              </w:rPr>
            </w:pPr>
            <w:r>
              <w:rPr>
                <w:sz w:val="18"/>
              </w:rPr>
              <w:t>Fountain Head - Refurb works</w:t>
            </w:r>
          </w:p>
        </w:tc>
        <w:tc>
          <w:tcPr>
            <w:tcW w:w="3469" w:type="dxa"/>
            <w:tcBorders>
              <w:top w:val="single" w:sz="6" w:space="0" w:color="69BD28"/>
              <w:bottom w:val="single" w:sz="6" w:space="0" w:color="69BD28"/>
            </w:tcBorders>
          </w:tcPr>
          <w:p>
            <w:pPr>
              <w:pStyle w:val="TableParagraph"/>
              <w:spacing w:before="44"/>
              <w:ind w:left="568" w:right="293"/>
              <w:rPr>
                <w:sz w:val="18"/>
              </w:rPr>
            </w:pPr>
            <w:r>
              <w:rPr>
                <w:w w:val="105"/>
                <w:sz w:val="18"/>
              </w:rPr>
              <w:t>24.82</w:t>
            </w:r>
          </w:p>
        </w:tc>
        <w:tc>
          <w:tcPr>
            <w:tcW w:w="2610" w:type="dxa"/>
            <w:tcBorders>
              <w:top w:val="single" w:sz="6" w:space="0" w:color="69BD28"/>
              <w:bottom w:val="single" w:sz="6" w:space="0" w:color="69BD28"/>
            </w:tcBorders>
          </w:tcPr>
          <w:p>
            <w:pPr>
              <w:pStyle w:val="TableParagraph"/>
              <w:spacing w:before="44"/>
              <w:ind w:left="320" w:right="255"/>
              <w:rPr>
                <w:sz w:val="18"/>
              </w:rPr>
            </w:pPr>
            <w:r>
              <w:rPr>
                <w:w w:val="105"/>
                <w:sz w:val="18"/>
              </w:rPr>
              <w:t>Q3, FY 2021</w:t>
            </w:r>
          </w:p>
        </w:tc>
      </w:tr>
      <w:tr>
        <w:trPr>
          <w:trHeight w:val="297" w:hRule="atLeast"/>
        </w:trPr>
        <w:tc>
          <w:tcPr>
            <w:tcW w:w="3760" w:type="dxa"/>
            <w:tcBorders>
              <w:top w:val="single" w:sz="6" w:space="0" w:color="69BD28"/>
              <w:bottom w:val="single" w:sz="6" w:space="0" w:color="69BD28"/>
            </w:tcBorders>
          </w:tcPr>
          <w:p>
            <w:pPr>
              <w:pStyle w:val="TableParagraph"/>
              <w:spacing w:before="46"/>
              <w:ind w:left="764" w:right="553"/>
              <w:rPr>
                <w:sz w:val="18"/>
              </w:rPr>
            </w:pPr>
            <w:r>
              <w:rPr>
                <w:sz w:val="18"/>
              </w:rPr>
              <w:t>Augusta - Refurb Works</w:t>
            </w:r>
          </w:p>
        </w:tc>
        <w:tc>
          <w:tcPr>
            <w:tcW w:w="3469" w:type="dxa"/>
            <w:tcBorders>
              <w:top w:val="single" w:sz="6" w:space="0" w:color="69BD28"/>
              <w:bottom w:val="single" w:sz="6" w:space="0" w:color="69BD28"/>
            </w:tcBorders>
          </w:tcPr>
          <w:p>
            <w:pPr>
              <w:pStyle w:val="TableParagraph"/>
              <w:spacing w:before="46"/>
              <w:ind w:left="568" w:right="293"/>
              <w:rPr>
                <w:sz w:val="18"/>
              </w:rPr>
            </w:pPr>
            <w:r>
              <w:rPr>
                <w:w w:val="105"/>
                <w:sz w:val="18"/>
              </w:rPr>
              <w:t>1.80</w:t>
            </w:r>
          </w:p>
        </w:tc>
        <w:tc>
          <w:tcPr>
            <w:tcW w:w="2610" w:type="dxa"/>
            <w:tcBorders>
              <w:top w:val="single" w:sz="6" w:space="0" w:color="69BD28"/>
              <w:bottom w:val="single" w:sz="6" w:space="0" w:color="69BD28"/>
            </w:tcBorders>
          </w:tcPr>
          <w:p>
            <w:pPr>
              <w:pStyle w:val="TableParagraph"/>
              <w:spacing w:before="46"/>
              <w:ind w:left="320" w:right="255"/>
              <w:rPr>
                <w:sz w:val="18"/>
              </w:rPr>
            </w:pPr>
            <w:r>
              <w:rPr>
                <w:w w:val="105"/>
                <w:sz w:val="18"/>
              </w:rPr>
              <w:t>Q3, FY 2021</w:t>
            </w:r>
          </w:p>
        </w:tc>
      </w:tr>
      <w:tr>
        <w:trPr>
          <w:trHeight w:val="294" w:hRule="atLeast"/>
        </w:trPr>
        <w:tc>
          <w:tcPr>
            <w:tcW w:w="3760" w:type="dxa"/>
            <w:tcBorders>
              <w:top w:val="single" w:sz="6" w:space="0" w:color="69BD28"/>
              <w:bottom w:val="single" w:sz="6" w:space="0" w:color="69BD28"/>
            </w:tcBorders>
          </w:tcPr>
          <w:p>
            <w:pPr>
              <w:pStyle w:val="TableParagraph"/>
              <w:spacing w:before="44"/>
              <w:ind w:left="764" w:right="553"/>
              <w:rPr>
                <w:sz w:val="18"/>
              </w:rPr>
            </w:pPr>
            <w:r>
              <w:rPr>
                <w:sz w:val="18"/>
              </w:rPr>
              <w:t>Army land drain works</w:t>
            </w:r>
          </w:p>
        </w:tc>
        <w:tc>
          <w:tcPr>
            <w:tcW w:w="3469" w:type="dxa"/>
            <w:tcBorders>
              <w:top w:val="single" w:sz="6" w:space="0" w:color="69BD28"/>
              <w:bottom w:val="single" w:sz="6" w:space="0" w:color="69BD28"/>
            </w:tcBorders>
          </w:tcPr>
          <w:p>
            <w:pPr>
              <w:pStyle w:val="TableParagraph"/>
              <w:spacing w:before="44"/>
              <w:ind w:left="568" w:right="293"/>
              <w:rPr>
                <w:sz w:val="18"/>
              </w:rPr>
            </w:pPr>
            <w:r>
              <w:rPr>
                <w:w w:val="110"/>
                <w:sz w:val="18"/>
              </w:rPr>
              <w:t>100.00</w:t>
            </w:r>
          </w:p>
        </w:tc>
        <w:tc>
          <w:tcPr>
            <w:tcW w:w="2610" w:type="dxa"/>
            <w:tcBorders>
              <w:top w:val="single" w:sz="6" w:space="0" w:color="69BD28"/>
              <w:bottom w:val="single" w:sz="6" w:space="0" w:color="69BD28"/>
            </w:tcBorders>
          </w:tcPr>
          <w:p>
            <w:pPr>
              <w:pStyle w:val="TableParagraph"/>
              <w:spacing w:before="44"/>
              <w:ind w:left="320" w:right="255"/>
              <w:rPr>
                <w:sz w:val="18"/>
              </w:rPr>
            </w:pPr>
            <w:r>
              <w:rPr>
                <w:w w:val="105"/>
                <w:sz w:val="18"/>
              </w:rPr>
              <w:t>Q4, FY 2022</w:t>
            </w:r>
          </w:p>
        </w:tc>
      </w:tr>
      <w:tr>
        <w:trPr>
          <w:trHeight w:val="296" w:hRule="atLeast"/>
        </w:trPr>
        <w:tc>
          <w:tcPr>
            <w:tcW w:w="3760" w:type="dxa"/>
            <w:tcBorders>
              <w:top w:val="single" w:sz="6" w:space="0" w:color="69BD28"/>
              <w:bottom w:val="single" w:sz="6" w:space="0" w:color="69BD28"/>
            </w:tcBorders>
          </w:tcPr>
          <w:p>
            <w:pPr>
              <w:pStyle w:val="TableParagraph"/>
              <w:spacing w:before="46"/>
              <w:ind w:left="765" w:right="553"/>
              <w:rPr>
                <w:sz w:val="18"/>
              </w:rPr>
            </w:pPr>
            <w:r>
              <w:rPr>
                <w:sz w:val="18"/>
              </w:rPr>
              <w:t>Signage Works</w:t>
            </w:r>
          </w:p>
        </w:tc>
        <w:tc>
          <w:tcPr>
            <w:tcW w:w="3469" w:type="dxa"/>
            <w:tcBorders>
              <w:top w:val="single" w:sz="6" w:space="0" w:color="69BD28"/>
              <w:bottom w:val="single" w:sz="6" w:space="0" w:color="69BD28"/>
            </w:tcBorders>
          </w:tcPr>
          <w:p>
            <w:pPr>
              <w:pStyle w:val="TableParagraph"/>
              <w:spacing w:before="46"/>
              <w:ind w:left="568" w:right="293"/>
              <w:rPr>
                <w:sz w:val="18"/>
              </w:rPr>
            </w:pPr>
            <w:r>
              <w:rPr>
                <w:w w:val="105"/>
                <w:sz w:val="18"/>
              </w:rPr>
              <w:t>17.00</w:t>
            </w:r>
          </w:p>
        </w:tc>
        <w:tc>
          <w:tcPr>
            <w:tcW w:w="2610" w:type="dxa"/>
            <w:tcBorders>
              <w:top w:val="single" w:sz="6" w:space="0" w:color="69BD28"/>
              <w:bottom w:val="single" w:sz="6" w:space="0" w:color="69BD28"/>
            </w:tcBorders>
          </w:tcPr>
          <w:p>
            <w:pPr>
              <w:pStyle w:val="TableParagraph"/>
              <w:spacing w:before="46"/>
              <w:ind w:left="320" w:right="255"/>
              <w:rPr>
                <w:sz w:val="18"/>
              </w:rPr>
            </w:pPr>
            <w:r>
              <w:rPr>
                <w:w w:val="105"/>
                <w:sz w:val="18"/>
              </w:rPr>
              <w:t>Q2, FY 2021</w:t>
            </w:r>
          </w:p>
        </w:tc>
      </w:tr>
      <w:tr>
        <w:trPr>
          <w:trHeight w:val="295" w:hRule="atLeast"/>
        </w:trPr>
        <w:tc>
          <w:tcPr>
            <w:tcW w:w="3760" w:type="dxa"/>
            <w:tcBorders>
              <w:top w:val="single" w:sz="6" w:space="0" w:color="69BD28"/>
              <w:bottom w:val="single" w:sz="6" w:space="0" w:color="69BD28"/>
            </w:tcBorders>
          </w:tcPr>
          <w:p>
            <w:pPr>
              <w:pStyle w:val="TableParagraph"/>
              <w:spacing w:before="44"/>
              <w:ind w:left="766" w:right="553"/>
              <w:rPr>
                <w:sz w:val="18"/>
              </w:rPr>
            </w:pPr>
            <w:r>
              <w:rPr>
                <w:sz w:val="18"/>
              </w:rPr>
              <w:t>GS Exit Refurb Works</w:t>
            </w:r>
          </w:p>
        </w:tc>
        <w:tc>
          <w:tcPr>
            <w:tcW w:w="3469" w:type="dxa"/>
            <w:tcBorders>
              <w:top w:val="single" w:sz="6" w:space="0" w:color="69BD28"/>
              <w:bottom w:val="single" w:sz="6" w:space="0" w:color="69BD28"/>
            </w:tcBorders>
          </w:tcPr>
          <w:p>
            <w:pPr>
              <w:pStyle w:val="TableParagraph"/>
              <w:spacing w:before="44"/>
              <w:ind w:left="568" w:right="293"/>
              <w:rPr>
                <w:sz w:val="18"/>
              </w:rPr>
            </w:pPr>
            <w:r>
              <w:rPr>
                <w:w w:val="105"/>
                <w:sz w:val="18"/>
              </w:rPr>
              <w:t>96.93</w:t>
            </w:r>
          </w:p>
        </w:tc>
        <w:tc>
          <w:tcPr>
            <w:tcW w:w="2610" w:type="dxa"/>
            <w:tcBorders>
              <w:top w:val="single" w:sz="6" w:space="0" w:color="69BD28"/>
              <w:bottom w:val="single" w:sz="6" w:space="0" w:color="69BD28"/>
            </w:tcBorders>
          </w:tcPr>
          <w:p>
            <w:pPr>
              <w:pStyle w:val="TableParagraph"/>
              <w:spacing w:before="44"/>
              <w:ind w:left="320" w:right="255"/>
              <w:rPr>
                <w:sz w:val="18"/>
              </w:rPr>
            </w:pPr>
            <w:r>
              <w:rPr>
                <w:w w:val="105"/>
                <w:sz w:val="18"/>
              </w:rPr>
              <w:t>Q4, FY 2021</w:t>
            </w:r>
          </w:p>
        </w:tc>
      </w:tr>
      <w:tr>
        <w:trPr>
          <w:trHeight w:val="297" w:hRule="atLeast"/>
        </w:trPr>
        <w:tc>
          <w:tcPr>
            <w:tcW w:w="3760" w:type="dxa"/>
            <w:tcBorders>
              <w:top w:val="single" w:sz="6" w:space="0" w:color="69BD28"/>
              <w:bottom w:val="single" w:sz="6" w:space="0" w:color="69BD28"/>
            </w:tcBorders>
          </w:tcPr>
          <w:p>
            <w:pPr>
              <w:pStyle w:val="TableParagraph"/>
              <w:spacing w:before="46"/>
              <w:ind w:left="765" w:right="553"/>
              <w:rPr>
                <w:sz w:val="18"/>
              </w:rPr>
            </w:pPr>
            <w:r>
              <w:rPr>
                <w:sz w:val="18"/>
              </w:rPr>
              <w:t>Other Refurb Expenses</w:t>
            </w:r>
          </w:p>
        </w:tc>
        <w:tc>
          <w:tcPr>
            <w:tcW w:w="3469" w:type="dxa"/>
            <w:tcBorders>
              <w:top w:val="single" w:sz="6" w:space="0" w:color="69BD28"/>
              <w:bottom w:val="single" w:sz="6" w:space="0" w:color="69BD28"/>
            </w:tcBorders>
          </w:tcPr>
          <w:p>
            <w:pPr>
              <w:pStyle w:val="TableParagraph"/>
              <w:spacing w:before="46"/>
              <w:ind w:left="568" w:right="293"/>
              <w:rPr>
                <w:sz w:val="18"/>
              </w:rPr>
            </w:pPr>
            <w:r>
              <w:rPr>
                <w:w w:val="110"/>
                <w:sz w:val="18"/>
              </w:rPr>
              <w:t>259.22</w:t>
            </w:r>
          </w:p>
        </w:tc>
        <w:tc>
          <w:tcPr>
            <w:tcW w:w="2610" w:type="dxa"/>
            <w:tcBorders>
              <w:top w:val="single" w:sz="6" w:space="0" w:color="69BD28"/>
              <w:bottom w:val="single" w:sz="6" w:space="0" w:color="69BD28"/>
            </w:tcBorders>
          </w:tcPr>
          <w:p>
            <w:pPr>
              <w:pStyle w:val="TableParagraph"/>
              <w:spacing w:before="46"/>
              <w:ind w:left="320" w:right="255"/>
              <w:rPr>
                <w:sz w:val="18"/>
              </w:rPr>
            </w:pPr>
            <w:r>
              <w:rPr>
                <w:w w:val="105"/>
                <w:sz w:val="18"/>
              </w:rPr>
              <w:t>Q3, FY 2021</w:t>
            </w:r>
          </w:p>
        </w:tc>
      </w:tr>
    </w:tbl>
    <w:p>
      <w:pPr>
        <w:spacing w:line="321" w:lineRule="auto" w:before="116"/>
        <w:ind w:left="859" w:right="237" w:firstLine="0"/>
        <w:jc w:val="both"/>
        <w:rPr>
          <w:i/>
          <w:sz w:val="18"/>
        </w:rPr>
      </w:pPr>
      <w:r>
        <w:rPr>
          <w:i/>
          <w:sz w:val="18"/>
        </w:rPr>
        <w:t>Source</w:t>
      </w:r>
      <w:r>
        <w:rPr>
          <w:i/>
          <w:spacing w:val="-20"/>
          <w:sz w:val="18"/>
        </w:rPr>
        <w:t> </w:t>
      </w:r>
      <w:r>
        <w:rPr>
          <w:i/>
          <w:sz w:val="18"/>
        </w:rPr>
        <w:t>Client</w:t>
      </w:r>
      <w:r>
        <w:rPr>
          <w:i/>
          <w:spacing w:val="-19"/>
          <w:sz w:val="18"/>
        </w:rPr>
        <w:t> </w:t>
      </w:r>
      <w:r>
        <w:rPr>
          <w:i/>
          <w:sz w:val="18"/>
        </w:rPr>
        <w:t>Input;</w:t>
      </w:r>
      <w:r>
        <w:rPr>
          <w:i/>
          <w:spacing w:val="-21"/>
          <w:sz w:val="18"/>
        </w:rPr>
        <w:t> </w:t>
      </w:r>
      <w:r>
        <w:rPr>
          <w:i/>
          <w:sz w:val="18"/>
        </w:rPr>
        <w:t>Valuer’s</w:t>
      </w:r>
      <w:r>
        <w:rPr>
          <w:i/>
          <w:spacing w:val="-20"/>
          <w:sz w:val="18"/>
        </w:rPr>
        <w:t> </w:t>
      </w:r>
      <w:r>
        <w:rPr>
          <w:i/>
          <w:sz w:val="18"/>
        </w:rPr>
        <w:t>Assessment*</w:t>
      </w:r>
      <w:r>
        <w:rPr>
          <w:i/>
          <w:spacing w:val="-21"/>
          <w:sz w:val="18"/>
        </w:rPr>
        <w:t> </w:t>
      </w:r>
      <w:r>
        <w:rPr>
          <w:i/>
          <w:sz w:val="18"/>
        </w:rPr>
        <w:t>the</w:t>
      </w:r>
      <w:r>
        <w:rPr>
          <w:i/>
          <w:spacing w:val="-21"/>
          <w:sz w:val="18"/>
        </w:rPr>
        <w:t> </w:t>
      </w:r>
      <w:r>
        <w:rPr>
          <w:i/>
          <w:sz w:val="18"/>
        </w:rPr>
        <w:t>pending</w:t>
      </w:r>
      <w:r>
        <w:rPr>
          <w:i/>
          <w:spacing w:val="-20"/>
          <w:sz w:val="18"/>
        </w:rPr>
        <w:t> </w:t>
      </w:r>
      <w:r>
        <w:rPr>
          <w:i/>
          <w:sz w:val="18"/>
        </w:rPr>
        <w:t>cost</w:t>
      </w:r>
      <w:r>
        <w:rPr>
          <w:i/>
          <w:spacing w:val="-21"/>
          <w:sz w:val="18"/>
        </w:rPr>
        <w:t> </w:t>
      </w:r>
      <w:r>
        <w:rPr>
          <w:i/>
          <w:sz w:val="18"/>
        </w:rPr>
        <w:t>towards</w:t>
      </w:r>
      <w:r>
        <w:rPr>
          <w:i/>
          <w:spacing w:val="-19"/>
          <w:sz w:val="18"/>
        </w:rPr>
        <w:t> </w:t>
      </w:r>
      <w:r>
        <w:rPr>
          <w:i/>
          <w:sz w:val="18"/>
        </w:rPr>
        <w:t>refurbishment</w:t>
      </w:r>
      <w:r>
        <w:rPr>
          <w:i/>
          <w:spacing w:val="-20"/>
          <w:sz w:val="18"/>
        </w:rPr>
        <w:t> </w:t>
      </w:r>
      <w:r>
        <w:rPr>
          <w:i/>
          <w:sz w:val="18"/>
        </w:rPr>
        <w:t>is</w:t>
      </w:r>
      <w:r>
        <w:rPr>
          <w:i/>
          <w:spacing w:val="-22"/>
          <w:sz w:val="18"/>
        </w:rPr>
        <w:t> </w:t>
      </w:r>
      <w:r>
        <w:rPr>
          <w:i/>
          <w:sz w:val="18"/>
        </w:rPr>
        <w:t>apportioned</w:t>
      </w:r>
      <w:r>
        <w:rPr>
          <w:i/>
          <w:spacing w:val="-19"/>
          <w:sz w:val="18"/>
        </w:rPr>
        <w:t> </w:t>
      </w:r>
      <w:r>
        <w:rPr>
          <w:i/>
          <w:sz w:val="18"/>
        </w:rPr>
        <w:t>in</w:t>
      </w:r>
      <w:r>
        <w:rPr>
          <w:i/>
          <w:spacing w:val="-21"/>
          <w:sz w:val="18"/>
        </w:rPr>
        <w:t> </w:t>
      </w:r>
      <w:r>
        <w:rPr>
          <w:i/>
          <w:sz w:val="18"/>
        </w:rPr>
        <w:t>equal</w:t>
      </w:r>
      <w:r>
        <w:rPr>
          <w:i/>
          <w:spacing w:val="-20"/>
          <w:sz w:val="18"/>
        </w:rPr>
        <w:t> </w:t>
      </w:r>
      <w:r>
        <w:rPr>
          <w:i/>
          <w:sz w:val="18"/>
        </w:rPr>
        <w:t>proportion</w:t>
      </w:r>
      <w:r>
        <w:rPr>
          <w:i/>
          <w:spacing w:val="-20"/>
          <w:sz w:val="18"/>
        </w:rPr>
        <w:t> </w:t>
      </w:r>
      <w:r>
        <w:rPr>
          <w:i/>
          <w:sz w:val="18"/>
        </w:rPr>
        <w:t>across </w:t>
      </w:r>
      <w:r>
        <w:rPr>
          <w:i/>
          <w:sz w:val="18"/>
        </w:rPr>
        <w:t>remaining</w:t>
      </w:r>
      <w:r>
        <w:rPr>
          <w:i/>
          <w:spacing w:val="-13"/>
          <w:sz w:val="18"/>
        </w:rPr>
        <w:t> </w:t>
      </w:r>
      <w:r>
        <w:rPr>
          <w:i/>
          <w:sz w:val="18"/>
        </w:rPr>
        <w:t>quarters</w:t>
      </w:r>
      <w:r>
        <w:rPr>
          <w:i/>
          <w:spacing w:val="-11"/>
          <w:sz w:val="18"/>
        </w:rPr>
        <w:t> </w:t>
      </w:r>
      <w:r>
        <w:rPr>
          <w:i/>
          <w:sz w:val="18"/>
        </w:rPr>
        <w:t>from</w:t>
      </w:r>
      <w:r>
        <w:rPr>
          <w:i/>
          <w:spacing w:val="-11"/>
          <w:sz w:val="18"/>
        </w:rPr>
        <w:t> </w:t>
      </w:r>
      <w:r>
        <w:rPr>
          <w:i/>
          <w:sz w:val="18"/>
        </w:rPr>
        <w:t>the</w:t>
      </w:r>
      <w:r>
        <w:rPr>
          <w:i/>
          <w:spacing w:val="-12"/>
          <w:sz w:val="18"/>
        </w:rPr>
        <w:t> </w:t>
      </w:r>
      <w:r>
        <w:rPr>
          <w:i/>
          <w:sz w:val="18"/>
        </w:rPr>
        <w:t>date</w:t>
      </w:r>
      <w:r>
        <w:rPr>
          <w:i/>
          <w:spacing w:val="-11"/>
          <w:sz w:val="18"/>
        </w:rPr>
        <w:t> </w:t>
      </w:r>
      <w:r>
        <w:rPr>
          <w:i/>
          <w:sz w:val="18"/>
        </w:rPr>
        <w:t>of</w:t>
      </w:r>
      <w:r>
        <w:rPr>
          <w:i/>
          <w:spacing w:val="-12"/>
          <w:sz w:val="18"/>
        </w:rPr>
        <w:t> </w:t>
      </w:r>
      <w:r>
        <w:rPr>
          <w:i/>
          <w:sz w:val="18"/>
        </w:rPr>
        <w:t>start</w:t>
      </w:r>
      <w:r>
        <w:rPr>
          <w:i/>
          <w:spacing w:val="-11"/>
          <w:sz w:val="18"/>
        </w:rPr>
        <w:t> </w:t>
      </w:r>
      <w:r>
        <w:rPr>
          <w:i/>
          <w:sz w:val="18"/>
        </w:rPr>
        <w:t>of</w:t>
      </w:r>
      <w:r>
        <w:rPr>
          <w:i/>
          <w:spacing w:val="-13"/>
          <w:sz w:val="18"/>
        </w:rPr>
        <w:t> </w:t>
      </w:r>
      <w:r>
        <w:rPr>
          <w:i/>
          <w:sz w:val="18"/>
        </w:rPr>
        <w:t>the</w:t>
      </w:r>
      <w:r>
        <w:rPr>
          <w:i/>
          <w:spacing w:val="-8"/>
          <w:sz w:val="18"/>
        </w:rPr>
        <w:t> </w:t>
      </w:r>
      <w:r>
        <w:rPr>
          <w:i/>
          <w:sz w:val="18"/>
        </w:rPr>
        <w:t>refurbishment</w:t>
      </w:r>
      <w:r>
        <w:rPr>
          <w:i/>
          <w:spacing w:val="-12"/>
          <w:sz w:val="18"/>
        </w:rPr>
        <w:t> </w:t>
      </w:r>
      <w:r>
        <w:rPr>
          <w:i/>
          <w:sz w:val="18"/>
        </w:rPr>
        <w:t>works</w:t>
      </w:r>
      <w:r>
        <w:rPr>
          <w:i/>
          <w:spacing w:val="-12"/>
          <w:sz w:val="18"/>
        </w:rPr>
        <w:t> </w:t>
      </w:r>
      <w:r>
        <w:rPr>
          <w:i/>
          <w:sz w:val="18"/>
        </w:rPr>
        <w:t>(dates</w:t>
      </w:r>
      <w:r>
        <w:rPr>
          <w:i/>
          <w:spacing w:val="-13"/>
          <w:sz w:val="18"/>
        </w:rPr>
        <w:t> </w:t>
      </w:r>
      <w:r>
        <w:rPr>
          <w:i/>
          <w:sz w:val="18"/>
        </w:rPr>
        <w:t>as</w:t>
      </w:r>
      <w:r>
        <w:rPr>
          <w:i/>
          <w:spacing w:val="-13"/>
          <w:sz w:val="18"/>
        </w:rPr>
        <w:t> </w:t>
      </w:r>
      <w:r>
        <w:rPr>
          <w:i/>
          <w:sz w:val="18"/>
        </w:rPr>
        <w:t>per</w:t>
      </w:r>
      <w:r>
        <w:rPr>
          <w:i/>
          <w:spacing w:val="-12"/>
          <w:sz w:val="18"/>
        </w:rPr>
        <w:t> </w:t>
      </w:r>
      <w:r>
        <w:rPr>
          <w:i/>
          <w:sz w:val="18"/>
        </w:rPr>
        <w:t>financial</w:t>
      </w:r>
      <w:r>
        <w:rPr>
          <w:i/>
          <w:spacing w:val="-14"/>
          <w:sz w:val="18"/>
        </w:rPr>
        <w:t> </w:t>
      </w:r>
      <w:r>
        <w:rPr>
          <w:i/>
          <w:sz w:val="18"/>
        </w:rPr>
        <w:t>year)</w:t>
      </w:r>
    </w:p>
    <w:p>
      <w:pPr>
        <w:pStyle w:val="BodyText"/>
        <w:spacing w:before="2"/>
        <w:rPr>
          <w:i/>
          <w:sz w:val="18"/>
        </w:rPr>
      </w:pPr>
    </w:p>
    <w:p>
      <w:pPr>
        <w:pStyle w:val="ListParagraph"/>
        <w:numPr>
          <w:ilvl w:val="3"/>
          <w:numId w:val="82"/>
        </w:numPr>
        <w:tabs>
          <w:tab w:pos="1105" w:val="left" w:leader="none"/>
        </w:tabs>
        <w:spacing w:line="240" w:lineRule="auto" w:before="0" w:after="0"/>
        <w:ind w:left="1104" w:right="0" w:hanging="865"/>
        <w:jc w:val="both"/>
        <w:rPr>
          <w:i/>
          <w:sz w:val="20"/>
        </w:rPr>
      </w:pPr>
      <w:r>
        <w:rPr>
          <w:i/>
          <w:color w:val="008000"/>
          <w:sz w:val="20"/>
        </w:rPr>
        <w:t>Operating</w:t>
      </w:r>
      <w:r>
        <w:rPr>
          <w:i/>
          <w:color w:val="008000"/>
          <w:spacing w:val="-4"/>
          <w:sz w:val="20"/>
        </w:rPr>
        <w:t> </w:t>
      </w:r>
      <w:r>
        <w:rPr>
          <w:i/>
          <w:color w:val="008000"/>
          <w:sz w:val="20"/>
        </w:rPr>
        <w:t>Cost</w:t>
      </w:r>
    </w:p>
    <w:p>
      <w:pPr>
        <w:pStyle w:val="BodyText"/>
        <w:spacing w:line="321" w:lineRule="auto" w:before="76"/>
        <w:ind w:left="802" w:right="233"/>
        <w:jc w:val="both"/>
      </w:pPr>
      <w:r>
        <w:rPr/>
        <w:t>In addition to capital expenditure, a development typically has a few recurring operation expenses required</w:t>
      </w:r>
      <w:r>
        <w:rPr>
          <w:spacing w:val="-21"/>
        </w:rPr>
        <w:t> </w:t>
      </w:r>
      <w:r>
        <w:rPr/>
        <w:t>for</w:t>
      </w:r>
      <w:r>
        <w:rPr>
          <w:spacing w:val="-22"/>
        </w:rPr>
        <w:t> </w:t>
      </w:r>
      <w:r>
        <w:rPr/>
        <w:t>the</w:t>
      </w:r>
      <w:r>
        <w:rPr>
          <w:spacing w:val="-22"/>
        </w:rPr>
        <w:t> </w:t>
      </w:r>
      <w:r>
        <w:rPr/>
        <w:t>up-keep</w:t>
      </w:r>
      <w:r>
        <w:rPr>
          <w:spacing w:val="-21"/>
        </w:rPr>
        <w:t> </w:t>
      </w:r>
      <w:r>
        <w:rPr/>
        <w:t>running</w:t>
      </w:r>
      <w:r>
        <w:rPr>
          <w:spacing w:val="-21"/>
        </w:rPr>
        <w:t> </w:t>
      </w:r>
      <w:r>
        <w:rPr/>
        <w:t>of</w:t>
      </w:r>
      <w:r>
        <w:rPr>
          <w:spacing w:val="-20"/>
        </w:rPr>
        <w:t> </w:t>
      </w:r>
      <w:r>
        <w:rPr/>
        <w:t>the</w:t>
      </w:r>
      <w:r>
        <w:rPr>
          <w:spacing w:val="-22"/>
        </w:rPr>
        <w:t> </w:t>
      </w:r>
      <w:r>
        <w:rPr/>
        <w:t>development.</w:t>
      </w:r>
      <w:r>
        <w:rPr>
          <w:spacing w:val="-21"/>
        </w:rPr>
        <w:t> </w:t>
      </w:r>
      <w:r>
        <w:rPr/>
        <w:t>Based</w:t>
      </w:r>
      <w:r>
        <w:rPr>
          <w:spacing w:val="-21"/>
        </w:rPr>
        <w:t> </w:t>
      </w:r>
      <w:r>
        <w:rPr/>
        <w:t>on</w:t>
      </w:r>
      <w:r>
        <w:rPr>
          <w:spacing w:val="-21"/>
        </w:rPr>
        <w:t> </w:t>
      </w:r>
      <w:r>
        <w:rPr/>
        <w:t>information</w:t>
      </w:r>
      <w:r>
        <w:rPr>
          <w:spacing w:val="-21"/>
        </w:rPr>
        <w:t> </w:t>
      </w:r>
      <w:r>
        <w:rPr/>
        <w:t>provided</w:t>
      </w:r>
      <w:r>
        <w:rPr>
          <w:spacing w:val="-23"/>
        </w:rPr>
        <w:t> </w:t>
      </w:r>
      <w:r>
        <w:rPr/>
        <w:t>by</w:t>
      </w:r>
      <w:r>
        <w:rPr>
          <w:spacing w:val="-22"/>
        </w:rPr>
        <w:t> </w:t>
      </w:r>
      <w:r>
        <w:rPr/>
        <w:t>the</w:t>
      </w:r>
      <w:r>
        <w:rPr>
          <w:spacing w:val="-21"/>
        </w:rPr>
        <w:t> </w:t>
      </w:r>
      <w:r>
        <w:rPr/>
        <w:t>Client</w:t>
      </w:r>
      <w:r>
        <w:rPr>
          <w:spacing w:val="-23"/>
        </w:rPr>
        <w:t> </w:t>
      </w:r>
      <w:r>
        <w:rPr/>
        <w:t>and market</w:t>
      </w:r>
      <w:r>
        <w:rPr>
          <w:spacing w:val="-28"/>
        </w:rPr>
        <w:t> </w:t>
      </w:r>
      <w:r>
        <w:rPr/>
        <w:t>assessment,</w:t>
      </w:r>
      <w:r>
        <w:rPr>
          <w:spacing w:val="-29"/>
        </w:rPr>
        <w:t> </w:t>
      </w:r>
      <w:r>
        <w:rPr/>
        <w:t>following</w:t>
      </w:r>
      <w:r>
        <w:rPr>
          <w:spacing w:val="-27"/>
        </w:rPr>
        <w:t> </w:t>
      </w:r>
      <w:r>
        <w:rPr/>
        <w:t>recurring</w:t>
      </w:r>
      <w:r>
        <w:rPr>
          <w:spacing w:val="-28"/>
        </w:rPr>
        <w:t> </w:t>
      </w:r>
      <w:r>
        <w:rPr/>
        <w:t>expense</w:t>
      </w:r>
      <w:r>
        <w:rPr>
          <w:spacing w:val="-28"/>
        </w:rPr>
        <w:t> </w:t>
      </w:r>
      <w:r>
        <w:rPr/>
        <w:t>assumptions</w:t>
      </w:r>
      <w:r>
        <w:rPr>
          <w:spacing w:val="-28"/>
        </w:rPr>
        <w:t> </w:t>
      </w:r>
      <w:r>
        <w:rPr/>
        <w:t>have</w:t>
      </w:r>
      <w:r>
        <w:rPr>
          <w:spacing w:val="-28"/>
        </w:rPr>
        <w:t> </w:t>
      </w:r>
      <w:r>
        <w:rPr/>
        <w:t>been</w:t>
      </w:r>
      <w:r>
        <w:rPr>
          <w:spacing w:val="-29"/>
        </w:rPr>
        <w:t> </w:t>
      </w:r>
      <w:r>
        <w:rPr/>
        <w:t>adopted</w:t>
      </w:r>
      <w:r>
        <w:rPr>
          <w:spacing w:val="-28"/>
        </w:rPr>
        <w:t> </w:t>
      </w:r>
      <w:r>
        <w:rPr/>
        <w:t>for</w:t>
      </w:r>
      <w:r>
        <w:rPr>
          <w:spacing w:val="-28"/>
        </w:rPr>
        <w:t> </w:t>
      </w:r>
      <w:r>
        <w:rPr/>
        <w:t>the</w:t>
      </w:r>
      <w:r>
        <w:rPr>
          <w:spacing w:val="-29"/>
        </w:rPr>
        <w:t> </w:t>
      </w:r>
      <w:r>
        <w:rPr/>
        <w:t>purpose</w:t>
      </w:r>
      <w:r>
        <w:rPr>
          <w:spacing w:val="-28"/>
        </w:rPr>
        <w:t> </w:t>
      </w:r>
      <w:r>
        <w:rPr/>
        <w:t>of</w:t>
      </w:r>
      <w:r>
        <w:rPr>
          <w:spacing w:val="-28"/>
        </w:rPr>
        <w:t> </w:t>
      </w:r>
      <w:r>
        <w:rPr/>
        <w:t>this valuation</w:t>
      </w:r>
      <w:r>
        <w:rPr>
          <w:spacing w:val="-4"/>
        </w:rPr>
        <w:t> </w:t>
      </w:r>
      <w:r>
        <w:rPr/>
        <w:t>exercise:</w:t>
      </w:r>
    </w:p>
    <w:p>
      <w:pPr>
        <w:pStyle w:val="BodyText"/>
        <w:spacing w:before="3" w:after="1"/>
        <w:rPr>
          <w:sz w:val="29"/>
        </w:rPr>
      </w:pPr>
    </w:p>
    <w:p>
      <w:pPr>
        <w:pStyle w:val="BodyText"/>
        <w:ind w:left="225"/>
        <w:rPr>
          <w:sz w:val="20"/>
        </w:rPr>
      </w:pPr>
      <w:r>
        <w:rPr>
          <w:sz w:val="20"/>
        </w:rPr>
        <w:pict>
          <v:group style="width:524.3pt;height:15.85pt;mso-position-horizontal-relative:char;mso-position-vertical-relative:line" coordorigin="0,0" coordsize="10486,317">
            <v:shape style="position:absolute;left:14;top:14;width:10472;height:288" coordorigin="14,14" coordsize="10472,288" path="m10486,14l6996,14,3505,14,14,14,14,302,3505,302,6996,302,10486,302,10486,14xe" filled="true" fillcolor="#006a4d" stroked="false">
              <v:path arrowok="t"/>
              <v:fill type="solid"/>
            </v:shape>
            <v:shape style="position:absolute;left:14;top:0;width:10472;height:317" coordorigin="14,0" coordsize="10472,317" path="m10486,302l7010,302,6996,302,3519,302,3505,302,14,302,14,317,3505,317,3519,317,6996,317,7010,317,10486,317,10486,302xm10486,0l7010,0,6996,0,3519,0,3505,0,14,0,14,14,3505,14,3519,14,6996,14,7010,14,10486,14,10486,0xe" filled="true" fillcolor="#69bd28" stroked="false">
              <v:path arrowok="t"/>
              <v:fill type="solid"/>
            </v:shape>
            <v:shape style="position:absolute;left:0;top:14;width:10486;height:288" type="#_x0000_t202" filled="false" stroked="false">
              <v:textbox inset="0,0,0,0">
                <w:txbxContent>
                  <w:p>
                    <w:pPr>
                      <w:tabs>
                        <w:tab w:pos="4952" w:val="left" w:leader="none"/>
                        <w:tab w:pos="8521" w:val="left" w:leader="none"/>
                      </w:tabs>
                      <w:spacing w:before="8"/>
                      <w:ind w:left="960" w:right="0" w:firstLine="0"/>
                      <w:jc w:val="left"/>
                      <w:rPr>
                        <w:sz w:val="20"/>
                      </w:rPr>
                    </w:pPr>
                    <w:r>
                      <w:rPr>
                        <w:color w:val="FFFFFF"/>
                        <w:sz w:val="20"/>
                      </w:rPr>
                      <w:t>Nature</w:t>
                    </w:r>
                    <w:r>
                      <w:rPr>
                        <w:color w:val="FFFFFF"/>
                        <w:spacing w:val="-12"/>
                        <w:sz w:val="20"/>
                      </w:rPr>
                      <w:t> </w:t>
                    </w:r>
                    <w:r>
                      <w:rPr>
                        <w:color w:val="FFFFFF"/>
                        <w:sz w:val="20"/>
                      </w:rPr>
                      <w:t>of</w:t>
                    </w:r>
                    <w:r>
                      <w:rPr>
                        <w:color w:val="FFFFFF"/>
                        <w:spacing w:val="-12"/>
                        <w:sz w:val="20"/>
                      </w:rPr>
                      <w:t> </w:t>
                    </w:r>
                    <w:r>
                      <w:rPr>
                        <w:color w:val="FFFFFF"/>
                        <w:sz w:val="20"/>
                      </w:rPr>
                      <w:t>Expense</w:t>
                      <w:tab/>
                      <w:t>Details</w:t>
                      <w:tab/>
                    </w:r>
                    <w:r>
                      <w:rPr>
                        <w:color w:val="FFFFFF"/>
                        <w:position w:val="2"/>
                        <w:sz w:val="20"/>
                      </w:rPr>
                      <w:t>Basis</w:t>
                    </w:r>
                  </w:p>
                </w:txbxContent>
              </v:textbox>
              <w10:wrap type="none"/>
            </v:shape>
          </v:group>
        </w:pict>
      </w:r>
      <w:r>
        <w:rPr>
          <w:sz w:val="20"/>
        </w:rPr>
      </w:r>
    </w:p>
    <w:p>
      <w:pPr>
        <w:spacing w:after="0"/>
        <w:rPr>
          <w:sz w:val="20"/>
        </w:rPr>
        <w:sectPr>
          <w:pgSz w:w="11910" w:h="16840"/>
          <w:pgMar w:header="720" w:footer="862" w:top="1660" w:bottom="1060" w:left="480" w:right="480"/>
        </w:sectPr>
      </w:pPr>
    </w:p>
    <w:p>
      <w:pPr>
        <w:spacing w:line="247" w:lineRule="auto" w:before="28"/>
        <w:ind w:left="1678" w:right="32" w:hanging="1251"/>
        <w:jc w:val="left"/>
        <w:rPr>
          <w:sz w:val="18"/>
        </w:rPr>
      </w:pPr>
      <w:r>
        <w:rPr/>
        <w:pict>
          <v:rect style="position:absolute;margin-left:36pt;margin-top:25.690664pt;width:523.560025pt;height:.72pt;mso-position-horizontal-relative:page;mso-position-vertical-relative:paragraph;z-index:16432128" filled="true" fillcolor="#69bd28" stroked="false">
            <v:fill type="solid"/>
            <w10:wrap type="none"/>
          </v:rect>
        </w:pict>
      </w:r>
      <w:r>
        <w:rPr>
          <w:sz w:val="18"/>
        </w:rPr>
        <w:t>Insurance,</w:t>
      </w:r>
      <w:r>
        <w:rPr>
          <w:spacing w:val="-20"/>
          <w:sz w:val="18"/>
        </w:rPr>
        <w:t> </w:t>
      </w:r>
      <w:r>
        <w:rPr>
          <w:sz w:val="18"/>
        </w:rPr>
        <w:t>Legal</w:t>
      </w:r>
      <w:r>
        <w:rPr>
          <w:spacing w:val="-20"/>
          <w:sz w:val="18"/>
        </w:rPr>
        <w:t> </w:t>
      </w:r>
      <w:r>
        <w:rPr>
          <w:sz w:val="18"/>
        </w:rPr>
        <w:t>and</w:t>
      </w:r>
      <w:r>
        <w:rPr>
          <w:spacing w:val="-20"/>
          <w:sz w:val="18"/>
        </w:rPr>
        <w:t> </w:t>
      </w:r>
      <w:r>
        <w:rPr>
          <w:sz w:val="18"/>
        </w:rPr>
        <w:t>other</w:t>
      </w:r>
      <w:r>
        <w:rPr>
          <w:spacing w:val="-18"/>
          <w:sz w:val="18"/>
        </w:rPr>
        <w:t> </w:t>
      </w:r>
      <w:r>
        <w:rPr>
          <w:sz w:val="18"/>
        </w:rPr>
        <w:t>professional charges</w:t>
      </w:r>
    </w:p>
    <w:p>
      <w:pPr>
        <w:spacing w:before="8"/>
        <w:ind w:left="402" w:right="18" w:firstLine="0"/>
        <w:jc w:val="center"/>
        <w:rPr>
          <w:sz w:val="18"/>
        </w:rPr>
      </w:pPr>
      <w:r>
        <w:rPr/>
        <w:br w:type="column"/>
      </w:r>
      <w:r>
        <w:rPr>
          <w:w w:val="110"/>
          <w:sz w:val="18"/>
        </w:rPr>
        <w:t>0.05%</w:t>
      </w:r>
    </w:p>
    <w:p>
      <w:pPr>
        <w:spacing w:before="46"/>
        <w:ind w:left="405" w:right="18" w:firstLine="0"/>
        <w:jc w:val="center"/>
        <w:rPr>
          <w:sz w:val="18"/>
        </w:rPr>
      </w:pPr>
      <w:r>
        <w:rPr>
          <w:sz w:val="18"/>
        </w:rPr>
        <w:t>(INR 2.0 mn)</w:t>
      </w:r>
    </w:p>
    <w:p>
      <w:pPr>
        <w:spacing w:before="136"/>
        <w:ind w:left="427" w:right="0" w:firstLine="0"/>
        <w:jc w:val="left"/>
        <w:rPr>
          <w:sz w:val="18"/>
        </w:rPr>
      </w:pPr>
      <w:r>
        <w:rPr/>
        <w:br w:type="column"/>
      </w:r>
      <w:r>
        <w:rPr>
          <w:sz w:val="18"/>
        </w:rPr>
        <w:t>% of gross rental income</w:t>
      </w:r>
    </w:p>
    <w:p>
      <w:pPr>
        <w:spacing w:after="0"/>
        <w:jc w:val="left"/>
        <w:rPr>
          <w:sz w:val="18"/>
        </w:rPr>
        <w:sectPr>
          <w:type w:val="continuous"/>
          <w:pgSz w:w="11910" w:h="16840"/>
          <w:pgMar w:top="800" w:bottom="280" w:left="480" w:right="480"/>
          <w:cols w:num="3" w:equalWidth="0">
            <w:col w:w="3580" w:space="962"/>
            <w:col w:w="1477" w:space="1552"/>
            <w:col w:w="3379"/>
          </w:cols>
        </w:sectPr>
      </w:pPr>
    </w:p>
    <w:p>
      <w:pPr>
        <w:tabs>
          <w:tab w:pos="5185" w:val="left" w:leader="none"/>
        </w:tabs>
        <w:spacing w:before="100"/>
        <w:ind w:left="1500" w:right="0" w:firstLine="0"/>
        <w:jc w:val="left"/>
        <w:rPr>
          <w:sz w:val="18"/>
        </w:rPr>
      </w:pPr>
      <w:r>
        <w:rPr/>
        <w:pict>
          <v:shape style="position:absolute;margin-left:35.279999pt;margin-top:17.644665pt;width:524.3pt;height:60.55pt;mso-position-horizontal-relative:page;mso-position-vertical-relative:paragraph;z-index:1643264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867"/>
                    <w:gridCol w:w="2922"/>
                    <w:gridCol w:w="3695"/>
                  </w:tblGrid>
                  <w:tr>
                    <w:trPr>
                      <w:trHeight w:val="254" w:hRule="atLeast"/>
                    </w:trPr>
                    <w:tc>
                      <w:tcPr>
                        <w:tcW w:w="3867" w:type="dxa"/>
                        <w:tcBorders>
                          <w:bottom w:val="single" w:sz="6" w:space="0" w:color="69BD28"/>
                        </w:tcBorders>
                      </w:tcPr>
                      <w:p>
                        <w:pPr>
                          <w:pStyle w:val="TableParagraph"/>
                          <w:jc w:val="left"/>
                          <w:rPr>
                            <w:rFonts w:ascii="Times New Roman"/>
                            <w:sz w:val="18"/>
                          </w:rPr>
                        </w:pPr>
                      </w:p>
                    </w:tc>
                    <w:tc>
                      <w:tcPr>
                        <w:tcW w:w="2922" w:type="dxa"/>
                        <w:tcBorders>
                          <w:bottom w:val="single" w:sz="6" w:space="0" w:color="69BD28"/>
                        </w:tcBorders>
                      </w:tcPr>
                      <w:p>
                        <w:pPr>
                          <w:pStyle w:val="TableParagraph"/>
                          <w:spacing w:before="4"/>
                          <w:ind w:left="809" w:right="965"/>
                          <w:rPr>
                            <w:sz w:val="18"/>
                          </w:rPr>
                        </w:pPr>
                        <w:r>
                          <w:rPr>
                            <w:sz w:val="18"/>
                          </w:rPr>
                          <w:t>(INR 77.0 mn)</w:t>
                        </w:r>
                      </w:p>
                    </w:tc>
                    <w:tc>
                      <w:tcPr>
                        <w:tcW w:w="3695" w:type="dxa"/>
                        <w:tcBorders>
                          <w:bottom w:val="single" w:sz="6" w:space="0" w:color="69BD28"/>
                        </w:tcBorders>
                      </w:tcPr>
                      <w:p>
                        <w:pPr>
                          <w:pStyle w:val="TableParagraph"/>
                          <w:jc w:val="left"/>
                          <w:rPr>
                            <w:rFonts w:ascii="Times New Roman"/>
                            <w:sz w:val="18"/>
                          </w:rPr>
                        </w:pPr>
                      </w:p>
                    </w:tc>
                  </w:tr>
                  <w:tr>
                    <w:trPr>
                      <w:trHeight w:val="296" w:hRule="atLeast"/>
                    </w:trPr>
                    <w:tc>
                      <w:tcPr>
                        <w:tcW w:w="3867" w:type="dxa"/>
                        <w:tcBorders>
                          <w:top w:val="single" w:sz="6" w:space="0" w:color="69BD28"/>
                          <w:bottom w:val="single" w:sz="6" w:space="0" w:color="69BD28"/>
                        </w:tcBorders>
                      </w:tcPr>
                      <w:p>
                        <w:pPr>
                          <w:pStyle w:val="TableParagraph"/>
                          <w:spacing w:before="46"/>
                          <w:ind w:left="426" w:right="774"/>
                          <w:rPr>
                            <w:sz w:val="18"/>
                          </w:rPr>
                        </w:pPr>
                        <w:r>
                          <w:rPr>
                            <w:sz w:val="18"/>
                          </w:rPr>
                          <w:t>Repair and Maintenance Reserve</w:t>
                        </w:r>
                      </w:p>
                    </w:tc>
                    <w:tc>
                      <w:tcPr>
                        <w:tcW w:w="2922" w:type="dxa"/>
                        <w:tcBorders>
                          <w:top w:val="single" w:sz="6" w:space="0" w:color="69BD28"/>
                          <w:bottom w:val="single" w:sz="6" w:space="0" w:color="69BD28"/>
                        </w:tcBorders>
                      </w:tcPr>
                      <w:p>
                        <w:pPr>
                          <w:pStyle w:val="TableParagraph"/>
                          <w:spacing w:before="46"/>
                          <w:ind w:left="806" w:right="965"/>
                          <w:rPr>
                            <w:sz w:val="18"/>
                          </w:rPr>
                        </w:pPr>
                        <w:r>
                          <w:rPr>
                            <w:w w:val="110"/>
                            <w:sz w:val="18"/>
                          </w:rPr>
                          <w:t>1.0%</w:t>
                        </w:r>
                      </w:p>
                    </w:tc>
                    <w:tc>
                      <w:tcPr>
                        <w:tcW w:w="3695" w:type="dxa"/>
                        <w:tcBorders>
                          <w:top w:val="single" w:sz="6" w:space="0" w:color="69BD28"/>
                          <w:bottom w:val="single" w:sz="6" w:space="0" w:color="69BD28"/>
                        </w:tcBorders>
                      </w:tcPr>
                      <w:p>
                        <w:pPr>
                          <w:pStyle w:val="TableParagraph"/>
                          <w:spacing w:before="46"/>
                          <w:ind w:left="952" w:right="743"/>
                          <w:rPr>
                            <w:sz w:val="18"/>
                          </w:rPr>
                        </w:pPr>
                        <w:r>
                          <w:rPr>
                            <w:sz w:val="18"/>
                          </w:rPr>
                          <w:t>% of gross rental income</w:t>
                        </w:r>
                      </w:p>
                    </w:tc>
                  </w:tr>
                  <w:tr>
                    <w:trPr>
                      <w:trHeight w:val="294" w:hRule="atLeast"/>
                    </w:trPr>
                    <w:tc>
                      <w:tcPr>
                        <w:tcW w:w="3867" w:type="dxa"/>
                        <w:tcBorders>
                          <w:top w:val="single" w:sz="6" w:space="0" w:color="69BD28"/>
                          <w:bottom w:val="single" w:sz="6" w:space="0" w:color="69BD28"/>
                        </w:tcBorders>
                      </w:tcPr>
                      <w:p>
                        <w:pPr>
                          <w:pStyle w:val="TableParagraph"/>
                          <w:spacing w:before="44"/>
                          <w:ind w:left="426" w:right="774"/>
                          <w:rPr>
                            <w:sz w:val="18"/>
                          </w:rPr>
                        </w:pPr>
                        <w:r>
                          <w:rPr>
                            <w:sz w:val="18"/>
                          </w:rPr>
                          <w:t>Asset management Fee</w:t>
                        </w:r>
                      </w:p>
                    </w:tc>
                    <w:tc>
                      <w:tcPr>
                        <w:tcW w:w="2922" w:type="dxa"/>
                        <w:tcBorders>
                          <w:top w:val="single" w:sz="6" w:space="0" w:color="69BD28"/>
                          <w:bottom w:val="single" w:sz="6" w:space="0" w:color="69BD28"/>
                        </w:tcBorders>
                      </w:tcPr>
                      <w:p>
                        <w:pPr>
                          <w:pStyle w:val="TableParagraph"/>
                          <w:spacing w:before="44"/>
                          <w:ind w:left="809" w:right="965"/>
                          <w:rPr>
                            <w:sz w:val="18"/>
                          </w:rPr>
                        </w:pPr>
                        <w:r>
                          <w:rPr>
                            <w:w w:val="125"/>
                            <w:sz w:val="18"/>
                          </w:rPr>
                          <w:t>1.0%^</w:t>
                        </w:r>
                      </w:p>
                    </w:tc>
                    <w:tc>
                      <w:tcPr>
                        <w:tcW w:w="3695" w:type="dxa"/>
                        <w:tcBorders>
                          <w:top w:val="single" w:sz="6" w:space="0" w:color="69BD28"/>
                          <w:bottom w:val="single" w:sz="6" w:space="0" w:color="69BD28"/>
                        </w:tcBorders>
                      </w:tcPr>
                      <w:p>
                        <w:pPr>
                          <w:pStyle w:val="TableParagraph"/>
                          <w:spacing w:before="44"/>
                          <w:ind w:left="952" w:right="742"/>
                          <w:rPr>
                            <w:sz w:val="18"/>
                          </w:rPr>
                        </w:pPr>
                        <w:r>
                          <w:rPr>
                            <w:sz w:val="18"/>
                          </w:rPr>
                          <w:t>% of total revenue</w:t>
                        </w:r>
                      </w:p>
                    </w:tc>
                  </w:tr>
                  <w:tr>
                    <w:trPr>
                      <w:trHeight w:val="296" w:hRule="atLeast"/>
                    </w:trPr>
                    <w:tc>
                      <w:tcPr>
                        <w:tcW w:w="3867" w:type="dxa"/>
                        <w:tcBorders>
                          <w:top w:val="single" w:sz="6" w:space="0" w:color="69BD28"/>
                          <w:bottom w:val="single" w:sz="6" w:space="0" w:color="69BD28"/>
                        </w:tcBorders>
                      </w:tcPr>
                      <w:p>
                        <w:pPr>
                          <w:pStyle w:val="TableParagraph"/>
                          <w:spacing w:before="46"/>
                          <w:ind w:left="426" w:right="771"/>
                          <w:rPr>
                            <w:sz w:val="18"/>
                          </w:rPr>
                        </w:pPr>
                        <w:r>
                          <w:rPr>
                            <w:sz w:val="18"/>
                          </w:rPr>
                          <w:t>Transaction cost on Exit</w:t>
                        </w:r>
                      </w:p>
                    </w:tc>
                    <w:tc>
                      <w:tcPr>
                        <w:tcW w:w="2922" w:type="dxa"/>
                        <w:tcBorders>
                          <w:top w:val="single" w:sz="6" w:space="0" w:color="69BD28"/>
                          <w:bottom w:val="single" w:sz="6" w:space="0" w:color="69BD28"/>
                        </w:tcBorders>
                      </w:tcPr>
                      <w:p>
                        <w:pPr>
                          <w:pStyle w:val="TableParagraph"/>
                          <w:spacing w:before="46"/>
                          <w:ind w:left="806" w:right="965"/>
                          <w:rPr>
                            <w:sz w:val="18"/>
                          </w:rPr>
                        </w:pPr>
                        <w:r>
                          <w:rPr>
                            <w:w w:val="110"/>
                            <w:sz w:val="18"/>
                          </w:rPr>
                          <w:t>1.0%</w:t>
                        </w:r>
                      </w:p>
                    </w:tc>
                    <w:tc>
                      <w:tcPr>
                        <w:tcW w:w="3695" w:type="dxa"/>
                        <w:tcBorders>
                          <w:top w:val="single" w:sz="6" w:space="0" w:color="69BD28"/>
                          <w:bottom w:val="single" w:sz="6" w:space="0" w:color="69BD28"/>
                        </w:tcBorders>
                      </w:tcPr>
                      <w:p>
                        <w:pPr>
                          <w:pStyle w:val="TableParagraph"/>
                          <w:spacing w:before="46"/>
                          <w:ind w:left="952" w:right="742"/>
                          <w:rPr>
                            <w:sz w:val="18"/>
                          </w:rPr>
                        </w:pPr>
                        <w:r>
                          <w:rPr>
                            <w:sz w:val="18"/>
                          </w:rPr>
                          <w:t>% of terminal value</w:t>
                        </w:r>
                      </w:p>
                    </w:tc>
                  </w:tr>
                </w:tbl>
                <w:p>
                  <w:pPr>
                    <w:pStyle w:val="BodyText"/>
                  </w:pPr>
                </w:p>
              </w:txbxContent>
            </v:textbox>
            <w10:wrap type="none"/>
          </v:shape>
        </w:pict>
      </w:r>
      <w:r>
        <w:rPr>
          <w:sz w:val="18"/>
        </w:rPr>
        <w:t>Property</w:t>
      </w:r>
      <w:r>
        <w:rPr>
          <w:spacing w:val="-20"/>
          <w:sz w:val="18"/>
        </w:rPr>
        <w:t> </w:t>
      </w:r>
      <w:r>
        <w:rPr>
          <w:sz w:val="18"/>
        </w:rPr>
        <w:t>Tax</w:t>
        <w:tab/>
      </w:r>
      <w:r>
        <w:rPr>
          <w:position w:val="13"/>
          <w:sz w:val="18"/>
        </w:rPr>
        <w:t>2.10%*</w:t>
      </w:r>
    </w:p>
    <w:p>
      <w:pPr>
        <w:pStyle w:val="BodyText"/>
        <w:spacing w:before="9"/>
        <w:rPr>
          <w:sz w:val="19"/>
        </w:rPr>
      </w:pPr>
      <w:r>
        <w:rPr/>
        <w:br w:type="column"/>
      </w:r>
      <w:r>
        <w:rPr>
          <w:sz w:val="19"/>
        </w:rPr>
      </w:r>
    </w:p>
    <w:p>
      <w:pPr>
        <w:spacing w:before="0"/>
        <w:ind w:left="1500" w:right="0" w:firstLine="0"/>
        <w:jc w:val="left"/>
        <w:rPr>
          <w:sz w:val="18"/>
        </w:rPr>
      </w:pPr>
      <w:r>
        <w:rPr>
          <w:sz w:val="18"/>
        </w:rPr>
        <w:t>% of gross rental income</w:t>
      </w:r>
    </w:p>
    <w:p>
      <w:pPr>
        <w:spacing w:after="0"/>
        <w:jc w:val="left"/>
        <w:rPr>
          <w:sz w:val="18"/>
        </w:rPr>
        <w:sectPr>
          <w:type w:val="continuous"/>
          <w:pgSz w:w="11910" w:h="16840"/>
          <w:pgMar w:top="800" w:bottom="280" w:left="480" w:right="480"/>
          <w:cols w:num="2" w:equalWidth="0">
            <w:col w:w="5806" w:space="693"/>
            <w:col w:w="4451"/>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7"/>
        </w:rPr>
      </w:pPr>
    </w:p>
    <w:p>
      <w:pPr>
        <w:spacing w:line="321" w:lineRule="auto" w:before="104"/>
        <w:ind w:left="240" w:right="234" w:firstLine="0"/>
        <w:jc w:val="both"/>
        <w:rPr>
          <w:i/>
          <w:sz w:val="18"/>
        </w:rPr>
      </w:pPr>
      <w:r>
        <w:rPr>
          <w:i/>
          <w:sz w:val="18"/>
        </w:rPr>
        <w:t>Source:</w:t>
      </w:r>
      <w:r>
        <w:rPr>
          <w:i/>
          <w:spacing w:val="-27"/>
          <w:sz w:val="18"/>
        </w:rPr>
        <w:t> </w:t>
      </w:r>
      <w:r>
        <w:rPr>
          <w:i/>
          <w:sz w:val="18"/>
        </w:rPr>
        <w:t>Client</w:t>
      </w:r>
      <w:r>
        <w:rPr>
          <w:i/>
          <w:spacing w:val="-25"/>
          <w:sz w:val="18"/>
        </w:rPr>
        <w:t> </w:t>
      </w:r>
      <w:r>
        <w:rPr>
          <w:i/>
          <w:sz w:val="18"/>
        </w:rPr>
        <w:t>Input;</w:t>
      </w:r>
      <w:r>
        <w:rPr>
          <w:i/>
          <w:spacing w:val="-25"/>
          <w:sz w:val="18"/>
        </w:rPr>
        <w:t> </w:t>
      </w:r>
      <w:r>
        <w:rPr>
          <w:i/>
          <w:sz w:val="18"/>
        </w:rPr>
        <w:t>Valuer’s</w:t>
      </w:r>
      <w:r>
        <w:rPr>
          <w:i/>
          <w:spacing w:val="-27"/>
          <w:sz w:val="18"/>
        </w:rPr>
        <w:t> </w:t>
      </w:r>
      <w:r>
        <w:rPr>
          <w:i/>
          <w:sz w:val="18"/>
        </w:rPr>
        <w:t>assessment;</w:t>
      </w:r>
      <w:r>
        <w:rPr>
          <w:i/>
          <w:spacing w:val="-26"/>
          <w:sz w:val="18"/>
        </w:rPr>
        <w:t> </w:t>
      </w:r>
      <w:r>
        <w:rPr>
          <w:i/>
          <w:sz w:val="18"/>
        </w:rPr>
        <w:t>*Note</w:t>
      </w:r>
      <w:r>
        <w:rPr>
          <w:i/>
          <w:spacing w:val="-26"/>
          <w:sz w:val="18"/>
        </w:rPr>
        <w:t> </w:t>
      </w:r>
      <w:r>
        <w:rPr>
          <w:i/>
          <w:w w:val="115"/>
          <w:sz w:val="18"/>
        </w:rPr>
        <w:t>–</w:t>
      </w:r>
      <w:r>
        <w:rPr>
          <w:i/>
          <w:spacing w:val="-34"/>
          <w:w w:val="115"/>
          <w:sz w:val="18"/>
        </w:rPr>
        <w:t> </w:t>
      </w:r>
      <w:r>
        <w:rPr>
          <w:i/>
          <w:sz w:val="18"/>
        </w:rPr>
        <w:t>based</w:t>
      </w:r>
      <w:r>
        <w:rPr>
          <w:i/>
          <w:spacing w:val="-27"/>
          <w:sz w:val="18"/>
        </w:rPr>
        <w:t> </w:t>
      </w:r>
      <w:r>
        <w:rPr>
          <w:i/>
          <w:sz w:val="18"/>
        </w:rPr>
        <w:t>on</w:t>
      </w:r>
      <w:r>
        <w:rPr>
          <w:i/>
          <w:spacing w:val="-26"/>
          <w:sz w:val="18"/>
        </w:rPr>
        <w:t> </w:t>
      </w:r>
      <w:r>
        <w:rPr>
          <w:i/>
          <w:sz w:val="18"/>
        </w:rPr>
        <w:t>inputs</w:t>
      </w:r>
      <w:r>
        <w:rPr>
          <w:i/>
          <w:spacing w:val="-27"/>
          <w:sz w:val="18"/>
        </w:rPr>
        <w:t> </w:t>
      </w:r>
      <w:r>
        <w:rPr>
          <w:i/>
          <w:sz w:val="18"/>
        </w:rPr>
        <w:t>provided</w:t>
      </w:r>
      <w:r>
        <w:rPr>
          <w:i/>
          <w:spacing w:val="-26"/>
          <w:sz w:val="18"/>
        </w:rPr>
        <w:t> </w:t>
      </w:r>
      <w:r>
        <w:rPr>
          <w:i/>
          <w:sz w:val="18"/>
        </w:rPr>
        <w:t>by</w:t>
      </w:r>
      <w:r>
        <w:rPr>
          <w:i/>
          <w:spacing w:val="-27"/>
          <w:sz w:val="18"/>
        </w:rPr>
        <w:t> </w:t>
      </w:r>
      <w:r>
        <w:rPr>
          <w:i/>
          <w:sz w:val="18"/>
        </w:rPr>
        <w:t>the</w:t>
      </w:r>
      <w:r>
        <w:rPr>
          <w:i/>
          <w:spacing w:val="-26"/>
          <w:sz w:val="18"/>
        </w:rPr>
        <w:t> </w:t>
      </w:r>
      <w:r>
        <w:rPr>
          <w:i/>
          <w:sz w:val="18"/>
        </w:rPr>
        <w:t>Client,</w:t>
      </w:r>
      <w:r>
        <w:rPr>
          <w:i/>
          <w:spacing w:val="-26"/>
          <w:sz w:val="18"/>
        </w:rPr>
        <w:t> </w:t>
      </w:r>
      <w:r>
        <w:rPr>
          <w:i/>
          <w:sz w:val="18"/>
        </w:rPr>
        <w:t>we</w:t>
      </w:r>
      <w:r>
        <w:rPr>
          <w:i/>
          <w:spacing w:val="-26"/>
          <w:sz w:val="18"/>
        </w:rPr>
        <w:t> </w:t>
      </w:r>
      <w:r>
        <w:rPr>
          <w:i/>
          <w:sz w:val="18"/>
        </w:rPr>
        <w:t>understand</w:t>
      </w:r>
      <w:r>
        <w:rPr>
          <w:i/>
          <w:spacing w:val="-27"/>
          <w:sz w:val="18"/>
        </w:rPr>
        <w:t> </w:t>
      </w:r>
      <w:r>
        <w:rPr>
          <w:i/>
          <w:sz w:val="18"/>
        </w:rPr>
        <w:t>that</w:t>
      </w:r>
      <w:r>
        <w:rPr>
          <w:i/>
          <w:spacing w:val="-27"/>
          <w:sz w:val="18"/>
        </w:rPr>
        <w:t> </w:t>
      </w:r>
      <w:r>
        <w:rPr>
          <w:i/>
          <w:sz w:val="18"/>
        </w:rPr>
        <w:t>the</w:t>
      </w:r>
      <w:r>
        <w:rPr>
          <w:i/>
          <w:spacing w:val="-26"/>
          <w:sz w:val="18"/>
        </w:rPr>
        <w:t> </w:t>
      </w:r>
      <w:r>
        <w:rPr>
          <w:i/>
          <w:sz w:val="18"/>
        </w:rPr>
        <w:t>property</w:t>
      </w:r>
      <w:r>
        <w:rPr>
          <w:i/>
          <w:spacing w:val="-28"/>
          <w:sz w:val="18"/>
        </w:rPr>
        <w:t> </w:t>
      </w:r>
      <w:r>
        <w:rPr>
          <w:i/>
          <w:sz w:val="18"/>
        </w:rPr>
        <w:t>tax</w:t>
      </w:r>
      <w:r>
        <w:rPr>
          <w:i/>
          <w:spacing w:val="-26"/>
          <w:sz w:val="18"/>
        </w:rPr>
        <w:t> </w:t>
      </w:r>
      <w:r>
        <w:rPr>
          <w:i/>
          <w:sz w:val="18"/>
        </w:rPr>
        <w:t>is</w:t>
      </w:r>
      <w:r>
        <w:rPr>
          <w:i/>
          <w:spacing w:val="-26"/>
          <w:sz w:val="18"/>
        </w:rPr>
        <w:t> </w:t>
      </w:r>
      <w:r>
        <w:rPr>
          <w:i/>
          <w:sz w:val="18"/>
        </w:rPr>
        <w:t>paid </w:t>
      </w:r>
      <w:r>
        <w:rPr>
          <w:i/>
          <w:sz w:val="18"/>
        </w:rPr>
        <w:t>at</w:t>
      </w:r>
      <w:r>
        <w:rPr>
          <w:i/>
          <w:spacing w:val="-33"/>
          <w:sz w:val="18"/>
        </w:rPr>
        <w:t> </w:t>
      </w:r>
      <w:r>
        <w:rPr>
          <w:i/>
          <w:sz w:val="18"/>
        </w:rPr>
        <w:t>the</w:t>
      </w:r>
      <w:r>
        <w:rPr>
          <w:i/>
          <w:spacing w:val="-33"/>
          <w:sz w:val="18"/>
        </w:rPr>
        <w:t> </w:t>
      </w:r>
      <w:r>
        <w:rPr>
          <w:i/>
          <w:sz w:val="18"/>
        </w:rPr>
        <w:t>beginning</w:t>
      </w:r>
      <w:r>
        <w:rPr>
          <w:i/>
          <w:spacing w:val="-33"/>
          <w:sz w:val="18"/>
        </w:rPr>
        <w:t> </w:t>
      </w:r>
      <w:r>
        <w:rPr>
          <w:i/>
          <w:sz w:val="18"/>
        </w:rPr>
        <w:t>of</w:t>
      </w:r>
      <w:r>
        <w:rPr>
          <w:i/>
          <w:spacing w:val="-32"/>
          <w:sz w:val="18"/>
        </w:rPr>
        <w:t> </w:t>
      </w:r>
      <w:r>
        <w:rPr>
          <w:i/>
          <w:sz w:val="18"/>
        </w:rPr>
        <w:t>every</w:t>
      </w:r>
      <w:r>
        <w:rPr>
          <w:i/>
          <w:spacing w:val="-32"/>
          <w:sz w:val="18"/>
        </w:rPr>
        <w:t> </w:t>
      </w:r>
      <w:r>
        <w:rPr>
          <w:i/>
          <w:sz w:val="18"/>
        </w:rPr>
        <w:t>financial</w:t>
      </w:r>
      <w:r>
        <w:rPr>
          <w:i/>
          <w:spacing w:val="-31"/>
          <w:sz w:val="18"/>
        </w:rPr>
        <w:t> </w:t>
      </w:r>
      <w:r>
        <w:rPr>
          <w:i/>
          <w:sz w:val="18"/>
        </w:rPr>
        <w:t>year</w:t>
      </w:r>
      <w:r>
        <w:rPr>
          <w:i/>
          <w:spacing w:val="-33"/>
          <w:sz w:val="18"/>
        </w:rPr>
        <w:t> </w:t>
      </w:r>
      <w:r>
        <w:rPr>
          <w:i/>
          <w:sz w:val="18"/>
        </w:rPr>
        <w:t>wherein</w:t>
      </w:r>
      <w:r>
        <w:rPr>
          <w:i/>
          <w:spacing w:val="-31"/>
          <w:sz w:val="18"/>
        </w:rPr>
        <w:t> </w:t>
      </w:r>
      <w:r>
        <w:rPr>
          <w:i/>
          <w:sz w:val="18"/>
        </w:rPr>
        <w:t>a</w:t>
      </w:r>
      <w:r>
        <w:rPr>
          <w:i/>
          <w:spacing w:val="-33"/>
          <w:sz w:val="18"/>
        </w:rPr>
        <w:t> </w:t>
      </w:r>
      <w:r>
        <w:rPr>
          <w:i/>
          <w:sz w:val="18"/>
        </w:rPr>
        <w:t>5.0%</w:t>
      </w:r>
      <w:r>
        <w:rPr>
          <w:i/>
          <w:spacing w:val="-31"/>
          <w:sz w:val="18"/>
        </w:rPr>
        <w:t> </w:t>
      </w:r>
      <w:r>
        <w:rPr>
          <w:i/>
          <w:sz w:val="18"/>
        </w:rPr>
        <w:t>discount</w:t>
      </w:r>
      <w:r>
        <w:rPr>
          <w:i/>
          <w:spacing w:val="-32"/>
          <w:sz w:val="18"/>
        </w:rPr>
        <w:t> </w:t>
      </w:r>
      <w:r>
        <w:rPr>
          <w:i/>
          <w:sz w:val="18"/>
        </w:rPr>
        <w:t>gets</w:t>
      </w:r>
      <w:r>
        <w:rPr>
          <w:i/>
          <w:spacing w:val="-31"/>
          <w:sz w:val="18"/>
        </w:rPr>
        <w:t> </w:t>
      </w:r>
      <w:r>
        <w:rPr>
          <w:i/>
          <w:sz w:val="18"/>
        </w:rPr>
        <w:t>extended</w:t>
      </w:r>
      <w:r>
        <w:rPr>
          <w:i/>
          <w:spacing w:val="-32"/>
          <w:sz w:val="18"/>
        </w:rPr>
        <w:t> </w:t>
      </w:r>
      <w:r>
        <w:rPr>
          <w:i/>
          <w:sz w:val="18"/>
        </w:rPr>
        <w:t>vis-à-vis</w:t>
      </w:r>
      <w:r>
        <w:rPr>
          <w:i/>
          <w:spacing w:val="-32"/>
          <w:sz w:val="18"/>
        </w:rPr>
        <w:t> </w:t>
      </w:r>
      <w:r>
        <w:rPr>
          <w:i/>
          <w:sz w:val="18"/>
        </w:rPr>
        <w:t>pay-out</w:t>
      </w:r>
      <w:r>
        <w:rPr>
          <w:i/>
          <w:spacing w:val="-32"/>
          <w:sz w:val="18"/>
        </w:rPr>
        <w:t> </w:t>
      </w:r>
      <w:r>
        <w:rPr>
          <w:i/>
          <w:sz w:val="18"/>
        </w:rPr>
        <w:t>during</w:t>
      </w:r>
      <w:r>
        <w:rPr>
          <w:i/>
          <w:spacing w:val="-32"/>
          <w:sz w:val="18"/>
        </w:rPr>
        <w:t> </w:t>
      </w:r>
      <w:r>
        <w:rPr>
          <w:i/>
          <w:sz w:val="18"/>
        </w:rPr>
        <w:t>the</w:t>
      </w:r>
      <w:r>
        <w:rPr>
          <w:i/>
          <w:spacing w:val="-32"/>
          <w:sz w:val="18"/>
        </w:rPr>
        <w:t> </w:t>
      </w:r>
      <w:r>
        <w:rPr>
          <w:i/>
          <w:sz w:val="18"/>
        </w:rPr>
        <w:t>end</w:t>
      </w:r>
      <w:r>
        <w:rPr>
          <w:i/>
          <w:spacing w:val="-31"/>
          <w:sz w:val="18"/>
        </w:rPr>
        <w:t> </w:t>
      </w:r>
      <w:r>
        <w:rPr>
          <w:i/>
          <w:sz w:val="18"/>
        </w:rPr>
        <w:t>of</w:t>
      </w:r>
      <w:r>
        <w:rPr>
          <w:i/>
          <w:spacing w:val="-33"/>
          <w:sz w:val="18"/>
        </w:rPr>
        <w:t> </w:t>
      </w:r>
      <w:r>
        <w:rPr>
          <w:i/>
          <w:sz w:val="18"/>
        </w:rPr>
        <w:t>the</w:t>
      </w:r>
      <w:r>
        <w:rPr>
          <w:i/>
          <w:spacing w:val="-31"/>
          <w:sz w:val="18"/>
        </w:rPr>
        <w:t> </w:t>
      </w:r>
      <w:r>
        <w:rPr>
          <w:i/>
          <w:sz w:val="18"/>
        </w:rPr>
        <w:t>year</w:t>
      </w:r>
      <w:r>
        <w:rPr>
          <w:i/>
          <w:spacing w:val="-33"/>
          <w:sz w:val="18"/>
        </w:rPr>
        <w:t> </w:t>
      </w:r>
      <w:r>
        <w:rPr>
          <w:i/>
          <w:sz w:val="18"/>
        </w:rPr>
        <w:t>and</w:t>
      </w:r>
      <w:r>
        <w:rPr>
          <w:i/>
          <w:spacing w:val="-33"/>
          <w:sz w:val="18"/>
        </w:rPr>
        <w:t> </w:t>
      </w:r>
      <w:r>
        <w:rPr>
          <w:i/>
          <w:sz w:val="18"/>
        </w:rPr>
        <w:t>the</w:t>
      </w:r>
      <w:r>
        <w:rPr>
          <w:i/>
          <w:spacing w:val="-31"/>
          <w:sz w:val="18"/>
        </w:rPr>
        <w:t> </w:t>
      </w:r>
      <w:r>
        <w:rPr>
          <w:i/>
          <w:sz w:val="18"/>
        </w:rPr>
        <w:t>same has</w:t>
      </w:r>
      <w:r>
        <w:rPr>
          <w:i/>
          <w:spacing w:val="-15"/>
          <w:sz w:val="18"/>
        </w:rPr>
        <w:t> </w:t>
      </w:r>
      <w:r>
        <w:rPr>
          <w:i/>
          <w:sz w:val="18"/>
        </w:rPr>
        <w:t>been</w:t>
      </w:r>
      <w:r>
        <w:rPr>
          <w:i/>
          <w:spacing w:val="-15"/>
          <w:sz w:val="18"/>
        </w:rPr>
        <w:t> </w:t>
      </w:r>
      <w:r>
        <w:rPr>
          <w:i/>
          <w:sz w:val="18"/>
        </w:rPr>
        <w:t>adopted</w:t>
      </w:r>
      <w:r>
        <w:rPr>
          <w:i/>
          <w:spacing w:val="-15"/>
          <w:sz w:val="18"/>
        </w:rPr>
        <w:t> </w:t>
      </w:r>
      <w:r>
        <w:rPr>
          <w:i/>
          <w:sz w:val="18"/>
        </w:rPr>
        <w:t>for</w:t>
      </w:r>
      <w:r>
        <w:rPr>
          <w:i/>
          <w:spacing w:val="-15"/>
          <w:sz w:val="18"/>
        </w:rPr>
        <w:t> </w:t>
      </w:r>
      <w:r>
        <w:rPr>
          <w:i/>
          <w:sz w:val="18"/>
        </w:rPr>
        <w:t>the</w:t>
      </w:r>
      <w:r>
        <w:rPr>
          <w:i/>
          <w:spacing w:val="-14"/>
          <w:sz w:val="18"/>
        </w:rPr>
        <w:t> </w:t>
      </w:r>
      <w:r>
        <w:rPr>
          <w:i/>
          <w:sz w:val="18"/>
        </w:rPr>
        <w:t>purpose</w:t>
      </w:r>
      <w:r>
        <w:rPr>
          <w:i/>
          <w:spacing w:val="-14"/>
          <w:sz w:val="18"/>
        </w:rPr>
        <w:t> </w:t>
      </w:r>
      <w:r>
        <w:rPr>
          <w:i/>
          <w:sz w:val="18"/>
        </w:rPr>
        <w:t>of</w:t>
      </w:r>
      <w:r>
        <w:rPr>
          <w:i/>
          <w:spacing w:val="-14"/>
          <w:sz w:val="18"/>
        </w:rPr>
        <w:t> </w:t>
      </w:r>
      <w:r>
        <w:rPr>
          <w:i/>
          <w:sz w:val="18"/>
        </w:rPr>
        <w:t>our</w:t>
      </w:r>
      <w:r>
        <w:rPr>
          <w:i/>
          <w:spacing w:val="-14"/>
          <w:sz w:val="18"/>
        </w:rPr>
        <w:t> </w:t>
      </w:r>
      <w:r>
        <w:rPr>
          <w:i/>
          <w:sz w:val="18"/>
        </w:rPr>
        <w:t>valuation;</w:t>
      </w:r>
      <w:r>
        <w:rPr>
          <w:i/>
          <w:spacing w:val="-14"/>
          <w:sz w:val="18"/>
        </w:rPr>
        <w:t> </w:t>
      </w:r>
      <w:r>
        <w:rPr>
          <w:i/>
          <w:w w:val="160"/>
          <w:sz w:val="18"/>
        </w:rPr>
        <w:t>^</w:t>
      </w:r>
      <w:r>
        <w:rPr>
          <w:i/>
          <w:spacing w:val="-46"/>
          <w:w w:val="160"/>
          <w:sz w:val="18"/>
        </w:rPr>
        <w:t> </w:t>
      </w:r>
      <w:r>
        <w:rPr>
          <w:i/>
          <w:sz w:val="18"/>
        </w:rPr>
        <w:t>Asset</w:t>
      </w:r>
      <w:r>
        <w:rPr>
          <w:i/>
          <w:spacing w:val="-16"/>
          <w:sz w:val="18"/>
        </w:rPr>
        <w:t> </w:t>
      </w:r>
      <w:r>
        <w:rPr>
          <w:i/>
          <w:sz w:val="18"/>
        </w:rPr>
        <w:t>Management</w:t>
      </w:r>
      <w:r>
        <w:rPr>
          <w:i/>
          <w:spacing w:val="-14"/>
          <w:sz w:val="18"/>
        </w:rPr>
        <w:t> </w:t>
      </w:r>
      <w:r>
        <w:rPr>
          <w:i/>
          <w:sz w:val="18"/>
        </w:rPr>
        <w:t>fees</w:t>
      </w:r>
      <w:r>
        <w:rPr>
          <w:i/>
          <w:spacing w:val="-14"/>
          <w:sz w:val="18"/>
        </w:rPr>
        <w:t> </w:t>
      </w:r>
      <w:r>
        <w:rPr>
          <w:i/>
          <w:sz w:val="18"/>
        </w:rPr>
        <w:t>has</w:t>
      </w:r>
      <w:r>
        <w:rPr>
          <w:i/>
          <w:spacing w:val="-15"/>
          <w:sz w:val="18"/>
        </w:rPr>
        <w:t> </w:t>
      </w:r>
      <w:r>
        <w:rPr>
          <w:i/>
          <w:sz w:val="18"/>
        </w:rPr>
        <w:t>been</w:t>
      </w:r>
      <w:r>
        <w:rPr>
          <w:i/>
          <w:spacing w:val="-15"/>
          <w:sz w:val="18"/>
        </w:rPr>
        <w:t> </w:t>
      </w:r>
      <w:r>
        <w:rPr>
          <w:i/>
          <w:sz w:val="18"/>
        </w:rPr>
        <w:t>considered</w:t>
      </w:r>
      <w:r>
        <w:rPr>
          <w:i/>
          <w:spacing w:val="-14"/>
          <w:sz w:val="18"/>
        </w:rPr>
        <w:t> </w:t>
      </w:r>
      <w:r>
        <w:rPr>
          <w:i/>
          <w:sz w:val="18"/>
        </w:rPr>
        <w:t>a</w:t>
      </w:r>
      <w:r>
        <w:rPr>
          <w:i/>
          <w:spacing w:val="-15"/>
          <w:sz w:val="18"/>
        </w:rPr>
        <w:t> </w:t>
      </w:r>
      <w:r>
        <w:rPr>
          <w:i/>
          <w:sz w:val="18"/>
        </w:rPr>
        <w:t>below</w:t>
      </w:r>
      <w:r>
        <w:rPr>
          <w:i/>
          <w:spacing w:val="-14"/>
          <w:sz w:val="18"/>
        </w:rPr>
        <w:t> </w:t>
      </w:r>
      <w:r>
        <w:rPr>
          <w:i/>
          <w:sz w:val="18"/>
        </w:rPr>
        <w:t>the</w:t>
      </w:r>
      <w:r>
        <w:rPr>
          <w:i/>
          <w:spacing w:val="-13"/>
          <w:sz w:val="18"/>
        </w:rPr>
        <w:t> </w:t>
      </w:r>
      <w:r>
        <w:rPr>
          <w:i/>
          <w:sz w:val="18"/>
        </w:rPr>
        <w:t>NOI</w:t>
      </w:r>
      <w:r>
        <w:rPr>
          <w:i/>
          <w:spacing w:val="-14"/>
          <w:sz w:val="18"/>
        </w:rPr>
        <w:t> </w:t>
      </w:r>
      <w:r>
        <w:rPr>
          <w:i/>
          <w:sz w:val="18"/>
        </w:rPr>
        <w:t>line</w:t>
      </w:r>
      <w:r>
        <w:rPr>
          <w:i/>
          <w:spacing w:val="-15"/>
          <w:sz w:val="18"/>
        </w:rPr>
        <w:t> </w:t>
      </w:r>
      <w:r>
        <w:rPr>
          <w:i/>
          <w:sz w:val="18"/>
        </w:rPr>
        <w:t>item.</w:t>
      </w:r>
    </w:p>
    <w:p>
      <w:pPr>
        <w:pStyle w:val="BodyText"/>
        <w:rPr>
          <w:i/>
          <w:sz w:val="21"/>
        </w:rPr>
      </w:pPr>
    </w:p>
    <w:p>
      <w:pPr>
        <w:pStyle w:val="ListParagraph"/>
        <w:numPr>
          <w:ilvl w:val="2"/>
          <w:numId w:val="14"/>
        </w:numPr>
        <w:tabs>
          <w:tab w:pos="961" w:val="left" w:leader="none"/>
        </w:tabs>
        <w:spacing w:line="240" w:lineRule="auto" w:before="0" w:after="0"/>
        <w:ind w:left="960" w:right="0" w:hanging="721"/>
        <w:jc w:val="both"/>
        <w:rPr>
          <w:sz w:val="22"/>
        </w:rPr>
      </w:pPr>
      <w:bookmarkStart w:name="_bookmark320" w:id="625"/>
      <w:bookmarkEnd w:id="625"/>
      <w:r>
        <w:rPr/>
      </w:r>
      <w:bookmarkStart w:name="_bookmark320" w:id="626"/>
      <w:bookmarkEnd w:id="626"/>
      <w:r>
        <w:rPr>
          <w:color w:val="1F664D"/>
          <w:w w:val="105"/>
          <w:sz w:val="22"/>
        </w:rPr>
        <w:t>O</w:t>
      </w:r>
      <w:r>
        <w:rPr>
          <w:color w:val="1F664D"/>
          <w:w w:val="105"/>
          <w:sz w:val="22"/>
        </w:rPr>
        <w:t>ther</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83"/>
        </w:numPr>
        <w:tabs>
          <w:tab w:pos="1105" w:val="left" w:leader="none"/>
        </w:tabs>
        <w:spacing w:line="240" w:lineRule="auto" w:before="0" w:after="0"/>
        <w:ind w:left="1104" w:right="0" w:hanging="865"/>
        <w:jc w:val="both"/>
        <w:rPr>
          <w:i/>
          <w:sz w:val="20"/>
        </w:rPr>
      </w:pPr>
      <w:r>
        <w:rPr>
          <w:i/>
          <w:color w:val="008000"/>
          <w:sz w:val="20"/>
        </w:rPr>
        <w:t>Vacancy</w:t>
      </w:r>
      <w:r>
        <w:rPr>
          <w:i/>
          <w:color w:val="008000"/>
          <w:spacing w:val="-4"/>
          <w:sz w:val="20"/>
        </w:rPr>
        <w:t> </w:t>
      </w:r>
      <w:r>
        <w:rPr>
          <w:i/>
          <w:color w:val="008000"/>
          <w:sz w:val="20"/>
        </w:rPr>
        <w:t>provision</w:t>
      </w:r>
    </w:p>
    <w:p>
      <w:pPr>
        <w:pStyle w:val="BodyText"/>
        <w:spacing w:line="321" w:lineRule="auto" w:before="76"/>
        <w:ind w:left="780" w:right="233"/>
        <w:jc w:val="both"/>
      </w:pPr>
      <w:r>
        <w:rPr/>
        <w:t>Based on the prevailing market benchmarks, a vacancy provision of 2.5% has been adopted upon assessment of terminal value</w:t>
      </w:r>
    </w:p>
    <w:p>
      <w:pPr>
        <w:pStyle w:val="BodyText"/>
        <w:spacing w:before="1"/>
        <w:rPr>
          <w:sz w:val="23"/>
        </w:rPr>
      </w:pPr>
    </w:p>
    <w:p>
      <w:pPr>
        <w:pStyle w:val="ListParagraph"/>
        <w:numPr>
          <w:ilvl w:val="3"/>
          <w:numId w:val="83"/>
        </w:numPr>
        <w:tabs>
          <w:tab w:pos="1105" w:val="left" w:leader="none"/>
        </w:tabs>
        <w:spacing w:line="240" w:lineRule="auto" w:before="0" w:after="0"/>
        <w:ind w:left="1104" w:right="0" w:hanging="865"/>
        <w:jc w:val="both"/>
        <w:rPr>
          <w:i/>
          <w:sz w:val="20"/>
        </w:rPr>
      </w:pPr>
      <w:r>
        <w:rPr>
          <w:i/>
          <w:color w:val="008000"/>
          <w:sz w:val="20"/>
        </w:rPr>
        <w:t>Revenue</w:t>
      </w:r>
      <w:r>
        <w:rPr>
          <w:i/>
          <w:color w:val="008000"/>
          <w:spacing w:val="-4"/>
          <w:sz w:val="20"/>
        </w:rPr>
        <w:t> </w:t>
      </w:r>
      <w:r>
        <w:rPr>
          <w:i/>
          <w:color w:val="008000"/>
          <w:sz w:val="20"/>
        </w:rPr>
        <w:t>escalation</w:t>
      </w:r>
    </w:p>
    <w:p>
      <w:pPr>
        <w:pStyle w:val="BodyText"/>
        <w:spacing w:line="321" w:lineRule="auto" w:before="76"/>
        <w:ind w:left="780" w:right="239"/>
        <w:jc w:val="both"/>
      </w:pPr>
      <w:r>
        <w:rPr/>
        <w:t>Based</w:t>
      </w:r>
      <w:r>
        <w:rPr>
          <w:spacing w:val="-17"/>
        </w:rPr>
        <w:t> </w:t>
      </w:r>
      <w:r>
        <w:rPr/>
        <w:t>on</w:t>
      </w:r>
      <w:r>
        <w:rPr>
          <w:spacing w:val="-16"/>
        </w:rPr>
        <w:t> </w:t>
      </w:r>
      <w:r>
        <w:rPr/>
        <w:t>prevailing</w:t>
      </w:r>
      <w:r>
        <w:rPr>
          <w:spacing w:val="-15"/>
        </w:rPr>
        <w:t> </w:t>
      </w:r>
      <w:r>
        <w:rPr/>
        <w:t>market</w:t>
      </w:r>
      <w:r>
        <w:rPr>
          <w:spacing w:val="-15"/>
        </w:rPr>
        <w:t> </w:t>
      </w:r>
      <w:r>
        <w:rPr/>
        <w:t>condition,</w:t>
      </w:r>
      <w:r>
        <w:rPr>
          <w:spacing w:val="-16"/>
        </w:rPr>
        <w:t> </w:t>
      </w:r>
      <w:r>
        <w:rPr/>
        <w:t>historical</w:t>
      </w:r>
      <w:r>
        <w:rPr>
          <w:spacing w:val="-16"/>
        </w:rPr>
        <w:t> </w:t>
      </w:r>
      <w:r>
        <w:rPr/>
        <w:t>rent</w:t>
      </w:r>
      <w:r>
        <w:rPr>
          <w:spacing w:val="-16"/>
        </w:rPr>
        <w:t> </w:t>
      </w:r>
      <w:r>
        <w:rPr/>
        <w:t>growth</w:t>
      </w:r>
      <w:r>
        <w:rPr>
          <w:spacing w:val="-15"/>
        </w:rPr>
        <w:t> </w:t>
      </w:r>
      <w:r>
        <w:rPr/>
        <w:t>achieved</w:t>
      </w:r>
      <w:r>
        <w:rPr>
          <w:spacing w:val="-17"/>
        </w:rPr>
        <w:t> </w:t>
      </w:r>
      <w:r>
        <w:rPr/>
        <w:t>by</w:t>
      </w:r>
      <w:r>
        <w:rPr>
          <w:spacing w:val="-16"/>
        </w:rPr>
        <w:t> </w:t>
      </w:r>
      <w:r>
        <w:rPr/>
        <w:t>the</w:t>
      </w:r>
      <w:r>
        <w:rPr>
          <w:spacing w:val="-16"/>
        </w:rPr>
        <w:t> </w:t>
      </w:r>
      <w:r>
        <w:rPr/>
        <w:t>subject</w:t>
      </w:r>
      <w:r>
        <w:rPr>
          <w:spacing w:val="-17"/>
        </w:rPr>
        <w:t> </w:t>
      </w:r>
      <w:r>
        <w:rPr/>
        <w:t>property</w:t>
      </w:r>
      <w:r>
        <w:rPr>
          <w:spacing w:val="-16"/>
        </w:rPr>
        <w:t> </w:t>
      </w:r>
      <w:r>
        <w:rPr/>
        <w:t>and</w:t>
      </w:r>
      <w:r>
        <w:rPr>
          <w:spacing w:val="-17"/>
        </w:rPr>
        <w:t> </w:t>
      </w:r>
      <w:r>
        <w:rPr/>
        <w:t>our interactions</w:t>
      </w:r>
      <w:r>
        <w:rPr>
          <w:spacing w:val="-31"/>
        </w:rPr>
        <w:t> </w:t>
      </w:r>
      <w:r>
        <w:rPr/>
        <w:t>with</w:t>
      </w:r>
      <w:r>
        <w:rPr>
          <w:spacing w:val="-32"/>
        </w:rPr>
        <w:t> </w:t>
      </w:r>
      <w:r>
        <w:rPr/>
        <w:t>market</w:t>
      </w:r>
      <w:r>
        <w:rPr>
          <w:spacing w:val="-32"/>
        </w:rPr>
        <w:t> </w:t>
      </w:r>
      <w:r>
        <w:rPr/>
        <w:t>participants,</w:t>
      </w:r>
      <w:r>
        <w:rPr>
          <w:spacing w:val="-30"/>
        </w:rPr>
        <w:t> </w:t>
      </w:r>
      <w:r>
        <w:rPr/>
        <w:t>Valuer</w:t>
      </w:r>
      <w:r>
        <w:rPr>
          <w:spacing w:val="-31"/>
        </w:rPr>
        <w:t> </w:t>
      </w:r>
      <w:r>
        <w:rPr/>
        <w:t>is</w:t>
      </w:r>
      <w:r>
        <w:rPr>
          <w:spacing w:val="-31"/>
        </w:rPr>
        <w:t> </w:t>
      </w:r>
      <w:r>
        <w:rPr/>
        <w:t>of</w:t>
      </w:r>
      <w:r>
        <w:rPr>
          <w:spacing w:val="-32"/>
        </w:rPr>
        <w:t> </w:t>
      </w:r>
      <w:r>
        <w:rPr/>
        <w:t>the</w:t>
      </w:r>
      <w:r>
        <w:rPr>
          <w:spacing w:val="-31"/>
        </w:rPr>
        <w:t> </w:t>
      </w:r>
      <w:r>
        <w:rPr/>
        <w:t>option</w:t>
      </w:r>
      <w:r>
        <w:rPr>
          <w:spacing w:val="-31"/>
        </w:rPr>
        <w:t> </w:t>
      </w:r>
      <w:r>
        <w:rPr/>
        <w:t>that</w:t>
      </w:r>
      <w:r>
        <w:rPr>
          <w:spacing w:val="-31"/>
        </w:rPr>
        <w:t> </w:t>
      </w:r>
      <w:r>
        <w:rPr/>
        <w:t>the</w:t>
      </w:r>
      <w:r>
        <w:rPr>
          <w:spacing w:val="-31"/>
        </w:rPr>
        <w:t> </w:t>
      </w:r>
      <w:r>
        <w:rPr/>
        <w:t>annual</w:t>
      </w:r>
      <w:r>
        <w:rPr>
          <w:spacing w:val="-31"/>
        </w:rPr>
        <w:t> </w:t>
      </w:r>
      <w:r>
        <w:rPr/>
        <w:t>rent</w:t>
      </w:r>
      <w:r>
        <w:rPr>
          <w:spacing w:val="-31"/>
        </w:rPr>
        <w:t> </w:t>
      </w:r>
      <w:r>
        <w:rPr/>
        <w:t>growth</w:t>
      </w:r>
      <w:r>
        <w:rPr>
          <w:spacing w:val="-32"/>
        </w:rPr>
        <w:t> </w:t>
      </w:r>
      <w:r>
        <w:rPr/>
        <w:t>for</w:t>
      </w:r>
      <w:r>
        <w:rPr>
          <w:spacing w:val="-31"/>
        </w:rPr>
        <w:t> </w:t>
      </w:r>
      <w:r>
        <w:rPr/>
        <w:t>the</w:t>
      </w:r>
      <w:r>
        <w:rPr>
          <w:spacing w:val="-33"/>
        </w:rPr>
        <w:t> </w:t>
      </w:r>
      <w:r>
        <w:rPr/>
        <w:t>subject property</w:t>
      </w:r>
      <w:r>
        <w:rPr>
          <w:spacing w:val="-6"/>
        </w:rPr>
        <w:t> </w:t>
      </w:r>
      <w:r>
        <w:rPr/>
        <w:t>will</w:t>
      </w:r>
      <w:r>
        <w:rPr>
          <w:spacing w:val="-5"/>
        </w:rPr>
        <w:t> </w:t>
      </w:r>
      <w:r>
        <w:rPr/>
        <w:t>be</w:t>
      </w:r>
      <w:r>
        <w:rPr>
          <w:spacing w:val="-4"/>
        </w:rPr>
        <w:t> </w:t>
      </w:r>
      <w:r>
        <w:rPr/>
        <w:t>2.5%</w:t>
      </w:r>
      <w:r>
        <w:rPr>
          <w:spacing w:val="-4"/>
        </w:rPr>
        <w:t> </w:t>
      </w:r>
      <w:r>
        <w:rPr/>
        <w:t>till</w:t>
      </w:r>
      <w:r>
        <w:rPr>
          <w:spacing w:val="-5"/>
        </w:rPr>
        <w:t> </w:t>
      </w:r>
      <w:r>
        <w:rPr/>
        <w:t>Q3,</w:t>
      </w:r>
      <w:r>
        <w:rPr>
          <w:spacing w:val="-4"/>
        </w:rPr>
        <w:t> </w:t>
      </w:r>
      <w:r>
        <w:rPr/>
        <w:t>FY</w:t>
      </w:r>
      <w:r>
        <w:rPr>
          <w:spacing w:val="-3"/>
        </w:rPr>
        <w:t> </w:t>
      </w:r>
      <w:r>
        <w:rPr/>
        <w:t>2021</w:t>
      </w:r>
      <w:r>
        <w:rPr>
          <w:spacing w:val="-5"/>
        </w:rPr>
        <w:t> </w:t>
      </w:r>
      <w:r>
        <w:rPr/>
        <w:t>and</w:t>
      </w:r>
      <w:r>
        <w:rPr>
          <w:spacing w:val="-4"/>
        </w:rPr>
        <w:t> </w:t>
      </w:r>
      <w:r>
        <w:rPr/>
        <w:t>then</w:t>
      </w:r>
      <w:r>
        <w:rPr>
          <w:spacing w:val="-7"/>
        </w:rPr>
        <w:t> </w:t>
      </w:r>
      <w:r>
        <w:rPr/>
        <w:t>stabilize</w:t>
      </w:r>
      <w:r>
        <w:rPr>
          <w:spacing w:val="-5"/>
        </w:rPr>
        <w:t> </w:t>
      </w:r>
      <w:r>
        <w:rPr/>
        <w:t>at</w:t>
      </w:r>
      <w:r>
        <w:rPr>
          <w:spacing w:val="-5"/>
        </w:rPr>
        <w:t> </w:t>
      </w:r>
      <w:r>
        <w:rPr/>
        <w:t>5.0%</w:t>
      </w:r>
      <w:r>
        <w:rPr>
          <w:spacing w:val="-4"/>
        </w:rPr>
        <w:t> </w:t>
      </w:r>
      <w:r>
        <w:rPr/>
        <w:t>going</w:t>
      </w:r>
      <w:r>
        <w:rPr>
          <w:spacing w:val="-6"/>
        </w:rPr>
        <w:t> </w:t>
      </w:r>
      <w:r>
        <w:rPr/>
        <w:t>forward.</w:t>
      </w:r>
    </w:p>
    <w:p>
      <w:pPr>
        <w:spacing w:after="0" w:line="321" w:lineRule="auto"/>
        <w:jc w:val="both"/>
        <w:sectPr>
          <w:type w:val="continuous"/>
          <w:pgSz w:w="11910" w:h="16840"/>
          <w:pgMar w:top="800" w:bottom="280" w:left="480" w:right="480"/>
        </w:sectPr>
      </w:pPr>
    </w:p>
    <w:p>
      <w:pPr>
        <w:pStyle w:val="BodyText"/>
        <w:spacing w:before="1"/>
        <w:rPr>
          <w:sz w:val="12"/>
        </w:rPr>
      </w:pPr>
    </w:p>
    <w:p>
      <w:pPr>
        <w:pStyle w:val="ListParagraph"/>
        <w:numPr>
          <w:ilvl w:val="3"/>
          <w:numId w:val="83"/>
        </w:numPr>
        <w:tabs>
          <w:tab w:pos="1105" w:val="left" w:leader="none"/>
        </w:tabs>
        <w:spacing w:line="240" w:lineRule="auto" w:before="106" w:after="0"/>
        <w:ind w:left="1104" w:right="0" w:hanging="865"/>
        <w:jc w:val="left"/>
        <w:rPr>
          <w:i/>
          <w:sz w:val="20"/>
        </w:rPr>
      </w:pPr>
      <w:r>
        <w:rPr>
          <w:i/>
          <w:color w:val="008000"/>
          <w:sz w:val="20"/>
        </w:rPr>
        <w:t>Rent </w:t>
      </w:r>
      <w:r>
        <w:rPr>
          <w:i/>
          <w:color w:val="008000"/>
          <w:w w:val="105"/>
          <w:sz w:val="20"/>
        </w:rPr>
        <w:t>– </w:t>
      </w:r>
      <w:r>
        <w:rPr>
          <w:i/>
          <w:color w:val="008000"/>
          <w:sz w:val="20"/>
        </w:rPr>
        <w:t>free</w:t>
      </w:r>
      <w:r>
        <w:rPr>
          <w:i/>
          <w:color w:val="008000"/>
          <w:spacing w:val="-13"/>
          <w:sz w:val="20"/>
        </w:rPr>
        <w:t> </w:t>
      </w:r>
      <w:r>
        <w:rPr>
          <w:i/>
          <w:color w:val="008000"/>
          <w:sz w:val="20"/>
        </w:rPr>
        <w:t>period</w:t>
      </w:r>
    </w:p>
    <w:p>
      <w:pPr>
        <w:pStyle w:val="BodyText"/>
        <w:spacing w:line="321" w:lineRule="auto" w:before="76"/>
        <w:ind w:left="780" w:right="234"/>
        <w:jc w:val="both"/>
      </w:pPr>
      <w:r>
        <w:rPr/>
        <w:t>Based on the trend prevalent in the subject sub market, we have considered a rent free period of 3 months for the subject property from the lease commencement date (for future / new leases)</w:t>
      </w:r>
    </w:p>
    <w:p>
      <w:pPr>
        <w:pStyle w:val="BodyText"/>
        <w:spacing w:before="3"/>
        <w:rPr>
          <w:sz w:val="23"/>
        </w:rPr>
      </w:pPr>
    </w:p>
    <w:p>
      <w:pPr>
        <w:pStyle w:val="ListParagraph"/>
        <w:numPr>
          <w:ilvl w:val="3"/>
          <w:numId w:val="83"/>
        </w:numPr>
        <w:tabs>
          <w:tab w:pos="1105" w:val="left" w:leader="none"/>
        </w:tabs>
        <w:spacing w:line="240" w:lineRule="auto" w:before="1" w:after="0"/>
        <w:ind w:left="1104" w:right="0" w:hanging="865"/>
        <w:jc w:val="left"/>
        <w:rPr>
          <w:i/>
          <w:sz w:val="20"/>
        </w:rPr>
      </w:pPr>
      <w:r>
        <w:rPr>
          <w:i/>
          <w:color w:val="008000"/>
          <w:sz w:val="20"/>
        </w:rPr>
        <w:t>Brokerage</w:t>
      </w:r>
    </w:p>
    <w:p>
      <w:pPr>
        <w:pStyle w:val="BodyText"/>
        <w:spacing w:line="319" w:lineRule="auto" w:before="75"/>
        <w:ind w:left="780" w:right="233"/>
        <w:jc w:val="both"/>
      </w:pPr>
      <w:r>
        <w:rPr/>
        <w:t>Based</w:t>
      </w:r>
      <w:r>
        <w:rPr>
          <w:spacing w:val="-4"/>
        </w:rPr>
        <w:t> </w:t>
      </w:r>
      <w:r>
        <w:rPr/>
        <w:t>on</w:t>
      </w:r>
      <w:r>
        <w:rPr>
          <w:spacing w:val="-5"/>
        </w:rPr>
        <w:t> </w:t>
      </w:r>
      <w:r>
        <w:rPr/>
        <w:t>prevalent</w:t>
      </w:r>
      <w:r>
        <w:rPr>
          <w:spacing w:val="-5"/>
        </w:rPr>
        <w:t> </w:t>
      </w:r>
      <w:r>
        <w:rPr/>
        <w:t>market</w:t>
      </w:r>
      <w:r>
        <w:rPr>
          <w:spacing w:val="-4"/>
        </w:rPr>
        <w:t> </w:t>
      </w:r>
      <w:r>
        <w:rPr/>
        <w:t>dynamics,</w:t>
      </w:r>
      <w:r>
        <w:rPr>
          <w:spacing w:val="-7"/>
        </w:rPr>
        <w:t> </w:t>
      </w:r>
      <w:r>
        <w:rPr/>
        <w:t>we</w:t>
      </w:r>
      <w:r>
        <w:rPr>
          <w:spacing w:val="-5"/>
        </w:rPr>
        <w:t> </w:t>
      </w:r>
      <w:r>
        <w:rPr/>
        <w:t>have</w:t>
      </w:r>
      <w:r>
        <w:rPr>
          <w:spacing w:val="-5"/>
        </w:rPr>
        <w:t> </w:t>
      </w:r>
      <w:r>
        <w:rPr/>
        <w:t>considered</w:t>
      </w:r>
      <w:r>
        <w:rPr>
          <w:spacing w:val="-4"/>
        </w:rPr>
        <w:t> </w:t>
      </w:r>
      <w:r>
        <w:rPr/>
        <w:t>brokerage</w:t>
      </w:r>
      <w:r>
        <w:rPr>
          <w:spacing w:val="-5"/>
        </w:rPr>
        <w:t> </w:t>
      </w:r>
      <w:r>
        <w:rPr/>
        <w:t>equivalent</w:t>
      </w:r>
      <w:r>
        <w:rPr>
          <w:spacing w:val="-5"/>
        </w:rPr>
        <w:t> </w:t>
      </w:r>
      <w:r>
        <w:rPr/>
        <w:t>to</w:t>
      </w:r>
      <w:r>
        <w:rPr>
          <w:spacing w:val="1"/>
        </w:rPr>
        <w:t> </w:t>
      </w:r>
      <w:r>
        <w:rPr/>
        <w:t>2</w:t>
      </w:r>
      <w:r>
        <w:rPr>
          <w:spacing w:val="-4"/>
        </w:rPr>
        <w:t> </w:t>
      </w:r>
      <w:r>
        <w:rPr/>
        <w:t>month</w:t>
      </w:r>
      <w:r>
        <w:rPr>
          <w:spacing w:val="-5"/>
        </w:rPr>
        <w:t> </w:t>
      </w:r>
      <w:r>
        <w:rPr/>
        <w:t>of</w:t>
      </w:r>
      <w:r>
        <w:rPr>
          <w:spacing w:val="-4"/>
        </w:rPr>
        <w:t> </w:t>
      </w:r>
      <w:r>
        <w:rPr/>
        <w:t>rental income for future / new</w:t>
      </w:r>
      <w:r>
        <w:rPr>
          <w:spacing w:val="-18"/>
        </w:rPr>
        <w:t> </w:t>
      </w:r>
      <w:r>
        <w:rPr/>
        <w:t>leases</w:t>
      </w:r>
    </w:p>
    <w:p>
      <w:pPr>
        <w:pStyle w:val="BodyText"/>
        <w:spacing w:before="6"/>
        <w:rPr>
          <w:sz w:val="23"/>
        </w:rPr>
      </w:pPr>
    </w:p>
    <w:p>
      <w:pPr>
        <w:pStyle w:val="ListParagraph"/>
        <w:numPr>
          <w:ilvl w:val="3"/>
          <w:numId w:val="83"/>
        </w:numPr>
        <w:tabs>
          <w:tab w:pos="1105" w:val="left" w:leader="none"/>
        </w:tabs>
        <w:spacing w:line="240" w:lineRule="auto" w:before="1" w:after="0"/>
        <w:ind w:left="1104" w:right="0" w:hanging="865"/>
        <w:jc w:val="left"/>
        <w:rPr>
          <w:i/>
          <w:sz w:val="20"/>
        </w:rPr>
      </w:pPr>
      <w:r>
        <w:rPr>
          <w:i/>
          <w:color w:val="008000"/>
          <w:sz w:val="20"/>
        </w:rPr>
        <w:t>CAM under</w:t>
      </w:r>
      <w:r>
        <w:rPr>
          <w:i/>
          <w:color w:val="008000"/>
          <w:spacing w:val="-8"/>
          <w:sz w:val="20"/>
        </w:rPr>
        <w:t> </w:t>
      </w:r>
      <w:r>
        <w:rPr>
          <w:i/>
          <w:color w:val="008000"/>
          <w:sz w:val="20"/>
        </w:rPr>
        <w:t>recoveries</w:t>
      </w:r>
    </w:p>
    <w:p>
      <w:pPr>
        <w:pStyle w:val="BodyText"/>
        <w:spacing w:before="76"/>
        <w:ind w:left="780"/>
      </w:pPr>
      <w:r>
        <w:rPr/>
        <w:t>We</w:t>
      </w:r>
      <w:r>
        <w:rPr>
          <w:spacing w:val="-20"/>
        </w:rPr>
        <w:t> </w:t>
      </w:r>
      <w:r>
        <w:rPr/>
        <w:t>have</w:t>
      </w:r>
      <w:r>
        <w:rPr>
          <w:spacing w:val="-19"/>
        </w:rPr>
        <w:t> </w:t>
      </w:r>
      <w:r>
        <w:rPr/>
        <w:t>highlighted</w:t>
      </w:r>
      <w:r>
        <w:rPr>
          <w:spacing w:val="-19"/>
        </w:rPr>
        <w:t> </w:t>
      </w:r>
      <w:r>
        <w:rPr/>
        <w:t>expense</w:t>
      </w:r>
      <w:r>
        <w:rPr>
          <w:spacing w:val="-19"/>
        </w:rPr>
        <w:t> </w:t>
      </w:r>
      <w:r>
        <w:rPr/>
        <w:t>towards</w:t>
      </w:r>
      <w:r>
        <w:rPr>
          <w:spacing w:val="-20"/>
        </w:rPr>
        <w:t> </w:t>
      </w:r>
      <w:r>
        <w:rPr/>
        <w:t>maintenance</w:t>
      </w:r>
      <w:r>
        <w:rPr>
          <w:spacing w:val="-19"/>
        </w:rPr>
        <w:t> </w:t>
      </w:r>
      <w:r>
        <w:rPr/>
        <w:t>as</w:t>
      </w:r>
      <w:r>
        <w:rPr>
          <w:spacing w:val="-21"/>
        </w:rPr>
        <w:t> </w:t>
      </w:r>
      <w:r>
        <w:rPr/>
        <w:t>CAM</w:t>
      </w:r>
      <w:r>
        <w:rPr>
          <w:spacing w:val="-19"/>
        </w:rPr>
        <w:t> </w:t>
      </w:r>
      <w:r>
        <w:rPr/>
        <w:t>under</w:t>
      </w:r>
      <w:r>
        <w:rPr>
          <w:spacing w:val="-22"/>
        </w:rPr>
        <w:t> </w:t>
      </w:r>
      <w:r>
        <w:rPr/>
        <w:t>recoveries</w:t>
      </w:r>
      <w:r>
        <w:rPr>
          <w:spacing w:val="-18"/>
        </w:rPr>
        <w:t> </w:t>
      </w:r>
      <w:r>
        <w:rPr/>
        <w:t>for</w:t>
      </w:r>
      <w:r>
        <w:rPr>
          <w:spacing w:val="-22"/>
        </w:rPr>
        <w:t> </w:t>
      </w:r>
      <w:r>
        <w:rPr/>
        <w:t>months</w:t>
      </w:r>
      <w:r>
        <w:rPr>
          <w:spacing w:val="-20"/>
        </w:rPr>
        <w:t> </w:t>
      </w:r>
      <w:r>
        <w:rPr/>
        <w:t>when</w:t>
      </w:r>
      <w:r>
        <w:rPr>
          <w:spacing w:val="-22"/>
        </w:rPr>
        <w:t> </w:t>
      </w:r>
      <w:r>
        <w:rPr/>
        <w:t>no</w:t>
      </w:r>
      <w:r>
        <w:rPr>
          <w:spacing w:val="-20"/>
        </w:rPr>
        <w:t> </w:t>
      </w:r>
      <w:r>
        <w:rPr/>
        <w:t>rental</w:t>
      </w:r>
    </w:p>
    <w:p>
      <w:pPr>
        <w:pStyle w:val="BodyText"/>
        <w:spacing w:before="88"/>
        <w:ind w:left="780"/>
      </w:pPr>
      <w:r>
        <w:rPr/>
        <w:t>/ CAM income is received</w:t>
      </w:r>
    </w:p>
    <w:p>
      <w:pPr>
        <w:pStyle w:val="BodyText"/>
        <w:spacing w:before="2"/>
        <w:rPr>
          <w:sz w:val="28"/>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21" w:id="627"/>
      <w:bookmarkEnd w:id="627"/>
      <w:r>
        <w:rPr/>
      </w:r>
      <w:bookmarkStart w:name="_bookmark321" w:id="628"/>
      <w:bookmarkEnd w:id="628"/>
      <w:r>
        <w:rPr>
          <w:color w:val="1F664D"/>
          <w:sz w:val="22"/>
        </w:rPr>
        <w:t>Ca</w:t>
      </w:r>
      <w:r>
        <w:rPr>
          <w:color w:val="1F664D"/>
          <w:sz w:val="22"/>
        </w:rPr>
        <w:t>pitalization</w:t>
      </w:r>
      <w:r>
        <w:rPr>
          <w:color w:val="1F664D"/>
          <w:spacing w:val="-2"/>
          <w:sz w:val="22"/>
        </w:rPr>
        <w:t> </w:t>
      </w:r>
      <w:r>
        <w:rPr>
          <w:color w:val="1F664D"/>
          <w:sz w:val="22"/>
        </w:rPr>
        <w:t>Rates</w:t>
      </w:r>
    </w:p>
    <w:p>
      <w:pPr>
        <w:pStyle w:val="BodyText"/>
        <w:spacing w:before="208"/>
        <w:ind w:left="871"/>
      </w:pPr>
      <w:r>
        <w:rPr/>
        <w:t>As highlighted in section 3.3, the cap rate adopted for the office space is 8%.</w:t>
      </w:r>
    </w:p>
    <w:p>
      <w:pPr>
        <w:pStyle w:val="BodyText"/>
        <w:spacing w:before="2"/>
        <w:rPr>
          <w:sz w:val="28"/>
        </w:rPr>
      </w:pPr>
    </w:p>
    <w:p>
      <w:pPr>
        <w:pStyle w:val="ListParagraph"/>
        <w:numPr>
          <w:ilvl w:val="2"/>
          <w:numId w:val="14"/>
        </w:numPr>
        <w:tabs>
          <w:tab w:pos="961" w:val="left" w:leader="none"/>
        </w:tabs>
        <w:spacing w:line="240" w:lineRule="auto" w:before="1" w:after="0"/>
        <w:ind w:left="960" w:right="0" w:hanging="721"/>
        <w:jc w:val="left"/>
        <w:rPr>
          <w:sz w:val="22"/>
        </w:rPr>
      </w:pPr>
      <w:bookmarkStart w:name="_bookmark322" w:id="629"/>
      <w:bookmarkEnd w:id="629"/>
      <w:r>
        <w:rPr/>
      </w:r>
      <w:bookmarkStart w:name="_bookmark322" w:id="630"/>
      <w:bookmarkEnd w:id="630"/>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5"/>
        <w:ind w:left="871" w:right="235"/>
        <w:jc w:val="both"/>
      </w:pPr>
      <w:r>
        <w:rPr/>
        <w:t>For</w:t>
      </w:r>
      <w:r>
        <w:rPr>
          <w:spacing w:val="-6"/>
        </w:rPr>
        <w:t> </w:t>
      </w:r>
      <w:r>
        <w:rPr/>
        <w:t>discounting</w:t>
      </w:r>
      <w:r>
        <w:rPr>
          <w:spacing w:val="-5"/>
        </w:rPr>
        <w:t> </w:t>
      </w:r>
      <w:r>
        <w:rPr/>
        <w:t>the</w:t>
      </w:r>
      <w:r>
        <w:rPr>
          <w:spacing w:val="-6"/>
        </w:rPr>
        <w:t> </w:t>
      </w:r>
      <w:r>
        <w:rPr/>
        <w:t>cash</w:t>
      </w:r>
      <w:r>
        <w:rPr>
          <w:spacing w:val="-7"/>
        </w:rPr>
        <w:t> </w:t>
      </w:r>
      <w:r>
        <w:rPr/>
        <w:t>flows,</w:t>
      </w:r>
      <w:r>
        <w:rPr>
          <w:spacing w:val="-5"/>
        </w:rPr>
        <w:t> </w:t>
      </w:r>
      <w:r>
        <w:rPr/>
        <w:t>the</w:t>
      </w:r>
      <w:r>
        <w:rPr>
          <w:spacing w:val="-6"/>
        </w:rPr>
        <w:t> </w:t>
      </w:r>
      <w:r>
        <w:rPr/>
        <w:t>appropriate</w:t>
      </w:r>
      <w:r>
        <w:rPr>
          <w:spacing w:val="-5"/>
        </w:rPr>
        <w:t> </w:t>
      </w:r>
      <w:r>
        <w:rPr/>
        <w:t>discounting</w:t>
      </w:r>
      <w:r>
        <w:rPr>
          <w:spacing w:val="-4"/>
        </w:rPr>
        <w:t> </w:t>
      </w:r>
      <w:r>
        <w:rPr/>
        <w:t>rate</w:t>
      </w:r>
      <w:r>
        <w:rPr>
          <w:spacing w:val="-6"/>
        </w:rPr>
        <w:t> </w:t>
      </w:r>
      <w:r>
        <w:rPr/>
        <w:t>has</w:t>
      </w:r>
      <w:r>
        <w:rPr>
          <w:spacing w:val="-4"/>
        </w:rPr>
        <w:t> </w:t>
      </w:r>
      <w:r>
        <w:rPr/>
        <w:t>been</w:t>
      </w:r>
      <w:r>
        <w:rPr>
          <w:spacing w:val="-6"/>
        </w:rPr>
        <w:t> </w:t>
      </w:r>
      <w:r>
        <w:rPr/>
        <w:t>calculated</w:t>
      </w:r>
      <w:r>
        <w:rPr>
          <w:spacing w:val="-4"/>
        </w:rPr>
        <w:t> </w:t>
      </w:r>
      <w:r>
        <w:rPr/>
        <w:t>on</w:t>
      </w:r>
      <w:r>
        <w:rPr>
          <w:spacing w:val="-6"/>
        </w:rPr>
        <w:t> </w:t>
      </w:r>
      <w:r>
        <w:rPr/>
        <w:t>the</w:t>
      </w:r>
      <w:r>
        <w:rPr>
          <w:spacing w:val="-5"/>
        </w:rPr>
        <w:t> </w:t>
      </w:r>
      <w:r>
        <w:rPr/>
        <w:t>basis</w:t>
      </w:r>
      <w:r>
        <w:rPr>
          <w:spacing w:val="-6"/>
        </w:rPr>
        <w:t> </w:t>
      </w:r>
      <w:r>
        <w:rPr/>
        <w:t>of estimated ‘Weighted Average Cost of Capital’ (WACC). The detailed analysis of WACC rate adopted for</w:t>
      </w:r>
      <w:r>
        <w:rPr>
          <w:spacing w:val="-9"/>
        </w:rPr>
        <w:t> </w:t>
      </w:r>
      <w:r>
        <w:rPr/>
        <w:t>the</w:t>
      </w:r>
      <w:r>
        <w:rPr>
          <w:spacing w:val="-9"/>
        </w:rPr>
        <w:t> </w:t>
      </w:r>
      <w:r>
        <w:rPr/>
        <w:t>subject</w:t>
      </w:r>
      <w:r>
        <w:rPr>
          <w:spacing w:val="-10"/>
        </w:rPr>
        <w:t> </w:t>
      </w:r>
      <w:r>
        <w:rPr/>
        <w:t>property</w:t>
      </w:r>
      <w:r>
        <w:rPr>
          <w:spacing w:val="-6"/>
        </w:rPr>
        <w:t> </w:t>
      </w:r>
      <w:r>
        <w:rPr/>
        <w:t>has</w:t>
      </w:r>
      <w:r>
        <w:rPr>
          <w:spacing w:val="-7"/>
        </w:rPr>
        <w:t> </w:t>
      </w:r>
      <w:r>
        <w:rPr/>
        <w:t>been</w:t>
      </w:r>
      <w:r>
        <w:rPr>
          <w:spacing w:val="-9"/>
        </w:rPr>
        <w:t> </w:t>
      </w:r>
      <w:r>
        <w:rPr/>
        <w:t>detailed</w:t>
      </w:r>
      <w:r>
        <w:rPr>
          <w:spacing w:val="-7"/>
        </w:rPr>
        <w:t> </w:t>
      </w:r>
      <w:r>
        <w:rPr/>
        <w:t>in</w:t>
      </w:r>
      <w:r>
        <w:rPr>
          <w:spacing w:val="-9"/>
        </w:rPr>
        <w:t> </w:t>
      </w:r>
      <w:r>
        <w:rPr/>
        <w:t>Section</w:t>
      </w:r>
      <w:r>
        <w:rPr>
          <w:spacing w:val="-9"/>
        </w:rPr>
        <w:t> </w:t>
      </w:r>
      <w:r>
        <w:rPr/>
        <w:t>3.4</w:t>
      </w:r>
      <w:r>
        <w:rPr>
          <w:spacing w:val="-9"/>
        </w:rPr>
        <w:t> </w:t>
      </w:r>
      <w:r>
        <w:rPr/>
        <w:t>of</w:t>
      </w:r>
      <w:r>
        <w:rPr>
          <w:spacing w:val="-7"/>
        </w:rPr>
        <w:t> </w:t>
      </w:r>
      <w:r>
        <w:rPr/>
        <w:t>this</w:t>
      </w:r>
      <w:r>
        <w:rPr>
          <w:spacing w:val="-8"/>
        </w:rPr>
        <w:t> </w:t>
      </w:r>
      <w:r>
        <w:rPr/>
        <w:t>report.</w:t>
      </w:r>
    </w:p>
    <w:p>
      <w:pPr>
        <w:pStyle w:val="BodyText"/>
        <w:spacing w:before="11"/>
        <w:rPr>
          <w:sz w:val="20"/>
        </w:rPr>
      </w:pPr>
    </w:p>
    <w:p>
      <w:pPr>
        <w:pStyle w:val="BodyText"/>
        <w:ind w:left="240"/>
      </w:pPr>
      <w:bookmarkStart w:name="_bookmark323" w:id="631"/>
      <w:bookmarkEnd w:id="631"/>
      <w:r>
        <w:rPr/>
      </w:r>
      <w:r>
        <w:rPr>
          <w:color w:val="1F6647"/>
        </w:rPr>
        <w:t>14.5 Value of the Subject Property</w:t>
      </w:r>
    </w:p>
    <w:p>
      <w:pPr>
        <w:pStyle w:val="BodyText"/>
        <w:spacing w:before="208"/>
        <w:ind w:left="871"/>
      </w:pPr>
      <w:r>
        <w:rPr/>
        <w:t>Based on the above mentioned analysis, the value of the subject property is estimated as follows:</w:t>
      </w:r>
    </w:p>
    <w:p>
      <w:pPr>
        <w:pStyle w:val="BodyText"/>
        <w:rPr>
          <w:sz w:val="29"/>
        </w:rPr>
      </w:pPr>
    </w:p>
    <w:tbl>
      <w:tblPr>
        <w:tblW w:w="0" w:type="auto"/>
        <w:jc w:val="left"/>
        <w:tblInd w:w="2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10"/>
        <w:gridCol w:w="2505"/>
        <w:gridCol w:w="1971"/>
        <w:gridCol w:w="2447"/>
      </w:tblGrid>
      <w:tr>
        <w:trPr>
          <w:trHeight w:val="248" w:hRule="atLeast"/>
        </w:trPr>
        <w:tc>
          <w:tcPr>
            <w:tcW w:w="3610" w:type="dxa"/>
            <w:tcBorders>
              <w:top w:val="single" w:sz="12" w:space="0" w:color="1F6B16"/>
              <w:bottom w:val="single" w:sz="6" w:space="0" w:color="69BD28"/>
            </w:tcBorders>
            <w:shd w:val="clear" w:color="auto" w:fill="006A4D"/>
          </w:tcPr>
          <w:p>
            <w:pPr>
              <w:pStyle w:val="TableParagraph"/>
              <w:spacing w:line="220" w:lineRule="exact" w:before="8"/>
              <w:ind w:left="896" w:right="979"/>
              <w:rPr>
                <w:sz w:val="20"/>
              </w:rPr>
            </w:pPr>
            <w:r>
              <w:rPr>
                <w:color w:val="FFFFFF"/>
                <w:sz w:val="20"/>
              </w:rPr>
              <w:t>Component</w:t>
            </w:r>
          </w:p>
        </w:tc>
        <w:tc>
          <w:tcPr>
            <w:tcW w:w="2505" w:type="dxa"/>
            <w:tcBorders>
              <w:top w:val="single" w:sz="12" w:space="0" w:color="1F6B16"/>
              <w:bottom w:val="single" w:sz="6" w:space="0" w:color="69BD28"/>
            </w:tcBorders>
            <w:shd w:val="clear" w:color="auto" w:fill="006A4D"/>
          </w:tcPr>
          <w:p>
            <w:pPr>
              <w:pStyle w:val="TableParagraph"/>
              <w:spacing w:line="220" w:lineRule="exact" w:before="8"/>
              <w:ind w:left="978" w:right="167"/>
              <w:rPr>
                <w:sz w:val="20"/>
              </w:rPr>
            </w:pPr>
            <w:r>
              <w:rPr>
                <w:color w:val="FFFFFF"/>
                <w:sz w:val="20"/>
              </w:rPr>
              <w:t>Value (INR Mn)</w:t>
            </w:r>
          </w:p>
        </w:tc>
        <w:tc>
          <w:tcPr>
            <w:tcW w:w="1971" w:type="dxa"/>
            <w:tcBorders>
              <w:top w:val="single" w:sz="12" w:space="0" w:color="1F6B16"/>
              <w:bottom w:val="single" w:sz="6" w:space="0" w:color="69BD28"/>
            </w:tcBorders>
            <w:shd w:val="clear" w:color="auto" w:fill="006A4D"/>
          </w:tcPr>
          <w:p>
            <w:pPr>
              <w:pStyle w:val="TableParagraph"/>
              <w:jc w:val="left"/>
              <w:rPr>
                <w:rFonts w:ascii="Times New Roman"/>
                <w:sz w:val="18"/>
              </w:rPr>
            </w:pPr>
          </w:p>
        </w:tc>
        <w:tc>
          <w:tcPr>
            <w:tcW w:w="2447" w:type="dxa"/>
            <w:tcBorders>
              <w:top w:val="single" w:sz="12" w:space="0" w:color="1F6B16"/>
              <w:bottom w:val="single" w:sz="6" w:space="0" w:color="69BD28"/>
            </w:tcBorders>
            <w:shd w:val="clear" w:color="auto" w:fill="006A4D"/>
          </w:tcPr>
          <w:p>
            <w:pPr>
              <w:pStyle w:val="TableParagraph"/>
              <w:spacing w:line="220" w:lineRule="exact" w:before="8"/>
              <w:ind w:left="336"/>
              <w:jc w:val="left"/>
              <w:rPr>
                <w:sz w:val="20"/>
              </w:rPr>
            </w:pPr>
            <w:r>
              <w:rPr>
                <w:color w:val="FFFFFF"/>
                <w:w w:val="110"/>
                <w:sz w:val="20"/>
              </w:rPr>
              <w:t>% Share</w:t>
            </w:r>
          </w:p>
        </w:tc>
      </w:tr>
      <w:tr>
        <w:trPr>
          <w:trHeight w:val="294" w:hRule="atLeast"/>
        </w:trPr>
        <w:tc>
          <w:tcPr>
            <w:tcW w:w="3610" w:type="dxa"/>
            <w:tcBorders>
              <w:top w:val="single" w:sz="6" w:space="0" w:color="69BD28"/>
            </w:tcBorders>
          </w:tcPr>
          <w:p>
            <w:pPr>
              <w:pStyle w:val="TableParagraph"/>
              <w:spacing w:before="44"/>
              <w:ind w:left="894" w:right="979"/>
              <w:rPr>
                <w:sz w:val="18"/>
              </w:rPr>
            </w:pPr>
            <w:r>
              <w:rPr>
                <w:sz w:val="18"/>
              </w:rPr>
              <w:t>Operational area</w:t>
            </w:r>
          </w:p>
        </w:tc>
        <w:tc>
          <w:tcPr>
            <w:tcW w:w="2505" w:type="dxa"/>
            <w:tcBorders>
              <w:top w:val="single" w:sz="6" w:space="0" w:color="69BD28"/>
            </w:tcBorders>
          </w:tcPr>
          <w:p>
            <w:pPr>
              <w:pStyle w:val="TableParagraph"/>
              <w:spacing w:before="44"/>
              <w:ind w:left="978" w:right="167"/>
              <w:rPr>
                <w:sz w:val="18"/>
              </w:rPr>
            </w:pPr>
            <w:r>
              <w:rPr>
                <w:w w:val="105"/>
                <w:sz w:val="18"/>
              </w:rPr>
              <w:t>54,027</w:t>
            </w:r>
          </w:p>
        </w:tc>
        <w:tc>
          <w:tcPr>
            <w:tcW w:w="1971" w:type="dxa"/>
            <w:tcBorders>
              <w:top w:val="single" w:sz="6" w:space="0" w:color="69BD28"/>
            </w:tcBorders>
          </w:tcPr>
          <w:p>
            <w:pPr>
              <w:pStyle w:val="TableParagraph"/>
              <w:jc w:val="left"/>
              <w:rPr>
                <w:rFonts w:ascii="Times New Roman"/>
                <w:sz w:val="20"/>
              </w:rPr>
            </w:pPr>
          </w:p>
        </w:tc>
        <w:tc>
          <w:tcPr>
            <w:tcW w:w="2447" w:type="dxa"/>
            <w:tcBorders>
              <w:top w:val="single" w:sz="6" w:space="0" w:color="69BD28"/>
            </w:tcBorders>
          </w:tcPr>
          <w:p>
            <w:pPr>
              <w:pStyle w:val="TableParagraph"/>
              <w:spacing w:before="44"/>
              <w:ind w:left="384"/>
              <w:jc w:val="left"/>
              <w:rPr>
                <w:sz w:val="18"/>
              </w:rPr>
            </w:pPr>
            <w:r>
              <w:rPr>
                <w:w w:val="110"/>
                <w:sz w:val="18"/>
              </w:rPr>
              <w:t>100.0%</w:t>
            </w:r>
          </w:p>
        </w:tc>
      </w:tr>
      <w:tr>
        <w:trPr>
          <w:trHeight w:val="326" w:hRule="atLeast"/>
        </w:trPr>
        <w:tc>
          <w:tcPr>
            <w:tcW w:w="3610" w:type="dxa"/>
            <w:shd w:val="clear" w:color="auto" w:fill="69BD28"/>
          </w:tcPr>
          <w:p>
            <w:pPr>
              <w:pStyle w:val="TableParagraph"/>
              <w:spacing w:before="59"/>
              <w:ind w:left="896" w:right="979"/>
              <w:rPr>
                <w:b/>
                <w:sz w:val="18"/>
              </w:rPr>
            </w:pPr>
            <w:r>
              <w:rPr>
                <w:b/>
                <w:color w:val="FFFFFF"/>
                <w:w w:val="110"/>
                <w:sz w:val="18"/>
              </w:rPr>
              <w:t>Embassy GolfLinks</w:t>
            </w:r>
          </w:p>
        </w:tc>
        <w:tc>
          <w:tcPr>
            <w:tcW w:w="2505" w:type="dxa"/>
            <w:shd w:val="clear" w:color="auto" w:fill="69BD28"/>
          </w:tcPr>
          <w:p>
            <w:pPr>
              <w:pStyle w:val="TableParagraph"/>
              <w:jc w:val="left"/>
              <w:rPr>
                <w:rFonts w:ascii="Times New Roman"/>
                <w:sz w:val="20"/>
              </w:rPr>
            </w:pPr>
          </w:p>
        </w:tc>
        <w:tc>
          <w:tcPr>
            <w:tcW w:w="1971" w:type="dxa"/>
            <w:shd w:val="clear" w:color="auto" w:fill="69BD28"/>
          </w:tcPr>
          <w:p>
            <w:pPr>
              <w:pStyle w:val="TableParagraph"/>
              <w:spacing w:before="59"/>
              <w:ind w:left="187"/>
              <w:jc w:val="left"/>
              <w:rPr>
                <w:b/>
                <w:sz w:val="18"/>
              </w:rPr>
            </w:pPr>
            <w:r>
              <w:rPr>
                <w:b/>
                <w:color w:val="FFFFFF"/>
                <w:w w:val="110"/>
                <w:sz w:val="18"/>
              </w:rPr>
              <w:t>INR 54,027 Mn*</w:t>
            </w:r>
          </w:p>
        </w:tc>
        <w:tc>
          <w:tcPr>
            <w:tcW w:w="2447" w:type="dxa"/>
            <w:shd w:val="clear" w:color="auto" w:fill="69BD28"/>
          </w:tcPr>
          <w:p>
            <w:pPr>
              <w:pStyle w:val="TableParagraph"/>
              <w:jc w:val="left"/>
              <w:rPr>
                <w:rFonts w:ascii="Times New Roman"/>
                <w:sz w:val="20"/>
              </w:rPr>
            </w:pPr>
          </w:p>
        </w:tc>
      </w:tr>
    </w:tbl>
    <w:p>
      <w:pPr>
        <w:spacing w:line="223" w:lineRule="auto" w:before="59"/>
        <w:ind w:left="240" w:right="25" w:firstLine="0"/>
        <w:jc w:val="left"/>
        <w:rPr>
          <w:i/>
          <w:sz w:val="18"/>
        </w:rPr>
      </w:pPr>
      <w:r>
        <w:rPr>
          <w:i/>
          <w:sz w:val="18"/>
        </w:rPr>
        <w:t>Note:</w:t>
      </w:r>
      <w:r>
        <w:rPr>
          <w:i/>
          <w:spacing w:val="-25"/>
          <w:sz w:val="18"/>
        </w:rPr>
        <w:t> </w:t>
      </w:r>
      <w:r>
        <w:rPr>
          <w:i/>
          <w:sz w:val="18"/>
        </w:rPr>
        <w:t>The</w:t>
      </w:r>
      <w:r>
        <w:rPr>
          <w:i/>
          <w:spacing w:val="-24"/>
          <w:sz w:val="18"/>
        </w:rPr>
        <w:t> </w:t>
      </w:r>
      <w:r>
        <w:rPr>
          <w:i/>
          <w:sz w:val="18"/>
        </w:rPr>
        <w:t>valuation</w:t>
      </w:r>
      <w:r>
        <w:rPr>
          <w:i/>
          <w:spacing w:val="-25"/>
          <w:sz w:val="18"/>
        </w:rPr>
        <w:t> </w:t>
      </w:r>
      <w:r>
        <w:rPr>
          <w:i/>
          <w:sz w:val="18"/>
        </w:rPr>
        <w:t>presented</w:t>
      </w:r>
      <w:r>
        <w:rPr>
          <w:i/>
          <w:spacing w:val="-24"/>
          <w:sz w:val="18"/>
        </w:rPr>
        <w:t> </w:t>
      </w:r>
      <w:r>
        <w:rPr>
          <w:i/>
          <w:sz w:val="18"/>
        </w:rPr>
        <w:t>is</w:t>
      </w:r>
      <w:r>
        <w:rPr>
          <w:i/>
          <w:spacing w:val="-24"/>
          <w:sz w:val="18"/>
        </w:rPr>
        <w:t> </w:t>
      </w:r>
      <w:r>
        <w:rPr>
          <w:i/>
          <w:sz w:val="18"/>
        </w:rPr>
        <w:t>for</w:t>
      </w:r>
      <w:r>
        <w:rPr>
          <w:i/>
          <w:spacing w:val="-25"/>
          <w:sz w:val="18"/>
        </w:rPr>
        <w:t> </w:t>
      </w:r>
      <w:r>
        <w:rPr>
          <w:i/>
          <w:sz w:val="18"/>
        </w:rPr>
        <w:t>100%</w:t>
      </w:r>
      <w:r>
        <w:rPr>
          <w:i/>
          <w:spacing w:val="-25"/>
          <w:sz w:val="18"/>
        </w:rPr>
        <w:t> </w:t>
      </w:r>
      <w:r>
        <w:rPr>
          <w:i/>
          <w:sz w:val="18"/>
        </w:rPr>
        <w:t>interest</w:t>
      </w:r>
      <w:r>
        <w:rPr>
          <w:i/>
          <w:spacing w:val="-23"/>
          <w:sz w:val="18"/>
        </w:rPr>
        <w:t> </w:t>
      </w:r>
      <w:r>
        <w:rPr>
          <w:i/>
          <w:sz w:val="18"/>
        </w:rPr>
        <w:t>in</w:t>
      </w:r>
      <w:r>
        <w:rPr>
          <w:i/>
          <w:spacing w:val="-26"/>
          <w:sz w:val="18"/>
        </w:rPr>
        <w:t> </w:t>
      </w:r>
      <w:r>
        <w:rPr>
          <w:i/>
          <w:sz w:val="18"/>
        </w:rPr>
        <w:t>the</w:t>
      </w:r>
      <w:r>
        <w:rPr>
          <w:i/>
          <w:spacing w:val="-25"/>
          <w:sz w:val="18"/>
        </w:rPr>
        <w:t> </w:t>
      </w:r>
      <w:r>
        <w:rPr>
          <w:i/>
          <w:sz w:val="18"/>
        </w:rPr>
        <w:t>asset.</w:t>
      </w:r>
      <w:r>
        <w:rPr>
          <w:i/>
          <w:spacing w:val="-25"/>
          <w:sz w:val="18"/>
        </w:rPr>
        <w:t> </w:t>
      </w:r>
      <w:r>
        <w:rPr>
          <w:i/>
          <w:sz w:val="18"/>
        </w:rPr>
        <w:t>However,</w:t>
      </w:r>
      <w:r>
        <w:rPr>
          <w:i/>
          <w:spacing w:val="-24"/>
          <w:sz w:val="18"/>
        </w:rPr>
        <w:t> </w:t>
      </w:r>
      <w:r>
        <w:rPr>
          <w:i/>
          <w:sz w:val="18"/>
        </w:rPr>
        <w:t>based</w:t>
      </w:r>
      <w:r>
        <w:rPr>
          <w:i/>
          <w:spacing w:val="-24"/>
          <w:sz w:val="18"/>
        </w:rPr>
        <w:t> </w:t>
      </w:r>
      <w:r>
        <w:rPr>
          <w:i/>
          <w:sz w:val="18"/>
        </w:rPr>
        <w:t>on</w:t>
      </w:r>
      <w:r>
        <w:rPr>
          <w:i/>
          <w:spacing w:val="-24"/>
          <w:sz w:val="18"/>
        </w:rPr>
        <w:t> </w:t>
      </w:r>
      <w:r>
        <w:rPr>
          <w:i/>
          <w:sz w:val="18"/>
        </w:rPr>
        <w:t>inputs</w:t>
      </w:r>
      <w:r>
        <w:rPr>
          <w:i/>
          <w:spacing w:val="-25"/>
          <w:sz w:val="18"/>
        </w:rPr>
        <w:t> </w:t>
      </w:r>
      <w:r>
        <w:rPr>
          <w:i/>
          <w:sz w:val="18"/>
        </w:rPr>
        <w:t>provided</w:t>
      </w:r>
      <w:r>
        <w:rPr>
          <w:i/>
          <w:spacing w:val="-26"/>
          <w:sz w:val="18"/>
        </w:rPr>
        <w:t> </w:t>
      </w:r>
      <w:r>
        <w:rPr>
          <w:i/>
          <w:sz w:val="18"/>
        </w:rPr>
        <w:t>by</w:t>
      </w:r>
      <w:r>
        <w:rPr>
          <w:i/>
          <w:spacing w:val="-25"/>
          <w:sz w:val="18"/>
        </w:rPr>
        <w:t> </w:t>
      </w:r>
      <w:r>
        <w:rPr>
          <w:i/>
          <w:sz w:val="18"/>
        </w:rPr>
        <w:t>the</w:t>
      </w:r>
      <w:r>
        <w:rPr>
          <w:i/>
          <w:spacing w:val="-25"/>
          <w:sz w:val="18"/>
        </w:rPr>
        <w:t> </w:t>
      </w:r>
      <w:r>
        <w:rPr>
          <w:i/>
          <w:sz w:val="18"/>
        </w:rPr>
        <w:t>Client,</w:t>
      </w:r>
      <w:r>
        <w:rPr>
          <w:i/>
          <w:spacing w:val="-25"/>
          <w:sz w:val="18"/>
        </w:rPr>
        <w:t> </w:t>
      </w:r>
      <w:r>
        <w:rPr>
          <w:i/>
          <w:sz w:val="18"/>
        </w:rPr>
        <w:t>the</w:t>
      </w:r>
      <w:r>
        <w:rPr>
          <w:i/>
          <w:spacing w:val="-24"/>
          <w:sz w:val="18"/>
        </w:rPr>
        <w:t> </w:t>
      </w:r>
      <w:r>
        <w:rPr>
          <w:i/>
          <w:sz w:val="18"/>
        </w:rPr>
        <w:t>REIT</w:t>
      </w:r>
      <w:r>
        <w:rPr>
          <w:i/>
          <w:spacing w:val="-25"/>
          <w:sz w:val="18"/>
        </w:rPr>
        <w:t> </w:t>
      </w:r>
      <w:r>
        <w:rPr>
          <w:i/>
          <w:sz w:val="18"/>
        </w:rPr>
        <w:t>hold</w:t>
      </w:r>
      <w:r>
        <w:rPr>
          <w:i/>
          <w:spacing w:val="-24"/>
          <w:sz w:val="18"/>
        </w:rPr>
        <w:t> </w:t>
      </w:r>
      <w:r>
        <w:rPr>
          <w:i/>
          <w:sz w:val="18"/>
        </w:rPr>
        <w:t>50%</w:t>
      </w:r>
      <w:r>
        <w:rPr>
          <w:i/>
          <w:spacing w:val="-25"/>
          <w:sz w:val="18"/>
        </w:rPr>
        <w:t> </w:t>
      </w:r>
      <w:r>
        <w:rPr>
          <w:i/>
          <w:sz w:val="18"/>
        </w:rPr>
        <w:t>of </w:t>
      </w:r>
      <w:r>
        <w:rPr>
          <w:i/>
          <w:sz w:val="18"/>
        </w:rPr>
        <w:t>the interests in the asset (viz. 27,014</w:t>
      </w:r>
      <w:r>
        <w:rPr>
          <w:i/>
          <w:spacing w:val="-29"/>
          <w:sz w:val="18"/>
        </w:rPr>
        <w:t> </w:t>
      </w:r>
      <w:r>
        <w:rPr>
          <w:i/>
          <w:sz w:val="18"/>
        </w:rPr>
        <w:t>Mn)</w:t>
      </w:r>
    </w:p>
    <w:p>
      <w:pPr>
        <w:spacing w:after="0" w:line="223" w:lineRule="auto"/>
        <w:jc w:val="left"/>
        <w:rPr>
          <w:sz w:val="18"/>
        </w:rPr>
        <w:sectPr>
          <w:pgSz w:w="11910" w:h="16840"/>
          <w:pgMar w:header="720" w:footer="862" w:top="1660" w:bottom="1060" w:left="480" w:right="480"/>
        </w:sectPr>
      </w:pPr>
    </w:p>
    <w:p>
      <w:pPr>
        <w:pStyle w:val="BodyText"/>
        <w:spacing w:before="7"/>
        <w:rPr>
          <w:i/>
          <w:sz w:val="9"/>
        </w:rPr>
      </w:pPr>
    </w:p>
    <w:p>
      <w:pPr>
        <w:pStyle w:val="Heading5"/>
        <w:numPr>
          <w:ilvl w:val="0"/>
          <w:numId w:val="14"/>
        </w:numPr>
        <w:tabs>
          <w:tab w:pos="673" w:val="left" w:leader="none"/>
        </w:tabs>
        <w:spacing w:line="240" w:lineRule="auto" w:before="106" w:after="0"/>
        <w:ind w:left="672" w:right="0" w:hanging="433"/>
        <w:jc w:val="left"/>
        <w:rPr>
          <w:rFonts w:ascii="Arial"/>
        </w:rPr>
      </w:pPr>
      <w:bookmarkStart w:name="_bookmark324" w:id="632"/>
      <w:bookmarkEnd w:id="632"/>
      <w:r>
        <w:rPr>
          <w:b w:val="0"/>
        </w:rPr>
      </w:r>
      <w:bookmarkStart w:name="_bookmark324" w:id="633"/>
      <w:bookmarkEnd w:id="633"/>
      <w:r>
        <w:rPr>
          <w:rFonts w:ascii="Arial"/>
          <w:color w:val="1F664D"/>
        </w:rPr>
        <w:t>E</w:t>
      </w:r>
      <w:r>
        <w:rPr>
          <w:rFonts w:ascii="Arial"/>
          <w:color w:val="1F664D"/>
        </w:rPr>
        <w:t>mbassy</w:t>
      </w:r>
      <w:r>
        <w:rPr>
          <w:rFonts w:ascii="Arial"/>
          <w:color w:val="1F664D"/>
          <w:spacing w:val="4"/>
        </w:rPr>
        <w:t> </w:t>
      </w:r>
      <w:r>
        <w:rPr>
          <w:rFonts w:ascii="Arial"/>
          <w:color w:val="1F664D"/>
        </w:rPr>
        <w:t>One</w:t>
      </w:r>
    </w:p>
    <w:p>
      <w:pPr>
        <w:pStyle w:val="BodyText"/>
        <w:spacing w:before="8"/>
        <w:rPr>
          <w:rFonts w:ascii="Arial"/>
          <w:b/>
          <w:sz w:val="28"/>
        </w:rPr>
      </w:pPr>
    </w:p>
    <w:p>
      <w:pPr>
        <w:pStyle w:val="ListParagraph"/>
        <w:numPr>
          <w:ilvl w:val="1"/>
          <w:numId w:val="14"/>
        </w:numPr>
        <w:tabs>
          <w:tab w:pos="817" w:val="left" w:leader="none"/>
        </w:tabs>
        <w:spacing w:line="240" w:lineRule="auto" w:before="1" w:after="0"/>
        <w:ind w:left="816" w:right="0" w:hanging="577"/>
        <w:jc w:val="left"/>
        <w:rPr>
          <w:color w:val="1F6647"/>
          <w:sz w:val="22"/>
        </w:rPr>
      </w:pPr>
      <w:bookmarkStart w:name="_bookmark325" w:id="634"/>
      <w:bookmarkEnd w:id="634"/>
      <w:r>
        <w:rPr/>
      </w:r>
      <w:bookmarkStart w:name="_bookmark325" w:id="635"/>
      <w:bookmarkEnd w:id="635"/>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5"/>
        <w:rPr>
          <w:sz w:val="17"/>
        </w:rPr>
      </w:pPr>
    </w:p>
    <w:tbl>
      <w:tblPr>
        <w:tblW w:w="0" w:type="auto"/>
        <w:jc w:val="left"/>
        <w:tblInd w:w="2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50"/>
        <w:gridCol w:w="7818"/>
      </w:tblGrid>
      <w:tr>
        <w:trPr>
          <w:trHeight w:val="368" w:hRule="atLeast"/>
        </w:trPr>
        <w:tc>
          <w:tcPr>
            <w:tcW w:w="2550" w:type="dxa"/>
            <w:tcBorders>
              <w:top w:val="single" w:sz="12" w:space="0" w:color="1F6B16"/>
              <w:bottom w:val="single" w:sz="6" w:space="0" w:color="69BD28"/>
            </w:tcBorders>
            <w:shd w:val="clear" w:color="auto" w:fill="006A4D"/>
          </w:tcPr>
          <w:p>
            <w:pPr>
              <w:pStyle w:val="TableParagraph"/>
              <w:spacing w:before="68"/>
              <w:ind w:left="558" w:right="559"/>
              <w:rPr>
                <w:sz w:val="20"/>
              </w:rPr>
            </w:pPr>
            <w:r>
              <w:rPr>
                <w:color w:val="FFFFFF"/>
                <w:sz w:val="20"/>
              </w:rPr>
              <w:t>Particulars</w:t>
            </w:r>
          </w:p>
        </w:tc>
        <w:tc>
          <w:tcPr>
            <w:tcW w:w="7818" w:type="dxa"/>
            <w:tcBorders>
              <w:top w:val="single" w:sz="12" w:space="0" w:color="1F6B16"/>
              <w:bottom w:val="single" w:sz="6" w:space="0" w:color="69BD28"/>
            </w:tcBorders>
            <w:shd w:val="clear" w:color="auto" w:fill="006A4D"/>
          </w:tcPr>
          <w:p>
            <w:pPr>
              <w:pStyle w:val="TableParagraph"/>
              <w:spacing w:before="80"/>
              <w:ind w:left="129" w:right="144"/>
              <w:rPr>
                <w:b/>
                <w:sz w:val="18"/>
              </w:rPr>
            </w:pPr>
            <w:r>
              <w:rPr>
                <w:b/>
                <w:color w:val="FFFFFF"/>
                <w:w w:val="110"/>
                <w:sz w:val="18"/>
              </w:rPr>
              <w:t>Details</w:t>
            </w:r>
          </w:p>
        </w:tc>
      </w:tr>
      <w:tr>
        <w:trPr>
          <w:trHeight w:val="637" w:hRule="atLeast"/>
        </w:trPr>
        <w:tc>
          <w:tcPr>
            <w:tcW w:w="2550" w:type="dxa"/>
            <w:shd w:val="clear" w:color="auto" w:fill="69BD28"/>
          </w:tcPr>
          <w:p>
            <w:pPr>
              <w:pStyle w:val="TableParagraph"/>
              <w:spacing w:before="5"/>
              <w:jc w:val="left"/>
              <w:rPr>
                <w:sz w:val="18"/>
              </w:rPr>
            </w:pPr>
          </w:p>
          <w:p>
            <w:pPr>
              <w:pStyle w:val="TableParagraph"/>
              <w:ind w:left="558" w:right="559"/>
              <w:rPr>
                <w:b/>
                <w:sz w:val="18"/>
              </w:rPr>
            </w:pPr>
            <w:r>
              <w:rPr>
                <w:b/>
                <w:color w:val="FFFFFF"/>
                <w:w w:val="110"/>
                <w:sz w:val="18"/>
              </w:rPr>
              <w:t>Property Name</w:t>
            </w:r>
          </w:p>
        </w:tc>
        <w:tc>
          <w:tcPr>
            <w:tcW w:w="7818" w:type="dxa"/>
            <w:tcBorders>
              <w:top w:val="single" w:sz="6" w:space="0" w:color="69BD28"/>
              <w:bottom w:val="single" w:sz="6" w:space="0" w:color="69BD28"/>
            </w:tcBorders>
          </w:tcPr>
          <w:p>
            <w:pPr>
              <w:pStyle w:val="TableParagraph"/>
              <w:spacing w:before="5"/>
              <w:jc w:val="left"/>
              <w:rPr>
                <w:sz w:val="18"/>
              </w:rPr>
            </w:pPr>
          </w:p>
          <w:p>
            <w:pPr>
              <w:pStyle w:val="TableParagraph"/>
              <w:ind w:left="129" w:right="143"/>
              <w:rPr>
                <w:sz w:val="18"/>
              </w:rPr>
            </w:pPr>
            <w:r>
              <w:rPr>
                <w:w w:val="105"/>
                <w:sz w:val="18"/>
              </w:rPr>
              <w:t>Embassy One</w:t>
            </w:r>
          </w:p>
        </w:tc>
      </w:tr>
      <w:tr>
        <w:trPr>
          <w:trHeight w:val="565" w:hRule="atLeast"/>
        </w:trPr>
        <w:tc>
          <w:tcPr>
            <w:tcW w:w="2550" w:type="dxa"/>
            <w:shd w:val="clear" w:color="auto" w:fill="69BD28"/>
          </w:tcPr>
          <w:p>
            <w:pPr>
              <w:pStyle w:val="TableParagraph"/>
              <w:spacing w:before="178"/>
              <w:ind w:left="558" w:right="558"/>
              <w:rPr>
                <w:b/>
                <w:sz w:val="18"/>
              </w:rPr>
            </w:pPr>
            <w:r>
              <w:rPr>
                <w:b/>
                <w:color w:val="FFFFFF"/>
                <w:w w:val="110"/>
                <w:sz w:val="18"/>
              </w:rPr>
              <w:t>Address</w:t>
            </w:r>
          </w:p>
        </w:tc>
        <w:tc>
          <w:tcPr>
            <w:tcW w:w="7818" w:type="dxa"/>
            <w:tcBorders>
              <w:top w:val="single" w:sz="6" w:space="0" w:color="69BD28"/>
              <w:bottom w:val="single" w:sz="6" w:space="0" w:color="69BD28"/>
            </w:tcBorders>
          </w:tcPr>
          <w:p>
            <w:pPr>
              <w:pStyle w:val="TableParagraph"/>
              <w:spacing w:before="178"/>
              <w:ind w:left="129" w:right="143"/>
              <w:rPr>
                <w:sz w:val="18"/>
              </w:rPr>
            </w:pPr>
            <w:r>
              <w:rPr>
                <w:sz w:val="18"/>
              </w:rPr>
              <w:t>Bellary Road, Ganga Nagar, Bengaluru, Karnataka</w:t>
            </w:r>
          </w:p>
        </w:tc>
      </w:tr>
      <w:tr>
        <w:trPr>
          <w:trHeight w:val="861" w:hRule="atLeast"/>
        </w:trPr>
        <w:tc>
          <w:tcPr>
            <w:tcW w:w="2550" w:type="dxa"/>
            <w:shd w:val="clear" w:color="auto" w:fill="69BD28"/>
          </w:tcPr>
          <w:p>
            <w:pPr>
              <w:pStyle w:val="TableParagraph"/>
              <w:spacing w:before="2"/>
              <w:jc w:val="left"/>
              <w:rPr>
                <w:sz w:val="28"/>
              </w:rPr>
            </w:pPr>
          </w:p>
          <w:p>
            <w:pPr>
              <w:pStyle w:val="TableParagraph"/>
              <w:spacing w:before="1"/>
              <w:ind w:left="558" w:right="558"/>
              <w:rPr>
                <w:b/>
                <w:sz w:val="18"/>
              </w:rPr>
            </w:pPr>
            <w:r>
              <w:rPr>
                <w:b/>
                <w:color w:val="FFFFFF"/>
                <w:w w:val="110"/>
                <w:sz w:val="18"/>
              </w:rPr>
              <w:t>Land Area</w:t>
            </w:r>
          </w:p>
        </w:tc>
        <w:tc>
          <w:tcPr>
            <w:tcW w:w="7818" w:type="dxa"/>
            <w:tcBorders>
              <w:top w:val="single" w:sz="6" w:space="0" w:color="69BD28"/>
              <w:bottom w:val="single" w:sz="6" w:space="0" w:color="69BD28"/>
            </w:tcBorders>
          </w:tcPr>
          <w:p>
            <w:pPr>
              <w:pStyle w:val="TableParagraph"/>
              <w:spacing w:line="247" w:lineRule="auto" w:before="3"/>
              <w:ind w:left="129" w:right="154"/>
              <w:rPr>
                <w:sz w:val="18"/>
              </w:rPr>
            </w:pPr>
            <w:r>
              <w:rPr>
                <w:sz w:val="18"/>
              </w:rPr>
              <w:t>Based</w:t>
            </w:r>
            <w:r>
              <w:rPr>
                <w:spacing w:val="-31"/>
                <w:sz w:val="18"/>
              </w:rPr>
              <w:t> </w:t>
            </w:r>
            <w:r>
              <w:rPr>
                <w:sz w:val="18"/>
              </w:rPr>
              <w:t>on</w:t>
            </w:r>
            <w:r>
              <w:rPr>
                <w:spacing w:val="-31"/>
                <w:sz w:val="18"/>
              </w:rPr>
              <w:t> </w:t>
            </w:r>
            <w:r>
              <w:rPr>
                <w:sz w:val="18"/>
              </w:rPr>
              <w:t>review</w:t>
            </w:r>
            <w:r>
              <w:rPr>
                <w:spacing w:val="-31"/>
                <w:sz w:val="18"/>
              </w:rPr>
              <w:t> </w:t>
            </w:r>
            <w:r>
              <w:rPr>
                <w:sz w:val="18"/>
              </w:rPr>
              <w:t>of</w:t>
            </w:r>
            <w:r>
              <w:rPr>
                <w:spacing w:val="-31"/>
                <w:sz w:val="18"/>
              </w:rPr>
              <w:t> </w:t>
            </w:r>
            <w:r>
              <w:rPr>
                <w:sz w:val="18"/>
              </w:rPr>
              <w:t>the</w:t>
            </w:r>
            <w:r>
              <w:rPr>
                <w:spacing w:val="-30"/>
                <w:sz w:val="18"/>
              </w:rPr>
              <w:t> </w:t>
            </w:r>
            <w:r>
              <w:rPr>
                <w:sz w:val="18"/>
              </w:rPr>
              <w:t>title</w:t>
            </w:r>
            <w:r>
              <w:rPr>
                <w:spacing w:val="-31"/>
                <w:sz w:val="18"/>
              </w:rPr>
              <w:t> </w:t>
            </w:r>
            <w:r>
              <w:rPr>
                <w:sz w:val="18"/>
              </w:rPr>
              <w:t>report,</w:t>
            </w:r>
            <w:r>
              <w:rPr>
                <w:spacing w:val="-31"/>
                <w:sz w:val="18"/>
              </w:rPr>
              <w:t> </w:t>
            </w:r>
            <w:r>
              <w:rPr>
                <w:sz w:val="18"/>
              </w:rPr>
              <w:t>we</w:t>
            </w:r>
            <w:r>
              <w:rPr>
                <w:spacing w:val="-30"/>
                <w:sz w:val="18"/>
              </w:rPr>
              <w:t> </w:t>
            </w:r>
            <w:r>
              <w:rPr>
                <w:sz w:val="18"/>
              </w:rPr>
              <w:t>understand</w:t>
            </w:r>
            <w:r>
              <w:rPr>
                <w:spacing w:val="-31"/>
                <w:sz w:val="18"/>
              </w:rPr>
              <w:t> </w:t>
            </w:r>
            <w:r>
              <w:rPr>
                <w:sz w:val="18"/>
              </w:rPr>
              <w:t>that</w:t>
            </w:r>
            <w:r>
              <w:rPr>
                <w:spacing w:val="-32"/>
                <w:sz w:val="18"/>
              </w:rPr>
              <w:t> </w:t>
            </w:r>
            <w:r>
              <w:rPr>
                <w:sz w:val="18"/>
              </w:rPr>
              <w:t>the</w:t>
            </w:r>
            <w:r>
              <w:rPr>
                <w:spacing w:val="-30"/>
                <w:sz w:val="18"/>
              </w:rPr>
              <w:t> </w:t>
            </w:r>
            <w:r>
              <w:rPr>
                <w:sz w:val="18"/>
              </w:rPr>
              <w:t>total</w:t>
            </w:r>
            <w:r>
              <w:rPr>
                <w:spacing w:val="-31"/>
                <w:sz w:val="18"/>
              </w:rPr>
              <w:t> </w:t>
            </w:r>
            <w:r>
              <w:rPr>
                <w:sz w:val="18"/>
              </w:rPr>
              <w:t>land</w:t>
            </w:r>
            <w:r>
              <w:rPr>
                <w:spacing w:val="-31"/>
                <w:sz w:val="18"/>
              </w:rPr>
              <w:t> </w:t>
            </w:r>
            <w:r>
              <w:rPr>
                <w:sz w:val="18"/>
              </w:rPr>
              <w:t>area</w:t>
            </w:r>
            <w:r>
              <w:rPr>
                <w:spacing w:val="-31"/>
                <w:sz w:val="18"/>
              </w:rPr>
              <w:t> </w:t>
            </w:r>
            <w:r>
              <w:rPr>
                <w:sz w:val="18"/>
              </w:rPr>
              <w:t>of</w:t>
            </w:r>
            <w:r>
              <w:rPr>
                <w:spacing w:val="-30"/>
                <w:sz w:val="18"/>
              </w:rPr>
              <w:t> </w:t>
            </w:r>
            <w:r>
              <w:rPr>
                <w:sz w:val="18"/>
              </w:rPr>
              <w:t>the</w:t>
            </w:r>
            <w:r>
              <w:rPr>
                <w:spacing w:val="-31"/>
                <w:sz w:val="18"/>
              </w:rPr>
              <w:t> </w:t>
            </w:r>
            <w:r>
              <w:rPr>
                <w:sz w:val="18"/>
              </w:rPr>
              <w:t>subject</w:t>
            </w:r>
            <w:r>
              <w:rPr>
                <w:spacing w:val="-31"/>
                <w:sz w:val="18"/>
              </w:rPr>
              <w:t> </w:t>
            </w:r>
            <w:r>
              <w:rPr>
                <w:sz w:val="18"/>
              </w:rPr>
              <w:t>property under</w:t>
            </w:r>
            <w:r>
              <w:rPr>
                <w:spacing w:val="-24"/>
                <w:sz w:val="18"/>
              </w:rPr>
              <w:t> </w:t>
            </w:r>
            <w:r>
              <w:rPr>
                <w:sz w:val="18"/>
              </w:rPr>
              <w:t>the</w:t>
            </w:r>
            <w:r>
              <w:rPr>
                <w:spacing w:val="-22"/>
                <w:sz w:val="18"/>
              </w:rPr>
              <w:t> </w:t>
            </w:r>
            <w:r>
              <w:rPr>
                <w:sz w:val="18"/>
              </w:rPr>
              <w:t>ownership</w:t>
            </w:r>
            <w:r>
              <w:rPr>
                <w:spacing w:val="-23"/>
                <w:sz w:val="18"/>
              </w:rPr>
              <w:t> </w:t>
            </w:r>
            <w:r>
              <w:rPr>
                <w:sz w:val="18"/>
              </w:rPr>
              <w:t>of</w:t>
            </w:r>
            <w:r>
              <w:rPr>
                <w:spacing w:val="-22"/>
                <w:sz w:val="18"/>
              </w:rPr>
              <w:t> </w:t>
            </w:r>
            <w:r>
              <w:rPr>
                <w:sz w:val="18"/>
              </w:rPr>
              <w:t>the</w:t>
            </w:r>
            <w:r>
              <w:rPr>
                <w:spacing w:val="-23"/>
                <w:sz w:val="18"/>
              </w:rPr>
              <w:t> </w:t>
            </w:r>
            <w:r>
              <w:rPr>
                <w:sz w:val="18"/>
              </w:rPr>
              <w:t>Client</w:t>
            </w:r>
            <w:r>
              <w:rPr>
                <w:spacing w:val="-23"/>
                <w:sz w:val="18"/>
              </w:rPr>
              <w:t> </w:t>
            </w:r>
            <w:r>
              <w:rPr>
                <w:sz w:val="18"/>
              </w:rPr>
              <w:t>is</w:t>
            </w:r>
            <w:r>
              <w:rPr>
                <w:spacing w:val="-23"/>
                <w:sz w:val="18"/>
              </w:rPr>
              <w:t> </w:t>
            </w:r>
            <w:r>
              <w:rPr>
                <w:sz w:val="18"/>
              </w:rPr>
              <w:t>approximately</w:t>
            </w:r>
            <w:r>
              <w:rPr>
                <w:spacing w:val="-20"/>
                <w:sz w:val="18"/>
              </w:rPr>
              <w:t> </w:t>
            </w:r>
            <w:r>
              <w:rPr>
                <w:sz w:val="18"/>
              </w:rPr>
              <w:t>5.62</w:t>
            </w:r>
            <w:r>
              <w:rPr>
                <w:spacing w:val="-24"/>
                <w:sz w:val="18"/>
              </w:rPr>
              <w:t> </w:t>
            </w:r>
            <w:r>
              <w:rPr>
                <w:sz w:val="18"/>
              </w:rPr>
              <w:t>Acres</w:t>
            </w:r>
            <w:r>
              <w:rPr>
                <w:spacing w:val="-22"/>
                <w:sz w:val="18"/>
              </w:rPr>
              <w:t> </w:t>
            </w:r>
            <w:r>
              <w:rPr>
                <w:sz w:val="18"/>
              </w:rPr>
              <w:t>(which</w:t>
            </w:r>
            <w:r>
              <w:rPr>
                <w:spacing w:val="-22"/>
                <w:sz w:val="18"/>
              </w:rPr>
              <w:t> </w:t>
            </w:r>
            <w:r>
              <w:rPr>
                <w:sz w:val="18"/>
              </w:rPr>
              <w:t>incrementally</w:t>
            </w:r>
            <w:r>
              <w:rPr>
                <w:spacing w:val="-24"/>
                <w:sz w:val="18"/>
              </w:rPr>
              <w:t> </w:t>
            </w:r>
            <w:r>
              <w:rPr>
                <w:sz w:val="18"/>
              </w:rPr>
              <w:t>includes residential</w:t>
            </w:r>
            <w:r>
              <w:rPr>
                <w:spacing w:val="-22"/>
                <w:sz w:val="18"/>
              </w:rPr>
              <w:t> </w:t>
            </w:r>
            <w:r>
              <w:rPr>
                <w:sz w:val="18"/>
              </w:rPr>
              <w:t>component).</w:t>
            </w:r>
            <w:r>
              <w:rPr>
                <w:spacing w:val="-21"/>
                <w:sz w:val="18"/>
              </w:rPr>
              <w:t> </w:t>
            </w:r>
            <w:r>
              <w:rPr>
                <w:sz w:val="18"/>
              </w:rPr>
              <w:t>The</w:t>
            </w:r>
            <w:r>
              <w:rPr>
                <w:spacing w:val="-19"/>
                <w:sz w:val="18"/>
              </w:rPr>
              <w:t> </w:t>
            </w:r>
            <w:r>
              <w:rPr>
                <w:sz w:val="18"/>
              </w:rPr>
              <w:t>interest</w:t>
            </w:r>
            <w:r>
              <w:rPr>
                <w:spacing w:val="-22"/>
                <w:sz w:val="18"/>
              </w:rPr>
              <w:t> </w:t>
            </w:r>
            <w:r>
              <w:rPr>
                <w:sz w:val="18"/>
              </w:rPr>
              <w:t>being</w:t>
            </w:r>
            <w:r>
              <w:rPr>
                <w:spacing w:val="-20"/>
                <w:sz w:val="18"/>
              </w:rPr>
              <w:t> </w:t>
            </w:r>
            <w:r>
              <w:rPr>
                <w:sz w:val="18"/>
              </w:rPr>
              <w:t>valued</w:t>
            </w:r>
            <w:r>
              <w:rPr>
                <w:spacing w:val="-22"/>
                <w:sz w:val="18"/>
              </w:rPr>
              <w:t> </w:t>
            </w:r>
            <w:r>
              <w:rPr>
                <w:sz w:val="18"/>
              </w:rPr>
              <w:t>as</w:t>
            </w:r>
            <w:r>
              <w:rPr>
                <w:spacing w:val="-20"/>
                <w:sz w:val="18"/>
              </w:rPr>
              <w:t> </w:t>
            </w:r>
            <w:r>
              <w:rPr>
                <w:sz w:val="18"/>
              </w:rPr>
              <w:t>part</w:t>
            </w:r>
            <w:r>
              <w:rPr>
                <w:spacing w:val="-22"/>
                <w:sz w:val="18"/>
              </w:rPr>
              <w:t> </w:t>
            </w:r>
            <w:r>
              <w:rPr>
                <w:sz w:val="18"/>
              </w:rPr>
              <w:t>of</w:t>
            </w:r>
            <w:r>
              <w:rPr>
                <w:spacing w:val="-20"/>
                <w:sz w:val="18"/>
              </w:rPr>
              <w:t> </w:t>
            </w:r>
            <w:r>
              <w:rPr>
                <w:sz w:val="18"/>
              </w:rPr>
              <w:t>this</w:t>
            </w:r>
            <w:r>
              <w:rPr>
                <w:spacing w:val="-20"/>
                <w:sz w:val="18"/>
              </w:rPr>
              <w:t> </w:t>
            </w:r>
            <w:r>
              <w:rPr>
                <w:sz w:val="18"/>
              </w:rPr>
              <w:t>assessment</w:t>
            </w:r>
            <w:r>
              <w:rPr>
                <w:spacing w:val="-22"/>
                <w:sz w:val="18"/>
              </w:rPr>
              <w:t> </w:t>
            </w:r>
            <w:r>
              <w:rPr>
                <w:sz w:val="18"/>
              </w:rPr>
              <w:t>is</w:t>
            </w:r>
            <w:r>
              <w:rPr>
                <w:spacing w:val="-21"/>
                <w:sz w:val="18"/>
              </w:rPr>
              <w:t> </w:t>
            </w:r>
            <w:r>
              <w:rPr>
                <w:sz w:val="18"/>
              </w:rPr>
              <w:t>an</w:t>
            </w:r>
            <w:r>
              <w:rPr>
                <w:spacing w:val="-20"/>
                <w:sz w:val="18"/>
              </w:rPr>
              <w:t> </w:t>
            </w:r>
            <w:r>
              <w:rPr>
                <w:sz w:val="18"/>
              </w:rPr>
              <w:t>undivided</w:t>
            </w:r>
          </w:p>
          <w:p>
            <w:pPr>
              <w:pStyle w:val="TableParagraph"/>
              <w:spacing w:line="192" w:lineRule="exact" w:before="1"/>
              <w:ind w:left="129" w:right="149"/>
              <w:rPr>
                <w:sz w:val="18"/>
              </w:rPr>
            </w:pPr>
            <w:r>
              <w:rPr>
                <w:sz w:val="18"/>
              </w:rPr>
              <w:t>share of 3.19 Acres (for the office, retail and hospitality components).</w:t>
            </w:r>
          </w:p>
        </w:tc>
      </w:tr>
      <w:tr>
        <w:trPr>
          <w:trHeight w:val="611" w:hRule="atLeast"/>
        </w:trPr>
        <w:tc>
          <w:tcPr>
            <w:tcW w:w="2550" w:type="dxa"/>
            <w:shd w:val="clear" w:color="auto" w:fill="69BD28"/>
          </w:tcPr>
          <w:p>
            <w:pPr>
              <w:pStyle w:val="TableParagraph"/>
              <w:spacing w:before="5"/>
              <w:jc w:val="left"/>
              <w:rPr>
                <w:sz w:val="17"/>
              </w:rPr>
            </w:pPr>
          </w:p>
          <w:p>
            <w:pPr>
              <w:pStyle w:val="TableParagraph"/>
              <w:ind w:left="558" w:right="558"/>
              <w:rPr>
                <w:b/>
                <w:sz w:val="18"/>
              </w:rPr>
            </w:pPr>
            <w:r>
              <w:rPr>
                <w:b/>
                <w:color w:val="FFFFFF"/>
                <w:w w:val="110"/>
                <w:sz w:val="18"/>
              </w:rPr>
              <w:t>Area Details</w:t>
            </w:r>
          </w:p>
        </w:tc>
        <w:tc>
          <w:tcPr>
            <w:tcW w:w="7818" w:type="dxa"/>
            <w:tcBorders>
              <w:top w:val="single" w:sz="6" w:space="0" w:color="69BD28"/>
              <w:bottom w:val="single" w:sz="6" w:space="0" w:color="69BD28"/>
            </w:tcBorders>
          </w:tcPr>
          <w:p>
            <w:pPr>
              <w:pStyle w:val="TableParagraph"/>
              <w:spacing w:line="247" w:lineRule="auto" w:before="94"/>
              <w:ind w:left="2037" w:right="954" w:hanging="97"/>
              <w:jc w:val="left"/>
              <w:rPr>
                <w:sz w:val="18"/>
              </w:rPr>
            </w:pPr>
            <w:r>
              <w:rPr>
                <w:sz w:val="18"/>
              </w:rPr>
              <w:t>Leasable area - Office and Retail Area </w:t>
            </w:r>
            <w:r>
              <w:rPr>
                <w:w w:val="105"/>
                <w:sz w:val="18"/>
              </w:rPr>
              <w:t>– </w:t>
            </w:r>
            <w:r>
              <w:rPr>
                <w:sz w:val="18"/>
              </w:rPr>
              <w:t>0.25 msf Developable area - Hotel - 0.51 msf (230 keys)</w:t>
            </w:r>
          </w:p>
        </w:tc>
      </w:tr>
    </w:tbl>
    <w:p>
      <w:pPr>
        <w:spacing w:before="47"/>
        <w:ind w:left="240" w:right="0" w:firstLine="0"/>
        <w:jc w:val="left"/>
        <w:rPr>
          <w:i/>
          <w:sz w:val="18"/>
        </w:rPr>
      </w:pPr>
      <w:r>
        <w:rPr>
          <w:i/>
          <w:sz w:val="18"/>
        </w:rPr>
        <w:t>Source: Title Report, Architect Certificate</w:t>
      </w:r>
    </w:p>
    <w:p>
      <w:pPr>
        <w:pStyle w:val="BodyText"/>
        <w:spacing w:before="10"/>
        <w:rPr>
          <w:i/>
          <w:sz w:val="20"/>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26" w:id="636"/>
      <w:bookmarkEnd w:id="636"/>
      <w:r>
        <w:rPr/>
      </w:r>
      <w:bookmarkStart w:name="_bookmark326" w:id="637"/>
      <w:bookmarkEnd w:id="637"/>
      <w:r>
        <w:rPr>
          <w:color w:val="1F664D"/>
          <w:sz w:val="22"/>
        </w:rPr>
        <w:t>S</w:t>
      </w:r>
      <w:r>
        <w:rPr>
          <w:color w:val="1F664D"/>
          <w:sz w:val="22"/>
        </w:rPr>
        <w:t>ite Details</w:t>
      </w:r>
    </w:p>
    <w:p>
      <w:pPr>
        <w:pStyle w:val="BodyText"/>
        <w:spacing w:before="3"/>
        <w:rPr>
          <w:sz w:val="28"/>
        </w:rPr>
      </w:pPr>
    </w:p>
    <w:p>
      <w:pPr>
        <w:pStyle w:val="BodyText"/>
        <w:tabs>
          <w:tab w:pos="2760" w:val="left" w:leader="none"/>
        </w:tabs>
        <w:spacing w:line="321" w:lineRule="auto"/>
        <w:ind w:left="2761" w:right="345" w:hanging="1856"/>
        <w:jc w:val="both"/>
      </w:pPr>
      <w:r>
        <w:rPr/>
        <w:t>Situation:</w:t>
        <w:tab/>
        <w:t>Subject property </w:t>
      </w:r>
      <w:r>
        <w:rPr>
          <w:w w:val="105"/>
        </w:rPr>
        <w:t>– </w:t>
      </w:r>
      <w:r>
        <w:rPr/>
        <w:t>‘Embassy One’ is a mixed-use development located Bellary Road, Ganga Nagar, Bengaluru, Karnataka. The development comprises of a hotel</w:t>
      </w:r>
      <w:r>
        <w:rPr>
          <w:spacing w:val="-7"/>
        </w:rPr>
        <w:t> </w:t>
      </w:r>
      <w:r>
        <w:rPr/>
        <w:t>(viz.</w:t>
      </w:r>
      <w:r>
        <w:rPr>
          <w:spacing w:val="-6"/>
        </w:rPr>
        <w:t> </w:t>
      </w:r>
      <w:r>
        <w:rPr/>
        <w:t>Four</w:t>
      </w:r>
      <w:r>
        <w:rPr>
          <w:spacing w:val="-7"/>
        </w:rPr>
        <w:t> </w:t>
      </w:r>
      <w:r>
        <w:rPr/>
        <w:t>Seasons</w:t>
      </w:r>
      <w:r>
        <w:rPr>
          <w:spacing w:val="-8"/>
        </w:rPr>
        <w:t> </w:t>
      </w:r>
      <w:r>
        <w:rPr>
          <w:w w:val="105"/>
        </w:rPr>
        <w:t>–</w:t>
      </w:r>
      <w:r>
        <w:rPr>
          <w:spacing w:val="-9"/>
          <w:w w:val="105"/>
        </w:rPr>
        <w:t> </w:t>
      </w:r>
      <w:r>
        <w:rPr/>
        <w:t>India’s</w:t>
      </w:r>
      <w:r>
        <w:rPr>
          <w:spacing w:val="-7"/>
        </w:rPr>
        <w:t> </w:t>
      </w:r>
      <w:r>
        <w:rPr/>
        <w:t>second</w:t>
      </w:r>
      <w:r>
        <w:rPr>
          <w:spacing w:val="-7"/>
        </w:rPr>
        <w:t> </w:t>
      </w:r>
      <w:r>
        <w:rPr/>
        <w:t>such</w:t>
      </w:r>
      <w:r>
        <w:rPr>
          <w:spacing w:val="-7"/>
        </w:rPr>
        <w:t> </w:t>
      </w:r>
      <w:r>
        <w:rPr/>
        <w:t>hotel),</w:t>
      </w:r>
      <w:r>
        <w:rPr>
          <w:spacing w:val="-6"/>
        </w:rPr>
        <w:t> </w:t>
      </w:r>
      <w:r>
        <w:rPr/>
        <w:t>premium</w:t>
      </w:r>
      <w:r>
        <w:rPr>
          <w:spacing w:val="-6"/>
        </w:rPr>
        <w:t> </w:t>
      </w:r>
      <w:r>
        <w:rPr/>
        <w:t>offices</w:t>
      </w:r>
      <w:r>
        <w:rPr>
          <w:spacing w:val="-5"/>
        </w:rPr>
        <w:t> </w:t>
      </w:r>
      <w:r>
        <w:rPr/>
        <w:t>and</w:t>
      </w:r>
      <w:r>
        <w:rPr>
          <w:spacing w:val="-8"/>
        </w:rPr>
        <w:t> </w:t>
      </w:r>
      <w:r>
        <w:rPr/>
        <w:t>retail space</w:t>
      </w:r>
      <w:r>
        <w:rPr>
          <w:spacing w:val="-9"/>
        </w:rPr>
        <w:t> </w:t>
      </w:r>
      <w:r>
        <w:rPr/>
        <w:t>on</w:t>
      </w:r>
      <w:r>
        <w:rPr>
          <w:spacing w:val="-9"/>
        </w:rPr>
        <w:t> </w:t>
      </w:r>
      <w:r>
        <w:rPr/>
        <w:t>the</w:t>
      </w:r>
      <w:r>
        <w:rPr>
          <w:spacing w:val="-9"/>
        </w:rPr>
        <w:t> </w:t>
      </w:r>
      <w:r>
        <w:rPr/>
        <w:t>podium</w:t>
      </w:r>
      <w:r>
        <w:rPr>
          <w:spacing w:val="-9"/>
        </w:rPr>
        <w:t> </w:t>
      </w:r>
      <w:r>
        <w:rPr/>
        <w:t>and</w:t>
      </w:r>
      <w:r>
        <w:rPr>
          <w:spacing w:val="-8"/>
        </w:rPr>
        <w:t> </w:t>
      </w:r>
      <w:r>
        <w:rPr/>
        <w:t>lower</w:t>
      </w:r>
      <w:r>
        <w:rPr>
          <w:spacing w:val="-9"/>
        </w:rPr>
        <w:t> </w:t>
      </w:r>
      <w:r>
        <w:rPr/>
        <w:t>level</w:t>
      </w:r>
      <w:r>
        <w:rPr>
          <w:spacing w:val="-9"/>
        </w:rPr>
        <w:t> </w:t>
      </w:r>
      <w:r>
        <w:rPr/>
        <w:t>targeted</w:t>
      </w:r>
      <w:r>
        <w:rPr>
          <w:spacing w:val="-8"/>
        </w:rPr>
        <w:t> </w:t>
      </w:r>
      <w:r>
        <w:rPr/>
        <w:t>at</w:t>
      </w:r>
      <w:r>
        <w:rPr>
          <w:spacing w:val="-10"/>
        </w:rPr>
        <w:t> </w:t>
      </w:r>
      <w:r>
        <w:rPr/>
        <w:t>premium</w:t>
      </w:r>
      <w:r>
        <w:rPr>
          <w:spacing w:val="-8"/>
        </w:rPr>
        <w:t> </w:t>
      </w:r>
      <w:r>
        <w:rPr/>
        <w:t>international</w:t>
      </w:r>
      <w:r>
        <w:rPr>
          <w:spacing w:val="-8"/>
        </w:rPr>
        <w:t> </w:t>
      </w:r>
      <w:r>
        <w:rPr/>
        <w:t>brands. There</w:t>
      </w:r>
      <w:r>
        <w:rPr>
          <w:spacing w:val="-7"/>
        </w:rPr>
        <w:t> </w:t>
      </w:r>
      <w:r>
        <w:rPr/>
        <w:t>is</w:t>
      </w:r>
      <w:r>
        <w:rPr>
          <w:spacing w:val="-5"/>
        </w:rPr>
        <w:t> </w:t>
      </w:r>
      <w:r>
        <w:rPr/>
        <w:t>also</w:t>
      </w:r>
      <w:r>
        <w:rPr>
          <w:spacing w:val="-7"/>
        </w:rPr>
        <w:t> </w:t>
      </w:r>
      <w:r>
        <w:rPr/>
        <w:t>a</w:t>
      </w:r>
      <w:r>
        <w:rPr>
          <w:spacing w:val="-6"/>
        </w:rPr>
        <w:t> </w:t>
      </w:r>
      <w:r>
        <w:rPr/>
        <w:t>high-end</w:t>
      </w:r>
      <w:r>
        <w:rPr>
          <w:spacing w:val="-8"/>
        </w:rPr>
        <w:t> </w:t>
      </w:r>
      <w:r>
        <w:rPr/>
        <w:t>residential</w:t>
      </w:r>
      <w:r>
        <w:rPr>
          <w:spacing w:val="-7"/>
        </w:rPr>
        <w:t> </w:t>
      </w:r>
      <w:r>
        <w:rPr/>
        <w:t>(Four</w:t>
      </w:r>
      <w:r>
        <w:rPr>
          <w:spacing w:val="-6"/>
        </w:rPr>
        <w:t> </w:t>
      </w:r>
      <w:r>
        <w:rPr/>
        <w:t>Seasons</w:t>
      </w:r>
      <w:r>
        <w:rPr>
          <w:spacing w:val="-7"/>
        </w:rPr>
        <w:t> </w:t>
      </w:r>
      <w:r>
        <w:rPr/>
        <w:t>branded</w:t>
      </w:r>
      <w:r>
        <w:rPr>
          <w:spacing w:val="-6"/>
        </w:rPr>
        <w:t> </w:t>
      </w:r>
      <w:r>
        <w:rPr/>
        <w:t>and</w:t>
      </w:r>
      <w:r>
        <w:rPr>
          <w:spacing w:val="-8"/>
        </w:rPr>
        <w:t> </w:t>
      </w:r>
      <w:r>
        <w:rPr/>
        <w:t>serviced)</w:t>
      </w:r>
      <w:r>
        <w:rPr>
          <w:spacing w:val="-5"/>
        </w:rPr>
        <w:t> </w:t>
      </w:r>
      <w:r>
        <w:rPr/>
        <w:t>as</w:t>
      </w:r>
      <w:r>
        <w:rPr>
          <w:spacing w:val="-6"/>
        </w:rPr>
        <w:t> </w:t>
      </w:r>
      <w:r>
        <w:rPr/>
        <w:t>part of the larger</w:t>
      </w:r>
      <w:r>
        <w:rPr>
          <w:spacing w:val="-11"/>
        </w:rPr>
        <w:t> </w:t>
      </w:r>
      <w:r>
        <w:rPr/>
        <w:t>development.</w:t>
      </w:r>
    </w:p>
    <w:p>
      <w:pPr>
        <w:pStyle w:val="BodyText"/>
        <w:spacing w:before="11"/>
        <w:rPr>
          <w:sz w:val="20"/>
        </w:rPr>
      </w:pPr>
    </w:p>
    <w:p>
      <w:pPr>
        <w:pStyle w:val="BodyText"/>
        <w:tabs>
          <w:tab w:pos="2760" w:val="left" w:leader="none"/>
        </w:tabs>
        <w:spacing w:line="321" w:lineRule="auto"/>
        <w:ind w:left="2761" w:right="342" w:hanging="1856"/>
        <w:jc w:val="both"/>
      </w:pPr>
      <w:r>
        <w:rPr/>
        <w:t>Location:</w:t>
        <w:tab/>
        <w:t>Subject site is located in a premium location on the main arterial Bellary Road between Bengaluru Airport and the CBD, approx. 6-7 km from MG Road. The stretch</w:t>
      </w:r>
      <w:r>
        <w:rPr>
          <w:spacing w:val="-24"/>
        </w:rPr>
        <w:t> </w:t>
      </w:r>
      <w:r>
        <w:rPr/>
        <w:t>between</w:t>
      </w:r>
      <w:r>
        <w:rPr>
          <w:spacing w:val="-24"/>
        </w:rPr>
        <w:t> </w:t>
      </w:r>
      <w:r>
        <w:rPr/>
        <w:t>the</w:t>
      </w:r>
      <w:r>
        <w:rPr>
          <w:spacing w:val="-23"/>
        </w:rPr>
        <w:t> </w:t>
      </w:r>
      <w:r>
        <w:rPr/>
        <w:t>CBD</w:t>
      </w:r>
      <w:r>
        <w:rPr>
          <w:spacing w:val="-25"/>
        </w:rPr>
        <w:t> </w:t>
      </w:r>
      <w:r>
        <w:rPr/>
        <w:t>and</w:t>
      </w:r>
      <w:r>
        <w:rPr>
          <w:spacing w:val="-23"/>
        </w:rPr>
        <w:t> </w:t>
      </w:r>
      <w:r>
        <w:rPr/>
        <w:t>Mekhri</w:t>
      </w:r>
      <w:r>
        <w:rPr>
          <w:spacing w:val="-24"/>
        </w:rPr>
        <w:t> </w:t>
      </w:r>
      <w:r>
        <w:rPr/>
        <w:t>circle</w:t>
      </w:r>
      <w:r>
        <w:rPr>
          <w:spacing w:val="-23"/>
        </w:rPr>
        <w:t> </w:t>
      </w:r>
      <w:r>
        <w:rPr/>
        <w:t>is</w:t>
      </w:r>
      <w:r>
        <w:rPr>
          <w:spacing w:val="-23"/>
        </w:rPr>
        <w:t> </w:t>
      </w:r>
      <w:r>
        <w:rPr/>
        <w:t>recognized</w:t>
      </w:r>
      <w:r>
        <w:rPr>
          <w:spacing w:val="-22"/>
        </w:rPr>
        <w:t> </w:t>
      </w:r>
      <w:r>
        <w:rPr/>
        <w:t>as</w:t>
      </w:r>
      <w:r>
        <w:rPr>
          <w:spacing w:val="-23"/>
        </w:rPr>
        <w:t> </w:t>
      </w:r>
      <w:r>
        <w:rPr/>
        <w:t>a</w:t>
      </w:r>
      <w:r>
        <w:rPr>
          <w:spacing w:val="-24"/>
        </w:rPr>
        <w:t> </w:t>
      </w:r>
      <w:r>
        <w:rPr/>
        <w:t>premium</w:t>
      </w:r>
      <w:r>
        <w:rPr>
          <w:spacing w:val="-21"/>
        </w:rPr>
        <w:t> </w:t>
      </w:r>
      <w:r>
        <w:rPr/>
        <w:t>residential and hospitality hub of Bengaluru. Subject location lies in close proximity to premium residential colonies of Sheshadripuram, Sadashiva Nagar, Dollars colony, Fraser Town, Jayamahal, etc., which house affluent population of businessmen community, ministers,</w:t>
      </w:r>
      <w:r>
        <w:rPr>
          <w:spacing w:val="-19"/>
        </w:rPr>
        <w:t> </w:t>
      </w:r>
      <w:r>
        <w:rPr/>
        <w:t>etc.</w:t>
      </w:r>
    </w:p>
    <w:p>
      <w:pPr>
        <w:pStyle w:val="BodyText"/>
        <w:spacing w:line="321" w:lineRule="auto" w:before="125"/>
        <w:ind w:left="2761" w:right="345"/>
        <w:jc w:val="both"/>
      </w:pPr>
      <w:r>
        <w:rPr/>
        <w:t>In addition, Bengaluru’s prestigious Golf course, Bengaluru Golf Club (BGC)</w:t>
      </w:r>
      <w:r>
        <w:rPr>
          <w:spacing w:val="-41"/>
        </w:rPr>
        <w:t> </w:t>
      </w:r>
      <w:r>
        <w:rPr/>
        <w:t>and Race</w:t>
      </w:r>
      <w:r>
        <w:rPr>
          <w:spacing w:val="-8"/>
        </w:rPr>
        <w:t> </w:t>
      </w:r>
      <w:r>
        <w:rPr/>
        <w:t>Course</w:t>
      </w:r>
      <w:r>
        <w:rPr>
          <w:spacing w:val="-7"/>
        </w:rPr>
        <w:t> </w:t>
      </w:r>
      <w:r>
        <w:rPr/>
        <w:t>are</w:t>
      </w:r>
      <w:r>
        <w:rPr>
          <w:spacing w:val="-8"/>
        </w:rPr>
        <w:t> </w:t>
      </w:r>
      <w:r>
        <w:rPr/>
        <w:t>located</w:t>
      </w:r>
      <w:r>
        <w:rPr>
          <w:spacing w:val="-6"/>
        </w:rPr>
        <w:t> </w:t>
      </w:r>
      <w:r>
        <w:rPr/>
        <w:t>along</w:t>
      </w:r>
      <w:r>
        <w:rPr>
          <w:spacing w:val="-7"/>
        </w:rPr>
        <w:t> </w:t>
      </w:r>
      <w:r>
        <w:rPr/>
        <w:t>the</w:t>
      </w:r>
      <w:r>
        <w:rPr>
          <w:spacing w:val="-7"/>
        </w:rPr>
        <w:t> </w:t>
      </w:r>
      <w:r>
        <w:rPr/>
        <w:t>road</w:t>
      </w:r>
      <w:r>
        <w:rPr>
          <w:spacing w:val="-7"/>
        </w:rPr>
        <w:t> </w:t>
      </w:r>
      <w:r>
        <w:rPr/>
        <w:t>leading</w:t>
      </w:r>
      <w:r>
        <w:rPr>
          <w:spacing w:val="-8"/>
        </w:rPr>
        <w:t> </w:t>
      </w:r>
      <w:r>
        <w:rPr/>
        <w:t>to</w:t>
      </w:r>
      <w:r>
        <w:rPr>
          <w:spacing w:val="-4"/>
        </w:rPr>
        <w:t> </w:t>
      </w:r>
      <w:r>
        <w:rPr/>
        <w:t>the</w:t>
      </w:r>
      <w:r>
        <w:rPr>
          <w:spacing w:val="-7"/>
        </w:rPr>
        <w:t> </w:t>
      </w:r>
      <w:r>
        <w:rPr/>
        <w:t>subject</w:t>
      </w:r>
      <w:r>
        <w:rPr>
          <w:spacing w:val="-9"/>
        </w:rPr>
        <w:t> </w:t>
      </w:r>
      <w:r>
        <w:rPr/>
        <w:t>site.</w:t>
      </w:r>
      <w:r>
        <w:rPr>
          <w:spacing w:val="-7"/>
        </w:rPr>
        <w:t> </w:t>
      </w:r>
      <w:r>
        <w:rPr/>
        <w:t>Further,</w:t>
      </w:r>
      <w:r>
        <w:rPr>
          <w:spacing w:val="-7"/>
        </w:rPr>
        <w:t> </w:t>
      </w:r>
      <w:r>
        <w:rPr/>
        <w:t>the location</w:t>
      </w:r>
      <w:r>
        <w:rPr>
          <w:spacing w:val="-19"/>
        </w:rPr>
        <w:t> </w:t>
      </w:r>
      <w:r>
        <w:rPr/>
        <w:t>is</w:t>
      </w:r>
      <w:r>
        <w:rPr>
          <w:spacing w:val="-17"/>
        </w:rPr>
        <w:t> </w:t>
      </w:r>
      <w:r>
        <w:rPr/>
        <w:t>considered</w:t>
      </w:r>
      <w:r>
        <w:rPr>
          <w:spacing w:val="-19"/>
        </w:rPr>
        <w:t> </w:t>
      </w:r>
      <w:r>
        <w:rPr/>
        <w:t>an</w:t>
      </w:r>
      <w:r>
        <w:rPr>
          <w:spacing w:val="-19"/>
        </w:rPr>
        <w:t> </w:t>
      </w:r>
      <w:r>
        <w:rPr/>
        <w:t>established</w:t>
      </w:r>
      <w:r>
        <w:rPr>
          <w:spacing w:val="-19"/>
        </w:rPr>
        <w:t> </w:t>
      </w:r>
      <w:r>
        <w:rPr/>
        <w:t>hub</w:t>
      </w:r>
      <w:r>
        <w:rPr>
          <w:spacing w:val="-19"/>
        </w:rPr>
        <w:t> </w:t>
      </w:r>
      <w:r>
        <w:rPr/>
        <w:t>for</w:t>
      </w:r>
      <w:r>
        <w:rPr>
          <w:spacing w:val="-18"/>
        </w:rPr>
        <w:t> </w:t>
      </w:r>
      <w:r>
        <w:rPr/>
        <w:t>premium</w:t>
      </w:r>
      <w:r>
        <w:rPr>
          <w:spacing w:val="-17"/>
        </w:rPr>
        <w:t> </w:t>
      </w:r>
      <w:r>
        <w:rPr/>
        <w:t>hotels,</w:t>
      </w:r>
      <w:r>
        <w:rPr>
          <w:spacing w:val="-18"/>
        </w:rPr>
        <w:t> </w:t>
      </w:r>
      <w:r>
        <w:rPr/>
        <w:t>housing</w:t>
      </w:r>
      <w:r>
        <w:rPr>
          <w:spacing w:val="-19"/>
        </w:rPr>
        <w:t> </w:t>
      </w:r>
      <w:r>
        <w:rPr/>
        <w:t>prominent 5</w:t>
      </w:r>
      <w:r>
        <w:rPr>
          <w:spacing w:val="-7"/>
        </w:rPr>
        <w:t> </w:t>
      </w:r>
      <w:r>
        <w:rPr/>
        <w:t>star</w:t>
      </w:r>
      <w:r>
        <w:rPr>
          <w:spacing w:val="-7"/>
        </w:rPr>
        <w:t> </w:t>
      </w:r>
      <w:r>
        <w:rPr/>
        <w:t>hotels</w:t>
      </w:r>
      <w:r>
        <w:rPr>
          <w:spacing w:val="-5"/>
        </w:rPr>
        <w:t> </w:t>
      </w:r>
      <w:r>
        <w:rPr/>
        <w:t>such</w:t>
      </w:r>
      <w:r>
        <w:rPr>
          <w:spacing w:val="-7"/>
        </w:rPr>
        <w:t> </w:t>
      </w:r>
      <w:r>
        <w:rPr/>
        <w:t>as</w:t>
      </w:r>
      <w:r>
        <w:rPr>
          <w:spacing w:val="-5"/>
        </w:rPr>
        <w:t> </w:t>
      </w:r>
      <w:r>
        <w:rPr/>
        <w:t>Windsor</w:t>
      </w:r>
      <w:r>
        <w:rPr>
          <w:spacing w:val="-5"/>
        </w:rPr>
        <w:t> </w:t>
      </w:r>
      <w:r>
        <w:rPr/>
        <w:t>Manor,</w:t>
      </w:r>
      <w:r>
        <w:rPr>
          <w:spacing w:val="-6"/>
        </w:rPr>
        <w:t> </w:t>
      </w:r>
      <w:r>
        <w:rPr/>
        <w:t>Lalit</w:t>
      </w:r>
      <w:r>
        <w:rPr>
          <w:spacing w:val="-6"/>
        </w:rPr>
        <w:t> </w:t>
      </w:r>
      <w:r>
        <w:rPr/>
        <w:t>Ashok</w:t>
      </w:r>
      <w:r>
        <w:rPr>
          <w:spacing w:val="-7"/>
        </w:rPr>
        <w:t> </w:t>
      </w:r>
      <w:r>
        <w:rPr/>
        <w:t>&amp;</w:t>
      </w:r>
      <w:r>
        <w:rPr>
          <w:spacing w:val="-6"/>
        </w:rPr>
        <w:t> </w:t>
      </w:r>
      <w:r>
        <w:rPr/>
        <w:t>Taj</w:t>
      </w:r>
      <w:r>
        <w:rPr>
          <w:spacing w:val="-6"/>
        </w:rPr>
        <w:t> </w:t>
      </w:r>
      <w:r>
        <w:rPr/>
        <w:t>Westend.</w:t>
      </w:r>
    </w:p>
    <w:p>
      <w:pPr>
        <w:pStyle w:val="BodyText"/>
        <w:spacing w:line="321" w:lineRule="auto" w:before="121"/>
        <w:ind w:left="2761" w:right="346"/>
        <w:jc w:val="both"/>
      </w:pPr>
      <w:r>
        <w:rPr/>
        <w:t>On</w:t>
      </w:r>
      <w:r>
        <w:rPr>
          <w:spacing w:val="-36"/>
        </w:rPr>
        <w:t> </w:t>
      </w:r>
      <w:r>
        <w:rPr/>
        <w:t>account</w:t>
      </w:r>
      <w:r>
        <w:rPr>
          <w:spacing w:val="-35"/>
        </w:rPr>
        <w:t> </w:t>
      </w:r>
      <w:r>
        <w:rPr/>
        <w:t>of</w:t>
      </w:r>
      <w:r>
        <w:rPr>
          <w:spacing w:val="-35"/>
        </w:rPr>
        <w:t> </w:t>
      </w:r>
      <w:r>
        <w:rPr/>
        <w:t>being</w:t>
      </w:r>
      <w:r>
        <w:rPr>
          <w:spacing w:val="-35"/>
        </w:rPr>
        <w:t> </w:t>
      </w:r>
      <w:r>
        <w:rPr/>
        <w:t>in</w:t>
      </w:r>
      <w:r>
        <w:rPr>
          <w:spacing w:val="-36"/>
        </w:rPr>
        <w:t> </w:t>
      </w:r>
      <w:r>
        <w:rPr/>
        <w:t>close</w:t>
      </w:r>
      <w:r>
        <w:rPr>
          <w:spacing w:val="-35"/>
        </w:rPr>
        <w:t> </w:t>
      </w:r>
      <w:r>
        <w:rPr/>
        <w:t>proximity</w:t>
      </w:r>
      <w:r>
        <w:rPr>
          <w:spacing w:val="-36"/>
        </w:rPr>
        <w:t> </w:t>
      </w:r>
      <w:r>
        <w:rPr/>
        <w:t>to</w:t>
      </w:r>
      <w:r>
        <w:rPr>
          <w:spacing w:val="-35"/>
        </w:rPr>
        <w:t> </w:t>
      </w:r>
      <w:r>
        <w:rPr/>
        <w:t>the</w:t>
      </w:r>
      <w:r>
        <w:rPr>
          <w:spacing w:val="-36"/>
        </w:rPr>
        <w:t> </w:t>
      </w:r>
      <w:r>
        <w:rPr/>
        <w:t>Outer</w:t>
      </w:r>
      <w:r>
        <w:rPr>
          <w:spacing w:val="-37"/>
        </w:rPr>
        <w:t> </w:t>
      </w:r>
      <w:r>
        <w:rPr/>
        <w:t>Ring</w:t>
      </w:r>
      <w:r>
        <w:rPr>
          <w:spacing w:val="-34"/>
        </w:rPr>
        <w:t> </w:t>
      </w:r>
      <w:r>
        <w:rPr/>
        <w:t>Road,</w:t>
      </w:r>
      <w:r>
        <w:rPr>
          <w:spacing w:val="-37"/>
        </w:rPr>
        <w:t> </w:t>
      </w:r>
      <w:r>
        <w:rPr/>
        <w:t>the</w:t>
      </w:r>
      <w:r>
        <w:rPr>
          <w:spacing w:val="-35"/>
        </w:rPr>
        <w:t> </w:t>
      </w:r>
      <w:r>
        <w:rPr/>
        <w:t>subject</w:t>
      </w:r>
      <w:r>
        <w:rPr>
          <w:spacing w:val="-36"/>
        </w:rPr>
        <w:t> </w:t>
      </w:r>
      <w:r>
        <w:rPr/>
        <w:t>property enjoys</w:t>
      </w:r>
      <w:r>
        <w:rPr>
          <w:spacing w:val="-25"/>
        </w:rPr>
        <w:t> </w:t>
      </w:r>
      <w:r>
        <w:rPr/>
        <w:t>good</w:t>
      </w:r>
      <w:r>
        <w:rPr>
          <w:spacing w:val="-24"/>
        </w:rPr>
        <w:t> </w:t>
      </w:r>
      <w:r>
        <w:rPr/>
        <w:t>connectivity</w:t>
      </w:r>
      <w:r>
        <w:rPr>
          <w:spacing w:val="-25"/>
        </w:rPr>
        <w:t> </w:t>
      </w:r>
      <w:r>
        <w:rPr/>
        <w:t>to</w:t>
      </w:r>
      <w:r>
        <w:rPr>
          <w:spacing w:val="-25"/>
        </w:rPr>
        <w:t> </w:t>
      </w:r>
      <w:r>
        <w:rPr/>
        <w:t>other</w:t>
      </w:r>
      <w:r>
        <w:rPr>
          <w:spacing w:val="-24"/>
        </w:rPr>
        <w:t> </w:t>
      </w:r>
      <w:r>
        <w:rPr/>
        <w:t>established</w:t>
      </w:r>
      <w:r>
        <w:rPr>
          <w:spacing w:val="-23"/>
        </w:rPr>
        <w:t> </w:t>
      </w:r>
      <w:r>
        <w:rPr/>
        <w:t>sub</w:t>
      </w:r>
      <w:r>
        <w:rPr>
          <w:spacing w:val="-25"/>
        </w:rPr>
        <w:t> </w:t>
      </w:r>
      <w:r>
        <w:rPr/>
        <w:t>markets</w:t>
      </w:r>
      <w:r>
        <w:rPr>
          <w:spacing w:val="-23"/>
        </w:rPr>
        <w:t> </w:t>
      </w:r>
      <w:r>
        <w:rPr/>
        <w:t>such</w:t>
      </w:r>
      <w:r>
        <w:rPr>
          <w:spacing w:val="-24"/>
        </w:rPr>
        <w:t> </w:t>
      </w:r>
      <w:r>
        <w:rPr/>
        <w:t>as</w:t>
      </w:r>
      <w:r>
        <w:rPr>
          <w:spacing w:val="-25"/>
        </w:rPr>
        <w:t> </w:t>
      </w:r>
      <w:r>
        <w:rPr/>
        <w:t>Yeshwanthpur, KR Puram, Whitefield, Sarjapur Outer ring road,</w:t>
      </w:r>
      <w:r>
        <w:rPr>
          <w:spacing w:val="-44"/>
        </w:rPr>
        <w:t> </w:t>
      </w:r>
      <w:r>
        <w:rPr/>
        <w:t>etc.</w:t>
      </w:r>
    </w:p>
    <w:p>
      <w:pPr>
        <w:pStyle w:val="BodyText"/>
        <w:spacing w:line="324" w:lineRule="auto" w:before="123"/>
        <w:ind w:left="2761" w:right="345"/>
        <w:jc w:val="both"/>
      </w:pPr>
      <w:r>
        <w:rPr/>
        <w:t>The distances from key hubs to the subject property are presented in the table below:</w:t>
      </w:r>
    </w:p>
    <w:p>
      <w:pPr>
        <w:spacing w:after="0" w:line="324" w:lineRule="auto"/>
        <w:jc w:val="both"/>
        <w:sectPr>
          <w:pgSz w:w="11910" w:h="16840"/>
          <w:pgMar w:header="720" w:footer="862" w:top="1660" w:bottom="1060" w:left="480" w:right="480"/>
        </w:sectPr>
      </w:pPr>
    </w:p>
    <w:p>
      <w:pPr>
        <w:pStyle w:val="BodyText"/>
        <w:rPr>
          <w:sz w:val="19"/>
        </w:rPr>
      </w:pPr>
    </w:p>
    <w:tbl>
      <w:tblPr>
        <w:tblW w:w="0" w:type="auto"/>
        <w:jc w:val="left"/>
        <w:tblInd w:w="27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81"/>
        <w:gridCol w:w="2761"/>
      </w:tblGrid>
      <w:tr>
        <w:trPr>
          <w:trHeight w:val="287" w:hRule="atLeast"/>
        </w:trPr>
        <w:tc>
          <w:tcPr>
            <w:tcW w:w="5081" w:type="dxa"/>
            <w:tcBorders>
              <w:top w:val="single" w:sz="6" w:space="0" w:color="69BD28"/>
              <w:bottom w:val="single" w:sz="6" w:space="0" w:color="69BD28"/>
            </w:tcBorders>
            <w:shd w:val="clear" w:color="auto" w:fill="006A4D"/>
          </w:tcPr>
          <w:p>
            <w:pPr>
              <w:pStyle w:val="TableParagraph"/>
              <w:spacing w:before="39"/>
              <w:ind w:left="1535" w:right="969"/>
              <w:rPr>
                <w:b/>
                <w:sz w:val="18"/>
              </w:rPr>
            </w:pPr>
            <w:r>
              <w:rPr>
                <w:b/>
                <w:color w:val="FFFFFF"/>
                <w:w w:val="110"/>
                <w:sz w:val="18"/>
              </w:rPr>
              <w:t>Landmark</w:t>
            </w:r>
          </w:p>
        </w:tc>
        <w:tc>
          <w:tcPr>
            <w:tcW w:w="2761" w:type="dxa"/>
            <w:tcBorders>
              <w:top w:val="single" w:sz="6" w:space="0" w:color="69BD28"/>
              <w:bottom w:val="single" w:sz="6" w:space="0" w:color="69BD28"/>
            </w:tcBorders>
            <w:shd w:val="clear" w:color="auto" w:fill="006A4D"/>
          </w:tcPr>
          <w:p>
            <w:pPr>
              <w:pStyle w:val="TableParagraph"/>
              <w:spacing w:before="39"/>
              <w:ind w:left="1008" w:right="441"/>
              <w:rPr>
                <w:b/>
                <w:sz w:val="18"/>
              </w:rPr>
            </w:pPr>
            <w:r>
              <w:rPr>
                <w:b/>
                <w:color w:val="FFFFFF"/>
                <w:w w:val="110"/>
                <w:sz w:val="18"/>
              </w:rPr>
              <w:t>Distance (km)</w:t>
            </w:r>
          </w:p>
        </w:tc>
      </w:tr>
      <w:tr>
        <w:trPr>
          <w:trHeight w:val="286" w:hRule="atLeast"/>
        </w:trPr>
        <w:tc>
          <w:tcPr>
            <w:tcW w:w="5081" w:type="dxa"/>
            <w:tcBorders>
              <w:top w:val="single" w:sz="6" w:space="0" w:color="69BD28"/>
              <w:bottom w:val="single" w:sz="6" w:space="0" w:color="69BD28"/>
            </w:tcBorders>
          </w:tcPr>
          <w:p>
            <w:pPr>
              <w:pStyle w:val="TableParagraph"/>
              <w:spacing w:before="39"/>
              <w:ind w:left="1535" w:right="968"/>
              <w:rPr>
                <w:sz w:val="18"/>
              </w:rPr>
            </w:pPr>
            <w:r>
              <w:rPr>
                <w:sz w:val="18"/>
              </w:rPr>
              <w:t>Mekhri circle</w:t>
            </w:r>
          </w:p>
        </w:tc>
        <w:tc>
          <w:tcPr>
            <w:tcW w:w="2761" w:type="dxa"/>
            <w:tcBorders>
              <w:top w:val="single" w:sz="6" w:space="0" w:color="69BD28"/>
              <w:bottom w:val="single" w:sz="6" w:space="0" w:color="69BD28"/>
            </w:tcBorders>
          </w:tcPr>
          <w:p>
            <w:pPr>
              <w:pStyle w:val="TableParagraph"/>
              <w:spacing w:before="32"/>
              <w:ind w:left="1005" w:right="441"/>
              <w:rPr>
                <w:sz w:val="18"/>
              </w:rPr>
            </w:pPr>
            <w:r>
              <w:rPr>
                <w:w w:val="105"/>
                <w:sz w:val="18"/>
              </w:rPr>
              <w:t>1-2 km</w:t>
            </w:r>
          </w:p>
        </w:tc>
      </w:tr>
      <w:tr>
        <w:trPr>
          <w:trHeight w:val="215" w:hRule="atLeast"/>
        </w:trPr>
        <w:tc>
          <w:tcPr>
            <w:tcW w:w="5081" w:type="dxa"/>
            <w:tcBorders>
              <w:top w:val="single" w:sz="6" w:space="0" w:color="69BD28"/>
              <w:bottom w:val="single" w:sz="6" w:space="0" w:color="69BD28"/>
            </w:tcBorders>
          </w:tcPr>
          <w:p>
            <w:pPr>
              <w:pStyle w:val="TableParagraph"/>
              <w:spacing w:line="192" w:lineRule="exact" w:before="3"/>
              <w:ind w:left="1535" w:right="974"/>
              <w:rPr>
                <w:sz w:val="18"/>
              </w:rPr>
            </w:pPr>
            <w:r>
              <w:rPr>
                <w:sz w:val="18"/>
              </w:rPr>
              <w:t>Hebbal Junction/ ORR Junction</w:t>
            </w:r>
          </w:p>
        </w:tc>
        <w:tc>
          <w:tcPr>
            <w:tcW w:w="2761" w:type="dxa"/>
            <w:tcBorders>
              <w:top w:val="single" w:sz="6" w:space="0" w:color="69BD28"/>
              <w:bottom w:val="single" w:sz="6" w:space="0" w:color="69BD28"/>
            </w:tcBorders>
          </w:tcPr>
          <w:p>
            <w:pPr>
              <w:pStyle w:val="TableParagraph"/>
              <w:spacing w:line="195" w:lineRule="exact"/>
              <w:ind w:left="1005" w:right="441"/>
              <w:rPr>
                <w:sz w:val="18"/>
              </w:rPr>
            </w:pPr>
            <w:r>
              <w:rPr>
                <w:w w:val="105"/>
                <w:sz w:val="18"/>
              </w:rPr>
              <w:t>3-4 km</w:t>
            </w:r>
          </w:p>
        </w:tc>
      </w:tr>
      <w:tr>
        <w:trPr>
          <w:trHeight w:val="369" w:hRule="atLeast"/>
        </w:trPr>
        <w:tc>
          <w:tcPr>
            <w:tcW w:w="5081" w:type="dxa"/>
            <w:tcBorders>
              <w:top w:val="single" w:sz="6" w:space="0" w:color="69BD28"/>
              <w:bottom w:val="single" w:sz="6" w:space="0" w:color="69BD28"/>
            </w:tcBorders>
          </w:tcPr>
          <w:p>
            <w:pPr>
              <w:pStyle w:val="TableParagraph"/>
              <w:spacing w:before="80"/>
              <w:ind w:left="2133"/>
              <w:jc w:val="left"/>
              <w:rPr>
                <w:sz w:val="18"/>
              </w:rPr>
            </w:pPr>
            <w:r>
              <w:rPr>
                <w:sz w:val="18"/>
              </w:rPr>
              <w:t>M.G. Road (CBD)</w:t>
            </w:r>
          </w:p>
        </w:tc>
        <w:tc>
          <w:tcPr>
            <w:tcW w:w="2761" w:type="dxa"/>
            <w:tcBorders>
              <w:top w:val="single" w:sz="6" w:space="0" w:color="69BD28"/>
              <w:bottom w:val="single" w:sz="6" w:space="0" w:color="69BD28"/>
            </w:tcBorders>
          </w:tcPr>
          <w:p>
            <w:pPr>
              <w:pStyle w:val="TableParagraph"/>
              <w:spacing w:before="75"/>
              <w:ind w:left="1005" w:right="441"/>
              <w:rPr>
                <w:sz w:val="18"/>
              </w:rPr>
            </w:pPr>
            <w:r>
              <w:rPr>
                <w:w w:val="105"/>
                <w:sz w:val="18"/>
              </w:rPr>
              <w:t>6-7 km</w:t>
            </w:r>
          </w:p>
        </w:tc>
      </w:tr>
      <w:tr>
        <w:trPr>
          <w:trHeight w:val="287" w:hRule="atLeast"/>
        </w:trPr>
        <w:tc>
          <w:tcPr>
            <w:tcW w:w="5081" w:type="dxa"/>
            <w:tcBorders>
              <w:top w:val="single" w:sz="6" w:space="0" w:color="69BD28"/>
              <w:bottom w:val="single" w:sz="6" w:space="0" w:color="69BD28"/>
            </w:tcBorders>
          </w:tcPr>
          <w:p>
            <w:pPr>
              <w:pStyle w:val="TableParagraph"/>
              <w:spacing w:before="39"/>
              <w:ind w:left="1535" w:right="972"/>
              <w:rPr>
                <w:sz w:val="18"/>
              </w:rPr>
            </w:pPr>
            <w:r>
              <w:rPr>
                <w:sz w:val="18"/>
              </w:rPr>
              <w:t>Yelahanka Junction</w:t>
            </w:r>
          </w:p>
        </w:tc>
        <w:tc>
          <w:tcPr>
            <w:tcW w:w="2761" w:type="dxa"/>
            <w:tcBorders>
              <w:top w:val="single" w:sz="6" w:space="0" w:color="69BD28"/>
              <w:bottom w:val="single" w:sz="6" w:space="0" w:color="69BD28"/>
            </w:tcBorders>
          </w:tcPr>
          <w:p>
            <w:pPr>
              <w:pStyle w:val="TableParagraph"/>
              <w:spacing w:before="34"/>
              <w:ind w:left="1005" w:right="441"/>
              <w:rPr>
                <w:sz w:val="18"/>
              </w:rPr>
            </w:pPr>
            <w:r>
              <w:rPr>
                <w:w w:val="105"/>
                <w:sz w:val="18"/>
              </w:rPr>
              <w:t>11-12 km</w:t>
            </w:r>
          </w:p>
        </w:tc>
      </w:tr>
      <w:tr>
        <w:trPr>
          <w:trHeight w:val="287" w:hRule="atLeast"/>
        </w:trPr>
        <w:tc>
          <w:tcPr>
            <w:tcW w:w="5081" w:type="dxa"/>
            <w:tcBorders>
              <w:top w:val="single" w:sz="6" w:space="0" w:color="69BD28"/>
              <w:bottom w:val="single" w:sz="6" w:space="0" w:color="69BD28"/>
            </w:tcBorders>
          </w:tcPr>
          <w:p>
            <w:pPr>
              <w:pStyle w:val="TableParagraph"/>
              <w:spacing w:before="39"/>
              <w:ind w:left="1535" w:right="970"/>
              <w:rPr>
                <w:sz w:val="18"/>
              </w:rPr>
            </w:pPr>
            <w:r>
              <w:rPr>
                <w:sz w:val="18"/>
              </w:rPr>
              <w:t>Bengaluru International Airport</w:t>
            </w:r>
          </w:p>
        </w:tc>
        <w:tc>
          <w:tcPr>
            <w:tcW w:w="2761" w:type="dxa"/>
            <w:tcBorders>
              <w:top w:val="single" w:sz="6" w:space="0" w:color="69BD28"/>
              <w:bottom w:val="single" w:sz="6" w:space="0" w:color="69BD28"/>
            </w:tcBorders>
          </w:tcPr>
          <w:p>
            <w:pPr>
              <w:pStyle w:val="TableParagraph"/>
              <w:spacing w:before="34"/>
              <w:ind w:left="1005" w:right="441"/>
              <w:rPr>
                <w:sz w:val="18"/>
              </w:rPr>
            </w:pPr>
            <w:r>
              <w:rPr>
                <w:w w:val="105"/>
                <w:sz w:val="18"/>
              </w:rPr>
              <w:t>27-28 km</w:t>
            </w:r>
          </w:p>
        </w:tc>
      </w:tr>
    </w:tbl>
    <w:p>
      <w:pPr>
        <w:spacing w:before="39"/>
        <w:ind w:left="2869" w:right="0" w:firstLine="0"/>
        <w:jc w:val="left"/>
        <w:rPr>
          <w:i/>
          <w:sz w:val="18"/>
        </w:rPr>
      </w:pPr>
      <w:r>
        <w:rPr>
          <w:i/>
          <w:sz w:val="18"/>
        </w:rPr>
        <w:t>Source: Consultants’ Research</w:t>
      </w:r>
    </w:p>
    <w:p>
      <w:pPr>
        <w:pStyle w:val="BodyText"/>
        <w:spacing w:before="1"/>
        <w:rPr>
          <w:i/>
          <w:sz w:val="20"/>
        </w:rPr>
      </w:pPr>
    </w:p>
    <w:p>
      <w:pPr>
        <w:pStyle w:val="BodyText"/>
        <w:tabs>
          <w:tab w:pos="2760" w:val="left" w:leader="none"/>
        </w:tabs>
        <w:spacing w:line="436" w:lineRule="auto" w:before="106"/>
        <w:ind w:left="2761" w:right="3805" w:hanging="1856"/>
      </w:pPr>
      <w:r>
        <w:rPr/>
        <w:t>Surrounds:</w:t>
        <w:tab/>
        <w:t>The</w:t>
      </w:r>
      <w:r>
        <w:rPr>
          <w:spacing w:val="-36"/>
        </w:rPr>
        <w:t> </w:t>
      </w:r>
      <w:r>
        <w:rPr/>
        <w:t>subject</w:t>
      </w:r>
      <w:r>
        <w:rPr>
          <w:spacing w:val="-37"/>
        </w:rPr>
        <w:t> </w:t>
      </w:r>
      <w:r>
        <w:rPr/>
        <w:t>property</w:t>
      </w:r>
      <w:r>
        <w:rPr>
          <w:spacing w:val="-35"/>
        </w:rPr>
        <w:t> </w:t>
      </w:r>
      <w:r>
        <w:rPr/>
        <w:t>is</w:t>
      </w:r>
      <w:r>
        <w:rPr>
          <w:spacing w:val="-35"/>
        </w:rPr>
        <w:t> </w:t>
      </w:r>
      <w:r>
        <w:rPr/>
        <w:t>surrounded</w:t>
      </w:r>
      <w:r>
        <w:rPr>
          <w:spacing w:val="-35"/>
        </w:rPr>
        <w:t> </w:t>
      </w:r>
      <w:r>
        <w:rPr/>
        <w:t>as</w:t>
      </w:r>
      <w:r>
        <w:rPr>
          <w:spacing w:val="-35"/>
        </w:rPr>
        <w:t> </w:t>
      </w:r>
      <w:r>
        <w:rPr/>
        <w:t>follows: North: HMT Bhawan</w:t>
      </w:r>
    </w:p>
    <w:p>
      <w:pPr>
        <w:pStyle w:val="BodyText"/>
        <w:spacing w:line="253" w:lineRule="exact"/>
        <w:ind w:left="2761"/>
      </w:pPr>
      <w:r>
        <w:rPr/>
        <w:t>South: Secondary access road</w:t>
      </w:r>
    </w:p>
    <w:p>
      <w:pPr>
        <w:pStyle w:val="BodyText"/>
        <w:spacing w:line="434" w:lineRule="auto" w:before="208"/>
        <w:ind w:left="2761" w:right="3039"/>
      </w:pPr>
      <w:r>
        <w:rPr>
          <w:w w:val="95"/>
        </w:rPr>
        <w:t>East: Private Property (Residential development) </w:t>
      </w:r>
      <w:r>
        <w:rPr/>
        <w:t>West: Bellary Road (Primary access road)</w:t>
      </w:r>
    </w:p>
    <w:p>
      <w:pPr>
        <w:spacing w:after="0" w:line="434" w:lineRule="auto"/>
        <w:sectPr>
          <w:pgSz w:w="11910" w:h="16840"/>
          <w:pgMar w:header="720" w:footer="862" w:top="1660" w:bottom="1060" w:left="480" w:right="480"/>
        </w:sectPr>
      </w:pPr>
    </w:p>
    <w:p>
      <w:pPr>
        <w:pStyle w:val="BodyText"/>
        <w:tabs>
          <w:tab w:pos="2368" w:val="left" w:leader="none"/>
        </w:tabs>
        <w:spacing w:line="321" w:lineRule="auto" w:before="119"/>
        <w:ind w:left="905"/>
      </w:pPr>
      <w:r>
        <w:rPr/>
        <w:t>Potential changes</w:t>
        <w:tab/>
      </w:r>
      <w:r>
        <w:rPr>
          <w:spacing w:val="-10"/>
        </w:rPr>
        <w:t>in </w:t>
      </w:r>
      <w:r>
        <w:rPr/>
        <w:t>surroundings:</w:t>
      </w:r>
    </w:p>
    <w:p>
      <w:pPr>
        <w:pStyle w:val="BodyText"/>
        <w:spacing w:line="321" w:lineRule="auto" w:before="119"/>
        <w:ind w:left="175" w:right="346"/>
        <w:jc w:val="both"/>
      </w:pPr>
      <w:r>
        <w:rPr/>
        <w:br w:type="column"/>
      </w:r>
      <w:r>
        <w:rPr/>
        <w:t>The</w:t>
      </w:r>
      <w:r>
        <w:rPr>
          <w:spacing w:val="-36"/>
        </w:rPr>
        <w:t> </w:t>
      </w:r>
      <w:r>
        <w:rPr/>
        <w:t>subject</w:t>
      </w:r>
      <w:r>
        <w:rPr>
          <w:spacing w:val="-35"/>
        </w:rPr>
        <w:t> </w:t>
      </w:r>
      <w:r>
        <w:rPr/>
        <w:t>location</w:t>
      </w:r>
      <w:r>
        <w:rPr>
          <w:spacing w:val="-36"/>
        </w:rPr>
        <w:t> </w:t>
      </w:r>
      <w:r>
        <w:rPr/>
        <w:t>is</w:t>
      </w:r>
      <w:r>
        <w:rPr>
          <w:spacing w:val="-35"/>
        </w:rPr>
        <w:t> </w:t>
      </w:r>
      <w:r>
        <w:rPr/>
        <w:t>an</w:t>
      </w:r>
      <w:r>
        <w:rPr>
          <w:spacing w:val="-35"/>
        </w:rPr>
        <w:t> </w:t>
      </w:r>
      <w:r>
        <w:rPr/>
        <w:t>established</w:t>
      </w:r>
      <w:r>
        <w:rPr>
          <w:spacing w:val="-35"/>
        </w:rPr>
        <w:t> </w:t>
      </w:r>
      <w:r>
        <w:rPr/>
        <w:t>residential</w:t>
      </w:r>
      <w:r>
        <w:rPr>
          <w:spacing w:val="-36"/>
        </w:rPr>
        <w:t> </w:t>
      </w:r>
      <w:r>
        <w:rPr/>
        <w:t>hub</w:t>
      </w:r>
      <w:r>
        <w:rPr>
          <w:spacing w:val="-35"/>
        </w:rPr>
        <w:t> </w:t>
      </w:r>
      <w:r>
        <w:rPr/>
        <w:t>in</w:t>
      </w:r>
      <w:r>
        <w:rPr>
          <w:spacing w:val="-36"/>
        </w:rPr>
        <w:t> </w:t>
      </w:r>
      <w:r>
        <w:rPr/>
        <w:t>Bengaluru.</w:t>
      </w:r>
      <w:r>
        <w:rPr>
          <w:spacing w:val="-35"/>
        </w:rPr>
        <w:t> </w:t>
      </w:r>
      <w:r>
        <w:rPr/>
        <w:t>In</w:t>
      </w:r>
      <w:r>
        <w:rPr>
          <w:spacing w:val="-36"/>
        </w:rPr>
        <w:t> </w:t>
      </w:r>
      <w:r>
        <w:rPr/>
        <w:t>addition,</w:t>
      </w:r>
      <w:r>
        <w:rPr>
          <w:spacing w:val="-36"/>
        </w:rPr>
        <w:t> </w:t>
      </w:r>
      <w:r>
        <w:rPr/>
        <w:t>the immediate surroundings have presence of Defense/ Institutional developments such</w:t>
      </w:r>
      <w:r>
        <w:rPr>
          <w:spacing w:val="-28"/>
        </w:rPr>
        <w:t> </w:t>
      </w:r>
      <w:r>
        <w:rPr/>
        <w:t>as</w:t>
      </w:r>
      <w:r>
        <w:rPr>
          <w:spacing w:val="-27"/>
        </w:rPr>
        <w:t> </w:t>
      </w:r>
      <w:r>
        <w:rPr/>
        <w:t>Air</w:t>
      </w:r>
      <w:r>
        <w:rPr>
          <w:spacing w:val="-27"/>
        </w:rPr>
        <w:t> </w:t>
      </w:r>
      <w:r>
        <w:rPr/>
        <w:t>Force</w:t>
      </w:r>
      <w:r>
        <w:rPr>
          <w:spacing w:val="-27"/>
        </w:rPr>
        <w:t> </w:t>
      </w:r>
      <w:r>
        <w:rPr/>
        <w:t>Training</w:t>
      </w:r>
      <w:r>
        <w:rPr>
          <w:spacing w:val="-25"/>
        </w:rPr>
        <w:t> </w:t>
      </w:r>
      <w:r>
        <w:rPr/>
        <w:t>Command,</w:t>
      </w:r>
      <w:r>
        <w:rPr>
          <w:spacing w:val="-28"/>
        </w:rPr>
        <w:t> </w:t>
      </w:r>
      <w:r>
        <w:rPr/>
        <w:t>DGQA</w:t>
      </w:r>
      <w:r>
        <w:rPr>
          <w:spacing w:val="-26"/>
        </w:rPr>
        <w:t> </w:t>
      </w:r>
      <w:r>
        <w:rPr/>
        <w:t>Residential</w:t>
      </w:r>
      <w:r>
        <w:rPr>
          <w:spacing w:val="-27"/>
        </w:rPr>
        <w:t> </w:t>
      </w:r>
      <w:r>
        <w:rPr/>
        <w:t>Quarters,</w:t>
      </w:r>
      <w:r>
        <w:rPr>
          <w:spacing w:val="-26"/>
        </w:rPr>
        <w:t> </w:t>
      </w:r>
      <w:r>
        <w:rPr/>
        <w:t>etc.</w:t>
      </w:r>
      <w:r>
        <w:rPr>
          <w:spacing w:val="-27"/>
        </w:rPr>
        <w:t> </w:t>
      </w:r>
      <w:r>
        <w:rPr/>
        <w:t>Thus,</w:t>
      </w:r>
      <w:r>
        <w:rPr>
          <w:spacing w:val="-29"/>
        </w:rPr>
        <w:t> </w:t>
      </w:r>
      <w:r>
        <w:rPr/>
        <w:t>there is</w:t>
      </w:r>
      <w:r>
        <w:rPr>
          <w:spacing w:val="-22"/>
        </w:rPr>
        <w:t> </w:t>
      </w:r>
      <w:r>
        <w:rPr/>
        <w:t>negligible</w:t>
      </w:r>
      <w:r>
        <w:rPr>
          <w:spacing w:val="-22"/>
        </w:rPr>
        <w:t> </w:t>
      </w:r>
      <w:r>
        <w:rPr/>
        <w:t>availability</w:t>
      </w:r>
      <w:r>
        <w:rPr>
          <w:spacing w:val="-20"/>
        </w:rPr>
        <w:t> </w:t>
      </w:r>
      <w:r>
        <w:rPr/>
        <w:t>of</w:t>
      </w:r>
      <w:r>
        <w:rPr>
          <w:spacing w:val="-21"/>
        </w:rPr>
        <w:t> </w:t>
      </w:r>
      <w:r>
        <w:rPr/>
        <w:t>land</w:t>
      </w:r>
      <w:r>
        <w:rPr>
          <w:spacing w:val="-22"/>
        </w:rPr>
        <w:t> </w:t>
      </w:r>
      <w:r>
        <w:rPr/>
        <w:t>in</w:t>
      </w:r>
      <w:r>
        <w:rPr>
          <w:spacing w:val="-22"/>
        </w:rPr>
        <w:t> </w:t>
      </w:r>
      <w:r>
        <w:rPr/>
        <w:t>close</w:t>
      </w:r>
      <w:r>
        <w:rPr>
          <w:spacing w:val="-22"/>
        </w:rPr>
        <w:t> </w:t>
      </w:r>
      <w:r>
        <w:rPr/>
        <w:t>proximity</w:t>
      </w:r>
      <w:r>
        <w:rPr>
          <w:spacing w:val="-20"/>
        </w:rPr>
        <w:t> </w:t>
      </w:r>
      <w:r>
        <w:rPr/>
        <w:t>to</w:t>
      </w:r>
      <w:r>
        <w:rPr>
          <w:spacing w:val="-22"/>
        </w:rPr>
        <w:t> </w:t>
      </w:r>
      <w:r>
        <w:rPr/>
        <w:t>the</w:t>
      </w:r>
      <w:r>
        <w:rPr>
          <w:spacing w:val="-23"/>
        </w:rPr>
        <w:t> </w:t>
      </w:r>
      <w:r>
        <w:rPr/>
        <w:t>subject</w:t>
      </w:r>
      <w:r>
        <w:rPr>
          <w:spacing w:val="-21"/>
        </w:rPr>
        <w:t> </w:t>
      </w:r>
      <w:r>
        <w:rPr/>
        <w:t>development</w:t>
      </w:r>
      <w:r>
        <w:rPr>
          <w:spacing w:val="-22"/>
        </w:rPr>
        <w:t> </w:t>
      </w:r>
      <w:r>
        <w:rPr/>
        <w:t>for further</w:t>
      </w:r>
      <w:r>
        <w:rPr>
          <w:spacing w:val="-4"/>
        </w:rPr>
        <w:t> </w:t>
      </w:r>
      <w:r>
        <w:rPr/>
        <w:t>development.</w:t>
      </w:r>
    </w:p>
    <w:p>
      <w:pPr>
        <w:pStyle w:val="BodyText"/>
        <w:spacing w:line="321" w:lineRule="auto" w:before="125"/>
        <w:ind w:left="175" w:right="342"/>
        <w:jc w:val="both"/>
      </w:pPr>
      <w:r>
        <w:rPr/>
        <w:t>However,</w:t>
      </w:r>
      <w:r>
        <w:rPr>
          <w:spacing w:val="-14"/>
        </w:rPr>
        <w:t> </w:t>
      </w:r>
      <w:r>
        <w:rPr/>
        <w:t>north</w:t>
      </w:r>
      <w:r>
        <w:rPr>
          <w:spacing w:val="-14"/>
        </w:rPr>
        <w:t> </w:t>
      </w:r>
      <w:r>
        <w:rPr/>
        <w:t>of</w:t>
      </w:r>
      <w:r>
        <w:rPr>
          <w:spacing w:val="-13"/>
        </w:rPr>
        <w:t> </w:t>
      </w:r>
      <w:r>
        <w:rPr/>
        <w:t>the</w:t>
      </w:r>
      <w:r>
        <w:rPr>
          <w:spacing w:val="-15"/>
        </w:rPr>
        <w:t> </w:t>
      </w:r>
      <w:r>
        <w:rPr/>
        <w:t>subject</w:t>
      </w:r>
      <w:r>
        <w:rPr>
          <w:spacing w:val="-14"/>
        </w:rPr>
        <w:t> </w:t>
      </w:r>
      <w:r>
        <w:rPr/>
        <w:t>property,</w:t>
      </w:r>
      <w:r>
        <w:rPr>
          <w:spacing w:val="-14"/>
        </w:rPr>
        <w:t> </w:t>
      </w:r>
      <w:r>
        <w:rPr/>
        <w:t>locations</w:t>
      </w:r>
      <w:r>
        <w:rPr>
          <w:spacing w:val="-14"/>
        </w:rPr>
        <w:t> </w:t>
      </w:r>
      <w:r>
        <w:rPr/>
        <w:t>such</w:t>
      </w:r>
      <w:r>
        <w:rPr>
          <w:spacing w:val="-14"/>
        </w:rPr>
        <w:t> </w:t>
      </w:r>
      <w:r>
        <w:rPr/>
        <w:t>as</w:t>
      </w:r>
      <w:r>
        <w:rPr>
          <w:spacing w:val="-13"/>
        </w:rPr>
        <w:t> </w:t>
      </w:r>
      <w:r>
        <w:rPr/>
        <w:t>Hebbal</w:t>
      </w:r>
      <w:r>
        <w:rPr>
          <w:spacing w:val="-14"/>
        </w:rPr>
        <w:t> </w:t>
      </w:r>
      <w:r>
        <w:rPr/>
        <w:t>and</w:t>
      </w:r>
      <w:r>
        <w:rPr>
          <w:spacing w:val="-14"/>
        </w:rPr>
        <w:t> </w:t>
      </w:r>
      <w:r>
        <w:rPr/>
        <w:t>Yelahanka which</w:t>
      </w:r>
      <w:r>
        <w:rPr>
          <w:spacing w:val="-6"/>
        </w:rPr>
        <w:t> </w:t>
      </w:r>
      <w:r>
        <w:rPr/>
        <w:t>form</w:t>
      </w:r>
      <w:r>
        <w:rPr>
          <w:spacing w:val="-8"/>
        </w:rPr>
        <w:t> </w:t>
      </w:r>
      <w:r>
        <w:rPr/>
        <w:t>part</w:t>
      </w:r>
      <w:r>
        <w:rPr>
          <w:spacing w:val="-5"/>
        </w:rPr>
        <w:t> </w:t>
      </w:r>
      <w:r>
        <w:rPr/>
        <w:t>of</w:t>
      </w:r>
      <w:r>
        <w:rPr>
          <w:spacing w:val="-6"/>
        </w:rPr>
        <w:t> </w:t>
      </w:r>
      <w:r>
        <w:rPr/>
        <w:t>North</w:t>
      </w:r>
      <w:r>
        <w:rPr>
          <w:spacing w:val="-6"/>
        </w:rPr>
        <w:t> </w:t>
      </w:r>
      <w:r>
        <w:rPr/>
        <w:t>Bengaluru</w:t>
      </w:r>
      <w:r>
        <w:rPr>
          <w:spacing w:val="-3"/>
        </w:rPr>
        <w:t> </w:t>
      </w:r>
      <w:r>
        <w:rPr/>
        <w:t>sub</w:t>
      </w:r>
      <w:r>
        <w:rPr>
          <w:spacing w:val="-6"/>
        </w:rPr>
        <w:t> </w:t>
      </w:r>
      <w:r>
        <w:rPr/>
        <w:t>market</w:t>
      </w:r>
      <w:r>
        <w:rPr>
          <w:spacing w:val="-7"/>
        </w:rPr>
        <w:t> </w:t>
      </w:r>
      <w:r>
        <w:rPr/>
        <w:t>have</w:t>
      </w:r>
      <w:r>
        <w:rPr>
          <w:spacing w:val="-6"/>
        </w:rPr>
        <w:t> </w:t>
      </w:r>
      <w:r>
        <w:rPr/>
        <w:t>witnessed</w:t>
      </w:r>
      <w:r>
        <w:rPr>
          <w:spacing w:val="-4"/>
        </w:rPr>
        <w:t> </w:t>
      </w:r>
      <w:r>
        <w:rPr/>
        <w:t>heightened</w:t>
      </w:r>
      <w:r>
        <w:rPr>
          <w:spacing w:val="-5"/>
        </w:rPr>
        <w:t> </w:t>
      </w:r>
      <w:r>
        <w:rPr/>
        <w:t>real </w:t>
      </w:r>
      <w:r>
        <w:rPr>
          <w:w w:val="95"/>
        </w:rPr>
        <w:t>estate</w:t>
      </w:r>
      <w:r>
        <w:rPr>
          <w:spacing w:val="-10"/>
          <w:w w:val="95"/>
        </w:rPr>
        <w:t> </w:t>
      </w:r>
      <w:r>
        <w:rPr>
          <w:w w:val="95"/>
        </w:rPr>
        <w:t>activity</w:t>
      </w:r>
      <w:r>
        <w:rPr>
          <w:spacing w:val="-11"/>
          <w:w w:val="95"/>
        </w:rPr>
        <w:t> </w:t>
      </w:r>
      <w:r>
        <w:rPr>
          <w:w w:val="95"/>
        </w:rPr>
        <w:t>subsequent</w:t>
      </w:r>
      <w:r>
        <w:rPr>
          <w:spacing w:val="-12"/>
          <w:w w:val="95"/>
        </w:rPr>
        <w:t> </w:t>
      </w:r>
      <w:r>
        <w:rPr>
          <w:w w:val="95"/>
        </w:rPr>
        <w:t>to</w:t>
      </w:r>
      <w:r>
        <w:rPr>
          <w:spacing w:val="-9"/>
          <w:w w:val="95"/>
        </w:rPr>
        <w:t> </w:t>
      </w:r>
      <w:r>
        <w:rPr>
          <w:w w:val="95"/>
        </w:rPr>
        <w:t>commencement</w:t>
      </w:r>
      <w:r>
        <w:rPr>
          <w:spacing w:val="-10"/>
          <w:w w:val="95"/>
        </w:rPr>
        <w:t> </w:t>
      </w:r>
      <w:r>
        <w:rPr>
          <w:w w:val="95"/>
        </w:rPr>
        <w:t>of</w:t>
      </w:r>
      <w:r>
        <w:rPr>
          <w:spacing w:val="-9"/>
          <w:w w:val="95"/>
        </w:rPr>
        <w:t> </w:t>
      </w:r>
      <w:r>
        <w:rPr>
          <w:w w:val="95"/>
        </w:rPr>
        <w:t>the</w:t>
      </w:r>
      <w:r>
        <w:rPr>
          <w:spacing w:val="-13"/>
          <w:w w:val="95"/>
        </w:rPr>
        <w:t> </w:t>
      </w:r>
      <w:r>
        <w:rPr>
          <w:w w:val="95"/>
        </w:rPr>
        <w:t>Bengaluru</w:t>
      </w:r>
      <w:r>
        <w:rPr>
          <w:spacing w:val="-10"/>
          <w:w w:val="95"/>
        </w:rPr>
        <w:t> </w:t>
      </w:r>
      <w:r>
        <w:rPr>
          <w:w w:val="95"/>
        </w:rPr>
        <w:t>International</w:t>
      </w:r>
      <w:r>
        <w:rPr>
          <w:spacing w:val="-10"/>
          <w:w w:val="95"/>
        </w:rPr>
        <w:t> </w:t>
      </w:r>
      <w:r>
        <w:rPr>
          <w:w w:val="95"/>
        </w:rPr>
        <w:t>Airport </w:t>
      </w:r>
      <w:r>
        <w:rPr/>
        <w:t>operations in 2008. As a consequence, the northern quadrant of Bengaluru has witnessed</w:t>
      </w:r>
      <w:r>
        <w:rPr>
          <w:spacing w:val="-34"/>
        </w:rPr>
        <w:t> </w:t>
      </w:r>
      <w:r>
        <w:rPr/>
        <w:t>increasing</w:t>
      </w:r>
      <w:r>
        <w:rPr>
          <w:spacing w:val="-34"/>
        </w:rPr>
        <w:t> </w:t>
      </w:r>
      <w:r>
        <w:rPr/>
        <w:t>residential</w:t>
      </w:r>
      <w:r>
        <w:rPr>
          <w:spacing w:val="-35"/>
        </w:rPr>
        <w:t> </w:t>
      </w:r>
      <w:r>
        <w:rPr/>
        <w:t>activity</w:t>
      </w:r>
      <w:r>
        <w:rPr>
          <w:spacing w:val="-34"/>
        </w:rPr>
        <w:t> </w:t>
      </w:r>
      <w:r>
        <w:rPr/>
        <w:t>by</w:t>
      </w:r>
      <w:r>
        <w:rPr>
          <w:spacing w:val="-35"/>
        </w:rPr>
        <w:t> </w:t>
      </w:r>
      <w:r>
        <w:rPr/>
        <w:t>both</w:t>
      </w:r>
      <w:r>
        <w:rPr>
          <w:spacing w:val="-34"/>
        </w:rPr>
        <w:t> </w:t>
      </w:r>
      <w:r>
        <w:rPr/>
        <w:t>local</w:t>
      </w:r>
      <w:r>
        <w:rPr>
          <w:spacing w:val="-35"/>
        </w:rPr>
        <w:t> </w:t>
      </w:r>
      <w:r>
        <w:rPr/>
        <w:t>and</w:t>
      </w:r>
      <w:r>
        <w:rPr>
          <w:spacing w:val="-35"/>
        </w:rPr>
        <w:t> </w:t>
      </w:r>
      <w:r>
        <w:rPr/>
        <w:t>national</w:t>
      </w:r>
      <w:r>
        <w:rPr>
          <w:spacing w:val="-35"/>
        </w:rPr>
        <w:t> </w:t>
      </w:r>
      <w:r>
        <w:rPr/>
        <w:t>developers</w:t>
      </w:r>
      <w:r>
        <w:rPr>
          <w:spacing w:val="-33"/>
        </w:rPr>
        <w:t> </w:t>
      </w:r>
      <w:r>
        <w:rPr/>
        <w:t>and the area is further expected to herald significant activity across all real estate components</w:t>
      </w:r>
      <w:r>
        <w:rPr>
          <w:spacing w:val="-27"/>
        </w:rPr>
        <w:t> </w:t>
      </w:r>
      <w:r>
        <w:rPr/>
        <w:t>in</w:t>
      </w:r>
      <w:r>
        <w:rPr>
          <w:spacing w:val="-28"/>
        </w:rPr>
        <w:t> </w:t>
      </w:r>
      <w:r>
        <w:rPr/>
        <w:t>the</w:t>
      </w:r>
      <w:r>
        <w:rPr>
          <w:spacing w:val="-28"/>
        </w:rPr>
        <w:t> </w:t>
      </w:r>
      <w:r>
        <w:rPr/>
        <w:t>medium</w:t>
      </w:r>
      <w:r>
        <w:rPr>
          <w:spacing w:val="-27"/>
        </w:rPr>
        <w:t> </w:t>
      </w:r>
      <w:r>
        <w:rPr/>
        <w:t>term</w:t>
      </w:r>
      <w:r>
        <w:rPr>
          <w:spacing w:val="-27"/>
        </w:rPr>
        <w:t> </w:t>
      </w:r>
      <w:r>
        <w:rPr/>
        <w:t>and</w:t>
      </w:r>
      <w:r>
        <w:rPr>
          <w:spacing w:val="-27"/>
        </w:rPr>
        <w:t> </w:t>
      </w:r>
      <w:r>
        <w:rPr/>
        <w:t>thus</w:t>
      </w:r>
      <w:r>
        <w:rPr>
          <w:spacing w:val="-27"/>
        </w:rPr>
        <w:t> </w:t>
      </w:r>
      <w:r>
        <w:rPr/>
        <w:t>emerge</w:t>
      </w:r>
      <w:r>
        <w:rPr>
          <w:spacing w:val="-25"/>
        </w:rPr>
        <w:t> </w:t>
      </w:r>
      <w:r>
        <w:rPr/>
        <w:t>as</w:t>
      </w:r>
      <w:r>
        <w:rPr>
          <w:spacing w:val="-27"/>
        </w:rPr>
        <w:t> </w:t>
      </w:r>
      <w:r>
        <w:rPr/>
        <w:t>a</w:t>
      </w:r>
      <w:r>
        <w:rPr>
          <w:spacing w:val="-28"/>
        </w:rPr>
        <w:t> </w:t>
      </w:r>
      <w:r>
        <w:rPr/>
        <w:t>prominent</w:t>
      </w:r>
      <w:r>
        <w:rPr>
          <w:spacing w:val="-27"/>
        </w:rPr>
        <w:t> </w:t>
      </w:r>
      <w:r>
        <w:rPr/>
        <w:t>growth</w:t>
      </w:r>
      <w:r>
        <w:rPr>
          <w:spacing w:val="-27"/>
        </w:rPr>
        <w:t> </w:t>
      </w:r>
      <w:r>
        <w:rPr/>
        <w:t>vector</w:t>
      </w:r>
      <w:r>
        <w:rPr>
          <w:spacing w:val="-28"/>
        </w:rPr>
        <w:t> </w:t>
      </w:r>
      <w:r>
        <w:rPr/>
        <w:t>in Bengaluru.</w:t>
      </w:r>
      <w:r>
        <w:rPr>
          <w:spacing w:val="-16"/>
        </w:rPr>
        <w:t> </w:t>
      </w:r>
      <w:r>
        <w:rPr/>
        <w:t>In</w:t>
      </w:r>
      <w:r>
        <w:rPr>
          <w:spacing w:val="-16"/>
        </w:rPr>
        <w:t> </w:t>
      </w:r>
      <w:r>
        <w:rPr/>
        <w:t>addition,</w:t>
      </w:r>
      <w:r>
        <w:rPr>
          <w:spacing w:val="-16"/>
        </w:rPr>
        <w:t> </w:t>
      </w:r>
      <w:r>
        <w:rPr/>
        <w:t>infrastructure</w:t>
      </w:r>
      <w:r>
        <w:rPr>
          <w:spacing w:val="-16"/>
        </w:rPr>
        <w:t> </w:t>
      </w:r>
      <w:r>
        <w:rPr/>
        <w:t>initiatives</w:t>
      </w:r>
      <w:r>
        <w:rPr>
          <w:spacing w:val="-15"/>
        </w:rPr>
        <w:t> </w:t>
      </w:r>
      <w:r>
        <w:rPr/>
        <w:t>such</w:t>
      </w:r>
      <w:r>
        <w:rPr>
          <w:spacing w:val="-16"/>
        </w:rPr>
        <w:t> </w:t>
      </w:r>
      <w:r>
        <w:rPr/>
        <w:t>as</w:t>
      </w:r>
      <w:r>
        <w:rPr>
          <w:spacing w:val="-15"/>
        </w:rPr>
        <w:t> </w:t>
      </w:r>
      <w:r>
        <w:rPr/>
        <w:t>the</w:t>
      </w:r>
      <w:r>
        <w:rPr>
          <w:spacing w:val="-16"/>
        </w:rPr>
        <w:t> </w:t>
      </w:r>
      <w:r>
        <w:rPr/>
        <w:t>completion</w:t>
      </w:r>
      <w:r>
        <w:rPr>
          <w:spacing w:val="-16"/>
        </w:rPr>
        <w:t> </w:t>
      </w:r>
      <w:r>
        <w:rPr/>
        <w:t>of</w:t>
      </w:r>
      <w:r>
        <w:rPr>
          <w:spacing w:val="-17"/>
        </w:rPr>
        <w:t> </w:t>
      </w:r>
      <w:r>
        <w:rPr/>
        <w:t>Outer Ring Road, elevated expressway connecting Hebbal to airport improved the connectivity of the subject</w:t>
      </w:r>
      <w:r>
        <w:rPr>
          <w:spacing w:val="-26"/>
        </w:rPr>
        <w:t> </w:t>
      </w:r>
      <w:r>
        <w:rPr/>
        <w:t>property.</w:t>
      </w:r>
    </w:p>
    <w:p>
      <w:pPr>
        <w:pStyle w:val="BodyText"/>
        <w:spacing w:line="321" w:lineRule="auto" w:before="125"/>
        <w:ind w:left="175" w:right="344"/>
        <w:jc w:val="both"/>
      </w:pPr>
      <w:r>
        <w:rPr/>
        <w:t>Going</w:t>
      </w:r>
      <w:r>
        <w:rPr>
          <w:spacing w:val="-5"/>
        </w:rPr>
        <w:t> </w:t>
      </w:r>
      <w:r>
        <w:rPr/>
        <w:t>forward,</w:t>
      </w:r>
      <w:r>
        <w:rPr>
          <w:spacing w:val="-4"/>
        </w:rPr>
        <w:t> </w:t>
      </w:r>
      <w:r>
        <w:rPr/>
        <w:t>infrastructure</w:t>
      </w:r>
      <w:r>
        <w:rPr>
          <w:spacing w:val="-5"/>
        </w:rPr>
        <w:t> </w:t>
      </w:r>
      <w:r>
        <w:rPr/>
        <w:t>initiatives</w:t>
      </w:r>
      <w:r>
        <w:rPr>
          <w:spacing w:val="-4"/>
        </w:rPr>
        <w:t> </w:t>
      </w:r>
      <w:r>
        <w:rPr/>
        <w:t>such</w:t>
      </w:r>
      <w:r>
        <w:rPr>
          <w:spacing w:val="-5"/>
        </w:rPr>
        <w:t> </w:t>
      </w:r>
      <w:r>
        <w:rPr/>
        <w:t>as</w:t>
      </w:r>
      <w:r>
        <w:rPr>
          <w:spacing w:val="-3"/>
        </w:rPr>
        <w:t> </w:t>
      </w:r>
      <w:r>
        <w:rPr/>
        <w:t>the</w:t>
      </w:r>
      <w:r>
        <w:rPr>
          <w:spacing w:val="-6"/>
        </w:rPr>
        <w:t> </w:t>
      </w:r>
      <w:r>
        <w:rPr/>
        <w:t>extension</w:t>
      </w:r>
      <w:r>
        <w:rPr>
          <w:spacing w:val="-5"/>
        </w:rPr>
        <w:t> </w:t>
      </w:r>
      <w:r>
        <w:rPr/>
        <w:t>of</w:t>
      </w:r>
      <w:r>
        <w:rPr>
          <w:spacing w:val="-5"/>
        </w:rPr>
        <w:t> </w:t>
      </w:r>
      <w:r>
        <w:rPr/>
        <w:t>the</w:t>
      </w:r>
      <w:r>
        <w:rPr>
          <w:spacing w:val="-5"/>
        </w:rPr>
        <w:t> </w:t>
      </w:r>
      <w:r>
        <w:rPr/>
        <w:t>Metro</w:t>
      </w:r>
      <w:r>
        <w:rPr>
          <w:spacing w:val="-5"/>
        </w:rPr>
        <w:t> </w:t>
      </w:r>
      <w:r>
        <w:rPr/>
        <w:t>Rail Phase</w:t>
      </w:r>
      <w:r>
        <w:rPr>
          <w:spacing w:val="-33"/>
        </w:rPr>
        <w:t> </w:t>
      </w:r>
      <w:r>
        <w:rPr/>
        <w:t>2</w:t>
      </w:r>
      <w:r>
        <w:rPr>
          <w:spacing w:val="-32"/>
        </w:rPr>
        <w:t> </w:t>
      </w:r>
      <w:r>
        <w:rPr/>
        <w:t>which</w:t>
      </w:r>
      <w:r>
        <w:rPr>
          <w:spacing w:val="-32"/>
        </w:rPr>
        <w:t> </w:t>
      </w:r>
      <w:r>
        <w:rPr/>
        <w:t>is</w:t>
      </w:r>
      <w:r>
        <w:rPr>
          <w:spacing w:val="-32"/>
        </w:rPr>
        <w:t> </w:t>
      </w:r>
      <w:r>
        <w:rPr/>
        <w:t>expected</w:t>
      </w:r>
      <w:r>
        <w:rPr>
          <w:spacing w:val="-31"/>
        </w:rPr>
        <w:t> </w:t>
      </w:r>
      <w:r>
        <w:rPr/>
        <w:t>to</w:t>
      </w:r>
      <w:r>
        <w:rPr>
          <w:spacing w:val="-32"/>
        </w:rPr>
        <w:t> </w:t>
      </w:r>
      <w:r>
        <w:rPr/>
        <w:t>connect</w:t>
      </w:r>
      <w:r>
        <w:rPr>
          <w:spacing w:val="-31"/>
        </w:rPr>
        <w:t> </w:t>
      </w:r>
      <w:r>
        <w:rPr/>
        <w:t>Nagawara</w:t>
      </w:r>
      <w:r>
        <w:rPr>
          <w:spacing w:val="-32"/>
        </w:rPr>
        <w:t> </w:t>
      </w:r>
      <w:r>
        <w:rPr/>
        <w:t>to</w:t>
      </w:r>
      <w:r>
        <w:rPr>
          <w:spacing w:val="-33"/>
        </w:rPr>
        <w:t> </w:t>
      </w:r>
      <w:r>
        <w:rPr/>
        <w:t>other</w:t>
      </w:r>
      <w:r>
        <w:rPr>
          <w:spacing w:val="-32"/>
        </w:rPr>
        <w:t> </w:t>
      </w:r>
      <w:r>
        <w:rPr/>
        <w:t>part</w:t>
      </w:r>
      <w:r>
        <w:rPr>
          <w:spacing w:val="-32"/>
        </w:rPr>
        <w:t> </w:t>
      </w:r>
      <w:r>
        <w:rPr/>
        <w:t>of</w:t>
      </w:r>
      <w:r>
        <w:rPr>
          <w:spacing w:val="-31"/>
        </w:rPr>
        <w:t> </w:t>
      </w:r>
      <w:r>
        <w:rPr/>
        <w:t>the</w:t>
      </w:r>
      <w:r>
        <w:rPr>
          <w:spacing w:val="-32"/>
        </w:rPr>
        <w:t> </w:t>
      </w:r>
      <w:r>
        <w:rPr/>
        <w:t>metro</w:t>
      </w:r>
      <w:r>
        <w:rPr>
          <w:spacing w:val="-32"/>
        </w:rPr>
        <w:t> </w:t>
      </w:r>
      <w:r>
        <w:rPr/>
        <w:t>network is</w:t>
      </w:r>
      <w:r>
        <w:rPr>
          <w:spacing w:val="-22"/>
        </w:rPr>
        <w:t> </w:t>
      </w:r>
      <w:r>
        <w:rPr/>
        <w:t>expected</w:t>
      </w:r>
      <w:r>
        <w:rPr>
          <w:spacing w:val="-22"/>
        </w:rPr>
        <w:t> </w:t>
      </w:r>
      <w:r>
        <w:rPr/>
        <w:t>to</w:t>
      </w:r>
      <w:r>
        <w:rPr>
          <w:spacing w:val="-23"/>
        </w:rPr>
        <w:t> </w:t>
      </w:r>
      <w:r>
        <w:rPr/>
        <w:t>further</w:t>
      </w:r>
      <w:r>
        <w:rPr>
          <w:spacing w:val="-23"/>
        </w:rPr>
        <w:t> </w:t>
      </w:r>
      <w:r>
        <w:rPr/>
        <w:t>improve</w:t>
      </w:r>
      <w:r>
        <w:rPr>
          <w:spacing w:val="-22"/>
        </w:rPr>
        <w:t> </w:t>
      </w:r>
      <w:r>
        <w:rPr/>
        <w:t>the</w:t>
      </w:r>
      <w:r>
        <w:rPr>
          <w:spacing w:val="-22"/>
        </w:rPr>
        <w:t> </w:t>
      </w:r>
      <w:r>
        <w:rPr/>
        <w:t>connectivity</w:t>
      </w:r>
      <w:r>
        <w:rPr>
          <w:spacing w:val="-22"/>
        </w:rPr>
        <w:t> </w:t>
      </w:r>
      <w:r>
        <w:rPr/>
        <w:t>of</w:t>
      </w:r>
      <w:r>
        <w:rPr>
          <w:spacing w:val="-23"/>
        </w:rPr>
        <w:t> </w:t>
      </w:r>
      <w:r>
        <w:rPr/>
        <w:t>the</w:t>
      </w:r>
      <w:r>
        <w:rPr>
          <w:spacing w:val="-22"/>
        </w:rPr>
        <w:t> </w:t>
      </w:r>
      <w:r>
        <w:rPr/>
        <w:t>region</w:t>
      </w:r>
      <w:r>
        <w:rPr>
          <w:spacing w:val="-23"/>
        </w:rPr>
        <w:t> </w:t>
      </w:r>
      <w:r>
        <w:rPr/>
        <w:t>to</w:t>
      </w:r>
      <w:r>
        <w:rPr>
          <w:spacing w:val="-22"/>
        </w:rPr>
        <w:t> </w:t>
      </w:r>
      <w:r>
        <w:rPr/>
        <w:t>other</w:t>
      </w:r>
      <w:r>
        <w:rPr>
          <w:spacing w:val="-22"/>
        </w:rPr>
        <w:t> </w:t>
      </w:r>
      <w:r>
        <w:rPr/>
        <w:t>established locations.</w:t>
      </w:r>
    </w:p>
    <w:p>
      <w:pPr>
        <w:spacing w:after="0" w:line="321" w:lineRule="auto"/>
        <w:jc w:val="both"/>
        <w:sectPr>
          <w:type w:val="continuous"/>
          <w:pgSz w:w="11910" w:h="16840"/>
          <w:pgMar w:top="800" w:bottom="280" w:left="480" w:right="480"/>
          <w:cols w:num="2" w:equalWidth="0">
            <w:col w:w="2546" w:space="40"/>
            <w:col w:w="8364"/>
          </w:cols>
        </w:sectPr>
      </w:pPr>
    </w:p>
    <w:p>
      <w:pPr>
        <w:pStyle w:val="BodyText"/>
        <w:spacing w:before="10"/>
        <w:rPr>
          <w:sz w:val="11"/>
        </w:rPr>
      </w:pPr>
    </w:p>
    <w:p>
      <w:pPr>
        <w:spacing w:after="0"/>
        <w:rPr>
          <w:sz w:val="11"/>
        </w:rPr>
        <w:sectPr>
          <w:type w:val="continuous"/>
          <w:pgSz w:w="11910" w:h="16840"/>
          <w:pgMar w:top="800" w:bottom="280" w:left="480" w:right="480"/>
        </w:sectPr>
      </w:pPr>
    </w:p>
    <w:p>
      <w:pPr>
        <w:pStyle w:val="BodyText"/>
        <w:tabs>
          <w:tab w:pos="2357" w:val="left" w:leader="none"/>
        </w:tabs>
        <w:spacing w:line="319" w:lineRule="auto" w:before="106"/>
        <w:ind w:left="905"/>
      </w:pPr>
      <w:r>
        <w:rPr>
          <w:w w:val="95"/>
        </w:rPr>
        <w:t>Suitability</w:t>
        <w:tab/>
      </w:r>
      <w:r>
        <w:rPr>
          <w:spacing w:val="-11"/>
        </w:rPr>
        <w:t>of </w:t>
      </w:r>
      <w:r>
        <w:rPr/>
        <w:t>existing</w:t>
      </w:r>
      <w:r>
        <w:rPr>
          <w:spacing w:val="-10"/>
        </w:rPr>
        <w:t> </w:t>
      </w:r>
      <w:r>
        <w:rPr/>
        <w:t>use:</w:t>
      </w:r>
    </w:p>
    <w:p>
      <w:pPr>
        <w:pStyle w:val="BodyText"/>
        <w:spacing w:line="321" w:lineRule="auto" w:before="106"/>
        <w:ind w:left="175" w:right="346"/>
        <w:jc w:val="both"/>
      </w:pPr>
      <w:r>
        <w:rPr/>
        <w:br w:type="column"/>
      </w:r>
      <w:r>
        <w:rPr/>
        <w:t>Considering the profile of surrounding developments, the subject property is opined</w:t>
      </w:r>
      <w:r>
        <w:rPr>
          <w:spacing w:val="-41"/>
        </w:rPr>
        <w:t> </w:t>
      </w:r>
      <w:r>
        <w:rPr/>
        <w:t>to</w:t>
      </w:r>
      <w:r>
        <w:rPr>
          <w:spacing w:val="-42"/>
        </w:rPr>
        <w:t> </w:t>
      </w:r>
      <w:r>
        <w:rPr/>
        <w:t>be</w:t>
      </w:r>
      <w:r>
        <w:rPr>
          <w:spacing w:val="-43"/>
        </w:rPr>
        <w:t> </w:t>
      </w:r>
      <w:r>
        <w:rPr/>
        <w:t>suited</w:t>
      </w:r>
      <w:r>
        <w:rPr>
          <w:spacing w:val="-42"/>
        </w:rPr>
        <w:t> </w:t>
      </w:r>
      <w:r>
        <w:rPr/>
        <w:t>for</w:t>
      </w:r>
      <w:r>
        <w:rPr>
          <w:spacing w:val="-41"/>
        </w:rPr>
        <w:t> </w:t>
      </w:r>
      <w:r>
        <w:rPr/>
        <w:t>its</w:t>
      </w:r>
      <w:r>
        <w:rPr>
          <w:spacing w:val="-41"/>
        </w:rPr>
        <w:t> </w:t>
      </w:r>
      <w:r>
        <w:rPr/>
        <w:t>current</w:t>
      </w:r>
      <w:r>
        <w:rPr>
          <w:spacing w:val="-42"/>
        </w:rPr>
        <w:t> </w:t>
      </w:r>
      <w:r>
        <w:rPr/>
        <w:t>use</w:t>
      </w:r>
      <w:r>
        <w:rPr>
          <w:spacing w:val="-41"/>
        </w:rPr>
        <w:t> </w:t>
      </w:r>
      <w:r>
        <w:rPr/>
        <w:t>viz.</w:t>
      </w:r>
      <w:r>
        <w:rPr>
          <w:spacing w:val="-41"/>
        </w:rPr>
        <w:t> </w:t>
      </w:r>
      <w:r>
        <w:rPr/>
        <w:t>mixed-use</w:t>
      </w:r>
      <w:r>
        <w:rPr>
          <w:spacing w:val="-41"/>
        </w:rPr>
        <w:t> </w:t>
      </w:r>
      <w:r>
        <w:rPr/>
        <w:t>development</w:t>
      </w:r>
      <w:r>
        <w:rPr>
          <w:spacing w:val="-43"/>
        </w:rPr>
        <w:t> </w:t>
      </w:r>
      <w:r>
        <w:rPr/>
        <w:t>with</w:t>
      </w:r>
      <w:r>
        <w:rPr>
          <w:spacing w:val="-41"/>
        </w:rPr>
        <w:t> </w:t>
      </w:r>
      <w:r>
        <w:rPr/>
        <w:t>commercial office, retail and hospitality</w:t>
      </w:r>
      <w:r>
        <w:rPr>
          <w:spacing w:val="-22"/>
        </w:rPr>
        <w:t> </w:t>
      </w:r>
      <w:r>
        <w:rPr/>
        <w:t>component.</w:t>
      </w:r>
    </w:p>
    <w:p>
      <w:pPr>
        <w:spacing w:after="0" w:line="321" w:lineRule="auto"/>
        <w:jc w:val="both"/>
        <w:sectPr>
          <w:type w:val="continuous"/>
          <w:pgSz w:w="11910" w:h="16840"/>
          <w:pgMar w:top="800" w:bottom="280" w:left="480" w:right="480"/>
          <w:cols w:num="2" w:equalWidth="0">
            <w:col w:w="2546" w:space="40"/>
            <w:col w:w="8364"/>
          </w:cols>
        </w:sectPr>
      </w:pPr>
    </w:p>
    <w:p>
      <w:pPr>
        <w:pStyle w:val="BodyText"/>
        <w:spacing w:before="7"/>
        <w:rPr>
          <w:sz w:val="9"/>
        </w:rPr>
      </w:pPr>
    </w:p>
    <w:p>
      <w:pPr>
        <w:pStyle w:val="BodyText"/>
        <w:spacing w:before="106"/>
        <w:ind w:left="240"/>
      </w:pPr>
      <w:r>
        <w:rPr/>
        <w:t>The following map indicates the location of the subject property and surrounding developments:</w:t>
      </w:r>
    </w:p>
    <w:p>
      <w:pPr>
        <w:pStyle w:val="BodyText"/>
        <w:spacing w:before="8"/>
        <w:rPr>
          <w:sz w:val="19"/>
        </w:rPr>
      </w:pPr>
      <w:r>
        <w:rPr/>
        <w:pict>
          <v:group style="position:absolute;margin-left:36pt;margin-top:13.424435pt;width:523.6pt;height:14.2pt;mso-position-horizontal-relative:page;mso-position-vertical-relative:paragraph;z-index:-15023616;mso-wrap-distance-left:0;mso-wrap-distance-right:0" coordorigin="720,268" coordsize="10472,284">
            <v:rect style="position:absolute;left:720;top:297;width:10472;height:255" filled="true" fillcolor="#006a4d" stroked="false">
              <v:fill type="solid"/>
            </v:rect>
            <v:rect style="position:absolute;left:720;top:268;width:10472;height:29" filled="true" fillcolor="#1f6b16" stroked="false">
              <v:fill type="solid"/>
            </v:rect>
            <v:rect style="position:absolute;left:720;top:297;width:10472;height:3" filled="true" fillcolor="#006a4d" stroked="false">
              <v:fill type="solid"/>
            </v:rect>
            <v:shape style="position:absolute;left:720;top:299;width:10472;height:252" type="#_x0000_t202" filled="false" stroked="false">
              <v:textbox inset="0,0,0,0">
                <w:txbxContent>
                  <w:p>
                    <w:pPr>
                      <w:spacing w:before="20"/>
                      <w:ind w:left="70" w:right="71" w:firstLine="0"/>
                      <w:jc w:val="center"/>
                      <w:rPr>
                        <w:b/>
                        <w:sz w:val="18"/>
                      </w:rPr>
                    </w:pPr>
                    <w:r>
                      <w:rPr>
                        <w:b/>
                        <w:color w:val="FFFFFF"/>
                        <w:w w:val="105"/>
                        <w:sz w:val="18"/>
                      </w:rPr>
                      <w:t>Location Map for the Subject Property</w:t>
                    </w:r>
                  </w:p>
                </w:txbxContent>
              </v:textbox>
              <w10:wrap type="none"/>
            </v:shape>
            <w10:wrap type="topAndBottom"/>
          </v:group>
        </w:pict>
      </w:r>
      <w:r>
        <w:rPr/>
        <w:drawing>
          <wp:anchor distT="0" distB="0" distL="0" distR="0" allowOverlap="1" layoutInCell="1" locked="0" behindDoc="0" simplePos="0" relativeHeight="1378">
            <wp:simplePos x="0" y="0"/>
            <wp:positionH relativeFrom="page">
              <wp:posOffset>626427</wp:posOffset>
            </wp:positionH>
            <wp:positionV relativeFrom="paragraph">
              <wp:posOffset>445826</wp:posOffset>
            </wp:positionV>
            <wp:extent cx="6329647" cy="4903470"/>
            <wp:effectExtent l="0" t="0" r="0" b="0"/>
            <wp:wrapTopAndBottom/>
            <wp:docPr id="299" name="image212.png"/>
            <wp:cNvGraphicFramePr>
              <a:graphicFrameLocks noChangeAspect="1"/>
            </wp:cNvGraphicFramePr>
            <a:graphic>
              <a:graphicData uri="http://schemas.openxmlformats.org/drawingml/2006/picture">
                <pic:pic>
                  <pic:nvPicPr>
                    <pic:cNvPr id="300" name="image212.png"/>
                    <pic:cNvPicPr/>
                  </pic:nvPicPr>
                  <pic:blipFill>
                    <a:blip r:embed="rId283" cstate="print"/>
                    <a:stretch>
                      <a:fillRect/>
                    </a:stretch>
                  </pic:blipFill>
                  <pic:spPr>
                    <a:xfrm>
                      <a:off x="0" y="0"/>
                      <a:ext cx="6329647" cy="4903470"/>
                    </a:xfrm>
                    <a:prstGeom prst="rect">
                      <a:avLst/>
                    </a:prstGeom>
                  </pic:spPr>
                </pic:pic>
              </a:graphicData>
            </a:graphic>
          </wp:anchor>
        </w:drawing>
      </w:r>
    </w:p>
    <w:p>
      <w:pPr>
        <w:pStyle w:val="BodyText"/>
        <w:spacing w:before="1"/>
        <w:rPr>
          <w:sz w:val="7"/>
        </w:rPr>
      </w:pPr>
    </w:p>
    <w:p>
      <w:pPr>
        <w:pStyle w:val="BodyText"/>
        <w:spacing w:before="5"/>
        <w:rPr>
          <w:sz w:val="6"/>
        </w:rPr>
      </w:pPr>
    </w:p>
    <w:p>
      <w:pPr>
        <w:spacing w:before="104"/>
        <w:ind w:left="862" w:right="0" w:firstLine="0"/>
        <w:jc w:val="left"/>
        <w:rPr>
          <w:i/>
          <w:sz w:val="18"/>
        </w:rPr>
      </w:pPr>
      <w:r>
        <w:rPr>
          <w:i/>
          <w:sz w:val="18"/>
        </w:rPr>
        <w:t>Source: Consultants’ Research</w:t>
      </w:r>
    </w:p>
    <w:p>
      <w:pPr>
        <w:spacing w:after="0"/>
        <w:jc w:val="left"/>
        <w:rPr>
          <w:sz w:val="18"/>
        </w:rPr>
        <w:sectPr>
          <w:pgSz w:w="11910" w:h="16840"/>
          <w:pgMar w:header="720" w:footer="862" w:top="1660" w:bottom="1060" w:left="480" w:right="480"/>
        </w:sectPr>
      </w:pPr>
    </w:p>
    <w:p>
      <w:pPr>
        <w:pStyle w:val="BodyText"/>
        <w:spacing w:before="11"/>
        <w:rPr>
          <w:i/>
          <w:sz w:val="19"/>
        </w:rPr>
      </w:pPr>
    </w:p>
    <w:p>
      <w:pPr>
        <w:pStyle w:val="BodyText"/>
        <w:tabs>
          <w:tab w:pos="2770" w:val="left" w:leader="none"/>
        </w:tabs>
        <w:spacing w:line="321" w:lineRule="auto" w:before="106"/>
        <w:ind w:left="2770" w:right="342" w:hanging="1866"/>
        <w:jc w:val="both"/>
      </w:pPr>
      <w:r>
        <w:rPr/>
        <w:t>Shape:</w:t>
        <w:tab/>
        <w:t>Based</w:t>
      </w:r>
      <w:r>
        <w:rPr>
          <w:spacing w:val="-27"/>
        </w:rPr>
        <w:t> </w:t>
      </w:r>
      <w:r>
        <w:rPr/>
        <w:t>on</w:t>
      </w:r>
      <w:r>
        <w:rPr>
          <w:spacing w:val="-25"/>
        </w:rPr>
        <w:t> </w:t>
      </w:r>
      <w:r>
        <w:rPr/>
        <w:t>information</w:t>
      </w:r>
      <w:r>
        <w:rPr>
          <w:spacing w:val="-26"/>
        </w:rPr>
        <w:t> </w:t>
      </w:r>
      <w:r>
        <w:rPr/>
        <w:t>provided</w:t>
      </w:r>
      <w:r>
        <w:rPr>
          <w:spacing w:val="-25"/>
        </w:rPr>
        <w:t> </w:t>
      </w:r>
      <w:r>
        <w:rPr/>
        <w:t>by</w:t>
      </w:r>
      <w:r>
        <w:rPr>
          <w:spacing w:val="-24"/>
        </w:rPr>
        <w:t> </w:t>
      </w:r>
      <w:r>
        <w:rPr/>
        <w:t>the</w:t>
      </w:r>
      <w:r>
        <w:rPr>
          <w:spacing w:val="-28"/>
        </w:rPr>
        <w:t> </w:t>
      </w:r>
      <w:r>
        <w:rPr/>
        <w:t>Client,</w:t>
      </w:r>
      <w:r>
        <w:rPr>
          <w:spacing w:val="-25"/>
        </w:rPr>
        <w:t> </w:t>
      </w:r>
      <w:r>
        <w:rPr/>
        <w:t>we</w:t>
      </w:r>
      <w:r>
        <w:rPr>
          <w:spacing w:val="-29"/>
        </w:rPr>
        <w:t> </w:t>
      </w:r>
      <w:r>
        <w:rPr/>
        <w:t>understand</w:t>
      </w:r>
      <w:r>
        <w:rPr>
          <w:spacing w:val="-26"/>
        </w:rPr>
        <w:t> </w:t>
      </w:r>
      <w:r>
        <w:rPr/>
        <w:t>that</w:t>
      </w:r>
      <w:r>
        <w:rPr>
          <w:spacing w:val="-22"/>
        </w:rPr>
        <w:t> </w:t>
      </w:r>
      <w:r>
        <w:rPr/>
        <w:t>the</w:t>
      </w:r>
      <w:r>
        <w:rPr>
          <w:spacing w:val="-28"/>
        </w:rPr>
        <w:t> </w:t>
      </w:r>
      <w:r>
        <w:rPr/>
        <w:t>subject</w:t>
      </w:r>
      <w:r>
        <w:rPr>
          <w:spacing w:val="-25"/>
        </w:rPr>
        <w:t> </w:t>
      </w:r>
      <w:r>
        <w:rPr/>
        <w:t>land parcel is a L-shaped land</w:t>
      </w:r>
      <w:r>
        <w:rPr>
          <w:spacing w:val="-17"/>
        </w:rPr>
        <w:t> </w:t>
      </w:r>
      <w:r>
        <w:rPr/>
        <w:t>parcel.</w:t>
      </w:r>
    </w:p>
    <w:p>
      <w:pPr>
        <w:pStyle w:val="BodyText"/>
        <w:spacing w:before="10"/>
        <w:rPr>
          <w:sz w:val="20"/>
        </w:rPr>
      </w:pPr>
    </w:p>
    <w:p>
      <w:pPr>
        <w:pStyle w:val="BodyText"/>
        <w:spacing w:line="319" w:lineRule="auto"/>
        <w:ind w:left="2770" w:right="341" w:hanging="1866"/>
        <w:jc w:val="both"/>
      </w:pPr>
      <w:r>
        <w:rPr/>
        <w:t>Topography: </w:t>
      </w:r>
      <w:r>
        <w:rPr>
          <w:spacing w:val="7"/>
        </w:rPr>
        <w:t> </w:t>
      </w:r>
      <w:r>
        <w:rPr/>
        <w:t>Based on the site plan and as corroborated with our site visit, the site appears to be</w:t>
      </w:r>
      <w:r>
        <w:rPr>
          <w:spacing w:val="-19"/>
        </w:rPr>
        <w:t> </w:t>
      </w:r>
      <w:r>
        <w:rPr/>
        <w:t>even</w:t>
      </w:r>
      <w:r>
        <w:rPr>
          <w:spacing w:val="-18"/>
        </w:rPr>
        <w:t> </w:t>
      </w:r>
      <w:r>
        <w:rPr/>
        <w:t>and</w:t>
      </w:r>
      <w:r>
        <w:rPr>
          <w:spacing w:val="-17"/>
        </w:rPr>
        <w:t> </w:t>
      </w:r>
      <w:r>
        <w:rPr/>
        <w:t>on</w:t>
      </w:r>
      <w:r>
        <w:rPr>
          <w:spacing w:val="-17"/>
        </w:rPr>
        <w:t> </w:t>
      </w:r>
      <w:r>
        <w:rPr/>
        <w:t>the</w:t>
      </w:r>
      <w:r>
        <w:rPr>
          <w:spacing w:val="-18"/>
        </w:rPr>
        <w:t> </w:t>
      </w:r>
      <w:r>
        <w:rPr/>
        <w:t>same</w:t>
      </w:r>
      <w:r>
        <w:rPr>
          <w:spacing w:val="-19"/>
        </w:rPr>
        <w:t> </w:t>
      </w:r>
      <w:r>
        <w:rPr/>
        <w:t>level</w:t>
      </w:r>
      <w:r>
        <w:rPr>
          <w:spacing w:val="-16"/>
        </w:rPr>
        <w:t> </w:t>
      </w:r>
      <w:r>
        <w:rPr/>
        <w:t>as</w:t>
      </w:r>
      <w:r>
        <w:rPr>
          <w:spacing w:val="-17"/>
        </w:rPr>
        <w:t> </w:t>
      </w:r>
      <w:r>
        <w:rPr/>
        <w:t>abutting</w:t>
      </w:r>
      <w:r>
        <w:rPr>
          <w:spacing w:val="-17"/>
        </w:rPr>
        <w:t> </w:t>
      </w:r>
      <w:r>
        <w:rPr/>
        <w:t>access</w:t>
      </w:r>
      <w:r>
        <w:rPr>
          <w:spacing w:val="-16"/>
        </w:rPr>
        <w:t> </w:t>
      </w:r>
      <w:r>
        <w:rPr/>
        <w:t>roads</w:t>
      </w:r>
      <w:r>
        <w:rPr>
          <w:spacing w:val="-17"/>
        </w:rPr>
        <w:t> </w:t>
      </w:r>
      <w:r>
        <w:rPr/>
        <w:t>and</w:t>
      </w:r>
      <w:r>
        <w:rPr>
          <w:spacing w:val="-18"/>
        </w:rPr>
        <w:t> </w:t>
      </w:r>
      <w:r>
        <w:rPr/>
        <w:t>adjoining</w:t>
      </w:r>
      <w:r>
        <w:rPr>
          <w:spacing w:val="-16"/>
        </w:rPr>
        <w:t> </w:t>
      </w:r>
      <w:r>
        <w:rPr/>
        <w:t>properties.</w:t>
      </w:r>
    </w:p>
    <w:p>
      <w:pPr>
        <w:pStyle w:val="BodyText"/>
        <w:rPr>
          <w:sz w:val="21"/>
        </w:rPr>
      </w:pPr>
    </w:p>
    <w:p>
      <w:pPr>
        <w:pStyle w:val="BodyText"/>
        <w:tabs>
          <w:tab w:pos="2770" w:val="left" w:leader="none"/>
        </w:tabs>
        <w:spacing w:line="321" w:lineRule="auto"/>
        <w:ind w:left="2770" w:right="344" w:hanging="1866"/>
        <w:jc w:val="both"/>
      </w:pPr>
      <w:r>
        <w:rPr/>
        <w:t>Frontage:</w:t>
        <w:tab/>
        <w:t>Based</w:t>
      </w:r>
      <w:r>
        <w:rPr>
          <w:spacing w:val="-29"/>
        </w:rPr>
        <w:t> </w:t>
      </w:r>
      <w:r>
        <w:rPr/>
        <w:t>on</w:t>
      </w:r>
      <w:r>
        <w:rPr>
          <w:spacing w:val="-28"/>
        </w:rPr>
        <w:t> </w:t>
      </w:r>
      <w:r>
        <w:rPr/>
        <w:t>review</w:t>
      </w:r>
      <w:r>
        <w:rPr>
          <w:spacing w:val="-28"/>
        </w:rPr>
        <w:t> </w:t>
      </w:r>
      <w:r>
        <w:rPr/>
        <w:t>of</w:t>
      </w:r>
      <w:r>
        <w:rPr>
          <w:spacing w:val="-28"/>
        </w:rPr>
        <w:t> </w:t>
      </w:r>
      <w:r>
        <w:rPr/>
        <w:t>site</w:t>
      </w:r>
      <w:r>
        <w:rPr>
          <w:spacing w:val="-29"/>
        </w:rPr>
        <w:t> </w:t>
      </w:r>
      <w:r>
        <w:rPr/>
        <w:t>plan,</w:t>
      </w:r>
      <w:r>
        <w:rPr>
          <w:spacing w:val="-29"/>
        </w:rPr>
        <w:t> </w:t>
      </w:r>
      <w:r>
        <w:rPr/>
        <w:t>visual</w:t>
      </w:r>
      <w:r>
        <w:rPr>
          <w:spacing w:val="-28"/>
        </w:rPr>
        <w:t> </w:t>
      </w:r>
      <w:r>
        <w:rPr/>
        <w:t>inspection</w:t>
      </w:r>
      <w:r>
        <w:rPr>
          <w:spacing w:val="-29"/>
        </w:rPr>
        <w:t> </w:t>
      </w:r>
      <w:r>
        <w:rPr/>
        <w:t>and</w:t>
      </w:r>
      <w:r>
        <w:rPr>
          <w:spacing w:val="-28"/>
        </w:rPr>
        <w:t> </w:t>
      </w:r>
      <w:r>
        <w:rPr/>
        <w:t>measurements</w:t>
      </w:r>
      <w:r>
        <w:rPr>
          <w:spacing w:val="-28"/>
        </w:rPr>
        <w:t> </w:t>
      </w:r>
      <w:r>
        <w:rPr/>
        <w:t>made</w:t>
      </w:r>
      <w:r>
        <w:rPr>
          <w:spacing w:val="-29"/>
        </w:rPr>
        <w:t> </w:t>
      </w:r>
      <w:r>
        <w:rPr/>
        <w:t>on</w:t>
      </w:r>
      <w:r>
        <w:rPr>
          <w:spacing w:val="-29"/>
        </w:rPr>
        <w:t> </w:t>
      </w:r>
      <w:r>
        <w:rPr/>
        <w:t>Google maps, we understand that the frontage is approximately 35 meters along the Bellary</w:t>
      </w:r>
      <w:r>
        <w:rPr>
          <w:spacing w:val="-2"/>
        </w:rPr>
        <w:t> </w:t>
      </w:r>
      <w:r>
        <w:rPr/>
        <w:t>Road.</w:t>
      </w:r>
    </w:p>
    <w:p>
      <w:pPr>
        <w:pStyle w:val="BodyText"/>
        <w:rPr>
          <w:sz w:val="21"/>
        </w:rPr>
      </w:pPr>
    </w:p>
    <w:p>
      <w:pPr>
        <w:pStyle w:val="BodyText"/>
        <w:spacing w:line="321" w:lineRule="auto"/>
        <w:ind w:left="2770" w:right="343" w:hanging="1866"/>
        <w:jc w:val="both"/>
      </w:pPr>
      <w:r>
        <w:rPr/>
        <w:t>Accessibility:</w:t>
      </w:r>
      <w:r>
        <w:rPr>
          <w:spacing w:val="40"/>
        </w:rPr>
        <w:t> </w:t>
      </w:r>
      <w:r>
        <w:rPr/>
        <w:t>It</w:t>
      </w:r>
      <w:r>
        <w:rPr>
          <w:spacing w:val="-22"/>
        </w:rPr>
        <w:t> </w:t>
      </w:r>
      <w:r>
        <w:rPr/>
        <w:t>is</w:t>
      </w:r>
      <w:r>
        <w:rPr>
          <w:spacing w:val="-22"/>
        </w:rPr>
        <w:t> </w:t>
      </w:r>
      <w:r>
        <w:rPr/>
        <w:t>understood</w:t>
      </w:r>
      <w:r>
        <w:rPr>
          <w:spacing w:val="-23"/>
        </w:rPr>
        <w:t> </w:t>
      </w:r>
      <w:r>
        <w:rPr/>
        <w:t>that</w:t>
      </w:r>
      <w:r>
        <w:rPr>
          <w:spacing w:val="-22"/>
        </w:rPr>
        <w:t> </w:t>
      </w:r>
      <w:r>
        <w:rPr/>
        <w:t>the</w:t>
      </w:r>
      <w:r>
        <w:rPr>
          <w:spacing w:val="-24"/>
        </w:rPr>
        <w:t> </w:t>
      </w:r>
      <w:r>
        <w:rPr/>
        <w:t>access</w:t>
      </w:r>
      <w:r>
        <w:rPr>
          <w:spacing w:val="-22"/>
        </w:rPr>
        <w:t> </w:t>
      </w:r>
      <w:r>
        <w:rPr/>
        <w:t>to</w:t>
      </w:r>
      <w:r>
        <w:rPr>
          <w:spacing w:val="-23"/>
        </w:rPr>
        <w:t> </w:t>
      </w:r>
      <w:r>
        <w:rPr/>
        <w:t>the</w:t>
      </w:r>
      <w:r>
        <w:rPr>
          <w:spacing w:val="-24"/>
        </w:rPr>
        <w:t> </w:t>
      </w:r>
      <w:r>
        <w:rPr/>
        <w:t>subject</w:t>
      </w:r>
      <w:r>
        <w:rPr>
          <w:spacing w:val="-22"/>
        </w:rPr>
        <w:t> </w:t>
      </w:r>
      <w:r>
        <w:rPr/>
        <w:t>property</w:t>
      </w:r>
      <w:r>
        <w:rPr>
          <w:spacing w:val="-22"/>
        </w:rPr>
        <w:t> </w:t>
      </w:r>
      <w:r>
        <w:rPr/>
        <w:t>is</w:t>
      </w:r>
      <w:r>
        <w:rPr>
          <w:spacing w:val="-22"/>
        </w:rPr>
        <w:t> </w:t>
      </w:r>
      <w:r>
        <w:rPr/>
        <w:t>from</w:t>
      </w:r>
      <w:r>
        <w:rPr>
          <w:spacing w:val="-23"/>
        </w:rPr>
        <w:t> </w:t>
      </w:r>
      <w:r>
        <w:rPr/>
        <w:t>Bellary</w:t>
      </w:r>
      <w:r>
        <w:rPr>
          <w:spacing w:val="-23"/>
        </w:rPr>
        <w:t> </w:t>
      </w:r>
      <w:r>
        <w:rPr/>
        <w:t>Road,</w:t>
      </w:r>
      <w:r>
        <w:rPr>
          <w:spacing w:val="-24"/>
        </w:rPr>
        <w:t> </w:t>
      </w:r>
      <w:r>
        <w:rPr/>
        <w:t>which connects the city center to Bengaluru International Airport and other key hubs across</w:t>
      </w:r>
      <w:r>
        <w:rPr>
          <w:spacing w:val="-49"/>
        </w:rPr>
        <w:t> </w:t>
      </w:r>
      <w:r>
        <w:rPr/>
        <w:t>the</w:t>
      </w:r>
      <w:r>
        <w:rPr>
          <w:spacing w:val="-50"/>
        </w:rPr>
        <w:t> </w:t>
      </w:r>
      <w:r>
        <w:rPr/>
        <w:t>city.</w:t>
      </w:r>
      <w:r>
        <w:rPr>
          <w:spacing w:val="-49"/>
        </w:rPr>
        <w:t> </w:t>
      </w:r>
      <w:r>
        <w:rPr/>
        <w:t>This</w:t>
      </w:r>
      <w:r>
        <w:rPr>
          <w:spacing w:val="-49"/>
        </w:rPr>
        <w:t> </w:t>
      </w:r>
      <w:r>
        <w:rPr/>
        <w:t>serves</w:t>
      </w:r>
      <w:r>
        <w:rPr>
          <w:spacing w:val="-50"/>
        </w:rPr>
        <w:t> </w:t>
      </w:r>
      <w:r>
        <w:rPr/>
        <w:t>as</w:t>
      </w:r>
      <w:r>
        <w:rPr>
          <w:spacing w:val="-48"/>
        </w:rPr>
        <w:t> </w:t>
      </w:r>
      <w:r>
        <w:rPr/>
        <w:t>the</w:t>
      </w:r>
      <w:r>
        <w:rPr>
          <w:spacing w:val="-50"/>
        </w:rPr>
        <w:t> </w:t>
      </w:r>
      <w:r>
        <w:rPr/>
        <w:t>primary</w:t>
      </w:r>
      <w:r>
        <w:rPr>
          <w:spacing w:val="-48"/>
        </w:rPr>
        <w:t> </w:t>
      </w:r>
      <w:r>
        <w:rPr/>
        <w:t>access</w:t>
      </w:r>
      <w:r>
        <w:rPr>
          <w:spacing w:val="-49"/>
        </w:rPr>
        <w:t> </w:t>
      </w:r>
      <w:r>
        <w:rPr/>
        <w:t>to</w:t>
      </w:r>
      <w:r>
        <w:rPr>
          <w:spacing w:val="-50"/>
        </w:rPr>
        <w:t> </w:t>
      </w:r>
      <w:r>
        <w:rPr/>
        <w:t>the</w:t>
      </w:r>
      <w:r>
        <w:rPr>
          <w:spacing w:val="-49"/>
        </w:rPr>
        <w:t> </w:t>
      </w:r>
      <w:r>
        <w:rPr/>
        <w:t>subject</w:t>
      </w:r>
      <w:r>
        <w:rPr>
          <w:spacing w:val="-49"/>
        </w:rPr>
        <w:t> </w:t>
      </w:r>
      <w:r>
        <w:rPr/>
        <w:t>property.</w:t>
      </w:r>
      <w:r>
        <w:rPr>
          <w:spacing w:val="-50"/>
        </w:rPr>
        <w:t> </w:t>
      </w:r>
      <w:r>
        <w:rPr/>
        <w:t>In</w:t>
      </w:r>
      <w:r>
        <w:rPr>
          <w:spacing w:val="-49"/>
        </w:rPr>
        <w:t> </w:t>
      </w:r>
      <w:r>
        <w:rPr/>
        <w:t>addition, the</w:t>
      </w:r>
      <w:r>
        <w:rPr>
          <w:spacing w:val="-41"/>
        </w:rPr>
        <w:t> </w:t>
      </w:r>
      <w:r>
        <w:rPr/>
        <w:t>subject</w:t>
      </w:r>
      <w:r>
        <w:rPr>
          <w:spacing w:val="-39"/>
        </w:rPr>
        <w:t> </w:t>
      </w:r>
      <w:r>
        <w:rPr/>
        <w:t>property</w:t>
      </w:r>
      <w:r>
        <w:rPr>
          <w:spacing w:val="-39"/>
        </w:rPr>
        <w:t> </w:t>
      </w:r>
      <w:r>
        <w:rPr/>
        <w:t>can</w:t>
      </w:r>
      <w:r>
        <w:rPr>
          <w:spacing w:val="-40"/>
        </w:rPr>
        <w:t> </w:t>
      </w:r>
      <w:r>
        <w:rPr/>
        <w:t>be</w:t>
      </w:r>
      <w:r>
        <w:rPr>
          <w:spacing w:val="-40"/>
        </w:rPr>
        <w:t> </w:t>
      </w:r>
      <w:r>
        <w:rPr/>
        <w:t>accessed</w:t>
      </w:r>
      <w:r>
        <w:rPr>
          <w:spacing w:val="-40"/>
        </w:rPr>
        <w:t> </w:t>
      </w:r>
      <w:r>
        <w:rPr/>
        <w:t>via</w:t>
      </w:r>
      <w:r>
        <w:rPr>
          <w:spacing w:val="-40"/>
        </w:rPr>
        <w:t> </w:t>
      </w:r>
      <w:r>
        <w:rPr/>
        <w:t>a</w:t>
      </w:r>
      <w:r>
        <w:rPr>
          <w:spacing w:val="-39"/>
        </w:rPr>
        <w:t> </w:t>
      </w:r>
      <w:r>
        <w:rPr/>
        <w:t>secondary</w:t>
      </w:r>
      <w:r>
        <w:rPr>
          <w:spacing w:val="-39"/>
        </w:rPr>
        <w:t> </w:t>
      </w:r>
      <w:r>
        <w:rPr/>
        <w:t>access</w:t>
      </w:r>
      <w:r>
        <w:rPr>
          <w:spacing w:val="-39"/>
        </w:rPr>
        <w:t> </w:t>
      </w:r>
      <w:r>
        <w:rPr/>
        <w:t>road</w:t>
      </w:r>
      <w:r>
        <w:rPr>
          <w:spacing w:val="-40"/>
        </w:rPr>
        <w:t> </w:t>
      </w:r>
      <w:r>
        <w:rPr/>
        <w:t>towards</w:t>
      </w:r>
      <w:r>
        <w:rPr>
          <w:spacing w:val="-39"/>
        </w:rPr>
        <w:t> </w:t>
      </w:r>
      <w:r>
        <w:rPr/>
        <w:t>the</w:t>
      </w:r>
      <w:r>
        <w:rPr>
          <w:spacing w:val="-40"/>
        </w:rPr>
        <w:t> </w:t>
      </w:r>
      <w:r>
        <w:rPr/>
        <w:t>south </w:t>
      </w:r>
      <w:r>
        <w:rPr>
          <w:w w:val="95"/>
        </w:rPr>
        <w:t>of</w:t>
      </w:r>
      <w:r>
        <w:rPr>
          <w:spacing w:val="-20"/>
          <w:w w:val="95"/>
        </w:rPr>
        <w:t> </w:t>
      </w:r>
      <w:r>
        <w:rPr>
          <w:w w:val="95"/>
        </w:rPr>
        <w:t>the</w:t>
      </w:r>
      <w:r>
        <w:rPr>
          <w:spacing w:val="-21"/>
          <w:w w:val="95"/>
        </w:rPr>
        <w:t> </w:t>
      </w:r>
      <w:r>
        <w:rPr>
          <w:w w:val="95"/>
        </w:rPr>
        <w:t>development.</w:t>
      </w:r>
      <w:r>
        <w:rPr>
          <w:spacing w:val="-21"/>
          <w:w w:val="95"/>
        </w:rPr>
        <w:t> </w:t>
      </w:r>
      <w:r>
        <w:rPr>
          <w:w w:val="95"/>
        </w:rPr>
        <w:t>By</w:t>
      </w:r>
      <w:r>
        <w:rPr>
          <w:spacing w:val="-19"/>
          <w:w w:val="95"/>
        </w:rPr>
        <w:t> </w:t>
      </w:r>
      <w:r>
        <w:rPr>
          <w:w w:val="95"/>
        </w:rPr>
        <w:t>virtue</w:t>
      </w:r>
      <w:r>
        <w:rPr>
          <w:spacing w:val="-21"/>
          <w:w w:val="95"/>
        </w:rPr>
        <w:t> </w:t>
      </w:r>
      <w:r>
        <w:rPr>
          <w:w w:val="95"/>
        </w:rPr>
        <w:t>of</w:t>
      </w:r>
      <w:r>
        <w:rPr>
          <w:spacing w:val="-19"/>
          <w:w w:val="95"/>
        </w:rPr>
        <w:t> </w:t>
      </w:r>
      <w:r>
        <w:rPr>
          <w:w w:val="95"/>
        </w:rPr>
        <w:t>the</w:t>
      </w:r>
      <w:r>
        <w:rPr>
          <w:spacing w:val="-21"/>
          <w:w w:val="95"/>
        </w:rPr>
        <w:t> </w:t>
      </w:r>
      <w:r>
        <w:rPr>
          <w:w w:val="95"/>
        </w:rPr>
        <w:t>same</w:t>
      </w:r>
      <w:r>
        <w:rPr>
          <w:spacing w:val="-21"/>
          <w:w w:val="95"/>
        </w:rPr>
        <w:t> </w:t>
      </w:r>
      <w:r>
        <w:rPr>
          <w:w w:val="95"/>
        </w:rPr>
        <w:t>the</w:t>
      </w:r>
      <w:r>
        <w:rPr>
          <w:spacing w:val="-21"/>
          <w:w w:val="95"/>
        </w:rPr>
        <w:t> </w:t>
      </w:r>
      <w:r>
        <w:rPr>
          <w:w w:val="95"/>
        </w:rPr>
        <w:t>property</w:t>
      </w:r>
      <w:r>
        <w:rPr>
          <w:spacing w:val="-19"/>
          <w:w w:val="95"/>
        </w:rPr>
        <w:t> </w:t>
      </w:r>
      <w:r>
        <w:rPr>
          <w:w w:val="95"/>
        </w:rPr>
        <w:t>enjoys</w:t>
      </w:r>
      <w:r>
        <w:rPr>
          <w:spacing w:val="-20"/>
          <w:w w:val="95"/>
        </w:rPr>
        <w:t> </w:t>
      </w:r>
      <w:r>
        <w:rPr>
          <w:w w:val="95"/>
        </w:rPr>
        <w:t>excellent</w:t>
      </w:r>
      <w:r>
        <w:rPr>
          <w:spacing w:val="-20"/>
          <w:w w:val="95"/>
        </w:rPr>
        <w:t> </w:t>
      </w:r>
      <w:r>
        <w:rPr>
          <w:w w:val="95"/>
        </w:rPr>
        <w:t>accessibility </w:t>
      </w:r>
      <w:r>
        <w:rPr/>
        <w:t>and frontage. Please refer Exhibit &amp; Addenda for the site plan of the subject property.</w:t>
      </w:r>
    </w:p>
    <w:p>
      <w:pPr>
        <w:pStyle w:val="BodyText"/>
        <w:spacing w:before="4"/>
        <w:rPr>
          <w:sz w:val="31"/>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27" w:id="638"/>
      <w:bookmarkEnd w:id="638"/>
      <w:r>
        <w:rPr/>
      </w:r>
      <w:bookmarkStart w:name="_bookmark327" w:id="639"/>
      <w:bookmarkEnd w:id="639"/>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8"/>
        <w:ind w:left="806" w:right="232"/>
        <w:jc w:val="both"/>
      </w:pPr>
      <w:r>
        <w:rPr/>
        <w:t>As per the title due diligence undertaken by Jayashree Sridhar and as provided by the Client, we understand that the exact address of the subject property is Bellary Road, Ganga Nagar, Bengaluru, Karnataka. Additionally, it is understood that the subject property is freehold in nature.</w:t>
      </w:r>
    </w:p>
    <w:p>
      <w:pPr>
        <w:pStyle w:val="BodyText"/>
        <w:spacing w:before="8"/>
        <w:rPr>
          <w:sz w:val="20"/>
        </w:rPr>
      </w:pPr>
    </w:p>
    <w:p>
      <w:pPr>
        <w:pStyle w:val="BodyText"/>
        <w:spacing w:line="321" w:lineRule="auto"/>
        <w:ind w:left="806" w:right="236"/>
        <w:jc w:val="both"/>
      </w:pPr>
      <w:r>
        <w:rPr/>
        <w:t>Further,</w:t>
      </w:r>
      <w:r>
        <w:rPr>
          <w:spacing w:val="-26"/>
        </w:rPr>
        <w:t> </w:t>
      </w:r>
      <w:r>
        <w:rPr/>
        <w:t>this</w:t>
      </w:r>
      <w:r>
        <w:rPr>
          <w:spacing w:val="-24"/>
        </w:rPr>
        <w:t> </w:t>
      </w:r>
      <w:r>
        <w:rPr/>
        <w:t>appraisal</w:t>
      </w:r>
      <w:r>
        <w:rPr>
          <w:spacing w:val="-26"/>
        </w:rPr>
        <w:t> </w:t>
      </w:r>
      <w:r>
        <w:rPr/>
        <w:t>exercise</w:t>
      </w:r>
      <w:r>
        <w:rPr>
          <w:spacing w:val="-25"/>
        </w:rPr>
        <w:t> </w:t>
      </w:r>
      <w:r>
        <w:rPr/>
        <w:t>is</w:t>
      </w:r>
      <w:r>
        <w:rPr>
          <w:spacing w:val="-25"/>
        </w:rPr>
        <w:t> </w:t>
      </w:r>
      <w:r>
        <w:rPr/>
        <w:t>based</w:t>
      </w:r>
      <w:r>
        <w:rPr>
          <w:spacing w:val="-25"/>
        </w:rPr>
        <w:t> </w:t>
      </w:r>
      <w:r>
        <w:rPr/>
        <w:t>on</w:t>
      </w:r>
      <w:r>
        <w:rPr>
          <w:spacing w:val="-25"/>
        </w:rPr>
        <w:t> </w:t>
      </w:r>
      <w:r>
        <w:rPr/>
        <w:t>the</w:t>
      </w:r>
      <w:r>
        <w:rPr>
          <w:spacing w:val="-26"/>
        </w:rPr>
        <w:t> </w:t>
      </w:r>
      <w:r>
        <w:rPr/>
        <w:t>premise</w:t>
      </w:r>
      <w:r>
        <w:rPr>
          <w:spacing w:val="-25"/>
        </w:rPr>
        <w:t> </w:t>
      </w:r>
      <w:r>
        <w:rPr/>
        <w:t>that</w:t>
      </w:r>
      <w:r>
        <w:rPr>
          <w:spacing w:val="-25"/>
        </w:rPr>
        <w:t> </w:t>
      </w:r>
      <w:r>
        <w:rPr/>
        <w:t>the</w:t>
      </w:r>
      <w:r>
        <w:rPr>
          <w:spacing w:val="-25"/>
        </w:rPr>
        <w:t> </w:t>
      </w:r>
      <w:r>
        <w:rPr/>
        <w:t>subject</w:t>
      </w:r>
      <w:r>
        <w:rPr>
          <w:spacing w:val="-25"/>
        </w:rPr>
        <w:t> </w:t>
      </w:r>
      <w:r>
        <w:rPr/>
        <w:t>property</w:t>
      </w:r>
      <w:r>
        <w:rPr>
          <w:spacing w:val="-24"/>
        </w:rPr>
        <w:t> </w:t>
      </w:r>
      <w:r>
        <w:rPr/>
        <w:t>has</w:t>
      </w:r>
      <w:r>
        <w:rPr>
          <w:spacing w:val="-25"/>
        </w:rPr>
        <w:t> </w:t>
      </w:r>
      <w:r>
        <w:rPr/>
        <w:t>a</w:t>
      </w:r>
      <w:r>
        <w:rPr>
          <w:spacing w:val="-25"/>
        </w:rPr>
        <w:t> </w:t>
      </w:r>
      <w:r>
        <w:rPr/>
        <w:t>clear</w:t>
      </w:r>
      <w:r>
        <w:rPr>
          <w:spacing w:val="-25"/>
        </w:rPr>
        <w:t> </w:t>
      </w:r>
      <w:r>
        <w:rPr/>
        <w:t>title</w:t>
      </w:r>
      <w:r>
        <w:rPr>
          <w:spacing w:val="-25"/>
        </w:rPr>
        <w:t> </w:t>
      </w:r>
      <w:r>
        <w:rPr/>
        <w:t>and</w:t>
      </w:r>
      <w:r>
        <w:rPr>
          <w:spacing w:val="-25"/>
        </w:rPr>
        <w:t> </w:t>
      </w:r>
      <w:r>
        <w:rPr/>
        <w:t>is free</w:t>
      </w:r>
      <w:r>
        <w:rPr>
          <w:spacing w:val="-20"/>
        </w:rPr>
        <w:t> </w:t>
      </w:r>
      <w:r>
        <w:rPr/>
        <w:t>from</w:t>
      </w:r>
      <w:r>
        <w:rPr>
          <w:spacing w:val="-20"/>
        </w:rPr>
        <w:t> </w:t>
      </w:r>
      <w:r>
        <w:rPr/>
        <w:t>any</w:t>
      </w:r>
      <w:r>
        <w:rPr>
          <w:spacing w:val="-18"/>
        </w:rPr>
        <w:t> </w:t>
      </w:r>
      <w:r>
        <w:rPr/>
        <w:t>encumbrances,</w:t>
      </w:r>
      <w:r>
        <w:rPr>
          <w:spacing w:val="-20"/>
        </w:rPr>
        <w:t> </w:t>
      </w:r>
      <w:r>
        <w:rPr/>
        <w:t>disputes,</w:t>
      </w:r>
      <w:r>
        <w:rPr>
          <w:spacing w:val="-20"/>
        </w:rPr>
        <w:t> </w:t>
      </w:r>
      <w:r>
        <w:rPr/>
        <w:t>claims,</w:t>
      </w:r>
      <w:r>
        <w:rPr>
          <w:spacing w:val="-20"/>
        </w:rPr>
        <w:t> </w:t>
      </w:r>
      <w:r>
        <w:rPr/>
        <w:t>etc.</w:t>
      </w:r>
      <w:r>
        <w:rPr>
          <w:spacing w:val="-16"/>
        </w:rPr>
        <w:t> </w:t>
      </w:r>
      <w:r>
        <w:rPr/>
        <w:t>we</w:t>
      </w:r>
      <w:r>
        <w:rPr>
          <w:spacing w:val="-20"/>
        </w:rPr>
        <w:t> </w:t>
      </w:r>
      <w:r>
        <w:rPr/>
        <w:t>have</w:t>
      </w:r>
      <w:r>
        <w:rPr>
          <w:spacing w:val="-20"/>
        </w:rPr>
        <w:t> </w:t>
      </w:r>
      <w:r>
        <w:rPr/>
        <w:t>not</w:t>
      </w:r>
      <w:r>
        <w:rPr>
          <w:spacing w:val="-20"/>
        </w:rPr>
        <w:t> </w:t>
      </w:r>
      <w:r>
        <w:rPr/>
        <w:t>made</w:t>
      </w:r>
      <w:r>
        <w:rPr>
          <w:spacing w:val="-20"/>
        </w:rPr>
        <w:t> </w:t>
      </w:r>
      <w:r>
        <w:rPr/>
        <w:t>any</w:t>
      </w:r>
      <w:r>
        <w:rPr>
          <w:spacing w:val="-20"/>
        </w:rPr>
        <w:t> </w:t>
      </w:r>
      <w:r>
        <w:rPr/>
        <w:t>inquiries</w:t>
      </w:r>
      <w:r>
        <w:rPr>
          <w:spacing w:val="-19"/>
        </w:rPr>
        <w:t> </w:t>
      </w:r>
      <w:r>
        <w:rPr/>
        <w:t>in</w:t>
      </w:r>
      <w:r>
        <w:rPr>
          <w:spacing w:val="-21"/>
        </w:rPr>
        <w:t> </w:t>
      </w:r>
      <w:r>
        <w:rPr/>
        <w:t>this</w:t>
      </w:r>
      <w:r>
        <w:rPr>
          <w:spacing w:val="-19"/>
        </w:rPr>
        <w:t> </w:t>
      </w:r>
      <w:r>
        <w:rPr/>
        <w:t>regard</w:t>
      </w:r>
      <w:r>
        <w:rPr>
          <w:spacing w:val="-20"/>
        </w:rPr>
        <w:t> </w:t>
      </w:r>
      <w:r>
        <w:rPr/>
        <w:t>with the relevant legal/ statutory</w:t>
      </w:r>
      <w:r>
        <w:rPr>
          <w:spacing w:val="-21"/>
        </w:rPr>
        <w:t> </w:t>
      </w:r>
      <w:r>
        <w:rPr/>
        <w:t>authorities.</w:t>
      </w:r>
    </w:p>
    <w:p>
      <w:pPr>
        <w:pStyle w:val="BodyText"/>
        <w:spacing w:before="10"/>
        <w:rPr>
          <w:sz w:val="20"/>
        </w:rPr>
      </w:pPr>
    </w:p>
    <w:p>
      <w:pPr>
        <w:pStyle w:val="ListParagraph"/>
        <w:numPr>
          <w:ilvl w:val="2"/>
          <w:numId w:val="14"/>
        </w:numPr>
        <w:tabs>
          <w:tab w:pos="961" w:val="left" w:leader="none"/>
        </w:tabs>
        <w:spacing w:line="240" w:lineRule="auto" w:before="0" w:after="0"/>
        <w:ind w:left="960" w:right="0" w:hanging="721"/>
        <w:jc w:val="left"/>
        <w:rPr>
          <w:sz w:val="22"/>
        </w:rPr>
      </w:pPr>
      <w:bookmarkStart w:name="_bookmark328" w:id="640"/>
      <w:bookmarkEnd w:id="640"/>
      <w:r>
        <w:rPr/>
      </w:r>
      <w:bookmarkStart w:name="_bookmark328" w:id="641"/>
      <w:bookmarkEnd w:id="641"/>
      <w:r>
        <w:rPr>
          <w:color w:val="1F664D"/>
          <w:w w:val="105"/>
          <w:sz w:val="22"/>
        </w:rPr>
        <w:t>Tow</w:t>
      </w:r>
      <w:r>
        <w:rPr>
          <w:color w:val="1F664D"/>
          <w:w w:val="105"/>
          <w:sz w:val="22"/>
        </w:rPr>
        <w:t>n</w:t>
      </w:r>
      <w:r>
        <w:rPr>
          <w:color w:val="1F664D"/>
          <w:spacing w:val="-4"/>
          <w:w w:val="105"/>
          <w:sz w:val="22"/>
        </w:rPr>
        <w:t> </w:t>
      </w:r>
      <w:r>
        <w:rPr>
          <w:color w:val="1F664D"/>
          <w:w w:val="105"/>
          <w:sz w:val="22"/>
        </w:rPr>
        <w:t>Planning</w:t>
      </w:r>
    </w:p>
    <w:p>
      <w:pPr>
        <w:pStyle w:val="BodyText"/>
        <w:spacing w:before="4"/>
        <w:rPr>
          <w:sz w:val="28"/>
        </w:rPr>
      </w:pPr>
    </w:p>
    <w:p>
      <w:pPr>
        <w:pStyle w:val="BodyText"/>
        <w:tabs>
          <w:tab w:pos="2777" w:val="left" w:leader="none"/>
        </w:tabs>
        <w:spacing w:line="321" w:lineRule="auto"/>
        <w:ind w:left="2777" w:right="265" w:hanging="1873"/>
        <w:jc w:val="both"/>
      </w:pPr>
      <w:r>
        <w:rPr/>
        <w:t>Zoning</w:t>
        <w:tab/>
        <w:t>As per RMP 2015, we understand that the zoning for the subject property is Residential mixed use located along Mutation Corridor. The same has been adopted</w:t>
      </w:r>
      <w:r>
        <w:rPr>
          <w:spacing w:val="-30"/>
        </w:rPr>
        <w:t> </w:t>
      </w:r>
      <w:r>
        <w:rPr/>
        <w:t>for</w:t>
      </w:r>
      <w:r>
        <w:rPr>
          <w:spacing w:val="-32"/>
        </w:rPr>
        <w:t> </w:t>
      </w:r>
      <w:r>
        <w:rPr/>
        <w:t>the</w:t>
      </w:r>
      <w:r>
        <w:rPr>
          <w:spacing w:val="-30"/>
        </w:rPr>
        <w:t> </w:t>
      </w:r>
      <w:r>
        <w:rPr/>
        <w:t>purpose</w:t>
      </w:r>
      <w:r>
        <w:rPr>
          <w:spacing w:val="-32"/>
        </w:rPr>
        <w:t> </w:t>
      </w:r>
      <w:r>
        <w:rPr/>
        <w:t>of</w:t>
      </w:r>
      <w:r>
        <w:rPr>
          <w:spacing w:val="-30"/>
        </w:rPr>
        <w:t> </w:t>
      </w:r>
      <w:r>
        <w:rPr/>
        <w:t>the</w:t>
      </w:r>
      <w:r>
        <w:rPr>
          <w:spacing w:val="-30"/>
        </w:rPr>
        <w:t> </w:t>
      </w:r>
      <w:r>
        <w:rPr/>
        <w:t>valuation</w:t>
      </w:r>
      <w:r>
        <w:rPr>
          <w:spacing w:val="-30"/>
        </w:rPr>
        <w:t> </w:t>
      </w:r>
      <w:r>
        <w:rPr/>
        <w:t>exercise.</w:t>
      </w:r>
      <w:r>
        <w:rPr>
          <w:spacing w:val="-30"/>
        </w:rPr>
        <w:t> </w:t>
      </w:r>
      <w:r>
        <w:rPr/>
        <w:t>Further,</w:t>
      </w:r>
      <w:r>
        <w:rPr>
          <w:spacing w:val="-31"/>
        </w:rPr>
        <w:t> </w:t>
      </w:r>
      <w:r>
        <w:rPr/>
        <w:t>as</w:t>
      </w:r>
      <w:r>
        <w:rPr>
          <w:spacing w:val="-30"/>
        </w:rPr>
        <w:t> </w:t>
      </w:r>
      <w:r>
        <w:rPr/>
        <w:t>the</w:t>
      </w:r>
      <w:r>
        <w:rPr>
          <w:spacing w:val="-31"/>
        </w:rPr>
        <w:t> </w:t>
      </w:r>
      <w:r>
        <w:rPr/>
        <w:t>subject</w:t>
      </w:r>
      <w:r>
        <w:rPr>
          <w:spacing w:val="-29"/>
        </w:rPr>
        <w:t> </w:t>
      </w:r>
      <w:r>
        <w:rPr/>
        <w:t>property is</w:t>
      </w:r>
      <w:r>
        <w:rPr>
          <w:spacing w:val="-32"/>
        </w:rPr>
        <w:t> </w:t>
      </w:r>
      <w:r>
        <w:rPr/>
        <w:t>located</w:t>
      </w:r>
      <w:r>
        <w:rPr>
          <w:spacing w:val="-33"/>
        </w:rPr>
        <w:t> </w:t>
      </w:r>
      <w:r>
        <w:rPr/>
        <w:t>along</w:t>
      </w:r>
      <w:r>
        <w:rPr>
          <w:spacing w:val="-32"/>
        </w:rPr>
        <w:t> </w:t>
      </w:r>
      <w:r>
        <w:rPr/>
        <w:t>the</w:t>
      </w:r>
      <w:r>
        <w:rPr>
          <w:spacing w:val="-32"/>
        </w:rPr>
        <w:t> </w:t>
      </w:r>
      <w:r>
        <w:rPr/>
        <w:t>mutation</w:t>
      </w:r>
      <w:r>
        <w:rPr>
          <w:spacing w:val="-33"/>
        </w:rPr>
        <w:t> </w:t>
      </w:r>
      <w:r>
        <w:rPr/>
        <w:t>corridor,</w:t>
      </w:r>
      <w:r>
        <w:rPr>
          <w:spacing w:val="-33"/>
        </w:rPr>
        <w:t> </w:t>
      </w:r>
      <w:r>
        <w:rPr/>
        <w:t>thereby</w:t>
      </w:r>
      <w:r>
        <w:rPr>
          <w:spacing w:val="-32"/>
        </w:rPr>
        <w:t> </w:t>
      </w:r>
      <w:r>
        <w:rPr/>
        <w:t>allowing</w:t>
      </w:r>
      <w:r>
        <w:rPr>
          <w:spacing w:val="-31"/>
        </w:rPr>
        <w:t> </w:t>
      </w:r>
      <w:r>
        <w:rPr/>
        <w:t>flexibility</w:t>
      </w:r>
      <w:r>
        <w:rPr>
          <w:spacing w:val="-32"/>
        </w:rPr>
        <w:t> </w:t>
      </w:r>
      <w:r>
        <w:rPr/>
        <w:t>on</w:t>
      </w:r>
      <w:r>
        <w:rPr>
          <w:spacing w:val="-33"/>
        </w:rPr>
        <w:t> </w:t>
      </w:r>
      <w:r>
        <w:rPr/>
        <w:t>the</w:t>
      </w:r>
      <w:r>
        <w:rPr>
          <w:spacing w:val="-32"/>
        </w:rPr>
        <w:t> </w:t>
      </w:r>
      <w:r>
        <w:rPr/>
        <w:t>land</w:t>
      </w:r>
      <w:r>
        <w:rPr>
          <w:spacing w:val="-33"/>
        </w:rPr>
        <w:t> </w:t>
      </w:r>
      <w:r>
        <w:rPr/>
        <w:t>use.</w:t>
      </w:r>
    </w:p>
    <w:p>
      <w:pPr>
        <w:pStyle w:val="BodyText"/>
        <w:spacing w:line="321" w:lineRule="auto" w:before="121"/>
        <w:ind w:left="2777" w:right="263"/>
        <w:jc w:val="both"/>
      </w:pPr>
      <w:r>
        <w:rPr/>
        <w:t>The</w:t>
      </w:r>
      <w:r>
        <w:rPr>
          <w:spacing w:val="-29"/>
        </w:rPr>
        <w:t> </w:t>
      </w:r>
      <w:r>
        <w:rPr/>
        <w:t>permissible</w:t>
      </w:r>
      <w:r>
        <w:rPr>
          <w:spacing w:val="-29"/>
        </w:rPr>
        <w:t> </w:t>
      </w:r>
      <w:r>
        <w:rPr/>
        <w:t>land</w:t>
      </w:r>
      <w:r>
        <w:rPr>
          <w:spacing w:val="-27"/>
        </w:rPr>
        <w:t> </w:t>
      </w:r>
      <w:r>
        <w:rPr/>
        <w:t>use</w:t>
      </w:r>
      <w:r>
        <w:rPr>
          <w:spacing w:val="-28"/>
        </w:rPr>
        <w:t> </w:t>
      </w:r>
      <w:r>
        <w:rPr/>
        <w:t>adopted</w:t>
      </w:r>
      <w:r>
        <w:rPr>
          <w:spacing w:val="-28"/>
        </w:rPr>
        <w:t> </w:t>
      </w:r>
      <w:r>
        <w:rPr/>
        <w:t>by</w:t>
      </w:r>
      <w:r>
        <w:rPr>
          <w:spacing w:val="-29"/>
        </w:rPr>
        <w:t> </w:t>
      </w:r>
      <w:r>
        <w:rPr/>
        <w:t>Consultants</w:t>
      </w:r>
      <w:r>
        <w:rPr>
          <w:spacing w:val="-27"/>
        </w:rPr>
        <w:t> </w:t>
      </w:r>
      <w:r>
        <w:rPr/>
        <w:t>for</w:t>
      </w:r>
      <w:r>
        <w:rPr>
          <w:spacing w:val="-28"/>
        </w:rPr>
        <w:t> </w:t>
      </w:r>
      <w:r>
        <w:rPr/>
        <w:t>the</w:t>
      </w:r>
      <w:r>
        <w:rPr>
          <w:spacing w:val="-28"/>
        </w:rPr>
        <w:t> </w:t>
      </w:r>
      <w:r>
        <w:rPr/>
        <w:t>subject</w:t>
      </w:r>
      <w:r>
        <w:rPr>
          <w:spacing w:val="-28"/>
        </w:rPr>
        <w:t> </w:t>
      </w:r>
      <w:r>
        <w:rPr/>
        <w:t>property</w:t>
      </w:r>
      <w:r>
        <w:rPr>
          <w:spacing w:val="-27"/>
        </w:rPr>
        <w:t> </w:t>
      </w:r>
      <w:r>
        <w:rPr/>
        <w:t>has</w:t>
      </w:r>
      <w:r>
        <w:rPr>
          <w:spacing w:val="-27"/>
        </w:rPr>
        <w:t> </w:t>
      </w:r>
      <w:r>
        <w:rPr/>
        <w:t>been based</w:t>
      </w:r>
      <w:r>
        <w:rPr>
          <w:spacing w:val="-24"/>
        </w:rPr>
        <w:t> </w:t>
      </w:r>
      <w:r>
        <w:rPr/>
        <w:t>on</w:t>
      </w:r>
      <w:r>
        <w:rPr>
          <w:spacing w:val="-25"/>
        </w:rPr>
        <w:t> </w:t>
      </w:r>
      <w:r>
        <w:rPr/>
        <w:t>information/review</w:t>
      </w:r>
      <w:r>
        <w:rPr>
          <w:spacing w:val="-24"/>
        </w:rPr>
        <w:t> </w:t>
      </w:r>
      <w:r>
        <w:rPr/>
        <w:t>of</w:t>
      </w:r>
      <w:r>
        <w:rPr>
          <w:spacing w:val="-23"/>
        </w:rPr>
        <w:t> </w:t>
      </w:r>
      <w:r>
        <w:rPr/>
        <w:t>various</w:t>
      </w:r>
      <w:r>
        <w:rPr>
          <w:spacing w:val="-24"/>
        </w:rPr>
        <w:t> </w:t>
      </w:r>
      <w:r>
        <w:rPr/>
        <w:t>documents</w:t>
      </w:r>
      <w:r>
        <w:rPr>
          <w:spacing w:val="-23"/>
        </w:rPr>
        <w:t> </w:t>
      </w:r>
      <w:r>
        <w:rPr/>
        <w:t>provided</w:t>
      </w:r>
      <w:r>
        <w:rPr>
          <w:spacing w:val="-23"/>
        </w:rPr>
        <w:t> </w:t>
      </w:r>
      <w:r>
        <w:rPr/>
        <w:t>by</w:t>
      </w:r>
      <w:r>
        <w:rPr>
          <w:spacing w:val="-24"/>
        </w:rPr>
        <w:t> </w:t>
      </w:r>
      <w:r>
        <w:rPr/>
        <w:t>the</w:t>
      </w:r>
      <w:r>
        <w:rPr>
          <w:spacing w:val="-25"/>
        </w:rPr>
        <w:t> </w:t>
      </w:r>
      <w:r>
        <w:rPr/>
        <w:t>Client.</w:t>
      </w:r>
      <w:r>
        <w:rPr>
          <w:spacing w:val="-25"/>
        </w:rPr>
        <w:t> </w:t>
      </w:r>
      <w:r>
        <w:rPr/>
        <w:t>It</w:t>
      </w:r>
      <w:r>
        <w:rPr>
          <w:spacing w:val="-23"/>
        </w:rPr>
        <w:t> </w:t>
      </w:r>
      <w:r>
        <w:rPr/>
        <w:t>must be</w:t>
      </w:r>
      <w:r>
        <w:rPr>
          <w:spacing w:val="-46"/>
        </w:rPr>
        <w:t> </w:t>
      </w:r>
      <w:r>
        <w:rPr/>
        <w:t>noted</w:t>
      </w:r>
      <w:r>
        <w:rPr>
          <w:spacing w:val="-45"/>
        </w:rPr>
        <w:t> </w:t>
      </w:r>
      <w:r>
        <w:rPr/>
        <w:t>that</w:t>
      </w:r>
      <w:r>
        <w:rPr>
          <w:spacing w:val="-45"/>
        </w:rPr>
        <w:t> </w:t>
      </w:r>
      <w:r>
        <w:rPr/>
        <w:t>all</w:t>
      </w:r>
      <w:r>
        <w:rPr>
          <w:spacing w:val="-46"/>
        </w:rPr>
        <w:t> </w:t>
      </w:r>
      <w:r>
        <w:rPr/>
        <w:t>factual</w:t>
      </w:r>
      <w:r>
        <w:rPr>
          <w:spacing w:val="-45"/>
        </w:rPr>
        <w:t> </w:t>
      </w:r>
      <w:r>
        <w:rPr/>
        <w:t>data</w:t>
      </w:r>
      <w:r>
        <w:rPr>
          <w:spacing w:val="-46"/>
        </w:rPr>
        <w:t> </w:t>
      </w:r>
      <w:r>
        <w:rPr/>
        <w:t>viz.</w:t>
      </w:r>
      <w:r>
        <w:rPr>
          <w:spacing w:val="-45"/>
        </w:rPr>
        <w:t> </w:t>
      </w:r>
      <w:r>
        <w:rPr/>
        <w:t>permissible</w:t>
      </w:r>
      <w:r>
        <w:rPr>
          <w:spacing w:val="-46"/>
        </w:rPr>
        <w:t> </w:t>
      </w:r>
      <w:r>
        <w:rPr/>
        <w:t>development</w:t>
      </w:r>
      <w:r>
        <w:rPr>
          <w:spacing w:val="-46"/>
        </w:rPr>
        <w:t> </w:t>
      </w:r>
      <w:r>
        <w:rPr/>
        <w:t>control</w:t>
      </w:r>
      <w:r>
        <w:rPr>
          <w:spacing w:val="-45"/>
        </w:rPr>
        <w:t> </w:t>
      </w:r>
      <w:r>
        <w:rPr/>
        <w:t>regulations,</w:t>
      </w:r>
      <w:r>
        <w:rPr>
          <w:spacing w:val="-45"/>
        </w:rPr>
        <w:t> </w:t>
      </w:r>
      <w:r>
        <w:rPr/>
        <w:t>land area and achievable FSI have also been based on information/review of various documents</w:t>
      </w:r>
      <w:r>
        <w:rPr>
          <w:spacing w:val="-32"/>
        </w:rPr>
        <w:t> </w:t>
      </w:r>
      <w:r>
        <w:rPr/>
        <w:t>(such</w:t>
      </w:r>
      <w:r>
        <w:rPr>
          <w:spacing w:val="-31"/>
        </w:rPr>
        <w:t> </w:t>
      </w:r>
      <w:r>
        <w:rPr/>
        <w:t>as</w:t>
      </w:r>
      <w:r>
        <w:rPr>
          <w:spacing w:val="-30"/>
        </w:rPr>
        <w:t> </w:t>
      </w:r>
      <w:r>
        <w:rPr/>
        <w:t>title</w:t>
      </w:r>
      <w:r>
        <w:rPr>
          <w:spacing w:val="-33"/>
        </w:rPr>
        <w:t> </w:t>
      </w:r>
      <w:r>
        <w:rPr/>
        <w:t>deed,</w:t>
      </w:r>
      <w:r>
        <w:rPr>
          <w:spacing w:val="-31"/>
        </w:rPr>
        <w:t> </w:t>
      </w:r>
      <w:r>
        <w:rPr/>
        <w:t>plan</w:t>
      </w:r>
      <w:r>
        <w:rPr>
          <w:spacing w:val="-31"/>
        </w:rPr>
        <w:t> </w:t>
      </w:r>
      <w:r>
        <w:rPr/>
        <w:t>sanction</w:t>
      </w:r>
      <w:r>
        <w:rPr>
          <w:spacing w:val="-31"/>
        </w:rPr>
        <w:t> </w:t>
      </w:r>
      <w:r>
        <w:rPr/>
        <w:t>letter,</w:t>
      </w:r>
      <w:r>
        <w:rPr>
          <w:spacing w:val="-31"/>
        </w:rPr>
        <w:t> </w:t>
      </w:r>
      <w:r>
        <w:rPr/>
        <w:t>site</w:t>
      </w:r>
      <w:r>
        <w:rPr>
          <w:spacing w:val="-31"/>
        </w:rPr>
        <w:t> </w:t>
      </w:r>
      <w:r>
        <w:rPr/>
        <w:t>plan,</w:t>
      </w:r>
      <w:r>
        <w:rPr>
          <w:spacing w:val="-31"/>
        </w:rPr>
        <w:t> </w:t>
      </w:r>
      <w:r>
        <w:rPr/>
        <w:t>etc.)</w:t>
      </w:r>
      <w:r>
        <w:rPr>
          <w:spacing w:val="-32"/>
        </w:rPr>
        <w:t> </w:t>
      </w:r>
      <w:r>
        <w:rPr/>
        <w:t>provided</w:t>
      </w:r>
      <w:r>
        <w:rPr>
          <w:spacing w:val="-30"/>
        </w:rPr>
        <w:t> </w:t>
      </w:r>
      <w:r>
        <w:rPr/>
        <w:t>by</w:t>
      </w:r>
      <w:r>
        <w:rPr>
          <w:spacing w:val="-30"/>
        </w:rPr>
        <w:t> </w:t>
      </w:r>
      <w:r>
        <w:rPr/>
        <w:t>the</w:t>
      </w:r>
    </w:p>
    <w:p>
      <w:pPr>
        <w:spacing w:after="0" w:line="321" w:lineRule="auto"/>
        <w:jc w:val="both"/>
        <w:sectPr>
          <w:pgSz w:w="11910" w:h="16840"/>
          <w:pgMar w:header="720" w:footer="862" w:top="1660" w:bottom="1060" w:left="480" w:right="480"/>
        </w:sectPr>
      </w:pPr>
    </w:p>
    <w:p>
      <w:pPr>
        <w:pStyle w:val="BodyText"/>
        <w:spacing w:before="7"/>
        <w:rPr>
          <w:sz w:val="9"/>
        </w:rPr>
      </w:pPr>
    </w:p>
    <w:p>
      <w:pPr>
        <w:pStyle w:val="BodyText"/>
        <w:spacing w:line="321" w:lineRule="auto" w:before="106"/>
        <w:ind w:left="2777" w:right="262"/>
        <w:jc w:val="both"/>
      </w:pPr>
      <w:r>
        <w:rPr/>
        <w:t>Client or assumed based on building regulations, and no physical verification/ measurement has been undertaken for the purpose of this valuation exercise.</w:t>
      </w:r>
    </w:p>
    <w:p>
      <w:pPr>
        <w:pStyle w:val="BodyText"/>
        <w:spacing w:before="122"/>
        <w:ind w:left="2777"/>
        <w:jc w:val="both"/>
      </w:pPr>
      <w:r>
        <w:rPr/>
        <w:t>For</w:t>
      </w:r>
      <w:r>
        <w:rPr>
          <w:spacing w:val="-33"/>
        </w:rPr>
        <w:t> </w:t>
      </w:r>
      <w:r>
        <w:rPr/>
        <w:t>the</w:t>
      </w:r>
      <w:r>
        <w:rPr>
          <w:spacing w:val="-33"/>
        </w:rPr>
        <w:t> </w:t>
      </w:r>
      <w:r>
        <w:rPr/>
        <w:t>purpose</w:t>
      </w:r>
      <w:r>
        <w:rPr>
          <w:spacing w:val="-33"/>
        </w:rPr>
        <w:t> </w:t>
      </w:r>
      <w:r>
        <w:rPr/>
        <w:t>of</w:t>
      </w:r>
      <w:r>
        <w:rPr>
          <w:spacing w:val="-33"/>
        </w:rPr>
        <w:t> </w:t>
      </w:r>
      <w:r>
        <w:rPr/>
        <w:t>this</w:t>
      </w:r>
      <w:r>
        <w:rPr>
          <w:spacing w:val="-32"/>
        </w:rPr>
        <w:t> </w:t>
      </w:r>
      <w:r>
        <w:rPr/>
        <w:t>exercise,</w:t>
      </w:r>
      <w:r>
        <w:rPr>
          <w:spacing w:val="-33"/>
        </w:rPr>
        <w:t> </w:t>
      </w:r>
      <w:r>
        <w:rPr/>
        <w:t>it</w:t>
      </w:r>
      <w:r>
        <w:rPr>
          <w:spacing w:val="-33"/>
        </w:rPr>
        <w:t> </w:t>
      </w:r>
      <w:r>
        <w:rPr/>
        <w:t>has</w:t>
      </w:r>
      <w:r>
        <w:rPr>
          <w:spacing w:val="-33"/>
        </w:rPr>
        <w:t> </w:t>
      </w:r>
      <w:r>
        <w:rPr/>
        <w:t>been</w:t>
      </w:r>
      <w:r>
        <w:rPr>
          <w:spacing w:val="-32"/>
        </w:rPr>
        <w:t> </w:t>
      </w:r>
      <w:r>
        <w:rPr/>
        <w:t>assumed</w:t>
      </w:r>
      <w:r>
        <w:rPr>
          <w:spacing w:val="-33"/>
        </w:rPr>
        <w:t> </w:t>
      </w:r>
      <w:r>
        <w:rPr/>
        <w:t>that</w:t>
      </w:r>
      <w:r>
        <w:rPr>
          <w:spacing w:val="-32"/>
        </w:rPr>
        <w:t> </w:t>
      </w:r>
      <w:r>
        <w:rPr/>
        <w:t>all</w:t>
      </w:r>
      <w:r>
        <w:rPr>
          <w:spacing w:val="-34"/>
        </w:rPr>
        <w:t> </w:t>
      </w:r>
      <w:r>
        <w:rPr/>
        <w:t>developments</w:t>
      </w:r>
      <w:r>
        <w:rPr>
          <w:spacing w:val="-32"/>
        </w:rPr>
        <w:t> </w:t>
      </w:r>
      <w:r>
        <w:rPr/>
        <w:t>(existing</w:t>
      </w:r>
    </w:p>
    <w:p>
      <w:pPr>
        <w:pStyle w:val="BodyText"/>
        <w:spacing w:line="321" w:lineRule="auto" w:before="85"/>
        <w:ind w:left="2777" w:right="263"/>
        <w:jc w:val="both"/>
      </w:pPr>
      <w:r>
        <w:rPr/>
        <w:t>/</w:t>
      </w:r>
      <w:r>
        <w:rPr>
          <w:spacing w:val="-10"/>
        </w:rPr>
        <w:t> </w:t>
      </w:r>
      <w:r>
        <w:rPr/>
        <w:t>under</w:t>
      </w:r>
      <w:r>
        <w:rPr>
          <w:spacing w:val="-9"/>
        </w:rPr>
        <w:t> </w:t>
      </w:r>
      <w:r>
        <w:rPr/>
        <w:t>construction</w:t>
      </w:r>
      <w:r>
        <w:rPr>
          <w:spacing w:val="-8"/>
        </w:rPr>
        <w:t> </w:t>
      </w:r>
      <w:r>
        <w:rPr/>
        <w:t>/</w:t>
      </w:r>
      <w:r>
        <w:rPr>
          <w:spacing w:val="-9"/>
        </w:rPr>
        <w:t> </w:t>
      </w:r>
      <w:r>
        <w:rPr/>
        <w:t>proposed)</w:t>
      </w:r>
      <w:r>
        <w:rPr>
          <w:spacing w:val="-7"/>
        </w:rPr>
        <w:t> </w:t>
      </w:r>
      <w:r>
        <w:rPr/>
        <w:t>adhere</w:t>
      </w:r>
      <w:r>
        <w:rPr>
          <w:spacing w:val="-9"/>
        </w:rPr>
        <w:t> </w:t>
      </w:r>
      <w:r>
        <w:rPr/>
        <w:t>to</w:t>
      </w:r>
      <w:r>
        <w:rPr>
          <w:spacing w:val="-10"/>
        </w:rPr>
        <w:t> </w:t>
      </w:r>
      <w:r>
        <w:rPr/>
        <w:t>building</w:t>
      </w:r>
      <w:r>
        <w:rPr>
          <w:spacing w:val="-7"/>
        </w:rPr>
        <w:t> </w:t>
      </w:r>
      <w:r>
        <w:rPr/>
        <w:t>regulations</w:t>
      </w:r>
      <w:r>
        <w:rPr>
          <w:spacing w:val="-9"/>
        </w:rPr>
        <w:t> </w:t>
      </w:r>
      <w:r>
        <w:rPr/>
        <w:t>as</w:t>
      </w:r>
      <w:r>
        <w:rPr>
          <w:spacing w:val="-8"/>
        </w:rPr>
        <w:t> </w:t>
      </w:r>
      <w:r>
        <w:rPr/>
        <w:t>prescribed</w:t>
      </w:r>
      <w:r>
        <w:rPr>
          <w:spacing w:val="-9"/>
        </w:rPr>
        <w:t> </w:t>
      </w:r>
      <w:r>
        <w:rPr/>
        <w:t>by the</w:t>
      </w:r>
      <w:r>
        <w:rPr>
          <w:spacing w:val="-6"/>
        </w:rPr>
        <w:t> </w:t>
      </w:r>
      <w:r>
        <w:rPr/>
        <w:t>relevant</w:t>
      </w:r>
      <w:r>
        <w:rPr>
          <w:spacing w:val="-5"/>
        </w:rPr>
        <w:t> </w:t>
      </w:r>
      <w:r>
        <w:rPr/>
        <w:t>authorities.</w:t>
      </w:r>
      <w:r>
        <w:rPr>
          <w:spacing w:val="-5"/>
        </w:rPr>
        <w:t> </w:t>
      </w:r>
      <w:r>
        <w:rPr/>
        <w:t>We</w:t>
      </w:r>
      <w:r>
        <w:rPr>
          <w:spacing w:val="-5"/>
        </w:rPr>
        <w:t> </w:t>
      </w:r>
      <w:r>
        <w:rPr/>
        <w:t>have</w:t>
      </w:r>
      <w:r>
        <w:rPr>
          <w:spacing w:val="-5"/>
        </w:rPr>
        <w:t> </w:t>
      </w:r>
      <w:r>
        <w:rPr/>
        <w:t>not</w:t>
      </w:r>
      <w:r>
        <w:rPr>
          <w:spacing w:val="-4"/>
        </w:rPr>
        <w:t> </w:t>
      </w:r>
      <w:r>
        <w:rPr/>
        <w:t>validated</w:t>
      </w:r>
      <w:r>
        <w:rPr>
          <w:spacing w:val="-6"/>
        </w:rPr>
        <w:t> </w:t>
      </w:r>
      <w:r>
        <w:rPr/>
        <w:t>the</w:t>
      </w:r>
      <w:r>
        <w:rPr>
          <w:spacing w:val="-5"/>
        </w:rPr>
        <w:t> </w:t>
      </w:r>
      <w:r>
        <w:rPr/>
        <w:t>information</w:t>
      </w:r>
      <w:r>
        <w:rPr>
          <w:spacing w:val="-6"/>
        </w:rPr>
        <w:t> </w:t>
      </w:r>
      <w:r>
        <w:rPr/>
        <w:t>provided</w:t>
      </w:r>
      <w:r>
        <w:rPr>
          <w:spacing w:val="-6"/>
        </w:rPr>
        <w:t> </w:t>
      </w:r>
      <w:r>
        <w:rPr/>
        <w:t>by</w:t>
      </w:r>
      <w:r>
        <w:rPr>
          <w:spacing w:val="-4"/>
        </w:rPr>
        <w:t> </w:t>
      </w:r>
      <w:r>
        <w:rPr/>
        <w:t>the Client with the relevant development</w:t>
      </w:r>
      <w:r>
        <w:rPr>
          <w:spacing w:val="-40"/>
        </w:rPr>
        <w:t> </w:t>
      </w:r>
      <w:r>
        <w:rPr/>
        <w:t>authorities.</w:t>
      </w:r>
    </w:p>
    <w:p>
      <w:pPr>
        <w:pStyle w:val="BodyText"/>
        <w:spacing w:before="9"/>
        <w:rPr>
          <w:sz w:val="11"/>
        </w:rPr>
      </w:pPr>
    </w:p>
    <w:p>
      <w:pPr>
        <w:spacing w:after="0"/>
        <w:rPr>
          <w:sz w:val="11"/>
        </w:rPr>
        <w:sectPr>
          <w:pgSz w:w="11910" w:h="16840"/>
          <w:pgMar w:header="720" w:footer="862" w:top="1660" w:bottom="1060" w:left="480" w:right="480"/>
        </w:sectPr>
      </w:pPr>
    </w:p>
    <w:p>
      <w:pPr>
        <w:pStyle w:val="BodyText"/>
        <w:spacing w:line="321" w:lineRule="auto" w:before="106"/>
        <w:ind w:left="905" w:right="-18"/>
      </w:pPr>
      <w:r>
        <w:rPr/>
        <w:t>Approved Usage:</w:t>
      </w:r>
    </w:p>
    <w:p>
      <w:pPr>
        <w:pStyle w:val="BodyText"/>
        <w:spacing w:line="321" w:lineRule="auto" w:before="106"/>
        <w:ind w:left="902"/>
      </w:pPr>
      <w:r>
        <w:rPr/>
        <w:br w:type="column"/>
      </w:r>
      <w:r>
        <w:rPr/>
        <w:t>Based</w:t>
      </w:r>
      <w:r>
        <w:rPr>
          <w:spacing w:val="-11"/>
        </w:rPr>
        <w:t> </w:t>
      </w:r>
      <w:r>
        <w:rPr/>
        <w:t>on</w:t>
      </w:r>
      <w:r>
        <w:rPr>
          <w:spacing w:val="-14"/>
        </w:rPr>
        <w:t> </w:t>
      </w:r>
      <w:r>
        <w:rPr/>
        <w:t>the</w:t>
      </w:r>
      <w:r>
        <w:rPr>
          <w:spacing w:val="-11"/>
        </w:rPr>
        <w:t> </w:t>
      </w:r>
      <w:r>
        <w:rPr/>
        <w:t>information</w:t>
      </w:r>
      <w:r>
        <w:rPr>
          <w:spacing w:val="-12"/>
        </w:rPr>
        <w:t> </w:t>
      </w:r>
      <w:r>
        <w:rPr/>
        <w:t>provided</w:t>
      </w:r>
      <w:r>
        <w:rPr>
          <w:spacing w:val="-10"/>
        </w:rPr>
        <w:t> </w:t>
      </w:r>
      <w:r>
        <w:rPr/>
        <w:t>by</w:t>
      </w:r>
      <w:r>
        <w:rPr>
          <w:spacing w:val="-11"/>
        </w:rPr>
        <w:t> </w:t>
      </w:r>
      <w:r>
        <w:rPr/>
        <w:t>the</w:t>
      </w:r>
      <w:r>
        <w:rPr>
          <w:spacing w:val="-13"/>
        </w:rPr>
        <w:t> </w:t>
      </w:r>
      <w:r>
        <w:rPr/>
        <w:t>Client,</w:t>
      </w:r>
      <w:r>
        <w:rPr>
          <w:spacing w:val="-12"/>
        </w:rPr>
        <w:t> </w:t>
      </w:r>
      <w:r>
        <w:rPr/>
        <w:t>we</w:t>
      </w:r>
      <w:r>
        <w:rPr>
          <w:spacing w:val="-11"/>
        </w:rPr>
        <w:t> </w:t>
      </w:r>
      <w:r>
        <w:rPr/>
        <w:t>understand</w:t>
      </w:r>
      <w:r>
        <w:rPr>
          <w:spacing w:val="-11"/>
        </w:rPr>
        <w:t> </w:t>
      </w:r>
      <w:r>
        <w:rPr/>
        <w:t>that</w:t>
      </w:r>
      <w:r>
        <w:rPr>
          <w:spacing w:val="-11"/>
        </w:rPr>
        <w:t> </w:t>
      </w:r>
      <w:r>
        <w:rPr/>
        <w:t>the</w:t>
      </w:r>
      <w:r>
        <w:rPr>
          <w:spacing w:val="-13"/>
        </w:rPr>
        <w:t> </w:t>
      </w:r>
      <w:r>
        <w:rPr/>
        <w:t>subject </w:t>
      </w:r>
      <w:r>
        <w:rPr>
          <w:w w:val="95"/>
        </w:rPr>
        <w:t>property</w:t>
      </w:r>
      <w:r>
        <w:rPr>
          <w:spacing w:val="-8"/>
          <w:w w:val="95"/>
        </w:rPr>
        <w:t> </w:t>
      </w:r>
      <w:r>
        <w:rPr>
          <w:w w:val="95"/>
        </w:rPr>
        <w:t>is</w:t>
      </w:r>
      <w:r>
        <w:rPr>
          <w:spacing w:val="-6"/>
          <w:w w:val="95"/>
        </w:rPr>
        <w:t> </w:t>
      </w:r>
      <w:r>
        <w:rPr>
          <w:w w:val="95"/>
        </w:rPr>
        <w:t>a</w:t>
      </w:r>
      <w:r>
        <w:rPr>
          <w:spacing w:val="-11"/>
          <w:w w:val="95"/>
        </w:rPr>
        <w:t> </w:t>
      </w:r>
      <w:r>
        <w:rPr>
          <w:w w:val="95"/>
        </w:rPr>
        <w:t>mixed-use</w:t>
      </w:r>
      <w:r>
        <w:rPr>
          <w:spacing w:val="-9"/>
          <w:w w:val="95"/>
        </w:rPr>
        <w:t> </w:t>
      </w:r>
      <w:r>
        <w:rPr>
          <w:w w:val="95"/>
        </w:rPr>
        <w:t>development</w:t>
      </w:r>
      <w:r>
        <w:rPr>
          <w:spacing w:val="-7"/>
          <w:w w:val="95"/>
        </w:rPr>
        <w:t> </w:t>
      </w:r>
      <w:r>
        <w:rPr>
          <w:w w:val="95"/>
        </w:rPr>
        <w:t>with</w:t>
      </w:r>
      <w:r>
        <w:rPr>
          <w:spacing w:val="-8"/>
          <w:w w:val="95"/>
        </w:rPr>
        <w:t> </w:t>
      </w:r>
      <w:r>
        <w:rPr>
          <w:w w:val="95"/>
        </w:rPr>
        <w:t>office,</w:t>
      </w:r>
      <w:r>
        <w:rPr>
          <w:spacing w:val="-7"/>
          <w:w w:val="95"/>
        </w:rPr>
        <w:t> </w:t>
      </w:r>
      <w:r>
        <w:rPr>
          <w:w w:val="95"/>
        </w:rPr>
        <w:t>retail</w:t>
      </w:r>
      <w:r>
        <w:rPr>
          <w:spacing w:val="-8"/>
          <w:w w:val="95"/>
        </w:rPr>
        <w:t> </w:t>
      </w:r>
      <w:r>
        <w:rPr>
          <w:w w:val="95"/>
        </w:rPr>
        <w:t>and</w:t>
      </w:r>
      <w:r>
        <w:rPr>
          <w:spacing w:val="-6"/>
          <w:w w:val="95"/>
        </w:rPr>
        <w:t> </w:t>
      </w:r>
      <w:r>
        <w:rPr>
          <w:w w:val="95"/>
        </w:rPr>
        <w:t>hospitality</w:t>
      </w:r>
      <w:r>
        <w:rPr>
          <w:spacing w:val="-6"/>
          <w:w w:val="95"/>
        </w:rPr>
        <w:t> </w:t>
      </w:r>
      <w:r>
        <w:rPr>
          <w:w w:val="95"/>
        </w:rPr>
        <w:t>components.</w:t>
      </w:r>
    </w:p>
    <w:p>
      <w:pPr>
        <w:spacing w:after="0" w:line="321" w:lineRule="auto"/>
        <w:sectPr>
          <w:type w:val="continuous"/>
          <w:pgSz w:w="11910" w:h="16840"/>
          <w:pgMar w:top="800" w:bottom="280" w:left="480" w:right="480"/>
          <w:cols w:num="2" w:equalWidth="0">
            <w:col w:w="1836" w:space="40"/>
            <w:col w:w="9074"/>
          </w:cols>
        </w:sectPr>
      </w:pPr>
    </w:p>
    <w:p>
      <w:pPr>
        <w:pStyle w:val="BodyText"/>
        <w:spacing w:before="3"/>
        <w:rPr>
          <w:sz w:val="14"/>
        </w:rPr>
      </w:pPr>
    </w:p>
    <w:p>
      <w:pPr>
        <w:pStyle w:val="BodyText"/>
        <w:tabs>
          <w:tab w:pos="2777" w:val="left" w:leader="none"/>
        </w:tabs>
        <w:spacing w:line="321" w:lineRule="auto" w:before="106"/>
        <w:ind w:left="2777" w:right="261" w:hanging="1873"/>
      </w:pPr>
      <w:r>
        <w:rPr>
          <w:w w:val="95"/>
        </w:rPr>
        <w:t>Restrictions:</w:t>
        <w:tab/>
      </w:r>
      <w:r>
        <w:rPr/>
        <w:t>As</w:t>
      </w:r>
      <w:r>
        <w:rPr>
          <w:spacing w:val="-19"/>
        </w:rPr>
        <w:t> </w:t>
      </w:r>
      <w:r>
        <w:rPr/>
        <w:t>per</w:t>
      </w:r>
      <w:r>
        <w:rPr>
          <w:spacing w:val="-18"/>
        </w:rPr>
        <w:t> </w:t>
      </w:r>
      <w:r>
        <w:rPr/>
        <w:t>feedback</w:t>
      </w:r>
      <w:r>
        <w:rPr>
          <w:spacing w:val="-17"/>
        </w:rPr>
        <w:t> </w:t>
      </w:r>
      <w:r>
        <w:rPr/>
        <w:t>received</w:t>
      </w:r>
      <w:r>
        <w:rPr>
          <w:spacing w:val="-18"/>
        </w:rPr>
        <w:t> </w:t>
      </w:r>
      <w:r>
        <w:rPr/>
        <w:t>from</w:t>
      </w:r>
      <w:r>
        <w:rPr>
          <w:spacing w:val="-17"/>
        </w:rPr>
        <w:t> </w:t>
      </w:r>
      <w:r>
        <w:rPr/>
        <w:t>the</w:t>
      </w:r>
      <w:r>
        <w:rPr>
          <w:spacing w:val="-18"/>
        </w:rPr>
        <w:t> </w:t>
      </w:r>
      <w:r>
        <w:rPr/>
        <w:t>Client,</w:t>
      </w:r>
      <w:r>
        <w:rPr>
          <w:spacing w:val="-18"/>
        </w:rPr>
        <w:t> </w:t>
      </w:r>
      <w:r>
        <w:rPr/>
        <w:t>there</w:t>
      </w:r>
      <w:r>
        <w:rPr>
          <w:spacing w:val="-18"/>
        </w:rPr>
        <w:t> </w:t>
      </w:r>
      <w:r>
        <w:rPr/>
        <w:t>are</w:t>
      </w:r>
      <w:r>
        <w:rPr>
          <w:spacing w:val="-17"/>
        </w:rPr>
        <w:t> </w:t>
      </w:r>
      <w:r>
        <w:rPr/>
        <w:t>no</w:t>
      </w:r>
      <w:r>
        <w:rPr>
          <w:spacing w:val="-19"/>
        </w:rPr>
        <w:t> </w:t>
      </w:r>
      <w:r>
        <w:rPr/>
        <w:t>restrictions</w:t>
      </w:r>
      <w:r>
        <w:rPr>
          <w:spacing w:val="-17"/>
        </w:rPr>
        <w:t> </w:t>
      </w:r>
      <w:r>
        <w:rPr/>
        <w:t>on</w:t>
      </w:r>
      <w:r>
        <w:rPr>
          <w:spacing w:val="-18"/>
        </w:rPr>
        <w:t> </w:t>
      </w:r>
      <w:r>
        <w:rPr/>
        <w:t>the</w:t>
      </w:r>
      <w:r>
        <w:rPr>
          <w:spacing w:val="-17"/>
        </w:rPr>
        <w:t> </w:t>
      </w:r>
      <w:r>
        <w:rPr/>
        <w:t>current use of the</w:t>
      </w:r>
      <w:r>
        <w:rPr>
          <w:spacing w:val="-10"/>
        </w:rPr>
        <w:t> </w:t>
      </w:r>
      <w:r>
        <w:rPr/>
        <w:t>property.</w:t>
      </w:r>
    </w:p>
    <w:p>
      <w:pPr>
        <w:pStyle w:val="BodyText"/>
        <w:spacing w:before="8"/>
        <w:rPr>
          <w:sz w:val="11"/>
        </w:rPr>
      </w:pPr>
    </w:p>
    <w:p>
      <w:pPr>
        <w:spacing w:after="0"/>
        <w:rPr>
          <w:sz w:val="11"/>
        </w:rPr>
        <w:sectPr>
          <w:type w:val="continuous"/>
          <w:pgSz w:w="11910" w:h="16840"/>
          <w:pgMar w:top="800" w:bottom="280" w:left="480" w:right="480"/>
        </w:sectPr>
      </w:pPr>
    </w:p>
    <w:p>
      <w:pPr>
        <w:pStyle w:val="BodyText"/>
        <w:tabs>
          <w:tab w:pos="2356" w:val="left" w:leader="none"/>
        </w:tabs>
        <w:spacing w:line="321" w:lineRule="auto" w:before="106"/>
        <w:ind w:left="905"/>
      </w:pPr>
      <w:r>
        <w:rPr/>
        <w:t>Natural</w:t>
        <w:tab/>
      </w:r>
      <w:r>
        <w:rPr>
          <w:spacing w:val="-10"/>
        </w:rPr>
        <w:t>or </w:t>
      </w:r>
      <w:r>
        <w:rPr/>
        <w:t>induced</w:t>
      </w:r>
      <w:r>
        <w:rPr>
          <w:spacing w:val="-14"/>
        </w:rPr>
        <w:t> </w:t>
      </w:r>
      <w:r>
        <w:rPr>
          <w:spacing w:val="-3"/>
        </w:rPr>
        <w:t>hazards:</w:t>
      </w:r>
    </w:p>
    <w:p>
      <w:pPr>
        <w:pStyle w:val="BodyText"/>
        <w:spacing w:line="321" w:lineRule="auto" w:before="106"/>
        <w:ind w:left="176" w:right="261"/>
      </w:pPr>
      <w:r>
        <w:rPr/>
        <w:br w:type="column"/>
      </w:r>
      <w:r>
        <w:rPr/>
        <w:t>We</w:t>
      </w:r>
      <w:r>
        <w:rPr>
          <w:spacing w:val="-41"/>
        </w:rPr>
        <w:t> </w:t>
      </w:r>
      <w:r>
        <w:rPr/>
        <w:t>are</w:t>
      </w:r>
      <w:r>
        <w:rPr>
          <w:spacing w:val="-40"/>
        </w:rPr>
        <w:t> </w:t>
      </w:r>
      <w:r>
        <w:rPr/>
        <w:t>of</w:t>
      </w:r>
      <w:r>
        <w:rPr>
          <w:spacing w:val="-40"/>
        </w:rPr>
        <w:t> </w:t>
      </w:r>
      <w:r>
        <w:rPr/>
        <w:t>the</w:t>
      </w:r>
      <w:r>
        <w:rPr>
          <w:spacing w:val="-40"/>
        </w:rPr>
        <w:t> </w:t>
      </w:r>
      <w:r>
        <w:rPr/>
        <w:t>opinion</w:t>
      </w:r>
      <w:r>
        <w:rPr>
          <w:spacing w:val="-40"/>
        </w:rPr>
        <w:t> </w:t>
      </w:r>
      <w:r>
        <w:rPr/>
        <w:t>that</w:t>
      </w:r>
      <w:r>
        <w:rPr>
          <w:spacing w:val="-40"/>
        </w:rPr>
        <w:t> </w:t>
      </w:r>
      <w:r>
        <w:rPr/>
        <w:t>the</w:t>
      </w:r>
      <w:r>
        <w:rPr>
          <w:spacing w:val="-40"/>
        </w:rPr>
        <w:t> </w:t>
      </w:r>
      <w:r>
        <w:rPr/>
        <w:t>project/</w:t>
      </w:r>
      <w:r>
        <w:rPr>
          <w:spacing w:val="-40"/>
        </w:rPr>
        <w:t> </w:t>
      </w:r>
      <w:r>
        <w:rPr/>
        <w:t>site</w:t>
      </w:r>
      <w:r>
        <w:rPr>
          <w:spacing w:val="-41"/>
        </w:rPr>
        <w:t> </w:t>
      </w:r>
      <w:r>
        <w:rPr/>
        <w:t>has</w:t>
      </w:r>
      <w:r>
        <w:rPr>
          <w:spacing w:val="-39"/>
        </w:rPr>
        <w:t> </w:t>
      </w:r>
      <w:r>
        <w:rPr/>
        <w:t>been</w:t>
      </w:r>
      <w:r>
        <w:rPr>
          <w:spacing w:val="-41"/>
        </w:rPr>
        <w:t> </w:t>
      </w:r>
      <w:r>
        <w:rPr/>
        <w:t>developed</w:t>
      </w:r>
      <w:r>
        <w:rPr>
          <w:spacing w:val="-39"/>
        </w:rPr>
        <w:t> </w:t>
      </w:r>
      <w:r>
        <w:rPr/>
        <w:t>to</w:t>
      </w:r>
      <w:r>
        <w:rPr>
          <w:spacing w:val="-41"/>
        </w:rPr>
        <w:t> </w:t>
      </w:r>
      <w:r>
        <w:rPr/>
        <w:t>withstand</w:t>
      </w:r>
      <w:r>
        <w:rPr>
          <w:spacing w:val="-39"/>
        </w:rPr>
        <w:t> </w:t>
      </w:r>
      <w:r>
        <w:rPr/>
        <w:t>natural or</w:t>
      </w:r>
      <w:r>
        <w:rPr>
          <w:spacing w:val="-28"/>
        </w:rPr>
        <w:t> </w:t>
      </w:r>
      <w:r>
        <w:rPr/>
        <w:t>induced</w:t>
      </w:r>
      <w:r>
        <w:rPr>
          <w:spacing w:val="-27"/>
        </w:rPr>
        <w:t> </w:t>
      </w:r>
      <w:r>
        <w:rPr/>
        <w:t>hazards</w:t>
      </w:r>
      <w:r>
        <w:rPr>
          <w:spacing w:val="-28"/>
        </w:rPr>
        <w:t> </w:t>
      </w:r>
      <w:r>
        <w:rPr/>
        <w:t>(with</w:t>
      </w:r>
      <w:r>
        <w:rPr>
          <w:spacing w:val="-29"/>
        </w:rPr>
        <w:t> </w:t>
      </w:r>
      <w:r>
        <w:rPr/>
        <w:t>the</w:t>
      </w:r>
      <w:r>
        <w:rPr>
          <w:spacing w:val="-28"/>
        </w:rPr>
        <w:t> </w:t>
      </w:r>
      <w:r>
        <w:rPr/>
        <w:t>exception</w:t>
      </w:r>
      <w:r>
        <w:rPr>
          <w:spacing w:val="-28"/>
        </w:rPr>
        <w:t> </w:t>
      </w:r>
      <w:r>
        <w:rPr/>
        <w:t>of</w:t>
      </w:r>
      <w:r>
        <w:rPr>
          <w:spacing w:val="-27"/>
        </w:rPr>
        <w:t> </w:t>
      </w:r>
      <w:r>
        <w:rPr/>
        <w:t>extreme/</w:t>
      </w:r>
      <w:r>
        <w:rPr>
          <w:spacing w:val="-29"/>
        </w:rPr>
        <w:t> </w:t>
      </w:r>
      <w:r>
        <w:rPr/>
        <w:t>out</w:t>
      </w:r>
      <w:r>
        <w:rPr>
          <w:spacing w:val="-28"/>
        </w:rPr>
        <w:t> </w:t>
      </w:r>
      <w:r>
        <w:rPr/>
        <w:t>of</w:t>
      </w:r>
      <w:r>
        <w:rPr>
          <w:spacing w:val="-27"/>
        </w:rPr>
        <w:t> </w:t>
      </w:r>
      <w:r>
        <w:rPr/>
        <w:t>the</w:t>
      </w:r>
      <w:r>
        <w:rPr>
          <w:spacing w:val="-28"/>
        </w:rPr>
        <w:t> </w:t>
      </w:r>
      <w:r>
        <w:rPr/>
        <w:t>ordinary</w:t>
      </w:r>
      <w:r>
        <w:rPr>
          <w:spacing w:val="-27"/>
        </w:rPr>
        <w:t> </w:t>
      </w:r>
      <w:r>
        <w:rPr/>
        <w:t>hazards).</w:t>
      </w:r>
    </w:p>
    <w:p>
      <w:pPr>
        <w:spacing w:after="0" w:line="321" w:lineRule="auto"/>
        <w:sectPr>
          <w:type w:val="continuous"/>
          <w:pgSz w:w="11910" w:h="16840"/>
          <w:pgMar w:top="800" w:bottom="280" w:left="480" w:right="480"/>
          <w:cols w:num="2" w:equalWidth="0">
            <w:col w:w="2562" w:space="40"/>
            <w:col w:w="8348"/>
          </w:cols>
        </w:sectPr>
      </w:pPr>
    </w:p>
    <w:p>
      <w:pPr>
        <w:pStyle w:val="BodyText"/>
      </w:pPr>
    </w:p>
    <w:p>
      <w:pPr>
        <w:pStyle w:val="ListParagraph"/>
        <w:numPr>
          <w:ilvl w:val="2"/>
          <w:numId w:val="14"/>
        </w:numPr>
        <w:tabs>
          <w:tab w:pos="961" w:val="left" w:leader="none"/>
        </w:tabs>
        <w:spacing w:line="240" w:lineRule="auto" w:before="106" w:after="0"/>
        <w:ind w:left="960" w:right="0" w:hanging="721"/>
        <w:jc w:val="left"/>
        <w:rPr>
          <w:sz w:val="22"/>
        </w:rPr>
      </w:pPr>
      <w:bookmarkStart w:name="_bookmark329" w:id="642"/>
      <w:bookmarkEnd w:id="642"/>
      <w:r>
        <w:rPr/>
      </w:r>
      <w:bookmarkStart w:name="_bookmark329" w:id="643"/>
      <w:bookmarkEnd w:id="643"/>
      <w:r>
        <w:rPr>
          <w:color w:val="1F664D"/>
          <w:sz w:val="22"/>
        </w:rPr>
        <w:t>S</w:t>
      </w:r>
      <w:r>
        <w:rPr>
          <w:color w:val="1F664D"/>
          <w:sz w:val="22"/>
        </w:rPr>
        <w:t>tatutory Approvals, One Time Sanctions &amp; Periodic Clearances</w:t>
      </w:r>
    </w:p>
    <w:p>
      <w:pPr>
        <w:pStyle w:val="BodyText"/>
        <w:spacing w:before="208"/>
        <w:ind w:left="806"/>
      </w:pPr>
      <w:r>
        <w:rPr/>
        <w:t>Please refer section 18.3 on Statutory Approvals, One time Sanctions &amp; Periodic Clearances</w:t>
      </w:r>
    </w:p>
    <w:p>
      <w:pPr>
        <w:spacing w:after="0"/>
        <w:sectPr>
          <w:type w:val="continuous"/>
          <w:pgSz w:w="11910" w:h="16840"/>
          <w:pgMar w:top="800" w:bottom="280" w:left="480" w:right="480"/>
        </w:sectPr>
      </w:pPr>
    </w:p>
    <w:p>
      <w:pPr>
        <w:spacing w:before="75"/>
        <w:ind w:left="211" w:right="0" w:firstLine="0"/>
        <w:jc w:val="left"/>
        <w:rPr>
          <w:sz w:val="20"/>
        </w:rPr>
      </w:pPr>
      <w:r>
        <w:rPr/>
        <w:drawing>
          <wp:anchor distT="0" distB="0" distL="0" distR="0" allowOverlap="1" layoutInCell="1" locked="0" behindDoc="0" simplePos="0" relativeHeight="1379">
            <wp:simplePos x="0" y="0"/>
            <wp:positionH relativeFrom="page">
              <wp:posOffset>832485</wp:posOffset>
            </wp:positionH>
            <wp:positionV relativeFrom="paragraph">
              <wp:posOffset>283078</wp:posOffset>
            </wp:positionV>
            <wp:extent cx="9725902" cy="79248"/>
            <wp:effectExtent l="0" t="0" r="0" b="0"/>
            <wp:wrapTopAndBottom/>
            <wp:docPr id="301" name="image78.png"/>
            <wp:cNvGraphicFramePr>
              <a:graphicFrameLocks noChangeAspect="1"/>
            </wp:cNvGraphicFramePr>
            <a:graphic>
              <a:graphicData uri="http://schemas.openxmlformats.org/drawingml/2006/picture">
                <pic:pic>
                  <pic:nvPicPr>
                    <pic:cNvPr id="302" name="image78.png"/>
                    <pic:cNvPicPr/>
                  </pic:nvPicPr>
                  <pic:blipFill>
                    <a:blip r:embed="rId106" cstate="print"/>
                    <a:stretch>
                      <a:fillRect/>
                    </a:stretch>
                  </pic:blipFill>
                  <pic:spPr>
                    <a:xfrm>
                      <a:off x="0" y="0"/>
                      <a:ext cx="9725902" cy="79248"/>
                    </a:xfrm>
                    <a:prstGeom prst="rect">
                      <a:avLst/>
                    </a:prstGeom>
                  </pic:spPr>
                </pic:pic>
              </a:graphicData>
            </a:graphic>
          </wp:anchor>
        </w:drawing>
      </w:r>
      <w:r>
        <w:rPr/>
        <w:drawing>
          <wp:anchor distT="0" distB="0" distL="0" distR="0" allowOverlap="1" layoutInCell="1" locked="0" behindDoc="0" simplePos="0" relativeHeight="16435200">
            <wp:simplePos x="0" y="0"/>
            <wp:positionH relativeFrom="page">
              <wp:posOffset>5399404</wp:posOffset>
            </wp:positionH>
            <wp:positionV relativeFrom="page">
              <wp:posOffset>7023734</wp:posOffset>
            </wp:positionV>
            <wp:extent cx="1079500" cy="300457"/>
            <wp:effectExtent l="0" t="0" r="0" b="0"/>
            <wp:wrapNone/>
            <wp:docPr id="303" name="image3.jpeg"/>
            <wp:cNvGraphicFramePr>
              <a:graphicFrameLocks noChangeAspect="1"/>
            </wp:cNvGraphicFramePr>
            <a:graphic>
              <a:graphicData uri="http://schemas.openxmlformats.org/drawingml/2006/picture">
                <pic:pic>
                  <pic:nvPicPr>
                    <pic:cNvPr id="304" name="image3.jpeg"/>
                    <pic:cNvPicPr/>
                  </pic:nvPicPr>
                  <pic:blipFill>
                    <a:blip r:embed="rId7"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0" simplePos="0" relativeHeight="16435712">
            <wp:simplePos x="0" y="0"/>
            <wp:positionH relativeFrom="page">
              <wp:posOffset>6605452</wp:posOffset>
            </wp:positionH>
            <wp:positionV relativeFrom="page">
              <wp:posOffset>6887650</wp:posOffset>
            </wp:positionV>
            <wp:extent cx="909288" cy="433873"/>
            <wp:effectExtent l="0" t="0" r="0" b="0"/>
            <wp:wrapNone/>
            <wp:docPr id="305" name="image4.png"/>
            <wp:cNvGraphicFramePr>
              <a:graphicFrameLocks noChangeAspect="1"/>
            </wp:cNvGraphicFramePr>
            <a:graphic>
              <a:graphicData uri="http://schemas.openxmlformats.org/drawingml/2006/picture">
                <pic:pic>
                  <pic:nvPicPr>
                    <pic:cNvPr id="306" name="image4.png"/>
                    <pic:cNvPicPr/>
                  </pic:nvPicPr>
                  <pic:blipFill>
                    <a:blip r:embed="rId8" cstate="print"/>
                    <a:stretch>
                      <a:fillRect/>
                    </a:stretch>
                  </pic:blipFill>
                  <pic:spPr>
                    <a:xfrm>
                      <a:off x="0" y="0"/>
                      <a:ext cx="909288" cy="433873"/>
                    </a:xfrm>
                    <a:prstGeom prst="rect">
                      <a:avLst/>
                    </a:prstGeom>
                  </pic:spPr>
                </pic:pic>
              </a:graphicData>
            </a:graphic>
          </wp:anchor>
        </w:drawing>
      </w:r>
      <w:r>
        <w:rPr>
          <w:color w:val="BEBEBE"/>
          <w:sz w:val="20"/>
        </w:rPr>
        <w:t>EMBASSY OFFICE PARKS MANAGEMENT SERVICES PRIVATE LIMITED | EMBASSY OFFICE PARKS REIT</w:t>
      </w:r>
    </w:p>
    <w:p>
      <w:pPr>
        <w:pStyle w:val="BodyText"/>
        <w:rPr>
          <w:sz w:val="24"/>
        </w:rPr>
      </w:pPr>
    </w:p>
    <w:p>
      <w:pPr>
        <w:pStyle w:val="ListParagraph"/>
        <w:numPr>
          <w:ilvl w:val="2"/>
          <w:numId w:val="14"/>
        </w:numPr>
        <w:tabs>
          <w:tab w:pos="932" w:val="left" w:leader="none"/>
        </w:tabs>
        <w:spacing w:line="240" w:lineRule="auto" w:before="157" w:after="0"/>
        <w:ind w:left="931" w:right="0" w:hanging="721"/>
        <w:jc w:val="left"/>
        <w:rPr>
          <w:sz w:val="22"/>
        </w:rPr>
      </w:pPr>
      <w:bookmarkStart w:name="_bookmark330" w:id="644"/>
      <w:bookmarkEnd w:id="644"/>
      <w:r>
        <w:rPr/>
      </w:r>
      <w:bookmarkStart w:name="_bookmark330" w:id="645"/>
      <w:bookmarkEnd w:id="645"/>
      <w:r>
        <w:rPr>
          <w:color w:val="1F664D"/>
          <w:sz w:val="22"/>
        </w:rPr>
        <w:t>Are</w:t>
      </w:r>
      <w:r>
        <w:rPr>
          <w:color w:val="1F664D"/>
          <w:sz w:val="22"/>
        </w:rPr>
        <w:t>a Details, Type and Age of Existing</w:t>
      </w:r>
      <w:r>
        <w:rPr>
          <w:color w:val="1F664D"/>
          <w:spacing w:val="-4"/>
          <w:sz w:val="22"/>
        </w:rPr>
        <w:t> </w:t>
      </w:r>
      <w:r>
        <w:rPr>
          <w:color w:val="1F664D"/>
          <w:sz w:val="22"/>
        </w:rPr>
        <w:t>Structures</w:t>
      </w:r>
    </w:p>
    <w:p>
      <w:pPr>
        <w:pStyle w:val="BodyText"/>
        <w:spacing w:before="208"/>
        <w:ind w:left="751"/>
      </w:pPr>
      <w:r>
        <w:rPr/>
        <w:t>The table below highlights the area detail of the subject property</w:t>
      </w:r>
    </w:p>
    <w:p>
      <w:pPr>
        <w:pStyle w:val="BodyText"/>
        <w:spacing w:before="6"/>
        <w:rPr>
          <w:sz w:val="18"/>
        </w:rPr>
      </w:pPr>
    </w:p>
    <w:tbl>
      <w:tblPr>
        <w:tblW w:w="0" w:type="auto"/>
        <w:jc w:val="left"/>
        <w:tblInd w:w="2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46"/>
        <w:gridCol w:w="3062"/>
        <w:gridCol w:w="2572"/>
        <w:gridCol w:w="2494"/>
        <w:gridCol w:w="2478"/>
      </w:tblGrid>
      <w:tr>
        <w:trPr>
          <w:trHeight w:val="323" w:hRule="atLeast"/>
        </w:trPr>
        <w:tc>
          <w:tcPr>
            <w:tcW w:w="2946" w:type="dxa"/>
            <w:tcBorders>
              <w:top w:val="single" w:sz="12" w:space="0" w:color="1F6B16"/>
              <w:bottom w:val="single" w:sz="6" w:space="0" w:color="69BD28"/>
            </w:tcBorders>
            <w:shd w:val="clear" w:color="auto" w:fill="006A4D"/>
          </w:tcPr>
          <w:p>
            <w:pPr>
              <w:pStyle w:val="TableParagraph"/>
              <w:spacing w:before="58"/>
              <w:ind w:left="787" w:right="619"/>
              <w:rPr>
                <w:b/>
                <w:sz w:val="18"/>
              </w:rPr>
            </w:pPr>
            <w:r>
              <w:rPr>
                <w:b/>
                <w:color w:val="FFFFFF"/>
                <w:w w:val="105"/>
                <w:sz w:val="18"/>
              </w:rPr>
              <w:t>Subject Property</w:t>
            </w:r>
          </w:p>
        </w:tc>
        <w:tc>
          <w:tcPr>
            <w:tcW w:w="3062" w:type="dxa"/>
            <w:tcBorders>
              <w:top w:val="single" w:sz="12" w:space="0" w:color="1F6B16"/>
              <w:bottom w:val="single" w:sz="6" w:space="0" w:color="69BD28"/>
            </w:tcBorders>
            <w:shd w:val="clear" w:color="auto" w:fill="006A4D"/>
          </w:tcPr>
          <w:p>
            <w:pPr>
              <w:pStyle w:val="TableParagraph"/>
              <w:spacing w:before="58"/>
              <w:ind w:left="628" w:right="423"/>
              <w:rPr>
                <w:b/>
                <w:sz w:val="18"/>
              </w:rPr>
            </w:pPr>
            <w:r>
              <w:rPr>
                <w:b/>
                <w:color w:val="FFFFFF"/>
                <w:w w:val="110"/>
                <w:sz w:val="18"/>
              </w:rPr>
              <w:t>Developable area (sf)</w:t>
            </w:r>
          </w:p>
        </w:tc>
        <w:tc>
          <w:tcPr>
            <w:tcW w:w="2572" w:type="dxa"/>
            <w:tcBorders>
              <w:top w:val="single" w:sz="12" w:space="0" w:color="1F6B16"/>
              <w:bottom w:val="single" w:sz="6" w:space="0" w:color="69BD28"/>
            </w:tcBorders>
            <w:shd w:val="clear" w:color="auto" w:fill="006A4D"/>
          </w:tcPr>
          <w:p>
            <w:pPr>
              <w:pStyle w:val="TableParagraph"/>
              <w:spacing w:before="58"/>
              <w:ind w:left="440" w:right="324"/>
              <w:rPr>
                <w:b/>
                <w:sz w:val="18"/>
              </w:rPr>
            </w:pPr>
            <w:r>
              <w:rPr>
                <w:b/>
                <w:color w:val="FFFFFF"/>
                <w:w w:val="105"/>
                <w:sz w:val="18"/>
              </w:rPr>
              <w:t>Completed Area (sf)</w:t>
            </w:r>
          </w:p>
        </w:tc>
        <w:tc>
          <w:tcPr>
            <w:tcW w:w="2494" w:type="dxa"/>
            <w:tcBorders>
              <w:top w:val="single" w:sz="12" w:space="0" w:color="1F6B16"/>
              <w:bottom w:val="single" w:sz="6" w:space="0" w:color="69BD28"/>
            </w:tcBorders>
            <w:shd w:val="clear" w:color="auto" w:fill="006A4D"/>
          </w:tcPr>
          <w:p>
            <w:pPr>
              <w:pStyle w:val="TableParagraph"/>
              <w:spacing w:before="58"/>
              <w:ind w:left="320" w:right="348"/>
              <w:rPr>
                <w:b/>
                <w:sz w:val="18"/>
              </w:rPr>
            </w:pPr>
            <w:r>
              <w:rPr>
                <w:b/>
                <w:color w:val="FFFFFF"/>
                <w:w w:val="105"/>
                <w:sz w:val="18"/>
              </w:rPr>
              <w:t>Committed Area (sf)</w:t>
            </w:r>
          </w:p>
        </w:tc>
        <w:tc>
          <w:tcPr>
            <w:tcW w:w="2478" w:type="dxa"/>
            <w:tcBorders>
              <w:top w:val="single" w:sz="12" w:space="0" w:color="1F6B16"/>
              <w:bottom w:val="single" w:sz="6" w:space="0" w:color="69BD28"/>
            </w:tcBorders>
            <w:shd w:val="clear" w:color="auto" w:fill="006A4D"/>
          </w:tcPr>
          <w:p>
            <w:pPr>
              <w:pStyle w:val="TableParagraph"/>
              <w:spacing w:before="58"/>
              <w:ind w:left="354" w:right="446"/>
              <w:rPr>
                <w:b/>
                <w:sz w:val="18"/>
              </w:rPr>
            </w:pPr>
            <w:r>
              <w:rPr>
                <w:b/>
                <w:color w:val="FFFFFF"/>
                <w:w w:val="105"/>
                <w:sz w:val="18"/>
              </w:rPr>
              <w:t>Occupied Area (sf)</w:t>
            </w:r>
          </w:p>
        </w:tc>
      </w:tr>
      <w:tr>
        <w:trPr>
          <w:trHeight w:val="256" w:hRule="atLeast"/>
        </w:trPr>
        <w:tc>
          <w:tcPr>
            <w:tcW w:w="2946" w:type="dxa"/>
            <w:tcBorders>
              <w:top w:val="single" w:sz="6" w:space="0" w:color="69BD28"/>
              <w:bottom w:val="single" w:sz="6" w:space="0" w:color="69BD28"/>
            </w:tcBorders>
          </w:tcPr>
          <w:p>
            <w:pPr>
              <w:pStyle w:val="TableParagraph"/>
              <w:spacing w:before="25"/>
              <w:ind w:left="784" w:right="619"/>
              <w:rPr>
                <w:sz w:val="18"/>
              </w:rPr>
            </w:pPr>
            <w:r>
              <w:rPr>
                <w:w w:val="105"/>
                <w:sz w:val="18"/>
              </w:rPr>
              <w:t>Embassy One</w:t>
            </w:r>
          </w:p>
        </w:tc>
        <w:tc>
          <w:tcPr>
            <w:tcW w:w="3062" w:type="dxa"/>
            <w:tcBorders>
              <w:top w:val="single" w:sz="6" w:space="0" w:color="69BD28"/>
              <w:bottom w:val="single" w:sz="6" w:space="0" w:color="69BD28"/>
            </w:tcBorders>
          </w:tcPr>
          <w:p>
            <w:pPr>
              <w:pStyle w:val="TableParagraph"/>
              <w:spacing w:before="25"/>
              <w:ind w:left="627" w:right="423"/>
              <w:rPr>
                <w:sz w:val="18"/>
              </w:rPr>
            </w:pPr>
            <w:r>
              <w:rPr>
                <w:w w:val="110"/>
                <w:sz w:val="18"/>
              </w:rPr>
              <w:t>878,079</w:t>
            </w:r>
          </w:p>
        </w:tc>
        <w:tc>
          <w:tcPr>
            <w:tcW w:w="2572" w:type="dxa"/>
            <w:tcBorders>
              <w:top w:val="single" w:sz="6" w:space="0" w:color="69BD28"/>
              <w:bottom w:val="single" w:sz="6" w:space="0" w:color="69BD28"/>
            </w:tcBorders>
          </w:tcPr>
          <w:p>
            <w:pPr>
              <w:pStyle w:val="TableParagraph"/>
              <w:spacing w:before="25"/>
              <w:ind w:left="439" w:right="324"/>
              <w:rPr>
                <w:sz w:val="18"/>
              </w:rPr>
            </w:pPr>
            <w:r>
              <w:rPr>
                <w:w w:val="110"/>
                <w:sz w:val="18"/>
              </w:rPr>
              <w:t>250,096</w:t>
            </w:r>
          </w:p>
        </w:tc>
        <w:tc>
          <w:tcPr>
            <w:tcW w:w="2494" w:type="dxa"/>
            <w:tcBorders>
              <w:top w:val="single" w:sz="6" w:space="0" w:color="69BD28"/>
              <w:bottom w:val="single" w:sz="6" w:space="0" w:color="69BD28"/>
            </w:tcBorders>
          </w:tcPr>
          <w:p>
            <w:pPr>
              <w:pStyle w:val="TableParagraph"/>
              <w:spacing w:before="25"/>
              <w:ind w:left="318" w:right="348"/>
              <w:rPr>
                <w:sz w:val="18"/>
              </w:rPr>
            </w:pPr>
            <w:r>
              <w:rPr>
                <w:w w:val="110"/>
                <w:sz w:val="18"/>
              </w:rPr>
              <w:t>13,775</w:t>
            </w:r>
          </w:p>
        </w:tc>
        <w:tc>
          <w:tcPr>
            <w:tcW w:w="2478" w:type="dxa"/>
            <w:tcBorders>
              <w:top w:val="single" w:sz="6" w:space="0" w:color="69BD28"/>
              <w:bottom w:val="single" w:sz="6" w:space="0" w:color="69BD28"/>
            </w:tcBorders>
          </w:tcPr>
          <w:p>
            <w:pPr>
              <w:pStyle w:val="TableParagraph"/>
              <w:spacing w:before="25"/>
              <w:ind w:left="354" w:right="445"/>
              <w:rPr>
                <w:sz w:val="18"/>
              </w:rPr>
            </w:pPr>
            <w:r>
              <w:rPr>
                <w:w w:val="110"/>
                <w:sz w:val="18"/>
              </w:rPr>
              <w:t>13,775</w:t>
            </w:r>
          </w:p>
        </w:tc>
      </w:tr>
    </w:tbl>
    <w:p>
      <w:pPr>
        <w:spacing w:before="0"/>
        <w:ind w:left="211" w:right="0" w:firstLine="0"/>
        <w:jc w:val="left"/>
        <w:rPr>
          <w:i/>
          <w:sz w:val="18"/>
        </w:rPr>
      </w:pPr>
      <w:r>
        <w:rPr>
          <w:i/>
          <w:sz w:val="18"/>
        </w:rPr>
        <w:t>Source: Rent Roll, Architect Certificate provided by Client</w:t>
      </w:r>
    </w:p>
    <w:p>
      <w:pPr>
        <w:pStyle w:val="BodyText"/>
        <w:spacing w:before="10"/>
        <w:rPr>
          <w:i/>
          <w:sz w:val="26"/>
        </w:rPr>
      </w:pPr>
    </w:p>
    <w:p>
      <w:pPr>
        <w:pStyle w:val="BodyText"/>
        <w:ind w:left="751"/>
      </w:pPr>
      <w:r>
        <w:rPr/>
        <w:pict>
          <v:group style="position:absolute;margin-left:70.559998pt;margin-top:22.928627pt;width:676.95pt;height:35.8pt;mso-position-horizontal-relative:page;mso-position-vertical-relative:paragraph;z-index:-34191872" coordorigin="1411,459" coordsize="13539,716">
            <v:shape style="position:absolute;left:1411;top:487;width:13539;height:432" coordorigin="1411,487" coordsize="13539,432" path="m7748,487l5502,487,1411,487,1411,919,5502,919,7748,919,7748,487xm12251,487l9995,487,7748,487,7748,919,9995,919,12251,919,12251,487xm14950,487l12252,487,12252,919,14950,919,14950,487xe" filled="true" fillcolor="#006a4d" stroked="false">
              <v:path arrowok="t"/>
              <v:fill type="solid"/>
            </v:shape>
            <v:rect style="position:absolute;left:1411;top:458;width:4091;height:29" filled="true" fillcolor="#1f6b16" stroked="false">
              <v:fill type="solid"/>
            </v:rect>
            <v:shape style="position:absolute;left:1411;top:487;width:4120;height:3" coordorigin="1411,487" coordsize="4120,3" path="m5531,487l5502,487,1411,487,1411,490,5502,490,5531,490,5531,487xe" filled="true" fillcolor="#006a4d" stroked="false">
              <v:path arrowok="t"/>
              <v:fill type="solid"/>
            </v:shape>
            <v:shape style="position:absolute;left:5501;top:458;width:2247;height:29" coordorigin="5502,459" coordsize="2247,29" path="m7748,459l5531,459,5502,459,5502,487,5531,487,7748,487,7748,459xe" filled="true" fillcolor="#1f6b16" stroked="false">
              <v:path arrowok="t"/>
              <v:fill type="solid"/>
            </v:shape>
            <v:shape style="position:absolute;left:5530;top:487;width:2247;height:3" coordorigin="5531,487" coordsize="2247,3" path="m7748,487l5531,487,5531,490,7748,490,7748,487xm7777,487l7748,487,7748,490,7777,490,7777,487xe" filled="true" fillcolor="#006a4d" stroked="false">
              <v:path arrowok="t"/>
              <v:fill type="solid"/>
            </v:shape>
            <v:shape style="position:absolute;left:7748;top:458;width:2247;height:29" coordorigin="7748,459" coordsize="2247,29" path="m9995,459l7777,459,7748,459,7748,487,7777,487,9995,487,9995,459xe" filled="true" fillcolor="#1f6b16" stroked="false">
              <v:path arrowok="t"/>
              <v:fill type="solid"/>
            </v:shape>
            <v:shape style="position:absolute;left:7777;top:487;width:2247;height:3" coordorigin="7777,487" coordsize="2247,3" path="m10024,487l9995,487,7777,487,7777,490,9995,490,10024,490,10024,487xe" filled="true" fillcolor="#006a4d" stroked="false">
              <v:path arrowok="t"/>
              <v:fill type="solid"/>
            </v:shape>
            <v:shape style="position:absolute;left:9995;top:458;width:2257;height:29" coordorigin="9995,459" coordsize="2257,29" path="m12251,459l10024,459,9995,459,9995,487,10024,487,12251,487,12251,459xe" filled="true" fillcolor="#1f6b16" stroked="false">
              <v:path arrowok="t"/>
              <v:fill type="solid"/>
            </v:shape>
            <v:shape style="position:absolute;left:10023;top:487;width:2257;height:3" coordorigin="10024,487" coordsize="2257,3" path="m12251,487l10024,487,10024,490,12251,490,12251,487xm12280,487l12252,487,12252,490,12280,490,12280,487xe" filled="true" fillcolor="#006a4d" stroked="false">
              <v:path arrowok="t"/>
              <v:fill type="solid"/>
            </v:shape>
            <v:shape style="position:absolute;left:12251;top:458;width:2698;height:29" coordorigin="12252,459" coordsize="2698,29" path="m14950,459l12280,459,12252,459,12252,487,12280,487,14950,487,14950,459xe" filled="true" fillcolor="#1f6b16" stroked="false">
              <v:path arrowok="t"/>
              <v:fill type="solid"/>
            </v:shape>
            <v:rect style="position:absolute;left:12280;top:487;width:2670;height:3" filled="true" fillcolor="#006a4d" stroked="false">
              <v:fill type="solid"/>
            </v:rect>
            <v:shape style="position:absolute;left:1411;top:919;width:13539;height:255" coordorigin="1411,919" coordsize="13539,255" path="m7748,919l5516,919,5502,919,1411,919,1411,934,5502,934,5516,934,7748,934,7748,919xm12251,919l10009,919,9995,919,7763,919,7748,919,7748,934,7763,934,9995,934,10009,934,12251,934,12251,919xm14950,936l1411,936,1411,1159,1411,1174,5502,1174,5516,1174,7748,1174,7748,1159,7748,1159,7748,1174,7763,1174,9995,1174,10009,1174,12251,1174,12251,1159,12252,1159,12252,1174,12266,1174,14950,1174,14950,1159,14950,936xm14950,919l12266,919,12252,919,12252,934,12266,934,14950,934,14950,919xe" filled="true" fillcolor="#69bd28" stroked="false">
              <v:path arrowok="t"/>
              <v:fill type="solid"/>
            </v:shape>
            <w10:wrap type="none"/>
          </v:group>
        </w:pict>
      </w:r>
      <w:r>
        <w:rPr/>
        <w:t>The table below highlights the detailed area break-up of the subject development:</w:t>
      </w:r>
    </w:p>
    <w:p>
      <w:pPr>
        <w:pStyle w:val="BodyText"/>
        <w:spacing w:before="9"/>
        <w:rPr>
          <w:sz w:val="18"/>
        </w:rPr>
      </w:pPr>
    </w:p>
    <w:tbl>
      <w:tblPr>
        <w:tblW w:w="0" w:type="auto"/>
        <w:jc w:val="left"/>
        <w:tblInd w:w="2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94"/>
        <w:gridCol w:w="1999"/>
        <w:gridCol w:w="2356"/>
        <w:gridCol w:w="2069"/>
        <w:gridCol w:w="2734"/>
      </w:tblGrid>
      <w:tr>
        <w:trPr>
          <w:trHeight w:val="700" w:hRule="atLeast"/>
        </w:trPr>
        <w:tc>
          <w:tcPr>
            <w:tcW w:w="13552" w:type="dxa"/>
            <w:gridSpan w:val="5"/>
          </w:tcPr>
          <w:p>
            <w:pPr>
              <w:pStyle w:val="TableParagraph"/>
              <w:tabs>
                <w:tab w:pos="4400" w:val="left" w:leader="none"/>
                <w:tab w:pos="6872" w:val="left" w:leader="none"/>
                <w:tab w:pos="9409" w:val="left" w:leader="none"/>
                <w:tab w:pos="9546" w:val="left" w:leader="none"/>
                <w:tab w:pos="11380" w:val="left" w:leader="none"/>
              </w:tabs>
              <w:spacing w:line="124" w:lineRule="auto" w:before="97"/>
              <w:ind w:left="1783" w:right="521" w:firstLine="31"/>
              <w:jc w:val="left"/>
              <w:rPr>
                <w:b/>
                <w:sz w:val="18"/>
              </w:rPr>
            </w:pPr>
            <w:r>
              <w:rPr>
                <w:b/>
                <w:color w:val="FFFFFF"/>
                <w:w w:val="115"/>
                <w:position w:val="11"/>
                <w:sz w:val="18"/>
              </w:rPr>
              <w:t>Block</w:t>
              <w:tab/>
            </w:r>
            <w:r>
              <w:rPr>
                <w:b/>
                <w:color w:val="FFFFFF"/>
                <w:w w:val="115"/>
                <w:sz w:val="18"/>
              </w:rPr>
              <w:t>Building</w:t>
            </w:r>
            <w:r>
              <w:rPr>
                <w:b/>
                <w:color w:val="FFFFFF"/>
                <w:spacing w:val="-28"/>
                <w:w w:val="115"/>
                <w:sz w:val="18"/>
              </w:rPr>
              <w:t> </w:t>
            </w:r>
            <w:r>
              <w:rPr>
                <w:b/>
                <w:color w:val="FFFFFF"/>
                <w:w w:val="115"/>
                <w:sz w:val="18"/>
              </w:rPr>
              <w:t>Elevation</w:t>
              <w:tab/>
              <w:t>SEZ/Non-SEZ</w:t>
              <w:tab/>
              <w:tab/>
            </w:r>
            <w:r>
              <w:rPr>
                <w:b/>
                <w:color w:val="FFFFFF"/>
                <w:w w:val="115"/>
                <w:position w:val="11"/>
                <w:sz w:val="18"/>
              </w:rPr>
              <w:t>Age</w:t>
              <w:tab/>
            </w:r>
            <w:r>
              <w:rPr>
                <w:b/>
                <w:color w:val="FFFFFF"/>
                <w:w w:val="115"/>
                <w:sz w:val="18"/>
              </w:rPr>
              <w:t>Leasable</w:t>
            </w:r>
            <w:r>
              <w:rPr>
                <w:b/>
                <w:color w:val="FFFFFF"/>
                <w:spacing w:val="-38"/>
                <w:w w:val="115"/>
                <w:sz w:val="18"/>
              </w:rPr>
              <w:t> </w:t>
            </w:r>
            <w:r>
              <w:rPr>
                <w:b/>
                <w:color w:val="FFFFFF"/>
                <w:w w:val="115"/>
                <w:sz w:val="18"/>
              </w:rPr>
              <w:t>Area</w:t>
            </w:r>
            <w:r>
              <w:rPr>
                <w:b/>
                <w:color w:val="FFFFFF"/>
                <w:spacing w:val="-38"/>
                <w:w w:val="115"/>
                <w:sz w:val="18"/>
              </w:rPr>
              <w:t> </w:t>
            </w:r>
            <w:r>
              <w:rPr>
                <w:b/>
                <w:color w:val="FFFFFF"/>
                <w:spacing w:val="-4"/>
                <w:w w:val="115"/>
                <w:sz w:val="18"/>
              </w:rPr>
              <w:t>(sf) </w:t>
            </w:r>
            <w:r>
              <w:rPr>
                <w:b/>
                <w:color w:val="FFFFFF"/>
                <w:w w:val="115"/>
                <w:sz w:val="18"/>
              </w:rPr>
              <w:t>Name</w:t>
              <w:tab/>
              <w:tab/>
              <w:tab/>
              <w:t>(Years)</w:t>
            </w:r>
          </w:p>
          <w:p>
            <w:pPr>
              <w:pStyle w:val="TableParagraph"/>
              <w:spacing w:before="45"/>
              <w:ind w:left="6046" w:right="6032"/>
              <w:rPr>
                <w:sz w:val="18"/>
              </w:rPr>
            </w:pPr>
            <w:r>
              <w:rPr>
                <w:color w:val="FFFFFF"/>
                <w:sz w:val="18"/>
              </w:rPr>
              <w:t>Completed Blocks</w:t>
            </w:r>
          </w:p>
        </w:tc>
      </w:tr>
      <w:tr>
        <w:trPr>
          <w:trHeight w:val="225" w:hRule="atLeast"/>
        </w:trPr>
        <w:tc>
          <w:tcPr>
            <w:tcW w:w="4394" w:type="dxa"/>
            <w:tcBorders>
              <w:bottom w:val="single" w:sz="6" w:space="0" w:color="69BD28"/>
            </w:tcBorders>
          </w:tcPr>
          <w:p>
            <w:pPr>
              <w:pStyle w:val="TableParagraph"/>
              <w:spacing w:line="197" w:lineRule="exact" w:before="8"/>
              <w:ind w:left="16" w:right="290"/>
              <w:rPr>
                <w:sz w:val="18"/>
              </w:rPr>
            </w:pPr>
            <w:r>
              <w:rPr>
                <w:sz w:val="18"/>
              </w:rPr>
              <w:t>Office and Retail Block</w:t>
            </w:r>
          </w:p>
        </w:tc>
        <w:tc>
          <w:tcPr>
            <w:tcW w:w="1999" w:type="dxa"/>
            <w:tcBorders>
              <w:bottom w:val="single" w:sz="6" w:space="0" w:color="69BD28"/>
            </w:tcBorders>
          </w:tcPr>
          <w:p>
            <w:pPr>
              <w:pStyle w:val="TableParagraph"/>
              <w:spacing w:line="197" w:lineRule="exact" w:before="8"/>
              <w:ind w:left="399"/>
              <w:jc w:val="left"/>
              <w:rPr>
                <w:sz w:val="18"/>
              </w:rPr>
            </w:pPr>
            <w:r>
              <w:rPr>
                <w:w w:val="125"/>
                <w:sz w:val="18"/>
              </w:rPr>
              <w:t>3B+G+14</w:t>
            </w:r>
          </w:p>
        </w:tc>
        <w:tc>
          <w:tcPr>
            <w:tcW w:w="2356" w:type="dxa"/>
            <w:tcBorders>
              <w:bottom w:val="single" w:sz="6" w:space="0" w:color="69BD28"/>
            </w:tcBorders>
          </w:tcPr>
          <w:p>
            <w:pPr>
              <w:pStyle w:val="TableParagraph"/>
              <w:spacing w:line="197" w:lineRule="exact" w:before="8"/>
              <w:ind w:left="719" w:right="905"/>
              <w:rPr>
                <w:sz w:val="18"/>
              </w:rPr>
            </w:pPr>
            <w:r>
              <w:rPr>
                <w:w w:val="105"/>
                <w:sz w:val="18"/>
              </w:rPr>
              <w:t>Non-SEZ</w:t>
            </w:r>
          </w:p>
        </w:tc>
        <w:tc>
          <w:tcPr>
            <w:tcW w:w="2069" w:type="dxa"/>
            <w:tcBorders>
              <w:bottom w:val="single" w:sz="6" w:space="0" w:color="69BD28"/>
            </w:tcBorders>
          </w:tcPr>
          <w:p>
            <w:pPr>
              <w:pStyle w:val="TableParagraph"/>
              <w:spacing w:line="197" w:lineRule="exact" w:before="8"/>
              <w:ind w:left="924"/>
              <w:jc w:val="left"/>
              <w:rPr>
                <w:sz w:val="18"/>
              </w:rPr>
            </w:pPr>
            <w:r>
              <w:rPr>
                <w:w w:val="112"/>
                <w:sz w:val="18"/>
              </w:rPr>
              <w:t>2</w:t>
            </w:r>
          </w:p>
        </w:tc>
        <w:tc>
          <w:tcPr>
            <w:tcW w:w="2734" w:type="dxa"/>
            <w:tcBorders>
              <w:bottom w:val="single" w:sz="6" w:space="0" w:color="69BD28"/>
            </w:tcBorders>
          </w:tcPr>
          <w:p>
            <w:pPr>
              <w:pStyle w:val="TableParagraph"/>
              <w:spacing w:line="197" w:lineRule="exact" w:before="8"/>
              <w:ind w:left="1015" w:right="980"/>
              <w:rPr>
                <w:sz w:val="18"/>
              </w:rPr>
            </w:pPr>
            <w:r>
              <w:rPr>
                <w:w w:val="110"/>
                <w:sz w:val="18"/>
              </w:rPr>
              <w:t>250,096</w:t>
            </w:r>
          </w:p>
        </w:tc>
      </w:tr>
      <w:tr>
        <w:trPr>
          <w:trHeight w:val="225" w:hRule="atLeast"/>
        </w:trPr>
        <w:tc>
          <w:tcPr>
            <w:tcW w:w="4394" w:type="dxa"/>
            <w:tcBorders>
              <w:top w:val="single" w:sz="6" w:space="0" w:color="69BD28"/>
              <w:bottom w:val="single" w:sz="6" w:space="0" w:color="69BD28"/>
            </w:tcBorders>
          </w:tcPr>
          <w:p>
            <w:pPr>
              <w:pStyle w:val="TableParagraph"/>
              <w:spacing w:line="197" w:lineRule="exact" w:before="8"/>
              <w:ind w:left="16" w:right="290"/>
              <w:rPr>
                <w:sz w:val="18"/>
              </w:rPr>
            </w:pPr>
            <w:r>
              <w:rPr>
                <w:w w:val="105"/>
                <w:sz w:val="18"/>
              </w:rPr>
              <w:t>Hotel – Four Seasons at Embassy One (230 Keys)</w:t>
            </w:r>
          </w:p>
        </w:tc>
        <w:tc>
          <w:tcPr>
            <w:tcW w:w="1999" w:type="dxa"/>
            <w:tcBorders>
              <w:top w:val="single" w:sz="6" w:space="0" w:color="69BD28"/>
              <w:bottom w:val="single" w:sz="6" w:space="0" w:color="69BD28"/>
            </w:tcBorders>
          </w:tcPr>
          <w:p>
            <w:pPr>
              <w:pStyle w:val="TableParagraph"/>
              <w:spacing w:line="197" w:lineRule="exact" w:before="8"/>
              <w:ind w:left="399"/>
              <w:jc w:val="left"/>
              <w:rPr>
                <w:sz w:val="18"/>
              </w:rPr>
            </w:pPr>
            <w:r>
              <w:rPr>
                <w:w w:val="125"/>
                <w:sz w:val="18"/>
              </w:rPr>
              <w:t>3B+G+19</w:t>
            </w:r>
          </w:p>
        </w:tc>
        <w:tc>
          <w:tcPr>
            <w:tcW w:w="2356" w:type="dxa"/>
            <w:tcBorders>
              <w:top w:val="single" w:sz="6" w:space="0" w:color="69BD28"/>
              <w:bottom w:val="single" w:sz="6" w:space="0" w:color="69BD28"/>
            </w:tcBorders>
          </w:tcPr>
          <w:p>
            <w:pPr>
              <w:pStyle w:val="TableParagraph"/>
              <w:spacing w:line="197" w:lineRule="exact" w:before="8"/>
              <w:ind w:left="713" w:right="905"/>
              <w:rPr>
                <w:sz w:val="18"/>
              </w:rPr>
            </w:pPr>
            <w:r>
              <w:rPr>
                <w:w w:val="115"/>
                <w:sz w:val="18"/>
              </w:rPr>
              <w:t>NA</w:t>
            </w:r>
          </w:p>
        </w:tc>
        <w:tc>
          <w:tcPr>
            <w:tcW w:w="2069" w:type="dxa"/>
            <w:tcBorders>
              <w:top w:val="single" w:sz="6" w:space="0" w:color="69BD28"/>
              <w:bottom w:val="single" w:sz="6" w:space="0" w:color="69BD28"/>
            </w:tcBorders>
          </w:tcPr>
          <w:p>
            <w:pPr>
              <w:pStyle w:val="TableParagraph"/>
              <w:spacing w:line="197" w:lineRule="exact" w:before="8"/>
              <w:ind w:left="924"/>
              <w:jc w:val="left"/>
              <w:rPr>
                <w:sz w:val="18"/>
              </w:rPr>
            </w:pPr>
            <w:r>
              <w:rPr>
                <w:w w:val="112"/>
                <w:sz w:val="18"/>
              </w:rPr>
              <w:t>1</w:t>
            </w:r>
          </w:p>
        </w:tc>
        <w:tc>
          <w:tcPr>
            <w:tcW w:w="2734" w:type="dxa"/>
            <w:tcBorders>
              <w:top w:val="single" w:sz="6" w:space="0" w:color="69BD28"/>
              <w:bottom w:val="single" w:sz="6" w:space="0" w:color="69BD28"/>
            </w:tcBorders>
          </w:tcPr>
          <w:p>
            <w:pPr>
              <w:pStyle w:val="TableParagraph"/>
              <w:spacing w:line="197" w:lineRule="exact" w:before="8"/>
              <w:ind w:left="1016" w:right="977"/>
              <w:rPr>
                <w:sz w:val="18"/>
              </w:rPr>
            </w:pPr>
            <w:r>
              <w:rPr>
                <w:w w:val="115"/>
                <w:sz w:val="18"/>
              </w:rPr>
              <w:t>NA</w:t>
            </w:r>
          </w:p>
        </w:tc>
      </w:tr>
      <w:tr>
        <w:trPr>
          <w:trHeight w:val="227" w:hRule="atLeast"/>
        </w:trPr>
        <w:tc>
          <w:tcPr>
            <w:tcW w:w="4394" w:type="dxa"/>
            <w:tcBorders>
              <w:top w:val="single" w:sz="6" w:space="0" w:color="69BD28"/>
              <w:bottom w:val="single" w:sz="6" w:space="0" w:color="69BD28"/>
            </w:tcBorders>
          </w:tcPr>
          <w:p>
            <w:pPr>
              <w:pStyle w:val="TableParagraph"/>
              <w:spacing w:line="199" w:lineRule="exact" w:before="8"/>
              <w:ind w:left="15" w:right="290"/>
              <w:rPr>
                <w:sz w:val="18"/>
              </w:rPr>
            </w:pPr>
            <w:r>
              <w:rPr>
                <w:sz w:val="18"/>
              </w:rPr>
              <w:t>Total</w:t>
            </w:r>
          </w:p>
        </w:tc>
        <w:tc>
          <w:tcPr>
            <w:tcW w:w="1999" w:type="dxa"/>
            <w:tcBorders>
              <w:top w:val="single" w:sz="6" w:space="0" w:color="69BD28"/>
              <w:bottom w:val="single" w:sz="6" w:space="0" w:color="69BD28"/>
            </w:tcBorders>
          </w:tcPr>
          <w:p>
            <w:pPr>
              <w:pStyle w:val="TableParagraph"/>
              <w:jc w:val="left"/>
              <w:rPr>
                <w:rFonts w:ascii="Times New Roman"/>
                <w:sz w:val="16"/>
              </w:rPr>
            </w:pPr>
          </w:p>
        </w:tc>
        <w:tc>
          <w:tcPr>
            <w:tcW w:w="2356" w:type="dxa"/>
            <w:tcBorders>
              <w:top w:val="single" w:sz="6" w:space="0" w:color="69BD28"/>
              <w:bottom w:val="single" w:sz="6" w:space="0" w:color="69BD28"/>
            </w:tcBorders>
          </w:tcPr>
          <w:p>
            <w:pPr>
              <w:pStyle w:val="TableParagraph"/>
              <w:jc w:val="left"/>
              <w:rPr>
                <w:rFonts w:ascii="Times New Roman"/>
                <w:sz w:val="16"/>
              </w:rPr>
            </w:pPr>
          </w:p>
        </w:tc>
        <w:tc>
          <w:tcPr>
            <w:tcW w:w="2069" w:type="dxa"/>
            <w:tcBorders>
              <w:top w:val="single" w:sz="6" w:space="0" w:color="69BD28"/>
              <w:bottom w:val="single" w:sz="6" w:space="0" w:color="69BD28"/>
            </w:tcBorders>
          </w:tcPr>
          <w:p>
            <w:pPr>
              <w:pStyle w:val="TableParagraph"/>
              <w:jc w:val="left"/>
              <w:rPr>
                <w:rFonts w:ascii="Times New Roman"/>
                <w:sz w:val="16"/>
              </w:rPr>
            </w:pPr>
          </w:p>
        </w:tc>
        <w:tc>
          <w:tcPr>
            <w:tcW w:w="2734" w:type="dxa"/>
            <w:tcBorders>
              <w:top w:val="single" w:sz="6" w:space="0" w:color="69BD28"/>
              <w:bottom w:val="single" w:sz="6" w:space="0" w:color="69BD28"/>
            </w:tcBorders>
          </w:tcPr>
          <w:p>
            <w:pPr>
              <w:pStyle w:val="TableParagraph"/>
              <w:spacing w:line="199" w:lineRule="exact" w:before="8"/>
              <w:ind w:left="1016" w:right="979"/>
              <w:rPr>
                <w:sz w:val="18"/>
              </w:rPr>
            </w:pPr>
            <w:r>
              <w:rPr>
                <w:w w:val="110"/>
                <w:sz w:val="18"/>
              </w:rPr>
              <w:t>250,096</w:t>
            </w:r>
          </w:p>
        </w:tc>
      </w:tr>
    </w:tbl>
    <w:p>
      <w:pPr>
        <w:spacing w:before="0"/>
        <w:ind w:left="211" w:right="0" w:firstLine="0"/>
        <w:jc w:val="left"/>
        <w:rPr>
          <w:i/>
          <w:sz w:val="18"/>
        </w:rPr>
      </w:pPr>
      <w:r>
        <w:rPr>
          <w:i/>
          <w:sz w:val="18"/>
        </w:rPr>
        <w:t>Source: Rent Roll, Occupancy Certificate, architect certificate, approval documents and Client Inputs</w:t>
      </w:r>
    </w:p>
    <w:p>
      <w:pPr>
        <w:spacing w:after="0"/>
        <w:jc w:val="left"/>
        <w:rPr>
          <w:sz w:val="18"/>
        </w:rPr>
        <w:sectPr>
          <w:headerReference w:type="default" r:id="rId284"/>
          <w:footerReference w:type="default" r:id="rId285"/>
          <w:pgSz w:w="16840" w:h="11910" w:orient="landscape"/>
          <w:pgMar w:header="0" w:footer="523" w:top="640" w:bottom="720" w:left="1200" w:right="200"/>
        </w:sectPr>
      </w:pPr>
    </w:p>
    <w:p>
      <w:pPr>
        <w:pStyle w:val="BodyText"/>
        <w:spacing w:before="6"/>
        <w:rPr>
          <w:i/>
          <w:sz w:val="17"/>
        </w:rPr>
      </w:pPr>
    </w:p>
    <w:p>
      <w:pPr>
        <w:pStyle w:val="BodyText"/>
        <w:ind w:left="658"/>
        <w:rPr>
          <w:sz w:val="20"/>
        </w:rPr>
      </w:pPr>
      <w:r>
        <w:rPr>
          <w:sz w:val="20"/>
        </w:rPr>
        <w:pict>
          <v:group style="width:524.65pt;height:14.65pt;mso-position-horizontal-relative:char;mso-position-vertical-relative:line" coordorigin="0,0" coordsize="10493,293">
            <v:shape style="position:absolute;left:14;top:14;width:10472;height:264" coordorigin="14,14" coordsize="10472,264" path="m10486,14l5776,14,14,14,14,278,5776,278,10486,278,10486,14xe" filled="true" fillcolor="#006a4d" stroked="false">
              <v:path arrowok="t"/>
              <v:fill type="solid"/>
            </v:shape>
            <v:shape style="position:absolute;left:14;top:0;width:10472;height:293" coordorigin="14,0" coordsize="10472,293" path="m10486,278l5790,278,5776,278,14,278,14,293,5776,293,5790,293,10486,293,10486,278xm10486,0l5790,0,5776,0,14,0,14,14,5776,14,5790,14,10486,14,10486,0xe" filled="true" fillcolor="#69bd28" stroked="false">
              <v:path arrowok="t"/>
              <v:fill type="solid"/>
            </v:shape>
            <v:shape style="position:absolute;left:0;top:14;width:10493;height:264" type="#_x0000_t202" filled="false" stroked="false">
              <v:textbox inset="0,0,0,0">
                <w:txbxContent>
                  <w:p>
                    <w:pPr>
                      <w:tabs>
                        <w:tab w:pos="7326" w:val="left" w:leader="none"/>
                      </w:tabs>
                      <w:spacing w:before="27"/>
                      <w:ind w:left="2581" w:right="0" w:firstLine="0"/>
                      <w:jc w:val="left"/>
                      <w:rPr>
                        <w:b/>
                        <w:sz w:val="18"/>
                      </w:rPr>
                    </w:pPr>
                    <w:r>
                      <w:rPr>
                        <w:b/>
                        <w:color w:val="FFFFFF"/>
                        <w:w w:val="110"/>
                        <w:sz w:val="18"/>
                      </w:rPr>
                      <w:t>Details</w:t>
                      <w:tab/>
                      <w:t>Completed</w:t>
                    </w:r>
                    <w:r>
                      <w:rPr>
                        <w:b/>
                        <w:color w:val="FFFFFF"/>
                        <w:spacing w:val="-5"/>
                        <w:w w:val="110"/>
                        <w:sz w:val="18"/>
                      </w:rPr>
                      <w:t> </w:t>
                    </w:r>
                    <w:r>
                      <w:rPr>
                        <w:b/>
                        <w:color w:val="FFFFFF"/>
                        <w:w w:val="110"/>
                        <w:sz w:val="18"/>
                      </w:rPr>
                      <w:t>Blocks</w:t>
                    </w:r>
                  </w:p>
                </w:txbxContent>
              </v:textbox>
              <w10:wrap type="none"/>
            </v:shape>
          </v:group>
        </w:pict>
      </w:r>
      <w:r>
        <w:rPr>
          <w:sz w:val="20"/>
        </w:rPr>
      </w:r>
    </w:p>
    <w:p>
      <w:pPr>
        <w:tabs>
          <w:tab w:pos="8450" w:val="left" w:leader="none"/>
        </w:tabs>
        <w:spacing w:line="207" w:lineRule="exact" w:before="0"/>
        <w:ind w:left="2703" w:right="0" w:firstLine="0"/>
        <w:jc w:val="left"/>
        <w:rPr>
          <w:sz w:val="18"/>
        </w:rPr>
      </w:pPr>
      <w:r>
        <w:rPr/>
        <w:pict>
          <v:shape style="position:absolute;margin-left:35.640003pt;margin-top:11.709966pt;width:523.6pt;height:.75pt;mso-position-horizontal-relative:page;mso-position-vertical-relative:paragraph;z-index:-15019520;mso-wrap-distance-left:0;mso-wrap-distance-right:0" coordorigin="713,234" coordsize="10472,15" path="m11184,234l6489,234,6474,234,713,234,713,249,6474,249,6489,249,11184,249,11184,234xe" filled="true" fillcolor="#69bd28" stroked="false">
            <v:path arrowok="t"/>
            <v:fill type="solid"/>
            <w10:wrap type="topAndBottom"/>
          </v:shape>
        </w:pict>
      </w:r>
      <w:r>
        <w:rPr>
          <w:sz w:val="18"/>
        </w:rPr>
        <w:t>Grade of</w:t>
      </w:r>
      <w:r>
        <w:rPr>
          <w:spacing w:val="-13"/>
          <w:sz w:val="18"/>
        </w:rPr>
        <w:t> </w:t>
      </w:r>
      <w:r>
        <w:rPr>
          <w:sz w:val="18"/>
        </w:rPr>
        <w:t>the</w:t>
      </w:r>
      <w:r>
        <w:rPr>
          <w:spacing w:val="-6"/>
          <w:sz w:val="18"/>
        </w:rPr>
        <w:t> </w:t>
      </w:r>
      <w:r>
        <w:rPr>
          <w:sz w:val="18"/>
        </w:rPr>
        <w:t>Building</w:t>
        <w:tab/>
        <w:t>Grade A</w:t>
      </w:r>
    </w:p>
    <w:p>
      <w:pPr>
        <w:tabs>
          <w:tab w:pos="8589" w:val="left" w:leader="none"/>
        </w:tabs>
        <w:spacing w:before="0" w:after="30"/>
        <w:ind w:left="2852" w:right="0" w:firstLine="0"/>
        <w:jc w:val="left"/>
        <w:rPr>
          <w:sz w:val="18"/>
        </w:rPr>
      </w:pPr>
      <w:r>
        <w:rPr>
          <w:sz w:val="18"/>
        </w:rPr>
        <w:t>LEED</w:t>
      </w:r>
      <w:r>
        <w:rPr>
          <w:spacing w:val="-28"/>
          <w:sz w:val="18"/>
        </w:rPr>
        <w:t> </w:t>
      </w:r>
      <w:r>
        <w:rPr>
          <w:sz w:val="18"/>
        </w:rPr>
        <w:t>Certification</w:t>
        <w:tab/>
        <w:t>Gold</w:t>
      </w:r>
    </w:p>
    <w:p>
      <w:pPr>
        <w:pStyle w:val="BodyText"/>
        <w:spacing w:line="20" w:lineRule="exact"/>
        <w:ind w:left="672"/>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776,0,5761,0,0,0,0,14,5761,14,5776,14,10471,14,10471,0xe" filled="true" fillcolor="#69bd28" stroked="false">
              <v:path arrowok="t"/>
              <v:fill type="solid"/>
            </v:shape>
          </v:group>
        </w:pict>
      </w:r>
      <w:r>
        <w:rPr>
          <w:sz w:val="2"/>
        </w:rPr>
      </w:r>
    </w:p>
    <w:p>
      <w:pPr>
        <w:tabs>
          <w:tab w:pos="7831" w:val="left" w:leader="none"/>
        </w:tabs>
        <w:spacing w:before="22"/>
        <w:ind w:left="2886" w:right="0" w:firstLine="0"/>
        <w:jc w:val="left"/>
        <w:rPr>
          <w:sz w:val="18"/>
        </w:rPr>
      </w:pPr>
      <w:r>
        <w:rPr/>
        <w:pict>
          <v:shape style="position:absolute;margin-left:35.640003pt;margin-top:12.910661pt;width:523.6pt;height:.75pt;mso-position-horizontal-relative:page;mso-position-vertical-relative:paragraph;z-index:-15018496;mso-wrap-distance-left:0;mso-wrap-distance-right:0" coordorigin="713,258" coordsize="10472,15" path="m11184,258l6489,258,6474,258,713,258,713,273,6474,273,6489,273,11184,273,11184,258xe" filled="true" fillcolor="#69bd28" stroked="false">
            <v:path arrowok="t"/>
            <v:fill type="solid"/>
            <w10:wrap type="topAndBottom"/>
          </v:shape>
        </w:pict>
      </w:r>
      <w:r>
        <w:rPr>
          <w:sz w:val="18"/>
        </w:rPr>
        <w:t>Structural</w:t>
      </w:r>
      <w:r>
        <w:rPr>
          <w:spacing w:val="-21"/>
          <w:sz w:val="18"/>
        </w:rPr>
        <w:t> </w:t>
      </w:r>
      <w:r>
        <w:rPr>
          <w:sz w:val="18"/>
        </w:rPr>
        <w:t>Design</w:t>
        <w:tab/>
      </w:r>
      <w:r>
        <w:rPr>
          <w:w w:val="105"/>
          <w:sz w:val="18"/>
        </w:rPr>
        <w:t>3B+G+14 </w:t>
      </w:r>
      <w:r>
        <w:rPr>
          <w:sz w:val="18"/>
        </w:rPr>
        <w:t>/</w:t>
      </w:r>
      <w:r>
        <w:rPr>
          <w:spacing w:val="4"/>
          <w:sz w:val="18"/>
        </w:rPr>
        <w:t> </w:t>
      </w:r>
      <w:r>
        <w:rPr>
          <w:w w:val="105"/>
          <w:sz w:val="18"/>
        </w:rPr>
        <w:t>3B+G+19</w:t>
      </w:r>
    </w:p>
    <w:p>
      <w:pPr>
        <w:tabs>
          <w:tab w:pos="8335" w:val="left" w:leader="none"/>
        </w:tabs>
        <w:spacing w:before="1" w:after="27"/>
        <w:ind w:left="2842" w:right="0" w:firstLine="0"/>
        <w:jc w:val="left"/>
        <w:rPr>
          <w:sz w:val="18"/>
        </w:rPr>
      </w:pPr>
      <w:r>
        <w:rPr>
          <w:sz w:val="18"/>
        </w:rPr>
        <w:t>Status</w:t>
      </w:r>
      <w:r>
        <w:rPr>
          <w:spacing w:val="-17"/>
          <w:sz w:val="18"/>
        </w:rPr>
        <w:t> </w:t>
      </w:r>
      <w:r>
        <w:rPr>
          <w:sz w:val="18"/>
        </w:rPr>
        <w:t>of</w:t>
      </w:r>
      <w:r>
        <w:rPr>
          <w:spacing w:val="-16"/>
          <w:sz w:val="18"/>
        </w:rPr>
        <w:t> </w:t>
      </w:r>
      <w:r>
        <w:rPr>
          <w:sz w:val="18"/>
        </w:rPr>
        <w:t>Finishing</w:t>
        <w:tab/>
        <w:t>Warm</w:t>
      </w:r>
      <w:r>
        <w:rPr>
          <w:spacing w:val="-1"/>
          <w:sz w:val="18"/>
        </w:rPr>
        <w:t> </w:t>
      </w:r>
      <w:r>
        <w:rPr>
          <w:sz w:val="18"/>
        </w:rPr>
        <w:t>Shell</w:t>
      </w:r>
    </w:p>
    <w:p>
      <w:pPr>
        <w:pStyle w:val="BodyText"/>
        <w:spacing w:line="20" w:lineRule="exact"/>
        <w:ind w:left="672"/>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776,0,5761,0,0,0,0,14,5761,14,5776,14,10471,14,10471,0xe" filled="true" fillcolor="#69bd28" stroked="false">
              <v:path arrowok="t"/>
              <v:fill type="solid"/>
            </v:shape>
          </v:group>
        </w:pict>
      </w:r>
      <w:r>
        <w:rPr>
          <w:sz w:val="2"/>
        </w:rPr>
      </w:r>
    </w:p>
    <w:p>
      <w:pPr>
        <w:tabs>
          <w:tab w:pos="7206" w:val="left" w:leader="none"/>
        </w:tabs>
        <w:spacing w:before="22"/>
        <w:ind w:left="2396" w:right="0" w:firstLine="0"/>
        <w:jc w:val="left"/>
        <w:rPr>
          <w:sz w:val="18"/>
        </w:rPr>
      </w:pPr>
      <w:r>
        <w:rPr/>
        <w:pict>
          <v:shape style="position:absolute;margin-left:34.920002pt;margin-top:13.03064pt;width:524.3pt;height:.75pt;mso-position-horizontal-relative:page;mso-position-vertical-relative:paragraph;z-index:-15017472;mso-wrap-distance-left:0;mso-wrap-distance-right:0" coordorigin="698,261" coordsize="10486,15" path="m11184,261l6474,261,6460,261,698,261,698,275,6460,275,6474,275,11184,275,11184,261xe" filled="true" fillcolor="#69bd28" stroked="false">
            <v:path arrowok="t"/>
            <v:fill type="solid"/>
            <w10:wrap type="topAndBottom"/>
          </v:shape>
        </w:pict>
      </w:r>
      <w:r>
        <w:rPr>
          <w:sz w:val="18"/>
        </w:rPr>
        <w:t>Comments</w:t>
      </w:r>
      <w:r>
        <w:rPr>
          <w:spacing w:val="-2"/>
          <w:sz w:val="18"/>
        </w:rPr>
        <w:t> </w:t>
      </w:r>
      <w:r>
        <w:rPr>
          <w:sz w:val="18"/>
        </w:rPr>
        <w:t>on </w:t>
      </w:r>
      <w:r>
        <w:rPr>
          <w:spacing w:val="10"/>
          <w:sz w:val="18"/>
        </w:rPr>
        <w:t> </w:t>
      </w:r>
      <w:r>
        <w:rPr>
          <w:sz w:val="18"/>
        </w:rPr>
        <w:t>Obsolescence</w:t>
        <w:tab/>
        <w:t>The building is currently well</w:t>
      </w:r>
      <w:r>
        <w:rPr>
          <w:spacing w:val="-32"/>
          <w:sz w:val="18"/>
        </w:rPr>
        <w:t> </w:t>
      </w:r>
      <w:r>
        <w:rPr>
          <w:sz w:val="18"/>
        </w:rPr>
        <w:t>maintained</w:t>
      </w:r>
    </w:p>
    <w:p>
      <w:pPr>
        <w:spacing w:before="0"/>
        <w:ind w:left="680" w:right="0" w:firstLine="0"/>
        <w:jc w:val="left"/>
        <w:rPr>
          <w:i/>
          <w:sz w:val="18"/>
        </w:rPr>
      </w:pPr>
      <w:r>
        <w:rPr>
          <w:i/>
          <w:sz w:val="18"/>
        </w:rPr>
        <w:t>Source: Client input, approval documents, occupancy certificate, Indian Green Building Council certificate</w:t>
      </w:r>
    </w:p>
    <w:p>
      <w:pPr>
        <w:pStyle w:val="BodyText"/>
        <w:spacing w:before="4"/>
        <w:rPr>
          <w:i/>
          <w:sz w:val="21"/>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31" w:id="646"/>
      <w:bookmarkEnd w:id="646"/>
      <w:r>
        <w:rPr/>
      </w:r>
      <w:bookmarkStart w:name="_bookmark331" w:id="647"/>
      <w:bookmarkEnd w:id="647"/>
      <w:r>
        <w:rPr>
          <w:color w:val="1F664D"/>
          <w:sz w:val="22"/>
        </w:rPr>
        <w:t>S</w:t>
      </w:r>
      <w:r>
        <w:rPr>
          <w:color w:val="1F664D"/>
          <w:sz w:val="22"/>
        </w:rPr>
        <w:t>ite Services and</w:t>
      </w:r>
      <w:r>
        <w:rPr>
          <w:color w:val="1F664D"/>
          <w:spacing w:val="-4"/>
          <w:sz w:val="22"/>
        </w:rPr>
        <w:t> </w:t>
      </w:r>
      <w:r>
        <w:rPr>
          <w:color w:val="1F664D"/>
          <w:sz w:val="22"/>
        </w:rPr>
        <w:t>Finishes</w:t>
      </w:r>
    </w:p>
    <w:p>
      <w:pPr>
        <w:pStyle w:val="BodyText"/>
        <w:spacing w:before="1"/>
        <w:rPr>
          <w:sz w:val="14"/>
        </w:rPr>
      </w:pPr>
      <w:r>
        <w:rPr/>
        <w:pict>
          <v:group style="position:absolute;margin-left:34.919998pt;margin-top:10.156155pt;width:524.65pt;height:15.85pt;mso-position-horizontal-relative:page;mso-position-vertical-relative:paragraph;z-index:-15016448;mso-wrap-distance-left:0;mso-wrap-distance-right:0" coordorigin="698,203" coordsize="10493,317">
            <v:shape style="position:absolute;left:720;top:217;width:10472;height:288" coordorigin="720,218" coordsize="10472,288" path="m11191,218l5956,218,720,218,720,506,5956,506,11191,506,11191,218xe" filled="true" fillcolor="#006a4d" stroked="false">
              <v:path arrowok="t"/>
              <v:fill type="solid"/>
            </v:shape>
            <v:shape style="position:absolute;left:720;top:203;width:10472;height:317" coordorigin="720,203" coordsize="10472,317" path="m11191,506l5970,506,5956,506,720,506,720,520,5956,520,5970,520,11191,520,11191,506xm11191,203l5970,203,5956,203,720,203,720,218,5956,218,5970,218,11191,218,11191,203xe" filled="true" fillcolor="#69bd28" stroked="false">
              <v:path arrowok="t"/>
              <v:fill type="solid"/>
            </v:shape>
            <v:shape style="position:absolute;left:698;top:217;width:10493;height:288" type="#_x0000_t202" filled="false" stroked="false">
              <v:textbox inset="0,0,0,0">
                <w:txbxContent>
                  <w:p>
                    <w:pPr>
                      <w:tabs>
                        <w:tab w:pos="5406" w:val="left" w:leader="none"/>
                      </w:tabs>
                      <w:spacing w:before="39"/>
                      <w:ind w:left="0" w:right="148" w:firstLine="0"/>
                      <w:jc w:val="center"/>
                      <w:rPr>
                        <w:b/>
                        <w:sz w:val="18"/>
                      </w:rPr>
                    </w:pPr>
                    <w:r>
                      <w:rPr>
                        <w:b/>
                        <w:color w:val="FFFFFF"/>
                        <w:w w:val="110"/>
                        <w:sz w:val="18"/>
                      </w:rPr>
                      <w:t>Particulars</w:t>
                      <w:tab/>
                      <w:t>Details</w:t>
                    </w:r>
                  </w:p>
                </w:txbxContent>
              </v:textbox>
              <w10:wrap type="none"/>
            </v:shape>
            <w10:wrap type="topAndBottom"/>
          </v:group>
        </w:pict>
      </w:r>
    </w:p>
    <w:p>
      <w:pPr>
        <w:tabs>
          <w:tab w:pos="8078" w:val="left" w:leader="none"/>
        </w:tabs>
        <w:spacing w:before="11" w:after="39"/>
        <w:ind w:left="2521" w:right="0" w:firstLine="0"/>
        <w:jc w:val="left"/>
        <w:rPr>
          <w:sz w:val="18"/>
        </w:rPr>
      </w:pPr>
      <w:r>
        <w:rPr>
          <w:sz w:val="18"/>
        </w:rPr>
        <w:t>Handover</w:t>
      </w:r>
      <w:r>
        <w:rPr>
          <w:spacing w:val="-12"/>
          <w:sz w:val="18"/>
        </w:rPr>
        <w:t> </w:t>
      </w:r>
      <w:r>
        <w:rPr>
          <w:sz w:val="18"/>
        </w:rPr>
        <w:t>condition</w:t>
        <w:tab/>
        <w:t>Warm</w:t>
      </w:r>
      <w:r>
        <w:rPr>
          <w:spacing w:val="-1"/>
          <w:sz w:val="18"/>
        </w:rPr>
        <w:t> </w:t>
      </w:r>
      <w:r>
        <w:rPr>
          <w:sz w:val="18"/>
        </w:rPr>
        <w:t>Shell</w:t>
      </w:r>
    </w:p>
    <w:p>
      <w:pPr>
        <w:pStyle w:val="BodyText"/>
        <w:spacing w:line="20" w:lineRule="exact"/>
        <w:ind w:left="68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8193" w:val="left" w:leader="none"/>
        </w:tabs>
        <w:spacing w:before="34"/>
        <w:ind w:left="2526" w:right="0" w:firstLine="0"/>
        <w:jc w:val="left"/>
        <w:rPr>
          <w:sz w:val="18"/>
        </w:rPr>
      </w:pPr>
      <w:r>
        <w:rPr/>
        <w:pict>
          <v:shape style="position:absolute;margin-left:36pt;margin-top:14.110679pt;width:523.6pt;height:.75pt;mso-position-horizontal-relative:page;mso-position-vertical-relative:paragraph;z-index:-15015424;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Passenger</w:t>
      </w:r>
      <w:r>
        <w:rPr>
          <w:spacing w:val="-21"/>
          <w:sz w:val="18"/>
        </w:rPr>
        <w:t> </w:t>
      </w:r>
      <w:r>
        <w:rPr>
          <w:sz w:val="18"/>
        </w:rPr>
        <w:t>elevators</w:t>
        <w:tab/>
        <w:t>Provided</w:t>
      </w:r>
    </w:p>
    <w:p>
      <w:pPr>
        <w:tabs>
          <w:tab w:pos="5545" w:val="left" w:leader="none"/>
        </w:tabs>
        <w:spacing w:before="13" w:after="39"/>
        <w:ind w:left="0" w:right="2952" w:firstLine="0"/>
        <w:jc w:val="right"/>
        <w:rPr>
          <w:sz w:val="18"/>
        </w:rPr>
      </w:pPr>
      <w:r>
        <w:rPr>
          <w:sz w:val="18"/>
        </w:rPr>
        <w:t>Service</w:t>
      </w:r>
      <w:r>
        <w:rPr>
          <w:spacing w:val="-33"/>
          <w:sz w:val="18"/>
        </w:rPr>
        <w:t> </w:t>
      </w:r>
      <w:r>
        <w:rPr>
          <w:sz w:val="18"/>
        </w:rPr>
        <w:t>elevators</w:t>
        <w:tab/>
      </w:r>
      <w:r>
        <w:rPr>
          <w:spacing w:val="-1"/>
          <w:w w:val="95"/>
          <w:sz w:val="18"/>
        </w:rPr>
        <w:t>Provided</w:t>
      </w:r>
    </w:p>
    <w:p>
      <w:pPr>
        <w:pStyle w:val="BodyText"/>
        <w:spacing w:line="20" w:lineRule="exact"/>
        <w:ind w:left="68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480" w:val="left" w:leader="none"/>
        </w:tabs>
        <w:spacing w:before="34"/>
        <w:ind w:left="0" w:right="2950" w:firstLine="0"/>
        <w:jc w:val="right"/>
        <w:rPr>
          <w:sz w:val="18"/>
        </w:rPr>
      </w:pPr>
      <w:r>
        <w:rPr/>
        <w:pict>
          <v:shape style="position:absolute;margin-left:36pt;margin-top:14.110634pt;width:523.6pt;height:.75pt;mso-position-horizontal-relative:page;mso-position-vertical-relative:paragraph;z-index:-15014400;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Power</w:t>
      </w:r>
      <w:r>
        <w:rPr>
          <w:spacing w:val="-11"/>
          <w:sz w:val="18"/>
        </w:rPr>
        <w:t> </w:t>
      </w:r>
      <w:r>
        <w:rPr>
          <w:sz w:val="18"/>
        </w:rPr>
        <w:t>back-up</w:t>
        <w:tab/>
      </w:r>
      <w:r>
        <w:rPr>
          <w:w w:val="95"/>
          <w:sz w:val="18"/>
        </w:rPr>
        <w:t>Provided</w:t>
      </w:r>
    </w:p>
    <w:p>
      <w:pPr>
        <w:tabs>
          <w:tab w:pos="6049" w:val="left" w:leader="none"/>
        </w:tabs>
        <w:spacing w:before="10" w:after="39"/>
        <w:ind w:left="0" w:right="2952" w:firstLine="0"/>
        <w:jc w:val="right"/>
        <w:rPr>
          <w:sz w:val="18"/>
        </w:rPr>
      </w:pPr>
      <w:r>
        <w:rPr>
          <w:sz w:val="18"/>
        </w:rPr>
        <w:t>Building</w:t>
      </w:r>
      <w:r>
        <w:rPr>
          <w:spacing w:val="-15"/>
          <w:sz w:val="18"/>
        </w:rPr>
        <w:t> </w:t>
      </w:r>
      <w:r>
        <w:rPr>
          <w:sz w:val="18"/>
        </w:rPr>
        <w:t>management</w:t>
      </w:r>
      <w:r>
        <w:rPr>
          <w:spacing w:val="-16"/>
          <w:sz w:val="18"/>
        </w:rPr>
        <w:t> </w:t>
      </w:r>
      <w:r>
        <w:rPr>
          <w:sz w:val="18"/>
        </w:rPr>
        <w:t>system</w:t>
        <w:tab/>
      </w:r>
      <w:r>
        <w:rPr>
          <w:spacing w:val="-1"/>
          <w:w w:val="95"/>
          <w:sz w:val="18"/>
        </w:rPr>
        <w:t>Provided</w:t>
      </w:r>
    </w:p>
    <w:p>
      <w:pPr>
        <w:pStyle w:val="BodyText"/>
        <w:spacing w:line="20" w:lineRule="exact"/>
        <w:ind w:left="68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516" w:val="left" w:leader="none"/>
        </w:tabs>
        <w:spacing w:before="34"/>
        <w:ind w:left="0" w:right="2952" w:firstLine="0"/>
        <w:jc w:val="right"/>
        <w:rPr>
          <w:sz w:val="18"/>
        </w:rPr>
      </w:pPr>
      <w:r>
        <w:rPr/>
        <w:pict>
          <v:shape style="position:absolute;margin-left:36pt;margin-top:14.110644pt;width:523.6pt;height:.75pt;mso-position-horizontal-relative:page;mso-position-vertical-relative:paragraph;z-index:-15013376;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Security</w:t>
      </w:r>
      <w:r>
        <w:rPr>
          <w:spacing w:val="-36"/>
          <w:sz w:val="18"/>
        </w:rPr>
        <w:t> </w:t>
      </w:r>
      <w:r>
        <w:rPr>
          <w:sz w:val="18"/>
        </w:rPr>
        <w:t>systems</w:t>
        <w:tab/>
      </w:r>
      <w:r>
        <w:rPr>
          <w:spacing w:val="-1"/>
          <w:w w:val="95"/>
          <w:sz w:val="18"/>
        </w:rPr>
        <w:t>Provided</w:t>
      </w:r>
    </w:p>
    <w:p>
      <w:pPr>
        <w:tabs>
          <w:tab w:pos="5835" w:val="left" w:leader="none"/>
        </w:tabs>
        <w:spacing w:before="13" w:after="39"/>
        <w:ind w:left="0" w:right="2952" w:firstLine="0"/>
        <w:jc w:val="right"/>
        <w:rPr>
          <w:sz w:val="18"/>
        </w:rPr>
      </w:pPr>
      <w:r>
        <w:rPr>
          <w:sz w:val="18"/>
        </w:rPr>
        <w:t>Air</w:t>
      </w:r>
      <w:r>
        <w:rPr>
          <w:spacing w:val="-10"/>
          <w:sz w:val="18"/>
        </w:rPr>
        <w:t> </w:t>
      </w:r>
      <w:r>
        <w:rPr>
          <w:sz w:val="18"/>
        </w:rPr>
        <w:t>conditioning</w:t>
      </w:r>
      <w:r>
        <w:rPr>
          <w:spacing w:val="-8"/>
          <w:sz w:val="18"/>
        </w:rPr>
        <w:t> </w:t>
      </w:r>
      <w:r>
        <w:rPr>
          <w:sz w:val="18"/>
        </w:rPr>
        <w:t>(HVAC)</w:t>
        <w:tab/>
      </w:r>
      <w:r>
        <w:rPr>
          <w:spacing w:val="-1"/>
          <w:w w:val="95"/>
          <w:sz w:val="18"/>
        </w:rPr>
        <w:t>Provided</w:t>
      </w:r>
    </w:p>
    <w:p>
      <w:pPr>
        <w:pStyle w:val="BodyText"/>
        <w:spacing w:line="20" w:lineRule="exact"/>
        <w:ind w:left="68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5250,0,5236,0,0,0,0,14,5236,14,5250,14,10471,14,10471,0xe" filled="true" fillcolor="#69bd28" stroked="false">
              <v:path arrowok="t"/>
              <v:fill type="solid"/>
            </v:shape>
          </v:group>
        </w:pict>
      </w:r>
      <w:r>
        <w:rPr>
          <w:sz w:val="2"/>
        </w:rPr>
      </w:r>
    </w:p>
    <w:p>
      <w:pPr>
        <w:tabs>
          <w:tab w:pos="5665" w:val="left" w:leader="none"/>
        </w:tabs>
        <w:spacing w:before="34"/>
        <w:ind w:left="0" w:right="2952" w:firstLine="0"/>
        <w:jc w:val="right"/>
        <w:rPr>
          <w:sz w:val="18"/>
        </w:rPr>
      </w:pPr>
      <w:r>
        <w:rPr/>
        <w:pict>
          <v:shape style="position:absolute;margin-left:36pt;margin-top:14.110661pt;width:523.6pt;height:.75pt;mso-position-horizontal-relative:page;mso-position-vertical-relative:paragraph;z-index:-15012352;mso-wrap-distance-left:0;mso-wrap-distance-right:0" coordorigin="720,282" coordsize="10472,15" path="m11191,282l5970,282,5956,282,720,282,720,297,5956,297,5970,297,11191,297,11191,282xe" filled="true" fillcolor="#69bd28" stroked="false">
            <v:path arrowok="t"/>
            <v:fill type="solid"/>
            <w10:wrap type="topAndBottom"/>
          </v:shape>
        </w:pict>
      </w:r>
      <w:r>
        <w:rPr>
          <w:sz w:val="18"/>
        </w:rPr>
        <w:t>Firefighting</w:t>
      </w:r>
      <w:r>
        <w:rPr>
          <w:spacing w:val="-36"/>
          <w:sz w:val="18"/>
        </w:rPr>
        <w:t> </w:t>
      </w:r>
      <w:r>
        <w:rPr>
          <w:sz w:val="18"/>
        </w:rPr>
        <w:t>services</w:t>
        <w:tab/>
      </w:r>
      <w:r>
        <w:rPr>
          <w:spacing w:val="-1"/>
          <w:w w:val="95"/>
          <w:sz w:val="18"/>
        </w:rPr>
        <w:t>Provided</w:t>
      </w:r>
    </w:p>
    <w:p>
      <w:pPr>
        <w:tabs>
          <w:tab w:pos="6969" w:val="left" w:leader="none"/>
        </w:tabs>
        <w:spacing w:before="10" w:after="39"/>
        <w:ind w:left="2535" w:right="0" w:firstLine="0"/>
        <w:jc w:val="left"/>
        <w:rPr>
          <w:sz w:val="18"/>
        </w:rPr>
      </w:pPr>
      <w:r>
        <w:rPr>
          <w:sz w:val="18"/>
        </w:rPr>
        <w:t>Car</w:t>
      </w:r>
      <w:r>
        <w:rPr>
          <w:spacing w:val="-1"/>
          <w:sz w:val="18"/>
        </w:rPr>
        <w:t> </w:t>
      </w:r>
      <w:r>
        <w:rPr>
          <w:sz w:val="18"/>
        </w:rPr>
        <w:t>parks</w:t>
      </w:r>
      <w:r>
        <w:rPr>
          <w:spacing w:val="1"/>
          <w:sz w:val="18"/>
        </w:rPr>
        <w:t> </w:t>
      </w:r>
      <w:r>
        <w:rPr>
          <w:sz w:val="18"/>
        </w:rPr>
        <w:t>provided</w:t>
        <w:tab/>
        <w:t>Basement, Covered and open car</w:t>
      </w:r>
      <w:r>
        <w:rPr>
          <w:spacing w:val="-18"/>
          <w:sz w:val="18"/>
        </w:rPr>
        <w:t> </w:t>
      </w:r>
      <w:r>
        <w:rPr>
          <w:sz w:val="18"/>
        </w:rPr>
        <w:t>parks</w:t>
      </w:r>
    </w:p>
    <w:p>
      <w:pPr>
        <w:pStyle w:val="BodyText"/>
        <w:spacing w:line="20" w:lineRule="exact"/>
        <w:ind w:left="680"/>
        <w:rPr>
          <w:sz w:val="2"/>
        </w:rPr>
      </w:pPr>
      <w:r>
        <w:rPr>
          <w:sz w:val="2"/>
        </w:rPr>
        <w:pict>
          <v:group style="width:523.6pt;height:.75pt;mso-position-horizontal-relative:char;mso-position-vertical-relative:line" coordorigin="0,0" coordsize="10472,15">
            <v:shape style="position:absolute;left:0;top:0;width:10472;height:15" coordorigin="0,0" coordsize="10472,15" path="m9806,0l5250,0,5236,0,0,0,0,14,5236,14,5250,14,9806,14,9806,0xm9821,0l9806,0,9806,14,9821,14,9821,0xm10471,0l9835,0,9821,0,9821,14,9835,14,10471,14,10471,0xe" filled="true" fillcolor="#69bd28" stroked="false">
              <v:path arrowok="t"/>
              <v:fill type="solid"/>
            </v:shape>
          </v:group>
        </w:pict>
      </w:r>
      <w:r>
        <w:rPr>
          <w:sz w:val="2"/>
        </w:rPr>
      </w:r>
    </w:p>
    <w:p>
      <w:pPr>
        <w:spacing w:before="34"/>
        <w:ind w:left="788" w:right="0" w:firstLine="0"/>
        <w:jc w:val="left"/>
        <w:rPr>
          <w:i/>
          <w:sz w:val="18"/>
        </w:rPr>
      </w:pPr>
      <w:r>
        <w:rPr>
          <w:i/>
          <w:sz w:val="18"/>
        </w:rPr>
        <w:t>Source: Information provided by Client, site visit, lease deeds</w:t>
      </w:r>
    </w:p>
    <w:p>
      <w:pPr>
        <w:pStyle w:val="BodyText"/>
        <w:spacing w:before="4"/>
        <w:rPr>
          <w:i/>
          <w:sz w:val="15"/>
        </w:rPr>
      </w:pPr>
    </w:p>
    <w:p>
      <w:pPr>
        <w:pStyle w:val="ListParagraph"/>
        <w:numPr>
          <w:ilvl w:val="2"/>
          <w:numId w:val="14"/>
        </w:numPr>
        <w:tabs>
          <w:tab w:pos="1401" w:val="left" w:leader="none"/>
        </w:tabs>
        <w:spacing w:line="240" w:lineRule="auto" w:before="106" w:after="0"/>
        <w:ind w:left="1400" w:right="0" w:hanging="721"/>
        <w:jc w:val="left"/>
        <w:rPr>
          <w:sz w:val="22"/>
        </w:rPr>
      </w:pPr>
      <w:bookmarkStart w:name="_bookmark332" w:id="648"/>
      <w:bookmarkEnd w:id="648"/>
      <w:r>
        <w:rPr/>
      </w:r>
      <w:bookmarkStart w:name="_bookmark332" w:id="649"/>
      <w:bookmarkEnd w:id="649"/>
      <w:r>
        <w:rPr>
          <w:color w:val="1F664D"/>
          <w:sz w:val="22"/>
        </w:rPr>
        <w:t>Condition</w:t>
      </w:r>
      <w:r>
        <w:rPr>
          <w:color w:val="1F664D"/>
          <w:sz w:val="22"/>
        </w:rPr>
        <w:t> &amp;</w:t>
      </w:r>
      <w:r>
        <w:rPr>
          <w:color w:val="1F664D"/>
          <w:spacing w:val="-4"/>
          <w:sz w:val="22"/>
        </w:rPr>
        <w:t> </w:t>
      </w:r>
      <w:r>
        <w:rPr>
          <w:color w:val="1F664D"/>
          <w:sz w:val="22"/>
        </w:rPr>
        <w:t>Repair</w:t>
      </w:r>
    </w:p>
    <w:p>
      <w:pPr>
        <w:pStyle w:val="BodyText"/>
        <w:spacing w:line="321" w:lineRule="auto" w:before="208"/>
        <w:ind w:left="1227" w:right="675"/>
        <w:jc w:val="both"/>
      </w:pPr>
      <w:r>
        <w:rPr/>
        <w:t>Based</w:t>
      </w:r>
      <w:r>
        <w:rPr>
          <w:spacing w:val="-17"/>
        </w:rPr>
        <w:t> </w:t>
      </w:r>
      <w:r>
        <w:rPr/>
        <w:t>on</w:t>
      </w:r>
      <w:r>
        <w:rPr>
          <w:spacing w:val="-15"/>
        </w:rPr>
        <w:t> </w:t>
      </w:r>
      <w:r>
        <w:rPr/>
        <w:t>inputs</w:t>
      </w:r>
      <w:r>
        <w:rPr>
          <w:spacing w:val="-16"/>
        </w:rPr>
        <w:t> </w:t>
      </w:r>
      <w:r>
        <w:rPr/>
        <w:t>provided</w:t>
      </w:r>
      <w:r>
        <w:rPr>
          <w:spacing w:val="-15"/>
        </w:rPr>
        <w:t> </w:t>
      </w:r>
      <w:r>
        <w:rPr/>
        <w:t>by</w:t>
      </w:r>
      <w:r>
        <w:rPr>
          <w:spacing w:val="-16"/>
        </w:rPr>
        <w:t> </w:t>
      </w:r>
      <w:r>
        <w:rPr/>
        <w:t>the</w:t>
      </w:r>
      <w:r>
        <w:rPr>
          <w:spacing w:val="-15"/>
        </w:rPr>
        <w:t> </w:t>
      </w:r>
      <w:r>
        <w:rPr/>
        <w:t>Client</w:t>
      </w:r>
      <w:r>
        <w:rPr>
          <w:spacing w:val="-16"/>
        </w:rPr>
        <w:t> </w:t>
      </w:r>
      <w:r>
        <w:rPr/>
        <w:t>and</w:t>
      </w:r>
      <w:r>
        <w:rPr>
          <w:spacing w:val="-16"/>
        </w:rPr>
        <w:t> </w:t>
      </w:r>
      <w:r>
        <w:rPr/>
        <w:t>visual</w:t>
      </w:r>
      <w:r>
        <w:rPr>
          <w:spacing w:val="-15"/>
        </w:rPr>
        <w:t> </w:t>
      </w:r>
      <w:r>
        <w:rPr/>
        <w:t>inspection,</w:t>
      </w:r>
      <w:r>
        <w:rPr>
          <w:spacing w:val="-15"/>
        </w:rPr>
        <w:t> </w:t>
      </w:r>
      <w:r>
        <w:rPr/>
        <w:t>we</w:t>
      </w:r>
      <w:r>
        <w:rPr>
          <w:spacing w:val="-16"/>
        </w:rPr>
        <w:t> </w:t>
      </w:r>
      <w:r>
        <w:rPr/>
        <w:t>understand</w:t>
      </w:r>
      <w:r>
        <w:rPr>
          <w:spacing w:val="-15"/>
        </w:rPr>
        <w:t> </w:t>
      </w:r>
      <w:r>
        <w:rPr/>
        <w:t>that</w:t>
      </w:r>
      <w:r>
        <w:rPr>
          <w:spacing w:val="-14"/>
        </w:rPr>
        <w:t> </w:t>
      </w:r>
      <w:r>
        <w:rPr/>
        <w:t>the</w:t>
      </w:r>
      <w:r>
        <w:rPr>
          <w:spacing w:val="-13"/>
        </w:rPr>
        <w:t> </w:t>
      </w:r>
      <w:r>
        <w:rPr/>
        <w:t>subject</w:t>
      </w:r>
      <w:r>
        <w:rPr>
          <w:spacing w:val="-14"/>
        </w:rPr>
        <w:t> </w:t>
      </w:r>
      <w:r>
        <w:rPr/>
        <w:t>property has</w:t>
      </w:r>
      <w:r>
        <w:rPr>
          <w:spacing w:val="-40"/>
        </w:rPr>
        <w:t> </w:t>
      </w:r>
      <w:r>
        <w:rPr/>
        <w:t>recently</w:t>
      </w:r>
      <w:r>
        <w:rPr>
          <w:spacing w:val="-39"/>
        </w:rPr>
        <w:t> </w:t>
      </w:r>
      <w:r>
        <w:rPr/>
        <w:t>commenced</w:t>
      </w:r>
      <w:r>
        <w:rPr>
          <w:spacing w:val="-42"/>
        </w:rPr>
        <w:t> </w:t>
      </w:r>
      <w:r>
        <w:rPr/>
        <w:t>operations</w:t>
      </w:r>
      <w:r>
        <w:rPr>
          <w:spacing w:val="-40"/>
        </w:rPr>
        <w:t> </w:t>
      </w:r>
      <w:r>
        <w:rPr/>
        <w:t>and</w:t>
      </w:r>
      <w:r>
        <w:rPr>
          <w:spacing w:val="-41"/>
        </w:rPr>
        <w:t> </w:t>
      </w:r>
      <w:r>
        <w:rPr/>
        <w:t>is</w:t>
      </w:r>
      <w:r>
        <w:rPr>
          <w:spacing w:val="-41"/>
        </w:rPr>
        <w:t> </w:t>
      </w:r>
      <w:r>
        <w:rPr/>
        <w:t>being</w:t>
      </w:r>
      <w:r>
        <w:rPr>
          <w:spacing w:val="-40"/>
        </w:rPr>
        <w:t> </w:t>
      </w:r>
      <w:r>
        <w:rPr/>
        <w:t>maintained</w:t>
      </w:r>
      <w:r>
        <w:rPr>
          <w:spacing w:val="-40"/>
        </w:rPr>
        <w:t> </w:t>
      </w:r>
      <w:r>
        <w:rPr/>
        <w:t>well.</w:t>
      </w:r>
      <w:r>
        <w:rPr>
          <w:spacing w:val="-40"/>
        </w:rPr>
        <w:t> </w:t>
      </w:r>
      <w:r>
        <w:rPr/>
        <w:t>The</w:t>
      </w:r>
      <w:r>
        <w:rPr>
          <w:spacing w:val="-42"/>
        </w:rPr>
        <w:t> </w:t>
      </w:r>
      <w:r>
        <w:rPr/>
        <w:t>table</w:t>
      </w:r>
      <w:r>
        <w:rPr>
          <w:spacing w:val="-42"/>
        </w:rPr>
        <w:t> </w:t>
      </w:r>
      <w:r>
        <w:rPr/>
        <w:t>below</w:t>
      </w:r>
      <w:r>
        <w:rPr>
          <w:spacing w:val="-40"/>
        </w:rPr>
        <w:t> </w:t>
      </w:r>
      <w:r>
        <w:rPr/>
        <w:t>highlights</w:t>
      </w:r>
      <w:r>
        <w:rPr>
          <w:spacing w:val="-41"/>
        </w:rPr>
        <w:t> </w:t>
      </w:r>
      <w:r>
        <w:rPr/>
        <w:t>the</w:t>
      </w:r>
      <w:r>
        <w:rPr>
          <w:spacing w:val="-42"/>
        </w:rPr>
        <w:t> </w:t>
      </w:r>
      <w:r>
        <w:rPr/>
        <w:t>planned capex to be undertaken for the subject</w:t>
      </w:r>
      <w:r>
        <w:rPr>
          <w:spacing w:val="-38"/>
        </w:rPr>
        <w:t> </w:t>
      </w:r>
      <w:r>
        <w:rPr/>
        <w:t>property.</w:t>
      </w:r>
    </w:p>
    <w:p>
      <w:pPr>
        <w:pStyle w:val="BodyText"/>
        <w:spacing w:before="1"/>
        <w:rPr>
          <w:sz w:val="21"/>
        </w:rPr>
      </w:pPr>
    </w:p>
    <w:tbl>
      <w:tblPr>
        <w:tblW w:w="0" w:type="auto"/>
        <w:jc w:val="left"/>
        <w:tblInd w:w="6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00"/>
        <w:gridCol w:w="1504"/>
        <w:gridCol w:w="2174"/>
        <w:gridCol w:w="1606"/>
        <w:gridCol w:w="1906"/>
      </w:tblGrid>
      <w:tr>
        <w:trPr>
          <w:trHeight w:val="431" w:hRule="atLeast"/>
        </w:trPr>
        <w:tc>
          <w:tcPr>
            <w:tcW w:w="4804" w:type="dxa"/>
            <w:gridSpan w:val="2"/>
            <w:tcBorders>
              <w:top w:val="single" w:sz="6" w:space="0" w:color="69BD28"/>
              <w:bottom w:val="single" w:sz="6" w:space="0" w:color="69BD28"/>
            </w:tcBorders>
            <w:shd w:val="clear" w:color="auto" w:fill="006A4D"/>
          </w:tcPr>
          <w:p>
            <w:pPr>
              <w:pStyle w:val="TableParagraph"/>
              <w:tabs>
                <w:tab w:pos="3255" w:val="left" w:leader="none"/>
              </w:tabs>
              <w:spacing w:before="111"/>
              <w:ind w:left="998" w:right="-15"/>
              <w:jc w:val="left"/>
              <w:rPr>
                <w:b/>
                <w:sz w:val="18"/>
              </w:rPr>
            </w:pPr>
            <w:r>
              <w:rPr>
                <w:b/>
                <w:color w:val="FFFFFF"/>
                <w:w w:val="115"/>
                <w:sz w:val="18"/>
              </w:rPr>
              <w:t>Expense</w:t>
            </w:r>
            <w:r>
              <w:rPr>
                <w:b/>
                <w:color w:val="FFFFFF"/>
                <w:spacing w:val="-29"/>
                <w:w w:val="115"/>
                <w:sz w:val="18"/>
              </w:rPr>
              <w:t> </w:t>
            </w:r>
            <w:r>
              <w:rPr>
                <w:b/>
                <w:color w:val="FFFFFF"/>
                <w:w w:val="115"/>
                <w:sz w:val="18"/>
              </w:rPr>
              <w:t>Head</w:t>
              <w:tab/>
              <w:t>Total</w:t>
            </w:r>
            <w:r>
              <w:rPr>
                <w:b/>
                <w:color w:val="FFFFFF"/>
                <w:spacing w:val="-28"/>
                <w:w w:val="115"/>
                <w:sz w:val="18"/>
              </w:rPr>
              <w:t> </w:t>
            </w:r>
            <w:r>
              <w:rPr>
                <w:b/>
                <w:color w:val="FFFFFF"/>
                <w:w w:val="115"/>
                <w:sz w:val="18"/>
              </w:rPr>
              <w:t>Cost</w:t>
            </w:r>
            <w:r>
              <w:rPr>
                <w:b/>
                <w:color w:val="FFFFFF"/>
                <w:spacing w:val="-29"/>
                <w:w w:val="115"/>
                <w:sz w:val="18"/>
              </w:rPr>
              <w:t> </w:t>
            </w:r>
            <w:r>
              <w:rPr>
                <w:b/>
                <w:color w:val="FFFFFF"/>
                <w:w w:val="115"/>
                <w:sz w:val="18"/>
              </w:rPr>
              <w:t>(INR</w:t>
            </w:r>
            <w:r>
              <w:rPr>
                <w:b/>
                <w:color w:val="FFFFFF"/>
                <w:spacing w:val="-28"/>
                <w:w w:val="115"/>
                <w:sz w:val="18"/>
              </w:rPr>
              <w:t> </w:t>
            </w:r>
            <w:r>
              <w:rPr>
                <w:b/>
                <w:color w:val="FFFFFF"/>
                <w:spacing w:val="-15"/>
                <w:w w:val="115"/>
                <w:sz w:val="18"/>
              </w:rPr>
              <w:t>M</w:t>
            </w:r>
          </w:p>
        </w:tc>
        <w:tc>
          <w:tcPr>
            <w:tcW w:w="2174" w:type="dxa"/>
            <w:tcBorders>
              <w:top w:val="single" w:sz="6" w:space="0" w:color="69BD28"/>
              <w:bottom w:val="single" w:sz="6" w:space="0" w:color="69BD28"/>
            </w:tcBorders>
            <w:shd w:val="clear" w:color="auto" w:fill="006A4D"/>
          </w:tcPr>
          <w:p>
            <w:pPr>
              <w:pStyle w:val="TableParagraph"/>
              <w:tabs>
                <w:tab w:pos="686" w:val="left" w:leader="none"/>
                <w:tab w:pos="2090" w:val="left" w:leader="none"/>
              </w:tabs>
              <w:spacing w:line="156" w:lineRule="auto" w:before="23"/>
              <w:ind w:left="13" w:right="-29"/>
              <w:jc w:val="left"/>
              <w:rPr>
                <w:b/>
                <w:sz w:val="18"/>
              </w:rPr>
            </w:pPr>
            <w:r>
              <w:rPr>
                <w:b/>
                <w:color w:val="FFFFFF"/>
                <w:w w:val="105"/>
                <w:position w:val="-10"/>
                <w:sz w:val="18"/>
              </w:rPr>
              <w:t>n)</w:t>
              <w:tab/>
            </w:r>
            <w:r>
              <w:rPr>
                <w:b/>
                <w:color w:val="FFFFFF"/>
                <w:w w:val="105"/>
                <w:sz w:val="18"/>
              </w:rPr>
              <w:t>Total</w:t>
            </w:r>
            <w:r>
              <w:rPr>
                <w:b/>
                <w:color w:val="FFFFFF"/>
                <w:spacing w:val="-3"/>
                <w:w w:val="105"/>
                <w:sz w:val="18"/>
              </w:rPr>
              <w:t> </w:t>
            </w:r>
            <w:r>
              <w:rPr>
                <w:b/>
                <w:color w:val="FFFFFF"/>
                <w:w w:val="105"/>
                <w:sz w:val="18"/>
              </w:rPr>
              <w:t>Cost</w:t>
              <w:tab/>
            </w:r>
            <w:r>
              <w:rPr>
                <w:b/>
                <w:color w:val="FFFFFF"/>
                <w:w w:val="95"/>
                <w:sz w:val="18"/>
              </w:rPr>
              <w:t>T</w:t>
            </w:r>
          </w:p>
          <w:p>
            <w:pPr>
              <w:pStyle w:val="TableParagraph"/>
              <w:spacing w:line="140" w:lineRule="exact"/>
              <w:ind w:left="441"/>
              <w:jc w:val="left"/>
              <w:rPr>
                <w:b/>
                <w:sz w:val="18"/>
              </w:rPr>
            </w:pPr>
            <w:r>
              <w:rPr>
                <w:b/>
                <w:color w:val="FFFFFF"/>
                <w:w w:val="110"/>
                <w:sz w:val="18"/>
              </w:rPr>
              <w:t>Spent (INR Mn)</w:t>
            </w:r>
          </w:p>
        </w:tc>
        <w:tc>
          <w:tcPr>
            <w:tcW w:w="1606" w:type="dxa"/>
            <w:tcBorders>
              <w:top w:val="single" w:sz="6" w:space="0" w:color="69BD28"/>
              <w:bottom w:val="single" w:sz="6" w:space="0" w:color="69BD28"/>
            </w:tcBorders>
            <w:shd w:val="clear" w:color="auto" w:fill="006A4D"/>
          </w:tcPr>
          <w:p>
            <w:pPr>
              <w:pStyle w:val="TableParagraph"/>
              <w:spacing w:before="3"/>
              <w:ind w:left="17" w:right="-15"/>
              <w:jc w:val="left"/>
              <w:rPr>
                <w:b/>
                <w:sz w:val="18"/>
              </w:rPr>
            </w:pPr>
            <w:r>
              <w:rPr>
                <w:b/>
                <w:color w:val="FFFFFF"/>
                <w:w w:val="110"/>
                <w:sz w:val="18"/>
              </w:rPr>
              <w:t>otal Pending</w:t>
            </w:r>
            <w:r>
              <w:rPr>
                <w:b/>
                <w:color w:val="FFFFFF"/>
                <w:spacing w:val="-18"/>
                <w:w w:val="110"/>
                <w:sz w:val="18"/>
              </w:rPr>
              <w:t> </w:t>
            </w:r>
            <w:r>
              <w:rPr>
                <w:b/>
                <w:color w:val="FFFFFF"/>
                <w:w w:val="110"/>
                <w:sz w:val="18"/>
              </w:rPr>
              <w:t>Cost</w:t>
            </w:r>
          </w:p>
          <w:p>
            <w:pPr>
              <w:pStyle w:val="TableParagraph"/>
              <w:spacing w:line="192" w:lineRule="exact" w:before="7"/>
              <w:ind w:left="360"/>
              <w:jc w:val="left"/>
              <w:rPr>
                <w:b/>
                <w:sz w:val="18"/>
              </w:rPr>
            </w:pPr>
            <w:r>
              <w:rPr>
                <w:b/>
                <w:color w:val="FFFFFF"/>
                <w:w w:val="115"/>
                <w:sz w:val="18"/>
              </w:rPr>
              <w:t>(INR Mn)</w:t>
            </w:r>
          </w:p>
        </w:tc>
        <w:tc>
          <w:tcPr>
            <w:tcW w:w="1906" w:type="dxa"/>
            <w:tcBorders>
              <w:top w:val="single" w:sz="6" w:space="0" w:color="69BD28"/>
              <w:bottom w:val="single" w:sz="6" w:space="0" w:color="69BD28"/>
            </w:tcBorders>
            <w:shd w:val="clear" w:color="auto" w:fill="006A4D"/>
          </w:tcPr>
          <w:p>
            <w:pPr>
              <w:pStyle w:val="TableParagraph"/>
              <w:spacing w:before="3"/>
              <w:ind w:left="483"/>
              <w:jc w:val="left"/>
              <w:rPr>
                <w:b/>
                <w:sz w:val="18"/>
              </w:rPr>
            </w:pPr>
            <w:r>
              <w:rPr>
                <w:b/>
                <w:color w:val="FFFFFF"/>
                <w:w w:val="105"/>
                <w:sz w:val="18"/>
              </w:rPr>
              <w:t>Quarter</w:t>
            </w:r>
            <w:r>
              <w:rPr>
                <w:b/>
                <w:color w:val="FFFFFF"/>
                <w:spacing w:val="27"/>
                <w:w w:val="105"/>
                <w:sz w:val="18"/>
              </w:rPr>
              <w:t> </w:t>
            </w:r>
            <w:r>
              <w:rPr>
                <w:b/>
                <w:color w:val="FFFFFF"/>
                <w:w w:val="105"/>
                <w:sz w:val="18"/>
              </w:rPr>
              <w:t>of</w:t>
            </w:r>
          </w:p>
          <w:p>
            <w:pPr>
              <w:pStyle w:val="TableParagraph"/>
              <w:spacing w:line="192" w:lineRule="exact" w:before="7"/>
              <w:ind w:left="444"/>
              <w:jc w:val="left"/>
              <w:rPr>
                <w:b/>
                <w:sz w:val="18"/>
              </w:rPr>
            </w:pPr>
            <w:r>
              <w:rPr>
                <w:b/>
                <w:color w:val="FFFFFF"/>
                <w:w w:val="105"/>
                <w:sz w:val="18"/>
              </w:rPr>
              <w:t>Completion</w:t>
            </w:r>
          </w:p>
        </w:tc>
      </w:tr>
      <w:tr>
        <w:trPr>
          <w:trHeight w:val="297" w:hRule="atLeast"/>
        </w:trPr>
        <w:tc>
          <w:tcPr>
            <w:tcW w:w="3300" w:type="dxa"/>
            <w:tcBorders>
              <w:top w:val="single" w:sz="6" w:space="0" w:color="69BD28"/>
              <w:bottom w:val="single" w:sz="6" w:space="0" w:color="69BD28"/>
            </w:tcBorders>
          </w:tcPr>
          <w:p>
            <w:pPr>
              <w:pStyle w:val="TableParagraph"/>
              <w:spacing w:before="44"/>
              <w:ind w:left="558" w:right="569"/>
              <w:rPr>
                <w:sz w:val="18"/>
              </w:rPr>
            </w:pPr>
            <w:r>
              <w:rPr>
                <w:sz w:val="18"/>
              </w:rPr>
              <w:t>Retail Wall</w:t>
            </w:r>
          </w:p>
        </w:tc>
        <w:tc>
          <w:tcPr>
            <w:tcW w:w="1504" w:type="dxa"/>
            <w:tcBorders>
              <w:top w:val="single" w:sz="6" w:space="0" w:color="69BD28"/>
              <w:bottom w:val="single" w:sz="6" w:space="0" w:color="69BD28"/>
            </w:tcBorders>
          </w:tcPr>
          <w:p>
            <w:pPr>
              <w:pStyle w:val="TableParagraph"/>
              <w:spacing w:before="44"/>
              <w:ind w:right="489"/>
              <w:jc w:val="right"/>
              <w:rPr>
                <w:sz w:val="18"/>
              </w:rPr>
            </w:pPr>
            <w:r>
              <w:rPr>
                <w:w w:val="105"/>
                <w:sz w:val="18"/>
              </w:rPr>
              <w:t>5.50</w:t>
            </w:r>
          </w:p>
        </w:tc>
        <w:tc>
          <w:tcPr>
            <w:tcW w:w="2174" w:type="dxa"/>
            <w:tcBorders>
              <w:top w:val="single" w:sz="6" w:space="0" w:color="69BD28"/>
              <w:bottom w:val="single" w:sz="6" w:space="0" w:color="69BD28"/>
            </w:tcBorders>
          </w:tcPr>
          <w:p>
            <w:pPr>
              <w:pStyle w:val="TableParagraph"/>
              <w:spacing w:before="44"/>
              <w:ind w:left="85"/>
              <w:rPr>
                <w:sz w:val="18"/>
              </w:rPr>
            </w:pPr>
            <w:r>
              <w:rPr>
                <w:w w:val="99"/>
                <w:sz w:val="18"/>
              </w:rPr>
              <w:t>-</w:t>
            </w:r>
          </w:p>
        </w:tc>
        <w:tc>
          <w:tcPr>
            <w:tcW w:w="1606" w:type="dxa"/>
            <w:tcBorders>
              <w:top w:val="single" w:sz="6" w:space="0" w:color="69BD28"/>
              <w:bottom w:val="single" w:sz="6" w:space="0" w:color="69BD28"/>
            </w:tcBorders>
          </w:tcPr>
          <w:p>
            <w:pPr>
              <w:pStyle w:val="TableParagraph"/>
              <w:spacing w:before="44"/>
              <w:ind w:left="576"/>
              <w:jc w:val="left"/>
              <w:rPr>
                <w:sz w:val="18"/>
              </w:rPr>
            </w:pPr>
            <w:r>
              <w:rPr>
                <w:w w:val="105"/>
                <w:sz w:val="18"/>
              </w:rPr>
              <w:t>5.50</w:t>
            </w:r>
          </w:p>
        </w:tc>
        <w:tc>
          <w:tcPr>
            <w:tcW w:w="1906" w:type="dxa"/>
            <w:tcBorders>
              <w:top w:val="single" w:sz="6" w:space="0" w:color="69BD28"/>
              <w:bottom w:val="single" w:sz="6" w:space="0" w:color="69BD28"/>
            </w:tcBorders>
          </w:tcPr>
          <w:p>
            <w:pPr>
              <w:pStyle w:val="TableParagraph"/>
              <w:spacing w:before="44"/>
              <w:ind w:left="461" w:right="448"/>
              <w:rPr>
                <w:sz w:val="18"/>
              </w:rPr>
            </w:pPr>
            <w:r>
              <w:rPr>
                <w:w w:val="105"/>
                <w:sz w:val="18"/>
              </w:rPr>
              <w:t>Q2, FY2021</w:t>
            </w:r>
          </w:p>
        </w:tc>
      </w:tr>
      <w:tr>
        <w:trPr>
          <w:trHeight w:val="294" w:hRule="atLeast"/>
        </w:trPr>
        <w:tc>
          <w:tcPr>
            <w:tcW w:w="3300" w:type="dxa"/>
            <w:tcBorders>
              <w:top w:val="single" w:sz="6" w:space="0" w:color="69BD28"/>
              <w:bottom w:val="single" w:sz="6" w:space="0" w:color="69BD28"/>
            </w:tcBorders>
          </w:tcPr>
          <w:p>
            <w:pPr>
              <w:pStyle w:val="TableParagraph"/>
              <w:spacing w:before="44"/>
              <w:ind w:left="559" w:right="569"/>
              <w:rPr>
                <w:sz w:val="18"/>
              </w:rPr>
            </w:pPr>
            <w:r>
              <w:rPr>
                <w:sz w:val="18"/>
              </w:rPr>
              <w:t>Marketing Suite, etc.</w:t>
            </w:r>
          </w:p>
        </w:tc>
        <w:tc>
          <w:tcPr>
            <w:tcW w:w="1504" w:type="dxa"/>
            <w:tcBorders>
              <w:top w:val="single" w:sz="6" w:space="0" w:color="69BD28"/>
              <w:bottom w:val="single" w:sz="6" w:space="0" w:color="69BD28"/>
            </w:tcBorders>
          </w:tcPr>
          <w:p>
            <w:pPr>
              <w:pStyle w:val="TableParagraph"/>
              <w:spacing w:before="44"/>
              <w:ind w:right="437"/>
              <w:jc w:val="right"/>
              <w:rPr>
                <w:sz w:val="18"/>
              </w:rPr>
            </w:pPr>
            <w:r>
              <w:rPr>
                <w:w w:val="105"/>
                <w:sz w:val="18"/>
              </w:rPr>
              <w:t>26.00</w:t>
            </w:r>
          </w:p>
        </w:tc>
        <w:tc>
          <w:tcPr>
            <w:tcW w:w="2174" w:type="dxa"/>
            <w:tcBorders>
              <w:top w:val="single" w:sz="6" w:space="0" w:color="69BD28"/>
              <w:bottom w:val="single" w:sz="6" w:space="0" w:color="69BD28"/>
            </w:tcBorders>
          </w:tcPr>
          <w:p>
            <w:pPr>
              <w:pStyle w:val="TableParagraph"/>
              <w:spacing w:before="44"/>
              <w:ind w:left="924" w:right="842"/>
              <w:rPr>
                <w:sz w:val="18"/>
              </w:rPr>
            </w:pPr>
            <w:r>
              <w:rPr>
                <w:w w:val="105"/>
                <w:sz w:val="18"/>
              </w:rPr>
              <w:t>8.47</w:t>
            </w:r>
          </w:p>
        </w:tc>
        <w:tc>
          <w:tcPr>
            <w:tcW w:w="1606" w:type="dxa"/>
            <w:tcBorders>
              <w:top w:val="single" w:sz="6" w:space="0" w:color="69BD28"/>
              <w:bottom w:val="single" w:sz="6" w:space="0" w:color="69BD28"/>
            </w:tcBorders>
          </w:tcPr>
          <w:p>
            <w:pPr>
              <w:pStyle w:val="TableParagraph"/>
              <w:spacing w:before="44"/>
              <w:ind w:left="523"/>
              <w:jc w:val="left"/>
              <w:rPr>
                <w:sz w:val="18"/>
              </w:rPr>
            </w:pPr>
            <w:r>
              <w:rPr>
                <w:w w:val="105"/>
                <w:sz w:val="18"/>
              </w:rPr>
              <w:t>17.52</w:t>
            </w:r>
          </w:p>
        </w:tc>
        <w:tc>
          <w:tcPr>
            <w:tcW w:w="1906" w:type="dxa"/>
            <w:tcBorders>
              <w:top w:val="single" w:sz="6" w:space="0" w:color="69BD28"/>
              <w:bottom w:val="single" w:sz="6" w:space="0" w:color="69BD28"/>
            </w:tcBorders>
          </w:tcPr>
          <w:p>
            <w:pPr>
              <w:pStyle w:val="TableParagraph"/>
              <w:spacing w:before="44"/>
              <w:ind w:left="461" w:right="448"/>
              <w:rPr>
                <w:sz w:val="18"/>
              </w:rPr>
            </w:pPr>
            <w:r>
              <w:rPr>
                <w:w w:val="105"/>
                <w:sz w:val="18"/>
              </w:rPr>
              <w:t>Q3, FY2021</w:t>
            </w:r>
          </w:p>
        </w:tc>
      </w:tr>
      <w:tr>
        <w:trPr>
          <w:trHeight w:val="296" w:hRule="atLeast"/>
        </w:trPr>
        <w:tc>
          <w:tcPr>
            <w:tcW w:w="3300" w:type="dxa"/>
            <w:tcBorders>
              <w:top w:val="single" w:sz="6" w:space="0" w:color="69BD28"/>
              <w:bottom w:val="single" w:sz="6" w:space="0" w:color="69BD28"/>
            </w:tcBorders>
          </w:tcPr>
          <w:p>
            <w:pPr>
              <w:pStyle w:val="TableParagraph"/>
              <w:spacing w:before="44"/>
              <w:ind w:left="560" w:right="569"/>
              <w:rPr>
                <w:sz w:val="18"/>
              </w:rPr>
            </w:pPr>
            <w:r>
              <w:rPr>
                <w:sz w:val="18"/>
              </w:rPr>
              <w:t>Embassy One Façade Light</w:t>
            </w:r>
          </w:p>
        </w:tc>
        <w:tc>
          <w:tcPr>
            <w:tcW w:w="1504" w:type="dxa"/>
            <w:tcBorders>
              <w:top w:val="single" w:sz="6" w:space="0" w:color="69BD28"/>
              <w:bottom w:val="single" w:sz="6" w:space="0" w:color="69BD28"/>
            </w:tcBorders>
          </w:tcPr>
          <w:p>
            <w:pPr>
              <w:pStyle w:val="TableParagraph"/>
              <w:spacing w:before="44"/>
              <w:ind w:right="437"/>
              <w:jc w:val="right"/>
              <w:rPr>
                <w:sz w:val="18"/>
              </w:rPr>
            </w:pPr>
            <w:r>
              <w:rPr>
                <w:w w:val="105"/>
                <w:sz w:val="18"/>
              </w:rPr>
              <w:t>45.00</w:t>
            </w:r>
          </w:p>
        </w:tc>
        <w:tc>
          <w:tcPr>
            <w:tcW w:w="2174" w:type="dxa"/>
            <w:tcBorders>
              <w:top w:val="single" w:sz="6" w:space="0" w:color="69BD28"/>
              <w:bottom w:val="single" w:sz="6" w:space="0" w:color="69BD28"/>
            </w:tcBorders>
          </w:tcPr>
          <w:p>
            <w:pPr>
              <w:pStyle w:val="TableParagraph"/>
              <w:spacing w:before="44"/>
              <w:ind w:left="85"/>
              <w:rPr>
                <w:sz w:val="18"/>
              </w:rPr>
            </w:pPr>
            <w:r>
              <w:rPr>
                <w:w w:val="99"/>
                <w:sz w:val="18"/>
              </w:rPr>
              <w:t>-</w:t>
            </w:r>
          </w:p>
        </w:tc>
        <w:tc>
          <w:tcPr>
            <w:tcW w:w="1606" w:type="dxa"/>
            <w:tcBorders>
              <w:top w:val="single" w:sz="6" w:space="0" w:color="69BD28"/>
              <w:bottom w:val="single" w:sz="6" w:space="0" w:color="69BD28"/>
            </w:tcBorders>
          </w:tcPr>
          <w:p>
            <w:pPr>
              <w:pStyle w:val="TableParagraph"/>
              <w:spacing w:before="44"/>
              <w:ind w:left="523"/>
              <w:jc w:val="left"/>
              <w:rPr>
                <w:sz w:val="18"/>
              </w:rPr>
            </w:pPr>
            <w:r>
              <w:rPr>
                <w:w w:val="105"/>
                <w:sz w:val="18"/>
              </w:rPr>
              <w:t>45.00</w:t>
            </w:r>
          </w:p>
        </w:tc>
        <w:tc>
          <w:tcPr>
            <w:tcW w:w="1906" w:type="dxa"/>
            <w:tcBorders>
              <w:top w:val="single" w:sz="6" w:space="0" w:color="69BD28"/>
              <w:bottom w:val="single" w:sz="6" w:space="0" w:color="69BD28"/>
            </w:tcBorders>
          </w:tcPr>
          <w:p>
            <w:pPr>
              <w:pStyle w:val="TableParagraph"/>
              <w:spacing w:before="44"/>
              <w:ind w:left="461" w:right="448"/>
              <w:rPr>
                <w:sz w:val="18"/>
              </w:rPr>
            </w:pPr>
            <w:r>
              <w:rPr>
                <w:w w:val="105"/>
                <w:sz w:val="18"/>
              </w:rPr>
              <w:t>Q3, FY2021</w:t>
            </w:r>
          </w:p>
        </w:tc>
      </w:tr>
    </w:tbl>
    <w:p>
      <w:pPr>
        <w:spacing w:before="0"/>
        <w:ind w:left="680" w:right="0" w:firstLine="0"/>
        <w:jc w:val="left"/>
        <w:rPr>
          <w:i/>
          <w:sz w:val="18"/>
        </w:rPr>
      </w:pPr>
      <w:r>
        <w:rPr>
          <w:i/>
          <w:sz w:val="18"/>
        </w:rPr>
        <w:t>Source: Information provided by Client</w:t>
      </w:r>
    </w:p>
    <w:p>
      <w:pPr>
        <w:spacing w:after="0"/>
        <w:jc w:val="left"/>
        <w:rPr>
          <w:sz w:val="18"/>
        </w:rPr>
        <w:sectPr>
          <w:headerReference w:type="default" r:id="rId286"/>
          <w:footerReference w:type="default" r:id="rId287"/>
          <w:pgSz w:w="11910" w:h="16840"/>
          <w:pgMar w:header="720" w:footer="862" w:top="1660" w:bottom="1060" w:left="40" w:right="40"/>
          <w:pgNumType w:start="271"/>
        </w:sectPr>
      </w:pPr>
    </w:p>
    <w:p>
      <w:pPr>
        <w:pStyle w:val="BodyText"/>
        <w:spacing w:before="7"/>
        <w:rPr>
          <w:i/>
          <w:sz w:val="9"/>
        </w:rPr>
      </w:pPr>
    </w:p>
    <w:p>
      <w:pPr>
        <w:pStyle w:val="ListParagraph"/>
        <w:numPr>
          <w:ilvl w:val="2"/>
          <w:numId w:val="14"/>
        </w:numPr>
        <w:tabs>
          <w:tab w:pos="1401" w:val="left" w:leader="none"/>
        </w:tabs>
        <w:spacing w:line="240" w:lineRule="auto" w:before="106" w:after="0"/>
        <w:ind w:left="1400" w:right="0" w:hanging="721"/>
        <w:jc w:val="left"/>
        <w:rPr>
          <w:sz w:val="22"/>
        </w:rPr>
      </w:pPr>
      <w:bookmarkStart w:name="_bookmark333" w:id="650"/>
      <w:bookmarkEnd w:id="650"/>
      <w:r>
        <w:rPr/>
      </w:r>
      <w:bookmarkStart w:name="_bookmark333" w:id="651"/>
      <w:bookmarkEnd w:id="651"/>
      <w:r>
        <w:rPr>
          <w:color w:val="1F664D"/>
          <w:sz w:val="22"/>
        </w:rPr>
        <w:t>Pro</w:t>
      </w:r>
      <w:r>
        <w:rPr>
          <w:color w:val="1F664D"/>
          <w:sz w:val="22"/>
        </w:rPr>
        <w:t>perty Photographs</w:t>
      </w:r>
    </w:p>
    <w:p>
      <w:pPr>
        <w:pStyle w:val="BodyText"/>
        <w:spacing w:before="208"/>
        <w:ind w:left="1227"/>
      </w:pPr>
      <w:r>
        <w:rPr/>
        <w:t>Please refer to the property photographs highlighted below:</w:t>
      </w:r>
    </w:p>
    <w:p>
      <w:pPr>
        <w:pStyle w:val="BodyText"/>
        <w:spacing w:before="5"/>
        <w:rPr>
          <w:sz w:val="24"/>
        </w:rPr>
      </w:pPr>
      <w:r>
        <w:rPr/>
        <w:pict>
          <v:group style="position:absolute;margin-left:108.860001pt;margin-top:16.171974pt;width:401.9pt;height:15.5pt;mso-position-horizontal-relative:page;mso-position-vertical-relative:paragraph;z-index:-15010816;mso-wrap-distance-left:0;mso-wrap-distance-right:0" coordorigin="2177,323" coordsize="8038,310">
            <v:rect style="position:absolute;left:2177;top:333;width:8038;height:300" filled="true" fillcolor="#006a4d" stroked="false">
              <v:fill type="solid"/>
            </v:rect>
            <v:rect style="position:absolute;left:2179;top:323;width:8035;height:10" filled="true" fillcolor="#000000" stroked="false">
              <v:fill type="solid"/>
            </v:rect>
            <v:shape style="position:absolute;left:2177;top:333;width:8038;height:300" type="#_x0000_t202" filled="false" stroked="false">
              <v:textbox inset="0,0,0,0">
                <w:txbxContent>
                  <w:p>
                    <w:pPr>
                      <w:spacing w:before="33"/>
                      <w:ind w:left="3387" w:right="3388" w:firstLine="0"/>
                      <w:jc w:val="center"/>
                      <w:rPr>
                        <w:sz w:val="20"/>
                      </w:rPr>
                    </w:pPr>
                    <w:r>
                      <w:rPr>
                        <w:color w:val="FFFFFF"/>
                        <w:w w:val="105"/>
                        <w:sz w:val="20"/>
                      </w:rPr>
                      <w:t>Embassy One</w:t>
                    </w:r>
                  </w:p>
                </w:txbxContent>
              </v:textbox>
              <w10:wrap type="none"/>
            </v:shape>
            <w10:wrap type="topAndBottom"/>
          </v:group>
        </w:pict>
      </w:r>
      <w:r>
        <w:rPr/>
        <w:pict>
          <v:group style="position:absolute;margin-left:111.699997pt;margin-top:43.041973pt;width:186.1pt;height:130.65pt;mso-position-horizontal-relative:page;mso-position-vertical-relative:paragraph;z-index:-15010304;mso-wrap-distance-left:0;mso-wrap-distance-right:0" coordorigin="2234,861" coordsize="3722,2613">
            <v:rect style="position:absolute;left:2239;top:865;width:3712;height:2603" filled="false" stroked="true" strokeweight=".5pt" strokecolor="#000000">
              <v:stroke dashstyle="solid"/>
            </v:rect>
            <v:shape style="position:absolute;left:2388;top:943;width:3413;height:2370" type="#_x0000_t75" stroked="false">
              <v:imagedata r:id="rId288" o:title=""/>
            </v:shape>
            <w10:wrap type="topAndBottom"/>
          </v:group>
        </w:pict>
      </w:r>
      <w:r>
        <w:rPr/>
        <w:pict>
          <v:group style="position:absolute;margin-left:306.700012pt;margin-top:44.231976pt;width:186.1pt;height:130.65pt;mso-position-horizontal-relative:page;mso-position-vertical-relative:paragraph;z-index:-15009792;mso-wrap-distance-left:0;mso-wrap-distance-right:0" coordorigin="6134,885" coordsize="3722,2613">
            <v:rect style="position:absolute;left:6139;top:889;width:3712;height:2603" filled="false" stroked="true" strokeweight=".5pt" strokecolor="#000000">
              <v:stroke dashstyle="solid"/>
            </v:rect>
            <v:shape style="position:absolute;left:6288;top:966;width:3413;height:2361" type="#_x0000_t75" stroked="false">
              <v:imagedata r:id="rId289" o:title=""/>
            </v:shape>
            <w10:wrap type="topAndBottom"/>
          </v:group>
        </w:pict>
      </w:r>
    </w:p>
    <w:p>
      <w:pPr>
        <w:pStyle w:val="BodyText"/>
        <w:spacing w:before="8"/>
        <w:rPr>
          <w:sz w:val="13"/>
        </w:rPr>
      </w:pPr>
    </w:p>
    <w:p>
      <w:pPr>
        <w:pStyle w:val="BodyText"/>
        <w:spacing w:before="10"/>
        <w:rPr>
          <w:sz w:val="11"/>
        </w:rPr>
      </w:pPr>
    </w:p>
    <w:p>
      <w:pPr>
        <w:tabs>
          <w:tab w:pos="4731" w:val="left" w:leader="none"/>
        </w:tabs>
        <w:spacing w:before="105"/>
        <w:ind w:left="0" w:right="324" w:firstLine="0"/>
        <w:jc w:val="center"/>
        <w:rPr>
          <w:sz w:val="18"/>
        </w:rPr>
      </w:pPr>
      <w:r>
        <w:rPr>
          <w:sz w:val="18"/>
        </w:rPr>
        <w:t>External</w:t>
      </w:r>
      <w:r>
        <w:rPr>
          <w:spacing w:val="-35"/>
          <w:sz w:val="18"/>
        </w:rPr>
        <w:t> </w:t>
      </w:r>
      <w:r>
        <w:rPr>
          <w:sz w:val="18"/>
        </w:rPr>
        <w:t>view</w:t>
      </w:r>
      <w:r>
        <w:rPr>
          <w:spacing w:val="-35"/>
          <w:sz w:val="18"/>
        </w:rPr>
        <w:t> </w:t>
      </w:r>
      <w:r>
        <w:rPr>
          <w:sz w:val="18"/>
        </w:rPr>
        <w:t>of</w:t>
      </w:r>
      <w:r>
        <w:rPr>
          <w:spacing w:val="-35"/>
          <w:sz w:val="18"/>
        </w:rPr>
        <w:t> </w:t>
      </w:r>
      <w:r>
        <w:rPr>
          <w:sz w:val="18"/>
        </w:rPr>
        <w:t>the</w:t>
      </w:r>
      <w:r>
        <w:rPr>
          <w:spacing w:val="-34"/>
          <w:sz w:val="18"/>
        </w:rPr>
        <w:t> </w:t>
      </w:r>
      <w:r>
        <w:rPr>
          <w:sz w:val="18"/>
        </w:rPr>
        <w:t>subject</w:t>
      </w:r>
      <w:r>
        <w:rPr>
          <w:spacing w:val="-36"/>
          <w:sz w:val="18"/>
        </w:rPr>
        <w:t> </w:t>
      </w:r>
      <w:r>
        <w:rPr>
          <w:sz w:val="18"/>
        </w:rPr>
        <w:t>property</w:t>
      </w:r>
      <w:r>
        <w:rPr>
          <w:spacing w:val="-35"/>
          <w:sz w:val="18"/>
        </w:rPr>
        <w:t> </w:t>
      </w:r>
      <w:r>
        <w:rPr>
          <w:sz w:val="18"/>
        </w:rPr>
        <w:t>(SP)</w:t>
        <w:tab/>
        <w:t>Internal view of the</w:t>
      </w:r>
      <w:r>
        <w:rPr>
          <w:spacing w:val="-14"/>
          <w:sz w:val="18"/>
        </w:rPr>
        <w:t> </w:t>
      </w:r>
      <w:r>
        <w:rPr>
          <w:sz w:val="18"/>
        </w:rPr>
        <w:t>SP</w:t>
      </w:r>
    </w:p>
    <w:p>
      <w:pPr>
        <w:pStyle w:val="BodyText"/>
        <w:spacing w:before="10"/>
        <w:rPr>
          <w:sz w:val="15"/>
        </w:rPr>
      </w:pPr>
      <w:r>
        <w:rPr/>
        <w:pict>
          <v:group style="position:absolute;margin-left:113.25pt;margin-top:11.163574pt;width:186.1pt;height:130.65pt;mso-position-horizontal-relative:page;mso-position-vertical-relative:paragraph;z-index:-15009280;mso-wrap-distance-left:0;mso-wrap-distance-right:0" coordorigin="2265,223" coordsize="3722,2613">
            <v:rect style="position:absolute;left:2270;top:228;width:3712;height:2603" filled="false" stroked="true" strokeweight=".5pt" strokecolor="#000000">
              <v:stroke dashstyle="solid"/>
            </v:rect>
            <v:shape style="position:absolute;left:2419;top:304;width:3413;height:2448" type="#_x0000_t75" stroked="false">
              <v:imagedata r:id="rId290" o:title=""/>
            </v:shape>
            <w10:wrap type="topAndBottom"/>
          </v:group>
        </w:pict>
      </w:r>
      <w:r>
        <w:rPr/>
        <w:pict>
          <v:group style="position:absolute;margin-left:314.700012pt;margin-top:11.963574pt;width:186.1pt;height:130.65pt;mso-position-horizontal-relative:page;mso-position-vertical-relative:paragraph;z-index:-15008768;mso-wrap-distance-left:0;mso-wrap-distance-right:0" coordorigin="6294,239" coordsize="3722,2613">
            <v:rect style="position:absolute;left:6299;top:244;width:3712;height:2603" filled="false" stroked="true" strokeweight=".5pt" strokecolor="#000000">
              <v:stroke dashstyle="solid"/>
            </v:rect>
            <v:shape style="position:absolute;left:6448;top:321;width:3413;height:2437" type="#_x0000_t75" stroked="false">
              <v:imagedata r:id="rId291" o:title=""/>
            </v:shape>
            <w10:wrap type="topAndBottom"/>
          </v:group>
        </w:pict>
      </w:r>
    </w:p>
    <w:p>
      <w:pPr>
        <w:tabs>
          <w:tab w:pos="4406" w:val="left" w:leader="none"/>
        </w:tabs>
        <w:spacing w:before="187" w:after="4"/>
        <w:ind w:left="33" w:right="0" w:firstLine="0"/>
        <w:jc w:val="center"/>
        <w:rPr>
          <w:sz w:val="16"/>
        </w:rPr>
      </w:pPr>
      <w:r>
        <w:rPr>
          <w:sz w:val="18"/>
        </w:rPr>
        <w:t>Internal</w:t>
      </w:r>
      <w:r>
        <w:rPr>
          <w:spacing w:val="-23"/>
          <w:sz w:val="18"/>
        </w:rPr>
        <w:t> </w:t>
      </w:r>
      <w:r>
        <w:rPr>
          <w:sz w:val="18"/>
        </w:rPr>
        <w:t>View</w:t>
      </w:r>
      <w:r>
        <w:rPr>
          <w:spacing w:val="-22"/>
          <w:sz w:val="18"/>
        </w:rPr>
        <w:t> </w:t>
      </w:r>
      <w:r>
        <w:rPr>
          <w:sz w:val="18"/>
        </w:rPr>
        <w:t>of</w:t>
      </w:r>
      <w:r>
        <w:rPr>
          <w:spacing w:val="-21"/>
          <w:sz w:val="18"/>
        </w:rPr>
        <w:t> </w:t>
      </w:r>
      <w:r>
        <w:rPr>
          <w:sz w:val="18"/>
        </w:rPr>
        <w:t>office</w:t>
      </w:r>
      <w:r>
        <w:rPr>
          <w:spacing w:val="-21"/>
          <w:sz w:val="18"/>
        </w:rPr>
        <w:t> </w:t>
      </w:r>
      <w:r>
        <w:rPr>
          <w:sz w:val="18"/>
        </w:rPr>
        <w:t>area</w:t>
        <w:tab/>
      </w:r>
      <w:r>
        <w:rPr>
          <w:position w:val="2"/>
          <w:sz w:val="16"/>
        </w:rPr>
        <w:t>Primary access</w:t>
      </w:r>
      <w:r>
        <w:rPr>
          <w:spacing w:val="-36"/>
          <w:position w:val="2"/>
          <w:sz w:val="16"/>
        </w:rPr>
        <w:t> </w:t>
      </w:r>
      <w:r>
        <w:rPr>
          <w:position w:val="2"/>
          <w:sz w:val="16"/>
        </w:rPr>
        <w:t>road</w:t>
      </w:r>
    </w:p>
    <w:p>
      <w:pPr>
        <w:pStyle w:val="BodyText"/>
        <w:ind w:left="6217"/>
        <w:rPr>
          <w:sz w:val="20"/>
        </w:rPr>
      </w:pPr>
      <w:r>
        <w:rPr>
          <w:sz w:val="20"/>
        </w:rPr>
        <w:pict>
          <v:group style="width:186.1pt;height:130.65pt;mso-position-horizontal-relative:char;mso-position-vertical-relative:line" coordorigin="0,0" coordsize="3722,2613">
            <v:rect style="position:absolute;left:5;top:5;width:3712;height:2603" filled="false" stroked="true" strokeweight=".5pt" strokecolor="#000000">
              <v:stroke dashstyle="solid"/>
            </v:rect>
            <v:shape style="position:absolute;left:154;top:82;width:3415;height:2436" type="#_x0000_t75" stroked="false">
              <v:imagedata r:id="rId292" o:title=""/>
            </v:shape>
          </v:group>
        </w:pict>
      </w:r>
      <w:r>
        <w:rPr>
          <w:sz w:val="20"/>
        </w:rPr>
      </w:r>
    </w:p>
    <w:p>
      <w:pPr>
        <w:tabs>
          <w:tab w:pos="4404" w:val="left" w:leader="none"/>
        </w:tabs>
        <w:spacing w:before="85"/>
        <w:ind w:left="59" w:right="0" w:firstLine="0"/>
        <w:jc w:val="center"/>
        <w:rPr>
          <w:sz w:val="18"/>
        </w:rPr>
      </w:pPr>
      <w:r>
        <w:rPr/>
        <w:pict>
          <v:group style="position:absolute;margin-left:112.449997pt;margin-top:-133.919312pt;width:186.1pt;height:130.65pt;mso-position-horizontal-relative:page;mso-position-vertical-relative:paragraph;z-index:16450048" coordorigin="2249,-2678" coordsize="3722,2613">
            <v:rect style="position:absolute;left:2254;top:-2674;width:3712;height:2603" filled="true" fillcolor="#ffffff" stroked="false">
              <v:fill type="solid"/>
            </v:rect>
            <v:rect style="position:absolute;left:2254;top:-2674;width:3712;height:2603" filled="false" stroked="true" strokeweight=".5pt" strokecolor="#000000">
              <v:stroke dashstyle="solid"/>
            </v:rect>
            <v:shape style="position:absolute;left:2403;top:-2597;width:3415;height:2448" type="#_x0000_t75" stroked="false">
              <v:imagedata r:id="rId293" o:title=""/>
            </v:shape>
            <w10:wrap type="none"/>
          </v:group>
        </w:pict>
      </w:r>
      <w:r>
        <w:rPr>
          <w:sz w:val="18"/>
        </w:rPr>
        <w:t>Internal</w:t>
      </w:r>
      <w:r>
        <w:rPr>
          <w:spacing w:val="-23"/>
          <w:sz w:val="18"/>
        </w:rPr>
        <w:t> </w:t>
      </w:r>
      <w:r>
        <w:rPr>
          <w:sz w:val="18"/>
        </w:rPr>
        <w:t>View</w:t>
      </w:r>
      <w:r>
        <w:rPr>
          <w:spacing w:val="-23"/>
          <w:sz w:val="18"/>
        </w:rPr>
        <w:t> </w:t>
      </w:r>
      <w:r>
        <w:rPr>
          <w:sz w:val="18"/>
        </w:rPr>
        <w:t>of</w:t>
      </w:r>
      <w:r>
        <w:rPr>
          <w:spacing w:val="-22"/>
          <w:sz w:val="18"/>
        </w:rPr>
        <w:t> </w:t>
      </w:r>
      <w:r>
        <w:rPr>
          <w:sz w:val="18"/>
        </w:rPr>
        <w:t>retail</w:t>
      </w:r>
      <w:r>
        <w:rPr>
          <w:spacing w:val="-23"/>
          <w:sz w:val="18"/>
        </w:rPr>
        <w:t> </w:t>
      </w:r>
      <w:r>
        <w:rPr>
          <w:sz w:val="18"/>
        </w:rPr>
        <w:t>area</w:t>
        <w:tab/>
        <w:t>View</w:t>
      </w:r>
      <w:r>
        <w:rPr>
          <w:spacing w:val="-24"/>
          <w:sz w:val="18"/>
        </w:rPr>
        <w:t> </w:t>
      </w:r>
      <w:r>
        <w:rPr>
          <w:sz w:val="18"/>
        </w:rPr>
        <w:t>of</w:t>
      </w:r>
      <w:r>
        <w:rPr>
          <w:spacing w:val="-24"/>
          <w:sz w:val="18"/>
        </w:rPr>
        <w:t> </w:t>
      </w:r>
      <w:r>
        <w:rPr>
          <w:sz w:val="18"/>
        </w:rPr>
        <w:t>hotel</w:t>
      </w:r>
      <w:r>
        <w:rPr>
          <w:spacing w:val="-24"/>
          <w:sz w:val="18"/>
        </w:rPr>
        <w:t> </w:t>
      </w:r>
      <w:r>
        <w:rPr>
          <w:sz w:val="18"/>
        </w:rPr>
        <w:t>area</w:t>
      </w:r>
    </w:p>
    <w:p>
      <w:pPr>
        <w:pStyle w:val="BodyText"/>
        <w:spacing w:before="8"/>
        <w:rPr>
          <w:sz w:val="10"/>
        </w:rPr>
      </w:pPr>
      <w:r>
        <w:rPr/>
        <w:pict>
          <v:shape style="position:absolute;margin-left:108.260002pt;margin-top:8.200795pt;width:402.5pt;height:.5pt;mso-position-horizontal-relative:page;mso-position-vertical-relative:paragraph;z-index:-15007744;mso-wrap-distance-left:0;mso-wrap-distance-right:0" coordorigin="2165,164" coordsize="8050,10" path="m10214,164l6102,164,6097,164,6088,164,2165,164,2165,174,6088,174,6097,174,6102,174,10214,174,10214,164xe" filled="true" fillcolor="#92d050" stroked="false">
            <v:path arrowok="t"/>
            <v:fill type="solid"/>
            <w10:wrap type="topAndBottom"/>
          </v:shape>
        </w:pict>
      </w:r>
    </w:p>
    <w:p>
      <w:pPr>
        <w:spacing w:after="0"/>
        <w:rPr>
          <w:sz w:val="10"/>
        </w:rPr>
        <w:sectPr>
          <w:pgSz w:w="11910" w:h="16840"/>
          <w:pgMar w:header="720" w:footer="862" w:top="1660" w:bottom="1060" w:left="40" w:right="40"/>
        </w:sectPr>
      </w:pPr>
    </w:p>
    <w:p>
      <w:pPr>
        <w:pStyle w:val="BodyText"/>
        <w:spacing w:before="7"/>
        <w:rPr>
          <w:sz w:val="9"/>
        </w:rPr>
      </w:pPr>
    </w:p>
    <w:p>
      <w:pPr>
        <w:pStyle w:val="ListParagraph"/>
        <w:numPr>
          <w:ilvl w:val="1"/>
          <w:numId w:val="14"/>
        </w:numPr>
        <w:tabs>
          <w:tab w:pos="1257" w:val="left" w:leader="none"/>
        </w:tabs>
        <w:spacing w:line="240" w:lineRule="auto" w:before="106" w:after="0"/>
        <w:ind w:left="1256" w:right="0" w:hanging="577"/>
        <w:jc w:val="left"/>
        <w:rPr>
          <w:color w:val="1F6647"/>
          <w:sz w:val="22"/>
        </w:rPr>
      </w:pPr>
      <w:bookmarkStart w:name="_bookmark334" w:id="652"/>
      <w:bookmarkEnd w:id="652"/>
      <w:r>
        <w:rPr/>
      </w:r>
      <w:bookmarkStart w:name="_bookmark334" w:id="653"/>
      <w:bookmarkEnd w:id="653"/>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line="321" w:lineRule="auto" w:before="208"/>
        <w:ind w:left="1227" w:right="679"/>
        <w:jc w:val="both"/>
      </w:pPr>
      <w:r>
        <w:rPr/>
        <w:t>The</w:t>
      </w:r>
      <w:r>
        <w:rPr>
          <w:spacing w:val="-11"/>
        </w:rPr>
        <w:t> </w:t>
      </w:r>
      <w:r>
        <w:rPr/>
        <w:t>subject</w:t>
      </w:r>
      <w:r>
        <w:rPr>
          <w:spacing w:val="-10"/>
        </w:rPr>
        <w:t> </w:t>
      </w:r>
      <w:r>
        <w:rPr/>
        <w:t>property</w:t>
      </w:r>
      <w:r>
        <w:rPr>
          <w:spacing w:val="-8"/>
        </w:rPr>
        <w:t> </w:t>
      </w:r>
      <w:r>
        <w:rPr/>
        <w:t>is</w:t>
      </w:r>
      <w:r>
        <w:rPr>
          <w:spacing w:val="-10"/>
        </w:rPr>
        <w:t> </w:t>
      </w:r>
      <w:r>
        <w:rPr/>
        <w:t>mixed</w:t>
      </w:r>
      <w:r>
        <w:rPr>
          <w:spacing w:val="-9"/>
        </w:rPr>
        <w:t> </w:t>
      </w:r>
      <w:r>
        <w:rPr/>
        <w:t>use</w:t>
      </w:r>
      <w:r>
        <w:rPr>
          <w:spacing w:val="-10"/>
        </w:rPr>
        <w:t> </w:t>
      </w:r>
      <w:r>
        <w:rPr/>
        <w:t>development</w:t>
      </w:r>
      <w:r>
        <w:rPr>
          <w:spacing w:val="-10"/>
        </w:rPr>
        <w:t> </w:t>
      </w:r>
      <w:r>
        <w:rPr/>
        <w:t>located</w:t>
      </w:r>
      <w:r>
        <w:rPr>
          <w:spacing w:val="-9"/>
        </w:rPr>
        <w:t> </w:t>
      </w:r>
      <w:r>
        <w:rPr/>
        <w:t>along</w:t>
      </w:r>
      <w:r>
        <w:rPr>
          <w:spacing w:val="-10"/>
        </w:rPr>
        <w:t> </w:t>
      </w:r>
      <w:r>
        <w:rPr/>
        <w:t>Bellary</w:t>
      </w:r>
      <w:r>
        <w:rPr>
          <w:spacing w:val="-8"/>
        </w:rPr>
        <w:t> </w:t>
      </w:r>
      <w:r>
        <w:rPr/>
        <w:t>Road,</w:t>
      </w:r>
      <w:r>
        <w:rPr>
          <w:spacing w:val="-4"/>
        </w:rPr>
        <w:t> </w:t>
      </w:r>
      <w:r>
        <w:rPr/>
        <w:t>Ganga</w:t>
      </w:r>
      <w:r>
        <w:rPr>
          <w:spacing w:val="-10"/>
        </w:rPr>
        <w:t> </w:t>
      </w:r>
      <w:r>
        <w:rPr/>
        <w:t>Nagar,</w:t>
      </w:r>
      <w:r>
        <w:rPr>
          <w:spacing w:val="-10"/>
        </w:rPr>
        <w:t> </w:t>
      </w:r>
      <w:r>
        <w:rPr/>
        <w:t>Bengaluru. The</w:t>
      </w:r>
      <w:r>
        <w:rPr>
          <w:spacing w:val="-13"/>
        </w:rPr>
        <w:t> </w:t>
      </w:r>
      <w:r>
        <w:rPr/>
        <w:t>stretch</w:t>
      </w:r>
      <w:r>
        <w:rPr>
          <w:spacing w:val="-12"/>
        </w:rPr>
        <w:t> </w:t>
      </w:r>
      <w:r>
        <w:rPr/>
        <w:t>between</w:t>
      </w:r>
      <w:r>
        <w:rPr>
          <w:spacing w:val="-12"/>
        </w:rPr>
        <w:t> </w:t>
      </w:r>
      <w:r>
        <w:rPr/>
        <w:t>the</w:t>
      </w:r>
      <w:r>
        <w:rPr>
          <w:spacing w:val="-14"/>
        </w:rPr>
        <w:t> </w:t>
      </w:r>
      <w:r>
        <w:rPr/>
        <w:t>CBD</w:t>
      </w:r>
      <w:r>
        <w:rPr>
          <w:spacing w:val="-11"/>
        </w:rPr>
        <w:t> </w:t>
      </w:r>
      <w:r>
        <w:rPr/>
        <w:t>and</w:t>
      </w:r>
      <w:r>
        <w:rPr>
          <w:spacing w:val="-11"/>
        </w:rPr>
        <w:t> </w:t>
      </w:r>
      <w:r>
        <w:rPr/>
        <w:t>Mekhri</w:t>
      </w:r>
      <w:r>
        <w:rPr>
          <w:spacing w:val="-12"/>
        </w:rPr>
        <w:t> </w:t>
      </w:r>
      <w:r>
        <w:rPr/>
        <w:t>circle</w:t>
      </w:r>
      <w:r>
        <w:rPr>
          <w:spacing w:val="-10"/>
        </w:rPr>
        <w:t> </w:t>
      </w:r>
      <w:r>
        <w:rPr/>
        <w:t>is</w:t>
      </w:r>
      <w:r>
        <w:rPr>
          <w:spacing w:val="-10"/>
        </w:rPr>
        <w:t> </w:t>
      </w:r>
      <w:r>
        <w:rPr/>
        <w:t>recognized</w:t>
      </w:r>
      <w:r>
        <w:rPr>
          <w:spacing w:val="-11"/>
        </w:rPr>
        <w:t> </w:t>
      </w:r>
      <w:r>
        <w:rPr/>
        <w:t>as</w:t>
      </w:r>
      <w:r>
        <w:rPr>
          <w:spacing w:val="-11"/>
        </w:rPr>
        <w:t> </w:t>
      </w:r>
      <w:r>
        <w:rPr/>
        <w:t>a</w:t>
      </w:r>
      <w:r>
        <w:rPr>
          <w:spacing w:val="-12"/>
        </w:rPr>
        <w:t> </w:t>
      </w:r>
      <w:r>
        <w:rPr/>
        <w:t>premium</w:t>
      </w:r>
      <w:r>
        <w:rPr>
          <w:spacing w:val="-12"/>
        </w:rPr>
        <w:t> </w:t>
      </w:r>
      <w:r>
        <w:rPr/>
        <w:t>residential</w:t>
      </w:r>
      <w:r>
        <w:rPr>
          <w:spacing w:val="-12"/>
        </w:rPr>
        <w:t> </w:t>
      </w:r>
      <w:r>
        <w:rPr/>
        <w:t>and</w:t>
      </w:r>
      <w:r>
        <w:rPr>
          <w:spacing w:val="-11"/>
        </w:rPr>
        <w:t> </w:t>
      </w:r>
      <w:r>
        <w:rPr/>
        <w:t>hospitality hub of Bengaluru. Subject location lies in close proximity to premium residential colonies of Sheshadripuram,</w:t>
      </w:r>
      <w:r>
        <w:rPr>
          <w:spacing w:val="-22"/>
        </w:rPr>
        <w:t> </w:t>
      </w:r>
      <w:r>
        <w:rPr/>
        <w:t>Sadashiva</w:t>
      </w:r>
      <w:r>
        <w:rPr>
          <w:spacing w:val="-22"/>
        </w:rPr>
        <w:t> </w:t>
      </w:r>
      <w:r>
        <w:rPr/>
        <w:t>Nagar,</w:t>
      </w:r>
      <w:r>
        <w:rPr>
          <w:spacing w:val="-22"/>
        </w:rPr>
        <w:t> </w:t>
      </w:r>
      <w:r>
        <w:rPr/>
        <w:t>Dollars</w:t>
      </w:r>
      <w:r>
        <w:rPr>
          <w:spacing w:val="-21"/>
        </w:rPr>
        <w:t> </w:t>
      </w:r>
      <w:r>
        <w:rPr/>
        <w:t>colony,</w:t>
      </w:r>
      <w:r>
        <w:rPr>
          <w:spacing w:val="-22"/>
        </w:rPr>
        <w:t> </w:t>
      </w:r>
      <w:r>
        <w:rPr/>
        <w:t>Fraser</w:t>
      </w:r>
      <w:r>
        <w:rPr>
          <w:spacing w:val="-22"/>
        </w:rPr>
        <w:t> </w:t>
      </w:r>
      <w:r>
        <w:rPr/>
        <w:t>Town,</w:t>
      </w:r>
      <w:r>
        <w:rPr>
          <w:spacing w:val="-22"/>
        </w:rPr>
        <w:t> </w:t>
      </w:r>
      <w:r>
        <w:rPr/>
        <w:t>Jayamahal,</w:t>
      </w:r>
      <w:r>
        <w:rPr>
          <w:spacing w:val="-23"/>
        </w:rPr>
        <w:t> </w:t>
      </w:r>
      <w:r>
        <w:rPr/>
        <w:t>etc.,</w:t>
      </w:r>
      <w:r>
        <w:rPr>
          <w:spacing w:val="-21"/>
        </w:rPr>
        <w:t> </w:t>
      </w:r>
      <w:r>
        <w:rPr/>
        <w:t>which</w:t>
      </w:r>
      <w:r>
        <w:rPr>
          <w:spacing w:val="-21"/>
        </w:rPr>
        <w:t> </w:t>
      </w:r>
      <w:r>
        <w:rPr/>
        <w:t>house</w:t>
      </w:r>
      <w:r>
        <w:rPr>
          <w:spacing w:val="-22"/>
        </w:rPr>
        <w:t> </w:t>
      </w:r>
      <w:r>
        <w:rPr/>
        <w:t>affluent population of businessmen community, ministers,</w:t>
      </w:r>
      <w:r>
        <w:rPr>
          <w:spacing w:val="-27"/>
        </w:rPr>
        <w:t> </w:t>
      </w:r>
      <w:r>
        <w:rPr/>
        <w:t>etc.</w:t>
      </w:r>
    </w:p>
    <w:p>
      <w:pPr>
        <w:pStyle w:val="BodyText"/>
        <w:spacing w:before="10"/>
        <w:rPr>
          <w:sz w:val="20"/>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35" w:id="654"/>
      <w:bookmarkEnd w:id="654"/>
      <w:r>
        <w:rPr/>
      </w:r>
      <w:bookmarkStart w:name="_bookmark335" w:id="655"/>
      <w:bookmarkEnd w:id="655"/>
      <w:r>
        <w:rPr>
          <w:color w:val="1F664D"/>
          <w:w w:val="105"/>
          <w:sz w:val="22"/>
        </w:rPr>
        <w:t>De</w:t>
      </w:r>
      <w:r>
        <w:rPr>
          <w:color w:val="1F664D"/>
          <w:w w:val="105"/>
          <w:sz w:val="22"/>
        </w:rPr>
        <w:t>mand and Supply</w:t>
      </w:r>
      <w:r>
        <w:rPr>
          <w:color w:val="1F664D"/>
          <w:spacing w:val="-17"/>
          <w:w w:val="105"/>
          <w:sz w:val="22"/>
        </w:rPr>
        <w:t> </w:t>
      </w:r>
      <w:r>
        <w:rPr>
          <w:color w:val="1F664D"/>
          <w:w w:val="105"/>
          <w:sz w:val="22"/>
        </w:rPr>
        <w:t>Dynamics</w:t>
      </w:r>
    </w:p>
    <w:p>
      <w:pPr>
        <w:pStyle w:val="BodyText"/>
        <w:spacing w:before="7"/>
        <w:rPr>
          <w:sz w:val="25"/>
        </w:rPr>
      </w:pPr>
    </w:p>
    <w:p>
      <w:pPr>
        <w:spacing w:before="0"/>
        <w:ind w:left="680" w:right="0" w:firstLine="0"/>
        <w:jc w:val="left"/>
        <w:rPr>
          <w:i/>
          <w:sz w:val="20"/>
        </w:rPr>
      </w:pPr>
      <w:r>
        <w:rPr>
          <w:i/>
          <w:color w:val="008000"/>
          <w:sz w:val="22"/>
        </w:rPr>
        <w:t>15.2.1.1 </w:t>
      </w:r>
      <w:r>
        <w:rPr>
          <w:i/>
          <w:color w:val="008000"/>
          <w:sz w:val="20"/>
        </w:rPr>
        <w:t>Demand, Supply and Vacancy Trends </w:t>
      </w:r>
      <w:r>
        <w:rPr>
          <w:i/>
          <w:color w:val="008000"/>
          <w:w w:val="105"/>
          <w:sz w:val="20"/>
        </w:rPr>
        <w:t>– </w:t>
      </w:r>
      <w:r>
        <w:rPr>
          <w:i/>
          <w:color w:val="008000"/>
          <w:sz w:val="20"/>
        </w:rPr>
        <w:t>Bengaluru and EBD sub market</w:t>
      </w:r>
    </w:p>
    <w:p>
      <w:pPr>
        <w:pStyle w:val="BodyText"/>
        <w:spacing w:line="321" w:lineRule="auto" w:before="75"/>
        <w:ind w:left="1227" w:right="680"/>
        <w:jc w:val="both"/>
      </w:pPr>
      <w:r>
        <w:rPr/>
        <w:t>Total</w:t>
      </w:r>
      <w:r>
        <w:rPr>
          <w:spacing w:val="-29"/>
        </w:rPr>
        <w:t> </w:t>
      </w:r>
      <w:r>
        <w:rPr/>
        <w:t>completed</w:t>
      </w:r>
      <w:r>
        <w:rPr>
          <w:spacing w:val="-29"/>
        </w:rPr>
        <w:t> </w:t>
      </w:r>
      <w:r>
        <w:rPr/>
        <w:t>stock</w:t>
      </w:r>
      <w:r>
        <w:rPr>
          <w:spacing w:val="-29"/>
        </w:rPr>
        <w:t> </w:t>
      </w:r>
      <w:r>
        <w:rPr/>
        <w:t>in</w:t>
      </w:r>
      <w:r>
        <w:rPr>
          <w:spacing w:val="-31"/>
        </w:rPr>
        <w:t> </w:t>
      </w:r>
      <w:r>
        <w:rPr/>
        <w:t>Bengaluru</w:t>
      </w:r>
      <w:r>
        <w:rPr>
          <w:spacing w:val="-29"/>
        </w:rPr>
        <w:t> </w:t>
      </w:r>
      <w:r>
        <w:rPr/>
        <w:t>as</w:t>
      </w:r>
      <w:r>
        <w:rPr>
          <w:spacing w:val="-27"/>
        </w:rPr>
        <w:t> </w:t>
      </w:r>
      <w:r>
        <w:rPr/>
        <w:t>of</w:t>
      </w:r>
      <w:r>
        <w:rPr>
          <w:spacing w:val="-28"/>
        </w:rPr>
        <w:t> </w:t>
      </w:r>
      <w:r>
        <w:rPr/>
        <w:t>Q4,</w:t>
      </w:r>
      <w:r>
        <w:rPr>
          <w:spacing w:val="-28"/>
        </w:rPr>
        <w:t> </w:t>
      </w:r>
      <w:r>
        <w:rPr/>
        <w:t>2019</w:t>
      </w:r>
      <w:r>
        <w:rPr>
          <w:spacing w:val="-29"/>
        </w:rPr>
        <w:t> </w:t>
      </w:r>
      <w:r>
        <w:rPr/>
        <w:t>is</w:t>
      </w:r>
      <w:r>
        <w:rPr>
          <w:spacing w:val="-28"/>
        </w:rPr>
        <w:t> </w:t>
      </w:r>
      <w:r>
        <w:rPr/>
        <w:t>157.47</w:t>
      </w:r>
      <w:r>
        <w:rPr>
          <w:spacing w:val="-28"/>
        </w:rPr>
        <w:t> </w:t>
      </w:r>
      <w:r>
        <w:rPr/>
        <w:t>msf,</w:t>
      </w:r>
      <w:r>
        <w:rPr>
          <w:spacing w:val="-28"/>
        </w:rPr>
        <w:t> </w:t>
      </w:r>
      <w:r>
        <w:rPr/>
        <w:t>out</w:t>
      </w:r>
      <w:r>
        <w:rPr>
          <w:spacing w:val="-27"/>
        </w:rPr>
        <w:t> </w:t>
      </w:r>
      <w:r>
        <w:rPr/>
        <w:t>of</w:t>
      </w:r>
      <w:r>
        <w:rPr>
          <w:spacing w:val="-27"/>
        </w:rPr>
        <w:t> </w:t>
      </w:r>
      <w:r>
        <w:rPr/>
        <w:t>which</w:t>
      </w:r>
      <w:r>
        <w:rPr>
          <w:spacing w:val="-29"/>
        </w:rPr>
        <w:t> </w:t>
      </w:r>
      <w:r>
        <w:rPr/>
        <w:t>Extended</w:t>
      </w:r>
      <w:r>
        <w:rPr>
          <w:spacing w:val="-29"/>
        </w:rPr>
        <w:t> </w:t>
      </w:r>
      <w:r>
        <w:rPr/>
        <w:t>Business</w:t>
      </w:r>
      <w:r>
        <w:rPr>
          <w:spacing w:val="-29"/>
        </w:rPr>
        <w:t> </w:t>
      </w:r>
      <w:r>
        <w:rPr/>
        <w:t>District of Bengaluru account for Approx.</w:t>
      </w:r>
      <w:r>
        <w:rPr>
          <w:spacing w:val="-12"/>
        </w:rPr>
        <w:t> </w:t>
      </w:r>
      <w:r>
        <w:rPr/>
        <w:t>13.20%.</w:t>
      </w:r>
    </w:p>
    <w:p>
      <w:pPr>
        <w:pStyle w:val="BodyText"/>
        <w:spacing w:before="3"/>
        <w:rPr>
          <w:sz w:val="20"/>
        </w:rPr>
      </w:pPr>
    </w:p>
    <w:tbl>
      <w:tblPr>
        <w:tblW w:w="0" w:type="auto"/>
        <w:jc w:val="left"/>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15"/>
        <w:gridCol w:w="3537"/>
        <w:gridCol w:w="3219"/>
      </w:tblGrid>
      <w:tr>
        <w:trPr>
          <w:trHeight w:val="457" w:hRule="atLeast"/>
        </w:trPr>
        <w:tc>
          <w:tcPr>
            <w:tcW w:w="3615" w:type="dxa"/>
            <w:tcBorders>
              <w:top w:val="single" w:sz="12" w:space="0" w:color="1F6B16"/>
            </w:tcBorders>
            <w:shd w:val="clear" w:color="auto" w:fill="006A4D"/>
          </w:tcPr>
          <w:p>
            <w:pPr>
              <w:pStyle w:val="TableParagraph"/>
              <w:spacing w:before="125"/>
              <w:ind w:left="1634"/>
              <w:jc w:val="left"/>
              <w:rPr>
                <w:b/>
                <w:sz w:val="18"/>
              </w:rPr>
            </w:pPr>
            <w:r>
              <w:rPr>
                <w:b/>
                <w:color w:val="FFFFFF"/>
                <w:w w:val="105"/>
                <w:sz w:val="18"/>
              </w:rPr>
              <w:t>Particular</w:t>
            </w:r>
          </w:p>
        </w:tc>
        <w:tc>
          <w:tcPr>
            <w:tcW w:w="3537" w:type="dxa"/>
            <w:tcBorders>
              <w:top w:val="single" w:sz="12" w:space="0" w:color="1F6B16"/>
              <w:bottom w:val="single" w:sz="6" w:space="0" w:color="69BD28"/>
            </w:tcBorders>
            <w:shd w:val="clear" w:color="auto" w:fill="006A4D"/>
          </w:tcPr>
          <w:p>
            <w:pPr>
              <w:pStyle w:val="TableParagraph"/>
              <w:spacing w:before="125"/>
              <w:ind w:right="961"/>
              <w:jc w:val="right"/>
              <w:rPr>
                <w:b/>
                <w:sz w:val="18"/>
              </w:rPr>
            </w:pPr>
            <w:r>
              <w:rPr>
                <w:b/>
                <w:color w:val="FFFFFF"/>
                <w:w w:val="110"/>
                <w:sz w:val="18"/>
              </w:rPr>
              <w:t>Bengaluru</w:t>
            </w:r>
          </w:p>
        </w:tc>
        <w:tc>
          <w:tcPr>
            <w:tcW w:w="3219" w:type="dxa"/>
            <w:tcBorders>
              <w:top w:val="single" w:sz="12" w:space="0" w:color="1F6B16"/>
              <w:bottom w:val="single" w:sz="6" w:space="0" w:color="69BD28"/>
            </w:tcBorders>
            <w:shd w:val="clear" w:color="auto" w:fill="006A4D"/>
          </w:tcPr>
          <w:p>
            <w:pPr>
              <w:pStyle w:val="TableParagraph"/>
              <w:spacing w:before="125"/>
              <w:ind w:left="912" w:right="793"/>
              <w:rPr>
                <w:b/>
                <w:sz w:val="18"/>
              </w:rPr>
            </w:pPr>
            <w:r>
              <w:rPr>
                <w:b/>
                <w:color w:val="FFFFFF"/>
                <w:w w:val="110"/>
                <w:sz w:val="18"/>
              </w:rPr>
              <w:t>EBD</w:t>
            </w:r>
          </w:p>
        </w:tc>
      </w:tr>
      <w:tr>
        <w:trPr>
          <w:trHeight w:val="800" w:hRule="atLeast"/>
        </w:trPr>
        <w:tc>
          <w:tcPr>
            <w:tcW w:w="3615" w:type="dxa"/>
            <w:shd w:val="clear" w:color="auto" w:fill="69BD28"/>
          </w:tcPr>
          <w:p>
            <w:pPr>
              <w:pStyle w:val="TableParagraph"/>
              <w:spacing w:line="321" w:lineRule="auto" w:before="123"/>
              <w:ind w:left="1606" w:right="230" w:hanging="1287"/>
              <w:jc w:val="left"/>
              <w:rPr>
                <w:sz w:val="18"/>
              </w:rPr>
            </w:pPr>
            <w:r>
              <w:rPr>
                <w:color w:val="FFFFFF"/>
                <w:sz w:val="18"/>
              </w:rPr>
              <w:t>Cumulative</w:t>
            </w:r>
            <w:r>
              <w:rPr>
                <w:color w:val="FFFFFF"/>
                <w:spacing w:val="-27"/>
                <w:sz w:val="18"/>
              </w:rPr>
              <w:t> </w:t>
            </w:r>
            <w:r>
              <w:rPr>
                <w:color w:val="FFFFFF"/>
                <w:sz w:val="18"/>
              </w:rPr>
              <w:t>completed</w:t>
            </w:r>
            <w:r>
              <w:rPr>
                <w:color w:val="FFFFFF"/>
                <w:spacing w:val="-28"/>
                <w:sz w:val="18"/>
              </w:rPr>
              <w:t> </w:t>
            </w:r>
            <w:r>
              <w:rPr>
                <w:color w:val="FFFFFF"/>
                <w:sz w:val="18"/>
              </w:rPr>
              <w:t>office</w:t>
            </w:r>
            <w:r>
              <w:rPr>
                <w:color w:val="FFFFFF"/>
                <w:spacing w:val="-26"/>
                <w:sz w:val="18"/>
              </w:rPr>
              <w:t> </w:t>
            </w:r>
            <w:r>
              <w:rPr>
                <w:color w:val="FFFFFF"/>
                <w:sz w:val="18"/>
              </w:rPr>
              <w:t>stock</w:t>
            </w:r>
            <w:r>
              <w:rPr>
                <w:color w:val="FFFFFF"/>
                <w:spacing w:val="-28"/>
                <w:sz w:val="18"/>
              </w:rPr>
              <w:t> </w:t>
            </w:r>
            <w:r>
              <w:rPr>
                <w:color w:val="FFFFFF"/>
                <w:sz w:val="18"/>
              </w:rPr>
              <w:t>(Q4 2019)</w:t>
            </w:r>
          </w:p>
        </w:tc>
        <w:tc>
          <w:tcPr>
            <w:tcW w:w="3537" w:type="dxa"/>
            <w:tcBorders>
              <w:top w:val="single" w:sz="6" w:space="0" w:color="69BD28"/>
              <w:bottom w:val="single" w:sz="6" w:space="0" w:color="69BD28"/>
            </w:tcBorders>
          </w:tcPr>
          <w:p>
            <w:pPr>
              <w:pStyle w:val="TableParagraph"/>
              <w:spacing w:before="9"/>
              <w:jc w:val="left"/>
              <w:rPr>
                <w:sz w:val="22"/>
              </w:rPr>
            </w:pPr>
          </w:p>
          <w:p>
            <w:pPr>
              <w:pStyle w:val="TableParagraph"/>
              <w:ind w:right="925"/>
              <w:jc w:val="right"/>
              <w:rPr>
                <w:sz w:val="18"/>
              </w:rPr>
            </w:pPr>
            <w:r>
              <w:rPr>
                <w:sz w:val="18"/>
              </w:rPr>
              <w:t>Approx. 157.47 msf</w:t>
            </w:r>
          </w:p>
        </w:tc>
        <w:tc>
          <w:tcPr>
            <w:tcW w:w="3219" w:type="dxa"/>
            <w:tcBorders>
              <w:top w:val="single" w:sz="6" w:space="0" w:color="69BD28"/>
              <w:bottom w:val="single" w:sz="6" w:space="0" w:color="69BD28"/>
            </w:tcBorders>
          </w:tcPr>
          <w:p>
            <w:pPr>
              <w:pStyle w:val="TableParagraph"/>
              <w:spacing w:before="9"/>
              <w:jc w:val="left"/>
              <w:rPr>
                <w:sz w:val="22"/>
              </w:rPr>
            </w:pPr>
          </w:p>
          <w:p>
            <w:pPr>
              <w:pStyle w:val="TableParagraph"/>
              <w:ind w:left="914" w:right="793"/>
              <w:rPr>
                <w:sz w:val="18"/>
              </w:rPr>
            </w:pPr>
            <w:r>
              <w:rPr>
                <w:sz w:val="18"/>
              </w:rPr>
              <w:t>Approx. 20.76 msf</w:t>
            </w:r>
          </w:p>
        </w:tc>
      </w:tr>
      <w:tr>
        <w:trPr>
          <w:trHeight w:val="525" w:hRule="atLeast"/>
        </w:trPr>
        <w:tc>
          <w:tcPr>
            <w:tcW w:w="3615" w:type="dxa"/>
            <w:shd w:val="clear" w:color="auto" w:fill="69BD28"/>
          </w:tcPr>
          <w:p>
            <w:pPr>
              <w:pStyle w:val="TableParagraph"/>
              <w:spacing w:before="128"/>
              <w:ind w:left="348"/>
              <w:jc w:val="left"/>
              <w:rPr>
                <w:sz w:val="18"/>
              </w:rPr>
            </w:pPr>
            <w:r>
              <w:rPr>
                <w:color w:val="FFFFFF"/>
                <w:sz w:val="18"/>
              </w:rPr>
              <w:t>Cumulative occupied stock (Q4 2019)</w:t>
            </w:r>
          </w:p>
        </w:tc>
        <w:tc>
          <w:tcPr>
            <w:tcW w:w="3537" w:type="dxa"/>
            <w:tcBorders>
              <w:top w:val="single" w:sz="6" w:space="0" w:color="69BD28"/>
              <w:bottom w:val="single" w:sz="6" w:space="0" w:color="69BD28"/>
            </w:tcBorders>
          </w:tcPr>
          <w:p>
            <w:pPr>
              <w:pStyle w:val="TableParagraph"/>
              <w:spacing w:before="128"/>
              <w:ind w:right="925"/>
              <w:jc w:val="right"/>
              <w:rPr>
                <w:sz w:val="18"/>
              </w:rPr>
            </w:pPr>
            <w:r>
              <w:rPr>
                <w:sz w:val="18"/>
              </w:rPr>
              <w:t>Approx. 151.00 msf</w:t>
            </w:r>
          </w:p>
        </w:tc>
        <w:tc>
          <w:tcPr>
            <w:tcW w:w="3219" w:type="dxa"/>
            <w:tcBorders>
              <w:top w:val="single" w:sz="6" w:space="0" w:color="69BD28"/>
              <w:bottom w:val="single" w:sz="6" w:space="0" w:color="69BD28"/>
            </w:tcBorders>
          </w:tcPr>
          <w:p>
            <w:pPr>
              <w:pStyle w:val="TableParagraph"/>
              <w:spacing w:before="128"/>
              <w:ind w:left="914" w:right="793"/>
              <w:rPr>
                <w:sz w:val="18"/>
              </w:rPr>
            </w:pPr>
            <w:r>
              <w:rPr>
                <w:sz w:val="18"/>
              </w:rPr>
              <w:t>Approx. 20.52 msf</w:t>
            </w:r>
          </w:p>
        </w:tc>
      </w:tr>
      <w:tr>
        <w:trPr>
          <w:trHeight w:val="525" w:hRule="atLeast"/>
        </w:trPr>
        <w:tc>
          <w:tcPr>
            <w:tcW w:w="3615" w:type="dxa"/>
            <w:shd w:val="clear" w:color="auto" w:fill="69BD28"/>
          </w:tcPr>
          <w:p>
            <w:pPr>
              <w:pStyle w:val="TableParagraph"/>
              <w:spacing w:before="128"/>
              <w:ind w:left="758"/>
              <w:jc w:val="left"/>
              <w:rPr>
                <w:sz w:val="18"/>
              </w:rPr>
            </w:pPr>
            <w:r>
              <w:rPr>
                <w:color w:val="FFFFFF"/>
                <w:sz w:val="18"/>
              </w:rPr>
              <w:t>Current vacancy (Q4 2019)</w:t>
            </w:r>
          </w:p>
        </w:tc>
        <w:tc>
          <w:tcPr>
            <w:tcW w:w="3537" w:type="dxa"/>
            <w:tcBorders>
              <w:top w:val="single" w:sz="6" w:space="0" w:color="69BD28"/>
              <w:bottom w:val="single" w:sz="6" w:space="0" w:color="69BD28"/>
            </w:tcBorders>
          </w:tcPr>
          <w:p>
            <w:pPr>
              <w:pStyle w:val="TableParagraph"/>
              <w:spacing w:before="128"/>
              <w:ind w:left="1245" w:right="1151"/>
              <w:rPr>
                <w:sz w:val="18"/>
              </w:rPr>
            </w:pPr>
            <w:r>
              <w:rPr>
                <w:w w:val="105"/>
                <w:sz w:val="18"/>
              </w:rPr>
              <w:t>Approx. 4.1%</w:t>
            </w:r>
          </w:p>
        </w:tc>
        <w:tc>
          <w:tcPr>
            <w:tcW w:w="3219" w:type="dxa"/>
            <w:tcBorders>
              <w:top w:val="single" w:sz="6" w:space="0" w:color="69BD28"/>
              <w:bottom w:val="single" w:sz="6" w:space="0" w:color="69BD28"/>
            </w:tcBorders>
          </w:tcPr>
          <w:p>
            <w:pPr>
              <w:pStyle w:val="TableParagraph"/>
              <w:spacing w:before="128"/>
              <w:ind w:left="910" w:right="793"/>
              <w:rPr>
                <w:sz w:val="18"/>
              </w:rPr>
            </w:pPr>
            <w:r>
              <w:rPr>
                <w:w w:val="105"/>
                <w:sz w:val="18"/>
              </w:rPr>
              <w:t>Approx. 1.2%</w:t>
            </w:r>
          </w:p>
        </w:tc>
      </w:tr>
      <w:tr>
        <w:trPr>
          <w:trHeight w:val="808" w:hRule="atLeast"/>
        </w:trPr>
        <w:tc>
          <w:tcPr>
            <w:tcW w:w="3615" w:type="dxa"/>
            <w:shd w:val="clear" w:color="auto" w:fill="69BD28"/>
          </w:tcPr>
          <w:p>
            <w:pPr>
              <w:pStyle w:val="TableParagraph"/>
              <w:spacing w:before="130"/>
              <w:ind w:left="102" w:right="24"/>
              <w:rPr>
                <w:sz w:val="18"/>
              </w:rPr>
            </w:pPr>
            <w:r>
              <w:rPr>
                <w:color w:val="FFFFFF"/>
                <w:w w:val="105"/>
                <w:sz w:val="18"/>
              </w:rPr>
              <w:t>Average annual office absorption (2014 –</w:t>
            </w:r>
          </w:p>
          <w:p>
            <w:pPr>
              <w:pStyle w:val="TableParagraph"/>
              <w:spacing w:before="72"/>
              <w:ind w:left="97" w:right="24"/>
              <w:rPr>
                <w:sz w:val="18"/>
              </w:rPr>
            </w:pPr>
            <w:r>
              <w:rPr>
                <w:color w:val="FFFFFF"/>
                <w:w w:val="105"/>
                <w:sz w:val="18"/>
              </w:rPr>
              <w:t>2019)</w:t>
            </w:r>
          </w:p>
        </w:tc>
        <w:tc>
          <w:tcPr>
            <w:tcW w:w="3537" w:type="dxa"/>
            <w:tcBorders>
              <w:top w:val="single" w:sz="6" w:space="0" w:color="69BD28"/>
              <w:bottom w:val="single" w:sz="6" w:space="0" w:color="69BD28"/>
            </w:tcBorders>
          </w:tcPr>
          <w:p>
            <w:pPr>
              <w:pStyle w:val="TableParagraph"/>
              <w:spacing w:before="2"/>
              <w:jc w:val="left"/>
              <w:rPr>
                <w:sz w:val="23"/>
              </w:rPr>
            </w:pPr>
          </w:p>
          <w:p>
            <w:pPr>
              <w:pStyle w:val="TableParagraph"/>
              <w:spacing w:before="1"/>
              <w:ind w:left="1464"/>
              <w:jc w:val="left"/>
              <w:rPr>
                <w:sz w:val="18"/>
              </w:rPr>
            </w:pPr>
            <w:r>
              <w:rPr>
                <w:w w:val="105"/>
                <w:sz w:val="18"/>
              </w:rPr>
              <w:t>11.3 msf</w:t>
            </w:r>
          </w:p>
        </w:tc>
        <w:tc>
          <w:tcPr>
            <w:tcW w:w="3219" w:type="dxa"/>
            <w:tcBorders>
              <w:top w:val="single" w:sz="6" w:space="0" w:color="69BD28"/>
              <w:bottom w:val="single" w:sz="6" w:space="0" w:color="69BD28"/>
            </w:tcBorders>
          </w:tcPr>
          <w:p>
            <w:pPr>
              <w:pStyle w:val="TableParagraph"/>
              <w:spacing w:before="2"/>
              <w:jc w:val="left"/>
              <w:rPr>
                <w:sz w:val="23"/>
              </w:rPr>
            </w:pPr>
          </w:p>
          <w:p>
            <w:pPr>
              <w:pStyle w:val="TableParagraph"/>
              <w:spacing w:before="1"/>
              <w:ind w:left="1317"/>
              <w:jc w:val="left"/>
              <w:rPr>
                <w:sz w:val="18"/>
              </w:rPr>
            </w:pPr>
            <w:r>
              <w:rPr>
                <w:w w:val="105"/>
                <w:sz w:val="18"/>
              </w:rPr>
              <w:t>1.10 msf</w:t>
            </w:r>
          </w:p>
        </w:tc>
      </w:tr>
    </w:tbl>
    <w:p>
      <w:pPr>
        <w:spacing w:before="8"/>
        <w:ind w:left="1246" w:right="0" w:firstLine="0"/>
        <w:jc w:val="both"/>
        <w:rPr>
          <w:i/>
          <w:sz w:val="18"/>
        </w:rPr>
      </w:pPr>
      <w:r>
        <w:rPr>
          <w:i/>
          <w:sz w:val="18"/>
        </w:rPr>
        <w:t>Source: CBRE Research</w:t>
      </w:r>
    </w:p>
    <w:p>
      <w:pPr>
        <w:spacing w:after="0"/>
        <w:jc w:val="both"/>
        <w:rPr>
          <w:sz w:val="18"/>
        </w:rPr>
        <w:sectPr>
          <w:pgSz w:w="11910" w:h="16840"/>
          <w:pgMar w:header="720" w:footer="862" w:top="1660" w:bottom="1060" w:left="40" w:right="40"/>
        </w:sectPr>
      </w:pPr>
    </w:p>
    <w:p>
      <w:pPr>
        <w:pStyle w:val="BodyText"/>
        <w:spacing w:before="4"/>
        <w:rPr>
          <w:i/>
          <w:sz w:val="18"/>
        </w:rPr>
      </w:pPr>
    </w:p>
    <w:p>
      <w:pPr>
        <w:pStyle w:val="BodyText"/>
        <w:ind w:left="113"/>
        <w:rPr>
          <w:sz w:val="20"/>
        </w:rPr>
      </w:pPr>
      <w:r>
        <w:rPr>
          <w:sz w:val="20"/>
        </w:rPr>
        <w:pict>
          <v:group style="width:580.2pt;height:15.5pt;mso-position-horizontal-relative:char;mso-position-vertical-relative:line" coordorigin="0,0" coordsize="11604,310">
            <v:rect style="position:absolute;left:0;top:28;width:11604;height:281" filled="true" fillcolor="#006a4d" stroked="false">
              <v:fill type="solid"/>
            </v:rect>
            <v:rect style="position:absolute;left:0;top:0;width:11602;height:29" filled="true" fillcolor="#1f6b16" stroked="false">
              <v:fill type="solid"/>
            </v:rect>
            <v:rect style="position:absolute;left:0;top:28;width:11602;height:3" filled="true" fillcolor="#006a4d" stroked="false">
              <v:fill type="solid"/>
            </v:rect>
            <v:shape style="position:absolute;left:0;top:0;width:11604;height:310" type="#_x0000_t202" filled="false" stroked="false">
              <v:textbox inset="0,0,0,0">
                <w:txbxContent>
                  <w:p>
                    <w:pPr>
                      <w:spacing w:before="66"/>
                      <w:ind w:left="3889" w:right="3889" w:firstLine="0"/>
                      <w:jc w:val="center"/>
                      <w:rPr>
                        <w:b/>
                        <w:sz w:val="18"/>
                      </w:rPr>
                    </w:pPr>
                    <w:r>
                      <w:rPr>
                        <w:b/>
                        <w:color w:val="FFFFFF"/>
                        <w:w w:val="115"/>
                        <w:sz w:val="18"/>
                      </w:rPr>
                      <w:t>Demand – Supply Dynamics (Bengaluru)</w:t>
                    </w:r>
                  </w:p>
                </w:txbxContent>
              </v:textbox>
              <w10:wrap type="none"/>
            </v:shape>
          </v:group>
        </w:pict>
      </w:r>
      <w:r>
        <w:rPr>
          <w:sz w:val="20"/>
        </w:rPr>
      </w:r>
    </w:p>
    <w:p>
      <w:pPr>
        <w:pStyle w:val="BodyText"/>
        <w:spacing w:before="10"/>
        <w:rPr>
          <w:i/>
          <w:sz w:val="11"/>
        </w:rPr>
      </w:pPr>
    </w:p>
    <w:p>
      <w:pPr>
        <w:spacing w:after="0"/>
        <w:rPr>
          <w:sz w:val="11"/>
        </w:rPr>
        <w:sectPr>
          <w:pgSz w:w="11910" w:h="16840"/>
          <w:pgMar w:header="720" w:footer="862" w:top="1660" w:bottom="1060" w:left="40" w:right="40"/>
        </w:sectPr>
      </w:pPr>
    </w:p>
    <w:p>
      <w:pPr>
        <w:pStyle w:val="Heading4"/>
        <w:spacing w:before="106"/>
        <w:jc w:val="right"/>
      </w:pPr>
      <w:r>
        <w:rPr>
          <w:w w:val="105"/>
        </w:rPr>
        <w:t>16.0</w:t>
      </w:r>
    </w:p>
    <w:p>
      <w:pPr>
        <w:spacing w:before="13"/>
        <w:ind w:left="0" w:right="0" w:firstLine="0"/>
        <w:jc w:val="right"/>
        <w:rPr>
          <w:sz w:val="24"/>
        </w:rPr>
      </w:pPr>
      <w:r>
        <w:rPr/>
        <w:pict>
          <v:shape style="position:absolute;margin-left:64.749306pt;margin-top:11.679636pt;width:16.4pt;height:120.55pt;mso-position-horizontal-relative:page;mso-position-vertical-relative:paragraph;z-index:16470528" type="#_x0000_t202" filled="false" stroked="false">
            <v:textbox inset="0,0,0,0" style="layout-flow:vertical;mso-layout-flow-alt:bottom-to-top">
              <w:txbxContent>
                <w:p>
                  <w:pPr>
                    <w:spacing w:before="25"/>
                    <w:ind w:left="20" w:right="0" w:firstLine="0"/>
                    <w:jc w:val="left"/>
                    <w:rPr>
                      <w:sz w:val="24"/>
                    </w:rPr>
                  </w:pPr>
                  <w:r>
                    <w:rPr>
                      <w:w w:val="95"/>
                      <w:sz w:val="24"/>
                    </w:rPr>
                    <w:t>Suply/Absorption (msf)</w:t>
                  </w:r>
                </w:p>
              </w:txbxContent>
            </v:textbox>
            <w10:wrap type="none"/>
          </v:shape>
        </w:pict>
      </w:r>
      <w:r>
        <w:rPr>
          <w:w w:val="105"/>
          <w:sz w:val="24"/>
        </w:rPr>
        <w:t>14.0</w:t>
      </w:r>
    </w:p>
    <w:p>
      <w:pPr>
        <w:spacing w:before="12"/>
        <w:ind w:left="0" w:right="0" w:firstLine="0"/>
        <w:jc w:val="right"/>
        <w:rPr>
          <w:sz w:val="24"/>
        </w:rPr>
      </w:pPr>
      <w:r>
        <w:rPr>
          <w:w w:val="105"/>
          <w:sz w:val="24"/>
        </w:rPr>
        <w:t>12.0</w:t>
      </w:r>
    </w:p>
    <w:p>
      <w:pPr>
        <w:spacing w:before="13"/>
        <w:ind w:left="0" w:right="0" w:firstLine="0"/>
        <w:jc w:val="right"/>
        <w:rPr>
          <w:sz w:val="24"/>
        </w:rPr>
      </w:pPr>
      <w:r>
        <w:rPr>
          <w:w w:val="105"/>
          <w:sz w:val="24"/>
        </w:rPr>
        <w:t>10.0</w:t>
      </w:r>
    </w:p>
    <w:p>
      <w:pPr>
        <w:spacing w:before="12"/>
        <w:ind w:left="0" w:right="0" w:firstLine="0"/>
        <w:jc w:val="right"/>
        <w:rPr>
          <w:sz w:val="24"/>
        </w:rPr>
      </w:pPr>
      <w:r>
        <w:rPr>
          <w:sz w:val="24"/>
        </w:rPr>
        <w:t>8.0</w:t>
      </w:r>
    </w:p>
    <w:p>
      <w:pPr>
        <w:spacing w:before="12"/>
        <w:ind w:left="0" w:right="0" w:firstLine="0"/>
        <w:jc w:val="right"/>
        <w:rPr>
          <w:sz w:val="24"/>
        </w:rPr>
      </w:pPr>
      <w:r>
        <w:rPr>
          <w:sz w:val="24"/>
        </w:rPr>
        <w:t>6.0</w:t>
      </w:r>
    </w:p>
    <w:p>
      <w:pPr>
        <w:spacing w:before="12"/>
        <w:ind w:left="0" w:right="0" w:firstLine="0"/>
        <w:jc w:val="right"/>
        <w:rPr>
          <w:sz w:val="24"/>
        </w:rPr>
      </w:pPr>
      <w:r>
        <w:rPr>
          <w:sz w:val="24"/>
        </w:rPr>
        <w:t>4.0</w:t>
      </w:r>
    </w:p>
    <w:p>
      <w:pPr>
        <w:spacing w:before="12"/>
        <w:ind w:left="0" w:right="0" w:firstLine="0"/>
        <w:jc w:val="right"/>
        <w:rPr>
          <w:sz w:val="24"/>
        </w:rPr>
      </w:pPr>
      <w:r>
        <w:rPr>
          <w:sz w:val="24"/>
        </w:rPr>
        <w:t>2.0</w:t>
      </w:r>
    </w:p>
    <w:p>
      <w:pPr>
        <w:spacing w:before="13"/>
        <w:ind w:left="0" w:right="1" w:firstLine="0"/>
        <w:jc w:val="right"/>
        <w:rPr>
          <w:sz w:val="24"/>
        </w:rPr>
      </w:pPr>
      <w:r>
        <w:rPr>
          <w:w w:val="112"/>
          <w:sz w:val="24"/>
        </w:rPr>
        <w:t>0</w:t>
      </w:r>
    </w:p>
    <w:p>
      <w:pPr>
        <w:pStyle w:val="BodyText"/>
        <w:rPr>
          <w:sz w:val="28"/>
        </w:rPr>
      </w:pPr>
      <w:r>
        <w:rPr/>
        <w:br w:type="column"/>
      </w:r>
      <w:r>
        <w:rPr>
          <w:sz w:val="28"/>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40"/>
        </w:rPr>
      </w:pPr>
    </w:p>
    <w:p>
      <w:pPr>
        <w:tabs>
          <w:tab w:pos="1496" w:val="left" w:leader="none"/>
          <w:tab w:pos="2563" w:val="left" w:leader="none"/>
          <w:tab w:pos="3629" w:val="left" w:leader="none"/>
          <w:tab w:pos="4696" w:val="left" w:leader="none"/>
          <w:tab w:pos="5762" w:val="left" w:leader="none"/>
        </w:tabs>
        <w:spacing w:before="0"/>
        <w:ind w:left="429" w:right="0" w:firstLine="0"/>
        <w:jc w:val="left"/>
        <w:rPr>
          <w:sz w:val="24"/>
        </w:rPr>
      </w:pPr>
      <w:r>
        <w:rPr>
          <w:w w:val="110"/>
          <w:sz w:val="24"/>
        </w:rPr>
        <w:t>2014</w:t>
        <w:tab/>
        <w:t>2015</w:t>
        <w:tab/>
        <w:t>2016</w:t>
        <w:tab/>
        <w:t>2017</w:t>
        <w:tab/>
        <w:t>2018</w:t>
        <w:tab/>
      </w:r>
      <w:r>
        <w:rPr>
          <w:spacing w:val="-5"/>
          <w:w w:val="110"/>
          <w:sz w:val="24"/>
        </w:rPr>
        <w:t>2019</w:t>
      </w:r>
    </w:p>
    <w:p>
      <w:pPr>
        <w:spacing w:before="106"/>
        <w:ind w:left="431" w:right="0" w:firstLine="0"/>
        <w:jc w:val="left"/>
        <w:rPr>
          <w:sz w:val="24"/>
        </w:rPr>
      </w:pPr>
      <w:r>
        <w:rPr/>
        <w:br w:type="column"/>
      </w:r>
      <w:r>
        <w:rPr>
          <w:w w:val="110"/>
          <w:sz w:val="24"/>
        </w:rPr>
        <w:t>12.0%</w:t>
      </w:r>
    </w:p>
    <w:p>
      <w:pPr>
        <w:spacing w:before="110"/>
        <w:ind w:left="431" w:right="0" w:firstLine="0"/>
        <w:jc w:val="left"/>
        <w:rPr>
          <w:sz w:val="24"/>
        </w:rPr>
      </w:pPr>
      <w:r>
        <w:rPr/>
        <w:pict>
          <v:group style="position:absolute;margin-left:131.029999pt;margin-top:-16.018444pt;width:327.650pt;height:126.75pt;mso-position-horizontal-relative:page;mso-position-vertical-relative:paragraph;z-index:16465920" coordorigin="2621,-320" coordsize="6553,2535">
            <v:rect style="position:absolute;left:2786;top:643;width:444;height:1556" filled="true" fillcolor="#006a4d" stroked="false">
              <v:fill type="solid"/>
            </v:rect>
            <v:rect style="position:absolute;left:3230;top:574;width:444;height:1625" filled="true" fillcolor="#69bd28" stroked="false">
              <v:fill type="solid"/>
            </v:rect>
            <v:rect style="position:absolute;left:3852;top:355;width:447;height:1844" filled="true" fillcolor="#006a4d" stroked="false">
              <v:fill type="solid"/>
            </v:rect>
            <v:rect style="position:absolute;left:4298;top:447;width:444;height:1753" filled="true" fillcolor="#69bd28" stroked="false">
              <v:fill type="solid"/>
            </v:rect>
            <v:rect style="position:absolute;left:4920;top:1044;width:444;height:1155" filled="true" fillcolor="#006a4d" stroked="false">
              <v:fill type="solid"/>
            </v:rect>
            <v:rect style="position:absolute;left:5364;top:466;width:444;height:1733" filled="true" fillcolor="#69bd28" stroked="false">
              <v:fill type="solid"/>
            </v:rect>
            <v:rect style="position:absolute;left:5985;top:1073;width:444;height:1126" filled="true" fillcolor="#006a4d" stroked="false">
              <v:fill type="solid"/>
            </v:rect>
            <v:rect style="position:absolute;left:6429;top:847;width:444;height:1352" filled="true" fillcolor="#69bd28" stroked="false">
              <v:fill type="solid"/>
            </v:rect>
            <v:rect style="position:absolute;left:7051;top:463;width:447;height:1736" filled="true" fillcolor="#006a4d" stroked="false">
              <v:fill type="solid"/>
            </v:rect>
            <v:rect style="position:absolute;left:7497;top:259;width:444;height:1940" filled="true" fillcolor="#69bd28" stroked="false">
              <v:fill type="solid"/>
            </v:rect>
            <v:rect style="position:absolute;left:8119;top:627;width:444;height:1573" filled="true" fillcolor="#006a4d" stroked="false">
              <v:fill type="solid"/>
            </v:rect>
            <v:rect style="position:absolute;left:8563;top:775;width:444;height:1424" filled="true" fillcolor="#69bd28" stroked="false">
              <v:fill type="solid"/>
            </v:rect>
            <v:shape style="position:absolute;left:2620;top:-128;width:6553;height:2328" coordorigin="2621,-128" coordsize="6553,2328" path="m9096,2199l9096,-128m9096,2199l9173,2199m9096,1810l9173,1810m9096,1424l9173,1424m9096,1035l9173,1035m9096,649l9173,649m9096,260l9173,260m9096,-128l9173,-128m2698,2199l2698,-128m2621,2199l2698,2199m2621,1909l2698,1909m2621,1618l2698,1618m2621,1326l2698,1326m2621,1035l2698,1035m2621,745l2698,745m2621,454l2698,454m2621,164l2698,164m2621,-128l2698,-128m2698,2199l9096,2199e" filled="false" stroked="true" strokeweight="1.5pt" strokecolor="#000000">
              <v:path arrowok="t"/>
              <v:stroke dashstyle="solid"/>
            </v:shape>
            <v:shape style="position:absolute;left:3231;top:55;width:5332;height:1425" coordorigin="3231,56" coordsize="5332,1425" path="m3231,56l4298,181,5364,915,6430,1213,7498,1480,8563,1402e" filled="false" stroked="true" strokeweight=".25pt" strokecolor="#c00000">
              <v:path arrowok="t"/>
              <v:stroke dashstyle="solid"/>
            </v:shape>
            <v:shape style="position:absolute;left:3152;top:-20;width:154;height:154" type="#_x0000_t75" stroked="false">
              <v:imagedata r:id="rId274" o:title=""/>
            </v:shape>
            <v:shape style="position:absolute;left:4220;top:104;width:154;height:154" type="#_x0000_t75" stroked="false">
              <v:imagedata r:id="rId275" o:title=""/>
            </v:shape>
            <v:shape style="position:absolute;left:5286;top:839;width:154;height:154" type="#_x0000_t75" stroked="false">
              <v:imagedata r:id="rId275" o:title=""/>
            </v:shape>
            <v:shape style="position:absolute;left:6351;top:1136;width:154;height:154" type="#_x0000_t75" stroked="false">
              <v:imagedata r:id="rId276" o:title=""/>
            </v:shape>
            <v:shape style="position:absolute;left:7419;top:1403;width:154;height:154" type="#_x0000_t75" stroked="false">
              <v:imagedata r:id="rId274" o:title=""/>
            </v:shape>
            <v:shape style="position:absolute;left:8485;top:1326;width:154;height:154" type="#_x0000_t75" stroked="false">
              <v:imagedata r:id="rId277" o:title=""/>
            </v:shape>
            <v:shape style="position:absolute;left:2978;top:-321;width:523;height:216" type="#_x0000_t202" filled="false" stroked="false">
              <v:textbox inset="0,0,0,0">
                <w:txbxContent>
                  <w:p>
                    <w:pPr>
                      <w:spacing w:before="4"/>
                      <w:ind w:left="0" w:right="0" w:firstLine="0"/>
                      <w:jc w:val="left"/>
                      <w:rPr>
                        <w:sz w:val="18"/>
                      </w:rPr>
                    </w:pPr>
                    <w:r>
                      <w:rPr>
                        <w:w w:val="110"/>
                        <w:sz w:val="18"/>
                      </w:rPr>
                      <w:t>11.1%</w:t>
                    </w:r>
                  </w:p>
                </w:txbxContent>
              </v:textbox>
              <w10:wrap type="none"/>
            </v:shape>
            <v:shape style="position:absolute;left:4045;top:-195;width:523;height:216" type="#_x0000_t202" filled="false" stroked="false">
              <v:textbox inset="0,0,0,0">
                <w:txbxContent>
                  <w:p>
                    <w:pPr>
                      <w:spacing w:before="4"/>
                      <w:ind w:left="0" w:right="0" w:firstLine="0"/>
                      <w:jc w:val="left"/>
                      <w:rPr>
                        <w:sz w:val="18"/>
                      </w:rPr>
                    </w:pPr>
                    <w:r>
                      <w:rPr>
                        <w:w w:val="110"/>
                        <w:sz w:val="18"/>
                      </w:rPr>
                      <w:t>10.4%</w:t>
                    </w:r>
                  </w:p>
                </w:txbxContent>
              </v:textbox>
              <w10:wrap type="none"/>
            </v:shape>
            <v:shape style="position:absolute;left:5438;top:664;width:418;height:216" type="#_x0000_t202" filled="false" stroked="false">
              <v:textbox inset="0,0,0,0">
                <w:txbxContent>
                  <w:p>
                    <w:pPr>
                      <w:spacing w:before="4"/>
                      <w:ind w:left="0" w:right="0" w:firstLine="0"/>
                      <w:jc w:val="left"/>
                      <w:rPr>
                        <w:sz w:val="18"/>
                      </w:rPr>
                    </w:pPr>
                    <w:r>
                      <w:rPr>
                        <w:w w:val="110"/>
                        <w:sz w:val="18"/>
                      </w:rPr>
                      <w:t>6.6%</w:t>
                    </w:r>
                  </w:p>
                </w:txbxContent>
              </v:textbox>
              <w10:wrap type="none"/>
            </v:shape>
            <v:shape style="position:absolute;left:6230;top:837;width:418;height:216" type="#_x0000_t202" filled="false" stroked="false">
              <v:textbox inset="0,0,0,0">
                <w:txbxContent>
                  <w:p>
                    <w:pPr>
                      <w:spacing w:before="4"/>
                      <w:ind w:left="0" w:right="0" w:firstLine="0"/>
                      <w:jc w:val="left"/>
                      <w:rPr>
                        <w:sz w:val="18"/>
                      </w:rPr>
                    </w:pPr>
                    <w:r>
                      <w:rPr>
                        <w:w w:val="110"/>
                        <w:sz w:val="18"/>
                      </w:rPr>
                      <w:t>5.1%</w:t>
                    </w:r>
                  </w:p>
                </w:txbxContent>
              </v:textbox>
              <w10:wrap type="none"/>
            </v:shape>
            <v:shape style="position:absolute;left:7537;top:1152;width:418;height:216" type="#_x0000_t202" filled="false" stroked="false">
              <v:textbox inset="0,0,0,0">
                <w:txbxContent>
                  <w:p>
                    <w:pPr>
                      <w:spacing w:before="4"/>
                      <w:ind w:left="0" w:right="0" w:firstLine="0"/>
                      <w:jc w:val="left"/>
                      <w:rPr>
                        <w:sz w:val="18"/>
                      </w:rPr>
                    </w:pPr>
                    <w:r>
                      <w:rPr>
                        <w:w w:val="110"/>
                        <w:sz w:val="18"/>
                      </w:rPr>
                      <w:t>3.7%</w:t>
                    </w:r>
                  </w:p>
                </w:txbxContent>
              </v:textbox>
              <w10:wrap type="none"/>
            </v:shape>
            <v:shape style="position:absolute;left:8706;top:1101;width:418;height:216" type="#_x0000_t202" filled="false" stroked="false">
              <v:textbox inset="0,0,0,0">
                <w:txbxContent>
                  <w:p>
                    <w:pPr>
                      <w:spacing w:before="4"/>
                      <w:ind w:left="0" w:right="0" w:firstLine="0"/>
                      <w:jc w:val="left"/>
                      <w:rPr>
                        <w:sz w:val="18"/>
                      </w:rPr>
                    </w:pPr>
                    <w:r>
                      <w:rPr>
                        <w:w w:val="110"/>
                        <w:sz w:val="18"/>
                      </w:rPr>
                      <w:t>4.1%</w:t>
                    </w:r>
                  </w:p>
                </w:txbxContent>
              </v:textbox>
              <w10:wrap type="none"/>
            </v:shape>
            <v:shape style="position:absolute;left:2840;top:1917;width:355;height:193" type="#_x0000_t202" filled="false" stroked="false">
              <v:textbox inset="0,0,0,0">
                <w:txbxContent>
                  <w:p>
                    <w:pPr>
                      <w:spacing w:before="4"/>
                      <w:ind w:left="0" w:right="0" w:firstLine="0"/>
                      <w:jc w:val="left"/>
                      <w:rPr>
                        <w:sz w:val="16"/>
                      </w:rPr>
                    </w:pPr>
                    <w:r>
                      <w:rPr>
                        <w:color w:val="FFFFFF"/>
                        <w:w w:val="105"/>
                        <w:sz w:val="16"/>
                      </w:rPr>
                      <w:t>10.7</w:t>
                    </w:r>
                  </w:p>
                </w:txbxContent>
              </v:textbox>
              <w10:wrap type="none"/>
            </v:shape>
            <v:shape style="position:absolute;left:3906;top:1917;width:5018;height:193" type="#_x0000_t202" filled="false" stroked="false">
              <v:textbox inset="0,0,0,0">
                <w:txbxContent>
                  <w:p>
                    <w:pPr>
                      <w:tabs>
                        <w:tab w:pos="1114" w:val="left" w:leader="none"/>
                        <w:tab w:pos="2180" w:val="left" w:leader="none"/>
                        <w:tab w:pos="2625" w:val="left" w:leader="none"/>
                        <w:tab w:pos="3199" w:val="left" w:leader="none"/>
                        <w:tab w:pos="4266" w:val="left" w:leader="none"/>
                      </w:tabs>
                      <w:spacing w:before="4"/>
                      <w:ind w:left="0" w:right="0" w:firstLine="0"/>
                      <w:jc w:val="left"/>
                      <w:rPr>
                        <w:sz w:val="16"/>
                      </w:rPr>
                    </w:pPr>
                    <w:r>
                      <w:rPr>
                        <w:color w:val="FFFFFF"/>
                        <w:w w:val="105"/>
                        <w:sz w:val="16"/>
                      </w:rPr>
                      <w:t>12.7 </w:t>
                    </w:r>
                    <w:r>
                      <w:rPr>
                        <w:color w:val="FFFFFF"/>
                        <w:spacing w:val="14"/>
                        <w:w w:val="105"/>
                        <w:sz w:val="16"/>
                      </w:rPr>
                      <w:t> </w:t>
                    </w:r>
                    <w:r>
                      <w:rPr>
                        <w:w w:val="105"/>
                        <w:sz w:val="16"/>
                      </w:rPr>
                      <w:t>12.0</w:t>
                      <w:tab/>
                    </w:r>
                    <w:r>
                      <w:rPr>
                        <w:color w:val="FFFFFF"/>
                        <w:w w:val="105"/>
                        <w:sz w:val="16"/>
                      </w:rPr>
                      <w:t>7.9  </w:t>
                    </w:r>
                    <w:r>
                      <w:rPr>
                        <w:color w:val="FFFFFF"/>
                        <w:spacing w:val="9"/>
                        <w:w w:val="105"/>
                        <w:sz w:val="16"/>
                      </w:rPr>
                      <w:t> </w:t>
                    </w:r>
                    <w:r>
                      <w:rPr>
                        <w:w w:val="105"/>
                        <w:sz w:val="16"/>
                      </w:rPr>
                      <w:t>11.9</w:t>
                      <w:tab/>
                    </w:r>
                    <w:r>
                      <w:rPr>
                        <w:color w:val="FFFFFF"/>
                        <w:w w:val="105"/>
                        <w:sz w:val="16"/>
                      </w:rPr>
                      <w:t>7.7</w:t>
                      <w:tab/>
                    </w:r>
                    <w:r>
                      <w:rPr>
                        <w:w w:val="105"/>
                        <w:sz w:val="16"/>
                      </w:rPr>
                      <w:t>9.3</w:t>
                      <w:tab/>
                    </w:r>
                    <w:r>
                      <w:rPr>
                        <w:color w:val="FFFFFF"/>
                        <w:w w:val="105"/>
                        <w:sz w:val="16"/>
                      </w:rPr>
                      <w:t>11.9 </w:t>
                    </w:r>
                    <w:r>
                      <w:rPr>
                        <w:color w:val="FFFFFF"/>
                        <w:spacing w:val="15"/>
                        <w:w w:val="105"/>
                        <w:sz w:val="16"/>
                      </w:rPr>
                      <w:t> </w:t>
                    </w:r>
                    <w:r>
                      <w:rPr>
                        <w:w w:val="105"/>
                        <w:sz w:val="16"/>
                      </w:rPr>
                      <w:t>13.3</w:t>
                      <w:tab/>
                    </w:r>
                    <w:r>
                      <w:rPr>
                        <w:color w:val="FFFFFF"/>
                        <w:w w:val="105"/>
                        <w:sz w:val="16"/>
                      </w:rPr>
                      <w:t>10.8</w:t>
                    </w:r>
                    <w:r>
                      <w:rPr>
                        <w:color w:val="FFFFFF"/>
                        <w:spacing w:val="10"/>
                        <w:w w:val="105"/>
                        <w:sz w:val="16"/>
                      </w:rPr>
                      <w:t> </w:t>
                    </w:r>
                    <w:r>
                      <w:rPr>
                        <w:w w:val="105"/>
                        <w:sz w:val="16"/>
                      </w:rPr>
                      <w:t>9.8</w:t>
                    </w:r>
                  </w:p>
                </w:txbxContent>
              </v:textbox>
              <w10:wrap type="none"/>
            </v:shape>
            <v:shape style="position:absolute;left:3230;top:574;width:444;height:1625" type="#_x0000_t202" filled="false" stroked="false">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26"/>
                      </w:rPr>
                    </w:pPr>
                  </w:p>
                  <w:p>
                    <w:pPr>
                      <w:spacing w:before="0"/>
                      <w:ind w:left="54" w:right="0" w:firstLine="0"/>
                      <w:jc w:val="left"/>
                      <w:rPr>
                        <w:sz w:val="16"/>
                      </w:rPr>
                    </w:pPr>
                    <w:r>
                      <w:rPr>
                        <w:w w:val="105"/>
                        <w:sz w:val="16"/>
                      </w:rPr>
                      <w:t>11.2</w:t>
                    </w:r>
                  </w:p>
                </w:txbxContent>
              </v:textbox>
              <w10:wrap type="none"/>
            </v:shape>
            <w10:wrap type="none"/>
          </v:group>
        </w:pict>
      </w:r>
      <w:r>
        <w:rPr>
          <w:w w:val="110"/>
          <w:sz w:val="24"/>
        </w:rPr>
        <w:t>10.0%</w:t>
      </w:r>
    </w:p>
    <w:p>
      <w:pPr>
        <w:spacing w:before="109"/>
        <w:ind w:left="431" w:right="0" w:firstLine="0"/>
        <w:jc w:val="left"/>
        <w:rPr>
          <w:sz w:val="24"/>
        </w:rPr>
      </w:pPr>
      <w:r>
        <w:rPr>
          <w:w w:val="110"/>
          <w:sz w:val="24"/>
        </w:rPr>
        <w:t>8.0%</w:t>
      </w:r>
    </w:p>
    <w:p>
      <w:pPr>
        <w:spacing w:before="109"/>
        <w:ind w:left="431" w:right="0" w:firstLine="0"/>
        <w:jc w:val="left"/>
        <w:rPr>
          <w:sz w:val="24"/>
        </w:rPr>
      </w:pPr>
      <w:r>
        <w:rPr>
          <w:w w:val="110"/>
          <w:sz w:val="24"/>
        </w:rPr>
        <w:t>6.0%</w:t>
      </w:r>
    </w:p>
    <w:p>
      <w:pPr>
        <w:spacing w:before="110"/>
        <w:ind w:left="431" w:right="0" w:firstLine="0"/>
        <w:jc w:val="left"/>
        <w:rPr>
          <w:sz w:val="24"/>
        </w:rPr>
      </w:pPr>
      <w:r>
        <w:rPr>
          <w:w w:val="110"/>
          <w:sz w:val="24"/>
        </w:rPr>
        <w:t>4.0%</w:t>
      </w:r>
    </w:p>
    <w:p>
      <w:pPr>
        <w:spacing w:before="109"/>
        <w:ind w:left="431" w:right="0" w:firstLine="0"/>
        <w:jc w:val="left"/>
        <w:rPr>
          <w:sz w:val="24"/>
        </w:rPr>
      </w:pPr>
      <w:r>
        <w:rPr>
          <w:w w:val="110"/>
          <w:sz w:val="24"/>
        </w:rPr>
        <w:t>2.0%</w:t>
      </w:r>
    </w:p>
    <w:p>
      <w:pPr>
        <w:spacing w:before="109"/>
        <w:ind w:left="431" w:right="0" w:firstLine="0"/>
        <w:jc w:val="left"/>
        <w:rPr>
          <w:sz w:val="24"/>
        </w:rPr>
      </w:pPr>
      <w:r>
        <w:rPr>
          <w:w w:val="110"/>
          <w:sz w:val="24"/>
        </w:rPr>
        <w:t>0.0%</w:t>
      </w:r>
    </w:p>
    <w:p>
      <w:pPr>
        <w:spacing w:after="0"/>
        <w:jc w:val="left"/>
        <w:rPr>
          <w:sz w:val="24"/>
        </w:rPr>
        <w:sectPr>
          <w:type w:val="continuous"/>
          <w:pgSz w:w="11910" w:h="16840"/>
          <w:pgMar w:top="800" w:bottom="280" w:left="40" w:right="40"/>
          <w:cols w:num="3" w:equalWidth="0">
            <w:col w:w="2439" w:space="40"/>
            <w:col w:w="6330" w:space="39"/>
            <w:col w:w="2982"/>
          </w:cols>
        </w:sectPr>
      </w:pPr>
    </w:p>
    <w:p>
      <w:pPr>
        <w:pStyle w:val="BodyText"/>
        <w:rPr>
          <w:sz w:val="20"/>
        </w:rPr>
      </w:pPr>
    </w:p>
    <w:p>
      <w:pPr>
        <w:pStyle w:val="BodyText"/>
        <w:spacing w:before="6"/>
        <w:rPr>
          <w:sz w:val="24"/>
        </w:rPr>
      </w:pPr>
    </w:p>
    <w:p>
      <w:pPr>
        <w:tabs>
          <w:tab w:pos="2556" w:val="left" w:leader="none"/>
          <w:tab w:pos="5498" w:val="left" w:leader="none"/>
        </w:tabs>
        <w:spacing w:before="0"/>
        <w:ind w:left="497" w:right="0" w:firstLine="0"/>
        <w:jc w:val="center"/>
        <w:rPr>
          <w:sz w:val="24"/>
        </w:rPr>
      </w:pPr>
      <w:r>
        <w:rPr/>
        <w:pict>
          <v:rect style="position:absolute;margin-left:132.529999pt;margin-top:4.264371pt;width:19.2pt;height:6.4732pt;mso-position-horizontal-relative:page;mso-position-vertical-relative:paragraph;z-index:16466432" filled="true" fillcolor="#006a4d" stroked="false">
            <v:fill type="solid"/>
            <w10:wrap type="none"/>
          </v:rect>
        </w:pict>
      </w:r>
      <w:r>
        <w:rPr/>
        <w:pict>
          <v:rect style="position:absolute;margin-left:235.460007pt;margin-top:4.264371pt;width:19.2pt;height:6.4732pt;mso-position-horizontal-relative:page;mso-position-vertical-relative:paragraph;z-index:-34161152" filled="true" fillcolor="#69bd28" stroked="false">
            <v:fill type="solid"/>
            <w10:wrap type="none"/>
          </v:rect>
        </w:pict>
      </w:r>
      <w:r>
        <w:rPr/>
        <w:drawing>
          <wp:anchor distT="0" distB="0" distL="0" distR="0" allowOverlap="1" layoutInCell="1" locked="0" behindDoc="1" simplePos="0" relativeHeight="469155840">
            <wp:simplePos x="0" y="0"/>
            <wp:positionH relativeFrom="page">
              <wp:posOffset>4858130</wp:posOffset>
            </wp:positionH>
            <wp:positionV relativeFrom="paragraph">
              <wp:posOffset>45308</wp:posOffset>
            </wp:positionV>
            <wp:extent cx="243840" cy="97536"/>
            <wp:effectExtent l="0" t="0" r="0" b="0"/>
            <wp:wrapNone/>
            <wp:docPr id="313" name="image207.png"/>
            <wp:cNvGraphicFramePr>
              <a:graphicFrameLocks noChangeAspect="1"/>
            </wp:cNvGraphicFramePr>
            <a:graphic>
              <a:graphicData uri="http://schemas.openxmlformats.org/drawingml/2006/picture">
                <pic:pic>
                  <pic:nvPicPr>
                    <pic:cNvPr id="314" name="image207.png"/>
                    <pic:cNvPicPr/>
                  </pic:nvPicPr>
                  <pic:blipFill>
                    <a:blip r:embed="rId278" cstate="print"/>
                    <a:stretch>
                      <a:fillRect/>
                    </a:stretch>
                  </pic:blipFill>
                  <pic:spPr>
                    <a:xfrm>
                      <a:off x="0" y="0"/>
                      <a:ext cx="243840" cy="97536"/>
                    </a:xfrm>
                    <a:prstGeom prst="rect">
                      <a:avLst/>
                    </a:prstGeom>
                  </pic:spPr>
                </pic:pic>
              </a:graphicData>
            </a:graphic>
          </wp:anchor>
        </w:drawing>
      </w:r>
      <w:r>
        <w:rPr>
          <w:sz w:val="24"/>
        </w:rPr>
        <w:t>Supply</w:t>
      </w:r>
      <w:r>
        <w:rPr>
          <w:spacing w:val="-26"/>
          <w:sz w:val="24"/>
        </w:rPr>
        <w:t> </w:t>
      </w:r>
      <w:r>
        <w:rPr>
          <w:sz w:val="24"/>
        </w:rPr>
        <w:t>(msf)</w:t>
        <w:tab/>
        <w:t>Net</w:t>
      </w:r>
      <w:r>
        <w:rPr>
          <w:spacing w:val="-24"/>
          <w:sz w:val="24"/>
        </w:rPr>
        <w:t> </w:t>
      </w:r>
      <w:r>
        <w:rPr>
          <w:sz w:val="24"/>
        </w:rPr>
        <w:t>Absoprtion</w:t>
      </w:r>
      <w:r>
        <w:rPr>
          <w:spacing w:val="-24"/>
          <w:sz w:val="24"/>
        </w:rPr>
        <w:t> </w:t>
      </w:r>
      <w:r>
        <w:rPr>
          <w:sz w:val="24"/>
        </w:rPr>
        <w:t>(msf)</w:t>
        <w:tab/>
        <w:t>Vacancy</w:t>
      </w:r>
      <w:r>
        <w:rPr>
          <w:spacing w:val="-1"/>
          <w:sz w:val="24"/>
        </w:rPr>
        <w:t> </w:t>
      </w:r>
      <w:r>
        <w:rPr>
          <w:sz w:val="24"/>
        </w:rPr>
        <w:t>(%)</w:t>
      </w:r>
    </w:p>
    <w:p>
      <w:pPr>
        <w:pStyle w:val="BodyText"/>
        <w:rPr>
          <w:sz w:val="11"/>
        </w:rPr>
      </w:pPr>
    </w:p>
    <w:p>
      <w:pPr>
        <w:tabs>
          <w:tab w:pos="4384" w:val="left" w:leader="none"/>
          <w:tab w:pos="11717" w:val="left" w:leader="none"/>
        </w:tabs>
        <w:spacing w:before="104"/>
        <w:ind w:left="113" w:right="0" w:firstLine="0"/>
        <w:jc w:val="left"/>
        <w:rPr>
          <w:b/>
          <w:sz w:val="18"/>
        </w:rPr>
      </w:pPr>
      <w:r>
        <w:rPr>
          <w:b/>
          <w:color w:val="FFFFFF"/>
          <w:w w:val="103"/>
          <w:sz w:val="18"/>
          <w:shd w:fill="006A4D" w:color="auto" w:val="clear"/>
        </w:rPr>
        <w:t> </w:t>
      </w:r>
      <w:r>
        <w:rPr>
          <w:b/>
          <w:color w:val="FFFFFF"/>
          <w:sz w:val="18"/>
          <w:shd w:fill="006A4D" w:color="auto" w:val="clear"/>
        </w:rPr>
        <w:tab/>
      </w:r>
      <w:r>
        <w:rPr>
          <w:b/>
          <w:color w:val="FFFFFF"/>
          <w:w w:val="115"/>
          <w:sz w:val="18"/>
          <w:shd w:fill="006A4D" w:color="auto" w:val="clear"/>
        </w:rPr>
        <w:t>Demand</w:t>
      </w:r>
      <w:r>
        <w:rPr>
          <w:b/>
          <w:color w:val="FFFFFF"/>
          <w:spacing w:val="-35"/>
          <w:w w:val="115"/>
          <w:sz w:val="18"/>
          <w:shd w:fill="006A4D" w:color="auto" w:val="clear"/>
        </w:rPr>
        <w:t> </w:t>
      </w:r>
      <w:r>
        <w:rPr>
          <w:b/>
          <w:color w:val="FFFFFF"/>
          <w:w w:val="115"/>
          <w:sz w:val="18"/>
          <w:shd w:fill="006A4D" w:color="auto" w:val="clear"/>
        </w:rPr>
        <w:t>–</w:t>
      </w:r>
      <w:r>
        <w:rPr>
          <w:b/>
          <w:color w:val="FFFFFF"/>
          <w:spacing w:val="-35"/>
          <w:w w:val="115"/>
          <w:sz w:val="18"/>
          <w:shd w:fill="006A4D" w:color="auto" w:val="clear"/>
        </w:rPr>
        <w:t> </w:t>
      </w:r>
      <w:r>
        <w:rPr>
          <w:b/>
          <w:color w:val="FFFFFF"/>
          <w:w w:val="115"/>
          <w:sz w:val="18"/>
          <w:shd w:fill="006A4D" w:color="auto" w:val="clear"/>
        </w:rPr>
        <w:t>Supply</w:t>
      </w:r>
      <w:r>
        <w:rPr>
          <w:b/>
          <w:color w:val="FFFFFF"/>
          <w:spacing w:val="-35"/>
          <w:w w:val="115"/>
          <w:sz w:val="18"/>
          <w:shd w:fill="006A4D" w:color="auto" w:val="clear"/>
        </w:rPr>
        <w:t> </w:t>
      </w:r>
      <w:r>
        <w:rPr>
          <w:b/>
          <w:color w:val="FFFFFF"/>
          <w:w w:val="115"/>
          <w:sz w:val="18"/>
          <w:shd w:fill="006A4D" w:color="auto" w:val="clear"/>
        </w:rPr>
        <w:t>Dynamics</w:t>
      </w:r>
      <w:r>
        <w:rPr>
          <w:b/>
          <w:color w:val="FFFFFF"/>
          <w:spacing w:val="-35"/>
          <w:w w:val="115"/>
          <w:sz w:val="18"/>
          <w:shd w:fill="006A4D" w:color="auto" w:val="clear"/>
        </w:rPr>
        <w:t> </w:t>
      </w:r>
      <w:r>
        <w:rPr>
          <w:b/>
          <w:color w:val="FFFFFF"/>
          <w:w w:val="115"/>
          <w:sz w:val="18"/>
          <w:shd w:fill="006A4D" w:color="auto" w:val="clear"/>
        </w:rPr>
        <w:t>(EBD)</w:t>
      </w:r>
      <w:r>
        <w:rPr>
          <w:b/>
          <w:color w:val="FFFFFF"/>
          <w:sz w:val="18"/>
          <w:shd w:fill="006A4D" w:color="auto" w:val="clear"/>
        </w:rPr>
        <w:tab/>
      </w:r>
    </w:p>
    <w:p>
      <w:pPr>
        <w:pStyle w:val="BodyText"/>
        <w:spacing w:before="9"/>
        <w:rPr>
          <w:b/>
          <w:sz w:val="12"/>
        </w:rPr>
      </w:pPr>
    </w:p>
    <w:p>
      <w:pPr>
        <w:spacing w:after="0"/>
        <w:rPr>
          <w:sz w:val="12"/>
        </w:rPr>
        <w:sectPr>
          <w:type w:val="continuous"/>
          <w:pgSz w:w="11910" w:h="16840"/>
          <w:pgMar w:top="800" w:bottom="280" w:left="40" w:right="40"/>
        </w:sectPr>
      </w:pPr>
    </w:p>
    <w:p>
      <w:pPr>
        <w:pStyle w:val="Heading4"/>
        <w:spacing w:before="106"/>
        <w:jc w:val="right"/>
      </w:pPr>
      <w:r>
        <w:rPr/>
        <w:pict>
          <v:shape style="position:absolute;margin-left:44.637306pt;margin-top:16.349607pt;width:16.4pt;height:120.55pt;mso-position-horizontal-relative:page;mso-position-vertical-relative:paragraph;z-index:16470016" type="#_x0000_t202" filled="false" stroked="false">
            <v:textbox inset="0,0,0,0" style="layout-flow:vertical;mso-layout-flow-alt:bottom-to-top">
              <w:txbxContent>
                <w:p>
                  <w:pPr>
                    <w:spacing w:before="25"/>
                    <w:ind w:left="20" w:right="0" w:firstLine="0"/>
                    <w:jc w:val="left"/>
                    <w:rPr>
                      <w:sz w:val="24"/>
                    </w:rPr>
                  </w:pPr>
                  <w:r>
                    <w:rPr>
                      <w:w w:val="95"/>
                      <w:sz w:val="24"/>
                    </w:rPr>
                    <w:t>Suply/Absorption (msf)</w:t>
                  </w:r>
                </w:p>
              </w:txbxContent>
            </v:textbox>
            <w10:wrap type="none"/>
          </v:shape>
        </w:pict>
      </w:r>
      <w:r>
        <w:rPr/>
        <w:t>2.5</w:t>
      </w:r>
    </w:p>
    <w:p>
      <w:pPr>
        <w:spacing w:before="210"/>
        <w:ind w:left="0" w:right="0" w:firstLine="0"/>
        <w:jc w:val="right"/>
        <w:rPr>
          <w:sz w:val="24"/>
        </w:rPr>
      </w:pPr>
      <w:r>
        <w:rPr>
          <w:sz w:val="24"/>
        </w:rPr>
        <w:t>2.0</w:t>
      </w:r>
    </w:p>
    <w:p>
      <w:pPr>
        <w:spacing w:before="210"/>
        <w:ind w:left="0" w:right="0" w:firstLine="0"/>
        <w:jc w:val="right"/>
        <w:rPr>
          <w:sz w:val="24"/>
        </w:rPr>
      </w:pPr>
      <w:r>
        <w:rPr>
          <w:sz w:val="24"/>
        </w:rPr>
        <w:t>1.5</w:t>
      </w:r>
    </w:p>
    <w:p>
      <w:pPr>
        <w:spacing w:before="210"/>
        <w:ind w:left="0" w:right="0" w:firstLine="0"/>
        <w:jc w:val="right"/>
        <w:rPr>
          <w:sz w:val="24"/>
        </w:rPr>
      </w:pPr>
      <w:r>
        <w:rPr>
          <w:sz w:val="24"/>
        </w:rPr>
        <w:t>1.0</w:t>
      </w:r>
    </w:p>
    <w:p>
      <w:pPr>
        <w:spacing w:before="210"/>
        <w:ind w:left="0" w:right="0" w:firstLine="0"/>
        <w:jc w:val="right"/>
        <w:rPr>
          <w:sz w:val="24"/>
        </w:rPr>
      </w:pPr>
      <w:r>
        <w:rPr>
          <w:sz w:val="24"/>
        </w:rPr>
        <w:t>0.5</w:t>
      </w:r>
    </w:p>
    <w:p>
      <w:pPr>
        <w:spacing w:before="210"/>
        <w:ind w:left="0" w:right="0" w:firstLine="0"/>
        <w:jc w:val="right"/>
        <w:rPr>
          <w:sz w:val="24"/>
        </w:rPr>
      </w:pPr>
      <w:r>
        <w:rPr>
          <w:w w:val="112"/>
          <w:sz w:val="24"/>
        </w:rPr>
        <w:t>0</w:t>
      </w:r>
    </w:p>
    <w:p>
      <w:pPr>
        <w:pStyle w:val="BodyText"/>
        <w:spacing w:before="1" w:after="39"/>
        <w:rPr>
          <w:sz w:val="11"/>
        </w:rPr>
      </w:pPr>
      <w:r>
        <w:rPr/>
        <w:br w:type="column"/>
      </w:r>
      <w:r>
        <w:rPr>
          <w:sz w:val="11"/>
        </w:rPr>
      </w:r>
    </w:p>
    <w:p>
      <w:pPr>
        <w:pStyle w:val="BodyText"/>
        <w:ind w:left="87"/>
        <w:rPr>
          <w:sz w:val="20"/>
        </w:rPr>
      </w:pPr>
      <w:r>
        <w:rPr>
          <w:sz w:val="20"/>
        </w:rPr>
        <w:pict>
          <v:group style="width:329.05pt;height:128.25pt;mso-position-horizontal-relative:char;mso-position-vertical-relative:line" coordorigin="0,0" coordsize="6581,2565">
            <v:rect style="position:absolute;left:167;top:2189;width:447;height:342" filled="true" fillcolor="#006a4d" stroked="false">
              <v:fill type="solid"/>
            </v:rect>
            <v:rect style="position:absolute;left:613;top:1359;width:447;height:1172" filled="true" fillcolor="#69bd28" stroked="false">
              <v:fill type="solid"/>
            </v:rect>
            <v:rect style="position:absolute;left:1237;top:2266;width:447;height:265" filled="true" fillcolor="#006a4d" stroked="false">
              <v:fill type="solid"/>
            </v:rect>
            <v:rect style="position:absolute;left:1684;top:478;width:447;height:2053" filled="true" fillcolor="#69bd28" stroked="false">
              <v:fill type="solid"/>
            </v:rect>
            <v:rect style="position:absolute;left:2308;top:2374;width:447;height:157" filled="true" fillcolor="#006a4d" stroked="false">
              <v:fill type="solid"/>
            </v:rect>
            <v:rect style="position:absolute;left:2754;top:1054;width:447;height:1477" filled="true" fillcolor="#69bd28" stroked="false">
              <v:fill type="solid"/>
            </v:rect>
            <v:rect style="position:absolute;left:3378;top:1745;width:447;height:786" filled="true" fillcolor="#006a4d" stroked="false">
              <v:fill type="solid"/>
            </v:rect>
            <v:rect style="position:absolute;left:3824;top:1942;width:447;height:589" filled="true" fillcolor="#69bd28" stroked="false">
              <v:fill type="solid"/>
            </v:rect>
            <v:rect style="position:absolute;left:4451;top:1721;width:447;height:810" filled="true" fillcolor="#006a4d" stroked="false">
              <v:fill type="solid"/>
            </v:rect>
            <v:rect style="position:absolute;left:4897;top:1642;width:447;height:889" filled="true" fillcolor="#69bd28" stroked="false">
              <v:fill type="solid"/>
            </v:rect>
            <v:rect style="position:absolute;left:5521;top:2194;width:447;height:337" filled="true" fillcolor="#006a4d" stroked="false">
              <v:fill type="solid"/>
            </v:rect>
            <v:rect style="position:absolute;left:5968;top:2259;width:447;height:272" filled="true" fillcolor="#69bd28" stroked="false">
              <v:fill type="solid"/>
            </v:rect>
            <v:shape style="position:absolute;left:6503;top:87;width:77;height:2443" coordorigin="6503,88" coordsize="77,2443" path="m6503,2531l6503,88m6503,2531l6580,2531m6503,1921l6580,1921m6503,1309l6580,1309m6503,699l6580,699m6503,88l6580,88e" filled="false" stroked="true" strokeweight="2pt" strokecolor="#000000">
              <v:path arrowok="t"/>
              <v:stroke dashstyle="solid"/>
            </v:shape>
            <v:shape style="position:absolute;left:0;top:87;width:6504;height:2443" coordorigin="0,88" coordsize="6504,2443" path="m77,2531l77,88m0,2531l77,2531m0,2043l77,2043m0,1554l77,1554m0,1064l77,1064m0,577l77,577m0,88l77,88m77,2531l6503,2531e" filled="false" stroked="true" strokeweight="1.5pt" strokecolor="#000000">
              <v:path arrowok="t"/>
              <v:stroke dashstyle="solid"/>
            </v:shape>
            <v:shape style="position:absolute;left:612;top:375;width:5355;height:2117" coordorigin="613,375" coordsize="5355,2117" path="m613,375l1684,1607,2754,2492,3825,2367,4898,2423,5968,2387e" filled="false" stroked="true" strokeweight="2pt" strokecolor="#c00000">
              <v:path arrowok="t"/>
              <v:stroke dashstyle="solid"/>
            </v:shape>
            <v:shape style="position:absolute;left:542;top:303;width:144;height:144" type="#_x0000_t75" stroked="false">
              <v:imagedata r:id="rId294" o:title=""/>
            </v:shape>
            <v:shape style="position:absolute;left:1613;top:1534;width:144;height:144" type="#_x0000_t75" stroked="false">
              <v:imagedata r:id="rId281" o:title=""/>
            </v:shape>
            <v:shape style="position:absolute;left:2683;top:2420;width:144;height:144" type="#_x0000_t75" stroked="false">
              <v:imagedata r:id="rId279" o:title=""/>
            </v:shape>
            <v:shape style="position:absolute;left:3753;top:2295;width:144;height:144" type="#_x0000_t75" stroked="false">
              <v:imagedata r:id="rId295" o:title=""/>
            </v:shape>
            <v:shape style="position:absolute;left:4826;top:2350;width:144;height:144" type="#_x0000_t75" stroked="false">
              <v:imagedata r:id="rId279" o:title=""/>
            </v:shape>
            <v:shape style="position:absolute;left:5897;top:2314;width:144;height:144" type="#_x0000_t75" stroked="false">
              <v:imagedata r:id="rId296" o:title=""/>
            </v:shape>
            <v:shape style="position:absolute;left:359;top:0;width:523;height:216" type="#_x0000_t202" filled="false" stroked="false">
              <v:textbox inset="0,0,0,0">
                <w:txbxContent>
                  <w:p>
                    <w:pPr>
                      <w:spacing w:before="4"/>
                      <w:ind w:left="0" w:right="0" w:firstLine="0"/>
                      <w:jc w:val="left"/>
                      <w:rPr>
                        <w:sz w:val="18"/>
                      </w:rPr>
                    </w:pPr>
                    <w:r>
                      <w:rPr>
                        <w:w w:val="110"/>
                        <w:sz w:val="18"/>
                      </w:rPr>
                      <w:t>17.6%</w:t>
                    </w:r>
                  </w:p>
                </w:txbxContent>
              </v:textbox>
              <w10:wrap type="none"/>
            </v:shape>
            <v:shape style="position:absolute;left:1805;top:222;width:225;height:167" type="#_x0000_t202" filled="false" stroked="false">
              <v:textbox inset="0,0,0,0">
                <w:txbxContent>
                  <w:p>
                    <w:pPr>
                      <w:spacing w:before="2"/>
                      <w:ind w:left="0" w:right="0" w:firstLine="0"/>
                      <w:jc w:val="left"/>
                      <w:rPr>
                        <w:sz w:val="14"/>
                      </w:rPr>
                    </w:pPr>
                    <w:r>
                      <w:rPr>
                        <w:w w:val="105"/>
                        <w:sz w:val="14"/>
                      </w:rPr>
                      <w:t>2.1</w:t>
                    </w:r>
                  </w:p>
                </w:txbxContent>
              </v:textbox>
              <w10:wrap type="none"/>
            </v:shape>
            <v:shape style="position:absolute;left:2876;top:799;width:225;height:167" type="#_x0000_t202" filled="false" stroked="false">
              <v:textbox inset="0,0,0,0">
                <w:txbxContent>
                  <w:p>
                    <w:pPr>
                      <w:spacing w:before="2"/>
                      <w:ind w:left="0" w:right="0" w:firstLine="0"/>
                      <w:jc w:val="left"/>
                      <w:rPr>
                        <w:sz w:val="14"/>
                      </w:rPr>
                    </w:pPr>
                    <w:r>
                      <w:rPr>
                        <w:w w:val="105"/>
                        <w:sz w:val="14"/>
                      </w:rPr>
                      <w:t>1.5</w:t>
                    </w:r>
                  </w:p>
                </w:txbxContent>
              </v:textbox>
              <w10:wrap type="none"/>
            </v:shape>
            <v:shape style="position:absolute;left:734;top:1101;width:225;height:167" type="#_x0000_t202" filled="false" stroked="false">
              <v:textbox inset="0,0,0,0">
                <w:txbxContent>
                  <w:p>
                    <w:pPr>
                      <w:spacing w:before="2"/>
                      <w:ind w:left="0" w:right="0" w:firstLine="0"/>
                      <w:jc w:val="left"/>
                      <w:rPr>
                        <w:sz w:val="14"/>
                      </w:rPr>
                    </w:pPr>
                    <w:r>
                      <w:rPr>
                        <w:w w:val="105"/>
                        <w:sz w:val="14"/>
                      </w:rPr>
                      <w:t>1.2</w:t>
                    </w:r>
                  </w:p>
                </w:txbxContent>
              </v:textbox>
              <w10:wrap type="none"/>
            </v:shape>
            <v:shape style="position:absolute;left:1809;top:1422;width:418;height:216" type="#_x0000_t202" filled="false" stroked="false">
              <v:textbox inset="0,0,0,0">
                <w:txbxContent>
                  <w:p>
                    <w:pPr>
                      <w:spacing w:before="4"/>
                      <w:ind w:left="0" w:right="0" w:firstLine="0"/>
                      <w:jc w:val="left"/>
                      <w:rPr>
                        <w:sz w:val="18"/>
                      </w:rPr>
                    </w:pPr>
                    <w:r>
                      <w:rPr>
                        <w:w w:val="110"/>
                        <w:sz w:val="18"/>
                      </w:rPr>
                      <w:t>7.6%</w:t>
                    </w:r>
                  </w:p>
                </w:txbxContent>
              </v:textbox>
              <w10:wrap type="none"/>
            </v:shape>
            <v:shape style="position:absolute;left:3501;top:1489;width:225;height:167" type="#_x0000_t202" filled="false" stroked="false">
              <v:textbox inset="0,0,0,0">
                <w:txbxContent>
                  <w:p>
                    <w:pPr>
                      <w:spacing w:before="2"/>
                      <w:ind w:left="0" w:right="0" w:firstLine="0"/>
                      <w:jc w:val="left"/>
                      <w:rPr>
                        <w:sz w:val="14"/>
                      </w:rPr>
                    </w:pPr>
                    <w:r>
                      <w:rPr>
                        <w:w w:val="105"/>
                        <w:sz w:val="14"/>
                      </w:rPr>
                      <w:t>0.8</w:t>
                    </w:r>
                  </w:p>
                </w:txbxContent>
              </v:textbox>
              <w10:wrap type="none"/>
            </v:shape>
            <v:shape style="position:absolute;left:4572;top:1464;width:225;height:167" type="#_x0000_t202" filled="false" stroked="false">
              <v:textbox inset="0,0,0,0">
                <w:txbxContent>
                  <w:p>
                    <w:pPr>
                      <w:spacing w:before="2"/>
                      <w:ind w:left="0" w:right="0" w:firstLine="0"/>
                      <w:jc w:val="left"/>
                      <w:rPr>
                        <w:sz w:val="14"/>
                      </w:rPr>
                    </w:pPr>
                    <w:r>
                      <w:rPr>
                        <w:w w:val="105"/>
                        <w:sz w:val="14"/>
                      </w:rPr>
                      <w:t>0.8</w:t>
                    </w:r>
                  </w:p>
                </w:txbxContent>
              </v:textbox>
              <w10:wrap type="none"/>
            </v:shape>
            <v:shape style="position:absolute;left:5019;top:1385;width:225;height:167" type="#_x0000_t202" filled="false" stroked="false">
              <v:textbox inset="0,0,0,0">
                <w:txbxContent>
                  <w:p>
                    <w:pPr>
                      <w:spacing w:before="2"/>
                      <w:ind w:left="0" w:right="0" w:firstLine="0"/>
                      <w:jc w:val="left"/>
                      <w:rPr>
                        <w:sz w:val="14"/>
                      </w:rPr>
                    </w:pPr>
                    <w:r>
                      <w:rPr>
                        <w:w w:val="105"/>
                        <w:sz w:val="14"/>
                      </w:rPr>
                      <w:t>0.9</w:t>
                    </w:r>
                  </w:p>
                </w:txbxContent>
              </v:textbox>
              <w10:wrap type="none"/>
            </v:shape>
            <v:shape style="position:absolute;left:3947;top:1685;width:225;height:167" type="#_x0000_t202" filled="false" stroked="false">
              <v:textbox inset="0,0,0,0">
                <w:txbxContent>
                  <w:p>
                    <w:pPr>
                      <w:spacing w:before="2"/>
                      <w:ind w:left="0" w:right="0" w:firstLine="0"/>
                      <w:jc w:val="left"/>
                      <w:rPr>
                        <w:sz w:val="14"/>
                      </w:rPr>
                    </w:pPr>
                    <w:r>
                      <w:rPr>
                        <w:w w:val="105"/>
                        <w:sz w:val="14"/>
                      </w:rPr>
                      <w:t>0.6</w:t>
                    </w:r>
                  </w:p>
                </w:txbxContent>
              </v:textbox>
              <w10:wrap type="none"/>
            </v:shape>
            <v:shape style="position:absolute;left:287;top:1932;width:225;height:167" type="#_x0000_t202" filled="false" stroked="false">
              <v:textbox inset="0,0,0,0">
                <w:txbxContent>
                  <w:p>
                    <w:pPr>
                      <w:spacing w:before="2"/>
                      <w:ind w:left="0" w:right="0" w:firstLine="0"/>
                      <w:jc w:val="left"/>
                      <w:rPr>
                        <w:sz w:val="14"/>
                      </w:rPr>
                    </w:pPr>
                    <w:r>
                      <w:rPr>
                        <w:w w:val="105"/>
                        <w:sz w:val="14"/>
                      </w:rPr>
                      <w:t>0.4</w:t>
                    </w:r>
                  </w:p>
                </w:txbxContent>
              </v:textbox>
              <w10:wrap type="none"/>
            </v:shape>
            <v:shape style="position:absolute;left:1359;top:2011;width:225;height:167" type="#_x0000_t202" filled="false" stroked="false">
              <v:textbox inset="0,0,0,0">
                <w:txbxContent>
                  <w:p>
                    <w:pPr>
                      <w:spacing w:before="2"/>
                      <w:ind w:left="0" w:right="0" w:firstLine="0"/>
                      <w:jc w:val="left"/>
                      <w:rPr>
                        <w:sz w:val="14"/>
                      </w:rPr>
                    </w:pPr>
                    <w:r>
                      <w:rPr>
                        <w:w w:val="105"/>
                        <w:sz w:val="14"/>
                      </w:rPr>
                      <w:t>0.3</w:t>
                    </w:r>
                  </w:p>
                </w:txbxContent>
              </v:textbox>
              <w10:wrap type="none"/>
            </v:shape>
            <v:shape style="position:absolute;left:2430;top:2118;width:225;height:167" type="#_x0000_t202" filled="false" stroked="false">
              <v:textbox inset="0,0,0,0">
                <w:txbxContent>
                  <w:p>
                    <w:pPr>
                      <w:spacing w:before="2"/>
                      <w:ind w:left="0" w:right="0" w:firstLine="0"/>
                      <w:jc w:val="left"/>
                      <w:rPr>
                        <w:sz w:val="14"/>
                      </w:rPr>
                    </w:pPr>
                    <w:r>
                      <w:rPr>
                        <w:w w:val="105"/>
                        <w:sz w:val="14"/>
                      </w:rPr>
                      <w:t>0.2</w:t>
                    </w:r>
                  </w:p>
                </w:txbxContent>
              </v:textbox>
              <w10:wrap type="none"/>
            </v:shape>
            <v:shape style="position:absolute;left:3626;top:1993;width:418;height:216" type="#_x0000_t202" filled="false" stroked="false">
              <v:textbox inset="0,0,0,0">
                <w:txbxContent>
                  <w:p>
                    <w:pPr>
                      <w:spacing w:before="4"/>
                      <w:ind w:left="0" w:right="0" w:firstLine="0"/>
                      <w:jc w:val="left"/>
                      <w:rPr>
                        <w:sz w:val="18"/>
                      </w:rPr>
                    </w:pPr>
                    <w:r>
                      <w:rPr>
                        <w:w w:val="110"/>
                        <w:sz w:val="18"/>
                      </w:rPr>
                      <w:t>1.3%</w:t>
                    </w:r>
                  </w:p>
                </w:txbxContent>
              </v:textbox>
              <w10:wrap type="none"/>
            </v:shape>
            <v:shape style="position:absolute;left:4697;top:2048;width:418;height:216" type="#_x0000_t202" filled="false" stroked="false">
              <v:textbox inset="0,0,0,0">
                <w:txbxContent>
                  <w:p>
                    <w:pPr>
                      <w:spacing w:before="4"/>
                      <w:ind w:left="0" w:right="0" w:firstLine="0"/>
                      <w:jc w:val="left"/>
                      <w:rPr>
                        <w:sz w:val="18"/>
                      </w:rPr>
                    </w:pPr>
                    <w:r>
                      <w:rPr>
                        <w:w w:val="110"/>
                        <w:sz w:val="18"/>
                      </w:rPr>
                      <w:t>0.9%</w:t>
                    </w:r>
                  </w:p>
                </w:txbxContent>
              </v:textbox>
              <w10:wrap type="none"/>
            </v:shape>
            <v:shape style="position:absolute;left:5644;top:1939;width:225;height:167" type="#_x0000_t202" filled="false" stroked="false">
              <v:textbox inset="0,0,0,0">
                <w:txbxContent>
                  <w:p>
                    <w:pPr>
                      <w:spacing w:before="2"/>
                      <w:ind w:left="0" w:right="0" w:firstLine="0"/>
                      <w:jc w:val="left"/>
                      <w:rPr>
                        <w:sz w:val="14"/>
                      </w:rPr>
                    </w:pPr>
                    <w:r>
                      <w:rPr>
                        <w:w w:val="105"/>
                        <w:sz w:val="14"/>
                      </w:rPr>
                      <w:t>0.3</w:t>
                    </w:r>
                  </w:p>
                </w:txbxContent>
              </v:textbox>
              <w10:wrap type="none"/>
            </v:shape>
            <v:shape style="position:absolute;left:5993;top:2116;width:418;height:216" type="#_x0000_t202" filled="false" stroked="false">
              <v:textbox inset="0,0,0,0">
                <w:txbxContent>
                  <w:p>
                    <w:pPr>
                      <w:spacing w:before="4"/>
                      <w:ind w:left="0" w:right="0" w:firstLine="0"/>
                      <w:jc w:val="left"/>
                      <w:rPr>
                        <w:sz w:val="18"/>
                      </w:rPr>
                    </w:pPr>
                    <w:r>
                      <w:rPr>
                        <w:w w:val="110"/>
                        <w:sz w:val="18"/>
                      </w:rPr>
                      <w:t>1.2%</w:t>
                    </w:r>
                  </w:p>
                </w:txbxContent>
              </v:textbox>
              <w10:wrap type="none"/>
            </v:shape>
            <v:shape style="position:absolute;left:6090;top:2002;width:225;height:167" type="#_x0000_t202" filled="false" stroked="false">
              <v:textbox inset="0,0,0,0">
                <w:txbxContent>
                  <w:p>
                    <w:pPr>
                      <w:spacing w:before="2"/>
                      <w:ind w:left="0" w:right="0" w:firstLine="0"/>
                      <w:jc w:val="left"/>
                      <w:rPr>
                        <w:sz w:val="14"/>
                      </w:rPr>
                    </w:pPr>
                    <w:r>
                      <w:rPr>
                        <w:w w:val="105"/>
                        <w:sz w:val="14"/>
                      </w:rPr>
                      <w:t>0.3</w:t>
                    </w:r>
                  </w:p>
                </w:txbxContent>
              </v:textbox>
              <w10:wrap type="none"/>
            </v:shape>
            <v:shape style="position:absolute;left:2754;top:1054;width:447;height:1477" type="#_x0000_t202"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6"/>
                      <w:rPr>
                        <w:sz w:val="29"/>
                      </w:rPr>
                    </w:pPr>
                  </w:p>
                  <w:p>
                    <w:pPr>
                      <w:spacing w:before="0"/>
                      <w:ind w:left="8" w:right="0" w:firstLine="0"/>
                      <w:jc w:val="left"/>
                      <w:rPr>
                        <w:sz w:val="18"/>
                      </w:rPr>
                    </w:pPr>
                    <w:r>
                      <w:rPr>
                        <w:w w:val="110"/>
                        <w:sz w:val="18"/>
                      </w:rPr>
                      <w:t>0.3%</w:t>
                    </w:r>
                  </w:p>
                </w:txbxContent>
              </v:textbox>
              <w10:wrap type="none"/>
            </v:shape>
          </v:group>
        </w:pict>
      </w:r>
      <w:r>
        <w:rPr>
          <w:sz w:val="20"/>
        </w:rPr>
      </w:r>
    </w:p>
    <w:p>
      <w:pPr>
        <w:tabs>
          <w:tab w:pos="1503" w:val="left" w:leader="none"/>
          <w:tab w:pos="2575" w:val="left" w:leader="none"/>
          <w:tab w:pos="3646" w:val="left" w:leader="none"/>
          <w:tab w:pos="4717" w:val="left" w:leader="none"/>
          <w:tab w:pos="5788" w:val="left" w:leader="none"/>
        </w:tabs>
        <w:spacing w:before="111"/>
        <w:ind w:left="432" w:right="0" w:firstLine="0"/>
        <w:jc w:val="left"/>
        <w:rPr>
          <w:sz w:val="24"/>
        </w:rPr>
      </w:pPr>
      <w:r>
        <w:rPr>
          <w:w w:val="110"/>
          <w:sz w:val="24"/>
        </w:rPr>
        <w:t>2014</w:t>
        <w:tab/>
        <w:t>2015</w:t>
        <w:tab/>
        <w:t>2016</w:t>
        <w:tab/>
        <w:t>2017</w:t>
        <w:tab/>
        <w:t>2018</w:t>
        <w:tab/>
        <w:t>2019</w:t>
      </w:r>
    </w:p>
    <w:p>
      <w:pPr>
        <w:tabs>
          <w:tab w:pos="2622" w:val="left" w:leader="none"/>
          <w:tab w:pos="5564" w:val="left" w:leader="none"/>
        </w:tabs>
        <w:spacing w:before="237"/>
        <w:ind w:left="563" w:right="0" w:firstLine="0"/>
        <w:jc w:val="left"/>
        <w:rPr>
          <w:sz w:val="24"/>
        </w:rPr>
      </w:pPr>
      <w:r>
        <w:rPr/>
        <w:pict>
          <v:rect style="position:absolute;margin-left:106.93pt;margin-top:16.074375pt;width:19.2pt;height:6.4732pt;mso-position-horizontal-relative:page;mso-position-vertical-relative:paragraph;z-index:16467968" filled="true" fillcolor="#006a4d" stroked="false">
            <v:fill type="solid"/>
            <w10:wrap type="none"/>
          </v:rect>
        </w:pict>
      </w:r>
      <w:r>
        <w:rPr/>
        <w:pict>
          <v:rect style="position:absolute;margin-left:209.860001pt;margin-top:16.074375pt;width:19.2pt;height:6.4732pt;mso-position-horizontal-relative:page;mso-position-vertical-relative:paragraph;z-index:-34159616" filled="true" fillcolor="#69bd28" stroked="false">
            <v:fill type="solid"/>
            <w10:wrap type="none"/>
          </v:rect>
        </w:pict>
      </w:r>
      <w:r>
        <w:rPr/>
        <w:drawing>
          <wp:anchor distT="0" distB="0" distL="0" distR="0" allowOverlap="1" layoutInCell="1" locked="0" behindDoc="1" simplePos="0" relativeHeight="469157376">
            <wp:simplePos x="0" y="0"/>
            <wp:positionH relativeFrom="page">
              <wp:posOffset>4533010</wp:posOffset>
            </wp:positionH>
            <wp:positionV relativeFrom="paragraph">
              <wp:posOffset>198216</wp:posOffset>
            </wp:positionV>
            <wp:extent cx="243839" cy="91440"/>
            <wp:effectExtent l="0" t="0" r="0" b="0"/>
            <wp:wrapNone/>
            <wp:docPr id="315" name="image222.png"/>
            <wp:cNvGraphicFramePr>
              <a:graphicFrameLocks noChangeAspect="1"/>
            </wp:cNvGraphicFramePr>
            <a:graphic>
              <a:graphicData uri="http://schemas.openxmlformats.org/drawingml/2006/picture">
                <pic:pic>
                  <pic:nvPicPr>
                    <pic:cNvPr id="316" name="image222.png"/>
                    <pic:cNvPicPr/>
                  </pic:nvPicPr>
                  <pic:blipFill>
                    <a:blip r:embed="rId297" cstate="print"/>
                    <a:stretch>
                      <a:fillRect/>
                    </a:stretch>
                  </pic:blipFill>
                  <pic:spPr>
                    <a:xfrm>
                      <a:off x="0" y="0"/>
                      <a:ext cx="243839" cy="91440"/>
                    </a:xfrm>
                    <a:prstGeom prst="rect">
                      <a:avLst/>
                    </a:prstGeom>
                  </pic:spPr>
                </pic:pic>
              </a:graphicData>
            </a:graphic>
          </wp:anchor>
        </w:drawing>
      </w:r>
      <w:r>
        <w:rPr>
          <w:sz w:val="24"/>
        </w:rPr>
        <w:t>Supply</w:t>
      </w:r>
      <w:r>
        <w:rPr>
          <w:spacing w:val="-26"/>
          <w:sz w:val="24"/>
        </w:rPr>
        <w:t> </w:t>
      </w:r>
      <w:r>
        <w:rPr>
          <w:sz w:val="24"/>
        </w:rPr>
        <w:t>(msf)</w:t>
        <w:tab/>
        <w:t>Net</w:t>
      </w:r>
      <w:r>
        <w:rPr>
          <w:spacing w:val="-24"/>
          <w:sz w:val="24"/>
        </w:rPr>
        <w:t> </w:t>
      </w:r>
      <w:r>
        <w:rPr>
          <w:sz w:val="24"/>
        </w:rPr>
        <w:t>Absoprtion</w:t>
      </w:r>
      <w:r>
        <w:rPr>
          <w:spacing w:val="-24"/>
          <w:sz w:val="24"/>
        </w:rPr>
        <w:t> </w:t>
      </w:r>
      <w:r>
        <w:rPr>
          <w:sz w:val="24"/>
        </w:rPr>
        <w:t>(msf)</w:t>
        <w:tab/>
        <w:t>Vacancy</w:t>
      </w:r>
      <w:r>
        <w:rPr>
          <w:spacing w:val="-19"/>
          <w:sz w:val="24"/>
        </w:rPr>
        <w:t> </w:t>
      </w:r>
      <w:r>
        <w:rPr>
          <w:spacing w:val="-5"/>
          <w:sz w:val="24"/>
        </w:rPr>
        <w:t>(%)</w:t>
      </w:r>
    </w:p>
    <w:p>
      <w:pPr>
        <w:spacing w:before="106"/>
        <w:ind w:left="-30" w:right="0" w:firstLine="0"/>
        <w:jc w:val="left"/>
        <w:rPr>
          <w:sz w:val="24"/>
        </w:rPr>
      </w:pPr>
      <w:r>
        <w:rPr/>
        <w:br w:type="column"/>
      </w:r>
      <w:r>
        <w:rPr>
          <w:w w:val="110"/>
          <w:sz w:val="24"/>
        </w:rPr>
        <w:t>20.0%</w:t>
      </w:r>
    </w:p>
    <w:p>
      <w:pPr>
        <w:pStyle w:val="BodyText"/>
        <w:spacing w:before="6"/>
        <w:rPr>
          <w:sz w:val="28"/>
        </w:rPr>
      </w:pPr>
    </w:p>
    <w:p>
      <w:pPr>
        <w:spacing w:before="0"/>
        <w:ind w:left="-30" w:right="0" w:firstLine="0"/>
        <w:jc w:val="left"/>
        <w:rPr>
          <w:sz w:val="24"/>
        </w:rPr>
      </w:pPr>
      <w:r>
        <w:rPr/>
        <w:pict>
          <v:shape style="position:absolute;margin-left:504.989929pt;margin-top:20.497589pt;width:16.4pt;height:64pt;mso-position-horizontal-relative:page;mso-position-vertical-relative:paragraph;z-index:16469504" type="#_x0000_t202" filled="false" stroked="false">
            <v:textbox inset="0,0,0,0" style="layout-flow:vertical">
              <w:txbxContent>
                <w:p>
                  <w:pPr>
                    <w:spacing w:before="25"/>
                    <w:ind w:left="20" w:right="0" w:firstLine="0"/>
                    <w:jc w:val="left"/>
                    <w:rPr>
                      <w:sz w:val="24"/>
                    </w:rPr>
                  </w:pPr>
                  <w:r>
                    <w:rPr>
                      <w:sz w:val="24"/>
                    </w:rPr>
                    <w:t>Vacancy</w:t>
                  </w:r>
                  <w:r>
                    <w:rPr>
                      <w:spacing w:val="-30"/>
                      <w:sz w:val="24"/>
                    </w:rPr>
                    <w:t> </w:t>
                  </w:r>
                  <w:r>
                    <w:rPr>
                      <w:sz w:val="24"/>
                    </w:rPr>
                    <w:t>(%)</w:t>
                  </w:r>
                </w:p>
              </w:txbxContent>
            </v:textbox>
            <w10:wrap type="none"/>
          </v:shape>
        </w:pict>
      </w:r>
      <w:r>
        <w:rPr>
          <w:w w:val="110"/>
          <w:sz w:val="24"/>
        </w:rPr>
        <w:t>15.0%</w:t>
      </w:r>
    </w:p>
    <w:p>
      <w:pPr>
        <w:pStyle w:val="BodyText"/>
        <w:spacing w:before="8"/>
        <w:rPr>
          <w:sz w:val="28"/>
        </w:rPr>
      </w:pPr>
    </w:p>
    <w:p>
      <w:pPr>
        <w:spacing w:before="0"/>
        <w:ind w:left="-30" w:right="0" w:firstLine="0"/>
        <w:jc w:val="left"/>
        <w:rPr>
          <w:sz w:val="24"/>
        </w:rPr>
      </w:pPr>
      <w:r>
        <w:rPr>
          <w:w w:val="110"/>
          <w:sz w:val="24"/>
        </w:rPr>
        <w:t>10.0%</w:t>
      </w:r>
    </w:p>
    <w:p>
      <w:pPr>
        <w:pStyle w:val="BodyText"/>
        <w:spacing w:before="7"/>
        <w:rPr>
          <w:sz w:val="28"/>
        </w:rPr>
      </w:pPr>
    </w:p>
    <w:p>
      <w:pPr>
        <w:spacing w:before="0"/>
        <w:ind w:left="-30" w:right="0" w:firstLine="0"/>
        <w:jc w:val="left"/>
        <w:rPr>
          <w:sz w:val="24"/>
        </w:rPr>
      </w:pPr>
      <w:r>
        <w:rPr>
          <w:w w:val="110"/>
          <w:sz w:val="24"/>
        </w:rPr>
        <w:t>5.0%</w:t>
      </w:r>
    </w:p>
    <w:p>
      <w:pPr>
        <w:pStyle w:val="BodyText"/>
        <w:spacing w:before="7"/>
        <w:rPr>
          <w:sz w:val="28"/>
        </w:rPr>
      </w:pPr>
    </w:p>
    <w:p>
      <w:pPr>
        <w:spacing w:before="0"/>
        <w:ind w:left="-30" w:right="0" w:firstLine="0"/>
        <w:jc w:val="left"/>
        <w:rPr>
          <w:sz w:val="24"/>
        </w:rPr>
      </w:pPr>
      <w:r>
        <w:rPr>
          <w:w w:val="120"/>
          <w:sz w:val="24"/>
        </w:rPr>
        <w:t>0%</w:t>
      </w:r>
    </w:p>
    <w:p>
      <w:pPr>
        <w:spacing w:after="0"/>
        <w:jc w:val="left"/>
        <w:rPr>
          <w:sz w:val="24"/>
        </w:rPr>
        <w:sectPr>
          <w:type w:val="continuous"/>
          <w:pgSz w:w="11910" w:h="16840"/>
          <w:pgMar w:top="800" w:bottom="280" w:left="40" w:right="40"/>
          <w:cols w:num="3" w:equalWidth="0">
            <w:col w:w="1921" w:space="40"/>
            <w:col w:w="6818" w:space="39"/>
            <w:col w:w="3012"/>
          </w:cols>
        </w:sectPr>
      </w:pPr>
    </w:p>
    <w:p>
      <w:pPr>
        <w:pStyle w:val="BodyText"/>
        <w:rPr>
          <w:sz w:val="20"/>
        </w:rPr>
      </w:pPr>
    </w:p>
    <w:p>
      <w:pPr>
        <w:pStyle w:val="BodyText"/>
        <w:rPr>
          <w:sz w:val="20"/>
        </w:rPr>
      </w:pPr>
    </w:p>
    <w:p>
      <w:pPr>
        <w:pStyle w:val="BodyText"/>
        <w:spacing w:before="10"/>
        <w:rPr>
          <w:sz w:val="25"/>
        </w:rPr>
      </w:pPr>
    </w:p>
    <w:p>
      <w:pPr>
        <w:spacing w:line="321" w:lineRule="auto" w:before="105"/>
        <w:ind w:left="1227" w:right="674" w:firstLine="0"/>
        <w:jc w:val="both"/>
        <w:rPr>
          <w:i/>
          <w:sz w:val="18"/>
        </w:rPr>
      </w:pPr>
      <w:r>
        <w:rPr>
          <w:i/>
          <w:sz w:val="18"/>
        </w:rPr>
        <w:t>Source:</w:t>
      </w:r>
      <w:r>
        <w:rPr>
          <w:i/>
          <w:spacing w:val="-28"/>
          <w:sz w:val="18"/>
        </w:rPr>
        <w:t> </w:t>
      </w:r>
      <w:r>
        <w:rPr>
          <w:i/>
          <w:sz w:val="18"/>
        </w:rPr>
        <w:t>CBRE</w:t>
      </w:r>
      <w:r>
        <w:rPr>
          <w:i/>
          <w:spacing w:val="-27"/>
          <w:sz w:val="18"/>
        </w:rPr>
        <w:t> </w:t>
      </w:r>
      <w:r>
        <w:rPr>
          <w:i/>
          <w:sz w:val="18"/>
        </w:rPr>
        <w:t>Research;</w:t>
      </w:r>
      <w:r>
        <w:rPr>
          <w:i/>
          <w:spacing w:val="-28"/>
          <w:sz w:val="18"/>
        </w:rPr>
        <w:t> </w:t>
      </w:r>
      <w:r>
        <w:rPr>
          <w:i/>
          <w:sz w:val="18"/>
        </w:rPr>
        <w:t>Note:</w:t>
      </w:r>
      <w:r>
        <w:rPr>
          <w:i/>
          <w:spacing w:val="-29"/>
          <w:sz w:val="18"/>
        </w:rPr>
        <w:t> </w:t>
      </w:r>
      <w:r>
        <w:rPr>
          <w:i/>
          <w:sz w:val="18"/>
        </w:rPr>
        <w:t>Supply</w:t>
      </w:r>
      <w:r>
        <w:rPr>
          <w:i/>
          <w:spacing w:val="-27"/>
          <w:sz w:val="18"/>
        </w:rPr>
        <w:t> </w:t>
      </w:r>
      <w:r>
        <w:rPr>
          <w:i/>
          <w:w w:val="105"/>
          <w:sz w:val="18"/>
        </w:rPr>
        <w:t>–</w:t>
      </w:r>
      <w:r>
        <w:rPr>
          <w:i/>
          <w:spacing w:val="-30"/>
          <w:w w:val="105"/>
          <w:sz w:val="18"/>
        </w:rPr>
        <w:t> </w:t>
      </w:r>
      <w:r>
        <w:rPr>
          <w:i/>
          <w:sz w:val="18"/>
        </w:rPr>
        <w:t>refers</w:t>
      </w:r>
      <w:r>
        <w:rPr>
          <w:i/>
          <w:spacing w:val="-27"/>
          <w:sz w:val="18"/>
        </w:rPr>
        <w:t> </w:t>
      </w:r>
      <w:r>
        <w:rPr>
          <w:i/>
          <w:sz w:val="18"/>
        </w:rPr>
        <w:t>to</w:t>
      </w:r>
      <w:r>
        <w:rPr>
          <w:i/>
          <w:spacing w:val="-28"/>
          <w:sz w:val="18"/>
        </w:rPr>
        <w:t> </w:t>
      </w:r>
      <w:r>
        <w:rPr>
          <w:i/>
          <w:sz w:val="18"/>
        </w:rPr>
        <w:t>fresh</w:t>
      </w:r>
      <w:r>
        <w:rPr>
          <w:i/>
          <w:spacing w:val="-28"/>
          <w:sz w:val="18"/>
        </w:rPr>
        <w:t> </w:t>
      </w:r>
      <w:r>
        <w:rPr>
          <w:i/>
          <w:sz w:val="18"/>
        </w:rPr>
        <w:t>completed</w:t>
      </w:r>
      <w:r>
        <w:rPr>
          <w:i/>
          <w:spacing w:val="-26"/>
          <w:sz w:val="18"/>
        </w:rPr>
        <w:t> </w:t>
      </w:r>
      <w:r>
        <w:rPr>
          <w:i/>
          <w:sz w:val="18"/>
        </w:rPr>
        <w:t>supply</w:t>
      </w:r>
      <w:r>
        <w:rPr>
          <w:i/>
          <w:spacing w:val="-29"/>
          <w:sz w:val="18"/>
        </w:rPr>
        <w:t> </w:t>
      </w:r>
      <w:r>
        <w:rPr>
          <w:i/>
          <w:sz w:val="18"/>
        </w:rPr>
        <w:t>added</w:t>
      </w:r>
      <w:r>
        <w:rPr>
          <w:i/>
          <w:spacing w:val="-26"/>
          <w:sz w:val="18"/>
        </w:rPr>
        <w:t> </w:t>
      </w:r>
      <w:r>
        <w:rPr>
          <w:i/>
          <w:sz w:val="18"/>
        </w:rPr>
        <w:t>each</w:t>
      </w:r>
      <w:r>
        <w:rPr>
          <w:i/>
          <w:spacing w:val="-28"/>
          <w:sz w:val="18"/>
        </w:rPr>
        <w:t> </w:t>
      </w:r>
      <w:r>
        <w:rPr>
          <w:i/>
          <w:sz w:val="18"/>
        </w:rPr>
        <w:t>year;</w:t>
      </w:r>
      <w:r>
        <w:rPr>
          <w:i/>
          <w:spacing w:val="-28"/>
          <w:sz w:val="18"/>
        </w:rPr>
        <w:t> </w:t>
      </w:r>
      <w:r>
        <w:rPr>
          <w:i/>
          <w:sz w:val="18"/>
        </w:rPr>
        <w:t>Absorption</w:t>
      </w:r>
      <w:r>
        <w:rPr>
          <w:i/>
          <w:spacing w:val="-27"/>
          <w:sz w:val="18"/>
        </w:rPr>
        <w:t> </w:t>
      </w:r>
      <w:r>
        <w:rPr>
          <w:i/>
          <w:w w:val="105"/>
          <w:sz w:val="18"/>
        </w:rPr>
        <w:t>–</w:t>
      </w:r>
      <w:r>
        <w:rPr>
          <w:i/>
          <w:spacing w:val="-29"/>
          <w:w w:val="105"/>
          <w:sz w:val="18"/>
        </w:rPr>
        <w:t> </w:t>
      </w:r>
      <w:r>
        <w:rPr>
          <w:i/>
          <w:sz w:val="18"/>
        </w:rPr>
        <w:t>refers</w:t>
      </w:r>
      <w:r>
        <w:rPr>
          <w:i/>
          <w:spacing w:val="-28"/>
          <w:sz w:val="18"/>
        </w:rPr>
        <w:t> </w:t>
      </w:r>
      <w:r>
        <w:rPr>
          <w:i/>
          <w:sz w:val="18"/>
        </w:rPr>
        <w:t>to</w:t>
      </w:r>
      <w:r>
        <w:rPr>
          <w:i/>
          <w:spacing w:val="-29"/>
          <w:sz w:val="18"/>
        </w:rPr>
        <w:t> </w:t>
      </w:r>
      <w:r>
        <w:rPr>
          <w:i/>
          <w:sz w:val="18"/>
        </w:rPr>
        <w:t>the</w:t>
      </w:r>
      <w:r>
        <w:rPr>
          <w:i/>
          <w:spacing w:val="-28"/>
          <w:sz w:val="18"/>
        </w:rPr>
        <w:t> </w:t>
      </w:r>
      <w:r>
        <w:rPr>
          <w:i/>
          <w:sz w:val="18"/>
        </w:rPr>
        <w:t>quantum</w:t>
      </w:r>
      <w:r>
        <w:rPr>
          <w:i/>
          <w:spacing w:val="-27"/>
          <w:sz w:val="18"/>
        </w:rPr>
        <w:t> </w:t>
      </w:r>
      <w:r>
        <w:rPr>
          <w:i/>
          <w:sz w:val="18"/>
        </w:rPr>
        <w:t>of </w:t>
      </w:r>
      <w:r>
        <w:rPr>
          <w:i/>
          <w:sz w:val="18"/>
        </w:rPr>
        <w:t>leasing</w:t>
      </w:r>
      <w:r>
        <w:rPr>
          <w:i/>
          <w:spacing w:val="-19"/>
          <w:sz w:val="18"/>
        </w:rPr>
        <w:t> </w:t>
      </w:r>
      <w:r>
        <w:rPr>
          <w:i/>
          <w:sz w:val="18"/>
        </w:rPr>
        <w:t>witnessed</w:t>
      </w:r>
      <w:r>
        <w:rPr>
          <w:i/>
          <w:spacing w:val="-17"/>
          <w:sz w:val="18"/>
        </w:rPr>
        <w:t> </w:t>
      </w:r>
      <w:r>
        <w:rPr>
          <w:i/>
          <w:sz w:val="18"/>
        </w:rPr>
        <w:t>in</w:t>
      </w:r>
      <w:r>
        <w:rPr>
          <w:i/>
          <w:spacing w:val="-19"/>
          <w:sz w:val="18"/>
        </w:rPr>
        <w:t> </w:t>
      </w:r>
      <w:r>
        <w:rPr>
          <w:i/>
          <w:sz w:val="18"/>
        </w:rPr>
        <w:t>each</w:t>
      </w:r>
      <w:r>
        <w:rPr>
          <w:i/>
          <w:spacing w:val="-17"/>
          <w:sz w:val="18"/>
        </w:rPr>
        <w:t> </w:t>
      </w:r>
      <w:r>
        <w:rPr>
          <w:i/>
          <w:sz w:val="18"/>
        </w:rPr>
        <w:t>year</w:t>
      </w:r>
      <w:r>
        <w:rPr>
          <w:i/>
          <w:spacing w:val="-18"/>
          <w:sz w:val="18"/>
        </w:rPr>
        <w:t> </w:t>
      </w:r>
      <w:r>
        <w:rPr>
          <w:i/>
          <w:sz w:val="18"/>
        </w:rPr>
        <w:t>as</w:t>
      </w:r>
      <w:r>
        <w:rPr>
          <w:i/>
          <w:spacing w:val="-19"/>
          <w:sz w:val="18"/>
        </w:rPr>
        <w:t> </w:t>
      </w:r>
      <w:r>
        <w:rPr>
          <w:i/>
          <w:sz w:val="18"/>
        </w:rPr>
        <w:t>part</w:t>
      </w:r>
      <w:r>
        <w:rPr>
          <w:i/>
          <w:spacing w:val="-18"/>
          <w:sz w:val="18"/>
        </w:rPr>
        <w:t> </w:t>
      </w:r>
      <w:r>
        <w:rPr>
          <w:i/>
          <w:sz w:val="18"/>
        </w:rPr>
        <w:t>of</w:t>
      </w:r>
      <w:r>
        <w:rPr>
          <w:i/>
          <w:spacing w:val="-17"/>
          <w:sz w:val="18"/>
        </w:rPr>
        <w:t> </w:t>
      </w:r>
      <w:r>
        <w:rPr>
          <w:i/>
          <w:sz w:val="18"/>
        </w:rPr>
        <w:t>completed</w:t>
      </w:r>
      <w:r>
        <w:rPr>
          <w:i/>
          <w:spacing w:val="-19"/>
          <w:sz w:val="18"/>
        </w:rPr>
        <w:t> </w:t>
      </w:r>
      <w:r>
        <w:rPr>
          <w:i/>
          <w:sz w:val="18"/>
        </w:rPr>
        <w:t>space;</w:t>
      </w:r>
      <w:r>
        <w:rPr>
          <w:i/>
          <w:spacing w:val="-18"/>
          <w:sz w:val="18"/>
        </w:rPr>
        <w:t> </w:t>
      </w:r>
      <w:r>
        <w:rPr>
          <w:i/>
          <w:sz w:val="18"/>
        </w:rPr>
        <w:t>the</w:t>
      </w:r>
      <w:r>
        <w:rPr>
          <w:i/>
          <w:spacing w:val="-18"/>
          <w:sz w:val="18"/>
        </w:rPr>
        <w:t> </w:t>
      </w:r>
      <w:r>
        <w:rPr>
          <w:i/>
          <w:sz w:val="18"/>
        </w:rPr>
        <w:t>vacancy</w:t>
      </w:r>
      <w:r>
        <w:rPr>
          <w:i/>
          <w:spacing w:val="-19"/>
          <w:sz w:val="18"/>
        </w:rPr>
        <w:t> </w:t>
      </w:r>
      <w:r>
        <w:rPr>
          <w:i/>
          <w:sz w:val="18"/>
        </w:rPr>
        <w:t>in</w:t>
      </w:r>
      <w:r>
        <w:rPr>
          <w:i/>
          <w:spacing w:val="-14"/>
          <w:sz w:val="18"/>
        </w:rPr>
        <w:t> </w:t>
      </w:r>
      <w:r>
        <w:rPr>
          <w:i/>
          <w:sz w:val="18"/>
        </w:rPr>
        <w:t>the</w:t>
      </w:r>
      <w:r>
        <w:rPr>
          <w:i/>
          <w:spacing w:val="-19"/>
          <w:sz w:val="18"/>
        </w:rPr>
        <w:t> </w:t>
      </w:r>
      <w:r>
        <w:rPr>
          <w:i/>
          <w:sz w:val="18"/>
        </w:rPr>
        <w:t>chart</w:t>
      </w:r>
      <w:r>
        <w:rPr>
          <w:i/>
          <w:spacing w:val="-17"/>
          <w:sz w:val="18"/>
        </w:rPr>
        <w:t> </w:t>
      </w:r>
      <w:r>
        <w:rPr>
          <w:i/>
          <w:sz w:val="18"/>
        </w:rPr>
        <w:t>accounts</w:t>
      </w:r>
      <w:r>
        <w:rPr>
          <w:i/>
          <w:spacing w:val="-17"/>
          <w:sz w:val="18"/>
        </w:rPr>
        <w:t> </w:t>
      </w:r>
      <w:r>
        <w:rPr>
          <w:i/>
          <w:sz w:val="18"/>
        </w:rPr>
        <w:t>for</w:t>
      </w:r>
      <w:r>
        <w:rPr>
          <w:i/>
          <w:spacing w:val="-18"/>
          <w:sz w:val="18"/>
        </w:rPr>
        <w:t> </w:t>
      </w:r>
      <w:r>
        <w:rPr>
          <w:i/>
          <w:sz w:val="18"/>
        </w:rPr>
        <w:t>the</w:t>
      </w:r>
      <w:r>
        <w:rPr>
          <w:i/>
          <w:spacing w:val="-19"/>
          <w:sz w:val="18"/>
        </w:rPr>
        <w:t> </w:t>
      </w:r>
      <w:r>
        <w:rPr>
          <w:i/>
          <w:sz w:val="18"/>
        </w:rPr>
        <w:t>gap</w:t>
      </w:r>
      <w:r>
        <w:rPr>
          <w:i/>
          <w:spacing w:val="-19"/>
          <w:sz w:val="18"/>
        </w:rPr>
        <w:t> </w:t>
      </w:r>
      <w:r>
        <w:rPr>
          <w:i/>
          <w:sz w:val="18"/>
        </w:rPr>
        <w:t>between</w:t>
      </w:r>
      <w:r>
        <w:rPr>
          <w:i/>
          <w:spacing w:val="-17"/>
          <w:sz w:val="18"/>
        </w:rPr>
        <w:t> </w:t>
      </w:r>
      <w:r>
        <w:rPr>
          <w:i/>
          <w:sz w:val="18"/>
        </w:rPr>
        <w:t>cumulative stock and demand in the city in any</w:t>
      </w:r>
      <w:r>
        <w:rPr>
          <w:i/>
          <w:spacing w:val="-40"/>
          <w:sz w:val="18"/>
        </w:rPr>
        <w:t> </w:t>
      </w:r>
      <w:r>
        <w:rPr>
          <w:i/>
          <w:sz w:val="18"/>
        </w:rPr>
        <w:t>given year.</w:t>
      </w:r>
    </w:p>
    <w:p>
      <w:pPr>
        <w:pStyle w:val="BodyText"/>
        <w:spacing w:before="11"/>
        <w:rPr>
          <w:i/>
          <w:sz w:val="20"/>
        </w:rPr>
      </w:pPr>
    </w:p>
    <w:p>
      <w:pPr>
        <w:pStyle w:val="BodyText"/>
        <w:ind w:left="1227"/>
      </w:pPr>
      <w:r>
        <w:rPr>
          <w:u w:val="single"/>
        </w:rPr>
        <w:t>Commercial</w:t>
      </w:r>
    </w:p>
    <w:p>
      <w:pPr>
        <w:pStyle w:val="BodyText"/>
        <w:spacing w:before="10"/>
        <w:rPr>
          <w:sz w:val="18"/>
        </w:rPr>
      </w:pPr>
    </w:p>
    <w:p>
      <w:pPr>
        <w:pStyle w:val="BodyText"/>
        <w:spacing w:line="321" w:lineRule="auto" w:before="106"/>
        <w:ind w:left="1227" w:right="673"/>
        <w:jc w:val="both"/>
      </w:pPr>
      <w:r>
        <w:rPr/>
        <w:t>Given</w:t>
      </w:r>
      <w:r>
        <w:rPr>
          <w:spacing w:val="-5"/>
        </w:rPr>
        <w:t> </w:t>
      </w:r>
      <w:r>
        <w:rPr/>
        <w:t>the</w:t>
      </w:r>
      <w:r>
        <w:rPr>
          <w:spacing w:val="-5"/>
        </w:rPr>
        <w:t> </w:t>
      </w:r>
      <w:r>
        <w:rPr/>
        <w:t>high-end</w:t>
      </w:r>
      <w:r>
        <w:rPr>
          <w:spacing w:val="-3"/>
        </w:rPr>
        <w:t> </w:t>
      </w:r>
      <w:r>
        <w:rPr/>
        <w:t>office</w:t>
      </w:r>
      <w:r>
        <w:rPr>
          <w:spacing w:val="-4"/>
        </w:rPr>
        <w:t> </w:t>
      </w:r>
      <w:r>
        <w:rPr/>
        <w:t>space</w:t>
      </w:r>
      <w:r>
        <w:rPr>
          <w:spacing w:val="-4"/>
        </w:rPr>
        <w:t> </w:t>
      </w:r>
      <w:r>
        <w:rPr/>
        <w:t>offering</w:t>
      </w:r>
      <w:r>
        <w:rPr>
          <w:spacing w:val="-5"/>
        </w:rPr>
        <w:t> </w:t>
      </w:r>
      <w:r>
        <w:rPr/>
        <w:t>within</w:t>
      </w:r>
      <w:r>
        <w:rPr>
          <w:spacing w:val="-7"/>
        </w:rPr>
        <w:t> </w:t>
      </w:r>
      <w:r>
        <w:rPr/>
        <w:t>the</w:t>
      </w:r>
      <w:r>
        <w:rPr>
          <w:spacing w:val="-5"/>
        </w:rPr>
        <w:t> </w:t>
      </w:r>
      <w:r>
        <w:rPr/>
        <w:t>subject</w:t>
      </w:r>
      <w:r>
        <w:rPr>
          <w:spacing w:val="-5"/>
        </w:rPr>
        <w:t> </w:t>
      </w:r>
      <w:r>
        <w:rPr/>
        <w:t>development,</w:t>
      </w:r>
      <w:r>
        <w:rPr>
          <w:spacing w:val="-6"/>
        </w:rPr>
        <w:t> </w:t>
      </w:r>
      <w:r>
        <w:rPr/>
        <w:t>we</w:t>
      </w:r>
      <w:r>
        <w:rPr>
          <w:spacing w:val="-5"/>
        </w:rPr>
        <w:t> </w:t>
      </w:r>
      <w:r>
        <w:rPr/>
        <w:t>have</w:t>
      </w:r>
      <w:r>
        <w:rPr>
          <w:spacing w:val="-6"/>
        </w:rPr>
        <w:t> </w:t>
      </w:r>
      <w:r>
        <w:rPr/>
        <w:t>benchmarked</w:t>
      </w:r>
      <w:r>
        <w:rPr>
          <w:spacing w:val="-5"/>
        </w:rPr>
        <w:t> </w:t>
      </w:r>
      <w:r>
        <w:rPr/>
        <w:t>the subject</w:t>
      </w:r>
      <w:r>
        <w:rPr>
          <w:spacing w:val="-42"/>
        </w:rPr>
        <w:t> </w:t>
      </w:r>
      <w:r>
        <w:rPr/>
        <w:t>property</w:t>
      </w:r>
      <w:r>
        <w:rPr>
          <w:spacing w:val="-41"/>
        </w:rPr>
        <w:t> </w:t>
      </w:r>
      <w:r>
        <w:rPr/>
        <w:t>with</w:t>
      </w:r>
      <w:r>
        <w:rPr>
          <w:spacing w:val="-43"/>
        </w:rPr>
        <w:t> </w:t>
      </w:r>
      <w:r>
        <w:rPr/>
        <w:t>other</w:t>
      </w:r>
      <w:r>
        <w:rPr>
          <w:spacing w:val="-42"/>
        </w:rPr>
        <w:t> </w:t>
      </w:r>
      <w:r>
        <w:rPr/>
        <w:t>high-end</w:t>
      </w:r>
      <w:r>
        <w:rPr>
          <w:spacing w:val="-42"/>
        </w:rPr>
        <w:t> </w:t>
      </w:r>
      <w:r>
        <w:rPr/>
        <w:t>office</w:t>
      </w:r>
      <w:r>
        <w:rPr>
          <w:spacing w:val="-42"/>
        </w:rPr>
        <w:t> </w:t>
      </w:r>
      <w:r>
        <w:rPr/>
        <w:t>developments/City</w:t>
      </w:r>
      <w:r>
        <w:rPr>
          <w:spacing w:val="-41"/>
        </w:rPr>
        <w:t> </w:t>
      </w:r>
      <w:r>
        <w:rPr/>
        <w:t>Centric</w:t>
      </w:r>
      <w:r>
        <w:rPr>
          <w:spacing w:val="-42"/>
        </w:rPr>
        <w:t> </w:t>
      </w:r>
      <w:r>
        <w:rPr/>
        <w:t>Offices</w:t>
      </w:r>
      <w:r>
        <w:rPr>
          <w:spacing w:val="-42"/>
        </w:rPr>
        <w:t> </w:t>
      </w:r>
      <w:r>
        <w:rPr/>
        <w:t>within</w:t>
      </w:r>
      <w:r>
        <w:rPr>
          <w:spacing w:val="-42"/>
        </w:rPr>
        <w:t> </w:t>
      </w:r>
      <w:r>
        <w:rPr/>
        <w:t>the</w:t>
      </w:r>
      <w:r>
        <w:rPr>
          <w:spacing w:val="-42"/>
        </w:rPr>
        <w:t> </w:t>
      </w:r>
      <w:r>
        <w:rPr/>
        <w:t>City.</w:t>
      </w:r>
      <w:r>
        <w:rPr>
          <w:spacing w:val="-42"/>
        </w:rPr>
        <w:t> </w:t>
      </w:r>
      <w:r>
        <w:rPr/>
        <w:t>However, unlike Delhi and Mumbai, Bengaluru is still at a nascent stage as far as branded commercial office spaces</w:t>
      </w:r>
      <w:r>
        <w:rPr>
          <w:spacing w:val="-46"/>
        </w:rPr>
        <w:t> </w:t>
      </w:r>
      <w:r>
        <w:rPr/>
        <w:t>are</w:t>
      </w:r>
      <w:r>
        <w:rPr>
          <w:spacing w:val="-46"/>
        </w:rPr>
        <w:t> </w:t>
      </w:r>
      <w:r>
        <w:rPr/>
        <w:t>concerned.</w:t>
      </w:r>
      <w:r>
        <w:rPr>
          <w:spacing w:val="-46"/>
        </w:rPr>
        <w:t> </w:t>
      </w:r>
      <w:r>
        <w:rPr/>
        <w:t>There</w:t>
      </w:r>
      <w:r>
        <w:rPr>
          <w:spacing w:val="-46"/>
        </w:rPr>
        <w:t> </w:t>
      </w:r>
      <w:r>
        <w:rPr/>
        <w:t>are</w:t>
      </w:r>
      <w:r>
        <w:rPr>
          <w:spacing w:val="-46"/>
        </w:rPr>
        <w:t> </w:t>
      </w:r>
      <w:r>
        <w:rPr/>
        <w:t>few</w:t>
      </w:r>
      <w:r>
        <w:rPr>
          <w:spacing w:val="-45"/>
        </w:rPr>
        <w:t> </w:t>
      </w:r>
      <w:r>
        <w:rPr/>
        <w:t>high</w:t>
      </w:r>
      <w:r>
        <w:rPr>
          <w:spacing w:val="-46"/>
        </w:rPr>
        <w:t> </w:t>
      </w:r>
      <w:r>
        <w:rPr/>
        <w:t>quality</w:t>
      </w:r>
      <w:r>
        <w:rPr>
          <w:spacing w:val="-45"/>
        </w:rPr>
        <w:t> </w:t>
      </w:r>
      <w:r>
        <w:rPr/>
        <w:t>commercial</w:t>
      </w:r>
      <w:r>
        <w:rPr>
          <w:spacing w:val="-46"/>
        </w:rPr>
        <w:t> </w:t>
      </w:r>
      <w:r>
        <w:rPr/>
        <w:t>developments</w:t>
      </w:r>
      <w:r>
        <w:rPr>
          <w:spacing w:val="-46"/>
        </w:rPr>
        <w:t> </w:t>
      </w:r>
      <w:r>
        <w:rPr/>
        <w:t>in</w:t>
      </w:r>
      <w:r>
        <w:rPr>
          <w:spacing w:val="-46"/>
        </w:rPr>
        <w:t> </w:t>
      </w:r>
      <w:r>
        <w:rPr/>
        <w:t>the</w:t>
      </w:r>
      <w:r>
        <w:rPr>
          <w:spacing w:val="-46"/>
        </w:rPr>
        <w:t> </w:t>
      </w:r>
      <w:r>
        <w:rPr/>
        <w:t>city</w:t>
      </w:r>
      <w:r>
        <w:rPr>
          <w:spacing w:val="-45"/>
        </w:rPr>
        <w:t> </w:t>
      </w:r>
      <w:r>
        <w:rPr/>
        <w:t>which</w:t>
      </w:r>
      <w:r>
        <w:rPr>
          <w:spacing w:val="-46"/>
        </w:rPr>
        <w:t> </w:t>
      </w:r>
      <w:r>
        <w:rPr/>
        <w:t>are</w:t>
      </w:r>
      <w:r>
        <w:rPr>
          <w:spacing w:val="-46"/>
        </w:rPr>
        <w:t> </w:t>
      </w:r>
      <w:r>
        <w:rPr/>
        <w:t>centrally located</w:t>
      </w:r>
      <w:r>
        <w:rPr>
          <w:spacing w:val="-21"/>
        </w:rPr>
        <w:t> </w:t>
      </w:r>
      <w:r>
        <w:rPr/>
        <w:t>and</w:t>
      </w:r>
      <w:r>
        <w:rPr>
          <w:spacing w:val="-21"/>
        </w:rPr>
        <w:t> </w:t>
      </w:r>
      <w:r>
        <w:rPr/>
        <w:t>have</w:t>
      </w:r>
      <w:r>
        <w:rPr>
          <w:spacing w:val="-23"/>
        </w:rPr>
        <w:t> </w:t>
      </w:r>
      <w:r>
        <w:rPr/>
        <w:t>been</w:t>
      </w:r>
      <w:r>
        <w:rPr>
          <w:spacing w:val="-22"/>
        </w:rPr>
        <w:t> </w:t>
      </w:r>
      <w:r>
        <w:rPr/>
        <w:t>built</w:t>
      </w:r>
      <w:r>
        <w:rPr>
          <w:spacing w:val="-20"/>
        </w:rPr>
        <w:t> </w:t>
      </w:r>
      <w:r>
        <w:rPr/>
        <w:t>to</w:t>
      </w:r>
      <w:r>
        <w:rPr>
          <w:spacing w:val="-22"/>
        </w:rPr>
        <w:t> </w:t>
      </w:r>
      <w:r>
        <w:rPr/>
        <w:t>international</w:t>
      </w:r>
      <w:r>
        <w:rPr>
          <w:spacing w:val="-21"/>
        </w:rPr>
        <w:t> </w:t>
      </w:r>
      <w:r>
        <w:rPr/>
        <w:t>standards</w:t>
      </w:r>
      <w:r>
        <w:rPr>
          <w:spacing w:val="-21"/>
        </w:rPr>
        <w:t> </w:t>
      </w:r>
      <w:r>
        <w:rPr/>
        <w:t>of</w:t>
      </w:r>
      <w:r>
        <w:rPr>
          <w:spacing w:val="-22"/>
        </w:rPr>
        <w:t> </w:t>
      </w:r>
      <w:r>
        <w:rPr/>
        <w:t>specifications</w:t>
      </w:r>
      <w:r>
        <w:rPr>
          <w:spacing w:val="-22"/>
        </w:rPr>
        <w:t> </w:t>
      </w:r>
      <w:r>
        <w:rPr/>
        <w:t>and</w:t>
      </w:r>
      <w:r>
        <w:rPr>
          <w:spacing w:val="-21"/>
        </w:rPr>
        <w:t> </w:t>
      </w:r>
      <w:r>
        <w:rPr/>
        <w:t>amenities.</w:t>
      </w:r>
      <w:r>
        <w:rPr>
          <w:spacing w:val="-22"/>
        </w:rPr>
        <w:t> </w:t>
      </w:r>
      <w:r>
        <w:rPr/>
        <w:t>These</w:t>
      </w:r>
      <w:r>
        <w:rPr>
          <w:spacing w:val="-17"/>
        </w:rPr>
        <w:t> </w:t>
      </w:r>
      <w:r>
        <w:rPr/>
        <w:t>high-end office developments have been witnessed to command a premium over other commercial offices (primarily</w:t>
      </w:r>
      <w:r>
        <w:rPr>
          <w:spacing w:val="-7"/>
        </w:rPr>
        <w:t> </w:t>
      </w:r>
      <w:r>
        <w:rPr/>
        <w:t>owing</w:t>
      </w:r>
      <w:r>
        <w:rPr>
          <w:spacing w:val="-6"/>
        </w:rPr>
        <w:t> </w:t>
      </w:r>
      <w:r>
        <w:rPr/>
        <w:t>to</w:t>
      </w:r>
      <w:r>
        <w:rPr>
          <w:spacing w:val="-7"/>
        </w:rPr>
        <w:t> </w:t>
      </w:r>
      <w:r>
        <w:rPr/>
        <w:t>their</w:t>
      </w:r>
      <w:r>
        <w:rPr>
          <w:spacing w:val="-8"/>
        </w:rPr>
        <w:t> </w:t>
      </w:r>
      <w:r>
        <w:rPr/>
        <w:t>strategic</w:t>
      </w:r>
      <w:r>
        <w:rPr>
          <w:spacing w:val="-8"/>
        </w:rPr>
        <w:t> </w:t>
      </w:r>
      <w:r>
        <w:rPr/>
        <w:t>location</w:t>
      </w:r>
      <w:r>
        <w:rPr>
          <w:spacing w:val="-7"/>
        </w:rPr>
        <w:t> </w:t>
      </w:r>
      <w:r>
        <w:rPr/>
        <w:t>and</w:t>
      </w:r>
      <w:r>
        <w:rPr>
          <w:spacing w:val="-8"/>
        </w:rPr>
        <w:t> </w:t>
      </w:r>
      <w:r>
        <w:rPr/>
        <w:t>product</w:t>
      </w:r>
      <w:r>
        <w:rPr>
          <w:spacing w:val="-7"/>
        </w:rPr>
        <w:t> </w:t>
      </w:r>
      <w:r>
        <w:rPr/>
        <w:t>offering).</w:t>
      </w:r>
    </w:p>
    <w:p>
      <w:pPr>
        <w:spacing w:after="0" w:line="321" w:lineRule="auto"/>
        <w:jc w:val="both"/>
        <w:sectPr>
          <w:type w:val="continuous"/>
          <w:pgSz w:w="11910" w:h="16840"/>
          <w:pgMar w:top="800" w:bottom="280" w:left="40" w:right="40"/>
        </w:sectPr>
      </w:pPr>
    </w:p>
    <w:p>
      <w:pPr>
        <w:pStyle w:val="BodyText"/>
        <w:spacing w:before="7"/>
        <w:rPr>
          <w:sz w:val="9"/>
        </w:rPr>
      </w:pPr>
    </w:p>
    <w:p>
      <w:pPr>
        <w:pStyle w:val="BodyText"/>
        <w:spacing w:before="106"/>
        <w:ind w:left="1227"/>
      </w:pPr>
      <w:r>
        <w:rPr/>
        <w:t>The table below highlights prominent high-end office development located within Bengaluru City:</w:t>
      </w:r>
    </w:p>
    <w:p>
      <w:pPr>
        <w:pStyle w:val="BodyText"/>
        <w:spacing w:before="1"/>
        <w:rPr>
          <w:sz w:val="29"/>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48"/>
        <w:gridCol w:w="2511"/>
        <w:gridCol w:w="2489"/>
        <w:gridCol w:w="2737"/>
      </w:tblGrid>
      <w:tr>
        <w:trPr>
          <w:trHeight w:val="431" w:hRule="atLeast"/>
        </w:trPr>
        <w:tc>
          <w:tcPr>
            <w:tcW w:w="2748" w:type="dxa"/>
            <w:tcBorders>
              <w:top w:val="single" w:sz="12" w:space="0" w:color="1F6B16"/>
              <w:bottom w:val="single" w:sz="6" w:space="0" w:color="69BD28"/>
            </w:tcBorders>
            <w:shd w:val="clear" w:color="auto" w:fill="006A4D"/>
          </w:tcPr>
          <w:p>
            <w:pPr>
              <w:pStyle w:val="TableParagraph"/>
              <w:spacing w:before="111"/>
              <w:ind w:left="235" w:right="109"/>
              <w:rPr>
                <w:b/>
                <w:sz w:val="18"/>
              </w:rPr>
            </w:pPr>
            <w:r>
              <w:rPr>
                <w:b/>
                <w:color w:val="FFFFFF"/>
                <w:w w:val="110"/>
                <w:sz w:val="18"/>
              </w:rPr>
              <w:t>Development Name</w:t>
            </w:r>
          </w:p>
        </w:tc>
        <w:tc>
          <w:tcPr>
            <w:tcW w:w="2511" w:type="dxa"/>
            <w:tcBorders>
              <w:top w:val="single" w:sz="12" w:space="0" w:color="1F6B16"/>
              <w:bottom w:val="single" w:sz="6" w:space="0" w:color="69BD28"/>
            </w:tcBorders>
            <w:shd w:val="clear" w:color="auto" w:fill="006A4D"/>
          </w:tcPr>
          <w:p>
            <w:pPr>
              <w:pStyle w:val="TableParagraph"/>
              <w:spacing w:before="3"/>
              <w:ind w:left="427" w:right="819"/>
              <w:rPr>
                <w:b/>
                <w:sz w:val="18"/>
              </w:rPr>
            </w:pPr>
            <w:r>
              <w:rPr>
                <w:b/>
                <w:color w:val="FFFFFF"/>
                <w:w w:val="110"/>
                <w:sz w:val="18"/>
              </w:rPr>
              <w:t>Development</w:t>
            </w:r>
          </w:p>
          <w:p>
            <w:pPr>
              <w:pStyle w:val="TableParagraph"/>
              <w:spacing w:line="192" w:lineRule="exact" w:before="7"/>
              <w:ind w:left="427" w:right="813"/>
              <w:rPr>
                <w:b/>
                <w:sz w:val="18"/>
              </w:rPr>
            </w:pPr>
            <w:r>
              <w:rPr>
                <w:b/>
                <w:color w:val="FFFFFF"/>
                <w:w w:val="105"/>
                <w:sz w:val="18"/>
              </w:rPr>
              <w:t>Type</w:t>
            </w:r>
          </w:p>
        </w:tc>
        <w:tc>
          <w:tcPr>
            <w:tcW w:w="2489" w:type="dxa"/>
            <w:tcBorders>
              <w:top w:val="single" w:sz="12" w:space="0" w:color="1F6B16"/>
              <w:bottom w:val="single" w:sz="6" w:space="0" w:color="69BD28"/>
            </w:tcBorders>
            <w:shd w:val="clear" w:color="auto" w:fill="006A4D"/>
          </w:tcPr>
          <w:p>
            <w:pPr>
              <w:pStyle w:val="TableParagraph"/>
              <w:spacing w:before="111"/>
              <w:ind w:left="32" w:right="51"/>
              <w:rPr>
                <w:b/>
                <w:sz w:val="18"/>
              </w:rPr>
            </w:pPr>
            <w:r>
              <w:rPr>
                <w:b/>
                <w:color w:val="FFFFFF"/>
                <w:w w:val="110"/>
                <w:sz w:val="18"/>
              </w:rPr>
              <w:t>Total Leasable Area (msf)</w:t>
            </w:r>
          </w:p>
        </w:tc>
        <w:tc>
          <w:tcPr>
            <w:tcW w:w="2737" w:type="dxa"/>
            <w:tcBorders>
              <w:top w:val="single" w:sz="12" w:space="0" w:color="1F6B16"/>
              <w:bottom w:val="single" w:sz="6" w:space="0" w:color="69BD28"/>
            </w:tcBorders>
            <w:shd w:val="clear" w:color="auto" w:fill="006A4D"/>
          </w:tcPr>
          <w:p>
            <w:pPr>
              <w:pStyle w:val="TableParagraph"/>
              <w:spacing w:before="111"/>
              <w:ind w:right="576"/>
              <w:jc w:val="right"/>
              <w:rPr>
                <w:b/>
                <w:sz w:val="18"/>
              </w:rPr>
            </w:pPr>
            <w:r>
              <w:rPr>
                <w:b/>
                <w:color w:val="FFFFFF"/>
                <w:w w:val="110"/>
                <w:sz w:val="18"/>
              </w:rPr>
              <w:t>Vacancy (%)</w:t>
            </w:r>
          </w:p>
        </w:tc>
      </w:tr>
      <w:tr>
        <w:trPr>
          <w:trHeight w:val="359" w:hRule="atLeast"/>
        </w:trPr>
        <w:tc>
          <w:tcPr>
            <w:tcW w:w="2748" w:type="dxa"/>
            <w:tcBorders>
              <w:top w:val="single" w:sz="6" w:space="0" w:color="69BD28"/>
              <w:bottom w:val="single" w:sz="6" w:space="0" w:color="69BD28"/>
            </w:tcBorders>
          </w:tcPr>
          <w:p>
            <w:pPr>
              <w:pStyle w:val="TableParagraph"/>
              <w:spacing w:before="75"/>
              <w:ind w:left="235" w:right="110"/>
              <w:rPr>
                <w:sz w:val="18"/>
              </w:rPr>
            </w:pPr>
            <w:r>
              <w:rPr>
                <w:w w:val="105"/>
                <w:sz w:val="18"/>
              </w:rPr>
              <w:t>Development 1</w:t>
            </w:r>
          </w:p>
        </w:tc>
        <w:tc>
          <w:tcPr>
            <w:tcW w:w="2511" w:type="dxa"/>
            <w:tcBorders>
              <w:top w:val="single" w:sz="6" w:space="0" w:color="69BD28"/>
              <w:bottom w:val="single" w:sz="6" w:space="0" w:color="69BD28"/>
            </w:tcBorders>
          </w:tcPr>
          <w:p>
            <w:pPr>
              <w:pStyle w:val="TableParagraph"/>
              <w:spacing w:before="75"/>
              <w:ind w:left="711"/>
              <w:jc w:val="left"/>
              <w:rPr>
                <w:sz w:val="18"/>
              </w:rPr>
            </w:pPr>
            <w:r>
              <w:rPr>
                <w:w w:val="105"/>
                <w:sz w:val="18"/>
              </w:rPr>
              <w:t>Non-SEZ</w:t>
            </w:r>
          </w:p>
        </w:tc>
        <w:tc>
          <w:tcPr>
            <w:tcW w:w="2489" w:type="dxa"/>
            <w:tcBorders>
              <w:top w:val="single" w:sz="6" w:space="0" w:color="69BD28"/>
              <w:bottom w:val="single" w:sz="6" w:space="0" w:color="69BD28"/>
            </w:tcBorders>
          </w:tcPr>
          <w:p>
            <w:pPr>
              <w:pStyle w:val="TableParagraph"/>
              <w:spacing w:before="75"/>
              <w:ind w:left="29" w:right="51"/>
              <w:rPr>
                <w:sz w:val="18"/>
              </w:rPr>
            </w:pPr>
            <w:r>
              <w:rPr>
                <w:w w:val="105"/>
                <w:sz w:val="18"/>
              </w:rPr>
              <w:t>0.5</w:t>
            </w:r>
          </w:p>
        </w:tc>
        <w:tc>
          <w:tcPr>
            <w:tcW w:w="2737" w:type="dxa"/>
            <w:tcBorders>
              <w:top w:val="single" w:sz="6" w:space="0" w:color="69BD28"/>
              <w:bottom w:val="single" w:sz="6" w:space="0" w:color="69BD28"/>
            </w:tcBorders>
          </w:tcPr>
          <w:p>
            <w:pPr>
              <w:pStyle w:val="TableParagraph"/>
              <w:spacing w:before="75"/>
              <w:ind w:left="1307"/>
              <w:jc w:val="left"/>
              <w:rPr>
                <w:sz w:val="18"/>
              </w:rPr>
            </w:pPr>
            <w:r>
              <w:rPr>
                <w:w w:val="130"/>
                <w:sz w:val="18"/>
              </w:rPr>
              <w:t>&lt; </w:t>
            </w:r>
            <w:r>
              <w:rPr>
                <w:w w:val="125"/>
                <w:sz w:val="18"/>
              </w:rPr>
              <w:t>5.0%</w:t>
            </w:r>
          </w:p>
        </w:tc>
      </w:tr>
      <w:tr>
        <w:trPr>
          <w:trHeight w:val="361" w:hRule="atLeast"/>
        </w:trPr>
        <w:tc>
          <w:tcPr>
            <w:tcW w:w="2748" w:type="dxa"/>
            <w:tcBorders>
              <w:top w:val="single" w:sz="6" w:space="0" w:color="69BD28"/>
              <w:bottom w:val="single" w:sz="6" w:space="0" w:color="69BD28"/>
            </w:tcBorders>
          </w:tcPr>
          <w:p>
            <w:pPr>
              <w:pStyle w:val="TableParagraph"/>
              <w:spacing w:before="78"/>
              <w:ind w:left="235" w:right="109"/>
              <w:rPr>
                <w:sz w:val="18"/>
              </w:rPr>
            </w:pPr>
            <w:r>
              <w:rPr>
                <w:w w:val="105"/>
                <w:sz w:val="18"/>
              </w:rPr>
              <w:t>Development 2</w:t>
            </w:r>
          </w:p>
        </w:tc>
        <w:tc>
          <w:tcPr>
            <w:tcW w:w="2511" w:type="dxa"/>
            <w:tcBorders>
              <w:top w:val="single" w:sz="6" w:space="0" w:color="69BD28"/>
              <w:bottom w:val="single" w:sz="6" w:space="0" w:color="69BD28"/>
            </w:tcBorders>
          </w:tcPr>
          <w:p>
            <w:pPr>
              <w:pStyle w:val="TableParagraph"/>
              <w:spacing w:before="78"/>
              <w:ind w:left="711"/>
              <w:jc w:val="left"/>
              <w:rPr>
                <w:sz w:val="18"/>
              </w:rPr>
            </w:pPr>
            <w:r>
              <w:rPr>
                <w:w w:val="105"/>
                <w:sz w:val="18"/>
              </w:rPr>
              <w:t>Non-SEZ</w:t>
            </w:r>
          </w:p>
        </w:tc>
        <w:tc>
          <w:tcPr>
            <w:tcW w:w="2489" w:type="dxa"/>
            <w:tcBorders>
              <w:top w:val="single" w:sz="6" w:space="0" w:color="69BD28"/>
              <w:bottom w:val="single" w:sz="6" w:space="0" w:color="69BD28"/>
            </w:tcBorders>
          </w:tcPr>
          <w:p>
            <w:pPr>
              <w:pStyle w:val="TableParagraph"/>
              <w:spacing w:before="78"/>
              <w:ind w:left="29" w:right="51"/>
              <w:rPr>
                <w:sz w:val="18"/>
              </w:rPr>
            </w:pPr>
            <w:r>
              <w:rPr>
                <w:w w:val="105"/>
                <w:sz w:val="18"/>
              </w:rPr>
              <w:t>0.2</w:t>
            </w:r>
          </w:p>
        </w:tc>
        <w:tc>
          <w:tcPr>
            <w:tcW w:w="2737" w:type="dxa"/>
            <w:tcBorders>
              <w:top w:val="single" w:sz="6" w:space="0" w:color="69BD28"/>
              <w:bottom w:val="single" w:sz="6" w:space="0" w:color="69BD28"/>
            </w:tcBorders>
          </w:tcPr>
          <w:p>
            <w:pPr>
              <w:pStyle w:val="TableParagraph"/>
              <w:spacing w:before="78"/>
              <w:ind w:left="1290"/>
              <w:jc w:val="left"/>
              <w:rPr>
                <w:sz w:val="18"/>
              </w:rPr>
            </w:pPr>
            <w:r>
              <w:rPr>
                <w:sz w:val="18"/>
              </w:rPr>
              <w:t>Minimal</w:t>
            </w:r>
          </w:p>
        </w:tc>
      </w:tr>
      <w:tr>
        <w:trPr>
          <w:trHeight w:val="359" w:hRule="atLeast"/>
        </w:trPr>
        <w:tc>
          <w:tcPr>
            <w:tcW w:w="2748" w:type="dxa"/>
            <w:tcBorders>
              <w:top w:val="single" w:sz="6" w:space="0" w:color="69BD28"/>
              <w:bottom w:val="single" w:sz="6" w:space="0" w:color="69BD28"/>
            </w:tcBorders>
          </w:tcPr>
          <w:p>
            <w:pPr>
              <w:pStyle w:val="TableParagraph"/>
              <w:spacing w:before="75"/>
              <w:ind w:left="235" w:right="109"/>
              <w:rPr>
                <w:sz w:val="18"/>
              </w:rPr>
            </w:pPr>
            <w:r>
              <w:rPr>
                <w:w w:val="105"/>
                <w:sz w:val="18"/>
              </w:rPr>
              <w:t>Development 3</w:t>
            </w:r>
          </w:p>
        </w:tc>
        <w:tc>
          <w:tcPr>
            <w:tcW w:w="2511" w:type="dxa"/>
            <w:tcBorders>
              <w:top w:val="single" w:sz="6" w:space="0" w:color="69BD28"/>
              <w:bottom w:val="single" w:sz="6" w:space="0" w:color="69BD28"/>
            </w:tcBorders>
          </w:tcPr>
          <w:p>
            <w:pPr>
              <w:pStyle w:val="TableParagraph"/>
              <w:spacing w:before="75"/>
              <w:ind w:left="711"/>
              <w:jc w:val="left"/>
              <w:rPr>
                <w:sz w:val="18"/>
              </w:rPr>
            </w:pPr>
            <w:r>
              <w:rPr>
                <w:w w:val="105"/>
                <w:sz w:val="18"/>
              </w:rPr>
              <w:t>Non-SEZ</w:t>
            </w:r>
          </w:p>
        </w:tc>
        <w:tc>
          <w:tcPr>
            <w:tcW w:w="2489" w:type="dxa"/>
            <w:tcBorders>
              <w:top w:val="single" w:sz="6" w:space="0" w:color="69BD28"/>
              <w:bottom w:val="single" w:sz="6" w:space="0" w:color="69BD28"/>
            </w:tcBorders>
          </w:tcPr>
          <w:p>
            <w:pPr>
              <w:pStyle w:val="TableParagraph"/>
              <w:spacing w:before="75"/>
              <w:ind w:left="29" w:right="51"/>
              <w:rPr>
                <w:sz w:val="18"/>
              </w:rPr>
            </w:pPr>
            <w:r>
              <w:rPr>
                <w:w w:val="105"/>
                <w:sz w:val="18"/>
              </w:rPr>
              <w:t>0.7</w:t>
            </w:r>
          </w:p>
        </w:tc>
        <w:tc>
          <w:tcPr>
            <w:tcW w:w="2737" w:type="dxa"/>
            <w:tcBorders>
              <w:top w:val="single" w:sz="6" w:space="0" w:color="69BD28"/>
              <w:bottom w:val="single" w:sz="6" w:space="0" w:color="69BD28"/>
            </w:tcBorders>
          </w:tcPr>
          <w:p>
            <w:pPr>
              <w:pStyle w:val="TableParagraph"/>
              <w:spacing w:before="75"/>
              <w:ind w:left="1290"/>
              <w:jc w:val="left"/>
              <w:rPr>
                <w:sz w:val="18"/>
              </w:rPr>
            </w:pPr>
            <w:r>
              <w:rPr>
                <w:sz w:val="18"/>
              </w:rPr>
              <w:t>Minimal</w:t>
            </w:r>
          </w:p>
        </w:tc>
      </w:tr>
      <w:tr>
        <w:trPr>
          <w:trHeight w:val="359" w:hRule="atLeast"/>
        </w:trPr>
        <w:tc>
          <w:tcPr>
            <w:tcW w:w="2748" w:type="dxa"/>
            <w:tcBorders>
              <w:top w:val="single" w:sz="6" w:space="0" w:color="69BD28"/>
              <w:bottom w:val="single" w:sz="6" w:space="0" w:color="69BD28"/>
            </w:tcBorders>
          </w:tcPr>
          <w:p>
            <w:pPr>
              <w:pStyle w:val="TableParagraph"/>
              <w:spacing w:before="75"/>
              <w:ind w:left="235" w:right="109"/>
              <w:rPr>
                <w:sz w:val="18"/>
              </w:rPr>
            </w:pPr>
            <w:r>
              <w:rPr>
                <w:w w:val="105"/>
                <w:sz w:val="18"/>
              </w:rPr>
              <w:t>Development 4</w:t>
            </w:r>
          </w:p>
        </w:tc>
        <w:tc>
          <w:tcPr>
            <w:tcW w:w="2511" w:type="dxa"/>
            <w:tcBorders>
              <w:top w:val="single" w:sz="6" w:space="0" w:color="69BD28"/>
              <w:bottom w:val="single" w:sz="6" w:space="0" w:color="69BD28"/>
            </w:tcBorders>
          </w:tcPr>
          <w:p>
            <w:pPr>
              <w:pStyle w:val="TableParagraph"/>
              <w:spacing w:before="75"/>
              <w:ind w:left="711"/>
              <w:jc w:val="left"/>
              <w:rPr>
                <w:sz w:val="18"/>
              </w:rPr>
            </w:pPr>
            <w:r>
              <w:rPr>
                <w:w w:val="105"/>
                <w:sz w:val="18"/>
              </w:rPr>
              <w:t>Non-SEZ</w:t>
            </w:r>
          </w:p>
        </w:tc>
        <w:tc>
          <w:tcPr>
            <w:tcW w:w="2489" w:type="dxa"/>
            <w:tcBorders>
              <w:top w:val="single" w:sz="6" w:space="0" w:color="69BD28"/>
              <w:bottom w:val="single" w:sz="6" w:space="0" w:color="69BD28"/>
            </w:tcBorders>
          </w:tcPr>
          <w:p>
            <w:pPr>
              <w:pStyle w:val="TableParagraph"/>
              <w:spacing w:before="75"/>
              <w:ind w:left="29" w:right="51"/>
              <w:rPr>
                <w:sz w:val="18"/>
              </w:rPr>
            </w:pPr>
            <w:r>
              <w:rPr>
                <w:w w:val="105"/>
                <w:sz w:val="18"/>
              </w:rPr>
              <w:t>0.1</w:t>
            </w:r>
          </w:p>
        </w:tc>
        <w:tc>
          <w:tcPr>
            <w:tcW w:w="2737" w:type="dxa"/>
            <w:tcBorders>
              <w:top w:val="single" w:sz="6" w:space="0" w:color="69BD28"/>
              <w:bottom w:val="single" w:sz="6" w:space="0" w:color="69BD28"/>
            </w:tcBorders>
          </w:tcPr>
          <w:p>
            <w:pPr>
              <w:pStyle w:val="TableParagraph"/>
              <w:spacing w:before="75"/>
              <w:ind w:right="646"/>
              <w:jc w:val="right"/>
              <w:rPr>
                <w:sz w:val="18"/>
              </w:rPr>
            </w:pPr>
            <w:r>
              <w:rPr>
                <w:w w:val="115"/>
                <w:sz w:val="18"/>
              </w:rPr>
              <w:t>5.0 – 10.0%</w:t>
            </w:r>
          </w:p>
        </w:tc>
      </w:tr>
      <w:tr>
        <w:trPr>
          <w:trHeight w:val="361" w:hRule="atLeast"/>
        </w:trPr>
        <w:tc>
          <w:tcPr>
            <w:tcW w:w="2748" w:type="dxa"/>
            <w:tcBorders>
              <w:top w:val="single" w:sz="6" w:space="0" w:color="69BD28"/>
              <w:bottom w:val="single" w:sz="6" w:space="0" w:color="69BD28"/>
            </w:tcBorders>
          </w:tcPr>
          <w:p>
            <w:pPr>
              <w:pStyle w:val="TableParagraph"/>
              <w:spacing w:before="75"/>
              <w:ind w:left="235" w:right="109"/>
              <w:rPr>
                <w:sz w:val="18"/>
              </w:rPr>
            </w:pPr>
            <w:r>
              <w:rPr>
                <w:w w:val="105"/>
                <w:sz w:val="18"/>
              </w:rPr>
              <w:t>Development 5</w:t>
            </w:r>
          </w:p>
        </w:tc>
        <w:tc>
          <w:tcPr>
            <w:tcW w:w="2511" w:type="dxa"/>
            <w:tcBorders>
              <w:top w:val="single" w:sz="6" w:space="0" w:color="69BD28"/>
              <w:bottom w:val="single" w:sz="6" w:space="0" w:color="69BD28"/>
            </w:tcBorders>
          </w:tcPr>
          <w:p>
            <w:pPr>
              <w:pStyle w:val="TableParagraph"/>
              <w:spacing w:before="75"/>
              <w:ind w:left="711"/>
              <w:jc w:val="left"/>
              <w:rPr>
                <w:sz w:val="18"/>
              </w:rPr>
            </w:pPr>
            <w:r>
              <w:rPr>
                <w:w w:val="105"/>
                <w:sz w:val="18"/>
              </w:rPr>
              <w:t>Non-SEZ</w:t>
            </w:r>
          </w:p>
        </w:tc>
        <w:tc>
          <w:tcPr>
            <w:tcW w:w="2489" w:type="dxa"/>
            <w:tcBorders>
              <w:top w:val="single" w:sz="6" w:space="0" w:color="69BD28"/>
              <w:bottom w:val="single" w:sz="6" w:space="0" w:color="69BD28"/>
            </w:tcBorders>
          </w:tcPr>
          <w:p>
            <w:pPr>
              <w:pStyle w:val="TableParagraph"/>
              <w:spacing w:before="75"/>
              <w:ind w:left="29" w:right="51"/>
              <w:rPr>
                <w:sz w:val="18"/>
              </w:rPr>
            </w:pPr>
            <w:r>
              <w:rPr>
                <w:w w:val="105"/>
                <w:sz w:val="18"/>
              </w:rPr>
              <w:t>1.1</w:t>
            </w:r>
          </w:p>
        </w:tc>
        <w:tc>
          <w:tcPr>
            <w:tcW w:w="2737" w:type="dxa"/>
            <w:tcBorders>
              <w:top w:val="single" w:sz="6" w:space="0" w:color="69BD28"/>
              <w:bottom w:val="single" w:sz="6" w:space="0" w:color="69BD28"/>
            </w:tcBorders>
          </w:tcPr>
          <w:p>
            <w:pPr>
              <w:pStyle w:val="TableParagraph"/>
              <w:spacing w:before="75"/>
              <w:ind w:left="1290"/>
              <w:jc w:val="left"/>
              <w:rPr>
                <w:sz w:val="18"/>
              </w:rPr>
            </w:pPr>
            <w:r>
              <w:rPr>
                <w:sz w:val="18"/>
              </w:rPr>
              <w:t>Minimal</w:t>
            </w:r>
          </w:p>
        </w:tc>
      </w:tr>
    </w:tbl>
    <w:p>
      <w:pPr>
        <w:spacing w:before="0"/>
        <w:ind w:left="1299" w:right="0" w:firstLine="0"/>
        <w:jc w:val="left"/>
        <w:rPr>
          <w:i/>
          <w:sz w:val="18"/>
        </w:rPr>
      </w:pPr>
      <w:r>
        <w:rPr>
          <w:i/>
          <w:sz w:val="18"/>
        </w:rPr>
        <w:t>Source: CBRE Research</w:t>
      </w:r>
    </w:p>
    <w:p>
      <w:pPr>
        <w:pStyle w:val="BodyText"/>
        <w:spacing w:before="10"/>
        <w:rPr>
          <w:i/>
          <w:sz w:val="26"/>
        </w:rPr>
      </w:pPr>
    </w:p>
    <w:p>
      <w:pPr>
        <w:pStyle w:val="BodyText"/>
        <w:ind w:left="1227"/>
      </w:pPr>
      <w:r>
        <w:rPr>
          <w:u w:val="single"/>
        </w:rPr>
        <w:t>Retail</w:t>
      </w:r>
    </w:p>
    <w:p>
      <w:pPr>
        <w:pStyle w:val="BodyText"/>
        <w:spacing w:before="11"/>
        <w:rPr>
          <w:sz w:val="18"/>
        </w:rPr>
      </w:pPr>
    </w:p>
    <w:p>
      <w:pPr>
        <w:pStyle w:val="BodyText"/>
        <w:spacing w:line="321" w:lineRule="auto" w:before="106"/>
        <w:ind w:left="1227" w:right="678"/>
        <w:jc w:val="both"/>
      </w:pPr>
      <w:r>
        <w:rPr/>
        <w:t>Bengaluru by virtue of being the hub for information technology sector in India is one of the fastest growing</w:t>
      </w:r>
      <w:r>
        <w:rPr>
          <w:spacing w:val="-27"/>
        </w:rPr>
        <w:t> </w:t>
      </w:r>
      <w:r>
        <w:rPr/>
        <w:t>cities,</w:t>
      </w:r>
      <w:r>
        <w:rPr>
          <w:spacing w:val="-28"/>
        </w:rPr>
        <w:t> </w:t>
      </w:r>
      <w:r>
        <w:rPr/>
        <w:t>which</w:t>
      </w:r>
      <w:r>
        <w:rPr>
          <w:spacing w:val="-27"/>
        </w:rPr>
        <w:t> </w:t>
      </w:r>
      <w:r>
        <w:rPr/>
        <w:t>is</w:t>
      </w:r>
      <w:r>
        <w:rPr>
          <w:spacing w:val="-28"/>
        </w:rPr>
        <w:t> </w:t>
      </w:r>
      <w:r>
        <w:rPr/>
        <w:t>strongly</w:t>
      </w:r>
      <w:r>
        <w:rPr>
          <w:spacing w:val="-26"/>
        </w:rPr>
        <w:t> </w:t>
      </w:r>
      <w:r>
        <w:rPr/>
        <w:t>reflected</w:t>
      </w:r>
      <w:r>
        <w:rPr>
          <w:spacing w:val="-27"/>
        </w:rPr>
        <w:t> </w:t>
      </w:r>
      <w:r>
        <w:rPr/>
        <w:t>in</w:t>
      </w:r>
      <w:r>
        <w:rPr>
          <w:spacing w:val="-28"/>
        </w:rPr>
        <w:t> </w:t>
      </w:r>
      <w:r>
        <w:rPr/>
        <w:t>the</w:t>
      </w:r>
      <w:r>
        <w:rPr>
          <w:spacing w:val="-26"/>
        </w:rPr>
        <w:t> </w:t>
      </w:r>
      <w:r>
        <w:rPr/>
        <w:t>real</w:t>
      </w:r>
      <w:r>
        <w:rPr>
          <w:spacing w:val="-27"/>
        </w:rPr>
        <w:t> </w:t>
      </w:r>
      <w:r>
        <w:rPr/>
        <w:t>estate</w:t>
      </w:r>
      <w:r>
        <w:rPr>
          <w:spacing w:val="-27"/>
        </w:rPr>
        <w:t> </w:t>
      </w:r>
      <w:r>
        <w:rPr/>
        <w:t>market</w:t>
      </w:r>
      <w:r>
        <w:rPr>
          <w:spacing w:val="-28"/>
        </w:rPr>
        <w:t> </w:t>
      </w:r>
      <w:r>
        <w:rPr/>
        <w:t>dynamics</w:t>
      </w:r>
      <w:r>
        <w:rPr>
          <w:spacing w:val="-26"/>
        </w:rPr>
        <w:t> </w:t>
      </w:r>
      <w:r>
        <w:rPr/>
        <w:t>of</w:t>
      </w:r>
      <w:r>
        <w:rPr>
          <w:spacing w:val="-27"/>
        </w:rPr>
        <w:t> </w:t>
      </w:r>
      <w:r>
        <w:rPr/>
        <w:t>the</w:t>
      </w:r>
      <w:r>
        <w:rPr>
          <w:spacing w:val="-26"/>
        </w:rPr>
        <w:t> </w:t>
      </w:r>
      <w:r>
        <w:rPr/>
        <w:t>city.</w:t>
      </w:r>
      <w:r>
        <w:rPr>
          <w:spacing w:val="-27"/>
        </w:rPr>
        <w:t> </w:t>
      </w:r>
      <w:r>
        <w:rPr/>
        <w:t>The</w:t>
      </w:r>
      <w:r>
        <w:rPr>
          <w:spacing w:val="-28"/>
        </w:rPr>
        <w:t> </w:t>
      </w:r>
      <w:r>
        <w:rPr/>
        <w:t>increasing presence</w:t>
      </w:r>
      <w:r>
        <w:rPr>
          <w:spacing w:val="-27"/>
        </w:rPr>
        <w:t> </w:t>
      </w:r>
      <w:r>
        <w:rPr/>
        <w:t>of</w:t>
      </w:r>
      <w:r>
        <w:rPr>
          <w:spacing w:val="-27"/>
        </w:rPr>
        <w:t> </w:t>
      </w:r>
      <w:r>
        <w:rPr/>
        <w:t>Technology</w:t>
      </w:r>
      <w:r>
        <w:rPr>
          <w:spacing w:val="-27"/>
        </w:rPr>
        <w:t> </w:t>
      </w:r>
      <w:r>
        <w:rPr/>
        <w:t>professionals</w:t>
      </w:r>
      <w:r>
        <w:rPr>
          <w:spacing w:val="-26"/>
        </w:rPr>
        <w:t> </w:t>
      </w:r>
      <w:r>
        <w:rPr/>
        <w:t>(with</w:t>
      </w:r>
      <w:r>
        <w:rPr>
          <w:spacing w:val="-29"/>
        </w:rPr>
        <w:t> </w:t>
      </w:r>
      <w:r>
        <w:rPr/>
        <w:t>significant</w:t>
      </w:r>
      <w:r>
        <w:rPr>
          <w:spacing w:val="-26"/>
        </w:rPr>
        <w:t> </w:t>
      </w:r>
      <w:r>
        <w:rPr/>
        <w:t>influx</w:t>
      </w:r>
      <w:r>
        <w:rPr>
          <w:spacing w:val="-26"/>
        </w:rPr>
        <w:t> </w:t>
      </w:r>
      <w:r>
        <w:rPr/>
        <w:t>of</w:t>
      </w:r>
      <w:r>
        <w:rPr>
          <w:spacing w:val="-27"/>
        </w:rPr>
        <w:t> </w:t>
      </w:r>
      <w:r>
        <w:rPr/>
        <w:t>professionals</w:t>
      </w:r>
      <w:r>
        <w:rPr>
          <w:spacing w:val="-26"/>
        </w:rPr>
        <w:t> </w:t>
      </w:r>
      <w:r>
        <w:rPr/>
        <w:t>from</w:t>
      </w:r>
      <w:r>
        <w:rPr>
          <w:spacing w:val="-27"/>
        </w:rPr>
        <w:t> </w:t>
      </w:r>
      <w:r>
        <w:rPr/>
        <w:t>other</w:t>
      </w:r>
      <w:r>
        <w:rPr>
          <w:spacing w:val="-27"/>
        </w:rPr>
        <w:t> </w:t>
      </w:r>
      <w:r>
        <w:rPr/>
        <w:t>states</w:t>
      </w:r>
      <w:r>
        <w:rPr>
          <w:spacing w:val="-26"/>
        </w:rPr>
        <w:t> </w:t>
      </w:r>
      <w:r>
        <w:rPr/>
        <w:t>in</w:t>
      </w:r>
      <w:r>
        <w:rPr>
          <w:spacing w:val="-27"/>
        </w:rPr>
        <w:t> </w:t>
      </w:r>
      <w:r>
        <w:rPr/>
        <w:t>India) in the population has resulted in enhanced consumer spending, leading to an expansion of the retail sector in the</w:t>
      </w:r>
      <w:r>
        <w:rPr>
          <w:spacing w:val="-12"/>
        </w:rPr>
        <w:t> </w:t>
      </w:r>
      <w:r>
        <w:rPr/>
        <w:t>city.</w:t>
      </w:r>
    </w:p>
    <w:p>
      <w:pPr>
        <w:pStyle w:val="BodyText"/>
        <w:rPr>
          <w:sz w:val="21"/>
        </w:rPr>
      </w:pPr>
    </w:p>
    <w:p>
      <w:pPr>
        <w:pStyle w:val="BodyText"/>
        <w:spacing w:line="321" w:lineRule="auto"/>
        <w:ind w:left="1227" w:right="674"/>
        <w:jc w:val="both"/>
      </w:pPr>
      <w:r>
        <w:rPr/>
        <w:t>The</w:t>
      </w:r>
      <w:r>
        <w:rPr>
          <w:spacing w:val="-9"/>
        </w:rPr>
        <w:t> </w:t>
      </w:r>
      <w:r>
        <w:rPr/>
        <w:t>retail</w:t>
      </w:r>
      <w:r>
        <w:rPr>
          <w:spacing w:val="-8"/>
        </w:rPr>
        <w:t> </w:t>
      </w:r>
      <w:r>
        <w:rPr/>
        <w:t>sector</w:t>
      </w:r>
      <w:r>
        <w:rPr>
          <w:spacing w:val="-8"/>
        </w:rPr>
        <w:t> </w:t>
      </w:r>
      <w:r>
        <w:rPr/>
        <w:t>in</w:t>
      </w:r>
      <w:r>
        <w:rPr>
          <w:spacing w:val="-9"/>
        </w:rPr>
        <w:t> </w:t>
      </w:r>
      <w:r>
        <w:rPr/>
        <w:t>Bengaluru</w:t>
      </w:r>
      <w:r>
        <w:rPr>
          <w:spacing w:val="-8"/>
        </w:rPr>
        <w:t> </w:t>
      </w:r>
      <w:r>
        <w:rPr/>
        <w:t>was</w:t>
      </w:r>
      <w:r>
        <w:rPr>
          <w:spacing w:val="-6"/>
        </w:rPr>
        <w:t> </w:t>
      </w:r>
      <w:r>
        <w:rPr/>
        <w:t>traditionally</w:t>
      </w:r>
      <w:r>
        <w:rPr>
          <w:spacing w:val="-6"/>
        </w:rPr>
        <w:t> </w:t>
      </w:r>
      <w:r>
        <w:rPr/>
        <w:t>concentrated</w:t>
      </w:r>
      <w:r>
        <w:rPr>
          <w:spacing w:val="-7"/>
        </w:rPr>
        <w:t> </w:t>
      </w:r>
      <w:r>
        <w:rPr/>
        <w:t>in</w:t>
      </w:r>
      <w:r>
        <w:rPr>
          <w:spacing w:val="-8"/>
        </w:rPr>
        <w:t> </w:t>
      </w:r>
      <w:r>
        <w:rPr/>
        <w:t>the</w:t>
      </w:r>
      <w:r>
        <w:rPr>
          <w:spacing w:val="-8"/>
        </w:rPr>
        <w:t> </w:t>
      </w:r>
      <w:r>
        <w:rPr/>
        <w:t>CBD</w:t>
      </w:r>
      <w:r>
        <w:rPr>
          <w:spacing w:val="-9"/>
        </w:rPr>
        <w:t> </w:t>
      </w:r>
      <w:r>
        <w:rPr/>
        <w:t>(MG</w:t>
      </w:r>
      <w:r>
        <w:rPr>
          <w:spacing w:val="-7"/>
        </w:rPr>
        <w:t> </w:t>
      </w:r>
      <w:r>
        <w:rPr/>
        <w:t>Road,</w:t>
      </w:r>
      <w:r>
        <w:rPr>
          <w:spacing w:val="-5"/>
        </w:rPr>
        <w:t> </w:t>
      </w:r>
      <w:r>
        <w:rPr/>
        <w:t>Brigade</w:t>
      </w:r>
      <w:r>
        <w:rPr>
          <w:spacing w:val="-9"/>
        </w:rPr>
        <w:t> </w:t>
      </w:r>
      <w:r>
        <w:rPr/>
        <w:t>Road</w:t>
      </w:r>
      <w:r>
        <w:rPr>
          <w:spacing w:val="-9"/>
        </w:rPr>
        <w:t> </w:t>
      </w:r>
      <w:r>
        <w:rPr/>
        <w:t>and Commercial Street) and surrounding areas (Residency Road and Magrath Road) and was typically characterized</w:t>
      </w:r>
      <w:r>
        <w:rPr>
          <w:spacing w:val="-31"/>
        </w:rPr>
        <w:t> </w:t>
      </w:r>
      <w:r>
        <w:rPr/>
        <w:t>by</w:t>
      </w:r>
      <w:r>
        <w:rPr>
          <w:spacing w:val="-30"/>
        </w:rPr>
        <w:t> </w:t>
      </w:r>
      <w:r>
        <w:rPr/>
        <w:t>high</w:t>
      </w:r>
      <w:r>
        <w:rPr>
          <w:spacing w:val="-30"/>
        </w:rPr>
        <w:t> </w:t>
      </w:r>
      <w:r>
        <w:rPr/>
        <w:t>street</w:t>
      </w:r>
      <w:r>
        <w:rPr>
          <w:spacing w:val="-30"/>
        </w:rPr>
        <w:t> </w:t>
      </w:r>
      <w:r>
        <w:rPr/>
        <w:t>shopping</w:t>
      </w:r>
      <w:r>
        <w:rPr>
          <w:spacing w:val="-30"/>
        </w:rPr>
        <w:t> </w:t>
      </w:r>
      <w:r>
        <w:rPr/>
        <w:t>formats.</w:t>
      </w:r>
      <w:r>
        <w:rPr>
          <w:spacing w:val="-31"/>
        </w:rPr>
        <w:t> </w:t>
      </w:r>
      <w:r>
        <w:rPr/>
        <w:t>The</w:t>
      </w:r>
      <w:r>
        <w:rPr>
          <w:spacing w:val="-32"/>
        </w:rPr>
        <w:t> </w:t>
      </w:r>
      <w:r>
        <w:rPr/>
        <w:t>limited</w:t>
      </w:r>
      <w:r>
        <w:rPr>
          <w:spacing w:val="-31"/>
        </w:rPr>
        <w:t> </w:t>
      </w:r>
      <w:r>
        <w:rPr/>
        <w:t>availability</w:t>
      </w:r>
      <w:r>
        <w:rPr>
          <w:spacing w:val="-30"/>
        </w:rPr>
        <w:t> </w:t>
      </w:r>
      <w:r>
        <w:rPr/>
        <w:t>of</w:t>
      </w:r>
      <w:r>
        <w:rPr>
          <w:spacing w:val="-30"/>
        </w:rPr>
        <w:t> </w:t>
      </w:r>
      <w:r>
        <w:rPr/>
        <w:t>space</w:t>
      </w:r>
      <w:r>
        <w:rPr>
          <w:spacing w:val="-30"/>
        </w:rPr>
        <w:t> </w:t>
      </w:r>
      <w:r>
        <w:rPr/>
        <w:t>in</w:t>
      </w:r>
      <w:r>
        <w:rPr>
          <w:spacing w:val="-30"/>
        </w:rPr>
        <w:t> </w:t>
      </w:r>
      <w:r>
        <w:rPr/>
        <w:t>the</w:t>
      </w:r>
      <w:r>
        <w:rPr>
          <w:spacing w:val="-32"/>
        </w:rPr>
        <w:t> </w:t>
      </w:r>
      <w:r>
        <w:rPr/>
        <w:t>CBD</w:t>
      </w:r>
      <w:r>
        <w:rPr>
          <w:spacing w:val="-30"/>
        </w:rPr>
        <w:t> </w:t>
      </w:r>
      <w:r>
        <w:rPr/>
        <w:t>and</w:t>
      </w:r>
      <w:r>
        <w:rPr>
          <w:spacing w:val="-30"/>
        </w:rPr>
        <w:t> </w:t>
      </w:r>
      <w:r>
        <w:rPr/>
        <w:t>presence of</w:t>
      </w:r>
      <w:r>
        <w:rPr>
          <w:spacing w:val="-9"/>
        </w:rPr>
        <w:t> </w:t>
      </w:r>
      <w:r>
        <w:rPr/>
        <w:t>huge</w:t>
      </w:r>
      <w:r>
        <w:rPr>
          <w:spacing w:val="-9"/>
        </w:rPr>
        <w:t> </w:t>
      </w:r>
      <w:r>
        <w:rPr/>
        <w:t>catchment</w:t>
      </w:r>
      <w:r>
        <w:rPr>
          <w:spacing w:val="-11"/>
        </w:rPr>
        <w:t> </w:t>
      </w:r>
      <w:r>
        <w:rPr/>
        <w:t>population</w:t>
      </w:r>
      <w:r>
        <w:rPr>
          <w:spacing w:val="-10"/>
        </w:rPr>
        <w:t> </w:t>
      </w:r>
      <w:r>
        <w:rPr/>
        <w:t>in</w:t>
      </w:r>
      <w:r>
        <w:rPr>
          <w:spacing w:val="-10"/>
        </w:rPr>
        <w:t> </w:t>
      </w:r>
      <w:r>
        <w:rPr/>
        <w:t>suburban</w:t>
      </w:r>
      <w:r>
        <w:rPr>
          <w:spacing w:val="-7"/>
        </w:rPr>
        <w:t> </w:t>
      </w:r>
      <w:r>
        <w:rPr/>
        <w:t>and</w:t>
      </w:r>
      <w:r>
        <w:rPr>
          <w:spacing w:val="-10"/>
        </w:rPr>
        <w:t> </w:t>
      </w:r>
      <w:r>
        <w:rPr/>
        <w:t>peripheral</w:t>
      </w:r>
      <w:r>
        <w:rPr>
          <w:spacing w:val="-10"/>
        </w:rPr>
        <w:t> </w:t>
      </w:r>
      <w:r>
        <w:rPr/>
        <w:t>locations</w:t>
      </w:r>
      <w:r>
        <w:rPr>
          <w:spacing w:val="-9"/>
        </w:rPr>
        <w:t> </w:t>
      </w:r>
      <w:r>
        <w:rPr/>
        <w:t>eventually</w:t>
      </w:r>
      <w:r>
        <w:rPr>
          <w:spacing w:val="-8"/>
        </w:rPr>
        <w:t> </w:t>
      </w:r>
      <w:r>
        <w:rPr/>
        <w:t>led</w:t>
      </w:r>
      <w:r>
        <w:rPr>
          <w:spacing w:val="-8"/>
        </w:rPr>
        <w:t> </w:t>
      </w:r>
      <w:r>
        <w:rPr/>
        <w:t>to</w:t>
      </w:r>
      <w:r>
        <w:rPr>
          <w:spacing w:val="-11"/>
        </w:rPr>
        <w:t> </w:t>
      </w:r>
      <w:r>
        <w:rPr/>
        <w:t>the</w:t>
      </w:r>
      <w:r>
        <w:rPr>
          <w:spacing w:val="-10"/>
        </w:rPr>
        <w:t> </w:t>
      </w:r>
      <w:r>
        <w:rPr/>
        <w:t>spill-over</w:t>
      </w:r>
      <w:r>
        <w:rPr>
          <w:spacing w:val="-10"/>
        </w:rPr>
        <w:t> </w:t>
      </w:r>
      <w:r>
        <w:rPr/>
        <w:t>of retail activity to Koramangala, Indiranagar and Old Airport Road in the East, Jayanagar and Bannerghatta</w:t>
      </w:r>
      <w:r>
        <w:rPr>
          <w:spacing w:val="-7"/>
        </w:rPr>
        <w:t> </w:t>
      </w:r>
      <w:r>
        <w:rPr/>
        <w:t>Road</w:t>
      </w:r>
      <w:r>
        <w:rPr>
          <w:spacing w:val="-5"/>
        </w:rPr>
        <w:t> </w:t>
      </w:r>
      <w:r>
        <w:rPr/>
        <w:t>in</w:t>
      </w:r>
      <w:r>
        <w:rPr>
          <w:spacing w:val="-7"/>
        </w:rPr>
        <w:t> </w:t>
      </w:r>
      <w:r>
        <w:rPr/>
        <w:t>the</w:t>
      </w:r>
      <w:r>
        <w:rPr>
          <w:spacing w:val="-9"/>
        </w:rPr>
        <w:t> </w:t>
      </w:r>
      <w:r>
        <w:rPr/>
        <w:t>South</w:t>
      </w:r>
      <w:r>
        <w:rPr>
          <w:spacing w:val="-6"/>
        </w:rPr>
        <w:t> </w:t>
      </w:r>
      <w:r>
        <w:rPr/>
        <w:t>and</w:t>
      </w:r>
      <w:r>
        <w:rPr>
          <w:spacing w:val="-6"/>
        </w:rPr>
        <w:t> </w:t>
      </w:r>
      <w:r>
        <w:rPr/>
        <w:t>Malleshwaram</w:t>
      </w:r>
      <w:r>
        <w:rPr>
          <w:spacing w:val="-6"/>
        </w:rPr>
        <w:t> </w:t>
      </w:r>
      <w:r>
        <w:rPr/>
        <w:t>in</w:t>
      </w:r>
      <w:r>
        <w:rPr>
          <w:spacing w:val="-7"/>
        </w:rPr>
        <w:t> </w:t>
      </w:r>
      <w:r>
        <w:rPr/>
        <w:t>the</w:t>
      </w:r>
      <w:r>
        <w:rPr>
          <w:spacing w:val="-7"/>
        </w:rPr>
        <w:t> </w:t>
      </w:r>
      <w:r>
        <w:rPr/>
        <w:t>North</w:t>
      </w:r>
      <w:r>
        <w:rPr>
          <w:spacing w:val="-6"/>
        </w:rPr>
        <w:t> </w:t>
      </w:r>
      <w:r>
        <w:rPr/>
        <w:t>of</w:t>
      </w:r>
      <w:r>
        <w:rPr>
          <w:spacing w:val="-5"/>
        </w:rPr>
        <w:t> </w:t>
      </w:r>
      <w:r>
        <w:rPr/>
        <w:t>the</w:t>
      </w:r>
      <w:r>
        <w:rPr>
          <w:spacing w:val="-7"/>
        </w:rPr>
        <w:t> </w:t>
      </w:r>
      <w:r>
        <w:rPr/>
        <w:t>city.</w:t>
      </w:r>
    </w:p>
    <w:p>
      <w:pPr>
        <w:pStyle w:val="BodyText"/>
        <w:rPr>
          <w:sz w:val="21"/>
        </w:rPr>
      </w:pPr>
    </w:p>
    <w:p>
      <w:pPr>
        <w:pStyle w:val="BodyText"/>
        <w:ind w:left="1227"/>
      </w:pPr>
      <w:r>
        <w:rPr>
          <w:u w:val="single"/>
        </w:rPr>
        <w:t>Hospitality</w:t>
      </w:r>
    </w:p>
    <w:p>
      <w:pPr>
        <w:pStyle w:val="BodyText"/>
        <w:spacing w:before="1"/>
        <w:rPr>
          <w:sz w:val="19"/>
        </w:rPr>
      </w:pPr>
    </w:p>
    <w:p>
      <w:pPr>
        <w:pStyle w:val="BodyText"/>
        <w:spacing w:line="321" w:lineRule="auto" w:before="106"/>
        <w:ind w:left="1227" w:right="678"/>
        <w:jc w:val="both"/>
      </w:pPr>
      <w:r>
        <w:rPr/>
        <w:t>The</w:t>
      </w:r>
      <w:r>
        <w:rPr>
          <w:spacing w:val="-49"/>
        </w:rPr>
        <w:t> </w:t>
      </w:r>
      <w:r>
        <w:rPr/>
        <w:t>key</w:t>
      </w:r>
      <w:r>
        <w:rPr>
          <w:spacing w:val="-48"/>
        </w:rPr>
        <w:t> </w:t>
      </w:r>
      <w:r>
        <w:rPr/>
        <w:t>demand</w:t>
      </w:r>
      <w:r>
        <w:rPr>
          <w:spacing w:val="-48"/>
        </w:rPr>
        <w:t> </w:t>
      </w:r>
      <w:r>
        <w:rPr/>
        <w:t>driver</w:t>
      </w:r>
      <w:r>
        <w:rPr>
          <w:spacing w:val="-48"/>
        </w:rPr>
        <w:t> </w:t>
      </w:r>
      <w:r>
        <w:rPr/>
        <w:t>for</w:t>
      </w:r>
      <w:r>
        <w:rPr>
          <w:spacing w:val="-48"/>
        </w:rPr>
        <w:t> </w:t>
      </w:r>
      <w:r>
        <w:rPr/>
        <w:t>hospitality</w:t>
      </w:r>
      <w:r>
        <w:rPr>
          <w:spacing w:val="-47"/>
        </w:rPr>
        <w:t> </w:t>
      </w:r>
      <w:r>
        <w:rPr/>
        <w:t>activity</w:t>
      </w:r>
      <w:r>
        <w:rPr>
          <w:spacing w:val="-48"/>
        </w:rPr>
        <w:t> </w:t>
      </w:r>
      <w:r>
        <w:rPr/>
        <w:t>in</w:t>
      </w:r>
      <w:r>
        <w:rPr>
          <w:spacing w:val="-49"/>
        </w:rPr>
        <w:t> </w:t>
      </w:r>
      <w:r>
        <w:rPr/>
        <w:t>Bengaluru</w:t>
      </w:r>
      <w:r>
        <w:rPr>
          <w:spacing w:val="-47"/>
        </w:rPr>
        <w:t> </w:t>
      </w:r>
      <w:r>
        <w:rPr/>
        <w:t>has</w:t>
      </w:r>
      <w:r>
        <w:rPr>
          <w:spacing w:val="-49"/>
        </w:rPr>
        <w:t> </w:t>
      </w:r>
      <w:r>
        <w:rPr/>
        <w:t>been</w:t>
      </w:r>
      <w:r>
        <w:rPr>
          <w:spacing w:val="-48"/>
        </w:rPr>
        <w:t> </w:t>
      </w:r>
      <w:r>
        <w:rPr/>
        <w:t>the</w:t>
      </w:r>
      <w:r>
        <w:rPr>
          <w:spacing w:val="-47"/>
        </w:rPr>
        <w:t> </w:t>
      </w:r>
      <w:r>
        <w:rPr/>
        <w:t>consistent</w:t>
      </w:r>
      <w:r>
        <w:rPr>
          <w:spacing w:val="-49"/>
        </w:rPr>
        <w:t> </w:t>
      </w:r>
      <w:r>
        <w:rPr/>
        <w:t>growth</w:t>
      </w:r>
      <w:r>
        <w:rPr>
          <w:spacing w:val="-48"/>
        </w:rPr>
        <w:t> </w:t>
      </w:r>
      <w:r>
        <w:rPr/>
        <w:t>of</w:t>
      </w:r>
      <w:r>
        <w:rPr>
          <w:spacing w:val="-48"/>
        </w:rPr>
        <w:t> </w:t>
      </w:r>
      <w:r>
        <w:rPr/>
        <w:t>the</w:t>
      </w:r>
      <w:r>
        <w:rPr>
          <w:spacing w:val="-48"/>
        </w:rPr>
        <w:t> </w:t>
      </w:r>
      <w:r>
        <w:rPr/>
        <w:t>corporate sector</w:t>
      </w:r>
      <w:r>
        <w:rPr>
          <w:spacing w:val="-45"/>
        </w:rPr>
        <w:t> </w:t>
      </w:r>
      <w:r>
        <w:rPr/>
        <w:t>with</w:t>
      </w:r>
      <w:r>
        <w:rPr>
          <w:spacing w:val="-46"/>
        </w:rPr>
        <w:t> </w:t>
      </w:r>
      <w:r>
        <w:rPr/>
        <w:t>development</w:t>
      </w:r>
      <w:r>
        <w:rPr>
          <w:spacing w:val="-45"/>
        </w:rPr>
        <w:t> </w:t>
      </w:r>
      <w:r>
        <w:rPr/>
        <w:t>in</w:t>
      </w:r>
      <w:r>
        <w:rPr>
          <w:spacing w:val="-44"/>
        </w:rPr>
        <w:t> </w:t>
      </w:r>
      <w:r>
        <w:rPr/>
        <w:t>the</w:t>
      </w:r>
      <w:r>
        <w:rPr>
          <w:spacing w:val="-45"/>
        </w:rPr>
        <w:t> </w:t>
      </w:r>
      <w:r>
        <w:rPr/>
        <w:t>Information</w:t>
      </w:r>
      <w:r>
        <w:rPr>
          <w:spacing w:val="-44"/>
        </w:rPr>
        <w:t> </w:t>
      </w:r>
      <w:r>
        <w:rPr/>
        <w:t>Technology</w:t>
      </w:r>
      <w:r>
        <w:rPr>
          <w:spacing w:val="-45"/>
        </w:rPr>
        <w:t> </w:t>
      </w:r>
      <w:r>
        <w:rPr/>
        <w:t>and</w:t>
      </w:r>
      <w:r>
        <w:rPr>
          <w:spacing w:val="-45"/>
        </w:rPr>
        <w:t> </w:t>
      </w:r>
      <w:r>
        <w:rPr/>
        <w:t>the</w:t>
      </w:r>
      <w:r>
        <w:rPr>
          <w:spacing w:val="-44"/>
        </w:rPr>
        <w:t> </w:t>
      </w:r>
      <w:r>
        <w:rPr/>
        <w:t>Information</w:t>
      </w:r>
      <w:r>
        <w:rPr>
          <w:spacing w:val="-46"/>
        </w:rPr>
        <w:t> </w:t>
      </w:r>
      <w:r>
        <w:rPr/>
        <w:t>Technology</w:t>
      </w:r>
      <w:r>
        <w:rPr>
          <w:spacing w:val="-45"/>
        </w:rPr>
        <w:t> </w:t>
      </w:r>
      <w:r>
        <w:rPr/>
        <w:t>Enabled</w:t>
      </w:r>
      <w:r>
        <w:rPr>
          <w:spacing w:val="-44"/>
        </w:rPr>
        <w:t> </w:t>
      </w:r>
      <w:r>
        <w:rPr/>
        <w:t>Services sector.</w:t>
      </w:r>
    </w:p>
    <w:p>
      <w:pPr>
        <w:pStyle w:val="BodyText"/>
        <w:spacing w:before="9"/>
        <w:rPr>
          <w:sz w:val="20"/>
        </w:rPr>
      </w:pPr>
    </w:p>
    <w:p>
      <w:pPr>
        <w:pStyle w:val="BodyText"/>
        <w:spacing w:line="321" w:lineRule="auto"/>
        <w:ind w:left="1227" w:right="675"/>
        <w:jc w:val="both"/>
      </w:pPr>
      <w:r>
        <w:rPr/>
        <w:t>CBD</w:t>
      </w:r>
      <w:r>
        <w:rPr>
          <w:spacing w:val="-18"/>
        </w:rPr>
        <w:t> </w:t>
      </w:r>
      <w:r>
        <w:rPr/>
        <w:t>which</w:t>
      </w:r>
      <w:r>
        <w:rPr>
          <w:spacing w:val="-18"/>
        </w:rPr>
        <w:t> </w:t>
      </w:r>
      <w:r>
        <w:rPr/>
        <w:t>consists</w:t>
      </w:r>
      <w:r>
        <w:rPr>
          <w:spacing w:val="-17"/>
        </w:rPr>
        <w:t> </w:t>
      </w:r>
      <w:r>
        <w:rPr/>
        <w:t>of</w:t>
      </w:r>
      <w:r>
        <w:rPr>
          <w:spacing w:val="-17"/>
        </w:rPr>
        <w:t> </w:t>
      </w:r>
      <w:r>
        <w:rPr/>
        <w:t>locations</w:t>
      </w:r>
      <w:r>
        <w:rPr>
          <w:spacing w:val="-18"/>
        </w:rPr>
        <w:t> </w:t>
      </w:r>
      <w:r>
        <w:rPr/>
        <w:t>such</w:t>
      </w:r>
      <w:r>
        <w:rPr>
          <w:spacing w:val="-18"/>
        </w:rPr>
        <w:t> </w:t>
      </w:r>
      <w:r>
        <w:rPr/>
        <w:t>as</w:t>
      </w:r>
      <w:r>
        <w:rPr>
          <w:spacing w:val="-19"/>
        </w:rPr>
        <w:t> </w:t>
      </w:r>
      <w:r>
        <w:rPr/>
        <w:t>M.G.</w:t>
      </w:r>
      <w:r>
        <w:rPr>
          <w:spacing w:val="-18"/>
        </w:rPr>
        <w:t> </w:t>
      </w:r>
      <w:r>
        <w:rPr/>
        <w:t>Road</w:t>
      </w:r>
      <w:r>
        <w:rPr>
          <w:spacing w:val="-20"/>
        </w:rPr>
        <w:t> </w:t>
      </w:r>
      <w:r>
        <w:rPr/>
        <w:t>and</w:t>
      </w:r>
      <w:r>
        <w:rPr>
          <w:spacing w:val="-15"/>
        </w:rPr>
        <w:t> </w:t>
      </w:r>
      <w:r>
        <w:rPr/>
        <w:t>other</w:t>
      </w:r>
      <w:r>
        <w:rPr>
          <w:spacing w:val="-18"/>
        </w:rPr>
        <w:t> </w:t>
      </w:r>
      <w:r>
        <w:rPr/>
        <w:t>significant</w:t>
      </w:r>
      <w:r>
        <w:rPr>
          <w:spacing w:val="-18"/>
        </w:rPr>
        <w:t> </w:t>
      </w:r>
      <w:r>
        <w:rPr/>
        <w:t>roads</w:t>
      </w:r>
      <w:r>
        <w:rPr>
          <w:spacing w:val="-19"/>
        </w:rPr>
        <w:t> </w:t>
      </w:r>
      <w:r>
        <w:rPr/>
        <w:t>(such</w:t>
      </w:r>
      <w:r>
        <w:rPr>
          <w:spacing w:val="-19"/>
        </w:rPr>
        <w:t> </w:t>
      </w:r>
      <w:r>
        <w:rPr/>
        <w:t>as</w:t>
      </w:r>
      <w:r>
        <w:rPr>
          <w:spacing w:val="-17"/>
        </w:rPr>
        <w:t> </w:t>
      </w:r>
      <w:r>
        <w:rPr/>
        <w:t>Residency</w:t>
      </w:r>
      <w:r>
        <w:rPr>
          <w:spacing w:val="-17"/>
        </w:rPr>
        <w:t> </w:t>
      </w:r>
      <w:r>
        <w:rPr/>
        <w:t>Road, Richmond Road, Lavelle Road, St. Marks Road and Ulsoor) emerging out of M.G. Road constitute the Central</w:t>
      </w:r>
      <w:r>
        <w:rPr>
          <w:spacing w:val="-18"/>
        </w:rPr>
        <w:t> </w:t>
      </w:r>
      <w:r>
        <w:rPr/>
        <w:t>Business</w:t>
      </w:r>
      <w:r>
        <w:rPr>
          <w:spacing w:val="-19"/>
        </w:rPr>
        <w:t> </w:t>
      </w:r>
      <w:r>
        <w:rPr/>
        <w:t>District</w:t>
      </w:r>
      <w:r>
        <w:rPr>
          <w:spacing w:val="-19"/>
        </w:rPr>
        <w:t> </w:t>
      </w:r>
      <w:r>
        <w:rPr/>
        <w:t>(CBD)</w:t>
      </w:r>
      <w:r>
        <w:rPr>
          <w:spacing w:val="-17"/>
        </w:rPr>
        <w:t> </w:t>
      </w:r>
      <w:r>
        <w:rPr/>
        <w:t>of</w:t>
      </w:r>
      <w:r>
        <w:rPr>
          <w:spacing w:val="-19"/>
        </w:rPr>
        <w:t> </w:t>
      </w:r>
      <w:r>
        <w:rPr/>
        <w:t>Bengaluru.</w:t>
      </w:r>
      <w:r>
        <w:rPr>
          <w:spacing w:val="-18"/>
        </w:rPr>
        <w:t> </w:t>
      </w:r>
      <w:r>
        <w:rPr/>
        <w:t>JW</w:t>
      </w:r>
      <w:r>
        <w:rPr>
          <w:spacing w:val="-21"/>
        </w:rPr>
        <w:t> </w:t>
      </w:r>
      <w:r>
        <w:rPr/>
        <w:t>Marriot</w:t>
      </w:r>
      <w:r>
        <w:rPr>
          <w:spacing w:val="-17"/>
        </w:rPr>
        <w:t> </w:t>
      </w:r>
      <w:r>
        <w:rPr/>
        <w:t>(adjacent</w:t>
      </w:r>
      <w:r>
        <w:rPr>
          <w:spacing w:val="-18"/>
        </w:rPr>
        <w:t> </w:t>
      </w:r>
      <w:r>
        <w:rPr/>
        <w:t>to</w:t>
      </w:r>
      <w:r>
        <w:rPr>
          <w:spacing w:val="-18"/>
        </w:rPr>
        <w:t> </w:t>
      </w:r>
      <w:r>
        <w:rPr/>
        <w:t>UB</w:t>
      </w:r>
      <w:r>
        <w:rPr>
          <w:spacing w:val="-19"/>
        </w:rPr>
        <w:t> </w:t>
      </w:r>
      <w:r>
        <w:rPr/>
        <w:t>City),</w:t>
      </w:r>
      <w:r>
        <w:rPr>
          <w:spacing w:val="-18"/>
        </w:rPr>
        <w:t> </w:t>
      </w:r>
      <w:r>
        <w:rPr/>
        <w:t>Ritz</w:t>
      </w:r>
      <w:r>
        <w:rPr>
          <w:spacing w:val="-19"/>
        </w:rPr>
        <w:t> </w:t>
      </w:r>
      <w:r>
        <w:rPr/>
        <w:t>Carlton</w:t>
      </w:r>
      <w:r>
        <w:rPr>
          <w:spacing w:val="-17"/>
        </w:rPr>
        <w:t> </w:t>
      </w:r>
      <w:r>
        <w:rPr/>
        <w:t>(Residency Road),</w:t>
      </w:r>
      <w:r>
        <w:rPr>
          <w:spacing w:val="-21"/>
        </w:rPr>
        <w:t> </w:t>
      </w:r>
      <w:r>
        <w:rPr/>
        <w:t>Shangri-La</w:t>
      </w:r>
      <w:r>
        <w:rPr>
          <w:spacing w:val="-20"/>
        </w:rPr>
        <w:t> </w:t>
      </w:r>
      <w:r>
        <w:rPr/>
        <w:t>(Palace</w:t>
      </w:r>
      <w:r>
        <w:rPr>
          <w:spacing w:val="-21"/>
        </w:rPr>
        <w:t> </w:t>
      </w:r>
      <w:r>
        <w:rPr/>
        <w:t>Road),</w:t>
      </w:r>
      <w:r>
        <w:rPr>
          <w:spacing w:val="-20"/>
        </w:rPr>
        <w:t> </w:t>
      </w:r>
      <w:r>
        <w:rPr/>
        <w:t>Taj</w:t>
      </w:r>
      <w:r>
        <w:rPr>
          <w:spacing w:val="-21"/>
        </w:rPr>
        <w:t> </w:t>
      </w:r>
      <w:r>
        <w:rPr/>
        <w:t>West</w:t>
      </w:r>
      <w:r>
        <w:rPr>
          <w:spacing w:val="-21"/>
        </w:rPr>
        <w:t> </w:t>
      </w:r>
      <w:r>
        <w:rPr/>
        <w:t>End</w:t>
      </w:r>
      <w:r>
        <w:rPr>
          <w:spacing w:val="-19"/>
        </w:rPr>
        <w:t> </w:t>
      </w:r>
      <w:r>
        <w:rPr/>
        <w:t>(Race</w:t>
      </w:r>
      <w:r>
        <w:rPr>
          <w:spacing w:val="-21"/>
        </w:rPr>
        <w:t> </w:t>
      </w:r>
      <w:r>
        <w:rPr/>
        <w:t>Course</w:t>
      </w:r>
      <w:r>
        <w:rPr>
          <w:spacing w:val="-20"/>
        </w:rPr>
        <w:t> </w:t>
      </w:r>
      <w:r>
        <w:rPr/>
        <w:t>Road)</w:t>
      </w:r>
      <w:r>
        <w:rPr>
          <w:spacing w:val="-20"/>
        </w:rPr>
        <w:t> </w:t>
      </w:r>
      <w:r>
        <w:rPr/>
        <w:t>are</w:t>
      </w:r>
      <w:r>
        <w:rPr>
          <w:spacing w:val="-19"/>
        </w:rPr>
        <w:t> </w:t>
      </w:r>
      <w:r>
        <w:rPr/>
        <w:t>a</w:t>
      </w:r>
      <w:r>
        <w:rPr>
          <w:spacing w:val="-20"/>
        </w:rPr>
        <w:t> </w:t>
      </w:r>
      <w:r>
        <w:rPr/>
        <w:t>few</w:t>
      </w:r>
      <w:r>
        <w:rPr>
          <w:spacing w:val="-20"/>
        </w:rPr>
        <w:t> </w:t>
      </w:r>
      <w:r>
        <w:rPr/>
        <w:t>prominent</w:t>
      </w:r>
      <w:r>
        <w:rPr>
          <w:spacing w:val="-20"/>
        </w:rPr>
        <w:t> </w:t>
      </w:r>
      <w:r>
        <w:rPr/>
        <w:t>premium</w:t>
      </w:r>
      <w:r>
        <w:rPr>
          <w:spacing w:val="-21"/>
        </w:rPr>
        <w:t> </w:t>
      </w:r>
      <w:r>
        <w:rPr/>
        <w:t>hotel projects</w:t>
      </w:r>
      <w:r>
        <w:rPr>
          <w:spacing w:val="-23"/>
        </w:rPr>
        <w:t> </w:t>
      </w:r>
      <w:r>
        <w:rPr/>
        <w:t>in</w:t>
      </w:r>
      <w:r>
        <w:rPr>
          <w:spacing w:val="-24"/>
        </w:rPr>
        <w:t> </w:t>
      </w:r>
      <w:r>
        <w:rPr/>
        <w:t>the</w:t>
      </w:r>
      <w:r>
        <w:rPr>
          <w:spacing w:val="-24"/>
        </w:rPr>
        <w:t> </w:t>
      </w:r>
      <w:r>
        <w:rPr/>
        <w:t>CBD</w:t>
      </w:r>
      <w:r>
        <w:rPr>
          <w:spacing w:val="-23"/>
        </w:rPr>
        <w:t> </w:t>
      </w:r>
      <w:r>
        <w:rPr/>
        <w:t>area.</w:t>
      </w:r>
      <w:r>
        <w:rPr>
          <w:spacing w:val="-24"/>
        </w:rPr>
        <w:t> </w:t>
      </w:r>
      <w:r>
        <w:rPr/>
        <w:t>Factors</w:t>
      </w:r>
      <w:r>
        <w:rPr>
          <w:spacing w:val="-22"/>
        </w:rPr>
        <w:t> </w:t>
      </w:r>
      <w:r>
        <w:rPr/>
        <w:t>such</w:t>
      </w:r>
      <w:r>
        <w:rPr>
          <w:spacing w:val="-24"/>
        </w:rPr>
        <w:t> </w:t>
      </w:r>
      <w:r>
        <w:rPr/>
        <w:t>as</w:t>
      </w:r>
      <w:r>
        <w:rPr>
          <w:spacing w:val="-23"/>
        </w:rPr>
        <w:t> </w:t>
      </w:r>
      <w:r>
        <w:rPr/>
        <w:t>central</w:t>
      </w:r>
      <w:r>
        <w:rPr>
          <w:spacing w:val="-22"/>
        </w:rPr>
        <w:t> </w:t>
      </w:r>
      <w:r>
        <w:rPr/>
        <w:t>location</w:t>
      </w:r>
      <w:r>
        <w:rPr>
          <w:spacing w:val="-24"/>
        </w:rPr>
        <w:t> </w:t>
      </w:r>
      <w:r>
        <w:rPr/>
        <w:t>and</w:t>
      </w:r>
      <w:r>
        <w:rPr>
          <w:spacing w:val="-23"/>
        </w:rPr>
        <w:t> </w:t>
      </w:r>
      <w:r>
        <w:rPr/>
        <w:t>business</w:t>
      </w:r>
      <w:r>
        <w:rPr>
          <w:spacing w:val="-23"/>
        </w:rPr>
        <w:t> </w:t>
      </w:r>
      <w:r>
        <w:rPr/>
        <w:t>image</w:t>
      </w:r>
      <w:r>
        <w:rPr>
          <w:spacing w:val="-24"/>
        </w:rPr>
        <w:t> </w:t>
      </w:r>
      <w:r>
        <w:rPr/>
        <w:t>have</w:t>
      </w:r>
      <w:r>
        <w:rPr>
          <w:spacing w:val="-24"/>
        </w:rPr>
        <w:t> </w:t>
      </w:r>
      <w:r>
        <w:rPr/>
        <w:t>resulted</w:t>
      </w:r>
      <w:r>
        <w:rPr>
          <w:spacing w:val="-23"/>
        </w:rPr>
        <w:t> </w:t>
      </w:r>
      <w:r>
        <w:rPr/>
        <w:t>in</w:t>
      </w:r>
      <w:r>
        <w:rPr>
          <w:spacing w:val="-22"/>
        </w:rPr>
        <w:t> </w:t>
      </w:r>
      <w:r>
        <w:rPr/>
        <w:t>a</w:t>
      </w:r>
      <w:r>
        <w:rPr>
          <w:spacing w:val="-24"/>
        </w:rPr>
        <w:t> </w:t>
      </w:r>
      <w:r>
        <w:rPr/>
        <w:t>distinct premium</w:t>
      </w:r>
      <w:r>
        <w:rPr>
          <w:spacing w:val="-18"/>
        </w:rPr>
        <w:t> </w:t>
      </w:r>
      <w:r>
        <w:rPr/>
        <w:t>for</w:t>
      </w:r>
      <w:r>
        <w:rPr>
          <w:spacing w:val="-18"/>
        </w:rPr>
        <w:t> </w:t>
      </w:r>
      <w:r>
        <w:rPr/>
        <w:t>all</w:t>
      </w:r>
      <w:r>
        <w:rPr>
          <w:spacing w:val="-19"/>
        </w:rPr>
        <w:t> </w:t>
      </w:r>
      <w:r>
        <w:rPr/>
        <w:t>locations</w:t>
      </w:r>
      <w:r>
        <w:rPr>
          <w:spacing w:val="-18"/>
        </w:rPr>
        <w:t> </w:t>
      </w:r>
      <w:r>
        <w:rPr/>
        <w:t>within</w:t>
      </w:r>
      <w:r>
        <w:rPr>
          <w:spacing w:val="-19"/>
        </w:rPr>
        <w:t> </w:t>
      </w:r>
      <w:r>
        <w:rPr/>
        <w:t>this</w:t>
      </w:r>
      <w:r>
        <w:rPr>
          <w:spacing w:val="-19"/>
        </w:rPr>
        <w:t> </w:t>
      </w:r>
      <w:r>
        <w:rPr/>
        <w:t>zone.</w:t>
      </w:r>
      <w:r>
        <w:rPr>
          <w:spacing w:val="-17"/>
        </w:rPr>
        <w:t> </w:t>
      </w:r>
      <w:r>
        <w:rPr/>
        <w:t>Owing</w:t>
      </w:r>
      <w:r>
        <w:rPr>
          <w:spacing w:val="-20"/>
        </w:rPr>
        <w:t> </w:t>
      </w:r>
      <w:r>
        <w:rPr/>
        <w:t>to</w:t>
      </w:r>
      <w:r>
        <w:rPr>
          <w:spacing w:val="-18"/>
        </w:rPr>
        <w:t> </w:t>
      </w:r>
      <w:r>
        <w:rPr/>
        <w:t>the</w:t>
      </w:r>
      <w:r>
        <w:rPr>
          <w:spacing w:val="-16"/>
        </w:rPr>
        <w:t> </w:t>
      </w:r>
      <w:r>
        <w:rPr/>
        <w:t>significant</w:t>
      </w:r>
      <w:r>
        <w:rPr>
          <w:spacing w:val="-17"/>
        </w:rPr>
        <w:t> </w:t>
      </w:r>
      <w:r>
        <w:rPr/>
        <w:t>commercial</w:t>
      </w:r>
      <w:r>
        <w:rPr>
          <w:spacing w:val="-18"/>
        </w:rPr>
        <w:t> </w:t>
      </w:r>
      <w:r>
        <w:rPr/>
        <w:t>activity</w:t>
      </w:r>
      <w:r>
        <w:rPr>
          <w:spacing w:val="-18"/>
        </w:rPr>
        <w:t> </w:t>
      </w:r>
      <w:r>
        <w:rPr/>
        <w:t>in</w:t>
      </w:r>
      <w:r>
        <w:rPr>
          <w:spacing w:val="-18"/>
        </w:rPr>
        <w:t> </w:t>
      </w:r>
      <w:r>
        <w:rPr/>
        <w:t>CBD</w:t>
      </w:r>
      <w:r>
        <w:rPr>
          <w:spacing w:val="-17"/>
        </w:rPr>
        <w:t> </w:t>
      </w:r>
      <w:r>
        <w:rPr/>
        <w:t>and</w:t>
      </w:r>
      <w:r>
        <w:rPr>
          <w:spacing w:val="-20"/>
        </w:rPr>
        <w:t> </w:t>
      </w:r>
      <w:r>
        <w:rPr/>
        <w:t>the central</w:t>
      </w:r>
      <w:r>
        <w:rPr>
          <w:spacing w:val="-19"/>
        </w:rPr>
        <w:t> </w:t>
      </w:r>
      <w:r>
        <w:rPr/>
        <w:t>location</w:t>
      </w:r>
      <w:r>
        <w:rPr>
          <w:spacing w:val="-18"/>
        </w:rPr>
        <w:t> </w:t>
      </w:r>
      <w:r>
        <w:rPr/>
        <w:t>of</w:t>
      </w:r>
      <w:r>
        <w:rPr>
          <w:spacing w:val="-18"/>
        </w:rPr>
        <w:t> </w:t>
      </w:r>
      <w:r>
        <w:rPr/>
        <w:t>the</w:t>
      </w:r>
      <w:r>
        <w:rPr>
          <w:spacing w:val="-19"/>
        </w:rPr>
        <w:t> </w:t>
      </w:r>
      <w:r>
        <w:rPr/>
        <w:t>zone</w:t>
      </w:r>
      <w:r>
        <w:rPr>
          <w:spacing w:val="-19"/>
        </w:rPr>
        <w:t> </w:t>
      </w:r>
      <w:r>
        <w:rPr/>
        <w:t>being</w:t>
      </w:r>
      <w:r>
        <w:rPr>
          <w:spacing w:val="-18"/>
        </w:rPr>
        <w:t> </w:t>
      </w:r>
      <w:r>
        <w:rPr/>
        <w:t>well</w:t>
      </w:r>
      <w:r>
        <w:rPr>
          <w:spacing w:val="-19"/>
        </w:rPr>
        <w:t> </w:t>
      </w:r>
      <w:r>
        <w:rPr/>
        <w:t>connected</w:t>
      </w:r>
      <w:r>
        <w:rPr>
          <w:spacing w:val="-17"/>
        </w:rPr>
        <w:t> </w:t>
      </w:r>
      <w:r>
        <w:rPr/>
        <w:t>with</w:t>
      </w:r>
      <w:r>
        <w:rPr>
          <w:spacing w:val="-19"/>
        </w:rPr>
        <w:t> </w:t>
      </w:r>
      <w:r>
        <w:rPr/>
        <w:t>other</w:t>
      </w:r>
      <w:r>
        <w:rPr>
          <w:spacing w:val="-19"/>
        </w:rPr>
        <w:t> </w:t>
      </w:r>
      <w:r>
        <w:rPr/>
        <w:t>sub</w:t>
      </w:r>
      <w:r>
        <w:rPr>
          <w:spacing w:val="-17"/>
        </w:rPr>
        <w:t> </w:t>
      </w:r>
      <w:r>
        <w:rPr/>
        <w:t>markets,</w:t>
      </w:r>
      <w:r>
        <w:rPr>
          <w:spacing w:val="-19"/>
        </w:rPr>
        <w:t> </w:t>
      </w:r>
      <w:r>
        <w:rPr/>
        <w:t>the</w:t>
      </w:r>
      <w:r>
        <w:rPr>
          <w:spacing w:val="-19"/>
        </w:rPr>
        <w:t> </w:t>
      </w:r>
      <w:r>
        <w:rPr/>
        <w:t>area</w:t>
      </w:r>
      <w:r>
        <w:rPr>
          <w:spacing w:val="-19"/>
        </w:rPr>
        <w:t> </w:t>
      </w:r>
      <w:r>
        <w:rPr/>
        <w:t>is</w:t>
      </w:r>
      <w:r>
        <w:rPr>
          <w:spacing w:val="-17"/>
        </w:rPr>
        <w:t> </w:t>
      </w:r>
      <w:r>
        <w:rPr/>
        <w:t>characterized</w:t>
      </w:r>
      <w:r>
        <w:rPr>
          <w:spacing w:val="-18"/>
        </w:rPr>
        <w:t> </w:t>
      </w:r>
      <w:r>
        <w:rPr/>
        <w:t>by significant</w:t>
      </w:r>
      <w:r>
        <w:rPr>
          <w:spacing w:val="-16"/>
        </w:rPr>
        <w:t> </w:t>
      </w:r>
      <w:r>
        <w:rPr/>
        <w:t>number</w:t>
      </w:r>
      <w:r>
        <w:rPr>
          <w:spacing w:val="-16"/>
        </w:rPr>
        <w:t> </w:t>
      </w:r>
      <w:r>
        <w:rPr/>
        <w:t>of</w:t>
      </w:r>
      <w:r>
        <w:rPr>
          <w:spacing w:val="-15"/>
        </w:rPr>
        <w:t> </w:t>
      </w:r>
      <w:r>
        <w:rPr/>
        <w:t>hospitality</w:t>
      </w:r>
      <w:r>
        <w:rPr>
          <w:spacing w:val="-16"/>
        </w:rPr>
        <w:t> </w:t>
      </w:r>
      <w:r>
        <w:rPr/>
        <w:t>projects</w:t>
      </w:r>
      <w:r>
        <w:rPr>
          <w:spacing w:val="-14"/>
        </w:rPr>
        <w:t> </w:t>
      </w:r>
      <w:r>
        <w:rPr/>
        <w:t>with</w:t>
      </w:r>
      <w:r>
        <w:rPr>
          <w:spacing w:val="-16"/>
        </w:rPr>
        <w:t> </w:t>
      </w:r>
      <w:r>
        <w:rPr/>
        <w:t>relatively</w:t>
      </w:r>
      <w:r>
        <w:rPr>
          <w:spacing w:val="-16"/>
        </w:rPr>
        <w:t> </w:t>
      </w:r>
      <w:r>
        <w:rPr/>
        <w:t>higher</w:t>
      </w:r>
      <w:r>
        <w:rPr>
          <w:spacing w:val="-15"/>
        </w:rPr>
        <w:t> </w:t>
      </w:r>
      <w:r>
        <w:rPr/>
        <w:t>ARRs</w:t>
      </w:r>
      <w:r>
        <w:rPr>
          <w:spacing w:val="-15"/>
        </w:rPr>
        <w:t> </w:t>
      </w:r>
      <w:r>
        <w:rPr>
          <w:spacing w:val="-2"/>
        </w:rPr>
        <w:t>and</w:t>
      </w:r>
      <w:r>
        <w:rPr>
          <w:spacing w:val="-15"/>
        </w:rPr>
        <w:t> </w:t>
      </w:r>
      <w:r>
        <w:rPr/>
        <w:t>Occupancy</w:t>
      </w:r>
      <w:r>
        <w:rPr>
          <w:spacing w:val="-15"/>
        </w:rPr>
        <w:t> </w:t>
      </w:r>
      <w:r>
        <w:rPr/>
        <w:t>rates.</w:t>
      </w:r>
    </w:p>
    <w:p>
      <w:pPr>
        <w:spacing w:after="0" w:line="321" w:lineRule="auto"/>
        <w:jc w:val="both"/>
        <w:sectPr>
          <w:pgSz w:w="11910" w:h="16840"/>
          <w:pgMar w:header="720" w:footer="862" w:top="1660" w:bottom="1060" w:left="40" w:right="40"/>
        </w:sectPr>
      </w:pPr>
    </w:p>
    <w:p>
      <w:pPr>
        <w:pStyle w:val="BodyText"/>
        <w:spacing w:before="7"/>
        <w:rPr>
          <w:sz w:val="9"/>
        </w:rPr>
      </w:pPr>
    </w:p>
    <w:p>
      <w:pPr>
        <w:pStyle w:val="BodyText"/>
        <w:spacing w:line="321" w:lineRule="auto" w:before="106"/>
        <w:ind w:left="1227" w:right="676"/>
        <w:jc w:val="both"/>
      </w:pPr>
      <w:r>
        <w:rPr/>
        <w:t>The</w:t>
      </w:r>
      <w:r>
        <w:rPr>
          <w:spacing w:val="-6"/>
        </w:rPr>
        <w:t> </w:t>
      </w:r>
      <w:r>
        <w:rPr/>
        <w:t>northern</w:t>
      </w:r>
      <w:r>
        <w:rPr>
          <w:spacing w:val="-5"/>
        </w:rPr>
        <w:t> </w:t>
      </w:r>
      <w:r>
        <w:rPr/>
        <w:t>periphery</w:t>
      </w:r>
      <w:r>
        <w:rPr>
          <w:spacing w:val="-4"/>
        </w:rPr>
        <w:t> </w:t>
      </w:r>
      <w:r>
        <w:rPr/>
        <w:t>of</w:t>
      </w:r>
      <w:r>
        <w:rPr>
          <w:spacing w:val="-4"/>
        </w:rPr>
        <w:t> </w:t>
      </w:r>
      <w:r>
        <w:rPr/>
        <w:t>the</w:t>
      </w:r>
      <w:r>
        <w:rPr>
          <w:spacing w:val="-5"/>
        </w:rPr>
        <w:t> </w:t>
      </w:r>
      <w:r>
        <w:rPr/>
        <w:t>city</w:t>
      </w:r>
      <w:r>
        <w:rPr>
          <w:spacing w:val="-4"/>
        </w:rPr>
        <w:t> </w:t>
      </w:r>
      <w:r>
        <w:rPr/>
        <w:t>has</w:t>
      </w:r>
      <w:r>
        <w:rPr>
          <w:spacing w:val="-4"/>
        </w:rPr>
        <w:t> </w:t>
      </w:r>
      <w:r>
        <w:rPr/>
        <w:t>witnessed</w:t>
      </w:r>
      <w:r>
        <w:rPr>
          <w:spacing w:val="-5"/>
        </w:rPr>
        <w:t> </w:t>
      </w:r>
      <w:r>
        <w:rPr/>
        <w:t>heightened</w:t>
      </w:r>
      <w:r>
        <w:rPr>
          <w:spacing w:val="-4"/>
        </w:rPr>
        <w:t> </w:t>
      </w:r>
      <w:r>
        <w:rPr/>
        <w:t>real</w:t>
      </w:r>
      <w:r>
        <w:rPr>
          <w:spacing w:val="-6"/>
        </w:rPr>
        <w:t> </w:t>
      </w:r>
      <w:r>
        <w:rPr/>
        <w:t>estate</w:t>
      </w:r>
      <w:r>
        <w:rPr>
          <w:spacing w:val="-5"/>
        </w:rPr>
        <w:t> </w:t>
      </w:r>
      <w:r>
        <w:rPr/>
        <w:t>activity</w:t>
      </w:r>
      <w:r>
        <w:rPr>
          <w:spacing w:val="-4"/>
        </w:rPr>
        <w:t> </w:t>
      </w:r>
      <w:r>
        <w:rPr/>
        <w:t>in</w:t>
      </w:r>
      <w:r>
        <w:rPr>
          <w:spacing w:val="-6"/>
        </w:rPr>
        <w:t> </w:t>
      </w:r>
      <w:r>
        <w:rPr/>
        <w:t>the</w:t>
      </w:r>
      <w:r>
        <w:rPr>
          <w:spacing w:val="-5"/>
        </w:rPr>
        <w:t> </w:t>
      </w:r>
      <w:r>
        <w:rPr/>
        <w:t>last</w:t>
      </w:r>
      <w:r>
        <w:rPr>
          <w:spacing w:val="-4"/>
        </w:rPr>
        <w:t> </w:t>
      </w:r>
      <w:r>
        <w:rPr/>
        <w:t>2-3</w:t>
      </w:r>
      <w:r>
        <w:rPr>
          <w:spacing w:val="-5"/>
        </w:rPr>
        <w:t> </w:t>
      </w:r>
      <w:r>
        <w:rPr/>
        <w:t>years primarily</w:t>
      </w:r>
      <w:r>
        <w:rPr>
          <w:spacing w:val="-31"/>
        </w:rPr>
        <w:t> </w:t>
      </w:r>
      <w:r>
        <w:rPr/>
        <w:t>on</w:t>
      </w:r>
      <w:r>
        <w:rPr>
          <w:spacing w:val="-30"/>
        </w:rPr>
        <w:t> </w:t>
      </w:r>
      <w:r>
        <w:rPr/>
        <w:t>account</w:t>
      </w:r>
      <w:r>
        <w:rPr>
          <w:spacing w:val="-31"/>
        </w:rPr>
        <w:t> </w:t>
      </w:r>
      <w:r>
        <w:rPr/>
        <w:t>of</w:t>
      </w:r>
      <w:r>
        <w:rPr>
          <w:spacing w:val="-30"/>
        </w:rPr>
        <w:t> </w:t>
      </w:r>
      <w:r>
        <w:rPr/>
        <w:t>the</w:t>
      </w:r>
      <w:r>
        <w:rPr>
          <w:spacing w:val="-31"/>
        </w:rPr>
        <w:t> </w:t>
      </w:r>
      <w:r>
        <w:rPr/>
        <w:t>Bengaluru</w:t>
      </w:r>
      <w:r>
        <w:rPr>
          <w:spacing w:val="-31"/>
        </w:rPr>
        <w:t> </w:t>
      </w:r>
      <w:r>
        <w:rPr/>
        <w:t>International</w:t>
      </w:r>
      <w:r>
        <w:rPr>
          <w:spacing w:val="-31"/>
        </w:rPr>
        <w:t> </w:t>
      </w:r>
      <w:r>
        <w:rPr/>
        <w:t>Airport</w:t>
      </w:r>
      <w:r>
        <w:rPr>
          <w:spacing w:val="-32"/>
        </w:rPr>
        <w:t> </w:t>
      </w:r>
      <w:r>
        <w:rPr/>
        <w:t>development</w:t>
      </w:r>
      <w:r>
        <w:rPr>
          <w:spacing w:val="-30"/>
        </w:rPr>
        <w:t> </w:t>
      </w:r>
      <w:r>
        <w:rPr/>
        <w:t>at</w:t>
      </w:r>
      <w:r>
        <w:rPr>
          <w:spacing w:val="-34"/>
        </w:rPr>
        <w:t> </w:t>
      </w:r>
      <w:r>
        <w:rPr/>
        <w:t>Devanahalli.</w:t>
      </w:r>
      <w:r>
        <w:rPr>
          <w:spacing w:val="-31"/>
        </w:rPr>
        <w:t> </w:t>
      </w:r>
      <w:r>
        <w:rPr/>
        <w:t>North</w:t>
      </w:r>
      <w:r>
        <w:rPr>
          <w:spacing w:val="-31"/>
        </w:rPr>
        <w:t> </w:t>
      </w:r>
      <w:r>
        <w:rPr/>
        <w:t>zone</w:t>
      </w:r>
      <w:r>
        <w:rPr>
          <w:spacing w:val="-31"/>
        </w:rPr>
        <w:t> </w:t>
      </w:r>
      <w:r>
        <w:rPr/>
        <w:t>has gradually</w:t>
      </w:r>
      <w:r>
        <w:rPr>
          <w:spacing w:val="-33"/>
        </w:rPr>
        <w:t> </w:t>
      </w:r>
      <w:r>
        <w:rPr/>
        <w:t>captured</w:t>
      </w:r>
      <w:r>
        <w:rPr>
          <w:spacing w:val="-32"/>
        </w:rPr>
        <w:t> </w:t>
      </w:r>
      <w:r>
        <w:rPr/>
        <w:t>the</w:t>
      </w:r>
      <w:r>
        <w:rPr>
          <w:spacing w:val="-34"/>
        </w:rPr>
        <w:t> </w:t>
      </w:r>
      <w:r>
        <w:rPr/>
        <w:t>attention</w:t>
      </w:r>
      <w:r>
        <w:rPr>
          <w:spacing w:val="-33"/>
        </w:rPr>
        <w:t> </w:t>
      </w:r>
      <w:r>
        <w:rPr/>
        <w:t>of</w:t>
      </w:r>
      <w:r>
        <w:rPr>
          <w:spacing w:val="-32"/>
        </w:rPr>
        <w:t> </w:t>
      </w:r>
      <w:r>
        <w:rPr/>
        <w:t>major</w:t>
      </w:r>
      <w:r>
        <w:rPr>
          <w:spacing w:val="-33"/>
        </w:rPr>
        <w:t> </w:t>
      </w:r>
      <w:r>
        <w:rPr/>
        <w:t>developers</w:t>
      </w:r>
      <w:r>
        <w:rPr>
          <w:spacing w:val="-33"/>
        </w:rPr>
        <w:t> </w:t>
      </w:r>
      <w:r>
        <w:rPr/>
        <w:t>and</w:t>
      </w:r>
      <w:r>
        <w:rPr>
          <w:spacing w:val="-32"/>
        </w:rPr>
        <w:t> </w:t>
      </w:r>
      <w:r>
        <w:rPr/>
        <w:t>corporate</w:t>
      </w:r>
      <w:r>
        <w:rPr>
          <w:spacing w:val="-33"/>
        </w:rPr>
        <w:t> </w:t>
      </w:r>
      <w:r>
        <w:rPr/>
        <w:t>entities</w:t>
      </w:r>
      <w:r>
        <w:rPr>
          <w:spacing w:val="-33"/>
        </w:rPr>
        <w:t> </w:t>
      </w:r>
      <w:r>
        <w:rPr/>
        <w:t>in</w:t>
      </w:r>
      <w:r>
        <w:rPr>
          <w:spacing w:val="-33"/>
        </w:rPr>
        <w:t> </w:t>
      </w:r>
      <w:r>
        <w:rPr/>
        <w:t>the</w:t>
      </w:r>
      <w:r>
        <w:rPr>
          <w:spacing w:val="-33"/>
        </w:rPr>
        <w:t> </w:t>
      </w:r>
      <w:r>
        <w:rPr/>
        <w:t>city.</w:t>
      </w:r>
      <w:r>
        <w:rPr>
          <w:spacing w:val="-33"/>
        </w:rPr>
        <w:t> </w:t>
      </w:r>
      <w:r>
        <w:rPr/>
        <w:t>On</w:t>
      </w:r>
      <w:r>
        <w:rPr>
          <w:spacing w:val="-34"/>
        </w:rPr>
        <w:t> </w:t>
      </w:r>
      <w:r>
        <w:rPr/>
        <w:t>this</w:t>
      </w:r>
      <w:r>
        <w:rPr>
          <w:spacing w:val="-32"/>
        </w:rPr>
        <w:t> </w:t>
      </w:r>
      <w:r>
        <w:rPr/>
        <w:t>account, the</w:t>
      </w:r>
      <w:r>
        <w:rPr>
          <w:spacing w:val="-26"/>
        </w:rPr>
        <w:t> </w:t>
      </w:r>
      <w:r>
        <w:rPr/>
        <w:t>north-western</w:t>
      </w:r>
      <w:r>
        <w:rPr>
          <w:spacing w:val="-26"/>
        </w:rPr>
        <w:t> </w:t>
      </w:r>
      <w:r>
        <w:rPr/>
        <w:t>part</w:t>
      </w:r>
      <w:r>
        <w:rPr>
          <w:spacing w:val="-25"/>
        </w:rPr>
        <w:t> </w:t>
      </w:r>
      <w:r>
        <w:rPr/>
        <w:t>of</w:t>
      </w:r>
      <w:r>
        <w:rPr>
          <w:spacing w:val="-27"/>
        </w:rPr>
        <w:t> </w:t>
      </w:r>
      <w:r>
        <w:rPr/>
        <w:t>the</w:t>
      </w:r>
      <w:r>
        <w:rPr>
          <w:spacing w:val="-25"/>
        </w:rPr>
        <w:t> </w:t>
      </w:r>
      <w:r>
        <w:rPr/>
        <w:t>city</w:t>
      </w:r>
      <w:r>
        <w:rPr>
          <w:spacing w:val="-25"/>
        </w:rPr>
        <w:t> </w:t>
      </w:r>
      <w:r>
        <w:rPr/>
        <w:t>has</w:t>
      </w:r>
      <w:r>
        <w:rPr>
          <w:spacing w:val="-26"/>
        </w:rPr>
        <w:t> </w:t>
      </w:r>
      <w:r>
        <w:rPr/>
        <w:t>witnessed</w:t>
      </w:r>
      <w:r>
        <w:rPr>
          <w:spacing w:val="-25"/>
        </w:rPr>
        <w:t> </w:t>
      </w:r>
      <w:r>
        <w:rPr/>
        <w:t>emergence</w:t>
      </w:r>
      <w:r>
        <w:rPr>
          <w:spacing w:val="-25"/>
        </w:rPr>
        <w:t> </w:t>
      </w:r>
      <w:r>
        <w:rPr/>
        <w:t>of</w:t>
      </w:r>
      <w:r>
        <w:rPr>
          <w:spacing w:val="-25"/>
        </w:rPr>
        <w:t> </w:t>
      </w:r>
      <w:r>
        <w:rPr/>
        <w:t>few</w:t>
      </w:r>
      <w:r>
        <w:rPr>
          <w:spacing w:val="-24"/>
        </w:rPr>
        <w:t> </w:t>
      </w:r>
      <w:r>
        <w:rPr/>
        <w:t>5</w:t>
      </w:r>
      <w:r>
        <w:rPr>
          <w:spacing w:val="-28"/>
        </w:rPr>
        <w:t> </w:t>
      </w:r>
      <w:r>
        <w:rPr/>
        <w:t>star</w:t>
      </w:r>
      <w:r>
        <w:rPr>
          <w:spacing w:val="-26"/>
        </w:rPr>
        <w:t> </w:t>
      </w:r>
      <w:r>
        <w:rPr/>
        <w:t>hotels</w:t>
      </w:r>
      <w:r>
        <w:rPr>
          <w:spacing w:val="-24"/>
        </w:rPr>
        <w:t> </w:t>
      </w:r>
      <w:r>
        <w:rPr/>
        <w:t>in</w:t>
      </w:r>
      <w:r>
        <w:rPr>
          <w:spacing w:val="-26"/>
        </w:rPr>
        <w:t> </w:t>
      </w:r>
      <w:r>
        <w:rPr/>
        <w:t>the</w:t>
      </w:r>
      <w:r>
        <w:rPr>
          <w:spacing w:val="-26"/>
        </w:rPr>
        <w:t> </w:t>
      </w:r>
      <w:r>
        <w:rPr/>
        <w:t>last</w:t>
      </w:r>
      <w:r>
        <w:rPr>
          <w:spacing w:val="-25"/>
        </w:rPr>
        <w:t> </w:t>
      </w:r>
      <w:r>
        <w:rPr/>
        <w:t>few</w:t>
      </w:r>
      <w:r>
        <w:rPr>
          <w:spacing w:val="-25"/>
        </w:rPr>
        <w:t> </w:t>
      </w:r>
      <w:r>
        <w:rPr/>
        <w:t>years.</w:t>
      </w:r>
    </w:p>
    <w:p>
      <w:pPr>
        <w:pStyle w:val="BodyText"/>
        <w:spacing w:before="9"/>
        <w:rPr>
          <w:sz w:val="20"/>
        </w:rPr>
      </w:pPr>
    </w:p>
    <w:p>
      <w:pPr>
        <w:pStyle w:val="BodyText"/>
        <w:spacing w:line="321" w:lineRule="auto"/>
        <w:ind w:left="1227" w:right="681"/>
        <w:jc w:val="both"/>
      </w:pPr>
      <w:r>
        <w:rPr/>
        <w:t>The</w:t>
      </w:r>
      <w:r>
        <w:rPr>
          <w:spacing w:val="-8"/>
        </w:rPr>
        <w:t> </w:t>
      </w:r>
      <w:r>
        <w:rPr/>
        <w:t>existing</w:t>
      </w:r>
      <w:r>
        <w:rPr>
          <w:spacing w:val="-6"/>
        </w:rPr>
        <w:t> </w:t>
      </w:r>
      <w:r>
        <w:rPr/>
        <w:t>upscale</w:t>
      </w:r>
      <w:r>
        <w:rPr>
          <w:spacing w:val="-7"/>
        </w:rPr>
        <w:t> </w:t>
      </w:r>
      <w:r>
        <w:rPr/>
        <w:t>hotels</w:t>
      </w:r>
      <w:r>
        <w:rPr>
          <w:spacing w:val="-6"/>
        </w:rPr>
        <w:t> </w:t>
      </w:r>
      <w:r>
        <w:rPr/>
        <w:t>that</w:t>
      </w:r>
      <w:r>
        <w:rPr>
          <w:spacing w:val="-6"/>
        </w:rPr>
        <w:t> </w:t>
      </w:r>
      <w:r>
        <w:rPr/>
        <w:t>are</w:t>
      </w:r>
      <w:r>
        <w:rPr>
          <w:spacing w:val="-7"/>
        </w:rPr>
        <w:t> </w:t>
      </w:r>
      <w:r>
        <w:rPr/>
        <w:t>operational</w:t>
      </w:r>
      <w:r>
        <w:rPr>
          <w:spacing w:val="-7"/>
        </w:rPr>
        <w:t> </w:t>
      </w:r>
      <w:r>
        <w:rPr/>
        <w:t>across</w:t>
      </w:r>
      <w:r>
        <w:rPr>
          <w:spacing w:val="-6"/>
        </w:rPr>
        <w:t> </w:t>
      </w:r>
      <w:r>
        <w:rPr/>
        <w:t>Bengaluru</w:t>
      </w:r>
      <w:r>
        <w:rPr>
          <w:spacing w:val="-7"/>
        </w:rPr>
        <w:t> </w:t>
      </w:r>
      <w:r>
        <w:rPr/>
        <w:t>have</w:t>
      </w:r>
      <w:r>
        <w:rPr>
          <w:spacing w:val="-7"/>
        </w:rPr>
        <w:t> </w:t>
      </w:r>
      <w:r>
        <w:rPr/>
        <w:t>achieved</w:t>
      </w:r>
      <w:r>
        <w:rPr>
          <w:spacing w:val="-6"/>
        </w:rPr>
        <w:t> </w:t>
      </w:r>
      <w:r>
        <w:rPr/>
        <w:t>ARRs</w:t>
      </w:r>
      <w:r>
        <w:rPr>
          <w:spacing w:val="-5"/>
        </w:rPr>
        <w:t> </w:t>
      </w:r>
      <w:r>
        <w:rPr/>
        <w:t>in</w:t>
      </w:r>
      <w:r>
        <w:rPr>
          <w:spacing w:val="-9"/>
        </w:rPr>
        <w:t> </w:t>
      </w:r>
      <w:r>
        <w:rPr/>
        <w:t>the</w:t>
      </w:r>
      <w:r>
        <w:rPr>
          <w:spacing w:val="-7"/>
        </w:rPr>
        <w:t> </w:t>
      </w:r>
      <w:r>
        <w:rPr/>
        <w:t>range</w:t>
      </w:r>
      <w:r>
        <w:rPr>
          <w:spacing w:val="-9"/>
        </w:rPr>
        <w:t> </w:t>
      </w:r>
      <w:r>
        <w:rPr/>
        <w:t>of INR 11,800 </w:t>
      </w:r>
      <w:r>
        <w:rPr>
          <w:w w:val="105"/>
        </w:rPr>
        <w:t>– </w:t>
      </w:r>
      <w:r>
        <w:rPr/>
        <w:t>12,500 per room per night and occupancies in the range of 73.0 -</w:t>
      </w:r>
      <w:r>
        <w:rPr>
          <w:spacing w:val="17"/>
        </w:rPr>
        <w:t> </w:t>
      </w:r>
      <w:r>
        <w:rPr/>
        <w:t>80.0%.</w:t>
      </w:r>
    </w:p>
    <w:p>
      <w:pPr>
        <w:pStyle w:val="BodyText"/>
        <w:spacing w:before="10"/>
        <w:rPr>
          <w:sz w:val="20"/>
        </w:rPr>
      </w:pPr>
    </w:p>
    <w:p>
      <w:pPr>
        <w:pStyle w:val="BodyText"/>
        <w:ind w:left="680"/>
      </w:pPr>
      <w:bookmarkStart w:name="_bookmark336" w:id="656"/>
      <w:bookmarkEnd w:id="656"/>
      <w:r>
        <w:rPr/>
      </w:r>
      <w:r>
        <w:rPr>
          <w:color w:val="1F664D"/>
          <w:w w:val="105"/>
        </w:rPr>
        <w:t>15.2.2 Rent</w:t>
      </w:r>
    </w:p>
    <w:p>
      <w:pPr>
        <w:pStyle w:val="BodyText"/>
        <w:spacing w:line="321" w:lineRule="auto" w:before="208"/>
        <w:ind w:left="1227" w:right="671"/>
        <w:jc w:val="both"/>
      </w:pPr>
      <w:r>
        <w:rPr/>
        <w:t>Based</w:t>
      </w:r>
      <w:r>
        <w:rPr>
          <w:spacing w:val="-29"/>
        </w:rPr>
        <w:t> </w:t>
      </w:r>
      <w:r>
        <w:rPr/>
        <w:t>on</w:t>
      </w:r>
      <w:r>
        <w:rPr>
          <w:spacing w:val="-29"/>
        </w:rPr>
        <w:t> </w:t>
      </w:r>
      <w:r>
        <w:rPr/>
        <w:t>our</w:t>
      </w:r>
      <w:r>
        <w:rPr>
          <w:spacing w:val="-28"/>
        </w:rPr>
        <w:t> </w:t>
      </w:r>
      <w:r>
        <w:rPr/>
        <w:t>interactions</w:t>
      </w:r>
      <w:r>
        <w:rPr>
          <w:spacing w:val="-27"/>
        </w:rPr>
        <w:t> </w:t>
      </w:r>
      <w:r>
        <w:rPr/>
        <w:t>with</w:t>
      </w:r>
      <w:r>
        <w:rPr>
          <w:spacing w:val="-28"/>
        </w:rPr>
        <w:t> </w:t>
      </w:r>
      <w:r>
        <w:rPr/>
        <w:t>the</w:t>
      </w:r>
      <w:r>
        <w:rPr>
          <w:spacing w:val="-29"/>
        </w:rPr>
        <w:t> </w:t>
      </w:r>
      <w:r>
        <w:rPr/>
        <w:t>market</w:t>
      </w:r>
      <w:r>
        <w:rPr>
          <w:spacing w:val="-29"/>
        </w:rPr>
        <w:t> </w:t>
      </w:r>
      <w:r>
        <w:rPr/>
        <w:t>players</w:t>
      </w:r>
      <w:r>
        <w:rPr>
          <w:spacing w:val="-30"/>
        </w:rPr>
        <w:t> </w:t>
      </w:r>
      <w:r>
        <w:rPr/>
        <w:t>and</w:t>
      </w:r>
      <w:r>
        <w:rPr>
          <w:spacing w:val="-28"/>
        </w:rPr>
        <w:t> </w:t>
      </w:r>
      <w:r>
        <w:rPr/>
        <w:t>developers</w:t>
      </w:r>
      <w:r>
        <w:rPr>
          <w:spacing w:val="-25"/>
        </w:rPr>
        <w:t> </w:t>
      </w:r>
      <w:r>
        <w:rPr/>
        <w:t>in</w:t>
      </w:r>
      <w:r>
        <w:rPr>
          <w:spacing w:val="-31"/>
        </w:rPr>
        <w:t> </w:t>
      </w:r>
      <w:r>
        <w:rPr/>
        <w:t>the</w:t>
      </w:r>
      <w:r>
        <w:rPr>
          <w:spacing w:val="-28"/>
        </w:rPr>
        <w:t> </w:t>
      </w:r>
      <w:r>
        <w:rPr/>
        <w:t>region,</w:t>
      </w:r>
      <w:r>
        <w:rPr>
          <w:spacing w:val="-29"/>
        </w:rPr>
        <w:t> </w:t>
      </w:r>
      <w:r>
        <w:rPr/>
        <w:t>it</w:t>
      </w:r>
      <w:r>
        <w:rPr>
          <w:spacing w:val="-28"/>
        </w:rPr>
        <w:t> </w:t>
      </w:r>
      <w:r>
        <w:rPr/>
        <w:t>was</w:t>
      </w:r>
      <w:r>
        <w:rPr>
          <w:spacing w:val="-27"/>
        </w:rPr>
        <w:t> </w:t>
      </w:r>
      <w:r>
        <w:rPr/>
        <w:t>observed</w:t>
      </w:r>
      <w:r>
        <w:rPr>
          <w:spacing w:val="-29"/>
        </w:rPr>
        <w:t> </w:t>
      </w:r>
      <w:r>
        <w:rPr/>
        <w:t>that</w:t>
      </w:r>
      <w:r>
        <w:rPr>
          <w:spacing w:val="-28"/>
        </w:rPr>
        <w:t> </w:t>
      </w:r>
      <w:r>
        <w:rPr/>
        <w:t>the lease</w:t>
      </w:r>
      <w:r>
        <w:rPr>
          <w:spacing w:val="-36"/>
        </w:rPr>
        <w:t> </w:t>
      </w:r>
      <w:r>
        <w:rPr/>
        <w:t>rent</w:t>
      </w:r>
      <w:r>
        <w:rPr>
          <w:spacing w:val="-35"/>
        </w:rPr>
        <w:t> </w:t>
      </w:r>
      <w:r>
        <w:rPr/>
        <w:t>for</w:t>
      </w:r>
      <w:r>
        <w:rPr>
          <w:spacing w:val="-35"/>
        </w:rPr>
        <w:t> </w:t>
      </w:r>
      <w:r>
        <w:rPr/>
        <w:t>office</w:t>
      </w:r>
      <w:r>
        <w:rPr>
          <w:spacing w:val="-36"/>
        </w:rPr>
        <w:t> </w:t>
      </w:r>
      <w:r>
        <w:rPr/>
        <w:t>space</w:t>
      </w:r>
      <w:r>
        <w:rPr>
          <w:spacing w:val="-35"/>
        </w:rPr>
        <w:t> </w:t>
      </w:r>
      <w:r>
        <w:rPr/>
        <w:t>is</w:t>
      </w:r>
      <w:r>
        <w:rPr>
          <w:spacing w:val="-34"/>
        </w:rPr>
        <w:t> </w:t>
      </w:r>
      <w:r>
        <w:rPr/>
        <w:t>primarily</w:t>
      </w:r>
      <w:r>
        <w:rPr>
          <w:spacing w:val="-35"/>
        </w:rPr>
        <w:t> </w:t>
      </w:r>
      <w:r>
        <w:rPr/>
        <w:t>determined</w:t>
      </w:r>
      <w:r>
        <w:rPr>
          <w:spacing w:val="-36"/>
        </w:rPr>
        <w:t> </w:t>
      </w:r>
      <w:r>
        <w:rPr/>
        <w:t>by</w:t>
      </w:r>
      <w:r>
        <w:rPr>
          <w:spacing w:val="-35"/>
        </w:rPr>
        <w:t> </w:t>
      </w:r>
      <w:r>
        <w:rPr/>
        <w:t>the</w:t>
      </w:r>
      <w:r>
        <w:rPr>
          <w:spacing w:val="-36"/>
        </w:rPr>
        <w:t> </w:t>
      </w:r>
      <w:r>
        <w:rPr/>
        <w:t>factors</w:t>
      </w:r>
      <w:r>
        <w:rPr>
          <w:spacing w:val="-34"/>
        </w:rPr>
        <w:t> </w:t>
      </w:r>
      <w:r>
        <w:rPr/>
        <w:t>such</w:t>
      </w:r>
      <w:r>
        <w:rPr>
          <w:spacing w:val="-35"/>
        </w:rPr>
        <w:t> </w:t>
      </w:r>
      <w:r>
        <w:rPr/>
        <w:t>as</w:t>
      </w:r>
      <w:r>
        <w:rPr>
          <w:spacing w:val="-35"/>
        </w:rPr>
        <w:t> </w:t>
      </w:r>
      <w:r>
        <w:rPr/>
        <w:t>location,</w:t>
      </w:r>
      <w:r>
        <w:rPr>
          <w:spacing w:val="-35"/>
        </w:rPr>
        <w:t> </w:t>
      </w:r>
      <w:r>
        <w:rPr/>
        <w:t>accessibility,</w:t>
      </w:r>
      <w:r>
        <w:rPr>
          <w:spacing w:val="-36"/>
        </w:rPr>
        <w:t> </w:t>
      </w:r>
      <w:r>
        <w:rPr/>
        <w:t>space</w:t>
      </w:r>
      <w:r>
        <w:rPr>
          <w:spacing w:val="-36"/>
        </w:rPr>
        <w:t> </w:t>
      </w:r>
      <w:r>
        <w:rPr/>
        <w:t>off take,</w:t>
      </w:r>
      <w:r>
        <w:rPr>
          <w:spacing w:val="-40"/>
        </w:rPr>
        <w:t> </w:t>
      </w:r>
      <w:r>
        <w:rPr/>
        <w:t>type</w:t>
      </w:r>
      <w:r>
        <w:rPr>
          <w:spacing w:val="-39"/>
        </w:rPr>
        <w:t> </w:t>
      </w:r>
      <w:r>
        <w:rPr/>
        <w:t>of</w:t>
      </w:r>
      <w:r>
        <w:rPr>
          <w:spacing w:val="-40"/>
        </w:rPr>
        <w:t> </w:t>
      </w:r>
      <w:r>
        <w:rPr/>
        <w:t>development,</w:t>
      </w:r>
      <w:r>
        <w:rPr>
          <w:spacing w:val="-39"/>
        </w:rPr>
        <w:t> </w:t>
      </w:r>
      <w:r>
        <w:rPr/>
        <w:t>related</w:t>
      </w:r>
      <w:r>
        <w:rPr>
          <w:spacing w:val="-39"/>
        </w:rPr>
        <w:t> </w:t>
      </w:r>
      <w:r>
        <w:rPr/>
        <w:t>infrastructure</w:t>
      </w:r>
      <w:r>
        <w:rPr>
          <w:spacing w:val="-40"/>
        </w:rPr>
        <w:t> </w:t>
      </w:r>
      <w:r>
        <w:rPr/>
        <w:t>provision</w:t>
      </w:r>
      <w:r>
        <w:rPr>
          <w:spacing w:val="-39"/>
        </w:rPr>
        <w:t> </w:t>
      </w:r>
      <w:r>
        <w:rPr/>
        <w:t>for</w:t>
      </w:r>
      <w:r>
        <w:rPr>
          <w:spacing w:val="-40"/>
        </w:rPr>
        <w:t> </w:t>
      </w:r>
      <w:r>
        <w:rPr/>
        <w:t>the</w:t>
      </w:r>
      <w:r>
        <w:rPr>
          <w:spacing w:val="-40"/>
        </w:rPr>
        <w:t> </w:t>
      </w:r>
      <w:r>
        <w:rPr/>
        <w:t>site,</w:t>
      </w:r>
      <w:r>
        <w:rPr>
          <w:spacing w:val="-40"/>
        </w:rPr>
        <w:t> </w:t>
      </w:r>
      <w:r>
        <w:rPr/>
        <w:t>distance</w:t>
      </w:r>
      <w:r>
        <w:rPr>
          <w:spacing w:val="-40"/>
        </w:rPr>
        <w:t> </w:t>
      </w:r>
      <w:r>
        <w:rPr/>
        <w:t>from</w:t>
      </w:r>
      <w:r>
        <w:rPr>
          <w:spacing w:val="-39"/>
        </w:rPr>
        <w:t> </w:t>
      </w:r>
      <w:r>
        <w:rPr/>
        <w:t>the</w:t>
      </w:r>
      <w:r>
        <w:rPr>
          <w:spacing w:val="-40"/>
        </w:rPr>
        <w:t> </w:t>
      </w:r>
      <w:r>
        <w:rPr/>
        <w:t>key</w:t>
      </w:r>
      <w:r>
        <w:rPr>
          <w:spacing w:val="-38"/>
        </w:rPr>
        <w:t> </w:t>
      </w:r>
      <w:r>
        <w:rPr/>
        <w:t>hubs</w:t>
      </w:r>
      <w:r>
        <w:rPr>
          <w:spacing w:val="-39"/>
        </w:rPr>
        <w:t> </w:t>
      </w:r>
      <w:r>
        <w:rPr/>
        <w:t>of</w:t>
      </w:r>
      <w:r>
        <w:rPr>
          <w:spacing w:val="-39"/>
        </w:rPr>
        <w:t> </w:t>
      </w:r>
      <w:r>
        <w:rPr/>
        <w:t>the city,</w:t>
      </w:r>
      <w:r>
        <w:rPr>
          <w:spacing w:val="-26"/>
        </w:rPr>
        <w:t> </w:t>
      </w:r>
      <w:r>
        <w:rPr/>
        <w:t>services</w:t>
      </w:r>
      <w:r>
        <w:rPr>
          <w:spacing w:val="-24"/>
        </w:rPr>
        <w:t> </w:t>
      </w:r>
      <w:r>
        <w:rPr/>
        <w:t>provided,</w:t>
      </w:r>
      <w:r>
        <w:rPr>
          <w:spacing w:val="-25"/>
        </w:rPr>
        <w:t> </w:t>
      </w:r>
      <w:r>
        <w:rPr/>
        <w:t>etc.</w:t>
      </w:r>
      <w:r>
        <w:rPr>
          <w:spacing w:val="-25"/>
        </w:rPr>
        <w:t> </w:t>
      </w:r>
      <w:r>
        <w:rPr/>
        <w:t>However,</w:t>
      </w:r>
      <w:r>
        <w:rPr>
          <w:spacing w:val="-25"/>
        </w:rPr>
        <w:t> </w:t>
      </w:r>
      <w:r>
        <w:rPr/>
        <w:t>the</w:t>
      </w:r>
      <w:r>
        <w:rPr>
          <w:spacing w:val="-25"/>
        </w:rPr>
        <w:t> </w:t>
      </w:r>
      <w:r>
        <w:rPr/>
        <w:t>premium</w:t>
      </w:r>
      <w:r>
        <w:rPr>
          <w:spacing w:val="-26"/>
        </w:rPr>
        <w:t> </w:t>
      </w:r>
      <w:r>
        <w:rPr/>
        <w:t>charged</w:t>
      </w:r>
      <w:r>
        <w:rPr>
          <w:spacing w:val="-25"/>
        </w:rPr>
        <w:t> </w:t>
      </w:r>
      <w:r>
        <w:rPr/>
        <w:t>by</w:t>
      </w:r>
      <w:r>
        <w:rPr>
          <w:spacing w:val="-24"/>
        </w:rPr>
        <w:t> </w:t>
      </w:r>
      <w:r>
        <w:rPr/>
        <w:t>high</w:t>
      </w:r>
      <w:r>
        <w:rPr>
          <w:spacing w:val="-26"/>
        </w:rPr>
        <w:t> </w:t>
      </w:r>
      <w:r>
        <w:rPr/>
        <w:t>end</w:t>
      </w:r>
      <w:r>
        <w:rPr>
          <w:spacing w:val="-25"/>
        </w:rPr>
        <w:t> </w:t>
      </w:r>
      <w:r>
        <w:rPr/>
        <w:t>projects</w:t>
      </w:r>
      <w:r>
        <w:rPr>
          <w:spacing w:val="-24"/>
        </w:rPr>
        <w:t> </w:t>
      </w:r>
      <w:r>
        <w:rPr/>
        <w:t>in</w:t>
      </w:r>
      <w:r>
        <w:rPr>
          <w:spacing w:val="-26"/>
        </w:rPr>
        <w:t> </w:t>
      </w:r>
      <w:r>
        <w:rPr/>
        <w:t>the</w:t>
      </w:r>
      <w:r>
        <w:rPr>
          <w:spacing w:val="-25"/>
        </w:rPr>
        <w:t> </w:t>
      </w:r>
      <w:r>
        <w:rPr/>
        <w:t>city</w:t>
      </w:r>
      <w:r>
        <w:rPr>
          <w:spacing w:val="-23"/>
        </w:rPr>
        <w:t> </w:t>
      </w:r>
      <w:r>
        <w:rPr/>
        <w:t>is</w:t>
      </w:r>
      <w:r>
        <w:rPr>
          <w:spacing w:val="-26"/>
        </w:rPr>
        <w:t> </w:t>
      </w:r>
      <w:r>
        <w:rPr/>
        <w:t>primarily on</w:t>
      </w:r>
      <w:r>
        <w:rPr>
          <w:spacing w:val="-18"/>
        </w:rPr>
        <w:t> </w:t>
      </w:r>
      <w:r>
        <w:rPr/>
        <w:t>account</w:t>
      </w:r>
      <w:r>
        <w:rPr>
          <w:spacing w:val="-18"/>
        </w:rPr>
        <w:t> </w:t>
      </w:r>
      <w:r>
        <w:rPr/>
        <w:t>of</w:t>
      </w:r>
      <w:r>
        <w:rPr>
          <w:spacing w:val="-18"/>
        </w:rPr>
        <w:t> </w:t>
      </w:r>
      <w:r>
        <w:rPr/>
        <w:t>the</w:t>
      </w:r>
      <w:r>
        <w:rPr>
          <w:spacing w:val="-18"/>
        </w:rPr>
        <w:t> </w:t>
      </w:r>
      <w:r>
        <w:rPr/>
        <w:t>location</w:t>
      </w:r>
      <w:r>
        <w:rPr>
          <w:spacing w:val="-18"/>
        </w:rPr>
        <w:t> </w:t>
      </w:r>
      <w:r>
        <w:rPr/>
        <w:t>(most</w:t>
      </w:r>
      <w:r>
        <w:rPr>
          <w:spacing w:val="-17"/>
        </w:rPr>
        <w:t> </w:t>
      </w:r>
      <w:r>
        <w:rPr/>
        <w:t>of</w:t>
      </w:r>
      <w:r>
        <w:rPr>
          <w:spacing w:val="-17"/>
        </w:rPr>
        <w:t> </w:t>
      </w:r>
      <w:r>
        <w:rPr/>
        <w:t>them</w:t>
      </w:r>
      <w:r>
        <w:rPr>
          <w:spacing w:val="-20"/>
        </w:rPr>
        <w:t> </w:t>
      </w:r>
      <w:r>
        <w:rPr/>
        <w:t>located</w:t>
      </w:r>
      <w:r>
        <w:rPr>
          <w:spacing w:val="-18"/>
        </w:rPr>
        <w:t> </w:t>
      </w:r>
      <w:r>
        <w:rPr/>
        <w:t>at</w:t>
      </w:r>
      <w:r>
        <w:rPr>
          <w:spacing w:val="-18"/>
        </w:rPr>
        <w:t> </w:t>
      </w:r>
      <w:r>
        <w:rPr/>
        <w:t>the</w:t>
      </w:r>
      <w:r>
        <w:rPr>
          <w:spacing w:val="-17"/>
        </w:rPr>
        <w:t> </w:t>
      </w:r>
      <w:r>
        <w:rPr/>
        <w:t>city</w:t>
      </w:r>
      <w:r>
        <w:rPr>
          <w:spacing w:val="-17"/>
        </w:rPr>
        <w:t> </w:t>
      </w:r>
      <w:r>
        <w:rPr/>
        <w:t>center)</w:t>
      </w:r>
      <w:r>
        <w:rPr>
          <w:spacing w:val="-17"/>
        </w:rPr>
        <w:t> </w:t>
      </w:r>
      <w:r>
        <w:rPr/>
        <w:t>and</w:t>
      </w:r>
      <w:r>
        <w:rPr>
          <w:spacing w:val="-17"/>
        </w:rPr>
        <w:t> </w:t>
      </w:r>
      <w:r>
        <w:rPr/>
        <w:t>the</w:t>
      </w:r>
      <w:r>
        <w:rPr>
          <w:spacing w:val="-18"/>
        </w:rPr>
        <w:t> </w:t>
      </w:r>
      <w:r>
        <w:rPr/>
        <w:t>international</w:t>
      </w:r>
      <w:r>
        <w:rPr>
          <w:spacing w:val="-18"/>
        </w:rPr>
        <w:t> </w:t>
      </w:r>
      <w:r>
        <w:rPr/>
        <w:t>standards</w:t>
      </w:r>
      <w:r>
        <w:rPr>
          <w:spacing w:val="-18"/>
        </w:rPr>
        <w:t> </w:t>
      </w:r>
      <w:r>
        <w:rPr/>
        <w:t>of construction</w:t>
      </w:r>
      <w:r>
        <w:rPr>
          <w:spacing w:val="-11"/>
        </w:rPr>
        <w:t> </w:t>
      </w:r>
      <w:r>
        <w:rPr/>
        <w:t>along</w:t>
      </w:r>
      <w:r>
        <w:rPr>
          <w:spacing w:val="-9"/>
        </w:rPr>
        <w:t> </w:t>
      </w:r>
      <w:r>
        <w:rPr/>
        <w:t>with</w:t>
      </w:r>
      <w:r>
        <w:rPr>
          <w:spacing w:val="-10"/>
        </w:rPr>
        <w:t> </w:t>
      </w:r>
      <w:r>
        <w:rPr/>
        <w:t>the</w:t>
      </w:r>
      <w:r>
        <w:rPr>
          <w:spacing w:val="-11"/>
        </w:rPr>
        <w:t> </w:t>
      </w:r>
      <w:r>
        <w:rPr/>
        <w:t>high-end</w:t>
      </w:r>
      <w:r>
        <w:rPr>
          <w:spacing w:val="-11"/>
        </w:rPr>
        <w:t> </w:t>
      </w:r>
      <w:r>
        <w:rPr/>
        <w:t>specifications</w:t>
      </w:r>
      <w:r>
        <w:rPr>
          <w:spacing w:val="-8"/>
        </w:rPr>
        <w:t> </w:t>
      </w:r>
      <w:r>
        <w:rPr/>
        <w:t>and</w:t>
      </w:r>
      <w:r>
        <w:rPr>
          <w:spacing w:val="-10"/>
        </w:rPr>
        <w:t> </w:t>
      </w:r>
      <w:r>
        <w:rPr/>
        <w:t>amenities</w:t>
      </w:r>
      <w:r>
        <w:rPr>
          <w:spacing w:val="-10"/>
        </w:rPr>
        <w:t> </w:t>
      </w:r>
      <w:r>
        <w:rPr/>
        <w:t>being</w:t>
      </w:r>
      <w:r>
        <w:rPr>
          <w:spacing w:val="-8"/>
        </w:rPr>
        <w:t> </w:t>
      </w:r>
      <w:r>
        <w:rPr/>
        <w:t>offered.</w:t>
      </w:r>
    </w:p>
    <w:p>
      <w:pPr>
        <w:pStyle w:val="BodyText"/>
        <w:spacing w:before="11"/>
        <w:rPr>
          <w:sz w:val="20"/>
        </w:rPr>
      </w:pPr>
    </w:p>
    <w:p>
      <w:pPr>
        <w:pStyle w:val="BodyText"/>
        <w:spacing w:line="321" w:lineRule="auto"/>
        <w:ind w:left="1227" w:right="675"/>
        <w:jc w:val="both"/>
      </w:pPr>
      <w:r>
        <w:rPr/>
        <w:t>Rent values of comparable high-end office space available for lease have been analysed &amp; discussed below.</w:t>
      </w:r>
      <w:r>
        <w:rPr>
          <w:spacing w:val="-34"/>
        </w:rPr>
        <w:t> </w:t>
      </w:r>
      <w:r>
        <w:rPr/>
        <w:t>The</w:t>
      </w:r>
      <w:r>
        <w:rPr>
          <w:spacing w:val="-35"/>
        </w:rPr>
        <w:t> </w:t>
      </w:r>
      <w:r>
        <w:rPr/>
        <w:t>prevailing</w:t>
      </w:r>
      <w:r>
        <w:rPr>
          <w:spacing w:val="-33"/>
        </w:rPr>
        <w:t> </w:t>
      </w:r>
      <w:r>
        <w:rPr/>
        <w:t>quoted</w:t>
      </w:r>
      <w:r>
        <w:rPr>
          <w:spacing w:val="-34"/>
        </w:rPr>
        <w:t> </w:t>
      </w:r>
      <w:r>
        <w:rPr/>
        <w:t>lease</w:t>
      </w:r>
      <w:r>
        <w:rPr>
          <w:spacing w:val="-34"/>
        </w:rPr>
        <w:t> </w:t>
      </w:r>
      <w:r>
        <w:rPr/>
        <w:t>rent</w:t>
      </w:r>
      <w:r>
        <w:rPr>
          <w:spacing w:val="-34"/>
        </w:rPr>
        <w:t> </w:t>
      </w:r>
      <w:r>
        <w:rPr/>
        <w:t>for</w:t>
      </w:r>
      <w:r>
        <w:rPr>
          <w:spacing w:val="-34"/>
        </w:rPr>
        <w:t> </w:t>
      </w:r>
      <w:r>
        <w:rPr/>
        <w:t>high-end</w:t>
      </w:r>
      <w:r>
        <w:rPr>
          <w:spacing w:val="-33"/>
        </w:rPr>
        <w:t> </w:t>
      </w:r>
      <w:r>
        <w:rPr/>
        <w:t>office</w:t>
      </w:r>
      <w:r>
        <w:rPr>
          <w:spacing w:val="-34"/>
        </w:rPr>
        <w:t> </w:t>
      </w:r>
      <w:r>
        <w:rPr/>
        <w:t>developments</w:t>
      </w:r>
      <w:r>
        <w:rPr>
          <w:spacing w:val="-34"/>
        </w:rPr>
        <w:t> </w:t>
      </w:r>
      <w:r>
        <w:rPr/>
        <w:t>in</w:t>
      </w:r>
      <w:r>
        <w:rPr>
          <w:spacing w:val="-34"/>
        </w:rPr>
        <w:t> </w:t>
      </w:r>
      <w:r>
        <w:rPr/>
        <w:t>the</w:t>
      </w:r>
      <w:r>
        <w:rPr>
          <w:spacing w:val="-35"/>
        </w:rPr>
        <w:t> </w:t>
      </w:r>
      <w:r>
        <w:rPr/>
        <w:t>city</w:t>
      </w:r>
      <w:r>
        <w:rPr>
          <w:spacing w:val="-33"/>
        </w:rPr>
        <w:t> </w:t>
      </w:r>
      <w:r>
        <w:rPr/>
        <w:t>ranges</w:t>
      </w:r>
      <w:r>
        <w:rPr>
          <w:spacing w:val="-34"/>
        </w:rPr>
        <w:t> </w:t>
      </w:r>
      <w:r>
        <w:rPr/>
        <w:t>between</w:t>
      </w:r>
      <w:r>
        <w:rPr>
          <w:spacing w:val="-34"/>
        </w:rPr>
        <w:t> </w:t>
      </w:r>
      <w:r>
        <w:rPr/>
        <w:t>INR</w:t>
      </w:r>
    </w:p>
    <w:p>
      <w:pPr>
        <w:pStyle w:val="BodyText"/>
        <w:spacing w:before="2"/>
        <w:ind w:left="1227"/>
      </w:pPr>
      <w:r>
        <w:rPr/>
        <w:t>150.0 </w:t>
      </w:r>
      <w:r>
        <w:rPr>
          <w:w w:val="105"/>
        </w:rPr>
        <w:t>– </w:t>
      </w:r>
      <w:r>
        <w:rPr/>
        <w:t>200.0 psf pm, on warm shell basis; depending upon factors highlighted earlier.</w:t>
      </w:r>
    </w:p>
    <w:p>
      <w:pPr>
        <w:pStyle w:val="BodyText"/>
        <w:rPr>
          <w:sz w:val="28"/>
        </w:rPr>
      </w:pPr>
    </w:p>
    <w:p>
      <w:pPr>
        <w:pStyle w:val="BodyText"/>
        <w:ind w:left="1227"/>
        <w:jc w:val="both"/>
      </w:pPr>
      <w:r>
        <w:rPr/>
        <w:t>The table below highlights the quoted rent across key developments located in the subject sub market:</w:t>
      </w:r>
    </w:p>
    <w:p>
      <w:pPr>
        <w:pStyle w:val="BodyText"/>
        <w:spacing w:before="1"/>
        <w:rPr>
          <w:sz w:val="29"/>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72"/>
        <w:gridCol w:w="2489"/>
        <w:gridCol w:w="2274"/>
        <w:gridCol w:w="2649"/>
      </w:tblGrid>
      <w:tr>
        <w:trPr>
          <w:trHeight w:val="433" w:hRule="atLeast"/>
        </w:trPr>
        <w:tc>
          <w:tcPr>
            <w:tcW w:w="3072" w:type="dxa"/>
            <w:tcBorders>
              <w:top w:val="single" w:sz="12" w:space="0" w:color="1F6B16"/>
              <w:bottom w:val="single" w:sz="6" w:space="0" w:color="69BD28"/>
            </w:tcBorders>
            <w:shd w:val="clear" w:color="auto" w:fill="006A4D"/>
          </w:tcPr>
          <w:p>
            <w:pPr>
              <w:pStyle w:val="TableParagraph"/>
              <w:spacing w:before="113"/>
              <w:ind w:left="472" w:right="652"/>
              <w:rPr>
                <w:b/>
                <w:sz w:val="18"/>
              </w:rPr>
            </w:pPr>
            <w:r>
              <w:rPr>
                <w:b/>
                <w:color w:val="FFFFFF"/>
                <w:w w:val="110"/>
                <w:sz w:val="18"/>
              </w:rPr>
              <w:t>Development Name</w:t>
            </w:r>
          </w:p>
        </w:tc>
        <w:tc>
          <w:tcPr>
            <w:tcW w:w="2489" w:type="dxa"/>
            <w:tcBorders>
              <w:top w:val="single" w:sz="12" w:space="0" w:color="1F6B16"/>
              <w:bottom w:val="single" w:sz="6" w:space="0" w:color="69BD28"/>
            </w:tcBorders>
            <w:shd w:val="clear" w:color="auto" w:fill="006A4D"/>
          </w:tcPr>
          <w:p>
            <w:pPr>
              <w:pStyle w:val="TableParagraph"/>
              <w:spacing w:before="113"/>
              <w:ind w:left="32" w:right="413"/>
              <w:rPr>
                <w:b/>
                <w:sz w:val="18"/>
              </w:rPr>
            </w:pPr>
            <w:r>
              <w:rPr>
                <w:b/>
                <w:color w:val="FFFFFF"/>
                <w:w w:val="105"/>
                <w:sz w:val="18"/>
              </w:rPr>
              <w:t>Development Type</w:t>
            </w:r>
          </w:p>
        </w:tc>
        <w:tc>
          <w:tcPr>
            <w:tcW w:w="2274" w:type="dxa"/>
            <w:tcBorders>
              <w:top w:val="single" w:sz="12" w:space="0" w:color="1F6B16"/>
              <w:bottom w:val="single" w:sz="6" w:space="0" w:color="69BD28"/>
            </w:tcBorders>
            <w:shd w:val="clear" w:color="auto" w:fill="006A4D"/>
          </w:tcPr>
          <w:p>
            <w:pPr>
              <w:pStyle w:val="TableParagraph"/>
              <w:spacing w:before="113"/>
              <w:ind w:left="56"/>
              <w:jc w:val="left"/>
              <w:rPr>
                <w:b/>
                <w:sz w:val="18"/>
              </w:rPr>
            </w:pPr>
            <w:r>
              <w:rPr>
                <w:b/>
                <w:color w:val="FFFFFF"/>
                <w:w w:val="110"/>
                <w:sz w:val="18"/>
              </w:rPr>
              <w:t>Total Leasable Area</w:t>
            </w:r>
            <w:r>
              <w:rPr>
                <w:b/>
                <w:color w:val="FFFFFF"/>
                <w:spacing w:val="-25"/>
                <w:w w:val="110"/>
                <w:sz w:val="18"/>
              </w:rPr>
              <w:t> </w:t>
            </w:r>
            <w:r>
              <w:rPr>
                <w:b/>
                <w:color w:val="FFFFFF"/>
                <w:w w:val="110"/>
                <w:sz w:val="18"/>
              </w:rPr>
              <w:t>(ms</w:t>
            </w:r>
          </w:p>
        </w:tc>
        <w:tc>
          <w:tcPr>
            <w:tcW w:w="2649" w:type="dxa"/>
            <w:tcBorders>
              <w:top w:val="single" w:sz="12" w:space="0" w:color="1F6B16"/>
              <w:bottom w:val="single" w:sz="6" w:space="0" w:color="69BD28"/>
            </w:tcBorders>
            <w:shd w:val="clear" w:color="auto" w:fill="006A4D"/>
          </w:tcPr>
          <w:p>
            <w:pPr>
              <w:pStyle w:val="TableParagraph"/>
              <w:tabs>
                <w:tab w:pos="542" w:val="left" w:leader="none"/>
              </w:tabs>
              <w:spacing w:line="156" w:lineRule="auto" w:before="25"/>
              <w:ind w:left="-19"/>
              <w:jc w:val="left"/>
              <w:rPr>
                <w:b/>
                <w:sz w:val="18"/>
              </w:rPr>
            </w:pPr>
            <w:r>
              <w:rPr>
                <w:b/>
                <w:color w:val="FFFFFF"/>
                <w:w w:val="105"/>
                <w:position w:val="-10"/>
                <w:sz w:val="18"/>
              </w:rPr>
              <w:t>f)</w:t>
              <w:tab/>
            </w:r>
            <w:r>
              <w:rPr>
                <w:b/>
                <w:color w:val="FFFFFF"/>
                <w:w w:val="105"/>
                <w:sz w:val="18"/>
              </w:rPr>
              <w:t>Quoted Rent (INR</w:t>
            </w:r>
            <w:r>
              <w:rPr>
                <w:b/>
                <w:color w:val="FFFFFF"/>
                <w:spacing w:val="26"/>
                <w:w w:val="105"/>
                <w:sz w:val="18"/>
              </w:rPr>
              <w:t> </w:t>
            </w:r>
            <w:r>
              <w:rPr>
                <w:b/>
                <w:color w:val="FFFFFF"/>
                <w:w w:val="105"/>
                <w:sz w:val="18"/>
              </w:rPr>
              <w:t>psf</w:t>
            </w:r>
          </w:p>
          <w:p>
            <w:pPr>
              <w:pStyle w:val="TableParagraph"/>
              <w:spacing w:line="140" w:lineRule="exact"/>
              <w:ind w:left="1301" w:right="948"/>
              <w:rPr>
                <w:b/>
                <w:sz w:val="18"/>
              </w:rPr>
            </w:pPr>
            <w:r>
              <w:rPr>
                <w:b/>
                <w:color w:val="FFFFFF"/>
                <w:w w:val="110"/>
                <w:sz w:val="18"/>
              </w:rPr>
              <w:t>pm)</w:t>
            </w:r>
          </w:p>
        </w:tc>
      </w:tr>
      <w:tr>
        <w:trPr>
          <w:trHeight w:val="405" w:hRule="atLeast"/>
        </w:trPr>
        <w:tc>
          <w:tcPr>
            <w:tcW w:w="3072" w:type="dxa"/>
            <w:tcBorders>
              <w:top w:val="single" w:sz="6" w:space="0" w:color="69BD28"/>
              <w:bottom w:val="single" w:sz="6" w:space="0" w:color="69BD28"/>
            </w:tcBorders>
          </w:tcPr>
          <w:p>
            <w:pPr>
              <w:pStyle w:val="TableParagraph"/>
              <w:spacing w:before="66"/>
              <w:ind w:left="470" w:right="652"/>
              <w:rPr>
                <w:sz w:val="18"/>
              </w:rPr>
            </w:pPr>
            <w:r>
              <w:rPr>
                <w:w w:val="105"/>
                <w:sz w:val="18"/>
              </w:rPr>
              <w:t>Development 1</w:t>
            </w:r>
          </w:p>
        </w:tc>
        <w:tc>
          <w:tcPr>
            <w:tcW w:w="2489" w:type="dxa"/>
            <w:tcBorders>
              <w:top w:val="single" w:sz="6" w:space="0" w:color="69BD28"/>
              <w:bottom w:val="single" w:sz="6" w:space="0" w:color="69BD28"/>
            </w:tcBorders>
          </w:tcPr>
          <w:p>
            <w:pPr>
              <w:pStyle w:val="TableParagraph"/>
              <w:spacing w:before="66"/>
              <w:ind w:left="32" w:right="411"/>
              <w:rPr>
                <w:sz w:val="18"/>
              </w:rPr>
            </w:pPr>
            <w:r>
              <w:rPr>
                <w:w w:val="105"/>
                <w:sz w:val="18"/>
              </w:rPr>
              <w:t>Non-SEZ</w:t>
            </w:r>
          </w:p>
        </w:tc>
        <w:tc>
          <w:tcPr>
            <w:tcW w:w="2274" w:type="dxa"/>
            <w:tcBorders>
              <w:top w:val="single" w:sz="6" w:space="0" w:color="69BD28"/>
              <w:bottom w:val="single" w:sz="6" w:space="0" w:color="69BD28"/>
            </w:tcBorders>
          </w:tcPr>
          <w:p>
            <w:pPr>
              <w:pStyle w:val="TableParagraph"/>
              <w:spacing w:before="66"/>
              <w:ind w:left="1064" w:right="901"/>
              <w:rPr>
                <w:sz w:val="18"/>
              </w:rPr>
            </w:pPr>
            <w:r>
              <w:rPr>
                <w:w w:val="105"/>
                <w:sz w:val="18"/>
              </w:rPr>
              <w:t>0.4</w:t>
            </w:r>
          </w:p>
        </w:tc>
        <w:tc>
          <w:tcPr>
            <w:tcW w:w="2649" w:type="dxa"/>
            <w:tcBorders>
              <w:top w:val="single" w:sz="6" w:space="0" w:color="69BD28"/>
              <w:bottom w:val="single" w:sz="6" w:space="0" w:color="69BD28"/>
            </w:tcBorders>
          </w:tcPr>
          <w:p>
            <w:pPr>
              <w:pStyle w:val="TableParagraph"/>
              <w:spacing w:before="66"/>
              <w:ind w:right="571"/>
              <w:jc w:val="right"/>
              <w:rPr>
                <w:sz w:val="18"/>
              </w:rPr>
            </w:pPr>
            <w:r>
              <w:rPr>
                <w:w w:val="115"/>
                <w:sz w:val="18"/>
              </w:rPr>
              <w:t>190.0 – 210.0</w:t>
            </w:r>
          </w:p>
        </w:tc>
      </w:tr>
      <w:tr>
        <w:trPr>
          <w:trHeight w:val="404" w:hRule="atLeast"/>
        </w:trPr>
        <w:tc>
          <w:tcPr>
            <w:tcW w:w="3072" w:type="dxa"/>
            <w:tcBorders>
              <w:top w:val="single" w:sz="6" w:space="0" w:color="69BD28"/>
              <w:bottom w:val="single" w:sz="6" w:space="0" w:color="69BD28"/>
            </w:tcBorders>
          </w:tcPr>
          <w:p>
            <w:pPr>
              <w:pStyle w:val="TableParagraph"/>
              <w:spacing w:before="66"/>
              <w:ind w:left="471" w:right="652"/>
              <w:rPr>
                <w:sz w:val="18"/>
              </w:rPr>
            </w:pPr>
            <w:r>
              <w:rPr>
                <w:w w:val="105"/>
                <w:sz w:val="18"/>
              </w:rPr>
              <w:t>Development 2</w:t>
            </w:r>
          </w:p>
        </w:tc>
        <w:tc>
          <w:tcPr>
            <w:tcW w:w="2489" w:type="dxa"/>
            <w:tcBorders>
              <w:top w:val="single" w:sz="6" w:space="0" w:color="69BD28"/>
              <w:bottom w:val="single" w:sz="6" w:space="0" w:color="69BD28"/>
            </w:tcBorders>
          </w:tcPr>
          <w:p>
            <w:pPr>
              <w:pStyle w:val="TableParagraph"/>
              <w:spacing w:before="66"/>
              <w:ind w:left="32" w:right="411"/>
              <w:rPr>
                <w:sz w:val="18"/>
              </w:rPr>
            </w:pPr>
            <w:r>
              <w:rPr>
                <w:w w:val="105"/>
                <w:sz w:val="18"/>
              </w:rPr>
              <w:t>Non-SEZ</w:t>
            </w:r>
          </w:p>
        </w:tc>
        <w:tc>
          <w:tcPr>
            <w:tcW w:w="2274" w:type="dxa"/>
            <w:tcBorders>
              <w:top w:val="single" w:sz="6" w:space="0" w:color="69BD28"/>
              <w:bottom w:val="single" w:sz="6" w:space="0" w:color="69BD28"/>
            </w:tcBorders>
          </w:tcPr>
          <w:p>
            <w:pPr>
              <w:pStyle w:val="TableParagraph"/>
              <w:spacing w:before="66"/>
              <w:ind w:left="1064" w:right="901"/>
              <w:rPr>
                <w:sz w:val="18"/>
              </w:rPr>
            </w:pPr>
            <w:r>
              <w:rPr>
                <w:w w:val="105"/>
                <w:sz w:val="18"/>
              </w:rPr>
              <w:t>0.7</w:t>
            </w:r>
          </w:p>
        </w:tc>
        <w:tc>
          <w:tcPr>
            <w:tcW w:w="2649" w:type="dxa"/>
            <w:tcBorders>
              <w:top w:val="single" w:sz="6" w:space="0" w:color="69BD28"/>
              <w:bottom w:val="single" w:sz="6" w:space="0" w:color="69BD28"/>
            </w:tcBorders>
          </w:tcPr>
          <w:p>
            <w:pPr>
              <w:pStyle w:val="TableParagraph"/>
              <w:spacing w:before="66"/>
              <w:ind w:right="571"/>
              <w:jc w:val="right"/>
              <w:rPr>
                <w:sz w:val="18"/>
              </w:rPr>
            </w:pPr>
            <w:r>
              <w:rPr>
                <w:w w:val="115"/>
                <w:sz w:val="18"/>
              </w:rPr>
              <w:t>200.0 – 220.0</w:t>
            </w:r>
          </w:p>
        </w:tc>
      </w:tr>
      <w:tr>
        <w:trPr>
          <w:trHeight w:val="405" w:hRule="atLeast"/>
        </w:trPr>
        <w:tc>
          <w:tcPr>
            <w:tcW w:w="3072" w:type="dxa"/>
            <w:tcBorders>
              <w:top w:val="single" w:sz="6" w:space="0" w:color="69BD28"/>
              <w:bottom w:val="single" w:sz="6" w:space="0" w:color="69BD28"/>
            </w:tcBorders>
          </w:tcPr>
          <w:p>
            <w:pPr>
              <w:pStyle w:val="TableParagraph"/>
              <w:spacing w:before="66"/>
              <w:ind w:left="471" w:right="652"/>
              <w:rPr>
                <w:sz w:val="18"/>
              </w:rPr>
            </w:pPr>
            <w:r>
              <w:rPr>
                <w:w w:val="105"/>
                <w:sz w:val="18"/>
              </w:rPr>
              <w:t>Development 3</w:t>
            </w:r>
          </w:p>
        </w:tc>
        <w:tc>
          <w:tcPr>
            <w:tcW w:w="2489" w:type="dxa"/>
            <w:tcBorders>
              <w:top w:val="single" w:sz="6" w:space="0" w:color="69BD28"/>
              <w:bottom w:val="single" w:sz="6" w:space="0" w:color="69BD28"/>
            </w:tcBorders>
          </w:tcPr>
          <w:p>
            <w:pPr>
              <w:pStyle w:val="TableParagraph"/>
              <w:spacing w:before="66"/>
              <w:ind w:left="32" w:right="411"/>
              <w:rPr>
                <w:sz w:val="18"/>
              </w:rPr>
            </w:pPr>
            <w:r>
              <w:rPr>
                <w:w w:val="105"/>
                <w:sz w:val="18"/>
              </w:rPr>
              <w:t>Non-SEZ</w:t>
            </w:r>
          </w:p>
        </w:tc>
        <w:tc>
          <w:tcPr>
            <w:tcW w:w="2274" w:type="dxa"/>
            <w:tcBorders>
              <w:top w:val="single" w:sz="6" w:space="0" w:color="69BD28"/>
              <w:bottom w:val="single" w:sz="6" w:space="0" w:color="69BD28"/>
            </w:tcBorders>
          </w:tcPr>
          <w:p>
            <w:pPr>
              <w:pStyle w:val="TableParagraph"/>
              <w:spacing w:before="66"/>
              <w:ind w:left="1063" w:right="901"/>
              <w:rPr>
                <w:sz w:val="18"/>
              </w:rPr>
            </w:pPr>
            <w:r>
              <w:rPr>
                <w:w w:val="105"/>
                <w:sz w:val="18"/>
              </w:rPr>
              <w:t>0.1</w:t>
            </w:r>
          </w:p>
        </w:tc>
        <w:tc>
          <w:tcPr>
            <w:tcW w:w="2649" w:type="dxa"/>
            <w:tcBorders>
              <w:top w:val="single" w:sz="6" w:space="0" w:color="69BD28"/>
              <w:bottom w:val="single" w:sz="6" w:space="0" w:color="69BD28"/>
            </w:tcBorders>
          </w:tcPr>
          <w:p>
            <w:pPr>
              <w:pStyle w:val="TableParagraph"/>
              <w:spacing w:before="66"/>
              <w:ind w:right="571"/>
              <w:jc w:val="right"/>
              <w:rPr>
                <w:sz w:val="18"/>
              </w:rPr>
            </w:pPr>
            <w:r>
              <w:rPr>
                <w:w w:val="115"/>
                <w:sz w:val="18"/>
              </w:rPr>
              <w:t>160.0 – 170.0</w:t>
            </w:r>
          </w:p>
        </w:tc>
      </w:tr>
      <w:tr>
        <w:trPr>
          <w:trHeight w:val="405" w:hRule="atLeast"/>
        </w:trPr>
        <w:tc>
          <w:tcPr>
            <w:tcW w:w="3072" w:type="dxa"/>
            <w:tcBorders>
              <w:top w:val="single" w:sz="6" w:space="0" w:color="69BD28"/>
              <w:bottom w:val="single" w:sz="6" w:space="0" w:color="69BD28"/>
            </w:tcBorders>
          </w:tcPr>
          <w:p>
            <w:pPr>
              <w:pStyle w:val="TableParagraph"/>
              <w:spacing w:before="66"/>
              <w:ind w:left="471" w:right="652"/>
              <w:rPr>
                <w:sz w:val="18"/>
              </w:rPr>
            </w:pPr>
            <w:r>
              <w:rPr>
                <w:w w:val="105"/>
                <w:sz w:val="18"/>
              </w:rPr>
              <w:t>Development 4</w:t>
            </w:r>
          </w:p>
        </w:tc>
        <w:tc>
          <w:tcPr>
            <w:tcW w:w="2489" w:type="dxa"/>
            <w:tcBorders>
              <w:top w:val="single" w:sz="6" w:space="0" w:color="69BD28"/>
              <w:bottom w:val="single" w:sz="6" w:space="0" w:color="69BD28"/>
            </w:tcBorders>
          </w:tcPr>
          <w:p>
            <w:pPr>
              <w:pStyle w:val="TableParagraph"/>
              <w:spacing w:before="66"/>
              <w:ind w:left="32" w:right="411"/>
              <w:rPr>
                <w:sz w:val="18"/>
              </w:rPr>
            </w:pPr>
            <w:r>
              <w:rPr>
                <w:w w:val="105"/>
                <w:sz w:val="18"/>
              </w:rPr>
              <w:t>Non-SEZ</w:t>
            </w:r>
          </w:p>
        </w:tc>
        <w:tc>
          <w:tcPr>
            <w:tcW w:w="2274" w:type="dxa"/>
            <w:tcBorders>
              <w:top w:val="single" w:sz="6" w:space="0" w:color="69BD28"/>
              <w:bottom w:val="single" w:sz="6" w:space="0" w:color="69BD28"/>
            </w:tcBorders>
          </w:tcPr>
          <w:p>
            <w:pPr>
              <w:pStyle w:val="TableParagraph"/>
              <w:spacing w:before="66"/>
              <w:ind w:left="1063" w:right="901"/>
              <w:rPr>
                <w:sz w:val="18"/>
              </w:rPr>
            </w:pPr>
            <w:r>
              <w:rPr>
                <w:w w:val="105"/>
                <w:sz w:val="18"/>
              </w:rPr>
              <w:t>1.1</w:t>
            </w:r>
          </w:p>
        </w:tc>
        <w:tc>
          <w:tcPr>
            <w:tcW w:w="2649" w:type="dxa"/>
            <w:tcBorders>
              <w:top w:val="single" w:sz="6" w:space="0" w:color="69BD28"/>
              <w:bottom w:val="single" w:sz="6" w:space="0" w:color="69BD28"/>
            </w:tcBorders>
          </w:tcPr>
          <w:p>
            <w:pPr>
              <w:pStyle w:val="TableParagraph"/>
              <w:spacing w:before="66"/>
              <w:ind w:right="571"/>
              <w:jc w:val="right"/>
              <w:rPr>
                <w:sz w:val="18"/>
              </w:rPr>
            </w:pPr>
            <w:r>
              <w:rPr>
                <w:w w:val="115"/>
                <w:sz w:val="18"/>
              </w:rPr>
              <w:t>145.0 – 155.0</w:t>
            </w:r>
          </w:p>
        </w:tc>
      </w:tr>
      <w:tr>
        <w:trPr>
          <w:trHeight w:val="214" w:hRule="atLeast"/>
        </w:trPr>
        <w:tc>
          <w:tcPr>
            <w:tcW w:w="3072" w:type="dxa"/>
            <w:tcBorders>
              <w:top w:val="single" w:sz="6" w:space="0" w:color="69BD28"/>
            </w:tcBorders>
          </w:tcPr>
          <w:p>
            <w:pPr>
              <w:pStyle w:val="TableParagraph"/>
              <w:spacing w:line="191" w:lineRule="exact" w:before="3"/>
              <w:ind w:left="523" w:right="643"/>
              <w:rPr>
                <w:i/>
                <w:sz w:val="18"/>
              </w:rPr>
            </w:pPr>
            <w:r>
              <w:rPr>
                <w:i/>
                <w:sz w:val="18"/>
              </w:rPr>
              <w:t>Source: CBRE Research</w:t>
            </w:r>
          </w:p>
        </w:tc>
        <w:tc>
          <w:tcPr>
            <w:tcW w:w="2489" w:type="dxa"/>
            <w:tcBorders>
              <w:top w:val="single" w:sz="6" w:space="0" w:color="69BD28"/>
            </w:tcBorders>
          </w:tcPr>
          <w:p>
            <w:pPr>
              <w:pStyle w:val="TableParagraph"/>
              <w:jc w:val="left"/>
              <w:rPr>
                <w:rFonts w:ascii="Times New Roman"/>
                <w:sz w:val="14"/>
              </w:rPr>
            </w:pPr>
          </w:p>
        </w:tc>
        <w:tc>
          <w:tcPr>
            <w:tcW w:w="2274" w:type="dxa"/>
            <w:tcBorders>
              <w:top w:val="single" w:sz="6" w:space="0" w:color="69BD28"/>
            </w:tcBorders>
          </w:tcPr>
          <w:p>
            <w:pPr>
              <w:pStyle w:val="TableParagraph"/>
              <w:jc w:val="left"/>
              <w:rPr>
                <w:rFonts w:ascii="Times New Roman"/>
                <w:sz w:val="14"/>
              </w:rPr>
            </w:pPr>
          </w:p>
        </w:tc>
        <w:tc>
          <w:tcPr>
            <w:tcW w:w="2649" w:type="dxa"/>
            <w:tcBorders>
              <w:top w:val="single" w:sz="6" w:space="0" w:color="69BD28"/>
            </w:tcBorders>
          </w:tcPr>
          <w:p>
            <w:pPr>
              <w:pStyle w:val="TableParagraph"/>
              <w:jc w:val="left"/>
              <w:rPr>
                <w:rFonts w:ascii="Times New Roman"/>
                <w:sz w:val="14"/>
              </w:rPr>
            </w:pPr>
          </w:p>
        </w:tc>
      </w:tr>
    </w:tbl>
    <w:p>
      <w:pPr>
        <w:pStyle w:val="BodyText"/>
        <w:spacing w:before="8"/>
        <w:rPr>
          <w:sz w:val="26"/>
        </w:rPr>
      </w:pPr>
    </w:p>
    <w:p>
      <w:pPr>
        <w:pStyle w:val="BodyText"/>
        <w:spacing w:before="1"/>
        <w:ind w:left="1227"/>
        <w:jc w:val="both"/>
      </w:pPr>
      <w:r>
        <w:rPr/>
        <w:pict>
          <v:group style="position:absolute;margin-left:36pt;margin-top:28.978611pt;width:523.6pt;height:23.8pt;mso-position-horizontal-relative:page;mso-position-vertical-relative:paragraph;z-index:-34154496" coordorigin="720,580" coordsize="10472,476">
            <v:shape style="position:absolute;left:720;top:1040;width:10472;height:15" coordorigin="720,1040" coordsize="10472,15" path="m7187,1040l5392,1040,5377,1040,3361,1040,3347,1040,720,1040,720,1055,3347,1055,3361,1055,5377,1055,5392,1055,7187,1055,7187,1040xm8915,1040l7201,1040,7187,1040,7187,1055,7201,1055,8915,1055,8915,1040xm11191,1040l8930,1040,8916,1040,8916,1055,8930,1055,11191,1055,11191,1040xe" filled="true" fillcolor="#69bd28" stroked="false">
              <v:path arrowok="t"/>
              <v:fill type="solid"/>
            </v:shape>
            <v:shape style="position:absolute;left:720;top:608;width:10472;height:432" coordorigin="720,608" coordsize="10472,432" path="m8915,608l7187,608,5377,608,3347,608,720,608,720,1040,3347,1040,5377,1040,7187,1040,8915,1040,8915,608xm11191,608l8916,608,8916,1040,11191,1040,11191,608xe" filled="true" fillcolor="#006a4d" stroked="false">
              <v:path arrowok="t"/>
              <v:fill type="solid"/>
            </v:shape>
            <v:rect style="position:absolute;left:720;top:579;width:2627;height:29" filled="true" fillcolor="#1f6b16" stroked="false">
              <v:fill type="solid"/>
            </v:rect>
            <v:shape style="position:absolute;left:720;top:608;width:2656;height:3" coordorigin="720,608" coordsize="2656,3" path="m3375,608l3347,608,720,608,720,611,3347,611,3375,611,3375,608xe" filled="true" fillcolor="#006a4d" stroked="false">
              <v:path arrowok="t"/>
              <v:fill type="solid"/>
            </v:shape>
            <v:shape style="position:absolute;left:3346;top:579;width:2031;height:29" coordorigin="3347,580" coordsize="2031,29" path="m5377,580l3375,580,3347,580,3347,608,3375,608,5377,608,5377,580xe" filled="true" fillcolor="#1f6b16" stroked="false">
              <v:path arrowok="t"/>
              <v:fill type="solid"/>
            </v:shape>
            <v:shape style="position:absolute;left:3375;top:608;width:2031;height:3" coordorigin="3375,608" coordsize="2031,3" path="m5406,608l5377,608,3375,608,3375,611,5377,611,5406,611,5406,608xe" filled="true" fillcolor="#006a4d" stroked="false">
              <v:path arrowok="t"/>
              <v:fill type="solid"/>
            </v:shape>
            <v:shape style="position:absolute;left:5377;top:579;width:1810;height:29" coordorigin="5377,580" coordsize="1810,29" path="m7187,580l5406,580,5377,580,5377,608,5406,608,7187,608,7187,580xe" filled="true" fillcolor="#1f6b16" stroked="false">
              <v:path arrowok="t"/>
              <v:fill type="solid"/>
            </v:shape>
            <v:shape style="position:absolute;left:5406;top:608;width:1810;height:3" coordorigin="5406,608" coordsize="1810,3" path="m7216,608l7187,608,5406,608,5406,611,7187,611,7216,611,7216,608xe" filled="true" fillcolor="#006a4d" stroked="false">
              <v:path arrowok="t"/>
              <v:fill type="solid"/>
            </v:shape>
            <v:shape style="position:absolute;left:7187;top:579;width:1729;height:29" coordorigin="7187,580" coordsize="1729,29" path="m8915,580l7216,580,7187,580,7187,608,7216,608,8915,608,8915,580xe" filled="true" fillcolor="#1f6b16" stroked="false">
              <v:path arrowok="t"/>
              <v:fill type="solid"/>
            </v:shape>
            <v:shape style="position:absolute;left:7215;top:608;width:1729;height:3" coordorigin="7216,608" coordsize="1729,3" path="m8915,608l7216,608,7216,611,8915,611,8915,608xm8944,608l8916,608,8916,611,8944,611,8944,608xe" filled="true" fillcolor="#006a4d" stroked="false">
              <v:path arrowok="t"/>
              <v:fill type="solid"/>
            </v:shape>
            <v:shape style="position:absolute;left:8915;top:579;width:2276;height:29" coordorigin="8916,580" coordsize="2276,29" path="m8944,580l8916,580,8916,608,8944,608,8944,580xm11191,580l8944,580,8944,608,11191,608,11191,580xe" filled="true" fillcolor="#1f6b16" stroked="false">
              <v:path arrowok="t"/>
              <v:fill type="solid"/>
            </v:shape>
            <v:rect style="position:absolute;left:8944;top:608;width:2247;height:3" filled="true" fillcolor="#006a4d" stroked="false">
              <v:fill type="solid"/>
            </v:rect>
            <v:shape style="position:absolute;left:1262;top:715;width:1562;height:216" type="#_x0000_t202" filled="false" stroked="false">
              <v:textbox inset="0,0,0,0">
                <w:txbxContent>
                  <w:p>
                    <w:pPr>
                      <w:spacing w:before="4"/>
                      <w:ind w:left="0" w:right="0" w:firstLine="0"/>
                      <w:jc w:val="left"/>
                      <w:rPr>
                        <w:b/>
                        <w:sz w:val="18"/>
                      </w:rPr>
                    </w:pPr>
                    <w:r>
                      <w:rPr>
                        <w:b/>
                        <w:color w:val="FFFFFF"/>
                        <w:w w:val="110"/>
                        <w:sz w:val="18"/>
                      </w:rPr>
                      <w:t>Transaction</w:t>
                    </w:r>
                    <w:r>
                      <w:rPr>
                        <w:b/>
                        <w:color w:val="FFFFFF"/>
                        <w:spacing w:val="-26"/>
                        <w:w w:val="110"/>
                        <w:sz w:val="18"/>
                      </w:rPr>
                      <w:t> </w:t>
                    </w:r>
                    <w:r>
                      <w:rPr>
                        <w:b/>
                        <w:color w:val="FFFFFF"/>
                        <w:w w:val="110"/>
                        <w:sz w:val="18"/>
                      </w:rPr>
                      <w:t>Date</w:t>
                    </w:r>
                  </w:p>
                </w:txbxContent>
              </v:textbox>
              <w10:wrap type="none"/>
            </v:shape>
            <v:shape style="position:absolute;left:4047;top:715;width:648;height:216" type="#_x0000_t202" filled="false" stroked="false">
              <v:textbox inset="0,0,0,0">
                <w:txbxContent>
                  <w:p>
                    <w:pPr>
                      <w:spacing w:before="4"/>
                      <w:ind w:left="0" w:right="0" w:firstLine="0"/>
                      <w:jc w:val="left"/>
                      <w:rPr>
                        <w:b/>
                        <w:sz w:val="18"/>
                      </w:rPr>
                    </w:pPr>
                    <w:r>
                      <w:rPr>
                        <w:b/>
                        <w:color w:val="FFFFFF"/>
                        <w:w w:val="105"/>
                        <w:sz w:val="18"/>
                      </w:rPr>
                      <w:t>Tenant</w:t>
                    </w:r>
                  </w:p>
                </w:txbxContent>
              </v:textbox>
              <w10:wrap type="none"/>
            </v:shape>
            <v:shape style="position:absolute;left:5586;top:715;width:1414;height:216" type="#_x0000_t202" filled="false" stroked="false">
              <v:textbox inset="0,0,0,0">
                <w:txbxContent>
                  <w:p>
                    <w:pPr>
                      <w:spacing w:before="4"/>
                      <w:ind w:left="0" w:right="0" w:firstLine="0"/>
                      <w:jc w:val="left"/>
                      <w:rPr>
                        <w:b/>
                        <w:sz w:val="18"/>
                      </w:rPr>
                    </w:pPr>
                    <w:r>
                      <w:rPr>
                        <w:b/>
                        <w:color w:val="FFFFFF"/>
                        <w:w w:val="110"/>
                        <w:sz w:val="18"/>
                      </w:rPr>
                      <w:t>(Non-SEZ /SEZ)</w:t>
                    </w:r>
                  </w:p>
                </w:txbxContent>
              </v:textbox>
              <w10:wrap type="none"/>
            </v:shape>
            <v:shape style="position:absolute;left:7393;top:607;width:1331;height:216" type="#_x0000_t202" filled="false" stroked="false">
              <v:textbox inset="0,0,0,0">
                <w:txbxContent>
                  <w:p>
                    <w:pPr>
                      <w:spacing w:before="4"/>
                      <w:ind w:left="0" w:right="0" w:firstLine="0"/>
                      <w:jc w:val="left"/>
                      <w:rPr>
                        <w:b/>
                        <w:sz w:val="18"/>
                      </w:rPr>
                    </w:pPr>
                    <w:r>
                      <w:rPr>
                        <w:b/>
                        <w:color w:val="FFFFFF"/>
                        <w:w w:val="110"/>
                        <w:sz w:val="18"/>
                      </w:rPr>
                      <w:t>Leasable Area</w:t>
                    </w:r>
                  </w:p>
                </w:txbxContent>
              </v:textbox>
              <w10:wrap type="none"/>
            </v:shape>
            <v:shape style="position:absolute;left:9210;top:607;width:1703;height:216" type="#_x0000_t202" filled="false" stroked="false">
              <v:textbox inset="0,0,0,0">
                <w:txbxContent>
                  <w:p>
                    <w:pPr>
                      <w:spacing w:before="4"/>
                      <w:ind w:left="0" w:right="0" w:firstLine="0"/>
                      <w:jc w:val="left"/>
                      <w:rPr>
                        <w:b/>
                        <w:sz w:val="18"/>
                      </w:rPr>
                    </w:pPr>
                    <w:r>
                      <w:rPr>
                        <w:b/>
                        <w:color w:val="FFFFFF"/>
                        <w:w w:val="110"/>
                        <w:sz w:val="18"/>
                      </w:rPr>
                      <w:t>Base Rent (INR psf</w:t>
                    </w:r>
                  </w:p>
                </w:txbxContent>
              </v:textbox>
              <w10:wrap type="none"/>
            </v:shape>
            <w10:wrap type="none"/>
          </v:group>
        </w:pict>
      </w:r>
      <w:r>
        <w:rPr/>
        <w:t>Further, the table below highlights few recent lease transactions for the subject sub market:</w:t>
      </w:r>
    </w:p>
    <w:p>
      <w:pPr>
        <w:pStyle w:val="BodyText"/>
        <w:rPr>
          <w:sz w:val="20"/>
        </w:rPr>
      </w:pPr>
    </w:p>
    <w:p>
      <w:pPr>
        <w:pStyle w:val="BodyText"/>
        <w:spacing w:before="9" w:after="1"/>
        <w:rPr>
          <w:sz w:val="28"/>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15"/>
        <w:gridCol w:w="2081"/>
        <w:gridCol w:w="1911"/>
        <w:gridCol w:w="1599"/>
        <w:gridCol w:w="2380"/>
      </w:tblGrid>
      <w:tr>
        <w:trPr>
          <w:trHeight w:val="571" w:hRule="atLeast"/>
        </w:trPr>
        <w:tc>
          <w:tcPr>
            <w:tcW w:w="2515" w:type="dxa"/>
            <w:tcBorders>
              <w:bottom w:val="single" w:sz="6" w:space="0" w:color="69BD28"/>
            </w:tcBorders>
          </w:tcPr>
          <w:p>
            <w:pPr>
              <w:pStyle w:val="TableParagraph"/>
              <w:spacing w:before="10"/>
              <w:jc w:val="left"/>
              <w:rPr>
                <w:sz w:val="22"/>
              </w:rPr>
            </w:pPr>
          </w:p>
          <w:p>
            <w:pPr>
              <w:pStyle w:val="TableParagraph"/>
              <w:ind w:right="791"/>
              <w:jc w:val="right"/>
              <w:rPr>
                <w:sz w:val="18"/>
              </w:rPr>
            </w:pPr>
            <w:r>
              <w:rPr>
                <w:w w:val="110"/>
                <w:sz w:val="18"/>
              </w:rPr>
              <w:t>Q3, 2019</w:t>
            </w:r>
          </w:p>
        </w:tc>
        <w:tc>
          <w:tcPr>
            <w:tcW w:w="2081" w:type="dxa"/>
            <w:tcBorders>
              <w:bottom w:val="single" w:sz="6" w:space="0" w:color="69BD28"/>
            </w:tcBorders>
          </w:tcPr>
          <w:p>
            <w:pPr>
              <w:pStyle w:val="TableParagraph"/>
              <w:spacing w:before="10"/>
              <w:jc w:val="left"/>
              <w:rPr>
                <w:sz w:val="22"/>
              </w:rPr>
            </w:pPr>
          </w:p>
          <w:p>
            <w:pPr>
              <w:pStyle w:val="TableParagraph"/>
              <w:ind w:right="592"/>
              <w:jc w:val="right"/>
              <w:rPr>
                <w:sz w:val="18"/>
              </w:rPr>
            </w:pPr>
            <w:r>
              <w:rPr>
                <w:sz w:val="18"/>
              </w:rPr>
              <w:t>Tenant 1</w:t>
            </w:r>
          </w:p>
        </w:tc>
        <w:tc>
          <w:tcPr>
            <w:tcW w:w="1911" w:type="dxa"/>
            <w:tcBorders>
              <w:bottom w:val="single" w:sz="6" w:space="0" w:color="69BD28"/>
            </w:tcBorders>
          </w:tcPr>
          <w:p>
            <w:pPr>
              <w:pStyle w:val="TableParagraph"/>
              <w:spacing w:before="5"/>
              <w:jc w:val="left"/>
              <w:rPr>
                <w:sz w:val="21"/>
              </w:rPr>
            </w:pPr>
          </w:p>
          <w:p>
            <w:pPr>
              <w:pStyle w:val="TableParagraph"/>
              <w:ind w:right="544"/>
              <w:jc w:val="right"/>
              <w:rPr>
                <w:sz w:val="20"/>
              </w:rPr>
            </w:pPr>
            <w:r>
              <w:rPr>
                <w:w w:val="105"/>
                <w:sz w:val="20"/>
              </w:rPr>
              <w:t>Non-SEZ</w:t>
            </w:r>
          </w:p>
        </w:tc>
        <w:tc>
          <w:tcPr>
            <w:tcW w:w="1599" w:type="dxa"/>
            <w:tcBorders>
              <w:bottom w:val="single" w:sz="6" w:space="0" w:color="69BD28"/>
            </w:tcBorders>
          </w:tcPr>
          <w:p>
            <w:pPr>
              <w:pStyle w:val="TableParagraph"/>
              <w:spacing w:before="4"/>
              <w:ind w:left="534" w:right="460"/>
              <w:rPr>
                <w:b/>
                <w:sz w:val="18"/>
              </w:rPr>
            </w:pPr>
            <w:r>
              <w:rPr>
                <w:b/>
                <w:color w:val="FFFFFF"/>
                <w:sz w:val="18"/>
              </w:rPr>
              <w:t>(sf)</w:t>
            </w:r>
          </w:p>
          <w:p>
            <w:pPr>
              <w:pStyle w:val="TableParagraph"/>
              <w:spacing w:before="53"/>
              <w:ind w:left="534" w:right="460"/>
              <w:rPr>
                <w:sz w:val="18"/>
              </w:rPr>
            </w:pPr>
            <w:r>
              <w:rPr>
                <w:w w:val="105"/>
                <w:sz w:val="18"/>
              </w:rPr>
              <w:t>10,000</w:t>
            </w:r>
          </w:p>
        </w:tc>
        <w:tc>
          <w:tcPr>
            <w:tcW w:w="2380" w:type="dxa"/>
            <w:tcBorders>
              <w:bottom w:val="single" w:sz="6" w:space="0" w:color="69BD28"/>
            </w:tcBorders>
          </w:tcPr>
          <w:p>
            <w:pPr>
              <w:pStyle w:val="TableParagraph"/>
              <w:spacing w:before="4"/>
              <w:ind w:left="438" w:right="336"/>
              <w:rPr>
                <w:b/>
                <w:sz w:val="18"/>
              </w:rPr>
            </w:pPr>
            <w:r>
              <w:rPr>
                <w:b/>
                <w:color w:val="FFFFFF"/>
                <w:w w:val="105"/>
                <w:sz w:val="18"/>
              </w:rPr>
              <w:t>pm))</w:t>
            </w:r>
          </w:p>
          <w:p>
            <w:pPr>
              <w:pStyle w:val="TableParagraph"/>
              <w:spacing w:before="53"/>
              <w:ind w:left="440" w:right="336"/>
              <w:rPr>
                <w:sz w:val="18"/>
              </w:rPr>
            </w:pPr>
            <w:r>
              <w:rPr>
                <w:w w:val="105"/>
                <w:sz w:val="18"/>
              </w:rPr>
              <w:t>135.0 - 145.0 (WS)</w:t>
            </w:r>
          </w:p>
        </w:tc>
      </w:tr>
      <w:tr>
        <w:trPr>
          <w:trHeight w:val="340" w:hRule="atLeast"/>
        </w:trPr>
        <w:tc>
          <w:tcPr>
            <w:tcW w:w="2515" w:type="dxa"/>
            <w:tcBorders>
              <w:top w:val="single" w:sz="6" w:space="0" w:color="69BD28"/>
              <w:bottom w:val="single" w:sz="6" w:space="0" w:color="69BD28"/>
            </w:tcBorders>
          </w:tcPr>
          <w:p>
            <w:pPr>
              <w:pStyle w:val="TableParagraph"/>
              <w:spacing w:before="34"/>
              <w:ind w:right="791"/>
              <w:jc w:val="right"/>
              <w:rPr>
                <w:sz w:val="18"/>
              </w:rPr>
            </w:pPr>
            <w:r>
              <w:rPr>
                <w:w w:val="110"/>
                <w:sz w:val="18"/>
              </w:rPr>
              <w:t>Q3, 2019</w:t>
            </w:r>
          </w:p>
        </w:tc>
        <w:tc>
          <w:tcPr>
            <w:tcW w:w="2081" w:type="dxa"/>
            <w:tcBorders>
              <w:top w:val="single" w:sz="6" w:space="0" w:color="69BD28"/>
              <w:bottom w:val="single" w:sz="6" w:space="0" w:color="69BD28"/>
            </w:tcBorders>
          </w:tcPr>
          <w:p>
            <w:pPr>
              <w:pStyle w:val="TableParagraph"/>
              <w:spacing w:before="34"/>
              <w:ind w:right="592"/>
              <w:jc w:val="right"/>
              <w:rPr>
                <w:sz w:val="18"/>
              </w:rPr>
            </w:pPr>
            <w:r>
              <w:rPr>
                <w:sz w:val="18"/>
              </w:rPr>
              <w:t>Tenant 2</w:t>
            </w:r>
          </w:p>
        </w:tc>
        <w:tc>
          <w:tcPr>
            <w:tcW w:w="1911" w:type="dxa"/>
            <w:tcBorders>
              <w:top w:val="single" w:sz="6" w:space="0" w:color="69BD28"/>
              <w:bottom w:val="single" w:sz="6" w:space="0" w:color="69BD28"/>
            </w:tcBorders>
          </w:tcPr>
          <w:p>
            <w:pPr>
              <w:pStyle w:val="TableParagraph"/>
              <w:spacing w:before="18"/>
              <w:ind w:right="544"/>
              <w:jc w:val="right"/>
              <w:rPr>
                <w:sz w:val="20"/>
              </w:rPr>
            </w:pPr>
            <w:r>
              <w:rPr>
                <w:w w:val="105"/>
                <w:sz w:val="20"/>
              </w:rPr>
              <w:t>Non-SEZ</w:t>
            </w:r>
          </w:p>
        </w:tc>
        <w:tc>
          <w:tcPr>
            <w:tcW w:w="1599" w:type="dxa"/>
            <w:tcBorders>
              <w:top w:val="single" w:sz="6" w:space="0" w:color="69BD28"/>
              <w:bottom w:val="single" w:sz="6" w:space="0" w:color="69BD28"/>
            </w:tcBorders>
          </w:tcPr>
          <w:p>
            <w:pPr>
              <w:pStyle w:val="TableParagraph"/>
              <w:spacing w:before="34"/>
              <w:ind w:right="471"/>
              <w:jc w:val="right"/>
              <w:rPr>
                <w:sz w:val="18"/>
              </w:rPr>
            </w:pPr>
            <w:r>
              <w:rPr>
                <w:w w:val="105"/>
                <w:sz w:val="18"/>
              </w:rPr>
              <w:t>25,000</w:t>
            </w:r>
          </w:p>
        </w:tc>
        <w:tc>
          <w:tcPr>
            <w:tcW w:w="2380" w:type="dxa"/>
            <w:tcBorders>
              <w:top w:val="single" w:sz="6" w:space="0" w:color="69BD28"/>
              <w:bottom w:val="single" w:sz="6" w:space="0" w:color="69BD28"/>
            </w:tcBorders>
          </w:tcPr>
          <w:p>
            <w:pPr>
              <w:pStyle w:val="TableParagraph"/>
              <w:spacing w:before="34"/>
              <w:ind w:right="364"/>
              <w:jc w:val="right"/>
              <w:rPr>
                <w:sz w:val="18"/>
              </w:rPr>
            </w:pPr>
            <w:r>
              <w:rPr>
                <w:w w:val="105"/>
                <w:sz w:val="18"/>
              </w:rPr>
              <w:t>120.0 - 130.0 (WS)</w:t>
            </w:r>
          </w:p>
        </w:tc>
      </w:tr>
      <w:tr>
        <w:trPr>
          <w:trHeight w:val="340" w:hRule="atLeast"/>
        </w:trPr>
        <w:tc>
          <w:tcPr>
            <w:tcW w:w="2515" w:type="dxa"/>
            <w:tcBorders>
              <w:top w:val="single" w:sz="6" w:space="0" w:color="69BD28"/>
              <w:bottom w:val="single" w:sz="6" w:space="0" w:color="69BD28"/>
            </w:tcBorders>
          </w:tcPr>
          <w:p>
            <w:pPr>
              <w:pStyle w:val="TableParagraph"/>
              <w:spacing w:before="32"/>
              <w:ind w:right="791"/>
              <w:jc w:val="right"/>
              <w:rPr>
                <w:sz w:val="18"/>
              </w:rPr>
            </w:pPr>
            <w:r>
              <w:rPr>
                <w:w w:val="110"/>
                <w:sz w:val="18"/>
              </w:rPr>
              <w:t>Q3, 2019</w:t>
            </w:r>
          </w:p>
        </w:tc>
        <w:tc>
          <w:tcPr>
            <w:tcW w:w="2081" w:type="dxa"/>
            <w:tcBorders>
              <w:top w:val="single" w:sz="6" w:space="0" w:color="69BD28"/>
              <w:bottom w:val="single" w:sz="6" w:space="0" w:color="69BD28"/>
            </w:tcBorders>
          </w:tcPr>
          <w:p>
            <w:pPr>
              <w:pStyle w:val="TableParagraph"/>
              <w:spacing w:before="32"/>
              <w:ind w:right="591"/>
              <w:jc w:val="right"/>
              <w:rPr>
                <w:sz w:val="18"/>
              </w:rPr>
            </w:pPr>
            <w:r>
              <w:rPr>
                <w:sz w:val="18"/>
              </w:rPr>
              <w:t>Tenant 3</w:t>
            </w:r>
          </w:p>
        </w:tc>
        <w:tc>
          <w:tcPr>
            <w:tcW w:w="1911" w:type="dxa"/>
            <w:tcBorders>
              <w:top w:val="single" w:sz="6" w:space="0" w:color="69BD28"/>
              <w:bottom w:val="single" w:sz="6" w:space="0" w:color="69BD28"/>
            </w:tcBorders>
          </w:tcPr>
          <w:p>
            <w:pPr>
              <w:pStyle w:val="TableParagraph"/>
              <w:spacing w:before="18"/>
              <w:ind w:right="544"/>
              <w:jc w:val="right"/>
              <w:rPr>
                <w:sz w:val="20"/>
              </w:rPr>
            </w:pPr>
            <w:r>
              <w:rPr>
                <w:w w:val="105"/>
                <w:sz w:val="20"/>
              </w:rPr>
              <w:t>Non-SEZ</w:t>
            </w:r>
          </w:p>
        </w:tc>
        <w:tc>
          <w:tcPr>
            <w:tcW w:w="1599" w:type="dxa"/>
            <w:tcBorders>
              <w:top w:val="single" w:sz="6" w:space="0" w:color="69BD28"/>
              <w:bottom w:val="single" w:sz="6" w:space="0" w:color="69BD28"/>
            </w:tcBorders>
          </w:tcPr>
          <w:p>
            <w:pPr>
              <w:pStyle w:val="TableParagraph"/>
              <w:spacing w:before="32"/>
              <w:ind w:right="469"/>
              <w:jc w:val="right"/>
              <w:rPr>
                <w:sz w:val="18"/>
              </w:rPr>
            </w:pPr>
            <w:r>
              <w:rPr>
                <w:w w:val="105"/>
                <w:sz w:val="18"/>
              </w:rPr>
              <w:t>30,000</w:t>
            </w:r>
          </w:p>
        </w:tc>
        <w:tc>
          <w:tcPr>
            <w:tcW w:w="2380" w:type="dxa"/>
            <w:tcBorders>
              <w:top w:val="single" w:sz="6" w:space="0" w:color="69BD28"/>
              <w:bottom w:val="single" w:sz="6" w:space="0" w:color="69BD28"/>
            </w:tcBorders>
          </w:tcPr>
          <w:p>
            <w:pPr>
              <w:pStyle w:val="TableParagraph"/>
              <w:spacing w:before="32"/>
              <w:ind w:right="364"/>
              <w:jc w:val="right"/>
              <w:rPr>
                <w:sz w:val="18"/>
              </w:rPr>
            </w:pPr>
            <w:r>
              <w:rPr>
                <w:w w:val="105"/>
                <w:sz w:val="18"/>
              </w:rPr>
              <w:t>125.0 - 135.0 (WS)</w:t>
            </w:r>
          </w:p>
        </w:tc>
      </w:tr>
      <w:tr>
        <w:trPr>
          <w:trHeight w:val="340" w:hRule="atLeast"/>
        </w:trPr>
        <w:tc>
          <w:tcPr>
            <w:tcW w:w="2515" w:type="dxa"/>
            <w:tcBorders>
              <w:top w:val="single" w:sz="6" w:space="0" w:color="69BD28"/>
              <w:bottom w:val="single" w:sz="6" w:space="0" w:color="69BD28"/>
            </w:tcBorders>
          </w:tcPr>
          <w:p>
            <w:pPr>
              <w:pStyle w:val="TableParagraph"/>
              <w:spacing w:before="32"/>
              <w:ind w:right="791"/>
              <w:jc w:val="right"/>
              <w:rPr>
                <w:sz w:val="18"/>
              </w:rPr>
            </w:pPr>
            <w:r>
              <w:rPr>
                <w:w w:val="110"/>
                <w:sz w:val="18"/>
              </w:rPr>
              <w:t>Q2, 2019</w:t>
            </w:r>
          </w:p>
        </w:tc>
        <w:tc>
          <w:tcPr>
            <w:tcW w:w="2081" w:type="dxa"/>
            <w:tcBorders>
              <w:top w:val="single" w:sz="6" w:space="0" w:color="69BD28"/>
              <w:bottom w:val="single" w:sz="6" w:space="0" w:color="69BD28"/>
            </w:tcBorders>
          </w:tcPr>
          <w:p>
            <w:pPr>
              <w:pStyle w:val="TableParagraph"/>
              <w:spacing w:before="32"/>
              <w:ind w:right="591"/>
              <w:jc w:val="right"/>
              <w:rPr>
                <w:sz w:val="18"/>
              </w:rPr>
            </w:pPr>
            <w:r>
              <w:rPr>
                <w:sz w:val="18"/>
              </w:rPr>
              <w:t>Tenant 4</w:t>
            </w:r>
          </w:p>
        </w:tc>
        <w:tc>
          <w:tcPr>
            <w:tcW w:w="1911" w:type="dxa"/>
            <w:tcBorders>
              <w:top w:val="single" w:sz="6" w:space="0" w:color="69BD28"/>
              <w:bottom w:val="single" w:sz="6" w:space="0" w:color="69BD28"/>
            </w:tcBorders>
          </w:tcPr>
          <w:p>
            <w:pPr>
              <w:pStyle w:val="TableParagraph"/>
              <w:spacing w:before="18"/>
              <w:ind w:right="544"/>
              <w:jc w:val="right"/>
              <w:rPr>
                <w:sz w:val="20"/>
              </w:rPr>
            </w:pPr>
            <w:r>
              <w:rPr>
                <w:w w:val="105"/>
                <w:sz w:val="20"/>
              </w:rPr>
              <w:t>Non-SEZ</w:t>
            </w:r>
          </w:p>
        </w:tc>
        <w:tc>
          <w:tcPr>
            <w:tcW w:w="1599" w:type="dxa"/>
            <w:tcBorders>
              <w:top w:val="single" w:sz="6" w:space="0" w:color="69BD28"/>
              <w:bottom w:val="single" w:sz="6" w:space="0" w:color="69BD28"/>
            </w:tcBorders>
          </w:tcPr>
          <w:p>
            <w:pPr>
              <w:pStyle w:val="TableParagraph"/>
              <w:spacing w:before="32"/>
              <w:ind w:right="469"/>
              <w:jc w:val="right"/>
              <w:rPr>
                <w:sz w:val="18"/>
              </w:rPr>
            </w:pPr>
            <w:r>
              <w:rPr>
                <w:w w:val="105"/>
                <w:sz w:val="18"/>
              </w:rPr>
              <w:t>45,000</w:t>
            </w:r>
          </w:p>
        </w:tc>
        <w:tc>
          <w:tcPr>
            <w:tcW w:w="2380" w:type="dxa"/>
            <w:tcBorders>
              <w:top w:val="single" w:sz="6" w:space="0" w:color="69BD28"/>
              <w:bottom w:val="single" w:sz="6" w:space="0" w:color="69BD28"/>
            </w:tcBorders>
          </w:tcPr>
          <w:p>
            <w:pPr>
              <w:pStyle w:val="TableParagraph"/>
              <w:spacing w:before="32"/>
              <w:ind w:right="364"/>
              <w:jc w:val="right"/>
              <w:rPr>
                <w:sz w:val="18"/>
              </w:rPr>
            </w:pPr>
            <w:r>
              <w:rPr>
                <w:w w:val="105"/>
                <w:sz w:val="18"/>
              </w:rPr>
              <w:t>130.0 - 140.0 (WS)</w:t>
            </w:r>
          </w:p>
        </w:tc>
      </w:tr>
      <w:tr>
        <w:trPr>
          <w:trHeight w:val="340" w:hRule="atLeast"/>
        </w:trPr>
        <w:tc>
          <w:tcPr>
            <w:tcW w:w="2515" w:type="dxa"/>
            <w:tcBorders>
              <w:top w:val="single" w:sz="6" w:space="0" w:color="69BD28"/>
              <w:bottom w:val="single" w:sz="6" w:space="0" w:color="69BD28"/>
            </w:tcBorders>
          </w:tcPr>
          <w:p>
            <w:pPr>
              <w:pStyle w:val="TableParagraph"/>
              <w:spacing w:before="32"/>
              <w:ind w:right="791"/>
              <w:jc w:val="right"/>
              <w:rPr>
                <w:sz w:val="18"/>
              </w:rPr>
            </w:pPr>
            <w:r>
              <w:rPr>
                <w:w w:val="110"/>
                <w:sz w:val="18"/>
              </w:rPr>
              <w:t>Q2, 2019</w:t>
            </w:r>
          </w:p>
        </w:tc>
        <w:tc>
          <w:tcPr>
            <w:tcW w:w="2081" w:type="dxa"/>
            <w:tcBorders>
              <w:top w:val="single" w:sz="6" w:space="0" w:color="69BD28"/>
              <w:bottom w:val="single" w:sz="6" w:space="0" w:color="69BD28"/>
            </w:tcBorders>
          </w:tcPr>
          <w:p>
            <w:pPr>
              <w:pStyle w:val="TableParagraph"/>
              <w:spacing w:before="32"/>
              <w:ind w:right="591"/>
              <w:jc w:val="right"/>
              <w:rPr>
                <w:sz w:val="18"/>
              </w:rPr>
            </w:pPr>
            <w:r>
              <w:rPr>
                <w:sz w:val="18"/>
              </w:rPr>
              <w:t>Tenant 5</w:t>
            </w:r>
          </w:p>
        </w:tc>
        <w:tc>
          <w:tcPr>
            <w:tcW w:w="1911" w:type="dxa"/>
            <w:tcBorders>
              <w:top w:val="single" w:sz="6" w:space="0" w:color="69BD28"/>
              <w:bottom w:val="single" w:sz="6" w:space="0" w:color="69BD28"/>
            </w:tcBorders>
          </w:tcPr>
          <w:p>
            <w:pPr>
              <w:pStyle w:val="TableParagraph"/>
              <w:spacing w:before="18"/>
              <w:ind w:right="544"/>
              <w:jc w:val="right"/>
              <w:rPr>
                <w:sz w:val="20"/>
              </w:rPr>
            </w:pPr>
            <w:r>
              <w:rPr>
                <w:w w:val="105"/>
                <w:sz w:val="20"/>
              </w:rPr>
              <w:t>Non-SEZ</w:t>
            </w:r>
          </w:p>
        </w:tc>
        <w:tc>
          <w:tcPr>
            <w:tcW w:w="1599" w:type="dxa"/>
            <w:tcBorders>
              <w:top w:val="single" w:sz="6" w:space="0" w:color="69BD28"/>
              <w:bottom w:val="single" w:sz="6" w:space="0" w:color="69BD28"/>
            </w:tcBorders>
          </w:tcPr>
          <w:p>
            <w:pPr>
              <w:pStyle w:val="TableParagraph"/>
              <w:spacing w:before="32"/>
              <w:ind w:right="469"/>
              <w:jc w:val="right"/>
              <w:rPr>
                <w:sz w:val="18"/>
              </w:rPr>
            </w:pPr>
            <w:r>
              <w:rPr>
                <w:w w:val="105"/>
                <w:sz w:val="18"/>
              </w:rPr>
              <w:t>10,000</w:t>
            </w:r>
          </w:p>
        </w:tc>
        <w:tc>
          <w:tcPr>
            <w:tcW w:w="2380" w:type="dxa"/>
            <w:tcBorders>
              <w:top w:val="single" w:sz="6" w:space="0" w:color="69BD28"/>
              <w:bottom w:val="single" w:sz="6" w:space="0" w:color="69BD28"/>
            </w:tcBorders>
          </w:tcPr>
          <w:p>
            <w:pPr>
              <w:pStyle w:val="TableParagraph"/>
              <w:spacing w:before="32"/>
              <w:ind w:right="364"/>
              <w:jc w:val="right"/>
              <w:rPr>
                <w:sz w:val="18"/>
              </w:rPr>
            </w:pPr>
            <w:r>
              <w:rPr>
                <w:w w:val="105"/>
                <w:sz w:val="18"/>
              </w:rPr>
              <w:t>100.0 - 110.0 (WS)</w:t>
            </w:r>
          </w:p>
        </w:tc>
      </w:tr>
      <w:tr>
        <w:trPr>
          <w:trHeight w:val="340" w:hRule="atLeast"/>
        </w:trPr>
        <w:tc>
          <w:tcPr>
            <w:tcW w:w="2515" w:type="dxa"/>
            <w:tcBorders>
              <w:top w:val="single" w:sz="6" w:space="0" w:color="69BD28"/>
              <w:bottom w:val="single" w:sz="6" w:space="0" w:color="69BD28"/>
            </w:tcBorders>
          </w:tcPr>
          <w:p>
            <w:pPr>
              <w:pStyle w:val="TableParagraph"/>
              <w:spacing w:before="32"/>
              <w:ind w:right="791"/>
              <w:jc w:val="right"/>
              <w:rPr>
                <w:sz w:val="18"/>
              </w:rPr>
            </w:pPr>
            <w:r>
              <w:rPr>
                <w:w w:val="110"/>
                <w:sz w:val="18"/>
              </w:rPr>
              <w:t>Q2, 2019</w:t>
            </w:r>
          </w:p>
        </w:tc>
        <w:tc>
          <w:tcPr>
            <w:tcW w:w="2081" w:type="dxa"/>
            <w:tcBorders>
              <w:top w:val="single" w:sz="6" w:space="0" w:color="69BD28"/>
              <w:bottom w:val="single" w:sz="6" w:space="0" w:color="69BD28"/>
            </w:tcBorders>
          </w:tcPr>
          <w:p>
            <w:pPr>
              <w:pStyle w:val="TableParagraph"/>
              <w:spacing w:before="32"/>
              <w:ind w:right="591"/>
              <w:jc w:val="right"/>
              <w:rPr>
                <w:sz w:val="18"/>
              </w:rPr>
            </w:pPr>
            <w:r>
              <w:rPr>
                <w:sz w:val="18"/>
              </w:rPr>
              <w:t>Tenant 6</w:t>
            </w:r>
          </w:p>
        </w:tc>
        <w:tc>
          <w:tcPr>
            <w:tcW w:w="1911" w:type="dxa"/>
            <w:tcBorders>
              <w:top w:val="single" w:sz="6" w:space="0" w:color="69BD28"/>
              <w:bottom w:val="single" w:sz="6" w:space="0" w:color="69BD28"/>
            </w:tcBorders>
          </w:tcPr>
          <w:p>
            <w:pPr>
              <w:pStyle w:val="TableParagraph"/>
              <w:spacing w:before="32"/>
              <w:ind w:right="576"/>
              <w:jc w:val="right"/>
              <w:rPr>
                <w:sz w:val="18"/>
              </w:rPr>
            </w:pPr>
            <w:r>
              <w:rPr>
                <w:w w:val="105"/>
                <w:sz w:val="18"/>
              </w:rPr>
              <w:t>Non-SEZ</w:t>
            </w:r>
          </w:p>
        </w:tc>
        <w:tc>
          <w:tcPr>
            <w:tcW w:w="1599" w:type="dxa"/>
            <w:tcBorders>
              <w:top w:val="single" w:sz="6" w:space="0" w:color="69BD28"/>
              <w:bottom w:val="single" w:sz="6" w:space="0" w:color="69BD28"/>
            </w:tcBorders>
          </w:tcPr>
          <w:p>
            <w:pPr>
              <w:pStyle w:val="TableParagraph"/>
              <w:spacing w:before="32"/>
              <w:ind w:right="469"/>
              <w:jc w:val="right"/>
              <w:rPr>
                <w:sz w:val="18"/>
              </w:rPr>
            </w:pPr>
            <w:r>
              <w:rPr>
                <w:w w:val="105"/>
                <w:sz w:val="18"/>
              </w:rPr>
              <w:t>65,000</w:t>
            </w:r>
          </w:p>
        </w:tc>
        <w:tc>
          <w:tcPr>
            <w:tcW w:w="2380" w:type="dxa"/>
            <w:tcBorders>
              <w:top w:val="single" w:sz="6" w:space="0" w:color="69BD28"/>
              <w:bottom w:val="single" w:sz="6" w:space="0" w:color="69BD28"/>
            </w:tcBorders>
          </w:tcPr>
          <w:p>
            <w:pPr>
              <w:pStyle w:val="TableParagraph"/>
              <w:spacing w:before="32"/>
              <w:ind w:right="364"/>
              <w:jc w:val="right"/>
              <w:rPr>
                <w:sz w:val="18"/>
              </w:rPr>
            </w:pPr>
            <w:r>
              <w:rPr>
                <w:w w:val="105"/>
                <w:sz w:val="18"/>
              </w:rPr>
              <w:t>105.0 - 115.0 (WS)</w:t>
            </w:r>
          </w:p>
        </w:tc>
      </w:tr>
      <w:tr>
        <w:trPr>
          <w:trHeight w:val="340" w:hRule="atLeast"/>
        </w:trPr>
        <w:tc>
          <w:tcPr>
            <w:tcW w:w="2515" w:type="dxa"/>
            <w:tcBorders>
              <w:top w:val="single" w:sz="6" w:space="0" w:color="69BD28"/>
              <w:bottom w:val="single" w:sz="6" w:space="0" w:color="69BD28"/>
            </w:tcBorders>
          </w:tcPr>
          <w:p>
            <w:pPr>
              <w:pStyle w:val="TableParagraph"/>
              <w:spacing w:before="32"/>
              <w:ind w:right="791"/>
              <w:jc w:val="right"/>
              <w:rPr>
                <w:sz w:val="18"/>
              </w:rPr>
            </w:pPr>
            <w:r>
              <w:rPr>
                <w:w w:val="110"/>
                <w:sz w:val="18"/>
              </w:rPr>
              <w:t>Q1, 2019</w:t>
            </w:r>
          </w:p>
        </w:tc>
        <w:tc>
          <w:tcPr>
            <w:tcW w:w="2081" w:type="dxa"/>
            <w:tcBorders>
              <w:top w:val="single" w:sz="6" w:space="0" w:color="69BD28"/>
              <w:bottom w:val="single" w:sz="6" w:space="0" w:color="69BD28"/>
            </w:tcBorders>
          </w:tcPr>
          <w:p>
            <w:pPr>
              <w:pStyle w:val="TableParagraph"/>
              <w:spacing w:before="32"/>
              <w:ind w:right="591"/>
              <w:jc w:val="right"/>
              <w:rPr>
                <w:sz w:val="18"/>
              </w:rPr>
            </w:pPr>
            <w:r>
              <w:rPr>
                <w:sz w:val="18"/>
              </w:rPr>
              <w:t>Tenant 7</w:t>
            </w:r>
          </w:p>
        </w:tc>
        <w:tc>
          <w:tcPr>
            <w:tcW w:w="1911" w:type="dxa"/>
            <w:tcBorders>
              <w:top w:val="single" w:sz="6" w:space="0" w:color="69BD28"/>
              <w:bottom w:val="single" w:sz="6" w:space="0" w:color="69BD28"/>
            </w:tcBorders>
          </w:tcPr>
          <w:p>
            <w:pPr>
              <w:pStyle w:val="TableParagraph"/>
              <w:spacing w:before="32"/>
              <w:ind w:right="576"/>
              <w:jc w:val="right"/>
              <w:rPr>
                <w:sz w:val="18"/>
              </w:rPr>
            </w:pPr>
            <w:r>
              <w:rPr>
                <w:w w:val="105"/>
                <w:sz w:val="18"/>
              </w:rPr>
              <w:t>Non-SEZ</w:t>
            </w:r>
          </w:p>
        </w:tc>
        <w:tc>
          <w:tcPr>
            <w:tcW w:w="1599" w:type="dxa"/>
            <w:tcBorders>
              <w:top w:val="single" w:sz="6" w:space="0" w:color="69BD28"/>
              <w:bottom w:val="single" w:sz="6" w:space="0" w:color="69BD28"/>
            </w:tcBorders>
          </w:tcPr>
          <w:p>
            <w:pPr>
              <w:pStyle w:val="TableParagraph"/>
              <w:spacing w:before="32"/>
              <w:ind w:right="469"/>
              <w:jc w:val="right"/>
              <w:rPr>
                <w:sz w:val="18"/>
              </w:rPr>
            </w:pPr>
            <w:r>
              <w:rPr>
                <w:w w:val="105"/>
                <w:sz w:val="18"/>
              </w:rPr>
              <w:t>35,000</w:t>
            </w:r>
          </w:p>
        </w:tc>
        <w:tc>
          <w:tcPr>
            <w:tcW w:w="2380" w:type="dxa"/>
            <w:tcBorders>
              <w:top w:val="single" w:sz="6" w:space="0" w:color="69BD28"/>
              <w:bottom w:val="single" w:sz="6" w:space="0" w:color="69BD28"/>
            </w:tcBorders>
          </w:tcPr>
          <w:p>
            <w:pPr>
              <w:pStyle w:val="TableParagraph"/>
              <w:spacing w:before="32"/>
              <w:ind w:right="364"/>
              <w:jc w:val="right"/>
              <w:rPr>
                <w:sz w:val="18"/>
              </w:rPr>
            </w:pPr>
            <w:r>
              <w:rPr>
                <w:w w:val="105"/>
                <w:sz w:val="18"/>
              </w:rPr>
              <w:t>155.0 - 165.0 (WS)</w:t>
            </w:r>
          </w:p>
        </w:tc>
      </w:tr>
    </w:tbl>
    <w:p>
      <w:pPr>
        <w:spacing w:after="0"/>
        <w:jc w:val="right"/>
        <w:rPr>
          <w:sz w:val="18"/>
        </w:rPr>
        <w:sectPr>
          <w:pgSz w:w="11910" w:h="16840"/>
          <w:pgMar w:header="720" w:footer="862" w:top="1660" w:bottom="1060" w:left="40" w:right="40"/>
        </w:sectPr>
      </w:pPr>
    </w:p>
    <w:p>
      <w:pPr>
        <w:pStyle w:val="BodyText"/>
        <w:spacing w:before="4"/>
        <w:rPr>
          <w:sz w:val="18"/>
        </w:rPr>
      </w:pPr>
    </w:p>
    <w:p>
      <w:pPr>
        <w:pStyle w:val="BodyText"/>
        <w:ind w:left="680"/>
        <w:rPr>
          <w:sz w:val="20"/>
        </w:rPr>
      </w:pPr>
      <w:r>
        <w:rPr>
          <w:sz w:val="20"/>
        </w:rPr>
        <w:pict>
          <v:group style="width:523.6pt;height:23.8pt;mso-position-horizontal-relative:char;mso-position-vertical-relative:line" coordorigin="0,0" coordsize="10472,476">
            <v:shape style="position:absolute;left:0;top:28;width:10472;height:432" coordorigin="0,29" coordsize="10472,432" path="m8195,29l6467,29,4657,29,2627,29,0,29,0,461,2627,461,4657,461,6467,461,8195,461,8195,29xm10471,29l8196,29,8196,461,10471,461,10471,29xe" filled="true" fillcolor="#006a4d" stroked="false">
              <v:path arrowok="t"/>
              <v:fill type="solid"/>
            </v:shape>
            <v:rect style="position:absolute;left:0;top:0;width:2627;height:29" filled="true" fillcolor="#1f6b16" stroked="false">
              <v:fill type="solid"/>
            </v:rect>
            <v:shape style="position:absolute;left:0;top:28;width:2656;height:3" coordorigin="0,29" coordsize="2656,3" path="m2655,29l2627,29,0,29,0,31,2627,31,2655,31,2655,29xe" filled="true" fillcolor="#006a4d" stroked="false">
              <v:path arrowok="t"/>
              <v:fill type="solid"/>
            </v:shape>
            <v:shape style="position:absolute;left:2626;top:0;width:2031;height:29" coordorigin="2627,0" coordsize="2031,29" path="m4657,0l2655,0,2627,0,2627,29,2655,29,4657,29,4657,0xe" filled="true" fillcolor="#1f6b16" stroked="false">
              <v:path arrowok="t"/>
              <v:fill type="solid"/>
            </v:shape>
            <v:shape style="position:absolute;left:2655;top:28;width:2031;height:3" coordorigin="2655,29" coordsize="2031,3" path="m4686,29l4657,29,2655,29,2655,31,4657,31,4686,31,4686,29xe" filled="true" fillcolor="#006a4d" stroked="false">
              <v:path arrowok="t"/>
              <v:fill type="solid"/>
            </v:shape>
            <v:shape style="position:absolute;left:4657;top:0;width:1810;height:29" coordorigin="4657,0" coordsize="1810,29" path="m6467,0l4686,0,4657,0,4657,29,4686,29,6467,29,6467,0xe" filled="true" fillcolor="#1f6b16" stroked="false">
              <v:path arrowok="t"/>
              <v:fill type="solid"/>
            </v:shape>
            <v:shape style="position:absolute;left:4686;top:28;width:1810;height:3" coordorigin="4686,29" coordsize="1810,3" path="m6496,29l6467,29,4686,29,4686,31,6467,31,6496,31,6496,29xe" filled="true" fillcolor="#006a4d" stroked="false">
              <v:path arrowok="t"/>
              <v:fill type="solid"/>
            </v:shape>
            <v:shape style="position:absolute;left:6467;top:0;width:1729;height:29" coordorigin="6467,0" coordsize="1729,29" path="m8195,0l6496,0,6467,0,6467,29,6496,29,8195,29,8195,0xe" filled="true" fillcolor="#1f6b16" stroked="false">
              <v:path arrowok="t"/>
              <v:fill type="solid"/>
            </v:shape>
            <v:shape style="position:absolute;left:6495;top:28;width:1729;height:3" coordorigin="6496,29" coordsize="1729,3" path="m8195,29l6496,29,6496,31,8195,31,8195,29xm8224,29l8196,29,8196,31,8224,31,8224,29xe" filled="true" fillcolor="#006a4d" stroked="false">
              <v:path arrowok="t"/>
              <v:fill type="solid"/>
            </v:shape>
            <v:shape style="position:absolute;left:8195;top:0;width:2276;height:29" coordorigin="8196,0" coordsize="2276,29" path="m8224,0l8196,0,8196,29,8224,29,8224,0xm10471,0l8224,0,8224,29,10471,29,10471,0xe" filled="true" fillcolor="#1f6b16" stroked="false">
              <v:path arrowok="t"/>
              <v:fill type="solid"/>
            </v:shape>
            <v:rect style="position:absolute;left:8224;top:28;width:2247;height:3" filled="true" fillcolor="#006a4d" stroked="false">
              <v:fill type="solid"/>
            </v:rect>
            <v:shape style="position:absolute;left:0;top:460;width:10472;height:15" coordorigin="0,461" coordsize="10472,15" path="m6467,461l4672,461,4657,461,2641,461,2627,461,0,461,0,475,2627,475,2641,475,4657,475,4672,475,6467,475,6467,461xm8195,461l6481,461,6467,461,6467,475,6481,475,8195,475,8195,461xm10471,461l8210,461,8196,461,8196,475,8210,475,10471,475,10471,461xe" filled="true" fillcolor="#69bd28" stroked="false">
              <v:path arrowok="t"/>
              <v:fill type="solid"/>
            </v:shape>
            <v:shape style="position:absolute;left:542;top:136;width:1562;height:216" type="#_x0000_t202" filled="false" stroked="false">
              <v:textbox inset="0,0,0,0">
                <w:txbxContent>
                  <w:p>
                    <w:pPr>
                      <w:spacing w:before="4"/>
                      <w:ind w:left="0" w:right="0" w:firstLine="0"/>
                      <w:jc w:val="left"/>
                      <w:rPr>
                        <w:b/>
                        <w:sz w:val="18"/>
                      </w:rPr>
                    </w:pPr>
                    <w:r>
                      <w:rPr>
                        <w:b/>
                        <w:color w:val="FFFFFF"/>
                        <w:w w:val="110"/>
                        <w:sz w:val="18"/>
                      </w:rPr>
                      <w:t>Transaction</w:t>
                    </w:r>
                    <w:r>
                      <w:rPr>
                        <w:b/>
                        <w:color w:val="FFFFFF"/>
                        <w:spacing w:val="-26"/>
                        <w:w w:val="110"/>
                        <w:sz w:val="18"/>
                      </w:rPr>
                      <w:t> </w:t>
                    </w:r>
                    <w:r>
                      <w:rPr>
                        <w:b/>
                        <w:color w:val="FFFFFF"/>
                        <w:w w:val="110"/>
                        <w:sz w:val="18"/>
                      </w:rPr>
                      <w:t>Date</w:t>
                    </w:r>
                  </w:p>
                </w:txbxContent>
              </v:textbox>
              <w10:wrap type="none"/>
            </v:shape>
            <v:shape style="position:absolute;left:3327;top:136;width:648;height:216" type="#_x0000_t202" filled="false" stroked="false">
              <v:textbox inset="0,0,0,0">
                <w:txbxContent>
                  <w:p>
                    <w:pPr>
                      <w:spacing w:before="4"/>
                      <w:ind w:left="0" w:right="0" w:firstLine="0"/>
                      <w:jc w:val="left"/>
                      <w:rPr>
                        <w:b/>
                        <w:sz w:val="18"/>
                      </w:rPr>
                    </w:pPr>
                    <w:r>
                      <w:rPr>
                        <w:b/>
                        <w:color w:val="FFFFFF"/>
                        <w:w w:val="105"/>
                        <w:sz w:val="18"/>
                      </w:rPr>
                      <w:t>Tenant</w:t>
                    </w:r>
                  </w:p>
                </w:txbxContent>
              </v:textbox>
              <w10:wrap type="none"/>
            </v:shape>
            <v:shape style="position:absolute;left:4866;top:136;width:1414;height:216" type="#_x0000_t202" filled="false" stroked="false">
              <v:textbox inset="0,0,0,0">
                <w:txbxContent>
                  <w:p>
                    <w:pPr>
                      <w:spacing w:before="4"/>
                      <w:ind w:left="0" w:right="0" w:firstLine="0"/>
                      <w:jc w:val="left"/>
                      <w:rPr>
                        <w:b/>
                        <w:sz w:val="18"/>
                      </w:rPr>
                    </w:pPr>
                    <w:r>
                      <w:rPr>
                        <w:b/>
                        <w:color w:val="FFFFFF"/>
                        <w:w w:val="110"/>
                        <w:sz w:val="18"/>
                      </w:rPr>
                      <w:t>(Non-SEZ /SEZ)</w:t>
                    </w:r>
                  </w:p>
                </w:txbxContent>
              </v:textbox>
              <w10:wrap type="none"/>
            </v:shape>
            <v:shape style="position:absolute;left:6673;top:28;width:1331;height:432" type="#_x0000_t202" filled="false" stroked="false">
              <v:textbox inset="0,0,0,0">
                <w:txbxContent>
                  <w:p>
                    <w:pPr>
                      <w:spacing w:line="247" w:lineRule="auto" w:before="4"/>
                      <w:ind w:left="516" w:right="16" w:hanging="517"/>
                      <w:jc w:val="left"/>
                      <w:rPr>
                        <w:b/>
                        <w:sz w:val="18"/>
                      </w:rPr>
                    </w:pPr>
                    <w:r>
                      <w:rPr>
                        <w:b/>
                        <w:color w:val="FFFFFF"/>
                        <w:w w:val="110"/>
                        <w:sz w:val="18"/>
                      </w:rPr>
                      <w:t>Leasable Area (sf)</w:t>
                    </w:r>
                  </w:p>
                </w:txbxContent>
              </v:textbox>
              <w10:wrap type="none"/>
            </v:shape>
            <v:shape style="position:absolute;left:8490;top:28;width:1703;height:432" type="#_x0000_t202" filled="false" stroked="false">
              <v:textbox inset="0,0,0,0">
                <w:txbxContent>
                  <w:p>
                    <w:pPr>
                      <w:spacing w:line="247" w:lineRule="auto" w:before="4"/>
                      <w:ind w:left="631" w:right="0" w:hanging="632"/>
                      <w:jc w:val="left"/>
                      <w:rPr>
                        <w:b/>
                        <w:sz w:val="18"/>
                      </w:rPr>
                    </w:pPr>
                    <w:r>
                      <w:rPr>
                        <w:b/>
                        <w:color w:val="FFFFFF"/>
                        <w:w w:val="105"/>
                        <w:sz w:val="18"/>
                      </w:rPr>
                      <w:t>Base Rent (INR psf pm))</w:t>
                    </w:r>
                  </w:p>
                </w:txbxContent>
              </v:textbox>
              <w10:wrap type="none"/>
            </v:shape>
          </v:group>
        </w:pict>
      </w:r>
      <w:r>
        <w:rPr>
          <w:sz w:val="20"/>
        </w:rPr>
      </w:r>
    </w:p>
    <w:p>
      <w:pPr>
        <w:tabs>
          <w:tab w:pos="3973" w:val="left" w:leader="none"/>
          <w:tab w:pos="5894" w:val="left" w:leader="none"/>
          <w:tab w:pos="7718" w:val="left" w:leader="none"/>
          <w:tab w:pos="9242" w:val="left" w:leader="none"/>
        </w:tabs>
        <w:spacing w:before="5"/>
        <w:ind w:left="1594" w:right="0" w:firstLine="0"/>
        <w:jc w:val="left"/>
        <w:rPr>
          <w:sz w:val="18"/>
        </w:rPr>
      </w:pPr>
      <w:r>
        <w:rPr/>
        <w:pict>
          <v:rect style="position:absolute;margin-left:35.280003pt;margin-top:15.540655pt;width:524.280025pt;height:.72pt;mso-position-horizontal-relative:page;mso-position-vertical-relative:paragraph;z-index:-14980096;mso-wrap-distance-left:0;mso-wrap-distance-right:0" filled="true" fillcolor="#69bd28" stroked="false">
            <v:fill type="solid"/>
            <w10:wrap type="topAndBottom"/>
          </v:rect>
        </w:pict>
      </w:r>
      <w:r>
        <w:rPr>
          <w:w w:val="105"/>
          <w:sz w:val="18"/>
        </w:rPr>
        <w:t>Q1,</w:t>
      </w:r>
      <w:r>
        <w:rPr>
          <w:spacing w:val="10"/>
          <w:w w:val="105"/>
          <w:sz w:val="18"/>
        </w:rPr>
        <w:t> </w:t>
      </w:r>
      <w:r>
        <w:rPr>
          <w:w w:val="105"/>
          <w:sz w:val="18"/>
        </w:rPr>
        <w:t>2019</w:t>
        <w:tab/>
        <w:t>Tenant</w:t>
      </w:r>
      <w:r>
        <w:rPr>
          <w:spacing w:val="-23"/>
          <w:w w:val="105"/>
          <w:sz w:val="18"/>
        </w:rPr>
        <w:t> </w:t>
      </w:r>
      <w:r>
        <w:rPr>
          <w:w w:val="105"/>
          <w:sz w:val="18"/>
        </w:rPr>
        <w:t>8</w:t>
        <w:tab/>
        <w:t>Non-SEZ</w:t>
        <w:tab/>
        <w:t>60,000</w:t>
        <w:tab/>
        <w:t>145.0 - 155.0</w:t>
      </w:r>
      <w:r>
        <w:rPr>
          <w:spacing w:val="-16"/>
          <w:w w:val="105"/>
          <w:sz w:val="18"/>
        </w:rPr>
        <w:t> </w:t>
      </w:r>
      <w:r>
        <w:rPr>
          <w:w w:val="105"/>
          <w:sz w:val="18"/>
        </w:rPr>
        <w:t>(WS)</w:t>
      </w:r>
    </w:p>
    <w:p>
      <w:pPr>
        <w:spacing w:before="0"/>
        <w:ind w:left="1246" w:right="0" w:firstLine="0"/>
        <w:jc w:val="both"/>
        <w:rPr>
          <w:i/>
          <w:sz w:val="18"/>
        </w:rPr>
      </w:pPr>
      <w:r>
        <w:rPr>
          <w:i/>
          <w:sz w:val="18"/>
        </w:rPr>
        <w:t>Source: CBRE Research</w:t>
      </w:r>
    </w:p>
    <w:p>
      <w:pPr>
        <w:pStyle w:val="BodyText"/>
        <w:spacing w:before="10"/>
        <w:rPr>
          <w:i/>
          <w:sz w:val="26"/>
        </w:rPr>
      </w:pPr>
    </w:p>
    <w:p>
      <w:pPr>
        <w:pStyle w:val="BodyText"/>
        <w:spacing w:line="321" w:lineRule="auto"/>
        <w:ind w:left="1227" w:right="673"/>
        <w:jc w:val="both"/>
      </w:pPr>
      <w:r>
        <w:rPr>
          <w:w w:val="95"/>
        </w:rPr>
        <w:t>Based</w:t>
      </w:r>
      <w:r>
        <w:rPr>
          <w:spacing w:val="-19"/>
          <w:w w:val="95"/>
        </w:rPr>
        <w:t> </w:t>
      </w:r>
      <w:r>
        <w:rPr>
          <w:w w:val="95"/>
        </w:rPr>
        <w:t>on</w:t>
      </w:r>
      <w:r>
        <w:rPr>
          <w:spacing w:val="-17"/>
          <w:w w:val="95"/>
        </w:rPr>
        <w:t> </w:t>
      </w:r>
      <w:r>
        <w:rPr>
          <w:w w:val="95"/>
        </w:rPr>
        <w:t>information</w:t>
      </w:r>
      <w:r>
        <w:rPr>
          <w:spacing w:val="-17"/>
          <w:w w:val="95"/>
        </w:rPr>
        <w:t> </w:t>
      </w:r>
      <w:r>
        <w:rPr>
          <w:w w:val="95"/>
        </w:rPr>
        <w:t>received</w:t>
      </w:r>
      <w:r>
        <w:rPr>
          <w:spacing w:val="-16"/>
          <w:w w:val="95"/>
        </w:rPr>
        <w:t> </w:t>
      </w:r>
      <w:r>
        <w:rPr>
          <w:w w:val="95"/>
        </w:rPr>
        <w:t>from</w:t>
      </w:r>
      <w:r>
        <w:rPr>
          <w:spacing w:val="-16"/>
          <w:w w:val="95"/>
        </w:rPr>
        <w:t> </w:t>
      </w:r>
      <w:r>
        <w:rPr>
          <w:w w:val="95"/>
        </w:rPr>
        <w:t>the</w:t>
      </w:r>
      <w:r>
        <w:rPr>
          <w:spacing w:val="-20"/>
          <w:w w:val="95"/>
        </w:rPr>
        <w:t> </w:t>
      </w:r>
      <w:r>
        <w:rPr>
          <w:w w:val="95"/>
        </w:rPr>
        <w:t>Client</w:t>
      </w:r>
      <w:r>
        <w:rPr>
          <w:spacing w:val="-19"/>
          <w:w w:val="95"/>
        </w:rPr>
        <w:t> </w:t>
      </w:r>
      <w:r>
        <w:rPr>
          <w:w w:val="95"/>
        </w:rPr>
        <w:t>we</w:t>
      </w:r>
      <w:r>
        <w:rPr>
          <w:spacing w:val="-18"/>
          <w:w w:val="95"/>
        </w:rPr>
        <w:t> </w:t>
      </w:r>
      <w:r>
        <w:rPr>
          <w:w w:val="95"/>
        </w:rPr>
        <w:t>understand</w:t>
      </w:r>
      <w:r>
        <w:rPr>
          <w:spacing w:val="-18"/>
          <w:w w:val="95"/>
        </w:rPr>
        <w:t> </w:t>
      </w:r>
      <w:r>
        <w:rPr>
          <w:w w:val="95"/>
        </w:rPr>
        <w:t>that</w:t>
      </w:r>
      <w:r>
        <w:rPr>
          <w:spacing w:val="-18"/>
          <w:w w:val="95"/>
        </w:rPr>
        <w:t> </w:t>
      </w:r>
      <w:r>
        <w:rPr>
          <w:w w:val="95"/>
        </w:rPr>
        <w:t>the</w:t>
      </w:r>
      <w:r>
        <w:rPr>
          <w:spacing w:val="-20"/>
          <w:w w:val="95"/>
        </w:rPr>
        <w:t> </w:t>
      </w:r>
      <w:r>
        <w:rPr>
          <w:w w:val="95"/>
        </w:rPr>
        <w:t>subject</w:t>
      </w:r>
      <w:r>
        <w:rPr>
          <w:spacing w:val="-18"/>
          <w:w w:val="95"/>
        </w:rPr>
        <w:t> </w:t>
      </w:r>
      <w:r>
        <w:rPr>
          <w:w w:val="95"/>
        </w:rPr>
        <w:t>property</w:t>
      </w:r>
      <w:r>
        <w:rPr>
          <w:spacing w:val="-15"/>
          <w:w w:val="95"/>
        </w:rPr>
        <w:t> </w:t>
      </w:r>
      <w:r>
        <w:rPr>
          <w:w w:val="95"/>
        </w:rPr>
        <w:t>offers</w:t>
      </w:r>
      <w:r>
        <w:rPr>
          <w:spacing w:val="-17"/>
          <w:w w:val="95"/>
        </w:rPr>
        <w:t> </w:t>
      </w:r>
      <w:r>
        <w:rPr>
          <w:w w:val="95"/>
        </w:rPr>
        <w:t>office</w:t>
      </w:r>
      <w:r>
        <w:rPr>
          <w:spacing w:val="-17"/>
          <w:w w:val="95"/>
        </w:rPr>
        <w:t> </w:t>
      </w:r>
      <w:r>
        <w:rPr>
          <w:w w:val="95"/>
        </w:rPr>
        <w:t>spaces </w:t>
      </w:r>
      <w:r>
        <w:rPr/>
        <w:t>with</w:t>
      </w:r>
      <w:r>
        <w:rPr>
          <w:spacing w:val="-15"/>
        </w:rPr>
        <w:t> </w:t>
      </w:r>
      <w:r>
        <w:rPr/>
        <w:t>high</w:t>
      </w:r>
      <w:r>
        <w:rPr>
          <w:spacing w:val="-16"/>
        </w:rPr>
        <w:t> </w:t>
      </w:r>
      <w:r>
        <w:rPr/>
        <w:t>end</w:t>
      </w:r>
      <w:r>
        <w:rPr>
          <w:spacing w:val="-16"/>
        </w:rPr>
        <w:t> </w:t>
      </w:r>
      <w:r>
        <w:rPr/>
        <w:t>specifications</w:t>
      </w:r>
      <w:r>
        <w:rPr>
          <w:spacing w:val="-14"/>
        </w:rPr>
        <w:t> </w:t>
      </w:r>
      <w:r>
        <w:rPr/>
        <w:t>and</w:t>
      </w:r>
      <w:r>
        <w:rPr>
          <w:spacing w:val="-15"/>
        </w:rPr>
        <w:t> </w:t>
      </w:r>
      <w:r>
        <w:rPr/>
        <w:t>amenities</w:t>
      </w:r>
      <w:r>
        <w:rPr>
          <w:spacing w:val="-13"/>
        </w:rPr>
        <w:t> </w:t>
      </w:r>
      <w:r>
        <w:rPr/>
        <w:t>and</w:t>
      </w:r>
      <w:r>
        <w:rPr>
          <w:spacing w:val="-10"/>
        </w:rPr>
        <w:t> </w:t>
      </w:r>
      <w:r>
        <w:rPr/>
        <w:t>is</w:t>
      </w:r>
      <w:r>
        <w:rPr>
          <w:spacing w:val="-15"/>
        </w:rPr>
        <w:t> </w:t>
      </w:r>
      <w:r>
        <w:rPr/>
        <w:t>a</w:t>
      </w:r>
      <w:r>
        <w:rPr>
          <w:spacing w:val="-14"/>
        </w:rPr>
        <w:t> </w:t>
      </w:r>
      <w:r>
        <w:rPr/>
        <w:t>part</w:t>
      </w:r>
      <w:r>
        <w:rPr>
          <w:spacing w:val="-13"/>
        </w:rPr>
        <w:t> </w:t>
      </w:r>
      <w:r>
        <w:rPr/>
        <w:t>of</w:t>
      </w:r>
      <w:r>
        <w:rPr>
          <w:spacing w:val="-13"/>
        </w:rPr>
        <w:t> </w:t>
      </w:r>
      <w:r>
        <w:rPr/>
        <w:t>an</w:t>
      </w:r>
      <w:r>
        <w:rPr>
          <w:spacing w:val="-15"/>
        </w:rPr>
        <w:t> </w:t>
      </w:r>
      <w:r>
        <w:rPr/>
        <w:t>integrated</w:t>
      </w:r>
      <w:r>
        <w:rPr>
          <w:spacing w:val="-15"/>
        </w:rPr>
        <w:t> </w:t>
      </w:r>
      <w:r>
        <w:rPr/>
        <w:t>development</w:t>
      </w:r>
      <w:r>
        <w:rPr>
          <w:spacing w:val="-14"/>
        </w:rPr>
        <w:t> </w:t>
      </w:r>
      <w:r>
        <w:rPr/>
        <w:t>housing</w:t>
      </w:r>
      <w:r>
        <w:rPr>
          <w:spacing w:val="-15"/>
        </w:rPr>
        <w:t> </w:t>
      </w:r>
      <w:r>
        <w:rPr/>
        <w:t>a</w:t>
      </w:r>
      <w:r>
        <w:rPr>
          <w:spacing w:val="-15"/>
        </w:rPr>
        <w:t> </w:t>
      </w:r>
      <w:r>
        <w:rPr/>
        <w:t>Hotel Four</w:t>
      </w:r>
      <w:r>
        <w:rPr>
          <w:spacing w:val="-14"/>
        </w:rPr>
        <w:t> </w:t>
      </w:r>
      <w:r>
        <w:rPr/>
        <w:t>Seasons</w:t>
      </w:r>
      <w:r>
        <w:rPr>
          <w:spacing w:val="-13"/>
        </w:rPr>
        <w:t> </w:t>
      </w:r>
      <w:r>
        <w:rPr/>
        <w:t>at</w:t>
      </w:r>
      <w:r>
        <w:rPr>
          <w:spacing w:val="-12"/>
        </w:rPr>
        <w:t> </w:t>
      </w:r>
      <w:r>
        <w:rPr/>
        <w:t>Embassy</w:t>
      </w:r>
      <w:r>
        <w:rPr>
          <w:spacing w:val="-14"/>
        </w:rPr>
        <w:t> </w:t>
      </w:r>
      <w:r>
        <w:rPr/>
        <w:t>One.</w:t>
      </w:r>
      <w:r>
        <w:rPr>
          <w:spacing w:val="-13"/>
        </w:rPr>
        <w:t> </w:t>
      </w:r>
      <w:r>
        <w:rPr/>
        <w:t>Hence,</w:t>
      </w:r>
      <w:r>
        <w:rPr>
          <w:spacing w:val="-13"/>
        </w:rPr>
        <w:t> </w:t>
      </w:r>
      <w:r>
        <w:rPr/>
        <w:t>it</w:t>
      </w:r>
      <w:r>
        <w:rPr>
          <w:spacing w:val="-13"/>
        </w:rPr>
        <w:t> </w:t>
      </w:r>
      <w:r>
        <w:rPr/>
        <w:t>is</w:t>
      </w:r>
      <w:r>
        <w:rPr>
          <w:spacing w:val="-14"/>
        </w:rPr>
        <w:t> </w:t>
      </w:r>
      <w:r>
        <w:rPr/>
        <w:t>opined</w:t>
      </w:r>
      <w:r>
        <w:rPr>
          <w:spacing w:val="-15"/>
        </w:rPr>
        <w:t> </w:t>
      </w:r>
      <w:r>
        <w:rPr/>
        <w:t>that</w:t>
      </w:r>
      <w:r>
        <w:rPr>
          <w:spacing w:val="-14"/>
        </w:rPr>
        <w:t> </w:t>
      </w:r>
      <w:r>
        <w:rPr/>
        <w:t>subject</w:t>
      </w:r>
      <w:r>
        <w:rPr>
          <w:spacing w:val="-15"/>
        </w:rPr>
        <w:t> </w:t>
      </w:r>
      <w:r>
        <w:rPr/>
        <w:t>development</w:t>
      </w:r>
      <w:r>
        <w:rPr>
          <w:spacing w:val="-12"/>
        </w:rPr>
        <w:t> </w:t>
      </w:r>
      <w:r>
        <w:rPr/>
        <w:t>would</w:t>
      </w:r>
      <w:r>
        <w:rPr>
          <w:spacing w:val="-14"/>
        </w:rPr>
        <w:t> </w:t>
      </w:r>
      <w:r>
        <w:rPr/>
        <w:t>achieve</w:t>
      </w:r>
      <w:r>
        <w:rPr>
          <w:spacing w:val="-14"/>
        </w:rPr>
        <w:t> </w:t>
      </w:r>
      <w:r>
        <w:rPr/>
        <w:t>a</w:t>
      </w:r>
      <w:r>
        <w:rPr>
          <w:spacing w:val="-7"/>
        </w:rPr>
        <w:t> </w:t>
      </w:r>
      <w:r>
        <w:rPr/>
        <w:t>marginal rent</w:t>
      </w:r>
      <w:r>
        <w:rPr>
          <w:spacing w:val="-3"/>
        </w:rPr>
        <w:t> </w:t>
      </w:r>
      <w:r>
        <w:rPr/>
        <w:t>of</w:t>
      </w:r>
      <w:r>
        <w:rPr>
          <w:spacing w:val="-2"/>
        </w:rPr>
        <w:t> </w:t>
      </w:r>
      <w:r>
        <w:rPr/>
        <w:t>INR</w:t>
      </w:r>
      <w:r>
        <w:rPr>
          <w:spacing w:val="-4"/>
        </w:rPr>
        <w:t> </w:t>
      </w:r>
      <w:r>
        <w:rPr/>
        <w:t>145.0</w:t>
      </w:r>
      <w:r>
        <w:rPr>
          <w:spacing w:val="-4"/>
        </w:rPr>
        <w:t> </w:t>
      </w:r>
      <w:r>
        <w:rPr/>
        <w:t>to</w:t>
      </w:r>
      <w:r>
        <w:rPr>
          <w:spacing w:val="-3"/>
        </w:rPr>
        <w:t> </w:t>
      </w:r>
      <w:r>
        <w:rPr/>
        <w:t>150.0</w:t>
      </w:r>
      <w:r>
        <w:rPr>
          <w:spacing w:val="-4"/>
        </w:rPr>
        <w:t> </w:t>
      </w:r>
      <w:r>
        <w:rPr/>
        <w:t>psf</w:t>
      </w:r>
      <w:r>
        <w:rPr>
          <w:spacing w:val="-5"/>
        </w:rPr>
        <w:t> </w:t>
      </w:r>
      <w:r>
        <w:rPr/>
        <w:t>pm</w:t>
      </w:r>
      <w:r>
        <w:rPr>
          <w:spacing w:val="-5"/>
        </w:rPr>
        <w:t> </w:t>
      </w:r>
      <w:r>
        <w:rPr/>
        <w:t>(say</w:t>
      </w:r>
      <w:r>
        <w:rPr>
          <w:spacing w:val="-2"/>
        </w:rPr>
        <w:t> </w:t>
      </w:r>
      <w:r>
        <w:rPr/>
        <w:t>INR</w:t>
      </w:r>
      <w:r>
        <w:rPr>
          <w:spacing w:val="-4"/>
        </w:rPr>
        <w:t> </w:t>
      </w:r>
      <w:r>
        <w:rPr/>
        <w:t>147.0</w:t>
      </w:r>
      <w:r>
        <w:rPr>
          <w:spacing w:val="-4"/>
        </w:rPr>
        <w:t> </w:t>
      </w:r>
      <w:r>
        <w:rPr/>
        <w:t>psf</w:t>
      </w:r>
      <w:r>
        <w:rPr>
          <w:spacing w:val="-3"/>
        </w:rPr>
        <w:t> </w:t>
      </w:r>
      <w:r>
        <w:rPr/>
        <w:t>pm)</w:t>
      </w:r>
      <w:r>
        <w:rPr>
          <w:spacing w:val="-2"/>
        </w:rPr>
        <w:t> </w:t>
      </w:r>
      <w:r>
        <w:rPr/>
        <w:t>as</w:t>
      </w:r>
      <w:r>
        <w:rPr>
          <w:spacing w:val="-2"/>
        </w:rPr>
        <w:t> </w:t>
      </w:r>
      <w:r>
        <w:rPr/>
        <w:t>on</w:t>
      </w:r>
      <w:r>
        <w:rPr>
          <w:spacing w:val="-4"/>
        </w:rPr>
        <w:t> </w:t>
      </w:r>
      <w:r>
        <w:rPr/>
        <w:t>date</w:t>
      </w:r>
      <w:r>
        <w:rPr>
          <w:spacing w:val="-3"/>
        </w:rPr>
        <w:t> </w:t>
      </w:r>
      <w:r>
        <w:rPr/>
        <w:t>of</w:t>
      </w:r>
      <w:r>
        <w:rPr>
          <w:spacing w:val="-1"/>
        </w:rPr>
        <w:t> </w:t>
      </w:r>
      <w:r>
        <w:rPr/>
        <w:t>valuation.</w:t>
      </w:r>
    </w:p>
    <w:p>
      <w:pPr>
        <w:pStyle w:val="BodyText"/>
        <w:spacing w:before="1"/>
        <w:rPr>
          <w:sz w:val="21"/>
        </w:rPr>
      </w:pPr>
    </w:p>
    <w:p>
      <w:pPr>
        <w:pStyle w:val="BodyText"/>
        <w:ind w:left="1227"/>
      </w:pPr>
      <w:r>
        <w:rPr>
          <w:u w:val="single"/>
        </w:rPr>
        <w:t>Retail</w:t>
      </w:r>
    </w:p>
    <w:p>
      <w:pPr>
        <w:pStyle w:val="BodyText"/>
        <w:spacing w:before="1"/>
        <w:rPr>
          <w:sz w:val="19"/>
        </w:rPr>
      </w:pPr>
    </w:p>
    <w:p>
      <w:pPr>
        <w:pStyle w:val="BodyText"/>
        <w:spacing w:before="106"/>
        <w:ind w:left="1227"/>
        <w:jc w:val="both"/>
      </w:pPr>
      <w:r>
        <w:rPr/>
        <w:t>Some of the recent transactions witnessed in the comparable developments have been highlighted below:</w:t>
      </w:r>
    </w:p>
    <w:p>
      <w:pPr>
        <w:pStyle w:val="BodyText"/>
        <w:spacing w:before="10"/>
        <w:rPr>
          <w:sz w:val="28"/>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57"/>
        <w:gridCol w:w="3212"/>
        <w:gridCol w:w="3717"/>
      </w:tblGrid>
      <w:tr>
        <w:trPr>
          <w:trHeight w:val="433" w:hRule="atLeast"/>
        </w:trPr>
        <w:tc>
          <w:tcPr>
            <w:tcW w:w="3557" w:type="dxa"/>
            <w:tcBorders>
              <w:top w:val="single" w:sz="12" w:space="0" w:color="1F6B16"/>
              <w:bottom w:val="single" w:sz="6" w:space="0" w:color="69BD28"/>
            </w:tcBorders>
            <w:shd w:val="clear" w:color="auto" w:fill="006A4D"/>
          </w:tcPr>
          <w:p>
            <w:pPr>
              <w:pStyle w:val="TableParagraph"/>
              <w:spacing w:before="113"/>
              <w:ind w:left="1419" w:right="1382"/>
              <w:rPr>
                <w:b/>
                <w:sz w:val="18"/>
              </w:rPr>
            </w:pPr>
            <w:r>
              <w:rPr>
                <w:b/>
                <w:color w:val="FFFFFF"/>
                <w:w w:val="105"/>
                <w:sz w:val="18"/>
              </w:rPr>
              <w:t>Tenant</w:t>
            </w:r>
          </w:p>
        </w:tc>
        <w:tc>
          <w:tcPr>
            <w:tcW w:w="3212" w:type="dxa"/>
            <w:tcBorders>
              <w:top w:val="single" w:sz="12" w:space="0" w:color="1F6B16"/>
              <w:bottom w:val="single" w:sz="6" w:space="0" w:color="69BD28"/>
            </w:tcBorders>
            <w:shd w:val="clear" w:color="auto" w:fill="006A4D"/>
          </w:tcPr>
          <w:p>
            <w:pPr>
              <w:pStyle w:val="TableParagraph"/>
              <w:spacing w:before="113"/>
              <w:ind w:left="800" w:right="712"/>
              <w:rPr>
                <w:b/>
                <w:sz w:val="18"/>
              </w:rPr>
            </w:pPr>
            <w:r>
              <w:rPr>
                <w:b/>
                <w:color w:val="FFFFFF"/>
                <w:w w:val="110"/>
                <w:sz w:val="18"/>
              </w:rPr>
              <w:t>Leasable Area (sf)</w:t>
            </w:r>
          </w:p>
        </w:tc>
        <w:tc>
          <w:tcPr>
            <w:tcW w:w="3717" w:type="dxa"/>
            <w:tcBorders>
              <w:top w:val="single" w:sz="12" w:space="0" w:color="1F6B16"/>
              <w:bottom w:val="single" w:sz="6" w:space="0" w:color="69BD28"/>
            </w:tcBorders>
            <w:shd w:val="clear" w:color="auto" w:fill="006A4D"/>
          </w:tcPr>
          <w:p>
            <w:pPr>
              <w:pStyle w:val="TableParagraph"/>
              <w:spacing w:line="216" w:lineRule="exact" w:before="1"/>
              <w:ind w:left="1323" w:right="1253" w:hanging="3"/>
              <w:rPr>
                <w:b/>
                <w:sz w:val="18"/>
              </w:rPr>
            </w:pPr>
            <w:r>
              <w:rPr>
                <w:b/>
                <w:color w:val="FFFFFF"/>
                <w:w w:val="105"/>
                <w:sz w:val="18"/>
              </w:rPr>
              <w:t>Base Rent (INR psf pm)</w:t>
            </w:r>
          </w:p>
        </w:tc>
      </w:tr>
      <w:tr>
        <w:trPr>
          <w:trHeight w:val="419" w:hRule="atLeast"/>
        </w:trPr>
        <w:tc>
          <w:tcPr>
            <w:tcW w:w="3557" w:type="dxa"/>
            <w:tcBorders>
              <w:top w:val="single" w:sz="6" w:space="0" w:color="69BD28"/>
              <w:bottom w:val="single" w:sz="6" w:space="0" w:color="69BD28"/>
            </w:tcBorders>
          </w:tcPr>
          <w:p>
            <w:pPr>
              <w:pStyle w:val="TableParagraph"/>
              <w:spacing w:before="73"/>
              <w:ind w:left="1419" w:right="1383"/>
              <w:rPr>
                <w:sz w:val="18"/>
              </w:rPr>
            </w:pPr>
            <w:r>
              <w:rPr>
                <w:sz w:val="18"/>
              </w:rPr>
              <w:t>Tenant 1</w:t>
            </w:r>
          </w:p>
        </w:tc>
        <w:tc>
          <w:tcPr>
            <w:tcW w:w="3212" w:type="dxa"/>
            <w:tcBorders>
              <w:top w:val="single" w:sz="6" w:space="0" w:color="69BD28"/>
              <w:bottom w:val="single" w:sz="6" w:space="0" w:color="69BD28"/>
            </w:tcBorders>
          </w:tcPr>
          <w:p>
            <w:pPr>
              <w:pStyle w:val="TableParagraph"/>
              <w:spacing w:before="73"/>
              <w:ind w:left="800" w:right="712"/>
              <w:rPr>
                <w:sz w:val="18"/>
              </w:rPr>
            </w:pPr>
            <w:r>
              <w:rPr>
                <w:w w:val="110"/>
                <w:sz w:val="18"/>
              </w:rPr>
              <w:t>600</w:t>
            </w:r>
          </w:p>
        </w:tc>
        <w:tc>
          <w:tcPr>
            <w:tcW w:w="3717" w:type="dxa"/>
            <w:tcBorders>
              <w:top w:val="single" w:sz="6" w:space="0" w:color="69BD28"/>
              <w:bottom w:val="single" w:sz="6" w:space="0" w:color="69BD28"/>
            </w:tcBorders>
          </w:tcPr>
          <w:p>
            <w:pPr>
              <w:pStyle w:val="TableParagraph"/>
              <w:spacing w:before="73"/>
              <w:ind w:right="1383"/>
              <w:jc w:val="right"/>
              <w:rPr>
                <w:sz w:val="18"/>
              </w:rPr>
            </w:pPr>
            <w:r>
              <w:rPr>
                <w:w w:val="110"/>
                <w:sz w:val="18"/>
              </w:rPr>
              <w:t>300 - 325*</w:t>
            </w:r>
          </w:p>
        </w:tc>
      </w:tr>
      <w:tr>
        <w:trPr>
          <w:trHeight w:val="419" w:hRule="atLeast"/>
        </w:trPr>
        <w:tc>
          <w:tcPr>
            <w:tcW w:w="3557" w:type="dxa"/>
            <w:tcBorders>
              <w:top w:val="single" w:sz="6" w:space="0" w:color="69BD28"/>
              <w:bottom w:val="single" w:sz="6" w:space="0" w:color="69BD28"/>
            </w:tcBorders>
          </w:tcPr>
          <w:p>
            <w:pPr>
              <w:pStyle w:val="TableParagraph"/>
              <w:spacing w:before="73"/>
              <w:ind w:left="1419" w:right="1382"/>
              <w:rPr>
                <w:sz w:val="18"/>
              </w:rPr>
            </w:pPr>
            <w:r>
              <w:rPr>
                <w:sz w:val="18"/>
              </w:rPr>
              <w:t>Tenant 2</w:t>
            </w:r>
          </w:p>
        </w:tc>
        <w:tc>
          <w:tcPr>
            <w:tcW w:w="3212" w:type="dxa"/>
            <w:tcBorders>
              <w:top w:val="single" w:sz="6" w:space="0" w:color="69BD28"/>
              <w:bottom w:val="single" w:sz="6" w:space="0" w:color="69BD28"/>
            </w:tcBorders>
          </w:tcPr>
          <w:p>
            <w:pPr>
              <w:pStyle w:val="TableParagraph"/>
              <w:spacing w:before="73"/>
              <w:ind w:left="800" w:right="712"/>
              <w:rPr>
                <w:sz w:val="18"/>
              </w:rPr>
            </w:pPr>
            <w:r>
              <w:rPr>
                <w:w w:val="110"/>
                <w:sz w:val="18"/>
              </w:rPr>
              <w:t>700</w:t>
            </w:r>
          </w:p>
        </w:tc>
        <w:tc>
          <w:tcPr>
            <w:tcW w:w="3717" w:type="dxa"/>
            <w:tcBorders>
              <w:top w:val="single" w:sz="6" w:space="0" w:color="69BD28"/>
              <w:bottom w:val="single" w:sz="6" w:space="0" w:color="69BD28"/>
            </w:tcBorders>
          </w:tcPr>
          <w:p>
            <w:pPr>
              <w:pStyle w:val="TableParagraph"/>
              <w:spacing w:before="73"/>
              <w:ind w:right="1383"/>
              <w:jc w:val="right"/>
              <w:rPr>
                <w:sz w:val="18"/>
              </w:rPr>
            </w:pPr>
            <w:r>
              <w:rPr>
                <w:w w:val="110"/>
                <w:sz w:val="18"/>
              </w:rPr>
              <w:t>380 - 400*</w:t>
            </w:r>
          </w:p>
        </w:tc>
      </w:tr>
      <w:tr>
        <w:trPr>
          <w:trHeight w:val="417" w:hRule="atLeast"/>
        </w:trPr>
        <w:tc>
          <w:tcPr>
            <w:tcW w:w="3557" w:type="dxa"/>
            <w:tcBorders>
              <w:top w:val="single" w:sz="6" w:space="0" w:color="69BD28"/>
              <w:bottom w:val="single" w:sz="6" w:space="0" w:color="69BD28"/>
            </w:tcBorders>
          </w:tcPr>
          <w:p>
            <w:pPr>
              <w:pStyle w:val="TableParagraph"/>
              <w:spacing w:before="70"/>
              <w:ind w:left="1419" w:right="1382"/>
              <w:rPr>
                <w:sz w:val="18"/>
              </w:rPr>
            </w:pPr>
            <w:r>
              <w:rPr>
                <w:sz w:val="18"/>
              </w:rPr>
              <w:t>Tenant 3</w:t>
            </w:r>
          </w:p>
        </w:tc>
        <w:tc>
          <w:tcPr>
            <w:tcW w:w="3212" w:type="dxa"/>
            <w:tcBorders>
              <w:top w:val="single" w:sz="6" w:space="0" w:color="69BD28"/>
              <w:bottom w:val="single" w:sz="6" w:space="0" w:color="69BD28"/>
            </w:tcBorders>
          </w:tcPr>
          <w:p>
            <w:pPr>
              <w:pStyle w:val="TableParagraph"/>
              <w:spacing w:before="70"/>
              <w:ind w:left="800" w:right="712"/>
              <w:rPr>
                <w:sz w:val="18"/>
              </w:rPr>
            </w:pPr>
            <w:r>
              <w:rPr>
                <w:w w:val="110"/>
                <w:sz w:val="18"/>
              </w:rPr>
              <w:t>550</w:t>
            </w:r>
          </w:p>
        </w:tc>
        <w:tc>
          <w:tcPr>
            <w:tcW w:w="3717" w:type="dxa"/>
            <w:tcBorders>
              <w:top w:val="single" w:sz="6" w:space="0" w:color="69BD28"/>
              <w:bottom w:val="single" w:sz="6" w:space="0" w:color="69BD28"/>
            </w:tcBorders>
          </w:tcPr>
          <w:p>
            <w:pPr>
              <w:pStyle w:val="TableParagraph"/>
              <w:spacing w:before="70"/>
              <w:ind w:right="1384"/>
              <w:jc w:val="right"/>
              <w:rPr>
                <w:sz w:val="18"/>
              </w:rPr>
            </w:pPr>
            <w:r>
              <w:rPr>
                <w:w w:val="110"/>
                <w:sz w:val="18"/>
              </w:rPr>
              <w:t>425 - 450*</w:t>
            </w:r>
          </w:p>
        </w:tc>
      </w:tr>
      <w:tr>
        <w:trPr>
          <w:trHeight w:val="419" w:hRule="atLeast"/>
        </w:trPr>
        <w:tc>
          <w:tcPr>
            <w:tcW w:w="3557" w:type="dxa"/>
            <w:tcBorders>
              <w:top w:val="single" w:sz="6" w:space="0" w:color="69BD28"/>
              <w:bottom w:val="single" w:sz="6" w:space="0" w:color="69BD28"/>
            </w:tcBorders>
          </w:tcPr>
          <w:p>
            <w:pPr>
              <w:pStyle w:val="TableParagraph"/>
              <w:spacing w:before="73"/>
              <w:ind w:left="1419" w:right="1382"/>
              <w:rPr>
                <w:sz w:val="18"/>
              </w:rPr>
            </w:pPr>
            <w:r>
              <w:rPr>
                <w:sz w:val="18"/>
              </w:rPr>
              <w:t>Tenant 4</w:t>
            </w:r>
          </w:p>
        </w:tc>
        <w:tc>
          <w:tcPr>
            <w:tcW w:w="3212" w:type="dxa"/>
            <w:tcBorders>
              <w:top w:val="single" w:sz="6" w:space="0" w:color="69BD28"/>
              <w:bottom w:val="single" w:sz="6" w:space="0" w:color="69BD28"/>
            </w:tcBorders>
          </w:tcPr>
          <w:p>
            <w:pPr>
              <w:pStyle w:val="TableParagraph"/>
              <w:spacing w:before="73"/>
              <w:ind w:left="800" w:right="712"/>
              <w:rPr>
                <w:sz w:val="18"/>
              </w:rPr>
            </w:pPr>
            <w:r>
              <w:rPr>
                <w:w w:val="110"/>
                <w:sz w:val="18"/>
              </w:rPr>
              <w:t>550</w:t>
            </w:r>
          </w:p>
        </w:tc>
        <w:tc>
          <w:tcPr>
            <w:tcW w:w="3717" w:type="dxa"/>
            <w:tcBorders>
              <w:top w:val="single" w:sz="6" w:space="0" w:color="69BD28"/>
              <w:bottom w:val="single" w:sz="6" w:space="0" w:color="69BD28"/>
            </w:tcBorders>
          </w:tcPr>
          <w:p>
            <w:pPr>
              <w:pStyle w:val="TableParagraph"/>
              <w:spacing w:before="73"/>
              <w:ind w:right="1383"/>
              <w:jc w:val="right"/>
              <w:rPr>
                <w:sz w:val="18"/>
              </w:rPr>
            </w:pPr>
            <w:r>
              <w:rPr>
                <w:w w:val="110"/>
                <w:sz w:val="18"/>
              </w:rPr>
              <w:t>380 - 400*</w:t>
            </w:r>
          </w:p>
        </w:tc>
      </w:tr>
      <w:tr>
        <w:trPr>
          <w:trHeight w:val="419" w:hRule="atLeast"/>
        </w:trPr>
        <w:tc>
          <w:tcPr>
            <w:tcW w:w="3557" w:type="dxa"/>
            <w:tcBorders>
              <w:top w:val="single" w:sz="6" w:space="0" w:color="69BD28"/>
              <w:bottom w:val="single" w:sz="6" w:space="0" w:color="69BD28"/>
            </w:tcBorders>
          </w:tcPr>
          <w:p>
            <w:pPr>
              <w:pStyle w:val="TableParagraph"/>
              <w:spacing w:before="73"/>
              <w:ind w:left="1419" w:right="1382"/>
              <w:rPr>
                <w:sz w:val="18"/>
              </w:rPr>
            </w:pPr>
            <w:r>
              <w:rPr>
                <w:sz w:val="18"/>
              </w:rPr>
              <w:t>Tenant 5</w:t>
            </w:r>
          </w:p>
        </w:tc>
        <w:tc>
          <w:tcPr>
            <w:tcW w:w="3212" w:type="dxa"/>
            <w:tcBorders>
              <w:top w:val="single" w:sz="6" w:space="0" w:color="69BD28"/>
              <w:bottom w:val="single" w:sz="6" w:space="0" w:color="69BD28"/>
            </w:tcBorders>
          </w:tcPr>
          <w:p>
            <w:pPr>
              <w:pStyle w:val="TableParagraph"/>
              <w:spacing w:before="73"/>
              <w:ind w:left="800" w:right="712"/>
              <w:rPr>
                <w:sz w:val="18"/>
              </w:rPr>
            </w:pPr>
            <w:r>
              <w:rPr>
                <w:w w:val="110"/>
                <w:sz w:val="18"/>
              </w:rPr>
              <w:t>400</w:t>
            </w:r>
          </w:p>
        </w:tc>
        <w:tc>
          <w:tcPr>
            <w:tcW w:w="3717" w:type="dxa"/>
            <w:tcBorders>
              <w:top w:val="single" w:sz="6" w:space="0" w:color="69BD28"/>
              <w:bottom w:val="single" w:sz="6" w:space="0" w:color="69BD28"/>
            </w:tcBorders>
          </w:tcPr>
          <w:p>
            <w:pPr>
              <w:pStyle w:val="TableParagraph"/>
              <w:spacing w:before="73"/>
              <w:ind w:right="1384"/>
              <w:jc w:val="right"/>
              <w:rPr>
                <w:sz w:val="18"/>
              </w:rPr>
            </w:pPr>
            <w:r>
              <w:rPr>
                <w:w w:val="110"/>
                <w:sz w:val="18"/>
              </w:rPr>
              <w:t>340 - 360*</w:t>
            </w:r>
          </w:p>
        </w:tc>
      </w:tr>
      <w:tr>
        <w:trPr>
          <w:trHeight w:val="419" w:hRule="atLeast"/>
        </w:trPr>
        <w:tc>
          <w:tcPr>
            <w:tcW w:w="3557" w:type="dxa"/>
            <w:tcBorders>
              <w:top w:val="single" w:sz="6" w:space="0" w:color="69BD28"/>
              <w:bottom w:val="single" w:sz="6" w:space="0" w:color="69BD28"/>
            </w:tcBorders>
          </w:tcPr>
          <w:p>
            <w:pPr>
              <w:pStyle w:val="TableParagraph"/>
              <w:spacing w:before="73"/>
              <w:ind w:left="1419" w:right="1382"/>
              <w:rPr>
                <w:sz w:val="18"/>
              </w:rPr>
            </w:pPr>
            <w:r>
              <w:rPr>
                <w:sz w:val="18"/>
              </w:rPr>
              <w:t>Tenant 6</w:t>
            </w:r>
          </w:p>
        </w:tc>
        <w:tc>
          <w:tcPr>
            <w:tcW w:w="3212" w:type="dxa"/>
            <w:tcBorders>
              <w:top w:val="single" w:sz="6" w:space="0" w:color="69BD28"/>
              <w:bottom w:val="single" w:sz="6" w:space="0" w:color="69BD28"/>
            </w:tcBorders>
          </w:tcPr>
          <w:p>
            <w:pPr>
              <w:pStyle w:val="TableParagraph"/>
              <w:spacing w:before="73"/>
              <w:ind w:left="800" w:right="712"/>
              <w:rPr>
                <w:sz w:val="18"/>
              </w:rPr>
            </w:pPr>
            <w:r>
              <w:rPr>
                <w:w w:val="105"/>
                <w:sz w:val="18"/>
              </w:rPr>
              <w:t>1,000</w:t>
            </w:r>
          </w:p>
        </w:tc>
        <w:tc>
          <w:tcPr>
            <w:tcW w:w="3717" w:type="dxa"/>
            <w:tcBorders>
              <w:top w:val="single" w:sz="6" w:space="0" w:color="69BD28"/>
              <w:bottom w:val="single" w:sz="6" w:space="0" w:color="69BD28"/>
            </w:tcBorders>
          </w:tcPr>
          <w:p>
            <w:pPr>
              <w:pStyle w:val="TableParagraph"/>
              <w:spacing w:before="73"/>
              <w:ind w:right="1423"/>
              <w:jc w:val="right"/>
              <w:rPr>
                <w:sz w:val="18"/>
              </w:rPr>
            </w:pPr>
            <w:r>
              <w:rPr>
                <w:w w:val="110"/>
                <w:sz w:val="18"/>
              </w:rPr>
              <w:t>250 - 275</w:t>
            </w:r>
          </w:p>
        </w:tc>
      </w:tr>
      <w:tr>
        <w:trPr>
          <w:trHeight w:val="419" w:hRule="atLeast"/>
        </w:trPr>
        <w:tc>
          <w:tcPr>
            <w:tcW w:w="3557" w:type="dxa"/>
            <w:tcBorders>
              <w:top w:val="single" w:sz="6" w:space="0" w:color="69BD28"/>
              <w:bottom w:val="single" w:sz="6" w:space="0" w:color="69BD28"/>
            </w:tcBorders>
          </w:tcPr>
          <w:p>
            <w:pPr>
              <w:pStyle w:val="TableParagraph"/>
              <w:spacing w:before="73"/>
              <w:ind w:left="1419" w:right="1382"/>
              <w:rPr>
                <w:sz w:val="18"/>
              </w:rPr>
            </w:pPr>
            <w:r>
              <w:rPr>
                <w:sz w:val="18"/>
              </w:rPr>
              <w:t>Tenant 7</w:t>
            </w:r>
          </w:p>
        </w:tc>
        <w:tc>
          <w:tcPr>
            <w:tcW w:w="3212" w:type="dxa"/>
            <w:tcBorders>
              <w:top w:val="single" w:sz="6" w:space="0" w:color="69BD28"/>
              <w:bottom w:val="single" w:sz="6" w:space="0" w:color="69BD28"/>
            </w:tcBorders>
          </w:tcPr>
          <w:p>
            <w:pPr>
              <w:pStyle w:val="TableParagraph"/>
              <w:spacing w:before="73"/>
              <w:ind w:left="800" w:right="712"/>
              <w:rPr>
                <w:sz w:val="18"/>
              </w:rPr>
            </w:pPr>
            <w:r>
              <w:rPr>
                <w:w w:val="110"/>
                <w:sz w:val="18"/>
              </w:rPr>
              <w:t>500</w:t>
            </w:r>
          </w:p>
        </w:tc>
        <w:tc>
          <w:tcPr>
            <w:tcW w:w="3717" w:type="dxa"/>
            <w:tcBorders>
              <w:top w:val="single" w:sz="6" w:space="0" w:color="69BD28"/>
              <w:bottom w:val="single" w:sz="6" w:space="0" w:color="69BD28"/>
            </w:tcBorders>
          </w:tcPr>
          <w:p>
            <w:pPr>
              <w:pStyle w:val="TableParagraph"/>
              <w:spacing w:before="73"/>
              <w:ind w:right="1423"/>
              <w:jc w:val="right"/>
              <w:rPr>
                <w:sz w:val="18"/>
              </w:rPr>
            </w:pPr>
            <w:r>
              <w:rPr>
                <w:w w:val="110"/>
                <w:sz w:val="18"/>
              </w:rPr>
              <w:t>240 - 260</w:t>
            </w:r>
          </w:p>
        </w:tc>
      </w:tr>
    </w:tbl>
    <w:p>
      <w:pPr>
        <w:spacing w:before="0"/>
        <w:ind w:left="1246" w:right="0" w:firstLine="0"/>
        <w:jc w:val="both"/>
        <w:rPr>
          <w:i/>
          <w:sz w:val="18"/>
        </w:rPr>
      </w:pPr>
      <w:r>
        <w:rPr>
          <w:i/>
          <w:sz w:val="18"/>
        </w:rPr>
        <w:t>Source: CBRE Research; *on carpet basis with a loading of 100.0%</w:t>
      </w:r>
    </w:p>
    <w:p>
      <w:pPr>
        <w:pStyle w:val="BodyText"/>
        <w:spacing w:before="10"/>
        <w:rPr>
          <w:i/>
          <w:sz w:val="26"/>
        </w:rPr>
      </w:pPr>
    </w:p>
    <w:p>
      <w:pPr>
        <w:pStyle w:val="BodyText"/>
        <w:spacing w:line="321" w:lineRule="auto"/>
        <w:ind w:left="1227" w:right="673"/>
        <w:jc w:val="both"/>
      </w:pPr>
      <w:r>
        <w:rPr/>
        <w:t>Additionally,</w:t>
      </w:r>
      <w:r>
        <w:rPr>
          <w:spacing w:val="-41"/>
        </w:rPr>
        <w:t> </w:t>
      </w:r>
      <w:r>
        <w:rPr/>
        <w:t>as</w:t>
      </w:r>
      <w:r>
        <w:rPr>
          <w:spacing w:val="-40"/>
        </w:rPr>
        <w:t> </w:t>
      </w:r>
      <w:r>
        <w:rPr/>
        <w:t>per</w:t>
      </w:r>
      <w:r>
        <w:rPr>
          <w:spacing w:val="-41"/>
        </w:rPr>
        <w:t> </w:t>
      </w:r>
      <w:r>
        <w:rPr/>
        <w:t>information</w:t>
      </w:r>
      <w:r>
        <w:rPr>
          <w:spacing w:val="-40"/>
        </w:rPr>
        <w:t> </w:t>
      </w:r>
      <w:r>
        <w:rPr/>
        <w:t>provided</w:t>
      </w:r>
      <w:r>
        <w:rPr>
          <w:spacing w:val="-40"/>
        </w:rPr>
        <w:t> </w:t>
      </w:r>
      <w:r>
        <w:rPr/>
        <w:t>by</w:t>
      </w:r>
      <w:r>
        <w:rPr>
          <w:spacing w:val="-40"/>
        </w:rPr>
        <w:t> </w:t>
      </w:r>
      <w:r>
        <w:rPr/>
        <w:t>the</w:t>
      </w:r>
      <w:r>
        <w:rPr>
          <w:spacing w:val="-41"/>
        </w:rPr>
        <w:t> </w:t>
      </w:r>
      <w:r>
        <w:rPr/>
        <w:t>Client</w:t>
      </w:r>
      <w:r>
        <w:rPr>
          <w:spacing w:val="-40"/>
        </w:rPr>
        <w:t> </w:t>
      </w:r>
      <w:r>
        <w:rPr/>
        <w:t>we</w:t>
      </w:r>
      <w:r>
        <w:rPr>
          <w:spacing w:val="-41"/>
        </w:rPr>
        <w:t> </w:t>
      </w:r>
      <w:r>
        <w:rPr/>
        <w:t>understand</w:t>
      </w:r>
      <w:r>
        <w:rPr>
          <w:spacing w:val="-39"/>
        </w:rPr>
        <w:t> </w:t>
      </w:r>
      <w:r>
        <w:rPr/>
        <w:t>that</w:t>
      </w:r>
      <w:r>
        <w:rPr>
          <w:spacing w:val="-40"/>
        </w:rPr>
        <w:t> </w:t>
      </w:r>
      <w:r>
        <w:rPr/>
        <w:t>the</w:t>
      </w:r>
      <w:r>
        <w:rPr>
          <w:spacing w:val="-41"/>
        </w:rPr>
        <w:t> </w:t>
      </w:r>
      <w:r>
        <w:rPr/>
        <w:t>retail</w:t>
      </w:r>
      <w:r>
        <w:rPr>
          <w:spacing w:val="-40"/>
        </w:rPr>
        <w:t> </w:t>
      </w:r>
      <w:r>
        <w:rPr/>
        <w:t>development</w:t>
      </w:r>
      <w:r>
        <w:rPr>
          <w:spacing w:val="-40"/>
        </w:rPr>
        <w:t> </w:t>
      </w:r>
      <w:r>
        <w:rPr/>
        <w:t>as</w:t>
      </w:r>
      <w:r>
        <w:rPr>
          <w:spacing w:val="-41"/>
        </w:rPr>
        <w:t> </w:t>
      </w:r>
      <w:r>
        <w:rPr/>
        <w:t>part of</w:t>
      </w:r>
      <w:r>
        <w:rPr>
          <w:spacing w:val="-32"/>
        </w:rPr>
        <w:t> </w:t>
      </w:r>
      <w:r>
        <w:rPr/>
        <w:t>the</w:t>
      </w:r>
      <w:r>
        <w:rPr>
          <w:spacing w:val="-33"/>
        </w:rPr>
        <w:t> </w:t>
      </w:r>
      <w:r>
        <w:rPr/>
        <w:t>subject</w:t>
      </w:r>
      <w:r>
        <w:rPr>
          <w:spacing w:val="-33"/>
        </w:rPr>
        <w:t> </w:t>
      </w:r>
      <w:r>
        <w:rPr/>
        <w:t>property</w:t>
      </w:r>
      <w:r>
        <w:rPr>
          <w:spacing w:val="-32"/>
        </w:rPr>
        <w:t> </w:t>
      </w:r>
      <w:r>
        <w:rPr/>
        <w:t>is</w:t>
      </w:r>
      <w:r>
        <w:rPr>
          <w:spacing w:val="-33"/>
        </w:rPr>
        <w:t> </w:t>
      </w:r>
      <w:r>
        <w:rPr/>
        <w:t>spread</w:t>
      </w:r>
      <w:r>
        <w:rPr>
          <w:spacing w:val="-31"/>
        </w:rPr>
        <w:t> </w:t>
      </w:r>
      <w:r>
        <w:rPr/>
        <w:t>across</w:t>
      </w:r>
      <w:r>
        <w:rPr>
          <w:spacing w:val="-31"/>
        </w:rPr>
        <w:t> </w:t>
      </w:r>
      <w:r>
        <w:rPr/>
        <w:t>two</w:t>
      </w:r>
      <w:r>
        <w:rPr>
          <w:spacing w:val="-34"/>
        </w:rPr>
        <w:t> </w:t>
      </w:r>
      <w:r>
        <w:rPr/>
        <w:t>floors</w:t>
      </w:r>
      <w:r>
        <w:rPr>
          <w:spacing w:val="-31"/>
        </w:rPr>
        <w:t> </w:t>
      </w:r>
      <w:r>
        <w:rPr/>
        <w:t>i.e.</w:t>
      </w:r>
      <w:r>
        <w:rPr>
          <w:spacing w:val="-32"/>
        </w:rPr>
        <w:t> </w:t>
      </w:r>
      <w:r>
        <w:rPr/>
        <w:t>ground</w:t>
      </w:r>
      <w:r>
        <w:rPr>
          <w:spacing w:val="-33"/>
        </w:rPr>
        <w:t> </w:t>
      </w:r>
      <w:r>
        <w:rPr/>
        <w:t>floor</w:t>
      </w:r>
      <w:r>
        <w:rPr>
          <w:spacing w:val="-33"/>
        </w:rPr>
        <w:t> </w:t>
      </w:r>
      <w:r>
        <w:rPr/>
        <w:t>and</w:t>
      </w:r>
      <w:r>
        <w:rPr>
          <w:spacing w:val="-32"/>
        </w:rPr>
        <w:t> </w:t>
      </w:r>
      <w:r>
        <w:rPr/>
        <w:t>lower</w:t>
      </w:r>
      <w:r>
        <w:rPr>
          <w:spacing w:val="-33"/>
        </w:rPr>
        <w:t> </w:t>
      </w:r>
      <w:r>
        <w:rPr/>
        <w:t>ground</w:t>
      </w:r>
      <w:r>
        <w:rPr>
          <w:spacing w:val="-33"/>
        </w:rPr>
        <w:t> </w:t>
      </w:r>
      <w:r>
        <w:rPr/>
        <w:t>floor.</w:t>
      </w:r>
      <w:r>
        <w:rPr>
          <w:spacing w:val="-33"/>
        </w:rPr>
        <w:t> </w:t>
      </w:r>
      <w:r>
        <w:rPr/>
        <w:t>As</w:t>
      </w:r>
      <w:r>
        <w:rPr>
          <w:spacing w:val="-33"/>
        </w:rPr>
        <w:t> </w:t>
      </w:r>
      <w:r>
        <w:rPr/>
        <w:t>per</w:t>
      </w:r>
      <w:r>
        <w:rPr>
          <w:spacing w:val="-32"/>
        </w:rPr>
        <w:t> </w:t>
      </w:r>
      <w:r>
        <w:rPr/>
        <w:t>typical market</w:t>
      </w:r>
      <w:r>
        <w:rPr>
          <w:spacing w:val="-13"/>
        </w:rPr>
        <w:t> </w:t>
      </w:r>
      <w:r>
        <w:rPr/>
        <w:t>practise</w:t>
      </w:r>
      <w:r>
        <w:rPr>
          <w:spacing w:val="-12"/>
        </w:rPr>
        <w:t> </w:t>
      </w:r>
      <w:r>
        <w:rPr/>
        <w:t>and</w:t>
      </w:r>
      <w:r>
        <w:rPr>
          <w:spacing w:val="-14"/>
        </w:rPr>
        <w:t> </w:t>
      </w:r>
      <w:r>
        <w:rPr/>
        <w:t>trend</w:t>
      </w:r>
      <w:r>
        <w:rPr>
          <w:spacing w:val="-12"/>
        </w:rPr>
        <w:t> </w:t>
      </w:r>
      <w:r>
        <w:rPr/>
        <w:t>observed</w:t>
      </w:r>
      <w:r>
        <w:rPr>
          <w:spacing w:val="-12"/>
        </w:rPr>
        <w:t> </w:t>
      </w:r>
      <w:r>
        <w:rPr/>
        <w:t>in</w:t>
      </w:r>
      <w:r>
        <w:rPr>
          <w:spacing w:val="-13"/>
        </w:rPr>
        <w:t> </w:t>
      </w:r>
      <w:r>
        <w:rPr/>
        <w:t>retail</w:t>
      </w:r>
      <w:r>
        <w:rPr>
          <w:spacing w:val="-14"/>
        </w:rPr>
        <w:t> </w:t>
      </w:r>
      <w:r>
        <w:rPr/>
        <w:t>developments</w:t>
      </w:r>
      <w:r>
        <w:rPr>
          <w:spacing w:val="-11"/>
        </w:rPr>
        <w:t> </w:t>
      </w:r>
      <w:r>
        <w:rPr/>
        <w:t>across</w:t>
      </w:r>
      <w:r>
        <w:rPr>
          <w:spacing w:val="-14"/>
        </w:rPr>
        <w:t> </w:t>
      </w:r>
      <w:r>
        <w:rPr/>
        <w:t>the</w:t>
      </w:r>
      <w:r>
        <w:rPr>
          <w:spacing w:val="-12"/>
        </w:rPr>
        <w:t> </w:t>
      </w:r>
      <w:r>
        <w:rPr/>
        <w:t>city,</w:t>
      </w:r>
      <w:r>
        <w:rPr>
          <w:spacing w:val="-14"/>
        </w:rPr>
        <w:t> </w:t>
      </w:r>
      <w:r>
        <w:rPr/>
        <w:t>it</w:t>
      </w:r>
      <w:r>
        <w:rPr>
          <w:spacing w:val="-13"/>
        </w:rPr>
        <w:t> </w:t>
      </w:r>
      <w:r>
        <w:rPr/>
        <w:t>is</w:t>
      </w:r>
      <w:r>
        <w:rPr>
          <w:spacing w:val="-12"/>
        </w:rPr>
        <w:t> </w:t>
      </w:r>
      <w:r>
        <w:rPr/>
        <w:t>observed</w:t>
      </w:r>
      <w:r>
        <w:rPr>
          <w:spacing w:val="-14"/>
        </w:rPr>
        <w:t> </w:t>
      </w:r>
      <w:r>
        <w:rPr/>
        <w:t>that</w:t>
      </w:r>
      <w:r>
        <w:rPr>
          <w:spacing w:val="-12"/>
        </w:rPr>
        <w:t> </w:t>
      </w:r>
      <w:r>
        <w:rPr/>
        <w:t>rent</w:t>
      </w:r>
      <w:r>
        <w:rPr>
          <w:spacing w:val="-14"/>
        </w:rPr>
        <w:t> </w:t>
      </w:r>
      <w:r>
        <w:rPr/>
        <w:t>for lower</w:t>
      </w:r>
      <w:r>
        <w:rPr>
          <w:spacing w:val="-9"/>
        </w:rPr>
        <w:t> </w:t>
      </w:r>
      <w:r>
        <w:rPr/>
        <w:t>ground</w:t>
      </w:r>
      <w:r>
        <w:rPr>
          <w:spacing w:val="-10"/>
        </w:rPr>
        <w:t> </w:t>
      </w:r>
      <w:r>
        <w:rPr/>
        <w:t>floor</w:t>
      </w:r>
      <w:r>
        <w:rPr>
          <w:spacing w:val="-8"/>
        </w:rPr>
        <w:t> </w:t>
      </w:r>
      <w:r>
        <w:rPr/>
        <w:t>spaces</w:t>
      </w:r>
      <w:r>
        <w:rPr>
          <w:spacing w:val="-7"/>
        </w:rPr>
        <w:t> </w:t>
      </w:r>
      <w:r>
        <w:rPr/>
        <w:t>are</w:t>
      </w:r>
      <w:r>
        <w:rPr>
          <w:spacing w:val="-9"/>
        </w:rPr>
        <w:t> </w:t>
      </w:r>
      <w:r>
        <w:rPr/>
        <w:t>typically</w:t>
      </w:r>
      <w:r>
        <w:rPr>
          <w:spacing w:val="-7"/>
        </w:rPr>
        <w:t> </w:t>
      </w:r>
      <w:r>
        <w:rPr/>
        <w:t>at</w:t>
      </w:r>
      <w:r>
        <w:rPr>
          <w:spacing w:val="-7"/>
        </w:rPr>
        <w:t> </w:t>
      </w:r>
      <w:r>
        <w:rPr/>
        <w:t>a</w:t>
      </w:r>
      <w:r>
        <w:rPr>
          <w:spacing w:val="-10"/>
        </w:rPr>
        <w:t> </w:t>
      </w:r>
      <w:r>
        <w:rPr/>
        <w:t>discount</w:t>
      </w:r>
      <w:r>
        <w:rPr>
          <w:spacing w:val="-8"/>
        </w:rPr>
        <w:t> </w:t>
      </w:r>
      <w:r>
        <w:rPr/>
        <w:t>of</w:t>
      </w:r>
      <w:r>
        <w:rPr>
          <w:spacing w:val="-7"/>
        </w:rPr>
        <w:t> </w:t>
      </w:r>
      <w:r>
        <w:rPr/>
        <w:t>25.0-30.0%</w:t>
      </w:r>
      <w:r>
        <w:rPr>
          <w:spacing w:val="-10"/>
        </w:rPr>
        <w:t> </w:t>
      </w:r>
      <w:r>
        <w:rPr/>
        <w:t>from</w:t>
      </w:r>
      <w:r>
        <w:rPr>
          <w:spacing w:val="-11"/>
        </w:rPr>
        <w:t> </w:t>
      </w:r>
      <w:r>
        <w:rPr/>
        <w:t>ground</w:t>
      </w:r>
      <w:r>
        <w:rPr>
          <w:spacing w:val="-7"/>
        </w:rPr>
        <w:t> </w:t>
      </w:r>
      <w:r>
        <w:rPr/>
        <w:t>floor</w:t>
      </w:r>
      <w:r>
        <w:rPr>
          <w:spacing w:val="-9"/>
        </w:rPr>
        <w:t> </w:t>
      </w:r>
      <w:r>
        <w:rPr/>
        <w:t>rent</w:t>
      </w:r>
      <w:r>
        <w:rPr>
          <w:spacing w:val="-8"/>
        </w:rPr>
        <w:t> </w:t>
      </w:r>
      <w:r>
        <w:rPr/>
        <w:t>on</w:t>
      </w:r>
      <w:r>
        <w:rPr>
          <w:spacing w:val="-9"/>
        </w:rPr>
        <w:t> </w:t>
      </w:r>
      <w:r>
        <w:rPr/>
        <w:t>account of</w:t>
      </w:r>
      <w:r>
        <w:rPr>
          <w:spacing w:val="-40"/>
        </w:rPr>
        <w:t> </w:t>
      </w:r>
      <w:r>
        <w:rPr/>
        <w:t>inferior</w:t>
      </w:r>
      <w:r>
        <w:rPr>
          <w:spacing w:val="-40"/>
        </w:rPr>
        <w:t> </w:t>
      </w:r>
      <w:r>
        <w:rPr/>
        <w:t>positioning</w:t>
      </w:r>
      <w:r>
        <w:rPr>
          <w:spacing w:val="-39"/>
        </w:rPr>
        <w:t> </w:t>
      </w:r>
      <w:r>
        <w:rPr/>
        <w:t>and</w:t>
      </w:r>
      <w:r>
        <w:rPr>
          <w:spacing w:val="-39"/>
        </w:rPr>
        <w:t> </w:t>
      </w:r>
      <w:r>
        <w:rPr/>
        <w:t>visibility.</w:t>
      </w:r>
      <w:r>
        <w:rPr>
          <w:spacing w:val="-41"/>
        </w:rPr>
        <w:t> </w:t>
      </w:r>
      <w:r>
        <w:rPr/>
        <w:t>Additionally,</w:t>
      </w:r>
      <w:r>
        <w:rPr>
          <w:spacing w:val="-42"/>
        </w:rPr>
        <w:t> </w:t>
      </w:r>
      <w:r>
        <w:rPr/>
        <w:t>premium/high-end</w:t>
      </w:r>
      <w:r>
        <w:rPr>
          <w:spacing w:val="-40"/>
        </w:rPr>
        <w:t> </w:t>
      </w:r>
      <w:r>
        <w:rPr/>
        <w:t>brand</w:t>
      </w:r>
      <w:r>
        <w:rPr>
          <w:spacing w:val="-41"/>
        </w:rPr>
        <w:t> </w:t>
      </w:r>
      <w:r>
        <w:rPr/>
        <w:t>desire</w:t>
      </w:r>
      <w:r>
        <w:rPr>
          <w:spacing w:val="-41"/>
        </w:rPr>
        <w:t> </w:t>
      </w:r>
      <w:r>
        <w:rPr/>
        <w:t>superior</w:t>
      </w:r>
      <w:r>
        <w:rPr>
          <w:spacing w:val="-40"/>
        </w:rPr>
        <w:t> </w:t>
      </w:r>
      <w:r>
        <w:rPr/>
        <w:t>positioning</w:t>
      </w:r>
      <w:r>
        <w:rPr>
          <w:spacing w:val="-39"/>
        </w:rPr>
        <w:t> </w:t>
      </w:r>
      <w:r>
        <w:rPr/>
        <w:t>in a</w:t>
      </w:r>
      <w:r>
        <w:rPr>
          <w:spacing w:val="-19"/>
        </w:rPr>
        <w:t> </w:t>
      </w:r>
      <w:r>
        <w:rPr/>
        <w:t>retail</w:t>
      </w:r>
      <w:r>
        <w:rPr>
          <w:spacing w:val="-17"/>
        </w:rPr>
        <w:t> </w:t>
      </w:r>
      <w:r>
        <w:rPr/>
        <w:t>development</w:t>
      </w:r>
      <w:r>
        <w:rPr>
          <w:spacing w:val="-19"/>
        </w:rPr>
        <w:t> </w:t>
      </w:r>
      <w:r>
        <w:rPr/>
        <w:t>and</w:t>
      </w:r>
      <w:r>
        <w:rPr>
          <w:spacing w:val="-18"/>
        </w:rPr>
        <w:t> </w:t>
      </w:r>
      <w:r>
        <w:rPr/>
        <w:t>prefer</w:t>
      </w:r>
      <w:r>
        <w:rPr>
          <w:spacing w:val="-18"/>
        </w:rPr>
        <w:t> </w:t>
      </w:r>
      <w:r>
        <w:rPr/>
        <w:t>operating</w:t>
      </w:r>
      <w:r>
        <w:rPr>
          <w:spacing w:val="-18"/>
        </w:rPr>
        <w:t> </w:t>
      </w:r>
      <w:r>
        <w:rPr/>
        <w:t>from</w:t>
      </w:r>
      <w:r>
        <w:rPr>
          <w:spacing w:val="-19"/>
        </w:rPr>
        <w:t> </w:t>
      </w:r>
      <w:r>
        <w:rPr/>
        <w:t>the</w:t>
      </w:r>
      <w:r>
        <w:rPr>
          <w:spacing w:val="-19"/>
        </w:rPr>
        <w:t> </w:t>
      </w:r>
      <w:r>
        <w:rPr/>
        <w:t>ground</w:t>
      </w:r>
      <w:r>
        <w:rPr>
          <w:spacing w:val="-19"/>
        </w:rPr>
        <w:t> </w:t>
      </w:r>
      <w:r>
        <w:rPr/>
        <w:t>floor</w:t>
      </w:r>
      <w:r>
        <w:rPr>
          <w:spacing w:val="-19"/>
        </w:rPr>
        <w:t> </w:t>
      </w:r>
      <w:r>
        <w:rPr/>
        <w:t>and</w:t>
      </w:r>
      <w:r>
        <w:rPr>
          <w:spacing w:val="-18"/>
        </w:rPr>
        <w:t> </w:t>
      </w:r>
      <w:r>
        <w:rPr/>
        <w:t>thus</w:t>
      </w:r>
      <w:r>
        <w:rPr>
          <w:spacing w:val="-17"/>
        </w:rPr>
        <w:t> </w:t>
      </w:r>
      <w:r>
        <w:rPr/>
        <w:t>are</w:t>
      </w:r>
      <w:r>
        <w:rPr>
          <w:spacing w:val="-18"/>
        </w:rPr>
        <w:t> </w:t>
      </w:r>
      <w:r>
        <w:rPr/>
        <w:t>willing</w:t>
      </w:r>
      <w:r>
        <w:rPr>
          <w:spacing w:val="-19"/>
        </w:rPr>
        <w:t> </w:t>
      </w:r>
      <w:r>
        <w:rPr/>
        <w:t>to</w:t>
      </w:r>
      <w:r>
        <w:rPr>
          <w:spacing w:val="-19"/>
        </w:rPr>
        <w:t> </w:t>
      </w:r>
      <w:r>
        <w:rPr/>
        <w:t>pay</w:t>
      </w:r>
      <w:r>
        <w:rPr>
          <w:spacing w:val="-18"/>
        </w:rPr>
        <w:t> </w:t>
      </w:r>
      <w:r>
        <w:rPr/>
        <w:t>a</w:t>
      </w:r>
      <w:r>
        <w:rPr>
          <w:spacing w:val="-19"/>
        </w:rPr>
        <w:t> </w:t>
      </w:r>
      <w:r>
        <w:rPr/>
        <w:t>premium on</w:t>
      </w:r>
      <w:r>
        <w:rPr>
          <w:spacing w:val="-17"/>
        </w:rPr>
        <w:t> </w:t>
      </w:r>
      <w:r>
        <w:rPr/>
        <w:t>account</w:t>
      </w:r>
      <w:r>
        <w:rPr>
          <w:spacing w:val="-16"/>
        </w:rPr>
        <w:t> </w:t>
      </w:r>
      <w:r>
        <w:rPr/>
        <w:t>of</w:t>
      </w:r>
      <w:r>
        <w:rPr>
          <w:spacing w:val="-16"/>
        </w:rPr>
        <w:t> </w:t>
      </w:r>
      <w:r>
        <w:rPr/>
        <w:t>rent.</w:t>
      </w:r>
      <w:r>
        <w:rPr>
          <w:spacing w:val="-16"/>
        </w:rPr>
        <w:t> </w:t>
      </w:r>
      <w:r>
        <w:rPr/>
        <w:t>Considering</w:t>
      </w:r>
      <w:r>
        <w:rPr>
          <w:spacing w:val="-15"/>
        </w:rPr>
        <w:t> </w:t>
      </w:r>
      <w:r>
        <w:rPr/>
        <w:t>the</w:t>
      </w:r>
      <w:r>
        <w:rPr>
          <w:spacing w:val="-17"/>
        </w:rPr>
        <w:t> </w:t>
      </w:r>
      <w:r>
        <w:rPr/>
        <w:t>same,</w:t>
      </w:r>
      <w:r>
        <w:rPr>
          <w:spacing w:val="-16"/>
        </w:rPr>
        <w:t> </w:t>
      </w:r>
      <w:r>
        <w:rPr/>
        <w:t>we</w:t>
      </w:r>
      <w:r>
        <w:rPr>
          <w:spacing w:val="-16"/>
        </w:rPr>
        <w:t> </w:t>
      </w:r>
      <w:r>
        <w:rPr/>
        <w:t>are</w:t>
      </w:r>
      <w:r>
        <w:rPr>
          <w:spacing w:val="-17"/>
        </w:rPr>
        <w:t> </w:t>
      </w:r>
      <w:r>
        <w:rPr/>
        <w:t>of</w:t>
      </w:r>
      <w:r>
        <w:rPr>
          <w:spacing w:val="-15"/>
        </w:rPr>
        <w:t> </w:t>
      </w:r>
      <w:r>
        <w:rPr/>
        <w:t>the</w:t>
      </w:r>
      <w:r>
        <w:rPr>
          <w:spacing w:val="-16"/>
        </w:rPr>
        <w:t> </w:t>
      </w:r>
      <w:r>
        <w:rPr/>
        <w:t>opinion</w:t>
      </w:r>
      <w:r>
        <w:rPr>
          <w:spacing w:val="-17"/>
        </w:rPr>
        <w:t> </w:t>
      </w:r>
      <w:r>
        <w:rPr/>
        <w:t>that</w:t>
      </w:r>
      <w:r>
        <w:rPr>
          <w:spacing w:val="-15"/>
        </w:rPr>
        <w:t> </w:t>
      </w:r>
      <w:r>
        <w:rPr/>
        <w:t>rent</w:t>
      </w:r>
      <w:r>
        <w:rPr>
          <w:spacing w:val="-17"/>
        </w:rPr>
        <w:t> </w:t>
      </w:r>
      <w:r>
        <w:rPr/>
        <w:t>for</w:t>
      </w:r>
      <w:r>
        <w:rPr>
          <w:spacing w:val="-16"/>
        </w:rPr>
        <w:t> </w:t>
      </w:r>
      <w:r>
        <w:rPr/>
        <w:t>lower</w:t>
      </w:r>
      <w:r>
        <w:rPr>
          <w:spacing w:val="-16"/>
        </w:rPr>
        <w:t> </w:t>
      </w:r>
      <w:r>
        <w:rPr/>
        <w:t>ground</w:t>
      </w:r>
      <w:r>
        <w:rPr>
          <w:spacing w:val="-16"/>
        </w:rPr>
        <w:t> </w:t>
      </w:r>
      <w:r>
        <w:rPr/>
        <w:t>floor</w:t>
      </w:r>
      <w:r>
        <w:rPr>
          <w:spacing w:val="-16"/>
        </w:rPr>
        <w:t> </w:t>
      </w:r>
      <w:r>
        <w:rPr/>
        <w:t>space in</w:t>
      </w:r>
      <w:r>
        <w:rPr>
          <w:spacing w:val="-8"/>
        </w:rPr>
        <w:t> </w:t>
      </w:r>
      <w:r>
        <w:rPr/>
        <w:t>the</w:t>
      </w:r>
      <w:r>
        <w:rPr>
          <w:spacing w:val="-8"/>
        </w:rPr>
        <w:t> </w:t>
      </w:r>
      <w:r>
        <w:rPr/>
        <w:t>subject</w:t>
      </w:r>
      <w:r>
        <w:rPr>
          <w:spacing w:val="-7"/>
        </w:rPr>
        <w:t> </w:t>
      </w:r>
      <w:r>
        <w:rPr/>
        <w:t>property</w:t>
      </w:r>
      <w:r>
        <w:rPr>
          <w:spacing w:val="-8"/>
        </w:rPr>
        <w:t> </w:t>
      </w:r>
      <w:r>
        <w:rPr/>
        <w:t>will</w:t>
      </w:r>
      <w:r>
        <w:rPr>
          <w:spacing w:val="-8"/>
        </w:rPr>
        <w:t> </w:t>
      </w:r>
      <w:r>
        <w:rPr/>
        <w:t>be</w:t>
      </w:r>
      <w:r>
        <w:rPr>
          <w:spacing w:val="-7"/>
        </w:rPr>
        <w:t> </w:t>
      </w:r>
      <w:r>
        <w:rPr/>
        <w:t>at</w:t>
      </w:r>
      <w:r>
        <w:rPr>
          <w:spacing w:val="-5"/>
        </w:rPr>
        <w:t> </w:t>
      </w:r>
      <w:r>
        <w:rPr/>
        <w:t>a</w:t>
      </w:r>
      <w:r>
        <w:rPr>
          <w:spacing w:val="-7"/>
        </w:rPr>
        <w:t> </w:t>
      </w:r>
      <w:r>
        <w:rPr/>
        <w:t>25.0</w:t>
      </w:r>
      <w:r>
        <w:rPr>
          <w:spacing w:val="-8"/>
        </w:rPr>
        <w:t> </w:t>
      </w:r>
      <w:r>
        <w:rPr>
          <w:w w:val="105"/>
        </w:rPr>
        <w:t>–</w:t>
      </w:r>
      <w:r>
        <w:rPr>
          <w:spacing w:val="-11"/>
          <w:w w:val="105"/>
        </w:rPr>
        <w:t> </w:t>
      </w:r>
      <w:r>
        <w:rPr/>
        <w:t>30.0%</w:t>
      </w:r>
      <w:r>
        <w:rPr>
          <w:spacing w:val="-7"/>
        </w:rPr>
        <w:t> </w:t>
      </w:r>
      <w:r>
        <w:rPr/>
        <w:t>discount</w:t>
      </w:r>
      <w:r>
        <w:rPr>
          <w:spacing w:val="-7"/>
        </w:rPr>
        <w:t> </w:t>
      </w:r>
      <w:r>
        <w:rPr/>
        <w:t>from</w:t>
      </w:r>
      <w:r>
        <w:rPr>
          <w:spacing w:val="-7"/>
        </w:rPr>
        <w:t> </w:t>
      </w:r>
      <w:r>
        <w:rPr/>
        <w:t>ground</w:t>
      </w:r>
      <w:r>
        <w:rPr>
          <w:spacing w:val="-9"/>
        </w:rPr>
        <w:t> </w:t>
      </w:r>
      <w:r>
        <w:rPr/>
        <w:t>floor</w:t>
      </w:r>
      <w:r>
        <w:rPr>
          <w:spacing w:val="-7"/>
        </w:rPr>
        <w:t> </w:t>
      </w:r>
      <w:r>
        <w:rPr/>
        <w:t>rent.</w:t>
      </w:r>
    </w:p>
    <w:p>
      <w:pPr>
        <w:pStyle w:val="BodyText"/>
        <w:spacing w:before="2"/>
        <w:rPr>
          <w:sz w:val="21"/>
        </w:rPr>
      </w:pPr>
    </w:p>
    <w:p>
      <w:pPr>
        <w:pStyle w:val="BodyText"/>
        <w:spacing w:line="321" w:lineRule="auto"/>
        <w:ind w:left="1227" w:right="678"/>
        <w:jc w:val="both"/>
      </w:pPr>
      <w:r>
        <w:rPr>
          <w:w w:val="95"/>
        </w:rPr>
        <w:t>After</w:t>
      </w:r>
      <w:r>
        <w:rPr>
          <w:spacing w:val="-18"/>
          <w:w w:val="95"/>
        </w:rPr>
        <w:t> </w:t>
      </w:r>
      <w:r>
        <w:rPr>
          <w:w w:val="95"/>
        </w:rPr>
        <w:t>due</w:t>
      </w:r>
      <w:r>
        <w:rPr>
          <w:spacing w:val="-17"/>
          <w:w w:val="95"/>
        </w:rPr>
        <w:t> </w:t>
      </w:r>
      <w:r>
        <w:rPr>
          <w:w w:val="95"/>
        </w:rPr>
        <w:t>consideration</w:t>
      </w:r>
      <w:r>
        <w:rPr>
          <w:spacing w:val="-18"/>
          <w:w w:val="95"/>
        </w:rPr>
        <w:t> </w:t>
      </w:r>
      <w:r>
        <w:rPr>
          <w:w w:val="95"/>
        </w:rPr>
        <w:t>of</w:t>
      </w:r>
      <w:r>
        <w:rPr>
          <w:spacing w:val="-18"/>
          <w:w w:val="95"/>
        </w:rPr>
        <w:t> </w:t>
      </w:r>
      <w:r>
        <w:rPr>
          <w:w w:val="95"/>
        </w:rPr>
        <w:t>the</w:t>
      </w:r>
      <w:r>
        <w:rPr>
          <w:spacing w:val="-18"/>
          <w:w w:val="95"/>
        </w:rPr>
        <w:t> </w:t>
      </w:r>
      <w:r>
        <w:rPr>
          <w:w w:val="95"/>
        </w:rPr>
        <w:t>strategic</w:t>
      </w:r>
      <w:r>
        <w:rPr>
          <w:spacing w:val="-18"/>
          <w:w w:val="95"/>
        </w:rPr>
        <w:t> </w:t>
      </w:r>
      <w:r>
        <w:rPr>
          <w:w w:val="95"/>
        </w:rPr>
        <w:t>location</w:t>
      </w:r>
      <w:r>
        <w:rPr>
          <w:spacing w:val="-17"/>
          <w:w w:val="95"/>
        </w:rPr>
        <w:t> </w:t>
      </w:r>
      <w:r>
        <w:rPr>
          <w:w w:val="95"/>
        </w:rPr>
        <w:t>of</w:t>
      </w:r>
      <w:r>
        <w:rPr>
          <w:spacing w:val="-17"/>
          <w:w w:val="95"/>
        </w:rPr>
        <w:t> </w:t>
      </w:r>
      <w:r>
        <w:rPr>
          <w:w w:val="95"/>
        </w:rPr>
        <w:t>subject</w:t>
      </w:r>
      <w:r>
        <w:rPr>
          <w:spacing w:val="-17"/>
          <w:w w:val="95"/>
        </w:rPr>
        <w:t> </w:t>
      </w:r>
      <w:r>
        <w:rPr>
          <w:w w:val="95"/>
        </w:rPr>
        <w:t>property,</w:t>
      </w:r>
      <w:r>
        <w:rPr>
          <w:spacing w:val="-17"/>
          <w:w w:val="95"/>
        </w:rPr>
        <w:t> </w:t>
      </w:r>
      <w:r>
        <w:rPr>
          <w:w w:val="95"/>
        </w:rPr>
        <w:t>the</w:t>
      </w:r>
      <w:r>
        <w:rPr>
          <w:spacing w:val="-18"/>
          <w:w w:val="95"/>
        </w:rPr>
        <w:t> </w:t>
      </w:r>
      <w:r>
        <w:rPr>
          <w:w w:val="95"/>
        </w:rPr>
        <w:t>development</w:t>
      </w:r>
      <w:r>
        <w:rPr>
          <w:spacing w:val="-17"/>
          <w:w w:val="95"/>
        </w:rPr>
        <w:t> </w:t>
      </w:r>
      <w:r>
        <w:rPr>
          <w:w w:val="95"/>
        </w:rPr>
        <w:t>i.e.</w:t>
      </w:r>
      <w:r>
        <w:rPr>
          <w:spacing w:val="-18"/>
          <w:w w:val="95"/>
        </w:rPr>
        <w:t> </w:t>
      </w:r>
      <w:r>
        <w:rPr>
          <w:w w:val="95"/>
        </w:rPr>
        <w:t>considering</w:t>
      </w:r>
      <w:r>
        <w:rPr>
          <w:spacing w:val="-16"/>
          <w:w w:val="95"/>
        </w:rPr>
        <w:t> </w:t>
      </w:r>
      <w:r>
        <w:rPr>
          <w:w w:val="95"/>
        </w:rPr>
        <w:t>that </w:t>
      </w:r>
      <w:r>
        <w:rPr/>
        <w:t>the</w:t>
      </w:r>
      <w:r>
        <w:rPr>
          <w:spacing w:val="-5"/>
        </w:rPr>
        <w:t> </w:t>
      </w:r>
      <w:r>
        <w:rPr/>
        <w:t>development</w:t>
      </w:r>
      <w:r>
        <w:rPr>
          <w:spacing w:val="-5"/>
        </w:rPr>
        <w:t> </w:t>
      </w:r>
      <w:r>
        <w:rPr/>
        <w:t>is</w:t>
      </w:r>
      <w:r>
        <w:rPr>
          <w:spacing w:val="-3"/>
        </w:rPr>
        <w:t> </w:t>
      </w:r>
      <w:r>
        <w:rPr/>
        <w:t>a</w:t>
      </w:r>
      <w:r>
        <w:rPr>
          <w:spacing w:val="-6"/>
        </w:rPr>
        <w:t> </w:t>
      </w:r>
      <w:r>
        <w:rPr/>
        <w:t>part</w:t>
      </w:r>
      <w:r>
        <w:rPr>
          <w:spacing w:val="-3"/>
        </w:rPr>
        <w:t> </w:t>
      </w:r>
      <w:r>
        <w:rPr/>
        <w:t>of</w:t>
      </w:r>
      <w:r>
        <w:rPr>
          <w:spacing w:val="-4"/>
        </w:rPr>
        <w:t> </w:t>
      </w:r>
      <w:r>
        <w:rPr/>
        <w:t>a</w:t>
      </w:r>
      <w:r>
        <w:rPr>
          <w:spacing w:val="-6"/>
        </w:rPr>
        <w:t> </w:t>
      </w:r>
      <w:r>
        <w:rPr/>
        <w:t>mixed-use</w:t>
      </w:r>
      <w:r>
        <w:rPr>
          <w:spacing w:val="-7"/>
        </w:rPr>
        <w:t> </w:t>
      </w:r>
      <w:r>
        <w:rPr/>
        <w:t>development</w:t>
      </w:r>
      <w:r>
        <w:rPr>
          <w:spacing w:val="-4"/>
        </w:rPr>
        <w:t> </w:t>
      </w:r>
      <w:r>
        <w:rPr/>
        <w:t>housing</w:t>
      </w:r>
      <w:r>
        <w:rPr>
          <w:spacing w:val="-5"/>
        </w:rPr>
        <w:t> </w:t>
      </w:r>
      <w:r>
        <w:rPr/>
        <w:t>a</w:t>
      </w:r>
      <w:r>
        <w:rPr>
          <w:spacing w:val="-4"/>
        </w:rPr>
        <w:t> </w:t>
      </w:r>
      <w:r>
        <w:rPr/>
        <w:t>Hotel</w:t>
      </w:r>
      <w:r>
        <w:rPr>
          <w:spacing w:val="-7"/>
        </w:rPr>
        <w:t> </w:t>
      </w:r>
      <w:r>
        <w:rPr/>
        <w:t>Four</w:t>
      </w:r>
      <w:r>
        <w:rPr>
          <w:spacing w:val="-4"/>
        </w:rPr>
        <w:t> </w:t>
      </w:r>
      <w:r>
        <w:rPr/>
        <w:t>Seasons</w:t>
      </w:r>
      <w:r>
        <w:rPr>
          <w:spacing w:val="-4"/>
        </w:rPr>
        <w:t> </w:t>
      </w:r>
      <w:r>
        <w:rPr/>
        <w:t>at</w:t>
      </w:r>
      <w:r>
        <w:rPr>
          <w:spacing w:val="-5"/>
        </w:rPr>
        <w:t> </w:t>
      </w:r>
      <w:r>
        <w:rPr/>
        <w:t>Embassy</w:t>
      </w:r>
      <w:r>
        <w:rPr>
          <w:spacing w:val="-5"/>
        </w:rPr>
        <w:t> </w:t>
      </w:r>
      <w:r>
        <w:rPr/>
        <w:t>One and</w:t>
      </w:r>
      <w:r>
        <w:rPr>
          <w:spacing w:val="-36"/>
        </w:rPr>
        <w:t> </w:t>
      </w:r>
      <w:r>
        <w:rPr/>
        <w:t>that</w:t>
      </w:r>
      <w:r>
        <w:rPr>
          <w:spacing w:val="-35"/>
        </w:rPr>
        <w:t> </w:t>
      </w:r>
      <w:r>
        <w:rPr/>
        <w:t>the</w:t>
      </w:r>
      <w:r>
        <w:rPr>
          <w:spacing w:val="-36"/>
        </w:rPr>
        <w:t> </w:t>
      </w:r>
      <w:r>
        <w:rPr/>
        <w:t>retail</w:t>
      </w:r>
      <w:r>
        <w:rPr>
          <w:spacing w:val="-36"/>
        </w:rPr>
        <w:t> </w:t>
      </w:r>
      <w:r>
        <w:rPr/>
        <w:t>spaces</w:t>
      </w:r>
      <w:r>
        <w:rPr>
          <w:spacing w:val="-35"/>
        </w:rPr>
        <w:t> </w:t>
      </w:r>
      <w:r>
        <w:rPr/>
        <w:t>will</w:t>
      </w:r>
      <w:r>
        <w:rPr>
          <w:spacing w:val="-36"/>
        </w:rPr>
        <w:t> </w:t>
      </w:r>
      <w:r>
        <w:rPr/>
        <w:t>offer</w:t>
      </w:r>
      <w:r>
        <w:rPr>
          <w:spacing w:val="-36"/>
        </w:rPr>
        <w:t> </w:t>
      </w:r>
      <w:r>
        <w:rPr/>
        <w:t>international</w:t>
      </w:r>
      <w:r>
        <w:rPr>
          <w:spacing w:val="-36"/>
        </w:rPr>
        <w:t> </w:t>
      </w:r>
      <w:r>
        <w:rPr/>
        <w:t>quality</w:t>
      </w:r>
      <w:r>
        <w:rPr>
          <w:spacing w:val="-34"/>
        </w:rPr>
        <w:t> </w:t>
      </w:r>
      <w:r>
        <w:rPr/>
        <w:t>of</w:t>
      </w:r>
      <w:r>
        <w:rPr>
          <w:spacing w:val="-35"/>
        </w:rPr>
        <w:t> </w:t>
      </w:r>
      <w:r>
        <w:rPr/>
        <w:t>specifications</w:t>
      </w:r>
      <w:r>
        <w:rPr>
          <w:spacing w:val="-35"/>
        </w:rPr>
        <w:t> </w:t>
      </w:r>
      <w:r>
        <w:rPr/>
        <w:t>and</w:t>
      </w:r>
      <w:r>
        <w:rPr>
          <w:spacing w:val="-35"/>
        </w:rPr>
        <w:t> </w:t>
      </w:r>
      <w:r>
        <w:rPr/>
        <w:t>amenities,</w:t>
      </w:r>
      <w:r>
        <w:rPr>
          <w:spacing w:val="-36"/>
        </w:rPr>
        <w:t> </w:t>
      </w:r>
      <w:r>
        <w:rPr/>
        <w:t>it</w:t>
      </w:r>
      <w:r>
        <w:rPr>
          <w:spacing w:val="-35"/>
        </w:rPr>
        <w:t> </w:t>
      </w:r>
      <w:r>
        <w:rPr/>
        <w:t>is</w:t>
      </w:r>
      <w:r>
        <w:rPr>
          <w:spacing w:val="-35"/>
        </w:rPr>
        <w:t> </w:t>
      </w:r>
      <w:r>
        <w:rPr/>
        <w:t>opined</w:t>
      </w:r>
      <w:r>
        <w:rPr>
          <w:spacing w:val="-35"/>
        </w:rPr>
        <w:t> </w:t>
      </w:r>
      <w:r>
        <w:rPr/>
        <w:t>that the subject development can achieve a marginal rent of approx. INR 195.0 to 205.0 psf pm (say</w:t>
      </w:r>
      <w:r>
        <w:rPr>
          <w:spacing w:val="33"/>
        </w:rPr>
        <w:t> </w:t>
      </w:r>
      <w:r>
        <w:rPr/>
        <w:t>INR</w:t>
      </w:r>
    </w:p>
    <w:p>
      <w:pPr>
        <w:pStyle w:val="BodyText"/>
        <w:spacing w:line="324" w:lineRule="auto" w:before="1"/>
        <w:ind w:left="1227" w:right="673"/>
        <w:jc w:val="both"/>
      </w:pPr>
      <w:r>
        <w:rPr/>
        <w:t>200.0</w:t>
      </w:r>
      <w:r>
        <w:rPr>
          <w:spacing w:val="-5"/>
        </w:rPr>
        <w:t> </w:t>
      </w:r>
      <w:r>
        <w:rPr/>
        <w:t>psf</w:t>
      </w:r>
      <w:r>
        <w:rPr>
          <w:spacing w:val="-3"/>
        </w:rPr>
        <w:t> </w:t>
      </w:r>
      <w:r>
        <w:rPr/>
        <w:t>pm)</w:t>
      </w:r>
      <w:r>
        <w:rPr>
          <w:spacing w:val="-5"/>
        </w:rPr>
        <w:t> </w:t>
      </w:r>
      <w:r>
        <w:rPr/>
        <w:t>for</w:t>
      </w:r>
      <w:r>
        <w:rPr>
          <w:spacing w:val="-4"/>
        </w:rPr>
        <w:t> </w:t>
      </w:r>
      <w:r>
        <w:rPr/>
        <w:t>the</w:t>
      </w:r>
      <w:r>
        <w:rPr>
          <w:spacing w:val="-5"/>
        </w:rPr>
        <w:t> </w:t>
      </w:r>
      <w:r>
        <w:rPr/>
        <w:t>ground</w:t>
      </w:r>
      <w:r>
        <w:rPr>
          <w:spacing w:val="-4"/>
        </w:rPr>
        <w:t> </w:t>
      </w:r>
      <w:r>
        <w:rPr/>
        <w:t>floor</w:t>
      </w:r>
      <w:r>
        <w:rPr>
          <w:spacing w:val="1"/>
        </w:rPr>
        <w:t> </w:t>
      </w:r>
      <w:r>
        <w:rPr/>
        <w:t>as</w:t>
      </w:r>
      <w:r>
        <w:rPr>
          <w:spacing w:val="-4"/>
        </w:rPr>
        <w:t> </w:t>
      </w:r>
      <w:r>
        <w:rPr/>
        <w:t>on</w:t>
      </w:r>
      <w:r>
        <w:rPr>
          <w:spacing w:val="-4"/>
        </w:rPr>
        <w:t> </w:t>
      </w:r>
      <w:r>
        <w:rPr/>
        <w:t>date</w:t>
      </w:r>
      <w:r>
        <w:rPr>
          <w:spacing w:val="-4"/>
        </w:rPr>
        <w:t> </w:t>
      </w:r>
      <w:r>
        <w:rPr/>
        <w:t>of</w:t>
      </w:r>
      <w:r>
        <w:rPr>
          <w:spacing w:val="-3"/>
        </w:rPr>
        <w:t> </w:t>
      </w:r>
      <w:r>
        <w:rPr/>
        <w:t>valuation.</w:t>
      </w:r>
      <w:r>
        <w:rPr>
          <w:spacing w:val="-5"/>
        </w:rPr>
        <w:t> </w:t>
      </w:r>
      <w:r>
        <w:rPr/>
        <w:t>As</w:t>
      </w:r>
      <w:r>
        <w:rPr>
          <w:spacing w:val="-3"/>
        </w:rPr>
        <w:t> </w:t>
      </w:r>
      <w:r>
        <w:rPr/>
        <w:t>mentioned</w:t>
      </w:r>
      <w:r>
        <w:rPr>
          <w:spacing w:val="-5"/>
        </w:rPr>
        <w:t> </w:t>
      </w:r>
      <w:r>
        <w:rPr/>
        <w:t>earlier,</w:t>
      </w:r>
      <w:r>
        <w:rPr>
          <w:spacing w:val="-4"/>
        </w:rPr>
        <w:t> </w:t>
      </w:r>
      <w:r>
        <w:rPr/>
        <w:t>the</w:t>
      </w:r>
      <w:r>
        <w:rPr>
          <w:spacing w:val="-5"/>
        </w:rPr>
        <w:t> </w:t>
      </w:r>
      <w:r>
        <w:rPr/>
        <w:t>stores</w:t>
      </w:r>
      <w:r>
        <w:rPr>
          <w:spacing w:val="-4"/>
        </w:rPr>
        <w:t> </w:t>
      </w:r>
      <w:r>
        <w:rPr/>
        <w:t>on</w:t>
      </w:r>
      <w:r>
        <w:rPr>
          <w:spacing w:val="-4"/>
        </w:rPr>
        <w:t> </w:t>
      </w:r>
      <w:r>
        <w:rPr/>
        <w:t>lower ground</w:t>
      </w:r>
      <w:r>
        <w:rPr>
          <w:spacing w:val="-10"/>
        </w:rPr>
        <w:t> </w:t>
      </w:r>
      <w:r>
        <w:rPr/>
        <w:t>floor</w:t>
      </w:r>
      <w:r>
        <w:rPr>
          <w:spacing w:val="-8"/>
        </w:rPr>
        <w:t> </w:t>
      </w:r>
      <w:r>
        <w:rPr/>
        <w:t>will</w:t>
      </w:r>
      <w:r>
        <w:rPr>
          <w:spacing w:val="-9"/>
        </w:rPr>
        <w:t> </w:t>
      </w:r>
      <w:r>
        <w:rPr/>
        <w:t>command</w:t>
      </w:r>
      <w:r>
        <w:rPr>
          <w:spacing w:val="-7"/>
        </w:rPr>
        <w:t> </w:t>
      </w:r>
      <w:r>
        <w:rPr/>
        <w:t>a</w:t>
      </w:r>
      <w:r>
        <w:rPr>
          <w:spacing w:val="-10"/>
        </w:rPr>
        <w:t> </w:t>
      </w:r>
      <w:r>
        <w:rPr/>
        <w:t>discount</w:t>
      </w:r>
      <w:r>
        <w:rPr>
          <w:spacing w:val="-9"/>
        </w:rPr>
        <w:t> </w:t>
      </w:r>
      <w:r>
        <w:rPr/>
        <w:t>over</w:t>
      </w:r>
      <w:r>
        <w:rPr>
          <w:spacing w:val="-10"/>
        </w:rPr>
        <w:t> </w:t>
      </w:r>
      <w:r>
        <w:rPr/>
        <w:t>ground</w:t>
      </w:r>
      <w:r>
        <w:rPr>
          <w:spacing w:val="-10"/>
        </w:rPr>
        <w:t> </w:t>
      </w:r>
      <w:r>
        <w:rPr/>
        <w:t>floor</w:t>
      </w:r>
      <w:r>
        <w:rPr>
          <w:spacing w:val="-8"/>
        </w:rPr>
        <w:t> </w:t>
      </w:r>
      <w:r>
        <w:rPr/>
        <w:t>rent</w:t>
      </w:r>
      <w:r>
        <w:rPr>
          <w:spacing w:val="-8"/>
        </w:rPr>
        <w:t> </w:t>
      </w:r>
      <w:r>
        <w:rPr/>
        <w:t>to</w:t>
      </w:r>
      <w:r>
        <w:rPr>
          <w:spacing w:val="-8"/>
        </w:rPr>
        <w:t> </w:t>
      </w:r>
      <w:r>
        <w:rPr/>
        <w:t>the</w:t>
      </w:r>
      <w:r>
        <w:rPr>
          <w:spacing w:val="-11"/>
        </w:rPr>
        <w:t> </w:t>
      </w:r>
      <w:r>
        <w:rPr/>
        <w:t>tune</w:t>
      </w:r>
      <w:r>
        <w:rPr>
          <w:spacing w:val="-8"/>
        </w:rPr>
        <w:t> </w:t>
      </w:r>
      <w:r>
        <w:rPr/>
        <w:t>of</w:t>
      </w:r>
      <w:r>
        <w:rPr>
          <w:spacing w:val="-8"/>
        </w:rPr>
        <w:t> </w:t>
      </w:r>
      <w:r>
        <w:rPr/>
        <w:t>25.0-30.0%.</w:t>
      </w:r>
      <w:r>
        <w:rPr>
          <w:spacing w:val="-10"/>
        </w:rPr>
        <w:t> </w:t>
      </w:r>
      <w:r>
        <w:rPr/>
        <w:t>Factoring</w:t>
      </w:r>
      <w:r>
        <w:rPr>
          <w:spacing w:val="-9"/>
        </w:rPr>
        <w:t> </w:t>
      </w:r>
      <w:r>
        <w:rPr/>
        <w:t>the</w:t>
      </w:r>
    </w:p>
    <w:p>
      <w:pPr>
        <w:spacing w:after="0" w:line="324" w:lineRule="auto"/>
        <w:jc w:val="both"/>
        <w:sectPr>
          <w:pgSz w:w="11910" w:h="16840"/>
          <w:pgMar w:header="720" w:footer="862" w:top="1660" w:bottom="1060" w:left="40" w:right="40"/>
        </w:sectPr>
      </w:pPr>
    </w:p>
    <w:p>
      <w:pPr>
        <w:pStyle w:val="BodyText"/>
        <w:spacing w:before="7"/>
        <w:rPr>
          <w:sz w:val="9"/>
        </w:rPr>
      </w:pPr>
    </w:p>
    <w:p>
      <w:pPr>
        <w:pStyle w:val="BodyText"/>
        <w:spacing w:line="321" w:lineRule="auto" w:before="106"/>
        <w:ind w:left="1227" w:right="607"/>
      </w:pPr>
      <w:r>
        <w:rPr/>
        <w:t>same,</w:t>
      </w:r>
      <w:r>
        <w:rPr>
          <w:spacing w:val="-16"/>
        </w:rPr>
        <w:t> </w:t>
      </w:r>
      <w:r>
        <w:rPr/>
        <w:t>the</w:t>
      </w:r>
      <w:r>
        <w:rPr>
          <w:spacing w:val="-18"/>
        </w:rPr>
        <w:t> </w:t>
      </w:r>
      <w:r>
        <w:rPr/>
        <w:t>weighted</w:t>
      </w:r>
      <w:r>
        <w:rPr>
          <w:spacing w:val="-16"/>
        </w:rPr>
        <w:t> </w:t>
      </w:r>
      <w:r>
        <w:rPr/>
        <w:t>average</w:t>
      </w:r>
      <w:r>
        <w:rPr>
          <w:spacing w:val="-16"/>
        </w:rPr>
        <w:t> </w:t>
      </w:r>
      <w:r>
        <w:rPr/>
        <w:t>marginal</w:t>
      </w:r>
      <w:r>
        <w:rPr>
          <w:spacing w:val="-16"/>
        </w:rPr>
        <w:t> </w:t>
      </w:r>
      <w:r>
        <w:rPr/>
        <w:t>rent</w:t>
      </w:r>
      <w:r>
        <w:rPr>
          <w:spacing w:val="-17"/>
        </w:rPr>
        <w:t> </w:t>
      </w:r>
      <w:r>
        <w:rPr/>
        <w:t>for</w:t>
      </w:r>
      <w:r>
        <w:rPr>
          <w:spacing w:val="-16"/>
        </w:rPr>
        <w:t> </w:t>
      </w:r>
      <w:r>
        <w:rPr/>
        <w:t>the</w:t>
      </w:r>
      <w:r>
        <w:rPr>
          <w:spacing w:val="-16"/>
        </w:rPr>
        <w:t> </w:t>
      </w:r>
      <w:r>
        <w:rPr/>
        <w:t>retail</w:t>
      </w:r>
      <w:r>
        <w:rPr>
          <w:spacing w:val="-16"/>
        </w:rPr>
        <w:t> </w:t>
      </w:r>
      <w:r>
        <w:rPr/>
        <w:t>area</w:t>
      </w:r>
      <w:r>
        <w:rPr>
          <w:spacing w:val="-16"/>
        </w:rPr>
        <w:t> </w:t>
      </w:r>
      <w:r>
        <w:rPr/>
        <w:t>in</w:t>
      </w:r>
      <w:r>
        <w:rPr>
          <w:spacing w:val="-16"/>
        </w:rPr>
        <w:t> </w:t>
      </w:r>
      <w:r>
        <w:rPr/>
        <w:t>the</w:t>
      </w:r>
      <w:r>
        <w:rPr>
          <w:spacing w:val="-16"/>
        </w:rPr>
        <w:t> </w:t>
      </w:r>
      <w:r>
        <w:rPr/>
        <w:t>subject</w:t>
      </w:r>
      <w:r>
        <w:rPr>
          <w:spacing w:val="-15"/>
        </w:rPr>
        <w:t> </w:t>
      </w:r>
      <w:r>
        <w:rPr/>
        <w:t>property</w:t>
      </w:r>
      <w:r>
        <w:rPr>
          <w:spacing w:val="-15"/>
        </w:rPr>
        <w:t> </w:t>
      </w:r>
      <w:r>
        <w:rPr/>
        <w:t>is</w:t>
      </w:r>
      <w:r>
        <w:rPr>
          <w:spacing w:val="-14"/>
        </w:rPr>
        <w:t> </w:t>
      </w:r>
      <w:r>
        <w:rPr/>
        <w:t>opined</w:t>
      </w:r>
      <w:r>
        <w:rPr>
          <w:spacing w:val="-17"/>
        </w:rPr>
        <w:t> </w:t>
      </w:r>
      <w:r>
        <w:rPr/>
        <w:t>to</w:t>
      </w:r>
      <w:r>
        <w:rPr>
          <w:spacing w:val="-17"/>
        </w:rPr>
        <w:t> </w:t>
      </w:r>
      <w:r>
        <w:rPr/>
        <w:t>be</w:t>
      </w:r>
      <w:r>
        <w:rPr>
          <w:spacing w:val="-10"/>
        </w:rPr>
        <w:t> </w:t>
      </w:r>
      <w:r>
        <w:rPr/>
        <w:t>in the range of approx. INR 165.0 to 175.0 psf pm (say INR 170.0 psf</w:t>
      </w:r>
      <w:r>
        <w:rPr>
          <w:spacing w:val="-31"/>
        </w:rPr>
        <w:t> </w:t>
      </w:r>
      <w:r>
        <w:rPr/>
        <w:t>pm).</w:t>
      </w:r>
    </w:p>
    <w:p>
      <w:pPr>
        <w:pStyle w:val="BodyText"/>
        <w:spacing w:before="10"/>
        <w:rPr>
          <w:sz w:val="20"/>
        </w:rPr>
      </w:pPr>
    </w:p>
    <w:p>
      <w:pPr>
        <w:pStyle w:val="BodyText"/>
        <w:ind w:left="1227"/>
      </w:pPr>
      <w:r>
        <w:rPr>
          <w:u w:val="single"/>
        </w:rPr>
        <w:t>Hospitality</w:t>
      </w:r>
    </w:p>
    <w:p>
      <w:pPr>
        <w:pStyle w:val="BodyText"/>
        <w:spacing w:before="10"/>
        <w:rPr>
          <w:sz w:val="18"/>
        </w:rPr>
      </w:pPr>
    </w:p>
    <w:p>
      <w:pPr>
        <w:pStyle w:val="BodyText"/>
        <w:spacing w:line="321" w:lineRule="auto" w:before="106"/>
        <w:ind w:left="1227" w:right="676"/>
        <w:jc w:val="both"/>
      </w:pPr>
      <w:r>
        <w:rPr/>
        <w:t>To</w:t>
      </w:r>
      <w:r>
        <w:rPr>
          <w:spacing w:val="-11"/>
        </w:rPr>
        <w:t> </w:t>
      </w:r>
      <w:r>
        <w:rPr/>
        <w:t>opine</w:t>
      </w:r>
      <w:r>
        <w:rPr>
          <w:spacing w:val="-10"/>
        </w:rPr>
        <w:t> </w:t>
      </w:r>
      <w:r>
        <w:rPr/>
        <w:t>on</w:t>
      </w:r>
      <w:r>
        <w:rPr>
          <w:spacing w:val="-11"/>
        </w:rPr>
        <w:t> </w:t>
      </w:r>
      <w:r>
        <w:rPr/>
        <w:t>the</w:t>
      </w:r>
      <w:r>
        <w:rPr>
          <w:spacing w:val="-12"/>
        </w:rPr>
        <w:t> </w:t>
      </w:r>
      <w:r>
        <w:rPr/>
        <w:t>ARRs</w:t>
      </w:r>
      <w:r>
        <w:rPr>
          <w:spacing w:val="-9"/>
        </w:rPr>
        <w:t> </w:t>
      </w:r>
      <w:r>
        <w:rPr/>
        <w:t>and</w:t>
      </w:r>
      <w:r>
        <w:rPr>
          <w:spacing w:val="-10"/>
        </w:rPr>
        <w:t> </w:t>
      </w:r>
      <w:r>
        <w:rPr/>
        <w:t>Occupancy</w:t>
      </w:r>
      <w:r>
        <w:rPr>
          <w:spacing w:val="-10"/>
        </w:rPr>
        <w:t> </w:t>
      </w:r>
      <w:r>
        <w:rPr/>
        <w:t>for</w:t>
      </w:r>
      <w:r>
        <w:rPr>
          <w:spacing w:val="-11"/>
        </w:rPr>
        <w:t> </w:t>
      </w:r>
      <w:r>
        <w:rPr/>
        <w:t>the</w:t>
      </w:r>
      <w:r>
        <w:rPr>
          <w:spacing w:val="-12"/>
        </w:rPr>
        <w:t> </w:t>
      </w:r>
      <w:r>
        <w:rPr/>
        <w:t>hotel</w:t>
      </w:r>
      <w:r>
        <w:rPr>
          <w:spacing w:val="-10"/>
        </w:rPr>
        <w:t> </w:t>
      </w:r>
      <w:r>
        <w:rPr/>
        <w:t>in</w:t>
      </w:r>
      <w:r>
        <w:rPr>
          <w:spacing w:val="-11"/>
        </w:rPr>
        <w:t> </w:t>
      </w:r>
      <w:r>
        <w:rPr/>
        <w:t>the</w:t>
      </w:r>
      <w:r>
        <w:rPr>
          <w:spacing w:val="-11"/>
        </w:rPr>
        <w:t> </w:t>
      </w:r>
      <w:r>
        <w:rPr/>
        <w:t>subject</w:t>
      </w:r>
      <w:r>
        <w:rPr>
          <w:spacing w:val="-11"/>
        </w:rPr>
        <w:t> </w:t>
      </w:r>
      <w:r>
        <w:rPr/>
        <w:t>property,</w:t>
      </w:r>
      <w:r>
        <w:rPr>
          <w:spacing w:val="-10"/>
        </w:rPr>
        <w:t> </w:t>
      </w:r>
      <w:r>
        <w:rPr/>
        <w:t>we</w:t>
      </w:r>
      <w:r>
        <w:rPr>
          <w:spacing w:val="-10"/>
        </w:rPr>
        <w:t> </w:t>
      </w:r>
      <w:r>
        <w:rPr/>
        <w:t>have</w:t>
      </w:r>
      <w:r>
        <w:rPr>
          <w:spacing w:val="-11"/>
        </w:rPr>
        <w:t> </w:t>
      </w:r>
      <w:r>
        <w:rPr/>
        <w:t>benchmarked</w:t>
      </w:r>
      <w:r>
        <w:rPr>
          <w:spacing w:val="-10"/>
        </w:rPr>
        <w:t> </w:t>
      </w:r>
      <w:r>
        <w:rPr/>
        <w:t>the existing</w:t>
      </w:r>
      <w:r>
        <w:rPr>
          <w:spacing w:val="-12"/>
        </w:rPr>
        <w:t> </w:t>
      </w:r>
      <w:r>
        <w:rPr/>
        <w:t>high-end</w:t>
      </w:r>
      <w:r>
        <w:rPr>
          <w:spacing w:val="-12"/>
        </w:rPr>
        <w:t> </w:t>
      </w:r>
      <w:r>
        <w:rPr/>
        <w:t>hotels</w:t>
      </w:r>
      <w:r>
        <w:rPr>
          <w:spacing w:val="-13"/>
        </w:rPr>
        <w:t> </w:t>
      </w:r>
      <w:r>
        <w:rPr/>
        <w:t>across</w:t>
      </w:r>
      <w:r>
        <w:rPr>
          <w:spacing w:val="-12"/>
        </w:rPr>
        <w:t> </w:t>
      </w:r>
      <w:r>
        <w:rPr/>
        <w:t>Bengaluru</w:t>
      </w:r>
      <w:r>
        <w:rPr>
          <w:spacing w:val="-13"/>
        </w:rPr>
        <w:t> </w:t>
      </w:r>
      <w:r>
        <w:rPr/>
        <w:t>city.</w:t>
      </w:r>
      <w:r>
        <w:rPr>
          <w:spacing w:val="-12"/>
        </w:rPr>
        <w:t> </w:t>
      </w:r>
      <w:r>
        <w:rPr/>
        <w:t>The</w:t>
      </w:r>
      <w:r>
        <w:rPr>
          <w:spacing w:val="-13"/>
        </w:rPr>
        <w:t> </w:t>
      </w:r>
      <w:r>
        <w:rPr/>
        <w:t>existing</w:t>
      </w:r>
      <w:r>
        <w:rPr>
          <w:spacing w:val="-12"/>
        </w:rPr>
        <w:t> </w:t>
      </w:r>
      <w:r>
        <w:rPr/>
        <w:t>upscale</w:t>
      </w:r>
      <w:r>
        <w:rPr>
          <w:spacing w:val="-13"/>
        </w:rPr>
        <w:t> </w:t>
      </w:r>
      <w:r>
        <w:rPr/>
        <w:t>hotels</w:t>
      </w:r>
      <w:r>
        <w:rPr>
          <w:spacing w:val="-12"/>
        </w:rPr>
        <w:t> </w:t>
      </w:r>
      <w:r>
        <w:rPr/>
        <w:t>that</w:t>
      </w:r>
      <w:r>
        <w:rPr>
          <w:spacing w:val="-12"/>
        </w:rPr>
        <w:t> </w:t>
      </w:r>
      <w:r>
        <w:rPr/>
        <w:t>are</w:t>
      </w:r>
      <w:r>
        <w:rPr>
          <w:spacing w:val="-13"/>
        </w:rPr>
        <w:t> </w:t>
      </w:r>
      <w:r>
        <w:rPr/>
        <w:t>operational</w:t>
      </w:r>
      <w:r>
        <w:rPr>
          <w:spacing w:val="-11"/>
        </w:rPr>
        <w:t> </w:t>
      </w:r>
      <w:r>
        <w:rPr/>
        <w:t>across Bengaluru</w:t>
      </w:r>
      <w:r>
        <w:rPr>
          <w:spacing w:val="-15"/>
        </w:rPr>
        <w:t> </w:t>
      </w:r>
      <w:r>
        <w:rPr/>
        <w:t>have</w:t>
      </w:r>
      <w:r>
        <w:rPr>
          <w:spacing w:val="-15"/>
        </w:rPr>
        <w:t> </w:t>
      </w:r>
      <w:r>
        <w:rPr/>
        <w:t>achieved</w:t>
      </w:r>
      <w:r>
        <w:rPr>
          <w:spacing w:val="-14"/>
        </w:rPr>
        <w:t> </w:t>
      </w:r>
      <w:r>
        <w:rPr/>
        <w:t>ARRs</w:t>
      </w:r>
      <w:r>
        <w:rPr>
          <w:spacing w:val="-13"/>
        </w:rPr>
        <w:t> </w:t>
      </w:r>
      <w:r>
        <w:rPr/>
        <w:t>in</w:t>
      </w:r>
      <w:r>
        <w:rPr>
          <w:spacing w:val="-18"/>
        </w:rPr>
        <w:t> </w:t>
      </w:r>
      <w:r>
        <w:rPr/>
        <w:t>the</w:t>
      </w:r>
      <w:r>
        <w:rPr>
          <w:spacing w:val="-15"/>
        </w:rPr>
        <w:t> </w:t>
      </w:r>
      <w:r>
        <w:rPr/>
        <w:t>range</w:t>
      </w:r>
      <w:r>
        <w:rPr>
          <w:spacing w:val="-15"/>
        </w:rPr>
        <w:t> </w:t>
      </w:r>
      <w:r>
        <w:rPr/>
        <w:t>of</w:t>
      </w:r>
      <w:r>
        <w:rPr>
          <w:spacing w:val="-13"/>
        </w:rPr>
        <w:t> </w:t>
      </w:r>
      <w:r>
        <w:rPr/>
        <w:t>INR</w:t>
      </w:r>
      <w:r>
        <w:rPr>
          <w:spacing w:val="-17"/>
        </w:rPr>
        <w:t> </w:t>
      </w:r>
      <w:r>
        <w:rPr/>
        <w:t>11,800</w:t>
      </w:r>
      <w:r>
        <w:rPr>
          <w:spacing w:val="-13"/>
        </w:rPr>
        <w:t> </w:t>
      </w:r>
      <w:r>
        <w:rPr>
          <w:w w:val="105"/>
        </w:rPr>
        <w:t>–</w:t>
      </w:r>
      <w:r>
        <w:rPr>
          <w:spacing w:val="-18"/>
          <w:w w:val="105"/>
        </w:rPr>
        <w:t> </w:t>
      </w:r>
      <w:r>
        <w:rPr/>
        <w:t>12,500</w:t>
      </w:r>
      <w:r>
        <w:rPr>
          <w:spacing w:val="-15"/>
        </w:rPr>
        <w:t> </w:t>
      </w:r>
      <w:r>
        <w:rPr/>
        <w:t>per</w:t>
      </w:r>
      <w:r>
        <w:rPr>
          <w:spacing w:val="-15"/>
        </w:rPr>
        <w:t> </w:t>
      </w:r>
      <w:r>
        <w:rPr/>
        <w:t>room</w:t>
      </w:r>
      <w:r>
        <w:rPr>
          <w:spacing w:val="-15"/>
        </w:rPr>
        <w:t> </w:t>
      </w:r>
      <w:r>
        <w:rPr/>
        <w:t>per</w:t>
      </w:r>
      <w:r>
        <w:rPr>
          <w:spacing w:val="-15"/>
        </w:rPr>
        <w:t> </w:t>
      </w:r>
      <w:r>
        <w:rPr/>
        <w:t>night</w:t>
      </w:r>
      <w:r>
        <w:rPr>
          <w:spacing w:val="-14"/>
        </w:rPr>
        <w:t> </w:t>
      </w:r>
      <w:r>
        <w:rPr/>
        <w:t>and</w:t>
      </w:r>
      <w:r>
        <w:rPr>
          <w:spacing w:val="-14"/>
        </w:rPr>
        <w:t> </w:t>
      </w:r>
      <w:r>
        <w:rPr/>
        <w:t>occupancies in the range of 73.0 -</w:t>
      </w:r>
      <w:r>
        <w:rPr>
          <w:spacing w:val="-11"/>
        </w:rPr>
        <w:t> </w:t>
      </w:r>
      <w:r>
        <w:rPr/>
        <w:t>80.0%.</w:t>
      </w:r>
    </w:p>
    <w:p>
      <w:pPr>
        <w:pStyle w:val="BodyText"/>
        <w:rPr>
          <w:sz w:val="21"/>
        </w:rPr>
      </w:pPr>
    </w:p>
    <w:p>
      <w:pPr>
        <w:pStyle w:val="BodyText"/>
        <w:spacing w:line="321" w:lineRule="auto" w:before="1"/>
        <w:ind w:left="1227" w:right="674"/>
        <w:jc w:val="both"/>
      </w:pPr>
      <w:r>
        <w:rPr/>
        <w:t>Given the positioning &amp; location of the subject development, performance of competing hotels and development</w:t>
      </w:r>
      <w:r>
        <w:rPr>
          <w:spacing w:val="-49"/>
        </w:rPr>
        <w:t> </w:t>
      </w:r>
      <w:r>
        <w:rPr/>
        <w:t>mix</w:t>
      </w:r>
      <w:r>
        <w:rPr>
          <w:spacing w:val="-49"/>
        </w:rPr>
        <w:t> </w:t>
      </w:r>
      <w:r>
        <w:rPr/>
        <w:t>(part</w:t>
      </w:r>
      <w:r>
        <w:rPr>
          <w:spacing w:val="-48"/>
        </w:rPr>
        <w:t> </w:t>
      </w:r>
      <w:r>
        <w:rPr/>
        <w:t>of</w:t>
      </w:r>
      <w:r>
        <w:rPr>
          <w:spacing w:val="-49"/>
        </w:rPr>
        <w:t> </w:t>
      </w:r>
      <w:r>
        <w:rPr/>
        <w:t>a</w:t>
      </w:r>
      <w:r>
        <w:rPr>
          <w:spacing w:val="-49"/>
        </w:rPr>
        <w:t> </w:t>
      </w:r>
      <w:r>
        <w:rPr/>
        <w:t>larger</w:t>
      </w:r>
      <w:r>
        <w:rPr>
          <w:spacing w:val="-49"/>
        </w:rPr>
        <w:t> </w:t>
      </w:r>
      <w:r>
        <w:rPr/>
        <w:t>mixed-use</w:t>
      </w:r>
      <w:r>
        <w:rPr>
          <w:spacing w:val="-50"/>
        </w:rPr>
        <w:t> </w:t>
      </w:r>
      <w:r>
        <w:rPr/>
        <w:t>development)</w:t>
      </w:r>
      <w:r>
        <w:rPr>
          <w:spacing w:val="-48"/>
        </w:rPr>
        <w:t> </w:t>
      </w:r>
      <w:r>
        <w:rPr/>
        <w:t>etc.,</w:t>
      </w:r>
      <w:r>
        <w:rPr>
          <w:spacing w:val="-49"/>
        </w:rPr>
        <w:t> </w:t>
      </w:r>
      <w:r>
        <w:rPr/>
        <w:t>it</w:t>
      </w:r>
      <w:r>
        <w:rPr>
          <w:spacing w:val="-49"/>
        </w:rPr>
        <w:t> </w:t>
      </w:r>
      <w:r>
        <w:rPr/>
        <w:t>is</w:t>
      </w:r>
      <w:r>
        <w:rPr>
          <w:spacing w:val="-48"/>
        </w:rPr>
        <w:t> </w:t>
      </w:r>
      <w:r>
        <w:rPr/>
        <w:t>opined</w:t>
      </w:r>
      <w:r>
        <w:rPr>
          <w:spacing w:val="-49"/>
        </w:rPr>
        <w:t> </w:t>
      </w:r>
      <w:r>
        <w:rPr/>
        <w:t>that</w:t>
      </w:r>
      <w:r>
        <w:rPr>
          <w:spacing w:val="-48"/>
        </w:rPr>
        <w:t> </w:t>
      </w:r>
      <w:r>
        <w:rPr/>
        <w:t>ARRs</w:t>
      </w:r>
      <w:r>
        <w:rPr>
          <w:spacing w:val="-49"/>
        </w:rPr>
        <w:t> </w:t>
      </w:r>
      <w:r>
        <w:rPr/>
        <w:t>for</w:t>
      </w:r>
      <w:r>
        <w:rPr>
          <w:spacing w:val="-49"/>
        </w:rPr>
        <w:t> </w:t>
      </w:r>
      <w:r>
        <w:rPr/>
        <w:t>hotel</w:t>
      </w:r>
      <w:r>
        <w:rPr>
          <w:spacing w:val="-49"/>
        </w:rPr>
        <w:t> </w:t>
      </w:r>
      <w:r>
        <w:rPr/>
        <w:t>component in</w:t>
      </w:r>
      <w:r>
        <w:rPr>
          <w:spacing w:val="-18"/>
        </w:rPr>
        <w:t> </w:t>
      </w:r>
      <w:r>
        <w:rPr/>
        <w:t>the</w:t>
      </w:r>
      <w:r>
        <w:rPr>
          <w:spacing w:val="-17"/>
        </w:rPr>
        <w:t> </w:t>
      </w:r>
      <w:r>
        <w:rPr/>
        <w:t>subject</w:t>
      </w:r>
      <w:r>
        <w:rPr>
          <w:spacing w:val="-16"/>
        </w:rPr>
        <w:t> </w:t>
      </w:r>
      <w:r>
        <w:rPr/>
        <w:t>development</w:t>
      </w:r>
      <w:r>
        <w:rPr>
          <w:spacing w:val="-15"/>
        </w:rPr>
        <w:t> </w:t>
      </w:r>
      <w:r>
        <w:rPr/>
        <w:t>would</w:t>
      </w:r>
      <w:r>
        <w:rPr>
          <w:spacing w:val="-18"/>
        </w:rPr>
        <w:t> </w:t>
      </w:r>
      <w:r>
        <w:rPr/>
        <w:t>range</w:t>
      </w:r>
      <w:r>
        <w:rPr>
          <w:spacing w:val="-18"/>
        </w:rPr>
        <w:t> </w:t>
      </w:r>
      <w:r>
        <w:rPr/>
        <w:t>from</w:t>
      </w:r>
      <w:r>
        <w:rPr>
          <w:spacing w:val="-16"/>
        </w:rPr>
        <w:t> </w:t>
      </w:r>
      <w:r>
        <w:rPr/>
        <w:t>INR</w:t>
      </w:r>
      <w:r>
        <w:rPr>
          <w:spacing w:val="-17"/>
        </w:rPr>
        <w:t> </w:t>
      </w:r>
      <w:r>
        <w:rPr/>
        <w:t>10,000</w:t>
      </w:r>
      <w:r>
        <w:rPr>
          <w:spacing w:val="-17"/>
        </w:rPr>
        <w:t> </w:t>
      </w:r>
      <w:r>
        <w:rPr>
          <w:w w:val="105"/>
        </w:rPr>
        <w:t>–</w:t>
      </w:r>
      <w:r>
        <w:rPr>
          <w:spacing w:val="-19"/>
          <w:w w:val="105"/>
        </w:rPr>
        <w:t> </w:t>
      </w:r>
      <w:r>
        <w:rPr/>
        <w:t>INR</w:t>
      </w:r>
      <w:r>
        <w:rPr>
          <w:spacing w:val="-16"/>
        </w:rPr>
        <w:t> </w:t>
      </w:r>
      <w:r>
        <w:rPr/>
        <w:t>11,000</w:t>
      </w:r>
      <w:r>
        <w:rPr>
          <w:spacing w:val="-19"/>
        </w:rPr>
        <w:t> </w:t>
      </w:r>
      <w:r>
        <w:rPr/>
        <w:t>per</w:t>
      </w:r>
      <w:r>
        <w:rPr>
          <w:spacing w:val="-16"/>
        </w:rPr>
        <w:t> </w:t>
      </w:r>
      <w:r>
        <w:rPr/>
        <w:t>room</w:t>
      </w:r>
      <w:r>
        <w:rPr>
          <w:spacing w:val="-16"/>
        </w:rPr>
        <w:t> </w:t>
      </w:r>
      <w:r>
        <w:rPr/>
        <w:t>night</w:t>
      </w:r>
      <w:r>
        <w:rPr>
          <w:spacing w:val="-19"/>
        </w:rPr>
        <w:t> </w:t>
      </w:r>
      <w:r>
        <w:rPr/>
        <w:t>(viz.</w:t>
      </w:r>
      <w:r>
        <w:rPr>
          <w:spacing w:val="-16"/>
        </w:rPr>
        <w:t> </w:t>
      </w:r>
      <w:r>
        <w:rPr/>
        <w:t>approx.</w:t>
      </w:r>
      <w:r>
        <w:rPr>
          <w:spacing w:val="-15"/>
        </w:rPr>
        <w:t> </w:t>
      </w:r>
      <w:r>
        <w:rPr/>
        <w:t>INR 10,500</w:t>
      </w:r>
      <w:r>
        <w:rPr>
          <w:spacing w:val="-29"/>
        </w:rPr>
        <w:t> </w:t>
      </w:r>
      <w:r>
        <w:rPr/>
        <w:t>per</w:t>
      </w:r>
      <w:r>
        <w:rPr>
          <w:spacing w:val="-29"/>
        </w:rPr>
        <w:t> </w:t>
      </w:r>
      <w:r>
        <w:rPr/>
        <w:t>room</w:t>
      </w:r>
      <w:r>
        <w:rPr>
          <w:spacing w:val="-28"/>
        </w:rPr>
        <w:t> </w:t>
      </w:r>
      <w:r>
        <w:rPr/>
        <w:t>night).</w:t>
      </w:r>
      <w:r>
        <w:rPr>
          <w:spacing w:val="-30"/>
        </w:rPr>
        <w:t> </w:t>
      </w:r>
      <w:r>
        <w:rPr/>
        <w:t>Additionally,</w:t>
      </w:r>
      <w:r>
        <w:rPr>
          <w:spacing w:val="-28"/>
        </w:rPr>
        <w:t> </w:t>
      </w:r>
      <w:r>
        <w:rPr/>
        <w:t>the</w:t>
      </w:r>
      <w:r>
        <w:rPr>
          <w:spacing w:val="-30"/>
        </w:rPr>
        <w:t> </w:t>
      </w:r>
      <w:r>
        <w:rPr/>
        <w:t>stabilized</w:t>
      </w:r>
      <w:r>
        <w:rPr>
          <w:spacing w:val="-28"/>
        </w:rPr>
        <w:t> </w:t>
      </w:r>
      <w:r>
        <w:rPr/>
        <w:t>occupancy</w:t>
      </w:r>
      <w:r>
        <w:rPr>
          <w:spacing w:val="-28"/>
        </w:rPr>
        <w:t> </w:t>
      </w:r>
      <w:r>
        <w:rPr/>
        <w:t>for</w:t>
      </w:r>
      <w:r>
        <w:rPr>
          <w:spacing w:val="-29"/>
        </w:rPr>
        <w:t> </w:t>
      </w:r>
      <w:r>
        <w:rPr/>
        <w:t>the</w:t>
      </w:r>
      <w:r>
        <w:rPr>
          <w:spacing w:val="-29"/>
        </w:rPr>
        <w:t> </w:t>
      </w:r>
      <w:r>
        <w:rPr/>
        <w:t>subject</w:t>
      </w:r>
      <w:r>
        <w:rPr>
          <w:spacing w:val="-28"/>
        </w:rPr>
        <w:t> </w:t>
      </w:r>
      <w:r>
        <w:rPr/>
        <w:t>development</w:t>
      </w:r>
      <w:r>
        <w:rPr>
          <w:spacing w:val="-29"/>
        </w:rPr>
        <w:t> </w:t>
      </w:r>
      <w:r>
        <w:rPr/>
        <w:t>is</w:t>
      </w:r>
      <w:r>
        <w:rPr>
          <w:spacing w:val="-29"/>
        </w:rPr>
        <w:t> </w:t>
      </w:r>
      <w:r>
        <w:rPr/>
        <w:t>opined</w:t>
      </w:r>
      <w:r>
        <w:rPr>
          <w:spacing w:val="-28"/>
        </w:rPr>
        <w:t> </w:t>
      </w:r>
      <w:r>
        <w:rPr/>
        <w:t>to be 70%, 2.5 years from the year of operation</w:t>
      </w:r>
      <w:r>
        <w:rPr>
          <w:spacing w:val="-42"/>
        </w:rPr>
        <w:t> </w:t>
      </w:r>
      <w:r>
        <w:rPr/>
        <w:t>commencement.</w:t>
      </w:r>
    </w:p>
    <w:p>
      <w:pPr>
        <w:spacing w:after="0" w:line="321" w:lineRule="auto"/>
        <w:jc w:val="both"/>
        <w:sectPr>
          <w:pgSz w:w="11910" w:h="16840"/>
          <w:pgMar w:header="720" w:footer="862" w:top="1660" w:bottom="1060" w:left="40" w:right="40"/>
        </w:sectPr>
      </w:pPr>
    </w:p>
    <w:p>
      <w:pPr>
        <w:pStyle w:val="BodyText"/>
        <w:spacing w:before="7"/>
        <w:rPr>
          <w:sz w:val="9"/>
        </w:rPr>
      </w:pPr>
    </w:p>
    <w:p>
      <w:pPr>
        <w:pStyle w:val="ListParagraph"/>
        <w:numPr>
          <w:ilvl w:val="1"/>
          <w:numId w:val="14"/>
        </w:numPr>
        <w:tabs>
          <w:tab w:pos="1257" w:val="left" w:leader="none"/>
        </w:tabs>
        <w:spacing w:line="240" w:lineRule="auto" w:before="106" w:after="0"/>
        <w:ind w:left="1256" w:right="0" w:hanging="577"/>
        <w:jc w:val="left"/>
        <w:rPr>
          <w:color w:val="1F6647"/>
          <w:sz w:val="22"/>
        </w:rPr>
      </w:pPr>
      <w:bookmarkStart w:name="_bookmark337" w:id="657"/>
      <w:bookmarkEnd w:id="657"/>
      <w:r>
        <w:rPr/>
      </w:r>
      <w:bookmarkStart w:name="_bookmark337" w:id="658"/>
      <w:bookmarkEnd w:id="658"/>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BodyText"/>
        <w:spacing w:before="3"/>
        <w:rPr>
          <w:sz w:val="28"/>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38" w:id="659"/>
      <w:bookmarkEnd w:id="659"/>
      <w:r>
        <w:rPr/>
      </w:r>
      <w:bookmarkStart w:name="_bookmark338" w:id="660"/>
      <w:bookmarkEnd w:id="660"/>
      <w:r>
        <w:rPr>
          <w:color w:val="1F664D"/>
          <w:w w:val="105"/>
          <w:sz w:val="22"/>
        </w:rPr>
        <w:t>A</w:t>
      </w:r>
      <w:r>
        <w:rPr>
          <w:color w:val="1F664D"/>
          <w:w w:val="105"/>
          <w:sz w:val="22"/>
        </w:rPr>
        <w:t>dopted</w:t>
      </w:r>
      <w:r>
        <w:rPr>
          <w:color w:val="1F664D"/>
          <w:spacing w:val="-3"/>
          <w:w w:val="105"/>
          <w:sz w:val="22"/>
        </w:rPr>
        <w:t> </w:t>
      </w:r>
      <w:r>
        <w:rPr>
          <w:color w:val="1F664D"/>
          <w:w w:val="105"/>
          <w:sz w:val="22"/>
        </w:rPr>
        <w:t>Methodology</w:t>
      </w:r>
    </w:p>
    <w:p>
      <w:pPr>
        <w:pStyle w:val="BodyText"/>
        <w:spacing w:line="321" w:lineRule="auto" w:before="208"/>
        <w:ind w:left="1227" w:right="673"/>
        <w:jc w:val="both"/>
      </w:pPr>
      <w:r>
        <w:rPr/>
        <w:t>We</w:t>
      </w:r>
      <w:r>
        <w:rPr>
          <w:spacing w:val="-27"/>
        </w:rPr>
        <w:t> </w:t>
      </w:r>
      <w:r>
        <w:rPr/>
        <w:t>acknowledge</w:t>
      </w:r>
      <w:r>
        <w:rPr>
          <w:spacing w:val="-27"/>
        </w:rPr>
        <w:t> </w:t>
      </w:r>
      <w:r>
        <w:rPr/>
        <w:t>that</w:t>
      </w:r>
      <w:r>
        <w:rPr>
          <w:spacing w:val="-27"/>
        </w:rPr>
        <w:t> </w:t>
      </w:r>
      <w:r>
        <w:rPr/>
        <w:t>the</w:t>
      </w:r>
      <w:r>
        <w:rPr>
          <w:spacing w:val="-27"/>
        </w:rPr>
        <w:t> </w:t>
      </w:r>
      <w:r>
        <w:rPr/>
        <w:t>approaches</w:t>
      </w:r>
      <w:r>
        <w:rPr>
          <w:spacing w:val="-26"/>
        </w:rPr>
        <w:t> </w:t>
      </w:r>
      <w:r>
        <w:rPr/>
        <w:t>to</w:t>
      </w:r>
      <w:r>
        <w:rPr>
          <w:spacing w:val="-27"/>
        </w:rPr>
        <w:t> </w:t>
      </w:r>
      <w:r>
        <w:rPr/>
        <w:t>valuation</w:t>
      </w:r>
      <w:r>
        <w:rPr>
          <w:spacing w:val="-25"/>
        </w:rPr>
        <w:t> </w:t>
      </w:r>
      <w:r>
        <w:rPr/>
        <w:t>differ</w:t>
      </w:r>
      <w:r>
        <w:rPr>
          <w:spacing w:val="-27"/>
        </w:rPr>
        <w:t> </w:t>
      </w:r>
      <w:r>
        <w:rPr/>
        <w:t>considerably</w:t>
      </w:r>
      <w:r>
        <w:rPr>
          <w:spacing w:val="-27"/>
        </w:rPr>
        <w:t> </w:t>
      </w:r>
      <w:r>
        <w:rPr/>
        <w:t>and</w:t>
      </w:r>
      <w:r>
        <w:rPr>
          <w:spacing w:val="-26"/>
        </w:rPr>
        <w:t> </w:t>
      </w:r>
      <w:r>
        <w:rPr/>
        <w:t>that</w:t>
      </w:r>
      <w:r>
        <w:rPr>
          <w:spacing w:val="-27"/>
        </w:rPr>
        <w:t> </w:t>
      </w:r>
      <w:r>
        <w:rPr/>
        <w:t>for</w:t>
      </w:r>
      <w:r>
        <w:rPr>
          <w:spacing w:val="-27"/>
        </w:rPr>
        <w:t> </w:t>
      </w:r>
      <w:r>
        <w:rPr/>
        <w:t>a</w:t>
      </w:r>
      <w:r>
        <w:rPr>
          <w:spacing w:val="-25"/>
        </w:rPr>
        <w:t> </w:t>
      </w:r>
      <w:r>
        <w:rPr/>
        <w:t>particular</w:t>
      </w:r>
      <w:r>
        <w:rPr>
          <w:spacing w:val="-26"/>
        </w:rPr>
        <w:t> </w:t>
      </w:r>
      <w:r>
        <w:rPr/>
        <w:t>purpose, alternative</w:t>
      </w:r>
      <w:r>
        <w:rPr>
          <w:spacing w:val="-20"/>
        </w:rPr>
        <w:t> </w:t>
      </w:r>
      <w:r>
        <w:rPr/>
        <w:t>approaches</w:t>
      </w:r>
      <w:r>
        <w:rPr>
          <w:spacing w:val="-18"/>
        </w:rPr>
        <w:t> </w:t>
      </w:r>
      <w:r>
        <w:rPr/>
        <w:t>to</w:t>
      </w:r>
      <w:r>
        <w:rPr>
          <w:spacing w:val="-19"/>
        </w:rPr>
        <w:t> </w:t>
      </w:r>
      <w:r>
        <w:rPr/>
        <w:t>the</w:t>
      </w:r>
      <w:r>
        <w:rPr>
          <w:spacing w:val="-19"/>
        </w:rPr>
        <w:t> </w:t>
      </w:r>
      <w:r>
        <w:rPr/>
        <w:t>valuation</w:t>
      </w:r>
      <w:r>
        <w:rPr>
          <w:spacing w:val="-18"/>
        </w:rPr>
        <w:t> </w:t>
      </w:r>
      <w:r>
        <w:rPr/>
        <w:t>can</w:t>
      </w:r>
      <w:r>
        <w:rPr>
          <w:spacing w:val="-19"/>
        </w:rPr>
        <w:t> </w:t>
      </w:r>
      <w:r>
        <w:rPr/>
        <w:t>be</w:t>
      </w:r>
      <w:r>
        <w:rPr>
          <w:spacing w:val="-20"/>
        </w:rPr>
        <w:t> </w:t>
      </w:r>
      <w:r>
        <w:rPr/>
        <w:t>utilized</w:t>
      </w:r>
      <w:r>
        <w:rPr>
          <w:spacing w:val="-18"/>
        </w:rPr>
        <w:t> </w:t>
      </w:r>
      <w:r>
        <w:rPr/>
        <w:t>subject</w:t>
      </w:r>
      <w:r>
        <w:rPr>
          <w:spacing w:val="-19"/>
        </w:rPr>
        <w:t> </w:t>
      </w:r>
      <w:r>
        <w:rPr/>
        <w:t>to</w:t>
      </w:r>
      <w:r>
        <w:rPr>
          <w:spacing w:val="-19"/>
        </w:rPr>
        <w:t> </w:t>
      </w:r>
      <w:r>
        <w:rPr/>
        <w:t>the</w:t>
      </w:r>
      <w:r>
        <w:rPr>
          <w:spacing w:val="-19"/>
        </w:rPr>
        <w:t> </w:t>
      </w:r>
      <w:r>
        <w:rPr/>
        <w:t>Client’s</w:t>
      </w:r>
      <w:r>
        <w:rPr>
          <w:spacing w:val="-19"/>
        </w:rPr>
        <w:t> </w:t>
      </w:r>
      <w:r>
        <w:rPr/>
        <w:t>consultations</w:t>
      </w:r>
      <w:r>
        <w:rPr>
          <w:spacing w:val="-19"/>
        </w:rPr>
        <w:t> </w:t>
      </w:r>
      <w:r>
        <w:rPr/>
        <w:t>and</w:t>
      </w:r>
      <w:r>
        <w:rPr>
          <w:spacing w:val="-20"/>
        </w:rPr>
        <w:t> </w:t>
      </w:r>
      <w:r>
        <w:rPr/>
        <w:t>giving due</w:t>
      </w:r>
      <w:r>
        <w:rPr>
          <w:spacing w:val="-37"/>
        </w:rPr>
        <w:t> </w:t>
      </w:r>
      <w:r>
        <w:rPr/>
        <w:t>consideration</w:t>
      </w:r>
      <w:r>
        <w:rPr>
          <w:spacing w:val="-36"/>
        </w:rPr>
        <w:t> </w:t>
      </w:r>
      <w:r>
        <w:rPr/>
        <w:t>to</w:t>
      </w:r>
      <w:r>
        <w:rPr>
          <w:spacing w:val="-38"/>
        </w:rPr>
        <w:t> </w:t>
      </w:r>
      <w:r>
        <w:rPr/>
        <w:t>the</w:t>
      </w:r>
      <w:r>
        <w:rPr>
          <w:spacing w:val="-37"/>
        </w:rPr>
        <w:t> </w:t>
      </w:r>
      <w:r>
        <w:rPr/>
        <w:t>Client’s</w:t>
      </w:r>
      <w:r>
        <w:rPr>
          <w:spacing w:val="-35"/>
        </w:rPr>
        <w:t> </w:t>
      </w:r>
      <w:r>
        <w:rPr/>
        <w:t>requirements.</w:t>
      </w:r>
      <w:r>
        <w:rPr>
          <w:spacing w:val="-38"/>
        </w:rPr>
        <w:t> </w:t>
      </w:r>
      <w:r>
        <w:rPr/>
        <w:t>Considering</w:t>
      </w:r>
      <w:r>
        <w:rPr>
          <w:spacing w:val="-36"/>
        </w:rPr>
        <w:t> </w:t>
      </w:r>
      <w:r>
        <w:rPr/>
        <w:t>the</w:t>
      </w:r>
      <w:r>
        <w:rPr>
          <w:spacing w:val="-37"/>
        </w:rPr>
        <w:t> </w:t>
      </w:r>
      <w:r>
        <w:rPr/>
        <w:t>objective</w:t>
      </w:r>
      <w:r>
        <w:rPr>
          <w:spacing w:val="-36"/>
        </w:rPr>
        <w:t> </w:t>
      </w:r>
      <w:r>
        <w:rPr/>
        <w:t>of</w:t>
      </w:r>
      <w:r>
        <w:rPr>
          <w:spacing w:val="-37"/>
        </w:rPr>
        <w:t> </w:t>
      </w:r>
      <w:r>
        <w:rPr/>
        <w:t>this</w:t>
      </w:r>
      <w:r>
        <w:rPr>
          <w:spacing w:val="-36"/>
        </w:rPr>
        <w:t> </w:t>
      </w:r>
      <w:r>
        <w:rPr/>
        <w:t>exercise</w:t>
      </w:r>
      <w:r>
        <w:rPr>
          <w:spacing w:val="-36"/>
        </w:rPr>
        <w:t> </w:t>
      </w:r>
      <w:r>
        <w:rPr/>
        <w:t>and</w:t>
      </w:r>
      <w:r>
        <w:rPr>
          <w:spacing w:val="-37"/>
        </w:rPr>
        <w:t> </w:t>
      </w:r>
      <w:r>
        <w:rPr/>
        <w:t>the</w:t>
      </w:r>
      <w:r>
        <w:rPr>
          <w:spacing w:val="-37"/>
        </w:rPr>
        <w:t> </w:t>
      </w:r>
      <w:r>
        <w:rPr/>
        <w:t>nature of</w:t>
      </w:r>
      <w:r>
        <w:rPr>
          <w:spacing w:val="-34"/>
        </w:rPr>
        <w:t> </w:t>
      </w:r>
      <w:r>
        <w:rPr/>
        <w:t>asset</w:t>
      </w:r>
      <w:r>
        <w:rPr>
          <w:spacing w:val="-34"/>
        </w:rPr>
        <w:t> </w:t>
      </w:r>
      <w:r>
        <w:rPr/>
        <w:t>involved,</w:t>
      </w:r>
      <w:r>
        <w:rPr>
          <w:spacing w:val="-34"/>
        </w:rPr>
        <w:t> </w:t>
      </w:r>
      <w:r>
        <w:rPr/>
        <w:t>the</w:t>
      </w:r>
      <w:r>
        <w:rPr>
          <w:spacing w:val="-34"/>
        </w:rPr>
        <w:t> </w:t>
      </w:r>
      <w:r>
        <w:rPr/>
        <w:t>value</w:t>
      </w:r>
      <w:r>
        <w:rPr>
          <w:spacing w:val="-35"/>
        </w:rPr>
        <w:t> </w:t>
      </w:r>
      <w:r>
        <w:rPr/>
        <w:t>of</w:t>
      </w:r>
      <w:r>
        <w:rPr>
          <w:spacing w:val="-33"/>
        </w:rPr>
        <w:t> </w:t>
      </w:r>
      <w:r>
        <w:rPr/>
        <w:t>the</w:t>
      </w:r>
      <w:r>
        <w:rPr>
          <w:spacing w:val="-35"/>
        </w:rPr>
        <w:t> </w:t>
      </w:r>
      <w:r>
        <w:rPr/>
        <w:t>subject</w:t>
      </w:r>
      <w:r>
        <w:rPr>
          <w:spacing w:val="-35"/>
        </w:rPr>
        <w:t> </w:t>
      </w:r>
      <w:r>
        <w:rPr/>
        <w:t>property</w:t>
      </w:r>
      <w:r>
        <w:rPr>
          <w:spacing w:val="-35"/>
        </w:rPr>
        <w:t> </w:t>
      </w:r>
      <w:r>
        <w:rPr/>
        <w:t>has</w:t>
      </w:r>
      <w:r>
        <w:rPr>
          <w:spacing w:val="-33"/>
        </w:rPr>
        <w:t> </w:t>
      </w:r>
      <w:r>
        <w:rPr/>
        <w:t>been</w:t>
      </w:r>
      <w:r>
        <w:rPr>
          <w:spacing w:val="-34"/>
        </w:rPr>
        <w:t> </w:t>
      </w:r>
      <w:r>
        <w:rPr/>
        <w:t>assessed</w:t>
      </w:r>
      <w:r>
        <w:rPr>
          <w:spacing w:val="-34"/>
        </w:rPr>
        <w:t> </w:t>
      </w:r>
      <w:r>
        <w:rPr/>
        <w:t>through</w:t>
      </w:r>
      <w:r>
        <w:rPr>
          <w:spacing w:val="-34"/>
        </w:rPr>
        <w:t> </w:t>
      </w:r>
      <w:r>
        <w:rPr/>
        <w:t>the</w:t>
      </w:r>
      <w:r>
        <w:rPr>
          <w:spacing w:val="-33"/>
        </w:rPr>
        <w:t> </w:t>
      </w:r>
      <w:r>
        <w:rPr/>
        <w:t>following</w:t>
      </w:r>
      <w:r>
        <w:rPr>
          <w:spacing w:val="-34"/>
        </w:rPr>
        <w:t> </w:t>
      </w:r>
      <w:r>
        <w:rPr/>
        <w:t>approaches:</w:t>
      </w:r>
    </w:p>
    <w:p>
      <w:pPr>
        <w:pStyle w:val="BodyText"/>
        <w:spacing w:before="4"/>
        <w:rPr>
          <w:sz w:val="20"/>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31"/>
        <w:gridCol w:w="6954"/>
      </w:tblGrid>
      <w:tr>
        <w:trPr>
          <w:trHeight w:val="647" w:hRule="atLeast"/>
        </w:trPr>
        <w:tc>
          <w:tcPr>
            <w:tcW w:w="10485" w:type="dxa"/>
            <w:gridSpan w:val="2"/>
            <w:tcBorders>
              <w:top w:val="single" w:sz="6" w:space="0" w:color="69BD28"/>
            </w:tcBorders>
            <w:shd w:val="clear" w:color="auto" w:fill="006A4D"/>
          </w:tcPr>
          <w:p>
            <w:pPr>
              <w:pStyle w:val="TableParagraph"/>
              <w:spacing w:before="10"/>
              <w:jc w:val="left"/>
              <w:rPr>
                <w:sz w:val="18"/>
              </w:rPr>
            </w:pPr>
          </w:p>
          <w:p>
            <w:pPr>
              <w:pStyle w:val="TableParagraph"/>
              <w:tabs>
                <w:tab w:pos="6198" w:val="left" w:leader="none"/>
              </w:tabs>
              <w:ind w:left="1279"/>
              <w:jc w:val="left"/>
              <w:rPr>
                <w:b/>
                <w:sz w:val="18"/>
              </w:rPr>
            </w:pPr>
            <w:r>
              <w:rPr>
                <w:b/>
                <w:color w:val="FFFFFF"/>
                <w:w w:val="105"/>
                <w:sz w:val="18"/>
              </w:rPr>
              <w:t>Particulars</w:t>
              <w:tab/>
              <w:t>Completed Blocks</w:t>
            </w:r>
          </w:p>
        </w:tc>
      </w:tr>
      <w:tr>
        <w:trPr>
          <w:trHeight w:val="791" w:hRule="atLeast"/>
        </w:trPr>
        <w:tc>
          <w:tcPr>
            <w:tcW w:w="3531" w:type="dxa"/>
            <w:shd w:val="clear" w:color="auto" w:fill="69BD28"/>
          </w:tcPr>
          <w:p>
            <w:pPr>
              <w:pStyle w:val="TableParagraph"/>
              <w:spacing w:before="1"/>
              <w:jc w:val="left"/>
              <w:rPr>
                <w:sz w:val="25"/>
              </w:rPr>
            </w:pPr>
          </w:p>
          <w:p>
            <w:pPr>
              <w:pStyle w:val="TableParagraph"/>
              <w:ind w:left="703"/>
              <w:jc w:val="left"/>
              <w:rPr>
                <w:b/>
                <w:sz w:val="18"/>
              </w:rPr>
            </w:pPr>
            <w:r>
              <w:rPr>
                <w:b/>
                <w:color w:val="FFFFFF"/>
                <w:w w:val="110"/>
                <w:sz w:val="18"/>
              </w:rPr>
              <w:t>Valuation Methodology</w:t>
            </w:r>
          </w:p>
        </w:tc>
        <w:tc>
          <w:tcPr>
            <w:tcW w:w="6954" w:type="dxa"/>
            <w:tcBorders>
              <w:top w:val="single" w:sz="6" w:space="0" w:color="69BD28"/>
              <w:bottom w:val="single" w:sz="6" w:space="0" w:color="69BD28"/>
            </w:tcBorders>
          </w:tcPr>
          <w:p>
            <w:pPr>
              <w:pStyle w:val="TableParagraph"/>
              <w:spacing w:line="336" w:lineRule="exact" w:before="23"/>
              <w:ind w:left="1978" w:hanging="1616"/>
              <w:jc w:val="left"/>
              <w:rPr>
                <w:sz w:val="18"/>
              </w:rPr>
            </w:pPr>
            <w:r>
              <w:rPr>
                <w:sz w:val="18"/>
              </w:rPr>
              <w:t>Office</w:t>
            </w:r>
            <w:r>
              <w:rPr>
                <w:spacing w:val="-15"/>
                <w:sz w:val="18"/>
              </w:rPr>
              <w:t> </w:t>
            </w:r>
            <w:r>
              <w:rPr>
                <w:sz w:val="18"/>
              </w:rPr>
              <w:t>&amp;</w:t>
            </w:r>
            <w:r>
              <w:rPr>
                <w:spacing w:val="-17"/>
                <w:sz w:val="18"/>
              </w:rPr>
              <w:t> </w:t>
            </w:r>
            <w:r>
              <w:rPr>
                <w:sz w:val="18"/>
              </w:rPr>
              <w:t>Retail</w:t>
            </w:r>
            <w:r>
              <w:rPr>
                <w:spacing w:val="-15"/>
                <w:sz w:val="18"/>
              </w:rPr>
              <w:t> </w:t>
            </w:r>
            <w:r>
              <w:rPr>
                <w:sz w:val="18"/>
              </w:rPr>
              <w:t>-</w:t>
            </w:r>
            <w:r>
              <w:rPr>
                <w:spacing w:val="-16"/>
                <w:sz w:val="18"/>
              </w:rPr>
              <w:t> </w:t>
            </w:r>
            <w:r>
              <w:rPr>
                <w:sz w:val="18"/>
              </w:rPr>
              <w:t>Discounted</w:t>
            </w:r>
            <w:r>
              <w:rPr>
                <w:spacing w:val="-16"/>
                <w:sz w:val="18"/>
              </w:rPr>
              <w:t> </w:t>
            </w:r>
            <w:r>
              <w:rPr>
                <w:sz w:val="18"/>
              </w:rPr>
              <w:t>Cash</w:t>
            </w:r>
            <w:r>
              <w:rPr>
                <w:spacing w:val="-16"/>
                <w:sz w:val="18"/>
              </w:rPr>
              <w:t> </w:t>
            </w:r>
            <w:r>
              <w:rPr>
                <w:sz w:val="18"/>
              </w:rPr>
              <w:t>Flow</w:t>
            </w:r>
            <w:r>
              <w:rPr>
                <w:spacing w:val="-16"/>
                <w:sz w:val="18"/>
              </w:rPr>
              <w:t> </w:t>
            </w:r>
            <w:r>
              <w:rPr>
                <w:sz w:val="18"/>
              </w:rPr>
              <w:t>Method</w:t>
            </w:r>
            <w:r>
              <w:rPr>
                <w:spacing w:val="-16"/>
                <w:sz w:val="18"/>
              </w:rPr>
              <w:t> </w:t>
            </w:r>
            <w:r>
              <w:rPr>
                <w:sz w:val="18"/>
              </w:rPr>
              <w:t>(using</w:t>
            </w:r>
            <w:r>
              <w:rPr>
                <w:spacing w:val="-16"/>
                <w:sz w:val="18"/>
              </w:rPr>
              <w:t> </w:t>
            </w:r>
            <w:r>
              <w:rPr>
                <w:sz w:val="18"/>
              </w:rPr>
              <w:t>rent</w:t>
            </w:r>
            <w:r>
              <w:rPr>
                <w:spacing w:val="-17"/>
                <w:sz w:val="18"/>
              </w:rPr>
              <w:t> </w:t>
            </w:r>
            <w:r>
              <w:rPr>
                <w:sz w:val="18"/>
              </w:rPr>
              <w:t>reversion</w:t>
            </w:r>
            <w:r>
              <w:rPr>
                <w:spacing w:val="-16"/>
                <w:sz w:val="18"/>
              </w:rPr>
              <w:t> </w:t>
            </w:r>
            <w:r>
              <w:rPr>
                <w:sz w:val="18"/>
              </w:rPr>
              <w:t>approach) Hotel - Discounted Cash Flow</w:t>
            </w:r>
            <w:r>
              <w:rPr>
                <w:spacing w:val="-14"/>
                <w:sz w:val="18"/>
              </w:rPr>
              <w:t> </w:t>
            </w:r>
            <w:r>
              <w:rPr>
                <w:sz w:val="18"/>
              </w:rPr>
              <w:t>Method</w:t>
            </w:r>
          </w:p>
        </w:tc>
      </w:tr>
    </w:tbl>
    <w:p>
      <w:pPr>
        <w:pStyle w:val="BodyText"/>
        <w:rPr>
          <w:sz w:val="21"/>
        </w:rPr>
      </w:pPr>
    </w:p>
    <w:p>
      <w:pPr>
        <w:pStyle w:val="BodyText"/>
        <w:spacing w:line="321" w:lineRule="auto"/>
        <w:ind w:left="1220" w:right="675"/>
        <w:jc w:val="both"/>
      </w:pPr>
      <w:r>
        <w:rPr/>
        <w:t>The</w:t>
      </w:r>
      <w:r>
        <w:rPr>
          <w:spacing w:val="-23"/>
        </w:rPr>
        <w:t> </w:t>
      </w:r>
      <w:r>
        <w:rPr/>
        <w:t>sections</w:t>
      </w:r>
      <w:r>
        <w:rPr>
          <w:spacing w:val="-22"/>
        </w:rPr>
        <w:t> </w:t>
      </w:r>
      <w:r>
        <w:rPr/>
        <w:t>below</w:t>
      </w:r>
      <w:r>
        <w:rPr>
          <w:spacing w:val="-21"/>
        </w:rPr>
        <w:t> </w:t>
      </w:r>
      <w:r>
        <w:rPr/>
        <w:t>highlight</w:t>
      </w:r>
      <w:r>
        <w:rPr>
          <w:spacing w:val="-23"/>
        </w:rPr>
        <w:t> </w:t>
      </w:r>
      <w:r>
        <w:rPr/>
        <w:t>detailed</w:t>
      </w:r>
      <w:r>
        <w:rPr>
          <w:spacing w:val="-21"/>
        </w:rPr>
        <w:t> </w:t>
      </w:r>
      <w:r>
        <w:rPr/>
        <w:t>valuation</w:t>
      </w:r>
      <w:r>
        <w:rPr>
          <w:spacing w:val="-22"/>
        </w:rPr>
        <w:t> </w:t>
      </w:r>
      <w:r>
        <w:rPr/>
        <w:t>workings</w:t>
      </w:r>
      <w:r>
        <w:rPr>
          <w:spacing w:val="-21"/>
        </w:rPr>
        <w:t> </w:t>
      </w:r>
      <w:r>
        <w:rPr/>
        <w:t>for</w:t>
      </w:r>
      <w:r>
        <w:rPr>
          <w:spacing w:val="-22"/>
        </w:rPr>
        <w:t> </w:t>
      </w:r>
      <w:r>
        <w:rPr/>
        <w:t>the</w:t>
      </w:r>
      <w:r>
        <w:rPr>
          <w:spacing w:val="-20"/>
        </w:rPr>
        <w:t> </w:t>
      </w:r>
      <w:r>
        <w:rPr/>
        <w:t>subject</w:t>
      </w:r>
      <w:r>
        <w:rPr>
          <w:spacing w:val="-22"/>
        </w:rPr>
        <w:t> </w:t>
      </w:r>
      <w:r>
        <w:rPr/>
        <w:t>property.</w:t>
      </w:r>
      <w:r>
        <w:rPr>
          <w:spacing w:val="-22"/>
        </w:rPr>
        <w:t> </w:t>
      </w:r>
      <w:r>
        <w:rPr/>
        <w:t>Please</w:t>
      </w:r>
      <w:r>
        <w:rPr>
          <w:spacing w:val="-23"/>
        </w:rPr>
        <w:t> </w:t>
      </w:r>
      <w:r>
        <w:rPr/>
        <w:t>note</w:t>
      </w:r>
      <w:r>
        <w:rPr>
          <w:spacing w:val="-21"/>
        </w:rPr>
        <w:t> </w:t>
      </w:r>
      <w:r>
        <w:rPr/>
        <w:t>that</w:t>
      </w:r>
      <w:r>
        <w:rPr>
          <w:spacing w:val="-23"/>
        </w:rPr>
        <w:t> </w:t>
      </w:r>
      <w:r>
        <w:rPr/>
        <w:t>the assumptions/</w:t>
      </w:r>
      <w:r>
        <w:rPr>
          <w:spacing w:val="-30"/>
        </w:rPr>
        <w:t> </w:t>
      </w:r>
      <w:r>
        <w:rPr/>
        <w:t>opinions</w:t>
      </w:r>
      <w:r>
        <w:rPr>
          <w:spacing w:val="-29"/>
        </w:rPr>
        <w:t> </w:t>
      </w:r>
      <w:r>
        <w:rPr/>
        <w:t>highlighted</w:t>
      </w:r>
      <w:r>
        <w:rPr>
          <w:spacing w:val="-29"/>
        </w:rPr>
        <w:t> </w:t>
      </w:r>
      <w:r>
        <w:rPr/>
        <w:t>in</w:t>
      </w:r>
      <w:r>
        <w:rPr>
          <w:spacing w:val="-30"/>
        </w:rPr>
        <w:t> </w:t>
      </w:r>
      <w:r>
        <w:rPr/>
        <w:t>the</w:t>
      </w:r>
      <w:r>
        <w:rPr>
          <w:spacing w:val="-30"/>
        </w:rPr>
        <w:t> </w:t>
      </w:r>
      <w:r>
        <w:rPr/>
        <w:t>subsequent</w:t>
      </w:r>
      <w:r>
        <w:rPr>
          <w:spacing w:val="-29"/>
        </w:rPr>
        <w:t> </w:t>
      </w:r>
      <w:r>
        <w:rPr/>
        <w:t>sections</w:t>
      </w:r>
      <w:r>
        <w:rPr>
          <w:spacing w:val="-29"/>
        </w:rPr>
        <w:t> </w:t>
      </w:r>
      <w:r>
        <w:rPr/>
        <w:t>are</w:t>
      </w:r>
      <w:r>
        <w:rPr>
          <w:spacing w:val="-30"/>
        </w:rPr>
        <w:t> </w:t>
      </w:r>
      <w:r>
        <w:rPr/>
        <w:t>to</w:t>
      </w:r>
      <w:r>
        <w:rPr>
          <w:spacing w:val="-29"/>
        </w:rPr>
        <w:t> </w:t>
      </w:r>
      <w:r>
        <w:rPr/>
        <w:t>be</w:t>
      </w:r>
      <w:r>
        <w:rPr>
          <w:spacing w:val="-30"/>
        </w:rPr>
        <w:t> </w:t>
      </w:r>
      <w:r>
        <w:rPr/>
        <w:t>read</w:t>
      </w:r>
      <w:r>
        <w:rPr>
          <w:spacing w:val="-29"/>
        </w:rPr>
        <w:t> </w:t>
      </w:r>
      <w:r>
        <w:rPr/>
        <w:t>in</w:t>
      </w:r>
      <w:r>
        <w:rPr>
          <w:spacing w:val="-30"/>
        </w:rPr>
        <w:t> </w:t>
      </w:r>
      <w:r>
        <w:rPr/>
        <w:t>conjunction</w:t>
      </w:r>
      <w:r>
        <w:rPr>
          <w:spacing w:val="-29"/>
        </w:rPr>
        <w:t> </w:t>
      </w:r>
      <w:r>
        <w:rPr/>
        <w:t>with</w:t>
      </w:r>
      <w:r>
        <w:rPr>
          <w:spacing w:val="-30"/>
        </w:rPr>
        <w:t> </w:t>
      </w:r>
      <w:r>
        <w:rPr/>
        <w:t>Section</w:t>
      </w:r>
    </w:p>
    <w:p>
      <w:pPr>
        <w:pStyle w:val="BodyText"/>
        <w:spacing w:before="2"/>
        <w:ind w:left="1220"/>
      </w:pPr>
      <w:r>
        <w:rPr/>
        <w:t>1.11 and the following:</w:t>
      </w:r>
    </w:p>
    <w:p>
      <w:pPr>
        <w:pStyle w:val="BodyText"/>
        <w:spacing w:before="3"/>
        <w:rPr>
          <w:sz w:val="28"/>
        </w:rPr>
      </w:pPr>
    </w:p>
    <w:p>
      <w:pPr>
        <w:spacing w:line="321" w:lineRule="auto" w:before="0"/>
        <w:ind w:left="1220" w:right="67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spacing w:before="9"/>
        <w:rPr>
          <w:i/>
          <w:sz w:val="20"/>
        </w:rPr>
      </w:pPr>
    </w:p>
    <w:p>
      <w:pPr>
        <w:pStyle w:val="ListParagraph"/>
        <w:numPr>
          <w:ilvl w:val="0"/>
          <w:numId w:val="84"/>
        </w:numPr>
        <w:tabs>
          <w:tab w:pos="2125" w:val="left" w:leader="none"/>
          <w:tab w:pos="2126" w:val="left" w:leader="none"/>
        </w:tabs>
        <w:spacing w:line="240" w:lineRule="auto" w:before="0" w:after="0"/>
        <w:ind w:left="2125" w:right="0" w:hanging="361"/>
        <w:jc w:val="left"/>
        <w:rPr>
          <w:i/>
          <w:sz w:val="22"/>
        </w:rPr>
      </w:pPr>
      <w:r>
        <w:rPr>
          <w:i/>
          <w:sz w:val="22"/>
        </w:rPr>
        <w:t>Limited/</w:t>
      </w:r>
      <w:r>
        <w:rPr>
          <w:i/>
          <w:spacing w:val="-14"/>
          <w:sz w:val="22"/>
        </w:rPr>
        <w:t> </w:t>
      </w:r>
      <w:r>
        <w:rPr>
          <w:i/>
          <w:sz w:val="22"/>
        </w:rPr>
        <w:t>no</w:t>
      </w:r>
      <w:r>
        <w:rPr>
          <w:i/>
          <w:spacing w:val="-14"/>
          <w:sz w:val="22"/>
        </w:rPr>
        <w:t> </w:t>
      </w:r>
      <w:r>
        <w:rPr>
          <w:i/>
          <w:sz w:val="22"/>
        </w:rPr>
        <w:t>growth</w:t>
      </w:r>
      <w:r>
        <w:rPr>
          <w:i/>
          <w:spacing w:val="-15"/>
          <w:sz w:val="22"/>
        </w:rPr>
        <w:t> </w:t>
      </w:r>
      <w:r>
        <w:rPr>
          <w:i/>
          <w:sz w:val="22"/>
        </w:rPr>
        <w:t>in</w:t>
      </w:r>
      <w:r>
        <w:rPr>
          <w:i/>
          <w:spacing w:val="-16"/>
          <w:sz w:val="22"/>
        </w:rPr>
        <w:t> </w:t>
      </w:r>
      <w:r>
        <w:rPr>
          <w:i/>
          <w:sz w:val="22"/>
        </w:rPr>
        <w:t>rent</w:t>
      </w:r>
      <w:r>
        <w:rPr>
          <w:i/>
          <w:spacing w:val="-13"/>
          <w:sz w:val="22"/>
        </w:rPr>
        <w:t> </w:t>
      </w:r>
      <w:r>
        <w:rPr>
          <w:i/>
          <w:sz w:val="22"/>
        </w:rPr>
        <w:t>and</w:t>
      </w:r>
      <w:r>
        <w:rPr>
          <w:i/>
          <w:spacing w:val="-16"/>
          <w:sz w:val="22"/>
        </w:rPr>
        <w:t> </w:t>
      </w:r>
      <w:r>
        <w:rPr>
          <w:i/>
          <w:sz w:val="22"/>
        </w:rPr>
        <w:t>ARR</w:t>
      </w:r>
      <w:r>
        <w:rPr>
          <w:i/>
          <w:spacing w:val="-14"/>
          <w:sz w:val="22"/>
        </w:rPr>
        <w:t> </w:t>
      </w:r>
      <w:r>
        <w:rPr>
          <w:i/>
          <w:sz w:val="22"/>
        </w:rPr>
        <w:t>has</w:t>
      </w:r>
      <w:r>
        <w:rPr>
          <w:i/>
          <w:spacing w:val="-13"/>
          <w:sz w:val="22"/>
        </w:rPr>
        <w:t> </w:t>
      </w:r>
      <w:r>
        <w:rPr>
          <w:i/>
          <w:sz w:val="22"/>
        </w:rPr>
        <w:t>been</w:t>
      </w:r>
      <w:r>
        <w:rPr>
          <w:i/>
          <w:spacing w:val="-16"/>
          <w:sz w:val="22"/>
        </w:rPr>
        <w:t> </w:t>
      </w:r>
      <w:r>
        <w:rPr>
          <w:i/>
          <w:sz w:val="22"/>
        </w:rPr>
        <w:t>considered</w:t>
      </w:r>
      <w:r>
        <w:rPr>
          <w:i/>
          <w:spacing w:val="-13"/>
          <w:sz w:val="22"/>
        </w:rPr>
        <w:t> </w:t>
      </w:r>
      <w:r>
        <w:rPr>
          <w:i/>
          <w:sz w:val="22"/>
        </w:rPr>
        <w:t>over</w:t>
      </w:r>
      <w:r>
        <w:rPr>
          <w:i/>
          <w:spacing w:val="-14"/>
          <w:sz w:val="22"/>
        </w:rPr>
        <w:t> </w:t>
      </w:r>
      <w:r>
        <w:rPr>
          <w:i/>
          <w:sz w:val="22"/>
        </w:rPr>
        <w:t>the</w:t>
      </w:r>
      <w:r>
        <w:rPr>
          <w:i/>
          <w:spacing w:val="-14"/>
          <w:sz w:val="22"/>
        </w:rPr>
        <w:t> </w:t>
      </w:r>
      <w:r>
        <w:rPr>
          <w:i/>
          <w:sz w:val="22"/>
        </w:rPr>
        <w:t>next</w:t>
      </w:r>
      <w:r>
        <w:rPr>
          <w:i/>
          <w:spacing w:val="-17"/>
          <w:sz w:val="22"/>
        </w:rPr>
        <w:t> </w:t>
      </w:r>
      <w:r>
        <w:rPr>
          <w:i/>
          <w:sz w:val="22"/>
        </w:rPr>
        <w:t>few</w:t>
      </w:r>
      <w:r>
        <w:rPr>
          <w:i/>
          <w:spacing w:val="-15"/>
          <w:sz w:val="22"/>
        </w:rPr>
        <w:t> </w:t>
      </w:r>
      <w:r>
        <w:rPr>
          <w:i/>
          <w:sz w:val="22"/>
        </w:rPr>
        <w:t>quarters</w:t>
      </w:r>
    </w:p>
    <w:p>
      <w:pPr>
        <w:pStyle w:val="ListParagraph"/>
        <w:numPr>
          <w:ilvl w:val="0"/>
          <w:numId w:val="84"/>
        </w:numPr>
        <w:tabs>
          <w:tab w:pos="2125" w:val="left" w:leader="none"/>
          <w:tab w:pos="2126" w:val="left" w:leader="none"/>
        </w:tabs>
        <w:spacing w:line="268" w:lineRule="auto" w:before="30" w:after="0"/>
        <w:ind w:left="2125" w:right="672" w:hanging="360"/>
        <w:jc w:val="left"/>
        <w:rPr>
          <w:i/>
          <w:sz w:val="22"/>
        </w:rPr>
      </w:pPr>
      <w:r>
        <w:rPr>
          <w:i/>
          <w:sz w:val="22"/>
        </w:rPr>
        <w:t>Considering</w:t>
      </w:r>
      <w:r>
        <w:rPr>
          <w:i/>
          <w:spacing w:val="-44"/>
          <w:sz w:val="22"/>
        </w:rPr>
        <w:t> </w:t>
      </w:r>
      <w:r>
        <w:rPr>
          <w:i/>
          <w:sz w:val="22"/>
        </w:rPr>
        <w:t>challenges</w:t>
      </w:r>
      <w:r>
        <w:rPr>
          <w:i/>
          <w:spacing w:val="-42"/>
          <w:sz w:val="22"/>
        </w:rPr>
        <w:t> </w:t>
      </w:r>
      <w:r>
        <w:rPr>
          <w:i/>
          <w:sz w:val="22"/>
        </w:rPr>
        <w:t>in</w:t>
      </w:r>
      <w:r>
        <w:rPr>
          <w:i/>
          <w:spacing w:val="-43"/>
          <w:sz w:val="22"/>
        </w:rPr>
        <w:t> </w:t>
      </w:r>
      <w:r>
        <w:rPr>
          <w:i/>
          <w:sz w:val="22"/>
        </w:rPr>
        <w:t>the</w:t>
      </w:r>
      <w:r>
        <w:rPr>
          <w:i/>
          <w:spacing w:val="-42"/>
          <w:sz w:val="22"/>
        </w:rPr>
        <w:t> </w:t>
      </w:r>
      <w:r>
        <w:rPr>
          <w:i/>
          <w:sz w:val="22"/>
        </w:rPr>
        <w:t>short</w:t>
      </w:r>
      <w:r>
        <w:rPr>
          <w:i/>
          <w:spacing w:val="-43"/>
          <w:sz w:val="22"/>
        </w:rPr>
        <w:t> </w:t>
      </w:r>
      <w:r>
        <w:rPr>
          <w:i/>
          <w:sz w:val="22"/>
        </w:rPr>
        <w:t>term,</w:t>
      </w:r>
      <w:r>
        <w:rPr>
          <w:i/>
          <w:spacing w:val="-41"/>
          <w:sz w:val="22"/>
        </w:rPr>
        <w:t> </w:t>
      </w:r>
      <w:r>
        <w:rPr>
          <w:i/>
          <w:sz w:val="22"/>
        </w:rPr>
        <w:t>timelines</w:t>
      </w:r>
      <w:r>
        <w:rPr>
          <w:i/>
          <w:spacing w:val="-44"/>
          <w:sz w:val="22"/>
        </w:rPr>
        <w:t> </w:t>
      </w:r>
      <w:r>
        <w:rPr>
          <w:i/>
          <w:sz w:val="22"/>
        </w:rPr>
        <w:t>have</w:t>
      </w:r>
      <w:r>
        <w:rPr>
          <w:i/>
          <w:spacing w:val="-41"/>
          <w:sz w:val="22"/>
        </w:rPr>
        <w:t> </w:t>
      </w:r>
      <w:r>
        <w:rPr>
          <w:i/>
          <w:sz w:val="22"/>
        </w:rPr>
        <w:t>been</w:t>
      </w:r>
      <w:r>
        <w:rPr>
          <w:i/>
          <w:spacing w:val="-43"/>
          <w:sz w:val="22"/>
        </w:rPr>
        <w:t> </w:t>
      </w:r>
      <w:r>
        <w:rPr>
          <w:i/>
          <w:sz w:val="22"/>
        </w:rPr>
        <w:t>extended</w:t>
      </w:r>
      <w:r>
        <w:rPr>
          <w:i/>
          <w:spacing w:val="-42"/>
          <w:sz w:val="22"/>
        </w:rPr>
        <w:t> </w:t>
      </w:r>
      <w:r>
        <w:rPr>
          <w:i/>
          <w:sz w:val="22"/>
        </w:rPr>
        <w:t>for</w:t>
      </w:r>
      <w:r>
        <w:rPr>
          <w:i/>
          <w:spacing w:val="-43"/>
          <w:sz w:val="22"/>
        </w:rPr>
        <w:t> </w:t>
      </w:r>
      <w:r>
        <w:rPr>
          <w:i/>
          <w:sz w:val="22"/>
        </w:rPr>
        <w:t>new</w:t>
      </w:r>
      <w:r>
        <w:rPr>
          <w:i/>
          <w:spacing w:val="-42"/>
          <w:sz w:val="22"/>
        </w:rPr>
        <w:t> </w:t>
      </w:r>
      <w:r>
        <w:rPr>
          <w:i/>
          <w:sz w:val="22"/>
        </w:rPr>
        <w:t>space</w:t>
      </w:r>
      <w:r>
        <w:rPr>
          <w:i/>
          <w:spacing w:val="-43"/>
          <w:sz w:val="22"/>
        </w:rPr>
        <w:t> </w:t>
      </w:r>
      <w:r>
        <w:rPr>
          <w:i/>
          <w:sz w:val="22"/>
        </w:rPr>
        <w:t>take-up/ </w:t>
      </w:r>
      <w:r>
        <w:rPr>
          <w:i/>
          <w:sz w:val="22"/>
        </w:rPr>
        <w:t>future</w:t>
      </w:r>
      <w:r>
        <w:rPr>
          <w:i/>
          <w:spacing w:val="-3"/>
          <w:sz w:val="22"/>
        </w:rPr>
        <w:t> </w:t>
      </w:r>
      <w:r>
        <w:rPr>
          <w:i/>
          <w:sz w:val="22"/>
        </w:rPr>
        <w:t>leasing</w:t>
      </w:r>
    </w:p>
    <w:p>
      <w:pPr>
        <w:pStyle w:val="ListParagraph"/>
        <w:numPr>
          <w:ilvl w:val="0"/>
          <w:numId w:val="84"/>
        </w:numPr>
        <w:tabs>
          <w:tab w:pos="2125" w:val="left" w:leader="none"/>
          <w:tab w:pos="2126" w:val="left" w:leader="none"/>
        </w:tabs>
        <w:spacing w:line="268" w:lineRule="auto" w:before="0" w:after="0"/>
        <w:ind w:left="2125" w:right="671" w:hanging="360"/>
        <w:jc w:val="left"/>
        <w:rPr>
          <w:i/>
          <w:sz w:val="22"/>
        </w:rPr>
      </w:pPr>
      <w:r>
        <w:rPr>
          <w:i/>
          <w:sz w:val="22"/>
        </w:rPr>
        <w:t>Additional</w:t>
      </w:r>
      <w:r>
        <w:rPr>
          <w:i/>
          <w:spacing w:val="-28"/>
          <w:sz w:val="22"/>
        </w:rPr>
        <w:t> </w:t>
      </w:r>
      <w:r>
        <w:rPr>
          <w:i/>
          <w:sz w:val="22"/>
        </w:rPr>
        <w:t>fit-out</w:t>
      </w:r>
      <w:r>
        <w:rPr>
          <w:i/>
          <w:spacing w:val="-27"/>
          <w:sz w:val="22"/>
        </w:rPr>
        <w:t> </w:t>
      </w:r>
      <w:r>
        <w:rPr>
          <w:i/>
          <w:sz w:val="22"/>
        </w:rPr>
        <w:t>period/</w:t>
      </w:r>
      <w:r>
        <w:rPr>
          <w:i/>
          <w:spacing w:val="-27"/>
          <w:sz w:val="22"/>
        </w:rPr>
        <w:t> </w:t>
      </w:r>
      <w:r>
        <w:rPr>
          <w:i/>
          <w:sz w:val="22"/>
        </w:rPr>
        <w:t>rent</w:t>
      </w:r>
      <w:r>
        <w:rPr>
          <w:i/>
          <w:spacing w:val="-28"/>
          <w:sz w:val="22"/>
        </w:rPr>
        <w:t> </w:t>
      </w:r>
      <w:r>
        <w:rPr>
          <w:i/>
          <w:sz w:val="22"/>
        </w:rPr>
        <w:t>free</w:t>
      </w:r>
      <w:r>
        <w:rPr>
          <w:i/>
          <w:spacing w:val="-27"/>
          <w:sz w:val="22"/>
        </w:rPr>
        <w:t> </w:t>
      </w:r>
      <w:r>
        <w:rPr>
          <w:i/>
          <w:sz w:val="22"/>
        </w:rPr>
        <w:t>months</w:t>
      </w:r>
      <w:r>
        <w:rPr>
          <w:i/>
          <w:spacing w:val="-26"/>
          <w:sz w:val="22"/>
        </w:rPr>
        <w:t> </w:t>
      </w:r>
      <w:r>
        <w:rPr>
          <w:i/>
          <w:sz w:val="22"/>
        </w:rPr>
        <w:t>have</w:t>
      </w:r>
      <w:r>
        <w:rPr>
          <w:i/>
          <w:spacing w:val="-27"/>
          <w:sz w:val="22"/>
        </w:rPr>
        <w:t> </w:t>
      </w:r>
      <w:r>
        <w:rPr>
          <w:i/>
          <w:sz w:val="22"/>
        </w:rPr>
        <w:t>been</w:t>
      </w:r>
      <w:r>
        <w:rPr>
          <w:i/>
          <w:spacing w:val="-27"/>
          <w:sz w:val="22"/>
        </w:rPr>
        <w:t> </w:t>
      </w:r>
      <w:r>
        <w:rPr>
          <w:i/>
          <w:sz w:val="22"/>
        </w:rPr>
        <w:t>incorporated</w:t>
      </w:r>
      <w:r>
        <w:rPr>
          <w:i/>
          <w:spacing w:val="-28"/>
          <w:sz w:val="22"/>
        </w:rPr>
        <w:t> </w:t>
      </w:r>
      <w:r>
        <w:rPr>
          <w:i/>
          <w:sz w:val="22"/>
        </w:rPr>
        <w:t>where</w:t>
      </w:r>
      <w:r>
        <w:rPr>
          <w:i/>
          <w:spacing w:val="-27"/>
          <w:sz w:val="22"/>
        </w:rPr>
        <w:t> </w:t>
      </w:r>
      <w:r>
        <w:rPr>
          <w:i/>
          <w:sz w:val="22"/>
        </w:rPr>
        <w:t>fit-out</w:t>
      </w:r>
      <w:r>
        <w:rPr>
          <w:i/>
          <w:spacing w:val="-28"/>
          <w:sz w:val="22"/>
        </w:rPr>
        <w:t> </w:t>
      </w:r>
      <w:r>
        <w:rPr>
          <w:i/>
          <w:sz w:val="22"/>
        </w:rPr>
        <w:t>works</w:t>
      </w:r>
      <w:r>
        <w:rPr>
          <w:i/>
          <w:spacing w:val="-27"/>
          <w:sz w:val="22"/>
        </w:rPr>
        <w:t> </w:t>
      </w:r>
      <w:r>
        <w:rPr>
          <w:i/>
          <w:sz w:val="22"/>
        </w:rPr>
        <w:t>have </w:t>
      </w:r>
      <w:r>
        <w:rPr>
          <w:i/>
          <w:sz w:val="22"/>
        </w:rPr>
        <w:t>commenced</w:t>
      </w:r>
    </w:p>
    <w:p>
      <w:pPr>
        <w:pStyle w:val="ListParagraph"/>
        <w:numPr>
          <w:ilvl w:val="0"/>
          <w:numId w:val="84"/>
        </w:numPr>
        <w:tabs>
          <w:tab w:pos="2125" w:val="left" w:leader="none"/>
          <w:tab w:pos="2126" w:val="left" w:leader="none"/>
        </w:tabs>
        <w:spacing w:line="252" w:lineRule="exact" w:before="0" w:after="0"/>
        <w:ind w:left="2125" w:right="0" w:hanging="361"/>
        <w:jc w:val="left"/>
        <w:rPr>
          <w:i/>
          <w:sz w:val="22"/>
        </w:rPr>
      </w:pPr>
      <w:r>
        <w:rPr>
          <w:i/>
          <w:sz w:val="22"/>
        </w:rPr>
        <w:t>For</w:t>
      </w:r>
      <w:r>
        <w:rPr>
          <w:i/>
          <w:spacing w:val="-9"/>
          <w:sz w:val="22"/>
        </w:rPr>
        <w:t> </w:t>
      </w:r>
      <w:r>
        <w:rPr>
          <w:i/>
          <w:sz w:val="22"/>
        </w:rPr>
        <w:t>the</w:t>
      </w:r>
      <w:r>
        <w:rPr>
          <w:i/>
          <w:spacing w:val="-10"/>
          <w:sz w:val="22"/>
        </w:rPr>
        <w:t> </w:t>
      </w:r>
      <w:r>
        <w:rPr>
          <w:i/>
          <w:sz w:val="22"/>
        </w:rPr>
        <w:t>hotel,</w:t>
      </w:r>
      <w:r>
        <w:rPr>
          <w:i/>
          <w:spacing w:val="-9"/>
          <w:sz w:val="22"/>
        </w:rPr>
        <w:t> </w:t>
      </w:r>
      <w:r>
        <w:rPr>
          <w:i/>
          <w:sz w:val="22"/>
        </w:rPr>
        <w:t>occupancy</w:t>
      </w:r>
      <w:r>
        <w:rPr>
          <w:i/>
          <w:spacing w:val="-9"/>
          <w:sz w:val="22"/>
        </w:rPr>
        <w:t> </w:t>
      </w:r>
      <w:r>
        <w:rPr>
          <w:i/>
          <w:sz w:val="22"/>
        </w:rPr>
        <w:t>has</w:t>
      </w:r>
      <w:r>
        <w:rPr>
          <w:i/>
          <w:spacing w:val="-9"/>
          <w:sz w:val="22"/>
        </w:rPr>
        <w:t> </w:t>
      </w:r>
      <w:r>
        <w:rPr>
          <w:i/>
          <w:sz w:val="22"/>
        </w:rPr>
        <w:t>been</w:t>
      </w:r>
      <w:r>
        <w:rPr>
          <w:i/>
          <w:spacing w:val="-8"/>
          <w:sz w:val="22"/>
        </w:rPr>
        <w:t> </w:t>
      </w:r>
      <w:r>
        <w:rPr>
          <w:i/>
          <w:sz w:val="22"/>
        </w:rPr>
        <w:t>rationalized</w:t>
      </w:r>
      <w:r>
        <w:rPr>
          <w:i/>
          <w:spacing w:val="-10"/>
          <w:sz w:val="22"/>
        </w:rPr>
        <w:t> </w:t>
      </w:r>
      <w:r>
        <w:rPr>
          <w:i/>
          <w:sz w:val="22"/>
        </w:rPr>
        <w:t>in</w:t>
      </w:r>
      <w:r>
        <w:rPr>
          <w:i/>
          <w:spacing w:val="-11"/>
          <w:sz w:val="22"/>
        </w:rPr>
        <w:t> </w:t>
      </w:r>
      <w:r>
        <w:rPr>
          <w:i/>
          <w:sz w:val="22"/>
        </w:rPr>
        <w:t>the</w:t>
      </w:r>
      <w:r>
        <w:rPr>
          <w:i/>
          <w:spacing w:val="-8"/>
          <w:sz w:val="22"/>
        </w:rPr>
        <w:t> </w:t>
      </w:r>
      <w:r>
        <w:rPr>
          <w:i/>
          <w:sz w:val="22"/>
        </w:rPr>
        <w:t>short</w:t>
      </w:r>
      <w:r>
        <w:rPr>
          <w:i/>
          <w:spacing w:val="-10"/>
          <w:sz w:val="22"/>
        </w:rPr>
        <w:t> </w:t>
      </w:r>
      <w:r>
        <w:rPr>
          <w:i/>
          <w:sz w:val="22"/>
        </w:rPr>
        <w:t>term”</w:t>
      </w:r>
    </w:p>
    <w:p>
      <w:pPr>
        <w:pStyle w:val="BodyText"/>
        <w:rPr>
          <w:i/>
          <w:sz w:val="23"/>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39" w:id="661"/>
      <w:bookmarkEnd w:id="661"/>
      <w:r>
        <w:rPr/>
      </w:r>
      <w:bookmarkStart w:name="_bookmark339" w:id="662"/>
      <w:bookmarkEnd w:id="662"/>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8"/>
        <w:ind w:left="1227" w:right="674"/>
        <w:jc w:val="both"/>
      </w:pPr>
      <w:r>
        <w:rPr/>
        <w:t>Based on information provided by the Client, we understand that subject property is a mixed-used premium</w:t>
      </w:r>
      <w:r>
        <w:rPr>
          <w:spacing w:val="-5"/>
        </w:rPr>
        <w:t> </w:t>
      </w:r>
      <w:r>
        <w:rPr/>
        <w:t>development</w:t>
      </w:r>
      <w:r>
        <w:rPr>
          <w:spacing w:val="-5"/>
        </w:rPr>
        <w:t> </w:t>
      </w:r>
      <w:r>
        <w:rPr/>
        <w:t>(office,</w:t>
      </w:r>
      <w:r>
        <w:rPr>
          <w:spacing w:val="-5"/>
        </w:rPr>
        <w:t> </w:t>
      </w:r>
      <w:r>
        <w:rPr/>
        <w:t>retail</w:t>
      </w:r>
      <w:r>
        <w:rPr>
          <w:spacing w:val="-5"/>
        </w:rPr>
        <w:t> </w:t>
      </w:r>
      <w:r>
        <w:rPr/>
        <w:t>and</w:t>
      </w:r>
      <w:r>
        <w:rPr>
          <w:spacing w:val="-5"/>
        </w:rPr>
        <w:t> </w:t>
      </w:r>
      <w:r>
        <w:rPr/>
        <w:t>hospitality</w:t>
      </w:r>
      <w:r>
        <w:rPr>
          <w:spacing w:val="-4"/>
        </w:rPr>
        <w:t> </w:t>
      </w:r>
      <w:r>
        <w:rPr/>
        <w:t>component)</w:t>
      </w:r>
      <w:r>
        <w:rPr>
          <w:spacing w:val="-4"/>
        </w:rPr>
        <w:t> </w:t>
      </w:r>
      <w:r>
        <w:rPr/>
        <w:t>located</w:t>
      </w:r>
      <w:r>
        <w:rPr>
          <w:spacing w:val="-6"/>
        </w:rPr>
        <w:t> </w:t>
      </w:r>
      <w:r>
        <w:rPr/>
        <w:t>along,</w:t>
      </w:r>
      <w:r>
        <w:rPr>
          <w:spacing w:val="-5"/>
        </w:rPr>
        <w:t> </w:t>
      </w:r>
      <w:r>
        <w:rPr/>
        <w:t>Bellary</w:t>
      </w:r>
      <w:r>
        <w:rPr>
          <w:spacing w:val="-3"/>
        </w:rPr>
        <w:t> </w:t>
      </w:r>
      <w:r>
        <w:rPr/>
        <w:t>Road,</w:t>
      </w:r>
      <w:r>
        <w:rPr>
          <w:spacing w:val="-5"/>
        </w:rPr>
        <w:t> </w:t>
      </w:r>
      <w:r>
        <w:rPr/>
        <w:t>Ganga Nagar, Bengaluru,</w:t>
      </w:r>
      <w:r>
        <w:rPr>
          <w:spacing w:val="-4"/>
        </w:rPr>
        <w:t> </w:t>
      </w:r>
      <w:r>
        <w:rPr/>
        <w:t>Karnataka.</w:t>
      </w:r>
    </w:p>
    <w:p>
      <w:pPr>
        <w:pStyle w:val="BodyText"/>
        <w:rPr>
          <w:sz w:val="17"/>
        </w:rPr>
      </w:pPr>
      <w:r>
        <w:rPr/>
        <w:pict>
          <v:group style="position:absolute;margin-left:35.279999pt;margin-top:11.821853pt;width:524.3pt;height:16.1pt;mso-position-horizontal-relative:page;mso-position-vertical-relative:paragraph;z-index:-14979072;mso-wrap-distance-left:0;mso-wrap-distance-right:0" coordorigin="706,236" coordsize="10486,322">
            <v:shape style="position:absolute;left:720;top:267;width:10472;height:276" coordorigin="720,268" coordsize="10472,276" path="m11191,268l5055,268,720,268,720,544,5055,544,11191,544,11191,268xe" filled="true" fillcolor="#006a4d" stroked="false">
              <v:path arrowok="t"/>
              <v:fill type="solid"/>
            </v:shape>
            <v:rect style="position:absolute;left:720;top:236;width:4336;height:29" filled="true" fillcolor="#1b6b22" stroked="false">
              <v:fill type="solid"/>
            </v:rect>
            <v:shape style="position:absolute;left:720;top:265;width:4365;height:3" coordorigin="720,265" coordsize="4365,3" path="m5084,265l5055,265,720,265,720,268,5055,268,5084,268,5084,265xe" filled="true" fillcolor="#006a4d" stroked="false">
              <v:path arrowok="t"/>
              <v:fill type="solid"/>
            </v:shape>
            <v:shape style="position:absolute;left:5055;top:236;width:6136;height:29" coordorigin="5055,236" coordsize="6136,29" path="m11191,236l5084,236,5055,236,5055,265,5084,265,11191,265,11191,236xe" filled="true" fillcolor="#1b6b22" stroked="false">
              <v:path arrowok="t"/>
              <v:fill type="solid"/>
            </v:shape>
            <v:rect style="position:absolute;left:5084;top:265;width:6107;height:3" filled="true" fillcolor="#006a4d" stroked="false">
              <v:fill type="solid"/>
            </v:rect>
            <v:shape style="position:absolute;left:720;top:543;width:10472;height:15" coordorigin="720,544" coordsize="10472,15" path="m11191,544l5070,544,5055,544,720,544,720,558,5055,558,5070,558,11191,558,11191,544xe" filled="true" fillcolor="#69bd28" stroked="false">
              <v:path arrowok="t"/>
              <v:fill type="solid"/>
            </v:shape>
            <v:shape style="position:absolute;left:705;top:265;width:10486;height:279" type="#_x0000_t202" filled="false" stroked="false">
              <v:textbox inset="0,0,0,0">
                <w:txbxContent>
                  <w:p>
                    <w:pPr>
                      <w:tabs>
                        <w:tab w:pos="5586" w:val="left" w:leader="none"/>
                      </w:tabs>
                      <w:spacing w:before="6"/>
                      <w:ind w:left="1937" w:right="0" w:firstLine="0"/>
                      <w:jc w:val="left"/>
                      <w:rPr>
                        <w:b/>
                        <w:sz w:val="18"/>
                      </w:rPr>
                    </w:pPr>
                    <w:r>
                      <w:rPr>
                        <w:b/>
                        <w:color w:val="FFFFFF"/>
                        <w:w w:val="110"/>
                        <w:position w:val="-2"/>
                        <w:sz w:val="18"/>
                      </w:rPr>
                      <w:t>Block</w:t>
                      <w:tab/>
                    </w:r>
                    <w:r>
                      <w:rPr>
                        <w:b/>
                        <w:color w:val="FFFFFF"/>
                        <w:w w:val="110"/>
                        <w:sz w:val="18"/>
                      </w:rPr>
                      <w:t>Leasable Area details (in sf)/ No of</w:t>
                    </w:r>
                    <w:r>
                      <w:rPr>
                        <w:b/>
                        <w:color w:val="FFFFFF"/>
                        <w:spacing w:val="-24"/>
                        <w:w w:val="110"/>
                        <w:sz w:val="18"/>
                      </w:rPr>
                      <w:t> </w:t>
                    </w:r>
                    <w:r>
                      <w:rPr>
                        <w:b/>
                        <w:color w:val="FFFFFF"/>
                        <w:w w:val="110"/>
                        <w:sz w:val="18"/>
                      </w:rPr>
                      <w:t>Keys</w:t>
                    </w:r>
                  </w:p>
                </w:txbxContent>
              </v:textbox>
              <w10:wrap type="none"/>
            </v:shape>
            <w10:wrap type="topAndBottom"/>
          </v:group>
        </w:pict>
      </w:r>
    </w:p>
    <w:p>
      <w:pPr>
        <w:tabs>
          <w:tab w:pos="7737" w:val="left" w:leader="none"/>
        </w:tabs>
        <w:spacing w:before="6" w:after="34"/>
        <w:ind w:left="2607" w:right="0" w:firstLine="0"/>
        <w:jc w:val="left"/>
        <w:rPr>
          <w:sz w:val="18"/>
        </w:rPr>
      </w:pPr>
      <w:r>
        <w:rPr>
          <w:w w:val="105"/>
          <w:sz w:val="18"/>
        </w:rPr>
        <w:t>Office</w:t>
        <w:tab/>
        <w:t>194,948</w:t>
      </w:r>
    </w:p>
    <w:p>
      <w:pPr>
        <w:pStyle w:val="BodyText"/>
        <w:spacing w:line="20" w:lineRule="exact"/>
        <w:ind w:left="68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350,0,4335,0,0,0,0,14,4335,14,4350,14,10471,14,10471,0xe" filled="true" fillcolor="#69bd28" stroked="false">
              <v:path arrowok="t"/>
              <v:fill type="solid"/>
            </v:shape>
          </v:group>
        </w:pict>
      </w:r>
      <w:r>
        <w:rPr>
          <w:sz w:val="2"/>
        </w:rPr>
      </w:r>
    </w:p>
    <w:p>
      <w:pPr>
        <w:tabs>
          <w:tab w:pos="7790" w:val="left" w:leader="none"/>
        </w:tabs>
        <w:spacing w:before="29"/>
        <w:ind w:left="2634" w:right="0" w:firstLine="0"/>
        <w:jc w:val="left"/>
        <w:rPr>
          <w:sz w:val="18"/>
        </w:rPr>
      </w:pPr>
      <w:r>
        <w:rPr/>
        <w:pict>
          <v:shape style="position:absolute;margin-left:36pt;margin-top:13.620681pt;width:523.6pt;height:.75pt;mso-position-horizontal-relative:page;mso-position-vertical-relative:paragraph;z-index:-14978048;mso-wrap-distance-left:0;mso-wrap-distance-right:0" coordorigin="720,272" coordsize="10472,15" path="m11191,272l5070,272,5055,272,720,272,720,287,5055,287,5070,287,11191,287,11191,272xe" filled="true" fillcolor="#69bd28" stroked="false">
            <v:path arrowok="t"/>
            <v:fill type="solid"/>
            <w10:wrap type="topAndBottom"/>
          </v:shape>
        </w:pict>
      </w:r>
      <w:r>
        <w:rPr/>
        <w:pict>
          <v:shape style="position:absolute;margin-left:36pt;margin-top:28.141682pt;width:523.6pt;height:.75pt;mso-position-horizontal-relative:page;mso-position-vertical-relative:paragraph;z-index:-34147840" coordorigin="720,563" coordsize="10472,15" path="m11191,563l5070,563,5055,563,720,563,720,577,5055,577,5070,577,11191,577,11191,563xe" filled="true" fillcolor="#69bd28" stroked="false">
            <v:path arrowok="t"/>
            <v:fill type="solid"/>
            <w10:wrap type="none"/>
          </v:shape>
        </w:pict>
      </w:r>
      <w:r>
        <w:rPr>
          <w:sz w:val="18"/>
        </w:rPr>
        <w:t>Retail</w:t>
        <w:tab/>
        <w:t>55,148</w:t>
      </w:r>
    </w:p>
    <w:p>
      <w:pPr>
        <w:tabs>
          <w:tab w:pos="7310" w:val="left" w:leader="none"/>
          <w:tab w:pos="7730" w:val="left" w:leader="none"/>
        </w:tabs>
        <w:spacing w:line="300" w:lineRule="auto" w:before="3"/>
        <w:ind w:left="2653" w:right="2972" w:hanging="1289"/>
        <w:jc w:val="left"/>
        <w:rPr>
          <w:sz w:val="18"/>
        </w:rPr>
      </w:pPr>
      <w:r>
        <w:rPr>
          <w:sz w:val="18"/>
        </w:rPr>
        <w:t>Hotel - Four Seasons at</w:t>
      </w:r>
      <w:r>
        <w:rPr>
          <w:spacing w:val="-11"/>
          <w:sz w:val="18"/>
        </w:rPr>
        <w:t> </w:t>
      </w:r>
      <w:r>
        <w:rPr>
          <w:sz w:val="18"/>
        </w:rPr>
        <w:t>Embassy</w:t>
      </w:r>
      <w:r>
        <w:rPr>
          <w:spacing w:val="-3"/>
          <w:sz w:val="18"/>
        </w:rPr>
        <w:t> </w:t>
      </w:r>
      <w:r>
        <w:rPr>
          <w:sz w:val="18"/>
        </w:rPr>
        <w:t>One</w:t>
        <w:tab/>
        <w:tab/>
        <w:t>230  keys </w:t>
      </w:r>
      <w:r>
        <w:rPr>
          <w:position w:val="-2"/>
          <w:sz w:val="18"/>
        </w:rPr>
        <w:t>Total</w:t>
        <w:tab/>
      </w:r>
      <w:r>
        <w:rPr>
          <w:sz w:val="18"/>
        </w:rPr>
        <w:t>230 Keys/</w:t>
      </w:r>
      <w:r>
        <w:rPr>
          <w:spacing w:val="-7"/>
          <w:sz w:val="18"/>
        </w:rPr>
        <w:t> </w:t>
      </w:r>
      <w:r>
        <w:rPr>
          <w:sz w:val="18"/>
        </w:rPr>
        <w:t>250,096</w:t>
      </w:r>
    </w:p>
    <w:p>
      <w:pPr>
        <w:pStyle w:val="BodyText"/>
        <w:spacing w:line="20" w:lineRule="exact"/>
        <w:ind w:left="665"/>
        <w:rPr>
          <w:sz w:val="2"/>
        </w:rPr>
      </w:pPr>
      <w:r>
        <w:rPr>
          <w:sz w:val="2"/>
        </w:rPr>
        <w:pict>
          <v:group style="width:524.3pt;height:.75pt;mso-position-horizontal-relative:char;mso-position-vertical-relative:line" coordorigin="0,0" coordsize="10486,15">
            <v:shape style="position:absolute;left:0;top:0;width:10486;height:15" coordorigin="0,0" coordsize="10486,15" path="m10486,0l4350,0,4335,0,0,0,0,14,4335,14,4350,14,10486,14,10486,0xe" filled="true" fillcolor="#69bd28" stroked="false">
              <v:path arrowok="t"/>
              <v:fill type="solid"/>
            </v:shape>
          </v:group>
        </w:pict>
      </w:r>
      <w:r>
        <w:rPr>
          <w:sz w:val="2"/>
        </w:rPr>
      </w:r>
    </w:p>
    <w:p>
      <w:pPr>
        <w:spacing w:line="191" w:lineRule="exact" w:before="0"/>
        <w:ind w:left="680" w:right="0" w:firstLine="0"/>
        <w:jc w:val="left"/>
        <w:rPr>
          <w:i/>
          <w:sz w:val="18"/>
        </w:rPr>
      </w:pPr>
      <w:r>
        <w:rPr>
          <w:i/>
          <w:sz w:val="18"/>
        </w:rPr>
        <w:t>Source: Client Inputs</w:t>
      </w:r>
    </w:p>
    <w:p>
      <w:pPr>
        <w:spacing w:after="0" w:line="191" w:lineRule="exact"/>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14"/>
        </w:numPr>
        <w:tabs>
          <w:tab w:pos="1401" w:val="left" w:leader="none"/>
        </w:tabs>
        <w:spacing w:line="240" w:lineRule="auto" w:before="106" w:after="0"/>
        <w:ind w:left="1400" w:right="0" w:hanging="721"/>
        <w:jc w:val="left"/>
        <w:rPr>
          <w:sz w:val="22"/>
        </w:rPr>
      </w:pPr>
      <w:bookmarkStart w:name="_bookmark340" w:id="663"/>
      <w:bookmarkEnd w:id="663"/>
      <w:r>
        <w:rPr/>
      </w:r>
      <w:bookmarkStart w:name="_bookmark340" w:id="664"/>
      <w:bookmarkEnd w:id="664"/>
      <w:r>
        <w:rPr>
          <w:color w:val="1F664D"/>
          <w:sz w:val="22"/>
        </w:rPr>
        <w:t>Con</w:t>
      </w:r>
      <w:r>
        <w:rPr>
          <w:color w:val="1F664D"/>
          <w:sz w:val="22"/>
        </w:rPr>
        <w:t>struction Timelines</w:t>
      </w:r>
    </w:p>
    <w:p>
      <w:pPr>
        <w:pStyle w:val="BodyText"/>
        <w:spacing w:before="6"/>
        <w:rPr>
          <w:sz w:val="25"/>
        </w:rPr>
      </w:pPr>
    </w:p>
    <w:p>
      <w:pPr>
        <w:spacing w:before="1"/>
        <w:ind w:left="680" w:right="0" w:firstLine="0"/>
        <w:jc w:val="left"/>
        <w:rPr>
          <w:i/>
          <w:sz w:val="20"/>
        </w:rPr>
      </w:pPr>
      <w:r>
        <w:rPr>
          <w:i/>
          <w:color w:val="008000"/>
          <w:sz w:val="22"/>
        </w:rPr>
        <w:t>15.3.3.1 </w:t>
      </w:r>
      <w:r>
        <w:rPr>
          <w:i/>
          <w:color w:val="008000"/>
          <w:sz w:val="20"/>
        </w:rPr>
        <w:t>Office, Retail &amp; Hotel Blocks</w:t>
      </w:r>
    </w:p>
    <w:p>
      <w:pPr>
        <w:pStyle w:val="BodyText"/>
        <w:spacing w:before="75"/>
        <w:ind w:left="1227"/>
      </w:pPr>
      <w:r>
        <w:rPr/>
        <w:t>Based on review of various documents (such as Architect’s Certificate, approval documents, etc.), it is</w:t>
      </w:r>
    </w:p>
    <w:p>
      <w:pPr>
        <w:pStyle w:val="BodyText"/>
        <w:spacing w:before="88"/>
        <w:ind w:left="1227"/>
      </w:pPr>
      <w:r>
        <w:rPr/>
        <w:t>understood that as on date of valuation, the subject development is completed.</w:t>
      </w:r>
    </w:p>
    <w:p>
      <w:pPr>
        <w:pStyle w:val="BodyText"/>
        <w:rPr>
          <w:sz w:val="28"/>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41" w:id="665"/>
      <w:bookmarkEnd w:id="665"/>
      <w:r>
        <w:rPr/>
      </w:r>
      <w:bookmarkStart w:name="_bookmark341" w:id="666"/>
      <w:bookmarkEnd w:id="666"/>
      <w:r>
        <w:rPr>
          <w:color w:val="1F664D"/>
          <w:sz w:val="22"/>
        </w:rPr>
        <w:t>A</w:t>
      </w:r>
      <w:r>
        <w:rPr>
          <w:color w:val="1F664D"/>
          <w:sz w:val="22"/>
        </w:rPr>
        <w:t>bsorption/ Leasing Velocity and Occupancy</w:t>
      </w:r>
      <w:r>
        <w:rPr>
          <w:color w:val="1F664D"/>
          <w:spacing w:val="1"/>
          <w:sz w:val="22"/>
        </w:rPr>
        <w:t> </w:t>
      </w:r>
      <w:r>
        <w:rPr>
          <w:color w:val="1F664D"/>
          <w:sz w:val="22"/>
        </w:rPr>
        <w:t>Profile</w:t>
      </w:r>
    </w:p>
    <w:p>
      <w:pPr>
        <w:pStyle w:val="BodyText"/>
        <w:spacing w:line="321" w:lineRule="auto" w:before="208"/>
        <w:ind w:left="1227" w:right="677"/>
        <w:jc w:val="both"/>
      </w:pPr>
      <w:r>
        <w:rPr/>
        <w:t>The</w:t>
      </w:r>
      <w:r>
        <w:rPr>
          <w:spacing w:val="-26"/>
        </w:rPr>
        <w:t> </w:t>
      </w:r>
      <w:r>
        <w:rPr/>
        <w:t>absorption</w:t>
      </w:r>
      <w:r>
        <w:rPr>
          <w:spacing w:val="-26"/>
        </w:rPr>
        <w:t> </w:t>
      </w:r>
      <w:r>
        <w:rPr/>
        <w:t>period</w:t>
      </w:r>
      <w:r>
        <w:rPr>
          <w:spacing w:val="-23"/>
        </w:rPr>
        <w:t> </w:t>
      </w:r>
      <w:r>
        <w:rPr/>
        <w:t>assumed</w:t>
      </w:r>
      <w:r>
        <w:rPr>
          <w:spacing w:val="-26"/>
        </w:rPr>
        <w:t> </w:t>
      </w:r>
      <w:r>
        <w:rPr/>
        <w:t>for</w:t>
      </w:r>
      <w:r>
        <w:rPr>
          <w:spacing w:val="-25"/>
        </w:rPr>
        <w:t> </w:t>
      </w:r>
      <w:r>
        <w:rPr/>
        <w:t>the</w:t>
      </w:r>
      <w:r>
        <w:rPr>
          <w:spacing w:val="-25"/>
        </w:rPr>
        <w:t> </w:t>
      </w:r>
      <w:r>
        <w:rPr/>
        <w:t>subject</w:t>
      </w:r>
      <w:r>
        <w:rPr>
          <w:spacing w:val="-25"/>
        </w:rPr>
        <w:t> </w:t>
      </w:r>
      <w:r>
        <w:rPr/>
        <w:t>development</w:t>
      </w:r>
      <w:r>
        <w:rPr>
          <w:spacing w:val="-25"/>
        </w:rPr>
        <w:t> </w:t>
      </w:r>
      <w:r>
        <w:rPr/>
        <w:t>is</w:t>
      </w:r>
      <w:r>
        <w:rPr>
          <w:spacing w:val="-26"/>
        </w:rPr>
        <w:t> </w:t>
      </w:r>
      <w:r>
        <w:rPr/>
        <w:t>based</w:t>
      </w:r>
      <w:r>
        <w:rPr>
          <w:spacing w:val="-26"/>
        </w:rPr>
        <w:t> </w:t>
      </w:r>
      <w:r>
        <w:rPr/>
        <w:t>on</w:t>
      </w:r>
      <w:r>
        <w:rPr>
          <w:spacing w:val="-25"/>
        </w:rPr>
        <w:t> </w:t>
      </w:r>
      <w:r>
        <w:rPr/>
        <w:t>market</w:t>
      </w:r>
      <w:r>
        <w:rPr>
          <w:spacing w:val="-25"/>
        </w:rPr>
        <w:t> </w:t>
      </w:r>
      <w:r>
        <w:rPr/>
        <w:t>dynamics</w:t>
      </w:r>
      <w:r>
        <w:rPr>
          <w:spacing w:val="-24"/>
        </w:rPr>
        <w:t> </w:t>
      </w:r>
      <w:r>
        <w:rPr>
          <w:spacing w:val="-2"/>
        </w:rPr>
        <w:t>and</w:t>
      </w:r>
      <w:r>
        <w:rPr>
          <w:spacing w:val="-25"/>
        </w:rPr>
        <w:t> </w:t>
      </w:r>
      <w:r>
        <w:rPr/>
        <w:t>extent</w:t>
      </w:r>
      <w:r>
        <w:rPr>
          <w:spacing w:val="-27"/>
        </w:rPr>
        <w:t> </w:t>
      </w:r>
      <w:r>
        <w:rPr/>
        <w:t>of development</w:t>
      </w:r>
      <w:r>
        <w:rPr>
          <w:spacing w:val="-26"/>
        </w:rPr>
        <w:t> </w:t>
      </w:r>
      <w:r>
        <w:rPr/>
        <w:t>in</w:t>
      </w:r>
      <w:r>
        <w:rPr>
          <w:spacing w:val="-26"/>
        </w:rPr>
        <w:t> </w:t>
      </w:r>
      <w:r>
        <w:rPr/>
        <w:t>the</w:t>
      </w:r>
      <w:r>
        <w:rPr>
          <w:spacing w:val="-27"/>
        </w:rPr>
        <w:t> </w:t>
      </w:r>
      <w:r>
        <w:rPr/>
        <w:t>relevant</w:t>
      </w:r>
      <w:r>
        <w:rPr>
          <w:spacing w:val="-26"/>
        </w:rPr>
        <w:t> </w:t>
      </w:r>
      <w:r>
        <w:rPr/>
        <w:t>sub</w:t>
      </w:r>
      <w:r>
        <w:rPr>
          <w:spacing w:val="-25"/>
        </w:rPr>
        <w:t> </w:t>
      </w:r>
      <w:r>
        <w:rPr/>
        <w:t>market,</w:t>
      </w:r>
      <w:r>
        <w:rPr>
          <w:spacing w:val="-25"/>
        </w:rPr>
        <w:t> </w:t>
      </w:r>
      <w:r>
        <w:rPr/>
        <w:t>nature</w:t>
      </w:r>
      <w:r>
        <w:rPr>
          <w:spacing w:val="-26"/>
        </w:rPr>
        <w:t> </w:t>
      </w:r>
      <w:r>
        <w:rPr/>
        <w:t>of</w:t>
      </w:r>
      <w:r>
        <w:rPr>
          <w:spacing w:val="-26"/>
        </w:rPr>
        <w:t> </w:t>
      </w:r>
      <w:r>
        <w:rPr/>
        <w:t>subject</w:t>
      </w:r>
      <w:r>
        <w:rPr>
          <w:spacing w:val="-27"/>
        </w:rPr>
        <w:t> </w:t>
      </w:r>
      <w:r>
        <w:rPr/>
        <w:t>property,</w:t>
      </w:r>
      <w:r>
        <w:rPr>
          <w:spacing w:val="-26"/>
        </w:rPr>
        <w:t> </w:t>
      </w:r>
      <w:r>
        <w:rPr/>
        <w:t>competing</w:t>
      </w:r>
      <w:r>
        <w:rPr>
          <w:spacing w:val="-26"/>
        </w:rPr>
        <w:t> </w:t>
      </w:r>
      <w:r>
        <w:rPr/>
        <w:t>supply</w:t>
      </w:r>
      <w:r>
        <w:rPr>
          <w:spacing w:val="-26"/>
        </w:rPr>
        <w:t> </w:t>
      </w:r>
      <w:r>
        <w:rPr/>
        <w:t>of</w:t>
      </w:r>
      <w:r>
        <w:rPr>
          <w:spacing w:val="-26"/>
        </w:rPr>
        <w:t> </w:t>
      </w:r>
      <w:r>
        <w:rPr/>
        <w:t>same</w:t>
      </w:r>
      <w:r>
        <w:rPr>
          <w:spacing w:val="-26"/>
        </w:rPr>
        <w:t> </w:t>
      </w:r>
      <w:r>
        <w:rPr/>
        <w:t>nature, location</w:t>
      </w:r>
      <w:r>
        <w:rPr>
          <w:spacing w:val="-34"/>
        </w:rPr>
        <w:t> </w:t>
      </w:r>
      <w:r>
        <w:rPr/>
        <w:t>within</w:t>
      </w:r>
      <w:r>
        <w:rPr>
          <w:spacing w:val="-34"/>
        </w:rPr>
        <w:t> </w:t>
      </w:r>
      <w:r>
        <w:rPr/>
        <w:t>the</w:t>
      </w:r>
      <w:r>
        <w:rPr>
          <w:spacing w:val="-33"/>
        </w:rPr>
        <w:t> </w:t>
      </w:r>
      <w:r>
        <w:rPr/>
        <w:t>respective</w:t>
      </w:r>
      <w:r>
        <w:rPr>
          <w:spacing w:val="-33"/>
        </w:rPr>
        <w:t> </w:t>
      </w:r>
      <w:r>
        <w:rPr/>
        <w:t>sub</w:t>
      </w:r>
      <w:r>
        <w:rPr>
          <w:spacing w:val="-33"/>
        </w:rPr>
        <w:t> </w:t>
      </w:r>
      <w:r>
        <w:rPr/>
        <w:t>market,</w:t>
      </w:r>
      <w:r>
        <w:rPr>
          <w:spacing w:val="-34"/>
        </w:rPr>
        <w:t> </w:t>
      </w:r>
      <w:r>
        <w:rPr/>
        <w:t>etc.</w:t>
      </w:r>
      <w:r>
        <w:rPr>
          <w:spacing w:val="-34"/>
        </w:rPr>
        <w:t> </w:t>
      </w:r>
      <w:r>
        <w:rPr/>
        <w:t>The</w:t>
      </w:r>
      <w:r>
        <w:rPr>
          <w:spacing w:val="-33"/>
        </w:rPr>
        <w:t> </w:t>
      </w:r>
      <w:r>
        <w:rPr/>
        <w:t>table</w:t>
      </w:r>
      <w:r>
        <w:rPr>
          <w:spacing w:val="-33"/>
        </w:rPr>
        <w:t> </w:t>
      </w:r>
      <w:r>
        <w:rPr/>
        <w:t>overleaf</w:t>
      </w:r>
      <w:r>
        <w:rPr>
          <w:spacing w:val="-33"/>
        </w:rPr>
        <w:t> </w:t>
      </w:r>
      <w:r>
        <w:rPr/>
        <w:t>highlights</w:t>
      </w:r>
      <w:r>
        <w:rPr>
          <w:spacing w:val="-33"/>
        </w:rPr>
        <w:t> </w:t>
      </w:r>
      <w:r>
        <w:rPr/>
        <w:t>the</w:t>
      </w:r>
      <w:r>
        <w:rPr>
          <w:spacing w:val="-34"/>
        </w:rPr>
        <w:t> </w:t>
      </w:r>
      <w:r>
        <w:rPr/>
        <w:t>absorption</w:t>
      </w:r>
      <w:r>
        <w:rPr>
          <w:spacing w:val="-34"/>
        </w:rPr>
        <w:t> </w:t>
      </w:r>
      <w:r>
        <w:rPr/>
        <w:t>assumptions adopted for the subject</w:t>
      </w:r>
      <w:r>
        <w:rPr>
          <w:spacing w:val="-18"/>
        </w:rPr>
        <w:t> </w:t>
      </w:r>
      <w:r>
        <w:rPr/>
        <w:t>development:</w:t>
      </w:r>
    </w:p>
    <w:p>
      <w:pPr>
        <w:pStyle w:val="BodyText"/>
        <w:spacing w:before="10"/>
        <w:rPr>
          <w:sz w:val="21"/>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8"/>
        <w:gridCol w:w="2018"/>
        <w:gridCol w:w="1356"/>
        <w:gridCol w:w="1471"/>
        <w:gridCol w:w="1548"/>
        <w:gridCol w:w="1440"/>
        <w:gridCol w:w="1519"/>
      </w:tblGrid>
      <w:tr>
        <w:trPr>
          <w:trHeight w:val="431" w:hRule="atLeast"/>
        </w:trPr>
        <w:tc>
          <w:tcPr>
            <w:tcW w:w="1138" w:type="dxa"/>
            <w:tcBorders>
              <w:top w:val="single" w:sz="12" w:space="0" w:color="1B6B22"/>
              <w:bottom w:val="single" w:sz="6" w:space="0" w:color="69BD28"/>
            </w:tcBorders>
            <w:shd w:val="clear" w:color="auto" w:fill="006A4D"/>
          </w:tcPr>
          <w:p>
            <w:pPr>
              <w:pStyle w:val="TableParagraph"/>
              <w:spacing w:before="111"/>
              <w:ind w:left="398"/>
              <w:jc w:val="left"/>
              <w:rPr>
                <w:b/>
                <w:sz w:val="18"/>
              </w:rPr>
            </w:pPr>
            <w:r>
              <w:rPr>
                <w:b/>
                <w:color w:val="FFFFFF"/>
                <w:w w:val="110"/>
                <w:sz w:val="18"/>
              </w:rPr>
              <w:t>Block</w:t>
            </w:r>
          </w:p>
        </w:tc>
        <w:tc>
          <w:tcPr>
            <w:tcW w:w="2018" w:type="dxa"/>
            <w:tcBorders>
              <w:top w:val="single" w:sz="12" w:space="0" w:color="1B6B22"/>
              <w:bottom w:val="single" w:sz="6" w:space="0" w:color="69BD28"/>
            </w:tcBorders>
            <w:shd w:val="clear" w:color="auto" w:fill="006A4D"/>
          </w:tcPr>
          <w:p>
            <w:pPr>
              <w:pStyle w:val="TableParagraph"/>
              <w:spacing w:before="3"/>
              <w:ind w:left="506"/>
              <w:jc w:val="left"/>
              <w:rPr>
                <w:b/>
                <w:sz w:val="18"/>
              </w:rPr>
            </w:pPr>
            <w:r>
              <w:rPr>
                <w:b/>
                <w:color w:val="FFFFFF"/>
                <w:w w:val="110"/>
                <w:sz w:val="18"/>
              </w:rPr>
              <w:t>Absorption</w:t>
            </w:r>
          </w:p>
          <w:p>
            <w:pPr>
              <w:pStyle w:val="TableParagraph"/>
              <w:spacing w:line="192" w:lineRule="exact" w:before="7"/>
              <w:ind w:left="597"/>
              <w:jc w:val="left"/>
              <w:rPr>
                <w:b/>
                <w:sz w:val="18"/>
              </w:rPr>
            </w:pPr>
            <w:r>
              <w:rPr>
                <w:b/>
                <w:color w:val="FFFFFF"/>
                <w:w w:val="105"/>
                <w:sz w:val="18"/>
              </w:rPr>
              <w:t>Schedule</w:t>
            </w:r>
          </w:p>
        </w:tc>
        <w:tc>
          <w:tcPr>
            <w:tcW w:w="1356" w:type="dxa"/>
            <w:tcBorders>
              <w:top w:val="single" w:sz="12" w:space="0" w:color="1B6B22"/>
              <w:bottom w:val="single" w:sz="6" w:space="0" w:color="69BD28"/>
            </w:tcBorders>
            <w:shd w:val="clear" w:color="auto" w:fill="006A4D"/>
          </w:tcPr>
          <w:p>
            <w:pPr>
              <w:pStyle w:val="TableParagraph"/>
              <w:spacing w:before="111"/>
              <w:ind w:left="31" w:right="170"/>
              <w:rPr>
                <w:b/>
                <w:sz w:val="18"/>
              </w:rPr>
            </w:pPr>
            <w:r>
              <w:rPr>
                <w:b/>
                <w:color w:val="FFFFFF"/>
                <w:w w:val="105"/>
                <w:sz w:val="18"/>
              </w:rPr>
              <w:t>FY 2020*</w:t>
            </w:r>
          </w:p>
        </w:tc>
        <w:tc>
          <w:tcPr>
            <w:tcW w:w="1471" w:type="dxa"/>
            <w:tcBorders>
              <w:top w:val="single" w:sz="12" w:space="0" w:color="1B6B22"/>
              <w:bottom w:val="single" w:sz="6" w:space="0" w:color="69BD28"/>
            </w:tcBorders>
            <w:shd w:val="clear" w:color="auto" w:fill="006A4D"/>
          </w:tcPr>
          <w:p>
            <w:pPr>
              <w:pStyle w:val="TableParagraph"/>
              <w:spacing w:before="111"/>
              <w:ind w:left="364" w:right="340"/>
              <w:rPr>
                <w:b/>
                <w:sz w:val="18"/>
              </w:rPr>
            </w:pPr>
            <w:r>
              <w:rPr>
                <w:b/>
                <w:color w:val="FFFFFF"/>
                <w:w w:val="105"/>
                <w:sz w:val="18"/>
              </w:rPr>
              <w:t>FY 2021</w:t>
            </w:r>
          </w:p>
        </w:tc>
        <w:tc>
          <w:tcPr>
            <w:tcW w:w="1548" w:type="dxa"/>
            <w:tcBorders>
              <w:top w:val="single" w:sz="12" w:space="0" w:color="1B6B22"/>
              <w:bottom w:val="single" w:sz="6" w:space="0" w:color="69BD28"/>
            </w:tcBorders>
            <w:shd w:val="clear" w:color="auto" w:fill="006A4D"/>
          </w:tcPr>
          <w:p>
            <w:pPr>
              <w:pStyle w:val="TableParagraph"/>
              <w:spacing w:before="111"/>
              <w:ind w:left="25" w:right="24"/>
              <w:rPr>
                <w:b/>
                <w:sz w:val="18"/>
              </w:rPr>
            </w:pPr>
            <w:r>
              <w:rPr>
                <w:b/>
                <w:color w:val="FFFFFF"/>
                <w:w w:val="105"/>
                <w:sz w:val="18"/>
              </w:rPr>
              <w:t>FY 2022</w:t>
            </w:r>
          </w:p>
        </w:tc>
        <w:tc>
          <w:tcPr>
            <w:tcW w:w="1440" w:type="dxa"/>
            <w:tcBorders>
              <w:top w:val="single" w:sz="12" w:space="0" w:color="1B6B22"/>
              <w:bottom w:val="single" w:sz="6" w:space="0" w:color="69BD28"/>
            </w:tcBorders>
            <w:shd w:val="clear" w:color="auto" w:fill="006A4D"/>
          </w:tcPr>
          <w:p>
            <w:pPr>
              <w:pStyle w:val="TableParagraph"/>
              <w:spacing w:before="111"/>
              <w:ind w:left="336" w:right="336"/>
              <w:rPr>
                <w:b/>
                <w:sz w:val="18"/>
              </w:rPr>
            </w:pPr>
            <w:r>
              <w:rPr>
                <w:b/>
                <w:color w:val="FFFFFF"/>
                <w:w w:val="105"/>
                <w:sz w:val="18"/>
              </w:rPr>
              <w:t>FY 2023</w:t>
            </w:r>
          </w:p>
        </w:tc>
        <w:tc>
          <w:tcPr>
            <w:tcW w:w="1519" w:type="dxa"/>
            <w:tcBorders>
              <w:top w:val="single" w:sz="12" w:space="0" w:color="1B6B22"/>
              <w:bottom w:val="single" w:sz="6" w:space="0" w:color="69BD28"/>
            </w:tcBorders>
            <w:shd w:val="clear" w:color="auto" w:fill="006A4D"/>
          </w:tcPr>
          <w:p>
            <w:pPr>
              <w:pStyle w:val="TableParagraph"/>
              <w:spacing w:before="111"/>
              <w:ind w:left="29" w:right="11"/>
              <w:rPr>
                <w:b/>
                <w:sz w:val="18"/>
              </w:rPr>
            </w:pPr>
            <w:r>
              <w:rPr>
                <w:b/>
                <w:color w:val="FFFFFF"/>
                <w:w w:val="105"/>
                <w:sz w:val="18"/>
              </w:rPr>
              <w:t>Total</w:t>
            </w:r>
          </w:p>
        </w:tc>
      </w:tr>
      <w:tr>
        <w:trPr>
          <w:trHeight w:val="300" w:hRule="atLeast"/>
        </w:trPr>
        <w:tc>
          <w:tcPr>
            <w:tcW w:w="1138" w:type="dxa"/>
            <w:tcBorders>
              <w:top w:val="single" w:sz="6" w:space="0" w:color="69BD28"/>
            </w:tcBorders>
          </w:tcPr>
          <w:p>
            <w:pPr>
              <w:pStyle w:val="TableParagraph"/>
              <w:spacing w:before="70"/>
              <w:ind w:left="406"/>
              <w:jc w:val="left"/>
              <w:rPr>
                <w:sz w:val="18"/>
              </w:rPr>
            </w:pPr>
            <w:r>
              <w:rPr>
                <w:sz w:val="18"/>
              </w:rPr>
              <w:t>Office</w:t>
            </w:r>
          </w:p>
        </w:tc>
        <w:tc>
          <w:tcPr>
            <w:tcW w:w="2018" w:type="dxa"/>
            <w:tcBorders>
              <w:top w:val="single" w:sz="6" w:space="0" w:color="69BD28"/>
            </w:tcBorders>
          </w:tcPr>
          <w:p>
            <w:pPr>
              <w:pStyle w:val="TableParagraph"/>
              <w:spacing w:before="32"/>
              <w:ind w:left="427"/>
              <w:jc w:val="left"/>
              <w:rPr>
                <w:sz w:val="18"/>
              </w:rPr>
            </w:pPr>
            <w:r>
              <w:rPr>
                <w:sz w:val="18"/>
              </w:rPr>
              <w:t>Percentage (%)</w:t>
            </w:r>
          </w:p>
        </w:tc>
        <w:tc>
          <w:tcPr>
            <w:tcW w:w="1356" w:type="dxa"/>
            <w:tcBorders>
              <w:top w:val="single" w:sz="6" w:space="0" w:color="69BD28"/>
            </w:tcBorders>
          </w:tcPr>
          <w:p>
            <w:pPr>
              <w:pStyle w:val="TableParagraph"/>
              <w:spacing w:before="32"/>
              <w:ind w:left="27" w:right="170"/>
              <w:rPr>
                <w:sz w:val="18"/>
              </w:rPr>
            </w:pPr>
            <w:r>
              <w:rPr>
                <w:w w:val="105"/>
                <w:sz w:val="18"/>
              </w:rPr>
              <w:t>7.1%</w:t>
            </w:r>
          </w:p>
        </w:tc>
        <w:tc>
          <w:tcPr>
            <w:tcW w:w="1471" w:type="dxa"/>
            <w:tcBorders>
              <w:top w:val="single" w:sz="6" w:space="0" w:color="69BD28"/>
            </w:tcBorders>
          </w:tcPr>
          <w:p>
            <w:pPr>
              <w:pStyle w:val="TableParagraph"/>
              <w:spacing w:before="32"/>
              <w:ind w:left="363" w:right="340"/>
              <w:rPr>
                <w:sz w:val="18"/>
              </w:rPr>
            </w:pPr>
            <w:r>
              <w:rPr>
                <w:w w:val="110"/>
                <w:sz w:val="18"/>
              </w:rPr>
              <w:t>20.7%</w:t>
            </w:r>
          </w:p>
        </w:tc>
        <w:tc>
          <w:tcPr>
            <w:tcW w:w="1548" w:type="dxa"/>
            <w:tcBorders>
              <w:top w:val="single" w:sz="6" w:space="0" w:color="69BD28"/>
            </w:tcBorders>
          </w:tcPr>
          <w:p>
            <w:pPr>
              <w:pStyle w:val="TableParagraph"/>
              <w:spacing w:before="32"/>
              <w:ind w:left="21" w:right="24"/>
              <w:rPr>
                <w:sz w:val="18"/>
              </w:rPr>
            </w:pPr>
            <w:r>
              <w:rPr>
                <w:w w:val="110"/>
                <w:sz w:val="18"/>
              </w:rPr>
              <w:t>41.3%</w:t>
            </w:r>
          </w:p>
        </w:tc>
        <w:tc>
          <w:tcPr>
            <w:tcW w:w="1440" w:type="dxa"/>
            <w:tcBorders>
              <w:top w:val="single" w:sz="6" w:space="0" w:color="69BD28"/>
            </w:tcBorders>
          </w:tcPr>
          <w:p>
            <w:pPr>
              <w:pStyle w:val="TableParagraph"/>
              <w:spacing w:before="32"/>
              <w:ind w:left="332" w:right="336"/>
              <w:rPr>
                <w:sz w:val="18"/>
              </w:rPr>
            </w:pPr>
            <w:r>
              <w:rPr>
                <w:w w:val="110"/>
                <w:sz w:val="18"/>
              </w:rPr>
              <w:t>31.0%</w:t>
            </w:r>
          </w:p>
        </w:tc>
        <w:tc>
          <w:tcPr>
            <w:tcW w:w="1519" w:type="dxa"/>
            <w:tcBorders>
              <w:top w:val="single" w:sz="6" w:space="0" w:color="69BD28"/>
            </w:tcBorders>
          </w:tcPr>
          <w:p>
            <w:pPr>
              <w:pStyle w:val="TableParagraph"/>
              <w:spacing w:before="32"/>
              <w:ind w:left="27" w:right="11"/>
              <w:rPr>
                <w:sz w:val="18"/>
              </w:rPr>
            </w:pPr>
            <w:r>
              <w:rPr>
                <w:w w:val="110"/>
                <w:sz w:val="18"/>
              </w:rPr>
              <w:t>100.0%</w:t>
            </w:r>
          </w:p>
        </w:tc>
      </w:tr>
      <w:tr>
        <w:trPr>
          <w:trHeight w:val="263" w:hRule="atLeast"/>
        </w:trPr>
        <w:tc>
          <w:tcPr>
            <w:tcW w:w="1138" w:type="dxa"/>
            <w:tcBorders>
              <w:bottom w:val="single" w:sz="6" w:space="0" w:color="69BD28"/>
            </w:tcBorders>
          </w:tcPr>
          <w:p>
            <w:pPr>
              <w:pStyle w:val="TableParagraph"/>
              <w:jc w:val="left"/>
              <w:rPr>
                <w:rFonts w:ascii="Times New Roman"/>
                <w:sz w:val="18"/>
              </w:rPr>
            </w:pPr>
          </w:p>
        </w:tc>
        <w:tc>
          <w:tcPr>
            <w:tcW w:w="2018" w:type="dxa"/>
            <w:tcBorders>
              <w:bottom w:val="single" w:sz="6" w:space="0" w:color="69BD28"/>
            </w:tcBorders>
          </w:tcPr>
          <w:p>
            <w:pPr>
              <w:pStyle w:val="TableParagraph"/>
              <w:spacing w:before="22"/>
              <w:ind w:right="312"/>
              <w:jc w:val="right"/>
              <w:rPr>
                <w:sz w:val="18"/>
              </w:rPr>
            </w:pPr>
            <w:r>
              <w:rPr>
                <w:sz w:val="18"/>
              </w:rPr>
              <w:t>Leasable Area (sf)</w:t>
            </w:r>
          </w:p>
        </w:tc>
        <w:tc>
          <w:tcPr>
            <w:tcW w:w="1356" w:type="dxa"/>
            <w:tcBorders>
              <w:bottom w:val="single" w:sz="6" w:space="0" w:color="69BD28"/>
            </w:tcBorders>
          </w:tcPr>
          <w:p>
            <w:pPr>
              <w:pStyle w:val="TableParagraph"/>
              <w:spacing w:before="22"/>
              <w:ind w:left="24" w:right="170"/>
              <w:rPr>
                <w:sz w:val="18"/>
              </w:rPr>
            </w:pPr>
            <w:r>
              <w:rPr>
                <w:w w:val="110"/>
                <w:sz w:val="18"/>
              </w:rPr>
              <w:t>13,775</w:t>
            </w:r>
          </w:p>
        </w:tc>
        <w:tc>
          <w:tcPr>
            <w:tcW w:w="1471" w:type="dxa"/>
            <w:tcBorders>
              <w:bottom w:val="single" w:sz="6" w:space="0" w:color="69BD28"/>
            </w:tcBorders>
          </w:tcPr>
          <w:p>
            <w:pPr>
              <w:pStyle w:val="TableParagraph"/>
              <w:spacing w:before="22"/>
              <w:ind w:left="360" w:right="340"/>
              <w:rPr>
                <w:sz w:val="18"/>
              </w:rPr>
            </w:pPr>
            <w:r>
              <w:rPr>
                <w:w w:val="110"/>
                <w:sz w:val="18"/>
              </w:rPr>
              <w:t>40,261</w:t>
            </w:r>
          </w:p>
        </w:tc>
        <w:tc>
          <w:tcPr>
            <w:tcW w:w="1548" w:type="dxa"/>
            <w:tcBorders>
              <w:bottom w:val="single" w:sz="6" w:space="0" w:color="69BD28"/>
            </w:tcBorders>
          </w:tcPr>
          <w:p>
            <w:pPr>
              <w:pStyle w:val="TableParagraph"/>
              <w:spacing w:before="22"/>
              <w:ind w:left="23" w:right="24"/>
              <w:rPr>
                <w:sz w:val="18"/>
              </w:rPr>
            </w:pPr>
            <w:r>
              <w:rPr>
                <w:w w:val="110"/>
                <w:sz w:val="18"/>
              </w:rPr>
              <w:t>80,521</w:t>
            </w:r>
          </w:p>
        </w:tc>
        <w:tc>
          <w:tcPr>
            <w:tcW w:w="1440" w:type="dxa"/>
            <w:tcBorders>
              <w:bottom w:val="single" w:sz="6" w:space="0" w:color="69BD28"/>
            </w:tcBorders>
          </w:tcPr>
          <w:p>
            <w:pPr>
              <w:pStyle w:val="TableParagraph"/>
              <w:spacing w:before="22"/>
              <w:ind w:left="334" w:right="336"/>
              <w:rPr>
                <w:sz w:val="18"/>
              </w:rPr>
            </w:pPr>
            <w:r>
              <w:rPr>
                <w:w w:val="110"/>
                <w:sz w:val="18"/>
              </w:rPr>
              <w:t>60,391</w:t>
            </w:r>
          </w:p>
        </w:tc>
        <w:tc>
          <w:tcPr>
            <w:tcW w:w="1519" w:type="dxa"/>
            <w:tcBorders>
              <w:bottom w:val="single" w:sz="6" w:space="0" w:color="69BD28"/>
            </w:tcBorders>
          </w:tcPr>
          <w:p>
            <w:pPr>
              <w:pStyle w:val="TableParagraph"/>
              <w:spacing w:before="22"/>
              <w:ind w:left="28" w:right="11"/>
              <w:rPr>
                <w:sz w:val="18"/>
              </w:rPr>
            </w:pPr>
            <w:r>
              <w:rPr>
                <w:w w:val="110"/>
                <w:sz w:val="18"/>
              </w:rPr>
              <w:t>194,948</w:t>
            </w:r>
          </w:p>
        </w:tc>
      </w:tr>
      <w:tr>
        <w:trPr>
          <w:trHeight w:val="299" w:hRule="atLeast"/>
        </w:trPr>
        <w:tc>
          <w:tcPr>
            <w:tcW w:w="1138" w:type="dxa"/>
            <w:tcBorders>
              <w:top w:val="single" w:sz="6" w:space="0" w:color="69BD28"/>
            </w:tcBorders>
          </w:tcPr>
          <w:p>
            <w:pPr>
              <w:pStyle w:val="TableParagraph"/>
              <w:spacing w:before="68"/>
              <w:ind w:left="432"/>
              <w:jc w:val="left"/>
              <w:rPr>
                <w:sz w:val="18"/>
              </w:rPr>
            </w:pPr>
            <w:r>
              <w:rPr>
                <w:sz w:val="18"/>
              </w:rPr>
              <w:t>Retail</w:t>
            </w:r>
          </w:p>
        </w:tc>
        <w:tc>
          <w:tcPr>
            <w:tcW w:w="2018" w:type="dxa"/>
            <w:tcBorders>
              <w:top w:val="single" w:sz="6" w:space="0" w:color="69BD28"/>
            </w:tcBorders>
          </w:tcPr>
          <w:p>
            <w:pPr>
              <w:pStyle w:val="TableParagraph"/>
              <w:spacing w:before="32"/>
              <w:ind w:left="427"/>
              <w:jc w:val="left"/>
              <w:rPr>
                <w:sz w:val="18"/>
              </w:rPr>
            </w:pPr>
            <w:r>
              <w:rPr>
                <w:sz w:val="18"/>
              </w:rPr>
              <w:t>Percentage (%)</w:t>
            </w:r>
          </w:p>
        </w:tc>
        <w:tc>
          <w:tcPr>
            <w:tcW w:w="1356" w:type="dxa"/>
            <w:tcBorders>
              <w:top w:val="single" w:sz="6" w:space="0" w:color="69BD28"/>
            </w:tcBorders>
          </w:tcPr>
          <w:p>
            <w:pPr>
              <w:pStyle w:val="TableParagraph"/>
              <w:spacing w:before="32"/>
              <w:ind w:left="27" w:right="170"/>
              <w:rPr>
                <w:sz w:val="18"/>
              </w:rPr>
            </w:pPr>
            <w:r>
              <w:rPr>
                <w:w w:val="110"/>
                <w:sz w:val="18"/>
              </w:rPr>
              <w:t>0.0%</w:t>
            </w:r>
          </w:p>
        </w:tc>
        <w:tc>
          <w:tcPr>
            <w:tcW w:w="1471" w:type="dxa"/>
            <w:tcBorders>
              <w:top w:val="single" w:sz="6" w:space="0" w:color="69BD28"/>
            </w:tcBorders>
          </w:tcPr>
          <w:p>
            <w:pPr>
              <w:pStyle w:val="TableParagraph"/>
              <w:spacing w:before="32"/>
              <w:ind w:left="363" w:right="340"/>
              <w:rPr>
                <w:sz w:val="18"/>
              </w:rPr>
            </w:pPr>
            <w:r>
              <w:rPr>
                <w:w w:val="110"/>
                <w:sz w:val="18"/>
              </w:rPr>
              <w:t>20.0%</w:t>
            </w:r>
          </w:p>
        </w:tc>
        <w:tc>
          <w:tcPr>
            <w:tcW w:w="1548" w:type="dxa"/>
            <w:tcBorders>
              <w:top w:val="single" w:sz="6" w:space="0" w:color="69BD28"/>
            </w:tcBorders>
          </w:tcPr>
          <w:p>
            <w:pPr>
              <w:pStyle w:val="TableParagraph"/>
              <w:spacing w:before="32"/>
              <w:ind w:left="22" w:right="24"/>
              <w:rPr>
                <w:sz w:val="18"/>
              </w:rPr>
            </w:pPr>
            <w:r>
              <w:rPr>
                <w:w w:val="110"/>
                <w:sz w:val="18"/>
              </w:rPr>
              <w:t>40.0%</w:t>
            </w:r>
          </w:p>
        </w:tc>
        <w:tc>
          <w:tcPr>
            <w:tcW w:w="1440" w:type="dxa"/>
            <w:tcBorders>
              <w:top w:val="single" w:sz="6" w:space="0" w:color="69BD28"/>
            </w:tcBorders>
          </w:tcPr>
          <w:p>
            <w:pPr>
              <w:pStyle w:val="TableParagraph"/>
              <w:spacing w:before="32"/>
              <w:ind w:left="332" w:right="336"/>
              <w:rPr>
                <w:sz w:val="18"/>
              </w:rPr>
            </w:pPr>
            <w:r>
              <w:rPr>
                <w:w w:val="110"/>
                <w:sz w:val="18"/>
              </w:rPr>
              <w:t>40.0%</w:t>
            </w:r>
          </w:p>
        </w:tc>
        <w:tc>
          <w:tcPr>
            <w:tcW w:w="1519" w:type="dxa"/>
            <w:tcBorders>
              <w:top w:val="single" w:sz="6" w:space="0" w:color="69BD28"/>
            </w:tcBorders>
          </w:tcPr>
          <w:p>
            <w:pPr>
              <w:pStyle w:val="TableParagraph"/>
              <w:spacing w:before="32"/>
              <w:ind w:left="27" w:right="11"/>
              <w:rPr>
                <w:sz w:val="18"/>
              </w:rPr>
            </w:pPr>
            <w:r>
              <w:rPr>
                <w:w w:val="110"/>
                <w:sz w:val="18"/>
              </w:rPr>
              <w:t>100.0%</w:t>
            </w:r>
          </w:p>
        </w:tc>
      </w:tr>
      <w:tr>
        <w:trPr>
          <w:trHeight w:val="264" w:hRule="atLeast"/>
        </w:trPr>
        <w:tc>
          <w:tcPr>
            <w:tcW w:w="1138" w:type="dxa"/>
            <w:tcBorders>
              <w:bottom w:val="single" w:sz="6" w:space="0" w:color="69BD28"/>
            </w:tcBorders>
          </w:tcPr>
          <w:p>
            <w:pPr>
              <w:pStyle w:val="TableParagraph"/>
              <w:jc w:val="left"/>
              <w:rPr>
                <w:rFonts w:ascii="Times New Roman"/>
                <w:sz w:val="18"/>
              </w:rPr>
            </w:pPr>
          </w:p>
        </w:tc>
        <w:tc>
          <w:tcPr>
            <w:tcW w:w="2018" w:type="dxa"/>
            <w:tcBorders>
              <w:bottom w:val="single" w:sz="6" w:space="0" w:color="69BD28"/>
            </w:tcBorders>
          </w:tcPr>
          <w:p>
            <w:pPr>
              <w:pStyle w:val="TableParagraph"/>
              <w:spacing w:before="23"/>
              <w:ind w:right="312"/>
              <w:jc w:val="right"/>
              <w:rPr>
                <w:sz w:val="18"/>
              </w:rPr>
            </w:pPr>
            <w:r>
              <w:rPr>
                <w:sz w:val="18"/>
              </w:rPr>
              <w:t>Leasable Area (sf)</w:t>
            </w:r>
          </w:p>
        </w:tc>
        <w:tc>
          <w:tcPr>
            <w:tcW w:w="1356" w:type="dxa"/>
            <w:tcBorders>
              <w:bottom w:val="single" w:sz="6" w:space="0" w:color="69BD28"/>
            </w:tcBorders>
          </w:tcPr>
          <w:p>
            <w:pPr>
              <w:pStyle w:val="TableParagraph"/>
              <w:spacing w:before="23"/>
              <w:ind w:right="143"/>
              <w:rPr>
                <w:sz w:val="18"/>
              </w:rPr>
            </w:pPr>
            <w:r>
              <w:rPr>
                <w:w w:val="99"/>
                <w:sz w:val="18"/>
              </w:rPr>
              <w:t>-</w:t>
            </w:r>
          </w:p>
        </w:tc>
        <w:tc>
          <w:tcPr>
            <w:tcW w:w="1471" w:type="dxa"/>
            <w:tcBorders>
              <w:bottom w:val="single" w:sz="6" w:space="0" w:color="69BD28"/>
            </w:tcBorders>
          </w:tcPr>
          <w:p>
            <w:pPr>
              <w:pStyle w:val="TableParagraph"/>
              <w:spacing w:before="23"/>
              <w:ind w:left="360" w:right="340"/>
              <w:rPr>
                <w:sz w:val="18"/>
              </w:rPr>
            </w:pPr>
            <w:r>
              <w:rPr>
                <w:w w:val="110"/>
                <w:sz w:val="18"/>
              </w:rPr>
              <w:t>11,030</w:t>
            </w:r>
          </w:p>
        </w:tc>
        <w:tc>
          <w:tcPr>
            <w:tcW w:w="1548" w:type="dxa"/>
            <w:tcBorders>
              <w:bottom w:val="single" w:sz="6" w:space="0" w:color="69BD28"/>
            </w:tcBorders>
          </w:tcPr>
          <w:p>
            <w:pPr>
              <w:pStyle w:val="TableParagraph"/>
              <w:spacing w:before="23"/>
              <w:ind w:left="23" w:right="24"/>
              <w:rPr>
                <w:sz w:val="18"/>
              </w:rPr>
            </w:pPr>
            <w:r>
              <w:rPr>
                <w:w w:val="110"/>
                <w:sz w:val="18"/>
              </w:rPr>
              <w:t>22,059</w:t>
            </w:r>
          </w:p>
        </w:tc>
        <w:tc>
          <w:tcPr>
            <w:tcW w:w="1440" w:type="dxa"/>
            <w:tcBorders>
              <w:bottom w:val="single" w:sz="6" w:space="0" w:color="69BD28"/>
            </w:tcBorders>
          </w:tcPr>
          <w:p>
            <w:pPr>
              <w:pStyle w:val="TableParagraph"/>
              <w:spacing w:before="23"/>
              <w:ind w:left="334" w:right="336"/>
              <w:rPr>
                <w:sz w:val="18"/>
              </w:rPr>
            </w:pPr>
            <w:r>
              <w:rPr>
                <w:w w:val="110"/>
                <w:sz w:val="18"/>
              </w:rPr>
              <w:t>22,059</w:t>
            </w:r>
          </w:p>
        </w:tc>
        <w:tc>
          <w:tcPr>
            <w:tcW w:w="1519" w:type="dxa"/>
            <w:tcBorders>
              <w:bottom w:val="single" w:sz="6" w:space="0" w:color="69BD28"/>
            </w:tcBorders>
          </w:tcPr>
          <w:p>
            <w:pPr>
              <w:pStyle w:val="TableParagraph"/>
              <w:spacing w:before="23"/>
              <w:ind w:left="29" w:right="11"/>
              <w:rPr>
                <w:sz w:val="18"/>
              </w:rPr>
            </w:pPr>
            <w:r>
              <w:rPr>
                <w:w w:val="110"/>
                <w:sz w:val="18"/>
              </w:rPr>
              <w:t>55,148</w:t>
            </w:r>
          </w:p>
        </w:tc>
      </w:tr>
      <w:tr>
        <w:trPr>
          <w:trHeight w:val="273" w:hRule="atLeast"/>
        </w:trPr>
        <w:tc>
          <w:tcPr>
            <w:tcW w:w="1138" w:type="dxa"/>
            <w:tcBorders>
              <w:top w:val="single" w:sz="6" w:space="0" w:color="69BD28"/>
              <w:bottom w:val="single" w:sz="4" w:space="0" w:color="92D050"/>
            </w:tcBorders>
          </w:tcPr>
          <w:p>
            <w:pPr>
              <w:pStyle w:val="TableParagraph"/>
              <w:spacing w:before="32"/>
              <w:ind w:right="26"/>
              <w:jc w:val="right"/>
              <w:rPr>
                <w:sz w:val="18"/>
              </w:rPr>
            </w:pPr>
            <w:r>
              <w:rPr>
                <w:w w:val="90"/>
                <w:sz w:val="18"/>
              </w:rPr>
              <w:t>Total</w:t>
            </w:r>
          </w:p>
        </w:tc>
        <w:tc>
          <w:tcPr>
            <w:tcW w:w="2018" w:type="dxa"/>
            <w:tcBorders>
              <w:top w:val="single" w:sz="6" w:space="0" w:color="69BD28"/>
              <w:bottom w:val="single" w:sz="4" w:space="0" w:color="92D050"/>
            </w:tcBorders>
          </w:tcPr>
          <w:p>
            <w:pPr>
              <w:pStyle w:val="TableParagraph"/>
              <w:spacing w:before="32"/>
              <w:ind w:left="23"/>
              <w:jc w:val="left"/>
              <w:rPr>
                <w:sz w:val="18"/>
              </w:rPr>
            </w:pPr>
            <w:r>
              <w:rPr>
                <w:sz w:val="18"/>
              </w:rPr>
              <w:t>Absorption (%)</w:t>
            </w:r>
          </w:p>
        </w:tc>
        <w:tc>
          <w:tcPr>
            <w:tcW w:w="1356" w:type="dxa"/>
            <w:tcBorders>
              <w:top w:val="single" w:sz="6" w:space="0" w:color="69BD28"/>
              <w:bottom w:val="single" w:sz="4" w:space="0" w:color="92D050"/>
            </w:tcBorders>
          </w:tcPr>
          <w:p>
            <w:pPr>
              <w:pStyle w:val="TableParagraph"/>
              <w:spacing w:before="32"/>
              <w:ind w:left="29" w:right="170"/>
              <w:rPr>
                <w:sz w:val="18"/>
              </w:rPr>
            </w:pPr>
            <w:r>
              <w:rPr>
                <w:w w:val="105"/>
                <w:sz w:val="18"/>
              </w:rPr>
              <w:t>5.5%</w:t>
            </w:r>
          </w:p>
        </w:tc>
        <w:tc>
          <w:tcPr>
            <w:tcW w:w="1471" w:type="dxa"/>
            <w:tcBorders>
              <w:top w:val="single" w:sz="6" w:space="0" w:color="69BD28"/>
              <w:bottom w:val="single" w:sz="4" w:space="0" w:color="92D050"/>
            </w:tcBorders>
          </w:tcPr>
          <w:p>
            <w:pPr>
              <w:pStyle w:val="TableParagraph"/>
              <w:spacing w:before="32"/>
              <w:ind w:left="360" w:right="340"/>
              <w:rPr>
                <w:sz w:val="18"/>
              </w:rPr>
            </w:pPr>
            <w:r>
              <w:rPr>
                <w:w w:val="110"/>
                <w:sz w:val="18"/>
              </w:rPr>
              <w:t>20.5%</w:t>
            </w:r>
          </w:p>
        </w:tc>
        <w:tc>
          <w:tcPr>
            <w:tcW w:w="1548" w:type="dxa"/>
            <w:tcBorders>
              <w:top w:val="single" w:sz="6" w:space="0" w:color="69BD28"/>
              <w:bottom w:val="single" w:sz="4" w:space="0" w:color="92D050"/>
            </w:tcBorders>
          </w:tcPr>
          <w:p>
            <w:pPr>
              <w:pStyle w:val="TableParagraph"/>
              <w:spacing w:before="32"/>
              <w:ind w:left="24" w:right="24"/>
              <w:rPr>
                <w:sz w:val="18"/>
              </w:rPr>
            </w:pPr>
            <w:r>
              <w:rPr>
                <w:w w:val="110"/>
                <w:sz w:val="18"/>
              </w:rPr>
              <w:t>41.0%</w:t>
            </w:r>
          </w:p>
        </w:tc>
        <w:tc>
          <w:tcPr>
            <w:tcW w:w="1440" w:type="dxa"/>
            <w:tcBorders>
              <w:top w:val="single" w:sz="6" w:space="0" w:color="69BD28"/>
              <w:bottom w:val="single" w:sz="4" w:space="0" w:color="92D050"/>
            </w:tcBorders>
          </w:tcPr>
          <w:p>
            <w:pPr>
              <w:pStyle w:val="TableParagraph"/>
              <w:spacing w:before="32"/>
              <w:ind w:left="334" w:right="336"/>
              <w:rPr>
                <w:sz w:val="18"/>
              </w:rPr>
            </w:pPr>
            <w:r>
              <w:rPr>
                <w:w w:val="110"/>
                <w:sz w:val="18"/>
              </w:rPr>
              <w:t>33.0%</w:t>
            </w:r>
          </w:p>
        </w:tc>
        <w:tc>
          <w:tcPr>
            <w:tcW w:w="1519" w:type="dxa"/>
            <w:tcBorders>
              <w:top w:val="single" w:sz="6" w:space="0" w:color="69BD28"/>
              <w:bottom w:val="single" w:sz="4" w:space="0" w:color="92D050"/>
            </w:tcBorders>
          </w:tcPr>
          <w:p>
            <w:pPr>
              <w:pStyle w:val="TableParagraph"/>
              <w:spacing w:before="32"/>
              <w:ind w:left="29" w:right="11"/>
              <w:rPr>
                <w:sz w:val="18"/>
              </w:rPr>
            </w:pPr>
            <w:r>
              <w:rPr>
                <w:w w:val="110"/>
                <w:sz w:val="18"/>
              </w:rPr>
              <w:t>100.0%</w:t>
            </w:r>
          </w:p>
        </w:tc>
      </w:tr>
      <w:tr>
        <w:trPr>
          <w:trHeight w:val="275" w:hRule="atLeast"/>
        </w:trPr>
        <w:tc>
          <w:tcPr>
            <w:tcW w:w="1138" w:type="dxa"/>
            <w:tcBorders>
              <w:top w:val="single" w:sz="4" w:space="0" w:color="92D050"/>
              <w:bottom w:val="single" w:sz="6" w:space="0" w:color="69BD28"/>
            </w:tcBorders>
          </w:tcPr>
          <w:p>
            <w:pPr>
              <w:pStyle w:val="TableParagraph"/>
              <w:spacing w:before="32"/>
              <w:ind w:right="22"/>
              <w:jc w:val="right"/>
              <w:rPr>
                <w:sz w:val="18"/>
              </w:rPr>
            </w:pPr>
            <w:r>
              <w:rPr>
                <w:w w:val="90"/>
                <w:sz w:val="18"/>
              </w:rPr>
              <w:t>Total</w:t>
            </w:r>
          </w:p>
        </w:tc>
        <w:tc>
          <w:tcPr>
            <w:tcW w:w="2018" w:type="dxa"/>
            <w:tcBorders>
              <w:top w:val="single" w:sz="4" w:space="0" w:color="92D050"/>
              <w:bottom w:val="single" w:sz="6" w:space="0" w:color="69BD28"/>
            </w:tcBorders>
          </w:tcPr>
          <w:p>
            <w:pPr>
              <w:pStyle w:val="TableParagraph"/>
              <w:spacing w:before="32"/>
              <w:ind w:left="28"/>
              <w:jc w:val="left"/>
              <w:rPr>
                <w:sz w:val="18"/>
              </w:rPr>
            </w:pPr>
            <w:r>
              <w:rPr>
                <w:sz w:val="18"/>
              </w:rPr>
              <w:t>Absorption (sf)</w:t>
            </w:r>
          </w:p>
        </w:tc>
        <w:tc>
          <w:tcPr>
            <w:tcW w:w="1356" w:type="dxa"/>
            <w:tcBorders>
              <w:top w:val="single" w:sz="4" w:space="0" w:color="92D050"/>
              <w:bottom w:val="single" w:sz="6" w:space="0" w:color="69BD28"/>
            </w:tcBorders>
          </w:tcPr>
          <w:p>
            <w:pPr>
              <w:pStyle w:val="TableParagraph"/>
              <w:spacing w:before="32"/>
              <w:ind w:left="29" w:right="170"/>
              <w:rPr>
                <w:sz w:val="18"/>
              </w:rPr>
            </w:pPr>
            <w:r>
              <w:rPr>
                <w:w w:val="105"/>
                <w:sz w:val="18"/>
              </w:rPr>
              <w:t>13,775</w:t>
            </w:r>
          </w:p>
        </w:tc>
        <w:tc>
          <w:tcPr>
            <w:tcW w:w="1471" w:type="dxa"/>
            <w:tcBorders>
              <w:top w:val="single" w:sz="4" w:space="0" w:color="92D050"/>
              <w:bottom w:val="single" w:sz="6" w:space="0" w:color="69BD28"/>
            </w:tcBorders>
          </w:tcPr>
          <w:p>
            <w:pPr>
              <w:pStyle w:val="TableParagraph"/>
              <w:spacing w:before="32"/>
              <w:ind w:left="364" w:right="339"/>
              <w:rPr>
                <w:sz w:val="18"/>
              </w:rPr>
            </w:pPr>
            <w:r>
              <w:rPr>
                <w:w w:val="105"/>
                <w:sz w:val="18"/>
              </w:rPr>
              <w:t>51,290</w:t>
            </w:r>
          </w:p>
        </w:tc>
        <w:tc>
          <w:tcPr>
            <w:tcW w:w="1548" w:type="dxa"/>
            <w:tcBorders>
              <w:top w:val="single" w:sz="4" w:space="0" w:color="92D050"/>
              <w:bottom w:val="single" w:sz="6" w:space="0" w:color="69BD28"/>
            </w:tcBorders>
          </w:tcPr>
          <w:p>
            <w:pPr>
              <w:pStyle w:val="TableParagraph"/>
              <w:spacing w:before="32"/>
              <w:ind w:left="23" w:right="24"/>
              <w:rPr>
                <w:sz w:val="18"/>
              </w:rPr>
            </w:pPr>
            <w:r>
              <w:rPr>
                <w:w w:val="110"/>
                <w:sz w:val="18"/>
              </w:rPr>
              <w:t>102,580</w:t>
            </w:r>
          </w:p>
        </w:tc>
        <w:tc>
          <w:tcPr>
            <w:tcW w:w="1440" w:type="dxa"/>
            <w:tcBorders>
              <w:top w:val="single" w:sz="4" w:space="0" w:color="92D050"/>
              <w:bottom w:val="single" w:sz="6" w:space="0" w:color="69BD28"/>
            </w:tcBorders>
          </w:tcPr>
          <w:p>
            <w:pPr>
              <w:pStyle w:val="TableParagraph"/>
              <w:spacing w:before="32"/>
              <w:ind w:left="334" w:right="336"/>
              <w:rPr>
                <w:sz w:val="18"/>
              </w:rPr>
            </w:pPr>
            <w:r>
              <w:rPr>
                <w:w w:val="110"/>
                <w:sz w:val="18"/>
              </w:rPr>
              <w:t>82,450</w:t>
            </w:r>
          </w:p>
        </w:tc>
        <w:tc>
          <w:tcPr>
            <w:tcW w:w="1519" w:type="dxa"/>
            <w:tcBorders>
              <w:top w:val="single" w:sz="4" w:space="0" w:color="92D050"/>
              <w:bottom w:val="single" w:sz="6" w:space="0" w:color="69BD28"/>
            </w:tcBorders>
          </w:tcPr>
          <w:p>
            <w:pPr>
              <w:pStyle w:val="TableParagraph"/>
              <w:spacing w:before="32"/>
              <w:ind w:left="28" w:right="11"/>
              <w:rPr>
                <w:sz w:val="18"/>
              </w:rPr>
            </w:pPr>
            <w:r>
              <w:rPr>
                <w:w w:val="110"/>
                <w:sz w:val="18"/>
              </w:rPr>
              <w:t>250,096</w:t>
            </w:r>
          </w:p>
        </w:tc>
      </w:tr>
    </w:tbl>
    <w:p>
      <w:pPr>
        <w:spacing w:before="0"/>
        <w:ind w:left="1246" w:right="0" w:firstLine="0"/>
        <w:jc w:val="both"/>
        <w:rPr>
          <w:i/>
          <w:sz w:val="18"/>
        </w:rPr>
      </w:pPr>
      <w:r>
        <w:rPr>
          <w:i/>
          <w:sz w:val="18"/>
        </w:rPr>
        <w:t>Source: Valuer’s assessment; Indicates area leased as on date of valuation</w:t>
      </w:r>
    </w:p>
    <w:p>
      <w:pPr>
        <w:pStyle w:val="BodyText"/>
        <w:spacing w:before="11"/>
        <w:rPr>
          <w:i/>
          <w:sz w:val="26"/>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42" w:id="667"/>
      <w:bookmarkEnd w:id="667"/>
      <w:r>
        <w:rPr/>
      </w:r>
      <w:bookmarkStart w:name="_bookmark342" w:id="668"/>
      <w:bookmarkEnd w:id="668"/>
      <w:r>
        <w:rPr>
          <w:color w:val="1F664D"/>
          <w:w w:val="105"/>
          <w:sz w:val="22"/>
        </w:rPr>
        <w:t>R</w:t>
      </w:r>
      <w:r>
        <w:rPr>
          <w:color w:val="1F664D"/>
          <w:w w:val="105"/>
          <w:sz w:val="22"/>
        </w:rPr>
        <w:t>evenue Assumptions – Office and</w:t>
      </w:r>
      <w:r>
        <w:rPr>
          <w:color w:val="1F664D"/>
          <w:spacing w:val="-28"/>
          <w:w w:val="105"/>
          <w:sz w:val="22"/>
        </w:rPr>
        <w:t> </w:t>
      </w:r>
      <w:r>
        <w:rPr>
          <w:color w:val="1F664D"/>
          <w:w w:val="105"/>
          <w:sz w:val="22"/>
        </w:rPr>
        <w:t>Retail</w:t>
      </w:r>
    </w:p>
    <w:p>
      <w:pPr>
        <w:pStyle w:val="BodyText"/>
        <w:spacing w:before="4"/>
        <w:rPr>
          <w:sz w:val="25"/>
        </w:rPr>
      </w:pPr>
    </w:p>
    <w:p>
      <w:pPr>
        <w:pStyle w:val="ListParagraph"/>
        <w:numPr>
          <w:ilvl w:val="3"/>
          <w:numId w:val="85"/>
        </w:numPr>
        <w:tabs>
          <w:tab w:pos="1545" w:val="left" w:leader="none"/>
        </w:tabs>
        <w:spacing w:line="240" w:lineRule="auto" w:before="0" w:after="0"/>
        <w:ind w:left="1544" w:right="0" w:hanging="865"/>
        <w:jc w:val="left"/>
        <w:rPr>
          <w:i/>
          <w:sz w:val="20"/>
        </w:rPr>
      </w:pPr>
      <w:r>
        <w:rPr>
          <w:i/>
          <w:color w:val="008000"/>
          <w:sz w:val="20"/>
        </w:rPr>
        <w:t>Lease rent</w:t>
      </w:r>
      <w:r>
        <w:rPr>
          <w:i/>
          <w:color w:val="008000"/>
          <w:spacing w:val="-8"/>
          <w:sz w:val="20"/>
        </w:rPr>
        <w:t> </w:t>
      </w:r>
      <w:r>
        <w:rPr>
          <w:i/>
          <w:color w:val="008000"/>
          <w:sz w:val="20"/>
        </w:rPr>
        <w:t>assumptions</w:t>
      </w:r>
    </w:p>
    <w:p>
      <w:pPr>
        <w:pStyle w:val="BodyText"/>
        <w:spacing w:before="5"/>
        <w:rPr>
          <w:i/>
          <w:sz w:val="24"/>
        </w:rPr>
      </w:pPr>
    </w:p>
    <w:p>
      <w:pPr>
        <w:pStyle w:val="ListParagraph"/>
        <w:numPr>
          <w:ilvl w:val="4"/>
          <w:numId w:val="85"/>
        </w:numPr>
        <w:tabs>
          <w:tab w:pos="1869" w:val="left" w:leader="none"/>
        </w:tabs>
        <w:spacing w:line="240" w:lineRule="auto" w:before="1" w:after="0"/>
        <w:ind w:left="1868" w:right="0" w:hanging="1009"/>
        <w:jc w:val="left"/>
        <w:rPr>
          <w:sz w:val="22"/>
        </w:rPr>
      </w:pPr>
      <w:r>
        <w:rPr>
          <w:color w:val="1F664D"/>
          <w:sz w:val="22"/>
        </w:rPr>
        <w:t>Office Component</w:t>
      </w:r>
    </w:p>
    <w:p>
      <w:pPr>
        <w:pStyle w:val="BodyText"/>
        <w:spacing w:before="6"/>
        <w:rPr>
          <w:sz w:val="25"/>
        </w:rPr>
      </w:pPr>
    </w:p>
    <w:p>
      <w:pPr>
        <w:pStyle w:val="BodyText"/>
        <w:spacing w:line="321" w:lineRule="auto"/>
        <w:ind w:left="1227" w:right="675"/>
        <w:jc w:val="both"/>
      </w:pPr>
      <w:r>
        <w:rPr/>
        <w:t>As</w:t>
      </w:r>
      <w:r>
        <w:rPr>
          <w:spacing w:val="-25"/>
        </w:rPr>
        <w:t> </w:t>
      </w:r>
      <w:r>
        <w:rPr/>
        <w:t>highlighted</w:t>
      </w:r>
      <w:r>
        <w:rPr>
          <w:spacing w:val="-25"/>
        </w:rPr>
        <w:t> </w:t>
      </w:r>
      <w:r>
        <w:rPr/>
        <w:t>in</w:t>
      </w:r>
      <w:r>
        <w:rPr>
          <w:spacing w:val="-26"/>
        </w:rPr>
        <w:t> </w:t>
      </w:r>
      <w:r>
        <w:rPr/>
        <w:t>the</w:t>
      </w:r>
      <w:r>
        <w:rPr>
          <w:spacing w:val="-26"/>
        </w:rPr>
        <w:t> </w:t>
      </w:r>
      <w:r>
        <w:rPr/>
        <w:t>section</w:t>
      </w:r>
      <w:r>
        <w:rPr>
          <w:spacing w:val="-26"/>
        </w:rPr>
        <w:t> </w:t>
      </w:r>
      <w:r>
        <w:rPr/>
        <w:t>above</w:t>
      </w:r>
      <w:r>
        <w:rPr>
          <w:spacing w:val="-26"/>
        </w:rPr>
        <w:t> </w:t>
      </w:r>
      <w:r>
        <w:rPr/>
        <w:t>an</w:t>
      </w:r>
      <w:r>
        <w:rPr>
          <w:spacing w:val="-25"/>
        </w:rPr>
        <w:t> </w:t>
      </w:r>
      <w:r>
        <w:rPr/>
        <w:t>in-depth</w:t>
      </w:r>
      <w:r>
        <w:rPr>
          <w:spacing w:val="-25"/>
        </w:rPr>
        <w:t> </w:t>
      </w:r>
      <w:r>
        <w:rPr/>
        <w:t>market</w:t>
      </w:r>
      <w:r>
        <w:rPr>
          <w:spacing w:val="-25"/>
        </w:rPr>
        <w:t> </w:t>
      </w:r>
      <w:r>
        <w:rPr/>
        <w:t>research</w:t>
      </w:r>
      <w:r>
        <w:rPr>
          <w:spacing w:val="-26"/>
        </w:rPr>
        <w:t> </w:t>
      </w:r>
      <w:r>
        <w:rPr/>
        <w:t>exercise</w:t>
      </w:r>
      <w:r>
        <w:rPr>
          <w:spacing w:val="-25"/>
        </w:rPr>
        <w:t> </w:t>
      </w:r>
      <w:r>
        <w:rPr/>
        <w:t>has</w:t>
      </w:r>
      <w:r>
        <w:rPr>
          <w:spacing w:val="-24"/>
        </w:rPr>
        <w:t> </w:t>
      </w:r>
      <w:r>
        <w:rPr/>
        <w:t>been</w:t>
      </w:r>
      <w:r>
        <w:rPr>
          <w:spacing w:val="-26"/>
        </w:rPr>
        <w:t> </w:t>
      </w:r>
      <w:r>
        <w:rPr/>
        <w:t>undertaken</w:t>
      </w:r>
      <w:r>
        <w:rPr>
          <w:spacing w:val="-26"/>
        </w:rPr>
        <w:t> </w:t>
      </w:r>
      <w:r>
        <w:rPr/>
        <w:t>to</w:t>
      </w:r>
      <w:r>
        <w:rPr>
          <w:spacing w:val="-25"/>
        </w:rPr>
        <w:t> </w:t>
      </w:r>
      <w:r>
        <w:rPr/>
        <w:t>assess the prevailing rent values in the subject sub</w:t>
      </w:r>
      <w:r>
        <w:rPr>
          <w:spacing w:val="-42"/>
        </w:rPr>
        <w:t> </w:t>
      </w:r>
      <w:r>
        <w:rPr/>
        <w:t>market.</w:t>
      </w:r>
    </w:p>
    <w:p>
      <w:pPr>
        <w:pStyle w:val="BodyText"/>
        <w:spacing w:before="9"/>
        <w:rPr>
          <w:sz w:val="20"/>
        </w:rPr>
      </w:pPr>
    </w:p>
    <w:p>
      <w:pPr>
        <w:pStyle w:val="BodyText"/>
        <w:spacing w:line="321" w:lineRule="auto"/>
        <w:ind w:left="1227" w:right="673"/>
        <w:jc w:val="both"/>
      </w:pPr>
      <w:r>
        <w:rPr/>
        <w:t>Considering</w:t>
      </w:r>
      <w:r>
        <w:rPr>
          <w:spacing w:val="-29"/>
        </w:rPr>
        <w:t> </w:t>
      </w:r>
      <w:r>
        <w:rPr/>
        <w:t>the</w:t>
      </w:r>
      <w:r>
        <w:rPr>
          <w:spacing w:val="-28"/>
        </w:rPr>
        <w:t> </w:t>
      </w:r>
      <w:r>
        <w:rPr/>
        <w:t>above</w:t>
      </w:r>
      <w:r>
        <w:rPr>
          <w:spacing w:val="-28"/>
        </w:rPr>
        <w:t> </w:t>
      </w:r>
      <w:r>
        <w:rPr/>
        <w:t>analysis,</w:t>
      </w:r>
      <w:r>
        <w:rPr>
          <w:spacing w:val="-30"/>
        </w:rPr>
        <w:t> </w:t>
      </w:r>
      <w:r>
        <w:rPr/>
        <w:t>feedback</w:t>
      </w:r>
      <w:r>
        <w:rPr>
          <w:spacing w:val="-28"/>
        </w:rPr>
        <w:t> </w:t>
      </w:r>
      <w:r>
        <w:rPr/>
        <w:t>from</w:t>
      </w:r>
      <w:r>
        <w:rPr>
          <w:spacing w:val="-28"/>
        </w:rPr>
        <w:t> </w:t>
      </w:r>
      <w:r>
        <w:rPr/>
        <w:t>the</w:t>
      </w:r>
      <w:r>
        <w:rPr>
          <w:spacing w:val="-28"/>
        </w:rPr>
        <w:t> </w:t>
      </w:r>
      <w:r>
        <w:rPr/>
        <w:t>market</w:t>
      </w:r>
      <w:r>
        <w:rPr>
          <w:spacing w:val="-27"/>
        </w:rPr>
        <w:t> </w:t>
      </w:r>
      <w:r>
        <w:rPr/>
        <w:t>participants</w:t>
      </w:r>
      <w:r>
        <w:rPr>
          <w:spacing w:val="-26"/>
        </w:rPr>
        <w:t> </w:t>
      </w:r>
      <w:r>
        <w:rPr/>
        <w:t>and</w:t>
      </w:r>
      <w:r>
        <w:rPr>
          <w:spacing w:val="-29"/>
        </w:rPr>
        <w:t> </w:t>
      </w:r>
      <w:r>
        <w:rPr/>
        <w:t>based</w:t>
      </w:r>
      <w:r>
        <w:rPr>
          <w:spacing w:val="-27"/>
        </w:rPr>
        <w:t> </w:t>
      </w:r>
      <w:r>
        <w:rPr/>
        <w:t>on</w:t>
      </w:r>
      <w:r>
        <w:rPr>
          <w:spacing w:val="-28"/>
        </w:rPr>
        <w:t> </w:t>
      </w:r>
      <w:r>
        <w:rPr/>
        <w:t>the</w:t>
      </w:r>
      <w:r>
        <w:rPr>
          <w:spacing w:val="-29"/>
        </w:rPr>
        <w:t> </w:t>
      </w:r>
      <w:r>
        <w:rPr/>
        <w:t>prevailing</w:t>
      </w:r>
      <w:r>
        <w:rPr>
          <w:spacing w:val="-23"/>
        </w:rPr>
        <w:t> </w:t>
      </w:r>
      <w:r>
        <w:rPr/>
        <w:t>rent in</w:t>
      </w:r>
      <w:r>
        <w:rPr>
          <w:spacing w:val="-42"/>
        </w:rPr>
        <w:t> </w:t>
      </w:r>
      <w:r>
        <w:rPr/>
        <w:t>the</w:t>
      </w:r>
      <w:r>
        <w:rPr>
          <w:spacing w:val="-41"/>
        </w:rPr>
        <w:t> </w:t>
      </w:r>
      <w:r>
        <w:rPr/>
        <w:t>subject</w:t>
      </w:r>
      <w:r>
        <w:rPr>
          <w:spacing w:val="-41"/>
        </w:rPr>
        <w:t> </w:t>
      </w:r>
      <w:r>
        <w:rPr/>
        <w:t>property,</w:t>
      </w:r>
      <w:r>
        <w:rPr>
          <w:spacing w:val="-40"/>
        </w:rPr>
        <w:t> </w:t>
      </w:r>
      <w:r>
        <w:rPr/>
        <w:t>Valuer</w:t>
      </w:r>
      <w:r>
        <w:rPr>
          <w:spacing w:val="-41"/>
        </w:rPr>
        <w:t> </w:t>
      </w:r>
      <w:r>
        <w:rPr/>
        <w:t>opines</w:t>
      </w:r>
      <w:r>
        <w:rPr>
          <w:spacing w:val="-41"/>
        </w:rPr>
        <w:t> </w:t>
      </w:r>
      <w:r>
        <w:rPr/>
        <w:t>that</w:t>
      </w:r>
      <w:r>
        <w:rPr>
          <w:spacing w:val="-40"/>
        </w:rPr>
        <w:t> </w:t>
      </w:r>
      <w:r>
        <w:rPr/>
        <w:t>the</w:t>
      </w:r>
      <w:r>
        <w:rPr>
          <w:spacing w:val="-42"/>
        </w:rPr>
        <w:t> </w:t>
      </w:r>
      <w:r>
        <w:rPr/>
        <w:t>subject</w:t>
      </w:r>
      <w:r>
        <w:rPr>
          <w:spacing w:val="-40"/>
        </w:rPr>
        <w:t> </w:t>
      </w:r>
      <w:r>
        <w:rPr/>
        <w:t>property</w:t>
      </w:r>
      <w:r>
        <w:rPr>
          <w:spacing w:val="-41"/>
        </w:rPr>
        <w:t> </w:t>
      </w:r>
      <w:r>
        <w:rPr/>
        <w:t>is</w:t>
      </w:r>
      <w:r>
        <w:rPr>
          <w:spacing w:val="-40"/>
        </w:rPr>
        <w:t> </w:t>
      </w:r>
      <w:r>
        <w:rPr/>
        <w:t>expected</w:t>
      </w:r>
      <w:r>
        <w:rPr>
          <w:spacing w:val="-41"/>
        </w:rPr>
        <w:t> </w:t>
      </w:r>
      <w:r>
        <w:rPr/>
        <w:t>to</w:t>
      </w:r>
      <w:r>
        <w:rPr>
          <w:spacing w:val="-41"/>
        </w:rPr>
        <w:t> </w:t>
      </w:r>
      <w:r>
        <w:rPr/>
        <w:t>achieve</w:t>
      </w:r>
      <w:r>
        <w:rPr>
          <w:spacing w:val="-41"/>
        </w:rPr>
        <w:t> </w:t>
      </w:r>
      <w:r>
        <w:rPr/>
        <w:t>marginal</w:t>
      </w:r>
      <w:r>
        <w:rPr>
          <w:spacing w:val="-40"/>
        </w:rPr>
        <w:t> </w:t>
      </w:r>
      <w:r>
        <w:rPr/>
        <w:t>rentals</w:t>
      </w:r>
      <w:r>
        <w:rPr>
          <w:spacing w:val="-41"/>
        </w:rPr>
        <w:t> </w:t>
      </w:r>
      <w:r>
        <w:rPr/>
        <w:t>in the</w:t>
      </w:r>
      <w:r>
        <w:rPr>
          <w:spacing w:val="-7"/>
        </w:rPr>
        <w:t> </w:t>
      </w:r>
      <w:r>
        <w:rPr/>
        <w:t>range</w:t>
      </w:r>
      <w:r>
        <w:rPr>
          <w:spacing w:val="-7"/>
        </w:rPr>
        <w:t> </w:t>
      </w:r>
      <w:r>
        <w:rPr/>
        <w:t>of</w:t>
      </w:r>
      <w:r>
        <w:rPr>
          <w:spacing w:val="-6"/>
        </w:rPr>
        <w:t> </w:t>
      </w:r>
      <w:r>
        <w:rPr/>
        <w:t>INR</w:t>
      </w:r>
      <w:r>
        <w:rPr>
          <w:spacing w:val="-8"/>
        </w:rPr>
        <w:t> </w:t>
      </w:r>
      <w:r>
        <w:rPr/>
        <w:t>145.0</w:t>
      </w:r>
      <w:r>
        <w:rPr>
          <w:spacing w:val="-8"/>
        </w:rPr>
        <w:t> </w:t>
      </w:r>
      <w:r>
        <w:rPr/>
        <w:t>to</w:t>
      </w:r>
      <w:r>
        <w:rPr>
          <w:spacing w:val="-7"/>
        </w:rPr>
        <w:t> </w:t>
      </w:r>
      <w:r>
        <w:rPr/>
        <w:t>150.0</w:t>
      </w:r>
      <w:r>
        <w:rPr>
          <w:spacing w:val="-8"/>
        </w:rPr>
        <w:t> </w:t>
      </w:r>
      <w:r>
        <w:rPr/>
        <w:t>psf</w:t>
      </w:r>
      <w:r>
        <w:rPr>
          <w:spacing w:val="-7"/>
        </w:rPr>
        <w:t> </w:t>
      </w:r>
      <w:r>
        <w:rPr/>
        <w:t>pm</w:t>
      </w:r>
      <w:r>
        <w:rPr>
          <w:spacing w:val="-9"/>
        </w:rPr>
        <w:t> </w:t>
      </w:r>
      <w:r>
        <w:rPr/>
        <w:t>(say</w:t>
      </w:r>
      <w:r>
        <w:rPr>
          <w:spacing w:val="-6"/>
        </w:rPr>
        <w:t> </w:t>
      </w:r>
      <w:r>
        <w:rPr/>
        <w:t>INR</w:t>
      </w:r>
      <w:r>
        <w:rPr>
          <w:spacing w:val="-10"/>
        </w:rPr>
        <w:t> </w:t>
      </w:r>
      <w:r>
        <w:rPr/>
        <w:t>147.0</w:t>
      </w:r>
      <w:r>
        <w:rPr>
          <w:spacing w:val="-7"/>
        </w:rPr>
        <w:t> </w:t>
      </w:r>
      <w:r>
        <w:rPr/>
        <w:t>psf</w:t>
      </w:r>
      <w:r>
        <w:rPr>
          <w:spacing w:val="-6"/>
        </w:rPr>
        <w:t> </w:t>
      </w:r>
      <w:r>
        <w:rPr/>
        <w:t>pm,</w:t>
      </w:r>
      <w:r>
        <w:rPr>
          <w:spacing w:val="-7"/>
        </w:rPr>
        <w:t> </w:t>
      </w:r>
      <w:r>
        <w:rPr/>
        <w:t>all</w:t>
      </w:r>
      <w:r>
        <w:rPr>
          <w:spacing w:val="-6"/>
        </w:rPr>
        <w:t> </w:t>
      </w:r>
      <w:r>
        <w:rPr/>
        <w:t>inclusive) as</w:t>
      </w:r>
      <w:r>
        <w:rPr>
          <w:spacing w:val="-6"/>
        </w:rPr>
        <w:t> </w:t>
      </w:r>
      <w:r>
        <w:rPr/>
        <w:t>on</w:t>
      </w:r>
      <w:r>
        <w:rPr>
          <w:spacing w:val="-8"/>
        </w:rPr>
        <w:t> </w:t>
      </w:r>
      <w:r>
        <w:rPr/>
        <w:t>date</w:t>
      </w:r>
      <w:r>
        <w:rPr>
          <w:spacing w:val="-7"/>
        </w:rPr>
        <w:t> </w:t>
      </w:r>
      <w:r>
        <w:rPr/>
        <w:t>of</w:t>
      </w:r>
      <w:r>
        <w:rPr>
          <w:spacing w:val="-6"/>
        </w:rPr>
        <w:t> </w:t>
      </w:r>
      <w:r>
        <w:rPr/>
        <w:t>valuation.</w:t>
      </w:r>
    </w:p>
    <w:p>
      <w:pPr>
        <w:pStyle w:val="BodyText"/>
        <w:spacing w:before="3"/>
        <w:rPr>
          <w:sz w:val="23"/>
        </w:rPr>
      </w:pPr>
    </w:p>
    <w:p>
      <w:pPr>
        <w:pStyle w:val="ListParagraph"/>
        <w:numPr>
          <w:ilvl w:val="4"/>
          <w:numId w:val="85"/>
        </w:numPr>
        <w:tabs>
          <w:tab w:pos="1869" w:val="left" w:leader="none"/>
        </w:tabs>
        <w:spacing w:line="240" w:lineRule="auto" w:before="0" w:after="0"/>
        <w:ind w:left="1868" w:right="0" w:hanging="1009"/>
        <w:jc w:val="left"/>
        <w:rPr>
          <w:sz w:val="22"/>
        </w:rPr>
      </w:pPr>
      <w:r>
        <w:rPr>
          <w:color w:val="1F664D"/>
          <w:sz w:val="22"/>
        </w:rPr>
        <w:t>Retail Component</w:t>
      </w:r>
    </w:p>
    <w:p>
      <w:pPr>
        <w:pStyle w:val="BodyText"/>
        <w:spacing w:before="6"/>
        <w:rPr>
          <w:sz w:val="25"/>
        </w:rPr>
      </w:pPr>
    </w:p>
    <w:p>
      <w:pPr>
        <w:pStyle w:val="BodyText"/>
        <w:spacing w:line="321" w:lineRule="auto"/>
        <w:ind w:left="1227" w:right="674"/>
        <w:jc w:val="both"/>
      </w:pPr>
      <w:r>
        <w:rPr/>
        <w:t>As</w:t>
      </w:r>
      <w:r>
        <w:rPr>
          <w:spacing w:val="-25"/>
        </w:rPr>
        <w:t> </w:t>
      </w:r>
      <w:r>
        <w:rPr/>
        <w:t>highlighted</w:t>
      </w:r>
      <w:r>
        <w:rPr>
          <w:spacing w:val="-25"/>
        </w:rPr>
        <w:t> </w:t>
      </w:r>
      <w:r>
        <w:rPr/>
        <w:t>in</w:t>
      </w:r>
      <w:r>
        <w:rPr>
          <w:spacing w:val="-26"/>
        </w:rPr>
        <w:t> </w:t>
      </w:r>
      <w:r>
        <w:rPr/>
        <w:t>the</w:t>
      </w:r>
      <w:r>
        <w:rPr>
          <w:spacing w:val="-26"/>
        </w:rPr>
        <w:t> </w:t>
      </w:r>
      <w:r>
        <w:rPr/>
        <w:t>section</w:t>
      </w:r>
      <w:r>
        <w:rPr>
          <w:spacing w:val="-26"/>
        </w:rPr>
        <w:t> </w:t>
      </w:r>
      <w:r>
        <w:rPr/>
        <w:t>above</w:t>
      </w:r>
      <w:r>
        <w:rPr>
          <w:spacing w:val="-25"/>
        </w:rPr>
        <w:t> </w:t>
      </w:r>
      <w:r>
        <w:rPr/>
        <w:t>an</w:t>
      </w:r>
      <w:r>
        <w:rPr>
          <w:spacing w:val="-26"/>
        </w:rPr>
        <w:t> </w:t>
      </w:r>
      <w:r>
        <w:rPr/>
        <w:t>in-depth</w:t>
      </w:r>
      <w:r>
        <w:rPr>
          <w:spacing w:val="-25"/>
        </w:rPr>
        <w:t> </w:t>
      </w:r>
      <w:r>
        <w:rPr/>
        <w:t>market</w:t>
      </w:r>
      <w:r>
        <w:rPr>
          <w:spacing w:val="-25"/>
        </w:rPr>
        <w:t> </w:t>
      </w:r>
      <w:r>
        <w:rPr/>
        <w:t>research</w:t>
      </w:r>
      <w:r>
        <w:rPr>
          <w:spacing w:val="-26"/>
        </w:rPr>
        <w:t> </w:t>
      </w:r>
      <w:r>
        <w:rPr/>
        <w:t>exercise</w:t>
      </w:r>
      <w:r>
        <w:rPr>
          <w:spacing w:val="-24"/>
        </w:rPr>
        <w:t> </w:t>
      </w:r>
      <w:r>
        <w:rPr/>
        <w:t>has</w:t>
      </w:r>
      <w:r>
        <w:rPr>
          <w:spacing w:val="-25"/>
        </w:rPr>
        <w:t> </w:t>
      </w:r>
      <w:r>
        <w:rPr/>
        <w:t>been</w:t>
      </w:r>
      <w:r>
        <w:rPr>
          <w:spacing w:val="-25"/>
        </w:rPr>
        <w:t> </w:t>
      </w:r>
      <w:r>
        <w:rPr/>
        <w:t>undertaken</w:t>
      </w:r>
      <w:r>
        <w:rPr>
          <w:spacing w:val="-26"/>
        </w:rPr>
        <w:t> </w:t>
      </w:r>
      <w:r>
        <w:rPr/>
        <w:t>to</w:t>
      </w:r>
      <w:r>
        <w:rPr>
          <w:spacing w:val="-25"/>
        </w:rPr>
        <w:t> </w:t>
      </w:r>
      <w:r>
        <w:rPr/>
        <w:t>assess the prevailing rent values in the subject sub</w:t>
      </w:r>
      <w:r>
        <w:rPr>
          <w:spacing w:val="-42"/>
        </w:rPr>
        <w:t> </w:t>
      </w:r>
      <w:r>
        <w:rPr/>
        <w:t>market.</w:t>
      </w:r>
    </w:p>
    <w:p>
      <w:pPr>
        <w:pStyle w:val="BodyText"/>
        <w:spacing w:before="10"/>
        <w:rPr>
          <w:sz w:val="20"/>
        </w:rPr>
      </w:pPr>
    </w:p>
    <w:p>
      <w:pPr>
        <w:pStyle w:val="BodyText"/>
        <w:spacing w:line="321" w:lineRule="auto"/>
        <w:ind w:left="1227" w:right="677"/>
        <w:jc w:val="both"/>
      </w:pPr>
      <w:r>
        <w:rPr/>
        <w:t>As</w:t>
      </w:r>
      <w:r>
        <w:rPr>
          <w:spacing w:val="-4"/>
        </w:rPr>
        <w:t> </w:t>
      </w:r>
      <w:r>
        <w:rPr/>
        <w:t>per</w:t>
      </w:r>
      <w:r>
        <w:rPr>
          <w:spacing w:val="-2"/>
        </w:rPr>
        <w:t> </w:t>
      </w:r>
      <w:r>
        <w:rPr/>
        <w:t>information</w:t>
      </w:r>
      <w:r>
        <w:rPr>
          <w:spacing w:val="-5"/>
        </w:rPr>
        <w:t> </w:t>
      </w:r>
      <w:r>
        <w:rPr/>
        <w:t>provided</w:t>
      </w:r>
      <w:r>
        <w:rPr>
          <w:spacing w:val="-4"/>
        </w:rPr>
        <w:t> </w:t>
      </w:r>
      <w:r>
        <w:rPr/>
        <w:t>by</w:t>
      </w:r>
      <w:r>
        <w:rPr>
          <w:spacing w:val="-2"/>
        </w:rPr>
        <w:t> </w:t>
      </w:r>
      <w:r>
        <w:rPr/>
        <w:t>the</w:t>
      </w:r>
      <w:r>
        <w:rPr>
          <w:spacing w:val="-3"/>
        </w:rPr>
        <w:t> </w:t>
      </w:r>
      <w:r>
        <w:rPr/>
        <w:t>Client,</w:t>
      </w:r>
      <w:r>
        <w:rPr>
          <w:spacing w:val="-4"/>
        </w:rPr>
        <w:t> </w:t>
      </w:r>
      <w:r>
        <w:rPr/>
        <w:t>we</w:t>
      </w:r>
      <w:r>
        <w:rPr>
          <w:spacing w:val="-3"/>
        </w:rPr>
        <w:t> </w:t>
      </w:r>
      <w:r>
        <w:rPr/>
        <w:t>understand</w:t>
      </w:r>
      <w:r>
        <w:rPr>
          <w:spacing w:val="-3"/>
        </w:rPr>
        <w:t> </w:t>
      </w:r>
      <w:r>
        <w:rPr/>
        <w:t>that</w:t>
      </w:r>
      <w:r>
        <w:rPr>
          <w:spacing w:val="-2"/>
        </w:rPr>
        <w:t> </w:t>
      </w:r>
      <w:r>
        <w:rPr/>
        <w:t>the</w:t>
      </w:r>
      <w:r>
        <w:rPr>
          <w:spacing w:val="-2"/>
        </w:rPr>
        <w:t> </w:t>
      </w:r>
      <w:r>
        <w:rPr/>
        <w:t>retail</w:t>
      </w:r>
      <w:r>
        <w:rPr>
          <w:spacing w:val="-5"/>
        </w:rPr>
        <w:t> </w:t>
      </w:r>
      <w:r>
        <w:rPr/>
        <w:t>development</w:t>
      </w:r>
      <w:r>
        <w:rPr>
          <w:spacing w:val="-3"/>
        </w:rPr>
        <w:t> </w:t>
      </w:r>
      <w:r>
        <w:rPr/>
        <w:t>as</w:t>
      </w:r>
      <w:r>
        <w:rPr>
          <w:spacing w:val="-1"/>
        </w:rPr>
        <w:t> </w:t>
      </w:r>
      <w:r>
        <w:rPr/>
        <w:t>part</w:t>
      </w:r>
      <w:r>
        <w:rPr>
          <w:spacing w:val="-2"/>
        </w:rPr>
        <w:t> </w:t>
      </w:r>
      <w:r>
        <w:rPr/>
        <w:t>of</w:t>
      </w:r>
      <w:r>
        <w:rPr>
          <w:spacing w:val="-3"/>
        </w:rPr>
        <w:t> </w:t>
      </w:r>
      <w:r>
        <w:rPr/>
        <w:t>the subject property is spread across two floors i.e. ground floor and lower ground floor. As per typical market</w:t>
      </w:r>
      <w:r>
        <w:rPr>
          <w:spacing w:val="-13"/>
        </w:rPr>
        <w:t> </w:t>
      </w:r>
      <w:r>
        <w:rPr/>
        <w:t>practise</w:t>
      </w:r>
      <w:r>
        <w:rPr>
          <w:spacing w:val="-13"/>
        </w:rPr>
        <w:t> </w:t>
      </w:r>
      <w:r>
        <w:rPr/>
        <w:t>and</w:t>
      </w:r>
      <w:r>
        <w:rPr>
          <w:spacing w:val="-14"/>
        </w:rPr>
        <w:t> </w:t>
      </w:r>
      <w:r>
        <w:rPr/>
        <w:t>trend</w:t>
      </w:r>
      <w:r>
        <w:rPr>
          <w:spacing w:val="-12"/>
        </w:rPr>
        <w:t> </w:t>
      </w:r>
      <w:r>
        <w:rPr/>
        <w:t>observed</w:t>
      </w:r>
      <w:r>
        <w:rPr>
          <w:spacing w:val="-13"/>
        </w:rPr>
        <w:t> </w:t>
      </w:r>
      <w:r>
        <w:rPr/>
        <w:t>in</w:t>
      </w:r>
      <w:r>
        <w:rPr>
          <w:spacing w:val="-13"/>
        </w:rPr>
        <w:t> </w:t>
      </w:r>
      <w:r>
        <w:rPr/>
        <w:t>retail</w:t>
      </w:r>
      <w:r>
        <w:rPr>
          <w:spacing w:val="-14"/>
        </w:rPr>
        <w:t> </w:t>
      </w:r>
      <w:r>
        <w:rPr/>
        <w:t>developments</w:t>
      </w:r>
      <w:r>
        <w:rPr>
          <w:spacing w:val="-11"/>
        </w:rPr>
        <w:t> </w:t>
      </w:r>
      <w:r>
        <w:rPr/>
        <w:t>across</w:t>
      </w:r>
      <w:r>
        <w:rPr>
          <w:spacing w:val="-14"/>
        </w:rPr>
        <w:t> </w:t>
      </w:r>
      <w:r>
        <w:rPr/>
        <w:t>the</w:t>
      </w:r>
      <w:r>
        <w:rPr>
          <w:spacing w:val="-13"/>
        </w:rPr>
        <w:t> </w:t>
      </w:r>
      <w:r>
        <w:rPr/>
        <w:t>city,</w:t>
      </w:r>
      <w:r>
        <w:rPr>
          <w:spacing w:val="-15"/>
        </w:rPr>
        <w:t> </w:t>
      </w:r>
      <w:r>
        <w:rPr/>
        <w:t>it</w:t>
      </w:r>
      <w:r>
        <w:rPr>
          <w:spacing w:val="-13"/>
        </w:rPr>
        <w:t> </w:t>
      </w:r>
      <w:r>
        <w:rPr/>
        <w:t>is</w:t>
      </w:r>
      <w:r>
        <w:rPr>
          <w:spacing w:val="-12"/>
        </w:rPr>
        <w:t> </w:t>
      </w:r>
      <w:r>
        <w:rPr/>
        <w:t>observed</w:t>
      </w:r>
      <w:r>
        <w:rPr>
          <w:spacing w:val="-14"/>
        </w:rPr>
        <w:t> </w:t>
      </w:r>
      <w:r>
        <w:rPr/>
        <w:t>that</w:t>
      </w:r>
      <w:r>
        <w:rPr>
          <w:spacing w:val="-12"/>
        </w:rPr>
        <w:t> </w:t>
      </w:r>
      <w:r>
        <w:rPr/>
        <w:t>rent</w:t>
      </w:r>
      <w:r>
        <w:rPr>
          <w:spacing w:val="-15"/>
        </w:rPr>
        <w:t> </w:t>
      </w:r>
      <w:r>
        <w:rPr/>
        <w:t>for lower</w:t>
      </w:r>
      <w:r>
        <w:rPr>
          <w:spacing w:val="-9"/>
        </w:rPr>
        <w:t> </w:t>
      </w:r>
      <w:r>
        <w:rPr/>
        <w:t>ground</w:t>
      </w:r>
      <w:r>
        <w:rPr>
          <w:spacing w:val="-10"/>
        </w:rPr>
        <w:t> </w:t>
      </w:r>
      <w:r>
        <w:rPr/>
        <w:t>floor</w:t>
      </w:r>
      <w:r>
        <w:rPr>
          <w:spacing w:val="-8"/>
        </w:rPr>
        <w:t> </w:t>
      </w:r>
      <w:r>
        <w:rPr/>
        <w:t>spaces</w:t>
      </w:r>
      <w:r>
        <w:rPr>
          <w:spacing w:val="-7"/>
        </w:rPr>
        <w:t> </w:t>
      </w:r>
      <w:r>
        <w:rPr/>
        <w:t>are</w:t>
      </w:r>
      <w:r>
        <w:rPr>
          <w:spacing w:val="-9"/>
        </w:rPr>
        <w:t> </w:t>
      </w:r>
      <w:r>
        <w:rPr/>
        <w:t>typically</w:t>
      </w:r>
      <w:r>
        <w:rPr>
          <w:spacing w:val="-7"/>
        </w:rPr>
        <w:t> </w:t>
      </w:r>
      <w:r>
        <w:rPr/>
        <w:t>at</w:t>
      </w:r>
      <w:r>
        <w:rPr>
          <w:spacing w:val="-7"/>
        </w:rPr>
        <w:t> </w:t>
      </w:r>
      <w:r>
        <w:rPr/>
        <w:t>a</w:t>
      </w:r>
      <w:r>
        <w:rPr>
          <w:spacing w:val="-11"/>
        </w:rPr>
        <w:t> </w:t>
      </w:r>
      <w:r>
        <w:rPr/>
        <w:t>discount</w:t>
      </w:r>
      <w:r>
        <w:rPr>
          <w:spacing w:val="-7"/>
        </w:rPr>
        <w:t> </w:t>
      </w:r>
      <w:r>
        <w:rPr/>
        <w:t>of</w:t>
      </w:r>
      <w:r>
        <w:rPr>
          <w:spacing w:val="-7"/>
        </w:rPr>
        <w:t> </w:t>
      </w:r>
      <w:r>
        <w:rPr/>
        <w:t>25.0-30.0%</w:t>
      </w:r>
      <w:r>
        <w:rPr>
          <w:spacing w:val="-11"/>
        </w:rPr>
        <w:t> </w:t>
      </w:r>
      <w:r>
        <w:rPr/>
        <w:t>from</w:t>
      </w:r>
      <w:r>
        <w:rPr>
          <w:spacing w:val="-8"/>
        </w:rPr>
        <w:t> </w:t>
      </w:r>
      <w:r>
        <w:rPr/>
        <w:t>ground</w:t>
      </w:r>
      <w:r>
        <w:rPr>
          <w:spacing w:val="-8"/>
        </w:rPr>
        <w:t> </w:t>
      </w:r>
      <w:r>
        <w:rPr/>
        <w:t>floor</w:t>
      </w:r>
      <w:r>
        <w:rPr>
          <w:spacing w:val="-9"/>
        </w:rPr>
        <w:t> </w:t>
      </w:r>
      <w:r>
        <w:rPr/>
        <w:t>rent</w:t>
      </w:r>
      <w:r>
        <w:rPr>
          <w:spacing w:val="-8"/>
        </w:rPr>
        <w:t> </w:t>
      </w:r>
      <w:r>
        <w:rPr/>
        <w:t>on</w:t>
      </w:r>
      <w:r>
        <w:rPr>
          <w:spacing w:val="-9"/>
        </w:rPr>
        <w:t> </w:t>
      </w:r>
      <w:r>
        <w:rPr/>
        <w:t>account</w:t>
      </w:r>
    </w:p>
    <w:p>
      <w:pPr>
        <w:spacing w:after="0" w:line="321" w:lineRule="auto"/>
        <w:jc w:val="both"/>
        <w:sectPr>
          <w:pgSz w:w="11910" w:h="16840"/>
          <w:pgMar w:header="720" w:footer="862" w:top="1660" w:bottom="1060" w:left="40" w:right="40"/>
        </w:sectPr>
      </w:pPr>
    </w:p>
    <w:p>
      <w:pPr>
        <w:pStyle w:val="BodyText"/>
        <w:spacing w:before="7"/>
        <w:rPr>
          <w:sz w:val="9"/>
        </w:rPr>
      </w:pPr>
    </w:p>
    <w:p>
      <w:pPr>
        <w:pStyle w:val="BodyText"/>
        <w:spacing w:line="321" w:lineRule="auto" w:before="106"/>
        <w:ind w:left="1227" w:right="676"/>
        <w:jc w:val="both"/>
      </w:pPr>
      <w:r>
        <w:rPr/>
        <w:t>of</w:t>
      </w:r>
      <w:r>
        <w:rPr>
          <w:spacing w:val="-40"/>
        </w:rPr>
        <w:t> </w:t>
      </w:r>
      <w:r>
        <w:rPr/>
        <w:t>inferior</w:t>
      </w:r>
      <w:r>
        <w:rPr>
          <w:spacing w:val="-40"/>
        </w:rPr>
        <w:t> </w:t>
      </w:r>
      <w:r>
        <w:rPr/>
        <w:t>positioning</w:t>
      </w:r>
      <w:r>
        <w:rPr>
          <w:spacing w:val="-40"/>
        </w:rPr>
        <w:t> </w:t>
      </w:r>
      <w:r>
        <w:rPr/>
        <w:t>and</w:t>
      </w:r>
      <w:r>
        <w:rPr>
          <w:spacing w:val="-39"/>
        </w:rPr>
        <w:t> </w:t>
      </w:r>
      <w:r>
        <w:rPr/>
        <w:t>visibility.</w:t>
      </w:r>
      <w:r>
        <w:rPr>
          <w:spacing w:val="-42"/>
        </w:rPr>
        <w:t> </w:t>
      </w:r>
      <w:r>
        <w:rPr/>
        <w:t>Additionally,</w:t>
      </w:r>
      <w:r>
        <w:rPr>
          <w:spacing w:val="-41"/>
        </w:rPr>
        <w:t> </w:t>
      </w:r>
      <w:r>
        <w:rPr/>
        <w:t>premium/high-end</w:t>
      </w:r>
      <w:r>
        <w:rPr>
          <w:spacing w:val="-41"/>
        </w:rPr>
        <w:t> </w:t>
      </w:r>
      <w:r>
        <w:rPr/>
        <w:t>brand</w:t>
      </w:r>
      <w:r>
        <w:rPr>
          <w:spacing w:val="-41"/>
        </w:rPr>
        <w:t> </w:t>
      </w:r>
      <w:r>
        <w:rPr/>
        <w:t>desire</w:t>
      </w:r>
      <w:r>
        <w:rPr>
          <w:spacing w:val="-41"/>
        </w:rPr>
        <w:t> </w:t>
      </w:r>
      <w:r>
        <w:rPr/>
        <w:t>superior</w:t>
      </w:r>
      <w:r>
        <w:rPr>
          <w:spacing w:val="-40"/>
        </w:rPr>
        <w:t> </w:t>
      </w:r>
      <w:r>
        <w:rPr/>
        <w:t>positioning</w:t>
      </w:r>
      <w:r>
        <w:rPr>
          <w:spacing w:val="-40"/>
        </w:rPr>
        <w:t> </w:t>
      </w:r>
      <w:r>
        <w:rPr/>
        <w:t>in a</w:t>
      </w:r>
      <w:r>
        <w:rPr>
          <w:spacing w:val="-19"/>
        </w:rPr>
        <w:t> </w:t>
      </w:r>
      <w:r>
        <w:rPr/>
        <w:t>retail</w:t>
      </w:r>
      <w:r>
        <w:rPr>
          <w:spacing w:val="-17"/>
        </w:rPr>
        <w:t> </w:t>
      </w:r>
      <w:r>
        <w:rPr/>
        <w:t>development</w:t>
      </w:r>
      <w:r>
        <w:rPr>
          <w:spacing w:val="-19"/>
        </w:rPr>
        <w:t> </w:t>
      </w:r>
      <w:r>
        <w:rPr/>
        <w:t>and</w:t>
      </w:r>
      <w:r>
        <w:rPr>
          <w:spacing w:val="-19"/>
        </w:rPr>
        <w:t> </w:t>
      </w:r>
      <w:r>
        <w:rPr/>
        <w:t>prefer</w:t>
      </w:r>
      <w:r>
        <w:rPr>
          <w:spacing w:val="-18"/>
        </w:rPr>
        <w:t> </w:t>
      </w:r>
      <w:r>
        <w:rPr/>
        <w:t>operating</w:t>
      </w:r>
      <w:r>
        <w:rPr>
          <w:spacing w:val="-18"/>
        </w:rPr>
        <w:t> </w:t>
      </w:r>
      <w:r>
        <w:rPr/>
        <w:t>from</w:t>
      </w:r>
      <w:r>
        <w:rPr>
          <w:spacing w:val="-19"/>
        </w:rPr>
        <w:t> </w:t>
      </w:r>
      <w:r>
        <w:rPr/>
        <w:t>the</w:t>
      </w:r>
      <w:r>
        <w:rPr>
          <w:spacing w:val="-20"/>
        </w:rPr>
        <w:t> </w:t>
      </w:r>
      <w:r>
        <w:rPr/>
        <w:t>ground</w:t>
      </w:r>
      <w:r>
        <w:rPr>
          <w:spacing w:val="-18"/>
        </w:rPr>
        <w:t> </w:t>
      </w:r>
      <w:r>
        <w:rPr/>
        <w:t>floor</w:t>
      </w:r>
      <w:r>
        <w:rPr>
          <w:spacing w:val="-19"/>
        </w:rPr>
        <w:t> </w:t>
      </w:r>
      <w:r>
        <w:rPr/>
        <w:t>and</w:t>
      </w:r>
      <w:r>
        <w:rPr>
          <w:spacing w:val="-19"/>
        </w:rPr>
        <w:t> </w:t>
      </w:r>
      <w:r>
        <w:rPr/>
        <w:t>thus</w:t>
      </w:r>
      <w:r>
        <w:rPr>
          <w:spacing w:val="-16"/>
        </w:rPr>
        <w:t> </w:t>
      </w:r>
      <w:r>
        <w:rPr/>
        <w:t>are</w:t>
      </w:r>
      <w:r>
        <w:rPr>
          <w:spacing w:val="-19"/>
        </w:rPr>
        <w:t> </w:t>
      </w:r>
      <w:r>
        <w:rPr/>
        <w:t>willing</w:t>
      </w:r>
      <w:r>
        <w:rPr>
          <w:spacing w:val="-18"/>
        </w:rPr>
        <w:t> </w:t>
      </w:r>
      <w:r>
        <w:rPr/>
        <w:t>to</w:t>
      </w:r>
      <w:r>
        <w:rPr>
          <w:spacing w:val="-19"/>
        </w:rPr>
        <w:t> </w:t>
      </w:r>
      <w:r>
        <w:rPr/>
        <w:t>pay</w:t>
      </w:r>
      <w:r>
        <w:rPr>
          <w:spacing w:val="-18"/>
        </w:rPr>
        <w:t> </w:t>
      </w:r>
      <w:r>
        <w:rPr/>
        <w:t>a</w:t>
      </w:r>
      <w:r>
        <w:rPr>
          <w:spacing w:val="-20"/>
        </w:rPr>
        <w:t> </w:t>
      </w:r>
      <w:r>
        <w:rPr/>
        <w:t>premium on</w:t>
      </w:r>
      <w:r>
        <w:rPr>
          <w:spacing w:val="-17"/>
        </w:rPr>
        <w:t> </w:t>
      </w:r>
      <w:r>
        <w:rPr/>
        <w:t>account</w:t>
      </w:r>
      <w:r>
        <w:rPr>
          <w:spacing w:val="-16"/>
        </w:rPr>
        <w:t> </w:t>
      </w:r>
      <w:r>
        <w:rPr/>
        <w:t>of</w:t>
      </w:r>
      <w:r>
        <w:rPr>
          <w:spacing w:val="-16"/>
        </w:rPr>
        <w:t> </w:t>
      </w:r>
      <w:r>
        <w:rPr/>
        <w:t>rent.</w:t>
      </w:r>
      <w:r>
        <w:rPr>
          <w:spacing w:val="-15"/>
        </w:rPr>
        <w:t> </w:t>
      </w:r>
      <w:r>
        <w:rPr/>
        <w:t>Considering</w:t>
      </w:r>
      <w:r>
        <w:rPr>
          <w:spacing w:val="-16"/>
        </w:rPr>
        <w:t> </w:t>
      </w:r>
      <w:r>
        <w:rPr/>
        <w:t>the</w:t>
      </w:r>
      <w:r>
        <w:rPr>
          <w:spacing w:val="-16"/>
        </w:rPr>
        <w:t> </w:t>
      </w:r>
      <w:r>
        <w:rPr/>
        <w:t>same,</w:t>
      </w:r>
      <w:r>
        <w:rPr>
          <w:spacing w:val="-16"/>
        </w:rPr>
        <w:t> </w:t>
      </w:r>
      <w:r>
        <w:rPr/>
        <w:t>we</w:t>
      </w:r>
      <w:r>
        <w:rPr>
          <w:spacing w:val="-16"/>
        </w:rPr>
        <w:t> </w:t>
      </w:r>
      <w:r>
        <w:rPr/>
        <w:t>are</w:t>
      </w:r>
      <w:r>
        <w:rPr>
          <w:spacing w:val="-17"/>
        </w:rPr>
        <w:t> </w:t>
      </w:r>
      <w:r>
        <w:rPr/>
        <w:t>of</w:t>
      </w:r>
      <w:r>
        <w:rPr>
          <w:spacing w:val="-15"/>
        </w:rPr>
        <w:t> </w:t>
      </w:r>
      <w:r>
        <w:rPr/>
        <w:t>the</w:t>
      </w:r>
      <w:r>
        <w:rPr>
          <w:spacing w:val="-16"/>
        </w:rPr>
        <w:t> </w:t>
      </w:r>
      <w:r>
        <w:rPr/>
        <w:t>opinion</w:t>
      </w:r>
      <w:r>
        <w:rPr>
          <w:spacing w:val="-17"/>
        </w:rPr>
        <w:t> </w:t>
      </w:r>
      <w:r>
        <w:rPr/>
        <w:t>that</w:t>
      </w:r>
      <w:r>
        <w:rPr>
          <w:spacing w:val="-15"/>
        </w:rPr>
        <w:t> </w:t>
      </w:r>
      <w:r>
        <w:rPr/>
        <w:t>rent</w:t>
      </w:r>
      <w:r>
        <w:rPr>
          <w:spacing w:val="-16"/>
        </w:rPr>
        <w:t> </w:t>
      </w:r>
      <w:r>
        <w:rPr/>
        <w:t>for</w:t>
      </w:r>
      <w:r>
        <w:rPr>
          <w:spacing w:val="-17"/>
        </w:rPr>
        <w:t> </w:t>
      </w:r>
      <w:r>
        <w:rPr/>
        <w:t>lower</w:t>
      </w:r>
      <w:r>
        <w:rPr>
          <w:spacing w:val="-16"/>
        </w:rPr>
        <w:t> </w:t>
      </w:r>
      <w:r>
        <w:rPr/>
        <w:t>ground</w:t>
      </w:r>
      <w:r>
        <w:rPr>
          <w:spacing w:val="-15"/>
        </w:rPr>
        <w:t> </w:t>
      </w:r>
      <w:r>
        <w:rPr/>
        <w:t>floor</w:t>
      </w:r>
      <w:r>
        <w:rPr>
          <w:spacing w:val="-17"/>
        </w:rPr>
        <w:t> </w:t>
      </w:r>
      <w:r>
        <w:rPr/>
        <w:t>space in</w:t>
      </w:r>
      <w:r>
        <w:rPr>
          <w:spacing w:val="-8"/>
        </w:rPr>
        <w:t> </w:t>
      </w:r>
      <w:r>
        <w:rPr/>
        <w:t>the</w:t>
      </w:r>
      <w:r>
        <w:rPr>
          <w:spacing w:val="-8"/>
        </w:rPr>
        <w:t> </w:t>
      </w:r>
      <w:r>
        <w:rPr/>
        <w:t>subject</w:t>
      </w:r>
      <w:r>
        <w:rPr>
          <w:spacing w:val="-7"/>
        </w:rPr>
        <w:t> </w:t>
      </w:r>
      <w:r>
        <w:rPr/>
        <w:t>property</w:t>
      </w:r>
      <w:r>
        <w:rPr>
          <w:spacing w:val="-8"/>
        </w:rPr>
        <w:t> </w:t>
      </w:r>
      <w:r>
        <w:rPr/>
        <w:t>will</w:t>
      </w:r>
      <w:r>
        <w:rPr>
          <w:spacing w:val="-8"/>
        </w:rPr>
        <w:t> </w:t>
      </w:r>
      <w:r>
        <w:rPr/>
        <w:t>be</w:t>
      </w:r>
      <w:r>
        <w:rPr>
          <w:spacing w:val="-7"/>
        </w:rPr>
        <w:t> </w:t>
      </w:r>
      <w:r>
        <w:rPr/>
        <w:t>at</w:t>
      </w:r>
      <w:r>
        <w:rPr>
          <w:spacing w:val="-8"/>
        </w:rPr>
        <w:t> </w:t>
      </w:r>
      <w:r>
        <w:rPr/>
        <w:t>a</w:t>
      </w:r>
      <w:r>
        <w:rPr>
          <w:spacing w:val="-7"/>
        </w:rPr>
        <w:t> </w:t>
      </w:r>
      <w:r>
        <w:rPr/>
        <w:t>25.0</w:t>
      </w:r>
      <w:r>
        <w:rPr>
          <w:spacing w:val="-6"/>
        </w:rPr>
        <w:t> </w:t>
      </w:r>
      <w:r>
        <w:rPr>
          <w:w w:val="105"/>
        </w:rPr>
        <w:t>–</w:t>
      </w:r>
      <w:r>
        <w:rPr>
          <w:spacing w:val="-10"/>
          <w:w w:val="105"/>
        </w:rPr>
        <w:t> </w:t>
      </w:r>
      <w:r>
        <w:rPr/>
        <w:t>30.0%</w:t>
      </w:r>
      <w:r>
        <w:rPr>
          <w:spacing w:val="-7"/>
        </w:rPr>
        <w:t> </w:t>
      </w:r>
      <w:r>
        <w:rPr/>
        <w:t>discount</w:t>
      </w:r>
      <w:r>
        <w:rPr>
          <w:spacing w:val="-7"/>
        </w:rPr>
        <w:t> </w:t>
      </w:r>
      <w:r>
        <w:rPr/>
        <w:t>from</w:t>
      </w:r>
      <w:r>
        <w:rPr>
          <w:spacing w:val="-7"/>
        </w:rPr>
        <w:t> </w:t>
      </w:r>
      <w:r>
        <w:rPr/>
        <w:t>ground</w:t>
      </w:r>
      <w:r>
        <w:rPr>
          <w:spacing w:val="-9"/>
        </w:rPr>
        <w:t> </w:t>
      </w:r>
      <w:r>
        <w:rPr/>
        <w:t>floor</w:t>
      </w:r>
      <w:r>
        <w:rPr>
          <w:spacing w:val="-7"/>
        </w:rPr>
        <w:t> </w:t>
      </w:r>
      <w:r>
        <w:rPr/>
        <w:t>rent.</w:t>
      </w:r>
    </w:p>
    <w:p>
      <w:pPr>
        <w:pStyle w:val="BodyText"/>
        <w:spacing w:before="9"/>
        <w:rPr>
          <w:sz w:val="20"/>
        </w:rPr>
      </w:pPr>
    </w:p>
    <w:p>
      <w:pPr>
        <w:pStyle w:val="BodyText"/>
        <w:spacing w:line="321" w:lineRule="auto"/>
        <w:ind w:left="1227" w:right="674"/>
        <w:jc w:val="both"/>
      </w:pPr>
      <w:r>
        <w:rPr>
          <w:w w:val="95"/>
        </w:rPr>
        <w:t>After</w:t>
      </w:r>
      <w:r>
        <w:rPr>
          <w:spacing w:val="-18"/>
          <w:w w:val="95"/>
        </w:rPr>
        <w:t> </w:t>
      </w:r>
      <w:r>
        <w:rPr>
          <w:w w:val="95"/>
        </w:rPr>
        <w:t>due</w:t>
      </w:r>
      <w:r>
        <w:rPr>
          <w:spacing w:val="-17"/>
          <w:w w:val="95"/>
        </w:rPr>
        <w:t> </w:t>
      </w:r>
      <w:r>
        <w:rPr>
          <w:w w:val="95"/>
        </w:rPr>
        <w:t>consideration</w:t>
      </w:r>
      <w:r>
        <w:rPr>
          <w:spacing w:val="-18"/>
          <w:w w:val="95"/>
        </w:rPr>
        <w:t> </w:t>
      </w:r>
      <w:r>
        <w:rPr>
          <w:w w:val="95"/>
        </w:rPr>
        <w:t>of</w:t>
      </w:r>
      <w:r>
        <w:rPr>
          <w:spacing w:val="-18"/>
          <w:w w:val="95"/>
        </w:rPr>
        <w:t> </w:t>
      </w:r>
      <w:r>
        <w:rPr>
          <w:w w:val="95"/>
        </w:rPr>
        <w:t>the</w:t>
      </w:r>
      <w:r>
        <w:rPr>
          <w:spacing w:val="-17"/>
          <w:w w:val="95"/>
        </w:rPr>
        <w:t> </w:t>
      </w:r>
      <w:r>
        <w:rPr>
          <w:w w:val="95"/>
        </w:rPr>
        <w:t>strategic</w:t>
      </w:r>
      <w:r>
        <w:rPr>
          <w:spacing w:val="-19"/>
          <w:w w:val="95"/>
        </w:rPr>
        <w:t> </w:t>
      </w:r>
      <w:r>
        <w:rPr>
          <w:w w:val="95"/>
        </w:rPr>
        <w:t>location</w:t>
      </w:r>
      <w:r>
        <w:rPr>
          <w:spacing w:val="-17"/>
          <w:w w:val="95"/>
        </w:rPr>
        <w:t> </w:t>
      </w:r>
      <w:r>
        <w:rPr>
          <w:w w:val="95"/>
        </w:rPr>
        <w:t>of</w:t>
      </w:r>
      <w:r>
        <w:rPr>
          <w:spacing w:val="-17"/>
          <w:w w:val="95"/>
        </w:rPr>
        <w:t> </w:t>
      </w:r>
      <w:r>
        <w:rPr>
          <w:w w:val="95"/>
        </w:rPr>
        <w:t>subject</w:t>
      </w:r>
      <w:r>
        <w:rPr>
          <w:spacing w:val="-16"/>
          <w:w w:val="95"/>
        </w:rPr>
        <w:t> </w:t>
      </w:r>
      <w:r>
        <w:rPr>
          <w:w w:val="95"/>
        </w:rPr>
        <w:t>property,</w:t>
      </w:r>
      <w:r>
        <w:rPr>
          <w:spacing w:val="-18"/>
          <w:w w:val="95"/>
        </w:rPr>
        <w:t> </w:t>
      </w:r>
      <w:r>
        <w:rPr>
          <w:w w:val="95"/>
        </w:rPr>
        <w:t>the</w:t>
      </w:r>
      <w:r>
        <w:rPr>
          <w:spacing w:val="-17"/>
          <w:w w:val="95"/>
        </w:rPr>
        <w:t> </w:t>
      </w:r>
      <w:r>
        <w:rPr>
          <w:w w:val="95"/>
        </w:rPr>
        <w:t>development</w:t>
      </w:r>
      <w:r>
        <w:rPr>
          <w:spacing w:val="-13"/>
          <w:w w:val="95"/>
        </w:rPr>
        <w:t> </w:t>
      </w:r>
      <w:r>
        <w:rPr>
          <w:w w:val="95"/>
        </w:rPr>
        <w:t>i.e.</w:t>
      </w:r>
      <w:r>
        <w:rPr>
          <w:spacing w:val="-18"/>
          <w:w w:val="95"/>
        </w:rPr>
        <w:t> </w:t>
      </w:r>
      <w:r>
        <w:rPr>
          <w:w w:val="95"/>
        </w:rPr>
        <w:t>considering</w:t>
      </w:r>
      <w:r>
        <w:rPr>
          <w:spacing w:val="-16"/>
          <w:w w:val="95"/>
        </w:rPr>
        <w:t> </w:t>
      </w:r>
      <w:r>
        <w:rPr>
          <w:w w:val="95"/>
        </w:rPr>
        <w:t>that </w:t>
      </w:r>
      <w:r>
        <w:rPr/>
        <w:t>the</w:t>
      </w:r>
      <w:r>
        <w:rPr>
          <w:spacing w:val="-5"/>
        </w:rPr>
        <w:t> </w:t>
      </w:r>
      <w:r>
        <w:rPr/>
        <w:t>development</w:t>
      </w:r>
      <w:r>
        <w:rPr>
          <w:spacing w:val="-5"/>
        </w:rPr>
        <w:t> </w:t>
      </w:r>
      <w:r>
        <w:rPr/>
        <w:t>is</w:t>
      </w:r>
      <w:r>
        <w:rPr>
          <w:spacing w:val="-3"/>
        </w:rPr>
        <w:t> </w:t>
      </w:r>
      <w:r>
        <w:rPr/>
        <w:t>a</w:t>
      </w:r>
      <w:r>
        <w:rPr>
          <w:spacing w:val="-6"/>
        </w:rPr>
        <w:t> </w:t>
      </w:r>
      <w:r>
        <w:rPr/>
        <w:t>part</w:t>
      </w:r>
      <w:r>
        <w:rPr>
          <w:spacing w:val="-3"/>
        </w:rPr>
        <w:t> </w:t>
      </w:r>
      <w:r>
        <w:rPr/>
        <w:t>of</w:t>
      </w:r>
      <w:r>
        <w:rPr>
          <w:spacing w:val="-3"/>
        </w:rPr>
        <w:t> </w:t>
      </w:r>
      <w:r>
        <w:rPr/>
        <w:t>a</w:t>
      </w:r>
      <w:r>
        <w:rPr>
          <w:spacing w:val="-7"/>
        </w:rPr>
        <w:t> </w:t>
      </w:r>
      <w:r>
        <w:rPr/>
        <w:t>mixed-use</w:t>
      </w:r>
      <w:r>
        <w:rPr>
          <w:spacing w:val="-7"/>
        </w:rPr>
        <w:t> </w:t>
      </w:r>
      <w:r>
        <w:rPr/>
        <w:t>development</w:t>
      </w:r>
      <w:r>
        <w:rPr>
          <w:spacing w:val="-4"/>
        </w:rPr>
        <w:t> </w:t>
      </w:r>
      <w:r>
        <w:rPr/>
        <w:t>housing</w:t>
      </w:r>
      <w:r>
        <w:rPr>
          <w:spacing w:val="-5"/>
        </w:rPr>
        <w:t> </w:t>
      </w:r>
      <w:r>
        <w:rPr/>
        <w:t>a</w:t>
      </w:r>
      <w:r>
        <w:rPr>
          <w:spacing w:val="-4"/>
        </w:rPr>
        <w:t> </w:t>
      </w:r>
      <w:r>
        <w:rPr/>
        <w:t>Hotel</w:t>
      </w:r>
      <w:r>
        <w:rPr>
          <w:spacing w:val="-7"/>
        </w:rPr>
        <w:t> </w:t>
      </w:r>
      <w:r>
        <w:rPr/>
        <w:t>Four</w:t>
      </w:r>
      <w:r>
        <w:rPr>
          <w:spacing w:val="-4"/>
        </w:rPr>
        <w:t> </w:t>
      </w:r>
      <w:r>
        <w:rPr/>
        <w:t>Seasons</w:t>
      </w:r>
      <w:r>
        <w:rPr>
          <w:spacing w:val="-3"/>
        </w:rPr>
        <w:t> </w:t>
      </w:r>
      <w:r>
        <w:rPr/>
        <w:t>at</w:t>
      </w:r>
      <w:r>
        <w:rPr>
          <w:spacing w:val="-6"/>
        </w:rPr>
        <w:t> </w:t>
      </w:r>
      <w:r>
        <w:rPr/>
        <w:t>Embassy</w:t>
      </w:r>
      <w:r>
        <w:rPr>
          <w:spacing w:val="-5"/>
        </w:rPr>
        <w:t> </w:t>
      </w:r>
      <w:r>
        <w:rPr/>
        <w:t>One and</w:t>
      </w:r>
      <w:r>
        <w:rPr>
          <w:spacing w:val="-35"/>
        </w:rPr>
        <w:t> </w:t>
      </w:r>
      <w:r>
        <w:rPr/>
        <w:t>that</w:t>
      </w:r>
      <w:r>
        <w:rPr>
          <w:spacing w:val="-36"/>
        </w:rPr>
        <w:t> </w:t>
      </w:r>
      <w:r>
        <w:rPr/>
        <w:t>the</w:t>
      </w:r>
      <w:r>
        <w:rPr>
          <w:spacing w:val="-35"/>
        </w:rPr>
        <w:t> </w:t>
      </w:r>
      <w:r>
        <w:rPr/>
        <w:t>retail</w:t>
      </w:r>
      <w:r>
        <w:rPr>
          <w:spacing w:val="-36"/>
        </w:rPr>
        <w:t> </w:t>
      </w:r>
      <w:r>
        <w:rPr/>
        <w:t>spaces</w:t>
      </w:r>
      <w:r>
        <w:rPr>
          <w:spacing w:val="-35"/>
        </w:rPr>
        <w:t> </w:t>
      </w:r>
      <w:r>
        <w:rPr/>
        <w:t>will</w:t>
      </w:r>
      <w:r>
        <w:rPr>
          <w:spacing w:val="-36"/>
        </w:rPr>
        <w:t> </w:t>
      </w:r>
      <w:r>
        <w:rPr/>
        <w:t>offer</w:t>
      </w:r>
      <w:r>
        <w:rPr>
          <w:spacing w:val="-36"/>
        </w:rPr>
        <w:t> </w:t>
      </w:r>
      <w:r>
        <w:rPr/>
        <w:t>international</w:t>
      </w:r>
      <w:r>
        <w:rPr>
          <w:spacing w:val="-36"/>
        </w:rPr>
        <w:t> </w:t>
      </w:r>
      <w:r>
        <w:rPr/>
        <w:t>quality</w:t>
      </w:r>
      <w:r>
        <w:rPr>
          <w:spacing w:val="-35"/>
        </w:rPr>
        <w:t> </w:t>
      </w:r>
      <w:r>
        <w:rPr/>
        <w:t>of</w:t>
      </w:r>
      <w:r>
        <w:rPr>
          <w:spacing w:val="-35"/>
        </w:rPr>
        <w:t> </w:t>
      </w:r>
      <w:r>
        <w:rPr/>
        <w:t>specifications</w:t>
      </w:r>
      <w:r>
        <w:rPr>
          <w:spacing w:val="-35"/>
        </w:rPr>
        <w:t> </w:t>
      </w:r>
      <w:r>
        <w:rPr/>
        <w:t>and</w:t>
      </w:r>
      <w:r>
        <w:rPr>
          <w:spacing w:val="-35"/>
        </w:rPr>
        <w:t> </w:t>
      </w:r>
      <w:r>
        <w:rPr/>
        <w:t>amenities,</w:t>
      </w:r>
      <w:r>
        <w:rPr>
          <w:spacing w:val="-35"/>
        </w:rPr>
        <w:t> </w:t>
      </w:r>
      <w:r>
        <w:rPr/>
        <w:t>it</w:t>
      </w:r>
      <w:r>
        <w:rPr>
          <w:spacing w:val="-36"/>
        </w:rPr>
        <w:t> </w:t>
      </w:r>
      <w:r>
        <w:rPr/>
        <w:t>is</w:t>
      </w:r>
      <w:r>
        <w:rPr>
          <w:spacing w:val="-35"/>
        </w:rPr>
        <w:t> </w:t>
      </w:r>
      <w:r>
        <w:rPr/>
        <w:t>opined</w:t>
      </w:r>
      <w:r>
        <w:rPr>
          <w:spacing w:val="-35"/>
        </w:rPr>
        <w:t> </w:t>
      </w:r>
      <w:r>
        <w:rPr/>
        <w:t>that the subject development can achieve a marginal rent of approx. INR 195.0 to 205.0 psf pm (say</w:t>
      </w:r>
      <w:r>
        <w:rPr>
          <w:spacing w:val="39"/>
        </w:rPr>
        <w:t> </w:t>
      </w:r>
      <w:r>
        <w:rPr/>
        <w:t>INR</w:t>
      </w:r>
    </w:p>
    <w:p>
      <w:pPr>
        <w:pStyle w:val="BodyText"/>
        <w:spacing w:line="321" w:lineRule="auto" w:before="4"/>
        <w:ind w:left="1227" w:right="675"/>
        <w:jc w:val="both"/>
      </w:pPr>
      <w:r>
        <w:rPr/>
        <w:t>200.0</w:t>
      </w:r>
      <w:r>
        <w:rPr>
          <w:spacing w:val="-5"/>
        </w:rPr>
        <w:t> </w:t>
      </w:r>
      <w:r>
        <w:rPr/>
        <w:t>psf</w:t>
      </w:r>
      <w:r>
        <w:rPr>
          <w:spacing w:val="-3"/>
        </w:rPr>
        <w:t> </w:t>
      </w:r>
      <w:r>
        <w:rPr/>
        <w:t>pm)</w:t>
      </w:r>
      <w:r>
        <w:rPr>
          <w:spacing w:val="-5"/>
        </w:rPr>
        <w:t> </w:t>
      </w:r>
      <w:r>
        <w:rPr/>
        <w:t>for</w:t>
      </w:r>
      <w:r>
        <w:rPr>
          <w:spacing w:val="-4"/>
        </w:rPr>
        <w:t> </w:t>
      </w:r>
      <w:r>
        <w:rPr/>
        <w:t>the</w:t>
      </w:r>
      <w:r>
        <w:rPr>
          <w:spacing w:val="-5"/>
        </w:rPr>
        <w:t> </w:t>
      </w:r>
      <w:r>
        <w:rPr/>
        <w:t>ground</w:t>
      </w:r>
      <w:r>
        <w:rPr>
          <w:spacing w:val="-4"/>
        </w:rPr>
        <w:t> </w:t>
      </w:r>
      <w:r>
        <w:rPr/>
        <w:t>floor</w:t>
      </w:r>
      <w:r>
        <w:rPr>
          <w:spacing w:val="-5"/>
        </w:rPr>
        <w:t> </w:t>
      </w:r>
      <w:r>
        <w:rPr/>
        <w:t>as</w:t>
      </w:r>
      <w:r>
        <w:rPr>
          <w:spacing w:val="-3"/>
        </w:rPr>
        <w:t> </w:t>
      </w:r>
      <w:r>
        <w:rPr/>
        <w:t>on</w:t>
      </w:r>
      <w:r>
        <w:rPr>
          <w:spacing w:val="-4"/>
        </w:rPr>
        <w:t> </w:t>
      </w:r>
      <w:r>
        <w:rPr/>
        <w:t>date</w:t>
      </w:r>
      <w:r>
        <w:rPr>
          <w:spacing w:val="-5"/>
        </w:rPr>
        <w:t> </w:t>
      </w:r>
      <w:r>
        <w:rPr/>
        <w:t>of</w:t>
      </w:r>
      <w:r>
        <w:rPr>
          <w:spacing w:val="-5"/>
        </w:rPr>
        <w:t> </w:t>
      </w:r>
      <w:r>
        <w:rPr/>
        <w:t>valuation.</w:t>
      </w:r>
      <w:r>
        <w:rPr>
          <w:spacing w:val="-5"/>
        </w:rPr>
        <w:t> </w:t>
      </w:r>
      <w:r>
        <w:rPr/>
        <w:t>As</w:t>
      </w:r>
      <w:r>
        <w:rPr>
          <w:spacing w:val="-3"/>
        </w:rPr>
        <w:t> </w:t>
      </w:r>
      <w:r>
        <w:rPr/>
        <w:t>mentioned</w:t>
      </w:r>
      <w:r>
        <w:rPr>
          <w:spacing w:val="-5"/>
        </w:rPr>
        <w:t> </w:t>
      </w:r>
      <w:r>
        <w:rPr/>
        <w:t>earlier,</w:t>
      </w:r>
      <w:r>
        <w:rPr>
          <w:spacing w:val="-5"/>
        </w:rPr>
        <w:t> </w:t>
      </w:r>
      <w:r>
        <w:rPr/>
        <w:t>the</w:t>
      </w:r>
      <w:r>
        <w:rPr>
          <w:spacing w:val="-5"/>
        </w:rPr>
        <w:t> </w:t>
      </w:r>
      <w:r>
        <w:rPr/>
        <w:t>stores</w:t>
      </w:r>
      <w:r>
        <w:rPr>
          <w:spacing w:val="-3"/>
        </w:rPr>
        <w:t> </w:t>
      </w:r>
      <w:r>
        <w:rPr/>
        <w:t>on</w:t>
      </w:r>
      <w:r>
        <w:rPr>
          <w:spacing w:val="-5"/>
        </w:rPr>
        <w:t> </w:t>
      </w:r>
      <w:r>
        <w:rPr/>
        <w:t>lower ground</w:t>
      </w:r>
      <w:r>
        <w:rPr>
          <w:spacing w:val="-10"/>
        </w:rPr>
        <w:t> </w:t>
      </w:r>
      <w:r>
        <w:rPr/>
        <w:t>floor</w:t>
      </w:r>
      <w:r>
        <w:rPr>
          <w:spacing w:val="-7"/>
        </w:rPr>
        <w:t> </w:t>
      </w:r>
      <w:r>
        <w:rPr/>
        <w:t>will</w:t>
      </w:r>
      <w:r>
        <w:rPr>
          <w:spacing w:val="-8"/>
        </w:rPr>
        <w:t> </w:t>
      </w:r>
      <w:r>
        <w:rPr/>
        <w:t>command</w:t>
      </w:r>
      <w:r>
        <w:rPr>
          <w:spacing w:val="-7"/>
        </w:rPr>
        <w:t> </w:t>
      </w:r>
      <w:r>
        <w:rPr/>
        <w:t>a</w:t>
      </w:r>
      <w:r>
        <w:rPr>
          <w:spacing w:val="-10"/>
        </w:rPr>
        <w:t> </w:t>
      </w:r>
      <w:r>
        <w:rPr/>
        <w:t>discount</w:t>
      </w:r>
      <w:r>
        <w:rPr>
          <w:spacing w:val="-7"/>
        </w:rPr>
        <w:t> </w:t>
      </w:r>
      <w:r>
        <w:rPr/>
        <w:t>over</w:t>
      </w:r>
      <w:r>
        <w:rPr>
          <w:spacing w:val="-10"/>
        </w:rPr>
        <w:t> </w:t>
      </w:r>
      <w:r>
        <w:rPr/>
        <w:t>ground</w:t>
      </w:r>
      <w:r>
        <w:rPr>
          <w:spacing w:val="-9"/>
        </w:rPr>
        <w:t> </w:t>
      </w:r>
      <w:r>
        <w:rPr/>
        <w:t>floor</w:t>
      </w:r>
      <w:r>
        <w:rPr>
          <w:spacing w:val="-8"/>
        </w:rPr>
        <w:t> </w:t>
      </w:r>
      <w:r>
        <w:rPr/>
        <w:t>rent</w:t>
      </w:r>
      <w:r>
        <w:rPr>
          <w:spacing w:val="-8"/>
        </w:rPr>
        <w:t> </w:t>
      </w:r>
      <w:r>
        <w:rPr/>
        <w:t>to</w:t>
      </w:r>
      <w:r>
        <w:rPr>
          <w:spacing w:val="-7"/>
        </w:rPr>
        <w:t> </w:t>
      </w:r>
      <w:r>
        <w:rPr/>
        <w:t>the</w:t>
      </w:r>
      <w:r>
        <w:rPr>
          <w:spacing w:val="-10"/>
        </w:rPr>
        <w:t> </w:t>
      </w:r>
      <w:r>
        <w:rPr/>
        <w:t>tune</w:t>
      </w:r>
      <w:r>
        <w:rPr>
          <w:spacing w:val="-8"/>
        </w:rPr>
        <w:t> </w:t>
      </w:r>
      <w:r>
        <w:rPr/>
        <w:t>of</w:t>
      </w:r>
      <w:r>
        <w:rPr>
          <w:spacing w:val="-6"/>
        </w:rPr>
        <w:t> </w:t>
      </w:r>
      <w:r>
        <w:rPr/>
        <w:t>25.0-30.0%.</w:t>
      </w:r>
      <w:r>
        <w:rPr>
          <w:spacing w:val="-10"/>
        </w:rPr>
        <w:t> </w:t>
      </w:r>
      <w:r>
        <w:rPr/>
        <w:t>Factoring</w:t>
      </w:r>
      <w:r>
        <w:rPr>
          <w:spacing w:val="-9"/>
        </w:rPr>
        <w:t> </w:t>
      </w:r>
      <w:r>
        <w:rPr/>
        <w:t>the same,</w:t>
      </w:r>
      <w:r>
        <w:rPr>
          <w:spacing w:val="-16"/>
        </w:rPr>
        <w:t> </w:t>
      </w:r>
      <w:r>
        <w:rPr/>
        <w:t>the</w:t>
      </w:r>
      <w:r>
        <w:rPr>
          <w:spacing w:val="-18"/>
        </w:rPr>
        <w:t> </w:t>
      </w:r>
      <w:r>
        <w:rPr/>
        <w:t>weighted</w:t>
      </w:r>
      <w:r>
        <w:rPr>
          <w:spacing w:val="-16"/>
        </w:rPr>
        <w:t> </w:t>
      </w:r>
      <w:r>
        <w:rPr/>
        <w:t>average</w:t>
      </w:r>
      <w:r>
        <w:rPr>
          <w:spacing w:val="-16"/>
        </w:rPr>
        <w:t> </w:t>
      </w:r>
      <w:r>
        <w:rPr/>
        <w:t>marginal</w:t>
      </w:r>
      <w:r>
        <w:rPr>
          <w:spacing w:val="-16"/>
        </w:rPr>
        <w:t> </w:t>
      </w:r>
      <w:r>
        <w:rPr/>
        <w:t>rent</w:t>
      </w:r>
      <w:r>
        <w:rPr>
          <w:spacing w:val="-17"/>
        </w:rPr>
        <w:t> </w:t>
      </w:r>
      <w:r>
        <w:rPr/>
        <w:t>for</w:t>
      </w:r>
      <w:r>
        <w:rPr>
          <w:spacing w:val="-16"/>
        </w:rPr>
        <w:t> </w:t>
      </w:r>
      <w:r>
        <w:rPr/>
        <w:t>the</w:t>
      </w:r>
      <w:r>
        <w:rPr>
          <w:spacing w:val="-16"/>
        </w:rPr>
        <w:t> </w:t>
      </w:r>
      <w:r>
        <w:rPr/>
        <w:t>retail</w:t>
      </w:r>
      <w:r>
        <w:rPr>
          <w:spacing w:val="-16"/>
        </w:rPr>
        <w:t> </w:t>
      </w:r>
      <w:r>
        <w:rPr/>
        <w:t>area</w:t>
      </w:r>
      <w:r>
        <w:rPr>
          <w:spacing w:val="-16"/>
        </w:rPr>
        <w:t> </w:t>
      </w:r>
      <w:r>
        <w:rPr/>
        <w:t>in</w:t>
      </w:r>
      <w:r>
        <w:rPr>
          <w:spacing w:val="-16"/>
        </w:rPr>
        <w:t> </w:t>
      </w:r>
      <w:r>
        <w:rPr/>
        <w:t>the</w:t>
      </w:r>
      <w:r>
        <w:rPr>
          <w:spacing w:val="-16"/>
        </w:rPr>
        <w:t> </w:t>
      </w:r>
      <w:r>
        <w:rPr/>
        <w:t>subject</w:t>
      </w:r>
      <w:r>
        <w:rPr>
          <w:spacing w:val="-16"/>
        </w:rPr>
        <w:t> </w:t>
      </w:r>
      <w:r>
        <w:rPr/>
        <w:t>property</w:t>
      </w:r>
      <w:r>
        <w:rPr>
          <w:spacing w:val="-14"/>
        </w:rPr>
        <w:t> </w:t>
      </w:r>
      <w:r>
        <w:rPr/>
        <w:t>is</w:t>
      </w:r>
      <w:r>
        <w:rPr>
          <w:spacing w:val="-15"/>
        </w:rPr>
        <w:t> </w:t>
      </w:r>
      <w:r>
        <w:rPr/>
        <w:t>opined</w:t>
      </w:r>
      <w:r>
        <w:rPr>
          <w:spacing w:val="-16"/>
        </w:rPr>
        <w:t> </w:t>
      </w:r>
      <w:r>
        <w:rPr/>
        <w:t>to</w:t>
      </w:r>
      <w:r>
        <w:rPr>
          <w:spacing w:val="-18"/>
        </w:rPr>
        <w:t> </w:t>
      </w:r>
      <w:r>
        <w:rPr/>
        <w:t>be</w:t>
      </w:r>
      <w:r>
        <w:rPr>
          <w:spacing w:val="-15"/>
        </w:rPr>
        <w:t> </w:t>
      </w:r>
      <w:r>
        <w:rPr/>
        <w:t>in the range of approx. INR 165.0 to 175.0 psf pm (say INR 170.0 psf</w:t>
      </w:r>
      <w:r>
        <w:rPr>
          <w:spacing w:val="-31"/>
        </w:rPr>
        <w:t> </w:t>
      </w:r>
      <w:r>
        <w:rPr/>
        <w:t>pm).</w:t>
      </w:r>
    </w:p>
    <w:p>
      <w:pPr>
        <w:pStyle w:val="BodyText"/>
        <w:spacing w:before="3"/>
        <w:rPr>
          <w:sz w:val="23"/>
        </w:rPr>
      </w:pPr>
    </w:p>
    <w:p>
      <w:pPr>
        <w:pStyle w:val="ListParagraph"/>
        <w:numPr>
          <w:ilvl w:val="3"/>
          <w:numId w:val="85"/>
        </w:numPr>
        <w:tabs>
          <w:tab w:pos="1545" w:val="left" w:leader="none"/>
        </w:tabs>
        <w:spacing w:line="240" w:lineRule="auto" w:before="0" w:after="0"/>
        <w:ind w:left="1544" w:right="0" w:hanging="865"/>
        <w:jc w:val="both"/>
        <w:rPr>
          <w:i/>
          <w:sz w:val="20"/>
        </w:rPr>
      </w:pPr>
      <w:r>
        <w:rPr>
          <w:i/>
          <w:color w:val="008000"/>
          <w:sz w:val="20"/>
        </w:rPr>
        <w:t>Rent</w:t>
      </w:r>
      <w:r>
        <w:rPr>
          <w:i/>
          <w:color w:val="008000"/>
          <w:spacing w:val="-4"/>
          <w:sz w:val="20"/>
        </w:rPr>
        <w:t> </w:t>
      </w:r>
      <w:r>
        <w:rPr>
          <w:i/>
          <w:color w:val="008000"/>
          <w:sz w:val="20"/>
        </w:rPr>
        <w:t>Escalation</w:t>
      </w:r>
    </w:p>
    <w:p>
      <w:pPr>
        <w:pStyle w:val="BodyText"/>
        <w:spacing w:line="321" w:lineRule="auto" w:before="76"/>
        <w:ind w:left="1227" w:right="678"/>
        <w:jc w:val="both"/>
      </w:pPr>
      <w:r>
        <w:rPr/>
        <w:t>Based</w:t>
      </w:r>
      <w:r>
        <w:rPr>
          <w:spacing w:val="-19"/>
        </w:rPr>
        <w:t> </w:t>
      </w:r>
      <w:r>
        <w:rPr/>
        <w:t>on</w:t>
      </w:r>
      <w:r>
        <w:rPr>
          <w:spacing w:val="-18"/>
        </w:rPr>
        <w:t> </w:t>
      </w:r>
      <w:r>
        <w:rPr/>
        <w:t>prevailing</w:t>
      </w:r>
      <w:r>
        <w:rPr>
          <w:spacing w:val="-18"/>
        </w:rPr>
        <w:t> </w:t>
      </w:r>
      <w:r>
        <w:rPr/>
        <w:t>market</w:t>
      </w:r>
      <w:r>
        <w:rPr>
          <w:spacing w:val="-17"/>
        </w:rPr>
        <w:t> </w:t>
      </w:r>
      <w:r>
        <w:rPr/>
        <w:t>terms,</w:t>
      </w:r>
      <w:r>
        <w:rPr>
          <w:spacing w:val="-18"/>
        </w:rPr>
        <w:t> </w:t>
      </w:r>
      <w:r>
        <w:rPr/>
        <w:t>it</w:t>
      </w:r>
      <w:r>
        <w:rPr>
          <w:spacing w:val="-19"/>
        </w:rPr>
        <w:t> </w:t>
      </w:r>
      <w:r>
        <w:rPr/>
        <w:t>was</w:t>
      </w:r>
      <w:r>
        <w:rPr>
          <w:spacing w:val="-18"/>
        </w:rPr>
        <w:t> </w:t>
      </w:r>
      <w:r>
        <w:rPr/>
        <w:t>observed</w:t>
      </w:r>
      <w:r>
        <w:rPr>
          <w:spacing w:val="-17"/>
        </w:rPr>
        <w:t> </w:t>
      </w:r>
      <w:r>
        <w:rPr/>
        <w:t>that</w:t>
      </w:r>
      <w:r>
        <w:rPr>
          <w:spacing w:val="-19"/>
        </w:rPr>
        <w:t> </w:t>
      </w:r>
      <w:r>
        <w:rPr/>
        <w:t>the</w:t>
      </w:r>
      <w:r>
        <w:rPr>
          <w:spacing w:val="-19"/>
        </w:rPr>
        <w:t> </w:t>
      </w:r>
      <w:r>
        <w:rPr/>
        <w:t>typical</w:t>
      </w:r>
      <w:r>
        <w:rPr>
          <w:spacing w:val="-18"/>
        </w:rPr>
        <w:t> </w:t>
      </w:r>
      <w:r>
        <w:rPr/>
        <w:t>escalation</w:t>
      </w:r>
      <w:r>
        <w:rPr>
          <w:spacing w:val="-18"/>
        </w:rPr>
        <w:t> </w:t>
      </w:r>
      <w:r>
        <w:rPr/>
        <w:t>clause</w:t>
      </w:r>
      <w:r>
        <w:rPr>
          <w:spacing w:val="-18"/>
        </w:rPr>
        <w:t> </w:t>
      </w:r>
      <w:r>
        <w:rPr/>
        <w:t>in</w:t>
      </w:r>
      <w:r>
        <w:rPr>
          <w:spacing w:val="-19"/>
        </w:rPr>
        <w:t> </w:t>
      </w:r>
      <w:r>
        <w:rPr/>
        <w:t>the</w:t>
      </w:r>
      <w:r>
        <w:rPr>
          <w:spacing w:val="-19"/>
        </w:rPr>
        <w:t> </w:t>
      </w:r>
      <w:r>
        <w:rPr/>
        <w:t>subject</w:t>
      </w:r>
      <w:r>
        <w:rPr>
          <w:spacing w:val="-19"/>
        </w:rPr>
        <w:t> </w:t>
      </w:r>
      <w:r>
        <w:rPr/>
        <w:t>sub market is approx. 15.0% after every three years. The same has been adopted for the purpose of this valuation</w:t>
      </w:r>
      <w:r>
        <w:rPr>
          <w:spacing w:val="-4"/>
        </w:rPr>
        <w:t> </w:t>
      </w:r>
      <w:r>
        <w:rPr/>
        <w:t>exercise.</w:t>
      </w:r>
    </w:p>
    <w:p>
      <w:pPr>
        <w:pStyle w:val="BodyText"/>
        <w:spacing w:before="5"/>
        <w:rPr>
          <w:sz w:val="23"/>
        </w:rPr>
      </w:pPr>
    </w:p>
    <w:p>
      <w:pPr>
        <w:pStyle w:val="ListParagraph"/>
        <w:numPr>
          <w:ilvl w:val="3"/>
          <w:numId w:val="85"/>
        </w:numPr>
        <w:tabs>
          <w:tab w:pos="1545" w:val="left" w:leader="none"/>
        </w:tabs>
        <w:spacing w:line="240" w:lineRule="auto" w:before="0" w:after="0"/>
        <w:ind w:left="1544" w:right="0" w:hanging="865"/>
        <w:jc w:val="both"/>
        <w:rPr>
          <w:i/>
          <w:sz w:val="20"/>
        </w:rPr>
      </w:pPr>
      <w:r>
        <w:rPr>
          <w:i/>
          <w:color w:val="008000"/>
          <w:sz w:val="20"/>
        </w:rPr>
        <w:t>Other</w:t>
      </w:r>
      <w:r>
        <w:rPr>
          <w:i/>
          <w:color w:val="008000"/>
          <w:spacing w:val="-4"/>
          <w:sz w:val="20"/>
        </w:rPr>
        <w:t> </w:t>
      </w:r>
      <w:r>
        <w:rPr>
          <w:i/>
          <w:color w:val="008000"/>
          <w:sz w:val="20"/>
        </w:rPr>
        <w:t>Revenues</w:t>
      </w:r>
    </w:p>
    <w:p>
      <w:pPr>
        <w:pStyle w:val="BodyText"/>
        <w:spacing w:line="321" w:lineRule="auto" w:before="76"/>
        <w:ind w:left="1227" w:right="678"/>
        <w:jc w:val="both"/>
      </w:pPr>
      <w:r>
        <w:rPr/>
        <w:t>In</w:t>
      </w:r>
      <w:r>
        <w:rPr>
          <w:spacing w:val="-8"/>
        </w:rPr>
        <w:t> </w:t>
      </w:r>
      <w:r>
        <w:rPr/>
        <w:t>addition</w:t>
      </w:r>
      <w:r>
        <w:rPr>
          <w:spacing w:val="-9"/>
        </w:rPr>
        <w:t> </w:t>
      </w:r>
      <w:r>
        <w:rPr/>
        <w:t>to</w:t>
      </w:r>
      <w:r>
        <w:rPr>
          <w:spacing w:val="-8"/>
        </w:rPr>
        <w:t> </w:t>
      </w:r>
      <w:r>
        <w:rPr/>
        <w:t>lease</w:t>
      </w:r>
      <w:r>
        <w:rPr>
          <w:spacing w:val="-8"/>
        </w:rPr>
        <w:t> </w:t>
      </w:r>
      <w:r>
        <w:rPr/>
        <w:t>rent</w:t>
      </w:r>
      <w:r>
        <w:rPr>
          <w:spacing w:val="-9"/>
        </w:rPr>
        <w:t> </w:t>
      </w:r>
      <w:r>
        <w:rPr/>
        <w:t>revenues,</w:t>
      </w:r>
      <w:r>
        <w:rPr>
          <w:spacing w:val="-8"/>
        </w:rPr>
        <w:t> </w:t>
      </w:r>
      <w:r>
        <w:rPr/>
        <w:t>office</w:t>
      </w:r>
      <w:r>
        <w:rPr>
          <w:spacing w:val="-8"/>
        </w:rPr>
        <w:t> </w:t>
      </w:r>
      <w:r>
        <w:rPr/>
        <w:t>developments</w:t>
      </w:r>
      <w:r>
        <w:rPr>
          <w:spacing w:val="-6"/>
        </w:rPr>
        <w:t> </w:t>
      </w:r>
      <w:r>
        <w:rPr/>
        <w:t>typically</w:t>
      </w:r>
      <w:r>
        <w:rPr>
          <w:spacing w:val="-7"/>
        </w:rPr>
        <w:t> </w:t>
      </w:r>
      <w:r>
        <w:rPr/>
        <w:t>have</w:t>
      </w:r>
      <w:r>
        <w:rPr>
          <w:spacing w:val="-8"/>
        </w:rPr>
        <w:t> </w:t>
      </w:r>
      <w:r>
        <w:rPr/>
        <w:t>additional</w:t>
      </w:r>
      <w:r>
        <w:rPr>
          <w:spacing w:val="-8"/>
        </w:rPr>
        <w:t> </w:t>
      </w:r>
      <w:r>
        <w:rPr/>
        <w:t>sources</w:t>
      </w:r>
      <w:r>
        <w:rPr>
          <w:spacing w:val="-7"/>
        </w:rPr>
        <w:t> </w:t>
      </w:r>
      <w:r>
        <w:rPr/>
        <w:t>of</w:t>
      </w:r>
      <w:r>
        <w:rPr>
          <w:spacing w:val="-7"/>
        </w:rPr>
        <w:t> </w:t>
      </w:r>
      <w:r>
        <w:rPr/>
        <w:t>revenue. These</w:t>
      </w:r>
      <w:r>
        <w:rPr>
          <w:spacing w:val="-23"/>
        </w:rPr>
        <w:t> </w:t>
      </w:r>
      <w:r>
        <w:rPr/>
        <w:t>include</w:t>
      </w:r>
      <w:r>
        <w:rPr>
          <w:spacing w:val="-22"/>
        </w:rPr>
        <w:t> </w:t>
      </w:r>
      <w:r>
        <w:rPr/>
        <w:t>revenues</w:t>
      </w:r>
      <w:r>
        <w:rPr>
          <w:spacing w:val="-21"/>
        </w:rPr>
        <w:t> </w:t>
      </w:r>
      <w:r>
        <w:rPr/>
        <w:t>on</w:t>
      </w:r>
      <w:r>
        <w:rPr>
          <w:spacing w:val="-22"/>
        </w:rPr>
        <w:t> </w:t>
      </w:r>
      <w:r>
        <w:rPr/>
        <w:t>account</w:t>
      </w:r>
      <w:r>
        <w:rPr>
          <w:spacing w:val="-21"/>
        </w:rPr>
        <w:t> </w:t>
      </w:r>
      <w:r>
        <w:rPr/>
        <w:t>of</w:t>
      </w:r>
      <w:r>
        <w:rPr>
          <w:spacing w:val="-22"/>
        </w:rPr>
        <w:t> </w:t>
      </w:r>
      <w:r>
        <w:rPr/>
        <w:t>security</w:t>
      </w:r>
      <w:r>
        <w:rPr>
          <w:spacing w:val="-21"/>
        </w:rPr>
        <w:t> </w:t>
      </w:r>
      <w:r>
        <w:rPr/>
        <w:t>deposit</w:t>
      </w:r>
      <w:r>
        <w:rPr>
          <w:spacing w:val="-22"/>
        </w:rPr>
        <w:t> </w:t>
      </w:r>
      <w:r>
        <w:rPr/>
        <w:t>(refunded</w:t>
      </w:r>
      <w:r>
        <w:rPr>
          <w:spacing w:val="-22"/>
        </w:rPr>
        <w:t> </w:t>
      </w:r>
      <w:r>
        <w:rPr/>
        <w:t>at</w:t>
      </w:r>
      <w:r>
        <w:rPr>
          <w:spacing w:val="-21"/>
        </w:rPr>
        <w:t> </w:t>
      </w:r>
      <w:r>
        <w:rPr/>
        <w:t>the</w:t>
      </w:r>
      <w:r>
        <w:rPr>
          <w:spacing w:val="-23"/>
        </w:rPr>
        <w:t> </w:t>
      </w:r>
      <w:r>
        <w:rPr/>
        <w:t>time</w:t>
      </w:r>
      <w:r>
        <w:rPr>
          <w:spacing w:val="-23"/>
        </w:rPr>
        <w:t> </w:t>
      </w:r>
      <w:r>
        <w:rPr/>
        <w:t>of</w:t>
      </w:r>
      <w:r>
        <w:rPr>
          <w:spacing w:val="-21"/>
        </w:rPr>
        <w:t> </w:t>
      </w:r>
      <w:r>
        <w:rPr/>
        <w:t>lease</w:t>
      </w:r>
      <w:r>
        <w:rPr>
          <w:spacing w:val="-22"/>
        </w:rPr>
        <w:t> </w:t>
      </w:r>
      <w:r>
        <w:rPr/>
        <w:t>expiry</w:t>
      </w:r>
      <w:r>
        <w:rPr>
          <w:spacing w:val="-22"/>
        </w:rPr>
        <w:t> </w:t>
      </w:r>
      <w:r>
        <w:rPr/>
        <w:t>/</w:t>
      </w:r>
      <w:r>
        <w:rPr>
          <w:spacing w:val="-22"/>
        </w:rPr>
        <w:t> </w:t>
      </w:r>
      <w:r>
        <w:rPr/>
        <w:t>exit),</w:t>
      </w:r>
      <w:r>
        <w:rPr>
          <w:spacing w:val="-22"/>
        </w:rPr>
        <w:t> </w:t>
      </w:r>
      <w:r>
        <w:rPr/>
        <w:t>car parking income,</w:t>
      </w:r>
      <w:r>
        <w:rPr>
          <w:spacing w:val="-5"/>
        </w:rPr>
        <w:t> </w:t>
      </w:r>
      <w:r>
        <w:rPr/>
        <w:t>etc.</w:t>
      </w:r>
    </w:p>
    <w:p>
      <w:pPr>
        <w:pStyle w:val="BodyText"/>
        <w:spacing w:before="8"/>
        <w:rPr>
          <w:sz w:val="20"/>
        </w:rPr>
      </w:pPr>
    </w:p>
    <w:p>
      <w:pPr>
        <w:pStyle w:val="BodyText"/>
        <w:spacing w:line="321" w:lineRule="auto"/>
        <w:ind w:left="1227" w:right="675"/>
        <w:jc w:val="both"/>
      </w:pPr>
      <w:r>
        <w:rPr/>
        <w:t>The assumptions considered for the aforementioned revenue heads for the purpose of this valuation exercise are based on prevailing market norms for other revenues.</w:t>
      </w:r>
    </w:p>
    <w:p>
      <w:pPr>
        <w:pStyle w:val="BodyText"/>
        <w:spacing w:before="9"/>
        <w:rPr>
          <w:sz w:val="20"/>
        </w:rPr>
      </w:pPr>
    </w:p>
    <w:p>
      <w:pPr>
        <w:pStyle w:val="BodyText"/>
        <w:ind w:left="1227"/>
        <w:jc w:val="both"/>
      </w:pPr>
      <w:r>
        <w:rPr/>
        <w:t>The assumptions adopted for other revenues are as tabulated below:</w:t>
      </w:r>
    </w:p>
    <w:p>
      <w:pPr>
        <w:pStyle w:val="BodyText"/>
        <w:spacing w:before="10"/>
        <w:rPr>
          <w:sz w:val="27"/>
        </w:rPr>
      </w:pPr>
    </w:p>
    <w:tbl>
      <w:tblPr>
        <w:tblCellSpacing w:w="27" w:type="dxa"/>
        <w:tblW w:w="0" w:type="auto"/>
        <w:jc w:val="left"/>
        <w:tblInd w:w="73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3"/>
        <w:gridCol w:w="3491"/>
        <w:gridCol w:w="3460"/>
      </w:tblGrid>
      <w:tr>
        <w:trPr>
          <w:trHeight w:val="160" w:hRule="atLeast"/>
        </w:trPr>
        <w:tc>
          <w:tcPr>
            <w:tcW w:w="3463" w:type="dxa"/>
            <w:tcBorders>
              <w:left w:val="nil"/>
              <w:right w:val="nil"/>
            </w:tcBorders>
            <w:shd w:val="clear" w:color="auto" w:fill="006A4D"/>
          </w:tcPr>
          <w:p>
            <w:pPr>
              <w:pStyle w:val="TableParagraph"/>
              <w:spacing w:line="192" w:lineRule="exact" w:before="3"/>
              <w:ind w:left="931"/>
              <w:jc w:val="left"/>
              <w:rPr>
                <w:b/>
                <w:sz w:val="18"/>
              </w:rPr>
            </w:pPr>
            <w:r>
              <w:rPr>
                <w:b/>
                <w:color w:val="FFFFFF"/>
                <w:w w:val="105"/>
                <w:sz w:val="18"/>
              </w:rPr>
              <w:t>Nature of Income</w:t>
            </w:r>
          </w:p>
        </w:tc>
        <w:tc>
          <w:tcPr>
            <w:tcW w:w="3491" w:type="dxa"/>
            <w:tcBorders>
              <w:left w:val="nil"/>
              <w:right w:val="nil"/>
            </w:tcBorders>
            <w:shd w:val="clear" w:color="auto" w:fill="006A4D"/>
          </w:tcPr>
          <w:p>
            <w:pPr>
              <w:pStyle w:val="TableParagraph"/>
              <w:spacing w:line="192" w:lineRule="exact" w:before="3"/>
              <w:ind w:left="1240" w:right="1229"/>
              <w:rPr>
                <w:b/>
                <w:sz w:val="18"/>
              </w:rPr>
            </w:pPr>
            <w:r>
              <w:rPr>
                <w:b/>
                <w:color w:val="FFFFFF"/>
                <w:w w:val="110"/>
                <w:sz w:val="18"/>
              </w:rPr>
              <w:t>Details</w:t>
            </w:r>
          </w:p>
        </w:tc>
        <w:tc>
          <w:tcPr>
            <w:tcW w:w="3460" w:type="dxa"/>
            <w:tcBorders>
              <w:left w:val="nil"/>
              <w:right w:val="nil"/>
            </w:tcBorders>
            <w:shd w:val="clear" w:color="auto" w:fill="006A4D"/>
          </w:tcPr>
          <w:p>
            <w:pPr>
              <w:pStyle w:val="TableParagraph"/>
              <w:spacing w:line="192" w:lineRule="exact" w:before="3"/>
              <w:ind w:left="1455" w:right="1444"/>
              <w:rPr>
                <w:b/>
                <w:sz w:val="18"/>
              </w:rPr>
            </w:pPr>
            <w:r>
              <w:rPr>
                <w:b/>
                <w:color w:val="FFFFFF"/>
                <w:w w:val="105"/>
                <w:sz w:val="18"/>
              </w:rPr>
              <w:t>Units</w:t>
            </w:r>
          </w:p>
        </w:tc>
      </w:tr>
    </w:tbl>
    <w:p>
      <w:pPr>
        <w:tabs>
          <w:tab w:pos="5548" w:val="left" w:leader="none"/>
          <w:tab w:pos="8109" w:val="left" w:leader="none"/>
        </w:tabs>
        <w:spacing w:before="45"/>
        <w:ind w:left="1297" w:right="0" w:firstLine="0"/>
        <w:jc w:val="both"/>
        <w:rPr>
          <w:sz w:val="18"/>
        </w:rPr>
      </w:pPr>
      <w:r>
        <w:rPr/>
        <w:pict>
          <v:rect style="position:absolute;margin-left:36pt;margin-top:14.781668pt;width:523.560025pt;height:.719pt;mso-position-horizontal-relative:page;mso-position-vertical-relative:paragraph;z-index:-14976512;mso-wrap-distance-left:0;mso-wrap-distance-right:0" filled="true" fillcolor="#69bd28" stroked="false">
            <v:fill type="solid"/>
            <w10:wrap type="topAndBottom"/>
          </v:rect>
        </w:pict>
      </w:r>
      <w:r>
        <w:rPr>
          <w:sz w:val="18"/>
        </w:rPr>
        <w:t>Warm shell</w:t>
      </w:r>
      <w:r>
        <w:rPr>
          <w:spacing w:val="-35"/>
          <w:sz w:val="18"/>
        </w:rPr>
        <w:t> </w:t>
      </w:r>
      <w:r>
        <w:rPr>
          <w:sz w:val="18"/>
        </w:rPr>
        <w:t>Security</w:t>
      </w:r>
      <w:r>
        <w:rPr>
          <w:spacing w:val="-18"/>
          <w:sz w:val="18"/>
        </w:rPr>
        <w:t> </w:t>
      </w:r>
      <w:r>
        <w:rPr>
          <w:sz w:val="18"/>
        </w:rPr>
        <w:t>Deposit*</w:t>
        <w:tab/>
        <w:t>6</w:t>
      </w:r>
      <w:r>
        <w:rPr>
          <w:spacing w:val="-2"/>
          <w:sz w:val="18"/>
        </w:rPr>
        <w:t> </w:t>
      </w:r>
      <w:r>
        <w:rPr>
          <w:sz w:val="18"/>
        </w:rPr>
        <w:t>months</w:t>
        <w:tab/>
        <w:t>No. of months’ warm shell</w:t>
      </w:r>
      <w:r>
        <w:rPr>
          <w:spacing w:val="-25"/>
          <w:sz w:val="18"/>
        </w:rPr>
        <w:t> </w:t>
      </w:r>
      <w:r>
        <w:rPr>
          <w:sz w:val="18"/>
        </w:rPr>
        <w:t>rental</w:t>
      </w:r>
    </w:p>
    <w:p>
      <w:pPr>
        <w:tabs>
          <w:tab w:pos="5610" w:val="left" w:leader="none"/>
          <w:tab w:pos="9338" w:val="left" w:leader="none"/>
        </w:tabs>
        <w:spacing w:before="18" w:after="42"/>
        <w:ind w:left="1153" w:right="0" w:firstLine="0"/>
        <w:jc w:val="both"/>
        <w:rPr>
          <w:sz w:val="18"/>
        </w:rPr>
      </w:pPr>
      <w:r>
        <w:rPr>
          <w:w w:val="110"/>
          <w:sz w:val="18"/>
        </w:rPr>
        <w:t>Mark-Up</w:t>
      </w:r>
      <w:r>
        <w:rPr>
          <w:spacing w:val="-22"/>
          <w:w w:val="110"/>
          <w:sz w:val="18"/>
        </w:rPr>
        <w:t> </w:t>
      </w:r>
      <w:r>
        <w:rPr>
          <w:w w:val="110"/>
          <w:sz w:val="18"/>
        </w:rPr>
        <w:t>on</w:t>
      </w:r>
      <w:r>
        <w:rPr>
          <w:spacing w:val="-21"/>
          <w:w w:val="110"/>
          <w:sz w:val="18"/>
        </w:rPr>
        <w:t> </w:t>
      </w:r>
      <w:r>
        <w:rPr>
          <w:w w:val="110"/>
          <w:sz w:val="18"/>
        </w:rPr>
        <w:t>CAM/</w:t>
      </w:r>
      <w:r>
        <w:rPr>
          <w:spacing w:val="-22"/>
          <w:w w:val="110"/>
          <w:sz w:val="18"/>
        </w:rPr>
        <w:t> </w:t>
      </w:r>
      <w:r>
        <w:rPr>
          <w:w w:val="110"/>
          <w:sz w:val="18"/>
        </w:rPr>
        <w:t>CAM</w:t>
      </w:r>
      <w:r>
        <w:rPr>
          <w:spacing w:val="-21"/>
          <w:w w:val="110"/>
          <w:sz w:val="18"/>
        </w:rPr>
        <w:t> </w:t>
      </w:r>
      <w:r>
        <w:rPr>
          <w:w w:val="110"/>
          <w:sz w:val="18"/>
        </w:rPr>
        <w:t>margin</w:t>
        <w:tab/>
        <w:t>15.00%</w:t>
        <w:tab/>
        <w:t>%</w:t>
      </w:r>
    </w:p>
    <w:p>
      <w:pPr>
        <w:pStyle w:val="BodyText"/>
        <w:spacing w:line="20" w:lineRule="exact"/>
        <w:ind w:left="66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118"/>
        <w:ind w:left="680" w:right="0" w:firstLine="0"/>
        <w:jc w:val="left"/>
        <w:rPr>
          <w:i/>
          <w:sz w:val="18"/>
        </w:rPr>
      </w:pPr>
      <w:r>
        <w:rPr>
          <w:i/>
          <w:sz w:val="18"/>
        </w:rPr>
        <w:t>Source: Client’s Inputs &amp; Valuer’s assessment; * Refunded at the time of lease expiry/ exit;</w:t>
      </w:r>
    </w:p>
    <w:p>
      <w:pPr>
        <w:pStyle w:val="BodyText"/>
        <w:spacing w:before="10"/>
        <w:rPr>
          <w:i/>
          <w:sz w:val="26"/>
        </w:rPr>
      </w:pPr>
    </w:p>
    <w:p>
      <w:pPr>
        <w:pStyle w:val="ListParagraph"/>
        <w:numPr>
          <w:ilvl w:val="2"/>
          <w:numId w:val="14"/>
        </w:numPr>
        <w:tabs>
          <w:tab w:pos="1401" w:val="left" w:leader="none"/>
        </w:tabs>
        <w:spacing w:line="240" w:lineRule="auto" w:before="1" w:after="0"/>
        <w:ind w:left="1400" w:right="0" w:hanging="721"/>
        <w:jc w:val="both"/>
        <w:rPr>
          <w:sz w:val="22"/>
        </w:rPr>
      </w:pPr>
      <w:bookmarkStart w:name="_bookmark343" w:id="669"/>
      <w:bookmarkEnd w:id="669"/>
      <w:r>
        <w:rPr/>
      </w:r>
      <w:bookmarkStart w:name="_bookmark343" w:id="670"/>
      <w:bookmarkEnd w:id="670"/>
      <w:r>
        <w:rPr>
          <w:color w:val="1F664D"/>
          <w:w w:val="105"/>
          <w:sz w:val="22"/>
        </w:rPr>
        <w:t>R</w:t>
      </w:r>
      <w:r>
        <w:rPr>
          <w:color w:val="1F664D"/>
          <w:w w:val="105"/>
          <w:sz w:val="22"/>
        </w:rPr>
        <w:t>evenue Assumptions -</w:t>
      </w:r>
      <w:r>
        <w:rPr>
          <w:color w:val="1F664D"/>
          <w:spacing w:val="-16"/>
          <w:w w:val="105"/>
          <w:sz w:val="22"/>
        </w:rPr>
        <w:t> </w:t>
      </w:r>
      <w:r>
        <w:rPr>
          <w:color w:val="1F664D"/>
          <w:w w:val="105"/>
          <w:sz w:val="22"/>
        </w:rPr>
        <w:t>Hotel</w:t>
      </w:r>
    </w:p>
    <w:p>
      <w:pPr>
        <w:pStyle w:val="BodyText"/>
        <w:spacing w:before="6"/>
        <w:rPr>
          <w:sz w:val="25"/>
        </w:rPr>
      </w:pPr>
    </w:p>
    <w:p>
      <w:pPr>
        <w:pStyle w:val="ListParagraph"/>
        <w:numPr>
          <w:ilvl w:val="3"/>
          <w:numId w:val="86"/>
        </w:numPr>
        <w:tabs>
          <w:tab w:pos="1545" w:val="left" w:leader="none"/>
        </w:tabs>
        <w:spacing w:line="240" w:lineRule="auto" w:before="0" w:after="0"/>
        <w:ind w:left="1544" w:right="0" w:hanging="865"/>
        <w:jc w:val="both"/>
        <w:rPr>
          <w:i/>
          <w:sz w:val="20"/>
        </w:rPr>
      </w:pPr>
      <w:r>
        <w:rPr>
          <w:i/>
          <w:color w:val="008000"/>
          <w:sz w:val="20"/>
        </w:rPr>
        <w:t>ARR and Occupancy</w:t>
      </w:r>
      <w:r>
        <w:rPr>
          <w:i/>
          <w:color w:val="008000"/>
          <w:spacing w:val="-7"/>
          <w:sz w:val="20"/>
        </w:rPr>
        <w:t> </w:t>
      </w:r>
      <w:r>
        <w:rPr>
          <w:i/>
          <w:color w:val="008000"/>
          <w:sz w:val="20"/>
        </w:rPr>
        <w:t>Assumptions</w:t>
      </w:r>
    </w:p>
    <w:p>
      <w:pPr>
        <w:pStyle w:val="BodyText"/>
        <w:spacing w:line="321" w:lineRule="auto" w:before="76"/>
        <w:ind w:left="1227" w:right="674"/>
        <w:jc w:val="both"/>
      </w:pPr>
      <w:r>
        <w:rPr/>
        <w:t>Given the positioning &amp; location of the subject development, performance of competing hotels and development</w:t>
      </w:r>
      <w:r>
        <w:rPr>
          <w:spacing w:val="-49"/>
        </w:rPr>
        <w:t> </w:t>
      </w:r>
      <w:r>
        <w:rPr/>
        <w:t>mix</w:t>
      </w:r>
      <w:r>
        <w:rPr>
          <w:spacing w:val="-49"/>
        </w:rPr>
        <w:t> </w:t>
      </w:r>
      <w:r>
        <w:rPr/>
        <w:t>(part</w:t>
      </w:r>
      <w:r>
        <w:rPr>
          <w:spacing w:val="-48"/>
        </w:rPr>
        <w:t> </w:t>
      </w:r>
      <w:r>
        <w:rPr/>
        <w:t>of</w:t>
      </w:r>
      <w:r>
        <w:rPr>
          <w:spacing w:val="-49"/>
        </w:rPr>
        <w:t> </w:t>
      </w:r>
      <w:r>
        <w:rPr/>
        <w:t>a</w:t>
      </w:r>
      <w:r>
        <w:rPr>
          <w:spacing w:val="-49"/>
        </w:rPr>
        <w:t> </w:t>
      </w:r>
      <w:r>
        <w:rPr/>
        <w:t>larger</w:t>
      </w:r>
      <w:r>
        <w:rPr>
          <w:spacing w:val="-49"/>
        </w:rPr>
        <w:t> </w:t>
      </w:r>
      <w:r>
        <w:rPr/>
        <w:t>mixed-use</w:t>
      </w:r>
      <w:r>
        <w:rPr>
          <w:spacing w:val="-50"/>
        </w:rPr>
        <w:t> </w:t>
      </w:r>
      <w:r>
        <w:rPr/>
        <w:t>development)</w:t>
      </w:r>
      <w:r>
        <w:rPr>
          <w:spacing w:val="-48"/>
        </w:rPr>
        <w:t> </w:t>
      </w:r>
      <w:r>
        <w:rPr/>
        <w:t>etc.,</w:t>
      </w:r>
      <w:r>
        <w:rPr>
          <w:spacing w:val="-49"/>
        </w:rPr>
        <w:t> </w:t>
      </w:r>
      <w:r>
        <w:rPr/>
        <w:t>it</w:t>
      </w:r>
      <w:r>
        <w:rPr>
          <w:spacing w:val="-49"/>
        </w:rPr>
        <w:t> </w:t>
      </w:r>
      <w:r>
        <w:rPr/>
        <w:t>is</w:t>
      </w:r>
      <w:r>
        <w:rPr>
          <w:spacing w:val="-48"/>
        </w:rPr>
        <w:t> </w:t>
      </w:r>
      <w:r>
        <w:rPr/>
        <w:t>opined</w:t>
      </w:r>
      <w:r>
        <w:rPr>
          <w:spacing w:val="-49"/>
        </w:rPr>
        <w:t> </w:t>
      </w:r>
      <w:r>
        <w:rPr/>
        <w:t>that</w:t>
      </w:r>
      <w:r>
        <w:rPr>
          <w:spacing w:val="-48"/>
        </w:rPr>
        <w:t> </w:t>
      </w:r>
      <w:r>
        <w:rPr/>
        <w:t>ARRs</w:t>
      </w:r>
      <w:r>
        <w:rPr>
          <w:spacing w:val="-49"/>
        </w:rPr>
        <w:t> </w:t>
      </w:r>
      <w:r>
        <w:rPr/>
        <w:t>for</w:t>
      </w:r>
      <w:r>
        <w:rPr>
          <w:spacing w:val="-49"/>
        </w:rPr>
        <w:t> </w:t>
      </w:r>
      <w:r>
        <w:rPr/>
        <w:t>hotel</w:t>
      </w:r>
      <w:r>
        <w:rPr>
          <w:spacing w:val="-49"/>
        </w:rPr>
        <w:t> </w:t>
      </w:r>
      <w:r>
        <w:rPr/>
        <w:t>component in</w:t>
      </w:r>
      <w:r>
        <w:rPr>
          <w:spacing w:val="-18"/>
        </w:rPr>
        <w:t> </w:t>
      </w:r>
      <w:r>
        <w:rPr/>
        <w:t>the</w:t>
      </w:r>
      <w:r>
        <w:rPr>
          <w:spacing w:val="-17"/>
        </w:rPr>
        <w:t> </w:t>
      </w:r>
      <w:r>
        <w:rPr/>
        <w:t>subject</w:t>
      </w:r>
      <w:r>
        <w:rPr>
          <w:spacing w:val="-15"/>
        </w:rPr>
        <w:t> </w:t>
      </w:r>
      <w:r>
        <w:rPr/>
        <w:t>development</w:t>
      </w:r>
      <w:r>
        <w:rPr>
          <w:spacing w:val="-16"/>
        </w:rPr>
        <w:t> </w:t>
      </w:r>
      <w:r>
        <w:rPr/>
        <w:t>would</w:t>
      </w:r>
      <w:r>
        <w:rPr>
          <w:spacing w:val="-17"/>
        </w:rPr>
        <w:t> </w:t>
      </w:r>
      <w:r>
        <w:rPr/>
        <w:t>range</w:t>
      </w:r>
      <w:r>
        <w:rPr>
          <w:spacing w:val="-19"/>
        </w:rPr>
        <w:t> </w:t>
      </w:r>
      <w:r>
        <w:rPr/>
        <w:t>from</w:t>
      </w:r>
      <w:r>
        <w:rPr>
          <w:spacing w:val="-17"/>
        </w:rPr>
        <w:t> </w:t>
      </w:r>
      <w:r>
        <w:rPr/>
        <w:t>INR</w:t>
      </w:r>
      <w:r>
        <w:rPr>
          <w:spacing w:val="-17"/>
        </w:rPr>
        <w:t> </w:t>
      </w:r>
      <w:r>
        <w:rPr/>
        <w:t>10,000</w:t>
      </w:r>
      <w:r>
        <w:rPr>
          <w:spacing w:val="-16"/>
        </w:rPr>
        <w:t> </w:t>
      </w:r>
      <w:r>
        <w:rPr>
          <w:w w:val="105"/>
        </w:rPr>
        <w:t>–</w:t>
      </w:r>
      <w:r>
        <w:rPr>
          <w:spacing w:val="-19"/>
          <w:w w:val="105"/>
        </w:rPr>
        <w:t> </w:t>
      </w:r>
      <w:r>
        <w:rPr/>
        <w:t>INR</w:t>
      </w:r>
      <w:r>
        <w:rPr>
          <w:spacing w:val="-17"/>
        </w:rPr>
        <w:t> </w:t>
      </w:r>
      <w:r>
        <w:rPr/>
        <w:t>11,000</w:t>
      </w:r>
      <w:r>
        <w:rPr>
          <w:spacing w:val="-18"/>
        </w:rPr>
        <w:t> </w:t>
      </w:r>
      <w:r>
        <w:rPr/>
        <w:t>per</w:t>
      </w:r>
      <w:r>
        <w:rPr>
          <w:spacing w:val="-17"/>
        </w:rPr>
        <w:t> </w:t>
      </w:r>
      <w:r>
        <w:rPr/>
        <w:t>room</w:t>
      </w:r>
      <w:r>
        <w:rPr>
          <w:spacing w:val="-16"/>
        </w:rPr>
        <w:t> </w:t>
      </w:r>
      <w:r>
        <w:rPr/>
        <w:t>night</w:t>
      </w:r>
      <w:r>
        <w:rPr>
          <w:spacing w:val="-18"/>
        </w:rPr>
        <w:t> </w:t>
      </w:r>
      <w:r>
        <w:rPr/>
        <w:t>(viz.</w:t>
      </w:r>
      <w:r>
        <w:rPr>
          <w:spacing w:val="-16"/>
        </w:rPr>
        <w:t> </w:t>
      </w:r>
      <w:r>
        <w:rPr/>
        <w:t>approx.</w:t>
      </w:r>
      <w:r>
        <w:rPr>
          <w:spacing w:val="-15"/>
        </w:rPr>
        <w:t> </w:t>
      </w:r>
      <w:r>
        <w:rPr/>
        <w:t>INR 10,500</w:t>
      </w:r>
      <w:r>
        <w:rPr>
          <w:spacing w:val="-29"/>
        </w:rPr>
        <w:t> </w:t>
      </w:r>
      <w:r>
        <w:rPr/>
        <w:t>per</w:t>
      </w:r>
      <w:r>
        <w:rPr>
          <w:spacing w:val="-29"/>
        </w:rPr>
        <w:t> </w:t>
      </w:r>
      <w:r>
        <w:rPr/>
        <w:t>room</w:t>
      </w:r>
      <w:r>
        <w:rPr>
          <w:spacing w:val="-29"/>
        </w:rPr>
        <w:t> </w:t>
      </w:r>
      <w:r>
        <w:rPr/>
        <w:t>night).</w:t>
      </w:r>
      <w:r>
        <w:rPr>
          <w:spacing w:val="-29"/>
        </w:rPr>
        <w:t> </w:t>
      </w:r>
      <w:r>
        <w:rPr/>
        <w:t>Additionally,</w:t>
      </w:r>
      <w:r>
        <w:rPr>
          <w:spacing w:val="-29"/>
        </w:rPr>
        <w:t> </w:t>
      </w:r>
      <w:r>
        <w:rPr/>
        <w:t>the</w:t>
      </w:r>
      <w:r>
        <w:rPr>
          <w:spacing w:val="-29"/>
        </w:rPr>
        <w:t> </w:t>
      </w:r>
      <w:r>
        <w:rPr/>
        <w:t>stabilized</w:t>
      </w:r>
      <w:r>
        <w:rPr>
          <w:spacing w:val="-28"/>
        </w:rPr>
        <w:t> </w:t>
      </w:r>
      <w:r>
        <w:rPr/>
        <w:t>occupancy</w:t>
      </w:r>
      <w:r>
        <w:rPr>
          <w:spacing w:val="-29"/>
        </w:rPr>
        <w:t> </w:t>
      </w:r>
      <w:r>
        <w:rPr/>
        <w:t>for</w:t>
      </w:r>
      <w:r>
        <w:rPr>
          <w:spacing w:val="-30"/>
        </w:rPr>
        <w:t> </w:t>
      </w:r>
      <w:r>
        <w:rPr/>
        <w:t>the</w:t>
      </w:r>
      <w:r>
        <w:rPr>
          <w:spacing w:val="-29"/>
        </w:rPr>
        <w:t> </w:t>
      </w:r>
      <w:r>
        <w:rPr/>
        <w:t>subject</w:t>
      </w:r>
      <w:r>
        <w:rPr>
          <w:spacing w:val="-28"/>
        </w:rPr>
        <w:t> </w:t>
      </w:r>
      <w:r>
        <w:rPr/>
        <w:t>development</w:t>
      </w:r>
      <w:r>
        <w:rPr>
          <w:spacing w:val="-28"/>
        </w:rPr>
        <w:t> </w:t>
      </w:r>
      <w:r>
        <w:rPr/>
        <w:t>is</w:t>
      </w:r>
      <w:r>
        <w:rPr>
          <w:spacing w:val="-30"/>
        </w:rPr>
        <w:t> </w:t>
      </w:r>
      <w:r>
        <w:rPr/>
        <w:t>opined</w:t>
      </w:r>
      <w:r>
        <w:rPr>
          <w:spacing w:val="-28"/>
        </w:rPr>
        <w:t> </w:t>
      </w:r>
      <w:r>
        <w:rPr/>
        <w:t>to be 70.0%, 2.5 years from the year of operation</w:t>
      </w:r>
      <w:r>
        <w:rPr>
          <w:spacing w:val="-41"/>
        </w:rPr>
        <w:t> </w:t>
      </w:r>
      <w:r>
        <w:rPr/>
        <w:t>commencement.</w:t>
      </w:r>
    </w:p>
    <w:p>
      <w:pPr>
        <w:spacing w:after="0" w:line="321" w:lineRule="auto"/>
        <w:jc w:val="both"/>
        <w:sectPr>
          <w:pgSz w:w="11910" w:h="16840"/>
          <w:pgMar w:header="720" w:footer="862" w:top="1660" w:bottom="1060" w:left="40" w:right="40"/>
        </w:sectPr>
      </w:pPr>
    </w:p>
    <w:p>
      <w:pPr>
        <w:pStyle w:val="BodyText"/>
        <w:spacing w:before="1"/>
        <w:rPr>
          <w:sz w:val="12"/>
        </w:rPr>
      </w:pPr>
    </w:p>
    <w:p>
      <w:pPr>
        <w:pStyle w:val="ListParagraph"/>
        <w:numPr>
          <w:ilvl w:val="3"/>
          <w:numId w:val="86"/>
        </w:numPr>
        <w:tabs>
          <w:tab w:pos="1545" w:val="left" w:leader="none"/>
        </w:tabs>
        <w:spacing w:line="240" w:lineRule="auto" w:before="106" w:after="0"/>
        <w:ind w:left="1544" w:right="0" w:hanging="865"/>
        <w:jc w:val="left"/>
        <w:rPr>
          <w:i/>
          <w:sz w:val="20"/>
        </w:rPr>
      </w:pPr>
      <w:r>
        <w:rPr>
          <w:i/>
          <w:color w:val="008000"/>
          <w:sz w:val="20"/>
        </w:rPr>
        <w:t>Other</w:t>
      </w:r>
      <w:r>
        <w:rPr>
          <w:i/>
          <w:color w:val="008000"/>
          <w:spacing w:val="-4"/>
          <w:sz w:val="20"/>
        </w:rPr>
        <w:t> </w:t>
      </w:r>
      <w:r>
        <w:rPr>
          <w:i/>
          <w:color w:val="008000"/>
          <w:sz w:val="20"/>
        </w:rPr>
        <w:t>Revenues</w:t>
      </w:r>
    </w:p>
    <w:p>
      <w:pPr>
        <w:pStyle w:val="BodyText"/>
        <w:spacing w:line="321" w:lineRule="auto" w:before="76"/>
        <w:ind w:left="1227" w:right="675"/>
        <w:jc w:val="both"/>
      </w:pPr>
      <w:r>
        <w:rPr/>
        <w:t>The</w:t>
      </w:r>
      <w:r>
        <w:rPr>
          <w:spacing w:val="-35"/>
        </w:rPr>
        <w:t> </w:t>
      </w:r>
      <w:r>
        <w:rPr/>
        <w:t>revenue</w:t>
      </w:r>
      <w:r>
        <w:rPr>
          <w:spacing w:val="-33"/>
        </w:rPr>
        <w:t> </w:t>
      </w:r>
      <w:r>
        <w:rPr/>
        <w:t>assumptions</w:t>
      </w:r>
      <w:r>
        <w:rPr>
          <w:spacing w:val="-34"/>
        </w:rPr>
        <w:t> </w:t>
      </w:r>
      <w:r>
        <w:rPr/>
        <w:t>for</w:t>
      </w:r>
      <w:r>
        <w:rPr>
          <w:spacing w:val="-34"/>
        </w:rPr>
        <w:t> </w:t>
      </w:r>
      <w:r>
        <w:rPr/>
        <w:t>the</w:t>
      </w:r>
      <w:r>
        <w:rPr>
          <w:spacing w:val="-34"/>
        </w:rPr>
        <w:t> </w:t>
      </w:r>
      <w:r>
        <w:rPr/>
        <w:t>hotel</w:t>
      </w:r>
      <w:r>
        <w:rPr>
          <w:spacing w:val="-32"/>
        </w:rPr>
        <w:t> </w:t>
      </w:r>
      <w:r>
        <w:rPr/>
        <w:t>component</w:t>
      </w:r>
      <w:r>
        <w:rPr>
          <w:spacing w:val="-33"/>
        </w:rPr>
        <w:t> </w:t>
      </w:r>
      <w:r>
        <w:rPr/>
        <w:t>of</w:t>
      </w:r>
      <w:r>
        <w:rPr>
          <w:spacing w:val="-33"/>
        </w:rPr>
        <w:t> </w:t>
      </w:r>
      <w:r>
        <w:rPr/>
        <w:t>the</w:t>
      </w:r>
      <w:r>
        <w:rPr>
          <w:spacing w:val="-34"/>
        </w:rPr>
        <w:t> </w:t>
      </w:r>
      <w:r>
        <w:rPr/>
        <w:t>subject</w:t>
      </w:r>
      <w:r>
        <w:rPr>
          <w:spacing w:val="-33"/>
        </w:rPr>
        <w:t> </w:t>
      </w:r>
      <w:r>
        <w:rPr/>
        <w:t>development</w:t>
      </w:r>
      <w:r>
        <w:rPr>
          <w:spacing w:val="-34"/>
        </w:rPr>
        <w:t> </w:t>
      </w:r>
      <w:r>
        <w:rPr/>
        <w:t>have</w:t>
      </w:r>
      <w:r>
        <w:rPr>
          <w:spacing w:val="-34"/>
        </w:rPr>
        <w:t> </w:t>
      </w:r>
      <w:r>
        <w:rPr/>
        <w:t>been</w:t>
      </w:r>
      <w:r>
        <w:rPr>
          <w:spacing w:val="-33"/>
        </w:rPr>
        <w:t> </w:t>
      </w:r>
      <w:r>
        <w:rPr/>
        <w:t>enumerated</w:t>
      </w:r>
      <w:r>
        <w:rPr>
          <w:spacing w:val="-33"/>
        </w:rPr>
        <w:t> </w:t>
      </w:r>
      <w:r>
        <w:rPr/>
        <w:t>in the table</w:t>
      </w:r>
      <w:r>
        <w:rPr>
          <w:spacing w:val="-6"/>
        </w:rPr>
        <w:t> </w:t>
      </w:r>
      <w:r>
        <w:rPr/>
        <w:t>below:</w:t>
      </w:r>
    </w:p>
    <w:p>
      <w:pPr>
        <w:pStyle w:val="BodyText"/>
        <w:spacing w:before="5"/>
        <w:rPr>
          <w:sz w:val="20"/>
        </w:rPr>
      </w:pPr>
    </w:p>
    <w:tbl>
      <w:tblPr>
        <w:tblCellSpacing w:w="27" w:type="dxa"/>
        <w:tblW w:w="0" w:type="auto"/>
        <w:jc w:val="left"/>
        <w:tblInd w:w="73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3465"/>
        <w:gridCol w:w="3488"/>
        <w:gridCol w:w="3460"/>
      </w:tblGrid>
      <w:tr>
        <w:trPr>
          <w:trHeight w:val="160" w:hRule="atLeast"/>
        </w:trPr>
        <w:tc>
          <w:tcPr>
            <w:tcW w:w="3465" w:type="dxa"/>
            <w:tcBorders>
              <w:left w:val="nil"/>
              <w:right w:val="nil"/>
            </w:tcBorders>
            <w:shd w:val="clear" w:color="auto" w:fill="006A4D"/>
          </w:tcPr>
          <w:p>
            <w:pPr>
              <w:pStyle w:val="TableParagraph"/>
              <w:spacing w:line="192" w:lineRule="exact" w:before="3"/>
              <w:ind w:left="1245" w:right="1228"/>
              <w:rPr>
                <w:b/>
                <w:sz w:val="18"/>
              </w:rPr>
            </w:pPr>
            <w:r>
              <w:rPr>
                <w:b/>
                <w:color w:val="FFFFFF"/>
                <w:w w:val="105"/>
                <w:sz w:val="18"/>
              </w:rPr>
              <w:t>Particulars</w:t>
            </w:r>
          </w:p>
        </w:tc>
        <w:tc>
          <w:tcPr>
            <w:tcW w:w="3488" w:type="dxa"/>
            <w:tcBorders>
              <w:left w:val="nil"/>
              <w:right w:val="nil"/>
            </w:tcBorders>
            <w:shd w:val="clear" w:color="auto" w:fill="006A4D"/>
          </w:tcPr>
          <w:p>
            <w:pPr>
              <w:pStyle w:val="TableParagraph"/>
              <w:spacing w:line="192" w:lineRule="exact" w:before="3"/>
              <w:ind w:left="1545" w:right="1532"/>
              <w:rPr>
                <w:b/>
                <w:sz w:val="18"/>
              </w:rPr>
            </w:pPr>
            <w:r>
              <w:rPr>
                <w:b/>
                <w:color w:val="FFFFFF"/>
                <w:w w:val="105"/>
                <w:sz w:val="18"/>
              </w:rPr>
              <w:t>Unit</w:t>
            </w:r>
          </w:p>
        </w:tc>
        <w:tc>
          <w:tcPr>
            <w:tcW w:w="3460" w:type="dxa"/>
            <w:tcBorders>
              <w:left w:val="nil"/>
              <w:right w:val="nil"/>
            </w:tcBorders>
            <w:shd w:val="clear" w:color="auto" w:fill="006A4D"/>
          </w:tcPr>
          <w:p>
            <w:pPr>
              <w:pStyle w:val="TableParagraph"/>
              <w:spacing w:line="192" w:lineRule="exact" w:before="3"/>
              <w:ind w:left="1455" w:right="1444"/>
              <w:rPr>
                <w:b/>
                <w:sz w:val="18"/>
              </w:rPr>
            </w:pPr>
            <w:r>
              <w:rPr>
                <w:b/>
                <w:color w:val="FFFFFF"/>
                <w:w w:val="105"/>
                <w:sz w:val="18"/>
              </w:rPr>
              <w:t>5 Star</w:t>
            </w:r>
          </w:p>
        </w:tc>
      </w:tr>
    </w:tbl>
    <w:p>
      <w:pPr>
        <w:pStyle w:val="BodyText"/>
        <w:spacing w:before="5"/>
        <w:rPr>
          <w:sz w:val="3"/>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05"/>
        <w:gridCol w:w="3651"/>
        <w:gridCol w:w="3228"/>
      </w:tblGrid>
      <w:tr>
        <w:trPr>
          <w:trHeight w:val="254" w:hRule="atLeast"/>
        </w:trPr>
        <w:tc>
          <w:tcPr>
            <w:tcW w:w="3605" w:type="dxa"/>
            <w:tcBorders>
              <w:bottom w:val="single" w:sz="6" w:space="0" w:color="69BD28"/>
            </w:tcBorders>
          </w:tcPr>
          <w:p>
            <w:pPr>
              <w:pStyle w:val="TableParagraph"/>
              <w:spacing w:before="4"/>
              <w:ind w:left="690" w:right="773"/>
              <w:rPr>
                <w:sz w:val="18"/>
              </w:rPr>
            </w:pPr>
            <w:r>
              <w:rPr>
                <w:sz w:val="18"/>
              </w:rPr>
              <w:t>Food &amp; Beverage Revenue</w:t>
            </w:r>
          </w:p>
        </w:tc>
        <w:tc>
          <w:tcPr>
            <w:tcW w:w="3651" w:type="dxa"/>
            <w:tcBorders>
              <w:bottom w:val="single" w:sz="6" w:space="0" w:color="69BD28"/>
            </w:tcBorders>
          </w:tcPr>
          <w:p>
            <w:pPr>
              <w:pStyle w:val="TableParagraph"/>
              <w:spacing w:before="4"/>
              <w:ind w:left="816"/>
              <w:jc w:val="left"/>
              <w:rPr>
                <w:sz w:val="18"/>
              </w:rPr>
            </w:pPr>
            <w:r>
              <w:rPr>
                <w:sz w:val="18"/>
              </w:rPr>
              <w:t>(% of Room Revenue)</w:t>
            </w:r>
          </w:p>
        </w:tc>
        <w:tc>
          <w:tcPr>
            <w:tcW w:w="3228" w:type="dxa"/>
            <w:tcBorders>
              <w:bottom w:val="single" w:sz="6" w:space="0" w:color="69BD28"/>
            </w:tcBorders>
          </w:tcPr>
          <w:p>
            <w:pPr>
              <w:pStyle w:val="TableParagraph"/>
              <w:spacing w:before="4"/>
              <w:ind w:right="1440"/>
              <w:jc w:val="right"/>
              <w:rPr>
                <w:sz w:val="18"/>
              </w:rPr>
            </w:pPr>
            <w:r>
              <w:rPr>
                <w:w w:val="110"/>
                <w:sz w:val="18"/>
              </w:rPr>
              <w:t>110.0%</w:t>
            </w:r>
          </w:p>
        </w:tc>
      </w:tr>
      <w:tr>
        <w:trPr>
          <w:trHeight w:val="296" w:hRule="atLeast"/>
        </w:trPr>
        <w:tc>
          <w:tcPr>
            <w:tcW w:w="3605" w:type="dxa"/>
            <w:tcBorders>
              <w:top w:val="single" w:sz="6" w:space="0" w:color="69BD28"/>
              <w:bottom w:val="single" w:sz="6" w:space="0" w:color="69BD28"/>
            </w:tcBorders>
          </w:tcPr>
          <w:p>
            <w:pPr>
              <w:pStyle w:val="TableParagraph"/>
              <w:spacing w:before="44"/>
              <w:ind w:left="690" w:right="770"/>
              <w:rPr>
                <w:sz w:val="18"/>
              </w:rPr>
            </w:pPr>
            <w:r>
              <w:rPr>
                <w:w w:val="110"/>
                <w:sz w:val="18"/>
              </w:rPr>
              <w:t>MOD Revenue</w:t>
            </w:r>
          </w:p>
        </w:tc>
        <w:tc>
          <w:tcPr>
            <w:tcW w:w="3651" w:type="dxa"/>
            <w:tcBorders>
              <w:top w:val="single" w:sz="6" w:space="0" w:color="69BD28"/>
              <w:bottom w:val="single" w:sz="6" w:space="0" w:color="69BD28"/>
            </w:tcBorders>
          </w:tcPr>
          <w:p>
            <w:pPr>
              <w:pStyle w:val="TableParagraph"/>
              <w:spacing w:before="44"/>
              <w:ind w:left="816"/>
              <w:jc w:val="left"/>
              <w:rPr>
                <w:sz w:val="18"/>
              </w:rPr>
            </w:pPr>
            <w:r>
              <w:rPr>
                <w:sz w:val="18"/>
              </w:rPr>
              <w:t>(% of Room Revenue)</w:t>
            </w:r>
          </w:p>
        </w:tc>
        <w:tc>
          <w:tcPr>
            <w:tcW w:w="3228" w:type="dxa"/>
            <w:tcBorders>
              <w:top w:val="single" w:sz="6" w:space="0" w:color="69BD28"/>
              <w:bottom w:val="single" w:sz="6" w:space="0" w:color="69BD28"/>
            </w:tcBorders>
          </w:tcPr>
          <w:p>
            <w:pPr>
              <w:pStyle w:val="TableParagraph"/>
              <w:spacing w:before="44"/>
              <w:ind w:right="1454"/>
              <w:jc w:val="right"/>
              <w:rPr>
                <w:sz w:val="18"/>
              </w:rPr>
            </w:pPr>
            <w:r>
              <w:rPr>
                <w:w w:val="105"/>
                <w:sz w:val="18"/>
              </w:rPr>
              <w:t>15.0%</w:t>
            </w:r>
          </w:p>
        </w:tc>
      </w:tr>
      <w:tr>
        <w:trPr>
          <w:trHeight w:val="294" w:hRule="atLeast"/>
        </w:trPr>
        <w:tc>
          <w:tcPr>
            <w:tcW w:w="3605" w:type="dxa"/>
            <w:tcBorders>
              <w:top w:val="single" w:sz="6" w:space="0" w:color="69BD28"/>
              <w:bottom w:val="single" w:sz="6" w:space="0" w:color="69BD28"/>
            </w:tcBorders>
          </w:tcPr>
          <w:p>
            <w:pPr>
              <w:pStyle w:val="TableParagraph"/>
              <w:spacing w:before="44"/>
              <w:ind w:left="690" w:right="769"/>
              <w:rPr>
                <w:sz w:val="18"/>
              </w:rPr>
            </w:pPr>
            <w:r>
              <w:rPr>
                <w:sz w:val="18"/>
              </w:rPr>
              <w:t>Spa &amp; Health Club</w:t>
            </w:r>
          </w:p>
        </w:tc>
        <w:tc>
          <w:tcPr>
            <w:tcW w:w="3651" w:type="dxa"/>
            <w:tcBorders>
              <w:top w:val="single" w:sz="6" w:space="0" w:color="69BD28"/>
              <w:bottom w:val="single" w:sz="6" w:space="0" w:color="69BD28"/>
            </w:tcBorders>
          </w:tcPr>
          <w:p>
            <w:pPr>
              <w:pStyle w:val="TableParagraph"/>
              <w:spacing w:before="44"/>
              <w:ind w:left="816"/>
              <w:jc w:val="left"/>
              <w:rPr>
                <w:sz w:val="18"/>
              </w:rPr>
            </w:pPr>
            <w:r>
              <w:rPr>
                <w:sz w:val="18"/>
              </w:rPr>
              <w:t>(% of Room Revenue)</w:t>
            </w:r>
          </w:p>
        </w:tc>
        <w:tc>
          <w:tcPr>
            <w:tcW w:w="3228" w:type="dxa"/>
            <w:tcBorders>
              <w:top w:val="single" w:sz="6" w:space="0" w:color="69BD28"/>
              <w:bottom w:val="single" w:sz="6" w:space="0" w:color="69BD28"/>
            </w:tcBorders>
          </w:tcPr>
          <w:p>
            <w:pPr>
              <w:pStyle w:val="TableParagraph"/>
              <w:spacing w:before="44"/>
              <w:ind w:right="1454"/>
              <w:jc w:val="right"/>
              <w:rPr>
                <w:sz w:val="18"/>
              </w:rPr>
            </w:pPr>
            <w:r>
              <w:rPr>
                <w:w w:val="105"/>
                <w:sz w:val="18"/>
              </w:rPr>
              <w:t>15.0%</w:t>
            </w:r>
          </w:p>
        </w:tc>
      </w:tr>
      <w:tr>
        <w:trPr>
          <w:trHeight w:val="297" w:hRule="atLeast"/>
        </w:trPr>
        <w:tc>
          <w:tcPr>
            <w:tcW w:w="3605" w:type="dxa"/>
            <w:tcBorders>
              <w:top w:val="single" w:sz="6" w:space="0" w:color="69BD28"/>
              <w:bottom w:val="single" w:sz="6" w:space="0" w:color="69BD28"/>
            </w:tcBorders>
          </w:tcPr>
          <w:p>
            <w:pPr>
              <w:pStyle w:val="TableParagraph"/>
              <w:spacing w:before="44"/>
              <w:ind w:left="690" w:right="768"/>
              <w:rPr>
                <w:sz w:val="18"/>
              </w:rPr>
            </w:pPr>
            <w:r>
              <w:rPr>
                <w:sz w:val="18"/>
              </w:rPr>
              <w:t>Other Revenue</w:t>
            </w:r>
          </w:p>
        </w:tc>
        <w:tc>
          <w:tcPr>
            <w:tcW w:w="3651" w:type="dxa"/>
            <w:tcBorders>
              <w:top w:val="single" w:sz="6" w:space="0" w:color="69BD28"/>
              <w:bottom w:val="single" w:sz="6" w:space="0" w:color="69BD28"/>
            </w:tcBorders>
          </w:tcPr>
          <w:p>
            <w:pPr>
              <w:pStyle w:val="TableParagraph"/>
              <w:spacing w:before="44"/>
              <w:ind w:left="816"/>
              <w:jc w:val="left"/>
              <w:rPr>
                <w:sz w:val="18"/>
              </w:rPr>
            </w:pPr>
            <w:r>
              <w:rPr>
                <w:sz w:val="18"/>
              </w:rPr>
              <w:t>(% of Room Revenue)</w:t>
            </w:r>
          </w:p>
        </w:tc>
        <w:tc>
          <w:tcPr>
            <w:tcW w:w="3228" w:type="dxa"/>
            <w:tcBorders>
              <w:top w:val="single" w:sz="6" w:space="0" w:color="69BD28"/>
              <w:bottom w:val="single" w:sz="6" w:space="0" w:color="69BD28"/>
            </w:tcBorders>
          </w:tcPr>
          <w:p>
            <w:pPr>
              <w:pStyle w:val="TableParagraph"/>
              <w:spacing w:before="44"/>
              <w:ind w:right="1507"/>
              <w:jc w:val="right"/>
              <w:rPr>
                <w:sz w:val="18"/>
              </w:rPr>
            </w:pPr>
            <w:r>
              <w:rPr>
                <w:w w:val="105"/>
                <w:sz w:val="18"/>
              </w:rPr>
              <w:t>5.0%</w:t>
            </w:r>
          </w:p>
        </w:tc>
      </w:tr>
    </w:tbl>
    <w:p>
      <w:pPr>
        <w:pStyle w:val="ListParagraph"/>
        <w:numPr>
          <w:ilvl w:val="3"/>
          <w:numId w:val="86"/>
        </w:numPr>
        <w:tabs>
          <w:tab w:pos="1545" w:val="left" w:leader="none"/>
        </w:tabs>
        <w:spacing w:line="240" w:lineRule="auto" w:before="207" w:after="0"/>
        <w:ind w:left="1544" w:right="0" w:hanging="865"/>
        <w:jc w:val="left"/>
        <w:rPr>
          <w:i/>
          <w:sz w:val="20"/>
        </w:rPr>
      </w:pPr>
      <w:r>
        <w:rPr>
          <w:i/>
          <w:color w:val="008000"/>
          <w:sz w:val="20"/>
        </w:rPr>
        <w:t>Operating</w:t>
      </w:r>
      <w:r>
        <w:rPr>
          <w:i/>
          <w:color w:val="008000"/>
          <w:spacing w:val="-4"/>
          <w:sz w:val="20"/>
        </w:rPr>
        <w:t> </w:t>
      </w:r>
      <w:r>
        <w:rPr>
          <w:i/>
          <w:color w:val="008000"/>
          <w:sz w:val="20"/>
        </w:rPr>
        <w:t>Cost</w:t>
      </w:r>
    </w:p>
    <w:p>
      <w:pPr>
        <w:pStyle w:val="BodyText"/>
        <w:spacing w:line="321" w:lineRule="auto" w:before="76"/>
        <w:ind w:left="1227" w:right="683"/>
        <w:jc w:val="both"/>
      </w:pPr>
      <w:r>
        <w:rPr/>
        <w:t>The</w:t>
      </w:r>
      <w:r>
        <w:rPr>
          <w:spacing w:val="-13"/>
        </w:rPr>
        <w:t> </w:t>
      </w:r>
      <w:r>
        <w:rPr/>
        <w:t>following</w:t>
      </w:r>
      <w:r>
        <w:rPr>
          <w:spacing w:val="-11"/>
        </w:rPr>
        <w:t> </w:t>
      </w:r>
      <w:r>
        <w:rPr/>
        <w:t>operating</w:t>
      </w:r>
      <w:r>
        <w:rPr>
          <w:spacing w:val="-14"/>
        </w:rPr>
        <w:t> </w:t>
      </w:r>
      <w:r>
        <w:rPr/>
        <w:t>costs</w:t>
      </w:r>
      <w:r>
        <w:rPr>
          <w:spacing w:val="-10"/>
        </w:rPr>
        <w:t> </w:t>
      </w:r>
      <w:r>
        <w:rPr/>
        <w:t>have</w:t>
      </w:r>
      <w:r>
        <w:rPr>
          <w:spacing w:val="-13"/>
        </w:rPr>
        <w:t> </w:t>
      </w:r>
      <w:r>
        <w:rPr/>
        <w:t>been</w:t>
      </w:r>
      <w:r>
        <w:rPr>
          <w:spacing w:val="-12"/>
        </w:rPr>
        <w:t> </w:t>
      </w:r>
      <w:r>
        <w:rPr/>
        <w:t>considered</w:t>
      </w:r>
      <w:r>
        <w:rPr>
          <w:spacing w:val="-12"/>
        </w:rPr>
        <w:t> </w:t>
      </w:r>
      <w:r>
        <w:rPr/>
        <w:t>based</w:t>
      </w:r>
      <w:r>
        <w:rPr>
          <w:spacing w:val="-13"/>
        </w:rPr>
        <w:t> </w:t>
      </w:r>
      <w:r>
        <w:rPr/>
        <w:t>on</w:t>
      </w:r>
      <w:r>
        <w:rPr>
          <w:spacing w:val="-14"/>
        </w:rPr>
        <w:t> </w:t>
      </w:r>
      <w:r>
        <w:rPr/>
        <w:t>benchmarks</w:t>
      </w:r>
      <w:r>
        <w:rPr>
          <w:spacing w:val="-13"/>
        </w:rPr>
        <w:t> </w:t>
      </w:r>
      <w:r>
        <w:rPr/>
        <w:t>available</w:t>
      </w:r>
      <w:r>
        <w:rPr>
          <w:spacing w:val="-12"/>
        </w:rPr>
        <w:t> </w:t>
      </w:r>
      <w:r>
        <w:rPr/>
        <w:t>in</w:t>
      </w:r>
      <w:r>
        <w:rPr>
          <w:spacing w:val="-13"/>
        </w:rPr>
        <w:t> </w:t>
      </w:r>
      <w:r>
        <w:rPr/>
        <w:t>the</w:t>
      </w:r>
      <w:r>
        <w:rPr>
          <w:spacing w:val="-13"/>
        </w:rPr>
        <w:t> </w:t>
      </w:r>
      <w:r>
        <w:rPr/>
        <w:t>markets</w:t>
      </w:r>
      <w:r>
        <w:rPr>
          <w:spacing w:val="-14"/>
        </w:rPr>
        <w:t> </w:t>
      </w:r>
      <w:r>
        <w:rPr/>
        <w:t>on various</w:t>
      </w:r>
      <w:r>
        <w:rPr>
          <w:spacing w:val="-11"/>
        </w:rPr>
        <w:t> </w:t>
      </w:r>
      <w:r>
        <w:rPr/>
        <w:t>heads</w:t>
      </w:r>
      <w:r>
        <w:rPr>
          <w:spacing w:val="-11"/>
        </w:rPr>
        <w:t> </w:t>
      </w:r>
      <w:r>
        <w:rPr/>
        <w:t>to</w:t>
      </w:r>
      <w:r>
        <w:rPr>
          <w:spacing w:val="-12"/>
        </w:rPr>
        <w:t> </w:t>
      </w:r>
      <w:r>
        <w:rPr/>
        <w:t>arrive</w:t>
      </w:r>
      <w:r>
        <w:rPr>
          <w:spacing w:val="-12"/>
        </w:rPr>
        <w:t> </w:t>
      </w:r>
      <w:r>
        <w:rPr/>
        <w:t>at</w:t>
      </w:r>
      <w:r>
        <w:rPr>
          <w:spacing w:val="-11"/>
        </w:rPr>
        <w:t> </w:t>
      </w:r>
      <w:r>
        <w:rPr/>
        <w:t>the</w:t>
      </w:r>
      <w:r>
        <w:rPr>
          <w:spacing w:val="-12"/>
        </w:rPr>
        <w:t> </w:t>
      </w:r>
      <w:r>
        <w:rPr/>
        <w:t>net</w:t>
      </w:r>
      <w:r>
        <w:rPr>
          <w:spacing w:val="-12"/>
        </w:rPr>
        <w:t> </w:t>
      </w:r>
      <w:r>
        <w:rPr/>
        <w:t>cash</w:t>
      </w:r>
      <w:r>
        <w:rPr>
          <w:spacing w:val="-12"/>
        </w:rPr>
        <w:t> </w:t>
      </w:r>
      <w:r>
        <w:rPr/>
        <w:t>flows</w:t>
      </w:r>
      <w:r>
        <w:rPr>
          <w:spacing w:val="-11"/>
        </w:rPr>
        <w:t> </w:t>
      </w:r>
      <w:r>
        <w:rPr/>
        <w:t>for</w:t>
      </w:r>
      <w:r>
        <w:rPr>
          <w:spacing w:val="-13"/>
        </w:rPr>
        <w:t> </w:t>
      </w:r>
      <w:r>
        <w:rPr/>
        <w:t>the</w:t>
      </w:r>
      <w:r>
        <w:rPr>
          <w:spacing w:val="-14"/>
        </w:rPr>
        <w:t> </w:t>
      </w:r>
      <w:r>
        <w:rPr/>
        <w:t>purpose</w:t>
      </w:r>
      <w:r>
        <w:rPr>
          <w:spacing w:val="-12"/>
        </w:rPr>
        <w:t> </w:t>
      </w:r>
      <w:r>
        <w:rPr/>
        <w:t>of</w:t>
      </w:r>
      <w:r>
        <w:rPr>
          <w:spacing w:val="-11"/>
        </w:rPr>
        <w:t> </w:t>
      </w:r>
      <w:r>
        <w:rPr/>
        <w:t>this</w:t>
      </w:r>
      <w:r>
        <w:rPr>
          <w:spacing w:val="-8"/>
        </w:rPr>
        <w:t> </w:t>
      </w:r>
      <w:r>
        <w:rPr/>
        <w:t>valuation</w:t>
      </w:r>
      <w:r>
        <w:rPr>
          <w:spacing w:val="-12"/>
        </w:rPr>
        <w:t> </w:t>
      </w:r>
      <w:r>
        <w:rPr/>
        <w:t>exercise:</w:t>
      </w:r>
    </w:p>
    <w:p>
      <w:pPr>
        <w:pStyle w:val="BodyText"/>
        <w:rPr>
          <w:sz w:val="21"/>
        </w:rPr>
      </w:pPr>
    </w:p>
    <w:tbl>
      <w:tblPr>
        <w:tblW w:w="0" w:type="auto"/>
        <w:jc w:val="left"/>
        <w:tblInd w:w="1256" w:type="dxa"/>
        <w:tblBorders>
          <w:top w:val="single" w:sz="6" w:space="0" w:color="69BD28"/>
          <w:left w:val="single" w:sz="6" w:space="0" w:color="69BD28"/>
          <w:bottom w:val="single" w:sz="6" w:space="0" w:color="69BD28"/>
          <w:right w:val="single" w:sz="6" w:space="0" w:color="69BD28"/>
          <w:insideH w:val="single" w:sz="6" w:space="0" w:color="69BD28"/>
          <w:insideV w:val="single" w:sz="6" w:space="0" w:color="69BD28"/>
        </w:tblBorders>
        <w:tblLayout w:type="fixed"/>
        <w:tblCellMar>
          <w:top w:w="0" w:type="dxa"/>
          <w:left w:w="0" w:type="dxa"/>
          <w:bottom w:w="0" w:type="dxa"/>
          <w:right w:w="0" w:type="dxa"/>
        </w:tblCellMar>
        <w:tblLook w:val="01E0"/>
      </w:tblPr>
      <w:tblGrid>
        <w:gridCol w:w="5923"/>
        <w:gridCol w:w="3386"/>
      </w:tblGrid>
      <w:tr>
        <w:trPr>
          <w:trHeight w:val="215" w:hRule="atLeast"/>
        </w:trPr>
        <w:tc>
          <w:tcPr>
            <w:tcW w:w="5923" w:type="dxa"/>
            <w:tcBorders>
              <w:left w:val="nil"/>
              <w:right w:val="single" w:sz="24" w:space="0" w:color="FFFFFF"/>
            </w:tcBorders>
            <w:shd w:val="clear" w:color="auto" w:fill="006A4D"/>
          </w:tcPr>
          <w:p>
            <w:pPr>
              <w:pStyle w:val="TableParagraph"/>
              <w:spacing w:line="192" w:lineRule="exact" w:before="3"/>
              <w:ind w:left="2304" w:right="2251"/>
              <w:rPr>
                <w:b/>
                <w:sz w:val="18"/>
              </w:rPr>
            </w:pPr>
            <w:r>
              <w:rPr>
                <w:b/>
                <w:color w:val="FFFFFF"/>
                <w:w w:val="110"/>
                <w:sz w:val="18"/>
              </w:rPr>
              <w:t>Expense Head</w:t>
            </w:r>
          </w:p>
        </w:tc>
        <w:tc>
          <w:tcPr>
            <w:tcW w:w="3386" w:type="dxa"/>
            <w:tcBorders>
              <w:left w:val="single" w:sz="24" w:space="0" w:color="FFFFFF"/>
              <w:right w:val="nil"/>
            </w:tcBorders>
            <w:shd w:val="clear" w:color="auto" w:fill="006A4D"/>
          </w:tcPr>
          <w:p>
            <w:pPr>
              <w:pStyle w:val="TableParagraph"/>
              <w:spacing w:line="192" w:lineRule="exact" w:before="3"/>
              <w:ind w:left="1391" w:right="1404"/>
              <w:rPr>
                <w:b/>
                <w:sz w:val="18"/>
              </w:rPr>
            </w:pPr>
            <w:r>
              <w:rPr>
                <w:b/>
                <w:color w:val="FFFFFF"/>
                <w:w w:val="105"/>
                <w:sz w:val="18"/>
              </w:rPr>
              <w:t>5 Star</w:t>
            </w:r>
          </w:p>
        </w:tc>
      </w:tr>
      <w:tr>
        <w:trPr>
          <w:trHeight w:val="294" w:hRule="atLeast"/>
        </w:trPr>
        <w:tc>
          <w:tcPr>
            <w:tcW w:w="5923" w:type="dxa"/>
            <w:tcBorders>
              <w:left w:val="nil"/>
              <w:right w:val="nil"/>
            </w:tcBorders>
          </w:tcPr>
          <w:p>
            <w:pPr>
              <w:pStyle w:val="TableParagraph"/>
              <w:spacing w:before="44"/>
              <w:ind w:left="107" w:right="23"/>
              <w:rPr>
                <w:sz w:val="18"/>
              </w:rPr>
            </w:pPr>
            <w:r>
              <w:rPr>
                <w:sz w:val="18"/>
              </w:rPr>
              <w:t>Room Costs (as a % of room revenue)</w:t>
            </w:r>
          </w:p>
        </w:tc>
        <w:tc>
          <w:tcPr>
            <w:tcW w:w="3386" w:type="dxa"/>
            <w:tcBorders>
              <w:left w:val="nil"/>
              <w:right w:val="nil"/>
            </w:tcBorders>
          </w:tcPr>
          <w:p>
            <w:pPr>
              <w:pStyle w:val="TableParagraph"/>
              <w:spacing w:before="44"/>
              <w:ind w:left="1425" w:right="1344"/>
              <w:rPr>
                <w:sz w:val="18"/>
              </w:rPr>
            </w:pPr>
            <w:r>
              <w:rPr>
                <w:w w:val="110"/>
                <w:sz w:val="18"/>
              </w:rPr>
              <w:t>14.0%</w:t>
            </w:r>
          </w:p>
        </w:tc>
      </w:tr>
      <w:tr>
        <w:trPr>
          <w:trHeight w:val="297" w:hRule="atLeast"/>
        </w:trPr>
        <w:tc>
          <w:tcPr>
            <w:tcW w:w="5923" w:type="dxa"/>
            <w:tcBorders>
              <w:left w:val="nil"/>
              <w:right w:val="nil"/>
            </w:tcBorders>
          </w:tcPr>
          <w:p>
            <w:pPr>
              <w:pStyle w:val="TableParagraph"/>
              <w:spacing w:before="46"/>
              <w:ind w:left="111" w:right="23"/>
              <w:rPr>
                <w:sz w:val="18"/>
              </w:rPr>
            </w:pPr>
            <w:r>
              <w:rPr>
                <w:sz w:val="18"/>
              </w:rPr>
              <w:t>F&amp;B costs (as a % of F&amp;B revenue)</w:t>
            </w:r>
          </w:p>
        </w:tc>
        <w:tc>
          <w:tcPr>
            <w:tcW w:w="3386" w:type="dxa"/>
            <w:tcBorders>
              <w:left w:val="nil"/>
              <w:right w:val="nil"/>
            </w:tcBorders>
          </w:tcPr>
          <w:p>
            <w:pPr>
              <w:pStyle w:val="TableParagraph"/>
              <w:spacing w:before="46"/>
              <w:ind w:left="1461" w:right="1308"/>
              <w:rPr>
                <w:sz w:val="18"/>
              </w:rPr>
            </w:pPr>
            <w:r>
              <w:rPr>
                <w:w w:val="110"/>
                <w:sz w:val="18"/>
              </w:rPr>
              <w:t>45.0%</w:t>
            </w:r>
          </w:p>
        </w:tc>
      </w:tr>
      <w:tr>
        <w:trPr>
          <w:trHeight w:val="294" w:hRule="atLeast"/>
        </w:trPr>
        <w:tc>
          <w:tcPr>
            <w:tcW w:w="5923" w:type="dxa"/>
            <w:tcBorders>
              <w:left w:val="nil"/>
              <w:right w:val="nil"/>
            </w:tcBorders>
          </w:tcPr>
          <w:p>
            <w:pPr>
              <w:pStyle w:val="TableParagraph"/>
              <w:spacing w:before="44"/>
              <w:ind w:left="108" w:right="23"/>
              <w:rPr>
                <w:sz w:val="18"/>
              </w:rPr>
            </w:pPr>
            <w:r>
              <w:rPr>
                <w:w w:val="105"/>
                <w:sz w:val="18"/>
              </w:rPr>
              <w:t>MOD Costs (as a % of MOD revenues)</w:t>
            </w:r>
          </w:p>
        </w:tc>
        <w:tc>
          <w:tcPr>
            <w:tcW w:w="3386" w:type="dxa"/>
            <w:tcBorders>
              <w:left w:val="nil"/>
              <w:right w:val="nil"/>
            </w:tcBorders>
          </w:tcPr>
          <w:p>
            <w:pPr>
              <w:pStyle w:val="TableParagraph"/>
              <w:spacing w:before="44"/>
              <w:ind w:left="1461" w:right="1308"/>
              <w:rPr>
                <w:sz w:val="18"/>
              </w:rPr>
            </w:pPr>
            <w:r>
              <w:rPr>
                <w:w w:val="110"/>
                <w:sz w:val="18"/>
              </w:rPr>
              <w:t>50.0%</w:t>
            </w:r>
          </w:p>
        </w:tc>
      </w:tr>
      <w:tr>
        <w:trPr>
          <w:trHeight w:val="297" w:hRule="atLeast"/>
        </w:trPr>
        <w:tc>
          <w:tcPr>
            <w:tcW w:w="5923" w:type="dxa"/>
            <w:tcBorders>
              <w:left w:val="nil"/>
              <w:right w:val="nil"/>
            </w:tcBorders>
          </w:tcPr>
          <w:p>
            <w:pPr>
              <w:pStyle w:val="TableParagraph"/>
              <w:spacing w:before="46"/>
              <w:ind w:left="107" w:right="23"/>
              <w:rPr>
                <w:sz w:val="18"/>
              </w:rPr>
            </w:pPr>
            <w:r>
              <w:rPr>
                <w:sz w:val="18"/>
              </w:rPr>
              <w:t>Spa &amp; Health Club Costs (as a % of MOD revenues)</w:t>
            </w:r>
          </w:p>
        </w:tc>
        <w:tc>
          <w:tcPr>
            <w:tcW w:w="3386" w:type="dxa"/>
            <w:tcBorders>
              <w:left w:val="nil"/>
              <w:right w:val="nil"/>
            </w:tcBorders>
          </w:tcPr>
          <w:p>
            <w:pPr>
              <w:pStyle w:val="TableParagraph"/>
              <w:spacing w:before="46"/>
              <w:ind w:left="1461" w:right="1308"/>
              <w:rPr>
                <w:sz w:val="18"/>
              </w:rPr>
            </w:pPr>
            <w:r>
              <w:rPr>
                <w:w w:val="110"/>
                <w:sz w:val="18"/>
              </w:rPr>
              <w:t>50.0%</w:t>
            </w:r>
          </w:p>
        </w:tc>
      </w:tr>
      <w:tr>
        <w:trPr>
          <w:trHeight w:val="294" w:hRule="atLeast"/>
        </w:trPr>
        <w:tc>
          <w:tcPr>
            <w:tcW w:w="5923" w:type="dxa"/>
            <w:tcBorders>
              <w:left w:val="nil"/>
              <w:right w:val="nil"/>
            </w:tcBorders>
          </w:tcPr>
          <w:p>
            <w:pPr>
              <w:pStyle w:val="TableParagraph"/>
              <w:spacing w:before="44"/>
              <w:ind w:left="111" w:right="22"/>
              <w:rPr>
                <w:sz w:val="18"/>
              </w:rPr>
            </w:pPr>
            <w:r>
              <w:rPr>
                <w:sz w:val="18"/>
              </w:rPr>
              <w:t>Administrative expenses (as a % of total revenue)</w:t>
            </w:r>
          </w:p>
        </w:tc>
        <w:tc>
          <w:tcPr>
            <w:tcW w:w="3386" w:type="dxa"/>
            <w:tcBorders>
              <w:left w:val="nil"/>
              <w:right w:val="nil"/>
            </w:tcBorders>
          </w:tcPr>
          <w:p>
            <w:pPr>
              <w:pStyle w:val="TableParagraph"/>
              <w:spacing w:before="44"/>
              <w:ind w:left="1461" w:right="1308"/>
              <w:rPr>
                <w:sz w:val="18"/>
              </w:rPr>
            </w:pPr>
            <w:r>
              <w:rPr>
                <w:w w:val="110"/>
                <w:sz w:val="18"/>
              </w:rPr>
              <w:t>5.0%</w:t>
            </w:r>
          </w:p>
        </w:tc>
      </w:tr>
      <w:tr>
        <w:trPr>
          <w:trHeight w:val="296" w:hRule="atLeast"/>
        </w:trPr>
        <w:tc>
          <w:tcPr>
            <w:tcW w:w="5923" w:type="dxa"/>
            <w:tcBorders>
              <w:left w:val="nil"/>
              <w:right w:val="nil"/>
            </w:tcBorders>
          </w:tcPr>
          <w:p>
            <w:pPr>
              <w:pStyle w:val="TableParagraph"/>
              <w:spacing w:before="46"/>
              <w:ind w:left="108" w:right="23"/>
              <w:rPr>
                <w:sz w:val="18"/>
              </w:rPr>
            </w:pPr>
            <w:r>
              <w:rPr>
                <w:sz w:val="18"/>
              </w:rPr>
              <w:t>Maintenance expenses (as a % of total revenue)</w:t>
            </w:r>
          </w:p>
        </w:tc>
        <w:tc>
          <w:tcPr>
            <w:tcW w:w="3386" w:type="dxa"/>
            <w:tcBorders>
              <w:left w:val="nil"/>
              <w:right w:val="nil"/>
            </w:tcBorders>
          </w:tcPr>
          <w:p>
            <w:pPr>
              <w:pStyle w:val="TableParagraph"/>
              <w:spacing w:before="46"/>
              <w:ind w:left="1461" w:right="1308"/>
              <w:rPr>
                <w:sz w:val="18"/>
              </w:rPr>
            </w:pPr>
            <w:r>
              <w:rPr>
                <w:w w:val="110"/>
                <w:sz w:val="18"/>
              </w:rPr>
              <w:t>5.0%</w:t>
            </w:r>
          </w:p>
        </w:tc>
      </w:tr>
      <w:tr>
        <w:trPr>
          <w:trHeight w:val="295" w:hRule="atLeast"/>
        </w:trPr>
        <w:tc>
          <w:tcPr>
            <w:tcW w:w="5923" w:type="dxa"/>
            <w:tcBorders>
              <w:left w:val="nil"/>
              <w:right w:val="nil"/>
            </w:tcBorders>
          </w:tcPr>
          <w:p>
            <w:pPr>
              <w:pStyle w:val="TableParagraph"/>
              <w:spacing w:before="44"/>
              <w:ind w:left="111" w:right="22"/>
              <w:rPr>
                <w:sz w:val="18"/>
              </w:rPr>
            </w:pPr>
            <w:r>
              <w:rPr>
                <w:sz w:val="18"/>
              </w:rPr>
              <w:t>Payroll expenses (as a % of total revenue)</w:t>
            </w:r>
          </w:p>
        </w:tc>
        <w:tc>
          <w:tcPr>
            <w:tcW w:w="3386" w:type="dxa"/>
            <w:tcBorders>
              <w:left w:val="nil"/>
              <w:right w:val="nil"/>
            </w:tcBorders>
          </w:tcPr>
          <w:p>
            <w:pPr>
              <w:pStyle w:val="TableParagraph"/>
              <w:spacing w:before="44"/>
              <w:ind w:left="1461" w:right="1308"/>
              <w:rPr>
                <w:sz w:val="18"/>
              </w:rPr>
            </w:pPr>
            <w:r>
              <w:rPr>
                <w:w w:val="110"/>
                <w:sz w:val="18"/>
              </w:rPr>
              <w:t>3.0%</w:t>
            </w:r>
          </w:p>
        </w:tc>
      </w:tr>
      <w:tr>
        <w:trPr>
          <w:trHeight w:val="297" w:hRule="atLeast"/>
        </w:trPr>
        <w:tc>
          <w:tcPr>
            <w:tcW w:w="5923" w:type="dxa"/>
            <w:tcBorders>
              <w:left w:val="nil"/>
              <w:right w:val="nil"/>
            </w:tcBorders>
          </w:tcPr>
          <w:p>
            <w:pPr>
              <w:pStyle w:val="TableParagraph"/>
              <w:spacing w:before="46"/>
              <w:ind w:left="109" w:right="23"/>
              <w:rPr>
                <w:sz w:val="18"/>
              </w:rPr>
            </w:pPr>
            <w:r>
              <w:rPr>
                <w:sz w:val="18"/>
              </w:rPr>
              <w:t>Operating Expenses (as a % of total revenue)</w:t>
            </w:r>
          </w:p>
        </w:tc>
        <w:tc>
          <w:tcPr>
            <w:tcW w:w="3386" w:type="dxa"/>
            <w:tcBorders>
              <w:left w:val="nil"/>
              <w:right w:val="nil"/>
            </w:tcBorders>
          </w:tcPr>
          <w:p>
            <w:pPr>
              <w:pStyle w:val="TableParagraph"/>
              <w:spacing w:before="46"/>
              <w:ind w:left="1461" w:right="1308"/>
              <w:rPr>
                <w:sz w:val="18"/>
              </w:rPr>
            </w:pPr>
            <w:r>
              <w:rPr>
                <w:w w:val="110"/>
                <w:sz w:val="18"/>
              </w:rPr>
              <w:t>5.0%</w:t>
            </w:r>
          </w:p>
        </w:tc>
      </w:tr>
      <w:tr>
        <w:trPr>
          <w:trHeight w:val="294" w:hRule="atLeast"/>
        </w:trPr>
        <w:tc>
          <w:tcPr>
            <w:tcW w:w="5923" w:type="dxa"/>
            <w:tcBorders>
              <w:left w:val="nil"/>
              <w:right w:val="nil"/>
            </w:tcBorders>
          </w:tcPr>
          <w:p>
            <w:pPr>
              <w:pStyle w:val="TableParagraph"/>
              <w:spacing w:before="44"/>
              <w:ind w:left="108" w:right="23"/>
              <w:rPr>
                <w:sz w:val="18"/>
              </w:rPr>
            </w:pPr>
            <w:r>
              <w:rPr>
                <w:sz w:val="18"/>
              </w:rPr>
              <w:t>Marketing costs (as a % of total revenue)</w:t>
            </w:r>
          </w:p>
        </w:tc>
        <w:tc>
          <w:tcPr>
            <w:tcW w:w="3386" w:type="dxa"/>
            <w:tcBorders>
              <w:left w:val="nil"/>
              <w:right w:val="nil"/>
            </w:tcBorders>
          </w:tcPr>
          <w:p>
            <w:pPr>
              <w:pStyle w:val="TableParagraph"/>
              <w:spacing w:before="44"/>
              <w:ind w:left="1461" w:right="1308"/>
              <w:rPr>
                <w:sz w:val="18"/>
              </w:rPr>
            </w:pPr>
            <w:r>
              <w:rPr>
                <w:w w:val="110"/>
                <w:sz w:val="18"/>
              </w:rPr>
              <w:t>2.2%</w:t>
            </w:r>
          </w:p>
        </w:tc>
      </w:tr>
      <w:tr>
        <w:trPr>
          <w:trHeight w:val="296" w:hRule="atLeast"/>
        </w:trPr>
        <w:tc>
          <w:tcPr>
            <w:tcW w:w="5923" w:type="dxa"/>
            <w:tcBorders>
              <w:left w:val="nil"/>
              <w:right w:val="nil"/>
            </w:tcBorders>
          </w:tcPr>
          <w:p>
            <w:pPr>
              <w:pStyle w:val="TableParagraph"/>
              <w:spacing w:before="46"/>
              <w:ind w:left="111" w:right="22"/>
              <w:rPr>
                <w:sz w:val="18"/>
              </w:rPr>
            </w:pPr>
            <w:r>
              <w:rPr>
                <w:sz w:val="18"/>
              </w:rPr>
              <w:t>Base management Fee (as a % of total revenue)</w:t>
            </w:r>
          </w:p>
        </w:tc>
        <w:tc>
          <w:tcPr>
            <w:tcW w:w="3386" w:type="dxa"/>
            <w:tcBorders>
              <w:left w:val="nil"/>
              <w:right w:val="nil"/>
            </w:tcBorders>
          </w:tcPr>
          <w:p>
            <w:pPr>
              <w:pStyle w:val="TableParagraph"/>
              <w:spacing w:before="46"/>
              <w:ind w:right="1025"/>
              <w:jc w:val="right"/>
              <w:rPr>
                <w:sz w:val="18"/>
              </w:rPr>
            </w:pPr>
            <w:r>
              <w:rPr>
                <w:sz w:val="18"/>
              </w:rPr>
              <w:t>As per contract</w:t>
            </w:r>
          </w:p>
        </w:tc>
      </w:tr>
      <w:tr>
        <w:trPr>
          <w:trHeight w:val="294" w:hRule="atLeast"/>
        </w:trPr>
        <w:tc>
          <w:tcPr>
            <w:tcW w:w="5923" w:type="dxa"/>
            <w:tcBorders>
              <w:left w:val="nil"/>
              <w:right w:val="nil"/>
            </w:tcBorders>
          </w:tcPr>
          <w:p>
            <w:pPr>
              <w:pStyle w:val="TableParagraph"/>
              <w:spacing w:before="44"/>
              <w:ind w:left="110" w:right="23"/>
              <w:rPr>
                <w:sz w:val="18"/>
              </w:rPr>
            </w:pPr>
            <w:r>
              <w:rPr>
                <w:sz w:val="18"/>
              </w:rPr>
              <w:t>Management Incentive Fee (% of GOP)</w:t>
            </w:r>
          </w:p>
        </w:tc>
        <w:tc>
          <w:tcPr>
            <w:tcW w:w="3386" w:type="dxa"/>
            <w:tcBorders>
              <w:left w:val="nil"/>
              <w:right w:val="nil"/>
            </w:tcBorders>
          </w:tcPr>
          <w:p>
            <w:pPr>
              <w:pStyle w:val="TableParagraph"/>
              <w:spacing w:before="44"/>
              <w:ind w:right="1025"/>
              <w:jc w:val="right"/>
              <w:rPr>
                <w:sz w:val="18"/>
              </w:rPr>
            </w:pPr>
            <w:r>
              <w:rPr>
                <w:sz w:val="18"/>
              </w:rPr>
              <w:t>As per contract</w:t>
            </w:r>
          </w:p>
        </w:tc>
      </w:tr>
      <w:tr>
        <w:trPr>
          <w:trHeight w:val="297" w:hRule="atLeast"/>
        </w:trPr>
        <w:tc>
          <w:tcPr>
            <w:tcW w:w="5923" w:type="dxa"/>
            <w:tcBorders>
              <w:left w:val="nil"/>
              <w:right w:val="nil"/>
            </w:tcBorders>
          </w:tcPr>
          <w:p>
            <w:pPr>
              <w:pStyle w:val="TableParagraph"/>
              <w:spacing w:before="46"/>
              <w:ind w:left="111" w:right="23"/>
              <w:rPr>
                <w:sz w:val="18"/>
              </w:rPr>
            </w:pPr>
            <w:r>
              <w:rPr>
                <w:sz w:val="18"/>
              </w:rPr>
              <w:t>Annual Escalation of Operating Costs (viz. admin, maintenance, Op-ex)</w:t>
            </w:r>
          </w:p>
        </w:tc>
        <w:tc>
          <w:tcPr>
            <w:tcW w:w="3386" w:type="dxa"/>
            <w:tcBorders>
              <w:left w:val="nil"/>
              <w:right w:val="nil"/>
            </w:tcBorders>
          </w:tcPr>
          <w:p>
            <w:pPr>
              <w:pStyle w:val="TableParagraph"/>
              <w:spacing w:before="46"/>
              <w:ind w:left="1461" w:right="1308"/>
              <w:rPr>
                <w:sz w:val="18"/>
              </w:rPr>
            </w:pPr>
            <w:r>
              <w:rPr>
                <w:w w:val="110"/>
                <w:sz w:val="18"/>
              </w:rPr>
              <w:t>5.0%</w:t>
            </w:r>
          </w:p>
        </w:tc>
      </w:tr>
    </w:tbl>
    <w:p>
      <w:pPr>
        <w:spacing w:before="116"/>
        <w:ind w:left="1242" w:right="0" w:firstLine="0"/>
        <w:jc w:val="both"/>
        <w:rPr>
          <w:i/>
          <w:sz w:val="18"/>
        </w:rPr>
      </w:pPr>
      <w:r>
        <w:rPr>
          <w:i/>
          <w:sz w:val="18"/>
        </w:rPr>
        <w:t>Source: Valuer’s Assessment &amp; Client input</w:t>
      </w:r>
    </w:p>
    <w:p>
      <w:pPr>
        <w:pStyle w:val="BodyText"/>
        <w:spacing w:before="11"/>
        <w:rPr>
          <w:i/>
          <w:sz w:val="26"/>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44" w:id="671"/>
      <w:bookmarkEnd w:id="671"/>
      <w:r>
        <w:rPr/>
      </w:r>
      <w:bookmarkStart w:name="_bookmark344" w:id="672"/>
      <w:bookmarkEnd w:id="672"/>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6"/>
        <w:rPr>
          <w:sz w:val="25"/>
        </w:rPr>
      </w:pPr>
    </w:p>
    <w:p>
      <w:pPr>
        <w:spacing w:before="0"/>
        <w:ind w:left="680" w:right="0" w:firstLine="0"/>
        <w:jc w:val="both"/>
        <w:rPr>
          <w:i/>
          <w:sz w:val="20"/>
        </w:rPr>
      </w:pPr>
      <w:r>
        <w:rPr>
          <w:i/>
          <w:color w:val="008000"/>
          <w:sz w:val="22"/>
        </w:rPr>
        <w:t>15.3.7.1 </w:t>
      </w:r>
      <w:r>
        <w:rPr>
          <w:i/>
          <w:color w:val="008000"/>
          <w:sz w:val="20"/>
        </w:rPr>
        <w:t>Other Expenses</w:t>
      </w:r>
    </w:p>
    <w:p>
      <w:pPr>
        <w:pStyle w:val="BodyText"/>
        <w:spacing w:line="321" w:lineRule="auto" w:before="77"/>
        <w:ind w:left="1227" w:right="679"/>
        <w:jc w:val="both"/>
      </w:pPr>
      <w:r>
        <w:rPr/>
        <w:t>In</w:t>
      </w:r>
      <w:r>
        <w:rPr>
          <w:spacing w:val="-48"/>
        </w:rPr>
        <w:t> </w:t>
      </w:r>
      <w:r>
        <w:rPr/>
        <w:t>addition</w:t>
      </w:r>
      <w:r>
        <w:rPr>
          <w:spacing w:val="-48"/>
        </w:rPr>
        <w:t> </w:t>
      </w:r>
      <w:r>
        <w:rPr/>
        <w:t>to</w:t>
      </w:r>
      <w:r>
        <w:rPr>
          <w:spacing w:val="-47"/>
        </w:rPr>
        <w:t> </w:t>
      </w:r>
      <w:r>
        <w:rPr/>
        <w:t>capital</w:t>
      </w:r>
      <w:r>
        <w:rPr>
          <w:spacing w:val="-48"/>
        </w:rPr>
        <w:t> </w:t>
      </w:r>
      <w:r>
        <w:rPr/>
        <w:t>expenditure,</w:t>
      </w:r>
      <w:r>
        <w:rPr>
          <w:spacing w:val="-47"/>
        </w:rPr>
        <w:t> </w:t>
      </w:r>
      <w:r>
        <w:rPr/>
        <w:t>a</w:t>
      </w:r>
      <w:r>
        <w:rPr>
          <w:spacing w:val="-48"/>
        </w:rPr>
        <w:t> </w:t>
      </w:r>
      <w:r>
        <w:rPr/>
        <w:t>development</w:t>
      </w:r>
      <w:r>
        <w:rPr>
          <w:spacing w:val="-48"/>
        </w:rPr>
        <w:t> </w:t>
      </w:r>
      <w:r>
        <w:rPr/>
        <w:t>typically</w:t>
      </w:r>
      <w:r>
        <w:rPr>
          <w:spacing w:val="-47"/>
        </w:rPr>
        <w:t> </w:t>
      </w:r>
      <w:r>
        <w:rPr/>
        <w:t>has</w:t>
      </w:r>
      <w:r>
        <w:rPr>
          <w:spacing w:val="-47"/>
        </w:rPr>
        <w:t> </w:t>
      </w:r>
      <w:r>
        <w:rPr/>
        <w:t>few</w:t>
      </w:r>
      <w:r>
        <w:rPr>
          <w:spacing w:val="-48"/>
        </w:rPr>
        <w:t> </w:t>
      </w:r>
      <w:r>
        <w:rPr/>
        <w:t>recurring</w:t>
      </w:r>
      <w:r>
        <w:rPr>
          <w:spacing w:val="-47"/>
        </w:rPr>
        <w:t> </w:t>
      </w:r>
      <w:r>
        <w:rPr/>
        <w:t>operation</w:t>
      </w:r>
      <w:r>
        <w:rPr>
          <w:spacing w:val="-48"/>
        </w:rPr>
        <w:t> </w:t>
      </w:r>
      <w:r>
        <w:rPr/>
        <w:t>expenses</w:t>
      </w:r>
      <w:r>
        <w:rPr>
          <w:spacing w:val="-47"/>
        </w:rPr>
        <w:t> </w:t>
      </w:r>
      <w:r>
        <w:rPr/>
        <w:t>required for</w:t>
      </w:r>
      <w:r>
        <w:rPr>
          <w:spacing w:val="-13"/>
        </w:rPr>
        <w:t> </w:t>
      </w:r>
      <w:r>
        <w:rPr/>
        <w:t>the</w:t>
      </w:r>
      <w:r>
        <w:rPr>
          <w:spacing w:val="-12"/>
        </w:rPr>
        <w:t> </w:t>
      </w:r>
      <w:r>
        <w:rPr/>
        <w:t>up-keep</w:t>
      </w:r>
      <w:r>
        <w:rPr>
          <w:spacing w:val="-11"/>
        </w:rPr>
        <w:t> </w:t>
      </w:r>
      <w:r>
        <w:rPr/>
        <w:t>running</w:t>
      </w:r>
      <w:r>
        <w:rPr>
          <w:spacing w:val="-13"/>
        </w:rPr>
        <w:t> </w:t>
      </w:r>
      <w:r>
        <w:rPr/>
        <w:t>of</w:t>
      </w:r>
      <w:r>
        <w:rPr>
          <w:spacing w:val="-10"/>
        </w:rPr>
        <w:t> </w:t>
      </w:r>
      <w:r>
        <w:rPr/>
        <w:t>the</w:t>
      </w:r>
      <w:r>
        <w:rPr>
          <w:spacing w:val="-12"/>
        </w:rPr>
        <w:t> </w:t>
      </w:r>
      <w:r>
        <w:rPr/>
        <w:t>development.</w:t>
      </w:r>
      <w:r>
        <w:rPr>
          <w:spacing w:val="-13"/>
        </w:rPr>
        <w:t> </w:t>
      </w:r>
      <w:r>
        <w:rPr/>
        <w:t>Based</w:t>
      </w:r>
      <w:r>
        <w:rPr>
          <w:spacing w:val="-11"/>
        </w:rPr>
        <w:t> </w:t>
      </w:r>
      <w:r>
        <w:rPr/>
        <w:t>on</w:t>
      </w:r>
      <w:r>
        <w:rPr>
          <w:spacing w:val="-12"/>
        </w:rPr>
        <w:t> </w:t>
      </w:r>
      <w:r>
        <w:rPr/>
        <w:t>information</w:t>
      </w:r>
      <w:r>
        <w:rPr>
          <w:spacing w:val="-13"/>
        </w:rPr>
        <w:t> </w:t>
      </w:r>
      <w:r>
        <w:rPr/>
        <w:t>provided</w:t>
      </w:r>
      <w:r>
        <w:rPr>
          <w:spacing w:val="-11"/>
        </w:rPr>
        <w:t> </w:t>
      </w:r>
      <w:r>
        <w:rPr/>
        <w:t>by</w:t>
      </w:r>
      <w:r>
        <w:rPr>
          <w:spacing w:val="-11"/>
        </w:rPr>
        <w:t> </w:t>
      </w:r>
      <w:r>
        <w:rPr/>
        <w:t>the</w:t>
      </w:r>
      <w:r>
        <w:rPr>
          <w:spacing w:val="-13"/>
        </w:rPr>
        <w:t> </w:t>
      </w:r>
      <w:r>
        <w:rPr/>
        <w:t>Client</w:t>
      </w:r>
      <w:r>
        <w:rPr>
          <w:spacing w:val="-11"/>
        </w:rPr>
        <w:t> </w:t>
      </w:r>
      <w:r>
        <w:rPr/>
        <w:t>and</w:t>
      </w:r>
      <w:r>
        <w:rPr>
          <w:spacing w:val="-12"/>
        </w:rPr>
        <w:t> </w:t>
      </w:r>
      <w:r>
        <w:rPr/>
        <w:t>market assessment, following recurring expense assumptions have been adopted for the purpose of this valuation</w:t>
      </w:r>
      <w:r>
        <w:rPr>
          <w:spacing w:val="-4"/>
        </w:rPr>
        <w:t> </w:t>
      </w:r>
      <w:r>
        <w:rPr/>
        <w:t>exercise:</w:t>
      </w:r>
    </w:p>
    <w:p>
      <w:pPr>
        <w:pStyle w:val="BodyText"/>
        <w:spacing w:before="11"/>
        <w:rPr>
          <w:sz w:val="20"/>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39"/>
        <w:gridCol w:w="2826"/>
        <w:gridCol w:w="3722"/>
      </w:tblGrid>
      <w:tr>
        <w:trPr>
          <w:trHeight w:val="287" w:hRule="atLeast"/>
        </w:trPr>
        <w:tc>
          <w:tcPr>
            <w:tcW w:w="3939" w:type="dxa"/>
            <w:tcBorders>
              <w:top w:val="single" w:sz="6" w:space="0" w:color="69BD28"/>
              <w:bottom w:val="single" w:sz="6" w:space="0" w:color="69BD28"/>
            </w:tcBorders>
            <w:shd w:val="clear" w:color="auto" w:fill="006A4D"/>
          </w:tcPr>
          <w:p>
            <w:pPr>
              <w:pStyle w:val="TableParagraph"/>
              <w:spacing w:before="28"/>
              <w:ind w:left="334" w:right="753"/>
              <w:rPr>
                <w:sz w:val="20"/>
              </w:rPr>
            </w:pPr>
            <w:r>
              <w:rPr>
                <w:color w:val="FFFFFF"/>
                <w:sz w:val="20"/>
              </w:rPr>
              <w:t>Nature of Expense</w:t>
            </w:r>
          </w:p>
        </w:tc>
        <w:tc>
          <w:tcPr>
            <w:tcW w:w="2826" w:type="dxa"/>
            <w:tcBorders>
              <w:top w:val="single" w:sz="6" w:space="0" w:color="69BD28"/>
              <w:bottom w:val="single" w:sz="6" w:space="0" w:color="69BD28"/>
            </w:tcBorders>
            <w:shd w:val="clear" w:color="auto" w:fill="006A4D"/>
          </w:tcPr>
          <w:p>
            <w:pPr>
              <w:pStyle w:val="TableParagraph"/>
              <w:spacing w:before="28"/>
              <w:ind w:left="778" w:right="982"/>
              <w:rPr>
                <w:sz w:val="20"/>
              </w:rPr>
            </w:pPr>
            <w:r>
              <w:rPr>
                <w:color w:val="FFFFFF"/>
                <w:sz w:val="20"/>
              </w:rPr>
              <w:t>Details</w:t>
            </w:r>
          </w:p>
        </w:tc>
        <w:tc>
          <w:tcPr>
            <w:tcW w:w="3722" w:type="dxa"/>
            <w:tcBorders>
              <w:top w:val="single" w:sz="6" w:space="0" w:color="69BD28"/>
              <w:bottom w:val="single" w:sz="6" w:space="0" w:color="69BD28"/>
            </w:tcBorders>
            <w:shd w:val="clear" w:color="auto" w:fill="006A4D"/>
          </w:tcPr>
          <w:p>
            <w:pPr>
              <w:pStyle w:val="TableParagraph"/>
              <w:spacing w:before="4"/>
              <w:ind w:left="976" w:right="746"/>
              <w:rPr>
                <w:sz w:val="20"/>
              </w:rPr>
            </w:pPr>
            <w:r>
              <w:rPr>
                <w:color w:val="FFFFFF"/>
                <w:sz w:val="20"/>
              </w:rPr>
              <w:t>Basis</w:t>
            </w:r>
          </w:p>
        </w:tc>
      </w:tr>
      <w:tr>
        <w:trPr>
          <w:trHeight w:val="297" w:hRule="atLeast"/>
        </w:trPr>
        <w:tc>
          <w:tcPr>
            <w:tcW w:w="3939" w:type="dxa"/>
            <w:tcBorders>
              <w:top w:val="single" w:sz="6" w:space="0" w:color="69BD28"/>
              <w:bottom w:val="single" w:sz="6" w:space="0" w:color="69BD28"/>
            </w:tcBorders>
          </w:tcPr>
          <w:p>
            <w:pPr>
              <w:pStyle w:val="TableParagraph"/>
              <w:spacing w:before="46"/>
              <w:ind w:left="334" w:right="751"/>
              <w:rPr>
                <w:sz w:val="18"/>
              </w:rPr>
            </w:pPr>
            <w:r>
              <w:rPr>
                <w:sz w:val="18"/>
              </w:rPr>
              <w:t>Property Tax - Hotel</w:t>
            </w:r>
          </w:p>
        </w:tc>
        <w:tc>
          <w:tcPr>
            <w:tcW w:w="2826" w:type="dxa"/>
            <w:tcBorders>
              <w:top w:val="single" w:sz="6" w:space="0" w:color="69BD28"/>
              <w:bottom w:val="single" w:sz="6" w:space="0" w:color="69BD28"/>
            </w:tcBorders>
          </w:tcPr>
          <w:p>
            <w:pPr>
              <w:pStyle w:val="TableParagraph"/>
              <w:spacing w:before="46"/>
              <w:ind w:left="778" w:right="983"/>
              <w:rPr>
                <w:sz w:val="18"/>
              </w:rPr>
            </w:pPr>
            <w:r>
              <w:rPr>
                <w:w w:val="105"/>
                <w:sz w:val="18"/>
              </w:rPr>
              <w:t>INR 9.12 mn</w:t>
            </w:r>
          </w:p>
        </w:tc>
        <w:tc>
          <w:tcPr>
            <w:tcW w:w="3722" w:type="dxa"/>
            <w:tcBorders>
              <w:top w:val="single" w:sz="6" w:space="0" w:color="69BD28"/>
              <w:bottom w:val="single" w:sz="6" w:space="0" w:color="69BD28"/>
            </w:tcBorders>
          </w:tcPr>
          <w:p>
            <w:pPr>
              <w:pStyle w:val="TableParagraph"/>
              <w:spacing w:before="46"/>
              <w:ind w:left="972" w:right="746"/>
              <w:rPr>
                <w:sz w:val="18"/>
              </w:rPr>
            </w:pPr>
            <w:r>
              <w:rPr>
                <w:w w:val="105"/>
                <w:sz w:val="18"/>
              </w:rPr>
              <w:t>INR</w:t>
            </w:r>
          </w:p>
        </w:tc>
      </w:tr>
      <w:tr>
        <w:trPr>
          <w:trHeight w:val="294" w:hRule="atLeast"/>
        </w:trPr>
        <w:tc>
          <w:tcPr>
            <w:tcW w:w="3939" w:type="dxa"/>
            <w:tcBorders>
              <w:top w:val="single" w:sz="6" w:space="0" w:color="69BD28"/>
              <w:bottom w:val="single" w:sz="6" w:space="0" w:color="69BD28"/>
            </w:tcBorders>
          </w:tcPr>
          <w:p>
            <w:pPr>
              <w:pStyle w:val="TableParagraph"/>
              <w:spacing w:before="44"/>
              <w:ind w:left="334" w:right="757"/>
              <w:rPr>
                <w:sz w:val="18"/>
              </w:rPr>
            </w:pPr>
            <w:r>
              <w:rPr>
                <w:sz w:val="18"/>
              </w:rPr>
              <w:t>Opex projects and admin expenses</w:t>
            </w:r>
          </w:p>
        </w:tc>
        <w:tc>
          <w:tcPr>
            <w:tcW w:w="2826" w:type="dxa"/>
            <w:tcBorders>
              <w:top w:val="single" w:sz="6" w:space="0" w:color="69BD28"/>
              <w:bottom w:val="single" w:sz="6" w:space="0" w:color="69BD28"/>
            </w:tcBorders>
          </w:tcPr>
          <w:p>
            <w:pPr>
              <w:pStyle w:val="TableParagraph"/>
              <w:spacing w:before="44"/>
              <w:ind w:left="776" w:right="983"/>
              <w:rPr>
                <w:sz w:val="18"/>
              </w:rPr>
            </w:pPr>
            <w:r>
              <w:rPr>
                <w:w w:val="110"/>
                <w:sz w:val="18"/>
              </w:rPr>
              <w:t>1.0%</w:t>
            </w:r>
          </w:p>
        </w:tc>
        <w:tc>
          <w:tcPr>
            <w:tcW w:w="3722" w:type="dxa"/>
            <w:tcBorders>
              <w:top w:val="single" w:sz="6" w:space="0" w:color="69BD28"/>
              <w:bottom w:val="single" w:sz="6" w:space="0" w:color="69BD28"/>
            </w:tcBorders>
          </w:tcPr>
          <w:p>
            <w:pPr>
              <w:pStyle w:val="TableParagraph"/>
              <w:spacing w:before="44"/>
              <w:ind w:left="976" w:right="744"/>
              <w:rPr>
                <w:sz w:val="18"/>
              </w:rPr>
            </w:pPr>
            <w:r>
              <w:rPr>
                <w:sz w:val="18"/>
              </w:rPr>
              <w:t>% of total income</w:t>
            </w:r>
          </w:p>
        </w:tc>
      </w:tr>
      <w:tr>
        <w:trPr>
          <w:trHeight w:val="296" w:hRule="atLeast"/>
        </w:trPr>
        <w:tc>
          <w:tcPr>
            <w:tcW w:w="3939" w:type="dxa"/>
            <w:tcBorders>
              <w:top w:val="single" w:sz="6" w:space="0" w:color="69BD28"/>
              <w:bottom w:val="single" w:sz="6" w:space="0" w:color="69BD28"/>
            </w:tcBorders>
          </w:tcPr>
          <w:p>
            <w:pPr>
              <w:pStyle w:val="TableParagraph"/>
              <w:spacing w:before="46"/>
              <w:ind w:left="334" w:right="751"/>
              <w:rPr>
                <w:sz w:val="18"/>
              </w:rPr>
            </w:pPr>
            <w:r>
              <w:rPr>
                <w:w w:val="103"/>
                <w:sz w:val="18"/>
              </w:rPr>
              <w:t>A</w:t>
            </w:r>
            <w:r>
              <w:rPr>
                <w:spacing w:val="1"/>
                <w:w w:val="103"/>
                <w:sz w:val="18"/>
              </w:rPr>
              <w:t>s</w:t>
            </w:r>
            <w:r>
              <w:rPr>
                <w:w w:val="100"/>
                <w:sz w:val="18"/>
              </w:rPr>
              <w:t>s</w:t>
            </w:r>
            <w:r>
              <w:rPr>
                <w:w w:val="94"/>
                <w:sz w:val="18"/>
              </w:rPr>
              <w:t>e</w:t>
            </w:r>
            <w:r>
              <w:rPr>
                <w:w w:val="65"/>
                <w:sz w:val="18"/>
              </w:rPr>
              <w:t>t</w:t>
            </w:r>
            <w:r>
              <w:rPr>
                <w:spacing w:val="-3"/>
                <w:sz w:val="18"/>
              </w:rPr>
              <w:t> </w:t>
            </w:r>
            <w:r>
              <w:rPr>
                <w:w w:val="113"/>
                <w:sz w:val="18"/>
              </w:rPr>
              <w:t>M</w:t>
            </w:r>
            <w:r>
              <w:rPr>
                <w:spacing w:val="-2"/>
                <w:w w:val="113"/>
                <w:sz w:val="18"/>
              </w:rPr>
              <w:t>a</w:t>
            </w:r>
            <w:r>
              <w:rPr>
                <w:w w:val="101"/>
                <w:sz w:val="18"/>
              </w:rPr>
              <w:t>n</w:t>
            </w:r>
            <w:r>
              <w:rPr>
                <w:w w:val="108"/>
                <w:sz w:val="18"/>
              </w:rPr>
              <w:t>a</w:t>
            </w:r>
            <w:r>
              <w:rPr>
                <w:spacing w:val="-2"/>
                <w:w w:val="113"/>
                <w:sz w:val="18"/>
              </w:rPr>
              <w:t>g</w:t>
            </w:r>
            <w:r>
              <w:rPr>
                <w:w w:val="94"/>
                <w:sz w:val="18"/>
              </w:rPr>
              <w:t>e</w:t>
            </w:r>
            <w:r>
              <w:rPr>
                <w:w w:val="102"/>
                <w:sz w:val="18"/>
              </w:rPr>
              <w:t>m</w:t>
            </w:r>
            <w:r>
              <w:rPr>
                <w:spacing w:val="-2"/>
                <w:w w:val="94"/>
                <w:sz w:val="18"/>
              </w:rPr>
              <w:t>e</w:t>
            </w:r>
            <w:r>
              <w:rPr>
                <w:w w:val="101"/>
                <w:sz w:val="18"/>
              </w:rPr>
              <w:t>n</w:t>
            </w:r>
            <w:r>
              <w:rPr>
                <w:w w:val="65"/>
                <w:sz w:val="18"/>
              </w:rPr>
              <w:t>t</w:t>
            </w:r>
            <w:r>
              <w:rPr>
                <w:spacing w:val="-3"/>
                <w:sz w:val="18"/>
              </w:rPr>
              <w:t> </w:t>
            </w:r>
            <w:r>
              <w:rPr>
                <w:w w:val="95"/>
                <w:sz w:val="18"/>
              </w:rPr>
              <w:t>Fe</w:t>
            </w:r>
            <w:r>
              <w:rPr>
                <w:w w:val="94"/>
                <w:sz w:val="18"/>
              </w:rPr>
              <w:t>e</w:t>
            </w:r>
            <w:r>
              <w:rPr>
                <w:w w:val="100"/>
                <w:sz w:val="18"/>
              </w:rPr>
              <w:t>s</w:t>
            </w:r>
            <w:r>
              <w:rPr>
                <w:w w:val="190"/>
                <w:sz w:val="18"/>
              </w:rPr>
              <w:t>^</w:t>
            </w:r>
          </w:p>
        </w:tc>
        <w:tc>
          <w:tcPr>
            <w:tcW w:w="2826" w:type="dxa"/>
            <w:tcBorders>
              <w:top w:val="single" w:sz="6" w:space="0" w:color="69BD28"/>
              <w:bottom w:val="single" w:sz="6" w:space="0" w:color="69BD28"/>
            </w:tcBorders>
          </w:tcPr>
          <w:p>
            <w:pPr>
              <w:pStyle w:val="TableParagraph"/>
              <w:spacing w:before="46"/>
              <w:ind w:left="776" w:right="983"/>
              <w:rPr>
                <w:sz w:val="18"/>
              </w:rPr>
            </w:pPr>
            <w:r>
              <w:rPr>
                <w:w w:val="110"/>
                <w:sz w:val="18"/>
              </w:rPr>
              <w:t>3.0%</w:t>
            </w:r>
          </w:p>
        </w:tc>
        <w:tc>
          <w:tcPr>
            <w:tcW w:w="3722" w:type="dxa"/>
            <w:tcBorders>
              <w:top w:val="single" w:sz="6" w:space="0" w:color="69BD28"/>
              <w:bottom w:val="single" w:sz="6" w:space="0" w:color="69BD28"/>
            </w:tcBorders>
          </w:tcPr>
          <w:p>
            <w:pPr>
              <w:pStyle w:val="TableParagraph"/>
              <w:spacing w:before="46"/>
              <w:ind w:left="976" w:right="746"/>
              <w:rPr>
                <w:sz w:val="18"/>
              </w:rPr>
            </w:pPr>
            <w:r>
              <w:rPr>
                <w:sz w:val="18"/>
              </w:rPr>
              <w:t>% of gross rental income</w:t>
            </w:r>
          </w:p>
        </w:tc>
      </w:tr>
      <w:tr>
        <w:trPr>
          <w:trHeight w:val="297" w:hRule="atLeast"/>
        </w:trPr>
        <w:tc>
          <w:tcPr>
            <w:tcW w:w="3939" w:type="dxa"/>
            <w:tcBorders>
              <w:top w:val="single" w:sz="6" w:space="0" w:color="69BD28"/>
              <w:bottom w:val="single" w:sz="6" w:space="0" w:color="69BD28"/>
            </w:tcBorders>
          </w:tcPr>
          <w:p>
            <w:pPr>
              <w:pStyle w:val="TableParagraph"/>
              <w:spacing w:before="44"/>
              <w:ind w:left="334" w:right="752"/>
              <w:rPr>
                <w:sz w:val="18"/>
              </w:rPr>
            </w:pPr>
            <w:r>
              <w:rPr>
                <w:sz w:val="18"/>
              </w:rPr>
              <w:t>Transaction cost on Exit</w:t>
            </w:r>
          </w:p>
        </w:tc>
        <w:tc>
          <w:tcPr>
            <w:tcW w:w="2826" w:type="dxa"/>
            <w:tcBorders>
              <w:top w:val="single" w:sz="6" w:space="0" w:color="69BD28"/>
              <w:bottom w:val="single" w:sz="6" w:space="0" w:color="69BD28"/>
            </w:tcBorders>
          </w:tcPr>
          <w:p>
            <w:pPr>
              <w:pStyle w:val="TableParagraph"/>
              <w:spacing w:before="44"/>
              <w:ind w:left="776" w:right="983"/>
              <w:rPr>
                <w:sz w:val="18"/>
              </w:rPr>
            </w:pPr>
            <w:r>
              <w:rPr>
                <w:w w:val="110"/>
                <w:sz w:val="18"/>
              </w:rPr>
              <w:t>1.0%</w:t>
            </w:r>
          </w:p>
        </w:tc>
        <w:tc>
          <w:tcPr>
            <w:tcW w:w="3722" w:type="dxa"/>
            <w:tcBorders>
              <w:top w:val="single" w:sz="6" w:space="0" w:color="69BD28"/>
              <w:bottom w:val="single" w:sz="6" w:space="0" w:color="69BD28"/>
            </w:tcBorders>
          </w:tcPr>
          <w:p>
            <w:pPr>
              <w:pStyle w:val="TableParagraph"/>
              <w:spacing w:before="44"/>
              <w:ind w:left="976" w:right="745"/>
              <w:rPr>
                <w:sz w:val="18"/>
              </w:rPr>
            </w:pPr>
            <w:r>
              <w:rPr>
                <w:sz w:val="18"/>
              </w:rPr>
              <w:t>% of terminal value</w:t>
            </w:r>
          </w:p>
        </w:tc>
      </w:tr>
    </w:tbl>
    <w:p>
      <w:pPr>
        <w:spacing w:before="117"/>
        <w:ind w:left="680" w:right="0" w:firstLine="0"/>
        <w:jc w:val="left"/>
        <w:rPr>
          <w:i/>
          <w:sz w:val="18"/>
        </w:rPr>
      </w:pPr>
      <w:r>
        <w:rPr>
          <w:i/>
          <w:sz w:val="18"/>
        </w:rPr>
        <w:t>Source: Client Input; Valuer’s assessment; </w:t>
      </w:r>
      <w:r>
        <w:rPr>
          <w:i/>
          <w:w w:val="160"/>
          <w:sz w:val="18"/>
        </w:rPr>
        <w:t>^ </w:t>
      </w:r>
      <w:r>
        <w:rPr>
          <w:i/>
          <w:sz w:val="18"/>
        </w:rPr>
        <w:t>Asset Management fee has been considered a below the NOI line item</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14"/>
        </w:numPr>
        <w:tabs>
          <w:tab w:pos="1401" w:val="left" w:leader="none"/>
        </w:tabs>
        <w:spacing w:line="240" w:lineRule="auto" w:before="106" w:after="0"/>
        <w:ind w:left="1400" w:right="0" w:hanging="721"/>
        <w:jc w:val="both"/>
        <w:rPr>
          <w:sz w:val="22"/>
        </w:rPr>
      </w:pPr>
      <w:bookmarkStart w:name="_bookmark345" w:id="673"/>
      <w:bookmarkEnd w:id="673"/>
      <w:r>
        <w:rPr/>
      </w:r>
      <w:bookmarkStart w:name="_bookmark345" w:id="674"/>
      <w:bookmarkEnd w:id="674"/>
      <w:r>
        <w:rPr>
          <w:color w:val="1F664D"/>
          <w:w w:val="105"/>
          <w:sz w:val="22"/>
        </w:rPr>
        <w:t>O</w:t>
      </w:r>
      <w:r>
        <w:rPr>
          <w:color w:val="1F664D"/>
          <w:w w:val="105"/>
          <w:sz w:val="22"/>
        </w:rPr>
        <w:t>ther</w:t>
      </w:r>
      <w:r>
        <w:rPr>
          <w:color w:val="1F664D"/>
          <w:spacing w:val="-7"/>
          <w:w w:val="105"/>
          <w:sz w:val="22"/>
        </w:rPr>
        <w:t> </w:t>
      </w:r>
      <w:r>
        <w:rPr>
          <w:color w:val="1F664D"/>
          <w:w w:val="105"/>
          <w:sz w:val="22"/>
        </w:rPr>
        <w:t>Assumptions</w:t>
      </w:r>
    </w:p>
    <w:p>
      <w:pPr>
        <w:pStyle w:val="BodyText"/>
        <w:spacing w:before="6"/>
        <w:rPr>
          <w:sz w:val="25"/>
        </w:rPr>
      </w:pPr>
    </w:p>
    <w:p>
      <w:pPr>
        <w:pStyle w:val="ListParagraph"/>
        <w:numPr>
          <w:ilvl w:val="3"/>
          <w:numId w:val="87"/>
        </w:numPr>
        <w:tabs>
          <w:tab w:pos="1545" w:val="left" w:leader="none"/>
        </w:tabs>
        <w:spacing w:line="240" w:lineRule="auto" w:before="1" w:after="0"/>
        <w:ind w:left="1544" w:right="0" w:hanging="865"/>
        <w:jc w:val="both"/>
        <w:rPr>
          <w:i/>
          <w:sz w:val="20"/>
        </w:rPr>
      </w:pPr>
      <w:r>
        <w:rPr>
          <w:i/>
          <w:color w:val="008000"/>
          <w:sz w:val="20"/>
        </w:rPr>
        <w:t>Vacancy</w:t>
      </w:r>
      <w:r>
        <w:rPr>
          <w:i/>
          <w:color w:val="008000"/>
          <w:spacing w:val="-4"/>
          <w:sz w:val="20"/>
        </w:rPr>
        <w:t> </w:t>
      </w:r>
      <w:r>
        <w:rPr>
          <w:i/>
          <w:color w:val="008000"/>
          <w:sz w:val="20"/>
        </w:rPr>
        <w:t>provision</w:t>
      </w:r>
    </w:p>
    <w:p>
      <w:pPr>
        <w:pStyle w:val="BodyText"/>
        <w:spacing w:line="321" w:lineRule="auto" w:before="75"/>
        <w:ind w:left="1227" w:right="677"/>
        <w:jc w:val="both"/>
      </w:pPr>
      <w:r>
        <w:rPr/>
        <w:t>Based</w:t>
      </w:r>
      <w:r>
        <w:rPr>
          <w:spacing w:val="-11"/>
        </w:rPr>
        <w:t> </w:t>
      </w:r>
      <w:r>
        <w:rPr/>
        <w:t>on</w:t>
      </w:r>
      <w:r>
        <w:rPr>
          <w:spacing w:val="-13"/>
        </w:rPr>
        <w:t> </w:t>
      </w:r>
      <w:r>
        <w:rPr/>
        <w:t>the</w:t>
      </w:r>
      <w:r>
        <w:rPr>
          <w:spacing w:val="-11"/>
        </w:rPr>
        <w:t> </w:t>
      </w:r>
      <w:r>
        <w:rPr/>
        <w:t>prevailing</w:t>
      </w:r>
      <w:r>
        <w:rPr>
          <w:spacing w:val="-9"/>
        </w:rPr>
        <w:t> </w:t>
      </w:r>
      <w:r>
        <w:rPr/>
        <w:t>market</w:t>
      </w:r>
      <w:r>
        <w:rPr>
          <w:spacing w:val="-12"/>
        </w:rPr>
        <w:t> </w:t>
      </w:r>
      <w:r>
        <w:rPr/>
        <w:t>benchmarks,</w:t>
      </w:r>
      <w:r>
        <w:rPr>
          <w:spacing w:val="-12"/>
        </w:rPr>
        <w:t> </w:t>
      </w:r>
      <w:r>
        <w:rPr/>
        <w:t>a</w:t>
      </w:r>
      <w:r>
        <w:rPr>
          <w:spacing w:val="-9"/>
        </w:rPr>
        <w:t> </w:t>
      </w:r>
      <w:r>
        <w:rPr/>
        <w:t>vacancy</w:t>
      </w:r>
      <w:r>
        <w:rPr>
          <w:spacing w:val="-11"/>
        </w:rPr>
        <w:t> </w:t>
      </w:r>
      <w:r>
        <w:rPr/>
        <w:t>provision</w:t>
      </w:r>
      <w:r>
        <w:rPr>
          <w:spacing w:val="-13"/>
        </w:rPr>
        <w:t> </w:t>
      </w:r>
      <w:r>
        <w:rPr/>
        <w:t>of</w:t>
      </w:r>
      <w:r>
        <w:rPr>
          <w:spacing w:val="-10"/>
        </w:rPr>
        <w:t> </w:t>
      </w:r>
      <w:r>
        <w:rPr/>
        <w:t>2.5%</w:t>
      </w:r>
      <w:r>
        <w:rPr>
          <w:spacing w:val="-10"/>
        </w:rPr>
        <w:t> </w:t>
      </w:r>
      <w:r>
        <w:rPr/>
        <w:t>has</w:t>
      </w:r>
      <w:r>
        <w:rPr>
          <w:spacing w:val="-11"/>
        </w:rPr>
        <w:t> </w:t>
      </w:r>
      <w:r>
        <w:rPr/>
        <w:t>been</w:t>
      </w:r>
      <w:r>
        <w:rPr>
          <w:spacing w:val="-12"/>
        </w:rPr>
        <w:t> </w:t>
      </w:r>
      <w:r>
        <w:rPr/>
        <w:t>adopted</w:t>
      </w:r>
      <w:r>
        <w:rPr>
          <w:spacing w:val="-12"/>
        </w:rPr>
        <w:t> </w:t>
      </w:r>
      <w:r>
        <w:rPr/>
        <w:t>during</w:t>
      </w:r>
      <w:r>
        <w:rPr>
          <w:spacing w:val="-12"/>
        </w:rPr>
        <w:t> </w:t>
      </w:r>
      <w:r>
        <w:rPr/>
        <w:t>the holding</w:t>
      </w:r>
      <w:r>
        <w:rPr>
          <w:spacing w:val="-10"/>
        </w:rPr>
        <w:t> </w:t>
      </w:r>
      <w:r>
        <w:rPr/>
        <w:t>period</w:t>
      </w:r>
      <w:r>
        <w:rPr>
          <w:spacing w:val="-9"/>
        </w:rPr>
        <w:t> </w:t>
      </w:r>
      <w:r>
        <w:rPr/>
        <w:t>and</w:t>
      </w:r>
      <w:r>
        <w:rPr>
          <w:spacing w:val="-12"/>
        </w:rPr>
        <w:t> </w:t>
      </w:r>
      <w:r>
        <w:rPr/>
        <w:t>the</w:t>
      </w:r>
      <w:r>
        <w:rPr>
          <w:spacing w:val="-10"/>
        </w:rPr>
        <w:t> </w:t>
      </w:r>
      <w:r>
        <w:rPr/>
        <w:t>same</w:t>
      </w:r>
      <w:r>
        <w:rPr>
          <w:spacing w:val="-10"/>
        </w:rPr>
        <w:t> </w:t>
      </w:r>
      <w:r>
        <w:rPr/>
        <w:t>is</w:t>
      </w:r>
      <w:r>
        <w:rPr>
          <w:spacing w:val="-10"/>
        </w:rPr>
        <w:t> </w:t>
      </w:r>
      <w:r>
        <w:rPr/>
        <w:t>expected</w:t>
      </w:r>
      <w:r>
        <w:rPr>
          <w:spacing w:val="-9"/>
        </w:rPr>
        <w:t> </w:t>
      </w:r>
      <w:r>
        <w:rPr/>
        <w:t>to</w:t>
      </w:r>
      <w:r>
        <w:rPr>
          <w:spacing w:val="-10"/>
        </w:rPr>
        <w:t> </w:t>
      </w:r>
      <w:r>
        <w:rPr/>
        <w:t>hold</w:t>
      </w:r>
      <w:r>
        <w:rPr>
          <w:spacing w:val="-10"/>
        </w:rPr>
        <w:t> </w:t>
      </w:r>
      <w:r>
        <w:rPr/>
        <w:t>true</w:t>
      </w:r>
      <w:r>
        <w:rPr>
          <w:spacing w:val="-11"/>
        </w:rPr>
        <w:t> </w:t>
      </w:r>
      <w:r>
        <w:rPr/>
        <w:t>upon</w:t>
      </w:r>
      <w:r>
        <w:rPr>
          <w:spacing w:val="-11"/>
        </w:rPr>
        <w:t> </w:t>
      </w:r>
      <w:r>
        <w:rPr/>
        <w:t>assessment</w:t>
      </w:r>
      <w:r>
        <w:rPr>
          <w:spacing w:val="-10"/>
        </w:rPr>
        <w:t> </w:t>
      </w:r>
      <w:r>
        <w:rPr/>
        <w:t>of</w:t>
      </w:r>
      <w:r>
        <w:rPr>
          <w:spacing w:val="-9"/>
        </w:rPr>
        <w:t> </w:t>
      </w:r>
      <w:r>
        <w:rPr/>
        <w:t>terminal</w:t>
      </w:r>
      <w:r>
        <w:rPr>
          <w:spacing w:val="-11"/>
        </w:rPr>
        <w:t> </w:t>
      </w:r>
      <w:r>
        <w:rPr/>
        <w:t>value.</w:t>
      </w:r>
    </w:p>
    <w:p>
      <w:pPr>
        <w:pStyle w:val="BodyText"/>
        <w:spacing w:before="1"/>
        <w:rPr>
          <w:sz w:val="23"/>
        </w:rPr>
      </w:pPr>
    </w:p>
    <w:p>
      <w:pPr>
        <w:pStyle w:val="ListParagraph"/>
        <w:numPr>
          <w:ilvl w:val="3"/>
          <w:numId w:val="87"/>
        </w:numPr>
        <w:tabs>
          <w:tab w:pos="1545" w:val="left" w:leader="none"/>
        </w:tabs>
        <w:spacing w:line="240" w:lineRule="auto" w:before="0" w:after="0"/>
        <w:ind w:left="1544" w:right="0" w:hanging="865"/>
        <w:jc w:val="both"/>
        <w:rPr>
          <w:i/>
          <w:sz w:val="20"/>
        </w:rPr>
      </w:pPr>
      <w:r>
        <w:rPr>
          <w:i/>
          <w:color w:val="008000"/>
          <w:sz w:val="20"/>
        </w:rPr>
        <w:t>Revenue</w:t>
      </w:r>
      <w:r>
        <w:rPr>
          <w:i/>
          <w:color w:val="008000"/>
          <w:spacing w:val="-4"/>
          <w:sz w:val="20"/>
        </w:rPr>
        <w:t> </w:t>
      </w:r>
      <w:r>
        <w:rPr>
          <w:i/>
          <w:color w:val="008000"/>
          <w:sz w:val="20"/>
        </w:rPr>
        <w:t>escalation</w:t>
      </w:r>
    </w:p>
    <w:p>
      <w:pPr>
        <w:pStyle w:val="BodyText"/>
        <w:spacing w:line="321" w:lineRule="auto" w:before="76"/>
        <w:ind w:left="1227" w:right="674"/>
        <w:jc w:val="both"/>
      </w:pPr>
      <w:r>
        <w:rPr/>
        <w:t>Based</w:t>
      </w:r>
      <w:r>
        <w:rPr>
          <w:spacing w:val="-28"/>
        </w:rPr>
        <w:t> </w:t>
      </w:r>
      <w:r>
        <w:rPr/>
        <w:t>on</w:t>
      </w:r>
      <w:r>
        <w:rPr>
          <w:spacing w:val="-30"/>
        </w:rPr>
        <w:t> </w:t>
      </w:r>
      <w:r>
        <w:rPr/>
        <w:t>prevailing</w:t>
      </w:r>
      <w:r>
        <w:rPr>
          <w:spacing w:val="-28"/>
        </w:rPr>
        <w:t> </w:t>
      </w:r>
      <w:r>
        <w:rPr/>
        <w:t>market</w:t>
      </w:r>
      <w:r>
        <w:rPr>
          <w:spacing w:val="-29"/>
        </w:rPr>
        <w:t> </w:t>
      </w:r>
      <w:r>
        <w:rPr/>
        <w:t>condition,</w:t>
      </w:r>
      <w:r>
        <w:rPr>
          <w:spacing w:val="-28"/>
        </w:rPr>
        <w:t> </w:t>
      </w:r>
      <w:r>
        <w:rPr/>
        <w:t>historical</w:t>
      </w:r>
      <w:r>
        <w:rPr>
          <w:spacing w:val="-29"/>
        </w:rPr>
        <w:t> </w:t>
      </w:r>
      <w:r>
        <w:rPr/>
        <w:t>rent</w:t>
      </w:r>
      <w:r>
        <w:rPr>
          <w:spacing w:val="-29"/>
        </w:rPr>
        <w:t> </w:t>
      </w:r>
      <w:r>
        <w:rPr/>
        <w:t>growth</w:t>
      </w:r>
      <w:r>
        <w:rPr>
          <w:spacing w:val="-28"/>
        </w:rPr>
        <w:t> </w:t>
      </w:r>
      <w:r>
        <w:rPr/>
        <w:t>achieved</w:t>
      </w:r>
      <w:r>
        <w:rPr>
          <w:spacing w:val="-28"/>
        </w:rPr>
        <w:t> </w:t>
      </w:r>
      <w:r>
        <w:rPr/>
        <w:t>in</w:t>
      </w:r>
      <w:r>
        <w:rPr>
          <w:spacing w:val="-29"/>
        </w:rPr>
        <w:t> </w:t>
      </w:r>
      <w:r>
        <w:rPr/>
        <w:t>the</w:t>
      </w:r>
      <w:r>
        <w:rPr>
          <w:spacing w:val="-28"/>
        </w:rPr>
        <w:t> </w:t>
      </w:r>
      <w:r>
        <w:rPr/>
        <w:t>subject</w:t>
      </w:r>
      <w:r>
        <w:rPr>
          <w:spacing w:val="-29"/>
        </w:rPr>
        <w:t> </w:t>
      </w:r>
      <w:r>
        <w:rPr/>
        <w:t>sub</w:t>
      </w:r>
      <w:r>
        <w:rPr>
          <w:spacing w:val="-27"/>
        </w:rPr>
        <w:t> </w:t>
      </w:r>
      <w:r>
        <w:rPr/>
        <w:t>market</w:t>
      </w:r>
      <w:r>
        <w:rPr>
          <w:spacing w:val="-29"/>
        </w:rPr>
        <w:t> </w:t>
      </w:r>
      <w:r>
        <w:rPr/>
        <w:t>and</w:t>
      </w:r>
      <w:r>
        <w:rPr>
          <w:spacing w:val="-29"/>
        </w:rPr>
        <w:t> </w:t>
      </w:r>
      <w:r>
        <w:rPr/>
        <w:t>our interactions</w:t>
      </w:r>
      <w:r>
        <w:rPr>
          <w:spacing w:val="-31"/>
        </w:rPr>
        <w:t> </w:t>
      </w:r>
      <w:r>
        <w:rPr/>
        <w:t>with</w:t>
      </w:r>
      <w:r>
        <w:rPr>
          <w:spacing w:val="-32"/>
        </w:rPr>
        <w:t> </w:t>
      </w:r>
      <w:r>
        <w:rPr/>
        <w:t>market</w:t>
      </w:r>
      <w:r>
        <w:rPr>
          <w:spacing w:val="-32"/>
        </w:rPr>
        <w:t> </w:t>
      </w:r>
      <w:r>
        <w:rPr/>
        <w:t>participants,</w:t>
      </w:r>
      <w:r>
        <w:rPr>
          <w:spacing w:val="-30"/>
        </w:rPr>
        <w:t> </w:t>
      </w:r>
      <w:r>
        <w:rPr/>
        <w:t>Valuer</w:t>
      </w:r>
      <w:r>
        <w:rPr>
          <w:spacing w:val="-32"/>
        </w:rPr>
        <w:t> </w:t>
      </w:r>
      <w:r>
        <w:rPr/>
        <w:t>is</w:t>
      </w:r>
      <w:r>
        <w:rPr>
          <w:spacing w:val="-30"/>
        </w:rPr>
        <w:t> </w:t>
      </w:r>
      <w:r>
        <w:rPr/>
        <w:t>of</w:t>
      </w:r>
      <w:r>
        <w:rPr>
          <w:spacing w:val="-32"/>
        </w:rPr>
        <w:t> </w:t>
      </w:r>
      <w:r>
        <w:rPr/>
        <w:t>the</w:t>
      </w:r>
      <w:r>
        <w:rPr>
          <w:spacing w:val="-32"/>
        </w:rPr>
        <w:t> </w:t>
      </w:r>
      <w:r>
        <w:rPr/>
        <w:t>option</w:t>
      </w:r>
      <w:r>
        <w:rPr>
          <w:spacing w:val="-31"/>
        </w:rPr>
        <w:t> </w:t>
      </w:r>
      <w:r>
        <w:rPr/>
        <w:t>that</w:t>
      </w:r>
      <w:r>
        <w:rPr>
          <w:spacing w:val="-32"/>
        </w:rPr>
        <w:t> </w:t>
      </w:r>
      <w:r>
        <w:rPr/>
        <w:t>the</w:t>
      </w:r>
      <w:r>
        <w:rPr>
          <w:spacing w:val="-31"/>
        </w:rPr>
        <w:t> </w:t>
      </w:r>
      <w:r>
        <w:rPr/>
        <w:t>annual</w:t>
      </w:r>
      <w:r>
        <w:rPr>
          <w:spacing w:val="-31"/>
        </w:rPr>
        <w:t> </w:t>
      </w:r>
      <w:r>
        <w:rPr/>
        <w:t>rent</w:t>
      </w:r>
      <w:r>
        <w:rPr>
          <w:spacing w:val="-32"/>
        </w:rPr>
        <w:t> </w:t>
      </w:r>
      <w:r>
        <w:rPr/>
        <w:t>growth</w:t>
      </w:r>
      <w:r>
        <w:rPr>
          <w:spacing w:val="-32"/>
        </w:rPr>
        <w:t> </w:t>
      </w:r>
      <w:r>
        <w:rPr/>
        <w:t>for</w:t>
      </w:r>
      <w:r>
        <w:rPr>
          <w:spacing w:val="-31"/>
        </w:rPr>
        <w:t> </w:t>
      </w:r>
      <w:r>
        <w:rPr/>
        <w:t>the</w:t>
      </w:r>
      <w:r>
        <w:rPr>
          <w:spacing w:val="-33"/>
        </w:rPr>
        <w:t> </w:t>
      </w:r>
      <w:r>
        <w:rPr/>
        <w:t>subject property</w:t>
      </w:r>
      <w:r>
        <w:rPr>
          <w:spacing w:val="-6"/>
        </w:rPr>
        <w:t> </w:t>
      </w:r>
      <w:r>
        <w:rPr/>
        <w:t>will</w:t>
      </w:r>
      <w:r>
        <w:rPr>
          <w:spacing w:val="-5"/>
        </w:rPr>
        <w:t> </w:t>
      </w:r>
      <w:r>
        <w:rPr/>
        <w:t>be</w:t>
      </w:r>
      <w:r>
        <w:rPr>
          <w:spacing w:val="-5"/>
        </w:rPr>
        <w:t> </w:t>
      </w:r>
      <w:r>
        <w:rPr/>
        <w:t>2.5%</w:t>
      </w:r>
      <w:r>
        <w:rPr>
          <w:spacing w:val="-4"/>
        </w:rPr>
        <w:t> </w:t>
      </w:r>
      <w:r>
        <w:rPr/>
        <w:t>till</w:t>
      </w:r>
      <w:r>
        <w:rPr>
          <w:spacing w:val="-6"/>
        </w:rPr>
        <w:t> </w:t>
      </w:r>
      <w:r>
        <w:rPr/>
        <w:t>Q3,</w:t>
      </w:r>
      <w:r>
        <w:rPr>
          <w:spacing w:val="-4"/>
        </w:rPr>
        <w:t> </w:t>
      </w:r>
      <w:r>
        <w:rPr/>
        <w:t>FY</w:t>
      </w:r>
      <w:r>
        <w:rPr>
          <w:spacing w:val="-3"/>
        </w:rPr>
        <w:t> </w:t>
      </w:r>
      <w:r>
        <w:rPr/>
        <w:t>2021</w:t>
      </w:r>
      <w:r>
        <w:rPr>
          <w:spacing w:val="-5"/>
        </w:rPr>
        <w:t> </w:t>
      </w:r>
      <w:r>
        <w:rPr/>
        <w:t>and</w:t>
      </w:r>
      <w:r>
        <w:rPr>
          <w:spacing w:val="-4"/>
        </w:rPr>
        <w:t> </w:t>
      </w:r>
      <w:r>
        <w:rPr/>
        <w:t>then</w:t>
      </w:r>
      <w:r>
        <w:rPr>
          <w:spacing w:val="-8"/>
        </w:rPr>
        <w:t> </w:t>
      </w:r>
      <w:r>
        <w:rPr/>
        <w:t>stabilize</w:t>
      </w:r>
      <w:r>
        <w:rPr>
          <w:spacing w:val="-5"/>
        </w:rPr>
        <w:t> </w:t>
      </w:r>
      <w:r>
        <w:rPr/>
        <w:t>at</w:t>
      </w:r>
      <w:r>
        <w:rPr>
          <w:spacing w:val="-4"/>
        </w:rPr>
        <w:t> </w:t>
      </w:r>
      <w:r>
        <w:rPr/>
        <w:t>of</w:t>
      </w:r>
      <w:r>
        <w:rPr>
          <w:spacing w:val="-4"/>
        </w:rPr>
        <w:t> </w:t>
      </w:r>
      <w:r>
        <w:rPr/>
        <w:t>5%</w:t>
      </w:r>
      <w:r>
        <w:rPr>
          <w:spacing w:val="-4"/>
        </w:rPr>
        <w:t> </w:t>
      </w:r>
      <w:r>
        <w:rPr/>
        <w:t>going</w:t>
      </w:r>
      <w:r>
        <w:rPr>
          <w:spacing w:val="-7"/>
        </w:rPr>
        <w:t> </w:t>
      </w:r>
      <w:r>
        <w:rPr/>
        <w:t>forward.</w:t>
      </w:r>
    </w:p>
    <w:p>
      <w:pPr>
        <w:pStyle w:val="BodyText"/>
        <w:spacing w:before="5"/>
        <w:rPr>
          <w:sz w:val="23"/>
        </w:rPr>
      </w:pPr>
    </w:p>
    <w:p>
      <w:pPr>
        <w:pStyle w:val="ListParagraph"/>
        <w:numPr>
          <w:ilvl w:val="3"/>
          <w:numId w:val="87"/>
        </w:numPr>
        <w:tabs>
          <w:tab w:pos="1545" w:val="left" w:leader="none"/>
        </w:tabs>
        <w:spacing w:line="240" w:lineRule="auto" w:before="0" w:after="0"/>
        <w:ind w:left="1544" w:right="0" w:hanging="865"/>
        <w:jc w:val="both"/>
        <w:rPr>
          <w:i/>
          <w:sz w:val="20"/>
        </w:rPr>
      </w:pPr>
      <w:r>
        <w:rPr>
          <w:i/>
          <w:color w:val="008000"/>
          <w:sz w:val="20"/>
        </w:rPr>
        <w:t>Rent </w:t>
      </w:r>
      <w:r>
        <w:rPr>
          <w:i/>
          <w:color w:val="008000"/>
          <w:w w:val="105"/>
          <w:sz w:val="20"/>
        </w:rPr>
        <w:t>– </w:t>
      </w:r>
      <w:r>
        <w:rPr>
          <w:i/>
          <w:color w:val="008000"/>
          <w:sz w:val="20"/>
        </w:rPr>
        <w:t>free</w:t>
      </w:r>
      <w:r>
        <w:rPr>
          <w:i/>
          <w:color w:val="008000"/>
          <w:spacing w:val="-12"/>
          <w:sz w:val="20"/>
        </w:rPr>
        <w:t> </w:t>
      </w:r>
      <w:r>
        <w:rPr>
          <w:i/>
          <w:color w:val="008000"/>
          <w:sz w:val="20"/>
        </w:rPr>
        <w:t>period</w:t>
      </w:r>
    </w:p>
    <w:p>
      <w:pPr>
        <w:pStyle w:val="BodyText"/>
        <w:spacing w:line="321" w:lineRule="auto" w:before="76"/>
        <w:ind w:left="1227" w:right="682"/>
        <w:jc w:val="both"/>
      </w:pPr>
      <w:r>
        <w:rPr/>
        <w:t>Based on the trend prevalent in the subject sub market, we have considered a rent free period of 3 months for the subject property from the lease commencement date (for future / new leases)</w:t>
      </w:r>
    </w:p>
    <w:p>
      <w:pPr>
        <w:pStyle w:val="BodyText"/>
        <w:spacing w:before="3"/>
        <w:rPr>
          <w:sz w:val="23"/>
        </w:rPr>
      </w:pPr>
    </w:p>
    <w:p>
      <w:pPr>
        <w:pStyle w:val="ListParagraph"/>
        <w:numPr>
          <w:ilvl w:val="3"/>
          <w:numId w:val="87"/>
        </w:numPr>
        <w:tabs>
          <w:tab w:pos="1545" w:val="left" w:leader="none"/>
        </w:tabs>
        <w:spacing w:line="240" w:lineRule="auto" w:before="0" w:after="0"/>
        <w:ind w:left="1544" w:right="0" w:hanging="865"/>
        <w:jc w:val="both"/>
        <w:rPr>
          <w:i/>
          <w:sz w:val="20"/>
        </w:rPr>
      </w:pPr>
      <w:r>
        <w:rPr>
          <w:i/>
          <w:color w:val="008000"/>
          <w:sz w:val="20"/>
        </w:rPr>
        <w:t>Brokerage</w:t>
      </w:r>
    </w:p>
    <w:p>
      <w:pPr>
        <w:pStyle w:val="BodyText"/>
        <w:spacing w:line="319" w:lineRule="auto" w:before="76"/>
        <w:ind w:left="1227" w:right="675"/>
        <w:jc w:val="both"/>
      </w:pPr>
      <w:r>
        <w:rPr/>
        <w:t>Based</w:t>
      </w:r>
      <w:r>
        <w:rPr>
          <w:spacing w:val="-5"/>
        </w:rPr>
        <w:t> </w:t>
      </w:r>
      <w:r>
        <w:rPr/>
        <w:t>on</w:t>
      </w:r>
      <w:r>
        <w:rPr>
          <w:spacing w:val="-7"/>
        </w:rPr>
        <w:t> </w:t>
      </w:r>
      <w:r>
        <w:rPr/>
        <w:t>prevalent</w:t>
      </w:r>
      <w:r>
        <w:rPr>
          <w:spacing w:val="-5"/>
        </w:rPr>
        <w:t> </w:t>
      </w:r>
      <w:r>
        <w:rPr/>
        <w:t>market</w:t>
      </w:r>
      <w:r>
        <w:rPr>
          <w:spacing w:val="-5"/>
        </w:rPr>
        <w:t> </w:t>
      </w:r>
      <w:r>
        <w:rPr/>
        <w:t>dynamics,</w:t>
      </w:r>
      <w:r>
        <w:rPr>
          <w:spacing w:val="-5"/>
        </w:rPr>
        <w:t> </w:t>
      </w:r>
      <w:r>
        <w:rPr/>
        <w:t>we</w:t>
      </w:r>
      <w:r>
        <w:rPr>
          <w:spacing w:val="-5"/>
        </w:rPr>
        <w:t> </w:t>
      </w:r>
      <w:r>
        <w:rPr/>
        <w:t>have</w:t>
      </w:r>
      <w:r>
        <w:rPr>
          <w:spacing w:val="-6"/>
        </w:rPr>
        <w:t> </w:t>
      </w:r>
      <w:r>
        <w:rPr/>
        <w:t>considered</w:t>
      </w:r>
      <w:r>
        <w:rPr>
          <w:spacing w:val="-7"/>
        </w:rPr>
        <w:t> </w:t>
      </w:r>
      <w:r>
        <w:rPr/>
        <w:t>brokerage</w:t>
      </w:r>
      <w:r>
        <w:rPr>
          <w:spacing w:val="-5"/>
        </w:rPr>
        <w:t> </w:t>
      </w:r>
      <w:r>
        <w:rPr/>
        <w:t>equivalent</w:t>
      </w:r>
      <w:r>
        <w:rPr>
          <w:spacing w:val="-5"/>
        </w:rPr>
        <w:t> </w:t>
      </w:r>
      <w:r>
        <w:rPr/>
        <w:t>to</w:t>
      </w:r>
      <w:r>
        <w:rPr>
          <w:spacing w:val="-5"/>
        </w:rPr>
        <w:t> </w:t>
      </w:r>
      <w:r>
        <w:rPr/>
        <w:t>2</w:t>
      </w:r>
      <w:r>
        <w:rPr>
          <w:spacing w:val="-6"/>
        </w:rPr>
        <w:t> </w:t>
      </w:r>
      <w:r>
        <w:rPr/>
        <w:t>month of</w:t>
      </w:r>
      <w:r>
        <w:rPr>
          <w:spacing w:val="-4"/>
        </w:rPr>
        <w:t> </w:t>
      </w:r>
      <w:r>
        <w:rPr/>
        <w:t>rental income for future / new</w:t>
      </w:r>
      <w:r>
        <w:rPr>
          <w:spacing w:val="-18"/>
        </w:rPr>
        <w:t> </w:t>
      </w:r>
      <w:r>
        <w:rPr/>
        <w:t>leases</w:t>
      </w:r>
    </w:p>
    <w:p>
      <w:pPr>
        <w:pStyle w:val="BodyText"/>
        <w:spacing w:before="1"/>
        <w:rPr>
          <w:sz w:val="21"/>
        </w:rPr>
      </w:pPr>
    </w:p>
    <w:p>
      <w:pPr>
        <w:pStyle w:val="ListParagraph"/>
        <w:numPr>
          <w:ilvl w:val="2"/>
          <w:numId w:val="14"/>
        </w:numPr>
        <w:tabs>
          <w:tab w:pos="1401" w:val="left" w:leader="none"/>
        </w:tabs>
        <w:spacing w:line="240" w:lineRule="auto" w:before="0" w:after="0"/>
        <w:ind w:left="1400" w:right="0" w:hanging="721"/>
        <w:jc w:val="both"/>
        <w:rPr>
          <w:sz w:val="22"/>
        </w:rPr>
      </w:pPr>
      <w:bookmarkStart w:name="_bookmark346" w:id="675"/>
      <w:bookmarkEnd w:id="675"/>
      <w:r>
        <w:rPr/>
      </w:r>
      <w:bookmarkStart w:name="_bookmark346" w:id="676"/>
      <w:bookmarkEnd w:id="676"/>
      <w:r>
        <w:rPr>
          <w:color w:val="1F664D"/>
          <w:sz w:val="22"/>
        </w:rPr>
        <w:t>Ca</w:t>
      </w:r>
      <w:r>
        <w:rPr>
          <w:color w:val="1F664D"/>
          <w:sz w:val="22"/>
        </w:rPr>
        <w:t>pitalization</w:t>
      </w:r>
      <w:r>
        <w:rPr>
          <w:color w:val="1F664D"/>
          <w:spacing w:val="-2"/>
          <w:sz w:val="22"/>
        </w:rPr>
        <w:t> </w:t>
      </w:r>
      <w:r>
        <w:rPr>
          <w:color w:val="1F664D"/>
          <w:sz w:val="22"/>
        </w:rPr>
        <w:t>Rates</w:t>
      </w:r>
    </w:p>
    <w:p>
      <w:pPr>
        <w:pStyle w:val="BodyText"/>
        <w:spacing w:line="321" w:lineRule="auto" w:before="208"/>
        <w:ind w:left="1227" w:right="674"/>
        <w:jc w:val="both"/>
      </w:pPr>
      <w:r>
        <w:rPr/>
        <w:t>As</w:t>
      </w:r>
      <w:r>
        <w:rPr>
          <w:spacing w:val="-6"/>
        </w:rPr>
        <w:t> </w:t>
      </w:r>
      <w:r>
        <w:rPr/>
        <w:t>highlighted</w:t>
      </w:r>
      <w:r>
        <w:rPr>
          <w:spacing w:val="-6"/>
        </w:rPr>
        <w:t> </w:t>
      </w:r>
      <w:r>
        <w:rPr/>
        <w:t>in</w:t>
      </w:r>
      <w:r>
        <w:rPr>
          <w:spacing w:val="-7"/>
        </w:rPr>
        <w:t> </w:t>
      </w:r>
      <w:r>
        <w:rPr/>
        <w:t>section</w:t>
      </w:r>
      <w:r>
        <w:rPr>
          <w:spacing w:val="-6"/>
        </w:rPr>
        <w:t> </w:t>
      </w:r>
      <w:r>
        <w:rPr/>
        <w:t>3.3,</w:t>
      </w:r>
      <w:r>
        <w:rPr>
          <w:spacing w:val="-7"/>
        </w:rPr>
        <w:t> </w:t>
      </w:r>
      <w:r>
        <w:rPr/>
        <w:t>the</w:t>
      </w:r>
      <w:r>
        <w:rPr>
          <w:spacing w:val="-6"/>
        </w:rPr>
        <w:t> </w:t>
      </w:r>
      <w:r>
        <w:rPr/>
        <w:t>cap</w:t>
      </w:r>
      <w:r>
        <w:rPr>
          <w:spacing w:val="-6"/>
        </w:rPr>
        <w:t> </w:t>
      </w:r>
      <w:r>
        <w:rPr/>
        <w:t>rate</w:t>
      </w:r>
      <w:r>
        <w:rPr>
          <w:spacing w:val="-5"/>
        </w:rPr>
        <w:t> </w:t>
      </w:r>
      <w:r>
        <w:rPr/>
        <w:t>adopted</w:t>
      </w:r>
      <w:r>
        <w:rPr>
          <w:spacing w:val="-6"/>
        </w:rPr>
        <w:t> </w:t>
      </w:r>
      <w:r>
        <w:rPr/>
        <w:t>for</w:t>
      </w:r>
      <w:r>
        <w:rPr>
          <w:spacing w:val="-6"/>
        </w:rPr>
        <w:t> </w:t>
      </w:r>
      <w:r>
        <w:rPr/>
        <w:t>the</w:t>
      </w:r>
      <w:r>
        <w:rPr>
          <w:spacing w:val="-7"/>
        </w:rPr>
        <w:t> </w:t>
      </w:r>
      <w:r>
        <w:rPr/>
        <w:t>office</w:t>
      </w:r>
      <w:r>
        <w:rPr>
          <w:spacing w:val="-7"/>
        </w:rPr>
        <w:t> </w:t>
      </w:r>
      <w:r>
        <w:rPr/>
        <w:t>spaces</w:t>
      </w:r>
      <w:r>
        <w:rPr>
          <w:spacing w:val="-5"/>
        </w:rPr>
        <w:t> </w:t>
      </w:r>
      <w:r>
        <w:rPr/>
        <w:t>are</w:t>
      </w:r>
      <w:r>
        <w:rPr>
          <w:spacing w:val="-7"/>
        </w:rPr>
        <w:t> </w:t>
      </w:r>
      <w:r>
        <w:rPr/>
        <w:t>7.5%</w:t>
      </w:r>
      <w:r>
        <w:rPr>
          <w:spacing w:val="-5"/>
        </w:rPr>
        <w:t> </w:t>
      </w:r>
      <w:r>
        <w:rPr/>
        <w:t>with</w:t>
      </w:r>
      <w:r>
        <w:rPr>
          <w:spacing w:val="-7"/>
        </w:rPr>
        <w:t> </w:t>
      </w:r>
      <w:r>
        <w:rPr/>
        <w:t>an</w:t>
      </w:r>
      <w:r>
        <w:rPr>
          <w:spacing w:val="-7"/>
        </w:rPr>
        <w:t> </w:t>
      </w:r>
      <w:r>
        <w:rPr/>
        <w:t>EV/</w:t>
      </w:r>
      <w:r>
        <w:rPr>
          <w:spacing w:val="-7"/>
        </w:rPr>
        <w:t> </w:t>
      </w:r>
      <w:r>
        <w:rPr/>
        <w:t>EBITDA multiple of 14 for the hotel</w:t>
      </w:r>
      <w:r>
        <w:rPr>
          <w:spacing w:val="-26"/>
        </w:rPr>
        <w:t> </w:t>
      </w:r>
      <w:r>
        <w:rPr/>
        <w:t>component.</w:t>
      </w:r>
    </w:p>
    <w:p>
      <w:pPr>
        <w:pStyle w:val="BodyText"/>
        <w:spacing w:before="9"/>
        <w:rPr>
          <w:sz w:val="20"/>
        </w:rPr>
      </w:pPr>
    </w:p>
    <w:p>
      <w:pPr>
        <w:pStyle w:val="ListParagraph"/>
        <w:numPr>
          <w:ilvl w:val="2"/>
          <w:numId w:val="14"/>
        </w:numPr>
        <w:tabs>
          <w:tab w:pos="1480" w:val="left" w:leader="none"/>
        </w:tabs>
        <w:spacing w:line="240" w:lineRule="auto" w:before="1" w:after="0"/>
        <w:ind w:left="1479" w:right="0" w:hanging="800"/>
        <w:jc w:val="left"/>
        <w:rPr>
          <w:sz w:val="22"/>
        </w:rPr>
      </w:pPr>
      <w:bookmarkStart w:name="_bookmark347" w:id="677"/>
      <w:bookmarkEnd w:id="677"/>
      <w:r>
        <w:rPr/>
      </w:r>
      <w:bookmarkStart w:name="_bookmark347" w:id="678"/>
      <w:bookmarkEnd w:id="678"/>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7"/>
        <w:ind w:left="1227" w:right="672"/>
        <w:jc w:val="both"/>
      </w:pPr>
      <w:r>
        <w:rPr/>
        <w:t>For discounting the cash flows, the appropriate discounting rate has been calculated on the basis of estimated</w:t>
      </w:r>
      <w:r>
        <w:rPr>
          <w:spacing w:val="-20"/>
        </w:rPr>
        <w:t> </w:t>
      </w:r>
      <w:r>
        <w:rPr/>
        <w:t>‘Weighted</w:t>
      </w:r>
      <w:r>
        <w:rPr>
          <w:spacing w:val="-21"/>
        </w:rPr>
        <w:t> </w:t>
      </w:r>
      <w:r>
        <w:rPr/>
        <w:t>Average</w:t>
      </w:r>
      <w:r>
        <w:rPr>
          <w:spacing w:val="-20"/>
        </w:rPr>
        <w:t> </w:t>
      </w:r>
      <w:r>
        <w:rPr/>
        <w:t>Cost</w:t>
      </w:r>
      <w:r>
        <w:rPr>
          <w:spacing w:val="-20"/>
        </w:rPr>
        <w:t> </w:t>
      </w:r>
      <w:r>
        <w:rPr/>
        <w:t>of</w:t>
      </w:r>
      <w:r>
        <w:rPr>
          <w:spacing w:val="-21"/>
        </w:rPr>
        <w:t> </w:t>
      </w:r>
      <w:r>
        <w:rPr/>
        <w:t>Capital’</w:t>
      </w:r>
      <w:r>
        <w:rPr>
          <w:spacing w:val="-21"/>
        </w:rPr>
        <w:t> </w:t>
      </w:r>
      <w:r>
        <w:rPr/>
        <w:t>(WACC).</w:t>
      </w:r>
      <w:r>
        <w:rPr>
          <w:spacing w:val="-21"/>
        </w:rPr>
        <w:t> </w:t>
      </w:r>
      <w:r>
        <w:rPr/>
        <w:t>The</w:t>
      </w:r>
      <w:r>
        <w:rPr>
          <w:spacing w:val="-21"/>
        </w:rPr>
        <w:t> </w:t>
      </w:r>
      <w:r>
        <w:rPr/>
        <w:t>detailed</w:t>
      </w:r>
      <w:r>
        <w:rPr>
          <w:spacing w:val="-19"/>
        </w:rPr>
        <w:t> </w:t>
      </w:r>
      <w:r>
        <w:rPr/>
        <w:t>analysis</w:t>
      </w:r>
      <w:r>
        <w:rPr>
          <w:spacing w:val="-20"/>
        </w:rPr>
        <w:t> </w:t>
      </w:r>
      <w:r>
        <w:rPr/>
        <w:t>of</w:t>
      </w:r>
      <w:r>
        <w:rPr>
          <w:spacing w:val="-19"/>
        </w:rPr>
        <w:t> </w:t>
      </w:r>
      <w:r>
        <w:rPr/>
        <w:t>WACC</w:t>
      </w:r>
      <w:r>
        <w:rPr>
          <w:spacing w:val="-20"/>
        </w:rPr>
        <w:t> </w:t>
      </w:r>
      <w:r>
        <w:rPr/>
        <w:t>rate</w:t>
      </w:r>
      <w:r>
        <w:rPr>
          <w:spacing w:val="-20"/>
        </w:rPr>
        <w:t> </w:t>
      </w:r>
      <w:r>
        <w:rPr/>
        <w:t>adopted</w:t>
      </w:r>
      <w:r>
        <w:rPr>
          <w:spacing w:val="-16"/>
        </w:rPr>
        <w:t> </w:t>
      </w:r>
      <w:r>
        <w:rPr/>
        <w:t>for the</w:t>
      </w:r>
      <w:r>
        <w:rPr>
          <w:spacing w:val="-8"/>
        </w:rPr>
        <w:t> </w:t>
      </w:r>
      <w:r>
        <w:rPr/>
        <w:t>subject</w:t>
      </w:r>
      <w:r>
        <w:rPr>
          <w:spacing w:val="-7"/>
        </w:rPr>
        <w:t> </w:t>
      </w:r>
      <w:r>
        <w:rPr/>
        <w:t>property</w:t>
      </w:r>
      <w:r>
        <w:rPr>
          <w:spacing w:val="-6"/>
        </w:rPr>
        <w:t> </w:t>
      </w:r>
      <w:r>
        <w:rPr/>
        <w:t>has</w:t>
      </w:r>
      <w:r>
        <w:rPr>
          <w:spacing w:val="-8"/>
        </w:rPr>
        <w:t> </w:t>
      </w:r>
      <w:r>
        <w:rPr/>
        <w:t>been</w:t>
      </w:r>
      <w:r>
        <w:rPr>
          <w:spacing w:val="-9"/>
        </w:rPr>
        <w:t> </w:t>
      </w:r>
      <w:r>
        <w:rPr/>
        <w:t>detailed</w:t>
      </w:r>
      <w:r>
        <w:rPr>
          <w:spacing w:val="-6"/>
        </w:rPr>
        <w:t> </w:t>
      </w:r>
      <w:r>
        <w:rPr/>
        <w:t>in</w:t>
      </w:r>
      <w:r>
        <w:rPr>
          <w:spacing w:val="-9"/>
        </w:rPr>
        <w:t> </w:t>
      </w:r>
      <w:r>
        <w:rPr/>
        <w:t>Section</w:t>
      </w:r>
      <w:r>
        <w:rPr>
          <w:spacing w:val="-8"/>
        </w:rPr>
        <w:t> </w:t>
      </w:r>
      <w:r>
        <w:rPr/>
        <w:t>3.4</w:t>
      </w:r>
      <w:r>
        <w:rPr>
          <w:spacing w:val="-8"/>
        </w:rPr>
        <w:t> </w:t>
      </w:r>
      <w:r>
        <w:rPr/>
        <w:t>of</w:t>
      </w:r>
      <w:r>
        <w:rPr>
          <w:spacing w:val="-7"/>
        </w:rPr>
        <w:t> </w:t>
      </w:r>
      <w:r>
        <w:rPr/>
        <w:t>this</w:t>
      </w:r>
      <w:r>
        <w:rPr>
          <w:spacing w:val="-6"/>
        </w:rPr>
        <w:t> </w:t>
      </w:r>
      <w:r>
        <w:rPr/>
        <w:t>report.</w:t>
      </w:r>
    </w:p>
    <w:p>
      <w:pPr>
        <w:pStyle w:val="BodyText"/>
        <w:spacing w:before="8"/>
        <w:rPr>
          <w:sz w:val="20"/>
        </w:rPr>
      </w:pPr>
    </w:p>
    <w:p>
      <w:pPr>
        <w:pStyle w:val="ListParagraph"/>
        <w:numPr>
          <w:ilvl w:val="1"/>
          <w:numId w:val="14"/>
        </w:numPr>
        <w:tabs>
          <w:tab w:pos="1257" w:val="left" w:leader="none"/>
        </w:tabs>
        <w:spacing w:line="240" w:lineRule="auto" w:before="0" w:after="0"/>
        <w:ind w:left="1256" w:right="0" w:hanging="577"/>
        <w:jc w:val="left"/>
        <w:rPr>
          <w:color w:val="1F6647"/>
          <w:sz w:val="22"/>
        </w:rPr>
      </w:pPr>
      <w:bookmarkStart w:name="_bookmark348" w:id="679"/>
      <w:bookmarkEnd w:id="679"/>
      <w:r>
        <w:rPr/>
      </w:r>
      <w:bookmarkStart w:name="_bookmark348" w:id="680"/>
      <w:bookmarkEnd w:id="680"/>
      <w:r>
        <w:rPr>
          <w:color w:val="1F6647"/>
          <w:sz w:val="22"/>
        </w:rPr>
        <w:t>V</w:t>
      </w:r>
      <w:r>
        <w:rPr>
          <w:color w:val="1F6647"/>
          <w:sz w:val="22"/>
        </w:rPr>
        <w:t>alue of the Subject</w:t>
      </w:r>
      <w:r>
        <w:rPr>
          <w:color w:val="1F6647"/>
          <w:spacing w:val="-9"/>
          <w:sz w:val="22"/>
        </w:rPr>
        <w:t> </w:t>
      </w:r>
      <w:r>
        <w:rPr>
          <w:color w:val="1F6647"/>
          <w:sz w:val="22"/>
        </w:rPr>
        <w:t>Property</w:t>
      </w:r>
    </w:p>
    <w:p>
      <w:pPr>
        <w:pStyle w:val="BodyText"/>
        <w:spacing w:before="209"/>
        <w:ind w:left="1227"/>
        <w:jc w:val="both"/>
      </w:pPr>
      <w:r>
        <w:rPr/>
        <w:t>Based on the above mentioned analysis, the value of the subject property is estimated as follows:</w:t>
      </w:r>
    </w:p>
    <w:p>
      <w:pPr>
        <w:pStyle w:val="BodyText"/>
        <w:spacing w:before="9"/>
        <w:rPr>
          <w:sz w:val="27"/>
        </w:rPr>
      </w:pPr>
    </w:p>
    <w:p>
      <w:pPr>
        <w:pStyle w:val="BodyText"/>
        <w:ind w:left="680"/>
        <w:rPr>
          <w:sz w:val="20"/>
        </w:rPr>
      </w:pPr>
      <w:r>
        <w:rPr>
          <w:sz w:val="20"/>
        </w:rPr>
        <w:pict>
          <v:group style="width:523.6pt;height:19.6pt;mso-position-horizontal-relative:char;mso-position-vertical-relative:line" coordorigin="0,0" coordsize="10472,392">
            <v:shape style="position:absolute;left:0;top:28;width:10472;height:348" coordorigin="0,29" coordsize="10472,348" path="m10471,29l6981,29,3491,29,0,29,0,377,3491,377,6981,377,10471,377,10471,29xe" filled="true" fillcolor="#006a4d" stroked="false">
              <v:path arrowok="t"/>
              <v:fill type="solid"/>
            </v:shape>
            <v:rect style="position:absolute;left:0;top:0;width:3491;height:29" filled="true" fillcolor="#1f6b16" stroked="false">
              <v:fill type="solid"/>
            </v:rect>
            <v:shape style="position:absolute;left:0;top:28;width:3520;height:3" coordorigin="0,29" coordsize="3520,3" path="m3519,29l3491,29,0,29,0,31,3491,31,3519,31,3519,29xe" filled="true" fillcolor="#006a4d" stroked="false">
              <v:path arrowok="t"/>
              <v:fill type="solid"/>
            </v:shape>
            <v:shape style="position:absolute;left:3490;top:0;width:3491;height:29" coordorigin="3491,0" coordsize="3491,29" path="m6981,0l3519,0,3491,0,3491,29,3519,29,6981,29,6981,0xe" filled="true" fillcolor="#1f6b16" stroked="false">
              <v:path arrowok="t"/>
              <v:fill type="solid"/>
            </v:shape>
            <v:shape style="position:absolute;left:3519;top:28;width:3491;height:3" coordorigin="3519,29" coordsize="3491,3" path="m7010,29l6981,29,3519,29,3519,31,6981,31,7010,31,7010,29xe" filled="true" fillcolor="#006a4d" stroked="false">
              <v:path arrowok="t"/>
              <v:fill type="solid"/>
            </v:shape>
            <v:shape style="position:absolute;left:6981;top:0;width:3490;height:29" coordorigin="6981,0" coordsize="3490,29" path="m10471,0l7010,0,6981,0,6981,29,7010,29,10471,29,10471,0xe" filled="true" fillcolor="#1f6b16" stroked="false">
              <v:path arrowok="t"/>
              <v:fill type="solid"/>
            </v:shape>
            <v:rect style="position:absolute;left:7010;top:28;width:3462;height:3" filled="true" fillcolor="#006a4d" stroked="false">
              <v:fill type="solid"/>
            </v:rect>
            <v:rect style="position:absolute;left:0;top:376;width:10472;height:15" filled="true" fillcolor="#69bd28" stroked="false">
              <v:fill type="solid"/>
            </v:rect>
            <v:shape style="position:absolute;left:0;top:28;width:10472;height:348" type="#_x0000_t202" filled="false" stroked="false">
              <v:textbox inset="0,0,0,0">
                <w:txbxContent>
                  <w:p>
                    <w:pPr>
                      <w:tabs>
                        <w:tab w:pos="3348" w:val="left" w:leader="none"/>
                        <w:tab w:pos="7146" w:val="left" w:leader="none"/>
                      </w:tabs>
                      <w:spacing w:before="57"/>
                      <w:ind w:left="0" w:right="162" w:firstLine="0"/>
                      <w:jc w:val="center"/>
                      <w:rPr>
                        <w:sz w:val="20"/>
                      </w:rPr>
                    </w:pPr>
                    <w:r>
                      <w:rPr>
                        <w:color w:val="FFFFFF"/>
                        <w:w w:val="105"/>
                        <w:sz w:val="20"/>
                      </w:rPr>
                      <w:t>Component</w:t>
                      <w:tab/>
                      <w:t>Value</w:t>
                    </w:r>
                    <w:r>
                      <w:rPr>
                        <w:color w:val="FFFFFF"/>
                        <w:spacing w:val="-20"/>
                        <w:w w:val="105"/>
                        <w:sz w:val="20"/>
                      </w:rPr>
                      <w:t> </w:t>
                    </w:r>
                    <w:r>
                      <w:rPr>
                        <w:color w:val="FFFFFF"/>
                        <w:w w:val="105"/>
                        <w:sz w:val="20"/>
                      </w:rPr>
                      <w:t>(INR</w:t>
                    </w:r>
                    <w:r>
                      <w:rPr>
                        <w:color w:val="FFFFFF"/>
                        <w:spacing w:val="-21"/>
                        <w:w w:val="105"/>
                        <w:sz w:val="20"/>
                      </w:rPr>
                      <w:t> </w:t>
                    </w:r>
                    <w:r>
                      <w:rPr>
                        <w:color w:val="FFFFFF"/>
                        <w:w w:val="105"/>
                        <w:sz w:val="20"/>
                      </w:rPr>
                      <w:t>Mn)</w:t>
                      <w:tab/>
                      <w:t>%</w:t>
                    </w:r>
                    <w:r>
                      <w:rPr>
                        <w:color w:val="FFFFFF"/>
                        <w:spacing w:val="-6"/>
                        <w:w w:val="105"/>
                        <w:sz w:val="20"/>
                      </w:rPr>
                      <w:t> </w:t>
                    </w:r>
                    <w:r>
                      <w:rPr>
                        <w:color w:val="FFFFFF"/>
                        <w:w w:val="105"/>
                        <w:sz w:val="20"/>
                      </w:rPr>
                      <w:t>Share</w:t>
                    </w:r>
                  </w:p>
                </w:txbxContent>
              </v:textbox>
              <w10:wrap type="none"/>
            </v:shape>
          </v:group>
        </w:pict>
      </w:r>
      <w:r>
        <w:rPr>
          <w:sz w:val="20"/>
        </w:rPr>
      </w:r>
    </w:p>
    <w:p>
      <w:pPr>
        <w:spacing w:after="0"/>
        <w:rPr>
          <w:sz w:val="20"/>
        </w:rPr>
        <w:sectPr>
          <w:pgSz w:w="11910" w:h="16840"/>
          <w:pgMar w:header="720" w:footer="862" w:top="1660" w:bottom="1060" w:left="40" w:right="40"/>
        </w:sectPr>
      </w:pPr>
    </w:p>
    <w:p>
      <w:pPr>
        <w:tabs>
          <w:tab w:pos="5675" w:val="left" w:leader="none"/>
        </w:tabs>
        <w:spacing w:line="434" w:lineRule="auto" w:before="39"/>
        <w:ind w:left="1590" w:right="38" w:hanging="370"/>
        <w:jc w:val="left"/>
        <w:rPr>
          <w:sz w:val="18"/>
        </w:rPr>
      </w:pPr>
      <w:r>
        <w:rPr/>
        <w:pict>
          <v:shape style="position:absolute;margin-left:36pt;margin-top:16.280678pt;width:349.1pt;height:.75pt;mso-position-horizontal-relative:page;mso-position-vertical-relative:paragraph;z-index:-34145280" coordorigin="720,326" coordsize="6982,15" path="m7701,326l4225,326,4211,326,720,326,720,340,4211,340,4225,340,7701,340,7701,326xe" filled="true" fillcolor="#69bd28" stroked="false">
            <v:path arrowok="t"/>
            <v:fill type="solid"/>
            <w10:wrap type="none"/>
          </v:shape>
        </w:pict>
      </w:r>
      <w:r>
        <w:rPr/>
        <w:pict>
          <v:shape style="position:absolute;margin-left:35.279999pt;margin-top:35.120716pt;width:524.3pt;height:19.8pt;mso-position-horizontal-relative:page;mso-position-vertical-relative:paragraph;z-index:-34144768" type="#_x0000_t202" filled="true" fillcolor="#69bd28" stroked="false">
            <v:textbox inset="0,0,0,0">
              <w:txbxContent>
                <w:p>
                  <w:pPr>
                    <w:tabs>
                      <w:tab w:pos="6380" w:val="left" w:leader="none"/>
                    </w:tabs>
                    <w:spacing w:before="95"/>
                    <w:ind w:left="1219" w:right="0" w:firstLine="0"/>
                    <w:jc w:val="left"/>
                    <w:rPr>
                      <w:sz w:val="18"/>
                    </w:rPr>
                  </w:pPr>
                  <w:r>
                    <w:rPr>
                      <w:color w:val="FFFFFF"/>
                      <w:w w:val="105"/>
                      <w:sz w:val="18"/>
                    </w:rPr>
                    <w:t>Embassy</w:t>
                  </w:r>
                  <w:r>
                    <w:rPr>
                      <w:color w:val="FFFFFF"/>
                      <w:spacing w:val="-11"/>
                      <w:w w:val="105"/>
                      <w:sz w:val="18"/>
                    </w:rPr>
                    <w:t> </w:t>
                  </w:r>
                  <w:r>
                    <w:rPr>
                      <w:color w:val="FFFFFF"/>
                      <w:w w:val="105"/>
                      <w:sz w:val="18"/>
                    </w:rPr>
                    <w:t>One</w:t>
                    <w:tab/>
                    <w:t>INR 12,570</w:t>
                  </w:r>
                  <w:r>
                    <w:rPr>
                      <w:color w:val="FFFFFF"/>
                      <w:spacing w:val="-7"/>
                      <w:w w:val="105"/>
                      <w:sz w:val="18"/>
                    </w:rPr>
                    <w:t> </w:t>
                  </w:r>
                  <w:r>
                    <w:rPr>
                      <w:color w:val="FFFFFF"/>
                      <w:w w:val="105"/>
                      <w:sz w:val="18"/>
                    </w:rPr>
                    <w:t>Mn</w:t>
                  </w:r>
                </w:p>
              </w:txbxContent>
            </v:textbox>
            <v:fill type="solid"/>
            <w10:wrap type="none"/>
          </v:shape>
        </w:pict>
      </w:r>
      <w:r>
        <w:rPr>
          <w:sz w:val="18"/>
        </w:rPr>
        <w:t>Embassy One </w:t>
      </w:r>
      <w:r>
        <w:rPr>
          <w:w w:val="105"/>
          <w:sz w:val="18"/>
        </w:rPr>
        <w:t>– </w:t>
      </w:r>
      <w:r>
        <w:rPr>
          <w:sz w:val="18"/>
        </w:rPr>
        <w:t>Office</w:t>
      </w:r>
      <w:r>
        <w:rPr>
          <w:spacing w:val="-21"/>
          <w:sz w:val="18"/>
        </w:rPr>
        <w:t> </w:t>
      </w:r>
      <w:r>
        <w:rPr>
          <w:sz w:val="18"/>
        </w:rPr>
        <w:t>&amp;</w:t>
      </w:r>
      <w:r>
        <w:rPr>
          <w:spacing w:val="-6"/>
          <w:sz w:val="18"/>
        </w:rPr>
        <w:t> </w:t>
      </w:r>
      <w:r>
        <w:rPr>
          <w:sz w:val="18"/>
        </w:rPr>
        <w:t>Retail</w:t>
        <w:tab/>
      </w:r>
      <w:r>
        <w:rPr>
          <w:spacing w:val="-4"/>
          <w:sz w:val="18"/>
        </w:rPr>
        <w:t>4,897 </w:t>
      </w:r>
      <w:r>
        <w:rPr>
          <w:sz w:val="18"/>
        </w:rPr>
        <w:t>Embassy One - Hotel</w:t>
        <w:tab/>
      </w:r>
      <w:r>
        <w:rPr>
          <w:spacing w:val="-4"/>
          <w:sz w:val="18"/>
        </w:rPr>
        <w:t>7,673</w:t>
      </w:r>
    </w:p>
    <w:p>
      <w:pPr>
        <w:pStyle w:val="BodyText"/>
        <w:spacing w:before="8"/>
        <w:rPr>
          <w:sz w:val="19"/>
        </w:rPr>
      </w:pPr>
      <w:r>
        <w:rPr/>
        <w:br w:type="column"/>
      </w:r>
      <w:r>
        <w:rPr>
          <w:sz w:val="19"/>
        </w:rPr>
      </w:r>
    </w:p>
    <w:p>
      <w:pPr>
        <w:spacing w:before="0"/>
        <w:ind w:left="1220" w:right="0" w:firstLine="0"/>
        <w:jc w:val="left"/>
        <w:rPr>
          <w:sz w:val="18"/>
        </w:rPr>
      </w:pPr>
      <w:r>
        <w:rPr>
          <w:w w:val="115"/>
          <w:sz w:val="18"/>
        </w:rPr>
        <w:t>100%</w:t>
      </w:r>
    </w:p>
    <w:p>
      <w:pPr>
        <w:spacing w:after="0"/>
        <w:jc w:val="left"/>
        <w:rPr>
          <w:sz w:val="18"/>
        </w:rPr>
        <w:sectPr>
          <w:type w:val="continuous"/>
          <w:pgSz w:w="11910" w:h="16840"/>
          <w:pgMar w:top="800" w:bottom="280" w:left="40" w:right="40"/>
          <w:cols w:num="2" w:equalWidth="0">
            <w:col w:w="6192" w:space="1768"/>
            <w:col w:w="3870"/>
          </w:cols>
        </w:sectPr>
      </w:pPr>
    </w:p>
    <w:p>
      <w:pPr>
        <w:pStyle w:val="BodyText"/>
        <w:spacing w:before="7"/>
        <w:rPr>
          <w:sz w:val="9"/>
        </w:rPr>
      </w:pPr>
    </w:p>
    <w:p>
      <w:pPr>
        <w:pStyle w:val="Heading5"/>
        <w:numPr>
          <w:ilvl w:val="0"/>
          <w:numId w:val="14"/>
        </w:numPr>
        <w:tabs>
          <w:tab w:pos="1113" w:val="left" w:leader="none"/>
        </w:tabs>
        <w:spacing w:line="240" w:lineRule="auto" w:before="106" w:after="0"/>
        <w:ind w:left="1112" w:right="0" w:hanging="433"/>
        <w:jc w:val="left"/>
        <w:rPr>
          <w:rFonts w:ascii="Arial"/>
        </w:rPr>
      </w:pPr>
      <w:bookmarkStart w:name="_bookmark349" w:id="681"/>
      <w:bookmarkEnd w:id="681"/>
      <w:r>
        <w:rPr>
          <w:b w:val="0"/>
        </w:rPr>
      </w:r>
      <w:bookmarkStart w:name="_bookmark349" w:id="682"/>
      <w:bookmarkEnd w:id="682"/>
      <w:r>
        <w:rPr>
          <w:rFonts w:ascii="Arial"/>
          <w:color w:val="1F664D"/>
        </w:rPr>
        <w:t>H</w:t>
      </w:r>
      <w:r>
        <w:rPr>
          <w:rFonts w:ascii="Arial"/>
          <w:color w:val="1F664D"/>
        </w:rPr>
        <w:t>ilton at</w:t>
      </w:r>
      <w:r>
        <w:rPr>
          <w:rFonts w:ascii="Arial"/>
          <w:color w:val="1F664D"/>
          <w:spacing w:val="9"/>
        </w:rPr>
        <w:t> </w:t>
      </w:r>
      <w:r>
        <w:rPr>
          <w:rFonts w:ascii="Arial"/>
          <w:color w:val="1F664D"/>
        </w:rPr>
        <w:t>GolfLinks</w:t>
      </w:r>
    </w:p>
    <w:p>
      <w:pPr>
        <w:pStyle w:val="BodyText"/>
        <w:spacing w:before="8"/>
        <w:rPr>
          <w:rFonts w:ascii="Arial"/>
          <w:b/>
          <w:sz w:val="28"/>
        </w:rPr>
      </w:pPr>
    </w:p>
    <w:p>
      <w:pPr>
        <w:pStyle w:val="ListParagraph"/>
        <w:numPr>
          <w:ilvl w:val="1"/>
          <w:numId w:val="14"/>
        </w:numPr>
        <w:tabs>
          <w:tab w:pos="1257" w:val="left" w:leader="none"/>
        </w:tabs>
        <w:spacing w:line="240" w:lineRule="auto" w:before="1" w:after="0"/>
        <w:ind w:left="1256" w:right="0" w:hanging="577"/>
        <w:jc w:val="left"/>
        <w:rPr>
          <w:color w:val="1F6647"/>
          <w:sz w:val="22"/>
        </w:rPr>
      </w:pPr>
      <w:bookmarkStart w:name="_bookmark350" w:id="683"/>
      <w:bookmarkEnd w:id="683"/>
      <w:r>
        <w:rPr/>
      </w:r>
      <w:bookmarkStart w:name="_bookmark350" w:id="684"/>
      <w:bookmarkEnd w:id="684"/>
      <w:r>
        <w:rPr>
          <w:color w:val="1F6647"/>
          <w:sz w:val="22"/>
        </w:rPr>
        <w:t>Pro</w:t>
      </w:r>
      <w:r>
        <w:rPr>
          <w:color w:val="1F6647"/>
          <w:sz w:val="22"/>
        </w:rPr>
        <w:t>perty</w:t>
      </w:r>
      <w:r>
        <w:rPr>
          <w:color w:val="1F6647"/>
          <w:spacing w:val="-1"/>
          <w:sz w:val="22"/>
        </w:rPr>
        <w:t> </w:t>
      </w:r>
      <w:r>
        <w:rPr>
          <w:color w:val="1F6647"/>
          <w:sz w:val="22"/>
        </w:rPr>
        <w:t>Description</w:t>
      </w:r>
    </w:p>
    <w:p>
      <w:pPr>
        <w:pStyle w:val="BodyText"/>
        <w:spacing w:before="5"/>
        <w:rPr>
          <w:sz w:val="17"/>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0"/>
        <w:gridCol w:w="7456"/>
      </w:tblGrid>
      <w:tr>
        <w:trPr>
          <w:trHeight w:val="251" w:hRule="atLeast"/>
        </w:trPr>
        <w:tc>
          <w:tcPr>
            <w:tcW w:w="10486" w:type="dxa"/>
            <w:gridSpan w:val="2"/>
            <w:tcBorders>
              <w:top w:val="single" w:sz="12" w:space="0" w:color="1F6B16"/>
              <w:bottom w:val="single" w:sz="6" w:space="0" w:color="69BD28"/>
            </w:tcBorders>
            <w:shd w:val="clear" w:color="auto" w:fill="006A4D"/>
          </w:tcPr>
          <w:p>
            <w:pPr>
              <w:pStyle w:val="TableParagraph"/>
              <w:spacing w:line="209" w:lineRule="exact" w:before="22"/>
              <w:ind w:left="142" w:right="130"/>
              <w:rPr>
                <w:b/>
                <w:sz w:val="18"/>
              </w:rPr>
            </w:pPr>
            <w:r>
              <w:rPr>
                <w:b/>
                <w:color w:val="FFFFFF"/>
                <w:w w:val="105"/>
                <w:sz w:val="18"/>
              </w:rPr>
              <w:t>Brief Description</w:t>
            </w:r>
          </w:p>
        </w:tc>
      </w:tr>
      <w:tr>
        <w:trPr>
          <w:trHeight w:val="253" w:hRule="atLeast"/>
        </w:trPr>
        <w:tc>
          <w:tcPr>
            <w:tcW w:w="3030" w:type="dxa"/>
            <w:tcBorders>
              <w:top w:val="single" w:sz="6" w:space="0" w:color="69BD28"/>
              <w:bottom w:val="single" w:sz="6" w:space="0" w:color="69BD28"/>
            </w:tcBorders>
            <w:shd w:val="clear" w:color="auto" w:fill="006A4D"/>
          </w:tcPr>
          <w:p>
            <w:pPr>
              <w:pStyle w:val="TableParagraph"/>
              <w:spacing w:line="223" w:lineRule="exact" w:before="11"/>
              <w:ind w:left="798" w:right="799"/>
              <w:rPr>
                <w:sz w:val="20"/>
              </w:rPr>
            </w:pPr>
            <w:r>
              <w:rPr>
                <w:color w:val="FFFFFF"/>
                <w:sz w:val="20"/>
              </w:rPr>
              <w:t>Particulars</w:t>
            </w:r>
          </w:p>
        </w:tc>
        <w:tc>
          <w:tcPr>
            <w:tcW w:w="7456" w:type="dxa"/>
            <w:tcBorders>
              <w:top w:val="single" w:sz="6" w:space="0" w:color="69BD28"/>
              <w:bottom w:val="single" w:sz="6" w:space="0" w:color="69BD28"/>
            </w:tcBorders>
            <w:shd w:val="clear" w:color="auto" w:fill="006A4D"/>
          </w:tcPr>
          <w:p>
            <w:pPr>
              <w:pStyle w:val="TableParagraph"/>
              <w:spacing w:before="22"/>
              <w:ind w:left="1218" w:right="1231"/>
              <w:rPr>
                <w:b/>
                <w:sz w:val="18"/>
              </w:rPr>
            </w:pPr>
            <w:r>
              <w:rPr>
                <w:b/>
                <w:color w:val="FFFFFF"/>
                <w:w w:val="110"/>
                <w:sz w:val="18"/>
              </w:rPr>
              <w:t>Details</w:t>
            </w:r>
          </w:p>
        </w:tc>
      </w:tr>
      <w:tr>
        <w:trPr>
          <w:trHeight w:val="637" w:hRule="atLeast"/>
        </w:trPr>
        <w:tc>
          <w:tcPr>
            <w:tcW w:w="3030" w:type="dxa"/>
            <w:shd w:val="clear" w:color="auto" w:fill="69BD28"/>
          </w:tcPr>
          <w:p>
            <w:pPr>
              <w:pStyle w:val="TableParagraph"/>
              <w:spacing w:before="5"/>
              <w:jc w:val="left"/>
              <w:rPr>
                <w:sz w:val="18"/>
              </w:rPr>
            </w:pPr>
          </w:p>
          <w:p>
            <w:pPr>
              <w:pStyle w:val="TableParagraph"/>
              <w:ind w:left="798" w:right="799"/>
              <w:rPr>
                <w:b/>
                <w:sz w:val="18"/>
              </w:rPr>
            </w:pPr>
            <w:r>
              <w:rPr>
                <w:b/>
                <w:color w:val="FFFFFF"/>
                <w:w w:val="110"/>
                <w:sz w:val="18"/>
              </w:rPr>
              <w:t>Property Name</w:t>
            </w:r>
          </w:p>
        </w:tc>
        <w:tc>
          <w:tcPr>
            <w:tcW w:w="7456" w:type="dxa"/>
            <w:tcBorders>
              <w:top w:val="single" w:sz="6" w:space="0" w:color="69BD28"/>
              <w:bottom w:val="single" w:sz="6" w:space="0" w:color="69BD28"/>
            </w:tcBorders>
          </w:tcPr>
          <w:p>
            <w:pPr>
              <w:pStyle w:val="TableParagraph"/>
              <w:spacing w:before="5"/>
              <w:jc w:val="left"/>
              <w:rPr>
                <w:sz w:val="18"/>
              </w:rPr>
            </w:pPr>
          </w:p>
          <w:p>
            <w:pPr>
              <w:pStyle w:val="TableParagraph"/>
              <w:ind w:left="1218" w:right="1233"/>
              <w:rPr>
                <w:sz w:val="18"/>
              </w:rPr>
            </w:pPr>
            <w:r>
              <w:rPr>
                <w:sz w:val="18"/>
              </w:rPr>
              <w:t>Hilton at GolfLinks</w:t>
            </w:r>
          </w:p>
        </w:tc>
      </w:tr>
      <w:tr>
        <w:trPr>
          <w:trHeight w:val="563" w:hRule="atLeast"/>
        </w:trPr>
        <w:tc>
          <w:tcPr>
            <w:tcW w:w="3030" w:type="dxa"/>
            <w:shd w:val="clear" w:color="auto" w:fill="69BD28"/>
          </w:tcPr>
          <w:p>
            <w:pPr>
              <w:pStyle w:val="TableParagraph"/>
              <w:spacing w:before="178"/>
              <w:ind w:left="798" w:right="798"/>
              <w:rPr>
                <w:b/>
                <w:sz w:val="18"/>
              </w:rPr>
            </w:pPr>
            <w:r>
              <w:rPr>
                <w:b/>
                <w:color w:val="FFFFFF"/>
                <w:w w:val="110"/>
                <w:sz w:val="18"/>
              </w:rPr>
              <w:t>Address</w:t>
            </w:r>
          </w:p>
        </w:tc>
        <w:tc>
          <w:tcPr>
            <w:tcW w:w="7456" w:type="dxa"/>
            <w:tcBorders>
              <w:top w:val="single" w:sz="6" w:space="0" w:color="69BD28"/>
              <w:bottom w:val="single" w:sz="6" w:space="0" w:color="69BD28"/>
            </w:tcBorders>
          </w:tcPr>
          <w:p>
            <w:pPr>
              <w:pStyle w:val="TableParagraph"/>
              <w:spacing w:line="247" w:lineRule="auto" w:before="70"/>
              <w:ind w:left="2858" w:right="1441" w:hanging="1429"/>
              <w:jc w:val="left"/>
              <w:rPr>
                <w:sz w:val="18"/>
              </w:rPr>
            </w:pPr>
            <w:r>
              <w:rPr>
                <w:sz w:val="18"/>
              </w:rPr>
              <w:t>Challaghatta</w:t>
            </w:r>
            <w:r>
              <w:rPr>
                <w:spacing w:val="-22"/>
                <w:sz w:val="18"/>
              </w:rPr>
              <w:t> </w:t>
            </w:r>
            <w:r>
              <w:rPr>
                <w:sz w:val="18"/>
              </w:rPr>
              <w:t>Village,</w:t>
            </w:r>
            <w:r>
              <w:rPr>
                <w:spacing w:val="-23"/>
                <w:sz w:val="18"/>
              </w:rPr>
              <w:t> </w:t>
            </w:r>
            <w:r>
              <w:rPr>
                <w:sz w:val="18"/>
              </w:rPr>
              <w:t>Varthur</w:t>
            </w:r>
            <w:r>
              <w:rPr>
                <w:spacing w:val="-23"/>
                <w:sz w:val="18"/>
              </w:rPr>
              <w:t> </w:t>
            </w:r>
            <w:r>
              <w:rPr>
                <w:sz w:val="18"/>
              </w:rPr>
              <w:t>Hobli,</w:t>
            </w:r>
            <w:r>
              <w:rPr>
                <w:spacing w:val="-21"/>
                <w:sz w:val="18"/>
              </w:rPr>
              <w:t> </w:t>
            </w:r>
            <w:r>
              <w:rPr>
                <w:sz w:val="18"/>
              </w:rPr>
              <w:t>Bengaluru</w:t>
            </w:r>
            <w:r>
              <w:rPr>
                <w:spacing w:val="-22"/>
                <w:sz w:val="18"/>
              </w:rPr>
              <w:t> </w:t>
            </w:r>
            <w:r>
              <w:rPr>
                <w:sz w:val="18"/>
              </w:rPr>
              <w:t>East</w:t>
            </w:r>
            <w:r>
              <w:rPr>
                <w:spacing w:val="-22"/>
                <w:sz w:val="18"/>
              </w:rPr>
              <w:t> </w:t>
            </w:r>
            <w:r>
              <w:rPr>
                <w:sz w:val="18"/>
              </w:rPr>
              <w:t>Taluk, Bengaluru,</w:t>
            </w:r>
            <w:r>
              <w:rPr>
                <w:spacing w:val="-3"/>
                <w:sz w:val="18"/>
              </w:rPr>
              <w:t> </w:t>
            </w:r>
            <w:r>
              <w:rPr>
                <w:sz w:val="18"/>
              </w:rPr>
              <w:t>Karnataka</w:t>
            </w:r>
          </w:p>
        </w:tc>
      </w:tr>
      <w:tr>
        <w:trPr>
          <w:trHeight w:val="520" w:hRule="atLeast"/>
        </w:trPr>
        <w:tc>
          <w:tcPr>
            <w:tcW w:w="3030" w:type="dxa"/>
            <w:shd w:val="clear" w:color="auto" w:fill="69BD28"/>
          </w:tcPr>
          <w:p>
            <w:pPr>
              <w:pStyle w:val="TableParagraph"/>
              <w:spacing w:before="157"/>
              <w:ind w:left="798" w:right="798"/>
              <w:rPr>
                <w:b/>
                <w:sz w:val="18"/>
              </w:rPr>
            </w:pPr>
            <w:r>
              <w:rPr>
                <w:b/>
                <w:color w:val="FFFFFF"/>
                <w:w w:val="110"/>
                <w:sz w:val="18"/>
              </w:rPr>
              <w:t>Land Area</w:t>
            </w:r>
          </w:p>
        </w:tc>
        <w:tc>
          <w:tcPr>
            <w:tcW w:w="7456" w:type="dxa"/>
            <w:tcBorders>
              <w:top w:val="single" w:sz="6" w:space="0" w:color="69BD28"/>
              <w:bottom w:val="single" w:sz="6" w:space="0" w:color="69BD28"/>
            </w:tcBorders>
          </w:tcPr>
          <w:p>
            <w:pPr>
              <w:pStyle w:val="TableParagraph"/>
              <w:spacing w:line="249" w:lineRule="auto" w:before="49"/>
              <w:ind w:left="976" w:right="994" w:firstLine="69"/>
              <w:jc w:val="left"/>
              <w:rPr>
                <w:sz w:val="18"/>
              </w:rPr>
            </w:pPr>
            <w:r>
              <w:rPr>
                <w:sz w:val="18"/>
              </w:rPr>
              <w:t>Based</w:t>
            </w:r>
            <w:r>
              <w:rPr>
                <w:spacing w:val="-25"/>
                <w:sz w:val="18"/>
              </w:rPr>
              <w:t> </w:t>
            </w:r>
            <w:r>
              <w:rPr>
                <w:sz w:val="18"/>
              </w:rPr>
              <w:t>on</w:t>
            </w:r>
            <w:r>
              <w:rPr>
                <w:spacing w:val="-23"/>
                <w:sz w:val="18"/>
              </w:rPr>
              <w:t> </w:t>
            </w:r>
            <w:r>
              <w:rPr>
                <w:sz w:val="18"/>
              </w:rPr>
              <w:t>review</w:t>
            </w:r>
            <w:r>
              <w:rPr>
                <w:spacing w:val="-25"/>
                <w:sz w:val="18"/>
              </w:rPr>
              <w:t> </w:t>
            </w:r>
            <w:r>
              <w:rPr>
                <w:sz w:val="18"/>
              </w:rPr>
              <w:t>of</w:t>
            </w:r>
            <w:r>
              <w:rPr>
                <w:spacing w:val="-23"/>
                <w:sz w:val="18"/>
              </w:rPr>
              <w:t> </w:t>
            </w:r>
            <w:r>
              <w:rPr>
                <w:sz w:val="18"/>
              </w:rPr>
              <w:t>the</w:t>
            </w:r>
            <w:r>
              <w:rPr>
                <w:spacing w:val="-24"/>
                <w:sz w:val="18"/>
              </w:rPr>
              <w:t> </w:t>
            </w:r>
            <w:r>
              <w:rPr>
                <w:sz w:val="18"/>
              </w:rPr>
              <w:t>title</w:t>
            </w:r>
            <w:r>
              <w:rPr>
                <w:spacing w:val="-23"/>
                <w:sz w:val="18"/>
              </w:rPr>
              <w:t> </w:t>
            </w:r>
            <w:r>
              <w:rPr>
                <w:sz w:val="18"/>
              </w:rPr>
              <w:t>report,</w:t>
            </w:r>
            <w:r>
              <w:rPr>
                <w:spacing w:val="-24"/>
                <w:sz w:val="18"/>
              </w:rPr>
              <w:t> </w:t>
            </w:r>
            <w:r>
              <w:rPr>
                <w:sz w:val="18"/>
              </w:rPr>
              <w:t>we</w:t>
            </w:r>
            <w:r>
              <w:rPr>
                <w:spacing w:val="-23"/>
                <w:sz w:val="18"/>
              </w:rPr>
              <w:t> </w:t>
            </w:r>
            <w:r>
              <w:rPr>
                <w:sz w:val="18"/>
              </w:rPr>
              <w:t>understand</w:t>
            </w:r>
            <w:r>
              <w:rPr>
                <w:spacing w:val="-25"/>
                <w:sz w:val="18"/>
              </w:rPr>
              <w:t> </w:t>
            </w:r>
            <w:r>
              <w:rPr>
                <w:sz w:val="18"/>
              </w:rPr>
              <w:t>that</w:t>
            </w:r>
            <w:r>
              <w:rPr>
                <w:spacing w:val="-25"/>
                <w:sz w:val="18"/>
              </w:rPr>
              <w:t> </w:t>
            </w:r>
            <w:r>
              <w:rPr>
                <w:sz w:val="18"/>
              </w:rPr>
              <w:t>the</w:t>
            </w:r>
            <w:r>
              <w:rPr>
                <w:spacing w:val="-23"/>
                <w:sz w:val="18"/>
              </w:rPr>
              <w:t> </w:t>
            </w:r>
            <w:r>
              <w:rPr>
                <w:sz w:val="18"/>
              </w:rPr>
              <w:t>land</w:t>
            </w:r>
            <w:r>
              <w:rPr>
                <w:spacing w:val="-24"/>
                <w:sz w:val="18"/>
              </w:rPr>
              <w:t> </w:t>
            </w:r>
            <w:r>
              <w:rPr>
                <w:sz w:val="18"/>
              </w:rPr>
              <w:t>area of</w:t>
            </w:r>
            <w:r>
              <w:rPr>
                <w:spacing w:val="-23"/>
                <w:sz w:val="18"/>
              </w:rPr>
              <w:t> </w:t>
            </w:r>
            <w:r>
              <w:rPr>
                <w:sz w:val="18"/>
              </w:rPr>
              <w:t>the</w:t>
            </w:r>
            <w:r>
              <w:rPr>
                <w:spacing w:val="-23"/>
                <w:sz w:val="18"/>
              </w:rPr>
              <w:t> </w:t>
            </w:r>
            <w:r>
              <w:rPr>
                <w:sz w:val="18"/>
              </w:rPr>
              <w:t>subject</w:t>
            </w:r>
            <w:r>
              <w:rPr>
                <w:spacing w:val="-25"/>
                <w:sz w:val="18"/>
              </w:rPr>
              <w:t> </w:t>
            </w:r>
            <w:r>
              <w:rPr>
                <w:sz w:val="18"/>
              </w:rPr>
              <w:t>property</w:t>
            </w:r>
            <w:r>
              <w:rPr>
                <w:spacing w:val="-23"/>
                <w:sz w:val="18"/>
              </w:rPr>
              <w:t> </w:t>
            </w:r>
            <w:r>
              <w:rPr>
                <w:sz w:val="18"/>
              </w:rPr>
              <w:t>under</w:t>
            </w:r>
            <w:r>
              <w:rPr>
                <w:spacing w:val="-24"/>
                <w:sz w:val="18"/>
              </w:rPr>
              <w:t> </w:t>
            </w:r>
            <w:r>
              <w:rPr>
                <w:sz w:val="18"/>
              </w:rPr>
              <w:t>the</w:t>
            </w:r>
            <w:r>
              <w:rPr>
                <w:spacing w:val="-23"/>
                <w:sz w:val="18"/>
              </w:rPr>
              <w:t> </w:t>
            </w:r>
            <w:r>
              <w:rPr>
                <w:sz w:val="18"/>
              </w:rPr>
              <w:t>ownership</w:t>
            </w:r>
            <w:r>
              <w:rPr>
                <w:spacing w:val="-23"/>
                <w:sz w:val="18"/>
              </w:rPr>
              <w:t> </w:t>
            </w:r>
            <w:r>
              <w:rPr>
                <w:sz w:val="18"/>
              </w:rPr>
              <w:t>of</w:t>
            </w:r>
            <w:r>
              <w:rPr>
                <w:spacing w:val="-23"/>
                <w:sz w:val="18"/>
              </w:rPr>
              <w:t> </w:t>
            </w:r>
            <w:r>
              <w:rPr>
                <w:sz w:val="18"/>
              </w:rPr>
              <w:t>the</w:t>
            </w:r>
            <w:r>
              <w:rPr>
                <w:spacing w:val="-23"/>
                <w:sz w:val="18"/>
              </w:rPr>
              <w:t> </w:t>
            </w:r>
            <w:r>
              <w:rPr>
                <w:sz w:val="18"/>
              </w:rPr>
              <w:t>Client</w:t>
            </w:r>
            <w:r>
              <w:rPr>
                <w:spacing w:val="-24"/>
                <w:sz w:val="18"/>
              </w:rPr>
              <w:t> </w:t>
            </w:r>
            <w:r>
              <w:rPr>
                <w:sz w:val="18"/>
              </w:rPr>
              <w:t>is</w:t>
            </w:r>
            <w:r>
              <w:rPr>
                <w:spacing w:val="-23"/>
                <w:sz w:val="18"/>
              </w:rPr>
              <w:t> </w:t>
            </w:r>
            <w:r>
              <w:rPr>
                <w:sz w:val="18"/>
              </w:rPr>
              <w:t>3.58</w:t>
            </w:r>
            <w:r>
              <w:rPr>
                <w:spacing w:val="-24"/>
                <w:sz w:val="18"/>
              </w:rPr>
              <w:t> </w:t>
            </w:r>
            <w:r>
              <w:rPr>
                <w:sz w:val="18"/>
              </w:rPr>
              <w:t>Acres</w:t>
            </w:r>
          </w:p>
        </w:tc>
      </w:tr>
      <w:tr>
        <w:trPr>
          <w:trHeight w:val="611" w:hRule="atLeast"/>
        </w:trPr>
        <w:tc>
          <w:tcPr>
            <w:tcW w:w="3030" w:type="dxa"/>
            <w:shd w:val="clear" w:color="auto" w:fill="69BD28"/>
          </w:tcPr>
          <w:p>
            <w:pPr>
              <w:pStyle w:val="TableParagraph"/>
              <w:spacing w:before="5"/>
              <w:jc w:val="left"/>
              <w:rPr>
                <w:sz w:val="17"/>
              </w:rPr>
            </w:pPr>
          </w:p>
          <w:p>
            <w:pPr>
              <w:pStyle w:val="TableParagraph"/>
              <w:ind w:left="798" w:right="798"/>
              <w:rPr>
                <w:b/>
                <w:sz w:val="18"/>
              </w:rPr>
            </w:pPr>
            <w:r>
              <w:rPr>
                <w:b/>
                <w:color w:val="FFFFFF"/>
                <w:w w:val="110"/>
                <w:sz w:val="18"/>
              </w:rPr>
              <w:t>No of Keys</w:t>
            </w:r>
          </w:p>
        </w:tc>
        <w:tc>
          <w:tcPr>
            <w:tcW w:w="7456" w:type="dxa"/>
            <w:tcBorders>
              <w:top w:val="single" w:sz="6" w:space="0" w:color="69BD28"/>
              <w:bottom w:val="single" w:sz="6" w:space="0" w:color="69BD28"/>
            </w:tcBorders>
          </w:tcPr>
          <w:p>
            <w:pPr>
              <w:pStyle w:val="TableParagraph"/>
              <w:spacing w:line="247" w:lineRule="auto" w:before="94"/>
              <w:ind w:left="2534" w:right="2522" w:firstLine="832"/>
              <w:jc w:val="left"/>
              <w:rPr>
                <w:sz w:val="18"/>
              </w:rPr>
            </w:pPr>
            <w:r>
              <w:rPr>
                <w:sz w:val="18"/>
              </w:rPr>
              <w:t>247 keys (developed area - 448,156 sf)</w:t>
            </w:r>
          </w:p>
        </w:tc>
      </w:tr>
    </w:tbl>
    <w:p>
      <w:pPr>
        <w:spacing w:before="45"/>
        <w:ind w:left="680" w:right="0" w:firstLine="0"/>
        <w:jc w:val="left"/>
        <w:rPr>
          <w:i/>
          <w:sz w:val="20"/>
        </w:rPr>
      </w:pPr>
      <w:r>
        <w:rPr>
          <w:i/>
          <w:sz w:val="18"/>
        </w:rPr>
        <w:t>Source: </w:t>
      </w:r>
      <w:r>
        <w:rPr>
          <w:i/>
          <w:sz w:val="20"/>
        </w:rPr>
        <w:t>Title Report, Architect Certificate</w:t>
      </w:r>
    </w:p>
    <w:p>
      <w:pPr>
        <w:pStyle w:val="BodyText"/>
        <w:spacing w:before="11"/>
        <w:rPr>
          <w:i/>
          <w:sz w:val="20"/>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51" w:id="685"/>
      <w:bookmarkEnd w:id="685"/>
      <w:r>
        <w:rPr/>
      </w:r>
      <w:bookmarkStart w:name="_bookmark351" w:id="686"/>
      <w:bookmarkEnd w:id="686"/>
      <w:r>
        <w:rPr>
          <w:color w:val="1F664D"/>
          <w:sz w:val="22"/>
        </w:rPr>
        <w:t>S</w:t>
      </w:r>
      <w:r>
        <w:rPr>
          <w:color w:val="1F664D"/>
          <w:sz w:val="22"/>
        </w:rPr>
        <w:t>ite Details</w:t>
      </w:r>
    </w:p>
    <w:p>
      <w:pPr>
        <w:pStyle w:val="BodyText"/>
        <w:spacing w:before="2"/>
        <w:rPr>
          <w:sz w:val="28"/>
        </w:rPr>
      </w:pPr>
    </w:p>
    <w:p>
      <w:pPr>
        <w:pStyle w:val="BodyText"/>
        <w:tabs>
          <w:tab w:pos="3222" w:val="left" w:leader="none"/>
        </w:tabs>
        <w:spacing w:line="321" w:lineRule="auto" w:before="1"/>
        <w:ind w:left="3222" w:right="781" w:hanging="1878"/>
        <w:jc w:val="both"/>
      </w:pPr>
      <w:r>
        <w:rPr/>
        <w:t>Situation:</w:t>
        <w:tab/>
        <w:t>Hilton at GolfLinks, is an operational hospitality development in Challaghatta Village, Varthur Hobli, Mahadevapura, Bengaluru East Taluk, Bengaluru, Karnataka. Hilton at Embassy GolfLinks offers amongst the largest sized rooms with</w:t>
      </w:r>
      <w:r>
        <w:rPr>
          <w:spacing w:val="-38"/>
        </w:rPr>
        <w:t> </w:t>
      </w:r>
      <w:r>
        <w:rPr/>
        <w:t>studios</w:t>
      </w:r>
      <w:r>
        <w:rPr>
          <w:spacing w:val="-37"/>
        </w:rPr>
        <w:t> </w:t>
      </w:r>
      <w:r>
        <w:rPr/>
        <w:t>and</w:t>
      </w:r>
      <w:r>
        <w:rPr>
          <w:spacing w:val="-36"/>
        </w:rPr>
        <w:t> </w:t>
      </w:r>
      <w:r>
        <w:rPr/>
        <w:t>suites</w:t>
      </w:r>
      <w:r>
        <w:rPr>
          <w:spacing w:val="-35"/>
        </w:rPr>
        <w:t> </w:t>
      </w:r>
      <w:r>
        <w:rPr/>
        <w:t>that</w:t>
      </w:r>
      <w:r>
        <w:rPr>
          <w:spacing w:val="-36"/>
        </w:rPr>
        <w:t> </w:t>
      </w:r>
      <w:r>
        <w:rPr/>
        <w:t>are</w:t>
      </w:r>
      <w:r>
        <w:rPr>
          <w:spacing w:val="-38"/>
        </w:rPr>
        <w:t> </w:t>
      </w:r>
      <w:r>
        <w:rPr/>
        <w:t>fully</w:t>
      </w:r>
      <w:r>
        <w:rPr>
          <w:spacing w:val="-37"/>
        </w:rPr>
        <w:t> </w:t>
      </w:r>
      <w:r>
        <w:rPr/>
        <w:t>equipped</w:t>
      </w:r>
      <w:r>
        <w:rPr>
          <w:spacing w:val="-36"/>
        </w:rPr>
        <w:t> </w:t>
      </w:r>
      <w:r>
        <w:rPr/>
        <w:t>with</w:t>
      </w:r>
      <w:r>
        <w:rPr>
          <w:spacing w:val="-37"/>
        </w:rPr>
        <w:t> </w:t>
      </w:r>
      <w:r>
        <w:rPr/>
        <w:t>kitchenettes,</w:t>
      </w:r>
      <w:r>
        <w:rPr>
          <w:spacing w:val="-37"/>
        </w:rPr>
        <w:t> </w:t>
      </w:r>
      <w:r>
        <w:rPr/>
        <w:t>dining,</w:t>
      </w:r>
      <w:r>
        <w:rPr>
          <w:spacing w:val="-37"/>
        </w:rPr>
        <w:t> </w:t>
      </w:r>
      <w:r>
        <w:rPr/>
        <w:t>living</w:t>
      </w:r>
      <w:r>
        <w:rPr>
          <w:spacing w:val="-37"/>
        </w:rPr>
        <w:t> </w:t>
      </w:r>
      <w:r>
        <w:rPr/>
        <w:t>and work</w:t>
      </w:r>
      <w:r>
        <w:rPr>
          <w:spacing w:val="-5"/>
        </w:rPr>
        <w:t> </w:t>
      </w:r>
      <w:r>
        <w:rPr/>
        <w:t>areas</w:t>
      </w:r>
      <w:r>
        <w:rPr>
          <w:spacing w:val="-3"/>
        </w:rPr>
        <w:t> </w:t>
      </w:r>
      <w:r>
        <w:rPr/>
        <w:t>and</w:t>
      </w:r>
      <w:r>
        <w:rPr>
          <w:spacing w:val="-4"/>
        </w:rPr>
        <w:t> </w:t>
      </w:r>
      <w:r>
        <w:rPr/>
        <w:t>are</w:t>
      </w:r>
      <w:r>
        <w:rPr>
          <w:spacing w:val="-3"/>
        </w:rPr>
        <w:t> </w:t>
      </w:r>
      <w:r>
        <w:rPr/>
        <w:t>ideal</w:t>
      </w:r>
      <w:r>
        <w:rPr>
          <w:spacing w:val="-4"/>
        </w:rPr>
        <w:t> </w:t>
      </w:r>
      <w:r>
        <w:rPr/>
        <w:t>for</w:t>
      </w:r>
      <w:r>
        <w:rPr>
          <w:spacing w:val="-4"/>
        </w:rPr>
        <w:t> </w:t>
      </w:r>
      <w:r>
        <w:rPr/>
        <w:t>a</w:t>
      </w:r>
      <w:r>
        <w:rPr>
          <w:spacing w:val="-4"/>
        </w:rPr>
        <w:t> </w:t>
      </w:r>
      <w:r>
        <w:rPr/>
        <w:t>business</w:t>
      </w:r>
      <w:r>
        <w:rPr>
          <w:spacing w:val="-3"/>
        </w:rPr>
        <w:t> </w:t>
      </w:r>
      <w:r>
        <w:rPr/>
        <w:t>trip</w:t>
      </w:r>
      <w:r>
        <w:rPr>
          <w:spacing w:val="-3"/>
        </w:rPr>
        <w:t> </w:t>
      </w:r>
      <w:r>
        <w:rPr/>
        <w:t>or</w:t>
      </w:r>
      <w:r>
        <w:rPr>
          <w:spacing w:val="-4"/>
        </w:rPr>
        <w:t> </w:t>
      </w:r>
      <w:r>
        <w:rPr/>
        <w:t>relaxing</w:t>
      </w:r>
      <w:r>
        <w:rPr>
          <w:spacing w:val="-3"/>
        </w:rPr>
        <w:t> </w:t>
      </w:r>
      <w:r>
        <w:rPr/>
        <w:t>vacation. The</w:t>
      </w:r>
      <w:r>
        <w:rPr>
          <w:spacing w:val="-4"/>
        </w:rPr>
        <w:t> </w:t>
      </w:r>
      <w:r>
        <w:rPr/>
        <w:t>hotel</w:t>
      </w:r>
      <w:r>
        <w:rPr>
          <w:spacing w:val="-5"/>
        </w:rPr>
        <w:t> </w:t>
      </w:r>
      <w:r>
        <w:rPr/>
        <w:t>also features</w:t>
      </w:r>
      <w:r>
        <w:rPr>
          <w:spacing w:val="-23"/>
        </w:rPr>
        <w:t> </w:t>
      </w:r>
      <w:r>
        <w:rPr/>
        <w:t>two</w:t>
      </w:r>
      <w:r>
        <w:rPr>
          <w:spacing w:val="-23"/>
        </w:rPr>
        <w:t> </w:t>
      </w:r>
      <w:r>
        <w:rPr/>
        <w:t>indoor</w:t>
      </w:r>
      <w:r>
        <w:rPr>
          <w:spacing w:val="-23"/>
        </w:rPr>
        <w:t> </w:t>
      </w:r>
      <w:r>
        <w:rPr/>
        <w:t>dining</w:t>
      </w:r>
      <w:r>
        <w:rPr>
          <w:spacing w:val="-23"/>
        </w:rPr>
        <w:t> </w:t>
      </w:r>
      <w:r>
        <w:rPr/>
        <w:t>venues,</w:t>
      </w:r>
      <w:r>
        <w:rPr>
          <w:spacing w:val="-23"/>
        </w:rPr>
        <w:t> </w:t>
      </w:r>
      <w:r>
        <w:rPr/>
        <w:t>an</w:t>
      </w:r>
      <w:r>
        <w:rPr>
          <w:spacing w:val="-22"/>
        </w:rPr>
        <w:t> </w:t>
      </w:r>
      <w:r>
        <w:rPr/>
        <w:t>Al</w:t>
      </w:r>
      <w:r>
        <w:rPr>
          <w:spacing w:val="-24"/>
        </w:rPr>
        <w:t> </w:t>
      </w:r>
      <w:r>
        <w:rPr/>
        <w:t>Fresco</w:t>
      </w:r>
      <w:r>
        <w:rPr>
          <w:spacing w:val="-23"/>
        </w:rPr>
        <w:t> </w:t>
      </w:r>
      <w:r>
        <w:rPr/>
        <w:t>restaurant</w:t>
      </w:r>
      <w:r>
        <w:rPr>
          <w:spacing w:val="-23"/>
        </w:rPr>
        <w:t> </w:t>
      </w:r>
      <w:r>
        <w:rPr/>
        <w:t>by</w:t>
      </w:r>
      <w:r>
        <w:rPr>
          <w:spacing w:val="-22"/>
        </w:rPr>
        <w:t> </w:t>
      </w:r>
      <w:r>
        <w:rPr/>
        <w:t>the</w:t>
      </w:r>
      <w:r>
        <w:rPr>
          <w:spacing w:val="-24"/>
        </w:rPr>
        <w:t> </w:t>
      </w:r>
      <w:r>
        <w:rPr/>
        <w:t>poolside,</w:t>
      </w:r>
      <w:r>
        <w:rPr>
          <w:spacing w:val="-25"/>
        </w:rPr>
        <w:t> </w:t>
      </w:r>
      <w:r>
        <w:rPr/>
        <w:t>a</w:t>
      </w:r>
      <w:r>
        <w:rPr>
          <w:spacing w:val="-23"/>
        </w:rPr>
        <w:t> </w:t>
      </w:r>
      <w:r>
        <w:rPr/>
        <w:t>bar, six</w:t>
      </w:r>
      <w:r>
        <w:rPr>
          <w:spacing w:val="-41"/>
        </w:rPr>
        <w:t> </w:t>
      </w:r>
      <w:r>
        <w:rPr/>
        <w:t>meeting</w:t>
      </w:r>
      <w:r>
        <w:rPr>
          <w:spacing w:val="-40"/>
        </w:rPr>
        <w:t> </w:t>
      </w:r>
      <w:r>
        <w:rPr/>
        <w:t>rooms</w:t>
      </w:r>
      <w:r>
        <w:rPr>
          <w:spacing w:val="-40"/>
        </w:rPr>
        <w:t> </w:t>
      </w:r>
      <w:r>
        <w:rPr/>
        <w:t>with</w:t>
      </w:r>
      <w:r>
        <w:rPr>
          <w:spacing w:val="-41"/>
        </w:rPr>
        <w:t> </w:t>
      </w:r>
      <w:r>
        <w:rPr/>
        <w:t>natural</w:t>
      </w:r>
      <w:r>
        <w:rPr>
          <w:spacing w:val="-40"/>
        </w:rPr>
        <w:t> </w:t>
      </w:r>
      <w:r>
        <w:rPr/>
        <w:t>light,</w:t>
      </w:r>
      <w:r>
        <w:rPr>
          <w:spacing w:val="-41"/>
        </w:rPr>
        <w:t> </w:t>
      </w:r>
      <w:r>
        <w:rPr/>
        <w:t>24-hour</w:t>
      </w:r>
      <w:r>
        <w:rPr>
          <w:spacing w:val="-40"/>
        </w:rPr>
        <w:t> </w:t>
      </w:r>
      <w:r>
        <w:rPr/>
        <w:t>fitness</w:t>
      </w:r>
      <w:r>
        <w:rPr>
          <w:spacing w:val="-41"/>
        </w:rPr>
        <w:t> </w:t>
      </w:r>
      <w:r>
        <w:rPr/>
        <w:t>centre,</w:t>
      </w:r>
      <w:r>
        <w:rPr>
          <w:spacing w:val="-40"/>
        </w:rPr>
        <w:t> </w:t>
      </w:r>
      <w:r>
        <w:rPr/>
        <w:t>outdoor</w:t>
      </w:r>
      <w:r>
        <w:rPr>
          <w:spacing w:val="-41"/>
        </w:rPr>
        <w:t> </w:t>
      </w:r>
      <w:r>
        <w:rPr/>
        <w:t>temperature- controlled</w:t>
      </w:r>
      <w:r>
        <w:rPr>
          <w:spacing w:val="-19"/>
        </w:rPr>
        <w:t> </w:t>
      </w:r>
      <w:r>
        <w:rPr/>
        <w:t>swimming</w:t>
      </w:r>
      <w:r>
        <w:rPr>
          <w:spacing w:val="-18"/>
        </w:rPr>
        <w:t> </w:t>
      </w:r>
      <w:r>
        <w:rPr/>
        <w:t>pool</w:t>
      </w:r>
      <w:r>
        <w:rPr>
          <w:spacing w:val="-20"/>
        </w:rPr>
        <w:t> </w:t>
      </w:r>
      <w:r>
        <w:rPr/>
        <w:t>and</w:t>
      </w:r>
      <w:r>
        <w:rPr>
          <w:spacing w:val="-18"/>
        </w:rPr>
        <w:t> </w:t>
      </w:r>
      <w:r>
        <w:rPr/>
        <w:t>spa.</w:t>
      </w:r>
      <w:r>
        <w:rPr>
          <w:spacing w:val="-17"/>
        </w:rPr>
        <w:t> </w:t>
      </w:r>
      <w:r>
        <w:rPr/>
        <w:t>Being</w:t>
      </w:r>
      <w:r>
        <w:rPr>
          <w:spacing w:val="-18"/>
        </w:rPr>
        <w:t> </w:t>
      </w:r>
      <w:r>
        <w:rPr/>
        <w:t>part</w:t>
      </w:r>
      <w:r>
        <w:rPr>
          <w:spacing w:val="-18"/>
        </w:rPr>
        <w:t> </w:t>
      </w:r>
      <w:r>
        <w:rPr/>
        <w:t>of</w:t>
      </w:r>
      <w:r>
        <w:rPr>
          <w:spacing w:val="-19"/>
        </w:rPr>
        <w:t> </w:t>
      </w:r>
      <w:r>
        <w:rPr/>
        <w:t>a</w:t>
      </w:r>
      <w:r>
        <w:rPr>
          <w:spacing w:val="-19"/>
        </w:rPr>
        <w:t> </w:t>
      </w:r>
      <w:r>
        <w:rPr/>
        <w:t>larger</w:t>
      </w:r>
      <w:r>
        <w:rPr>
          <w:spacing w:val="-20"/>
        </w:rPr>
        <w:t> </w:t>
      </w:r>
      <w:r>
        <w:rPr/>
        <w:t>development,</w:t>
      </w:r>
      <w:r>
        <w:rPr>
          <w:spacing w:val="-19"/>
        </w:rPr>
        <w:t> </w:t>
      </w:r>
      <w:r>
        <w:rPr/>
        <w:t>the</w:t>
      </w:r>
      <w:r>
        <w:rPr>
          <w:spacing w:val="-20"/>
        </w:rPr>
        <w:t> </w:t>
      </w:r>
      <w:r>
        <w:rPr/>
        <w:t>hotel benefits</w:t>
      </w:r>
      <w:r>
        <w:rPr>
          <w:spacing w:val="-24"/>
        </w:rPr>
        <w:t> </w:t>
      </w:r>
      <w:r>
        <w:rPr/>
        <w:t>from</w:t>
      </w:r>
      <w:r>
        <w:rPr>
          <w:spacing w:val="-23"/>
        </w:rPr>
        <w:t> </w:t>
      </w:r>
      <w:r>
        <w:rPr/>
        <w:t>captive</w:t>
      </w:r>
      <w:r>
        <w:rPr>
          <w:spacing w:val="-23"/>
        </w:rPr>
        <w:t> </w:t>
      </w:r>
      <w:r>
        <w:rPr/>
        <w:t>demand</w:t>
      </w:r>
      <w:r>
        <w:rPr>
          <w:spacing w:val="-23"/>
        </w:rPr>
        <w:t> </w:t>
      </w:r>
      <w:r>
        <w:rPr/>
        <w:t>within</w:t>
      </w:r>
      <w:r>
        <w:rPr>
          <w:spacing w:val="-24"/>
        </w:rPr>
        <w:t> </w:t>
      </w:r>
      <w:r>
        <w:rPr/>
        <w:t>the</w:t>
      </w:r>
      <w:r>
        <w:rPr>
          <w:spacing w:val="-23"/>
        </w:rPr>
        <w:t> </w:t>
      </w:r>
      <w:r>
        <w:rPr/>
        <w:t>development,</w:t>
      </w:r>
      <w:r>
        <w:rPr>
          <w:spacing w:val="-23"/>
        </w:rPr>
        <w:t> </w:t>
      </w:r>
      <w:r>
        <w:rPr/>
        <w:t>all</w:t>
      </w:r>
      <w:r>
        <w:rPr>
          <w:spacing w:val="-23"/>
        </w:rPr>
        <w:t> </w:t>
      </w:r>
      <w:r>
        <w:rPr/>
        <w:t>of</w:t>
      </w:r>
      <w:r>
        <w:rPr>
          <w:spacing w:val="-23"/>
        </w:rPr>
        <w:t> </w:t>
      </w:r>
      <w:r>
        <w:rPr/>
        <w:t>which</w:t>
      </w:r>
      <w:r>
        <w:rPr>
          <w:spacing w:val="-23"/>
        </w:rPr>
        <w:t> </w:t>
      </w:r>
      <w:r>
        <w:rPr/>
        <w:t>are</w:t>
      </w:r>
      <w:r>
        <w:rPr>
          <w:spacing w:val="-22"/>
        </w:rPr>
        <w:t> </w:t>
      </w:r>
      <w:r>
        <w:rPr/>
        <w:t>within</w:t>
      </w:r>
      <w:r>
        <w:rPr>
          <w:spacing w:val="-24"/>
        </w:rPr>
        <w:t> </w:t>
      </w:r>
      <w:r>
        <w:rPr/>
        <w:t>10 minutes walking</w:t>
      </w:r>
      <w:r>
        <w:rPr>
          <w:spacing w:val="-8"/>
        </w:rPr>
        <w:t> </w:t>
      </w:r>
      <w:r>
        <w:rPr/>
        <w:t>distance.</w:t>
      </w:r>
    </w:p>
    <w:p>
      <w:pPr>
        <w:pStyle w:val="BodyText"/>
        <w:tabs>
          <w:tab w:pos="3222" w:val="left" w:leader="none"/>
        </w:tabs>
        <w:spacing w:line="216" w:lineRule="auto" w:before="133"/>
        <w:ind w:left="1345"/>
      </w:pPr>
      <w:r>
        <w:rPr>
          <w:position w:val="-11"/>
        </w:rPr>
        <w:t>Location:</w:t>
        <w:tab/>
      </w:r>
      <w:r>
        <w:rPr/>
        <w:t>The</w:t>
      </w:r>
      <w:r>
        <w:rPr>
          <w:spacing w:val="-8"/>
        </w:rPr>
        <w:t> </w:t>
      </w:r>
      <w:r>
        <w:rPr/>
        <w:t>subject</w:t>
      </w:r>
      <w:r>
        <w:rPr>
          <w:spacing w:val="-5"/>
        </w:rPr>
        <w:t> </w:t>
      </w:r>
      <w:r>
        <w:rPr/>
        <w:t>property</w:t>
      </w:r>
      <w:r>
        <w:rPr>
          <w:spacing w:val="-5"/>
        </w:rPr>
        <w:t> </w:t>
      </w:r>
      <w:r>
        <w:rPr/>
        <w:t>is</w:t>
      </w:r>
      <w:r>
        <w:rPr>
          <w:spacing w:val="-6"/>
        </w:rPr>
        <w:t> </w:t>
      </w:r>
      <w:r>
        <w:rPr/>
        <w:t>located</w:t>
      </w:r>
      <w:r>
        <w:rPr>
          <w:spacing w:val="-3"/>
        </w:rPr>
        <w:t> </w:t>
      </w:r>
      <w:r>
        <w:rPr/>
        <w:t>within</w:t>
      </w:r>
      <w:r>
        <w:rPr>
          <w:spacing w:val="-8"/>
        </w:rPr>
        <w:t> </w:t>
      </w:r>
      <w:r>
        <w:rPr/>
        <w:t>Embassy</w:t>
      </w:r>
      <w:r>
        <w:rPr>
          <w:spacing w:val="-4"/>
        </w:rPr>
        <w:t> </w:t>
      </w:r>
      <w:r>
        <w:rPr/>
        <w:t>GolfLinks</w:t>
      </w:r>
      <w:r>
        <w:rPr>
          <w:spacing w:val="-5"/>
        </w:rPr>
        <w:t> </w:t>
      </w:r>
      <w:r>
        <w:rPr/>
        <w:t>along</w:t>
      </w:r>
      <w:r>
        <w:rPr>
          <w:spacing w:val="-6"/>
        </w:rPr>
        <w:t> </w:t>
      </w:r>
      <w:r>
        <w:rPr/>
        <w:t>the</w:t>
      </w:r>
      <w:r>
        <w:rPr>
          <w:spacing w:val="-7"/>
        </w:rPr>
        <w:t> </w:t>
      </w:r>
      <w:r>
        <w:rPr/>
        <w:t>Koramangala</w:t>
      </w:r>
    </w:p>
    <w:p>
      <w:pPr>
        <w:pStyle w:val="ListParagraph"/>
        <w:numPr>
          <w:ilvl w:val="0"/>
          <w:numId w:val="88"/>
        </w:numPr>
        <w:tabs>
          <w:tab w:pos="3417" w:val="left" w:leader="none"/>
        </w:tabs>
        <w:spacing w:line="240" w:lineRule="exact" w:before="0" w:after="0"/>
        <w:ind w:left="3417" w:right="0" w:hanging="195"/>
        <w:jc w:val="both"/>
        <w:rPr>
          <w:sz w:val="22"/>
        </w:rPr>
      </w:pPr>
      <w:r>
        <w:rPr>
          <w:sz w:val="22"/>
        </w:rPr>
        <w:t>Indiranagar Intermediate Ring Road towards the eastern part of Bengaluru,</w:t>
      </w:r>
      <w:r>
        <w:rPr>
          <w:spacing w:val="43"/>
          <w:sz w:val="22"/>
        </w:rPr>
        <w:t> </w:t>
      </w:r>
      <w:r>
        <w:rPr>
          <w:sz w:val="22"/>
        </w:rPr>
        <w:t>in</w:t>
      </w:r>
    </w:p>
    <w:p>
      <w:pPr>
        <w:pStyle w:val="BodyText"/>
        <w:spacing w:line="321" w:lineRule="auto" w:before="87"/>
        <w:ind w:left="3222" w:right="780"/>
        <w:jc w:val="both"/>
      </w:pPr>
      <w:r>
        <w:rPr/>
        <w:t>close</w:t>
      </w:r>
      <w:r>
        <w:rPr>
          <w:spacing w:val="-10"/>
        </w:rPr>
        <w:t> </w:t>
      </w:r>
      <w:r>
        <w:rPr/>
        <w:t>proximity</w:t>
      </w:r>
      <w:r>
        <w:rPr>
          <w:spacing w:val="-7"/>
        </w:rPr>
        <w:t> </w:t>
      </w:r>
      <w:r>
        <w:rPr/>
        <w:t>to</w:t>
      </w:r>
      <w:r>
        <w:rPr>
          <w:spacing w:val="-9"/>
        </w:rPr>
        <w:t> </w:t>
      </w:r>
      <w:r>
        <w:rPr/>
        <w:t>the</w:t>
      </w:r>
      <w:r>
        <w:rPr>
          <w:spacing w:val="-11"/>
        </w:rPr>
        <w:t> </w:t>
      </w:r>
      <w:r>
        <w:rPr/>
        <w:t>Domlur</w:t>
      </w:r>
      <w:r>
        <w:rPr>
          <w:spacing w:val="-9"/>
        </w:rPr>
        <w:t> </w:t>
      </w:r>
      <w:r>
        <w:rPr/>
        <w:t>Flyover</w:t>
      </w:r>
      <w:r>
        <w:rPr>
          <w:spacing w:val="-7"/>
        </w:rPr>
        <w:t> </w:t>
      </w:r>
      <w:r>
        <w:rPr/>
        <w:t>and</w:t>
      </w:r>
      <w:r>
        <w:rPr>
          <w:spacing w:val="-8"/>
        </w:rPr>
        <w:t> </w:t>
      </w:r>
      <w:r>
        <w:rPr/>
        <w:t>overlooks</w:t>
      </w:r>
      <w:r>
        <w:rPr>
          <w:spacing w:val="-8"/>
        </w:rPr>
        <w:t> </w:t>
      </w:r>
      <w:r>
        <w:rPr/>
        <w:t>the</w:t>
      </w:r>
      <w:r>
        <w:rPr>
          <w:spacing w:val="-9"/>
        </w:rPr>
        <w:t> </w:t>
      </w:r>
      <w:r>
        <w:rPr/>
        <w:t>Karnataka</w:t>
      </w:r>
      <w:r>
        <w:rPr>
          <w:spacing w:val="-9"/>
        </w:rPr>
        <w:t> </w:t>
      </w:r>
      <w:r>
        <w:rPr/>
        <w:t>Golf</w:t>
      </w:r>
      <w:r>
        <w:rPr>
          <w:spacing w:val="-9"/>
        </w:rPr>
        <w:t> </w:t>
      </w:r>
      <w:r>
        <w:rPr/>
        <w:t>Course. The</w:t>
      </w:r>
      <w:r>
        <w:rPr>
          <w:spacing w:val="-39"/>
        </w:rPr>
        <w:t> </w:t>
      </w:r>
      <w:r>
        <w:rPr/>
        <w:t>immediate</w:t>
      </w:r>
      <w:r>
        <w:rPr>
          <w:spacing w:val="-37"/>
        </w:rPr>
        <w:t> </w:t>
      </w:r>
      <w:r>
        <w:rPr/>
        <w:t>surroundings</w:t>
      </w:r>
      <w:r>
        <w:rPr>
          <w:spacing w:val="-37"/>
        </w:rPr>
        <w:t> </w:t>
      </w:r>
      <w:r>
        <w:rPr/>
        <w:t>of</w:t>
      </w:r>
      <w:r>
        <w:rPr>
          <w:spacing w:val="-37"/>
        </w:rPr>
        <w:t> </w:t>
      </w:r>
      <w:r>
        <w:rPr/>
        <w:t>the</w:t>
      </w:r>
      <w:r>
        <w:rPr>
          <w:spacing w:val="-37"/>
        </w:rPr>
        <w:t> </w:t>
      </w:r>
      <w:r>
        <w:rPr/>
        <w:t>subject</w:t>
      </w:r>
      <w:r>
        <w:rPr>
          <w:spacing w:val="-37"/>
        </w:rPr>
        <w:t> </w:t>
      </w:r>
      <w:r>
        <w:rPr/>
        <w:t>property</w:t>
      </w:r>
      <w:r>
        <w:rPr>
          <w:spacing w:val="-37"/>
        </w:rPr>
        <w:t> </w:t>
      </w:r>
      <w:r>
        <w:rPr/>
        <w:t>comprises</w:t>
      </w:r>
      <w:r>
        <w:rPr>
          <w:spacing w:val="-37"/>
        </w:rPr>
        <w:t> </w:t>
      </w:r>
      <w:r>
        <w:rPr/>
        <w:t>of</w:t>
      </w:r>
      <w:r>
        <w:rPr>
          <w:spacing w:val="-37"/>
        </w:rPr>
        <w:t> </w:t>
      </w:r>
      <w:r>
        <w:rPr/>
        <w:t>large</w:t>
      </w:r>
      <w:r>
        <w:rPr>
          <w:spacing w:val="-37"/>
        </w:rPr>
        <w:t> </w:t>
      </w:r>
      <w:r>
        <w:rPr/>
        <w:t>aggregates of</w:t>
      </w:r>
      <w:r>
        <w:rPr>
          <w:spacing w:val="-40"/>
        </w:rPr>
        <w:t> </w:t>
      </w:r>
      <w:r>
        <w:rPr/>
        <w:t>land</w:t>
      </w:r>
      <w:r>
        <w:rPr>
          <w:spacing w:val="-39"/>
        </w:rPr>
        <w:t> </w:t>
      </w:r>
      <w:r>
        <w:rPr/>
        <w:t>owned</w:t>
      </w:r>
      <w:r>
        <w:rPr>
          <w:spacing w:val="-39"/>
        </w:rPr>
        <w:t> </w:t>
      </w:r>
      <w:r>
        <w:rPr/>
        <w:t>by</w:t>
      </w:r>
      <w:r>
        <w:rPr>
          <w:spacing w:val="-39"/>
        </w:rPr>
        <w:t> </w:t>
      </w:r>
      <w:r>
        <w:rPr/>
        <w:t>the</w:t>
      </w:r>
      <w:r>
        <w:rPr>
          <w:spacing w:val="-40"/>
        </w:rPr>
        <w:t> </w:t>
      </w:r>
      <w:r>
        <w:rPr/>
        <w:t>Defence</w:t>
      </w:r>
      <w:r>
        <w:rPr>
          <w:spacing w:val="-41"/>
        </w:rPr>
        <w:t> </w:t>
      </w:r>
      <w:r>
        <w:rPr/>
        <w:t>Services</w:t>
      </w:r>
      <w:r>
        <w:rPr>
          <w:spacing w:val="-39"/>
        </w:rPr>
        <w:t> </w:t>
      </w:r>
      <w:r>
        <w:rPr/>
        <w:t>of</w:t>
      </w:r>
      <w:r>
        <w:rPr>
          <w:spacing w:val="-39"/>
        </w:rPr>
        <w:t> </w:t>
      </w:r>
      <w:r>
        <w:rPr/>
        <w:t>the</w:t>
      </w:r>
      <w:r>
        <w:rPr>
          <w:spacing w:val="-40"/>
        </w:rPr>
        <w:t> </w:t>
      </w:r>
      <w:r>
        <w:rPr/>
        <w:t>Country</w:t>
      </w:r>
      <w:r>
        <w:rPr>
          <w:spacing w:val="-39"/>
        </w:rPr>
        <w:t> </w:t>
      </w:r>
      <w:r>
        <w:rPr/>
        <w:t>and</w:t>
      </w:r>
      <w:r>
        <w:rPr>
          <w:spacing w:val="-39"/>
        </w:rPr>
        <w:t> </w:t>
      </w:r>
      <w:r>
        <w:rPr/>
        <w:t>prominent</w:t>
      </w:r>
      <w:r>
        <w:rPr>
          <w:spacing w:val="-40"/>
        </w:rPr>
        <w:t> </w:t>
      </w:r>
      <w:r>
        <w:rPr/>
        <w:t>developments such</w:t>
      </w:r>
      <w:r>
        <w:rPr>
          <w:spacing w:val="-22"/>
        </w:rPr>
        <w:t> </w:t>
      </w:r>
      <w:r>
        <w:rPr/>
        <w:t>as</w:t>
      </w:r>
      <w:r>
        <w:rPr>
          <w:spacing w:val="-20"/>
        </w:rPr>
        <w:t> </w:t>
      </w:r>
      <w:r>
        <w:rPr/>
        <w:t>the</w:t>
      </w:r>
      <w:r>
        <w:rPr>
          <w:spacing w:val="-23"/>
        </w:rPr>
        <w:t> </w:t>
      </w:r>
      <w:r>
        <w:rPr/>
        <w:t>Embassy</w:t>
      </w:r>
      <w:r>
        <w:rPr>
          <w:spacing w:val="-21"/>
        </w:rPr>
        <w:t> </w:t>
      </w:r>
      <w:r>
        <w:rPr/>
        <w:t>GolfLinks</w:t>
      </w:r>
      <w:r>
        <w:rPr>
          <w:spacing w:val="-20"/>
        </w:rPr>
        <w:t> </w:t>
      </w:r>
      <w:r>
        <w:rPr/>
        <w:t>(larger</w:t>
      </w:r>
      <w:r>
        <w:rPr>
          <w:spacing w:val="-23"/>
        </w:rPr>
        <w:t> </w:t>
      </w:r>
      <w:r>
        <w:rPr/>
        <w:t>development),</w:t>
      </w:r>
      <w:r>
        <w:rPr>
          <w:spacing w:val="-21"/>
        </w:rPr>
        <w:t> </w:t>
      </w:r>
      <w:r>
        <w:rPr/>
        <w:t>Karnataka</w:t>
      </w:r>
      <w:r>
        <w:rPr>
          <w:spacing w:val="-22"/>
        </w:rPr>
        <w:t> </w:t>
      </w:r>
      <w:r>
        <w:rPr/>
        <w:t>Golf</w:t>
      </w:r>
      <w:r>
        <w:rPr>
          <w:spacing w:val="-22"/>
        </w:rPr>
        <w:t> </w:t>
      </w:r>
      <w:r>
        <w:rPr/>
        <w:t>Association, Diamond District, DivyaSree Greens, Maruthi Infotech Park etc. In addition,</w:t>
      </w:r>
      <w:r>
        <w:rPr>
          <w:spacing w:val="-41"/>
        </w:rPr>
        <w:t> </w:t>
      </w:r>
      <w:r>
        <w:rPr/>
        <w:t>the subject property is located in proximity to locations such as Indiranagar, Koramangala</w:t>
      </w:r>
      <w:r>
        <w:rPr>
          <w:spacing w:val="-35"/>
        </w:rPr>
        <w:t> </w:t>
      </w:r>
      <w:r>
        <w:rPr/>
        <w:t>etc.</w:t>
      </w:r>
      <w:r>
        <w:rPr>
          <w:spacing w:val="-34"/>
        </w:rPr>
        <w:t> </w:t>
      </w:r>
      <w:r>
        <w:rPr/>
        <w:t>which</w:t>
      </w:r>
      <w:r>
        <w:rPr>
          <w:spacing w:val="-34"/>
        </w:rPr>
        <w:t> </w:t>
      </w:r>
      <w:r>
        <w:rPr/>
        <w:t>are</w:t>
      </w:r>
      <w:r>
        <w:rPr>
          <w:spacing w:val="-34"/>
        </w:rPr>
        <w:t> </w:t>
      </w:r>
      <w:r>
        <w:rPr/>
        <w:t>considered</w:t>
      </w:r>
      <w:r>
        <w:rPr>
          <w:spacing w:val="-34"/>
        </w:rPr>
        <w:t> </w:t>
      </w:r>
      <w:r>
        <w:rPr/>
        <w:t>as</w:t>
      </w:r>
      <w:r>
        <w:rPr>
          <w:spacing w:val="-34"/>
        </w:rPr>
        <w:t> </w:t>
      </w:r>
      <w:r>
        <w:rPr/>
        <w:t>established</w:t>
      </w:r>
      <w:r>
        <w:rPr>
          <w:spacing w:val="-33"/>
        </w:rPr>
        <w:t> </w:t>
      </w:r>
      <w:r>
        <w:rPr/>
        <w:t>residential</w:t>
      </w:r>
      <w:r>
        <w:rPr>
          <w:spacing w:val="-35"/>
        </w:rPr>
        <w:t> </w:t>
      </w:r>
      <w:r>
        <w:rPr/>
        <w:t>and</w:t>
      </w:r>
      <w:r>
        <w:rPr>
          <w:spacing w:val="-34"/>
        </w:rPr>
        <w:t> </w:t>
      </w:r>
      <w:r>
        <w:rPr/>
        <w:t>commercial locations</w:t>
      </w:r>
      <w:r>
        <w:rPr>
          <w:spacing w:val="-46"/>
        </w:rPr>
        <w:t> </w:t>
      </w:r>
      <w:r>
        <w:rPr/>
        <w:t>within</w:t>
      </w:r>
      <w:r>
        <w:rPr>
          <w:spacing w:val="-46"/>
        </w:rPr>
        <w:t> </w:t>
      </w:r>
      <w:r>
        <w:rPr/>
        <w:t>the</w:t>
      </w:r>
      <w:r>
        <w:rPr>
          <w:spacing w:val="-46"/>
        </w:rPr>
        <w:t> </w:t>
      </w:r>
      <w:r>
        <w:rPr/>
        <w:t>city.</w:t>
      </w:r>
      <w:r>
        <w:rPr>
          <w:spacing w:val="-46"/>
        </w:rPr>
        <w:t> </w:t>
      </w:r>
      <w:r>
        <w:rPr/>
        <w:t>The</w:t>
      </w:r>
      <w:r>
        <w:rPr>
          <w:spacing w:val="-46"/>
        </w:rPr>
        <w:t> </w:t>
      </w:r>
      <w:r>
        <w:rPr/>
        <w:t>Old</w:t>
      </w:r>
      <w:r>
        <w:rPr>
          <w:spacing w:val="-45"/>
        </w:rPr>
        <w:t> </w:t>
      </w:r>
      <w:r>
        <w:rPr/>
        <w:t>Airport</w:t>
      </w:r>
      <w:r>
        <w:rPr>
          <w:spacing w:val="-45"/>
        </w:rPr>
        <w:t> </w:t>
      </w:r>
      <w:r>
        <w:rPr/>
        <w:t>road,</w:t>
      </w:r>
      <w:r>
        <w:rPr>
          <w:spacing w:val="-46"/>
        </w:rPr>
        <w:t> </w:t>
      </w:r>
      <w:r>
        <w:rPr/>
        <w:t>(a</w:t>
      </w:r>
      <w:r>
        <w:rPr>
          <w:spacing w:val="-46"/>
        </w:rPr>
        <w:t> </w:t>
      </w:r>
      <w:r>
        <w:rPr/>
        <w:t>prominent</w:t>
      </w:r>
      <w:r>
        <w:rPr>
          <w:spacing w:val="-45"/>
        </w:rPr>
        <w:t> </w:t>
      </w:r>
      <w:r>
        <w:rPr/>
        <w:t>vector,</w:t>
      </w:r>
      <w:r>
        <w:rPr>
          <w:spacing w:val="-45"/>
        </w:rPr>
        <w:t> </w:t>
      </w:r>
      <w:r>
        <w:rPr/>
        <w:t>located</w:t>
      </w:r>
      <w:r>
        <w:rPr>
          <w:spacing w:val="-45"/>
        </w:rPr>
        <w:t> </w:t>
      </w:r>
      <w:r>
        <w:rPr/>
        <w:t>in</w:t>
      </w:r>
      <w:r>
        <w:rPr>
          <w:spacing w:val="-45"/>
        </w:rPr>
        <w:t> </w:t>
      </w:r>
      <w:r>
        <w:rPr/>
        <w:t>close proximity</w:t>
      </w:r>
      <w:r>
        <w:rPr>
          <w:spacing w:val="-7"/>
        </w:rPr>
        <w:t> </w:t>
      </w:r>
      <w:r>
        <w:rPr/>
        <w:t>to</w:t>
      </w:r>
      <w:r>
        <w:rPr>
          <w:spacing w:val="-5"/>
        </w:rPr>
        <w:t> </w:t>
      </w:r>
      <w:r>
        <w:rPr/>
        <w:t>the</w:t>
      </w:r>
      <w:r>
        <w:rPr>
          <w:spacing w:val="-7"/>
        </w:rPr>
        <w:t> </w:t>
      </w:r>
      <w:r>
        <w:rPr/>
        <w:t>subject</w:t>
      </w:r>
      <w:r>
        <w:rPr>
          <w:spacing w:val="-6"/>
        </w:rPr>
        <w:t> </w:t>
      </w:r>
      <w:r>
        <w:rPr/>
        <w:t>property)</w:t>
      </w:r>
      <w:r>
        <w:rPr>
          <w:spacing w:val="-5"/>
        </w:rPr>
        <w:t> </w:t>
      </w:r>
      <w:r>
        <w:rPr/>
        <w:t>connects</w:t>
      </w:r>
      <w:r>
        <w:rPr>
          <w:spacing w:val="-5"/>
        </w:rPr>
        <w:t> </w:t>
      </w:r>
      <w:r>
        <w:rPr/>
        <w:t>the</w:t>
      </w:r>
      <w:r>
        <w:rPr>
          <w:spacing w:val="-6"/>
        </w:rPr>
        <w:t> </w:t>
      </w:r>
      <w:r>
        <w:rPr/>
        <w:t>city</w:t>
      </w:r>
      <w:r>
        <w:rPr>
          <w:spacing w:val="-5"/>
        </w:rPr>
        <w:t> </w:t>
      </w:r>
      <w:r>
        <w:rPr/>
        <w:t>centre</w:t>
      </w:r>
      <w:r>
        <w:rPr>
          <w:spacing w:val="-5"/>
        </w:rPr>
        <w:t> </w:t>
      </w:r>
      <w:r>
        <w:rPr/>
        <w:t>to</w:t>
      </w:r>
      <w:r>
        <w:rPr>
          <w:spacing w:val="-6"/>
        </w:rPr>
        <w:t> </w:t>
      </w:r>
      <w:r>
        <w:rPr/>
        <w:t>locations</w:t>
      </w:r>
      <w:r>
        <w:rPr>
          <w:spacing w:val="-5"/>
        </w:rPr>
        <w:t> </w:t>
      </w:r>
      <w:r>
        <w:rPr/>
        <w:t>such</w:t>
      </w:r>
      <w:r>
        <w:rPr>
          <w:spacing w:val="-5"/>
        </w:rPr>
        <w:t> </w:t>
      </w:r>
      <w:r>
        <w:rPr/>
        <w:t>as Marathahalli,</w:t>
      </w:r>
      <w:r>
        <w:rPr>
          <w:spacing w:val="-42"/>
        </w:rPr>
        <w:t> </w:t>
      </w:r>
      <w:r>
        <w:rPr/>
        <w:t>Outer</w:t>
      </w:r>
      <w:r>
        <w:rPr>
          <w:spacing w:val="-41"/>
        </w:rPr>
        <w:t> </w:t>
      </w:r>
      <w:r>
        <w:rPr/>
        <w:t>Ring</w:t>
      </w:r>
      <w:r>
        <w:rPr>
          <w:spacing w:val="-41"/>
        </w:rPr>
        <w:t> </w:t>
      </w:r>
      <w:r>
        <w:rPr/>
        <w:t>Road,</w:t>
      </w:r>
      <w:r>
        <w:rPr>
          <w:spacing w:val="-41"/>
        </w:rPr>
        <w:t> </w:t>
      </w:r>
      <w:r>
        <w:rPr/>
        <w:t>Whitefield,</w:t>
      </w:r>
      <w:r>
        <w:rPr>
          <w:spacing w:val="-41"/>
        </w:rPr>
        <w:t> </w:t>
      </w:r>
      <w:r>
        <w:rPr/>
        <w:t>etc.</w:t>
      </w:r>
      <w:r>
        <w:rPr>
          <w:spacing w:val="-42"/>
        </w:rPr>
        <w:t> </w:t>
      </w:r>
      <w:r>
        <w:rPr/>
        <w:t>The</w:t>
      </w:r>
      <w:r>
        <w:rPr>
          <w:spacing w:val="-43"/>
        </w:rPr>
        <w:t> </w:t>
      </w:r>
      <w:r>
        <w:rPr/>
        <w:t>location</w:t>
      </w:r>
      <w:r>
        <w:rPr>
          <w:spacing w:val="-41"/>
        </w:rPr>
        <w:t> </w:t>
      </w:r>
      <w:r>
        <w:rPr/>
        <w:t>is</w:t>
      </w:r>
      <w:r>
        <w:rPr>
          <w:spacing w:val="-41"/>
        </w:rPr>
        <w:t> </w:t>
      </w:r>
      <w:r>
        <w:rPr/>
        <w:t>marked</w:t>
      </w:r>
      <w:r>
        <w:rPr>
          <w:spacing w:val="-40"/>
        </w:rPr>
        <w:t> </w:t>
      </w:r>
      <w:r>
        <w:rPr/>
        <w:t>by</w:t>
      </w:r>
      <w:r>
        <w:rPr>
          <w:spacing w:val="-41"/>
        </w:rPr>
        <w:t> </w:t>
      </w:r>
      <w:r>
        <w:rPr/>
        <w:t>presence</w:t>
      </w:r>
    </w:p>
    <w:p>
      <w:pPr>
        <w:spacing w:after="0" w:line="321" w:lineRule="auto"/>
        <w:jc w:val="both"/>
        <w:sectPr>
          <w:pgSz w:w="11910" w:h="16840"/>
          <w:pgMar w:header="720" w:footer="862" w:top="1660" w:bottom="1060" w:left="40" w:right="40"/>
        </w:sectPr>
      </w:pPr>
    </w:p>
    <w:p>
      <w:pPr>
        <w:pStyle w:val="BodyText"/>
        <w:spacing w:before="7"/>
        <w:rPr>
          <w:sz w:val="9"/>
        </w:rPr>
      </w:pPr>
    </w:p>
    <w:p>
      <w:pPr>
        <w:pStyle w:val="BodyText"/>
        <w:spacing w:line="321" w:lineRule="auto" w:before="106"/>
        <w:ind w:left="3222" w:right="778"/>
      </w:pPr>
      <w:r>
        <w:rPr/>
        <w:t>of</w:t>
      </w:r>
      <w:r>
        <w:rPr>
          <w:spacing w:val="-49"/>
        </w:rPr>
        <w:t> </w:t>
      </w:r>
      <w:r>
        <w:rPr/>
        <w:t>prominent</w:t>
      </w:r>
      <w:r>
        <w:rPr>
          <w:spacing w:val="-49"/>
        </w:rPr>
        <w:t> </w:t>
      </w:r>
      <w:r>
        <w:rPr/>
        <w:t>hotels</w:t>
      </w:r>
      <w:r>
        <w:rPr>
          <w:spacing w:val="-48"/>
        </w:rPr>
        <w:t> </w:t>
      </w:r>
      <w:r>
        <w:rPr/>
        <w:t>(viz.</w:t>
      </w:r>
      <w:r>
        <w:rPr>
          <w:spacing w:val="-49"/>
        </w:rPr>
        <w:t> </w:t>
      </w:r>
      <w:r>
        <w:rPr/>
        <w:t>Leela</w:t>
      </w:r>
      <w:r>
        <w:rPr>
          <w:spacing w:val="-49"/>
        </w:rPr>
        <w:t> </w:t>
      </w:r>
      <w:r>
        <w:rPr/>
        <w:t>Palace,</w:t>
      </w:r>
      <w:r>
        <w:rPr>
          <w:spacing w:val="-48"/>
        </w:rPr>
        <w:t> </w:t>
      </w:r>
      <w:r>
        <w:rPr/>
        <w:t>Royal</w:t>
      </w:r>
      <w:r>
        <w:rPr>
          <w:spacing w:val="-49"/>
        </w:rPr>
        <w:t> </w:t>
      </w:r>
      <w:r>
        <w:rPr/>
        <w:t>Orchid,</w:t>
      </w:r>
      <w:r>
        <w:rPr>
          <w:spacing w:val="-49"/>
        </w:rPr>
        <w:t> </w:t>
      </w:r>
      <w:r>
        <w:rPr/>
        <w:t>Hilton,</w:t>
      </w:r>
      <w:r>
        <w:rPr>
          <w:spacing w:val="-48"/>
        </w:rPr>
        <w:t> </w:t>
      </w:r>
      <w:r>
        <w:rPr/>
        <w:t>etc.)</w:t>
      </w:r>
      <w:r>
        <w:rPr>
          <w:spacing w:val="-49"/>
        </w:rPr>
        <w:t> </w:t>
      </w:r>
      <w:r>
        <w:rPr/>
        <w:t>and</w:t>
      </w:r>
      <w:r>
        <w:rPr>
          <w:spacing w:val="-48"/>
        </w:rPr>
        <w:t> </w:t>
      </w:r>
      <w:r>
        <w:rPr/>
        <w:t>hospitals</w:t>
      </w:r>
      <w:r>
        <w:rPr>
          <w:spacing w:val="-49"/>
        </w:rPr>
        <w:t> </w:t>
      </w:r>
      <w:r>
        <w:rPr/>
        <w:t>(viz. Manipal Hospital, Cloud 9,</w:t>
      </w:r>
      <w:r>
        <w:rPr>
          <w:spacing w:val="-17"/>
        </w:rPr>
        <w:t> </w:t>
      </w:r>
      <w:r>
        <w:rPr/>
        <w:t>etc.).</w:t>
      </w:r>
    </w:p>
    <w:p>
      <w:pPr>
        <w:pStyle w:val="BodyText"/>
        <w:spacing w:before="10"/>
        <w:rPr>
          <w:sz w:val="20"/>
        </w:rPr>
      </w:pPr>
    </w:p>
    <w:p>
      <w:pPr>
        <w:pStyle w:val="BodyText"/>
        <w:spacing w:line="319" w:lineRule="auto"/>
        <w:ind w:left="3222" w:right="607"/>
      </w:pPr>
      <w:r>
        <w:rPr/>
        <w:t>The distances from key hubs to the subject property are presented in the table below:</w:t>
      </w:r>
    </w:p>
    <w:p>
      <w:pPr>
        <w:pStyle w:val="BodyText"/>
        <w:spacing w:before="3"/>
        <w:rPr>
          <w:sz w:val="21"/>
        </w:rPr>
      </w:pPr>
    </w:p>
    <w:tbl>
      <w:tblPr>
        <w:tblW w:w="0" w:type="auto"/>
        <w:jc w:val="left"/>
        <w:tblInd w:w="3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52"/>
        <w:gridCol w:w="2745"/>
      </w:tblGrid>
      <w:tr>
        <w:trPr>
          <w:trHeight w:val="251" w:hRule="atLeast"/>
        </w:trPr>
        <w:tc>
          <w:tcPr>
            <w:tcW w:w="5052" w:type="dxa"/>
            <w:tcBorders>
              <w:top w:val="single" w:sz="6" w:space="0" w:color="69BD28"/>
              <w:bottom w:val="single" w:sz="6" w:space="0" w:color="69BD28"/>
            </w:tcBorders>
            <w:shd w:val="clear" w:color="auto" w:fill="006A4D"/>
          </w:tcPr>
          <w:p>
            <w:pPr>
              <w:pStyle w:val="TableParagraph"/>
              <w:spacing w:line="209" w:lineRule="exact" w:before="22"/>
              <w:ind w:left="1525" w:right="959"/>
              <w:rPr>
                <w:b/>
                <w:sz w:val="18"/>
              </w:rPr>
            </w:pPr>
            <w:r>
              <w:rPr>
                <w:b/>
                <w:color w:val="FFFFFF"/>
                <w:w w:val="110"/>
                <w:sz w:val="18"/>
              </w:rPr>
              <w:t>Landmark</w:t>
            </w:r>
          </w:p>
        </w:tc>
        <w:tc>
          <w:tcPr>
            <w:tcW w:w="2745" w:type="dxa"/>
            <w:tcBorders>
              <w:top w:val="single" w:sz="6" w:space="0" w:color="69BD28"/>
              <w:bottom w:val="single" w:sz="6" w:space="0" w:color="69BD28"/>
            </w:tcBorders>
            <w:shd w:val="clear" w:color="auto" w:fill="006A4D"/>
          </w:tcPr>
          <w:p>
            <w:pPr>
              <w:pStyle w:val="TableParagraph"/>
              <w:spacing w:line="209" w:lineRule="exact" w:before="22"/>
              <w:ind w:left="995" w:right="436"/>
              <w:rPr>
                <w:b/>
                <w:sz w:val="18"/>
              </w:rPr>
            </w:pPr>
            <w:r>
              <w:rPr>
                <w:b/>
                <w:color w:val="FFFFFF"/>
                <w:w w:val="110"/>
                <w:sz w:val="18"/>
              </w:rPr>
              <w:t>Distance (km)</w:t>
            </w:r>
          </w:p>
        </w:tc>
      </w:tr>
      <w:tr>
        <w:trPr>
          <w:trHeight w:val="253" w:hRule="atLeast"/>
        </w:trPr>
        <w:tc>
          <w:tcPr>
            <w:tcW w:w="5052" w:type="dxa"/>
            <w:tcBorders>
              <w:top w:val="single" w:sz="6" w:space="0" w:color="69BD28"/>
              <w:bottom w:val="single" w:sz="6" w:space="0" w:color="69BD28"/>
            </w:tcBorders>
          </w:tcPr>
          <w:p>
            <w:pPr>
              <w:pStyle w:val="TableParagraph"/>
              <w:spacing w:before="22"/>
              <w:ind w:left="1524" w:right="963"/>
              <w:rPr>
                <w:sz w:val="18"/>
              </w:rPr>
            </w:pPr>
            <w:r>
              <w:rPr>
                <w:sz w:val="18"/>
              </w:rPr>
              <w:t>Domlur Flyover</w:t>
            </w:r>
          </w:p>
        </w:tc>
        <w:tc>
          <w:tcPr>
            <w:tcW w:w="2745" w:type="dxa"/>
            <w:tcBorders>
              <w:top w:val="single" w:sz="6" w:space="0" w:color="69BD28"/>
              <w:bottom w:val="single" w:sz="6" w:space="0" w:color="69BD28"/>
            </w:tcBorders>
          </w:tcPr>
          <w:p>
            <w:pPr>
              <w:pStyle w:val="TableParagraph"/>
              <w:spacing w:before="18"/>
              <w:ind w:left="996" w:right="432"/>
              <w:rPr>
                <w:sz w:val="18"/>
              </w:rPr>
            </w:pPr>
            <w:r>
              <w:rPr>
                <w:w w:val="135"/>
                <w:sz w:val="18"/>
              </w:rPr>
              <w:t>&lt;1</w:t>
            </w:r>
          </w:p>
        </w:tc>
      </w:tr>
      <w:tr>
        <w:trPr>
          <w:trHeight w:val="215" w:hRule="atLeast"/>
        </w:trPr>
        <w:tc>
          <w:tcPr>
            <w:tcW w:w="5052" w:type="dxa"/>
            <w:tcBorders>
              <w:top w:val="single" w:sz="6" w:space="0" w:color="69BD28"/>
              <w:bottom w:val="single" w:sz="6" w:space="0" w:color="69BD28"/>
            </w:tcBorders>
          </w:tcPr>
          <w:p>
            <w:pPr>
              <w:pStyle w:val="TableParagraph"/>
              <w:spacing w:line="192" w:lineRule="exact" w:before="3"/>
              <w:ind w:left="1525" w:right="961"/>
              <w:rPr>
                <w:sz w:val="18"/>
              </w:rPr>
            </w:pPr>
            <w:r>
              <w:rPr>
                <w:sz w:val="18"/>
              </w:rPr>
              <w:t>Indiranagar</w:t>
            </w:r>
          </w:p>
        </w:tc>
        <w:tc>
          <w:tcPr>
            <w:tcW w:w="2745" w:type="dxa"/>
            <w:tcBorders>
              <w:top w:val="single" w:sz="6" w:space="0" w:color="69BD28"/>
              <w:bottom w:val="single" w:sz="6" w:space="0" w:color="69BD28"/>
            </w:tcBorders>
          </w:tcPr>
          <w:p>
            <w:pPr>
              <w:pStyle w:val="TableParagraph"/>
              <w:spacing w:line="195" w:lineRule="exact"/>
              <w:ind w:left="996" w:right="436"/>
              <w:rPr>
                <w:sz w:val="18"/>
              </w:rPr>
            </w:pPr>
            <w:r>
              <w:rPr>
                <w:w w:val="120"/>
                <w:sz w:val="18"/>
              </w:rPr>
              <w:t>1 – 2</w:t>
            </w:r>
          </w:p>
        </w:tc>
      </w:tr>
      <w:tr>
        <w:trPr>
          <w:trHeight w:val="325" w:hRule="atLeast"/>
        </w:trPr>
        <w:tc>
          <w:tcPr>
            <w:tcW w:w="5052" w:type="dxa"/>
            <w:tcBorders>
              <w:top w:val="single" w:sz="6" w:space="0" w:color="69BD28"/>
              <w:bottom w:val="single" w:sz="6" w:space="0" w:color="69BD28"/>
            </w:tcBorders>
          </w:tcPr>
          <w:p>
            <w:pPr>
              <w:pStyle w:val="TableParagraph"/>
              <w:spacing w:before="58"/>
              <w:ind w:left="1525" w:right="962"/>
              <w:rPr>
                <w:sz w:val="18"/>
              </w:rPr>
            </w:pPr>
            <w:r>
              <w:rPr>
                <w:w w:val="105"/>
                <w:sz w:val="18"/>
              </w:rPr>
              <w:t>Koramangala</w:t>
            </w:r>
          </w:p>
        </w:tc>
        <w:tc>
          <w:tcPr>
            <w:tcW w:w="2745" w:type="dxa"/>
            <w:tcBorders>
              <w:top w:val="single" w:sz="6" w:space="0" w:color="69BD28"/>
              <w:bottom w:val="single" w:sz="6" w:space="0" w:color="69BD28"/>
            </w:tcBorders>
          </w:tcPr>
          <w:p>
            <w:pPr>
              <w:pStyle w:val="TableParagraph"/>
              <w:spacing w:before="51"/>
              <w:ind w:left="996" w:right="436"/>
              <w:rPr>
                <w:sz w:val="18"/>
              </w:rPr>
            </w:pPr>
            <w:r>
              <w:rPr>
                <w:w w:val="120"/>
                <w:sz w:val="18"/>
              </w:rPr>
              <w:t>2 – 3</w:t>
            </w:r>
          </w:p>
        </w:tc>
      </w:tr>
      <w:tr>
        <w:trPr>
          <w:trHeight w:val="251" w:hRule="atLeast"/>
        </w:trPr>
        <w:tc>
          <w:tcPr>
            <w:tcW w:w="5052" w:type="dxa"/>
            <w:tcBorders>
              <w:top w:val="single" w:sz="6" w:space="0" w:color="69BD28"/>
              <w:bottom w:val="single" w:sz="6" w:space="0" w:color="69BD28"/>
            </w:tcBorders>
          </w:tcPr>
          <w:p>
            <w:pPr>
              <w:pStyle w:val="TableParagraph"/>
              <w:spacing w:before="21"/>
              <w:ind w:left="1524" w:right="963"/>
              <w:rPr>
                <w:sz w:val="18"/>
              </w:rPr>
            </w:pPr>
            <w:r>
              <w:rPr>
                <w:w w:val="105"/>
                <w:sz w:val="18"/>
              </w:rPr>
              <w:t>MG Road (CBD)</w:t>
            </w:r>
          </w:p>
        </w:tc>
        <w:tc>
          <w:tcPr>
            <w:tcW w:w="2745" w:type="dxa"/>
            <w:tcBorders>
              <w:top w:val="single" w:sz="6" w:space="0" w:color="69BD28"/>
              <w:bottom w:val="single" w:sz="6" w:space="0" w:color="69BD28"/>
            </w:tcBorders>
          </w:tcPr>
          <w:p>
            <w:pPr>
              <w:pStyle w:val="TableParagraph"/>
              <w:spacing w:before="16"/>
              <w:ind w:left="996" w:right="436"/>
              <w:rPr>
                <w:sz w:val="18"/>
              </w:rPr>
            </w:pPr>
            <w:r>
              <w:rPr>
                <w:w w:val="120"/>
                <w:sz w:val="18"/>
              </w:rPr>
              <w:t>7 – 8</w:t>
            </w:r>
          </w:p>
        </w:tc>
      </w:tr>
      <w:tr>
        <w:trPr>
          <w:trHeight w:val="251" w:hRule="atLeast"/>
        </w:trPr>
        <w:tc>
          <w:tcPr>
            <w:tcW w:w="5052" w:type="dxa"/>
            <w:tcBorders>
              <w:top w:val="single" w:sz="6" w:space="0" w:color="69BD28"/>
              <w:bottom w:val="single" w:sz="6" w:space="0" w:color="69BD28"/>
            </w:tcBorders>
          </w:tcPr>
          <w:p>
            <w:pPr>
              <w:pStyle w:val="TableParagraph"/>
              <w:spacing w:line="209" w:lineRule="exact" w:before="22"/>
              <w:ind w:left="1525" w:right="963"/>
              <w:rPr>
                <w:sz w:val="18"/>
              </w:rPr>
            </w:pPr>
            <w:r>
              <w:rPr>
                <w:sz w:val="18"/>
              </w:rPr>
              <w:t>Bengaluru International Airport</w:t>
            </w:r>
          </w:p>
        </w:tc>
        <w:tc>
          <w:tcPr>
            <w:tcW w:w="2745" w:type="dxa"/>
            <w:tcBorders>
              <w:top w:val="single" w:sz="6" w:space="0" w:color="69BD28"/>
              <w:bottom w:val="single" w:sz="6" w:space="0" w:color="69BD28"/>
            </w:tcBorders>
          </w:tcPr>
          <w:p>
            <w:pPr>
              <w:pStyle w:val="TableParagraph"/>
              <w:spacing w:before="15"/>
              <w:ind w:left="996" w:right="436"/>
              <w:rPr>
                <w:sz w:val="18"/>
              </w:rPr>
            </w:pPr>
            <w:r>
              <w:rPr>
                <w:w w:val="120"/>
                <w:sz w:val="18"/>
              </w:rPr>
              <w:t>43 – 45</w:t>
            </w:r>
          </w:p>
        </w:tc>
      </w:tr>
    </w:tbl>
    <w:p>
      <w:pPr>
        <w:spacing w:before="39"/>
        <w:ind w:left="0" w:right="2807" w:firstLine="0"/>
        <w:jc w:val="center"/>
        <w:rPr>
          <w:i/>
          <w:sz w:val="18"/>
        </w:rPr>
      </w:pPr>
      <w:r>
        <w:rPr>
          <w:i/>
          <w:sz w:val="18"/>
        </w:rPr>
        <w:t>Source: Consultants’ Research</w:t>
      </w:r>
    </w:p>
    <w:p>
      <w:pPr>
        <w:pStyle w:val="BodyText"/>
        <w:spacing w:before="10"/>
        <w:rPr>
          <w:i/>
          <w:sz w:val="18"/>
        </w:rPr>
      </w:pPr>
    </w:p>
    <w:p>
      <w:pPr>
        <w:pStyle w:val="BodyText"/>
        <w:tabs>
          <w:tab w:pos="1877" w:val="left" w:leader="none"/>
        </w:tabs>
        <w:spacing w:before="1"/>
        <w:ind w:right="2880"/>
        <w:jc w:val="center"/>
      </w:pPr>
      <w:r>
        <w:rPr/>
        <w:t>Surrounds:</w:t>
        <w:tab/>
        <w:t>The</w:t>
      </w:r>
      <w:r>
        <w:rPr>
          <w:spacing w:val="-11"/>
        </w:rPr>
        <w:t> </w:t>
      </w:r>
      <w:r>
        <w:rPr/>
        <w:t>subject</w:t>
      </w:r>
      <w:r>
        <w:rPr>
          <w:spacing w:val="-12"/>
        </w:rPr>
        <w:t> </w:t>
      </w:r>
      <w:r>
        <w:rPr/>
        <w:t>property</w:t>
      </w:r>
      <w:r>
        <w:rPr>
          <w:spacing w:val="-9"/>
        </w:rPr>
        <w:t> </w:t>
      </w:r>
      <w:r>
        <w:rPr/>
        <w:t>is</w:t>
      </w:r>
      <w:r>
        <w:rPr>
          <w:spacing w:val="-11"/>
        </w:rPr>
        <w:t> </w:t>
      </w:r>
      <w:r>
        <w:rPr/>
        <w:t>surrounded</w:t>
      </w:r>
      <w:r>
        <w:rPr>
          <w:spacing w:val="-9"/>
        </w:rPr>
        <w:t> </w:t>
      </w:r>
      <w:r>
        <w:rPr/>
        <w:t>as</w:t>
      </w:r>
      <w:r>
        <w:rPr>
          <w:spacing w:val="-9"/>
        </w:rPr>
        <w:t> </w:t>
      </w:r>
      <w:r>
        <w:rPr/>
        <w:t>follows:</w:t>
      </w:r>
    </w:p>
    <w:p>
      <w:pPr>
        <w:pStyle w:val="BodyText"/>
        <w:spacing w:before="9"/>
        <w:rPr>
          <w:sz w:val="27"/>
        </w:rPr>
      </w:pPr>
    </w:p>
    <w:p>
      <w:pPr>
        <w:pStyle w:val="ListParagraph"/>
        <w:numPr>
          <w:ilvl w:val="1"/>
          <w:numId w:val="88"/>
        </w:numPr>
        <w:tabs>
          <w:tab w:pos="3942" w:val="left" w:leader="none"/>
          <w:tab w:pos="3943" w:val="left" w:leader="none"/>
        </w:tabs>
        <w:spacing w:line="240" w:lineRule="auto" w:before="0" w:after="0"/>
        <w:ind w:left="3942" w:right="0" w:hanging="361"/>
        <w:jc w:val="left"/>
        <w:rPr>
          <w:sz w:val="22"/>
        </w:rPr>
      </w:pPr>
      <w:r>
        <w:rPr>
          <w:sz w:val="22"/>
        </w:rPr>
        <w:t>North:</w:t>
      </w:r>
      <w:r>
        <w:rPr>
          <w:spacing w:val="-35"/>
          <w:sz w:val="22"/>
        </w:rPr>
        <w:t> </w:t>
      </w:r>
      <w:r>
        <w:rPr>
          <w:sz w:val="22"/>
        </w:rPr>
        <w:t>Embassy</w:t>
      </w:r>
      <w:r>
        <w:rPr>
          <w:spacing w:val="-35"/>
          <w:sz w:val="22"/>
        </w:rPr>
        <w:t> </w:t>
      </w:r>
      <w:r>
        <w:rPr>
          <w:sz w:val="22"/>
        </w:rPr>
        <w:t>GolfLinks</w:t>
      </w:r>
      <w:r>
        <w:rPr>
          <w:spacing w:val="-34"/>
          <w:sz w:val="22"/>
        </w:rPr>
        <w:t> </w:t>
      </w:r>
      <w:r>
        <w:rPr>
          <w:sz w:val="22"/>
        </w:rPr>
        <w:t>(larger</w:t>
      </w:r>
      <w:r>
        <w:rPr>
          <w:spacing w:val="-36"/>
          <w:sz w:val="22"/>
        </w:rPr>
        <w:t> </w:t>
      </w:r>
      <w:r>
        <w:rPr>
          <w:sz w:val="22"/>
        </w:rPr>
        <w:t>development)</w:t>
      </w:r>
    </w:p>
    <w:p>
      <w:pPr>
        <w:pStyle w:val="ListParagraph"/>
        <w:numPr>
          <w:ilvl w:val="1"/>
          <w:numId w:val="88"/>
        </w:numPr>
        <w:tabs>
          <w:tab w:pos="3942" w:val="left" w:leader="none"/>
          <w:tab w:pos="3943" w:val="left" w:leader="none"/>
        </w:tabs>
        <w:spacing w:line="240" w:lineRule="auto" w:before="202" w:after="0"/>
        <w:ind w:left="3942" w:right="0" w:hanging="361"/>
        <w:jc w:val="left"/>
        <w:rPr>
          <w:sz w:val="22"/>
        </w:rPr>
      </w:pPr>
      <w:r>
        <w:rPr>
          <w:sz w:val="22"/>
        </w:rPr>
        <w:t>South:</w:t>
      </w:r>
      <w:r>
        <w:rPr>
          <w:spacing w:val="-38"/>
          <w:sz w:val="22"/>
        </w:rPr>
        <w:t> </w:t>
      </w:r>
      <w:r>
        <w:rPr>
          <w:sz w:val="22"/>
        </w:rPr>
        <w:t>Embassy</w:t>
      </w:r>
      <w:r>
        <w:rPr>
          <w:spacing w:val="-38"/>
          <w:sz w:val="22"/>
        </w:rPr>
        <w:t> </w:t>
      </w:r>
      <w:r>
        <w:rPr>
          <w:sz w:val="22"/>
        </w:rPr>
        <w:t>GolfLinks</w:t>
      </w:r>
      <w:r>
        <w:rPr>
          <w:spacing w:val="-37"/>
          <w:sz w:val="22"/>
        </w:rPr>
        <w:t> </w:t>
      </w:r>
      <w:r>
        <w:rPr>
          <w:sz w:val="22"/>
        </w:rPr>
        <w:t>(larger</w:t>
      </w:r>
      <w:r>
        <w:rPr>
          <w:spacing w:val="-39"/>
          <w:sz w:val="22"/>
        </w:rPr>
        <w:t> </w:t>
      </w:r>
      <w:r>
        <w:rPr>
          <w:sz w:val="22"/>
        </w:rPr>
        <w:t>development)</w:t>
      </w:r>
    </w:p>
    <w:p>
      <w:pPr>
        <w:pStyle w:val="ListParagraph"/>
        <w:numPr>
          <w:ilvl w:val="1"/>
          <w:numId w:val="88"/>
        </w:numPr>
        <w:tabs>
          <w:tab w:pos="3942" w:val="left" w:leader="none"/>
          <w:tab w:pos="3943" w:val="left" w:leader="none"/>
        </w:tabs>
        <w:spacing w:line="240" w:lineRule="auto" w:before="201" w:after="0"/>
        <w:ind w:left="3942" w:right="0" w:hanging="361"/>
        <w:jc w:val="left"/>
        <w:rPr>
          <w:sz w:val="22"/>
        </w:rPr>
      </w:pPr>
      <w:r>
        <w:rPr>
          <w:sz w:val="22"/>
        </w:rPr>
        <w:t>East: Internal access</w:t>
      </w:r>
      <w:r>
        <w:rPr>
          <w:spacing w:val="-10"/>
          <w:sz w:val="22"/>
        </w:rPr>
        <w:t> </w:t>
      </w:r>
      <w:r>
        <w:rPr>
          <w:sz w:val="22"/>
        </w:rPr>
        <w:t>road</w:t>
      </w:r>
    </w:p>
    <w:p>
      <w:pPr>
        <w:pStyle w:val="ListParagraph"/>
        <w:numPr>
          <w:ilvl w:val="1"/>
          <w:numId w:val="88"/>
        </w:numPr>
        <w:tabs>
          <w:tab w:pos="3942" w:val="left" w:leader="none"/>
          <w:tab w:pos="3943" w:val="left" w:leader="none"/>
        </w:tabs>
        <w:spacing w:line="240" w:lineRule="auto" w:before="203" w:after="0"/>
        <w:ind w:left="3942" w:right="0" w:hanging="361"/>
        <w:jc w:val="left"/>
        <w:rPr>
          <w:sz w:val="22"/>
        </w:rPr>
      </w:pPr>
      <w:r>
        <w:rPr>
          <w:sz w:val="22"/>
        </w:rPr>
        <w:t>West: Embassy Golf links (larger</w:t>
      </w:r>
      <w:r>
        <w:rPr>
          <w:spacing w:val="-25"/>
          <w:sz w:val="22"/>
        </w:rPr>
        <w:t> </w:t>
      </w:r>
      <w:r>
        <w:rPr>
          <w:sz w:val="22"/>
        </w:rPr>
        <w:t>development)</w:t>
      </w:r>
    </w:p>
    <w:p>
      <w:pPr>
        <w:pStyle w:val="BodyText"/>
        <w:spacing w:before="1"/>
        <w:rPr>
          <w:sz w:val="19"/>
        </w:rPr>
      </w:pPr>
    </w:p>
    <w:p>
      <w:pPr>
        <w:spacing w:after="0"/>
        <w:rPr>
          <w:sz w:val="19"/>
        </w:rPr>
        <w:sectPr>
          <w:pgSz w:w="11910" w:h="16840"/>
          <w:pgMar w:header="720" w:footer="862" w:top="1660" w:bottom="1060" w:left="40" w:right="40"/>
        </w:sectPr>
      </w:pPr>
    </w:p>
    <w:p>
      <w:pPr>
        <w:pStyle w:val="BodyText"/>
        <w:spacing w:line="321" w:lineRule="auto" w:before="106"/>
        <w:ind w:left="1345"/>
      </w:pPr>
      <w:r>
        <w:rPr/>
        <w:t>Potential changes in </w:t>
      </w:r>
      <w:r>
        <w:rPr>
          <w:w w:val="95"/>
        </w:rPr>
        <w:t>surroundings:</w:t>
      </w:r>
    </w:p>
    <w:p>
      <w:pPr>
        <w:pStyle w:val="BodyText"/>
        <w:spacing w:line="321" w:lineRule="auto" w:before="106"/>
        <w:ind w:left="515" w:right="783"/>
        <w:jc w:val="both"/>
      </w:pPr>
      <w:r>
        <w:rPr/>
        <w:br w:type="column"/>
      </w:r>
      <w:r>
        <w:rPr/>
        <w:t>The subject sub market is amongst the most prominent commercial hubs in</w:t>
      </w:r>
      <w:r>
        <w:rPr>
          <w:spacing w:val="-43"/>
        </w:rPr>
        <w:t> </w:t>
      </w:r>
      <w:r>
        <w:rPr/>
        <w:t>the non-CBD</w:t>
      </w:r>
      <w:r>
        <w:rPr>
          <w:spacing w:val="-19"/>
        </w:rPr>
        <w:t> </w:t>
      </w:r>
      <w:r>
        <w:rPr/>
        <w:t>area</w:t>
      </w:r>
      <w:r>
        <w:rPr>
          <w:spacing w:val="-20"/>
        </w:rPr>
        <w:t> </w:t>
      </w:r>
      <w:r>
        <w:rPr/>
        <w:t>of</w:t>
      </w:r>
      <w:r>
        <w:rPr>
          <w:spacing w:val="-19"/>
        </w:rPr>
        <w:t> </w:t>
      </w:r>
      <w:r>
        <w:rPr/>
        <w:t>the</w:t>
      </w:r>
      <w:r>
        <w:rPr>
          <w:spacing w:val="-21"/>
        </w:rPr>
        <w:t> </w:t>
      </w:r>
      <w:r>
        <w:rPr/>
        <w:t>Bengaluru</w:t>
      </w:r>
      <w:r>
        <w:rPr>
          <w:spacing w:val="-19"/>
        </w:rPr>
        <w:t> </w:t>
      </w:r>
      <w:r>
        <w:rPr/>
        <w:t>office</w:t>
      </w:r>
      <w:r>
        <w:rPr>
          <w:spacing w:val="-20"/>
        </w:rPr>
        <w:t> </w:t>
      </w:r>
      <w:r>
        <w:rPr/>
        <w:t>space</w:t>
      </w:r>
      <w:r>
        <w:rPr>
          <w:spacing w:val="-20"/>
        </w:rPr>
        <w:t> </w:t>
      </w:r>
      <w:r>
        <w:rPr/>
        <w:t>market</w:t>
      </w:r>
      <w:r>
        <w:rPr>
          <w:spacing w:val="-17"/>
        </w:rPr>
        <w:t> </w:t>
      </w:r>
      <w:r>
        <w:rPr/>
        <w:t>and</w:t>
      </w:r>
      <w:r>
        <w:rPr>
          <w:spacing w:val="-20"/>
        </w:rPr>
        <w:t> </w:t>
      </w:r>
      <w:r>
        <w:rPr/>
        <w:t>enjoys</w:t>
      </w:r>
      <w:r>
        <w:rPr>
          <w:spacing w:val="-20"/>
        </w:rPr>
        <w:t> </w:t>
      </w:r>
      <w:r>
        <w:rPr/>
        <w:t>good</w:t>
      </w:r>
      <w:r>
        <w:rPr>
          <w:spacing w:val="-19"/>
        </w:rPr>
        <w:t> </w:t>
      </w:r>
      <w:r>
        <w:rPr/>
        <w:t>connectivity and accessibility through the Intermediate Ring Road. The first notable development in the subject region was Diamond District, by India Builders Corporation,</w:t>
      </w:r>
      <w:r>
        <w:rPr>
          <w:spacing w:val="-7"/>
        </w:rPr>
        <w:t> </w:t>
      </w:r>
      <w:r>
        <w:rPr/>
        <w:t>a</w:t>
      </w:r>
      <w:r>
        <w:rPr>
          <w:spacing w:val="-7"/>
        </w:rPr>
        <w:t> </w:t>
      </w:r>
      <w:r>
        <w:rPr/>
        <w:t>dense</w:t>
      </w:r>
      <w:r>
        <w:rPr>
          <w:spacing w:val="-7"/>
        </w:rPr>
        <w:t> </w:t>
      </w:r>
      <w:r>
        <w:rPr/>
        <w:t>mixed</w:t>
      </w:r>
      <w:r>
        <w:rPr>
          <w:spacing w:val="-6"/>
        </w:rPr>
        <w:t> </w:t>
      </w:r>
      <w:r>
        <w:rPr/>
        <w:t>used</w:t>
      </w:r>
      <w:r>
        <w:rPr>
          <w:spacing w:val="-7"/>
        </w:rPr>
        <w:t> </w:t>
      </w:r>
      <w:r>
        <w:rPr/>
        <w:t>development</w:t>
      </w:r>
      <w:r>
        <w:rPr>
          <w:spacing w:val="-6"/>
        </w:rPr>
        <w:t> </w:t>
      </w:r>
      <w:r>
        <w:rPr/>
        <w:t>comprising</w:t>
      </w:r>
      <w:r>
        <w:rPr>
          <w:spacing w:val="-6"/>
        </w:rPr>
        <w:t> </w:t>
      </w:r>
      <w:r>
        <w:rPr/>
        <w:t>of</w:t>
      </w:r>
      <w:r>
        <w:rPr>
          <w:spacing w:val="-5"/>
        </w:rPr>
        <w:t> </w:t>
      </w:r>
      <w:r>
        <w:rPr/>
        <w:t>commercial</w:t>
      </w:r>
      <w:r>
        <w:rPr>
          <w:spacing w:val="-7"/>
        </w:rPr>
        <w:t> </w:t>
      </w:r>
      <w:r>
        <w:rPr/>
        <w:t>office developments, residential apartments and support retail. Further, from 2003 onwards, the subject region has witnessed emergence of commercial developments such as Embassy GolfLinks, DivyaSree Greens, Maruthi Info Tech etc.</w:t>
      </w:r>
      <w:r>
        <w:rPr>
          <w:spacing w:val="-7"/>
        </w:rPr>
        <w:t> </w:t>
      </w:r>
      <w:r>
        <w:rPr/>
        <w:t>Prominent</w:t>
      </w:r>
      <w:r>
        <w:rPr>
          <w:spacing w:val="-6"/>
        </w:rPr>
        <w:t> </w:t>
      </w:r>
      <w:r>
        <w:rPr/>
        <w:t>hotels</w:t>
      </w:r>
      <w:r>
        <w:rPr>
          <w:spacing w:val="-7"/>
        </w:rPr>
        <w:t> </w:t>
      </w:r>
      <w:r>
        <w:rPr/>
        <w:t>located</w:t>
      </w:r>
      <w:r>
        <w:rPr>
          <w:spacing w:val="-5"/>
        </w:rPr>
        <w:t> </w:t>
      </w:r>
      <w:r>
        <w:rPr/>
        <w:t>in</w:t>
      </w:r>
      <w:r>
        <w:rPr>
          <w:spacing w:val="-7"/>
        </w:rPr>
        <w:t> </w:t>
      </w:r>
      <w:r>
        <w:rPr/>
        <w:t>the</w:t>
      </w:r>
      <w:r>
        <w:rPr>
          <w:spacing w:val="-7"/>
        </w:rPr>
        <w:t> </w:t>
      </w:r>
      <w:r>
        <w:rPr/>
        <w:t>immediate</w:t>
      </w:r>
      <w:r>
        <w:rPr>
          <w:spacing w:val="-7"/>
        </w:rPr>
        <w:t> </w:t>
      </w:r>
      <w:r>
        <w:rPr/>
        <w:t>vicinity</w:t>
      </w:r>
      <w:r>
        <w:rPr>
          <w:spacing w:val="-5"/>
        </w:rPr>
        <w:t> </w:t>
      </w:r>
      <w:r>
        <w:rPr/>
        <w:t>of</w:t>
      </w:r>
      <w:r>
        <w:rPr>
          <w:spacing w:val="-6"/>
        </w:rPr>
        <w:t> </w:t>
      </w:r>
      <w:r>
        <w:rPr/>
        <w:t>the</w:t>
      </w:r>
      <w:r>
        <w:rPr>
          <w:spacing w:val="-7"/>
        </w:rPr>
        <w:t> </w:t>
      </w:r>
      <w:r>
        <w:rPr/>
        <w:t>subject</w:t>
      </w:r>
      <w:r>
        <w:rPr>
          <w:spacing w:val="-6"/>
        </w:rPr>
        <w:t> </w:t>
      </w:r>
      <w:r>
        <w:rPr/>
        <w:t>property includes</w:t>
      </w:r>
      <w:r>
        <w:rPr>
          <w:spacing w:val="-8"/>
        </w:rPr>
        <w:t> </w:t>
      </w:r>
      <w:r>
        <w:rPr/>
        <w:t>The</w:t>
      </w:r>
      <w:r>
        <w:rPr>
          <w:spacing w:val="-10"/>
        </w:rPr>
        <w:t> </w:t>
      </w:r>
      <w:r>
        <w:rPr/>
        <w:t>Leela</w:t>
      </w:r>
      <w:r>
        <w:rPr>
          <w:spacing w:val="-10"/>
        </w:rPr>
        <w:t> </w:t>
      </w:r>
      <w:r>
        <w:rPr/>
        <w:t>Palace,</w:t>
      </w:r>
      <w:r>
        <w:rPr>
          <w:spacing w:val="-9"/>
        </w:rPr>
        <w:t> </w:t>
      </w:r>
      <w:r>
        <w:rPr/>
        <w:t>Royal</w:t>
      </w:r>
      <w:r>
        <w:rPr>
          <w:spacing w:val="-9"/>
        </w:rPr>
        <w:t> </w:t>
      </w:r>
      <w:r>
        <w:rPr/>
        <w:t>Orchid,</w:t>
      </w:r>
      <w:r>
        <w:rPr>
          <w:spacing w:val="-9"/>
        </w:rPr>
        <w:t> </w:t>
      </w:r>
      <w:r>
        <w:rPr/>
        <w:t>The</w:t>
      </w:r>
      <w:r>
        <w:rPr>
          <w:spacing w:val="-10"/>
        </w:rPr>
        <w:t> </w:t>
      </w:r>
      <w:r>
        <w:rPr/>
        <w:t>Paul</w:t>
      </w:r>
      <w:r>
        <w:rPr>
          <w:spacing w:val="-9"/>
        </w:rPr>
        <w:t> </w:t>
      </w:r>
      <w:r>
        <w:rPr/>
        <w:t>etc.</w:t>
      </w:r>
      <w:r>
        <w:rPr>
          <w:spacing w:val="-10"/>
        </w:rPr>
        <w:t> </w:t>
      </w:r>
      <w:r>
        <w:rPr/>
        <w:t>which</w:t>
      </w:r>
      <w:r>
        <w:rPr>
          <w:spacing w:val="-7"/>
        </w:rPr>
        <w:t> </w:t>
      </w:r>
      <w:r>
        <w:rPr/>
        <w:t>emerged</w:t>
      </w:r>
      <w:r>
        <w:rPr>
          <w:spacing w:val="-9"/>
        </w:rPr>
        <w:t> </w:t>
      </w:r>
      <w:r>
        <w:rPr/>
        <w:t>owing</w:t>
      </w:r>
      <w:r>
        <w:rPr>
          <w:spacing w:val="-8"/>
        </w:rPr>
        <w:t> </w:t>
      </w:r>
      <w:r>
        <w:rPr/>
        <w:t>to the tourist demand on account of presence of Old International Airport and demand from commercial developments located in the subject region. Going forward,</w:t>
      </w:r>
      <w:r>
        <w:rPr>
          <w:spacing w:val="-37"/>
        </w:rPr>
        <w:t> </w:t>
      </w:r>
      <w:r>
        <w:rPr/>
        <w:t>the</w:t>
      </w:r>
      <w:r>
        <w:rPr>
          <w:spacing w:val="-36"/>
        </w:rPr>
        <w:t> </w:t>
      </w:r>
      <w:r>
        <w:rPr/>
        <w:t>location</w:t>
      </w:r>
      <w:r>
        <w:rPr>
          <w:spacing w:val="-35"/>
        </w:rPr>
        <w:t> </w:t>
      </w:r>
      <w:r>
        <w:rPr/>
        <w:t>is</w:t>
      </w:r>
      <w:r>
        <w:rPr>
          <w:spacing w:val="-36"/>
        </w:rPr>
        <w:t> </w:t>
      </w:r>
      <w:r>
        <w:rPr/>
        <w:t>expected</w:t>
      </w:r>
      <w:r>
        <w:rPr>
          <w:spacing w:val="-36"/>
        </w:rPr>
        <w:t> </w:t>
      </w:r>
      <w:r>
        <w:rPr/>
        <w:t>to</w:t>
      </w:r>
      <w:r>
        <w:rPr>
          <w:spacing w:val="-37"/>
        </w:rPr>
        <w:t> </w:t>
      </w:r>
      <w:r>
        <w:rPr/>
        <w:t>witness</w:t>
      </w:r>
      <w:r>
        <w:rPr>
          <w:spacing w:val="-35"/>
        </w:rPr>
        <w:t> </w:t>
      </w:r>
      <w:r>
        <w:rPr/>
        <w:t>limited</w:t>
      </w:r>
      <w:r>
        <w:rPr>
          <w:spacing w:val="-35"/>
        </w:rPr>
        <w:t> </w:t>
      </w:r>
      <w:r>
        <w:rPr/>
        <w:t>real</w:t>
      </w:r>
      <w:r>
        <w:rPr>
          <w:spacing w:val="-36"/>
        </w:rPr>
        <w:t> </w:t>
      </w:r>
      <w:r>
        <w:rPr/>
        <w:t>estate</w:t>
      </w:r>
      <w:r>
        <w:rPr>
          <w:spacing w:val="-35"/>
        </w:rPr>
        <w:t> </w:t>
      </w:r>
      <w:r>
        <w:rPr/>
        <w:t>activity</w:t>
      </w:r>
      <w:r>
        <w:rPr>
          <w:spacing w:val="-37"/>
        </w:rPr>
        <w:t> </w:t>
      </w:r>
      <w:r>
        <w:rPr/>
        <w:t>on</w:t>
      </w:r>
      <w:r>
        <w:rPr>
          <w:spacing w:val="-35"/>
        </w:rPr>
        <w:t> </w:t>
      </w:r>
      <w:r>
        <w:rPr/>
        <w:t>account of</w:t>
      </w:r>
      <w:r>
        <w:rPr>
          <w:spacing w:val="-12"/>
        </w:rPr>
        <w:t> </w:t>
      </w:r>
      <w:r>
        <w:rPr/>
        <w:t>lack</w:t>
      </w:r>
      <w:r>
        <w:rPr>
          <w:spacing w:val="-12"/>
        </w:rPr>
        <w:t> </w:t>
      </w:r>
      <w:r>
        <w:rPr/>
        <w:t>of</w:t>
      </w:r>
      <w:r>
        <w:rPr>
          <w:spacing w:val="-11"/>
        </w:rPr>
        <w:t> </w:t>
      </w:r>
      <w:r>
        <w:rPr/>
        <w:t>developable</w:t>
      </w:r>
      <w:r>
        <w:rPr>
          <w:spacing w:val="-13"/>
        </w:rPr>
        <w:t> </w:t>
      </w:r>
      <w:r>
        <w:rPr/>
        <w:t>land</w:t>
      </w:r>
      <w:r>
        <w:rPr>
          <w:spacing w:val="-11"/>
        </w:rPr>
        <w:t> </w:t>
      </w:r>
      <w:r>
        <w:rPr/>
        <w:t>with</w:t>
      </w:r>
      <w:r>
        <w:rPr>
          <w:spacing w:val="-13"/>
        </w:rPr>
        <w:t> </w:t>
      </w:r>
      <w:r>
        <w:rPr/>
        <w:t>large</w:t>
      </w:r>
      <w:r>
        <w:rPr>
          <w:spacing w:val="-12"/>
        </w:rPr>
        <w:t> </w:t>
      </w:r>
      <w:r>
        <w:rPr/>
        <w:t>proportion</w:t>
      </w:r>
      <w:r>
        <w:rPr>
          <w:spacing w:val="-14"/>
        </w:rPr>
        <w:t> </w:t>
      </w:r>
      <w:r>
        <w:rPr/>
        <w:t>of</w:t>
      </w:r>
      <w:r>
        <w:rPr>
          <w:spacing w:val="-11"/>
        </w:rPr>
        <w:t> </w:t>
      </w:r>
      <w:r>
        <w:rPr/>
        <w:t>vacant</w:t>
      </w:r>
      <w:r>
        <w:rPr>
          <w:spacing w:val="-11"/>
        </w:rPr>
        <w:t> </w:t>
      </w:r>
      <w:r>
        <w:rPr/>
        <w:t>land</w:t>
      </w:r>
      <w:r>
        <w:rPr>
          <w:spacing w:val="-12"/>
        </w:rPr>
        <w:t> </w:t>
      </w:r>
      <w:r>
        <w:rPr/>
        <w:t>currently</w:t>
      </w:r>
      <w:r>
        <w:rPr>
          <w:spacing w:val="-13"/>
        </w:rPr>
        <w:t> </w:t>
      </w:r>
      <w:r>
        <w:rPr/>
        <w:t>under the ownership of Defence</w:t>
      </w:r>
      <w:r>
        <w:rPr>
          <w:spacing w:val="-21"/>
        </w:rPr>
        <w:t> </w:t>
      </w:r>
      <w:r>
        <w:rPr/>
        <w:t>services.</w:t>
      </w:r>
    </w:p>
    <w:p>
      <w:pPr>
        <w:spacing w:after="0" w:line="321" w:lineRule="auto"/>
        <w:jc w:val="both"/>
        <w:sectPr>
          <w:type w:val="continuous"/>
          <w:pgSz w:w="11910" w:h="16840"/>
          <w:pgMar w:top="800" w:bottom="280" w:left="40" w:right="40"/>
          <w:cols w:num="2" w:equalWidth="0">
            <w:col w:w="2668" w:space="40"/>
            <w:col w:w="9122"/>
          </w:cols>
        </w:sectPr>
      </w:pPr>
    </w:p>
    <w:p>
      <w:pPr>
        <w:pStyle w:val="BodyText"/>
        <w:spacing w:before="4"/>
        <w:rPr>
          <w:sz w:val="12"/>
        </w:rPr>
      </w:pPr>
    </w:p>
    <w:p>
      <w:pPr>
        <w:spacing w:after="0"/>
        <w:rPr>
          <w:sz w:val="12"/>
        </w:rPr>
        <w:sectPr>
          <w:type w:val="continuous"/>
          <w:pgSz w:w="11910" w:h="16840"/>
          <w:pgMar w:top="800" w:bottom="280" w:left="40" w:right="40"/>
        </w:sectPr>
      </w:pPr>
    </w:p>
    <w:p>
      <w:pPr>
        <w:pStyle w:val="BodyText"/>
        <w:spacing w:line="321" w:lineRule="auto" w:before="106"/>
        <w:ind w:left="1345" w:right="-14"/>
      </w:pPr>
      <w:r>
        <w:rPr>
          <w:w w:val="95"/>
        </w:rPr>
        <w:t>Suitability</w:t>
      </w:r>
      <w:r>
        <w:rPr>
          <w:spacing w:val="-39"/>
          <w:w w:val="95"/>
        </w:rPr>
        <w:t> </w:t>
      </w:r>
      <w:r>
        <w:rPr>
          <w:w w:val="95"/>
        </w:rPr>
        <w:t>of existing</w:t>
      </w:r>
      <w:r>
        <w:rPr>
          <w:spacing w:val="-5"/>
          <w:w w:val="95"/>
        </w:rPr>
        <w:t> use:</w:t>
      </w:r>
    </w:p>
    <w:p>
      <w:pPr>
        <w:pStyle w:val="BodyText"/>
        <w:spacing w:line="321" w:lineRule="auto" w:before="106"/>
        <w:ind w:left="667" w:right="786"/>
        <w:jc w:val="both"/>
      </w:pPr>
      <w:r>
        <w:rPr/>
        <w:br w:type="column"/>
      </w:r>
      <w:r>
        <w:rPr/>
        <w:t>Considering the profile of surrounding developments, the subject property is opined to be suited for its current use viz. hospitality development as part of</w:t>
      </w:r>
      <w:r>
        <w:rPr>
          <w:spacing w:val="-42"/>
        </w:rPr>
        <w:t> </w:t>
      </w:r>
      <w:r>
        <w:rPr/>
        <w:t>a larger office asset</w:t>
      </w:r>
      <w:r>
        <w:rPr>
          <w:spacing w:val="-14"/>
        </w:rPr>
        <w:t> </w:t>
      </w:r>
      <w:r>
        <w:rPr/>
        <w:t>development.</w:t>
      </w:r>
    </w:p>
    <w:p>
      <w:pPr>
        <w:spacing w:after="0" w:line="321" w:lineRule="auto"/>
        <w:jc w:val="both"/>
        <w:sectPr>
          <w:type w:val="continuous"/>
          <w:pgSz w:w="11910" w:h="16840"/>
          <w:pgMar w:top="800" w:bottom="280" w:left="40" w:right="40"/>
          <w:cols w:num="2" w:equalWidth="0">
            <w:col w:w="2515" w:space="40"/>
            <w:col w:w="9275"/>
          </w:cols>
        </w:sectPr>
      </w:pPr>
    </w:p>
    <w:p>
      <w:pPr>
        <w:pStyle w:val="BodyText"/>
        <w:spacing w:before="7"/>
        <w:rPr>
          <w:sz w:val="9"/>
        </w:rPr>
      </w:pPr>
    </w:p>
    <w:p>
      <w:pPr>
        <w:pStyle w:val="BodyText"/>
        <w:spacing w:before="106"/>
        <w:ind w:left="744"/>
      </w:pPr>
      <w:r>
        <w:rPr/>
        <w:t>The following map indicates the location of the subject property and surrounding developments:</w:t>
      </w:r>
    </w:p>
    <w:p>
      <w:pPr>
        <w:pStyle w:val="BodyText"/>
        <w:spacing w:before="8"/>
        <w:rPr>
          <w:sz w:val="19"/>
        </w:rPr>
      </w:pPr>
      <w:r>
        <w:rPr/>
        <w:pict>
          <v:group style="position:absolute;margin-left:36pt;margin-top:13.424435pt;width:523.6pt;height:14.2pt;mso-position-horizontal-relative:page;mso-position-vertical-relative:paragraph;z-index:-14972928;mso-wrap-distance-left:0;mso-wrap-distance-right:0" coordorigin="720,268" coordsize="10472,284">
            <v:rect style="position:absolute;left:720;top:297;width:10472;height:255" filled="true" fillcolor="#006a4d" stroked="false">
              <v:fill type="solid"/>
            </v:rect>
            <v:rect style="position:absolute;left:720;top:268;width:10472;height:29" filled="true" fillcolor="#1f6b16" stroked="false">
              <v:fill type="solid"/>
            </v:rect>
            <v:rect style="position:absolute;left:720;top:297;width:10472;height:3" filled="true" fillcolor="#006a4d" stroked="false">
              <v:fill type="solid"/>
            </v:rect>
            <v:shape style="position:absolute;left:720;top:299;width:10472;height:252" type="#_x0000_t202" filled="false" stroked="false">
              <v:textbox inset="0,0,0,0">
                <w:txbxContent>
                  <w:p>
                    <w:pPr>
                      <w:spacing w:before="20"/>
                      <w:ind w:left="70" w:right="71" w:firstLine="0"/>
                      <w:jc w:val="center"/>
                      <w:rPr>
                        <w:b/>
                        <w:sz w:val="18"/>
                      </w:rPr>
                    </w:pPr>
                    <w:r>
                      <w:rPr>
                        <w:b/>
                        <w:color w:val="FFFFFF"/>
                        <w:w w:val="105"/>
                        <w:sz w:val="18"/>
                      </w:rPr>
                      <w:t>Location Map for the Subject Property</w:t>
                    </w:r>
                  </w:p>
                </w:txbxContent>
              </v:textbox>
              <w10:wrap type="none"/>
            </v:shape>
            <w10:wrap type="topAndBottom"/>
          </v:group>
        </w:pict>
      </w:r>
      <w:r>
        <w:rPr/>
        <w:drawing>
          <wp:anchor distT="0" distB="0" distL="0" distR="0" allowOverlap="1" layoutInCell="1" locked="0" behindDoc="0" simplePos="0" relativeHeight="1477">
            <wp:simplePos x="0" y="0"/>
            <wp:positionH relativeFrom="page">
              <wp:posOffset>580707</wp:posOffset>
            </wp:positionH>
            <wp:positionV relativeFrom="paragraph">
              <wp:posOffset>489005</wp:posOffset>
            </wp:positionV>
            <wp:extent cx="6335097" cy="4497324"/>
            <wp:effectExtent l="0" t="0" r="0" b="0"/>
            <wp:wrapTopAndBottom/>
            <wp:docPr id="317" name="image223.png"/>
            <wp:cNvGraphicFramePr>
              <a:graphicFrameLocks noChangeAspect="1"/>
            </wp:cNvGraphicFramePr>
            <a:graphic>
              <a:graphicData uri="http://schemas.openxmlformats.org/drawingml/2006/picture">
                <pic:pic>
                  <pic:nvPicPr>
                    <pic:cNvPr id="318" name="image223.png"/>
                    <pic:cNvPicPr/>
                  </pic:nvPicPr>
                  <pic:blipFill>
                    <a:blip r:embed="rId298" cstate="print"/>
                    <a:stretch>
                      <a:fillRect/>
                    </a:stretch>
                  </pic:blipFill>
                  <pic:spPr>
                    <a:xfrm>
                      <a:off x="0" y="0"/>
                      <a:ext cx="6335097" cy="4497324"/>
                    </a:xfrm>
                    <a:prstGeom prst="rect">
                      <a:avLst/>
                    </a:prstGeom>
                  </pic:spPr>
                </pic:pic>
              </a:graphicData>
            </a:graphic>
          </wp:anchor>
        </w:drawing>
      </w:r>
    </w:p>
    <w:p>
      <w:pPr>
        <w:pStyle w:val="BodyText"/>
        <w:spacing w:before="11"/>
        <w:rPr>
          <w:sz w:val="12"/>
        </w:rPr>
      </w:pPr>
    </w:p>
    <w:p>
      <w:pPr>
        <w:spacing w:before="64"/>
        <w:ind w:left="780" w:right="0" w:firstLine="0"/>
        <w:jc w:val="left"/>
        <w:rPr>
          <w:i/>
          <w:sz w:val="18"/>
        </w:rPr>
      </w:pPr>
      <w:r>
        <w:rPr>
          <w:i/>
          <w:sz w:val="18"/>
        </w:rPr>
        <w:t>Source: Consultants’ Research</w:t>
      </w:r>
    </w:p>
    <w:p>
      <w:pPr>
        <w:spacing w:after="0"/>
        <w:jc w:val="left"/>
        <w:rPr>
          <w:sz w:val="18"/>
        </w:rPr>
        <w:sectPr>
          <w:pgSz w:w="11910" w:h="16840"/>
          <w:pgMar w:header="720" w:footer="862" w:top="1660" w:bottom="1060" w:left="40" w:right="40"/>
        </w:sectPr>
      </w:pPr>
    </w:p>
    <w:p>
      <w:pPr>
        <w:pStyle w:val="BodyText"/>
        <w:spacing w:before="7"/>
        <w:rPr>
          <w:i/>
          <w:sz w:val="9"/>
        </w:rPr>
      </w:pPr>
    </w:p>
    <w:p>
      <w:pPr>
        <w:pStyle w:val="BodyText"/>
        <w:tabs>
          <w:tab w:pos="3275" w:val="left" w:leader="none"/>
        </w:tabs>
        <w:spacing w:line="321" w:lineRule="auto" w:before="106"/>
        <w:ind w:left="3275" w:right="781" w:hanging="1931"/>
        <w:jc w:val="both"/>
      </w:pPr>
      <w:r>
        <w:rPr/>
        <w:t>Shape:</w:t>
        <w:tab/>
        <w:t>Based</w:t>
      </w:r>
      <w:r>
        <w:rPr>
          <w:spacing w:val="-37"/>
        </w:rPr>
        <w:t> </w:t>
      </w:r>
      <w:r>
        <w:rPr/>
        <w:t>on</w:t>
      </w:r>
      <w:r>
        <w:rPr>
          <w:spacing w:val="-37"/>
        </w:rPr>
        <w:t> </w:t>
      </w:r>
      <w:r>
        <w:rPr/>
        <w:t>site</w:t>
      </w:r>
      <w:r>
        <w:rPr>
          <w:spacing w:val="-36"/>
        </w:rPr>
        <w:t> </w:t>
      </w:r>
      <w:r>
        <w:rPr/>
        <w:t>plan</w:t>
      </w:r>
      <w:r>
        <w:rPr>
          <w:spacing w:val="-38"/>
        </w:rPr>
        <w:t> </w:t>
      </w:r>
      <w:r>
        <w:rPr/>
        <w:t>provided</w:t>
      </w:r>
      <w:r>
        <w:rPr>
          <w:spacing w:val="-35"/>
        </w:rPr>
        <w:t> </w:t>
      </w:r>
      <w:r>
        <w:rPr/>
        <w:t>by</w:t>
      </w:r>
      <w:r>
        <w:rPr>
          <w:spacing w:val="-36"/>
        </w:rPr>
        <w:t> </w:t>
      </w:r>
      <w:r>
        <w:rPr/>
        <w:t>the</w:t>
      </w:r>
      <w:r>
        <w:rPr>
          <w:spacing w:val="-36"/>
        </w:rPr>
        <w:t> </w:t>
      </w:r>
      <w:r>
        <w:rPr/>
        <w:t>Client</w:t>
      </w:r>
      <w:r>
        <w:rPr>
          <w:spacing w:val="-36"/>
        </w:rPr>
        <w:t> </w:t>
      </w:r>
      <w:r>
        <w:rPr/>
        <w:t>and</w:t>
      </w:r>
      <w:r>
        <w:rPr>
          <w:spacing w:val="-35"/>
        </w:rPr>
        <w:t> </w:t>
      </w:r>
      <w:r>
        <w:rPr/>
        <w:t>visual</w:t>
      </w:r>
      <w:r>
        <w:rPr>
          <w:spacing w:val="-36"/>
        </w:rPr>
        <w:t> </w:t>
      </w:r>
      <w:r>
        <w:rPr/>
        <w:t>inspection</w:t>
      </w:r>
      <w:r>
        <w:rPr>
          <w:spacing w:val="-37"/>
        </w:rPr>
        <w:t> </w:t>
      </w:r>
      <w:r>
        <w:rPr/>
        <w:t>during</w:t>
      </w:r>
      <w:r>
        <w:rPr>
          <w:spacing w:val="-36"/>
        </w:rPr>
        <w:t> </w:t>
      </w:r>
      <w:r>
        <w:rPr/>
        <w:t>the</w:t>
      </w:r>
      <w:r>
        <w:rPr>
          <w:spacing w:val="-34"/>
        </w:rPr>
        <w:t> </w:t>
      </w:r>
      <w:r>
        <w:rPr/>
        <w:t>site</w:t>
      </w:r>
      <w:r>
        <w:rPr>
          <w:spacing w:val="-35"/>
        </w:rPr>
        <w:t> </w:t>
      </w:r>
      <w:r>
        <w:rPr/>
        <w:t>visit, it</w:t>
      </w:r>
      <w:r>
        <w:rPr>
          <w:spacing w:val="-19"/>
        </w:rPr>
        <w:t> </w:t>
      </w:r>
      <w:r>
        <w:rPr/>
        <w:t>is</w:t>
      </w:r>
      <w:r>
        <w:rPr>
          <w:spacing w:val="-19"/>
        </w:rPr>
        <w:t> </w:t>
      </w:r>
      <w:r>
        <w:rPr/>
        <w:t>understood</w:t>
      </w:r>
      <w:r>
        <w:rPr>
          <w:spacing w:val="-18"/>
        </w:rPr>
        <w:t> </w:t>
      </w:r>
      <w:r>
        <w:rPr/>
        <w:t>that</w:t>
      </w:r>
      <w:r>
        <w:rPr>
          <w:spacing w:val="-19"/>
        </w:rPr>
        <w:t> </w:t>
      </w:r>
      <w:r>
        <w:rPr/>
        <w:t>the</w:t>
      </w:r>
      <w:r>
        <w:rPr>
          <w:spacing w:val="-21"/>
        </w:rPr>
        <w:t> </w:t>
      </w:r>
      <w:r>
        <w:rPr/>
        <w:t>subject</w:t>
      </w:r>
      <w:r>
        <w:rPr>
          <w:spacing w:val="-19"/>
        </w:rPr>
        <w:t> </w:t>
      </w:r>
      <w:r>
        <w:rPr/>
        <w:t>property</w:t>
      </w:r>
      <w:r>
        <w:rPr>
          <w:spacing w:val="-18"/>
        </w:rPr>
        <w:t> </w:t>
      </w:r>
      <w:r>
        <w:rPr/>
        <w:t>is</w:t>
      </w:r>
      <w:r>
        <w:rPr>
          <w:spacing w:val="-18"/>
        </w:rPr>
        <w:t> </w:t>
      </w:r>
      <w:r>
        <w:rPr/>
        <w:t>an</w:t>
      </w:r>
      <w:r>
        <w:rPr>
          <w:spacing w:val="-19"/>
        </w:rPr>
        <w:t> </w:t>
      </w:r>
      <w:r>
        <w:rPr/>
        <w:t>irregular</w:t>
      </w:r>
      <w:r>
        <w:rPr>
          <w:spacing w:val="-19"/>
        </w:rPr>
        <w:t> </w:t>
      </w:r>
      <w:r>
        <w:rPr/>
        <w:t>shaped</w:t>
      </w:r>
      <w:r>
        <w:rPr>
          <w:spacing w:val="-19"/>
        </w:rPr>
        <w:t> </w:t>
      </w:r>
      <w:r>
        <w:rPr/>
        <w:t>land</w:t>
      </w:r>
      <w:r>
        <w:rPr>
          <w:spacing w:val="-18"/>
        </w:rPr>
        <w:t> </w:t>
      </w:r>
      <w:r>
        <w:rPr/>
        <w:t>parcel.</w:t>
      </w:r>
    </w:p>
    <w:p>
      <w:pPr>
        <w:pStyle w:val="BodyText"/>
        <w:tabs>
          <w:tab w:pos="3275" w:val="left" w:leader="none"/>
        </w:tabs>
        <w:spacing w:line="319" w:lineRule="auto" w:before="122"/>
        <w:ind w:left="3275" w:right="782" w:hanging="1931"/>
        <w:jc w:val="both"/>
      </w:pPr>
      <w:r>
        <w:rPr/>
        <w:t>Topography:</w:t>
        <w:tab/>
        <w:t>Based</w:t>
      </w:r>
      <w:r>
        <w:rPr>
          <w:spacing w:val="-19"/>
        </w:rPr>
        <w:t> </w:t>
      </w:r>
      <w:r>
        <w:rPr/>
        <w:t>on</w:t>
      </w:r>
      <w:r>
        <w:rPr>
          <w:spacing w:val="-20"/>
        </w:rPr>
        <w:t> </w:t>
      </w:r>
      <w:r>
        <w:rPr/>
        <w:t>the</w:t>
      </w:r>
      <w:r>
        <w:rPr>
          <w:spacing w:val="-20"/>
        </w:rPr>
        <w:t> </w:t>
      </w:r>
      <w:r>
        <w:rPr/>
        <w:t>site</w:t>
      </w:r>
      <w:r>
        <w:rPr>
          <w:spacing w:val="-20"/>
        </w:rPr>
        <w:t> </w:t>
      </w:r>
      <w:r>
        <w:rPr/>
        <w:t>plan</w:t>
      </w:r>
      <w:r>
        <w:rPr>
          <w:spacing w:val="-19"/>
        </w:rPr>
        <w:t> </w:t>
      </w:r>
      <w:r>
        <w:rPr/>
        <w:t>and</w:t>
      </w:r>
      <w:r>
        <w:rPr>
          <w:spacing w:val="-17"/>
        </w:rPr>
        <w:t> </w:t>
      </w:r>
      <w:r>
        <w:rPr/>
        <w:t>as</w:t>
      </w:r>
      <w:r>
        <w:rPr>
          <w:spacing w:val="-18"/>
        </w:rPr>
        <w:t> </w:t>
      </w:r>
      <w:r>
        <w:rPr/>
        <w:t>corroborated</w:t>
      </w:r>
      <w:r>
        <w:rPr>
          <w:spacing w:val="-19"/>
        </w:rPr>
        <w:t> </w:t>
      </w:r>
      <w:r>
        <w:rPr/>
        <w:t>with</w:t>
      </w:r>
      <w:r>
        <w:rPr>
          <w:spacing w:val="-20"/>
        </w:rPr>
        <w:t> </w:t>
      </w:r>
      <w:r>
        <w:rPr/>
        <w:t>our</w:t>
      </w:r>
      <w:r>
        <w:rPr>
          <w:spacing w:val="-20"/>
        </w:rPr>
        <w:t> </w:t>
      </w:r>
      <w:r>
        <w:rPr/>
        <w:t>site</w:t>
      </w:r>
      <w:r>
        <w:rPr>
          <w:spacing w:val="-19"/>
        </w:rPr>
        <w:t> </w:t>
      </w:r>
      <w:r>
        <w:rPr/>
        <w:t>visit,</w:t>
      </w:r>
      <w:r>
        <w:rPr>
          <w:spacing w:val="-20"/>
        </w:rPr>
        <w:t> </w:t>
      </w:r>
      <w:r>
        <w:rPr/>
        <w:t>the</w:t>
      </w:r>
      <w:r>
        <w:rPr>
          <w:spacing w:val="-20"/>
        </w:rPr>
        <w:t> </w:t>
      </w:r>
      <w:r>
        <w:rPr/>
        <w:t>site</w:t>
      </w:r>
      <w:r>
        <w:rPr>
          <w:spacing w:val="-18"/>
        </w:rPr>
        <w:t> </w:t>
      </w:r>
      <w:r>
        <w:rPr/>
        <w:t>appears</w:t>
      </w:r>
      <w:r>
        <w:rPr>
          <w:spacing w:val="-18"/>
        </w:rPr>
        <w:t> </w:t>
      </w:r>
      <w:r>
        <w:rPr/>
        <w:t>to be</w:t>
      </w:r>
      <w:r>
        <w:rPr>
          <w:spacing w:val="-24"/>
        </w:rPr>
        <w:t> </w:t>
      </w:r>
      <w:r>
        <w:rPr/>
        <w:t>even</w:t>
      </w:r>
      <w:r>
        <w:rPr>
          <w:spacing w:val="-24"/>
        </w:rPr>
        <w:t> </w:t>
      </w:r>
      <w:r>
        <w:rPr/>
        <w:t>and</w:t>
      </w:r>
      <w:r>
        <w:rPr>
          <w:spacing w:val="-23"/>
        </w:rPr>
        <w:t> </w:t>
      </w:r>
      <w:r>
        <w:rPr/>
        <w:t>on</w:t>
      </w:r>
      <w:r>
        <w:rPr>
          <w:spacing w:val="-23"/>
        </w:rPr>
        <w:t> </w:t>
      </w:r>
      <w:r>
        <w:rPr/>
        <w:t>the</w:t>
      </w:r>
      <w:r>
        <w:rPr>
          <w:spacing w:val="-22"/>
        </w:rPr>
        <w:t> </w:t>
      </w:r>
      <w:r>
        <w:rPr/>
        <w:t>same</w:t>
      </w:r>
      <w:r>
        <w:rPr>
          <w:spacing w:val="-24"/>
        </w:rPr>
        <w:t> </w:t>
      </w:r>
      <w:r>
        <w:rPr/>
        <w:t>level</w:t>
      </w:r>
      <w:r>
        <w:rPr>
          <w:spacing w:val="-22"/>
        </w:rPr>
        <w:t> </w:t>
      </w:r>
      <w:r>
        <w:rPr/>
        <w:t>as</w:t>
      </w:r>
      <w:r>
        <w:rPr>
          <w:spacing w:val="-22"/>
        </w:rPr>
        <w:t> </w:t>
      </w:r>
      <w:r>
        <w:rPr/>
        <w:t>abutting</w:t>
      </w:r>
      <w:r>
        <w:rPr>
          <w:spacing w:val="-22"/>
        </w:rPr>
        <w:t> </w:t>
      </w:r>
      <w:r>
        <w:rPr/>
        <w:t>access</w:t>
      </w:r>
      <w:r>
        <w:rPr>
          <w:spacing w:val="-22"/>
        </w:rPr>
        <w:t> </w:t>
      </w:r>
      <w:r>
        <w:rPr/>
        <w:t>roads</w:t>
      </w:r>
      <w:r>
        <w:rPr>
          <w:spacing w:val="-22"/>
        </w:rPr>
        <w:t> </w:t>
      </w:r>
      <w:r>
        <w:rPr/>
        <w:t>and</w:t>
      </w:r>
      <w:r>
        <w:rPr>
          <w:spacing w:val="-20"/>
        </w:rPr>
        <w:t> </w:t>
      </w:r>
      <w:r>
        <w:rPr/>
        <w:t>adjoining</w:t>
      </w:r>
      <w:r>
        <w:rPr>
          <w:spacing w:val="-22"/>
        </w:rPr>
        <w:t> </w:t>
      </w:r>
      <w:r>
        <w:rPr/>
        <w:t>properties.</w:t>
      </w:r>
    </w:p>
    <w:p>
      <w:pPr>
        <w:pStyle w:val="BodyText"/>
        <w:tabs>
          <w:tab w:pos="3275" w:val="left" w:leader="none"/>
        </w:tabs>
        <w:spacing w:line="321" w:lineRule="auto" w:before="125"/>
        <w:ind w:left="3275" w:right="782" w:hanging="1931"/>
        <w:jc w:val="both"/>
      </w:pPr>
      <w:r>
        <w:rPr/>
        <w:t>Frontage:</w:t>
        <w:tab/>
        <w:t>Based on review of site plan, visual inspection and measurements made on Google</w:t>
      </w:r>
      <w:r>
        <w:rPr>
          <w:spacing w:val="-19"/>
        </w:rPr>
        <w:t> </w:t>
      </w:r>
      <w:r>
        <w:rPr/>
        <w:t>maps,</w:t>
      </w:r>
      <w:r>
        <w:rPr>
          <w:spacing w:val="-18"/>
        </w:rPr>
        <w:t> </w:t>
      </w:r>
      <w:r>
        <w:rPr/>
        <w:t>we</w:t>
      </w:r>
      <w:r>
        <w:rPr>
          <w:spacing w:val="-19"/>
        </w:rPr>
        <w:t> </w:t>
      </w:r>
      <w:r>
        <w:rPr/>
        <w:t>understand</w:t>
      </w:r>
      <w:r>
        <w:rPr>
          <w:spacing w:val="-16"/>
        </w:rPr>
        <w:t> </w:t>
      </w:r>
      <w:r>
        <w:rPr/>
        <w:t>that</w:t>
      </w:r>
      <w:r>
        <w:rPr>
          <w:spacing w:val="-17"/>
        </w:rPr>
        <w:t> </w:t>
      </w:r>
      <w:r>
        <w:rPr/>
        <w:t>the</w:t>
      </w:r>
      <w:r>
        <w:rPr>
          <w:spacing w:val="-19"/>
        </w:rPr>
        <w:t> </w:t>
      </w:r>
      <w:r>
        <w:rPr/>
        <w:t>frontage</w:t>
      </w:r>
      <w:r>
        <w:rPr>
          <w:spacing w:val="-18"/>
        </w:rPr>
        <w:t> </w:t>
      </w:r>
      <w:r>
        <w:rPr/>
        <w:t>is</w:t>
      </w:r>
      <w:r>
        <w:rPr>
          <w:spacing w:val="-17"/>
        </w:rPr>
        <w:t> </w:t>
      </w:r>
      <w:r>
        <w:rPr/>
        <w:t>through</w:t>
      </w:r>
      <w:r>
        <w:rPr>
          <w:spacing w:val="-17"/>
        </w:rPr>
        <w:t> </w:t>
      </w:r>
      <w:r>
        <w:rPr/>
        <w:t>the</w:t>
      </w:r>
      <w:r>
        <w:rPr>
          <w:spacing w:val="-18"/>
        </w:rPr>
        <w:t> </w:t>
      </w:r>
      <w:r>
        <w:rPr/>
        <w:t>Embassy</w:t>
      </w:r>
      <w:r>
        <w:rPr>
          <w:spacing w:val="-13"/>
        </w:rPr>
        <w:t> </w:t>
      </w:r>
      <w:r>
        <w:rPr/>
        <w:t>GolfLinks campus (for which the frontage is approximately 30 meters along the primary access road (viz. Inner Ring</w:t>
      </w:r>
      <w:r>
        <w:rPr>
          <w:spacing w:val="-19"/>
        </w:rPr>
        <w:t> </w:t>
      </w:r>
      <w:r>
        <w:rPr/>
        <w:t>Road)).</w:t>
      </w:r>
    </w:p>
    <w:p>
      <w:pPr>
        <w:pStyle w:val="BodyText"/>
        <w:tabs>
          <w:tab w:pos="3275" w:val="left" w:leader="none"/>
        </w:tabs>
        <w:spacing w:line="321" w:lineRule="auto" w:before="124"/>
        <w:ind w:left="3275" w:right="780" w:hanging="1931"/>
        <w:jc w:val="both"/>
      </w:pPr>
      <w:r>
        <w:rPr>
          <w:w w:val="95"/>
        </w:rPr>
        <w:t>Accessibility:</w:t>
        <w:tab/>
      </w:r>
      <w:r>
        <w:rPr/>
        <w:t>Based on site maps provided by the Client coupled with visual inspection undertaken,</w:t>
      </w:r>
      <w:r>
        <w:rPr>
          <w:spacing w:val="-43"/>
        </w:rPr>
        <w:t> </w:t>
      </w:r>
      <w:r>
        <w:rPr/>
        <w:t>it</w:t>
      </w:r>
      <w:r>
        <w:rPr>
          <w:spacing w:val="-43"/>
        </w:rPr>
        <w:t> </w:t>
      </w:r>
      <w:r>
        <w:rPr/>
        <w:t>was</w:t>
      </w:r>
      <w:r>
        <w:rPr>
          <w:spacing w:val="-41"/>
        </w:rPr>
        <w:t> </w:t>
      </w:r>
      <w:r>
        <w:rPr/>
        <w:t>observed</w:t>
      </w:r>
      <w:r>
        <w:rPr>
          <w:spacing w:val="-42"/>
        </w:rPr>
        <w:t> </w:t>
      </w:r>
      <w:r>
        <w:rPr/>
        <w:t>that</w:t>
      </w:r>
      <w:r>
        <w:rPr>
          <w:spacing w:val="-42"/>
        </w:rPr>
        <w:t> </w:t>
      </w:r>
      <w:r>
        <w:rPr/>
        <w:t>the</w:t>
      </w:r>
      <w:r>
        <w:rPr>
          <w:spacing w:val="-43"/>
        </w:rPr>
        <w:t> </w:t>
      </w:r>
      <w:r>
        <w:rPr/>
        <w:t>subject</w:t>
      </w:r>
      <w:r>
        <w:rPr>
          <w:spacing w:val="-42"/>
        </w:rPr>
        <w:t> </w:t>
      </w:r>
      <w:r>
        <w:rPr/>
        <w:t>property</w:t>
      </w:r>
      <w:r>
        <w:rPr>
          <w:spacing w:val="-41"/>
        </w:rPr>
        <w:t> </w:t>
      </w:r>
      <w:r>
        <w:rPr/>
        <w:t>is</w:t>
      </w:r>
      <w:r>
        <w:rPr>
          <w:spacing w:val="-43"/>
        </w:rPr>
        <w:t> </w:t>
      </w:r>
      <w:r>
        <w:rPr/>
        <w:t>part</w:t>
      </w:r>
      <w:r>
        <w:rPr>
          <w:spacing w:val="-42"/>
        </w:rPr>
        <w:t> </w:t>
      </w:r>
      <w:r>
        <w:rPr/>
        <w:t>of</w:t>
      </w:r>
      <w:r>
        <w:rPr>
          <w:spacing w:val="-42"/>
        </w:rPr>
        <w:t> </w:t>
      </w:r>
      <w:r>
        <w:rPr/>
        <w:t>a</w:t>
      </w:r>
      <w:r>
        <w:rPr>
          <w:spacing w:val="-43"/>
        </w:rPr>
        <w:t> </w:t>
      </w:r>
      <w:r>
        <w:rPr/>
        <w:t>larger</w:t>
      </w:r>
      <w:r>
        <w:rPr>
          <w:spacing w:val="-40"/>
        </w:rPr>
        <w:t> </w:t>
      </w:r>
      <w:r>
        <w:rPr/>
        <w:t>Office</w:t>
      </w:r>
      <w:r>
        <w:rPr>
          <w:spacing w:val="-43"/>
        </w:rPr>
        <w:t> </w:t>
      </w:r>
      <w:r>
        <w:rPr/>
        <w:t>Park and</w:t>
      </w:r>
      <w:r>
        <w:rPr>
          <w:spacing w:val="-34"/>
        </w:rPr>
        <w:t> </w:t>
      </w:r>
      <w:r>
        <w:rPr/>
        <w:t>is</w:t>
      </w:r>
      <w:r>
        <w:rPr>
          <w:spacing w:val="-33"/>
        </w:rPr>
        <w:t> </w:t>
      </w:r>
      <w:r>
        <w:rPr/>
        <w:t>accessible</w:t>
      </w:r>
      <w:r>
        <w:rPr>
          <w:spacing w:val="-34"/>
        </w:rPr>
        <w:t> </w:t>
      </w:r>
      <w:r>
        <w:rPr/>
        <w:t>by</w:t>
      </w:r>
      <w:r>
        <w:rPr>
          <w:spacing w:val="-33"/>
        </w:rPr>
        <w:t> </w:t>
      </w:r>
      <w:r>
        <w:rPr/>
        <w:t>the</w:t>
      </w:r>
      <w:r>
        <w:rPr>
          <w:spacing w:val="-33"/>
        </w:rPr>
        <w:t> </w:t>
      </w:r>
      <w:r>
        <w:rPr/>
        <w:t>Intermediate</w:t>
      </w:r>
      <w:r>
        <w:rPr>
          <w:spacing w:val="-34"/>
        </w:rPr>
        <w:t> </w:t>
      </w:r>
      <w:r>
        <w:rPr/>
        <w:t>Ring</w:t>
      </w:r>
      <w:r>
        <w:rPr>
          <w:spacing w:val="-33"/>
        </w:rPr>
        <w:t> </w:t>
      </w:r>
      <w:r>
        <w:rPr/>
        <w:t>Road,</w:t>
      </w:r>
      <w:r>
        <w:rPr>
          <w:spacing w:val="-35"/>
        </w:rPr>
        <w:t> </w:t>
      </w:r>
      <w:r>
        <w:rPr/>
        <w:t>which</w:t>
      </w:r>
      <w:r>
        <w:rPr>
          <w:spacing w:val="-34"/>
        </w:rPr>
        <w:t> </w:t>
      </w:r>
      <w:r>
        <w:rPr/>
        <w:t>acts</w:t>
      </w:r>
      <w:r>
        <w:rPr>
          <w:spacing w:val="-32"/>
        </w:rPr>
        <w:t> </w:t>
      </w:r>
      <w:r>
        <w:rPr/>
        <w:t>as</w:t>
      </w:r>
      <w:r>
        <w:rPr>
          <w:spacing w:val="-33"/>
        </w:rPr>
        <w:t> </w:t>
      </w:r>
      <w:r>
        <w:rPr/>
        <w:t>the</w:t>
      </w:r>
      <w:r>
        <w:rPr>
          <w:spacing w:val="-34"/>
        </w:rPr>
        <w:t> </w:t>
      </w:r>
      <w:r>
        <w:rPr/>
        <w:t>primary</w:t>
      </w:r>
      <w:r>
        <w:rPr>
          <w:spacing w:val="-33"/>
        </w:rPr>
        <w:t> </w:t>
      </w:r>
      <w:r>
        <w:rPr/>
        <w:t>access. The</w:t>
      </w:r>
      <w:r>
        <w:rPr>
          <w:spacing w:val="-24"/>
        </w:rPr>
        <w:t> </w:t>
      </w:r>
      <w:r>
        <w:rPr/>
        <w:t>subject</w:t>
      </w:r>
      <w:r>
        <w:rPr>
          <w:spacing w:val="-24"/>
        </w:rPr>
        <w:t> </w:t>
      </w:r>
      <w:r>
        <w:rPr/>
        <w:t>property</w:t>
      </w:r>
      <w:r>
        <w:rPr>
          <w:spacing w:val="-22"/>
        </w:rPr>
        <w:t> </w:t>
      </w:r>
      <w:r>
        <w:rPr/>
        <w:t>can</w:t>
      </w:r>
      <w:r>
        <w:rPr>
          <w:spacing w:val="-22"/>
        </w:rPr>
        <w:t> </w:t>
      </w:r>
      <w:r>
        <w:rPr/>
        <w:t>also</w:t>
      </w:r>
      <w:r>
        <w:rPr>
          <w:spacing w:val="-24"/>
        </w:rPr>
        <w:t> </w:t>
      </w:r>
      <w:r>
        <w:rPr/>
        <w:t>be</w:t>
      </w:r>
      <w:r>
        <w:rPr>
          <w:spacing w:val="-23"/>
        </w:rPr>
        <w:t> </w:t>
      </w:r>
      <w:r>
        <w:rPr/>
        <w:t>accesses</w:t>
      </w:r>
      <w:r>
        <w:rPr>
          <w:spacing w:val="-22"/>
        </w:rPr>
        <w:t> </w:t>
      </w:r>
      <w:r>
        <w:rPr/>
        <w:t>through</w:t>
      </w:r>
      <w:r>
        <w:rPr>
          <w:spacing w:val="-26"/>
        </w:rPr>
        <w:t> </w:t>
      </w:r>
      <w:r>
        <w:rPr/>
        <w:t>Wind</w:t>
      </w:r>
      <w:r>
        <w:rPr>
          <w:spacing w:val="-23"/>
        </w:rPr>
        <w:t> </w:t>
      </w:r>
      <w:r>
        <w:rPr/>
        <w:t>Tunnel</w:t>
      </w:r>
      <w:r>
        <w:rPr>
          <w:spacing w:val="-24"/>
        </w:rPr>
        <w:t> </w:t>
      </w:r>
      <w:r>
        <w:rPr/>
        <w:t>Road,</w:t>
      </w:r>
      <w:r>
        <w:rPr>
          <w:spacing w:val="-23"/>
        </w:rPr>
        <w:t> </w:t>
      </w:r>
      <w:r>
        <w:rPr/>
        <w:t>which</w:t>
      </w:r>
      <w:r>
        <w:rPr>
          <w:spacing w:val="-24"/>
        </w:rPr>
        <w:t> </w:t>
      </w:r>
      <w:r>
        <w:rPr/>
        <w:t>acts as a secondary access for the</w:t>
      </w:r>
      <w:r>
        <w:rPr>
          <w:spacing w:val="-29"/>
        </w:rPr>
        <w:t> </w:t>
      </w:r>
      <w:r>
        <w:rPr/>
        <w:t>development.</w:t>
      </w:r>
    </w:p>
    <w:p>
      <w:pPr>
        <w:pStyle w:val="BodyText"/>
        <w:spacing w:before="122"/>
        <w:ind w:left="3275"/>
        <w:jc w:val="both"/>
      </w:pPr>
      <w:r>
        <w:rPr/>
        <w:t>Please refer Exhibit &amp; Addenda for the site plan of the subject property.</w:t>
      </w:r>
    </w:p>
    <w:p>
      <w:pPr>
        <w:pStyle w:val="BodyText"/>
        <w:rPr>
          <w:sz w:val="26"/>
        </w:rPr>
      </w:pPr>
    </w:p>
    <w:p>
      <w:pPr>
        <w:pStyle w:val="BodyText"/>
        <w:spacing w:before="10"/>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52" w:id="687"/>
      <w:bookmarkEnd w:id="687"/>
      <w:r>
        <w:rPr/>
      </w:r>
      <w:bookmarkStart w:name="_bookmark352" w:id="688"/>
      <w:bookmarkEnd w:id="688"/>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6"/>
        <w:ind w:left="1246" w:right="677"/>
        <w:jc w:val="both"/>
      </w:pPr>
      <w:r>
        <w:rPr/>
        <w:t>As</w:t>
      </w:r>
      <w:r>
        <w:rPr>
          <w:spacing w:val="-26"/>
        </w:rPr>
        <w:t> </w:t>
      </w:r>
      <w:r>
        <w:rPr/>
        <w:t>per</w:t>
      </w:r>
      <w:r>
        <w:rPr>
          <w:spacing w:val="-25"/>
        </w:rPr>
        <w:t> </w:t>
      </w:r>
      <w:r>
        <w:rPr/>
        <w:t>the</w:t>
      </w:r>
      <w:r>
        <w:rPr>
          <w:spacing w:val="-26"/>
        </w:rPr>
        <w:t> </w:t>
      </w:r>
      <w:r>
        <w:rPr/>
        <w:t>title</w:t>
      </w:r>
      <w:r>
        <w:rPr>
          <w:spacing w:val="-25"/>
        </w:rPr>
        <w:t> </w:t>
      </w:r>
      <w:r>
        <w:rPr/>
        <w:t>due</w:t>
      </w:r>
      <w:r>
        <w:rPr>
          <w:spacing w:val="-25"/>
        </w:rPr>
        <w:t> </w:t>
      </w:r>
      <w:r>
        <w:rPr/>
        <w:t>diligence</w:t>
      </w:r>
      <w:r>
        <w:rPr>
          <w:spacing w:val="-25"/>
        </w:rPr>
        <w:t> </w:t>
      </w:r>
      <w:r>
        <w:rPr/>
        <w:t>undertaken</w:t>
      </w:r>
      <w:r>
        <w:rPr>
          <w:spacing w:val="-25"/>
        </w:rPr>
        <w:t> </w:t>
      </w:r>
      <w:r>
        <w:rPr/>
        <w:t>by</w:t>
      </w:r>
      <w:r>
        <w:rPr>
          <w:spacing w:val="-24"/>
        </w:rPr>
        <w:t> </w:t>
      </w:r>
      <w:r>
        <w:rPr/>
        <w:t>King</w:t>
      </w:r>
      <w:r>
        <w:rPr>
          <w:spacing w:val="-26"/>
        </w:rPr>
        <w:t> </w:t>
      </w:r>
      <w:r>
        <w:rPr/>
        <w:t>&amp;</w:t>
      </w:r>
      <w:r>
        <w:rPr>
          <w:spacing w:val="-24"/>
        </w:rPr>
        <w:t> </w:t>
      </w:r>
      <w:r>
        <w:rPr/>
        <w:t>Partridge</w:t>
      </w:r>
      <w:r>
        <w:rPr>
          <w:spacing w:val="-21"/>
        </w:rPr>
        <w:t> </w:t>
      </w:r>
      <w:r>
        <w:rPr/>
        <w:t>and</w:t>
      </w:r>
      <w:r>
        <w:rPr>
          <w:spacing w:val="-24"/>
        </w:rPr>
        <w:t> </w:t>
      </w:r>
      <w:r>
        <w:rPr/>
        <w:t>the</w:t>
      </w:r>
      <w:r>
        <w:rPr>
          <w:spacing w:val="-25"/>
        </w:rPr>
        <w:t> </w:t>
      </w:r>
      <w:r>
        <w:rPr/>
        <w:t>occupancy</w:t>
      </w:r>
      <w:r>
        <w:rPr>
          <w:spacing w:val="-24"/>
        </w:rPr>
        <w:t> </w:t>
      </w:r>
      <w:r>
        <w:rPr/>
        <w:t>certificate</w:t>
      </w:r>
      <w:r>
        <w:rPr>
          <w:spacing w:val="-26"/>
        </w:rPr>
        <w:t> </w:t>
      </w:r>
      <w:r>
        <w:rPr/>
        <w:t>as</w:t>
      </w:r>
      <w:r>
        <w:rPr>
          <w:spacing w:val="-25"/>
        </w:rPr>
        <w:t> </w:t>
      </w:r>
      <w:r>
        <w:rPr/>
        <w:t>provided by the Client, we understand that the exact address of the subject property is Challaghatta Village, Varthur</w:t>
      </w:r>
      <w:r>
        <w:rPr>
          <w:spacing w:val="-46"/>
        </w:rPr>
        <w:t> </w:t>
      </w:r>
      <w:r>
        <w:rPr/>
        <w:t>Hobli,</w:t>
      </w:r>
      <w:r>
        <w:rPr>
          <w:spacing w:val="-45"/>
        </w:rPr>
        <w:t> </w:t>
      </w:r>
      <w:r>
        <w:rPr/>
        <w:t>Bengaluru</w:t>
      </w:r>
      <w:r>
        <w:rPr>
          <w:spacing w:val="-45"/>
        </w:rPr>
        <w:t> </w:t>
      </w:r>
      <w:r>
        <w:rPr/>
        <w:t>East</w:t>
      </w:r>
      <w:r>
        <w:rPr>
          <w:spacing w:val="-46"/>
        </w:rPr>
        <w:t> </w:t>
      </w:r>
      <w:r>
        <w:rPr/>
        <w:t>Taluk,</w:t>
      </w:r>
      <w:r>
        <w:rPr>
          <w:spacing w:val="-45"/>
        </w:rPr>
        <w:t> </w:t>
      </w:r>
      <w:r>
        <w:rPr/>
        <w:t>Bengaluru,</w:t>
      </w:r>
      <w:r>
        <w:rPr>
          <w:spacing w:val="-45"/>
        </w:rPr>
        <w:t> </w:t>
      </w:r>
      <w:r>
        <w:rPr/>
        <w:t>Karnataka.</w:t>
      </w:r>
      <w:r>
        <w:rPr>
          <w:spacing w:val="-46"/>
        </w:rPr>
        <w:t> </w:t>
      </w:r>
      <w:r>
        <w:rPr/>
        <w:t>Additionally,</w:t>
      </w:r>
      <w:r>
        <w:rPr>
          <w:spacing w:val="-45"/>
        </w:rPr>
        <w:t> </w:t>
      </w:r>
      <w:r>
        <w:rPr/>
        <w:t>it</w:t>
      </w:r>
      <w:r>
        <w:rPr>
          <w:spacing w:val="-45"/>
        </w:rPr>
        <w:t> </w:t>
      </w:r>
      <w:r>
        <w:rPr/>
        <w:t>is</w:t>
      </w:r>
      <w:r>
        <w:rPr>
          <w:spacing w:val="-46"/>
        </w:rPr>
        <w:t> </w:t>
      </w:r>
      <w:r>
        <w:rPr/>
        <w:t>understood</w:t>
      </w:r>
      <w:r>
        <w:rPr>
          <w:spacing w:val="-46"/>
        </w:rPr>
        <w:t> </w:t>
      </w:r>
      <w:r>
        <w:rPr/>
        <w:t>that</w:t>
      </w:r>
      <w:r>
        <w:rPr>
          <w:spacing w:val="-45"/>
        </w:rPr>
        <w:t> </w:t>
      </w:r>
      <w:r>
        <w:rPr/>
        <w:t>the</w:t>
      </w:r>
      <w:r>
        <w:rPr>
          <w:spacing w:val="-46"/>
        </w:rPr>
        <w:t> </w:t>
      </w:r>
      <w:r>
        <w:rPr/>
        <w:t>subject property is freehold in</w:t>
      </w:r>
      <w:r>
        <w:rPr>
          <w:spacing w:val="-11"/>
        </w:rPr>
        <w:t> </w:t>
      </w:r>
      <w:r>
        <w:rPr/>
        <w:t>nature.</w:t>
      </w:r>
    </w:p>
    <w:p>
      <w:pPr>
        <w:pStyle w:val="BodyText"/>
        <w:rPr>
          <w:sz w:val="21"/>
        </w:rPr>
      </w:pPr>
    </w:p>
    <w:p>
      <w:pPr>
        <w:pStyle w:val="BodyText"/>
        <w:spacing w:line="321" w:lineRule="auto"/>
        <w:ind w:left="1246" w:right="676"/>
        <w:jc w:val="both"/>
      </w:pPr>
      <w:r>
        <w:rPr/>
        <w:t>Further,</w:t>
      </w:r>
      <w:r>
        <w:rPr>
          <w:spacing w:val="-26"/>
        </w:rPr>
        <w:t> </w:t>
      </w:r>
      <w:r>
        <w:rPr/>
        <w:t>this</w:t>
      </w:r>
      <w:r>
        <w:rPr>
          <w:spacing w:val="-24"/>
        </w:rPr>
        <w:t> </w:t>
      </w:r>
      <w:r>
        <w:rPr/>
        <w:t>appraisal</w:t>
      </w:r>
      <w:r>
        <w:rPr>
          <w:spacing w:val="-26"/>
        </w:rPr>
        <w:t> </w:t>
      </w:r>
      <w:r>
        <w:rPr/>
        <w:t>exercise</w:t>
      </w:r>
      <w:r>
        <w:rPr>
          <w:spacing w:val="-25"/>
        </w:rPr>
        <w:t> </w:t>
      </w:r>
      <w:r>
        <w:rPr/>
        <w:t>is</w:t>
      </w:r>
      <w:r>
        <w:rPr>
          <w:spacing w:val="-25"/>
        </w:rPr>
        <w:t> </w:t>
      </w:r>
      <w:r>
        <w:rPr/>
        <w:t>based</w:t>
      </w:r>
      <w:r>
        <w:rPr>
          <w:spacing w:val="-25"/>
        </w:rPr>
        <w:t> </w:t>
      </w:r>
      <w:r>
        <w:rPr/>
        <w:t>on</w:t>
      </w:r>
      <w:r>
        <w:rPr>
          <w:spacing w:val="-25"/>
        </w:rPr>
        <w:t> </w:t>
      </w:r>
      <w:r>
        <w:rPr/>
        <w:t>the</w:t>
      </w:r>
      <w:r>
        <w:rPr>
          <w:spacing w:val="-26"/>
        </w:rPr>
        <w:t> </w:t>
      </w:r>
      <w:r>
        <w:rPr/>
        <w:t>premise</w:t>
      </w:r>
      <w:r>
        <w:rPr>
          <w:spacing w:val="-25"/>
        </w:rPr>
        <w:t> </w:t>
      </w:r>
      <w:r>
        <w:rPr/>
        <w:t>that</w:t>
      </w:r>
      <w:r>
        <w:rPr>
          <w:spacing w:val="-25"/>
        </w:rPr>
        <w:t> </w:t>
      </w:r>
      <w:r>
        <w:rPr/>
        <w:t>the</w:t>
      </w:r>
      <w:r>
        <w:rPr>
          <w:spacing w:val="-26"/>
        </w:rPr>
        <w:t> </w:t>
      </w:r>
      <w:r>
        <w:rPr/>
        <w:t>subject</w:t>
      </w:r>
      <w:r>
        <w:rPr>
          <w:spacing w:val="-24"/>
        </w:rPr>
        <w:t> </w:t>
      </w:r>
      <w:r>
        <w:rPr/>
        <w:t>property</w:t>
      </w:r>
      <w:r>
        <w:rPr>
          <w:spacing w:val="-25"/>
        </w:rPr>
        <w:t> </w:t>
      </w:r>
      <w:r>
        <w:rPr/>
        <w:t>has</w:t>
      </w:r>
      <w:r>
        <w:rPr>
          <w:spacing w:val="-24"/>
        </w:rPr>
        <w:t> </w:t>
      </w:r>
      <w:r>
        <w:rPr/>
        <w:t>a</w:t>
      </w:r>
      <w:r>
        <w:rPr>
          <w:spacing w:val="-25"/>
        </w:rPr>
        <w:t> </w:t>
      </w:r>
      <w:r>
        <w:rPr/>
        <w:t>clear</w:t>
      </w:r>
      <w:r>
        <w:rPr>
          <w:spacing w:val="-26"/>
        </w:rPr>
        <w:t> </w:t>
      </w:r>
      <w:r>
        <w:rPr/>
        <w:t>title</w:t>
      </w:r>
      <w:r>
        <w:rPr>
          <w:spacing w:val="-24"/>
        </w:rPr>
        <w:t> </w:t>
      </w:r>
      <w:r>
        <w:rPr/>
        <w:t>and</w:t>
      </w:r>
      <w:r>
        <w:rPr>
          <w:spacing w:val="-25"/>
        </w:rPr>
        <w:t> </w:t>
      </w:r>
      <w:r>
        <w:rPr/>
        <w:t>is free</w:t>
      </w:r>
      <w:r>
        <w:rPr>
          <w:spacing w:val="-20"/>
        </w:rPr>
        <w:t> </w:t>
      </w:r>
      <w:r>
        <w:rPr/>
        <w:t>from</w:t>
      </w:r>
      <w:r>
        <w:rPr>
          <w:spacing w:val="-20"/>
        </w:rPr>
        <w:t> </w:t>
      </w:r>
      <w:r>
        <w:rPr/>
        <w:t>any</w:t>
      </w:r>
      <w:r>
        <w:rPr>
          <w:spacing w:val="-18"/>
        </w:rPr>
        <w:t> </w:t>
      </w:r>
      <w:r>
        <w:rPr/>
        <w:t>encumbrances,</w:t>
      </w:r>
      <w:r>
        <w:rPr>
          <w:spacing w:val="-20"/>
        </w:rPr>
        <w:t> </w:t>
      </w:r>
      <w:r>
        <w:rPr/>
        <w:t>disputes,</w:t>
      </w:r>
      <w:r>
        <w:rPr>
          <w:spacing w:val="-20"/>
        </w:rPr>
        <w:t> </w:t>
      </w:r>
      <w:r>
        <w:rPr/>
        <w:t>claims,</w:t>
      </w:r>
      <w:r>
        <w:rPr>
          <w:spacing w:val="-19"/>
        </w:rPr>
        <w:t> </w:t>
      </w:r>
      <w:r>
        <w:rPr/>
        <w:t>etc.</w:t>
      </w:r>
      <w:r>
        <w:rPr>
          <w:spacing w:val="-17"/>
        </w:rPr>
        <w:t> </w:t>
      </w:r>
      <w:r>
        <w:rPr/>
        <w:t>we</w:t>
      </w:r>
      <w:r>
        <w:rPr>
          <w:spacing w:val="-20"/>
        </w:rPr>
        <w:t> </w:t>
      </w:r>
      <w:r>
        <w:rPr/>
        <w:t>have</w:t>
      </w:r>
      <w:r>
        <w:rPr>
          <w:spacing w:val="-19"/>
        </w:rPr>
        <w:t> </w:t>
      </w:r>
      <w:r>
        <w:rPr/>
        <w:t>not</w:t>
      </w:r>
      <w:r>
        <w:rPr>
          <w:spacing w:val="-21"/>
        </w:rPr>
        <w:t> </w:t>
      </w:r>
      <w:r>
        <w:rPr/>
        <w:t>made</w:t>
      </w:r>
      <w:r>
        <w:rPr>
          <w:spacing w:val="-19"/>
        </w:rPr>
        <w:t> </w:t>
      </w:r>
      <w:r>
        <w:rPr/>
        <w:t>any</w:t>
      </w:r>
      <w:r>
        <w:rPr>
          <w:spacing w:val="-21"/>
        </w:rPr>
        <w:t> </w:t>
      </w:r>
      <w:r>
        <w:rPr/>
        <w:t>inquiries</w:t>
      </w:r>
      <w:r>
        <w:rPr>
          <w:spacing w:val="-19"/>
        </w:rPr>
        <w:t> </w:t>
      </w:r>
      <w:r>
        <w:rPr/>
        <w:t>in</w:t>
      </w:r>
      <w:r>
        <w:rPr>
          <w:spacing w:val="-20"/>
        </w:rPr>
        <w:t> </w:t>
      </w:r>
      <w:r>
        <w:rPr/>
        <w:t>this</w:t>
      </w:r>
      <w:r>
        <w:rPr>
          <w:spacing w:val="-19"/>
        </w:rPr>
        <w:t> </w:t>
      </w:r>
      <w:r>
        <w:rPr/>
        <w:t>regard</w:t>
      </w:r>
      <w:r>
        <w:rPr>
          <w:spacing w:val="-21"/>
        </w:rPr>
        <w:t> </w:t>
      </w:r>
      <w:r>
        <w:rPr/>
        <w:t>with the relevant legal/ statutory</w:t>
      </w:r>
      <w:r>
        <w:rPr>
          <w:spacing w:val="-21"/>
        </w:rPr>
        <w:t> </w:t>
      </w:r>
      <w:r>
        <w:rPr/>
        <w:t>authorities.</w:t>
      </w:r>
    </w:p>
    <w:p>
      <w:pPr>
        <w:pStyle w:val="BodyText"/>
        <w:spacing w:before="8"/>
        <w:rPr>
          <w:sz w:val="20"/>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53" w:id="689"/>
      <w:bookmarkEnd w:id="689"/>
      <w:r>
        <w:rPr/>
      </w:r>
      <w:bookmarkStart w:name="_bookmark353" w:id="690"/>
      <w:bookmarkEnd w:id="690"/>
      <w:r>
        <w:rPr>
          <w:color w:val="1F664D"/>
          <w:w w:val="105"/>
          <w:sz w:val="22"/>
        </w:rPr>
        <w:t>T</w:t>
      </w:r>
      <w:r>
        <w:rPr>
          <w:color w:val="1F664D"/>
          <w:w w:val="105"/>
          <w:sz w:val="22"/>
        </w:rPr>
        <w:t>own</w:t>
      </w:r>
      <w:r>
        <w:rPr>
          <w:color w:val="1F664D"/>
          <w:spacing w:val="-4"/>
          <w:w w:val="105"/>
          <w:sz w:val="22"/>
        </w:rPr>
        <w:t> </w:t>
      </w:r>
      <w:r>
        <w:rPr>
          <w:color w:val="1F664D"/>
          <w:w w:val="105"/>
          <w:sz w:val="22"/>
        </w:rPr>
        <w:t>Planning</w:t>
      </w:r>
    </w:p>
    <w:p>
      <w:pPr>
        <w:pStyle w:val="BodyText"/>
        <w:tabs>
          <w:tab w:pos="2753" w:val="left" w:leader="none"/>
        </w:tabs>
        <w:spacing w:line="321" w:lineRule="auto" w:before="208"/>
        <w:ind w:left="2754" w:right="697" w:hanging="1409"/>
        <w:jc w:val="both"/>
      </w:pPr>
      <w:r>
        <w:rPr>
          <w:position w:val="12"/>
        </w:rPr>
        <w:t>Zoning</w:t>
        <w:tab/>
      </w:r>
      <w:r>
        <w:rPr/>
        <w:t>The</w:t>
      </w:r>
      <w:r>
        <w:rPr>
          <w:spacing w:val="-21"/>
        </w:rPr>
        <w:t> </w:t>
      </w:r>
      <w:r>
        <w:rPr/>
        <w:t>subject</w:t>
      </w:r>
      <w:r>
        <w:rPr>
          <w:spacing w:val="-20"/>
        </w:rPr>
        <w:t> </w:t>
      </w:r>
      <w:r>
        <w:rPr/>
        <w:t>property</w:t>
      </w:r>
      <w:r>
        <w:rPr>
          <w:spacing w:val="-18"/>
        </w:rPr>
        <w:t> </w:t>
      </w:r>
      <w:r>
        <w:rPr/>
        <w:t>is</w:t>
      </w:r>
      <w:r>
        <w:rPr>
          <w:spacing w:val="-19"/>
        </w:rPr>
        <w:t> </w:t>
      </w:r>
      <w:r>
        <w:rPr/>
        <w:t>part</w:t>
      </w:r>
      <w:r>
        <w:rPr>
          <w:spacing w:val="-19"/>
        </w:rPr>
        <w:t> </w:t>
      </w:r>
      <w:r>
        <w:rPr/>
        <w:t>of</w:t>
      </w:r>
      <w:r>
        <w:rPr>
          <w:spacing w:val="-19"/>
        </w:rPr>
        <w:t> </w:t>
      </w:r>
      <w:r>
        <w:rPr/>
        <w:t>an</w:t>
      </w:r>
      <w:r>
        <w:rPr>
          <w:spacing w:val="-20"/>
        </w:rPr>
        <w:t> </w:t>
      </w:r>
      <w:r>
        <w:rPr/>
        <w:t>operational</w:t>
      </w:r>
      <w:r>
        <w:rPr>
          <w:spacing w:val="-16"/>
        </w:rPr>
        <w:t> </w:t>
      </w:r>
      <w:r>
        <w:rPr/>
        <w:t>Office</w:t>
      </w:r>
      <w:r>
        <w:rPr>
          <w:spacing w:val="-20"/>
        </w:rPr>
        <w:t> </w:t>
      </w:r>
      <w:r>
        <w:rPr/>
        <w:t>Park</w:t>
      </w:r>
      <w:r>
        <w:rPr>
          <w:spacing w:val="-19"/>
        </w:rPr>
        <w:t> </w:t>
      </w:r>
      <w:r>
        <w:rPr/>
        <w:t>which</w:t>
      </w:r>
      <w:r>
        <w:rPr>
          <w:spacing w:val="-20"/>
        </w:rPr>
        <w:t> </w:t>
      </w:r>
      <w:r>
        <w:rPr/>
        <w:t>is</w:t>
      </w:r>
      <w:r>
        <w:rPr>
          <w:spacing w:val="-19"/>
        </w:rPr>
        <w:t> </w:t>
      </w:r>
      <w:r>
        <w:rPr/>
        <w:t>a</w:t>
      </w:r>
      <w:r>
        <w:rPr>
          <w:spacing w:val="-19"/>
        </w:rPr>
        <w:t> </w:t>
      </w:r>
      <w:r>
        <w:rPr/>
        <w:t>commercial</w:t>
      </w:r>
      <w:r>
        <w:rPr>
          <w:spacing w:val="-20"/>
        </w:rPr>
        <w:t> </w:t>
      </w:r>
      <w:r>
        <w:rPr/>
        <w:t>zoned land</w:t>
      </w:r>
      <w:r>
        <w:rPr>
          <w:spacing w:val="-20"/>
        </w:rPr>
        <w:t> </w:t>
      </w:r>
      <w:r>
        <w:rPr/>
        <w:t>parcel</w:t>
      </w:r>
      <w:r>
        <w:rPr>
          <w:spacing w:val="-21"/>
        </w:rPr>
        <w:t> </w:t>
      </w:r>
      <w:r>
        <w:rPr/>
        <w:t>and</w:t>
      </w:r>
      <w:r>
        <w:rPr>
          <w:spacing w:val="-19"/>
        </w:rPr>
        <w:t> </w:t>
      </w:r>
      <w:r>
        <w:rPr/>
        <w:t>is</w:t>
      </w:r>
      <w:r>
        <w:rPr>
          <w:spacing w:val="-19"/>
        </w:rPr>
        <w:t> </w:t>
      </w:r>
      <w:r>
        <w:rPr/>
        <w:t>approved</w:t>
      </w:r>
      <w:r>
        <w:rPr>
          <w:spacing w:val="-19"/>
        </w:rPr>
        <w:t> </w:t>
      </w:r>
      <w:r>
        <w:rPr/>
        <w:t>for</w:t>
      </w:r>
      <w:r>
        <w:rPr>
          <w:spacing w:val="-20"/>
        </w:rPr>
        <w:t> </w:t>
      </w:r>
      <w:r>
        <w:rPr/>
        <w:t>development</w:t>
      </w:r>
      <w:r>
        <w:rPr>
          <w:spacing w:val="-20"/>
        </w:rPr>
        <w:t> </w:t>
      </w:r>
      <w:r>
        <w:rPr/>
        <w:t>of</w:t>
      </w:r>
      <w:r>
        <w:rPr>
          <w:spacing w:val="-19"/>
        </w:rPr>
        <w:t> </w:t>
      </w:r>
      <w:r>
        <w:rPr/>
        <w:t>a</w:t>
      </w:r>
      <w:r>
        <w:rPr>
          <w:spacing w:val="-22"/>
        </w:rPr>
        <w:t> </w:t>
      </w:r>
      <w:r>
        <w:rPr/>
        <w:t>commercial</w:t>
      </w:r>
      <w:r>
        <w:rPr>
          <w:spacing w:val="-20"/>
        </w:rPr>
        <w:t> </w:t>
      </w:r>
      <w:r>
        <w:rPr/>
        <w:t>office</w:t>
      </w:r>
      <w:r>
        <w:rPr>
          <w:spacing w:val="-20"/>
        </w:rPr>
        <w:t> </w:t>
      </w:r>
      <w:r>
        <w:rPr/>
        <w:t>space</w:t>
      </w:r>
      <w:r>
        <w:rPr>
          <w:spacing w:val="-20"/>
        </w:rPr>
        <w:t> </w:t>
      </w:r>
      <w:r>
        <w:rPr/>
        <w:t>(STPI)</w:t>
      </w:r>
      <w:r>
        <w:rPr>
          <w:spacing w:val="-18"/>
        </w:rPr>
        <w:t> </w:t>
      </w:r>
      <w:r>
        <w:rPr/>
        <w:t>along with</w:t>
      </w:r>
      <w:r>
        <w:rPr>
          <w:spacing w:val="-20"/>
        </w:rPr>
        <w:t> </w:t>
      </w:r>
      <w:r>
        <w:rPr/>
        <w:t>support</w:t>
      </w:r>
      <w:r>
        <w:rPr>
          <w:spacing w:val="-18"/>
        </w:rPr>
        <w:t> </w:t>
      </w:r>
      <w:r>
        <w:rPr/>
        <w:t>hospitality.</w:t>
      </w:r>
      <w:r>
        <w:rPr>
          <w:spacing w:val="-19"/>
        </w:rPr>
        <w:t> </w:t>
      </w:r>
      <w:r>
        <w:rPr/>
        <w:t>It</w:t>
      </w:r>
      <w:r>
        <w:rPr>
          <w:spacing w:val="-17"/>
        </w:rPr>
        <w:t> </w:t>
      </w:r>
      <w:r>
        <w:rPr/>
        <w:t>is</w:t>
      </w:r>
      <w:r>
        <w:rPr>
          <w:spacing w:val="-19"/>
        </w:rPr>
        <w:t> </w:t>
      </w:r>
      <w:r>
        <w:rPr/>
        <w:t>located</w:t>
      </w:r>
      <w:r>
        <w:rPr>
          <w:spacing w:val="-18"/>
        </w:rPr>
        <w:t> </w:t>
      </w:r>
      <w:r>
        <w:rPr/>
        <w:t>along</w:t>
      </w:r>
      <w:r>
        <w:rPr>
          <w:spacing w:val="-18"/>
        </w:rPr>
        <w:t> </w:t>
      </w:r>
      <w:r>
        <w:rPr/>
        <w:t>the</w:t>
      </w:r>
      <w:r>
        <w:rPr>
          <w:spacing w:val="-18"/>
        </w:rPr>
        <w:t> </w:t>
      </w:r>
      <w:r>
        <w:rPr/>
        <w:t>mutation</w:t>
      </w:r>
      <w:r>
        <w:rPr>
          <w:spacing w:val="-18"/>
        </w:rPr>
        <w:t> </w:t>
      </w:r>
      <w:r>
        <w:rPr/>
        <w:t>corridor</w:t>
      </w:r>
      <w:r>
        <w:rPr>
          <w:spacing w:val="-19"/>
        </w:rPr>
        <w:t> </w:t>
      </w:r>
      <w:r>
        <w:rPr/>
        <w:t>of</w:t>
      </w:r>
      <w:r>
        <w:rPr>
          <w:spacing w:val="-17"/>
        </w:rPr>
        <w:t> </w:t>
      </w:r>
      <w:r>
        <w:rPr/>
        <w:t>Intermediate</w:t>
      </w:r>
      <w:r>
        <w:rPr>
          <w:spacing w:val="-17"/>
        </w:rPr>
        <w:t> </w:t>
      </w:r>
      <w:r>
        <w:rPr/>
        <w:t>Ring road.</w:t>
      </w:r>
    </w:p>
    <w:p>
      <w:pPr>
        <w:pStyle w:val="BodyText"/>
        <w:spacing w:line="321" w:lineRule="auto" w:before="124"/>
        <w:ind w:left="2754" w:right="699"/>
        <w:jc w:val="both"/>
      </w:pPr>
      <w:r>
        <w:rPr/>
        <w:t>The</w:t>
      </w:r>
      <w:r>
        <w:rPr>
          <w:spacing w:val="-21"/>
        </w:rPr>
        <w:t> </w:t>
      </w:r>
      <w:r>
        <w:rPr/>
        <w:t>permissible</w:t>
      </w:r>
      <w:r>
        <w:rPr>
          <w:spacing w:val="-21"/>
        </w:rPr>
        <w:t> </w:t>
      </w:r>
      <w:r>
        <w:rPr/>
        <w:t>land</w:t>
      </w:r>
      <w:r>
        <w:rPr>
          <w:spacing w:val="-21"/>
        </w:rPr>
        <w:t> </w:t>
      </w:r>
      <w:r>
        <w:rPr/>
        <w:t>use</w:t>
      </w:r>
      <w:r>
        <w:rPr>
          <w:spacing w:val="-22"/>
        </w:rPr>
        <w:t> </w:t>
      </w:r>
      <w:r>
        <w:rPr/>
        <w:t>adopted</w:t>
      </w:r>
      <w:r>
        <w:rPr>
          <w:spacing w:val="-19"/>
        </w:rPr>
        <w:t> </w:t>
      </w:r>
      <w:r>
        <w:rPr/>
        <w:t>by</w:t>
      </w:r>
      <w:r>
        <w:rPr>
          <w:spacing w:val="-18"/>
        </w:rPr>
        <w:t> </w:t>
      </w:r>
      <w:r>
        <w:rPr/>
        <w:t>the</w:t>
      </w:r>
      <w:r>
        <w:rPr>
          <w:spacing w:val="-21"/>
        </w:rPr>
        <w:t> </w:t>
      </w:r>
      <w:r>
        <w:rPr/>
        <w:t>Consultants</w:t>
      </w:r>
      <w:r>
        <w:rPr>
          <w:spacing w:val="-19"/>
        </w:rPr>
        <w:t> </w:t>
      </w:r>
      <w:r>
        <w:rPr/>
        <w:t>for</w:t>
      </w:r>
      <w:r>
        <w:rPr>
          <w:spacing w:val="-21"/>
        </w:rPr>
        <w:t> </w:t>
      </w:r>
      <w:r>
        <w:rPr/>
        <w:t>the</w:t>
      </w:r>
      <w:r>
        <w:rPr>
          <w:spacing w:val="-21"/>
        </w:rPr>
        <w:t> </w:t>
      </w:r>
      <w:r>
        <w:rPr/>
        <w:t>subject</w:t>
      </w:r>
      <w:r>
        <w:rPr>
          <w:spacing w:val="-19"/>
        </w:rPr>
        <w:t> </w:t>
      </w:r>
      <w:r>
        <w:rPr/>
        <w:t>property</w:t>
      </w:r>
      <w:r>
        <w:rPr>
          <w:spacing w:val="-19"/>
        </w:rPr>
        <w:t> </w:t>
      </w:r>
      <w:r>
        <w:rPr/>
        <w:t>has</w:t>
      </w:r>
      <w:r>
        <w:rPr>
          <w:spacing w:val="-19"/>
        </w:rPr>
        <w:t> </w:t>
      </w:r>
      <w:r>
        <w:rPr/>
        <w:t>been based</w:t>
      </w:r>
      <w:r>
        <w:rPr>
          <w:spacing w:val="-9"/>
        </w:rPr>
        <w:t> </w:t>
      </w:r>
      <w:r>
        <w:rPr/>
        <w:t>on</w:t>
      </w:r>
      <w:r>
        <w:rPr>
          <w:spacing w:val="-9"/>
        </w:rPr>
        <w:t> </w:t>
      </w:r>
      <w:r>
        <w:rPr/>
        <w:t>information/review</w:t>
      </w:r>
      <w:r>
        <w:rPr>
          <w:spacing w:val="-8"/>
        </w:rPr>
        <w:t> </w:t>
      </w:r>
      <w:r>
        <w:rPr/>
        <w:t>of</w:t>
      </w:r>
      <w:r>
        <w:rPr>
          <w:spacing w:val="-8"/>
        </w:rPr>
        <w:t> </w:t>
      </w:r>
      <w:r>
        <w:rPr/>
        <w:t>various</w:t>
      </w:r>
      <w:r>
        <w:rPr>
          <w:spacing w:val="-10"/>
        </w:rPr>
        <w:t> </w:t>
      </w:r>
      <w:r>
        <w:rPr/>
        <w:t>documents</w:t>
      </w:r>
      <w:r>
        <w:rPr>
          <w:spacing w:val="-9"/>
        </w:rPr>
        <w:t> </w:t>
      </w:r>
      <w:r>
        <w:rPr/>
        <w:t>provided</w:t>
      </w:r>
      <w:r>
        <w:rPr>
          <w:spacing w:val="-10"/>
        </w:rPr>
        <w:t> </w:t>
      </w:r>
      <w:r>
        <w:rPr/>
        <w:t>by</w:t>
      </w:r>
      <w:r>
        <w:rPr>
          <w:spacing w:val="-10"/>
        </w:rPr>
        <w:t> </w:t>
      </w:r>
      <w:r>
        <w:rPr/>
        <w:t>the</w:t>
      </w:r>
      <w:r>
        <w:rPr>
          <w:spacing w:val="-9"/>
        </w:rPr>
        <w:t> </w:t>
      </w:r>
      <w:r>
        <w:rPr/>
        <w:t>Client.</w:t>
      </w:r>
      <w:r>
        <w:rPr>
          <w:spacing w:val="-9"/>
        </w:rPr>
        <w:t> </w:t>
      </w:r>
      <w:r>
        <w:rPr/>
        <w:t>It</w:t>
      </w:r>
      <w:r>
        <w:rPr>
          <w:spacing w:val="-9"/>
        </w:rPr>
        <w:t> </w:t>
      </w:r>
      <w:r>
        <w:rPr/>
        <w:t>must</w:t>
      </w:r>
      <w:r>
        <w:rPr>
          <w:spacing w:val="-10"/>
        </w:rPr>
        <w:t> </w:t>
      </w:r>
      <w:r>
        <w:rPr/>
        <w:t>be noted</w:t>
      </w:r>
      <w:r>
        <w:rPr>
          <w:spacing w:val="-21"/>
        </w:rPr>
        <w:t> </w:t>
      </w:r>
      <w:r>
        <w:rPr/>
        <w:t>that</w:t>
      </w:r>
      <w:r>
        <w:rPr>
          <w:spacing w:val="-21"/>
        </w:rPr>
        <w:t> </w:t>
      </w:r>
      <w:r>
        <w:rPr/>
        <w:t>all</w:t>
      </w:r>
      <w:r>
        <w:rPr>
          <w:spacing w:val="-22"/>
        </w:rPr>
        <w:t> </w:t>
      </w:r>
      <w:r>
        <w:rPr/>
        <w:t>factual</w:t>
      </w:r>
      <w:r>
        <w:rPr>
          <w:spacing w:val="-21"/>
        </w:rPr>
        <w:t> </w:t>
      </w:r>
      <w:r>
        <w:rPr/>
        <w:t>data</w:t>
      </w:r>
      <w:r>
        <w:rPr>
          <w:spacing w:val="-22"/>
        </w:rPr>
        <w:t> </w:t>
      </w:r>
      <w:r>
        <w:rPr/>
        <w:t>viz.</w:t>
      </w:r>
      <w:r>
        <w:rPr>
          <w:spacing w:val="-21"/>
        </w:rPr>
        <w:t> </w:t>
      </w:r>
      <w:r>
        <w:rPr/>
        <w:t>permissible</w:t>
      </w:r>
      <w:r>
        <w:rPr>
          <w:spacing w:val="-22"/>
        </w:rPr>
        <w:t> </w:t>
      </w:r>
      <w:r>
        <w:rPr/>
        <w:t>development</w:t>
      </w:r>
      <w:r>
        <w:rPr>
          <w:spacing w:val="-22"/>
        </w:rPr>
        <w:t> </w:t>
      </w:r>
      <w:r>
        <w:rPr/>
        <w:t>control</w:t>
      </w:r>
      <w:r>
        <w:rPr>
          <w:spacing w:val="-21"/>
        </w:rPr>
        <w:t> </w:t>
      </w:r>
      <w:r>
        <w:rPr/>
        <w:t>regulations,</w:t>
      </w:r>
      <w:r>
        <w:rPr>
          <w:spacing w:val="-21"/>
        </w:rPr>
        <w:t> </w:t>
      </w:r>
      <w:r>
        <w:rPr/>
        <w:t>land</w:t>
      </w:r>
      <w:r>
        <w:rPr>
          <w:spacing w:val="-22"/>
        </w:rPr>
        <w:t> </w:t>
      </w:r>
      <w:r>
        <w:rPr/>
        <w:t>area and</w:t>
      </w:r>
      <w:r>
        <w:rPr>
          <w:spacing w:val="-12"/>
        </w:rPr>
        <w:t> </w:t>
      </w:r>
      <w:r>
        <w:rPr/>
        <w:t>achievable</w:t>
      </w:r>
      <w:r>
        <w:rPr>
          <w:spacing w:val="-13"/>
        </w:rPr>
        <w:t> </w:t>
      </w:r>
      <w:r>
        <w:rPr/>
        <w:t>FSI</w:t>
      </w:r>
      <w:r>
        <w:rPr>
          <w:spacing w:val="-10"/>
        </w:rPr>
        <w:t> </w:t>
      </w:r>
      <w:r>
        <w:rPr/>
        <w:t>have</w:t>
      </w:r>
      <w:r>
        <w:rPr>
          <w:spacing w:val="-11"/>
        </w:rPr>
        <w:t> </w:t>
      </w:r>
      <w:r>
        <w:rPr/>
        <w:t>also</w:t>
      </w:r>
      <w:r>
        <w:rPr>
          <w:spacing w:val="-12"/>
        </w:rPr>
        <w:t> </w:t>
      </w:r>
      <w:r>
        <w:rPr/>
        <w:t>been</w:t>
      </w:r>
      <w:r>
        <w:rPr>
          <w:spacing w:val="-12"/>
        </w:rPr>
        <w:t> </w:t>
      </w:r>
      <w:r>
        <w:rPr/>
        <w:t>based</w:t>
      </w:r>
      <w:r>
        <w:rPr>
          <w:spacing w:val="-11"/>
        </w:rPr>
        <w:t> </w:t>
      </w:r>
      <w:r>
        <w:rPr/>
        <w:t>on</w:t>
      </w:r>
      <w:r>
        <w:rPr>
          <w:spacing w:val="-13"/>
        </w:rPr>
        <w:t> </w:t>
      </w:r>
      <w:r>
        <w:rPr/>
        <w:t>information/review</w:t>
      </w:r>
      <w:r>
        <w:rPr>
          <w:spacing w:val="-11"/>
        </w:rPr>
        <w:t> </w:t>
      </w:r>
      <w:r>
        <w:rPr/>
        <w:t>of</w:t>
      </w:r>
      <w:r>
        <w:rPr>
          <w:spacing w:val="-10"/>
        </w:rPr>
        <w:t> </w:t>
      </w:r>
      <w:r>
        <w:rPr/>
        <w:t>various</w:t>
      </w:r>
      <w:r>
        <w:rPr>
          <w:spacing w:val="-11"/>
        </w:rPr>
        <w:t> </w:t>
      </w:r>
      <w:r>
        <w:rPr/>
        <w:t>documents (such</w:t>
      </w:r>
      <w:r>
        <w:rPr>
          <w:spacing w:val="-42"/>
        </w:rPr>
        <w:t> </w:t>
      </w:r>
      <w:r>
        <w:rPr/>
        <w:t>as</w:t>
      </w:r>
      <w:r>
        <w:rPr>
          <w:spacing w:val="-41"/>
        </w:rPr>
        <w:t> </w:t>
      </w:r>
      <w:r>
        <w:rPr/>
        <w:t>title</w:t>
      </w:r>
      <w:r>
        <w:rPr>
          <w:spacing w:val="-44"/>
        </w:rPr>
        <w:t> </w:t>
      </w:r>
      <w:r>
        <w:rPr/>
        <w:t>deed,</w:t>
      </w:r>
      <w:r>
        <w:rPr>
          <w:spacing w:val="-42"/>
        </w:rPr>
        <w:t> </w:t>
      </w:r>
      <w:r>
        <w:rPr/>
        <w:t>plan</w:t>
      </w:r>
      <w:r>
        <w:rPr>
          <w:spacing w:val="-42"/>
        </w:rPr>
        <w:t> </w:t>
      </w:r>
      <w:r>
        <w:rPr/>
        <w:t>sanction</w:t>
      </w:r>
      <w:r>
        <w:rPr>
          <w:spacing w:val="-42"/>
        </w:rPr>
        <w:t> </w:t>
      </w:r>
      <w:r>
        <w:rPr/>
        <w:t>letter,</w:t>
      </w:r>
      <w:r>
        <w:rPr>
          <w:spacing w:val="-42"/>
        </w:rPr>
        <w:t> </w:t>
      </w:r>
      <w:r>
        <w:rPr/>
        <w:t>site</w:t>
      </w:r>
      <w:r>
        <w:rPr>
          <w:spacing w:val="-42"/>
        </w:rPr>
        <w:t> </w:t>
      </w:r>
      <w:r>
        <w:rPr/>
        <w:t>plan,</w:t>
      </w:r>
      <w:r>
        <w:rPr>
          <w:spacing w:val="-42"/>
        </w:rPr>
        <w:t> </w:t>
      </w:r>
      <w:r>
        <w:rPr/>
        <w:t>etc.)</w:t>
      </w:r>
      <w:r>
        <w:rPr>
          <w:spacing w:val="-41"/>
        </w:rPr>
        <w:t> </w:t>
      </w:r>
      <w:r>
        <w:rPr/>
        <w:t>provided</w:t>
      </w:r>
      <w:r>
        <w:rPr>
          <w:spacing w:val="-41"/>
        </w:rPr>
        <w:t> </w:t>
      </w:r>
      <w:r>
        <w:rPr/>
        <w:t>by</w:t>
      </w:r>
      <w:r>
        <w:rPr>
          <w:spacing w:val="-42"/>
        </w:rPr>
        <w:t> </w:t>
      </w:r>
      <w:r>
        <w:rPr/>
        <w:t>the</w:t>
      </w:r>
      <w:r>
        <w:rPr>
          <w:spacing w:val="-42"/>
        </w:rPr>
        <w:t> </w:t>
      </w:r>
      <w:r>
        <w:rPr/>
        <w:t>Client</w:t>
      </w:r>
      <w:r>
        <w:rPr>
          <w:spacing w:val="-43"/>
        </w:rPr>
        <w:t> </w:t>
      </w:r>
      <w:r>
        <w:rPr/>
        <w:t>or</w:t>
      </w:r>
      <w:r>
        <w:rPr>
          <w:spacing w:val="-42"/>
        </w:rPr>
        <w:t> </w:t>
      </w:r>
      <w:r>
        <w:rPr/>
        <w:t>assumed</w:t>
      </w:r>
    </w:p>
    <w:p>
      <w:pPr>
        <w:spacing w:after="0" w:line="321" w:lineRule="auto"/>
        <w:jc w:val="both"/>
        <w:sectPr>
          <w:pgSz w:w="11910" w:h="16840"/>
          <w:pgMar w:header="720" w:footer="862" w:top="1660" w:bottom="1060" w:left="40" w:right="40"/>
        </w:sectPr>
      </w:pPr>
    </w:p>
    <w:p>
      <w:pPr>
        <w:pStyle w:val="BodyText"/>
        <w:spacing w:before="7"/>
        <w:rPr>
          <w:sz w:val="9"/>
        </w:rPr>
      </w:pPr>
    </w:p>
    <w:p>
      <w:pPr>
        <w:spacing w:after="0"/>
        <w:rPr>
          <w:sz w:val="9"/>
        </w:rPr>
        <w:sectPr>
          <w:pgSz w:w="11910" w:h="16840"/>
          <w:pgMar w:header="720" w:footer="862" w:top="1660" w:bottom="1060" w:left="40" w:right="4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21"/>
        </w:rPr>
      </w:pPr>
    </w:p>
    <w:p>
      <w:pPr>
        <w:pStyle w:val="BodyText"/>
        <w:spacing w:line="321" w:lineRule="auto" w:before="1"/>
        <w:ind w:left="1345" w:right="-18"/>
      </w:pPr>
      <w:r>
        <w:rPr/>
        <w:t>Approved Usage:</w:t>
      </w:r>
    </w:p>
    <w:p>
      <w:pPr>
        <w:pStyle w:val="BodyText"/>
        <w:spacing w:line="321" w:lineRule="auto" w:before="106"/>
        <w:ind w:left="438" w:right="697"/>
        <w:jc w:val="both"/>
      </w:pPr>
      <w:r>
        <w:rPr/>
        <w:br w:type="column"/>
      </w:r>
      <w:r>
        <w:rPr/>
        <w:t>based on building regulations, and no physical verification/ measurement has been undertaken for the purpose of this valuation exercise.</w:t>
      </w:r>
    </w:p>
    <w:p>
      <w:pPr>
        <w:pStyle w:val="BodyText"/>
        <w:spacing w:line="321" w:lineRule="auto" w:before="122"/>
        <w:ind w:left="438" w:right="698"/>
        <w:jc w:val="both"/>
      </w:pPr>
      <w:r>
        <w:rPr/>
        <w:t>For</w:t>
      </w:r>
      <w:r>
        <w:rPr>
          <w:spacing w:val="-13"/>
        </w:rPr>
        <w:t> </w:t>
      </w:r>
      <w:r>
        <w:rPr/>
        <w:t>the</w:t>
      </w:r>
      <w:r>
        <w:rPr>
          <w:spacing w:val="-14"/>
        </w:rPr>
        <w:t> </w:t>
      </w:r>
      <w:r>
        <w:rPr/>
        <w:t>purpose</w:t>
      </w:r>
      <w:r>
        <w:rPr>
          <w:spacing w:val="-13"/>
        </w:rPr>
        <w:t> </w:t>
      </w:r>
      <w:r>
        <w:rPr/>
        <w:t>of</w:t>
      </w:r>
      <w:r>
        <w:rPr>
          <w:spacing w:val="-12"/>
        </w:rPr>
        <w:t> </w:t>
      </w:r>
      <w:r>
        <w:rPr/>
        <w:t>this</w:t>
      </w:r>
      <w:r>
        <w:rPr>
          <w:spacing w:val="-12"/>
        </w:rPr>
        <w:t> </w:t>
      </w:r>
      <w:r>
        <w:rPr/>
        <w:t>exercise,</w:t>
      </w:r>
      <w:r>
        <w:rPr>
          <w:spacing w:val="-13"/>
        </w:rPr>
        <w:t> </w:t>
      </w:r>
      <w:r>
        <w:rPr/>
        <w:t>it</w:t>
      </w:r>
      <w:r>
        <w:rPr>
          <w:spacing w:val="-12"/>
        </w:rPr>
        <w:t> </w:t>
      </w:r>
      <w:r>
        <w:rPr/>
        <w:t>has</w:t>
      </w:r>
      <w:r>
        <w:rPr>
          <w:spacing w:val="-13"/>
        </w:rPr>
        <w:t> </w:t>
      </w:r>
      <w:r>
        <w:rPr/>
        <w:t>been</w:t>
      </w:r>
      <w:r>
        <w:rPr>
          <w:spacing w:val="-12"/>
        </w:rPr>
        <w:t> </w:t>
      </w:r>
      <w:r>
        <w:rPr/>
        <w:t>assumed</w:t>
      </w:r>
      <w:r>
        <w:rPr>
          <w:spacing w:val="-12"/>
        </w:rPr>
        <w:t> </w:t>
      </w:r>
      <w:r>
        <w:rPr/>
        <w:t>that</w:t>
      </w:r>
      <w:r>
        <w:rPr>
          <w:spacing w:val="-13"/>
        </w:rPr>
        <w:t> </w:t>
      </w:r>
      <w:r>
        <w:rPr/>
        <w:t>all</w:t>
      </w:r>
      <w:r>
        <w:rPr>
          <w:spacing w:val="-13"/>
        </w:rPr>
        <w:t> </w:t>
      </w:r>
      <w:r>
        <w:rPr/>
        <w:t>developments</w:t>
      </w:r>
      <w:r>
        <w:rPr>
          <w:spacing w:val="-12"/>
        </w:rPr>
        <w:t> </w:t>
      </w:r>
      <w:r>
        <w:rPr/>
        <w:t>adhere</w:t>
      </w:r>
      <w:r>
        <w:rPr>
          <w:spacing w:val="-12"/>
        </w:rPr>
        <w:t> </w:t>
      </w:r>
      <w:r>
        <w:rPr/>
        <w:t>to building</w:t>
      </w:r>
      <w:r>
        <w:rPr>
          <w:spacing w:val="-37"/>
        </w:rPr>
        <w:t> </w:t>
      </w:r>
      <w:r>
        <w:rPr/>
        <w:t>regulations</w:t>
      </w:r>
      <w:r>
        <w:rPr>
          <w:spacing w:val="-36"/>
        </w:rPr>
        <w:t> </w:t>
      </w:r>
      <w:r>
        <w:rPr/>
        <w:t>as</w:t>
      </w:r>
      <w:r>
        <w:rPr>
          <w:spacing w:val="-36"/>
        </w:rPr>
        <w:t> </w:t>
      </w:r>
      <w:r>
        <w:rPr/>
        <w:t>prescribed</w:t>
      </w:r>
      <w:r>
        <w:rPr>
          <w:spacing w:val="-36"/>
        </w:rPr>
        <w:t> </w:t>
      </w:r>
      <w:r>
        <w:rPr/>
        <w:t>by</w:t>
      </w:r>
      <w:r>
        <w:rPr>
          <w:spacing w:val="-36"/>
        </w:rPr>
        <w:t> </w:t>
      </w:r>
      <w:r>
        <w:rPr/>
        <w:t>the</w:t>
      </w:r>
      <w:r>
        <w:rPr>
          <w:spacing w:val="-38"/>
        </w:rPr>
        <w:t> </w:t>
      </w:r>
      <w:r>
        <w:rPr/>
        <w:t>relevant</w:t>
      </w:r>
      <w:r>
        <w:rPr>
          <w:spacing w:val="-36"/>
        </w:rPr>
        <w:t> </w:t>
      </w:r>
      <w:r>
        <w:rPr/>
        <w:t>authorities.</w:t>
      </w:r>
      <w:r>
        <w:rPr>
          <w:spacing w:val="-35"/>
        </w:rPr>
        <w:t> </w:t>
      </w:r>
      <w:r>
        <w:rPr/>
        <w:t>We</w:t>
      </w:r>
      <w:r>
        <w:rPr>
          <w:spacing w:val="-36"/>
        </w:rPr>
        <w:t> </w:t>
      </w:r>
      <w:r>
        <w:rPr/>
        <w:t>have</w:t>
      </w:r>
      <w:r>
        <w:rPr>
          <w:spacing w:val="-36"/>
        </w:rPr>
        <w:t> </w:t>
      </w:r>
      <w:r>
        <w:rPr/>
        <w:t>not</w:t>
      </w:r>
      <w:r>
        <w:rPr>
          <w:spacing w:val="-36"/>
        </w:rPr>
        <w:t> </w:t>
      </w:r>
      <w:r>
        <w:rPr/>
        <w:t>validated</w:t>
      </w:r>
      <w:r>
        <w:rPr>
          <w:spacing w:val="-36"/>
        </w:rPr>
        <w:t> </w:t>
      </w:r>
      <w:r>
        <w:rPr/>
        <w:t>the information</w:t>
      </w:r>
      <w:r>
        <w:rPr>
          <w:spacing w:val="-21"/>
        </w:rPr>
        <w:t> </w:t>
      </w:r>
      <w:r>
        <w:rPr/>
        <w:t>provided</w:t>
      </w:r>
      <w:r>
        <w:rPr>
          <w:spacing w:val="-19"/>
        </w:rPr>
        <w:t> </w:t>
      </w:r>
      <w:r>
        <w:rPr/>
        <w:t>by</w:t>
      </w:r>
      <w:r>
        <w:rPr>
          <w:spacing w:val="-19"/>
        </w:rPr>
        <w:t> </w:t>
      </w:r>
      <w:r>
        <w:rPr/>
        <w:t>the</w:t>
      </w:r>
      <w:r>
        <w:rPr>
          <w:spacing w:val="-20"/>
        </w:rPr>
        <w:t> </w:t>
      </w:r>
      <w:r>
        <w:rPr/>
        <w:t>Client</w:t>
      </w:r>
      <w:r>
        <w:rPr>
          <w:spacing w:val="-19"/>
        </w:rPr>
        <w:t> </w:t>
      </w:r>
      <w:r>
        <w:rPr/>
        <w:t>with</w:t>
      </w:r>
      <w:r>
        <w:rPr>
          <w:spacing w:val="-20"/>
        </w:rPr>
        <w:t> </w:t>
      </w:r>
      <w:r>
        <w:rPr/>
        <w:t>the</w:t>
      </w:r>
      <w:r>
        <w:rPr>
          <w:spacing w:val="-19"/>
        </w:rPr>
        <w:t> </w:t>
      </w:r>
      <w:r>
        <w:rPr/>
        <w:t>relevant</w:t>
      </w:r>
      <w:r>
        <w:rPr>
          <w:spacing w:val="-20"/>
        </w:rPr>
        <w:t> </w:t>
      </w:r>
      <w:r>
        <w:rPr/>
        <w:t>development</w:t>
      </w:r>
      <w:r>
        <w:rPr>
          <w:spacing w:val="-19"/>
        </w:rPr>
        <w:t> </w:t>
      </w:r>
      <w:r>
        <w:rPr/>
        <w:t>authorities.</w:t>
      </w:r>
    </w:p>
    <w:p>
      <w:pPr>
        <w:pStyle w:val="BodyText"/>
        <w:spacing w:line="321" w:lineRule="auto" w:before="120"/>
        <w:ind w:left="520" w:right="700"/>
        <w:jc w:val="both"/>
      </w:pPr>
      <w:r>
        <w:rPr/>
        <w:t>Based</w:t>
      </w:r>
      <w:r>
        <w:rPr>
          <w:spacing w:val="-6"/>
        </w:rPr>
        <w:t> </w:t>
      </w:r>
      <w:r>
        <w:rPr/>
        <w:t>on</w:t>
      </w:r>
      <w:r>
        <w:rPr>
          <w:spacing w:val="-5"/>
        </w:rPr>
        <w:t> </w:t>
      </w:r>
      <w:r>
        <w:rPr/>
        <w:t>the</w:t>
      </w:r>
      <w:r>
        <w:rPr>
          <w:spacing w:val="-7"/>
        </w:rPr>
        <w:t> </w:t>
      </w:r>
      <w:r>
        <w:rPr/>
        <w:t>site</w:t>
      </w:r>
      <w:r>
        <w:rPr>
          <w:spacing w:val="-5"/>
        </w:rPr>
        <w:t> </w:t>
      </w:r>
      <w:r>
        <w:rPr/>
        <w:t>inspection</w:t>
      </w:r>
      <w:r>
        <w:rPr>
          <w:spacing w:val="-5"/>
        </w:rPr>
        <w:t> </w:t>
      </w:r>
      <w:r>
        <w:rPr/>
        <w:t>undertaken</w:t>
      </w:r>
      <w:r>
        <w:rPr>
          <w:spacing w:val="-5"/>
        </w:rPr>
        <w:t> </w:t>
      </w:r>
      <w:r>
        <w:rPr/>
        <w:t>by</w:t>
      </w:r>
      <w:r>
        <w:rPr>
          <w:spacing w:val="-1"/>
        </w:rPr>
        <w:t> </w:t>
      </w:r>
      <w:r>
        <w:rPr/>
        <w:t>the</w:t>
      </w:r>
      <w:r>
        <w:rPr>
          <w:spacing w:val="-7"/>
        </w:rPr>
        <w:t> </w:t>
      </w:r>
      <w:r>
        <w:rPr/>
        <w:t>Consultants,</w:t>
      </w:r>
      <w:r>
        <w:rPr>
          <w:spacing w:val="-6"/>
        </w:rPr>
        <w:t> </w:t>
      </w:r>
      <w:r>
        <w:rPr/>
        <w:t>we</w:t>
      </w:r>
      <w:r>
        <w:rPr>
          <w:spacing w:val="-5"/>
        </w:rPr>
        <w:t> </w:t>
      </w:r>
      <w:r>
        <w:rPr/>
        <w:t>understand</w:t>
      </w:r>
      <w:r>
        <w:rPr>
          <w:spacing w:val="-5"/>
        </w:rPr>
        <w:t> </w:t>
      </w:r>
      <w:r>
        <w:rPr/>
        <w:t>that</w:t>
      </w:r>
      <w:r>
        <w:rPr>
          <w:spacing w:val="-5"/>
        </w:rPr>
        <w:t> </w:t>
      </w:r>
      <w:r>
        <w:rPr/>
        <w:t>the subject</w:t>
      </w:r>
      <w:r>
        <w:rPr>
          <w:spacing w:val="-9"/>
        </w:rPr>
        <w:t> </w:t>
      </w:r>
      <w:r>
        <w:rPr/>
        <w:t>property</w:t>
      </w:r>
      <w:r>
        <w:rPr>
          <w:spacing w:val="-7"/>
        </w:rPr>
        <w:t> </w:t>
      </w:r>
      <w:r>
        <w:rPr/>
        <w:t>is</w:t>
      </w:r>
      <w:r>
        <w:rPr>
          <w:spacing w:val="-8"/>
        </w:rPr>
        <w:t> </w:t>
      </w:r>
      <w:r>
        <w:rPr/>
        <w:t>an</w:t>
      </w:r>
      <w:r>
        <w:rPr>
          <w:spacing w:val="-9"/>
        </w:rPr>
        <w:t> </w:t>
      </w:r>
      <w:r>
        <w:rPr/>
        <w:t>operational</w:t>
      </w:r>
      <w:r>
        <w:rPr>
          <w:spacing w:val="-10"/>
        </w:rPr>
        <w:t> </w:t>
      </w:r>
      <w:r>
        <w:rPr/>
        <w:t>hospitality</w:t>
      </w:r>
      <w:r>
        <w:rPr>
          <w:spacing w:val="-7"/>
        </w:rPr>
        <w:t> </w:t>
      </w:r>
      <w:r>
        <w:rPr/>
        <w:t>development.</w:t>
      </w:r>
    </w:p>
    <w:p>
      <w:pPr>
        <w:spacing w:after="0" w:line="321" w:lineRule="auto"/>
        <w:jc w:val="both"/>
        <w:sectPr>
          <w:type w:val="continuous"/>
          <w:pgSz w:w="11910" w:h="16840"/>
          <w:pgMar w:top="800" w:bottom="280" w:left="40" w:right="40"/>
          <w:cols w:num="2" w:equalWidth="0">
            <w:col w:w="2276" w:space="40"/>
            <w:col w:w="9514"/>
          </w:cols>
        </w:sectPr>
      </w:pPr>
    </w:p>
    <w:p>
      <w:pPr>
        <w:pStyle w:val="BodyText"/>
        <w:spacing w:before="2"/>
        <w:rPr>
          <w:sz w:val="14"/>
        </w:rPr>
      </w:pPr>
    </w:p>
    <w:p>
      <w:pPr>
        <w:pStyle w:val="BodyText"/>
        <w:tabs>
          <w:tab w:pos="2835" w:val="left" w:leader="none"/>
        </w:tabs>
        <w:spacing w:line="321" w:lineRule="auto" w:before="106"/>
        <w:ind w:left="2835" w:right="700" w:hanging="1491"/>
      </w:pPr>
      <w:r>
        <w:rPr>
          <w:w w:val="95"/>
        </w:rPr>
        <w:t>Restrictions:</w:t>
        <w:tab/>
      </w:r>
      <w:r>
        <w:rPr/>
        <w:t>As</w:t>
      </w:r>
      <w:r>
        <w:rPr>
          <w:spacing w:val="-35"/>
        </w:rPr>
        <w:t> </w:t>
      </w:r>
      <w:r>
        <w:rPr/>
        <w:t>per</w:t>
      </w:r>
      <w:r>
        <w:rPr>
          <w:spacing w:val="-34"/>
        </w:rPr>
        <w:t> </w:t>
      </w:r>
      <w:r>
        <w:rPr/>
        <w:t>feedback</w:t>
      </w:r>
      <w:r>
        <w:rPr>
          <w:spacing w:val="-33"/>
        </w:rPr>
        <w:t> </w:t>
      </w:r>
      <w:r>
        <w:rPr/>
        <w:t>received</w:t>
      </w:r>
      <w:r>
        <w:rPr>
          <w:spacing w:val="-34"/>
        </w:rPr>
        <w:t> </w:t>
      </w:r>
      <w:r>
        <w:rPr/>
        <w:t>from</w:t>
      </w:r>
      <w:r>
        <w:rPr>
          <w:spacing w:val="-33"/>
        </w:rPr>
        <w:t> </w:t>
      </w:r>
      <w:r>
        <w:rPr/>
        <w:t>the</w:t>
      </w:r>
      <w:r>
        <w:rPr>
          <w:spacing w:val="-34"/>
        </w:rPr>
        <w:t> </w:t>
      </w:r>
      <w:r>
        <w:rPr/>
        <w:t>Client,</w:t>
      </w:r>
      <w:r>
        <w:rPr>
          <w:spacing w:val="-34"/>
        </w:rPr>
        <w:t> </w:t>
      </w:r>
      <w:r>
        <w:rPr/>
        <w:t>there</w:t>
      </w:r>
      <w:r>
        <w:rPr>
          <w:spacing w:val="-34"/>
        </w:rPr>
        <w:t> </w:t>
      </w:r>
      <w:r>
        <w:rPr/>
        <w:t>are</w:t>
      </w:r>
      <w:r>
        <w:rPr>
          <w:spacing w:val="-34"/>
        </w:rPr>
        <w:t> </w:t>
      </w:r>
      <w:r>
        <w:rPr/>
        <w:t>no</w:t>
      </w:r>
      <w:r>
        <w:rPr>
          <w:spacing w:val="-34"/>
        </w:rPr>
        <w:t> </w:t>
      </w:r>
      <w:r>
        <w:rPr/>
        <w:t>restrictions</w:t>
      </w:r>
      <w:r>
        <w:rPr>
          <w:spacing w:val="-33"/>
        </w:rPr>
        <w:t> </w:t>
      </w:r>
      <w:r>
        <w:rPr/>
        <w:t>on</w:t>
      </w:r>
      <w:r>
        <w:rPr>
          <w:spacing w:val="-34"/>
        </w:rPr>
        <w:t> </w:t>
      </w:r>
      <w:r>
        <w:rPr/>
        <w:t>the</w:t>
      </w:r>
      <w:r>
        <w:rPr>
          <w:spacing w:val="-34"/>
        </w:rPr>
        <w:t> </w:t>
      </w:r>
      <w:r>
        <w:rPr/>
        <w:t>current</w:t>
      </w:r>
      <w:r>
        <w:rPr>
          <w:spacing w:val="-34"/>
        </w:rPr>
        <w:t> </w:t>
      </w:r>
      <w:r>
        <w:rPr/>
        <w:t>use</w:t>
      </w:r>
      <w:r>
        <w:rPr>
          <w:spacing w:val="-34"/>
        </w:rPr>
        <w:t> </w:t>
      </w:r>
      <w:r>
        <w:rPr/>
        <w:t>of the</w:t>
      </w:r>
      <w:r>
        <w:rPr>
          <w:spacing w:val="-3"/>
        </w:rPr>
        <w:t> </w:t>
      </w:r>
      <w:r>
        <w:rPr/>
        <w:t>property.</w:t>
      </w:r>
    </w:p>
    <w:p>
      <w:pPr>
        <w:spacing w:after="0" w:line="321" w:lineRule="auto"/>
        <w:sectPr>
          <w:type w:val="continuous"/>
          <w:pgSz w:w="11910" w:h="16840"/>
          <w:pgMar w:top="800" w:bottom="280" w:left="40" w:right="40"/>
        </w:sectPr>
      </w:pPr>
    </w:p>
    <w:p>
      <w:pPr>
        <w:pStyle w:val="BodyText"/>
        <w:tabs>
          <w:tab w:pos="2333" w:val="left" w:leader="none"/>
        </w:tabs>
        <w:spacing w:line="321" w:lineRule="auto" w:before="122"/>
        <w:ind w:left="1345"/>
      </w:pPr>
      <w:r>
        <w:rPr/>
        <w:t>Natural</w:t>
        <w:tab/>
      </w:r>
      <w:r>
        <w:rPr>
          <w:spacing w:val="-11"/>
        </w:rPr>
        <w:t>or </w:t>
      </w:r>
      <w:r>
        <w:rPr/>
        <w:t>induced hazards:</w:t>
      </w:r>
    </w:p>
    <w:p>
      <w:pPr>
        <w:pStyle w:val="BodyText"/>
        <w:spacing w:line="321" w:lineRule="auto" w:before="122"/>
        <w:ind w:left="259"/>
      </w:pPr>
      <w:r>
        <w:rPr/>
        <w:br w:type="column"/>
      </w:r>
      <w:r>
        <w:rPr/>
        <w:t>We</w:t>
      </w:r>
      <w:r>
        <w:rPr>
          <w:spacing w:val="-30"/>
        </w:rPr>
        <w:t> </w:t>
      </w:r>
      <w:r>
        <w:rPr/>
        <w:t>are</w:t>
      </w:r>
      <w:r>
        <w:rPr>
          <w:spacing w:val="-30"/>
        </w:rPr>
        <w:t> </w:t>
      </w:r>
      <w:r>
        <w:rPr/>
        <w:t>of</w:t>
      </w:r>
      <w:r>
        <w:rPr>
          <w:spacing w:val="-29"/>
        </w:rPr>
        <w:t> </w:t>
      </w:r>
      <w:r>
        <w:rPr/>
        <w:t>the</w:t>
      </w:r>
      <w:r>
        <w:rPr>
          <w:spacing w:val="-31"/>
        </w:rPr>
        <w:t> </w:t>
      </w:r>
      <w:r>
        <w:rPr/>
        <w:t>opinion</w:t>
      </w:r>
      <w:r>
        <w:rPr>
          <w:spacing w:val="-30"/>
        </w:rPr>
        <w:t> </w:t>
      </w:r>
      <w:r>
        <w:rPr/>
        <w:t>that</w:t>
      </w:r>
      <w:r>
        <w:rPr>
          <w:spacing w:val="-30"/>
        </w:rPr>
        <w:t> </w:t>
      </w:r>
      <w:r>
        <w:rPr/>
        <w:t>the</w:t>
      </w:r>
      <w:r>
        <w:rPr>
          <w:spacing w:val="-30"/>
        </w:rPr>
        <w:t> </w:t>
      </w:r>
      <w:r>
        <w:rPr/>
        <w:t>project/</w:t>
      </w:r>
      <w:r>
        <w:rPr>
          <w:spacing w:val="-29"/>
        </w:rPr>
        <w:t> </w:t>
      </w:r>
      <w:r>
        <w:rPr/>
        <w:t>site</w:t>
      </w:r>
      <w:r>
        <w:rPr>
          <w:spacing w:val="-31"/>
        </w:rPr>
        <w:t> </w:t>
      </w:r>
      <w:r>
        <w:rPr/>
        <w:t>has</w:t>
      </w:r>
      <w:r>
        <w:rPr>
          <w:spacing w:val="-30"/>
        </w:rPr>
        <w:t> </w:t>
      </w:r>
      <w:r>
        <w:rPr/>
        <w:t>been</w:t>
      </w:r>
      <w:r>
        <w:rPr>
          <w:spacing w:val="-30"/>
        </w:rPr>
        <w:t> </w:t>
      </w:r>
      <w:r>
        <w:rPr/>
        <w:t>developed</w:t>
      </w:r>
      <w:r>
        <w:rPr>
          <w:spacing w:val="-30"/>
        </w:rPr>
        <w:t> </w:t>
      </w:r>
      <w:r>
        <w:rPr/>
        <w:t>to</w:t>
      </w:r>
      <w:r>
        <w:rPr>
          <w:spacing w:val="-31"/>
        </w:rPr>
        <w:t> </w:t>
      </w:r>
      <w:r>
        <w:rPr/>
        <w:t>withstand</w:t>
      </w:r>
      <w:r>
        <w:rPr>
          <w:spacing w:val="-29"/>
        </w:rPr>
        <w:t> </w:t>
      </w:r>
      <w:r>
        <w:rPr/>
        <w:t>natural</w:t>
      </w:r>
      <w:r>
        <w:rPr>
          <w:spacing w:val="-31"/>
        </w:rPr>
        <w:t> </w:t>
      </w:r>
      <w:r>
        <w:rPr/>
        <w:t>or induced</w:t>
      </w:r>
      <w:r>
        <w:rPr>
          <w:spacing w:val="-17"/>
        </w:rPr>
        <w:t> </w:t>
      </w:r>
      <w:r>
        <w:rPr/>
        <w:t>hazards</w:t>
      </w:r>
      <w:r>
        <w:rPr>
          <w:spacing w:val="-18"/>
        </w:rPr>
        <w:t> </w:t>
      </w:r>
      <w:r>
        <w:rPr/>
        <w:t>(with</w:t>
      </w:r>
      <w:r>
        <w:rPr>
          <w:spacing w:val="-19"/>
        </w:rPr>
        <w:t> </w:t>
      </w:r>
      <w:r>
        <w:rPr/>
        <w:t>the</w:t>
      </w:r>
      <w:r>
        <w:rPr>
          <w:spacing w:val="-21"/>
        </w:rPr>
        <w:t> </w:t>
      </w:r>
      <w:r>
        <w:rPr/>
        <w:t>exception</w:t>
      </w:r>
      <w:r>
        <w:rPr>
          <w:spacing w:val="-19"/>
        </w:rPr>
        <w:t> </w:t>
      </w:r>
      <w:r>
        <w:rPr/>
        <w:t>of</w:t>
      </w:r>
      <w:r>
        <w:rPr>
          <w:spacing w:val="-18"/>
        </w:rPr>
        <w:t> </w:t>
      </w:r>
      <w:r>
        <w:rPr/>
        <w:t>extreme/</w:t>
      </w:r>
      <w:r>
        <w:rPr>
          <w:spacing w:val="-19"/>
        </w:rPr>
        <w:t> </w:t>
      </w:r>
      <w:r>
        <w:rPr/>
        <w:t>out</w:t>
      </w:r>
      <w:r>
        <w:rPr>
          <w:spacing w:val="-18"/>
        </w:rPr>
        <w:t> </w:t>
      </w:r>
      <w:r>
        <w:rPr/>
        <w:t>of</w:t>
      </w:r>
      <w:r>
        <w:rPr>
          <w:spacing w:val="-18"/>
        </w:rPr>
        <w:t> </w:t>
      </w:r>
      <w:r>
        <w:rPr/>
        <w:t>the</w:t>
      </w:r>
      <w:r>
        <w:rPr>
          <w:spacing w:val="-19"/>
        </w:rPr>
        <w:t> </w:t>
      </w:r>
      <w:r>
        <w:rPr/>
        <w:t>ordinary</w:t>
      </w:r>
      <w:r>
        <w:rPr>
          <w:spacing w:val="-18"/>
        </w:rPr>
        <w:t> </w:t>
      </w:r>
      <w:r>
        <w:rPr/>
        <w:t>hazards).</w:t>
      </w:r>
    </w:p>
    <w:p>
      <w:pPr>
        <w:spacing w:after="0" w:line="321" w:lineRule="auto"/>
        <w:sectPr>
          <w:type w:val="continuous"/>
          <w:pgSz w:w="11910" w:h="16840"/>
          <w:pgMar w:top="800" w:bottom="280" w:left="40" w:right="40"/>
          <w:cols w:num="2" w:equalWidth="0">
            <w:col w:w="2537" w:space="40"/>
            <w:col w:w="9253"/>
          </w:cols>
        </w:sectPr>
      </w:pPr>
    </w:p>
    <w:p>
      <w:pPr>
        <w:pStyle w:val="BodyText"/>
        <w:spacing w:before="1"/>
      </w:pPr>
    </w:p>
    <w:p>
      <w:pPr>
        <w:pStyle w:val="ListParagraph"/>
        <w:numPr>
          <w:ilvl w:val="2"/>
          <w:numId w:val="14"/>
        </w:numPr>
        <w:tabs>
          <w:tab w:pos="1401" w:val="left" w:leader="none"/>
        </w:tabs>
        <w:spacing w:line="240" w:lineRule="auto" w:before="106" w:after="0"/>
        <w:ind w:left="1400" w:right="0" w:hanging="721"/>
        <w:jc w:val="left"/>
        <w:rPr>
          <w:sz w:val="22"/>
        </w:rPr>
      </w:pPr>
      <w:bookmarkStart w:name="_bookmark354" w:id="691"/>
      <w:bookmarkEnd w:id="691"/>
      <w:r>
        <w:rPr/>
      </w:r>
      <w:bookmarkStart w:name="_bookmark354" w:id="692"/>
      <w:bookmarkEnd w:id="692"/>
      <w:r>
        <w:rPr>
          <w:color w:val="1F664D"/>
          <w:sz w:val="22"/>
        </w:rPr>
        <w:t>S</w:t>
      </w:r>
      <w:r>
        <w:rPr>
          <w:color w:val="1F664D"/>
          <w:sz w:val="22"/>
        </w:rPr>
        <w:t>tatutory Approvals, One Time Sanctions &amp; Periodic Clearances</w:t>
      </w:r>
    </w:p>
    <w:p>
      <w:pPr>
        <w:pStyle w:val="BodyText"/>
        <w:spacing w:before="208"/>
        <w:ind w:left="1246"/>
      </w:pPr>
      <w:r>
        <w:rPr/>
        <w:t>Please refer section 18.3 on Statutory Approvals, One time Sanctions &amp; Periodic Clearances</w:t>
      </w:r>
    </w:p>
    <w:p>
      <w:pPr>
        <w:pStyle w:val="BodyText"/>
        <w:rPr>
          <w:sz w:val="28"/>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55" w:id="693"/>
      <w:bookmarkEnd w:id="693"/>
      <w:r>
        <w:rPr/>
      </w:r>
      <w:bookmarkStart w:name="_bookmark355" w:id="694"/>
      <w:bookmarkEnd w:id="694"/>
      <w:r>
        <w:rPr>
          <w:color w:val="1F664D"/>
          <w:sz w:val="22"/>
        </w:rPr>
        <w:t>Are</w:t>
      </w:r>
      <w:r>
        <w:rPr>
          <w:color w:val="1F664D"/>
          <w:sz w:val="22"/>
        </w:rPr>
        <w:t>a Details, Type and Age of Existing</w:t>
      </w:r>
      <w:r>
        <w:rPr>
          <w:color w:val="1F664D"/>
          <w:spacing w:val="-4"/>
          <w:sz w:val="22"/>
        </w:rPr>
        <w:t> </w:t>
      </w:r>
      <w:r>
        <w:rPr>
          <w:color w:val="1F664D"/>
          <w:sz w:val="22"/>
        </w:rPr>
        <w:t>Structures</w:t>
      </w:r>
    </w:p>
    <w:p>
      <w:pPr>
        <w:pStyle w:val="BodyText"/>
        <w:spacing w:before="208"/>
        <w:ind w:left="1220"/>
      </w:pPr>
      <w:r>
        <w:rPr/>
        <w:t>The table below highlights the area detail of the subject property</w:t>
      </w:r>
    </w:p>
    <w:p>
      <w:pPr>
        <w:pStyle w:val="BodyText"/>
        <w:spacing w:before="2"/>
        <w:rPr>
          <w:sz w:val="14"/>
        </w:rPr>
      </w:pPr>
      <w:r>
        <w:rPr/>
        <w:pict>
          <v:group style="position:absolute;margin-left:19.32pt;margin-top:10.194864pt;width:556.950pt;height:23.9pt;mso-position-horizontal-relative:page;mso-position-vertical-relative:paragraph;z-index:-14969856;mso-wrap-distance-left:0;mso-wrap-distance-right:0" coordorigin="386,204" coordsize="11139,478">
            <v:shape style="position:absolute;left:386;top:235;width:11139;height:432" coordorigin="386,235" coordsize="11139,432" path="m7711,235l5802,235,3176,235,386,235,386,667,3176,667,5802,667,7711,667,7711,235xm11525,235l9619,235,7711,235,7711,667,9619,667,11525,667,11525,235xe" filled="true" fillcolor="#006a4d" stroked="false">
              <v:path arrowok="t"/>
              <v:fill type="solid"/>
            </v:shape>
            <v:rect style="position:absolute;left:386;top:203;width:2792;height:29" filled="true" fillcolor="#1f6b16" stroked="false">
              <v:fill type="solid"/>
            </v:rect>
            <v:shape style="position:absolute;left:386;top:232;width:2821;height:3" coordorigin="386,233" coordsize="2821,3" path="m3207,233l3178,233,386,233,386,235,3178,235,3207,235,3207,233xe" filled="true" fillcolor="#006a4d" stroked="false">
              <v:path arrowok="t"/>
              <v:fill type="solid"/>
            </v:shape>
            <v:shape style="position:absolute;left:3178;top:203;width:2625;height:29" coordorigin="3178,204" coordsize="2625,29" path="m5802,204l3207,204,3178,204,3178,233,3207,233,5802,233,5802,204xe" filled="true" fillcolor="#1f6b16" stroked="false">
              <v:path arrowok="t"/>
              <v:fill type="solid"/>
            </v:shape>
            <v:shape style="position:absolute;left:3206;top:232;width:2625;height:3" coordorigin="3207,233" coordsize="2625,3" path="m5831,233l5802,233,3207,233,3207,235,5802,235,5831,235,5831,233xe" filled="true" fillcolor="#006a4d" stroked="false">
              <v:path arrowok="t"/>
              <v:fill type="solid"/>
            </v:shape>
            <v:shape style="position:absolute;left:5802;top:203;width:1909;height:29" coordorigin="5802,204" coordsize="1909,29" path="m7711,204l5831,204,5802,204,5802,233,5831,233,7711,233,7711,204xe" filled="true" fillcolor="#1f6b16" stroked="false">
              <v:path arrowok="t"/>
              <v:fill type="solid"/>
            </v:shape>
            <v:shape style="position:absolute;left:5831;top:232;width:1909;height:3" coordorigin="5831,233" coordsize="1909,3" path="m7711,233l5831,233,5831,235,7711,235,7711,233xm7740,233l7711,233,7711,235,7740,235,7740,233xe" filled="true" fillcolor="#006a4d" stroked="false">
              <v:path arrowok="t"/>
              <v:fill type="solid"/>
            </v:shape>
            <v:shape style="position:absolute;left:7710;top:203;width:1908;height:29" coordorigin="7711,204" coordsize="1908,29" path="m9619,204l7740,204,7711,204,7711,233,7740,233,9619,233,9619,204xe" filled="true" fillcolor="#1f6b16" stroked="false">
              <v:path arrowok="t"/>
              <v:fill type="solid"/>
            </v:shape>
            <v:shape style="position:absolute;left:7739;top:232;width:1909;height:3" coordorigin="7740,233" coordsize="1909,3" path="m9648,233l9619,233,7740,233,7740,235,9619,235,9648,235,9648,233xe" filled="true" fillcolor="#006a4d" stroked="false">
              <v:path arrowok="t"/>
              <v:fill type="solid"/>
            </v:shape>
            <v:shape style="position:absolute;left:9618;top:203;width:1906;height:29" coordorigin="9619,204" coordsize="1906,29" path="m11525,204l9648,204,9619,204,9619,233,9648,233,11525,233,11525,204xe" filled="true" fillcolor="#1f6b16" stroked="false">
              <v:path arrowok="t"/>
              <v:fill type="solid"/>
            </v:shape>
            <v:rect style="position:absolute;left:9648;top:232;width:1877;height:3" filled="true" fillcolor="#006a4d" stroked="false">
              <v:fill type="solid"/>
            </v:rect>
            <v:shape style="position:absolute;left:386;top:667;width:11139;height:15" coordorigin="386,667" coordsize="11139,15" path="m7711,667l5817,667,5802,667,3192,667,3178,667,386,667,386,681,3178,681,3192,681,5802,681,5817,681,7711,681,7711,667xm11525,667l9634,667,9634,667,9619,667,7725,667,7711,667,7711,681,7725,681,9619,681,9634,681,9634,681,11525,681,11525,667xe" filled="true" fillcolor="#69bd28" stroked="false">
              <v:path arrowok="t"/>
              <v:fill type="solid"/>
            </v:shape>
            <v:shape style="position:absolute;left:1039;top:342;width:1502;height:216" type="#_x0000_t202" filled="false" stroked="false">
              <v:textbox inset="0,0,0,0">
                <w:txbxContent>
                  <w:p>
                    <w:pPr>
                      <w:spacing w:before="4"/>
                      <w:ind w:left="0" w:right="0" w:firstLine="0"/>
                      <w:jc w:val="left"/>
                      <w:rPr>
                        <w:b/>
                        <w:sz w:val="18"/>
                      </w:rPr>
                    </w:pPr>
                    <w:r>
                      <w:rPr>
                        <w:b/>
                        <w:color w:val="FFFFFF"/>
                        <w:w w:val="105"/>
                        <w:sz w:val="18"/>
                      </w:rPr>
                      <w:t>Subject Property</w:t>
                    </w:r>
                  </w:p>
                </w:txbxContent>
              </v:textbox>
              <w10:wrap type="none"/>
            </v:shape>
            <v:shape style="position:absolute;left:3500;top:342;width:1993;height:216" type="#_x0000_t202" filled="false" stroked="false">
              <v:textbox inset="0,0,0,0">
                <w:txbxContent>
                  <w:p>
                    <w:pPr>
                      <w:spacing w:before="4"/>
                      <w:ind w:left="0" w:right="0" w:firstLine="0"/>
                      <w:jc w:val="left"/>
                      <w:rPr>
                        <w:b/>
                        <w:sz w:val="18"/>
                      </w:rPr>
                    </w:pPr>
                    <w:r>
                      <w:rPr>
                        <w:b/>
                        <w:color w:val="FFFFFF"/>
                        <w:w w:val="110"/>
                        <w:sz w:val="18"/>
                      </w:rPr>
                      <w:t>Developable area (sf)</w:t>
                    </w:r>
                  </w:p>
                </w:txbxContent>
              </v:textbox>
              <w10:wrap type="none"/>
            </v:shape>
            <v:shape style="position:absolute;left:6020;top:234;width:1490;height:432" type="#_x0000_t202" filled="false" stroked="false">
              <v:textbox inset="0,0,0,0">
                <w:txbxContent>
                  <w:p>
                    <w:pPr>
                      <w:spacing w:line="247" w:lineRule="auto" w:before="4"/>
                      <w:ind w:left="595" w:right="0" w:hanging="596"/>
                      <w:jc w:val="left"/>
                      <w:rPr>
                        <w:b/>
                        <w:sz w:val="18"/>
                      </w:rPr>
                    </w:pPr>
                    <w:r>
                      <w:rPr>
                        <w:b/>
                        <w:color w:val="FFFFFF"/>
                        <w:w w:val="105"/>
                        <w:sz w:val="18"/>
                      </w:rPr>
                      <w:t>Completed Area (sf)</w:t>
                    </w:r>
                  </w:p>
                </w:txbxContent>
              </v:textbox>
              <w10:wrap type="none"/>
            </v:shape>
            <v:shape style="position:absolute;left:7926;top:234;width:3501;height:432" type="#_x0000_t202" filled="false" stroked="false">
              <v:textbox inset="0,0,0,0">
                <w:txbxContent>
                  <w:p>
                    <w:pPr>
                      <w:tabs>
                        <w:tab w:pos="1809" w:val="left" w:leader="none"/>
                      </w:tabs>
                      <w:spacing w:line="124" w:lineRule="auto" w:before="83"/>
                      <w:ind w:left="597" w:right="18" w:hanging="598"/>
                      <w:jc w:val="left"/>
                      <w:rPr>
                        <w:b/>
                        <w:sz w:val="18"/>
                      </w:rPr>
                    </w:pPr>
                    <w:r>
                      <w:rPr>
                        <w:b/>
                        <w:color w:val="FFFFFF"/>
                        <w:w w:val="105"/>
                        <w:position w:val="11"/>
                        <w:sz w:val="18"/>
                      </w:rPr>
                      <w:t>Committed</w:t>
                    </w:r>
                    <w:r>
                      <w:rPr>
                        <w:b/>
                        <w:color w:val="FFFFFF"/>
                        <w:spacing w:val="22"/>
                        <w:w w:val="105"/>
                        <w:position w:val="11"/>
                        <w:sz w:val="18"/>
                      </w:rPr>
                      <w:t> </w:t>
                    </w:r>
                    <w:r>
                      <w:rPr>
                        <w:b/>
                        <w:color w:val="FFFFFF"/>
                        <w:w w:val="105"/>
                        <w:position w:val="11"/>
                        <w:sz w:val="18"/>
                      </w:rPr>
                      <w:t>Area</w:t>
                      <w:tab/>
                    </w:r>
                    <w:r>
                      <w:rPr>
                        <w:b/>
                        <w:color w:val="FFFFFF"/>
                        <w:w w:val="105"/>
                        <w:sz w:val="18"/>
                      </w:rPr>
                      <w:t>Occupied Area </w:t>
                    </w:r>
                    <w:r>
                      <w:rPr>
                        <w:b/>
                        <w:color w:val="FFFFFF"/>
                        <w:spacing w:val="-5"/>
                        <w:w w:val="105"/>
                        <w:sz w:val="18"/>
                      </w:rPr>
                      <w:t>(sf) </w:t>
                    </w:r>
                    <w:r>
                      <w:rPr>
                        <w:b/>
                        <w:color w:val="FFFFFF"/>
                        <w:w w:val="105"/>
                        <w:sz w:val="18"/>
                      </w:rPr>
                      <w:t>(sf)</w:t>
                    </w:r>
                  </w:p>
                </w:txbxContent>
              </v:textbox>
              <w10:wrap type="none"/>
            </v:shape>
            <w10:wrap type="topAndBottom"/>
          </v:group>
        </w:pict>
      </w:r>
    </w:p>
    <w:p>
      <w:pPr>
        <w:tabs>
          <w:tab w:pos="4100" w:val="left" w:leader="none"/>
          <w:tab w:pos="6369" w:val="left" w:leader="none"/>
          <w:tab w:pos="8498" w:val="left" w:leader="none"/>
          <w:tab w:pos="10407" w:val="left" w:leader="none"/>
        </w:tabs>
        <w:spacing w:line="203" w:lineRule="exact" w:before="0" w:after="25"/>
        <w:ind w:left="1013" w:right="0" w:firstLine="0"/>
        <w:jc w:val="left"/>
        <w:rPr>
          <w:sz w:val="18"/>
        </w:rPr>
      </w:pPr>
      <w:r>
        <w:rPr>
          <w:w w:val="105"/>
          <w:sz w:val="18"/>
        </w:rPr>
        <w:t>Hilton</w:t>
      </w:r>
      <w:r>
        <w:rPr>
          <w:spacing w:val="-37"/>
          <w:w w:val="105"/>
          <w:sz w:val="18"/>
        </w:rPr>
        <w:t> </w:t>
      </w:r>
      <w:r>
        <w:rPr>
          <w:w w:val="105"/>
          <w:sz w:val="18"/>
        </w:rPr>
        <w:t>at</w:t>
      </w:r>
      <w:r>
        <w:rPr>
          <w:spacing w:val="-36"/>
          <w:w w:val="105"/>
          <w:sz w:val="18"/>
        </w:rPr>
        <w:t> </w:t>
      </w:r>
      <w:r>
        <w:rPr>
          <w:w w:val="105"/>
          <w:sz w:val="18"/>
        </w:rPr>
        <w:t>GolfLinks</w:t>
        <w:tab/>
        <w:t>448,156</w:t>
        <w:tab/>
        <w:t>448,156</w:t>
        <w:tab/>
        <w:t>NA</w:t>
        <w:tab/>
        <w:t>NA</w:t>
      </w:r>
    </w:p>
    <w:p>
      <w:pPr>
        <w:pStyle w:val="BodyText"/>
        <w:spacing w:line="20" w:lineRule="exact"/>
        <w:ind w:left="332"/>
        <w:rPr>
          <w:sz w:val="2"/>
        </w:rPr>
      </w:pPr>
      <w:r>
        <w:rPr>
          <w:sz w:val="2"/>
        </w:rPr>
        <w:pict>
          <v:group style="width:557.65pt;height:.75pt;mso-position-horizontal-relative:char;mso-position-vertical-relative:line" coordorigin="0,0" coordsize="11153,15">
            <v:rect style="position:absolute;left:0;top:0;width:11153;height:15" filled="true" fillcolor="#69bd28" stroked="false">
              <v:fill type="solid"/>
            </v:rect>
          </v:group>
        </w:pict>
      </w:r>
      <w:r>
        <w:rPr>
          <w:sz w:val="2"/>
        </w:rPr>
      </w:r>
    </w:p>
    <w:p>
      <w:pPr>
        <w:spacing w:before="0"/>
        <w:ind w:left="680" w:right="0" w:firstLine="0"/>
        <w:jc w:val="left"/>
        <w:rPr>
          <w:i/>
          <w:sz w:val="18"/>
        </w:rPr>
      </w:pPr>
      <w:r>
        <w:rPr>
          <w:i/>
          <w:sz w:val="18"/>
        </w:rPr>
        <w:t>Source: Architect Certificate,</w:t>
      </w:r>
    </w:p>
    <w:p>
      <w:pPr>
        <w:pStyle w:val="BodyText"/>
        <w:spacing w:before="192"/>
        <w:ind w:left="1220"/>
      </w:pPr>
      <w:r>
        <w:rPr/>
        <w:t>The table below highlights the details of the subject development:</w:t>
      </w:r>
    </w:p>
    <w:p>
      <w:pPr>
        <w:pStyle w:val="BodyText"/>
        <w:spacing w:before="11"/>
        <w:rPr>
          <w:sz w:val="13"/>
        </w:rPr>
      </w:pPr>
      <w:r>
        <w:rPr/>
        <w:pict>
          <v:group style="position:absolute;margin-left:36pt;margin-top:10.06804pt;width:523.6pt;height:23.9pt;mso-position-horizontal-relative:page;mso-position-vertical-relative:paragraph;z-index:-14966272;mso-wrap-distance-left:0;mso-wrap-distance-right:0" coordorigin="720,201" coordsize="10472,478">
            <v:shape style="position:absolute;left:720;top:232;width:10472;height:432" coordorigin="720,233" coordsize="10472,432" path="m9033,233l7221,233,5411,233,5411,233,3596,233,720,233,720,665,3596,665,5411,665,5411,665,7221,665,9033,665,9033,233xm11191,233l9033,233,9033,665,11191,665,11191,233xe" filled="true" fillcolor="#006a4d" stroked="false">
              <v:path arrowok="t"/>
              <v:fill type="solid"/>
            </v:shape>
            <v:rect style="position:absolute;left:720;top:201;width:2877;height:29" filled="true" fillcolor="#1f6b16" stroked="false">
              <v:fill type="solid"/>
            </v:rect>
            <v:shape style="position:absolute;left:720;top:230;width:2905;height:3" coordorigin="720,230" coordsize="2905,3" path="m3625,230l3596,230,720,230,720,233,3596,233,3625,233,3625,230xe" filled="true" fillcolor="#006a4d" stroked="false">
              <v:path arrowok="t"/>
              <v:fill type="solid"/>
            </v:shape>
            <v:shape style="position:absolute;left:3596;top:201;width:1815;height:29" coordorigin="3596,201" coordsize="1815,29" path="m5411,201l3625,201,3596,201,3596,230,3625,230,5411,230,5411,201xe" filled="true" fillcolor="#1f6b16" stroked="false">
              <v:path arrowok="t"/>
              <v:fill type="solid"/>
            </v:shape>
            <v:shape style="position:absolute;left:3625;top:230;width:1815;height:3" coordorigin="3625,230" coordsize="1815,3" path="m5440,230l5411,230,3625,230,3625,233,5411,233,5440,233,5440,230xe" filled="true" fillcolor="#006a4d" stroked="false">
              <v:path arrowok="t"/>
              <v:fill type="solid"/>
            </v:shape>
            <v:shape style="position:absolute;left:5411;top:201;width:1810;height:29" coordorigin="5411,201" coordsize="1810,29" path="m7221,201l5440,201,5411,201,5411,230,5440,230,7221,230,7221,201xe" filled="true" fillcolor="#1f6b16" stroked="false">
              <v:path arrowok="t"/>
              <v:fill type="solid"/>
            </v:shape>
            <v:shape style="position:absolute;left:5439;top:230;width:1810;height:3" coordorigin="5440,230" coordsize="1810,3" path="m7249,230l7221,230,5440,230,5440,233,7221,233,7249,233,7249,230xe" filled="true" fillcolor="#006a4d" stroked="false">
              <v:path arrowok="t"/>
              <v:fill type="solid"/>
            </v:shape>
            <v:shape style="position:absolute;left:7220;top:201;width:1813;height:29" coordorigin="7221,201" coordsize="1813,29" path="m7249,201l7221,201,7221,230,7249,230,7249,201xm9033,201l7249,201,7249,230,9033,230,9033,201xe" filled="true" fillcolor="#1f6b16" stroked="false">
              <v:path arrowok="t"/>
              <v:fill type="solid"/>
            </v:shape>
            <v:shape style="position:absolute;left:7249;top:230;width:1813;height:3" coordorigin="7249,230" coordsize="1813,3" path="m9033,230l7249,230,7249,233,9033,233,9033,230xm9062,230l9033,230,9033,233,9062,233,9062,230xe" filled="true" fillcolor="#006a4d" stroked="false">
              <v:path arrowok="t"/>
              <v:fill type="solid"/>
            </v:shape>
            <v:shape style="position:absolute;left:9033;top:201;width:2158;height:29" coordorigin="9033,201" coordsize="2158,29" path="m11191,201l9062,201,9033,201,9033,230,9062,230,11191,230,11191,201xe" filled="true" fillcolor="#1f6b16" stroked="false">
              <v:path arrowok="t"/>
              <v:fill type="solid"/>
            </v:shape>
            <v:rect style="position:absolute;left:9062;top:230;width:2130;height:3" filled="true" fillcolor="#006a4d" stroked="false">
              <v:fill type="solid"/>
            </v:rect>
            <v:shape style="position:absolute;left:720;top:664;width:10472;height:15" coordorigin="720,665" coordsize="10472,15" path="m9033,665l7235,665,7221,665,5425,665,5411,665,5411,665,3611,665,3596,665,720,665,720,679,3596,679,3611,679,5411,679,5411,679,5425,679,7221,679,7235,679,9033,679,9033,665xm11191,665l9048,665,9033,665,9033,679,9048,679,11191,679,11191,665xe" filled="true" fillcolor="#69bd28" stroked="false">
              <v:path arrowok="t"/>
              <v:fill type="solid"/>
            </v:shape>
            <v:shape style="position:absolute;left:1464;top:340;width:1406;height:216" type="#_x0000_t202" filled="false" stroked="false">
              <v:textbox inset="0,0,0,0">
                <w:txbxContent>
                  <w:p>
                    <w:pPr>
                      <w:spacing w:before="4"/>
                      <w:ind w:left="0" w:right="0" w:firstLine="0"/>
                      <w:jc w:val="left"/>
                      <w:rPr>
                        <w:b/>
                        <w:sz w:val="18"/>
                      </w:rPr>
                    </w:pPr>
                    <w:r>
                      <w:rPr>
                        <w:b/>
                        <w:color w:val="FFFFFF"/>
                        <w:w w:val="110"/>
                        <w:sz w:val="18"/>
                      </w:rPr>
                      <w:t>Property Name</w:t>
                    </w:r>
                  </w:p>
                </w:txbxContent>
              </v:textbox>
              <w10:wrap type="none"/>
            </v:shape>
            <v:shape style="position:absolute;left:4083;top:232;width:860;height:432" type="#_x0000_t202" filled="false" stroked="false">
              <v:textbox inset="0,0,0,0">
                <w:txbxContent>
                  <w:p>
                    <w:pPr>
                      <w:spacing w:line="247" w:lineRule="auto" w:before="4"/>
                      <w:ind w:left="0" w:right="17" w:firstLine="40"/>
                      <w:jc w:val="left"/>
                      <w:rPr>
                        <w:b/>
                        <w:sz w:val="18"/>
                      </w:rPr>
                    </w:pPr>
                    <w:r>
                      <w:rPr>
                        <w:b/>
                        <w:color w:val="FFFFFF"/>
                        <w:w w:val="110"/>
                        <w:sz w:val="18"/>
                      </w:rPr>
                      <w:t>Building </w:t>
                    </w:r>
                    <w:r>
                      <w:rPr>
                        <w:b/>
                        <w:color w:val="FFFFFF"/>
                        <w:w w:val="105"/>
                        <w:sz w:val="18"/>
                      </w:rPr>
                      <w:t>Elevation</w:t>
                    </w:r>
                  </w:p>
                </w:txbxContent>
              </v:textbox>
              <w10:wrap type="none"/>
            </v:shape>
            <v:shape style="position:absolute;left:6102;top:340;width:447;height:216" type="#_x0000_t202" filled="false" stroked="false">
              <v:textbox inset="0,0,0,0">
                <w:txbxContent>
                  <w:p>
                    <w:pPr>
                      <w:spacing w:before="4"/>
                      <w:ind w:left="0" w:right="0" w:firstLine="0"/>
                      <w:jc w:val="left"/>
                      <w:rPr>
                        <w:b/>
                        <w:sz w:val="18"/>
                      </w:rPr>
                    </w:pPr>
                    <w:r>
                      <w:rPr>
                        <w:b/>
                        <w:color w:val="FFFFFF"/>
                        <w:w w:val="105"/>
                        <w:sz w:val="18"/>
                      </w:rPr>
                      <w:t>Type</w:t>
                    </w:r>
                  </w:p>
                </w:txbxContent>
              </v:textbox>
              <w10:wrap type="none"/>
            </v:shape>
            <v:shape style="position:absolute;left:7809;top:232;width:657;height:432" type="#_x0000_t202" filled="false" stroked="false">
              <v:textbox inset="0,0,0,0">
                <w:txbxContent>
                  <w:p>
                    <w:pPr>
                      <w:spacing w:line="247" w:lineRule="auto" w:before="4"/>
                      <w:ind w:left="0" w:right="10" w:firstLine="139"/>
                      <w:jc w:val="left"/>
                      <w:rPr>
                        <w:b/>
                        <w:sz w:val="18"/>
                      </w:rPr>
                    </w:pPr>
                    <w:r>
                      <w:rPr>
                        <w:b/>
                        <w:color w:val="FFFFFF"/>
                        <w:w w:val="110"/>
                        <w:sz w:val="18"/>
                      </w:rPr>
                      <w:t>Age </w:t>
                    </w:r>
                    <w:r>
                      <w:rPr>
                        <w:b/>
                        <w:color w:val="FFFFFF"/>
                        <w:w w:val="105"/>
                        <w:sz w:val="18"/>
                      </w:rPr>
                      <w:t>(Years)</w:t>
                    </w:r>
                  </w:p>
                </w:txbxContent>
              </v:textbox>
              <w10:wrap type="none"/>
            </v:shape>
            <v:shape style="position:absolute;left:9623;top:340;width:1000;height:216" type="#_x0000_t202" filled="false" stroked="false">
              <v:textbox inset="0,0,0,0">
                <w:txbxContent>
                  <w:p>
                    <w:pPr>
                      <w:spacing w:before="4"/>
                      <w:ind w:left="0" w:right="0" w:firstLine="0"/>
                      <w:jc w:val="left"/>
                      <w:rPr>
                        <w:b/>
                        <w:sz w:val="18"/>
                      </w:rPr>
                    </w:pPr>
                    <w:r>
                      <w:rPr>
                        <w:b/>
                        <w:color w:val="FFFFFF"/>
                        <w:w w:val="110"/>
                        <w:sz w:val="18"/>
                      </w:rPr>
                      <w:t>No of Keys</w:t>
                    </w:r>
                  </w:p>
                </w:txbxContent>
              </v:textbox>
              <w10:wrap type="none"/>
            </v:shape>
            <w10:wrap type="topAndBottom"/>
          </v:group>
        </w:pict>
      </w:r>
    </w:p>
    <w:p>
      <w:pPr>
        <w:tabs>
          <w:tab w:pos="4081" w:val="left" w:leader="none"/>
          <w:tab w:pos="5867" w:val="left" w:leader="none"/>
          <w:tab w:pos="8033" w:val="left" w:leader="none"/>
          <w:tab w:pos="10229" w:val="right" w:leader="none"/>
        </w:tabs>
        <w:spacing w:line="189" w:lineRule="exact" w:before="0"/>
        <w:ind w:left="1390" w:right="0" w:firstLine="0"/>
        <w:jc w:val="left"/>
        <w:rPr>
          <w:sz w:val="18"/>
        </w:rPr>
      </w:pPr>
      <w:r>
        <w:rPr>
          <w:w w:val="105"/>
          <w:sz w:val="18"/>
        </w:rPr>
        <w:t>Hilton</w:t>
      </w:r>
      <w:r>
        <w:rPr>
          <w:spacing w:val="-37"/>
          <w:w w:val="105"/>
          <w:sz w:val="18"/>
        </w:rPr>
        <w:t> </w:t>
      </w:r>
      <w:r>
        <w:rPr>
          <w:w w:val="105"/>
          <w:sz w:val="18"/>
        </w:rPr>
        <w:t>at</w:t>
      </w:r>
      <w:r>
        <w:rPr>
          <w:spacing w:val="-38"/>
          <w:w w:val="105"/>
          <w:sz w:val="18"/>
        </w:rPr>
        <w:t> </w:t>
      </w:r>
      <w:r>
        <w:rPr>
          <w:w w:val="105"/>
          <w:sz w:val="18"/>
        </w:rPr>
        <w:t>GolfLinks</w:t>
        <w:tab/>
        <w:t>2B+G+3</w:t>
        <w:tab/>
      </w:r>
      <w:r>
        <w:rPr>
          <w:sz w:val="18"/>
        </w:rPr>
        <w:t>Hospitality</w:t>
        <w:tab/>
      </w:r>
      <w:r>
        <w:rPr>
          <w:w w:val="105"/>
          <w:sz w:val="18"/>
        </w:rPr>
        <w:t>9</w:t>
        <w:tab/>
        <w:t>247</w:t>
      </w:r>
    </w:p>
    <w:p>
      <w:pPr>
        <w:tabs>
          <w:tab w:pos="10232" w:val="right" w:leader="none"/>
        </w:tabs>
        <w:spacing w:before="31" w:after="8"/>
        <w:ind w:left="1923" w:right="0" w:firstLine="0"/>
        <w:jc w:val="left"/>
        <w:rPr>
          <w:sz w:val="18"/>
        </w:rPr>
      </w:pPr>
      <w:r>
        <w:rPr/>
        <w:pict>
          <v:shape style="position:absolute;margin-left:36pt;margin-top:.40167pt;width:523.6pt;height:.75pt;mso-position-horizontal-relative:page;mso-position-vertical-relative:paragraph;z-index:16492032" coordorigin="720,8" coordsize="10472,15" path="m9033,8l7235,8,7221,8,5425,8,5411,8,5411,8,3611,8,3596,8,720,8,720,22,3596,22,3611,22,5411,22,5411,22,5425,22,7221,22,7235,22,9033,22,9033,8xm11191,8l9048,8,9033,8,9033,22,9048,22,11191,22,11191,8xe" filled="true" fillcolor="#69bd28" stroked="false">
            <v:path arrowok="t"/>
            <v:fill type="solid"/>
            <w10:wrap type="none"/>
          </v:shape>
        </w:pict>
      </w:r>
      <w:r>
        <w:rPr>
          <w:sz w:val="18"/>
        </w:rPr>
        <w:t>Total</w:t>
        <w:tab/>
        <w:t>247</w:t>
      </w:r>
    </w:p>
    <w:p>
      <w:pPr>
        <w:pStyle w:val="BodyText"/>
        <w:spacing w:line="20" w:lineRule="exact"/>
        <w:ind w:left="66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0"/>
        <w:ind w:left="680" w:right="0" w:firstLine="0"/>
        <w:jc w:val="left"/>
        <w:rPr>
          <w:i/>
          <w:sz w:val="18"/>
        </w:rPr>
      </w:pPr>
      <w:r>
        <w:rPr>
          <w:i/>
          <w:sz w:val="18"/>
        </w:rPr>
        <w:t>Source: Architect Certificate, Occupancy Certificate provided by Client</w:t>
      </w:r>
    </w:p>
    <w:p>
      <w:pPr>
        <w:pStyle w:val="BodyText"/>
        <w:spacing w:before="10"/>
        <w:rPr>
          <w:i/>
          <w:sz w:val="26"/>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56" w:id="695"/>
      <w:bookmarkEnd w:id="695"/>
      <w:r>
        <w:rPr/>
      </w:r>
      <w:bookmarkStart w:name="_bookmark356" w:id="696"/>
      <w:bookmarkEnd w:id="696"/>
      <w:r>
        <w:rPr>
          <w:color w:val="1F664D"/>
          <w:sz w:val="22"/>
        </w:rPr>
        <w:t>S</w:t>
      </w:r>
      <w:r>
        <w:rPr>
          <w:color w:val="1F664D"/>
          <w:sz w:val="22"/>
        </w:rPr>
        <w:t>ite Services and</w:t>
      </w:r>
      <w:r>
        <w:rPr>
          <w:color w:val="1F664D"/>
          <w:spacing w:val="-4"/>
          <w:sz w:val="22"/>
        </w:rPr>
        <w:t> </w:t>
      </w:r>
      <w:r>
        <w:rPr>
          <w:color w:val="1F664D"/>
          <w:sz w:val="22"/>
        </w:rPr>
        <w:t>Finishes</w:t>
      </w:r>
    </w:p>
    <w:p>
      <w:pPr>
        <w:pStyle w:val="BodyText"/>
        <w:spacing w:line="321" w:lineRule="auto" w:before="208"/>
        <w:ind w:left="1299" w:right="684"/>
        <w:jc w:val="both"/>
      </w:pPr>
      <w:r>
        <w:rPr/>
        <w:t>Based</w:t>
      </w:r>
      <w:r>
        <w:rPr>
          <w:spacing w:val="-3"/>
        </w:rPr>
        <w:t> </w:t>
      </w:r>
      <w:r>
        <w:rPr/>
        <w:t>on</w:t>
      </w:r>
      <w:r>
        <w:rPr>
          <w:spacing w:val="-4"/>
        </w:rPr>
        <w:t> </w:t>
      </w:r>
      <w:r>
        <w:rPr/>
        <w:t>the</w:t>
      </w:r>
      <w:r>
        <w:rPr>
          <w:spacing w:val="-5"/>
        </w:rPr>
        <w:t> </w:t>
      </w:r>
      <w:r>
        <w:rPr/>
        <w:t>information</w:t>
      </w:r>
      <w:r>
        <w:rPr>
          <w:spacing w:val="-4"/>
        </w:rPr>
        <w:t> </w:t>
      </w:r>
      <w:r>
        <w:rPr/>
        <w:t>provided</w:t>
      </w:r>
      <w:r>
        <w:rPr>
          <w:spacing w:val="-3"/>
        </w:rPr>
        <w:t> </w:t>
      </w:r>
      <w:r>
        <w:rPr/>
        <w:t>by</w:t>
      </w:r>
      <w:r>
        <w:rPr>
          <w:spacing w:val="-3"/>
        </w:rPr>
        <w:t> </w:t>
      </w:r>
      <w:r>
        <w:rPr/>
        <w:t>the</w:t>
      </w:r>
      <w:r>
        <w:rPr>
          <w:spacing w:val="-4"/>
        </w:rPr>
        <w:t> </w:t>
      </w:r>
      <w:r>
        <w:rPr/>
        <w:t>Client,</w:t>
      </w:r>
      <w:r>
        <w:rPr>
          <w:spacing w:val="-3"/>
        </w:rPr>
        <w:t> </w:t>
      </w:r>
      <w:r>
        <w:rPr/>
        <w:t>we</w:t>
      </w:r>
      <w:r>
        <w:rPr>
          <w:spacing w:val="-5"/>
        </w:rPr>
        <w:t> </w:t>
      </w:r>
      <w:r>
        <w:rPr/>
        <w:t>understand</w:t>
      </w:r>
      <w:r>
        <w:rPr>
          <w:spacing w:val="-4"/>
        </w:rPr>
        <w:t> </w:t>
      </w:r>
      <w:r>
        <w:rPr/>
        <w:t>that</w:t>
      </w:r>
      <w:r>
        <w:rPr>
          <w:spacing w:val="-3"/>
        </w:rPr>
        <w:t> </w:t>
      </w:r>
      <w:r>
        <w:rPr/>
        <w:t>the</w:t>
      </w:r>
      <w:r>
        <w:rPr>
          <w:spacing w:val="-6"/>
        </w:rPr>
        <w:t> </w:t>
      </w:r>
      <w:r>
        <w:rPr/>
        <w:t>occupancy</w:t>
      </w:r>
      <w:r>
        <w:rPr>
          <w:spacing w:val="-2"/>
        </w:rPr>
        <w:t> </w:t>
      </w:r>
      <w:r>
        <w:rPr/>
        <w:t>certificate</w:t>
      </w:r>
      <w:r>
        <w:rPr>
          <w:spacing w:val="-4"/>
        </w:rPr>
        <w:t> </w:t>
      </w:r>
      <w:r>
        <w:rPr/>
        <w:t>was received in 2011 and the hotel has been operational since</w:t>
      </w:r>
      <w:r>
        <w:rPr>
          <w:spacing w:val="-35"/>
        </w:rPr>
        <w:t> </w:t>
      </w:r>
      <w:r>
        <w:rPr/>
        <w:t>2014.</w:t>
      </w:r>
    </w:p>
    <w:p>
      <w:pPr>
        <w:pStyle w:val="BodyText"/>
        <w:spacing w:before="10"/>
        <w:rPr>
          <w:sz w:val="20"/>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57" w:id="697"/>
      <w:bookmarkEnd w:id="697"/>
      <w:r>
        <w:rPr/>
      </w:r>
      <w:bookmarkStart w:name="_bookmark357" w:id="698"/>
      <w:bookmarkEnd w:id="698"/>
      <w:r>
        <w:rPr>
          <w:color w:val="1F664D"/>
          <w:sz w:val="22"/>
        </w:rPr>
        <w:t>Condition</w:t>
      </w:r>
      <w:r>
        <w:rPr>
          <w:color w:val="1F664D"/>
          <w:sz w:val="22"/>
        </w:rPr>
        <w:t> &amp;</w:t>
      </w:r>
      <w:r>
        <w:rPr>
          <w:color w:val="1F664D"/>
          <w:spacing w:val="-4"/>
          <w:sz w:val="22"/>
        </w:rPr>
        <w:t> </w:t>
      </w:r>
      <w:r>
        <w:rPr>
          <w:color w:val="1F664D"/>
          <w:sz w:val="22"/>
        </w:rPr>
        <w:t>Repair</w:t>
      </w:r>
    </w:p>
    <w:p>
      <w:pPr>
        <w:pStyle w:val="BodyText"/>
        <w:spacing w:line="321" w:lineRule="auto" w:before="205"/>
        <w:ind w:left="1227" w:right="673"/>
        <w:jc w:val="both"/>
      </w:pPr>
      <w:r>
        <w:rPr/>
        <w:t>Based on inputs provided by the Client and visual inspection, we understand that the hotel is well maintained</w:t>
      </w:r>
      <w:r>
        <w:rPr>
          <w:spacing w:val="-40"/>
        </w:rPr>
        <w:t> </w:t>
      </w:r>
      <w:r>
        <w:rPr/>
        <w:t>internally</w:t>
      </w:r>
      <w:r>
        <w:rPr>
          <w:spacing w:val="-40"/>
        </w:rPr>
        <w:t> </w:t>
      </w:r>
      <w:r>
        <w:rPr/>
        <w:t>with</w:t>
      </w:r>
      <w:r>
        <w:rPr>
          <w:spacing w:val="-40"/>
        </w:rPr>
        <w:t> </w:t>
      </w:r>
      <w:r>
        <w:rPr/>
        <w:t>the</w:t>
      </w:r>
      <w:r>
        <w:rPr>
          <w:spacing w:val="-40"/>
        </w:rPr>
        <w:t> </w:t>
      </w:r>
      <w:r>
        <w:rPr/>
        <w:t>external</w:t>
      </w:r>
      <w:r>
        <w:rPr>
          <w:spacing w:val="-39"/>
        </w:rPr>
        <w:t> </w:t>
      </w:r>
      <w:r>
        <w:rPr/>
        <w:t>maintenance,</w:t>
      </w:r>
      <w:r>
        <w:rPr>
          <w:spacing w:val="-40"/>
        </w:rPr>
        <w:t> </w:t>
      </w:r>
      <w:r>
        <w:rPr/>
        <w:t>refurbishments</w:t>
      </w:r>
      <w:r>
        <w:rPr>
          <w:spacing w:val="-40"/>
        </w:rPr>
        <w:t> </w:t>
      </w:r>
      <w:r>
        <w:rPr/>
        <w:t>forming</w:t>
      </w:r>
      <w:r>
        <w:rPr>
          <w:spacing w:val="-39"/>
        </w:rPr>
        <w:t> </w:t>
      </w:r>
      <w:r>
        <w:rPr/>
        <w:t>part</w:t>
      </w:r>
      <w:r>
        <w:rPr>
          <w:spacing w:val="-40"/>
        </w:rPr>
        <w:t> </w:t>
      </w:r>
      <w:r>
        <w:rPr/>
        <w:t>of</w:t>
      </w:r>
      <w:r>
        <w:rPr>
          <w:spacing w:val="-40"/>
        </w:rPr>
        <w:t> </w:t>
      </w:r>
      <w:r>
        <w:rPr/>
        <w:t>the</w:t>
      </w:r>
      <w:r>
        <w:rPr>
          <w:spacing w:val="-40"/>
        </w:rPr>
        <w:t> </w:t>
      </w:r>
      <w:r>
        <w:rPr/>
        <w:t>larger</w:t>
      </w:r>
      <w:r>
        <w:rPr>
          <w:spacing w:val="-40"/>
        </w:rPr>
        <w:t> </w:t>
      </w:r>
      <w:r>
        <w:rPr/>
        <w:t>Embassy GolfLinks</w:t>
      </w:r>
      <w:r>
        <w:rPr>
          <w:spacing w:val="-41"/>
        </w:rPr>
        <w:t> </w:t>
      </w:r>
      <w:r>
        <w:rPr/>
        <w:t>asset.</w:t>
      </w:r>
      <w:r>
        <w:rPr>
          <w:spacing w:val="-43"/>
        </w:rPr>
        <w:t> </w:t>
      </w:r>
      <w:r>
        <w:rPr/>
        <w:t>The</w:t>
      </w:r>
      <w:r>
        <w:rPr>
          <w:spacing w:val="-42"/>
        </w:rPr>
        <w:t> </w:t>
      </w:r>
      <w:r>
        <w:rPr/>
        <w:t>table</w:t>
      </w:r>
      <w:r>
        <w:rPr>
          <w:spacing w:val="-42"/>
        </w:rPr>
        <w:t> </w:t>
      </w:r>
      <w:r>
        <w:rPr/>
        <w:t>below</w:t>
      </w:r>
      <w:r>
        <w:rPr>
          <w:spacing w:val="-42"/>
        </w:rPr>
        <w:t> </w:t>
      </w:r>
      <w:r>
        <w:rPr/>
        <w:t>highlights</w:t>
      </w:r>
      <w:r>
        <w:rPr>
          <w:spacing w:val="-42"/>
        </w:rPr>
        <w:t> </w:t>
      </w:r>
      <w:r>
        <w:rPr/>
        <w:t>the</w:t>
      </w:r>
      <w:r>
        <w:rPr>
          <w:spacing w:val="-41"/>
        </w:rPr>
        <w:t> </w:t>
      </w:r>
      <w:r>
        <w:rPr/>
        <w:t>planned</w:t>
      </w:r>
      <w:r>
        <w:rPr>
          <w:spacing w:val="-41"/>
        </w:rPr>
        <w:t> </w:t>
      </w:r>
      <w:r>
        <w:rPr/>
        <w:t>repairs</w:t>
      </w:r>
      <w:r>
        <w:rPr>
          <w:spacing w:val="-41"/>
        </w:rPr>
        <w:t> </w:t>
      </w:r>
      <w:r>
        <w:rPr/>
        <w:t>and</w:t>
      </w:r>
      <w:r>
        <w:rPr>
          <w:spacing w:val="-43"/>
        </w:rPr>
        <w:t> </w:t>
      </w:r>
      <w:r>
        <w:rPr/>
        <w:t>maintenance/</w:t>
      </w:r>
      <w:r>
        <w:rPr>
          <w:spacing w:val="-42"/>
        </w:rPr>
        <w:t> </w:t>
      </w:r>
      <w:r>
        <w:rPr/>
        <w:t>infrastructure</w:t>
      </w:r>
      <w:r>
        <w:rPr>
          <w:spacing w:val="-42"/>
        </w:rPr>
        <w:t> </w:t>
      </w:r>
      <w:r>
        <w:rPr/>
        <w:t>upgrade works to be undertaken for the subject</w:t>
      </w:r>
      <w:r>
        <w:rPr>
          <w:spacing w:val="-36"/>
        </w:rPr>
        <w:t> </w:t>
      </w:r>
      <w:r>
        <w:rPr/>
        <w:t>property:</w:t>
      </w:r>
    </w:p>
    <w:p>
      <w:pPr>
        <w:spacing w:after="0" w:line="321" w:lineRule="auto"/>
        <w:jc w:val="both"/>
        <w:sectPr>
          <w:type w:val="continuous"/>
          <w:pgSz w:w="11910" w:h="16840"/>
          <w:pgMar w:top="800" w:bottom="280" w:left="40" w:right="40"/>
        </w:sectPr>
      </w:pPr>
    </w:p>
    <w:p>
      <w:pPr>
        <w:pStyle w:val="BodyText"/>
        <w:spacing w:before="4"/>
        <w:rPr>
          <w:sz w:val="18"/>
        </w:rPr>
      </w:pPr>
    </w:p>
    <w:p>
      <w:pPr>
        <w:pStyle w:val="BodyText"/>
        <w:ind w:left="725"/>
        <w:rPr>
          <w:sz w:val="20"/>
        </w:rPr>
      </w:pPr>
      <w:r>
        <w:rPr>
          <w:sz w:val="20"/>
        </w:rPr>
        <w:pict>
          <v:group style="width:519.15pt;height:23.05pt;mso-position-horizontal-relative:char;mso-position-vertical-relative:line" coordorigin="0,0" coordsize="10383,461">
            <v:shape style="position:absolute;left:0;top:14;width:10381;height:432" coordorigin="0,14" coordsize="10381,432" path="m6770,14l4965,14,4965,14,3157,14,0,14,0,446,3157,446,4965,446,4965,446,6770,446,6770,14xm10380,14l8577,14,6770,14,6770,446,8577,446,10380,446,10380,14xe" filled="true" fillcolor="#006a4d" stroked="false">
              <v:path arrowok="t"/>
              <v:fill type="solid"/>
            </v:shape>
            <v:shape style="position:absolute;left:0;top:0;width:10383;height:461" coordorigin="0,0" coordsize="10383,461" path="m6770,446l4979,446,4965,446,4965,446,3171,446,3157,446,0,446,0,461,3157,461,3171,461,4965,461,4965,461,4979,461,6770,461,6770,446xm6770,0l4979,0,4965,0,4965,0,3171,0,3157,0,0,0,0,14,3157,14,3171,14,4965,14,4965,14,4979,14,6770,14,6770,0xm10382,446l8592,446,8577,446,6784,446,6770,446,6770,461,6784,461,8577,461,8592,461,10382,461,10382,446xm10382,0l8592,0,8577,0,6784,0,6770,0,6770,14,6784,14,8577,14,8592,14,10382,14,10382,0xe" filled="true" fillcolor="#69bd28" stroked="false">
              <v:path arrowok="t"/>
              <v:fill type="solid"/>
            </v:shape>
            <v:shape style="position:absolute;left:931;top:121;width:1311;height:216" type="#_x0000_t202" filled="false" stroked="false">
              <v:textbox inset="0,0,0,0">
                <w:txbxContent>
                  <w:p>
                    <w:pPr>
                      <w:spacing w:before="4"/>
                      <w:ind w:left="0" w:right="0" w:firstLine="0"/>
                      <w:jc w:val="left"/>
                      <w:rPr>
                        <w:b/>
                        <w:sz w:val="18"/>
                      </w:rPr>
                    </w:pPr>
                    <w:r>
                      <w:rPr>
                        <w:b/>
                        <w:color w:val="FFFFFF"/>
                        <w:w w:val="110"/>
                        <w:sz w:val="18"/>
                      </w:rPr>
                      <w:t>Expense Head</w:t>
                    </w:r>
                  </w:p>
                </w:txbxContent>
              </v:textbox>
              <w10:wrap type="none"/>
            </v:shape>
            <v:shape style="position:absolute;left:3188;top:13;width:3385;height:432" type="#_x0000_t202" filled="false" stroked="false">
              <v:textbox inset="0,0,0,0">
                <w:txbxContent>
                  <w:p>
                    <w:pPr>
                      <w:tabs>
                        <w:tab w:pos="2234" w:val="left" w:leader="none"/>
                      </w:tabs>
                      <w:spacing w:line="269" w:lineRule="exact" w:before="2"/>
                      <w:ind w:left="0" w:right="0" w:firstLine="0"/>
                      <w:jc w:val="left"/>
                      <w:rPr>
                        <w:b/>
                        <w:sz w:val="18"/>
                      </w:rPr>
                    </w:pPr>
                    <w:r>
                      <w:rPr>
                        <w:b/>
                        <w:color w:val="FFFFFF"/>
                        <w:w w:val="105"/>
                        <w:sz w:val="18"/>
                      </w:rPr>
                      <w:t>Total Cost</w:t>
                    </w:r>
                    <w:r>
                      <w:rPr>
                        <w:b/>
                        <w:color w:val="FFFFFF"/>
                        <w:spacing w:val="16"/>
                        <w:w w:val="105"/>
                        <w:sz w:val="18"/>
                      </w:rPr>
                      <w:t> </w:t>
                    </w:r>
                    <w:r>
                      <w:rPr>
                        <w:b/>
                        <w:color w:val="FFFFFF"/>
                        <w:w w:val="105"/>
                        <w:sz w:val="18"/>
                      </w:rPr>
                      <w:t>(INR</w:t>
                    </w:r>
                    <w:r>
                      <w:rPr>
                        <w:b/>
                        <w:color w:val="FFFFFF"/>
                        <w:spacing w:val="8"/>
                        <w:w w:val="105"/>
                        <w:sz w:val="18"/>
                      </w:rPr>
                      <w:t> </w:t>
                    </w:r>
                    <w:r>
                      <w:rPr>
                        <w:b/>
                        <w:color w:val="FFFFFF"/>
                        <w:w w:val="105"/>
                        <w:sz w:val="18"/>
                      </w:rPr>
                      <w:t>Mn)</w:t>
                      <w:tab/>
                    </w:r>
                    <w:r>
                      <w:rPr>
                        <w:b/>
                        <w:color w:val="FFFFFF"/>
                        <w:w w:val="105"/>
                        <w:position w:val="11"/>
                        <w:sz w:val="18"/>
                      </w:rPr>
                      <w:t>Total</w:t>
                    </w:r>
                    <w:r>
                      <w:rPr>
                        <w:b/>
                        <w:color w:val="FFFFFF"/>
                        <w:spacing w:val="-1"/>
                        <w:w w:val="105"/>
                        <w:position w:val="11"/>
                        <w:sz w:val="18"/>
                      </w:rPr>
                      <w:t> </w:t>
                    </w:r>
                    <w:r>
                      <w:rPr>
                        <w:b/>
                        <w:color w:val="FFFFFF"/>
                        <w:w w:val="105"/>
                        <w:position w:val="11"/>
                        <w:sz w:val="18"/>
                      </w:rPr>
                      <w:t>Cost</w:t>
                    </w:r>
                  </w:p>
                  <w:p>
                    <w:pPr>
                      <w:spacing w:line="159" w:lineRule="exact" w:before="0"/>
                      <w:ind w:left="1990" w:right="0" w:firstLine="0"/>
                      <w:jc w:val="left"/>
                      <w:rPr>
                        <w:b/>
                        <w:sz w:val="18"/>
                      </w:rPr>
                    </w:pPr>
                    <w:r>
                      <w:rPr>
                        <w:b/>
                        <w:color w:val="FFFFFF"/>
                        <w:w w:val="110"/>
                        <w:sz w:val="18"/>
                      </w:rPr>
                      <w:t>Spent (INR Mn)</w:t>
                    </w:r>
                  </w:p>
                </w:txbxContent>
              </v:textbox>
              <w10:wrap type="none"/>
            </v:shape>
            <v:shape style="position:absolute;left:6827;top:13;width:1713;height:432" type="#_x0000_t202" filled="false" stroked="false">
              <v:textbox inset="0,0,0,0">
                <w:txbxContent>
                  <w:p>
                    <w:pPr>
                      <w:spacing w:line="247" w:lineRule="auto" w:before="4"/>
                      <w:ind w:left="443" w:right="-20" w:hanging="444"/>
                      <w:jc w:val="left"/>
                      <w:rPr>
                        <w:b/>
                        <w:sz w:val="18"/>
                      </w:rPr>
                    </w:pPr>
                    <w:r>
                      <w:rPr>
                        <w:b/>
                        <w:color w:val="FFFFFF"/>
                        <w:w w:val="110"/>
                        <w:sz w:val="18"/>
                      </w:rPr>
                      <w:t>Total Pending </w:t>
                    </w:r>
                    <w:r>
                      <w:rPr>
                        <w:b/>
                        <w:color w:val="FFFFFF"/>
                        <w:spacing w:val="-4"/>
                        <w:w w:val="110"/>
                        <w:sz w:val="18"/>
                      </w:rPr>
                      <w:t>Cost </w:t>
                    </w:r>
                    <w:r>
                      <w:rPr>
                        <w:b/>
                        <w:color w:val="FFFFFF"/>
                        <w:w w:val="110"/>
                        <w:sz w:val="18"/>
                      </w:rPr>
                      <w:t>(INR Mn)</w:t>
                    </w:r>
                  </w:p>
                </w:txbxContent>
              </v:textbox>
              <w10:wrap type="none"/>
            </v:shape>
            <v:shape style="position:absolute;left:8961;top:13;width:1052;height:432" type="#_x0000_t202" filled="false" stroked="false">
              <v:textbox inset="0,0,0,0">
                <w:txbxContent>
                  <w:p>
                    <w:pPr>
                      <w:spacing w:line="247" w:lineRule="auto" w:before="4"/>
                      <w:ind w:left="0" w:right="0" w:firstLine="38"/>
                      <w:jc w:val="left"/>
                      <w:rPr>
                        <w:b/>
                        <w:sz w:val="18"/>
                      </w:rPr>
                    </w:pPr>
                    <w:r>
                      <w:rPr>
                        <w:b/>
                        <w:color w:val="FFFFFF"/>
                        <w:w w:val="105"/>
                        <w:sz w:val="18"/>
                      </w:rPr>
                      <w:t>Quarter of Completion</w:t>
                    </w:r>
                  </w:p>
                </w:txbxContent>
              </v:textbox>
              <w10:wrap type="none"/>
            </v:shape>
          </v:group>
        </w:pict>
      </w:r>
      <w:r>
        <w:rPr>
          <w:sz w:val="20"/>
        </w:rPr>
      </w:r>
    </w:p>
    <w:p>
      <w:pPr>
        <w:tabs>
          <w:tab w:pos="4494" w:val="left" w:leader="none"/>
          <w:tab w:pos="6537" w:val="left" w:leader="none"/>
          <w:tab w:pos="8107" w:val="left" w:leader="none"/>
          <w:tab w:pos="9682" w:val="left" w:leader="none"/>
        </w:tabs>
        <w:spacing w:before="15"/>
        <w:ind w:left="874" w:right="0" w:firstLine="0"/>
        <w:jc w:val="left"/>
        <w:rPr>
          <w:sz w:val="18"/>
        </w:rPr>
      </w:pPr>
      <w:r>
        <w:rPr/>
        <w:pict>
          <v:rect style="position:absolute;margin-left:37.560001pt;margin-top:13.401645pt;width:519.844025pt;height:.719pt;mso-position-horizontal-relative:page;mso-position-vertical-relative:paragraph;z-index:-14962176;mso-wrap-distance-left:0;mso-wrap-distance-right:0" filled="true" fillcolor="#69bd28" stroked="false">
            <v:fill type="solid"/>
            <w10:wrap type="topAndBottom"/>
          </v:rect>
        </w:pict>
      </w:r>
      <w:r>
        <w:rPr>
          <w:w w:val="105"/>
          <w:sz w:val="18"/>
        </w:rPr>
        <w:t>Hilton</w:t>
      </w:r>
      <w:r>
        <w:rPr>
          <w:spacing w:val="-24"/>
          <w:w w:val="105"/>
          <w:sz w:val="18"/>
        </w:rPr>
        <w:t> </w:t>
      </w:r>
      <w:r>
        <w:rPr>
          <w:w w:val="105"/>
          <w:sz w:val="18"/>
        </w:rPr>
        <w:t>-</w:t>
      </w:r>
      <w:r>
        <w:rPr>
          <w:spacing w:val="-23"/>
          <w:w w:val="105"/>
          <w:sz w:val="18"/>
        </w:rPr>
        <w:t> </w:t>
      </w:r>
      <w:r>
        <w:rPr>
          <w:w w:val="105"/>
          <w:sz w:val="18"/>
        </w:rPr>
        <w:t>Infra</w:t>
      </w:r>
      <w:r>
        <w:rPr>
          <w:spacing w:val="-23"/>
          <w:w w:val="105"/>
          <w:sz w:val="18"/>
        </w:rPr>
        <w:t> </w:t>
      </w:r>
      <w:r>
        <w:rPr>
          <w:w w:val="105"/>
          <w:sz w:val="18"/>
        </w:rPr>
        <w:t>Upgrade</w:t>
      </w:r>
      <w:r>
        <w:rPr>
          <w:spacing w:val="-23"/>
          <w:w w:val="105"/>
          <w:sz w:val="18"/>
        </w:rPr>
        <w:t> </w:t>
      </w:r>
      <w:r>
        <w:rPr>
          <w:w w:val="105"/>
          <w:sz w:val="18"/>
        </w:rPr>
        <w:t>Capex</w:t>
      </w:r>
      <w:r>
        <w:rPr>
          <w:spacing w:val="-24"/>
          <w:w w:val="105"/>
          <w:sz w:val="18"/>
        </w:rPr>
        <w:t> </w:t>
      </w:r>
      <w:r>
        <w:rPr>
          <w:w w:val="105"/>
          <w:sz w:val="18"/>
        </w:rPr>
        <w:t>Works</w:t>
        <w:tab/>
        <w:t>144.16</w:t>
        <w:tab/>
        <w:t>0</w:t>
        <w:tab/>
        <w:t>144.16</w:t>
        <w:tab/>
        <w:t>Q4, FY</w:t>
      </w:r>
      <w:r>
        <w:rPr>
          <w:spacing w:val="-7"/>
          <w:w w:val="105"/>
          <w:sz w:val="18"/>
        </w:rPr>
        <w:t> </w:t>
      </w:r>
      <w:r>
        <w:rPr>
          <w:w w:val="105"/>
          <w:sz w:val="18"/>
        </w:rPr>
        <w:t>2022</w:t>
      </w:r>
    </w:p>
    <w:p>
      <w:pPr>
        <w:spacing w:before="0"/>
        <w:ind w:left="680" w:right="0" w:firstLine="0"/>
        <w:jc w:val="left"/>
        <w:rPr>
          <w:i/>
          <w:sz w:val="18"/>
        </w:rPr>
      </w:pPr>
      <w:r>
        <w:rPr>
          <w:i/>
          <w:sz w:val="18"/>
        </w:rPr>
        <w:t>Source: Information provided by Client</w:t>
      </w:r>
    </w:p>
    <w:p>
      <w:pPr>
        <w:pStyle w:val="BodyText"/>
        <w:spacing w:before="10"/>
        <w:rPr>
          <w:i/>
          <w:sz w:val="26"/>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58" w:id="699"/>
      <w:bookmarkEnd w:id="699"/>
      <w:r>
        <w:rPr/>
      </w:r>
      <w:bookmarkStart w:name="_bookmark358" w:id="700"/>
      <w:bookmarkEnd w:id="700"/>
      <w:r>
        <w:rPr>
          <w:color w:val="1F664D"/>
          <w:sz w:val="22"/>
        </w:rPr>
        <w:t>Pro</w:t>
      </w:r>
      <w:r>
        <w:rPr>
          <w:color w:val="1F664D"/>
          <w:sz w:val="22"/>
        </w:rPr>
        <w:t>perty Photographs</w:t>
      </w:r>
    </w:p>
    <w:p>
      <w:pPr>
        <w:pStyle w:val="BodyText"/>
        <w:spacing w:before="208"/>
        <w:ind w:left="1227"/>
      </w:pPr>
      <w:r>
        <w:rPr/>
        <w:t>Please refer to the property photographs highlighted below:</w:t>
      </w:r>
    </w:p>
    <w:p>
      <w:pPr>
        <w:pStyle w:val="BodyText"/>
        <w:spacing w:before="3"/>
        <w:rPr>
          <w:sz w:val="24"/>
        </w:rPr>
      </w:pPr>
      <w:r>
        <w:rPr/>
        <w:pict>
          <v:group style="position:absolute;margin-left:108.860001pt;margin-top:16.060837pt;width:389.65pt;height:15.15pt;mso-position-horizontal-relative:page;mso-position-vertical-relative:paragraph;z-index:-14961152;mso-wrap-distance-left:0;mso-wrap-distance-right:0" coordorigin="2177,321" coordsize="7793,303">
            <v:rect style="position:absolute;left:2177;top:333;width:7793;height:291" filled="true" fillcolor="#006a4d" stroked="false">
              <v:fill type="solid"/>
            </v:rect>
            <v:rect style="position:absolute;left:2179;top:321;width:7790;height:10" filled="true" fillcolor="#000000" stroked="false">
              <v:fill type="solid"/>
            </v:rect>
            <v:shape style="position:absolute;left:2177;top:330;width:7793;height:293" type="#_x0000_t202" filled="false" stroked="false">
              <v:textbox inset="0,0,0,0">
                <w:txbxContent>
                  <w:p>
                    <w:pPr>
                      <w:spacing w:before="30"/>
                      <w:ind w:left="1917" w:right="1917" w:firstLine="0"/>
                      <w:jc w:val="center"/>
                      <w:rPr>
                        <w:sz w:val="20"/>
                      </w:rPr>
                    </w:pPr>
                    <w:r>
                      <w:rPr>
                        <w:color w:val="FFFFFF"/>
                        <w:sz w:val="20"/>
                      </w:rPr>
                      <w:t>Hilton at GolfLinks</w:t>
                    </w:r>
                  </w:p>
                </w:txbxContent>
              </v:textbox>
              <w10:wrap type="none"/>
            </v:shape>
            <w10:wrap type="topAndBottom"/>
          </v:group>
        </w:pict>
      </w:r>
      <w:r>
        <w:rPr/>
        <w:pict>
          <v:group style="position:absolute;margin-left:111.699997pt;margin-top:39.780838pt;width:186.1pt;height:130.65pt;mso-position-horizontal-relative:page;mso-position-vertical-relative:paragraph;z-index:-14960640;mso-wrap-distance-left:0;mso-wrap-distance-right:0" coordorigin="2234,796" coordsize="3722,2613">
            <v:rect style="position:absolute;left:2239;top:800;width:3712;height:2603" filled="false" stroked="true" strokeweight=".5pt" strokecolor="#000000">
              <v:stroke dashstyle="solid"/>
            </v:rect>
            <v:shape style="position:absolute;left:2388;top:877;width:3398;height:2418" type="#_x0000_t75" stroked="false">
              <v:imagedata r:id="rId299" o:title=""/>
            </v:shape>
            <w10:wrap type="topAndBottom"/>
          </v:group>
        </w:pict>
      </w:r>
      <w:r>
        <w:rPr/>
        <w:pict>
          <v:group style="position:absolute;margin-left:306.700012pt;margin-top:38.220837pt;width:186.1pt;height:130.65pt;mso-position-horizontal-relative:page;mso-position-vertical-relative:paragraph;z-index:-14960128;mso-wrap-distance-left:0;mso-wrap-distance-right:0" coordorigin="6134,764" coordsize="3722,2613">
            <v:rect style="position:absolute;left:6139;top:769;width:3712;height:2603" filled="false" stroked="true" strokeweight=".5pt" strokecolor="#000000">
              <v:stroke dashstyle="solid"/>
            </v:rect>
            <v:shape style="position:absolute;left:6288;top:846;width:3413;height:2405" type="#_x0000_t75" stroked="false">
              <v:imagedata r:id="rId300" o:title=""/>
            </v:shape>
            <w10:wrap type="topAndBottom"/>
          </v:group>
        </w:pict>
      </w:r>
    </w:p>
    <w:p>
      <w:pPr>
        <w:pStyle w:val="BodyText"/>
        <w:spacing w:before="3"/>
        <w:rPr>
          <w:sz w:val="6"/>
        </w:rPr>
      </w:pPr>
    </w:p>
    <w:p>
      <w:pPr>
        <w:pStyle w:val="BodyText"/>
        <w:spacing w:before="3"/>
        <w:rPr>
          <w:sz w:val="9"/>
        </w:rPr>
      </w:pPr>
    </w:p>
    <w:p>
      <w:pPr>
        <w:tabs>
          <w:tab w:pos="4608" w:val="left" w:leader="none"/>
        </w:tabs>
        <w:spacing w:before="104"/>
        <w:ind w:left="0" w:right="3028" w:firstLine="0"/>
        <w:jc w:val="right"/>
        <w:rPr>
          <w:sz w:val="18"/>
        </w:rPr>
      </w:pPr>
      <w:r>
        <w:rPr>
          <w:sz w:val="18"/>
        </w:rPr>
        <w:t>External</w:t>
      </w:r>
      <w:r>
        <w:rPr>
          <w:spacing w:val="-35"/>
          <w:sz w:val="18"/>
        </w:rPr>
        <w:t> </w:t>
      </w:r>
      <w:r>
        <w:rPr>
          <w:sz w:val="18"/>
        </w:rPr>
        <w:t>view</w:t>
      </w:r>
      <w:r>
        <w:rPr>
          <w:spacing w:val="-35"/>
          <w:sz w:val="18"/>
        </w:rPr>
        <w:t> </w:t>
      </w:r>
      <w:r>
        <w:rPr>
          <w:sz w:val="18"/>
        </w:rPr>
        <w:t>of</w:t>
      </w:r>
      <w:r>
        <w:rPr>
          <w:spacing w:val="-35"/>
          <w:sz w:val="18"/>
        </w:rPr>
        <w:t> </w:t>
      </w:r>
      <w:r>
        <w:rPr>
          <w:sz w:val="18"/>
        </w:rPr>
        <w:t>the</w:t>
      </w:r>
      <w:r>
        <w:rPr>
          <w:spacing w:val="-34"/>
          <w:sz w:val="18"/>
        </w:rPr>
        <w:t> </w:t>
      </w:r>
      <w:r>
        <w:rPr>
          <w:sz w:val="18"/>
        </w:rPr>
        <w:t>subject</w:t>
      </w:r>
      <w:r>
        <w:rPr>
          <w:spacing w:val="-36"/>
          <w:sz w:val="18"/>
        </w:rPr>
        <w:t> </w:t>
      </w:r>
      <w:r>
        <w:rPr>
          <w:sz w:val="18"/>
        </w:rPr>
        <w:t>property</w:t>
      </w:r>
      <w:r>
        <w:rPr>
          <w:spacing w:val="-35"/>
          <w:sz w:val="18"/>
        </w:rPr>
        <w:t> </w:t>
      </w:r>
      <w:r>
        <w:rPr>
          <w:sz w:val="18"/>
        </w:rPr>
        <w:t>(SP)</w:t>
        <w:tab/>
        <w:t>Internal</w:t>
      </w:r>
      <w:r>
        <w:rPr>
          <w:spacing w:val="-30"/>
          <w:sz w:val="18"/>
        </w:rPr>
        <w:t> </w:t>
      </w:r>
      <w:r>
        <w:rPr>
          <w:sz w:val="18"/>
        </w:rPr>
        <w:t>view</w:t>
      </w:r>
      <w:r>
        <w:rPr>
          <w:spacing w:val="-31"/>
          <w:sz w:val="18"/>
        </w:rPr>
        <w:t> </w:t>
      </w:r>
      <w:r>
        <w:rPr>
          <w:sz w:val="18"/>
        </w:rPr>
        <w:t>of</w:t>
      </w:r>
      <w:r>
        <w:rPr>
          <w:spacing w:val="-31"/>
          <w:sz w:val="18"/>
        </w:rPr>
        <w:t> </w:t>
      </w:r>
      <w:r>
        <w:rPr>
          <w:sz w:val="18"/>
        </w:rPr>
        <w:t>the</w:t>
      </w:r>
      <w:r>
        <w:rPr>
          <w:spacing w:val="-30"/>
          <w:sz w:val="18"/>
        </w:rPr>
        <w:t> </w:t>
      </w:r>
      <w:r>
        <w:rPr>
          <w:sz w:val="18"/>
        </w:rPr>
        <w:t>SP</w:t>
      </w:r>
    </w:p>
    <w:p>
      <w:pPr>
        <w:pStyle w:val="BodyText"/>
        <w:spacing w:before="10"/>
        <w:rPr>
          <w:sz w:val="15"/>
        </w:rPr>
      </w:pPr>
      <w:r>
        <w:rPr/>
        <w:pict>
          <v:group style="position:absolute;margin-left:113.25pt;margin-top:11.164707pt;width:186.1pt;height:130.65pt;mso-position-horizontal-relative:page;mso-position-vertical-relative:paragraph;z-index:-14959616;mso-wrap-distance-left:0;mso-wrap-distance-right:0" coordorigin="2265,223" coordsize="3722,2613">
            <v:rect style="position:absolute;left:2270;top:228;width:3712;height:2603" filled="false" stroked="true" strokeweight=".5pt" strokecolor="#000000">
              <v:stroke dashstyle="solid"/>
            </v:rect>
            <v:shape style="position:absolute;left:2419;top:305;width:3409;height:2402" type="#_x0000_t75" stroked="false">
              <v:imagedata r:id="rId301" o:title=""/>
            </v:shape>
            <w10:wrap type="topAndBottom"/>
          </v:group>
        </w:pict>
      </w:r>
      <w:r>
        <w:rPr/>
        <w:pict>
          <v:group style="position:absolute;margin-left:308.75pt;margin-top:11.964707pt;width:186.1pt;height:130.65pt;mso-position-horizontal-relative:page;mso-position-vertical-relative:paragraph;z-index:-14959104;mso-wrap-distance-left:0;mso-wrap-distance-right:0" coordorigin="6175,239" coordsize="3722,2613">
            <v:rect style="position:absolute;left:6180;top:244;width:3712;height:2603" filled="false" stroked="true" strokeweight=".5pt" strokecolor="#000000">
              <v:stroke dashstyle="solid"/>
            </v:rect>
            <v:shape style="position:absolute;left:6329;top:321;width:3414;height:2448" type="#_x0000_t75" stroked="false">
              <v:imagedata r:id="rId302" o:title=""/>
            </v:shape>
            <w10:wrap type="topAndBottom"/>
          </v:group>
        </w:pict>
      </w:r>
    </w:p>
    <w:p>
      <w:pPr>
        <w:tabs>
          <w:tab w:pos="3982" w:val="left" w:leader="none"/>
        </w:tabs>
        <w:spacing w:before="81"/>
        <w:ind w:left="0" w:right="3105" w:firstLine="0"/>
        <w:jc w:val="right"/>
        <w:rPr>
          <w:sz w:val="18"/>
        </w:rPr>
      </w:pPr>
      <w:r>
        <w:rPr>
          <w:sz w:val="18"/>
        </w:rPr>
        <w:t>External</w:t>
      </w:r>
      <w:r>
        <w:rPr>
          <w:spacing w:val="-24"/>
          <w:sz w:val="18"/>
        </w:rPr>
        <w:t> </w:t>
      </w:r>
      <w:r>
        <w:rPr>
          <w:sz w:val="18"/>
        </w:rPr>
        <w:t>view</w:t>
      </w:r>
      <w:r>
        <w:rPr>
          <w:spacing w:val="-23"/>
          <w:sz w:val="18"/>
        </w:rPr>
        <w:t> </w:t>
      </w:r>
      <w:r>
        <w:rPr>
          <w:sz w:val="18"/>
        </w:rPr>
        <w:t>of</w:t>
      </w:r>
      <w:r>
        <w:rPr>
          <w:spacing w:val="-22"/>
          <w:sz w:val="18"/>
        </w:rPr>
        <w:t> </w:t>
      </w:r>
      <w:r>
        <w:rPr>
          <w:sz w:val="18"/>
        </w:rPr>
        <w:t>the</w:t>
      </w:r>
      <w:r>
        <w:rPr>
          <w:spacing w:val="-23"/>
          <w:sz w:val="18"/>
        </w:rPr>
        <w:t> </w:t>
      </w:r>
      <w:r>
        <w:rPr>
          <w:sz w:val="18"/>
        </w:rPr>
        <w:t>SP</w:t>
        <w:tab/>
        <w:t>Internal</w:t>
      </w:r>
      <w:r>
        <w:rPr>
          <w:spacing w:val="-27"/>
          <w:sz w:val="18"/>
        </w:rPr>
        <w:t> </w:t>
      </w:r>
      <w:r>
        <w:rPr>
          <w:sz w:val="18"/>
        </w:rPr>
        <w:t>access</w:t>
      </w:r>
      <w:r>
        <w:rPr>
          <w:spacing w:val="-27"/>
          <w:sz w:val="18"/>
        </w:rPr>
        <w:t> </w:t>
      </w:r>
      <w:r>
        <w:rPr>
          <w:sz w:val="18"/>
        </w:rPr>
        <w:t>road</w:t>
      </w:r>
    </w:p>
    <w:p>
      <w:pPr>
        <w:pStyle w:val="BodyText"/>
        <w:spacing w:before="6"/>
        <w:rPr>
          <w:sz w:val="15"/>
        </w:rPr>
      </w:pPr>
      <w:r>
        <w:rPr/>
        <w:pict>
          <v:shape style="position:absolute;margin-left:108.260002pt;margin-top:10.959791pt;width:390.25pt;height:.5pt;mso-position-horizontal-relative:page;mso-position-vertical-relative:paragraph;z-index:-14958592;mso-wrap-distance-left:0;mso-wrap-distance-right:0" coordorigin="2165,219" coordsize="7805,10" path="m9970,219l5985,219,5980,219,5970,219,2165,219,2165,229,5970,229,5980,229,5985,229,9970,229,9970,219xe" filled="true" fillcolor="#92d050" stroked="false">
            <v:path arrowok="t"/>
            <v:fill type="solid"/>
            <w10:wrap type="topAndBottom"/>
          </v:shape>
        </w:pict>
      </w:r>
    </w:p>
    <w:p>
      <w:pPr>
        <w:spacing w:after="0"/>
        <w:rPr>
          <w:sz w:val="15"/>
        </w:rPr>
        <w:sectPr>
          <w:pgSz w:w="11910" w:h="16840"/>
          <w:pgMar w:header="720" w:footer="862" w:top="1660" w:bottom="1060" w:left="40" w:right="40"/>
        </w:sectPr>
      </w:pPr>
    </w:p>
    <w:p>
      <w:pPr>
        <w:pStyle w:val="BodyText"/>
        <w:spacing w:before="7"/>
        <w:rPr>
          <w:sz w:val="9"/>
        </w:rPr>
      </w:pPr>
    </w:p>
    <w:p>
      <w:pPr>
        <w:pStyle w:val="ListParagraph"/>
        <w:numPr>
          <w:ilvl w:val="1"/>
          <w:numId w:val="14"/>
        </w:numPr>
        <w:tabs>
          <w:tab w:pos="1257" w:val="left" w:leader="none"/>
        </w:tabs>
        <w:spacing w:line="240" w:lineRule="auto" w:before="106" w:after="0"/>
        <w:ind w:left="1256" w:right="0" w:hanging="577"/>
        <w:jc w:val="left"/>
        <w:rPr>
          <w:color w:val="1F6647"/>
          <w:sz w:val="22"/>
        </w:rPr>
      </w:pPr>
      <w:bookmarkStart w:name="_bookmark359" w:id="701"/>
      <w:bookmarkEnd w:id="701"/>
      <w:r>
        <w:rPr/>
      </w:r>
      <w:bookmarkStart w:name="_bookmark359" w:id="702"/>
      <w:bookmarkEnd w:id="702"/>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before="3"/>
        <w:rPr>
          <w:sz w:val="28"/>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60" w:id="703"/>
      <w:bookmarkEnd w:id="703"/>
      <w:r>
        <w:rPr/>
      </w:r>
      <w:bookmarkStart w:name="_bookmark360" w:id="704"/>
      <w:bookmarkEnd w:id="704"/>
      <w:r>
        <w:rPr>
          <w:color w:val="1F664D"/>
          <w:w w:val="105"/>
          <w:sz w:val="22"/>
        </w:rPr>
        <w:t>Ben</w:t>
      </w:r>
      <w:r>
        <w:rPr>
          <w:color w:val="1F664D"/>
          <w:w w:val="105"/>
          <w:sz w:val="22"/>
        </w:rPr>
        <w:t>galuru Hospitality Segment</w:t>
      </w:r>
      <w:r>
        <w:rPr>
          <w:color w:val="1F664D"/>
          <w:spacing w:val="-20"/>
          <w:w w:val="105"/>
          <w:sz w:val="22"/>
        </w:rPr>
        <w:t> </w:t>
      </w:r>
      <w:r>
        <w:rPr>
          <w:color w:val="1F664D"/>
          <w:w w:val="105"/>
          <w:sz w:val="22"/>
        </w:rPr>
        <w:t>Overview</w:t>
      </w:r>
    </w:p>
    <w:p>
      <w:pPr>
        <w:pStyle w:val="BodyText"/>
        <w:spacing w:line="321" w:lineRule="auto" w:before="208"/>
        <w:ind w:left="1299" w:right="673"/>
        <w:jc w:val="both"/>
      </w:pPr>
      <w:r>
        <w:rPr/>
        <w:t>The key demand driver for hospitality activity in Bengaluru has been the consistent growth of the corporate</w:t>
      </w:r>
      <w:r>
        <w:rPr>
          <w:spacing w:val="-40"/>
        </w:rPr>
        <w:t> </w:t>
      </w:r>
      <w:r>
        <w:rPr/>
        <w:t>sector</w:t>
      </w:r>
      <w:r>
        <w:rPr>
          <w:spacing w:val="-39"/>
        </w:rPr>
        <w:t> </w:t>
      </w:r>
      <w:r>
        <w:rPr/>
        <w:t>with</w:t>
      </w:r>
      <w:r>
        <w:rPr>
          <w:spacing w:val="-39"/>
        </w:rPr>
        <w:t> </w:t>
      </w:r>
      <w:r>
        <w:rPr/>
        <w:t>development</w:t>
      </w:r>
      <w:r>
        <w:rPr>
          <w:spacing w:val="-39"/>
        </w:rPr>
        <w:t> </w:t>
      </w:r>
      <w:r>
        <w:rPr/>
        <w:t>in</w:t>
      </w:r>
      <w:r>
        <w:rPr>
          <w:spacing w:val="-40"/>
        </w:rPr>
        <w:t> </w:t>
      </w:r>
      <w:r>
        <w:rPr/>
        <w:t>the</w:t>
      </w:r>
      <w:r>
        <w:rPr>
          <w:spacing w:val="-39"/>
        </w:rPr>
        <w:t> </w:t>
      </w:r>
      <w:r>
        <w:rPr/>
        <w:t>Technology</w:t>
      </w:r>
      <w:r>
        <w:rPr>
          <w:spacing w:val="-39"/>
        </w:rPr>
        <w:t> </w:t>
      </w:r>
      <w:r>
        <w:rPr/>
        <w:t>sector.</w:t>
      </w:r>
      <w:r>
        <w:rPr>
          <w:spacing w:val="-39"/>
        </w:rPr>
        <w:t> </w:t>
      </w:r>
      <w:r>
        <w:rPr/>
        <w:t>The</w:t>
      </w:r>
      <w:r>
        <w:rPr>
          <w:spacing w:val="-39"/>
        </w:rPr>
        <w:t> </w:t>
      </w:r>
      <w:r>
        <w:rPr/>
        <w:t>operational</w:t>
      </w:r>
      <w:r>
        <w:rPr>
          <w:spacing w:val="-40"/>
        </w:rPr>
        <w:t> </w:t>
      </w:r>
      <w:r>
        <w:rPr/>
        <w:t>premium</w:t>
      </w:r>
      <w:r>
        <w:rPr>
          <w:spacing w:val="-39"/>
        </w:rPr>
        <w:t> </w:t>
      </w:r>
      <w:r>
        <w:rPr/>
        <w:t>hotels</w:t>
      </w:r>
      <w:r>
        <w:rPr>
          <w:spacing w:val="-38"/>
        </w:rPr>
        <w:t> </w:t>
      </w:r>
      <w:r>
        <w:rPr/>
        <w:t>in</w:t>
      </w:r>
      <w:r>
        <w:rPr>
          <w:spacing w:val="-40"/>
        </w:rPr>
        <w:t> </w:t>
      </w:r>
      <w:r>
        <w:rPr/>
        <w:t>the</w:t>
      </w:r>
      <w:r>
        <w:rPr>
          <w:spacing w:val="-39"/>
        </w:rPr>
        <w:t> </w:t>
      </w:r>
      <w:r>
        <w:rPr/>
        <w:t>city witness</w:t>
      </w:r>
      <w:r>
        <w:rPr>
          <w:spacing w:val="-20"/>
        </w:rPr>
        <w:t> </w:t>
      </w:r>
      <w:r>
        <w:rPr/>
        <w:t>significant</w:t>
      </w:r>
      <w:r>
        <w:rPr>
          <w:spacing w:val="-21"/>
        </w:rPr>
        <w:t> </w:t>
      </w:r>
      <w:r>
        <w:rPr/>
        <w:t>demand</w:t>
      </w:r>
      <w:r>
        <w:rPr>
          <w:spacing w:val="-21"/>
        </w:rPr>
        <w:t> </w:t>
      </w:r>
      <w:r>
        <w:rPr/>
        <w:t>from</w:t>
      </w:r>
      <w:r>
        <w:rPr>
          <w:spacing w:val="-19"/>
        </w:rPr>
        <w:t> </w:t>
      </w:r>
      <w:r>
        <w:rPr/>
        <w:t>business</w:t>
      </w:r>
      <w:r>
        <w:rPr>
          <w:spacing w:val="-20"/>
        </w:rPr>
        <w:t> </w:t>
      </w:r>
      <w:r>
        <w:rPr/>
        <w:t>travellers</w:t>
      </w:r>
      <w:r>
        <w:rPr>
          <w:spacing w:val="-21"/>
        </w:rPr>
        <w:t> </w:t>
      </w:r>
      <w:r>
        <w:rPr/>
        <w:t>with</w:t>
      </w:r>
      <w:r>
        <w:rPr>
          <w:spacing w:val="-21"/>
        </w:rPr>
        <w:t> </w:t>
      </w:r>
      <w:r>
        <w:rPr/>
        <w:t>mid</w:t>
      </w:r>
      <w:r>
        <w:rPr>
          <w:spacing w:val="-21"/>
        </w:rPr>
        <w:t> </w:t>
      </w:r>
      <w:r>
        <w:rPr/>
        <w:t>to</w:t>
      </w:r>
      <w:r>
        <w:rPr>
          <w:spacing w:val="-21"/>
        </w:rPr>
        <w:t> </w:t>
      </w:r>
      <w:r>
        <w:rPr/>
        <w:t>high</w:t>
      </w:r>
      <w:r>
        <w:rPr>
          <w:spacing w:val="-18"/>
        </w:rPr>
        <w:t> </w:t>
      </w:r>
      <w:r>
        <w:rPr/>
        <w:t>level</w:t>
      </w:r>
      <w:r>
        <w:rPr>
          <w:spacing w:val="-22"/>
        </w:rPr>
        <w:t> </w:t>
      </w:r>
      <w:r>
        <w:rPr/>
        <w:t>employees</w:t>
      </w:r>
      <w:r>
        <w:rPr>
          <w:spacing w:val="-21"/>
        </w:rPr>
        <w:t> </w:t>
      </w:r>
      <w:r>
        <w:rPr/>
        <w:t>of</w:t>
      </w:r>
      <w:r>
        <w:rPr>
          <w:spacing w:val="-20"/>
        </w:rPr>
        <w:t> </w:t>
      </w:r>
      <w:r>
        <w:rPr/>
        <w:t>MNCs</w:t>
      </w:r>
      <w:r>
        <w:rPr>
          <w:spacing w:val="-22"/>
        </w:rPr>
        <w:t> </w:t>
      </w:r>
      <w:r>
        <w:rPr/>
        <w:t>forming majority</w:t>
      </w:r>
      <w:r>
        <w:rPr>
          <w:spacing w:val="-40"/>
        </w:rPr>
        <w:t> </w:t>
      </w:r>
      <w:r>
        <w:rPr/>
        <w:t>of</w:t>
      </w:r>
      <w:r>
        <w:rPr>
          <w:spacing w:val="-39"/>
        </w:rPr>
        <w:t> </w:t>
      </w:r>
      <w:r>
        <w:rPr/>
        <w:t>their</w:t>
      </w:r>
      <w:r>
        <w:rPr>
          <w:spacing w:val="-39"/>
        </w:rPr>
        <w:t> </w:t>
      </w:r>
      <w:r>
        <w:rPr/>
        <w:t>guest</w:t>
      </w:r>
      <w:r>
        <w:rPr>
          <w:spacing w:val="-39"/>
        </w:rPr>
        <w:t> </w:t>
      </w:r>
      <w:r>
        <w:rPr/>
        <w:t>composition.</w:t>
      </w:r>
      <w:r>
        <w:rPr>
          <w:spacing w:val="-40"/>
        </w:rPr>
        <w:t> </w:t>
      </w:r>
      <w:r>
        <w:rPr/>
        <w:t>While</w:t>
      </w:r>
      <w:r>
        <w:rPr>
          <w:spacing w:val="-40"/>
        </w:rPr>
        <w:t> </w:t>
      </w:r>
      <w:r>
        <w:rPr/>
        <w:t>the</w:t>
      </w:r>
      <w:r>
        <w:rPr>
          <w:spacing w:val="-40"/>
        </w:rPr>
        <w:t> </w:t>
      </w:r>
      <w:r>
        <w:rPr/>
        <w:t>concentration</w:t>
      </w:r>
      <w:r>
        <w:rPr>
          <w:spacing w:val="-40"/>
        </w:rPr>
        <w:t> </w:t>
      </w:r>
      <w:r>
        <w:rPr/>
        <w:t>of</w:t>
      </w:r>
      <w:r>
        <w:rPr>
          <w:spacing w:val="-39"/>
        </w:rPr>
        <w:t> </w:t>
      </w:r>
      <w:r>
        <w:rPr/>
        <w:t>premium</w:t>
      </w:r>
      <w:r>
        <w:rPr>
          <w:spacing w:val="-39"/>
        </w:rPr>
        <w:t> </w:t>
      </w:r>
      <w:r>
        <w:rPr/>
        <w:t>hotels</w:t>
      </w:r>
      <w:r>
        <w:rPr>
          <w:spacing w:val="-39"/>
        </w:rPr>
        <w:t> </w:t>
      </w:r>
      <w:r>
        <w:rPr/>
        <w:t>is</w:t>
      </w:r>
      <w:r>
        <w:rPr>
          <w:spacing w:val="-39"/>
        </w:rPr>
        <w:t> </w:t>
      </w:r>
      <w:r>
        <w:rPr/>
        <w:t>limited</w:t>
      </w:r>
      <w:r>
        <w:rPr>
          <w:spacing w:val="-40"/>
        </w:rPr>
        <w:t> </w:t>
      </w:r>
      <w:r>
        <w:rPr/>
        <w:t>within</w:t>
      </w:r>
      <w:r>
        <w:rPr>
          <w:spacing w:val="-40"/>
        </w:rPr>
        <w:t> </w:t>
      </w:r>
      <w:r>
        <w:rPr/>
        <w:t>the</w:t>
      </w:r>
      <w:r>
        <w:rPr>
          <w:spacing w:val="-40"/>
        </w:rPr>
        <w:t> </w:t>
      </w:r>
      <w:r>
        <w:rPr/>
        <w:t>CBD earlier,</w:t>
      </w:r>
      <w:r>
        <w:rPr>
          <w:spacing w:val="-33"/>
        </w:rPr>
        <w:t> </w:t>
      </w:r>
      <w:r>
        <w:rPr/>
        <w:t>a</w:t>
      </w:r>
      <w:r>
        <w:rPr>
          <w:spacing w:val="-34"/>
        </w:rPr>
        <w:t> </w:t>
      </w:r>
      <w:r>
        <w:rPr/>
        <w:t>few</w:t>
      </w:r>
      <w:r>
        <w:rPr>
          <w:spacing w:val="-33"/>
        </w:rPr>
        <w:t> </w:t>
      </w:r>
      <w:r>
        <w:rPr/>
        <w:t>upscale</w:t>
      </w:r>
      <w:r>
        <w:rPr>
          <w:spacing w:val="-33"/>
        </w:rPr>
        <w:t> </w:t>
      </w:r>
      <w:r>
        <w:rPr/>
        <w:t>hotels</w:t>
      </w:r>
      <w:r>
        <w:rPr>
          <w:spacing w:val="-33"/>
        </w:rPr>
        <w:t> </w:t>
      </w:r>
      <w:r>
        <w:rPr/>
        <w:t>have</w:t>
      </w:r>
      <w:r>
        <w:rPr>
          <w:spacing w:val="-34"/>
        </w:rPr>
        <w:t> </w:t>
      </w:r>
      <w:r>
        <w:rPr/>
        <w:t>commenced</w:t>
      </w:r>
      <w:r>
        <w:rPr>
          <w:spacing w:val="-33"/>
        </w:rPr>
        <w:t> </w:t>
      </w:r>
      <w:r>
        <w:rPr/>
        <w:t>operations</w:t>
      </w:r>
      <w:r>
        <w:rPr>
          <w:spacing w:val="-33"/>
        </w:rPr>
        <w:t> </w:t>
      </w:r>
      <w:r>
        <w:rPr/>
        <w:t>in</w:t>
      </w:r>
      <w:r>
        <w:rPr>
          <w:spacing w:val="-33"/>
        </w:rPr>
        <w:t> </w:t>
      </w:r>
      <w:r>
        <w:rPr/>
        <w:t>prominent</w:t>
      </w:r>
      <w:r>
        <w:rPr>
          <w:spacing w:val="-34"/>
        </w:rPr>
        <w:t> </w:t>
      </w:r>
      <w:r>
        <w:rPr/>
        <w:t>commercial/</w:t>
      </w:r>
      <w:r>
        <w:rPr>
          <w:spacing w:val="-34"/>
        </w:rPr>
        <w:t> </w:t>
      </w:r>
      <w:r>
        <w:rPr/>
        <w:t>peripheral</w:t>
      </w:r>
      <w:r>
        <w:rPr>
          <w:spacing w:val="-32"/>
        </w:rPr>
        <w:t> </w:t>
      </w:r>
      <w:r>
        <w:rPr/>
        <w:t>regions in</w:t>
      </w:r>
      <w:r>
        <w:rPr>
          <w:spacing w:val="-35"/>
        </w:rPr>
        <w:t> </w:t>
      </w:r>
      <w:r>
        <w:rPr/>
        <w:t>the</w:t>
      </w:r>
      <w:r>
        <w:rPr>
          <w:spacing w:val="-34"/>
        </w:rPr>
        <w:t> </w:t>
      </w:r>
      <w:r>
        <w:rPr/>
        <w:t>recent</w:t>
      </w:r>
      <w:r>
        <w:rPr>
          <w:spacing w:val="-34"/>
        </w:rPr>
        <w:t> </w:t>
      </w:r>
      <w:r>
        <w:rPr/>
        <w:t>past.</w:t>
      </w:r>
      <w:r>
        <w:rPr>
          <w:spacing w:val="-34"/>
        </w:rPr>
        <w:t> </w:t>
      </w:r>
      <w:r>
        <w:rPr/>
        <w:t>The</w:t>
      </w:r>
      <w:r>
        <w:rPr>
          <w:spacing w:val="-34"/>
        </w:rPr>
        <w:t> </w:t>
      </w:r>
      <w:r>
        <w:rPr/>
        <w:t>table</w:t>
      </w:r>
      <w:r>
        <w:rPr>
          <w:spacing w:val="-34"/>
        </w:rPr>
        <w:t> </w:t>
      </w:r>
      <w:r>
        <w:rPr/>
        <w:t>below</w:t>
      </w:r>
      <w:r>
        <w:rPr>
          <w:spacing w:val="-34"/>
        </w:rPr>
        <w:t> </w:t>
      </w:r>
      <w:r>
        <w:rPr/>
        <w:t>highlights</w:t>
      </w:r>
      <w:r>
        <w:rPr>
          <w:spacing w:val="-34"/>
        </w:rPr>
        <w:t> </w:t>
      </w:r>
      <w:r>
        <w:rPr/>
        <w:t>the</w:t>
      </w:r>
      <w:r>
        <w:rPr>
          <w:spacing w:val="-34"/>
        </w:rPr>
        <w:t> </w:t>
      </w:r>
      <w:r>
        <w:rPr/>
        <w:t>room</w:t>
      </w:r>
      <w:r>
        <w:rPr>
          <w:spacing w:val="-34"/>
        </w:rPr>
        <w:t> </w:t>
      </w:r>
      <w:r>
        <w:rPr/>
        <w:t>inventory</w:t>
      </w:r>
      <w:r>
        <w:rPr>
          <w:spacing w:val="-33"/>
        </w:rPr>
        <w:t> </w:t>
      </w:r>
      <w:r>
        <w:rPr/>
        <w:t>for</w:t>
      </w:r>
      <w:r>
        <w:rPr>
          <w:spacing w:val="-34"/>
        </w:rPr>
        <w:t> </w:t>
      </w:r>
      <w:r>
        <w:rPr/>
        <w:t>hotels</w:t>
      </w:r>
      <w:r>
        <w:rPr>
          <w:spacing w:val="-33"/>
        </w:rPr>
        <w:t> </w:t>
      </w:r>
      <w:r>
        <w:rPr/>
        <w:t>across</w:t>
      </w:r>
      <w:r>
        <w:rPr>
          <w:spacing w:val="-34"/>
        </w:rPr>
        <w:t> </w:t>
      </w:r>
      <w:r>
        <w:rPr/>
        <w:t>different</w:t>
      </w:r>
      <w:r>
        <w:rPr>
          <w:spacing w:val="-34"/>
        </w:rPr>
        <w:t> </w:t>
      </w:r>
      <w:r>
        <w:rPr/>
        <w:t>categories:</w:t>
      </w:r>
    </w:p>
    <w:p>
      <w:pPr>
        <w:pStyle w:val="BodyText"/>
        <w:spacing w:before="5"/>
        <w:rPr>
          <w:sz w:val="11"/>
        </w:rPr>
      </w:pPr>
    </w:p>
    <w:tbl>
      <w:tblPr>
        <w:tblW w:w="0" w:type="auto"/>
        <w:jc w:val="left"/>
        <w:tblInd w:w="9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03"/>
        <w:gridCol w:w="4304"/>
      </w:tblGrid>
      <w:tr>
        <w:trPr>
          <w:trHeight w:val="431" w:hRule="atLeast"/>
        </w:trPr>
        <w:tc>
          <w:tcPr>
            <w:tcW w:w="5703" w:type="dxa"/>
            <w:tcBorders>
              <w:top w:val="single" w:sz="12" w:space="0" w:color="1F6B16"/>
              <w:bottom w:val="single" w:sz="6" w:space="0" w:color="69BD28"/>
            </w:tcBorders>
            <w:shd w:val="clear" w:color="auto" w:fill="006A4D"/>
          </w:tcPr>
          <w:p>
            <w:pPr>
              <w:pStyle w:val="TableParagraph"/>
              <w:spacing w:before="111"/>
              <w:ind w:left="1494" w:right="1511"/>
              <w:rPr>
                <w:b/>
                <w:sz w:val="18"/>
              </w:rPr>
            </w:pPr>
            <w:r>
              <w:rPr>
                <w:b/>
                <w:color w:val="FFFFFF"/>
                <w:w w:val="110"/>
                <w:sz w:val="18"/>
              </w:rPr>
              <w:t>Hotel Category</w:t>
            </w:r>
          </w:p>
        </w:tc>
        <w:tc>
          <w:tcPr>
            <w:tcW w:w="4304" w:type="dxa"/>
            <w:tcBorders>
              <w:top w:val="single" w:sz="12" w:space="0" w:color="1F6B16"/>
              <w:bottom w:val="single" w:sz="6" w:space="0" w:color="69BD28"/>
            </w:tcBorders>
            <w:shd w:val="clear" w:color="auto" w:fill="006A4D"/>
          </w:tcPr>
          <w:p>
            <w:pPr>
              <w:pStyle w:val="TableParagraph"/>
              <w:spacing w:before="3"/>
              <w:ind w:left="101" w:right="134"/>
              <w:rPr>
                <w:b/>
                <w:sz w:val="18"/>
              </w:rPr>
            </w:pPr>
            <w:r>
              <w:rPr>
                <w:b/>
                <w:color w:val="FFFFFF"/>
                <w:w w:val="105"/>
                <w:sz w:val="18"/>
              </w:rPr>
              <w:t>Existing Inventory</w:t>
            </w:r>
          </w:p>
          <w:p>
            <w:pPr>
              <w:pStyle w:val="TableParagraph"/>
              <w:spacing w:line="192" w:lineRule="exact" w:before="7"/>
              <w:ind w:left="103" w:right="134"/>
              <w:rPr>
                <w:b/>
                <w:sz w:val="18"/>
              </w:rPr>
            </w:pPr>
            <w:r>
              <w:rPr>
                <w:b/>
                <w:color w:val="FFFFFF"/>
                <w:w w:val="105"/>
                <w:sz w:val="18"/>
              </w:rPr>
              <w:t>(No of Keys)</w:t>
            </w:r>
          </w:p>
        </w:tc>
      </w:tr>
      <w:tr>
        <w:trPr>
          <w:trHeight w:val="357" w:hRule="atLeast"/>
        </w:trPr>
        <w:tc>
          <w:tcPr>
            <w:tcW w:w="5703" w:type="dxa"/>
            <w:tcBorders>
              <w:top w:val="single" w:sz="6" w:space="0" w:color="69BD28"/>
              <w:bottom w:val="single" w:sz="6" w:space="0" w:color="69BD28"/>
            </w:tcBorders>
          </w:tcPr>
          <w:p>
            <w:pPr>
              <w:pStyle w:val="TableParagraph"/>
              <w:spacing w:before="75"/>
              <w:ind w:left="1494" w:right="1513"/>
              <w:rPr>
                <w:sz w:val="18"/>
              </w:rPr>
            </w:pPr>
            <w:r>
              <w:rPr>
                <w:sz w:val="18"/>
              </w:rPr>
              <w:t>Luxury (5 star and 5 Star Deluxe)</w:t>
            </w:r>
          </w:p>
        </w:tc>
        <w:tc>
          <w:tcPr>
            <w:tcW w:w="4304" w:type="dxa"/>
            <w:tcBorders>
              <w:top w:val="single" w:sz="6" w:space="0" w:color="69BD28"/>
              <w:bottom w:val="single" w:sz="6" w:space="0" w:color="69BD28"/>
            </w:tcBorders>
          </w:tcPr>
          <w:p>
            <w:pPr>
              <w:pStyle w:val="TableParagraph"/>
              <w:spacing w:before="42"/>
              <w:ind w:left="1895"/>
              <w:jc w:val="left"/>
              <w:rPr>
                <w:sz w:val="18"/>
              </w:rPr>
            </w:pPr>
            <w:r>
              <w:rPr>
                <w:w w:val="105"/>
                <w:sz w:val="18"/>
              </w:rPr>
              <w:t>6,500</w:t>
            </w:r>
          </w:p>
        </w:tc>
      </w:tr>
      <w:tr>
        <w:trPr>
          <w:trHeight w:val="356" w:hRule="atLeast"/>
        </w:trPr>
        <w:tc>
          <w:tcPr>
            <w:tcW w:w="5703" w:type="dxa"/>
            <w:tcBorders>
              <w:top w:val="single" w:sz="6" w:space="0" w:color="69BD28"/>
              <w:bottom w:val="single" w:sz="6" w:space="0" w:color="69BD28"/>
            </w:tcBorders>
          </w:tcPr>
          <w:p>
            <w:pPr>
              <w:pStyle w:val="TableParagraph"/>
              <w:spacing w:before="75"/>
              <w:ind w:left="1494" w:right="1513"/>
              <w:rPr>
                <w:sz w:val="18"/>
              </w:rPr>
            </w:pPr>
            <w:r>
              <w:rPr>
                <w:sz w:val="18"/>
              </w:rPr>
              <w:t>Upscale (4 star)</w:t>
            </w:r>
          </w:p>
        </w:tc>
        <w:tc>
          <w:tcPr>
            <w:tcW w:w="4304" w:type="dxa"/>
            <w:tcBorders>
              <w:top w:val="single" w:sz="6" w:space="0" w:color="69BD28"/>
              <w:bottom w:val="single" w:sz="6" w:space="0" w:color="69BD28"/>
            </w:tcBorders>
          </w:tcPr>
          <w:p>
            <w:pPr>
              <w:pStyle w:val="TableParagraph"/>
              <w:spacing w:before="42"/>
              <w:ind w:left="1895"/>
              <w:jc w:val="left"/>
              <w:rPr>
                <w:sz w:val="18"/>
              </w:rPr>
            </w:pPr>
            <w:r>
              <w:rPr>
                <w:w w:val="105"/>
                <w:sz w:val="18"/>
              </w:rPr>
              <w:t>4,500</w:t>
            </w:r>
          </w:p>
        </w:tc>
      </w:tr>
      <w:tr>
        <w:trPr>
          <w:trHeight w:val="357" w:hRule="atLeast"/>
        </w:trPr>
        <w:tc>
          <w:tcPr>
            <w:tcW w:w="5703" w:type="dxa"/>
            <w:tcBorders>
              <w:top w:val="single" w:sz="6" w:space="0" w:color="69BD28"/>
              <w:bottom w:val="single" w:sz="6" w:space="0" w:color="69BD28"/>
            </w:tcBorders>
          </w:tcPr>
          <w:p>
            <w:pPr>
              <w:pStyle w:val="TableParagraph"/>
              <w:spacing w:before="75"/>
              <w:ind w:left="1492" w:right="1513"/>
              <w:rPr>
                <w:sz w:val="18"/>
              </w:rPr>
            </w:pPr>
            <w:r>
              <w:rPr>
                <w:sz w:val="18"/>
              </w:rPr>
              <w:t>Midscale (3 star)</w:t>
            </w:r>
          </w:p>
        </w:tc>
        <w:tc>
          <w:tcPr>
            <w:tcW w:w="4304" w:type="dxa"/>
            <w:tcBorders>
              <w:top w:val="single" w:sz="6" w:space="0" w:color="69BD28"/>
              <w:bottom w:val="single" w:sz="6" w:space="0" w:color="69BD28"/>
            </w:tcBorders>
          </w:tcPr>
          <w:p>
            <w:pPr>
              <w:pStyle w:val="TableParagraph"/>
              <w:spacing w:before="42"/>
              <w:ind w:left="1895"/>
              <w:jc w:val="left"/>
              <w:rPr>
                <w:sz w:val="18"/>
              </w:rPr>
            </w:pPr>
            <w:r>
              <w:rPr>
                <w:w w:val="105"/>
                <w:sz w:val="18"/>
              </w:rPr>
              <w:t>4,100</w:t>
            </w:r>
          </w:p>
        </w:tc>
      </w:tr>
      <w:tr>
        <w:trPr>
          <w:trHeight w:val="357" w:hRule="atLeast"/>
        </w:trPr>
        <w:tc>
          <w:tcPr>
            <w:tcW w:w="5703" w:type="dxa"/>
            <w:tcBorders>
              <w:top w:val="single" w:sz="6" w:space="0" w:color="69BD28"/>
              <w:bottom w:val="single" w:sz="6" w:space="0" w:color="69BD28"/>
            </w:tcBorders>
          </w:tcPr>
          <w:p>
            <w:pPr>
              <w:pStyle w:val="TableParagraph"/>
              <w:spacing w:before="75"/>
              <w:ind w:left="1494" w:right="1512"/>
              <w:rPr>
                <w:sz w:val="18"/>
              </w:rPr>
            </w:pPr>
            <w:r>
              <w:rPr>
                <w:sz w:val="18"/>
              </w:rPr>
              <w:t>Total</w:t>
            </w:r>
          </w:p>
        </w:tc>
        <w:tc>
          <w:tcPr>
            <w:tcW w:w="4304" w:type="dxa"/>
            <w:tcBorders>
              <w:top w:val="single" w:sz="6" w:space="0" w:color="69BD28"/>
              <w:bottom w:val="single" w:sz="6" w:space="0" w:color="69BD28"/>
            </w:tcBorders>
          </w:tcPr>
          <w:p>
            <w:pPr>
              <w:pStyle w:val="TableParagraph"/>
              <w:spacing w:before="42"/>
              <w:ind w:left="1842"/>
              <w:jc w:val="left"/>
              <w:rPr>
                <w:sz w:val="18"/>
              </w:rPr>
            </w:pPr>
            <w:r>
              <w:rPr>
                <w:w w:val="110"/>
                <w:sz w:val="18"/>
              </w:rPr>
              <w:t>15,100</w:t>
            </w:r>
          </w:p>
        </w:tc>
      </w:tr>
    </w:tbl>
    <w:p>
      <w:pPr>
        <w:spacing w:before="116"/>
        <w:ind w:left="680" w:right="0" w:firstLine="0"/>
        <w:jc w:val="left"/>
        <w:rPr>
          <w:i/>
          <w:sz w:val="18"/>
        </w:rPr>
      </w:pPr>
      <w:r>
        <w:rPr>
          <w:i/>
          <w:sz w:val="18"/>
        </w:rPr>
        <w:t>Source: CBRE Research</w:t>
      </w:r>
    </w:p>
    <w:p>
      <w:pPr>
        <w:pStyle w:val="BodyText"/>
        <w:spacing w:line="321" w:lineRule="auto" w:before="193"/>
        <w:ind w:left="1299" w:right="676"/>
        <w:jc w:val="both"/>
      </w:pPr>
      <w:r>
        <w:rPr/>
        <w:t>Bengaluru hospitality segment (total of approx. 15,100 room keys) is largely concentrated in the premium</w:t>
      </w:r>
      <w:r>
        <w:rPr>
          <w:spacing w:val="-13"/>
        </w:rPr>
        <w:t> </w:t>
      </w:r>
      <w:r>
        <w:rPr/>
        <w:t>segment</w:t>
      </w:r>
      <w:r>
        <w:rPr>
          <w:spacing w:val="-15"/>
        </w:rPr>
        <w:t> </w:t>
      </w:r>
      <w:r>
        <w:rPr/>
        <w:t>(approx.</w:t>
      </w:r>
      <w:r>
        <w:rPr>
          <w:spacing w:val="-11"/>
        </w:rPr>
        <w:t> </w:t>
      </w:r>
      <w:r>
        <w:rPr/>
        <w:t>43.0%),</w:t>
      </w:r>
      <w:r>
        <w:rPr>
          <w:spacing w:val="-13"/>
        </w:rPr>
        <w:t> </w:t>
      </w:r>
      <w:r>
        <w:rPr/>
        <w:t>viz.</w:t>
      </w:r>
      <w:r>
        <w:rPr>
          <w:spacing w:val="-13"/>
        </w:rPr>
        <w:t> </w:t>
      </w:r>
      <w:r>
        <w:rPr/>
        <w:t>The</w:t>
      </w:r>
      <w:r>
        <w:rPr>
          <w:spacing w:val="-13"/>
        </w:rPr>
        <w:t> </w:t>
      </w:r>
      <w:r>
        <w:rPr/>
        <w:t>Leela</w:t>
      </w:r>
      <w:r>
        <w:rPr>
          <w:spacing w:val="-10"/>
        </w:rPr>
        <w:t> </w:t>
      </w:r>
      <w:r>
        <w:rPr/>
        <w:t>palace,</w:t>
      </w:r>
      <w:r>
        <w:rPr>
          <w:spacing w:val="-13"/>
        </w:rPr>
        <w:t> </w:t>
      </w:r>
      <w:r>
        <w:rPr/>
        <w:t>The</w:t>
      </w:r>
      <w:r>
        <w:rPr>
          <w:spacing w:val="-13"/>
        </w:rPr>
        <w:t> </w:t>
      </w:r>
      <w:r>
        <w:rPr/>
        <w:t>Oberoi,</w:t>
      </w:r>
      <w:r>
        <w:rPr>
          <w:spacing w:val="-13"/>
        </w:rPr>
        <w:t> </w:t>
      </w:r>
      <w:r>
        <w:rPr/>
        <w:t>Windsor</w:t>
      </w:r>
      <w:r>
        <w:rPr>
          <w:spacing w:val="-13"/>
        </w:rPr>
        <w:t> </w:t>
      </w:r>
      <w:r>
        <w:rPr/>
        <w:t>Manor,</w:t>
      </w:r>
      <w:r>
        <w:rPr>
          <w:spacing w:val="-12"/>
        </w:rPr>
        <w:t> </w:t>
      </w:r>
      <w:r>
        <w:rPr/>
        <w:t>Taj</w:t>
      </w:r>
      <w:r>
        <w:rPr>
          <w:spacing w:val="-13"/>
        </w:rPr>
        <w:t> </w:t>
      </w:r>
      <w:r>
        <w:rPr/>
        <w:t>West</w:t>
      </w:r>
      <w:r>
        <w:rPr>
          <w:spacing w:val="-12"/>
        </w:rPr>
        <w:t> </w:t>
      </w:r>
      <w:r>
        <w:rPr/>
        <w:t>End, ITC Gardenia, JW Marriott, Ritz Carlton, Hilton Conrad, etc. Most of these hotels are located in</w:t>
      </w:r>
      <w:r>
        <w:rPr>
          <w:spacing w:val="-42"/>
        </w:rPr>
        <w:t> </w:t>
      </w:r>
      <w:r>
        <w:rPr/>
        <w:t>and around</w:t>
      </w:r>
      <w:r>
        <w:rPr>
          <w:spacing w:val="-38"/>
        </w:rPr>
        <w:t> </w:t>
      </w:r>
      <w:r>
        <w:rPr/>
        <w:t>the</w:t>
      </w:r>
      <w:r>
        <w:rPr>
          <w:spacing w:val="-38"/>
        </w:rPr>
        <w:t> </w:t>
      </w:r>
      <w:r>
        <w:rPr/>
        <w:t>Central</w:t>
      </w:r>
      <w:r>
        <w:rPr>
          <w:spacing w:val="-39"/>
        </w:rPr>
        <w:t> </w:t>
      </w:r>
      <w:r>
        <w:rPr/>
        <w:t>Business</w:t>
      </w:r>
      <w:r>
        <w:rPr>
          <w:spacing w:val="-38"/>
        </w:rPr>
        <w:t> </w:t>
      </w:r>
      <w:r>
        <w:rPr/>
        <w:t>District</w:t>
      </w:r>
      <w:r>
        <w:rPr>
          <w:spacing w:val="-39"/>
        </w:rPr>
        <w:t> </w:t>
      </w:r>
      <w:r>
        <w:rPr/>
        <w:t>(CBD)</w:t>
      </w:r>
      <w:r>
        <w:rPr>
          <w:spacing w:val="-38"/>
        </w:rPr>
        <w:t> </w:t>
      </w:r>
      <w:r>
        <w:rPr/>
        <w:t>of</w:t>
      </w:r>
      <w:r>
        <w:rPr>
          <w:spacing w:val="-37"/>
        </w:rPr>
        <w:t> </w:t>
      </w:r>
      <w:r>
        <w:rPr/>
        <w:t>Bengaluru.</w:t>
      </w:r>
      <w:r>
        <w:rPr>
          <w:spacing w:val="-38"/>
        </w:rPr>
        <w:t> </w:t>
      </w:r>
      <w:r>
        <w:rPr/>
        <w:t>However,</w:t>
      </w:r>
      <w:r>
        <w:rPr>
          <w:spacing w:val="-38"/>
        </w:rPr>
        <w:t> </w:t>
      </w:r>
      <w:r>
        <w:rPr/>
        <w:t>the</w:t>
      </w:r>
      <w:r>
        <w:rPr>
          <w:spacing w:val="-38"/>
        </w:rPr>
        <w:t> </w:t>
      </w:r>
      <w:r>
        <w:rPr/>
        <w:t>city</w:t>
      </w:r>
      <w:r>
        <w:rPr>
          <w:spacing w:val="-38"/>
        </w:rPr>
        <w:t> </w:t>
      </w:r>
      <w:r>
        <w:rPr/>
        <w:t>has</w:t>
      </w:r>
      <w:r>
        <w:rPr>
          <w:spacing w:val="-38"/>
        </w:rPr>
        <w:t> </w:t>
      </w:r>
      <w:r>
        <w:rPr/>
        <w:t>witnessed</w:t>
      </w:r>
      <w:r>
        <w:rPr>
          <w:spacing w:val="-38"/>
        </w:rPr>
        <w:t> </w:t>
      </w:r>
      <w:r>
        <w:rPr/>
        <w:t>additional</w:t>
      </w:r>
      <w:r>
        <w:rPr>
          <w:spacing w:val="-38"/>
        </w:rPr>
        <w:t> </w:t>
      </w:r>
      <w:r>
        <w:rPr/>
        <w:t>keys in</w:t>
      </w:r>
      <w:r>
        <w:rPr>
          <w:spacing w:val="-10"/>
        </w:rPr>
        <w:t> </w:t>
      </w:r>
      <w:r>
        <w:rPr/>
        <w:t>suburban</w:t>
      </w:r>
      <w:r>
        <w:rPr>
          <w:spacing w:val="-9"/>
        </w:rPr>
        <w:t> </w:t>
      </w:r>
      <w:r>
        <w:rPr/>
        <w:t>and</w:t>
      </w:r>
      <w:r>
        <w:rPr>
          <w:spacing w:val="-10"/>
        </w:rPr>
        <w:t> </w:t>
      </w:r>
      <w:r>
        <w:rPr/>
        <w:t>peripheral</w:t>
      </w:r>
      <w:r>
        <w:rPr>
          <w:spacing w:val="-9"/>
        </w:rPr>
        <w:t> </w:t>
      </w:r>
      <w:r>
        <w:rPr/>
        <w:t>areas</w:t>
      </w:r>
      <w:r>
        <w:rPr>
          <w:spacing w:val="-8"/>
        </w:rPr>
        <w:t> </w:t>
      </w:r>
      <w:r>
        <w:rPr/>
        <w:t>on</w:t>
      </w:r>
      <w:r>
        <w:rPr>
          <w:spacing w:val="-9"/>
        </w:rPr>
        <w:t> </w:t>
      </w:r>
      <w:r>
        <w:rPr/>
        <w:t>account</w:t>
      </w:r>
      <w:r>
        <w:rPr>
          <w:spacing w:val="-9"/>
        </w:rPr>
        <w:t> </w:t>
      </w:r>
      <w:r>
        <w:rPr/>
        <w:t>of</w:t>
      </w:r>
      <w:r>
        <w:rPr>
          <w:spacing w:val="-10"/>
        </w:rPr>
        <w:t> </w:t>
      </w:r>
      <w:r>
        <w:rPr/>
        <w:t>circular</w:t>
      </w:r>
      <w:r>
        <w:rPr>
          <w:spacing w:val="-9"/>
        </w:rPr>
        <w:t> </w:t>
      </w:r>
      <w:r>
        <w:rPr/>
        <w:t>growth</w:t>
      </w:r>
      <w:r>
        <w:rPr>
          <w:spacing w:val="-8"/>
        </w:rPr>
        <w:t> </w:t>
      </w:r>
      <w:r>
        <w:rPr/>
        <w:t>of</w:t>
      </w:r>
      <w:r>
        <w:rPr>
          <w:spacing w:val="-11"/>
        </w:rPr>
        <w:t> </w:t>
      </w:r>
      <w:r>
        <w:rPr/>
        <w:t>the</w:t>
      </w:r>
      <w:r>
        <w:rPr>
          <w:spacing w:val="-9"/>
        </w:rPr>
        <w:t> </w:t>
      </w:r>
      <w:r>
        <w:rPr/>
        <w:t>city</w:t>
      </w:r>
      <w:r>
        <w:rPr>
          <w:spacing w:val="-8"/>
        </w:rPr>
        <w:t> </w:t>
      </w:r>
      <w:r>
        <w:rPr/>
        <w:t>and</w:t>
      </w:r>
      <w:r>
        <w:rPr>
          <w:spacing w:val="-10"/>
        </w:rPr>
        <w:t> </w:t>
      </w:r>
      <w:r>
        <w:rPr/>
        <w:t>development</w:t>
      </w:r>
      <w:r>
        <w:rPr>
          <w:spacing w:val="-9"/>
        </w:rPr>
        <w:t> </w:t>
      </w:r>
      <w:r>
        <w:rPr/>
        <w:t>of</w:t>
      </w:r>
      <w:r>
        <w:rPr>
          <w:spacing w:val="-10"/>
        </w:rPr>
        <w:t> </w:t>
      </w:r>
      <w:r>
        <w:rPr/>
        <w:t>other business</w:t>
      </w:r>
      <w:r>
        <w:rPr>
          <w:spacing w:val="-24"/>
        </w:rPr>
        <w:t> </w:t>
      </w:r>
      <w:r>
        <w:rPr/>
        <w:t>hubs</w:t>
      </w:r>
      <w:r>
        <w:rPr>
          <w:spacing w:val="-25"/>
        </w:rPr>
        <w:t> </w:t>
      </w:r>
      <w:r>
        <w:rPr/>
        <w:t>such</w:t>
      </w:r>
      <w:r>
        <w:rPr>
          <w:spacing w:val="-25"/>
        </w:rPr>
        <w:t> </w:t>
      </w:r>
      <w:r>
        <w:rPr/>
        <w:t>as</w:t>
      </w:r>
      <w:r>
        <w:rPr>
          <w:spacing w:val="-24"/>
        </w:rPr>
        <w:t> </w:t>
      </w:r>
      <w:r>
        <w:rPr/>
        <w:t>Whitefield,</w:t>
      </w:r>
      <w:r>
        <w:rPr>
          <w:spacing w:val="-24"/>
        </w:rPr>
        <w:t> </w:t>
      </w:r>
      <w:r>
        <w:rPr/>
        <w:t>Sarjapur</w:t>
      </w:r>
      <w:r>
        <w:rPr>
          <w:spacing w:val="-24"/>
        </w:rPr>
        <w:t> </w:t>
      </w:r>
      <w:r>
        <w:rPr/>
        <w:t>ORR</w:t>
      </w:r>
      <w:r>
        <w:rPr>
          <w:spacing w:val="-25"/>
        </w:rPr>
        <w:t> </w:t>
      </w:r>
      <w:r>
        <w:rPr/>
        <w:t>and</w:t>
      </w:r>
      <w:r>
        <w:rPr>
          <w:spacing w:val="-24"/>
        </w:rPr>
        <w:t> </w:t>
      </w:r>
      <w:r>
        <w:rPr/>
        <w:t>Hebbal.</w:t>
      </w:r>
      <w:r>
        <w:rPr>
          <w:spacing w:val="-23"/>
        </w:rPr>
        <w:t> </w:t>
      </w:r>
      <w:r>
        <w:rPr/>
        <w:t>The</w:t>
      </w:r>
      <w:r>
        <w:rPr>
          <w:spacing w:val="-24"/>
        </w:rPr>
        <w:t> </w:t>
      </w:r>
      <w:r>
        <w:rPr/>
        <w:t>city</w:t>
      </w:r>
      <w:r>
        <w:rPr>
          <w:spacing w:val="-24"/>
        </w:rPr>
        <w:t> </w:t>
      </w:r>
      <w:r>
        <w:rPr/>
        <w:t>is</w:t>
      </w:r>
      <w:r>
        <w:rPr>
          <w:spacing w:val="-24"/>
        </w:rPr>
        <w:t> </w:t>
      </w:r>
      <w:r>
        <w:rPr/>
        <w:t>expected</w:t>
      </w:r>
      <w:r>
        <w:rPr>
          <w:spacing w:val="-24"/>
        </w:rPr>
        <w:t> </w:t>
      </w:r>
      <w:r>
        <w:rPr/>
        <w:t>to</w:t>
      </w:r>
      <w:r>
        <w:rPr>
          <w:spacing w:val="-26"/>
        </w:rPr>
        <w:t> </w:t>
      </w:r>
      <w:r>
        <w:rPr/>
        <w:t>witness</w:t>
      </w:r>
      <w:r>
        <w:rPr>
          <w:spacing w:val="-24"/>
        </w:rPr>
        <w:t> </w:t>
      </w:r>
      <w:r>
        <w:rPr/>
        <w:t>new</w:t>
      </w:r>
      <w:r>
        <w:rPr>
          <w:spacing w:val="-25"/>
        </w:rPr>
        <w:t> </w:t>
      </w:r>
      <w:r>
        <w:rPr/>
        <w:t>supply of</w:t>
      </w:r>
      <w:r>
        <w:rPr>
          <w:spacing w:val="-4"/>
        </w:rPr>
        <w:t> </w:t>
      </w:r>
      <w:r>
        <w:rPr/>
        <w:t>approx.</w:t>
      </w:r>
      <w:r>
        <w:rPr>
          <w:spacing w:val="-4"/>
        </w:rPr>
        <w:t> </w:t>
      </w:r>
      <w:r>
        <w:rPr/>
        <w:t>1,600</w:t>
      </w:r>
      <w:r>
        <w:rPr>
          <w:spacing w:val="-4"/>
        </w:rPr>
        <w:t> </w:t>
      </w:r>
      <w:r>
        <w:rPr>
          <w:w w:val="105"/>
        </w:rPr>
        <w:t>–</w:t>
      </w:r>
      <w:r>
        <w:rPr>
          <w:spacing w:val="-7"/>
          <w:w w:val="105"/>
        </w:rPr>
        <w:t> </w:t>
      </w:r>
      <w:r>
        <w:rPr/>
        <w:t>1,800</w:t>
      </w:r>
      <w:r>
        <w:rPr>
          <w:spacing w:val="-4"/>
        </w:rPr>
        <w:t> </w:t>
      </w:r>
      <w:r>
        <w:rPr/>
        <w:t>room</w:t>
      </w:r>
      <w:r>
        <w:rPr>
          <w:spacing w:val="-5"/>
        </w:rPr>
        <w:t> </w:t>
      </w:r>
      <w:r>
        <w:rPr/>
        <w:t>keys</w:t>
      </w:r>
      <w:r>
        <w:rPr>
          <w:spacing w:val="-3"/>
        </w:rPr>
        <w:t> </w:t>
      </w:r>
      <w:r>
        <w:rPr/>
        <w:t>across</w:t>
      </w:r>
      <w:r>
        <w:rPr>
          <w:spacing w:val="-3"/>
        </w:rPr>
        <w:t> </w:t>
      </w:r>
      <w:r>
        <w:rPr/>
        <w:t>various</w:t>
      </w:r>
      <w:r>
        <w:rPr>
          <w:spacing w:val="-4"/>
        </w:rPr>
        <w:t> </w:t>
      </w:r>
      <w:r>
        <w:rPr/>
        <w:t>segments</w:t>
      </w:r>
      <w:r>
        <w:rPr>
          <w:spacing w:val="-3"/>
        </w:rPr>
        <w:t> </w:t>
      </w:r>
      <w:r>
        <w:rPr/>
        <w:t>over</w:t>
      </w:r>
      <w:r>
        <w:rPr>
          <w:spacing w:val="-4"/>
        </w:rPr>
        <w:t> </w:t>
      </w:r>
      <w:r>
        <w:rPr/>
        <w:t>the</w:t>
      </w:r>
      <w:r>
        <w:rPr>
          <w:spacing w:val="-6"/>
        </w:rPr>
        <w:t> </w:t>
      </w:r>
      <w:r>
        <w:rPr/>
        <w:t>next</w:t>
      </w:r>
      <w:r>
        <w:rPr>
          <w:spacing w:val="-3"/>
        </w:rPr>
        <w:t> </w:t>
      </w:r>
      <w:r>
        <w:rPr/>
        <w:t>2-3</w:t>
      </w:r>
      <w:r>
        <w:rPr>
          <w:spacing w:val="-4"/>
        </w:rPr>
        <w:t> </w:t>
      </w:r>
      <w:r>
        <w:rPr/>
        <w:t>years.</w:t>
      </w:r>
    </w:p>
    <w:p>
      <w:pPr>
        <w:pStyle w:val="BodyText"/>
        <w:rPr>
          <w:sz w:val="21"/>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61" w:id="705"/>
      <w:bookmarkEnd w:id="705"/>
      <w:r>
        <w:rPr/>
      </w:r>
      <w:bookmarkStart w:name="_bookmark361" w:id="706"/>
      <w:bookmarkEnd w:id="706"/>
      <w:r>
        <w:rPr>
          <w:color w:val="1F664D"/>
          <w:sz w:val="22"/>
        </w:rPr>
        <w:t>S</w:t>
      </w:r>
      <w:r>
        <w:rPr>
          <w:color w:val="1F664D"/>
          <w:sz w:val="22"/>
        </w:rPr>
        <w:t>ub Market Analysis for Hospitality</w:t>
      </w:r>
      <w:r>
        <w:rPr>
          <w:color w:val="1F664D"/>
          <w:spacing w:val="-5"/>
          <w:sz w:val="22"/>
        </w:rPr>
        <w:t> </w:t>
      </w:r>
      <w:r>
        <w:rPr>
          <w:color w:val="1F664D"/>
          <w:sz w:val="22"/>
        </w:rPr>
        <w:t>Segment</w:t>
      </w:r>
    </w:p>
    <w:p>
      <w:pPr>
        <w:pStyle w:val="BodyText"/>
        <w:spacing w:line="321" w:lineRule="auto" w:before="208"/>
        <w:ind w:left="1220" w:right="674"/>
        <w:jc w:val="both"/>
      </w:pPr>
      <w:r>
        <w:rPr/>
        <w:t>The subject property is located along Intermediate Ring Road, which connects Indiranagar to Koramangala.</w:t>
      </w:r>
      <w:r>
        <w:rPr>
          <w:spacing w:val="-20"/>
        </w:rPr>
        <w:t> </w:t>
      </w:r>
      <w:r>
        <w:rPr/>
        <w:t>The</w:t>
      </w:r>
      <w:r>
        <w:rPr>
          <w:spacing w:val="-20"/>
        </w:rPr>
        <w:t> </w:t>
      </w:r>
      <w:r>
        <w:rPr/>
        <w:t>erstwhile</w:t>
      </w:r>
      <w:r>
        <w:rPr>
          <w:spacing w:val="-21"/>
        </w:rPr>
        <w:t> </w:t>
      </w:r>
      <w:r>
        <w:rPr/>
        <w:t>International</w:t>
      </w:r>
      <w:r>
        <w:rPr>
          <w:spacing w:val="-19"/>
        </w:rPr>
        <w:t> </w:t>
      </w:r>
      <w:r>
        <w:rPr/>
        <w:t>Airport</w:t>
      </w:r>
      <w:r>
        <w:rPr>
          <w:spacing w:val="-19"/>
        </w:rPr>
        <w:t> </w:t>
      </w:r>
      <w:r>
        <w:rPr/>
        <w:t>and</w:t>
      </w:r>
      <w:r>
        <w:rPr>
          <w:spacing w:val="-20"/>
        </w:rPr>
        <w:t> </w:t>
      </w:r>
      <w:r>
        <w:rPr/>
        <w:t>spill</w:t>
      </w:r>
      <w:r>
        <w:rPr>
          <w:spacing w:val="-20"/>
        </w:rPr>
        <w:t> </w:t>
      </w:r>
      <w:r>
        <w:rPr/>
        <w:t>over</w:t>
      </w:r>
      <w:r>
        <w:rPr>
          <w:spacing w:val="-19"/>
        </w:rPr>
        <w:t> </w:t>
      </w:r>
      <w:r>
        <w:rPr/>
        <w:t>of</w:t>
      </w:r>
      <w:r>
        <w:rPr>
          <w:spacing w:val="-19"/>
        </w:rPr>
        <w:t> </w:t>
      </w:r>
      <w:r>
        <w:rPr/>
        <w:t>activities</w:t>
      </w:r>
      <w:r>
        <w:rPr>
          <w:spacing w:val="-19"/>
        </w:rPr>
        <w:t> </w:t>
      </w:r>
      <w:r>
        <w:rPr/>
        <w:t>from</w:t>
      </w:r>
      <w:r>
        <w:rPr>
          <w:spacing w:val="-20"/>
        </w:rPr>
        <w:t> </w:t>
      </w:r>
      <w:r>
        <w:rPr/>
        <w:t>the</w:t>
      </w:r>
      <w:r>
        <w:rPr>
          <w:spacing w:val="-22"/>
        </w:rPr>
        <w:t> </w:t>
      </w:r>
      <w:r>
        <w:rPr/>
        <w:t>CBD</w:t>
      </w:r>
      <w:r>
        <w:rPr>
          <w:spacing w:val="-19"/>
        </w:rPr>
        <w:t> </w:t>
      </w:r>
      <w:r>
        <w:rPr/>
        <w:t>initiated</w:t>
      </w:r>
      <w:r>
        <w:rPr>
          <w:spacing w:val="-20"/>
        </w:rPr>
        <w:t> </w:t>
      </w:r>
      <w:r>
        <w:rPr/>
        <w:t>the commencement</w:t>
      </w:r>
      <w:r>
        <w:rPr>
          <w:spacing w:val="-34"/>
        </w:rPr>
        <w:t> </w:t>
      </w:r>
      <w:r>
        <w:rPr/>
        <w:t>of</w:t>
      </w:r>
      <w:r>
        <w:rPr>
          <w:spacing w:val="-32"/>
        </w:rPr>
        <w:t> </w:t>
      </w:r>
      <w:r>
        <w:rPr/>
        <w:t>commercial</w:t>
      </w:r>
      <w:r>
        <w:rPr>
          <w:spacing w:val="-33"/>
        </w:rPr>
        <w:t> </w:t>
      </w:r>
      <w:r>
        <w:rPr/>
        <w:t>activities</w:t>
      </w:r>
      <w:r>
        <w:rPr>
          <w:spacing w:val="-32"/>
        </w:rPr>
        <w:t> </w:t>
      </w:r>
      <w:r>
        <w:rPr/>
        <w:t>and</w:t>
      </w:r>
      <w:r>
        <w:rPr>
          <w:spacing w:val="-33"/>
        </w:rPr>
        <w:t> </w:t>
      </w:r>
      <w:r>
        <w:rPr/>
        <w:t>redevelopment</w:t>
      </w:r>
      <w:r>
        <w:rPr>
          <w:spacing w:val="-33"/>
        </w:rPr>
        <w:t> </w:t>
      </w:r>
      <w:r>
        <w:rPr/>
        <w:t>of</w:t>
      </w:r>
      <w:r>
        <w:rPr>
          <w:spacing w:val="-32"/>
        </w:rPr>
        <w:t> </w:t>
      </w:r>
      <w:r>
        <w:rPr/>
        <w:t>residential</w:t>
      </w:r>
      <w:r>
        <w:rPr>
          <w:spacing w:val="-33"/>
        </w:rPr>
        <w:t> </w:t>
      </w:r>
      <w:r>
        <w:rPr/>
        <w:t>houses</w:t>
      </w:r>
      <w:r>
        <w:rPr>
          <w:spacing w:val="-32"/>
        </w:rPr>
        <w:t> </w:t>
      </w:r>
      <w:r>
        <w:rPr/>
        <w:t>in</w:t>
      </w:r>
      <w:r>
        <w:rPr>
          <w:spacing w:val="-33"/>
        </w:rPr>
        <w:t> </w:t>
      </w:r>
      <w:r>
        <w:rPr/>
        <w:t>the</w:t>
      </w:r>
      <w:r>
        <w:rPr>
          <w:spacing w:val="-33"/>
        </w:rPr>
        <w:t> </w:t>
      </w:r>
      <w:r>
        <w:rPr/>
        <w:t>sub</w:t>
      </w:r>
      <w:r>
        <w:rPr>
          <w:spacing w:val="-32"/>
        </w:rPr>
        <w:t> </w:t>
      </w:r>
      <w:r>
        <w:rPr/>
        <w:t>market.</w:t>
      </w:r>
      <w:r>
        <w:rPr>
          <w:spacing w:val="-34"/>
        </w:rPr>
        <w:t> </w:t>
      </w:r>
      <w:r>
        <w:rPr/>
        <w:t>On account of good connectivity to CBD, the subject region started witnessing large scale commercial developments such as Embassy GolfLinks, Diamond District etc. in early 2000. Increased commercial activities</w:t>
      </w:r>
      <w:r>
        <w:rPr>
          <w:spacing w:val="-21"/>
        </w:rPr>
        <w:t> </w:t>
      </w:r>
      <w:r>
        <w:rPr/>
        <w:t>in</w:t>
      </w:r>
      <w:r>
        <w:rPr>
          <w:spacing w:val="-22"/>
        </w:rPr>
        <w:t> </w:t>
      </w:r>
      <w:r>
        <w:rPr/>
        <w:t>the</w:t>
      </w:r>
      <w:r>
        <w:rPr>
          <w:spacing w:val="-22"/>
        </w:rPr>
        <w:t> </w:t>
      </w:r>
      <w:r>
        <w:rPr/>
        <w:t>subject</w:t>
      </w:r>
      <w:r>
        <w:rPr>
          <w:spacing w:val="-21"/>
        </w:rPr>
        <w:t> </w:t>
      </w:r>
      <w:r>
        <w:rPr/>
        <w:t>sub</w:t>
      </w:r>
      <w:r>
        <w:rPr>
          <w:spacing w:val="-21"/>
        </w:rPr>
        <w:t> </w:t>
      </w:r>
      <w:r>
        <w:rPr/>
        <w:t>market</w:t>
      </w:r>
      <w:r>
        <w:rPr>
          <w:spacing w:val="-21"/>
        </w:rPr>
        <w:t> </w:t>
      </w:r>
      <w:r>
        <w:rPr/>
        <w:t>have</w:t>
      </w:r>
      <w:r>
        <w:rPr>
          <w:spacing w:val="-21"/>
        </w:rPr>
        <w:t> </w:t>
      </w:r>
      <w:r>
        <w:rPr/>
        <w:t>led</w:t>
      </w:r>
      <w:r>
        <w:rPr>
          <w:spacing w:val="-21"/>
        </w:rPr>
        <w:t> </w:t>
      </w:r>
      <w:r>
        <w:rPr/>
        <w:t>to</w:t>
      </w:r>
      <w:r>
        <w:rPr>
          <w:spacing w:val="-22"/>
        </w:rPr>
        <w:t> </w:t>
      </w:r>
      <w:r>
        <w:rPr/>
        <w:t>the</w:t>
      </w:r>
      <w:r>
        <w:rPr>
          <w:spacing w:val="-22"/>
        </w:rPr>
        <w:t> </w:t>
      </w:r>
      <w:r>
        <w:rPr/>
        <w:t>transformation</w:t>
      </w:r>
      <w:r>
        <w:rPr>
          <w:spacing w:val="-21"/>
        </w:rPr>
        <w:t> </w:t>
      </w:r>
      <w:r>
        <w:rPr/>
        <w:t>of</w:t>
      </w:r>
      <w:r>
        <w:rPr>
          <w:spacing w:val="-21"/>
        </w:rPr>
        <w:t> </w:t>
      </w:r>
      <w:r>
        <w:rPr/>
        <w:t>the</w:t>
      </w:r>
      <w:r>
        <w:rPr>
          <w:spacing w:val="-22"/>
        </w:rPr>
        <w:t> </w:t>
      </w:r>
      <w:r>
        <w:rPr/>
        <w:t>residential</w:t>
      </w:r>
      <w:r>
        <w:rPr>
          <w:spacing w:val="-21"/>
        </w:rPr>
        <w:t> </w:t>
      </w:r>
      <w:r>
        <w:rPr/>
        <w:t>profile</w:t>
      </w:r>
      <w:r>
        <w:rPr>
          <w:spacing w:val="-22"/>
        </w:rPr>
        <w:t> </w:t>
      </w:r>
      <w:r>
        <w:rPr/>
        <w:t>around</w:t>
      </w:r>
      <w:r>
        <w:rPr>
          <w:spacing w:val="-22"/>
        </w:rPr>
        <w:t> </w:t>
      </w:r>
      <w:r>
        <w:rPr/>
        <w:t>the subject</w:t>
      </w:r>
      <w:r>
        <w:rPr>
          <w:spacing w:val="-26"/>
        </w:rPr>
        <w:t> </w:t>
      </w:r>
      <w:r>
        <w:rPr/>
        <w:t>sub</w:t>
      </w:r>
      <w:r>
        <w:rPr>
          <w:spacing w:val="-25"/>
        </w:rPr>
        <w:t> </w:t>
      </w:r>
      <w:r>
        <w:rPr/>
        <w:t>market</w:t>
      </w:r>
      <w:r>
        <w:rPr>
          <w:spacing w:val="-25"/>
        </w:rPr>
        <w:t> </w:t>
      </w:r>
      <w:r>
        <w:rPr/>
        <w:t>to</w:t>
      </w:r>
      <w:r>
        <w:rPr>
          <w:spacing w:val="-26"/>
        </w:rPr>
        <w:t> </w:t>
      </w:r>
      <w:r>
        <w:rPr/>
        <w:t>a</w:t>
      </w:r>
      <w:r>
        <w:rPr>
          <w:spacing w:val="-26"/>
        </w:rPr>
        <w:t> </w:t>
      </w:r>
      <w:r>
        <w:rPr/>
        <w:t>preferred</w:t>
      </w:r>
      <w:r>
        <w:rPr>
          <w:spacing w:val="-24"/>
        </w:rPr>
        <w:t> </w:t>
      </w:r>
      <w:r>
        <w:rPr/>
        <w:t>location</w:t>
      </w:r>
      <w:r>
        <w:rPr>
          <w:spacing w:val="-25"/>
        </w:rPr>
        <w:t> </w:t>
      </w:r>
      <w:r>
        <w:rPr/>
        <w:t>for</w:t>
      </w:r>
      <w:r>
        <w:rPr>
          <w:spacing w:val="-27"/>
        </w:rPr>
        <w:t> </w:t>
      </w:r>
      <w:r>
        <w:rPr/>
        <w:t>the</w:t>
      </w:r>
      <w:r>
        <w:rPr>
          <w:spacing w:val="-25"/>
        </w:rPr>
        <w:t> </w:t>
      </w:r>
      <w:r>
        <w:rPr/>
        <w:t>affluent</w:t>
      </w:r>
      <w:r>
        <w:rPr>
          <w:spacing w:val="-24"/>
        </w:rPr>
        <w:t> </w:t>
      </w:r>
      <w:r>
        <w:rPr/>
        <w:t>and</w:t>
      </w:r>
      <w:r>
        <w:rPr>
          <w:spacing w:val="-26"/>
        </w:rPr>
        <w:t> </w:t>
      </w:r>
      <w:r>
        <w:rPr/>
        <w:t>further</w:t>
      </w:r>
      <w:r>
        <w:rPr>
          <w:spacing w:val="-25"/>
        </w:rPr>
        <w:t> </w:t>
      </w:r>
      <w:r>
        <w:rPr/>
        <w:t>led</w:t>
      </w:r>
      <w:r>
        <w:rPr>
          <w:spacing w:val="-25"/>
        </w:rPr>
        <w:t> </w:t>
      </w:r>
      <w:r>
        <w:rPr/>
        <w:t>to</w:t>
      </w:r>
      <w:r>
        <w:rPr>
          <w:spacing w:val="-25"/>
        </w:rPr>
        <w:t> </w:t>
      </w:r>
      <w:r>
        <w:rPr/>
        <w:t>commensurate</w:t>
      </w:r>
      <w:r>
        <w:rPr>
          <w:spacing w:val="-25"/>
        </w:rPr>
        <w:t> </w:t>
      </w:r>
      <w:r>
        <w:rPr/>
        <w:t>increase</w:t>
      </w:r>
      <w:r>
        <w:rPr>
          <w:spacing w:val="-25"/>
        </w:rPr>
        <w:t> </w:t>
      </w:r>
      <w:r>
        <w:rPr/>
        <w:t>in capital</w:t>
      </w:r>
      <w:r>
        <w:rPr>
          <w:spacing w:val="-11"/>
        </w:rPr>
        <w:t> </w:t>
      </w:r>
      <w:r>
        <w:rPr/>
        <w:t>values.</w:t>
      </w:r>
      <w:r>
        <w:rPr>
          <w:spacing w:val="-10"/>
        </w:rPr>
        <w:t> </w:t>
      </w:r>
      <w:r>
        <w:rPr/>
        <w:t>The</w:t>
      </w:r>
      <w:r>
        <w:rPr>
          <w:spacing w:val="-13"/>
        </w:rPr>
        <w:t> </w:t>
      </w:r>
      <w:r>
        <w:rPr/>
        <w:t>subject</w:t>
      </w:r>
      <w:r>
        <w:rPr>
          <w:spacing w:val="-8"/>
        </w:rPr>
        <w:t> </w:t>
      </w:r>
      <w:r>
        <w:rPr/>
        <w:t>sub</w:t>
      </w:r>
      <w:r>
        <w:rPr>
          <w:spacing w:val="-11"/>
        </w:rPr>
        <w:t> </w:t>
      </w:r>
      <w:r>
        <w:rPr/>
        <w:t>market</w:t>
      </w:r>
      <w:r>
        <w:rPr>
          <w:spacing w:val="-10"/>
        </w:rPr>
        <w:t> </w:t>
      </w:r>
      <w:r>
        <w:rPr/>
        <w:t>has</w:t>
      </w:r>
      <w:r>
        <w:rPr>
          <w:spacing w:val="-11"/>
        </w:rPr>
        <w:t> </w:t>
      </w:r>
      <w:r>
        <w:rPr/>
        <w:t>also</w:t>
      </w:r>
      <w:r>
        <w:rPr>
          <w:spacing w:val="-11"/>
        </w:rPr>
        <w:t> </w:t>
      </w:r>
      <w:r>
        <w:rPr/>
        <w:t>emerged</w:t>
      </w:r>
      <w:r>
        <w:rPr>
          <w:spacing w:val="-9"/>
        </w:rPr>
        <w:t> </w:t>
      </w:r>
      <w:r>
        <w:rPr/>
        <w:t>as</w:t>
      </w:r>
      <w:r>
        <w:rPr>
          <w:spacing w:val="-10"/>
        </w:rPr>
        <w:t> </w:t>
      </w:r>
      <w:r>
        <w:rPr/>
        <w:t>a</w:t>
      </w:r>
      <w:r>
        <w:rPr>
          <w:spacing w:val="-11"/>
        </w:rPr>
        <w:t> </w:t>
      </w:r>
      <w:r>
        <w:rPr/>
        <w:t>retail</w:t>
      </w:r>
      <w:r>
        <w:rPr>
          <w:spacing w:val="-11"/>
        </w:rPr>
        <w:t> </w:t>
      </w:r>
      <w:r>
        <w:rPr/>
        <w:t>destination</w:t>
      </w:r>
      <w:r>
        <w:rPr>
          <w:spacing w:val="-10"/>
        </w:rPr>
        <w:t> </w:t>
      </w:r>
      <w:r>
        <w:rPr/>
        <w:t>and</w:t>
      </w:r>
      <w:r>
        <w:rPr>
          <w:spacing w:val="-10"/>
        </w:rPr>
        <w:t> </w:t>
      </w:r>
      <w:r>
        <w:rPr/>
        <w:t>is</w:t>
      </w:r>
      <w:r>
        <w:rPr>
          <w:spacing w:val="-12"/>
        </w:rPr>
        <w:t> </w:t>
      </w:r>
      <w:r>
        <w:rPr/>
        <w:t>primarily</w:t>
      </w:r>
      <w:r>
        <w:rPr>
          <w:spacing w:val="-7"/>
        </w:rPr>
        <w:t> </w:t>
      </w:r>
      <w:r>
        <w:rPr/>
        <w:t>in</w:t>
      </w:r>
      <w:r>
        <w:rPr>
          <w:spacing w:val="-13"/>
        </w:rPr>
        <w:t> </w:t>
      </w:r>
      <w:r>
        <w:rPr/>
        <w:t>the form</w:t>
      </w:r>
      <w:r>
        <w:rPr>
          <w:spacing w:val="-19"/>
        </w:rPr>
        <w:t> </w:t>
      </w:r>
      <w:r>
        <w:rPr/>
        <w:t>of</w:t>
      </w:r>
      <w:r>
        <w:rPr>
          <w:spacing w:val="-19"/>
        </w:rPr>
        <w:t> </w:t>
      </w:r>
      <w:r>
        <w:rPr/>
        <w:t>high-street</w:t>
      </w:r>
      <w:r>
        <w:rPr>
          <w:spacing w:val="-20"/>
        </w:rPr>
        <w:t> </w:t>
      </w:r>
      <w:r>
        <w:rPr/>
        <w:t>formats</w:t>
      </w:r>
      <w:r>
        <w:rPr>
          <w:spacing w:val="-18"/>
        </w:rPr>
        <w:t> </w:t>
      </w:r>
      <w:r>
        <w:rPr/>
        <w:t>housing</w:t>
      </w:r>
      <w:r>
        <w:rPr>
          <w:spacing w:val="-18"/>
        </w:rPr>
        <w:t> </w:t>
      </w:r>
      <w:r>
        <w:rPr/>
        <w:t>standalone</w:t>
      </w:r>
      <w:r>
        <w:rPr>
          <w:spacing w:val="-20"/>
        </w:rPr>
        <w:t> </w:t>
      </w:r>
      <w:r>
        <w:rPr/>
        <w:t>units,</w:t>
      </w:r>
      <w:r>
        <w:rPr>
          <w:spacing w:val="-19"/>
        </w:rPr>
        <w:t> </w:t>
      </w:r>
      <w:r>
        <w:rPr/>
        <w:t>typically</w:t>
      </w:r>
      <w:r>
        <w:rPr>
          <w:spacing w:val="-19"/>
        </w:rPr>
        <w:t> </w:t>
      </w:r>
      <w:r>
        <w:rPr/>
        <w:t>witnessed</w:t>
      </w:r>
      <w:r>
        <w:rPr>
          <w:spacing w:val="-18"/>
        </w:rPr>
        <w:t> </w:t>
      </w:r>
      <w:r>
        <w:rPr/>
        <w:t>along</w:t>
      </w:r>
      <w:r>
        <w:rPr>
          <w:spacing w:val="-19"/>
        </w:rPr>
        <w:t> </w:t>
      </w:r>
      <w:r>
        <w:rPr/>
        <w:t>the</w:t>
      </w:r>
      <w:r>
        <w:rPr>
          <w:spacing w:val="-19"/>
        </w:rPr>
        <w:t> </w:t>
      </w:r>
      <w:r>
        <w:rPr/>
        <w:t>100</w:t>
      </w:r>
      <w:r>
        <w:rPr>
          <w:spacing w:val="-19"/>
        </w:rPr>
        <w:t> </w:t>
      </w:r>
      <w:r>
        <w:rPr/>
        <w:t>feet</w:t>
      </w:r>
      <w:r>
        <w:rPr>
          <w:spacing w:val="-19"/>
        </w:rPr>
        <w:t> </w:t>
      </w:r>
      <w:r>
        <w:rPr/>
        <w:t>road.</w:t>
      </w:r>
    </w:p>
    <w:p>
      <w:pPr>
        <w:pStyle w:val="BodyText"/>
        <w:spacing w:before="2"/>
        <w:rPr>
          <w:sz w:val="21"/>
        </w:rPr>
      </w:pPr>
    </w:p>
    <w:p>
      <w:pPr>
        <w:pStyle w:val="BodyText"/>
        <w:spacing w:line="321" w:lineRule="auto" w:before="1"/>
        <w:ind w:left="1220" w:right="674"/>
        <w:jc w:val="both"/>
      </w:pPr>
      <w:r>
        <w:rPr/>
        <w:t>In</w:t>
      </w:r>
      <w:r>
        <w:rPr>
          <w:spacing w:val="-40"/>
        </w:rPr>
        <w:t> </w:t>
      </w:r>
      <w:r>
        <w:rPr/>
        <w:t>addition,</w:t>
      </w:r>
      <w:r>
        <w:rPr>
          <w:spacing w:val="-40"/>
        </w:rPr>
        <w:t> </w:t>
      </w:r>
      <w:r>
        <w:rPr/>
        <w:t>the</w:t>
      </w:r>
      <w:r>
        <w:rPr>
          <w:spacing w:val="-40"/>
        </w:rPr>
        <w:t> </w:t>
      </w:r>
      <w:r>
        <w:rPr/>
        <w:t>subject</w:t>
      </w:r>
      <w:r>
        <w:rPr>
          <w:spacing w:val="-39"/>
        </w:rPr>
        <w:t> </w:t>
      </w:r>
      <w:r>
        <w:rPr/>
        <w:t>sub</w:t>
      </w:r>
      <w:r>
        <w:rPr>
          <w:spacing w:val="-39"/>
        </w:rPr>
        <w:t> </w:t>
      </w:r>
      <w:r>
        <w:rPr/>
        <w:t>market</w:t>
      </w:r>
      <w:r>
        <w:rPr>
          <w:spacing w:val="-39"/>
        </w:rPr>
        <w:t> </w:t>
      </w:r>
      <w:r>
        <w:rPr/>
        <w:t>is</w:t>
      </w:r>
      <w:r>
        <w:rPr>
          <w:spacing w:val="-40"/>
        </w:rPr>
        <w:t> </w:t>
      </w:r>
      <w:r>
        <w:rPr/>
        <w:t>well</w:t>
      </w:r>
      <w:r>
        <w:rPr>
          <w:spacing w:val="-41"/>
        </w:rPr>
        <w:t> </w:t>
      </w:r>
      <w:r>
        <w:rPr/>
        <w:t>connected</w:t>
      </w:r>
      <w:r>
        <w:rPr>
          <w:spacing w:val="-39"/>
        </w:rPr>
        <w:t> </w:t>
      </w:r>
      <w:r>
        <w:rPr/>
        <w:t>by</w:t>
      </w:r>
      <w:r>
        <w:rPr>
          <w:spacing w:val="-39"/>
        </w:rPr>
        <w:t> </w:t>
      </w:r>
      <w:r>
        <w:rPr/>
        <w:t>various</w:t>
      </w:r>
      <w:r>
        <w:rPr>
          <w:spacing w:val="-40"/>
        </w:rPr>
        <w:t> </w:t>
      </w:r>
      <w:r>
        <w:rPr/>
        <w:t>prominent</w:t>
      </w:r>
      <w:r>
        <w:rPr>
          <w:spacing w:val="-40"/>
        </w:rPr>
        <w:t> </w:t>
      </w:r>
      <w:r>
        <w:rPr/>
        <w:t>roads</w:t>
      </w:r>
      <w:r>
        <w:rPr>
          <w:spacing w:val="-40"/>
        </w:rPr>
        <w:t> </w:t>
      </w:r>
      <w:r>
        <w:rPr/>
        <w:t>such</w:t>
      </w:r>
      <w:r>
        <w:rPr>
          <w:spacing w:val="-40"/>
        </w:rPr>
        <w:t> </w:t>
      </w:r>
      <w:r>
        <w:rPr/>
        <w:t>as</w:t>
      </w:r>
      <w:r>
        <w:rPr>
          <w:spacing w:val="-40"/>
        </w:rPr>
        <w:t> </w:t>
      </w:r>
      <w:r>
        <w:rPr/>
        <w:t>the</w:t>
      </w:r>
      <w:r>
        <w:rPr>
          <w:spacing w:val="-40"/>
        </w:rPr>
        <w:t> </w:t>
      </w:r>
      <w:r>
        <w:rPr/>
        <w:t>Intermediate Ring Road, Old Airport Road and the Old Madras road which has made the subject sub market easily accessible</w:t>
      </w:r>
      <w:r>
        <w:rPr>
          <w:spacing w:val="-37"/>
        </w:rPr>
        <w:t> </w:t>
      </w:r>
      <w:r>
        <w:rPr/>
        <w:t>to</w:t>
      </w:r>
      <w:r>
        <w:rPr>
          <w:spacing w:val="-37"/>
        </w:rPr>
        <w:t> </w:t>
      </w:r>
      <w:r>
        <w:rPr/>
        <w:t>the</w:t>
      </w:r>
      <w:r>
        <w:rPr>
          <w:spacing w:val="-37"/>
        </w:rPr>
        <w:t> </w:t>
      </w:r>
      <w:r>
        <w:rPr/>
        <w:t>city</w:t>
      </w:r>
      <w:r>
        <w:rPr>
          <w:spacing w:val="-36"/>
        </w:rPr>
        <w:t> </w:t>
      </w:r>
      <w:r>
        <w:rPr/>
        <w:t>centre,</w:t>
      </w:r>
      <w:r>
        <w:rPr>
          <w:spacing w:val="-36"/>
        </w:rPr>
        <w:t> </w:t>
      </w:r>
      <w:r>
        <w:rPr/>
        <w:t>established</w:t>
      </w:r>
      <w:r>
        <w:rPr>
          <w:spacing w:val="-36"/>
        </w:rPr>
        <w:t> </w:t>
      </w:r>
      <w:r>
        <w:rPr/>
        <w:t>residential</w:t>
      </w:r>
      <w:r>
        <w:rPr>
          <w:spacing w:val="-38"/>
        </w:rPr>
        <w:t> </w:t>
      </w:r>
      <w:r>
        <w:rPr/>
        <w:t>locations</w:t>
      </w:r>
      <w:r>
        <w:rPr>
          <w:spacing w:val="-36"/>
        </w:rPr>
        <w:t> </w:t>
      </w:r>
      <w:r>
        <w:rPr/>
        <w:t>of</w:t>
      </w:r>
      <w:r>
        <w:rPr>
          <w:spacing w:val="-35"/>
        </w:rPr>
        <w:t> </w:t>
      </w:r>
      <w:r>
        <w:rPr/>
        <w:t>Koramangala,</w:t>
      </w:r>
      <w:r>
        <w:rPr>
          <w:spacing w:val="-37"/>
        </w:rPr>
        <w:t> </w:t>
      </w:r>
      <w:r>
        <w:rPr/>
        <w:t>Old</w:t>
      </w:r>
      <w:r>
        <w:rPr>
          <w:spacing w:val="-36"/>
        </w:rPr>
        <w:t> </w:t>
      </w:r>
      <w:r>
        <w:rPr/>
        <w:t>Airport</w:t>
      </w:r>
      <w:r>
        <w:rPr>
          <w:spacing w:val="-36"/>
        </w:rPr>
        <w:t> </w:t>
      </w:r>
      <w:r>
        <w:rPr/>
        <w:t>Road</w:t>
      </w:r>
      <w:r>
        <w:rPr>
          <w:spacing w:val="-35"/>
        </w:rPr>
        <w:t> </w:t>
      </w:r>
      <w:r>
        <w:rPr/>
        <w:t>etc.</w:t>
      </w:r>
      <w:r>
        <w:rPr>
          <w:spacing w:val="-37"/>
        </w:rPr>
        <w:t> </w:t>
      </w:r>
      <w:r>
        <w:rPr/>
        <w:t>and</w:t>
      </w:r>
    </w:p>
    <w:p>
      <w:pPr>
        <w:spacing w:after="0" w:line="321" w:lineRule="auto"/>
        <w:jc w:val="both"/>
        <w:sectPr>
          <w:pgSz w:w="11910" w:h="16840"/>
          <w:pgMar w:header="720" w:footer="862" w:top="1660" w:bottom="1060" w:left="40" w:right="40"/>
        </w:sectPr>
      </w:pPr>
    </w:p>
    <w:p>
      <w:pPr>
        <w:pStyle w:val="BodyText"/>
        <w:spacing w:before="7"/>
        <w:rPr>
          <w:sz w:val="9"/>
        </w:rPr>
      </w:pPr>
    </w:p>
    <w:p>
      <w:pPr>
        <w:pStyle w:val="BodyText"/>
        <w:spacing w:line="321" w:lineRule="auto" w:before="106"/>
        <w:ind w:left="1220" w:right="674"/>
        <w:jc w:val="both"/>
      </w:pPr>
      <w:r>
        <w:rPr/>
        <w:t>commercial office destinations such as Whitefield, Old Madras Road etc. The Metro, which passes through</w:t>
      </w:r>
      <w:r>
        <w:rPr>
          <w:spacing w:val="-25"/>
        </w:rPr>
        <w:t> </w:t>
      </w:r>
      <w:r>
        <w:rPr/>
        <w:t>Indiranagar</w:t>
      </w:r>
      <w:r>
        <w:rPr>
          <w:spacing w:val="-24"/>
        </w:rPr>
        <w:t> </w:t>
      </w:r>
      <w:r>
        <w:rPr>
          <w:spacing w:val="-2"/>
        </w:rPr>
        <w:t>and</w:t>
      </w:r>
      <w:r>
        <w:rPr>
          <w:spacing w:val="-26"/>
        </w:rPr>
        <w:t> </w:t>
      </w:r>
      <w:r>
        <w:rPr/>
        <w:t>Swami</w:t>
      </w:r>
      <w:r>
        <w:rPr>
          <w:spacing w:val="-24"/>
        </w:rPr>
        <w:t> </w:t>
      </w:r>
      <w:r>
        <w:rPr/>
        <w:t>Vivekananda</w:t>
      </w:r>
      <w:r>
        <w:rPr>
          <w:spacing w:val="-25"/>
        </w:rPr>
        <w:t> </w:t>
      </w:r>
      <w:r>
        <w:rPr/>
        <w:t>road,</w:t>
      </w:r>
      <w:r>
        <w:rPr>
          <w:spacing w:val="-24"/>
        </w:rPr>
        <w:t> </w:t>
      </w:r>
      <w:r>
        <w:rPr/>
        <w:t>has</w:t>
      </w:r>
      <w:r>
        <w:rPr>
          <w:spacing w:val="-25"/>
        </w:rPr>
        <w:t> </w:t>
      </w:r>
      <w:r>
        <w:rPr/>
        <w:t>further</w:t>
      </w:r>
      <w:r>
        <w:rPr>
          <w:spacing w:val="-24"/>
        </w:rPr>
        <w:t> </w:t>
      </w:r>
      <w:r>
        <w:rPr/>
        <w:t>increased</w:t>
      </w:r>
      <w:r>
        <w:rPr>
          <w:spacing w:val="-25"/>
        </w:rPr>
        <w:t> </w:t>
      </w:r>
      <w:r>
        <w:rPr/>
        <w:t>the</w:t>
      </w:r>
      <w:r>
        <w:rPr>
          <w:spacing w:val="-25"/>
        </w:rPr>
        <w:t> </w:t>
      </w:r>
      <w:r>
        <w:rPr/>
        <w:t>connectivity</w:t>
      </w:r>
      <w:r>
        <w:rPr>
          <w:spacing w:val="-23"/>
        </w:rPr>
        <w:t> </w:t>
      </w:r>
      <w:r>
        <w:rPr/>
        <w:t>of</w:t>
      </w:r>
      <w:r>
        <w:rPr>
          <w:spacing w:val="-24"/>
        </w:rPr>
        <w:t> </w:t>
      </w:r>
      <w:r>
        <w:rPr/>
        <w:t>the</w:t>
      </w:r>
      <w:r>
        <w:rPr>
          <w:spacing w:val="-24"/>
        </w:rPr>
        <w:t> </w:t>
      </w:r>
      <w:r>
        <w:rPr/>
        <w:t>region.</w:t>
      </w:r>
    </w:p>
    <w:p>
      <w:pPr>
        <w:pStyle w:val="BodyText"/>
        <w:spacing w:before="10"/>
        <w:rPr>
          <w:sz w:val="20"/>
        </w:rPr>
      </w:pPr>
    </w:p>
    <w:p>
      <w:pPr>
        <w:pStyle w:val="BodyText"/>
        <w:spacing w:line="321" w:lineRule="auto"/>
        <w:ind w:left="1299" w:right="674"/>
        <w:jc w:val="both"/>
      </w:pPr>
      <w:r>
        <w:rPr/>
        <w:t>This</w:t>
      </w:r>
      <w:r>
        <w:rPr>
          <w:spacing w:val="-36"/>
        </w:rPr>
        <w:t> </w:t>
      </w:r>
      <w:r>
        <w:rPr/>
        <w:t>location</w:t>
      </w:r>
      <w:r>
        <w:rPr>
          <w:spacing w:val="-36"/>
        </w:rPr>
        <w:t> </w:t>
      </w:r>
      <w:r>
        <w:rPr/>
        <w:t>is</w:t>
      </w:r>
      <w:r>
        <w:rPr>
          <w:spacing w:val="-36"/>
        </w:rPr>
        <w:t> </w:t>
      </w:r>
      <w:r>
        <w:rPr/>
        <w:t>also</w:t>
      </w:r>
      <w:r>
        <w:rPr>
          <w:spacing w:val="-37"/>
        </w:rPr>
        <w:t> </w:t>
      </w:r>
      <w:r>
        <w:rPr/>
        <w:t>home</w:t>
      </w:r>
      <w:r>
        <w:rPr>
          <w:spacing w:val="-37"/>
        </w:rPr>
        <w:t> </w:t>
      </w:r>
      <w:r>
        <w:rPr/>
        <w:t>to</w:t>
      </w:r>
      <w:r>
        <w:rPr>
          <w:spacing w:val="-36"/>
        </w:rPr>
        <w:t> </w:t>
      </w:r>
      <w:r>
        <w:rPr/>
        <w:t>several</w:t>
      </w:r>
      <w:r>
        <w:rPr>
          <w:spacing w:val="-37"/>
        </w:rPr>
        <w:t> </w:t>
      </w:r>
      <w:r>
        <w:rPr/>
        <w:t>educational</w:t>
      </w:r>
      <w:r>
        <w:rPr>
          <w:spacing w:val="-36"/>
        </w:rPr>
        <w:t> </w:t>
      </w:r>
      <w:r>
        <w:rPr/>
        <w:t>institutions</w:t>
      </w:r>
      <w:r>
        <w:rPr>
          <w:spacing w:val="-37"/>
        </w:rPr>
        <w:t> </w:t>
      </w:r>
      <w:r>
        <w:rPr/>
        <w:t>and</w:t>
      </w:r>
      <w:r>
        <w:rPr>
          <w:spacing w:val="-36"/>
        </w:rPr>
        <w:t> </w:t>
      </w:r>
      <w:r>
        <w:rPr/>
        <w:t>hospitals,</w:t>
      </w:r>
      <w:r>
        <w:rPr>
          <w:spacing w:val="-37"/>
        </w:rPr>
        <w:t> </w:t>
      </w:r>
      <w:r>
        <w:rPr/>
        <w:t>which</w:t>
      </w:r>
      <w:r>
        <w:rPr>
          <w:spacing w:val="-36"/>
        </w:rPr>
        <w:t> </w:t>
      </w:r>
      <w:r>
        <w:rPr/>
        <w:t>emerged,</w:t>
      </w:r>
      <w:r>
        <w:rPr>
          <w:spacing w:val="-37"/>
        </w:rPr>
        <w:t> </w:t>
      </w:r>
      <w:r>
        <w:rPr/>
        <w:t>owing</w:t>
      </w:r>
      <w:r>
        <w:rPr>
          <w:spacing w:val="-35"/>
        </w:rPr>
        <w:t> </w:t>
      </w:r>
      <w:r>
        <w:rPr/>
        <w:t>to</w:t>
      </w:r>
      <w:r>
        <w:rPr>
          <w:spacing w:val="-38"/>
        </w:rPr>
        <w:t> </w:t>
      </w:r>
      <w:r>
        <w:rPr/>
        <w:t>the large</w:t>
      </w:r>
      <w:r>
        <w:rPr>
          <w:spacing w:val="-39"/>
        </w:rPr>
        <w:t> </w:t>
      </w:r>
      <w:r>
        <w:rPr/>
        <w:t>residential</w:t>
      </w:r>
      <w:r>
        <w:rPr>
          <w:spacing w:val="-38"/>
        </w:rPr>
        <w:t> </w:t>
      </w:r>
      <w:r>
        <w:rPr/>
        <w:t>catchment.</w:t>
      </w:r>
      <w:r>
        <w:rPr>
          <w:spacing w:val="-38"/>
        </w:rPr>
        <w:t> </w:t>
      </w:r>
      <w:r>
        <w:rPr/>
        <w:t>Some</w:t>
      </w:r>
      <w:r>
        <w:rPr>
          <w:spacing w:val="-39"/>
        </w:rPr>
        <w:t> </w:t>
      </w:r>
      <w:r>
        <w:rPr/>
        <w:t>of</w:t>
      </w:r>
      <w:r>
        <w:rPr>
          <w:spacing w:val="-37"/>
        </w:rPr>
        <w:t> </w:t>
      </w:r>
      <w:r>
        <w:rPr/>
        <w:t>the</w:t>
      </w:r>
      <w:r>
        <w:rPr>
          <w:spacing w:val="-39"/>
        </w:rPr>
        <w:t> </w:t>
      </w:r>
      <w:r>
        <w:rPr/>
        <w:t>prominent</w:t>
      </w:r>
      <w:r>
        <w:rPr>
          <w:spacing w:val="-38"/>
        </w:rPr>
        <w:t> </w:t>
      </w:r>
      <w:r>
        <w:rPr/>
        <w:t>educational</w:t>
      </w:r>
      <w:r>
        <w:rPr>
          <w:spacing w:val="-38"/>
        </w:rPr>
        <w:t> </w:t>
      </w:r>
      <w:r>
        <w:rPr/>
        <w:t>institutes</w:t>
      </w:r>
      <w:r>
        <w:rPr>
          <w:spacing w:val="-38"/>
        </w:rPr>
        <w:t> </w:t>
      </w:r>
      <w:r>
        <w:rPr/>
        <w:t>include</w:t>
      </w:r>
      <w:r>
        <w:rPr>
          <w:spacing w:val="-38"/>
        </w:rPr>
        <w:t> </w:t>
      </w:r>
      <w:r>
        <w:rPr/>
        <w:t>Cauvery</w:t>
      </w:r>
      <w:r>
        <w:rPr>
          <w:spacing w:val="-37"/>
        </w:rPr>
        <w:t> </w:t>
      </w:r>
      <w:r>
        <w:rPr/>
        <w:t>High</w:t>
      </w:r>
      <w:r>
        <w:rPr>
          <w:spacing w:val="-39"/>
        </w:rPr>
        <w:t> </w:t>
      </w:r>
      <w:r>
        <w:rPr/>
        <w:t>School, Frank</w:t>
      </w:r>
      <w:r>
        <w:rPr>
          <w:spacing w:val="-27"/>
        </w:rPr>
        <w:t> </w:t>
      </w:r>
      <w:r>
        <w:rPr/>
        <w:t>Anthony</w:t>
      </w:r>
      <w:r>
        <w:rPr>
          <w:spacing w:val="-27"/>
        </w:rPr>
        <w:t> </w:t>
      </w:r>
      <w:r>
        <w:rPr/>
        <w:t>Public</w:t>
      </w:r>
      <w:r>
        <w:rPr>
          <w:spacing w:val="-25"/>
        </w:rPr>
        <w:t> </w:t>
      </w:r>
      <w:r>
        <w:rPr/>
        <w:t>School</w:t>
      </w:r>
      <w:r>
        <w:rPr>
          <w:spacing w:val="-26"/>
        </w:rPr>
        <w:t> </w:t>
      </w:r>
      <w:r>
        <w:rPr/>
        <w:t>and</w:t>
      </w:r>
      <w:r>
        <w:rPr>
          <w:spacing w:val="-25"/>
        </w:rPr>
        <w:t> </w:t>
      </w:r>
      <w:r>
        <w:rPr/>
        <w:t>prominent</w:t>
      </w:r>
      <w:r>
        <w:rPr>
          <w:spacing w:val="-25"/>
        </w:rPr>
        <w:t> </w:t>
      </w:r>
      <w:r>
        <w:rPr/>
        <w:t>hospitals</w:t>
      </w:r>
      <w:r>
        <w:rPr>
          <w:spacing w:val="-25"/>
        </w:rPr>
        <w:t> </w:t>
      </w:r>
      <w:r>
        <w:rPr/>
        <w:t>include</w:t>
      </w:r>
      <w:r>
        <w:rPr>
          <w:spacing w:val="-23"/>
        </w:rPr>
        <w:t> </w:t>
      </w:r>
      <w:r>
        <w:rPr/>
        <w:t>Manipal</w:t>
      </w:r>
      <w:r>
        <w:rPr>
          <w:spacing w:val="-25"/>
        </w:rPr>
        <w:t> </w:t>
      </w:r>
      <w:r>
        <w:rPr/>
        <w:t>Hospital,</w:t>
      </w:r>
      <w:r>
        <w:rPr>
          <w:spacing w:val="-25"/>
        </w:rPr>
        <w:t> </w:t>
      </w:r>
      <w:r>
        <w:rPr/>
        <w:t>ESI</w:t>
      </w:r>
      <w:r>
        <w:rPr>
          <w:spacing w:val="-25"/>
        </w:rPr>
        <w:t> </w:t>
      </w:r>
      <w:r>
        <w:rPr/>
        <w:t>Hospital,</w:t>
      </w:r>
      <w:r>
        <w:rPr>
          <w:spacing w:val="-26"/>
        </w:rPr>
        <w:t> </w:t>
      </w:r>
      <w:r>
        <w:rPr/>
        <w:t>Chinmaya Mission Hospital, Sai Baba Hospital, etc. In addition, the sub market has presence of recreational developments</w:t>
      </w:r>
      <w:r>
        <w:rPr>
          <w:spacing w:val="-41"/>
        </w:rPr>
        <w:t> </w:t>
      </w:r>
      <w:r>
        <w:rPr/>
        <w:t>such</w:t>
      </w:r>
      <w:r>
        <w:rPr>
          <w:spacing w:val="-40"/>
        </w:rPr>
        <w:t> </w:t>
      </w:r>
      <w:r>
        <w:rPr/>
        <w:t>as</w:t>
      </w:r>
      <w:r>
        <w:rPr>
          <w:spacing w:val="-41"/>
        </w:rPr>
        <w:t> </w:t>
      </w:r>
      <w:r>
        <w:rPr/>
        <w:t>Domlur</w:t>
      </w:r>
      <w:r>
        <w:rPr>
          <w:spacing w:val="-40"/>
        </w:rPr>
        <w:t> </w:t>
      </w:r>
      <w:r>
        <w:rPr/>
        <w:t>club,</w:t>
      </w:r>
      <w:r>
        <w:rPr>
          <w:spacing w:val="-40"/>
        </w:rPr>
        <w:t> </w:t>
      </w:r>
      <w:r>
        <w:rPr/>
        <w:t>Indiranagar</w:t>
      </w:r>
      <w:r>
        <w:rPr>
          <w:spacing w:val="-41"/>
        </w:rPr>
        <w:t> </w:t>
      </w:r>
      <w:r>
        <w:rPr/>
        <w:t>club,</w:t>
      </w:r>
      <w:r>
        <w:rPr>
          <w:spacing w:val="-40"/>
        </w:rPr>
        <w:t> </w:t>
      </w:r>
      <w:r>
        <w:rPr/>
        <w:t>etc.</w:t>
      </w:r>
      <w:r>
        <w:rPr>
          <w:spacing w:val="-40"/>
        </w:rPr>
        <w:t> </w:t>
      </w:r>
      <w:r>
        <w:rPr/>
        <w:t>catering</w:t>
      </w:r>
      <w:r>
        <w:rPr>
          <w:spacing w:val="-41"/>
        </w:rPr>
        <w:t> </w:t>
      </w:r>
      <w:r>
        <w:rPr/>
        <w:t>to</w:t>
      </w:r>
      <w:r>
        <w:rPr>
          <w:spacing w:val="-40"/>
        </w:rPr>
        <w:t> </w:t>
      </w:r>
      <w:r>
        <w:rPr/>
        <w:t>the</w:t>
      </w:r>
      <w:r>
        <w:rPr>
          <w:spacing w:val="-40"/>
        </w:rPr>
        <w:t> </w:t>
      </w:r>
      <w:r>
        <w:rPr/>
        <w:t>upper</w:t>
      </w:r>
      <w:r>
        <w:rPr>
          <w:spacing w:val="-40"/>
        </w:rPr>
        <w:t> </w:t>
      </w:r>
      <w:r>
        <w:rPr/>
        <w:t>middle</w:t>
      </w:r>
      <w:r>
        <w:rPr>
          <w:spacing w:val="-41"/>
        </w:rPr>
        <w:t> </w:t>
      </w:r>
      <w:r>
        <w:rPr/>
        <w:t>class</w:t>
      </w:r>
      <w:r>
        <w:rPr>
          <w:spacing w:val="-39"/>
        </w:rPr>
        <w:t> </w:t>
      </w:r>
      <w:r>
        <w:rPr/>
        <w:t>and</w:t>
      </w:r>
      <w:r>
        <w:rPr>
          <w:spacing w:val="-39"/>
        </w:rPr>
        <w:t> </w:t>
      </w:r>
      <w:r>
        <w:rPr/>
        <w:t>affluent populace.</w:t>
      </w:r>
    </w:p>
    <w:p>
      <w:pPr>
        <w:pStyle w:val="BodyText"/>
        <w:spacing w:line="321" w:lineRule="auto" w:before="123"/>
        <w:ind w:left="1299" w:right="675"/>
        <w:jc w:val="both"/>
      </w:pPr>
      <w:r>
        <w:rPr/>
        <w:t>The</w:t>
      </w:r>
      <w:r>
        <w:rPr>
          <w:spacing w:val="-45"/>
        </w:rPr>
        <w:t> </w:t>
      </w:r>
      <w:r>
        <w:rPr/>
        <w:t>existing</w:t>
      </w:r>
      <w:r>
        <w:rPr>
          <w:spacing w:val="-44"/>
        </w:rPr>
        <w:t> </w:t>
      </w:r>
      <w:r>
        <w:rPr/>
        <w:t>upscale</w:t>
      </w:r>
      <w:r>
        <w:rPr>
          <w:spacing w:val="-45"/>
        </w:rPr>
        <w:t> </w:t>
      </w:r>
      <w:r>
        <w:rPr/>
        <w:t>hotels</w:t>
      </w:r>
      <w:r>
        <w:rPr>
          <w:spacing w:val="-43"/>
        </w:rPr>
        <w:t> </w:t>
      </w:r>
      <w:r>
        <w:rPr/>
        <w:t>that</w:t>
      </w:r>
      <w:r>
        <w:rPr>
          <w:spacing w:val="-45"/>
        </w:rPr>
        <w:t> </w:t>
      </w:r>
      <w:r>
        <w:rPr/>
        <w:t>are</w:t>
      </w:r>
      <w:r>
        <w:rPr>
          <w:spacing w:val="-44"/>
        </w:rPr>
        <w:t> </w:t>
      </w:r>
      <w:r>
        <w:rPr/>
        <w:t>operational</w:t>
      </w:r>
      <w:r>
        <w:rPr>
          <w:spacing w:val="-45"/>
        </w:rPr>
        <w:t> </w:t>
      </w:r>
      <w:r>
        <w:rPr/>
        <w:t>in</w:t>
      </w:r>
      <w:r>
        <w:rPr>
          <w:spacing w:val="-45"/>
        </w:rPr>
        <w:t> </w:t>
      </w:r>
      <w:r>
        <w:rPr/>
        <w:t>the</w:t>
      </w:r>
      <w:r>
        <w:rPr>
          <w:spacing w:val="-44"/>
        </w:rPr>
        <w:t> </w:t>
      </w:r>
      <w:r>
        <w:rPr/>
        <w:t>vicinity</w:t>
      </w:r>
      <w:r>
        <w:rPr>
          <w:spacing w:val="-44"/>
        </w:rPr>
        <w:t> </w:t>
      </w:r>
      <w:r>
        <w:rPr/>
        <w:t>of</w:t>
      </w:r>
      <w:r>
        <w:rPr>
          <w:spacing w:val="-44"/>
        </w:rPr>
        <w:t> </w:t>
      </w:r>
      <w:r>
        <w:rPr/>
        <w:t>the</w:t>
      </w:r>
      <w:r>
        <w:rPr>
          <w:spacing w:val="-45"/>
        </w:rPr>
        <w:t> </w:t>
      </w:r>
      <w:r>
        <w:rPr/>
        <w:t>subject</w:t>
      </w:r>
      <w:r>
        <w:rPr>
          <w:spacing w:val="-45"/>
        </w:rPr>
        <w:t> </w:t>
      </w:r>
      <w:r>
        <w:rPr/>
        <w:t>property</w:t>
      </w:r>
      <w:r>
        <w:rPr>
          <w:spacing w:val="-44"/>
        </w:rPr>
        <w:t> </w:t>
      </w:r>
      <w:r>
        <w:rPr/>
        <w:t>have</w:t>
      </w:r>
      <w:r>
        <w:rPr>
          <w:spacing w:val="-44"/>
        </w:rPr>
        <w:t> </w:t>
      </w:r>
      <w:r>
        <w:rPr/>
        <w:t>achieved</w:t>
      </w:r>
      <w:r>
        <w:rPr>
          <w:spacing w:val="-44"/>
        </w:rPr>
        <w:t> </w:t>
      </w:r>
      <w:r>
        <w:rPr/>
        <w:t>ARRs in the range of INR 7,500 </w:t>
      </w:r>
      <w:r>
        <w:rPr>
          <w:w w:val="105"/>
        </w:rPr>
        <w:t>– </w:t>
      </w:r>
      <w:r>
        <w:rPr/>
        <w:t>9,500 per room per night and occupancies in the range of 70.0-75.0%. Similarly,</w:t>
      </w:r>
      <w:r>
        <w:rPr>
          <w:spacing w:val="-4"/>
        </w:rPr>
        <w:t> </w:t>
      </w:r>
      <w:r>
        <w:rPr/>
        <w:t>mid-scale</w:t>
      </w:r>
      <w:r>
        <w:rPr>
          <w:spacing w:val="-5"/>
        </w:rPr>
        <w:t> </w:t>
      </w:r>
      <w:r>
        <w:rPr/>
        <w:t>business</w:t>
      </w:r>
      <w:r>
        <w:rPr>
          <w:spacing w:val="-3"/>
        </w:rPr>
        <w:t> </w:t>
      </w:r>
      <w:r>
        <w:rPr/>
        <w:t>hotels</w:t>
      </w:r>
      <w:r>
        <w:rPr>
          <w:spacing w:val="-4"/>
        </w:rPr>
        <w:t> </w:t>
      </w:r>
      <w:r>
        <w:rPr/>
        <w:t>that</w:t>
      </w:r>
      <w:r>
        <w:rPr>
          <w:spacing w:val="-5"/>
        </w:rPr>
        <w:t> </w:t>
      </w:r>
      <w:r>
        <w:rPr/>
        <w:t>are</w:t>
      </w:r>
      <w:r>
        <w:rPr>
          <w:spacing w:val="-5"/>
        </w:rPr>
        <w:t> </w:t>
      </w:r>
      <w:r>
        <w:rPr/>
        <w:t>operational</w:t>
      </w:r>
      <w:r>
        <w:rPr>
          <w:spacing w:val="-4"/>
        </w:rPr>
        <w:t> </w:t>
      </w:r>
      <w:r>
        <w:rPr/>
        <w:t>in</w:t>
      </w:r>
      <w:r>
        <w:rPr>
          <w:spacing w:val="-5"/>
        </w:rPr>
        <w:t> </w:t>
      </w:r>
      <w:r>
        <w:rPr/>
        <w:t>the</w:t>
      </w:r>
      <w:r>
        <w:rPr>
          <w:spacing w:val="-4"/>
        </w:rPr>
        <w:t> </w:t>
      </w:r>
      <w:r>
        <w:rPr/>
        <w:t>vicinity</w:t>
      </w:r>
      <w:r>
        <w:rPr>
          <w:spacing w:val="-4"/>
        </w:rPr>
        <w:t> </w:t>
      </w:r>
      <w:r>
        <w:rPr/>
        <w:t>of</w:t>
      </w:r>
      <w:r>
        <w:rPr>
          <w:spacing w:val="-4"/>
        </w:rPr>
        <w:t> </w:t>
      </w:r>
      <w:r>
        <w:rPr/>
        <w:t>the</w:t>
      </w:r>
      <w:r>
        <w:rPr>
          <w:spacing w:val="-5"/>
        </w:rPr>
        <w:t> </w:t>
      </w:r>
      <w:r>
        <w:rPr/>
        <w:t>subject</w:t>
      </w:r>
      <w:r>
        <w:rPr>
          <w:spacing w:val="-4"/>
        </w:rPr>
        <w:t> </w:t>
      </w:r>
      <w:r>
        <w:rPr/>
        <w:t>property</w:t>
      </w:r>
      <w:r>
        <w:rPr>
          <w:spacing w:val="-3"/>
        </w:rPr>
        <w:t> </w:t>
      </w:r>
      <w:r>
        <w:rPr/>
        <w:t>have achieved ARRs in the range of INR 4,600 </w:t>
      </w:r>
      <w:r>
        <w:rPr>
          <w:w w:val="105"/>
        </w:rPr>
        <w:t>– </w:t>
      </w:r>
      <w:r>
        <w:rPr/>
        <w:t>7,500 per room per night and occupancies in the range of 65.0-85.0%.</w:t>
      </w:r>
    </w:p>
    <w:p>
      <w:pPr>
        <w:pStyle w:val="BodyText"/>
        <w:spacing w:before="10"/>
        <w:rPr>
          <w:sz w:val="20"/>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62" w:id="707"/>
      <w:bookmarkEnd w:id="707"/>
      <w:r>
        <w:rPr/>
      </w:r>
      <w:bookmarkStart w:name="_bookmark362" w:id="708"/>
      <w:bookmarkEnd w:id="708"/>
      <w:r>
        <w:rPr>
          <w:color w:val="1F664D"/>
          <w:sz w:val="22"/>
        </w:rPr>
        <w:t>Histori</w:t>
      </w:r>
      <w:r>
        <w:rPr>
          <w:color w:val="1F664D"/>
          <w:sz w:val="22"/>
        </w:rPr>
        <w:t>cal performance of the subject</w:t>
      </w:r>
      <w:r>
        <w:rPr>
          <w:color w:val="1F664D"/>
          <w:spacing w:val="-11"/>
          <w:sz w:val="22"/>
        </w:rPr>
        <w:t> </w:t>
      </w:r>
      <w:r>
        <w:rPr>
          <w:color w:val="1F664D"/>
          <w:sz w:val="22"/>
        </w:rPr>
        <w:t>property</w:t>
      </w:r>
    </w:p>
    <w:p>
      <w:pPr>
        <w:pStyle w:val="BodyText"/>
        <w:spacing w:before="208"/>
        <w:ind w:left="1220"/>
        <w:jc w:val="both"/>
      </w:pPr>
      <w:r>
        <w:rPr/>
        <w:t>The table below highlights the historical performance of the subject property</w:t>
      </w:r>
    </w:p>
    <w:p>
      <w:pPr>
        <w:pStyle w:val="BodyText"/>
        <w:spacing w:before="1"/>
        <w:rPr>
          <w:sz w:val="29"/>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62"/>
        <w:gridCol w:w="1952"/>
        <w:gridCol w:w="1826"/>
        <w:gridCol w:w="1825"/>
        <w:gridCol w:w="1822"/>
      </w:tblGrid>
      <w:tr>
        <w:trPr>
          <w:trHeight w:val="321" w:hRule="atLeast"/>
        </w:trPr>
        <w:tc>
          <w:tcPr>
            <w:tcW w:w="3062" w:type="dxa"/>
            <w:tcBorders>
              <w:top w:val="single" w:sz="12" w:space="0" w:color="1F6B16"/>
              <w:bottom w:val="single" w:sz="6" w:space="0" w:color="69BD28"/>
            </w:tcBorders>
            <w:shd w:val="clear" w:color="auto" w:fill="006A4D"/>
          </w:tcPr>
          <w:p>
            <w:pPr>
              <w:pStyle w:val="TableParagraph"/>
              <w:spacing w:before="56"/>
              <w:ind w:left="561" w:right="423"/>
              <w:rPr>
                <w:b/>
                <w:sz w:val="18"/>
              </w:rPr>
            </w:pPr>
            <w:r>
              <w:rPr>
                <w:b/>
                <w:color w:val="FFFFFF"/>
                <w:w w:val="110"/>
                <w:sz w:val="18"/>
              </w:rPr>
              <w:t>Parameter</w:t>
            </w:r>
          </w:p>
        </w:tc>
        <w:tc>
          <w:tcPr>
            <w:tcW w:w="1952" w:type="dxa"/>
            <w:tcBorders>
              <w:top w:val="single" w:sz="12" w:space="0" w:color="1F6B16"/>
              <w:bottom w:val="single" w:sz="6" w:space="0" w:color="69BD28"/>
            </w:tcBorders>
            <w:shd w:val="clear" w:color="auto" w:fill="006A4D"/>
          </w:tcPr>
          <w:p>
            <w:pPr>
              <w:pStyle w:val="TableParagraph"/>
              <w:spacing w:before="56"/>
              <w:ind w:left="509" w:right="385"/>
              <w:rPr>
                <w:b/>
                <w:sz w:val="18"/>
              </w:rPr>
            </w:pPr>
            <w:r>
              <w:rPr>
                <w:b/>
                <w:color w:val="FFFFFF"/>
                <w:w w:val="105"/>
                <w:sz w:val="18"/>
              </w:rPr>
              <w:t>FY 2016-17</w:t>
            </w:r>
          </w:p>
        </w:tc>
        <w:tc>
          <w:tcPr>
            <w:tcW w:w="1826" w:type="dxa"/>
            <w:tcBorders>
              <w:top w:val="single" w:sz="12" w:space="0" w:color="1F6B16"/>
              <w:bottom w:val="single" w:sz="6" w:space="0" w:color="69BD28"/>
            </w:tcBorders>
            <w:shd w:val="clear" w:color="auto" w:fill="006A4D"/>
          </w:tcPr>
          <w:p>
            <w:pPr>
              <w:pStyle w:val="TableParagraph"/>
              <w:spacing w:before="56"/>
              <w:ind w:left="384" w:right="384"/>
              <w:rPr>
                <w:b/>
                <w:sz w:val="18"/>
              </w:rPr>
            </w:pPr>
            <w:r>
              <w:rPr>
                <w:b/>
                <w:color w:val="FFFFFF"/>
                <w:w w:val="105"/>
                <w:sz w:val="18"/>
              </w:rPr>
              <w:t>FY 2017-18</w:t>
            </w:r>
          </w:p>
        </w:tc>
        <w:tc>
          <w:tcPr>
            <w:tcW w:w="1825" w:type="dxa"/>
            <w:tcBorders>
              <w:top w:val="single" w:sz="12" w:space="0" w:color="1F6B16"/>
              <w:bottom w:val="single" w:sz="6" w:space="0" w:color="69BD28"/>
            </w:tcBorders>
            <w:shd w:val="clear" w:color="auto" w:fill="006A4D"/>
          </w:tcPr>
          <w:p>
            <w:pPr>
              <w:pStyle w:val="TableParagraph"/>
              <w:spacing w:before="56"/>
              <w:ind w:left="383" w:right="384"/>
              <w:rPr>
                <w:b/>
                <w:sz w:val="18"/>
              </w:rPr>
            </w:pPr>
            <w:r>
              <w:rPr>
                <w:b/>
                <w:color w:val="FFFFFF"/>
                <w:w w:val="105"/>
                <w:sz w:val="18"/>
              </w:rPr>
              <w:t>FY 2018-19</w:t>
            </w:r>
          </w:p>
        </w:tc>
        <w:tc>
          <w:tcPr>
            <w:tcW w:w="1822" w:type="dxa"/>
            <w:tcBorders>
              <w:top w:val="single" w:sz="12" w:space="0" w:color="1F6B16"/>
              <w:bottom w:val="single" w:sz="6" w:space="0" w:color="69BD28"/>
            </w:tcBorders>
            <w:shd w:val="clear" w:color="auto" w:fill="006A4D"/>
          </w:tcPr>
          <w:p>
            <w:pPr>
              <w:pStyle w:val="TableParagraph"/>
              <w:spacing w:before="56"/>
              <w:ind w:left="382" w:right="382"/>
              <w:rPr>
                <w:b/>
                <w:sz w:val="18"/>
              </w:rPr>
            </w:pPr>
            <w:r>
              <w:rPr>
                <w:b/>
                <w:color w:val="FFFFFF"/>
                <w:w w:val="105"/>
                <w:sz w:val="18"/>
              </w:rPr>
              <w:t>FY 2019-20</w:t>
            </w:r>
          </w:p>
        </w:tc>
      </w:tr>
      <w:tr>
        <w:trPr>
          <w:trHeight w:val="321" w:hRule="atLeast"/>
        </w:trPr>
        <w:tc>
          <w:tcPr>
            <w:tcW w:w="3062" w:type="dxa"/>
            <w:tcBorders>
              <w:top w:val="single" w:sz="6" w:space="0" w:color="69BD28"/>
              <w:bottom w:val="single" w:sz="6" w:space="0" w:color="69BD28"/>
            </w:tcBorders>
          </w:tcPr>
          <w:p>
            <w:pPr>
              <w:pStyle w:val="TableParagraph"/>
              <w:spacing w:before="56"/>
              <w:ind w:left="559" w:right="423"/>
              <w:rPr>
                <w:sz w:val="18"/>
              </w:rPr>
            </w:pPr>
            <w:r>
              <w:rPr>
                <w:sz w:val="18"/>
              </w:rPr>
              <w:t>Average ARR (INR)</w:t>
            </w:r>
          </w:p>
        </w:tc>
        <w:tc>
          <w:tcPr>
            <w:tcW w:w="1952" w:type="dxa"/>
            <w:tcBorders>
              <w:top w:val="single" w:sz="6" w:space="0" w:color="69BD28"/>
              <w:bottom w:val="single" w:sz="6" w:space="0" w:color="69BD28"/>
            </w:tcBorders>
          </w:tcPr>
          <w:p>
            <w:pPr>
              <w:pStyle w:val="TableParagraph"/>
              <w:spacing w:before="22"/>
              <w:ind w:left="505" w:right="385"/>
              <w:rPr>
                <w:sz w:val="18"/>
              </w:rPr>
            </w:pPr>
            <w:r>
              <w:rPr>
                <w:w w:val="105"/>
                <w:sz w:val="18"/>
              </w:rPr>
              <w:t>INR 7,246</w:t>
            </w:r>
          </w:p>
        </w:tc>
        <w:tc>
          <w:tcPr>
            <w:tcW w:w="1826" w:type="dxa"/>
            <w:tcBorders>
              <w:top w:val="single" w:sz="6" w:space="0" w:color="69BD28"/>
              <w:bottom w:val="single" w:sz="6" w:space="0" w:color="69BD28"/>
            </w:tcBorders>
          </w:tcPr>
          <w:p>
            <w:pPr>
              <w:pStyle w:val="TableParagraph"/>
              <w:spacing w:before="22"/>
              <w:ind w:left="382" w:right="384"/>
              <w:rPr>
                <w:sz w:val="18"/>
              </w:rPr>
            </w:pPr>
            <w:r>
              <w:rPr>
                <w:w w:val="105"/>
                <w:sz w:val="18"/>
              </w:rPr>
              <w:t>INR 8,163</w:t>
            </w:r>
          </w:p>
        </w:tc>
        <w:tc>
          <w:tcPr>
            <w:tcW w:w="1825" w:type="dxa"/>
            <w:tcBorders>
              <w:top w:val="single" w:sz="6" w:space="0" w:color="69BD28"/>
              <w:bottom w:val="single" w:sz="6" w:space="0" w:color="69BD28"/>
            </w:tcBorders>
          </w:tcPr>
          <w:p>
            <w:pPr>
              <w:pStyle w:val="TableParagraph"/>
              <w:spacing w:before="22"/>
              <w:ind w:left="380" w:right="384"/>
              <w:rPr>
                <w:sz w:val="18"/>
              </w:rPr>
            </w:pPr>
            <w:r>
              <w:rPr>
                <w:w w:val="105"/>
                <w:sz w:val="18"/>
              </w:rPr>
              <w:t>INR 9,378</w:t>
            </w:r>
          </w:p>
        </w:tc>
        <w:tc>
          <w:tcPr>
            <w:tcW w:w="1822" w:type="dxa"/>
            <w:tcBorders>
              <w:top w:val="single" w:sz="6" w:space="0" w:color="69BD28"/>
              <w:bottom w:val="single" w:sz="6" w:space="0" w:color="69BD28"/>
            </w:tcBorders>
          </w:tcPr>
          <w:p>
            <w:pPr>
              <w:pStyle w:val="TableParagraph"/>
              <w:spacing w:before="22"/>
              <w:ind w:left="380" w:right="382"/>
              <w:rPr>
                <w:sz w:val="18"/>
              </w:rPr>
            </w:pPr>
            <w:r>
              <w:rPr>
                <w:w w:val="105"/>
                <w:sz w:val="18"/>
              </w:rPr>
              <w:t>INR 9,430</w:t>
            </w:r>
          </w:p>
        </w:tc>
      </w:tr>
      <w:tr>
        <w:trPr>
          <w:trHeight w:val="320" w:hRule="atLeast"/>
        </w:trPr>
        <w:tc>
          <w:tcPr>
            <w:tcW w:w="3062" w:type="dxa"/>
            <w:tcBorders>
              <w:top w:val="single" w:sz="6" w:space="0" w:color="69BD28"/>
              <w:bottom w:val="single" w:sz="6" w:space="0" w:color="69BD28"/>
            </w:tcBorders>
          </w:tcPr>
          <w:p>
            <w:pPr>
              <w:pStyle w:val="TableParagraph"/>
              <w:spacing w:before="56"/>
              <w:ind w:left="558" w:right="423"/>
              <w:rPr>
                <w:sz w:val="18"/>
              </w:rPr>
            </w:pPr>
            <w:r>
              <w:rPr>
                <w:sz w:val="18"/>
              </w:rPr>
              <w:t>Average Occupancy (%)</w:t>
            </w:r>
          </w:p>
        </w:tc>
        <w:tc>
          <w:tcPr>
            <w:tcW w:w="1952" w:type="dxa"/>
            <w:tcBorders>
              <w:top w:val="single" w:sz="6" w:space="0" w:color="69BD28"/>
              <w:bottom w:val="single" w:sz="6" w:space="0" w:color="69BD28"/>
            </w:tcBorders>
          </w:tcPr>
          <w:p>
            <w:pPr>
              <w:pStyle w:val="TableParagraph"/>
              <w:spacing w:before="22"/>
              <w:ind w:left="503" w:right="385"/>
              <w:rPr>
                <w:sz w:val="18"/>
              </w:rPr>
            </w:pPr>
            <w:r>
              <w:rPr>
                <w:w w:val="110"/>
                <w:sz w:val="18"/>
              </w:rPr>
              <w:t>68.0%</w:t>
            </w:r>
          </w:p>
        </w:tc>
        <w:tc>
          <w:tcPr>
            <w:tcW w:w="1826" w:type="dxa"/>
            <w:tcBorders>
              <w:top w:val="single" w:sz="6" w:space="0" w:color="69BD28"/>
              <w:bottom w:val="single" w:sz="6" w:space="0" w:color="69BD28"/>
            </w:tcBorders>
          </w:tcPr>
          <w:p>
            <w:pPr>
              <w:pStyle w:val="TableParagraph"/>
              <w:spacing w:before="22"/>
              <w:ind w:left="381" w:right="384"/>
              <w:rPr>
                <w:sz w:val="18"/>
              </w:rPr>
            </w:pPr>
            <w:r>
              <w:rPr>
                <w:w w:val="110"/>
                <w:sz w:val="18"/>
              </w:rPr>
              <w:t>72.0%</w:t>
            </w:r>
          </w:p>
        </w:tc>
        <w:tc>
          <w:tcPr>
            <w:tcW w:w="1825" w:type="dxa"/>
            <w:tcBorders>
              <w:top w:val="single" w:sz="6" w:space="0" w:color="69BD28"/>
              <w:bottom w:val="single" w:sz="6" w:space="0" w:color="69BD28"/>
            </w:tcBorders>
          </w:tcPr>
          <w:p>
            <w:pPr>
              <w:pStyle w:val="TableParagraph"/>
              <w:spacing w:before="22"/>
              <w:ind w:left="383" w:right="383"/>
              <w:rPr>
                <w:sz w:val="18"/>
              </w:rPr>
            </w:pPr>
            <w:r>
              <w:rPr>
                <w:w w:val="110"/>
                <w:sz w:val="18"/>
              </w:rPr>
              <w:t>69.3%</w:t>
            </w:r>
          </w:p>
        </w:tc>
        <w:tc>
          <w:tcPr>
            <w:tcW w:w="1822" w:type="dxa"/>
            <w:tcBorders>
              <w:top w:val="single" w:sz="6" w:space="0" w:color="69BD28"/>
              <w:bottom w:val="single" w:sz="6" w:space="0" w:color="69BD28"/>
            </w:tcBorders>
          </w:tcPr>
          <w:p>
            <w:pPr>
              <w:pStyle w:val="TableParagraph"/>
              <w:spacing w:before="22"/>
              <w:ind w:left="382" w:right="382"/>
              <w:rPr>
                <w:sz w:val="18"/>
              </w:rPr>
            </w:pPr>
            <w:r>
              <w:rPr>
                <w:w w:val="110"/>
                <w:sz w:val="18"/>
              </w:rPr>
              <w:t>63.7%*</w:t>
            </w:r>
          </w:p>
        </w:tc>
      </w:tr>
    </w:tbl>
    <w:p>
      <w:pPr>
        <w:spacing w:before="0"/>
        <w:ind w:left="1220" w:right="0" w:firstLine="0"/>
        <w:jc w:val="both"/>
        <w:rPr>
          <w:i/>
          <w:sz w:val="18"/>
        </w:rPr>
      </w:pPr>
      <w:r>
        <w:rPr>
          <w:i/>
          <w:sz w:val="18"/>
        </w:rPr>
        <w:t>Source: Client input; low on account of limited occupancy observed during the month of March 2020.</w:t>
      </w:r>
    </w:p>
    <w:p>
      <w:pPr>
        <w:pStyle w:val="BodyText"/>
        <w:spacing w:before="10"/>
        <w:rPr>
          <w:i/>
          <w:sz w:val="26"/>
        </w:rPr>
      </w:pPr>
    </w:p>
    <w:p>
      <w:pPr>
        <w:pStyle w:val="BodyText"/>
        <w:spacing w:line="321" w:lineRule="auto"/>
        <w:ind w:left="1220" w:right="676"/>
        <w:jc w:val="both"/>
      </w:pPr>
      <w:r>
        <w:rPr/>
        <w:t>As</w:t>
      </w:r>
      <w:r>
        <w:rPr>
          <w:spacing w:val="-39"/>
        </w:rPr>
        <w:t> </w:t>
      </w:r>
      <w:r>
        <w:rPr/>
        <w:t>can</w:t>
      </w:r>
      <w:r>
        <w:rPr>
          <w:spacing w:val="-38"/>
        </w:rPr>
        <w:t> </w:t>
      </w:r>
      <w:r>
        <w:rPr/>
        <w:t>be</w:t>
      </w:r>
      <w:r>
        <w:rPr>
          <w:spacing w:val="-39"/>
        </w:rPr>
        <w:t> </w:t>
      </w:r>
      <w:r>
        <w:rPr/>
        <w:t>seen</w:t>
      </w:r>
      <w:r>
        <w:rPr>
          <w:spacing w:val="-39"/>
        </w:rPr>
        <w:t> </w:t>
      </w:r>
      <w:r>
        <w:rPr/>
        <w:t>from</w:t>
      </w:r>
      <w:r>
        <w:rPr>
          <w:spacing w:val="-38"/>
        </w:rPr>
        <w:t> </w:t>
      </w:r>
      <w:r>
        <w:rPr/>
        <w:t>the</w:t>
      </w:r>
      <w:r>
        <w:rPr>
          <w:spacing w:val="-39"/>
        </w:rPr>
        <w:t> </w:t>
      </w:r>
      <w:r>
        <w:rPr/>
        <w:t>table</w:t>
      </w:r>
      <w:r>
        <w:rPr>
          <w:spacing w:val="-39"/>
        </w:rPr>
        <w:t> </w:t>
      </w:r>
      <w:r>
        <w:rPr/>
        <w:t>above,</w:t>
      </w:r>
      <w:r>
        <w:rPr>
          <w:spacing w:val="-38"/>
        </w:rPr>
        <w:t> </w:t>
      </w:r>
      <w:r>
        <w:rPr/>
        <w:t>the</w:t>
      </w:r>
      <w:r>
        <w:rPr>
          <w:spacing w:val="-39"/>
        </w:rPr>
        <w:t> </w:t>
      </w:r>
      <w:r>
        <w:rPr/>
        <w:t>subject</w:t>
      </w:r>
      <w:r>
        <w:rPr>
          <w:spacing w:val="-38"/>
        </w:rPr>
        <w:t> </w:t>
      </w:r>
      <w:r>
        <w:rPr/>
        <w:t>property</w:t>
      </w:r>
      <w:r>
        <w:rPr>
          <w:spacing w:val="-37"/>
        </w:rPr>
        <w:t> </w:t>
      </w:r>
      <w:r>
        <w:rPr/>
        <w:t>has</w:t>
      </w:r>
      <w:r>
        <w:rPr>
          <w:spacing w:val="-38"/>
        </w:rPr>
        <w:t> </w:t>
      </w:r>
      <w:r>
        <w:rPr/>
        <w:t>witnessed</w:t>
      </w:r>
      <w:r>
        <w:rPr>
          <w:spacing w:val="-36"/>
        </w:rPr>
        <w:t> </w:t>
      </w:r>
      <w:r>
        <w:rPr/>
        <w:t>substantial</w:t>
      </w:r>
      <w:r>
        <w:rPr>
          <w:spacing w:val="-38"/>
        </w:rPr>
        <w:t> </w:t>
      </w:r>
      <w:r>
        <w:rPr/>
        <w:t>increase</w:t>
      </w:r>
      <w:r>
        <w:rPr>
          <w:spacing w:val="-37"/>
        </w:rPr>
        <w:t> </w:t>
      </w:r>
      <w:r>
        <w:rPr/>
        <w:t>in</w:t>
      </w:r>
      <w:r>
        <w:rPr>
          <w:spacing w:val="-39"/>
        </w:rPr>
        <w:t> </w:t>
      </w:r>
      <w:r>
        <w:rPr/>
        <w:t>both</w:t>
      </w:r>
      <w:r>
        <w:rPr>
          <w:spacing w:val="-38"/>
        </w:rPr>
        <w:t> </w:t>
      </w:r>
      <w:r>
        <w:rPr/>
        <w:t>ARRs and</w:t>
      </w:r>
      <w:r>
        <w:rPr>
          <w:spacing w:val="-9"/>
        </w:rPr>
        <w:t> </w:t>
      </w:r>
      <w:r>
        <w:rPr/>
        <w:t>Occupancy</w:t>
      </w:r>
      <w:r>
        <w:rPr>
          <w:spacing w:val="-9"/>
        </w:rPr>
        <w:t> </w:t>
      </w:r>
      <w:r>
        <w:rPr/>
        <w:t>during</w:t>
      </w:r>
      <w:r>
        <w:rPr>
          <w:spacing w:val="-10"/>
        </w:rPr>
        <w:t> </w:t>
      </w:r>
      <w:r>
        <w:rPr/>
        <w:t>the</w:t>
      </w:r>
      <w:r>
        <w:rPr>
          <w:spacing w:val="-9"/>
        </w:rPr>
        <w:t> </w:t>
      </w:r>
      <w:r>
        <w:rPr/>
        <w:t>last</w:t>
      </w:r>
      <w:r>
        <w:rPr>
          <w:spacing w:val="-8"/>
        </w:rPr>
        <w:t> </w:t>
      </w:r>
      <w:r>
        <w:rPr/>
        <w:t>3</w:t>
      </w:r>
      <w:r>
        <w:rPr>
          <w:spacing w:val="-11"/>
        </w:rPr>
        <w:t> </w:t>
      </w:r>
      <w:r>
        <w:rPr/>
        <w:t>years.</w:t>
      </w:r>
      <w:r>
        <w:rPr>
          <w:spacing w:val="-8"/>
        </w:rPr>
        <w:t> </w:t>
      </w:r>
      <w:r>
        <w:rPr/>
        <w:t>Over</w:t>
      </w:r>
      <w:r>
        <w:rPr>
          <w:spacing w:val="-9"/>
        </w:rPr>
        <w:t> </w:t>
      </w:r>
      <w:r>
        <w:rPr/>
        <w:t>the</w:t>
      </w:r>
      <w:r>
        <w:rPr>
          <w:spacing w:val="-11"/>
        </w:rPr>
        <w:t> </w:t>
      </w:r>
      <w:r>
        <w:rPr/>
        <w:t>last</w:t>
      </w:r>
      <w:r>
        <w:rPr>
          <w:spacing w:val="-10"/>
        </w:rPr>
        <w:t> </w:t>
      </w:r>
      <w:r>
        <w:rPr/>
        <w:t>six</w:t>
      </w:r>
      <w:r>
        <w:rPr>
          <w:spacing w:val="-9"/>
        </w:rPr>
        <w:t> </w:t>
      </w:r>
      <w:r>
        <w:rPr/>
        <w:t>months,</w:t>
      </w:r>
      <w:r>
        <w:rPr>
          <w:spacing w:val="-8"/>
        </w:rPr>
        <w:t> </w:t>
      </w:r>
      <w:r>
        <w:rPr/>
        <w:t>the</w:t>
      </w:r>
      <w:r>
        <w:rPr>
          <w:spacing w:val="-11"/>
        </w:rPr>
        <w:t> </w:t>
      </w:r>
      <w:r>
        <w:rPr/>
        <w:t>ARR</w:t>
      </w:r>
      <w:r>
        <w:rPr>
          <w:spacing w:val="-11"/>
        </w:rPr>
        <w:t> </w:t>
      </w:r>
      <w:r>
        <w:rPr/>
        <w:t>for</w:t>
      </w:r>
      <w:r>
        <w:rPr>
          <w:spacing w:val="-8"/>
        </w:rPr>
        <w:t> </w:t>
      </w:r>
      <w:r>
        <w:rPr/>
        <w:t>the</w:t>
      </w:r>
      <w:r>
        <w:rPr>
          <w:spacing w:val="-11"/>
        </w:rPr>
        <w:t> </w:t>
      </w:r>
      <w:r>
        <w:rPr/>
        <w:t>subject</w:t>
      </w:r>
      <w:r>
        <w:rPr>
          <w:spacing w:val="-10"/>
        </w:rPr>
        <w:t> </w:t>
      </w:r>
      <w:r>
        <w:rPr/>
        <w:t>property</w:t>
      </w:r>
      <w:r>
        <w:rPr>
          <w:spacing w:val="-11"/>
        </w:rPr>
        <w:t> </w:t>
      </w:r>
      <w:r>
        <w:rPr/>
        <w:t>has averaged in the range of INR 9,500 </w:t>
      </w:r>
      <w:r>
        <w:rPr>
          <w:w w:val="105"/>
        </w:rPr>
        <w:t>– </w:t>
      </w:r>
      <w:r>
        <w:rPr/>
        <w:t>INR 11,500 per room per night. Improvement in performance of the hotel can be attributed to its location (within a larger Office Park), demand for room night</w:t>
      </w:r>
      <w:r>
        <w:rPr>
          <w:spacing w:val="-41"/>
        </w:rPr>
        <w:t> </w:t>
      </w:r>
      <w:r>
        <w:rPr/>
        <w:t>from corporate</w:t>
      </w:r>
      <w:r>
        <w:rPr>
          <w:spacing w:val="-28"/>
        </w:rPr>
        <w:t> </w:t>
      </w:r>
      <w:r>
        <w:rPr/>
        <w:t>travellers</w:t>
      </w:r>
      <w:r>
        <w:rPr>
          <w:spacing w:val="-27"/>
        </w:rPr>
        <w:t> </w:t>
      </w:r>
      <w:r>
        <w:rPr/>
        <w:t>within</w:t>
      </w:r>
      <w:r>
        <w:rPr>
          <w:spacing w:val="-29"/>
        </w:rPr>
        <w:t> </w:t>
      </w:r>
      <w:r>
        <w:rPr/>
        <w:t>the</w:t>
      </w:r>
      <w:r>
        <w:rPr>
          <w:spacing w:val="-28"/>
        </w:rPr>
        <w:t> </w:t>
      </w:r>
      <w:r>
        <w:rPr/>
        <w:t>larger</w:t>
      </w:r>
      <w:r>
        <w:rPr>
          <w:spacing w:val="-28"/>
        </w:rPr>
        <w:t> </w:t>
      </w:r>
      <w:r>
        <w:rPr/>
        <w:t>development</w:t>
      </w:r>
      <w:r>
        <w:rPr>
          <w:spacing w:val="-30"/>
        </w:rPr>
        <w:t> </w:t>
      </w:r>
      <w:r>
        <w:rPr/>
        <w:t>and</w:t>
      </w:r>
      <w:r>
        <w:rPr>
          <w:spacing w:val="-27"/>
        </w:rPr>
        <w:t> </w:t>
      </w:r>
      <w:r>
        <w:rPr/>
        <w:t>from</w:t>
      </w:r>
      <w:r>
        <w:rPr>
          <w:spacing w:val="-28"/>
        </w:rPr>
        <w:t> </w:t>
      </w:r>
      <w:r>
        <w:rPr/>
        <w:t>other</w:t>
      </w:r>
      <w:r>
        <w:rPr>
          <w:spacing w:val="-29"/>
        </w:rPr>
        <w:t> </w:t>
      </w:r>
      <w:r>
        <w:rPr/>
        <w:t>developments</w:t>
      </w:r>
      <w:r>
        <w:rPr>
          <w:spacing w:val="-27"/>
        </w:rPr>
        <w:t> </w:t>
      </w:r>
      <w:r>
        <w:rPr/>
        <w:t>in</w:t>
      </w:r>
      <w:r>
        <w:rPr>
          <w:spacing w:val="-29"/>
        </w:rPr>
        <w:t> </w:t>
      </w:r>
      <w:r>
        <w:rPr/>
        <w:t>close</w:t>
      </w:r>
      <w:r>
        <w:rPr>
          <w:spacing w:val="-28"/>
        </w:rPr>
        <w:t> </w:t>
      </w:r>
      <w:r>
        <w:rPr/>
        <w:t>vicinity</w:t>
      </w:r>
      <w:r>
        <w:rPr>
          <w:spacing w:val="-28"/>
        </w:rPr>
        <w:t> </w:t>
      </w:r>
      <w:r>
        <w:rPr/>
        <w:t>of</w:t>
      </w:r>
      <w:r>
        <w:rPr>
          <w:spacing w:val="-29"/>
        </w:rPr>
        <w:t> </w:t>
      </w:r>
      <w:r>
        <w:rPr/>
        <w:t>the subject</w:t>
      </w:r>
      <w:r>
        <w:rPr>
          <w:spacing w:val="-13"/>
        </w:rPr>
        <w:t> </w:t>
      </w:r>
      <w:r>
        <w:rPr/>
        <w:t>property,</w:t>
      </w:r>
      <w:r>
        <w:rPr>
          <w:spacing w:val="-14"/>
        </w:rPr>
        <w:t> </w:t>
      </w:r>
      <w:r>
        <w:rPr/>
        <w:t>quality</w:t>
      </w:r>
      <w:r>
        <w:rPr>
          <w:spacing w:val="-13"/>
        </w:rPr>
        <w:t> </w:t>
      </w:r>
      <w:r>
        <w:rPr/>
        <w:t>of</w:t>
      </w:r>
      <w:r>
        <w:rPr>
          <w:spacing w:val="-12"/>
        </w:rPr>
        <w:t> </w:t>
      </w:r>
      <w:r>
        <w:rPr/>
        <w:t>service</w:t>
      </w:r>
      <w:r>
        <w:rPr>
          <w:spacing w:val="-12"/>
        </w:rPr>
        <w:t> </w:t>
      </w:r>
      <w:r>
        <w:rPr/>
        <w:t>offering</w:t>
      </w:r>
      <w:r>
        <w:rPr>
          <w:spacing w:val="-11"/>
        </w:rPr>
        <w:t> </w:t>
      </w:r>
      <w:r>
        <w:rPr/>
        <w:t>by</w:t>
      </w:r>
      <w:r>
        <w:rPr>
          <w:spacing w:val="-11"/>
        </w:rPr>
        <w:t> </w:t>
      </w:r>
      <w:r>
        <w:rPr/>
        <w:t>the</w:t>
      </w:r>
      <w:r>
        <w:rPr>
          <w:spacing w:val="-15"/>
        </w:rPr>
        <w:t> </w:t>
      </w:r>
      <w:r>
        <w:rPr/>
        <w:t>operator</w:t>
      </w:r>
      <w:r>
        <w:rPr>
          <w:spacing w:val="-13"/>
        </w:rPr>
        <w:t> </w:t>
      </w:r>
      <w:r>
        <w:rPr/>
        <w:t>brand</w:t>
      </w:r>
      <w:r>
        <w:rPr>
          <w:spacing w:val="-12"/>
        </w:rPr>
        <w:t> </w:t>
      </w:r>
      <w:r>
        <w:rPr/>
        <w:t>(Hilton),</w:t>
      </w:r>
      <w:r>
        <w:rPr>
          <w:spacing w:val="-15"/>
        </w:rPr>
        <w:t> </w:t>
      </w:r>
      <w:r>
        <w:rPr/>
        <w:t>etc.</w:t>
      </w:r>
    </w:p>
    <w:p>
      <w:pPr>
        <w:spacing w:after="0" w:line="321" w:lineRule="auto"/>
        <w:jc w:val="both"/>
        <w:sectPr>
          <w:pgSz w:w="11910" w:h="16840"/>
          <w:pgMar w:header="720" w:footer="862" w:top="1660" w:bottom="1060" w:left="40" w:right="40"/>
        </w:sectPr>
      </w:pPr>
    </w:p>
    <w:p>
      <w:pPr>
        <w:pStyle w:val="BodyText"/>
        <w:spacing w:before="7"/>
        <w:rPr>
          <w:sz w:val="9"/>
        </w:rPr>
      </w:pPr>
    </w:p>
    <w:p>
      <w:pPr>
        <w:pStyle w:val="ListParagraph"/>
        <w:numPr>
          <w:ilvl w:val="1"/>
          <w:numId w:val="14"/>
        </w:numPr>
        <w:tabs>
          <w:tab w:pos="1257" w:val="left" w:leader="none"/>
        </w:tabs>
        <w:spacing w:line="240" w:lineRule="auto" w:before="106" w:after="0"/>
        <w:ind w:left="1256" w:right="0" w:hanging="577"/>
        <w:jc w:val="left"/>
        <w:rPr>
          <w:color w:val="1F6647"/>
          <w:sz w:val="22"/>
        </w:rPr>
      </w:pPr>
      <w:bookmarkStart w:name="_bookmark363" w:id="709"/>
      <w:bookmarkEnd w:id="709"/>
      <w:r>
        <w:rPr/>
      </w:r>
      <w:bookmarkStart w:name="_bookmark363" w:id="710"/>
      <w:bookmarkEnd w:id="710"/>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BodyText"/>
        <w:spacing w:before="3"/>
        <w:rPr>
          <w:sz w:val="28"/>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64" w:id="711"/>
      <w:bookmarkEnd w:id="711"/>
      <w:r>
        <w:rPr/>
      </w:r>
      <w:bookmarkStart w:name="_bookmark364" w:id="712"/>
      <w:bookmarkEnd w:id="712"/>
      <w:r>
        <w:rPr>
          <w:color w:val="1F664D"/>
          <w:w w:val="105"/>
          <w:sz w:val="22"/>
        </w:rPr>
        <w:t>A</w:t>
      </w:r>
      <w:r>
        <w:rPr>
          <w:color w:val="1F664D"/>
          <w:w w:val="105"/>
          <w:sz w:val="22"/>
        </w:rPr>
        <w:t>dopted</w:t>
      </w:r>
      <w:r>
        <w:rPr>
          <w:color w:val="1F664D"/>
          <w:spacing w:val="-3"/>
          <w:w w:val="105"/>
          <w:sz w:val="22"/>
        </w:rPr>
        <w:t> </w:t>
      </w:r>
      <w:r>
        <w:rPr>
          <w:color w:val="1F664D"/>
          <w:w w:val="105"/>
          <w:sz w:val="22"/>
        </w:rPr>
        <w:t>Methodology</w:t>
      </w:r>
    </w:p>
    <w:p>
      <w:pPr>
        <w:pStyle w:val="BodyText"/>
        <w:spacing w:line="321" w:lineRule="auto" w:before="208"/>
        <w:ind w:left="1220" w:right="678"/>
        <w:jc w:val="both"/>
      </w:pPr>
      <w:r>
        <w:rPr/>
        <w:t>We</w:t>
      </w:r>
      <w:r>
        <w:rPr>
          <w:spacing w:val="-27"/>
        </w:rPr>
        <w:t> </w:t>
      </w:r>
      <w:r>
        <w:rPr/>
        <w:t>acknowledge</w:t>
      </w:r>
      <w:r>
        <w:rPr>
          <w:spacing w:val="-27"/>
        </w:rPr>
        <w:t> </w:t>
      </w:r>
      <w:r>
        <w:rPr/>
        <w:t>that</w:t>
      </w:r>
      <w:r>
        <w:rPr>
          <w:spacing w:val="-26"/>
        </w:rPr>
        <w:t> </w:t>
      </w:r>
      <w:r>
        <w:rPr/>
        <w:t>the</w:t>
      </w:r>
      <w:r>
        <w:rPr>
          <w:spacing w:val="-27"/>
        </w:rPr>
        <w:t> </w:t>
      </w:r>
      <w:r>
        <w:rPr/>
        <w:t>approaches</w:t>
      </w:r>
      <w:r>
        <w:rPr>
          <w:spacing w:val="-26"/>
        </w:rPr>
        <w:t> </w:t>
      </w:r>
      <w:r>
        <w:rPr/>
        <w:t>to</w:t>
      </w:r>
      <w:r>
        <w:rPr>
          <w:spacing w:val="-27"/>
        </w:rPr>
        <w:t> </w:t>
      </w:r>
      <w:r>
        <w:rPr/>
        <w:t>valuation</w:t>
      </w:r>
      <w:r>
        <w:rPr>
          <w:spacing w:val="-24"/>
        </w:rPr>
        <w:t> </w:t>
      </w:r>
      <w:r>
        <w:rPr/>
        <w:t>differ</w:t>
      </w:r>
      <w:r>
        <w:rPr>
          <w:spacing w:val="-26"/>
        </w:rPr>
        <w:t> </w:t>
      </w:r>
      <w:r>
        <w:rPr/>
        <w:t>considerably</w:t>
      </w:r>
      <w:r>
        <w:rPr>
          <w:spacing w:val="-26"/>
        </w:rPr>
        <w:t> </w:t>
      </w:r>
      <w:r>
        <w:rPr/>
        <w:t>and</w:t>
      </w:r>
      <w:r>
        <w:rPr>
          <w:spacing w:val="-27"/>
        </w:rPr>
        <w:t> </w:t>
      </w:r>
      <w:r>
        <w:rPr/>
        <w:t>that</w:t>
      </w:r>
      <w:r>
        <w:rPr>
          <w:spacing w:val="-27"/>
        </w:rPr>
        <w:t> </w:t>
      </w:r>
      <w:r>
        <w:rPr/>
        <w:t>for</w:t>
      </w:r>
      <w:r>
        <w:rPr>
          <w:spacing w:val="-26"/>
        </w:rPr>
        <w:t> </w:t>
      </w:r>
      <w:r>
        <w:rPr/>
        <w:t>a</w:t>
      </w:r>
      <w:r>
        <w:rPr>
          <w:spacing w:val="-28"/>
        </w:rPr>
        <w:t> </w:t>
      </w:r>
      <w:r>
        <w:rPr/>
        <w:t>particular</w:t>
      </w:r>
      <w:r>
        <w:rPr>
          <w:spacing w:val="-26"/>
        </w:rPr>
        <w:t> </w:t>
      </w:r>
      <w:r>
        <w:rPr/>
        <w:t>purpose, alternative</w:t>
      </w:r>
      <w:r>
        <w:rPr>
          <w:spacing w:val="-19"/>
        </w:rPr>
        <w:t> </w:t>
      </w:r>
      <w:r>
        <w:rPr/>
        <w:t>approaches</w:t>
      </w:r>
      <w:r>
        <w:rPr>
          <w:spacing w:val="-18"/>
        </w:rPr>
        <w:t> </w:t>
      </w:r>
      <w:r>
        <w:rPr/>
        <w:t>to</w:t>
      </w:r>
      <w:r>
        <w:rPr>
          <w:spacing w:val="-19"/>
        </w:rPr>
        <w:t> </w:t>
      </w:r>
      <w:r>
        <w:rPr/>
        <w:t>the</w:t>
      </w:r>
      <w:r>
        <w:rPr>
          <w:spacing w:val="-19"/>
        </w:rPr>
        <w:t> </w:t>
      </w:r>
      <w:r>
        <w:rPr/>
        <w:t>valuation</w:t>
      </w:r>
      <w:r>
        <w:rPr>
          <w:spacing w:val="-18"/>
        </w:rPr>
        <w:t> </w:t>
      </w:r>
      <w:r>
        <w:rPr/>
        <w:t>can</w:t>
      </w:r>
      <w:r>
        <w:rPr>
          <w:spacing w:val="-19"/>
        </w:rPr>
        <w:t> </w:t>
      </w:r>
      <w:r>
        <w:rPr/>
        <w:t>be</w:t>
      </w:r>
      <w:r>
        <w:rPr>
          <w:spacing w:val="-19"/>
        </w:rPr>
        <w:t> </w:t>
      </w:r>
      <w:r>
        <w:rPr/>
        <w:t>utilized</w:t>
      </w:r>
      <w:r>
        <w:rPr>
          <w:spacing w:val="-18"/>
        </w:rPr>
        <w:t> </w:t>
      </w:r>
      <w:r>
        <w:rPr/>
        <w:t>subject</w:t>
      </w:r>
      <w:r>
        <w:rPr>
          <w:spacing w:val="-19"/>
        </w:rPr>
        <w:t> </w:t>
      </w:r>
      <w:r>
        <w:rPr/>
        <w:t>to</w:t>
      </w:r>
      <w:r>
        <w:rPr>
          <w:spacing w:val="-18"/>
        </w:rPr>
        <w:t> </w:t>
      </w:r>
      <w:r>
        <w:rPr/>
        <w:t>the</w:t>
      </w:r>
      <w:r>
        <w:rPr>
          <w:spacing w:val="-19"/>
        </w:rPr>
        <w:t> </w:t>
      </w:r>
      <w:r>
        <w:rPr/>
        <w:t>Client’s</w:t>
      </w:r>
      <w:r>
        <w:rPr>
          <w:spacing w:val="-19"/>
        </w:rPr>
        <w:t> </w:t>
      </w:r>
      <w:r>
        <w:rPr/>
        <w:t>consultations</w:t>
      </w:r>
      <w:r>
        <w:rPr>
          <w:spacing w:val="-18"/>
        </w:rPr>
        <w:t> </w:t>
      </w:r>
      <w:r>
        <w:rPr/>
        <w:t>and</w:t>
      </w:r>
      <w:r>
        <w:rPr>
          <w:spacing w:val="-18"/>
        </w:rPr>
        <w:t> </w:t>
      </w:r>
      <w:r>
        <w:rPr/>
        <w:t>giving due</w:t>
      </w:r>
      <w:r>
        <w:rPr>
          <w:spacing w:val="-37"/>
        </w:rPr>
        <w:t> </w:t>
      </w:r>
      <w:r>
        <w:rPr/>
        <w:t>consideration</w:t>
      </w:r>
      <w:r>
        <w:rPr>
          <w:spacing w:val="-36"/>
        </w:rPr>
        <w:t> </w:t>
      </w:r>
      <w:r>
        <w:rPr/>
        <w:t>to</w:t>
      </w:r>
      <w:r>
        <w:rPr>
          <w:spacing w:val="-36"/>
        </w:rPr>
        <w:t> </w:t>
      </w:r>
      <w:r>
        <w:rPr/>
        <w:t>the</w:t>
      </w:r>
      <w:r>
        <w:rPr>
          <w:spacing w:val="-37"/>
        </w:rPr>
        <w:t> </w:t>
      </w:r>
      <w:r>
        <w:rPr/>
        <w:t>Client’s</w:t>
      </w:r>
      <w:r>
        <w:rPr>
          <w:spacing w:val="-35"/>
        </w:rPr>
        <w:t> </w:t>
      </w:r>
      <w:r>
        <w:rPr/>
        <w:t>requirements.</w:t>
      </w:r>
      <w:r>
        <w:rPr>
          <w:spacing w:val="-36"/>
        </w:rPr>
        <w:t> </w:t>
      </w:r>
      <w:r>
        <w:rPr/>
        <w:t>Considering</w:t>
      </w:r>
      <w:r>
        <w:rPr>
          <w:spacing w:val="-37"/>
        </w:rPr>
        <w:t> </w:t>
      </w:r>
      <w:r>
        <w:rPr/>
        <w:t>the</w:t>
      </w:r>
      <w:r>
        <w:rPr>
          <w:spacing w:val="-36"/>
        </w:rPr>
        <w:t> </w:t>
      </w:r>
      <w:r>
        <w:rPr/>
        <w:t>objective</w:t>
      </w:r>
      <w:r>
        <w:rPr>
          <w:spacing w:val="-37"/>
        </w:rPr>
        <w:t> </w:t>
      </w:r>
      <w:r>
        <w:rPr/>
        <w:t>of</w:t>
      </w:r>
      <w:r>
        <w:rPr>
          <w:spacing w:val="-36"/>
        </w:rPr>
        <w:t> </w:t>
      </w:r>
      <w:r>
        <w:rPr/>
        <w:t>this</w:t>
      </w:r>
      <w:r>
        <w:rPr>
          <w:spacing w:val="-36"/>
        </w:rPr>
        <w:t> </w:t>
      </w:r>
      <w:r>
        <w:rPr/>
        <w:t>exercise</w:t>
      </w:r>
      <w:r>
        <w:rPr>
          <w:spacing w:val="-36"/>
        </w:rPr>
        <w:t> </w:t>
      </w:r>
      <w:r>
        <w:rPr/>
        <w:t>and</w:t>
      </w:r>
      <w:r>
        <w:rPr>
          <w:spacing w:val="-36"/>
        </w:rPr>
        <w:t> </w:t>
      </w:r>
      <w:r>
        <w:rPr/>
        <w:t>the</w:t>
      </w:r>
      <w:r>
        <w:rPr>
          <w:spacing w:val="-36"/>
        </w:rPr>
        <w:t> </w:t>
      </w:r>
      <w:r>
        <w:rPr/>
        <w:t>nature of</w:t>
      </w:r>
      <w:r>
        <w:rPr>
          <w:spacing w:val="-34"/>
        </w:rPr>
        <w:t> </w:t>
      </w:r>
      <w:r>
        <w:rPr/>
        <w:t>asset</w:t>
      </w:r>
      <w:r>
        <w:rPr>
          <w:spacing w:val="-33"/>
        </w:rPr>
        <w:t> </w:t>
      </w:r>
      <w:r>
        <w:rPr/>
        <w:t>involved,</w:t>
      </w:r>
      <w:r>
        <w:rPr>
          <w:spacing w:val="-34"/>
        </w:rPr>
        <w:t> </w:t>
      </w:r>
      <w:r>
        <w:rPr/>
        <w:t>the</w:t>
      </w:r>
      <w:r>
        <w:rPr>
          <w:spacing w:val="-34"/>
        </w:rPr>
        <w:t> </w:t>
      </w:r>
      <w:r>
        <w:rPr/>
        <w:t>value</w:t>
      </w:r>
      <w:r>
        <w:rPr>
          <w:spacing w:val="-34"/>
        </w:rPr>
        <w:t> </w:t>
      </w:r>
      <w:r>
        <w:rPr/>
        <w:t>of</w:t>
      </w:r>
      <w:r>
        <w:rPr>
          <w:spacing w:val="-33"/>
        </w:rPr>
        <w:t> </w:t>
      </w:r>
      <w:r>
        <w:rPr/>
        <w:t>the</w:t>
      </w:r>
      <w:r>
        <w:rPr>
          <w:spacing w:val="-34"/>
        </w:rPr>
        <w:t> </w:t>
      </w:r>
      <w:r>
        <w:rPr/>
        <w:t>subject</w:t>
      </w:r>
      <w:r>
        <w:rPr>
          <w:spacing w:val="-34"/>
        </w:rPr>
        <w:t> </w:t>
      </w:r>
      <w:r>
        <w:rPr/>
        <w:t>property</w:t>
      </w:r>
      <w:r>
        <w:rPr>
          <w:spacing w:val="-34"/>
        </w:rPr>
        <w:t> </w:t>
      </w:r>
      <w:r>
        <w:rPr/>
        <w:t>has</w:t>
      </w:r>
      <w:r>
        <w:rPr>
          <w:spacing w:val="-31"/>
        </w:rPr>
        <w:t> </w:t>
      </w:r>
      <w:r>
        <w:rPr/>
        <w:t>been</w:t>
      </w:r>
      <w:r>
        <w:rPr>
          <w:spacing w:val="-34"/>
        </w:rPr>
        <w:t> </w:t>
      </w:r>
      <w:r>
        <w:rPr/>
        <w:t>assessed</w:t>
      </w:r>
      <w:r>
        <w:rPr>
          <w:spacing w:val="-33"/>
        </w:rPr>
        <w:t> </w:t>
      </w:r>
      <w:r>
        <w:rPr/>
        <w:t>through</w:t>
      </w:r>
      <w:r>
        <w:rPr>
          <w:spacing w:val="-34"/>
        </w:rPr>
        <w:t> </w:t>
      </w:r>
      <w:r>
        <w:rPr/>
        <w:t>the</w:t>
      </w:r>
      <w:r>
        <w:rPr>
          <w:spacing w:val="-35"/>
        </w:rPr>
        <w:t> </w:t>
      </w:r>
      <w:r>
        <w:rPr/>
        <w:t>following</w:t>
      </w:r>
      <w:r>
        <w:rPr>
          <w:spacing w:val="-33"/>
        </w:rPr>
        <w:t> </w:t>
      </w:r>
      <w:r>
        <w:rPr/>
        <w:t>approaches:</w:t>
      </w:r>
    </w:p>
    <w:p>
      <w:pPr>
        <w:pStyle w:val="BodyText"/>
        <w:spacing w:before="4"/>
        <w:rPr>
          <w:sz w:val="20"/>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7"/>
        <w:gridCol w:w="6969"/>
      </w:tblGrid>
      <w:tr>
        <w:trPr>
          <w:trHeight w:val="393" w:hRule="atLeast"/>
        </w:trPr>
        <w:tc>
          <w:tcPr>
            <w:tcW w:w="10486" w:type="dxa"/>
            <w:gridSpan w:val="2"/>
            <w:tcBorders>
              <w:top w:val="single" w:sz="6" w:space="0" w:color="69BD28"/>
              <w:bottom w:val="single" w:sz="6" w:space="0" w:color="69BD28"/>
            </w:tcBorders>
            <w:shd w:val="clear" w:color="auto" w:fill="006A4D"/>
          </w:tcPr>
          <w:p>
            <w:pPr>
              <w:pStyle w:val="TableParagraph"/>
              <w:tabs>
                <w:tab w:pos="6174" w:val="left" w:leader="none"/>
              </w:tabs>
              <w:spacing w:before="92"/>
              <w:ind w:left="1279"/>
              <w:jc w:val="left"/>
              <w:rPr>
                <w:b/>
                <w:sz w:val="18"/>
              </w:rPr>
            </w:pPr>
            <w:r>
              <w:rPr>
                <w:b/>
                <w:color w:val="FFFFFF"/>
                <w:w w:val="110"/>
                <w:sz w:val="18"/>
              </w:rPr>
              <w:t>Particulars</w:t>
              <w:tab/>
              <w:t>Operational</w:t>
            </w:r>
            <w:r>
              <w:rPr>
                <w:b/>
                <w:color w:val="FFFFFF"/>
                <w:spacing w:val="-4"/>
                <w:w w:val="110"/>
                <w:sz w:val="18"/>
              </w:rPr>
              <w:t> </w:t>
            </w:r>
            <w:r>
              <w:rPr>
                <w:b/>
                <w:color w:val="FFFFFF"/>
                <w:w w:val="110"/>
                <w:sz w:val="18"/>
              </w:rPr>
              <w:t>Hotel</w:t>
            </w:r>
          </w:p>
        </w:tc>
      </w:tr>
      <w:tr>
        <w:trPr>
          <w:trHeight w:val="458" w:hRule="atLeast"/>
        </w:trPr>
        <w:tc>
          <w:tcPr>
            <w:tcW w:w="3517" w:type="dxa"/>
            <w:shd w:val="clear" w:color="auto" w:fill="69BD28"/>
          </w:tcPr>
          <w:p>
            <w:pPr>
              <w:pStyle w:val="TableParagraph"/>
              <w:spacing w:before="126"/>
              <w:ind w:left="703"/>
              <w:jc w:val="left"/>
              <w:rPr>
                <w:b/>
                <w:sz w:val="18"/>
              </w:rPr>
            </w:pPr>
            <w:r>
              <w:rPr>
                <w:b/>
                <w:color w:val="FFFFFF"/>
                <w:w w:val="110"/>
                <w:sz w:val="18"/>
              </w:rPr>
              <w:t>Valuation Methodology</w:t>
            </w:r>
          </w:p>
        </w:tc>
        <w:tc>
          <w:tcPr>
            <w:tcW w:w="6969" w:type="dxa"/>
            <w:tcBorders>
              <w:top w:val="single" w:sz="6" w:space="0" w:color="69BD28"/>
              <w:bottom w:val="single" w:sz="6" w:space="0" w:color="69BD28"/>
            </w:tcBorders>
          </w:tcPr>
          <w:p>
            <w:pPr>
              <w:pStyle w:val="TableParagraph"/>
              <w:spacing w:before="126"/>
              <w:ind w:left="899" w:right="899"/>
              <w:rPr>
                <w:sz w:val="18"/>
              </w:rPr>
            </w:pPr>
            <w:r>
              <w:rPr>
                <w:sz w:val="18"/>
              </w:rPr>
              <w:t>Discounted Cash Flow Method</w:t>
            </w:r>
          </w:p>
        </w:tc>
      </w:tr>
    </w:tbl>
    <w:p>
      <w:pPr>
        <w:pStyle w:val="BodyText"/>
        <w:rPr>
          <w:sz w:val="21"/>
        </w:rPr>
      </w:pPr>
    </w:p>
    <w:p>
      <w:pPr>
        <w:pStyle w:val="BodyText"/>
        <w:spacing w:line="321" w:lineRule="auto"/>
        <w:ind w:left="1220" w:right="675"/>
        <w:jc w:val="both"/>
      </w:pPr>
      <w:r>
        <w:rPr/>
        <w:t>The</w:t>
      </w:r>
      <w:r>
        <w:rPr>
          <w:spacing w:val="-23"/>
        </w:rPr>
        <w:t> </w:t>
      </w:r>
      <w:r>
        <w:rPr/>
        <w:t>sections</w:t>
      </w:r>
      <w:r>
        <w:rPr>
          <w:spacing w:val="-22"/>
        </w:rPr>
        <w:t> </w:t>
      </w:r>
      <w:r>
        <w:rPr/>
        <w:t>below</w:t>
      </w:r>
      <w:r>
        <w:rPr>
          <w:spacing w:val="-21"/>
        </w:rPr>
        <w:t> </w:t>
      </w:r>
      <w:r>
        <w:rPr/>
        <w:t>highlight</w:t>
      </w:r>
      <w:r>
        <w:rPr>
          <w:spacing w:val="-23"/>
        </w:rPr>
        <w:t> </w:t>
      </w:r>
      <w:r>
        <w:rPr/>
        <w:t>detailed</w:t>
      </w:r>
      <w:r>
        <w:rPr>
          <w:spacing w:val="-21"/>
        </w:rPr>
        <w:t> </w:t>
      </w:r>
      <w:r>
        <w:rPr/>
        <w:t>valuation</w:t>
      </w:r>
      <w:r>
        <w:rPr>
          <w:spacing w:val="-22"/>
        </w:rPr>
        <w:t> </w:t>
      </w:r>
      <w:r>
        <w:rPr/>
        <w:t>workings</w:t>
      </w:r>
      <w:r>
        <w:rPr>
          <w:spacing w:val="-21"/>
        </w:rPr>
        <w:t> </w:t>
      </w:r>
      <w:r>
        <w:rPr/>
        <w:t>for</w:t>
      </w:r>
      <w:r>
        <w:rPr>
          <w:spacing w:val="-22"/>
        </w:rPr>
        <w:t> </w:t>
      </w:r>
      <w:r>
        <w:rPr/>
        <w:t>the</w:t>
      </w:r>
      <w:r>
        <w:rPr>
          <w:spacing w:val="-23"/>
        </w:rPr>
        <w:t> </w:t>
      </w:r>
      <w:r>
        <w:rPr/>
        <w:t>subject</w:t>
      </w:r>
      <w:r>
        <w:rPr>
          <w:spacing w:val="-23"/>
        </w:rPr>
        <w:t> </w:t>
      </w:r>
      <w:r>
        <w:rPr/>
        <w:t>property.</w:t>
      </w:r>
      <w:r>
        <w:rPr>
          <w:spacing w:val="-18"/>
        </w:rPr>
        <w:t> </w:t>
      </w:r>
      <w:r>
        <w:rPr/>
        <w:t>Please</w:t>
      </w:r>
      <w:r>
        <w:rPr>
          <w:spacing w:val="-23"/>
        </w:rPr>
        <w:t> </w:t>
      </w:r>
      <w:r>
        <w:rPr/>
        <w:t>note</w:t>
      </w:r>
      <w:r>
        <w:rPr>
          <w:spacing w:val="-21"/>
        </w:rPr>
        <w:t> </w:t>
      </w:r>
      <w:r>
        <w:rPr/>
        <w:t>that</w:t>
      </w:r>
      <w:r>
        <w:rPr>
          <w:spacing w:val="-23"/>
        </w:rPr>
        <w:t> </w:t>
      </w:r>
      <w:r>
        <w:rPr/>
        <w:t>the assumptions/</w:t>
      </w:r>
      <w:r>
        <w:rPr>
          <w:spacing w:val="-30"/>
        </w:rPr>
        <w:t> </w:t>
      </w:r>
      <w:r>
        <w:rPr/>
        <w:t>opinions</w:t>
      </w:r>
      <w:r>
        <w:rPr>
          <w:spacing w:val="-29"/>
        </w:rPr>
        <w:t> </w:t>
      </w:r>
      <w:r>
        <w:rPr/>
        <w:t>highlighted</w:t>
      </w:r>
      <w:r>
        <w:rPr>
          <w:spacing w:val="-29"/>
        </w:rPr>
        <w:t> </w:t>
      </w:r>
      <w:r>
        <w:rPr/>
        <w:t>in</w:t>
      </w:r>
      <w:r>
        <w:rPr>
          <w:spacing w:val="-30"/>
        </w:rPr>
        <w:t> </w:t>
      </w:r>
      <w:r>
        <w:rPr/>
        <w:t>the</w:t>
      </w:r>
      <w:r>
        <w:rPr>
          <w:spacing w:val="-30"/>
        </w:rPr>
        <w:t> </w:t>
      </w:r>
      <w:r>
        <w:rPr/>
        <w:t>subsequent</w:t>
      </w:r>
      <w:r>
        <w:rPr>
          <w:spacing w:val="-29"/>
        </w:rPr>
        <w:t> </w:t>
      </w:r>
      <w:r>
        <w:rPr/>
        <w:t>sections</w:t>
      </w:r>
      <w:r>
        <w:rPr>
          <w:spacing w:val="-29"/>
        </w:rPr>
        <w:t> </w:t>
      </w:r>
      <w:r>
        <w:rPr/>
        <w:t>are</w:t>
      </w:r>
      <w:r>
        <w:rPr>
          <w:spacing w:val="-30"/>
        </w:rPr>
        <w:t> </w:t>
      </w:r>
      <w:r>
        <w:rPr/>
        <w:t>to</w:t>
      </w:r>
      <w:r>
        <w:rPr>
          <w:spacing w:val="-29"/>
        </w:rPr>
        <w:t> </w:t>
      </w:r>
      <w:r>
        <w:rPr/>
        <w:t>be</w:t>
      </w:r>
      <w:r>
        <w:rPr>
          <w:spacing w:val="-30"/>
        </w:rPr>
        <w:t> </w:t>
      </w:r>
      <w:r>
        <w:rPr/>
        <w:t>read</w:t>
      </w:r>
      <w:r>
        <w:rPr>
          <w:spacing w:val="-29"/>
        </w:rPr>
        <w:t> </w:t>
      </w:r>
      <w:r>
        <w:rPr/>
        <w:t>in</w:t>
      </w:r>
      <w:r>
        <w:rPr>
          <w:spacing w:val="-30"/>
        </w:rPr>
        <w:t> </w:t>
      </w:r>
      <w:r>
        <w:rPr/>
        <w:t>conjunction</w:t>
      </w:r>
      <w:r>
        <w:rPr>
          <w:spacing w:val="-29"/>
        </w:rPr>
        <w:t> </w:t>
      </w:r>
      <w:r>
        <w:rPr/>
        <w:t>with</w:t>
      </w:r>
      <w:r>
        <w:rPr>
          <w:spacing w:val="-30"/>
        </w:rPr>
        <w:t> </w:t>
      </w:r>
      <w:r>
        <w:rPr/>
        <w:t>Section</w:t>
      </w:r>
    </w:p>
    <w:p>
      <w:pPr>
        <w:pStyle w:val="BodyText"/>
        <w:spacing w:before="2"/>
        <w:ind w:left="1220"/>
      </w:pPr>
      <w:r>
        <w:rPr/>
        <w:t>1.11 and the following:</w:t>
      </w:r>
    </w:p>
    <w:p>
      <w:pPr>
        <w:pStyle w:val="BodyText"/>
        <w:rPr>
          <w:sz w:val="28"/>
        </w:rPr>
      </w:pPr>
    </w:p>
    <w:p>
      <w:pPr>
        <w:spacing w:line="321" w:lineRule="auto" w:before="1"/>
        <w:ind w:left="1220" w:right="672"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0"/>
          <w:sz w:val="22"/>
        </w:rPr>
        <w:t> </w:t>
      </w:r>
      <w:r>
        <w:rPr>
          <w:i/>
          <w:sz w:val="22"/>
        </w:rPr>
        <w:t>caused</w:t>
      </w:r>
      <w:r>
        <w:rPr>
          <w:i/>
          <w:spacing w:val="-30"/>
          <w:sz w:val="22"/>
        </w:rPr>
        <w:t> </w:t>
      </w:r>
      <w:r>
        <w:rPr>
          <w:i/>
          <w:sz w:val="22"/>
        </w:rPr>
        <w:t>by</w:t>
      </w:r>
      <w:r>
        <w:rPr>
          <w:i/>
          <w:spacing w:val="-28"/>
          <w:sz w:val="22"/>
        </w:rPr>
        <w:t> </w:t>
      </w:r>
      <w:r>
        <w:rPr>
          <w:i/>
          <w:sz w:val="22"/>
        </w:rPr>
        <w:t>the</w:t>
      </w:r>
      <w:r>
        <w:rPr>
          <w:i/>
          <w:spacing w:val="-29"/>
          <w:sz w:val="22"/>
        </w:rPr>
        <w:t> </w:t>
      </w:r>
      <w:r>
        <w:rPr>
          <w:i/>
          <w:sz w:val="22"/>
        </w:rPr>
        <w:t>outbreak</w:t>
      </w:r>
      <w:r>
        <w:rPr>
          <w:i/>
          <w:spacing w:val="-30"/>
          <w:sz w:val="22"/>
        </w:rPr>
        <w:t> </w:t>
      </w:r>
      <w:r>
        <w:rPr>
          <w:i/>
          <w:sz w:val="22"/>
        </w:rPr>
        <w:t>of</w:t>
      </w:r>
      <w:r>
        <w:rPr>
          <w:i/>
          <w:spacing w:val="-28"/>
          <w:sz w:val="22"/>
        </w:rPr>
        <w:t> </w:t>
      </w:r>
      <w:r>
        <w:rPr>
          <w:i/>
          <w:sz w:val="22"/>
        </w:rPr>
        <w:t>the</w:t>
      </w:r>
      <w:r>
        <w:rPr>
          <w:i/>
          <w:spacing w:val="-29"/>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7"/>
          <w:w w:val="95"/>
          <w:sz w:val="22"/>
        </w:rPr>
        <w:t> </w:t>
      </w:r>
      <w:r>
        <w:rPr>
          <w:i/>
          <w:w w:val="95"/>
          <w:sz w:val="22"/>
        </w:rPr>
        <w:t>(including</w:t>
      </w:r>
      <w:r>
        <w:rPr>
          <w:i/>
          <w:spacing w:val="-7"/>
          <w:w w:val="95"/>
          <w:sz w:val="22"/>
        </w:rPr>
        <w:t> </w:t>
      </w:r>
      <w:r>
        <w:rPr>
          <w:i/>
          <w:w w:val="95"/>
          <w:sz w:val="22"/>
        </w:rPr>
        <w:t>but</w:t>
      </w:r>
      <w:r>
        <w:rPr>
          <w:i/>
          <w:spacing w:val="-9"/>
          <w:w w:val="95"/>
          <w:sz w:val="22"/>
        </w:rPr>
        <w:t> </w:t>
      </w:r>
      <w:r>
        <w:rPr>
          <w:i/>
          <w:w w:val="95"/>
          <w:sz w:val="22"/>
        </w:rPr>
        <w:t>not</w:t>
      </w:r>
      <w:r>
        <w:rPr>
          <w:i/>
          <w:spacing w:val="-8"/>
          <w:w w:val="95"/>
          <w:sz w:val="22"/>
        </w:rPr>
        <w:t> </w:t>
      </w:r>
      <w:r>
        <w:rPr>
          <w:i/>
          <w:w w:val="95"/>
          <w:sz w:val="22"/>
        </w:rPr>
        <w:t>limited</w:t>
      </w:r>
      <w:r>
        <w:rPr>
          <w:i/>
          <w:spacing w:val="-8"/>
          <w:w w:val="95"/>
          <w:sz w:val="22"/>
        </w:rPr>
        <w:t> </w:t>
      </w:r>
      <w:r>
        <w:rPr>
          <w:i/>
          <w:w w:val="95"/>
          <w:sz w:val="22"/>
        </w:rPr>
        <w:t>to</w:t>
      </w:r>
      <w:r>
        <w:rPr>
          <w:i/>
          <w:spacing w:val="-8"/>
          <w:w w:val="95"/>
          <w:sz w:val="22"/>
        </w:rPr>
        <w:t> </w:t>
      </w:r>
      <w:r>
        <w:rPr>
          <w:i/>
          <w:w w:val="95"/>
          <w:sz w:val="22"/>
        </w:rPr>
        <w:t>the</w:t>
      </w:r>
      <w:r>
        <w:rPr>
          <w:i/>
          <w:spacing w:val="-7"/>
          <w:w w:val="95"/>
          <w:sz w:val="22"/>
        </w:rPr>
        <w:t> </w:t>
      </w:r>
      <w:r>
        <w:rPr>
          <w:i/>
          <w:w w:val="95"/>
          <w:sz w:val="22"/>
        </w:rPr>
        <w:t>points</w:t>
      </w:r>
      <w:r>
        <w:rPr>
          <w:i/>
          <w:spacing w:val="-5"/>
          <w:w w:val="95"/>
          <w:sz w:val="22"/>
        </w:rPr>
        <w:t> </w:t>
      </w:r>
      <w:r>
        <w:rPr>
          <w:i/>
          <w:w w:val="95"/>
          <w:sz w:val="22"/>
        </w:rPr>
        <w:t>mentioned</w:t>
      </w:r>
      <w:r>
        <w:rPr>
          <w:i/>
          <w:spacing w:val="-10"/>
          <w:w w:val="95"/>
          <w:sz w:val="22"/>
        </w:rPr>
        <w:t> </w:t>
      </w:r>
      <w:r>
        <w:rPr>
          <w:i/>
          <w:w w:val="95"/>
          <w:sz w:val="22"/>
        </w:rPr>
        <w:t>below)</w:t>
      </w:r>
      <w:r>
        <w:rPr>
          <w:i/>
          <w:spacing w:val="-7"/>
          <w:w w:val="95"/>
          <w:sz w:val="22"/>
        </w:rPr>
        <w:t> </w:t>
      </w:r>
      <w:r>
        <w:rPr>
          <w:i/>
          <w:w w:val="95"/>
          <w:sz w:val="22"/>
        </w:rPr>
        <w:t>to</w:t>
      </w:r>
      <w:r>
        <w:rPr>
          <w:i/>
          <w:spacing w:val="-10"/>
          <w:w w:val="95"/>
          <w:sz w:val="22"/>
        </w:rPr>
        <w:t> </w:t>
      </w:r>
      <w:r>
        <w:rPr>
          <w:i/>
          <w:w w:val="95"/>
          <w:sz w:val="22"/>
        </w:rPr>
        <w:t>our</w:t>
      </w:r>
      <w:r>
        <w:rPr>
          <w:i/>
          <w:spacing w:val="-7"/>
          <w:w w:val="95"/>
          <w:sz w:val="22"/>
        </w:rPr>
        <w:t> </w:t>
      </w:r>
      <w:r>
        <w:rPr>
          <w:i/>
          <w:w w:val="95"/>
          <w:sz w:val="22"/>
        </w:rPr>
        <w:t>projected</w:t>
      </w:r>
      <w:r>
        <w:rPr>
          <w:i/>
          <w:spacing w:val="-10"/>
          <w:w w:val="95"/>
          <w:sz w:val="22"/>
        </w:rPr>
        <w:t> </w:t>
      </w:r>
      <w:r>
        <w:rPr>
          <w:i/>
          <w:w w:val="95"/>
          <w:sz w:val="22"/>
        </w:rPr>
        <w:t>cashflows</w:t>
      </w:r>
      <w:r>
        <w:rPr>
          <w:i/>
          <w:spacing w:val="-5"/>
          <w:w w:val="95"/>
          <w:sz w:val="22"/>
        </w:rPr>
        <w:t> </w:t>
      </w:r>
      <w:r>
        <w:rPr>
          <w:i/>
          <w:w w:val="95"/>
          <w:sz w:val="22"/>
        </w:rPr>
        <w:t>based </w:t>
      </w:r>
      <w:r>
        <w:rPr>
          <w:i/>
          <w:sz w:val="22"/>
        </w:rPr>
        <w:t>on our view as of the date of</w:t>
      </w:r>
      <w:r>
        <w:rPr>
          <w:i/>
          <w:spacing w:val="-46"/>
          <w:sz w:val="22"/>
        </w:rPr>
        <w:t> </w:t>
      </w:r>
      <w:r>
        <w:rPr>
          <w:i/>
          <w:sz w:val="22"/>
        </w:rPr>
        <w:t>valuation.</w:t>
      </w:r>
    </w:p>
    <w:p>
      <w:pPr>
        <w:pStyle w:val="BodyText"/>
        <w:spacing w:before="11"/>
        <w:rPr>
          <w:i/>
          <w:sz w:val="20"/>
        </w:rPr>
      </w:pPr>
    </w:p>
    <w:p>
      <w:pPr>
        <w:pStyle w:val="ListParagraph"/>
        <w:numPr>
          <w:ilvl w:val="0"/>
          <w:numId w:val="89"/>
        </w:numPr>
        <w:tabs>
          <w:tab w:pos="2125" w:val="left" w:leader="none"/>
          <w:tab w:pos="2126" w:val="left" w:leader="none"/>
        </w:tabs>
        <w:spacing w:line="240" w:lineRule="auto" w:before="0" w:after="0"/>
        <w:ind w:left="2125" w:right="0" w:hanging="361"/>
        <w:jc w:val="left"/>
        <w:rPr>
          <w:i/>
          <w:sz w:val="22"/>
        </w:rPr>
      </w:pPr>
      <w:r>
        <w:rPr>
          <w:i/>
          <w:sz w:val="22"/>
        </w:rPr>
        <w:t>Limited/</w:t>
      </w:r>
      <w:r>
        <w:rPr>
          <w:i/>
          <w:spacing w:val="-11"/>
          <w:sz w:val="22"/>
        </w:rPr>
        <w:t> </w:t>
      </w:r>
      <w:r>
        <w:rPr>
          <w:i/>
          <w:sz w:val="22"/>
        </w:rPr>
        <w:t>no</w:t>
      </w:r>
      <w:r>
        <w:rPr>
          <w:i/>
          <w:spacing w:val="-10"/>
          <w:sz w:val="22"/>
        </w:rPr>
        <w:t> </w:t>
      </w:r>
      <w:r>
        <w:rPr>
          <w:i/>
          <w:sz w:val="22"/>
        </w:rPr>
        <w:t>growth</w:t>
      </w:r>
      <w:r>
        <w:rPr>
          <w:i/>
          <w:spacing w:val="-12"/>
          <w:sz w:val="22"/>
        </w:rPr>
        <w:t> </w:t>
      </w:r>
      <w:r>
        <w:rPr>
          <w:i/>
          <w:sz w:val="22"/>
        </w:rPr>
        <w:t>in</w:t>
      </w:r>
      <w:r>
        <w:rPr>
          <w:i/>
          <w:spacing w:val="-10"/>
          <w:sz w:val="22"/>
        </w:rPr>
        <w:t> </w:t>
      </w:r>
      <w:r>
        <w:rPr>
          <w:i/>
          <w:sz w:val="22"/>
        </w:rPr>
        <w:t>ARR</w:t>
      </w:r>
      <w:r>
        <w:rPr>
          <w:i/>
          <w:spacing w:val="-11"/>
          <w:sz w:val="22"/>
        </w:rPr>
        <w:t> </w:t>
      </w:r>
      <w:r>
        <w:rPr>
          <w:i/>
          <w:sz w:val="22"/>
        </w:rPr>
        <w:t>has</w:t>
      </w:r>
      <w:r>
        <w:rPr>
          <w:i/>
          <w:spacing w:val="-12"/>
          <w:sz w:val="22"/>
        </w:rPr>
        <w:t> </w:t>
      </w:r>
      <w:r>
        <w:rPr>
          <w:i/>
          <w:sz w:val="22"/>
        </w:rPr>
        <w:t>been</w:t>
      </w:r>
      <w:r>
        <w:rPr>
          <w:i/>
          <w:spacing w:val="-12"/>
          <w:sz w:val="22"/>
        </w:rPr>
        <w:t> </w:t>
      </w:r>
      <w:r>
        <w:rPr>
          <w:i/>
          <w:sz w:val="22"/>
        </w:rPr>
        <w:t>considered</w:t>
      </w:r>
      <w:r>
        <w:rPr>
          <w:i/>
          <w:spacing w:val="-11"/>
          <w:sz w:val="22"/>
        </w:rPr>
        <w:t> </w:t>
      </w:r>
      <w:r>
        <w:rPr>
          <w:i/>
          <w:sz w:val="22"/>
        </w:rPr>
        <w:t>over</w:t>
      </w:r>
      <w:r>
        <w:rPr>
          <w:i/>
          <w:spacing w:val="-10"/>
          <w:sz w:val="22"/>
        </w:rPr>
        <w:t> </w:t>
      </w:r>
      <w:r>
        <w:rPr>
          <w:i/>
          <w:sz w:val="22"/>
        </w:rPr>
        <w:t>the</w:t>
      </w:r>
      <w:r>
        <w:rPr>
          <w:i/>
          <w:spacing w:val="-11"/>
          <w:sz w:val="22"/>
        </w:rPr>
        <w:t> </w:t>
      </w:r>
      <w:r>
        <w:rPr>
          <w:i/>
          <w:sz w:val="22"/>
        </w:rPr>
        <w:t>next</w:t>
      </w:r>
      <w:r>
        <w:rPr>
          <w:i/>
          <w:spacing w:val="-13"/>
          <w:sz w:val="22"/>
        </w:rPr>
        <w:t> </w:t>
      </w:r>
      <w:r>
        <w:rPr>
          <w:i/>
          <w:sz w:val="22"/>
        </w:rPr>
        <w:t>few</w:t>
      </w:r>
      <w:r>
        <w:rPr>
          <w:i/>
          <w:spacing w:val="-11"/>
          <w:sz w:val="22"/>
        </w:rPr>
        <w:t> </w:t>
      </w:r>
      <w:r>
        <w:rPr>
          <w:i/>
          <w:sz w:val="22"/>
        </w:rPr>
        <w:t>quarters</w:t>
      </w:r>
    </w:p>
    <w:p>
      <w:pPr>
        <w:pStyle w:val="ListParagraph"/>
        <w:numPr>
          <w:ilvl w:val="0"/>
          <w:numId w:val="89"/>
        </w:numPr>
        <w:tabs>
          <w:tab w:pos="2125" w:val="left" w:leader="none"/>
          <w:tab w:pos="2126" w:val="left" w:leader="none"/>
        </w:tabs>
        <w:spacing w:line="240" w:lineRule="auto" w:before="28" w:after="0"/>
        <w:ind w:left="2125" w:right="0" w:hanging="361"/>
        <w:jc w:val="left"/>
        <w:rPr>
          <w:i/>
          <w:sz w:val="22"/>
        </w:rPr>
      </w:pPr>
      <w:r>
        <w:rPr>
          <w:i/>
          <w:sz w:val="22"/>
        </w:rPr>
        <w:t>Occupancy has been rationalized in the short</w:t>
      </w:r>
      <w:r>
        <w:rPr>
          <w:i/>
          <w:spacing w:val="-47"/>
          <w:sz w:val="22"/>
        </w:rPr>
        <w:t> </w:t>
      </w:r>
      <w:r>
        <w:rPr>
          <w:i/>
          <w:sz w:val="22"/>
        </w:rPr>
        <w:t>term”</w:t>
      </w:r>
    </w:p>
    <w:p>
      <w:pPr>
        <w:pStyle w:val="BodyText"/>
        <w:spacing w:before="3"/>
        <w:rPr>
          <w:i/>
          <w:sz w:val="23"/>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65" w:id="713"/>
      <w:bookmarkEnd w:id="713"/>
      <w:r>
        <w:rPr/>
      </w:r>
      <w:bookmarkStart w:name="_bookmark365" w:id="714"/>
      <w:bookmarkEnd w:id="714"/>
      <w:r>
        <w:rPr>
          <w:color w:val="1F664D"/>
          <w:sz w:val="22"/>
        </w:rPr>
        <w:t>A</w:t>
      </w:r>
      <w:r>
        <w:rPr>
          <w:color w:val="1F664D"/>
          <w:sz w:val="22"/>
        </w:rPr>
        <w:t>rea</w:t>
      </w:r>
      <w:r>
        <w:rPr>
          <w:color w:val="1F664D"/>
          <w:spacing w:val="-1"/>
          <w:sz w:val="22"/>
        </w:rPr>
        <w:t> </w:t>
      </w:r>
      <w:r>
        <w:rPr>
          <w:color w:val="1F664D"/>
          <w:sz w:val="22"/>
        </w:rPr>
        <w:t>statement</w:t>
      </w:r>
    </w:p>
    <w:p>
      <w:pPr>
        <w:pStyle w:val="BodyText"/>
        <w:spacing w:line="321" w:lineRule="auto" w:before="208"/>
        <w:ind w:left="1246" w:right="684"/>
        <w:jc w:val="both"/>
      </w:pPr>
      <w:r>
        <w:rPr/>
        <w:t>Based</w:t>
      </w:r>
      <w:r>
        <w:rPr>
          <w:spacing w:val="-22"/>
        </w:rPr>
        <w:t> </w:t>
      </w:r>
      <w:r>
        <w:rPr/>
        <w:t>on</w:t>
      </w:r>
      <w:r>
        <w:rPr>
          <w:spacing w:val="-22"/>
        </w:rPr>
        <w:t> </w:t>
      </w:r>
      <w:r>
        <w:rPr/>
        <w:t>information</w:t>
      </w:r>
      <w:r>
        <w:rPr>
          <w:spacing w:val="-23"/>
        </w:rPr>
        <w:t> </w:t>
      </w:r>
      <w:r>
        <w:rPr/>
        <w:t>provided</w:t>
      </w:r>
      <w:r>
        <w:rPr>
          <w:spacing w:val="-21"/>
        </w:rPr>
        <w:t> </w:t>
      </w:r>
      <w:r>
        <w:rPr/>
        <w:t>by</w:t>
      </w:r>
      <w:r>
        <w:rPr>
          <w:spacing w:val="-21"/>
        </w:rPr>
        <w:t> </w:t>
      </w:r>
      <w:r>
        <w:rPr/>
        <w:t>the</w:t>
      </w:r>
      <w:r>
        <w:rPr>
          <w:spacing w:val="-23"/>
        </w:rPr>
        <w:t> </w:t>
      </w:r>
      <w:r>
        <w:rPr/>
        <w:t>Client,</w:t>
      </w:r>
      <w:r>
        <w:rPr>
          <w:spacing w:val="-22"/>
        </w:rPr>
        <w:t> </w:t>
      </w:r>
      <w:r>
        <w:rPr/>
        <w:t>the</w:t>
      </w:r>
      <w:r>
        <w:rPr>
          <w:spacing w:val="-22"/>
        </w:rPr>
        <w:t> </w:t>
      </w:r>
      <w:r>
        <w:rPr/>
        <w:t>details</w:t>
      </w:r>
      <w:r>
        <w:rPr>
          <w:spacing w:val="-22"/>
        </w:rPr>
        <w:t> </w:t>
      </w:r>
      <w:r>
        <w:rPr/>
        <w:t>for</w:t>
      </w:r>
      <w:r>
        <w:rPr>
          <w:spacing w:val="-22"/>
        </w:rPr>
        <w:t> </w:t>
      </w:r>
      <w:r>
        <w:rPr/>
        <w:t>the</w:t>
      </w:r>
      <w:r>
        <w:rPr>
          <w:spacing w:val="-22"/>
        </w:rPr>
        <w:t> </w:t>
      </w:r>
      <w:r>
        <w:rPr/>
        <w:t>subject</w:t>
      </w:r>
      <w:r>
        <w:rPr>
          <w:spacing w:val="-22"/>
        </w:rPr>
        <w:t> </w:t>
      </w:r>
      <w:r>
        <w:rPr/>
        <w:t>property</w:t>
      </w:r>
      <w:r>
        <w:rPr>
          <w:spacing w:val="-21"/>
        </w:rPr>
        <w:t> </w:t>
      </w:r>
      <w:r>
        <w:rPr/>
        <w:t>are</w:t>
      </w:r>
      <w:r>
        <w:rPr>
          <w:spacing w:val="-22"/>
        </w:rPr>
        <w:t> </w:t>
      </w:r>
      <w:r>
        <w:rPr/>
        <w:t>highlighted</w:t>
      </w:r>
      <w:r>
        <w:rPr>
          <w:spacing w:val="-22"/>
        </w:rPr>
        <w:t> </w:t>
      </w:r>
      <w:r>
        <w:rPr/>
        <w:t>in</w:t>
      </w:r>
      <w:r>
        <w:rPr>
          <w:spacing w:val="-24"/>
        </w:rPr>
        <w:t> </w:t>
      </w:r>
      <w:r>
        <w:rPr/>
        <w:t>the table</w:t>
      </w:r>
      <w:r>
        <w:rPr>
          <w:spacing w:val="-3"/>
        </w:rPr>
        <w:t> </w:t>
      </w:r>
      <w:r>
        <w:rPr/>
        <w:t>below:</w:t>
      </w:r>
    </w:p>
    <w:p>
      <w:pPr>
        <w:pStyle w:val="BodyText"/>
        <w:ind w:left="1119"/>
        <w:rPr>
          <w:sz w:val="20"/>
        </w:rPr>
      </w:pPr>
      <w:r>
        <w:rPr>
          <w:sz w:val="20"/>
        </w:rPr>
        <w:pict>
          <v:group style="width:479.65pt;height:16.1pt;mso-position-horizontal-relative:char;mso-position-vertical-relative:line" coordorigin="0,0" coordsize="9593,322">
            <v:shape style="position:absolute;left:0;top:31;width:9593;height:276" coordorigin="0,31" coordsize="9593,276" path="m2504,31l0,31,0,307,2504,307,2504,31xm6049,31l2504,31,2504,307,6049,307,6049,31xm9592,31l6049,31,6049,307,9592,307,9592,31xe" filled="true" fillcolor="#006a4d" stroked="false">
              <v:path arrowok="t"/>
              <v:fill type="solid"/>
            </v:shape>
            <v:rect style="position:absolute;left:0;top:0;width:2504;height:29" filled="true" fillcolor="#1b6b22" stroked="false">
              <v:fill type="solid"/>
            </v:rect>
            <v:shape style="position:absolute;left:0;top:28;width:2533;height:3" coordorigin="0,29" coordsize="2533,3" path="m2504,29l0,29,0,31,2504,31,2504,29xm2533,29l2504,29,2504,31,2533,31,2533,29xe" filled="true" fillcolor="#006a4d" stroked="false">
              <v:path arrowok="t"/>
              <v:fill type="solid"/>
            </v:shape>
            <v:shape style="position:absolute;left:2503;top:0;width:3546;height:29" coordorigin="2504,0" coordsize="3546,29" path="m2533,0l2504,0,2504,29,2533,29,2533,0xm6049,0l2533,0,2533,29,6049,29,6049,0xe" filled="true" fillcolor="#1b6b22" stroked="false">
              <v:path arrowok="t"/>
              <v:fill type="solid"/>
            </v:shape>
            <v:shape style="position:absolute;left:2532;top:28;width:3546;height:3" coordorigin="2533,29" coordsize="3546,3" path="m6078,29l6049,29,2533,29,2533,31,6049,31,6078,31,6078,29xe" filled="true" fillcolor="#006a4d" stroked="false">
              <v:path arrowok="t"/>
              <v:fill type="solid"/>
            </v:shape>
            <v:shape style="position:absolute;left:6048;top:0;width:3544;height:29" coordorigin="6049,0" coordsize="3544,29" path="m9592,0l6078,0,6049,0,6049,29,6078,29,9592,29,9592,0xe" filled="true" fillcolor="#1b6b22" stroked="false">
              <v:path arrowok="t"/>
              <v:fill type="solid"/>
            </v:shape>
            <v:rect style="position:absolute;left:6077;top:28;width:3515;height:3" filled="true" fillcolor="#006a4d" stroked="false">
              <v:fill type="solid"/>
            </v:rect>
            <v:shape style="position:absolute;left:0;top:307;width:9593;height:15" coordorigin="0,307" coordsize="9593,15" path="m2504,307l0,307,0,322,2504,322,2504,307xm6049,307l2518,307,2504,307,2504,322,2518,322,6049,322,6049,307xm9592,307l6063,307,6049,307,6049,322,6063,322,9592,322,9592,307xe" filled="true" fillcolor="#69bd28" stroked="false">
              <v:path arrowok="t"/>
              <v:fill type="solid"/>
            </v:shape>
            <v:shape style="position:absolute;left:0;top:28;width:9593;height:279" type="#_x0000_t202" filled="false" stroked="false">
              <v:textbox inset="0,0,0,0">
                <w:txbxContent>
                  <w:p>
                    <w:pPr>
                      <w:tabs>
                        <w:tab w:pos="3998" w:val="left" w:leader="none"/>
                        <w:tab w:pos="7331" w:val="left" w:leader="none"/>
                      </w:tabs>
                      <w:spacing w:before="35"/>
                      <w:ind w:left="688" w:right="0" w:firstLine="0"/>
                      <w:jc w:val="left"/>
                      <w:rPr>
                        <w:b/>
                        <w:sz w:val="18"/>
                      </w:rPr>
                    </w:pPr>
                    <w:r>
                      <w:rPr>
                        <w:b/>
                        <w:color w:val="FFFFFF"/>
                        <w:w w:val="110"/>
                        <w:sz w:val="18"/>
                      </w:rPr>
                      <w:t>Components</w:t>
                      <w:tab/>
                      <w:t>Status</w:t>
                      <w:tab/>
                      <w:t>No of</w:t>
                    </w:r>
                    <w:r>
                      <w:rPr>
                        <w:b/>
                        <w:color w:val="FFFFFF"/>
                        <w:spacing w:val="-6"/>
                        <w:w w:val="110"/>
                        <w:sz w:val="18"/>
                      </w:rPr>
                      <w:t> </w:t>
                    </w:r>
                    <w:r>
                      <w:rPr>
                        <w:b/>
                        <w:color w:val="FFFFFF"/>
                        <w:w w:val="110"/>
                        <w:sz w:val="18"/>
                      </w:rPr>
                      <w:t>Keys</w:t>
                    </w:r>
                  </w:p>
                </w:txbxContent>
              </v:textbox>
              <w10:wrap type="none"/>
            </v:shape>
          </v:group>
        </w:pict>
      </w:r>
      <w:r>
        <w:rPr>
          <w:sz w:val="20"/>
        </w:rPr>
      </w:r>
    </w:p>
    <w:p>
      <w:pPr>
        <w:tabs>
          <w:tab w:pos="4914" w:val="left" w:leader="none"/>
          <w:tab w:pos="8587" w:val="left" w:leader="none"/>
        </w:tabs>
        <w:spacing w:line="333" w:lineRule="auto" w:before="0"/>
        <w:ind w:left="2178" w:right="2532" w:hanging="536"/>
        <w:jc w:val="left"/>
        <w:rPr>
          <w:sz w:val="18"/>
        </w:rPr>
      </w:pPr>
      <w:r>
        <w:rPr/>
        <w:pict>
          <v:shape style="position:absolute;margin-left:57.984001pt;margin-top:12.050681pt;width:479.65pt;height:.75pt;mso-position-horizontal-relative:page;mso-position-vertical-relative:paragraph;z-index:-34127872" coordorigin="1160,241" coordsize="9593,15" path="m3663,241l1160,241,1160,255,3663,255,3663,241xm7209,241l3678,241,3663,241,3663,255,3678,255,7209,255,7209,241xm10752,241l7223,241,7209,241,7209,255,7223,255,10752,255,10752,241xe" filled="true" fillcolor="#69bd28" stroked="false">
            <v:path arrowok="t"/>
            <v:fill type="solid"/>
            <w10:wrap type="none"/>
          </v:shape>
        </w:pict>
      </w:r>
      <w:r>
        <w:rPr/>
        <w:pict>
          <v:rect style="position:absolute;margin-left:57.264004pt;margin-top:26.571682pt;width:480.336023pt;height:.719pt;mso-position-horizontal-relative:page;mso-position-vertical-relative:paragraph;z-index:-34127360" filled="true" fillcolor="#69bd28" stroked="false">
            <v:fill type="solid"/>
            <w10:wrap type="none"/>
          </v:rect>
        </w:pict>
      </w:r>
      <w:r>
        <w:rPr>
          <w:sz w:val="18"/>
        </w:rPr>
        <w:t>Hilton</w:t>
      </w:r>
      <w:r>
        <w:rPr>
          <w:spacing w:val="-17"/>
          <w:sz w:val="18"/>
        </w:rPr>
        <w:t> </w:t>
      </w:r>
      <w:r>
        <w:rPr>
          <w:sz w:val="18"/>
        </w:rPr>
        <w:t>at</w:t>
      </w:r>
      <w:r>
        <w:rPr>
          <w:spacing w:val="-17"/>
          <w:sz w:val="18"/>
        </w:rPr>
        <w:t> </w:t>
      </w:r>
      <w:r>
        <w:rPr>
          <w:sz w:val="18"/>
        </w:rPr>
        <w:t>GolfLinks</w:t>
        <w:tab/>
        <w:t>Operational</w:t>
        <w:tab/>
        <w:t>247 </w:t>
      </w:r>
      <w:r>
        <w:rPr>
          <w:spacing w:val="-4"/>
          <w:sz w:val="18"/>
        </w:rPr>
        <w:t>keys </w:t>
      </w:r>
      <w:r>
        <w:rPr>
          <w:sz w:val="18"/>
        </w:rPr>
        <w:t>Total</w:t>
        <w:tab/>
        <w:tab/>
        <w:t>247</w:t>
      </w:r>
      <w:r>
        <w:rPr>
          <w:spacing w:val="14"/>
          <w:sz w:val="18"/>
        </w:rPr>
        <w:t> </w:t>
      </w:r>
      <w:r>
        <w:rPr>
          <w:spacing w:val="-5"/>
          <w:sz w:val="18"/>
        </w:rPr>
        <w:t>keys</w:t>
      </w:r>
    </w:p>
    <w:p>
      <w:pPr>
        <w:spacing w:line="178" w:lineRule="exact" w:before="0"/>
        <w:ind w:left="680" w:right="0" w:firstLine="0"/>
        <w:jc w:val="left"/>
        <w:rPr>
          <w:i/>
          <w:sz w:val="18"/>
        </w:rPr>
      </w:pPr>
      <w:r>
        <w:rPr>
          <w:i/>
          <w:sz w:val="18"/>
        </w:rPr>
        <w:t>Source: Architect certificate and information provided by Client</w:t>
      </w:r>
    </w:p>
    <w:p>
      <w:pPr>
        <w:pStyle w:val="BodyText"/>
        <w:spacing w:before="9"/>
        <w:rPr>
          <w:i/>
          <w:sz w:val="20"/>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66" w:id="715"/>
      <w:bookmarkEnd w:id="715"/>
      <w:r>
        <w:rPr/>
      </w:r>
      <w:bookmarkStart w:name="_bookmark366" w:id="716"/>
      <w:bookmarkEnd w:id="716"/>
      <w:r>
        <w:rPr>
          <w:color w:val="1F664D"/>
          <w:sz w:val="22"/>
        </w:rPr>
        <w:t>Con</w:t>
      </w:r>
      <w:r>
        <w:rPr>
          <w:color w:val="1F664D"/>
          <w:sz w:val="22"/>
        </w:rPr>
        <w:t>struction Timelines</w:t>
      </w:r>
    </w:p>
    <w:p>
      <w:pPr>
        <w:pStyle w:val="BodyText"/>
        <w:spacing w:line="321" w:lineRule="auto" w:before="208"/>
        <w:ind w:left="1246"/>
      </w:pPr>
      <w:r>
        <w:rPr/>
        <w:t>Based on the information provided by the Client, occupancy certificate and our visual inspection we understand that the subject property is fully operational as of date of valuation.</w:t>
      </w:r>
    </w:p>
    <w:p>
      <w:pPr>
        <w:pStyle w:val="BodyText"/>
        <w:spacing w:before="10"/>
        <w:rPr>
          <w:sz w:val="20"/>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67" w:id="717"/>
      <w:bookmarkEnd w:id="717"/>
      <w:r>
        <w:rPr/>
      </w:r>
      <w:bookmarkStart w:name="_bookmark367" w:id="718"/>
      <w:bookmarkEnd w:id="718"/>
      <w:r>
        <w:rPr>
          <w:color w:val="1F664D"/>
          <w:sz w:val="22"/>
        </w:rPr>
        <w:t>R</w:t>
      </w:r>
      <w:r>
        <w:rPr>
          <w:color w:val="1F664D"/>
          <w:sz w:val="22"/>
        </w:rPr>
        <w:t>evenue Assumptions</w:t>
      </w:r>
      <w:r>
        <w:rPr>
          <w:color w:val="1F664D"/>
          <w:spacing w:val="-3"/>
          <w:sz w:val="22"/>
        </w:rPr>
        <w:t> </w:t>
      </w:r>
      <w:r>
        <w:rPr>
          <w:color w:val="1F664D"/>
          <w:sz w:val="22"/>
        </w:rPr>
        <w:t>(Hotel)</w:t>
      </w:r>
    </w:p>
    <w:p>
      <w:pPr>
        <w:pStyle w:val="BodyText"/>
        <w:spacing w:before="6"/>
        <w:rPr>
          <w:sz w:val="25"/>
        </w:rPr>
      </w:pPr>
    </w:p>
    <w:p>
      <w:pPr>
        <w:pStyle w:val="ListParagraph"/>
        <w:numPr>
          <w:ilvl w:val="3"/>
          <w:numId w:val="90"/>
        </w:numPr>
        <w:tabs>
          <w:tab w:pos="1545" w:val="left" w:leader="none"/>
        </w:tabs>
        <w:spacing w:line="240" w:lineRule="auto" w:before="0" w:after="0"/>
        <w:ind w:left="1544" w:right="0" w:hanging="865"/>
        <w:jc w:val="left"/>
        <w:rPr>
          <w:i/>
          <w:sz w:val="20"/>
        </w:rPr>
      </w:pPr>
      <w:r>
        <w:rPr>
          <w:i/>
          <w:color w:val="008000"/>
          <w:sz w:val="20"/>
        </w:rPr>
        <w:t>ARR and Occupancy</w:t>
      </w:r>
      <w:r>
        <w:rPr>
          <w:i/>
          <w:color w:val="008000"/>
          <w:spacing w:val="-7"/>
          <w:sz w:val="20"/>
        </w:rPr>
        <w:t> </w:t>
      </w:r>
      <w:r>
        <w:rPr>
          <w:i/>
          <w:color w:val="008000"/>
          <w:sz w:val="20"/>
        </w:rPr>
        <w:t>Assumptions</w:t>
      </w:r>
    </w:p>
    <w:p>
      <w:pPr>
        <w:pStyle w:val="BodyText"/>
        <w:spacing w:line="321" w:lineRule="auto" w:before="136"/>
        <w:ind w:left="1242" w:right="607"/>
      </w:pPr>
      <w:r>
        <w:rPr/>
        <w:t>As</w:t>
      </w:r>
      <w:r>
        <w:rPr>
          <w:spacing w:val="-19"/>
        </w:rPr>
        <w:t> </w:t>
      </w:r>
      <w:r>
        <w:rPr/>
        <w:t>per</w:t>
      </w:r>
      <w:r>
        <w:rPr>
          <w:spacing w:val="-20"/>
        </w:rPr>
        <w:t> </w:t>
      </w:r>
      <w:r>
        <w:rPr/>
        <w:t>the</w:t>
      </w:r>
      <w:r>
        <w:rPr>
          <w:spacing w:val="-19"/>
        </w:rPr>
        <w:t> </w:t>
      </w:r>
      <w:r>
        <w:rPr/>
        <w:t>information</w:t>
      </w:r>
      <w:r>
        <w:rPr>
          <w:spacing w:val="-18"/>
        </w:rPr>
        <w:t> </w:t>
      </w:r>
      <w:r>
        <w:rPr/>
        <w:t>provided</w:t>
      </w:r>
      <w:r>
        <w:rPr>
          <w:spacing w:val="-17"/>
        </w:rPr>
        <w:t> </w:t>
      </w:r>
      <w:r>
        <w:rPr/>
        <w:t>by</w:t>
      </w:r>
      <w:r>
        <w:rPr>
          <w:spacing w:val="-20"/>
        </w:rPr>
        <w:t> </w:t>
      </w:r>
      <w:r>
        <w:rPr/>
        <w:t>the</w:t>
      </w:r>
      <w:r>
        <w:rPr>
          <w:spacing w:val="-18"/>
        </w:rPr>
        <w:t> </w:t>
      </w:r>
      <w:r>
        <w:rPr/>
        <w:t>Client,</w:t>
      </w:r>
      <w:r>
        <w:rPr>
          <w:spacing w:val="-19"/>
        </w:rPr>
        <w:t> </w:t>
      </w:r>
      <w:r>
        <w:rPr/>
        <w:t>occupancy</w:t>
      </w:r>
      <w:r>
        <w:rPr>
          <w:spacing w:val="-17"/>
        </w:rPr>
        <w:t> </w:t>
      </w:r>
      <w:r>
        <w:rPr/>
        <w:t>certificate</w:t>
      </w:r>
      <w:r>
        <w:rPr>
          <w:spacing w:val="-19"/>
        </w:rPr>
        <w:t> </w:t>
      </w:r>
      <w:r>
        <w:rPr/>
        <w:t>and</w:t>
      </w:r>
      <w:r>
        <w:rPr>
          <w:spacing w:val="-19"/>
        </w:rPr>
        <w:t> </w:t>
      </w:r>
      <w:r>
        <w:rPr/>
        <w:t>our</w:t>
      </w:r>
      <w:r>
        <w:rPr>
          <w:spacing w:val="-19"/>
        </w:rPr>
        <w:t> </w:t>
      </w:r>
      <w:r>
        <w:rPr/>
        <w:t>site</w:t>
      </w:r>
      <w:r>
        <w:rPr>
          <w:spacing w:val="-19"/>
        </w:rPr>
        <w:t> </w:t>
      </w:r>
      <w:r>
        <w:rPr/>
        <w:t>visit,</w:t>
      </w:r>
      <w:r>
        <w:rPr>
          <w:spacing w:val="-20"/>
        </w:rPr>
        <w:t> </w:t>
      </w:r>
      <w:r>
        <w:rPr/>
        <w:t>it</w:t>
      </w:r>
      <w:r>
        <w:rPr>
          <w:spacing w:val="-18"/>
        </w:rPr>
        <w:t> </w:t>
      </w:r>
      <w:r>
        <w:rPr/>
        <w:t>is</w:t>
      </w:r>
      <w:r>
        <w:rPr>
          <w:spacing w:val="-20"/>
        </w:rPr>
        <w:t> </w:t>
      </w:r>
      <w:r>
        <w:rPr/>
        <w:t>understood that</w:t>
      </w:r>
      <w:r>
        <w:rPr>
          <w:spacing w:val="-8"/>
        </w:rPr>
        <w:t> </w:t>
      </w:r>
      <w:r>
        <w:rPr/>
        <w:t>the</w:t>
      </w:r>
      <w:r>
        <w:rPr>
          <w:spacing w:val="-7"/>
        </w:rPr>
        <w:t> </w:t>
      </w:r>
      <w:r>
        <w:rPr/>
        <w:t>hotel</w:t>
      </w:r>
      <w:r>
        <w:rPr>
          <w:spacing w:val="-7"/>
        </w:rPr>
        <w:t> </w:t>
      </w:r>
      <w:r>
        <w:rPr/>
        <w:t>Hilton</w:t>
      </w:r>
      <w:r>
        <w:rPr>
          <w:spacing w:val="-8"/>
        </w:rPr>
        <w:t> </w:t>
      </w:r>
      <w:r>
        <w:rPr/>
        <w:t>at</w:t>
      </w:r>
      <w:r>
        <w:rPr>
          <w:spacing w:val="-7"/>
        </w:rPr>
        <w:t> </w:t>
      </w:r>
      <w:r>
        <w:rPr/>
        <w:t>GolfLinks</w:t>
      </w:r>
      <w:r>
        <w:rPr>
          <w:spacing w:val="-5"/>
        </w:rPr>
        <w:t> </w:t>
      </w:r>
      <w:r>
        <w:rPr/>
        <w:t>is</w:t>
      </w:r>
      <w:r>
        <w:rPr>
          <w:spacing w:val="-7"/>
        </w:rPr>
        <w:t> </w:t>
      </w:r>
      <w:r>
        <w:rPr/>
        <w:t>operational</w:t>
      </w:r>
      <w:r>
        <w:rPr>
          <w:spacing w:val="-8"/>
        </w:rPr>
        <w:t> </w:t>
      </w:r>
      <w:r>
        <w:rPr/>
        <w:t>as</w:t>
      </w:r>
      <w:r>
        <w:rPr>
          <w:spacing w:val="-8"/>
        </w:rPr>
        <w:t> </w:t>
      </w:r>
      <w:r>
        <w:rPr/>
        <w:t>of</w:t>
      </w:r>
      <w:r>
        <w:rPr>
          <w:spacing w:val="-6"/>
        </w:rPr>
        <w:t> </w:t>
      </w:r>
      <w:r>
        <w:rPr/>
        <w:t>date</w:t>
      </w:r>
      <w:r>
        <w:rPr>
          <w:spacing w:val="-7"/>
        </w:rPr>
        <w:t> </w:t>
      </w:r>
      <w:r>
        <w:rPr/>
        <w:t>of</w:t>
      </w:r>
      <w:r>
        <w:rPr>
          <w:spacing w:val="-7"/>
        </w:rPr>
        <w:t> </w:t>
      </w:r>
      <w:r>
        <w:rPr/>
        <w:t>valuation.</w:t>
      </w:r>
    </w:p>
    <w:p>
      <w:pPr>
        <w:spacing w:after="0" w:line="321" w:lineRule="auto"/>
        <w:sectPr>
          <w:pgSz w:w="11910" w:h="16840"/>
          <w:pgMar w:header="720" w:footer="862" w:top="1660" w:bottom="1060" w:left="40" w:right="40"/>
        </w:sectPr>
      </w:pPr>
    </w:p>
    <w:p>
      <w:pPr>
        <w:pStyle w:val="BodyText"/>
        <w:spacing w:before="7"/>
        <w:rPr>
          <w:sz w:val="9"/>
        </w:rPr>
      </w:pPr>
    </w:p>
    <w:p>
      <w:pPr>
        <w:pStyle w:val="BodyText"/>
        <w:spacing w:before="106"/>
        <w:ind w:left="1242"/>
      </w:pPr>
      <w:r>
        <w:rPr/>
        <w:t>The details of the hotel are mentioned in the table below:</w:t>
      </w:r>
    </w:p>
    <w:p>
      <w:pPr>
        <w:pStyle w:val="BodyText"/>
        <w:spacing w:before="2"/>
        <w:rPr>
          <w:sz w:val="14"/>
        </w:rPr>
      </w:pPr>
      <w:r>
        <w:rPr/>
        <w:pict>
          <v:group style="position:absolute;margin-left:35.279999pt;margin-top:10.184435pt;width:524.3pt;height:14.65pt;mso-position-horizontal-relative:page;mso-position-vertical-relative:paragraph;z-index:-14955520;mso-wrap-distance-left:0;mso-wrap-distance-right:0" coordorigin="706,204" coordsize="10486,293">
            <v:shape style="position:absolute;left:720;top:232;width:10472;height:250" coordorigin="720,232" coordsize="10472,250" path="m11191,232l5958,232,720,232,720,482,5958,482,11191,482,11191,232xe" filled="true" fillcolor="#006a4d" stroked="false">
              <v:path arrowok="t"/>
              <v:fill type="solid"/>
            </v:shape>
            <v:rect style="position:absolute;left:720;top:203;width:5239;height:29" filled="true" fillcolor="#1b6b22" stroked="false">
              <v:fill type="solid"/>
            </v:rect>
            <v:shape style="position:absolute;left:720;top:232;width:5267;height:3" coordorigin="720,232" coordsize="5267,3" path="m5987,232l5958,232,720,232,720,235,5958,235,5987,235,5987,232xe" filled="true" fillcolor="#006a4d" stroked="false">
              <v:path arrowok="t"/>
              <v:fill type="solid"/>
            </v:shape>
            <v:shape style="position:absolute;left:5958;top:203;width:5233;height:29" coordorigin="5958,204" coordsize="5233,29" path="m11191,204l5987,204,5958,204,5958,232,5987,232,11191,232,11191,204xe" filled="true" fillcolor="#1b6b22" stroked="false">
              <v:path arrowok="t"/>
              <v:fill type="solid"/>
            </v:shape>
            <v:rect style="position:absolute;left:5987;top:232;width:5205;height:3" filled="true" fillcolor="#006a4d" stroked="false">
              <v:fill type="solid"/>
            </v:rect>
            <v:shape style="position:absolute;left:720;top:482;width:10472;height:15" coordorigin="720,482" coordsize="10472,15" path="m5973,482l5958,482,720,482,720,496,5958,496,5973,496,5973,482xm11191,482l5973,482,5973,496,11191,496,11191,482xe" filled="true" fillcolor="#69bd28" stroked="false">
              <v:path arrowok="t"/>
              <v:fill type="solid"/>
            </v:shape>
            <v:shape style="position:absolute;left:705;top:232;width:10486;height:250" type="#_x0000_t202" filled="false" stroked="false">
              <v:textbox inset="0,0,0,0">
                <w:txbxContent>
                  <w:p>
                    <w:pPr>
                      <w:tabs>
                        <w:tab w:pos="5279" w:val="left" w:leader="none"/>
                      </w:tabs>
                      <w:spacing w:before="8"/>
                      <w:ind w:left="0" w:right="24" w:firstLine="0"/>
                      <w:jc w:val="center"/>
                      <w:rPr>
                        <w:b/>
                        <w:sz w:val="18"/>
                      </w:rPr>
                    </w:pPr>
                    <w:r>
                      <w:rPr>
                        <w:rFonts w:ascii="Verdana"/>
                        <w:b/>
                        <w:i/>
                        <w:color w:val="FFFFFF"/>
                        <w:w w:val="90"/>
                        <w:sz w:val="18"/>
                      </w:rPr>
                      <w:t>Components</w:t>
                      <w:tab/>
                    </w:r>
                    <w:r>
                      <w:rPr>
                        <w:b/>
                        <w:color w:val="FFFFFF"/>
                        <w:sz w:val="18"/>
                      </w:rPr>
                      <w:t>No of</w:t>
                    </w:r>
                    <w:r>
                      <w:rPr>
                        <w:b/>
                        <w:color w:val="FFFFFF"/>
                        <w:spacing w:val="9"/>
                        <w:sz w:val="18"/>
                      </w:rPr>
                      <w:t> </w:t>
                    </w:r>
                    <w:r>
                      <w:rPr>
                        <w:b/>
                        <w:color w:val="FFFFFF"/>
                        <w:sz w:val="18"/>
                      </w:rPr>
                      <w:t>Keys</w:t>
                    </w:r>
                  </w:p>
                </w:txbxContent>
              </v:textbox>
              <w10:wrap type="none"/>
            </v:shape>
            <w10:wrap type="topAndBottom"/>
          </v:group>
        </w:pict>
      </w:r>
    </w:p>
    <w:p>
      <w:pPr>
        <w:tabs>
          <w:tab w:pos="8709" w:val="right" w:leader="none"/>
        </w:tabs>
        <w:spacing w:line="207" w:lineRule="exact" w:before="0"/>
        <w:ind w:left="3090" w:right="0" w:firstLine="0"/>
        <w:jc w:val="left"/>
        <w:rPr>
          <w:sz w:val="20"/>
        </w:rPr>
      </w:pPr>
      <w:r>
        <w:rPr>
          <w:sz w:val="18"/>
        </w:rPr>
        <w:t>Hotel</w:t>
        <w:tab/>
      </w:r>
      <w:r>
        <w:rPr>
          <w:sz w:val="20"/>
        </w:rPr>
        <w:t>247</w:t>
      </w:r>
    </w:p>
    <w:p>
      <w:pPr>
        <w:tabs>
          <w:tab w:pos="8712" w:val="right" w:leader="none"/>
        </w:tabs>
        <w:spacing w:before="31"/>
        <w:ind w:left="3104" w:right="0" w:firstLine="0"/>
        <w:jc w:val="left"/>
        <w:rPr>
          <w:sz w:val="20"/>
        </w:rPr>
      </w:pPr>
      <w:r>
        <w:rPr/>
        <w:pict>
          <v:shape style="position:absolute;margin-left:36pt;margin-top:.620606pt;width:523.6pt;height:.75pt;mso-position-horizontal-relative:page;mso-position-vertical-relative:paragraph;z-index:16503808" coordorigin="720,12" coordsize="10472,15" path="m5973,12l5958,12,720,12,720,27,5958,27,5973,27,5973,12xm11191,12l5973,12,5973,27,11191,27,11191,12xe" filled="true" fillcolor="#69bd28" stroked="false">
            <v:path arrowok="t"/>
            <v:fill type="solid"/>
            <w10:wrap type="none"/>
          </v:shape>
        </w:pict>
      </w:r>
      <w:r>
        <w:rPr/>
        <w:pict>
          <v:shape style="position:absolute;margin-left:35.280003pt;margin-top:13.819606pt;width:524.3pt;height:.75pt;mso-position-horizontal-relative:page;mso-position-vertical-relative:paragraph;z-index:16504320" coordorigin="706,276" coordsize="10486,15" path="m11191,276l5958,276,5944,276,706,276,706,291,5944,291,5958,291,11191,291,11191,276xe" filled="true" fillcolor="#69bd28" stroked="false">
            <v:path arrowok="t"/>
            <v:fill type="solid"/>
            <w10:wrap type="none"/>
          </v:shape>
        </w:pict>
      </w:r>
      <w:r>
        <w:rPr>
          <w:sz w:val="18"/>
        </w:rPr>
        <w:t>Total</w:t>
        <w:tab/>
      </w:r>
      <w:r>
        <w:rPr>
          <w:sz w:val="20"/>
        </w:rPr>
        <w:t>247</w:t>
      </w:r>
    </w:p>
    <w:p>
      <w:pPr>
        <w:spacing w:before="32"/>
        <w:ind w:left="1246" w:right="0" w:firstLine="0"/>
        <w:jc w:val="left"/>
        <w:rPr>
          <w:i/>
          <w:sz w:val="18"/>
        </w:rPr>
      </w:pPr>
      <w:r>
        <w:rPr>
          <w:i/>
          <w:sz w:val="18"/>
        </w:rPr>
        <w:t>Source: Client’s inputs</w:t>
      </w:r>
    </w:p>
    <w:p>
      <w:pPr>
        <w:pStyle w:val="BodyText"/>
        <w:spacing w:before="10"/>
        <w:rPr>
          <w:i/>
          <w:sz w:val="26"/>
        </w:rPr>
      </w:pPr>
    </w:p>
    <w:p>
      <w:pPr>
        <w:pStyle w:val="BodyText"/>
        <w:spacing w:line="321" w:lineRule="auto" w:before="1"/>
        <w:ind w:left="1242" w:right="675"/>
        <w:jc w:val="both"/>
      </w:pPr>
      <w:r>
        <w:rPr/>
        <w:t>The</w:t>
      </w:r>
      <w:r>
        <w:rPr>
          <w:spacing w:val="-42"/>
        </w:rPr>
        <w:t> </w:t>
      </w:r>
      <w:r>
        <w:rPr/>
        <w:t>existing</w:t>
      </w:r>
      <w:r>
        <w:rPr>
          <w:spacing w:val="-41"/>
        </w:rPr>
        <w:t> </w:t>
      </w:r>
      <w:r>
        <w:rPr/>
        <w:t>upscale</w:t>
      </w:r>
      <w:r>
        <w:rPr>
          <w:spacing w:val="-41"/>
        </w:rPr>
        <w:t> </w:t>
      </w:r>
      <w:r>
        <w:rPr/>
        <w:t>hotels</w:t>
      </w:r>
      <w:r>
        <w:rPr>
          <w:spacing w:val="-41"/>
        </w:rPr>
        <w:t> </w:t>
      </w:r>
      <w:r>
        <w:rPr/>
        <w:t>that</w:t>
      </w:r>
      <w:r>
        <w:rPr>
          <w:spacing w:val="-40"/>
        </w:rPr>
        <w:t> </w:t>
      </w:r>
      <w:r>
        <w:rPr/>
        <w:t>are</w:t>
      </w:r>
      <w:r>
        <w:rPr>
          <w:spacing w:val="-42"/>
        </w:rPr>
        <w:t> </w:t>
      </w:r>
      <w:r>
        <w:rPr/>
        <w:t>operational</w:t>
      </w:r>
      <w:r>
        <w:rPr>
          <w:spacing w:val="-41"/>
        </w:rPr>
        <w:t> </w:t>
      </w:r>
      <w:r>
        <w:rPr/>
        <w:t>in</w:t>
      </w:r>
      <w:r>
        <w:rPr>
          <w:spacing w:val="-40"/>
        </w:rPr>
        <w:t> </w:t>
      </w:r>
      <w:r>
        <w:rPr/>
        <w:t>the</w:t>
      </w:r>
      <w:r>
        <w:rPr>
          <w:spacing w:val="-42"/>
        </w:rPr>
        <w:t> </w:t>
      </w:r>
      <w:r>
        <w:rPr/>
        <w:t>vicinity</w:t>
      </w:r>
      <w:r>
        <w:rPr>
          <w:spacing w:val="-40"/>
        </w:rPr>
        <w:t> </w:t>
      </w:r>
      <w:r>
        <w:rPr/>
        <w:t>of</w:t>
      </w:r>
      <w:r>
        <w:rPr>
          <w:spacing w:val="-41"/>
        </w:rPr>
        <w:t> </w:t>
      </w:r>
      <w:r>
        <w:rPr/>
        <w:t>the</w:t>
      </w:r>
      <w:r>
        <w:rPr>
          <w:spacing w:val="-42"/>
        </w:rPr>
        <w:t> </w:t>
      </w:r>
      <w:r>
        <w:rPr/>
        <w:t>subject</w:t>
      </w:r>
      <w:r>
        <w:rPr>
          <w:spacing w:val="-40"/>
        </w:rPr>
        <w:t> </w:t>
      </w:r>
      <w:r>
        <w:rPr/>
        <w:t>property</w:t>
      </w:r>
      <w:r>
        <w:rPr>
          <w:spacing w:val="-41"/>
        </w:rPr>
        <w:t> </w:t>
      </w:r>
      <w:r>
        <w:rPr/>
        <w:t>have</w:t>
      </w:r>
      <w:r>
        <w:rPr>
          <w:spacing w:val="-41"/>
        </w:rPr>
        <w:t> </w:t>
      </w:r>
      <w:r>
        <w:rPr/>
        <w:t>achieved</w:t>
      </w:r>
      <w:r>
        <w:rPr>
          <w:spacing w:val="-40"/>
        </w:rPr>
        <w:t> </w:t>
      </w:r>
      <w:r>
        <w:rPr/>
        <w:t>ARRs in the range of INR 7,500 </w:t>
      </w:r>
      <w:r>
        <w:rPr>
          <w:w w:val="105"/>
        </w:rPr>
        <w:t>– </w:t>
      </w:r>
      <w:r>
        <w:rPr/>
        <w:t>9,500 per room per night and occupancies in the range of 70.0-75.0%. Similarly, mid-scale business hotels that are operational in the vicinity of the subject property have achieved ARRs in the range of INR 4,600 </w:t>
      </w:r>
      <w:r>
        <w:rPr>
          <w:w w:val="105"/>
        </w:rPr>
        <w:t>– </w:t>
      </w:r>
      <w:r>
        <w:rPr/>
        <w:t>7,500 per room per night and occupancies in the range of 65.0-85.0%.</w:t>
      </w:r>
    </w:p>
    <w:p>
      <w:pPr>
        <w:pStyle w:val="BodyText"/>
        <w:spacing w:line="321" w:lineRule="auto" w:before="122"/>
        <w:ind w:left="1242" w:right="674"/>
        <w:jc w:val="both"/>
      </w:pPr>
      <w:r>
        <w:rPr/>
        <w:t>Given the positioning &amp; location of the subject property, performance of the hotel, performance of competing hotels in the subject sub market and development mix (part of a larger commercial development)</w:t>
      </w:r>
      <w:r>
        <w:rPr>
          <w:spacing w:val="-17"/>
        </w:rPr>
        <w:t> </w:t>
      </w:r>
      <w:r>
        <w:rPr/>
        <w:t>etc.,</w:t>
      </w:r>
      <w:r>
        <w:rPr>
          <w:spacing w:val="-16"/>
        </w:rPr>
        <w:t> </w:t>
      </w:r>
      <w:r>
        <w:rPr/>
        <w:t>it</w:t>
      </w:r>
      <w:r>
        <w:rPr>
          <w:spacing w:val="-16"/>
        </w:rPr>
        <w:t> </w:t>
      </w:r>
      <w:r>
        <w:rPr/>
        <w:t>is</w:t>
      </w:r>
      <w:r>
        <w:rPr>
          <w:spacing w:val="-17"/>
        </w:rPr>
        <w:t> </w:t>
      </w:r>
      <w:r>
        <w:rPr/>
        <w:t>opined</w:t>
      </w:r>
      <w:r>
        <w:rPr>
          <w:spacing w:val="-15"/>
        </w:rPr>
        <w:t> </w:t>
      </w:r>
      <w:r>
        <w:rPr/>
        <w:t>that</w:t>
      </w:r>
      <w:r>
        <w:rPr>
          <w:spacing w:val="-17"/>
        </w:rPr>
        <w:t> </w:t>
      </w:r>
      <w:r>
        <w:rPr/>
        <w:t>ARRs</w:t>
      </w:r>
      <w:r>
        <w:rPr>
          <w:spacing w:val="-17"/>
        </w:rPr>
        <w:t> </w:t>
      </w:r>
      <w:r>
        <w:rPr/>
        <w:t>for</w:t>
      </w:r>
      <w:r>
        <w:rPr>
          <w:spacing w:val="-14"/>
        </w:rPr>
        <w:t> </w:t>
      </w:r>
      <w:r>
        <w:rPr/>
        <w:t>hotel</w:t>
      </w:r>
      <w:r>
        <w:rPr>
          <w:spacing w:val="-18"/>
        </w:rPr>
        <w:t> </w:t>
      </w:r>
      <w:r>
        <w:rPr/>
        <w:t>component</w:t>
      </w:r>
      <w:r>
        <w:rPr>
          <w:spacing w:val="-16"/>
        </w:rPr>
        <w:t> </w:t>
      </w:r>
      <w:r>
        <w:rPr/>
        <w:t>would</w:t>
      </w:r>
      <w:r>
        <w:rPr>
          <w:spacing w:val="-17"/>
        </w:rPr>
        <w:t> </w:t>
      </w:r>
      <w:r>
        <w:rPr/>
        <w:t>range</w:t>
      </w:r>
      <w:r>
        <w:rPr>
          <w:spacing w:val="-19"/>
        </w:rPr>
        <w:t> </w:t>
      </w:r>
      <w:r>
        <w:rPr/>
        <w:t>from</w:t>
      </w:r>
      <w:r>
        <w:rPr>
          <w:spacing w:val="-16"/>
        </w:rPr>
        <w:t> </w:t>
      </w:r>
      <w:r>
        <w:rPr/>
        <w:t>INR</w:t>
      </w:r>
      <w:r>
        <w:rPr>
          <w:spacing w:val="-17"/>
        </w:rPr>
        <w:t> </w:t>
      </w:r>
      <w:r>
        <w:rPr/>
        <w:t>8,800</w:t>
      </w:r>
      <w:r>
        <w:rPr>
          <w:spacing w:val="-16"/>
        </w:rPr>
        <w:t> </w:t>
      </w:r>
      <w:r>
        <w:rPr>
          <w:w w:val="105"/>
        </w:rPr>
        <w:t>–</w:t>
      </w:r>
      <w:r>
        <w:rPr>
          <w:spacing w:val="-19"/>
          <w:w w:val="105"/>
        </w:rPr>
        <w:t> </w:t>
      </w:r>
      <w:r>
        <w:rPr/>
        <w:t>INR</w:t>
      </w:r>
      <w:r>
        <w:rPr>
          <w:spacing w:val="-17"/>
        </w:rPr>
        <w:t> </w:t>
      </w:r>
      <w:r>
        <w:rPr/>
        <w:t>9,200 per</w:t>
      </w:r>
      <w:r>
        <w:rPr>
          <w:spacing w:val="-14"/>
        </w:rPr>
        <w:t> </w:t>
      </w:r>
      <w:r>
        <w:rPr/>
        <w:t>room</w:t>
      </w:r>
      <w:r>
        <w:rPr>
          <w:spacing w:val="-13"/>
        </w:rPr>
        <w:t> </w:t>
      </w:r>
      <w:r>
        <w:rPr/>
        <w:t>night</w:t>
      </w:r>
      <w:r>
        <w:rPr>
          <w:spacing w:val="-13"/>
        </w:rPr>
        <w:t> </w:t>
      </w:r>
      <w:r>
        <w:rPr/>
        <w:t>(viz.</w:t>
      </w:r>
      <w:r>
        <w:rPr>
          <w:spacing w:val="-13"/>
        </w:rPr>
        <w:t> </w:t>
      </w:r>
      <w:r>
        <w:rPr/>
        <w:t>approx.</w:t>
      </w:r>
      <w:r>
        <w:rPr>
          <w:spacing w:val="-13"/>
        </w:rPr>
        <w:t> </w:t>
      </w:r>
      <w:r>
        <w:rPr/>
        <w:t>INR</w:t>
      </w:r>
      <w:r>
        <w:rPr>
          <w:spacing w:val="-9"/>
        </w:rPr>
        <w:t> </w:t>
      </w:r>
      <w:r>
        <w:rPr/>
        <w:t>9,000</w:t>
      </w:r>
      <w:r>
        <w:rPr>
          <w:spacing w:val="-14"/>
        </w:rPr>
        <w:t> </w:t>
      </w:r>
      <w:r>
        <w:rPr/>
        <w:t>per</w:t>
      </w:r>
      <w:r>
        <w:rPr>
          <w:spacing w:val="-11"/>
        </w:rPr>
        <w:t> </w:t>
      </w:r>
      <w:r>
        <w:rPr/>
        <w:t>room</w:t>
      </w:r>
      <w:r>
        <w:rPr>
          <w:spacing w:val="-13"/>
        </w:rPr>
        <w:t> </w:t>
      </w:r>
      <w:r>
        <w:rPr/>
        <w:t>night).</w:t>
      </w:r>
      <w:r>
        <w:rPr>
          <w:spacing w:val="-13"/>
        </w:rPr>
        <w:t> </w:t>
      </w:r>
      <w:r>
        <w:rPr/>
        <w:t>Additionally,</w:t>
      </w:r>
      <w:r>
        <w:rPr>
          <w:spacing w:val="-14"/>
        </w:rPr>
        <w:t> </w:t>
      </w:r>
      <w:r>
        <w:rPr/>
        <w:t>the</w:t>
      </w:r>
      <w:r>
        <w:rPr>
          <w:spacing w:val="-13"/>
        </w:rPr>
        <w:t> </w:t>
      </w:r>
      <w:r>
        <w:rPr/>
        <w:t>stabilized</w:t>
      </w:r>
      <w:r>
        <w:rPr>
          <w:spacing w:val="-13"/>
        </w:rPr>
        <w:t> </w:t>
      </w:r>
      <w:r>
        <w:rPr/>
        <w:t>occupancy</w:t>
      </w:r>
      <w:r>
        <w:rPr>
          <w:spacing w:val="-12"/>
        </w:rPr>
        <w:t> </w:t>
      </w:r>
      <w:r>
        <w:rPr/>
        <w:t>for</w:t>
      </w:r>
      <w:r>
        <w:rPr>
          <w:spacing w:val="-14"/>
        </w:rPr>
        <w:t> </w:t>
      </w:r>
      <w:r>
        <w:rPr/>
        <w:t>the subject</w:t>
      </w:r>
      <w:r>
        <w:rPr>
          <w:spacing w:val="-32"/>
        </w:rPr>
        <w:t> </w:t>
      </w:r>
      <w:r>
        <w:rPr/>
        <w:t>development</w:t>
      </w:r>
      <w:r>
        <w:rPr>
          <w:spacing w:val="-32"/>
        </w:rPr>
        <w:t> </w:t>
      </w:r>
      <w:r>
        <w:rPr/>
        <w:t>is</w:t>
      </w:r>
      <w:r>
        <w:rPr>
          <w:spacing w:val="-32"/>
        </w:rPr>
        <w:t> </w:t>
      </w:r>
      <w:r>
        <w:rPr/>
        <w:t>opined</w:t>
      </w:r>
      <w:r>
        <w:rPr>
          <w:spacing w:val="-31"/>
        </w:rPr>
        <w:t> </w:t>
      </w:r>
      <w:r>
        <w:rPr/>
        <w:t>to</w:t>
      </w:r>
      <w:r>
        <w:rPr>
          <w:spacing w:val="-32"/>
        </w:rPr>
        <w:t> </w:t>
      </w:r>
      <w:r>
        <w:rPr/>
        <w:t>be</w:t>
      </w:r>
      <w:r>
        <w:rPr>
          <w:spacing w:val="-31"/>
        </w:rPr>
        <w:t> </w:t>
      </w:r>
      <w:r>
        <w:rPr/>
        <w:t>72.0%</w:t>
      </w:r>
      <w:r>
        <w:rPr>
          <w:spacing w:val="-32"/>
        </w:rPr>
        <w:t> </w:t>
      </w:r>
      <w:r>
        <w:rPr/>
        <w:t>and</w:t>
      </w:r>
      <w:r>
        <w:rPr>
          <w:spacing w:val="-32"/>
        </w:rPr>
        <w:t> </w:t>
      </w:r>
      <w:r>
        <w:rPr/>
        <w:t>based</w:t>
      </w:r>
      <w:r>
        <w:rPr>
          <w:spacing w:val="-31"/>
        </w:rPr>
        <w:t> </w:t>
      </w:r>
      <w:r>
        <w:rPr/>
        <w:t>on</w:t>
      </w:r>
      <w:r>
        <w:rPr>
          <w:spacing w:val="-33"/>
        </w:rPr>
        <w:t> </w:t>
      </w:r>
      <w:r>
        <w:rPr/>
        <w:t>the</w:t>
      </w:r>
      <w:r>
        <w:rPr>
          <w:spacing w:val="-32"/>
        </w:rPr>
        <w:t> </w:t>
      </w:r>
      <w:r>
        <w:rPr/>
        <w:t>recent</w:t>
      </w:r>
      <w:r>
        <w:rPr>
          <w:spacing w:val="-32"/>
        </w:rPr>
        <w:t> </w:t>
      </w:r>
      <w:r>
        <w:rPr/>
        <w:t>performance</w:t>
      </w:r>
      <w:r>
        <w:rPr>
          <w:spacing w:val="-33"/>
        </w:rPr>
        <w:t> </w:t>
      </w:r>
      <w:r>
        <w:rPr/>
        <w:t>of</w:t>
      </w:r>
      <w:r>
        <w:rPr>
          <w:spacing w:val="-31"/>
        </w:rPr>
        <w:t> </w:t>
      </w:r>
      <w:r>
        <w:rPr/>
        <w:t>the</w:t>
      </w:r>
      <w:r>
        <w:rPr>
          <w:spacing w:val="-33"/>
        </w:rPr>
        <w:t> </w:t>
      </w:r>
      <w:r>
        <w:rPr/>
        <w:t>subject</w:t>
      </w:r>
      <w:r>
        <w:rPr>
          <w:spacing w:val="-31"/>
        </w:rPr>
        <w:t> </w:t>
      </w:r>
      <w:r>
        <w:rPr/>
        <w:t>property the</w:t>
      </w:r>
      <w:r>
        <w:rPr>
          <w:spacing w:val="-9"/>
        </w:rPr>
        <w:t> </w:t>
      </w:r>
      <w:r>
        <w:rPr/>
        <w:t>same</w:t>
      </w:r>
      <w:r>
        <w:rPr>
          <w:spacing w:val="-8"/>
        </w:rPr>
        <w:t> </w:t>
      </w:r>
      <w:r>
        <w:rPr/>
        <w:t>is</w:t>
      </w:r>
      <w:r>
        <w:rPr>
          <w:spacing w:val="-8"/>
        </w:rPr>
        <w:t> </w:t>
      </w:r>
      <w:r>
        <w:rPr/>
        <w:t>expected</w:t>
      </w:r>
      <w:r>
        <w:rPr>
          <w:spacing w:val="-9"/>
        </w:rPr>
        <w:t> </w:t>
      </w:r>
      <w:r>
        <w:rPr/>
        <w:t>to</w:t>
      </w:r>
      <w:r>
        <w:rPr>
          <w:spacing w:val="-11"/>
        </w:rPr>
        <w:t> </w:t>
      </w:r>
      <w:r>
        <w:rPr/>
        <w:t>be</w:t>
      </w:r>
      <w:r>
        <w:rPr>
          <w:spacing w:val="-8"/>
        </w:rPr>
        <w:t> </w:t>
      </w:r>
      <w:r>
        <w:rPr/>
        <w:t>stabilized</w:t>
      </w:r>
      <w:r>
        <w:rPr>
          <w:spacing w:val="-7"/>
        </w:rPr>
        <w:t> </w:t>
      </w:r>
      <w:r>
        <w:rPr/>
        <w:t>4</w:t>
      </w:r>
      <w:r>
        <w:rPr>
          <w:spacing w:val="-9"/>
        </w:rPr>
        <w:t> </w:t>
      </w:r>
      <w:r>
        <w:rPr/>
        <w:t>quarters</w:t>
      </w:r>
      <w:r>
        <w:rPr>
          <w:spacing w:val="-10"/>
        </w:rPr>
        <w:t> </w:t>
      </w:r>
      <w:r>
        <w:rPr/>
        <w:t>from</w:t>
      </w:r>
      <w:r>
        <w:rPr>
          <w:spacing w:val="-8"/>
        </w:rPr>
        <w:t> </w:t>
      </w:r>
      <w:r>
        <w:rPr/>
        <w:t>the</w:t>
      </w:r>
      <w:r>
        <w:rPr>
          <w:spacing w:val="-10"/>
        </w:rPr>
        <w:t> </w:t>
      </w:r>
      <w:r>
        <w:rPr/>
        <w:t>date</w:t>
      </w:r>
      <w:r>
        <w:rPr>
          <w:spacing w:val="-8"/>
        </w:rPr>
        <w:t> </w:t>
      </w:r>
      <w:r>
        <w:rPr/>
        <w:t>of</w:t>
      </w:r>
      <w:r>
        <w:rPr>
          <w:spacing w:val="-8"/>
        </w:rPr>
        <w:t> </w:t>
      </w:r>
      <w:r>
        <w:rPr/>
        <w:t>valuation.</w:t>
      </w:r>
    </w:p>
    <w:p>
      <w:pPr>
        <w:pStyle w:val="ListParagraph"/>
        <w:numPr>
          <w:ilvl w:val="3"/>
          <w:numId w:val="90"/>
        </w:numPr>
        <w:tabs>
          <w:tab w:pos="1545" w:val="left" w:leader="none"/>
        </w:tabs>
        <w:spacing w:line="240" w:lineRule="auto" w:before="212" w:after="0"/>
        <w:ind w:left="1544" w:right="0" w:hanging="865"/>
        <w:jc w:val="left"/>
        <w:rPr>
          <w:i/>
          <w:sz w:val="20"/>
        </w:rPr>
      </w:pPr>
      <w:r>
        <w:rPr>
          <w:i/>
          <w:color w:val="008000"/>
          <w:sz w:val="20"/>
        </w:rPr>
        <w:t>Other</w:t>
      </w:r>
      <w:r>
        <w:rPr>
          <w:i/>
          <w:color w:val="008000"/>
          <w:spacing w:val="-4"/>
          <w:sz w:val="20"/>
        </w:rPr>
        <w:t> </w:t>
      </w:r>
      <w:r>
        <w:rPr>
          <w:i/>
          <w:color w:val="008000"/>
          <w:sz w:val="20"/>
        </w:rPr>
        <w:t>Revenues</w:t>
      </w:r>
    </w:p>
    <w:p>
      <w:pPr>
        <w:pStyle w:val="BodyText"/>
        <w:spacing w:line="321" w:lineRule="auto" w:before="76"/>
        <w:ind w:left="1242" w:right="677"/>
        <w:jc w:val="both"/>
      </w:pPr>
      <w:r>
        <w:rPr/>
        <w:t>The</w:t>
      </w:r>
      <w:r>
        <w:rPr>
          <w:spacing w:val="-36"/>
        </w:rPr>
        <w:t> </w:t>
      </w:r>
      <w:r>
        <w:rPr/>
        <w:t>revenue</w:t>
      </w:r>
      <w:r>
        <w:rPr>
          <w:spacing w:val="-34"/>
        </w:rPr>
        <w:t> </w:t>
      </w:r>
      <w:r>
        <w:rPr/>
        <w:t>assumptions</w:t>
      </w:r>
      <w:r>
        <w:rPr>
          <w:spacing w:val="-35"/>
        </w:rPr>
        <w:t> </w:t>
      </w:r>
      <w:r>
        <w:rPr/>
        <w:t>for</w:t>
      </w:r>
      <w:r>
        <w:rPr>
          <w:spacing w:val="-35"/>
        </w:rPr>
        <w:t> </w:t>
      </w:r>
      <w:r>
        <w:rPr/>
        <w:t>the</w:t>
      </w:r>
      <w:r>
        <w:rPr>
          <w:spacing w:val="-35"/>
        </w:rPr>
        <w:t> </w:t>
      </w:r>
      <w:r>
        <w:rPr/>
        <w:t>hotel</w:t>
      </w:r>
      <w:r>
        <w:rPr>
          <w:spacing w:val="-34"/>
        </w:rPr>
        <w:t> </w:t>
      </w:r>
      <w:r>
        <w:rPr/>
        <w:t>component</w:t>
      </w:r>
      <w:r>
        <w:rPr>
          <w:spacing w:val="-35"/>
        </w:rPr>
        <w:t> </w:t>
      </w:r>
      <w:r>
        <w:rPr/>
        <w:t>of</w:t>
      </w:r>
      <w:r>
        <w:rPr>
          <w:spacing w:val="-34"/>
        </w:rPr>
        <w:t> </w:t>
      </w:r>
      <w:r>
        <w:rPr/>
        <w:t>the</w:t>
      </w:r>
      <w:r>
        <w:rPr>
          <w:spacing w:val="-35"/>
        </w:rPr>
        <w:t> </w:t>
      </w:r>
      <w:r>
        <w:rPr/>
        <w:t>subject</w:t>
      </w:r>
      <w:r>
        <w:rPr>
          <w:spacing w:val="-34"/>
        </w:rPr>
        <w:t> </w:t>
      </w:r>
      <w:r>
        <w:rPr/>
        <w:t>development</w:t>
      </w:r>
      <w:r>
        <w:rPr>
          <w:spacing w:val="-34"/>
        </w:rPr>
        <w:t> </w:t>
      </w:r>
      <w:r>
        <w:rPr/>
        <w:t>have</w:t>
      </w:r>
      <w:r>
        <w:rPr>
          <w:spacing w:val="-35"/>
        </w:rPr>
        <w:t> </w:t>
      </w:r>
      <w:r>
        <w:rPr/>
        <w:t>been</w:t>
      </w:r>
      <w:r>
        <w:rPr>
          <w:spacing w:val="-35"/>
        </w:rPr>
        <w:t> </w:t>
      </w:r>
      <w:r>
        <w:rPr/>
        <w:t>enumerated</w:t>
      </w:r>
      <w:r>
        <w:rPr>
          <w:spacing w:val="-34"/>
        </w:rPr>
        <w:t> </w:t>
      </w:r>
      <w:r>
        <w:rPr/>
        <w:t>in the table</w:t>
      </w:r>
      <w:r>
        <w:rPr>
          <w:spacing w:val="-7"/>
        </w:rPr>
        <w:t> </w:t>
      </w:r>
      <w:r>
        <w:rPr/>
        <w:t>below:</w:t>
      </w:r>
    </w:p>
    <w:p>
      <w:pPr>
        <w:pStyle w:val="BodyText"/>
        <w:spacing w:before="5"/>
        <w:rPr>
          <w:sz w:val="20"/>
        </w:rPr>
      </w:pPr>
    </w:p>
    <w:tbl>
      <w:tblPr>
        <w:tblW w:w="0" w:type="auto"/>
        <w:jc w:val="left"/>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15"/>
        <w:gridCol w:w="3229"/>
        <w:gridCol w:w="719"/>
        <w:gridCol w:w="208"/>
        <w:gridCol w:w="1852"/>
        <w:gridCol w:w="2046"/>
      </w:tblGrid>
      <w:tr>
        <w:trPr>
          <w:trHeight w:val="623" w:hRule="atLeast"/>
        </w:trPr>
        <w:tc>
          <w:tcPr>
            <w:tcW w:w="2415" w:type="dxa"/>
            <w:tcBorders>
              <w:top w:val="single" w:sz="4" w:space="0" w:color="69BD28"/>
              <w:bottom w:val="single" w:sz="4" w:space="0" w:color="69BD28"/>
            </w:tcBorders>
            <w:shd w:val="clear" w:color="auto" w:fill="006A4D"/>
          </w:tcPr>
          <w:p>
            <w:pPr>
              <w:pStyle w:val="TableParagraph"/>
              <w:spacing w:before="10"/>
              <w:jc w:val="left"/>
              <w:rPr>
                <w:sz w:val="17"/>
              </w:rPr>
            </w:pPr>
          </w:p>
          <w:p>
            <w:pPr>
              <w:pStyle w:val="TableParagraph"/>
              <w:ind w:left="684"/>
              <w:jc w:val="left"/>
              <w:rPr>
                <w:b/>
                <w:sz w:val="18"/>
              </w:rPr>
            </w:pPr>
            <w:r>
              <w:rPr>
                <w:b/>
                <w:color w:val="FFFFFF"/>
                <w:w w:val="105"/>
                <w:sz w:val="18"/>
              </w:rPr>
              <w:t>Component</w:t>
            </w:r>
          </w:p>
        </w:tc>
        <w:tc>
          <w:tcPr>
            <w:tcW w:w="3229" w:type="dxa"/>
            <w:tcBorders>
              <w:top w:val="single" w:sz="4" w:space="0" w:color="69BD28"/>
              <w:bottom w:val="single" w:sz="4" w:space="0" w:color="69BD28"/>
            </w:tcBorders>
            <w:shd w:val="clear" w:color="auto" w:fill="006A4D"/>
          </w:tcPr>
          <w:p>
            <w:pPr>
              <w:pStyle w:val="TableParagraph"/>
              <w:spacing w:before="10"/>
              <w:jc w:val="left"/>
              <w:rPr>
                <w:sz w:val="17"/>
              </w:rPr>
            </w:pPr>
          </w:p>
          <w:p>
            <w:pPr>
              <w:pStyle w:val="TableParagraph"/>
              <w:ind w:left="621" w:right="463"/>
              <w:rPr>
                <w:b/>
                <w:sz w:val="18"/>
              </w:rPr>
            </w:pPr>
            <w:r>
              <w:rPr>
                <w:b/>
                <w:color w:val="FFFFFF"/>
                <w:w w:val="105"/>
                <w:sz w:val="18"/>
              </w:rPr>
              <w:t>Particular</w:t>
            </w:r>
          </w:p>
        </w:tc>
        <w:tc>
          <w:tcPr>
            <w:tcW w:w="719" w:type="dxa"/>
            <w:tcBorders>
              <w:top w:val="single" w:sz="4" w:space="0" w:color="69BD28"/>
              <w:bottom w:val="single" w:sz="4" w:space="0" w:color="69BD28"/>
            </w:tcBorders>
            <w:shd w:val="clear" w:color="auto" w:fill="006A4D"/>
          </w:tcPr>
          <w:p>
            <w:pPr>
              <w:pStyle w:val="TableParagraph"/>
              <w:jc w:val="left"/>
              <w:rPr>
                <w:rFonts w:ascii="Times New Roman"/>
                <w:sz w:val="20"/>
              </w:rPr>
            </w:pPr>
          </w:p>
        </w:tc>
        <w:tc>
          <w:tcPr>
            <w:tcW w:w="208" w:type="dxa"/>
            <w:tcBorders>
              <w:top w:val="single" w:sz="4" w:space="0" w:color="69BD28"/>
              <w:bottom w:val="single" w:sz="4" w:space="0" w:color="69BD28"/>
            </w:tcBorders>
            <w:shd w:val="clear" w:color="auto" w:fill="006A4D"/>
          </w:tcPr>
          <w:p>
            <w:pPr>
              <w:pStyle w:val="TableParagraph"/>
              <w:jc w:val="left"/>
              <w:rPr>
                <w:rFonts w:ascii="Times New Roman"/>
                <w:sz w:val="20"/>
              </w:rPr>
            </w:pPr>
          </w:p>
        </w:tc>
        <w:tc>
          <w:tcPr>
            <w:tcW w:w="1852" w:type="dxa"/>
            <w:tcBorders>
              <w:top w:val="single" w:sz="4" w:space="0" w:color="69BD28"/>
              <w:bottom w:val="single" w:sz="4" w:space="0" w:color="69BD28"/>
            </w:tcBorders>
            <w:shd w:val="clear" w:color="auto" w:fill="006A4D"/>
          </w:tcPr>
          <w:p>
            <w:pPr>
              <w:pStyle w:val="TableParagraph"/>
              <w:spacing w:before="10"/>
              <w:jc w:val="left"/>
              <w:rPr>
                <w:sz w:val="17"/>
              </w:rPr>
            </w:pPr>
          </w:p>
          <w:p>
            <w:pPr>
              <w:pStyle w:val="TableParagraph"/>
              <w:ind w:left="220"/>
              <w:jc w:val="left"/>
              <w:rPr>
                <w:b/>
                <w:sz w:val="18"/>
              </w:rPr>
            </w:pPr>
            <w:r>
              <w:rPr>
                <w:b/>
                <w:color w:val="FFFFFF"/>
                <w:w w:val="105"/>
                <w:sz w:val="18"/>
              </w:rPr>
              <w:t>Unit</w:t>
            </w:r>
          </w:p>
        </w:tc>
        <w:tc>
          <w:tcPr>
            <w:tcW w:w="2046" w:type="dxa"/>
            <w:tcBorders>
              <w:top w:val="single" w:sz="4" w:space="0" w:color="69BD28"/>
              <w:bottom w:val="single" w:sz="4" w:space="0" w:color="69BD28"/>
            </w:tcBorders>
            <w:shd w:val="clear" w:color="auto" w:fill="006A4D"/>
          </w:tcPr>
          <w:p>
            <w:pPr>
              <w:pStyle w:val="TableParagraph"/>
              <w:spacing w:before="10"/>
              <w:jc w:val="left"/>
              <w:rPr>
                <w:sz w:val="17"/>
              </w:rPr>
            </w:pPr>
          </w:p>
          <w:p>
            <w:pPr>
              <w:pStyle w:val="TableParagraph"/>
              <w:ind w:left="617"/>
              <w:jc w:val="left"/>
              <w:rPr>
                <w:b/>
                <w:sz w:val="18"/>
              </w:rPr>
            </w:pPr>
            <w:r>
              <w:rPr>
                <w:b/>
                <w:color w:val="FFFFFF"/>
                <w:w w:val="105"/>
                <w:sz w:val="18"/>
              </w:rPr>
              <w:t>5 Star</w:t>
            </w:r>
          </w:p>
        </w:tc>
      </w:tr>
      <w:tr>
        <w:trPr>
          <w:trHeight w:val="410" w:hRule="atLeast"/>
        </w:trPr>
        <w:tc>
          <w:tcPr>
            <w:tcW w:w="2415" w:type="dxa"/>
            <w:vMerge w:val="restart"/>
            <w:shd w:val="clear" w:color="auto" w:fill="69BD28"/>
          </w:tcPr>
          <w:p>
            <w:pPr>
              <w:pStyle w:val="TableParagraph"/>
              <w:spacing w:before="8"/>
              <w:jc w:val="left"/>
              <w:rPr>
                <w:sz w:val="26"/>
              </w:rPr>
            </w:pPr>
          </w:p>
          <w:p>
            <w:pPr>
              <w:pStyle w:val="TableParagraph"/>
              <w:spacing w:before="1"/>
              <w:ind w:left="27" w:right="36"/>
              <w:rPr>
                <w:b/>
                <w:sz w:val="18"/>
              </w:rPr>
            </w:pPr>
            <w:r>
              <w:rPr>
                <w:b/>
                <w:color w:val="FFFFFF"/>
                <w:w w:val="105"/>
                <w:sz w:val="18"/>
              </w:rPr>
              <w:t>Hotel</w:t>
            </w:r>
          </w:p>
        </w:tc>
        <w:tc>
          <w:tcPr>
            <w:tcW w:w="3229" w:type="dxa"/>
            <w:tcBorders>
              <w:top w:val="single" w:sz="4" w:space="0" w:color="69BD28"/>
              <w:bottom w:val="single" w:sz="4" w:space="0" w:color="69BD28"/>
            </w:tcBorders>
          </w:tcPr>
          <w:p>
            <w:pPr>
              <w:pStyle w:val="TableParagraph"/>
              <w:spacing w:before="102"/>
              <w:ind w:left="621" w:right="465"/>
              <w:rPr>
                <w:sz w:val="18"/>
              </w:rPr>
            </w:pPr>
            <w:r>
              <w:rPr>
                <w:sz w:val="18"/>
              </w:rPr>
              <w:t>Food &amp; Beverage Revenue</w:t>
            </w:r>
          </w:p>
        </w:tc>
        <w:tc>
          <w:tcPr>
            <w:tcW w:w="719" w:type="dxa"/>
            <w:tcBorders>
              <w:top w:val="single" w:sz="4" w:space="0" w:color="69BD28"/>
              <w:bottom w:val="single" w:sz="4" w:space="0" w:color="69BD28"/>
            </w:tcBorders>
          </w:tcPr>
          <w:p>
            <w:pPr>
              <w:pStyle w:val="TableParagraph"/>
              <w:spacing w:before="102"/>
              <w:ind w:right="26"/>
              <w:jc w:val="right"/>
              <w:rPr>
                <w:sz w:val="18"/>
              </w:rPr>
            </w:pPr>
            <w:r>
              <w:rPr>
                <w:sz w:val="18"/>
              </w:rPr>
              <w:t>(%</w:t>
            </w:r>
          </w:p>
        </w:tc>
        <w:tc>
          <w:tcPr>
            <w:tcW w:w="208" w:type="dxa"/>
            <w:tcBorders>
              <w:top w:val="single" w:sz="4" w:space="0" w:color="69BD28"/>
              <w:bottom w:val="single" w:sz="4" w:space="0" w:color="69BD28"/>
            </w:tcBorders>
          </w:tcPr>
          <w:p>
            <w:pPr>
              <w:pStyle w:val="TableParagraph"/>
              <w:spacing w:before="102"/>
              <w:ind w:left="2" w:right="2"/>
              <w:rPr>
                <w:sz w:val="18"/>
              </w:rPr>
            </w:pPr>
            <w:r>
              <w:rPr>
                <w:sz w:val="18"/>
              </w:rPr>
              <w:t>of</w:t>
            </w:r>
          </w:p>
        </w:tc>
        <w:tc>
          <w:tcPr>
            <w:tcW w:w="1852" w:type="dxa"/>
            <w:tcBorders>
              <w:top w:val="single" w:sz="4" w:space="0" w:color="69BD28"/>
              <w:bottom w:val="single" w:sz="4" w:space="0" w:color="69BD28"/>
            </w:tcBorders>
          </w:tcPr>
          <w:p>
            <w:pPr>
              <w:pStyle w:val="TableParagraph"/>
              <w:spacing w:before="102"/>
              <w:ind w:left="27"/>
              <w:jc w:val="left"/>
              <w:rPr>
                <w:sz w:val="18"/>
              </w:rPr>
            </w:pPr>
            <w:r>
              <w:rPr>
                <w:sz w:val="18"/>
              </w:rPr>
              <w:t>Room Revenue)</w:t>
            </w:r>
          </w:p>
        </w:tc>
        <w:tc>
          <w:tcPr>
            <w:tcW w:w="2046" w:type="dxa"/>
            <w:tcBorders>
              <w:top w:val="single" w:sz="4" w:space="0" w:color="69BD28"/>
              <w:bottom w:val="single" w:sz="4" w:space="0" w:color="69BD28"/>
            </w:tcBorders>
          </w:tcPr>
          <w:p>
            <w:pPr>
              <w:pStyle w:val="TableParagraph"/>
              <w:spacing w:before="102"/>
              <w:ind w:left="632"/>
              <w:jc w:val="left"/>
              <w:rPr>
                <w:sz w:val="18"/>
              </w:rPr>
            </w:pPr>
            <w:r>
              <w:rPr>
                <w:w w:val="110"/>
                <w:sz w:val="18"/>
              </w:rPr>
              <w:t>50.0%</w:t>
            </w:r>
          </w:p>
        </w:tc>
      </w:tr>
      <w:tr>
        <w:trPr>
          <w:trHeight w:val="409" w:hRule="atLeast"/>
        </w:trPr>
        <w:tc>
          <w:tcPr>
            <w:tcW w:w="2415" w:type="dxa"/>
            <w:vMerge/>
            <w:tcBorders>
              <w:top w:val="nil"/>
            </w:tcBorders>
            <w:shd w:val="clear" w:color="auto" w:fill="69BD28"/>
          </w:tcPr>
          <w:p>
            <w:pPr>
              <w:rPr>
                <w:sz w:val="2"/>
                <w:szCs w:val="2"/>
              </w:rPr>
            </w:pPr>
          </w:p>
        </w:tc>
        <w:tc>
          <w:tcPr>
            <w:tcW w:w="3229" w:type="dxa"/>
            <w:tcBorders>
              <w:top w:val="single" w:sz="4" w:space="0" w:color="69BD28"/>
              <w:bottom w:val="single" w:sz="4" w:space="0" w:color="69BD28"/>
            </w:tcBorders>
          </w:tcPr>
          <w:p>
            <w:pPr>
              <w:pStyle w:val="TableParagraph"/>
              <w:spacing w:before="102"/>
              <w:ind w:left="621" w:right="462"/>
              <w:rPr>
                <w:sz w:val="18"/>
              </w:rPr>
            </w:pPr>
            <w:r>
              <w:rPr>
                <w:w w:val="110"/>
                <w:sz w:val="18"/>
              </w:rPr>
              <w:t>MOD Revenue</w:t>
            </w:r>
          </w:p>
        </w:tc>
        <w:tc>
          <w:tcPr>
            <w:tcW w:w="719" w:type="dxa"/>
            <w:tcBorders>
              <w:top w:val="single" w:sz="4" w:space="0" w:color="69BD28"/>
              <w:bottom w:val="single" w:sz="4" w:space="0" w:color="69BD28"/>
            </w:tcBorders>
          </w:tcPr>
          <w:p>
            <w:pPr>
              <w:pStyle w:val="TableParagraph"/>
              <w:spacing w:before="102"/>
              <w:ind w:right="26"/>
              <w:jc w:val="right"/>
              <w:rPr>
                <w:sz w:val="18"/>
              </w:rPr>
            </w:pPr>
            <w:r>
              <w:rPr>
                <w:sz w:val="18"/>
              </w:rPr>
              <w:t>(%</w:t>
            </w:r>
          </w:p>
        </w:tc>
        <w:tc>
          <w:tcPr>
            <w:tcW w:w="208" w:type="dxa"/>
            <w:tcBorders>
              <w:top w:val="single" w:sz="4" w:space="0" w:color="69BD28"/>
              <w:bottom w:val="single" w:sz="4" w:space="0" w:color="69BD28"/>
            </w:tcBorders>
          </w:tcPr>
          <w:p>
            <w:pPr>
              <w:pStyle w:val="TableParagraph"/>
              <w:spacing w:before="102"/>
              <w:ind w:left="2" w:right="2"/>
              <w:rPr>
                <w:sz w:val="18"/>
              </w:rPr>
            </w:pPr>
            <w:r>
              <w:rPr>
                <w:sz w:val="18"/>
              </w:rPr>
              <w:t>of</w:t>
            </w:r>
          </w:p>
        </w:tc>
        <w:tc>
          <w:tcPr>
            <w:tcW w:w="1852" w:type="dxa"/>
            <w:tcBorders>
              <w:top w:val="single" w:sz="4" w:space="0" w:color="69BD28"/>
              <w:bottom w:val="single" w:sz="4" w:space="0" w:color="69BD28"/>
            </w:tcBorders>
          </w:tcPr>
          <w:p>
            <w:pPr>
              <w:pStyle w:val="TableParagraph"/>
              <w:spacing w:before="102"/>
              <w:ind w:left="27"/>
              <w:jc w:val="left"/>
              <w:rPr>
                <w:sz w:val="18"/>
              </w:rPr>
            </w:pPr>
            <w:r>
              <w:rPr>
                <w:sz w:val="18"/>
              </w:rPr>
              <w:t>Room Revenue)</w:t>
            </w:r>
          </w:p>
        </w:tc>
        <w:tc>
          <w:tcPr>
            <w:tcW w:w="2046" w:type="dxa"/>
            <w:tcBorders>
              <w:top w:val="single" w:sz="4" w:space="0" w:color="69BD28"/>
              <w:bottom w:val="single" w:sz="4" w:space="0" w:color="69BD28"/>
            </w:tcBorders>
          </w:tcPr>
          <w:p>
            <w:pPr>
              <w:pStyle w:val="TableParagraph"/>
              <w:spacing w:before="102"/>
              <w:ind w:left="685"/>
              <w:jc w:val="left"/>
              <w:rPr>
                <w:sz w:val="18"/>
              </w:rPr>
            </w:pPr>
            <w:r>
              <w:rPr>
                <w:w w:val="110"/>
                <w:sz w:val="18"/>
              </w:rPr>
              <w:t>6.0%</w:t>
            </w:r>
          </w:p>
        </w:tc>
      </w:tr>
    </w:tbl>
    <w:p>
      <w:pPr>
        <w:spacing w:before="3"/>
        <w:ind w:left="680" w:right="0" w:firstLine="0"/>
        <w:jc w:val="left"/>
        <w:rPr>
          <w:i/>
          <w:sz w:val="18"/>
        </w:rPr>
      </w:pPr>
      <w:r>
        <w:rPr>
          <w:i/>
          <w:sz w:val="18"/>
        </w:rPr>
        <w:t>Source: Valuer’s Assessment</w:t>
      </w:r>
    </w:p>
    <w:p>
      <w:pPr>
        <w:pStyle w:val="BodyText"/>
        <w:spacing w:before="11"/>
        <w:rPr>
          <w:i/>
          <w:sz w:val="26"/>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68" w:id="719"/>
      <w:bookmarkEnd w:id="719"/>
      <w:r>
        <w:rPr/>
      </w:r>
      <w:bookmarkStart w:name="_bookmark368" w:id="720"/>
      <w:bookmarkEnd w:id="720"/>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7"/>
        <w:rPr>
          <w:sz w:val="25"/>
        </w:rPr>
      </w:pPr>
    </w:p>
    <w:p>
      <w:pPr>
        <w:pStyle w:val="ListParagraph"/>
        <w:numPr>
          <w:ilvl w:val="3"/>
          <w:numId w:val="91"/>
        </w:numPr>
        <w:tabs>
          <w:tab w:pos="1545" w:val="left" w:leader="none"/>
        </w:tabs>
        <w:spacing w:line="240" w:lineRule="auto" w:before="0" w:after="0"/>
        <w:ind w:left="1544" w:right="0" w:hanging="865"/>
        <w:jc w:val="left"/>
        <w:rPr>
          <w:i/>
          <w:sz w:val="20"/>
        </w:rPr>
      </w:pPr>
      <w:r>
        <w:rPr>
          <w:i/>
          <w:color w:val="008000"/>
          <w:sz w:val="20"/>
        </w:rPr>
        <w:t>Major Repair and</w:t>
      </w:r>
      <w:r>
        <w:rPr>
          <w:i/>
          <w:color w:val="008000"/>
          <w:spacing w:val="-10"/>
          <w:sz w:val="20"/>
        </w:rPr>
        <w:t> </w:t>
      </w:r>
      <w:r>
        <w:rPr>
          <w:i/>
          <w:color w:val="008000"/>
          <w:sz w:val="20"/>
        </w:rPr>
        <w:t>improvements</w:t>
      </w:r>
    </w:p>
    <w:p>
      <w:pPr>
        <w:pStyle w:val="BodyText"/>
        <w:spacing w:line="321" w:lineRule="auto" w:before="76"/>
        <w:ind w:left="1242" w:right="675"/>
        <w:jc w:val="both"/>
      </w:pPr>
      <w:r>
        <w:rPr/>
        <w:t>The following table highlights the assumptions towards the refurbishment expenses/ infrastructure upgrade works in the subject development:</w:t>
      </w:r>
    </w:p>
    <w:p>
      <w:pPr>
        <w:pStyle w:val="BodyText"/>
        <w:ind w:left="665"/>
        <w:rPr>
          <w:sz w:val="20"/>
        </w:rPr>
      </w:pPr>
      <w:r>
        <w:rPr>
          <w:sz w:val="20"/>
        </w:rPr>
        <w:pict>
          <v:group style="width:524.3pt;height:17.3pt;mso-position-horizontal-relative:char;mso-position-vertical-relative:line" coordorigin="0,0" coordsize="10486,346">
            <v:shape style="position:absolute;left:14;top:16;width:10472;height:315" coordorigin="14,17" coordsize="10472,315" path="m10486,17l8047,17,4335,17,14,17,14,331,4335,331,8047,331,10486,331,10486,17xe" filled="true" fillcolor="#006a4d" stroked="false">
              <v:path arrowok="t"/>
              <v:fill type="solid"/>
            </v:shape>
            <v:shape style="position:absolute;left:14;top:0;width:10472;height:346" coordorigin="14,0" coordsize="10472,346" path="m10486,331l8061,331,8047,331,4350,331,4335,331,14,331,14,346,4335,346,4350,346,8047,346,8061,346,10486,346,10486,331xm10486,0l8061,0,8047,0,4350,0,4335,0,14,0,14,14,4335,14,4350,14,8047,14,8061,14,10486,14,10486,0xe" filled="true" fillcolor="#69bd28" stroked="false">
              <v:path arrowok="t"/>
              <v:fill type="solid"/>
            </v:shape>
            <v:shape style="position:absolute;left:0;top:14;width:10486;height:317" type="#_x0000_t202" filled="false" stroked="false">
              <v:textbox inset="0,0,0,0">
                <w:txbxContent>
                  <w:p>
                    <w:pPr>
                      <w:tabs>
                        <w:tab w:pos="4914" w:val="left" w:leader="none"/>
                        <w:tab w:pos="8243" w:val="left" w:leader="none"/>
                      </w:tabs>
                      <w:spacing w:before="56"/>
                      <w:ind w:left="1531" w:right="0" w:firstLine="0"/>
                      <w:jc w:val="left"/>
                      <w:rPr>
                        <w:b/>
                        <w:sz w:val="18"/>
                      </w:rPr>
                    </w:pPr>
                    <w:r>
                      <w:rPr>
                        <w:b/>
                        <w:color w:val="FFFFFF"/>
                        <w:w w:val="110"/>
                        <w:sz w:val="18"/>
                      </w:rPr>
                      <w:t>Expense</w:t>
                    </w:r>
                    <w:r>
                      <w:rPr>
                        <w:b/>
                        <w:color w:val="FFFFFF"/>
                        <w:spacing w:val="-7"/>
                        <w:w w:val="110"/>
                        <w:sz w:val="18"/>
                      </w:rPr>
                      <w:t> </w:t>
                    </w:r>
                    <w:r>
                      <w:rPr>
                        <w:b/>
                        <w:color w:val="FFFFFF"/>
                        <w:w w:val="110"/>
                        <w:sz w:val="18"/>
                      </w:rPr>
                      <w:t>Head</w:t>
                      <w:tab/>
                      <w:t>Total Pending Cost</w:t>
                    </w:r>
                    <w:r>
                      <w:rPr>
                        <w:b/>
                        <w:color w:val="FFFFFF"/>
                        <w:spacing w:val="-14"/>
                        <w:w w:val="110"/>
                        <w:sz w:val="18"/>
                      </w:rPr>
                      <w:t> </w:t>
                    </w:r>
                    <w:r>
                      <w:rPr>
                        <w:b/>
                        <w:color w:val="FFFFFF"/>
                        <w:w w:val="110"/>
                        <w:sz w:val="18"/>
                      </w:rPr>
                      <w:t>(INR</w:t>
                    </w:r>
                    <w:r>
                      <w:rPr>
                        <w:b/>
                        <w:color w:val="FFFFFF"/>
                        <w:spacing w:val="-5"/>
                        <w:w w:val="110"/>
                        <w:sz w:val="18"/>
                      </w:rPr>
                      <w:t> </w:t>
                    </w:r>
                    <w:r>
                      <w:rPr>
                        <w:b/>
                        <w:color w:val="FFFFFF"/>
                        <w:w w:val="110"/>
                        <w:sz w:val="18"/>
                      </w:rPr>
                      <w:t>Mn)</w:t>
                      <w:tab/>
                      <w:t>Quarter of</w:t>
                    </w:r>
                    <w:r>
                      <w:rPr>
                        <w:b/>
                        <w:color w:val="FFFFFF"/>
                        <w:spacing w:val="-23"/>
                        <w:w w:val="110"/>
                        <w:sz w:val="18"/>
                      </w:rPr>
                      <w:t> </w:t>
                    </w:r>
                    <w:r>
                      <w:rPr>
                        <w:b/>
                        <w:color w:val="FFFFFF"/>
                        <w:w w:val="110"/>
                        <w:sz w:val="18"/>
                      </w:rPr>
                      <w:t>Completion</w:t>
                    </w:r>
                  </w:p>
                </w:txbxContent>
              </v:textbox>
              <w10:wrap type="none"/>
            </v:shape>
          </v:group>
        </w:pict>
      </w:r>
      <w:r>
        <w:rPr>
          <w:sz w:val="20"/>
        </w:rPr>
      </w:r>
    </w:p>
    <w:p>
      <w:pPr>
        <w:tabs>
          <w:tab w:pos="6563" w:val="left" w:leader="none"/>
          <w:tab w:pos="9408" w:val="left" w:leader="none"/>
        </w:tabs>
        <w:spacing w:before="2"/>
        <w:ind w:left="1412" w:right="0" w:firstLine="0"/>
        <w:jc w:val="left"/>
        <w:rPr>
          <w:sz w:val="18"/>
        </w:rPr>
      </w:pPr>
      <w:r>
        <w:rPr/>
        <w:pict>
          <v:rect style="position:absolute;margin-left:35.280003pt;margin-top:12.630669pt;width:524.280025pt;height:.72pt;mso-position-horizontal-relative:page;mso-position-vertical-relative:paragraph;z-index:-14953984;mso-wrap-distance-left:0;mso-wrap-distance-right:0" filled="true" fillcolor="#69bd28" stroked="false">
            <v:fill type="solid"/>
            <w10:wrap type="topAndBottom"/>
          </v:rect>
        </w:pict>
      </w:r>
      <w:r>
        <w:rPr>
          <w:w w:val="105"/>
          <w:sz w:val="18"/>
        </w:rPr>
        <w:t>Hilton</w:t>
      </w:r>
      <w:r>
        <w:rPr>
          <w:spacing w:val="-24"/>
          <w:w w:val="105"/>
          <w:sz w:val="18"/>
        </w:rPr>
        <w:t> </w:t>
      </w:r>
      <w:r>
        <w:rPr>
          <w:w w:val="105"/>
          <w:sz w:val="18"/>
        </w:rPr>
        <w:t>-</w:t>
      </w:r>
      <w:r>
        <w:rPr>
          <w:spacing w:val="-23"/>
          <w:w w:val="105"/>
          <w:sz w:val="18"/>
        </w:rPr>
        <w:t> </w:t>
      </w:r>
      <w:r>
        <w:rPr>
          <w:w w:val="105"/>
          <w:sz w:val="18"/>
        </w:rPr>
        <w:t>Infra</w:t>
      </w:r>
      <w:r>
        <w:rPr>
          <w:spacing w:val="-23"/>
          <w:w w:val="105"/>
          <w:sz w:val="18"/>
        </w:rPr>
        <w:t> </w:t>
      </w:r>
      <w:r>
        <w:rPr>
          <w:w w:val="105"/>
          <w:sz w:val="18"/>
        </w:rPr>
        <w:t>Upgrade</w:t>
      </w:r>
      <w:r>
        <w:rPr>
          <w:spacing w:val="-23"/>
          <w:w w:val="105"/>
          <w:sz w:val="18"/>
        </w:rPr>
        <w:t> </w:t>
      </w:r>
      <w:r>
        <w:rPr>
          <w:w w:val="105"/>
          <w:sz w:val="18"/>
        </w:rPr>
        <w:t>Capex</w:t>
      </w:r>
      <w:r>
        <w:rPr>
          <w:spacing w:val="-24"/>
          <w:w w:val="105"/>
          <w:sz w:val="18"/>
        </w:rPr>
        <w:t> </w:t>
      </w:r>
      <w:r>
        <w:rPr>
          <w:w w:val="105"/>
          <w:sz w:val="18"/>
        </w:rPr>
        <w:t>Works</w:t>
        <w:tab/>
        <w:t>144.16</w:t>
        <w:tab/>
        <w:t>Q4, FY</w:t>
      </w:r>
      <w:r>
        <w:rPr>
          <w:spacing w:val="-7"/>
          <w:w w:val="105"/>
          <w:sz w:val="18"/>
        </w:rPr>
        <w:t> </w:t>
      </w:r>
      <w:r>
        <w:rPr>
          <w:w w:val="105"/>
          <w:sz w:val="18"/>
        </w:rPr>
        <w:t>2022</w:t>
      </w:r>
    </w:p>
    <w:p>
      <w:pPr>
        <w:spacing w:line="247" w:lineRule="auto" w:before="0"/>
        <w:ind w:left="680" w:right="607" w:firstLine="0"/>
        <w:jc w:val="left"/>
        <w:rPr>
          <w:i/>
          <w:sz w:val="18"/>
        </w:rPr>
      </w:pPr>
      <w:r>
        <w:rPr>
          <w:i/>
          <w:sz w:val="18"/>
        </w:rPr>
        <w:t>Source</w:t>
      </w:r>
      <w:r>
        <w:rPr>
          <w:i/>
          <w:spacing w:val="-34"/>
          <w:sz w:val="18"/>
        </w:rPr>
        <w:t> </w:t>
      </w:r>
      <w:r>
        <w:rPr>
          <w:i/>
          <w:sz w:val="18"/>
        </w:rPr>
        <w:t>Client</w:t>
      </w:r>
      <w:r>
        <w:rPr>
          <w:i/>
          <w:spacing w:val="-33"/>
          <w:sz w:val="18"/>
        </w:rPr>
        <w:t> </w:t>
      </w:r>
      <w:r>
        <w:rPr>
          <w:i/>
          <w:sz w:val="18"/>
        </w:rPr>
        <w:t>Input;</w:t>
      </w:r>
      <w:r>
        <w:rPr>
          <w:i/>
          <w:spacing w:val="-34"/>
          <w:sz w:val="18"/>
        </w:rPr>
        <w:t> </w:t>
      </w:r>
      <w:r>
        <w:rPr>
          <w:i/>
          <w:sz w:val="18"/>
        </w:rPr>
        <w:t>Valuer’s</w:t>
      </w:r>
      <w:r>
        <w:rPr>
          <w:i/>
          <w:spacing w:val="-34"/>
          <w:sz w:val="18"/>
        </w:rPr>
        <w:t> </w:t>
      </w:r>
      <w:r>
        <w:rPr>
          <w:i/>
          <w:sz w:val="18"/>
        </w:rPr>
        <w:t>Assessment*</w:t>
      </w:r>
      <w:r>
        <w:rPr>
          <w:i/>
          <w:spacing w:val="-36"/>
          <w:sz w:val="18"/>
        </w:rPr>
        <w:t> </w:t>
      </w:r>
      <w:r>
        <w:rPr>
          <w:i/>
          <w:sz w:val="18"/>
        </w:rPr>
        <w:t>the</w:t>
      </w:r>
      <w:r>
        <w:rPr>
          <w:i/>
          <w:spacing w:val="-34"/>
          <w:sz w:val="18"/>
        </w:rPr>
        <w:t> </w:t>
      </w:r>
      <w:r>
        <w:rPr>
          <w:i/>
          <w:sz w:val="18"/>
        </w:rPr>
        <w:t>pending</w:t>
      </w:r>
      <w:r>
        <w:rPr>
          <w:i/>
          <w:spacing w:val="-34"/>
          <w:sz w:val="18"/>
        </w:rPr>
        <w:t> </w:t>
      </w:r>
      <w:r>
        <w:rPr>
          <w:i/>
          <w:sz w:val="18"/>
        </w:rPr>
        <w:t>cost</w:t>
      </w:r>
      <w:r>
        <w:rPr>
          <w:i/>
          <w:spacing w:val="-34"/>
          <w:sz w:val="18"/>
        </w:rPr>
        <w:t> </w:t>
      </w:r>
      <w:r>
        <w:rPr>
          <w:i/>
          <w:sz w:val="18"/>
        </w:rPr>
        <w:t>towards</w:t>
      </w:r>
      <w:r>
        <w:rPr>
          <w:i/>
          <w:spacing w:val="-33"/>
          <w:sz w:val="18"/>
        </w:rPr>
        <w:t> </w:t>
      </w:r>
      <w:r>
        <w:rPr>
          <w:i/>
          <w:sz w:val="18"/>
        </w:rPr>
        <w:t>refurbishment</w:t>
      </w:r>
      <w:r>
        <w:rPr>
          <w:i/>
          <w:spacing w:val="-33"/>
          <w:sz w:val="18"/>
        </w:rPr>
        <w:t> </w:t>
      </w:r>
      <w:r>
        <w:rPr>
          <w:i/>
          <w:sz w:val="18"/>
        </w:rPr>
        <w:t>is</w:t>
      </w:r>
      <w:r>
        <w:rPr>
          <w:i/>
          <w:spacing w:val="-35"/>
          <w:sz w:val="18"/>
        </w:rPr>
        <w:t> </w:t>
      </w:r>
      <w:r>
        <w:rPr>
          <w:i/>
          <w:sz w:val="18"/>
        </w:rPr>
        <w:t>apportioned</w:t>
      </w:r>
      <w:r>
        <w:rPr>
          <w:i/>
          <w:spacing w:val="-33"/>
          <w:sz w:val="18"/>
        </w:rPr>
        <w:t> </w:t>
      </w:r>
      <w:r>
        <w:rPr>
          <w:i/>
          <w:sz w:val="18"/>
        </w:rPr>
        <w:t>in</w:t>
      </w:r>
      <w:r>
        <w:rPr>
          <w:i/>
          <w:spacing w:val="-33"/>
          <w:sz w:val="18"/>
        </w:rPr>
        <w:t> </w:t>
      </w:r>
      <w:r>
        <w:rPr>
          <w:i/>
          <w:sz w:val="18"/>
        </w:rPr>
        <w:t>equal</w:t>
      </w:r>
      <w:r>
        <w:rPr>
          <w:i/>
          <w:spacing w:val="-35"/>
          <w:sz w:val="18"/>
        </w:rPr>
        <w:t> </w:t>
      </w:r>
      <w:r>
        <w:rPr>
          <w:i/>
          <w:sz w:val="18"/>
        </w:rPr>
        <w:t>proportion</w:t>
      </w:r>
      <w:r>
        <w:rPr>
          <w:i/>
          <w:spacing w:val="-34"/>
          <w:sz w:val="18"/>
        </w:rPr>
        <w:t> </w:t>
      </w:r>
      <w:r>
        <w:rPr>
          <w:i/>
          <w:sz w:val="18"/>
        </w:rPr>
        <w:t>across</w:t>
      </w:r>
      <w:r>
        <w:rPr>
          <w:i/>
          <w:spacing w:val="-33"/>
          <w:sz w:val="18"/>
        </w:rPr>
        <w:t> </w:t>
      </w:r>
      <w:r>
        <w:rPr>
          <w:i/>
          <w:sz w:val="18"/>
        </w:rPr>
        <w:t>remaining </w:t>
      </w:r>
      <w:r>
        <w:rPr>
          <w:i/>
          <w:sz w:val="18"/>
        </w:rPr>
        <w:t>quarters</w:t>
      </w:r>
      <w:r>
        <w:rPr>
          <w:i/>
          <w:spacing w:val="-6"/>
          <w:sz w:val="18"/>
        </w:rPr>
        <w:t> </w:t>
      </w:r>
      <w:r>
        <w:rPr>
          <w:i/>
          <w:sz w:val="18"/>
        </w:rPr>
        <w:t>from</w:t>
      </w:r>
      <w:r>
        <w:rPr>
          <w:i/>
          <w:spacing w:val="-5"/>
          <w:sz w:val="18"/>
        </w:rPr>
        <w:t> </w:t>
      </w:r>
      <w:r>
        <w:rPr>
          <w:i/>
          <w:sz w:val="18"/>
        </w:rPr>
        <w:t>the</w:t>
      </w:r>
      <w:r>
        <w:rPr>
          <w:i/>
          <w:spacing w:val="-7"/>
          <w:sz w:val="18"/>
        </w:rPr>
        <w:t> </w:t>
      </w:r>
      <w:r>
        <w:rPr>
          <w:i/>
          <w:sz w:val="18"/>
        </w:rPr>
        <w:t>date</w:t>
      </w:r>
      <w:r>
        <w:rPr>
          <w:i/>
          <w:spacing w:val="-6"/>
          <w:sz w:val="18"/>
        </w:rPr>
        <w:t> </w:t>
      </w:r>
      <w:r>
        <w:rPr>
          <w:i/>
          <w:sz w:val="18"/>
        </w:rPr>
        <w:t>of</w:t>
      </w:r>
      <w:r>
        <w:rPr>
          <w:i/>
          <w:spacing w:val="-6"/>
          <w:sz w:val="18"/>
        </w:rPr>
        <w:t> </w:t>
      </w:r>
      <w:r>
        <w:rPr>
          <w:i/>
          <w:sz w:val="18"/>
        </w:rPr>
        <w:t>start</w:t>
      </w:r>
      <w:r>
        <w:rPr>
          <w:i/>
          <w:spacing w:val="-9"/>
          <w:sz w:val="18"/>
        </w:rPr>
        <w:t> </w:t>
      </w:r>
      <w:r>
        <w:rPr>
          <w:i/>
          <w:sz w:val="18"/>
        </w:rPr>
        <w:t>of</w:t>
      </w:r>
      <w:r>
        <w:rPr>
          <w:i/>
          <w:spacing w:val="-6"/>
          <w:sz w:val="18"/>
        </w:rPr>
        <w:t> </w:t>
      </w:r>
      <w:r>
        <w:rPr>
          <w:i/>
          <w:sz w:val="18"/>
        </w:rPr>
        <w:t>the</w:t>
      </w:r>
      <w:r>
        <w:rPr>
          <w:i/>
          <w:spacing w:val="-5"/>
          <w:sz w:val="18"/>
        </w:rPr>
        <w:t> </w:t>
      </w:r>
      <w:r>
        <w:rPr>
          <w:i/>
          <w:sz w:val="18"/>
        </w:rPr>
        <w:t>refurbishment</w:t>
      </w:r>
      <w:r>
        <w:rPr>
          <w:i/>
          <w:spacing w:val="-7"/>
          <w:sz w:val="18"/>
        </w:rPr>
        <w:t> </w:t>
      </w:r>
      <w:r>
        <w:rPr>
          <w:i/>
          <w:sz w:val="18"/>
        </w:rPr>
        <w:t>works</w:t>
      </w:r>
    </w:p>
    <w:p>
      <w:pPr>
        <w:pStyle w:val="BodyText"/>
        <w:spacing w:before="2"/>
        <w:rPr>
          <w:i/>
          <w:sz w:val="18"/>
        </w:rPr>
      </w:pPr>
    </w:p>
    <w:p>
      <w:pPr>
        <w:pStyle w:val="ListParagraph"/>
        <w:numPr>
          <w:ilvl w:val="3"/>
          <w:numId w:val="91"/>
        </w:numPr>
        <w:tabs>
          <w:tab w:pos="1545" w:val="left" w:leader="none"/>
        </w:tabs>
        <w:spacing w:line="240" w:lineRule="auto" w:before="0" w:after="0"/>
        <w:ind w:left="1544" w:right="0" w:hanging="865"/>
        <w:jc w:val="both"/>
        <w:rPr>
          <w:i/>
          <w:sz w:val="20"/>
        </w:rPr>
      </w:pPr>
      <w:r>
        <w:rPr>
          <w:i/>
          <w:color w:val="008000"/>
          <w:sz w:val="20"/>
        </w:rPr>
        <w:t>Operating</w:t>
      </w:r>
      <w:r>
        <w:rPr>
          <w:i/>
          <w:color w:val="008000"/>
          <w:spacing w:val="-4"/>
          <w:sz w:val="20"/>
        </w:rPr>
        <w:t> </w:t>
      </w:r>
      <w:r>
        <w:rPr>
          <w:i/>
          <w:color w:val="008000"/>
          <w:sz w:val="20"/>
        </w:rPr>
        <w:t>Costs</w:t>
      </w:r>
    </w:p>
    <w:p>
      <w:pPr>
        <w:pStyle w:val="BodyText"/>
        <w:spacing w:line="321" w:lineRule="auto" w:before="76"/>
        <w:ind w:left="1246" w:right="678"/>
        <w:jc w:val="both"/>
      </w:pPr>
      <w:r>
        <w:rPr/>
        <w:t>The</w:t>
      </w:r>
      <w:r>
        <w:rPr>
          <w:spacing w:val="-12"/>
        </w:rPr>
        <w:t> </w:t>
      </w:r>
      <w:r>
        <w:rPr/>
        <w:t>following</w:t>
      </w:r>
      <w:r>
        <w:rPr>
          <w:spacing w:val="-11"/>
        </w:rPr>
        <w:t> </w:t>
      </w:r>
      <w:r>
        <w:rPr/>
        <w:t>operating</w:t>
      </w:r>
      <w:r>
        <w:rPr>
          <w:spacing w:val="-10"/>
        </w:rPr>
        <w:t> </w:t>
      </w:r>
      <w:r>
        <w:rPr/>
        <w:t>costs</w:t>
      </w:r>
      <w:r>
        <w:rPr>
          <w:spacing w:val="-10"/>
        </w:rPr>
        <w:t> </w:t>
      </w:r>
      <w:r>
        <w:rPr/>
        <w:t>have</w:t>
      </w:r>
      <w:r>
        <w:rPr>
          <w:spacing w:val="-11"/>
        </w:rPr>
        <w:t> </w:t>
      </w:r>
      <w:r>
        <w:rPr/>
        <w:t>been</w:t>
      </w:r>
      <w:r>
        <w:rPr>
          <w:spacing w:val="-12"/>
        </w:rPr>
        <w:t> </w:t>
      </w:r>
      <w:r>
        <w:rPr/>
        <w:t>considered</w:t>
      </w:r>
      <w:r>
        <w:rPr>
          <w:spacing w:val="-10"/>
        </w:rPr>
        <w:t> </w:t>
      </w:r>
      <w:r>
        <w:rPr/>
        <w:t>based</w:t>
      </w:r>
      <w:r>
        <w:rPr>
          <w:spacing w:val="-10"/>
        </w:rPr>
        <w:t> </w:t>
      </w:r>
      <w:r>
        <w:rPr/>
        <w:t>on</w:t>
      </w:r>
      <w:r>
        <w:rPr>
          <w:spacing w:val="-12"/>
        </w:rPr>
        <w:t> </w:t>
      </w:r>
      <w:r>
        <w:rPr/>
        <w:t>benchmarks</w:t>
      </w:r>
      <w:r>
        <w:rPr>
          <w:spacing w:val="-10"/>
        </w:rPr>
        <w:t> </w:t>
      </w:r>
      <w:r>
        <w:rPr/>
        <w:t>available</w:t>
      </w:r>
      <w:r>
        <w:rPr>
          <w:spacing w:val="-12"/>
        </w:rPr>
        <w:t> </w:t>
      </w:r>
      <w:r>
        <w:rPr/>
        <w:t>in</w:t>
      </w:r>
      <w:r>
        <w:rPr>
          <w:spacing w:val="-12"/>
        </w:rPr>
        <w:t> </w:t>
      </w:r>
      <w:r>
        <w:rPr/>
        <w:t>the</w:t>
      </w:r>
      <w:r>
        <w:rPr>
          <w:spacing w:val="-11"/>
        </w:rPr>
        <w:t> </w:t>
      </w:r>
      <w:r>
        <w:rPr/>
        <w:t>market</w:t>
      </w:r>
      <w:r>
        <w:rPr>
          <w:spacing w:val="-9"/>
        </w:rPr>
        <w:t> </w:t>
      </w:r>
      <w:r>
        <w:rPr/>
        <w:t>for various</w:t>
      </w:r>
      <w:r>
        <w:rPr>
          <w:spacing w:val="-38"/>
        </w:rPr>
        <w:t> </w:t>
      </w:r>
      <w:r>
        <w:rPr/>
        <w:t>heads</w:t>
      </w:r>
      <w:r>
        <w:rPr>
          <w:spacing w:val="-38"/>
        </w:rPr>
        <w:t> </w:t>
      </w:r>
      <w:r>
        <w:rPr/>
        <w:t>as</w:t>
      </w:r>
      <w:r>
        <w:rPr>
          <w:spacing w:val="-37"/>
        </w:rPr>
        <w:t> </w:t>
      </w:r>
      <w:r>
        <w:rPr/>
        <w:t>well</w:t>
      </w:r>
      <w:r>
        <w:rPr>
          <w:spacing w:val="-39"/>
        </w:rPr>
        <w:t> </w:t>
      </w:r>
      <w:r>
        <w:rPr/>
        <w:t>as</w:t>
      </w:r>
      <w:r>
        <w:rPr>
          <w:spacing w:val="-40"/>
        </w:rPr>
        <w:t> </w:t>
      </w:r>
      <w:r>
        <w:rPr/>
        <w:t>past</w:t>
      </w:r>
      <w:r>
        <w:rPr>
          <w:spacing w:val="-38"/>
        </w:rPr>
        <w:t> </w:t>
      </w:r>
      <w:r>
        <w:rPr/>
        <w:t>operational</w:t>
      </w:r>
      <w:r>
        <w:rPr>
          <w:spacing w:val="-38"/>
        </w:rPr>
        <w:t> </w:t>
      </w:r>
      <w:r>
        <w:rPr/>
        <w:t>history</w:t>
      </w:r>
      <w:r>
        <w:rPr>
          <w:spacing w:val="-38"/>
        </w:rPr>
        <w:t> </w:t>
      </w:r>
      <w:r>
        <w:rPr/>
        <w:t>of</w:t>
      </w:r>
      <w:r>
        <w:rPr>
          <w:spacing w:val="-39"/>
        </w:rPr>
        <w:t> </w:t>
      </w:r>
      <w:r>
        <w:rPr/>
        <w:t>the</w:t>
      </w:r>
      <w:r>
        <w:rPr>
          <w:spacing w:val="-40"/>
        </w:rPr>
        <w:t> </w:t>
      </w:r>
      <w:r>
        <w:rPr/>
        <w:t>hotel</w:t>
      </w:r>
      <w:r>
        <w:rPr>
          <w:spacing w:val="-38"/>
        </w:rPr>
        <w:t> </w:t>
      </w:r>
      <w:r>
        <w:rPr/>
        <w:t>to</w:t>
      </w:r>
      <w:r>
        <w:rPr>
          <w:spacing w:val="-36"/>
        </w:rPr>
        <w:t> </w:t>
      </w:r>
      <w:r>
        <w:rPr/>
        <w:t>arrive</w:t>
      </w:r>
      <w:r>
        <w:rPr>
          <w:spacing w:val="-39"/>
        </w:rPr>
        <w:t> </w:t>
      </w:r>
      <w:r>
        <w:rPr/>
        <w:t>at</w:t>
      </w:r>
      <w:r>
        <w:rPr>
          <w:spacing w:val="-38"/>
        </w:rPr>
        <w:t> </w:t>
      </w:r>
      <w:r>
        <w:rPr/>
        <w:t>the</w:t>
      </w:r>
      <w:r>
        <w:rPr>
          <w:spacing w:val="-39"/>
        </w:rPr>
        <w:t> </w:t>
      </w:r>
      <w:r>
        <w:rPr/>
        <w:t>net</w:t>
      </w:r>
      <w:r>
        <w:rPr>
          <w:spacing w:val="-38"/>
        </w:rPr>
        <w:t> </w:t>
      </w:r>
      <w:r>
        <w:rPr/>
        <w:t>cash</w:t>
      </w:r>
      <w:r>
        <w:rPr>
          <w:spacing w:val="-38"/>
        </w:rPr>
        <w:t> </w:t>
      </w:r>
      <w:r>
        <w:rPr/>
        <w:t>flows</w:t>
      </w:r>
      <w:r>
        <w:rPr>
          <w:spacing w:val="-38"/>
        </w:rPr>
        <w:t> </w:t>
      </w:r>
      <w:r>
        <w:rPr/>
        <w:t>for</w:t>
      </w:r>
      <w:r>
        <w:rPr>
          <w:spacing w:val="-39"/>
        </w:rPr>
        <w:t> </w:t>
      </w:r>
      <w:r>
        <w:rPr/>
        <w:t>the</w:t>
      </w:r>
      <w:r>
        <w:rPr>
          <w:spacing w:val="-38"/>
        </w:rPr>
        <w:t> </w:t>
      </w:r>
      <w:r>
        <w:rPr/>
        <w:t>purpose of this valuation</w:t>
      </w:r>
      <w:r>
        <w:rPr>
          <w:spacing w:val="-10"/>
        </w:rPr>
        <w:t> </w:t>
      </w:r>
      <w:r>
        <w:rPr/>
        <w:t>exercise:</w:t>
      </w:r>
    </w:p>
    <w:p>
      <w:pPr>
        <w:spacing w:after="0" w:line="321" w:lineRule="auto"/>
        <w:jc w:val="both"/>
        <w:sectPr>
          <w:pgSz w:w="11910" w:h="16840"/>
          <w:pgMar w:header="720" w:footer="862" w:top="1660" w:bottom="1060" w:left="40" w:right="40"/>
        </w:sectPr>
      </w:pPr>
    </w:p>
    <w:p>
      <w:pPr>
        <w:pStyle w:val="BodyText"/>
        <w:spacing w:before="7"/>
        <w:rPr>
          <w:sz w:val="19"/>
        </w:rPr>
      </w:pPr>
    </w:p>
    <w:tbl>
      <w:tblPr>
        <w:tblW w:w="0" w:type="auto"/>
        <w:jc w:val="left"/>
        <w:tblInd w:w="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634"/>
        <w:gridCol w:w="3550"/>
      </w:tblGrid>
      <w:tr>
        <w:trPr>
          <w:trHeight w:val="431" w:hRule="atLeast"/>
        </w:trPr>
        <w:tc>
          <w:tcPr>
            <w:tcW w:w="6634" w:type="dxa"/>
            <w:tcBorders>
              <w:top w:val="single" w:sz="12" w:space="0" w:color="1B6B22"/>
              <w:bottom w:val="single" w:sz="6" w:space="0" w:color="69BD28"/>
            </w:tcBorders>
            <w:shd w:val="clear" w:color="auto" w:fill="006A4D"/>
          </w:tcPr>
          <w:p>
            <w:pPr>
              <w:pStyle w:val="TableParagraph"/>
              <w:spacing w:before="99"/>
              <w:ind w:left="77" w:right="768"/>
              <w:rPr>
                <w:rFonts w:ascii="Verdana"/>
                <w:b/>
                <w:i/>
                <w:sz w:val="18"/>
              </w:rPr>
            </w:pPr>
            <w:r>
              <w:rPr>
                <w:rFonts w:ascii="Verdana"/>
                <w:b/>
                <w:i/>
                <w:color w:val="FFFFFF"/>
                <w:w w:val="95"/>
                <w:sz w:val="18"/>
              </w:rPr>
              <w:t>Expense Heads</w:t>
            </w:r>
          </w:p>
        </w:tc>
        <w:tc>
          <w:tcPr>
            <w:tcW w:w="3550" w:type="dxa"/>
            <w:tcBorders>
              <w:top w:val="single" w:sz="12" w:space="0" w:color="1B6B22"/>
              <w:bottom w:val="single" w:sz="6" w:space="0" w:color="69BD28"/>
            </w:tcBorders>
            <w:shd w:val="clear" w:color="auto" w:fill="006A4D"/>
          </w:tcPr>
          <w:p>
            <w:pPr>
              <w:pStyle w:val="TableParagraph"/>
              <w:spacing w:before="111"/>
              <w:ind w:left="790" w:right="1480"/>
              <w:rPr>
                <w:b/>
                <w:sz w:val="18"/>
              </w:rPr>
            </w:pPr>
            <w:r>
              <w:rPr>
                <w:b/>
                <w:color w:val="FFFFFF"/>
                <w:w w:val="105"/>
                <w:sz w:val="18"/>
              </w:rPr>
              <w:t>5 Star</w:t>
            </w:r>
          </w:p>
        </w:tc>
      </w:tr>
      <w:tr>
        <w:trPr>
          <w:trHeight w:val="431" w:hRule="atLeast"/>
        </w:trPr>
        <w:tc>
          <w:tcPr>
            <w:tcW w:w="6634" w:type="dxa"/>
            <w:tcBorders>
              <w:top w:val="single" w:sz="6" w:space="0" w:color="69BD28"/>
              <w:bottom w:val="single" w:sz="6" w:space="0" w:color="69BD28"/>
            </w:tcBorders>
          </w:tcPr>
          <w:p>
            <w:pPr>
              <w:pStyle w:val="TableParagraph"/>
              <w:spacing w:before="111"/>
              <w:ind w:left="73" w:right="768"/>
              <w:rPr>
                <w:sz w:val="18"/>
              </w:rPr>
            </w:pPr>
            <w:r>
              <w:rPr>
                <w:sz w:val="18"/>
              </w:rPr>
              <w:t>Room Costs (as a % of room revenue)</w:t>
            </w:r>
          </w:p>
        </w:tc>
        <w:tc>
          <w:tcPr>
            <w:tcW w:w="3550" w:type="dxa"/>
            <w:tcBorders>
              <w:top w:val="single" w:sz="6" w:space="0" w:color="69BD28"/>
              <w:bottom w:val="single" w:sz="6" w:space="0" w:color="69BD28"/>
            </w:tcBorders>
          </w:tcPr>
          <w:p>
            <w:pPr>
              <w:pStyle w:val="TableParagraph"/>
              <w:spacing w:before="111"/>
              <w:ind w:left="786" w:right="1480"/>
              <w:rPr>
                <w:sz w:val="18"/>
              </w:rPr>
            </w:pPr>
            <w:r>
              <w:rPr>
                <w:w w:val="110"/>
                <w:sz w:val="18"/>
              </w:rPr>
              <w:t>14.0%</w:t>
            </w:r>
          </w:p>
        </w:tc>
      </w:tr>
      <w:tr>
        <w:trPr>
          <w:trHeight w:val="431" w:hRule="atLeast"/>
        </w:trPr>
        <w:tc>
          <w:tcPr>
            <w:tcW w:w="6634" w:type="dxa"/>
            <w:tcBorders>
              <w:top w:val="single" w:sz="6" w:space="0" w:color="69BD28"/>
              <w:bottom w:val="single" w:sz="6" w:space="0" w:color="69BD28"/>
            </w:tcBorders>
          </w:tcPr>
          <w:p>
            <w:pPr>
              <w:pStyle w:val="TableParagraph"/>
              <w:spacing w:before="111"/>
              <w:ind w:left="74" w:right="768"/>
              <w:rPr>
                <w:sz w:val="18"/>
              </w:rPr>
            </w:pPr>
            <w:r>
              <w:rPr>
                <w:sz w:val="18"/>
              </w:rPr>
              <w:t>F&amp;B costs (as a % of F&amp;B revenue)</w:t>
            </w:r>
          </w:p>
        </w:tc>
        <w:tc>
          <w:tcPr>
            <w:tcW w:w="3550" w:type="dxa"/>
            <w:tcBorders>
              <w:top w:val="single" w:sz="6" w:space="0" w:color="69BD28"/>
              <w:bottom w:val="single" w:sz="6" w:space="0" w:color="69BD28"/>
            </w:tcBorders>
          </w:tcPr>
          <w:p>
            <w:pPr>
              <w:pStyle w:val="TableParagraph"/>
              <w:spacing w:before="111"/>
              <w:ind w:left="786" w:right="1480"/>
              <w:rPr>
                <w:sz w:val="18"/>
              </w:rPr>
            </w:pPr>
            <w:r>
              <w:rPr>
                <w:w w:val="110"/>
                <w:sz w:val="18"/>
              </w:rPr>
              <w:t>35.0%</w:t>
            </w:r>
          </w:p>
        </w:tc>
      </w:tr>
      <w:tr>
        <w:trPr>
          <w:trHeight w:val="429" w:hRule="atLeast"/>
        </w:trPr>
        <w:tc>
          <w:tcPr>
            <w:tcW w:w="6634" w:type="dxa"/>
            <w:tcBorders>
              <w:top w:val="single" w:sz="6" w:space="0" w:color="69BD28"/>
              <w:bottom w:val="single" w:sz="6" w:space="0" w:color="69BD28"/>
            </w:tcBorders>
          </w:tcPr>
          <w:p>
            <w:pPr>
              <w:pStyle w:val="TableParagraph"/>
              <w:spacing w:before="111"/>
              <w:ind w:left="73" w:right="768"/>
              <w:rPr>
                <w:sz w:val="18"/>
              </w:rPr>
            </w:pPr>
            <w:r>
              <w:rPr>
                <w:w w:val="105"/>
                <w:sz w:val="18"/>
              </w:rPr>
              <w:t>MOD Costs (as a % of MOD revenues)</w:t>
            </w:r>
          </w:p>
        </w:tc>
        <w:tc>
          <w:tcPr>
            <w:tcW w:w="3550" w:type="dxa"/>
            <w:tcBorders>
              <w:top w:val="single" w:sz="6" w:space="0" w:color="69BD28"/>
              <w:bottom w:val="single" w:sz="6" w:space="0" w:color="69BD28"/>
            </w:tcBorders>
          </w:tcPr>
          <w:p>
            <w:pPr>
              <w:pStyle w:val="TableParagraph"/>
              <w:spacing w:before="111"/>
              <w:ind w:left="786" w:right="1480"/>
              <w:rPr>
                <w:sz w:val="18"/>
              </w:rPr>
            </w:pPr>
            <w:r>
              <w:rPr>
                <w:w w:val="110"/>
                <w:sz w:val="18"/>
              </w:rPr>
              <w:t>2.0%</w:t>
            </w:r>
          </w:p>
        </w:tc>
      </w:tr>
      <w:tr>
        <w:trPr>
          <w:trHeight w:val="431" w:hRule="atLeast"/>
        </w:trPr>
        <w:tc>
          <w:tcPr>
            <w:tcW w:w="6634" w:type="dxa"/>
            <w:tcBorders>
              <w:top w:val="single" w:sz="6" w:space="0" w:color="69BD28"/>
              <w:bottom w:val="single" w:sz="6" w:space="0" w:color="69BD28"/>
            </w:tcBorders>
          </w:tcPr>
          <w:p>
            <w:pPr>
              <w:pStyle w:val="TableParagraph"/>
              <w:spacing w:before="111"/>
              <w:ind w:left="77" w:right="767"/>
              <w:rPr>
                <w:sz w:val="18"/>
              </w:rPr>
            </w:pPr>
            <w:r>
              <w:rPr>
                <w:sz w:val="18"/>
              </w:rPr>
              <w:t>Administrative expenses (as a % of total revenue)</w:t>
            </w:r>
          </w:p>
        </w:tc>
        <w:tc>
          <w:tcPr>
            <w:tcW w:w="3550" w:type="dxa"/>
            <w:tcBorders>
              <w:top w:val="single" w:sz="6" w:space="0" w:color="69BD28"/>
              <w:bottom w:val="single" w:sz="6" w:space="0" w:color="69BD28"/>
            </w:tcBorders>
          </w:tcPr>
          <w:p>
            <w:pPr>
              <w:pStyle w:val="TableParagraph"/>
              <w:spacing w:before="111"/>
              <w:ind w:left="786" w:right="1480"/>
              <w:rPr>
                <w:sz w:val="18"/>
              </w:rPr>
            </w:pPr>
            <w:r>
              <w:rPr>
                <w:w w:val="110"/>
                <w:sz w:val="18"/>
              </w:rPr>
              <w:t>4.0%</w:t>
            </w:r>
          </w:p>
        </w:tc>
      </w:tr>
      <w:tr>
        <w:trPr>
          <w:trHeight w:val="431" w:hRule="atLeast"/>
        </w:trPr>
        <w:tc>
          <w:tcPr>
            <w:tcW w:w="6634" w:type="dxa"/>
            <w:tcBorders>
              <w:top w:val="single" w:sz="6" w:space="0" w:color="69BD28"/>
              <w:bottom w:val="single" w:sz="6" w:space="0" w:color="69BD28"/>
            </w:tcBorders>
          </w:tcPr>
          <w:p>
            <w:pPr>
              <w:pStyle w:val="TableParagraph"/>
              <w:spacing w:before="111"/>
              <w:ind w:left="75" w:right="768"/>
              <w:rPr>
                <w:sz w:val="18"/>
              </w:rPr>
            </w:pPr>
            <w:r>
              <w:rPr>
                <w:sz w:val="18"/>
              </w:rPr>
              <w:t>Maintenance expenses (as a % of total revenue)</w:t>
            </w:r>
          </w:p>
        </w:tc>
        <w:tc>
          <w:tcPr>
            <w:tcW w:w="3550" w:type="dxa"/>
            <w:tcBorders>
              <w:top w:val="single" w:sz="6" w:space="0" w:color="69BD28"/>
              <w:bottom w:val="single" w:sz="6" w:space="0" w:color="69BD28"/>
            </w:tcBorders>
          </w:tcPr>
          <w:p>
            <w:pPr>
              <w:pStyle w:val="TableParagraph"/>
              <w:spacing w:before="111"/>
              <w:ind w:left="786" w:right="1480"/>
              <w:rPr>
                <w:sz w:val="18"/>
              </w:rPr>
            </w:pPr>
            <w:r>
              <w:rPr>
                <w:w w:val="110"/>
                <w:sz w:val="18"/>
              </w:rPr>
              <w:t>4.0%</w:t>
            </w:r>
          </w:p>
        </w:tc>
      </w:tr>
      <w:tr>
        <w:trPr>
          <w:trHeight w:val="432" w:hRule="atLeast"/>
        </w:trPr>
        <w:tc>
          <w:tcPr>
            <w:tcW w:w="6634" w:type="dxa"/>
            <w:tcBorders>
              <w:top w:val="single" w:sz="6" w:space="0" w:color="69BD28"/>
              <w:bottom w:val="single" w:sz="6" w:space="0" w:color="69BD28"/>
            </w:tcBorders>
          </w:tcPr>
          <w:p>
            <w:pPr>
              <w:pStyle w:val="TableParagraph"/>
              <w:spacing w:before="111"/>
              <w:ind w:left="72" w:right="768"/>
              <w:rPr>
                <w:sz w:val="18"/>
              </w:rPr>
            </w:pPr>
            <w:r>
              <w:rPr>
                <w:sz w:val="18"/>
              </w:rPr>
              <w:t>Payroll Expenses (as a % of total revenue)</w:t>
            </w:r>
          </w:p>
        </w:tc>
        <w:tc>
          <w:tcPr>
            <w:tcW w:w="3550" w:type="dxa"/>
            <w:tcBorders>
              <w:top w:val="single" w:sz="6" w:space="0" w:color="69BD28"/>
              <w:bottom w:val="single" w:sz="6" w:space="0" w:color="69BD28"/>
            </w:tcBorders>
          </w:tcPr>
          <w:p>
            <w:pPr>
              <w:pStyle w:val="TableParagraph"/>
              <w:spacing w:before="111"/>
              <w:ind w:left="786" w:right="1480"/>
              <w:rPr>
                <w:sz w:val="18"/>
              </w:rPr>
            </w:pPr>
            <w:r>
              <w:rPr>
                <w:w w:val="110"/>
                <w:sz w:val="18"/>
              </w:rPr>
              <w:t>12.0%</w:t>
            </w:r>
          </w:p>
        </w:tc>
      </w:tr>
      <w:tr>
        <w:trPr>
          <w:trHeight w:val="431" w:hRule="atLeast"/>
        </w:trPr>
        <w:tc>
          <w:tcPr>
            <w:tcW w:w="6634" w:type="dxa"/>
            <w:tcBorders>
              <w:top w:val="single" w:sz="6" w:space="0" w:color="69BD28"/>
              <w:bottom w:val="single" w:sz="6" w:space="0" w:color="69BD28"/>
            </w:tcBorders>
          </w:tcPr>
          <w:p>
            <w:pPr>
              <w:pStyle w:val="TableParagraph"/>
              <w:spacing w:before="111"/>
              <w:ind w:left="75" w:right="768"/>
              <w:rPr>
                <w:sz w:val="18"/>
              </w:rPr>
            </w:pPr>
            <w:r>
              <w:rPr>
                <w:sz w:val="18"/>
              </w:rPr>
              <w:t>Operating Expenses (as a % of total revenue)</w:t>
            </w:r>
          </w:p>
        </w:tc>
        <w:tc>
          <w:tcPr>
            <w:tcW w:w="3550" w:type="dxa"/>
            <w:tcBorders>
              <w:top w:val="single" w:sz="6" w:space="0" w:color="69BD28"/>
              <w:bottom w:val="single" w:sz="6" w:space="0" w:color="69BD28"/>
            </w:tcBorders>
          </w:tcPr>
          <w:p>
            <w:pPr>
              <w:pStyle w:val="TableParagraph"/>
              <w:spacing w:before="111"/>
              <w:ind w:left="786" w:right="1480"/>
              <w:rPr>
                <w:sz w:val="18"/>
              </w:rPr>
            </w:pPr>
            <w:r>
              <w:rPr>
                <w:w w:val="110"/>
                <w:sz w:val="18"/>
              </w:rPr>
              <w:t>5.0%</w:t>
            </w:r>
          </w:p>
        </w:tc>
      </w:tr>
      <w:tr>
        <w:trPr>
          <w:trHeight w:val="431" w:hRule="atLeast"/>
        </w:trPr>
        <w:tc>
          <w:tcPr>
            <w:tcW w:w="6634" w:type="dxa"/>
            <w:tcBorders>
              <w:top w:val="single" w:sz="6" w:space="0" w:color="69BD28"/>
              <w:bottom w:val="single" w:sz="6" w:space="0" w:color="69BD28"/>
            </w:tcBorders>
          </w:tcPr>
          <w:p>
            <w:pPr>
              <w:pStyle w:val="TableParagraph"/>
              <w:spacing w:before="111"/>
              <w:ind w:left="74" w:right="768"/>
              <w:rPr>
                <w:sz w:val="18"/>
              </w:rPr>
            </w:pPr>
            <w:r>
              <w:rPr>
                <w:sz w:val="18"/>
              </w:rPr>
              <w:t>Marketing costs (as a % of total revenue)</w:t>
            </w:r>
          </w:p>
        </w:tc>
        <w:tc>
          <w:tcPr>
            <w:tcW w:w="3550" w:type="dxa"/>
            <w:tcBorders>
              <w:top w:val="single" w:sz="6" w:space="0" w:color="69BD28"/>
              <w:bottom w:val="single" w:sz="6" w:space="0" w:color="69BD28"/>
            </w:tcBorders>
          </w:tcPr>
          <w:p>
            <w:pPr>
              <w:pStyle w:val="TableParagraph"/>
              <w:spacing w:before="111"/>
              <w:ind w:left="786" w:right="1480"/>
              <w:rPr>
                <w:sz w:val="18"/>
              </w:rPr>
            </w:pPr>
            <w:r>
              <w:rPr>
                <w:w w:val="110"/>
                <w:sz w:val="18"/>
              </w:rPr>
              <w:t>4.0%</w:t>
            </w:r>
          </w:p>
        </w:tc>
      </w:tr>
      <w:tr>
        <w:trPr>
          <w:trHeight w:val="429" w:hRule="atLeast"/>
        </w:trPr>
        <w:tc>
          <w:tcPr>
            <w:tcW w:w="6634" w:type="dxa"/>
            <w:tcBorders>
              <w:top w:val="single" w:sz="6" w:space="0" w:color="69BD28"/>
              <w:bottom w:val="single" w:sz="6" w:space="0" w:color="69BD28"/>
            </w:tcBorders>
          </w:tcPr>
          <w:p>
            <w:pPr>
              <w:pStyle w:val="TableParagraph"/>
              <w:spacing w:before="111"/>
              <w:ind w:left="77" w:right="767"/>
              <w:rPr>
                <w:sz w:val="18"/>
              </w:rPr>
            </w:pPr>
            <w:r>
              <w:rPr>
                <w:sz w:val="18"/>
              </w:rPr>
              <w:t>Base management Fee (as a % of total revenue)</w:t>
            </w:r>
          </w:p>
        </w:tc>
        <w:tc>
          <w:tcPr>
            <w:tcW w:w="3550" w:type="dxa"/>
            <w:tcBorders>
              <w:top w:val="single" w:sz="6" w:space="0" w:color="69BD28"/>
              <w:bottom w:val="single" w:sz="6" w:space="0" w:color="69BD28"/>
            </w:tcBorders>
          </w:tcPr>
          <w:p>
            <w:pPr>
              <w:pStyle w:val="TableParagraph"/>
              <w:spacing w:before="111"/>
              <w:ind w:left="792" w:right="1480"/>
              <w:rPr>
                <w:sz w:val="18"/>
              </w:rPr>
            </w:pPr>
            <w:r>
              <w:rPr>
                <w:sz w:val="18"/>
              </w:rPr>
              <w:t>As per contract</w:t>
            </w:r>
          </w:p>
        </w:tc>
      </w:tr>
      <w:tr>
        <w:trPr>
          <w:trHeight w:val="431" w:hRule="atLeast"/>
        </w:trPr>
        <w:tc>
          <w:tcPr>
            <w:tcW w:w="6634" w:type="dxa"/>
            <w:tcBorders>
              <w:top w:val="single" w:sz="6" w:space="0" w:color="69BD28"/>
              <w:bottom w:val="single" w:sz="6" w:space="0" w:color="69BD28"/>
            </w:tcBorders>
          </w:tcPr>
          <w:p>
            <w:pPr>
              <w:pStyle w:val="TableParagraph"/>
              <w:spacing w:before="111"/>
              <w:ind w:left="77" w:right="765"/>
              <w:rPr>
                <w:sz w:val="18"/>
              </w:rPr>
            </w:pPr>
            <w:r>
              <w:rPr>
                <w:sz w:val="18"/>
              </w:rPr>
              <w:t>Management Incentive Fee (% of GOP)</w:t>
            </w:r>
          </w:p>
        </w:tc>
        <w:tc>
          <w:tcPr>
            <w:tcW w:w="3550" w:type="dxa"/>
            <w:tcBorders>
              <w:top w:val="single" w:sz="6" w:space="0" w:color="69BD28"/>
              <w:bottom w:val="single" w:sz="6" w:space="0" w:color="69BD28"/>
            </w:tcBorders>
          </w:tcPr>
          <w:p>
            <w:pPr>
              <w:pStyle w:val="TableParagraph"/>
              <w:spacing w:before="111"/>
              <w:ind w:left="792" w:right="1480"/>
              <w:rPr>
                <w:sz w:val="18"/>
              </w:rPr>
            </w:pPr>
            <w:r>
              <w:rPr>
                <w:sz w:val="18"/>
              </w:rPr>
              <w:t>As per contract</w:t>
            </w:r>
          </w:p>
        </w:tc>
      </w:tr>
      <w:tr>
        <w:trPr>
          <w:trHeight w:val="431" w:hRule="atLeast"/>
        </w:trPr>
        <w:tc>
          <w:tcPr>
            <w:tcW w:w="6634" w:type="dxa"/>
            <w:tcBorders>
              <w:top w:val="single" w:sz="6" w:space="0" w:color="69BD28"/>
              <w:bottom w:val="single" w:sz="6" w:space="0" w:color="69BD28"/>
            </w:tcBorders>
          </w:tcPr>
          <w:p>
            <w:pPr>
              <w:pStyle w:val="TableParagraph"/>
              <w:spacing w:before="111"/>
              <w:ind w:left="77" w:right="768"/>
              <w:rPr>
                <w:sz w:val="18"/>
              </w:rPr>
            </w:pPr>
            <w:r>
              <w:rPr>
                <w:sz w:val="18"/>
              </w:rPr>
              <w:t>Annual Escalation of Operating Costs (viz. admin, maintenance, Op-ex)</w:t>
            </w:r>
          </w:p>
        </w:tc>
        <w:tc>
          <w:tcPr>
            <w:tcW w:w="3550" w:type="dxa"/>
            <w:tcBorders>
              <w:top w:val="single" w:sz="6" w:space="0" w:color="69BD28"/>
              <w:bottom w:val="single" w:sz="6" w:space="0" w:color="69BD28"/>
            </w:tcBorders>
          </w:tcPr>
          <w:p>
            <w:pPr>
              <w:pStyle w:val="TableParagraph"/>
              <w:spacing w:before="111"/>
              <w:ind w:left="786" w:right="1480"/>
              <w:rPr>
                <w:sz w:val="18"/>
              </w:rPr>
            </w:pPr>
            <w:r>
              <w:rPr>
                <w:w w:val="110"/>
                <w:sz w:val="18"/>
              </w:rPr>
              <w:t>5.0%</w:t>
            </w:r>
          </w:p>
        </w:tc>
      </w:tr>
      <w:tr>
        <w:trPr>
          <w:trHeight w:val="431" w:hRule="atLeast"/>
        </w:trPr>
        <w:tc>
          <w:tcPr>
            <w:tcW w:w="6634" w:type="dxa"/>
            <w:tcBorders>
              <w:top w:val="single" w:sz="6" w:space="0" w:color="69BD28"/>
              <w:bottom w:val="single" w:sz="6" w:space="0" w:color="69BD28"/>
            </w:tcBorders>
          </w:tcPr>
          <w:p>
            <w:pPr>
              <w:pStyle w:val="TableParagraph"/>
              <w:spacing w:before="111"/>
              <w:ind w:left="76" w:right="768"/>
              <w:rPr>
                <w:sz w:val="18"/>
              </w:rPr>
            </w:pPr>
            <w:r>
              <w:rPr>
                <w:sz w:val="18"/>
              </w:rPr>
              <w:t>Property Tax (as a % of total revenue)</w:t>
            </w:r>
          </w:p>
        </w:tc>
        <w:tc>
          <w:tcPr>
            <w:tcW w:w="3550" w:type="dxa"/>
            <w:tcBorders>
              <w:top w:val="single" w:sz="6" w:space="0" w:color="69BD28"/>
              <w:bottom w:val="single" w:sz="6" w:space="0" w:color="69BD28"/>
            </w:tcBorders>
          </w:tcPr>
          <w:p>
            <w:pPr>
              <w:pStyle w:val="TableParagraph"/>
              <w:spacing w:before="111"/>
              <w:ind w:left="786" w:right="1480"/>
              <w:rPr>
                <w:sz w:val="18"/>
              </w:rPr>
            </w:pPr>
            <w:r>
              <w:rPr>
                <w:w w:val="110"/>
                <w:sz w:val="18"/>
              </w:rPr>
              <w:t>3.4%</w:t>
            </w:r>
          </w:p>
        </w:tc>
      </w:tr>
    </w:tbl>
    <w:p>
      <w:pPr>
        <w:spacing w:before="104"/>
        <w:ind w:left="932" w:right="0" w:firstLine="0"/>
        <w:jc w:val="left"/>
        <w:rPr>
          <w:i/>
          <w:sz w:val="18"/>
        </w:rPr>
      </w:pPr>
      <w:r>
        <w:rPr>
          <w:i/>
          <w:sz w:val="18"/>
        </w:rPr>
        <w:t>Source: Valuer’s Assessment &amp; Client input</w:t>
      </w:r>
    </w:p>
    <w:p>
      <w:pPr>
        <w:pStyle w:val="BodyText"/>
        <w:spacing w:before="6"/>
        <w:rPr>
          <w:i/>
          <w:sz w:val="21"/>
        </w:rPr>
      </w:pPr>
    </w:p>
    <w:p>
      <w:pPr>
        <w:pStyle w:val="ListParagraph"/>
        <w:numPr>
          <w:ilvl w:val="2"/>
          <w:numId w:val="14"/>
        </w:numPr>
        <w:tabs>
          <w:tab w:pos="1401" w:val="left" w:leader="none"/>
        </w:tabs>
        <w:spacing w:line="240" w:lineRule="auto" w:before="107" w:after="0"/>
        <w:ind w:left="1400" w:right="0" w:hanging="721"/>
        <w:jc w:val="left"/>
        <w:rPr>
          <w:sz w:val="22"/>
        </w:rPr>
      </w:pPr>
      <w:bookmarkStart w:name="_bookmark369" w:id="721"/>
      <w:bookmarkEnd w:id="721"/>
      <w:r>
        <w:rPr/>
      </w:r>
      <w:bookmarkStart w:name="_bookmark369" w:id="722"/>
      <w:bookmarkEnd w:id="722"/>
      <w:r>
        <w:rPr>
          <w:color w:val="1F664D"/>
          <w:sz w:val="22"/>
        </w:rPr>
        <w:t>Ca</w:t>
      </w:r>
      <w:r>
        <w:rPr>
          <w:color w:val="1F664D"/>
          <w:sz w:val="22"/>
        </w:rPr>
        <w:t>pitalization</w:t>
      </w:r>
      <w:r>
        <w:rPr>
          <w:color w:val="1F664D"/>
          <w:spacing w:val="-2"/>
          <w:sz w:val="22"/>
        </w:rPr>
        <w:t> </w:t>
      </w:r>
      <w:r>
        <w:rPr>
          <w:color w:val="1F664D"/>
          <w:sz w:val="22"/>
        </w:rPr>
        <w:t>Rates</w:t>
      </w:r>
    </w:p>
    <w:p>
      <w:pPr>
        <w:pStyle w:val="BodyText"/>
        <w:spacing w:before="207"/>
        <w:ind w:left="1311"/>
        <w:jc w:val="both"/>
      </w:pPr>
      <w:r>
        <w:rPr/>
        <w:t>As highlighted in section 3.3, we have adopted an EV/ EBITDA multiple of 14 for the hotel component.</w:t>
      </w:r>
    </w:p>
    <w:p>
      <w:pPr>
        <w:pStyle w:val="BodyText"/>
        <w:rPr>
          <w:sz w:val="28"/>
        </w:rPr>
      </w:pPr>
    </w:p>
    <w:p>
      <w:pPr>
        <w:pStyle w:val="ListParagraph"/>
        <w:numPr>
          <w:ilvl w:val="2"/>
          <w:numId w:val="14"/>
        </w:numPr>
        <w:tabs>
          <w:tab w:pos="1401" w:val="left" w:leader="none"/>
        </w:tabs>
        <w:spacing w:line="240" w:lineRule="auto" w:before="1" w:after="0"/>
        <w:ind w:left="1400" w:right="0" w:hanging="721"/>
        <w:jc w:val="left"/>
        <w:rPr>
          <w:sz w:val="22"/>
        </w:rPr>
      </w:pPr>
      <w:bookmarkStart w:name="_bookmark370" w:id="723"/>
      <w:bookmarkEnd w:id="723"/>
      <w:r>
        <w:rPr/>
      </w:r>
      <w:bookmarkStart w:name="_bookmark370" w:id="724"/>
      <w:bookmarkEnd w:id="724"/>
      <w:r>
        <w:rPr>
          <w:color w:val="1F664D"/>
          <w:sz w:val="22"/>
        </w:rPr>
        <w:t>Dis</w:t>
      </w:r>
      <w:r>
        <w:rPr>
          <w:color w:val="1F664D"/>
          <w:sz w:val="22"/>
        </w:rPr>
        <w:t>count</w:t>
      </w:r>
      <w:r>
        <w:rPr>
          <w:color w:val="1F664D"/>
          <w:spacing w:val="-2"/>
          <w:sz w:val="22"/>
        </w:rPr>
        <w:t> </w:t>
      </w:r>
      <w:r>
        <w:rPr>
          <w:color w:val="1F664D"/>
          <w:sz w:val="22"/>
        </w:rPr>
        <w:t>Rate</w:t>
      </w:r>
    </w:p>
    <w:p>
      <w:pPr>
        <w:pStyle w:val="BodyText"/>
        <w:spacing w:line="321" w:lineRule="auto" w:before="207"/>
        <w:ind w:left="1311" w:right="675"/>
        <w:jc w:val="both"/>
      </w:pPr>
      <w:r>
        <w:rPr/>
        <w:t>For</w:t>
      </w:r>
      <w:r>
        <w:rPr>
          <w:spacing w:val="-6"/>
        </w:rPr>
        <w:t> </w:t>
      </w:r>
      <w:r>
        <w:rPr/>
        <w:t>discounting</w:t>
      </w:r>
      <w:r>
        <w:rPr>
          <w:spacing w:val="-5"/>
        </w:rPr>
        <w:t> </w:t>
      </w:r>
      <w:r>
        <w:rPr/>
        <w:t>the</w:t>
      </w:r>
      <w:r>
        <w:rPr>
          <w:spacing w:val="-6"/>
        </w:rPr>
        <w:t> </w:t>
      </w:r>
      <w:r>
        <w:rPr/>
        <w:t>cash</w:t>
      </w:r>
      <w:r>
        <w:rPr>
          <w:spacing w:val="-8"/>
        </w:rPr>
        <w:t> </w:t>
      </w:r>
      <w:r>
        <w:rPr/>
        <w:t>flows,</w:t>
      </w:r>
      <w:r>
        <w:rPr>
          <w:spacing w:val="-5"/>
        </w:rPr>
        <w:t> </w:t>
      </w:r>
      <w:r>
        <w:rPr/>
        <w:t>the</w:t>
      </w:r>
      <w:r>
        <w:rPr>
          <w:spacing w:val="-6"/>
        </w:rPr>
        <w:t> </w:t>
      </w:r>
      <w:r>
        <w:rPr/>
        <w:t>appropriate</w:t>
      </w:r>
      <w:r>
        <w:rPr>
          <w:spacing w:val="-5"/>
        </w:rPr>
        <w:t> </w:t>
      </w:r>
      <w:r>
        <w:rPr/>
        <w:t>discounting</w:t>
      </w:r>
      <w:r>
        <w:rPr>
          <w:spacing w:val="-5"/>
        </w:rPr>
        <w:t> </w:t>
      </w:r>
      <w:r>
        <w:rPr/>
        <w:t>rate</w:t>
      </w:r>
      <w:r>
        <w:rPr>
          <w:spacing w:val="-5"/>
        </w:rPr>
        <w:t> </w:t>
      </w:r>
      <w:r>
        <w:rPr/>
        <w:t>has</w:t>
      </w:r>
      <w:r>
        <w:rPr>
          <w:spacing w:val="-4"/>
        </w:rPr>
        <w:t> </w:t>
      </w:r>
      <w:r>
        <w:rPr/>
        <w:t>been</w:t>
      </w:r>
      <w:r>
        <w:rPr>
          <w:spacing w:val="-6"/>
        </w:rPr>
        <w:t> </w:t>
      </w:r>
      <w:r>
        <w:rPr/>
        <w:t>calculated</w:t>
      </w:r>
      <w:r>
        <w:rPr>
          <w:spacing w:val="-5"/>
        </w:rPr>
        <w:t> </w:t>
      </w:r>
      <w:r>
        <w:rPr/>
        <w:t>on</w:t>
      </w:r>
      <w:r>
        <w:rPr>
          <w:spacing w:val="-6"/>
        </w:rPr>
        <w:t> </w:t>
      </w:r>
      <w:r>
        <w:rPr/>
        <w:t>the</w:t>
      </w:r>
      <w:r>
        <w:rPr>
          <w:spacing w:val="-5"/>
        </w:rPr>
        <w:t> </w:t>
      </w:r>
      <w:r>
        <w:rPr/>
        <w:t>basis</w:t>
      </w:r>
      <w:r>
        <w:rPr>
          <w:spacing w:val="-6"/>
        </w:rPr>
        <w:t> </w:t>
      </w:r>
      <w:r>
        <w:rPr/>
        <w:t>of estimated ‘Weighted Average Cost of Capital’ (WACC). The detailed analysis of WACC rate adopted for</w:t>
      </w:r>
      <w:r>
        <w:rPr>
          <w:spacing w:val="-9"/>
        </w:rPr>
        <w:t> </w:t>
      </w:r>
      <w:r>
        <w:rPr/>
        <w:t>the</w:t>
      </w:r>
      <w:r>
        <w:rPr>
          <w:spacing w:val="-9"/>
        </w:rPr>
        <w:t> </w:t>
      </w:r>
      <w:r>
        <w:rPr/>
        <w:t>subject</w:t>
      </w:r>
      <w:r>
        <w:rPr>
          <w:spacing w:val="-10"/>
        </w:rPr>
        <w:t> </w:t>
      </w:r>
      <w:r>
        <w:rPr/>
        <w:t>property</w:t>
      </w:r>
      <w:r>
        <w:rPr>
          <w:spacing w:val="-6"/>
        </w:rPr>
        <w:t> </w:t>
      </w:r>
      <w:r>
        <w:rPr/>
        <w:t>has</w:t>
      </w:r>
      <w:r>
        <w:rPr>
          <w:spacing w:val="-7"/>
        </w:rPr>
        <w:t> </w:t>
      </w:r>
      <w:r>
        <w:rPr/>
        <w:t>been</w:t>
      </w:r>
      <w:r>
        <w:rPr>
          <w:spacing w:val="-9"/>
        </w:rPr>
        <w:t> </w:t>
      </w:r>
      <w:r>
        <w:rPr/>
        <w:t>detailed</w:t>
      </w:r>
      <w:r>
        <w:rPr>
          <w:spacing w:val="-7"/>
        </w:rPr>
        <w:t> </w:t>
      </w:r>
      <w:r>
        <w:rPr/>
        <w:t>in</w:t>
      </w:r>
      <w:r>
        <w:rPr>
          <w:spacing w:val="-9"/>
        </w:rPr>
        <w:t> </w:t>
      </w:r>
      <w:r>
        <w:rPr/>
        <w:t>Section</w:t>
      </w:r>
      <w:r>
        <w:rPr>
          <w:spacing w:val="-9"/>
        </w:rPr>
        <w:t> </w:t>
      </w:r>
      <w:r>
        <w:rPr/>
        <w:t>3.4</w:t>
      </w:r>
      <w:r>
        <w:rPr>
          <w:spacing w:val="-9"/>
        </w:rPr>
        <w:t> </w:t>
      </w:r>
      <w:r>
        <w:rPr/>
        <w:t>of</w:t>
      </w:r>
      <w:r>
        <w:rPr>
          <w:spacing w:val="-7"/>
        </w:rPr>
        <w:t> </w:t>
      </w:r>
      <w:r>
        <w:rPr/>
        <w:t>this</w:t>
      </w:r>
      <w:r>
        <w:rPr>
          <w:spacing w:val="-8"/>
        </w:rPr>
        <w:t> </w:t>
      </w:r>
      <w:r>
        <w:rPr/>
        <w:t>report.</w:t>
      </w:r>
    </w:p>
    <w:p>
      <w:pPr>
        <w:pStyle w:val="BodyText"/>
        <w:spacing w:before="11"/>
        <w:rPr>
          <w:sz w:val="20"/>
        </w:rPr>
      </w:pPr>
    </w:p>
    <w:p>
      <w:pPr>
        <w:pStyle w:val="BodyText"/>
        <w:ind w:left="680"/>
      </w:pPr>
      <w:bookmarkStart w:name="_bookmark371" w:id="725"/>
      <w:bookmarkEnd w:id="725"/>
      <w:r>
        <w:rPr/>
      </w:r>
      <w:r>
        <w:rPr>
          <w:color w:val="1F6647"/>
        </w:rPr>
        <w:t>16.4 Value of the Subject Property</w:t>
      </w:r>
    </w:p>
    <w:p>
      <w:pPr>
        <w:pStyle w:val="BodyText"/>
        <w:spacing w:before="208"/>
        <w:ind w:left="1311"/>
        <w:jc w:val="both"/>
      </w:pPr>
      <w:r>
        <w:rPr/>
        <w:t>Based on the above mentioned analysis, the value of the subject property is estimated as follows:</w:t>
      </w:r>
    </w:p>
    <w:p>
      <w:pPr>
        <w:pStyle w:val="BodyText"/>
        <w:spacing w:before="1"/>
        <w:rPr>
          <w:sz w:val="29"/>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00"/>
        <w:gridCol w:w="2541"/>
        <w:gridCol w:w="1860"/>
        <w:gridCol w:w="2485"/>
      </w:tblGrid>
      <w:tr>
        <w:trPr>
          <w:trHeight w:val="344" w:hRule="atLeast"/>
        </w:trPr>
        <w:tc>
          <w:tcPr>
            <w:tcW w:w="3600" w:type="dxa"/>
            <w:tcBorders>
              <w:top w:val="single" w:sz="12" w:space="0" w:color="1F6B16"/>
              <w:bottom w:val="single" w:sz="6" w:space="0" w:color="69BD28"/>
            </w:tcBorders>
            <w:shd w:val="clear" w:color="auto" w:fill="006A4D"/>
          </w:tcPr>
          <w:p>
            <w:pPr>
              <w:pStyle w:val="TableParagraph"/>
              <w:spacing w:before="56"/>
              <w:ind w:left="917" w:right="997"/>
              <w:rPr>
                <w:sz w:val="20"/>
              </w:rPr>
            </w:pPr>
            <w:r>
              <w:rPr>
                <w:color w:val="FFFFFF"/>
                <w:sz w:val="20"/>
              </w:rPr>
              <w:t>Component</w:t>
            </w:r>
          </w:p>
        </w:tc>
        <w:tc>
          <w:tcPr>
            <w:tcW w:w="2541" w:type="dxa"/>
            <w:tcBorders>
              <w:top w:val="single" w:sz="12" w:space="0" w:color="1F6B16"/>
              <w:bottom w:val="single" w:sz="6" w:space="0" w:color="69BD28"/>
            </w:tcBorders>
            <w:shd w:val="clear" w:color="auto" w:fill="006A4D"/>
          </w:tcPr>
          <w:p>
            <w:pPr>
              <w:pStyle w:val="TableParagraph"/>
              <w:spacing w:before="56"/>
              <w:ind w:left="968" w:right="214"/>
              <w:rPr>
                <w:sz w:val="20"/>
              </w:rPr>
            </w:pPr>
            <w:r>
              <w:rPr>
                <w:color w:val="FFFFFF"/>
                <w:sz w:val="20"/>
              </w:rPr>
              <w:t>Value (INR Mn)</w:t>
            </w:r>
          </w:p>
        </w:tc>
        <w:tc>
          <w:tcPr>
            <w:tcW w:w="1860" w:type="dxa"/>
            <w:tcBorders>
              <w:top w:val="single" w:sz="12" w:space="0" w:color="1F6B16"/>
              <w:bottom w:val="single" w:sz="6" w:space="0" w:color="69BD28"/>
            </w:tcBorders>
            <w:shd w:val="clear" w:color="auto" w:fill="006A4D"/>
          </w:tcPr>
          <w:p>
            <w:pPr>
              <w:pStyle w:val="TableParagraph"/>
              <w:jc w:val="left"/>
              <w:rPr>
                <w:rFonts w:ascii="Times New Roman"/>
                <w:sz w:val="18"/>
              </w:rPr>
            </w:pPr>
          </w:p>
        </w:tc>
        <w:tc>
          <w:tcPr>
            <w:tcW w:w="2485" w:type="dxa"/>
            <w:tcBorders>
              <w:top w:val="single" w:sz="12" w:space="0" w:color="1F6B16"/>
              <w:bottom w:val="single" w:sz="6" w:space="0" w:color="69BD28"/>
            </w:tcBorders>
            <w:shd w:val="clear" w:color="auto" w:fill="006A4D"/>
          </w:tcPr>
          <w:p>
            <w:pPr>
              <w:pStyle w:val="TableParagraph"/>
              <w:spacing w:before="56"/>
              <w:ind w:left="386"/>
              <w:jc w:val="left"/>
              <w:rPr>
                <w:sz w:val="20"/>
              </w:rPr>
            </w:pPr>
            <w:r>
              <w:rPr>
                <w:color w:val="FFFFFF"/>
                <w:w w:val="110"/>
                <w:sz w:val="20"/>
              </w:rPr>
              <w:t>% Share</w:t>
            </w:r>
          </w:p>
        </w:tc>
      </w:tr>
      <w:tr>
        <w:trPr>
          <w:trHeight w:val="371" w:hRule="atLeast"/>
        </w:trPr>
        <w:tc>
          <w:tcPr>
            <w:tcW w:w="3600" w:type="dxa"/>
            <w:tcBorders>
              <w:top w:val="single" w:sz="6" w:space="0" w:color="69BD28"/>
              <w:bottom w:val="single" w:sz="6" w:space="0" w:color="69BD28"/>
            </w:tcBorders>
          </w:tcPr>
          <w:p>
            <w:pPr>
              <w:pStyle w:val="TableParagraph"/>
              <w:spacing w:before="80"/>
              <w:ind w:left="920" w:right="997"/>
              <w:rPr>
                <w:sz w:val="18"/>
              </w:rPr>
            </w:pPr>
            <w:r>
              <w:rPr>
                <w:sz w:val="18"/>
              </w:rPr>
              <w:t>Operational Hotel</w:t>
            </w:r>
          </w:p>
        </w:tc>
        <w:tc>
          <w:tcPr>
            <w:tcW w:w="2541" w:type="dxa"/>
            <w:tcBorders>
              <w:top w:val="single" w:sz="6" w:space="0" w:color="69BD28"/>
              <w:bottom w:val="single" w:sz="6" w:space="0" w:color="69BD28"/>
            </w:tcBorders>
          </w:tcPr>
          <w:p>
            <w:pPr>
              <w:pStyle w:val="TableParagraph"/>
              <w:spacing w:before="80"/>
              <w:ind w:left="968" w:right="214"/>
              <w:rPr>
                <w:sz w:val="18"/>
              </w:rPr>
            </w:pPr>
            <w:r>
              <w:rPr>
                <w:w w:val="105"/>
                <w:sz w:val="18"/>
              </w:rPr>
              <w:t>4,436</w:t>
            </w:r>
          </w:p>
        </w:tc>
        <w:tc>
          <w:tcPr>
            <w:tcW w:w="1860" w:type="dxa"/>
            <w:tcBorders>
              <w:top w:val="single" w:sz="6" w:space="0" w:color="69BD28"/>
              <w:bottom w:val="single" w:sz="6" w:space="0" w:color="69BD28"/>
            </w:tcBorders>
          </w:tcPr>
          <w:p>
            <w:pPr>
              <w:pStyle w:val="TableParagraph"/>
              <w:jc w:val="left"/>
              <w:rPr>
                <w:rFonts w:ascii="Times New Roman"/>
                <w:sz w:val="18"/>
              </w:rPr>
            </w:pPr>
          </w:p>
        </w:tc>
        <w:tc>
          <w:tcPr>
            <w:tcW w:w="2485" w:type="dxa"/>
            <w:tcBorders>
              <w:top w:val="single" w:sz="6" w:space="0" w:color="69BD28"/>
              <w:bottom w:val="single" w:sz="6" w:space="0" w:color="69BD28"/>
            </w:tcBorders>
          </w:tcPr>
          <w:p>
            <w:pPr>
              <w:pStyle w:val="TableParagraph"/>
              <w:spacing w:before="80"/>
              <w:ind w:left="434"/>
              <w:jc w:val="left"/>
              <w:rPr>
                <w:sz w:val="18"/>
              </w:rPr>
            </w:pPr>
            <w:r>
              <w:rPr>
                <w:w w:val="110"/>
                <w:sz w:val="18"/>
              </w:rPr>
              <w:t>100.0%</w:t>
            </w:r>
          </w:p>
        </w:tc>
      </w:tr>
      <w:tr>
        <w:trPr>
          <w:trHeight w:val="364" w:hRule="atLeast"/>
        </w:trPr>
        <w:tc>
          <w:tcPr>
            <w:tcW w:w="3600" w:type="dxa"/>
            <w:shd w:val="clear" w:color="auto" w:fill="69BD28"/>
          </w:tcPr>
          <w:p>
            <w:pPr>
              <w:pStyle w:val="TableParagraph"/>
              <w:spacing w:before="73"/>
              <w:ind w:left="920" w:right="997"/>
              <w:rPr>
                <w:b/>
                <w:sz w:val="18"/>
              </w:rPr>
            </w:pPr>
            <w:r>
              <w:rPr>
                <w:b/>
                <w:color w:val="FFFFFF"/>
                <w:w w:val="105"/>
                <w:sz w:val="18"/>
              </w:rPr>
              <w:t>Hilton at GolfLinks</w:t>
            </w:r>
          </w:p>
        </w:tc>
        <w:tc>
          <w:tcPr>
            <w:tcW w:w="2541" w:type="dxa"/>
            <w:shd w:val="clear" w:color="auto" w:fill="69BD28"/>
          </w:tcPr>
          <w:p>
            <w:pPr>
              <w:pStyle w:val="TableParagraph"/>
              <w:jc w:val="left"/>
              <w:rPr>
                <w:rFonts w:ascii="Times New Roman"/>
                <w:sz w:val="18"/>
              </w:rPr>
            </w:pPr>
          </w:p>
        </w:tc>
        <w:tc>
          <w:tcPr>
            <w:tcW w:w="1860" w:type="dxa"/>
            <w:shd w:val="clear" w:color="auto" w:fill="69BD28"/>
          </w:tcPr>
          <w:p>
            <w:pPr>
              <w:pStyle w:val="TableParagraph"/>
              <w:spacing w:before="73"/>
              <w:ind w:left="234"/>
              <w:jc w:val="left"/>
              <w:rPr>
                <w:b/>
                <w:sz w:val="18"/>
              </w:rPr>
            </w:pPr>
            <w:r>
              <w:rPr>
                <w:b/>
                <w:color w:val="FFFFFF"/>
                <w:w w:val="110"/>
                <w:sz w:val="18"/>
              </w:rPr>
              <w:t>INR 4,436 Mn</w:t>
            </w:r>
          </w:p>
        </w:tc>
        <w:tc>
          <w:tcPr>
            <w:tcW w:w="2485" w:type="dxa"/>
            <w:shd w:val="clear" w:color="auto" w:fill="69BD28"/>
          </w:tcPr>
          <w:p>
            <w:pPr>
              <w:pStyle w:val="TableParagraph"/>
              <w:jc w:val="left"/>
              <w:rPr>
                <w:rFonts w:ascii="Times New Roman"/>
                <w:sz w:val="18"/>
              </w:rPr>
            </w:pPr>
          </w:p>
        </w:tc>
      </w:tr>
    </w:tbl>
    <w:p>
      <w:pPr>
        <w:spacing w:after="0"/>
        <w:jc w:val="left"/>
        <w:rPr>
          <w:rFonts w:ascii="Times New Roman"/>
          <w:sz w:val="18"/>
        </w:rPr>
        <w:sectPr>
          <w:pgSz w:w="11910" w:h="16840"/>
          <w:pgMar w:header="720" w:footer="862" w:top="1660" w:bottom="1060" w:left="40" w:right="40"/>
        </w:sectPr>
      </w:pPr>
    </w:p>
    <w:p>
      <w:pPr>
        <w:pStyle w:val="BodyText"/>
        <w:spacing w:before="7"/>
        <w:rPr>
          <w:sz w:val="9"/>
        </w:rPr>
      </w:pPr>
    </w:p>
    <w:p>
      <w:pPr>
        <w:pStyle w:val="Heading5"/>
        <w:numPr>
          <w:ilvl w:val="0"/>
          <w:numId w:val="14"/>
        </w:numPr>
        <w:tabs>
          <w:tab w:pos="1113" w:val="left" w:leader="none"/>
        </w:tabs>
        <w:spacing w:line="240" w:lineRule="auto" w:before="106" w:after="0"/>
        <w:ind w:left="1112" w:right="0" w:hanging="433"/>
        <w:jc w:val="left"/>
        <w:rPr>
          <w:rFonts w:ascii="Arial"/>
        </w:rPr>
      </w:pPr>
      <w:bookmarkStart w:name="_bookmark372" w:id="726"/>
      <w:bookmarkEnd w:id="726"/>
      <w:r>
        <w:rPr>
          <w:b w:val="0"/>
        </w:rPr>
      </w:r>
      <w:bookmarkStart w:name="_bookmark372" w:id="727"/>
      <w:bookmarkEnd w:id="727"/>
      <w:r>
        <w:rPr>
          <w:rFonts w:ascii="Arial"/>
          <w:color w:val="1F664D"/>
        </w:rPr>
        <w:t>E</w:t>
      </w:r>
      <w:r>
        <w:rPr>
          <w:rFonts w:ascii="Arial"/>
          <w:color w:val="1F664D"/>
        </w:rPr>
        <w:t>mbassy</w:t>
      </w:r>
      <w:r>
        <w:rPr>
          <w:rFonts w:ascii="Arial"/>
          <w:color w:val="1F664D"/>
          <w:spacing w:val="1"/>
        </w:rPr>
        <w:t> </w:t>
      </w:r>
      <w:r>
        <w:rPr>
          <w:rFonts w:ascii="Arial"/>
          <w:color w:val="1F664D"/>
        </w:rPr>
        <w:t>Energy</w:t>
      </w:r>
    </w:p>
    <w:p>
      <w:pPr>
        <w:pStyle w:val="BodyText"/>
        <w:spacing w:before="8"/>
        <w:rPr>
          <w:rFonts w:ascii="Arial"/>
          <w:b/>
          <w:sz w:val="28"/>
        </w:rPr>
      </w:pPr>
    </w:p>
    <w:p>
      <w:pPr>
        <w:pStyle w:val="ListParagraph"/>
        <w:numPr>
          <w:ilvl w:val="1"/>
          <w:numId w:val="14"/>
        </w:numPr>
        <w:tabs>
          <w:tab w:pos="1257" w:val="left" w:leader="none"/>
        </w:tabs>
        <w:spacing w:line="240" w:lineRule="auto" w:before="1" w:after="0"/>
        <w:ind w:left="1256" w:right="0" w:hanging="577"/>
        <w:jc w:val="left"/>
        <w:rPr>
          <w:color w:val="1F6647"/>
          <w:sz w:val="22"/>
        </w:rPr>
      </w:pPr>
      <w:bookmarkStart w:name="_bookmark373" w:id="728"/>
      <w:bookmarkEnd w:id="728"/>
      <w:r>
        <w:rPr/>
      </w:r>
      <w:bookmarkStart w:name="_bookmark373" w:id="729"/>
      <w:bookmarkEnd w:id="729"/>
      <w:r>
        <w:rPr>
          <w:color w:val="1F6647"/>
          <w:sz w:val="22"/>
        </w:rPr>
        <w:t>Ass</w:t>
      </w:r>
      <w:r>
        <w:rPr>
          <w:color w:val="1F6647"/>
          <w:sz w:val="22"/>
        </w:rPr>
        <w:t>et Description</w:t>
      </w:r>
    </w:p>
    <w:p>
      <w:pPr>
        <w:pStyle w:val="BodyText"/>
        <w:spacing w:before="5"/>
        <w:rPr>
          <w:sz w:val="17"/>
        </w:rPr>
      </w:pPr>
    </w:p>
    <w:tbl>
      <w:tblPr>
        <w:tblW w:w="0" w:type="auto"/>
        <w:jc w:val="left"/>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64"/>
        <w:gridCol w:w="7307"/>
      </w:tblGrid>
      <w:tr>
        <w:trPr>
          <w:trHeight w:val="251" w:hRule="atLeast"/>
        </w:trPr>
        <w:tc>
          <w:tcPr>
            <w:tcW w:w="10471" w:type="dxa"/>
            <w:gridSpan w:val="2"/>
            <w:tcBorders>
              <w:top w:val="single" w:sz="12" w:space="0" w:color="1F6B16"/>
              <w:bottom w:val="single" w:sz="6" w:space="0" w:color="69BD28"/>
            </w:tcBorders>
            <w:shd w:val="clear" w:color="auto" w:fill="006A4D"/>
          </w:tcPr>
          <w:p>
            <w:pPr>
              <w:pStyle w:val="TableParagraph"/>
              <w:spacing w:line="209" w:lineRule="exact" w:before="22"/>
              <w:ind w:left="4469" w:right="4470"/>
              <w:rPr>
                <w:b/>
                <w:sz w:val="18"/>
              </w:rPr>
            </w:pPr>
            <w:r>
              <w:rPr>
                <w:b/>
                <w:color w:val="FFFFFF"/>
                <w:w w:val="105"/>
                <w:sz w:val="18"/>
              </w:rPr>
              <w:t>Brief Description</w:t>
            </w:r>
          </w:p>
        </w:tc>
      </w:tr>
      <w:tr>
        <w:trPr>
          <w:trHeight w:val="369" w:hRule="atLeast"/>
        </w:trPr>
        <w:tc>
          <w:tcPr>
            <w:tcW w:w="3164" w:type="dxa"/>
            <w:tcBorders>
              <w:top w:val="single" w:sz="6" w:space="0" w:color="69BD28"/>
            </w:tcBorders>
            <w:shd w:val="clear" w:color="auto" w:fill="006A4D"/>
          </w:tcPr>
          <w:p>
            <w:pPr>
              <w:pStyle w:val="TableParagraph"/>
              <w:spacing w:before="80"/>
              <w:ind w:left="758" w:right="770"/>
              <w:rPr>
                <w:b/>
                <w:sz w:val="18"/>
              </w:rPr>
            </w:pPr>
            <w:r>
              <w:rPr>
                <w:b/>
                <w:color w:val="FFFFFF"/>
                <w:w w:val="105"/>
                <w:sz w:val="18"/>
              </w:rPr>
              <w:t>Particulars</w:t>
            </w:r>
          </w:p>
        </w:tc>
        <w:tc>
          <w:tcPr>
            <w:tcW w:w="7307" w:type="dxa"/>
            <w:tcBorders>
              <w:top w:val="single" w:sz="6" w:space="0" w:color="69BD28"/>
              <w:bottom w:val="single" w:sz="6" w:space="0" w:color="69BD28"/>
            </w:tcBorders>
            <w:shd w:val="clear" w:color="auto" w:fill="006A4D"/>
          </w:tcPr>
          <w:p>
            <w:pPr>
              <w:pStyle w:val="TableParagraph"/>
              <w:spacing w:before="80"/>
              <w:ind w:left="1483" w:right="1495"/>
              <w:rPr>
                <w:b/>
                <w:sz w:val="18"/>
              </w:rPr>
            </w:pPr>
            <w:r>
              <w:rPr>
                <w:b/>
                <w:color w:val="FFFFFF"/>
                <w:w w:val="110"/>
                <w:sz w:val="18"/>
              </w:rPr>
              <w:t>Details</w:t>
            </w:r>
          </w:p>
        </w:tc>
      </w:tr>
      <w:tr>
        <w:trPr>
          <w:trHeight w:val="536" w:hRule="atLeast"/>
        </w:trPr>
        <w:tc>
          <w:tcPr>
            <w:tcW w:w="3164" w:type="dxa"/>
            <w:shd w:val="clear" w:color="auto" w:fill="69BD28"/>
          </w:tcPr>
          <w:p>
            <w:pPr>
              <w:pStyle w:val="TableParagraph"/>
              <w:spacing w:before="164"/>
              <w:ind w:left="758" w:right="770"/>
              <w:rPr>
                <w:b/>
                <w:sz w:val="18"/>
              </w:rPr>
            </w:pPr>
            <w:r>
              <w:rPr>
                <w:b/>
                <w:color w:val="FFFFFF"/>
                <w:w w:val="110"/>
                <w:sz w:val="18"/>
              </w:rPr>
              <w:t>Entity Name</w:t>
            </w:r>
          </w:p>
        </w:tc>
        <w:tc>
          <w:tcPr>
            <w:tcW w:w="7307" w:type="dxa"/>
            <w:tcBorders>
              <w:top w:val="single" w:sz="6" w:space="0" w:color="69BD28"/>
              <w:bottom w:val="single" w:sz="6" w:space="0" w:color="69BD28"/>
            </w:tcBorders>
          </w:tcPr>
          <w:p>
            <w:pPr>
              <w:pStyle w:val="TableParagraph"/>
              <w:spacing w:before="164"/>
              <w:ind w:left="1483" w:right="1498"/>
              <w:rPr>
                <w:sz w:val="18"/>
              </w:rPr>
            </w:pPr>
            <w:r>
              <w:rPr>
                <w:sz w:val="18"/>
              </w:rPr>
              <w:t>Embassy-Energy Private Limited (EEPL)</w:t>
            </w:r>
          </w:p>
        </w:tc>
      </w:tr>
      <w:tr>
        <w:trPr>
          <w:trHeight w:val="510" w:hRule="atLeast"/>
        </w:trPr>
        <w:tc>
          <w:tcPr>
            <w:tcW w:w="3164" w:type="dxa"/>
            <w:shd w:val="clear" w:color="auto" w:fill="69BD28"/>
          </w:tcPr>
          <w:p>
            <w:pPr>
              <w:pStyle w:val="TableParagraph"/>
              <w:spacing w:before="152"/>
              <w:ind w:left="756" w:right="770"/>
              <w:rPr>
                <w:b/>
                <w:sz w:val="18"/>
              </w:rPr>
            </w:pPr>
            <w:r>
              <w:rPr>
                <w:b/>
                <w:color w:val="FFFFFF"/>
                <w:w w:val="110"/>
                <w:sz w:val="18"/>
              </w:rPr>
              <w:t>Asset Details</w:t>
            </w:r>
          </w:p>
        </w:tc>
        <w:tc>
          <w:tcPr>
            <w:tcW w:w="7307" w:type="dxa"/>
            <w:tcBorders>
              <w:top w:val="single" w:sz="6" w:space="0" w:color="69BD28"/>
              <w:bottom w:val="single" w:sz="6" w:space="0" w:color="69BD28"/>
            </w:tcBorders>
          </w:tcPr>
          <w:p>
            <w:pPr>
              <w:pStyle w:val="TableParagraph"/>
              <w:spacing w:before="152"/>
              <w:ind w:left="1483" w:right="1500"/>
              <w:rPr>
                <w:sz w:val="18"/>
              </w:rPr>
            </w:pPr>
            <w:r>
              <w:rPr>
                <w:sz w:val="18"/>
              </w:rPr>
              <w:t>Solar Photovoltaic (PV) electricity generation facility</w:t>
            </w:r>
          </w:p>
        </w:tc>
      </w:tr>
      <w:tr>
        <w:trPr>
          <w:trHeight w:val="530" w:hRule="atLeast"/>
        </w:trPr>
        <w:tc>
          <w:tcPr>
            <w:tcW w:w="3164" w:type="dxa"/>
            <w:shd w:val="clear" w:color="auto" w:fill="69BD28"/>
          </w:tcPr>
          <w:p>
            <w:pPr>
              <w:pStyle w:val="TableParagraph"/>
              <w:spacing w:before="162"/>
              <w:ind w:left="758" w:right="770"/>
              <w:rPr>
                <w:b/>
                <w:sz w:val="18"/>
              </w:rPr>
            </w:pPr>
            <w:r>
              <w:rPr>
                <w:b/>
                <w:color w:val="FFFFFF"/>
                <w:w w:val="110"/>
                <w:sz w:val="18"/>
              </w:rPr>
              <w:t>Property Address</w:t>
            </w:r>
          </w:p>
        </w:tc>
        <w:tc>
          <w:tcPr>
            <w:tcW w:w="7307" w:type="dxa"/>
            <w:tcBorders>
              <w:top w:val="single" w:sz="6" w:space="0" w:color="69BD28"/>
              <w:bottom w:val="single" w:sz="6" w:space="0" w:color="69BD28"/>
            </w:tcBorders>
          </w:tcPr>
          <w:p>
            <w:pPr>
              <w:pStyle w:val="TableParagraph"/>
              <w:spacing w:line="249" w:lineRule="auto" w:before="54"/>
              <w:ind w:left="1767" w:hanging="1297"/>
              <w:jc w:val="left"/>
              <w:rPr>
                <w:sz w:val="18"/>
              </w:rPr>
            </w:pPr>
            <w:r>
              <w:rPr>
                <w:sz w:val="18"/>
              </w:rPr>
              <w:t>Villages Ittigi and Mooregeri in Huvin Hadagali Taluka and Nellukudure in Hagri Bommanhalli Taluka, Bellary District, Karnataka</w:t>
            </w:r>
          </w:p>
        </w:tc>
      </w:tr>
      <w:tr>
        <w:trPr>
          <w:trHeight w:val="520" w:hRule="atLeast"/>
        </w:trPr>
        <w:tc>
          <w:tcPr>
            <w:tcW w:w="3164" w:type="dxa"/>
            <w:shd w:val="clear" w:color="auto" w:fill="69BD28"/>
          </w:tcPr>
          <w:p>
            <w:pPr>
              <w:pStyle w:val="TableParagraph"/>
              <w:spacing w:before="154"/>
              <w:ind w:left="758" w:right="769"/>
              <w:rPr>
                <w:b/>
                <w:sz w:val="18"/>
              </w:rPr>
            </w:pPr>
            <w:r>
              <w:rPr>
                <w:b/>
                <w:color w:val="FFFFFF"/>
                <w:w w:val="110"/>
                <w:sz w:val="18"/>
              </w:rPr>
              <w:t>Land Area</w:t>
            </w:r>
          </w:p>
        </w:tc>
        <w:tc>
          <w:tcPr>
            <w:tcW w:w="7307" w:type="dxa"/>
            <w:tcBorders>
              <w:top w:val="single" w:sz="6" w:space="0" w:color="69BD28"/>
              <w:bottom w:val="single" w:sz="6" w:space="0" w:color="69BD28"/>
            </w:tcBorders>
          </w:tcPr>
          <w:p>
            <w:pPr>
              <w:pStyle w:val="TableParagraph"/>
              <w:spacing w:before="154"/>
              <w:ind w:left="1483" w:right="1496"/>
              <w:rPr>
                <w:sz w:val="18"/>
              </w:rPr>
            </w:pPr>
            <w:r>
              <w:rPr>
                <w:sz w:val="18"/>
              </w:rPr>
              <w:t>Approximately 465.77 acres</w:t>
            </w:r>
          </w:p>
        </w:tc>
      </w:tr>
    </w:tbl>
    <w:p>
      <w:pPr>
        <w:spacing w:before="47"/>
        <w:ind w:left="680" w:right="0" w:firstLine="0"/>
        <w:jc w:val="left"/>
        <w:rPr>
          <w:i/>
          <w:sz w:val="18"/>
        </w:rPr>
      </w:pPr>
      <w:r>
        <w:rPr>
          <w:i/>
          <w:sz w:val="18"/>
        </w:rPr>
        <w:t>Source: Deferred Payment Agreement between EEPL and IL&amp;FS Solar Power Limited, Title Report</w:t>
      </w:r>
    </w:p>
    <w:p>
      <w:pPr>
        <w:pStyle w:val="BodyText"/>
        <w:rPr>
          <w:i/>
        </w:rPr>
      </w:pPr>
    </w:p>
    <w:p>
      <w:pPr>
        <w:pStyle w:val="BodyText"/>
        <w:spacing w:before="8"/>
        <w:rPr>
          <w:i/>
        </w:rPr>
      </w:pPr>
    </w:p>
    <w:p>
      <w:pPr>
        <w:pStyle w:val="BodyText"/>
        <w:spacing w:line="372" w:lineRule="auto"/>
        <w:ind w:left="1227" w:right="673"/>
        <w:jc w:val="both"/>
      </w:pPr>
      <w:r>
        <w:rPr/>
        <w:t>Based</w:t>
      </w:r>
      <w:r>
        <w:rPr>
          <w:spacing w:val="-29"/>
        </w:rPr>
        <w:t> </w:t>
      </w:r>
      <w:r>
        <w:rPr/>
        <w:t>on</w:t>
      </w:r>
      <w:r>
        <w:rPr>
          <w:spacing w:val="-28"/>
        </w:rPr>
        <w:t> </w:t>
      </w:r>
      <w:r>
        <w:rPr/>
        <w:t>the</w:t>
      </w:r>
      <w:r>
        <w:rPr>
          <w:spacing w:val="-27"/>
        </w:rPr>
        <w:t> </w:t>
      </w:r>
      <w:r>
        <w:rPr/>
        <w:t>review</w:t>
      </w:r>
      <w:r>
        <w:rPr>
          <w:spacing w:val="-27"/>
        </w:rPr>
        <w:t> </w:t>
      </w:r>
      <w:r>
        <w:rPr/>
        <w:t>of</w:t>
      </w:r>
      <w:r>
        <w:rPr>
          <w:spacing w:val="-27"/>
        </w:rPr>
        <w:t> </w:t>
      </w:r>
      <w:r>
        <w:rPr/>
        <w:t>various</w:t>
      </w:r>
      <w:r>
        <w:rPr>
          <w:spacing w:val="-27"/>
        </w:rPr>
        <w:t> </w:t>
      </w:r>
      <w:r>
        <w:rPr/>
        <w:t>documents</w:t>
      </w:r>
      <w:r>
        <w:rPr>
          <w:spacing w:val="-28"/>
        </w:rPr>
        <w:t> </w:t>
      </w:r>
      <w:r>
        <w:rPr/>
        <w:t>provided</w:t>
      </w:r>
      <w:r>
        <w:rPr>
          <w:spacing w:val="-27"/>
        </w:rPr>
        <w:t> </w:t>
      </w:r>
      <w:r>
        <w:rPr/>
        <w:t>by</w:t>
      </w:r>
      <w:r>
        <w:rPr>
          <w:spacing w:val="-26"/>
        </w:rPr>
        <w:t> </w:t>
      </w:r>
      <w:r>
        <w:rPr/>
        <w:t>the</w:t>
      </w:r>
      <w:r>
        <w:rPr>
          <w:spacing w:val="-28"/>
        </w:rPr>
        <w:t> </w:t>
      </w:r>
      <w:r>
        <w:rPr/>
        <w:t>Client,</w:t>
      </w:r>
      <w:r>
        <w:rPr>
          <w:spacing w:val="-28"/>
        </w:rPr>
        <w:t> </w:t>
      </w:r>
      <w:r>
        <w:rPr/>
        <w:t>it</w:t>
      </w:r>
      <w:r>
        <w:rPr>
          <w:spacing w:val="-28"/>
        </w:rPr>
        <w:t> </w:t>
      </w:r>
      <w:r>
        <w:rPr/>
        <w:t>is</w:t>
      </w:r>
      <w:r>
        <w:rPr>
          <w:spacing w:val="-27"/>
        </w:rPr>
        <w:t> </w:t>
      </w:r>
      <w:r>
        <w:rPr/>
        <w:t>understood</w:t>
      </w:r>
      <w:r>
        <w:rPr>
          <w:spacing w:val="-27"/>
        </w:rPr>
        <w:t> </w:t>
      </w:r>
      <w:r>
        <w:rPr/>
        <w:t>that</w:t>
      </w:r>
      <w:r>
        <w:rPr>
          <w:spacing w:val="-28"/>
        </w:rPr>
        <w:t> </w:t>
      </w:r>
      <w:r>
        <w:rPr/>
        <w:t>EEPL</w:t>
      </w:r>
      <w:r>
        <w:rPr>
          <w:spacing w:val="-29"/>
        </w:rPr>
        <w:t> </w:t>
      </w:r>
      <w:r>
        <w:rPr/>
        <w:t>has</w:t>
      </w:r>
      <w:r>
        <w:rPr>
          <w:spacing w:val="-27"/>
        </w:rPr>
        <w:t> </w:t>
      </w:r>
      <w:r>
        <w:rPr/>
        <w:t>entered into</w:t>
      </w:r>
      <w:r>
        <w:rPr>
          <w:spacing w:val="-23"/>
        </w:rPr>
        <w:t> </w:t>
      </w:r>
      <w:r>
        <w:rPr/>
        <w:t>a</w:t>
      </w:r>
      <w:r>
        <w:rPr>
          <w:spacing w:val="-23"/>
        </w:rPr>
        <w:t> </w:t>
      </w:r>
      <w:r>
        <w:rPr/>
        <w:t>project</w:t>
      </w:r>
      <w:r>
        <w:rPr>
          <w:spacing w:val="-21"/>
        </w:rPr>
        <w:t> </w:t>
      </w:r>
      <w:r>
        <w:rPr/>
        <w:t>development</w:t>
      </w:r>
      <w:r>
        <w:rPr>
          <w:spacing w:val="-23"/>
        </w:rPr>
        <w:t> </w:t>
      </w:r>
      <w:r>
        <w:rPr/>
        <w:t>agreement</w:t>
      </w:r>
      <w:r>
        <w:rPr>
          <w:spacing w:val="-22"/>
        </w:rPr>
        <w:t> </w:t>
      </w:r>
      <w:r>
        <w:rPr/>
        <w:t>with</w:t>
      </w:r>
      <w:r>
        <w:rPr>
          <w:spacing w:val="-23"/>
        </w:rPr>
        <w:t> </w:t>
      </w:r>
      <w:r>
        <w:rPr/>
        <w:t>IL&amp;FS</w:t>
      </w:r>
      <w:r>
        <w:rPr>
          <w:spacing w:val="-22"/>
        </w:rPr>
        <w:t> </w:t>
      </w:r>
      <w:r>
        <w:rPr/>
        <w:t>Solar</w:t>
      </w:r>
      <w:r>
        <w:rPr>
          <w:spacing w:val="-23"/>
        </w:rPr>
        <w:t> </w:t>
      </w:r>
      <w:r>
        <w:rPr/>
        <w:t>Power</w:t>
      </w:r>
      <w:r>
        <w:rPr>
          <w:spacing w:val="-23"/>
        </w:rPr>
        <w:t> </w:t>
      </w:r>
      <w:r>
        <w:rPr/>
        <w:t>Limited,</w:t>
      </w:r>
      <w:r>
        <w:rPr>
          <w:spacing w:val="-22"/>
        </w:rPr>
        <w:t> </w:t>
      </w:r>
      <w:r>
        <w:rPr/>
        <w:t>as</w:t>
      </w:r>
      <w:r>
        <w:rPr>
          <w:spacing w:val="-21"/>
        </w:rPr>
        <w:t> </w:t>
      </w:r>
      <w:r>
        <w:rPr/>
        <w:t>per</w:t>
      </w:r>
      <w:r>
        <w:rPr>
          <w:spacing w:val="-23"/>
        </w:rPr>
        <w:t> </w:t>
      </w:r>
      <w:r>
        <w:rPr/>
        <w:t>which</w:t>
      </w:r>
      <w:r>
        <w:rPr>
          <w:spacing w:val="-24"/>
        </w:rPr>
        <w:t> </w:t>
      </w:r>
      <w:r>
        <w:rPr/>
        <w:t>IL&amp;FS</w:t>
      </w:r>
      <w:r>
        <w:rPr>
          <w:spacing w:val="-21"/>
        </w:rPr>
        <w:t> </w:t>
      </w:r>
      <w:r>
        <w:rPr/>
        <w:t>Solar</w:t>
      </w:r>
      <w:r>
        <w:rPr>
          <w:spacing w:val="-23"/>
        </w:rPr>
        <w:t> </w:t>
      </w:r>
      <w:r>
        <w:rPr/>
        <w:t>Power Limited would set up the entire solar plant facility including land acquisition, development, design, engineering,</w:t>
      </w:r>
      <w:r>
        <w:rPr>
          <w:spacing w:val="-27"/>
        </w:rPr>
        <w:t> </w:t>
      </w:r>
      <w:r>
        <w:rPr/>
        <w:t>procurement,</w:t>
      </w:r>
      <w:r>
        <w:rPr>
          <w:spacing w:val="-26"/>
        </w:rPr>
        <w:t> </w:t>
      </w:r>
      <w:r>
        <w:rPr/>
        <w:t>construction,</w:t>
      </w:r>
      <w:r>
        <w:rPr>
          <w:spacing w:val="-26"/>
        </w:rPr>
        <w:t> </w:t>
      </w:r>
      <w:r>
        <w:rPr/>
        <w:t>erection,</w:t>
      </w:r>
      <w:r>
        <w:rPr>
          <w:spacing w:val="-26"/>
        </w:rPr>
        <w:t> </w:t>
      </w:r>
      <w:r>
        <w:rPr/>
        <w:t>testing</w:t>
      </w:r>
      <w:r>
        <w:rPr>
          <w:spacing w:val="-26"/>
        </w:rPr>
        <w:t> </w:t>
      </w:r>
      <w:r>
        <w:rPr/>
        <w:t>and</w:t>
      </w:r>
      <w:r>
        <w:rPr>
          <w:spacing w:val="-26"/>
        </w:rPr>
        <w:t> </w:t>
      </w:r>
      <w:r>
        <w:rPr/>
        <w:t>commissioning</w:t>
      </w:r>
      <w:r>
        <w:rPr>
          <w:spacing w:val="-25"/>
        </w:rPr>
        <w:t> </w:t>
      </w:r>
      <w:r>
        <w:rPr/>
        <w:t>of</w:t>
      </w:r>
      <w:r>
        <w:rPr>
          <w:spacing w:val="-26"/>
        </w:rPr>
        <w:t> </w:t>
      </w:r>
      <w:r>
        <w:rPr/>
        <w:t>the</w:t>
      </w:r>
      <w:r>
        <w:rPr>
          <w:spacing w:val="-27"/>
        </w:rPr>
        <w:t> </w:t>
      </w:r>
      <w:r>
        <w:rPr/>
        <w:t>solar</w:t>
      </w:r>
      <w:r>
        <w:rPr>
          <w:spacing w:val="-26"/>
        </w:rPr>
        <w:t> </w:t>
      </w:r>
      <w:r>
        <w:rPr/>
        <w:t>park.</w:t>
      </w:r>
      <w:r>
        <w:rPr>
          <w:spacing w:val="-26"/>
        </w:rPr>
        <w:t> </w:t>
      </w:r>
      <w:r>
        <w:rPr/>
        <w:t>For</w:t>
      </w:r>
      <w:r>
        <w:rPr>
          <w:spacing w:val="-26"/>
        </w:rPr>
        <w:t> </w:t>
      </w:r>
      <w:r>
        <w:rPr/>
        <w:t>the same, IL&amp;FS Solar Power Limited will receive deferred payments from EEPL in equated monthly instalments</w:t>
      </w:r>
      <w:r>
        <w:rPr>
          <w:spacing w:val="-14"/>
        </w:rPr>
        <w:t> </w:t>
      </w:r>
      <w:r>
        <w:rPr/>
        <w:t>for</w:t>
      </w:r>
      <w:r>
        <w:rPr>
          <w:spacing w:val="-13"/>
        </w:rPr>
        <w:t> </w:t>
      </w:r>
      <w:r>
        <w:rPr/>
        <w:t>15</w:t>
      </w:r>
      <w:r>
        <w:rPr>
          <w:spacing w:val="-13"/>
        </w:rPr>
        <w:t> </w:t>
      </w:r>
      <w:r>
        <w:rPr/>
        <w:t>years</w:t>
      </w:r>
      <w:r>
        <w:rPr>
          <w:spacing w:val="-12"/>
        </w:rPr>
        <w:t> </w:t>
      </w:r>
      <w:r>
        <w:rPr/>
        <w:t>(180</w:t>
      </w:r>
      <w:r>
        <w:rPr>
          <w:spacing w:val="-13"/>
        </w:rPr>
        <w:t> </w:t>
      </w:r>
      <w:r>
        <w:rPr/>
        <w:t>months)</w:t>
      </w:r>
      <w:r>
        <w:rPr>
          <w:spacing w:val="-14"/>
        </w:rPr>
        <w:t> </w:t>
      </w:r>
      <w:r>
        <w:rPr/>
        <w:t>from</w:t>
      </w:r>
      <w:r>
        <w:rPr>
          <w:spacing w:val="-13"/>
        </w:rPr>
        <w:t> </w:t>
      </w:r>
      <w:r>
        <w:rPr/>
        <w:t>Commercial</w:t>
      </w:r>
      <w:r>
        <w:rPr>
          <w:spacing w:val="-14"/>
        </w:rPr>
        <w:t> </w:t>
      </w:r>
      <w:r>
        <w:rPr/>
        <w:t>Operation</w:t>
      </w:r>
      <w:r>
        <w:rPr>
          <w:spacing w:val="-13"/>
        </w:rPr>
        <w:t> </w:t>
      </w:r>
      <w:r>
        <w:rPr/>
        <w:t>Date</w:t>
      </w:r>
      <w:r>
        <w:rPr>
          <w:spacing w:val="-13"/>
        </w:rPr>
        <w:t> </w:t>
      </w:r>
      <w:r>
        <w:rPr/>
        <w:t>(COD)</w:t>
      </w:r>
      <w:r>
        <w:rPr>
          <w:vertAlign w:val="superscript"/>
        </w:rPr>
        <w:t>6</w:t>
      </w:r>
      <w:r>
        <w:rPr>
          <w:vertAlign w:val="baseline"/>
        </w:rPr>
        <w:t>.</w:t>
      </w:r>
      <w:r>
        <w:rPr>
          <w:spacing w:val="-13"/>
          <w:vertAlign w:val="baseline"/>
        </w:rPr>
        <w:t> </w:t>
      </w:r>
      <w:r>
        <w:rPr>
          <w:vertAlign w:val="baseline"/>
        </w:rPr>
        <w:t>Additionally,</w:t>
      </w:r>
      <w:r>
        <w:rPr>
          <w:spacing w:val="-13"/>
          <w:vertAlign w:val="baseline"/>
        </w:rPr>
        <w:t> </w:t>
      </w:r>
      <w:r>
        <w:rPr>
          <w:vertAlign w:val="baseline"/>
        </w:rPr>
        <w:t>it</w:t>
      </w:r>
      <w:r>
        <w:rPr>
          <w:spacing w:val="-13"/>
          <w:vertAlign w:val="baseline"/>
        </w:rPr>
        <w:t> </w:t>
      </w:r>
      <w:r>
        <w:rPr>
          <w:vertAlign w:val="baseline"/>
        </w:rPr>
        <w:t>is</w:t>
      </w:r>
      <w:r>
        <w:rPr>
          <w:spacing w:val="-14"/>
          <w:vertAlign w:val="baseline"/>
        </w:rPr>
        <w:t> </w:t>
      </w:r>
      <w:r>
        <w:rPr>
          <w:vertAlign w:val="baseline"/>
        </w:rPr>
        <w:t>also understood</w:t>
      </w:r>
      <w:r>
        <w:rPr>
          <w:spacing w:val="-26"/>
          <w:vertAlign w:val="baseline"/>
        </w:rPr>
        <w:t> </w:t>
      </w:r>
      <w:r>
        <w:rPr>
          <w:vertAlign w:val="baseline"/>
        </w:rPr>
        <w:t>that</w:t>
      </w:r>
      <w:r>
        <w:rPr>
          <w:spacing w:val="-26"/>
          <w:vertAlign w:val="baseline"/>
        </w:rPr>
        <w:t> </w:t>
      </w:r>
      <w:r>
        <w:rPr>
          <w:vertAlign w:val="baseline"/>
        </w:rPr>
        <w:t>IL&amp;FS</w:t>
      </w:r>
      <w:r>
        <w:rPr>
          <w:spacing w:val="-23"/>
          <w:vertAlign w:val="baseline"/>
        </w:rPr>
        <w:t> </w:t>
      </w:r>
      <w:r>
        <w:rPr>
          <w:vertAlign w:val="baseline"/>
        </w:rPr>
        <w:t>Solar</w:t>
      </w:r>
      <w:r>
        <w:rPr>
          <w:spacing w:val="-25"/>
          <w:vertAlign w:val="baseline"/>
        </w:rPr>
        <w:t> </w:t>
      </w:r>
      <w:r>
        <w:rPr>
          <w:vertAlign w:val="baseline"/>
        </w:rPr>
        <w:t>Power</w:t>
      </w:r>
      <w:r>
        <w:rPr>
          <w:spacing w:val="-25"/>
          <w:vertAlign w:val="baseline"/>
        </w:rPr>
        <w:t> </w:t>
      </w:r>
      <w:r>
        <w:rPr>
          <w:vertAlign w:val="baseline"/>
        </w:rPr>
        <w:t>Limited</w:t>
      </w:r>
      <w:r>
        <w:rPr>
          <w:spacing w:val="-25"/>
          <w:vertAlign w:val="baseline"/>
        </w:rPr>
        <w:t> </w:t>
      </w:r>
      <w:r>
        <w:rPr>
          <w:vertAlign w:val="baseline"/>
        </w:rPr>
        <w:t>would</w:t>
      </w:r>
      <w:r>
        <w:rPr>
          <w:spacing w:val="-28"/>
          <w:vertAlign w:val="baseline"/>
        </w:rPr>
        <w:t> </w:t>
      </w:r>
      <w:r>
        <w:rPr>
          <w:vertAlign w:val="baseline"/>
        </w:rPr>
        <w:t>undertake</w:t>
      </w:r>
      <w:r>
        <w:rPr>
          <w:spacing w:val="-24"/>
          <w:vertAlign w:val="baseline"/>
        </w:rPr>
        <w:t> </w:t>
      </w:r>
      <w:r>
        <w:rPr>
          <w:vertAlign w:val="baseline"/>
        </w:rPr>
        <w:t>the</w:t>
      </w:r>
      <w:r>
        <w:rPr>
          <w:spacing w:val="-25"/>
          <w:vertAlign w:val="baseline"/>
        </w:rPr>
        <w:t> </w:t>
      </w:r>
      <w:r>
        <w:rPr>
          <w:vertAlign w:val="baseline"/>
        </w:rPr>
        <w:t>O&amp;M</w:t>
      </w:r>
      <w:r>
        <w:rPr>
          <w:spacing w:val="-27"/>
          <w:vertAlign w:val="baseline"/>
        </w:rPr>
        <w:t> </w:t>
      </w:r>
      <w:r>
        <w:rPr>
          <w:vertAlign w:val="baseline"/>
        </w:rPr>
        <w:t>services</w:t>
      </w:r>
      <w:r>
        <w:rPr>
          <w:spacing w:val="-23"/>
          <w:vertAlign w:val="baseline"/>
        </w:rPr>
        <w:t> </w:t>
      </w:r>
      <w:r>
        <w:rPr>
          <w:vertAlign w:val="baseline"/>
        </w:rPr>
        <w:t>for</w:t>
      </w:r>
      <w:r>
        <w:rPr>
          <w:spacing w:val="-23"/>
          <w:vertAlign w:val="baseline"/>
        </w:rPr>
        <w:t> </w:t>
      </w:r>
      <w:r>
        <w:rPr>
          <w:vertAlign w:val="baseline"/>
        </w:rPr>
        <w:t>the</w:t>
      </w:r>
      <w:r>
        <w:rPr>
          <w:spacing w:val="-27"/>
          <w:vertAlign w:val="baseline"/>
        </w:rPr>
        <w:t> </w:t>
      </w:r>
      <w:r>
        <w:rPr>
          <w:vertAlign w:val="baseline"/>
        </w:rPr>
        <w:t>solar</w:t>
      </w:r>
      <w:r>
        <w:rPr>
          <w:spacing w:val="-27"/>
          <w:vertAlign w:val="baseline"/>
        </w:rPr>
        <w:t> </w:t>
      </w:r>
      <w:r>
        <w:rPr>
          <w:vertAlign w:val="baseline"/>
        </w:rPr>
        <w:t>park</w:t>
      </w:r>
      <w:r>
        <w:rPr>
          <w:spacing w:val="-25"/>
          <w:vertAlign w:val="baseline"/>
        </w:rPr>
        <w:t> </w:t>
      </w:r>
      <w:r>
        <w:rPr>
          <w:vertAlign w:val="baseline"/>
        </w:rPr>
        <w:t>facility for a period of 15 years from COD. For the same, EEPL would pay a lump sum operations and maintenance</w:t>
      </w:r>
      <w:r>
        <w:rPr>
          <w:spacing w:val="-16"/>
          <w:vertAlign w:val="baseline"/>
        </w:rPr>
        <w:t> </w:t>
      </w:r>
      <w:r>
        <w:rPr>
          <w:vertAlign w:val="baseline"/>
        </w:rPr>
        <w:t>service</w:t>
      </w:r>
      <w:r>
        <w:rPr>
          <w:spacing w:val="-16"/>
          <w:vertAlign w:val="baseline"/>
        </w:rPr>
        <w:t> </w:t>
      </w:r>
      <w:r>
        <w:rPr>
          <w:vertAlign w:val="baseline"/>
        </w:rPr>
        <w:t>fee</w:t>
      </w:r>
      <w:r>
        <w:rPr>
          <w:spacing w:val="-16"/>
          <w:vertAlign w:val="baseline"/>
        </w:rPr>
        <w:t> </w:t>
      </w:r>
      <w:r>
        <w:rPr>
          <w:vertAlign w:val="baseline"/>
        </w:rPr>
        <w:t>(during</w:t>
      </w:r>
      <w:r>
        <w:rPr>
          <w:spacing w:val="-14"/>
          <w:vertAlign w:val="baseline"/>
        </w:rPr>
        <w:t> </w:t>
      </w:r>
      <w:r>
        <w:rPr>
          <w:vertAlign w:val="baseline"/>
        </w:rPr>
        <w:t>the</w:t>
      </w:r>
      <w:r>
        <w:rPr>
          <w:spacing w:val="-17"/>
          <w:vertAlign w:val="baseline"/>
        </w:rPr>
        <w:t> </w:t>
      </w:r>
      <w:r>
        <w:rPr>
          <w:vertAlign w:val="baseline"/>
        </w:rPr>
        <w:t>term</w:t>
      </w:r>
      <w:r>
        <w:rPr>
          <w:spacing w:val="-16"/>
          <w:vertAlign w:val="baseline"/>
        </w:rPr>
        <w:t> </w:t>
      </w:r>
      <w:r>
        <w:rPr>
          <w:vertAlign w:val="baseline"/>
        </w:rPr>
        <w:t>of</w:t>
      </w:r>
      <w:r>
        <w:rPr>
          <w:spacing w:val="-15"/>
          <w:vertAlign w:val="baseline"/>
        </w:rPr>
        <w:t> </w:t>
      </w:r>
      <w:r>
        <w:rPr>
          <w:vertAlign w:val="baseline"/>
        </w:rPr>
        <w:t>this</w:t>
      </w:r>
      <w:r>
        <w:rPr>
          <w:spacing w:val="-14"/>
          <w:vertAlign w:val="baseline"/>
        </w:rPr>
        <w:t> </w:t>
      </w:r>
      <w:r>
        <w:rPr>
          <w:vertAlign w:val="baseline"/>
        </w:rPr>
        <w:t>agreement)</w:t>
      </w:r>
      <w:r>
        <w:rPr>
          <w:spacing w:val="-15"/>
          <w:vertAlign w:val="baseline"/>
        </w:rPr>
        <w:t> </w:t>
      </w:r>
      <w:r>
        <w:rPr>
          <w:vertAlign w:val="baseline"/>
        </w:rPr>
        <w:t>to</w:t>
      </w:r>
      <w:r>
        <w:rPr>
          <w:spacing w:val="-16"/>
          <w:vertAlign w:val="baseline"/>
        </w:rPr>
        <w:t> </w:t>
      </w:r>
      <w:r>
        <w:rPr>
          <w:vertAlign w:val="baseline"/>
        </w:rPr>
        <w:t>IL&amp;FS</w:t>
      </w:r>
      <w:r>
        <w:rPr>
          <w:spacing w:val="-14"/>
          <w:vertAlign w:val="baseline"/>
        </w:rPr>
        <w:t> </w:t>
      </w:r>
      <w:r>
        <w:rPr>
          <w:vertAlign w:val="baseline"/>
        </w:rPr>
        <w:t>Solar</w:t>
      </w:r>
      <w:r>
        <w:rPr>
          <w:spacing w:val="-16"/>
          <w:vertAlign w:val="baseline"/>
        </w:rPr>
        <w:t> </w:t>
      </w:r>
      <w:r>
        <w:rPr>
          <w:vertAlign w:val="baseline"/>
        </w:rPr>
        <w:t>Power</w:t>
      </w:r>
      <w:r>
        <w:rPr>
          <w:spacing w:val="-16"/>
          <w:vertAlign w:val="baseline"/>
        </w:rPr>
        <w:t> </w:t>
      </w:r>
      <w:r>
        <w:rPr>
          <w:vertAlign w:val="baseline"/>
        </w:rPr>
        <w:t>Limited.</w:t>
      </w:r>
    </w:p>
    <w:p>
      <w:pPr>
        <w:pStyle w:val="BodyText"/>
        <w:spacing w:before="3"/>
        <w:rPr>
          <w:sz w:val="20"/>
        </w:rPr>
      </w:pPr>
    </w:p>
    <w:p>
      <w:pPr>
        <w:pStyle w:val="ListParagraph"/>
        <w:numPr>
          <w:ilvl w:val="2"/>
          <w:numId w:val="14"/>
        </w:numPr>
        <w:tabs>
          <w:tab w:pos="1401" w:val="left" w:leader="none"/>
        </w:tabs>
        <w:spacing w:line="240" w:lineRule="auto" w:before="1" w:after="0"/>
        <w:ind w:left="1400" w:right="0" w:hanging="721"/>
        <w:jc w:val="left"/>
        <w:rPr>
          <w:sz w:val="22"/>
        </w:rPr>
      </w:pPr>
      <w:bookmarkStart w:name="_bookmark374" w:id="730"/>
      <w:bookmarkEnd w:id="730"/>
      <w:r>
        <w:rPr/>
      </w:r>
      <w:bookmarkStart w:name="_bookmark374" w:id="731"/>
      <w:bookmarkEnd w:id="731"/>
      <w:r>
        <w:rPr>
          <w:color w:val="1F664D"/>
          <w:sz w:val="22"/>
        </w:rPr>
        <w:t>S</w:t>
      </w:r>
      <w:r>
        <w:rPr>
          <w:color w:val="1F664D"/>
          <w:sz w:val="22"/>
        </w:rPr>
        <w:t>ite Details</w:t>
      </w:r>
    </w:p>
    <w:p>
      <w:pPr>
        <w:pStyle w:val="BodyText"/>
        <w:spacing w:before="2"/>
        <w:rPr>
          <w:sz w:val="28"/>
        </w:rPr>
      </w:pPr>
    </w:p>
    <w:p>
      <w:pPr>
        <w:pStyle w:val="BodyText"/>
        <w:tabs>
          <w:tab w:pos="3222" w:val="left" w:leader="none"/>
        </w:tabs>
        <w:spacing w:line="321" w:lineRule="auto"/>
        <w:ind w:left="3222" w:right="784" w:hanging="1878"/>
        <w:jc w:val="both"/>
      </w:pPr>
      <w:r>
        <w:rPr/>
        <w:t>Situation:</w:t>
        <w:tab/>
        <w:t>Subject</w:t>
      </w:r>
      <w:r>
        <w:rPr>
          <w:spacing w:val="-39"/>
        </w:rPr>
        <w:t> </w:t>
      </w:r>
      <w:r>
        <w:rPr/>
        <w:t>property</w:t>
      </w:r>
      <w:r>
        <w:rPr>
          <w:spacing w:val="-38"/>
        </w:rPr>
        <w:t> </w:t>
      </w:r>
      <w:r>
        <w:rPr>
          <w:w w:val="105"/>
        </w:rPr>
        <w:t>–</w:t>
      </w:r>
      <w:r>
        <w:rPr>
          <w:spacing w:val="-43"/>
          <w:w w:val="105"/>
        </w:rPr>
        <w:t> </w:t>
      </w:r>
      <w:r>
        <w:rPr/>
        <w:t>is</w:t>
      </w:r>
      <w:r>
        <w:rPr>
          <w:spacing w:val="-39"/>
        </w:rPr>
        <w:t> </w:t>
      </w:r>
      <w:r>
        <w:rPr/>
        <w:t>a</w:t>
      </w:r>
      <w:r>
        <w:rPr>
          <w:spacing w:val="-39"/>
        </w:rPr>
        <w:t> </w:t>
      </w:r>
      <w:r>
        <w:rPr/>
        <w:t>Solar</w:t>
      </w:r>
      <w:r>
        <w:rPr>
          <w:spacing w:val="-39"/>
        </w:rPr>
        <w:t> </w:t>
      </w:r>
      <w:r>
        <w:rPr/>
        <w:t>PV</w:t>
      </w:r>
      <w:r>
        <w:rPr>
          <w:spacing w:val="-39"/>
        </w:rPr>
        <w:t> </w:t>
      </w:r>
      <w:r>
        <w:rPr/>
        <w:t>electricity</w:t>
      </w:r>
      <w:r>
        <w:rPr>
          <w:spacing w:val="-39"/>
        </w:rPr>
        <w:t> </w:t>
      </w:r>
      <w:r>
        <w:rPr/>
        <w:t>generation</w:t>
      </w:r>
      <w:r>
        <w:rPr>
          <w:spacing w:val="-39"/>
        </w:rPr>
        <w:t> </w:t>
      </w:r>
      <w:r>
        <w:rPr/>
        <w:t>facility</w:t>
      </w:r>
      <w:r>
        <w:rPr>
          <w:spacing w:val="-39"/>
        </w:rPr>
        <w:t> </w:t>
      </w:r>
      <w:r>
        <w:rPr/>
        <w:t>spread</w:t>
      </w:r>
      <w:r>
        <w:rPr>
          <w:spacing w:val="-39"/>
        </w:rPr>
        <w:t> </w:t>
      </w:r>
      <w:r>
        <w:rPr/>
        <w:t>across</w:t>
      </w:r>
      <w:r>
        <w:rPr>
          <w:spacing w:val="-38"/>
        </w:rPr>
        <w:t> </w:t>
      </w:r>
      <w:r>
        <w:rPr/>
        <w:t>Villages Ittigi and Mooregeri in Huvin Hadagali Taluka and Nellukudure in Hagri Bommanhalli Taluka, Bellary District,</w:t>
      </w:r>
      <w:r>
        <w:rPr>
          <w:spacing w:val="-22"/>
        </w:rPr>
        <w:t> </w:t>
      </w:r>
      <w:r>
        <w:rPr/>
        <w:t>Karnataka.</w:t>
      </w:r>
    </w:p>
    <w:p>
      <w:pPr>
        <w:pStyle w:val="BodyText"/>
        <w:tabs>
          <w:tab w:pos="3222" w:val="left" w:leader="none"/>
        </w:tabs>
        <w:spacing w:line="321" w:lineRule="auto" w:before="124"/>
        <w:ind w:left="3222" w:right="781" w:hanging="1878"/>
        <w:jc w:val="both"/>
      </w:pPr>
      <w:r>
        <w:rPr/>
        <w:t>Location:</w:t>
        <w:tab/>
        <w:t>As</w:t>
      </w:r>
      <w:r>
        <w:rPr>
          <w:spacing w:val="-25"/>
        </w:rPr>
        <w:t> </w:t>
      </w:r>
      <w:r>
        <w:rPr/>
        <w:t>mentioned</w:t>
      </w:r>
      <w:r>
        <w:rPr>
          <w:spacing w:val="-23"/>
        </w:rPr>
        <w:t> </w:t>
      </w:r>
      <w:r>
        <w:rPr/>
        <w:t>above,</w:t>
      </w:r>
      <w:r>
        <w:rPr>
          <w:spacing w:val="-24"/>
        </w:rPr>
        <w:t> </w:t>
      </w:r>
      <w:r>
        <w:rPr/>
        <w:t>the</w:t>
      </w:r>
      <w:r>
        <w:rPr>
          <w:spacing w:val="-26"/>
        </w:rPr>
        <w:t> </w:t>
      </w:r>
      <w:r>
        <w:rPr/>
        <w:t>subject</w:t>
      </w:r>
      <w:r>
        <w:rPr>
          <w:spacing w:val="-24"/>
        </w:rPr>
        <w:t> </w:t>
      </w:r>
      <w:r>
        <w:rPr/>
        <w:t>site</w:t>
      </w:r>
      <w:r>
        <w:rPr>
          <w:spacing w:val="-25"/>
        </w:rPr>
        <w:t> </w:t>
      </w:r>
      <w:r>
        <w:rPr/>
        <w:t>is</w:t>
      </w:r>
      <w:r>
        <w:rPr>
          <w:spacing w:val="-25"/>
        </w:rPr>
        <w:t> </w:t>
      </w:r>
      <w:r>
        <w:rPr/>
        <w:t>spread</w:t>
      </w:r>
      <w:r>
        <w:rPr>
          <w:spacing w:val="-23"/>
        </w:rPr>
        <w:t> </w:t>
      </w:r>
      <w:r>
        <w:rPr/>
        <w:t>across</w:t>
      </w:r>
      <w:r>
        <w:rPr>
          <w:spacing w:val="-24"/>
        </w:rPr>
        <w:t> </w:t>
      </w:r>
      <w:r>
        <w:rPr/>
        <w:t>three</w:t>
      </w:r>
      <w:r>
        <w:rPr>
          <w:spacing w:val="-24"/>
        </w:rPr>
        <w:t> </w:t>
      </w:r>
      <w:r>
        <w:rPr/>
        <w:t>villages</w:t>
      </w:r>
      <w:r>
        <w:rPr>
          <w:spacing w:val="-23"/>
        </w:rPr>
        <w:t> </w:t>
      </w:r>
      <w:r>
        <w:rPr/>
        <w:t>namely</w:t>
      </w:r>
      <w:r>
        <w:rPr>
          <w:spacing w:val="-25"/>
        </w:rPr>
        <w:t> </w:t>
      </w:r>
      <w:r>
        <w:rPr/>
        <w:t>Ittigi, Mooregeri and Nellukudure. During the site visit, it was observed that the land parcels in Villages Ittigi and Mooregeri are contiguous, while Nellukudure is located</w:t>
      </w:r>
      <w:r>
        <w:rPr>
          <w:spacing w:val="-32"/>
        </w:rPr>
        <w:t> </w:t>
      </w:r>
      <w:r>
        <w:rPr/>
        <w:t>at</w:t>
      </w:r>
      <w:r>
        <w:rPr>
          <w:spacing w:val="-31"/>
        </w:rPr>
        <w:t> </w:t>
      </w:r>
      <w:r>
        <w:rPr/>
        <w:t>a</w:t>
      </w:r>
      <w:r>
        <w:rPr>
          <w:spacing w:val="-33"/>
        </w:rPr>
        <w:t> </w:t>
      </w:r>
      <w:r>
        <w:rPr/>
        <w:t>distance</w:t>
      </w:r>
      <w:r>
        <w:rPr>
          <w:spacing w:val="-32"/>
        </w:rPr>
        <w:t> </w:t>
      </w:r>
      <w:r>
        <w:rPr/>
        <w:t>of</w:t>
      </w:r>
      <w:r>
        <w:rPr>
          <w:spacing w:val="-32"/>
        </w:rPr>
        <w:t> </w:t>
      </w:r>
      <w:r>
        <w:rPr/>
        <w:t>approx.</w:t>
      </w:r>
      <w:r>
        <w:rPr>
          <w:spacing w:val="-32"/>
        </w:rPr>
        <w:t> </w:t>
      </w:r>
      <w:r>
        <w:rPr/>
        <w:t>7</w:t>
      </w:r>
      <w:r>
        <w:rPr>
          <w:spacing w:val="-32"/>
        </w:rPr>
        <w:t> </w:t>
      </w:r>
      <w:r>
        <w:rPr/>
        <w:t>km</w:t>
      </w:r>
      <w:r>
        <w:rPr>
          <w:spacing w:val="-32"/>
        </w:rPr>
        <w:t> </w:t>
      </w:r>
      <w:r>
        <w:rPr/>
        <w:t>from</w:t>
      </w:r>
      <w:r>
        <w:rPr>
          <w:spacing w:val="-32"/>
        </w:rPr>
        <w:t> </w:t>
      </w:r>
      <w:r>
        <w:rPr/>
        <w:t>these</w:t>
      </w:r>
      <w:r>
        <w:rPr>
          <w:spacing w:val="-32"/>
        </w:rPr>
        <w:t> </w:t>
      </w:r>
      <w:r>
        <w:rPr/>
        <w:t>two</w:t>
      </w:r>
      <w:r>
        <w:rPr>
          <w:spacing w:val="-33"/>
        </w:rPr>
        <w:t> </w:t>
      </w:r>
      <w:r>
        <w:rPr/>
        <w:t>villages.</w:t>
      </w:r>
      <w:r>
        <w:rPr>
          <w:spacing w:val="-32"/>
        </w:rPr>
        <w:t> </w:t>
      </w:r>
      <w:r>
        <w:rPr/>
        <w:t>The</w:t>
      </w:r>
      <w:r>
        <w:rPr>
          <w:spacing w:val="-32"/>
        </w:rPr>
        <w:t> </w:t>
      </w:r>
      <w:r>
        <w:rPr/>
        <w:t>subject</w:t>
      </w:r>
      <w:r>
        <w:rPr>
          <w:spacing w:val="-32"/>
        </w:rPr>
        <w:t> </w:t>
      </w:r>
      <w:r>
        <w:rPr/>
        <w:t>location is</w:t>
      </w:r>
      <w:r>
        <w:rPr>
          <w:spacing w:val="-17"/>
        </w:rPr>
        <w:t> </w:t>
      </w:r>
      <w:r>
        <w:rPr/>
        <w:t>situated</w:t>
      </w:r>
      <w:r>
        <w:rPr>
          <w:spacing w:val="-14"/>
        </w:rPr>
        <w:t> </w:t>
      </w:r>
      <w:r>
        <w:rPr/>
        <w:t>at</w:t>
      </w:r>
      <w:r>
        <w:rPr>
          <w:spacing w:val="-13"/>
        </w:rPr>
        <w:t> </w:t>
      </w:r>
      <w:r>
        <w:rPr/>
        <w:t>a</w:t>
      </w:r>
      <w:r>
        <w:rPr>
          <w:spacing w:val="-17"/>
        </w:rPr>
        <w:t> </w:t>
      </w:r>
      <w:r>
        <w:rPr/>
        <w:t>distance</w:t>
      </w:r>
      <w:r>
        <w:rPr>
          <w:spacing w:val="-15"/>
        </w:rPr>
        <w:t> </w:t>
      </w:r>
      <w:r>
        <w:rPr/>
        <w:t>of</w:t>
      </w:r>
      <w:r>
        <w:rPr>
          <w:spacing w:val="-14"/>
        </w:rPr>
        <w:t> </w:t>
      </w:r>
      <w:r>
        <w:rPr/>
        <w:t>more</w:t>
      </w:r>
      <w:r>
        <w:rPr>
          <w:spacing w:val="-14"/>
        </w:rPr>
        <w:t> </w:t>
      </w:r>
      <w:r>
        <w:rPr/>
        <w:t>than</w:t>
      </w:r>
      <w:r>
        <w:rPr>
          <w:spacing w:val="-16"/>
        </w:rPr>
        <w:t> </w:t>
      </w:r>
      <w:r>
        <w:rPr/>
        <w:t>300</w:t>
      </w:r>
      <w:r>
        <w:rPr>
          <w:spacing w:val="-17"/>
        </w:rPr>
        <w:t> </w:t>
      </w:r>
      <w:r>
        <w:rPr/>
        <w:t>km</w:t>
      </w:r>
      <w:r>
        <w:rPr>
          <w:spacing w:val="-17"/>
        </w:rPr>
        <w:t> </w:t>
      </w:r>
      <w:r>
        <w:rPr/>
        <w:t>from</w:t>
      </w:r>
      <w:r>
        <w:rPr>
          <w:spacing w:val="-14"/>
        </w:rPr>
        <w:t> </w:t>
      </w:r>
      <w:r>
        <w:rPr/>
        <w:t>Bengaluru</w:t>
      </w:r>
      <w:r>
        <w:rPr>
          <w:spacing w:val="-15"/>
        </w:rPr>
        <w:t> </w:t>
      </w:r>
      <w:r>
        <w:rPr/>
        <w:t>City</w:t>
      </w:r>
      <w:r>
        <w:rPr>
          <w:spacing w:val="-15"/>
        </w:rPr>
        <w:t> </w:t>
      </w:r>
      <w:r>
        <w:rPr/>
        <w:t>and</w:t>
      </w:r>
      <w:r>
        <w:rPr>
          <w:spacing w:val="-16"/>
        </w:rPr>
        <w:t> </w:t>
      </w:r>
      <w:r>
        <w:rPr/>
        <w:t>the</w:t>
      </w:r>
      <w:r>
        <w:rPr>
          <w:spacing w:val="-14"/>
        </w:rPr>
        <w:t> </w:t>
      </w:r>
      <w:r>
        <w:rPr/>
        <w:t>region is</w:t>
      </w:r>
      <w:r>
        <w:rPr>
          <w:spacing w:val="-23"/>
        </w:rPr>
        <w:t> </w:t>
      </w:r>
      <w:r>
        <w:rPr/>
        <w:t>predominantly</w:t>
      </w:r>
      <w:r>
        <w:rPr>
          <w:spacing w:val="-23"/>
        </w:rPr>
        <w:t> </w:t>
      </w:r>
      <w:r>
        <w:rPr/>
        <w:t>characterized</w:t>
      </w:r>
      <w:r>
        <w:rPr>
          <w:spacing w:val="-23"/>
        </w:rPr>
        <w:t> </w:t>
      </w:r>
      <w:r>
        <w:rPr/>
        <w:t>by</w:t>
      </w:r>
      <w:r>
        <w:rPr>
          <w:spacing w:val="-24"/>
        </w:rPr>
        <w:t> </w:t>
      </w:r>
      <w:r>
        <w:rPr/>
        <w:t>the</w:t>
      </w:r>
      <w:r>
        <w:rPr>
          <w:spacing w:val="-23"/>
        </w:rPr>
        <w:t> </w:t>
      </w:r>
      <w:r>
        <w:rPr/>
        <w:t>presence</w:t>
      </w:r>
      <w:r>
        <w:rPr>
          <w:spacing w:val="-24"/>
        </w:rPr>
        <w:t> </w:t>
      </w:r>
      <w:r>
        <w:rPr/>
        <w:t>of</w:t>
      </w:r>
      <w:r>
        <w:rPr>
          <w:spacing w:val="-23"/>
        </w:rPr>
        <w:t> </w:t>
      </w:r>
      <w:r>
        <w:rPr/>
        <w:t>agricultural</w:t>
      </w:r>
      <w:r>
        <w:rPr>
          <w:spacing w:val="-23"/>
        </w:rPr>
        <w:t> </w:t>
      </w:r>
      <w:r>
        <w:rPr/>
        <w:t>land</w:t>
      </w:r>
      <w:r>
        <w:rPr>
          <w:spacing w:val="-23"/>
        </w:rPr>
        <w:t> </w:t>
      </w:r>
      <w:r>
        <w:rPr/>
        <w:t>parcels</w:t>
      </w:r>
      <w:r>
        <w:rPr>
          <w:spacing w:val="-24"/>
        </w:rPr>
        <w:t> </w:t>
      </w:r>
      <w:r>
        <w:rPr/>
        <w:t>(with</w:t>
      </w:r>
    </w:p>
    <w:p>
      <w:pPr>
        <w:pStyle w:val="BodyText"/>
        <w:rPr>
          <w:sz w:val="20"/>
        </w:rPr>
      </w:pPr>
    </w:p>
    <w:p>
      <w:pPr>
        <w:pStyle w:val="BodyText"/>
        <w:rPr>
          <w:sz w:val="20"/>
        </w:rPr>
      </w:pPr>
    </w:p>
    <w:p>
      <w:pPr>
        <w:pStyle w:val="BodyText"/>
        <w:rPr>
          <w:sz w:val="20"/>
        </w:rPr>
      </w:pPr>
    </w:p>
    <w:p>
      <w:pPr>
        <w:pStyle w:val="BodyText"/>
        <w:rPr>
          <w:sz w:val="20"/>
        </w:rPr>
      </w:pPr>
      <w:r>
        <w:rPr/>
        <w:pict>
          <v:rect style="position:absolute;margin-left:36pt;margin-top:13.579501pt;width:144.050pt;height:.60004pt;mso-position-horizontal-relative:page;mso-position-vertical-relative:paragraph;z-index:-14952448;mso-wrap-distance-left:0;mso-wrap-distance-right:0" filled="true" fillcolor="#000000" stroked="false">
            <v:fill type="solid"/>
            <w10:wrap type="topAndBottom"/>
          </v:rect>
        </w:pict>
      </w:r>
    </w:p>
    <w:p>
      <w:pPr>
        <w:spacing w:before="70"/>
        <w:ind w:left="680" w:right="0" w:firstLine="0"/>
        <w:jc w:val="left"/>
        <w:rPr>
          <w:i/>
          <w:sz w:val="18"/>
        </w:rPr>
      </w:pPr>
      <w:r>
        <w:rPr>
          <w:i/>
          <w:position w:val="6"/>
          <w:sz w:val="11"/>
        </w:rPr>
        <w:t>6 </w:t>
      </w:r>
      <w:r>
        <w:rPr>
          <w:i/>
          <w:sz w:val="18"/>
        </w:rPr>
        <w:t>Commercial Operation Date (COD) is February 28, 2018</w:t>
      </w:r>
    </w:p>
    <w:p>
      <w:pPr>
        <w:spacing w:after="0"/>
        <w:jc w:val="left"/>
        <w:rPr>
          <w:sz w:val="18"/>
        </w:rPr>
        <w:sectPr>
          <w:pgSz w:w="11910" w:h="16840"/>
          <w:pgMar w:header="720" w:footer="862" w:top="1660" w:bottom="1060" w:left="40" w:right="40"/>
        </w:sectPr>
      </w:pPr>
    </w:p>
    <w:p>
      <w:pPr>
        <w:pStyle w:val="BodyText"/>
        <w:spacing w:before="7"/>
        <w:rPr>
          <w:i/>
          <w:sz w:val="9"/>
        </w:rPr>
      </w:pPr>
    </w:p>
    <w:p>
      <w:pPr>
        <w:pStyle w:val="BodyText"/>
        <w:spacing w:line="321" w:lineRule="auto" w:before="106"/>
        <w:ind w:left="3222" w:right="607"/>
      </w:pPr>
      <w:r>
        <w:rPr/>
        <w:t>black cotton soil). A few solar parks are currently operational/ proposed at the subject location by other infrastructure companies such as Adani, ReNew, etc.</w:t>
      </w:r>
    </w:p>
    <w:p>
      <w:pPr>
        <w:pStyle w:val="BodyText"/>
        <w:spacing w:before="10"/>
        <w:rPr>
          <w:sz w:val="20"/>
        </w:rPr>
      </w:pPr>
    </w:p>
    <w:p>
      <w:pPr>
        <w:pStyle w:val="BodyText"/>
        <w:spacing w:line="319" w:lineRule="auto"/>
        <w:ind w:left="3222" w:right="607"/>
      </w:pPr>
      <w:r>
        <w:rPr/>
        <w:t>The subject property is accessible via State Highway </w:t>
      </w:r>
      <w:r>
        <w:rPr>
          <w:w w:val="105"/>
        </w:rPr>
        <w:t>– </w:t>
      </w:r>
      <w:r>
        <w:rPr/>
        <w:t>45 (SH </w:t>
      </w:r>
      <w:r>
        <w:rPr>
          <w:w w:val="105"/>
        </w:rPr>
        <w:t>– </w:t>
      </w:r>
      <w:r>
        <w:rPr/>
        <w:t>45) and enjoys good connectivity to neighbouring towns and villages.</w:t>
      </w:r>
    </w:p>
    <w:p>
      <w:pPr>
        <w:pStyle w:val="BodyText"/>
        <w:rPr>
          <w:sz w:val="21"/>
        </w:rPr>
      </w:pPr>
    </w:p>
    <w:p>
      <w:pPr>
        <w:pStyle w:val="BodyText"/>
        <w:spacing w:line="321" w:lineRule="auto" w:before="1"/>
        <w:ind w:left="3222" w:right="607"/>
      </w:pPr>
      <w:r>
        <w:rPr/>
        <w:t>The distances from key hubs to the subject property are presented in the table below:</w:t>
      </w:r>
    </w:p>
    <w:p>
      <w:pPr>
        <w:pStyle w:val="BodyText"/>
        <w:rPr>
          <w:sz w:val="17"/>
        </w:rPr>
      </w:pPr>
      <w:r>
        <w:rPr/>
        <w:pict>
          <v:group style="position:absolute;margin-left:163.729996pt;margin-top:11.848536pt;width:389.85pt;height:14.05pt;mso-position-horizontal-relative:page;mso-position-vertical-relative:paragraph;z-index:-14951424;mso-wrap-distance-left:0;mso-wrap-distance-right:0" coordorigin="3275,237" coordsize="7797,281">
            <v:shape style="position:absolute;left:3274;top:251;width:7797;height:252" coordorigin="3275,251" coordsize="7797,252" path="m8553,251l3275,251,3275,503,8553,503,8553,251xm11071,251l8553,251,8553,503,11071,503,11071,251xe" filled="true" fillcolor="#006a4d" stroked="false">
              <v:path arrowok="t"/>
              <v:fill type="solid"/>
            </v:shape>
            <v:shape style="position:absolute;left:3274;top:236;width:7797;height:281" coordorigin="3275,237" coordsize="7797,281" path="m11071,503l8570,503,8556,503,3275,503,3275,518,8556,518,8570,518,11071,518,11071,503xm11071,237l8570,237,8556,237,3275,237,3275,251,8556,251,8570,251,11071,251,11071,237xe" filled="true" fillcolor="#69bd28" stroked="false">
              <v:path arrowok="t"/>
              <v:fill type="solid"/>
            </v:shape>
            <v:shape style="position:absolute;left:3274;top:251;width:7797;height:252" type="#_x0000_t202" filled="false" stroked="false">
              <v:textbox inset="0,0,0,0">
                <w:txbxContent>
                  <w:p>
                    <w:pPr>
                      <w:tabs>
                        <w:tab w:pos="5912" w:val="left" w:leader="none"/>
                      </w:tabs>
                      <w:spacing w:before="23"/>
                      <w:ind w:left="2172" w:right="0" w:firstLine="0"/>
                      <w:jc w:val="left"/>
                      <w:rPr>
                        <w:b/>
                        <w:sz w:val="18"/>
                      </w:rPr>
                    </w:pPr>
                    <w:r>
                      <w:rPr>
                        <w:b/>
                        <w:color w:val="FFFFFF"/>
                        <w:w w:val="110"/>
                        <w:sz w:val="18"/>
                      </w:rPr>
                      <w:t>Landmark</w:t>
                      <w:tab/>
                      <w:t>Distance</w:t>
                    </w:r>
                    <w:r>
                      <w:rPr>
                        <w:b/>
                        <w:color w:val="FFFFFF"/>
                        <w:spacing w:val="-5"/>
                        <w:w w:val="110"/>
                        <w:sz w:val="18"/>
                      </w:rPr>
                      <w:t> </w:t>
                    </w:r>
                    <w:r>
                      <w:rPr>
                        <w:b/>
                        <w:color w:val="FFFFFF"/>
                        <w:w w:val="110"/>
                        <w:sz w:val="18"/>
                      </w:rPr>
                      <w:t>(km)</w:t>
                    </w:r>
                  </w:p>
                </w:txbxContent>
              </v:textbox>
              <w10:wrap type="none"/>
            </v:shape>
            <w10:wrap type="topAndBottom"/>
          </v:group>
        </w:pict>
      </w:r>
    </w:p>
    <w:p>
      <w:pPr>
        <w:tabs>
          <w:tab w:pos="9975" w:val="right" w:leader="none"/>
        </w:tabs>
        <w:spacing w:before="37"/>
        <w:ind w:left="4876" w:right="0" w:firstLine="0"/>
        <w:jc w:val="left"/>
        <w:rPr>
          <w:sz w:val="18"/>
        </w:rPr>
      </w:pPr>
      <w:r>
        <w:rPr>
          <w:sz w:val="18"/>
        </w:rPr>
        <w:t>220 KV</w:t>
      </w:r>
      <w:r>
        <w:rPr>
          <w:spacing w:val="-43"/>
          <w:sz w:val="18"/>
        </w:rPr>
        <w:t> </w:t>
      </w:r>
      <w:r>
        <w:rPr>
          <w:sz w:val="18"/>
        </w:rPr>
        <w:t>Sub-station</w:t>
      </w:r>
      <w:r>
        <w:rPr>
          <w:spacing w:val="-22"/>
          <w:sz w:val="18"/>
        </w:rPr>
        <w:t> </w:t>
      </w:r>
      <w:r>
        <w:rPr>
          <w:sz w:val="18"/>
        </w:rPr>
        <w:t>(Ittigi)</w:t>
        <w:tab/>
      </w:r>
      <w:r>
        <w:rPr>
          <w:w w:val="105"/>
          <w:sz w:val="18"/>
        </w:rPr>
        <w:t>3 –</w:t>
      </w:r>
      <w:r>
        <w:rPr>
          <w:spacing w:val="27"/>
          <w:w w:val="105"/>
          <w:sz w:val="18"/>
        </w:rPr>
        <w:t> </w:t>
      </w:r>
      <w:r>
        <w:rPr>
          <w:w w:val="105"/>
          <w:sz w:val="18"/>
        </w:rPr>
        <w:t>4</w:t>
      </w:r>
    </w:p>
    <w:p>
      <w:pPr>
        <w:tabs>
          <w:tab w:pos="9975" w:val="right" w:leader="none"/>
        </w:tabs>
        <w:spacing w:before="146"/>
        <w:ind w:left="5125" w:right="0" w:firstLine="0"/>
        <w:jc w:val="left"/>
        <w:rPr>
          <w:sz w:val="18"/>
        </w:rPr>
      </w:pPr>
      <w:r>
        <w:rPr/>
        <w:pict>
          <v:shape style="position:absolute;margin-left:163.730011pt;margin-top:3.290649pt;width:389.85pt;height:.75pt;mso-position-horizontal-relative:page;mso-position-vertical-relative:paragraph;z-index:16506368" coordorigin="3275,66" coordsize="7797,15" path="m11071,66l8570,66,8556,66,3275,66,3275,80,8556,80,8570,80,11071,80,11071,66xe" filled="true" fillcolor="#69bd28" stroked="false">
            <v:path arrowok="t"/>
            <v:fill type="solid"/>
            <w10:wrap type="none"/>
          </v:shape>
        </w:pict>
      </w:r>
      <w:r>
        <w:rPr>
          <w:sz w:val="18"/>
        </w:rPr>
        <w:t>Ittigi</w:t>
      </w:r>
      <w:r>
        <w:rPr>
          <w:spacing w:val="-27"/>
          <w:sz w:val="18"/>
        </w:rPr>
        <w:t> </w:t>
      </w:r>
      <w:r>
        <w:rPr>
          <w:sz w:val="18"/>
        </w:rPr>
        <w:t>Village</w:t>
      </w:r>
      <w:r>
        <w:rPr>
          <w:spacing w:val="-26"/>
          <w:sz w:val="18"/>
        </w:rPr>
        <w:t> </w:t>
      </w:r>
      <w:r>
        <w:rPr>
          <w:sz w:val="18"/>
        </w:rPr>
        <w:t>Centre</w:t>
        <w:tab/>
      </w:r>
      <w:r>
        <w:rPr>
          <w:w w:val="105"/>
          <w:position w:val="1"/>
          <w:sz w:val="18"/>
        </w:rPr>
        <w:t>4 –</w:t>
      </w:r>
      <w:r>
        <w:rPr>
          <w:spacing w:val="26"/>
          <w:w w:val="105"/>
          <w:position w:val="1"/>
          <w:sz w:val="18"/>
        </w:rPr>
        <w:t> </w:t>
      </w:r>
      <w:r>
        <w:rPr>
          <w:w w:val="105"/>
          <w:position w:val="1"/>
          <w:sz w:val="18"/>
        </w:rPr>
        <w:t>5</w:t>
      </w:r>
    </w:p>
    <w:p>
      <w:pPr>
        <w:tabs>
          <w:tab w:pos="10080" w:val="right" w:leader="none"/>
        </w:tabs>
        <w:spacing w:before="146"/>
        <w:ind w:left="5440" w:right="0" w:firstLine="0"/>
        <w:jc w:val="left"/>
        <w:rPr>
          <w:sz w:val="18"/>
        </w:rPr>
      </w:pPr>
      <w:r>
        <w:rPr/>
        <w:pict>
          <v:shape style="position:absolute;margin-left:163.730011pt;margin-top:3.770659pt;width:389.85pt;height:.75pt;mso-position-horizontal-relative:page;mso-position-vertical-relative:paragraph;z-index:16506880" coordorigin="3275,75" coordsize="7797,15" path="m11071,75l8570,75,8556,75,3275,75,3275,90,8556,90,8570,90,11071,90,11071,75xe" filled="true" fillcolor="#69bd28" stroked="false">
            <v:path arrowok="t"/>
            <v:fill type="solid"/>
            <w10:wrap type="none"/>
          </v:shape>
        </w:pict>
      </w:r>
      <w:r>
        <w:rPr/>
        <w:pict>
          <v:shape style="position:absolute;margin-left:163.730011pt;margin-top:21.41066pt;width:389.85pt;height:.75pt;mso-position-horizontal-relative:page;mso-position-vertical-relative:paragraph;z-index:16507392" coordorigin="3275,428" coordsize="7797,15" path="m11071,428l8570,428,8556,428,3275,428,3275,443,8556,443,8570,443,11071,443,11071,428xe" filled="true" fillcolor="#69bd28" stroked="false">
            <v:path arrowok="t"/>
            <v:fill type="solid"/>
            <w10:wrap type="none"/>
          </v:shape>
        </w:pict>
      </w:r>
      <w:r>
        <w:rPr>
          <w:w w:val="110"/>
          <w:sz w:val="18"/>
        </w:rPr>
        <w:t>Davangere</w:t>
        <w:tab/>
      </w:r>
      <w:r>
        <w:rPr>
          <w:w w:val="115"/>
          <w:position w:val="1"/>
          <w:sz w:val="18"/>
        </w:rPr>
        <w:t>65 –</w:t>
      </w:r>
      <w:r>
        <w:rPr>
          <w:spacing w:val="-18"/>
          <w:w w:val="115"/>
          <w:position w:val="1"/>
          <w:sz w:val="18"/>
        </w:rPr>
        <w:t> </w:t>
      </w:r>
      <w:r>
        <w:rPr>
          <w:w w:val="115"/>
          <w:position w:val="1"/>
          <w:sz w:val="18"/>
        </w:rPr>
        <w:t>70</w:t>
      </w:r>
    </w:p>
    <w:p>
      <w:pPr>
        <w:tabs>
          <w:tab w:pos="10186" w:val="right" w:leader="none"/>
        </w:tabs>
        <w:spacing w:before="144"/>
        <w:ind w:left="5017" w:right="0" w:firstLine="0"/>
        <w:jc w:val="left"/>
        <w:rPr>
          <w:sz w:val="18"/>
        </w:rPr>
      </w:pPr>
      <w:r>
        <w:rPr>
          <w:w w:val="110"/>
          <w:sz w:val="18"/>
        </w:rPr>
        <w:t>MG</w:t>
      </w:r>
      <w:r>
        <w:rPr>
          <w:spacing w:val="-42"/>
          <w:w w:val="110"/>
          <w:sz w:val="18"/>
        </w:rPr>
        <w:t> </w:t>
      </w:r>
      <w:r>
        <w:rPr>
          <w:w w:val="110"/>
          <w:sz w:val="18"/>
        </w:rPr>
        <w:t>Road</w:t>
      </w:r>
      <w:r>
        <w:rPr>
          <w:spacing w:val="-42"/>
          <w:w w:val="110"/>
          <w:sz w:val="18"/>
        </w:rPr>
        <w:t> </w:t>
      </w:r>
      <w:r>
        <w:rPr>
          <w:w w:val="110"/>
          <w:sz w:val="18"/>
        </w:rPr>
        <w:t>(Bengaluru)</w:t>
        <w:tab/>
        <w:t>300 –</w:t>
      </w:r>
      <w:r>
        <w:rPr>
          <w:spacing w:val="13"/>
          <w:w w:val="110"/>
          <w:sz w:val="18"/>
        </w:rPr>
        <w:t> </w:t>
      </w:r>
      <w:r>
        <w:rPr>
          <w:w w:val="110"/>
          <w:sz w:val="18"/>
        </w:rPr>
        <w:t>310</w:t>
      </w:r>
    </w:p>
    <w:p>
      <w:pPr>
        <w:spacing w:before="129"/>
        <w:ind w:left="0" w:right="2807" w:firstLine="0"/>
        <w:jc w:val="center"/>
        <w:rPr>
          <w:i/>
          <w:sz w:val="18"/>
        </w:rPr>
      </w:pPr>
      <w:r>
        <w:rPr/>
        <w:pict>
          <v:shape style="position:absolute;margin-left:163.730011pt;margin-top:3.260664pt;width:389.85pt;height:.75pt;mso-position-horizontal-relative:page;mso-position-vertical-relative:paragraph;z-index:16507904" coordorigin="3275,65" coordsize="7797,15" path="m11071,65l8570,65,8556,65,3275,65,3275,80,8556,80,8570,80,11071,80,11071,65xe" filled="true" fillcolor="#69bd28" stroked="false">
            <v:path arrowok="t"/>
            <v:fill type="solid"/>
            <w10:wrap type="none"/>
          </v:shape>
        </w:pict>
      </w:r>
      <w:r>
        <w:rPr>
          <w:i/>
          <w:sz w:val="18"/>
        </w:rPr>
        <w:t>Source: Consultants’ Research</w:t>
      </w:r>
    </w:p>
    <w:p>
      <w:pPr>
        <w:pStyle w:val="BodyText"/>
        <w:tabs>
          <w:tab w:pos="1877" w:val="left" w:leader="none"/>
        </w:tabs>
        <w:spacing w:before="217"/>
        <w:ind w:right="2878"/>
        <w:jc w:val="center"/>
      </w:pPr>
      <w:r>
        <w:rPr/>
        <w:t>Surrounds:</w:t>
        <w:tab/>
        <w:t>The</w:t>
      </w:r>
      <w:r>
        <w:rPr>
          <w:spacing w:val="-11"/>
        </w:rPr>
        <w:t> </w:t>
      </w:r>
      <w:r>
        <w:rPr/>
        <w:t>subject</w:t>
      </w:r>
      <w:r>
        <w:rPr>
          <w:spacing w:val="-12"/>
        </w:rPr>
        <w:t> </w:t>
      </w:r>
      <w:r>
        <w:rPr/>
        <w:t>property</w:t>
      </w:r>
      <w:r>
        <w:rPr>
          <w:spacing w:val="-9"/>
        </w:rPr>
        <w:t> </w:t>
      </w:r>
      <w:r>
        <w:rPr/>
        <w:t>is</w:t>
      </w:r>
      <w:r>
        <w:rPr>
          <w:spacing w:val="-11"/>
        </w:rPr>
        <w:t> </w:t>
      </w:r>
      <w:r>
        <w:rPr/>
        <w:t>surrounded</w:t>
      </w:r>
      <w:r>
        <w:rPr>
          <w:spacing w:val="-7"/>
        </w:rPr>
        <w:t> </w:t>
      </w:r>
      <w:r>
        <w:rPr/>
        <w:t>as</w:t>
      </w:r>
      <w:r>
        <w:rPr>
          <w:spacing w:val="-9"/>
        </w:rPr>
        <w:t> </w:t>
      </w:r>
      <w:r>
        <w:rPr/>
        <w:t>follows:</w:t>
      </w:r>
    </w:p>
    <w:p>
      <w:pPr>
        <w:spacing w:after="0"/>
        <w:jc w:val="center"/>
        <w:sectPr>
          <w:pgSz w:w="11910" w:h="16840"/>
          <w:pgMar w:header="720" w:footer="862" w:top="1660" w:bottom="1060" w:left="40" w:right="4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1"/>
        <w:rPr>
          <w:sz w:val="34"/>
        </w:rPr>
      </w:pPr>
    </w:p>
    <w:p>
      <w:pPr>
        <w:pStyle w:val="BodyText"/>
        <w:tabs>
          <w:tab w:pos="2815" w:val="left" w:leader="none"/>
        </w:tabs>
        <w:spacing w:line="321" w:lineRule="auto"/>
        <w:ind w:left="1345"/>
      </w:pPr>
      <w:r>
        <w:rPr>
          <w:w w:val="95"/>
        </w:rPr>
        <w:t>Suitability</w:t>
        <w:tab/>
      </w:r>
      <w:r>
        <w:rPr>
          <w:spacing w:val="-11"/>
        </w:rPr>
        <w:t>of </w:t>
      </w:r>
      <w:r>
        <w:rPr/>
        <w:t>existing</w:t>
      </w:r>
      <w:r>
        <w:rPr>
          <w:spacing w:val="-10"/>
        </w:rPr>
        <w:t> </w:t>
      </w:r>
      <w:r>
        <w:rPr/>
        <w:t>use:</w:t>
      </w:r>
    </w:p>
    <w:p>
      <w:pPr>
        <w:pStyle w:val="BodyText"/>
        <w:spacing w:before="9"/>
        <w:rPr>
          <w:sz w:val="27"/>
        </w:rPr>
      </w:pPr>
      <w:r>
        <w:rPr/>
        <w:br w:type="column"/>
      </w:r>
      <w:r>
        <w:rPr>
          <w:sz w:val="27"/>
        </w:rPr>
      </w:r>
    </w:p>
    <w:p>
      <w:pPr>
        <w:pStyle w:val="ListParagraph"/>
        <w:numPr>
          <w:ilvl w:val="0"/>
          <w:numId w:val="92"/>
        </w:numPr>
        <w:tabs>
          <w:tab w:pos="898" w:val="left" w:leader="none"/>
          <w:tab w:pos="899" w:val="left" w:leader="none"/>
        </w:tabs>
        <w:spacing w:line="240" w:lineRule="auto" w:before="0" w:after="0"/>
        <w:ind w:left="898" w:right="0" w:hanging="361"/>
        <w:jc w:val="left"/>
        <w:rPr>
          <w:sz w:val="22"/>
        </w:rPr>
      </w:pPr>
      <w:r>
        <w:rPr>
          <w:sz w:val="22"/>
        </w:rPr>
        <w:t>North: Agricultural</w:t>
      </w:r>
      <w:r>
        <w:rPr>
          <w:spacing w:val="-8"/>
          <w:sz w:val="22"/>
        </w:rPr>
        <w:t> </w:t>
      </w:r>
      <w:r>
        <w:rPr>
          <w:sz w:val="22"/>
        </w:rPr>
        <w:t>land</w:t>
      </w:r>
    </w:p>
    <w:p>
      <w:pPr>
        <w:pStyle w:val="ListParagraph"/>
        <w:numPr>
          <w:ilvl w:val="0"/>
          <w:numId w:val="92"/>
        </w:numPr>
        <w:tabs>
          <w:tab w:pos="898" w:val="left" w:leader="none"/>
          <w:tab w:pos="899" w:val="left" w:leader="none"/>
        </w:tabs>
        <w:spacing w:line="240" w:lineRule="auto" w:before="203" w:after="0"/>
        <w:ind w:left="898" w:right="0" w:hanging="361"/>
        <w:jc w:val="left"/>
        <w:rPr>
          <w:sz w:val="22"/>
        </w:rPr>
      </w:pPr>
      <w:r>
        <w:rPr>
          <w:w w:val="105"/>
          <w:sz w:val="22"/>
        </w:rPr>
        <w:t>South: Primary access road (SH </w:t>
      </w:r>
      <w:r>
        <w:rPr>
          <w:w w:val="110"/>
          <w:sz w:val="22"/>
        </w:rPr>
        <w:t>–</w:t>
      </w:r>
      <w:r>
        <w:rPr>
          <w:spacing w:val="-49"/>
          <w:w w:val="110"/>
          <w:sz w:val="22"/>
        </w:rPr>
        <w:t> </w:t>
      </w:r>
      <w:r>
        <w:rPr>
          <w:w w:val="105"/>
          <w:sz w:val="22"/>
        </w:rPr>
        <w:t>45)</w:t>
      </w:r>
    </w:p>
    <w:p>
      <w:pPr>
        <w:pStyle w:val="ListParagraph"/>
        <w:numPr>
          <w:ilvl w:val="0"/>
          <w:numId w:val="92"/>
        </w:numPr>
        <w:tabs>
          <w:tab w:pos="898" w:val="left" w:leader="none"/>
          <w:tab w:pos="899" w:val="left" w:leader="none"/>
        </w:tabs>
        <w:spacing w:line="240" w:lineRule="auto" w:before="203" w:after="0"/>
        <w:ind w:left="898" w:right="0" w:hanging="361"/>
        <w:jc w:val="left"/>
        <w:rPr>
          <w:sz w:val="22"/>
        </w:rPr>
      </w:pPr>
      <w:r>
        <w:rPr>
          <w:sz w:val="22"/>
        </w:rPr>
        <w:t>East: Agricultural</w:t>
      </w:r>
      <w:r>
        <w:rPr>
          <w:spacing w:val="-11"/>
          <w:sz w:val="22"/>
        </w:rPr>
        <w:t> </w:t>
      </w:r>
      <w:r>
        <w:rPr>
          <w:sz w:val="22"/>
        </w:rPr>
        <w:t>land</w:t>
      </w:r>
    </w:p>
    <w:p>
      <w:pPr>
        <w:pStyle w:val="ListParagraph"/>
        <w:numPr>
          <w:ilvl w:val="0"/>
          <w:numId w:val="92"/>
        </w:numPr>
        <w:tabs>
          <w:tab w:pos="898" w:val="left" w:leader="none"/>
          <w:tab w:pos="899" w:val="left" w:leader="none"/>
        </w:tabs>
        <w:spacing w:line="240" w:lineRule="auto" w:before="200" w:after="0"/>
        <w:ind w:left="898" w:right="0" w:hanging="361"/>
        <w:jc w:val="left"/>
        <w:rPr>
          <w:sz w:val="22"/>
        </w:rPr>
      </w:pPr>
      <w:r>
        <w:rPr>
          <w:sz w:val="22"/>
        </w:rPr>
        <w:t>West: Agricultural</w:t>
      </w:r>
      <w:r>
        <w:rPr>
          <w:spacing w:val="-11"/>
          <w:sz w:val="22"/>
        </w:rPr>
        <w:t> </w:t>
      </w:r>
      <w:r>
        <w:rPr>
          <w:sz w:val="22"/>
        </w:rPr>
        <w:t>land</w:t>
      </w:r>
    </w:p>
    <w:p>
      <w:pPr>
        <w:pStyle w:val="BodyText"/>
        <w:spacing w:line="321" w:lineRule="auto" w:before="208"/>
        <w:ind w:left="243" w:right="233"/>
      </w:pPr>
      <w:r>
        <w:rPr/>
        <w:t>Considering</w:t>
      </w:r>
      <w:r>
        <w:rPr>
          <w:spacing w:val="-15"/>
        </w:rPr>
        <w:t> </w:t>
      </w:r>
      <w:r>
        <w:rPr/>
        <w:t>the</w:t>
      </w:r>
      <w:r>
        <w:rPr>
          <w:spacing w:val="-14"/>
        </w:rPr>
        <w:t> </w:t>
      </w:r>
      <w:r>
        <w:rPr/>
        <w:t>profile</w:t>
      </w:r>
      <w:r>
        <w:rPr>
          <w:spacing w:val="-14"/>
        </w:rPr>
        <w:t> </w:t>
      </w:r>
      <w:r>
        <w:rPr/>
        <w:t>of</w:t>
      </w:r>
      <w:r>
        <w:rPr>
          <w:spacing w:val="-14"/>
        </w:rPr>
        <w:t> </w:t>
      </w:r>
      <w:r>
        <w:rPr/>
        <w:t>subject</w:t>
      </w:r>
      <w:r>
        <w:rPr>
          <w:spacing w:val="-13"/>
        </w:rPr>
        <w:t> </w:t>
      </w:r>
      <w:r>
        <w:rPr/>
        <w:t>location,</w:t>
      </w:r>
      <w:r>
        <w:rPr>
          <w:spacing w:val="-15"/>
        </w:rPr>
        <w:t> </w:t>
      </w:r>
      <w:r>
        <w:rPr/>
        <w:t>the</w:t>
      </w:r>
      <w:r>
        <w:rPr>
          <w:spacing w:val="-14"/>
        </w:rPr>
        <w:t> </w:t>
      </w:r>
      <w:r>
        <w:rPr/>
        <w:t>subject</w:t>
      </w:r>
      <w:r>
        <w:rPr>
          <w:spacing w:val="-13"/>
        </w:rPr>
        <w:t> </w:t>
      </w:r>
      <w:r>
        <w:rPr/>
        <w:t>property</w:t>
      </w:r>
      <w:r>
        <w:rPr>
          <w:spacing w:val="-13"/>
        </w:rPr>
        <w:t> </w:t>
      </w:r>
      <w:r>
        <w:rPr/>
        <w:t>is</w:t>
      </w:r>
      <w:r>
        <w:rPr>
          <w:spacing w:val="-15"/>
        </w:rPr>
        <w:t> </w:t>
      </w:r>
      <w:r>
        <w:rPr/>
        <w:t>opined</w:t>
      </w:r>
      <w:r>
        <w:rPr>
          <w:spacing w:val="-15"/>
        </w:rPr>
        <w:t> </w:t>
      </w:r>
      <w:r>
        <w:rPr/>
        <w:t>to</w:t>
      </w:r>
      <w:r>
        <w:rPr>
          <w:spacing w:val="-14"/>
        </w:rPr>
        <w:t> </w:t>
      </w:r>
      <w:r>
        <w:rPr/>
        <w:t>be suited for its current use viz. Solar</w:t>
      </w:r>
      <w:r>
        <w:rPr>
          <w:spacing w:val="-40"/>
        </w:rPr>
        <w:t> </w:t>
      </w:r>
      <w:r>
        <w:rPr/>
        <w:t>Park.</w:t>
      </w:r>
    </w:p>
    <w:p>
      <w:pPr>
        <w:spacing w:after="0" w:line="321" w:lineRule="auto"/>
        <w:sectPr>
          <w:type w:val="continuous"/>
          <w:pgSz w:w="11910" w:h="16840"/>
          <w:pgMar w:top="800" w:bottom="280" w:left="40" w:right="40"/>
          <w:cols w:num="2" w:equalWidth="0">
            <w:col w:w="3004" w:space="40"/>
            <w:col w:w="8786"/>
          </w:cols>
        </w:sectPr>
      </w:pPr>
    </w:p>
    <w:p>
      <w:pPr>
        <w:pStyle w:val="BodyText"/>
        <w:tabs>
          <w:tab w:pos="3275" w:val="left" w:leader="none"/>
        </w:tabs>
        <w:spacing w:line="321" w:lineRule="auto" w:before="122"/>
        <w:ind w:left="3275" w:right="788" w:hanging="1931"/>
        <w:jc w:val="both"/>
      </w:pPr>
      <w:r>
        <w:rPr/>
        <w:t>Shape:</w:t>
        <w:tab/>
        <w:t>Based</w:t>
      </w:r>
      <w:r>
        <w:rPr>
          <w:spacing w:val="-5"/>
        </w:rPr>
        <w:t> </w:t>
      </w:r>
      <w:r>
        <w:rPr/>
        <w:t>on</w:t>
      </w:r>
      <w:r>
        <w:rPr>
          <w:spacing w:val="-4"/>
        </w:rPr>
        <w:t> </w:t>
      </w:r>
      <w:r>
        <w:rPr/>
        <w:t>site</w:t>
      </w:r>
      <w:r>
        <w:rPr>
          <w:spacing w:val="-5"/>
        </w:rPr>
        <w:t> </w:t>
      </w:r>
      <w:r>
        <w:rPr/>
        <w:t>plans</w:t>
      </w:r>
      <w:r>
        <w:rPr>
          <w:spacing w:val="-5"/>
        </w:rPr>
        <w:t> </w:t>
      </w:r>
      <w:r>
        <w:rPr/>
        <w:t>provided</w:t>
      </w:r>
      <w:r>
        <w:rPr>
          <w:spacing w:val="-5"/>
        </w:rPr>
        <w:t> </w:t>
      </w:r>
      <w:r>
        <w:rPr/>
        <w:t>by</w:t>
      </w:r>
      <w:r>
        <w:rPr>
          <w:spacing w:val="-4"/>
        </w:rPr>
        <w:t> </w:t>
      </w:r>
      <w:r>
        <w:rPr/>
        <w:t>the</w:t>
      </w:r>
      <w:r>
        <w:rPr>
          <w:spacing w:val="-3"/>
        </w:rPr>
        <w:t> </w:t>
      </w:r>
      <w:r>
        <w:rPr/>
        <w:t>Client</w:t>
      </w:r>
      <w:r>
        <w:rPr>
          <w:spacing w:val="-3"/>
        </w:rPr>
        <w:t> </w:t>
      </w:r>
      <w:r>
        <w:rPr/>
        <w:t>and</w:t>
      </w:r>
      <w:r>
        <w:rPr>
          <w:spacing w:val="-4"/>
        </w:rPr>
        <w:t> </w:t>
      </w:r>
      <w:r>
        <w:rPr/>
        <w:t>visual</w:t>
      </w:r>
      <w:r>
        <w:rPr>
          <w:spacing w:val="-3"/>
        </w:rPr>
        <w:t> </w:t>
      </w:r>
      <w:r>
        <w:rPr/>
        <w:t>inspection</w:t>
      </w:r>
      <w:r>
        <w:rPr>
          <w:spacing w:val="-4"/>
        </w:rPr>
        <w:t> </w:t>
      </w:r>
      <w:r>
        <w:rPr/>
        <w:t>during</w:t>
      </w:r>
      <w:r>
        <w:rPr>
          <w:spacing w:val="-3"/>
        </w:rPr>
        <w:t> </w:t>
      </w:r>
      <w:r>
        <w:rPr/>
        <w:t>the</w:t>
      </w:r>
      <w:r>
        <w:rPr>
          <w:spacing w:val="-4"/>
        </w:rPr>
        <w:t> </w:t>
      </w:r>
      <w:r>
        <w:rPr/>
        <w:t>site visit,</w:t>
      </w:r>
      <w:r>
        <w:rPr>
          <w:spacing w:val="-34"/>
        </w:rPr>
        <w:t> </w:t>
      </w:r>
      <w:r>
        <w:rPr/>
        <w:t>it</w:t>
      </w:r>
      <w:r>
        <w:rPr>
          <w:spacing w:val="-34"/>
        </w:rPr>
        <w:t> </w:t>
      </w:r>
      <w:r>
        <w:rPr/>
        <w:t>is</w:t>
      </w:r>
      <w:r>
        <w:rPr>
          <w:spacing w:val="-33"/>
        </w:rPr>
        <w:t> </w:t>
      </w:r>
      <w:r>
        <w:rPr/>
        <w:t>understood</w:t>
      </w:r>
      <w:r>
        <w:rPr>
          <w:spacing w:val="-33"/>
        </w:rPr>
        <w:t> </w:t>
      </w:r>
      <w:r>
        <w:rPr/>
        <w:t>that</w:t>
      </w:r>
      <w:r>
        <w:rPr>
          <w:spacing w:val="-34"/>
        </w:rPr>
        <w:t> </w:t>
      </w:r>
      <w:r>
        <w:rPr/>
        <w:t>the</w:t>
      </w:r>
      <w:r>
        <w:rPr>
          <w:spacing w:val="-34"/>
        </w:rPr>
        <w:t> </w:t>
      </w:r>
      <w:r>
        <w:rPr/>
        <w:t>subject</w:t>
      </w:r>
      <w:r>
        <w:rPr>
          <w:spacing w:val="-35"/>
        </w:rPr>
        <w:t> </w:t>
      </w:r>
      <w:r>
        <w:rPr/>
        <w:t>property</w:t>
      </w:r>
      <w:r>
        <w:rPr>
          <w:spacing w:val="-33"/>
        </w:rPr>
        <w:t> </w:t>
      </w:r>
      <w:r>
        <w:rPr/>
        <w:t>comprises</w:t>
      </w:r>
      <w:r>
        <w:rPr>
          <w:spacing w:val="-33"/>
        </w:rPr>
        <w:t> </w:t>
      </w:r>
      <w:r>
        <w:rPr/>
        <w:t>of</w:t>
      </w:r>
      <w:r>
        <w:rPr>
          <w:spacing w:val="-33"/>
        </w:rPr>
        <w:t> </w:t>
      </w:r>
      <w:r>
        <w:rPr/>
        <w:t>irregular</w:t>
      </w:r>
      <w:r>
        <w:rPr>
          <w:spacing w:val="-34"/>
        </w:rPr>
        <w:t> </w:t>
      </w:r>
      <w:r>
        <w:rPr/>
        <w:t>shaped</w:t>
      </w:r>
      <w:r>
        <w:rPr>
          <w:spacing w:val="-33"/>
        </w:rPr>
        <w:t> </w:t>
      </w:r>
      <w:r>
        <w:rPr/>
        <w:t>land parcels.</w:t>
      </w:r>
    </w:p>
    <w:p>
      <w:pPr>
        <w:pStyle w:val="BodyText"/>
        <w:tabs>
          <w:tab w:pos="3275" w:val="left" w:leader="none"/>
        </w:tabs>
        <w:spacing w:line="324" w:lineRule="auto" w:before="120"/>
        <w:ind w:left="3275" w:right="786" w:hanging="1931"/>
        <w:jc w:val="both"/>
      </w:pPr>
      <w:r>
        <w:rPr/>
        <w:t>Topography:</w:t>
        <w:tab/>
        <w:t>Based</w:t>
      </w:r>
      <w:r>
        <w:rPr>
          <w:spacing w:val="-20"/>
        </w:rPr>
        <w:t> </w:t>
      </w:r>
      <w:r>
        <w:rPr/>
        <w:t>on</w:t>
      </w:r>
      <w:r>
        <w:rPr>
          <w:spacing w:val="-19"/>
        </w:rPr>
        <w:t> </w:t>
      </w:r>
      <w:r>
        <w:rPr/>
        <w:t>the</w:t>
      </w:r>
      <w:r>
        <w:rPr>
          <w:spacing w:val="-20"/>
        </w:rPr>
        <w:t> </w:t>
      </w:r>
      <w:r>
        <w:rPr/>
        <w:t>site</w:t>
      </w:r>
      <w:r>
        <w:rPr>
          <w:spacing w:val="-20"/>
        </w:rPr>
        <w:t> </w:t>
      </w:r>
      <w:r>
        <w:rPr/>
        <w:t>plan</w:t>
      </w:r>
      <w:r>
        <w:rPr>
          <w:spacing w:val="-20"/>
        </w:rPr>
        <w:t> </w:t>
      </w:r>
      <w:r>
        <w:rPr/>
        <w:t>and</w:t>
      </w:r>
      <w:r>
        <w:rPr>
          <w:spacing w:val="-17"/>
        </w:rPr>
        <w:t> </w:t>
      </w:r>
      <w:r>
        <w:rPr/>
        <w:t>as</w:t>
      </w:r>
      <w:r>
        <w:rPr>
          <w:spacing w:val="-18"/>
        </w:rPr>
        <w:t> </w:t>
      </w:r>
      <w:r>
        <w:rPr/>
        <w:t>corroborated</w:t>
      </w:r>
      <w:r>
        <w:rPr>
          <w:spacing w:val="-19"/>
        </w:rPr>
        <w:t> </w:t>
      </w:r>
      <w:r>
        <w:rPr/>
        <w:t>with</w:t>
      </w:r>
      <w:r>
        <w:rPr>
          <w:spacing w:val="-20"/>
        </w:rPr>
        <w:t> </w:t>
      </w:r>
      <w:r>
        <w:rPr/>
        <w:t>our</w:t>
      </w:r>
      <w:r>
        <w:rPr>
          <w:spacing w:val="-20"/>
        </w:rPr>
        <w:t> </w:t>
      </w:r>
      <w:r>
        <w:rPr/>
        <w:t>site</w:t>
      </w:r>
      <w:r>
        <w:rPr>
          <w:spacing w:val="-19"/>
        </w:rPr>
        <w:t> </w:t>
      </w:r>
      <w:r>
        <w:rPr/>
        <w:t>visit,</w:t>
      </w:r>
      <w:r>
        <w:rPr>
          <w:spacing w:val="-20"/>
        </w:rPr>
        <w:t> </w:t>
      </w:r>
      <w:r>
        <w:rPr/>
        <w:t>the</w:t>
      </w:r>
      <w:r>
        <w:rPr>
          <w:spacing w:val="-20"/>
        </w:rPr>
        <w:t> </w:t>
      </w:r>
      <w:r>
        <w:rPr/>
        <w:t>site</w:t>
      </w:r>
      <w:r>
        <w:rPr>
          <w:spacing w:val="-18"/>
        </w:rPr>
        <w:t> </w:t>
      </w:r>
      <w:r>
        <w:rPr/>
        <w:t>appears</w:t>
      </w:r>
      <w:r>
        <w:rPr>
          <w:spacing w:val="-19"/>
        </w:rPr>
        <w:t> </w:t>
      </w:r>
      <w:r>
        <w:rPr/>
        <w:t>to be</w:t>
      </w:r>
      <w:r>
        <w:rPr>
          <w:spacing w:val="-17"/>
        </w:rPr>
        <w:t> </w:t>
      </w:r>
      <w:r>
        <w:rPr/>
        <w:t>even</w:t>
      </w:r>
      <w:r>
        <w:rPr>
          <w:spacing w:val="-17"/>
        </w:rPr>
        <w:t> </w:t>
      </w:r>
      <w:r>
        <w:rPr/>
        <w:t>and</w:t>
      </w:r>
      <w:r>
        <w:rPr>
          <w:spacing w:val="-16"/>
        </w:rPr>
        <w:t> </w:t>
      </w:r>
      <w:r>
        <w:rPr/>
        <w:t>on</w:t>
      </w:r>
      <w:r>
        <w:rPr>
          <w:spacing w:val="-17"/>
        </w:rPr>
        <w:t> </w:t>
      </w:r>
      <w:r>
        <w:rPr/>
        <w:t>the</w:t>
      </w:r>
      <w:r>
        <w:rPr>
          <w:spacing w:val="-17"/>
        </w:rPr>
        <w:t> </w:t>
      </w:r>
      <w:r>
        <w:rPr/>
        <w:t>same</w:t>
      </w:r>
      <w:r>
        <w:rPr>
          <w:spacing w:val="-18"/>
        </w:rPr>
        <w:t> </w:t>
      </w:r>
      <w:r>
        <w:rPr/>
        <w:t>level</w:t>
      </w:r>
      <w:r>
        <w:rPr>
          <w:spacing w:val="-18"/>
        </w:rPr>
        <w:t> </w:t>
      </w:r>
      <w:r>
        <w:rPr/>
        <w:t>as</w:t>
      </w:r>
      <w:r>
        <w:rPr>
          <w:spacing w:val="-15"/>
        </w:rPr>
        <w:t> </w:t>
      </w:r>
      <w:r>
        <w:rPr/>
        <w:t>abutting</w:t>
      </w:r>
      <w:r>
        <w:rPr>
          <w:spacing w:val="-16"/>
        </w:rPr>
        <w:t> </w:t>
      </w:r>
      <w:r>
        <w:rPr/>
        <w:t>access</w:t>
      </w:r>
      <w:r>
        <w:rPr>
          <w:spacing w:val="-15"/>
        </w:rPr>
        <w:t> </w:t>
      </w:r>
      <w:r>
        <w:rPr/>
        <w:t>road</w:t>
      </w:r>
      <w:r>
        <w:rPr>
          <w:spacing w:val="-16"/>
        </w:rPr>
        <w:t> </w:t>
      </w:r>
      <w:r>
        <w:rPr/>
        <w:t>and</w:t>
      </w:r>
      <w:r>
        <w:rPr>
          <w:spacing w:val="-16"/>
        </w:rPr>
        <w:t> </w:t>
      </w:r>
      <w:r>
        <w:rPr/>
        <w:t>adjoining</w:t>
      </w:r>
      <w:r>
        <w:rPr>
          <w:spacing w:val="-13"/>
        </w:rPr>
        <w:t> </w:t>
      </w:r>
      <w:r>
        <w:rPr/>
        <w:t>properties.</w:t>
      </w:r>
    </w:p>
    <w:p>
      <w:pPr>
        <w:spacing w:after="0" w:line="324" w:lineRule="auto"/>
        <w:jc w:val="both"/>
        <w:sectPr>
          <w:type w:val="continuous"/>
          <w:pgSz w:w="11910" w:h="16840"/>
          <w:pgMar w:top="800" w:bottom="280" w:left="40" w:right="40"/>
        </w:sectPr>
      </w:pPr>
    </w:p>
    <w:p>
      <w:pPr>
        <w:pStyle w:val="BodyText"/>
        <w:tabs>
          <w:tab w:pos="2901" w:val="left" w:leader="none"/>
        </w:tabs>
        <w:spacing w:line="321" w:lineRule="auto" w:before="117"/>
        <w:ind w:left="1345"/>
      </w:pPr>
      <w:r>
        <w:rPr>
          <w:w w:val="95"/>
        </w:rPr>
        <w:t>Accessibility</w:t>
        <w:tab/>
      </w:r>
      <w:r>
        <w:rPr>
          <w:spacing w:val="-20"/>
          <w:w w:val="90"/>
        </w:rPr>
        <w:t>/ </w:t>
      </w:r>
      <w:r>
        <w:rPr/>
        <w:t>Frontage:</w:t>
      </w:r>
    </w:p>
    <w:p>
      <w:pPr>
        <w:pStyle w:val="BodyText"/>
        <w:spacing w:line="321" w:lineRule="auto" w:before="117"/>
        <w:ind w:left="241" w:right="782"/>
        <w:jc w:val="both"/>
      </w:pPr>
      <w:r>
        <w:rPr/>
        <w:br w:type="column"/>
      </w:r>
      <w:r>
        <w:rPr/>
        <w:t>Based</w:t>
      </w:r>
      <w:r>
        <w:rPr>
          <w:spacing w:val="-9"/>
        </w:rPr>
        <w:t> </w:t>
      </w:r>
      <w:r>
        <w:rPr/>
        <w:t>on</w:t>
      </w:r>
      <w:r>
        <w:rPr>
          <w:spacing w:val="-10"/>
        </w:rPr>
        <w:t> </w:t>
      </w:r>
      <w:r>
        <w:rPr/>
        <w:t>visual</w:t>
      </w:r>
      <w:r>
        <w:rPr>
          <w:spacing w:val="-9"/>
        </w:rPr>
        <w:t> </w:t>
      </w:r>
      <w:r>
        <w:rPr/>
        <w:t>inspection,</w:t>
      </w:r>
      <w:r>
        <w:rPr>
          <w:spacing w:val="-11"/>
        </w:rPr>
        <w:t> </w:t>
      </w:r>
      <w:r>
        <w:rPr/>
        <w:t>the</w:t>
      </w:r>
      <w:r>
        <w:rPr>
          <w:spacing w:val="-9"/>
        </w:rPr>
        <w:t> </w:t>
      </w:r>
      <w:r>
        <w:rPr/>
        <w:t>primary</w:t>
      </w:r>
      <w:r>
        <w:rPr>
          <w:spacing w:val="-9"/>
        </w:rPr>
        <w:t> </w:t>
      </w:r>
      <w:r>
        <w:rPr/>
        <w:t>access</w:t>
      </w:r>
      <w:r>
        <w:rPr>
          <w:spacing w:val="-9"/>
        </w:rPr>
        <w:t> </w:t>
      </w:r>
      <w:r>
        <w:rPr/>
        <w:t>to</w:t>
      </w:r>
      <w:r>
        <w:rPr>
          <w:spacing w:val="-9"/>
        </w:rPr>
        <w:t> </w:t>
      </w:r>
      <w:r>
        <w:rPr/>
        <w:t>the</w:t>
      </w:r>
      <w:r>
        <w:rPr>
          <w:spacing w:val="-10"/>
        </w:rPr>
        <w:t> </w:t>
      </w:r>
      <w:r>
        <w:rPr/>
        <w:t>subject</w:t>
      </w:r>
      <w:r>
        <w:rPr>
          <w:spacing w:val="-9"/>
        </w:rPr>
        <w:t> </w:t>
      </w:r>
      <w:r>
        <w:rPr/>
        <w:t>property</w:t>
      </w:r>
      <w:r>
        <w:rPr>
          <w:spacing w:val="-8"/>
        </w:rPr>
        <w:t> </w:t>
      </w:r>
      <w:r>
        <w:rPr/>
        <w:t>is</w:t>
      </w:r>
      <w:r>
        <w:rPr>
          <w:spacing w:val="-9"/>
        </w:rPr>
        <w:t> </w:t>
      </w:r>
      <w:r>
        <w:rPr/>
        <w:t>by</w:t>
      </w:r>
      <w:r>
        <w:rPr>
          <w:spacing w:val="-9"/>
        </w:rPr>
        <w:t> </w:t>
      </w:r>
      <w:r>
        <w:rPr/>
        <w:t>the State</w:t>
      </w:r>
      <w:r>
        <w:rPr>
          <w:spacing w:val="-5"/>
        </w:rPr>
        <w:t> </w:t>
      </w:r>
      <w:r>
        <w:rPr/>
        <w:t>Highway</w:t>
      </w:r>
      <w:r>
        <w:rPr>
          <w:spacing w:val="-3"/>
        </w:rPr>
        <w:t> </w:t>
      </w:r>
      <w:r>
        <w:rPr>
          <w:w w:val="105"/>
        </w:rPr>
        <w:t>–</w:t>
      </w:r>
      <w:r>
        <w:rPr>
          <w:spacing w:val="-9"/>
          <w:w w:val="105"/>
        </w:rPr>
        <w:t> </w:t>
      </w:r>
      <w:r>
        <w:rPr/>
        <w:t>45</w:t>
      </w:r>
      <w:r>
        <w:rPr>
          <w:spacing w:val="-5"/>
        </w:rPr>
        <w:t> </w:t>
      </w:r>
      <w:r>
        <w:rPr/>
        <w:t>(SH</w:t>
      </w:r>
      <w:r>
        <w:rPr>
          <w:spacing w:val="-6"/>
        </w:rPr>
        <w:t> </w:t>
      </w:r>
      <w:r>
        <w:rPr>
          <w:w w:val="105"/>
        </w:rPr>
        <w:t>–</w:t>
      </w:r>
      <w:r>
        <w:rPr>
          <w:spacing w:val="-7"/>
          <w:w w:val="105"/>
        </w:rPr>
        <w:t> </w:t>
      </w:r>
      <w:r>
        <w:rPr/>
        <w:t>45),</w:t>
      </w:r>
      <w:r>
        <w:rPr>
          <w:spacing w:val="-7"/>
        </w:rPr>
        <w:t> </w:t>
      </w:r>
      <w:r>
        <w:rPr/>
        <w:t>which</w:t>
      </w:r>
      <w:r>
        <w:rPr>
          <w:spacing w:val="-4"/>
        </w:rPr>
        <w:t> </w:t>
      </w:r>
      <w:r>
        <w:rPr/>
        <w:t>is</w:t>
      </w:r>
      <w:r>
        <w:rPr>
          <w:spacing w:val="-4"/>
        </w:rPr>
        <w:t> </w:t>
      </w:r>
      <w:r>
        <w:rPr/>
        <w:t>located</w:t>
      </w:r>
      <w:r>
        <w:rPr>
          <w:spacing w:val="-5"/>
        </w:rPr>
        <w:t> </w:t>
      </w:r>
      <w:r>
        <w:rPr/>
        <w:t>towards</w:t>
      </w:r>
      <w:r>
        <w:rPr>
          <w:spacing w:val="-6"/>
        </w:rPr>
        <w:t> </w:t>
      </w:r>
      <w:r>
        <w:rPr/>
        <w:t>the</w:t>
      </w:r>
      <w:r>
        <w:rPr>
          <w:spacing w:val="-6"/>
        </w:rPr>
        <w:t> </w:t>
      </w:r>
      <w:r>
        <w:rPr/>
        <w:t>south</w:t>
      </w:r>
      <w:r>
        <w:rPr>
          <w:spacing w:val="-5"/>
        </w:rPr>
        <w:t> </w:t>
      </w:r>
      <w:r>
        <w:rPr/>
        <w:t>of</w:t>
      </w:r>
      <w:r>
        <w:rPr>
          <w:spacing w:val="-5"/>
        </w:rPr>
        <w:t> </w:t>
      </w:r>
      <w:r>
        <w:rPr/>
        <w:t>the</w:t>
      </w:r>
      <w:r>
        <w:rPr>
          <w:spacing w:val="-7"/>
        </w:rPr>
        <w:t> </w:t>
      </w:r>
      <w:r>
        <w:rPr/>
        <w:t>subject </w:t>
      </w:r>
      <w:r>
        <w:rPr>
          <w:w w:val="95"/>
        </w:rPr>
        <w:t>property.</w:t>
      </w:r>
      <w:r>
        <w:rPr>
          <w:spacing w:val="-24"/>
          <w:w w:val="95"/>
        </w:rPr>
        <w:t> </w:t>
      </w:r>
      <w:r>
        <w:rPr>
          <w:w w:val="95"/>
        </w:rPr>
        <w:t>By</w:t>
      </w:r>
      <w:r>
        <w:rPr>
          <w:spacing w:val="-21"/>
          <w:w w:val="95"/>
        </w:rPr>
        <w:t> </w:t>
      </w:r>
      <w:r>
        <w:rPr>
          <w:w w:val="95"/>
        </w:rPr>
        <w:t>virtue</w:t>
      </w:r>
      <w:r>
        <w:rPr>
          <w:spacing w:val="-23"/>
          <w:w w:val="95"/>
        </w:rPr>
        <w:t> </w:t>
      </w:r>
      <w:r>
        <w:rPr>
          <w:w w:val="95"/>
        </w:rPr>
        <w:t>of</w:t>
      </w:r>
      <w:r>
        <w:rPr>
          <w:spacing w:val="-21"/>
          <w:w w:val="95"/>
        </w:rPr>
        <w:t> </w:t>
      </w:r>
      <w:r>
        <w:rPr>
          <w:w w:val="95"/>
        </w:rPr>
        <w:t>the</w:t>
      </w:r>
      <w:r>
        <w:rPr>
          <w:spacing w:val="-25"/>
          <w:w w:val="95"/>
        </w:rPr>
        <w:t> </w:t>
      </w:r>
      <w:r>
        <w:rPr>
          <w:w w:val="95"/>
        </w:rPr>
        <w:t>same,</w:t>
      </w:r>
      <w:r>
        <w:rPr>
          <w:spacing w:val="-22"/>
          <w:w w:val="95"/>
        </w:rPr>
        <w:t> </w:t>
      </w:r>
      <w:r>
        <w:rPr>
          <w:w w:val="95"/>
        </w:rPr>
        <w:t>the</w:t>
      </w:r>
      <w:r>
        <w:rPr>
          <w:spacing w:val="-25"/>
          <w:w w:val="95"/>
        </w:rPr>
        <w:t> </w:t>
      </w:r>
      <w:r>
        <w:rPr>
          <w:w w:val="95"/>
        </w:rPr>
        <w:t>property</w:t>
      </w:r>
      <w:r>
        <w:rPr>
          <w:spacing w:val="-21"/>
          <w:w w:val="95"/>
        </w:rPr>
        <w:t> </w:t>
      </w:r>
      <w:r>
        <w:rPr>
          <w:w w:val="95"/>
        </w:rPr>
        <w:t>enjoys</w:t>
      </w:r>
      <w:r>
        <w:rPr>
          <w:spacing w:val="-22"/>
          <w:w w:val="95"/>
        </w:rPr>
        <w:t> </w:t>
      </w:r>
      <w:r>
        <w:rPr>
          <w:w w:val="95"/>
        </w:rPr>
        <w:t>excellent</w:t>
      </w:r>
      <w:r>
        <w:rPr>
          <w:spacing w:val="-23"/>
          <w:w w:val="95"/>
        </w:rPr>
        <w:t> </w:t>
      </w:r>
      <w:r>
        <w:rPr>
          <w:w w:val="95"/>
        </w:rPr>
        <w:t>accessibility.</w:t>
      </w:r>
      <w:r>
        <w:rPr>
          <w:spacing w:val="-23"/>
          <w:w w:val="95"/>
        </w:rPr>
        <w:t> </w:t>
      </w:r>
      <w:r>
        <w:rPr>
          <w:w w:val="95"/>
        </w:rPr>
        <w:t>Further, </w:t>
      </w:r>
      <w:r>
        <w:rPr/>
        <w:t>as</w:t>
      </w:r>
      <w:r>
        <w:rPr>
          <w:spacing w:val="-31"/>
        </w:rPr>
        <w:t> </w:t>
      </w:r>
      <w:r>
        <w:rPr/>
        <w:t>highlighted</w:t>
      </w:r>
      <w:r>
        <w:rPr>
          <w:spacing w:val="-31"/>
        </w:rPr>
        <w:t> </w:t>
      </w:r>
      <w:r>
        <w:rPr/>
        <w:t>earlier,</w:t>
      </w:r>
      <w:r>
        <w:rPr>
          <w:spacing w:val="-31"/>
        </w:rPr>
        <w:t> </w:t>
      </w:r>
      <w:r>
        <w:rPr/>
        <w:t>the</w:t>
      </w:r>
      <w:r>
        <w:rPr>
          <w:spacing w:val="-30"/>
        </w:rPr>
        <w:t> </w:t>
      </w:r>
      <w:r>
        <w:rPr/>
        <w:t>subject</w:t>
      </w:r>
      <w:r>
        <w:rPr>
          <w:spacing w:val="-30"/>
        </w:rPr>
        <w:t> </w:t>
      </w:r>
      <w:r>
        <w:rPr/>
        <w:t>site</w:t>
      </w:r>
      <w:r>
        <w:rPr>
          <w:spacing w:val="-32"/>
        </w:rPr>
        <w:t> </w:t>
      </w:r>
      <w:r>
        <w:rPr/>
        <w:t>is</w:t>
      </w:r>
      <w:r>
        <w:rPr>
          <w:spacing w:val="-30"/>
        </w:rPr>
        <w:t> </w:t>
      </w:r>
      <w:r>
        <w:rPr/>
        <w:t>spread</w:t>
      </w:r>
      <w:r>
        <w:rPr>
          <w:spacing w:val="-31"/>
        </w:rPr>
        <w:t> </w:t>
      </w:r>
      <w:r>
        <w:rPr/>
        <w:t>over</w:t>
      </w:r>
      <w:r>
        <w:rPr>
          <w:spacing w:val="-31"/>
        </w:rPr>
        <w:t> </w:t>
      </w:r>
      <w:r>
        <w:rPr/>
        <w:t>a</w:t>
      </w:r>
      <w:r>
        <w:rPr>
          <w:spacing w:val="-32"/>
        </w:rPr>
        <w:t> </w:t>
      </w:r>
      <w:r>
        <w:rPr/>
        <w:t>land</w:t>
      </w:r>
      <w:r>
        <w:rPr>
          <w:spacing w:val="-31"/>
        </w:rPr>
        <w:t> </w:t>
      </w:r>
      <w:r>
        <w:rPr/>
        <w:t>area</w:t>
      </w:r>
      <w:r>
        <w:rPr>
          <w:spacing w:val="-32"/>
        </w:rPr>
        <w:t> </w:t>
      </w:r>
      <w:r>
        <w:rPr/>
        <w:t>of</w:t>
      </w:r>
      <w:r>
        <w:rPr>
          <w:spacing w:val="-28"/>
        </w:rPr>
        <w:t> </w:t>
      </w:r>
      <w:r>
        <w:rPr/>
        <w:t>approximately</w:t>
      </w:r>
    </w:p>
    <w:p>
      <w:pPr>
        <w:pStyle w:val="BodyText"/>
        <w:spacing w:line="319" w:lineRule="auto" w:before="4"/>
        <w:ind w:left="241" w:right="786"/>
        <w:jc w:val="both"/>
      </w:pPr>
      <w:r>
        <w:rPr/>
        <w:t>465.77</w:t>
      </w:r>
      <w:r>
        <w:rPr>
          <w:spacing w:val="-32"/>
        </w:rPr>
        <w:t> </w:t>
      </w:r>
      <w:r>
        <w:rPr/>
        <w:t>acres</w:t>
      </w:r>
      <w:r>
        <w:rPr>
          <w:spacing w:val="-31"/>
        </w:rPr>
        <w:t> </w:t>
      </w:r>
      <w:r>
        <w:rPr/>
        <w:t>across</w:t>
      </w:r>
      <w:r>
        <w:rPr>
          <w:spacing w:val="-32"/>
        </w:rPr>
        <w:t> </w:t>
      </w:r>
      <w:r>
        <w:rPr/>
        <w:t>multiple</w:t>
      </w:r>
      <w:r>
        <w:rPr>
          <w:spacing w:val="-32"/>
        </w:rPr>
        <w:t> </w:t>
      </w:r>
      <w:r>
        <w:rPr/>
        <w:t>villages.</w:t>
      </w:r>
      <w:r>
        <w:rPr>
          <w:spacing w:val="-32"/>
        </w:rPr>
        <w:t> </w:t>
      </w:r>
      <w:r>
        <w:rPr/>
        <w:t>Owing</w:t>
      </w:r>
      <w:r>
        <w:rPr>
          <w:spacing w:val="-31"/>
        </w:rPr>
        <w:t> </w:t>
      </w:r>
      <w:r>
        <w:rPr/>
        <w:t>to</w:t>
      </w:r>
      <w:r>
        <w:rPr>
          <w:spacing w:val="-32"/>
        </w:rPr>
        <w:t> </w:t>
      </w:r>
      <w:r>
        <w:rPr/>
        <w:t>its</w:t>
      </w:r>
      <w:r>
        <w:rPr>
          <w:spacing w:val="-32"/>
        </w:rPr>
        <w:t> </w:t>
      </w:r>
      <w:r>
        <w:rPr/>
        <w:t>large</w:t>
      </w:r>
      <w:r>
        <w:rPr>
          <w:spacing w:val="-32"/>
        </w:rPr>
        <w:t> </w:t>
      </w:r>
      <w:r>
        <w:rPr/>
        <w:t>size,</w:t>
      </w:r>
      <w:r>
        <w:rPr>
          <w:spacing w:val="-32"/>
        </w:rPr>
        <w:t> </w:t>
      </w:r>
      <w:r>
        <w:rPr/>
        <w:t>the</w:t>
      </w:r>
      <w:r>
        <w:rPr>
          <w:spacing w:val="-34"/>
        </w:rPr>
        <w:t> </w:t>
      </w:r>
      <w:r>
        <w:rPr/>
        <w:t>subject</w:t>
      </w:r>
      <w:r>
        <w:rPr>
          <w:spacing w:val="-31"/>
        </w:rPr>
        <w:t> </w:t>
      </w:r>
      <w:r>
        <w:rPr/>
        <w:t>property enjoys good frontage along the access</w:t>
      </w:r>
      <w:r>
        <w:rPr>
          <w:spacing w:val="-18"/>
        </w:rPr>
        <w:t> </w:t>
      </w:r>
      <w:r>
        <w:rPr/>
        <w:t>road.</w:t>
      </w:r>
    </w:p>
    <w:p>
      <w:pPr>
        <w:pStyle w:val="BodyText"/>
        <w:spacing w:before="124"/>
        <w:ind w:left="241"/>
        <w:jc w:val="both"/>
      </w:pPr>
      <w:r>
        <w:rPr/>
        <w:t>Please refer Exhibit &amp; Addenda for the site plan of the subject property.</w:t>
      </w:r>
    </w:p>
    <w:p>
      <w:pPr>
        <w:spacing w:after="0"/>
        <w:jc w:val="both"/>
        <w:sectPr>
          <w:type w:val="continuous"/>
          <w:pgSz w:w="11910" w:h="16840"/>
          <w:pgMar w:top="800" w:bottom="280" w:left="40" w:right="40"/>
          <w:cols w:num="2" w:equalWidth="0">
            <w:col w:w="2994" w:space="40"/>
            <w:col w:w="8796"/>
          </w:cols>
        </w:sectPr>
      </w:pPr>
    </w:p>
    <w:p>
      <w:pPr>
        <w:pStyle w:val="BodyText"/>
        <w:spacing w:before="4"/>
        <w:rPr>
          <w:sz w:val="18"/>
        </w:rPr>
      </w:pPr>
    </w:p>
    <w:p>
      <w:pPr>
        <w:pStyle w:val="BodyText"/>
        <w:ind w:left="680"/>
        <w:rPr>
          <w:sz w:val="20"/>
        </w:rPr>
      </w:pPr>
      <w:r>
        <w:rPr>
          <w:sz w:val="20"/>
        </w:rPr>
        <w:pict>
          <v:group style="width:523.6pt;height:14.2pt;mso-position-horizontal-relative:char;mso-position-vertical-relative:line" coordorigin="0,0" coordsize="10472,284">
            <v:rect style="position:absolute;left:0;top:28;width:10472;height:255" filled="true" fillcolor="#006a4d" stroked="false">
              <v:fill type="solid"/>
            </v:rect>
            <v:rect style="position:absolute;left:0;top:0;width:10472;height:29" filled="true" fillcolor="#1f6b16" stroked="false">
              <v:fill type="solid"/>
            </v:rect>
            <v:rect style="position:absolute;left:0;top:28;width:10472;height:3" filled="true" fillcolor="#006a4d" stroked="false">
              <v:fill type="solid"/>
            </v:rect>
            <v:shape style="position:absolute;left:0;top:31;width:10472;height:252" type="#_x0000_t202" filled="false" stroked="false">
              <v:textbox inset="0,0,0,0">
                <w:txbxContent>
                  <w:p>
                    <w:pPr>
                      <w:spacing w:before="20"/>
                      <w:ind w:left="70" w:right="71" w:firstLine="0"/>
                      <w:jc w:val="center"/>
                      <w:rPr>
                        <w:b/>
                        <w:sz w:val="18"/>
                      </w:rPr>
                    </w:pPr>
                    <w:r>
                      <w:rPr>
                        <w:b/>
                        <w:color w:val="FFFFFF"/>
                        <w:w w:val="105"/>
                        <w:sz w:val="18"/>
                      </w:rPr>
                      <w:t>Location Map for the Subject Property</w:t>
                    </w:r>
                  </w:p>
                </w:txbxContent>
              </v:textbox>
              <w10:wrap type="none"/>
            </v:shape>
          </v:group>
        </w:pict>
      </w:r>
      <w:r>
        <w:rPr>
          <w:sz w:val="20"/>
        </w:rPr>
      </w:r>
    </w:p>
    <w:p>
      <w:pPr>
        <w:pStyle w:val="BodyText"/>
        <w:spacing w:before="7"/>
        <w:rPr>
          <w:sz w:val="5"/>
        </w:rPr>
      </w:pPr>
      <w:r>
        <w:rPr/>
        <w:drawing>
          <wp:anchor distT="0" distB="0" distL="0" distR="0" allowOverlap="1" layoutInCell="1" locked="0" behindDoc="0" simplePos="0" relativeHeight="1525">
            <wp:simplePos x="0" y="0"/>
            <wp:positionH relativeFrom="page">
              <wp:posOffset>572134</wp:posOffset>
            </wp:positionH>
            <wp:positionV relativeFrom="paragraph">
              <wp:posOffset>66167</wp:posOffset>
            </wp:positionV>
            <wp:extent cx="6341758" cy="4733925"/>
            <wp:effectExtent l="0" t="0" r="0" b="0"/>
            <wp:wrapTopAndBottom/>
            <wp:docPr id="319" name="image228.jpeg"/>
            <wp:cNvGraphicFramePr>
              <a:graphicFrameLocks noChangeAspect="1"/>
            </wp:cNvGraphicFramePr>
            <a:graphic>
              <a:graphicData uri="http://schemas.openxmlformats.org/drawingml/2006/picture">
                <pic:pic>
                  <pic:nvPicPr>
                    <pic:cNvPr id="320" name="image228.jpeg"/>
                    <pic:cNvPicPr/>
                  </pic:nvPicPr>
                  <pic:blipFill>
                    <a:blip r:embed="rId303" cstate="print"/>
                    <a:stretch>
                      <a:fillRect/>
                    </a:stretch>
                  </pic:blipFill>
                  <pic:spPr>
                    <a:xfrm>
                      <a:off x="0" y="0"/>
                      <a:ext cx="6341758" cy="4733925"/>
                    </a:xfrm>
                    <a:prstGeom prst="rect">
                      <a:avLst/>
                    </a:prstGeom>
                  </pic:spPr>
                </pic:pic>
              </a:graphicData>
            </a:graphic>
          </wp:anchor>
        </w:drawing>
      </w:r>
    </w:p>
    <w:p>
      <w:pPr>
        <w:pStyle w:val="BodyText"/>
        <w:spacing w:before="6"/>
        <w:rPr>
          <w:sz w:val="12"/>
        </w:rPr>
      </w:pPr>
    </w:p>
    <w:p>
      <w:pPr>
        <w:spacing w:before="104"/>
        <w:ind w:left="680" w:right="0" w:firstLine="0"/>
        <w:jc w:val="left"/>
        <w:rPr>
          <w:i/>
          <w:sz w:val="18"/>
        </w:rPr>
      </w:pPr>
      <w:r>
        <w:rPr>
          <w:i/>
          <w:sz w:val="18"/>
        </w:rPr>
        <w:t>Source: Consultants’ Research</w:t>
      </w:r>
    </w:p>
    <w:p>
      <w:pPr>
        <w:pStyle w:val="BodyText"/>
        <w:rPr>
          <w:i/>
        </w:rPr>
      </w:pPr>
    </w:p>
    <w:p>
      <w:pPr>
        <w:pStyle w:val="BodyText"/>
        <w:rPr>
          <w:i/>
          <w:sz w:val="20"/>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75" w:id="732"/>
      <w:bookmarkEnd w:id="732"/>
      <w:r>
        <w:rPr/>
      </w:r>
      <w:bookmarkStart w:name="_bookmark375" w:id="733"/>
      <w:bookmarkEnd w:id="733"/>
      <w:r>
        <w:rPr>
          <w:color w:val="1F664D"/>
          <w:sz w:val="22"/>
        </w:rPr>
        <w:t>Le</w:t>
      </w:r>
      <w:r>
        <w:rPr>
          <w:color w:val="1F664D"/>
          <w:sz w:val="22"/>
        </w:rPr>
        <w:t>gal</w:t>
      </w:r>
      <w:r>
        <w:rPr>
          <w:color w:val="1F664D"/>
          <w:spacing w:val="-2"/>
          <w:sz w:val="22"/>
        </w:rPr>
        <w:t> </w:t>
      </w:r>
      <w:r>
        <w:rPr>
          <w:color w:val="1F664D"/>
          <w:sz w:val="22"/>
        </w:rPr>
        <w:t>Details</w:t>
      </w:r>
    </w:p>
    <w:p>
      <w:pPr>
        <w:pStyle w:val="BodyText"/>
        <w:spacing w:line="321" w:lineRule="auto" w:before="206"/>
        <w:ind w:left="1246" w:right="675"/>
        <w:jc w:val="both"/>
      </w:pPr>
      <w:r>
        <w:rPr/>
        <w:t>As</w:t>
      </w:r>
      <w:r>
        <w:rPr>
          <w:spacing w:val="-21"/>
        </w:rPr>
        <w:t> </w:t>
      </w:r>
      <w:r>
        <w:rPr/>
        <w:t>per</w:t>
      </w:r>
      <w:r>
        <w:rPr>
          <w:spacing w:val="-21"/>
        </w:rPr>
        <w:t> </w:t>
      </w:r>
      <w:r>
        <w:rPr/>
        <w:t>the</w:t>
      </w:r>
      <w:r>
        <w:rPr>
          <w:spacing w:val="-22"/>
        </w:rPr>
        <w:t> </w:t>
      </w:r>
      <w:r>
        <w:rPr/>
        <w:t>title</w:t>
      </w:r>
      <w:r>
        <w:rPr>
          <w:spacing w:val="-21"/>
        </w:rPr>
        <w:t> </w:t>
      </w:r>
      <w:r>
        <w:rPr/>
        <w:t>due</w:t>
      </w:r>
      <w:r>
        <w:rPr>
          <w:spacing w:val="-22"/>
        </w:rPr>
        <w:t> </w:t>
      </w:r>
      <w:r>
        <w:rPr/>
        <w:t>diligence</w:t>
      </w:r>
      <w:r>
        <w:rPr>
          <w:spacing w:val="-20"/>
        </w:rPr>
        <w:t> </w:t>
      </w:r>
      <w:r>
        <w:rPr/>
        <w:t>undertaken</w:t>
      </w:r>
      <w:r>
        <w:rPr>
          <w:spacing w:val="-21"/>
        </w:rPr>
        <w:t> </w:t>
      </w:r>
      <w:r>
        <w:rPr/>
        <w:t>by</w:t>
      </w:r>
      <w:r>
        <w:rPr>
          <w:spacing w:val="-18"/>
        </w:rPr>
        <w:t> </w:t>
      </w:r>
      <w:r>
        <w:rPr>
          <w:i/>
        </w:rPr>
        <w:t>‘Law</w:t>
      </w:r>
      <w:r>
        <w:rPr>
          <w:i/>
          <w:spacing w:val="-23"/>
        </w:rPr>
        <w:t> </w:t>
      </w:r>
      <w:r>
        <w:rPr>
          <w:i/>
        </w:rPr>
        <w:t>Shield’</w:t>
      </w:r>
      <w:r>
        <w:rPr>
          <w:i/>
          <w:spacing w:val="-19"/>
        </w:rPr>
        <w:t> </w:t>
      </w:r>
      <w:r>
        <w:rPr/>
        <w:t>and</w:t>
      </w:r>
      <w:r>
        <w:rPr>
          <w:spacing w:val="-21"/>
        </w:rPr>
        <w:t> </w:t>
      </w:r>
      <w:r>
        <w:rPr/>
        <w:t>as</w:t>
      </w:r>
      <w:r>
        <w:rPr>
          <w:spacing w:val="-21"/>
        </w:rPr>
        <w:t> </w:t>
      </w:r>
      <w:r>
        <w:rPr/>
        <w:t>provided</w:t>
      </w:r>
      <w:r>
        <w:rPr>
          <w:spacing w:val="-21"/>
        </w:rPr>
        <w:t> </w:t>
      </w:r>
      <w:r>
        <w:rPr/>
        <w:t>by</w:t>
      </w:r>
      <w:r>
        <w:rPr>
          <w:spacing w:val="-21"/>
        </w:rPr>
        <w:t> </w:t>
      </w:r>
      <w:r>
        <w:rPr/>
        <w:t>the</w:t>
      </w:r>
      <w:r>
        <w:rPr>
          <w:spacing w:val="-19"/>
        </w:rPr>
        <w:t> </w:t>
      </w:r>
      <w:r>
        <w:rPr/>
        <w:t>Client,</w:t>
      </w:r>
      <w:r>
        <w:rPr>
          <w:spacing w:val="-22"/>
        </w:rPr>
        <w:t> </w:t>
      </w:r>
      <w:r>
        <w:rPr/>
        <w:t>we</w:t>
      </w:r>
      <w:r>
        <w:rPr>
          <w:spacing w:val="-20"/>
        </w:rPr>
        <w:t> </w:t>
      </w:r>
      <w:r>
        <w:rPr/>
        <w:t>understand that</w:t>
      </w:r>
      <w:r>
        <w:rPr>
          <w:spacing w:val="-17"/>
        </w:rPr>
        <w:t> </w:t>
      </w:r>
      <w:r>
        <w:rPr/>
        <w:t>the</w:t>
      </w:r>
      <w:r>
        <w:rPr>
          <w:spacing w:val="-19"/>
        </w:rPr>
        <w:t> </w:t>
      </w:r>
      <w:r>
        <w:rPr/>
        <w:t>exact</w:t>
      </w:r>
      <w:r>
        <w:rPr>
          <w:spacing w:val="-16"/>
        </w:rPr>
        <w:t> </w:t>
      </w:r>
      <w:r>
        <w:rPr/>
        <w:t>address</w:t>
      </w:r>
      <w:r>
        <w:rPr>
          <w:spacing w:val="-17"/>
        </w:rPr>
        <w:t> </w:t>
      </w:r>
      <w:r>
        <w:rPr/>
        <w:t>of</w:t>
      </w:r>
      <w:r>
        <w:rPr>
          <w:spacing w:val="-19"/>
        </w:rPr>
        <w:t> </w:t>
      </w:r>
      <w:r>
        <w:rPr/>
        <w:t>the</w:t>
      </w:r>
      <w:r>
        <w:rPr>
          <w:spacing w:val="-18"/>
        </w:rPr>
        <w:t> </w:t>
      </w:r>
      <w:r>
        <w:rPr/>
        <w:t>subject</w:t>
      </w:r>
      <w:r>
        <w:rPr>
          <w:spacing w:val="-17"/>
        </w:rPr>
        <w:t> </w:t>
      </w:r>
      <w:r>
        <w:rPr/>
        <w:t>property</w:t>
      </w:r>
      <w:r>
        <w:rPr>
          <w:spacing w:val="-16"/>
        </w:rPr>
        <w:t> </w:t>
      </w:r>
      <w:r>
        <w:rPr/>
        <w:t>is</w:t>
      </w:r>
      <w:r>
        <w:rPr>
          <w:spacing w:val="-17"/>
        </w:rPr>
        <w:t> </w:t>
      </w:r>
      <w:r>
        <w:rPr/>
        <w:t>Villages</w:t>
      </w:r>
      <w:r>
        <w:rPr>
          <w:spacing w:val="-17"/>
        </w:rPr>
        <w:t> </w:t>
      </w:r>
      <w:r>
        <w:rPr/>
        <w:t>Ittigi</w:t>
      </w:r>
      <w:r>
        <w:rPr>
          <w:spacing w:val="-18"/>
        </w:rPr>
        <w:t> </w:t>
      </w:r>
      <w:r>
        <w:rPr/>
        <w:t>and</w:t>
      </w:r>
      <w:r>
        <w:rPr>
          <w:spacing w:val="-18"/>
        </w:rPr>
        <w:t> </w:t>
      </w:r>
      <w:r>
        <w:rPr/>
        <w:t>Mooregeri</w:t>
      </w:r>
      <w:r>
        <w:rPr>
          <w:spacing w:val="-18"/>
        </w:rPr>
        <w:t> </w:t>
      </w:r>
      <w:r>
        <w:rPr/>
        <w:t>in</w:t>
      </w:r>
      <w:r>
        <w:rPr>
          <w:spacing w:val="-18"/>
        </w:rPr>
        <w:t> </w:t>
      </w:r>
      <w:r>
        <w:rPr/>
        <w:t>Huvin</w:t>
      </w:r>
      <w:r>
        <w:rPr>
          <w:spacing w:val="-17"/>
        </w:rPr>
        <w:t> </w:t>
      </w:r>
      <w:r>
        <w:rPr/>
        <w:t>Hadagali</w:t>
      </w:r>
      <w:r>
        <w:rPr>
          <w:spacing w:val="-18"/>
        </w:rPr>
        <w:t> </w:t>
      </w:r>
      <w:r>
        <w:rPr/>
        <w:t>Taluka and</w:t>
      </w:r>
      <w:r>
        <w:rPr>
          <w:spacing w:val="-33"/>
        </w:rPr>
        <w:t> </w:t>
      </w:r>
      <w:r>
        <w:rPr/>
        <w:t>Nellukudure</w:t>
      </w:r>
      <w:r>
        <w:rPr>
          <w:spacing w:val="-33"/>
        </w:rPr>
        <w:t> </w:t>
      </w:r>
      <w:r>
        <w:rPr/>
        <w:t>in</w:t>
      </w:r>
      <w:r>
        <w:rPr>
          <w:spacing w:val="-33"/>
        </w:rPr>
        <w:t> </w:t>
      </w:r>
      <w:r>
        <w:rPr/>
        <w:t>Hagri</w:t>
      </w:r>
      <w:r>
        <w:rPr>
          <w:spacing w:val="-33"/>
        </w:rPr>
        <w:t> </w:t>
      </w:r>
      <w:r>
        <w:rPr/>
        <w:t>Bommanhalli</w:t>
      </w:r>
      <w:r>
        <w:rPr>
          <w:spacing w:val="-32"/>
        </w:rPr>
        <w:t> </w:t>
      </w:r>
      <w:r>
        <w:rPr/>
        <w:t>Taluka,</w:t>
      </w:r>
      <w:r>
        <w:rPr>
          <w:spacing w:val="-33"/>
        </w:rPr>
        <w:t> </w:t>
      </w:r>
      <w:r>
        <w:rPr/>
        <w:t>Bellary</w:t>
      </w:r>
      <w:r>
        <w:rPr>
          <w:spacing w:val="-32"/>
        </w:rPr>
        <w:t> </w:t>
      </w:r>
      <w:r>
        <w:rPr/>
        <w:t>District,</w:t>
      </w:r>
      <w:r>
        <w:rPr>
          <w:spacing w:val="-33"/>
        </w:rPr>
        <w:t> </w:t>
      </w:r>
      <w:r>
        <w:rPr/>
        <w:t>Karnataka.</w:t>
      </w:r>
      <w:r>
        <w:rPr>
          <w:spacing w:val="-32"/>
        </w:rPr>
        <w:t> </w:t>
      </w:r>
      <w:r>
        <w:rPr/>
        <w:t>Additionally,</w:t>
      </w:r>
      <w:r>
        <w:rPr>
          <w:spacing w:val="-33"/>
        </w:rPr>
        <w:t> </w:t>
      </w:r>
      <w:r>
        <w:rPr/>
        <w:t>it</w:t>
      </w:r>
      <w:r>
        <w:rPr>
          <w:spacing w:val="-34"/>
        </w:rPr>
        <w:t> </w:t>
      </w:r>
      <w:r>
        <w:rPr/>
        <w:t>is</w:t>
      </w:r>
      <w:r>
        <w:rPr>
          <w:spacing w:val="-33"/>
        </w:rPr>
        <w:t> </w:t>
      </w:r>
      <w:r>
        <w:rPr/>
        <w:t>understood that the subject property is freehold in</w:t>
      </w:r>
      <w:r>
        <w:rPr>
          <w:spacing w:val="-38"/>
        </w:rPr>
        <w:t> </w:t>
      </w:r>
      <w:r>
        <w:rPr/>
        <w:t>nature.</w:t>
      </w:r>
    </w:p>
    <w:p>
      <w:pPr>
        <w:pStyle w:val="BodyText"/>
        <w:rPr>
          <w:sz w:val="21"/>
        </w:rPr>
      </w:pPr>
    </w:p>
    <w:p>
      <w:pPr>
        <w:pStyle w:val="BodyText"/>
        <w:spacing w:line="321" w:lineRule="auto"/>
        <w:ind w:left="1246" w:right="677"/>
        <w:jc w:val="both"/>
      </w:pPr>
      <w:r>
        <w:rPr/>
        <w:t>Further,</w:t>
      </w:r>
      <w:r>
        <w:rPr>
          <w:spacing w:val="-26"/>
        </w:rPr>
        <w:t> </w:t>
      </w:r>
      <w:r>
        <w:rPr/>
        <w:t>this</w:t>
      </w:r>
      <w:r>
        <w:rPr>
          <w:spacing w:val="-25"/>
        </w:rPr>
        <w:t> </w:t>
      </w:r>
      <w:r>
        <w:rPr/>
        <w:t>valuation</w:t>
      </w:r>
      <w:r>
        <w:rPr>
          <w:spacing w:val="-26"/>
        </w:rPr>
        <w:t> </w:t>
      </w:r>
      <w:r>
        <w:rPr/>
        <w:t>exercise</w:t>
      </w:r>
      <w:r>
        <w:rPr>
          <w:spacing w:val="-26"/>
        </w:rPr>
        <w:t> </w:t>
      </w:r>
      <w:r>
        <w:rPr/>
        <w:t>is</w:t>
      </w:r>
      <w:r>
        <w:rPr>
          <w:spacing w:val="-26"/>
        </w:rPr>
        <w:t> </w:t>
      </w:r>
      <w:r>
        <w:rPr/>
        <w:t>based</w:t>
      </w:r>
      <w:r>
        <w:rPr>
          <w:spacing w:val="-25"/>
        </w:rPr>
        <w:t> </w:t>
      </w:r>
      <w:r>
        <w:rPr/>
        <w:t>on</w:t>
      </w:r>
      <w:r>
        <w:rPr>
          <w:spacing w:val="-27"/>
        </w:rPr>
        <w:t> </w:t>
      </w:r>
      <w:r>
        <w:rPr/>
        <w:t>the</w:t>
      </w:r>
      <w:r>
        <w:rPr>
          <w:spacing w:val="-27"/>
        </w:rPr>
        <w:t> </w:t>
      </w:r>
      <w:r>
        <w:rPr/>
        <w:t>premise</w:t>
      </w:r>
      <w:r>
        <w:rPr>
          <w:spacing w:val="-27"/>
        </w:rPr>
        <w:t> </w:t>
      </w:r>
      <w:r>
        <w:rPr/>
        <w:t>that</w:t>
      </w:r>
      <w:r>
        <w:rPr>
          <w:spacing w:val="-25"/>
        </w:rPr>
        <w:t> </w:t>
      </w:r>
      <w:r>
        <w:rPr/>
        <w:t>the</w:t>
      </w:r>
      <w:r>
        <w:rPr>
          <w:spacing w:val="-27"/>
        </w:rPr>
        <w:t> </w:t>
      </w:r>
      <w:r>
        <w:rPr/>
        <w:t>subject</w:t>
      </w:r>
      <w:r>
        <w:rPr>
          <w:spacing w:val="-27"/>
        </w:rPr>
        <w:t> </w:t>
      </w:r>
      <w:r>
        <w:rPr/>
        <w:t>property</w:t>
      </w:r>
      <w:r>
        <w:rPr>
          <w:spacing w:val="-25"/>
        </w:rPr>
        <w:t> </w:t>
      </w:r>
      <w:r>
        <w:rPr/>
        <w:t>has</w:t>
      </w:r>
      <w:r>
        <w:rPr>
          <w:spacing w:val="-25"/>
        </w:rPr>
        <w:t> </w:t>
      </w:r>
      <w:r>
        <w:rPr/>
        <w:t>a</w:t>
      </w:r>
      <w:r>
        <w:rPr>
          <w:spacing w:val="-27"/>
        </w:rPr>
        <w:t> </w:t>
      </w:r>
      <w:r>
        <w:rPr/>
        <w:t>clear</w:t>
      </w:r>
      <w:r>
        <w:rPr>
          <w:spacing w:val="-26"/>
        </w:rPr>
        <w:t> </w:t>
      </w:r>
      <w:r>
        <w:rPr/>
        <w:t>title</w:t>
      </w:r>
      <w:r>
        <w:rPr>
          <w:spacing w:val="-27"/>
        </w:rPr>
        <w:t> </w:t>
      </w:r>
      <w:r>
        <w:rPr/>
        <w:t>and</w:t>
      </w:r>
      <w:r>
        <w:rPr>
          <w:spacing w:val="-25"/>
        </w:rPr>
        <w:t> </w:t>
      </w:r>
      <w:r>
        <w:rPr/>
        <w:t>is free</w:t>
      </w:r>
      <w:r>
        <w:rPr>
          <w:spacing w:val="-28"/>
        </w:rPr>
        <w:t> </w:t>
      </w:r>
      <w:r>
        <w:rPr/>
        <w:t>from</w:t>
      </w:r>
      <w:r>
        <w:rPr>
          <w:spacing w:val="-26"/>
        </w:rPr>
        <w:t> </w:t>
      </w:r>
      <w:r>
        <w:rPr/>
        <w:t>any</w:t>
      </w:r>
      <w:r>
        <w:rPr>
          <w:spacing w:val="-28"/>
        </w:rPr>
        <w:t> </w:t>
      </w:r>
      <w:r>
        <w:rPr/>
        <w:t>encumbrances,</w:t>
      </w:r>
      <w:r>
        <w:rPr>
          <w:spacing w:val="-26"/>
        </w:rPr>
        <w:t> </w:t>
      </w:r>
      <w:r>
        <w:rPr/>
        <w:t>disputes,</w:t>
      </w:r>
      <w:r>
        <w:rPr>
          <w:spacing w:val="-27"/>
        </w:rPr>
        <w:t> </w:t>
      </w:r>
      <w:r>
        <w:rPr/>
        <w:t>claims,</w:t>
      </w:r>
      <w:r>
        <w:rPr>
          <w:spacing w:val="-27"/>
        </w:rPr>
        <w:t> </w:t>
      </w:r>
      <w:r>
        <w:rPr/>
        <w:t>etc.</w:t>
      </w:r>
      <w:r>
        <w:rPr>
          <w:spacing w:val="-25"/>
        </w:rPr>
        <w:t> </w:t>
      </w:r>
      <w:r>
        <w:rPr/>
        <w:t>The</w:t>
      </w:r>
      <w:r>
        <w:rPr>
          <w:spacing w:val="-27"/>
        </w:rPr>
        <w:t> </w:t>
      </w:r>
      <w:r>
        <w:rPr/>
        <w:t>Consultants</w:t>
      </w:r>
      <w:r>
        <w:rPr>
          <w:spacing w:val="-24"/>
        </w:rPr>
        <w:t> </w:t>
      </w:r>
      <w:r>
        <w:rPr/>
        <w:t>have</w:t>
      </w:r>
      <w:r>
        <w:rPr>
          <w:spacing w:val="-28"/>
        </w:rPr>
        <w:t> </w:t>
      </w:r>
      <w:r>
        <w:rPr/>
        <w:t>not</w:t>
      </w:r>
      <w:r>
        <w:rPr>
          <w:spacing w:val="-26"/>
        </w:rPr>
        <w:t> </w:t>
      </w:r>
      <w:r>
        <w:rPr/>
        <w:t>made</w:t>
      </w:r>
      <w:r>
        <w:rPr>
          <w:spacing w:val="-28"/>
        </w:rPr>
        <w:t> </w:t>
      </w:r>
      <w:r>
        <w:rPr/>
        <w:t>any</w:t>
      </w:r>
      <w:r>
        <w:rPr>
          <w:spacing w:val="-25"/>
        </w:rPr>
        <w:t> </w:t>
      </w:r>
      <w:r>
        <w:rPr/>
        <w:t>inquiries</w:t>
      </w:r>
      <w:r>
        <w:rPr>
          <w:spacing w:val="-26"/>
        </w:rPr>
        <w:t> </w:t>
      </w:r>
      <w:r>
        <w:rPr/>
        <w:t>in</w:t>
      </w:r>
      <w:r>
        <w:rPr>
          <w:spacing w:val="-29"/>
        </w:rPr>
        <w:t> </w:t>
      </w:r>
      <w:r>
        <w:rPr/>
        <w:t>this regard with the relevant legal/ statutory</w:t>
      </w:r>
      <w:r>
        <w:rPr>
          <w:spacing w:val="-38"/>
        </w:rPr>
        <w:t> </w:t>
      </w:r>
      <w:r>
        <w:rPr/>
        <w:t>authorities.</w:t>
      </w:r>
    </w:p>
    <w:p>
      <w:pPr>
        <w:pStyle w:val="BodyText"/>
        <w:spacing w:before="8"/>
        <w:rPr>
          <w:sz w:val="20"/>
        </w:rPr>
      </w:pPr>
    </w:p>
    <w:p>
      <w:pPr>
        <w:pStyle w:val="BodyText"/>
        <w:spacing w:line="321" w:lineRule="auto"/>
        <w:ind w:left="1246" w:right="675"/>
        <w:jc w:val="both"/>
      </w:pPr>
      <w:r>
        <w:rPr/>
        <w:t>We</w:t>
      </w:r>
      <w:r>
        <w:rPr>
          <w:spacing w:val="-34"/>
        </w:rPr>
        <w:t> </w:t>
      </w:r>
      <w:r>
        <w:rPr/>
        <w:t>understand</w:t>
      </w:r>
      <w:r>
        <w:rPr>
          <w:spacing w:val="-33"/>
        </w:rPr>
        <w:t> </w:t>
      </w:r>
      <w:r>
        <w:rPr/>
        <w:t>from</w:t>
      </w:r>
      <w:r>
        <w:rPr>
          <w:spacing w:val="-33"/>
        </w:rPr>
        <w:t> </w:t>
      </w:r>
      <w:r>
        <w:rPr/>
        <w:t>the</w:t>
      </w:r>
      <w:r>
        <w:rPr>
          <w:spacing w:val="-35"/>
        </w:rPr>
        <w:t> </w:t>
      </w:r>
      <w:r>
        <w:rPr/>
        <w:t>Client,</w:t>
      </w:r>
      <w:r>
        <w:rPr>
          <w:spacing w:val="-33"/>
        </w:rPr>
        <w:t> </w:t>
      </w:r>
      <w:r>
        <w:rPr/>
        <w:t>title</w:t>
      </w:r>
      <w:r>
        <w:rPr>
          <w:spacing w:val="-33"/>
        </w:rPr>
        <w:t> </w:t>
      </w:r>
      <w:r>
        <w:rPr/>
        <w:t>reports,</w:t>
      </w:r>
      <w:r>
        <w:rPr>
          <w:spacing w:val="-34"/>
        </w:rPr>
        <w:t> </w:t>
      </w:r>
      <w:r>
        <w:rPr/>
        <w:t>site</w:t>
      </w:r>
      <w:r>
        <w:rPr>
          <w:spacing w:val="-35"/>
        </w:rPr>
        <w:t> </w:t>
      </w:r>
      <w:r>
        <w:rPr/>
        <w:t>plans,</w:t>
      </w:r>
      <w:r>
        <w:rPr>
          <w:spacing w:val="-32"/>
        </w:rPr>
        <w:t> </w:t>
      </w:r>
      <w:r>
        <w:rPr/>
        <w:t>letter</w:t>
      </w:r>
      <w:r>
        <w:rPr>
          <w:spacing w:val="-34"/>
        </w:rPr>
        <w:t> </w:t>
      </w:r>
      <w:r>
        <w:rPr/>
        <w:t>highlighting</w:t>
      </w:r>
      <w:r>
        <w:rPr>
          <w:spacing w:val="-33"/>
        </w:rPr>
        <w:t> </w:t>
      </w:r>
      <w:r>
        <w:rPr/>
        <w:t>Commercial</w:t>
      </w:r>
      <w:r>
        <w:rPr>
          <w:spacing w:val="-34"/>
        </w:rPr>
        <w:t> </w:t>
      </w:r>
      <w:r>
        <w:rPr/>
        <w:t>Operations</w:t>
      </w:r>
      <w:r>
        <w:rPr>
          <w:spacing w:val="-32"/>
        </w:rPr>
        <w:t> </w:t>
      </w:r>
      <w:r>
        <w:rPr/>
        <w:t>Date and</w:t>
      </w:r>
      <w:r>
        <w:rPr>
          <w:spacing w:val="-22"/>
        </w:rPr>
        <w:t> </w:t>
      </w:r>
      <w:r>
        <w:rPr/>
        <w:t>site</w:t>
      </w:r>
      <w:r>
        <w:rPr>
          <w:spacing w:val="-22"/>
        </w:rPr>
        <w:t> </w:t>
      </w:r>
      <w:r>
        <w:rPr/>
        <w:t>visit,</w:t>
      </w:r>
      <w:r>
        <w:rPr>
          <w:spacing w:val="-24"/>
        </w:rPr>
        <w:t> </w:t>
      </w:r>
      <w:r>
        <w:rPr/>
        <w:t>that</w:t>
      </w:r>
      <w:r>
        <w:rPr>
          <w:spacing w:val="-20"/>
        </w:rPr>
        <w:t> </w:t>
      </w:r>
      <w:r>
        <w:rPr/>
        <w:t>the</w:t>
      </w:r>
      <w:r>
        <w:rPr>
          <w:spacing w:val="-23"/>
        </w:rPr>
        <w:t> </w:t>
      </w:r>
      <w:r>
        <w:rPr/>
        <w:t>park</w:t>
      </w:r>
      <w:r>
        <w:rPr>
          <w:spacing w:val="-22"/>
        </w:rPr>
        <w:t> </w:t>
      </w:r>
      <w:r>
        <w:rPr/>
        <w:t>is</w:t>
      </w:r>
      <w:r>
        <w:rPr>
          <w:spacing w:val="-20"/>
        </w:rPr>
        <w:t> </w:t>
      </w:r>
      <w:r>
        <w:rPr/>
        <w:t>spread</w:t>
      </w:r>
      <w:r>
        <w:rPr>
          <w:spacing w:val="-21"/>
        </w:rPr>
        <w:t> </w:t>
      </w:r>
      <w:r>
        <w:rPr/>
        <w:t>over</w:t>
      </w:r>
      <w:r>
        <w:rPr>
          <w:spacing w:val="-21"/>
        </w:rPr>
        <w:t> </w:t>
      </w:r>
      <w:r>
        <w:rPr/>
        <w:t>465.77</w:t>
      </w:r>
      <w:r>
        <w:rPr>
          <w:spacing w:val="-21"/>
        </w:rPr>
        <w:t> </w:t>
      </w:r>
      <w:r>
        <w:rPr/>
        <w:t>Acres</w:t>
      </w:r>
      <w:r>
        <w:rPr>
          <w:spacing w:val="-21"/>
        </w:rPr>
        <w:t> </w:t>
      </w:r>
      <w:r>
        <w:rPr/>
        <w:t>of</w:t>
      </w:r>
      <w:r>
        <w:rPr>
          <w:spacing w:val="-22"/>
        </w:rPr>
        <w:t> </w:t>
      </w:r>
      <w:r>
        <w:rPr/>
        <w:t>which</w:t>
      </w:r>
      <w:r>
        <w:rPr>
          <w:spacing w:val="-21"/>
        </w:rPr>
        <w:t> </w:t>
      </w:r>
      <w:r>
        <w:rPr/>
        <w:t>the</w:t>
      </w:r>
      <w:r>
        <w:rPr>
          <w:spacing w:val="-23"/>
        </w:rPr>
        <w:t> </w:t>
      </w:r>
      <w:r>
        <w:rPr/>
        <w:t>land</w:t>
      </w:r>
      <w:r>
        <w:rPr>
          <w:spacing w:val="-21"/>
        </w:rPr>
        <w:t> </w:t>
      </w:r>
      <w:r>
        <w:rPr/>
        <w:t>aggregation</w:t>
      </w:r>
      <w:r>
        <w:rPr>
          <w:spacing w:val="-21"/>
        </w:rPr>
        <w:t> </w:t>
      </w:r>
      <w:r>
        <w:rPr/>
        <w:t>is</w:t>
      </w:r>
      <w:r>
        <w:rPr>
          <w:spacing w:val="-21"/>
        </w:rPr>
        <w:t> </w:t>
      </w:r>
      <w:r>
        <w:rPr/>
        <w:t>in</w:t>
      </w:r>
      <w:r>
        <w:rPr>
          <w:spacing w:val="-22"/>
        </w:rPr>
        <w:t> </w:t>
      </w:r>
      <w:r>
        <w:rPr/>
        <w:t>place</w:t>
      </w:r>
      <w:r>
        <w:rPr>
          <w:spacing w:val="-22"/>
        </w:rPr>
        <w:t> </w:t>
      </w:r>
      <w:r>
        <w:rPr/>
        <w:t>by</w:t>
      </w:r>
      <w:r>
        <w:rPr>
          <w:spacing w:val="-22"/>
        </w:rPr>
        <w:t> </w:t>
      </w:r>
      <w:r>
        <w:rPr/>
        <w:t>way of sale deed, Agreement to Sell (ATS) or General Power of Attorney (GPA), etc. We understand that currently only about 254.47 Acres is owned by the company by way of Sale Deed whereas the rest</w:t>
      </w:r>
      <w:r>
        <w:rPr>
          <w:spacing w:val="-14"/>
        </w:rPr>
        <w:t> </w:t>
      </w:r>
      <w:r>
        <w:rPr/>
        <w:t>is</w:t>
      </w:r>
    </w:p>
    <w:p>
      <w:pPr>
        <w:spacing w:after="0" w:line="321" w:lineRule="auto"/>
        <w:jc w:val="both"/>
        <w:sectPr>
          <w:pgSz w:w="11910" w:h="16840"/>
          <w:pgMar w:header="720" w:footer="862" w:top="1660" w:bottom="1060" w:left="40" w:right="40"/>
        </w:sectPr>
      </w:pPr>
    </w:p>
    <w:p>
      <w:pPr>
        <w:pStyle w:val="BodyText"/>
        <w:spacing w:before="7"/>
        <w:rPr>
          <w:sz w:val="9"/>
        </w:rPr>
      </w:pPr>
    </w:p>
    <w:p>
      <w:pPr>
        <w:pStyle w:val="BodyText"/>
        <w:spacing w:line="321" w:lineRule="auto" w:before="106"/>
        <w:ind w:left="1246" w:right="679"/>
        <w:jc w:val="both"/>
      </w:pPr>
      <w:r>
        <w:rPr/>
        <w:t>under</w:t>
      </w:r>
      <w:r>
        <w:rPr>
          <w:spacing w:val="-20"/>
        </w:rPr>
        <w:t> </w:t>
      </w:r>
      <w:r>
        <w:rPr/>
        <w:t>various</w:t>
      </w:r>
      <w:r>
        <w:rPr>
          <w:spacing w:val="-19"/>
        </w:rPr>
        <w:t> </w:t>
      </w:r>
      <w:r>
        <w:rPr/>
        <w:t>stages</w:t>
      </w:r>
      <w:r>
        <w:rPr>
          <w:spacing w:val="-19"/>
        </w:rPr>
        <w:t> </w:t>
      </w:r>
      <w:r>
        <w:rPr/>
        <w:t>of</w:t>
      </w:r>
      <w:r>
        <w:rPr>
          <w:spacing w:val="-20"/>
        </w:rPr>
        <w:t> </w:t>
      </w:r>
      <w:r>
        <w:rPr/>
        <w:t>sale</w:t>
      </w:r>
      <w:r>
        <w:rPr>
          <w:spacing w:val="-20"/>
        </w:rPr>
        <w:t> </w:t>
      </w:r>
      <w:r>
        <w:rPr/>
        <w:t>and</w:t>
      </w:r>
      <w:r>
        <w:rPr>
          <w:spacing w:val="-18"/>
        </w:rPr>
        <w:t> </w:t>
      </w:r>
      <w:r>
        <w:rPr/>
        <w:t>conversion</w:t>
      </w:r>
      <w:r>
        <w:rPr>
          <w:spacing w:val="-17"/>
        </w:rPr>
        <w:t> </w:t>
      </w:r>
      <w:r>
        <w:rPr>
          <w:w w:val="105"/>
        </w:rPr>
        <w:t>–</w:t>
      </w:r>
      <w:r>
        <w:rPr>
          <w:spacing w:val="-22"/>
          <w:w w:val="105"/>
        </w:rPr>
        <w:t> </w:t>
      </w:r>
      <w:r>
        <w:rPr/>
        <w:t>below</w:t>
      </w:r>
      <w:r>
        <w:rPr>
          <w:spacing w:val="-19"/>
        </w:rPr>
        <w:t> </w:t>
      </w:r>
      <w:r>
        <w:rPr/>
        <w:t>is</w:t>
      </w:r>
      <w:r>
        <w:rPr>
          <w:spacing w:val="-18"/>
        </w:rPr>
        <w:t> </w:t>
      </w:r>
      <w:r>
        <w:rPr/>
        <w:t>a</w:t>
      </w:r>
      <w:r>
        <w:rPr>
          <w:spacing w:val="-20"/>
        </w:rPr>
        <w:t> </w:t>
      </w:r>
      <w:r>
        <w:rPr/>
        <w:t>table</w:t>
      </w:r>
      <w:r>
        <w:rPr>
          <w:spacing w:val="-20"/>
        </w:rPr>
        <w:t> </w:t>
      </w:r>
      <w:r>
        <w:rPr/>
        <w:t>which</w:t>
      </w:r>
      <w:r>
        <w:rPr>
          <w:spacing w:val="-20"/>
        </w:rPr>
        <w:t> </w:t>
      </w:r>
      <w:r>
        <w:rPr/>
        <w:t>highlights</w:t>
      </w:r>
      <w:r>
        <w:rPr>
          <w:spacing w:val="-18"/>
        </w:rPr>
        <w:t> </w:t>
      </w:r>
      <w:r>
        <w:rPr/>
        <w:t>the</w:t>
      </w:r>
      <w:r>
        <w:rPr>
          <w:spacing w:val="-20"/>
        </w:rPr>
        <w:t> </w:t>
      </w:r>
      <w:r>
        <w:rPr/>
        <w:t>current</w:t>
      </w:r>
      <w:r>
        <w:rPr>
          <w:spacing w:val="-19"/>
        </w:rPr>
        <w:t> </w:t>
      </w:r>
      <w:r>
        <w:rPr/>
        <w:t>status</w:t>
      </w:r>
      <w:r>
        <w:rPr>
          <w:spacing w:val="-19"/>
        </w:rPr>
        <w:t> </w:t>
      </w:r>
      <w:r>
        <w:rPr/>
        <w:t>of</w:t>
      </w:r>
      <w:r>
        <w:rPr>
          <w:spacing w:val="-20"/>
        </w:rPr>
        <w:t> </w:t>
      </w:r>
      <w:r>
        <w:rPr/>
        <w:t>the Land</w:t>
      </w:r>
      <w:r>
        <w:rPr>
          <w:spacing w:val="-13"/>
        </w:rPr>
        <w:t> </w:t>
      </w:r>
      <w:r>
        <w:rPr/>
        <w:t>Aggregation.</w:t>
      </w:r>
      <w:r>
        <w:rPr>
          <w:spacing w:val="-14"/>
        </w:rPr>
        <w:t> </w:t>
      </w:r>
      <w:r>
        <w:rPr/>
        <w:t>Further,</w:t>
      </w:r>
      <w:r>
        <w:rPr>
          <w:spacing w:val="-12"/>
        </w:rPr>
        <w:t> </w:t>
      </w:r>
      <w:r>
        <w:rPr/>
        <w:t>we</w:t>
      </w:r>
      <w:r>
        <w:rPr>
          <w:spacing w:val="-12"/>
        </w:rPr>
        <w:t> </w:t>
      </w:r>
      <w:r>
        <w:rPr/>
        <w:t>understand</w:t>
      </w:r>
      <w:r>
        <w:rPr>
          <w:spacing w:val="-11"/>
        </w:rPr>
        <w:t> </w:t>
      </w:r>
      <w:r>
        <w:rPr/>
        <w:t>that</w:t>
      </w:r>
      <w:r>
        <w:rPr>
          <w:spacing w:val="-14"/>
        </w:rPr>
        <w:t> </w:t>
      </w:r>
      <w:r>
        <w:rPr/>
        <w:t>physical</w:t>
      </w:r>
      <w:r>
        <w:rPr>
          <w:spacing w:val="-13"/>
        </w:rPr>
        <w:t> </w:t>
      </w:r>
      <w:r>
        <w:rPr/>
        <w:t>possession</w:t>
      </w:r>
      <w:r>
        <w:rPr>
          <w:spacing w:val="-12"/>
        </w:rPr>
        <w:t> </w:t>
      </w:r>
      <w:r>
        <w:rPr/>
        <w:t>of</w:t>
      </w:r>
      <w:r>
        <w:rPr>
          <w:spacing w:val="-12"/>
        </w:rPr>
        <w:t> </w:t>
      </w:r>
      <w:r>
        <w:rPr/>
        <w:t>the</w:t>
      </w:r>
      <w:r>
        <w:rPr>
          <w:spacing w:val="-15"/>
        </w:rPr>
        <w:t> </w:t>
      </w:r>
      <w:r>
        <w:rPr/>
        <w:t>land</w:t>
      </w:r>
      <w:r>
        <w:rPr>
          <w:spacing w:val="-13"/>
        </w:rPr>
        <w:t> </w:t>
      </w:r>
      <w:r>
        <w:rPr/>
        <w:t>is</w:t>
      </w:r>
      <w:r>
        <w:rPr>
          <w:spacing w:val="-12"/>
        </w:rPr>
        <w:t> </w:t>
      </w:r>
      <w:r>
        <w:rPr/>
        <w:t>with</w:t>
      </w:r>
      <w:r>
        <w:rPr>
          <w:spacing w:val="-13"/>
        </w:rPr>
        <w:t> </w:t>
      </w:r>
      <w:r>
        <w:rPr/>
        <w:t>EEPL</w:t>
      </w:r>
      <w:r>
        <w:rPr>
          <w:spacing w:val="-12"/>
        </w:rPr>
        <w:t> </w:t>
      </w:r>
      <w:r>
        <w:rPr/>
        <w:t>and/or</w:t>
      </w:r>
      <w:r>
        <w:rPr>
          <w:spacing w:val="-13"/>
        </w:rPr>
        <w:t> </w:t>
      </w:r>
      <w:r>
        <w:rPr/>
        <w:t>its contractors</w:t>
      </w:r>
      <w:r>
        <w:rPr>
          <w:spacing w:val="-17"/>
        </w:rPr>
        <w:t> </w:t>
      </w:r>
      <w:r>
        <w:rPr/>
        <w:t>and</w:t>
      </w:r>
      <w:r>
        <w:rPr>
          <w:spacing w:val="-18"/>
        </w:rPr>
        <w:t> </w:t>
      </w:r>
      <w:r>
        <w:rPr/>
        <w:t>sub-contractors</w:t>
      </w:r>
      <w:r>
        <w:rPr>
          <w:spacing w:val="-17"/>
        </w:rPr>
        <w:t> </w:t>
      </w:r>
      <w:r>
        <w:rPr/>
        <w:t>and</w:t>
      </w:r>
      <w:r>
        <w:rPr>
          <w:spacing w:val="-17"/>
        </w:rPr>
        <w:t> </w:t>
      </w:r>
      <w:r>
        <w:rPr/>
        <w:t>that</w:t>
      </w:r>
      <w:r>
        <w:rPr>
          <w:spacing w:val="-17"/>
        </w:rPr>
        <w:t> </w:t>
      </w:r>
      <w:r>
        <w:rPr/>
        <w:t>the</w:t>
      </w:r>
      <w:r>
        <w:rPr>
          <w:spacing w:val="-19"/>
        </w:rPr>
        <w:t> </w:t>
      </w:r>
      <w:r>
        <w:rPr/>
        <w:t>solar</w:t>
      </w:r>
      <w:r>
        <w:rPr>
          <w:spacing w:val="-18"/>
        </w:rPr>
        <w:t> </w:t>
      </w:r>
      <w:r>
        <w:rPr/>
        <w:t>park</w:t>
      </w:r>
      <w:r>
        <w:rPr>
          <w:spacing w:val="-18"/>
        </w:rPr>
        <w:t> </w:t>
      </w:r>
      <w:r>
        <w:rPr/>
        <w:t>has</w:t>
      </w:r>
      <w:r>
        <w:rPr>
          <w:spacing w:val="-17"/>
        </w:rPr>
        <w:t> </w:t>
      </w:r>
      <w:r>
        <w:rPr/>
        <w:t>been</w:t>
      </w:r>
      <w:r>
        <w:rPr>
          <w:spacing w:val="-18"/>
        </w:rPr>
        <w:t> </w:t>
      </w:r>
      <w:r>
        <w:rPr/>
        <w:t>constructed</w:t>
      </w:r>
      <w:r>
        <w:rPr>
          <w:spacing w:val="-17"/>
        </w:rPr>
        <w:t> </w:t>
      </w:r>
      <w:r>
        <w:rPr/>
        <w:t>on</w:t>
      </w:r>
      <w:r>
        <w:rPr>
          <w:spacing w:val="-19"/>
        </w:rPr>
        <w:t> </w:t>
      </w:r>
      <w:r>
        <w:rPr/>
        <w:t>most</w:t>
      </w:r>
      <w:r>
        <w:rPr>
          <w:spacing w:val="-16"/>
        </w:rPr>
        <w:t> </w:t>
      </w:r>
      <w:r>
        <w:rPr/>
        <w:t>of</w:t>
      </w:r>
      <w:r>
        <w:rPr>
          <w:spacing w:val="-17"/>
        </w:rPr>
        <w:t> </w:t>
      </w:r>
      <w:r>
        <w:rPr/>
        <w:t>the</w:t>
      </w:r>
      <w:r>
        <w:rPr>
          <w:spacing w:val="-19"/>
        </w:rPr>
        <w:t> </w:t>
      </w:r>
      <w:r>
        <w:rPr/>
        <w:t>land.</w:t>
      </w:r>
      <w:r>
        <w:rPr>
          <w:spacing w:val="-17"/>
        </w:rPr>
        <w:t> </w:t>
      </w:r>
      <w:r>
        <w:rPr/>
        <w:t>It</w:t>
      </w:r>
      <w:r>
        <w:rPr>
          <w:spacing w:val="-17"/>
        </w:rPr>
        <w:t> </w:t>
      </w:r>
      <w:r>
        <w:rPr/>
        <w:t>is assumed</w:t>
      </w:r>
      <w:r>
        <w:rPr>
          <w:spacing w:val="-31"/>
        </w:rPr>
        <w:t> </w:t>
      </w:r>
      <w:r>
        <w:rPr/>
        <w:t>that</w:t>
      </w:r>
      <w:r>
        <w:rPr>
          <w:spacing w:val="-30"/>
        </w:rPr>
        <w:t> </w:t>
      </w:r>
      <w:r>
        <w:rPr/>
        <w:t>the</w:t>
      </w:r>
      <w:r>
        <w:rPr>
          <w:spacing w:val="-32"/>
        </w:rPr>
        <w:t> </w:t>
      </w:r>
      <w:r>
        <w:rPr/>
        <w:t>sale</w:t>
      </w:r>
      <w:r>
        <w:rPr>
          <w:spacing w:val="-32"/>
        </w:rPr>
        <w:t> </w:t>
      </w:r>
      <w:r>
        <w:rPr/>
        <w:t>and</w:t>
      </w:r>
      <w:r>
        <w:rPr>
          <w:spacing w:val="-31"/>
        </w:rPr>
        <w:t> </w:t>
      </w:r>
      <w:r>
        <w:rPr/>
        <w:t>conversion</w:t>
      </w:r>
      <w:r>
        <w:rPr>
          <w:spacing w:val="-32"/>
        </w:rPr>
        <w:t> </w:t>
      </w:r>
      <w:r>
        <w:rPr/>
        <w:t>would</w:t>
      </w:r>
      <w:r>
        <w:rPr>
          <w:spacing w:val="-31"/>
        </w:rPr>
        <w:t> </w:t>
      </w:r>
      <w:r>
        <w:rPr/>
        <w:t>be</w:t>
      </w:r>
      <w:r>
        <w:rPr>
          <w:spacing w:val="-32"/>
        </w:rPr>
        <w:t> </w:t>
      </w:r>
      <w:r>
        <w:rPr/>
        <w:t>successful</w:t>
      </w:r>
      <w:r>
        <w:rPr>
          <w:spacing w:val="-32"/>
        </w:rPr>
        <w:t> </w:t>
      </w:r>
      <w:r>
        <w:rPr/>
        <w:t>and</w:t>
      </w:r>
      <w:r>
        <w:rPr>
          <w:spacing w:val="-28"/>
        </w:rPr>
        <w:t> </w:t>
      </w:r>
      <w:r>
        <w:rPr/>
        <w:t>any</w:t>
      </w:r>
      <w:r>
        <w:rPr>
          <w:spacing w:val="-31"/>
        </w:rPr>
        <w:t> </w:t>
      </w:r>
      <w:r>
        <w:rPr/>
        <w:t>adverse</w:t>
      </w:r>
      <w:r>
        <w:rPr>
          <w:spacing w:val="-32"/>
        </w:rPr>
        <w:t> </w:t>
      </w:r>
      <w:r>
        <w:rPr/>
        <w:t>impact</w:t>
      </w:r>
      <w:r>
        <w:rPr>
          <w:spacing w:val="-30"/>
        </w:rPr>
        <w:t> </w:t>
      </w:r>
      <w:r>
        <w:rPr/>
        <w:t>has</w:t>
      </w:r>
      <w:r>
        <w:rPr>
          <w:spacing w:val="-31"/>
        </w:rPr>
        <w:t> </w:t>
      </w:r>
      <w:r>
        <w:rPr/>
        <w:t>not</w:t>
      </w:r>
      <w:r>
        <w:rPr>
          <w:spacing w:val="-30"/>
        </w:rPr>
        <w:t> </w:t>
      </w:r>
      <w:r>
        <w:rPr/>
        <w:t>been</w:t>
      </w:r>
      <w:r>
        <w:rPr>
          <w:spacing w:val="-32"/>
        </w:rPr>
        <w:t> </w:t>
      </w:r>
      <w:r>
        <w:rPr/>
        <w:t>factored in the</w:t>
      </w:r>
      <w:r>
        <w:rPr>
          <w:spacing w:val="-8"/>
        </w:rPr>
        <w:t> </w:t>
      </w:r>
      <w:r>
        <w:rPr/>
        <w:t>valuation.</w:t>
      </w:r>
    </w:p>
    <w:p>
      <w:pPr>
        <w:pStyle w:val="BodyText"/>
        <w:spacing w:before="8"/>
        <w:rPr>
          <w:sz w:val="21"/>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532"/>
        <w:gridCol w:w="3953"/>
      </w:tblGrid>
      <w:tr>
        <w:trPr>
          <w:trHeight w:val="277" w:hRule="atLeast"/>
        </w:trPr>
        <w:tc>
          <w:tcPr>
            <w:tcW w:w="6532" w:type="dxa"/>
            <w:tcBorders>
              <w:top w:val="single" w:sz="12" w:space="0" w:color="1B6B22"/>
              <w:bottom w:val="single" w:sz="8" w:space="0" w:color="69BD28"/>
            </w:tcBorders>
            <w:shd w:val="clear" w:color="auto" w:fill="006A4D"/>
          </w:tcPr>
          <w:p>
            <w:pPr>
              <w:pStyle w:val="TableParagraph"/>
              <w:spacing w:before="34"/>
              <w:ind w:left="2308" w:right="3314"/>
              <w:rPr>
                <w:b/>
                <w:sz w:val="18"/>
              </w:rPr>
            </w:pPr>
            <w:r>
              <w:rPr>
                <w:b/>
                <w:color w:val="FFFFFF"/>
                <w:w w:val="105"/>
                <w:sz w:val="18"/>
              </w:rPr>
              <w:t>Particular</w:t>
            </w:r>
          </w:p>
        </w:tc>
        <w:tc>
          <w:tcPr>
            <w:tcW w:w="3953" w:type="dxa"/>
            <w:tcBorders>
              <w:top w:val="single" w:sz="12" w:space="0" w:color="1B6B22"/>
              <w:bottom w:val="single" w:sz="8" w:space="0" w:color="69BD28"/>
            </w:tcBorders>
            <w:shd w:val="clear" w:color="auto" w:fill="006A4D"/>
          </w:tcPr>
          <w:p>
            <w:pPr>
              <w:pStyle w:val="TableParagraph"/>
              <w:spacing w:before="34"/>
              <w:ind w:left="884" w:right="1903"/>
              <w:rPr>
                <w:b/>
                <w:sz w:val="18"/>
              </w:rPr>
            </w:pPr>
            <w:r>
              <w:rPr>
                <w:b/>
                <w:color w:val="FFFFFF"/>
                <w:w w:val="110"/>
                <w:sz w:val="18"/>
              </w:rPr>
              <w:t>Area (acres)</w:t>
            </w:r>
          </w:p>
        </w:tc>
      </w:tr>
      <w:tr>
        <w:trPr>
          <w:trHeight w:val="277" w:hRule="atLeast"/>
        </w:trPr>
        <w:tc>
          <w:tcPr>
            <w:tcW w:w="6532" w:type="dxa"/>
            <w:tcBorders>
              <w:top w:val="single" w:sz="8" w:space="0" w:color="69BD28"/>
              <w:bottom w:val="single" w:sz="8" w:space="0" w:color="69BD28"/>
            </w:tcBorders>
          </w:tcPr>
          <w:p>
            <w:pPr>
              <w:pStyle w:val="TableParagraph"/>
              <w:spacing w:before="34"/>
              <w:ind w:left="1603"/>
              <w:jc w:val="left"/>
              <w:rPr>
                <w:sz w:val="18"/>
              </w:rPr>
            </w:pPr>
            <w:r>
              <w:rPr>
                <w:sz w:val="18"/>
              </w:rPr>
              <w:t>Total extent of identified Land</w:t>
            </w:r>
          </w:p>
        </w:tc>
        <w:tc>
          <w:tcPr>
            <w:tcW w:w="3953" w:type="dxa"/>
            <w:tcBorders>
              <w:top w:val="single" w:sz="8" w:space="0" w:color="69BD28"/>
              <w:bottom w:val="single" w:sz="8" w:space="0" w:color="69BD28"/>
            </w:tcBorders>
          </w:tcPr>
          <w:p>
            <w:pPr>
              <w:pStyle w:val="TableParagraph"/>
              <w:spacing w:before="34"/>
              <w:ind w:left="882" w:right="1903"/>
              <w:rPr>
                <w:sz w:val="18"/>
              </w:rPr>
            </w:pPr>
            <w:r>
              <w:rPr>
                <w:w w:val="110"/>
                <w:sz w:val="18"/>
              </w:rPr>
              <w:t>465.77</w:t>
            </w:r>
          </w:p>
        </w:tc>
      </w:tr>
      <w:tr>
        <w:trPr>
          <w:trHeight w:val="275" w:hRule="atLeast"/>
        </w:trPr>
        <w:tc>
          <w:tcPr>
            <w:tcW w:w="6532" w:type="dxa"/>
            <w:tcBorders>
              <w:top w:val="single" w:sz="8" w:space="0" w:color="69BD28"/>
              <w:bottom w:val="single" w:sz="8" w:space="0" w:color="69BD28"/>
            </w:tcBorders>
          </w:tcPr>
          <w:p>
            <w:pPr>
              <w:pStyle w:val="TableParagraph"/>
              <w:spacing w:before="34"/>
              <w:ind w:left="1363"/>
              <w:jc w:val="left"/>
              <w:rPr>
                <w:sz w:val="18"/>
              </w:rPr>
            </w:pPr>
            <w:r>
              <w:rPr>
                <w:sz w:val="18"/>
              </w:rPr>
              <w:t>Registered ATS and POA completed</w:t>
            </w:r>
          </w:p>
        </w:tc>
        <w:tc>
          <w:tcPr>
            <w:tcW w:w="3953" w:type="dxa"/>
            <w:tcBorders>
              <w:top w:val="single" w:sz="8" w:space="0" w:color="69BD28"/>
              <w:bottom w:val="single" w:sz="8" w:space="0" w:color="69BD28"/>
            </w:tcBorders>
          </w:tcPr>
          <w:p>
            <w:pPr>
              <w:pStyle w:val="TableParagraph"/>
              <w:spacing w:before="34"/>
              <w:ind w:left="882" w:right="1903"/>
              <w:rPr>
                <w:sz w:val="18"/>
              </w:rPr>
            </w:pPr>
            <w:r>
              <w:rPr>
                <w:w w:val="110"/>
                <w:sz w:val="18"/>
              </w:rPr>
              <w:t>465.77</w:t>
            </w:r>
          </w:p>
        </w:tc>
      </w:tr>
      <w:tr>
        <w:trPr>
          <w:trHeight w:val="278" w:hRule="atLeast"/>
        </w:trPr>
        <w:tc>
          <w:tcPr>
            <w:tcW w:w="6532" w:type="dxa"/>
            <w:tcBorders>
              <w:top w:val="single" w:sz="8" w:space="0" w:color="69BD28"/>
              <w:bottom w:val="single" w:sz="8" w:space="0" w:color="69BD28"/>
            </w:tcBorders>
          </w:tcPr>
          <w:p>
            <w:pPr>
              <w:pStyle w:val="TableParagraph"/>
              <w:spacing w:before="35"/>
              <w:ind w:left="1613"/>
              <w:jc w:val="left"/>
              <w:rPr>
                <w:sz w:val="18"/>
              </w:rPr>
            </w:pPr>
            <w:r>
              <w:rPr>
                <w:sz w:val="18"/>
              </w:rPr>
              <w:t>Applied for approval u/s 109</w:t>
            </w:r>
          </w:p>
        </w:tc>
        <w:tc>
          <w:tcPr>
            <w:tcW w:w="3953" w:type="dxa"/>
            <w:tcBorders>
              <w:top w:val="single" w:sz="8" w:space="0" w:color="69BD28"/>
              <w:bottom w:val="single" w:sz="8" w:space="0" w:color="69BD28"/>
            </w:tcBorders>
          </w:tcPr>
          <w:p>
            <w:pPr>
              <w:pStyle w:val="TableParagraph"/>
              <w:spacing w:before="35"/>
              <w:ind w:left="882" w:right="1903"/>
              <w:rPr>
                <w:sz w:val="18"/>
              </w:rPr>
            </w:pPr>
            <w:r>
              <w:rPr>
                <w:w w:val="110"/>
                <w:sz w:val="18"/>
              </w:rPr>
              <w:t>464.51</w:t>
            </w:r>
          </w:p>
        </w:tc>
      </w:tr>
      <w:tr>
        <w:trPr>
          <w:trHeight w:val="277" w:hRule="atLeast"/>
        </w:trPr>
        <w:tc>
          <w:tcPr>
            <w:tcW w:w="6532" w:type="dxa"/>
            <w:tcBorders>
              <w:top w:val="single" w:sz="8" w:space="0" w:color="69BD28"/>
              <w:bottom w:val="single" w:sz="8" w:space="0" w:color="69BD28"/>
            </w:tcBorders>
          </w:tcPr>
          <w:p>
            <w:pPr>
              <w:pStyle w:val="TableParagraph"/>
              <w:spacing w:before="34"/>
              <w:ind w:left="610"/>
              <w:jc w:val="left"/>
              <w:rPr>
                <w:sz w:val="18"/>
              </w:rPr>
            </w:pPr>
            <w:r>
              <w:rPr>
                <w:sz w:val="18"/>
              </w:rPr>
              <w:t>Extent of land approved/recommended by DC u/s 109</w:t>
            </w:r>
          </w:p>
        </w:tc>
        <w:tc>
          <w:tcPr>
            <w:tcW w:w="3953" w:type="dxa"/>
            <w:tcBorders>
              <w:top w:val="single" w:sz="8" w:space="0" w:color="69BD28"/>
              <w:bottom w:val="single" w:sz="8" w:space="0" w:color="69BD28"/>
            </w:tcBorders>
          </w:tcPr>
          <w:p>
            <w:pPr>
              <w:pStyle w:val="TableParagraph"/>
              <w:spacing w:before="34"/>
              <w:ind w:left="882" w:right="1903"/>
              <w:rPr>
                <w:sz w:val="18"/>
              </w:rPr>
            </w:pPr>
            <w:r>
              <w:rPr>
                <w:w w:val="110"/>
                <w:sz w:val="18"/>
              </w:rPr>
              <w:t>442.54</w:t>
            </w:r>
          </w:p>
        </w:tc>
      </w:tr>
      <w:tr>
        <w:trPr>
          <w:trHeight w:val="277" w:hRule="atLeast"/>
        </w:trPr>
        <w:tc>
          <w:tcPr>
            <w:tcW w:w="6532" w:type="dxa"/>
            <w:tcBorders>
              <w:top w:val="single" w:sz="8" w:space="0" w:color="69BD28"/>
              <w:bottom w:val="single" w:sz="8" w:space="0" w:color="69BD28"/>
            </w:tcBorders>
          </w:tcPr>
          <w:p>
            <w:pPr>
              <w:pStyle w:val="TableParagraph"/>
              <w:spacing w:before="34"/>
              <w:ind w:left="1507"/>
              <w:jc w:val="left"/>
              <w:rPr>
                <w:sz w:val="18"/>
              </w:rPr>
            </w:pPr>
            <w:r>
              <w:rPr>
                <w:sz w:val="18"/>
              </w:rPr>
              <w:t>Final approval received u/s 109</w:t>
            </w:r>
          </w:p>
        </w:tc>
        <w:tc>
          <w:tcPr>
            <w:tcW w:w="3953" w:type="dxa"/>
            <w:tcBorders>
              <w:top w:val="single" w:sz="8" w:space="0" w:color="69BD28"/>
              <w:bottom w:val="single" w:sz="8" w:space="0" w:color="69BD28"/>
            </w:tcBorders>
          </w:tcPr>
          <w:p>
            <w:pPr>
              <w:pStyle w:val="TableParagraph"/>
              <w:spacing w:before="34"/>
              <w:ind w:left="882" w:right="1903"/>
              <w:rPr>
                <w:sz w:val="18"/>
              </w:rPr>
            </w:pPr>
            <w:r>
              <w:rPr>
                <w:w w:val="110"/>
                <w:sz w:val="18"/>
              </w:rPr>
              <w:t>442.54</w:t>
            </w:r>
          </w:p>
        </w:tc>
      </w:tr>
      <w:tr>
        <w:trPr>
          <w:trHeight w:val="308" w:hRule="atLeast"/>
        </w:trPr>
        <w:tc>
          <w:tcPr>
            <w:tcW w:w="6532" w:type="dxa"/>
            <w:tcBorders>
              <w:top w:val="single" w:sz="8" w:space="0" w:color="69BD28"/>
              <w:bottom w:val="single" w:sz="8" w:space="0" w:color="69BD28"/>
            </w:tcBorders>
          </w:tcPr>
          <w:p>
            <w:pPr>
              <w:pStyle w:val="TableParagraph"/>
              <w:spacing w:before="49"/>
              <w:ind w:left="1385"/>
              <w:jc w:val="left"/>
              <w:rPr>
                <w:sz w:val="18"/>
              </w:rPr>
            </w:pPr>
            <w:r>
              <w:rPr>
                <w:sz w:val="18"/>
              </w:rPr>
              <w:t>Sale Deed executed favouring EEPL</w:t>
            </w:r>
          </w:p>
        </w:tc>
        <w:tc>
          <w:tcPr>
            <w:tcW w:w="3953" w:type="dxa"/>
            <w:tcBorders>
              <w:top w:val="single" w:sz="8" w:space="0" w:color="69BD28"/>
              <w:bottom w:val="single" w:sz="8" w:space="0" w:color="69BD28"/>
            </w:tcBorders>
          </w:tcPr>
          <w:p>
            <w:pPr>
              <w:pStyle w:val="TableParagraph"/>
              <w:spacing w:before="49"/>
              <w:ind w:left="882" w:right="1903"/>
              <w:rPr>
                <w:sz w:val="18"/>
              </w:rPr>
            </w:pPr>
            <w:r>
              <w:rPr>
                <w:w w:val="110"/>
                <w:sz w:val="18"/>
              </w:rPr>
              <w:t>254.47</w:t>
            </w:r>
          </w:p>
        </w:tc>
      </w:tr>
      <w:tr>
        <w:trPr>
          <w:trHeight w:val="214" w:hRule="atLeast"/>
        </w:trPr>
        <w:tc>
          <w:tcPr>
            <w:tcW w:w="6532" w:type="dxa"/>
            <w:tcBorders>
              <w:top w:val="single" w:sz="8" w:space="0" w:color="69BD28"/>
            </w:tcBorders>
          </w:tcPr>
          <w:p>
            <w:pPr>
              <w:pStyle w:val="TableParagraph"/>
              <w:spacing w:line="191" w:lineRule="exact" w:before="3"/>
              <w:ind w:left="14"/>
              <w:jc w:val="left"/>
              <w:rPr>
                <w:i/>
                <w:sz w:val="18"/>
              </w:rPr>
            </w:pPr>
            <w:r>
              <w:rPr>
                <w:i/>
                <w:sz w:val="18"/>
              </w:rPr>
              <w:t>Source: Client inputs; Section 109 of Karnataka Land Reforms Act, 1961</w:t>
            </w:r>
          </w:p>
        </w:tc>
        <w:tc>
          <w:tcPr>
            <w:tcW w:w="3953" w:type="dxa"/>
            <w:tcBorders>
              <w:top w:val="single" w:sz="8" w:space="0" w:color="69BD28"/>
            </w:tcBorders>
          </w:tcPr>
          <w:p>
            <w:pPr>
              <w:pStyle w:val="TableParagraph"/>
              <w:jc w:val="left"/>
              <w:rPr>
                <w:rFonts w:ascii="Times New Roman"/>
                <w:sz w:val="14"/>
              </w:rPr>
            </w:pPr>
          </w:p>
        </w:tc>
      </w:tr>
    </w:tbl>
    <w:p>
      <w:pPr>
        <w:pStyle w:val="BodyText"/>
        <w:spacing w:before="8"/>
        <w:rPr>
          <w:sz w:val="26"/>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76" w:id="734"/>
      <w:bookmarkEnd w:id="734"/>
      <w:r>
        <w:rPr/>
      </w:r>
      <w:bookmarkStart w:name="_bookmark376" w:id="735"/>
      <w:bookmarkEnd w:id="735"/>
      <w:r>
        <w:rPr>
          <w:color w:val="1F664D"/>
          <w:w w:val="105"/>
          <w:sz w:val="22"/>
        </w:rPr>
        <w:t>Town</w:t>
      </w:r>
      <w:r>
        <w:rPr>
          <w:color w:val="1F664D"/>
          <w:spacing w:val="-29"/>
          <w:w w:val="105"/>
          <w:sz w:val="22"/>
        </w:rPr>
        <w:t> </w:t>
      </w:r>
      <w:r>
        <w:rPr>
          <w:color w:val="1F664D"/>
          <w:w w:val="105"/>
          <w:sz w:val="22"/>
        </w:rPr>
        <w:t>Planning</w:t>
      </w:r>
    </w:p>
    <w:p>
      <w:pPr>
        <w:pStyle w:val="BodyText"/>
        <w:tabs>
          <w:tab w:pos="3299" w:val="left" w:leader="none"/>
        </w:tabs>
        <w:spacing w:line="321" w:lineRule="auto" w:before="205"/>
        <w:ind w:left="3299" w:right="698" w:hanging="1955"/>
        <w:jc w:val="both"/>
      </w:pPr>
      <w:r>
        <w:rPr/>
        <w:t>Zoning:</w:t>
        <w:tab/>
        <w:t>As</w:t>
      </w:r>
      <w:r>
        <w:rPr>
          <w:spacing w:val="-16"/>
        </w:rPr>
        <w:t> </w:t>
      </w:r>
      <w:r>
        <w:rPr/>
        <w:t>per</w:t>
      </w:r>
      <w:r>
        <w:rPr>
          <w:spacing w:val="-14"/>
        </w:rPr>
        <w:t> </w:t>
      </w:r>
      <w:r>
        <w:rPr/>
        <w:t>the</w:t>
      </w:r>
      <w:r>
        <w:rPr>
          <w:spacing w:val="-15"/>
        </w:rPr>
        <w:t> </w:t>
      </w:r>
      <w:r>
        <w:rPr/>
        <w:t>agreement</w:t>
      </w:r>
      <w:r>
        <w:rPr>
          <w:spacing w:val="-15"/>
        </w:rPr>
        <w:t> </w:t>
      </w:r>
      <w:r>
        <w:rPr/>
        <w:t>to</w:t>
      </w:r>
      <w:r>
        <w:rPr>
          <w:spacing w:val="-14"/>
        </w:rPr>
        <w:t> </w:t>
      </w:r>
      <w:r>
        <w:rPr/>
        <w:t>sell</w:t>
      </w:r>
      <w:r>
        <w:rPr>
          <w:spacing w:val="-15"/>
        </w:rPr>
        <w:t> </w:t>
      </w:r>
      <w:r>
        <w:rPr/>
        <w:t>(ATS)</w:t>
      </w:r>
      <w:r>
        <w:rPr>
          <w:spacing w:val="-12"/>
        </w:rPr>
        <w:t> </w:t>
      </w:r>
      <w:r>
        <w:rPr/>
        <w:t>and</w:t>
      </w:r>
      <w:r>
        <w:rPr>
          <w:spacing w:val="-16"/>
        </w:rPr>
        <w:t> </w:t>
      </w:r>
      <w:r>
        <w:rPr/>
        <w:t>title</w:t>
      </w:r>
      <w:r>
        <w:rPr>
          <w:spacing w:val="-14"/>
        </w:rPr>
        <w:t> </w:t>
      </w:r>
      <w:r>
        <w:rPr/>
        <w:t>due</w:t>
      </w:r>
      <w:r>
        <w:rPr>
          <w:spacing w:val="-14"/>
        </w:rPr>
        <w:t> </w:t>
      </w:r>
      <w:r>
        <w:rPr/>
        <w:t>diligence</w:t>
      </w:r>
      <w:r>
        <w:rPr>
          <w:spacing w:val="-14"/>
        </w:rPr>
        <w:t> </w:t>
      </w:r>
      <w:r>
        <w:rPr/>
        <w:t>report</w:t>
      </w:r>
      <w:r>
        <w:rPr>
          <w:spacing w:val="-14"/>
        </w:rPr>
        <w:t> </w:t>
      </w:r>
      <w:r>
        <w:rPr/>
        <w:t>provided</w:t>
      </w:r>
      <w:r>
        <w:rPr>
          <w:spacing w:val="-14"/>
        </w:rPr>
        <w:t> </w:t>
      </w:r>
      <w:r>
        <w:rPr/>
        <w:t>by</w:t>
      </w:r>
      <w:r>
        <w:rPr>
          <w:spacing w:val="-13"/>
        </w:rPr>
        <w:t> </w:t>
      </w:r>
      <w:r>
        <w:rPr/>
        <w:t>the Client,</w:t>
      </w:r>
      <w:r>
        <w:rPr>
          <w:spacing w:val="-7"/>
        </w:rPr>
        <w:t> </w:t>
      </w:r>
      <w:r>
        <w:rPr/>
        <w:t>it</w:t>
      </w:r>
      <w:r>
        <w:rPr>
          <w:spacing w:val="-6"/>
        </w:rPr>
        <w:t> </w:t>
      </w:r>
      <w:r>
        <w:rPr/>
        <w:t>is</w:t>
      </w:r>
      <w:r>
        <w:rPr>
          <w:spacing w:val="-5"/>
        </w:rPr>
        <w:t> </w:t>
      </w:r>
      <w:r>
        <w:rPr/>
        <w:t>understood</w:t>
      </w:r>
      <w:r>
        <w:rPr>
          <w:spacing w:val="-6"/>
        </w:rPr>
        <w:t> </w:t>
      </w:r>
      <w:r>
        <w:rPr/>
        <w:t>that</w:t>
      </w:r>
      <w:r>
        <w:rPr>
          <w:spacing w:val="-5"/>
        </w:rPr>
        <w:t> </w:t>
      </w:r>
      <w:r>
        <w:rPr/>
        <w:t>the</w:t>
      </w:r>
      <w:r>
        <w:rPr>
          <w:spacing w:val="-6"/>
        </w:rPr>
        <w:t> </w:t>
      </w:r>
      <w:r>
        <w:rPr/>
        <w:t>subject</w:t>
      </w:r>
      <w:r>
        <w:rPr>
          <w:spacing w:val="-6"/>
        </w:rPr>
        <w:t> </w:t>
      </w:r>
      <w:r>
        <w:rPr/>
        <w:t>property</w:t>
      </w:r>
      <w:r>
        <w:rPr>
          <w:spacing w:val="-6"/>
        </w:rPr>
        <w:t> </w:t>
      </w:r>
      <w:r>
        <w:rPr/>
        <w:t>is</w:t>
      </w:r>
      <w:r>
        <w:rPr>
          <w:spacing w:val="-5"/>
        </w:rPr>
        <w:t> </w:t>
      </w:r>
      <w:r>
        <w:rPr/>
        <w:t>zoned</w:t>
      </w:r>
      <w:r>
        <w:rPr>
          <w:spacing w:val="-6"/>
        </w:rPr>
        <w:t> </w:t>
      </w:r>
      <w:r>
        <w:rPr/>
        <w:t>for</w:t>
      </w:r>
      <w:r>
        <w:rPr>
          <w:spacing w:val="-3"/>
        </w:rPr>
        <w:t> </w:t>
      </w:r>
      <w:r>
        <w:rPr/>
        <w:t>‘Agriculture’</w:t>
      </w:r>
      <w:r>
        <w:rPr>
          <w:spacing w:val="-4"/>
        </w:rPr>
        <w:t> </w:t>
      </w:r>
      <w:r>
        <w:rPr/>
        <w:t>use. Further, as per the Government Order (dated March 28, 2016) along with an amendment of the same (dated September 8, 2017) provided by the Client, we understand that the company has obtained the necessary permission from the Government</w:t>
      </w:r>
      <w:r>
        <w:rPr>
          <w:spacing w:val="-18"/>
        </w:rPr>
        <w:t> </w:t>
      </w:r>
      <w:r>
        <w:rPr/>
        <w:t>of</w:t>
      </w:r>
      <w:r>
        <w:rPr>
          <w:spacing w:val="-17"/>
        </w:rPr>
        <w:t> </w:t>
      </w:r>
      <w:r>
        <w:rPr/>
        <w:t>Karnataka</w:t>
      </w:r>
      <w:r>
        <w:rPr>
          <w:spacing w:val="-17"/>
        </w:rPr>
        <w:t> </w:t>
      </w:r>
      <w:r>
        <w:rPr/>
        <w:t>for</w:t>
      </w:r>
      <w:r>
        <w:rPr>
          <w:spacing w:val="-17"/>
        </w:rPr>
        <w:t> </w:t>
      </w:r>
      <w:r>
        <w:rPr/>
        <w:t>setting</w:t>
      </w:r>
      <w:r>
        <w:rPr>
          <w:spacing w:val="-19"/>
        </w:rPr>
        <w:t> </w:t>
      </w:r>
      <w:r>
        <w:rPr/>
        <w:t>up</w:t>
      </w:r>
      <w:r>
        <w:rPr>
          <w:spacing w:val="-16"/>
        </w:rPr>
        <w:t> </w:t>
      </w:r>
      <w:r>
        <w:rPr/>
        <w:t>a</w:t>
      </w:r>
      <w:r>
        <w:rPr>
          <w:spacing w:val="-18"/>
        </w:rPr>
        <w:t> </w:t>
      </w:r>
      <w:r>
        <w:rPr/>
        <w:t>‘Solar</w:t>
      </w:r>
      <w:r>
        <w:rPr>
          <w:spacing w:val="-20"/>
        </w:rPr>
        <w:t> </w:t>
      </w:r>
      <w:r>
        <w:rPr/>
        <w:t>Power</w:t>
      </w:r>
      <w:r>
        <w:rPr>
          <w:spacing w:val="-17"/>
        </w:rPr>
        <w:t> </w:t>
      </w:r>
      <w:r>
        <w:rPr/>
        <w:t>Plant’</w:t>
      </w:r>
      <w:r>
        <w:rPr>
          <w:spacing w:val="-18"/>
        </w:rPr>
        <w:t> </w:t>
      </w:r>
      <w:r>
        <w:rPr/>
        <w:t>at</w:t>
      </w:r>
      <w:r>
        <w:rPr>
          <w:spacing w:val="-18"/>
        </w:rPr>
        <w:t> </w:t>
      </w:r>
      <w:r>
        <w:rPr/>
        <w:t>the</w:t>
      </w:r>
      <w:r>
        <w:rPr>
          <w:spacing w:val="-19"/>
        </w:rPr>
        <w:t> </w:t>
      </w:r>
      <w:r>
        <w:rPr/>
        <w:t>subject</w:t>
      </w:r>
      <w:r>
        <w:rPr>
          <w:spacing w:val="-17"/>
        </w:rPr>
        <w:t> </w:t>
      </w:r>
      <w:r>
        <w:rPr/>
        <w:t>land parcels. The same has been considered for the purpose of this valuation. The Consultants</w:t>
      </w:r>
      <w:r>
        <w:rPr>
          <w:spacing w:val="-3"/>
        </w:rPr>
        <w:t> </w:t>
      </w:r>
      <w:r>
        <w:rPr/>
        <w:t>have</w:t>
      </w:r>
      <w:r>
        <w:rPr>
          <w:spacing w:val="-4"/>
        </w:rPr>
        <w:t> </w:t>
      </w:r>
      <w:r>
        <w:rPr/>
        <w:t>made</w:t>
      </w:r>
      <w:r>
        <w:rPr>
          <w:spacing w:val="-7"/>
        </w:rPr>
        <w:t> </w:t>
      </w:r>
      <w:r>
        <w:rPr/>
        <w:t>no</w:t>
      </w:r>
      <w:r>
        <w:rPr>
          <w:spacing w:val="-5"/>
        </w:rPr>
        <w:t> </w:t>
      </w:r>
      <w:r>
        <w:rPr/>
        <w:t>further</w:t>
      </w:r>
      <w:r>
        <w:rPr>
          <w:spacing w:val="-4"/>
        </w:rPr>
        <w:t> </w:t>
      </w:r>
      <w:r>
        <w:rPr/>
        <w:t>inquiries</w:t>
      </w:r>
      <w:r>
        <w:rPr>
          <w:spacing w:val="-3"/>
        </w:rPr>
        <w:t> </w:t>
      </w:r>
      <w:r>
        <w:rPr/>
        <w:t>with</w:t>
      </w:r>
      <w:r>
        <w:rPr>
          <w:spacing w:val="-6"/>
        </w:rPr>
        <w:t> </w:t>
      </w:r>
      <w:r>
        <w:rPr/>
        <w:t>the</w:t>
      </w:r>
      <w:r>
        <w:rPr>
          <w:spacing w:val="-5"/>
        </w:rPr>
        <w:t> </w:t>
      </w:r>
      <w:r>
        <w:rPr/>
        <w:t>relevant</w:t>
      </w:r>
      <w:r>
        <w:rPr>
          <w:spacing w:val="-4"/>
        </w:rPr>
        <w:t> </w:t>
      </w:r>
      <w:r>
        <w:rPr/>
        <w:t>authorities</w:t>
      </w:r>
      <w:r>
        <w:rPr>
          <w:spacing w:val="-3"/>
        </w:rPr>
        <w:t> </w:t>
      </w:r>
      <w:r>
        <w:rPr/>
        <w:t>in</w:t>
      </w:r>
      <w:r>
        <w:rPr>
          <w:spacing w:val="-5"/>
        </w:rPr>
        <w:t> </w:t>
      </w:r>
      <w:r>
        <w:rPr/>
        <w:t>this regard.</w:t>
      </w:r>
    </w:p>
    <w:p>
      <w:pPr>
        <w:pStyle w:val="BodyText"/>
        <w:spacing w:line="321" w:lineRule="auto" w:before="126"/>
        <w:ind w:left="3299" w:right="702"/>
        <w:jc w:val="both"/>
      </w:pPr>
      <w:r>
        <w:rPr/>
        <w:t>The</w:t>
      </w:r>
      <w:r>
        <w:rPr>
          <w:spacing w:val="-23"/>
        </w:rPr>
        <w:t> </w:t>
      </w:r>
      <w:r>
        <w:rPr/>
        <w:t>permissible</w:t>
      </w:r>
      <w:r>
        <w:rPr>
          <w:spacing w:val="-22"/>
        </w:rPr>
        <w:t> </w:t>
      </w:r>
      <w:r>
        <w:rPr/>
        <w:t>land</w:t>
      </w:r>
      <w:r>
        <w:rPr>
          <w:spacing w:val="-21"/>
        </w:rPr>
        <w:t> </w:t>
      </w:r>
      <w:r>
        <w:rPr/>
        <w:t>use</w:t>
      </w:r>
      <w:r>
        <w:rPr>
          <w:spacing w:val="-24"/>
        </w:rPr>
        <w:t> </w:t>
      </w:r>
      <w:r>
        <w:rPr/>
        <w:t>adopted</w:t>
      </w:r>
      <w:r>
        <w:rPr>
          <w:spacing w:val="-21"/>
        </w:rPr>
        <w:t> </w:t>
      </w:r>
      <w:r>
        <w:rPr/>
        <w:t>by</w:t>
      </w:r>
      <w:r>
        <w:rPr>
          <w:spacing w:val="-18"/>
        </w:rPr>
        <w:t> </w:t>
      </w:r>
      <w:r>
        <w:rPr/>
        <w:t>the</w:t>
      </w:r>
      <w:r>
        <w:rPr>
          <w:spacing w:val="-24"/>
        </w:rPr>
        <w:t> </w:t>
      </w:r>
      <w:r>
        <w:rPr/>
        <w:t>Consultants</w:t>
      </w:r>
      <w:r>
        <w:rPr>
          <w:spacing w:val="-19"/>
        </w:rPr>
        <w:t> </w:t>
      </w:r>
      <w:r>
        <w:rPr/>
        <w:t>for</w:t>
      </w:r>
      <w:r>
        <w:rPr>
          <w:spacing w:val="-24"/>
        </w:rPr>
        <w:t> </w:t>
      </w:r>
      <w:r>
        <w:rPr/>
        <w:t>the</w:t>
      </w:r>
      <w:r>
        <w:rPr>
          <w:spacing w:val="-21"/>
        </w:rPr>
        <w:t> </w:t>
      </w:r>
      <w:r>
        <w:rPr/>
        <w:t>subject</w:t>
      </w:r>
      <w:r>
        <w:rPr>
          <w:spacing w:val="-21"/>
        </w:rPr>
        <w:t> </w:t>
      </w:r>
      <w:r>
        <w:rPr/>
        <w:t>property</w:t>
      </w:r>
      <w:r>
        <w:rPr>
          <w:spacing w:val="-20"/>
        </w:rPr>
        <w:t> </w:t>
      </w:r>
      <w:r>
        <w:rPr/>
        <w:t>has been</w:t>
      </w:r>
      <w:r>
        <w:rPr>
          <w:spacing w:val="-25"/>
        </w:rPr>
        <w:t> </w:t>
      </w:r>
      <w:r>
        <w:rPr/>
        <w:t>based</w:t>
      </w:r>
      <w:r>
        <w:rPr>
          <w:spacing w:val="-24"/>
        </w:rPr>
        <w:t> </w:t>
      </w:r>
      <w:r>
        <w:rPr/>
        <w:t>on</w:t>
      </w:r>
      <w:r>
        <w:rPr>
          <w:spacing w:val="-24"/>
        </w:rPr>
        <w:t> </w:t>
      </w:r>
      <w:r>
        <w:rPr/>
        <w:t>information/review</w:t>
      </w:r>
      <w:r>
        <w:rPr>
          <w:spacing w:val="-24"/>
        </w:rPr>
        <w:t> </w:t>
      </w:r>
      <w:r>
        <w:rPr/>
        <w:t>of</w:t>
      </w:r>
      <w:r>
        <w:rPr>
          <w:spacing w:val="-23"/>
        </w:rPr>
        <w:t> </w:t>
      </w:r>
      <w:r>
        <w:rPr/>
        <w:t>various</w:t>
      </w:r>
      <w:r>
        <w:rPr>
          <w:spacing w:val="-24"/>
        </w:rPr>
        <w:t> </w:t>
      </w:r>
      <w:r>
        <w:rPr/>
        <w:t>documents</w:t>
      </w:r>
      <w:r>
        <w:rPr>
          <w:spacing w:val="-22"/>
        </w:rPr>
        <w:t> </w:t>
      </w:r>
      <w:r>
        <w:rPr/>
        <w:t>provided</w:t>
      </w:r>
      <w:r>
        <w:rPr>
          <w:spacing w:val="-24"/>
        </w:rPr>
        <w:t> </w:t>
      </w:r>
      <w:r>
        <w:rPr/>
        <w:t>by</w:t>
      </w:r>
      <w:r>
        <w:rPr>
          <w:spacing w:val="-23"/>
        </w:rPr>
        <w:t> </w:t>
      </w:r>
      <w:r>
        <w:rPr/>
        <w:t>the</w:t>
      </w:r>
      <w:r>
        <w:rPr>
          <w:spacing w:val="-26"/>
        </w:rPr>
        <w:t> </w:t>
      </w:r>
      <w:r>
        <w:rPr/>
        <w:t>Client.</w:t>
      </w:r>
    </w:p>
    <w:p>
      <w:pPr>
        <w:spacing w:after="0" w:line="321" w:lineRule="auto"/>
        <w:jc w:val="both"/>
        <w:sectPr>
          <w:pgSz w:w="11910" w:h="16840"/>
          <w:pgMar w:header="720" w:footer="862" w:top="1660" w:bottom="1060" w:left="40" w:right="40"/>
        </w:sectPr>
      </w:pPr>
    </w:p>
    <w:p>
      <w:pPr>
        <w:pStyle w:val="BodyText"/>
        <w:spacing w:line="321" w:lineRule="auto" w:before="122"/>
        <w:ind w:left="1345" w:right="-18"/>
      </w:pPr>
      <w:r>
        <w:rPr/>
        <w:t>Approved Usage:</w:t>
      </w:r>
    </w:p>
    <w:p>
      <w:pPr>
        <w:pStyle w:val="BodyText"/>
        <w:spacing w:line="321" w:lineRule="auto" w:before="122"/>
        <w:ind w:left="984" w:right="699"/>
        <w:jc w:val="both"/>
      </w:pPr>
      <w:r>
        <w:rPr/>
        <w:br w:type="column"/>
      </w:r>
      <w:r>
        <w:rPr/>
        <w:t>Based on Commissioning Certificates (issued by Gulbarga Electricity Supply Company Limited dated February 7, 2018 and March 8, 2018) provided by the Client,</w:t>
      </w:r>
      <w:r>
        <w:rPr>
          <w:spacing w:val="-12"/>
        </w:rPr>
        <w:t> </w:t>
      </w:r>
      <w:r>
        <w:rPr/>
        <w:t>we</w:t>
      </w:r>
      <w:r>
        <w:rPr>
          <w:spacing w:val="-12"/>
        </w:rPr>
        <w:t> </w:t>
      </w:r>
      <w:r>
        <w:rPr/>
        <w:t>understand</w:t>
      </w:r>
      <w:r>
        <w:rPr>
          <w:spacing w:val="-11"/>
        </w:rPr>
        <w:t> </w:t>
      </w:r>
      <w:r>
        <w:rPr/>
        <w:t>that</w:t>
      </w:r>
      <w:r>
        <w:rPr>
          <w:spacing w:val="-12"/>
        </w:rPr>
        <w:t> </w:t>
      </w:r>
      <w:r>
        <w:rPr/>
        <w:t>the</w:t>
      </w:r>
      <w:r>
        <w:rPr>
          <w:spacing w:val="-12"/>
        </w:rPr>
        <w:t> </w:t>
      </w:r>
      <w:r>
        <w:rPr/>
        <w:t>subject</w:t>
      </w:r>
      <w:r>
        <w:rPr>
          <w:spacing w:val="-11"/>
        </w:rPr>
        <w:t> </w:t>
      </w:r>
      <w:r>
        <w:rPr/>
        <w:t>property</w:t>
      </w:r>
      <w:r>
        <w:rPr>
          <w:spacing w:val="-11"/>
        </w:rPr>
        <w:t> </w:t>
      </w:r>
      <w:r>
        <w:rPr/>
        <w:t>is</w:t>
      </w:r>
      <w:r>
        <w:rPr>
          <w:spacing w:val="-12"/>
        </w:rPr>
        <w:t> </w:t>
      </w:r>
      <w:r>
        <w:rPr/>
        <w:t>being</w:t>
      </w:r>
      <w:r>
        <w:rPr>
          <w:spacing w:val="-11"/>
        </w:rPr>
        <w:t> </w:t>
      </w:r>
      <w:r>
        <w:rPr/>
        <w:t>utilized</w:t>
      </w:r>
      <w:r>
        <w:rPr>
          <w:spacing w:val="-11"/>
        </w:rPr>
        <w:t> </w:t>
      </w:r>
      <w:r>
        <w:rPr/>
        <w:t>for</w:t>
      </w:r>
      <w:r>
        <w:rPr>
          <w:spacing w:val="-12"/>
        </w:rPr>
        <w:t> </w:t>
      </w:r>
      <w:r>
        <w:rPr/>
        <w:t>operating</w:t>
      </w:r>
      <w:r>
        <w:rPr>
          <w:spacing w:val="-10"/>
        </w:rPr>
        <w:t> </w:t>
      </w:r>
      <w:r>
        <w:rPr/>
        <w:t>a ‘Solar</w:t>
      </w:r>
      <w:r>
        <w:rPr>
          <w:spacing w:val="-38"/>
        </w:rPr>
        <w:t> </w:t>
      </w:r>
      <w:r>
        <w:rPr/>
        <w:t>Power</w:t>
      </w:r>
      <w:r>
        <w:rPr>
          <w:spacing w:val="-39"/>
        </w:rPr>
        <w:t> </w:t>
      </w:r>
      <w:r>
        <w:rPr/>
        <w:t>Plant’.</w:t>
      </w:r>
      <w:r>
        <w:rPr>
          <w:spacing w:val="-39"/>
        </w:rPr>
        <w:t> </w:t>
      </w:r>
      <w:r>
        <w:rPr/>
        <w:t>The</w:t>
      </w:r>
      <w:r>
        <w:rPr>
          <w:spacing w:val="-39"/>
        </w:rPr>
        <w:t> </w:t>
      </w:r>
      <w:r>
        <w:rPr/>
        <w:t>same</w:t>
      </w:r>
      <w:r>
        <w:rPr>
          <w:spacing w:val="-40"/>
        </w:rPr>
        <w:t> </w:t>
      </w:r>
      <w:r>
        <w:rPr/>
        <w:t>has</w:t>
      </w:r>
      <w:r>
        <w:rPr>
          <w:spacing w:val="-38"/>
        </w:rPr>
        <w:t> </w:t>
      </w:r>
      <w:r>
        <w:rPr/>
        <w:t>been</w:t>
      </w:r>
      <w:r>
        <w:rPr>
          <w:spacing w:val="-39"/>
        </w:rPr>
        <w:t> </w:t>
      </w:r>
      <w:r>
        <w:rPr/>
        <w:t>considered</w:t>
      </w:r>
      <w:r>
        <w:rPr>
          <w:spacing w:val="-38"/>
        </w:rPr>
        <w:t> </w:t>
      </w:r>
      <w:r>
        <w:rPr/>
        <w:t>for</w:t>
      </w:r>
      <w:r>
        <w:rPr>
          <w:spacing w:val="-40"/>
        </w:rPr>
        <w:t> </w:t>
      </w:r>
      <w:r>
        <w:rPr/>
        <w:t>the</w:t>
      </w:r>
      <w:r>
        <w:rPr>
          <w:spacing w:val="-39"/>
        </w:rPr>
        <w:t> </w:t>
      </w:r>
      <w:r>
        <w:rPr/>
        <w:t>purpose</w:t>
      </w:r>
      <w:r>
        <w:rPr>
          <w:spacing w:val="-39"/>
        </w:rPr>
        <w:t> </w:t>
      </w:r>
      <w:r>
        <w:rPr/>
        <w:t>of</w:t>
      </w:r>
      <w:r>
        <w:rPr>
          <w:spacing w:val="-38"/>
        </w:rPr>
        <w:t> </w:t>
      </w:r>
      <w:r>
        <w:rPr/>
        <w:t>this</w:t>
      </w:r>
      <w:r>
        <w:rPr>
          <w:spacing w:val="-39"/>
        </w:rPr>
        <w:t> </w:t>
      </w:r>
      <w:r>
        <w:rPr/>
        <w:t>exercise.</w:t>
      </w:r>
    </w:p>
    <w:p>
      <w:pPr>
        <w:spacing w:after="0" w:line="321" w:lineRule="auto"/>
        <w:jc w:val="both"/>
        <w:sectPr>
          <w:type w:val="continuous"/>
          <w:pgSz w:w="11910" w:h="16840"/>
          <w:pgMar w:top="800" w:bottom="280" w:left="40" w:right="40"/>
          <w:cols w:num="2" w:equalWidth="0">
            <w:col w:w="2276" w:space="40"/>
            <w:col w:w="9514"/>
          </w:cols>
        </w:sectPr>
      </w:pPr>
    </w:p>
    <w:p>
      <w:pPr>
        <w:pStyle w:val="BodyText"/>
        <w:tabs>
          <w:tab w:pos="3299" w:val="left" w:leader="none"/>
        </w:tabs>
        <w:spacing w:line="321" w:lineRule="auto" w:before="122"/>
        <w:ind w:left="3299" w:right="703" w:hanging="1955"/>
      </w:pPr>
      <w:r>
        <w:rPr>
          <w:w w:val="95"/>
        </w:rPr>
        <w:t>Restrictions:</w:t>
        <w:tab/>
      </w:r>
      <w:r>
        <w:rPr/>
        <w:t>As</w:t>
      </w:r>
      <w:r>
        <w:rPr>
          <w:spacing w:val="-25"/>
        </w:rPr>
        <w:t> </w:t>
      </w:r>
      <w:r>
        <w:rPr/>
        <w:t>per</w:t>
      </w:r>
      <w:r>
        <w:rPr>
          <w:spacing w:val="-25"/>
        </w:rPr>
        <w:t> </w:t>
      </w:r>
      <w:r>
        <w:rPr/>
        <w:t>feedback</w:t>
      </w:r>
      <w:r>
        <w:rPr>
          <w:spacing w:val="-24"/>
        </w:rPr>
        <w:t> </w:t>
      </w:r>
      <w:r>
        <w:rPr/>
        <w:t>received</w:t>
      </w:r>
      <w:r>
        <w:rPr>
          <w:spacing w:val="-24"/>
        </w:rPr>
        <w:t> </w:t>
      </w:r>
      <w:r>
        <w:rPr/>
        <w:t>from</w:t>
      </w:r>
      <w:r>
        <w:rPr>
          <w:spacing w:val="-25"/>
        </w:rPr>
        <w:t> </w:t>
      </w:r>
      <w:r>
        <w:rPr/>
        <w:t>the</w:t>
      </w:r>
      <w:r>
        <w:rPr>
          <w:spacing w:val="-24"/>
        </w:rPr>
        <w:t> </w:t>
      </w:r>
      <w:r>
        <w:rPr/>
        <w:t>Client,</w:t>
      </w:r>
      <w:r>
        <w:rPr>
          <w:spacing w:val="-24"/>
        </w:rPr>
        <w:t> </w:t>
      </w:r>
      <w:r>
        <w:rPr/>
        <w:t>there</w:t>
      </w:r>
      <w:r>
        <w:rPr>
          <w:spacing w:val="-24"/>
        </w:rPr>
        <w:t> </w:t>
      </w:r>
      <w:r>
        <w:rPr/>
        <w:t>are</w:t>
      </w:r>
      <w:r>
        <w:rPr>
          <w:spacing w:val="-21"/>
        </w:rPr>
        <w:t> </w:t>
      </w:r>
      <w:r>
        <w:rPr/>
        <w:t>no</w:t>
      </w:r>
      <w:r>
        <w:rPr>
          <w:spacing w:val="-25"/>
        </w:rPr>
        <w:t> </w:t>
      </w:r>
      <w:r>
        <w:rPr/>
        <w:t>restrictions</w:t>
      </w:r>
      <w:r>
        <w:rPr>
          <w:spacing w:val="-24"/>
        </w:rPr>
        <w:t> </w:t>
      </w:r>
      <w:r>
        <w:rPr/>
        <w:t>on</w:t>
      </w:r>
      <w:r>
        <w:rPr>
          <w:spacing w:val="-23"/>
        </w:rPr>
        <w:t> </w:t>
      </w:r>
      <w:r>
        <w:rPr/>
        <w:t>the</w:t>
      </w:r>
      <w:r>
        <w:rPr>
          <w:spacing w:val="-25"/>
        </w:rPr>
        <w:t> </w:t>
      </w:r>
      <w:r>
        <w:rPr/>
        <w:t>current use of the</w:t>
      </w:r>
      <w:r>
        <w:rPr>
          <w:spacing w:val="-10"/>
        </w:rPr>
        <w:t> </w:t>
      </w:r>
      <w:r>
        <w:rPr/>
        <w:t>property.</w:t>
      </w:r>
    </w:p>
    <w:p>
      <w:pPr>
        <w:spacing w:after="0" w:line="321" w:lineRule="auto"/>
        <w:sectPr>
          <w:type w:val="continuous"/>
          <w:pgSz w:w="11910" w:h="16840"/>
          <w:pgMar w:top="800" w:bottom="280" w:left="40" w:right="40"/>
        </w:sectPr>
      </w:pPr>
    </w:p>
    <w:p>
      <w:pPr>
        <w:pStyle w:val="BodyText"/>
        <w:tabs>
          <w:tab w:pos="2796" w:val="left" w:leader="none"/>
        </w:tabs>
        <w:spacing w:line="321" w:lineRule="auto" w:before="122"/>
        <w:ind w:left="1345"/>
      </w:pPr>
      <w:r>
        <w:rPr/>
        <w:t>Natural</w:t>
        <w:tab/>
      </w:r>
      <w:r>
        <w:rPr>
          <w:spacing w:val="-10"/>
        </w:rPr>
        <w:t>or </w:t>
      </w:r>
      <w:r>
        <w:rPr/>
        <w:t>induced</w:t>
      </w:r>
      <w:r>
        <w:rPr>
          <w:spacing w:val="-14"/>
        </w:rPr>
        <w:t> </w:t>
      </w:r>
      <w:r>
        <w:rPr>
          <w:spacing w:val="-3"/>
        </w:rPr>
        <w:t>hazards:</w:t>
      </w:r>
    </w:p>
    <w:p>
      <w:pPr>
        <w:pStyle w:val="BodyText"/>
        <w:spacing w:line="321" w:lineRule="auto" w:before="122"/>
        <w:ind w:left="258" w:right="698"/>
      </w:pPr>
      <w:r>
        <w:rPr/>
        <w:br w:type="column"/>
      </w:r>
      <w:r>
        <w:rPr/>
        <w:t>We</w:t>
      </w:r>
      <w:r>
        <w:rPr>
          <w:spacing w:val="-46"/>
        </w:rPr>
        <w:t> </w:t>
      </w:r>
      <w:r>
        <w:rPr/>
        <w:t>are</w:t>
      </w:r>
      <w:r>
        <w:rPr>
          <w:spacing w:val="-46"/>
        </w:rPr>
        <w:t> </w:t>
      </w:r>
      <w:r>
        <w:rPr/>
        <w:t>of</w:t>
      </w:r>
      <w:r>
        <w:rPr>
          <w:spacing w:val="-45"/>
        </w:rPr>
        <w:t> </w:t>
      </w:r>
      <w:r>
        <w:rPr/>
        <w:t>the</w:t>
      </w:r>
      <w:r>
        <w:rPr>
          <w:spacing w:val="-46"/>
        </w:rPr>
        <w:t> </w:t>
      </w:r>
      <w:r>
        <w:rPr/>
        <w:t>opinion</w:t>
      </w:r>
      <w:r>
        <w:rPr>
          <w:spacing w:val="-46"/>
        </w:rPr>
        <w:t> </w:t>
      </w:r>
      <w:r>
        <w:rPr/>
        <w:t>that</w:t>
      </w:r>
      <w:r>
        <w:rPr>
          <w:spacing w:val="-45"/>
        </w:rPr>
        <w:t> </w:t>
      </w:r>
      <w:r>
        <w:rPr/>
        <w:t>the</w:t>
      </w:r>
      <w:r>
        <w:rPr>
          <w:spacing w:val="-46"/>
        </w:rPr>
        <w:t> </w:t>
      </w:r>
      <w:r>
        <w:rPr/>
        <w:t>project/</w:t>
      </w:r>
      <w:r>
        <w:rPr>
          <w:spacing w:val="-45"/>
        </w:rPr>
        <w:t> </w:t>
      </w:r>
      <w:r>
        <w:rPr/>
        <w:t>site</w:t>
      </w:r>
      <w:r>
        <w:rPr>
          <w:spacing w:val="-46"/>
        </w:rPr>
        <w:t> </w:t>
      </w:r>
      <w:r>
        <w:rPr/>
        <w:t>has</w:t>
      </w:r>
      <w:r>
        <w:rPr>
          <w:spacing w:val="-46"/>
        </w:rPr>
        <w:t> </w:t>
      </w:r>
      <w:r>
        <w:rPr/>
        <w:t>been</w:t>
      </w:r>
      <w:r>
        <w:rPr>
          <w:spacing w:val="-46"/>
        </w:rPr>
        <w:t> </w:t>
      </w:r>
      <w:r>
        <w:rPr/>
        <w:t>developed</w:t>
      </w:r>
      <w:r>
        <w:rPr>
          <w:spacing w:val="-45"/>
        </w:rPr>
        <w:t> </w:t>
      </w:r>
      <w:r>
        <w:rPr/>
        <w:t>to</w:t>
      </w:r>
      <w:r>
        <w:rPr>
          <w:spacing w:val="-47"/>
        </w:rPr>
        <w:t> </w:t>
      </w:r>
      <w:r>
        <w:rPr/>
        <w:t>withstand</w:t>
      </w:r>
      <w:r>
        <w:rPr>
          <w:spacing w:val="-45"/>
        </w:rPr>
        <w:t> </w:t>
      </w:r>
      <w:r>
        <w:rPr/>
        <w:t>natural or</w:t>
      </w:r>
      <w:r>
        <w:rPr>
          <w:spacing w:val="-30"/>
        </w:rPr>
        <w:t> </w:t>
      </w:r>
      <w:r>
        <w:rPr/>
        <w:t>induced</w:t>
      </w:r>
      <w:r>
        <w:rPr>
          <w:spacing w:val="-29"/>
        </w:rPr>
        <w:t> </w:t>
      </w:r>
      <w:r>
        <w:rPr/>
        <w:t>hazards</w:t>
      </w:r>
      <w:r>
        <w:rPr>
          <w:spacing w:val="-30"/>
        </w:rPr>
        <w:t> </w:t>
      </w:r>
      <w:r>
        <w:rPr/>
        <w:t>(with</w:t>
      </w:r>
      <w:r>
        <w:rPr>
          <w:spacing w:val="-32"/>
        </w:rPr>
        <w:t> </w:t>
      </w:r>
      <w:r>
        <w:rPr/>
        <w:t>the</w:t>
      </w:r>
      <w:r>
        <w:rPr>
          <w:spacing w:val="-29"/>
        </w:rPr>
        <w:t> </w:t>
      </w:r>
      <w:r>
        <w:rPr/>
        <w:t>exception</w:t>
      </w:r>
      <w:r>
        <w:rPr>
          <w:spacing w:val="-30"/>
        </w:rPr>
        <w:t> </w:t>
      </w:r>
      <w:r>
        <w:rPr/>
        <w:t>of</w:t>
      </w:r>
      <w:r>
        <w:rPr>
          <w:spacing w:val="-30"/>
        </w:rPr>
        <w:t> </w:t>
      </w:r>
      <w:r>
        <w:rPr/>
        <w:t>extreme/</w:t>
      </w:r>
      <w:r>
        <w:rPr>
          <w:spacing w:val="-31"/>
        </w:rPr>
        <w:t> </w:t>
      </w:r>
      <w:r>
        <w:rPr/>
        <w:t>out</w:t>
      </w:r>
      <w:r>
        <w:rPr>
          <w:spacing w:val="-29"/>
        </w:rPr>
        <w:t> </w:t>
      </w:r>
      <w:r>
        <w:rPr/>
        <w:t>of</w:t>
      </w:r>
      <w:r>
        <w:rPr>
          <w:spacing w:val="-30"/>
        </w:rPr>
        <w:t> </w:t>
      </w:r>
      <w:r>
        <w:rPr/>
        <w:t>the</w:t>
      </w:r>
      <w:r>
        <w:rPr>
          <w:spacing w:val="-30"/>
        </w:rPr>
        <w:t> </w:t>
      </w:r>
      <w:r>
        <w:rPr/>
        <w:t>ordinary</w:t>
      </w:r>
      <w:r>
        <w:rPr>
          <w:spacing w:val="-29"/>
        </w:rPr>
        <w:t> </w:t>
      </w:r>
      <w:r>
        <w:rPr/>
        <w:t>hazards).</w:t>
      </w:r>
    </w:p>
    <w:p>
      <w:pPr>
        <w:spacing w:after="0" w:line="321" w:lineRule="auto"/>
        <w:sectPr>
          <w:type w:val="continuous"/>
          <w:pgSz w:w="11910" w:h="16840"/>
          <w:pgMar w:top="800" w:bottom="280" w:left="40" w:right="40"/>
          <w:cols w:num="2" w:equalWidth="0">
            <w:col w:w="3002" w:space="40"/>
            <w:col w:w="8788"/>
          </w:cols>
        </w:sectPr>
      </w:pPr>
    </w:p>
    <w:p>
      <w:pPr>
        <w:pStyle w:val="BodyText"/>
        <w:spacing w:before="7"/>
        <w:rPr>
          <w:sz w:val="9"/>
        </w:rPr>
      </w:pPr>
    </w:p>
    <w:p>
      <w:pPr>
        <w:pStyle w:val="ListParagraph"/>
        <w:numPr>
          <w:ilvl w:val="2"/>
          <w:numId w:val="14"/>
        </w:numPr>
        <w:tabs>
          <w:tab w:pos="1401" w:val="left" w:leader="none"/>
        </w:tabs>
        <w:spacing w:line="240" w:lineRule="auto" w:before="106" w:after="0"/>
        <w:ind w:left="1400" w:right="0" w:hanging="721"/>
        <w:jc w:val="left"/>
        <w:rPr>
          <w:sz w:val="22"/>
        </w:rPr>
      </w:pPr>
      <w:bookmarkStart w:name="_bookmark377" w:id="736"/>
      <w:bookmarkEnd w:id="736"/>
      <w:r>
        <w:rPr/>
      </w:r>
      <w:bookmarkStart w:name="_bookmark377" w:id="737"/>
      <w:bookmarkEnd w:id="737"/>
      <w:r>
        <w:rPr>
          <w:color w:val="1F664D"/>
          <w:sz w:val="22"/>
        </w:rPr>
        <w:t>S</w:t>
      </w:r>
      <w:r>
        <w:rPr>
          <w:color w:val="1F664D"/>
          <w:sz w:val="22"/>
        </w:rPr>
        <w:t>tatutory Approvals, One Time Sanctions &amp; Periodic Clearances</w:t>
      </w:r>
    </w:p>
    <w:p>
      <w:pPr>
        <w:pStyle w:val="BodyText"/>
        <w:spacing w:before="208"/>
        <w:ind w:left="1246"/>
      </w:pPr>
      <w:r>
        <w:rPr/>
        <w:t>Please refer section 18.3 on Statutory Approvals, One time Sanctions &amp; Periodic Clearances</w:t>
      </w:r>
    </w:p>
    <w:p>
      <w:pPr>
        <w:pStyle w:val="BodyText"/>
        <w:spacing w:before="2"/>
        <w:rPr>
          <w:sz w:val="28"/>
        </w:rPr>
      </w:pPr>
    </w:p>
    <w:p>
      <w:pPr>
        <w:pStyle w:val="ListParagraph"/>
        <w:numPr>
          <w:ilvl w:val="2"/>
          <w:numId w:val="14"/>
        </w:numPr>
        <w:tabs>
          <w:tab w:pos="1401" w:val="left" w:leader="none"/>
        </w:tabs>
        <w:spacing w:line="240" w:lineRule="auto" w:before="1" w:after="0"/>
        <w:ind w:left="1400" w:right="0" w:hanging="721"/>
        <w:jc w:val="left"/>
        <w:rPr>
          <w:sz w:val="22"/>
        </w:rPr>
      </w:pPr>
      <w:bookmarkStart w:name="_bookmark378" w:id="738"/>
      <w:bookmarkEnd w:id="738"/>
      <w:r>
        <w:rPr/>
      </w:r>
      <w:bookmarkStart w:name="_bookmark378" w:id="739"/>
      <w:bookmarkEnd w:id="739"/>
      <w:r>
        <w:rPr>
          <w:color w:val="1F664D"/>
          <w:sz w:val="22"/>
        </w:rPr>
        <w:t>S</w:t>
      </w:r>
      <w:r>
        <w:rPr>
          <w:color w:val="1F664D"/>
          <w:sz w:val="22"/>
        </w:rPr>
        <w:t>olar Power Plant</w:t>
      </w:r>
      <w:r>
        <w:rPr>
          <w:color w:val="1F664D"/>
          <w:spacing w:val="-1"/>
          <w:sz w:val="22"/>
        </w:rPr>
        <w:t> </w:t>
      </w:r>
      <w:r>
        <w:rPr>
          <w:color w:val="1F664D"/>
          <w:sz w:val="22"/>
        </w:rPr>
        <w:t>Details</w:t>
      </w:r>
    </w:p>
    <w:p>
      <w:pPr>
        <w:pStyle w:val="BodyText"/>
        <w:spacing w:before="205"/>
        <w:ind w:left="1220"/>
      </w:pPr>
      <w:r>
        <w:rPr/>
        <w:t>The table below highlights the key details for the subject power plant:</w:t>
      </w:r>
    </w:p>
    <w:p>
      <w:pPr>
        <w:pStyle w:val="BodyText"/>
        <w:spacing w:before="6"/>
        <w:rPr>
          <w:sz w:val="17"/>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75"/>
        <w:gridCol w:w="7410"/>
      </w:tblGrid>
      <w:tr>
        <w:trPr>
          <w:trHeight w:val="423" w:hRule="atLeast"/>
        </w:trPr>
        <w:tc>
          <w:tcPr>
            <w:tcW w:w="10485" w:type="dxa"/>
            <w:gridSpan w:val="2"/>
            <w:tcBorders>
              <w:top w:val="single" w:sz="12" w:space="0" w:color="1F6B16"/>
              <w:bottom w:val="single" w:sz="6" w:space="0" w:color="69BD28"/>
            </w:tcBorders>
            <w:shd w:val="clear" w:color="auto" w:fill="006A4D"/>
          </w:tcPr>
          <w:p>
            <w:pPr>
              <w:pStyle w:val="TableParagraph"/>
              <w:tabs>
                <w:tab w:pos="6464" w:val="left" w:leader="none"/>
              </w:tabs>
              <w:spacing w:before="97"/>
              <w:ind w:left="1094"/>
              <w:jc w:val="left"/>
              <w:rPr>
                <w:b/>
                <w:sz w:val="18"/>
              </w:rPr>
            </w:pPr>
            <w:r>
              <w:rPr>
                <w:color w:val="FFFFFF"/>
                <w:sz w:val="20"/>
              </w:rPr>
              <w:t>Particulars</w:t>
              <w:tab/>
            </w:r>
            <w:r>
              <w:rPr>
                <w:b/>
                <w:color w:val="FFFFFF"/>
                <w:position w:val="1"/>
                <w:sz w:val="18"/>
              </w:rPr>
              <w:t>Details</w:t>
            </w:r>
          </w:p>
        </w:tc>
      </w:tr>
      <w:tr>
        <w:trPr>
          <w:trHeight w:val="539" w:hRule="atLeast"/>
        </w:trPr>
        <w:tc>
          <w:tcPr>
            <w:tcW w:w="3075" w:type="dxa"/>
            <w:shd w:val="clear" w:color="auto" w:fill="69BD28"/>
          </w:tcPr>
          <w:p>
            <w:pPr>
              <w:pStyle w:val="TableParagraph"/>
              <w:spacing w:before="166"/>
              <w:ind w:left="110" w:right="97"/>
              <w:rPr>
                <w:b/>
                <w:sz w:val="18"/>
              </w:rPr>
            </w:pPr>
            <w:r>
              <w:rPr>
                <w:b/>
                <w:color w:val="FFFFFF"/>
                <w:w w:val="110"/>
                <w:sz w:val="18"/>
              </w:rPr>
              <w:t>Land Area</w:t>
            </w:r>
          </w:p>
        </w:tc>
        <w:tc>
          <w:tcPr>
            <w:tcW w:w="7410" w:type="dxa"/>
            <w:tcBorders>
              <w:top w:val="single" w:sz="6" w:space="0" w:color="69BD28"/>
              <w:bottom w:val="single" w:sz="6" w:space="0" w:color="69BD28"/>
            </w:tcBorders>
          </w:tcPr>
          <w:p>
            <w:pPr>
              <w:pStyle w:val="TableParagraph"/>
              <w:spacing w:before="166"/>
              <w:ind w:left="1594" w:right="1593"/>
              <w:rPr>
                <w:sz w:val="18"/>
              </w:rPr>
            </w:pPr>
            <w:r>
              <w:rPr>
                <w:sz w:val="18"/>
              </w:rPr>
              <w:t>Approximately 465.77 acres</w:t>
            </w:r>
          </w:p>
        </w:tc>
      </w:tr>
      <w:tr>
        <w:trPr>
          <w:trHeight w:val="511" w:hRule="atLeast"/>
        </w:trPr>
        <w:tc>
          <w:tcPr>
            <w:tcW w:w="3075" w:type="dxa"/>
            <w:shd w:val="clear" w:color="auto" w:fill="69BD28"/>
          </w:tcPr>
          <w:p>
            <w:pPr>
              <w:pStyle w:val="TableParagraph"/>
              <w:spacing w:before="153"/>
              <w:ind w:left="110" w:right="95"/>
              <w:rPr>
                <w:b/>
                <w:sz w:val="18"/>
              </w:rPr>
            </w:pPr>
            <w:r>
              <w:rPr>
                <w:b/>
                <w:color w:val="FFFFFF"/>
                <w:w w:val="110"/>
                <w:sz w:val="18"/>
              </w:rPr>
              <w:t>Plant Installed Capacity</w:t>
            </w:r>
          </w:p>
        </w:tc>
        <w:tc>
          <w:tcPr>
            <w:tcW w:w="7410" w:type="dxa"/>
            <w:tcBorders>
              <w:top w:val="single" w:sz="6" w:space="0" w:color="69BD28"/>
              <w:bottom w:val="single" w:sz="6" w:space="0" w:color="69BD28"/>
            </w:tcBorders>
          </w:tcPr>
          <w:p>
            <w:pPr>
              <w:pStyle w:val="TableParagraph"/>
              <w:spacing w:before="150"/>
              <w:ind w:left="1593" w:right="1594"/>
              <w:rPr>
                <w:sz w:val="18"/>
              </w:rPr>
            </w:pPr>
            <w:r>
              <w:rPr>
                <w:w w:val="115"/>
                <w:sz w:val="18"/>
              </w:rPr>
              <w:t>130 MW DC</w:t>
            </w:r>
          </w:p>
        </w:tc>
      </w:tr>
      <w:tr>
        <w:trPr>
          <w:trHeight w:val="510" w:hRule="atLeast"/>
        </w:trPr>
        <w:tc>
          <w:tcPr>
            <w:tcW w:w="3075" w:type="dxa"/>
            <w:shd w:val="clear" w:color="auto" w:fill="69BD28"/>
          </w:tcPr>
          <w:p>
            <w:pPr>
              <w:pStyle w:val="TableParagraph"/>
              <w:spacing w:before="152"/>
              <w:ind w:left="110" w:right="95"/>
              <w:rPr>
                <w:b/>
                <w:sz w:val="18"/>
              </w:rPr>
            </w:pPr>
            <w:r>
              <w:rPr>
                <w:b/>
                <w:color w:val="FFFFFF"/>
                <w:w w:val="105"/>
                <w:sz w:val="18"/>
              </w:rPr>
              <w:t>Plant Output</w:t>
            </w:r>
          </w:p>
        </w:tc>
        <w:tc>
          <w:tcPr>
            <w:tcW w:w="7410" w:type="dxa"/>
            <w:tcBorders>
              <w:top w:val="single" w:sz="6" w:space="0" w:color="69BD28"/>
              <w:bottom w:val="single" w:sz="6" w:space="0" w:color="69BD28"/>
            </w:tcBorders>
          </w:tcPr>
          <w:p>
            <w:pPr>
              <w:pStyle w:val="TableParagraph"/>
              <w:spacing w:before="152"/>
              <w:ind w:left="1593" w:right="1594"/>
              <w:rPr>
                <w:sz w:val="18"/>
              </w:rPr>
            </w:pPr>
            <w:r>
              <w:rPr>
                <w:w w:val="115"/>
                <w:sz w:val="18"/>
              </w:rPr>
              <w:t>100 MW AC</w:t>
            </w:r>
          </w:p>
        </w:tc>
      </w:tr>
      <w:tr>
        <w:trPr>
          <w:trHeight w:val="529" w:hRule="atLeast"/>
        </w:trPr>
        <w:tc>
          <w:tcPr>
            <w:tcW w:w="3075" w:type="dxa"/>
            <w:shd w:val="clear" w:color="auto" w:fill="69BD28"/>
          </w:tcPr>
          <w:p>
            <w:pPr>
              <w:pStyle w:val="TableParagraph"/>
              <w:spacing w:before="162"/>
              <w:ind w:left="110" w:right="100"/>
              <w:rPr>
                <w:b/>
                <w:sz w:val="18"/>
              </w:rPr>
            </w:pPr>
            <w:r>
              <w:rPr>
                <w:b/>
                <w:color w:val="FFFFFF"/>
                <w:w w:val="105"/>
                <w:sz w:val="18"/>
              </w:rPr>
              <w:t>Electricity Units to be produced</w:t>
            </w:r>
          </w:p>
        </w:tc>
        <w:tc>
          <w:tcPr>
            <w:tcW w:w="7410" w:type="dxa"/>
            <w:tcBorders>
              <w:top w:val="single" w:sz="6" w:space="0" w:color="69BD28"/>
              <w:bottom w:val="single" w:sz="6" w:space="0" w:color="69BD28"/>
            </w:tcBorders>
          </w:tcPr>
          <w:p>
            <w:pPr>
              <w:pStyle w:val="TableParagraph"/>
              <w:spacing w:line="247" w:lineRule="auto" w:before="54"/>
              <w:ind w:left="960" w:hanging="483"/>
              <w:jc w:val="left"/>
              <w:rPr>
                <w:sz w:val="18"/>
              </w:rPr>
            </w:pPr>
            <w:r>
              <w:rPr>
                <w:sz w:val="18"/>
              </w:rPr>
              <w:t>Approx.</w:t>
            </w:r>
            <w:r>
              <w:rPr>
                <w:spacing w:val="-20"/>
                <w:sz w:val="18"/>
              </w:rPr>
              <w:t> </w:t>
            </w:r>
            <w:r>
              <w:rPr>
                <w:sz w:val="18"/>
              </w:rPr>
              <w:t>215</w:t>
            </w:r>
            <w:r>
              <w:rPr>
                <w:spacing w:val="-20"/>
                <w:sz w:val="18"/>
              </w:rPr>
              <w:t> </w:t>
            </w:r>
            <w:r>
              <w:rPr>
                <w:sz w:val="18"/>
              </w:rPr>
              <w:t>Million</w:t>
            </w:r>
            <w:r>
              <w:rPr>
                <w:spacing w:val="-19"/>
                <w:sz w:val="18"/>
              </w:rPr>
              <w:t> </w:t>
            </w:r>
            <w:r>
              <w:rPr>
                <w:sz w:val="18"/>
              </w:rPr>
              <w:t>Units</w:t>
            </w:r>
            <w:r>
              <w:rPr>
                <w:spacing w:val="-19"/>
                <w:sz w:val="18"/>
              </w:rPr>
              <w:t> </w:t>
            </w:r>
            <w:r>
              <w:rPr>
                <w:sz w:val="18"/>
              </w:rPr>
              <w:t>(MU)</w:t>
            </w:r>
            <w:r>
              <w:rPr>
                <w:spacing w:val="-21"/>
                <w:sz w:val="18"/>
              </w:rPr>
              <w:t> </w:t>
            </w:r>
            <w:r>
              <w:rPr>
                <w:sz w:val="18"/>
              </w:rPr>
              <w:t>of</w:t>
            </w:r>
            <w:r>
              <w:rPr>
                <w:spacing w:val="-19"/>
                <w:sz w:val="18"/>
              </w:rPr>
              <w:t> </w:t>
            </w:r>
            <w:r>
              <w:rPr>
                <w:sz w:val="18"/>
              </w:rPr>
              <w:t>electricity</w:t>
            </w:r>
            <w:r>
              <w:rPr>
                <w:spacing w:val="-20"/>
                <w:sz w:val="18"/>
              </w:rPr>
              <w:t> </w:t>
            </w:r>
            <w:r>
              <w:rPr>
                <w:sz w:val="18"/>
              </w:rPr>
              <w:t>by</w:t>
            </w:r>
            <w:r>
              <w:rPr>
                <w:spacing w:val="-20"/>
                <w:sz w:val="18"/>
              </w:rPr>
              <w:t> </w:t>
            </w:r>
            <w:r>
              <w:rPr>
                <w:sz w:val="18"/>
              </w:rPr>
              <w:t>the</w:t>
            </w:r>
            <w:r>
              <w:rPr>
                <w:spacing w:val="-19"/>
                <w:sz w:val="18"/>
              </w:rPr>
              <w:t> </w:t>
            </w:r>
            <w:r>
              <w:rPr>
                <w:sz w:val="18"/>
              </w:rPr>
              <w:t>end</w:t>
            </w:r>
            <w:r>
              <w:rPr>
                <w:spacing w:val="-19"/>
                <w:sz w:val="18"/>
              </w:rPr>
              <w:t> </w:t>
            </w:r>
            <w:r>
              <w:rPr>
                <w:sz w:val="18"/>
              </w:rPr>
              <w:t>of</w:t>
            </w:r>
            <w:r>
              <w:rPr>
                <w:spacing w:val="-20"/>
                <w:sz w:val="18"/>
              </w:rPr>
              <w:t> </w:t>
            </w:r>
            <w:r>
              <w:rPr>
                <w:sz w:val="18"/>
              </w:rPr>
              <w:t>the</w:t>
            </w:r>
            <w:r>
              <w:rPr>
                <w:spacing w:val="-19"/>
                <w:sz w:val="18"/>
              </w:rPr>
              <w:t> </w:t>
            </w:r>
            <w:r>
              <w:rPr>
                <w:sz w:val="18"/>
              </w:rPr>
              <w:t>first</w:t>
            </w:r>
            <w:r>
              <w:rPr>
                <w:spacing w:val="-20"/>
                <w:sz w:val="18"/>
              </w:rPr>
              <w:t> </w:t>
            </w:r>
            <w:r>
              <w:rPr>
                <w:sz w:val="18"/>
              </w:rPr>
              <w:t>12</w:t>
            </w:r>
            <w:r>
              <w:rPr>
                <w:spacing w:val="-20"/>
                <w:sz w:val="18"/>
              </w:rPr>
              <w:t> </w:t>
            </w:r>
            <w:r>
              <w:rPr>
                <w:sz w:val="18"/>
              </w:rPr>
              <w:t>months</w:t>
            </w:r>
            <w:r>
              <w:rPr>
                <w:spacing w:val="-19"/>
                <w:sz w:val="18"/>
              </w:rPr>
              <w:t> </w:t>
            </w:r>
            <w:r>
              <w:rPr>
                <w:sz w:val="18"/>
              </w:rPr>
              <w:t>from Commercial</w:t>
            </w:r>
            <w:r>
              <w:rPr>
                <w:spacing w:val="-7"/>
                <w:sz w:val="18"/>
              </w:rPr>
              <w:t> </w:t>
            </w:r>
            <w:r>
              <w:rPr>
                <w:sz w:val="18"/>
              </w:rPr>
              <w:t>Operation</w:t>
            </w:r>
            <w:r>
              <w:rPr>
                <w:spacing w:val="-7"/>
                <w:sz w:val="18"/>
              </w:rPr>
              <w:t> </w:t>
            </w:r>
            <w:r>
              <w:rPr>
                <w:sz w:val="18"/>
              </w:rPr>
              <w:t>Date</w:t>
            </w:r>
            <w:r>
              <w:rPr>
                <w:spacing w:val="-8"/>
                <w:sz w:val="18"/>
              </w:rPr>
              <w:t> </w:t>
            </w:r>
            <w:r>
              <w:rPr>
                <w:sz w:val="18"/>
              </w:rPr>
              <w:t>(COD)</w:t>
            </w:r>
            <w:r>
              <w:rPr>
                <w:spacing w:val="-5"/>
                <w:sz w:val="18"/>
              </w:rPr>
              <w:t> </w:t>
            </w:r>
            <w:r>
              <w:rPr>
                <w:sz w:val="18"/>
              </w:rPr>
              <w:t>and</w:t>
            </w:r>
            <w:r>
              <w:rPr>
                <w:spacing w:val="-9"/>
                <w:sz w:val="18"/>
              </w:rPr>
              <w:t> </w:t>
            </w:r>
            <w:r>
              <w:rPr>
                <w:sz w:val="18"/>
              </w:rPr>
              <w:t>subject</w:t>
            </w:r>
            <w:r>
              <w:rPr>
                <w:spacing w:val="-8"/>
                <w:sz w:val="18"/>
              </w:rPr>
              <w:t> </w:t>
            </w:r>
            <w:r>
              <w:rPr>
                <w:sz w:val="18"/>
              </w:rPr>
              <w:t>to</w:t>
            </w:r>
            <w:r>
              <w:rPr>
                <w:spacing w:val="-7"/>
                <w:sz w:val="18"/>
              </w:rPr>
              <w:t> </w:t>
            </w:r>
            <w:r>
              <w:rPr>
                <w:sz w:val="18"/>
              </w:rPr>
              <w:t>plant</w:t>
            </w:r>
            <w:r>
              <w:rPr>
                <w:spacing w:val="-9"/>
                <w:sz w:val="18"/>
              </w:rPr>
              <w:t> </w:t>
            </w:r>
            <w:r>
              <w:rPr>
                <w:sz w:val="18"/>
              </w:rPr>
              <w:t>stabilization*</w:t>
            </w:r>
          </w:p>
        </w:tc>
      </w:tr>
      <w:tr>
        <w:trPr>
          <w:trHeight w:val="520" w:hRule="atLeast"/>
        </w:trPr>
        <w:tc>
          <w:tcPr>
            <w:tcW w:w="3075" w:type="dxa"/>
            <w:shd w:val="clear" w:color="auto" w:fill="69BD28"/>
          </w:tcPr>
          <w:p>
            <w:pPr>
              <w:pStyle w:val="TableParagraph"/>
              <w:spacing w:before="154"/>
              <w:ind w:left="110" w:right="97"/>
              <w:rPr>
                <w:b/>
                <w:sz w:val="18"/>
              </w:rPr>
            </w:pPr>
            <w:r>
              <w:rPr>
                <w:b/>
                <w:color w:val="FFFFFF"/>
                <w:w w:val="115"/>
                <w:sz w:val="18"/>
              </w:rPr>
              <w:t>COD</w:t>
            </w:r>
          </w:p>
        </w:tc>
        <w:tc>
          <w:tcPr>
            <w:tcW w:w="7410" w:type="dxa"/>
            <w:tcBorders>
              <w:top w:val="single" w:sz="6" w:space="0" w:color="69BD28"/>
              <w:bottom w:val="single" w:sz="6" w:space="0" w:color="69BD28"/>
            </w:tcBorders>
          </w:tcPr>
          <w:p>
            <w:pPr>
              <w:pStyle w:val="TableParagraph"/>
              <w:spacing w:before="154"/>
              <w:ind w:left="1594" w:right="1594"/>
              <w:rPr>
                <w:sz w:val="18"/>
              </w:rPr>
            </w:pPr>
            <w:r>
              <w:rPr>
                <w:sz w:val="18"/>
              </w:rPr>
              <w:t>February 28, 2018</w:t>
            </w:r>
          </w:p>
        </w:tc>
      </w:tr>
      <w:tr>
        <w:trPr>
          <w:trHeight w:val="438" w:hRule="atLeast"/>
        </w:trPr>
        <w:tc>
          <w:tcPr>
            <w:tcW w:w="3075" w:type="dxa"/>
            <w:shd w:val="clear" w:color="auto" w:fill="69BD28"/>
          </w:tcPr>
          <w:p>
            <w:pPr>
              <w:pStyle w:val="TableParagraph"/>
              <w:spacing w:before="114"/>
              <w:ind w:left="110" w:right="94"/>
              <w:rPr>
                <w:b/>
                <w:sz w:val="18"/>
              </w:rPr>
            </w:pPr>
            <w:r>
              <w:rPr>
                <w:b/>
                <w:color w:val="FFFFFF"/>
                <w:w w:val="110"/>
                <w:sz w:val="18"/>
              </w:rPr>
              <w:t>Completion Phases</w:t>
            </w:r>
          </w:p>
        </w:tc>
        <w:tc>
          <w:tcPr>
            <w:tcW w:w="7410" w:type="dxa"/>
            <w:tcBorders>
              <w:top w:val="single" w:sz="6" w:space="0" w:color="69BD28"/>
              <w:bottom w:val="single" w:sz="6" w:space="0" w:color="69BD28"/>
            </w:tcBorders>
          </w:tcPr>
          <w:p>
            <w:pPr>
              <w:pStyle w:val="TableParagraph"/>
              <w:spacing w:before="6"/>
              <w:ind w:left="1593" w:right="1594"/>
              <w:rPr>
                <w:sz w:val="18"/>
              </w:rPr>
            </w:pPr>
            <w:r>
              <w:rPr>
                <w:w w:val="105"/>
                <w:sz w:val="18"/>
              </w:rPr>
              <w:t>40% commenced operations on January 23, 2018</w:t>
            </w:r>
          </w:p>
          <w:p>
            <w:pPr>
              <w:pStyle w:val="TableParagraph"/>
              <w:spacing w:line="197" w:lineRule="exact" w:before="7"/>
              <w:ind w:left="1594" w:right="1594"/>
              <w:rPr>
                <w:sz w:val="18"/>
              </w:rPr>
            </w:pPr>
            <w:r>
              <w:rPr>
                <w:w w:val="105"/>
                <w:sz w:val="18"/>
              </w:rPr>
              <w:t>60% commenced operations on February 28, 2018</w:t>
            </w:r>
          </w:p>
        </w:tc>
      </w:tr>
    </w:tbl>
    <w:p>
      <w:pPr>
        <w:spacing w:before="3"/>
        <w:ind w:left="680" w:right="0" w:firstLine="0"/>
        <w:jc w:val="left"/>
        <w:rPr>
          <w:i/>
          <w:sz w:val="18"/>
        </w:rPr>
      </w:pPr>
      <w:r>
        <w:rPr>
          <w:i/>
          <w:sz w:val="18"/>
        </w:rPr>
        <w:t>Source: Information, Deferred Payment Agreement (DPA), Commissioning Certificates provided by Client</w:t>
      </w:r>
    </w:p>
    <w:p>
      <w:pPr>
        <w:spacing w:line="321" w:lineRule="auto" w:before="72"/>
        <w:ind w:left="680" w:right="607" w:firstLine="0"/>
        <w:jc w:val="left"/>
        <w:rPr>
          <w:i/>
          <w:sz w:val="18"/>
        </w:rPr>
      </w:pPr>
      <w:r>
        <w:rPr>
          <w:i/>
          <w:sz w:val="18"/>
        </w:rPr>
        <w:t>*</w:t>
      </w:r>
      <w:r>
        <w:rPr>
          <w:i/>
          <w:spacing w:val="-19"/>
          <w:sz w:val="18"/>
        </w:rPr>
        <w:t> </w:t>
      </w:r>
      <w:r>
        <w:rPr>
          <w:i/>
          <w:sz w:val="18"/>
        </w:rPr>
        <w:t>However,</w:t>
      </w:r>
      <w:r>
        <w:rPr>
          <w:i/>
          <w:spacing w:val="-17"/>
          <w:sz w:val="18"/>
        </w:rPr>
        <w:t> </w:t>
      </w:r>
      <w:r>
        <w:rPr>
          <w:i/>
          <w:sz w:val="18"/>
        </w:rPr>
        <w:t>considering</w:t>
      </w:r>
      <w:r>
        <w:rPr>
          <w:i/>
          <w:spacing w:val="-19"/>
          <w:sz w:val="18"/>
        </w:rPr>
        <w:t> </w:t>
      </w:r>
      <w:r>
        <w:rPr>
          <w:i/>
          <w:sz w:val="18"/>
        </w:rPr>
        <w:t>the</w:t>
      </w:r>
      <w:r>
        <w:rPr>
          <w:i/>
          <w:spacing w:val="-19"/>
          <w:sz w:val="18"/>
        </w:rPr>
        <w:t> </w:t>
      </w:r>
      <w:r>
        <w:rPr>
          <w:i/>
          <w:sz w:val="18"/>
        </w:rPr>
        <w:t>past</w:t>
      </w:r>
      <w:r>
        <w:rPr>
          <w:i/>
          <w:spacing w:val="-18"/>
          <w:sz w:val="18"/>
        </w:rPr>
        <w:t> </w:t>
      </w:r>
      <w:r>
        <w:rPr>
          <w:i/>
          <w:sz w:val="18"/>
        </w:rPr>
        <w:t>performance</w:t>
      </w:r>
      <w:r>
        <w:rPr>
          <w:i/>
          <w:spacing w:val="-18"/>
          <w:sz w:val="18"/>
        </w:rPr>
        <w:t> </w:t>
      </w:r>
      <w:r>
        <w:rPr>
          <w:i/>
          <w:sz w:val="18"/>
        </w:rPr>
        <w:t>of</w:t>
      </w:r>
      <w:r>
        <w:rPr>
          <w:i/>
          <w:spacing w:val="-19"/>
          <w:sz w:val="18"/>
        </w:rPr>
        <w:t> </w:t>
      </w:r>
      <w:r>
        <w:rPr>
          <w:i/>
          <w:sz w:val="18"/>
        </w:rPr>
        <w:t>the</w:t>
      </w:r>
      <w:r>
        <w:rPr>
          <w:i/>
          <w:spacing w:val="-18"/>
          <w:sz w:val="18"/>
        </w:rPr>
        <w:t> </w:t>
      </w:r>
      <w:r>
        <w:rPr>
          <w:i/>
          <w:sz w:val="18"/>
        </w:rPr>
        <w:t>subject</w:t>
      </w:r>
      <w:r>
        <w:rPr>
          <w:i/>
          <w:spacing w:val="-19"/>
          <w:sz w:val="18"/>
        </w:rPr>
        <w:t> </w:t>
      </w:r>
      <w:r>
        <w:rPr>
          <w:i/>
          <w:sz w:val="18"/>
        </w:rPr>
        <w:t>plant,</w:t>
      </w:r>
      <w:r>
        <w:rPr>
          <w:i/>
          <w:spacing w:val="-19"/>
          <w:sz w:val="18"/>
        </w:rPr>
        <w:t> </w:t>
      </w:r>
      <w:r>
        <w:rPr>
          <w:i/>
          <w:sz w:val="18"/>
        </w:rPr>
        <w:t>the</w:t>
      </w:r>
      <w:r>
        <w:rPr>
          <w:i/>
          <w:spacing w:val="-18"/>
          <w:sz w:val="18"/>
        </w:rPr>
        <w:t> </w:t>
      </w:r>
      <w:r>
        <w:rPr>
          <w:i/>
          <w:sz w:val="18"/>
        </w:rPr>
        <w:t>maximum</w:t>
      </w:r>
      <w:r>
        <w:rPr>
          <w:i/>
          <w:spacing w:val="-18"/>
          <w:sz w:val="18"/>
        </w:rPr>
        <w:t> </w:t>
      </w:r>
      <w:r>
        <w:rPr>
          <w:i/>
          <w:sz w:val="18"/>
        </w:rPr>
        <w:t>generation</w:t>
      </w:r>
      <w:r>
        <w:rPr>
          <w:i/>
          <w:spacing w:val="-13"/>
          <w:sz w:val="18"/>
        </w:rPr>
        <w:t> </w:t>
      </w:r>
      <w:r>
        <w:rPr>
          <w:i/>
          <w:sz w:val="18"/>
        </w:rPr>
        <w:t>has</w:t>
      </w:r>
      <w:r>
        <w:rPr>
          <w:i/>
          <w:spacing w:val="-19"/>
          <w:sz w:val="18"/>
        </w:rPr>
        <w:t> </w:t>
      </w:r>
      <w:r>
        <w:rPr>
          <w:i/>
          <w:sz w:val="18"/>
        </w:rPr>
        <w:t>been</w:t>
      </w:r>
      <w:r>
        <w:rPr>
          <w:i/>
          <w:spacing w:val="-20"/>
          <w:sz w:val="18"/>
        </w:rPr>
        <w:t> </w:t>
      </w:r>
      <w:r>
        <w:rPr>
          <w:i/>
          <w:sz w:val="18"/>
        </w:rPr>
        <w:t>capped</w:t>
      </w:r>
      <w:r>
        <w:rPr>
          <w:i/>
          <w:spacing w:val="-18"/>
          <w:sz w:val="18"/>
        </w:rPr>
        <w:t> </w:t>
      </w:r>
      <w:r>
        <w:rPr>
          <w:i/>
          <w:sz w:val="18"/>
        </w:rPr>
        <w:t>at</w:t>
      </w:r>
      <w:r>
        <w:rPr>
          <w:i/>
          <w:spacing w:val="-18"/>
          <w:sz w:val="18"/>
        </w:rPr>
        <w:t> </w:t>
      </w:r>
      <w:r>
        <w:rPr>
          <w:i/>
          <w:sz w:val="18"/>
        </w:rPr>
        <w:t>approx.</w:t>
      </w:r>
      <w:r>
        <w:rPr>
          <w:i/>
          <w:spacing w:val="-18"/>
          <w:sz w:val="18"/>
        </w:rPr>
        <w:t> </w:t>
      </w:r>
      <w:r>
        <w:rPr>
          <w:i/>
          <w:sz w:val="18"/>
        </w:rPr>
        <w:t>200</w:t>
      </w:r>
      <w:r>
        <w:rPr>
          <w:i/>
          <w:spacing w:val="-19"/>
          <w:sz w:val="18"/>
        </w:rPr>
        <w:t> </w:t>
      </w:r>
      <w:r>
        <w:rPr>
          <w:i/>
          <w:sz w:val="18"/>
        </w:rPr>
        <w:t>Million </w:t>
      </w:r>
      <w:r>
        <w:rPr>
          <w:i/>
          <w:sz w:val="18"/>
        </w:rPr>
        <w:t>Units (MU) for any given</w:t>
      </w:r>
      <w:r>
        <w:rPr>
          <w:i/>
          <w:spacing w:val="-20"/>
          <w:sz w:val="18"/>
        </w:rPr>
        <w:t> </w:t>
      </w:r>
      <w:r>
        <w:rPr>
          <w:i/>
          <w:sz w:val="18"/>
        </w:rPr>
        <w:t>year</w:t>
      </w:r>
    </w:p>
    <w:p>
      <w:pPr>
        <w:pStyle w:val="BodyText"/>
        <w:spacing w:before="11"/>
        <w:rPr>
          <w:i/>
          <w:sz w:val="20"/>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379" w:id="740"/>
      <w:bookmarkEnd w:id="740"/>
      <w:r>
        <w:rPr/>
      </w:r>
      <w:bookmarkStart w:name="_bookmark379" w:id="741"/>
      <w:bookmarkEnd w:id="741"/>
      <w:r>
        <w:rPr>
          <w:color w:val="1F664D"/>
          <w:sz w:val="22"/>
        </w:rPr>
        <w:t>Condition</w:t>
      </w:r>
      <w:r>
        <w:rPr>
          <w:color w:val="1F664D"/>
          <w:sz w:val="22"/>
        </w:rPr>
        <w:t> &amp;</w:t>
      </w:r>
      <w:r>
        <w:rPr>
          <w:color w:val="1F664D"/>
          <w:spacing w:val="-4"/>
          <w:sz w:val="22"/>
        </w:rPr>
        <w:t> </w:t>
      </w:r>
      <w:r>
        <w:rPr>
          <w:color w:val="1F664D"/>
          <w:sz w:val="22"/>
        </w:rPr>
        <w:t>Repair</w:t>
      </w:r>
    </w:p>
    <w:p>
      <w:pPr>
        <w:pStyle w:val="BodyText"/>
        <w:spacing w:before="208"/>
        <w:ind w:left="1227"/>
      </w:pPr>
      <w:r>
        <w:rPr/>
        <w:t>Based</w:t>
      </w:r>
      <w:r>
        <w:rPr>
          <w:spacing w:val="-28"/>
        </w:rPr>
        <w:t> </w:t>
      </w:r>
      <w:r>
        <w:rPr/>
        <w:t>on</w:t>
      </w:r>
      <w:r>
        <w:rPr>
          <w:spacing w:val="-29"/>
        </w:rPr>
        <w:t> </w:t>
      </w:r>
      <w:r>
        <w:rPr/>
        <w:t>information</w:t>
      </w:r>
      <w:r>
        <w:rPr>
          <w:spacing w:val="-29"/>
        </w:rPr>
        <w:t> </w:t>
      </w:r>
      <w:r>
        <w:rPr/>
        <w:t>provided</w:t>
      </w:r>
      <w:r>
        <w:rPr>
          <w:spacing w:val="-28"/>
        </w:rPr>
        <w:t> </w:t>
      </w:r>
      <w:r>
        <w:rPr/>
        <w:t>by</w:t>
      </w:r>
      <w:r>
        <w:rPr>
          <w:spacing w:val="-27"/>
        </w:rPr>
        <w:t> </w:t>
      </w:r>
      <w:r>
        <w:rPr/>
        <w:t>the</w:t>
      </w:r>
      <w:r>
        <w:rPr>
          <w:spacing w:val="-29"/>
        </w:rPr>
        <w:t> </w:t>
      </w:r>
      <w:r>
        <w:rPr/>
        <w:t>Client</w:t>
      </w:r>
      <w:r>
        <w:rPr>
          <w:spacing w:val="-28"/>
        </w:rPr>
        <w:t> </w:t>
      </w:r>
      <w:r>
        <w:rPr/>
        <w:t>and</w:t>
      </w:r>
      <w:r>
        <w:rPr>
          <w:spacing w:val="-26"/>
        </w:rPr>
        <w:t> </w:t>
      </w:r>
      <w:r>
        <w:rPr/>
        <w:t>the</w:t>
      </w:r>
      <w:r>
        <w:rPr>
          <w:spacing w:val="-30"/>
        </w:rPr>
        <w:t> </w:t>
      </w:r>
      <w:r>
        <w:rPr/>
        <w:t>site</w:t>
      </w:r>
      <w:r>
        <w:rPr>
          <w:spacing w:val="-28"/>
        </w:rPr>
        <w:t> </w:t>
      </w:r>
      <w:r>
        <w:rPr/>
        <w:t>visit,</w:t>
      </w:r>
      <w:r>
        <w:rPr>
          <w:spacing w:val="-29"/>
        </w:rPr>
        <w:t> </w:t>
      </w:r>
      <w:r>
        <w:rPr/>
        <w:t>it</w:t>
      </w:r>
      <w:r>
        <w:rPr>
          <w:spacing w:val="-29"/>
        </w:rPr>
        <w:t> </w:t>
      </w:r>
      <w:r>
        <w:rPr/>
        <w:t>is</w:t>
      </w:r>
      <w:r>
        <w:rPr>
          <w:spacing w:val="-28"/>
        </w:rPr>
        <w:t> </w:t>
      </w:r>
      <w:r>
        <w:rPr/>
        <w:t>understood</w:t>
      </w:r>
      <w:r>
        <w:rPr>
          <w:spacing w:val="-28"/>
        </w:rPr>
        <w:t> </w:t>
      </w:r>
      <w:r>
        <w:rPr/>
        <w:t>that</w:t>
      </w:r>
      <w:r>
        <w:rPr>
          <w:spacing w:val="-27"/>
        </w:rPr>
        <w:t> </w:t>
      </w:r>
      <w:r>
        <w:rPr/>
        <w:t>the</w:t>
      </w:r>
      <w:r>
        <w:rPr>
          <w:spacing w:val="-29"/>
        </w:rPr>
        <w:t> </w:t>
      </w:r>
      <w:r>
        <w:rPr/>
        <w:t>‘Solar</w:t>
      </w:r>
      <w:r>
        <w:rPr>
          <w:spacing w:val="-29"/>
        </w:rPr>
        <w:t> </w:t>
      </w:r>
      <w:r>
        <w:rPr/>
        <w:t>Power</w:t>
      </w:r>
      <w:r>
        <w:rPr>
          <w:spacing w:val="-28"/>
        </w:rPr>
        <w:t> </w:t>
      </w:r>
      <w:r>
        <w:rPr/>
        <w:t>Plant’</w:t>
      </w:r>
    </w:p>
    <w:p>
      <w:pPr>
        <w:pStyle w:val="BodyText"/>
        <w:spacing w:before="85"/>
        <w:ind w:left="1227"/>
      </w:pPr>
      <w:r>
        <w:rPr/>
        <w:t>at the subject property is in good condition and is being maintained well.</w:t>
      </w:r>
    </w:p>
    <w:p>
      <w:pPr>
        <w:spacing w:after="0"/>
        <w:sectPr>
          <w:pgSz w:w="11910" w:h="16840"/>
          <w:pgMar w:header="720" w:footer="862" w:top="1660" w:bottom="1060" w:left="40" w:right="40"/>
        </w:sectPr>
      </w:pPr>
    </w:p>
    <w:p>
      <w:pPr>
        <w:pStyle w:val="BodyText"/>
        <w:spacing w:before="7"/>
        <w:rPr>
          <w:sz w:val="9"/>
        </w:rPr>
      </w:pPr>
    </w:p>
    <w:p>
      <w:pPr>
        <w:pStyle w:val="ListParagraph"/>
        <w:numPr>
          <w:ilvl w:val="2"/>
          <w:numId w:val="14"/>
        </w:numPr>
        <w:tabs>
          <w:tab w:pos="1401" w:val="left" w:leader="none"/>
        </w:tabs>
        <w:spacing w:line="240" w:lineRule="auto" w:before="106" w:after="0"/>
        <w:ind w:left="1400" w:right="0" w:hanging="721"/>
        <w:jc w:val="left"/>
        <w:rPr>
          <w:sz w:val="22"/>
        </w:rPr>
      </w:pPr>
      <w:bookmarkStart w:name="_bookmark380" w:id="742"/>
      <w:bookmarkEnd w:id="742"/>
      <w:r>
        <w:rPr/>
      </w:r>
      <w:bookmarkStart w:name="_bookmark380" w:id="743"/>
      <w:bookmarkEnd w:id="743"/>
      <w:r>
        <w:rPr>
          <w:color w:val="1F664D"/>
          <w:sz w:val="22"/>
        </w:rPr>
        <w:t>Pro</w:t>
      </w:r>
      <w:r>
        <w:rPr>
          <w:color w:val="1F664D"/>
          <w:sz w:val="22"/>
        </w:rPr>
        <w:t>perty Photographs</w:t>
      </w:r>
    </w:p>
    <w:p>
      <w:pPr>
        <w:pStyle w:val="BodyText"/>
        <w:spacing w:before="208"/>
        <w:ind w:left="1227"/>
      </w:pPr>
      <w:r>
        <w:rPr/>
        <w:t>Please refer to the property photographs highlighted below:</w:t>
      </w:r>
    </w:p>
    <w:p>
      <w:pPr>
        <w:pStyle w:val="BodyText"/>
        <w:spacing w:before="5"/>
        <w:rPr>
          <w:sz w:val="24"/>
        </w:rPr>
      </w:pPr>
      <w:r>
        <w:rPr/>
        <w:pict>
          <v:group style="position:absolute;margin-left:108.860001pt;margin-top:16.171974pt;width:389.65pt;height:15pt;mso-position-horizontal-relative:page;mso-position-vertical-relative:paragraph;z-index:-14946816;mso-wrap-distance-left:0;mso-wrap-distance-right:0" coordorigin="2177,323" coordsize="7793,300">
            <v:rect style="position:absolute;left:2177;top:333;width:7793;height:291" filled="true" fillcolor="#006a4d" stroked="false">
              <v:fill type="solid"/>
            </v:rect>
            <v:rect style="position:absolute;left:2179;top:323;width:7790;height:10" filled="true" fillcolor="#000000" stroked="false">
              <v:fill type="solid"/>
            </v:rect>
            <v:shape style="position:absolute;left:2177;top:333;width:7793;height:291" type="#_x0000_t202" filled="false" stroked="false">
              <v:textbox inset="0,0,0,0">
                <w:txbxContent>
                  <w:p>
                    <w:pPr>
                      <w:spacing w:before="28"/>
                      <w:ind w:left="1917" w:right="1918" w:firstLine="0"/>
                      <w:jc w:val="center"/>
                      <w:rPr>
                        <w:sz w:val="20"/>
                      </w:rPr>
                    </w:pPr>
                    <w:r>
                      <w:rPr>
                        <w:color w:val="FFFFFF"/>
                        <w:sz w:val="20"/>
                      </w:rPr>
                      <w:t>Embassy Energy, Bellary District, Karnataka</w:t>
                    </w:r>
                  </w:p>
                </w:txbxContent>
              </v:textbox>
              <w10:wrap type="none"/>
            </v:shape>
            <w10:wrap type="topAndBottom"/>
          </v:group>
        </w:pict>
      </w:r>
      <w:r>
        <w:rPr/>
        <w:pict>
          <v:group style="position:absolute;margin-left:111.699997pt;margin-top:39.791973pt;width:186.1pt;height:130.65pt;mso-position-horizontal-relative:page;mso-position-vertical-relative:paragraph;z-index:-14946304;mso-wrap-distance-left:0;mso-wrap-distance-right:0" coordorigin="2234,796" coordsize="3722,2613">
            <v:rect style="position:absolute;left:2239;top:800;width:3712;height:2603" filled="false" stroked="true" strokeweight=".5pt" strokecolor="#000000">
              <v:stroke dashstyle="solid"/>
            </v:rect>
            <v:shape style="position:absolute;left:2388;top:878;width:3413;height:2450" type="#_x0000_t75" stroked="false">
              <v:imagedata r:id="rId304" o:title=""/>
            </v:shape>
            <w10:wrap type="topAndBottom"/>
          </v:group>
        </w:pict>
      </w:r>
      <w:r>
        <w:rPr/>
        <w:pict>
          <v:group style="position:absolute;margin-left:306.700012pt;margin-top:38.231976pt;width:186.1pt;height:130.65pt;mso-position-horizontal-relative:page;mso-position-vertical-relative:paragraph;z-index:-14945792;mso-wrap-distance-left:0;mso-wrap-distance-right:0" coordorigin="6134,765" coordsize="3722,2613">
            <v:rect style="position:absolute;left:6139;top:769;width:3712;height:2603" filled="false" stroked="true" strokeweight=".5pt" strokecolor="#000000">
              <v:stroke dashstyle="solid"/>
            </v:rect>
            <v:shape style="position:absolute;left:6288;top:846;width:3413;height:2448" type="#_x0000_t75" stroked="false">
              <v:imagedata r:id="rId305" o:title=""/>
            </v:shape>
            <w10:wrap type="topAndBottom"/>
          </v:group>
        </w:pict>
      </w:r>
    </w:p>
    <w:p>
      <w:pPr>
        <w:pStyle w:val="BodyText"/>
        <w:spacing w:before="3"/>
        <w:rPr>
          <w:sz w:val="6"/>
        </w:rPr>
      </w:pPr>
    </w:p>
    <w:p>
      <w:pPr>
        <w:pStyle w:val="BodyText"/>
        <w:spacing w:before="2"/>
        <w:rPr>
          <w:sz w:val="9"/>
        </w:rPr>
      </w:pPr>
    </w:p>
    <w:p>
      <w:pPr>
        <w:tabs>
          <w:tab w:pos="6789" w:val="left" w:leader="none"/>
        </w:tabs>
        <w:spacing w:before="105"/>
        <w:ind w:left="2893" w:right="0" w:firstLine="0"/>
        <w:jc w:val="left"/>
        <w:rPr>
          <w:sz w:val="18"/>
        </w:rPr>
      </w:pPr>
      <w:r>
        <w:rPr>
          <w:sz w:val="18"/>
        </w:rPr>
        <w:t>View</w:t>
      </w:r>
      <w:r>
        <w:rPr>
          <w:spacing w:val="-18"/>
          <w:sz w:val="18"/>
        </w:rPr>
        <w:t> </w:t>
      </w:r>
      <w:r>
        <w:rPr>
          <w:sz w:val="18"/>
        </w:rPr>
        <w:t>of</w:t>
      </w:r>
      <w:r>
        <w:rPr>
          <w:spacing w:val="-16"/>
          <w:sz w:val="18"/>
        </w:rPr>
        <w:t> </w:t>
      </w:r>
      <w:r>
        <w:rPr>
          <w:sz w:val="18"/>
        </w:rPr>
        <w:t>the</w:t>
      </w:r>
      <w:r>
        <w:rPr>
          <w:spacing w:val="-16"/>
          <w:sz w:val="18"/>
        </w:rPr>
        <w:t> </w:t>
      </w:r>
      <w:r>
        <w:rPr>
          <w:sz w:val="18"/>
        </w:rPr>
        <w:t>solar</w:t>
      </w:r>
      <w:r>
        <w:rPr>
          <w:spacing w:val="-17"/>
          <w:sz w:val="18"/>
        </w:rPr>
        <w:t> </w:t>
      </w:r>
      <w:r>
        <w:rPr>
          <w:sz w:val="18"/>
        </w:rPr>
        <w:t>power</w:t>
      </w:r>
      <w:r>
        <w:rPr>
          <w:spacing w:val="-18"/>
          <w:sz w:val="18"/>
        </w:rPr>
        <w:t> </w:t>
      </w:r>
      <w:r>
        <w:rPr>
          <w:sz w:val="18"/>
        </w:rPr>
        <w:t>plant</w:t>
        <w:tab/>
        <w:t>View</w:t>
      </w:r>
      <w:r>
        <w:rPr>
          <w:spacing w:val="-22"/>
          <w:sz w:val="18"/>
        </w:rPr>
        <w:t> </w:t>
      </w:r>
      <w:r>
        <w:rPr>
          <w:sz w:val="18"/>
        </w:rPr>
        <w:t>of</w:t>
      </w:r>
      <w:r>
        <w:rPr>
          <w:spacing w:val="-23"/>
          <w:sz w:val="18"/>
        </w:rPr>
        <w:t> </w:t>
      </w:r>
      <w:r>
        <w:rPr>
          <w:sz w:val="18"/>
        </w:rPr>
        <w:t>the</w:t>
      </w:r>
      <w:r>
        <w:rPr>
          <w:spacing w:val="-23"/>
          <w:sz w:val="18"/>
        </w:rPr>
        <w:t> </w:t>
      </w:r>
      <w:r>
        <w:rPr>
          <w:sz w:val="18"/>
        </w:rPr>
        <w:t>solar</w:t>
      </w:r>
      <w:r>
        <w:rPr>
          <w:spacing w:val="-23"/>
          <w:sz w:val="18"/>
        </w:rPr>
        <w:t> </w:t>
      </w:r>
      <w:r>
        <w:rPr>
          <w:sz w:val="18"/>
        </w:rPr>
        <w:t>power</w:t>
      </w:r>
      <w:r>
        <w:rPr>
          <w:spacing w:val="-23"/>
          <w:sz w:val="18"/>
        </w:rPr>
        <w:t> </w:t>
      </w:r>
      <w:r>
        <w:rPr>
          <w:sz w:val="18"/>
        </w:rPr>
        <w:t>plant</w:t>
      </w:r>
    </w:p>
    <w:p>
      <w:pPr>
        <w:pStyle w:val="BodyText"/>
        <w:spacing w:before="10"/>
        <w:rPr>
          <w:sz w:val="15"/>
        </w:rPr>
      </w:pPr>
      <w:r>
        <w:rPr/>
        <w:pict>
          <v:group style="position:absolute;margin-left:113.25pt;margin-top:11.164707pt;width:186.1pt;height:130.65pt;mso-position-horizontal-relative:page;mso-position-vertical-relative:paragraph;z-index:-14945280;mso-wrap-distance-left:0;mso-wrap-distance-right:0" coordorigin="2265,223" coordsize="3722,2613">
            <v:rect style="position:absolute;left:2270;top:228;width:3712;height:2603" filled="false" stroked="true" strokeweight=".5pt" strokecolor="#000000">
              <v:stroke dashstyle="solid"/>
            </v:rect>
            <v:shape style="position:absolute;left:2419;top:304;width:3413;height:2448" type="#_x0000_t75" stroked="false">
              <v:imagedata r:id="rId306" o:title=""/>
            </v:shape>
            <w10:wrap type="topAndBottom"/>
          </v:group>
        </w:pict>
      </w:r>
      <w:r>
        <w:rPr/>
        <w:pict>
          <v:group style="position:absolute;margin-left:308.75pt;margin-top:11.964707pt;width:186.1pt;height:130.65pt;mso-position-horizontal-relative:page;mso-position-vertical-relative:paragraph;z-index:-14944768;mso-wrap-distance-left:0;mso-wrap-distance-right:0" coordorigin="6175,239" coordsize="3722,2613">
            <v:rect style="position:absolute;left:6180;top:244;width:3712;height:2603" filled="false" stroked="true" strokeweight=".5pt" strokecolor="#000000">
              <v:stroke dashstyle="solid"/>
            </v:rect>
            <v:shape style="position:absolute;left:6329;top:321;width:3413;height:2448" type="#_x0000_t75" stroked="false">
              <v:imagedata r:id="rId307" o:title=""/>
            </v:shape>
            <w10:wrap type="topAndBottom"/>
          </v:group>
        </w:pict>
      </w:r>
    </w:p>
    <w:p>
      <w:pPr>
        <w:tabs>
          <w:tab w:pos="6789" w:val="left" w:leader="none"/>
        </w:tabs>
        <w:spacing w:before="80"/>
        <w:ind w:left="2893" w:right="0" w:firstLine="0"/>
        <w:jc w:val="left"/>
        <w:rPr>
          <w:sz w:val="18"/>
        </w:rPr>
      </w:pPr>
      <w:r>
        <w:rPr>
          <w:sz w:val="18"/>
        </w:rPr>
        <w:t>View</w:t>
      </w:r>
      <w:r>
        <w:rPr>
          <w:spacing w:val="-18"/>
          <w:sz w:val="18"/>
        </w:rPr>
        <w:t> </w:t>
      </w:r>
      <w:r>
        <w:rPr>
          <w:sz w:val="18"/>
        </w:rPr>
        <w:t>of</w:t>
      </w:r>
      <w:r>
        <w:rPr>
          <w:spacing w:val="-16"/>
          <w:sz w:val="18"/>
        </w:rPr>
        <w:t> </w:t>
      </w:r>
      <w:r>
        <w:rPr>
          <w:sz w:val="18"/>
        </w:rPr>
        <w:t>the</w:t>
      </w:r>
      <w:r>
        <w:rPr>
          <w:spacing w:val="-17"/>
          <w:sz w:val="18"/>
        </w:rPr>
        <w:t> </w:t>
      </w:r>
      <w:r>
        <w:rPr>
          <w:sz w:val="18"/>
        </w:rPr>
        <w:t>solar</w:t>
      </w:r>
      <w:r>
        <w:rPr>
          <w:spacing w:val="-17"/>
          <w:sz w:val="18"/>
        </w:rPr>
        <w:t> </w:t>
      </w:r>
      <w:r>
        <w:rPr>
          <w:sz w:val="18"/>
        </w:rPr>
        <w:t>power</w:t>
      </w:r>
      <w:r>
        <w:rPr>
          <w:spacing w:val="-18"/>
          <w:sz w:val="18"/>
        </w:rPr>
        <w:t> </w:t>
      </w:r>
      <w:r>
        <w:rPr>
          <w:sz w:val="18"/>
        </w:rPr>
        <w:t>plant</w:t>
        <w:tab/>
        <w:t>View</w:t>
      </w:r>
      <w:r>
        <w:rPr>
          <w:spacing w:val="-23"/>
          <w:sz w:val="18"/>
        </w:rPr>
        <w:t> </w:t>
      </w:r>
      <w:r>
        <w:rPr>
          <w:sz w:val="18"/>
        </w:rPr>
        <w:t>of</w:t>
      </w:r>
      <w:r>
        <w:rPr>
          <w:spacing w:val="-23"/>
          <w:sz w:val="18"/>
        </w:rPr>
        <w:t> </w:t>
      </w:r>
      <w:r>
        <w:rPr>
          <w:sz w:val="18"/>
        </w:rPr>
        <w:t>the</w:t>
      </w:r>
      <w:r>
        <w:rPr>
          <w:spacing w:val="-23"/>
          <w:sz w:val="18"/>
        </w:rPr>
        <w:t> </w:t>
      </w:r>
      <w:r>
        <w:rPr>
          <w:sz w:val="18"/>
        </w:rPr>
        <w:t>solar</w:t>
      </w:r>
      <w:r>
        <w:rPr>
          <w:spacing w:val="-23"/>
          <w:sz w:val="18"/>
        </w:rPr>
        <w:t> </w:t>
      </w:r>
      <w:r>
        <w:rPr>
          <w:sz w:val="18"/>
        </w:rPr>
        <w:t>power</w:t>
      </w:r>
      <w:r>
        <w:rPr>
          <w:spacing w:val="-23"/>
          <w:sz w:val="18"/>
        </w:rPr>
        <w:t> </w:t>
      </w:r>
      <w:r>
        <w:rPr>
          <w:sz w:val="18"/>
        </w:rPr>
        <w:t>plant</w:t>
      </w:r>
    </w:p>
    <w:p>
      <w:pPr>
        <w:pStyle w:val="BodyText"/>
        <w:spacing w:before="2"/>
        <w:rPr>
          <w:sz w:val="13"/>
        </w:rPr>
      </w:pPr>
      <w:r>
        <w:rPr/>
        <w:pict>
          <v:group style="position:absolute;margin-left:112.449997pt;margin-top:9.639805pt;width:186.1pt;height:130.65pt;mso-position-horizontal-relative:page;mso-position-vertical-relative:paragraph;z-index:-14944256;mso-wrap-distance-left:0;mso-wrap-distance-right:0" coordorigin="2249,193" coordsize="3722,2613">
            <v:rect style="position:absolute;left:2254;top:197;width:3712;height:2603" filled="false" stroked="true" strokeweight=".5pt" strokecolor="#000000">
              <v:stroke dashstyle="solid"/>
            </v:rect>
            <v:shape style="position:absolute;left:2403;top:274;width:3413;height:2450" type="#_x0000_t75" stroked="false">
              <v:imagedata r:id="rId308" o:title=""/>
            </v:shape>
            <w10:wrap type="topAndBottom"/>
          </v:group>
        </w:pict>
      </w:r>
      <w:r>
        <w:rPr/>
        <w:pict>
          <v:group style="position:absolute;margin-left:312.850006pt;margin-top:11.619804pt;width:186.1pt;height:130.65pt;mso-position-horizontal-relative:page;mso-position-vertical-relative:paragraph;z-index:-14943744;mso-wrap-distance-left:0;mso-wrap-distance-right:0" coordorigin="6257,232" coordsize="3722,2613">
            <v:rect style="position:absolute;left:6262;top:237;width:3712;height:2603" filled="false" stroked="true" strokeweight=".5pt" strokecolor="#000000">
              <v:stroke dashstyle="solid"/>
            </v:rect>
            <v:shape style="position:absolute;left:6411;top:314;width:3413;height:2448" type="#_x0000_t75" stroked="false">
              <v:imagedata r:id="rId309" o:title=""/>
            </v:shape>
            <w10:wrap type="topAndBottom"/>
          </v:group>
        </w:pict>
      </w:r>
    </w:p>
    <w:p>
      <w:pPr>
        <w:tabs>
          <w:tab w:pos="7012" w:val="left" w:leader="none"/>
        </w:tabs>
        <w:spacing w:before="179"/>
        <w:ind w:left="2893" w:right="0" w:firstLine="0"/>
        <w:jc w:val="left"/>
        <w:rPr>
          <w:sz w:val="18"/>
        </w:rPr>
      </w:pPr>
      <w:r>
        <w:rPr>
          <w:sz w:val="18"/>
        </w:rPr>
        <w:t>View</w:t>
      </w:r>
      <w:r>
        <w:rPr>
          <w:spacing w:val="-18"/>
          <w:sz w:val="18"/>
        </w:rPr>
        <w:t> </w:t>
      </w:r>
      <w:r>
        <w:rPr>
          <w:sz w:val="18"/>
        </w:rPr>
        <w:t>of</w:t>
      </w:r>
      <w:r>
        <w:rPr>
          <w:spacing w:val="-16"/>
          <w:sz w:val="18"/>
        </w:rPr>
        <w:t> </w:t>
      </w:r>
      <w:r>
        <w:rPr>
          <w:sz w:val="18"/>
        </w:rPr>
        <w:t>the</w:t>
      </w:r>
      <w:r>
        <w:rPr>
          <w:spacing w:val="-17"/>
          <w:sz w:val="18"/>
        </w:rPr>
        <w:t> </w:t>
      </w:r>
      <w:r>
        <w:rPr>
          <w:sz w:val="18"/>
        </w:rPr>
        <w:t>solar</w:t>
      </w:r>
      <w:r>
        <w:rPr>
          <w:spacing w:val="-17"/>
          <w:sz w:val="18"/>
        </w:rPr>
        <w:t> </w:t>
      </w:r>
      <w:r>
        <w:rPr>
          <w:sz w:val="18"/>
        </w:rPr>
        <w:t>power</w:t>
      </w:r>
      <w:r>
        <w:rPr>
          <w:spacing w:val="-18"/>
          <w:sz w:val="18"/>
        </w:rPr>
        <w:t> </w:t>
      </w:r>
      <w:r>
        <w:rPr>
          <w:sz w:val="18"/>
        </w:rPr>
        <w:t>plant</w:t>
        <w:tab/>
        <w:t>View of the access</w:t>
      </w:r>
      <w:r>
        <w:rPr>
          <w:spacing w:val="-10"/>
          <w:sz w:val="18"/>
        </w:rPr>
        <w:t> </w:t>
      </w:r>
      <w:r>
        <w:rPr>
          <w:sz w:val="18"/>
        </w:rPr>
        <w:t>road</w:t>
      </w:r>
    </w:p>
    <w:p>
      <w:pPr>
        <w:pStyle w:val="BodyText"/>
        <w:spacing w:before="8"/>
        <w:rPr>
          <w:sz w:val="9"/>
        </w:rPr>
      </w:pPr>
      <w:r>
        <w:rPr/>
        <w:pict>
          <v:shape style="position:absolute;margin-left:108.260002pt;margin-top:7.620796pt;width:390.25pt;height:.5pt;mso-position-horizontal-relative:page;mso-position-vertical-relative:paragraph;z-index:-14943232;mso-wrap-distance-left:0;mso-wrap-distance-right:0" coordorigin="2165,152" coordsize="7805,10" path="m9970,152l5985,152,5980,152,5970,152,2165,152,2165,162,5970,162,5980,162,5985,162,9970,162,9970,152xe" filled="true" fillcolor="#92d050" stroked="false">
            <v:path arrowok="t"/>
            <v:fill type="solid"/>
            <w10:wrap type="topAndBottom"/>
          </v:shape>
        </w:pict>
      </w:r>
    </w:p>
    <w:p>
      <w:pPr>
        <w:spacing w:after="0"/>
        <w:rPr>
          <w:sz w:val="9"/>
        </w:rPr>
        <w:sectPr>
          <w:pgSz w:w="11910" w:h="16840"/>
          <w:pgMar w:header="720" w:footer="862" w:top="1660" w:bottom="1060" w:left="40" w:right="40"/>
        </w:sectPr>
      </w:pPr>
    </w:p>
    <w:p>
      <w:pPr>
        <w:pStyle w:val="BodyText"/>
        <w:spacing w:before="7"/>
        <w:rPr>
          <w:sz w:val="9"/>
        </w:rPr>
      </w:pPr>
    </w:p>
    <w:p>
      <w:pPr>
        <w:pStyle w:val="ListParagraph"/>
        <w:numPr>
          <w:ilvl w:val="1"/>
          <w:numId w:val="93"/>
        </w:numPr>
        <w:tabs>
          <w:tab w:pos="1257" w:val="left" w:leader="none"/>
        </w:tabs>
        <w:spacing w:line="240" w:lineRule="auto" w:before="106" w:after="0"/>
        <w:ind w:left="1256" w:right="0" w:hanging="577"/>
        <w:jc w:val="left"/>
        <w:rPr>
          <w:sz w:val="22"/>
        </w:rPr>
      </w:pPr>
      <w:bookmarkStart w:name="_bookmark381" w:id="744"/>
      <w:bookmarkEnd w:id="744"/>
      <w:r>
        <w:rPr/>
      </w:r>
      <w:bookmarkStart w:name="_bookmark381" w:id="745"/>
      <w:bookmarkEnd w:id="745"/>
      <w:r>
        <w:rPr>
          <w:color w:val="1F6647"/>
          <w:sz w:val="22"/>
        </w:rPr>
        <w:t>R</w:t>
      </w:r>
      <w:r>
        <w:rPr>
          <w:color w:val="1F6647"/>
          <w:sz w:val="22"/>
        </w:rPr>
        <w:t>enewable Energy</w:t>
      </w:r>
      <w:r>
        <w:rPr>
          <w:color w:val="1F6647"/>
          <w:spacing w:val="-4"/>
          <w:sz w:val="22"/>
        </w:rPr>
        <w:t> </w:t>
      </w:r>
      <w:r>
        <w:rPr>
          <w:color w:val="1F6647"/>
          <w:sz w:val="22"/>
        </w:rPr>
        <w:t>Policy</w:t>
      </w:r>
    </w:p>
    <w:p>
      <w:pPr>
        <w:pStyle w:val="BodyText"/>
        <w:spacing w:line="321" w:lineRule="auto" w:before="208"/>
        <w:ind w:left="1220" w:right="672"/>
        <w:jc w:val="both"/>
      </w:pPr>
      <w:r>
        <w:rPr/>
        <w:t>India’s renewable energy sector is growing at a significantly fast pace, which has resulted in India becoming</w:t>
      </w:r>
      <w:r>
        <w:rPr>
          <w:spacing w:val="-22"/>
        </w:rPr>
        <w:t> </w:t>
      </w:r>
      <w:r>
        <w:rPr/>
        <w:t>the</w:t>
      </w:r>
      <w:r>
        <w:rPr>
          <w:spacing w:val="-24"/>
        </w:rPr>
        <w:t> </w:t>
      </w:r>
      <w:r>
        <w:rPr/>
        <w:t>fourth</w:t>
      </w:r>
      <w:r>
        <w:rPr>
          <w:spacing w:val="-22"/>
        </w:rPr>
        <w:t> </w:t>
      </w:r>
      <w:r>
        <w:rPr/>
        <w:t>largest</w:t>
      </w:r>
      <w:r>
        <w:rPr>
          <w:spacing w:val="-23"/>
        </w:rPr>
        <w:t> </w:t>
      </w:r>
      <w:r>
        <w:rPr/>
        <w:t>producer</w:t>
      </w:r>
      <w:r>
        <w:rPr>
          <w:spacing w:val="-22"/>
        </w:rPr>
        <w:t> </w:t>
      </w:r>
      <w:r>
        <w:rPr/>
        <w:t>of</w:t>
      </w:r>
      <w:r>
        <w:rPr>
          <w:spacing w:val="-22"/>
        </w:rPr>
        <w:t> </w:t>
      </w:r>
      <w:r>
        <w:rPr/>
        <w:t>wind</w:t>
      </w:r>
      <w:r>
        <w:rPr>
          <w:spacing w:val="-23"/>
        </w:rPr>
        <w:t> </w:t>
      </w:r>
      <w:r>
        <w:rPr/>
        <w:t>power</w:t>
      </w:r>
      <w:r>
        <w:rPr>
          <w:spacing w:val="-22"/>
        </w:rPr>
        <w:t> </w:t>
      </w:r>
      <w:r>
        <w:rPr/>
        <w:t>in</w:t>
      </w:r>
      <w:r>
        <w:rPr>
          <w:spacing w:val="-23"/>
        </w:rPr>
        <w:t> </w:t>
      </w:r>
      <w:r>
        <w:rPr/>
        <w:t>the</w:t>
      </w:r>
      <w:r>
        <w:rPr>
          <w:spacing w:val="-22"/>
        </w:rPr>
        <w:t> </w:t>
      </w:r>
      <w:r>
        <w:rPr/>
        <w:t>world.</w:t>
      </w:r>
      <w:r>
        <w:rPr>
          <w:spacing w:val="-22"/>
        </w:rPr>
        <w:t> </w:t>
      </w:r>
      <w:r>
        <w:rPr/>
        <w:t>Additionally,</w:t>
      </w:r>
      <w:r>
        <w:rPr>
          <w:spacing w:val="-23"/>
        </w:rPr>
        <w:t> </w:t>
      </w:r>
      <w:r>
        <w:rPr/>
        <w:t>India</w:t>
      </w:r>
      <w:r>
        <w:rPr>
          <w:spacing w:val="-17"/>
        </w:rPr>
        <w:t> </w:t>
      </w:r>
      <w:r>
        <w:rPr/>
        <w:t>has</w:t>
      </w:r>
      <w:r>
        <w:rPr>
          <w:spacing w:val="-23"/>
        </w:rPr>
        <w:t> </w:t>
      </w:r>
      <w:r>
        <w:rPr/>
        <w:t>set</w:t>
      </w:r>
      <w:r>
        <w:rPr>
          <w:spacing w:val="-22"/>
        </w:rPr>
        <w:t> </w:t>
      </w:r>
      <w:r>
        <w:rPr/>
        <w:t>a</w:t>
      </w:r>
      <w:r>
        <w:rPr>
          <w:spacing w:val="-24"/>
        </w:rPr>
        <w:t> </w:t>
      </w:r>
      <w:r>
        <w:rPr/>
        <w:t>target</w:t>
      </w:r>
      <w:r>
        <w:rPr>
          <w:spacing w:val="-20"/>
        </w:rPr>
        <w:t> </w:t>
      </w:r>
      <w:r>
        <w:rPr/>
        <w:t>to achieve 175 GW of renewable generation by 2022. Moreover, renewable energy installations in India amount</w:t>
      </w:r>
      <w:r>
        <w:rPr>
          <w:spacing w:val="-4"/>
        </w:rPr>
        <w:t> </w:t>
      </w:r>
      <w:r>
        <w:rPr/>
        <w:t>to</w:t>
      </w:r>
      <w:r>
        <w:rPr>
          <w:spacing w:val="-4"/>
        </w:rPr>
        <w:t> </w:t>
      </w:r>
      <w:r>
        <w:rPr/>
        <w:t>approx.</w:t>
      </w:r>
      <w:r>
        <w:rPr>
          <w:spacing w:val="-2"/>
        </w:rPr>
        <w:t> </w:t>
      </w:r>
      <w:r>
        <w:rPr/>
        <w:t>87</w:t>
      </w:r>
      <w:r>
        <w:rPr>
          <w:spacing w:val="-4"/>
        </w:rPr>
        <w:t> </w:t>
      </w:r>
      <w:r>
        <w:rPr/>
        <w:t>GW</w:t>
      </w:r>
      <w:r>
        <w:rPr>
          <w:spacing w:val="-4"/>
        </w:rPr>
        <w:t> </w:t>
      </w:r>
      <w:r>
        <w:rPr/>
        <w:t>as</w:t>
      </w:r>
      <w:r>
        <w:rPr>
          <w:spacing w:val="-3"/>
        </w:rPr>
        <w:t> </w:t>
      </w:r>
      <w:r>
        <w:rPr/>
        <w:t>of</w:t>
      </w:r>
      <w:r>
        <w:rPr>
          <w:spacing w:val="-2"/>
        </w:rPr>
        <w:t> </w:t>
      </w:r>
      <w:r>
        <w:rPr/>
        <w:t>March</w:t>
      </w:r>
      <w:r>
        <w:rPr>
          <w:spacing w:val="-4"/>
        </w:rPr>
        <w:t> </w:t>
      </w:r>
      <w:r>
        <w:rPr/>
        <w:t>2020,</w:t>
      </w:r>
      <w:r>
        <w:rPr>
          <w:spacing w:val="-4"/>
        </w:rPr>
        <w:t> </w:t>
      </w:r>
      <w:r>
        <w:rPr/>
        <w:t>accounting</w:t>
      </w:r>
      <w:r>
        <w:rPr>
          <w:spacing w:val="-3"/>
        </w:rPr>
        <w:t> </w:t>
      </w:r>
      <w:r>
        <w:rPr/>
        <w:t>for</w:t>
      </w:r>
      <w:r>
        <w:rPr>
          <w:spacing w:val="-4"/>
        </w:rPr>
        <w:t> </w:t>
      </w:r>
      <w:r>
        <w:rPr/>
        <w:t>approx.</w:t>
      </w:r>
      <w:r>
        <w:rPr>
          <w:spacing w:val="-1"/>
        </w:rPr>
        <w:t> </w:t>
      </w:r>
      <w:r>
        <w:rPr/>
        <w:t>24%</w:t>
      </w:r>
      <w:r>
        <w:rPr>
          <w:spacing w:val="-6"/>
        </w:rPr>
        <w:t> </w:t>
      </w:r>
      <w:r>
        <w:rPr/>
        <w:t>of</w:t>
      </w:r>
      <w:r>
        <w:rPr>
          <w:spacing w:val="-3"/>
        </w:rPr>
        <w:t> </w:t>
      </w:r>
      <w:r>
        <w:rPr/>
        <w:t>the</w:t>
      </w:r>
      <w:r>
        <w:rPr>
          <w:spacing w:val="-5"/>
        </w:rPr>
        <w:t> </w:t>
      </w:r>
      <w:r>
        <w:rPr/>
        <w:t>total</w:t>
      </w:r>
      <w:r>
        <w:rPr>
          <w:spacing w:val="-5"/>
        </w:rPr>
        <w:t> </w:t>
      </w:r>
      <w:r>
        <w:rPr/>
        <w:t>energy</w:t>
      </w:r>
      <w:r>
        <w:rPr>
          <w:spacing w:val="-5"/>
        </w:rPr>
        <w:t> </w:t>
      </w:r>
      <w:r>
        <w:rPr/>
        <w:t>source</w:t>
      </w:r>
      <w:r>
        <w:rPr>
          <w:spacing w:val="-4"/>
        </w:rPr>
        <w:t> </w:t>
      </w:r>
      <w:r>
        <w:rPr/>
        <w:t>in India. Further, India has an installed solar capacity of approx. 34.63 GW as of March 2020 which contributes</w:t>
      </w:r>
      <w:r>
        <w:rPr>
          <w:spacing w:val="-11"/>
        </w:rPr>
        <w:t> </w:t>
      </w:r>
      <w:r>
        <w:rPr/>
        <w:t>approx.</w:t>
      </w:r>
      <w:r>
        <w:rPr>
          <w:spacing w:val="-11"/>
        </w:rPr>
        <w:t> </w:t>
      </w:r>
      <w:r>
        <w:rPr/>
        <w:t>40%</w:t>
      </w:r>
      <w:r>
        <w:rPr>
          <w:spacing w:val="-15"/>
        </w:rPr>
        <w:t> </w:t>
      </w:r>
      <w:r>
        <w:rPr/>
        <w:t>of</w:t>
      </w:r>
      <w:r>
        <w:rPr>
          <w:spacing w:val="-11"/>
        </w:rPr>
        <w:t> </w:t>
      </w:r>
      <w:r>
        <w:rPr/>
        <w:t>the</w:t>
      </w:r>
      <w:r>
        <w:rPr>
          <w:spacing w:val="-12"/>
        </w:rPr>
        <w:t> </w:t>
      </w:r>
      <w:r>
        <w:rPr/>
        <w:t>total</w:t>
      </w:r>
      <w:r>
        <w:rPr>
          <w:spacing w:val="-13"/>
        </w:rPr>
        <w:t> </w:t>
      </w:r>
      <w:r>
        <w:rPr/>
        <w:t>installed</w:t>
      </w:r>
      <w:r>
        <w:rPr>
          <w:spacing w:val="-11"/>
        </w:rPr>
        <w:t> </w:t>
      </w:r>
      <w:r>
        <w:rPr/>
        <w:t>capacity</w:t>
      </w:r>
      <w:r>
        <w:rPr>
          <w:spacing w:val="-11"/>
        </w:rPr>
        <w:t> </w:t>
      </w:r>
      <w:r>
        <w:rPr/>
        <w:t>from</w:t>
      </w:r>
      <w:r>
        <w:rPr>
          <w:spacing w:val="-12"/>
        </w:rPr>
        <w:t> </w:t>
      </w:r>
      <w:r>
        <w:rPr/>
        <w:t>renewable</w:t>
      </w:r>
      <w:r>
        <w:rPr>
          <w:spacing w:val="-12"/>
        </w:rPr>
        <w:t> </w:t>
      </w:r>
      <w:r>
        <w:rPr/>
        <w:t>energy</w:t>
      </w:r>
      <w:r>
        <w:rPr>
          <w:spacing w:val="-13"/>
        </w:rPr>
        <w:t> </w:t>
      </w:r>
      <w:r>
        <w:rPr/>
        <w:t>sources</w:t>
      </w:r>
      <w:r>
        <w:rPr>
          <w:vertAlign w:val="superscript"/>
        </w:rPr>
        <w:t>7</w:t>
      </w:r>
      <w:r>
        <w:rPr>
          <w:vertAlign w:val="baseline"/>
        </w:rPr>
        <w:t>.</w:t>
      </w:r>
    </w:p>
    <w:p>
      <w:pPr>
        <w:pStyle w:val="BodyText"/>
        <w:spacing w:before="11"/>
        <w:rPr>
          <w:sz w:val="20"/>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382" w:id="746"/>
      <w:bookmarkEnd w:id="746"/>
      <w:r>
        <w:rPr/>
      </w:r>
      <w:bookmarkStart w:name="_bookmark382" w:id="747"/>
      <w:bookmarkEnd w:id="747"/>
      <w:r>
        <w:rPr>
          <w:color w:val="1F664D"/>
          <w:w w:val="105"/>
          <w:sz w:val="22"/>
        </w:rPr>
        <w:t>In</w:t>
      </w:r>
      <w:r>
        <w:rPr>
          <w:color w:val="1F664D"/>
          <w:w w:val="105"/>
          <w:sz w:val="22"/>
        </w:rPr>
        <w:t>dian Solar Industry</w:t>
      </w:r>
      <w:r>
        <w:rPr>
          <w:color w:val="1F664D"/>
          <w:spacing w:val="-19"/>
          <w:w w:val="105"/>
          <w:sz w:val="22"/>
        </w:rPr>
        <w:t> </w:t>
      </w:r>
      <w:r>
        <w:rPr>
          <w:color w:val="1F664D"/>
          <w:w w:val="105"/>
          <w:sz w:val="22"/>
        </w:rPr>
        <w:t>Overview</w:t>
      </w:r>
    </w:p>
    <w:p>
      <w:pPr>
        <w:pStyle w:val="BodyText"/>
        <w:spacing w:line="321" w:lineRule="auto" w:before="208"/>
        <w:ind w:left="1220" w:right="671"/>
        <w:jc w:val="both"/>
      </w:pPr>
      <w:r>
        <w:rPr/>
        <w:t>India is endowed with huge solar energy potential with most states having about 300 sunny days per year</w:t>
      </w:r>
      <w:r>
        <w:rPr>
          <w:spacing w:val="-19"/>
        </w:rPr>
        <w:t> </w:t>
      </w:r>
      <w:r>
        <w:rPr/>
        <w:t>with</w:t>
      </w:r>
      <w:r>
        <w:rPr>
          <w:spacing w:val="-19"/>
        </w:rPr>
        <w:t> </w:t>
      </w:r>
      <w:r>
        <w:rPr/>
        <w:t>an</w:t>
      </w:r>
      <w:r>
        <w:rPr>
          <w:spacing w:val="-20"/>
        </w:rPr>
        <w:t> </w:t>
      </w:r>
      <w:r>
        <w:rPr/>
        <w:t>annual</w:t>
      </w:r>
      <w:r>
        <w:rPr>
          <w:spacing w:val="-19"/>
        </w:rPr>
        <w:t> </w:t>
      </w:r>
      <w:r>
        <w:rPr/>
        <w:t>solar</w:t>
      </w:r>
      <w:r>
        <w:rPr>
          <w:spacing w:val="-19"/>
        </w:rPr>
        <w:t> </w:t>
      </w:r>
      <w:r>
        <w:rPr/>
        <w:t>radiation</w:t>
      </w:r>
      <w:r>
        <w:rPr>
          <w:spacing w:val="-20"/>
        </w:rPr>
        <w:t> </w:t>
      </w:r>
      <w:r>
        <w:rPr/>
        <w:t>in</w:t>
      </w:r>
      <w:r>
        <w:rPr>
          <w:spacing w:val="-19"/>
        </w:rPr>
        <w:t> </w:t>
      </w:r>
      <w:r>
        <w:rPr/>
        <w:t>the</w:t>
      </w:r>
      <w:r>
        <w:rPr>
          <w:spacing w:val="-20"/>
        </w:rPr>
        <w:t> </w:t>
      </w:r>
      <w:r>
        <w:rPr/>
        <w:t>range</w:t>
      </w:r>
      <w:r>
        <w:rPr>
          <w:spacing w:val="-17"/>
        </w:rPr>
        <w:t> </w:t>
      </w:r>
      <w:r>
        <w:rPr/>
        <w:t>of</w:t>
      </w:r>
      <w:r>
        <w:rPr>
          <w:spacing w:val="-18"/>
        </w:rPr>
        <w:t> </w:t>
      </w:r>
      <w:r>
        <w:rPr/>
        <w:t>4.5</w:t>
      </w:r>
      <w:r>
        <w:rPr>
          <w:spacing w:val="-19"/>
        </w:rPr>
        <w:t> </w:t>
      </w:r>
      <w:r>
        <w:rPr>
          <w:w w:val="105"/>
        </w:rPr>
        <w:t>–</w:t>
      </w:r>
      <w:r>
        <w:rPr>
          <w:spacing w:val="-22"/>
          <w:w w:val="105"/>
        </w:rPr>
        <w:t> </w:t>
      </w:r>
      <w:r>
        <w:rPr/>
        <w:t>6.5</w:t>
      </w:r>
      <w:r>
        <w:rPr>
          <w:spacing w:val="-20"/>
        </w:rPr>
        <w:t> </w:t>
      </w:r>
      <w:r>
        <w:rPr/>
        <w:t>kWh/m</w:t>
      </w:r>
      <w:r>
        <w:rPr>
          <w:vertAlign w:val="superscript"/>
        </w:rPr>
        <w:t>2</w:t>
      </w:r>
      <w:r>
        <w:rPr>
          <w:vertAlign w:val="baseline"/>
        </w:rPr>
        <w:t>/day.</w:t>
      </w:r>
      <w:r>
        <w:rPr>
          <w:spacing w:val="-19"/>
          <w:vertAlign w:val="baseline"/>
        </w:rPr>
        <w:t> </w:t>
      </w:r>
      <w:r>
        <w:rPr>
          <w:vertAlign w:val="baseline"/>
        </w:rPr>
        <w:t>Further,</w:t>
      </w:r>
      <w:r>
        <w:rPr>
          <w:spacing w:val="-19"/>
          <w:vertAlign w:val="baseline"/>
        </w:rPr>
        <w:t> </w:t>
      </w:r>
      <w:r>
        <w:rPr>
          <w:vertAlign w:val="baseline"/>
        </w:rPr>
        <w:t>the</w:t>
      </w:r>
      <w:r>
        <w:rPr>
          <w:spacing w:val="-18"/>
          <w:vertAlign w:val="baseline"/>
        </w:rPr>
        <w:t> </w:t>
      </w:r>
      <w:r>
        <w:rPr>
          <w:vertAlign w:val="baseline"/>
        </w:rPr>
        <w:t>favourable</w:t>
      </w:r>
      <w:r>
        <w:rPr>
          <w:spacing w:val="-20"/>
          <w:vertAlign w:val="baseline"/>
        </w:rPr>
        <w:t> </w:t>
      </w:r>
      <w:r>
        <w:rPr>
          <w:vertAlign w:val="baseline"/>
        </w:rPr>
        <w:t>state level</w:t>
      </w:r>
      <w:r>
        <w:rPr>
          <w:spacing w:val="-38"/>
          <w:vertAlign w:val="baseline"/>
        </w:rPr>
        <w:t> </w:t>
      </w:r>
      <w:r>
        <w:rPr>
          <w:vertAlign w:val="baseline"/>
        </w:rPr>
        <w:t>policies,</w:t>
      </w:r>
      <w:r>
        <w:rPr>
          <w:spacing w:val="-37"/>
          <w:vertAlign w:val="baseline"/>
        </w:rPr>
        <w:t> </w:t>
      </w:r>
      <w:r>
        <w:rPr>
          <w:vertAlign w:val="baseline"/>
        </w:rPr>
        <w:t>feed-in-tariff</w:t>
      </w:r>
      <w:r>
        <w:rPr>
          <w:spacing w:val="-36"/>
          <w:vertAlign w:val="baseline"/>
        </w:rPr>
        <w:t> </w:t>
      </w:r>
      <w:r>
        <w:rPr>
          <w:vertAlign w:val="baseline"/>
        </w:rPr>
        <w:t>regime,</w:t>
      </w:r>
      <w:r>
        <w:rPr>
          <w:spacing w:val="-37"/>
          <w:vertAlign w:val="baseline"/>
        </w:rPr>
        <w:t> </w:t>
      </w:r>
      <w:r>
        <w:rPr>
          <w:vertAlign w:val="baseline"/>
        </w:rPr>
        <w:t>viability</w:t>
      </w:r>
      <w:r>
        <w:rPr>
          <w:spacing w:val="-37"/>
          <w:vertAlign w:val="baseline"/>
        </w:rPr>
        <w:t> </w:t>
      </w:r>
      <w:r>
        <w:rPr>
          <w:vertAlign w:val="baseline"/>
        </w:rPr>
        <w:t>gap</w:t>
      </w:r>
      <w:r>
        <w:rPr>
          <w:spacing w:val="-37"/>
          <w:vertAlign w:val="baseline"/>
        </w:rPr>
        <w:t> </w:t>
      </w:r>
      <w:r>
        <w:rPr>
          <w:vertAlign w:val="baseline"/>
        </w:rPr>
        <w:t>funding</w:t>
      </w:r>
      <w:r>
        <w:rPr>
          <w:spacing w:val="-36"/>
          <w:vertAlign w:val="baseline"/>
        </w:rPr>
        <w:t> </w:t>
      </w:r>
      <w:r>
        <w:rPr>
          <w:vertAlign w:val="baseline"/>
        </w:rPr>
        <w:t>mechanism,</w:t>
      </w:r>
      <w:r>
        <w:rPr>
          <w:spacing w:val="-37"/>
          <w:vertAlign w:val="baseline"/>
        </w:rPr>
        <w:t> </w:t>
      </w:r>
      <w:r>
        <w:rPr>
          <w:vertAlign w:val="baseline"/>
        </w:rPr>
        <w:t>capital</w:t>
      </w:r>
      <w:r>
        <w:rPr>
          <w:spacing w:val="-38"/>
          <w:vertAlign w:val="baseline"/>
        </w:rPr>
        <w:t> </w:t>
      </w:r>
      <w:r>
        <w:rPr>
          <w:vertAlign w:val="baseline"/>
        </w:rPr>
        <w:t>subsidies,</w:t>
      </w:r>
      <w:r>
        <w:rPr>
          <w:spacing w:val="-37"/>
          <w:vertAlign w:val="baseline"/>
        </w:rPr>
        <w:t> </w:t>
      </w:r>
      <w:r>
        <w:rPr>
          <w:vertAlign w:val="baseline"/>
        </w:rPr>
        <w:t>progressive</w:t>
      </w:r>
      <w:r>
        <w:rPr>
          <w:spacing w:val="-37"/>
          <w:vertAlign w:val="baseline"/>
        </w:rPr>
        <w:t> </w:t>
      </w:r>
      <w:r>
        <w:rPr>
          <w:vertAlign w:val="baseline"/>
        </w:rPr>
        <w:t>net- metering arrangements and solar specific Renewable Purchase Obligations (RPO) have created a supportive</w:t>
      </w:r>
      <w:r>
        <w:rPr>
          <w:spacing w:val="-8"/>
          <w:vertAlign w:val="baseline"/>
        </w:rPr>
        <w:t> </w:t>
      </w:r>
      <w:r>
        <w:rPr>
          <w:vertAlign w:val="baseline"/>
        </w:rPr>
        <w:t>environment</w:t>
      </w:r>
      <w:r>
        <w:rPr>
          <w:spacing w:val="-8"/>
          <w:vertAlign w:val="baseline"/>
        </w:rPr>
        <w:t> </w:t>
      </w:r>
      <w:r>
        <w:rPr>
          <w:vertAlign w:val="baseline"/>
        </w:rPr>
        <w:t>for</w:t>
      </w:r>
      <w:r>
        <w:rPr>
          <w:spacing w:val="-8"/>
          <w:vertAlign w:val="baseline"/>
        </w:rPr>
        <w:t> </w:t>
      </w:r>
      <w:r>
        <w:rPr>
          <w:vertAlign w:val="baseline"/>
        </w:rPr>
        <w:t>development</w:t>
      </w:r>
      <w:r>
        <w:rPr>
          <w:spacing w:val="-8"/>
          <w:vertAlign w:val="baseline"/>
        </w:rPr>
        <w:t> </w:t>
      </w:r>
      <w:r>
        <w:rPr>
          <w:vertAlign w:val="baseline"/>
        </w:rPr>
        <w:t>of</w:t>
      </w:r>
      <w:r>
        <w:rPr>
          <w:spacing w:val="-6"/>
          <w:vertAlign w:val="baseline"/>
        </w:rPr>
        <w:t> </w:t>
      </w:r>
      <w:r>
        <w:rPr>
          <w:vertAlign w:val="baseline"/>
        </w:rPr>
        <w:t>solar</w:t>
      </w:r>
      <w:r>
        <w:rPr>
          <w:spacing w:val="-11"/>
          <w:vertAlign w:val="baseline"/>
        </w:rPr>
        <w:t> </w:t>
      </w:r>
      <w:r>
        <w:rPr>
          <w:vertAlign w:val="baseline"/>
        </w:rPr>
        <w:t>power</w:t>
      </w:r>
      <w:r>
        <w:rPr>
          <w:spacing w:val="-7"/>
          <w:vertAlign w:val="baseline"/>
        </w:rPr>
        <w:t> </w:t>
      </w:r>
      <w:r>
        <w:rPr>
          <w:vertAlign w:val="baseline"/>
        </w:rPr>
        <w:t>in</w:t>
      </w:r>
      <w:r>
        <w:rPr>
          <w:spacing w:val="-9"/>
          <w:vertAlign w:val="baseline"/>
        </w:rPr>
        <w:t> </w:t>
      </w:r>
      <w:r>
        <w:rPr>
          <w:vertAlign w:val="baseline"/>
        </w:rPr>
        <w:t>the</w:t>
      </w:r>
      <w:r>
        <w:rPr>
          <w:spacing w:val="-7"/>
          <w:vertAlign w:val="baseline"/>
        </w:rPr>
        <w:t> </w:t>
      </w:r>
      <w:r>
        <w:rPr>
          <w:vertAlign w:val="baseline"/>
        </w:rPr>
        <w:t>country.</w:t>
      </w:r>
    </w:p>
    <w:p>
      <w:pPr>
        <w:pStyle w:val="BodyText"/>
        <w:spacing w:before="10"/>
        <w:rPr>
          <w:sz w:val="20"/>
        </w:rPr>
      </w:pPr>
    </w:p>
    <w:p>
      <w:pPr>
        <w:pStyle w:val="BodyText"/>
        <w:spacing w:line="321" w:lineRule="auto"/>
        <w:ind w:left="1220" w:right="680"/>
        <w:jc w:val="both"/>
      </w:pPr>
      <w:r>
        <w:rPr/>
        <w:t>In</w:t>
      </w:r>
      <w:r>
        <w:rPr>
          <w:spacing w:val="-17"/>
        </w:rPr>
        <w:t> </w:t>
      </w:r>
      <w:r>
        <w:rPr/>
        <w:t>the</w:t>
      </w:r>
      <w:r>
        <w:rPr>
          <w:spacing w:val="-16"/>
        </w:rPr>
        <w:t> </w:t>
      </w:r>
      <w:r>
        <w:rPr/>
        <w:t>past</w:t>
      </w:r>
      <w:r>
        <w:rPr>
          <w:spacing w:val="-16"/>
        </w:rPr>
        <w:t> </w:t>
      </w:r>
      <w:r>
        <w:rPr/>
        <w:t>years,</w:t>
      </w:r>
      <w:r>
        <w:rPr>
          <w:spacing w:val="-16"/>
        </w:rPr>
        <w:t> </w:t>
      </w:r>
      <w:r>
        <w:rPr/>
        <w:t>there</w:t>
      </w:r>
      <w:r>
        <w:rPr>
          <w:spacing w:val="-17"/>
        </w:rPr>
        <w:t> </w:t>
      </w:r>
      <w:r>
        <w:rPr/>
        <w:t>were</w:t>
      </w:r>
      <w:r>
        <w:rPr>
          <w:spacing w:val="-17"/>
        </w:rPr>
        <w:t> </w:t>
      </w:r>
      <w:r>
        <w:rPr/>
        <w:t>several</w:t>
      </w:r>
      <w:r>
        <w:rPr>
          <w:spacing w:val="-15"/>
        </w:rPr>
        <w:t> </w:t>
      </w:r>
      <w:r>
        <w:rPr/>
        <w:t>policy</w:t>
      </w:r>
      <w:r>
        <w:rPr>
          <w:spacing w:val="-14"/>
        </w:rPr>
        <w:t> </w:t>
      </w:r>
      <w:r>
        <w:rPr/>
        <w:t>measures</w:t>
      </w:r>
      <w:r>
        <w:rPr>
          <w:spacing w:val="-16"/>
        </w:rPr>
        <w:t> </w:t>
      </w:r>
      <w:r>
        <w:rPr/>
        <w:t>which</w:t>
      </w:r>
      <w:r>
        <w:rPr>
          <w:spacing w:val="-16"/>
        </w:rPr>
        <w:t> </w:t>
      </w:r>
      <w:r>
        <w:rPr/>
        <w:t>were</w:t>
      </w:r>
      <w:r>
        <w:rPr>
          <w:spacing w:val="-15"/>
        </w:rPr>
        <w:t> </w:t>
      </w:r>
      <w:r>
        <w:rPr/>
        <w:t>undertaken</w:t>
      </w:r>
      <w:r>
        <w:rPr>
          <w:spacing w:val="-17"/>
        </w:rPr>
        <w:t> </w:t>
      </w:r>
      <w:r>
        <w:rPr/>
        <w:t>to</w:t>
      </w:r>
      <w:r>
        <w:rPr>
          <w:spacing w:val="-15"/>
        </w:rPr>
        <w:t> </w:t>
      </w:r>
      <w:r>
        <w:rPr/>
        <w:t>encourage</w:t>
      </w:r>
      <w:r>
        <w:rPr>
          <w:spacing w:val="-16"/>
        </w:rPr>
        <w:t> </w:t>
      </w:r>
      <w:r>
        <w:rPr/>
        <w:t>renewable energy</w:t>
      </w:r>
      <w:r>
        <w:rPr>
          <w:spacing w:val="-8"/>
        </w:rPr>
        <w:t> </w:t>
      </w:r>
      <w:r>
        <w:rPr/>
        <w:t>generation.</w:t>
      </w:r>
      <w:r>
        <w:rPr>
          <w:spacing w:val="-9"/>
        </w:rPr>
        <w:t> </w:t>
      </w:r>
      <w:r>
        <w:rPr/>
        <w:t>A</w:t>
      </w:r>
      <w:r>
        <w:rPr>
          <w:spacing w:val="-11"/>
        </w:rPr>
        <w:t> </w:t>
      </w:r>
      <w:r>
        <w:rPr/>
        <w:t>few</w:t>
      </w:r>
      <w:r>
        <w:rPr>
          <w:spacing w:val="-9"/>
        </w:rPr>
        <w:t> </w:t>
      </w:r>
      <w:r>
        <w:rPr/>
        <w:t>key</w:t>
      </w:r>
      <w:r>
        <w:rPr>
          <w:spacing w:val="-8"/>
        </w:rPr>
        <w:t> </w:t>
      </w:r>
      <w:r>
        <w:rPr/>
        <w:t>policy</w:t>
      </w:r>
      <w:r>
        <w:rPr>
          <w:spacing w:val="-7"/>
        </w:rPr>
        <w:t> </w:t>
      </w:r>
      <w:r>
        <w:rPr/>
        <w:t>initiatives</w:t>
      </w:r>
      <w:r>
        <w:rPr>
          <w:spacing w:val="-8"/>
        </w:rPr>
        <w:t> </w:t>
      </w:r>
      <w:r>
        <w:rPr/>
        <w:t>have</w:t>
      </w:r>
      <w:r>
        <w:rPr>
          <w:spacing w:val="-8"/>
        </w:rPr>
        <w:t> </w:t>
      </w:r>
      <w:r>
        <w:rPr/>
        <w:t>been</w:t>
      </w:r>
      <w:r>
        <w:rPr>
          <w:spacing w:val="-10"/>
        </w:rPr>
        <w:t> </w:t>
      </w:r>
      <w:r>
        <w:rPr/>
        <w:t>highlighted</w:t>
      </w:r>
      <w:r>
        <w:rPr>
          <w:spacing w:val="-10"/>
        </w:rPr>
        <w:t> </w:t>
      </w:r>
      <w:r>
        <w:rPr/>
        <w:t>below:</w:t>
      </w:r>
    </w:p>
    <w:p>
      <w:pPr>
        <w:pStyle w:val="BodyText"/>
        <w:spacing w:before="1"/>
        <w:rPr>
          <w:sz w:val="17"/>
        </w:rPr>
      </w:pPr>
      <w:r>
        <w:rPr/>
        <w:pict>
          <v:group style="position:absolute;margin-left:35.279999pt;margin-top:11.873048pt;width:524.3pt;height:22.95pt;mso-position-horizontal-relative:page;mso-position-vertical-relative:paragraph;z-index:-14942208;mso-wrap-distance-left:0;mso-wrap-distance-right:0" coordorigin="706,237" coordsize="10486,459">
            <v:shape style="position:absolute;left:720;top:266;width:10472;height:416" coordorigin="720,266" coordsize="10472,416" path="m11191,266l4619,266,720,266,720,682,4619,682,11191,682,11191,266xe" filled="true" fillcolor="#006a4d" stroked="false">
              <v:path arrowok="t"/>
              <v:fill type="solid"/>
            </v:shape>
            <v:rect style="position:absolute;left:720;top:237;width:3899;height:29" filled="true" fillcolor="#1f6b16" stroked="false">
              <v:fill type="solid"/>
            </v:rect>
            <v:shape style="position:absolute;left:720;top:266;width:3928;height:3" coordorigin="720,266" coordsize="3928,3" path="m4647,266l4619,266,720,266,720,269,4619,269,4647,269,4647,266xe" filled="true" fillcolor="#006a4d" stroked="false">
              <v:path arrowok="t"/>
              <v:fill type="solid"/>
            </v:shape>
            <v:shape style="position:absolute;left:4618;top:237;width:6573;height:29" coordorigin="4619,237" coordsize="6573,29" path="m11191,237l4647,237,4619,237,4619,266,4647,266,11191,266,11191,237xe" filled="true" fillcolor="#1f6b16" stroked="false">
              <v:path arrowok="t"/>
              <v:fill type="solid"/>
            </v:shape>
            <v:rect style="position:absolute;left:4647;top:266;width:6544;height:3" filled="true" fillcolor="#006a4d" stroked="false">
              <v:fill type="solid"/>
            </v:rect>
            <v:shape style="position:absolute;left:720;top:681;width:10472;height:15" coordorigin="720,682" coordsize="10472,15" path="m4633,682l4619,682,720,682,720,696,4619,696,4633,696,4633,682xm11191,682l4633,682,4633,696,11191,696,11191,682xe" filled="true" fillcolor="#69bd28" stroked="false">
              <v:path arrowok="t"/>
              <v:fill type="solid"/>
            </v:shape>
            <v:shape style="position:absolute;left:705;top:266;width:10486;height:416" type="#_x0000_t202" filled="false" stroked="false">
              <v:textbox inset="0,0,0,0">
                <w:txbxContent>
                  <w:p>
                    <w:pPr>
                      <w:tabs>
                        <w:tab w:pos="6904" w:val="left" w:leader="none"/>
                      </w:tabs>
                      <w:spacing w:before="105"/>
                      <w:ind w:left="1704" w:right="0" w:firstLine="0"/>
                      <w:jc w:val="left"/>
                      <w:rPr>
                        <w:b/>
                        <w:sz w:val="18"/>
                      </w:rPr>
                    </w:pPr>
                    <w:r>
                      <w:rPr>
                        <w:b/>
                        <w:color w:val="FFFFFF"/>
                        <w:w w:val="105"/>
                        <w:sz w:val="18"/>
                      </w:rPr>
                      <w:t>Policy</w:t>
                      <w:tab/>
                      <w:t>Target</w:t>
                    </w:r>
                  </w:p>
                </w:txbxContent>
              </v:textbox>
              <w10:wrap type="none"/>
            </v:shape>
            <w10:wrap type="topAndBottom"/>
          </v:group>
        </w:pict>
      </w:r>
    </w:p>
    <w:p>
      <w:pPr>
        <w:tabs>
          <w:tab w:pos="5104" w:val="left" w:leader="none"/>
        </w:tabs>
        <w:spacing w:before="123"/>
        <w:ind w:left="1013" w:right="0" w:firstLine="0"/>
        <w:jc w:val="left"/>
        <w:rPr>
          <w:sz w:val="18"/>
        </w:rPr>
      </w:pPr>
      <w:r>
        <w:rPr>
          <w:sz w:val="18"/>
        </w:rPr>
        <w:t>National Action Plan for</w:t>
      </w:r>
      <w:r>
        <w:rPr>
          <w:spacing w:val="-27"/>
          <w:sz w:val="18"/>
        </w:rPr>
        <w:t> </w:t>
      </w:r>
      <w:r>
        <w:rPr>
          <w:sz w:val="18"/>
        </w:rPr>
        <w:t>Climate</w:t>
      </w:r>
      <w:r>
        <w:rPr>
          <w:spacing w:val="-6"/>
          <w:sz w:val="18"/>
        </w:rPr>
        <w:t> </w:t>
      </w:r>
      <w:r>
        <w:rPr>
          <w:sz w:val="18"/>
        </w:rPr>
        <w:t>Change</w:t>
        <w:tab/>
        <w:t>To increase renewable penetration in energy from 5% to 15% by</w:t>
      </w:r>
      <w:r>
        <w:rPr>
          <w:spacing w:val="-37"/>
          <w:sz w:val="18"/>
        </w:rPr>
        <w:t> </w:t>
      </w:r>
      <w:r>
        <w:rPr>
          <w:sz w:val="18"/>
        </w:rPr>
        <w:t>2020</w:t>
      </w:r>
    </w:p>
    <w:p>
      <w:pPr>
        <w:pStyle w:val="BodyText"/>
        <w:spacing w:before="6"/>
        <w:rPr>
          <w:sz w:val="9"/>
        </w:rPr>
      </w:pPr>
      <w:r>
        <w:rPr/>
        <w:pict>
          <v:shape style="position:absolute;margin-left:36pt;margin-top:7.509786pt;width:523.6pt;height:.75pt;mso-position-horizontal-relative:page;mso-position-vertical-relative:paragraph;z-index:-14941696;mso-wrap-distance-left:0;mso-wrap-distance-right:0" coordorigin="720,150" coordsize="10472,15" path="m4633,150l4619,150,720,150,720,165,4619,165,4633,165,4633,150xm11191,150l4633,150,4633,165,11191,165,11191,150xe" filled="true" fillcolor="#69bd28" stroked="false">
            <v:path arrowok="t"/>
            <v:fill type="solid"/>
            <w10:wrap type="topAndBottom"/>
          </v:shape>
        </w:pict>
      </w:r>
    </w:p>
    <w:p>
      <w:pPr>
        <w:tabs>
          <w:tab w:pos="3896" w:val="left" w:leader="none"/>
        </w:tabs>
        <w:spacing w:before="87" w:after="114"/>
        <w:ind w:left="100" w:right="0" w:firstLine="0"/>
        <w:jc w:val="center"/>
        <w:rPr>
          <w:sz w:val="18"/>
        </w:rPr>
      </w:pPr>
      <w:r>
        <w:rPr>
          <w:sz w:val="18"/>
        </w:rPr>
        <w:t>National</w:t>
      </w:r>
      <w:r>
        <w:rPr>
          <w:spacing w:val="2"/>
          <w:sz w:val="18"/>
        </w:rPr>
        <w:t> </w:t>
      </w:r>
      <w:r>
        <w:rPr>
          <w:sz w:val="18"/>
        </w:rPr>
        <w:t>Solar</w:t>
      </w:r>
      <w:r>
        <w:rPr>
          <w:spacing w:val="2"/>
          <w:sz w:val="18"/>
        </w:rPr>
        <w:t> </w:t>
      </w:r>
      <w:r>
        <w:rPr>
          <w:sz w:val="18"/>
        </w:rPr>
        <w:t>Mission</w:t>
        <w:tab/>
        <w:t>Target of 100 GW Solar energy capacity additions by</w:t>
      </w:r>
      <w:r>
        <w:rPr>
          <w:spacing w:val="-20"/>
          <w:sz w:val="18"/>
        </w:rPr>
        <w:t> </w:t>
      </w:r>
      <w:r>
        <w:rPr>
          <w:sz w:val="18"/>
        </w:rPr>
        <w:t>2022</w:t>
      </w:r>
    </w:p>
    <w:p>
      <w:pPr>
        <w:pStyle w:val="BodyText"/>
        <w:spacing w:line="20" w:lineRule="exact"/>
        <w:ind w:left="680"/>
        <w:rPr>
          <w:sz w:val="2"/>
        </w:rPr>
      </w:pPr>
      <w:r>
        <w:rPr>
          <w:sz w:val="2"/>
        </w:rPr>
        <w:pict>
          <v:group style="width:523.6pt;height:.75pt;mso-position-horizontal-relative:char;mso-position-vertical-relative:line" coordorigin="0,0" coordsize="10472,15">
            <v:shape style="position:absolute;left:0;top:0;width:10472;height:15" coordorigin="0,0" coordsize="10472,15" path="m3913,0l3899,0,0,0,0,14,3899,14,3913,14,3913,0xm10471,0l3913,0,3913,14,10471,14,10471,0xe" filled="true" fillcolor="#69bd28" stroked="false">
              <v:path arrowok="t"/>
              <v:fill type="solid"/>
            </v:shape>
          </v:group>
        </w:pict>
      </w:r>
      <w:r>
        <w:rPr>
          <w:sz w:val="2"/>
        </w:rPr>
      </w:r>
    </w:p>
    <w:p>
      <w:pPr>
        <w:tabs>
          <w:tab w:pos="4972" w:val="left" w:leader="none"/>
        </w:tabs>
        <w:spacing w:line="153" w:lineRule="auto" w:before="115"/>
        <w:ind w:left="1366" w:right="0" w:firstLine="0"/>
        <w:jc w:val="left"/>
        <w:rPr>
          <w:sz w:val="18"/>
        </w:rPr>
      </w:pPr>
      <w:r>
        <w:rPr>
          <w:position w:val="-10"/>
          <w:sz w:val="18"/>
        </w:rPr>
        <w:t>Renewable</w:t>
      </w:r>
      <w:r>
        <w:rPr>
          <w:spacing w:val="-17"/>
          <w:position w:val="-10"/>
          <w:sz w:val="18"/>
        </w:rPr>
        <w:t> </w:t>
      </w:r>
      <w:r>
        <w:rPr>
          <w:position w:val="-10"/>
          <w:sz w:val="18"/>
        </w:rPr>
        <w:t>Purchase</w:t>
      </w:r>
      <w:r>
        <w:rPr>
          <w:spacing w:val="-17"/>
          <w:position w:val="-10"/>
          <w:sz w:val="18"/>
        </w:rPr>
        <w:t> </w:t>
      </w:r>
      <w:r>
        <w:rPr>
          <w:position w:val="-10"/>
          <w:sz w:val="18"/>
        </w:rPr>
        <w:t>obligations</w:t>
        <w:tab/>
      </w:r>
      <w:r>
        <w:rPr>
          <w:sz w:val="18"/>
        </w:rPr>
        <w:t>States</w:t>
      </w:r>
      <w:r>
        <w:rPr>
          <w:spacing w:val="-6"/>
          <w:sz w:val="18"/>
        </w:rPr>
        <w:t> </w:t>
      </w:r>
      <w:r>
        <w:rPr>
          <w:sz w:val="18"/>
        </w:rPr>
        <w:t>have</w:t>
      </w:r>
      <w:r>
        <w:rPr>
          <w:spacing w:val="-4"/>
          <w:sz w:val="18"/>
        </w:rPr>
        <w:t> </w:t>
      </w:r>
      <w:r>
        <w:rPr>
          <w:sz w:val="18"/>
        </w:rPr>
        <w:t>already</w:t>
      </w:r>
      <w:r>
        <w:rPr>
          <w:spacing w:val="-7"/>
          <w:sz w:val="18"/>
        </w:rPr>
        <w:t> </w:t>
      </w:r>
      <w:r>
        <w:rPr>
          <w:sz w:val="18"/>
        </w:rPr>
        <w:t>specified;</w:t>
      </w:r>
      <w:r>
        <w:rPr>
          <w:spacing w:val="-7"/>
          <w:sz w:val="18"/>
        </w:rPr>
        <w:t> </w:t>
      </w:r>
      <w:r>
        <w:rPr>
          <w:sz w:val="18"/>
        </w:rPr>
        <w:t>ranging</w:t>
      </w:r>
      <w:r>
        <w:rPr>
          <w:spacing w:val="-7"/>
          <w:sz w:val="18"/>
        </w:rPr>
        <w:t> </w:t>
      </w:r>
      <w:r>
        <w:rPr>
          <w:sz w:val="18"/>
        </w:rPr>
        <w:t>from</w:t>
      </w:r>
      <w:r>
        <w:rPr>
          <w:spacing w:val="-6"/>
          <w:sz w:val="18"/>
        </w:rPr>
        <w:t> </w:t>
      </w:r>
      <w:r>
        <w:rPr>
          <w:sz w:val="18"/>
        </w:rPr>
        <w:t>2%</w:t>
      </w:r>
      <w:r>
        <w:rPr>
          <w:spacing w:val="-6"/>
          <w:sz w:val="18"/>
        </w:rPr>
        <w:t> </w:t>
      </w:r>
      <w:r>
        <w:rPr>
          <w:sz w:val="18"/>
        </w:rPr>
        <w:t>to</w:t>
      </w:r>
      <w:r>
        <w:rPr>
          <w:spacing w:val="-6"/>
          <w:sz w:val="18"/>
        </w:rPr>
        <w:t> </w:t>
      </w:r>
      <w:r>
        <w:rPr>
          <w:sz w:val="18"/>
        </w:rPr>
        <w:t>14%</w:t>
      </w:r>
      <w:r>
        <w:rPr>
          <w:spacing w:val="-6"/>
          <w:sz w:val="18"/>
        </w:rPr>
        <w:t> </w:t>
      </w:r>
      <w:r>
        <w:rPr>
          <w:sz w:val="18"/>
        </w:rPr>
        <w:t>of</w:t>
      </w:r>
      <w:r>
        <w:rPr>
          <w:spacing w:val="-6"/>
          <w:sz w:val="18"/>
        </w:rPr>
        <w:t> </w:t>
      </w:r>
      <w:r>
        <w:rPr>
          <w:sz w:val="18"/>
        </w:rPr>
        <w:t>the</w:t>
      </w:r>
      <w:r>
        <w:rPr>
          <w:spacing w:val="-8"/>
          <w:sz w:val="18"/>
        </w:rPr>
        <w:t> </w:t>
      </w:r>
      <w:r>
        <w:rPr>
          <w:sz w:val="18"/>
        </w:rPr>
        <w:t>total</w:t>
      </w:r>
      <w:r>
        <w:rPr>
          <w:spacing w:val="-7"/>
          <w:sz w:val="18"/>
        </w:rPr>
        <w:t> </w:t>
      </w:r>
      <w:r>
        <w:rPr>
          <w:sz w:val="18"/>
        </w:rPr>
        <w:t>energy</w:t>
      </w:r>
    </w:p>
    <w:p>
      <w:pPr>
        <w:spacing w:line="156" w:lineRule="exact" w:before="0"/>
        <w:ind w:left="4222" w:right="324" w:firstLine="0"/>
        <w:jc w:val="center"/>
        <w:rPr>
          <w:sz w:val="18"/>
        </w:rPr>
      </w:pPr>
      <w:r>
        <w:rPr/>
        <w:pict>
          <v:shape style="position:absolute;margin-left:36pt;margin-top:12.645299pt;width:523.6pt;height:.75pt;mso-position-horizontal-relative:page;mso-position-vertical-relative:paragraph;z-index:-14940672;mso-wrap-distance-left:0;mso-wrap-distance-right:0" coordorigin="720,253" coordsize="10472,15" path="m4633,253l4619,253,720,253,720,267,4619,267,4633,267,4633,253xm11191,253l4633,253,4633,267,11191,267,11191,253xe" filled="true" fillcolor="#69bd28" stroked="false">
            <v:path arrowok="t"/>
            <v:fill type="solid"/>
            <w10:wrap type="topAndBottom"/>
          </v:shape>
        </w:pict>
      </w:r>
      <w:r>
        <w:rPr>
          <w:sz w:val="18"/>
        </w:rPr>
        <w:t>demand to be met by renewable energy</w:t>
      </w:r>
    </w:p>
    <w:p>
      <w:pPr>
        <w:spacing w:before="0"/>
        <w:ind w:left="4214" w:right="324" w:firstLine="0"/>
        <w:jc w:val="center"/>
        <w:rPr>
          <w:sz w:val="18"/>
        </w:rPr>
      </w:pPr>
      <w:r>
        <w:rPr>
          <w:sz w:val="18"/>
        </w:rPr>
        <w:t>Renewable Energy Certificates provide a mechanism for the purchase of</w:t>
      </w:r>
    </w:p>
    <w:p>
      <w:pPr>
        <w:spacing w:after="0"/>
        <w:jc w:val="center"/>
        <w:rPr>
          <w:sz w:val="18"/>
        </w:rPr>
        <w:sectPr>
          <w:pgSz w:w="11910" w:h="16840"/>
          <w:pgMar w:header="720" w:footer="862" w:top="1660" w:bottom="1060" w:left="40" w:right="40"/>
        </w:sectPr>
      </w:pPr>
    </w:p>
    <w:p>
      <w:pPr>
        <w:spacing w:before="7"/>
        <w:ind w:left="1489" w:right="0" w:firstLine="0"/>
        <w:jc w:val="left"/>
        <w:rPr>
          <w:sz w:val="18"/>
        </w:rPr>
      </w:pPr>
      <w:r>
        <w:rPr>
          <w:w w:val="95"/>
          <w:sz w:val="18"/>
        </w:rPr>
        <w:t>Renewable Energy Certificate</w:t>
      </w:r>
    </w:p>
    <w:p>
      <w:pPr>
        <w:spacing w:before="7"/>
        <w:ind w:left="1104" w:right="1017" w:firstLine="0"/>
        <w:jc w:val="center"/>
        <w:rPr>
          <w:sz w:val="18"/>
        </w:rPr>
      </w:pPr>
      <w:r>
        <w:rPr/>
        <w:br w:type="column"/>
      </w:r>
      <w:r>
        <w:rPr>
          <w:sz w:val="18"/>
        </w:rPr>
        <w:t>renewable</w:t>
      </w:r>
      <w:r>
        <w:rPr>
          <w:spacing w:val="-22"/>
          <w:sz w:val="18"/>
        </w:rPr>
        <w:t> </w:t>
      </w:r>
      <w:r>
        <w:rPr>
          <w:sz w:val="18"/>
        </w:rPr>
        <w:t>energy</w:t>
      </w:r>
      <w:r>
        <w:rPr>
          <w:spacing w:val="-23"/>
          <w:sz w:val="18"/>
        </w:rPr>
        <w:t> </w:t>
      </w:r>
      <w:r>
        <w:rPr>
          <w:sz w:val="18"/>
        </w:rPr>
        <w:t>that</w:t>
      </w:r>
      <w:r>
        <w:rPr>
          <w:spacing w:val="-23"/>
          <w:sz w:val="18"/>
        </w:rPr>
        <w:t> </w:t>
      </w:r>
      <w:r>
        <w:rPr>
          <w:sz w:val="18"/>
        </w:rPr>
        <w:t>is</w:t>
      </w:r>
      <w:r>
        <w:rPr>
          <w:spacing w:val="-22"/>
          <w:sz w:val="18"/>
        </w:rPr>
        <w:t> </w:t>
      </w:r>
      <w:r>
        <w:rPr>
          <w:sz w:val="18"/>
        </w:rPr>
        <w:t>added</w:t>
      </w:r>
      <w:r>
        <w:rPr>
          <w:spacing w:val="-22"/>
          <w:sz w:val="18"/>
        </w:rPr>
        <w:t> </w:t>
      </w:r>
      <w:r>
        <w:rPr>
          <w:sz w:val="18"/>
        </w:rPr>
        <w:t>to</w:t>
      </w:r>
      <w:r>
        <w:rPr>
          <w:spacing w:val="-22"/>
          <w:sz w:val="18"/>
        </w:rPr>
        <w:t> </w:t>
      </w:r>
      <w:r>
        <w:rPr>
          <w:sz w:val="18"/>
        </w:rPr>
        <w:t>and</w:t>
      </w:r>
      <w:r>
        <w:rPr>
          <w:spacing w:val="-22"/>
          <w:sz w:val="18"/>
        </w:rPr>
        <w:t> </w:t>
      </w:r>
      <w:r>
        <w:rPr>
          <w:sz w:val="18"/>
        </w:rPr>
        <w:t>pulled</w:t>
      </w:r>
      <w:r>
        <w:rPr>
          <w:spacing w:val="-23"/>
          <w:sz w:val="18"/>
        </w:rPr>
        <w:t> </w:t>
      </w:r>
      <w:r>
        <w:rPr>
          <w:sz w:val="18"/>
        </w:rPr>
        <w:t>from</w:t>
      </w:r>
      <w:r>
        <w:rPr>
          <w:spacing w:val="-21"/>
          <w:sz w:val="18"/>
        </w:rPr>
        <w:t> </w:t>
      </w:r>
      <w:r>
        <w:rPr>
          <w:sz w:val="18"/>
        </w:rPr>
        <w:t>the</w:t>
      </w:r>
      <w:r>
        <w:rPr>
          <w:spacing w:val="-23"/>
          <w:sz w:val="18"/>
        </w:rPr>
        <w:t> </w:t>
      </w:r>
      <w:r>
        <w:rPr>
          <w:sz w:val="18"/>
        </w:rPr>
        <w:t>electrical</w:t>
      </w:r>
      <w:r>
        <w:rPr>
          <w:spacing w:val="-23"/>
          <w:sz w:val="18"/>
        </w:rPr>
        <w:t> </w:t>
      </w:r>
      <w:r>
        <w:rPr>
          <w:sz w:val="18"/>
        </w:rPr>
        <w:t>grid.</w:t>
      </w:r>
      <w:r>
        <w:rPr>
          <w:spacing w:val="-22"/>
          <w:sz w:val="18"/>
        </w:rPr>
        <w:t> </w:t>
      </w:r>
      <w:r>
        <w:rPr>
          <w:sz w:val="18"/>
        </w:rPr>
        <w:t>And</w:t>
      </w:r>
    </w:p>
    <w:p>
      <w:pPr>
        <w:spacing w:before="4"/>
        <w:ind w:left="1106" w:right="1017" w:firstLine="0"/>
        <w:jc w:val="center"/>
        <w:rPr>
          <w:sz w:val="18"/>
        </w:rPr>
      </w:pPr>
      <w:r>
        <w:rPr>
          <w:sz w:val="18"/>
        </w:rPr>
        <w:t>further,</w:t>
      </w:r>
      <w:r>
        <w:rPr>
          <w:spacing w:val="-22"/>
          <w:sz w:val="18"/>
        </w:rPr>
        <w:t> </w:t>
      </w:r>
      <w:r>
        <w:rPr>
          <w:sz w:val="18"/>
        </w:rPr>
        <w:t>these</w:t>
      </w:r>
      <w:r>
        <w:rPr>
          <w:spacing w:val="-21"/>
          <w:sz w:val="18"/>
        </w:rPr>
        <w:t> </w:t>
      </w:r>
      <w:r>
        <w:rPr>
          <w:sz w:val="18"/>
        </w:rPr>
        <w:t>REC’s</w:t>
      </w:r>
      <w:r>
        <w:rPr>
          <w:spacing w:val="-21"/>
          <w:sz w:val="18"/>
        </w:rPr>
        <w:t> </w:t>
      </w:r>
      <w:r>
        <w:rPr>
          <w:sz w:val="18"/>
        </w:rPr>
        <w:t>are</w:t>
      </w:r>
      <w:r>
        <w:rPr>
          <w:spacing w:val="-21"/>
          <w:sz w:val="18"/>
        </w:rPr>
        <w:t> </w:t>
      </w:r>
      <w:r>
        <w:rPr>
          <w:sz w:val="18"/>
        </w:rPr>
        <w:t>tradeable</w:t>
      </w:r>
      <w:r>
        <w:rPr>
          <w:spacing w:val="-21"/>
          <w:sz w:val="18"/>
        </w:rPr>
        <w:t> </w:t>
      </w:r>
      <w:r>
        <w:rPr>
          <w:sz w:val="18"/>
        </w:rPr>
        <w:t>in</w:t>
      </w:r>
      <w:r>
        <w:rPr>
          <w:spacing w:val="-21"/>
          <w:sz w:val="18"/>
        </w:rPr>
        <w:t> </w:t>
      </w:r>
      <w:r>
        <w:rPr>
          <w:sz w:val="18"/>
        </w:rPr>
        <w:t>the</w:t>
      </w:r>
      <w:r>
        <w:rPr>
          <w:spacing w:val="-21"/>
          <w:sz w:val="18"/>
        </w:rPr>
        <w:t> </w:t>
      </w:r>
      <w:r>
        <w:rPr>
          <w:sz w:val="18"/>
        </w:rPr>
        <w:t>open</w:t>
      </w:r>
      <w:r>
        <w:rPr>
          <w:spacing w:val="-23"/>
          <w:sz w:val="18"/>
        </w:rPr>
        <w:t> </w:t>
      </w:r>
      <w:r>
        <w:rPr>
          <w:sz w:val="18"/>
        </w:rPr>
        <w:t>market</w:t>
      </w:r>
      <w:r>
        <w:rPr>
          <w:spacing w:val="-23"/>
          <w:sz w:val="18"/>
        </w:rPr>
        <w:t> </w:t>
      </w:r>
      <w:r>
        <w:rPr>
          <w:sz w:val="18"/>
        </w:rPr>
        <w:t>for</w:t>
      </w:r>
      <w:r>
        <w:rPr>
          <w:spacing w:val="-21"/>
          <w:sz w:val="18"/>
        </w:rPr>
        <w:t> </w:t>
      </w:r>
      <w:r>
        <w:rPr>
          <w:sz w:val="18"/>
        </w:rPr>
        <w:t>end</w:t>
      </w:r>
      <w:r>
        <w:rPr>
          <w:spacing w:val="-22"/>
          <w:sz w:val="18"/>
        </w:rPr>
        <w:t> </w:t>
      </w:r>
      <w:r>
        <w:rPr>
          <w:sz w:val="18"/>
        </w:rPr>
        <w:t>use</w:t>
      </w:r>
      <w:r>
        <w:rPr>
          <w:spacing w:val="-21"/>
          <w:sz w:val="18"/>
        </w:rPr>
        <w:t> </w:t>
      </w:r>
      <w:r>
        <w:rPr>
          <w:sz w:val="18"/>
        </w:rPr>
        <w:t>purposes</w:t>
      </w:r>
    </w:p>
    <w:p>
      <w:pPr>
        <w:spacing w:after="0"/>
        <w:jc w:val="center"/>
        <w:rPr>
          <w:sz w:val="18"/>
        </w:rPr>
        <w:sectPr>
          <w:type w:val="continuous"/>
          <w:pgSz w:w="11910" w:h="16840"/>
          <w:pgMar w:top="800" w:bottom="280" w:left="40" w:right="40"/>
          <w:cols w:num="2" w:equalWidth="0">
            <w:col w:w="3770" w:space="40"/>
            <w:col w:w="8020"/>
          </w:cols>
        </w:sectPr>
      </w:pPr>
    </w:p>
    <w:p>
      <w:pPr>
        <w:pStyle w:val="BodyText"/>
        <w:spacing w:line="20" w:lineRule="exact"/>
        <w:ind w:left="680"/>
        <w:rPr>
          <w:sz w:val="2"/>
        </w:rPr>
      </w:pPr>
      <w:r>
        <w:rPr>
          <w:sz w:val="2"/>
        </w:rPr>
        <w:pict>
          <v:group style="width:523.6pt;height:.75pt;mso-position-horizontal-relative:char;mso-position-vertical-relative:line" coordorigin="0,0" coordsize="10472,15">
            <v:shape style="position:absolute;left:0;top:0;width:10472;height:15" coordorigin="0,0" coordsize="10472,15" path="m3913,0l3899,0,0,0,0,14,3899,14,3913,14,3913,0xm10471,0l3913,0,3913,14,10471,14,10471,0xe" filled="true" fillcolor="#69bd28" stroked="false">
              <v:path arrowok="t"/>
              <v:fill type="solid"/>
            </v:shape>
          </v:group>
        </w:pict>
      </w:r>
      <w:r>
        <w:rPr>
          <w:sz w:val="2"/>
        </w:rPr>
      </w:r>
    </w:p>
    <w:p>
      <w:pPr>
        <w:pStyle w:val="BodyText"/>
        <w:spacing w:before="4"/>
        <w:rPr>
          <w:sz w:val="8"/>
        </w:rPr>
      </w:pPr>
    </w:p>
    <w:p>
      <w:pPr>
        <w:tabs>
          <w:tab w:pos="4775" w:val="left" w:leader="none"/>
        </w:tabs>
        <w:spacing w:before="104"/>
        <w:ind w:left="1916" w:right="0" w:firstLine="0"/>
        <w:jc w:val="left"/>
        <w:rPr>
          <w:sz w:val="18"/>
        </w:rPr>
      </w:pPr>
      <w:r>
        <w:rPr>
          <w:sz w:val="18"/>
        </w:rPr>
        <w:t>State</w:t>
      </w:r>
      <w:r>
        <w:rPr>
          <w:spacing w:val="-32"/>
          <w:sz w:val="18"/>
        </w:rPr>
        <w:t> </w:t>
      </w:r>
      <w:r>
        <w:rPr>
          <w:sz w:val="18"/>
        </w:rPr>
        <w:t>level</w:t>
      </w:r>
      <w:r>
        <w:rPr>
          <w:spacing w:val="-31"/>
          <w:sz w:val="18"/>
        </w:rPr>
        <w:t> </w:t>
      </w:r>
      <w:r>
        <w:rPr>
          <w:sz w:val="18"/>
        </w:rPr>
        <w:t>policies</w:t>
        <w:tab/>
        <w:t>Individual</w:t>
      </w:r>
      <w:r>
        <w:rPr>
          <w:spacing w:val="-7"/>
          <w:sz w:val="18"/>
        </w:rPr>
        <w:t> </w:t>
      </w:r>
      <w:r>
        <w:rPr>
          <w:sz w:val="18"/>
        </w:rPr>
        <w:t>State</w:t>
      </w:r>
      <w:r>
        <w:rPr>
          <w:spacing w:val="-5"/>
          <w:sz w:val="18"/>
        </w:rPr>
        <w:t> </w:t>
      </w:r>
      <w:r>
        <w:rPr>
          <w:sz w:val="18"/>
        </w:rPr>
        <w:t>specific</w:t>
      </w:r>
      <w:r>
        <w:rPr>
          <w:spacing w:val="-6"/>
          <w:sz w:val="18"/>
        </w:rPr>
        <w:t> </w:t>
      </w:r>
      <w:r>
        <w:rPr>
          <w:sz w:val="18"/>
        </w:rPr>
        <w:t>solar</w:t>
      </w:r>
      <w:r>
        <w:rPr>
          <w:spacing w:val="-6"/>
          <w:sz w:val="18"/>
        </w:rPr>
        <w:t> </w:t>
      </w:r>
      <w:r>
        <w:rPr>
          <w:sz w:val="18"/>
        </w:rPr>
        <w:t>policy</w:t>
      </w:r>
      <w:r>
        <w:rPr>
          <w:spacing w:val="-7"/>
          <w:sz w:val="18"/>
        </w:rPr>
        <w:t> </w:t>
      </w:r>
      <w:r>
        <w:rPr>
          <w:sz w:val="18"/>
        </w:rPr>
        <w:t>targets</w:t>
      </w:r>
      <w:r>
        <w:rPr>
          <w:spacing w:val="-5"/>
          <w:sz w:val="18"/>
        </w:rPr>
        <w:t> </w:t>
      </w:r>
      <w:r>
        <w:rPr>
          <w:sz w:val="18"/>
        </w:rPr>
        <w:t>10GW+</w:t>
      </w:r>
      <w:r>
        <w:rPr>
          <w:spacing w:val="-6"/>
          <w:sz w:val="18"/>
        </w:rPr>
        <w:t> </w:t>
      </w:r>
      <w:r>
        <w:rPr>
          <w:sz w:val="18"/>
        </w:rPr>
        <w:t>capacity</w:t>
      </w:r>
      <w:r>
        <w:rPr>
          <w:spacing w:val="-7"/>
          <w:sz w:val="18"/>
        </w:rPr>
        <w:t> </w:t>
      </w:r>
      <w:r>
        <w:rPr>
          <w:sz w:val="18"/>
        </w:rPr>
        <w:t>addition</w:t>
      </w:r>
      <w:r>
        <w:rPr>
          <w:spacing w:val="-5"/>
          <w:sz w:val="18"/>
        </w:rPr>
        <w:t> </w:t>
      </w:r>
      <w:r>
        <w:rPr>
          <w:sz w:val="18"/>
        </w:rPr>
        <w:t>by</w:t>
      </w:r>
      <w:r>
        <w:rPr>
          <w:spacing w:val="-7"/>
          <w:sz w:val="18"/>
        </w:rPr>
        <w:t> </w:t>
      </w:r>
      <w:r>
        <w:rPr>
          <w:sz w:val="18"/>
        </w:rPr>
        <w:t>2022</w:t>
      </w:r>
    </w:p>
    <w:p>
      <w:pPr>
        <w:pStyle w:val="BodyText"/>
        <w:spacing w:before="2" w:after="1"/>
        <w:rPr>
          <w:sz w:val="17"/>
        </w:rPr>
      </w:pPr>
    </w:p>
    <w:p>
      <w:pPr>
        <w:pStyle w:val="BodyText"/>
        <w:spacing w:line="20" w:lineRule="exact"/>
        <w:ind w:left="680"/>
        <w:rPr>
          <w:sz w:val="2"/>
        </w:rPr>
      </w:pPr>
      <w:r>
        <w:rPr>
          <w:sz w:val="2"/>
        </w:rPr>
        <w:pict>
          <v:group style="width:523.6pt;height:.75pt;mso-position-horizontal-relative:char;mso-position-vertical-relative:line" coordorigin="0,0" coordsize="10472,15">
            <v:shape style="position:absolute;left:0;top:0;width:10472;height:15" coordorigin="0,0" coordsize="10472,15" path="m3913,0l3899,0,0,0,0,14,3899,14,3913,14,3913,0xm10471,0l3913,0,3913,14,10471,14,10471,0xe" filled="true" fillcolor="#69bd28" stroked="false">
              <v:path arrowok="t"/>
              <v:fill type="solid"/>
            </v:shape>
          </v:group>
        </w:pict>
      </w:r>
      <w:r>
        <w:rPr>
          <w:sz w:val="2"/>
        </w:rPr>
      </w:r>
    </w:p>
    <w:p>
      <w:pPr>
        <w:spacing w:after="0" w:line="20" w:lineRule="exact"/>
        <w:rPr>
          <w:sz w:val="2"/>
        </w:rPr>
        <w:sectPr>
          <w:type w:val="continuous"/>
          <w:pgSz w:w="11910" w:h="16840"/>
          <w:pgMar w:top="800" w:bottom="280" w:left="40" w:right="40"/>
        </w:sectPr>
      </w:pPr>
    </w:p>
    <w:p>
      <w:pPr>
        <w:pStyle w:val="BodyText"/>
        <w:spacing w:before="8"/>
        <w:rPr>
          <w:sz w:val="32"/>
        </w:rPr>
      </w:pPr>
    </w:p>
    <w:p>
      <w:pPr>
        <w:spacing w:before="1"/>
        <w:ind w:left="1834" w:right="0" w:firstLine="0"/>
        <w:jc w:val="left"/>
        <w:rPr>
          <w:sz w:val="18"/>
        </w:rPr>
      </w:pPr>
      <w:r>
        <w:rPr>
          <w:sz w:val="18"/>
        </w:rPr>
        <w:t>National</w:t>
      </w:r>
      <w:r>
        <w:rPr>
          <w:spacing w:val="-37"/>
          <w:sz w:val="18"/>
        </w:rPr>
        <w:t> </w:t>
      </w:r>
      <w:r>
        <w:rPr>
          <w:sz w:val="18"/>
        </w:rPr>
        <w:t>tariff</w:t>
      </w:r>
      <w:r>
        <w:rPr>
          <w:spacing w:val="-36"/>
          <w:sz w:val="18"/>
        </w:rPr>
        <w:t> </w:t>
      </w:r>
      <w:r>
        <w:rPr>
          <w:sz w:val="18"/>
        </w:rPr>
        <w:t>Policy</w:t>
      </w:r>
    </w:p>
    <w:p>
      <w:pPr>
        <w:pStyle w:val="BodyText"/>
      </w:pPr>
    </w:p>
    <w:p>
      <w:pPr>
        <w:spacing w:before="147"/>
        <w:ind w:left="680" w:right="0" w:firstLine="0"/>
        <w:jc w:val="left"/>
        <w:rPr>
          <w:i/>
          <w:sz w:val="18"/>
        </w:rPr>
      </w:pPr>
      <w:r>
        <w:rPr/>
        <w:pict>
          <v:shape style="position:absolute;margin-left:35.280003pt;margin-top:6.441672pt;width:524.3pt;height:.75pt;mso-position-horizontal-relative:page;mso-position-vertical-relative:paragraph;z-index:16518656" coordorigin="706,129" coordsize="10486,15" path="m11191,129l4619,129,4604,129,706,129,706,143,4604,143,4619,143,11191,143,11191,129xe" filled="true" fillcolor="#69bd28" stroked="false">
            <v:path arrowok="t"/>
            <v:fill type="solid"/>
            <w10:wrap type="none"/>
          </v:shape>
        </w:pict>
      </w:r>
      <w:r>
        <w:rPr>
          <w:i/>
          <w:sz w:val="18"/>
        </w:rPr>
        <w:t>Source: </w:t>
      </w:r>
      <w:hyperlink r:id="rId310">
        <w:r>
          <w:rPr>
            <w:i/>
            <w:sz w:val="18"/>
          </w:rPr>
          <w:t>www.ibef.org</w:t>
        </w:r>
      </w:hyperlink>
    </w:p>
    <w:p>
      <w:pPr>
        <w:spacing w:line="247" w:lineRule="auto" w:before="56"/>
        <w:ind w:left="680" w:right="839" w:firstLine="0"/>
        <w:jc w:val="center"/>
        <w:rPr>
          <w:sz w:val="18"/>
        </w:rPr>
      </w:pPr>
      <w:r>
        <w:rPr/>
        <w:br w:type="column"/>
      </w:r>
      <w:r>
        <w:rPr>
          <w:sz w:val="18"/>
        </w:rPr>
        <w:t>The</w:t>
      </w:r>
      <w:r>
        <w:rPr>
          <w:spacing w:val="-26"/>
          <w:sz w:val="18"/>
        </w:rPr>
        <w:t> </w:t>
      </w:r>
      <w:r>
        <w:rPr>
          <w:sz w:val="18"/>
        </w:rPr>
        <w:t>National</w:t>
      </w:r>
      <w:r>
        <w:rPr>
          <w:spacing w:val="-27"/>
          <w:sz w:val="18"/>
        </w:rPr>
        <w:t> </w:t>
      </w:r>
      <w:r>
        <w:rPr>
          <w:sz w:val="18"/>
        </w:rPr>
        <w:t>Tariff</w:t>
      </w:r>
      <w:r>
        <w:rPr>
          <w:spacing w:val="-27"/>
          <w:sz w:val="18"/>
        </w:rPr>
        <w:t> </w:t>
      </w:r>
      <w:r>
        <w:rPr>
          <w:sz w:val="18"/>
        </w:rPr>
        <w:t>Policy</w:t>
      </w:r>
      <w:r>
        <w:rPr>
          <w:spacing w:val="-27"/>
          <w:sz w:val="18"/>
        </w:rPr>
        <w:t> </w:t>
      </w:r>
      <w:r>
        <w:rPr>
          <w:sz w:val="18"/>
        </w:rPr>
        <w:t>for</w:t>
      </w:r>
      <w:r>
        <w:rPr>
          <w:spacing w:val="-26"/>
          <w:sz w:val="18"/>
        </w:rPr>
        <w:t> </w:t>
      </w:r>
      <w:r>
        <w:rPr>
          <w:sz w:val="18"/>
        </w:rPr>
        <w:t>Electricity</w:t>
      </w:r>
      <w:r>
        <w:rPr>
          <w:spacing w:val="-27"/>
          <w:sz w:val="18"/>
        </w:rPr>
        <w:t> </w:t>
      </w:r>
      <w:r>
        <w:rPr>
          <w:sz w:val="18"/>
        </w:rPr>
        <w:t>was</w:t>
      </w:r>
      <w:r>
        <w:rPr>
          <w:spacing w:val="-26"/>
          <w:sz w:val="18"/>
        </w:rPr>
        <w:t> </w:t>
      </w:r>
      <w:r>
        <w:rPr>
          <w:sz w:val="18"/>
        </w:rPr>
        <w:t>amended</w:t>
      </w:r>
      <w:r>
        <w:rPr>
          <w:spacing w:val="-27"/>
          <w:sz w:val="18"/>
        </w:rPr>
        <w:t> </w:t>
      </w:r>
      <w:r>
        <w:rPr>
          <w:sz w:val="18"/>
        </w:rPr>
        <w:t>by</w:t>
      </w:r>
      <w:r>
        <w:rPr>
          <w:spacing w:val="-27"/>
          <w:sz w:val="18"/>
        </w:rPr>
        <w:t> </w:t>
      </w:r>
      <w:r>
        <w:rPr>
          <w:sz w:val="18"/>
        </w:rPr>
        <w:t>the</w:t>
      </w:r>
      <w:r>
        <w:rPr>
          <w:spacing w:val="-26"/>
          <w:sz w:val="18"/>
        </w:rPr>
        <w:t> </w:t>
      </w:r>
      <w:r>
        <w:rPr>
          <w:sz w:val="18"/>
        </w:rPr>
        <w:t>Union</w:t>
      </w:r>
      <w:r>
        <w:rPr>
          <w:spacing w:val="-27"/>
          <w:sz w:val="18"/>
        </w:rPr>
        <w:t> </w:t>
      </w:r>
      <w:r>
        <w:rPr>
          <w:sz w:val="18"/>
        </w:rPr>
        <w:t>Government on 20 January, 2016. The policy aims to achieve the objectives of Ujwal DISCOM Assurance Yojana (UDAY scheme) with a special focus on renewable energy</w:t>
      </w:r>
    </w:p>
    <w:p>
      <w:pPr>
        <w:spacing w:after="0" w:line="247" w:lineRule="auto"/>
        <w:jc w:val="center"/>
        <w:rPr>
          <w:sz w:val="18"/>
        </w:rPr>
        <w:sectPr>
          <w:type w:val="continuous"/>
          <w:pgSz w:w="11910" w:h="16840"/>
          <w:pgMar w:top="800" w:bottom="280" w:left="40" w:right="40"/>
          <w:cols w:num="2" w:equalWidth="0">
            <w:col w:w="3463" w:space="594"/>
            <w:col w:w="7773"/>
          </w:cols>
        </w:sectPr>
      </w:pPr>
    </w:p>
    <w:p>
      <w:pPr>
        <w:pStyle w:val="BodyText"/>
        <w:spacing w:before="9"/>
        <w:rPr>
          <w:sz w:val="17"/>
        </w:rPr>
      </w:pPr>
    </w:p>
    <w:p>
      <w:pPr>
        <w:pStyle w:val="BodyText"/>
        <w:spacing w:line="372" w:lineRule="auto" w:before="106"/>
        <w:ind w:left="1220" w:right="674"/>
        <w:jc w:val="both"/>
      </w:pPr>
      <w:r>
        <w:rPr/>
        <w:t>The</w:t>
      </w:r>
      <w:r>
        <w:rPr>
          <w:spacing w:val="-27"/>
        </w:rPr>
        <w:t> </w:t>
      </w:r>
      <w:r>
        <w:rPr/>
        <w:t>key</w:t>
      </w:r>
      <w:r>
        <w:rPr>
          <w:spacing w:val="-26"/>
        </w:rPr>
        <w:t> </w:t>
      </w:r>
      <w:r>
        <w:rPr/>
        <w:t>driver</w:t>
      </w:r>
      <w:r>
        <w:rPr>
          <w:spacing w:val="-26"/>
        </w:rPr>
        <w:t> </w:t>
      </w:r>
      <w:r>
        <w:rPr/>
        <w:t>amongst</w:t>
      </w:r>
      <w:r>
        <w:rPr>
          <w:spacing w:val="-24"/>
        </w:rPr>
        <w:t> </w:t>
      </w:r>
      <w:r>
        <w:rPr/>
        <w:t>all</w:t>
      </w:r>
      <w:r>
        <w:rPr>
          <w:spacing w:val="-26"/>
        </w:rPr>
        <w:t> </w:t>
      </w:r>
      <w:r>
        <w:rPr/>
        <w:t>the</w:t>
      </w:r>
      <w:r>
        <w:rPr>
          <w:spacing w:val="-25"/>
        </w:rPr>
        <w:t> </w:t>
      </w:r>
      <w:r>
        <w:rPr/>
        <w:t>policies</w:t>
      </w:r>
      <w:r>
        <w:rPr>
          <w:spacing w:val="-24"/>
        </w:rPr>
        <w:t> </w:t>
      </w:r>
      <w:r>
        <w:rPr/>
        <w:t>is</w:t>
      </w:r>
      <w:r>
        <w:rPr>
          <w:spacing w:val="-25"/>
        </w:rPr>
        <w:t> </w:t>
      </w:r>
      <w:r>
        <w:rPr/>
        <w:t>National</w:t>
      </w:r>
      <w:r>
        <w:rPr>
          <w:spacing w:val="-26"/>
        </w:rPr>
        <w:t> </w:t>
      </w:r>
      <w:r>
        <w:rPr/>
        <w:t>Solar</w:t>
      </w:r>
      <w:r>
        <w:rPr>
          <w:spacing w:val="-26"/>
        </w:rPr>
        <w:t> </w:t>
      </w:r>
      <w:r>
        <w:rPr/>
        <w:t>Mission</w:t>
      </w:r>
      <w:r>
        <w:rPr>
          <w:spacing w:val="-26"/>
        </w:rPr>
        <w:t> </w:t>
      </w:r>
      <w:r>
        <w:rPr/>
        <w:t>which</w:t>
      </w:r>
      <w:r>
        <w:rPr>
          <w:spacing w:val="-26"/>
        </w:rPr>
        <w:t> </w:t>
      </w:r>
      <w:r>
        <w:rPr/>
        <w:t>is</w:t>
      </w:r>
      <w:r>
        <w:rPr>
          <w:spacing w:val="-25"/>
        </w:rPr>
        <w:t> </w:t>
      </w:r>
      <w:r>
        <w:rPr/>
        <w:t>also</w:t>
      </w:r>
      <w:r>
        <w:rPr>
          <w:spacing w:val="-30"/>
        </w:rPr>
        <w:t> </w:t>
      </w:r>
      <w:r>
        <w:rPr/>
        <w:t>known</w:t>
      </w:r>
      <w:r>
        <w:rPr>
          <w:spacing w:val="-26"/>
        </w:rPr>
        <w:t> </w:t>
      </w:r>
      <w:r>
        <w:rPr/>
        <w:t>as</w:t>
      </w:r>
      <w:r>
        <w:rPr>
          <w:spacing w:val="-26"/>
        </w:rPr>
        <w:t> </w:t>
      </w:r>
      <w:r>
        <w:rPr/>
        <w:t>Jawaharlal</w:t>
      </w:r>
      <w:r>
        <w:rPr>
          <w:spacing w:val="-26"/>
        </w:rPr>
        <w:t> </w:t>
      </w:r>
      <w:r>
        <w:rPr/>
        <w:t>Nehru National Solar Mission (JNNSM). The said mission is a part of the several initiatives that are part of National</w:t>
      </w:r>
      <w:r>
        <w:rPr>
          <w:spacing w:val="-11"/>
        </w:rPr>
        <w:t> </w:t>
      </w:r>
      <w:r>
        <w:rPr/>
        <w:t>Action</w:t>
      </w:r>
      <w:r>
        <w:rPr>
          <w:spacing w:val="-10"/>
        </w:rPr>
        <w:t> </w:t>
      </w:r>
      <w:r>
        <w:rPr/>
        <w:t>Plan</w:t>
      </w:r>
      <w:r>
        <w:rPr>
          <w:spacing w:val="-10"/>
        </w:rPr>
        <w:t> </w:t>
      </w:r>
      <w:r>
        <w:rPr/>
        <w:t>for</w:t>
      </w:r>
      <w:r>
        <w:rPr>
          <w:spacing w:val="-9"/>
        </w:rPr>
        <w:t> </w:t>
      </w:r>
      <w:r>
        <w:rPr/>
        <w:t>Climate</w:t>
      </w:r>
      <w:r>
        <w:rPr>
          <w:spacing w:val="-10"/>
        </w:rPr>
        <w:t> </w:t>
      </w:r>
      <w:r>
        <w:rPr/>
        <w:t>Change.</w:t>
      </w:r>
      <w:r>
        <w:rPr>
          <w:spacing w:val="-10"/>
        </w:rPr>
        <w:t> </w:t>
      </w:r>
      <w:r>
        <w:rPr/>
        <w:t>The</w:t>
      </w:r>
      <w:r>
        <w:rPr>
          <w:spacing w:val="-12"/>
        </w:rPr>
        <w:t> </w:t>
      </w:r>
      <w:r>
        <w:rPr/>
        <w:t>program</w:t>
      </w:r>
      <w:r>
        <w:rPr>
          <w:spacing w:val="-10"/>
        </w:rPr>
        <w:t> </w:t>
      </w:r>
      <w:r>
        <w:rPr/>
        <w:t>was</w:t>
      </w:r>
      <w:r>
        <w:rPr>
          <w:spacing w:val="-9"/>
        </w:rPr>
        <w:t> </w:t>
      </w:r>
      <w:r>
        <w:rPr/>
        <w:t>launched</w:t>
      </w:r>
      <w:r>
        <w:rPr>
          <w:spacing w:val="-10"/>
        </w:rPr>
        <w:t> </w:t>
      </w:r>
      <w:r>
        <w:rPr/>
        <w:t>in</w:t>
      </w:r>
      <w:r>
        <w:rPr>
          <w:spacing w:val="-11"/>
        </w:rPr>
        <w:t> </w:t>
      </w:r>
      <w:r>
        <w:rPr/>
        <w:t>2010</w:t>
      </w:r>
      <w:r>
        <w:rPr>
          <w:spacing w:val="-10"/>
        </w:rPr>
        <w:t> </w:t>
      </w:r>
      <w:r>
        <w:rPr/>
        <w:t>with</w:t>
      </w:r>
      <w:r>
        <w:rPr>
          <w:spacing w:val="-7"/>
        </w:rPr>
        <w:t> </w:t>
      </w:r>
      <w:r>
        <w:rPr/>
        <w:t>a</w:t>
      </w:r>
      <w:r>
        <w:rPr>
          <w:spacing w:val="-11"/>
        </w:rPr>
        <w:t> </w:t>
      </w:r>
      <w:r>
        <w:rPr/>
        <w:t>target</w:t>
      </w:r>
      <w:r>
        <w:rPr>
          <w:spacing w:val="-9"/>
        </w:rPr>
        <w:t> </w:t>
      </w:r>
      <w:r>
        <w:rPr/>
        <w:t>of</w:t>
      </w:r>
      <w:r>
        <w:rPr>
          <w:spacing w:val="-10"/>
        </w:rPr>
        <w:t> </w:t>
      </w:r>
      <w:r>
        <w:rPr/>
        <w:t>20GW</w:t>
      </w:r>
      <w:r>
        <w:rPr>
          <w:spacing w:val="-12"/>
        </w:rPr>
        <w:t> </w:t>
      </w:r>
      <w:r>
        <w:rPr/>
        <w:t>of contribution</w:t>
      </w:r>
      <w:r>
        <w:rPr>
          <w:spacing w:val="-20"/>
        </w:rPr>
        <w:t> </w:t>
      </w:r>
      <w:r>
        <w:rPr/>
        <w:t>to</w:t>
      </w:r>
      <w:r>
        <w:rPr>
          <w:spacing w:val="-20"/>
        </w:rPr>
        <w:t> </w:t>
      </w:r>
      <w:r>
        <w:rPr/>
        <w:t>the</w:t>
      </w:r>
      <w:r>
        <w:rPr>
          <w:spacing w:val="-19"/>
        </w:rPr>
        <w:t> </w:t>
      </w:r>
      <w:r>
        <w:rPr/>
        <w:t>total</w:t>
      </w:r>
      <w:r>
        <w:rPr>
          <w:spacing w:val="-20"/>
        </w:rPr>
        <w:t> </w:t>
      </w:r>
      <w:r>
        <w:rPr/>
        <w:t>energy</w:t>
      </w:r>
      <w:r>
        <w:rPr>
          <w:spacing w:val="-18"/>
        </w:rPr>
        <w:t> </w:t>
      </w:r>
      <w:r>
        <w:rPr/>
        <w:t>requirement</w:t>
      </w:r>
      <w:r>
        <w:rPr>
          <w:spacing w:val="-19"/>
        </w:rPr>
        <w:t> </w:t>
      </w:r>
      <w:r>
        <w:rPr/>
        <w:t>which</w:t>
      </w:r>
      <w:r>
        <w:rPr>
          <w:spacing w:val="-22"/>
        </w:rPr>
        <w:t> </w:t>
      </w:r>
      <w:r>
        <w:rPr/>
        <w:t>was</w:t>
      </w:r>
      <w:r>
        <w:rPr>
          <w:spacing w:val="-18"/>
        </w:rPr>
        <w:t> </w:t>
      </w:r>
      <w:r>
        <w:rPr/>
        <w:t>later</w:t>
      </w:r>
      <w:r>
        <w:rPr>
          <w:spacing w:val="-19"/>
        </w:rPr>
        <w:t> </w:t>
      </w:r>
      <w:r>
        <w:rPr/>
        <w:t>revised</w:t>
      </w:r>
      <w:r>
        <w:rPr>
          <w:spacing w:val="-19"/>
        </w:rPr>
        <w:t> </w:t>
      </w:r>
      <w:r>
        <w:rPr/>
        <w:t>to</w:t>
      </w:r>
      <w:r>
        <w:rPr>
          <w:spacing w:val="-19"/>
        </w:rPr>
        <w:t> </w:t>
      </w:r>
      <w:r>
        <w:rPr/>
        <w:t>100</w:t>
      </w:r>
      <w:r>
        <w:rPr>
          <w:spacing w:val="-21"/>
        </w:rPr>
        <w:t> </w:t>
      </w:r>
      <w:r>
        <w:rPr/>
        <w:t>GW</w:t>
      </w:r>
      <w:r>
        <w:rPr>
          <w:spacing w:val="-19"/>
        </w:rPr>
        <w:t> </w:t>
      </w:r>
      <w:r>
        <w:rPr/>
        <w:t>in</w:t>
      </w:r>
      <w:r>
        <w:rPr>
          <w:spacing w:val="-20"/>
        </w:rPr>
        <w:t> </w:t>
      </w:r>
      <w:r>
        <w:rPr/>
        <w:t>2015</w:t>
      </w:r>
      <w:r>
        <w:rPr>
          <w:spacing w:val="-19"/>
        </w:rPr>
        <w:t> </w:t>
      </w:r>
      <w:r>
        <w:rPr/>
        <w:t>Union</w:t>
      </w:r>
      <w:r>
        <w:rPr>
          <w:spacing w:val="-20"/>
        </w:rPr>
        <w:t> </w:t>
      </w:r>
      <w:r>
        <w:rPr/>
        <w:t>budget.</w:t>
      </w:r>
    </w:p>
    <w:p>
      <w:pPr>
        <w:pStyle w:val="BodyText"/>
        <w:rPr>
          <w:sz w:val="20"/>
        </w:rPr>
      </w:pPr>
    </w:p>
    <w:p>
      <w:pPr>
        <w:pStyle w:val="BodyText"/>
        <w:spacing w:before="5"/>
        <w:rPr>
          <w:sz w:val="11"/>
        </w:rPr>
      </w:pPr>
      <w:r>
        <w:rPr/>
        <w:pict>
          <v:rect style="position:absolute;margin-left:36pt;margin-top:8.594739pt;width:144.050pt;height:.60004pt;mso-position-horizontal-relative:page;mso-position-vertical-relative:paragraph;z-index:-14939136;mso-wrap-distance-left:0;mso-wrap-distance-right:0" filled="true" fillcolor="#000000" stroked="false">
            <v:fill type="solid"/>
            <w10:wrap type="topAndBottom"/>
          </v:rect>
        </w:pict>
      </w:r>
    </w:p>
    <w:p>
      <w:pPr>
        <w:spacing w:before="83"/>
        <w:ind w:left="680" w:right="0" w:firstLine="0"/>
        <w:jc w:val="left"/>
        <w:rPr>
          <w:i/>
          <w:sz w:val="18"/>
        </w:rPr>
      </w:pPr>
      <w:r>
        <w:rPr>
          <w:rFonts w:ascii="Times New Roman"/>
          <w:sz w:val="18"/>
          <w:vertAlign w:val="superscript"/>
        </w:rPr>
        <w:t>7</w:t>
      </w:r>
      <w:r>
        <w:rPr>
          <w:rFonts w:ascii="Times New Roman"/>
          <w:sz w:val="18"/>
          <w:vertAlign w:val="baseline"/>
        </w:rPr>
        <w:t> </w:t>
      </w:r>
      <w:r>
        <w:rPr>
          <w:i/>
          <w:sz w:val="18"/>
          <w:vertAlign w:val="baseline"/>
        </w:rPr>
        <w:t>Source: Ministry of New and Renewable Energy (MNRE)/ Central Electricity Authority (CEA)</w:t>
      </w:r>
    </w:p>
    <w:p>
      <w:pPr>
        <w:spacing w:after="0"/>
        <w:jc w:val="left"/>
        <w:rPr>
          <w:sz w:val="18"/>
        </w:rPr>
        <w:sectPr>
          <w:type w:val="continuous"/>
          <w:pgSz w:w="11910" w:h="16840"/>
          <w:pgMar w:top="800" w:bottom="280" w:left="40" w:right="40"/>
        </w:sectPr>
      </w:pPr>
    </w:p>
    <w:p>
      <w:pPr>
        <w:pStyle w:val="BodyText"/>
        <w:spacing w:before="7"/>
        <w:rPr>
          <w:i/>
          <w:sz w:val="9"/>
        </w:rPr>
      </w:pPr>
    </w:p>
    <w:p>
      <w:pPr>
        <w:pStyle w:val="ListParagraph"/>
        <w:numPr>
          <w:ilvl w:val="2"/>
          <w:numId w:val="93"/>
        </w:numPr>
        <w:tabs>
          <w:tab w:pos="1401" w:val="left" w:leader="none"/>
        </w:tabs>
        <w:spacing w:line="240" w:lineRule="auto" w:before="106" w:after="0"/>
        <w:ind w:left="1400" w:right="0" w:hanging="721"/>
        <w:jc w:val="left"/>
        <w:rPr>
          <w:sz w:val="22"/>
        </w:rPr>
      </w:pPr>
      <w:bookmarkStart w:name="_bookmark383" w:id="748"/>
      <w:bookmarkEnd w:id="748"/>
      <w:r>
        <w:rPr/>
      </w:r>
      <w:bookmarkStart w:name="_bookmark383" w:id="749"/>
      <w:bookmarkEnd w:id="749"/>
      <w:r>
        <w:rPr>
          <w:color w:val="1F664D"/>
          <w:w w:val="105"/>
          <w:sz w:val="22"/>
        </w:rPr>
        <w:t>K</w:t>
      </w:r>
      <w:r>
        <w:rPr>
          <w:color w:val="1F664D"/>
          <w:w w:val="105"/>
          <w:sz w:val="22"/>
        </w:rPr>
        <w:t>arnataka Solar Policy:</w:t>
      </w:r>
      <w:r>
        <w:rPr>
          <w:color w:val="1F664D"/>
          <w:spacing w:val="-16"/>
          <w:w w:val="105"/>
          <w:sz w:val="22"/>
        </w:rPr>
        <w:t> </w:t>
      </w:r>
      <w:r>
        <w:rPr>
          <w:color w:val="1F664D"/>
          <w:w w:val="105"/>
          <w:sz w:val="22"/>
        </w:rPr>
        <w:t>Highlights</w:t>
      </w:r>
    </w:p>
    <w:p>
      <w:pPr>
        <w:pStyle w:val="BodyText"/>
        <w:spacing w:before="3"/>
        <w:rPr>
          <w:sz w:val="28"/>
        </w:rPr>
      </w:pPr>
    </w:p>
    <w:p>
      <w:pPr>
        <w:pStyle w:val="BodyText"/>
        <w:spacing w:line="372" w:lineRule="auto"/>
        <w:ind w:left="1220" w:right="675"/>
        <w:jc w:val="both"/>
      </w:pPr>
      <w:r>
        <w:rPr/>
        <w:t>Karnataka’s</w:t>
      </w:r>
      <w:r>
        <w:rPr>
          <w:spacing w:val="-29"/>
        </w:rPr>
        <w:t> </w:t>
      </w:r>
      <w:r>
        <w:rPr/>
        <w:t>rich</w:t>
      </w:r>
      <w:r>
        <w:rPr>
          <w:spacing w:val="-30"/>
        </w:rPr>
        <w:t> </w:t>
      </w:r>
      <w:r>
        <w:rPr/>
        <w:t>solar</w:t>
      </w:r>
      <w:r>
        <w:rPr>
          <w:spacing w:val="-30"/>
        </w:rPr>
        <w:t> </w:t>
      </w:r>
      <w:r>
        <w:rPr/>
        <w:t>resources</w:t>
      </w:r>
      <w:r>
        <w:rPr>
          <w:spacing w:val="-29"/>
        </w:rPr>
        <w:t> </w:t>
      </w:r>
      <w:r>
        <w:rPr/>
        <w:t>and</w:t>
      </w:r>
      <w:r>
        <w:rPr>
          <w:spacing w:val="-29"/>
        </w:rPr>
        <w:t> </w:t>
      </w:r>
      <w:r>
        <w:rPr/>
        <w:t>solar</w:t>
      </w:r>
      <w:r>
        <w:rPr>
          <w:spacing w:val="-30"/>
        </w:rPr>
        <w:t> </w:t>
      </w:r>
      <w:r>
        <w:rPr/>
        <w:t>energy</w:t>
      </w:r>
      <w:r>
        <w:rPr>
          <w:spacing w:val="-30"/>
        </w:rPr>
        <w:t> </w:t>
      </w:r>
      <w:r>
        <w:rPr/>
        <w:t>has</w:t>
      </w:r>
      <w:r>
        <w:rPr>
          <w:spacing w:val="-29"/>
        </w:rPr>
        <w:t> </w:t>
      </w:r>
      <w:r>
        <w:rPr/>
        <w:t>complemented</w:t>
      </w:r>
      <w:r>
        <w:rPr>
          <w:spacing w:val="-29"/>
        </w:rPr>
        <w:t> </w:t>
      </w:r>
      <w:r>
        <w:rPr/>
        <w:t>the</w:t>
      </w:r>
      <w:r>
        <w:rPr>
          <w:spacing w:val="-30"/>
        </w:rPr>
        <w:t> </w:t>
      </w:r>
      <w:r>
        <w:rPr/>
        <w:t>conventional</w:t>
      </w:r>
      <w:r>
        <w:rPr>
          <w:spacing w:val="-30"/>
        </w:rPr>
        <w:t> </w:t>
      </w:r>
      <w:r>
        <w:rPr/>
        <w:t>sources</w:t>
      </w:r>
      <w:r>
        <w:rPr>
          <w:spacing w:val="-28"/>
        </w:rPr>
        <w:t> </w:t>
      </w:r>
      <w:r>
        <w:rPr/>
        <w:t>of</w:t>
      </w:r>
      <w:r>
        <w:rPr>
          <w:spacing w:val="-29"/>
        </w:rPr>
        <w:t> </w:t>
      </w:r>
      <w:r>
        <w:rPr/>
        <w:t>energy in</w:t>
      </w:r>
      <w:r>
        <w:rPr>
          <w:spacing w:val="-34"/>
        </w:rPr>
        <w:t> </w:t>
      </w:r>
      <w:r>
        <w:rPr/>
        <w:t>a</w:t>
      </w:r>
      <w:r>
        <w:rPr>
          <w:spacing w:val="-33"/>
        </w:rPr>
        <w:t> </w:t>
      </w:r>
      <w:r>
        <w:rPr/>
        <w:t>large</w:t>
      </w:r>
      <w:r>
        <w:rPr>
          <w:spacing w:val="-33"/>
        </w:rPr>
        <w:t> </w:t>
      </w:r>
      <w:r>
        <w:rPr/>
        <w:t>way</w:t>
      </w:r>
      <w:r>
        <w:rPr>
          <w:spacing w:val="-31"/>
        </w:rPr>
        <w:t> </w:t>
      </w:r>
      <w:r>
        <w:rPr/>
        <w:t>with</w:t>
      </w:r>
      <w:r>
        <w:rPr>
          <w:spacing w:val="-33"/>
        </w:rPr>
        <w:t> </w:t>
      </w:r>
      <w:r>
        <w:rPr/>
        <w:t>an</w:t>
      </w:r>
      <w:r>
        <w:rPr>
          <w:spacing w:val="-33"/>
        </w:rPr>
        <w:t> </w:t>
      </w:r>
      <w:r>
        <w:rPr/>
        <w:t>average</w:t>
      </w:r>
      <w:r>
        <w:rPr>
          <w:spacing w:val="-33"/>
        </w:rPr>
        <w:t> </w:t>
      </w:r>
      <w:r>
        <w:rPr/>
        <w:t>solar</w:t>
      </w:r>
      <w:r>
        <w:rPr>
          <w:spacing w:val="-33"/>
        </w:rPr>
        <w:t> </w:t>
      </w:r>
      <w:r>
        <w:rPr/>
        <w:t>radiation</w:t>
      </w:r>
      <w:r>
        <w:rPr>
          <w:spacing w:val="-32"/>
        </w:rPr>
        <w:t> </w:t>
      </w:r>
      <w:r>
        <w:rPr/>
        <w:t>of</w:t>
      </w:r>
      <w:r>
        <w:rPr>
          <w:spacing w:val="-32"/>
        </w:rPr>
        <w:t> </w:t>
      </w:r>
      <w:r>
        <w:rPr/>
        <w:t>5.4</w:t>
      </w:r>
      <w:r>
        <w:rPr>
          <w:spacing w:val="-32"/>
        </w:rPr>
        <w:t> </w:t>
      </w:r>
      <w:r>
        <w:rPr/>
        <w:t>to</w:t>
      </w:r>
      <w:r>
        <w:rPr>
          <w:spacing w:val="-32"/>
        </w:rPr>
        <w:t> </w:t>
      </w:r>
      <w:r>
        <w:rPr/>
        <w:t>6.2</w:t>
      </w:r>
      <w:r>
        <w:rPr>
          <w:spacing w:val="-33"/>
        </w:rPr>
        <w:t> </w:t>
      </w:r>
      <w:r>
        <w:rPr/>
        <w:t>kWh/m</w:t>
      </w:r>
      <w:r>
        <w:rPr>
          <w:vertAlign w:val="superscript"/>
        </w:rPr>
        <w:t>2</w:t>
      </w:r>
      <w:r>
        <w:rPr>
          <w:vertAlign w:val="baseline"/>
        </w:rPr>
        <w:t>/day.</w:t>
      </w:r>
      <w:r>
        <w:rPr>
          <w:spacing w:val="-33"/>
          <w:vertAlign w:val="baseline"/>
        </w:rPr>
        <w:t> </w:t>
      </w:r>
      <w:r>
        <w:rPr>
          <w:vertAlign w:val="baseline"/>
        </w:rPr>
        <w:t>Karnataka</w:t>
      </w:r>
      <w:r>
        <w:rPr>
          <w:spacing w:val="-33"/>
          <w:vertAlign w:val="baseline"/>
        </w:rPr>
        <w:t> </w:t>
      </w:r>
      <w:r>
        <w:rPr>
          <w:vertAlign w:val="baseline"/>
        </w:rPr>
        <w:t>was</w:t>
      </w:r>
      <w:r>
        <w:rPr>
          <w:spacing w:val="-31"/>
          <w:vertAlign w:val="baseline"/>
        </w:rPr>
        <w:t> </w:t>
      </w:r>
      <w:r>
        <w:rPr>
          <w:vertAlign w:val="baseline"/>
        </w:rPr>
        <w:t>the</w:t>
      </w:r>
      <w:r>
        <w:rPr>
          <w:spacing w:val="-33"/>
          <w:vertAlign w:val="baseline"/>
        </w:rPr>
        <w:t> </w:t>
      </w:r>
      <w:r>
        <w:rPr>
          <w:vertAlign w:val="baseline"/>
        </w:rPr>
        <w:t>first</w:t>
      </w:r>
      <w:r>
        <w:rPr>
          <w:spacing w:val="-32"/>
          <w:vertAlign w:val="baseline"/>
        </w:rPr>
        <w:t> </w:t>
      </w:r>
      <w:r>
        <w:rPr>
          <w:vertAlign w:val="baseline"/>
        </w:rPr>
        <w:t>southern state</w:t>
      </w:r>
      <w:r>
        <w:rPr>
          <w:spacing w:val="-20"/>
          <w:vertAlign w:val="baseline"/>
        </w:rPr>
        <w:t> </w:t>
      </w:r>
      <w:r>
        <w:rPr>
          <w:vertAlign w:val="baseline"/>
        </w:rPr>
        <w:t>to</w:t>
      </w:r>
      <w:r>
        <w:rPr>
          <w:spacing w:val="-20"/>
          <w:vertAlign w:val="baseline"/>
        </w:rPr>
        <w:t> </w:t>
      </w:r>
      <w:r>
        <w:rPr>
          <w:vertAlign w:val="baseline"/>
        </w:rPr>
        <w:t>notify</w:t>
      </w:r>
      <w:r>
        <w:rPr>
          <w:spacing w:val="-19"/>
          <w:vertAlign w:val="baseline"/>
        </w:rPr>
        <w:t> </w:t>
      </w:r>
      <w:r>
        <w:rPr>
          <w:vertAlign w:val="baseline"/>
        </w:rPr>
        <w:t>its</w:t>
      </w:r>
      <w:r>
        <w:rPr>
          <w:spacing w:val="-18"/>
          <w:vertAlign w:val="baseline"/>
        </w:rPr>
        <w:t> </w:t>
      </w:r>
      <w:r>
        <w:rPr>
          <w:vertAlign w:val="baseline"/>
        </w:rPr>
        <w:t>Solar</w:t>
      </w:r>
      <w:r>
        <w:rPr>
          <w:spacing w:val="-20"/>
          <w:vertAlign w:val="baseline"/>
        </w:rPr>
        <w:t> </w:t>
      </w:r>
      <w:r>
        <w:rPr>
          <w:vertAlign w:val="baseline"/>
        </w:rPr>
        <w:t>Policy</w:t>
      </w:r>
      <w:r>
        <w:rPr>
          <w:spacing w:val="-19"/>
          <w:vertAlign w:val="baseline"/>
        </w:rPr>
        <w:t> </w:t>
      </w:r>
      <w:r>
        <w:rPr>
          <w:vertAlign w:val="baseline"/>
        </w:rPr>
        <w:t>in</w:t>
      </w:r>
      <w:r>
        <w:rPr>
          <w:spacing w:val="-20"/>
          <w:vertAlign w:val="baseline"/>
        </w:rPr>
        <w:t> </w:t>
      </w:r>
      <w:r>
        <w:rPr>
          <w:vertAlign w:val="baseline"/>
        </w:rPr>
        <w:t>2011</w:t>
      </w:r>
      <w:r>
        <w:rPr>
          <w:spacing w:val="-20"/>
          <w:vertAlign w:val="baseline"/>
        </w:rPr>
        <w:t> </w:t>
      </w:r>
      <w:r>
        <w:rPr>
          <w:vertAlign w:val="baseline"/>
        </w:rPr>
        <w:t>and</w:t>
      </w:r>
      <w:r>
        <w:rPr>
          <w:spacing w:val="-20"/>
          <w:vertAlign w:val="baseline"/>
        </w:rPr>
        <w:t> </w:t>
      </w:r>
      <w:r>
        <w:rPr>
          <w:vertAlign w:val="baseline"/>
        </w:rPr>
        <w:t>was</w:t>
      </w:r>
      <w:r>
        <w:rPr>
          <w:spacing w:val="-18"/>
          <w:vertAlign w:val="baseline"/>
        </w:rPr>
        <w:t> </w:t>
      </w:r>
      <w:r>
        <w:rPr>
          <w:vertAlign w:val="baseline"/>
        </w:rPr>
        <w:t>the</w:t>
      </w:r>
      <w:r>
        <w:rPr>
          <w:spacing w:val="-20"/>
          <w:vertAlign w:val="baseline"/>
        </w:rPr>
        <w:t> </w:t>
      </w:r>
      <w:r>
        <w:rPr>
          <w:vertAlign w:val="baseline"/>
        </w:rPr>
        <w:t>first</w:t>
      </w:r>
      <w:r>
        <w:rPr>
          <w:spacing w:val="-19"/>
          <w:vertAlign w:val="baseline"/>
        </w:rPr>
        <w:t> </w:t>
      </w:r>
      <w:r>
        <w:rPr>
          <w:vertAlign w:val="baseline"/>
        </w:rPr>
        <w:t>state</w:t>
      </w:r>
      <w:r>
        <w:rPr>
          <w:spacing w:val="-20"/>
          <w:vertAlign w:val="baseline"/>
        </w:rPr>
        <w:t> </w:t>
      </w:r>
      <w:r>
        <w:rPr>
          <w:vertAlign w:val="baseline"/>
        </w:rPr>
        <w:t>to</w:t>
      </w:r>
      <w:r>
        <w:rPr>
          <w:spacing w:val="-20"/>
          <w:vertAlign w:val="baseline"/>
        </w:rPr>
        <w:t> </w:t>
      </w:r>
      <w:r>
        <w:rPr>
          <w:vertAlign w:val="baseline"/>
        </w:rPr>
        <w:t>commission</w:t>
      </w:r>
      <w:r>
        <w:rPr>
          <w:spacing w:val="-20"/>
          <w:vertAlign w:val="baseline"/>
        </w:rPr>
        <w:t> </w:t>
      </w:r>
      <w:r>
        <w:rPr>
          <w:vertAlign w:val="baseline"/>
        </w:rPr>
        <w:t>utility</w:t>
      </w:r>
      <w:r>
        <w:rPr>
          <w:spacing w:val="-19"/>
          <w:vertAlign w:val="baseline"/>
        </w:rPr>
        <w:t> </w:t>
      </w:r>
      <w:r>
        <w:rPr>
          <w:vertAlign w:val="baseline"/>
        </w:rPr>
        <w:t>scale</w:t>
      </w:r>
      <w:r>
        <w:rPr>
          <w:spacing w:val="-20"/>
          <w:vertAlign w:val="baseline"/>
        </w:rPr>
        <w:t> </w:t>
      </w:r>
      <w:r>
        <w:rPr>
          <w:vertAlign w:val="baseline"/>
        </w:rPr>
        <w:t>solar</w:t>
      </w:r>
      <w:r>
        <w:rPr>
          <w:spacing w:val="-20"/>
          <w:vertAlign w:val="baseline"/>
        </w:rPr>
        <w:t> </w:t>
      </w:r>
      <w:r>
        <w:rPr>
          <w:vertAlign w:val="baseline"/>
        </w:rPr>
        <w:t>project</w:t>
      </w:r>
      <w:r>
        <w:rPr>
          <w:spacing w:val="-19"/>
          <w:vertAlign w:val="baseline"/>
        </w:rPr>
        <w:t> </w:t>
      </w:r>
      <w:r>
        <w:rPr>
          <w:vertAlign w:val="baseline"/>
        </w:rPr>
        <w:t>in India. Karnataka Electricity Regulatory Commission (KERC) established in the year 1999, has been entrusted</w:t>
      </w:r>
      <w:r>
        <w:rPr>
          <w:spacing w:val="-46"/>
          <w:vertAlign w:val="baseline"/>
        </w:rPr>
        <w:t> </w:t>
      </w:r>
      <w:r>
        <w:rPr>
          <w:vertAlign w:val="baseline"/>
        </w:rPr>
        <w:t>the</w:t>
      </w:r>
      <w:r>
        <w:rPr>
          <w:spacing w:val="-45"/>
          <w:vertAlign w:val="baseline"/>
        </w:rPr>
        <w:t> </w:t>
      </w:r>
      <w:r>
        <w:rPr>
          <w:vertAlign w:val="baseline"/>
        </w:rPr>
        <w:t>regulatory</w:t>
      </w:r>
      <w:r>
        <w:rPr>
          <w:spacing w:val="-44"/>
          <w:vertAlign w:val="baseline"/>
        </w:rPr>
        <w:t> </w:t>
      </w:r>
      <w:r>
        <w:rPr>
          <w:vertAlign w:val="baseline"/>
        </w:rPr>
        <w:t>responsibilities</w:t>
      </w:r>
      <w:r>
        <w:rPr>
          <w:spacing w:val="-46"/>
          <w:vertAlign w:val="baseline"/>
        </w:rPr>
        <w:t> </w:t>
      </w:r>
      <w:r>
        <w:rPr>
          <w:vertAlign w:val="baseline"/>
        </w:rPr>
        <w:t>from</w:t>
      </w:r>
      <w:r>
        <w:rPr>
          <w:spacing w:val="-44"/>
          <w:vertAlign w:val="baseline"/>
        </w:rPr>
        <w:t> </w:t>
      </w:r>
      <w:r>
        <w:rPr>
          <w:vertAlign w:val="baseline"/>
        </w:rPr>
        <w:t>the</w:t>
      </w:r>
      <w:r>
        <w:rPr>
          <w:spacing w:val="-46"/>
          <w:vertAlign w:val="baseline"/>
        </w:rPr>
        <w:t> </w:t>
      </w:r>
      <w:r>
        <w:rPr>
          <w:vertAlign w:val="baseline"/>
        </w:rPr>
        <w:t>Government</w:t>
      </w:r>
      <w:r>
        <w:rPr>
          <w:spacing w:val="-43"/>
          <w:vertAlign w:val="baseline"/>
        </w:rPr>
        <w:t> </w:t>
      </w:r>
      <w:r>
        <w:rPr>
          <w:vertAlign w:val="baseline"/>
        </w:rPr>
        <w:t>of</w:t>
      </w:r>
      <w:r>
        <w:rPr>
          <w:spacing w:val="-44"/>
          <w:vertAlign w:val="baseline"/>
        </w:rPr>
        <w:t> </w:t>
      </w:r>
      <w:r>
        <w:rPr>
          <w:vertAlign w:val="baseline"/>
        </w:rPr>
        <w:t>Karnataka</w:t>
      </w:r>
      <w:r>
        <w:rPr>
          <w:spacing w:val="-45"/>
          <w:vertAlign w:val="baseline"/>
        </w:rPr>
        <w:t> </w:t>
      </w:r>
      <w:r>
        <w:rPr>
          <w:vertAlign w:val="baseline"/>
        </w:rPr>
        <w:t>to</w:t>
      </w:r>
      <w:r>
        <w:rPr>
          <w:spacing w:val="-44"/>
          <w:vertAlign w:val="baseline"/>
        </w:rPr>
        <w:t> </w:t>
      </w:r>
      <w:r>
        <w:rPr>
          <w:vertAlign w:val="baseline"/>
        </w:rPr>
        <w:t>coordinate</w:t>
      </w:r>
      <w:r>
        <w:rPr>
          <w:spacing w:val="-45"/>
          <w:vertAlign w:val="baseline"/>
        </w:rPr>
        <w:t> </w:t>
      </w:r>
      <w:r>
        <w:rPr>
          <w:vertAlign w:val="baseline"/>
        </w:rPr>
        <w:t>and</w:t>
      </w:r>
      <w:r>
        <w:rPr>
          <w:spacing w:val="-44"/>
          <w:vertAlign w:val="baseline"/>
        </w:rPr>
        <w:t> </w:t>
      </w:r>
      <w:r>
        <w:rPr>
          <w:vertAlign w:val="baseline"/>
        </w:rPr>
        <w:t>implement various</w:t>
      </w:r>
      <w:r>
        <w:rPr>
          <w:spacing w:val="-15"/>
          <w:vertAlign w:val="baseline"/>
        </w:rPr>
        <w:t> </w:t>
      </w:r>
      <w:r>
        <w:rPr>
          <w:vertAlign w:val="baseline"/>
        </w:rPr>
        <w:t>policies,</w:t>
      </w:r>
      <w:r>
        <w:rPr>
          <w:spacing w:val="-15"/>
          <w:vertAlign w:val="baseline"/>
        </w:rPr>
        <w:t> </w:t>
      </w:r>
      <w:r>
        <w:rPr>
          <w:vertAlign w:val="baseline"/>
        </w:rPr>
        <w:t>so</w:t>
      </w:r>
      <w:r>
        <w:rPr>
          <w:spacing w:val="-16"/>
          <w:vertAlign w:val="baseline"/>
        </w:rPr>
        <w:t> </w:t>
      </w:r>
      <w:r>
        <w:rPr>
          <w:vertAlign w:val="baseline"/>
        </w:rPr>
        <w:t>as</w:t>
      </w:r>
      <w:r>
        <w:rPr>
          <w:spacing w:val="-14"/>
          <w:vertAlign w:val="baseline"/>
        </w:rPr>
        <w:t> </w:t>
      </w:r>
      <w:r>
        <w:rPr>
          <w:vertAlign w:val="baseline"/>
        </w:rPr>
        <w:t>the</w:t>
      </w:r>
      <w:r>
        <w:rPr>
          <w:spacing w:val="-18"/>
          <w:vertAlign w:val="baseline"/>
        </w:rPr>
        <w:t> </w:t>
      </w:r>
      <w:r>
        <w:rPr>
          <w:vertAlign w:val="baseline"/>
        </w:rPr>
        <w:t>targets</w:t>
      </w:r>
      <w:r>
        <w:rPr>
          <w:spacing w:val="-16"/>
          <w:vertAlign w:val="baseline"/>
        </w:rPr>
        <w:t> </w:t>
      </w:r>
      <w:r>
        <w:rPr>
          <w:vertAlign w:val="baseline"/>
        </w:rPr>
        <w:t>set</w:t>
      </w:r>
      <w:r>
        <w:rPr>
          <w:spacing w:val="-15"/>
          <w:vertAlign w:val="baseline"/>
        </w:rPr>
        <w:t> </w:t>
      </w:r>
      <w:r>
        <w:rPr>
          <w:vertAlign w:val="baseline"/>
        </w:rPr>
        <w:t>can</w:t>
      </w:r>
      <w:r>
        <w:rPr>
          <w:spacing w:val="-16"/>
          <w:vertAlign w:val="baseline"/>
        </w:rPr>
        <w:t> </w:t>
      </w:r>
      <w:r>
        <w:rPr>
          <w:vertAlign w:val="baseline"/>
        </w:rPr>
        <w:t>be</w:t>
      </w:r>
      <w:r>
        <w:rPr>
          <w:spacing w:val="-15"/>
          <w:vertAlign w:val="baseline"/>
        </w:rPr>
        <w:t> </w:t>
      </w:r>
      <w:r>
        <w:rPr>
          <w:vertAlign w:val="baseline"/>
        </w:rPr>
        <w:t>achieved</w:t>
      </w:r>
      <w:r>
        <w:rPr>
          <w:spacing w:val="-15"/>
          <w:vertAlign w:val="baseline"/>
        </w:rPr>
        <w:t> </w:t>
      </w:r>
      <w:r>
        <w:rPr>
          <w:vertAlign w:val="baseline"/>
        </w:rPr>
        <w:t>with</w:t>
      </w:r>
      <w:r>
        <w:rPr>
          <w:spacing w:val="-15"/>
          <w:vertAlign w:val="baseline"/>
        </w:rPr>
        <w:t> </w:t>
      </w:r>
      <w:r>
        <w:rPr>
          <w:vertAlign w:val="baseline"/>
        </w:rPr>
        <w:t>optimum</w:t>
      </w:r>
      <w:r>
        <w:rPr>
          <w:spacing w:val="-16"/>
          <w:vertAlign w:val="baseline"/>
        </w:rPr>
        <w:t> </w:t>
      </w:r>
      <w:r>
        <w:rPr>
          <w:vertAlign w:val="baseline"/>
        </w:rPr>
        <w:t>utilization</w:t>
      </w:r>
      <w:r>
        <w:rPr>
          <w:spacing w:val="-16"/>
          <w:vertAlign w:val="baseline"/>
        </w:rPr>
        <w:t> </w:t>
      </w:r>
      <w:r>
        <w:rPr>
          <w:vertAlign w:val="baseline"/>
        </w:rPr>
        <w:t>of</w:t>
      </w:r>
      <w:r>
        <w:rPr>
          <w:spacing w:val="-12"/>
          <w:vertAlign w:val="baseline"/>
        </w:rPr>
        <w:t> </w:t>
      </w:r>
      <w:r>
        <w:rPr>
          <w:vertAlign w:val="baseline"/>
        </w:rPr>
        <w:t>resources.</w:t>
      </w:r>
    </w:p>
    <w:p>
      <w:pPr>
        <w:pStyle w:val="BodyText"/>
        <w:spacing w:before="6"/>
        <w:rPr>
          <w:sz w:val="20"/>
        </w:rPr>
      </w:pPr>
    </w:p>
    <w:p>
      <w:pPr>
        <w:pStyle w:val="BodyText"/>
        <w:spacing w:line="372" w:lineRule="auto"/>
        <w:ind w:left="1220" w:right="675"/>
        <w:jc w:val="both"/>
      </w:pPr>
      <w:r>
        <w:rPr/>
        <w:t>Further, the initial solar policy formulated in 2011 was for period of 2011 </w:t>
      </w:r>
      <w:r>
        <w:rPr>
          <w:w w:val="105"/>
        </w:rPr>
        <w:t>– </w:t>
      </w:r>
      <w:r>
        <w:rPr/>
        <w:t>16. However, in light of technological</w:t>
      </w:r>
      <w:r>
        <w:rPr>
          <w:spacing w:val="-34"/>
        </w:rPr>
        <w:t> </w:t>
      </w:r>
      <w:r>
        <w:rPr/>
        <w:t>advantages</w:t>
      </w:r>
      <w:r>
        <w:rPr>
          <w:spacing w:val="-32"/>
        </w:rPr>
        <w:t> </w:t>
      </w:r>
      <w:r>
        <w:rPr/>
        <w:t>unfolding</w:t>
      </w:r>
      <w:r>
        <w:rPr>
          <w:spacing w:val="-32"/>
        </w:rPr>
        <w:t> </w:t>
      </w:r>
      <w:r>
        <w:rPr/>
        <w:t>in</w:t>
      </w:r>
      <w:r>
        <w:rPr>
          <w:spacing w:val="-34"/>
        </w:rPr>
        <w:t> </w:t>
      </w:r>
      <w:r>
        <w:rPr/>
        <w:t>the</w:t>
      </w:r>
      <w:r>
        <w:rPr>
          <w:spacing w:val="-34"/>
        </w:rPr>
        <w:t> </w:t>
      </w:r>
      <w:r>
        <w:rPr/>
        <w:t>solar</w:t>
      </w:r>
      <w:r>
        <w:rPr>
          <w:spacing w:val="-32"/>
        </w:rPr>
        <w:t> </w:t>
      </w:r>
      <w:r>
        <w:rPr/>
        <w:t>sector,</w:t>
      </w:r>
      <w:r>
        <w:rPr>
          <w:spacing w:val="-34"/>
        </w:rPr>
        <w:t> </w:t>
      </w:r>
      <w:r>
        <w:rPr/>
        <w:t>the</w:t>
      </w:r>
      <w:r>
        <w:rPr>
          <w:spacing w:val="-33"/>
        </w:rPr>
        <w:t> </w:t>
      </w:r>
      <w:r>
        <w:rPr/>
        <w:t>existing</w:t>
      </w:r>
      <w:r>
        <w:rPr>
          <w:spacing w:val="-32"/>
        </w:rPr>
        <w:t> </w:t>
      </w:r>
      <w:r>
        <w:rPr/>
        <w:t>solar</w:t>
      </w:r>
      <w:r>
        <w:rPr>
          <w:spacing w:val="-34"/>
        </w:rPr>
        <w:t> </w:t>
      </w:r>
      <w:r>
        <w:rPr/>
        <w:t>policy</w:t>
      </w:r>
      <w:r>
        <w:rPr>
          <w:spacing w:val="-32"/>
        </w:rPr>
        <w:t> </w:t>
      </w:r>
      <w:r>
        <w:rPr/>
        <w:t>of</w:t>
      </w:r>
      <w:r>
        <w:rPr>
          <w:spacing w:val="-32"/>
        </w:rPr>
        <w:t> </w:t>
      </w:r>
      <w:r>
        <w:rPr/>
        <w:t>Karnataka</w:t>
      </w:r>
      <w:r>
        <w:rPr>
          <w:spacing w:val="-33"/>
        </w:rPr>
        <w:t> </w:t>
      </w:r>
      <w:r>
        <w:rPr/>
        <w:t>was</w:t>
      </w:r>
      <w:r>
        <w:rPr>
          <w:spacing w:val="-32"/>
        </w:rPr>
        <w:t> </w:t>
      </w:r>
      <w:r>
        <w:rPr/>
        <w:t>revised and</w:t>
      </w:r>
      <w:r>
        <w:rPr>
          <w:spacing w:val="-24"/>
        </w:rPr>
        <w:t> </w:t>
      </w:r>
      <w:r>
        <w:rPr/>
        <w:t>a</w:t>
      </w:r>
      <w:r>
        <w:rPr>
          <w:spacing w:val="-24"/>
        </w:rPr>
        <w:t> </w:t>
      </w:r>
      <w:r>
        <w:rPr/>
        <w:t>new</w:t>
      </w:r>
      <w:r>
        <w:rPr>
          <w:spacing w:val="-23"/>
        </w:rPr>
        <w:t> </w:t>
      </w:r>
      <w:r>
        <w:rPr/>
        <w:t>policy</w:t>
      </w:r>
      <w:r>
        <w:rPr>
          <w:spacing w:val="-23"/>
        </w:rPr>
        <w:t> </w:t>
      </w:r>
      <w:r>
        <w:rPr/>
        <w:t>was</w:t>
      </w:r>
      <w:r>
        <w:rPr>
          <w:spacing w:val="-22"/>
        </w:rPr>
        <w:t> </w:t>
      </w:r>
      <w:r>
        <w:rPr/>
        <w:t>formulated</w:t>
      </w:r>
      <w:r>
        <w:rPr>
          <w:spacing w:val="-24"/>
        </w:rPr>
        <w:t> </w:t>
      </w:r>
      <w:r>
        <w:rPr/>
        <w:t>in</w:t>
      </w:r>
      <w:r>
        <w:rPr>
          <w:spacing w:val="-22"/>
        </w:rPr>
        <w:t> </w:t>
      </w:r>
      <w:r>
        <w:rPr/>
        <w:t>2014</w:t>
      </w:r>
      <w:r>
        <w:rPr>
          <w:spacing w:val="-25"/>
        </w:rPr>
        <w:t> </w:t>
      </w:r>
      <w:r>
        <w:rPr/>
        <w:t>(namely</w:t>
      </w:r>
      <w:r>
        <w:rPr>
          <w:spacing w:val="-22"/>
        </w:rPr>
        <w:t> </w:t>
      </w:r>
      <w:r>
        <w:rPr/>
        <w:t>Karnataka</w:t>
      </w:r>
      <w:r>
        <w:rPr>
          <w:spacing w:val="-23"/>
        </w:rPr>
        <w:t> </w:t>
      </w:r>
      <w:r>
        <w:rPr/>
        <w:t>Solar</w:t>
      </w:r>
      <w:r>
        <w:rPr>
          <w:spacing w:val="-24"/>
        </w:rPr>
        <w:t> </w:t>
      </w:r>
      <w:r>
        <w:rPr/>
        <w:t>Policy</w:t>
      </w:r>
      <w:r>
        <w:rPr>
          <w:spacing w:val="-22"/>
        </w:rPr>
        <w:t> </w:t>
      </w:r>
      <w:r>
        <w:rPr/>
        <w:t>2014</w:t>
      </w:r>
      <w:r>
        <w:rPr>
          <w:spacing w:val="-24"/>
        </w:rPr>
        <w:t> </w:t>
      </w:r>
      <w:r>
        <w:rPr>
          <w:w w:val="105"/>
        </w:rPr>
        <w:t>–</w:t>
      </w:r>
      <w:r>
        <w:rPr>
          <w:spacing w:val="-25"/>
          <w:w w:val="105"/>
        </w:rPr>
        <w:t> </w:t>
      </w:r>
      <w:r>
        <w:rPr/>
        <w:t>21)</w:t>
      </w:r>
      <w:r>
        <w:rPr>
          <w:spacing w:val="-23"/>
        </w:rPr>
        <w:t> </w:t>
      </w:r>
      <w:r>
        <w:rPr/>
        <w:t>to</w:t>
      </w:r>
      <w:r>
        <w:rPr>
          <w:spacing w:val="-24"/>
        </w:rPr>
        <w:t> </w:t>
      </w:r>
      <w:r>
        <w:rPr/>
        <w:t>promote</w:t>
      </w:r>
      <w:r>
        <w:rPr>
          <w:spacing w:val="-24"/>
        </w:rPr>
        <w:t> </w:t>
      </w:r>
      <w:r>
        <w:rPr/>
        <w:t>capacity addition in solar power in order to augment the current sources. The objectives of this policy are highlighted</w:t>
      </w:r>
      <w:r>
        <w:rPr>
          <w:spacing w:val="-5"/>
        </w:rPr>
        <w:t> </w:t>
      </w:r>
      <w:r>
        <w:rPr/>
        <w:t>below:</w:t>
      </w:r>
    </w:p>
    <w:p>
      <w:pPr>
        <w:pStyle w:val="BodyText"/>
        <w:spacing w:before="6"/>
        <w:rPr>
          <w:sz w:val="20"/>
        </w:rPr>
      </w:pPr>
    </w:p>
    <w:p>
      <w:pPr>
        <w:pStyle w:val="ListParagraph"/>
        <w:numPr>
          <w:ilvl w:val="3"/>
          <w:numId w:val="93"/>
        </w:numPr>
        <w:tabs>
          <w:tab w:pos="1587" w:val="left" w:leader="none"/>
          <w:tab w:pos="1588" w:val="left" w:leader="none"/>
        </w:tabs>
        <w:spacing w:line="372" w:lineRule="auto" w:before="0" w:after="0"/>
        <w:ind w:left="1587" w:right="673" w:hanging="360"/>
        <w:jc w:val="left"/>
        <w:rPr>
          <w:sz w:val="22"/>
        </w:rPr>
      </w:pPr>
      <w:r>
        <w:rPr>
          <w:sz w:val="22"/>
        </w:rPr>
        <w:t>To add solar generation of minimum 2,000 MW (which was later revised to 6,000 MW) by 2021</w:t>
      </w:r>
      <w:r>
        <w:rPr>
          <w:sz w:val="22"/>
          <w:vertAlign w:val="superscript"/>
        </w:rPr>
        <w:t>8</w:t>
      </w:r>
      <w:r>
        <w:rPr>
          <w:spacing w:val="-47"/>
          <w:sz w:val="22"/>
          <w:vertAlign w:val="baseline"/>
        </w:rPr>
        <w:t> </w:t>
      </w:r>
      <w:r>
        <w:rPr>
          <w:sz w:val="22"/>
          <w:vertAlign w:val="baseline"/>
        </w:rPr>
        <w:t>in a phased manner by creating a conducive industrial</w:t>
      </w:r>
      <w:r>
        <w:rPr>
          <w:spacing w:val="-41"/>
          <w:sz w:val="22"/>
          <w:vertAlign w:val="baseline"/>
        </w:rPr>
        <w:t> </w:t>
      </w:r>
      <w:r>
        <w:rPr>
          <w:sz w:val="22"/>
          <w:vertAlign w:val="baseline"/>
        </w:rPr>
        <w:t>environment</w:t>
      </w:r>
    </w:p>
    <w:p>
      <w:pPr>
        <w:pStyle w:val="ListParagraph"/>
        <w:numPr>
          <w:ilvl w:val="3"/>
          <w:numId w:val="93"/>
        </w:numPr>
        <w:tabs>
          <w:tab w:pos="1587" w:val="left" w:leader="none"/>
          <w:tab w:pos="1588" w:val="left" w:leader="none"/>
        </w:tabs>
        <w:spacing w:line="254" w:lineRule="exact" w:before="0" w:after="0"/>
        <w:ind w:left="1587" w:right="0" w:hanging="361"/>
        <w:jc w:val="left"/>
        <w:rPr>
          <w:sz w:val="22"/>
        </w:rPr>
      </w:pPr>
      <w:r>
        <w:rPr>
          <w:sz w:val="22"/>
        </w:rPr>
        <w:t>To encourage public private participation in the</w:t>
      </w:r>
      <w:r>
        <w:rPr>
          <w:spacing w:val="-41"/>
          <w:sz w:val="22"/>
        </w:rPr>
        <w:t> </w:t>
      </w:r>
      <w:r>
        <w:rPr>
          <w:sz w:val="22"/>
        </w:rPr>
        <w:t>sector</w:t>
      </w:r>
    </w:p>
    <w:p>
      <w:pPr>
        <w:pStyle w:val="ListParagraph"/>
        <w:numPr>
          <w:ilvl w:val="3"/>
          <w:numId w:val="93"/>
        </w:numPr>
        <w:tabs>
          <w:tab w:pos="1587" w:val="left" w:leader="none"/>
          <w:tab w:pos="1588" w:val="left" w:leader="none"/>
        </w:tabs>
        <w:spacing w:line="240" w:lineRule="auto" w:before="140" w:after="0"/>
        <w:ind w:left="1587" w:right="0" w:hanging="361"/>
        <w:jc w:val="left"/>
        <w:rPr>
          <w:sz w:val="22"/>
        </w:rPr>
      </w:pPr>
      <w:r>
        <w:rPr>
          <w:sz w:val="22"/>
        </w:rPr>
        <w:t>To promote solar roof top generation and</w:t>
      </w:r>
      <w:r>
        <w:rPr>
          <w:spacing w:val="-25"/>
          <w:sz w:val="22"/>
        </w:rPr>
        <w:t> </w:t>
      </w:r>
      <w:r>
        <w:rPr>
          <w:sz w:val="22"/>
        </w:rPr>
        <w:t>technologies</w:t>
      </w:r>
    </w:p>
    <w:p>
      <w:pPr>
        <w:pStyle w:val="ListParagraph"/>
        <w:numPr>
          <w:ilvl w:val="3"/>
          <w:numId w:val="93"/>
        </w:numPr>
        <w:tabs>
          <w:tab w:pos="1587" w:val="left" w:leader="none"/>
          <w:tab w:pos="1588" w:val="left" w:leader="none"/>
        </w:tabs>
        <w:spacing w:line="240" w:lineRule="auto" w:before="141" w:after="0"/>
        <w:ind w:left="1587" w:right="0" w:hanging="361"/>
        <w:jc w:val="left"/>
        <w:rPr>
          <w:sz w:val="22"/>
        </w:rPr>
      </w:pPr>
      <w:r>
        <w:rPr>
          <w:sz w:val="22"/>
        </w:rPr>
        <w:t>To</w:t>
      </w:r>
      <w:r>
        <w:rPr>
          <w:spacing w:val="-17"/>
          <w:sz w:val="22"/>
        </w:rPr>
        <w:t> </w:t>
      </w:r>
      <w:r>
        <w:rPr>
          <w:sz w:val="22"/>
        </w:rPr>
        <w:t>encourage</w:t>
      </w:r>
      <w:r>
        <w:rPr>
          <w:spacing w:val="-17"/>
          <w:sz w:val="22"/>
        </w:rPr>
        <w:t> </w:t>
      </w:r>
      <w:r>
        <w:rPr>
          <w:sz w:val="22"/>
        </w:rPr>
        <w:t>decentralized</w:t>
      </w:r>
      <w:r>
        <w:rPr>
          <w:spacing w:val="-16"/>
          <w:sz w:val="22"/>
        </w:rPr>
        <w:t> </w:t>
      </w:r>
      <w:r>
        <w:rPr>
          <w:sz w:val="22"/>
        </w:rPr>
        <w:t>generation</w:t>
      </w:r>
      <w:r>
        <w:rPr>
          <w:spacing w:val="-17"/>
          <w:sz w:val="22"/>
        </w:rPr>
        <w:t> </w:t>
      </w:r>
      <w:r>
        <w:rPr>
          <w:sz w:val="22"/>
        </w:rPr>
        <w:t>and</w:t>
      </w:r>
      <w:r>
        <w:rPr>
          <w:spacing w:val="-17"/>
          <w:sz w:val="22"/>
        </w:rPr>
        <w:t> </w:t>
      </w:r>
      <w:r>
        <w:rPr>
          <w:sz w:val="22"/>
        </w:rPr>
        <w:t>distribution</w:t>
      </w:r>
      <w:r>
        <w:rPr>
          <w:spacing w:val="-17"/>
          <w:sz w:val="22"/>
        </w:rPr>
        <w:t> </w:t>
      </w:r>
      <w:r>
        <w:rPr>
          <w:sz w:val="22"/>
        </w:rPr>
        <w:t>of</w:t>
      </w:r>
      <w:r>
        <w:rPr>
          <w:spacing w:val="-13"/>
          <w:sz w:val="22"/>
        </w:rPr>
        <w:t> </w:t>
      </w:r>
      <w:r>
        <w:rPr>
          <w:sz w:val="22"/>
        </w:rPr>
        <w:t>energy</w:t>
      </w:r>
      <w:r>
        <w:rPr>
          <w:spacing w:val="-16"/>
          <w:sz w:val="22"/>
        </w:rPr>
        <w:t> </w:t>
      </w:r>
      <w:r>
        <w:rPr>
          <w:sz w:val="22"/>
        </w:rPr>
        <w:t>where</w:t>
      </w:r>
      <w:r>
        <w:rPr>
          <w:spacing w:val="-17"/>
          <w:sz w:val="22"/>
        </w:rPr>
        <w:t> </w:t>
      </w:r>
      <w:r>
        <w:rPr>
          <w:sz w:val="22"/>
        </w:rPr>
        <w:t>access</w:t>
      </w:r>
      <w:r>
        <w:rPr>
          <w:spacing w:val="-16"/>
          <w:sz w:val="22"/>
        </w:rPr>
        <w:t> </w:t>
      </w:r>
      <w:r>
        <w:rPr>
          <w:sz w:val="22"/>
        </w:rPr>
        <w:t>to</w:t>
      </w:r>
      <w:r>
        <w:rPr>
          <w:spacing w:val="-19"/>
          <w:sz w:val="22"/>
        </w:rPr>
        <w:t> </w:t>
      </w:r>
      <w:r>
        <w:rPr>
          <w:sz w:val="22"/>
        </w:rPr>
        <w:t>grid</w:t>
      </w:r>
      <w:r>
        <w:rPr>
          <w:spacing w:val="-16"/>
          <w:sz w:val="22"/>
        </w:rPr>
        <w:t> </w:t>
      </w:r>
      <w:r>
        <w:rPr>
          <w:sz w:val="22"/>
        </w:rPr>
        <w:t>is</w:t>
      </w:r>
      <w:r>
        <w:rPr>
          <w:spacing w:val="-18"/>
          <w:sz w:val="22"/>
        </w:rPr>
        <w:t> </w:t>
      </w:r>
      <w:r>
        <w:rPr>
          <w:sz w:val="22"/>
        </w:rPr>
        <w:t>difficult</w:t>
      </w:r>
    </w:p>
    <w:p>
      <w:pPr>
        <w:pStyle w:val="ListParagraph"/>
        <w:numPr>
          <w:ilvl w:val="3"/>
          <w:numId w:val="93"/>
        </w:numPr>
        <w:tabs>
          <w:tab w:pos="1587" w:val="left" w:leader="none"/>
          <w:tab w:pos="1588" w:val="left" w:leader="none"/>
        </w:tabs>
        <w:spacing w:line="240" w:lineRule="auto" w:before="140" w:after="0"/>
        <w:ind w:left="1587" w:right="0" w:hanging="361"/>
        <w:jc w:val="left"/>
        <w:rPr>
          <w:sz w:val="22"/>
        </w:rPr>
      </w:pPr>
      <w:r>
        <w:rPr>
          <w:sz w:val="22"/>
        </w:rPr>
        <w:t>To</w:t>
      </w:r>
      <w:r>
        <w:rPr>
          <w:spacing w:val="-6"/>
          <w:sz w:val="22"/>
        </w:rPr>
        <w:t> </w:t>
      </w:r>
      <w:r>
        <w:rPr>
          <w:sz w:val="22"/>
        </w:rPr>
        <w:t>promote</w:t>
      </w:r>
      <w:r>
        <w:rPr>
          <w:spacing w:val="-5"/>
          <w:sz w:val="22"/>
        </w:rPr>
        <w:t> </w:t>
      </w:r>
      <w:r>
        <w:rPr>
          <w:sz w:val="22"/>
        </w:rPr>
        <w:t>R&amp;D,</w:t>
      </w:r>
      <w:r>
        <w:rPr>
          <w:spacing w:val="-6"/>
          <w:sz w:val="22"/>
        </w:rPr>
        <w:t> </w:t>
      </w:r>
      <w:r>
        <w:rPr>
          <w:sz w:val="22"/>
        </w:rPr>
        <w:t>innovations</w:t>
      </w:r>
      <w:r>
        <w:rPr>
          <w:spacing w:val="-4"/>
          <w:sz w:val="22"/>
        </w:rPr>
        <w:t> </w:t>
      </w:r>
      <w:r>
        <w:rPr>
          <w:sz w:val="22"/>
        </w:rPr>
        <w:t>and</w:t>
      </w:r>
      <w:r>
        <w:rPr>
          <w:spacing w:val="-6"/>
          <w:sz w:val="22"/>
        </w:rPr>
        <w:t> </w:t>
      </w:r>
      <w:r>
        <w:rPr>
          <w:sz w:val="22"/>
        </w:rPr>
        <w:t>skill</w:t>
      </w:r>
      <w:r>
        <w:rPr>
          <w:spacing w:val="-6"/>
          <w:sz w:val="22"/>
        </w:rPr>
        <w:t> </w:t>
      </w:r>
      <w:r>
        <w:rPr>
          <w:sz w:val="22"/>
        </w:rPr>
        <w:t>development</w:t>
      </w:r>
      <w:r>
        <w:rPr>
          <w:spacing w:val="-5"/>
          <w:sz w:val="22"/>
        </w:rPr>
        <w:t> </w:t>
      </w:r>
      <w:r>
        <w:rPr>
          <w:sz w:val="22"/>
        </w:rPr>
        <w:t>in</w:t>
      </w:r>
      <w:r>
        <w:rPr>
          <w:spacing w:val="-7"/>
          <w:sz w:val="22"/>
        </w:rPr>
        <w:t> </w:t>
      </w:r>
      <w:r>
        <w:rPr>
          <w:sz w:val="22"/>
        </w:rPr>
        <w:t>the</w:t>
      </w:r>
      <w:r>
        <w:rPr>
          <w:spacing w:val="-5"/>
          <w:sz w:val="22"/>
        </w:rPr>
        <w:t> </w:t>
      </w:r>
      <w:r>
        <w:rPr>
          <w:sz w:val="22"/>
        </w:rPr>
        <w:t>sector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5"/>
        </w:rPr>
      </w:pPr>
      <w:r>
        <w:rPr/>
        <w:pict>
          <v:rect style="position:absolute;margin-left:36pt;margin-top:11.025029pt;width:144.050pt;height:.60004pt;mso-position-horizontal-relative:page;mso-position-vertical-relative:paragraph;z-index:-14938112;mso-wrap-distance-left:0;mso-wrap-distance-right:0" filled="true" fillcolor="#000000" stroked="false">
            <v:fill type="solid"/>
            <w10:wrap type="topAndBottom"/>
          </v:rect>
        </w:pict>
      </w:r>
    </w:p>
    <w:p>
      <w:pPr>
        <w:spacing w:before="70"/>
        <w:ind w:left="680" w:right="0" w:firstLine="0"/>
        <w:jc w:val="left"/>
        <w:rPr>
          <w:i/>
          <w:sz w:val="18"/>
        </w:rPr>
      </w:pPr>
      <w:r>
        <w:rPr>
          <w:i/>
          <w:position w:val="6"/>
          <w:sz w:val="11"/>
        </w:rPr>
        <w:t>8 </w:t>
      </w:r>
      <w:r>
        <w:rPr>
          <w:i/>
          <w:sz w:val="18"/>
        </w:rPr>
        <w:t>Source: Karnataka Renewable Energy Development Limited (KREDL)</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1"/>
          <w:numId w:val="93"/>
        </w:numPr>
        <w:tabs>
          <w:tab w:pos="1257" w:val="left" w:leader="none"/>
        </w:tabs>
        <w:spacing w:line="240" w:lineRule="auto" w:before="106" w:after="0"/>
        <w:ind w:left="1256" w:right="0" w:hanging="577"/>
        <w:jc w:val="left"/>
        <w:rPr>
          <w:sz w:val="22"/>
        </w:rPr>
      </w:pPr>
      <w:bookmarkStart w:name="_bookmark384" w:id="750"/>
      <w:bookmarkEnd w:id="750"/>
      <w:r>
        <w:rPr/>
      </w:r>
      <w:bookmarkStart w:name="_bookmark384" w:id="751"/>
      <w:bookmarkEnd w:id="751"/>
      <w:r>
        <w:rPr>
          <w:color w:val="1F6647"/>
          <w:sz w:val="22"/>
        </w:rPr>
        <w:t>Projec</w:t>
      </w:r>
      <w:r>
        <w:rPr>
          <w:color w:val="1F6647"/>
          <w:sz w:val="22"/>
        </w:rPr>
        <w:t>t</w:t>
      </w:r>
      <w:r>
        <w:rPr>
          <w:color w:val="1F6647"/>
          <w:spacing w:val="-3"/>
          <w:sz w:val="22"/>
        </w:rPr>
        <w:t> </w:t>
      </w:r>
      <w:r>
        <w:rPr>
          <w:color w:val="1F6647"/>
          <w:sz w:val="22"/>
        </w:rPr>
        <w:t>Details</w:t>
      </w:r>
    </w:p>
    <w:p>
      <w:pPr>
        <w:pStyle w:val="BodyText"/>
        <w:spacing w:before="3"/>
        <w:rPr>
          <w:sz w:val="28"/>
        </w:rPr>
      </w:pPr>
    </w:p>
    <w:p>
      <w:pPr>
        <w:pStyle w:val="BodyText"/>
        <w:spacing w:line="372" w:lineRule="auto"/>
        <w:ind w:left="1220" w:right="672"/>
        <w:jc w:val="both"/>
      </w:pPr>
      <w:r>
        <w:rPr/>
        <w:t>Based</w:t>
      </w:r>
      <w:r>
        <w:rPr>
          <w:spacing w:val="-42"/>
        </w:rPr>
        <w:t> </w:t>
      </w:r>
      <w:r>
        <w:rPr/>
        <w:t>on</w:t>
      </w:r>
      <w:r>
        <w:rPr>
          <w:spacing w:val="-41"/>
        </w:rPr>
        <w:t> </w:t>
      </w:r>
      <w:r>
        <w:rPr/>
        <w:t>the</w:t>
      </w:r>
      <w:r>
        <w:rPr>
          <w:spacing w:val="-43"/>
        </w:rPr>
        <w:t> </w:t>
      </w:r>
      <w:r>
        <w:rPr/>
        <w:t>project</w:t>
      </w:r>
      <w:r>
        <w:rPr>
          <w:spacing w:val="-41"/>
        </w:rPr>
        <w:t> </w:t>
      </w:r>
      <w:r>
        <w:rPr/>
        <w:t>development</w:t>
      </w:r>
      <w:r>
        <w:rPr>
          <w:spacing w:val="-41"/>
        </w:rPr>
        <w:t> </w:t>
      </w:r>
      <w:r>
        <w:rPr/>
        <w:t>agreement</w:t>
      </w:r>
      <w:r>
        <w:rPr>
          <w:spacing w:val="-42"/>
        </w:rPr>
        <w:t> </w:t>
      </w:r>
      <w:r>
        <w:rPr/>
        <w:t>between</w:t>
      </w:r>
      <w:r>
        <w:rPr>
          <w:spacing w:val="-41"/>
        </w:rPr>
        <w:t> </w:t>
      </w:r>
      <w:r>
        <w:rPr/>
        <w:t>Embassy-Energy</w:t>
      </w:r>
      <w:r>
        <w:rPr>
          <w:spacing w:val="-41"/>
        </w:rPr>
        <w:t> </w:t>
      </w:r>
      <w:r>
        <w:rPr/>
        <w:t>Private</w:t>
      </w:r>
      <w:r>
        <w:rPr>
          <w:spacing w:val="-41"/>
        </w:rPr>
        <w:t> </w:t>
      </w:r>
      <w:r>
        <w:rPr/>
        <w:t>Limited</w:t>
      </w:r>
      <w:r>
        <w:rPr>
          <w:spacing w:val="-41"/>
        </w:rPr>
        <w:t> </w:t>
      </w:r>
      <w:r>
        <w:rPr/>
        <w:t>(EEPL)</w:t>
      </w:r>
      <w:r>
        <w:rPr>
          <w:spacing w:val="-40"/>
        </w:rPr>
        <w:t> </w:t>
      </w:r>
      <w:r>
        <w:rPr/>
        <w:t>and</w:t>
      </w:r>
      <w:r>
        <w:rPr>
          <w:spacing w:val="-42"/>
        </w:rPr>
        <w:t> </w:t>
      </w:r>
      <w:r>
        <w:rPr/>
        <w:t>IL&amp;FS Solar</w:t>
      </w:r>
      <w:r>
        <w:rPr>
          <w:spacing w:val="-10"/>
        </w:rPr>
        <w:t> </w:t>
      </w:r>
      <w:r>
        <w:rPr/>
        <w:t>Power</w:t>
      </w:r>
      <w:r>
        <w:rPr>
          <w:spacing w:val="-10"/>
        </w:rPr>
        <w:t> </w:t>
      </w:r>
      <w:r>
        <w:rPr/>
        <w:t>Limited</w:t>
      </w:r>
      <w:r>
        <w:rPr>
          <w:spacing w:val="-7"/>
        </w:rPr>
        <w:t> </w:t>
      </w:r>
      <w:r>
        <w:rPr/>
        <w:t>(IL&amp;FS)</w:t>
      </w:r>
      <w:r>
        <w:rPr>
          <w:spacing w:val="-10"/>
        </w:rPr>
        <w:t> </w:t>
      </w:r>
      <w:r>
        <w:rPr/>
        <w:t>provided</w:t>
      </w:r>
      <w:r>
        <w:rPr>
          <w:spacing w:val="-10"/>
        </w:rPr>
        <w:t> </w:t>
      </w:r>
      <w:r>
        <w:rPr/>
        <w:t>by</w:t>
      </w:r>
      <w:r>
        <w:rPr>
          <w:spacing w:val="-10"/>
        </w:rPr>
        <w:t> </w:t>
      </w:r>
      <w:r>
        <w:rPr/>
        <w:t>the</w:t>
      </w:r>
      <w:r>
        <w:rPr>
          <w:spacing w:val="-10"/>
        </w:rPr>
        <w:t> </w:t>
      </w:r>
      <w:r>
        <w:rPr/>
        <w:t>Client,</w:t>
      </w:r>
      <w:r>
        <w:rPr>
          <w:spacing w:val="-9"/>
        </w:rPr>
        <w:t> </w:t>
      </w:r>
      <w:r>
        <w:rPr/>
        <w:t>it</w:t>
      </w:r>
      <w:r>
        <w:rPr>
          <w:spacing w:val="-10"/>
        </w:rPr>
        <w:t> </w:t>
      </w:r>
      <w:r>
        <w:rPr/>
        <w:t>is</w:t>
      </w:r>
      <w:r>
        <w:rPr>
          <w:spacing w:val="-9"/>
        </w:rPr>
        <w:t> </w:t>
      </w:r>
      <w:r>
        <w:rPr/>
        <w:t>understood</w:t>
      </w:r>
      <w:r>
        <w:rPr>
          <w:spacing w:val="-10"/>
        </w:rPr>
        <w:t> </w:t>
      </w:r>
      <w:r>
        <w:rPr/>
        <w:t>that</w:t>
      </w:r>
      <w:r>
        <w:rPr>
          <w:spacing w:val="-7"/>
        </w:rPr>
        <w:t> </w:t>
      </w:r>
      <w:r>
        <w:rPr/>
        <w:t>IL&amp;FS</w:t>
      </w:r>
      <w:r>
        <w:rPr>
          <w:spacing w:val="-11"/>
        </w:rPr>
        <w:t> </w:t>
      </w:r>
      <w:r>
        <w:rPr/>
        <w:t>(the</w:t>
      </w:r>
      <w:r>
        <w:rPr>
          <w:spacing w:val="-10"/>
        </w:rPr>
        <w:t> </w:t>
      </w:r>
      <w:r>
        <w:rPr/>
        <w:t>developer</w:t>
      </w:r>
      <w:r>
        <w:rPr>
          <w:spacing w:val="-10"/>
        </w:rPr>
        <w:t> </w:t>
      </w:r>
      <w:r>
        <w:rPr/>
        <w:t>/</w:t>
      </w:r>
      <w:r>
        <w:rPr>
          <w:spacing w:val="-10"/>
        </w:rPr>
        <w:t> </w:t>
      </w:r>
      <w:r>
        <w:rPr/>
        <w:t>main contractor)</w:t>
      </w:r>
      <w:r>
        <w:rPr>
          <w:spacing w:val="-3"/>
        </w:rPr>
        <w:t> </w:t>
      </w:r>
      <w:r>
        <w:rPr/>
        <w:t>is</w:t>
      </w:r>
      <w:r>
        <w:rPr>
          <w:spacing w:val="-3"/>
        </w:rPr>
        <w:t> </w:t>
      </w:r>
      <w:r>
        <w:rPr/>
        <w:t>entrusted</w:t>
      </w:r>
      <w:r>
        <w:rPr>
          <w:spacing w:val="-3"/>
        </w:rPr>
        <w:t> </w:t>
      </w:r>
      <w:r>
        <w:rPr/>
        <w:t>to</w:t>
      </w:r>
      <w:r>
        <w:rPr>
          <w:spacing w:val="-4"/>
        </w:rPr>
        <w:t> </w:t>
      </w:r>
      <w:r>
        <w:rPr/>
        <w:t>procure</w:t>
      </w:r>
      <w:r>
        <w:rPr>
          <w:spacing w:val="-3"/>
        </w:rPr>
        <w:t> </w:t>
      </w:r>
      <w:r>
        <w:rPr/>
        <w:t>the</w:t>
      </w:r>
      <w:r>
        <w:rPr>
          <w:spacing w:val="-4"/>
        </w:rPr>
        <w:t> </w:t>
      </w:r>
      <w:r>
        <w:rPr/>
        <w:t>site</w:t>
      </w:r>
      <w:r>
        <w:rPr>
          <w:spacing w:val="-4"/>
        </w:rPr>
        <w:t> </w:t>
      </w:r>
      <w:r>
        <w:rPr/>
        <w:t>and</w:t>
      </w:r>
      <w:r>
        <w:rPr>
          <w:spacing w:val="-2"/>
        </w:rPr>
        <w:t> </w:t>
      </w:r>
      <w:r>
        <w:rPr/>
        <w:t>set</w:t>
      </w:r>
      <w:r>
        <w:rPr>
          <w:spacing w:val="-3"/>
        </w:rPr>
        <w:t> </w:t>
      </w:r>
      <w:r>
        <w:rPr/>
        <w:t>up</w:t>
      </w:r>
      <w:r>
        <w:rPr>
          <w:spacing w:val="-2"/>
        </w:rPr>
        <w:t> </w:t>
      </w:r>
      <w:r>
        <w:rPr/>
        <w:t>the</w:t>
      </w:r>
      <w:r>
        <w:rPr>
          <w:spacing w:val="-4"/>
        </w:rPr>
        <w:t> </w:t>
      </w:r>
      <w:r>
        <w:rPr/>
        <w:t>entire</w:t>
      </w:r>
      <w:r>
        <w:rPr>
          <w:spacing w:val="-3"/>
        </w:rPr>
        <w:t> </w:t>
      </w:r>
      <w:r>
        <w:rPr/>
        <w:t>solar</w:t>
      </w:r>
      <w:r>
        <w:rPr>
          <w:spacing w:val="-4"/>
        </w:rPr>
        <w:t> </w:t>
      </w:r>
      <w:r>
        <w:rPr/>
        <w:t>plant</w:t>
      </w:r>
      <w:r>
        <w:rPr>
          <w:spacing w:val="-4"/>
        </w:rPr>
        <w:t> </w:t>
      </w:r>
      <w:r>
        <w:rPr/>
        <w:t>facility.</w:t>
      </w:r>
      <w:r>
        <w:rPr>
          <w:spacing w:val="-3"/>
        </w:rPr>
        <w:t> </w:t>
      </w:r>
      <w:r>
        <w:rPr/>
        <w:t>Also,</w:t>
      </w:r>
      <w:r>
        <w:rPr>
          <w:spacing w:val="-4"/>
        </w:rPr>
        <w:t> </w:t>
      </w:r>
      <w:r>
        <w:rPr/>
        <w:t>IL&amp;FS</w:t>
      </w:r>
      <w:r>
        <w:rPr>
          <w:spacing w:val="-5"/>
        </w:rPr>
        <w:t> </w:t>
      </w:r>
      <w:r>
        <w:rPr/>
        <w:t>will undertake</w:t>
      </w:r>
      <w:r>
        <w:rPr>
          <w:spacing w:val="-15"/>
        </w:rPr>
        <w:t> </w:t>
      </w:r>
      <w:r>
        <w:rPr/>
        <w:t>operation</w:t>
      </w:r>
      <w:r>
        <w:rPr>
          <w:spacing w:val="-15"/>
        </w:rPr>
        <w:t> </w:t>
      </w:r>
      <w:r>
        <w:rPr/>
        <w:t>and</w:t>
      </w:r>
      <w:r>
        <w:rPr>
          <w:spacing w:val="-14"/>
        </w:rPr>
        <w:t> </w:t>
      </w:r>
      <w:r>
        <w:rPr/>
        <w:t>maintenance</w:t>
      </w:r>
      <w:r>
        <w:rPr>
          <w:spacing w:val="-15"/>
        </w:rPr>
        <w:t> </w:t>
      </w:r>
      <w:r>
        <w:rPr/>
        <w:t>for</w:t>
      </w:r>
      <w:r>
        <w:rPr>
          <w:spacing w:val="-15"/>
        </w:rPr>
        <w:t> </w:t>
      </w:r>
      <w:r>
        <w:rPr/>
        <w:t>the</w:t>
      </w:r>
      <w:r>
        <w:rPr>
          <w:spacing w:val="-15"/>
        </w:rPr>
        <w:t> </w:t>
      </w:r>
      <w:r>
        <w:rPr/>
        <w:t>park</w:t>
      </w:r>
      <w:r>
        <w:rPr>
          <w:spacing w:val="-15"/>
        </w:rPr>
        <w:t> </w:t>
      </w:r>
      <w:r>
        <w:rPr/>
        <w:t>for</w:t>
      </w:r>
      <w:r>
        <w:rPr>
          <w:spacing w:val="-15"/>
        </w:rPr>
        <w:t> </w:t>
      </w:r>
      <w:r>
        <w:rPr/>
        <w:t>a</w:t>
      </w:r>
      <w:r>
        <w:rPr>
          <w:spacing w:val="-15"/>
        </w:rPr>
        <w:t> </w:t>
      </w:r>
      <w:r>
        <w:rPr/>
        <w:t>period</w:t>
      </w:r>
      <w:r>
        <w:rPr>
          <w:spacing w:val="-14"/>
        </w:rPr>
        <w:t> </w:t>
      </w:r>
      <w:r>
        <w:rPr/>
        <w:t>of</w:t>
      </w:r>
      <w:r>
        <w:rPr>
          <w:spacing w:val="-14"/>
        </w:rPr>
        <w:t> </w:t>
      </w:r>
      <w:r>
        <w:rPr/>
        <w:t>15</w:t>
      </w:r>
      <w:r>
        <w:rPr>
          <w:spacing w:val="-10"/>
        </w:rPr>
        <w:t> </w:t>
      </w:r>
      <w:r>
        <w:rPr/>
        <w:t>years</w:t>
      </w:r>
      <w:r>
        <w:rPr>
          <w:spacing w:val="-13"/>
        </w:rPr>
        <w:t> </w:t>
      </w:r>
      <w:r>
        <w:rPr/>
        <w:t>post</w:t>
      </w:r>
      <w:r>
        <w:rPr>
          <w:spacing w:val="-16"/>
        </w:rPr>
        <w:t> </w:t>
      </w:r>
      <w:r>
        <w:rPr/>
        <w:t>which</w:t>
      </w:r>
      <w:r>
        <w:rPr>
          <w:spacing w:val="-14"/>
        </w:rPr>
        <w:t> </w:t>
      </w:r>
      <w:r>
        <w:rPr/>
        <w:t>the</w:t>
      </w:r>
      <w:r>
        <w:rPr>
          <w:spacing w:val="-15"/>
        </w:rPr>
        <w:t> </w:t>
      </w:r>
      <w:r>
        <w:rPr/>
        <w:t>asset</w:t>
      </w:r>
      <w:r>
        <w:rPr>
          <w:spacing w:val="-15"/>
        </w:rPr>
        <w:t> </w:t>
      </w:r>
      <w:r>
        <w:rPr/>
        <w:t>would be handed over to EEPL for future</w:t>
      </w:r>
      <w:r>
        <w:rPr>
          <w:spacing w:val="-31"/>
        </w:rPr>
        <w:t> </w:t>
      </w:r>
      <w:r>
        <w:rPr/>
        <w:t>operations.</w:t>
      </w:r>
    </w:p>
    <w:p>
      <w:pPr>
        <w:pStyle w:val="BodyText"/>
        <w:spacing w:before="5"/>
        <w:rPr>
          <w:sz w:val="20"/>
        </w:rPr>
      </w:pPr>
    </w:p>
    <w:p>
      <w:pPr>
        <w:pStyle w:val="ListParagraph"/>
        <w:numPr>
          <w:ilvl w:val="2"/>
          <w:numId w:val="93"/>
        </w:numPr>
        <w:tabs>
          <w:tab w:pos="1401" w:val="left" w:leader="none"/>
        </w:tabs>
        <w:spacing w:line="240" w:lineRule="auto" w:before="1" w:after="0"/>
        <w:ind w:left="1400" w:right="0" w:hanging="721"/>
        <w:jc w:val="left"/>
        <w:rPr>
          <w:sz w:val="22"/>
        </w:rPr>
      </w:pPr>
      <w:bookmarkStart w:name="_bookmark385" w:id="752"/>
      <w:bookmarkEnd w:id="752"/>
      <w:r>
        <w:rPr/>
      </w:r>
      <w:bookmarkStart w:name="_bookmark385" w:id="753"/>
      <w:bookmarkEnd w:id="753"/>
      <w:r>
        <w:rPr>
          <w:color w:val="1F664D"/>
          <w:sz w:val="22"/>
        </w:rPr>
        <w:t>Def</w:t>
      </w:r>
      <w:r>
        <w:rPr>
          <w:color w:val="1F664D"/>
          <w:sz w:val="22"/>
        </w:rPr>
        <w:t>erred Payment Agreement between EEPL and</w:t>
      </w:r>
      <w:r>
        <w:rPr>
          <w:color w:val="1F664D"/>
          <w:spacing w:val="-5"/>
          <w:sz w:val="22"/>
        </w:rPr>
        <w:t> </w:t>
      </w:r>
      <w:r>
        <w:rPr>
          <w:color w:val="1F664D"/>
          <w:sz w:val="22"/>
        </w:rPr>
        <w:t>IL&amp;FS</w:t>
      </w:r>
    </w:p>
    <w:p>
      <w:pPr>
        <w:pStyle w:val="BodyText"/>
        <w:spacing w:before="3"/>
        <w:rPr>
          <w:sz w:val="28"/>
        </w:rPr>
      </w:pPr>
    </w:p>
    <w:p>
      <w:pPr>
        <w:pStyle w:val="BodyText"/>
        <w:spacing w:line="372" w:lineRule="auto"/>
        <w:ind w:left="1220" w:right="676"/>
        <w:jc w:val="both"/>
      </w:pPr>
      <w:r>
        <w:rPr/>
        <w:t>As</w:t>
      </w:r>
      <w:r>
        <w:rPr>
          <w:spacing w:val="-27"/>
        </w:rPr>
        <w:t> </w:t>
      </w:r>
      <w:r>
        <w:rPr/>
        <w:t>highlighted</w:t>
      </w:r>
      <w:r>
        <w:rPr>
          <w:spacing w:val="-26"/>
        </w:rPr>
        <w:t> </w:t>
      </w:r>
      <w:r>
        <w:rPr/>
        <w:t>earlier,</w:t>
      </w:r>
      <w:r>
        <w:rPr>
          <w:spacing w:val="-26"/>
        </w:rPr>
        <w:t> </w:t>
      </w:r>
      <w:r>
        <w:rPr/>
        <w:t>EEPL</w:t>
      </w:r>
      <w:r>
        <w:rPr>
          <w:spacing w:val="-27"/>
        </w:rPr>
        <w:t> </w:t>
      </w:r>
      <w:r>
        <w:rPr/>
        <w:t>and</w:t>
      </w:r>
      <w:r>
        <w:rPr>
          <w:spacing w:val="-27"/>
        </w:rPr>
        <w:t> </w:t>
      </w:r>
      <w:r>
        <w:rPr/>
        <w:t>IL&amp;FS</w:t>
      </w:r>
      <w:r>
        <w:rPr>
          <w:spacing w:val="-26"/>
        </w:rPr>
        <w:t> </w:t>
      </w:r>
      <w:r>
        <w:rPr/>
        <w:t>have</w:t>
      </w:r>
      <w:r>
        <w:rPr>
          <w:spacing w:val="-27"/>
        </w:rPr>
        <w:t> </w:t>
      </w:r>
      <w:r>
        <w:rPr/>
        <w:t>entered</w:t>
      </w:r>
      <w:r>
        <w:rPr>
          <w:spacing w:val="-26"/>
        </w:rPr>
        <w:t> </w:t>
      </w:r>
      <w:r>
        <w:rPr/>
        <w:t>into</w:t>
      </w:r>
      <w:r>
        <w:rPr>
          <w:spacing w:val="-27"/>
        </w:rPr>
        <w:t> </w:t>
      </w:r>
      <w:r>
        <w:rPr/>
        <w:t>an</w:t>
      </w:r>
      <w:r>
        <w:rPr>
          <w:spacing w:val="-26"/>
        </w:rPr>
        <w:t> </w:t>
      </w:r>
      <w:r>
        <w:rPr/>
        <w:t>agreement,</w:t>
      </w:r>
      <w:r>
        <w:rPr>
          <w:spacing w:val="-27"/>
        </w:rPr>
        <w:t> </w:t>
      </w:r>
      <w:r>
        <w:rPr/>
        <w:t>as</w:t>
      </w:r>
      <w:r>
        <w:rPr>
          <w:spacing w:val="-26"/>
        </w:rPr>
        <w:t> </w:t>
      </w:r>
      <w:r>
        <w:rPr/>
        <w:t>per</w:t>
      </w:r>
      <w:r>
        <w:rPr>
          <w:spacing w:val="-27"/>
        </w:rPr>
        <w:t> </w:t>
      </w:r>
      <w:r>
        <w:rPr/>
        <w:t>which</w:t>
      </w:r>
      <w:r>
        <w:rPr>
          <w:spacing w:val="-26"/>
        </w:rPr>
        <w:t> </w:t>
      </w:r>
      <w:r>
        <w:rPr/>
        <w:t>IL&amp;FS</w:t>
      </w:r>
      <w:r>
        <w:rPr>
          <w:spacing w:val="-27"/>
        </w:rPr>
        <w:t> </w:t>
      </w:r>
      <w:r>
        <w:rPr/>
        <w:t>would</w:t>
      </w:r>
      <w:r>
        <w:rPr>
          <w:spacing w:val="-27"/>
        </w:rPr>
        <w:t> </w:t>
      </w:r>
      <w:r>
        <w:rPr/>
        <w:t>set</w:t>
      </w:r>
      <w:r>
        <w:rPr>
          <w:spacing w:val="-26"/>
        </w:rPr>
        <w:t> </w:t>
      </w:r>
      <w:r>
        <w:rPr/>
        <w:t>up </w:t>
      </w:r>
      <w:r>
        <w:rPr>
          <w:w w:val="95"/>
        </w:rPr>
        <w:t>the entire solar plant facility including land acquisition, development, design, engineering, procurement, </w:t>
      </w:r>
      <w:r>
        <w:rPr/>
        <w:t>construction,</w:t>
      </w:r>
      <w:r>
        <w:rPr>
          <w:spacing w:val="-25"/>
        </w:rPr>
        <w:t> </w:t>
      </w:r>
      <w:r>
        <w:rPr/>
        <w:t>erection,</w:t>
      </w:r>
      <w:r>
        <w:rPr>
          <w:spacing w:val="-24"/>
        </w:rPr>
        <w:t> </w:t>
      </w:r>
      <w:r>
        <w:rPr/>
        <w:t>testing</w:t>
      </w:r>
      <w:r>
        <w:rPr>
          <w:spacing w:val="-23"/>
        </w:rPr>
        <w:t> </w:t>
      </w:r>
      <w:r>
        <w:rPr/>
        <w:t>and</w:t>
      </w:r>
      <w:r>
        <w:rPr>
          <w:spacing w:val="-24"/>
        </w:rPr>
        <w:t> </w:t>
      </w:r>
      <w:r>
        <w:rPr/>
        <w:t>commissioning</w:t>
      </w:r>
      <w:r>
        <w:rPr>
          <w:spacing w:val="-25"/>
        </w:rPr>
        <w:t> </w:t>
      </w:r>
      <w:r>
        <w:rPr/>
        <w:t>of</w:t>
      </w:r>
      <w:r>
        <w:rPr>
          <w:spacing w:val="-24"/>
        </w:rPr>
        <w:t> </w:t>
      </w:r>
      <w:r>
        <w:rPr/>
        <w:t>the</w:t>
      </w:r>
      <w:r>
        <w:rPr>
          <w:spacing w:val="-25"/>
        </w:rPr>
        <w:t> </w:t>
      </w:r>
      <w:r>
        <w:rPr/>
        <w:t>solar</w:t>
      </w:r>
      <w:r>
        <w:rPr>
          <w:spacing w:val="-24"/>
        </w:rPr>
        <w:t> </w:t>
      </w:r>
      <w:r>
        <w:rPr/>
        <w:t>park.</w:t>
      </w:r>
      <w:r>
        <w:rPr>
          <w:spacing w:val="-24"/>
        </w:rPr>
        <w:t> </w:t>
      </w:r>
      <w:r>
        <w:rPr/>
        <w:t>The</w:t>
      </w:r>
      <w:r>
        <w:rPr>
          <w:spacing w:val="-24"/>
        </w:rPr>
        <w:t> </w:t>
      </w:r>
      <w:r>
        <w:rPr/>
        <w:t>consideration</w:t>
      </w:r>
      <w:r>
        <w:rPr>
          <w:spacing w:val="-25"/>
        </w:rPr>
        <w:t> </w:t>
      </w:r>
      <w:r>
        <w:rPr/>
        <w:t>payable</w:t>
      </w:r>
      <w:r>
        <w:rPr>
          <w:spacing w:val="-24"/>
        </w:rPr>
        <w:t> </w:t>
      </w:r>
      <w:r>
        <w:rPr/>
        <w:t>by</w:t>
      </w:r>
      <w:r>
        <w:rPr>
          <w:spacing w:val="-24"/>
        </w:rPr>
        <w:t> </w:t>
      </w:r>
      <w:r>
        <w:rPr/>
        <w:t>EEPL to</w:t>
      </w:r>
      <w:r>
        <w:rPr>
          <w:spacing w:val="-6"/>
        </w:rPr>
        <w:t> </w:t>
      </w:r>
      <w:r>
        <w:rPr/>
        <w:t>IL&amp;FS</w:t>
      </w:r>
      <w:r>
        <w:rPr>
          <w:spacing w:val="-5"/>
        </w:rPr>
        <w:t> </w:t>
      </w:r>
      <w:r>
        <w:rPr/>
        <w:t>for</w:t>
      </w:r>
      <w:r>
        <w:rPr>
          <w:spacing w:val="-5"/>
        </w:rPr>
        <w:t> </w:t>
      </w:r>
      <w:r>
        <w:rPr/>
        <w:t>setting</w:t>
      </w:r>
      <w:r>
        <w:rPr>
          <w:spacing w:val="-4"/>
        </w:rPr>
        <w:t> </w:t>
      </w:r>
      <w:r>
        <w:rPr/>
        <w:t>up</w:t>
      </w:r>
      <w:r>
        <w:rPr>
          <w:spacing w:val="-4"/>
        </w:rPr>
        <w:t> </w:t>
      </w:r>
      <w:r>
        <w:rPr/>
        <w:t>the</w:t>
      </w:r>
      <w:r>
        <w:rPr>
          <w:spacing w:val="-5"/>
        </w:rPr>
        <w:t> </w:t>
      </w:r>
      <w:r>
        <w:rPr/>
        <w:t>facility</w:t>
      </w:r>
      <w:r>
        <w:rPr>
          <w:spacing w:val="-5"/>
        </w:rPr>
        <w:t> </w:t>
      </w:r>
      <w:r>
        <w:rPr/>
        <w:t>is</w:t>
      </w:r>
      <w:r>
        <w:rPr>
          <w:spacing w:val="-4"/>
        </w:rPr>
        <w:t> </w:t>
      </w:r>
      <w:r>
        <w:rPr/>
        <w:t>estimated</w:t>
      </w:r>
      <w:r>
        <w:rPr>
          <w:spacing w:val="-4"/>
        </w:rPr>
        <w:t> </w:t>
      </w:r>
      <w:r>
        <w:rPr/>
        <w:t>at</w:t>
      </w:r>
      <w:r>
        <w:rPr>
          <w:spacing w:val="-7"/>
        </w:rPr>
        <w:t> </w:t>
      </w:r>
      <w:r>
        <w:rPr/>
        <w:t>INR 6,853.90</w:t>
      </w:r>
      <w:r>
        <w:rPr>
          <w:spacing w:val="-5"/>
        </w:rPr>
        <w:t> </w:t>
      </w:r>
      <w:r>
        <w:rPr/>
        <w:t>Mn</w:t>
      </w:r>
      <w:r>
        <w:rPr>
          <w:spacing w:val="-5"/>
        </w:rPr>
        <w:t> </w:t>
      </w:r>
      <w:r>
        <w:rPr/>
        <w:t>under</w:t>
      </w:r>
      <w:r>
        <w:rPr>
          <w:spacing w:val="-5"/>
        </w:rPr>
        <w:t> </w:t>
      </w:r>
      <w:r>
        <w:rPr/>
        <w:t>the</w:t>
      </w:r>
      <w:r>
        <w:rPr>
          <w:spacing w:val="-5"/>
        </w:rPr>
        <w:t> </w:t>
      </w:r>
      <w:r>
        <w:rPr/>
        <w:t>supply</w:t>
      </w:r>
      <w:r>
        <w:rPr>
          <w:spacing w:val="-5"/>
        </w:rPr>
        <w:t> </w:t>
      </w:r>
      <w:r>
        <w:rPr/>
        <w:t>agreement,</w:t>
      </w:r>
      <w:r>
        <w:rPr>
          <w:spacing w:val="-5"/>
        </w:rPr>
        <w:t> </w:t>
      </w:r>
      <w:r>
        <w:rPr/>
        <w:t>civil works &amp; construction agreement, engineering, testing &amp; commissioning agreement and land development</w:t>
      </w:r>
      <w:r>
        <w:rPr>
          <w:spacing w:val="-3"/>
        </w:rPr>
        <w:t> </w:t>
      </w:r>
      <w:r>
        <w:rPr/>
        <w:t>agreement.</w:t>
      </w:r>
    </w:p>
    <w:p>
      <w:pPr>
        <w:pStyle w:val="BodyText"/>
        <w:spacing w:before="5"/>
        <w:rPr>
          <w:sz w:val="20"/>
        </w:rPr>
      </w:pPr>
    </w:p>
    <w:p>
      <w:pPr>
        <w:pStyle w:val="BodyText"/>
        <w:ind w:left="1285"/>
        <w:jc w:val="both"/>
      </w:pPr>
      <w:r>
        <w:rPr/>
        <w:t>The key features of the contract have been highlighted below:</w:t>
      </w:r>
    </w:p>
    <w:p>
      <w:pPr>
        <w:pStyle w:val="BodyText"/>
        <w:spacing w:before="7"/>
        <w:rPr>
          <w:sz w:val="32"/>
        </w:rPr>
      </w:pPr>
    </w:p>
    <w:p>
      <w:pPr>
        <w:pStyle w:val="ListParagraph"/>
        <w:numPr>
          <w:ilvl w:val="3"/>
          <w:numId w:val="93"/>
        </w:numPr>
        <w:tabs>
          <w:tab w:pos="1940" w:val="left" w:leader="none"/>
          <w:tab w:pos="1941" w:val="left" w:leader="none"/>
        </w:tabs>
        <w:spacing w:line="372" w:lineRule="auto" w:before="0" w:after="0"/>
        <w:ind w:left="1940" w:right="678" w:hanging="360"/>
        <w:jc w:val="left"/>
        <w:rPr>
          <w:sz w:val="22"/>
        </w:rPr>
      </w:pPr>
      <w:r>
        <w:rPr>
          <w:sz w:val="22"/>
        </w:rPr>
        <w:t>EEPL owns a solar photovoltaic electricity generation facility at the project land situated in Karnataka with a minimum capacity of 100 MW</w:t>
      </w:r>
      <w:r>
        <w:rPr>
          <w:spacing w:val="-17"/>
          <w:sz w:val="22"/>
        </w:rPr>
        <w:t> </w:t>
      </w:r>
      <w:r>
        <w:rPr>
          <w:sz w:val="22"/>
        </w:rPr>
        <w:t>AC</w:t>
      </w:r>
    </w:p>
    <w:p>
      <w:pPr>
        <w:pStyle w:val="ListParagraph"/>
        <w:numPr>
          <w:ilvl w:val="3"/>
          <w:numId w:val="93"/>
        </w:numPr>
        <w:tabs>
          <w:tab w:pos="1940" w:val="left" w:leader="none"/>
          <w:tab w:pos="1941" w:val="left" w:leader="none"/>
        </w:tabs>
        <w:spacing w:line="372" w:lineRule="auto" w:before="1" w:after="0"/>
        <w:ind w:left="1940" w:right="679" w:hanging="360"/>
        <w:jc w:val="left"/>
        <w:rPr>
          <w:sz w:val="22"/>
        </w:rPr>
      </w:pPr>
      <w:r>
        <w:rPr>
          <w:sz w:val="22"/>
        </w:rPr>
        <w:t>Consideration</w:t>
      </w:r>
      <w:r>
        <w:rPr>
          <w:spacing w:val="-14"/>
          <w:sz w:val="22"/>
        </w:rPr>
        <w:t> </w:t>
      </w:r>
      <w:r>
        <w:rPr>
          <w:sz w:val="22"/>
        </w:rPr>
        <w:t>payable</w:t>
      </w:r>
      <w:r>
        <w:rPr>
          <w:spacing w:val="-13"/>
          <w:sz w:val="22"/>
        </w:rPr>
        <w:t> </w:t>
      </w:r>
      <w:r>
        <w:rPr>
          <w:sz w:val="22"/>
        </w:rPr>
        <w:t>by</w:t>
      </w:r>
      <w:r>
        <w:rPr>
          <w:spacing w:val="-11"/>
          <w:sz w:val="22"/>
        </w:rPr>
        <w:t> </w:t>
      </w:r>
      <w:r>
        <w:rPr>
          <w:sz w:val="22"/>
        </w:rPr>
        <w:t>the</w:t>
      </w:r>
      <w:r>
        <w:rPr>
          <w:spacing w:val="-14"/>
          <w:sz w:val="22"/>
        </w:rPr>
        <w:t> </w:t>
      </w:r>
      <w:r>
        <w:rPr>
          <w:sz w:val="22"/>
        </w:rPr>
        <w:t>EEPL</w:t>
      </w:r>
      <w:r>
        <w:rPr>
          <w:spacing w:val="-13"/>
          <w:sz w:val="22"/>
        </w:rPr>
        <w:t> </w:t>
      </w:r>
      <w:r>
        <w:rPr>
          <w:sz w:val="22"/>
        </w:rPr>
        <w:t>to</w:t>
      </w:r>
      <w:r>
        <w:rPr>
          <w:spacing w:val="-13"/>
          <w:sz w:val="22"/>
        </w:rPr>
        <w:t> </w:t>
      </w:r>
      <w:r>
        <w:rPr>
          <w:sz w:val="22"/>
        </w:rPr>
        <w:t>the</w:t>
      </w:r>
      <w:r>
        <w:rPr>
          <w:spacing w:val="-14"/>
          <w:sz w:val="22"/>
        </w:rPr>
        <w:t> </w:t>
      </w:r>
      <w:r>
        <w:rPr>
          <w:sz w:val="22"/>
        </w:rPr>
        <w:t>contractors</w:t>
      </w:r>
      <w:r>
        <w:rPr>
          <w:spacing w:val="-11"/>
          <w:sz w:val="22"/>
        </w:rPr>
        <w:t> </w:t>
      </w:r>
      <w:r>
        <w:rPr>
          <w:sz w:val="22"/>
        </w:rPr>
        <w:t>under</w:t>
      </w:r>
      <w:r>
        <w:rPr>
          <w:spacing w:val="-13"/>
          <w:sz w:val="22"/>
        </w:rPr>
        <w:t> </w:t>
      </w:r>
      <w:r>
        <w:rPr>
          <w:sz w:val="22"/>
        </w:rPr>
        <w:t>the</w:t>
      </w:r>
      <w:r>
        <w:rPr>
          <w:spacing w:val="-14"/>
          <w:sz w:val="22"/>
        </w:rPr>
        <w:t> </w:t>
      </w:r>
      <w:r>
        <w:rPr>
          <w:sz w:val="22"/>
        </w:rPr>
        <w:t>definitive</w:t>
      </w:r>
      <w:r>
        <w:rPr>
          <w:spacing w:val="-13"/>
          <w:sz w:val="22"/>
        </w:rPr>
        <w:t> </w:t>
      </w:r>
      <w:r>
        <w:rPr>
          <w:sz w:val="22"/>
        </w:rPr>
        <w:t>agreements</w:t>
      </w:r>
      <w:r>
        <w:rPr>
          <w:spacing w:val="-11"/>
          <w:sz w:val="22"/>
        </w:rPr>
        <w:t> </w:t>
      </w:r>
      <w:r>
        <w:rPr>
          <w:sz w:val="22"/>
        </w:rPr>
        <w:t>is</w:t>
      </w:r>
      <w:r>
        <w:rPr>
          <w:spacing w:val="-14"/>
          <w:sz w:val="22"/>
        </w:rPr>
        <w:t> </w:t>
      </w:r>
      <w:r>
        <w:rPr>
          <w:sz w:val="22"/>
        </w:rPr>
        <w:t>being funded by</w:t>
      </w:r>
      <w:r>
        <w:rPr>
          <w:spacing w:val="-7"/>
          <w:sz w:val="22"/>
        </w:rPr>
        <w:t> </w:t>
      </w:r>
      <w:r>
        <w:rPr>
          <w:sz w:val="22"/>
        </w:rPr>
        <w:t>IL&amp;FS.</w:t>
      </w:r>
    </w:p>
    <w:p>
      <w:pPr>
        <w:pStyle w:val="ListParagraph"/>
        <w:numPr>
          <w:ilvl w:val="3"/>
          <w:numId w:val="93"/>
        </w:numPr>
        <w:tabs>
          <w:tab w:pos="1940" w:val="left" w:leader="none"/>
          <w:tab w:pos="1941" w:val="left" w:leader="none"/>
        </w:tabs>
        <w:spacing w:line="372" w:lineRule="auto" w:before="0" w:after="0"/>
        <w:ind w:left="1940" w:right="676" w:hanging="360"/>
        <w:jc w:val="left"/>
        <w:rPr>
          <w:sz w:val="22"/>
        </w:rPr>
      </w:pPr>
      <w:r>
        <w:rPr>
          <w:sz w:val="22"/>
        </w:rPr>
        <w:t>Further,</w:t>
      </w:r>
      <w:r>
        <w:rPr>
          <w:spacing w:val="-36"/>
          <w:sz w:val="22"/>
        </w:rPr>
        <w:t> </w:t>
      </w:r>
      <w:r>
        <w:rPr>
          <w:sz w:val="22"/>
        </w:rPr>
        <w:t>IL&amp;FS</w:t>
      </w:r>
      <w:r>
        <w:rPr>
          <w:spacing w:val="-37"/>
          <w:sz w:val="22"/>
        </w:rPr>
        <w:t> </w:t>
      </w:r>
      <w:r>
        <w:rPr>
          <w:sz w:val="22"/>
        </w:rPr>
        <w:t>will</w:t>
      </w:r>
      <w:r>
        <w:rPr>
          <w:spacing w:val="-35"/>
          <w:sz w:val="22"/>
        </w:rPr>
        <w:t> </w:t>
      </w:r>
      <w:r>
        <w:rPr>
          <w:sz w:val="22"/>
        </w:rPr>
        <w:t>receive</w:t>
      </w:r>
      <w:r>
        <w:rPr>
          <w:spacing w:val="-34"/>
          <w:sz w:val="22"/>
        </w:rPr>
        <w:t> </w:t>
      </w:r>
      <w:r>
        <w:rPr>
          <w:sz w:val="22"/>
        </w:rPr>
        <w:t>the</w:t>
      </w:r>
      <w:r>
        <w:rPr>
          <w:spacing w:val="-36"/>
          <w:sz w:val="22"/>
        </w:rPr>
        <w:t> </w:t>
      </w:r>
      <w:r>
        <w:rPr>
          <w:sz w:val="22"/>
        </w:rPr>
        <w:t>consideration</w:t>
      </w:r>
      <w:r>
        <w:rPr>
          <w:spacing w:val="-36"/>
          <w:sz w:val="22"/>
        </w:rPr>
        <w:t> </w:t>
      </w:r>
      <w:r>
        <w:rPr>
          <w:sz w:val="22"/>
        </w:rPr>
        <w:t>of</w:t>
      </w:r>
      <w:r>
        <w:rPr>
          <w:spacing w:val="-36"/>
          <w:sz w:val="22"/>
        </w:rPr>
        <w:t> </w:t>
      </w:r>
      <w:r>
        <w:rPr>
          <w:sz w:val="22"/>
        </w:rPr>
        <w:t>INR</w:t>
      </w:r>
      <w:r>
        <w:rPr>
          <w:spacing w:val="-36"/>
          <w:sz w:val="22"/>
        </w:rPr>
        <w:t> </w:t>
      </w:r>
      <w:r>
        <w:rPr>
          <w:sz w:val="22"/>
        </w:rPr>
        <w:t>6,853.90</w:t>
      </w:r>
      <w:r>
        <w:rPr>
          <w:spacing w:val="-35"/>
          <w:sz w:val="22"/>
        </w:rPr>
        <w:t> </w:t>
      </w:r>
      <w:r>
        <w:rPr>
          <w:sz w:val="22"/>
        </w:rPr>
        <w:t>Mn</w:t>
      </w:r>
      <w:r>
        <w:rPr>
          <w:spacing w:val="-36"/>
          <w:sz w:val="22"/>
        </w:rPr>
        <w:t> </w:t>
      </w:r>
      <w:r>
        <w:rPr>
          <w:sz w:val="22"/>
        </w:rPr>
        <w:t>as</w:t>
      </w:r>
      <w:r>
        <w:rPr>
          <w:spacing w:val="-36"/>
          <w:sz w:val="22"/>
        </w:rPr>
        <w:t> </w:t>
      </w:r>
      <w:r>
        <w:rPr>
          <w:sz w:val="22"/>
        </w:rPr>
        <w:t>deferred</w:t>
      </w:r>
      <w:r>
        <w:rPr>
          <w:spacing w:val="-36"/>
          <w:sz w:val="22"/>
        </w:rPr>
        <w:t> </w:t>
      </w:r>
      <w:r>
        <w:rPr>
          <w:sz w:val="22"/>
        </w:rPr>
        <w:t>payments</w:t>
      </w:r>
      <w:r>
        <w:rPr>
          <w:spacing w:val="-35"/>
          <w:sz w:val="22"/>
        </w:rPr>
        <w:t> </w:t>
      </w:r>
      <w:r>
        <w:rPr>
          <w:sz w:val="22"/>
        </w:rPr>
        <w:t>in</w:t>
      </w:r>
      <w:r>
        <w:rPr>
          <w:spacing w:val="-36"/>
          <w:sz w:val="22"/>
        </w:rPr>
        <w:t> </w:t>
      </w:r>
      <w:r>
        <w:rPr>
          <w:sz w:val="22"/>
        </w:rPr>
        <w:t>equated monthly instalments for 15 years from</w:t>
      </w:r>
      <w:r>
        <w:rPr>
          <w:spacing w:val="-19"/>
          <w:sz w:val="22"/>
        </w:rPr>
        <w:t> </w:t>
      </w:r>
      <w:r>
        <w:rPr>
          <w:sz w:val="22"/>
        </w:rPr>
        <w:t>COD.</w:t>
      </w:r>
    </w:p>
    <w:p>
      <w:pPr>
        <w:pStyle w:val="ListParagraph"/>
        <w:numPr>
          <w:ilvl w:val="3"/>
          <w:numId w:val="93"/>
        </w:numPr>
        <w:tabs>
          <w:tab w:pos="1940" w:val="left" w:leader="none"/>
          <w:tab w:pos="1941" w:val="left" w:leader="none"/>
        </w:tabs>
        <w:spacing w:line="372" w:lineRule="auto" w:before="0" w:after="0"/>
        <w:ind w:left="1940" w:right="678" w:hanging="360"/>
        <w:jc w:val="left"/>
        <w:rPr>
          <w:sz w:val="22"/>
        </w:rPr>
      </w:pPr>
      <w:r>
        <w:rPr>
          <w:sz w:val="22"/>
        </w:rPr>
        <w:t>Further, as per the agreement, the deferred payments have been arrived at based on the assumption</w:t>
      </w:r>
      <w:r>
        <w:rPr>
          <w:spacing w:val="-24"/>
          <w:sz w:val="22"/>
        </w:rPr>
        <w:t> </w:t>
      </w:r>
      <w:r>
        <w:rPr>
          <w:sz w:val="22"/>
        </w:rPr>
        <w:t>that</w:t>
      </w:r>
      <w:r>
        <w:rPr>
          <w:spacing w:val="-23"/>
          <w:sz w:val="22"/>
        </w:rPr>
        <w:t> </w:t>
      </w:r>
      <w:r>
        <w:rPr>
          <w:sz w:val="22"/>
        </w:rPr>
        <w:t>the</w:t>
      </w:r>
      <w:r>
        <w:rPr>
          <w:spacing w:val="-22"/>
          <w:sz w:val="22"/>
        </w:rPr>
        <w:t> </w:t>
      </w:r>
      <w:r>
        <w:rPr>
          <w:sz w:val="22"/>
        </w:rPr>
        <w:t>consideration</w:t>
      </w:r>
      <w:r>
        <w:rPr>
          <w:spacing w:val="-24"/>
          <w:sz w:val="22"/>
        </w:rPr>
        <w:t> </w:t>
      </w:r>
      <w:r>
        <w:rPr>
          <w:sz w:val="22"/>
        </w:rPr>
        <w:t>shall</w:t>
      </w:r>
      <w:r>
        <w:rPr>
          <w:spacing w:val="-23"/>
          <w:sz w:val="22"/>
        </w:rPr>
        <w:t> </w:t>
      </w:r>
      <w:r>
        <w:rPr>
          <w:sz w:val="22"/>
        </w:rPr>
        <w:t>be</w:t>
      </w:r>
      <w:r>
        <w:rPr>
          <w:spacing w:val="-23"/>
          <w:sz w:val="22"/>
        </w:rPr>
        <w:t> </w:t>
      </w:r>
      <w:r>
        <w:rPr>
          <w:sz w:val="22"/>
        </w:rPr>
        <w:t>funded</w:t>
      </w:r>
      <w:r>
        <w:rPr>
          <w:spacing w:val="-24"/>
          <w:sz w:val="22"/>
        </w:rPr>
        <w:t> </w:t>
      </w:r>
      <w:r>
        <w:rPr>
          <w:sz w:val="22"/>
        </w:rPr>
        <w:t>at</w:t>
      </w:r>
      <w:r>
        <w:rPr>
          <w:spacing w:val="-23"/>
          <w:sz w:val="22"/>
        </w:rPr>
        <w:t> </w:t>
      </w:r>
      <w:r>
        <w:rPr>
          <w:sz w:val="22"/>
        </w:rPr>
        <w:t>a</w:t>
      </w:r>
      <w:r>
        <w:rPr>
          <w:spacing w:val="-23"/>
          <w:sz w:val="22"/>
        </w:rPr>
        <w:t> </w:t>
      </w:r>
      <w:r>
        <w:rPr>
          <w:sz w:val="22"/>
        </w:rPr>
        <w:t>normative</w:t>
      </w:r>
      <w:r>
        <w:rPr>
          <w:spacing w:val="-23"/>
          <w:sz w:val="22"/>
        </w:rPr>
        <w:t> </w:t>
      </w:r>
      <w:r>
        <w:rPr>
          <w:sz w:val="22"/>
        </w:rPr>
        <w:t>debt</w:t>
      </w:r>
      <w:r>
        <w:rPr>
          <w:spacing w:val="-22"/>
          <w:sz w:val="22"/>
        </w:rPr>
        <w:t> </w:t>
      </w:r>
      <w:r>
        <w:rPr>
          <w:sz w:val="22"/>
        </w:rPr>
        <w:t>to</w:t>
      </w:r>
      <w:r>
        <w:rPr>
          <w:spacing w:val="-23"/>
          <w:sz w:val="22"/>
        </w:rPr>
        <w:t> </w:t>
      </w:r>
      <w:r>
        <w:rPr>
          <w:sz w:val="22"/>
        </w:rPr>
        <w:t>equity</w:t>
      </w:r>
      <w:r>
        <w:rPr>
          <w:spacing w:val="-22"/>
          <w:sz w:val="22"/>
        </w:rPr>
        <w:t> </w:t>
      </w:r>
      <w:r>
        <w:rPr>
          <w:sz w:val="22"/>
        </w:rPr>
        <w:t>ratio</w:t>
      </w:r>
      <w:r>
        <w:rPr>
          <w:spacing w:val="-24"/>
          <w:sz w:val="22"/>
        </w:rPr>
        <w:t> </w:t>
      </w:r>
      <w:r>
        <w:rPr>
          <w:sz w:val="22"/>
        </w:rPr>
        <w:t>of</w:t>
      </w:r>
      <w:r>
        <w:rPr>
          <w:spacing w:val="-22"/>
          <w:sz w:val="22"/>
        </w:rPr>
        <w:t> </w:t>
      </w:r>
      <w:r>
        <w:rPr>
          <w:sz w:val="22"/>
        </w:rPr>
        <w:t>75:25.</w:t>
      </w:r>
    </w:p>
    <w:p>
      <w:pPr>
        <w:pStyle w:val="BodyText"/>
        <w:spacing w:before="6"/>
        <w:rPr>
          <w:sz w:val="20"/>
        </w:rPr>
      </w:pPr>
    </w:p>
    <w:p>
      <w:pPr>
        <w:pStyle w:val="BodyText"/>
        <w:ind w:left="1580"/>
      </w:pPr>
      <w:r>
        <w:rPr>
          <w:u w:val="single"/>
        </w:rPr>
        <w:t>Security for IL&amp;FS:</w:t>
      </w:r>
    </w:p>
    <w:p>
      <w:pPr>
        <w:pStyle w:val="BodyText"/>
        <w:spacing w:before="7"/>
        <w:rPr>
          <w:sz w:val="23"/>
        </w:rPr>
      </w:pPr>
    </w:p>
    <w:p>
      <w:pPr>
        <w:pStyle w:val="ListParagraph"/>
        <w:numPr>
          <w:ilvl w:val="3"/>
          <w:numId w:val="93"/>
        </w:numPr>
        <w:tabs>
          <w:tab w:pos="1941" w:val="left" w:leader="none"/>
        </w:tabs>
        <w:spacing w:line="372" w:lineRule="auto" w:before="106" w:after="0"/>
        <w:ind w:left="1940" w:right="672" w:hanging="360"/>
        <w:jc w:val="both"/>
        <w:rPr>
          <w:sz w:val="22"/>
        </w:rPr>
      </w:pPr>
      <w:r>
        <w:rPr>
          <w:sz w:val="22"/>
        </w:rPr>
        <w:t>IL&amp;FS shall have exclusive first charge by way of deposit of title deeds on the project land in accordance with the Mortgage</w:t>
      </w:r>
      <w:r>
        <w:rPr>
          <w:spacing w:val="-17"/>
          <w:sz w:val="22"/>
        </w:rPr>
        <w:t> </w:t>
      </w:r>
      <w:r>
        <w:rPr>
          <w:sz w:val="22"/>
        </w:rPr>
        <w:t>Documentation</w:t>
      </w:r>
    </w:p>
    <w:p>
      <w:pPr>
        <w:pStyle w:val="ListParagraph"/>
        <w:numPr>
          <w:ilvl w:val="3"/>
          <w:numId w:val="93"/>
        </w:numPr>
        <w:tabs>
          <w:tab w:pos="1941" w:val="left" w:leader="none"/>
        </w:tabs>
        <w:spacing w:line="372" w:lineRule="auto" w:before="0" w:after="0"/>
        <w:ind w:left="1940" w:right="673" w:hanging="360"/>
        <w:jc w:val="both"/>
        <w:rPr>
          <w:sz w:val="22"/>
        </w:rPr>
      </w:pPr>
      <w:r>
        <w:rPr>
          <w:sz w:val="22"/>
        </w:rPr>
        <w:t>Further,</w:t>
      </w:r>
      <w:r>
        <w:rPr>
          <w:spacing w:val="-16"/>
          <w:sz w:val="22"/>
        </w:rPr>
        <w:t> </w:t>
      </w:r>
      <w:r>
        <w:rPr>
          <w:sz w:val="22"/>
        </w:rPr>
        <w:t>IL&amp;FS</w:t>
      </w:r>
      <w:r>
        <w:rPr>
          <w:spacing w:val="-17"/>
          <w:sz w:val="22"/>
        </w:rPr>
        <w:t> </w:t>
      </w:r>
      <w:r>
        <w:rPr>
          <w:sz w:val="22"/>
        </w:rPr>
        <w:t>shall</w:t>
      </w:r>
      <w:r>
        <w:rPr>
          <w:spacing w:val="-17"/>
          <w:sz w:val="22"/>
        </w:rPr>
        <w:t> </w:t>
      </w:r>
      <w:r>
        <w:rPr>
          <w:sz w:val="22"/>
        </w:rPr>
        <w:t>have</w:t>
      </w:r>
      <w:r>
        <w:rPr>
          <w:spacing w:val="-15"/>
          <w:sz w:val="22"/>
        </w:rPr>
        <w:t> </w:t>
      </w:r>
      <w:r>
        <w:rPr>
          <w:sz w:val="22"/>
        </w:rPr>
        <w:t>a</w:t>
      </w:r>
      <w:r>
        <w:rPr>
          <w:spacing w:val="-16"/>
          <w:sz w:val="22"/>
        </w:rPr>
        <w:t> </w:t>
      </w:r>
      <w:r>
        <w:rPr>
          <w:sz w:val="22"/>
        </w:rPr>
        <w:t>charge</w:t>
      </w:r>
      <w:r>
        <w:rPr>
          <w:spacing w:val="-16"/>
          <w:sz w:val="22"/>
        </w:rPr>
        <w:t> </w:t>
      </w:r>
      <w:r>
        <w:rPr>
          <w:sz w:val="22"/>
        </w:rPr>
        <w:t>over</w:t>
      </w:r>
      <w:r>
        <w:rPr>
          <w:spacing w:val="-15"/>
          <w:sz w:val="22"/>
        </w:rPr>
        <w:t> </w:t>
      </w:r>
      <w:r>
        <w:rPr>
          <w:sz w:val="22"/>
        </w:rPr>
        <w:t>all</w:t>
      </w:r>
      <w:r>
        <w:rPr>
          <w:spacing w:val="-17"/>
          <w:sz w:val="22"/>
        </w:rPr>
        <w:t> </w:t>
      </w:r>
      <w:r>
        <w:rPr>
          <w:sz w:val="22"/>
        </w:rPr>
        <w:t>the</w:t>
      </w:r>
      <w:r>
        <w:rPr>
          <w:spacing w:val="-16"/>
          <w:sz w:val="22"/>
        </w:rPr>
        <w:t> </w:t>
      </w:r>
      <w:r>
        <w:rPr>
          <w:sz w:val="22"/>
        </w:rPr>
        <w:t>moveable</w:t>
      </w:r>
      <w:r>
        <w:rPr>
          <w:spacing w:val="-16"/>
          <w:sz w:val="22"/>
        </w:rPr>
        <w:t> </w:t>
      </w:r>
      <w:r>
        <w:rPr>
          <w:sz w:val="22"/>
        </w:rPr>
        <w:t>properties</w:t>
      </w:r>
      <w:r>
        <w:rPr>
          <w:spacing w:val="-16"/>
          <w:sz w:val="22"/>
        </w:rPr>
        <w:t> </w:t>
      </w:r>
      <w:r>
        <w:rPr>
          <w:sz w:val="22"/>
        </w:rPr>
        <w:t>(present</w:t>
      </w:r>
      <w:r>
        <w:rPr>
          <w:spacing w:val="-16"/>
          <w:sz w:val="22"/>
        </w:rPr>
        <w:t> </w:t>
      </w:r>
      <w:r>
        <w:rPr>
          <w:sz w:val="22"/>
        </w:rPr>
        <w:t>and</w:t>
      </w:r>
      <w:r>
        <w:rPr>
          <w:spacing w:val="-17"/>
          <w:sz w:val="22"/>
        </w:rPr>
        <w:t> </w:t>
      </w:r>
      <w:r>
        <w:rPr>
          <w:sz w:val="22"/>
        </w:rPr>
        <w:t>future)</w:t>
      </w:r>
      <w:r>
        <w:rPr>
          <w:spacing w:val="-14"/>
          <w:sz w:val="22"/>
        </w:rPr>
        <w:t> </w:t>
      </w:r>
      <w:r>
        <w:rPr>
          <w:sz w:val="22"/>
        </w:rPr>
        <w:t>of</w:t>
      </w:r>
      <w:r>
        <w:rPr>
          <w:spacing w:val="-15"/>
          <w:sz w:val="22"/>
        </w:rPr>
        <w:t> </w:t>
      </w:r>
      <w:r>
        <w:rPr>
          <w:sz w:val="22"/>
        </w:rPr>
        <w:t>the owner</w:t>
      </w:r>
      <w:r>
        <w:rPr>
          <w:spacing w:val="-23"/>
          <w:sz w:val="22"/>
        </w:rPr>
        <w:t> </w:t>
      </w:r>
      <w:r>
        <w:rPr>
          <w:sz w:val="22"/>
        </w:rPr>
        <w:t>(EEPL),</w:t>
      </w:r>
      <w:r>
        <w:rPr>
          <w:spacing w:val="-22"/>
          <w:sz w:val="22"/>
        </w:rPr>
        <w:t> </w:t>
      </w:r>
      <w:r>
        <w:rPr>
          <w:sz w:val="22"/>
        </w:rPr>
        <w:t>in</w:t>
      </w:r>
      <w:r>
        <w:rPr>
          <w:spacing w:val="-23"/>
          <w:sz w:val="22"/>
        </w:rPr>
        <w:t> </w:t>
      </w:r>
      <w:r>
        <w:rPr>
          <w:sz w:val="22"/>
        </w:rPr>
        <w:t>relation</w:t>
      </w:r>
      <w:r>
        <w:rPr>
          <w:spacing w:val="-22"/>
          <w:sz w:val="22"/>
        </w:rPr>
        <w:t> </w:t>
      </w:r>
      <w:r>
        <w:rPr>
          <w:sz w:val="22"/>
        </w:rPr>
        <w:t>to</w:t>
      </w:r>
      <w:r>
        <w:rPr>
          <w:spacing w:val="-22"/>
          <w:sz w:val="22"/>
        </w:rPr>
        <w:t> </w:t>
      </w:r>
      <w:r>
        <w:rPr>
          <w:sz w:val="22"/>
        </w:rPr>
        <w:t>the</w:t>
      </w:r>
      <w:r>
        <w:rPr>
          <w:spacing w:val="-24"/>
          <w:sz w:val="22"/>
        </w:rPr>
        <w:t> </w:t>
      </w:r>
      <w:r>
        <w:rPr>
          <w:sz w:val="22"/>
        </w:rPr>
        <w:t>project</w:t>
      </w:r>
      <w:r>
        <w:rPr>
          <w:spacing w:val="-22"/>
          <w:sz w:val="22"/>
        </w:rPr>
        <w:t> </w:t>
      </w:r>
      <w:r>
        <w:rPr>
          <w:sz w:val="22"/>
        </w:rPr>
        <w:t>(including</w:t>
      </w:r>
      <w:r>
        <w:rPr>
          <w:spacing w:val="-23"/>
          <w:sz w:val="22"/>
        </w:rPr>
        <w:t> </w:t>
      </w:r>
      <w:r>
        <w:rPr>
          <w:sz w:val="22"/>
        </w:rPr>
        <w:t>without</w:t>
      </w:r>
      <w:r>
        <w:rPr>
          <w:spacing w:val="-22"/>
          <w:sz w:val="22"/>
        </w:rPr>
        <w:t> </w:t>
      </w:r>
      <w:r>
        <w:rPr>
          <w:sz w:val="22"/>
        </w:rPr>
        <w:t>limitation</w:t>
      </w:r>
      <w:r>
        <w:rPr>
          <w:spacing w:val="-22"/>
          <w:sz w:val="22"/>
        </w:rPr>
        <w:t> </w:t>
      </w:r>
      <w:r>
        <w:rPr>
          <w:sz w:val="22"/>
        </w:rPr>
        <w:t>all</w:t>
      </w:r>
      <w:r>
        <w:rPr>
          <w:spacing w:val="-23"/>
          <w:sz w:val="22"/>
        </w:rPr>
        <w:t> </w:t>
      </w:r>
      <w:r>
        <w:rPr>
          <w:sz w:val="22"/>
        </w:rPr>
        <w:t>tangible</w:t>
      </w:r>
      <w:r>
        <w:rPr>
          <w:spacing w:val="-22"/>
          <w:sz w:val="22"/>
        </w:rPr>
        <w:t> </w:t>
      </w:r>
      <w:r>
        <w:rPr>
          <w:sz w:val="22"/>
        </w:rPr>
        <w:t>and</w:t>
      </w:r>
      <w:r>
        <w:rPr>
          <w:spacing w:val="-24"/>
          <w:sz w:val="22"/>
        </w:rPr>
        <w:t> </w:t>
      </w:r>
      <w:r>
        <w:rPr>
          <w:sz w:val="22"/>
        </w:rPr>
        <w:t>intangible </w:t>
      </w:r>
      <w:r>
        <w:rPr>
          <w:w w:val="95"/>
          <w:sz w:val="22"/>
        </w:rPr>
        <w:t>assets),</w:t>
      </w:r>
      <w:r>
        <w:rPr>
          <w:spacing w:val="-20"/>
          <w:w w:val="95"/>
          <w:sz w:val="22"/>
        </w:rPr>
        <w:t> </w:t>
      </w:r>
      <w:r>
        <w:rPr>
          <w:w w:val="95"/>
          <w:sz w:val="22"/>
        </w:rPr>
        <w:t>whether</w:t>
      </w:r>
      <w:r>
        <w:rPr>
          <w:spacing w:val="-19"/>
          <w:w w:val="95"/>
          <w:sz w:val="22"/>
        </w:rPr>
        <w:t> </w:t>
      </w:r>
      <w:r>
        <w:rPr>
          <w:w w:val="95"/>
          <w:sz w:val="22"/>
        </w:rPr>
        <w:t>affixed</w:t>
      </w:r>
      <w:r>
        <w:rPr>
          <w:spacing w:val="-19"/>
          <w:w w:val="95"/>
          <w:sz w:val="22"/>
        </w:rPr>
        <w:t> </w:t>
      </w:r>
      <w:r>
        <w:rPr>
          <w:w w:val="95"/>
          <w:sz w:val="22"/>
        </w:rPr>
        <w:t>to</w:t>
      </w:r>
      <w:r>
        <w:rPr>
          <w:spacing w:val="-19"/>
          <w:w w:val="95"/>
          <w:sz w:val="22"/>
        </w:rPr>
        <w:t> </w:t>
      </w:r>
      <w:r>
        <w:rPr>
          <w:w w:val="95"/>
          <w:sz w:val="22"/>
        </w:rPr>
        <w:t>the</w:t>
      </w:r>
      <w:r>
        <w:rPr>
          <w:spacing w:val="-20"/>
          <w:w w:val="95"/>
          <w:sz w:val="22"/>
        </w:rPr>
        <w:t> </w:t>
      </w:r>
      <w:r>
        <w:rPr>
          <w:w w:val="95"/>
          <w:sz w:val="22"/>
        </w:rPr>
        <w:t>earth</w:t>
      </w:r>
      <w:r>
        <w:rPr>
          <w:spacing w:val="-19"/>
          <w:w w:val="95"/>
          <w:sz w:val="22"/>
        </w:rPr>
        <w:t> </w:t>
      </w:r>
      <w:r>
        <w:rPr>
          <w:w w:val="95"/>
          <w:sz w:val="22"/>
        </w:rPr>
        <w:t>or</w:t>
      </w:r>
      <w:r>
        <w:rPr>
          <w:spacing w:val="-17"/>
          <w:w w:val="95"/>
          <w:sz w:val="22"/>
        </w:rPr>
        <w:t> </w:t>
      </w:r>
      <w:r>
        <w:rPr>
          <w:w w:val="95"/>
          <w:sz w:val="22"/>
        </w:rPr>
        <w:t>not,</w:t>
      </w:r>
      <w:r>
        <w:rPr>
          <w:spacing w:val="-19"/>
          <w:w w:val="95"/>
          <w:sz w:val="22"/>
        </w:rPr>
        <w:t> </w:t>
      </w:r>
      <w:r>
        <w:rPr>
          <w:w w:val="95"/>
          <w:sz w:val="22"/>
        </w:rPr>
        <w:t>and</w:t>
      </w:r>
      <w:r>
        <w:rPr>
          <w:spacing w:val="-19"/>
          <w:w w:val="95"/>
          <w:sz w:val="22"/>
        </w:rPr>
        <w:t> </w:t>
      </w:r>
      <w:r>
        <w:rPr>
          <w:w w:val="95"/>
          <w:sz w:val="22"/>
        </w:rPr>
        <w:t>in</w:t>
      </w:r>
      <w:r>
        <w:rPr>
          <w:spacing w:val="-18"/>
          <w:w w:val="95"/>
          <w:sz w:val="22"/>
        </w:rPr>
        <w:t> </w:t>
      </w:r>
      <w:r>
        <w:rPr>
          <w:w w:val="95"/>
          <w:sz w:val="22"/>
        </w:rPr>
        <w:t>particular</w:t>
      </w:r>
      <w:r>
        <w:rPr>
          <w:spacing w:val="-18"/>
          <w:w w:val="95"/>
          <w:sz w:val="22"/>
        </w:rPr>
        <w:t> </w:t>
      </w:r>
      <w:r>
        <w:rPr>
          <w:w w:val="95"/>
          <w:sz w:val="22"/>
        </w:rPr>
        <w:t>including,</w:t>
      </w:r>
      <w:r>
        <w:rPr>
          <w:spacing w:val="-19"/>
          <w:w w:val="95"/>
          <w:sz w:val="22"/>
        </w:rPr>
        <w:t> </w:t>
      </w:r>
      <w:r>
        <w:rPr>
          <w:w w:val="95"/>
          <w:sz w:val="22"/>
        </w:rPr>
        <w:t>without</w:t>
      </w:r>
      <w:r>
        <w:rPr>
          <w:spacing w:val="-18"/>
          <w:w w:val="95"/>
          <w:sz w:val="22"/>
        </w:rPr>
        <w:t> </w:t>
      </w:r>
      <w:r>
        <w:rPr>
          <w:w w:val="95"/>
          <w:sz w:val="22"/>
        </w:rPr>
        <w:t>limitation,</w:t>
      </w:r>
      <w:r>
        <w:rPr>
          <w:spacing w:val="-20"/>
          <w:w w:val="95"/>
          <w:sz w:val="22"/>
        </w:rPr>
        <w:t> </w:t>
      </w:r>
      <w:r>
        <w:rPr>
          <w:w w:val="95"/>
          <w:sz w:val="22"/>
        </w:rPr>
        <w:t>PV</w:t>
      </w:r>
      <w:r>
        <w:rPr>
          <w:spacing w:val="-19"/>
          <w:w w:val="95"/>
          <w:sz w:val="22"/>
        </w:rPr>
        <w:t> </w:t>
      </w:r>
      <w:r>
        <w:rPr>
          <w:w w:val="95"/>
          <w:sz w:val="22"/>
        </w:rPr>
        <w:t>Solar </w:t>
      </w:r>
      <w:r>
        <w:rPr>
          <w:sz w:val="22"/>
        </w:rPr>
        <w:t>panels,</w:t>
      </w:r>
      <w:r>
        <w:rPr>
          <w:spacing w:val="-33"/>
          <w:sz w:val="22"/>
        </w:rPr>
        <w:t> </w:t>
      </w:r>
      <w:r>
        <w:rPr>
          <w:sz w:val="22"/>
        </w:rPr>
        <w:t>erections,</w:t>
      </w:r>
      <w:r>
        <w:rPr>
          <w:spacing w:val="-32"/>
          <w:sz w:val="22"/>
        </w:rPr>
        <w:t> </w:t>
      </w:r>
      <w:r>
        <w:rPr>
          <w:sz w:val="22"/>
        </w:rPr>
        <w:t>and</w:t>
      </w:r>
      <w:r>
        <w:rPr>
          <w:spacing w:val="-32"/>
          <w:sz w:val="22"/>
        </w:rPr>
        <w:t> </w:t>
      </w:r>
      <w:r>
        <w:rPr>
          <w:sz w:val="22"/>
        </w:rPr>
        <w:t>construction</w:t>
      </w:r>
      <w:r>
        <w:rPr>
          <w:spacing w:val="-32"/>
          <w:sz w:val="22"/>
        </w:rPr>
        <w:t> </w:t>
      </w:r>
      <w:r>
        <w:rPr>
          <w:sz w:val="22"/>
        </w:rPr>
        <w:t>of</w:t>
      </w:r>
      <w:r>
        <w:rPr>
          <w:spacing w:val="-32"/>
          <w:sz w:val="22"/>
        </w:rPr>
        <w:t> </w:t>
      </w:r>
      <w:r>
        <w:rPr>
          <w:sz w:val="22"/>
        </w:rPr>
        <w:t>every</w:t>
      </w:r>
      <w:r>
        <w:rPr>
          <w:spacing w:val="-31"/>
          <w:sz w:val="22"/>
        </w:rPr>
        <w:t> </w:t>
      </w:r>
      <w:r>
        <w:rPr>
          <w:sz w:val="22"/>
        </w:rPr>
        <w:t>description</w:t>
      </w:r>
      <w:r>
        <w:rPr>
          <w:spacing w:val="-33"/>
          <w:sz w:val="22"/>
        </w:rPr>
        <w:t> </w:t>
      </w:r>
      <w:r>
        <w:rPr>
          <w:sz w:val="22"/>
        </w:rPr>
        <w:t>which</w:t>
      </w:r>
      <w:r>
        <w:rPr>
          <w:spacing w:val="-32"/>
          <w:sz w:val="22"/>
        </w:rPr>
        <w:t> </w:t>
      </w:r>
      <w:r>
        <w:rPr>
          <w:sz w:val="22"/>
        </w:rPr>
        <w:t>are</w:t>
      </w:r>
      <w:r>
        <w:rPr>
          <w:spacing w:val="-33"/>
          <w:sz w:val="22"/>
        </w:rPr>
        <w:t> </w:t>
      </w:r>
      <w:r>
        <w:rPr>
          <w:sz w:val="22"/>
        </w:rPr>
        <w:t>standing,</w:t>
      </w:r>
      <w:r>
        <w:rPr>
          <w:spacing w:val="-33"/>
          <w:sz w:val="22"/>
        </w:rPr>
        <w:t> </w:t>
      </w:r>
      <w:r>
        <w:rPr>
          <w:sz w:val="22"/>
        </w:rPr>
        <w:t>erected</w:t>
      </w:r>
      <w:r>
        <w:rPr>
          <w:spacing w:val="-32"/>
          <w:sz w:val="22"/>
        </w:rPr>
        <w:t> </w:t>
      </w:r>
      <w:r>
        <w:rPr>
          <w:sz w:val="22"/>
        </w:rPr>
        <w:t>or</w:t>
      </w:r>
      <w:r>
        <w:rPr>
          <w:spacing w:val="-32"/>
          <w:sz w:val="22"/>
        </w:rPr>
        <w:t> </w:t>
      </w:r>
      <w:r>
        <w:rPr>
          <w:sz w:val="22"/>
        </w:rPr>
        <w:t>attached to the project land or lying loose at the</w:t>
      </w:r>
      <w:r>
        <w:rPr>
          <w:spacing w:val="-44"/>
          <w:sz w:val="22"/>
        </w:rPr>
        <w:t> </w:t>
      </w:r>
      <w:r>
        <w:rPr>
          <w:sz w:val="22"/>
        </w:rPr>
        <w:t>site.</w:t>
      </w:r>
    </w:p>
    <w:p>
      <w:pPr>
        <w:spacing w:after="0" w:line="372" w:lineRule="auto"/>
        <w:jc w:val="both"/>
        <w:rPr>
          <w:sz w:val="22"/>
        </w:rPr>
        <w:sectPr>
          <w:pgSz w:w="11910" w:h="16840"/>
          <w:pgMar w:header="720" w:footer="862" w:top="1660" w:bottom="1060" w:left="40" w:right="40"/>
        </w:sectPr>
      </w:pPr>
    </w:p>
    <w:p>
      <w:pPr>
        <w:pStyle w:val="BodyText"/>
        <w:spacing w:before="7"/>
        <w:rPr>
          <w:sz w:val="9"/>
        </w:rPr>
      </w:pPr>
    </w:p>
    <w:p>
      <w:pPr>
        <w:pStyle w:val="ListParagraph"/>
        <w:numPr>
          <w:ilvl w:val="3"/>
          <w:numId w:val="93"/>
        </w:numPr>
        <w:tabs>
          <w:tab w:pos="1941" w:val="left" w:leader="none"/>
        </w:tabs>
        <w:spacing w:line="372" w:lineRule="auto" w:before="106" w:after="0"/>
        <w:ind w:left="1940" w:right="674" w:hanging="360"/>
        <w:jc w:val="both"/>
        <w:rPr>
          <w:sz w:val="22"/>
        </w:rPr>
      </w:pPr>
      <w:r>
        <w:rPr>
          <w:sz w:val="22"/>
        </w:rPr>
        <w:t>Further,</w:t>
      </w:r>
      <w:r>
        <w:rPr>
          <w:spacing w:val="-34"/>
          <w:sz w:val="22"/>
        </w:rPr>
        <w:t> </w:t>
      </w:r>
      <w:r>
        <w:rPr>
          <w:sz w:val="22"/>
        </w:rPr>
        <w:t>IL&amp;FS</w:t>
      </w:r>
      <w:r>
        <w:rPr>
          <w:spacing w:val="-35"/>
          <w:sz w:val="22"/>
        </w:rPr>
        <w:t> </w:t>
      </w:r>
      <w:r>
        <w:rPr>
          <w:sz w:val="22"/>
        </w:rPr>
        <w:t>shall</w:t>
      </w:r>
      <w:r>
        <w:rPr>
          <w:spacing w:val="-34"/>
          <w:sz w:val="22"/>
        </w:rPr>
        <w:t> </w:t>
      </w:r>
      <w:r>
        <w:rPr>
          <w:sz w:val="22"/>
        </w:rPr>
        <w:t>have</w:t>
      </w:r>
      <w:r>
        <w:rPr>
          <w:spacing w:val="-33"/>
          <w:sz w:val="22"/>
        </w:rPr>
        <w:t> </w:t>
      </w:r>
      <w:r>
        <w:rPr>
          <w:sz w:val="22"/>
        </w:rPr>
        <w:t>charge</w:t>
      </w:r>
      <w:r>
        <w:rPr>
          <w:spacing w:val="-34"/>
          <w:sz w:val="22"/>
        </w:rPr>
        <w:t> </w:t>
      </w:r>
      <w:r>
        <w:rPr>
          <w:sz w:val="22"/>
        </w:rPr>
        <w:t>over</w:t>
      </w:r>
      <w:r>
        <w:rPr>
          <w:spacing w:val="-33"/>
          <w:sz w:val="22"/>
        </w:rPr>
        <w:t> </w:t>
      </w:r>
      <w:r>
        <w:rPr>
          <w:sz w:val="22"/>
        </w:rPr>
        <w:t>the</w:t>
      </w:r>
      <w:r>
        <w:rPr>
          <w:spacing w:val="-34"/>
          <w:sz w:val="22"/>
        </w:rPr>
        <w:t> </w:t>
      </w:r>
      <w:r>
        <w:rPr>
          <w:sz w:val="22"/>
        </w:rPr>
        <w:t>PPA</w:t>
      </w:r>
      <w:r>
        <w:rPr>
          <w:spacing w:val="-33"/>
          <w:sz w:val="22"/>
        </w:rPr>
        <w:t> </w:t>
      </w:r>
      <w:r>
        <w:rPr>
          <w:sz w:val="22"/>
        </w:rPr>
        <w:t>receivables</w:t>
      </w:r>
      <w:r>
        <w:rPr>
          <w:spacing w:val="-33"/>
          <w:sz w:val="22"/>
        </w:rPr>
        <w:t> </w:t>
      </w:r>
      <w:r>
        <w:rPr>
          <w:sz w:val="22"/>
        </w:rPr>
        <w:t>till</w:t>
      </w:r>
      <w:r>
        <w:rPr>
          <w:spacing w:val="-34"/>
          <w:sz w:val="22"/>
        </w:rPr>
        <w:t> </w:t>
      </w:r>
      <w:r>
        <w:rPr>
          <w:sz w:val="22"/>
        </w:rPr>
        <w:t>such</w:t>
      </w:r>
      <w:r>
        <w:rPr>
          <w:spacing w:val="-34"/>
          <w:sz w:val="22"/>
        </w:rPr>
        <w:t> </w:t>
      </w:r>
      <w:r>
        <w:rPr>
          <w:sz w:val="22"/>
        </w:rPr>
        <w:t>time</w:t>
      </w:r>
      <w:r>
        <w:rPr>
          <w:spacing w:val="-33"/>
          <w:sz w:val="22"/>
        </w:rPr>
        <w:t> </w:t>
      </w:r>
      <w:r>
        <w:rPr>
          <w:sz w:val="22"/>
        </w:rPr>
        <w:t>that</w:t>
      </w:r>
      <w:r>
        <w:rPr>
          <w:spacing w:val="-34"/>
          <w:sz w:val="22"/>
        </w:rPr>
        <w:t> </w:t>
      </w:r>
      <w:r>
        <w:rPr>
          <w:sz w:val="22"/>
        </w:rPr>
        <w:t>such</w:t>
      </w:r>
      <w:r>
        <w:rPr>
          <w:spacing w:val="-34"/>
          <w:sz w:val="22"/>
        </w:rPr>
        <w:t> </w:t>
      </w:r>
      <w:r>
        <w:rPr>
          <w:sz w:val="22"/>
        </w:rPr>
        <w:t>PPA</w:t>
      </w:r>
      <w:r>
        <w:rPr>
          <w:spacing w:val="-33"/>
          <w:sz w:val="22"/>
        </w:rPr>
        <w:t> </w:t>
      </w:r>
      <w:r>
        <w:rPr>
          <w:sz w:val="22"/>
        </w:rPr>
        <w:t>receivables remain</w:t>
      </w:r>
      <w:r>
        <w:rPr>
          <w:spacing w:val="-14"/>
          <w:sz w:val="22"/>
        </w:rPr>
        <w:t> </w:t>
      </w:r>
      <w:r>
        <w:rPr>
          <w:sz w:val="22"/>
        </w:rPr>
        <w:t>in</w:t>
      </w:r>
      <w:r>
        <w:rPr>
          <w:spacing w:val="-14"/>
          <w:sz w:val="22"/>
        </w:rPr>
        <w:t> </w:t>
      </w:r>
      <w:r>
        <w:rPr>
          <w:sz w:val="22"/>
        </w:rPr>
        <w:t>the</w:t>
      </w:r>
      <w:r>
        <w:rPr>
          <w:spacing w:val="-14"/>
          <w:sz w:val="22"/>
        </w:rPr>
        <w:t> </w:t>
      </w:r>
      <w:r>
        <w:rPr>
          <w:sz w:val="22"/>
        </w:rPr>
        <w:t>Escrow</w:t>
      </w:r>
      <w:r>
        <w:rPr>
          <w:spacing w:val="-12"/>
          <w:sz w:val="22"/>
        </w:rPr>
        <w:t> </w:t>
      </w:r>
      <w:r>
        <w:rPr>
          <w:sz w:val="22"/>
        </w:rPr>
        <w:t>account</w:t>
      </w:r>
      <w:r>
        <w:rPr>
          <w:spacing w:val="-13"/>
          <w:sz w:val="22"/>
        </w:rPr>
        <w:t> </w:t>
      </w:r>
      <w:r>
        <w:rPr>
          <w:sz w:val="22"/>
        </w:rPr>
        <w:t>in</w:t>
      </w:r>
      <w:r>
        <w:rPr>
          <w:spacing w:val="-14"/>
          <w:sz w:val="22"/>
        </w:rPr>
        <w:t> </w:t>
      </w:r>
      <w:r>
        <w:rPr>
          <w:sz w:val="22"/>
        </w:rPr>
        <w:t>accordance</w:t>
      </w:r>
      <w:r>
        <w:rPr>
          <w:spacing w:val="-13"/>
          <w:sz w:val="22"/>
        </w:rPr>
        <w:t> </w:t>
      </w:r>
      <w:r>
        <w:rPr>
          <w:sz w:val="22"/>
        </w:rPr>
        <w:t>with</w:t>
      </w:r>
      <w:r>
        <w:rPr>
          <w:spacing w:val="-14"/>
          <w:sz w:val="22"/>
        </w:rPr>
        <w:t> </w:t>
      </w:r>
      <w:r>
        <w:rPr>
          <w:sz w:val="22"/>
        </w:rPr>
        <w:t>the</w:t>
      </w:r>
      <w:r>
        <w:rPr>
          <w:spacing w:val="-14"/>
          <w:sz w:val="22"/>
        </w:rPr>
        <w:t> </w:t>
      </w:r>
      <w:r>
        <w:rPr>
          <w:sz w:val="22"/>
        </w:rPr>
        <w:t>terms</w:t>
      </w:r>
      <w:r>
        <w:rPr>
          <w:spacing w:val="-12"/>
          <w:sz w:val="22"/>
        </w:rPr>
        <w:t> </w:t>
      </w:r>
      <w:r>
        <w:rPr>
          <w:sz w:val="22"/>
        </w:rPr>
        <w:t>of</w:t>
      </w:r>
      <w:r>
        <w:rPr>
          <w:spacing w:val="-14"/>
          <w:sz w:val="22"/>
        </w:rPr>
        <w:t> </w:t>
      </w:r>
      <w:r>
        <w:rPr>
          <w:sz w:val="22"/>
        </w:rPr>
        <w:t>the</w:t>
      </w:r>
      <w:r>
        <w:rPr>
          <w:spacing w:val="-14"/>
          <w:sz w:val="22"/>
        </w:rPr>
        <w:t> </w:t>
      </w:r>
      <w:r>
        <w:rPr>
          <w:sz w:val="22"/>
        </w:rPr>
        <w:t>Escrow</w:t>
      </w:r>
      <w:r>
        <w:rPr>
          <w:spacing w:val="-14"/>
          <w:sz w:val="22"/>
        </w:rPr>
        <w:t> </w:t>
      </w:r>
      <w:r>
        <w:rPr>
          <w:sz w:val="22"/>
        </w:rPr>
        <w:t>Agreement,</w:t>
      </w:r>
      <w:r>
        <w:rPr>
          <w:spacing w:val="-15"/>
          <w:sz w:val="22"/>
        </w:rPr>
        <w:t> </w:t>
      </w:r>
      <w:r>
        <w:rPr>
          <w:sz w:val="22"/>
        </w:rPr>
        <w:t>wherein once</w:t>
      </w:r>
      <w:r>
        <w:rPr>
          <w:spacing w:val="-28"/>
          <w:sz w:val="22"/>
        </w:rPr>
        <w:t> </w:t>
      </w:r>
      <w:r>
        <w:rPr>
          <w:sz w:val="22"/>
        </w:rPr>
        <w:t>the</w:t>
      </w:r>
      <w:r>
        <w:rPr>
          <w:spacing w:val="-27"/>
          <w:sz w:val="22"/>
        </w:rPr>
        <w:t> </w:t>
      </w:r>
      <w:r>
        <w:rPr>
          <w:sz w:val="22"/>
        </w:rPr>
        <w:t>monies</w:t>
      </w:r>
      <w:r>
        <w:rPr>
          <w:spacing w:val="-27"/>
          <w:sz w:val="22"/>
        </w:rPr>
        <w:t> </w:t>
      </w:r>
      <w:r>
        <w:rPr>
          <w:sz w:val="22"/>
        </w:rPr>
        <w:t>required</w:t>
      </w:r>
      <w:r>
        <w:rPr>
          <w:spacing w:val="-28"/>
          <w:sz w:val="22"/>
        </w:rPr>
        <w:t> </w:t>
      </w:r>
      <w:r>
        <w:rPr>
          <w:sz w:val="22"/>
        </w:rPr>
        <w:t>to</w:t>
      </w:r>
      <w:r>
        <w:rPr>
          <w:spacing w:val="-27"/>
          <w:sz w:val="22"/>
        </w:rPr>
        <w:t> </w:t>
      </w:r>
      <w:r>
        <w:rPr>
          <w:sz w:val="22"/>
        </w:rPr>
        <w:t>service</w:t>
      </w:r>
      <w:r>
        <w:rPr>
          <w:spacing w:val="-28"/>
          <w:sz w:val="22"/>
        </w:rPr>
        <w:t> </w:t>
      </w:r>
      <w:r>
        <w:rPr>
          <w:sz w:val="22"/>
        </w:rPr>
        <w:t>the</w:t>
      </w:r>
      <w:r>
        <w:rPr>
          <w:spacing w:val="-27"/>
          <w:sz w:val="22"/>
        </w:rPr>
        <w:t> </w:t>
      </w:r>
      <w:r>
        <w:rPr>
          <w:sz w:val="22"/>
        </w:rPr>
        <w:t>immediately</w:t>
      </w:r>
      <w:r>
        <w:rPr>
          <w:spacing w:val="-26"/>
          <w:sz w:val="22"/>
        </w:rPr>
        <w:t> </w:t>
      </w:r>
      <w:r>
        <w:rPr>
          <w:sz w:val="22"/>
        </w:rPr>
        <w:t>next</w:t>
      </w:r>
      <w:r>
        <w:rPr>
          <w:spacing w:val="-28"/>
          <w:sz w:val="22"/>
        </w:rPr>
        <w:t> </w:t>
      </w:r>
      <w:r>
        <w:rPr>
          <w:sz w:val="22"/>
        </w:rPr>
        <w:t>EMI</w:t>
      </w:r>
      <w:r>
        <w:rPr>
          <w:spacing w:val="-27"/>
          <w:sz w:val="22"/>
        </w:rPr>
        <w:t> </w:t>
      </w:r>
      <w:r>
        <w:rPr>
          <w:sz w:val="22"/>
        </w:rPr>
        <w:t>have</w:t>
      </w:r>
      <w:r>
        <w:rPr>
          <w:spacing w:val="-29"/>
          <w:sz w:val="22"/>
        </w:rPr>
        <w:t> </w:t>
      </w:r>
      <w:r>
        <w:rPr>
          <w:sz w:val="22"/>
        </w:rPr>
        <w:t>been</w:t>
      </w:r>
      <w:r>
        <w:rPr>
          <w:spacing w:val="-28"/>
          <w:sz w:val="22"/>
        </w:rPr>
        <w:t> </w:t>
      </w:r>
      <w:r>
        <w:rPr>
          <w:sz w:val="22"/>
        </w:rPr>
        <w:t>collected</w:t>
      </w:r>
      <w:r>
        <w:rPr>
          <w:spacing w:val="-27"/>
          <w:sz w:val="22"/>
        </w:rPr>
        <w:t> </w:t>
      </w:r>
      <w:r>
        <w:rPr>
          <w:sz w:val="22"/>
        </w:rPr>
        <w:t>in</w:t>
      </w:r>
      <w:r>
        <w:rPr>
          <w:spacing w:val="-26"/>
          <w:sz w:val="22"/>
        </w:rPr>
        <w:t> </w:t>
      </w:r>
      <w:r>
        <w:rPr>
          <w:sz w:val="22"/>
        </w:rPr>
        <w:t>the</w:t>
      </w:r>
      <w:r>
        <w:rPr>
          <w:spacing w:val="-27"/>
          <w:sz w:val="22"/>
        </w:rPr>
        <w:t> </w:t>
      </w:r>
      <w:r>
        <w:rPr>
          <w:sz w:val="22"/>
        </w:rPr>
        <w:t>Escrow Account,</w:t>
      </w:r>
      <w:r>
        <w:rPr>
          <w:spacing w:val="-20"/>
          <w:sz w:val="22"/>
        </w:rPr>
        <w:t> </w:t>
      </w:r>
      <w:r>
        <w:rPr>
          <w:sz w:val="22"/>
        </w:rPr>
        <w:t>the</w:t>
      </w:r>
      <w:r>
        <w:rPr>
          <w:spacing w:val="-19"/>
          <w:sz w:val="22"/>
        </w:rPr>
        <w:t> </w:t>
      </w:r>
      <w:r>
        <w:rPr>
          <w:sz w:val="22"/>
        </w:rPr>
        <w:t>remaining</w:t>
      </w:r>
      <w:r>
        <w:rPr>
          <w:spacing w:val="-19"/>
          <w:sz w:val="22"/>
        </w:rPr>
        <w:t> </w:t>
      </w:r>
      <w:r>
        <w:rPr>
          <w:sz w:val="22"/>
        </w:rPr>
        <w:t>monies</w:t>
      </w:r>
      <w:r>
        <w:rPr>
          <w:spacing w:val="-18"/>
          <w:sz w:val="22"/>
        </w:rPr>
        <w:t> </w:t>
      </w:r>
      <w:r>
        <w:rPr>
          <w:sz w:val="22"/>
        </w:rPr>
        <w:t>in</w:t>
      </w:r>
      <w:r>
        <w:rPr>
          <w:spacing w:val="-20"/>
          <w:sz w:val="22"/>
        </w:rPr>
        <w:t> </w:t>
      </w:r>
      <w:r>
        <w:rPr>
          <w:sz w:val="22"/>
        </w:rPr>
        <w:t>the</w:t>
      </w:r>
      <w:r>
        <w:rPr>
          <w:spacing w:val="-20"/>
          <w:sz w:val="22"/>
        </w:rPr>
        <w:t> </w:t>
      </w:r>
      <w:r>
        <w:rPr>
          <w:sz w:val="22"/>
        </w:rPr>
        <w:t>Escrow</w:t>
      </w:r>
      <w:r>
        <w:rPr>
          <w:spacing w:val="-20"/>
          <w:sz w:val="22"/>
        </w:rPr>
        <w:t> </w:t>
      </w:r>
      <w:r>
        <w:rPr>
          <w:sz w:val="22"/>
        </w:rPr>
        <w:t>Account</w:t>
      </w:r>
      <w:r>
        <w:rPr>
          <w:spacing w:val="-19"/>
          <w:sz w:val="22"/>
        </w:rPr>
        <w:t> </w:t>
      </w:r>
      <w:r>
        <w:rPr>
          <w:sz w:val="22"/>
        </w:rPr>
        <w:t>shall</w:t>
      </w:r>
      <w:r>
        <w:rPr>
          <w:spacing w:val="-20"/>
          <w:sz w:val="22"/>
        </w:rPr>
        <w:t> </w:t>
      </w:r>
      <w:r>
        <w:rPr>
          <w:sz w:val="22"/>
        </w:rPr>
        <w:t>be</w:t>
      </w:r>
      <w:r>
        <w:rPr>
          <w:spacing w:val="-19"/>
          <w:sz w:val="22"/>
        </w:rPr>
        <w:t> </w:t>
      </w:r>
      <w:r>
        <w:rPr>
          <w:sz w:val="22"/>
        </w:rPr>
        <w:t>transferred</w:t>
      </w:r>
      <w:r>
        <w:rPr>
          <w:spacing w:val="-20"/>
          <w:sz w:val="22"/>
        </w:rPr>
        <w:t> </w:t>
      </w:r>
      <w:r>
        <w:rPr>
          <w:sz w:val="22"/>
        </w:rPr>
        <w:t>to</w:t>
      </w:r>
      <w:r>
        <w:rPr>
          <w:spacing w:val="-20"/>
          <w:sz w:val="22"/>
        </w:rPr>
        <w:t> </w:t>
      </w:r>
      <w:r>
        <w:rPr>
          <w:sz w:val="22"/>
        </w:rPr>
        <w:t>any</w:t>
      </w:r>
      <w:r>
        <w:rPr>
          <w:spacing w:val="-18"/>
          <w:sz w:val="22"/>
        </w:rPr>
        <w:t> </w:t>
      </w:r>
      <w:r>
        <w:rPr>
          <w:sz w:val="22"/>
        </w:rPr>
        <w:t>other</w:t>
      </w:r>
      <w:r>
        <w:rPr>
          <w:spacing w:val="-20"/>
          <w:sz w:val="22"/>
        </w:rPr>
        <w:t> </w:t>
      </w:r>
      <w:r>
        <w:rPr>
          <w:sz w:val="22"/>
        </w:rPr>
        <w:t>account as may be specified by the</w:t>
      </w:r>
      <w:r>
        <w:rPr>
          <w:spacing w:val="-21"/>
          <w:sz w:val="22"/>
        </w:rPr>
        <w:t> </w:t>
      </w:r>
      <w:r>
        <w:rPr>
          <w:sz w:val="22"/>
        </w:rPr>
        <w:t>Owner.</w:t>
      </w:r>
    </w:p>
    <w:p>
      <w:pPr>
        <w:pStyle w:val="BodyText"/>
        <w:spacing w:before="6"/>
        <w:rPr>
          <w:sz w:val="20"/>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386" w:id="754"/>
      <w:bookmarkEnd w:id="754"/>
      <w:r>
        <w:rPr/>
      </w:r>
      <w:bookmarkStart w:name="_bookmark386" w:id="755"/>
      <w:bookmarkEnd w:id="755"/>
      <w:r>
        <w:rPr>
          <w:color w:val="1F664D"/>
          <w:w w:val="105"/>
          <w:sz w:val="22"/>
        </w:rPr>
        <w:t>O</w:t>
      </w:r>
      <w:r>
        <w:rPr>
          <w:color w:val="1F664D"/>
          <w:w w:val="105"/>
          <w:sz w:val="22"/>
        </w:rPr>
        <w:t>peration &amp; Maintenance Agreement between EEPL and</w:t>
      </w:r>
      <w:r>
        <w:rPr>
          <w:color w:val="1F664D"/>
          <w:spacing w:val="-47"/>
          <w:w w:val="105"/>
          <w:sz w:val="22"/>
        </w:rPr>
        <w:t> </w:t>
      </w:r>
      <w:r>
        <w:rPr>
          <w:color w:val="1F664D"/>
          <w:w w:val="105"/>
          <w:sz w:val="22"/>
        </w:rPr>
        <w:t>IL&amp;FS</w:t>
      </w:r>
    </w:p>
    <w:p>
      <w:pPr>
        <w:pStyle w:val="BodyText"/>
        <w:spacing w:before="2"/>
        <w:rPr>
          <w:sz w:val="28"/>
        </w:rPr>
      </w:pPr>
    </w:p>
    <w:p>
      <w:pPr>
        <w:pStyle w:val="BodyText"/>
        <w:spacing w:line="372" w:lineRule="auto" w:before="1"/>
        <w:ind w:left="1220" w:right="676"/>
        <w:jc w:val="both"/>
      </w:pPr>
      <w:r>
        <w:rPr/>
        <w:t>Based</w:t>
      </w:r>
      <w:r>
        <w:rPr>
          <w:spacing w:val="-9"/>
        </w:rPr>
        <w:t> </w:t>
      </w:r>
      <w:r>
        <w:rPr/>
        <w:t>on</w:t>
      </w:r>
      <w:r>
        <w:rPr>
          <w:spacing w:val="-10"/>
        </w:rPr>
        <w:t> </w:t>
      </w:r>
      <w:r>
        <w:rPr/>
        <w:t>the</w:t>
      </w:r>
      <w:r>
        <w:rPr>
          <w:spacing w:val="-10"/>
        </w:rPr>
        <w:t> </w:t>
      </w:r>
      <w:r>
        <w:rPr/>
        <w:t>review</w:t>
      </w:r>
      <w:r>
        <w:rPr>
          <w:spacing w:val="-9"/>
        </w:rPr>
        <w:t> </w:t>
      </w:r>
      <w:r>
        <w:rPr/>
        <w:t>of</w:t>
      </w:r>
      <w:r>
        <w:rPr>
          <w:spacing w:val="-8"/>
        </w:rPr>
        <w:t> </w:t>
      </w:r>
      <w:r>
        <w:rPr/>
        <w:t>the</w:t>
      </w:r>
      <w:r>
        <w:rPr>
          <w:spacing w:val="-10"/>
        </w:rPr>
        <w:t> </w:t>
      </w:r>
      <w:r>
        <w:rPr/>
        <w:t>Operation</w:t>
      </w:r>
      <w:r>
        <w:rPr>
          <w:spacing w:val="-10"/>
        </w:rPr>
        <w:t> </w:t>
      </w:r>
      <w:r>
        <w:rPr/>
        <w:t>and</w:t>
      </w:r>
      <w:r>
        <w:rPr>
          <w:spacing w:val="-10"/>
        </w:rPr>
        <w:t> </w:t>
      </w:r>
      <w:r>
        <w:rPr/>
        <w:t>Maintenance</w:t>
      </w:r>
      <w:r>
        <w:rPr>
          <w:spacing w:val="-10"/>
        </w:rPr>
        <w:t> </w:t>
      </w:r>
      <w:r>
        <w:rPr/>
        <w:t>Agreement</w:t>
      </w:r>
      <w:r>
        <w:rPr>
          <w:spacing w:val="-9"/>
        </w:rPr>
        <w:t> </w:t>
      </w:r>
      <w:r>
        <w:rPr/>
        <w:t>(O&amp;M</w:t>
      </w:r>
      <w:r>
        <w:rPr>
          <w:spacing w:val="-9"/>
        </w:rPr>
        <w:t> </w:t>
      </w:r>
      <w:r>
        <w:rPr/>
        <w:t>Agreement)</w:t>
      </w:r>
      <w:r>
        <w:rPr>
          <w:spacing w:val="-9"/>
        </w:rPr>
        <w:t> </w:t>
      </w:r>
      <w:r>
        <w:rPr/>
        <w:t>provided</w:t>
      </w:r>
      <w:r>
        <w:rPr>
          <w:spacing w:val="-11"/>
        </w:rPr>
        <w:t> </w:t>
      </w:r>
      <w:r>
        <w:rPr/>
        <w:t>by</w:t>
      </w:r>
      <w:r>
        <w:rPr>
          <w:spacing w:val="-8"/>
        </w:rPr>
        <w:t> </w:t>
      </w:r>
      <w:r>
        <w:rPr/>
        <w:t>the Client,</w:t>
      </w:r>
      <w:r>
        <w:rPr>
          <w:spacing w:val="-18"/>
        </w:rPr>
        <w:t> </w:t>
      </w:r>
      <w:r>
        <w:rPr/>
        <w:t>it</w:t>
      </w:r>
      <w:r>
        <w:rPr>
          <w:spacing w:val="-17"/>
        </w:rPr>
        <w:t> </w:t>
      </w:r>
      <w:r>
        <w:rPr/>
        <w:t>is</w:t>
      </w:r>
      <w:r>
        <w:rPr>
          <w:spacing w:val="-17"/>
        </w:rPr>
        <w:t> </w:t>
      </w:r>
      <w:r>
        <w:rPr/>
        <w:t>understood</w:t>
      </w:r>
      <w:r>
        <w:rPr>
          <w:spacing w:val="-18"/>
        </w:rPr>
        <w:t> </w:t>
      </w:r>
      <w:r>
        <w:rPr/>
        <w:t>that</w:t>
      </w:r>
      <w:r>
        <w:rPr>
          <w:spacing w:val="-17"/>
        </w:rPr>
        <w:t> </w:t>
      </w:r>
      <w:r>
        <w:rPr/>
        <w:t>IL&amp;FS</w:t>
      </w:r>
      <w:r>
        <w:rPr>
          <w:spacing w:val="-17"/>
        </w:rPr>
        <w:t> </w:t>
      </w:r>
      <w:r>
        <w:rPr/>
        <w:t>shall</w:t>
      </w:r>
      <w:r>
        <w:rPr>
          <w:spacing w:val="-18"/>
        </w:rPr>
        <w:t> </w:t>
      </w:r>
      <w:r>
        <w:rPr/>
        <w:t>undertake</w:t>
      </w:r>
      <w:r>
        <w:rPr>
          <w:spacing w:val="-18"/>
        </w:rPr>
        <w:t> </w:t>
      </w:r>
      <w:r>
        <w:rPr/>
        <w:t>the</w:t>
      </w:r>
      <w:r>
        <w:rPr>
          <w:spacing w:val="-17"/>
        </w:rPr>
        <w:t> </w:t>
      </w:r>
      <w:r>
        <w:rPr/>
        <w:t>O&amp;M</w:t>
      </w:r>
      <w:r>
        <w:rPr>
          <w:spacing w:val="-17"/>
        </w:rPr>
        <w:t> </w:t>
      </w:r>
      <w:r>
        <w:rPr/>
        <w:t>services</w:t>
      </w:r>
      <w:r>
        <w:rPr>
          <w:spacing w:val="-16"/>
        </w:rPr>
        <w:t> </w:t>
      </w:r>
      <w:r>
        <w:rPr/>
        <w:t>for</w:t>
      </w:r>
      <w:r>
        <w:rPr>
          <w:spacing w:val="-18"/>
        </w:rPr>
        <w:t> </w:t>
      </w:r>
      <w:r>
        <w:rPr/>
        <w:t>the</w:t>
      </w:r>
      <w:r>
        <w:rPr>
          <w:spacing w:val="-18"/>
        </w:rPr>
        <w:t> </w:t>
      </w:r>
      <w:r>
        <w:rPr/>
        <w:t>solar</w:t>
      </w:r>
      <w:r>
        <w:rPr>
          <w:spacing w:val="-18"/>
        </w:rPr>
        <w:t> </w:t>
      </w:r>
      <w:r>
        <w:rPr/>
        <w:t>park</w:t>
      </w:r>
      <w:r>
        <w:rPr>
          <w:spacing w:val="-17"/>
        </w:rPr>
        <w:t> </w:t>
      </w:r>
      <w:r>
        <w:rPr/>
        <w:t>facility</w:t>
      </w:r>
      <w:r>
        <w:rPr>
          <w:spacing w:val="-16"/>
        </w:rPr>
        <w:t> </w:t>
      </w:r>
      <w:r>
        <w:rPr/>
        <w:t>from</w:t>
      </w:r>
      <w:r>
        <w:rPr>
          <w:spacing w:val="-17"/>
        </w:rPr>
        <w:t> </w:t>
      </w:r>
      <w:r>
        <w:rPr/>
        <w:t>the COD</w:t>
      </w:r>
      <w:r>
        <w:rPr>
          <w:spacing w:val="-7"/>
        </w:rPr>
        <w:t> </w:t>
      </w:r>
      <w:r>
        <w:rPr/>
        <w:t>and</w:t>
      </w:r>
      <w:r>
        <w:rPr>
          <w:spacing w:val="-6"/>
        </w:rPr>
        <w:t> </w:t>
      </w:r>
      <w:r>
        <w:rPr/>
        <w:t>continue</w:t>
      </w:r>
      <w:r>
        <w:rPr>
          <w:spacing w:val="-7"/>
        </w:rPr>
        <w:t> </w:t>
      </w:r>
      <w:r>
        <w:rPr/>
        <w:t>until</w:t>
      </w:r>
      <w:r>
        <w:rPr>
          <w:spacing w:val="-8"/>
        </w:rPr>
        <w:t> </w:t>
      </w:r>
      <w:r>
        <w:rPr/>
        <w:t>the</w:t>
      </w:r>
      <w:r>
        <w:rPr>
          <w:spacing w:val="-6"/>
        </w:rPr>
        <w:t> </w:t>
      </w:r>
      <w:r>
        <w:rPr/>
        <w:t>expiry</w:t>
      </w:r>
      <w:r>
        <w:rPr>
          <w:spacing w:val="-6"/>
        </w:rPr>
        <w:t> </w:t>
      </w:r>
      <w:r>
        <w:rPr/>
        <w:t>of</w:t>
      </w:r>
      <w:r>
        <w:rPr>
          <w:spacing w:val="-6"/>
        </w:rPr>
        <w:t> </w:t>
      </w:r>
      <w:r>
        <w:rPr/>
        <w:t>15</w:t>
      </w:r>
      <w:r>
        <w:rPr>
          <w:spacing w:val="-10"/>
        </w:rPr>
        <w:t> </w:t>
      </w:r>
      <w:r>
        <w:rPr/>
        <w:t>years</w:t>
      </w:r>
      <w:r>
        <w:rPr>
          <w:spacing w:val="-6"/>
        </w:rPr>
        <w:t> </w:t>
      </w:r>
      <w:r>
        <w:rPr/>
        <w:t>unless</w:t>
      </w:r>
      <w:r>
        <w:rPr>
          <w:spacing w:val="-6"/>
        </w:rPr>
        <w:t> </w:t>
      </w:r>
      <w:r>
        <w:rPr/>
        <w:t>terminated</w:t>
      </w:r>
      <w:r>
        <w:rPr>
          <w:spacing w:val="-5"/>
        </w:rPr>
        <w:t> </w:t>
      </w:r>
      <w:r>
        <w:rPr/>
        <w:t>otherwise.</w:t>
      </w:r>
    </w:p>
    <w:p>
      <w:pPr>
        <w:pStyle w:val="BodyText"/>
        <w:spacing w:before="5"/>
        <w:rPr>
          <w:sz w:val="20"/>
        </w:rPr>
      </w:pPr>
    </w:p>
    <w:p>
      <w:pPr>
        <w:pStyle w:val="BodyText"/>
        <w:spacing w:before="1"/>
        <w:ind w:left="1220"/>
        <w:jc w:val="both"/>
      </w:pPr>
      <w:r>
        <w:rPr/>
        <w:t>The key features of the contract have been highlighted below:</w:t>
      </w:r>
    </w:p>
    <w:p>
      <w:pPr>
        <w:pStyle w:val="BodyText"/>
        <w:spacing w:before="8"/>
        <w:rPr>
          <w:sz w:val="32"/>
        </w:rPr>
      </w:pPr>
    </w:p>
    <w:p>
      <w:pPr>
        <w:pStyle w:val="ListParagraph"/>
        <w:numPr>
          <w:ilvl w:val="3"/>
          <w:numId w:val="93"/>
        </w:numPr>
        <w:tabs>
          <w:tab w:pos="1941" w:val="left" w:leader="none"/>
        </w:tabs>
        <w:spacing w:line="372" w:lineRule="auto" w:before="1" w:after="0"/>
        <w:ind w:left="1940" w:right="679" w:hanging="360"/>
        <w:jc w:val="both"/>
        <w:rPr>
          <w:sz w:val="22"/>
        </w:rPr>
      </w:pPr>
      <w:r>
        <w:rPr>
          <w:sz w:val="22"/>
        </w:rPr>
        <w:t>As</w:t>
      </w:r>
      <w:r>
        <w:rPr>
          <w:spacing w:val="-46"/>
          <w:sz w:val="22"/>
        </w:rPr>
        <w:t> </w:t>
      </w:r>
      <w:r>
        <w:rPr>
          <w:sz w:val="22"/>
        </w:rPr>
        <w:t>per</w:t>
      </w:r>
      <w:r>
        <w:rPr>
          <w:spacing w:val="-46"/>
          <w:sz w:val="22"/>
        </w:rPr>
        <w:t> </w:t>
      </w:r>
      <w:r>
        <w:rPr>
          <w:sz w:val="22"/>
        </w:rPr>
        <w:t>the</w:t>
      </w:r>
      <w:r>
        <w:rPr>
          <w:spacing w:val="-46"/>
          <w:sz w:val="22"/>
        </w:rPr>
        <w:t> </w:t>
      </w:r>
      <w:r>
        <w:rPr>
          <w:sz w:val="22"/>
        </w:rPr>
        <w:t>agreement,</w:t>
      </w:r>
      <w:r>
        <w:rPr>
          <w:spacing w:val="-45"/>
          <w:sz w:val="22"/>
        </w:rPr>
        <w:t> </w:t>
      </w:r>
      <w:r>
        <w:rPr>
          <w:sz w:val="22"/>
        </w:rPr>
        <w:t>IL&amp;FS</w:t>
      </w:r>
      <w:r>
        <w:rPr>
          <w:spacing w:val="-46"/>
          <w:sz w:val="22"/>
        </w:rPr>
        <w:t> </w:t>
      </w:r>
      <w:r>
        <w:rPr>
          <w:sz w:val="22"/>
        </w:rPr>
        <w:t>shall</w:t>
      </w:r>
      <w:r>
        <w:rPr>
          <w:spacing w:val="-45"/>
          <w:sz w:val="22"/>
        </w:rPr>
        <w:t> </w:t>
      </w:r>
      <w:r>
        <w:rPr>
          <w:sz w:val="22"/>
        </w:rPr>
        <w:t>undertake</w:t>
      </w:r>
      <w:r>
        <w:rPr>
          <w:spacing w:val="-46"/>
          <w:sz w:val="22"/>
        </w:rPr>
        <w:t> </w:t>
      </w:r>
      <w:r>
        <w:rPr>
          <w:sz w:val="22"/>
        </w:rPr>
        <w:t>the</w:t>
      </w:r>
      <w:r>
        <w:rPr>
          <w:spacing w:val="-46"/>
          <w:sz w:val="22"/>
        </w:rPr>
        <w:t> </w:t>
      </w:r>
      <w:r>
        <w:rPr>
          <w:sz w:val="22"/>
        </w:rPr>
        <w:t>operation,</w:t>
      </w:r>
      <w:r>
        <w:rPr>
          <w:spacing w:val="-45"/>
          <w:sz w:val="22"/>
        </w:rPr>
        <w:t> </w:t>
      </w:r>
      <w:r>
        <w:rPr>
          <w:sz w:val="22"/>
        </w:rPr>
        <w:t>maintenance,</w:t>
      </w:r>
      <w:r>
        <w:rPr>
          <w:spacing w:val="-45"/>
          <w:sz w:val="22"/>
        </w:rPr>
        <w:t> </w:t>
      </w:r>
      <w:r>
        <w:rPr>
          <w:sz w:val="22"/>
        </w:rPr>
        <w:t>and</w:t>
      </w:r>
      <w:r>
        <w:rPr>
          <w:spacing w:val="-45"/>
          <w:sz w:val="22"/>
        </w:rPr>
        <w:t> </w:t>
      </w:r>
      <w:r>
        <w:rPr>
          <w:sz w:val="22"/>
        </w:rPr>
        <w:t>repair</w:t>
      </w:r>
      <w:r>
        <w:rPr>
          <w:spacing w:val="-46"/>
          <w:sz w:val="22"/>
        </w:rPr>
        <w:t> </w:t>
      </w:r>
      <w:r>
        <w:rPr>
          <w:sz w:val="22"/>
        </w:rPr>
        <w:t>of</w:t>
      </w:r>
      <w:r>
        <w:rPr>
          <w:spacing w:val="-44"/>
          <w:sz w:val="22"/>
        </w:rPr>
        <w:t> </w:t>
      </w:r>
      <w:r>
        <w:rPr>
          <w:sz w:val="22"/>
        </w:rPr>
        <w:t>the</w:t>
      </w:r>
      <w:r>
        <w:rPr>
          <w:spacing w:val="-47"/>
          <w:sz w:val="22"/>
        </w:rPr>
        <w:t> </w:t>
      </w:r>
      <w:r>
        <w:rPr>
          <w:sz w:val="22"/>
        </w:rPr>
        <w:t>facility during</w:t>
      </w:r>
      <w:r>
        <w:rPr>
          <w:spacing w:val="-6"/>
          <w:sz w:val="22"/>
        </w:rPr>
        <w:t> </w:t>
      </w:r>
      <w:r>
        <w:rPr>
          <w:sz w:val="22"/>
        </w:rPr>
        <w:t>the</w:t>
      </w:r>
      <w:r>
        <w:rPr>
          <w:spacing w:val="-7"/>
          <w:sz w:val="22"/>
        </w:rPr>
        <w:t> </w:t>
      </w:r>
      <w:r>
        <w:rPr>
          <w:sz w:val="22"/>
        </w:rPr>
        <w:t>term</w:t>
      </w:r>
      <w:r>
        <w:rPr>
          <w:spacing w:val="-7"/>
          <w:sz w:val="22"/>
        </w:rPr>
        <w:t> </w:t>
      </w:r>
      <w:r>
        <w:rPr>
          <w:sz w:val="22"/>
        </w:rPr>
        <w:t>of</w:t>
      </w:r>
      <w:r>
        <w:rPr>
          <w:spacing w:val="-5"/>
          <w:sz w:val="22"/>
        </w:rPr>
        <w:t> </w:t>
      </w:r>
      <w:r>
        <w:rPr>
          <w:sz w:val="22"/>
        </w:rPr>
        <w:t>the</w:t>
      </w:r>
      <w:r>
        <w:rPr>
          <w:spacing w:val="-8"/>
          <w:sz w:val="22"/>
        </w:rPr>
        <w:t> </w:t>
      </w:r>
      <w:r>
        <w:rPr>
          <w:sz w:val="22"/>
        </w:rPr>
        <w:t>agreement</w:t>
      </w:r>
      <w:r>
        <w:rPr>
          <w:spacing w:val="-6"/>
          <w:sz w:val="22"/>
        </w:rPr>
        <w:t> </w:t>
      </w:r>
      <w:r>
        <w:rPr>
          <w:sz w:val="22"/>
        </w:rPr>
        <w:t>(i.e.</w:t>
      </w:r>
      <w:r>
        <w:rPr>
          <w:spacing w:val="-6"/>
          <w:sz w:val="22"/>
        </w:rPr>
        <w:t> </w:t>
      </w:r>
      <w:r>
        <w:rPr>
          <w:sz w:val="22"/>
        </w:rPr>
        <w:t>for</w:t>
      </w:r>
      <w:r>
        <w:rPr>
          <w:spacing w:val="-7"/>
          <w:sz w:val="22"/>
        </w:rPr>
        <w:t> </w:t>
      </w:r>
      <w:r>
        <w:rPr>
          <w:sz w:val="22"/>
        </w:rPr>
        <w:t>a</w:t>
      </w:r>
      <w:r>
        <w:rPr>
          <w:spacing w:val="-7"/>
          <w:sz w:val="22"/>
        </w:rPr>
        <w:t> </w:t>
      </w:r>
      <w:r>
        <w:rPr>
          <w:sz w:val="22"/>
        </w:rPr>
        <w:t>period</w:t>
      </w:r>
      <w:r>
        <w:rPr>
          <w:spacing w:val="-6"/>
          <w:sz w:val="22"/>
        </w:rPr>
        <w:t> </w:t>
      </w:r>
      <w:r>
        <w:rPr>
          <w:sz w:val="22"/>
        </w:rPr>
        <w:t>of</w:t>
      </w:r>
      <w:r>
        <w:rPr>
          <w:spacing w:val="-5"/>
          <w:sz w:val="22"/>
        </w:rPr>
        <w:t> </w:t>
      </w:r>
      <w:r>
        <w:rPr>
          <w:sz w:val="22"/>
        </w:rPr>
        <w:t>15</w:t>
      </w:r>
      <w:r>
        <w:rPr>
          <w:spacing w:val="-7"/>
          <w:sz w:val="22"/>
        </w:rPr>
        <w:t> </w:t>
      </w:r>
      <w:r>
        <w:rPr>
          <w:sz w:val="22"/>
        </w:rPr>
        <w:t>years</w:t>
      </w:r>
      <w:r>
        <w:rPr>
          <w:spacing w:val="-5"/>
          <w:sz w:val="22"/>
        </w:rPr>
        <w:t> </w:t>
      </w:r>
      <w:r>
        <w:rPr>
          <w:sz w:val="22"/>
        </w:rPr>
        <w:t>from</w:t>
      </w:r>
      <w:r>
        <w:rPr>
          <w:spacing w:val="-9"/>
          <w:sz w:val="22"/>
        </w:rPr>
        <w:t> </w:t>
      </w:r>
      <w:r>
        <w:rPr>
          <w:sz w:val="22"/>
        </w:rPr>
        <w:t>COD).</w:t>
      </w:r>
    </w:p>
    <w:p>
      <w:pPr>
        <w:pStyle w:val="ListParagraph"/>
        <w:numPr>
          <w:ilvl w:val="3"/>
          <w:numId w:val="93"/>
        </w:numPr>
        <w:tabs>
          <w:tab w:pos="1941" w:val="left" w:leader="none"/>
        </w:tabs>
        <w:spacing w:line="372" w:lineRule="auto" w:before="0" w:after="0"/>
        <w:ind w:left="1940" w:right="675" w:hanging="360"/>
        <w:jc w:val="both"/>
        <w:rPr>
          <w:sz w:val="22"/>
        </w:rPr>
      </w:pPr>
      <w:r>
        <w:rPr>
          <w:sz w:val="22"/>
        </w:rPr>
        <w:t>Further, the contract also states that IL&amp;FS shall be responsible for the supervision of and coordinating</w:t>
      </w:r>
      <w:r>
        <w:rPr>
          <w:spacing w:val="-35"/>
          <w:sz w:val="22"/>
        </w:rPr>
        <w:t> </w:t>
      </w:r>
      <w:r>
        <w:rPr>
          <w:sz w:val="22"/>
        </w:rPr>
        <w:t>with</w:t>
      </w:r>
      <w:r>
        <w:rPr>
          <w:spacing w:val="-35"/>
          <w:sz w:val="22"/>
        </w:rPr>
        <w:t> </w:t>
      </w:r>
      <w:r>
        <w:rPr>
          <w:sz w:val="22"/>
        </w:rPr>
        <w:t>KPTCL</w:t>
      </w:r>
      <w:r>
        <w:rPr>
          <w:spacing w:val="-35"/>
          <w:sz w:val="22"/>
        </w:rPr>
        <w:t> </w:t>
      </w:r>
      <w:r>
        <w:rPr>
          <w:sz w:val="22"/>
        </w:rPr>
        <w:t>which</w:t>
      </w:r>
      <w:r>
        <w:rPr>
          <w:spacing w:val="-34"/>
          <w:sz w:val="22"/>
        </w:rPr>
        <w:t> </w:t>
      </w:r>
      <w:r>
        <w:rPr>
          <w:sz w:val="22"/>
        </w:rPr>
        <w:t>provides</w:t>
      </w:r>
      <w:r>
        <w:rPr>
          <w:spacing w:val="-34"/>
          <w:sz w:val="22"/>
        </w:rPr>
        <w:t> </w:t>
      </w:r>
      <w:r>
        <w:rPr>
          <w:sz w:val="22"/>
        </w:rPr>
        <w:t>and</w:t>
      </w:r>
      <w:r>
        <w:rPr>
          <w:spacing w:val="-34"/>
          <w:sz w:val="22"/>
        </w:rPr>
        <w:t> </w:t>
      </w:r>
      <w:r>
        <w:rPr>
          <w:sz w:val="22"/>
        </w:rPr>
        <w:t>maintains</w:t>
      </w:r>
      <w:r>
        <w:rPr>
          <w:spacing w:val="-34"/>
          <w:sz w:val="22"/>
        </w:rPr>
        <w:t> </w:t>
      </w:r>
      <w:r>
        <w:rPr>
          <w:sz w:val="22"/>
        </w:rPr>
        <w:t>in</w:t>
      </w:r>
      <w:r>
        <w:rPr>
          <w:spacing w:val="-36"/>
          <w:sz w:val="22"/>
        </w:rPr>
        <w:t> </w:t>
      </w:r>
      <w:r>
        <w:rPr>
          <w:sz w:val="22"/>
        </w:rPr>
        <w:t>good</w:t>
      </w:r>
      <w:r>
        <w:rPr>
          <w:spacing w:val="-34"/>
          <w:sz w:val="22"/>
        </w:rPr>
        <w:t> </w:t>
      </w:r>
      <w:r>
        <w:rPr>
          <w:sz w:val="22"/>
        </w:rPr>
        <w:t>order</w:t>
      </w:r>
      <w:r>
        <w:rPr>
          <w:spacing w:val="-35"/>
          <w:sz w:val="22"/>
        </w:rPr>
        <w:t> </w:t>
      </w:r>
      <w:r>
        <w:rPr>
          <w:sz w:val="22"/>
        </w:rPr>
        <w:t>and</w:t>
      </w:r>
      <w:r>
        <w:rPr>
          <w:spacing w:val="-34"/>
          <w:sz w:val="22"/>
        </w:rPr>
        <w:t> </w:t>
      </w:r>
      <w:r>
        <w:rPr>
          <w:sz w:val="22"/>
        </w:rPr>
        <w:t>/</w:t>
      </w:r>
      <w:r>
        <w:rPr>
          <w:spacing w:val="-33"/>
          <w:sz w:val="22"/>
        </w:rPr>
        <w:t> </w:t>
      </w:r>
      <w:r>
        <w:rPr>
          <w:sz w:val="22"/>
        </w:rPr>
        <w:t>or</w:t>
      </w:r>
      <w:r>
        <w:rPr>
          <w:spacing w:val="-36"/>
          <w:sz w:val="22"/>
        </w:rPr>
        <w:t> </w:t>
      </w:r>
      <w:r>
        <w:rPr>
          <w:sz w:val="22"/>
        </w:rPr>
        <w:t>repair,</w:t>
      </w:r>
      <w:r>
        <w:rPr>
          <w:spacing w:val="-34"/>
          <w:sz w:val="22"/>
        </w:rPr>
        <w:t> </w:t>
      </w:r>
      <w:r>
        <w:rPr>
          <w:sz w:val="22"/>
        </w:rPr>
        <w:t>the</w:t>
      </w:r>
      <w:r>
        <w:rPr>
          <w:spacing w:val="-34"/>
          <w:sz w:val="22"/>
        </w:rPr>
        <w:t> </w:t>
      </w:r>
      <w:r>
        <w:rPr>
          <w:sz w:val="22"/>
        </w:rPr>
        <w:t>required metering</w:t>
      </w:r>
      <w:r>
        <w:rPr>
          <w:spacing w:val="-32"/>
          <w:sz w:val="22"/>
        </w:rPr>
        <w:t> </w:t>
      </w:r>
      <w:r>
        <w:rPr>
          <w:sz w:val="22"/>
        </w:rPr>
        <w:t>device</w:t>
      </w:r>
      <w:r>
        <w:rPr>
          <w:spacing w:val="-33"/>
          <w:sz w:val="22"/>
        </w:rPr>
        <w:t> </w:t>
      </w:r>
      <w:r>
        <w:rPr>
          <w:sz w:val="22"/>
        </w:rPr>
        <w:t>for</w:t>
      </w:r>
      <w:r>
        <w:rPr>
          <w:spacing w:val="-32"/>
          <w:sz w:val="22"/>
        </w:rPr>
        <w:t> </w:t>
      </w:r>
      <w:r>
        <w:rPr>
          <w:sz w:val="22"/>
        </w:rPr>
        <w:t>the</w:t>
      </w:r>
      <w:r>
        <w:rPr>
          <w:spacing w:val="-34"/>
          <w:sz w:val="22"/>
        </w:rPr>
        <w:t> </w:t>
      </w:r>
      <w:r>
        <w:rPr>
          <w:sz w:val="22"/>
        </w:rPr>
        <w:t>measurement</w:t>
      </w:r>
      <w:r>
        <w:rPr>
          <w:spacing w:val="-32"/>
          <w:sz w:val="22"/>
        </w:rPr>
        <w:t> </w:t>
      </w:r>
      <w:r>
        <w:rPr>
          <w:sz w:val="22"/>
        </w:rPr>
        <w:t>of</w:t>
      </w:r>
      <w:r>
        <w:rPr>
          <w:spacing w:val="-32"/>
          <w:sz w:val="22"/>
        </w:rPr>
        <w:t> </w:t>
      </w:r>
      <w:r>
        <w:rPr>
          <w:sz w:val="22"/>
        </w:rPr>
        <w:t>electricity</w:t>
      </w:r>
      <w:r>
        <w:rPr>
          <w:spacing w:val="-32"/>
          <w:sz w:val="22"/>
        </w:rPr>
        <w:t> </w:t>
      </w:r>
      <w:r>
        <w:rPr>
          <w:sz w:val="22"/>
        </w:rPr>
        <w:t>supplied</w:t>
      </w:r>
      <w:r>
        <w:rPr>
          <w:spacing w:val="-32"/>
          <w:sz w:val="22"/>
        </w:rPr>
        <w:t> </w:t>
      </w:r>
      <w:r>
        <w:rPr>
          <w:sz w:val="22"/>
        </w:rPr>
        <w:t>to</w:t>
      </w:r>
      <w:r>
        <w:rPr>
          <w:spacing w:val="-32"/>
          <w:sz w:val="22"/>
        </w:rPr>
        <w:t> </w:t>
      </w:r>
      <w:r>
        <w:rPr>
          <w:sz w:val="22"/>
        </w:rPr>
        <w:t>the</w:t>
      </w:r>
      <w:r>
        <w:rPr>
          <w:spacing w:val="-33"/>
          <w:sz w:val="22"/>
        </w:rPr>
        <w:t> </w:t>
      </w:r>
      <w:r>
        <w:rPr>
          <w:sz w:val="22"/>
        </w:rPr>
        <w:t>owner</w:t>
      </w:r>
      <w:r>
        <w:rPr>
          <w:spacing w:val="-33"/>
          <w:sz w:val="22"/>
        </w:rPr>
        <w:t> </w:t>
      </w:r>
      <w:r>
        <w:rPr>
          <w:sz w:val="22"/>
        </w:rPr>
        <w:t>at</w:t>
      </w:r>
      <w:r>
        <w:rPr>
          <w:spacing w:val="-31"/>
          <w:sz w:val="22"/>
        </w:rPr>
        <w:t> </w:t>
      </w:r>
      <w:r>
        <w:rPr>
          <w:sz w:val="22"/>
        </w:rPr>
        <w:t>the</w:t>
      </w:r>
      <w:r>
        <w:rPr>
          <w:spacing w:val="-33"/>
          <w:sz w:val="22"/>
        </w:rPr>
        <w:t> </w:t>
      </w:r>
      <w:r>
        <w:rPr>
          <w:sz w:val="22"/>
        </w:rPr>
        <w:t>interconnection and</w:t>
      </w:r>
      <w:r>
        <w:rPr>
          <w:spacing w:val="-5"/>
          <w:sz w:val="22"/>
        </w:rPr>
        <w:t> </w:t>
      </w:r>
      <w:r>
        <w:rPr>
          <w:sz w:val="22"/>
        </w:rPr>
        <w:t>metering</w:t>
      </w:r>
      <w:r>
        <w:rPr>
          <w:spacing w:val="-4"/>
          <w:sz w:val="22"/>
        </w:rPr>
        <w:t> </w:t>
      </w:r>
      <w:r>
        <w:rPr>
          <w:sz w:val="22"/>
        </w:rPr>
        <w:t>point</w:t>
      </w:r>
      <w:r>
        <w:rPr>
          <w:spacing w:val="-4"/>
          <w:sz w:val="22"/>
        </w:rPr>
        <w:t> </w:t>
      </w:r>
      <w:r>
        <w:rPr>
          <w:sz w:val="22"/>
        </w:rPr>
        <w:t>in</w:t>
      </w:r>
      <w:r>
        <w:rPr>
          <w:spacing w:val="-5"/>
          <w:sz w:val="22"/>
        </w:rPr>
        <w:t> </w:t>
      </w:r>
      <w:r>
        <w:rPr>
          <w:sz w:val="22"/>
        </w:rPr>
        <w:t>compliance</w:t>
      </w:r>
      <w:r>
        <w:rPr>
          <w:spacing w:val="-6"/>
          <w:sz w:val="22"/>
        </w:rPr>
        <w:t> </w:t>
      </w:r>
      <w:r>
        <w:rPr>
          <w:sz w:val="22"/>
        </w:rPr>
        <w:t>with</w:t>
      </w:r>
      <w:r>
        <w:rPr>
          <w:spacing w:val="-5"/>
          <w:sz w:val="22"/>
        </w:rPr>
        <w:t> </w:t>
      </w:r>
      <w:r>
        <w:rPr>
          <w:sz w:val="22"/>
        </w:rPr>
        <w:t>the</w:t>
      </w:r>
      <w:r>
        <w:rPr>
          <w:spacing w:val="-5"/>
          <w:sz w:val="22"/>
        </w:rPr>
        <w:t> </w:t>
      </w:r>
      <w:r>
        <w:rPr>
          <w:sz w:val="22"/>
        </w:rPr>
        <w:t>applicable</w:t>
      </w:r>
      <w:r>
        <w:rPr>
          <w:spacing w:val="-5"/>
          <w:sz w:val="22"/>
        </w:rPr>
        <w:t> </w:t>
      </w:r>
      <w:r>
        <w:rPr>
          <w:sz w:val="22"/>
        </w:rPr>
        <w:t>grid</w:t>
      </w:r>
      <w:r>
        <w:rPr>
          <w:spacing w:val="-5"/>
          <w:sz w:val="22"/>
        </w:rPr>
        <w:t> </w:t>
      </w:r>
      <w:r>
        <w:rPr>
          <w:sz w:val="22"/>
        </w:rPr>
        <w:t>code</w:t>
      </w:r>
      <w:r>
        <w:rPr>
          <w:spacing w:val="-5"/>
          <w:sz w:val="22"/>
        </w:rPr>
        <w:t> </w:t>
      </w:r>
      <w:r>
        <w:rPr>
          <w:sz w:val="22"/>
        </w:rPr>
        <w:t>and</w:t>
      </w:r>
      <w:r>
        <w:rPr>
          <w:spacing w:val="-5"/>
          <w:sz w:val="22"/>
        </w:rPr>
        <w:t> </w:t>
      </w:r>
      <w:r>
        <w:rPr>
          <w:sz w:val="22"/>
        </w:rPr>
        <w:t>in</w:t>
      </w:r>
      <w:r>
        <w:rPr>
          <w:spacing w:val="-5"/>
          <w:sz w:val="22"/>
        </w:rPr>
        <w:t> </w:t>
      </w:r>
      <w:r>
        <w:rPr>
          <w:sz w:val="22"/>
        </w:rPr>
        <w:t>co-ordination</w:t>
      </w:r>
      <w:r>
        <w:rPr>
          <w:spacing w:val="-5"/>
          <w:sz w:val="22"/>
        </w:rPr>
        <w:t> </w:t>
      </w:r>
      <w:r>
        <w:rPr>
          <w:sz w:val="22"/>
        </w:rPr>
        <w:t>with</w:t>
      </w:r>
      <w:r>
        <w:rPr>
          <w:spacing w:val="-5"/>
          <w:sz w:val="22"/>
        </w:rPr>
        <w:t> </w:t>
      </w:r>
      <w:r>
        <w:rPr>
          <w:sz w:val="22"/>
        </w:rPr>
        <w:t>the relevant government</w:t>
      </w:r>
      <w:r>
        <w:rPr>
          <w:spacing w:val="-10"/>
          <w:sz w:val="22"/>
        </w:rPr>
        <w:t> </w:t>
      </w:r>
      <w:r>
        <w:rPr>
          <w:sz w:val="22"/>
        </w:rPr>
        <w:t>instrumentality.</w:t>
      </w:r>
    </w:p>
    <w:p>
      <w:pPr>
        <w:pStyle w:val="ListParagraph"/>
        <w:numPr>
          <w:ilvl w:val="3"/>
          <w:numId w:val="93"/>
        </w:numPr>
        <w:tabs>
          <w:tab w:pos="1941" w:val="left" w:leader="none"/>
        </w:tabs>
        <w:spacing w:line="254" w:lineRule="exact" w:before="0" w:after="0"/>
        <w:ind w:left="1940" w:right="0" w:hanging="361"/>
        <w:jc w:val="both"/>
        <w:rPr>
          <w:sz w:val="22"/>
        </w:rPr>
      </w:pPr>
      <w:r>
        <w:rPr>
          <w:sz w:val="22"/>
        </w:rPr>
        <w:t>IL&amp;FS</w:t>
      </w:r>
      <w:r>
        <w:rPr>
          <w:spacing w:val="-10"/>
          <w:sz w:val="22"/>
        </w:rPr>
        <w:t> </w:t>
      </w:r>
      <w:r>
        <w:rPr>
          <w:sz w:val="22"/>
        </w:rPr>
        <w:t>shall</w:t>
      </w:r>
      <w:r>
        <w:rPr>
          <w:spacing w:val="-10"/>
          <w:sz w:val="22"/>
        </w:rPr>
        <w:t> </w:t>
      </w:r>
      <w:r>
        <w:rPr>
          <w:sz w:val="22"/>
        </w:rPr>
        <w:t>monitor</w:t>
      </w:r>
      <w:r>
        <w:rPr>
          <w:spacing w:val="-10"/>
          <w:sz w:val="22"/>
        </w:rPr>
        <w:t> </w:t>
      </w:r>
      <w:r>
        <w:rPr>
          <w:sz w:val="22"/>
        </w:rPr>
        <w:t>the</w:t>
      </w:r>
      <w:r>
        <w:rPr>
          <w:spacing w:val="-10"/>
          <w:sz w:val="22"/>
        </w:rPr>
        <w:t> </w:t>
      </w:r>
      <w:r>
        <w:rPr>
          <w:sz w:val="22"/>
        </w:rPr>
        <w:t>plant</w:t>
      </w:r>
      <w:r>
        <w:rPr>
          <w:spacing w:val="-9"/>
          <w:sz w:val="22"/>
        </w:rPr>
        <w:t> </w:t>
      </w:r>
      <w:r>
        <w:rPr>
          <w:sz w:val="22"/>
        </w:rPr>
        <w:t>continuously</w:t>
      </w:r>
      <w:r>
        <w:rPr>
          <w:spacing w:val="-9"/>
          <w:sz w:val="22"/>
        </w:rPr>
        <w:t> </w:t>
      </w:r>
      <w:r>
        <w:rPr>
          <w:sz w:val="22"/>
        </w:rPr>
        <w:t>during</w:t>
      </w:r>
      <w:r>
        <w:rPr>
          <w:spacing w:val="-9"/>
          <w:sz w:val="22"/>
        </w:rPr>
        <w:t> </w:t>
      </w:r>
      <w:r>
        <w:rPr>
          <w:sz w:val="22"/>
        </w:rPr>
        <w:t>the</w:t>
      </w:r>
      <w:r>
        <w:rPr>
          <w:spacing w:val="-10"/>
          <w:sz w:val="22"/>
        </w:rPr>
        <w:t> </w:t>
      </w:r>
      <w:r>
        <w:rPr>
          <w:sz w:val="22"/>
        </w:rPr>
        <w:t>term</w:t>
      </w:r>
      <w:r>
        <w:rPr>
          <w:spacing w:val="-9"/>
          <w:sz w:val="22"/>
        </w:rPr>
        <w:t> </w:t>
      </w:r>
      <w:r>
        <w:rPr>
          <w:sz w:val="22"/>
        </w:rPr>
        <w:t>of</w:t>
      </w:r>
      <w:r>
        <w:rPr>
          <w:spacing w:val="-8"/>
          <w:sz w:val="22"/>
        </w:rPr>
        <w:t> </w:t>
      </w:r>
      <w:r>
        <w:rPr>
          <w:sz w:val="22"/>
        </w:rPr>
        <w:t>this</w:t>
      </w:r>
      <w:r>
        <w:rPr>
          <w:spacing w:val="-9"/>
          <w:sz w:val="22"/>
        </w:rPr>
        <w:t> </w:t>
      </w:r>
      <w:r>
        <w:rPr>
          <w:sz w:val="22"/>
        </w:rPr>
        <w:t>agreement.</w:t>
      </w:r>
    </w:p>
    <w:p>
      <w:pPr>
        <w:pStyle w:val="ListParagraph"/>
        <w:numPr>
          <w:ilvl w:val="3"/>
          <w:numId w:val="93"/>
        </w:numPr>
        <w:tabs>
          <w:tab w:pos="1941" w:val="left" w:leader="none"/>
        </w:tabs>
        <w:spacing w:line="372" w:lineRule="auto" w:before="140" w:after="0"/>
        <w:ind w:left="1940" w:right="676" w:hanging="360"/>
        <w:jc w:val="both"/>
        <w:rPr>
          <w:sz w:val="22"/>
        </w:rPr>
      </w:pPr>
      <w:r>
        <w:rPr>
          <w:sz w:val="22"/>
        </w:rPr>
        <w:t>IL&amp;FS shall be responsible to provide dedicated staff to monitor the facility for outage and performance</w:t>
      </w:r>
      <w:r>
        <w:rPr>
          <w:spacing w:val="-7"/>
          <w:sz w:val="22"/>
        </w:rPr>
        <w:t> </w:t>
      </w:r>
      <w:r>
        <w:rPr>
          <w:sz w:val="22"/>
        </w:rPr>
        <w:t>24</w:t>
      </w:r>
      <w:r>
        <w:rPr>
          <w:spacing w:val="-6"/>
          <w:sz w:val="22"/>
        </w:rPr>
        <w:t> </w:t>
      </w:r>
      <w:r>
        <w:rPr>
          <w:sz w:val="22"/>
        </w:rPr>
        <w:t>hours</w:t>
      </w:r>
      <w:r>
        <w:rPr>
          <w:spacing w:val="-5"/>
          <w:sz w:val="22"/>
        </w:rPr>
        <w:t> </w:t>
      </w:r>
      <w:r>
        <w:rPr>
          <w:sz w:val="22"/>
        </w:rPr>
        <w:t>per</w:t>
      </w:r>
      <w:r>
        <w:rPr>
          <w:spacing w:val="-6"/>
          <w:sz w:val="22"/>
        </w:rPr>
        <w:t> </w:t>
      </w:r>
      <w:r>
        <w:rPr>
          <w:sz w:val="22"/>
        </w:rPr>
        <w:t>day,</w:t>
      </w:r>
      <w:r>
        <w:rPr>
          <w:spacing w:val="-7"/>
          <w:sz w:val="22"/>
        </w:rPr>
        <w:t> </w:t>
      </w:r>
      <w:r>
        <w:rPr>
          <w:sz w:val="22"/>
        </w:rPr>
        <w:t>7</w:t>
      </w:r>
      <w:r>
        <w:rPr>
          <w:spacing w:val="-8"/>
          <w:sz w:val="22"/>
        </w:rPr>
        <w:t> </w:t>
      </w:r>
      <w:r>
        <w:rPr>
          <w:sz w:val="22"/>
        </w:rPr>
        <w:t>days</w:t>
      </w:r>
      <w:r>
        <w:rPr>
          <w:spacing w:val="-6"/>
          <w:sz w:val="22"/>
        </w:rPr>
        <w:t> </w:t>
      </w:r>
      <w:r>
        <w:rPr>
          <w:sz w:val="22"/>
        </w:rPr>
        <w:t>a</w:t>
      </w:r>
      <w:r>
        <w:rPr>
          <w:spacing w:val="-8"/>
          <w:sz w:val="22"/>
        </w:rPr>
        <w:t> </w:t>
      </w:r>
      <w:r>
        <w:rPr>
          <w:sz w:val="22"/>
        </w:rPr>
        <w:t>week.</w:t>
      </w:r>
      <w:r>
        <w:rPr>
          <w:spacing w:val="-6"/>
          <w:sz w:val="22"/>
        </w:rPr>
        <w:t> </w:t>
      </w:r>
      <w:r>
        <w:rPr>
          <w:sz w:val="22"/>
        </w:rPr>
        <w:t>The</w:t>
      </w:r>
      <w:r>
        <w:rPr>
          <w:spacing w:val="-7"/>
          <w:sz w:val="22"/>
        </w:rPr>
        <w:t> </w:t>
      </w:r>
      <w:r>
        <w:rPr>
          <w:sz w:val="22"/>
        </w:rPr>
        <w:t>contractor</w:t>
      </w:r>
      <w:r>
        <w:rPr>
          <w:spacing w:val="-7"/>
          <w:sz w:val="22"/>
        </w:rPr>
        <w:t> </w:t>
      </w:r>
      <w:r>
        <w:rPr>
          <w:sz w:val="22"/>
        </w:rPr>
        <w:t>shall</w:t>
      </w:r>
      <w:r>
        <w:rPr>
          <w:spacing w:val="-7"/>
          <w:sz w:val="22"/>
        </w:rPr>
        <w:t> </w:t>
      </w:r>
      <w:r>
        <w:rPr>
          <w:sz w:val="22"/>
        </w:rPr>
        <w:t>also</w:t>
      </w:r>
      <w:r>
        <w:rPr>
          <w:spacing w:val="-6"/>
          <w:sz w:val="22"/>
        </w:rPr>
        <w:t> </w:t>
      </w:r>
      <w:r>
        <w:rPr>
          <w:sz w:val="22"/>
        </w:rPr>
        <w:t>operate</w:t>
      </w:r>
      <w:r>
        <w:rPr>
          <w:spacing w:val="-7"/>
          <w:sz w:val="22"/>
        </w:rPr>
        <w:t> </w:t>
      </w:r>
      <w:r>
        <w:rPr>
          <w:sz w:val="22"/>
        </w:rPr>
        <w:t>and</w:t>
      </w:r>
      <w:r>
        <w:rPr>
          <w:spacing w:val="-5"/>
          <w:sz w:val="22"/>
        </w:rPr>
        <w:t> </w:t>
      </w:r>
      <w:r>
        <w:rPr>
          <w:sz w:val="22"/>
        </w:rPr>
        <w:t>maintain all</w:t>
      </w:r>
      <w:r>
        <w:rPr>
          <w:spacing w:val="-29"/>
          <w:sz w:val="22"/>
        </w:rPr>
        <w:t> </w:t>
      </w:r>
      <w:r>
        <w:rPr>
          <w:sz w:val="22"/>
        </w:rPr>
        <w:t>equipment</w:t>
      </w:r>
      <w:r>
        <w:rPr>
          <w:spacing w:val="-27"/>
          <w:sz w:val="22"/>
        </w:rPr>
        <w:t> </w:t>
      </w:r>
      <w:r>
        <w:rPr>
          <w:sz w:val="22"/>
        </w:rPr>
        <w:t>related</w:t>
      </w:r>
      <w:r>
        <w:rPr>
          <w:spacing w:val="-28"/>
          <w:sz w:val="22"/>
        </w:rPr>
        <w:t> </w:t>
      </w:r>
      <w:r>
        <w:rPr>
          <w:sz w:val="22"/>
        </w:rPr>
        <w:t>to</w:t>
      </w:r>
      <w:r>
        <w:rPr>
          <w:spacing w:val="-28"/>
          <w:sz w:val="22"/>
        </w:rPr>
        <w:t> </w:t>
      </w:r>
      <w:r>
        <w:rPr>
          <w:sz w:val="22"/>
        </w:rPr>
        <w:t>any</w:t>
      </w:r>
      <w:r>
        <w:rPr>
          <w:spacing w:val="-27"/>
          <w:sz w:val="22"/>
        </w:rPr>
        <w:t> </w:t>
      </w:r>
      <w:r>
        <w:rPr>
          <w:sz w:val="22"/>
        </w:rPr>
        <w:t>monitoring</w:t>
      </w:r>
      <w:r>
        <w:rPr>
          <w:spacing w:val="-27"/>
          <w:sz w:val="22"/>
        </w:rPr>
        <w:t> </w:t>
      </w:r>
      <w:r>
        <w:rPr>
          <w:sz w:val="22"/>
        </w:rPr>
        <w:t>solution,</w:t>
      </w:r>
      <w:r>
        <w:rPr>
          <w:spacing w:val="-28"/>
          <w:sz w:val="22"/>
        </w:rPr>
        <w:t> </w:t>
      </w:r>
      <w:r>
        <w:rPr>
          <w:sz w:val="22"/>
        </w:rPr>
        <w:t>software</w:t>
      </w:r>
      <w:r>
        <w:rPr>
          <w:spacing w:val="-28"/>
          <w:sz w:val="22"/>
        </w:rPr>
        <w:t> </w:t>
      </w:r>
      <w:r>
        <w:rPr>
          <w:sz w:val="22"/>
        </w:rPr>
        <w:t>or</w:t>
      </w:r>
      <w:r>
        <w:rPr>
          <w:spacing w:val="-28"/>
          <w:sz w:val="22"/>
        </w:rPr>
        <w:t> </w:t>
      </w:r>
      <w:r>
        <w:rPr>
          <w:sz w:val="22"/>
        </w:rPr>
        <w:t>platform,</w:t>
      </w:r>
      <w:r>
        <w:rPr>
          <w:spacing w:val="-27"/>
          <w:sz w:val="22"/>
        </w:rPr>
        <w:t> </w:t>
      </w:r>
      <w:r>
        <w:rPr>
          <w:sz w:val="22"/>
        </w:rPr>
        <w:t>as</w:t>
      </w:r>
      <w:r>
        <w:rPr>
          <w:spacing w:val="-29"/>
          <w:sz w:val="22"/>
        </w:rPr>
        <w:t> </w:t>
      </w:r>
      <w:r>
        <w:rPr>
          <w:sz w:val="22"/>
        </w:rPr>
        <w:t>part</w:t>
      </w:r>
      <w:r>
        <w:rPr>
          <w:spacing w:val="-27"/>
          <w:sz w:val="22"/>
        </w:rPr>
        <w:t> </w:t>
      </w:r>
      <w:r>
        <w:rPr>
          <w:sz w:val="22"/>
        </w:rPr>
        <w:t>of</w:t>
      </w:r>
      <w:r>
        <w:rPr>
          <w:spacing w:val="-27"/>
          <w:sz w:val="22"/>
        </w:rPr>
        <w:t> </w:t>
      </w:r>
      <w:r>
        <w:rPr>
          <w:sz w:val="22"/>
        </w:rPr>
        <w:t>the</w:t>
      </w:r>
      <w:r>
        <w:rPr>
          <w:spacing w:val="-30"/>
          <w:sz w:val="22"/>
        </w:rPr>
        <w:t> </w:t>
      </w:r>
      <w:r>
        <w:rPr>
          <w:sz w:val="22"/>
        </w:rPr>
        <w:t>services.</w:t>
      </w:r>
    </w:p>
    <w:p>
      <w:pPr>
        <w:pStyle w:val="ListParagraph"/>
        <w:numPr>
          <w:ilvl w:val="3"/>
          <w:numId w:val="93"/>
        </w:numPr>
        <w:tabs>
          <w:tab w:pos="1941" w:val="left" w:leader="none"/>
        </w:tabs>
        <w:spacing w:line="372" w:lineRule="auto" w:before="0" w:after="0"/>
        <w:ind w:left="1940" w:right="677" w:hanging="360"/>
        <w:jc w:val="both"/>
        <w:rPr>
          <w:sz w:val="22"/>
        </w:rPr>
      </w:pPr>
      <w:r>
        <w:rPr>
          <w:sz w:val="22"/>
        </w:rPr>
        <w:t>IL&amp;FS shall ensure that the facility generates minimum guaranteed units as set out in the corresponding</w:t>
      </w:r>
      <w:r>
        <w:rPr>
          <w:spacing w:val="-4"/>
          <w:sz w:val="22"/>
        </w:rPr>
        <w:t> </w:t>
      </w:r>
      <w:r>
        <w:rPr>
          <w:sz w:val="22"/>
        </w:rPr>
        <w:t>year</w:t>
      </w:r>
    </w:p>
    <w:p>
      <w:pPr>
        <w:pStyle w:val="ListParagraph"/>
        <w:numPr>
          <w:ilvl w:val="3"/>
          <w:numId w:val="93"/>
        </w:numPr>
        <w:tabs>
          <w:tab w:pos="1941" w:val="left" w:leader="none"/>
        </w:tabs>
        <w:spacing w:line="372" w:lineRule="auto" w:before="0" w:after="0"/>
        <w:ind w:left="1940" w:right="673" w:hanging="360"/>
        <w:jc w:val="both"/>
        <w:rPr>
          <w:sz w:val="22"/>
        </w:rPr>
      </w:pPr>
      <w:r>
        <w:rPr>
          <w:sz w:val="22"/>
        </w:rPr>
        <w:t>IL&amp;FS</w:t>
      </w:r>
      <w:r>
        <w:rPr>
          <w:spacing w:val="-22"/>
          <w:sz w:val="22"/>
        </w:rPr>
        <w:t> </w:t>
      </w:r>
      <w:r>
        <w:rPr>
          <w:sz w:val="22"/>
        </w:rPr>
        <w:t>shall</w:t>
      </w:r>
      <w:r>
        <w:rPr>
          <w:spacing w:val="-22"/>
          <w:sz w:val="22"/>
        </w:rPr>
        <w:t> </w:t>
      </w:r>
      <w:r>
        <w:rPr>
          <w:sz w:val="22"/>
        </w:rPr>
        <w:t>be</w:t>
      </w:r>
      <w:r>
        <w:rPr>
          <w:spacing w:val="-21"/>
          <w:sz w:val="22"/>
        </w:rPr>
        <w:t> </w:t>
      </w:r>
      <w:r>
        <w:rPr>
          <w:sz w:val="22"/>
        </w:rPr>
        <w:t>responsible,</w:t>
      </w:r>
      <w:r>
        <w:rPr>
          <w:spacing w:val="-21"/>
          <w:sz w:val="22"/>
        </w:rPr>
        <w:t> </w:t>
      </w:r>
      <w:r>
        <w:rPr>
          <w:sz w:val="22"/>
        </w:rPr>
        <w:t>at</w:t>
      </w:r>
      <w:r>
        <w:rPr>
          <w:spacing w:val="-21"/>
          <w:sz w:val="22"/>
        </w:rPr>
        <w:t> </w:t>
      </w:r>
      <w:r>
        <w:rPr>
          <w:sz w:val="22"/>
        </w:rPr>
        <w:t>its</w:t>
      </w:r>
      <w:r>
        <w:rPr>
          <w:spacing w:val="-20"/>
          <w:sz w:val="22"/>
        </w:rPr>
        <w:t> </w:t>
      </w:r>
      <w:r>
        <w:rPr>
          <w:sz w:val="22"/>
        </w:rPr>
        <w:t>own</w:t>
      </w:r>
      <w:r>
        <w:rPr>
          <w:spacing w:val="-21"/>
          <w:sz w:val="22"/>
        </w:rPr>
        <w:t> </w:t>
      </w:r>
      <w:r>
        <w:rPr>
          <w:sz w:val="22"/>
        </w:rPr>
        <w:t>cost,</w:t>
      </w:r>
      <w:r>
        <w:rPr>
          <w:spacing w:val="-21"/>
          <w:sz w:val="22"/>
        </w:rPr>
        <w:t> </w:t>
      </w:r>
      <w:r>
        <w:rPr>
          <w:sz w:val="22"/>
        </w:rPr>
        <w:t>for</w:t>
      </w:r>
      <w:r>
        <w:rPr>
          <w:spacing w:val="-22"/>
          <w:sz w:val="22"/>
        </w:rPr>
        <w:t> </w:t>
      </w:r>
      <w:r>
        <w:rPr>
          <w:sz w:val="22"/>
        </w:rPr>
        <w:t>procuring,</w:t>
      </w:r>
      <w:r>
        <w:rPr>
          <w:spacing w:val="-21"/>
          <w:sz w:val="22"/>
        </w:rPr>
        <w:t> </w:t>
      </w:r>
      <w:r>
        <w:rPr>
          <w:sz w:val="22"/>
        </w:rPr>
        <w:t>obtaining,</w:t>
      </w:r>
      <w:r>
        <w:rPr>
          <w:spacing w:val="-21"/>
          <w:sz w:val="22"/>
        </w:rPr>
        <w:t> </w:t>
      </w:r>
      <w:r>
        <w:rPr>
          <w:sz w:val="22"/>
        </w:rPr>
        <w:t>maintaining</w:t>
      </w:r>
      <w:r>
        <w:rPr>
          <w:spacing w:val="-20"/>
          <w:sz w:val="22"/>
        </w:rPr>
        <w:t> </w:t>
      </w:r>
      <w:r>
        <w:rPr>
          <w:sz w:val="22"/>
        </w:rPr>
        <w:t>and</w:t>
      </w:r>
      <w:r>
        <w:rPr>
          <w:spacing w:val="-20"/>
          <w:sz w:val="22"/>
        </w:rPr>
        <w:t> </w:t>
      </w:r>
      <w:r>
        <w:rPr>
          <w:sz w:val="22"/>
        </w:rPr>
        <w:t>complying with all the applicable permits and clearances necessary to perform the services under the agreement in accordance with the applicable</w:t>
      </w:r>
      <w:r>
        <w:rPr>
          <w:spacing w:val="-28"/>
          <w:sz w:val="22"/>
        </w:rPr>
        <w:t> </w:t>
      </w:r>
      <w:r>
        <w:rPr>
          <w:sz w:val="22"/>
        </w:rPr>
        <w:t>laws.</w:t>
      </w:r>
    </w:p>
    <w:p>
      <w:pPr>
        <w:pStyle w:val="ListParagraph"/>
        <w:numPr>
          <w:ilvl w:val="3"/>
          <w:numId w:val="93"/>
        </w:numPr>
        <w:tabs>
          <w:tab w:pos="1941" w:val="left" w:leader="none"/>
        </w:tabs>
        <w:spacing w:line="372" w:lineRule="auto" w:before="0" w:after="0"/>
        <w:ind w:left="1940" w:right="672" w:hanging="360"/>
        <w:jc w:val="both"/>
        <w:rPr>
          <w:sz w:val="22"/>
        </w:rPr>
      </w:pPr>
      <w:r>
        <w:rPr>
          <w:sz w:val="22"/>
        </w:rPr>
        <w:t>For</w:t>
      </w:r>
      <w:r>
        <w:rPr>
          <w:spacing w:val="-7"/>
          <w:sz w:val="22"/>
        </w:rPr>
        <w:t> </w:t>
      </w:r>
      <w:r>
        <w:rPr>
          <w:sz w:val="22"/>
        </w:rPr>
        <w:t>the</w:t>
      </w:r>
      <w:r>
        <w:rPr>
          <w:spacing w:val="-6"/>
          <w:sz w:val="22"/>
        </w:rPr>
        <w:t> </w:t>
      </w:r>
      <w:r>
        <w:rPr>
          <w:sz w:val="22"/>
        </w:rPr>
        <w:t>O&amp;M</w:t>
      </w:r>
      <w:r>
        <w:rPr>
          <w:spacing w:val="-6"/>
          <w:sz w:val="22"/>
        </w:rPr>
        <w:t> </w:t>
      </w:r>
      <w:r>
        <w:rPr>
          <w:sz w:val="22"/>
        </w:rPr>
        <w:t>services</w:t>
      </w:r>
      <w:r>
        <w:rPr>
          <w:spacing w:val="-5"/>
          <w:sz w:val="22"/>
        </w:rPr>
        <w:t> </w:t>
      </w:r>
      <w:r>
        <w:rPr>
          <w:sz w:val="22"/>
        </w:rPr>
        <w:t>offered,</w:t>
      </w:r>
      <w:r>
        <w:rPr>
          <w:spacing w:val="-6"/>
          <w:sz w:val="22"/>
        </w:rPr>
        <w:t> </w:t>
      </w:r>
      <w:r>
        <w:rPr>
          <w:sz w:val="22"/>
        </w:rPr>
        <w:t>EEPL</w:t>
      </w:r>
      <w:r>
        <w:rPr>
          <w:spacing w:val="-5"/>
          <w:sz w:val="22"/>
        </w:rPr>
        <w:t> </w:t>
      </w:r>
      <w:r>
        <w:rPr>
          <w:sz w:val="22"/>
        </w:rPr>
        <w:t>shall</w:t>
      </w:r>
      <w:r>
        <w:rPr>
          <w:spacing w:val="-8"/>
          <w:sz w:val="22"/>
        </w:rPr>
        <w:t> </w:t>
      </w:r>
      <w:r>
        <w:rPr>
          <w:sz w:val="22"/>
        </w:rPr>
        <w:t>pay</w:t>
      </w:r>
      <w:r>
        <w:rPr>
          <w:spacing w:val="-4"/>
          <w:sz w:val="22"/>
        </w:rPr>
        <w:t> </w:t>
      </w:r>
      <w:r>
        <w:rPr>
          <w:sz w:val="22"/>
        </w:rPr>
        <w:t>a</w:t>
      </w:r>
      <w:r>
        <w:rPr>
          <w:spacing w:val="-7"/>
          <w:sz w:val="22"/>
        </w:rPr>
        <w:t> </w:t>
      </w:r>
      <w:r>
        <w:rPr>
          <w:sz w:val="22"/>
        </w:rPr>
        <w:t>lump</w:t>
      </w:r>
      <w:r>
        <w:rPr>
          <w:spacing w:val="-5"/>
          <w:sz w:val="22"/>
        </w:rPr>
        <w:t> </w:t>
      </w:r>
      <w:r>
        <w:rPr>
          <w:sz w:val="22"/>
        </w:rPr>
        <w:t>sum</w:t>
      </w:r>
      <w:r>
        <w:rPr>
          <w:spacing w:val="-6"/>
          <w:sz w:val="22"/>
        </w:rPr>
        <w:t> </w:t>
      </w:r>
      <w:r>
        <w:rPr>
          <w:sz w:val="22"/>
        </w:rPr>
        <w:t>operations</w:t>
      </w:r>
      <w:r>
        <w:rPr>
          <w:spacing w:val="-5"/>
          <w:sz w:val="22"/>
        </w:rPr>
        <w:t> </w:t>
      </w:r>
      <w:r>
        <w:rPr>
          <w:sz w:val="22"/>
        </w:rPr>
        <w:t>and</w:t>
      </w:r>
      <w:r>
        <w:rPr>
          <w:spacing w:val="-8"/>
          <w:sz w:val="22"/>
        </w:rPr>
        <w:t> </w:t>
      </w:r>
      <w:r>
        <w:rPr>
          <w:sz w:val="22"/>
        </w:rPr>
        <w:t>maintenance</w:t>
      </w:r>
      <w:r>
        <w:rPr>
          <w:spacing w:val="-6"/>
          <w:sz w:val="22"/>
        </w:rPr>
        <w:t> </w:t>
      </w:r>
      <w:r>
        <w:rPr>
          <w:sz w:val="22"/>
        </w:rPr>
        <w:t>service fee</w:t>
      </w:r>
      <w:r>
        <w:rPr>
          <w:spacing w:val="-12"/>
          <w:sz w:val="22"/>
        </w:rPr>
        <w:t> </w:t>
      </w:r>
      <w:r>
        <w:rPr>
          <w:sz w:val="22"/>
        </w:rPr>
        <w:t>of</w:t>
      </w:r>
      <w:r>
        <w:rPr>
          <w:spacing w:val="-11"/>
          <w:sz w:val="22"/>
        </w:rPr>
        <w:t> </w:t>
      </w:r>
      <w:r>
        <w:rPr>
          <w:sz w:val="22"/>
        </w:rPr>
        <w:t>INR</w:t>
      </w:r>
      <w:r>
        <w:rPr>
          <w:spacing w:val="-11"/>
          <w:sz w:val="22"/>
        </w:rPr>
        <w:t> </w:t>
      </w:r>
      <w:r>
        <w:rPr>
          <w:sz w:val="22"/>
        </w:rPr>
        <w:t>86.00</w:t>
      </w:r>
      <w:r>
        <w:rPr>
          <w:spacing w:val="-11"/>
          <w:sz w:val="22"/>
        </w:rPr>
        <w:t> </w:t>
      </w:r>
      <w:r>
        <w:rPr>
          <w:sz w:val="22"/>
        </w:rPr>
        <w:t>Mn</w:t>
      </w:r>
      <w:r>
        <w:rPr>
          <w:spacing w:val="-14"/>
          <w:sz w:val="22"/>
        </w:rPr>
        <w:t> </w:t>
      </w:r>
      <w:r>
        <w:rPr>
          <w:sz w:val="22"/>
        </w:rPr>
        <w:t>per</w:t>
      </w:r>
      <w:r>
        <w:rPr>
          <w:spacing w:val="-14"/>
          <w:sz w:val="22"/>
        </w:rPr>
        <w:t> </w:t>
      </w:r>
      <w:r>
        <w:rPr>
          <w:sz w:val="22"/>
        </w:rPr>
        <w:t>annum</w:t>
      </w:r>
      <w:r>
        <w:rPr>
          <w:spacing w:val="-11"/>
          <w:sz w:val="22"/>
        </w:rPr>
        <w:t> </w:t>
      </w:r>
      <w:r>
        <w:rPr>
          <w:sz w:val="22"/>
        </w:rPr>
        <w:t>to</w:t>
      </w:r>
      <w:r>
        <w:rPr>
          <w:spacing w:val="-12"/>
          <w:sz w:val="22"/>
        </w:rPr>
        <w:t> </w:t>
      </w:r>
      <w:r>
        <w:rPr>
          <w:sz w:val="22"/>
        </w:rPr>
        <w:t>IL&amp;FS</w:t>
      </w:r>
      <w:r>
        <w:rPr>
          <w:spacing w:val="-11"/>
          <w:sz w:val="22"/>
        </w:rPr>
        <w:t> </w:t>
      </w:r>
      <w:r>
        <w:rPr>
          <w:sz w:val="22"/>
        </w:rPr>
        <w:t>as</w:t>
      </w:r>
      <w:r>
        <w:rPr>
          <w:spacing w:val="-10"/>
          <w:sz w:val="22"/>
        </w:rPr>
        <w:t> </w:t>
      </w:r>
      <w:r>
        <w:rPr>
          <w:sz w:val="22"/>
        </w:rPr>
        <w:t>consideration</w:t>
      </w:r>
      <w:r>
        <w:rPr>
          <w:spacing w:val="-12"/>
          <w:sz w:val="22"/>
        </w:rPr>
        <w:t> </w:t>
      </w:r>
      <w:r>
        <w:rPr>
          <w:sz w:val="22"/>
        </w:rPr>
        <w:t>for</w:t>
      </w:r>
      <w:r>
        <w:rPr>
          <w:spacing w:val="-11"/>
          <w:sz w:val="22"/>
        </w:rPr>
        <w:t> </w:t>
      </w:r>
      <w:r>
        <w:rPr>
          <w:sz w:val="22"/>
        </w:rPr>
        <w:t>the</w:t>
      </w:r>
      <w:r>
        <w:rPr>
          <w:spacing w:val="-11"/>
          <w:sz w:val="22"/>
        </w:rPr>
        <w:t> </w:t>
      </w:r>
      <w:r>
        <w:rPr>
          <w:sz w:val="22"/>
        </w:rPr>
        <w:t>services</w:t>
      </w:r>
      <w:r>
        <w:rPr>
          <w:spacing w:val="-10"/>
          <w:sz w:val="22"/>
        </w:rPr>
        <w:t> </w:t>
      </w:r>
      <w:r>
        <w:rPr>
          <w:sz w:val="22"/>
        </w:rPr>
        <w:t>rendered</w:t>
      </w:r>
      <w:r>
        <w:rPr>
          <w:spacing w:val="-11"/>
          <w:sz w:val="22"/>
        </w:rPr>
        <w:t> </w:t>
      </w:r>
      <w:r>
        <w:rPr>
          <w:sz w:val="22"/>
        </w:rPr>
        <w:t>pursuant</w:t>
      </w:r>
      <w:r>
        <w:rPr>
          <w:spacing w:val="-11"/>
          <w:sz w:val="22"/>
        </w:rPr>
        <w:t> </w:t>
      </w:r>
      <w:r>
        <w:rPr>
          <w:spacing w:val="3"/>
          <w:sz w:val="22"/>
        </w:rPr>
        <w:t>to </w:t>
      </w:r>
      <w:r>
        <w:rPr>
          <w:sz w:val="22"/>
        </w:rPr>
        <w:t>this</w:t>
      </w:r>
      <w:r>
        <w:rPr>
          <w:spacing w:val="-2"/>
          <w:sz w:val="22"/>
        </w:rPr>
        <w:t> </w:t>
      </w:r>
      <w:r>
        <w:rPr>
          <w:sz w:val="22"/>
        </w:rPr>
        <w:t>agreement.</w:t>
      </w:r>
    </w:p>
    <w:p>
      <w:pPr>
        <w:spacing w:after="0" w:line="372" w:lineRule="auto"/>
        <w:jc w:val="both"/>
        <w:rPr>
          <w:sz w:val="22"/>
        </w:rPr>
        <w:sectPr>
          <w:pgSz w:w="11910" w:h="16840"/>
          <w:pgMar w:header="720" w:footer="862" w:top="1660" w:bottom="1060" w:left="40" w:right="40"/>
        </w:sectPr>
      </w:pPr>
    </w:p>
    <w:p>
      <w:pPr>
        <w:pStyle w:val="BodyText"/>
        <w:spacing w:before="7"/>
        <w:rPr>
          <w:sz w:val="9"/>
        </w:rPr>
      </w:pPr>
    </w:p>
    <w:p>
      <w:pPr>
        <w:pStyle w:val="ListParagraph"/>
        <w:numPr>
          <w:ilvl w:val="2"/>
          <w:numId w:val="93"/>
        </w:numPr>
        <w:tabs>
          <w:tab w:pos="1401" w:val="left" w:leader="none"/>
        </w:tabs>
        <w:spacing w:line="240" w:lineRule="auto" w:before="106" w:after="0"/>
        <w:ind w:left="1400" w:right="0" w:hanging="721"/>
        <w:jc w:val="left"/>
        <w:rPr>
          <w:sz w:val="22"/>
        </w:rPr>
      </w:pPr>
      <w:bookmarkStart w:name="_bookmark387" w:id="756"/>
      <w:bookmarkEnd w:id="756"/>
      <w:r>
        <w:rPr/>
      </w:r>
      <w:bookmarkStart w:name="_bookmark387" w:id="757"/>
      <w:bookmarkEnd w:id="757"/>
      <w:r>
        <w:rPr>
          <w:color w:val="1F664D"/>
          <w:sz w:val="22"/>
        </w:rPr>
        <w:t>E</w:t>
      </w:r>
      <w:r>
        <w:rPr>
          <w:color w:val="1F664D"/>
          <w:sz w:val="22"/>
        </w:rPr>
        <w:t>xecuted Power Purchase Agreements</w:t>
      </w:r>
      <w:r>
        <w:rPr>
          <w:color w:val="1F664D"/>
          <w:spacing w:val="-4"/>
          <w:sz w:val="22"/>
        </w:rPr>
        <w:t> </w:t>
      </w:r>
      <w:r>
        <w:rPr>
          <w:color w:val="1F664D"/>
          <w:sz w:val="22"/>
        </w:rPr>
        <w:t>(PPAs)</w:t>
      </w:r>
    </w:p>
    <w:p>
      <w:pPr>
        <w:pStyle w:val="BodyText"/>
        <w:spacing w:before="3"/>
        <w:rPr>
          <w:sz w:val="28"/>
        </w:rPr>
      </w:pPr>
    </w:p>
    <w:p>
      <w:pPr>
        <w:pStyle w:val="BodyText"/>
        <w:spacing w:line="372" w:lineRule="auto"/>
        <w:ind w:left="1220" w:right="675"/>
        <w:jc w:val="both"/>
      </w:pPr>
      <w:r>
        <w:rPr/>
        <w:t>Based</w:t>
      </w:r>
      <w:r>
        <w:rPr>
          <w:spacing w:val="-8"/>
        </w:rPr>
        <w:t> </w:t>
      </w:r>
      <w:r>
        <w:rPr/>
        <w:t>on</w:t>
      </w:r>
      <w:r>
        <w:rPr>
          <w:spacing w:val="-7"/>
        </w:rPr>
        <w:t> </w:t>
      </w:r>
      <w:r>
        <w:rPr/>
        <w:t>information</w:t>
      </w:r>
      <w:r>
        <w:rPr>
          <w:spacing w:val="-8"/>
        </w:rPr>
        <w:t> </w:t>
      </w:r>
      <w:r>
        <w:rPr/>
        <w:t>provided</w:t>
      </w:r>
      <w:r>
        <w:rPr>
          <w:spacing w:val="-6"/>
        </w:rPr>
        <w:t> </w:t>
      </w:r>
      <w:r>
        <w:rPr/>
        <w:t>by</w:t>
      </w:r>
      <w:r>
        <w:rPr>
          <w:spacing w:val="-7"/>
        </w:rPr>
        <w:t> </w:t>
      </w:r>
      <w:r>
        <w:rPr/>
        <w:t>the</w:t>
      </w:r>
      <w:r>
        <w:rPr>
          <w:spacing w:val="-8"/>
        </w:rPr>
        <w:t> </w:t>
      </w:r>
      <w:r>
        <w:rPr/>
        <w:t>Client</w:t>
      </w:r>
      <w:r>
        <w:rPr>
          <w:spacing w:val="-3"/>
        </w:rPr>
        <w:t> </w:t>
      </w:r>
      <w:r>
        <w:rPr/>
        <w:t>(viz.</w:t>
      </w:r>
      <w:r>
        <w:rPr>
          <w:spacing w:val="-8"/>
        </w:rPr>
        <w:t> </w:t>
      </w:r>
      <w:r>
        <w:rPr/>
        <w:t>PPAs),</w:t>
      </w:r>
      <w:r>
        <w:rPr>
          <w:spacing w:val="-8"/>
        </w:rPr>
        <w:t> </w:t>
      </w:r>
      <w:r>
        <w:rPr/>
        <w:t>it</w:t>
      </w:r>
      <w:r>
        <w:rPr>
          <w:spacing w:val="-7"/>
        </w:rPr>
        <w:t> </w:t>
      </w:r>
      <w:r>
        <w:rPr/>
        <w:t>is</w:t>
      </w:r>
      <w:r>
        <w:rPr>
          <w:spacing w:val="-5"/>
        </w:rPr>
        <w:t> </w:t>
      </w:r>
      <w:r>
        <w:rPr/>
        <w:t>understood</w:t>
      </w:r>
      <w:r>
        <w:rPr>
          <w:spacing w:val="-8"/>
        </w:rPr>
        <w:t> </w:t>
      </w:r>
      <w:r>
        <w:rPr/>
        <w:t>that</w:t>
      </w:r>
      <w:r>
        <w:rPr>
          <w:spacing w:val="-6"/>
        </w:rPr>
        <w:t> </w:t>
      </w:r>
      <w:r>
        <w:rPr/>
        <w:t>the</w:t>
      </w:r>
      <w:r>
        <w:rPr>
          <w:spacing w:val="-8"/>
        </w:rPr>
        <w:t> </w:t>
      </w:r>
      <w:r>
        <w:rPr/>
        <w:t>solar</w:t>
      </w:r>
      <w:r>
        <w:rPr>
          <w:spacing w:val="-7"/>
        </w:rPr>
        <w:t> </w:t>
      </w:r>
      <w:r>
        <w:rPr/>
        <w:t>plant</w:t>
      </w:r>
      <w:r>
        <w:rPr>
          <w:spacing w:val="-8"/>
        </w:rPr>
        <w:t> </w:t>
      </w:r>
      <w:r>
        <w:rPr/>
        <w:t>supplies electricity</w:t>
      </w:r>
      <w:r>
        <w:rPr>
          <w:spacing w:val="-25"/>
        </w:rPr>
        <w:t> </w:t>
      </w:r>
      <w:r>
        <w:rPr/>
        <w:t>to</w:t>
      </w:r>
      <w:r>
        <w:rPr>
          <w:spacing w:val="-26"/>
        </w:rPr>
        <w:t> </w:t>
      </w:r>
      <w:r>
        <w:rPr/>
        <w:t>the</w:t>
      </w:r>
      <w:r>
        <w:rPr>
          <w:spacing w:val="-25"/>
        </w:rPr>
        <w:t> </w:t>
      </w:r>
      <w:r>
        <w:rPr/>
        <w:t>existing</w:t>
      </w:r>
      <w:r>
        <w:rPr>
          <w:spacing w:val="-27"/>
        </w:rPr>
        <w:t> </w:t>
      </w:r>
      <w:r>
        <w:rPr/>
        <w:t>office</w:t>
      </w:r>
      <w:r>
        <w:rPr>
          <w:spacing w:val="-26"/>
        </w:rPr>
        <w:t> </w:t>
      </w:r>
      <w:r>
        <w:rPr/>
        <w:t>parks</w:t>
      </w:r>
      <w:r>
        <w:rPr>
          <w:spacing w:val="-26"/>
        </w:rPr>
        <w:t> </w:t>
      </w:r>
      <w:r>
        <w:rPr/>
        <w:t>/</w:t>
      </w:r>
      <w:r>
        <w:rPr>
          <w:spacing w:val="-26"/>
        </w:rPr>
        <w:t> </w:t>
      </w:r>
      <w:r>
        <w:rPr/>
        <w:t>hotels</w:t>
      </w:r>
      <w:r>
        <w:rPr>
          <w:spacing w:val="-24"/>
        </w:rPr>
        <w:t> </w:t>
      </w:r>
      <w:r>
        <w:rPr/>
        <w:t>of</w:t>
      </w:r>
      <w:r>
        <w:rPr>
          <w:spacing w:val="-25"/>
        </w:rPr>
        <w:t> </w:t>
      </w:r>
      <w:r>
        <w:rPr/>
        <w:t>Embassy</w:t>
      </w:r>
      <w:r>
        <w:rPr>
          <w:spacing w:val="-25"/>
        </w:rPr>
        <w:t> </w:t>
      </w:r>
      <w:r>
        <w:rPr/>
        <w:t>in</w:t>
      </w:r>
      <w:r>
        <w:rPr>
          <w:spacing w:val="-26"/>
        </w:rPr>
        <w:t> </w:t>
      </w:r>
      <w:r>
        <w:rPr/>
        <w:t>Bengaluru</w:t>
      </w:r>
      <w:r>
        <w:rPr>
          <w:spacing w:val="-26"/>
        </w:rPr>
        <w:t> </w:t>
      </w:r>
      <w:r>
        <w:rPr/>
        <w:t>(viz.</w:t>
      </w:r>
      <w:r>
        <w:rPr>
          <w:spacing w:val="-25"/>
        </w:rPr>
        <w:t> </w:t>
      </w:r>
      <w:r>
        <w:rPr/>
        <w:t>Embassy</w:t>
      </w:r>
      <w:r>
        <w:rPr>
          <w:spacing w:val="-26"/>
        </w:rPr>
        <w:t> </w:t>
      </w:r>
      <w:r>
        <w:rPr/>
        <w:t>Manyata,</w:t>
      </w:r>
      <w:r>
        <w:rPr>
          <w:spacing w:val="-26"/>
        </w:rPr>
        <w:t> </w:t>
      </w:r>
      <w:r>
        <w:rPr/>
        <w:t>Embassy GolfLinks,</w:t>
      </w:r>
      <w:r>
        <w:rPr>
          <w:spacing w:val="-18"/>
        </w:rPr>
        <w:t> </w:t>
      </w:r>
      <w:r>
        <w:rPr/>
        <w:t>Hilton</w:t>
      </w:r>
      <w:r>
        <w:rPr>
          <w:spacing w:val="-18"/>
        </w:rPr>
        <w:t> </w:t>
      </w:r>
      <w:r>
        <w:rPr/>
        <w:t>at</w:t>
      </w:r>
      <w:r>
        <w:rPr>
          <w:spacing w:val="-19"/>
        </w:rPr>
        <w:t> </w:t>
      </w:r>
      <w:r>
        <w:rPr/>
        <w:t>GolfLinks</w:t>
      </w:r>
      <w:r>
        <w:rPr>
          <w:spacing w:val="-17"/>
        </w:rPr>
        <w:t> </w:t>
      </w:r>
      <w:r>
        <w:rPr/>
        <w:t>and</w:t>
      </w:r>
      <w:r>
        <w:rPr>
          <w:spacing w:val="-19"/>
        </w:rPr>
        <w:t> </w:t>
      </w:r>
      <w:r>
        <w:rPr/>
        <w:t>Embassy</w:t>
      </w:r>
      <w:r>
        <w:rPr>
          <w:spacing w:val="-19"/>
        </w:rPr>
        <w:t> </w:t>
      </w:r>
      <w:r>
        <w:rPr/>
        <w:t>TechVillage).</w:t>
      </w:r>
      <w:r>
        <w:rPr>
          <w:spacing w:val="-18"/>
        </w:rPr>
        <w:t> </w:t>
      </w:r>
      <w:r>
        <w:rPr/>
        <w:t>In</w:t>
      </w:r>
      <w:r>
        <w:rPr>
          <w:spacing w:val="-18"/>
        </w:rPr>
        <w:t> </w:t>
      </w:r>
      <w:r>
        <w:rPr/>
        <w:t>lieu</w:t>
      </w:r>
      <w:r>
        <w:rPr>
          <w:spacing w:val="-18"/>
        </w:rPr>
        <w:t> </w:t>
      </w:r>
      <w:r>
        <w:rPr/>
        <w:t>of</w:t>
      </w:r>
      <w:r>
        <w:rPr>
          <w:spacing w:val="-17"/>
        </w:rPr>
        <w:t> </w:t>
      </w:r>
      <w:r>
        <w:rPr/>
        <w:t>the</w:t>
      </w:r>
      <w:r>
        <w:rPr>
          <w:spacing w:val="-20"/>
        </w:rPr>
        <w:t> </w:t>
      </w:r>
      <w:r>
        <w:rPr/>
        <w:t>same,</w:t>
      </w:r>
      <w:r>
        <w:rPr>
          <w:spacing w:val="-19"/>
        </w:rPr>
        <w:t> </w:t>
      </w:r>
      <w:r>
        <w:rPr/>
        <w:t>it</w:t>
      </w:r>
      <w:r>
        <w:rPr>
          <w:spacing w:val="-18"/>
        </w:rPr>
        <w:t> </w:t>
      </w:r>
      <w:r>
        <w:rPr/>
        <w:t>is</w:t>
      </w:r>
      <w:r>
        <w:rPr>
          <w:spacing w:val="-17"/>
        </w:rPr>
        <w:t> </w:t>
      </w:r>
      <w:r>
        <w:rPr/>
        <w:t>understood</w:t>
      </w:r>
      <w:r>
        <w:rPr>
          <w:spacing w:val="-18"/>
        </w:rPr>
        <w:t> </w:t>
      </w:r>
      <w:r>
        <w:rPr/>
        <w:t>that</w:t>
      </w:r>
      <w:r>
        <w:rPr>
          <w:spacing w:val="-19"/>
        </w:rPr>
        <w:t> </w:t>
      </w:r>
      <w:r>
        <w:rPr/>
        <w:t>EEPL has signed power purchase agreements (PPAs) with various entities for commercial and industrial category.</w:t>
      </w:r>
    </w:p>
    <w:p>
      <w:pPr>
        <w:pStyle w:val="BodyText"/>
        <w:spacing w:before="5"/>
        <w:rPr>
          <w:sz w:val="20"/>
        </w:rPr>
      </w:pPr>
    </w:p>
    <w:p>
      <w:pPr>
        <w:pStyle w:val="BodyText"/>
        <w:spacing w:line="372" w:lineRule="auto" w:before="1"/>
        <w:ind w:left="1220" w:right="677"/>
        <w:jc w:val="both"/>
      </w:pPr>
      <w:r>
        <w:rPr/>
        <w:t>Based</w:t>
      </w:r>
      <w:r>
        <w:rPr>
          <w:spacing w:val="-20"/>
        </w:rPr>
        <w:t> </w:t>
      </w:r>
      <w:r>
        <w:rPr/>
        <w:t>on</w:t>
      </w:r>
      <w:r>
        <w:rPr>
          <w:spacing w:val="-21"/>
        </w:rPr>
        <w:t> </w:t>
      </w:r>
      <w:r>
        <w:rPr/>
        <w:t>the</w:t>
      </w:r>
      <w:r>
        <w:rPr>
          <w:spacing w:val="-20"/>
        </w:rPr>
        <w:t> </w:t>
      </w:r>
      <w:r>
        <w:rPr/>
        <w:t>review</w:t>
      </w:r>
      <w:r>
        <w:rPr>
          <w:spacing w:val="-20"/>
        </w:rPr>
        <w:t> </w:t>
      </w:r>
      <w:r>
        <w:rPr/>
        <w:t>of</w:t>
      </w:r>
      <w:r>
        <w:rPr>
          <w:spacing w:val="-20"/>
        </w:rPr>
        <w:t> </w:t>
      </w:r>
      <w:r>
        <w:rPr/>
        <w:t>power</w:t>
      </w:r>
      <w:r>
        <w:rPr>
          <w:spacing w:val="-21"/>
        </w:rPr>
        <w:t> </w:t>
      </w:r>
      <w:r>
        <w:rPr/>
        <w:t>purchase</w:t>
      </w:r>
      <w:r>
        <w:rPr>
          <w:spacing w:val="-20"/>
        </w:rPr>
        <w:t> </w:t>
      </w:r>
      <w:r>
        <w:rPr/>
        <w:t>agreements</w:t>
      </w:r>
      <w:r>
        <w:rPr>
          <w:spacing w:val="-20"/>
        </w:rPr>
        <w:t> </w:t>
      </w:r>
      <w:r>
        <w:rPr/>
        <w:t>shared</w:t>
      </w:r>
      <w:r>
        <w:rPr>
          <w:spacing w:val="-20"/>
        </w:rPr>
        <w:t> </w:t>
      </w:r>
      <w:r>
        <w:rPr/>
        <w:t>by</w:t>
      </w:r>
      <w:r>
        <w:rPr>
          <w:spacing w:val="-19"/>
        </w:rPr>
        <w:t> </w:t>
      </w:r>
      <w:r>
        <w:rPr/>
        <w:t>the</w:t>
      </w:r>
      <w:r>
        <w:rPr>
          <w:spacing w:val="-20"/>
        </w:rPr>
        <w:t> </w:t>
      </w:r>
      <w:r>
        <w:rPr/>
        <w:t>Client,</w:t>
      </w:r>
      <w:r>
        <w:rPr>
          <w:spacing w:val="-21"/>
        </w:rPr>
        <w:t> </w:t>
      </w:r>
      <w:r>
        <w:rPr/>
        <w:t>it</w:t>
      </w:r>
      <w:r>
        <w:rPr>
          <w:spacing w:val="-21"/>
        </w:rPr>
        <w:t> </w:t>
      </w:r>
      <w:r>
        <w:rPr/>
        <w:t>is</w:t>
      </w:r>
      <w:r>
        <w:rPr>
          <w:spacing w:val="-19"/>
        </w:rPr>
        <w:t> </w:t>
      </w:r>
      <w:r>
        <w:rPr/>
        <w:t>understood</w:t>
      </w:r>
      <w:r>
        <w:rPr>
          <w:spacing w:val="-20"/>
        </w:rPr>
        <w:t> </w:t>
      </w:r>
      <w:r>
        <w:rPr/>
        <w:t>that</w:t>
      </w:r>
      <w:r>
        <w:rPr>
          <w:spacing w:val="-20"/>
        </w:rPr>
        <w:t> </w:t>
      </w:r>
      <w:r>
        <w:rPr/>
        <w:t>a</w:t>
      </w:r>
      <w:r>
        <w:rPr>
          <w:spacing w:val="-21"/>
        </w:rPr>
        <w:t> </w:t>
      </w:r>
      <w:r>
        <w:rPr/>
        <w:t>typical PPA being entered into has following terms and</w:t>
      </w:r>
      <w:r>
        <w:rPr>
          <w:spacing w:val="-35"/>
        </w:rPr>
        <w:t> </w:t>
      </w:r>
      <w:r>
        <w:rPr/>
        <w:t>conditions:</w:t>
      </w:r>
    </w:p>
    <w:p>
      <w:pPr>
        <w:pStyle w:val="BodyText"/>
        <w:spacing w:before="5"/>
        <w:rPr>
          <w:sz w:val="20"/>
        </w:rPr>
      </w:pPr>
    </w:p>
    <w:p>
      <w:pPr>
        <w:pStyle w:val="ListParagraph"/>
        <w:numPr>
          <w:ilvl w:val="3"/>
          <w:numId w:val="93"/>
        </w:numPr>
        <w:tabs>
          <w:tab w:pos="1941" w:val="left" w:leader="none"/>
        </w:tabs>
        <w:spacing w:line="372" w:lineRule="auto" w:before="1" w:after="0"/>
        <w:ind w:left="1940" w:right="676" w:hanging="360"/>
        <w:jc w:val="both"/>
        <w:rPr>
          <w:sz w:val="22"/>
        </w:rPr>
      </w:pPr>
      <w:r>
        <w:rPr>
          <w:sz w:val="22"/>
        </w:rPr>
        <w:t>The</w:t>
      </w:r>
      <w:r>
        <w:rPr>
          <w:spacing w:val="-37"/>
          <w:sz w:val="22"/>
        </w:rPr>
        <w:t> </w:t>
      </w:r>
      <w:r>
        <w:rPr>
          <w:sz w:val="22"/>
        </w:rPr>
        <w:t>obligation</w:t>
      </w:r>
      <w:r>
        <w:rPr>
          <w:spacing w:val="-36"/>
          <w:sz w:val="22"/>
        </w:rPr>
        <w:t> </w:t>
      </w:r>
      <w:r>
        <w:rPr>
          <w:sz w:val="22"/>
        </w:rPr>
        <w:t>of</w:t>
      </w:r>
      <w:r>
        <w:rPr>
          <w:spacing w:val="-35"/>
          <w:sz w:val="22"/>
        </w:rPr>
        <w:t> </w:t>
      </w:r>
      <w:r>
        <w:rPr>
          <w:sz w:val="22"/>
        </w:rPr>
        <w:t>the</w:t>
      </w:r>
      <w:r>
        <w:rPr>
          <w:spacing w:val="-36"/>
          <w:sz w:val="22"/>
        </w:rPr>
        <w:t> </w:t>
      </w:r>
      <w:r>
        <w:rPr>
          <w:sz w:val="22"/>
        </w:rPr>
        <w:t>seller</w:t>
      </w:r>
      <w:r>
        <w:rPr>
          <w:spacing w:val="-36"/>
          <w:sz w:val="22"/>
        </w:rPr>
        <w:t> </w:t>
      </w:r>
      <w:r>
        <w:rPr>
          <w:sz w:val="22"/>
        </w:rPr>
        <w:t>to</w:t>
      </w:r>
      <w:r>
        <w:rPr>
          <w:spacing w:val="-36"/>
          <w:sz w:val="22"/>
        </w:rPr>
        <w:t> </w:t>
      </w:r>
      <w:r>
        <w:rPr>
          <w:sz w:val="22"/>
        </w:rPr>
        <w:t>supply</w:t>
      </w:r>
      <w:r>
        <w:rPr>
          <w:spacing w:val="-35"/>
          <w:sz w:val="22"/>
        </w:rPr>
        <w:t> </w:t>
      </w:r>
      <w:r>
        <w:rPr>
          <w:sz w:val="22"/>
        </w:rPr>
        <w:t>contracted</w:t>
      </w:r>
      <w:r>
        <w:rPr>
          <w:spacing w:val="-37"/>
          <w:sz w:val="22"/>
        </w:rPr>
        <w:t> </w:t>
      </w:r>
      <w:r>
        <w:rPr>
          <w:sz w:val="22"/>
        </w:rPr>
        <w:t>quantity</w:t>
      </w:r>
      <w:r>
        <w:rPr>
          <w:spacing w:val="-35"/>
          <w:sz w:val="22"/>
        </w:rPr>
        <w:t> </w:t>
      </w:r>
      <w:r>
        <w:rPr>
          <w:sz w:val="22"/>
        </w:rPr>
        <w:t>to</w:t>
      </w:r>
      <w:r>
        <w:rPr>
          <w:spacing w:val="-35"/>
          <w:sz w:val="22"/>
        </w:rPr>
        <w:t> </w:t>
      </w:r>
      <w:r>
        <w:rPr>
          <w:sz w:val="22"/>
        </w:rPr>
        <w:t>the</w:t>
      </w:r>
      <w:r>
        <w:rPr>
          <w:spacing w:val="-37"/>
          <w:sz w:val="22"/>
        </w:rPr>
        <w:t> </w:t>
      </w:r>
      <w:r>
        <w:rPr>
          <w:sz w:val="22"/>
        </w:rPr>
        <w:t>purchaser</w:t>
      </w:r>
      <w:r>
        <w:rPr>
          <w:spacing w:val="-36"/>
          <w:sz w:val="22"/>
        </w:rPr>
        <w:t> </w:t>
      </w:r>
      <w:r>
        <w:rPr>
          <w:sz w:val="22"/>
        </w:rPr>
        <w:t>shall</w:t>
      </w:r>
      <w:r>
        <w:rPr>
          <w:spacing w:val="-36"/>
          <w:sz w:val="22"/>
        </w:rPr>
        <w:t> </w:t>
      </w:r>
      <w:r>
        <w:rPr>
          <w:sz w:val="22"/>
        </w:rPr>
        <w:t>commence</w:t>
      </w:r>
      <w:r>
        <w:rPr>
          <w:spacing w:val="-35"/>
          <w:sz w:val="22"/>
        </w:rPr>
        <w:t> </w:t>
      </w:r>
      <w:r>
        <w:rPr>
          <w:sz w:val="22"/>
        </w:rPr>
        <w:t>on</w:t>
      </w:r>
      <w:r>
        <w:rPr>
          <w:spacing w:val="-36"/>
          <w:sz w:val="22"/>
        </w:rPr>
        <w:t> </w:t>
      </w:r>
      <w:r>
        <w:rPr>
          <w:sz w:val="22"/>
        </w:rPr>
        <w:t>the commercial operation date and shall continue until the 25</w:t>
      </w:r>
      <w:r>
        <w:rPr>
          <w:sz w:val="22"/>
          <w:vertAlign w:val="superscript"/>
        </w:rPr>
        <w:t>th</w:t>
      </w:r>
      <w:r>
        <w:rPr>
          <w:sz w:val="22"/>
          <w:vertAlign w:val="baseline"/>
        </w:rPr>
        <w:t> anniversary of the commercial operation</w:t>
      </w:r>
      <w:r>
        <w:rPr>
          <w:spacing w:val="-4"/>
          <w:sz w:val="22"/>
          <w:vertAlign w:val="baseline"/>
        </w:rPr>
        <w:t> </w:t>
      </w:r>
      <w:r>
        <w:rPr>
          <w:sz w:val="22"/>
          <w:vertAlign w:val="baseline"/>
        </w:rPr>
        <w:t>date.</w:t>
      </w:r>
    </w:p>
    <w:p>
      <w:pPr>
        <w:pStyle w:val="ListParagraph"/>
        <w:numPr>
          <w:ilvl w:val="3"/>
          <w:numId w:val="93"/>
        </w:numPr>
        <w:tabs>
          <w:tab w:pos="1941" w:val="left" w:leader="none"/>
        </w:tabs>
        <w:spacing w:line="372" w:lineRule="auto" w:before="0" w:after="0"/>
        <w:ind w:left="1940" w:right="680" w:hanging="360"/>
        <w:jc w:val="both"/>
        <w:rPr>
          <w:sz w:val="22"/>
        </w:rPr>
      </w:pPr>
      <w:r>
        <w:rPr>
          <w:sz w:val="22"/>
        </w:rPr>
        <w:t>Each party may issue a notice request for an extension of term at least 6 months prior to the completion of the initial</w:t>
      </w:r>
      <w:r>
        <w:rPr>
          <w:spacing w:val="-19"/>
          <w:sz w:val="22"/>
        </w:rPr>
        <w:t> </w:t>
      </w:r>
      <w:r>
        <w:rPr>
          <w:sz w:val="22"/>
        </w:rPr>
        <w:t>term.</w:t>
      </w:r>
    </w:p>
    <w:p>
      <w:pPr>
        <w:pStyle w:val="ListParagraph"/>
        <w:numPr>
          <w:ilvl w:val="3"/>
          <w:numId w:val="93"/>
        </w:numPr>
        <w:tabs>
          <w:tab w:pos="1941" w:val="left" w:leader="none"/>
        </w:tabs>
        <w:spacing w:line="372" w:lineRule="auto" w:before="0" w:after="0"/>
        <w:ind w:left="1940" w:right="676" w:hanging="360"/>
        <w:jc w:val="both"/>
        <w:rPr>
          <w:sz w:val="22"/>
        </w:rPr>
      </w:pPr>
      <w:r>
        <w:rPr>
          <w:sz w:val="22"/>
        </w:rPr>
        <w:t>The</w:t>
      </w:r>
      <w:r>
        <w:rPr>
          <w:spacing w:val="-30"/>
          <w:sz w:val="22"/>
        </w:rPr>
        <w:t> </w:t>
      </w:r>
      <w:r>
        <w:rPr>
          <w:sz w:val="22"/>
        </w:rPr>
        <w:t>purchaser</w:t>
      </w:r>
      <w:r>
        <w:rPr>
          <w:spacing w:val="-30"/>
          <w:sz w:val="22"/>
        </w:rPr>
        <w:t> </w:t>
      </w:r>
      <w:r>
        <w:rPr>
          <w:sz w:val="22"/>
        </w:rPr>
        <w:t>of</w:t>
      </w:r>
      <w:r>
        <w:rPr>
          <w:spacing w:val="-28"/>
          <w:sz w:val="22"/>
        </w:rPr>
        <w:t> </w:t>
      </w:r>
      <w:r>
        <w:rPr>
          <w:sz w:val="22"/>
        </w:rPr>
        <w:t>PPAs</w:t>
      </w:r>
      <w:r>
        <w:rPr>
          <w:spacing w:val="-28"/>
          <w:sz w:val="22"/>
        </w:rPr>
        <w:t> </w:t>
      </w:r>
      <w:r>
        <w:rPr>
          <w:sz w:val="22"/>
        </w:rPr>
        <w:t>has</w:t>
      </w:r>
      <w:r>
        <w:rPr>
          <w:spacing w:val="-28"/>
          <w:sz w:val="22"/>
        </w:rPr>
        <w:t> </w:t>
      </w:r>
      <w:r>
        <w:rPr>
          <w:sz w:val="22"/>
        </w:rPr>
        <w:t>agreed</w:t>
      </w:r>
      <w:r>
        <w:rPr>
          <w:spacing w:val="-28"/>
          <w:sz w:val="22"/>
        </w:rPr>
        <w:t> </w:t>
      </w:r>
      <w:r>
        <w:rPr>
          <w:sz w:val="22"/>
        </w:rPr>
        <w:t>to</w:t>
      </w:r>
      <w:r>
        <w:rPr>
          <w:spacing w:val="-29"/>
          <w:sz w:val="22"/>
        </w:rPr>
        <w:t> </w:t>
      </w:r>
      <w:r>
        <w:rPr>
          <w:sz w:val="22"/>
        </w:rPr>
        <w:t>purchase</w:t>
      </w:r>
      <w:r>
        <w:rPr>
          <w:spacing w:val="-30"/>
          <w:sz w:val="22"/>
        </w:rPr>
        <w:t> </w:t>
      </w:r>
      <w:r>
        <w:rPr>
          <w:sz w:val="22"/>
        </w:rPr>
        <w:t>at</w:t>
      </w:r>
      <w:r>
        <w:rPr>
          <w:spacing w:val="-29"/>
          <w:sz w:val="22"/>
        </w:rPr>
        <w:t> </w:t>
      </w:r>
      <w:r>
        <w:rPr>
          <w:sz w:val="22"/>
        </w:rPr>
        <w:t>least</w:t>
      </w:r>
      <w:r>
        <w:rPr>
          <w:spacing w:val="-28"/>
          <w:sz w:val="22"/>
        </w:rPr>
        <w:t> </w:t>
      </w:r>
      <w:r>
        <w:rPr>
          <w:sz w:val="22"/>
        </w:rPr>
        <w:t>85%</w:t>
      </w:r>
      <w:r>
        <w:rPr>
          <w:spacing w:val="-29"/>
          <w:sz w:val="22"/>
        </w:rPr>
        <w:t> </w:t>
      </w:r>
      <w:r>
        <w:rPr>
          <w:sz w:val="22"/>
        </w:rPr>
        <w:t>of</w:t>
      </w:r>
      <w:r>
        <w:rPr>
          <w:spacing w:val="-29"/>
          <w:sz w:val="22"/>
        </w:rPr>
        <w:t> </w:t>
      </w:r>
      <w:r>
        <w:rPr>
          <w:sz w:val="22"/>
        </w:rPr>
        <w:t>the</w:t>
      </w:r>
      <w:r>
        <w:rPr>
          <w:spacing w:val="-29"/>
          <w:sz w:val="22"/>
        </w:rPr>
        <w:t> </w:t>
      </w:r>
      <w:r>
        <w:rPr>
          <w:sz w:val="22"/>
        </w:rPr>
        <w:t>contracted</w:t>
      </w:r>
      <w:r>
        <w:rPr>
          <w:spacing w:val="-28"/>
          <w:sz w:val="22"/>
        </w:rPr>
        <w:t> </w:t>
      </w:r>
      <w:r>
        <w:rPr>
          <w:sz w:val="22"/>
        </w:rPr>
        <w:t>quantity</w:t>
      </w:r>
      <w:r>
        <w:rPr>
          <w:spacing w:val="-28"/>
          <w:sz w:val="22"/>
        </w:rPr>
        <w:t> </w:t>
      </w:r>
      <w:r>
        <w:rPr>
          <w:sz w:val="22"/>
        </w:rPr>
        <w:t>(‘minimum guaranteed</w:t>
      </w:r>
      <w:r>
        <w:rPr>
          <w:spacing w:val="-37"/>
          <w:sz w:val="22"/>
        </w:rPr>
        <w:t> </w:t>
      </w:r>
      <w:r>
        <w:rPr>
          <w:sz w:val="22"/>
        </w:rPr>
        <w:t>offtake’)</w:t>
      </w:r>
      <w:r>
        <w:rPr>
          <w:spacing w:val="-35"/>
          <w:sz w:val="22"/>
        </w:rPr>
        <w:t> </w:t>
      </w:r>
      <w:r>
        <w:rPr>
          <w:sz w:val="22"/>
        </w:rPr>
        <w:t>each</w:t>
      </w:r>
      <w:r>
        <w:rPr>
          <w:spacing w:val="-36"/>
          <w:sz w:val="22"/>
        </w:rPr>
        <w:t> </w:t>
      </w:r>
      <w:r>
        <w:rPr>
          <w:sz w:val="22"/>
        </w:rPr>
        <w:t>tariff</w:t>
      </w:r>
      <w:r>
        <w:rPr>
          <w:spacing w:val="-37"/>
          <w:sz w:val="22"/>
        </w:rPr>
        <w:t> </w:t>
      </w:r>
      <w:r>
        <w:rPr>
          <w:sz w:val="22"/>
        </w:rPr>
        <w:t>year,</w:t>
      </w:r>
      <w:r>
        <w:rPr>
          <w:spacing w:val="-37"/>
          <w:sz w:val="22"/>
        </w:rPr>
        <w:t> </w:t>
      </w:r>
      <w:r>
        <w:rPr>
          <w:sz w:val="22"/>
        </w:rPr>
        <w:t>commencing</w:t>
      </w:r>
      <w:r>
        <w:rPr>
          <w:spacing w:val="-36"/>
          <w:sz w:val="22"/>
        </w:rPr>
        <w:t> </w:t>
      </w:r>
      <w:r>
        <w:rPr>
          <w:sz w:val="22"/>
        </w:rPr>
        <w:t>from</w:t>
      </w:r>
      <w:r>
        <w:rPr>
          <w:spacing w:val="-38"/>
          <w:sz w:val="22"/>
        </w:rPr>
        <w:t> </w:t>
      </w:r>
      <w:r>
        <w:rPr>
          <w:sz w:val="22"/>
        </w:rPr>
        <w:t>the</w:t>
      </w:r>
      <w:r>
        <w:rPr>
          <w:spacing w:val="-37"/>
          <w:sz w:val="22"/>
        </w:rPr>
        <w:t> </w:t>
      </w:r>
      <w:r>
        <w:rPr>
          <w:sz w:val="22"/>
        </w:rPr>
        <w:t>commercial</w:t>
      </w:r>
      <w:r>
        <w:rPr>
          <w:spacing w:val="-37"/>
          <w:sz w:val="22"/>
        </w:rPr>
        <w:t> </w:t>
      </w:r>
      <w:r>
        <w:rPr>
          <w:sz w:val="22"/>
        </w:rPr>
        <w:t>operation</w:t>
      </w:r>
      <w:r>
        <w:rPr>
          <w:spacing w:val="-36"/>
          <w:sz w:val="22"/>
        </w:rPr>
        <w:t> </w:t>
      </w:r>
      <w:r>
        <w:rPr>
          <w:sz w:val="22"/>
        </w:rPr>
        <w:t>date</w:t>
      </w:r>
      <w:r>
        <w:rPr>
          <w:spacing w:val="-37"/>
          <w:sz w:val="22"/>
        </w:rPr>
        <w:t> </w:t>
      </w:r>
      <w:r>
        <w:rPr>
          <w:sz w:val="22"/>
        </w:rPr>
        <w:t>until</w:t>
      </w:r>
      <w:r>
        <w:rPr>
          <w:spacing w:val="-37"/>
          <w:sz w:val="22"/>
        </w:rPr>
        <w:t> </w:t>
      </w:r>
      <w:r>
        <w:rPr>
          <w:sz w:val="22"/>
        </w:rPr>
        <w:t>the end</w:t>
      </w:r>
      <w:r>
        <w:rPr>
          <w:spacing w:val="-21"/>
          <w:sz w:val="22"/>
        </w:rPr>
        <w:t> </w:t>
      </w:r>
      <w:r>
        <w:rPr>
          <w:sz w:val="22"/>
        </w:rPr>
        <w:t>of</w:t>
      </w:r>
      <w:r>
        <w:rPr>
          <w:spacing w:val="-21"/>
          <w:sz w:val="22"/>
        </w:rPr>
        <w:t> </w:t>
      </w:r>
      <w:r>
        <w:rPr>
          <w:sz w:val="22"/>
        </w:rPr>
        <w:t>the</w:t>
      </w:r>
      <w:r>
        <w:rPr>
          <w:spacing w:val="-21"/>
          <w:sz w:val="22"/>
        </w:rPr>
        <w:t> </w:t>
      </w:r>
      <w:r>
        <w:rPr>
          <w:sz w:val="22"/>
        </w:rPr>
        <w:t>term.</w:t>
      </w:r>
      <w:r>
        <w:rPr>
          <w:spacing w:val="-23"/>
          <w:sz w:val="22"/>
        </w:rPr>
        <w:t> </w:t>
      </w:r>
      <w:r>
        <w:rPr>
          <w:sz w:val="22"/>
        </w:rPr>
        <w:t>Additionally,</w:t>
      </w:r>
      <w:r>
        <w:rPr>
          <w:spacing w:val="-20"/>
          <w:sz w:val="22"/>
        </w:rPr>
        <w:t> </w:t>
      </w:r>
      <w:r>
        <w:rPr>
          <w:sz w:val="22"/>
        </w:rPr>
        <w:t>we</w:t>
      </w:r>
      <w:r>
        <w:rPr>
          <w:spacing w:val="-20"/>
          <w:sz w:val="22"/>
        </w:rPr>
        <w:t> </w:t>
      </w:r>
      <w:r>
        <w:rPr>
          <w:sz w:val="22"/>
        </w:rPr>
        <w:t>understand</w:t>
      </w:r>
      <w:r>
        <w:rPr>
          <w:spacing w:val="-21"/>
          <w:sz w:val="22"/>
        </w:rPr>
        <w:t> </w:t>
      </w:r>
      <w:r>
        <w:rPr>
          <w:sz w:val="22"/>
        </w:rPr>
        <w:t>that</w:t>
      </w:r>
      <w:r>
        <w:rPr>
          <w:spacing w:val="-22"/>
          <w:sz w:val="22"/>
        </w:rPr>
        <w:t> </w:t>
      </w:r>
      <w:r>
        <w:rPr>
          <w:sz w:val="22"/>
        </w:rPr>
        <w:t>the</w:t>
      </w:r>
      <w:r>
        <w:rPr>
          <w:spacing w:val="-21"/>
          <w:sz w:val="22"/>
        </w:rPr>
        <w:t> </w:t>
      </w:r>
      <w:r>
        <w:rPr>
          <w:sz w:val="22"/>
        </w:rPr>
        <w:t>seller</w:t>
      </w:r>
      <w:r>
        <w:rPr>
          <w:spacing w:val="-20"/>
          <w:sz w:val="22"/>
        </w:rPr>
        <w:t> </w:t>
      </w:r>
      <w:r>
        <w:rPr>
          <w:sz w:val="22"/>
        </w:rPr>
        <w:t>also</w:t>
      </w:r>
      <w:r>
        <w:rPr>
          <w:spacing w:val="-21"/>
          <w:sz w:val="22"/>
        </w:rPr>
        <w:t> </w:t>
      </w:r>
      <w:r>
        <w:rPr>
          <w:sz w:val="22"/>
        </w:rPr>
        <w:t>confirms</w:t>
      </w:r>
      <w:r>
        <w:rPr>
          <w:spacing w:val="-20"/>
          <w:sz w:val="22"/>
        </w:rPr>
        <w:t> </w:t>
      </w:r>
      <w:r>
        <w:rPr>
          <w:sz w:val="22"/>
        </w:rPr>
        <w:t>that</w:t>
      </w:r>
      <w:r>
        <w:rPr>
          <w:spacing w:val="-20"/>
          <w:sz w:val="22"/>
        </w:rPr>
        <w:t> </w:t>
      </w:r>
      <w:r>
        <w:rPr>
          <w:sz w:val="22"/>
        </w:rPr>
        <w:t>it</w:t>
      </w:r>
      <w:r>
        <w:rPr>
          <w:spacing w:val="-20"/>
          <w:sz w:val="22"/>
        </w:rPr>
        <w:t> </w:t>
      </w:r>
      <w:r>
        <w:rPr>
          <w:sz w:val="22"/>
        </w:rPr>
        <w:t>shall</w:t>
      </w:r>
      <w:r>
        <w:rPr>
          <w:spacing w:val="-23"/>
          <w:sz w:val="22"/>
        </w:rPr>
        <w:t> </w:t>
      </w:r>
      <w:r>
        <w:rPr>
          <w:sz w:val="22"/>
        </w:rPr>
        <w:t>supply</w:t>
      </w:r>
      <w:r>
        <w:rPr>
          <w:spacing w:val="-20"/>
          <w:sz w:val="22"/>
        </w:rPr>
        <w:t> </w:t>
      </w:r>
      <w:r>
        <w:rPr>
          <w:sz w:val="22"/>
        </w:rPr>
        <w:t>at least</w:t>
      </w:r>
      <w:r>
        <w:rPr>
          <w:spacing w:val="-15"/>
          <w:sz w:val="22"/>
        </w:rPr>
        <w:t> </w:t>
      </w:r>
      <w:r>
        <w:rPr>
          <w:sz w:val="22"/>
        </w:rPr>
        <w:t>85%</w:t>
      </w:r>
      <w:r>
        <w:rPr>
          <w:spacing w:val="-15"/>
          <w:sz w:val="22"/>
        </w:rPr>
        <w:t> </w:t>
      </w:r>
      <w:r>
        <w:rPr>
          <w:sz w:val="22"/>
        </w:rPr>
        <w:t>of</w:t>
      </w:r>
      <w:r>
        <w:rPr>
          <w:spacing w:val="-14"/>
          <w:sz w:val="22"/>
        </w:rPr>
        <w:t> </w:t>
      </w:r>
      <w:r>
        <w:rPr>
          <w:sz w:val="22"/>
        </w:rPr>
        <w:t>the</w:t>
      </w:r>
      <w:r>
        <w:rPr>
          <w:spacing w:val="-15"/>
          <w:sz w:val="22"/>
        </w:rPr>
        <w:t> </w:t>
      </w:r>
      <w:r>
        <w:rPr>
          <w:sz w:val="22"/>
        </w:rPr>
        <w:t>contracted</w:t>
      </w:r>
      <w:r>
        <w:rPr>
          <w:spacing w:val="-14"/>
          <w:sz w:val="22"/>
        </w:rPr>
        <w:t> </w:t>
      </w:r>
      <w:r>
        <w:rPr>
          <w:sz w:val="22"/>
        </w:rPr>
        <w:t>quantity</w:t>
      </w:r>
      <w:r>
        <w:rPr>
          <w:spacing w:val="-15"/>
          <w:sz w:val="22"/>
        </w:rPr>
        <w:t> </w:t>
      </w:r>
      <w:r>
        <w:rPr>
          <w:sz w:val="22"/>
        </w:rPr>
        <w:t>(‘minimum</w:t>
      </w:r>
      <w:r>
        <w:rPr>
          <w:spacing w:val="-15"/>
          <w:sz w:val="22"/>
        </w:rPr>
        <w:t> </w:t>
      </w:r>
      <w:r>
        <w:rPr>
          <w:sz w:val="22"/>
        </w:rPr>
        <w:t>guaranteed</w:t>
      </w:r>
      <w:r>
        <w:rPr>
          <w:spacing w:val="-14"/>
          <w:sz w:val="22"/>
        </w:rPr>
        <w:t> </w:t>
      </w:r>
      <w:r>
        <w:rPr>
          <w:sz w:val="22"/>
        </w:rPr>
        <w:t>supply’)</w:t>
      </w:r>
      <w:r>
        <w:rPr>
          <w:spacing w:val="-11"/>
          <w:sz w:val="22"/>
        </w:rPr>
        <w:t> </w:t>
      </w:r>
      <w:r>
        <w:rPr>
          <w:sz w:val="22"/>
        </w:rPr>
        <w:t>each</w:t>
      </w:r>
      <w:r>
        <w:rPr>
          <w:spacing w:val="-16"/>
          <w:sz w:val="22"/>
        </w:rPr>
        <w:t> </w:t>
      </w:r>
      <w:r>
        <w:rPr>
          <w:sz w:val="22"/>
        </w:rPr>
        <w:t>tariff</w:t>
      </w:r>
      <w:r>
        <w:rPr>
          <w:spacing w:val="-14"/>
          <w:sz w:val="22"/>
        </w:rPr>
        <w:t> </w:t>
      </w:r>
      <w:r>
        <w:rPr>
          <w:sz w:val="22"/>
        </w:rPr>
        <w:t>year</w:t>
      </w:r>
    </w:p>
    <w:p>
      <w:pPr>
        <w:pStyle w:val="ListParagraph"/>
        <w:numPr>
          <w:ilvl w:val="3"/>
          <w:numId w:val="93"/>
        </w:numPr>
        <w:tabs>
          <w:tab w:pos="1941" w:val="left" w:leader="none"/>
        </w:tabs>
        <w:spacing w:line="372" w:lineRule="auto" w:before="0" w:after="0"/>
        <w:ind w:left="1940" w:right="672" w:hanging="360"/>
        <w:jc w:val="both"/>
        <w:rPr>
          <w:sz w:val="22"/>
        </w:rPr>
      </w:pPr>
      <w:r>
        <w:rPr>
          <w:sz w:val="22"/>
        </w:rPr>
        <w:t>Except</w:t>
      </w:r>
      <w:r>
        <w:rPr>
          <w:spacing w:val="-25"/>
          <w:sz w:val="22"/>
        </w:rPr>
        <w:t> </w:t>
      </w:r>
      <w:r>
        <w:rPr>
          <w:sz w:val="22"/>
        </w:rPr>
        <w:t>due</w:t>
      </w:r>
      <w:r>
        <w:rPr>
          <w:spacing w:val="-23"/>
          <w:sz w:val="22"/>
        </w:rPr>
        <w:t> </w:t>
      </w:r>
      <w:r>
        <w:rPr>
          <w:sz w:val="22"/>
        </w:rPr>
        <w:t>to</w:t>
      </w:r>
      <w:r>
        <w:rPr>
          <w:spacing w:val="-24"/>
          <w:sz w:val="22"/>
        </w:rPr>
        <w:t> </w:t>
      </w:r>
      <w:r>
        <w:rPr>
          <w:sz w:val="22"/>
        </w:rPr>
        <w:t>the</w:t>
      </w:r>
      <w:r>
        <w:rPr>
          <w:spacing w:val="-25"/>
          <w:sz w:val="22"/>
        </w:rPr>
        <w:t> </w:t>
      </w:r>
      <w:r>
        <w:rPr>
          <w:sz w:val="22"/>
        </w:rPr>
        <w:t>failure</w:t>
      </w:r>
      <w:r>
        <w:rPr>
          <w:spacing w:val="-24"/>
          <w:sz w:val="22"/>
        </w:rPr>
        <w:t> </w:t>
      </w:r>
      <w:r>
        <w:rPr>
          <w:sz w:val="22"/>
        </w:rPr>
        <w:t>of</w:t>
      </w:r>
      <w:r>
        <w:rPr>
          <w:spacing w:val="-23"/>
          <w:sz w:val="22"/>
        </w:rPr>
        <w:t> </w:t>
      </w:r>
      <w:r>
        <w:rPr>
          <w:sz w:val="22"/>
        </w:rPr>
        <w:t>the</w:t>
      </w:r>
      <w:r>
        <w:rPr>
          <w:spacing w:val="-23"/>
          <w:sz w:val="22"/>
        </w:rPr>
        <w:t> </w:t>
      </w:r>
      <w:r>
        <w:rPr>
          <w:sz w:val="22"/>
        </w:rPr>
        <w:t>seller</w:t>
      </w:r>
      <w:r>
        <w:rPr>
          <w:spacing w:val="-24"/>
          <w:sz w:val="22"/>
        </w:rPr>
        <w:t> </w:t>
      </w:r>
      <w:r>
        <w:rPr>
          <w:sz w:val="22"/>
        </w:rPr>
        <w:t>to</w:t>
      </w:r>
      <w:r>
        <w:rPr>
          <w:spacing w:val="-25"/>
          <w:sz w:val="22"/>
        </w:rPr>
        <w:t> </w:t>
      </w:r>
      <w:r>
        <w:rPr>
          <w:sz w:val="22"/>
        </w:rPr>
        <w:t>supply</w:t>
      </w:r>
      <w:r>
        <w:rPr>
          <w:spacing w:val="-24"/>
          <w:sz w:val="22"/>
        </w:rPr>
        <w:t> </w:t>
      </w:r>
      <w:r>
        <w:rPr>
          <w:sz w:val="22"/>
        </w:rPr>
        <w:t>the</w:t>
      </w:r>
      <w:r>
        <w:rPr>
          <w:spacing w:val="-25"/>
          <w:sz w:val="22"/>
        </w:rPr>
        <w:t> </w:t>
      </w:r>
      <w:r>
        <w:rPr>
          <w:sz w:val="22"/>
        </w:rPr>
        <w:t>minimum</w:t>
      </w:r>
      <w:r>
        <w:rPr>
          <w:spacing w:val="-23"/>
          <w:sz w:val="22"/>
        </w:rPr>
        <w:t> </w:t>
      </w:r>
      <w:r>
        <w:rPr>
          <w:sz w:val="22"/>
        </w:rPr>
        <w:t>guaranteed</w:t>
      </w:r>
      <w:r>
        <w:rPr>
          <w:spacing w:val="-22"/>
          <w:sz w:val="22"/>
        </w:rPr>
        <w:t> </w:t>
      </w:r>
      <w:r>
        <w:rPr>
          <w:sz w:val="22"/>
        </w:rPr>
        <w:t>offtake</w:t>
      </w:r>
      <w:r>
        <w:rPr>
          <w:spacing w:val="-24"/>
          <w:sz w:val="22"/>
        </w:rPr>
        <w:t> </w:t>
      </w:r>
      <w:r>
        <w:rPr>
          <w:sz w:val="22"/>
        </w:rPr>
        <w:t>at</w:t>
      </w:r>
      <w:r>
        <w:rPr>
          <w:spacing w:val="-23"/>
          <w:sz w:val="22"/>
        </w:rPr>
        <w:t> </w:t>
      </w:r>
      <w:r>
        <w:rPr>
          <w:sz w:val="22"/>
        </w:rPr>
        <w:t>the</w:t>
      </w:r>
      <w:r>
        <w:rPr>
          <w:spacing w:val="-25"/>
          <w:sz w:val="22"/>
        </w:rPr>
        <w:t> </w:t>
      </w:r>
      <w:r>
        <w:rPr>
          <w:sz w:val="22"/>
        </w:rPr>
        <w:t>delivery points,</w:t>
      </w:r>
      <w:r>
        <w:rPr>
          <w:spacing w:val="-11"/>
          <w:sz w:val="22"/>
        </w:rPr>
        <w:t> </w:t>
      </w:r>
      <w:r>
        <w:rPr>
          <w:sz w:val="22"/>
        </w:rPr>
        <w:t>if</w:t>
      </w:r>
      <w:r>
        <w:rPr>
          <w:spacing w:val="-10"/>
          <w:sz w:val="22"/>
        </w:rPr>
        <w:t> </w:t>
      </w:r>
      <w:r>
        <w:rPr>
          <w:sz w:val="22"/>
        </w:rPr>
        <w:t>the</w:t>
      </w:r>
      <w:r>
        <w:rPr>
          <w:spacing w:val="-9"/>
          <w:sz w:val="22"/>
        </w:rPr>
        <w:t> </w:t>
      </w:r>
      <w:r>
        <w:rPr>
          <w:sz w:val="22"/>
        </w:rPr>
        <w:t>purchaser</w:t>
      </w:r>
      <w:r>
        <w:rPr>
          <w:spacing w:val="-10"/>
          <w:sz w:val="22"/>
        </w:rPr>
        <w:t> </w:t>
      </w:r>
      <w:r>
        <w:rPr>
          <w:sz w:val="22"/>
        </w:rPr>
        <w:t>does</w:t>
      </w:r>
      <w:r>
        <w:rPr>
          <w:spacing w:val="-9"/>
          <w:sz w:val="22"/>
        </w:rPr>
        <w:t> </w:t>
      </w:r>
      <w:r>
        <w:rPr>
          <w:sz w:val="22"/>
        </w:rPr>
        <w:t>not</w:t>
      </w:r>
      <w:r>
        <w:rPr>
          <w:spacing w:val="-10"/>
          <w:sz w:val="22"/>
        </w:rPr>
        <w:t> </w:t>
      </w:r>
      <w:r>
        <w:rPr>
          <w:sz w:val="22"/>
        </w:rPr>
        <w:t>draw</w:t>
      </w:r>
      <w:r>
        <w:rPr>
          <w:spacing w:val="-8"/>
          <w:sz w:val="22"/>
        </w:rPr>
        <w:t> </w:t>
      </w:r>
      <w:r>
        <w:rPr>
          <w:sz w:val="22"/>
        </w:rPr>
        <w:t>the</w:t>
      </w:r>
      <w:r>
        <w:rPr>
          <w:spacing w:val="-11"/>
          <w:sz w:val="22"/>
        </w:rPr>
        <w:t> </w:t>
      </w:r>
      <w:r>
        <w:rPr>
          <w:sz w:val="22"/>
        </w:rPr>
        <w:t>minimum</w:t>
      </w:r>
      <w:r>
        <w:rPr>
          <w:spacing w:val="-9"/>
          <w:sz w:val="22"/>
        </w:rPr>
        <w:t> </w:t>
      </w:r>
      <w:r>
        <w:rPr>
          <w:sz w:val="22"/>
        </w:rPr>
        <w:t>guaranteed</w:t>
      </w:r>
      <w:r>
        <w:rPr>
          <w:spacing w:val="-9"/>
          <w:sz w:val="22"/>
        </w:rPr>
        <w:t> </w:t>
      </w:r>
      <w:r>
        <w:rPr>
          <w:sz w:val="22"/>
        </w:rPr>
        <w:t>offtake</w:t>
      </w:r>
      <w:r>
        <w:rPr>
          <w:spacing w:val="-9"/>
          <w:sz w:val="22"/>
        </w:rPr>
        <w:t> </w:t>
      </w:r>
      <w:r>
        <w:rPr>
          <w:sz w:val="22"/>
        </w:rPr>
        <w:t>in</w:t>
      </w:r>
      <w:r>
        <w:rPr>
          <w:spacing w:val="-9"/>
          <w:sz w:val="22"/>
        </w:rPr>
        <w:t> </w:t>
      </w:r>
      <w:r>
        <w:rPr>
          <w:sz w:val="22"/>
        </w:rPr>
        <w:t>any</w:t>
      </w:r>
      <w:r>
        <w:rPr>
          <w:spacing w:val="-11"/>
          <w:sz w:val="22"/>
        </w:rPr>
        <w:t> </w:t>
      </w:r>
      <w:r>
        <w:rPr>
          <w:sz w:val="22"/>
        </w:rPr>
        <w:t>tariff</w:t>
      </w:r>
      <w:r>
        <w:rPr>
          <w:spacing w:val="-9"/>
          <w:sz w:val="22"/>
        </w:rPr>
        <w:t> </w:t>
      </w:r>
      <w:r>
        <w:rPr>
          <w:sz w:val="22"/>
        </w:rPr>
        <w:t>year,</w:t>
      </w:r>
      <w:r>
        <w:rPr>
          <w:spacing w:val="-4"/>
          <w:sz w:val="22"/>
        </w:rPr>
        <w:t> </w:t>
      </w:r>
      <w:r>
        <w:rPr>
          <w:sz w:val="22"/>
        </w:rPr>
        <w:t>the purchaser</w:t>
      </w:r>
      <w:r>
        <w:rPr>
          <w:spacing w:val="-7"/>
          <w:sz w:val="22"/>
        </w:rPr>
        <w:t> </w:t>
      </w:r>
      <w:r>
        <w:rPr>
          <w:sz w:val="22"/>
        </w:rPr>
        <w:t>shall</w:t>
      </w:r>
      <w:r>
        <w:rPr>
          <w:spacing w:val="-8"/>
          <w:sz w:val="22"/>
        </w:rPr>
        <w:t> </w:t>
      </w:r>
      <w:r>
        <w:rPr>
          <w:sz w:val="22"/>
        </w:rPr>
        <w:t>continue</w:t>
      </w:r>
      <w:r>
        <w:rPr>
          <w:spacing w:val="-5"/>
          <w:sz w:val="22"/>
        </w:rPr>
        <w:t> </w:t>
      </w:r>
      <w:r>
        <w:rPr>
          <w:sz w:val="22"/>
        </w:rPr>
        <w:t>to</w:t>
      </w:r>
      <w:r>
        <w:rPr>
          <w:spacing w:val="-7"/>
          <w:sz w:val="22"/>
        </w:rPr>
        <w:t> </w:t>
      </w:r>
      <w:r>
        <w:rPr>
          <w:sz w:val="22"/>
        </w:rPr>
        <w:t>have</w:t>
      </w:r>
      <w:r>
        <w:rPr>
          <w:spacing w:val="-5"/>
          <w:sz w:val="22"/>
        </w:rPr>
        <w:t> </w:t>
      </w:r>
      <w:r>
        <w:rPr>
          <w:sz w:val="22"/>
        </w:rPr>
        <w:t>an</w:t>
      </w:r>
      <w:r>
        <w:rPr>
          <w:spacing w:val="-5"/>
          <w:sz w:val="22"/>
        </w:rPr>
        <w:t> </w:t>
      </w:r>
      <w:r>
        <w:rPr>
          <w:sz w:val="22"/>
        </w:rPr>
        <w:t>irrevocable</w:t>
      </w:r>
      <w:r>
        <w:rPr>
          <w:spacing w:val="-6"/>
          <w:sz w:val="22"/>
        </w:rPr>
        <w:t> </w:t>
      </w:r>
      <w:r>
        <w:rPr>
          <w:sz w:val="22"/>
        </w:rPr>
        <w:t>obligation</w:t>
      </w:r>
      <w:r>
        <w:rPr>
          <w:spacing w:val="-6"/>
          <w:sz w:val="22"/>
        </w:rPr>
        <w:t> </w:t>
      </w:r>
      <w:r>
        <w:rPr>
          <w:sz w:val="22"/>
        </w:rPr>
        <w:t>to</w:t>
      </w:r>
      <w:r>
        <w:rPr>
          <w:spacing w:val="-7"/>
          <w:sz w:val="22"/>
        </w:rPr>
        <w:t> </w:t>
      </w:r>
      <w:r>
        <w:rPr>
          <w:sz w:val="22"/>
        </w:rPr>
        <w:t>pay</w:t>
      </w:r>
      <w:r>
        <w:rPr>
          <w:spacing w:val="-1"/>
          <w:sz w:val="22"/>
        </w:rPr>
        <w:t> </w:t>
      </w:r>
      <w:r>
        <w:rPr>
          <w:sz w:val="22"/>
        </w:rPr>
        <w:t>the</w:t>
      </w:r>
      <w:r>
        <w:rPr>
          <w:spacing w:val="-7"/>
          <w:sz w:val="22"/>
        </w:rPr>
        <w:t> </w:t>
      </w:r>
      <w:r>
        <w:rPr>
          <w:sz w:val="22"/>
        </w:rPr>
        <w:t>seller</w:t>
      </w:r>
      <w:r>
        <w:rPr>
          <w:spacing w:val="-7"/>
          <w:sz w:val="22"/>
        </w:rPr>
        <w:t> </w:t>
      </w:r>
      <w:r>
        <w:rPr>
          <w:sz w:val="22"/>
        </w:rPr>
        <w:t>for</w:t>
      </w:r>
      <w:r>
        <w:rPr>
          <w:spacing w:val="-7"/>
          <w:sz w:val="22"/>
        </w:rPr>
        <w:t> </w:t>
      </w:r>
      <w:r>
        <w:rPr>
          <w:sz w:val="22"/>
        </w:rPr>
        <w:t>the</w:t>
      </w:r>
      <w:r>
        <w:rPr>
          <w:spacing w:val="-5"/>
          <w:sz w:val="22"/>
        </w:rPr>
        <w:t> </w:t>
      </w:r>
      <w:r>
        <w:rPr>
          <w:sz w:val="22"/>
        </w:rPr>
        <w:t>difference between</w:t>
      </w:r>
      <w:r>
        <w:rPr>
          <w:spacing w:val="-16"/>
          <w:sz w:val="22"/>
        </w:rPr>
        <w:t> </w:t>
      </w:r>
      <w:r>
        <w:rPr>
          <w:sz w:val="22"/>
        </w:rPr>
        <w:t>minimum</w:t>
      </w:r>
      <w:r>
        <w:rPr>
          <w:spacing w:val="-16"/>
          <w:sz w:val="22"/>
        </w:rPr>
        <w:t> </w:t>
      </w:r>
      <w:r>
        <w:rPr>
          <w:sz w:val="22"/>
        </w:rPr>
        <w:t>guaranteed</w:t>
      </w:r>
      <w:r>
        <w:rPr>
          <w:spacing w:val="-14"/>
          <w:sz w:val="22"/>
        </w:rPr>
        <w:t> </w:t>
      </w:r>
      <w:r>
        <w:rPr>
          <w:sz w:val="22"/>
        </w:rPr>
        <w:t>offtake</w:t>
      </w:r>
      <w:r>
        <w:rPr>
          <w:spacing w:val="-14"/>
          <w:sz w:val="22"/>
        </w:rPr>
        <w:t> </w:t>
      </w:r>
      <w:r>
        <w:rPr>
          <w:sz w:val="22"/>
        </w:rPr>
        <w:t>and</w:t>
      </w:r>
      <w:r>
        <w:rPr>
          <w:spacing w:val="-14"/>
          <w:sz w:val="22"/>
        </w:rPr>
        <w:t> </w:t>
      </w:r>
      <w:r>
        <w:rPr>
          <w:sz w:val="22"/>
        </w:rPr>
        <w:t>the</w:t>
      </w:r>
      <w:r>
        <w:rPr>
          <w:spacing w:val="-15"/>
          <w:sz w:val="22"/>
        </w:rPr>
        <w:t> </w:t>
      </w:r>
      <w:r>
        <w:rPr>
          <w:sz w:val="22"/>
        </w:rPr>
        <w:t>delivered</w:t>
      </w:r>
      <w:r>
        <w:rPr>
          <w:spacing w:val="-13"/>
          <w:sz w:val="22"/>
        </w:rPr>
        <w:t> </w:t>
      </w:r>
      <w:r>
        <w:rPr>
          <w:sz w:val="22"/>
        </w:rPr>
        <w:t>energy,</w:t>
      </w:r>
      <w:r>
        <w:rPr>
          <w:spacing w:val="-14"/>
          <w:sz w:val="22"/>
        </w:rPr>
        <w:t> </w:t>
      </w:r>
      <w:r>
        <w:rPr>
          <w:sz w:val="22"/>
        </w:rPr>
        <w:t>in</w:t>
      </w:r>
      <w:r>
        <w:rPr>
          <w:spacing w:val="-16"/>
          <w:sz w:val="22"/>
        </w:rPr>
        <w:t> </w:t>
      </w:r>
      <w:r>
        <w:rPr>
          <w:sz w:val="22"/>
        </w:rPr>
        <w:t>such</w:t>
      </w:r>
      <w:r>
        <w:rPr>
          <w:spacing w:val="-15"/>
          <w:sz w:val="22"/>
        </w:rPr>
        <w:t> </w:t>
      </w:r>
      <w:r>
        <w:rPr>
          <w:sz w:val="22"/>
        </w:rPr>
        <w:t>tariff</w:t>
      </w:r>
      <w:r>
        <w:rPr>
          <w:spacing w:val="-13"/>
          <w:sz w:val="22"/>
        </w:rPr>
        <w:t> </w:t>
      </w:r>
      <w:r>
        <w:rPr>
          <w:sz w:val="22"/>
        </w:rPr>
        <w:t>year.</w:t>
      </w:r>
    </w:p>
    <w:p>
      <w:pPr>
        <w:pStyle w:val="ListParagraph"/>
        <w:numPr>
          <w:ilvl w:val="3"/>
          <w:numId w:val="93"/>
        </w:numPr>
        <w:tabs>
          <w:tab w:pos="1941" w:val="left" w:leader="none"/>
        </w:tabs>
        <w:spacing w:line="372" w:lineRule="auto" w:before="0" w:after="0"/>
        <w:ind w:left="1940" w:right="674" w:hanging="360"/>
        <w:jc w:val="both"/>
        <w:rPr>
          <w:sz w:val="22"/>
        </w:rPr>
      </w:pPr>
      <w:r>
        <w:rPr>
          <w:sz w:val="22"/>
        </w:rPr>
        <w:t>If</w:t>
      </w:r>
      <w:r>
        <w:rPr>
          <w:spacing w:val="-39"/>
          <w:sz w:val="22"/>
        </w:rPr>
        <w:t> </w:t>
      </w:r>
      <w:r>
        <w:rPr>
          <w:sz w:val="22"/>
        </w:rPr>
        <w:t>the</w:t>
      </w:r>
      <w:r>
        <w:rPr>
          <w:spacing w:val="-41"/>
          <w:sz w:val="22"/>
        </w:rPr>
        <w:t> </w:t>
      </w:r>
      <w:r>
        <w:rPr>
          <w:sz w:val="22"/>
        </w:rPr>
        <w:t>seller</w:t>
      </w:r>
      <w:r>
        <w:rPr>
          <w:spacing w:val="-40"/>
          <w:sz w:val="22"/>
        </w:rPr>
        <w:t> </w:t>
      </w:r>
      <w:r>
        <w:rPr>
          <w:sz w:val="22"/>
        </w:rPr>
        <w:t>fails</w:t>
      </w:r>
      <w:r>
        <w:rPr>
          <w:spacing w:val="-38"/>
          <w:sz w:val="22"/>
        </w:rPr>
        <w:t> </w:t>
      </w:r>
      <w:r>
        <w:rPr>
          <w:sz w:val="22"/>
        </w:rPr>
        <w:t>to</w:t>
      </w:r>
      <w:r>
        <w:rPr>
          <w:spacing w:val="-41"/>
          <w:sz w:val="22"/>
        </w:rPr>
        <w:t> </w:t>
      </w:r>
      <w:r>
        <w:rPr>
          <w:sz w:val="22"/>
        </w:rPr>
        <w:t>provide</w:t>
      </w:r>
      <w:r>
        <w:rPr>
          <w:spacing w:val="-39"/>
          <w:sz w:val="22"/>
        </w:rPr>
        <w:t> </w:t>
      </w:r>
      <w:r>
        <w:rPr>
          <w:sz w:val="22"/>
        </w:rPr>
        <w:t>the</w:t>
      </w:r>
      <w:r>
        <w:rPr>
          <w:spacing w:val="-40"/>
          <w:sz w:val="22"/>
        </w:rPr>
        <w:t> </w:t>
      </w:r>
      <w:r>
        <w:rPr>
          <w:sz w:val="22"/>
        </w:rPr>
        <w:t>minimum</w:t>
      </w:r>
      <w:r>
        <w:rPr>
          <w:spacing w:val="-40"/>
          <w:sz w:val="22"/>
        </w:rPr>
        <w:t> </w:t>
      </w:r>
      <w:r>
        <w:rPr>
          <w:sz w:val="22"/>
        </w:rPr>
        <w:t>guaranteed</w:t>
      </w:r>
      <w:r>
        <w:rPr>
          <w:spacing w:val="-41"/>
          <w:sz w:val="22"/>
        </w:rPr>
        <w:t> </w:t>
      </w:r>
      <w:r>
        <w:rPr>
          <w:sz w:val="22"/>
        </w:rPr>
        <w:t>supply</w:t>
      </w:r>
      <w:r>
        <w:rPr>
          <w:spacing w:val="-39"/>
          <w:sz w:val="22"/>
        </w:rPr>
        <w:t> </w:t>
      </w:r>
      <w:r>
        <w:rPr>
          <w:sz w:val="22"/>
        </w:rPr>
        <w:t>in</w:t>
      </w:r>
      <w:r>
        <w:rPr>
          <w:spacing w:val="-41"/>
          <w:sz w:val="22"/>
        </w:rPr>
        <w:t> </w:t>
      </w:r>
      <w:r>
        <w:rPr>
          <w:sz w:val="22"/>
        </w:rPr>
        <w:t>any</w:t>
      </w:r>
      <w:r>
        <w:rPr>
          <w:spacing w:val="-40"/>
          <w:sz w:val="22"/>
        </w:rPr>
        <w:t> </w:t>
      </w:r>
      <w:r>
        <w:rPr>
          <w:sz w:val="22"/>
        </w:rPr>
        <w:t>tariff</w:t>
      </w:r>
      <w:r>
        <w:rPr>
          <w:spacing w:val="-38"/>
          <w:sz w:val="22"/>
        </w:rPr>
        <w:t> </w:t>
      </w:r>
      <w:r>
        <w:rPr>
          <w:sz w:val="22"/>
        </w:rPr>
        <w:t>year</w:t>
      </w:r>
      <w:r>
        <w:rPr>
          <w:spacing w:val="-39"/>
          <w:sz w:val="22"/>
        </w:rPr>
        <w:t> </w:t>
      </w:r>
      <w:r>
        <w:rPr>
          <w:sz w:val="22"/>
        </w:rPr>
        <w:t>except</w:t>
      </w:r>
      <w:r>
        <w:rPr>
          <w:spacing w:val="-40"/>
          <w:sz w:val="22"/>
        </w:rPr>
        <w:t> </w:t>
      </w:r>
      <w:r>
        <w:rPr>
          <w:sz w:val="22"/>
        </w:rPr>
        <w:t>the</w:t>
      </w:r>
      <w:r>
        <w:rPr>
          <w:spacing w:val="-40"/>
          <w:sz w:val="22"/>
        </w:rPr>
        <w:t> </w:t>
      </w:r>
      <w:r>
        <w:rPr>
          <w:sz w:val="22"/>
        </w:rPr>
        <w:t>first</w:t>
      </w:r>
      <w:r>
        <w:rPr>
          <w:spacing w:val="-40"/>
          <w:sz w:val="22"/>
        </w:rPr>
        <w:t> </w:t>
      </w:r>
      <w:r>
        <w:rPr>
          <w:sz w:val="22"/>
        </w:rPr>
        <w:t>tariff year, the seller shall pay the aggregate</w:t>
      </w:r>
      <w:r>
        <w:rPr>
          <w:spacing w:val="-29"/>
          <w:sz w:val="22"/>
        </w:rPr>
        <w:t> </w:t>
      </w:r>
      <w:r>
        <w:rPr>
          <w:sz w:val="22"/>
        </w:rPr>
        <w:t>of:</w:t>
      </w:r>
    </w:p>
    <w:p>
      <w:pPr>
        <w:pStyle w:val="ListParagraph"/>
        <w:numPr>
          <w:ilvl w:val="4"/>
          <w:numId w:val="93"/>
        </w:numPr>
        <w:tabs>
          <w:tab w:pos="2481" w:val="left" w:leader="none"/>
        </w:tabs>
        <w:spacing w:line="372" w:lineRule="auto" w:before="0" w:after="0"/>
        <w:ind w:left="2480" w:right="682" w:hanging="360"/>
        <w:jc w:val="both"/>
        <w:rPr>
          <w:sz w:val="22"/>
        </w:rPr>
      </w:pPr>
      <w:r>
        <w:rPr>
          <w:sz w:val="22"/>
        </w:rPr>
        <w:t>The difference between the tariff and the prevailing BESCOM tariff for the units corresponding</w:t>
      </w:r>
      <w:r>
        <w:rPr>
          <w:spacing w:val="-43"/>
          <w:sz w:val="22"/>
        </w:rPr>
        <w:t> </w:t>
      </w:r>
      <w:r>
        <w:rPr>
          <w:sz w:val="22"/>
        </w:rPr>
        <w:t>to</w:t>
      </w:r>
      <w:r>
        <w:rPr>
          <w:spacing w:val="-42"/>
          <w:sz w:val="22"/>
        </w:rPr>
        <w:t> </w:t>
      </w:r>
      <w:r>
        <w:rPr>
          <w:sz w:val="22"/>
        </w:rPr>
        <w:t>the</w:t>
      </w:r>
      <w:r>
        <w:rPr>
          <w:spacing w:val="-43"/>
          <w:sz w:val="22"/>
        </w:rPr>
        <w:t> </w:t>
      </w:r>
      <w:r>
        <w:rPr>
          <w:sz w:val="22"/>
        </w:rPr>
        <w:t>difference</w:t>
      </w:r>
      <w:r>
        <w:rPr>
          <w:spacing w:val="-43"/>
          <w:sz w:val="22"/>
        </w:rPr>
        <w:t> </w:t>
      </w:r>
      <w:r>
        <w:rPr>
          <w:sz w:val="22"/>
        </w:rPr>
        <w:t>between</w:t>
      </w:r>
      <w:r>
        <w:rPr>
          <w:spacing w:val="-43"/>
          <w:sz w:val="22"/>
        </w:rPr>
        <w:t> </w:t>
      </w:r>
      <w:r>
        <w:rPr>
          <w:sz w:val="22"/>
        </w:rPr>
        <w:t>the</w:t>
      </w:r>
      <w:r>
        <w:rPr>
          <w:spacing w:val="-42"/>
          <w:sz w:val="22"/>
        </w:rPr>
        <w:t> </w:t>
      </w:r>
      <w:r>
        <w:rPr>
          <w:sz w:val="22"/>
        </w:rPr>
        <w:t>minimum</w:t>
      </w:r>
      <w:r>
        <w:rPr>
          <w:spacing w:val="-43"/>
          <w:sz w:val="22"/>
        </w:rPr>
        <w:t> </w:t>
      </w:r>
      <w:r>
        <w:rPr>
          <w:sz w:val="22"/>
        </w:rPr>
        <w:t>guaranteed</w:t>
      </w:r>
      <w:r>
        <w:rPr>
          <w:spacing w:val="-42"/>
          <w:sz w:val="22"/>
        </w:rPr>
        <w:t> </w:t>
      </w:r>
      <w:r>
        <w:rPr>
          <w:sz w:val="22"/>
        </w:rPr>
        <w:t>supply</w:t>
      </w:r>
      <w:r>
        <w:rPr>
          <w:spacing w:val="-42"/>
          <w:sz w:val="22"/>
        </w:rPr>
        <w:t> </w:t>
      </w:r>
      <w:r>
        <w:rPr>
          <w:sz w:val="22"/>
        </w:rPr>
        <w:t>and</w:t>
      </w:r>
      <w:r>
        <w:rPr>
          <w:spacing w:val="-43"/>
          <w:sz w:val="22"/>
        </w:rPr>
        <w:t> </w:t>
      </w:r>
      <w:r>
        <w:rPr>
          <w:sz w:val="22"/>
        </w:rPr>
        <w:t>the</w:t>
      </w:r>
      <w:r>
        <w:rPr>
          <w:spacing w:val="-42"/>
          <w:sz w:val="22"/>
        </w:rPr>
        <w:t> </w:t>
      </w:r>
      <w:r>
        <w:rPr>
          <w:sz w:val="22"/>
        </w:rPr>
        <w:t>delivered energy for such tariff year</w:t>
      </w:r>
      <w:r>
        <w:rPr>
          <w:spacing w:val="-21"/>
          <w:sz w:val="22"/>
        </w:rPr>
        <w:t> </w:t>
      </w:r>
      <w:r>
        <w:rPr>
          <w:sz w:val="22"/>
        </w:rPr>
        <w:t>and</w:t>
      </w:r>
    </w:p>
    <w:p>
      <w:pPr>
        <w:pStyle w:val="ListParagraph"/>
        <w:numPr>
          <w:ilvl w:val="4"/>
          <w:numId w:val="93"/>
        </w:numPr>
        <w:tabs>
          <w:tab w:pos="2481" w:val="left" w:leader="none"/>
        </w:tabs>
        <w:spacing w:line="372" w:lineRule="auto" w:before="0" w:after="0"/>
        <w:ind w:left="2480" w:right="674" w:hanging="360"/>
        <w:jc w:val="both"/>
        <w:rPr>
          <w:sz w:val="22"/>
        </w:rPr>
      </w:pPr>
      <w:r>
        <w:rPr>
          <w:sz w:val="22"/>
        </w:rPr>
        <w:t>Any costs and expenses incurred by the purchaser in procuring the remainder of the minimum guaranteed supply from alternate</w:t>
      </w:r>
      <w:r>
        <w:rPr>
          <w:spacing w:val="-21"/>
          <w:sz w:val="22"/>
        </w:rPr>
        <w:t> </w:t>
      </w:r>
      <w:r>
        <w:rPr>
          <w:sz w:val="22"/>
        </w:rPr>
        <w:t>sources</w:t>
      </w:r>
    </w:p>
    <w:p>
      <w:pPr>
        <w:pStyle w:val="ListParagraph"/>
        <w:numPr>
          <w:ilvl w:val="3"/>
          <w:numId w:val="93"/>
        </w:numPr>
        <w:tabs>
          <w:tab w:pos="1941" w:val="left" w:leader="none"/>
        </w:tabs>
        <w:spacing w:line="372" w:lineRule="auto" w:before="0" w:after="0"/>
        <w:ind w:left="1940" w:right="683" w:hanging="360"/>
        <w:jc w:val="both"/>
        <w:rPr>
          <w:sz w:val="22"/>
        </w:rPr>
      </w:pPr>
      <w:r>
        <w:rPr>
          <w:sz w:val="22"/>
        </w:rPr>
        <w:t>The tariff for the billable energy in each preceding billing month shall be calculated, as the aggregate</w:t>
      </w:r>
      <w:r>
        <w:rPr>
          <w:spacing w:val="-3"/>
          <w:sz w:val="22"/>
        </w:rPr>
        <w:t> </w:t>
      </w:r>
      <w:r>
        <w:rPr>
          <w:sz w:val="22"/>
        </w:rPr>
        <w:t>of:</w:t>
      </w:r>
    </w:p>
    <w:p>
      <w:pPr>
        <w:pStyle w:val="ListParagraph"/>
        <w:numPr>
          <w:ilvl w:val="4"/>
          <w:numId w:val="93"/>
        </w:numPr>
        <w:tabs>
          <w:tab w:pos="2481" w:val="left" w:leader="none"/>
        </w:tabs>
        <w:spacing w:line="240" w:lineRule="auto" w:before="0" w:after="0"/>
        <w:ind w:left="2480" w:right="0" w:hanging="361"/>
        <w:jc w:val="both"/>
        <w:rPr>
          <w:sz w:val="22"/>
        </w:rPr>
      </w:pPr>
      <w:r>
        <w:rPr>
          <w:sz w:val="22"/>
        </w:rPr>
        <w:t>The BESCOM tariff applicable to such preceding billing</w:t>
      </w:r>
      <w:r>
        <w:rPr>
          <w:spacing w:val="-34"/>
          <w:sz w:val="22"/>
        </w:rPr>
        <w:t> </w:t>
      </w:r>
      <w:r>
        <w:rPr>
          <w:sz w:val="22"/>
        </w:rPr>
        <w:t>month</w:t>
      </w:r>
    </w:p>
    <w:p>
      <w:pPr>
        <w:spacing w:after="0" w:line="240" w:lineRule="auto"/>
        <w:jc w:val="both"/>
        <w:rPr>
          <w:sz w:val="22"/>
        </w:rPr>
        <w:sectPr>
          <w:pgSz w:w="11910" w:h="16840"/>
          <w:pgMar w:header="720" w:footer="862" w:top="1660" w:bottom="1060" w:left="40" w:right="40"/>
        </w:sectPr>
      </w:pPr>
    </w:p>
    <w:p>
      <w:pPr>
        <w:pStyle w:val="BodyText"/>
        <w:spacing w:before="7"/>
        <w:rPr>
          <w:sz w:val="9"/>
        </w:rPr>
      </w:pPr>
    </w:p>
    <w:p>
      <w:pPr>
        <w:pStyle w:val="ListParagraph"/>
        <w:numPr>
          <w:ilvl w:val="4"/>
          <w:numId w:val="93"/>
        </w:numPr>
        <w:tabs>
          <w:tab w:pos="2481" w:val="left" w:leader="none"/>
        </w:tabs>
        <w:spacing w:line="372" w:lineRule="auto" w:before="106" w:after="0"/>
        <w:ind w:left="2480" w:right="683" w:hanging="360"/>
        <w:jc w:val="left"/>
        <w:rPr>
          <w:sz w:val="22"/>
        </w:rPr>
      </w:pPr>
      <w:r>
        <w:rPr>
          <w:sz w:val="22"/>
        </w:rPr>
        <w:t>The applicable policy charges which has been levied by BESCOM, if any, applicable in respect of the billable</w:t>
      </w:r>
      <w:r>
        <w:rPr>
          <w:spacing w:val="-18"/>
          <w:sz w:val="22"/>
        </w:rPr>
        <w:t> </w:t>
      </w:r>
      <w:r>
        <w:rPr>
          <w:sz w:val="22"/>
        </w:rPr>
        <w:t>energy</w:t>
      </w:r>
    </w:p>
    <w:p>
      <w:pPr>
        <w:pStyle w:val="ListParagraph"/>
        <w:numPr>
          <w:ilvl w:val="4"/>
          <w:numId w:val="93"/>
        </w:numPr>
        <w:tabs>
          <w:tab w:pos="2481" w:val="left" w:leader="none"/>
        </w:tabs>
        <w:spacing w:line="253" w:lineRule="exact" w:before="0" w:after="0"/>
        <w:ind w:left="2480" w:right="0" w:hanging="361"/>
        <w:jc w:val="both"/>
        <w:rPr>
          <w:sz w:val="22"/>
        </w:rPr>
      </w:pPr>
      <w:r>
        <w:rPr>
          <w:sz w:val="22"/>
        </w:rPr>
        <w:t>Penalties,</w:t>
      </w:r>
      <w:r>
        <w:rPr>
          <w:spacing w:val="-8"/>
          <w:sz w:val="22"/>
        </w:rPr>
        <w:t> </w:t>
      </w:r>
      <w:r>
        <w:rPr>
          <w:sz w:val="22"/>
        </w:rPr>
        <w:t>if</w:t>
      </w:r>
      <w:r>
        <w:rPr>
          <w:spacing w:val="-8"/>
          <w:sz w:val="22"/>
        </w:rPr>
        <w:t> </w:t>
      </w:r>
      <w:r>
        <w:rPr>
          <w:sz w:val="22"/>
        </w:rPr>
        <w:t>any,</w:t>
      </w:r>
      <w:r>
        <w:rPr>
          <w:spacing w:val="-7"/>
          <w:sz w:val="22"/>
        </w:rPr>
        <w:t> </w:t>
      </w:r>
      <w:r>
        <w:rPr>
          <w:sz w:val="22"/>
        </w:rPr>
        <w:t>levied</w:t>
      </w:r>
      <w:r>
        <w:rPr>
          <w:spacing w:val="-7"/>
          <w:sz w:val="22"/>
        </w:rPr>
        <w:t> </w:t>
      </w:r>
      <w:r>
        <w:rPr>
          <w:sz w:val="22"/>
        </w:rPr>
        <w:t>in</w:t>
      </w:r>
      <w:r>
        <w:rPr>
          <w:spacing w:val="-9"/>
          <w:sz w:val="22"/>
        </w:rPr>
        <w:t> </w:t>
      </w:r>
      <w:r>
        <w:rPr>
          <w:sz w:val="22"/>
        </w:rPr>
        <w:t>accordance</w:t>
      </w:r>
      <w:r>
        <w:rPr>
          <w:spacing w:val="-7"/>
          <w:sz w:val="22"/>
        </w:rPr>
        <w:t> </w:t>
      </w:r>
      <w:r>
        <w:rPr>
          <w:sz w:val="22"/>
        </w:rPr>
        <w:t>or</w:t>
      </w:r>
      <w:r>
        <w:rPr>
          <w:spacing w:val="-8"/>
          <w:sz w:val="22"/>
        </w:rPr>
        <w:t> </w:t>
      </w:r>
      <w:r>
        <w:rPr>
          <w:sz w:val="22"/>
        </w:rPr>
        <w:t>an</w:t>
      </w:r>
      <w:r>
        <w:rPr>
          <w:spacing w:val="-6"/>
          <w:sz w:val="22"/>
        </w:rPr>
        <w:t> </w:t>
      </w:r>
      <w:r>
        <w:rPr>
          <w:sz w:val="22"/>
        </w:rPr>
        <w:t>unpaid</w:t>
      </w:r>
      <w:r>
        <w:rPr>
          <w:spacing w:val="-6"/>
          <w:sz w:val="22"/>
        </w:rPr>
        <w:t> </w:t>
      </w:r>
      <w:r>
        <w:rPr>
          <w:sz w:val="22"/>
        </w:rPr>
        <w:t>sum</w:t>
      </w:r>
      <w:r>
        <w:rPr>
          <w:spacing w:val="-8"/>
          <w:sz w:val="22"/>
        </w:rPr>
        <w:t> </w:t>
      </w:r>
      <w:r>
        <w:rPr>
          <w:sz w:val="22"/>
        </w:rPr>
        <w:t>of</w:t>
      </w:r>
      <w:r>
        <w:rPr>
          <w:spacing w:val="-7"/>
          <w:sz w:val="22"/>
        </w:rPr>
        <w:t> </w:t>
      </w:r>
      <w:r>
        <w:rPr>
          <w:sz w:val="22"/>
        </w:rPr>
        <w:t>previous</w:t>
      </w:r>
      <w:r>
        <w:rPr>
          <w:spacing w:val="-6"/>
          <w:sz w:val="22"/>
        </w:rPr>
        <w:t> </w:t>
      </w:r>
      <w:r>
        <w:rPr>
          <w:sz w:val="22"/>
        </w:rPr>
        <w:t>invoice</w:t>
      </w:r>
    </w:p>
    <w:p>
      <w:pPr>
        <w:pStyle w:val="ListParagraph"/>
        <w:numPr>
          <w:ilvl w:val="4"/>
          <w:numId w:val="93"/>
        </w:numPr>
        <w:tabs>
          <w:tab w:pos="2481" w:val="left" w:leader="none"/>
        </w:tabs>
        <w:spacing w:line="240" w:lineRule="auto" w:before="141" w:after="0"/>
        <w:ind w:left="2480" w:right="0" w:hanging="361"/>
        <w:jc w:val="both"/>
        <w:rPr>
          <w:sz w:val="22"/>
        </w:rPr>
      </w:pPr>
      <w:r>
        <w:rPr>
          <w:sz w:val="22"/>
        </w:rPr>
        <w:t>Any adjustment pursuant to reconciliation of an</w:t>
      </w:r>
      <w:r>
        <w:rPr>
          <w:spacing w:val="-40"/>
          <w:sz w:val="22"/>
        </w:rPr>
        <w:t> </w:t>
      </w:r>
      <w:r>
        <w:rPr>
          <w:sz w:val="22"/>
        </w:rPr>
        <w:t>invoice</w:t>
      </w:r>
    </w:p>
    <w:p>
      <w:pPr>
        <w:pStyle w:val="ListParagraph"/>
        <w:numPr>
          <w:ilvl w:val="4"/>
          <w:numId w:val="93"/>
        </w:numPr>
        <w:tabs>
          <w:tab w:pos="2481" w:val="left" w:leader="none"/>
        </w:tabs>
        <w:spacing w:line="240" w:lineRule="auto" w:before="140" w:after="0"/>
        <w:ind w:left="2480" w:right="0" w:hanging="361"/>
        <w:jc w:val="both"/>
        <w:rPr>
          <w:sz w:val="22"/>
        </w:rPr>
      </w:pPr>
      <w:r>
        <w:rPr>
          <w:sz w:val="22"/>
        </w:rPr>
        <w:t>Open access charges, if</w:t>
      </w:r>
      <w:r>
        <w:rPr>
          <w:spacing w:val="-12"/>
          <w:sz w:val="22"/>
        </w:rPr>
        <w:t> </w:t>
      </w:r>
      <w:r>
        <w:rPr>
          <w:sz w:val="22"/>
        </w:rPr>
        <w:t>applicable</w:t>
      </w:r>
    </w:p>
    <w:p>
      <w:pPr>
        <w:pStyle w:val="ListParagraph"/>
        <w:numPr>
          <w:ilvl w:val="3"/>
          <w:numId w:val="93"/>
        </w:numPr>
        <w:tabs>
          <w:tab w:pos="1941" w:val="left" w:leader="none"/>
        </w:tabs>
        <w:spacing w:line="372" w:lineRule="auto" w:before="141" w:after="0"/>
        <w:ind w:left="1940" w:right="674" w:hanging="360"/>
        <w:jc w:val="both"/>
        <w:rPr>
          <w:sz w:val="22"/>
        </w:rPr>
      </w:pPr>
      <w:r>
        <w:rPr>
          <w:sz w:val="22"/>
        </w:rPr>
        <w:t>The</w:t>
      </w:r>
      <w:r>
        <w:rPr>
          <w:spacing w:val="-24"/>
          <w:sz w:val="22"/>
        </w:rPr>
        <w:t> </w:t>
      </w:r>
      <w:r>
        <w:rPr>
          <w:sz w:val="22"/>
        </w:rPr>
        <w:t>open</w:t>
      </w:r>
      <w:r>
        <w:rPr>
          <w:spacing w:val="-22"/>
          <w:sz w:val="22"/>
        </w:rPr>
        <w:t> </w:t>
      </w:r>
      <w:r>
        <w:rPr>
          <w:sz w:val="22"/>
        </w:rPr>
        <w:t>access</w:t>
      </w:r>
      <w:r>
        <w:rPr>
          <w:spacing w:val="-21"/>
          <w:sz w:val="22"/>
        </w:rPr>
        <w:t> </w:t>
      </w:r>
      <w:r>
        <w:rPr>
          <w:sz w:val="22"/>
        </w:rPr>
        <w:t>charges,</w:t>
      </w:r>
      <w:r>
        <w:rPr>
          <w:spacing w:val="-24"/>
          <w:sz w:val="22"/>
        </w:rPr>
        <w:t> </w:t>
      </w:r>
      <w:r>
        <w:rPr>
          <w:sz w:val="22"/>
        </w:rPr>
        <w:t>if</w:t>
      </w:r>
      <w:r>
        <w:rPr>
          <w:spacing w:val="-22"/>
          <w:sz w:val="22"/>
        </w:rPr>
        <w:t> </w:t>
      </w:r>
      <w:r>
        <w:rPr>
          <w:sz w:val="22"/>
        </w:rPr>
        <w:t>any</w:t>
      </w:r>
      <w:r>
        <w:rPr>
          <w:spacing w:val="-22"/>
          <w:sz w:val="22"/>
        </w:rPr>
        <w:t> </w:t>
      </w:r>
      <w:r>
        <w:rPr>
          <w:sz w:val="22"/>
        </w:rPr>
        <w:t>levied</w:t>
      </w:r>
      <w:r>
        <w:rPr>
          <w:spacing w:val="-22"/>
          <w:sz w:val="22"/>
        </w:rPr>
        <w:t> </w:t>
      </w:r>
      <w:r>
        <w:rPr>
          <w:sz w:val="22"/>
        </w:rPr>
        <w:t>on</w:t>
      </w:r>
      <w:r>
        <w:rPr>
          <w:spacing w:val="-22"/>
          <w:sz w:val="22"/>
        </w:rPr>
        <w:t> </w:t>
      </w:r>
      <w:r>
        <w:rPr>
          <w:sz w:val="22"/>
        </w:rPr>
        <w:t>and</w:t>
      </w:r>
      <w:r>
        <w:rPr>
          <w:spacing w:val="-22"/>
          <w:sz w:val="22"/>
        </w:rPr>
        <w:t> </w:t>
      </w:r>
      <w:r>
        <w:rPr>
          <w:sz w:val="22"/>
        </w:rPr>
        <w:t>from</w:t>
      </w:r>
      <w:r>
        <w:rPr>
          <w:spacing w:val="-23"/>
          <w:sz w:val="22"/>
        </w:rPr>
        <w:t> </w:t>
      </w:r>
      <w:r>
        <w:rPr>
          <w:sz w:val="22"/>
        </w:rPr>
        <w:t>the</w:t>
      </w:r>
      <w:r>
        <w:rPr>
          <w:spacing w:val="-23"/>
          <w:sz w:val="22"/>
        </w:rPr>
        <w:t> </w:t>
      </w:r>
      <w:r>
        <w:rPr>
          <w:sz w:val="22"/>
        </w:rPr>
        <w:t>11</w:t>
      </w:r>
      <w:r>
        <w:rPr>
          <w:sz w:val="22"/>
          <w:vertAlign w:val="superscript"/>
        </w:rPr>
        <w:t>th</w:t>
      </w:r>
      <w:r>
        <w:rPr>
          <w:spacing w:val="-22"/>
          <w:sz w:val="22"/>
          <w:vertAlign w:val="baseline"/>
        </w:rPr>
        <w:t> </w:t>
      </w:r>
      <w:r>
        <w:rPr>
          <w:sz w:val="22"/>
          <w:vertAlign w:val="baseline"/>
        </w:rPr>
        <w:t>tariff</w:t>
      </w:r>
      <w:r>
        <w:rPr>
          <w:spacing w:val="-21"/>
          <w:sz w:val="22"/>
          <w:vertAlign w:val="baseline"/>
        </w:rPr>
        <w:t> </w:t>
      </w:r>
      <w:r>
        <w:rPr>
          <w:sz w:val="22"/>
          <w:vertAlign w:val="baseline"/>
        </w:rPr>
        <w:t>year</w:t>
      </w:r>
      <w:r>
        <w:rPr>
          <w:spacing w:val="-23"/>
          <w:sz w:val="22"/>
          <w:vertAlign w:val="baseline"/>
        </w:rPr>
        <w:t> </w:t>
      </w:r>
      <w:r>
        <w:rPr>
          <w:sz w:val="22"/>
          <w:vertAlign w:val="baseline"/>
        </w:rPr>
        <w:t>shall</w:t>
      </w:r>
      <w:r>
        <w:rPr>
          <w:spacing w:val="-23"/>
          <w:sz w:val="22"/>
          <w:vertAlign w:val="baseline"/>
        </w:rPr>
        <w:t> </w:t>
      </w:r>
      <w:r>
        <w:rPr>
          <w:sz w:val="22"/>
          <w:vertAlign w:val="baseline"/>
        </w:rPr>
        <w:t>be</w:t>
      </w:r>
      <w:r>
        <w:rPr>
          <w:spacing w:val="-22"/>
          <w:sz w:val="22"/>
          <w:vertAlign w:val="baseline"/>
        </w:rPr>
        <w:t> </w:t>
      </w:r>
      <w:r>
        <w:rPr>
          <w:sz w:val="22"/>
          <w:vertAlign w:val="baseline"/>
        </w:rPr>
        <w:t>borne</w:t>
      </w:r>
      <w:r>
        <w:rPr>
          <w:spacing w:val="-23"/>
          <w:sz w:val="22"/>
          <w:vertAlign w:val="baseline"/>
        </w:rPr>
        <w:t> </w:t>
      </w:r>
      <w:r>
        <w:rPr>
          <w:sz w:val="22"/>
          <w:vertAlign w:val="baseline"/>
        </w:rPr>
        <w:t>by</w:t>
      </w:r>
      <w:r>
        <w:rPr>
          <w:spacing w:val="-22"/>
          <w:sz w:val="22"/>
          <w:vertAlign w:val="baseline"/>
        </w:rPr>
        <w:t> </w:t>
      </w:r>
      <w:r>
        <w:rPr>
          <w:sz w:val="22"/>
          <w:vertAlign w:val="baseline"/>
        </w:rPr>
        <w:t>both</w:t>
      </w:r>
      <w:r>
        <w:rPr>
          <w:spacing w:val="-22"/>
          <w:sz w:val="22"/>
          <w:vertAlign w:val="baseline"/>
        </w:rPr>
        <w:t> </w:t>
      </w:r>
      <w:r>
        <w:rPr>
          <w:sz w:val="22"/>
          <w:vertAlign w:val="baseline"/>
        </w:rPr>
        <w:t>the parties equally. If, upon the levy of 50% of the open access charges, the tariff exceeds the BESCOM tariff and the purchaser does not agree with the revised tariff, the parties shall endeavour</w:t>
      </w:r>
      <w:r>
        <w:rPr>
          <w:spacing w:val="-29"/>
          <w:sz w:val="22"/>
          <w:vertAlign w:val="baseline"/>
        </w:rPr>
        <w:t> </w:t>
      </w:r>
      <w:r>
        <w:rPr>
          <w:sz w:val="22"/>
          <w:vertAlign w:val="baseline"/>
        </w:rPr>
        <w:t>to</w:t>
      </w:r>
      <w:r>
        <w:rPr>
          <w:spacing w:val="-28"/>
          <w:sz w:val="22"/>
          <w:vertAlign w:val="baseline"/>
        </w:rPr>
        <w:t> </w:t>
      </w:r>
      <w:r>
        <w:rPr>
          <w:sz w:val="22"/>
          <w:vertAlign w:val="baseline"/>
        </w:rPr>
        <w:t>arrive</w:t>
      </w:r>
      <w:r>
        <w:rPr>
          <w:spacing w:val="-28"/>
          <w:sz w:val="22"/>
          <w:vertAlign w:val="baseline"/>
        </w:rPr>
        <w:t> </w:t>
      </w:r>
      <w:r>
        <w:rPr>
          <w:sz w:val="22"/>
          <w:vertAlign w:val="baseline"/>
        </w:rPr>
        <w:t>at</w:t>
      </w:r>
      <w:r>
        <w:rPr>
          <w:spacing w:val="-27"/>
          <w:sz w:val="22"/>
          <w:vertAlign w:val="baseline"/>
        </w:rPr>
        <w:t> </w:t>
      </w:r>
      <w:r>
        <w:rPr>
          <w:sz w:val="22"/>
          <w:vertAlign w:val="baseline"/>
        </w:rPr>
        <w:t>a</w:t>
      </w:r>
      <w:r>
        <w:rPr>
          <w:spacing w:val="-27"/>
          <w:sz w:val="22"/>
          <w:vertAlign w:val="baseline"/>
        </w:rPr>
        <w:t> </w:t>
      </w:r>
      <w:r>
        <w:rPr>
          <w:sz w:val="22"/>
          <w:vertAlign w:val="baseline"/>
        </w:rPr>
        <w:t>mutually</w:t>
      </w:r>
      <w:r>
        <w:rPr>
          <w:spacing w:val="-28"/>
          <w:sz w:val="22"/>
          <w:vertAlign w:val="baseline"/>
        </w:rPr>
        <w:t> </w:t>
      </w:r>
      <w:r>
        <w:rPr>
          <w:sz w:val="22"/>
          <w:vertAlign w:val="baseline"/>
        </w:rPr>
        <w:t>acceptable</w:t>
      </w:r>
      <w:r>
        <w:rPr>
          <w:spacing w:val="-28"/>
          <w:sz w:val="22"/>
          <w:vertAlign w:val="baseline"/>
        </w:rPr>
        <w:t> </w:t>
      </w:r>
      <w:r>
        <w:rPr>
          <w:sz w:val="22"/>
          <w:vertAlign w:val="baseline"/>
        </w:rPr>
        <w:t>revised</w:t>
      </w:r>
      <w:r>
        <w:rPr>
          <w:spacing w:val="-27"/>
          <w:sz w:val="22"/>
          <w:vertAlign w:val="baseline"/>
        </w:rPr>
        <w:t> </w:t>
      </w:r>
      <w:r>
        <w:rPr>
          <w:sz w:val="22"/>
          <w:vertAlign w:val="baseline"/>
        </w:rPr>
        <w:t>tariff</w:t>
      </w:r>
      <w:r>
        <w:rPr>
          <w:spacing w:val="-28"/>
          <w:sz w:val="22"/>
          <w:vertAlign w:val="baseline"/>
        </w:rPr>
        <w:t> </w:t>
      </w:r>
      <w:r>
        <w:rPr>
          <w:sz w:val="22"/>
          <w:vertAlign w:val="baseline"/>
        </w:rPr>
        <w:t>mechanism.</w:t>
      </w:r>
      <w:r>
        <w:rPr>
          <w:spacing w:val="-29"/>
          <w:sz w:val="22"/>
          <w:vertAlign w:val="baseline"/>
        </w:rPr>
        <w:t> </w:t>
      </w:r>
      <w:r>
        <w:rPr>
          <w:sz w:val="22"/>
          <w:vertAlign w:val="baseline"/>
        </w:rPr>
        <w:t>If</w:t>
      </w:r>
      <w:r>
        <w:rPr>
          <w:spacing w:val="-27"/>
          <w:sz w:val="22"/>
          <w:vertAlign w:val="baseline"/>
        </w:rPr>
        <w:t> </w:t>
      </w:r>
      <w:r>
        <w:rPr>
          <w:sz w:val="22"/>
          <w:vertAlign w:val="baseline"/>
        </w:rPr>
        <w:t>a</w:t>
      </w:r>
      <w:r>
        <w:rPr>
          <w:spacing w:val="-30"/>
          <w:sz w:val="22"/>
          <w:vertAlign w:val="baseline"/>
        </w:rPr>
        <w:t> </w:t>
      </w:r>
      <w:r>
        <w:rPr>
          <w:sz w:val="22"/>
          <w:vertAlign w:val="baseline"/>
        </w:rPr>
        <w:t>mutually</w:t>
      </w:r>
      <w:r>
        <w:rPr>
          <w:spacing w:val="-27"/>
          <w:sz w:val="22"/>
          <w:vertAlign w:val="baseline"/>
        </w:rPr>
        <w:t> </w:t>
      </w:r>
      <w:r>
        <w:rPr>
          <w:sz w:val="22"/>
          <w:vertAlign w:val="baseline"/>
        </w:rPr>
        <w:t>acceptable revised</w:t>
      </w:r>
      <w:r>
        <w:rPr>
          <w:spacing w:val="-34"/>
          <w:sz w:val="22"/>
          <w:vertAlign w:val="baseline"/>
        </w:rPr>
        <w:t> </w:t>
      </w:r>
      <w:r>
        <w:rPr>
          <w:sz w:val="22"/>
          <w:vertAlign w:val="baseline"/>
        </w:rPr>
        <w:t>tariff</w:t>
      </w:r>
      <w:r>
        <w:rPr>
          <w:spacing w:val="-34"/>
          <w:sz w:val="22"/>
          <w:vertAlign w:val="baseline"/>
        </w:rPr>
        <w:t> </w:t>
      </w:r>
      <w:r>
        <w:rPr>
          <w:sz w:val="22"/>
          <w:vertAlign w:val="baseline"/>
        </w:rPr>
        <w:t>mechanism</w:t>
      </w:r>
      <w:r>
        <w:rPr>
          <w:spacing w:val="-34"/>
          <w:sz w:val="22"/>
          <w:vertAlign w:val="baseline"/>
        </w:rPr>
        <w:t> </w:t>
      </w:r>
      <w:r>
        <w:rPr>
          <w:sz w:val="22"/>
          <w:vertAlign w:val="baseline"/>
        </w:rPr>
        <w:t>is</w:t>
      </w:r>
      <w:r>
        <w:rPr>
          <w:spacing w:val="-34"/>
          <w:sz w:val="22"/>
          <w:vertAlign w:val="baseline"/>
        </w:rPr>
        <w:t> </w:t>
      </w:r>
      <w:r>
        <w:rPr>
          <w:sz w:val="22"/>
          <w:vertAlign w:val="baseline"/>
        </w:rPr>
        <w:t>not</w:t>
      </w:r>
      <w:r>
        <w:rPr>
          <w:spacing w:val="-34"/>
          <w:sz w:val="22"/>
          <w:vertAlign w:val="baseline"/>
        </w:rPr>
        <w:t> </w:t>
      </w:r>
      <w:r>
        <w:rPr>
          <w:sz w:val="22"/>
          <w:vertAlign w:val="baseline"/>
        </w:rPr>
        <w:t>agreed</w:t>
      </w:r>
      <w:r>
        <w:rPr>
          <w:spacing w:val="-34"/>
          <w:sz w:val="22"/>
          <w:vertAlign w:val="baseline"/>
        </w:rPr>
        <w:t> </w:t>
      </w:r>
      <w:r>
        <w:rPr>
          <w:sz w:val="22"/>
          <w:vertAlign w:val="baseline"/>
        </w:rPr>
        <w:t>between</w:t>
      </w:r>
      <w:r>
        <w:rPr>
          <w:spacing w:val="-34"/>
          <w:sz w:val="22"/>
          <w:vertAlign w:val="baseline"/>
        </w:rPr>
        <w:t> </w:t>
      </w:r>
      <w:r>
        <w:rPr>
          <w:sz w:val="22"/>
          <w:vertAlign w:val="baseline"/>
        </w:rPr>
        <w:t>the</w:t>
      </w:r>
      <w:r>
        <w:rPr>
          <w:spacing w:val="-36"/>
          <w:sz w:val="22"/>
          <w:vertAlign w:val="baseline"/>
        </w:rPr>
        <w:t> </w:t>
      </w:r>
      <w:r>
        <w:rPr>
          <w:sz w:val="22"/>
          <w:vertAlign w:val="baseline"/>
        </w:rPr>
        <w:t>parties</w:t>
      </w:r>
      <w:r>
        <w:rPr>
          <w:spacing w:val="-34"/>
          <w:sz w:val="22"/>
          <w:vertAlign w:val="baseline"/>
        </w:rPr>
        <w:t> </w:t>
      </w:r>
      <w:r>
        <w:rPr>
          <w:sz w:val="22"/>
          <w:vertAlign w:val="baseline"/>
        </w:rPr>
        <w:t>within</w:t>
      </w:r>
      <w:r>
        <w:rPr>
          <w:spacing w:val="-35"/>
          <w:sz w:val="22"/>
          <w:vertAlign w:val="baseline"/>
        </w:rPr>
        <w:t> </w:t>
      </w:r>
      <w:r>
        <w:rPr>
          <w:sz w:val="22"/>
          <w:vertAlign w:val="baseline"/>
        </w:rPr>
        <w:t>30</w:t>
      </w:r>
      <w:r>
        <w:rPr>
          <w:spacing w:val="-34"/>
          <w:sz w:val="22"/>
          <w:vertAlign w:val="baseline"/>
        </w:rPr>
        <w:t> </w:t>
      </w:r>
      <w:r>
        <w:rPr>
          <w:sz w:val="22"/>
          <w:vertAlign w:val="baseline"/>
        </w:rPr>
        <w:t>days</w:t>
      </w:r>
      <w:r>
        <w:rPr>
          <w:spacing w:val="-35"/>
          <w:sz w:val="22"/>
          <w:vertAlign w:val="baseline"/>
        </w:rPr>
        <w:t> </w:t>
      </w:r>
      <w:r>
        <w:rPr>
          <w:sz w:val="22"/>
          <w:vertAlign w:val="baseline"/>
        </w:rPr>
        <w:t>from</w:t>
      </w:r>
      <w:r>
        <w:rPr>
          <w:spacing w:val="-34"/>
          <w:sz w:val="22"/>
          <w:vertAlign w:val="baseline"/>
        </w:rPr>
        <w:t> </w:t>
      </w:r>
      <w:r>
        <w:rPr>
          <w:sz w:val="22"/>
          <w:vertAlign w:val="baseline"/>
        </w:rPr>
        <w:t>the</w:t>
      </w:r>
      <w:r>
        <w:rPr>
          <w:spacing w:val="-35"/>
          <w:sz w:val="22"/>
          <w:vertAlign w:val="baseline"/>
        </w:rPr>
        <w:t> </w:t>
      </w:r>
      <w:r>
        <w:rPr>
          <w:sz w:val="22"/>
          <w:vertAlign w:val="baseline"/>
        </w:rPr>
        <w:t>occurrence</w:t>
      </w:r>
      <w:r>
        <w:rPr>
          <w:spacing w:val="-34"/>
          <w:sz w:val="22"/>
          <w:vertAlign w:val="baseline"/>
        </w:rPr>
        <w:t> </w:t>
      </w:r>
      <w:r>
        <w:rPr>
          <w:sz w:val="22"/>
          <w:vertAlign w:val="baseline"/>
        </w:rPr>
        <w:t>of a</w:t>
      </w:r>
      <w:r>
        <w:rPr>
          <w:spacing w:val="-16"/>
          <w:sz w:val="22"/>
          <w:vertAlign w:val="baseline"/>
        </w:rPr>
        <w:t> </w:t>
      </w:r>
      <w:r>
        <w:rPr>
          <w:sz w:val="22"/>
          <w:vertAlign w:val="baseline"/>
        </w:rPr>
        <w:t>tariff</w:t>
      </w:r>
      <w:r>
        <w:rPr>
          <w:spacing w:val="-15"/>
          <w:sz w:val="22"/>
          <w:vertAlign w:val="baseline"/>
        </w:rPr>
        <w:t> </w:t>
      </w:r>
      <w:r>
        <w:rPr>
          <w:sz w:val="22"/>
          <w:vertAlign w:val="baseline"/>
        </w:rPr>
        <w:t>elevation</w:t>
      </w:r>
      <w:r>
        <w:rPr>
          <w:spacing w:val="-17"/>
          <w:sz w:val="22"/>
          <w:vertAlign w:val="baseline"/>
        </w:rPr>
        <w:t> </w:t>
      </w:r>
      <w:r>
        <w:rPr>
          <w:sz w:val="22"/>
          <w:vertAlign w:val="baseline"/>
        </w:rPr>
        <w:t>event,</w:t>
      </w:r>
      <w:r>
        <w:rPr>
          <w:spacing w:val="-17"/>
          <w:sz w:val="22"/>
          <w:vertAlign w:val="baseline"/>
        </w:rPr>
        <w:t> </w:t>
      </w:r>
      <w:r>
        <w:rPr>
          <w:sz w:val="22"/>
          <w:vertAlign w:val="baseline"/>
        </w:rPr>
        <w:t>the</w:t>
      </w:r>
      <w:r>
        <w:rPr>
          <w:spacing w:val="-16"/>
          <w:sz w:val="22"/>
          <w:vertAlign w:val="baseline"/>
        </w:rPr>
        <w:t> </w:t>
      </w:r>
      <w:r>
        <w:rPr>
          <w:sz w:val="22"/>
          <w:vertAlign w:val="baseline"/>
        </w:rPr>
        <w:t>purchaser</w:t>
      </w:r>
      <w:r>
        <w:rPr>
          <w:spacing w:val="-16"/>
          <w:sz w:val="22"/>
          <w:vertAlign w:val="baseline"/>
        </w:rPr>
        <w:t> </w:t>
      </w:r>
      <w:r>
        <w:rPr>
          <w:sz w:val="22"/>
          <w:vertAlign w:val="baseline"/>
        </w:rPr>
        <w:t>may</w:t>
      </w:r>
      <w:r>
        <w:rPr>
          <w:spacing w:val="-15"/>
          <w:sz w:val="22"/>
          <w:vertAlign w:val="baseline"/>
        </w:rPr>
        <w:t> </w:t>
      </w:r>
      <w:r>
        <w:rPr>
          <w:sz w:val="22"/>
          <w:vertAlign w:val="baseline"/>
        </w:rPr>
        <w:t>at</w:t>
      </w:r>
      <w:r>
        <w:rPr>
          <w:spacing w:val="-16"/>
          <w:sz w:val="22"/>
          <w:vertAlign w:val="baseline"/>
        </w:rPr>
        <w:t> </w:t>
      </w:r>
      <w:r>
        <w:rPr>
          <w:sz w:val="22"/>
          <w:vertAlign w:val="baseline"/>
        </w:rPr>
        <w:t>its</w:t>
      </w:r>
      <w:r>
        <w:rPr>
          <w:spacing w:val="-15"/>
          <w:sz w:val="22"/>
          <w:vertAlign w:val="baseline"/>
        </w:rPr>
        <w:t> </w:t>
      </w:r>
      <w:r>
        <w:rPr>
          <w:sz w:val="22"/>
          <w:vertAlign w:val="baseline"/>
        </w:rPr>
        <w:t>option,</w:t>
      </w:r>
      <w:r>
        <w:rPr>
          <w:spacing w:val="-16"/>
          <w:sz w:val="22"/>
          <w:vertAlign w:val="baseline"/>
        </w:rPr>
        <w:t> </w:t>
      </w:r>
      <w:r>
        <w:rPr>
          <w:sz w:val="22"/>
          <w:vertAlign w:val="baseline"/>
        </w:rPr>
        <w:t>terminate</w:t>
      </w:r>
      <w:r>
        <w:rPr>
          <w:spacing w:val="-16"/>
          <w:sz w:val="22"/>
          <w:vertAlign w:val="baseline"/>
        </w:rPr>
        <w:t> </w:t>
      </w:r>
      <w:r>
        <w:rPr>
          <w:sz w:val="22"/>
          <w:vertAlign w:val="baseline"/>
        </w:rPr>
        <w:t>the</w:t>
      </w:r>
      <w:r>
        <w:rPr>
          <w:spacing w:val="-16"/>
          <w:sz w:val="22"/>
          <w:vertAlign w:val="baseline"/>
        </w:rPr>
        <w:t> </w:t>
      </w:r>
      <w:r>
        <w:rPr>
          <w:sz w:val="22"/>
          <w:vertAlign w:val="baseline"/>
        </w:rPr>
        <w:t>agreement</w:t>
      </w:r>
    </w:p>
    <w:p>
      <w:pPr>
        <w:spacing w:after="0" w:line="372" w:lineRule="auto"/>
        <w:jc w:val="both"/>
        <w:rPr>
          <w:sz w:val="22"/>
        </w:rPr>
        <w:sectPr>
          <w:pgSz w:w="11910" w:h="16840"/>
          <w:pgMar w:header="720" w:footer="862" w:top="1660" w:bottom="1060" w:left="40" w:right="40"/>
        </w:sectPr>
      </w:pPr>
    </w:p>
    <w:p>
      <w:pPr>
        <w:pStyle w:val="BodyText"/>
        <w:spacing w:before="7"/>
        <w:rPr>
          <w:sz w:val="9"/>
        </w:rPr>
      </w:pPr>
    </w:p>
    <w:p>
      <w:pPr>
        <w:pStyle w:val="ListParagraph"/>
        <w:numPr>
          <w:ilvl w:val="1"/>
          <w:numId w:val="93"/>
        </w:numPr>
        <w:tabs>
          <w:tab w:pos="1257" w:val="left" w:leader="none"/>
        </w:tabs>
        <w:spacing w:line="240" w:lineRule="auto" w:before="106" w:after="0"/>
        <w:ind w:left="1256" w:right="0" w:hanging="577"/>
        <w:jc w:val="left"/>
        <w:rPr>
          <w:sz w:val="22"/>
        </w:rPr>
      </w:pPr>
      <w:bookmarkStart w:name="_bookmark388" w:id="758"/>
      <w:bookmarkEnd w:id="758"/>
      <w:r>
        <w:rPr/>
      </w:r>
      <w:bookmarkStart w:name="_bookmark388" w:id="759"/>
      <w:bookmarkEnd w:id="759"/>
      <w:r>
        <w:rPr>
          <w:color w:val="1F6647"/>
          <w:w w:val="105"/>
          <w:sz w:val="22"/>
        </w:rPr>
        <w:t>Ass</w:t>
      </w:r>
      <w:r>
        <w:rPr>
          <w:color w:val="1F6647"/>
          <w:w w:val="105"/>
          <w:sz w:val="22"/>
        </w:rPr>
        <w:t>umptions</w:t>
      </w:r>
      <w:r>
        <w:rPr>
          <w:color w:val="1F6647"/>
          <w:spacing w:val="-7"/>
          <w:w w:val="105"/>
          <w:sz w:val="22"/>
        </w:rPr>
        <w:t> </w:t>
      </w:r>
      <w:r>
        <w:rPr>
          <w:color w:val="1F6647"/>
          <w:w w:val="105"/>
          <w:sz w:val="22"/>
        </w:rPr>
        <w:t>Rationale</w:t>
      </w:r>
    </w:p>
    <w:p>
      <w:pPr>
        <w:pStyle w:val="BodyText"/>
        <w:spacing w:line="321" w:lineRule="auto" w:before="208"/>
        <w:ind w:left="1220" w:right="512"/>
        <w:jc w:val="both"/>
      </w:pPr>
      <w:r>
        <w:rPr/>
        <w:t>The</w:t>
      </w:r>
      <w:r>
        <w:rPr>
          <w:spacing w:val="-22"/>
        </w:rPr>
        <w:t> </w:t>
      </w:r>
      <w:r>
        <w:rPr/>
        <w:t>valuation</w:t>
      </w:r>
      <w:r>
        <w:rPr>
          <w:spacing w:val="-21"/>
        </w:rPr>
        <w:t> </w:t>
      </w:r>
      <w:r>
        <w:rPr/>
        <w:t>has</w:t>
      </w:r>
      <w:r>
        <w:rPr>
          <w:spacing w:val="-20"/>
        </w:rPr>
        <w:t> </w:t>
      </w:r>
      <w:r>
        <w:rPr/>
        <w:t>been</w:t>
      </w:r>
      <w:r>
        <w:rPr>
          <w:spacing w:val="-21"/>
        </w:rPr>
        <w:t> </w:t>
      </w:r>
      <w:r>
        <w:rPr/>
        <w:t>undertaken</w:t>
      </w:r>
      <w:r>
        <w:rPr>
          <w:spacing w:val="-21"/>
        </w:rPr>
        <w:t> </w:t>
      </w:r>
      <w:r>
        <w:rPr/>
        <w:t>to</w:t>
      </w:r>
      <w:r>
        <w:rPr>
          <w:spacing w:val="-21"/>
        </w:rPr>
        <w:t> </w:t>
      </w:r>
      <w:r>
        <w:rPr/>
        <w:t>ascertain</w:t>
      </w:r>
      <w:r>
        <w:rPr>
          <w:spacing w:val="-20"/>
        </w:rPr>
        <w:t> </w:t>
      </w:r>
      <w:r>
        <w:rPr/>
        <w:t>the</w:t>
      </w:r>
      <w:r>
        <w:rPr>
          <w:spacing w:val="-22"/>
        </w:rPr>
        <w:t> </w:t>
      </w:r>
      <w:r>
        <w:rPr/>
        <w:t>equity/</w:t>
      </w:r>
      <w:r>
        <w:rPr>
          <w:spacing w:val="-21"/>
        </w:rPr>
        <w:t> </w:t>
      </w:r>
      <w:r>
        <w:rPr/>
        <w:t>enterprise</w:t>
      </w:r>
      <w:r>
        <w:rPr>
          <w:spacing w:val="-21"/>
        </w:rPr>
        <w:t> </w:t>
      </w:r>
      <w:r>
        <w:rPr/>
        <w:t>value</w:t>
      </w:r>
      <w:r>
        <w:rPr>
          <w:spacing w:val="-21"/>
        </w:rPr>
        <w:t> </w:t>
      </w:r>
      <w:r>
        <w:rPr/>
        <w:t>of</w:t>
      </w:r>
      <w:r>
        <w:rPr>
          <w:spacing w:val="-20"/>
        </w:rPr>
        <w:t> </w:t>
      </w:r>
      <w:r>
        <w:rPr/>
        <w:t>EEPL</w:t>
      </w:r>
      <w:r>
        <w:rPr>
          <w:spacing w:val="-21"/>
        </w:rPr>
        <w:t> </w:t>
      </w:r>
      <w:r>
        <w:rPr/>
        <w:t>given</w:t>
      </w:r>
      <w:r>
        <w:rPr>
          <w:spacing w:val="-17"/>
        </w:rPr>
        <w:t> </w:t>
      </w:r>
      <w:r>
        <w:rPr/>
        <w:t>the</w:t>
      </w:r>
      <w:r>
        <w:rPr>
          <w:spacing w:val="-21"/>
        </w:rPr>
        <w:t> </w:t>
      </w:r>
      <w:r>
        <w:rPr/>
        <w:t>prevalent industry conditions. In consideration of the same, a detailed research of the industry, guidelines, regulations,</w:t>
      </w:r>
      <w:r>
        <w:rPr>
          <w:spacing w:val="-36"/>
        </w:rPr>
        <w:t> </w:t>
      </w:r>
      <w:r>
        <w:rPr/>
        <w:t>reports,</w:t>
      </w:r>
      <w:r>
        <w:rPr>
          <w:spacing w:val="-35"/>
        </w:rPr>
        <w:t> </w:t>
      </w:r>
      <w:r>
        <w:rPr/>
        <w:t>centre</w:t>
      </w:r>
      <w:r>
        <w:rPr>
          <w:spacing w:val="-35"/>
        </w:rPr>
        <w:t> </w:t>
      </w:r>
      <w:r>
        <w:rPr/>
        <w:t>&amp;</w:t>
      </w:r>
      <w:r>
        <w:rPr>
          <w:spacing w:val="-36"/>
        </w:rPr>
        <w:t> </w:t>
      </w:r>
      <w:r>
        <w:rPr/>
        <w:t>state</w:t>
      </w:r>
      <w:r>
        <w:rPr>
          <w:spacing w:val="-37"/>
        </w:rPr>
        <w:t> </w:t>
      </w:r>
      <w:r>
        <w:rPr/>
        <w:t>policies,</w:t>
      </w:r>
      <w:r>
        <w:rPr>
          <w:spacing w:val="-36"/>
        </w:rPr>
        <w:t> </w:t>
      </w:r>
      <w:r>
        <w:rPr/>
        <w:t>government</w:t>
      </w:r>
      <w:r>
        <w:rPr>
          <w:spacing w:val="-35"/>
        </w:rPr>
        <w:t> </w:t>
      </w:r>
      <w:r>
        <w:rPr/>
        <w:t>orders</w:t>
      </w:r>
      <w:r>
        <w:rPr>
          <w:spacing w:val="-36"/>
        </w:rPr>
        <w:t> </w:t>
      </w:r>
      <w:r>
        <w:rPr/>
        <w:t>and</w:t>
      </w:r>
      <w:r>
        <w:rPr>
          <w:spacing w:val="-36"/>
        </w:rPr>
        <w:t> </w:t>
      </w:r>
      <w:r>
        <w:rPr/>
        <w:t>documentations</w:t>
      </w:r>
      <w:r>
        <w:rPr>
          <w:spacing w:val="-35"/>
        </w:rPr>
        <w:t> </w:t>
      </w:r>
      <w:r>
        <w:rPr/>
        <w:t>from</w:t>
      </w:r>
      <w:r>
        <w:rPr>
          <w:spacing w:val="-36"/>
        </w:rPr>
        <w:t> </w:t>
      </w:r>
      <w:r>
        <w:rPr/>
        <w:t>Ministry</w:t>
      </w:r>
      <w:r>
        <w:rPr>
          <w:spacing w:val="-34"/>
        </w:rPr>
        <w:t> </w:t>
      </w:r>
      <w:r>
        <w:rPr/>
        <w:t>of</w:t>
      </w:r>
      <w:r>
        <w:rPr>
          <w:spacing w:val="-38"/>
        </w:rPr>
        <w:t> </w:t>
      </w:r>
      <w:r>
        <w:rPr/>
        <w:t>New and</w:t>
      </w:r>
      <w:r>
        <w:rPr>
          <w:spacing w:val="-9"/>
        </w:rPr>
        <w:t> </w:t>
      </w:r>
      <w:r>
        <w:rPr/>
        <w:t>Renewable</w:t>
      </w:r>
      <w:r>
        <w:rPr>
          <w:spacing w:val="-10"/>
        </w:rPr>
        <w:t> </w:t>
      </w:r>
      <w:r>
        <w:rPr/>
        <w:t>Energy</w:t>
      </w:r>
      <w:r>
        <w:rPr>
          <w:spacing w:val="-8"/>
        </w:rPr>
        <w:t> </w:t>
      </w:r>
      <w:r>
        <w:rPr/>
        <w:t>(MNRE),</w:t>
      </w:r>
      <w:r>
        <w:rPr>
          <w:spacing w:val="-9"/>
        </w:rPr>
        <w:t> </w:t>
      </w:r>
      <w:r>
        <w:rPr/>
        <w:t>Indian</w:t>
      </w:r>
      <w:r>
        <w:rPr>
          <w:spacing w:val="-6"/>
        </w:rPr>
        <w:t> </w:t>
      </w:r>
      <w:r>
        <w:rPr/>
        <w:t>Renewable</w:t>
      </w:r>
      <w:r>
        <w:rPr>
          <w:spacing w:val="-9"/>
        </w:rPr>
        <w:t> </w:t>
      </w:r>
      <w:r>
        <w:rPr/>
        <w:t>Energy</w:t>
      </w:r>
      <w:r>
        <w:rPr>
          <w:spacing w:val="-8"/>
        </w:rPr>
        <w:t> </w:t>
      </w:r>
      <w:r>
        <w:rPr/>
        <w:t>Development</w:t>
      </w:r>
      <w:r>
        <w:rPr>
          <w:spacing w:val="-9"/>
        </w:rPr>
        <w:t> </w:t>
      </w:r>
      <w:r>
        <w:rPr/>
        <w:t>Agency</w:t>
      </w:r>
      <w:r>
        <w:rPr>
          <w:spacing w:val="-8"/>
        </w:rPr>
        <w:t> </w:t>
      </w:r>
      <w:r>
        <w:rPr/>
        <w:t>Ltd.</w:t>
      </w:r>
      <w:r>
        <w:rPr>
          <w:spacing w:val="-9"/>
        </w:rPr>
        <w:t> </w:t>
      </w:r>
      <w:r>
        <w:rPr/>
        <w:t>(IREDA),</w:t>
      </w:r>
      <w:r>
        <w:rPr>
          <w:spacing w:val="-9"/>
        </w:rPr>
        <w:t> </w:t>
      </w:r>
      <w:r>
        <w:rPr/>
        <w:t>Karnataka Electricity</w:t>
      </w:r>
      <w:r>
        <w:rPr>
          <w:spacing w:val="-12"/>
        </w:rPr>
        <w:t> </w:t>
      </w:r>
      <w:r>
        <w:rPr/>
        <w:t>Regulatory</w:t>
      </w:r>
      <w:r>
        <w:rPr>
          <w:spacing w:val="-13"/>
        </w:rPr>
        <w:t> </w:t>
      </w:r>
      <w:r>
        <w:rPr/>
        <w:t>Commission</w:t>
      </w:r>
      <w:r>
        <w:rPr>
          <w:spacing w:val="-12"/>
        </w:rPr>
        <w:t> </w:t>
      </w:r>
      <w:r>
        <w:rPr/>
        <w:t>(KERC)</w:t>
      </w:r>
      <w:r>
        <w:rPr>
          <w:spacing w:val="-12"/>
        </w:rPr>
        <w:t> </w:t>
      </w:r>
      <w:r>
        <w:rPr/>
        <w:t>and</w:t>
      </w:r>
      <w:r>
        <w:rPr>
          <w:spacing w:val="-8"/>
        </w:rPr>
        <w:t> </w:t>
      </w:r>
      <w:r>
        <w:rPr/>
        <w:t>Bengaluru</w:t>
      </w:r>
      <w:r>
        <w:rPr>
          <w:spacing w:val="-13"/>
        </w:rPr>
        <w:t> </w:t>
      </w:r>
      <w:r>
        <w:rPr/>
        <w:t>Electricity</w:t>
      </w:r>
      <w:r>
        <w:rPr>
          <w:spacing w:val="-11"/>
        </w:rPr>
        <w:t> </w:t>
      </w:r>
      <w:r>
        <w:rPr/>
        <w:t>Supply</w:t>
      </w:r>
      <w:r>
        <w:rPr>
          <w:spacing w:val="-13"/>
        </w:rPr>
        <w:t> </w:t>
      </w:r>
      <w:r>
        <w:rPr/>
        <w:t>Company</w:t>
      </w:r>
      <w:r>
        <w:rPr>
          <w:spacing w:val="-11"/>
        </w:rPr>
        <w:t> </w:t>
      </w:r>
      <w:r>
        <w:rPr/>
        <w:t>Ltd.</w:t>
      </w:r>
      <w:r>
        <w:rPr>
          <w:spacing w:val="-15"/>
        </w:rPr>
        <w:t> </w:t>
      </w:r>
      <w:r>
        <w:rPr/>
        <w:t>(BESCOM)</w:t>
      </w:r>
      <w:r>
        <w:rPr>
          <w:spacing w:val="-11"/>
        </w:rPr>
        <w:t> </w:t>
      </w:r>
      <w:r>
        <w:rPr/>
        <w:t>has been</w:t>
      </w:r>
      <w:r>
        <w:rPr>
          <w:spacing w:val="-25"/>
        </w:rPr>
        <w:t> </w:t>
      </w:r>
      <w:r>
        <w:rPr/>
        <w:t>undertaken</w:t>
      </w:r>
      <w:r>
        <w:rPr>
          <w:spacing w:val="-24"/>
        </w:rPr>
        <w:t> </w:t>
      </w:r>
      <w:r>
        <w:rPr/>
        <w:t>to</w:t>
      </w:r>
      <w:r>
        <w:rPr>
          <w:spacing w:val="-23"/>
        </w:rPr>
        <w:t> </w:t>
      </w:r>
      <w:r>
        <w:rPr/>
        <w:t>understand</w:t>
      </w:r>
      <w:r>
        <w:rPr>
          <w:spacing w:val="-23"/>
        </w:rPr>
        <w:t> </w:t>
      </w:r>
      <w:r>
        <w:rPr/>
        <w:t>the</w:t>
      </w:r>
      <w:r>
        <w:rPr>
          <w:spacing w:val="-24"/>
        </w:rPr>
        <w:t> </w:t>
      </w:r>
      <w:r>
        <w:rPr/>
        <w:t>industry,</w:t>
      </w:r>
      <w:r>
        <w:rPr>
          <w:spacing w:val="-24"/>
        </w:rPr>
        <w:t> </w:t>
      </w:r>
      <w:r>
        <w:rPr/>
        <w:t>and</w:t>
      </w:r>
      <w:r>
        <w:rPr>
          <w:spacing w:val="-23"/>
        </w:rPr>
        <w:t> </w:t>
      </w:r>
      <w:r>
        <w:rPr/>
        <w:t>the</w:t>
      </w:r>
      <w:r>
        <w:rPr>
          <w:spacing w:val="-24"/>
        </w:rPr>
        <w:t> </w:t>
      </w:r>
      <w:r>
        <w:rPr/>
        <w:t>future</w:t>
      </w:r>
      <w:r>
        <w:rPr>
          <w:spacing w:val="-24"/>
        </w:rPr>
        <w:t> </w:t>
      </w:r>
      <w:r>
        <w:rPr/>
        <w:t>trends</w:t>
      </w:r>
      <w:r>
        <w:rPr>
          <w:spacing w:val="-22"/>
        </w:rPr>
        <w:t> </w:t>
      </w:r>
      <w:r>
        <w:rPr/>
        <w:t>of</w:t>
      </w:r>
      <w:r>
        <w:rPr>
          <w:spacing w:val="-25"/>
        </w:rPr>
        <w:t> </w:t>
      </w:r>
      <w:r>
        <w:rPr/>
        <w:t>the</w:t>
      </w:r>
      <w:r>
        <w:rPr>
          <w:spacing w:val="-23"/>
        </w:rPr>
        <w:t> </w:t>
      </w:r>
      <w:r>
        <w:rPr/>
        <w:t>power</w:t>
      </w:r>
      <w:r>
        <w:rPr>
          <w:spacing w:val="-23"/>
        </w:rPr>
        <w:t> </w:t>
      </w:r>
      <w:r>
        <w:rPr/>
        <w:t>and</w:t>
      </w:r>
      <w:r>
        <w:rPr>
          <w:spacing w:val="-24"/>
        </w:rPr>
        <w:t> </w:t>
      </w:r>
      <w:r>
        <w:rPr/>
        <w:t>utilities</w:t>
      </w:r>
      <w:r>
        <w:rPr>
          <w:spacing w:val="-23"/>
        </w:rPr>
        <w:t> </w:t>
      </w:r>
      <w:r>
        <w:rPr/>
        <w:t>sector.</w:t>
      </w:r>
    </w:p>
    <w:p>
      <w:pPr>
        <w:pStyle w:val="BodyText"/>
        <w:spacing w:before="11"/>
        <w:rPr>
          <w:sz w:val="20"/>
        </w:rPr>
      </w:pPr>
    </w:p>
    <w:p>
      <w:pPr>
        <w:pStyle w:val="BodyText"/>
        <w:spacing w:line="324" w:lineRule="auto"/>
        <w:ind w:left="1220" w:right="518"/>
        <w:jc w:val="both"/>
      </w:pPr>
      <w:r>
        <w:rPr/>
        <w:t>The</w:t>
      </w:r>
      <w:r>
        <w:rPr>
          <w:spacing w:val="-8"/>
        </w:rPr>
        <w:t> </w:t>
      </w:r>
      <w:r>
        <w:rPr/>
        <w:t>details</w:t>
      </w:r>
      <w:r>
        <w:rPr>
          <w:spacing w:val="-7"/>
        </w:rPr>
        <w:t> </w:t>
      </w:r>
      <w:r>
        <w:rPr/>
        <w:t>of</w:t>
      </w:r>
      <w:r>
        <w:rPr>
          <w:spacing w:val="-6"/>
        </w:rPr>
        <w:t> </w:t>
      </w:r>
      <w:r>
        <w:rPr/>
        <w:t>various</w:t>
      </w:r>
      <w:r>
        <w:rPr>
          <w:spacing w:val="-6"/>
        </w:rPr>
        <w:t> </w:t>
      </w:r>
      <w:r>
        <w:rPr/>
        <w:t>factors</w:t>
      </w:r>
      <w:r>
        <w:rPr>
          <w:spacing w:val="-5"/>
        </w:rPr>
        <w:t> </w:t>
      </w:r>
      <w:r>
        <w:rPr/>
        <w:t>considered</w:t>
      </w:r>
      <w:r>
        <w:rPr>
          <w:spacing w:val="-8"/>
        </w:rPr>
        <w:t> </w:t>
      </w:r>
      <w:r>
        <w:rPr/>
        <w:t>while</w:t>
      </w:r>
      <w:r>
        <w:rPr>
          <w:spacing w:val="-8"/>
        </w:rPr>
        <w:t> </w:t>
      </w:r>
      <w:r>
        <w:rPr/>
        <w:t>undertaking</w:t>
      </w:r>
      <w:r>
        <w:rPr>
          <w:spacing w:val="-6"/>
        </w:rPr>
        <w:t> </w:t>
      </w:r>
      <w:r>
        <w:rPr/>
        <w:t>this</w:t>
      </w:r>
      <w:r>
        <w:rPr>
          <w:spacing w:val="-5"/>
        </w:rPr>
        <w:t> </w:t>
      </w:r>
      <w:r>
        <w:rPr/>
        <w:t>valuation</w:t>
      </w:r>
      <w:r>
        <w:rPr>
          <w:spacing w:val="-7"/>
        </w:rPr>
        <w:t> </w:t>
      </w:r>
      <w:r>
        <w:rPr/>
        <w:t>have</w:t>
      </w:r>
      <w:r>
        <w:rPr>
          <w:spacing w:val="-7"/>
        </w:rPr>
        <w:t> </w:t>
      </w:r>
      <w:r>
        <w:rPr/>
        <w:t>been</w:t>
      </w:r>
      <w:r>
        <w:rPr>
          <w:spacing w:val="-7"/>
        </w:rPr>
        <w:t> </w:t>
      </w:r>
      <w:r>
        <w:rPr/>
        <w:t>highlighted</w:t>
      </w:r>
      <w:r>
        <w:rPr>
          <w:spacing w:val="-7"/>
        </w:rPr>
        <w:t> </w:t>
      </w:r>
      <w:r>
        <w:rPr/>
        <w:t>in</w:t>
      </w:r>
      <w:r>
        <w:rPr>
          <w:spacing w:val="-7"/>
        </w:rPr>
        <w:t> </w:t>
      </w:r>
      <w:r>
        <w:rPr/>
        <w:t>the subsequent</w:t>
      </w:r>
      <w:r>
        <w:rPr>
          <w:spacing w:val="-6"/>
        </w:rPr>
        <w:t> </w:t>
      </w:r>
      <w:r>
        <w:rPr/>
        <w:t>sections.</w:t>
      </w:r>
    </w:p>
    <w:p>
      <w:pPr>
        <w:pStyle w:val="BodyText"/>
        <w:spacing w:before="2"/>
        <w:rPr>
          <w:sz w:val="20"/>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389" w:id="760"/>
      <w:bookmarkEnd w:id="760"/>
      <w:r>
        <w:rPr/>
      </w:r>
      <w:bookmarkStart w:name="_bookmark389" w:id="761"/>
      <w:bookmarkEnd w:id="761"/>
      <w:r>
        <w:rPr>
          <w:color w:val="1F664D"/>
          <w:sz w:val="22"/>
        </w:rPr>
        <w:t>Ca</w:t>
      </w:r>
      <w:r>
        <w:rPr>
          <w:color w:val="1F664D"/>
          <w:sz w:val="22"/>
        </w:rPr>
        <w:t>pacity Utilization Factor</w:t>
      </w:r>
      <w:r>
        <w:rPr>
          <w:color w:val="1F664D"/>
          <w:spacing w:val="-4"/>
          <w:sz w:val="22"/>
        </w:rPr>
        <w:t> </w:t>
      </w:r>
      <w:r>
        <w:rPr>
          <w:color w:val="1F664D"/>
          <w:sz w:val="22"/>
        </w:rPr>
        <w:t>(CUF)</w:t>
      </w:r>
    </w:p>
    <w:p>
      <w:pPr>
        <w:pStyle w:val="BodyText"/>
        <w:spacing w:before="3"/>
        <w:rPr>
          <w:sz w:val="28"/>
        </w:rPr>
      </w:pPr>
    </w:p>
    <w:p>
      <w:pPr>
        <w:pStyle w:val="BodyText"/>
        <w:spacing w:line="321" w:lineRule="auto"/>
        <w:ind w:left="1242" w:right="674"/>
        <w:jc w:val="both"/>
      </w:pPr>
      <w:r>
        <w:rPr/>
        <w:t>The energy generation of a plant primarily depends on two key parameters; solar radiation and the number</w:t>
      </w:r>
      <w:r>
        <w:rPr>
          <w:spacing w:val="-29"/>
        </w:rPr>
        <w:t> </w:t>
      </w:r>
      <w:r>
        <w:rPr/>
        <w:t>of</w:t>
      </w:r>
      <w:r>
        <w:rPr>
          <w:spacing w:val="-28"/>
        </w:rPr>
        <w:t> </w:t>
      </w:r>
      <w:r>
        <w:rPr/>
        <w:t>clear</w:t>
      </w:r>
      <w:r>
        <w:rPr>
          <w:spacing w:val="-29"/>
        </w:rPr>
        <w:t> </w:t>
      </w:r>
      <w:r>
        <w:rPr/>
        <w:t>sunny</w:t>
      </w:r>
      <w:r>
        <w:rPr>
          <w:spacing w:val="-28"/>
        </w:rPr>
        <w:t> </w:t>
      </w:r>
      <w:r>
        <w:rPr/>
        <w:t>days</w:t>
      </w:r>
      <w:r>
        <w:rPr>
          <w:spacing w:val="-28"/>
        </w:rPr>
        <w:t> </w:t>
      </w:r>
      <w:r>
        <w:rPr/>
        <w:t>experienced</w:t>
      </w:r>
      <w:r>
        <w:rPr>
          <w:spacing w:val="-28"/>
        </w:rPr>
        <w:t> </w:t>
      </w:r>
      <w:r>
        <w:rPr/>
        <w:t>by</w:t>
      </w:r>
      <w:r>
        <w:rPr>
          <w:spacing w:val="-28"/>
        </w:rPr>
        <w:t> </w:t>
      </w:r>
      <w:r>
        <w:rPr/>
        <w:t>the</w:t>
      </w:r>
      <w:r>
        <w:rPr>
          <w:spacing w:val="-29"/>
        </w:rPr>
        <w:t> </w:t>
      </w:r>
      <w:r>
        <w:rPr/>
        <w:t>plant’s</w:t>
      </w:r>
      <w:r>
        <w:rPr>
          <w:spacing w:val="-28"/>
        </w:rPr>
        <w:t> </w:t>
      </w:r>
      <w:r>
        <w:rPr/>
        <w:t>location.</w:t>
      </w:r>
      <w:r>
        <w:rPr>
          <w:spacing w:val="-29"/>
        </w:rPr>
        <w:t> </w:t>
      </w:r>
      <w:r>
        <w:rPr/>
        <w:t>The</w:t>
      </w:r>
      <w:r>
        <w:rPr>
          <w:spacing w:val="-29"/>
        </w:rPr>
        <w:t> </w:t>
      </w:r>
      <w:r>
        <w:rPr/>
        <w:t>performance</w:t>
      </w:r>
      <w:r>
        <w:rPr>
          <w:spacing w:val="-29"/>
        </w:rPr>
        <w:t> </w:t>
      </w:r>
      <w:r>
        <w:rPr/>
        <w:t>of</w:t>
      </w:r>
      <w:r>
        <w:rPr>
          <w:spacing w:val="-28"/>
        </w:rPr>
        <w:t> </w:t>
      </w:r>
      <w:r>
        <w:rPr/>
        <w:t>a</w:t>
      </w:r>
      <w:r>
        <w:rPr>
          <w:spacing w:val="-29"/>
        </w:rPr>
        <w:t> </w:t>
      </w:r>
      <w:r>
        <w:rPr/>
        <w:t>PV</w:t>
      </w:r>
      <w:r>
        <w:rPr>
          <w:spacing w:val="-28"/>
        </w:rPr>
        <w:t> </w:t>
      </w:r>
      <w:r>
        <w:rPr/>
        <w:t>power</w:t>
      </w:r>
      <w:r>
        <w:rPr>
          <w:spacing w:val="-28"/>
        </w:rPr>
        <w:t> </w:t>
      </w:r>
      <w:r>
        <w:rPr/>
        <w:t>plant</w:t>
      </w:r>
      <w:r>
        <w:rPr>
          <w:spacing w:val="-29"/>
        </w:rPr>
        <w:t> </w:t>
      </w:r>
      <w:r>
        <w:rPr/>
        <w:t>is often</w:t>
      </w:r>
      <w:r>
        <w:rPr>
          <w:spacing w:val="-7"/>
        </w:rPr>
        <w:t> </w:t>
      </w:r>
      <w:r>
        <w:rPr/>
        <w:t>denominated</w:t>
      </w:r>
      <w:r>
        <w:rPr>
          <w:spacing w:val="-6"/>
        </w:rPr>
        <w:t> </w:t>
      </w:r>
      <w:r>
        <w:rPr/>
        <w:t>by</w:t>
      </w:r>
      <w:r>
        <w:rPr>
          <w:spacing w:val="-7"/>
        </w:rPr>
        <w:t> </w:t>
      </w:r>
      <w:r>
        <w:rPr/>
        <w:t>a</w:t>
      </w:r>
      <w:r>
        <w:rPr>
          <w:spacing w:val="-8"/>
        </w:rPr>
        <w:t> </w:t>
      </w:r>
      <w:r>
        <w:rPr/>
        <w:t>metric</w:t>
      </w:r>
      <w:r>
        <w:rPr>
          <w:spacing w:val="-6"/>
        </w:rPr>
        <w:t> </w:t>
      </w:r>
      <w:r>
        <w:rPr/>
        <w:t>called</w:t>
      </w:r>
      <w:r>
        <w:rPr>
          <w:spacing w:val="-5"/>
        </w:rPr>
        <w:t> </w:t>
      </w:r>
      <w:r>
        <w:rPr/>
        <w:t>the</w:t>
      </w:r>
      <w:r>
        <w:rPr>
          <w:spacing w:val="-7"/>
        </w:rPr>
        <w:t> </w:t>
      </w:r>
      <w:r>
        <w:rPr/>
        <w:t>capacity</w:t>
      </w:r>
      <w:r>
        <w:rPr>
          <w:spacing w:val="-4"/>
        </w:rPr>
        <w:t> </w:t>
      </w:r>
      <w:r>
        <w:rPr/>
        <w:t>utilisation</w:t>
      </w:r>
      <w:r>
        <w:rPr>
          <w:spacing w:val="-8"/>
        </w:rPr>
        <w:t> </w:t>
      </w:r>
      <w:r>
        <w:rPr/>
        <w:t>factor</w:t>
      </w:r>
      <w:r>
        <w:rPr>
          <w:spacing w:val="-8"/>
        </w:rPr>
        <w:t> </w:t>
      </w:r>
      <w:r>
        <w:rPr/>
        <w:t>(CUF),</w:t>
      </w:r>
      <w:r>
        <w:rPr>
          <w:spacing w:val="-8"/>
        </w:rPr>
        <w:t> </w:t>
      </w:r>
      <w:r>
        <w:rPr/>
        <w:t>also</w:t>
      </w:r>
      <w:r>
        <w:rPr>
          <w:spacing w:val="-6"/>
        </w:rPr>
        <w:t> </w:t>
      </w:r>
      <w:r>
        <w:rPr/>
        <w:t>known</w:t>
      </w:r>
      <w:r>
        <w:rPr>
          <w:spacing w:val="-7"/>
        </w:rPr>
        <w:t> </w:t>
      </w:r>
      <w:r>
        <w:rPr/>
        <w:t>as</w:t>
      </w:r>
      <w:r>
        <w:rPr>
          <w:spacing w:val="-7"/>
        </w:rPr>
        <w:t> </w:t>
      </w:r>
      <w:r>
        <w:rPr/>
        <w:t>Plant</w:t>
      </w:r>
      <w:r>
        <w:rPr>
          <w:spacing w:val="-6"/>
        </w:rPr>
        <w:t> </w:t>
      </w:r>
      <w:r>
        <w:rPr/>
        <w:t>Load Factor</w:t>
      </w:r>
      <w:r>
        <w:rPr>
          <w:spacing w:val="-30"/>
        </w:rPr>
        <w:t> </w:t>
      </w:r>
      <w:r>
        <w:rPr/>
        <w:t>(PLF).</w:t>
      </w:r>
      <w:r>
        <w:rPr>
          <w:spacing w:val="-29"/>
        </w:rPr>
        <w:t> </w:t>
      </w:r>
      <w:r>
        <w:rPr/>
        <w:t>It</w:t>
      </w:r>
      <w:r>
        <w:rPr>
          <w:spacing w:val="-28"/>
        </w:rPr>
        <w:t> </w:t>
      </w:r>
      <w:r>
        <w:rPr/>
        <w:t>is</w:t>
      </w:r>
      <w:r>
        <w:rPr>
          <w:spacing w:val="-29"/>
        </w:rPr>
        <w:t> </w:t>
      </w:r>
      <w:r>
        <w:rPr/>
        <w:t>the</w:t>
      </w:r>
      <w:r>
        <w:rPr>
          <w:spacing w:val="-29"/>
        </w:rPr>
        <w:t> </w:t>
      </w:r>
      <w:r>
        <w:rPr/>
        <w:t>ratio</w:t>
      </w:r>
      <w:r>
        <w:rPr>
          <w:spacing w:val="-31"/>
        </w:rPr>
        <w:t> </w:t>
      </w:r>
      <w:r>
        <w:rPr/>
        <w:t>of</w:t>
      </w:r>
      <w:r>
        <w:rPr>
          <w:spacing w:val="-28"/>
        </w:rPr>
        <w:t> </w:t>
      </w:r>
      <w:r>
        <w:rPr/>
        <w:t>the</w:t>
      </w:r>
      <w:r>
        <w:rPr>
          <w:spacing w:val="-30"/>
        </w:rPr>
        <w:t> </w:t>
      </w:r>
      <w:r>
        <w:rPr/>
        <w:t>actual</w:t>
      </w:r>
      <w:r>
        <w:rPr>
          <w:spacing w:val="-29"/>
        </w:rPr>
        <w:t> </w:t>
      </w:r>
      <w:r>
        <w:rPr/>
        <w:t>output</w:t>
      </w:r>
      <w:r>
        <w:rPr>
          <w:spacing w:val="-30"/>
        </w:rPr>
        <w:t> </w:t>
      </w:r>
      <w:r>
        <w:rPr/>
        <w:t>from</w:t>
      </w:r>
      <w:r>
        <w:rPr>
          <w:spacing w:val="-30"/>
        </w:rPr>
        <w:t> </w:t>
      </w:r>
      <w:r>
        <w:rPr/>
        <w:t>a</w:t>
      </w:r>
      <w:r>
        <w:rPr>
          <w:spacing w:val="-30"/>
        </w:rPr>
        <w:t> </w:t>
      </w:r>
      <w:r>
        <w:rPr/>
        <w:t>solar</w:t>
      </w:r>
      <w:r>
        <w:rPr>
          <w:spacing w:val="-29"/>
        </w:rPr>
        <w:t> </w:t>
      </w:r>
      <w:r>
        <w:rPr/>
        <w:t>plant</w:t>
      </w:r>
      <w:r>
        <w:rPr>
          <w:spacing w:val="-29"/>
        </w:rPr>
        <w:t> </w:t>
      </w:r>
      <w:r>
        <w:rPr/>
        <w:t>over</w:t>
      </w:r>
      <w:r>
        <w:rPr>
          <w:spacing w:val="-28"/>
        </w:rPr>
        <w:t> </w:t>
      </w:r>
      <w:r>
        <w:rPr/>
        <w:t>the</w:t>
      </w:r>
      <w:r>
        <w:rPr>
          <w:spacing w:val="-30"/>
        </w:rPr>
        <w:t> </w:t>
      </w:r>
      <w:r>
        <w:rPr/>
        <w:t>year</w:t>
      </w:r>
      <w:r>
        <w:rPr>
          <w:spacing w:val="-29"/>
        </w:rPr>
        <w:t> </w:t>
      </w:r>
      <w:r>
        <w:rPr/>
        <w:t>to</w:t>
      </w:r>
      <w:r>
        <w:rPr>
          <w:spacing w:val="-29"/>
        </w:rPr>
        <w:t> </w:t>
      </w:r>
      <w:r>
        <w:rPr/>
        <w:t>the</w:t>
      </w:r>
      <w:r>
        <w:rPr>
          <w:spacing w:val="-29"/>
        </w:rPr>
        <w:t> </w:t>
      </w:r>
      <w:r>
        <w:rPr/>
        <w:t>maximum</w:t>
      </w:r>
      <w:r>
        <w:rPr>
          <w:spacing w:val="-31"/>
        </w:rPr>
        <w:t> </w:t>
      </w:r>
      <w:r>
        <w:rPr/>
        <w:t>possible output from it for a year under ideal conditions. Capacity utilisation factor is usually expressed as a percentage of the total installed</w:t>
      </w:r>
      <w:r>
        <w:rPr>
          <w:spacing w:val="-23"/>
        </w:rPr>
        <w:t> </w:t>
      </w:r>
      <w:r>
        <w:rPr/>
        <w:t>capacity.</w:t>
      </w:r>
    </w:p>
    <w:p>
      <w:pPr>
        <w:pStyle w:val="BodyText"/>
        <w:spacing w:before="11"/>
        <w:rPr>
          <w:sz w:val="20"/>
        </w:rPr>
      </w:pPr>
    </w:p>
    <w:p>
      <w:pPr>
        <w:pStyle w:val="BodyText"/>
        <w:spacing w:line="321" w:lineRule="auto"/>
        <w:ind w:left="1242" w:right="679"/>
        <w:jc w:val="both"/>
      </w:pPr>
      <w:r>
        <w:rPr/>
        <w:t>On</w:t>
      </w:r>
      <w:r>
        <w:rPr>
          <w:spacing w:val="-23"/>
        </w:rPr>
        <w:t> </w:t>
      </w:r>
      <w:r>
        <w:rPr/>
        <w:t>the</w:t>
      </w:r>
      <w:r>
        <w:rPr>
          <w:spacing w:val="-23"/>
        </w:rPr>
        <w:t> </w:t>
      </w:r>
      <w:r>
        <w:rPr/>
        <w:t>basis</w:t>
      </w:r>
      <w:r>
        <w:rPr>
          <w:spacing w:val="-21"/>
        </w:rPr>
        <w:t> </w:t>
      </w:r>
      <w:r>
        <w:rPr/>
        <w:t>of</w:t>
      </w:r>
      <w:r>
        <w:rPr>
          <w:spacing w:val="-21"/>
        </w:rPr>
        <w:t> </w:t>
      </w:r>
      <w:r>
        <w:rPr/>
        <w:t>the</w:t>
      </w:r>
      <w:r>
        <w:rPr>
          <w:spacing w:val="-23"/>
        </w:rPr>
        <w:t> </w:t>
      </w:r>
      <w:r>
        <w:rPr/>
        <w:t>research</w:t>
      </w:r>
      <w:r>
        <w:rPr>
          <w:spacing w:val="-22"/>
        </w:rPr>
        <w:t> </w:t>
      </w:r>
      <w:r>
        <w:rPr/>
        <w:t>undertaken</w:t>
      </w:r>
      <w:r>
        <w:rPr>
          <w:spacing w:val="-22"/>
        </w:rPr>
        <w:t> </w:t>
      </w:r>
      <w:r>
        <w:rPr/>
        <w:t>and</w:t>
      </w:r>
      <w:r>
        <w:rPr>
          <w:spacing w:val="-18"/>
        </w:rPr>
        <w:t> </w:t>
      </w:r>
      <w:r>
        <w:rPr/>
        <w:t>with</w:t>
      </w:r>
      <w:r>
        <w:rPr>
          <w:spacing w:val="-23"/>
        </w:rPr>
        <w:t> </w:t>
      </w:r>
      <w:r>
        <w:rPr/>
        <w:t>reference</w:t>
      </w:r>
      <w:r>
        <w:rPr>
          <w:spacing w:val="-23"/>
        </w:rPr>
        <w:t> </w:t>
      </w:r>
      <w:r>
        <w:rPr/>
        <w:t>to</w:t>
      </w:r>
      <w:r>
        <w:rPr>
          <w:spacing w:val="-21"/>
        </w:rPr>
        <w:t> </w:t>
      </w:r>
      <w:r>
        <w:rPr/>
        <w:t>the</w:t>
      </w:r>
      <w:r>
        <w:rPr>
          <w:spacing w:val="-23"/>
        </w:rPr>
        <w:t> </w:t>
      </w:r>
      <w:r>
        <w:rPr/>
        <w:t>various</w:t>
      </w:r>
      <w:r>
        <w:rPr>
          <w:spacing w:val="-21"/>
        </w:rPr>
        <w:t> </w:t>
      </w:r>
      <w:r>
        <w:rPr/>
        <w:t>reports</w:t>
      </w:r>
      <w:r>
        <w:rPr>
          <w:spacing w:val="-22"/>
        </w:rPr>
        <w:t> </w:t>
      </w:r>
      <w:r>
        <w:rPr/>
        <w:t>from</w:t>
      </w:r>
      <w:r>
        <w:rPr>
          <w:spacing w:val="-22"/>
        </w:rPr>
        <w:t> </w:t>
      </w:r>
      <w:r>
        <w:rPr/>
        <w:t>Ministry</w:t>
      </w:r>
      <w:r>
        <w:rPr>
          <w:spacing w:val="-21"/>
        </w:rPr>
        <w:t> </w:t>
      </w:r>
      <w:r>
        <w:rPr/>
        <w:t>of</w:t>
      </w:r>
      <w:r>
        <w:rPr>
          <w:spacing w:val="-22"/>
        </w:rPr>
        <w:t> </w:t>
      </w:r>
      <w:r>
        <w:rPr/>
        <w:t>New and</w:t>
      </w:r>
      <w:r>
        <w:rPr>
          <w:spacing w:val="-29"/>
        </w:rPr>
        <w:t> </w:t>
      </w:r>
      <w:r>
        <w:rPr/>
        <w:t>Renewable</w:t>
      </w:r>
      <w:r>
        <w:rPr>
          <w:spacing w:val="-30"/>
        </w:rPr>
        <w:t> </w:t>
      </w:r>
      <w:r>
        <w:rPr/>
        <w:t>Energy</w:t>
      </w:r>
      <w:r>
        <w:rPr>
          <w:spacing w:val="-30"/>
        </w:rPr>
        <w:t> </w:t>
      </w:r>
      <w:r>
        <w:rPr/>
        <w:t>(MNRE),</w:t>
      </w:r>
      <w:r>
        <w:rPr>
          <w:spacing w:val="-30"/>
        </w:rPr>
        <w:t> </w:t>
      </w:r>
      <w:r>
        <w:rPr/>
        <w:t>we</w:t>
      </w:r>
      <w:r>
        <w:rPr>
          <w:spacing w:val="-29"/>
        </w:rPr>
        <w:t> </w:t>
      </w:r>
      <w:r>
        <w:rPr/>
        <w:t>understand</w:t>
      </w:r>
      <w:r>
        <w:rPr>
          <w:spacing w:val="-29"/>
        </w:rPr>
        <w:t> </w:t>
      </w:r>
      <w:r>
        <w:rPr/>
        <w:t>that</w:t>
      </w:r>
      <w:r>
        <w:rPr>
          <w:spacing w:val="-28"/>
        </w:rPr>
        <w:t> </w:t>
      </w:r>
      <w:r>
        <w:rPr/>
        <w:t>the</w:t>
      </w:r>
      <w:r>
        <w:rPr>
          <w:spacing w:val="-30"/>
        </w:rPr>
        <w:t> </w:t>
      </w:r>
      <w:r>
        <w:rPr/>
        <w:t>average</w:t>
      </w:r>
      <w:r>
        <w:rPr>
          <w:spacing w:val="-29"/>
        </w:rPr>
        <w:t> </w:t>
      </w:r>
      <w:r>
        <w:rPr/>
        <w:t>capacity</w:t>
      </w:r>
      <w:r>
        <w:rPr>
          <w:spacing w:val="-28"/>
        </w:rPr>
        <w:t> </w:t>
      </w:r>
      <w:r>
        <w:rPr/>
        <w:t>utilisation</w:t>
      </w:r>
      <w:r>
        <w:rPr>
          <w:spacing w:val="-30"/>
        </w:rPr>
        <w:t> </w:t>
      </w:r>
      <w:r>
        <w:rPr/>
        <w:t>of</w:t>
      </w:r>
      <w:r>
        <w:rPr>
          <w:spacing w:val="-28"/>
        </w:rPr>
        <w:t> </w:t>
      </w:r>
      <w:r>
        <w:rPr/>
        <w:t>Solar</w:t>
      </w:r>
      <w:r>
        <w:rPr>
          <w:spacing w:val="-30"/>
        </w:rPr>
        <w:t> </w:t>
      </w:r>
      <w:r>
        <w:rPr/>
        <w:t>PV</w:t>
      </w:r>
      <w:r>
        <w:rPr>
          <w:spacing w:val="-29"/>
        </w:rPr>
        <w:t> </w:t>
      </w:r>
      <w:r>
        <w:rPr/>
        <w:t>Plants</w:t>
      </w:r>
      <w:r>
        <w:rPr>
          <w:spacing w:val="-28"/>
        </w:rPr>
        <w:t> </w:t>
      </w:r>
      <w:r>
        <w:rPr/>
        <w:t>in India is in the range of 18% - 20% in solar friendly</w:t>
      </w:r>
      <w:r>
        <w:rPr>
          <w:spacing w:val="-35"/>
        </w:rPr>
        <w:t> </w:t>
      </w:r>
      <w:r>
        <w:rPr/>
        <w:t>states.</w:t>
      </w:r>
    </w:p>
    <w:p>
      <w:pPr>
        <w:pStyle w:val="BodyText"/>
        <w:spacing w:before="11"/>
        <w:rPr>
          <w:sz w:val="20"/>
        </w:rPr>
      </w:pPr>
    </w:p>
    <w:p>
      <w:pPr>
        <w:pStyle w:val="BodyText"/>
        <w:ind w:left="1242"/>
        <w:jc w:val="both"/>
      </w:pPr>
      <w:r>
        <w:rPr/>
        <w:t>The CUF of Solar PV Plants in several solar friendly states in India has been tabulated below:</w:t>
      </w:r>
    </w:p>
    <w:p>
      <w:pPr>
        <w:pStyle w:val="BodyText"/>
        <w:spacing w:before="5"/>
        <w:rPr>
          <w:sz w:val="28"/>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55"/>
        <w:gridCol w:w="4830"/>
      </w:tblGrid>
      <w:tr>
        <w:trPr>
          <w:trHeight w:val="419" w:hRule="atLeast"/>
        </w:trPr>
        <w:tc>
          <w:tcPr>
            <w:tcW w:w="5655" w:type="dxa"/>
            <w:tcBorders>
              <w:top w:val="single" w:sz="6" w:space="0" w:color="69BD28"/>
              <w:bottom w:val="single" w:sz="6" w:space="0" w:color="69BD28"/>
            </w:tcBorders>
            <w:shd w:val="clear" w:color="auto" w:fill="006A4D"/>
          </w:tcPr>
          <w:p>
            <w:pPr>
              <w:pStyle w:val="TableParagraph"/>
              <w:spacing w:before="106"/>
              <w:ind w:left="1760" w:right="1942"/>
              <w:rPr>
                <w:b/>
                <w:sz w:val="18"/>
              </w:rPr>
            </w:pPr>
            <w:r>
              <w:rPr>
                <w:b/>
                <w:color w:val="FFFFFF"/>
                <w:w w:val="105"/>
                <w:sz w:val="18"/>
              </w:rPr>
              <w:t>State</w:t>
            </w:r>
          </w:p>
        </w:tc>
        <w:tc>
          <w:tcPr>
            <w:tcW w:w="4830" w:type="dxa"/>
            <w:tcBorders>
              <w:top w:val="single" w:sz="6" w:space="0" w:color="69BD28"/>
              <w:bottom w:val="single" w:sz="6" w:space="0" w:color="69BD28"/>
            </w:tcBorders>
            <w:shd w:val="clear" w:color="auto" w:fill="006A4D"/>
          </w:tcPr>
          <w:p>
            <w:pPr>
              <w:pStyle w:val="TableParagraph"/>
              <w:spacing w:before="106"/>
              <w:ind w:left="1941" w:right="2136"/>
              <w:rPr>
                <w:b/>
                <w:sz w:val="18"/>
              </w:rPr>
            </w:pPr>
            <w:r>
              <w:rPr>
                <w:b/>
                <w:color w:val="FFFFFF"/>
                <w:w w:val="110"/>
                <w:sz w:val="18"/>
              </w:rPr>
              <w:t>CUF (%)</w:t>
            </w:r>
          </w:p>
        </w:tc>
      </w:tr>
      <w:tr>
        <w:trPr>
          <w:trHeight w:val="289" w:hRule="atLeast"/>
        </w:trPr>
        <w:tc>
          <w:tcPr>
            <w:tcW w:w="5655" w:type="dxa"/>
            <w:tcBorders>
              <w:top w:val="single" w:sz="6" w:space="0" w:color="69BD28"/>
              <w:bottom w:val="single" w:sz="6" w:space="0" w:color="69BD28"/>
            </w:tcBorders>
          </w:tcPr>
          <w:p>
            <w:pPr>
              <w:pStyle w:val="TableParagraph"/>
              <w:spacing w:before="42"/>
              <w:ind w:left="1760" w:right="1942"/>
              <w:rPr>
                <w:sz w:val="18"/>
              </w:rPr>
            </w:pPr>
            <w:r>
              <w:rPr>
                <w:sz w:val="18"/>
              </w:rPr>
              <w:t>Gujarat</w:t>
            </w:r>
          </w:p>
        </w:tc>
        <w:tc>
          <w:tcPr>
            <w:tcW w:w="4830" w:type="dxa"/>
            <w:tcBorders>
              <w:top w:val="single" w:sz="6" w:space="0" w:color="69BD28"/>
              <w:bottom w:val="single" w:sz="6" w:space="0" w:color="69BD28"/>
            </w:tcBorders>
          </w:tcPr>
          <w:p>
            <w:pPr>
              <w:pStyle w:val="TableParagraph"/>
              <w:spacing w:before="42"/>
              <w:ind w:left="1937" w:right="2136"/>
              <w:rPr>
                <w:sz w:val="18"/>
              </w:rPr>
            </w:pPr>
            <w:r>
              <w:rPr>
                <w:w w:val="110"/>
                <w:sz w:val="18"/>
              </w:rPr>
              <w:t>18</w:t>
            </w:r>
          </w:p>
        </w:tc>
      </w:tr>
      <w:tr>
        <w:trPr>
          <w:trHeight w:val="287" w:hRule="atLeast"/>
        </w:trPr>
        <w:tc>
          <w:tcPr>
            <w:tcW w:w="5655" w:type="dxa"/>
            <w:tcBorders>
              <w:top w:val="single" w:sz="6" w:space="0" w:color="69BD28"/>
              <w:bottom w:val="single" w:sz="6" w:space="0" w:color="69BD28"/>
            </w:tcBorders>
          </w:tcPr>
          <w:p>
            <w:pPr>
              <w:pStyle w:val="TableParagraph"/>
              <w:spacing w:before="39"/>
              <w:ind w:left="1759" w:right="1945"/>
              <w:rPr>
                <w:sz w:val="18"/>
              </w:rPr>
            </w:pPr>
            <w:r>
              <w:rPr>
                <w:sz w:val="18"/>
              </w:rPr>
              <w:t>Karnataka</w:t>
            </w:r>
          </w:p>
        </w:tc>
        <w:tc>
          <w:tcPr>
            <w:tcW w:w="4830" w:type="dxa"/>
            <w:tcBorders>
              <w:top w:val="single" w:sz="6" w:space="0" w:color="69BD28"/>
              <w:bottom w:val="single" w:sz="6" w:space="0" w:color="69BD28"/>
            </w:tcBorders>
          </w:tcPr>
          <w:p>
            <w:pPr>
              <w:pStyle w:val="TableParagraph"/>
              <w:spacing w:before="39"/>
              <w:ind w:left="1937" w:right="2136"/>
              <w:rPr>
                <w:sz w:val="18"/>
              </w:rPr>
            </w:pPr>
            <w:r>
              <w:rPr>
                <w:w w:val="110"/>
                <w:sz w:val="18"/>
              </w:rPr>
              <w:t>19</w:t>
            </w:r>
          </w:p>
        </w:tc>
      </w:tr>
      <w:tr>
        <w:trPr>
          <w:trHeight w:val="287" w:hRule="atLeast"/>
        </w:trPr>
        <w:tc>
          <w:tcPr>
            <w:tcW w:w="5655" w:type="dxa"/>
            <w:tcBorders>
              <w:top w:val="single" w:sz="6" w:space="0" w:color="69BD28"/>
              <w:bottom w:val="single" w:sz="6" w:space="0" w:color="69BD28"/>
            </w:tcBorders>
          </w:tcPr>
          <w:p>
            <w:pPr>
              <w:pStyle w:val="TableParagraph"/>
              <w:spacing w:before="39"/>
              <w:ind w:left="1760" w:right="1941"/>
              <w:rPr>
                <w:sz w:val="18"/>
              </w:rPr>
            </w:pPr>
            <w:r>
              <w:rPr>
                <w:sz w:val="18"/>
              </w:rPr>
              <w:t>Madhya Pradesh</w:t>
            </w:r>
          </w:p>
        </w:tc>
        <w:tc>
          <w:tcPr>
            <w:tcW w:w="4830" w:type="dxa"/>
            <w:tcBorders>
              <w:top w:val="single" w:sz="6" w:space="0" w:color="69BD28"/>
              <w:bottom w:val="single" w:sz="6" w:space="0" w:color="69BD28"/>
            </w:tcBorders>
          </w:tcPr>
          <w:p>
            <w:pPr>
              <w:pStyle w:val="TableParagraph"/>
              <w:spacing w:before="39"/>
              <w:ind w:left="1937" w:right="2136"/>
              <w:rPr>
                <w:sz w:val="18"/>
              </w:rPr>
            </w:pPr>
            <w:r>
              <w:rPr>
                <w:w w:val="110"/>
                <w:sz w:val="18"/>
              </w:rPr>
              <w:t>19</w:t>
            </w:r>
          </w:p>
        </w:tc>
      </w:tr>
      <w:tr>
        <w:trPr>
          <w:trHeight w:val="287" w:hRule="atLeast"/>
        </w:trPr>
        <w:tc>
          <w:tcPr>
            <w:tcW w:w="5655" w:type="dxa"/>
            <w:tcBorders>
              <w:top w:val="single" w:sz="6" w:space="0" w:color="69BD28"/>
              <w:bottom w:val="single" w:sz="6" w:space="0" w:color="69BD28"/>
            </w:tcBorders>
          </w:tcPr>
          <w:p>
            <w:pPr>
              <w:pStyle w:val="TableParagraph"/>
              <w:spacing w:before="39"/>
              <w:ind w:left="1759" w:right="1945"/>
              <w:rPr>
                <w:sz w:val="18"/>
              </w:rPr>
            </w:pPr>
            <w:r>
              <w:rPr>
                <w:sz w:val="18"/>
              </w:rPr>
              <w:t>Maharashtra</w:t>
            </w:r>
          </w:p>
        </w:tc>
        <w:tc>
          <w:tcPr>
            <w:tcW w:w="4830" w:type="dxa"/>
            <w:tcBorders>
              <w:top w:val="single" w:sz="6" w:space="0" w:color="69BD28"/>
              <w:bottom w:val="single" w:sz="6" w:space="0" w:color="69BD28"/>
            </w:tcBorders>
          </w:tcPr>
          <w:p>
            <w:pPr>
              <w:pStyle w:val="TableParagraph"/>
              <w:spacing w:before="39"/>
              <w:ind w:left="1937" w:right="2136"/>
              <w:rPr>
                <w:sz w:val="18"/>
              </w:rPr>
            </w:pPr>
            <w:r>
              <w:rPr>
                <w:w w:val="110"/>
                <w:sz w:val="18"/>
              </w:rPr>
              <w:t>19</w:t>
            </w:r>
          </w:p>
        </w:tc>
      </w:tr>
      <w:tr>
        <w:trPr>
          <w:trHeight w:val="289" w:hRule="atLeast"/>
        </w:trPr>
        <w:tc>
          <w:tcPr>
            <w:tcW w:w="5655" w:type="dxa"/>
            <w:tcBorders>
              <w:top w:val="single" w:sz="6" w:space="0" w:color="69BD28"/>
              <w:bottom w:val="single" w:sz="6" w:space="0" w:color="69BD28"/>
            </w:tcBorders>
          </w:tcPr>
          <w:p>
            <w:pPr>
              <w:pStyle w:val="TableParagraph"/>
              <w:spacing w:before="42"/>
              <w:ind w:left="1760" w:right="1942"/>
              <w:rPr>
                <w:sz w:val="18"/>
              </w:rPr>
            </w:pPr>
            <w:r>
              <w:rPr>
                <w:sz w:val="18"/>
              </w:rPr>
              <w:t>Punjab</w:t>
            </w:r>
          </w:p>
        </w:tc>
        <w:tc>
          <w:tcPr>
            <w:tcW w:w="4830" w:type="dxa"/>
            <w:tcBorders>
              <w:top w:val="single" w:sz="6" w:space="0" w:color="69BD28"/>
              <w:bottom w:val="single" w:sz="6" w:space="0" w:color="69BD28"/>
            </w:tcBorders>
          </w:tcPr>
          <w:p>
            <w:pPr>
              <w:pStyle w:val="TableParagraph"/>
              <w:spacing w:before="42"/>
              <w:ind w:left="1937" w:right="2136"/>
              <w:rPr>
                <w:sz w:val="18"/>
              </w:rPr>
            </w:pPr>
            <w:r>
              <w:rPr>
                <w:w w:val="110"/>
                <w:sz w:val="18"/>
              </w:rPr>
              <w:t>19</w:t>
            </w:r>
          </w:p>
        </w:tc>
      </w:tr>
      <w:tr>
        <w:trPr>
          <w:trHeight w:val="287" w:hRule="atLeast"/>
        </w:trPr>
        <w:tc>
          <w:tcPr>
            <w:tcW w:w="5655" w:type="dxa"/>
            <w:tcBorders>
              <w:top w:val="single" w:sz="6" w:space="0" w:color="69BD28"/>
              <w:bottom w:val="single" w:sz="6" w:space="0" w:color="69BD28"/>
            </w:tcBorders>
          </w:tcPr>
          <w:p>
            <w:pPr>
              <w:pStyle w:val="TableParagraph"/>
              <w:spacing w:before="39"/>
              <w:ind w:left="1760" w:right="1944"/>
              <w:rPr>
                <w:sz w:val="18"/>
              </w:rPr>
            </w:pPr>
            <w:r>
              <w:rPr>
                <w:sz w:val="18"/>
              </w:rPr>
              <w:t>Rajasthan</w:t>
            </w:r>
          </w:p>
        </w:tc>
        <w:tc>
          <w:tcPr>
            <w:tcW w:w="4830" w:type="dxa"/>
            <w:tcBorders>
              <w:top w:val="single" w:sz="6" w:space="0" w:color="69BD28"/>
              <w:bottom w:val="single" w:sz="6" w:space="0" w:color="69BD28"/>
            </w:tcBorders>
          </w:tcPr>
          <w:p>
            <w:pPr>
              <w:pStyle w:val="TableParagraph"/>
              <w:spacing w:before="39"/>
              <w:ind w:left="1937" w:right="2136"/>
              <w:rPr>
                <w:sz w:val="18"/>
              </w:rPr>
            </w:pPr>
            <w:r>
              <w:rPr>
                <w:w w:val="110"/>
                <w:sz w:val="18"/>
              </w:rPr>
              <w:t>20</w:t>
            </w:r>
          </w:p>
        </w:tc>
      </w:tr>
      <w:tr>
        <w:trPr>
          <w:trHeight w:val="287" w:hRule="atLeast"/>
        </w:trPr>
        <w:tc>
          <w:tcPr>
            <w:tcW w:w="5655" w:type="dxa"/>
            <w:tcBorders>
              <w:top w:val="single" w:sz="6" w:space="0" w:color="69BD28"/>
              <w:bottom w:val="single" w:sz="6" w:space="0" w:color="69BD28"/>
            </w:tcBorders>
          </w:tcPr>
          <w:p>
            <w:pPr>
              <w:pStyle w:val="TableParagraph"/>
              <w:spacing w:before="39"/>
              <w:ind w:left="1760" w:right="1945"/>
              <w:rPr>
                <w:sz w:val="18"/>
              </w:rPr>
            </w:pPr>
            <w:r>
              <w:rPr>
                <w:sz w:val="18"/>
              </w:rPr>
              <w:t>Seemandhra/Telangana</w:t>
            </w:r>
          </w:p>
        </w:tc>
        <w:tc>
          <w:tcPr>
            <w:tcW w:w="4830" w:type="dxa"/>
            <w:tcBorders>
              <w:top w:val="single" w:sz="6" w:space="0" w:color="69BD28"/>
              <w:bottom w:val="single" w:sz="6" w:space="0" w:color="69BD28"/>
            </w:tcBorders>
          </w:tcPr>
          <w:p>
            <w:pPr>
              <w:pStyle w:val="TableParagraph"/>
              <w:spacing w:before="39"/>
              <w:ind w:left="1937" w:right="2136"/>
              <w:rPr>
                <w:sz w:val="18"/>
              </w:rPr>
            </w:pPr>
            <w:r>
              <w:rPr>
                <w:w w:val="110"/>
                <w:sz w:val="18"/>
              </w:rPr>
              <w:t>20</w:t>
            </w:r>
          </w:p>
        </w:tc>
      </w:tr>
      <w:tr>
        <w:trPr>
          <w:trHeight w:val="287" w:hRule="atLeast"/>
        </w:trPr>
        <w:tc>
          <w:tcPr>
            <w:tcW w:w="5655" w:type="dxa"/>
            <w:tcBorders>
              <w:top w:val="single" w:sz="6" w:space="0" w:color="69BD28"/>
              <w:bottom w:val="single" w:sz="6" w:space="0" w:color="69BD28"/>
            </w:tcBorders>
          </w:tcPr>
          <w:p>
            <w:pPr>
              <w:pStyle w:val="TableParagraph"/>
              <w:spacing w:before="39"/>
              <w:ind w:left="1760" w:right="1940"/>
              <w:rPr>
                <w:sz w:val="18"/>
              </w:rPr>
            </w:pPr>
            <w:r>
              <w:rPr>
                <w:sz w:val="18"/>
              </w:rPr>
              <w:t>Tamil Nadu</w:t>
            </w:r>
          </w:p>
        </w:tc>
        <w:tc>
          <w:tcPr>
            <w:tcW w:w="4830" w:type="dxa"/>
            <w:tcBorders>
              <w:top w:val="single" w:sz="6" w:space="0" w:color="69BD28"/>
              <w:bottom w:val="single" w:sz="6" w:space="0" w:color="69BD28"/>
            </w:tcBorders>
          </w:tcPr>
          <w:p>
            <w:pPr>
              <w:pStyle w:val="TableParagraph"/>
              <w:spacing w:before="39"/>
              <w:ind w:left="1937" w:right="2136"/>
              <w:rPr>
                <w:sz w:val="18"/>
              </w:rPr>
            </w:pPr>
            <w:r>
              <w:rPr>
                <w:w w:val="110"/>
                <w:sz w:val="18"/>
              </w:rPr>
              <w:t>19</w:t>
            </w:r>
          </w:p>
        </w:tc>
      </w:tr>
      <w:tr>
        <w:trPr>
          <w:trHeight w:val="289" w:hRule="atLeast"/>
        </w:trPr>
        <w:tc>
          <w:tcPr>
            <w:tcW w:w="5655" w:type="dxa"/>
            <w:tcBorders>
              <w:top w:val="single" w:sz="6" w:space="0" w:color="69BD28"/>
              <w:bottom w:val="single" w:sz="6" w:space="0" w:color="69BD28"/>
            </w:tcBorders>
          </w:tcPr>
          <w:p>
            <w:pPr>
              <w:pStyle w:val="TableParagraph"/>
              <w:spacing w:before="42"/>
              <w:ind w:left="1760" w:right="1944"/>
              <w:rPr>
                <w:sz w:val="18"/>
              </w:rPr>
            </w:pPr>
            <w:r>
              <w:rPr>
                <w:sz w:val="18"/>
              </w:rPr>
              <w:t>Uttarakhand</w:t>
            </w:r>
          </w:p>
        </w:tc>
        <w:tc>
          <w:tcPr>
            <w:tcW w:w="4830" w:type="dxa"/>
            <w:tcBorders>
              <w:top w:val="single" w:sz="6" w:space="0" w:color="69BD28"/>
              <w:bottom w:val="single" w:sz="6" w:space="0" w:color="69BD28"/>
            </w:tcBorders>
          </w:tcPr>
          <w:p>
            <w:pPr>
              <w:pStyle w:val="TableParagraph"/>
              <w:spacing w:before="42"/>
              <w:ind w:left="1937" w:right="2136"/>
              <w:rPr>
                <w:sz w:val="18"/>
              </w:rPr>
            </w:pPr>
            <w:r>
              <w:rPr>
                <w:w w:val="110"/>
                <w:sz w:val="18"/>
              </w:rPr>
              <w:t>19</w:t>
            </w:r>
          </w:p>
        </w:tc>
      </w:tr>
    </w:tbl>
    <w:p>
      <w:pPr>
        <w:spacing w:before="0"/>
        <w:ind w:left="680" w:right="0" w:firstLine="0"/>
        <w:jc w:val="left"/>
        <w:rPr>
          <w:i/>
          <w:sz w:val="18"/>
        </w:rPr>
      </w:pPr>
      <w:r>
        <w:rPr>
          <w:i/>
          <w:sz w:val="18"/>
        </w:rPr>
        <w:t>Source: </w:t>
      </w:r>
      <w:hyperlink r:id="rId311">
        <w:r>
          <w:rPr>
            <w:i/>
            <w:sz w:val="18"/>
          </w:rPr>
          <w:t>www.mnre.gov.in</w:t>
        </w:r>
      </w:hyperlink>
    </w:p>
    <w:p>
      <w:pPr>
        <w:spacing w:before="115"/>
        <w:ind w:left="680" w:right="0" w:firstLine="0"/>
        <w:jc w:val="left"/>
        <w:rPr>
          <w:i/>
          <w:sz w:val="18"/>
        </w:rPr>
      </w:pPr>
      <w:r>
        <w:rPr>
          <w:i/>
          <w:sz w:val="18"/>
        </w:rPr>
        <w:t>Note: The calculation is based on average plant performance across each state</w:t>
      </w:r>
    </w:p>
    <w:p>
      <w:pPr>
        <w:pStyle w:val="BodyText"/>
        <w:rPr>
          <w:i/>
        </w:rPr>
      </w:pPr>
    </w:p>
    <w:p>
      <w:pPr>
        <w:pStyle w:val="BodyText"/>
        <w:spacing w:before="6"/>
        <w:rPr>
          <w:i/>
          <w:sz w:val="17"/>
        </w:rPr>
      </w:pPr>
    </w:p>
    <w:p>
      <w:pPr>
        <w:pStyle w:val="BodyText"/>
        <w:spacing w:line="321" w:lineRule="auto"/>
        <w:ind w:left="1242" w:right="679"/>
        <w:jc w:val="both"/>
      </w:pPr>
      <w:r>
        <w:rPr/>
        <w:t>Hence,</w:t>
      </w:r>
      <w:r>
        <w:rPr>
          <w:spacing w:val="-6"/>
        </w:rPr>
        <w:t> </w:t>
      </w:r>
      <w:r>
        <w:rPr/>
        <w:t>the</w:t>
      </w:r>
      <w:r>
        <w:rPr>
          <w:spacing w:val="-6"/>
        </w:rPr>
        <w:t> </w:t>
      </w:r>
      <w:r>
        <w:rPr/>
        <w:t>Capacity</w:t>
      </w:r>
      <w:r>
        <w:rPr>
          <w:spacing w:val="-7"/>
        </w:rPr>
        <w:t> </w:t>
      </w:r>
      <w:r>
        <w:rPr/>
        <w:t>Utilization</w:t>
      </w:r>
      <w:r>
        <w:rPr>
          <w:spacing w:val="-6"/>
        </w:rPr>
        <w:t> </w:t>
      </w:r>
      <w:r>
        <w:rPr/>
        <w:t>Factor</w:t>
      </w:r>
      <w:r>
        <w:rPr>
          <w:spacing w:val="-5"/>
        </w:rPr>
        <w:t> </w:t>
      </w:r>
      <w:r>
        <w:rPr/>
        <w:t>of</w:t>
      </w:r>
      <w:r>
        <w:rPr>
          <w:spacing w:val="-6"/>
        </w:rPr>
        <w:t> </w:t>
      </w:r>
      <w:r>
        <w:rPr/>
        <w:t>18.9%</w:t>
      </w:r>
      <w:r>
        <w:rPr>
          <w:spacing w:val="-6"/>
        </w:rPr>
        <w:t> </w:t>
      </w:r>
      <w:r>
        <w:rPr/>
        <w:t>assumed</w:t>
      </w:r>
      <w:r>
        <w:rPr>
          <w:spacing w:val="-6"/>
        </w:rPr>
        <w:t> </w:t>
      </w:r>
      <w:r>
        <w:rPr/>
        <w:t>for</w:t>
      </w:r>
      <w:r>
        <w:rPr>
          <w:spacing w:val="-6"/>
        </w:rPr>
        <w:t> </w:t>
      </w:r>
      <w:r>
        <w:rPr/>
        <w:t>the</w:t>
      </w:r>
      <w:r>
        <w:rPr>
          <w:spacing w:val="-8"/>
        </w:rPr>
        <w:t> </w:t>
      </w:r>
      <w:r>
        <w:rPr/>
        <w:t>subject</w:t>
      </w:r>
      <w:r>
        <w:rPr>
          <w:spacing w:val="-6"/>
        </w:rPr>
        <w:t> </w:t>
      </w:r>
      <w:r>
        <w:rPr/>
        <w:t>plant</w:t>
      </w:r>
      <w:r>
        <w:rPr>
          <w:spacing w:val="-7"/>
        </w:rPr>
        <w:t> </w:t>
      </w:r>
      <w:r>
        <w:rPr/>
        <w:t>is</w:t>
      </w:r>
      <w:r>
        <w:rPr>
          <w:spacing w:val="-3"/>
        </w:rPr>
        <w:t> </w:t>
      </w:r>
      <w:r>
        <w:rPr/>
        <w:t>in</w:t>
      </w:r>
      <w:r>
        <w:rPr>
          <w:spacing w:val="-7"/>
        </w:rPr>
        <w:t> </w:t>
      </w:r>
      <w:r>
        <w:rPr/>
        <w:t>line</w:t>
      </w:r>
      <w:r>
        <w:rPr>
          <w:spacing w:val="-7"/>
        </w:rPr>
        <w:t> </w:t>
      </w:r>
      <w:r>
        <w:rPr/>
        <w:t>with</w:t>
      </w:r>
      <w:r>
        <w:rPr>
          <w:spacing w:val="-8"/>
        </w:rPr>
        <w:t> </w:t>
      </w:r>
      <w:r>
        <w:rPr/>
        <w:t>industry benchmarks.</w:t>
      </w:r>
    </w:p>
    <w:p>
      <w:pPr>
        <w:spacing w:after="0" w:line="321" w:lineRule="auto"/>
        <w:jc w:val="both"/>
        <w:sectPr>
          <w:pgSz w:w="11910" w:h="16840"/>
          <w:pgMar w:header="720" w:footer="862" w:top="1660" w:bottom="1060" w:left="40" w:right="40"/>
        </w:sectPr>
      </w:pPr>
    </w:p>
    <w:p>
      <w:pPr>
        <w:pStyle w:val="BodyText"/>
        <w:spacing w:before="7"/>
        <w:rPr>
          <w:sz w:val="9"/>
        </w:rPr>
      </w:pPr>
    </w:p>
    <w:p>
      <w:pPr>
        <w:pStyle w:val="ListParagraph"/>
        <w:numPr>
          <w:ilvl w:val="2"/>
          <w:numId w:val="93"/>
        </w:numPr>
        <w:tabs>
          <w:tab w:pos="1401" w:val="left" w:leader="none"/>
        </w:tabs>
        <w:spacing w:line="240" w:lineRule="auto" w:before="106" w:after="0"/>
        <w:ind w:left="1400" w:right="0" w:hanging="721"/>
        <w:jc w:val="left"/>
        <w:rPr>
          <w:sz w:val="22"/>
        </w:rPr>
      </w:pPr>
      <w:bookmarkStart w:name="_bookmark390" w:id="762"/>
      <w:bookmarkEnd w:id="762"/>
      <w:r>
        <w:rPr/>
      </w:r>
      <w:bookmarkStart w:name="_bookmark390" w:id="763"/>
      <w:bookmarkEnd w:id="763"/>
      <w:r>
        <w:rPr>
          <w:color w:val="1F664D"/>
          <w:sz w:val="22"/>
        </w:rPr>
        <w:t>Co</w:t>
      </w:r>
      <w:r>
        <w:rPr>
          <w:color w:val="1F664D"/>
          <w:sz w:val="22"/>
        </w:rPr>
        <w:t>mmercial/Industrial</w:t>
      </w:r>
      <w:r>
        <w:rPr>
          <w:color w:val="1F664D"/>
          <w:spacing w:val="-3"/>
          <w:sz w:val="22"/>
        </w:rPr>
        <w:t> </w:t>
      </w:r>
      <w:r>
        <w:rPr>
          <w:color w:val="1F664D"/>
          <w:sz w:val="22"/>
        </w:rPr>
        <w:t>tariff</w:t>
      </w:r>
    </w:p>
    <w:p>
      <w:pPr>
        <w:pStyle w:val="BodyText"/>
        <w:spacing w:before="3"/>
        <w:rPr>
          <w:sz w:val="28"/>
        </w:rPr>
      </w:pPr>
    </w:p>
    <w:p>
      <w:pPr>
        <w:pStyle w:val="BodyText"/>
        <w:spacing w:line="372" w:lineRule="auto"/>
        <w:ind w:left="1242" w:right="675"/>
        <w:jc w:val="both"/>
      </w:pPr>
      <w:r>
        <w:rPr/>
        <w:t>Based</w:t>
      </w:r>
      <w:r>
        <w:rPr>
          <w:spacing w:val="-9"/>
        </w:rPr>
        <w:t> </w:t>
      </w:r>
      <w:r>
        <w:rPr/>
        <w:t>on</w:t>
      </w:r>
      <w:r>
        <w:rPr>
          <w:spacing w:val="-8"/>
        </w:rPr>
        <w:t> </w:t>
      </w:r>
      <w:r>
        <w:rPr/>
        <w:t>review</w:t>
      </w:r>
      <w:r>
        <w:rPr>
          <w:spacing w:val="-8"/>
        </w:rPr>
        <w:t> </w:t>
      </w:r>
      <w:r>
        <w:rPr/>
        <w:t>of</w:t>
      </w:r>
      <w:r>
        <w:rPr>
          <w:spacing w:val="-8"/>
        </w:rPr>
        <w:t> </w:t>
      </w:r>
      <w:r>
        <w:rPr/>
        <w:t>Power</w:t>
      </w:r>
      <w:r>
        <w:rPr>
          <w:spacing w:val="-9"/>
        </w:rPr>
        <w:t> </w:t>
      </w:r>
      <w:r>
        <w:rPr/>
        <w:t>Purchase</w:t>
      </w:r>
      <w:r>
        <w:rPr>
          <w:spacing w:val="-9"/>
        </w:rPr>
        <w:t> </w:t>
      </w:r>
      <w:r>
        <w:rPr/>
        <w:t>Agreements</w:t>
      </w:r>
      <w:r>
        <w:rPr>
          <w:spacing w:val="-4"/>
        </w:rPr>
        <w:t> </w:t>
      </w:r>
      <w:r>
        <w:rPr/>
        <w:t>(PPAs)</w:t>
      </w:r>
      <w:r>
        <w:rPr>
          <w:spacing w:val="-10"/>
        </w:rPr>
        <w:t> </w:t>
      </w:r>
      <w:r>
        <w:rPr/>
        <w:t>signed</w:t>
      </w:r>
      <w:r>
        <w:rPr>
          <w:spacing w:val="-8"/>
        </w:rPr>
        <w:t> </w:t>
      </w:r>
      <w:r>
        <w:rPr/>
        <w:t>between</w:t>
      </w:r>
      <w:r>
        <w:rPr>
          <w:spacing w:val="-8"/>
        </w:rPr>
        <w:t> </w:t>
      </w:r>
      <w:r>
        <w:rPr/>
        <w:t>EEPL</w:t>
      </w:r>
      <w:r>
        <w:rPr>
          <w:spacing w:val="-8"/>
        </w:rPr>
        <w:t> </w:t>
      </w:r>
      <w:r>
        <w:rPr/>
        <w:t>and</w:t>
      </w:r>
      <w:r>
        <w:rPr>
          <w:spacing w:val="-8"/>
        </w:rPr>
        <w:t> </w:t>
      </w:r>
      <w:r>
        <w:rPr/>
        <w:t>various</w:t>
      </w:r>
      <w:r>
        <w:rPr>
          <w:spacing w:val="-8"/>
        </w:rPr>
        <w:t> </w:t>
      </w:r>
      <w:r>
        <w:rPr/>
        <w:t>entities,</w:t>
      </w:r>
      <w:r>
        <w:rPr>
          <w:spacing w:val="-11"/>
        </w:rPr>
        <w:t> </w:t>
      </w:r>
      <w:r>
        <w:rPr/>
        <w:t>we understand</w:t>
      </w:r>
      <w:r>
        <w:rPr>
          <w:spacing w:val="-48"/>
        </w:rPr>
        <w:t> </w:t>
      </w:r>
      <w:r>
        <w:rPr/>
        <w:t>that</w:t>
      </w:r>
      <w:r>
        <w:rPr>
          <w:spacing w:val="-49"/>
        </w:rPr>
        <w:t> </w:t>
      </w:r>
      <w:r>
        <w:rPr/>
        <w:t>solar</w:t>
      </w:r>
      <w:r>
        <w:rPr>
          <w:spacing w:val="-48"/>
        </w:rPr>
        <w:t> </w:t>
      </w:r>
      <w:r>
        <w:rPr/>
        <w:t>plant</w:t>
      </w:r>
      <w:r>
        <w:rPr>
          <w:spacing w:val="-48"/>
        </w:rPr>
        <w:t> </w:t>
      </w:r>
      <w:r>
        <w:rPr/>
        <w:t>supplies</w:t>
      </w:r>
      <w:r>
        <w:rPr>
          <w:spacing w:val="-47"/>
        </w:rPr>
        <w:t> </w:t>
      </w:r>
      <w:r>
        <w:rPr/>
        <w:t>electricity</w:t>
      </w:r>
      <w:r>
        <w:rPr>
          <w:spacing w:val="-48"/>
        </w:rPr>
        <w:t> </w:t>
      </w:r>
      <w:r>
        <w:rPr/>
        <w:t>to</w:t>
      </w:r>
      <w:r>
        <w:rPr>
          <w:spacing w:val="-48"/>
        </w:rPr>
        <w:t> </w:t>
      </w:r>
      <w:r>
        <w:rPr/>
        <w:t>the</w:t>
      </w:r>
      <w:r>
        <w:rPr>
          <w:spacing w:val="-48"/>
        </w:rPr>
        <w:t> </w:t>
      </w:r>
      <w:r>
        <w:rPr/>
        <w:t>existing</w:t>
      </w:r>
      <w:r>
        <w:rPr>
          <w:spacing w:val="-48"/>
        </w:rPr>
        <w:t> </w:t>
      </w:r>
      <w:r>
        <w:rPr/>
        <w:t>office</w:t>
      </w:r>
      <w:r>
        <w:rPr>
          <w:spacing w:val="-47"/>
        </w:rPr>
        <w:t> </w:t>
      </w:r>
      <w:r>
        <w:rPr/>
        <w:t>parks</w:t>
      </w:r>
      <w:r>
        <w:rPr>
          <w:spacing w:val="-48"/>
        </w:rPr>
        <w:t> </w:t>
      </w:r>
      <w:r>
        <w:rPr/>
        <w:t>/</w:t>
      </w:r>
      <w:r>
        <w:rPr>
          <w:spacing w:val="-48"/>
        </w:rPr>
        <w:t> </w:t>
      </w:r>
      <w:r>
        <w:rPr/>
        <w:t>hotels</w:t>
      </w:r>
      <w:r>
        <w:rPr>
          <w:spacing w:val="-47"/>
        </w:rPr>
        <w:t> </w:t>
      </w:r>
      <w:r>
        <w:rPr/>
        <w:t>of</w:t>
      </w:r>
      <w:r>
        <w:rPr>
          <w:spacing w:val="-48"/>
        </w:rPr>
        <w:t> </w:t>
      </w:r>
      <w:r>
        <w:rPr/>
        <w:t>Embassy</w:t>
      </w:r>
      <w:r>
        <w:rPr>
          <w:spacing w:val="-47"/>
        </w:rPr>
        <w:t> </w:t>
      </w:r>
      <w:r>
        <w:rPr/>
        <w:t>in</w:t>
      </w:r>
      <w:r>
        <w:rPr>
          <w:spacing w:val="-49"/>
        </w:rPr>
        <w:t> </w:t>
      </w:r>
      <w:r>
        <w:rPr/>
        <w:t>Bengaluru and</w:t>
      </w:r>
      <w:r>
        <w:rPr>
          <w:spacing w:val="-9"/>
        </w:rPr>
        <w:t> </w:t>
      </w:r>
      <w:r>
        <w:rPr/>
        <w:t>the</w:t>
      </w:r>
      <w:r>
        <w:rPr>
          <w:spacing w:val="-9"/>
        </w:rPr>
        <w:t> </w:t>
      </w:r>
      <w:r>
        <w:rPr/>
        <w:t>tariff</w:t>
      </w:r>
      <w:r>
        <w:rPr>
          <w:spacing w:val="-9"/>
        </w:rPr>
        <w:t> </w:t>
      </w:r>
      <w:r>
        <w:rPr/>
        <w:t>shall</w:t>
      </w:r>
      <w:r>
        <w:rPr>
          <w:spacing w:val="-10"/>
        </w:rPr>
        <w:t> </w:t>
      </w:r>
      <w:r>
        <w:rPr/>
        <w:t>be</w:t>
      </w:r>
      <w:r>
        <w:rPr>
          <w:spacing w:val="-9"/>
        </w:rPr>
        <w:t> </w:t>
      </w:r>
      <w:r>
        <w:rPr/>
        <w:t>calculated</w:t>
      </w:r>
      <w:r>
        <w:rPr>
          <w:spacing w:val="-8"/>
        </w:rPr>
        <w:t> </w:t>
      </w:r>
      <w:r>
        <w:rPr/>
        <w:t>in</w:t>
      </w:r>
      <w:r>
        <w:rPr>
          <w:spacing w:val="-10"/>
        </w:rPr>
        <w:t> </w:t>
      </w:r>
      <w:r>
        <w:rPr/>
        <w:t>accordance</w:t>
      </w:r>
      <w:r>
        <w:rPr>
          <w:spacing w:val="-9"/>
        </w:rPr>
        <w:t> </w:t>
      </w:r>
      <w:r>
        <w:rPr/>
        <w:t>with</w:t>
      </w:r>
      <w:r>
        <w:rPr>
          <w:spacing w:val="-9"/>
        </w:rPr>
        <w:t> </w:t>
      </w:r>
      <w:r>
        <w:rPr/>
        <w:t>the</w:t>
      </w:r>
      <w:r>
        <w:rPr>
          <w:spacing w:val="-8"/>
        </w:rPr>
        <w:t> </w:t>
      </w:r>
      <w:r>
        <w:rPr/>
        <w:t>prevailing</w:t>
      </w:r>
      <w:r>
        <w:rPr>
          <w:spacing w:val="-8"/>
        </w:rPr>
        <w:t> </w:t>
      </w:r>
      <w:r>
        <w:rPr/>
        <w:t>BESCOM</w:t>
      </w:r>
      <w:r>
        <w:rPr>
          <w:spacing w:val="-8"/>
        </w:rPr>
        <w:t> </w:t>
      </w:r>
      <w:r>
        <w:rPr/>
        <w:t>tariff.</w:t>
      </w:r>
      <w:r>
        <w:rPr>
          <w:spacing w:val="-9"/>
        </w:rPr>
        <w:t> </w:t>
      </w:r>
      <w:r>
        <w:rPr/>
        <w:t>Hence,</w:t>
      </w:r>
      <w:r>
        <w:rPr>
          <w:spacing w:val="-9"/>
        </w:rPr>
        <w:t> </w:t>
      </w:r>
      <w:r>
        <w:rPr/>
        <w:t>in</w:t>
      </w:r>
      <w:r>
        <w:rPr>
          <w:spacing w:val="-5"/>
        </w:rPr>
        <w:t> </w:t>
      </w:r>
      <w:r>
        <w:rPr/>
        <w:t>order</w:t>
      </w:r>
      <w:r>
        <w:rPr>
          <w:spacing w:val="-10"/>
        </w:rPr>
        <w:t> </w:t>
      </w:r>
      <w:r>
        <w:rPr/>
        <w:t>to ascertain</w:t>
      </w:r>
      <w:r>
        <w:rPr>
          <w:spacing w:val="-4"/>
        </w:rPr>
        <w:t> </w:t>
      </w:r>
      <w:r>
        <w:rPr/>
        <w:t>the</w:t>
      </w:r>
      <w:r>
        <w:rPr>
          <w:spacing w:val="-5"/>
        </w:rPr>
        <w:t> </w:t>
      </w:r>
      <w:r>
        <w:rPr/>
        <w:t>revenues</w:t>
      </w:r>
      <w:r>
        <w:rPr>
          <w:spacing w:val="-2"/>
        </w:rPr>
        <w:t> </w:t>
      </w:r>
      <w:r>
        <w:rPr/>
        <w:t>from</w:t>
      </w:r>
      <w:r>
        <w:rPr>
          <w:spacing w:val="-4"/>
        </w:rPr>
        <w:t> </w:t>
      </w:r>
      <w:r>
        <w:rPr/>
        <w:t>the</w:t>
      </w:r>
      <w:r>
        <w:rPr>
          <w:spacing w:val="-4"/>
        </w:rPr>
        <w:t> </w:t>
      </w:r>
      <w:r>
        <w:rPr/>
        <w:t>solar</w:t>
      </w:r>
      <w:r>
        <w:rPr>
          <w:spacing w:val="-4"/>
        </w:rPr>
        <w:t> </w:t>
      </w:r>
      <w:r>
        <w:rPr/>
        <w:t>plant,</w:t>
      </w:r>
      <w:r>
        <w:rPr>
          <w:spacing w:val="-4"/>
        </w:rPr>
        <w:t> </w:t>
      </w:r>
      <w:r>
        <w:rPr/>
        <w:t>we</w:t>
      </w:r>
      <w:r>
        <w:rPr>
          <w:spacing w:val="-4"/>
        </w:rPr>
        <w:t> </w:t>
      </w:r>
      <w:r>
        <w:rPr/>
        <w:t>have</w:t>
      </w:r>
      <w:r>
        <w:rPr>
          <w:spacing w:val="-4"/>
        </w:rPr>
        <w:t> </w:t>
      </w:r>
      <w:r>
        <w:rPr/>
        <w:t>looked</w:t>
      </w:r>
      <w:r>
        <w:rPr>
          <w:spacing w:val="-3"/>
        </w:rPr>
        <w:t> </w:t>
      </w:r>
      <w:r>
        <w:rPr/>
        <w:t>at</w:t>
      </w:r>
      <w:r>
        <w:rPr>
          <w:spacing w:val="-3"/>
        </w:rPr>
        <w:t> </w:t>
      </w:r>
      <w:r>
        <w:rPr/>
        <w:t>the</w:t>
      </w:r>
      <w:r>
        <w:rPr>
          <w:spacing w:val="-4"/>
        </w:rPr>
        <w:t> </w:t>
      </w:r>
      <w:r>
        <w:rPr/>
        <w:t>prevailing</w:t>
      </w:r>
      <w:r>
        <w:rPr>
          <w:spacing w:val="-3"/>
        </w:rPr>
        <w:t> </w:t>
      </w:r>
      <w:r>
        <w:rPr/>
        <w:t>and</w:t>
      </w:r>
      <w:r>
        <w:rPr>
          <w:spacing w:val="-3"/>
        </w:rPr>
        <w:t> </w:t>
      </w:r>
      <w:r>
        <w:rPr/>
        <w:t>historical</w:t>
      </w:r>
      <w:r>
        <w:rPr>
          <w:spacing w:val="-4"/>
        </w:rPr>
        <w:t> </w:t>
      </w:r>
      <w:r>
        <w:rPr/>
        <w:t>BESCOM tariffs applicable to areas under Bruhat Bengaluru Mahangara Palike (BBMP) and Municipal Corporations for commercial and industrial category</w:t>
      </w:r>
      <w:r>
        <w:rPr>
          <w:spacing w:val="-28"/>
        </w:rPr>
        <w:t> </w:t>
      </w:r>
      <w:r>
        <w:rPr/>
        <w:t>consumers.</w:t>
      </w:r>
    </w:p>
    <w:p>
      <w:pPr>
        <w:pStyle w:val="BodyText"/>
        <w:spacing w:before="6"/>
        <w:rPr>
          <w:sz w:val="20"/>
        </w:rPr>
      </w:pPr>
    </w:p>
    <w:p>
      <w:pPr>
        <w:pStyle w:val="BodyText"/>
        <w:ind w:left="1242"/>
        <w:jc w:val="both"/>
      </w:pPr>
      <w:r>
        <w:rPr/>
        <w:t>The</w:t>
      </w:r>
      <w:r>
        <w:rPr>
          <w:spacing w:val="-28"/>
        </w:rPr>
        <w:t> </w:t>
      </w:r>
      <w:r>
        <w:rPr/>
        <w:t>details</w:t>
      </w:r>
      <w:r>
        <w:rPr>
          <w:spacing w:val="-25"/>
        </w:rPr>
        <w:t> </w:t>
      </w:r>
      <w:r>
        <w:rPr/>
        <w:t>of</w:t>
      </w:r>
      <w:r>
        <w:rPr>
          <w:spacing w:val="-28"/>
        </w:rPr>
        <w:t> </w:t>
      </w:r>
      <w:r>
        <w:rPr/>
        <w:t>the</w:t>
      </w:r>
      <w:r>
        <w:rPr>
          <w:spacing w:val="-27"/>
        </w:rPr>
        <w:t> </w:t>
      </w:r>
      <w:r>
        <w:rPr/>
        <w:t>same</w:t>
      </w:r>
      <w:r>
        <w:rPr>
          <w:spacing w:val="-26"/>
        </w:rPr>
        <w:t> </w:t>
      </w:r>
      <w:r>
        <w:rPr/>
        <w:t>have</w:t>
      </w:r>
      <w:r>
        <w:rPr>
          <w:spacing w:val="-27"/>
        </w:rPr>
        <w:t> </w:t>
      </w:r>
      <w:r>
        <w:rPr/>
        <w:t>been</w:t>
      </w:r>
      <w:r>
        <w:rPr>
          <w:spacing w:val="-27"/>
        </w:rPr>
        <w:t> </w:t>
      </w:r>
      <w:r>
        <w:rPr/>
        <w:t>mentioned</w:t>
      </w:r>
      <w:r>
        <w:rPr>
          <w:spacing w:val="-25"/>
        </w:rPr>
        <w:t> </w:t>
      </w:r>
      <w:r>
        <w:rPr/>
        <w:t>in</w:t>
      </w:r>
      <w:r>
        <w:rPr>
          <w:spacing w:val="-28"/>
        </w:rPr>
        <w:t> </w:t>
      </w:r>
      <w:r>
        <w:rPr/>
        <w:t>the</w:t>
      </w:r>
      <w:r>
        <w:rPr>
          <w:spacing w:val="-26"/>
        </w:rPr>
        <w:t> </w:t>
      </w:r>
      <w:r>
        <w:rPr/>
        <w:t>table</w:t>
      </w:r>
      <w:r>
        <w:rPr>
          <w:spacing w:val="-27"/>
        </w:rPr>
        <w:t> </w:t>
      </w:r>
      <w:r>
        <w:rPr/>
        <w:t>below:</w:t>
      </w:r>
    </w:p>
    <w:p>
      <w:pPr>
        <w:pStyle w:val="BodyText"/>
        <w:spacing w:before="6"/>
        <w:rPr>
          <w:sz w:val="11"/>
        </w:rPr>
      </w:pPr>
    </w:p>
    <w:tbl>
      <w:tblPr>
        <w:tblW w:w="0" w:type="auto"/>
        <w:jc w:val="left"/>
        <w:tblInd w:w="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76"/>
        <w:gridCol w:w="1000"/>
        <w:gridCol w:w="994"/>
        <w:gridCol w:w="966"/>
        <w:gridCol w:w="919"/>
        <w:gridCol w:w="898"/>
        <w:gridCol w:w="900"/>
        <w:gridCol w:w="898"/>
        <w:gridCol w:w="900"/>
        <w:gridCol w:w="904"/>
        <w:gridCol w:w="898"/>
      </w:tblGrid>
      <w:tr>
        <w:trPr>
          <w:trHeight w:val="289" w:hRule="atLeast"/>
        </w:trPr>
        <w:tc>
          <w:tcPr>
            <w:tcW w:w="1976" w:type="dxa"/>
            <w:tcBorders>
              <w:top w:val="single" w:sz="6" w:space="0" w:color="69BD28"/>
            </w:tcBorders>
            <w:shd w:val="clear" w:color="auto" w:fill="006A4D"/>
          </w:tcPr>
          <w:p>
            <w:pPr>
              <w:pStyle w:val="TableParagraph"/>
              <w:spacing w:before="42"/>
              <w:ind w:left="105" w:right="106"/>
              <w:rPr>
                <w:sz w:val="18"/>
              </w:rPr>
            </w:pPr>
            <w:r>
              <w:rPr>
                <w:color w:val="FFFFFF"/>
                <w:sz w:val="18"/>
              </w:rPr>
              <w:t>Category</w:t>
            </w:r>
          </w:p>
        </w:tc>
        <w:tc>
          <w:tcPr>
            <w:tcW w:w="1000" w:type="dxa"/>
            <w:tcBorders>
              <w:top w:val="single" w:sz="6" w:space="0" w:color="69BD28"/>
              <w:bottom w:val="single" w:sz="6" w:space="0" w:color="69BD28"/>
            </w:tcBorders>
            <w:shd w:val="clear" w:color="auto" w:fill="006A4D"/>
          </w:tcPr>
          <w:p>
            <w:pPr>
              <w:pStyle w:val="TableParagraph"/>
              <w:spacing w:before="42"/>
              <w:ind w:left="165"/>
              <w:jc w:val="left"/>
              <w:rPr>
                <w:sz w:val="18"/>
              </w:rPr>
            </w:pPr>
            <w:r>
              <w:rPr>
                <w:color w:val="FFFFFF"/>
                <w:w w:val="110"/>
                <w:sz w:val="18"/>
              </w:rPr>
              <w:t>FY 2011</w:t>
            </w:r>
          </w:p>
        </w:tc>
        <w:tc>
          <w:tcPr>
            <w:tcW w:w="994" w:type="dxa"/>
            <w:tcBorders>
              <w:top w:val="single" w:sz="6" w:space="0" w:color="69BD28"/>
              <w:bottom w:val="single" w:sz="6" w:space="0" w:color="69BD28"/>
            </w:tcBorders>
            <w:shd w:val="clear" w:color="auto" w:fill="006A4D"/>
          </w:tcPr>
          <w:p>
            <w:pPr>
              <w:pStyle w:val="TableParagraph"/>
              <w:spacing w:before="42"/>
              <w:ind w:left="161"/>
              <w:jc w:val="left"/>
              <w:rPr>
                <w:sz w:val="18"/>
              </w:rPr>
            </w:pPr>
            <w:r>
              <w:rPr>
                <w:color w:val="FFFFFF"/>
                <w:w w:val="110"/>
                <w:sz w:val="18"/>
              </w:rPr>
              <w:t>FY 2012</w:t>
            </w:r>
          </w:p>
        </w:tc>
        <w:tc>
          <w:tcPr>
            <w:tcW w:w="966" w:type="dxa"/>
            <w:tcBorders>
              <w:top w:val="single" w:sz="6" w:space="0" w:color="69BD28"/>
              <w:bottom w:val="single" w:sz="6" w:space="0" w:color="69BD28"/>
            </w:tcBorders>
            <w:shd w:val="clear" w:color="auto" w:fill="006A4D"/>
          </w:tcPr>
          <w:p>
            <w:pPr>
              <w:pStyle w:val="TableParagraph"/>
              <w:spacing w:before="42"/>
              <w:ind w:left="158"/>
              <w:jc w:val="left"/>
              <w:rPr>
                <w:sz w:val="18"/>
              </w:rPr>
            </w:pPr>
            <w:r>
              <w:rPr>
                <w:color w:val="FFFFFF"/>
                <w:w w:val="110"/>
                <w:sz w:val="18"/>
              </w:rPr>
              <w:t>FY 2013</w:t>
            </w:r>
          </w:p>
        </w:tc>
        <w:tc>
          <w:tcPr>
            <w:tcW w:w="919" w:type="dxa"/>
            <w:tcBorders>
              <w:top w:val="single" w:sz="6" w:space="0" w:color="69BD28"/>
              <w:bottom w:val="single" w:sz="6" w:space="0" w:color="69BD28"/>
            </w:tcBorders>
            <w:shd w:val="clear" w:color="auto" w:fill="006A4D"/>
          </w:tcPr>
          <w:p>
            <w:pPr>
              <w:pStyle w:val="TableParagraph"/>
              <w:spacing w:before="42"/>
              <w:ind w:left="134"/>
              <w:jc w:val="left"/>
              <w:rPr>
                <w:sz w:val="18"/>
              </w:rPr>
            </w:pPr>
            <w:r>
              <w:rPr>
                <w:color w:val="FFFFFF"/>
                <w:w w:val="110"/>
                <w:sz w:val="18"/>
              </w:rPr>
              <w:t>FY 2014</w:t>
            </w:r>
          </w:p>
        </w:tc>
        <w:tc>
          <w:tcPr>
            <w:tcW w:w="898" w:type="dxa"/>
            <w:tcBorders>
              <w:top w:val="single" w:sz="6" w:space="0" w:color="69BD28"/>
              <w:bottom w:val="single" w:sz="6" w:space="0" w:color="69BD28"/>
            </w:tcBorders>
            <w:shd w:val="clear" w:color="auto" w:fill="006A4D"/>
          </w:tcPr>
          <w:p>
            <w:pPr>
              <w:pStyle w:val="TableParagraph"/>
              <w:spacing w:before="42"/>
              <w:ind w:left="112"/>
              <w:jc w:val="left"/>
              <w:rPr>
                <w:sz w:val="18"/>
              </w:rPr>
            </w:pPr>
            <w:r>
              <w:rPr>
                <w:color w:val="FFFFFF"/>
                <w:w w:val="110"/>
                <w:sz w:val="18"/>
              </w:rPr>
              <w:t>FY 2015</w:t>
            </w:r>
          </w:p>
        </w:tc>
        <w:tc>
          <w:tcPr>
            <w:tcW w:w="900" w:type="dxa"/>
            <w:tcBorders>
              <w:top w:val="single" w:sz="6" w:space="0" w:color="69BD28"/>
              <w:bottom w:val="single" w:sz="6" w:space="0" w:color="69BD28"/>
            </w:tcBorders>
            <w:shd w:val="clear" w:color="auto" w:fill="006A4D"/>
          </w:tcPr>
          <w:p>
            <w:pPr>
              <w:pStyle w:val="TableParagraph"/>
              <w:spacing w:before="42"/>
              <w:ind w:left="114"/>
              <w:jc w:val="left"/>
              <w:rPr>
                <w:sz w:val="18"/>
              </w:rPr>
            </w:pPr>
            <w:r>
              <w:rPr>
                <w:color w:val="FFFFFF"/>
                <w:w w:val="110"/>
                <w:sz w:val="18"/>
              </w:rPr>
              <w:t>FY 2016</w:t>
            </w:r>
          </w:p>
        </w:tc>
        <w:tc>
          <w:tcPr>
            <w:tcW w:w="898" w:type="dxa"/>
            <w:tcBorders>
              <w:top w:val="single" w:sz="6" w:space="0" w:color="69BD28"/>
              <w:bottom w:val="single" w:sz="6" w:space="0" w:color="69BD28"/>
            </w:tcBorders>
            <w:shd w:val="clear" w:color="auto" w:fill="006A4D"/>
          </w:tcPr>
          <w:p>
            <w:pPr>
              <w:pStyle w:val="TableParagraph"/>
              <w:spacing w:before="42"/>
              <w:ind w:left="115"/>
              <w:jc w:val="left"/>
              <w:rPr>
                <w:sz w:val="18"/>
              </w:rPr>
            </w:pPr>
            <w:r>
              <w:rPr>
                <w:color w:val="FFFFFF"/>
                <w:w w:val="110"/>
                <w:sz w:val="18"/>
              </w:rPr>
              <w:t>FY 2017</w:t>
            </w:r>
          </w:p>
        </w:tc>
        <w:tc>
          <w:tcPr>
            <w:tcW w:w="900" w:type="dxa"/>
            <w:tcBorders>
              <w:top w:val="single" w:sz="6" w:space="0" w:color="69BD28"/>
              <w:bottom w:val="single" w:sz="6" w:space="0" w:color="69BD28"/>
            </w:tcBorders>
            <w:shd w:val="clear" w:color="auto" w:fill="006A4D"/>
          </w:tcPr>
          <w:p>
            <w:pPr>
              <w:pStyle w:val="TableParagraph"/>
              <w:spacing w:before="42"/>
              <w:ind w:left="112"/>
              <w:jc w:val="left"/>
              <w:rPr>
                <w:sz w:val="18"/>
              </w:rPr>
            </w:pPr>
            <w:r>
              <w:rPr>
                <w:color w:val="FFFFFF"/>
                <w:w w:val="110"/>
                <w:sz w:val="18"/>
              </w:rPr>
              <w:t>FY 2018</w:t>
            </w:r>
          </w:p>
        </w:tc>
        <w:tc>
          <w:tcPr>
            <w:tcW w:w="904" w:type="dxa"/>
            <w:tcBorders>
              <w:top w:val="single" w:sz="6" w:space="0" w:color="69BD28"/>
              <w:bottom w:val="single" w:sz="6" w:space="0" w:color="69BD28"/>
            </w:tcBorders>
            <w:shd w:val="clear" w:color="auto" w:fill="006A4D"/>
          </w:tcPr>
          <w:p>
            <w:pPr>
              <w:pStyle w:val="TableParagraph"/>
              <w:spacing w:before="42"/>
              <w:ind w:left="117"/>
              <w:jc w:val="left"/>
              <w:rPr>
                <w:sz w:val="18"/>
              </w:rPr>
            </w:pPr>
            <w:r>
              <w:rPr>
                <w:color w:val="FFFFFF"/>
                <w:w w:val="110"/>
                <w:sz w:val="18"/>
              </w:rPr>
              <w:t>FY 2019</w:t>
            </w:r>
          </w:p>
        </w:tc>
        <w:tc>
          <w:tcPr>
            <w:tcW w:w="898" w:type="dxa"/>
            <w:tcBorders>
              <w:top w:val="single" w:sz="6" w:space="0" w:color="69BD28"/>
              <w:bottom w:val="single" w:sz="6" w:space="0" w:color="69BD28"/>
            </w:tcBorders>
            <w:shd w:val="clear" w:color="auto" w:fill="006A4D"/>
          </w:tcPr>
          <w:p>
            <w:pPr>
              <w:pStyle w:val="TableParagraph"/>
              <w:spacing w:before="42"/>
              <w:ind w:left="116"/>
              <w:jc w:val="left"/>
              <w:rPr>
                <w:sz w:val="18"/>
              </w:rPr>
            </w:pPr>
            <w:r>
              <w:rPr>
                <w:color w:val="FFFFFF"/>
                <w:w w:val="110"/>
                <w:sz w:val="18"/>
              </w:rPr>
              <w:t>FY 2020</w:t>
            </w:r>
          </w:p>
        </w:tc>
      </w:tr>
      <w:tr>
        <w:trPr>
          <w:trHeight w:val="290" w:hRule="atLeast"/>
        </w:trPr>
        <w:tc>
          <w:tcPr>
            <w:tcW w:w="1976" w:type="dxa"/>
            <w:shd w:val="clear" w:color="auto" w:fill="69BD28"/>
          </w:tcPr>
          <w:p>
            <w:pPr>
              <w:pStyle w:val="TableParagraph"/>
              <w:spacing w:before="44"/>
              <w:ind w:left="105" w:right="108"/>
              <w:rPr>
                <w:sz w:val="18"/>
              </w:rPr>
            </w:pPr>
            <w:r>
              <w:rPr>
                <w:color w:val="FFFFFF"/>
                <w:sz w:val="18"/>
              </w:rPr>
              <w:t>Commercial HT 2b (i)</w:t>
            </w:r>
          </w:p>
        </w:tc>
        <w:tc>
          <w:tcPr>
            <w:tcW w:w="1000"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314"/>
              <w:jc w:val="left"/>
              <w:rPr>
                <w:sz w:val="18"/>
              </w:rPr>
            </w:pPr>
            <w:r>
              <w:rPr>
                <w:w w:val="105"/>
                <w:sz w:val="18"/>
              </w:rPr>
              <w:t>6.30</w:t>
            </w:r>
          </w:p>
        </w:tc>
        <w:tc>
          <w:tcPr>
            <w:tcW w:w="994"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310"/>
              <w:jc w:val="left"/>
              <w:rPr>
                <w:sz w:val="18"/>
              </w:rPr>
            </w:pPr>
            <w:r>
              <w:rPr>
                <w:w w:val="105"/>
                <w:sz w:val="18"/>
              </w:rPr>
              <w:t>6.80</w:t>
            </w:r>
          </w:p>
        </w:tc>
        <w:tc>
          <w:tcPr>
            <w:tcW w:w="966"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307"/>
              <w:jc w:val="left"/>
              <w:rPr>
                <w:sz w:val="18"/>
              </w:rPr>
            </w:pPr>
            <w:r>
              <w:rPr>
                <w:w w:val="105"/>
                <w:sz w:val="18"/>
              </w:rPr>
              <w:t>7.00</w:t>
            </w:r>
          </w:p>
        </w:tc>
        <w:tc>
          <w:tcPr>
            <w:tcW w:w="919"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82"/>
              <w:jc w:val="left"/>
              <w:rPr>
                <w:sz w:val="18"/>
              </w:rPr>
            </w:pPr>
            <w:r>
              <w:rPr>
                <w:w w:val="105"/>
                <w:sz w:val="18"/>
              </w:rPr>
              <w:t>7.25</w:t>
            </w:r>
          </w:p>
        </w:tc>
        <w:tc>
          <w:tcPr>
            <w:tcW w:w="898"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3"/>
              <w:jc w:val="left"/>
              <w:rPr>
                <w:sz w:val="18"/>
              </w:rPr>
            </w:pPr>
            <w:r>
              <w:rPr>
                <w:w w:val="105"/>
                <w:sz w:val="18"/>
              </w:rPr>
              <w:t>7.65</w:t>
            </w:r>
          </w:p>
        </w:tc>
        <w:tc>
          <w:tcPr>
            <w:tcW w:w="900"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6"/>
              <w:jc w:val="left"/>
              <w:rPr>
                <w:sz w:val="18"/>
              </w:rPr>
            </w:pPr>
            <w:r>
              <w:rPr>
                <w:w w:val="105"/>
                <w:sz w:val="18"/>
              </w:rPr>
              <w:t>7.85</w:t>
            </w:r>
          </w:p>
        </w:tc>
        <w:tc>
          <w:tcPr>
            <w:tcW w:w="898"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6"/>
              <w:jc w:val="left"/>
              <w:rPr>
                <w:sz w:val="18"/>
              </w:rPr>
            </w:pPr>
            <w:r>
              <w:rPr>
                <w:w w:val="105"/>
                <w:sz w:val="18"/>
              </w:rPr>
              <w:t>8.35</w:t>
            </w:r>
          </w:p>
        </w:tc>
        <w:tc>
          <w:tcPr>
            <w:tcW w:w="900"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3"/>
              <w:jc w:val="left"/>
              <w:rPr>
                <w:sz w:val="18"/>
              </w:rPr>
            </w:pPr>
            <w:r>
              <w:rPr>
                <w:w w:val="105"/>
                <w:sz w:val="18"/>
              </w:rPr>
              <w:t>8.55</w:t>
            </w:r>
          </w:p>
        </w:tc>
        <w:tc>
          <w:tcPr>
            <w:tcW w:w="904"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9"/>
              <w:jc w:val="left"/>
              <w:rPr>
                <w:sz w:val="18"/>
              </w:rPr>
            </w:pPr>
            <w:r>
              <w:rPr>
                <w:w w:val="105"/>
                <w:sz w:val="18"/>
              </w:rPr>
              <w:t>8.80</w:t>
            </w:r>
          </w:p>
        </w:tc>
        <w:tc>
          <w:tcPr>
            <w:tcW w:w="898"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7"/>
              <w:jc w:val="left"/>
              <w:rPr>
                <w:sz w:val="18"/>
              </w:rPr>
            </w:pPr>
            <w:r>
              <w:rPr>
                <w:w w:val="105"/>
                <w:sz w:val="18"/>
              </w:rPr>
              <w:t>9.00</w:t>
            </w:r>
          </w:p>
        </w:tc>
      </w:tr>
      <w:tr>
        <w:trPr>
          <w:trHeight w:val="310" w:hRule="atLeast"/>
        </w:trPr>
        <w:tc>
          <w:tcPr>
            <w:tcW w:w="1976" w:type="dxa"/>
            <w:shd w:val="clear" w:color="auto" w:fill="69BD28"/>
          </w:tcPr>
          <w:p>
            <w:pPr>
              <w:pStyle w:val="TableParagraph"/>
              <w:spacing w:before="39"/>
              <w:ind w:left="105" w:right="106"/>
              <w:rPr>
                <w:sz w:val="18"/>
              </w:rPr>
            </w:pPr>
            <w:r>
              <w:rPr>
                <w:color w:val="FFFFFF"/>
                <w:sz w:val="18"/>
              </w:rPr>
              <w:t>(Highest Slab)</w:t>
            </w:r>
          </w:p>
        </w:tc>
        <w:tc>
          <w:tcPr>
            <w:tcW w:w="1000" w:type="dxa"/>
            <w:vMerge/>
            <w:tcBorders>
              <w:top w:val="nil"/>
              <w:bottom w:val="single" w:sz="6" w:space="0" w:color="69BD28"/>
            </w:tcBorders>
          </w:tcPr>
          <w:p>
            <w:pPr>
              <w:rPr>
                <w:sz w:val="2"/>
                <w:szCs w:val="2"/>
              </w:rPr>
            </w:pPr>
          </w:p>
        </w:tc>
        <w:tc>
          <w:tcPr>
            <w:tcW w:w="994" w:type="dxa"/>
            <w:vMerge/>
            <w:tcBorders>
              <w:top w:val="nil"/>
              <w:bottom w:val="single" w:sz="6" w:space="0" w:color="69BD28"/>
            </w:tcBorders>
          </w:tcPr>
          <w:p>
            <w:pPr>
              <w:rPr>
                <w:sz w:val="2"/>
                <w:szCs w:val="2"/>
              </w:rPr>
            </w:pPr>
          </w:p>
        </w:tc>
        <w:tc>
          <w:tcPr>
            <w:tcW w:w="966" w:type="dxa"/>
            <w:vMerge/>
            <w:tcBorders>
              <w:top w:val="nil"/>
              <w:bottom w:val="single" w:sz="6" w:space="0" w:color="69BD28"/>
            </w:tcBorders>
          </w:tcPr>
          <w:p>
            <w:pPr>
              <w:rPr>
                <w:sz w:val="2"/>
                <w:szCs w:val="2"/>
              </w:rPr>
            </w:pPr>
          </w:p>
        </w:tc>
        <w:tc>
          <w:tcPr>
            <w:tcW w:w="919" w:type="dxa"/>
            <w:vMerge/>
            <w:tcBorders>
              <w:top w:val="nil"/>
              <w:bottom w:val="single" w:sz="6" w:space="0" w:color="69BD28"/>
            </w:tcBorders>
          </w:tcPr>
          <w:p>
            <w:pPr>
              <w:rPr>
                <w:sz w:val="2"/>
                <w:szCs w:val="2"/>
              </w:rPr>
            </w:pPr>
          </w:p>
        </w:tc>
        <w:tc>
          <w:tcPr>
            <w:tcW w:w="898" w:type="dxa"/>
            <w:vMerge/>
            <w:tcBorders>
              <w:top w:val="nil"/>
              <w:bottom w:val="single" w:sz="6" w:space="0" w:color="69BD28"/>
            </w:tcBorders>
          </w:tcPr>
          <w:p>
            <w:pPr>
              <w:rPr>
                <w:sz w:val="2"/>
                <w:szCs w:val="2"/>
              </w:rPr>
            </w:pPr>
          </w:p>
        </w:tc>
        <w:tc>
          <w:tcPr>
            <w:tcW w:w="900" w:type="dxa"/>
            <w:vMerge/>
            <w:tcBorders>
              <w:top w:val="nil"/>
              <w:bottom w:val="single" w:sz="6" w:space="0" w:color="69BD28"/>
            </w:tcBorders>
          </w:tcPr>
          <w:p>
            <w:pPr>
              <w:rPr>
                <w:sz w:val="2"/>
                <w:szCs w:val="2"/>
              </w:rPr>
            </w:pPr>
          </w:p>
        </w:tc>
        <w:tc>
          <w:tcPr>
            <w:tcW w:w="898" w:type="dxa"/>
            <w:vMerge/>
            <w:tcBorders>
              <w:top w:val="nil"/>
              <w:bottom w:val="single" w:sz="6" w:space="0" w:color="69BD28"/>
            </w:tcBorders>
          </w:tcPr>
          <w:p>
            <w:pPr>
              <w:rPr>
                <w:sz w:val="2"/>
                <w:szCs w:val="2"/>
              </w:rPr>
            </w:pPr>
          </w:p>
        </w:tc>
        <w:tc>
          <w:tcPr>
            <w:tcW w:w="900" w:type="dxa"/>
            <w:vMerge/>
            <w:tcBorders>
              <w:top w:val="nil"/>
              <w:bottom w:val="single" w:sz="6" w:space="0" w:color="69BD28"/>
            </w:tcBorders>
          </w:tcPr>
          <w:p>
            <w:pPr>
              <w:rPr>
                <w:sz w:val="2"/>
                <w:szCs w:val="2"/>
              </w:rPr>
            </w:pPr>
          </w:p>
        </w:tc>
        <w:tc>
          <w:tcPr>
            <w:tcW w:w="904" w:type="dxa"/>
            <w:vMerge/>
            <w:tcBorders>
              <w:top w:val="nil"/>
              <w:bottom w:val="single" w:sz="6" w:space="0" w:color="69BD28"/>
            </w:tcBorders>
          </w:tcPr>
          <w:p>
            <w:pPr>
              <w:rPr>
                <w:sz w:val="2"/>
                <w:szCs w:val="2"/>
              </w:rPr>
            </w:pPr>
          </w:p>
        </w:tc>
        <w:tc>
          <w:tcPr>
            <w:tcW w:w="898" w:type="dxa"/>
            <w:vMerge/>
            <w:tcBorders>
              <w:top w:val="nil"/>
              <w:bottom w:val="single" w:sz="6" w:space="0" w:color="69BD28"/>
            </w:tcBorders>
          </w:tcPr>
          <w:p>
            <w:pPr>
              <w:rPr>
                <w:sz w:val="2"/>
                <w:szCs w:val="2"/>
              </w:rPr>
            </w:pPr>
          </w:p>
        </w:tc>
      </w:tr>
      <w:tr>
        <w:trPr>
          <w:trHeight w:val="292" w:hRule="atLeast"/>
        </w:trPr>
        <w:tc>
          <w:tcPr>
            <w:tcW w:w="1976" w:type="dxa"/>
            <w:shd w:val="clear" w:color="auto" w:fill="69BD28"/>
          </w:tcPr>
          <w:p>
            <w:pPr>
              <w:pStyle w:val="TableParagraph"/>
              <w:spacing w:before="46"/>
              <w:ind w:left="105" w:right="106"/>
              <w:rPr>
                <w:sz w:val="18"/>
              </w:rPr>
            </w:pPr>
            <w:r>
              <w:rPr>
                <w:color w:val="FFFFFF"/>
                <w:sz w:val="18"/>
              </w:rPr>
              <w:t>Industrial HT 2a (i)</w:t>
            </w:r>
          </w:p>
        </w:tc>
        <w:tc>
          <w:tcPr>
            <w:tcW w:w="1000"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314"/>
              <w:jc w:val="left"/>
              <w:rPr>
                <w:sz w:val="18"/>
              </w:rPr>
            </w:pPr>
            <w:r>
              <w:rPr>
                <w:w w:val="105"/>
                <w:sz w:val="18"/>
              </w:rPr>
              <w:t>5.00</w:t>
            </w:r>
          </w:p>
        </w:tc>
        <w:tc>
          <w:tcPr>
            <w:tcW w:w="994"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310"/>
              <w:jc w:val="left"/>
              <w:rPr>
                <w:sz w:val="18"/>
              </w:rPr>
            </w:pPr>
            <w:r>
              <w:rPr>
                <w:w w:val="105"/>
                <w:sz w:val="18"/>
              </w:rPr>
              <w:t>5.30</w:t>
            </w:r>
          </w:p>
        </w:tc>
        <w:tc>
          <w:tcPr>
            <w:tcW w:w="966"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307"/>
              <w:jc w:val="left"/>
              <w:rPr>
                <w:sz w:val="18"/>
              </w:rPr>
            </w:pPr>
            <w:r>
              <w:rPr>
                <w:w w:val="105"/>
                <w:sz w:val="18"/>
              </w:rPr>
              <w:t>5.50</w:t>
            </w:r>
          </w:p>
        </w:tc>
        <w:tc>
          <w:tcPr>
            <w:tcW w:w="919"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82"/>
              <w:jc w:val="left"/>
              <w:rPr>
                <w:sz w:val="18"/>
              </w:rPr>
            </w:pPr>
            <w:r>
              <w:rPr>
                <w:w w:val="105"/>
                <w:sz w:val="18"/>
              </w:rPr>
              <w:t>5.75</w:t>
            </w:r>
          </w:p>
        </w:tc>
        <w:tc>
          <w:tcPr>
            <w:tcW w:w="898"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3"/>
              <w:jc w:val="left"/>
              <w:rPr>
                <w:sz w:val="18"/>
              </w:rPr>
            </w:pPr>
            <w:r>
              <w:rPr>
                <w:w w:val="105"/>
                <w:sz w:val="18"/>
              </w:rPr>
              <w:t>6.15</w:t>
            </w:r>
          </w:p>
        </w:tc>
        <w:tc>
          <w:tcPr>
            <w:tcW w:w="900"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6"/>
              <w:jc w:val="left"/>
              <w:rPr>
                <w:sz w:val="18"/>
              </w:rPr>
            </w:pPr>
            <w:r>
              <w:rPr>
                <w:w w:val="105"/>
                <w:sz w:val="18"/>
              </w:rPr>
              <w:t>6.30</w:t>
            </w:r>
          </w:p>
        </w:tc>
        <w:tc>
          <w:tcPr>
            <w:tcW w:w="898"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6"/>
              <w:jc w:val="left"/>
              <w:rPr>
                <w:sz w:val="18"/>
              </w:rPr>
            </w:pPr>
            <w:r>
              <w:rPr>
                <w:w w:val="105"/>
                <w:sz w:val="18"/>
              </w:rPr>
              <w:t>6.75</w:t>
            </w:r>
          </w:p>
        </w:tc>
        <w:tc>
          <w:tcPr>
            <w:tcW w:w="900"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3"/>
              <w:jc w:val="left"/>
              <w:rPr>
                <w:sz w:val="18"/>
              </w:rPr>
            </w:pPr>
            <w:r>
              <w:rPr>
                <w:w w:val="105"/>
                <w:sz w:val="18"/>
              </w:rPr>
              <w:t>6.95</w:t>
            </w:r>
          </w:p>
        </w:tc>
        <w:tc>
          <w:tcPr>
            <w:tcW w:w="904"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9"/>
              <w:jc w:val="left"/>
              <w:rPr>
                <w:sz w:val="18"/>
              </w:rPr>
            </w:pPr>
            <w:r>
              <w:rPr>
                <w:w w:val="105"/>
                <w:sz w:val="18"/>
              </w:rPr>
              <w:t>7.20</w:t>
            </w:r>
          </w:p>
        </w:tc>
        <w:tc>
          <w:tcPr>
            <w:tcW w:w="898" w:type="dxa"/>
            <w:vMerge w:val="restart"/>
            <w:tcBorders>
              <w:top w:val="single" w:sz="6" w:space="0" w:color="69BD28"/>
              <w:bottom w:val="single" w:sz="6" w:space="0" w:color="69BD28"/>
            </w:tcBorders>
          </w:tcPr>
          <w:p>
            <w:pPr>
              <w:pStyle w:val="TableParagraph"/>
              <w:spacing w:before="7"/>
              <w:jc w:val="left"/>
              <w:rPr>
                <w:sz w:val="17"/>
              </w:rPr>
            </w:pPr>
          </w:p>
          <w:p>
            <w:pPr>
              <w:pStyle w:val="TableParagraph"/>
              <w:ind w:left="267"/>
              <w:jc w:val="left"/>
              <w:rPr>
                <w:sz w:val="18"/>
              </w:rPr>
            </w:pPr>
            <w:r>
              <w:rPr>
                <w:w w:val="105"/>
                <w:sz w:val="18"/>
              </w:rPr>
              <w:t>7.40</w:t>
            </w:r>
          </w:p>
        </w:tc>
      </w:tr>
      <w:tr>
        <w:trPr>
          <w:trHeight w:val="310" w:hRule="atLeast"/>
        </w:trPr>
        <w:tc>
          <w:tcPr>
            <w:tcW w:w="1976" w:type="dxa"/>
            <w:shd w:val="clear" w:color="auto" w:fill="69BD28"/>
          </w:tcPr>
          <w:p>
            <w:pPr>
              <w:pStyle w:val="TableParagraph"/>
              <w:spacing w:before="39"/>
              <w:ind w:left="105" w:right="106"/>
              <w:rPr>
                <w:sz w:val="18"/>
              </w:rPr>
            </w:pPr>
            <w:r>
              <w:rPr>
                <w:color w:val="FFFFFF"/>
                <w:sz w:val="18"/>
              </w:rPr>
              <w:t>(Highest Slab)</w:t>
            </w:r>
          </w:p>
        </w:tc>
        <w:tc>
          <w:tcPr>
            <w:tcW w:w="1000" w:type="dxa"/>
            <w:vMerge/>
            <w:tcBorders>
              <w:top w:val="nil"/>
              <w:bottom w:val="single" w:sz="6" w:space="0" w:color="69BD28"/>
            </w:tcBorders>
          </w:tcPr>
          <w:p>
            <w:pPr>
              <w:rPr>
                <w:sz w:val="2"/>
                <w:szCs w:val="2"/>
              </w:rPr>
            </w:pPr>
          </w:p>
        </w:tc>
        <w:tc>
          <w:tcPr>
            <w:tcW w:w="994" w:type="dxa"/>
            <w:vMerge/>
            <w:tcBorders>
              <w:top w:val="nil"/>
              <w:bottom w:val="single" w:sz="6" w:space="0" w:color="69BD28"/>
            </w:tcBorders>
          </w:tcPr>
          <w:p>
            <w:pPr>
              <w:rPr>
                <w:sz w:val="2"/>
                <w:szCs w:val="2"/>
              </w:rPr>
            </w:pPr>
          </w:p>
        </w:tc>
        <w:tc>
          <w:tcPr>
            <w:tcW w:w="966" w:type="dxa"/>
            <w:vMerge/>
            <w:tcBorders>
              <w:top w:val="nil"/>
              <w:bottom w:val="single" w:sz="6" w:space="0" w:color="69BD28"/>
            </w:tcBorders>
          </w:tcPr>
          <w:p>
            <w:pPr>
              <w:rPr>
                <w:sz w:val="2"/>
                <w:szCs w:val="2"/>
              </w:rPr>
            </w:pPr>
          </w:p>
        </w:tc>
        <w:tc>
          <w:tcPr>
            <w:tcW w:w="919" w:type="dxa"/>
            <w:vMerge/>
            <w:tcBorders>
              <w:top w:val="nil"/>
              <w:bottom w:val="single" w:sz="6" w:space="0" w:color="69BD28"/>
            </w:tcBorders>
          </w:tcPr>
          <w:p>
            <w:pPr>
              <w:rPr>
                <w:sz w:val="2"/>
                <w:szCs w:val="2"/>
              </w:rPr>
            </w:pPr>
          </w:p>
        </w:tc>
        <w:tc>
          <w:tcPr>
            <w:tcW w:w="898" w:type="dxa"/>
            <w:vMerge/>
            <w:tcBorders>
              <w:top w:val="nil"/>
              <w:bottom w:val="single" w:sz="6" w:space="0" w:color="69BD28"/>
            </w:tcBorders>
          </w:tcPr>
          <w:p>
            <w:pPr>
              <w:rPr>
                <w:sz w:val="2"/>
                <w:szCs w:val="2"/>
              </w:rPr>
            </w:pPr>
          </w:p>
        </w:tc>
        <w:tc>
          <w:tcPr>
            <w:tcW w:w="900" w:type="dxa"/>
            <w:vMerge/>
            <w:tcBorders>
              <w:top w:val="nil"/>
              <w:bottom w:val="single" w:sz="6" w:space="0" w:color="69BD28"/>
            </w:tcBorders>
          </w:tcPr>
          <w:p>
            <w:pPr>
              <w:rPr>
                <w:sz w:val="2"/>
                <w:szCs w:val="2"/>
              </w:rPr>
            </w:pPr>
          </w:p>
        </w:tc>
        <w:tc>
          <w:tcPr>
            <w:tcW w:w="898" w:type="dxa"/>
            <w:vMerge/>
            <w:tcBorders>
              <w:top w:val="nil"/>
              <w:bottom w:val="single" w:sz="6" w:space="0" w:color="69BD28"/>
            </w:tcBorders>
          </w:tcPr>
          <w:p>
            <w:pPr>
              <w:rPr>
                <w:sz w:val="2"/>
                <w:szCs w:val="2"/>
              </w:rPr>
            </w:pPr>
          </w:p>
        </w:tc>
        <w:tc>
          <w:tcPr>
            <w:tcW w:w="900" w:type="dxa"/>
            <w:vMerge/>
            <w:tcBorders>
              <w:top w:val="nil"/>
              <w:bottom w:val="single" w:sz="6" w:space="0" w:color="69BD28"/>
            </w:tcBorders>
          </w:tcPr>
          <w:p>
            <w:pPr>
              <w:rPr>
                <w:sz w:val="2"/>
                <w:szCs w:val="2"/>
              </w:rPr>
            </w:pPr>
          </w:p>
        </w:tc>
        <w:tc>
          <w:tcPr>
            <w:tcW w:w="904" w:type="dxa"/>
            <w:vMerge/>
            <w:tcBorders>
              <w:top w:val="nil"/>
              <w:bottom w:val="single" w:sz="6" w:space="0" w:color="69BD28"/>
            </w:tcBorders>
          </w:tcPr>
          <w:p>
            <w:pPr>
              <w:rPr>
                <w:sz w:val="2"/>
                <w:szCs w:val="2"/>
              </w:rPr>
            </w:pPr>
          </w:p>
        </w:tc>
        <w:tc>
          <w:tcPr>
            <w:tcW w:w="898" w:type="dxa"/>
            <w:vMerge/>
            <w:tcBorders>
              <w:top w:val="nil"/>
              <w:bottom w:val="single" w:sz="6" w:space="0" w:color="69BD28"/>
            </w:tcBorders>
          </w:tcPr>
          <w:p>
            <w:pPr>
              <w:rPr>
                <w:sz w:val="2"/>
                <w:szCs w:val="2"/>
              </w:rPr>
            </w:pPr>
          </w:p>
        </w:tc>
      </w:tr>
    </w:tbl>
    <w:p>
      <w:pPr>
        <w:spacing w:before="3"/>
        <w:ind w:left="680" w:right="0" w:firstLine="0"/>
        <w:jc w:val="left"/>
        <w:rPr>
          <w:i/>
          <w:sz w:val="18"/>
        </w:rPr>
      </w:pPr>
      <w:r>
        <w:rPr>
          <w:i/>
          <w:sz w:val="18"/>
        </w:rPr>
        <w:t>Source: </w:t>
      </w:r>
      <w:hyperlink r:id="rId312">
        <w:r>
          <w:rPr>
            <w:i/>
            <w:sz w:val="18"/>
          </w:rPr>
          <w:t>http://bescom.org</w:t>
        </w:r>
      </w:hyperlink>
    </w:p>
    <w:p>
      <w:pPr>
        <w:spacing w:before="115"/>
        <w:ind w:left="680" w:right="0" w:firstLine="0"/>
        <w:jc w:val="left"/>
        <w:rPr>
          <w:i/>
          <w:sz w:val="18"/>
        </w:rPr>
      </w:pPr>
      <w:r>
        <w:rPr>
          <w:i/>
          <w:sz w:val="18"/>
        </w:rPr>
        <w:t>* The tariffs are mentioned in INR per kWH</w:t>
      </w:r>
    </w:p>
    <w:p>
      <w:pPr>
        <w:pStyle w:val="BodyText"/>
        <w:spacing w:before="8"/>
        <w:rPr>
          <w:i/>
          <w:sz w:val="30"/>
        </w:rPr>
      </w:pPr>
    </w:p>
    <w:p>
      <w:pPr>
        <w:pStyle w:val="BodyText"/>
        <w:spacing w:line="372" w:lineRule="auto"/>
        <w:ind w:left="1126" w:right="679"/>
        <w:jc w:val="both"/>
      </w:pPr>
      <w:r>
        <w:rPr/>
        <w:t>As</w:t>
      </w:r>
      <w:r>
        <w:rPr>
          <w:spacing w:val="-20"/>
        </w:rPr>
        <w:t> </w:t>
      </w:r>
      <w:r>
        <w:rPr/>
        <w:t>highlighted</w:t>
      </w:r>
      <w:r>
        <w:rPr>
          <w:spacing w:val="-20"/>
        </w:rPr>
        <w:t> </w:t>
      </w:r>
      <w:r>
        <w:rPr/>
        <w:t>in</w:t>
      </w:r>
      <w:r>
        <w:rPr>
          <w:spacing w:val="-22"/>
        </w:rPr>
        <w:t> </w:t>
      </w:r>
      <w:r>
        <w:rPr/>
        <w:t>the</w:t>
      </w:r>
      <w:r>
        <w:rPr>
          <w:spacing w:val="-21"/>
        </w:rPr>
        <w:t> </w:t>
      </w:r>
      <w:r>
        <w:rPr/>
        <w:t>table</w:t>
      </w:r>
      <w:r>
        <w:rPr>
          <w:spacing w:val="-21"/>
        </w:rPr>
        <w:t> </w:t>
      </w:r>
      <w:r>
        <w:rPr/>
        <w:t>above,</w:t>
      </w:r>
      <w:r>
        <w:rPr>
          <w:spacing w:val="-21"/>
        </w:rPr>
        <w:t> </w:t>
      </w:r>
      <w:r>
        <w:rPr/>
        <w:t>it</w:t>
      </w:r>
      <w:r>
        <w:rPr>
          <w:spacing w:val="-21"/>
        </w:rPr>
        <w:t> </w:t>
      </w:r>
      <w:r>
        <w:rPr/>
        <w:t>is</w:t>
      </w:r>
      <w:r>
        <w:rPr>
          <w:spacing w:val="-20"/>
        </w:rPr>
        <w:t> </w:t>
      </w:r>
      <w:r>
        <w:rPr/>
        <w:t>understood</w:t>
      </w:r>
      <w:r>
        <w:rPr>
          <w:spacing w:val="-22"/>
        </w:rPr>
        <w:t> </w:t>
      </w:r>
      <w:r>
        <w:rPr/>
        <w:t>that</w:t>
      </w:r>
      <w:r>
        <w:rPr>
          <w:spacing w:val="-20"/>
        </w:rPr>
        <w:t> </w:t>
      </w:r>
      <w:r>
        <w:rPr/>
        <w:t>that</w:t>
      </w:r>
      <w:r>
        <w:rPr>
          <w:spacing w:val="-21"/>
        </w:rPr>
        <w:t> </w:t>
      </w:r>
      <w:r>
        <w:rPr/>
        <w:t>the</w:t>
      </w:r>
      <w:r>
        <w:rPr>
          <w:spacing w:val="-21"/>
        </w:rPr>
        <w:t> </w:t>
      </w:r>
      <w:r>
        <w:rPr/>
        <w:t>prevailing</w:t>
      </w:r>
      <w:r>
        <w:rPr>
          <w:spacing w:val="-20"/>
        </w:rPr>
        <w:t> </w:t>
      </w:r>
      <w:r>
        <w:rPr/>
        <w:t>BESCOM</w:t>
      </w:r>
      <w:r>
        <w:rPr>
          <w:spacing w:val="-20"/>
        </w:rPr>
        <w:t> </w:t>
      </w:r>
      <w:r>
        <w:rPr/>
        <w:t>tariff</w:t>
      </w:r>
      <w:r>
        <w:rPr>
          <w:spacing w:val="-20"/>
        </w:rPr>
        <w:t> </w:t>
      </w:r>
      <w:r>
        <w:rPr/>
        <w:t>for</w:t>
      </w:r>
      <w:r>
        <w:rPr>
          <w:spacing w:val="-21"/>
        </w:rPr>
        <w:t> </w:t>
      </w:r>
      <w:r>
        <w:rPr/>
        <w:t>commercial category</w:t>
      </w:r>
      <w:r>
        <w:rPr>
          <w:spacing w:val="-8"/>
        </w:rPr>
        <w:t> </w:t>
      </w:r>
      <w:r>
        <w:rPr/>
        <w:t>is</w:t>
      </w:r>
      <w:r>
        <w:rPr>
          <w:spacing w:val="-8"/>
        </w:rPr>
        <w:t> </w:t>
      </w:r>
      <w:r>
        <w:rPr/>
        <w:t>INR</w:t>
      </w:r>
      <w:r>
        <w:rPr>
          <w:spacing w:val="-10"/>
        </w:rPr>
        <w:t> </w:t>
      </w:r>
      <w:r>
        <w:rPr/>
        <w:t>9.00</w:t>
      </w:r>
      <w:r>
        <w:rPr>
          <w:spacing w:val="-11"/>
        </w:rPr>
        <w:t> </w:t>
      </w:r>
      <w:r>
        <w:rPr/>
        <w:t>per</w:t>
      </w:r>
      <w:r>
        <w:rPr>
          <w:spacing w:val="-9"/>
        </w:rPr>
        <w:t> </w:t>
      </w:r>
      <w:r>
        <w:rPr/>
        <w:t>kWH,</w:t>
      </w:r>
      <w:r>
        <w:rPr>
          <w:spacing w:val="-9"/>
        </w:rPr>
        <w:t> </w:t>
      </w:r>
      <w:r>
        <w:rPr/>
        <w:t>whereas</w:t>
      </w:r>
      <w:r>
        <w:rPr>
          <w:spacing w:val="-7"/>
        </w:rPr>
        <w:t> </w:t>
      </w:r>
      <w:r>
        <w:rPr/>
        <w:t>the</w:t>
      </w:r>
      <w:r>
        <w:rPr>
          <w:spacing w:val="-10"/>
        </w:rPr>
        <w:t> </w:t>
      </w:r>
      <w:r>
        <w:rPr/>
        <w:t>tariff</w:t>
      </w:r>
      <w:r>
        <w:rPr>
          <w:spacing w:val="-8"/>
        </w:rPr>
        <w:t> </w:t>
      </w:r>
      <w:r>
        <w:rPr/>
        <w:t>is</w:t>
      </w:r>
      <w:r>
        <w:rPr>
          <w:spacing w:val="-8"/>
        </w:rPr>
        <w:t> </w:t>
      </w:r>
      <w:r>
        <w:rPr/>
        <w:t>INR</w:t>
      </w:r>
      <w:r>
        <w:rPr>
          <w:spacing w:val="-9"/>
        </w:rPr>
        <w:t> </w:t>
      </w:r>
      <w:r>
        <w:rPr/>
        <w:t>7.40</w:t>
      </w:r>
      <w:r>
        <w:rPr>
          <w:spacing w:val="-10"/>
        </w:rPr>
        <w:t> </w:t>
      </w:r>
      <w:r>
        <w:rPr/>
        <w:t>per</w:t>
      </w:r>
      <w:r>
        <w:rPr>
          <w:spacing w:val="-8"/>
        </w:rPr>
        <w:t> </w:t>
      </w:r>
      <w:r>
        <w:rPr/>
        <w:t>kWH</w:t>
      </w:r>
      <w:r>
        <w:rPr>
          <w:spacing w:val="-10"/>
        </w:rPr>
        <w:t> </w:t>
      </w:r>
      <w:r>
        <w:rPr/>
        <w:t>for</w:t>
      </w:r>
      <w:r>
        <w:rPr>
          <w:spacing w:val="-10"/>
        </w:rPr>
        <w:t> </w:t>
      </w:r>
      <w:r>
        <w:rPr/>
        <w:t>industrial</w:t>
      </w:r>
      <w:r>
        <w:rPr>
          <w:spacing w:val="-9"/>
        </w:rPr>
        <w:t> </w:t>
      </w:r>
      <w:r>
        <w:rPr/>
        <w:t>category.</w:t>
      </w:r>
    </w:p>
    <w:p>
      <w:pPr>
        <w:pStyle w:val="BodyText"/>
        <w:spacing w:before="8"/>
        <w:rPr>
          <w:sz w:val="20"/>
        </w:rPr>
      </w:pPr>
    </w:p>
    <w:p>
      <w:pPr>
        <w:pStyle w:val="BodyText"/>
        <w:spacing w:line="372" w:lineRule="auto"/>
        <w:ind w:left="1126" w:right="675"/>
        <w:jc w:val="both"/>
      </w:pPr>
      <w:r>
        <w:rPr/>
        <w:t>Further,</w:t>
      </w:r>
      <w:r>
        <w:rPr>
          <w:spacing w:val="-24"/>
        </w:rPr>
        <w:t> </w:t>
      </w:r>
      <w:r>
        <w:rPr/>
        <w:t>as</w:t>
      </w:r>
      <w:r>
        <w:rPr>
          <w:spacing w:val="-23"/>
        </w:rPr>
        <w:t> </w:t>
      </w:r>
      <w:r>
        <w:rPr/>
        <w:t>highlighted</w:t>
      </w:r>
      <w:r>
        <w:rPr>
          <w:spacing w:val="-23"/>
        </w:rPr>
        <w:t> </w:t>
      </w:r>
      <w:r>
        <w:rPr/>
        <w:t>earlier,</w:t>
      </w:r>
      <w:r>
        <w:rPr>
          <w:spacing w:val="-23"/>
        </w:rPr>
        <w:t> </w:t>
      </w:r>
      <w:r>
        <w:rPr/>
        <w:t>the</w:t>
      </w:r>
      <w:r>
        <w:rPr>
          <w:spacing w:val="-24"/>
        </w:rPr>
        <w:t> </w:t>
      </w:r>
      <w:r>
        <w:rPr/>
        <w:t>PPAs</w:t>
      </w:r>
      <w:r>
        <w:rPr>
          <w:spacing w:val="-23"/>
        </w:rPr>
        <w:t> </w:t>
      </w:r>
      <w:r>
        <w:rPr/>
        <w:t>that</w:t>
      </w:r>
      <w:r>
        <w:rPr>
          <w:spacing w:val="-23"/>
        </w:rPr>
        <w:t> </w:t>
      </w:r>
      <w:r>
        <w:rPr/>
        <w:t>have</w:t>
      </w:r>
      <w:r>
        <w:rPr>
          <w:spacing w:val="-23"/>
        </w:rPr>
        <w:t> </w:t>
      </w:r>
      <w:r>
        <w:rPr/>
        <w:t>been</w:t>
      </w:r>
      <w:r>
        <w:rPr>
          <w:spacing w:val="-24"/>
        </w:rPr>
        <w:t> </w:t>
      </w:r>
      <w:r>
        <w:rPr/>
        <w:t>signed</w:t>
      </w:r>
      <w:r>
        <w:rPr>
          <w:spacing w:val="-23"/>
        </w:rPr>
        <w:t> </w:t>
      </w:r>
      <w:r>
        <w:rPr/>
        <w:t>are</w:t>
      </w:r>
      <w:r>
        <w:rPr>
          <w:spacing w:val="-23"/>
        </w:rPr>
        <w:t> </w:t>
      </w:r>
      <w:r>
        <w:rPr/>
        <w:t>distributed</w:t>
      </w:r>
      <w:r>
        <w:rPr>
          <w:spacing w:val="-23"/>
        </w:rPr>
        <w:t> </w:t>
      </w:r>
      <w:r>
        <w:rPr/>
        <w:t>between</w:t>
      </w:r>
      <w:r>
        <w:rPr>
          <w:spacing w:val="-24"/>
        </w:rPr>
        <w:t> </w:t>
      </w:r>
      <w:r>
        <w:rPr/>
        <w:t>commercial</w:t>
      </w:r>
      <w:r>
        <w:rPr>
          <w:spacing w:val="-23"/>
        </w:rPr>
        <w:t> </w:t>
      </w:r>
      <w:r>
        <w:rPr/>
        <w:t>and industrial</w:t>
      </w:r>
      <w:r>
        <w:rPr>
          <w:spacing w:val="-32"/>
        </w:rPr>
        <w:t> </w:t>
      </w:r>
      <w:r>
        <w:rPr/>
        <w:t>segments.</w:t>
      </w:r>
      <w:r>
        <w:rPr>
          <w:spacing w:val="-30"/>
        </w:rPr>
        <w:t> </w:t>
      </w:r>
      <w:r>
        <w:rPr/>
        <w:t>Keeping</w:t>
      </w:r>
      <w:r>
        <w:rPr>
          <w:spacing w:val="-29"/>
        </w:rPr>
        <w:t> </w:t>
      </w:r>
      <w:r>
        <w:rPr/>
        <w:t>the</w:t>
      </w:r>
      <w:r>
        <w:rPr>
          <w:spacing w:val="-31"/>
        </w:rPr>
        <w:t> </w:t>
      </w:r>
      <w:r>
        <w:rPr/>
        <w:t>same</w:t>
      </w:r>
      <w:r>
        <w:rPr>
          <w:spacing w:val="-31"/>
        </w:rPr>
        <w:t> </w:t>
      </w:r>
      <w:r>
        <w:rPr/>
        <w:t>in</w:t>
      </w:r>
      <w:r>
        <w:rPr>
          <w:spacing w:val="-31"/>
        </w:rPr>
        <w:t> </w:t>
      </w:r>
      <w:r>
        <w:rPr/>
        <w:t>perspective,</w:t>
      </w:r>
      <w:r>
        <w:rPr>
          <w:spacing w:val="-30"/>
        </w:rPr>
        <w:t> </w:t>
      </w:r>
      <w:r>
        <w:rPr/>
        <w:t>we</w:t>
      </w:r>
      <w:r>
        <w:rPr>
          <w:spacing w:val="-31"/>
        </w:rPr>
        <w:t> </w:t>
      </w:r>
      <w:r>
        <w:rPr/>
        <w:t>have</w:t>
      </w:r>
      <w:r>
        <w:rPr>
          <w:spacing w:val="-30"/>
        </w:rPr>
        <w:t> </w:t>
      </w:r>
      <w:r>
        <w:rPr/>
        <w:t>considered</w:t>
      </w:r>
      <w:r>
        <w:rPr>
          <w:spacing w:val="-30"/>
        </w:rPr>
        <w:t> </w:t>
      </w:r>
      <w:r>
        <w:rPr/>
        <w:t>a</w:t>
      </w:r>
      <w:r>
        <w:rPr>
          <w:spacing w:val="-31"/>
        </w:rPr>
        <w:t> </w:t>
      </w:r>
      <w:r>
        <w:rPr/>
        <w:t>blended</w:t>
      </w:r>
      <w:r>
        <w:rPr>
          <w:spacing w:val="-30"/>
        </w:rPr>
        <w:t> </w:t>
      </w:r>
      <w:r>
        <w:rPr/>
        <w:t>tariff</w:t>
      </w:r>
      <w:r>
        <w:rPr>
          <w:spacing w:val="-31"/>
        </w:rPr>
        <w:t> </w:t>
      </w:r>
      <w:r>
        <w:rPr/>
        <w:t>(in</w:t>
      </w:r>
      <w:r>
        <w:rPr>
          <w:spacing w:val="-31"/>
        </w:rPr>
        <w:t> </w:t>
      </w:r>
      <w:r>
        <w:rPr/>
        <w:t>proportion of</w:t>
      </w:r>
      <w:r>
        <w:rPr>
          <w:spacing w:val="-17"/>
        </w:rPr>
        <w:t> </w:t>
      </w:r>
      <w:r>
        <w:rPr/>
        <w:t>the</w:t>
      </w:r>
      <w:r>
        <w:rPr>
          <w:spacing w:val="-18"/>
        </w:rPr>
        <w:t> </w:t>
      </w:r>
      <w:r>
        <w:rPr/>
        <w:t>distribution</w:t>
      </w:r>
      <w:r>
        <w:rPr>
          <w:spacing w:val="-18"/>
        </w:rPr>
        <w:t> </w:t>
      </w:r>
      <w:r>
        <w:rPr/>
        <w:t>between</w:t>
      </w:r>
      <w:r>
        <w:rPr>
          <w:spacing w:val="-19"/>
        </w:rPr>
        <w:t> </w:t>
      </w:r>
      <w:r>
        <w:rPr/>
        <w:t>commercial</w:t>
      </w:r>
      <w:r>
        <w:rPr>
          <w:spacing w:val="-18"/>
        </w:rPr>
        <w:t> </w:t>
      </w:r>
      <w:r>
        <w:rPr/>
        <w:t>and</w:t>
      </w:r>
      <w:r>
        <w:rPr>
          <w:spacing w:val="-17"/>
        </w:rPr>
        <w:t> </w:t>
      </w:r>
      <w:r>
        <w:rPr/>
        <w:t>industrial</w:t>
      </w:r>
      <w:r>
        <w:rPr>
          <w:spacing w:val="-18"/>
        </w:rPr>
        <w:t> </w:t>
      </w:r>
      <w:r>
        <w:rPr/>
        <w:t>category</w:t>
      </w:r>
      <w:r>
        <w:rPr>
          <w:spacing w:val="-17"/>
        </w:rPr>
        <w:t> </w:t>
      </w:r>
      <w:r>
        <w:rPr/>
        <w:t>consumers)</w:t>
      </w:r>
      <w:r>
        <w:rPr>
          <w:spacing w:val="-19"/>
        </w:rPr>
        <w:t> </w:t>
      </w:r>
      <w:r>
        <w:rPr/>
        <w:t>of</w:t>
      </w:r>
      <w:r>
        <w:rPr>
          <w:spacing w:val="-14"/>
        </w:rPr>
        <w:t> </w:t>
      </w:r>
      <w:r>
        <w:rPr/>
        <w:t>INR</w:t>
      </w:r>
      <w:r>
        <w:rPr>
          <w:spacing w:val="-18"/>
        </w:rPr>
        <w:t> </w:t>
      </w:r>
      <w:r>
        <w:rPr/>
        <w:t>8.76</w:t>
      </w:r>
      <w:r>
        <w:rPr>
          <w:spacing w:val="-18"/>
        </w:rPr>
        <w:t> </w:t>
      </w:r>
      <w:r>
        <w:rPr/>
        <w:t>per</w:t>
      </w:r>
      <w:r>
        <w:rPr>
          <w:spacing w:val="-18"/>
        </w:rPr>
        <w:t> </w:t>
      </w:r>
      <w:r>
        <w:rPr/>
        <w:t>kWH</w:t>
      </w:r>
      <w:r>
        <w:rPr>
          <w:spacing w:val="-15"/>
        </w:rPr>
        <w:t> </w:t>
      </w:r>
      <w:r>
        <w:rPr/>
        <w:t>for</w:t>
      </w:r>
      <w:r>
        <w:rPr>
          <w:spacing w:val="-20"/>
        </w:rPr>
        <w:t> </w:t>
      </w:r>
      <w:r>
        <w:rPr/>
        <w:t>the subject</w:t>
      </w:r>
      <w:r>
        <w:rPr>
          <w:spacing w:val="-3"/>
        </w:rPr>
        <w:t> </w:t>
      </w:r>
      <w:r>
        <w:rPr/>
        <w:t>plant.</w:t>
      </w:r>
    </w:p>
    <w:p>
      <w:pPr>
        <w:pStyle w:val="BodyText"/>
        <w:spacing w:before="6"/>
        <w:rPr>
          <w:sz w:val="20"/>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391" w:id="764"/>
      <w:bookmarkEnd w:id="764"/>
      <w:r>
        <w:rPr/>
      </w:r>
      <w:bookmarkStart w:name="_bookmark391" w:id="765"/>
      <w:bookmarkEnd w:id="765"/>
      <w:r>
        <w:rPr>
          <w:color w:val="1F664D"/>
          <w:sz w:val="22"/>
        </w:rPr>
        <w:t>Esc</w:t>
      </w:r>
      <w:r>
        <w:rPr>
          <w:color w:val="1F664D"/>
          <w:sz w:val="22"/>
        </w:rPr>
        <w:t>alation in</w:t>
      </w:r>
      <w:r>
        <w:rPr>
          <w:color w:val="1F664D"/>
          <w:spacing w:val="-4"/>
          <w:sz w:val="22"/>
        </w:rPr>
        <w:t> </w:t>
      </w:r>
      <w:r>
        <w:rPr>
          <w:color w:val="1F664D"/>
          <w:sz w:val="22"/>
        </w:rPr>
        <w:t>tariff</w:t>
      </w:r>
    </w:p>
    <w:p>
      <w:pPr>
        <w:pStyle w:val="BodyText"/>
        <w:spacing w:before="3"/>
        <w:rPr>
          <w:sz w:val="28"/>
        </w:rPr>
      </w:pPr>
    </w:p>
    <w:p>
      <w:pPr>
        <w:pStyle w:val="BodyText"/>
        <w:spacing w:line="372" w:lineRule="auto"/>
        <w:ind w:left="1242" w:right="678"/>
        <w:jc w:val="both"/>
      </w:pPr>
      <w:r>
        <w:rPr/>
        <w:t>Based</w:t>
      </w:r>
      <w:r>
        <w:rPr>
          <w:spacing w:val="-34"/>
        </w:rPr>
        <w:t> </w:t>
      </w:r>
      <w:r>
        <w:rPr/>
        <w:t>on</w:t>
      </w:r>
      <w:r>
        <w:rPr>
          <w:spacing w:val="-35"/>
        </w:rPr>
        <w:t> </w:t>
      </w:r>
      <w:r>
        <w:rPr/>
        <w:t>the</w:t>
      </w:r>
      <w:r>
        <w:rPr>
          <w:spacing w:val="-34"/>
        </w:rPr>
        <w:t> </w:t>
      </w:r>
      <w:r>
        <w:rPr/>
        <w:t>review</w:t>
      </w:r>
      <w:r>
        <w:rPr>
          <w:spacing w:val="-34"/>
        </w:rPr>
        <w:t> </w:t>
      </w:r>
      <w:r>
        <w:rPr/>
        <w:t>of</w:t>
      </w:r>
      <w:r>
        <w:rPr>
          <w:spacing w:val="-34"/>
        </w:rPr>
        <w:t> </w:t>
      </w:r>
      <w:r>
        <w:rPr/>
        <w:t>various</w:t>
      </w:r>
      <w:r>
        <w:rPr>
          <w:spacing w:val="-34"/>
        </w:rPr>
        <w:t> </w:t>
      </w:r>
      <w:r>
        <w:rPr/>
        <w:t>Power</w:t>
      </w:r>
      <w:r>
        <w:rPr>
          <w:spacing w:val="-34"/>
        </w:rPr>
        <w:t> </w:t>
      </w:r>
      <w:r>
        <w:rPr/>
        <w:t>Purchase</w:t>
      </w:r>
      <w:r>
        <w:rPr>
          <w:spacing w:val="-35"/>
        </w:rPr>
        <w:t> </w:t>
      </w:r>
      <w:r>
        <w:rPr/>
        <w:t>Agreements</w:t>
      </w:r>
      <w:r>
        <w:rPr>
          <w:spacing w:val="-33"/>
        </w:rPr>
        <w:t> </w:t>
      </w:r>
      <w:r>
        <w:rPr/>
        <w:t>(PPA’s)</w:t>
      </w:r>
      <w:r>
        <w:rPr>
          <w:spacing w:val="-33"/>
        </w:rPr>
        <w:t> </w:t>
      </w:r>
      <w:r>
        <w:rPr/>
        <w:t>signed,</w:t>
      </w:r>
      <w:r>
        <w:rPr>
          <w:spacing w:val="-35"/>
        </w:rPr>
        <w:t> </w:t>
      </w:r>
      <w:r>
        <w:rPr/>
        <w:t>we</w:t>
      </w:r>
      <w:r>
        <w:rPr>
          <w:spacing w:val="-34"/>
        </w:rPr>
        <w:t> </w:t>
      </w:r>
      <w:r>
        <w:rPr/>
        <w:t>understand</w:t>
      </w:r>
      <w:r>
        <w:rPr>
          <w:spacing w:val="-34"/>
        </w:rPr>
        <w:t> </w:t>
      </w:r>
      <w:r>
        <w:rPr/>
        <w:t>that</w:t>
      </w:r>
      <w:r>
        <w:rPr>
          <w:spacing w:val="-34"/>
        </w:rPr>
        <w:t> </w:t>
      </w:r>
      <w:r>
        <w:rPr/>
        <w:t>the</w:t>
      </w:r>
      <w:r>
        <w:rPr>
          <w:spacing w:val="-35"/>
        </w:rPr>
        <w:t> </w:t>
      </w:r>
      <w:r>
        <w:rPr/>
        <w:t>tariff for</w:t>
      </w:r>
      <w:r>
        <w:rPr>
          <w:spacing w:val="-16"/>
        </w:rPr>
        <w:t> </w:t>
      </w:r>
      <w:r>
        <w:rPr/>
        <w:t>the</w:t>
      </w:r>
      <w:r>
        <w:rPr>
          <w:spacing w:val="-18"/>
        </w:rPr>
        <w:t> </w:t>
      </w:r>
      <w:r>
        <w:rPr/>
        <w:t>billable</w:t>
      </w:r>
      <w:r>
        <w:rPr>
          <w:spacing w:val="-17"/>
        </w:rPr>
        <w:t> </w:t>
      </w:r>
      <w:r>
        <w:rPr/>
        <w:t>energy</w:t>
      </w:r>
      <w:r>
        <w:rPr>
          <w:spacing w:val="-17"/>
        </w:rPr>
        <w:t> </w:t>
      </w:r>
      <w:r>
        <w:rPr/>
        <w:t>shall</w:t>
      </w:r>
      <w:r>
        <w:rPr>
          <w:spacing w:val="-16"/>
        </w:rPr>
        <w:t> </w:t>
      </w:r>
      <w:r>
        <w:rPr/>
        <w:t>be</w:t>
      </w:r>
      <w:r>
        <w:rPr>
          <w:spacing w:val="-16"/>
        </w:rPr>
        <w:t> </w:t>
      </w:r>
      <w:r>
        <w:rPr/>
        <w:t>calculated</w:t>
      </w:r>
      <w:r>
        <w:rPr>
          <w:spacing w:val="-16"/>
        </w:rPr>
        <w:t> </w:t>
      </w:r>
      <w:r>
        <w:rPr/>
        <w:t>in</w:t>
      </w:r>
      <w:r>
        <w:rPr>
          <w:spacing w:val="-16"/>
        </w:rPr>
        <w:t> </w:t>
      </w:r>
      <w:r>
        <w:rPr/>
        <w:t>accordance</w:t>
      </w:r>
      <w:r>
        <w:rPr>
          <w:spacing w:val="-16"/>
        </w:rPr>
        <w:t> </w:t>
      </w:r>
      <w:r>
        <w:rPr/>
        <w:t>with</w:t>
      </w:r>
      <w:r>
        <w:rPr>
          <w:spacing w:val="-18"/>
        </w:rPr>
        <w:t> </w:t>
      </w:r>
      <w:r>
        <w:rPr/>
        <w:t>the</w:t>
      </w:r>
      <w:r>
        <w:rPr>
          <w:spacing w:val="-16"/>
        </w:rPr>
        <w:t> </w:t>
      </w:r>
      <w:r>
        <w:rPr/>
        <w:t>prevailing</w:t>
      </w:r>
      <w:r>
        <w:rPr>
          <w:spacing w:val="-17"/>
        </w:rPr>
        <w:t> </w:t>
      </w:r>
      <w:r>
        <w:rPr/>
        <w:t>BESCOM</w:t>
      </w:r>
      <w:r>
        <w:rPr>
          <w:spacing w:val="-17"/>
        </w:rPr>
        <w:t> </w:t>
      </w:r>
      <w:r>
        <w:rPr/>
        <w:t>tariffs.</w:t>
      </w:r>
      <w:r>
        <w:rPr>
          <w:spacing w:val="-16"/>
        </w:rPr>
        <w:t> </w:t>
      </w:r>
      <w:r>
        <w:rPr/>
        <w:t>Hence,</w:t>
      </w:r>
      <w:r>
        <w:rPr>
          <w:spacing w:val="-17"/>
        </w:rPr>
        <w:t> </w:t>
      </w:r>
      <w:r>
        <w:rPr/>
        <w:t>in order to ascertain the future growth in tariff, we have analysed the historical BESCOM unit rates to understand</w:t>
      </w:r>
      <w:r>
        <w:rPr>
          <w:spacing w:val="-5"/>
        </w:rPr>
        <w:t> </w:t>
      </w:r>
      <w:r>
        <w:rPr/>
        <w:t>how</w:t>
      </w:r>
      <w:r>
        <w:rPr>
          <w:spacing w:val="-4"/>
        </w:rPr>
        <w:t> </w:t>
      </w:r>
      <w:r>
        <w:rPr/>
        <w:t>the</w:t>
      </w:r>
      <w:r>
        <w:rPr>
          <w:spacing w:val="-6"/>
        </w:rPr>
        <w:t> </w:t>
      </w:r>
      <w:r>
        <w:rPr/>
        <w:t>tariffs</w:t>
      </w:r>
      <w:r>
        <w:rPr>
          <w:spacing w:val="-5"/>
        </w:rPr>
        <w:t> </w:t>
      </w:r>
      <w:r>
        <w:rPr/>
        <w:t>have</w:t>
      </w:r>
      <w:r>
        <w:rPr>
          <w:spacing w:val="-5"/>
        </w:rPr>
        <w:t> </w:t>
      </w:r>
      <w:r>
        <w:rPr/>
        <w:t>grown</w:t>
      </w:r>
      <w:r>
        <w:rPr>
          <w:spacing w:val="-6"/>
        </w:rPr>
        <w:t> </w:t>
      </w:r>
      <w:r>
        <w:rPr/>
        <w:t>over</w:t>
      </w:r>
      <w:r>
        <w:rPr>
          <w:spacing w:val="-6"/>
        </w:rPr>
        <w:t> </w:t>
      </w:r>
      <w:r>
        <w:rPr/>
        <w:t>the</w:t>
      </w:r>
      <w:r>
        <w:rPr>
          <w:spacing w:val="-6"/>
        </w:rPr>
        <w:t> </w:t>
      </w:r>
      <w:r>
        <w:rPr/>
        <w:t>last</w:t>
      </w:r>
      <w:r>
        <w:rPr>
          <w:spacing w:val="-3"/>
        </w:rPr>
        <w:t> </w:t>
      </w:r>
      <w:r>
        <w:rPr/>
        <w:t>9</w:t>
      </w:r>
      <w:r>
        <w:rPr>
          <w:spacing w:val="-6"/>
        </w:rPr>
        <w:t> </w:t>
      </w:r>
      <w:r>
        <w:rPr/>
        <w:t>years.</w:t>
      </w:r>
    </w:p>
    <w:p>
      <w:pPr>
        <w:pStyle w:val="BodyText"/>
        <w:spacing w:before="5"/>
        <w:rPr>
          <w:sz w:val="20"/>
        </w:rPr>
      </w:pPr>
    </w:p>
    <w:p>
      <w:pPr>
        <w:pStyle w:val="BodyText"/>
        <w:spacing w:line="372" w:lineRule="auto" w:before="1"/>
        <w:ind w:left="1242" w:right="677"/>
        <w:jc w:val="both"/>
      </w:pPr>
      <w:r>
        <w:rPr/>
        <w:t>The escalation trend of BESCOM tariffs from FY 2011 to FY 2020 has been represented in the graphs below:</w:t>
      </w:r>
    </w:p>
    <w:p>
      <w:pPr>
        <w:spacing w:after="0" w:line="372" w:lineRule="auto"/>
        <w:jc w:val="both"/>
        <w:sectPr>
          <w:pgSz w:w="11910" w:h="16840"/>
          <w:pgMar w:header="720" w:footer="862" w:top="1660" w:bottom="1060" w:left="40" w:right="40"/>
        </w:sectPr>
      </w:pPr>
    </w:p>
    <w:p>
      <w:pPr>
        <w:pStyle w:val="BodyText"/>
        <w:spacing w:before="7"/>
        <w:rPr>
          <w:sz w:val="18"/>
        </w:rPr>
      </w:pPr>
    </w:p>
    <w:p>
      <w:pPr>
        <w:pStyle w:val="BodyText"/>
        <w:ind w:left="1235"/>
        <w:rPr>
          <w:sz w:val="20"/>
        </w:rPr>
      </w:pPr>
      <w:r>
        <w:rPr>
          <w:sz w:val="20"/>
        </w:rPr>
        <w:drawing>
          <wp:inline distT="0" distB="0" distL="0" distR="0">
            <wp:extent cx="6476572" cy="3331845"/>
            <wp:effectExtent l="0" t="0" r="0" b="0"/>
            <wp:docPr id="321" name="image235.jpeg"/>
            <wp:cNvGraphicFramePr>
              <a:graphicFrameLocks noChangeAspect="1"/>
            </wp:cNvGraphicFramePr>
            <a:graphic>
              <a:graphicData uri="http://schemas.openxmlformats.org/drawingml/2006/picture">
                <pic:pic>
                  <pic:nvPicPr>
                    <pic:cNvPr id="322" name="image235.jpeg"/>
                    <pic:cNvPicPr/>
                  </pic:nvPicPr>
                  <pic:blipFill>
                    <a:blip r:embed="rId313" cstate="print"/>
                    <a:stretch>
                      <a:fillRect/>
                    </a:stretch>
                  </pic:blipFill>
                  <pic:spPr>
                    <a:xfrm>
                      <a:off x="0" y="0"/>
                      <a:ext cx="6476572" cy="3331845"/>
                    </a:xfrm>
                    <a:prstGeom prst="rect">
                      <a:avLst/>
                    </a:prstGeom>
                  </pic:spPr>
                </pic:pic>
              </a:graphicData>
            </a:graphic>
          </wp:inline>
        </w:drawing>
      </w:r>
      <w:r>
        <w:rPr>
          <w:sz w:val="20"/>
        </w:rPr>
      </w:r>
    </w:p>
    <w:p>
      <w:pPr>
        <w:pStyle w:val="BodyText"/>
        <w:spacing w:before="6"/>
        <w:rPr>
          <w:sz w:val="17"/>
        </w:rPr>
      </w:pPr>
      <w:r>
        <w:rPr/>
        <w:drawing>
          <wp:anchor distT="0" distB="0" distL="0" distR="0" allowOverlap="1" layoutInCell="1" locked="0" behindDoc="0" simplePos="0" relativeHeight="1545">
            <wp:simplePos x="0" y="0"/>
            <wp:positionH relativeFrom="page">
              <wp:posOffset>814069</wp:posOffset>
            </wp:positionH>
            <wp:positionV relativeFrom="paragraph">
              <wp:posOffset>154304</wp:posOffset>
            </wp:positionV>
            <wp:extent cx="6495182" cy="3331845"/>
            <wp:effectExtent l="0" t="0" r="0" b="0"/>
            <wp:wrapTopAndBottom/>
            <wp:docPr id="323" name="image236.jpeg"/>
            <wp:cNvGraphicFramePr>
              <a:graphicFrameLocks noChangeAspect="1"/>
            </wp:cNvGraphicFramePr>
            <a:graphic>
              <a:graphicData uri="http://schemas.openxmlformats.org/drawingml/2006/picture">
                <pic:pic>
                  <pic:nvPicPr>
                    <pic:cNvPr id="324" name="image236.jpeg"/>
                    <pic:cNvPicPr/>
                  </pic:nvPicPr>
                  <pic:blipFill>
                    <a:blip r:embed="rId314" cstate="print"/>
                    <a:stretch>
                      <a:fillRect/>
                    </a:stretch>
                  </pic:blipFill>
                  <pic:spPr>
                    <a:xfrm>
                      <a:off x="0" y="0"/>
                      <a:ext cx="6495182" cy="3331845"/>
                    </a:xfrm>
                    <a:prstGeom prst="rect">
                      <a:avLst/>
                    </a:prstGeom>
                  </pic:spPr>
                </pic:pic>
              </a:graphicData>
            </a:graphic>
          </wp:anchor>
        </w:drawing>
      </w:r>
    </w:p>
    <w:p>
      <w:pPr>
        <w:spacing w:before="84"/>
        <w:ind w:left="1220" w:right="0" w:firstLine="0"/>
        <w:jc w:val="both"/>
        <w:rPr>
          <w:i/>
          <w:sz w:val="18"/>
        </w:rPr>
      </w:pPr>
      <w:r>
        <w:rPr>
          <w:i/>
          <w:sz w:val="18"/>
        </w:rPr>
        <w:t>Source: </w:t>
      </w:r>
      <w:hyperlink r:id="rId312">
        <w:r>
          <w:rPr>
            <w:i/>
            <w:sz w:val="18"/>
          </w:rPr>
          <w:t>http://bescom.org</w:t>
        </w:r>
      </w:hyperlink>
    </w:p>
    <w:p>
      <w:pPr>
        <w:pStyle w:val="BodyText"/>
        <w:spacing w:before="10"/>
        <w:rPr>
          <w:i/>
          <w:sz w:val="26"/>
        </w:rPr>
      </w:pPr>
    </w:p>
    <w:p>
      <w:pPr>
        <w:pStyle w:val="BodyText"/>
        <w:spacing w:line="372" w:lineRule="auto" w:before="1"/>
        <w:ind w:left="1242" w:right="673"/>
        <w:jc w:val="both"/>
      </w:pPr>
      <w:r>
        <w:rPr/>
        <w:t>Based</w:t>
      </w:r>
      <w:r>
        <w:rPr>
          <w:spacing w:val="-27"/>
        </w:rPr>
        <w:t> </w:t>
      </w:r>
      <w:r>
        <w:rPr/>
        <w:t>on</w:t>
      </w:r>
      <w:r>
        <w:rPr>
          <w:spacing w:val="-28"/>
        </w:rPr>
        <w:t> </w:t>
      </w:r>
      <w:r>
        <w:rPr/>
        <w:t>our</w:t>
      </w:r>
      <w:r>
        <w:rPr>
          <w:spacing w:val="-26"/>
        </w:rPr>
        <w:t> </w:t>
      </w:r>
      <w:r>
        <w:rPr/>
        <w:t>analysis,</w:t>
      </w:r>
      <w:r>
        <w:rPr>
          <w:spacing w:val="-28"/>
        </w:rPr>
        <w:t> </w:t>
      </w:r>
      <w:r>
        <w:rPr/>
        <w:t>it</w:t>
      </w:r>
      <w:r>
        <w:rPr>
          <w:spacing w:val="-27"/>
        </w:rPr>
        <w:t> </w:t>
      </w:r>
      <w:r>
        <w:rPr/>
        <w:t>is</w:t>
      </w:r>
      <w:r>
        <w:rPr>
          <w:spacing w:val="-26"/>
        </w:rPr>
        <w:t> </w:t>
      </w:r>
      <w:r>
        <w:rPr/>
        <w:t>understood</w:t>
      </w:r>
      <w:r>
        <w:rPr>
          <w:spacing w:val="-26"/>
        </w:rPr>
        <w:t> </w:t>
      </w:r>
      <w:r>
        <w:rPr/>
        <w:t>that</w:t>
      </w:r>
      <w:r>
        <w:rPr>
          <w:spacing w:val="-27"/>
        </w:rPr>
        <w:t> </w:t>
      </w:r>
      <w:r>
        <w:rPr/>
        <w:t>the</w:t>
      </w:r>
      <w:r>
        <w:rPr>
          <w:spacing w:val="-27"/>
        </w:rPr>
        <w:t> </w:t>
      </w:r>
      <w:r>
        <w:rPr/>
        <w:t>CAGR</w:t>
      </w:r>
      <w:r>
        <w:rPr>
          <w:spacing w:val="-28"/>
        </w:rPr>
        <w:t> </w:t>
      </w:r>
      <w:r>
        <w:rPr/>
        <w:t>for</w:t>
      </w:r>
      <w:r>
        <w:rPr>
          <w:spacing w:val="-27"/>
        </w:rPr>
        <w:t> </w:t>
      </w:r>
      <w:r>
        <w:rPr/>
        <w:t>BESCOM</w:t>
      </w:r>
      <w:r>
        <w:rPr>
          <w:spacing w:val="-28"/>
        </w:rPr>
        <w:t> </w:t>
      </w:r>
      <w:r>
        <w:rPr/>
        <w:t>tariff</w:t>
      </w:r>
      <w:r>
        <w:rPr>
          <w:spacing w:val="-25"/>
        </w:rPr>
        <w:t> </w:t>
      </w:r>
      <w:r>
        <w:rPr/>
        <w:t>is</w:t>
      </w:r>
      <w:r>
        <w:rPr>
          <w:spacing w:val="-27"/>
        </w:rPr>
        <w:t> </w:t>
      </w:r>
      <w:r>
        <w:rPr/>
        <w:t>4.0%</w:t>
      </w:r>
      <w:r>
        <w:rPr>
          <w:spacing w:val="-27"/>
        </w:rPr>
        <w:t> </w:t>
      </w:r>
      <w:r>
        <w:rPr/>
        <w:t>for</w:t>
      </w:r>
      <w:r>
        <w:rPr>
          <w:spacing w:val="-28"/>
        </w:rPr>
        <w:t> </w:t>
      </w:r>
      <w:r>
        <w:rPr/>
        <w:t>commercial</w:t>
      </w:r>
      <w:r>
        <w:rPr>
          <w:spacing w:val="-26"/>
        </w:rPr>
        <w:t> </w:t>
      </w:r>
      <w:r>
        <w:rPr/>
        <w:t>category, while the industrial tariffs have witnessed a CAGR of 4.5% over a period of last 9 years. In absolute terms, the commercial tariffs have annually grown by approx. INR 0.30 per kWH in the last 9 years, whereas</w:t>
      </w:r>
      <w:r>
        <w:rPr>
          <w:spacing w:val="-4"/>
        </w:rPr>
        <w:t> </w:t>
      </w:r>
      <w:r>
        <w:rPr/>
        <w:t>the</w:t>
      </w:r>
      <w:r>
        <w:rPr>
          <w:spacing w:val="-4"/>
        </w:rPr>
        <w:t> </w:t>
      </w:r>
      <w:r>
        <w:rPr/>
        <w:t>industrial</w:t>
      </w:r>
      <w:r>
        <w:rPr>
          <w:spacing w:val="-5"/>
        </w:rPr>
        <w:t> </w:t>
      </w:r>
      <w:r>
        <w:rPr/>
        <w:t>tariffs</w:t>
      </w:r>
      <w:r>
        <w:rPr>
          <w:spacing w:val="-3"/>
        </w:rPr>
        <w:t> </w:t>
      </w:r>
      <w:r>
        <w:rPr/>
        <w:t>have</w:t>
      </w:r>
      <w:r>
        <w:rPr>
          <w:spacing w:val="-5"/>
        </w:rPr>
        <w:t> </w:t>
      </w:r>
      <w:r>
        <w:rPr/>
        <w:t>witnessed</w:t>
      </w:r>
      <w:r>
        <w:rPr>
          <w:spacing w:val="-3"/>
        </w:rPr>
        <w:t> </w:t>
      </w:r>
      <w:r>
        <w:rPr/>
        <w:t>an</w:t>
      </w:r>
      <w:r>
        <w:rPr>
          <w:spacing w:val="-5"/>
        </w:rPr>
        <w:t> </w:t>
      </w:r>
      <w:r>
        <w:rPr/>
        <w:t>average</w:t>
      </w:r>
      <w:r>
        <w:rPr>
          <w:spacing w:val="-5"/>
        </w:rPr>
        <w:t> </w:t>
      </w:r>
      <w:r>
        <w:rPr/>
        <w:t>annual</w:t>
      </w:r>
      <w:r>
        <w:rPr>
          <w:spacing w:val="-5"/>
        </w:rPr>
        <w:t> </w:t>
      </w:r>
      <w:r>
        <w:rPr/>
        <w:t>increase</w:t>
      </w:r>
      <w:r>
        <w:rPr>
          <w:spacing w:val="-4"/>
        </w:rPr>
        <w:t> </w:t>
      </w:r>
      <w:r>
        <w:rPr/>
        <w:t>of</w:t>
      </w:r>
      <w:r>
        <w:rPr>
          <w:spacing w:val="-4"/>
        </w:rPr>
        <w:t> </w:t>
      </w:r>
      <w:r>
        <w:rPr/>
        <w:t>INR</w:t>
      </w:r>
      <w:r>
        <w:rPr>
          <w:spacing w:val="-5"/>
        </w:rPr>
        <w:t> </w:t>
      </w:r>
      <w:r>
        <w:rPr/>
        <w:t>0.27</w:t>
      </w:r>
      <w:r>
        <w:rPr>
          <w:spacing w:val="-4"/>
        </w:rPr>
        <w:t> </w:t>
      </w:r>
      <w:r>
        <w:rPr/>
        <w:t>per</w:t>
      </w:r>
      <w:r>
        <w:rPr>
          <w:spacing w:val="-5"/>
        </w:rPr>
        <w:t> </w:t>
      </w:r>
      <w:r>
        <w:rPr/>
        <w:t>kWH</w:t>
      </w:r>
      <w:r>
        <w:rPr>
          <w:spacing w:val="-5"/>
        </w:rPr>
        <w:t> </w:t>
      </w:r>
      <w:r>
        <w:rPr/>
        <w:t>during the</w:t>
      </w:r>
      <w:r>
        <w:rPr>
          <w:spacing w:val="-23"/>
        </w:rPr>
        <w:t> </w:t>
      </w:r>
      <w:r>
        <w:rPr/>
        <w:t>same</w:t>
      </w:r>
      <w:r>
        <w:rPr>
          <w:spacing w:val="-22"/>
        </w:rPr>
        <w:t> </w:t>
      </w:r>
      <w:r>
        <w:rPr/>
        <w:t>period.</w:t>
      </w:r>
      <w:r>
        <w:rPr>
          <w:spacing w:val="-22"/>
        </w:rPr>
        <w:t> </w:t>
      </w:r>
      <w:r>
        <w:rPr/>
        <w:t>However,</w:t>
      </w:r>
      <w:r>
        <w:rPr>
          <w:spacing w:val="-22"/>
        </w:rPr>
        <w:t> </w:t>
      </w:r>
      <w:r>
        <w:rPr/>
        <w:t>owing</w:t>
      </w:r>
      <w:r>
        <w:rPr>
          <w:spacing w:val="-21"/>
        </w:rPr>
        <w:t> </w:t>
      </w:r>
      <w:r>
        <w:rPr/>
        <w:t>to</w:t>
      </w:r>
      <w:r>
        <w:rPr>
          <w:spacing w:val="-22"/>
        </w:rPr>
        <w:t> </w:t>
      </w:r>
      <w:r>
        <w:rPr/>
        <w:t>technological</w:t>
      </w:r>
      <w:r>
        <w:rPr>
          <w:spacing w:val="-22"/>
        </w:rPr>
        <w:t> </w:t>
      </w:r>
      <w:r>
        <w:rPr/>
        <w:t>advancements</w:t>
      </w:r>
      <w:r>
        <w:rPr>
          <w:spacing w:val="-22"/>
        </w:rPr>
        <w:t> </w:t>
      </w:r>
      <w:r>
        <w:rPr/>
        <w:t>in</w:t>
      </w:r>
      <w:r>
        <w:rPr>
          <w:spacing w:val="-22"/>
        </w:rPr>
        <w:t> </w:t>
      </w:r>
      <w:r>
        <w:rPr/>
        <w:t>the</w:t>
      </w:r>
      <w:r>
        <w:rPr>
          <w:spacing w:val="-22"/>
        </w:rPr>
        <w:t> </w:t>
      </w:r>
      <w:r>
        <w:rPr/>
        <w:t>solar</w:t>
      </w:r>
      <w:r>
        <w:rPr>
          <w:spacing w:val="-23"/>
        </w:rPr>
        <w:t> </w:t>
      </w:r>
      <w:r>
        <w:rPr/>
        <w:t>industry,</w:t>
      </w:r>
      <w:r>
        <w:rPr>
          <w:spacing w:val="-22"/>
        </w:rPr>
        <w:t> </w:t>
      </w:r>
      <w:r>
        <w:rPr/>
        <w:t>it</w:t>
      </w:r>
      <w:r>
        <w:rPr>
          <w:spacing w:val="-21"/>
        </w:rPr>
        <w:t> </w:t>
      </w:r>
      <w:r>
        <w:rPr/>
        <w:t>is</w:t>
      </w:r>
      <w:r>
        <w:rPr>
          <w:spacing w:val="-22"/>
        </w:rPr>
        <w:t> </w:t>
      </w:r>
      <w:r>
        <w:rPr/>
        <w:t>understood</w:t>
      </w:r>
    </w:p>
    <w:p>
      <w:pPr>
        <w:spacing w:after="0" w:line="372" w:lineRule="auto"/>
        <w:jc w:val="both"/>
        <w:sectPr>
          <w:pgSz w:w="11910" w:h="16840"/>
          <w:pgMar w:header="720" w:footer="862" w:top="1660" w:bottom="1060" w:left="40" w:right="40"/>
        </w:sectPr>
      </w:pPr>
    </w:p>
    <w:p>
      <w:pPr>
        <w:pStyle w:val="BodyText"/>
        <w:spacing w:before="7"/>
        <w:rPr>
          <w:sz w:val="9"/>
        </w:rPr>
      </w:pPr>
    </w:p>
    <w:p>
      <w:pPr>
        <w:pStyle w:val="BodyText"/>
        <w:spacing w:line="372" w:lineRule="auto" w:before="106"/>
        <w:ind w:left="1242" w:right="676"/>
        <w:jc w:val="both"/>
      </w:pPr>
      <w:r>
        <w:rPr/>
        <w:t>that</w:t>
      </w:r>
      <w:r>
        <w:rPr>
          <w:spacing w:val="-13"/>
        </w:rPr>
        <w:t> </w:t>
      </w:r>
      <w:r>
        <w:rPr/>
        <w:t>the</w:t>
      </w:r>
      <w:r>
        <w:rPr>
          <w:spacing w:val="-13"/>
        </w:rPr>
        <w:t> </w:t>
      </w:r>
      <w:r>
        <w:rPr/>
        <w:t>capital</w:t>
      </w:r>
      <w:r>
        <w:rPr>
          <w:spacing w:val="-13"/>
        </w:rPr>
        <w:t> </w:t>
      </w:r>
      <w:r>
        <w:rPr/>
        <w:t>cost</w:t>
      </w:r>
      <w:r>
        <w:rPr>
          <w:spacing w:val="-12"/>
        </w:rPr>
        <w:t> </w:t>
      </w:r>
      <w:r>
        <w:rPr/>
        <w:t>of</w:t>
      </w:r>
      <w:r>
        <w:rPr>
          <w:spacing w:val="-12"/>
        </w:rPr>
        <w:t> </w:t>
      </w:r>
      <w:r>
        <w:rPr/>
        <w:t>solar</w:t>
      </w:r>
      <w:r>
        <w:rPr>
          <w:spacing w:val="-14"/>
        </w:rPr>
        <w:t> </w:t>
      </w:r>
      <w:r>
        <w:rPr/>
        <w:t>PV</w:t>
      </w:r>
      <w:r>
        <w:rPr>
          <w:spacing w:val="-12"/>
        </w:rPr>
        <w:t> </w:t>
      </w:r>
      <w:r>
        <w:rPr/>
        <w:t>power</w:t>
      </w:r>
      <w:r>
        <w:rPr>
          <w:spacing w:val="-14"/>
        </w:rPr>
        <w:t> </w:t>
      </w:r>
      <w:r>
        <w:rPr/>
        <w:t>projects</w:t>
      </w:r>
      <w:r>
        <w:rPr>
          <w:spacing w:val="-11"/>
        </w:rPr>
        <w:t> </w:t>
      </w:r>
      <w:r>
        <w:rPr/>
        <w:t>has</w:t>
      </w:r>
      <w:r>
        <w:rPr>
          <w:spacing w:val="-12"/>
        </w:rPr>
        <w:t> </w:t>
      </w:r>
      <w:r>
        <w:rPr/>
        <w:t>decreased</w:t>
      </w:r>
      <w:r>
        <w:rPr>
          <w:spacing w:val="-12"/>
        </w:rPr>
        <w:t> </w:t>
      </w:r>
      <w:r>
        <w:rPr/>
        <w:t>by</w:t>
      </w:r>
      <w:r>
        <w:rPr>
          <w:spacing w:val="-12"/>
        </w:rPr>
        <w:t> </w:t>
      </w:r>
      <w:r>
        <w:rPr/>
        <w:t>approx.</w:t>
      </w:r>
      <w:r>
        <w:rPr>
          <w:spacing w:val="-13"/>
        </w:rPr>
        <w:t> </w:t>
      </w:r>
      <w:r>
        <w:rPr/>
        <w:t>65%</w:t>
      </w:r>
      <w:r>
        <w:rPr>
          <w:spacing w:val="-7"/>
        </w:rPr>
        <w:t> </w:t>
      </w:r>
      <w:r>
        <w:rPr/>
        <w:t>-</w:t>
      </w:r>
      <w:r>
        <w:rPr>
          <w:spacing w:val="-12"/>
        </w:rPr>
        <w:t> </w:t>
      </w:r>
      <w:r>
        <w:rPr/>
        <w:t>70%</w:t>
      </w:r>
      <w:r>
        <w:rPr>
          <w:spacing w:val="-12"/>
        </w:rPr>
        <w:t> </w:t>
      </w:r>
      <w:r>
        <w:rPr/>
        <w:t>in</w:t>
      </w:r>
      <w:r>
        <w:rPr>
          <w:spacing w:val="-14"/>
        </w:rPr>
        <w:t> </w:t>
      </w:r>
      <w:r>
        <w:rPr/>
        <w:t>the</w:t>
      </w:r>
      <w:r>
        <w:rPr>
          <w:spacing w:val="-14"/>
        </w:rPr>
        <w:t> </w:t>
      </w:r>
      <w:r>
        <w:rPr/>
        <w:t>span</w:t>
      </w:r>
      <w:r>
        <w:rPr>
          <w:spacing w:val="-12"/>
        </w:rPr>
        <w:t> </w:t>
      </w:r>
      <w:r>
        <w:rPr/>
        <w:t>of</w:t>
      </w:r>
      <w:r>
        <w:rPr>
          <w:spacing w:val="-12"/>
        </w:rPr>
        <w:t> </w:t>
      </w:r>
      <w:r>
        <w:rPr/>
        <w:t>last 8</w:t>
      </w:r>
      <w:r>
        <w:rPr>
          <w:spacing w:val="-31"/>
        </w:rPr>
        <w:t> </w:t>
      </w:r>
      <w:r>
        <w:rPr>
          <w:w w:val="105"/>
        </w:rPr>
        <w:t>–</w:t>
      </w:r>
      <w:r>
        <w:rPr>
          <w:spacing w:val="-33"/>
          <w:w w:val="105"/>
        </w:rPr>
        <w:t> </w:t>
      </w:r>
      <w:r>
        <w:rPr/>
        <w:t>9</w:t>
      </w:r>
      <w:r>
        <w:rPr>
          <w:spacing w:val="-32"/>
        </w:rPr>
        <w:t> </w:t>
      </w:r>
      <w:r>
        <w:rPr/>
        <w:t>years.</w:t>
      </w:r>
      <w:r>
        <w:rPr>
          <w:spacing w:val="-30"/>
        </w:rPr>
        <w:t> </w:t>
      </w:r>
      <w:r>
        <w:rPr/>
        <w:t>Hence,</w:t>
      </w:r>
      <w:r>
        <w:rPr>
          <w:spacing w:val="-30"/>
        </w:rPr>
        <w:t> </w:t>
      </w:r>
      <w:r>
        <w:rPr/>
        <w:t>keeping</w:t>
      </w:r>
      <w:r>
        <w:rPr>
          <w:spacing w:val="-29"/>
        </w:rPr>
        <w:t> </w:t>
      </w:r>
      <w:r>
        <w:rPr/>
        <w:t>the</w:t>
      </w:r>
      <w:r>
        <w:rPr>
          <w:spacing w:val="-32"/>
        </w:rPr>
        <w:t> </w:t>
      </w:r>
      <w:r>
        <w:rPr/>
        <w:t>same</w:t>
      </w:r>
      <w:r>
        <w:rPr>
          <w:spacing w:val="-30"/>
        </w:rPr>
        <w:t> </w:t>
      </w:r>
      <w:r>
        <w:rPr/>
        <w:t>in</w:t>
      </w:r>
      <w:r>
        <w:rPr>
          <w:spacing w:val="-33"/>
        </w:rPr>
        <w:t> </w:t>
      </w:r>
      <w:r>
        <w:rPr/>
        <w:t>perspective</w:t>
      </w:r>
      <w:r>
        <w:rPr>
          <w:spacing w:val="-31"/>
        </w:rPr>
        <w:t> </w:t>
      </w:r>
      <w:r>
        <w:rPr/>
        <w:t>coupled</w:t>
      </w:r>
      <w:r>
        <w:rPr>
          <w:spacing w:val="-31"/>
        </w:rPr>
        <w:t> </w:t>
      </w:r>
      <w:r>
        <w:rPr/>
        <w:t>with</w:t>
      </w:r>
      <w:r>
        <w:rPr>
          <w:spacing w:val="-30"/>
        </w:rPr>
        <w:t> </w:t>
      </w:r>
      <w:r>
        <w:rPr/>
        <w:t>increasing</w:t>
      </w:r>
      <w:r>
        <w:rPr>
          <w:spacing w:val="-31"/>
        </w:rPr>
        <w:t> </w:t>
      </w:r>
      <w:r>
        <w:rPr/>
        <w:t>share</w:t>
      </w:r>
      <w:r>
        <w:rPr>
          <w:spacing w:val="-31"/>
        </w:rPr>
        <w:t> </w:t>
      </w:r>
      <w:r>
        <w:rPr/>
        <w:t>of</w:t>
      </w:r>
      <w:r>
        <w:rPr>
          <w:spacing w:val="-31"/>
        </w:rPr>
        <w:t> </w:t>
      </w:r>
      <w:r>
        <w:rPr/>
        <w:t>solar</w:t>
      </w:r>
      <w:r>
        <w:rPr>
          <w:spacing w:val="-30"/>
        </w:rPr>
        <w:t> </w:t>
      </w:r>
      <w:r>
        <w:rPr/>
        <w:t>energy</w:t>
      </w:r>
      <w:r>
        <w:rPr>
          <w:spacing w:val="-31"/>
        </w:rPr>
        <w:t> </w:t>
      </w:r>
      <w:r>
        <w:rPr/>
        <w:t>(owing to</w:t>
      </w:r>
      <w:r>
        <w:rPr>
          <w:spacing w:val="-11"/>
        </w:rPr>
        <w:t> </w:t>
      </w:r>
      <w:r>
        <w:rPr/>
        <w:t>favourable</w:t>
      </w:r>
      <w:r>
        <w:rPr>
          <w:spacing w:val="-11"/>
        </w:rPr>
        <w:t> </w:t>
      </w:r>
      <w:r>
        <w:rPr/>
        <w:t>policy</w:t>
      </w:r>
      <w:r>
        <w:rPr>
          <w:spacing w:val="-10"/>
        </w:rPr>
        <w:t> </w:t>
      </w:r>
      <w:r>
        <w:rPr/>
        <w:t>environment),</w:t>
      </w:r>
      <w:r>
        <w:rPr>
          <w:spacing w:val="-10"/>
        </w:rPr>
        <w:t> </w:t>
      </w:r>
      <w:r>
        <w:rPr/>
        <w:t>the</w:t>
      </w:r>
      <w:r>
        <w:rPr>
          <w:spacing w:val="-10"/>
        </w:rPr>
        <w:t> </w:t>
      </w:r>
      <w:r>
        <w:rPr/>
        <w:t>tariffs</w:t>
      </w:r>
      <w:r>
        <w:rPr>
          <w:spacing w:val="-10"/>
        </w:rPr>
        <w:t> </w:t>
      </w:r>
      <w:r>
        <w:rPr/>
        <w:t>are</w:t>
      </w:r>
      <w:r>
        <w:rPr>
          <w:spacing w:val="-10"/>
        </w:rPr>
        <w:t> </w:t>
      </w:r>
      <w:r>
        <w:rPr/>
        <w:t>expected</w:t>
      </w:r>
      <w:r>
        <w:rPr>
          <w:spacing w:val="-10"/>
        </w:rPr>
        <w:t> </w:t>
      </w:r>
      <w:r>
        <w:rPr/>
        <w:t>to</w:t>
      </w:r>
      <w:r>
        <w:rPr>
          <w:spacing w:val="-11"/>
        </w:rPr>
        <w:t> </w:t>
      </w:r>
      <w:r>
        <w:rPr/>
        <w:t>rationalize</w:t>
      </w:r>
      <w:r>
        <w:rPr>
          <w:spacing w:val="-10"/>
        </w:rPr>
        <w:t> </w:t>
      </w:r>
      <w:r>
        <w:rPr/>
        <w:t>going</w:t>
      </w:r>
      <w:r>
        <w:rPr>
          <w:spacing w:val="-10"/>
        </w:rPr>
        <w:t> </w:t>
      </w:r>
      <w:r>
        <w:rPr/>
        <w:t>forward.</w:t>
      </w:r>
      <w:r>
        <w:rPr>
          <w:spacing w:val="-10"/>
        </w:rPr>
        <w:t> </w:t>
      </w:r>
      <w:r>
        <w:rPr/>
        <w:t>Hence,</w:t>
      </w:r>
      <w:r>
        <w:rPr>
          <w:spacing w:val="-10"/>
        </w:rPr>
        <w:t> </w:t>
      </w:r>
      <w:r>
        <w:rPr/>
        <w:t>on</w:t>
      </w:r>
      <w:r>
        <w:rPr>
          <w:spacing w:val="-9"/>
        </w:rPr>
        <w:t> </w:t>
      </w:r>
      <w:r>
        <w:rPr/>
        <w:t>a conservative</w:t>
      </w:r>
      <w:r>
        <w:rPr>
          <w:spacing w:val="-7"/>
        </w:rPr>
        <w:t> </w:t>
      </w:r>
      <w:r>
        <w:rPr/>
        <w:t>basis,</w:t>
      </w:r>
      <w:r>
        <w:rPr>
          <w:spacing w:val="-7"/>
        </w:rPr>
        <w:t> </w:t>
      </w:r>
      <w:r>
        <w:rPr/>
        <w:t>we</w:t>
      </w:r>
      <w:r>
        <w:rPr>
          <w:spacing w:val="-6"/>
        </w:rPr>
        <w:t> </w:t>
      </w:r>
      <w:r>
        <w:rPr/>
        <w:t>have</w:t>
      </w:r>
      <w:r>
        <w:rPr>
          <w:spacing w:val="-7"/>
        </w:rPr>
        <w:t> </w:t>
      </w:r>
      <w:r>
        <w:rPr/>
        <w:t>assumed</w:t>
      </w:r>
      <w:r>
        <w:rPr>
          <w:spacing w:val="-6"/>
        </w:rPr>
        <w:t> </w:t>
      </w:r>
      <w:r>
        <w:rPr/>
        <w:t>an</w:t>
      </w:r>
      <w:r>
        <w:rPr>
          <w:spacing w:val="-7"/>
        </w:rPr>
        <w:t> </w:t>
      </w:r>
      <w:r>
        <w:rPr/>
        <w:t>annual</w:t>
      </w:r>
      <w:r>
        <w:rPr>
          <w:spacing w:val="-8"/>
        </w:rPr>
        <w:t> </w:t>
      </w:r>
      <w:r>
        <w:rPr/>
        <w:t>escalation</w:t>
      </w:r>
      <w:r>
        <w:rPr>
          <w:spacing w:val="-7"/>
        </w:rPr>
        <w:t> </w:t>
      </w:r>
      <w:r>
        <w:rPr/>
        <w:t>of</w:t>
      </w:r>
      <w:r>
        <w:rPr>
          <w:spacing w:val="-4"/>
        </w:rPr>
        <w:t> </w:t>
      </w:r>
      <w:r>
        <w:rPr/>
        <w:t>2.5%</w:t>
      </w:r>
      <w:r>
        <w:rPr>
          <w:spacing w:val="-7"/>
        </w:rPr>
        <w:t> </w:t>
      </w:r>
      <w:r>
        <w:rPr/>
        <w:t>in</w:t>
      </w:r>
      <w:r>
        <w:rPr>
          <w:spacing w:val="-7"/>
        </w:rPr>
        <w:t> </w:t>
      </w:r>
      <w:r>
        <w:rPr/>
        <w:t>the</w:t>
      </w:r>
      <w:r>
        <w:rPr>
          <w:spacing w:val="-7"/>
        </w:rPr>
        <w:t> </w:t>
      </w:r>
      <w:r>
        <w:rPr/>
        <w:t>tariff.</w:t>
      </w:r>
    </w:p>
    <w:p>
      <w:pPr>
        <w:pStyle w:val="BodyText"/>
        <w:spacing w:before="6"/>
        <w:rPr>
          <w:sz w:val="20"/>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392" w:id="766"/>
      <w:bookmarkEnd w:id="766"/>
      <w:r>
        <w:rPr/>
      </w:r>
      <w:bookmarkStart w:name="_bookmark392" w:id="767"/>
      <w:bookmarkEnd w:id="767"/>
      <w:r>
        <w:rPr>
          <w:color w:val="1F664D"/>
          <w:sz w:val="22"/>
        </w:rPr>
        <w:t>O</w:t>
      </w:r>
      <w:r>
        <w:rPr>
          <w:color w:val="1F664D"/>
          <w:sz w:val="22"/>
        </w:rPr>
        <w:t>peration &amp; Maintenance (O&amp;M) Expenditure</w:t>
      </w:r>
    </w:p>
    <w:p>
      <w:pPr>
        <w:pStyle w:val="BodyText"/>
        <w:spacing w:before="2"/>
        <w:rPr>
          <w:sz w:val="28"/>
        </w:rPr>
      </w:pPr>
    </w:p>
    <w:p>
      <w:pPr>
        <w:pStyle w:val="BodyText"/>
        <w:spacing w:line="372" w:lineRule="auto"/>
        <w:ind w:left="1227" w:right="672"/>
        <w:jc w:val="both"/>
      </w:pPr>
      <w:r>
        <w:rPr/>
        <w:t>The</w:t>
      </w:r>
      <w:r>
        <w:rPr>
          <w:spacing w:val="-24"/>
        </w:rPr>
        <w:t> </w:t>
      </w:r>
      <w:r>
        <w:rPr/>
        <w:t>O&amp;M</w:t>
      </w:r>
      <w:r>
        <w:rPr>
          <w:spacing w:val="-22"/>
        </w:rPr>
        <w:t> </w:t>
      </w:r>
      <w:r>
        <w:rPr/>
        <w:t>expenditure</w:t>
      </w:r>
      <w:r>
        <w:rPr>
          <w:spacing w:val="-24"/>
        </w:rPr>
        <w:t> </w:t>
      </w:r>
      <w:r>
        <w:rPr/>
        <w:t>includes</w:t>
      </w:r>
      <w:r>
        <w:rPr>
          <w:spacing w:val="-21"/>
        </w:rPr>
        <w:t> </w:t>
      </w:r>
      <w:r>
        <w:rPr/>
        <w:t>cost</w:t>
      </w:r>
      <w:r>
        <w:rPr>
          <w:spacing w:val="-22"/>
        </w:rPr>
        <w:t> </w:t>
      </w:r>
      <w:r>
        <w:rPr/>
        <w:t>towards</w:t>
      </w:r>
      <w:r>
        <w:rPr>
          <w:spacing w:val="-22"/>
        </w:rPr>
        <w:t> </w:t>
      </w:r>
      <w:r>
        <w:rPr/>
        <w:t>repair,</w:t>
      </w:r>
      <w:r>
        <w:rPr>
          <w:spacing w:val="-23"/>
        </w:rPr>
        <w:t> </w:t>
      </w:r>
      <w:r>
        <w:rPr/>
        <w:t>operation,</w:t>
      </w:r>
      <w:r>
        <w:rPr>
          <w:spacing w:val="-23"/>
        </w:rPr>
        <w:t> </w:t>
      </w:r>
      <w:r>
        <w:rPr/>
        <w:t>maintenance</w:t>
      </w:r>
      <w:r>
        <w:rPr>
          <w:spacing w:val="-23"/>
        </w:rPr>
        <w:t> </w:t>
      </w:r>
      <w:r>
        <w:rPr/>
        <w:t>and</w:t>
      </w:r>
      <w:r>
        <w:rPr>
          <w:spacing w:val="-22"/>
        </w:rPr>
        <w:t> </w:t>
      </w:r>
      <w:r>
        <w:rPr/>
        <w:t>general</w:t>
      </w:r>
      <w:r>
        <w:rPr>
          <w:spacing w:val="-23"/>
        </w:rPr>
        <w:t> </w:t>
      </w:r>
      <w:r>
        <w:rPr/>
        <w:t>upkeep</w:t>
      </w:r>
      <w:r>
        <w:rPr>
          <w:spacing w:val="-22"/>
        </w:rPr>
        <w:t> </w:t>
      </w:r>
      <w:r>
        <w:rPr/>
        <w:t>of</w:t>
      </w:r>
      <w:r>
        <w:rPr>
          <w:spacing w:val="-18"/>
        </w:rPr>
        <w:t> </w:t>
      </w:r>
      <w:r>
        <w:rPr/>
        <w:t>the plant so as to optimize the efficiency of the plant. Additionally, other expenses such as employee expenses,</w:t>
      </w:r>
      <w:r>
        <w:rPr>
          <w:spacing w:val="-20"/>
        </w:rPr>
        <w:t> </w:t>
      </w:r>
      <w:r>
        <w:rPr/>
        <w:t>administrative</w:t>
      </w:r>
      <w:r>
        <w:rPr>
          <w:spacing w:val="-20"/>
        </w:rPr>
        <w:t> </w:t>
      </w:r>
      <w:r>
        <w:rPr/>
        <w:t>&amp;</w:t>
      </w:r>
      <w:r>
        <w:rPr>
          <w:spacing w:val="-19"/>
        </w:rPr>
        <w:t> </w:t>
      </w:r>
      <w:r>
        <w:rPr/>
        <w:t>general</w:t>
      </w:r>
      <w:r>
        <w:rPr>
          <w:spacing w:val="-20"/>
        </w:rPr>
        <w:t> </w:t>
      </w:r>
      <w:r>
        <w:rPr/>
        <w:t>expenses,</w:t>
      </w:r>
      <w:r>
        <w:rPr>
          <w:spacing w:val="-19"/>
        </w:rPr>
        <w:t> </w:t>
      </w:r>
      <w:r>
        <w:rPr/>
        <w:t>etc.</w:t>
      </w:r>
      <w:r>
        <w:rPr>
          <w:spacing w:val="-21"/>
        </w:rPr>
        <w:t> </w:t>
      </w:r>
      <w:r>
        <w:rPr/>
        <w:t>are</w:t>
      </w:r>
      <w:r>
        <w:rPr>
          <w:spacing w:val="-19"/>
        </w:rPr>
        <w:t> </w:t>
      </w:r>
      <w:r>
        <w:rPr/>
        <w:t>also</w:t>
      </w:r>
      <w:r>
        <w:rPr>
          <w:spacing w:val="-20"/>
        </w:rPr>
        <w:t> </w:t>
      </w:r>
      <w:r>
        <w:rPr/>
        <w:t>included</w:t>
      </w:r>
      <w:r>
        <w:rPr>
          <w:spacing w:val="-19"/>
        </w:rPr>
        <w:t> </w:t>
      </w:r>
      <w:r>
        <w:rPr/>
        <w:t>in</w:t>
      </w:r>
      <w:r>
        <w:rPr>
          <w:spacing w:val="-20"/>
        </w:rPr>
        <w:t> </w:t>
      </w:r>
      <w:r>
        <w:rPr/>
        <w:t>the</w:t>
      </w:r>
      <w:r>
        <w:rPr>
          <w:spacing w:val="-19"/>
        </w:rPr>
        <w:t> </w:t>
      </w:r>
      <w:r>
        <w:rPr/>
        <w:t>operating</w:t>
      </w:r>
      <w:r>
        <w:rPr>
          <w:spacing w:val="-19"/>
        </w:rPr>
        <w:t> </w:t>
      </w:r>
      <w:r>
        <w:rPr/>
        <w:t>expenditure.</w:t>
      </w:r>
      <w:r>
        <w:rPr>
          <w:spacing w:val="-19"/>
        </w:rPr>
        <w:t> </w:t>
      </w:r>
      <w:r>
        <w:rPr/>
        <w:t>The maintenance activities can be further categorised as</w:t>
      </w:r>
      <w:r>
        <w:rPr>
          <w:spacing w:val="-45"/>
        </w:rPr>
        <w:t> </w:t>
      </w:r>
      <w:r>
        <w:rPr/>
        <w:t>follows:</w:t>
      </w:r>
    </w:p>
    <w:tbl>
      <w:tblPr>
        <w:tblW w:w="0" w:type="auto"/>
        <w:jc w:val="left"/>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68"/>
        <w:gridCol w:w="3195"/>
        <w:gridCol w:w="706"/>
        <w:gridCol w:w="123"/>
        <w:gridCol w:w="3981"/>
      </w:tblGrid>
      <w:tr>
        <w:trPr>
          <w:trHeight w:val="359" w:hRule="atLeast"/>
        </w:trPr>
        <w:tc>
          <w:tcPr>
            <w:tcW w:w="2468" w:type="dxa"/>
            <w:tcBorders>
              <w:top w:val="single" w:sz="6" w:space="0" w:color="69BD28"/>
            </w:tcBorders>
            <w:shd w:val="clear" w:color="auto" w:fill="006A4D"/>
          </w:tcPr>
          <w:p>
            <w:pPr>
              <w:pStyle w:val="TableParagraph"/>
              <w:spacing w:before="70"/>
              <w:ind w:left="324"/>
              <w:jc w:val="left"/>
              <w:rPr>
                <w:sz w:val="18"/>
              </w:rPr>
            </w:pPr>
            <w:r>
              <w:rPr>
                <w:color w:val="FFFFFF"/>
                <w:sz w:val="18"/>
              </w:rPr>
              <w:t>Nature of maintenance</w:t>
            </w:r>
          </w:p>
        </w:tc>
        <w:tc>
          <w:tcPr>
            <w:tcW w:w="3195" w:type="dxa"/>
            <w:tcBorders>
              <w:top w:val="single" w:sz="6" w:space="0" w:color="69BD28"/>
              <w:bottom w:val="single" w:sz="6" w:space="0" w:color="69BD28"/>
            </w:tcBorders>
            <w:shd w:val="clear" w:color="auto" w:fill="006A4D"/>
          </w:tcPr>
          <w:p>
            <w:pPr>
              <w:pStyle w:val="TableParagraph"/>
              <w:jc w:val="left"/>
              <w:rPr>
                <w:rFonts w:ascii="Times New Roman"/>
                <w:sz w:val="20"/>
              </w:rPr>
            </w:pPr>
          </w:p>
        </w:tc>
        <w:tc>
          <w:tcPr>
            <w:tcW w:w="706" w:type="dxa"/>
            <w:tcBorders>
              <w:top w:val="single" w:sz="6" w:space="0" w:color="69BD28"/>
              <w:bottom w:val="single" w:sz="6" w:space="0" w:color="69BD28"/>
            </w:tcBorders>
            <w:shd w:val="clear" w:color="auto" w:fill="006A4D"/>
          </w:tcPr>
          <w:p>
            <w:pPr>
              <w:pStyle w:val="TableParagraph"/>
              <w:spacing w:before="70"/>
              <w:ind w:left="216"/>
              <w:jc w:val="left"/>
              <w:rPr>
                <w:sz w:val="18"/>
              </w:rPr>
            </w:pPr>
            <w:r>
              <w:rPr>
                <w:color w:val="FFFFFF"/>
                <w:sz w:val="18"/>
              </w:rPr>
              <w:t>Major</w:t>
            </w:r>
          </w:p>
        </w:tc>
        <w:tc>
          <w:tcPr>
            <w:tcW w:w="4104" w:type="dxa"/>
            <w:gridSpan w:val="2"/>
            <w:tcBorders>
              <w:top w:val="single" w:sz="6" w:space="0" w:color="69BD28"/>
              <w:bottom w:val="single" w:sz="6" w:space="0" w:color="69BD28"/>
            </w:tcBorders>
            <w:shd w:val="clear" w:color="auto" w:fill="006A4D"/>
          </w:tcPr>
          <w:p>
            <w:pPr>
              <w:pStyle w:val="TableParagraph"/>
              <w:spacing w:before="70"/>
              <w:ind w:left="25"/>
              <w:jc w:val="left"/>
              <w:rPr>
                <w:sz w:val="18"/>
              </w:rPr>
            </w:pPr>
            <w:r>
              <w:rPr>
                <w:color w:val="FFFFFF"/>
                <w:sz w:val="18"/>
              </w:rPr>
              <w:t>Activities</w:t>
            </w:r>
          </w:p>
        </w:tc>
      </w:tr>
      <w:tr>
        <w:trPr>
          <w:trHeight w:val="608" w:hRule="atLeast"/>
        </w:trPr>
        <w:tc>
          <w:tcPr>
            <w:tcW w:w="2468" w:type="dxa"/>
            <w:vMerge w:val="restart"/>
            <w:shd w:val="clear" w:color="auto" w:fill="69BD28"/>
          </w:tcPr>
          <w:p>
            <w:pPr>
              <w:pStyle w:val="TableParagraph"/>
              <w:jc w:val="left"/>
              <w:rPr>
                <w:sz w:val="22"/>
              </w:rPr>
            </w:pPr>
          </w:p>
          <w:p>
            <w:pPr>
              <w:pStyle w:val="TableParagraph"/>
              <w:jc w:val="left"/>
              <w:rPr>
                <w:sz w:val="22"/>
              </w:rPr>
            </w:pPr>
          </w:p>
          <w:p>
            <w:pPr>
              <w:pStyle w:val="TableParagraph"/>
              <w:spacing w:before="6"/>
              <w:jc w:val="left"/>
              <w:rPr>
                <w:sz w:val="22"/>
              </w:rPr>
            </w:pPr>
          </w:p>
          <w:p>
            <w:pPr>
              <w:pStyle w:val="TableParagraph"/>
              <w:spacing w:before="1"/>
              <w:ind w:left="286" w:right="287"/>
              <w:rPr>
                <w:sz w:val="18"/>
              </w:rPr>
            </w:pPr>
            <w:r>
              <w:rPr>
                <w:color w:val="FFFFFF"/>
                <w:w w:val="95"/>
                <w:sz w:val="18"/>
              </w:rPr>
              <w:t>Preventive Maintenance</w:t>
            </w:r>
          </w:p>
          <w:p>
            <w:pPr>
              <w:pStyle w:val="TableParagraph"/>
              <w:jc w:val="left"/>
              <w:rPr>
                <w:sz w:val="22"/>
              </w:rPr>
            </w:pPr>
          </w:p>
          <w:p>
            <w:pPr>
              <w:pStyle w:val="TableParagraph"/>
              <w:jc w:val="left"/>
              <w:rPr>
                <w:sz w:val="22"/>
              </w:rPr>
            </w:pPr>
          </w:p>
          <w:p>
            <w:pPr>
              <w:pStyle w:val="TableParagraph"/>
              <w:jc w:val="left"/>
              <w:rPr>
                <w:sz w:val="22"/>
              </w:rPr>
            </w:pPr>
          </w:p>
          <w:p>
            <w:pPr>
              <w:pStyle w:val="TableParagraph"/>
              <w:jc w:val="left"/>
              <w:rPr>
                <w:sz w:val="22"/>
              </w:rPr>
            </w:pPr>
          </w:p>
          <w:p>
            <w:pPr>
              <w:pStyle w:val="TableParagraph"/>
              <w:spacing w:before="10"/>
              <w:jc w:val="left"/>
              <w:rPr>
                <w:sz w:val="25"/>
              </w:rPr>
            </w:pPr>
          </w:p>
          <w:p>
            <w:pPr>
              <w:pStyle w:val="TableParagraph"/>
              <w:ind w:left="286" w:right="287"/>
              <w:rPr>
                <w:sz w:val="18"/>
              </w:rPr>
            </w:pPr>
            <w:r>
              <w:rPr>
                <w:color w:val="FFFFFF"/>
                <w:w w:val="95"/>
                <w:sz w:val="18"/>
              </w:rPr>
              <w:t>Corrective</w:t>
            </w:r>
            <w:r>
              <w:rPr>
                <w:color w:val="FFFFFF"/>
                <w:spacing w:val="34"/>
                <w:w w:val="95"/>
                <w:sz w:val="18"/>
              </w:rPr>
              <w:t> </w:t>
            </w:r>
            <w:r>
              <w:rPr>
                <w:color w:val="FFFFFF"/>
                <w:w w:val="95"/>
                <w:sz w:val="18"/>
              </w:rPr>
              <w:t>Maintenance</w:t>
            </w:r>
          </w:p>
          <w:p>
            <w:pPr>
              <w:pStyle w:val="TableParagraph"/>
              <w:jc w:val="left"/>
              <w:rPr>
                <w:sz w:val="22"/>
              </w:rPr>
            </w:pPr>
          </w:p>
          <w:p>
            <w:pPr>
              <w:pStyle w:val="TableParagraph"/>
              <w:jc w:val="left"/>
              <w:rPr>
                <w:sz w:val="22"/>
              </w:rPr>
            </w:pPr>
          </w:p>
          <w:p>
            <w:pPr>
              <w:pStyle w:val="TableParagraph"/>
              <w:jc w:val="left"/>
              <w:rPr>
                <w:sz w:val="22"/>
              </w:rPr>
            </w:pPr>
          </w:p>
          <w:p>
            <w:pPr>
              <w:pStyle w:val="TableParagraph"/>
              <w:spacing w:before="4"/>
              <w:jc w:val="left"/>
              <w:rPr>
                <w:sz w:val="18"/>
              </w:rPr>
            </w:pPr>
          </w:p>
          <w:p>
            <w:pPr>
              <w:pStyle w:val="TableParagraph"/>
              <w:spacing w:line="295" w:lineRule="auto"/>
              <w:ind w:left="456" w:right="456" w:hanging="2"/>
              <w:rPr>
                <w:sz w:val="18"/>
              </w:rPr>
            </w:pPr>
            <w:r>
              <w:rPr>
                <w:color w:val="FFFFFF"/>
                <w:sz w:val="18"/>
              </w:rPr>
              <w:t>Condition based Maintenance (CBM)</w:t>
            </w:r>
          </w:p>
        </w:tc>
        <w:tc>
          <w:tcPr>
            <w:tcW w:w="3195" w:type="dxa"/>
            <w:tcBorders>
              <w:top w:val="single" w:sz="6" w:space="0" w:color="69BD28"/>
              <w:bottom w:val="single" w:sz="6" w:space="0" w:color="69BD28"/>
            </w:tcBorders>
          </w:tcPr>
          <w:p>
            <w:pPr>
              <w:pStyle w:val="TableParagraph"/>
              <w:spacing w:before="195"/>
              <w:ind w:left="1015" w:right="187"/>
              <w:rPr>
                <w:sz w:val="18"/>
              </w:rPr>
            </w:pPr>
            <w:r>
              <w:rPr>
                <w:sz w:val="18"/>
              </w:rPr>
              <w:t>Panel Cleaning</w:t>
            </w:r>
          </w:p>
        </w:tc>
        <w:tc>
          <w:tcPr>
            <w:tcW w:w="829" w:type="dxa"/>
            <w:gridSpan w:val="2"/>
            <w:tcBorders>
              <w:top w:val="single" w:sz="6" w:space="0" w:color="69BD28"/>
              <w:bottom w:val="single" w:sz="6" w:space="0" w:color="69BD28"/>
            </w:tcBorders>
          </w:tcPr>
          <w:p>
            <w:pPr>
              <w:pStyle w:val="TableParagraph"/>
              <w:jc w:val="left"/>
              <w:rPr>
                <w:rFonts w:ascii="Times New Roman"/>
                <w:sz w:val="20"/>
              </w:rPr>
            </w:pPr>
          </w:p>
        </w:tc>
        <w:tc>
          <w:tcPr>
            <w:tcW w:w="3981" w:type="dxa"/>
            <w:tcBorders>
              <w:top w:val="single" w:sz="6" w:space="0" w:color="69BD28"/>
              <w:bottom w:val="single" w:sz="6" w:space="0" w:color="69BD28"/>
            </w:tcBorders>
          </w:tcPr>
          <w:p>
            <w:pPr>
              <w:pStyle w:val="TableParagraph"/>
              <w:spacing w:line="247" w:lineRule="auto" w:before="87"/>
              <w:ind w:left="686" w:right="225" w:hanging="392"/>
              <w:jc w:val="left"/>
              <w:rPr>
                <w:sz w:val="18"/>
              </w:rPr>
            </w:pPr>
            <w:r>
              <w:rPr>
                <w:sz w:val="18"/>
              </w:rPr>
              <w:t>Upkeep of data acquisition and monitoring systems (e.g. electronics, sensors)</w:t>
            </w:r>
          </w:p>
        </w:tc>
      </w:tr>
      <w:tr>
        <w:trPr>
          <w:trHeight w:val="539" w:hRule="atLeast"/>
        </w:trPr>
        <w:tc>
          <w:tcPr>
            <w:tcW w:w="2468" w:type="dxa"/>
            <w:vMerge/>
            <w:tcBorders>
              <w:top w:val="nil"/>
            </w:tcBorders>
            <w:shd w:val="clear" w:color="auto" w:fill="69BD28"/>
          </w:tcPr>
          <w:p>
            <w:pPr>
              <w:rPr>
                <w:sz w:val="2"/>
                <w:szCs w:val="2"/>
              </w:rPr>
            </w:pPr>
          </w:p>
        </w:tc>
        <w:tc>
          <w:tcPr>
            <w:tcW w:w="3195" w:type="dxa"/>
            <w:tcBorders>
              <w:top w:val="single" w:sz="6" w:space="0" w:color="69BD28"/>
              <w:bottom w:val="single" w:sz="6" w:space="0" w:color="69BD28"/>
            </w:tcBorders>
          </w:tcPr>
          <w:p>
            <w:pPr>
              <w:pStyle w:val="TableParagraph"/>
              <w:spacing w:before="159"/>
              <w:ind w:left="1015" w:right="187"/>
              <w:rPr>
                <w:sz w:val="18"/>
              </w:rPr>
            </w:pPr>
            <w:r>
              <w:rPr>
                <w:sz w:val="18"/>
              </w:rPr>
              <w:t>Wildlife prevention</w:t>
            </w:r>
          </w:p>
        </w:tc>
        <w:tc>
          <w:tcPr>
            <w:tcW w:w="829" w:type="dxa"/>
            <w:gridSpan w:val="2"/>
            <w:tcBorders>
              <w:top w:val="single" w:sz="6" w:space="0" w:color="69BD28"/>
              <w:bottom w:val="single" w:sz="6" w:space="0" w:color="69BD28"/>
            </w:tcBorders>
          </w:tcPr>
          <w:p>
            <w:pPr>
              <w:pStyle w:val="TableParagraph"/>
              <w:jc w:val="left"/>
              <w:rPr>
                <w:rFonts w:ascii="Times New Roman"/>
                <w:sz w:val="20"/>
              </w:rPr>
            </w:pPr>
          </w:p>
        </w:tc>
        <w:tc>
          <w:tcPr>
            <w:tcW w:w="3981" w:type="dxa"/>
            <w:tcBorders>
              <w:top w:val="single" w:sz="6" w:space="0" w:color="69BD28"/>
              <w:bottom w:val="single" w:sz="6" w:space="0" w:color="69BD28"/>
            </w:tcBorders>
          </w:tcPr>
          <w:p>
            <w:pPr>
              <w:pStyle w:val="TableParagraph"/>
              <w:spacing w:line="247" w:lineRule="auto" w:before="51"/>
              <w:ind w:left="426" w:right="370" w:hanging="56"/>
              <w:jc w:val="left"/>
              <w:rPr>
                <w:sz w:val="18"/>
              </w:rPr>
            </w:pPr>
            <w:r>
              <w:rPr>
                <w:sz w:val="18"/>
              </w:rPr>
              <w:t>Upkeep</w:t>
            </w:r>
            <w:r>
              <w:rPr>
                <w:spacing w:val="-25"/>
                <w:sz w:val="18"/>
              </w:rPr>
              <w:t> </w:t>
            </w:r>
            <w:r>
              <w:rPr>
                <w:sz w:val="18"/>
              </w:rPr>
              <w:t>of</w:t>
            </w:r>
            <w:r>
              <w:rPr>
                <w:spacing w:val="-25"/>
                <w:sz w:val="18"/>
              </w:rPr>
              <w:t> </w:t>
            </w:r>
            <w:r>
              <w:rPr>
                <w:sz w:val="18"/>
              </w:rPr>
              <w:t>power</w:t>
            </w:r>
            <w:r>
              <w:rPr>
                <w:spacing w:val="-24"/>
                <w:sz w:val="18"/>
              </w:rPr>
              <w:t> </w:t>
            </w:r>
            <w:r>
              <w:rPr>
                <w:sz w:val="18"/>
              </w:rPr>
              <w:t>generation</w:t>
            </w:r>
            <w:r>
              <w:rPr>
                <w:spacing w:val="-26"/>
                <w:sz w:val="18"/>
              </w:rPr>
              <w:t> </w:t>
            </w:r>
            <w:r>
              <w:rPr>
                <w:sz w:val="18"/>
              </w:rPr>
              <w:t>system</w:t>
            </w:r>
            <w:r>
              <w:rPr>
                <w:spacing w:val="-25"/>
                <w:sz w:val="18"/>
              </w:rPr>
              <w:t> </w:t>
            </w:r>
            <w:r>
              <w:rPr>
                <w:sz w:val="18"/>
              </w:rPr>
              <w:t>(e.g. </w:t>
            </w:r>
            <w:r>
              <w:rPr>
                <w:w w:val="95"/>
                <w:sz w:val="18"/>
              </w:rPr>
              <w:t>inverter servicing, Tracker</w:t>
            </w:r>
            <w:r>
              <w:rPr>
                <w:spacing w:val="-27"/>
                <w:w w:val="95"/>
                <w:sz w:val="18"/>
              </w:rPr>
              <w:t> </w:t>
            </w:r>
            <w:r>
              <w:rPr>
                <w:w w:val="95"/>
                <w:sz w:val="18"/>
              </w:rPr>
              <w:t>maintenance)</w:t>
            </w:r>
          </w:p>
        </w:tc>
      </w:tr>
      <w:tr>
        <w:trPr>
          <w:trHeight w:val="608" w:hRule="atLeast"/>
        </w:trPr>
        <w:tc>
          <w:tcPr>
            <w:tcW w:w="2468" w:type="dxa"/>
            <w:vMerge/>
            <w:tcBorders>
              <w:top w:val="nil"/>
            </w:tcBorders>
            <w:shd w:val="clear" w:color="auto" w:fill="69BD28"/>
          </w:tcPr>
          <w:p>
            <w:pPr>
              <w:rPr>
                <w:sz w:val="2"/>
                <w:szCs w:val="2"/>
              </w:rPr>
            </w:pPr>
          </w:p>
        </w:tc>
        <w:tc>
          <w:tcPr>
            <w:tcW w:w="3195" w:type="dxa"/>
            <w:tcBorders>
              <w:top w:val="single" w:sz="6" w:space="0" w:color="69BD28"/>
              <w:bottom w:val="single" w:sz="6" w:space="0" w:color="69BD28"/>
            </w:tcBorders>
          </w:tcPr>
          <w:p>
            <w:pPr>
              <w:pStyle w:val="TableParagraph"/>
              <w:spacing w:before="195"/>
              <w:ind w:left="1016" w:right="187"/>
              <w:rPr>
                <w:sz w:val="18"/>
              </w:rPr>
            </w:pPr>
            <w:r>
              <w:rPr>
                <w:sz w:val="18"/>
              </w:rPr>
              <w:t>Vegetation Management</w:t>
            </w:r>
          </w:p>
        </w:tc>
        <w:tc>
          <w:tcPr>
            <w:tcW w:w="829" w:type="dxa"/>
            <w:gridSpan w:val="2"/>
            <w:tcBorders>
              <w:top w:val="single" w:sz="6" w:space="0" w:color="69BD28"/>
              <w:bottom w:val="single" w:sz="6" w:space="0" w:color="69BD28"/>
            </w:tcBorders>
          </w:tcPr>
          <w:p>
            <w:pPr>
              <w:pStyle w:val="TableParagraph"/>
              <w:jc w:val="left"/>
              <w:rPr>
                <w:rFonts w:ascii="Times New Roman"/>
                <w:sz w:val="20"/>
              </w:rPr>
            </w:pPr>
          </w:p>
        </w:tc>
        <w:tc>
          <w:tcPr>
            <w:tcW w:w="3981" w:type="dxa"/>
            <w:tcBorders>
              <w:top w:val="single" w:sz="6" w:space="0" w:color="69BD28"/>
              <w:bottom w:val="single" w:sz="6" w:space="0" w:color="69BD28"/>
            </w:tcBorders>
          </w:tcPr>
          <w:p>
            <w:pPr>
              <w:pStyle w:val="TableParagraph"/>
              <w:spacing w:before="195"/>
              <w:ind w:left="1344" w:right="1347"/>
              <w:rPr>
                <w:sz w:val="18"/>
              </w:rPr>
            </w:pPr>
            <w:r>
              <w:rPr>
                <w:sz w:val="18"/>
              </w:rPr>
              <w:t>Water Drainage</w:t>
            </w:r>
          </w:p>
        </w:tc>
      </w:tr>
      <w:tr>
        <w:trPr>
          <w:trHeight w:val="609" w:hRule="atLeast"/>
        </w:trPr>
        <w:tc>
          <w:tcPr>
            <w:tcW w:w="2468" w:type="dxa"/>
            <w:vMerge/>
            <w:tcBorders>
              <w:top w:val="nil"/>
            </w:tcBorders>
            <w:shd w:val="clear" w:color="auto" w:fill="69BD28"/>
          </w:tcPr>
          <w:p>
            <w:pPr>
              <w:rPr>
                <w:sz w:val="2"/>
                <w:szCs w:val="2"/>
              </w:rPr>
            </w:pPr>
          </w:p>
        </w:tc>
        <w:tc>
          <w:tcPr>
            <w:tcW w:w="3195" w:type="dxa"/>
            <w:tcBorders>
              <w:top w:val="single" w:sz="6" w:space="0" w:color="69BD28"/>
              <w:bottom w:val="single" w:sz="6" w:space="0" w:color="69BD28"/>
            </w:tcBorders>
          </w:tcPr>
          <w:p>
            <w:pPr>
              <w:pStyle w:val="TableParagraph"/>
              <w:spacing w:before="195"/>
              <w:ind w:left="1012" w:right="187"/>
              <w:rPr>
                <w:sz w:val="18"/>
              </w:rPr>
            </w:pPr>
            <w:r>
              <w:rPr>
                <w:w w:val="110"/>
                <w:sz w:val="18"/>
              </w:rPr>
              <w:t>On – site monitoring</w:t>
            </w:r>
          </w:p>
        </w:tc>
        <w:tc>
          <w:tcPr>
            <w:tcW w:w="829" w:type="dxa"/>
            <w:gridSpan w:val="2"/>
            <w:tcBorders>
              <w:top w:val="single" w:sz="6" w:space="0" w:color="69BD28"/>
              <w:bottom w:val="single" w:sz="6" w:space="0" w:color="69BD28"/>
            </w:tcBorders>
          </w:tcPr>
          <w:p>
            <w:pPr>
              <w:pStyle w:val="TableParagraph"/>
              <w:jc w:val="left"/>
              <w:rPr>
                <w:rFonts w:ascii="Times New Roman"/>
                <w:sz w:val="20"/>
              </w:rPr>
            </w:pPr>
          </w:p>
        </w:tc>
        <w:tc>
          <w:tcPr>
            <w:tcW w:w="3981" w:type="dxa"/>
            <w:tcBorders>
              <w:top w:val="single" w:sz="6" w:space="0" w:color="69BD28"/>
              <w:bottom w:val="single" w:sz="6" w:space="0" w:color="69BD28"/>
            </w:tcBorders>
          </w:tcPr>
          <w:p>
            <w:pPr>
              <w:pStyle w:val="TableParagraph"/>
              <w:spacing w:line="247" w:lineRule="auto" w:before="87"/>
              <w:ind w:left="1504" w:right="185" w:hanging="1319"/>
              <w:jc w:val="left"/>
              <w:rPr>
                <w:sz w:val="18"/>
              </w:rPr>
            </w:pPr>
            <w:r>
              <w:rPr>
                <w:sz w:val="18"/>
              </w:rPr>
              <w:t>Critical</w:t>
            </w:r>
            <w:r>
              <w:rPr>
                <w:spacing w:val="-28"/>
                <w:sz w:val="18"/>
              </w:rPr>
              <w:t> </w:t>
            </w:r>
            <w:r>
              <w:rPr>
                <w:sz w:val="18"/>
              </w:rPr>
              <w:t>reactive</w:t>
            </w:r>
            <w:r>
              <w:rPr>
                <w:spacing w:val="-27"/>
                <w:sz w:val="18"/>
              </w:rPr>
              <w:t> </w:t>
            </w:r>
            <w:r>
              <w:rPr>
                <w:sz w:val="18"/>
              </w:rPr>
              <w:t>repair</w:t>
            </w:r>
            <w:r>
              <w:rPr>
                <w:spacing w:val="-27"/>
                <w:sz w:val="18"/>
              </w:rPr>
              <w:t> </w:t>
            </w:r>
            <w:r>
              <w:rPr>
                <w:w w:val="105"/>
                <w:sz w:val="18"/>
              </w:rPr>
              <w:t>–</w:t>
            </w:r>
            <w:r>
              <w:rPr>
                <w:spacing w:val="-30"/>
                <w:w w:val="105"/>
                <w:sz w:val="18"/>
              </w:rPr>
              <w:t> </w:t>
            </w:r>
            <w:r>
              <w:rPr>
                <w:sz w:val="18"/>
              </w:rPr>
              <w:t>addresses</w:t>
            </w:r>
            <w:r>
              <w:rPr>
                <w:spacing w:val="-27"/>
                <w:sz w:val="18"/>
              </w:rPr>
              <w:t> </w:t>
            </w:r>
            <w:r>
              <w:rPr>
                <w:sz w:val="18"/>
              </w:rPr>
              <w:t>production losses</w:t>
            </w:r>
            <w:r>
              <w:rPr>
                <w:spacing w:val="-2"/>
                <w:sz w:val="18"/>
              </w:rPr>
              <w:t> </w:t>
            </w:r>
            <w:r>
              <w:rPr>
                <w:sz w:val="18"/>
              </w:rPr>
              <w:t>issues</w:t>
            </w:r>
          </w:p>
        </w:tc>
      </w:tr>
      <w:tr>
        <w:trPr>
          <w:trHeight w:val="620" w:hRule="atLeast"/>
        </w:trPr>
        <w:tc>
          <w:tcPr>
            <w:tcW w:w="2468" w:type="dxa"/>
            <w:vMerge/>
            <w:tcBorders>
              <w:top w:val="nil"/>
            </w:tcBorders>
            <w:shd w:val="clear" w:color="auto" w:fill="69BD28"/>
          </w:tcPr>
          <w:p>
            <w:pPr>
              <w:rPr>
                <w:sz w:val="2"/>
                <w:szCs w:val="2"/>
              </w:rPr>
            </w:pPr>
          </w:p>
        </w:tc>
        <w:tc>
          <w:tcPr>
            <w:tcW w:w="3195" w:type="dxa"/>
            <w:tcBorders>
              <w:top w:val="single" w:sz="6" w:space="0" w:color="69BD28"/>
              <w:bottom w:val="single" w:sz="6" w:space="0" w:color="69BD28"/>
            </w:tcBorders>
          </w:tcPr>
          <w:p>
            <w:pPr>
              <w:pStyle w:val="TableParagraph"/>
              <w:spacing w:before="4"/>
              <w:jc w:val="left"/>
              <w:rPr>
                <w:sz w:val="17"/>
              </w:rPr>
            </w:pPr>
          </w:p>
          <w:p>
            <w:pPr>
              <w:pStyle w:val="TableParagraph"/>
              <w:ind w:left="1013" w:right="187"/>
              <w:rPr>
                <w:sz w:val="18"/>
              </w:rPr>
            </w:pPr>
            <w:r>
              <w:rPr>
                <w:sz w:val="18"/>
              </w:rPr>
              <w:t>Rectification of defects</w:t>
            </w:r>
          </w:p>
        </w:tc>
        <w:tc>
          <w:tcPr>
            <w:tcW w:w="829" w:type="dxa"/>
            <w:gridSpan w:val="2"/>
            <w:tcBorders>
              <w:top w:val="single" w:sz="6" w:space="0" w:color="69BD28"/>
              <w:bottom w:val="single" w:sz="6" w:space="0" w:color="69BD28"/>
            </w:tcBorders>
          </w:tcPr>
          <w:p>
            <w:pPr>
              <w:pStyle w:val="TableParagraph"/>
              <w:jc w:val="left"/>
              <w:rPr>
                <w:rFonts w:ascii="Times New Roman"/>
                <w:sz w:val="20"/>
              </w:rPr>
            </w:pPr>
          </w:p>
        </w:tc>
        <w:tc>
          <w:tcPr>
            <w:tcW w:w="3981" w:type="dxa"/>
            <w:tcBorders>
              <w:top w:val="single" w:sz="6" w:space="0" w:color="69BD28"/>
              <w:bottom w:val="single" w:sz="6" w:space="0" w:color="69BD28"/>
            </w:tcBorders>
          </w:tcPr>
          <w:p>
            <w:pPr>
              <w:pStyle w:val="TableParagraph"/>
              <w:spacing w:line="244" w:lineRule="auto" w:before="94"/>
              <w:ind w:left="806" w:right="334" w:hanging="466"/>
              <w:jc w:val="left"/>
              <w:rPr>
                <w:sz w:val="18"/>
              </w:rPr>
            </w:pPr>
            <w:r>
              <w:rPr>
                <w:w w:val="105"/>
                <w:sz w:val="18"/>
              </w:rPr>
              <w:t>Non</w:t>
            </w:r>
            <w:r>
              <w:rPr>
                <w:spacing w:val="-31"/>
                <w:w w:val="105"/>
                <w:sz w:val="18"/>
              </w:rPr>
              <w:t> </w:t>
            </w:r>
            <w:r>
              <w:rPr>
                <w:w w:val="105"/>
                <w:sz w:val="18"/>
              </w:rPr>
              <w:t>–</w:t>
            </w:r>
            <w:r>
              <w:rPr>
                <w:spacing w:val="-30"/>
                <w:w w:val="105"/>
                <w:sz w:val="18"/>
              </w:rPr>
              <w:t> </w:t>
            </w:r>
            <w:r>
              <w:rPr>
                <w:w w:val="105"/>
                <w:sz w:val="18"/>
              </w:rPr>
              <w:t>Critical</w:t>
            </w:r>
            <w:r>
              <w:rPr>
                <w:spacing w:val="-31"/>
                <w:w w:val="105"/>
                <w:sz w:val="18"/>
              </w:rPr>
              <w:t> </w:t>
            </w:r>
            <w:r>
              <w:rPr>
                <w:w w:val="105"/>
                <w:sz w:val="18"/>
              </w:rPr>
              <w:t>reactive</w:t>
            </w:r>
            <w:r>
              <w:rPr>
                <w:spacing w:val="-30"/>
                <w:w w:val="105"/>
                <w:sz w:val="18"/>
              </w:rPr>
              <w:t> </w:t>
            </w:r>
            <w:r>
              <w:rPr>
                <w:w w:val="105"/>
                <w:sz w:val="18"/>
              </w:rPr>
              <w:t>repair</w:t>
            </w:r>
            <w:r>
              <w:rPr>
                <w:spacing w:val="-30"/>
                <w:w w:val="105"/>
                <w:sz w:val="18"/>
              </w:rPr>
              <w:t> </w:t>
            </w:r>
            <w:r>
              <w:rPr>
                <w:w w:val="105"/>
                <w:sz w:val="18"/>
              </w:rPr>
              <w:t>–</w:t>
            </w:r>
            <w:r>
              <w:rPr>
                <w:spacing w:val="-6"/>
                <w:w w:val="105"/>
                <w:sz w:val="18"/>
              </w:rPr>
              <w:t> </w:t>
            </w:r>
            <w:r>
              <w:rPr>
                <w:w w:val="105"/>
                <w:sz w:val="18"/>
              </w:rPr>
              <w:t>addresses production degradation</w:t>
            </w:r>
            <w:r>
              <w:rPr>
                <w:spacing w:val="-39"/>
                <w:w w:val="105"/>
                <w:sz w:val="18"/>
              </w:rPr>
              <w:t> </w:t>
            </w:r>
            <w:r>
              <w:rPr>
                <w:w w:val="105"/>
                <w:sz w:val="18"/>
              </w:rPr>
              <w:t>issues</w:t>
            </w:r>
          </w:p>
        </w:tc>
      </w:tr>
      <w:tr>
        <w:trPr>
          <w:trHeight w:val="635" w:hRule="atLeast"/>
        </w:trPr>
        <w:tc>
          <w:tcPr>
            <w:tcW w:w="2468" w:type="dxa"/>
            <w:vMerge/>
            <w:tcBorders>
              <w:top w:val="nil"/>
            </w:tcBorders>
            <w:shd w:val="clear" w:color="auto" w:fill="69BD28"/>
          </w:tcPr>
          <w:p>
            <w:pPr>
              <w:rPr>
                <w:sz w:val="2"/>
                <w:szCs w:val="2"/>
              </w:rPr>
            </w:pPr>
          </w:p>
        </w:tc>
        <w:tc>
          <w:tcPr>
            <w:tcW w:w="4024" w:type="dxa"/>
            <w:gridSpan w:val="3"/>
            <w:tcBorders>
              <w:top w:val="single" w:sz="6" w:space="0" w:color="69BD28"/>
              <w:bottom w:val="single" w:sz="6" w:space="0" w:color="69BD28"/>
            </w:tcBorders>
          </w:tcPr>
          <w:p>
            <w:pPr>
              <w:pStyle w:val="TableParagraph"/>
              <w:spacing w:before="9"/>
              <w:jc w:val="left"/>
              <w:rPr>
                <w:sz w:val="17"/>
              </w:rPr>
            </w:pPr>
          </w:p>
          <w:p>
            <w:pPr>
              <w:pStyle w:val="TableParagraph"/>
              <w:ind w:left="477"/>
              <w:jc w:val="left"/>
              <w:rPr>
                <w:sz w:val="18"/>
              </w:rPr>
            </w:pPr>
            <w:r>
              <w:rPr>
                <w:sz w:val="18"/>
              </w:rPr>
              <w:t>Active Monitoring </w:t>
            </w:r>
            <w:r>
              <w:rPr>
                <w:w w:val="105"/>
                <w:sz w:val="18"/>
              </w:rPr>
              <w:t>– </w:t>
            </w:r>
            <w:r>
              <w:rPr>
                <w:sz w:val="18"/>
              </w:rPr>
              <w:t>Remote and on site</w:t>
            </w:r>
          </w:p>
        </w:tc>
        <w:tc>
          <w:tcPr>
            <w:tcW w:w="3981" w:type="dxa"/>
            <w:vMerge w:val="restart"/>
            <w:tcBorders>
              <w:top w:val="single" w:sz="6" w:space="0" w:color="69BD28"/>
              <w:bottom w:val="single" w:sz="6" w:space="0" w:color="69BD28"/>
            </w:tcBorders>
          </w:tcPr>
          <w:p>
            <w:pPr>
              <w:pStyle w:val="TableParagraph"/>
              <w:jc w:val="left"/>
              <w:rPr>
                <w:sz w:val="22"/>
              </w:rPr>
            </w:pPr>
          </w:p>
          <w:p>
            <w:pPr>
              <w:pStyle w:val="TableParagraph"/>
              <w:spacing w:before="8"/>
              <w:jc w:val="left"/>
              <w:rPr>
                <w:sz w:val="17"/>
              </w:rPr>
            </w:pPr>
          </w:p>
          <w:p>
            <w:pPr>
              <w:pStyle w:val="TableParagraph"/>
              <w:spacing w:line="247" w:lineRule="auto"/>
              <w:ind w:left="1526" w:right="483" w:hanging="1032"/>
              <w:jc w:val="left"/>
              <w:rPr>
                <w:sz w:val="18"/>
              </w:rPr>
            </w:pPr>
            <w:r>
              <w:rPr>
                <w:sz w:val="18"/>
              </w:rPr>
              <w:t>Equipment</w:t>
            </w:r>
            <w:r>
              <w:rPr>
                <w:spacing w:val="-34"/>
                <w:sz w:val="18"/>
              </w:rPr>
              <w:t> </w:t>
            </w:r>
            <w:r>
              <w:rPr>
                <w:sz w:val="18"/>
              </w:rPr>
              <w:t>Replacement</w:t>
            </w:r>
            <w:r>
              <w:rPr>
                <w:spacing w:val="-34"/>
                <w:sz w:val="18"/>
              </w:rPr>
              <w:t> </w:t>
            </w:r>
            <w:r>
              <w:rPr>
                <w:sz w:val="18"/>
              </w:rPr>
              <w:t>(Planned</w:t>
            </w:r>
            <w:r>
              <w:rPr>
                <w:spacing w:val="-33"/>
                <w:sz w:val="18"/>
              </w:rPr>
              <w:t> </w:t>
            </w:r>
            <w:r>
              <w:rPr>
                <w:sz w:val="18"/>
              </w:rPr>
              <w:t>and Unplanned)</w:t>
            </w:r>
          </w:p>
        </w:tc>
      </w:tr>
      <w:tr>
        <w:trPr>
          <w:trHeight w:val="709" w:hRule="atLeast"/>
        </w:trPr>
        <w:tc>
          <w:tcPr>
            <w:tcW w:w="2468" w:type="dxa"/>
            <w:vMerge/>
            <w:tcBorders>
              <w:top w:val="nil"/>
            </w:tcBorders>
            <w:shd w:val="clear" w:color="auto" w:fill="69BD28"/>
          </w:tcPr>
          <w:p>
            <w:pPr>
              <w:rPr>
                <w:sz w:val="2"/>
                <w:szCs w:val="2"/>
              </w:rPr>
            </w:pPr>
          </w:p>
        </w:tc>
        <w:tc>
          <w:tcPr>
            <w:tcW w:w="4024" w:type="dxa"/>
            <w:gridSpan w:val="3"/>
            <w:tcBorders>
              <w:top w:val="single" w:sz="6" w:space="0" w:color="69BD28"/>
              <w:bottom w:val="single" w:sz="6" w:space="0" w:color="69BD28"/>
            </w:tcBorders>
          </w:tcPr>
          <w:p>
            <w:pPr>
              <w:pStyle w:val="TableParagraph"/>
              <w:spacing w:line="247" w:lineRule="auto" w:before="137"/>
              <w:ind w:left="1548" w:right="573" w:hanging="963"/>
              <w:jc w:val="left"/>
              <w:rPr>
                <w:sz w:val="18"/>
              </w:rPr>
            </w:pPr>
            <w:r>
              <w:rPr>
                <w:sz w:val="18"/>
              </w:rPr>
              <w:t>Warranty</w:t>
            </w:r>
            <w:r>
              <w:rPr>
                <w:spacing w:val="-31"/>
                <w:sz w:val="18"/>
              </w:rPr>
              <w:t> </w:t>
            </w:r>
            <w:r>
              <w:rPr>
                <w:sz w:val="18"/>
              </w:rPr>
              <w:t>Enforcement</w:t>
            </w:r>
            <w:r>
              <w:rPr>
                <w:spacing w:val="-31"/>
                <w:sz w:val="18"/>
              </w:rPr>
              <w:t> </w:t>
            </w:r>
            <w:r>
              <w:rPr>
                <w:sz w:val="18"/>
              </w:rPr>
              <w:t>(Planned</w:t>
            </w:r>
            <w:r>
              <w:rPr>
                <w:spacing w:val="-31"/>
                <w:sz w:val="18"/>
              </w:rPr>
              <w:t> </w:t>
            </w:r>
            <w:r>
              <w:rPr>
                <w:sz w:val="18"/>
              </w:rPr>
              <w:t>and Unplanned)</w:t>
            </w:r>
          </w:p>
        </w:tc>
        <w:tc>
          <w:tcPr>
            <w:tcW w:w="3981" w:type="dxa"/>
            <w:vMerge/>
            <w:tcBorders>
              <w:top w:val="nil"/>
              <w:bottom w:val="single" w:sz="6" w:space="0" w:color="69BD28"/>
            </w:tcBorders>
          </w:tcPr>
          <w:p>
            <w:pPr>
              <w:rPr>
                <w:sz w:val="2"/>
                <w:szCs w:val="2"/>
              </w:rPr>
            </w:pPr>
          </w:p>
        </w:tc>
      </w:tr>
    </w:tbl>
    <w:p>
      <w:pPr>
        <w:spacing w:before="0"/>
        <w:ind w:left="680" w:right="0" w:firstLine="0"/>
        <w:jc w:val="left"/>
        <w:rPr>
          <w:i/>
          <w:sz w:val="18"/>
        </w:rPr>
      </w:pPr>
      <w:r>
        <w:rPr>
          <w:i/>
          <w:sz w:val="18"/>
        </w:rPr>
        <w:t>Source: Electric Power Research Institute (EPRI)</w:t>
      </w:r>
    </w:p>
    <w:p>
      <w:pPr>
        <w:pStyle w:val="BodyText"/>
        <w:spacing w:before="7"/>
        <w:rPr>
          <w:i/>
          <w:sz w:val="30"/>
        </w:rPr>
      </w:pPr>
    </w:p>
    <w:p>
      <w:pPr>
        <w:pStyle w:val="BodyText"/>
        <w:spacing w:line="372" w:lineRule="auto"/>
        <w:ind w:left="1220" w:right="674"/>
        <w:jc w:val="both"/>
      </w:pPr>
      <w:r>
        <w:rPr/>
        <w:t>Based</w:t>
      </w:r>
      <w:r>
        <w:rPr>
          <w:spacing w:val="-9"/>
        </w:rPr>
        <w:t> </w:t>
      </w:r>
      <w:r>
        <w:rPr/>
        <w:t>on</w:t>
      </w:r>
      <w:r>
        <w:rPr>
          <w:spacing w:val="-7"/>
        </w:rPr>
        <w:t> </w:t>
      </w:r>
      <w:r>
        <w:rPr/>
        <w:t>secondary</w:t>
      </w:r>
      <w:r>
        <w:rPr>
          <w:spacing w:val="-6"/>
        </w:rPr>
        <w:t> </w:t>
      </w:r>
      <w:r>
        <w:rPr/>
        <w:t>research,</w:t>
      </w:r>
      <w:r>
        <w:rPr>
          <w:spacing w:val="-8"/>
        </w:rPr>
        <w:t> </w:t>
      </w:r>
      <w:r>
        <w:rPr/>
        <w:t>we</w:t>
      </w:r>
      <w:r>
        <w:rPr>
          <w:spacing w:val="-4"/>
        </w:rPr>
        <w:t> </w:t>
      </w:r>
      <w:r>
        <w:rPr/>
        <w:t>understand</w:t>
      </w:r>
      <w:r>
        <w:rPr>
          <w:spacing w:val="-8"/>
        </w:rPr>
        <w:t> </w:t>
      </w:r>
      <w:r>
        <w:rPr/>
        <w:t>that</w:t>
      </w:r>
      <w:r>
        <w:rPr>
          <w:spacing w:val="-8"/>
        </w:rPr>
        <w:t> </w:t>
      </w:r>
      <w:r>
        <w:rPr/>
        <w:t>the</w:t>
      </w:r>
      <w:r>
        <w:rPr>
          <w:spacing w:val="-8"/>
        </w:rPr>
        <w:t> </w:t>
      </w:r>
      <w:r>
        <w:rPr/>
        <w:t>annual</w:t>
      </w:r>
      <w:r>
        <w:rPr>
          <w:spacing w:val="-7"/>
        </w:rPr>
        <w:t> </w:t>
      </w:r>
      <w:r>
        <w:rPr/>
        <w:t>operating</w:t>
      </w:r>
      <w:r>
        <w:rPr>
          <w:spacing w:val="-6"/>
        </w:rPr>
        <w:t> </w:t>
      </w:r>
      <w:r>
        <w:rPr/>
        <w:t>expenditure</w:t>
      </w:r>
      <w:r>
        <w:rPr>
          <w:spacing w:val="-8"/>
        </w:rPr>
        <w:t> </w:t>
      </w:r>
      <w:r>
        <w:rPr/>
        <w:t>generally</w:t>
      </w:r>
      <w:r>
        <w:rPr>
          <w:spacing w:val="-6"/>
        </w:rPr>
        <w:t> </w:t>
      </w:r>
      <w:r>
        <w:rPr/>
        <w:t>ranges from</w:t>
      </w:r>
      <w:r>
        <w:rPr>
          <w:spacing w:val="-16"/>
        </w:rPr>
        <w:t> </w:t>
      </w:r>
      <w:r>
        <w:rPr/>
        <w:t>INR</w:t>
      </w:r>
      <w:r>
        <w:rPr>
          <w:spacing w:val="-16"/>
        </w:rPr>
        <w:t> </w:t>
      </w:r>
      <w:r>
        <w:rPr/>
        <w:t>0.60</w:t>
      </w:r>
      <w:r>
        <w:rPr>
          <w:spacing w:val="-16"/>
        </w:rPr>
        <w:t> </w:t>
      </w:r>
      <w:r>
        <w:rPr>
          <w:w w:val="105"/>
        </w:rPr>
        <w:t>–</w:t>
      </w:r>
      <w:r>
        <w:rPr>
          <w:spacing w:val="-19"/>
          <w:w w:val="105"/>
        </w:rPr>
        <w:t> </w:t>
      </w:r>
      <w:r>
        <w:rPr/>
        <w:t>0.70</w:t>
      </w:r>
      <w:r>
        <w:rPr>
          <w:spacing w:val="-16"/>
        </w:rPr>
        <w:t> </w:t>
      </w:r>
      <w:r>
        <w:rPr/>
        <w:t>Mn</w:t>
      </w:r>
      <w:r>
        <w:rPr>
          <w:spacing w:val="-14"/>
        </w:rPr>
        <w:t> </w:t>
      </w:r>
      <w:r>
        <w:rPr/>
        <w:t>per</w:t>
      </w:r>
      <w:r>
        <w:rPr>
          <w:spacing w:val="-17"/>
        </w:rPr>
        <w:t> </w:t>
      </w:r>
      <w:r>
        <w:rPr/>
        <w:t>MW.</w:t>
      </w:r>
      <w:r>
        <w:rPr>
          <w:spacing w:val="-16"/>
        </w:rPr>
        <w:t> </w:t>
      </w:r>
      <w:r>
        <w:rPr/>
        <w:t>Hence,</w:t>
      </w:r>
      <w:r>
        <w:rPr>
          <w:spacing w:val="-16"/>
        </w:rPr>
        <w:t> </w:t>
      </w:r>
      <w:r>
        <w:rPr/>
        <w:t>in</w:t>
      </w:r>
      <w:r>
        <w:rPr>
          <w:spacing w:val="-18"/>
        </w:rPr>
        <w:t> </w:t>
      </w:r>
      <w:r>
        <w:rPr/>
        <w:t>light</w:t>
      </w:r>
      <w:r>
        <w:rPr>
          <w:spacing w:val="-16"/>
        </w:rPr>
        <w:t> </w:t>
      </w:r>
      <w:r>
        <w:rPr/>
        <w:t>of</w:t>
      </w:r>
      <w:r>
        <w:rPr>
          <w:spacing w:val="-15"/>
        </w:rPr>
        <w:t> </w:t>
      </w:r>
      <w:r>
        <w:rPr/>
        <w:t>the</w:t>
      </w:r>
      <w:r>
        <w:rPr>
          <w:spacing w:val="-16"/>
        </w:rPr>
        <w:t> </w:t>
      </w:r>
      <w:r>
        <w:rPr/>
        <w:t>same,</w:t>
      </w:r>
      <w:r>
        <w:rPr>
          <w:spacing w:val="-17"/>
        </w:rPr>
        <w:t> </w:t>
      </w:r>
      <w:r>
        <w:rPr/>
        <w:t>we</w:t>
      </w:r>
      <w:r>
        <w:rPr>
          <w:spacing w:val="-16"/>
        </w:rPr>
        <w:t> </w:t>
      </w:r>
      <w:r>
        <w:rPr/>
        <w:t>have</w:t>
      </w:r>
      <w:r>
        <w:rPr>
          <w:spacing w:val="-16"/>
        </w:rPr>
        <w:t> </w:t>
      </w:r>
      <w:r>
        <w:rPr/>
        <w:t>assumed</w:t>
      </w:r>
      <w:r>
        <w:rPr>
          <w:spacing w:val="-12"/>
        </w:rPr>
        <w:t> </w:t>
      </w:r>
      <w:r>
        <w:rPr/>
        <w:t>annual</w:t>
      </w:r>
      <w:r>
        <w:rPr>
          <w:spacing w:val="-16"/>
        </w:rPr>
        <w:t> </w:t>
      </w:r>
      <w:r>
        <w:rPr/>
        <w:t>O&amp;M</w:t>
      </w:r>
      <w:r>
        <w:rPr>
          <w:spacing w:val="-16"/>
        </w:rPr>
        <w:t> </w:t>
      </w:r>
      <w:r>
        <w:rPr/>
        <w:t>(operation &amp; maintenance) expenses of INR 0.66 Mn per MW for the subject solar park. Further, these</w:t>
      </w:r>
      <w:r>
        <w:rPr>
          <w:spacing w:val="-28"/>
        </w:rPr>
        <w:t> </w:t>
      </w:r>
      <w:r>
        <w:rPr/>
        <w:t>expenses have been escalated at 4%</w:t>
      </w:r>
      <w:r>
        <w:rPr>
          <w:spacing w:val="-14"/>
        </w:rPr>
        <w:t> </w:t>
      </w:r>
      <w:r>
        <w:rPr/>
        <w:t>p.a.</w:t>
      </w:r>
    </w:p>
    <w:p>
      <w:pPr>
        <w:pStyle w:val="BodyText"/>
        <w:spacing w:before="6"/>
        <w:rPr>
          <w:sz w:val="20"/>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393" w:id="768"/>
      <w:bookmarkEnd w:id="768"/>
      <w:r>
        <w:rPr/>
      </w:r>
      <w:bookmarkStart w:name="_bookmark393" w:id="769"/>
      <w:bookmarkEnd w:id="769"/>
      <w:r>
        <w:rPr>
          <w:color w:val="1F664D"/>
          <w:sz w:val="22"/>
        </w:rPr>
        <w:t>U</w:t>
      </w:r>
      <w:r>
        <w:rPr>
          <w:color w:val="1F664D"/>
          <w:sz w:val="22"/>
        </w:rPr>
        <w:t>seful</w:t>
      </w:r>
      <w:r>
        <w:rPr>
          <w:color w:val="1F664D"/>
          <w:spacing w:val="-2"/>
          <w:sz w:val="22"/>
        </w:rPr>
        <w:t> </w:t>
      </w:r>
      <w:r>
        <w:rPr>
          <w:color w:val="1F664D"/>
          <w:sz w:val="22"/>
        </w:rPr>
        <w:t>Life</w:t>
      </w:r>
    </w:p>
    <w:p>
      <w:pPr>
        <w:pStyle w:val="BodyText"/>
        <w:spacing w:line="372" w:lineRule="auto" w:before="208"/>
        <w:ind w:left="1227" w:right="673"/>
        <w:jc w:val="both"/>
      </w:pPr>
      <w:r>
        <w:rPr/>
        <w:t>According</w:t>
      </w:r>
      <w:r>
        <w:rPr>
          <w:spacing w:val="-23"/>
        </w:rPr>
        <w:t> </w:t>
      </w:r>
      <w:r>
        <w:rPr/>
        <w:t>to</w:t>
      </w:r>
      <w:r>
        <w:rPr>
          <w:spacing w:val="-22"/>
        </w:rPr>
        <w:t> </w:t>
      </w:r>
      <w:r>
        <w:rPr/>
        <w:t>research</w:t>
      </w:r>
      <w:r>
        <w:rPr>
          <w:spacing w:val="-24"/>
        </w:rPr>
        <w:t> </w:t>
      </w:r>
      <w:r>
        <w:rPr/>
        <w:t>reports</w:t>
      </w:r>
      <w:r>
        <w:rPr>
          <w:spacing w:val="-21"/>
        </w:rPr>
        <w:t> </w:t>
      </w:r>
      <w:r>
        <w:rPr/>
        <w:t>and</w:t>
      </w:r>
      <w:r>
        <w:rPr>
          <w:spacing w:val="-24"/>
        </w:rPr>
        <w:t> </w:t>
      </w:r>
      <w:r>
        <w:rPr/>
        <w:t>feedback</w:t>
      </w:r>
      <w:r>
        <w:rPr>
          <w:spacing w:val="-23"/>
        </w:rPr>
        <w:t> </w:t>
      </w:r>
      <w:r>
        <w:rPr/>
        <w:t>from</w:t>
      </w:r>
      <w:r>
        <w:rPr>
          <w:spacing w:val="-23"/>
        </w:rPr>
        <w:t> </w:t>
      </w:r>
      <w:r>
        <w:rPr/>
        <w:t>industry</w:t>
      </w:r>
      <w:r>
        <w:rPr>
          <w:spacing w:val="-24"/>
        </w:rPr>
        <w:t> </w:t>
      </w:r>
      <w:r>
        <w:rPr/>
        <w:t>players,</w:t>
      </w:r>
      <w:r>
        <w:rPr>
          <w:spacing w:val="-24"/>
        </w:rPr>
        <w:t> </w:t>
      </w:r>
      <w:r>
        <w:rPr/>
        <w:t>we</w:t>
      </w:r>
      <w:r>
        <w:rPr>
          <w:spacing w:val="-23"/>
        </w:rPr>
        <w:t> </w:t>
      </w:r>
      <w:r>
        <w:rPr/>
        <w:t>understand</w:t>
      </w:r>
      <w:r>
        <w:rPr>
          <w:spacing w:val="-23"/>
        </w:rPr>
        <w:t> </w:t>
      </w:r>
      <w:r>
        <w:rPr/>
        <w:t>that</w:t>
      </w:r>
      <w:r>
        <w:rPr>
          <w:spacing w:val="-22"/>
        </w:rPr>
        <w:t> </w:t>
      </w:r>
      <w:r>
        <w:rPr/>
        <w:t>the</w:t>
      </w:r>
      <w:r>
        <w:rPr>
          <w:spacing w:val="-23"/>
        </w:rPr>
        <w:t> </w:t>
      </w:r>
      <w:r>
        <w:rPr/>
        <w:t>rated</w:t>
      </w:r>
      <w:r>
        <w:rPr>
          <w:spacing w:val="-24"/>
        </w:rPr>
        <w:t> </w:t>
      </w:r>
      <w:r>
        <w:rPr/>
        <w:t>power of solar panels typically degrades at about 0.5% to 0.8% per year. Considering the same, we have assumed an annual derating of approx.</w:t>
      </w:r>
      <w:r>
        <w:rPr>
          <w:spacing w:val="-10"/>
        </w:rPr>
        <w:t> </w:t>
      </w:r>
      <w:r>
        <w:rPr/>
        <w:t>0.7%.</w:t>
      </w:r>
    </w:p>
    <w:p>
      <w:pPr>
        <w:spacing w:after="0" w:line="372" w:lineRule="auto"/>
        <w:jc w:val="both"/>
        <w:sectPr>
          <w:pgSz w:w="11910" w:h="16840"/>
          <w:pgMar w:header="720" w:footer="862" w:top="1660" w:bottom="1060" w:left="40" w:right="40"/>
        </w:sectPr>
      </w:pPr>
    </w:p>
    <w:p>
      <w:pPr>
        <w:pStyle w:val="BodyText"/>
        <w:spacing w:before="7"/>
        <w:rPr>
          <w:sz w:val="9"/>
        </w:rPr>
      </w:pPr>
    </w:p>
    <w:p>
      <w:pPr>
        <w:pStyle w:val="BodyText"/>
        <w:spacing w:line="372" w:lineRule="auto" w:before="106"/>
        <w:ind w:left="1227" w:right="672"/>
        <w:jc w:val="both"/>
      </w:pPr>
      <w:r>
        <w:rPr/>
        <w:t>On</w:t>
      </w:r>
      <w:r>
        <w:rPr>
          <w:spacing w:val="-33"/>
        </w:rPr>
        <w:t> </w:t>
      </w:r>
      <w:r>
        <w:rPr/>
        <w:t>further</w:t>
      </w:r>
      <w:r>
        <w:rPr>
          <w:spacing w:val="-33"/>
        </w:rPr>
        <w:t> </w:t>
      </w:r>
      <w:r>
        <w:rPr/>
        <w:t>interactions,</w:t>
      </w:r>
      <w:r>
        <w:rPr>
          <w:spacing w:val="-33"/>
        </w:rPr>
        <w:t> </w:t>
      </w:r>
      <w:r>
        <w:rPr/>
        <w:t>we</w:t>
      </w:r>
      <w:r>
        <w:rPr>
          <w:spacing w:val="-33"/>
        </w:rPr>
        <w:t> </w:t>
      </w:r>
      <w:r>
        <w:rPr/>
        <w:t>understand</w:t>
      </w:r>
      <w:r>
        <w:rPr>
          <w:spacing w:val="-32"/>
        </w:rPr>
        <w:t> </w:t>
      </w:r>
      <w:r>
        <w:rPr/>
        <w:t>that</w:t>
      </w:r>
      <w:r>
        <w:rPr>
          <w:spacing w:val="-33"/>
        </w:rPr>
        <w:t> </w:t>
      </w:r>
      <w:r>
        <w:rPr/>
        <w:t>majority</w:t>
      </w:r>
      <w:r>
        <w:rPr>
          <w:spacing w:val="-31"/>
        </w:rPr>
        <w:t> </w:t>
      </w:r>
      <w:r>
        <w:rPr/>
        <w:t>of</w:t>
      </w:r>
      <w:r>
        <w:rPr>
          <w:spacing w:val="-33"/>
        </w:rPr>
        <w:t> </w:t>
      </w:r>
      <w:r>
        <w:rPr/>
        <w:t>the</w:t>
      </w:r>
      <w:r>
        <w:rPr>
          <w:spacing w:val="-32"/>
        </w:rPr>
        <w:t> </w:t>
      </w:r>
      <w:r>
        <w:rPr/>
        <w:t>solar</w:t>
      </w:r>
      <w:r>
        <w:rPr>
          <w:spacing w:val="-33"/>
        </w:rPr>
        <w:t> </w:t>
      </w:r>
      <w:r>
        <w:rPr/>
        <w:t>PV</w:t>
      </w:r>
      <w:r>
        <w:rPr>
          <w:spacing w:val="-33"/>
        </w:rPr>
        <w:t> </w:t>
      </w:r>
      <w:r>
        <w:rPr/>
        <w:t>manufacturers</w:t>
      </w:r>
      <w:r>
        <w:rPr>
          <w:spacing w:val="-31"/>
        </w:rPr>
        <w:t> </w:t>
      </w:r>
      <w:r>
        <w:rPr/>
        <w:t>claim</w:t>
      </w:r>
      <w:r>
        <w:rPr>
          <w:spacing w:val="-33"/>
        </w:rPr>
        <w:t> </w:t>
      </w:r>
      <w:r>
        <w:rPr/>
        <w:t>life</w:t>
      </w:r>
      <w:r>
        <w:rPr>
          <w:spacing w:val="-33"/>
        </w:rPr>
        <w:t> </w:t>
      </w:r>
      <w:r>
        <w:rPr/>
        <w:t>of</w:t>
      </w:r>
      <w:r>
        <w:rPr>
          <w:spacing w:val="-32"/>
        </w:rPr>
        <w:t> </w:t>
      </w:r>
      <w:r>
        <w:rPr/>
        <w:t>25</w:t>
      </w:r>
      <w:r>
        <w:rPr>
          <w:spacing w:val="-32"/>
        </w:rPr>
        <w:t> </w:t>
      </w:r>
      <w:r>
        <w:rPr/>
        <w:t>years for</w:t>
      </w:r>
      <w:r>
        <w:rPr>
          <w:spacing w:val="-9"/>
        </w:rPr>
        <w:t> </w:t>
      </w:r>
      <w:r>
        <w:rPr/>
        <w:t>standard</w:t>
      </w:r>
      <w:r>
        <w:rPr>
          <w:spacing w:val="-8"/>
        </w:rPr>
        <w:t> </w:t>
      </w:r>
      <w:r>
        <w:rPr/>
        <w:t>solar</w:t>
      </w:r>
      <w:r>
        <w:rPr>
          <w:spacing w:val="-8"/>
        </w:rPr>
        <w:t> </w:t>
      </w:r>
      <w:r>
        <w:rPr/>
        <w:t>panel</w:t>
      </w:r>
      <w:r>
        <w:rPr>
          <w:spacing w:val="-10"/>
        </w:rPr>
        <w:t> </w:t>
      </w:r>
      <w:r>
        <w:rPr/>
        <w:t>warranty,</w:t>
      </w:r>
      <w:r>
        <w:rPr>
          <w:spacing w:val="-10"/>
        </w:rPr>
        <w:t> </w:t>
      </w:r>
      <w:r>
        <w:rPr/>
        <w:t>which</w:t>
      </w:r>
      <w:r>
        <w:rPr>
          <w:spacing w:val="-8"/>
        </w:rPr>
        <w:t> </w:t>
      </w:r>
      <w:r>
        <w:rPr/>
        <w:t>means</w:t>
      </w:r>
      <w:r>
        <w:rPr>
          <w:spacing w:val="-7"/>
        </w:rPr>
        <w:t> </w:t>
      </w:r>
      <w:r>
        <w:rPr/>
        <w:t>that</w:t>
      </w:r>
      <w:r>
        <w:rPr>
          <w:spacing w:val="-7"/>
        </w:rPr>
        <w:t> </w:t>
      </w:r>
      <w:r>
        <w:rPr/>
        <w:t>power</w:t>
      </w:r>
      <w:r>
        <w:rPr>
          <w:spacing w:val="-8"/>
        </w:rPr>
        <w:t> </w:t>
      </w:r>
      <w:r>
        <w:rPr/>
        <w:t>output</w:t>
      </w:r>
      <w:r>
        <w:rPr>
          <w:spacing w:val="-9"/>
        </w:rPr>
        <w:t> </w:t>
      </w:r>
      <w:r>
        <w:rPr/>
        <w:t>should</w:t>
      </w:r>
      <w:r>
        <w:rPr>
          <w:spacing w:val="-9"/>
        </w:rPr>
        <w:t> </w:t>
      </w:r>
      <w:r>
        <w:rPr/>
        <w:t>not</w:t>
      </w:r>
      <w:r>
        <w:rPr>
          <w:spacing w:val="-7"/>
        </w:rPr>
        <w:t> </w:t>
      </w:r>
      <w:r>
        <w:rPr/>
        <w:t>be</w:t>
      </w:r>
      <w:r>
        <w:rPr>
          <w:spacing w:val="-8"/>
        </w:rPr>
        <w:t> </w:t>
      </w:r>
      <w:r>
        <w:rPr/>
        <w:t>less</w:t>
      </w:r>
      <w:r>
        <w:rPr>
          <w:spacing w:val="-9"/>
        </w:rPr>
        <w:t> </w:t>
      </w:r>
      <w:r>
        <w:rPr/>
        <w:t>than</w:t>
      </w:r>
      <w:r>
        <w:rPr>
          <w:spacing w:val="-8"/>
        </w:rPr>
        <w:t> </w:t>
      </w:r>
      <w:r>
        <w:rPr/>
        <w:t>80%</w:t>
      </w:r>
      <w:r>
        <w:rPr>
          <w:spacing w:val="-7"/>
        </w:rPr>
        <w:t> </w:t>
      </w:r>
      <w:r>
        <w:rPr/>
        <w:t>of</w:t>
      </w:r>
      <w:r>
        <w:rPr>
          <w:spacing w:val="-9"/>
        </w:rPr>
        <w:t> </w:t>
      </w:r>
      <w:r>
        <w:rPr/>
        <w:t>the rated</w:t>
      </w:r>
      <w:r>
        <w:rPr>
          <w:spacing w:val="-22"/>
        </w:rPr>
        <w:t> </w:t>
      </w:r>
      <w:r>
        <w:rPr/>
        <w:t>power</w:t>
      </w:r>
      <w:r>
        <w:rPr>
          <w:spacing w:val="-23"/>
        </w:rPr>
        <w:t> </w:t>
      </w:r>
      <w:r>
        <w:rPr/>
        <w:t>till</w:t>
      </w:r>
      <w:r>
        <w:rPr>
          <w:spacing w:val="-23"/>
        </w:rPr>
        <w:t> </w:t>
      </w:r>
      <w:r>
        <w:rPr/>
        <w:t>25</w:t>
      </w:r>
      <w:r>
        <w:rPr>
          <w:spacing w:val="-24"/>
        </w:rPr>
        <w:t> </w:t>
      </w:r>
      <w:r>
        <w:rPr/>
        <w:t>years.</w:t>
      </w:r>
      <w:r>
        <w:rPr>
          <w:spacing w:val="-25"/>
        </w:rPr>
        <w:t> </w:t>
      </w:r>
      <w:r>
        <w:rPr/>
        <w:t>Also,</w:t>
      </w:r>
      <w:r>
        <w:rPr>
          <w:spacing w:val="-22"/>
        </w:rPr>
        <w:t> </w:t>
      </w:r>
      <w:r>
        <w:rPr/>
        <w:t>as</w:t>
      </w:r>
      <w:r>
        <w:rPr>
          <w:spacing w:val="-23"/>
        </w:rPr>
        <w:t> </w:t>
      </w:r>
      <w:r>
        <w:rPr/>
        <w:t>per</w:t>
      </w:r>
      <w:r>
        <w:rPr>
          <w:spacing w:val="-23"/>
        </w:rPr>
        <w:t> </w:t>
      </w:r>
      <w:r>
        <w:rPr/>
        <w:t>the</w:t>
      </w:r>
      <w:r>
        <w:rPr>
          <w:spacing w:val="-25"/>
        </w:rPr>
        <w:t> </w:t>
      </w:r>
      <w:r>
        <w:rPr/>
        <w:t>CERC</w:t>
      </w:r>
      <w:r>
        <w:rPr>
          <w:spacing w:val="-24"/>
        </w:rPr>
        <w:t> </w:t>
      </w:r>
      <w:r>
        <w:rPr/>
        <w:t>(Central</w:t>
      </w:r>
      <w:r>
        <w:rPr>
          <w:spacing w:val="-23"/>
        </w:rPr>
        <w:t> </w:t>
      </w:r>
      <w:r>
        <w:rPr/>
        <w:t>Electricity</w:t>
      </w:r>
      <w:r>
        <w:rPr>
          <w:spacing w:val="-22"/>
        </w:rPr>
        <w:t> </w:t>
      </w:r>
      <w:r>
        <w:rPr/>
        <w:t>Regulatory</w:t>
      </w:r>
      <w:r>
        <w:rPr>
          <w:spacing w:val="-21"/>
        </w:rPr>
        <w:t> </w:t>
      </w:r>
      <w:r>
        <w:rPr/>
        <w:t>Commission)</w:t>
      </w:r>
      <w:r>
        <w:rPr>
          <w:spacing w:val="-24"/>
        </w:rPr>
        <w:t> </w:t>
      </w:r>
      <w:r>
        <w:rPr/>
        <w:t>guidelines, a</w:t>
      </w:r>
      <w:r>
        <w:rPr>
          <w:spacing w:val="-38"/>
        </w:rPr>
        <w:t> </w:t>
      </w:r>
      <w:r>
        <w:rPr/>
        <w:t>useful</w:t>
      </w:r>
      <w:r>
        <w:rPr>
          <w:spacing w:val="-37"/>
        </w:rPr>
        <w:t> </w:t>
      </w:r>
      <w:r>
        <w:rPr/>
        <w:t>life</w:t>
      </w:r>
      <w:r>
        <w:rPr>
          <w:spacing w:val="-37"/>
        </w:rPr>
        <w:t> </w:t>
      </w:r>
      <w:r>
        <w:rPr/>
        <w:t>of</w:t>
      </w:r>
      <w:r>
        <w:rPr>
          <w:spacing w:val="-36"/>
        </w:rPr>
        <w:t> </w:t>
      </w:r>
      <w:r>
        <w:rPr/>
        <w:t>25</w:t>
      </w:r>
      <w:r>
        <w:rPr>
          <w:spacing w:val="-37"/>
        </w:rPr>
        <w:t> </w:t>
      </w:r>
      <w:r>
        <w:rPr/>
        <w:t>years</w:t>
      </w:r>
      <w:r>
        <w:rPr>
          <w:spacing w:val="-36"/>
        </w:rPr>
        <w:t> </w:t>
      </w:r>
      <w:r>
        <w:rPr/>
        <w:t>has</w:t>
      </w:r>
      <w:r>
        <w:rPr>
          <w:spacing w:val="-36"/>
        </w:rPr>
        <w:t> </w:t>
      </w:r>
      <w:r>
        <w:rPr/>
        <w:t>to</w:t>
      </w:r>
      <w:r>
        <w:rPr>
          <w:spacing w:val="-37"/>
        </w:rPr>
        <w:t> </w:t>
      </w:r>
      <w:r>
        <w:rPr/>
        <w:t>be</w:t>
      </w:r>
      <w:r>
        <w:rPr>
          <w:spacing w:val="-37"/>
        </w:rPr>
        <w:t> </w:t>
      </w:r>
      <w:r>
        <w:rPr/>
        <w:t>assumed</w:t>
      </w:r>
      <w:r>
        <w:rPr>
          <w:spacing w:val="-36"/>
        </w:rPr>
        <w:t> </w:t>
      </w:r>
      <w:r>
        <w:rPr/>
        <w:t>for</w:t>
      </w:r>
      <w:r>
        <w:rPr>
          <w:spacing w:val="-37"/>
        </w:rPr>
        <w:t> </w:t>
      </w:r>
      <w:r>
        <w:rPr/>
        <w:t>a</w:t>
      </w:r>
      <w:r>
        <w:rPr>
          <w:spacing w:val="-34"/>
        </w:rPr>
        <w:t> </w:t>
      </w:r>
      <w:r>
        <w:rPr/>
        <w:t>Solar</w:t>
      </w:r>
      <w:r>
        <w:rPr>
          <w:spacing w:val="-37"/>
        </w:rPr>
        <w:t> </w:t>
      </w:r>
      <w:r>
        <w:rPr/>
        <w:t>PV</w:t>
      </w:r>
      <w:r>
        <w:rPr>
          <w:spacing w:val="-37"/>
        </w:rPr>
        <w:t> </w:t>
      </w:r>
      <w:r>
        <w:rPr/>
        <w:t>generation</w:t>
      </w:r>
      <w:r>
        <w:rPr>
          <w:spacing w:val="-36"/>
        </w:rPr>
        <w:t> </w:t>
      </w:r>
      <w:r>
        <w:rPr/>
        <w:t>facility</w:t>
      </w:r>
      <w:r>
        <w:rPr>
          <w:spacing w:val="-37"/>
        </w:rPr>
        <w:t> </w:t>
      </w:r>
      <w:r>
        <w:rPr/>
        <w:t>for</w:t>
      </w:r>
      <w:r>
        <w:rPr>
          <w:spacing w:val="-37"/>
        </w:rPr>
        <w:t> </w:t>
      </w:r>
      <w:r>
        <w:rPr/>
        <w:t>determination</w:t>
      </w:r>
      <w:r>
        <w:rPr>
          <w:spacing w:val="-37"/>
        </w:rPr>
        <w:t> </w:t>
      </w:r>
      <w:r>
        <w:rPr/>
        <w:t>of</w:t>
      </w:r>
      <w:r>
        <w:rPr>
          <w:spacing w:val="-36"/>
        </w:rPr>
        <w:t> </w:t>
      </w:r>
      <w:r>
        <w:rPr/>
        <w:t>levellized tariff.</w:t>
      </w:r>
      <w:r>
        <w:rPr>
          <w:spacing w:val="-35"/>
        </w:rPr>
        <w:t> </w:t>
      </w:r>
      <w:r>
        <w:rPr/>
        <w:t>However,</w:t>
      </w:r>
      <w:r>
        <w:rPr>
          <w:spacing w:val="-35"/>
        </w:rPr>
        <w:t> </w:t>
      </w:r>
      <w:r>
        <w:rPr/>
        <w:t>the</w:t>
      </w:r>
      <w:r>
        <w:rPr>
          <w:spacing w:val="-35"/>
        </w:rPr>
        <w:t> </w:t>
      </w:r>
      <w:r>
        <w:rPr/>
        <w:t>said</w:t>
      </w:r>
      <w:r>
        <w:rPr>
          <w:spacing w:val="-36"/>
        </w:rPr>
        <w:t> </w:t>
      </w:r>
      <w:r>
        <w:rPr/>
        <w:t>technology</w:t>
      </w:r>
      <w:r>
        <w:rPr>
          <w:spacing w:val="-34"/>
        </w:rPr>
        <w:t> </w:t>
      </w:r>
      <w:r>
        <w:rPr/>
        <w:t>of</w:t>
      </w:r>
      <w:r>
        <w:rPr>
          <w:spacing w:val="-34"/>
        </w:rPr>
        <w:t> </w:t>
      </w:r>
      <w:r>
        <w:rPr/>
        <w:t>photovoltaics</w:t>
      </w:r>
      <w:r>
        <w:rPr>
          <w:spacing w:val="-34"/>
        </w:rPr>
        <w:t> </w:t>
      </w:r>
      <w:r>
        <w:rPr/>
        <w:t>is</w:t>
      </w:r>
      <w:r>
        <w:rPr>
          <w:spacing w:val="-34"/>
        </w:rPr>
        <w:t> </w:t>
      </w:r>
      <w:r>
        <w:rPr/>
        <w:t>relatively</w:t>
      </w:r>
      <w:r>
        <w:rPr>
          <w:spacing w:val="-34"/>
        </w:rPr>
        <w:t> </w:t>
      </w:r>
      <w:r>
        <w:rPr/>
        <w:t>new</w:t>
      </w:r>
      <w:r>
        <w:rPr>
          <w:spacing w:val="-36"/>
        </w:rPr>
        <w:t> </w:t>
      </w:r>
      <w:r>
        <w:rPr/>
        <w:t>(less</w:t>
      </w:r>
      <w:r>
        <w:rPr>
          <w:spacing w:val="-34"/>
        </w:rPr>
        <w:t> </w:t>
      </w:r>
      <w:r>
        <w:rPr/>
        <w:t>than</w:t>
      </w:r>
      <w:r>
        <w:rPr>
          <w:spacing w:val="-34"/>
        </w:rPr>
        <w:t> </w:t>
      </w:r>
      <w:r>
        <w:rPr/>
        <w:t>10</w:t>
      </w:r>
      <w:r>
        <w:rPr>
          <w:spacing w:val="-35"/>
        </w:rPr>
        <w:t> </w:t>
      </w:r>
      <w:r>
        <w:rPr/>
        <w:t>years</w:t>
      </w:r>
      <w:r>
        <w:rPr>
          <w:spacing w:val="-34"/>
        </w:rPr>
        <w:t> </w:t>
      </w:r>
      <w:r>
        <w:rPr/>
        <w:t>old)</w:t>
      </w:r>
      <w:r>
        <w:rPr>
          <w:spacing w:val="-34"/>
        </w:rPr>
        <w:t> </w:t>
      </w:r>
      <w:r>
        <w:rPr/>
        <w:t>and</w:t>
      </w:r>
      <w:r>
        <w:rPr>
          <w:spacing w:val="-34"/>
        </w:rPr>
        <w:t> </w:t>
      </w:r>
      <w:r>
        <w:rPr/>
        <w:t>hence, we do not have enough evidence to conclude the actual life of a Solar PV cell. Hence, based on the aforementioned warranties and CERC guidelines, we have assumed a useful life of 25 years for the subject</w:t>
      </w:r>
      <w:r>
        <w:rPr>
          <w:spacing w:val="-3"/>
        </w:rPr>
        <w:t> </w:t>
      </w:r>
      <w:r>
        <w:rPr/>
        <w:t>plant.</w:t>
      </w:r>
    </w:p>
    <w:p>
      <w:pPr>
        <w:pStyle w:val="BodyText"/>
        <w:spacing w:before="4"/>
        <w:rPr>
          <w:sz w:val="20"/>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394" w:id="770"/>
      <w:bookmarkEnd w:id="770"/>
      <w:r>
        <w:rPr/>
      </w:r>
      <w:bookmarkStart w:name="_bookmark394" w:id="771"/>
      <w:bookmarkEnd w:id="771"/>
      <w:r>
        <w:rPr>
          <w:color w:val="1F664D"/>
          <w:w w:val="105"/>
          <w:sz w:val="22"/>
        </w:rPr>
        <w:t>W</w:t>
      </w:r>
      <w:r>
        <w:rPr>
          <w:color w:val="1F664D"/>
          <w:w w:val="105"/>
          <w:sz w:val="22"/>
        </w:rPr>
        <w:t>orking</w:t>
      </w:r>
      <w:r>
        <w:rPr>
          <w:color w:val="1F664D"/>
          <w:spacing w:val="-3"/>
          <w:w w:val="105"/>
          <w:sz w:val="22"/>
        </w:rPr>
        <w:t> </w:t>
      </w:r>
      <w:r>
        <w:rPr>
          <w:color w:val="1F664D"/>
          <w:w w:val="105"/>
          <w:sz w:val="22"/>
        </w:rPr>
        <w:t>Capital</w:t>
      </w:r>
    </w:p>
    <w:p>
      <w:pPr>
        <w:pStyle w:val="BodyText"/>
        <w:spacing w:line="372" w:lineRule="auto" w:before="208" w:after="3"/>
        <w:ind w:left="1227" w:right="682"/>
        <w:jc w:val="both"/>
      </w:pPr>
      <w:r>
        <w:rPr/>
        <w:t>Working</w:t>
      </w:r>
      <w:r>
        <w:rPr>
          <w:spacing w:val="-21"/>
        </w:rPr>
        <w:t> </w:t>
      </w:r>
      <w:r>
        <w:rPr/>
        <w:t>capital</w:t>
      </w:r>
      <w:r>
        <w:rPr>
          <w:spacing w:val="-21"/>
        </w:rPr>
        <w:t> </w:t>
      </w:r>
      <w:r>
        <w:rPr/>
        <w:t>for</w:t>
      </w:r>
      <w:r>
        <w:rPr>
          <w:spacing w:val="-21"/>
        </w:rPr>
        <w:t> </w:t>
      </w:r>
      <w:r>
        <w:rPr/>
        <w:t>the</w:t>
      </w:r>
      <w:r>
        <w:rPr>
          <w:spacing w:val="-21"/>
        </w:rPr>
        <w:t> </w:t>
      </w:r>
      <w:r>
        <w:rPr/>
        <w:t>purpose</w:t>
      </w:r>
      <w:r>
        <w:rPr>
          <w:spacing w:val="-22"/>
        </w:rPr>
        <w:t> </w:t>
      </w:r>
      <w:r>
        <w:rPr/>
        <w:t>of</w:t>
      </w:r>
      <w:r>
        <w:rPr>
          <w:spacing w:val="-20"/>
        </w:rPr>
        <w:t> </w:t>
      </w:r>
      <w:r>
        <w:rPr/>
        <w:t>valuation</w:t>
      </w:r>
      <w:r>
        <w:rPr>
          <w:spacing w:val="-21"/>
        </w:rPr>
        <w:t> </w:t>
      </w:r>
      <w:r>
        <w:rPr/>
        <w:t>of</w:t>
      </w:r>
      <w:r>
        <w:rPr>
          <w:spacing w:val="-21"/>
        </w:rPr>
        <w:t> </w:t>
      </w:r>
      <w:r>
        <w:rPr/>
        <w:t>the</w:t>
      </w:r>
      <w:r>
        <w:rPr>
          <w:spacing w:val="-21"/>
        </w:rPr>
        <w:t> </w:t>
      </w:r>
      <w:r>
        <w:rPr/>
        <w:t>subject</w:t>
      </w:r>
      <w:r>
        <w:rPr>
          <w:spacing w:val="-20"/>
        </w:rPr>
        <w:t> </w:t>
      </w:r>
      <w:r>
        <w:rPr/>
        <w:t>plant</w:t>
      </w:r>
      <w:r>
        <w:rPr>
          <w:spacing w:val="-22"/>
        </w:rPr>
        <w:t> </w:t>
      </w:r>
      <w:r>
        <w:rPr/>
        <w:t>includes</w:t>
      </w:r>
      <w:r>
        <w:rPr>
          <w:spacing w:val="-21"/>
        </w:rPr>
        <w:t> </w:t>
      </w:r>
      <w:r>
        <w:rPr/>
        <w:t>O&amp;M</w:t>
      </w:r>
      <w:r>
        <w:rPr>
          <w:spacing w:val="-22"/>
        </w:rPr>
        <w:t> </w:t>
      </w:r>
      <w:r>
        <w:rPr/>
        <w:t>expenses,</w:t>
      </w:r>
      <w:r>
        <w:rPr>
          <w:spacing w:val="-21"/>
        </w:rPr>
        <w:t> </w:t>
      </w:r>
      <w:r>
        <w:rPr/>
        <w:t>maintenance spares</w:t>
      </w:r>
      <w:r>
        <w:rPr>
          <w:spacing w:val="-13"/>
        </w:rPr>
        <w:t> </w:t>
      </w:r>
      <w:r>
        <w:rPr/>
        <w:t>and</w:t>
      </w:r>
      <w:r>
        <w:rPr>
          <w:spacing w:val="-13"/>
        </w:rPr>
        <w:t> </w:t>
      </w:r>
      <w:r>
        <w:rPr/>
        <w:t>revenue</w:t>
      </w:r>
      <w:r>
        <w:rPr>
          <w:spacing w:val="-13"/>
        </w:rPr>
        <w:t> </w:t>
      </w:r>
      <w:r>
        <w:rPr/>
        <w:t>receivables.</w:t>
      </w:r>
      <w:r>
        <w:rPr>
          <w:spacing w:val="-14"/>
        </w:rPr>
        <w:t> </w:t>
      </w:r>
      <w:r>
        <w:rPr/>
        <w:t>Further,</w:t>
      </w:r>
      <w:r>
        <w:rPr>
          <w:spacing w:val="-13"/>
        </w:rPr>
        <w:t> </w:t>
      </w:r>
      <w:r>
        <w:rPr/>
        <w:t>the</w:t>
      </w:r>
      <w:r>
        <w:rPr>
          <w:spacing w:val="-13"/>
        </w:rPr>
        <w:t> </w:t>
      </w:r>
      <w:r>
        <w:rPr/>
        <w:t>said</w:t>
      </w:r>
      <w:r>
        <w:rPr>
          <w:spacing w:val="-13"/>
        </w:rPr>
        <w:t> </w:t>
      </w:r>
      <w:r>
        <w:rPr/>
        <w:t>parameters</w:t>
      </w:r>
      <w:r>
        <w:rPr>
          <w:spacing w:val="-13"/>
        </w:rPr>
        <w:t> </w:t>
      </w:r>
      <w:r>
        <w:rPr/>
        <w:t>have</w:t>
      </w:r>
      <w:r>
        <w:rPr>
          <w:spacing w:val="-13"/>
        </w:rPr>
        <w:t> </w:t>
      </w:r>
      <w:r>
        <w:rPr/>
        <w:t>been</w:t>
      </w:r>
      <w:r>
        <w:rPr>
          <w:spacing w:val="-13"/>
        </w:rPr>
        <w:t> </w:t>
      </w:r>
      <w:r>
        <w:rPr/>
        <w:t>benchmarked</w:t>
      </w:r>
      <w:r>
        <w:rPr>
          <w:spacing w:val="-13"/>
        </w:rPr>
        <w:t> </w:t>
      </w:r>
      <w:r>
        <w:rPr/>
        <w:t>on</w:t>
      </w:r>
      <w:r>
        <w:rPr>
          <w:spacing w:val="-13"/>
        </w:rPr>
        <w:t> </w:t>
      </w:r>
      <w:r>
        <w:rPr/>
        <w:t>the</w:t>
      </w:r>
      <w:r>
        <w:rPr>
          <w:spacing w:val="-12"/>
        </w:rPr>
        <w:t> </w:t>
      </w:r>
      <w:r>
        <w:rPr/>
        <w:t>basis</w:t>
      </w:r>
      <w:r>
        <w:rPr>
          <w:spacing w:val="-14"/>
        </w:rPr>
        <w:t> </w:t>
      </w:r>
      <w:r>
        <w:rPr/>
        <w:t>of working</w:t>
      </w:r>
      <w:r>
        <w:rPr>
          <w:spacing w:val="-35"/>
        </w:rPr>
        <w:t> </w:t>
      </w:r>
      <w:r>
        <w:rPr/>
        <w:t>capital</w:t>
      </w:r>
      <w:r>
        <w:rPr>
          <w:spacing w:val="-36"/>
        </w:rPr>
        <w:t> </w:t>
      </w:r>
      <w:r>
        <w:rPr/>
        <w:t>requirements</w:t>
      </w:r>
      <w:r>
        <w:rPr>
          <w:spacing w:val="-35"/>
        </w:rPr>
        <w:t> </w:t>
      </w:r>
      <w:r>
        <w:rPr/>
        <w:t>for</w:t>
      </w:r>
      <w:r>
        <w:rPr>
          <w:spacing w:val="-36"/>
        </w:rPr>
        <w:t> </w:t>
      </w:r>
      <w:r>
        <w:rPr/>
        <w:t>similar</w:t>
      </w:r>
      <w:r>
        <w:rPr>
          <w:spacing w:val="-35"/>
        </w:rPr>
        <w:t> </w:t>
      </w:r>
      <w:r>
        <w:rPr/>
        <w:t>kind</w:t>
      </w:r>
      <w:r>
        <w:rPr>
          <w:spacing w:val="-35"/>
        </w:rPr>
        <w:t> </w:t>
      </w:r>
      <w:r>
        <w:rPr/>
        <w:t>of</w:t>
      </w:r>
      <w:r>
        <w:rPr>
          <w:spacing w:val="-36"/>
        </w:rPr>
        <w:t> </w:t>
      </w:r>
      <w:r>
        <w:rPr/>
        <w:t>projects.</w:t>
      </w:r>
      <w:r>
        <w:rPr>
          <w:spacing w:val="-36"/>
        </w:rPr>
        <w:t> </w:t>
      </w:r>
      <w:r>
        <w:rPr/>
        <w:t>The</w:t>
      </w:r>
      <w:r>
        <w:rPr>
          <w:spacing w:val="-36"/>
        </w:rPr>
        <w:t> </w:t>
      </w:r>
      <w:r>
        <w:rPr/>
        <w:t>assumptions</w:t>
      </w:r>
      <w:r>
        <w:rPr>
          <w:spacing w:val="-36"/>
        </w:rPr>
        <w:t> </w:t>
      </w:r>
      <w:r>
        <w:rPr/>
        <w:t>for</w:t>
      </w:r>
      <w:r>
        <w:rPr>
          <w:spacing w:val="-35"/>
        </w:rPr>
        <w:t> </w:t>
      </w:r>
      <w:r>
        <w:rPr/>
        <w:t>working</w:t>
      </w:r>
      <w:r>
        <w:rPr>
          <w:spacing w:val="-35"/>
        </w:rPr>
        <w:t> </w:t>
      </w:r>
      <w:r>
        <w:rPr/>
        <w:t>capital</w:t>
      </w:r>
      <w:r>
        <w:rPr>
          <w:spacing w:val="-36"/>
        </w:rPr>
        <w:t> </w:t>
      </w:r>
      <w:r>
        <w:rPr/>
        <w:t>have</w:t>
      </w:r>
      <w:r>
        <w:rPr>
          <w:spacing w:val="-37"/>
        </w:rPr>
        <w:t> </w:t>
      </w:r>
      <w:r>
        <w:rPr/>
        <w:t>been tabulated</w:t>
      </w:r>
      <w:r>
        <w:rPr>
          <w:spacing w:val="-3"/>
        </w:rPr>
        <w:t> </w:t>
      </w:r>
      <w:r>
        <w:rPr/>
        <w:t>below:</w:t>
      </w: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9"/>
        <w:gridCol w:w="3598"/>
        <w:gridCol w:w="2937"/>
      </w:tblGrid>
      <w:tr>
        <w:trPr>
          <w:trHeight w:val="520" w:hRule="atLeast"/>
        </w:trPr>
        <w:tc>
          <w:tcPr>
            <w:tcW w:w="10484" w:type="dxa"/>
            <w:gridSpan w:val="3"/>
            <w:tcBorders>
              <w:top w:val="single" w:sz="6" w:space="0" w:color="69BD28"/>
              <w:bottom w:val="single" w:sz="6" w:space="0" w:color="69BD28"/>
            </w:tcBorders>
            <w:shd w:val="clear" w:color="auto" w:fill="006A4D"/>
          </w:tcPr>
          <w:p>
            <w:pPr>
              <w:pStyle w:val="TableParagraph"/>
              <w:tabs>
                <w:tab w:pos="5401" w:val="left" w:leader="none"/>
                <w:tab w:pos="8577" w:val="left" w:leader="none"/>
              </w:tabs>
              <w:spacing w:before="123"/>
              <w:ind w:left="1094"/>
              <w:jc w:val="left"/>
              <w:rPr>
                <w:sz w:val="18"/>
              </w:rPr>
            </w:pPr>
            <w:r>
              <w:rPr>
                <w:color w:val="FFFFFF"/>
                <w:sz w:val="18"/>
              </w:rPr>
              <w:t>Working</w:t>
            </w:r>
            <w:r>
              <w:rPr>
                <w:color w:val="FFFFFF"/>
                <w:spacing w:val="-12"/>
                <w:sz w:val="18"/>
              </w:rPr>
              <w:t> </w:t>
            </w:r>
            <w:r>
              <w:rPr>
                <w:color w:val="FFFFFF"/>
                <w:sz w:val="18"/>
              </w:rPr>
              <w:t>capital</w:t>
            </w:r>
            <w:r>
              <w:rPr>
                <w:color w:val="FFFFFF"/>
                <w:spacing w:val="-13"/>
                <w:sz w:val="18"/>
              </w:rPr>
              <w:t> </w:t>
            </w:r>
            <w:r>
              <w:rPr>
                <w:color w:val="FFFFFF"/>
                <w:sz w:val="18"/>
              </w:rPr>
              <w:t>component</w:t>
              <w:tab/>
              <w:t>Units</w:t>
              <w:tab/>
              <w:t>Details</w:t>
            </w:r>
          </w:p>
        </w:tc>
      </w:tr>
      <w:tr>
        <w:trPr>
          <w:trHeight w:val="287" w:hRule="atLeast"/>
        </w:trPr>
        <w:tc>
          <w:tcPr>
            <w:tcW w:w="3949" w:type="dxa"/>
            <w:tcBorders>
              <w:top w:val="single" w:sz="6" w:space="0" w:color="69BD28"/>
              <w:bottom w:val="single" w:sz="6" w:space="0" w:color="69BD28"/>
            </w:tcBorders>
          </w:tcPr>
          <w:p>
            <w:pPr>
              <w:pStyle w:val="TableParagraph"/>
              <w:spacing w:before="39"/>
              <w:ind w:left="682"/>
              <w:jc w:val="left"/>
              <w:rPr>
                <w:sz w:val="18"/>
              </w:rPr>
            </w:pPr>
            <w:r>
              <w:rPr>
                <w:sz w:val="18"/>
              </w:rPr>
              <w:t>Operation and Maintenance Cost</w:t>
            </w:r>
          </w:p>
        </w:tc>
        <w:tc>
          <w:tcPr>
            <w:tcW w:w="3598" w:type="dxa"/>
            <w:tcBorders>
              <w:top w:val="single" w:sz="6" w:space="0" w:color="69BD28"/>
              <w:bottom w:val="single" w:sz="6" w:space="0" w:color="69BD28"/>
            </w:tcBorders>
          </w:tcPr>
          <w:p>
            <w:pPr>
              <w:pStyle w:val="TableParagraph"/>
              <w:spacing w:before="39"/>
              <w:ind w:left="626"/>
              <w:jc w:val="left"/>
              <w:rPr>
                <w:sz w:val="18"/>
              </w:rPr>
            </w:pPr>
            <w:r>
              <w:rPr>
                <w:w w:val="105"/>
                <w:sz w:val="18"/>
              </w:rPr>
              <w:t>No. of Months' O&amp;M Cost</w:t>
            </w:r>
          </w:p>
        </w:tc>
        <w:tc>
          <w:tcPr>
            <w:tcW w:w="2937" w:type="dxa"/>
            <w:tcBorders>
              <w:top w:val="single" w:sz="6" w:space="0" w:color="69BD28"/>
              <w:bottom w:val="single" w:sz="6" w:space="0" w:color="69BD28"/>
            </w:tcBorders>
          </w:tcPr>
          <w:p>
            <w:pPr>
              <w:pStyle w:val="TableParagraph"/>
              <w:spacing w:before="39"/>
              <w:ind w:left="965"/>
              <w:jc w:val="left"/>
              <w:rPr>
                <w:sz w:val="18"/>
              </w:rPr>
            </w:pPr>
            <w:r>
              <w:rPr>
                <w:w w:val="105"/>
                <w:sz w:val="18"/>
              </w:rPr>
              <w:t>1 month</w:t>
            </w:r>
          </w:p>
        </w:tc>
      </w:tr>
      <w:tr>
        <w:trPr>
          <w:trHeight w:val="287" w:hRule="atLeast"/>
        </w:trPr>
        <w:tc>
          <w:tcPr>
            <w:tcW w:w="3949" w:type="dxa"/>
            <w:tcBorders>
              <w:top w:val="single" w:sz="6" w:space="0" w:color="69BD28"/>
              <w:bottom w:val="single" w:sz="6" w:space="0" w:color="69BD28"/>
            </w:tcBorders>
          </w:tcPr>
          <w:p>
            <w:pPr>
              <w:pStyle w:val="TableParagraph"/>
              <w:spacing w:before="40"/>
              <w:ind w:left="668" w:right="613"/>
              <w:rPr>
                <w:sz w:val="18"/>
              </w:rPr>
            </w:pPr>
            <w:r>
              <w:rPr>
                <w:sz w:val="18"/>
              </w:rPr>
              <w:t>Receivables</w:t>
            </w:r>
          </w:p>
        </w:tc>
        <w:tc>
          <w:tcPr>
            <w:tcW w:w="3598" w:type="dxa"/>
            <w:tcBorders>
              <w:top w:val="single" w:sz="6" w:space="0" w:color="69BD28"/>
              <w:bottom w:val="single" w:sz="6" w:space="0" w:color="69BD28"/>
            </w:tcBorders>
          </w:tcPr>
          <w:p>
            <w:pPr>
              <w:pStyle w:val="TableParagraph"/>
              <w:spacing w:before="40"/>
              <w:ind w:left="718"/>
              <w:jc w:val="left"/>
              <w:rPr>
                <w:sz w:val="18"/>
              </w:rPr>
            </w:pPr>
            <w:r>
              <w:rPr>
                <w:sz w:val="18"/>
              </w:rPr>
              <w:t>No. of Months' Revenue</w:t>
            </w:r>
          </w:p>
        </w:tc>
        <w:tc>
          <w:tcPr>
            <w:tcW w:w="2937" w:type="dxa"/>
            <w:tcBorders>
              <w:top w:val="single" w:sz="6" w:space="0" w:color="69BD28"/>
              <w:bottom w:val="single" w:sz="6" w:space="0" w:color="69BD28"/>
            </w:tcBorders>
          </w:tcPr>
          <w:p>
            <w:pPr>
              <w:pStyle w:val="TableParagraph"/>
              <w:spacing w:before="40"/>
              <w:ind w:left="929"/>
              <w:jc w:val="left"/>
              <w:rPr>
                <w:sz w:val="18"/>
              </w:rPr>
            </w:pPr>
            <w:r>
              <w:rPr>
                <w:w w:val="105"/>
                <w:sz w:val="18"/>
              </w:rPr>
              <w:t>3 months</w:t>
            </w:r>
          </w:p>
        </w:tc>
      </w:tr>
      <w:tr>
        <w:trPr>
          <w:trHeight w:val="287" w:hRule="atLeast"/>
        </w:trPr>
        <w:tc>
          <w:tcPr>
            <w:tcW w:w="3949" w:type="dxa"/>
            <w:tcBorders>
              <w:top w:val="single" w:sz="6" w:space="0" w:color="69BD28"/>
              <w:bottom w:val="single" w:sz="6" w:space="0" w:color="69BD28"/>
            </w:tcBorders>
          </w:tcPr>
          <w:p>
            <w:pPr>
              <w:pStyle w:val="TableParagraph"/>
              <w:spacing w:before="39"/>
              <w:ind w:left="1205"/>
              <w:jc w:val="left"/>
              <w:rPr>
                <w:sz w:val="18"/>
              </w:rPr>
            </w:pPr>
            <w:r>
              <w:rPr>
                <w:sz w:val="18"/>
              </w:rPr>
              <w:t>Maintenance Spares</w:t>
            </w:r>
          </w:p>
        </w:tc>
        <w:tc>
          <w:tcPr>
            <w:tcW w:w="3598" w:type="dxa"/>
            <w:tcBorders>
              <w:top w:val="single" w:sz="6" w:space="0" w:color="69BD28"/>
              <w:bottom w:val="single" w:sz="6" w:space="0" w:color="69BD28"/>
            </w:tcBorders>
          </w:tcPr>
          <w:p>
            <w:pPr>
              <w:pStyle w:val="TableParagraph"/>
              <w:spacing w:before="39"/>
              <w:ind w:left="1034"/>
              <w:jc w:val="left"/>
              <w:rPr>
                <w:sz w:val="18"/>
              </w:rPr>
            </w:pPr>
            <w:r>
              <w:rPr>
                <w:w w:val="110"/>
                <w:sz w:val="18"/>
              </w:rPr>
              <w:t>% of O&amp;M Cost</w:t>
            </w:r>
          </w:p>
        </w:tc>
        <w:tc>
          <w:tcPr>
            <w:tcW w:w="2937" w:type="dxa"/>
            <w:tcBorders>
              <w:top w:val="single" w:sz="6" w:space="0" w:color="69BD28"/>
              <w:bottom w:val="single" w:sz="6" w:space="0" w:color="69BD28"/>
            </w:tcBorders>
          </w:tcPr>
          <w:p>
            <w:pPr>
              <w:pStyle w:val="TableParagraph"/>
              <w:spacing w:before="39"/>
              <w:ind w:left="1097"/>
              <w:jc w:val="left"/>
              <w:rPr>
                <w:sz w:val="18"/>
              </w:rPr>
            </w:pPr>
            <w:r>
              <w:rPr>
                <w:w w:val="110"/>
                <w:sz w:val="18"/>
              </w:rPr>
              <w:t>3.0%</w:t>
            </w:r>
          </w:p>
        </w:tc>
      </w:tr>
      <w:tr>
        <w:trPr>
          <w:trHeight w:val="289" w:hRule="atLeast"/>
        </w:trPr>
        <w:tc>
          <w:tcPr>
            <w:tcW w:w="3949" w:type="dxa"/>
            <w:tcBorders>
              <w:top w:val="single" w:sz="6" w:space="0" w:color="69BD28"/>
              <w:bottom w:val="single" w:sz="6" w:space="0" w:color="69BD28"/>
            </w:tcBorders>
          </w:tcPr>
          <w:p>
            <w:pPr>
              <w:pStyle w:val="TableParagraph"/>
              <w:spacing w:before="42"/>
              <w:ind w:left="914"/>
              <w:jc w:val="left"/>
              <w:rPr>
                <w:sz w:val="18"/>
              </w:rPr>
            </w:pPr>
            <w:r>
              <w:rPr>
                <w:sz w:val="18"/>
              </w:rPr>
              <w:t>Margin Money Requirement</w:t>
            </w:r>
          </w:p>
        </w:tc>
        <w:tc>
          <w:tcPr>
            <w:tcW w:w="3598" w:type="dxa"/>
            <w:tcBorders>
              <w:top w:val="single" w:sz="6" w:space="0" w:color="69BD28"/>
              <w:bottom w:val="single" w:sz="6" w:space="0" w:color="69BD28"/>
            </w:tcBorders>
          </w:tcPr>
          <w:p>
            <w:pPr>
              <w:pStyle w:val="TableParagraph"/>
              <w:spacing w:before="42"/>
              <w:ind w:right="298"/>
              <w:rPr>
                <w:sz w:val="18"/>
              </w:rPr>
            </w:pPr>
            <w:r>
              <w:rPr>
                <w:w w:val="123"/>
                <w:sz w:val="18"/>
              </w:rPr>
              <w:t>%</w:t>
            </w:r>
          </w:p>
        </w:tc>
        <w:tc>
          <w:tcPr>
            <w:tcW w:w="2937" w:type="dxa"/>
            <w:tcBorders>
              <w:top w:val="single" w:sz="6" w:space="0" w:color="69BD28"/>
              <w:bottom w:val="single" w:sz="6" w:space="0" w:color="69BD28"/>
            </w:tcBorders>
          </w:tcPr>
          <w:p>
            <w:pPr>
              <w:pStyle w:val="TableParagraph"/>
              <w:spacing w:before="42"/>
              <w:ind w:left="1044"/>
              <w:jc w:val="left"/>
              <w:rPr>
                <w:sz w:val="18"/>
              </w:rPr>
            </w:pPr>
            <w:r>
              <w:rPr>
                <w:w w:val="110"/>
                <w:sz w:val="18"/>
              </w:rPr>
              <w:t>25.0%</w:t>
            </w:r>
          </w:p>
        </w:tc>
      </w:tr>
      <w:tr>
        <w:trPr>
          <w:trHeight w:val="287" w:hRule="atLeast"/>
        </w:trPr>
        <w:tc>
          <w:tcPr>
            <w:tcW w:w="3949" w:type="dxa"/>
            <w:tcBorders>
              <w:top w:val="single" w:sz="6" w:space="0" w:color="69BD28"/>
              <w:bottom w:val="single" w:sz="6" w:space="0" w:color="69BD28"/>
            </w:tcBorders>
          </w:tcPr>
          <w:p>
            <w:pPr>
              <w:pStyle w:val="TableParagraph"/>
              <w:spacing w:before="39"/>
              <w:ind w:left="1138"/>
              <w:jc w:val="left"/>
              <w:rPr>
                <w:sz w:val="18"/>
              </w:rPr>
            </w:pPr>
            <w:r>
              <w:rPr>
                <w:sz w:val="18"/>
              </w:rPr>
              <w:t>Working Capital Loan</w:t>
            </w:r>
          </w:p>
        </w:tc>
        <w:tc>
          <w:tcPr>
            <w:tcW w:w="3598" w:type="dxa"/>
            <w:tcBorders>
              <w:top w:val="single" w:sz="6" w:space="0" w:color="69BD28"/>
              <w:bottom w:val="single" w:sz="6" w:space="0" w:color="69BD28"/>
            </w:tcBorders>
          </w:tcPr>
          <w:p>
            <w:pPr>
              <w:pStyle w:val="TableParagraph"/>
              <w:spacing w:before="39"/>
              <w:ind w:right="298"/>
              <w:rPr>
                <w:sz w:val="18"/>
              </w:rPr>
            </w:pPr>
            <w:r>
              <w:rPr>
                <w:w w:val="123"/>
                <w:sz w:val="18"/>
              </w:rPr>
              <w:t>%</w:t>
            </w:r>
          </w:p>
        </w:tc>
        <w:tc>
          <w:tcPr>
            <w:tcW w:w="2937" w:type="dxa"/>
            <w:tcBorders>
              <w:top w:val="single" w:sz="6" w:space="0" w:color="69BD28"/>
              <w:bottom w:val="single" w:sz="6" w:space="0" w:color="69BD28"/>
            </w:tcBorders>
          </w:tcPr>
          <w:p>
            <w:pPr>
              <w:pStyle w:val="TableParagraph"/>
              <w:spacing w:before="39"/>
              <w:ind w:left="1044"/>
              <w:jc w:val="left"/>
              <w:rPr>
                <w:sz w:val="18"/>
              </w:rPr>
            </w:pPr>
            <w:r>
              <w:rPr>
                <w:w w:val="110"/>
                <w:sz w:val="18"/>
              </w:rPr>
              <w:t>75.0%</w:t>
            </w:r>
          </w:p>
        </w:tc>
      </w:tr>
      <w:tr>
        <w:trPr>
          <w:trHeight w:val="287" w:hRule="atLeast"/>
        </w:trPr>
        <w:tc>
          <w:tcPr>
            <w:tcW w:w="3949" w:type="dxa"/>
            <w:tcBorders>
              <w:top w:val="single" w:sz="6" w:space="0" w:color="69BD28"/>
              <w:bottom w:val="single" w:sz="6" w:space="0" w:color="69BD28"/>
            </w:tcBorders>
          </w:tcPr>
          <w:p>
            <w:pPr>
              <w:pStyle w:val="TableParagraph"/>
              <w:spacing w:before="39"/>
              <w:ind w:left="922"/>
              <w:jc w:val="left"/>
              <w:rPr>
                <w:sz w:val="18"/>
              </w:rPr>
            </w:pPr>
            <w:r>
              <w:rPr>
                <w:sz w:val="18"/>
              </w:rPr>
              <w:t>Interest on Working Capital</w:t>
            </w:r>
          </w:p>
        </w:tc>
        <w:tc>
          <w:tcPr>
            <w:tcW w:w="3598" w:type="dxa"/>
            <w:tcBorders>
              <w:top w:val="single" w:sz="6" w:space="0" w:color="69BD28"/>
              <w:bottom w:val="single" w:sz="6" w:space="0" w:color="69BD28"/>
            </w:tcBorders>
          </w:tcPr>
          <w:p>
            <w:pPr>
              <w:pStyle w:val="TableParagraph"/>
              <w:spacing w:before="39"/>
              <w:ind w:right="298"/>
              <w:rPr>
                <w:sz w:val="18"/>
              </w:rPr>
            </w:pPr>
            <w:r>
              <w:rPr>
                <w:w w:val="123"/>
                <w:sz w:val="18"/>
              </w:rPr>
              <w:t>%</w:t>
            </w:r>
          </w:p>
        </w:tc>
        <w:tc>
          <w:tcPr>
            <w:tcW w:w="2937" w:type="dxa"/>
            <w:tcBorders>
              <w:top w:val="single" w:sz="6" w:space="0" w:color="69BD28"/>
              <w:bottom w:val="single" w:sz="6" w:space="0" w:color="69BD28"/>
            </w:tcBorders>
          </w:tcPr>
          <w:p>
            <w:pPr>
              <w:pStyle w:val="TableParagraph"/>
              <w:spacing w:before="39"/>
              <w:ind w:left="1044"/>
              <w:jc w:val="left"/>
              <w:rPr>
                <w:sz w:val="18"/>
              </w:rPr>
            </w:pPr>
            <w:r>
              <w:rPr>
                <w:w w:val="110"/>
                <w:sz w:val="18"/>
              </w:rPr>
              <w:t>11.0%</w:t>
            </w:r>
          </w:p>
        </w:tc>
      </w:tr>
      <w:tr>
        <w:trPr>
          <w:trHeight w:val="214" w:hRule="atLeast"/>
        </w:trPr>
        <w:tc>
          <w:tcPr>
            <w:tcW w:w="3949" w:type="dxa"/>
            <w:tcBorders>
              <w:top w:val="single" w:sz="6" w:space="0" w:color="69BD28"/>
            </w:tcBorders>
          </w:tcPr>
          <w:p>
            <w:pPr>
              <w:pStyle w:val="TableParagraph"/>
              <w:spacing w:line="191" w:lineRule="exact" w:before="3"/>
              <w:ind w:left="14"/>
              <w:jc w:val="left"/>
              <w:rPr>
                <w:i/>
                <w:sz w:val="18"/>
              </w:rPr>
            </w:pPr>
            <w:r>
              <w:rPr>
                <w:i/>
                <w:sz w:val="18"/>
              </w:rPr>
              <w:t>Source: Valuer Assumption/ Client Input</w:t>
            </w:r>
          </w:p>
        </w:tc>
        <w:tc>
          <w:tcPr>
            <w:tcW w:w="3598" w:type="dxa"/>
            <w:tcBorders>
              <w:top w:val="single" w:sz="6" w:space="0" w:color="69BD28"/>
            </w:tcBorders>
          </w:tcPr>
          <w:p>
            <w:pPr>
              <w:pStyle w:val="TableParagraph"/>
              <w:jc w:val="left"/>
              <w:rPr>
                <w:rFonts w:ascii="Times New Roman"/>
                <w:sz w:val="14"/>
              </w:rPr>
            </w:pPr>
          </w:p>
        </w:tc>
        <w:tc>
          <w:tcPr>
            <w:tcW w:w="2937" w:type="dxa"/>
            <w:tcBorders>
              <w:top w:val="single" w:sz="6" w:space="0" w:color="69BD28"/>
            </w:tcBorders>
          </w:tcPr>
          <w:p>
            <w:pPr>
              <w:pStyle w:val="TableParagraph"/>
              <w:jc w:val="left"/>
              <w:rPr>
                <w:rFonts w:ascii="Times New Roman"/>
                <w:sz w:val="14"/>
              </w:rPr>
            </w:pPr>
          </w:p>
        </w:tc>
      </w:tr>
    </w:tbl>
    <w:p>
      <w:pPr>
        <w:pStyle w:val="BodyText"/>
        <w:spacing w:before="5"/>
        <w:rPr>
          <w:sz w:val="30"/>
        </w:rPr>
      </w:pPr>
    </w:p>
    <w:p>
      <w:pPr>
        <w:pStyle w:val="BodyText"/>
        <w:spacing w:line="372" w:lineRule="auto"/>
        <w:ind w:left="1227" w:right="674"/>
        <w:jc w:val="both"/>
      </w:pPr>
      <w:r>
        <w:rPr/>
        <w:t>As</w:t>
      </w:r>
      <w:r>
        <w:rPr>
          <w:spacing w:val="-15"/>
        </w:rPr>
        <w:t> </w:t>
      </w:r>
      <w:r>
        <w:rPr/>
        <w:t>per</w:t>
      </w:r>
      <w:r>
        <w:rPr>
          <w:spacing w:val="-14"/>
        </w:rPr>
        <w:t> </w:t>
      </w:r>
      <w:r>
        <w:rPr/>
        <w:t>information</w:t>
      </w:r>
      <w:r>
        <w:rPr>
          <w:spacing w:val="-14"/>
        </w:rPr>
        <w:t> </w:t>
      </w:r>
      <w:r>
        <w:rPr/>
        <w:t>provided</w:t>
      </w:r>
      <w:r>
        <w:rPr>
          <w:spacing w:val="-14"/>
        </w:rPr>
        <w:t> </w:t>
      </w:r>
      <w:r>
        <w:rPr/>
        <w:t>by</w:t>
      </w:r>
      <w:r>
        <w:rPr>
          <w:spacing w:val="-12"/>
        </w:rPr>
        <w:t> </w:t>
      </w:r>
      <w:r>
        <w:rPr/>
        <w:t>the</w:t>
      </w:r>
      <w:r>
        <w:rPr>
          <w:spacing w:val="-15"/>
        </w:rPr>
        <w:t> </w:t>
      </w:r>
      <w:r>
        <w:rPr/>
        <w:t>Client,</w:t>
      </w:r>
      <w:r>
        <w:rPr>
          <w:spacing w:val="-14"/>
        </w:rPr>
        <w:t> </w:t>
      </w:r>
      <w:r>
        <w:rPr/>
        <w:t>we</w:t>
      </w:r>
      <w:r>
        <w:rPr>
          <w:spacing w:val="-14"/>
        </w:rPr>
        <w:t> </w:t>
      </w:r>
      <w:r>
        <w:rPr/>
        <w:t>understand</w:t>
      </w:r>
      <w:r>
        <w:rPr>
          <w:spacing w:val="-12"/>
        </w:rPr>
        <w:t> </w:t>
      </w:r>
      <w:r>
        <w:rPr/>
        <w:t>that</w:t>
      </w:r>
      <w:r>
        <w:rPr>
          <w:spacing w:val="-14"/>
        </w:rPr>
        <w:t> </w:t>
      </w:r>
      <w:r>
        <w:rPr/>
        <w:t>the</w:t>
      </w:r>
      <w:r>
        <w:rPr>
          <w:spacing w:val="-14"/>
        </w:rPr>
        <w:t> </w:t>
      </w:r>
      <w:r>
        <w:rPr/>
        <w:t>working</w:t>
      </w:r>
      <w:r>
        <w:rPr>
          <w:spacing w:val="-13"/>
        </w:rPr>
        <w:t> </w:t>
      </w:r>
      <w:r>
        <w:rPr/>
        <w:t>capital</w:t>
      </w:r>
      <w:r>
        <w:rPr>
          <w:spacing w:val="-14"/>
        </w:rPr>
        <w:t> </w:t>
      </w:r>
      <w:r>
        <w:rPr/>
        <w:t>will</w:t>
      </w:r>
      <w:r>
        <w:rPr>
          <w:spacing w:val="-14"/>
        </w:rPr>
        <w:t> </w:t>
      </w:r>
      <w:r>
        <w:rPr>
          <w:spacing w:val="4"/>
        </w:rPr>
        <w:t>be</w:t>
      </w:r>
      <w:r>
        <w:rPr>
          <w:spacing w:val="-14"/>
        </w:rPr>
        <w:t> </w:t>
      </w:r>
      <w:r>
        <w:rPr/>
        <w:t>funded</w:t>
      </w:r>
      <w:r>
        <w:rPr>
          <w:spacing w:val="-15"/>
        </w:rPr>
        <w:t> </w:t>
      </w:r>
      <w:r>
        <w:rPr/>
        <w:t>by</w:t>
      </w:r>
      <w:r>
        <w:rPr>
          <w:spacing w:val="-12"/>
        </w:rPr>
        <w:t> </w:t>
      </w:r>
      <w:r>
        <w:rPr/>
        <w:t>a mix</w:t>
      </w:r>
      <w:r>
        <w:rPr>
          <w:spacing w:val="-29"/>
        </w:rPr>
        <w:t> </w:t>
      </w:r>
      <w:r>
        <w:rPr/>
        <w:t>of</w:t>
      </w:r>
      <w:r>
        <w:rPr>
          <w:spacing w:val="-28"/>
        </w:rPr>
        <w:t> </w:t>
      </w:r>
      <w:r>
        <w:rPr/>
        <w:t>equity</w:t>
      </w:r>
      <w:r>
        <w:rPr>
          <w:spacing w:val="-30"/>
        </w:rPr>
        <w:t> </w:t>
      </w:r>
      <w:r>
        <w:rPr/>
        <w:t>and</w:t>
      </w:r>
      <w:r>
        <w:rPr>
          <w:spacing w:val="-31"/>
        </w:rPr>
        <w:t> </w:t>
      </w:r>
      <w:r>
        <w:rPr/>
        <w:t>working</w:t>
      </w:r>
      <w:r>
        <w:rPr>
          <w:spacing w:val="-28"/>
        </w:rPr>
        <w:t> </w:t>
      </w:r>
      <w:r>
        <w:rPr/>
        <w:t>capital</w:t>
      </w:r>
      <w:r>
        <w:rPr>
          <w:spacing w:val="-29"/>
        </w:rPr>
        <w:t> </w:t>
      </w:r>
      <w:r>
        <w:rPr/>
        <w:t>loan</w:t>
      </w:r>
      <w:r>
        <w:rPr>
          <w:spacing w:val="-31"/>
        </w:rPr>
        <w:t> </w:t>
      </w:r>
      <w:r>
        <w:rPr/>
        <w:t>(which</w:t>
      </w:r>
      <w:r>
        <w:rPr>
          <w:spacing w:val="-29"/>
        </w:rPr>
        <w:t> </w:t>
      </w:r>
      <w:r>
        <w:rPr/>
        <w:t>will</w:t>
      </w:r>
      <w:r>
        <w:rPr>
          <w:spacing w:val="-31"/>
        </w:rPr>
        <w:t> </w:t>
      </w:r>
      <w:r>
        <w:rPr/>
        <w:t>be</w:t>
      </w:r>
      <w:r>
        <w:rPr>
          <w:spacing w:val="-29"/>
        </w:rPr>
        <w:t> </w:t>
      </w:r>
      <w:r>
        <w:rPr/>
        <w:t>accrued</w:t>
      </w:r>
      <w:r>
        <w:rPr>
          <w:spacing w:val="-29"/>
        </w:rPr>
        <w:t> </w:t>
      </w:r>
      <w:r>
        <w:rPr/>
        <w:t>at</w:t>
      </w:r>
      <w:r>
        <w:rPr>
          <w:spacing w:val="-28"/>
        </w:rPr>
        <w:t> </w:t>
      </w:r>
      <w:r>
        <w:rPr/>
        <w:t>a</w:t>
      </w:r>
      <w:r>
        <w:rPr>
          <w:spacing w:val="-30"/>
        </w:rPr>
        <w:t> </w:t>
      </w:r>
      <w:r>
        <w:rPr/>
        <w:t>market</w:t>
      </w:r>
      <w:r>
        <w:rPr>
          <w:spacing w:val="-28"/>
        </w:rPr>
        <w:t> </w:t>
      </w:r>
      <w:r>
        <w:rPr/>
        <w:t>interest</w:t>
      </w:r>
      <w:r>
        <w:rPr>
          <w:spacing w:val="-29"/>
        </w:rPr>
        <w:t> </w:t>
      </w:r>
      <w:r>
        <w:rPr/>
        <w:t>rate</w:t>
      </w:r>
      <w:r>
        <w:rPr>
          <w:spacing w:val="-29"/>
        </w:rPr>
        <w:t> </w:t>
      </w:r>
      <w:r>
        <w:rPr/>
        <w:t>of</w:t>
      </w:r>
      <w:r>
        <w:rPr>
          <w:spacing w:val="-30"/>
        </w:rPr>
        <w:t> </w:t>
      </w:r>
      <w:r>
        <w:rPr/>
        <w:t>approx.</w:t>
      </w:r>
      <w:r>
        <w:rPr>
          <w:spacing w:val="-29"/>
        </w:rPr>
        <w:t> </w:t>
      </w:r>
      <w:r>
        <w:rPr/>
        <w:t>11.0%) in proportion of 25.0% and 75.0%,</w:t>
      </w:r>
      <w:r>
        <w:rPr>
          <w:spacing w:val="-19"/>
        </w:rPr>
        <w:t> </w:t>
      </w:r>
      <w:r>
        <w:rPr/>
        <w:t>respectively.</w:t>
      </w:r>
    </w:p>
    <w:p>
      <w:pPr>
        <w:spacing w:after="0" w:line="372" w:lineRule="auto"/>
        <w:jc w:val="both"/>
        <w:sectPr>
          <w:pgSz w:w="11910" w:h="16840"/>
          <w:pgMar w:header="720" w:footer="862" w:top="1660" w:bottom="1060" w:left="40" w:right="40"/>
        </w:sectPr>
      </w:pPr>
    </w:p>
    <w:p>
      <w:pPr>
        <w:pStyle w:val="BodyText"/>
        <w:spacing w:before="7"/>
        <w:rPr>
          <w:sz w:val="9"/>
        </w:rPr>
      </w:pPr>
    </w:p>
    <w:p>
      <w:pPr>
        <w:pStyle w:val="ListParagraph"/>
        <w:numPr>
          <w:ilvl w:val="1"/>
          <w:numId w:val="93"/>
        </w:numPr>
        <w:tabs>
          <w:tab w:pos="1257" w:val="left" w:leader="none"/>
        </w:tabs>
        <w:spacing w:line="240" w:lineRule="auto" w:before="106" w:after="0"/>
        <w:ind w:left="1256" w:right="0" w:hanging="577"/>
        <w:jc w:val="left"/>
        <w:rPr>
          <w:sz w:val="22"/>
        </w:rPr>
      </w:pPr>
      <w:bookmarkStart w:name="_bookmark395" w:id="772"/>
      <w:bookmarkEnd w:id="772"/>
      <w:r>
        <w:rPr/>
      </w:r>
      <w:bookmarkStart w:name="_bookmark395" w:id="773"/>
      <w:bookmarkEnd w:id="773"/>
      <w:r>
        <w:rPr>
          <w:color w:val="1F6647"/>
          <w:w w:val="105"/>
          <w:sz w:val="22"/>
        </w:rPr>
        <w:t>V</w:t>
      </w:r>
      <w:r>
        <w:rPr>
          <w:color w:val="1F6647"/>
          <w:w w:val="105"/>
          <w:sz w:val="22"/>
        </w:rPr>
        <w:t>alue</w:t>
      </w:r>
      <w:r>
        <w:rPr>
          <w:color w:val="1F6647"/>
          <w:spacing w:val="-7"/>
          <w:w w:val="105"/>
          <w:sz w:val="22"/>
        </w:rPr>
        <w:t> </w:t>
      </w:r>
      <w:r>
        <w:rPr>
          <w:color w:val="1F6647"/>
          <w:w w:val="105"/>
          <w:sz w:val="22"/>
        </w:rPr>
        <w:t>Assessment</w:t>
      </w:r>
    </w:p>
    <w:p>
      <w:pPr>
        <w:pStyle w:val="BodyText"/>
        <w:spacing w:before="3"/>
        <w:rPr>
          <w:sz w:val="28"/>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396" w:id="774"/>
      <w:bookmarkEnd w:id="774"/>
      <w:r>
        <w:rPr/>
      </w:r>
      <w:bookmarkStart w:name="_bookmark396" w:id="775"/>
      <w:bookmarkEnd w:id="775"/>
      <w:r>
        <w:rPr>
          <w:color w:val="1F664D"/>
          <w:w w:val="105"/>
          <w:sz w:val="22"/>
        </w:rPr>
        <w:t>A</w:t>
      </w:r>
      <w:r>
        <w:rPr>
          <w:color w:val="1F664D"/>
          <w:w w:val="105"/>
          <w:sz w:val="22"/>
        </w:rPr>
        <w:t>dopted</w:t>
      </w:r>
      <w:r>
        <w:rPr>
          <w:color w:val="1F664D"/>
          <w:spacing w:val="-3"/>
          <w:w w:val="105"/>
          <w:sz w:val="22"/>
        </w:rPr>
        <w:t> </w:t>
      </w:r>
      <w:r>
        <w:rPr>
          <w:color w:val="1F664D"/>
          <w:w w:val="105"/>
          <w:sz w:val="22"/>
        </w:rPr>
        <w:t>Methodology</w:t>
      </w:r>
    </w:p>
    <w:p>
      <w:pPr>
        <w:pStyle w:val="BodyText"/>
        <w:spacing w:line="319" w:lineRule="auto" w:before="208"/>
        <w:ind w:left="1220" w:right="676"/>
        <w:jc w:val="both"/>
      </w:pPr>
      <w:r>
        <w:rPr/>
        <w:t>Considering</w:t>
      </w:r>
      <w:r>
        <w:rPr>
          <w:spacing w:val="-42"/>
        </w:rPr>
        <w:t> </w:t>
      </w:r>
      <w:r>
        <w:rPr/>
        <w:t>the</w:t>
      </w:r>
      <w:r>
        <w:rPr>
          <w:spacing w:val="-42"/>
        </w:rPr>
        <w:t> </w:t>
      </w:r>
      <w:r>
        <w:rPr/>
        <w:t>objective</w:t>
      </w:r>
      <w:r>
        <w:rPr>
          <w:spacing w:val="-41"/>
        </w:rPr>
        <w:t> </w:t>
      </w:r>
      <w:r>
        <w:rPr/>
        <w:t>of</w:t>
      </w:r>
      <w:r>
        <w:rPr>
          <w:spacing w:val="-42"/>
        </w:rPr>
        <w:t> </w:t>
      </w:r>
      <w:r>
        <w:rPr/>
        <w:t>this</w:t>
      </w:r>
      <w:r>
        <w:rPr>
          <w:spacing w:val="-41"/>
        </w:rPr>
        <w:t> </w:t>
      </w:r>
      <w:r>
        <w:rPr/>
        <w:t>exercise</w:t>
      </w:r>
      <w:r>
        <w:rPr>
          <w:spacing w:val="-41"/>
        </w:rPr>
        <w:t> </w:t>
      </w:r>
      <w:r>
        <w:rPr/>
        <w:t>and</w:t>
      </w:r>
      <w:r>
        <w:rPr>
          <w:spacing w:val="-41"/>
        </w:rPr>
        <w:t> </w:t>
      </w:r>
      <w:r>
        <w:rPr/>
        <w:t>the</w:t>
      </w:r>
      <w:r>
        <w:rPr>
          <w:spacing w:val="-42"/>
        </w:rPr>
        <w:t> </w:t>
      </w:r>
      <w:r>
        <w:rPr/>
        <w:t>nature</w:t>
      </w:r>
      <w:r>
        <w:rPr>
          <w:spacing w:val="-42"/>
        </w:rPr>
        <w:t> </w:t>
      </w:r>
      <w:r>
        <w:rPr/>
        <w:t>of</w:t>
      </w:r>
      <w:r>
        <w:rPr>
          <w:spacing w:val="-41"/>
        </w:rPr>
        <w:t> </w:t>
      </w:r>
      <w:r>
        <w:rPr/>
        <w:t>asset</w:t>
      </w:r>
      <w:r>
        <w:rPr>
          <w:spacing w:val="-41"/>
        </w:rPr>
        <w:t> </w:t>
      </w:r>
      <w:r>
        <w:rPr/>
        <w:t>involved,</w:t>
      </w:r>
      <w:r>
        <w:rPr>
          <w:spacing w:val="-42"/>
        </w:rPr>
        <w:t> </w:t>
      </w:r>
      <w:r>
        <w:rPr/>
        <w:t>the</w:t>
      </w:r>
      <w:r>
        <w:rPr>
          <w:spacing w:val="-42"/>
        </w:rPr>
        <w:t> </w:t>
      </w:r>
      <w:r>
        <w:rPr/>
        <w:t>equity/</w:t>
      </w:r>
      <w:r>
        <w:rPr>
          <w:spacing w:val="-42"/>
        </w:rPr>
        <w:t> </w:t>
      </w:r>
      <w:r>
        <w:rPr/>
        <w:t>enterprise</w:t>
      </w:r>
      <w:r>
        <w:rPr>
          <w:spacing w:val="-41"/>
        </w:rPr>
        <w:t> </w:t>
      </w:r>
      <w:r>
        <w:rPr/>
        <w:t>value</w:t>
      </w:r>
      <w:r>
        <w:rPr>
          <w:spacing w:val="-41"/>
        </w:rPr>
        <w:t> </w:t>
      </w:r>
      <w:r>
        <w:rPr/>
        <w:t>of the subject plant </w:t>
      </w:r>
      <w:r>
        <w:rPr>
          <w:spacing w:val="-2"/>
        </w:rPr>
        <w:t>has </w:t>
      </w:r>
      <w:r>
        <w:rPr/>
        <w:t>been assessed through the</w:t>
      </w:r>
      <w:r>
        <w:rPr>
          <w:spacing w:val="-49"/>
        </w:rPr>
        <w:t> </w:t>
      </w:r>
      <w:r>
        <w:rPr/>
        <w:t>following approach:</w:t>
      </w:r>
    </w:p>
    <w:p>
      <w:pPr>
        <w:pStyle w:val="BodyText"/>
        <w:spacing w:before="7"/>
        <w:rPr>
          <w:sz w:val="20"/>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31"/>
        <w:gridCol w:w="6954"/>
      </w:tblGrid>
      <w:tr>
        <w:trPr>
          <w:trHeight w:val="359" w:hRule="atLeast"/>
        </w:trPr>
        <w:tc>
          <w:tcPr>
            <w:tcW w:w="10485" w:type="dxa"/>
            <w:gridSpan w:val="2"/>
            <w:tcBorders>
              <w:top w:val="single" w:sz="6" w:space="0" w:color="69BD28"/>
            </w:tcBorders>
            <w:shd w:val="clear" w:color="auto" w:fill="006A4D"/>
          </w:tcPr>
          <w:p>
            <w:pPr>
              <w:pStyle w:val="TableParagraph"/>
              <w:tabs>
                <w:tab w:pos="6270" w:val="left" w:leader="none"/>
              </w:tabs>
              <w:spacing w:before="75"/>
              <w:ind w:left="1322"/>
              <w:jc w:val="left"/>
              <w:rPr>
                <w:b/>
                <w:sz w:val="18"/>
              </w:rPr>
            </w:pPr>
            <w:r>
              <w:rPr>
                <w:b/>
                <w:color w:val="FFFFFF"/>
                <w:w w:val="110"/>
                <w:sz w:val="18"/>
              </w:rPr>
              <w:t>Particular</w:t>
              <w:tab/>
              <w:t>Embassy</w:t>
            </w:r>
            <w:r>
              <w:rPr>
                <w:b/>
                <w:color w:val="FFFFFF"/>
                <w:spacing w:val="-5"/>
                <w:w w:val="110"/>
                <w:sz w:val="18"/>
              </w:rPr>
              <w:t> </w:t>
            </w:r>
            <w:r>
              <w:rPr>
                <w:b/>
                <w:color w:val="FFFFFF"/>
                <w:w w:val="110"/>
                <w:sz w:val="18"/>
              </w:rPr>
              <w:t>Energy</w:t>
            </w:r>
          </w:p>
        </w:tc>
      </w:tr>
      <w:tr>
        <w:trPr>
          <w:trHeight w:val="455" w:hRule="atLeast"/>
        </w:trPr>
        <w:tc>
          <w:tcPr>
            <w:tcW w:w="3531" w:type="dxa"/>
            <w:shd w:val="clear" w:color="auto" w:fill="69BD28"/>
          </w:tcPr>
          <w:p>
            <w:pPr>
              <w:pStyle w:val="TableParagraph"/>
              <w:spacing w:before="123"/>
              <w:ind w:left="703"/>
              <w:jc w:val="left"/>
              <w:rPr>
                <w:b/>
                <w:sz w:val="18"/>
              </w:rPr>
            </w:pPr>
            <w:r>
              <w:rPr>
                <w:b/>
                <w:color w:val="FFFFFF"/>
                <w:w w:val="110"/>
                <w:sz w:val="18"/>
              </w:rPr>
              <w:t>Valuation Methodology</w:t>
            </w:r>
          </w:p>
        </w:tc>
        <w:tc>
          <w:tcPr>
            <w:tcW w:w="6954" w:type="dxa"/>
            <w:tcBorders>
              <w:top w:val="single" w:sz="6" w:space="0" w:color="69BD28"/>
              <w:bottom w:val="single" w:sz="6" w:space="0" w:color="69BD28"/>
            </w:tcBorders>
          </w:tcPr>
          <w:p>
            <w:pPr>
              <w:pStyle w:val="TableParagraph"/>
              <w:spacing w:before="123"/>
              <w:ind w:left="883" w:right="899"/>
              <w:rPr>
                <w:sz w:val="18"/>
              </w:rPr>
            </w:pPr>
            <w:r>
              <w:rPr>
                <w:sz w:val="18"/>
              </w:rPr>
              <w:t>Discounted Cash Flow Method</w:t>
            </w:r>
          </w:p>
        </w:tc>
      </w:tr>
    </w:tbl>
    <w:p>
      <w:pPr>
        <w:pStyle w:val="BodyText"/>
        <w:spacing w:before="1"/>
        <w:rPr>
          <w:sz w:val="21"/>
        </w:rPr>
      </w:pPr>
    </w:p>
    <w:p>
      <w:pPr>
        <w:pStyle w:val="BodyText"/>
        <w:spacing w:line="321" w:lineRule="auto"/>
        <w:ind w:left="1220" w:right="675"/>
        <w:jc w:val="both"/>
      </w:pPr>
      <w:r>
        <w:rPr/>
        <w:t>The</w:t>
      </w:r>
      <w:r>
        <w:rPr>
          <w:spacing w:val="-22"/>
        </w:rPr>
        <w:t> </w:t>
      </w:r>
      <w:r>
        <w:rPr/>
        <w:t>sections</w:t>
      </w:r>
      <w:r>
        <w:rPr>
          <w:spacing w:val="-23"/>
        </w:rPr>
        <w:t> </w:t>
      </w:r>
      <w:r>
        <w:rPr/>
        <w:t>below</w:t>
      </w:r>
      <w:r>
        <w:rPr>
          <w:spacing w:val="-21"/>
        </w:rPr>
        <w:t> </w:t>
      </w:r>
      <w:r>
        <w:rPr/>
        <w:t>highlight</w:t>
      </w:r>
      <w:r>
        <w:rPr>
          <w:spacing w:val="-22"/>
        </w:rPr>
        <w:t> </w:t>
      </w:r>
      <w:r>
        <w:rPr/>
        <w:t>detailed</w:t>
      </w:r>
      <w:r>
        <w:rPr>
          <w:spacing w:val="-21"/>
        </w:rPr>
        <w:t> </w:t>
      </w:r>
      <w:r>
        <w:rPr/>
        <w:t>valuation</w:t>
      </w:r>
      <w:r>
        <w:rPr>
          <w:spacing w:val="-22"/>
        </w:rPr>
        <w:t> </w:t>
      </w:r>
      <w:r>
        <w:rPr/>
        <w:t>workings</w:t>
      </w:r>
      <w:r>
        <w:rPr>
          <w:spacing w:val="-21"/>
        </w:rPr>
        <w:t> </w:t>
      </w:r>
      <w:r>
        <w:rPr/>
        <w:t>for</w:t>
      </w:r>
      <w:r>
        <w:rPr>
          <w:spacing w:val="-22"/>
        </w:rPr>
        <w:t> </w:t>
      </w:r>
      <w:r>
        <w:rPr/>
        <w:t>the</w:t>
      </w:r>
      <w:r>
        <w:rPr>
          <w:spacing w:val="-23"/>
        </w:rPr>
        <w:t> </w:t>
      </w:r>
      <w:r>
        <w:rPr/>
        <w:t>subject</w:t>
      </w:r>
      <w:r>
        <w:rPr>
          <w:spacing w:val="-22"/>
        </w:rPr>
        <w:t> </w:t>
      </w:r>
      <w:r>
        <w:rPr/>
        <w:t>property.</w:t>
      </w:r>
      <w:r>
        <w:rPr>
          <w:spacing w:val="-21"/>
        </w:rPr>
        <w:t> </w:t>
      </w:r>
      <w:r>
        <w:rPr/>
        <w:t>Please</w:t>
      </w:r>
      <w:r>
        <w:rPr>
          <w:spacing w:val="-22"/>
        </w:rPr>
        <w:t> </w:t>
      </w:r>
      <w:r>
        <w:rPr/>
        <w:t>note</w:t>
      </w:r>
      <w:r>
        <w:rPr>
          <w:spacing w:val="-21"/>
        </w:rPr>
        <w:t> </w:t>
      </w:r>
      <w:r>
        <w:rPr/>
        <w:t>that</w:t>
      </w:r>
      <w:r>
        <w:rPr>
          <w:spacing w:val="-23"/>
        </w:rPr>
        <w:t> </w:t>
      </w:r>
      <w:r>
        <w:rPr/>
        <w:t>the assumptions/</w:t>
      </w:r>
      <w:r>
        <w:rPr>
          <w:spacing w:val="-29"/>
        </w:rPr>
        <w:t> </w:t>
      </w:r>
      <w:r>
        <w:rPr/>
        <w:t>opinions</w:t>
      </w:r>
      <w:r>
        <w:rPr>
          <w:spacing w:val="-27"/>
        </w:rPr>
        <w:t> </w:t>
      </w:r>
      <w:r>
        <w:rPr/>
        <w:t>highlighted</w:t>
      </w:r>
      <w:r>
        <w:rPr>
          <w:spacing w:val="-27"/>
        </w:rPr>
        <w:t> </w:t>
      </w:r>
      <w:r>
        <w:rPr/>
        <w:t>in</w:t>
      </w:r>
      <w:r>
        <w:rPr>
          <w:spacing w:val="-28"/>
        </w:rPr>
        <w:t> </w:t>
      </w:r>
      <w:r>
        <w:rPr/>
        <w:t>the</w:t>
      </w:r>
      <w:r>
        <w:rPr>
          <w:spacing w:val="-28"/>
        </w:rPr>
        <w:t> </w:t>
      </w:r>
      <w:r>
        <w:rPr/>
        <w:t>subsequent</w:t>
      </w:r>
      <w:r>
        <w:rPr>
          <w:spacing w:val="-28"/>
        </w:rPr>
        <w:t> </w:t>
      </w:r>
      <w:r>
        <w:rPr/>
        <w:t>sections</w:t>
      </w:r>
      <w:r>
        <w:rPr>
          <w:spacing w:val="-27"/>
        </w:rPr>
        <w:t> </w:t>
      </w:r>
      <w:r>
        <w:rPr/>
        <w:t>are</w:t>
      </w:r>
      <w:r>
        <w:rPr>
          <w:spacing w:val="-28"/>
        </w:rPr>
        <w:t> </w:t>
      </w:r>
      <w:r>
        <w:rPr/>
        <w:t>to</w:t>
      </w:r>
      <w:r>
        <w:rPr>
          <w:spacing w:val="-23"/>
        </w:rPr>
        <w:t> </w:t>
      </w:r>
      <w:r>
        <w:rPr/>
        <w:t>be</w:t>
      </w:r>
      <w:r>
        <w:rPr>
          <w:spacing w:val="-28"/>
        </w:rPr>
        <w:t> </w:t>
      </w:r>
      <w:r>
        <w:rPr/>
        <w:t>read</w:t>
      </w:r>
      <w:r>
        <w:rPr>
          <w:spacing w:val="-27"/>
        </w:rPr>
        <w:t> </w:t>
      </w:r>
      <w:r>
        <w:rPr/>
        <w:t>in</w:t>
      </w:r>
      <w:r>
        <w:rPr>
          <w:spacing w:val="-28"/>
        </w:rPr>
        <w:t> </w:t>
      </w:r>
      <w:r>
        <w:rPr/>
        <w:t>conjunction</w:t>
      </w:r>
      <w:r>
        <w:rPr>
          <w:spacing w:val="-28"/>
        </w:rPr>
        <w:t> </w:t>
      </w:r>
      <w:r>
        <w:rPr/>
        <w:t>with</w:t>
      </w:r>
      <w:r>
        <w:rPr>
          <w:spacing w:val="-28"/>
        </w:rPr>
        <w:t> </w:t>
      </w:r>
      <w:r>
        <w:rPr/>
        <w:t>Section</w:t>
      </w:r>
    </w:p>
    <w:p>
      <w:pPr>
        <w:pStyle w:val="BodyText"/>
        <w:spacing w:before="2"/>
        <w:ind w:left="1220"/>
      </w:pPr>
      <w:r>
        <w:rPr/>
        <w:t>1.11 and the following:</w:t>
      </w:r>
    </w:p>
    <w:p>
      <w:pPr>
        <w:pStyle w:val="BodyText"/>
        <w:spacing w:before="2"/>
        <w:rPr>
          <w:sz w:val="28"/>
        </w:rPr>
      </w:pPr>
    </w:p>
    <w:p>
      <w:pPr>
        <w:spacing w:line="321" w:lineRule="auto" w:before="1"/>
        <w:ind w:left="1220" w:right="673" w:firstLine="0"/>
        <w:jc w:val="both"/>
        <w:rPr>
          <w:i/>
          <w:sz w:val="22"/>
        </w:rPr>
      </w:pPr>
      <w:r>
        <w:rPr>
          <w:i/>
          <w:sz w:val="22"/>
        </w:rPr>
        <w:t>“In</w:t>
      </w:r>
      <w:r>
        <w:rPr>
          <w:i/>
          <w:spacing w:val="-30"/>
          <w:sz w:val="22"/>
        </w:rPr>
        <w:t> </w:t>
      </w:r>
      <w:r>
        <w:rPr>
          <w:i/>
          <w:sz w:val="22"/>
        </w:rPr>
        <w:t>the</w:t>
      </w:r>
      <w:r>
        <w:rPr>
          <w:i/>
          <w:spacing w:val="-30"/>
          <w:sz w:val="22"/>
        </w:rPr>
        <w:t> </w:t>
      </w:r>
      <w:r>
        <w:rPr>
          <w:i/>
          <w:sz w:val="22"/>
        </w:rPr>
        <w:t>current</w:t>
      </w:r>
      <w:r>
        <w:rPr>
          <w:i/>
          <w:spacing w:val="-31"/>
          <w:sz w:val="22"/>
        </w:rPr>
        <w:t> </w:t>
      </w:r>
      <w:r>
        <w:rPr>
          <w:i/>
          <w:sz w:val="22"/>
        </w:rPr>
        <w:t>uncertain</w:t>
      </w:r>
      <w:r>
        <w:rPr>
          <w:i/>
          <w:spacing w:val="-29"/>
          <w:sz w:val="22"/>
        </w:rPr>
        <w:t> </w:t>
      </w:r>
      <w:r>
        <w:rPr>
          <w:i/>
          <w:sz w:val="22"/>
        </w:rPr>
        <w:t>environment</w:t>
      </w:r>
      <w:r>
        <w:rPr>
          <w:i/>
          <w:spacing w:val="-31"/>
          <w:sz w:val="22"/>
        </w:rPr>
        <w:t> </w:t>
      </w:r>
      <w:r>
        <w:rPr>
          <w:i/>
          <w:sz w:val="22"/>
        </w:rPr>
        <w:t>caused</w:t>
      </w:r>
      <w:r>
        <w:rPr>
          <w:i/>
          <w:spacing w:val="-29"/>
          <w:sz w:val="22"/>
        </w:rPr>
        <w:t> </w:t>
      </w:r>
      <w:r>
        <w:rPr>
          <w:i/>
          <w:sz w:val="22"/>
        </w:rPr>
        <w:t>by</w:t>
      </w:r>
      <w:r>
        <w:rPr>
          <w:i/>
          <w:spacing w:val="-29"/>
          <w:sz w:val="22"/>
        </w:rPr>
        <w:t> </w:t>
      </w:r>
      <w:r>
        <w:rPr>
          <w:i/>
          <w:sz w:val="22"/>
        </w:rPr>
        <w:t>the</w:t>
      </w:r>
      <w:r>
        <w:rPr>
          <w:i/>
          <w:spacing w:val="-28"/>
          <w:sz w:val="22"/>
        </w:rPr>
        <w:t> </w:t>
      </w:r>
      <w:r>
        <w:rPr>
          <w:i/>
          <w:sz w:val="22"/>
        </w:rPr>
        <w:t>outbreak</w:t>
      </w:r>
      <w:r>
        <w:rPr>
          <w:i/>
          <w:spacing w:val="-30"/>
          <w:sz w:val="22"/>
        </w:rPr>
        <w:t> </w:t>
      </w:r>
      <w:r>
        <w:rPr>
          <w:i/>
          <w:sz w:val="22"/>
        </w:rPr>
        <w:t>of</w:t>
      </w:r>
      <w:r>
        <w:rPr>
          <w:i/>
          <w:spacing w:val="-29"/>
          <w:sz w:val="22"/>
        </w:rPr>
        <w:t> </w:t>
      </w:r>
      <w:r>
        <w:rPr>
          <w:i/>
          <w:sz w:val="22"/>
        </w:rPr>
        <w:t>the</w:t>
      </w:r>
      <w:r>
        <w:rPr>
          <w:i/>
          <w:spacing w:val="-28"/>
          <w:sz w:val="22"/>
        </w:rPr>
        <w:t> </w:t>
      </w:r>
      <w:r>
        <w:rPr>
          <w:i/>
          <w:sz w:val="22"/>
        </w:rPr>
        <w:t>Novel</w:t>
      </w:r>
      <w:r>
        <w:rPr>
          <w:i/>
          <w:spacing w:val="-32"/>
          <w:sz w:val="22"/>
        </w:rPr>
        <w:t> </w:t>
      </w:r>
      <w:r>
        <w:rPr>
          <w:i/>
          <w:sz w:val="22"/>
        </w:rPr>
        <w:t>Coronavirus</w:t>
      </w:r>
      <w:r>
        <w:rPr>
          <w:i/>
          <w:spacing w:val="-30"/>
          <w:sz w:val="22"/>
        </w:rPr>
        <w:t> </w:t>
      </w:r>
      <w:r>
        <w:rPr>
          <w:i/>
          <w:sz w:val="22"/>
        </w:rPr>
        <w:t>(COVID-19),</w:t>
      </w:r>
      <w:r>
        <w:rPr>
          <w:i/>
          <w:spacing w:val="-30"/>
          <w:sz w:val="22"/>
        </w:rPr>
        <w:t> </w:t>
      </w:r>
      <w:r>
        <w:rPr>
          <w:i/>
          <w:sz w:val="22"/>
        </w:rPr>
        <w:t>we </w:t>
      </w:r>
      <w:r>
        <w:rPr>
          <w:i/>
          <w:sz w:val="22"/>
        </w:rPr>
        <w:t>have considered / </w:t>
      </w:r>
      <w:r>
        <w:rPr>
          <w:sz w:val="22"/>
        </w:rPr>
        <w:t>relooked </w:t>
      </w:r>
      <w:r>
        <w:rPr>
          <w:i/>
          <w:sz w:val="22"/>
        </w:rPr>
        <w:t>at various performance parameters and have adopted heuristic/</w:t>
      </w:r>
      <w:r>
        <w:rPr>
          <w:i/>
          <w:spacing w:val="-47"/>
          <w:sz w:val="22"/>
        </w:rPr>
        <w:t> </w:t>
      </w:r>
      <w:r>
        <w:rPr>
          <w:i/>
          <w:sz w:val="22"/>
        </w:rPr>
        <w:t>careful </w:t>
      </w:r>
      <w:r>
        <w:rPr>
          <w:i/>
          <w:w w:val="95"/>
          <w:sz w:val="22"/>
        </w:rPr>
        <w:t>interventions</w:t>
      </w:r>
      <w:r>
        <w:rPr>
          <w:i/>
          <w:spacing w:val="-20"/>
          <w:w w:val="95"/>
          <w:sz w:val="22"/>
        </w:rPr>
        <w:t> </w:t>
      </w:r>
      <w:r>
        <w:rPr>
          <w:i/>
          <w:w w:val="95"/>
          <w:sz w:val="22"/>
        </w:rPr>
        <w:t>(including</w:t>
      </w:r>
      <w:r>
        <w:rPr>
          <w:i/>
          <w:spacing w:val="-22"/>
          <w:w w:val="95"/>
          <w:sz w:val="22"/>
        </w:rPr>
        <w:t> </w:t>
      </w:r>
      <w:r>
        <w:rPr>
          <w:i/>
          <w:w w:val="95"/>
          <w:sz w:val="22"/>
        </w:rPr>
        <w:t>but</w:t>
      </w:r>
      <w:r>
        <w:rPr>
          <w:i/>
          <w:spacing w:val="-21"/>
          <w:w w:val="95"/>
          <w:sz w:val="22"/>
        </w:rPr>
        <w:t> </w:t>
      </w:r>
      <w:r>
        <w:rPr>
          <w:i/>
          <w:w w:val="95"/>
          <w:sz w:val="22"/>
        </w:rPr>
        <w:t>not</w:t>
      </w:r>
      <w:r>
        <w:rPr>
          <w:i/>
          <w:spacing w:val="-21"/>
          <w:w w:val="95"/>
          <w:sz w:val="22"/>
        </w:rPr>
        <w:t> </w:t>
      </w:r>
      <w:r>
        <w:rPr>
          <w:i/>
          <w:w w:val="95"/>
          <w:sz w:val="22"/>
        </w:rPr>
        <w:t>limited</w:t>
      </w:r>
      <w:r>
        <w:rPr>
          <w:i/>
          <w:spacing w:val="-20"/>
          <w:w w:val="95"/>
          <w:sz w:val="22"/>
        </w:rPr>
        <w:t> </w:t>
      </w:r>
      <w:r>
        <w:rPr>
          <w:i/>
          <w:w w:val="95"/>
          <w:sz w:val="22"/>
        </w:rPr>
        <w:t>to</w:t>
      </w:r>
      <w:r>
        <w:rPr>
          <w:i/>
          <w:spacing w:val="-21"/>
          <w:w w:val="95"/>
          <w:sz w:val="22"/>
        </w:rPr>
        <w:t> </w:t>
      </w:r>
      <w:r>
        <w:rPr>
          <w:i/>
          <w:w w:val="95"/>
          <w:sz w:val="22"/>
        </w:rPr>
        <w:t>the</w:t>
      </w:r>
      <w:r>
        <w:rPr>
          <w:i/>
          <w:spacing w:val="-21"/>
          <w:w w:val="95"/>
          <w:sz w:val="22"/>
        </w:rPr>
        <w:t> </w:t>
      </w:r>
      <w:r>
        <w:rPr>
          <w:i/>
          <w:w w:val="95"/>
          <w:sz w:val="22"/>
        </w:rPr>
        <w:t>point</w:t>
      </w:r>
      <w:r>
        <w:rPr>
          <w:i/>
          <w:spacing w:val="-23"/>
          <w:w w:val="95"/>
          <w:sz w:val="22"/>
        </w:rPr>
        <w:t> </w:t>
      </w:r>
      <w:r>
        <w:rPr>
          <w:i/>
          <w:w w:val="95"/>
          <w:sz w:val="22"/>
        </w:rPr>
        <w:t>mentioned</w:t>
      </w:r>
      <w:r>
        <w:rPr>
          <w:i/>
          <w:spacing w:val="-20"/>
          <w:w w:val="95"/>
          <w:sz w:val="22"/>
        </w:rPr>
        <w:t> </w:t>
      </w:r>
      <w:r>
        <w:rPr>
          <w:i/>
          <w:w w:val="95"/>
          <w:sz w:val="22"/>
        </w:rPr>
        <w:t>below)</w:t>
      </w:r>
      <w:r>
        <w:rPr>
          <w:i/>
          <w:spacing w:val="-21"/>
          <w:w w:val="95"/>
          <w:sz w:val="22"/>
        </w:rPr>
        <w:t> </w:t>
      </w:r>
      <w:r>
        <w:rPr>
          <w:i/>
          <w:w w:val="95"/>
          <w:sz w:val="22"/>
        </w:rPr>
        <w:t>to</w:t>
      </w:r>
      <w:r>
        <w:rPr>
          <w:i/>
          <w:spacing w:val="-21"/>
          <w:w w:val="95"/>
          <w:sz w:val="22"/>
        </w:rPr>
        <w:t> </w:t>
      </w:r>
      <w:r>
        <w:rPr>
          <w:i/>
          <w:w w:val="95"/>
          <w:sz w:val="22"/>
        </w:rPr>
        <w:t>our</w:t>
      </w:r>
      <w:r>
        <w:rPr>
          <w:i/>
          <w:spacing w:val="-22"/>
          <w:w w:val="95"/>
          <w:sz w:val="22"/>
        </w:rPr>
        <w:t> </w:t>
      </w:r>
      <w:r>
        <w:rPr>
          <w:i/>
          <w:w w:val="95"/>
          <w:sz w:val="22"/>
        </w:rPr>
        <w:t>projected</w:t>
      </w:r>
      <w:r>
        <w:rPr>
          <w:i/>
          <w:spacing w:val="-22"/>
          <w:w w:val="95"/>
          <w:sz w:val="22"/>
        </w:rPr>
        <w:t> </w:t>
      </w:r>
      <w:r>
        <w:rPr>
          <w:i/>
          <w:w w:val="95"/>
          <w:sz w:val="22"/>
        </w:rPr>
        <w:t>cashflows</w:t>
      </w:r>
      <w:r>
        <w:rPr>
          <w:i/>
          <w:spacing w:val="-20"/>
          <w:w w:val="95"/>
          <w:sz w:val="22"/>
        </w:rPr>
        <w:t> </w:t>
      </w:r>
      <w:r>
        <w:rPr>
          <w:i/>
          <w:w w:val="95"/>
          <w:sz w:val="22"/>
        </w:rPr>
        <w:t>based</w:t>
      </w:r>
      <w:r>
        <w:rPr>
          <w:i/>
          <w:spacing w:val="-20"/>
          <w:w w:val="95"/>
          <w:sz w:val="22"/>
        </w:rPr>
        <w:t> </w:t>
      </w:r>
      <w:r>
        <w:rPr>
          <w:i/>
          <w:w w:val="95"/>
          <w:sz w:val="22"/>
        </w:rPr>
        <w:t>on </w:t>
      </w:r>
      <w:r>
        <w:rPr>
          <w:i/>
          <w:sz w:val="22"/>
        </w:rPr>
        <w:t>our view as of the date of</w:t>
      </w:r>
      <w:r>
        <w:rPr>
          <w:i/>
          <w:spacing w:val="-39"/>
          <w:sz w:val="22"/>
        </w:rPr>
        <w:t> </w:t>
      </w:r>
      <w:r>
        <w:rPr>
          <w:i/>
          <w:sz w:val="22"/>
        </w:rPr>
        <w:t>valuation.</w:t>
      </w:r>
    </w:p>
    <w:p>
      <w:pPr>
        <w:pStyle w:val="BodyText"/>
        <w:spacing w:before="8"/>
        <w:rPr>
          <w:i/>
          <w:sz w:val="20"/>
        </w:rPr>
      </w:pPr>
    </w:p>
    <w:p>
      <w:pPr>
        <w:pStyle w:val="ListParagraph"/>
        <w:numPr>
          <w:ilvl w:val="0"/>
          <w:numId w:val="94"/>
        </w:numPr>
        <w:tabs>
          <w:tab w:pos="2125" w:val="left" w:leader="none"/>
          <w:tab w:pos="2126" w:val="left" w:leader="none"/>
        </w:tabs>
        <w:spacing w:line="268" w:lineRule="auto" w:before="0" w:after="0"/>
        <w:ind w:left="2125" w:right="674" w:hanging="360"/>
        <w:jc w:val="left"/>
        <w:rPr>
          <w:i/>
          <w:sz w:val="22"/>
        </w:rPr>
      </w:pPr>
      <w:r>
        <w:rPr>
          <w:i/>
          <w:sz w:val="22"/>
        </w:rPr>
        <w:t>Lower</w:t>
      </w:r>
      <w:r>
        <w:rPr>
          <w:i/>
          <w:spacing w:val="-45"/>
          <w:sz w:val="22"/>
        </w:rPr>
        <w:t> </w:t>
      </w:r>
      <w:r>
        <w:rPr>
          <w:i/>
          <w:sz w:val="22"/>
        </w:rPr>
        <w:t>unit</w:t>
      </w:r>
      <w:r>
        <w:rPr>
          <w:i/>
          <w:spacing w:val="-46"/>
          <w:sz w:val="22"/>
        </w:rPr>
        <w:t> </w:t>
      </w:r>
      <w:r>
        <w:rPr>
          <w:i/>
          <w:sz w:val="22"/>
        </w:rPr>
        <w:t>consumption</w:t>
      </w:r>
      <w:r>
        <w:rPr>
          <w:i/>
          <w:spacing w:val="-45"/>
          <w:sz w:val="22"/>
        </w:rPr>
        <w:t> </w:t>
      </w:r>
      <w:r>
        <w:rPr>
          <w:i/>
          <w:sz w:val="22"/>
        </w:rPr>
        <w:t>has</w:t>
      </w:r>
      <w:r>
        <w:rPr>
          <w:i/>
          <w:spacing w:val="-44"/>
          <w:sz w:val="22"/>
        </w:rPr>
        <w:t> </w:t>
      </w:r>
      <w:r>
        <w:rPr>
          <w:i/>
          <w:sz w:val="22"/>
        </w:rPr>
        <w:t>been</w:t>
      </w:r>
      <w:r>
        <w:rPr>
          <w:i/>
          <w:spacing w:val="-44"/>
          <w:sz w:val="22"/>
        </w:rPr>
        <w:t> </w:t>
      </w:r>
      <w:r>
        <w:rPr>
          <w:i/>
          <w:sz w:val="22"/>
        </w:rPr>
        <w:t>assumed</w:t>
      </w:r>
      <w:r>
        <w:rPr>
          <w:i/>
          <w:spacing w:val="-45"/>
          <w:sz w:val="22"/>
        </w:rPr>
        <w:t> </w:t>
      </w:r>
      <w:r>
        <w:rPr>
          <w:i/>
          <w:sz w:val="22"/>
        </w:rPr>
        <w:t>for</w:t>
      </w:r>
      <w:r>
        <w:rPr>
          <w:i/>
          <w:spacing w:val="-46"/>
          <w:sz w:val="22"/>
        </w:rPr>
        <w:t> </w:t>
      </w:r>
      <w:r>
        <w:rPr>
          <w:i/>
          <w:sz w:val="22"/>
        </w:rPr>
        <w:t>the</w:t>
      </w:r>
      <w:r>
        <w:rPr>
          <w:i/>
          <w:spacing w:val="-44"/>
          <w:sz w:val="22"/>
        </w:rPr>
        <w:t> </w:t>
      </w:r>
      <w:r>
        <w:rPr>
          <w:i/>
          <w:sz w:val="22"/>
        </w:rPr>
        <w:t>solar</w:t>
      </w:r>
      <w:r>
        <w:rPr>
          <w:i/>
          <w:spacing w:val="-45"/>
          <w:sz w:val="22"/>
        </w:rPr>
        <w:t> </w:t>
      </w:r>
      <w:r>
        <w:rPr>
          <w:i/>
          <w:sz w:val="22"/>
        </w:rPr>
        <w:t>power</w:t>
      </w:r>
      <w:r>
        <w:rPr>
          <w:i/>
          <w:spacing w:val="-44"/>
          <w:sz w:val="22"/>
        </w:rPr>
        <w:t> </w:t>
      </w:r>
      <w:r>
        <w:rPr>
          <w:i/>
          <w:sz w:val="22"/>
        </w:rPr>
        <w:t>plant</w:t>
      </w:r>
      <w:r>
        <w:rPr>
          <w:i/>
          <w:spacing w:val="-44"/>
          <w:sz w:val="22"/>
        </w:rPr>
        <w:t> </w:t>
      </w:r>
      <w:r>
        <w:rPr>
          <w:i/>
          <w:sz w:val="22"/>
        </w:rPr>
        <w:t>during</w:t>
      </w:r>
      <w:r>
        <w:rPr>
          <w:i/>
          <w:spacing w:val="-45"/>
          <w:sz w:val="22"/>
        </w:rPr>
        <w:t> </w:t>
      </w:r>
      <w:r>
        <w:rPr>
          <w:i/>
          <w:sz w:val="22"/>
        </w:rPr>
        <w:t>the</w:t>
      </w:r>
      <w:r>
        <w:rPr>
          <w:i/>
          <w:spacing w:val="-44"/>
          <w:sz w:val="22"/>
        </w:rPr>
        <w:t> </w:t>
      </w:r>
      <w:r>
        <w:rPr>
          <w:i/>
          <w:sz w:val="22"/>
        </w:rPr>
        <w:t>period</w:t>
      </w:r>
      <w:r>
        <w:rPr>
          <w:i/>
          <w:spacing w:val="-45"/>
          <w:sz w:val="22"/>
        </w:rPr>
        <w:t> </w:t>
      </w:r>
      <w:r>
        <w:rPr>
          <w:i/>
          <w:sz w:val="22"/>
        </w:rPr>
        <w:t>of</w:t>
      </w:r>
      <w:r>
        <w:rPr>
          <w:i/>
          <w:spacing w:val="-44"/>
          <w:sz w:val="22"/>
        </w:rPr>
        <w:t> </w:t>
      </w:r>
      <w:r>
        <w:rPr>
          <w:i/>
          <w:sz w:val="22"/>
        </w:rPr>
        <w:t>limited </w:t>
      </w:r>
      <w:r>
        <w:rPr>
          <w:i/>
          <w:sz w:val="22"/>
        </w:rPr>
        <w:t>operations”</w:t>
      </w:r>
    </w:p>
    <w:p>
      <w:pPr>
        <w:pStyle w:val="BodyText"/>
        <w:spacing w:before="5"/>
        <w:rPr>
          <w:i/>
          <w:sz w:val="20"/>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397" w:id="776"/>
      <w:bookmarkEnd w:id="776"/>
      <w:r>
        <w:rPr/>
      </w:r>
      <w:bookmarkStart w:name="_bookmark397" w:id="777"/>
      <w:bookmarkEnd w:id="777"/>
      <w:r>
        <w:rPr>
          <w:color w:val="1F664D"/>
          <w:sz w:val="22"/>
        </w:rPr>
        <w:t>P</w:t>
      </w:r>
      <w:r>
        <w:rPr>
          <w:color w:val="1F664D"/>
          <w:sz w:val="22"/>
        </w:rPr>
        <w:t>lant</w:t>
      </w:r>
      <w:r>
        <w:rPr>
          <w:color w:val="1F664D"/>
          <w:spacing w:val="-2"/>
          <w:sz w:val="22"/>
        </w:rPr>
        <w:t> </w:t>
      </w:r>
      <w:r>
        <w:rPr>
          <w:color w:val="1F664D"/>
          <w:sz w:val="22"/>
        </w:rPr>
        <w:t>Details</w:t>
      </w:r>
    </w:p>
    <w:p>
      <w:pPr>
        <w:pStyle w:val="BodyText"/>
        <w:spacing w:line="321" w:lineRule="auto" w:before="208"/>
        <w:ind w:left="1220" w:right="683"/>
        <w:jc w:val="both"/>
      </w:pPr>
      <w:r>
        <w:rPr/>
        <w:t>Based</w:t>
      </w:r>
      <w:r>
        <w:rPr>
          <w:spacing w:val="-4"/>
        </w:rPr>
        <w:t> </w:t>
      </w:r>
      <w:r>
        <w:rPr/>
        <w:t>on</w:t>
      </w:r>
      <w:r>
        <w:rPr>
          <w:spacing w:val="-5"/>
        </w:rPr>
        <w:t> </w:t>
      </w:r>
      <w:r>
        <w:rPr/>
        <w:t>site</w:t>
      </w:r>
      <w:r>
        <w:rPr>
          <w:spacing w:val="-5"/>
        </w:rPr>
        <w:t> </w:t>
      </w:r>
      <w:r>
        <w:rPr/>
        <w:t>visit,</w:t>
      </w:r>
      <w:r>
        <w:rPr>
          <w:spacing w:val="-7"/>
        </w:rPr>
        <w:t> </w:t>
      </w:r>
      <w:r>
        <w:rPr/>
        <w:t>we</w:t>
      </w:r>
      <w:r>
        <w:rPr>
          <w:spacing w:val="-4"/>
        </w:rPr>
        <w:t> </w:t>
      </w:r>
      <w:r>
        <w:rPr/>
        <w:t>understand</w:t>
      </w:r>
      <w:r>
        <w:rPr>
          <w:spacing w:val="-4"/>
        </w:rPr>
        <w:t> </w:t>
      </w:r>
      <w:r>
        <w:rPr/>
        <w:t>that</w:t>
      </w:r>
      <w:r>
        <w:rPr>
          <w:spacing w:val="-3"/>
        </w:rPr>
        <w:t> </w:t>
      </w:r>
      <w:r>
        <w:rPr/>
        <w:t>the</w:t>
      </w:r>
      <w:r>
        <w:rPr>
          <w:spacing w:val="-5"/>
        </w:rPr>
        <w:t> </w:t>
      </w:r>
      <w:r>
        <w:rPr/>
        <w:t>solar</w:t>
      </w:r>
      <w:r>
        <w:rPr>
          <w:spacing w:val="-4"/>
        </w:rPr>
        <w:t> </w:t>
      </w:r>
      <w:r>
        <w:rPr/>
        <w:t>panels</w:t>
      </w:r>
      <w:r>
        <w:rPr>
          <w:spacing w:val="-4"/>
        </w:rPr>
        <w:t> </w:t>
      </w:r>
      <w:r>
        <w:rPr/>
        <w:t>being</w:t>
      </w:r>
      <w:r>
        <w:rPr>
          <w:spacing w:val="-4"/>
        </w:rPr>
        <w:t> </w:t>
      </w:r>
      <w:r>
        <w:rPr/>
        <w:t>used</w:t>
      </w:r>
      <w:r>
        <w:rPr>
          <w:spacing w:val="-4"/>
        </w:rPr>
        <w:t> </w:t>
      </w:r>
      <w:r>
        <w:rPr/>
        <w:t>in</w:t>
      </w:r>
      <w:r>
        <w:rPr>
          <w:spacing w:val="-5"/>
        </w:rPr>
        <w:t> </w:t>
      </w:r>
      <w:r>
        <w:rPr/>
        <w:t>the</w:t>
      </w:r>
      <w:r>
        <w:rPr>
          <w:spacing w:val="-4"/>
        </w:rPr>
        <w:t> </w:t>
      </w:r>
      <w:r>
        <w:rPr/>
        <w:t>project</w:t>
      </w:r>
      <w:r>
        <w:rPr>
          <w:spacing w:val="-4"/>
        </w:rPr>
        <w:t> </w:t>
      </w:r>
      <w:r>
        <w:rPr/>
        <w:t>are</w:t>
      </w:r>
      <w:r>
        <w:rPr>
          <w:spacing w:val="-5"/>
        </w:rPr>
        <w:t> </w:t>
      </w:r>
      <w:r>
        <w:rPr/>
        <w:t>fixed</w:t>
      </w:r>
      <w:r>
        <w:rPr>
          <w:spacing w:val="-3"/>
        </w:rPr>
        <w:t> </w:t>
      </w:r>
      <w:r>
        <w:rPr/>
        <w:t>axis</w:t>
      </w:r>
      <w:r>
        <w:rPr>
          <w:spacing w:val="-4"/>
        </w:rPr>
        <w:t> </w:t>
      </w:r>
      <w:r>
        <w:rPr/>
        <w:t>solar panels.</w:t>
      </w:r>
      <w:r>
        <w:rPr>
          <w:spacing w:val="-32"/>
        </w:rPr>
        <w:t> </w:t>
      </w:r>
      <w:r>
        <w:rPr/>
        <w:t>A</w:t>
      </w:r>
      <w:r>
        <w:rPr>
          <w:spacing w:val="-32"/>
        </w:rPr>
        <w:t> </w:t>
      </w:r>
      <w:r>
        <w:rPr/>
        <w:t>fixed</w:t>
      </w:r>
      <w:r>
        <w:rPr>
          <w:spacing w:val="-31"/>
        </w:rPr>
        <w:t> </w:t>
      </w:r>
      <w:r>
        <w:rPr/>
        <w:t>tilt</w:t>
      </w:r>
      <w:r>
        <w:rPr>
          <w:spacing w:val="-32"/>
        </w:rPr>
        <w:t> </w:t>
      </w:r>
      <w:r>
        <w:rPr/>
        <w:t>system</w:t>
      </w:r>
      <w:r>
        <w:rPr>
          <w:spacing w:val="-33"/>
        </w:rPr>
        <w:t> </w:t>
      </w:r>
      <w:r>
        <w:rPr/>
        <w:t>positions</w:t>
      </w:r>
      <w:r>
        <w:rPr>
          <w:spacing w:val="-31"/>
        </w:rPr>
        <w:t> </w:t>
      </w:r>
      <w:r>
        <w:rPr/>
        <w:t>the</w:t>
      </w:r>
      <w:r>
        <w:rPr>
          <w:spacing w:val="-32"/>
        </w:rPr>
        <w:t> </w:t>
      </w:r>
      <w:r>
        <w:rPr/>
        <w:t>modules</w:t>
      </w:r>
      <w:r>
        <w:rPr>
          <w:spacing w:val="-31"/>
        </w:rPr>
        <w:t> </w:t>
      </w:r>
      <w:r>
        <w:rPr/>
        <w:t>at</w:t>
      </w:r>
      <w:r>
        <w:rPr>
          <w:spacing w:val="-33"/>
        </w:rPr>
        <w:t> </w:t>
      </w:r>
      <w:r>
        <w:rPr/>
        <w:t>fixed</w:t>
      </w:r>
      <w:r>
        <w:rPr>
          <w:spacing w:val="-31"/>
        </w:rPr>
        <w:t> </w:t>
      </w:r>
      <w:r>
        <w:rPr/>
        <w:t>tilt</w:t>
      </w:r>
      <w:r>
        <w:rPr>
          <w:spacing w:val="-32"/>
        </w:rPr>
        <w:t> </w:t>
      </w:r>
      <w:r>
        <w:rPr/>
        <w:t>and</w:t>
      </w:r>
      <w:r>
        <w:rPr>
          <w:spacing w:val="-31"/>
        </w:rPr>
        <w:t> </w:t>
      </w:r>
      <w:r>
        <w:rPr/>
        <w:t>orientation.</w:t>
      </w:r>
      <w:r>
        <w:rPr>
          <w:spacing w:val="-31"/>
        </w:rPr>
        <w:t> </w:t>
      </w:r>
      <w:r>
        <w:rPr/>
        <w:t>The</w:t>
      </w:r>
      <w:r>
        <w:rPr>
          <w:spacing w:val="-33"/>
        </w:rPr>
        <w:t> </w:t>
      </w:r>
      <w:r>
        <w:rPr/>
        <w:t>key</w:t>
      </w:r>
      <w:r>
        <w:rPr>
          <w:spacing w:val="-31"/>
        </w:rPr>
        <w:t> </w:t>
      </w:r>
      <w:r>
        <w:rPr/>
        <w:t>details</w:t>
      </w:r>
      <w:r>
        <w:rPr>
          <w:spacing w:val="-31"/>
        </w:rPr>
        <w:t> </w:t>
      </w:r>
      <w:r>
        <w:rPr/>
        <w:t>of</w:t>
      </w:r>
      <w:r>
        <w:rPr>
          <w:spacing w:val="-32"/>
        </w:rPr>
        <w:t> </w:t>
      </w:r>
      <w:r>
        <w:rPr/>
        <w:t>the</w:t>
      </w:r>
      <w:r>
        <w:rPr>
          <w:spacing w:val="-32"/>
        </w:rPr>
        <w:t> </w:t>
      </w:r>
      <w:r>
        <w:rPr/>
        <w:t>plant have been tabulated</w:t>
      </w:r>
      <w:r>
        <w:rPr>
          <w:spacing w:val="-10"/>
        </w:rPr>
        <w:t> </w:t>
      </w:r>
      <w:r>
        <w:rPr/>
        <w:t>below:</w:t>
      </w:r>
    </w:p>
    <w:p>
      <w:pPr>
        <w:pStyle w:val="BodyText"/>
        <w:spacing w:before="1"/>
        <w:rPr>
          <w:sz w:val="17"/>
        </w:rPr>
      </w:pPr>
      <w:r>
        <w:rPr/>
        <w:pict>
          <v:group style="position:absolute;margin-left:35.279999pt;margin-top:11.918476pt;width:524.3pt;height:16.1pt;mso-position-horizontal-relative:page;mso-position-vertical-relative:paragraph;z-index:-14936576;mso-wrap-distance-left:0;mso-wrap-distance-right:0" coordorigin="706,238" coordsize="10486,322">
            <v:shape style="position:absolute;left:720;top:267;width:10472;height:279" coordorigin="720,267" coordsize="10472,279" path="m11191,267l5055,267,720,267,720,546,5055,546,11191,546,11191,267xe" filled="true" fillcolor="#006a4d" stroked="false">
              <v:path arrowok="t"/>
              <v:fill type="solid"/>
            </v:shape>
            <v:rect style="position:absolute;left:720;top:238;width:4336;height:29" filled="true" fillcolor="#1b6b22" stroked="false">
              <v:fill type="solid"/>
            </v:rect>
            <v:shape style="position:absolute;left:720;top:267;width:4365;height:3" coordorigin="720,267" coordsize="4365,3" path="m5084,267l5055,267,720,267,720,270,5055,270,5084,270,5084,267xe" filled="true" fillcolor="#006a4d" stroked="false">
              <v:path arrowok="t"/>
              <v:fill type="solid"/>
            </v:shape>
            <v:shape style="position:absolute;left:5055;top:238;width:6136;height:29" coordorigin="5055,238" coordsize="6136,29" path="m11191,238l5084,238,5055,238,5055,267,5084,267,11191,267,11191,238xe" filled="true" fillcolor="#1b6b22" stroked="false">
              <v:path arrowok="t"/>
              <v:fill type="solid"/>
            </v:shape>
            <v:rect style="position:absolute;left:5084;top:267;width:6107;height:3" filled="true" fillcolor="#006a4d" stroked="false">
              <v:fill type="solid"/>
            </v:rect>
            <v:shape style="position:absolute;left:720;top:545;width:10472;height:15" coordorigin="720,546" coordsize="10472,15" path="m11191,546l5070,546,5055,546,720,546,720,560,5055,560,5070,560,11191,560,11191,546xe" filled="true" fillcolor="#69bd28" stroked="false">
              <v:path arrowok="t"/>
              <v:fill type="solid"/>
            </v:shape>
            <v:shape style="position:absolute;left:705;top:267;width:10486;height:279" type="#_x0000_t202" filled="false" stroked="false">
              <v:textbox inset="0,0,0,0">
                <w:txbxContent>
                  <w:p>
                    <w:pPr>
                      <w:tabs>
                        <w:tab w:pos="7146" w:val="left" w:leader="none"/>
                      </w:tabs>
                      <w:spacing w:before="35"/>
                      <w:ind w:left="1738" w:right="0" w:firstLine="0"/>
                      <w:jc w:val="left"/>
                      <w:rPr>
                        <w:b/>
                        <w:sz w:val="18"/>
                      </w:rPr>
                    </w:pPr>
                    <w:r>
                      <w:rPr>
                        <w:b/>
                        <w:color w:val="FFFFFF"/>
                        <w:w w:val="105"/>
                        <w:sz w:val="18"/>
                      </w:rPr>
                      <w:t>Particular</w:t>
                      <w:tab/>
                      <w:t>Detail</w:t>
                    </w:r>
                  </w:p>
                </w:txbxContent>
              </v:textbox>
              <w10:wrap type="none"/>
            </v:shape>
            <w10:wrap type="topAndBottom"/>
          </v:group>
        </w:pict>
      </w:r>
    </w:p>
    <w:p>
      <w:pPr>
        <w:tabs>
          <w:tab w:pos="4529" w:val="left" w:leader="none"/>
        </w:tabs>
        <w:spacing w:before="3" w:after="35"/>
        <w:ind w:left="0" w:right="191" w:firstLine="0"/>
        <w:jc w:val="center"/>
        <w:rPr>
          <w:sz w:val="18"/>
        </w:rPr>
      </w:pPr>
      <w:r>
        <w:rPr>
          <w:sz w:val="18"/>
        </w:rPr>
        <w:t>Land</w:t>
      </w:r>
      <w:r>
        <w:rPr>
          <w:spacing w:val="-1"/>
          <w:sz w:val="18"/>
        </w:rPr>
        <w:t> </w:t>
      </w:r>
      <w:r>
        <w:rPr>
          <w:sz w:val="18"/>
        </w:rPr>
        <w:t>Area</w:t>
        <w:tab/>
        <w:t>Approximately 465.77</w:t>
      </w:r>
      <w:r>
        <w:rPr>
          <w:spacing w:val="-6"/>
          <w:sz w:val="18"/>
        </w:rPr>
        <w:t> </w:t>
      </w:r>
      <w:r>
        <w:rPr>
          <w:sz w:val="18"/>
        </w:rPr>
        <w:t>acres</w:t>
      </w:r>
    </w:p>
    <w:p>
      <w:pPr>
        <w:pStyle w:val="BodyText"/>
        <w:spacing w:line="20" w:lineRule="exact"/>
        <w:ind w:left="680"/>
        <w:rPr>
          <w:sz w:val="2"/>
        </w:rPr>
      </w:pPr>
      <w:r>
        <w:rPr>
          <w:sz w:val="2"/>
        </w:rPr>
        <w:pict>
          <v:group style="width:523.6pt;height:.75pt;mso-position-horizontal-relative:char;mso-position-vertical-relative:line" coordorigin="0,0" coordsize="10472,15">
            <v:shape style="position:absolute;left:0;top:0;width:10472;height:15" coordorigin="0,0" coordsize="10472,15" path="m10471,0l4350,0,4335,0,0,0,0,14,4335,14,4350,14,10471,14,10471,0xe" filled="true" fillcolor="#69bd28" stroked="false">
              <v:path arrowok="t"/>
              <v:fill type="solid"/>
            </v:shape>
          </v:group>
        </w:pict>
      </w:r>
      <w:r>
        <w:rPr>
          <w:sz w:val="2"/>
        </w:rPr>
      </w:r>
    </w:p>
    <w:p>
      <w:pPr>
        <w:tabs>
          <w:tab w:pos="7012" w:val="left" w:leader="none"/>
        </w:tabs>
        <w:spacing w:before="29"/>
        <w:ind w:left="2132" w:right="0" w:firstLine="0"/>
        <w:jc w:val="left"/>
        <w:rPr>
          <w:sz w:val="18"/>
        </w:rPr>
      </w:pPr>
      <w:r>
        <w:rPr/>
        <w:pict>
          <v:shape style="position:absolute;margin-left:36pt;margin-top:13.620663pt;width:523.6pt;height:.75pt;mso-position-horizontal-relative:page;mso-position-vertical-relative:paragraph;z-index:-14935552;mso-wrap-distance-left:0;mso-wrap-distance-right:0" coordorigin="720,272" coordsize="10472,15" path="m11191,272l5070,272,5055,272,720,272,720,287,5055,287,5070,287,11191,287,11191,272xe" filled="true" fillcolor="#69bd28" stroked="false">
            <v:path arrowok="t"/>
            <v:fill type="solid"/>
            <w10:wrap type="topAndBottom"/>
          </v:shape>
        </w:pict>
      </w:r>
      <w:r>
        <w:rPr>
          <w:sz w:val="18"/>
        </w:rPr>
        <w:t>Capacity</w:t>
      </w:r>
      <w:r>
        <w:rPr>
          <w:spacing w:val="-10"/>
          <w:sz w:val="18"/>
        </w:rPr>
        <w:t> </w:t>
      </w:r>
      <w:r>
        <w:rPr>
          <w:sz w:val="18"/>
        </w:rPr>
        <w:t>(MW)</w:t>
      </w:r>
      <w:r>
        <w:rPr>
          <w:spacing w:val="-11"/>
          <w:sz w:val="18"/>
        </w:rPr>
        <w:t> </w:t>
      </w:r>
      <w:r>
        <w:rPr>
          <w:sz w:val="18"/>
        </w:rPr>
        <w:t>(A)</w:t>
        <w:tab/>
        <w:t>130 MW DC (100 MW</w:t>
      </w:r>
      <w:r>
        <w:rPr>
          <w:spacing w:val="7"/>
          <w:sz w:val="18"/>
        </w:rPr>
        <w:t> </w:t>
      </w:r>
      <w:r>
        <w:rPr>
          <w:sz w:val="18"/>
        </w:rPr>
        <w:t>AC)</w:t>
      </w:r>
    </w:p>
    <w:p>
      <w:pPr>
        <w:tabs>
          <w:tab w:pos="7831" w:val="left" w:leader="none"/>
        </w:tabs>
        <w:spacing w:before="6"/>
        <w:ind w:left="1887" w:right="0" w:firstLine="0"/>
        <w:jc w:val="left"/>
        <w:rPr>
          <w:sz w:val="18"/>
        </w:rPr>
      </w:pPr>
      <w:r>
        <w:rPr>
          <w:sz w:val="18"/>
        </w:rPr>
        <w:t>Plant</w:t>
      </w:r>
      <w:r>
        <w:rPr>
          <w:spacing w:val="-19"/>
          <w:sz w:val="18"/>
        </w:rPr>
        <w:t> </w:t>
      </w:r>
      <w:r>
        <w:rPr>
          <w:sz w:val="18"/>
        </w:rPr>
        <w:t>Load</w:t>
      </w:r>
      <w:r>
        <w:rPr>
          <w:spacing w:val="-18"/>
          <w:sz w:val="18"/>
        </w:rPr>
        <w:t> </w:t>
      </w:r>
      <w:r>
        <w:rPr>
          <w:sz w:val="18"/>
        </w:rPr>
        <w:t>Factor</w:t>
      </w:r>
      <w:r>
        <w:rPr>
          <w:spacing w:val="-17"/>
          <w:sz w:val="18"/>
        </w:rPr>
        <w:t> </w:t>
      </w:r>
      <w:r>
        <w:rPr>
          <w:sz w:val="18"/>
        </w:rPr>
        <w:t>(%)</w:t>
      </w:r>
      <w:r>
        <w:rPr>
          <w:spacing w:val="-17"/>
          <w:sz w:val="18"/>
        </w:rPr>
        <w:t> </w:t>
      </w:r>
      <w:r>
        <w:rPr>
          <w:sz w:val="18"/>
        </w:rPr>
        <w:t>(B)</w:t>
        <w:tab/>
        <w:t>18.9%</w:t>
      </w:r>
    </w:p>
    <w:p>
      <w:pPr>
        <w:tabs>
          <w:tab w:pos="8189" w:val="right" w:leader="none"/>
        </w:tabs>
        <w:spacing w:before="82"/>
        <w:ind w:left="1683" w:right="0" w:firstLine="0"/>
        <w:jc w:val="left"/>
        <w:rPr>
          <w:sz w:val="18"/>
        </w:rPr>
      </w:pPr>
      <w:r>
        <w:rPr/>
        <w:pict>
          <v:shape style="position:absolute;margin-left:36pt;margin-top:1.720677pt;width:523.6pt;height:.75pt;mso-position-horizontal-relative:page;mso-position-vertical-relative:paragraph;z-index:16523264" coordorigin="720,34" coordsize="10472,15" path="m11191,34l5070,34,5055,34,720,34,720,49,5055,49,5070,49,11191,49,11191,34xe" filled="true" fillcolor="#69bd28" stroked="false">
            <v:path arrowok="t"/>
            <v:fill type="solid"/>
            <w10:wrap type="none"/>
          </v:shape>
        </w:pict>
      </w:r>
      <w:r>
        <w:rPr/>
        <w:pict>
          <v:shape style="position:absolute;margin-left:36pt;margin-top:16.271677pt;width:523.6pt;height:.75pt;mso-position-horizontal-relative:page;mso-position-vertical-relative:paragraph;z-index:16523776" coordorigin="720,325" coordsize="10472,15" path="m11191,325l5070,325,5055,325,720,325,720,340,5055,340,5070,340,11191,340,11191,325xe" filled="true" fillcolor="#69bd28" stroked="false">
            <v:path arrowok="t"/>
            <v:fill type="solid"/>
            <w10:wrap type="none"/>
          </v:shape>
        </w:pict>
      </w:r>
      <w:r>
        <w:rPr>
          <w:sz w:val="18"/>
        </w:rPr>
        <w:t>Number of hours in a</w:t>
      </w:r>
      <w:r>
        <w:rPr>
          <w:spacing w:val="-6"/>
          <w:sz w:val="18"/>
        </w:rPr>
        <w:t> </w:t>
      </w:r>
      <w:r>
        <w:rPr>
          <w:sz w:val="18"/>
        </w:rPr>
        <w:t>day</w:t>
      </w:r>
      <w:r>
        <w:rPr>
          <w:spacing w:val="-2"/>
          <w:sz w:val="18"/>
        </w:rPr>
        <w:t> </w:t>
      </w:r>
      <w:r>
        <w:rPr>
          <w:sz w:val="18"/>
        </w:rPr>
        <w:t>(C)</w:t>
        <w:tab/>
        <w:t>24</w:t>
      </w:r>
    </w:p>
    <w:p>
      <w:pPr>
        <w:tabs>
          <w:tab w:pos="8239" w:val="right" w:leader="none"/>
        </w:tabs>
        <w:spacing w:before="83"/>
        <w:ind w:left="2139" w:right="0" w:firstLine="0"/>
        <w:jc w:val="left"/>
        <w:rPr>
          <w:sz w:val="18"/>
        </w:rPr>
      </w:pPr>
      <w:r>
        <w:rPr/>
        <w:pict>
          <v:shape style="position:absolute;margin-left:36pt;margin-top:16.321678pt;width:523.6pt;height:.75pt;mso-position-horizontal-relative:page;mso-position-vertical-relative:paragraph;z-index:-14935040;mso-wrap-distance-left:0;mso-wrap-distance-right:0" coordorigin="720,326" coordsize="10472,15" path="m11191,326l5070,326,5055,326,720,326,720,341,5055,341,5070,341,11191,341,11191,326xe" filled="true" fillcolor="#69bd28" stroked="false">
            <v:path arrowok="t"/>
            <v:fill type="solid"/>
            <w10:wrap type="topAndBottom"/>
          </v:shape>
        </w:pict>
      </w:r>
      <w:r>
        <w:rPr>
          <w:sz w:val="18"/>
        </w:rPr>
        <w:t>Days in a</w:t>
      </w:r>
      <w:r>
        <w:rPr>
          <w:spacing w:val="-3"/>
          <w:sz w:val="18"/>
        </w:rPr>
        <w:t> </w:t>
      </w:r>
      <w:r>
        <w:rPr>
          <w:sz w:val="18"/>
        </w:rPr>
        <w:t>year</w:t>
      </w:r>
      <w:r>
        <w:rPr>
          <w:spacing w:val="-2"/>
          <w:sz w:val="18"/>
        </w:rPr>
        <w:t> </w:t>
      </w:r>
      <w:r>
        <w:rPr>
          <w:sz w:val="18"/>
        </w:rPr>
        <w:t>(D)</w:t>
        <w:tab/>
        <w:t>365</w:t>
      </w:r>
    </w:p>
    <w:p>
      <w:pPr>
        <w:tabs>
          <w:tab w:pos="6450" w:val="left" w:leader="none"/>
        </w:tabs>
        <w:spacing w:before="6" w:after="34"/>
        <w:ind w:left="862" w:right="0" w:firstLine="0"/>
        <w:jc w:val="left"/>
        <w:rPr>
          <w:sz w:val="18"/>
        </w:rPr>
      </w:pPr>
      <w:r>
        <w:rPr>
          <w:sz w:val="18"/>
        </w:rPr>
        <w:t>Total units generated (kWH) (A * B * C * D)</w:t>
      </w:r>
      <w:r>
        <w:rPr>
          <w:spacing w:val="-27"/>
          <w:sz w:val="18"/>
        </w:rPr>
        <w:t> </w:t>
      </w:r>
      <w:r>
        <w:rPr>
          <w:sz w:val="18"/>
        </w:rPr>
        <w:t>*</w:t>
      </w:r>
      <w:r>
        <w:rPr>
          <w:spacing w:val="-2"/>
          <w:sz w:val="18"/>
        </w:rPr>
        <w:t> </w:t>
      </w:r>
      <w:r>
        <w:rPr>
          <w:sz w:val="18"/>
        </w:rPr>
        <w:t>1000</w:t>
        <w:tab/>
        <w:t>215 Million Units (MU)* in kWH in Year</w:t>
      </w:r>
      <w:r>
        <w:rPr>
          <w:spacing w:val="-8"/>
          <w:sz w:val="18"/>
        </w:rPr>
        <w:t> </w:t>
      </w:r>
      <w:r>
        <w:rPr>
          <w:sz w:val="18"/>
        </w:rPr>
        <w:t>1</w:t>
      </w:r>
    </w:p>
    <w:p>
      <w:pPr>
        <w:pStyle w:val="BodyText"/>
        <w:spacing w:line="20" w:lineRule="exact"/>
        <w:ind w:left="665"/>
        <w:rPr>
          <w:sz w:val="2"/>
        </w:rPr>
      </w:pPr>
      <w:r>
        <w:rPr>
          <w:sz w:val="2"/>
        </w:rPr>
        <w:pict>
          <v:group style="width:524.3pt;height:.75pt;mso-position-horizontal-relative:char;mso-position-vertical-relative:line" coordorigin="0,0" coordsize="10486,15">
            <v:shape style="position:absolute;left:0;top:0;width:10486;height:15" coordorigin="0,0" coordsize="10486,15" path="m10486,0l4350,0,4335,0,0,0,0,14,4335,14,4350,14,10486,14,10486,0xe" filled="true" fillcolor="#69bd28" stroked="false">
              <v:path arrowok="t"/>
              <v:fill type="solid"/>
            </v:shape>
          </v:group>
        </w:pict>
      </w:r>
      <w:r>
        <w:rPr>
          <w:sz w:val="2"/>
        </w:rPr>
      </w:r>
    </w:p>
    <w:p>
      <w:pPr>
        <w:spacing w:line="247" w:lineRule="auto" w:before="0"/>
        <w:ind w:left="680" w:right="607" w:firstLine="0"/>
        <w:jc w:val="left"/>
        <w:rPr>
          <w:i/>
          <w:sz w:val="18"/>
        </w:rPr>
      </w:pPr>
      <w:r>
        <w:rPr>
          <w:i/>
          <w:w w:val="95"/>
          <w:sz w:val="18"/>
        </w:rPr>
        <w:t>Source:</w:t>
      </w:r>
      <w:r>
        <w:rPr>
          <w:i/>
          <w:spacing w:val="-15"/>
          <w:w w:val="95"/>
          <w:sz w:val="18"/>
        </w:rPr>
        <w:t> </w:t>
      </w:r>
      <w:r>
        <w:rPr>
          <w:i/>
          <w:w w:val="95"/>
          <w:sz w:val="18"/>
        </w:rPr>
        <w:t>Client</w:t>
      </w:r>
      <w:r>
        <w:rPr>
          <w:i/>
          <w:spacing w:val="-14"/>
          <w:w w:val="95"/>
          <w:sz w:val="18"/>
        </w:rPr>
        <w:t> </w:t>
      </w:r>
      <w:r>
        <w:rPr>
          <w:i/>
          <w:w w:val="95"/>
          <w:sz w:val="18"/>
        </w:rPr>
        <w:t>Inputs;</w:t>
      </w:r>
      <w:r>
        <w:rPr>
          <w:i/>
          <w:spacing w:val="-16"/>
          <w:w w:val="95"/>
          <w:sz w:val="18"/>
        </w:rPr>
        <w:t> </w:t>
      </w:r>
      <w:r>
        <w:rPr>
          <w:i/>
          <w:w w:val="95"/>
          <w:sz w:val="18"/>
        </w:rPr>
        <w:t>*Subject</w:t>
      </w:r>
      <w:r>
        <w:rPr>
          <w:i/>
          <w:spacing w:val="-15"/>
          <w:w w:val="95"/>
          <w:sz w:val="18"/>
        </w:rPr>
        <w:t> </w:t>
      </w:r>
      <w:r>
        <w:rPr>
          <w:i/>
          <w:w w:val="95"/>
          <w:sz w:val="18"/>
        </w:rPr>
        <w:t>to</w:t>
      </w:r>
      <w:r>
        <w:rPr>
          <w:i/>
          <w:spacing w:val="-15"/>
          <w:w w:val="95"/>
          <w:sz w:val="18"/>
        </w:rPr>
        <w:t> </w:t>
      </w:r>
      <w:r>
        <w:rPr>
          <w:i/>
          <w:w w:val="95"/>
          <w:sz w:val="18"/>
        </w:rPr>
        <w:t>plant</w:t>
      </w:r>
      <w:r>
        <w:rPr>
          <w:i/>
          <w:spacing w:val="-14"/>
          <w:w w:val="95"/>
          <w:sz w:val="18"/>
        </w:rPr>
        <w:t> </w:t>
      </w:r>
      <w:r>
        <w:rPr>
          <w:i/>
          <w:w w:val="95"/>
          <w:sz w:val="18"/>
        </w:rPr>
        <w:t>stabilization,</w:t>
      </w:r>
      <w:r>
        <w:rPr>
          <w:i/>
          <w:spacing w:val="-16"/>
          <w:w w:val="95"/>
          <w:sz w:val="18"/>
        </w:rPr>
        <w:t> </w:t>
      </w:r>
      <w:r>
        <w:rPr>
          <w:i/>
          <w:w w:val="95"/>
          <w:sz w:val="18"/>
        </w:rPr>
        <w:t>however,</w:t>
      </w:r>
      <w:r>
        <w:rPr>
          <w:i/>
          <w:spacing w:val="-15"/>
          <w:w w:val="95"/>
          <w:sz w:val="18"/>
        </w:rPr>
        <w:t> </w:t>
      </w:r>
      <w:r>
        <w:rPr>
          <w:i/>
          <w:w w:val="95"/>
          <w:sz w:val="18"/>
        </w:rPr>
        <w:t>considering</w:t>
      </w:r>
      <w:r>
        <w:rPr>
          <w:i/>
          <w:spacing w:val="-15"/>
          <w:w w:val="95"/>
          <w:sz w:val="18"/>
        </w:rPr>
        <w:t> </w:t>
      </w:r>
      <w:r>
        <w:rPr>
          <w:i/>
          <w:w w:val="95"/>
          <w:sz w:val="18"/>
        </w:rPr>
        <w:t>the</w:t>
      </w:r>
      <w:r>
        <w:rPr>
          <w:i/>
          <w:spacing w:val="-16"/>
          <w:w w:val="95"/>
          <w:sz w:val="18"/>
        </w:rPr>
        <w:t> </w:t>
      </w:r>
      <w:r>
        <w:rPr>
          <w:i/>
          <w:w w:val="95"/>
          <w:sz w:val="18"/>
        </w:rPr>
        <w:t>past</w:t>
      </w:r>
      <w:r>
        <w:rPr>
          <w:i/>
          <w:spacing w:val="-15"/>
          <w:w w:val="95"/>
          <w:sz w:val="18"/>
        </w:rPr>
        <w:t> </w:t>
      </w:r>
      <w:r>
        <w:rPr>
          <w:i/>
          <w:w w:val="95"/>
          <w:sz w:val="18"/>
        </w:rPr>
        <w:t>performance</w:t>
      </w:r>
      <w:r>
        <w:rPr>
          <w:i/>
          <w:spacing w:val="-14"/>
          <w:w w:val="95"/>
          <w:sz w:val="18"/>
        </w:rPr>
        <w:t> </w:t>
      </w:r>
      <w:r>
        <w:rPr>
          <w:i/>
          <w:w w:val="95"/>
          <w:sz w:val="18"/>
        </w:rPr>
        <w:t>of</w:t>
      </w:r>
      <w:r>
        <w:rPr>
          <w:i/>
          <w:spacing w:val="-15"/>
          <w:w w:val="95"/>
          <w:sz w:val="18"/>
        </w:rPr>
        <w:t> </w:t>
      </w:r>
      <w:r>
        <w:rPr>
          <w:i/>
          <w:w w:val="95"/>
          <w:sz w:val="18"/>
        </w:rPr>
        <w:t>the</w:t>
      </w:r>
      <w:r>
        <w:rPr>
          <w:i/>
          <w:spacing w:val="-17"/>
          <w:w w:val="95"/>
          <w:sz w:val="18"/>
        </w:rPr>
        <w:t> </w:t>
      </w:r>
      <w:r>
        <w:rPr>
          <w:i/>
          <w:w w:val="95"/>
          <w:sz w:val="18"/>
        </w:rPr>
        <w:t>subject</w:t>
      </w:r>
      <w:r>
        <w:rPr>
          <w:i/>
          <w:spacing w:val="-15"/>
          <w:w w:val="95"/>
          <w:sz w:val="18"/>
        </w:rPr>
        <w:t> </w:t>
      </w:r>
      <w:r>
        <w:rPr>
          <w:i/>
          <w:w w:val="95"/>
          <w:sz w:val="18"/>
        </w:rPr>
        <w:t>plant,</w:t>
      </w:r>
      <w:r>
        <w:rPr>
          <w:i/>
          <w:spacing w:val="-15"/>
          <w:w w:val="95"/>
          <w:sz w:val="18"/>
        </w:rPr>
        <w:t> </w:t>
      </w:r>
      <w:r>
        <w:rPr>
          <w:i/>
          <w:w w:val="95"/>
          <w:sz w:val="18"/>
        </w:rPr>
        <w:t>the</w:t>
      </w:r>
      <w:r>
        <w:rPr>
          <w:i/>
          <w:spacing w:val="-14"/>
          <w:w w:val="95"/>
          <w:sz w:val="18"/>
        </w:rPr>
        <w:t> </w:t>
      </w:r>
      <w:r>
        <w:rPr>
          <w:i/>
          <w:w w:val="95"/>
          <w:sz w:val="18"/>
        </w:rPr>
        <w:t>maximum </w:t>
      </w:r>
      <w:r>
        <w:rPr>
          <w:i/>
          <w:sz w:val="18"/>
        </w:rPr>
        <w:t>generation</w:t>
      </w:r>
      <w:r>
        <w:rPr>
          <w:i/>
          <w:spacing w:val="-5"/>
          <w:sz w:val="18"/>
        </w:rPr>
        <w:t> </w:t>
      </w:r>
      <w:r>
        <w:rPr>
          <w:i/>
          <w:sz w:val="18"/>
        </w:rPr>
        <w:t>has</w:t>
      </w:r>
      <w:r>
        <w:rPr>
          <w:i/>
          <w:spacing w:val="-6"/>
          <w:sz w:val="18"/>
        </w:rPr>
        <w:t> </w:t>
      </w:r>
      <w:r>
        <w:rPr>
          <w:i/>
          <w:sz w:val="18"/>
        </w:rPr>
        <w:t>been</w:t>
      </w:r>
      <w:r>
        <w:rPr>
          <w:i/>
          <w:spacing w:val="-4"/>
          <w:sz w:val="18"/>
        </w:rPr>
        <w:t> </w:t>
      </w:r>
      <w:r>
        <w:rPr>
          <w:i/>
          <w:sz w:val="18"/>
        </w:rPr>
        <w:t>capped</w:t>
      </w:r>
      <w:r>
        <w:rPr>
          <w:i/>
          <w:spacing w:val="-4"/>
          <w:sz w:val="18"/>
        </w:rPr>
        <w:t> </w:t>
      </w:r>
      <w:r>
        <w:rPr>
          <w:i/>
          <w:sz w:val="18"/>
        </w:rPr>
        <w:t>at</w:t>
      </w:r>
      <w:r>
        <w:rPr>
          <w:i/>
          <w:spacing w:val="-6"/>
          <w:sz w:val="18"/>
        </w:rPr>
        <w:t> </w:t>
      </w:r>
      <w:r>
        <w:rPr>
          <w:i/>
          <w:sz w:val="18"/>
        </w:rPr>
        <w:t>approx.</w:t>
      </w:r>
      <w:r>
        <w:rPr>
          <w:i/>
          <w:spacing w:val="-2"/>
          <w:sz w:val="18"/>
        </w:rPr>
        <w:t> </w:t>
      </w:r>
      <w:r>
        <w:rPr>
          <w:i/>
          <w:sz w:val="18"/>
        </w:rPr>
        <w:t>200</w:t>
      </w:r>
      <w:r>
        <w:rPr>
          <w:i/>
          <w:spacing w:val="-5"/>
          <w:sz w:val="18"/>
        </w:rPr>
        <w:t> </w:t>
      </w:r>
      <w:r>
        <w:rPr>
          <w:i/>
          <w:sz w:val="18"/>
        </w:rPr>
        <w:t>Million</w:t>
      </w:r>
      <w:r>
        <w:rPr>
          <w:i/>
          <w:spacing w:val="-4"/>
          <w:sz w:val="18"/>
        </w:rPr>
        <w:t> </w:t>
      </w:r>
      <w:r>
        <w:rPr>
          <w:i/>
          <w:sz w:val="18"/>
        </w:rPr>
        <w:t>Units</w:t>
      </w:r>
      <w:r>
        <w:rPr>
          <w:i/>
          <w:spacing w:val="-4"/>
          <w:sz w:val="18"/>
        </w:rPr>
        <w:t> </w:t>
      </w:r>
      <w:r>
        <w:rPr>
          <w:i/>
          <w:sz w:val="18"/>
        </w:rPr>
        <w:t>(MU)</w:t>
      </w:r>
      <w:r>
        <w:rPr>
          <w:i/>
          <w:spacing w:val="-4"/>
          <w:sz w:val="18"/>
        </w:rPr>
        <w:t> </w:t>
      </w:r>
      <w:r>
        <w:rPr>
          <w:i/>
          <w:sz w:val="18"/>
        </w:rPr>
        <w:t>for</w:t>
      </w:r>
      <w:r>
        <w:rPr>
          <w:i/>
          <w:spacing w:val="-5"/>
          <w:sz w:val="18"/>
        </w:rPr>
        <w:t> </w:t>
      </w:r>
      <w:r>
        <w:rPr>
          <w:i/>
          <w:sz w:val="18"/>
        </w:rPr>
        <w:t>any</w:t>
      </w:r>
      <w:r>
        <w:rPr>
          <w:i/>
          <w:spacing w:val="-7"/>
          <w:sz w:val="18"/>
        </w:rPr>
        <w:t> </w:t>
      </w:r>
      <w:r>
        <w:rPr>
          <w:i/>
          <w:sz w:val="18"/>
        </w:rPr>
        <w:t>given</w:t>
      </w:r>
      <w:r>
        <w:rPr>
          <w:i/>
          <w:spacing w:val="-3"/>
          <w:sz w:val="18"/>
        </w:rPr>
        <w:t> </w:t>
      </w:r>
      <w:r>
        <w:rPr>
          <w:i/>
          <w:sz w:val="18"/>
        </w:rPr>
        <w:t>year</w:t>
      </w:r>
    </w:p>
    <w:p>
      <w:pPr>
        <w:pStyle w:val="BodyText"/>
        <w:spacing w:before="10"/>
        <w:rPr>
          <w:i/>
          <w:sz w:val="20"/>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398" w:id="778"/>
      <w:bookmarkEnd w:id="778"/>
      <w:r>
        <w:rPr/>
      </w:r>
      <w:bookmarkStart w:name="_bookmark398" w:id="779"/>
      <w:bookmarkEnd w:id="779"/>
      <w:r>
        <w:rPr>
          <w:color w:val="1F664D"/>
          <w:sz w:val="22"/>
        </w:rPr>
        <w:t>De</w:t>
      </w:r>
      <w:r>
        <w:rPr>
          <w:color w:val="1F664D"/>
          <w:sz w:val="22"/>
        </w:rPr>
        <w:t>velopment</w:t>
      </w:r>
      <w:r>
        <w:rPr>
          <w:color w:val="1F664D"/>
          <w:spacing w:val="1"/>
          <w:sz w:val="22"/>
        </w:rPr>
        <w:t> </w:t>
      </w:r>
      <w:r>
        <w:rPr>
          <w:color w:val="1F664D"/>
          <w:sz w:val="22"/>
        </w:rPr>
        <w:t>Timelines</w:t>
      </w:r>
    </w:p>
    <w:p>
      <w:pPr>
        <w:pStyle w:val="BodyText"/>
        <w:rPr>
          <w:sz w:val="28"/>
        </w:rPr>
      </w:pPr>
    </w:p>
    <w:p>
      <w:pPr>
        <w:pStyle w:val="BodyText"/>
        <w:spacing w:line="372" w:lineRule="auto"/>
        <w:ind w:left="1220" w:right="607"/>
      </w:pPr>
      <w:r>
        <w:rPr/>
        <w:t>Based on commissioning certificates provided by the Client, it is understood that the subject plant is operational as on date of valuation.</w:t>
      </w:r>
    </w:p>
    <w:p>
      <w:pPr>
        <w:spacing w:after="0" w:line="372" w:lineRule="auto"/>
        <w:sectPr>
          <w:pgSz w:w="11910" w:h="16840"/>
          <w:pgMar w:header="720" w:footer="862" w:top="1660" w:bottom="1060" w:left="40" w:right="40"/>
        </w:sectPr>
      </w:pPr>
    </w:p>
    <w:p>
      <w:pPr>
        <w:pStyle w:val="BodyText"/>
        <w:spacing w:before="7"/>
        <w:rPr>
          <w:sz w:val="9"/>
        </w:rPr>
      </w:pPr>
    </w:p>
    <w:p>
      <w:pPr>
        <w:pStyle w:val="ListParagraph"/>
        <w:numPr>
          <w:ilvl w:val="2"/>
          <w:numId w:val="93"/>
        </w:numPr>
        <w:tabs>
          <w:tab w:pos="1401" w:val="left" w:leader="none"/>
        </w:tabs>
        <w:spacing w:line="240" w:lineRule="auto" w:before="106" w:after="0"/>
        <w:ind w:left="1400" w:right="0" w:hanging="721"/>
        <w:jc w:val="left"/>
        <w:rPr>
          <w:sz w:val="22"/>
        </w:rPr>
      </w:pPr>
      <w:bookmarkStart w:name="_bookmark399" w:id="780"/>
      <w:bookmarkEnd w:id="780"/>
      <w:r>
        <w:rPr/>
      </w:r>
      <w:bookmarkStart w:name="_bookmark399" w:id="781"/>
      <w:bookmarkEnd w:id="781"/>
      <w:r>
        <w:rPr>
          <w:color w:val="1F664D"/>
          <w:sz w:val="22"/>
        </w:rPr>
        <w:t>Elect</w:t>
      </w:r>
      <w:r>
        <w:rPr>
          <w:color w:val="1F664D"/>
          <w:sz w:val="22"/>
        </w:rPr>
        <w:t>ricity</w:t>
      </w:r>
      <w:r>
        <w:rPr>
          <w:color w:val="1F664D"/>
          <w:spacing w:val="-1"/>
          <w:sz w:val="22"/>
        </w:rPr>
        <w:t> </w:t>
      </w:r>
      <w:r>
        <w:rPr>
          <w:color w:val="1F664D"/>
          <w:sz w:val="22"/>
        </w:rPr>
        <w:t>Consumption</w:t>
      </w:r>
    </w:p>
    <w:p>
      <w:pPr>
        <w:pStyle w:val="BodyText"/>
        <w:spacing w:before="3"/>
        <w:rPr>
          <w:sz w:val="28"/>
        </w:rPr>
      </w:pPr>
    </w:p>
    <w:p>
      <w:pPr>
        <w:pStyle w:val="BodyText"/>
        <w:spacing w:line="372" w:lineRule="auto"/>
        <w:ind w:left="1220" w:right="676"/>
        <w:jc w:val="both"/>
      </w:pPr>
      <w:r>
        <w:rPr/>
        <w:t>As</w:t>
      </w:r>
      <w:r>
        <w:rPr>
          <w:spacing w:val="-29"/>
        </w:rPr>
        <w:t> </w:t>
      </w:r>
      <w:r>
        <w:rPr/>
        <w:t>highlighted</w:t>
      </w:r>
      <w:r>
        <w:rPr>
          <w:spacing w:val="-28"/>
        </w:rPr>
        <w:t> </w:t>
      </w:r>
      <w:r>
        <w:rPr/>
        <w:t>earlier,</w:t>
      </w:r>
      <w:r>
        <w:rPr>
          <w:spacing w:val="-28"/>
        </w:rPr>
        <w:t> </w:t>
      </w:r>
      <w:r>
        <w:rPr/>
        <w:t>the</w:t>
      </w:r>
      <w:r>
        <w:rPr>
          <w:spacing w:val="-29"/>
        </w:rPr>
        <w:t> </w:t>
      </w:r>
      <w:r>
        <w:rPr/>
        <w:t>solar</w:t>
      </w:r>
      <w:r>
        <w:rPr>
          <w:spacing w:val="-30"/>
        </w:rPr>
        <w:t> </w:t>
      </w:r>
      <w:r>
        <w:rPr/>
        <w:t>plant</w:t>
      </w:r>
      <w:r>
        <w:rPr>
          <w:spacing w:val="-28"/>
        </w:rPr>
        <w:t> </w:t>
      </w:r>
      <w:r>
        <w:rPr/>
        <w:t>supplies</w:t>
      </w:r>
      <w:r>
        <w:rPr>
          <w:spacing w:val="-28"/>
        </w:rPr>
        <w:t> </w:t>
      </w:r>
      <w:r>
        <w:rPr/>
        <w:t>electricity</w:t>
      </w:r>
      <w:r>
        <w:rPr>
          <w:spacing w:val="-28"/>
        </w:rPr>
        <w:t> </w:t>
      </w:r>
      <w:r>
        <w:rPr/>
        <w:t>to</w:t>
      </w:r>
      <w:r>
        <w:rPr>
          <w:spacing w:val="-29"/>
        </w:rPr>
        <w:t> </w:t>
      </w:r>
      <w:r>
        <w:rPr/>
        <w:t>the</w:t>
      </w:r>
      <w:r>
        <w:rPr>
          <w:spacing w:val="-29"/>
        </w:rPr>
        <w:t> </w:t>
      </w:r>
      <w:r>
        <w:rPr/>
        <w:t>existing</w:t>
      </w:r>
      <w:r>
        <w:rPr>
          <w:spacing w:val="-28"/>
        </w:rPr>
        <w:t> </w:t>
      </w:r>
      <w:r>
        <w:rPr/>
        <w:t>office</w:t>
      </w:r>
      <w:r>
        <w:rPr>
          <w:spacing w:val="-29"/>
        </w:rPr>
        <w:t> </w:t>
      </w:r>
      <w:r>
        <w:rPr/>
        <w:t>parks</w:t>
      </w:r>
      <w:r>
        <w:rPr>
          <w:spacing w:val="-28"/>
        </w:rPr>
        <w:t> </w:t>
      </w:r>
      <w:r>
        <w:rPr/>
        <w:t>/</w:t>
      </w:r>
      <w:r>
        <w:rPr>
          <w:spacing w:val="-30"/>
        </w:rPr>
        <w:t> </w:t>
      </w:r>
      <w:r>
        <w:rPr/>
        <w:t>hotels</w:t>
      </w:r>
      <w:r>
        <w:rPr>
          <w:spacing w:val="-28"/>
        </w:rPr>
        <w:t> </w:t>
      </w:r>
      <w:r>
        <w:rPr/>
        <w:t>of</w:t>
      </w:r>
      <w:r>
        <w:rPr>
          <w:spacing w:val="-28"/>
        </w:rPr>
        <w:t> </w:t>
      </w:r>
      <w:r>
        <w:rPr/>
        <w:t>Embassy in Bengaluru. In lieu of the same, it is understood that EEPL has signed power purchase agreements (PPAs)</w:t>
      </w:r>
      <w:r>
        <w:rPr>
          <w:spacing w:val="-29"/>
        </w:rPr>
        <w:t> </w:t>
      </w:r>
      <w:r>
        <w:rPr/>
        <w:t>for</w:t>
      </w:r>
      <w:r>
        <w:rPr>
          <w:spacing w:val="-27"/>
        </w:rPr>
        <w:t> </w:t>
      </w:r>
      <w:r>
        <w:rPr/>
        <w:t>25</w:t>
      </w:r>
      <w:r>
        <w:rPr>
          <w:spacing w:val="-28"/>
        </w:rPr>
        <w:t> </w:t>
      </w:r>
      <w:r>
        <w:rPr/>
        <w:t>years</w:t>
      </w:r>
      <w:r>
        <w:rPr>
          <w:spacing w:val="-27"/>
        </w:rPr>
        <w:t> </w:t>
      </w:r>
      <w:r>
        <w:rPr/>
        <w:t>with</w:t>
      </w:r>
      <w:r>
        <w:rPr>
          <w:spacing w:val="-27"/>
        </w:rPr>
        <w:t> </w:t>
      </w:r>
      <w:r>
        <w:rPr/>
        <w:t>various</w:t>
      </w:r>
      <w:r>
        <w:rPr>
          <w:spacing w:val="-27"/>
        </w:rPr>
        <w:t> </w:t>
      </w:r>
      <w:r>
        <w:rPr/>
        <w:t>entities</w:t>
      </w:r>
      <w:r>
        <w:rPr>
          <w:spacing w:val="-26"/>
        </w:rPr>
        <w:t> </w:t>
      </w:r>
      <w:r>
        <w:rPr/>
        <w:t>for</w:t>
      </w:r>
      <w:r>
        <w:rPr>
          <w:spacing w:val="-28"/>
        </w:rPr>
        <w:t> </w:t>
      </w:r>
      <w:r>
        <w:rPr/>
        <w:t>commercial</w:t>
      </w:r>
      <w:r>
        <w:rPr>
          <w:spacing w:val="-28"/>
        </w:rPr>
        <w:t> </w:t>
      </w:r>
      <w:r>
        <w:rPr/>
        <w:t>and</w:t>
      </w:r>
      <w:r>
        <w:rPr>
          <w:spacing w:val="-27"/>
        </w:rPr>
        <w:t> </w:t>
      </w:r>
      <w:r>
        <w:rPr/>
        <w:t>industrial</w:t>
      </w:r>
      <w:r>
        <w:rPr>
          <w:spacing w:val="-28"/>
        </w:rPr>
        <w:t> </w:t>
      </w:r>
      <w:r>
        <w:rPr/>
        <w:t>category.</w:t>
      </w:r>
      <w:r>
        <w:rPr>
          <w:spacing w:val="-27"/>
        </w:rPr>
        <w:t> </w:t>
      </w:r>
      <w:r>
        <w:rPr/>
        <w:t>Additionally,</w:t>
      </w:r>
      <w:r>
        <w:rPr>
          <w:spacing w:val="-28"/>
        </w:rPr>
        <w:t> </w:t>
      </w:r>
      <w:r>
        <w:rPr/>
        <w:t>as</w:t>
      </w:r>
      <w:r>
        <w:rPr>
          <w:spacing w:val="-27"/>
        </w:rPr>
        <w:t> </w:t>
      </w:r>
      <w:r>
        <w:rPr/>
        <w:t>per</w:t>
      </w:r>
      <w:r>
        <w:rPr>
          <w:spacing w:val="-27"/>
        </w:rPr>
        <w:t> </w:t>
      </w:r>
      <w:r>
        <w:rPr/>
        <w:t>the agreement, the purchasers of PPAs have agreed to purchase at least 85% of the contracted quantity (‘minimum</w:t>
      </w:r>
      <w:r>
        <w:rPr>
          <w:spacing w:val="-40"/>
        </w:rPr>
        <w:t> </w:t>
      </w:r>
      <w:r>
        <w:rPr/>
        <w:t>guaranteed</w:t>
      </w:r>
      <w:r>
        <w:rPr>
          <w:spacing w:val="-39"/>
        </w:rPr>
        <w:t> </w:t>
      </w:r>
      <w:r>
        <w:rPr/>
        <w:t>offtake’)</w:t>
      </w:r>
      <w:r>
        <w:rPr>
          <w:spacing w:val="-37"/>
        </w:rPr>
        <w:t> </w:t>
      </w:r>
      <w:r>
        <w:rPr/>
        <w:t>each</w:t>
      </w:r>
      <w:r>
        <w:rPr>
          <w:spacing w:val="-40"/>
        </w:rPr>
        <w:t> </w:t>
      </w:r>
      <w:r>
        <w:rPr/>
        <w:t>tariff</w:t>
      </w:r>
      <w:r>
        <w:rPr>
          <w:spacing w:val="-39"/>
        </w:rPr>
        <w:t> </w:t>
      </w:r>
      <w:r>
        <w:rPr/>
        <w:t>year,</w:t>
      </w:r>
      <w:r>
        <w:rPr>
          <w:spacing w:val="-39"/>
        </w:rPr>
        <w:t> </w:t>
      </w:r>
      <w:r>
        <w:rPr/>
        <w:t>commencing</w:t>
      </w:r>
      <w:r>
        <w:rPr>
          <w:spacing w:val="-39"/>
        </w:rPr>
        <w:t> </w:t>
      </w:r>
      <w:r>
        <w:rPr/>
        <w:t>from</w:t>
      </w:r>
      <w:r>
        <w:rPr>
          <w:spacing w:val="-39"/>
        </w:rPr>
        <w:t> </w:t>
      </w:r>
      <w:r>
        <w:rPr/>
        <w:t>the</w:t>
      </w:r>
      <w:r>
        <w:rPr>
          <w:spacing w:val="-40"/>
        </w:rPr>
        <w:t> </w:t>
      </w:r>
      <w:r>
        <w:rPr/>
        <w:t>commercial</w:t>
      </w:r>
      <w:r>
        <w:rPr>
          <w:spacing w:val="-39"/>
        </w:rPr>
        <w:t> </w:t>
      </w:r>
      <w:r>
        <w:rPr/>
        <w:t>operation</w:t>
      </w:r>
      <w:r>
        <w:rPr>
          <w:spacing w:val="-40"/>
        </w:rPr>
        <w:t> </w:t>
      </w:r>
      <w:r>
        <w:rPr/>
        <w:t>date</w:t>
      </w:r>
      <w:r>
        <w:rPr>
          <w:spacing w:val="-39"/>
        </w:rPr>
        <w:t> </w:t>
      </w:r>
      <w:r>
        <w:rPr/>
        <w:t>until the end of the</w:t>
      </w:r>
      <w:r>
        <w:rPr>
          <w:spacing w:val="-13"/>
        </w:rPr>
        <w:t> </w:t>
      </w:r>
      <w:r>
        <w:rPr/>
        <w:t>term.</w:t>
      </w:r>
    </w:p>
    <w:p>
      <w:pPr>
        <w:pStyle w:val="BodyText"/>
        <w:spacing w:before="6"/>
        <w:rPr>
          <w:sz w:val="20"/>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400" w:id="782"/>
      <w:bookmarkEnd w:id="782"/>
      <w:r>
        <w:rPr/>
      </w:r>
      <w:bookmarkStart w:name="_bookmark400" w:id="783"/>
      <w:bookmarkEnd w:id="783"/>
      <w:r>
        <w:rPr>
          <w:color w:val="1F664D"/>
          <w:w w:val="105"/>
          <w:sz w:val="22"/>
        </w:rPr>
        <w:t>R</w:t>
      </w:r>
      <w:r>
        <w:rPr>
          <w:color w:val="1F664D"/>
          <w:w w:val="105"/>
          <w:sz w:val="22"/>
        </w:rPr>
        <w:t>evenue</w:t>
      </w:r>
      <w:r>
        <w:rPr>
          <w:color w:val="1F664D"/>
          <w:spacing w:val="-4"/>
          <w:w w:val="105"/>
          <w:sz w:val="22"/>
        </w:rPr>
        <w:t> </w:t>
      </w:r>
      <w:r>
        <w:rPr>
          <w:color w:val="1F664D"/>
          <w:w w:val="105"/>
          <w:sz w:val="22"/>
        </w:rPr>
        <w:t>Assumptions</w:t>
      </w:r>
    </w:p>
    <w:p>
      <w:pPr>
        <w:pStyle w:val="BodyText"/>
        <w:spacing w:line="321" w:lineRule="auto" w:before="206"/>
        <w:ind w:left="1242" w:right="675"/>
        <w:jc w:val="both"/>
      </w:pPr>
      <w:r>
        <w:rPr/>
        <w:t>As highlighted earlier, the tariff for the subject plant has been benchmarked against the prevailing BESCOM tariffs for commercial and industrial category consumers. Considering the same and the proportion</w:t>
      </w:r>
      <w:r>
        <w:rPr>
          <w:spacing w:val="-23"/>
        </w:rPr>
        <w:t> </w:t>
      </w:r>
      <w:r>
        <w:rPr/>
        <w:t>of</w:t>
      </w:r>
      <w:r>
        <w:rPr>
          <w:spacing w:val="-22"/>
        </w:rPr>
        <w:t> </w:t>
      </w:r>
      <w:r>
        <w:rPr/>
        <w:t>commercial</w:t>
      </w:r>
      <w:r>
        <w:rPr>
          <w:spacing w:val="-22"/>
        </w:rPr>
        <w:t> </w:t>
      </w:r>
      <w:r>
        <w:rPr/>
        <w:t>and</w:t>
      </w:r>
      <w:r>
        <w:rPr>
          <w:spacing w:val="-22"/>
        </w:rPr>
        <w:t> </w:t>
      </w:r>
      <w:r>
        <w:rPr/>
        <w:t>industrial</w:t>
      </w:r>
      <w:r>
        <w:rPr>
          <w:spacing w:val="-22"/>
        </w:rPr>
        <w:t> </w:t>
      </w:r>
      <w:r>
        <w:rPr/>
        <w:t>category,</w:t>
      </w:r>
      <w:r>
        <w:rPr>
          <w:spacing w:val="-24"/>
        </w:rPr>
        <w:t> </w:t>
      </w:r>
      <w:r>
        <w:rPr/>
        <w:t>we</w:t>
      </w:r>
      <w:r>
        <w:rPr>
          <w:spacing w:val="-22"/>
        </w:rPr>
        <w:t> </w:t>
      </w:r>
      <w:r>
        <w:rPr/>
        <w:t>have</w:t>
      </w:r>
      <w:r>
        <w:rPr>
          <w:spacing w:val="-23"/>
        </w:rPr>
        <w:t> </w:t>
      </w:r>
      <w:r>
        <w:rPr/>
        <w:t>adopted</w:t>
      </w:r>
      <w:r>
        <w:rPr>
          <w:spacing w:val="-21"/>
        </w:rPr>
        <w:t> </w:t>
      </w:r>
      <w:r>
        <w:rPr/>
        <w:t>the</w:t>
      </w:r>
      <w:r>
        <w:rPr>
          <w:spacing w:val="-23"/>
        </w:rPr>
        <w:t> </w:t>
      </w:r>
      <w:r>
        <w:rPr/>
        <w:t>following</w:t>
      </w:r>
      <w:r>
        <w:rPr>
          <w:spacing w:val="-22"/>
        </w:rPr>
        <w:t> </w:t>
      </w:r>
      <w:r>
        <w:rPr/>
        <w:t>tariff</w:t>
      </w:r>
      <w:r>
        <w:rPr>
          <w:spacing w:val="-21"/>
        </w:rPr>
        <w:t> </w:t>
      </w:r>
      <w:r>
        <w:rPr/>
        <w:t>to</w:t>
      </w:r>
      <w:r>
        <w:rPr>
          <w:spacing w:val="-23"/>
        </w:rPr>
        <w:t> </w:t>
      </w:r>
      <w:r>
        <w:rPr/>
        <w:t>arrive</w:t>
      </w:r>
      <w:r>
        <w:rPr>
          <w:spacing w:val="-22"/>
        </w:rPr>
        <w:t> </w:t>
      </w:r>
      <w:r>
        <w:rPr/>
        <w:t>at</w:t>
      </w:r>
      <w:r>
        <w:rPr>
          <w:spacing w:val="-22"/>
        </w:rPr>
        <w:t> </w:t>
      </w:r>
      <w:r>
        <w:rPr/>
        <w:t>the revenue for the subject power</w:t>
      </w:r>
      <w:r>
        <w:rPr>
          <w:spacing w:val="-25"/>
        </w:rPr>
        <w:t> </w:t>
      </w:r>
      <w:r>
        <w:rPr/>
        <w:t>plant:</w:t>
      </w:r>
    </w:p>
    <w:p>
      <w:pPr>
        <w:pStyle w:val="BodyText"/>
        <w:spacing w:before="6"/>
        <w:rPr>
          <w:sz w:val="20"/>
        </w:rPr>
      </w:pPr>
    </w:p>
    <w:tbl>
      <w:tblPr>
        <w:tblW w:w="0" w:type="auto"/>
        <w:jc w:val="left"/>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06"/>
        <w:gridCol w:w="3319"/>
        <w:gridCol w:w="3847"/>
      </w:tblGrid>
      <w:tr>
        <w:trPr>
          <w:trHeight w:val="345" w:hRule="atLeast"/>
        </w:trPr>
        <w:tc>
          <w:tcPr>
            <w:tcW w:w="3306" w:type="dxa"/>
            <w:tcBorders>
              <w:top w:val="single" w:sz="4" w:space="0" w:color="69BD28"/>
              <w:bottom w:val="single" w:sz="4" w:space="0" w:color="69BD28"/>
            </w:tcBorders>
            <w:shd w:val="clear" w:color="auto" w:fill="006A4D"/>
          </w:tcPr>
          <w:p>
            <w:pPr>
              <w:pStyle w:val="TableParagraph"/>
              <w:spacing w:before="68"/>
              <w:ind w:left="815" w:right="755"/>
              <w:rPr>
                <w:b/>
                <w:sz w:val="18"/>
              </w:rPr>
            </w:pPr>
            <w:r>
              <w:rPr>
                <w:b/>
                <w:color w:val="FFFFFF"/>
                <w:w w:val="105"/>
                <w:sz w:val="18"/>
              </w:rPr>
              <w:t>Particular</w:t>
            </w:r>
          </w:p>
        </w:tc>
        <w:tc>
          <w:tcPr>
            <w:tcW w:w="3319" w:type="dxa"/>
            <w:tcBorders>
              <w:top w:val="single" w:sz="4" w:space="0" w:color="69BD28"/>
              <w:bottom w:val="single" w:sz="4" w:space="0" w:color="69BD28"/>
            </w:tcBorders>
            <w:shd w:val="clear" w:color="auto" w:fill="006A4D"/>
          </w:tcPr>
          <w:p>
            <w:pPr>
              <w:pStyle w:val="TableParagraph"/>
              <w:spacing w:before="68"/>
              <w:ind w:left="876" w:right="1341"/>
              <w:rPr>
                <w:b/>
                <w:sz w:val="18"/>
              </w:rPr>
            </w:pPr>
            <w:r>
              <w:rPr>
                <w:b/>
                <w:color w:val="FFFFFF"/>
                <w:w w:val="115"/>
                <w:sz w:val="18"/>
              </w:rPr>
              <w:t>Basis</w:t>
            </w:r>
          </w:p>
        </w:tc>
        <w:tc>
          <w:tcPr>
            <w:tcW w:w="3847" w:type="dxa"/>
            <w:tcBorders>
              <w:top w:val="single" w:sz="4" w:space="0" w:color="69BD28"/>
              <w:bottom w:val="single" w:sz="4" w:space="0" w:color="69BD28"/>
            </w:tcBorders>
            <w:shd w:val="clear" w:color="auto" w:fill="006A4D"/>
          </w:tcPr>
          <w:p>
            <w:pPr>
              <w:pStyle w:val="TableParagraph"/>
              <w:spacing w:before="68"/>
              <w:ind w:left="1376"/>
              <w:jc w:val="left"/>
              <w:rPr>
                <w:b/>
                <w:sz w:val="18"/>
              </w:rPr>
            </w:pPr>
            <w:r>
              <w:rPr>
                <w:b/>
                <w:color w:val="FFFFFF"/>
                <w:w w:val="110"/>
                <w:sz w:val="18"/>
              </w:rPr>
              <w:t>Details</w:t>
            </w:r>
          </w:p>
        </w:tc>
      </w:tr>
      <w:tr>
        <w:trPr>
          <w:trHeight w:val="436" w:hRule="atLeast"/>
        </w:trPr>
        <w:tc>
          <w:tcPr>
            <w:tcW w:w="3306" w:type="dxa"/>
            <w:vMerge w:val="restart"/>
            <w:shd w:val="clear" w:color="auto" w:fill="69BD28"/>
          </w:tcPr>
          <w:p>
            <w:pPr>
              <w:pStyle w:val="TableParagraph"/>
              <w:spacing w:before="114"/>
              <w:ind w:left="815" w:right="815"/>
              <w:rPr>
                <w:b/>
                <w:sz w:val="18"/>
              </w:rPr>
            </w:pPr>
            <w:r>
              <w:rPr>
                <w:b/>
                <w:color w:val="FFFFFF"/>
                <w:w w:val="105"/>
                <w:sz w:val="18"/>
              </w:rPr>
              <w:t>Blended Tariff</w:t>
            </w:r>
          </w:p>
          <w:p>
            <w:pPr>
              <w:pStyle w:val="TableParagraph"/>
              <w:spacing w:before="4"/>
              <w:jc w:val="left"/>
              <w:rPr>
                <w:sz w:val="24"/>
              </w:rPr>
            </w:pPr>
          </w:p>
          <w:p>
            <w:pPr>
              <w:pStyle w:val="TableParagraph"/>
              <w:ind w:left="815" w:right="815"/>
              <w:rPr>
                <w:b/>
                <w:sz w:val="18"/>
              </w:rPr>
            </w:pPr>
            <w:r>
              <w:rPr>
                <w:b/>
                <w:color w:val="FFFFFF"/>
                <w:w w:val="110"/>
                <w:sz w:val="18"/>
              </w:rPr>
              <w:t>Annual Escalation</w:t>
            </w:r>
          </w:p>
        </w:tc>
        <w:tc>
          <w:tcPr>
            <w:tcW w:w="3319" w:type="dxa"/>
            <w:tcBorders>
              <w:top w:val="single" w:sz="4" w:space="0" w:color="69BD28"/>
              <w:bottom w:val="single" w:sz="4" w:space="0" w:color="69BD28"/>
            </w:tcBorders>
          </w:tcPr>
          <w:p>
            <w:pPr>
              <w:pStyle w:val="TableParagraph"/>
              <w:spacing w:before="114"/>
              <w:ind w:left="878" w:right="1341"/>
              <w:rPr>
                <w:sz w:val="18"/>
              </w:rPr>
            </w:pPr>
            <w:r>
              <w:rPr>
                <w:w w:val="105"/>
                <w:sz w:val="18"/>
              </w:rPr>
              <w:t>INR per kWH</w:t>
            </w:r>
          </w:p>
        </w:tc>
        <w:tc>
          <w:tcPr>
            <w:tcW w:w="3847" w:type="dxa"/>
            <w:tcBorders>
              <w:top w:val="single" w:sz="4" w:space="0" w:color="69BD28"/>
              <w:bottom w:val="single" w:sz="4" w:space="0" w:color="69BD28"/>
            </w:tcBorders>
          </w:tcPr>
          <w:p>
            <w:pPr>
              <w:pStyle w:val="TableParagraph"/>
              <w:spacing w:before="114"/>
              <w:ind w:left="1503"/>
              <w:jc w:val="left"/>
              <w:rPr>
                <w:sz w:val="18"/>
              </w:rPr>
            </w:pPr>
            <w:r>
              <w:rPr>
                <w:w w:val="105"/>
                <w:sz w:val="18"/>
              </w:rPr>
              <w:t>8.76</w:t>
            </w:r>
          </w:p>
        </w:tc>
      </w:tr>
      <w:tr>
        <w:trPr>
          <w:trHeight w:val="525" w:hRule="atLeast"/>
        </w:trPr>
        <w:tc>
          <w:tcPr>
            <w:tcW w:w="3306" w:type="dxa"/>
            <w:vMerge/>
            <w:tcBorders>
              <w:top w:val="nil"/>
            </w:tcBorders>
            <w:shd w:val="clear" w:color="auto" w:fill="69BD28"/>
          </w:tcPr>
          <w:p>
            <w:pPr>
              <w:rPr>
                <w:sz w:val="2"/>
                <w:szCs w:val="2"/>
              </w:rPr>
            </w:pPr>
          </w:p>
        </w:tc>
        <w:tc>
          <w:tcPr>
            <w:tcW w:w="3319" w:type="dxa"/>
            <w:tcBorders>
              <w:top w:val="single" w:sz="4" w:space="0" w:color="69BD28"/>
              <w:bottom w:val="single" w:sz="4" w:space="0" w:color="69BD28"/>
            </w:tcBorders>
          </w:tcPr>
          <w:p>
            <w:pPr>
              <w:pStyle w:val="TableParagraph"/>
              <w:spacing w:before="160"/>
              <w:ind w:left="878" w:right="1339"/>
              <w:rPr>
                <w:sz w:val="18"/>
              </w:rPr>
            </w:pPr>
            <w:r>
              <w:rPr>
                <w:w w:val="110"/>
                <w:sz w:val="18"/>
              </w:rPr>
              <w:t>% p.a.</w:t>
            </w:r>
          </w:p>
        </w:tc>
        <w:tc>
          <w:tcPr>
            <w:tcW w:w="3847" w:type="dxa"/>
            <w:tcBorders>
              <w:top w:val="single" w:sz="4" w:space="0" w:color="69BD28"/>
              <w:bottom w:val="single" w:sz="4" w:space="0" w:color="69BD28"/>
            </w:tcBorders>
          </w:tcPr>
          <w:p>
            <w:pPr>
              <w:pStyle w:val="TableParagraph"/>
              <w:spacing w:before="160"/>
              <w:ind w:left="1491"/>
              <w:jc w:val="left"/>
              <w:rPr>
                <w:sz w:val="18"/>
              </w:rPr>
            </w:pPr>
            <w:r>
              <w:rPr>
                <w:w w:val="110"/>
                <w:sz w:val="18"/>
              </w:rPr>
              <w:t>2.5%</w:t>
            </w:r>
          </w:p>
        </w:tc>
      </w:tr>
    </w:tbl>
    <w:p>
      <w:pPr>
        <w:spacing w:before="3"/>
        <w:ind w:left="680" w:right="0" w:firstLine="0"/>
        <w:jc w:val="left"/>
        <w:rPr>
          <w:i/>
          <w:sz w:val="18"/>
        </w:rPr>
      </w:pPr>
      <w:r>
        <w:rPr>
          <w:i/>
          <w:sz w:val="18"/>
        </w:rPr>
        <w:t>Source: Valuer Assumption</w:t>
      </w:r>
    </w:p>
    <w:p>
      <w:pPr>
        <w:pStyle w:val="BodyText"/>
        <w:spacing w:before="11"/>
        <w:rPr>
          <w:i/>
          <w:sz w:val="26"/>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401" w:id="784"/>
      <w:bookmarkEnd w:id="784"/>
      <w:r>
        <w:rPr/>
      </w:r>
      <w:bookmarkStart w:name="_bookmark401" w:id="785"/>
      <w:bookmarkEnd w:id="785"/>
      <w:r>
        <w:rPr>
          <w:color w:val="1F664D"/>
          <w:w w:val="105"/>
          <w:sz w:val="22"/>
        </w:rPr>
        <w:t>E</w:t>
      </w:r>
      <w:r>
        <w:rPr>
          <w:color w:val="1F664D"/>
          <w:w w:val="105"/>
          <w:sz w:val="22"/>
        </w:rPr>
        <w:t>xpense</w:t>
      </w:r>
      <w:r>
        <w:rPr>
          <w:color w:val="1F664D"/>
          <w:spacing w:val="-7"/>
          <w:w w:val="105"/>
          <w:sz w:val="22"/>
        </w:rPr>
        <w:t> </w:t>
      </w:r>
      <w:r>
        <w:rPr>
          <w:color w:val="1F664D"/>
          <w:w w:val="105"/>
          <w:sz w:val="22"/>
        </w:rPr>
        <w:t>Assumptions</w:t>
      </w:r>
    </w:p>
    <w:p>
      <w:pPr>
        <w:pStyle w:val="BodyText"/>
        <w:spacing w:before="4"/>
        <w:rPr>
          <w:sz w:val="25"/>
        </w:rPr>
      </w:pPr>
    </w:p>
    <w:p>
      <w:pPr>
        <w:spacing w:before="0"/>
        <w:ind w:left="680" w:right="0" w:firstLine="0"/>
        <w:jc w:val="left"/>
        <w:rPr>
          <w:i/>
          <w:sz w:val="20"/>
        </w:rPr>
      </w:pPr>
      <w:r>
        <w:rPr>
          <w:i/>
          <w:color w:val="008000"/>
          <w:sz w:val="22"/>
        </w:rPr>
        <w:t>17.5.6.1 </w:t>
      </w:r>
      <w:r>
        <w:rPr>
          <w:i/>
          <w:color w:val="008000"/>
          <w:sz w:val="20"/>
        </w:rPr>
        <w:t>Development Cost</w:t>
      </w:r>
    </w:p>
    <w:p>
      <w:pPr>
        <w:pStyle w:val="BodyText"/>
        <w:rPr>
          <w:i/>
        </w:rPr>
      </w:pPr>
    </w:p>
    <w:p>
      <w:pPr>
        <w:pStyle w:val="BodyText"/>
        <w:spacing w:line="321" w:lineRule="auto"/>
        <w:ind w:left="1242" w:right="675"/>
        <w:jc w:val="both"/>
      </w:pPr>
      <w:r>
        <w:rPr/>
        <w:t>As</w:t>
      </w:r>
      <w:r>
        <w:rPr>
          <w:spacing w:val="-28"/>
        </w:rPr>
        <w:t> </w:t>
      </w:r>
      <w:r>
        <w:rPr/>
        <w:t>per</w:t>
      </w:r>
      <w:r>
        <w:rPr>
          <w:spacing w:val="-27"/>
        </w:rPr>
        <w:t> </w:t>
      </w:r>
      <w:r>
        <w:rPr/>
        <w:t>inputs</w:t>
      </w:r>
      <w:r>
        <w:rPr>
          <w:spacing w:val="-26"/>
        </w:rPr>
        <w:t> </w:t>
      </w:r>
      <w:r>
        <w:rPr/>
        <w:t>of</w:t>
      </w:r>
      <w:r>
        <w:rPr>
          <w:spacing w:val="-26"/>
        </w:rPr>
        <w:t> </w:t>
      </w:r>
      <w:r>
        <w:rPr/>
        <w:t>the</w:t>
      </w:r>
      <w:r>
        <w:rPr>
          <w:spacing w:val="-28"/>
        </w:rPr>
        <w:t> </w:t>
      </w:r>
      <w:r>
        <w:rPr/>
        <w:t>Client,</w:t>
      </w:r>
      <w:r>
        <w:rPr>
          <w:spacing w:val="-28"/>
        </w:rPr>
        <w:t> </w:t>
      </w:r>
      <w:r>
        <w:rPr/>
        <w:t>the</w:t>
      </w:r>
      <w:r>
        <w:rPr>
          <w:spacing w:val="-26"/>
        </w:rPr>
        <w:t> </w:t>
      </w:r>
      <w:r>
        <w:rPr/>
        <w:t>following</w:t>
      </w:r>
      <w:r>
        <w:rPr>
          <w:spacing w:val="-26"/>
        </w:rPr>
        <w:t> </w:t>
      </w:r>
      <w:r>
        <w:rPr/>
        <w:t>capital</w:t>
      </w:r>
      <w:r>
        <w:rPr>
          <w:spacing w:val="-28"/>
        </w:rPr>
        <w:t> </w:t>
      </w:r>
      <w:r>
        <w:rPr/>
        <w:t>expenditure</w:t>
      </w:r>
      <w:r>
        <w:rPr>
          <w:spacing w:val="-26"/>
        </w:rPr>
        <w:t> </w:t>
      </w:r>
      <w:r>
        <w:rPr/>
        <w:t>has</w:t>
      </w:r>
      <w:r>
        <w:rPr>
          <w:spacing w:val="-28"/>
        </w:rPr>
        <w:t> </w:t>
      </w:r>
      <w:r>
        <w:rPr/>
        <w:t>been</w:t>
      </w:r>
      <w:r>
        <w:rPr>
          <w:spacing w:val="-27"/>
        </w:rPr>
        <w:t> </w:t>
      </w:r>
      <w:r>
        <w:rPr/>
        <w:t>considered</w:t>
      </w:r>
      <w:r>
        <w:rPr>
          <w:spacing w:val="-24"/>
        </w:rPr>
        <w:t> </w:t>
      </w:r>
      <w:r>
        <w:rPr/>
        <w:t>for</w:t>
      </w:r>
      <w:r>
        <w:rPr>
          <w:spacing w:val="11"/>
        </w:rPr>
        <w:t> </w:t>
      </w:r>
      <w:r>
        <w:rPr/>
        <w:t>the</w:t>
      </w:r>
      <w:r>
        <w:rPr>
          <w:spacing w:val="11"/>
        </w:rPr>
        <w:t> </w:t>
      </w:r>
      <w:r>
        <w:rPr/>
        <w:t>subject</w:t>
      </w:r>
      <w:r>
        <w:rPr>
          <w:spacing w:val="12"/>
        </w:rPr>
        <w:t> </w:t>
      </w:r>
      <w:r>
        <w:rPr/>
        <w:t>solar plant:</w:t>
      </w:r>
    </w:p>
    <w:p>
      <w:pPr>
        <w:pStyle w:val="BodyText"/>
        <w:spacing w:before="1"/>
        <w:rPr>
          <w:sz w:val="21"/>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05"/>
        <w:gridCol w:w="3154"/>
        <w:gridCol w:w="5126"/>
      </w:tblGrid>
      <w:tr>
        <w:trPr>
          <w:trHeight w:val="356" w:hRule="atLeast"/>
        </w:trPr>
        <w:tc>
          <w:tcPr>
            <w:tcW w:w="2205" w:type="dxa"/>
            <w:tcBorders>
              <w:top w:val="single" w:sz="6" w:space="0" w:color="69BD28"/>
              <w:bottom w:val="single" w:sz="6" w:space="0" w:color="69BD28"/>
            </w:tcBorders>
            <w:shd w:val="clear" w:color="auto" w:fill="006A4D"/>
          </w:tcPr>
          <w:p>
            <w:pPr>
              <w:pStyle w:val="TableParagraph"/>
              <w:jc w:val="left"/>
              <w:rPr>
                <w:rFonts w:ascii="Times New Roman"/>
                <w:sz w:val="20"/>
              </w:rPr>
            </w:pPr>
          </w:p>
        </w:tc>
        <w:tc>
          <w:tcPr>
            <w:tcW w:w="3154" w:type="dxa"/>
            <w:tcBorders>
              <w:top w:val="single" w:sz="6" w:space="0" w:color="69BD28"/>
              <w:bottom w:val="single" w:sz="6" w:space="0" w:color="69BD28"/>
            </w:tcBorders>
            <w:shd w:val="clear" w:color="auto" w:fill="006A4D"/>
          </w:tcPr>
          <w:p>
            <w:pPr>
              <w:pStyle w:val="TableParagraph"/>
              <w:spacing w:before="75"/>
              <w:ind w:right="1841"/>
              <w:rPr>
                <w:b/>
                <w:sz w:val="18"/>
              </w:rPr>
            </w:pPr>
            <w:r>
              <w:rPr>
                <w:b/>
                <w:color w:val="FFFFFF"/>
                <w:w w:val="110"/>
                <w:sz w:val="18"/>
              </w:rPr>
              <w:t>Cost Head</w:t>
            </w:r>
          </w:p>
        </w:tc>
        <w:tc>
          <w:tcPr>
            <w:tcW w:w="5126" w:type="dxa"/>
            <w:tcBorders>
              <w:top w:val="single" w:sz="6" w:space="0" w:color="69BD28"/>
              <w:bottom w:val="single" w:sz="6" w:space="0" w:color="69BD28"/>
            </w:tcBorders>
            <w:shd w:val="clear" w:color="auto" w:fill="006A4D"/>
          </w:tcPr>
          <w:p>
            <w:pPr>
              <w:pStyle w:val="TableParagraph"/>
              <w:spacing w:before="75"/>
              <w:ind w:left="1831" w:right="1484"/>
              <w:rPr>
                <w:b/>
                <w:sz w:val="18"/>
              </w:rPr>
            </w:pPr>
            <w:r>
              <w:rPr>
                <w:b/>
                <w:color w:val="FFFFFF"/>
                <w:w w:val="110"/>
                <w:sz w:val="18"/>
              </w:rPr>
              <w:t>Total Cost (INR Mn)</w:t>
            </w:r>
          </w:p>
        </w:tc>
      </w:tr>
      <w:tr>
        <w:trPr>
          <w:trHeight w:val="331" w:hRule="atLeast"/>
        </w:trPr>
        <w:tc>
          <w:tcPr>
            <w:tcW w:w="2205" w:type="dxa"/>
            <w:tcBorders>
              <w:top w:val="single" w:sz="6" w:space="0" w:color="69BD28"/>
              <w:bottom w:val="single" w:sz="6" w:space="0" w:color="69BD28"/>
            </w:tcBorders>
          </w:tcPr>
          <w:p>
            <w:pPr>
              <w:pStyle w:val="TableParagraph"/>
              <w:jc w:val="left"/>
              <w:rPr>
                <w:rFonts w:ascii="Times New Roman"/>
                <w:sz w:val="20"/>
              </w:rPr>
            </w:pPr>
          </w:p>
        </w:tc>
        <w:tc>
          <w:tcPr>
            <w:tcW w:w="3154" w:type="dxa"/>
            <w:tcBorders>
              <w:top w:val="single" w:sz="6" w:space="0" w:color="69BD28"/>
              <w:bottom w:val="single" w:sz="6" w:space="0" w:color="69BD28"/>
            </w:tcBorders>
          </w:tcPr>
          <w:p>
            <w:pPr>
              <w:pStyle w:val="TableParagraph"/>
              <w:spacing w:before="61"/>
              <w:ind w:right="1841"/>
              <w:rPr>
                <w:sz w:val="18"/>
              </w:rPr>
            </w:pPr>
            <w:r>
              <w:rPr>
                <w:sz w:val="18"/>
              </w:rPr>
              <w:t>Evacuation Infra</w:t>
            </w:r>
          </w:p>
        </w:tc>
        <w:tc>
          <w:tcPr>
            <w:tcW w:w="5126" w:type="dxa"/>
            <w:tcBorders>
              <w:top w:val="single" w:sz="6" w:space="0" w:color="69BD28"/>
              <w:bottom w:val="single" w:sz="6" w:space="0" w:color="69BD28"/>
            </w:tcBorders>
          </w:tcPr>
          <w:p>
            <w:pPr>
              <w:pStyle w:val="TableParagraph"/>
              <w:spacing w:before="61"/>
              <w:ind w:left="1825" w:right="1484"/>
              <w:rPr>
                <w:sz w:val="18"/>
              </w:rPr>
            </w:pPr>
            <w:r>
              <w:rPr>
                <w:w w:val="110"/>
                <w:sz w:val="18"/>
              </w:rPr>
              <w:t>353.10</w:t>
            </w:r>
          </w:p>
        </w:tc>
      </w:tr>
      <w:tr>
        <w:trPr>
          <w:trHeight w:val="337" w:hRule="atLeast"/>
        </w:trPr>
        <w:tc>
          <w:tcPr>
            <w:tcW w:w="2205" w:type="dxa"/>
            <w:tcBorders>
              <w:top w:val="single" w:sz="6" w:space="0" w:color="69BD28"/>
              <w:bottom w:val="single" w:sz="6" w:space="0" w:color="69BD28"/>
            </w:tcBorders>
          </w:tcPr>
          <w:p>
            <w:pPr>
              <w:pStyle w:val="TableParagraph"/>
              <w:jc w:val="left"/>
              <w:rPr>
                <w:rFonts w:ascii="Times New Roman"/>
                <w:sz w:val="20"/>
              </w:rPr>
            </w:pPr>
          </w:p>
        </w:tc>
        <w:tc>
          <w:tcPr>
            <w:tcW w:w="3154" w:type="dxa"/>
            <w:tcBorders>
              <w:top w:val="single" w:sz="6" w:space="0" w:color="69BD28"/>
              <w:bottom w:val="single" w:sz="6" w:space="0" w:color="69BD28"/>
            </w:tcBorders>
          </w:tcPr>
          <w:p>
            <w:pPr>
              <w:pStyle w:val="TableParagraph"/>
              <w:spacing w:before="66"/>
              <w:ind w:right="1840"/>
              <w:rPr>
                <w:sz w:val="18"/>
              </w:rPr>
            </w:pPr>
            <w:r>
              <w:rPr>
                <w:sz w:val="18"/>
              </w:rPr>
              <w:t>Material Supply</w:t>
            </w:r>
          </w:p>
        </w:tc>
        <w:tc>
          <w:tcPr>
            <w:tcW w:w="5126" w:type="dxa"/>
            <w:tcBorders>
              <w:top w:val="single" w:sz="6" w:space="0" w:color="69BD28"/>
              <w:bottom w:val="single" w:sz="6" w:space="0" w:color="69BD28"/>
            </w:tcBorders>
          </w:tcPr>
          <w:p>
            <w:pPr>
              <w:pStyle w:val="TableParagraph"/>
              <w:spacing w:before="66"/>
              <w:ind w:left="1827" w:right="1484"/>
              <w:rPr>
                <w:sz w:val="18"/>
              </w:rPr>
            </w:pPr>
            <w:r>
              <w:rPr>
                <w:w w:val="105"/>
                <w:sz w:val="18"/>
              </w:rPr>
              <w:t>5,307.20</w:t>
            </w:r>
          </w:p>
        </w:tc>
      </w:tr>
      <w:tr>
        <w:trPr>
          <w:trHeight w:val="349" w:hRule="atLeast"/>
        </w:trPr>
        <w:tc>
          <w:tcPr>
            <w:tcW w:w="2205" w:type="dxa"/>
            <w:tcBorders>
              <w:top w:val="single" w:sz="6" w:space="0" w:color="69BD28"/>
              <w:bottom w:val="single" w:sz="6" w:space="0" w:color="69BD28"/>
            </w:tcBorders>
          </w:tcPr>
          <w:p>
            <w:pPr>
              <w:pStyle w:val="TableParagraph"/>
              <w:jc w:val="left"/>
              <w:rPr>
                <w:rFonts w:ascii="Times New Roman"/>
                <w:sz w:val="20"/>
              </w:rPr>
            </w:pPr>
          </w:p>
        </w:tc>
        <w:tc>
          <w:tcPr>
            <w:tcW w:w="3154" w:type="dxa"/>
            <w:tcBorders>
              <w:top w:val="single" w:sz="6" w:space="0" w:color="69BD28"/>
              <w:bottom w:val="single" w:sz="6" w:space="0" w:color="69BD28"/>
            </w:tcBorders>
          </w:tcPr>
          <w:p>
            <w:pPr>
              <w:pStyle w:val="TableParagraph"/>
              <w:spacing w:before="70"/>
              <w:ind w:right="1843"/>
              <w:rPr>
                <w:sz w:val="18"/>
              </w:rPr>
            </w:pPr>
            <w:r>
              <w:rPr>
                <w:sz w:val="18"/>
              </w:rPr>
              <w:t>ETC Works</w:t>
            </w:r>
          </w:p>
        </w:tc>
        <w:tc>
          <w:tcPr>
            <w:tcW w:w="5126" w:type="dxa"/>
            <w:tcBorders>
              <w:top w:val="single" w:sz="6" w:space="0" w:color="69BD28"/>
              <w:bottom w:val="single" w:sz="6" w:space="0" w:color="69BD28"/>
            </w:tcBorders>
          </w:tcPr>
          <w:p>
            <w:pPr>
              <w:pStyle w:val="TableParagraph"/>
              <w:spacing w:before="70"/>
              <w:ind w:left="1831" w:right="1418"/>
              <w:rPr>
                <w:sz w:val="18"/>
              </w:rPr>
            </w:pPr>
            <w:r>
              <w:rPr>
                <w:w w:val="110"/>
                <w:sz w:val="18"/>
              </w:rPr>
              <w:t>392.10</w:t>
            </w:r>
          </w:p>
        </w:tc>
      </w:tr>
      <w:tr>
        <w:trPr>
          <w:trHeight w:val="340" w:hRule="atLeast"/>
        </w:trPr>
        <w:tc>
          <w:tcPr>
            <w:tcW w:w="2205" w:type="dxa"/>
            <w:tcBorders>
              <w:top w:val="single" w:sz="6" w:space="0" w:color="69BD28"/>
              <w:bottom w:val="single" w:sz="6" w:space="0" w:color="69BD28"/>
            </w:tcBorders>
          </w:tcPr>
          <w:p>
            <w:pPr>
              <w:pStyle w:val="TableParagraph"/>
              <w:jc w:val="left"/>
              <w:rPr>
                <w:rFonts w:ascii="Times New Roman"/>
                <w:sz w:val="20"/>
              </w:rPr>
            </w:pPr>
          </w:p>
        </w:tc>
        <w:tc>
          <w:tcPr>
            <w:tcW w:w="3154" w:type="dxa"/>
            <w:tcBorders>
              <w:top w:val="single" w:sz="6" w:space="0" w:color="69BD28"/>
              <w:bottom w:val="single" w:sz="6" w:space="0" w:color="69BD28"/>
            </w:tcBorders>
          </w:tcPr>
          <w:p>
            <w:pPr>
              <w:pStyle w:val="TableParagraph"/>
              <w:spacing w:before="66"/>
              <w:ind w:right="1846"/>
              <w:rPr>
                <w:sz w:val="18"/>
              </w:rPr>
            </w:pPr>
            <w:r>
              <w:rPr>
                <w:sz w:val="18"/>
              </w:rPr>
              <w:t>Civil Works</w:t>
            </w:r>
          </w:p>
        </w:tc>
        <w:tc>
          <w:tcPr>
            <w:tcW w:w="5126" w:type="dxa"/>
            <w:tcBorders>
              <w:top w:val="single" w:sz="6" w:space="0" w:color="69BD28"/>
              <w:bottom w:val="single" w:sz="6" w:space="0" w:color="69BD28"/>
            </w:tcBorders>
          </w:tcPr>
          <w:p>
            <w:pPr>
              <w:pStyle w:val="TableParagraph"/>
              <w:spacing w:before="66"/>
              <w:ind w:left="1831" w:right="1418"/>
              <w:rPr>
                <w:sz w:val="18"/>
              </w:rPr>
            </w:pPr>
            <w:r>
              <w:rPr>
                <w:w w:val="110"/>
                <w:sz w:val="18"/>
              </w:rPr>
              <w:t>504.90</w:t>
            </w:r>
          </w:p>
        </w:tc>
      </w:tr>
      <w:tr>
        <w:trPr>
          <w:trHeight w:val="347" w:hRule="atLeast"/>
        </w:trPr>
        <w:tc>
          <w:tcPr>
            <w:tcW w:w="2205" w:type="dxa"/>
            <w:tcBorders>
              <w:top w:val="single" w:sz="6" w:space="0" w:color="69BD28"/>
              <w:bottom w:val="single" w:sz="6" w:space="0" w:color="69BD28"/>
            </w:tcBorders>
          </w:tcPr>
          <w:p>
            <w:pPr>
              <w:pStyle w:val="TableParagraph"/>
              <w:jc w:val="left"/>
              <w:rPr>
                <w:rFonts w:ascii="Times New Roman"/>
                <w:sz w:val="20"/>
              </w:rPr>
            </w:pPr>
          </w:p>
        </w:tc>
        <w:tc>
          <w:tcPr>
            <w:tcW w:w="3154" w:type="dxa"/>
            <w:tcBorders>
              <w:top w:val="single" w:sz="6" w:space="0" w:color="69BD28"/>
              <w:bottom w:val="single" w:sz="6" w:space="0" w:color="69BD28"/>
            </w:tcBorders>
          </w:tcPr>
          <w:p>
            <w:pPr>
              <w:pStyle w:val="TableParagraph"/>
              <w:spacing w:before="70"/>
              <w:ind w:right="1843"/>
              <w:rPr>
                <w:sz w:val="18"/>
              </w:rPr>
            </w:pPr>
            <w:r>
              <w:rPr>
                <w:sz w:val="18"/>
              </w:rPr>
              <w:t>Land</w:t>
            </w:r>
          </w:p>
        </w:tc>
        <w:tc>
          <w:tcPr>
            <w:tcW w:w="5126" w:type="dxa"/>
            <w:tcBorders>
              <w:top w:val="single" w:sz="6" w:space="0" w:color="69BD28"/>
              <w:bottom w:val="single" w:sz="6" w:space="0" w:color="69BD28"/>
            </w:tcBorders>
          </w:tcPr>
          <w:p>
            <w:pPr>
              <w:pStyle w:val="TableParagraph"/>
              <w:spacing w:before="70"/>
              <w:ind w:left="1831" w:right="1418"/>
              <w:rPr>
                <w:sz w:val="18"/>
              </w:rPr>
            </w:pPr>
            <w:r>
              <w:rPr>
                <w:w w:val="110"/>
                <w:sz w:val="18"/>
              </w:rPr>
              <w:t>296.60</w:t>
            </w:r>
          </w:p>
        </w:tc>
      </w:tr>
      <w:tr>
        <w:trPr>
          <w:trHeight w:val="385" w:hRule="atLeast"/>
        </w:trPr>
        <w:tc>
          <w:tcPr>
            <w:tcW w:w="2205" w:type="dxa"/>
            <w:tcBorders>
              <w:top w:val="single" w:sz="6" w:space="0" w:color="69BD28"/>
              <w:bottom w:val="single" w:sz="6" w:space="0" w:color="69BD28"/>
            </w:tcBorders>
          </w:tcPr>
          <w:p>
            <w:pPr>
              <w:pStyle w:val="TableParagraph"/>
              <w:jc w:val="left"/>
              <w:rPr>
                <w:rFonts w:ascii="Times New Roman"/>
                <w:sz w:val="20"/>
              </w:rPr>
            </w:pPr>
          </w:p>
        </w:tc>
        <w:tc>
          <w:tcPr>
            <w:tcW w:w="3154" w:type="dxa"/>
            <w:tcBorders>
              <w:top w:val="single" w:sz="6" w:space="0" w:color="69BD28"/>
              <w:bottom w:val="single" w:sz="6" w:space="0" w:color="69BD28"/>
            </w:tcBorders>
          </w:tcPr>
          <w:p>
            <w:pPr>
              <w:pStyle w:val="TableParagraph"/>
              <w:spacing w:before="90"/>
              <w:ind w:right="1840"/>
              <w:rPr>
                <w:sz w:val="18"/>
              </w:rPr>
            </w:pPr>
            <w:r>
              <w:rPr>
                <w:sz w:val="18"/>
              </w:rPr>
              <w:t>Total</w:t>
            </w:r>
          </w:p>
        </w:tc>
        <w:tc>
          <w:tcPr>
            <w:tcW w:w="5126" w:type="dxa"/>
            <w:tcBorders>
              <w:top w:val="single" w:sz="6" w:space="0" w:color="69BD28"/>
              <w:bottom w:val="single" w:sz="6" w:space="0" w:color="69BD28"/>
            </w:tcBorders>
          </w:tcPr>
          <w:p>
            <w:pPr>
              <w:pStyle w:val="TableParagraph"/>
              <w:spacing w:before="90"/>
              <w:ind w:left="1831" w:right="1413"/>
              <w:rPr>
                <w:sz w:val="18"/>
              </w:rPr>
            </w:pPr>
            <w:r>
              <w:rPr>
                <w:w w:val="105"/>
                <w:sz w:val="18"/>
              </w:rPr>
              <w:t>6,853.90</w:t>
            </w:r>
          </w:p>
        </w:tc>
      </w:tr>
      <w:tr>
        <w:trPr>
          <w:trHeight w:val="752" w:hRule="atLeast"/>
        </w:trPr>
        <w:tc>
          <w:tcPr>
            <w:tcW w:w="2205" w:type="dxa"/>
            <w:tcBorders>
              <w:top w:val="single" w:sz="6" w:space="0" w:color="69BD28"/>
            </w:tcBorders>
          </w:tcPr>
          <w:p>
            <w:pPr>
              <w:pStyle w:val="TableParagraph"/>
              <w:spacing w:before="3"/>
              <w:ind w:left="14"/>
              <w:jc w:val="left"/>
              <w:rPr>
                <w:i/>
                <w:sz w:val="18"/>
              </w:rPr>
            </w:pPr>
            <w:r>
              <w:rPr>
                <w:i/>
                <w:sz w:val="18"/>
              </w:rPr>
              <w:t>Source: Client’s input</w:t>
            </w:r>
          </w:p>
          <w:p>
            <w:pPr>
              <w:pStyle w:val="TableParagraph"/>
              <w:spacing w:before="3"/>
              <w:jc w:val="left"/>
              <w:rPr>
                <w:sz w:val="24"/>
              </w:rPr>
            </w:pPr>
          </w:p>
          <w:p>
            <w:pPr>
              <w:pStyle w:val="TableParagraph"/>
              <w:spacing w:line="239" w:lineRule="exact"/>
              <w:ind w:left="14"/>
              <w:jc w:val="left"/>
              <w:rPr>
                <w:i/>
                <w:sz w:val="20"/>
              </w:rPr>
            </w:pPr>
            <w:r>
              <w:rPr>
                <w:i/>
                <w:color w:val="008000"/>
                <w:sz w:val="22"/>
              </w:rPr>
              <w:t>17.5.6.2 </w:t>
            </w:r>
            <w:r>
              <w:rPr>
                <w:i/>
                <w:color w:val="008000"/>
                <w:sz w:val="20"/>
              </w:rPr>
              <w:t>O&amp;M expenses</w:t>
            </w:r>
          </w:p>
        </w:tc>
        <w:tc>
          <w:tcPr>
            <w:tcW w:w="3154" w:type="dxa"/>
            <w:tcBorders>
              <w:top w:val="single" w:sz="6" w:space="0" w:color="69BD28"/>
            </w:tcBorders>
          </w:tcPr>
          <w:p>
            <w:pPr>
              <w:pStyle w:val="TableParagraph"/>
              <w:jc w:val="left"/>
              <w:rPr>
                <w:rFonts w:ascii="Times New Roman"/>
                <w:sz w:val="20"/>
              </w:rPr>
            </w:pPr>
          </w:p>
        </w:tc>
        <w:tc>
          <w:tcPr>
            <w:tcW w:w="5126" w:type="dxa"/>
            <w:tcBorders>
              <w:top w:val="single" w:sz="6" w:space="0" w:color="69BD28"/>
            </w:tcBorders>
          </w:tcPr>
          <w:p>
            <w:pPr>
              <w:pStyle w:val="TableParagraph"/>
              <w:jc w:val="left"/>
              <w:rPr>
                <w:rFonts w:ascii="Times New Roman"/>
                <w:sz w:val="20"/>
              </w:rPr>
            </w:pPr>
          </w:p>
        </w:tc>
      </w:tr>
    </w:tbl>
    <w:p>
      <w:pPr>
        <w:pStyle w:val="BodyText"/>
        <w:spacing w:before="8"/>
        <w:rPr>
          <w:sz w:val="21"/>
        </w:rPr>
      </w:pPr>
    </w:p>
    <w:p>
      <w:pPr>
        <w:pStyle w:val="BodyText"/>
        <w:spacing w:line="324" w:lineRule="auto"/>
        <w:ind w:left="1242" w:right="675"/>
        <w:jc w:val="both"/>
      </w:pPr>
      <w:r>
        <w:rPr/>
        <w:t>In</w:t>
      </w:r>
      <w:r>
        <w:rPr>
          <w:spacing w:val="-13"/>
        </w:rPr>
        <w:t> </w:t>
      </w:r>
      <w:r>
        <w:rPr/>
        <w:t>addition</w:t>
      </w:r>
      <w:r>
        <w:rPr>
          <w:spacing w:val="-12"/>
        </w:rPr>
        <w:t> </w:t>
      </w:r>
      <w:r>
        <w:rPr/>
        <w:t>to</w:t>
      </w:r>
      <w:r>
        <w:rPr>
          <w:spacing w:val="-12"/>
        </w:rPr>
        <w:t> </w:t>
      </w:r>
      <w:r>
        <w:rPr/>
        <w:t>capital</w:t>
      </w:r>
      <w:r>
        <w:rPr>
          <w:spacing w:val="-12"/>
        </w:rPr>
        <w:t> </w:t>
      </w:r>
      <w:r>
        <w:rPr/>
        <w:t>expenditure,</w:t>
      </w:r>
      <w:r>
        <w:rPr>
          <w:spacing w:val="-12"/>
        </w:rPr>
        <w:t> </w:t>
      </w:r>
      <w:r>
        <w:rPr/>
        <w:t>a</w:t>
      </w:r>
      <w:r>
        <w:rPr>
          <w:spacing w:val="-13"/>
        </w:rPr>
        <w:t> </w:t>
      </w:r>
      <w:r>
        <w:rPr/>
        <w:t>solar</w:t>
      </w:r>
      <w:r>
        <w:rPr>
          <w:spacing w:val="-14"/>
        </w:rPr>
        <w:t> </w:t>
      </w:r>
      <w:r>
        <w:rPr/>
        <w:t>PV</w:t>
      </w:r>
      <w:r>
        <w:rPr>
          <w:spacing w:val="-12"/>
        </w:rPr>
        <w:t> </w:t>
      </w:r>
      <w:r>
        <w:rPr/>
        <w:t>plant</w:t>
      </w:r>
      <w:r>
        <w:rPr>
          <w:spacing w:val="-12"/>
        </w:rPr>
        <w:t> </w:t>
      </w:r>
      <w:r>
        <w:rPr/>
        <w:t>has</w:t>
      </w:r>
      <w:r>
        <w:rPr>
          <w:spacing w:val="-12"/>
        </w:rPr>
        <w:t> </w:t>
      </w:r>
      <w:r>
        <w:rPr/>
        <w:t>few</w:t>
      </w:r>
      <w:r>
        <w:rPr>
          <w:spacing w:val="-12"/>
        </w:rPr>
        <w:t> </w:t>
      </w:r>
      <w:r>
        <w:rPr/>
        <w:t>recurring</w:t>
      </w:r>
      <w:r>
        <w:rPr>
          <w:spacing w:val="-11"/>
        </w:rPr>
        <w:t> </w:t>
      </w:r>
      <w:r>
        <w:rPr/>
        <w:t>O&amp;M</w:t>
      </w:r>
      <w:r>
        <w:rPr>
          <w:spacing w:val="-14"/>
        </w:rPr>
        <w:t> </w:t>
      </w:r>
      <w:r>
        <w:rPr/>
        <w:t>expenses</w:t>
      </w:r>
      <w:r>
        <w:rPr>
          <w:spacing w:val="-13"/>
        </w:rPr>
        <w:t> </w:t>
      </w:r>
      <w:r>
        <w:rPr/>
        <w:t>(as</w:t>
      </w:r>
      <w:r>
        <w:rPr>
          <w:spacing w:val="-11"/>
        </w:rPr>
        <w:t> </w:t>
      </w:r>
      <w:r>
        <w:rPr/>
        <w:t>highlighted</w:t>
      </w:r>
      <w:r>
        <w:rPr>
          <w:spacing w:val="-13"/>
        </w:rPr>
        <w:t> </w:t>
      </w:r>
      <w:r>
        <w:rPr/>
        <w:t>in the section earlier) required for the general up-keep and running of the park. Based on</w:t>
      </w:r>
      <w:r>
        <w:rPr>
          <w:spacing w:val="30"/>
        </w:rPr>
        <w:t> </w:t>
      </w:r>
      <w:r>
        <w:rPr/>
        <w:t>information</w:t>
      </w:r>
    </w:p>
    <w:p>
      <w:pPr>
        <w:spacing w:after="0" w:line="324" w:lineRule="auto"/>
        <w:jc w:val="both"/>
        <w:sectPr>
          <w:pgSz w:w="11910" w:h="16840"/>
          <w:pgMar w:header="720" w:footer="862" w:top="1660" w:bottom="1060" w:left="40" w:right="40"/>
        </w:sectPr>
      </w:pPr>
    </w:p>
    <w:p>
      <w:pPr>
        <w:pStyle w:val="BodyText"/>
        <w:spacing w:before="7"/>
        <w:rPr>
          <w:sz w:val="9"/>
        </w:rPr>
      </w:pPr>
    </w:p>
    <w:p>
      <w:pPr>
        <w:pStyle w:val="BodyText"/>
        <w:spacing w:line="321" w:lineRule="auto" w:before="106"/>
        <w:ind w:left="1242" w:right="686"/>
        <w:jc w:val="both"/>
      </w:pPr>
      <w:r>
        <w:rPr/>
        <w:t>provided by the Client and market benchmarks, following O&amp;M expense assumptions have been adopted for the purpose of this valuation exercise:</w:t>
      </w:r>
    </w:p>
    <w:p>
      <w:pPr>
        <w:pStyle w:val="BodyText"/>
        <w:spacing w:before="8" w:after="1"/>
        <w:rPr>
          <w:sz w:val="10"/>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109"/>
        <w:gridCol w:w="2486"/>
        <w:gridCol w:w="3890"/>
      </w:tblGrid>
      <w:tr>
        <w:trPr>
          <w:trHeight w:val="287" w:hRule="atLeast"/>
        </w:trPr>
        <w:tc>
          <w:tcPr>
            <w:tcW w:w="4109" w:type="dxa"/>
            <w:tcBorders>
              <w:top w:val="single" w:sz="6" w:space="0" w:color="69BD28"/>
              <w:bottom w:val="single" w:sz="6" w:space="0" w:color="69BD28"/>
            </w:tcBorders>
            <w:shd w:val="clear" w:color="auto" w:fill="006A4D"/>
          </w:tcPr>
          <w:p>
            <w:pPr>
              <w:pStyle w:val="TableParagraph"/>
              <w:spacing w:before="28"/>
              <w:ind w:left="196" w:right="785"/>
              <w:rPr>
                <w:sz w:val="20"/>
              </w:rPr>
            </w:pPr>
            <w:r>
              <w:rPr>
                <w:color w:val="FFFFFF"/>
                <w:sz w:val="20"/>
              </w:rPr>
              <w:t>Nature of Expense</w:t>
            </w:r>
          </w:p>
        </w:tc>
        <w:tc>
          <w:tcPr>
            <w:tcW w:w="2486" w:type="dxa"/>
            <w:tcBorders>
              <w:top w:val="single" w:sz="6" w:space="0" w:color="69BD28"/>
              <w:bottom w:val="single" w:sz="6" w:space="0" w:color="69BD28"/>
            </w:tcBorders>
            <w:shd w:val="clear" w:color="auto" w:fill="006A4D"/>
          </w:tcPr>
          <w:p>
            <w:pPr>
              <w:pStyle w:val="TableParagraph"/>
              <w:spacing w:before="28"/>
              <w:ind w:left="814" w:right="1018"/>
              <w:rPr>
                <w:sz w:val="20"/>
              </w:rPr>
            </w:pPr>
            <w:r>
              <w:rPr>
                <w:color w:val="FFFFFF"/>
                <w:sz w:val="20"/>
              </w:rPr>
              <w:t>Details</w:t>
            </w:r>
          </w:p>
        </w:tc>
        <w:tc>
          <w:tcPr>
            <w:tcW w:w="3890" w:type="dxa"/>
            <w:tcBorders>
              <w:top w:val="single" w:sz="6" w:space="0" w:color="69BD28"/>
              <w:bottom w:val="single" w:sz="6" w:space="0" w:color="69BD28"/>
            </w:tcBorders>
            <w:shd w:val="clear" w:color="auto" w:fill="006A4D"/>
          </w:tcPr>
          <w:p>
            <w:pPr>
              <w:pStyle w:val="TableParagraph"/>
              <w:spacing w:before="28"/>
              <w:ind w:left="1009" w:right="607"/>
              <w:rPr>
                <w:sz w:val="20"/>
              </w:rPr>
            </w:pPr>
            <w:r>
              <w:rPr>
                <w:color w:val="FFFFFF"/>
                <w:sz w:val="20"/>
              </w:rPr>
              <w:t>Basis</w:t>
            </w:r>
          </w:p>
        </w:tc>
      </w:tr>
      <w:tr>
        <w:trPr>
          <w:trHeight w:val="294" w:hRule="atLeast"/>
        </w:trPr>
        <w:tc>
          <w:tcPr>
            <w:tcW w:w="4109" w:type="dxa"/>
            <w:tcBorders>
              <w:top w:val="single" w:sz="6" w:space="0" w:color="69BD28"/>
              <w:bottom w:val="single" w:sz="6" w:space="0" w:color="69BD28"/>
            </w:tcBorders>
          </w:tcPr>
          <w:p>
            <w:pPr>
              <w:pStyle w:val="TableParagraph"/>
              <w:spacing w:before="44"/>
              <w:ind w:left="196" w:right="788"/>
              <w:rPr>
                <w:sz w:val="18"/>
              </w:rPr>
            </w:pPr>
            <w:r>
              <w:rPr>
                <w:sz w:val="18"/>
              </w:rPr>
              <w:t>Operation &amp; Maintenance Expenditure</w:t>
            </w:r>
          </w:p>
        </w:tc>
        <w:tc>
          <w:tcPr>
            <w:tcW w:w="2486" w:type="dxa"/>
            <w:tcBorders>
              <w:top w:val="single" w:sz="6" w:space="0" w:color="69BD28"/>
              <w:bottom w:val="single" w:sz="6" w:space="0" w:color="69BD28"/>
            </w:tcBorders>
          </w:tcPr>
          <w:p>
            <w:pPr>
              <w:pStyle w:val="TableParagraph"/>
              <w:spacing w:before="44"/>
              <w:ind w:left="813" w:right="1018"/>
              <w:rPr>
                <w:sz w:val="18"/>
              </w:rPr>
            </w:pPr>
            <w:r>
              <w:rPr>
                <w:w w:val="105"/>
                <w:sz w:val="18"/>
              </w:rPr>
              <w:t>0.50</w:t>
            </w:r>
          </w:p>
        </w:tc>
        <w:tc>
          <w:tcPr>
            <w:tcW w:w="3890" w:type="dxa"/>
            <w:tcBorders>
              <w:top w:val="single" w:sz="6" w:space="0" w:color="69BD28"/>
              <w:bottom w:val="single" w:sz="6" w:space="0" w:color="69BD28"/>
            </w:tcBorders>
          </w:tcPr>
          <w:p>
            <w:pPr>
              <w:pStyle w:val="TableParagraph"/>
              <w:spacing w:before="44"/>
              <w:ind w:left="1010" w:right="606"/>
              <w:rPr>
                <w:sz w:val="18"/>
              </w:rPr>
            </w:pPr>
            <w:r>
              <w:rPr>
                <w:w w:val="105"/>
                <w:sz w:val="18"/>
              </w:rPr>
              <w:t>INR Mn per MW per annum</w:t>
            </w:r>
          </w:p>
        </w:tc>
      </w:tr>
      <w:tr>
        <w:trPr>
          <w:trHeight w:val="297" w:hRule="atLeast"/>
        </w:trPr>
        <w:tc>
          <w:tcPr>
            <w:tcW w:w="4109" w:type="dxa"/>
            <w:tcBorders>
              <w:top w:val="single" w:sz="6" w:space="0" w:color="69BD28"/>
              <w:bottom w:val="single" w:sz="6" w:space="0" w:color="69BD28"/>
            </w:tcBorders>
          </w:tcPr>
          <w:p>
            <w:pPr>
              <w:pStyle w:val="TableParagraph"/>
              <w:spacing w:before="46"/>
              <w:ind w:left="196" w:right="785"/>
              <w:rPr>
                <w:sz w:val="18"/>
              </w:rPr>
            </w:pPr>
            <w:r>
              <w:rPr>
                <w:sz w:val="18"/>
              </w:rPr>
              <w:t>Employee Expenses</w:t>
            </w:r>
          </w:p>
        </w:tc>
        <w:tc>
          <w:tcPr>
            <w:tcW w:w="2486" w:type="dxa"/>
            <w:tcBorders>
              <w:top w:val="single" w:sz="6" w:space="0" w:color="69BD28"/>
              <w:bottom w:val="single" w:sz="6" w:space="0" w:color="69BD28"/>
            </w:tcBorders>
          </w:tcPr>
          <w:p>
            <w:pPr>
              <w:pStyle w:val="TableParagraph"/>
              <w:spacing w:before="44"/>
              <w:ind w:left="813" w:right="1018"/>
              <w:rPr>
                <w:sz w:val="18"/>
              </w:rPr>
            </w:pPr>
            <w:r>
              <w:rPr>
                <w:w w:val="105"/>
                <w:sz w:val="18"/>
              </w:rPr>
              <w:t>0.11</w:t>
            </w:r>
          </w:p>
        </w:tc>
        <w:tc>
          <w:tcPr>
            <w:tcW w:w="3890" w:type="dxa"/>
            <w:tcBorders>
              <w:top w:val="single" w:sz="6" w:space="0" w:color="69BD28"/>
              <w:bottom w:val="single" w:sz="6" w:space="0" w:color="69BD28"/>
            </w:tcBorders>
          </w:tcPr>
          <w:p>
            <w:pPr>
              <w:pStyle w:val="TableParagraph"/>
              <w:spacing w:before="46"/>
              <w:ind w:left="1010" w:right="606"/>
              <w:rPr>
                <w:sz w:val="18"/>
              </w:rPr>
            </w:pPr>
            <w:r>
              <w:rPr>
                <w:w w:val="105"/>
                <w:sz w:val="18"/>
              </w:rPr>
              <w:t>INR Mn per MW per annum</w:t>
            </w:r>
          </w:p>
        </w:tc>
      </w:tr>
      <w:tr>
        <w:trPr>
          <w:trHeight w:val="294" w:hRule="atLeast"/>
        </w:trPr>
        <w:tc>
          <w:tcPr>
            <w:tcW w:w="4109" w:type="dxa"/>
            <w:tcBorders>
              <w:top w:val="single" w:sz="6" w:space="0" w:color="69BD28"/>
              <w:bottom w:val="single" w:sz="6" w:space="0" w:color="69BD28"/>
            </w:tcBorders>
          </w:tcPr>
          <w:p>
            <w:pPr>
              <w:pStyle w:val="TableParagraph"/>
              <w:spacing w:before="44"/>
              <w:ind w:left="196" w:right="787"/>
              <w:rPr>
                <w:sz w:val="18"/>
              </w:rPr>
            </w:pPr>
            <w:r>
              <w:rPr>
                <w:sz w:val="18"/>
              </w:rPr>
              <w:t>Administrative &amp; General expenses</w:t>
            </w:r>
          </w:p>
        </w:tc>
        <w:tc>
          <w:tcPr>
            <w:tcW w:w="2486" w:type="dxa"/>
            <w:tcBorders>
              <w:top w:val="single" w:sz="6" w:space="0" w:color="69BD28"/>
              <w:bottom w:val="single" w:sz="6" w:space="0" w:color="69BD28"/>
            </w:tcBorders>
          </w:tcPr>
          <w:p>
            <w:pPr>
              <w:pStyle w:val="TableParagraph"/>
              <w:spacing w:before="44"/>
              <w:ind w:left="813" w:right="1018"/>
              <w:rPr>
                <w:sz w:val="18"/>
              </w:rPr>
            </w:pPr>
            <w:r>
              <w:rPr>
                <w:w w:val="105"/>
                <w:sz w:val="18"/>
              </w:rPr>
              <w:t>0.05</w:t>
            </w:r>
          </w:p>
        </w:tc>
        <w:tc>
          <w:tcPr>
            <w:tcW w:w="3890" w:type="dxa"/>
            <w:tcBorders>
              <w:top w:val="single" w:sz="6" w:space="0" w:color="69BD28"/>
              <w:bottom w:val="single" w:sz="6" w:space="0" w:color="69BD28"/>
            </w:tcBorders>
          </w:tcPr>
          <w:p>
            <w:pPr>
              <w:pStyle w:val="TableParagraph"/>
              <w:spacing w:before="44"/>
              <w:ind w:left="1010" w:right="606"/>
              <w:rPr>
                <w:sz w:val="18"/>
              </w:rPr>
            </w:pPr>
            <w:r>
              <w:rPr>
                <w:w w:val="105"/>
                <w:sz w:val="18"/>
              </w:rPr>
              <w:t>INR Mn per MW per annum</w:t>
            </w:r>
          </w:p>
        </w:tc>
      </w:tr>
      <w:tr>
        <w:trPr>
          <w:trHeight w:val="297" w:hRule="atLeast"/>
        </w:trPr>
        <w:tc>
          <w:tcPr>
            <w:tcW w:w="4109" w:type="dxa"/>
            <w:tcBorders>
              <w:top w:val="single" w:sz="6" w:space="0" w:color="69BD28"/>
              <w:bottom w:val="single" w:sz="6" w:space="0" w:color="69BD28"/>
            </w:tcBorders>
          </w:tcPr>
          <w:p>
            <w:pPr>
              <w:pStyle w:val="TableParagraph"/>
              <w:spacing w:before="44"/>
              <w:ind w:left="196" w:right="786"/>
              <w:rPr>
                <w:sz w:val="18"/>
              </w:rPr>
            </w:pPr>
            <w:r>
              <w:rPr>
                <w:sz w:val="18"/>
              </w:rPr>
              <w:t>Total</w:t>
            </w:r>
          </w:p>
        </w:tc>
        <w:tc>
          <w:tcPr>
            <w:tcW w:w="2486" w:type="dxa"/>
            <w:tcBorders>
              <w:top w:val="single" w:sz="6" w:space="0" w:color="69BD28"/>
              <w:bottom w:val="single" w:sz="6" w:space="0" w:color="69BD28"/>
            </w:tcBorders>
          </w:tcPr>
          <w:p>
            <w:pPr>
              <w:pStyle w:val="TableParagraph"/>
              <w:spacing w:before="44"/>
              <w:ind w:left="814" w:right="1017"/>
              <w:rPr>
                <w:sz w:val="18"/>
              </w:rPr>
            </w:pPr>
            <w:r>
              <w:rPr>
                <w:w w:val="105"/>
                <w:sz w:val="18"/>
              </w:rPr>
              <w:t>0.66</w:t>
            </w:r>
          </w:p>
        </w:tc>
        <w:tc>
          <w:tcPr>
            <w:tcW w:w="3890" w:type="dxa"/>
            <w:tcBorders>
              <w:top w:val="single" w:sz="6" w:space="0" w:color="69BD28"/>
              <w:bottom w:val="single" w:sz="6" w:space="0" w:color="69BD28"/>
            </w:tcBorders>
          </w:tcPr>
          <w:p>
            <w:pPr>
              <w:pStyle w:val="TableParagraph"/>
              <w:spacing w:before="44"/>
              <w:ind w:left="1008" w:right="607"/>
              <w:rPr>
                <w:sz w:val="18"/>
              </w:rPr>
            </w:pPr>
            <w:r>
              <w:rPr>
                <w:w w:val="105"/>
                <w:sz w:val="18"/>
              </w:rPr>
              <w:t>INR Mn per MW per annum</w:t>
            </w:r>
          </w:p>
        </w:tc>
      </w:tr>
    </w:tbl>
    <w:p>
      <w:pPr>
        <w:spacing w:before="0"/>
        <w:ind w:left="680" w:right="0" w:firstLine="0"/>
        <w:jc w:val="left"/>
        <w:rPr>
          <w:i/>
          <w:sz w:val="18"/>
        </w:rPr>
      </w:pPr>
      <w:r>
        <w:rPr>
          <w:i/>
          <w:sz w:val="18"/>
        </w:rPr>
        <w:t>Source: Valuer Assumption</w:t>
      </w:r>
    </w:p>
    <w:p>
      <w:pPr>
        <w:pStyle w:val="BodyText"/>
        <w:spacing w:before="11"/>
        <w:rPr>
          <w:i/>
          <w:sz w:val="26"/>
        </w:rPr>
      </w:pPr>
    </w:p>
    <w:p>
      <w:pPr>
        <w:pStyle w:val="BodyText"/>
        <w:ind w:left="1242"/>
        <w:jc w:val="both"/>
      </w:pPr>
      <w:r>
        <w:rPr/>
        <w:t>Additionally, the aforementioned operating expenses have been escalated at 4% p.a. going forward.</w:t>
      </w:r>
    </w:p>
    <w:p>
      <w:pPr>
        <w:pStyle w:val="BodyText"/>
        <w:spacing w:before="2"/>
        <w:rPr>
          <w:sz w:val="28"/>
        </w:rPr>
      </w:pPr>
    </w:p>
    <w:p>
      <w:pPr>
        <w:pStyle w:val="ListParagraph"/>
        <w:numPr>
          <w:ilvl w:val="2"/>
          <w:numId w:val="93"/>
        </w:numPr>
        <w:tabs>
          <w:tab w:pos="1401" w:val="left" w:leader="none"/>
        </w:tabs>
        <w:spacing w:line="240" w:lineRule="auto" w:before="1" w:after="0"/>
        <w:ind w:left="1400" w:right="0" w:hanging="721"/>
        <w:jc w:val="left"/>
        <w:rPr>
          <w:sz w:val="22"/>
        </w:rPr>
      </w:pPr>
      <w:bookmarkStart w:name="_bookmark402" w:id="786"/>
      <w:bookmarkEnd w:id="786"/>
      <w:r>
        <w:rPr/>
      </w:r>
      <w:bookmarkStart w:name="_bookmark402" w:id="787"/>
      <w:bookmarkEnd w:id="787"/>
      <w:r>
        <w:rPr>
          <w:color w:val="1F664D"/>
          <w:w w:val="110"/>
          <w:sz w:val="22"/>
        </w:rPr>
        <w:t>O</w:t>
      </w:r>
      <w:r>
        <w:rPr>
          <w:color w:val="1F664D"/>
          <w:w w:val="110"/>
          <w:sz w:val="22"/>
        </w:rPr>
        <w:t>pen Access</w:t>
      </w:r>
      <w:r>
        <w:rPr>
          <w:color w:val="1F664D"/>
          <w:spacing w:val="-19"/>
          <w:w w:val="110"/>
          <w:sz w:val="22"/>
        </w:rPr>
        <w:t> </w:t>
      </w:r>
      <w:r>
        <w:rPr>
          <w:color w:val="1F664D"/>
          <w:w w:val="110"/>
          <w:sz w:val="22"/>
        </w:rPr>
        <w:t>Charges</w:t>
      </w:r>
    </w:p>
    <w:p>
      <w:pPr>
        <w:pStyle w:val="BodyText"/>
        <w:spacing w:before="2"/>
        <w:rPr>
          <w:sz w:val="28"/>
        </w:rPr>
      </w:pPr>
    </w:p>
    <w:p>
      <w:pPr>
        <w:pStyle w:val="BodyText"/>
        <w:spacing w:line="321" w:lineRule="auto"/>
        <w:ind w:left="1242" w:right="675"/>
        <w:jc w:val="both"/>
      </w:pPr>
      <w:r>
        <w:rPr/>
        <w:t>Open</w:t>
      </w:r>
      <w:r>
        <w:rPr>
          <w:spacing w:val="-17"/>
        </w:rPr>
        <w:t> </w:t>
      </w:r>
      <w:r>
        <w:rPr/>
        <w:t>Access</w:t>
      </w:r>
      <w:r>
        <w:rPr>
          <w:spacing w:val="-14"/>
        </w:rPr>
        <w:t> </w:t>
      </w:r>
      <w:r>
        <w:rPr/>
        <w:t>charges</w:t>
      </w:r>
      <w:r>
        <w:rPr>
          <w:spacing w:val="-14"/>
        </w:rPr>
        <w:t> </w:t>
      </w:r>
      <w:r>
        <w:rPr/>
        <w:t>are</w:t>
      </w:r>
      <w:r>
        <w:rPr>
          <w:spacing w:val="-15"/>
        </w:rPr>
        <w:t> </w:t>
      </w:r>
      <w:r>
        <w:rPr/>
        <w:t>payable</w:t>
      </w:r>
      <w:r>
        <w:rPr>
          <w:spacing w:val="-15"/>
        </w:rPr>
        <w:t> </w:t>
      </w:r>
      <w:r>
        <w:rPr/>
        <w:t>towards</w:t>
      </w:r>
      <w:r>
        <w:rPr>
          <w:spacing w:val="-15"/>
        </w:rPr>
        <w:t> </w:t>
      </w:r>
      <w:r>
        <w:rPr/>
        <w:t>the</w:t>
      </w:r>
      <w:r>
        <w:rPr>
          <w:spacing w:val="-15"/>
        </w:rPr>
        <w:t> </w:t>
      </w:r>
      <w:r>
        <w:rPr/>
        <w:t>non-discriminatory</w:t>
      </w:r>
      <w:r>
        <w:rPr>
          <w:spacing w:val="-15"/>
        </w:rPr>
        <w:t> </w:t>
      </w:r>
      <w:r>
        <w:rPr/>
        <w:t>provision</w:t>
      </w:r>
      <w:r>
        <w:rPr>
          <w:spacing w:val="-15"/>
        </w:rPr>
        <w:t> </w:t>
      </w:r>
      <w:r>
        <w:rPr/>
        <w:t>for</w:t>
      </w:r>
      <w:r>
        <w:rPr>
          <w:spacing w:val="-16"/>
        </w:rPr>
        <w:t> </w:t>
      </w:r>
      <w:r>
        <w:rPr/>
        <w:t>the</w:t>
      </w:r>
      <w:r>
        <w:rPr>
          <w:spacing w:val="-15"/>
        </w:rPr>
        <w:t> </w:t>
      </w:r>
      <w:r>
        <w:rPr/>
        <w:t>use</w:t>
      </w:r>
      <w:r>
        <w:rPr>
          <w:spacing w:val="-15"/>
        </w:rPr>
        <w:t> </w:t>
      </w:r>
      <w:r>
        <w:rPr/>
        <w:t>of</w:t>
      </w:r>
      <w:r>
        <w:rPr>
          <w:spacing w:val="-13"/>
        </w:rPr>
        <w:t> </w:t>
      </w:r>
      <w:r>
        <w:rPr/>
        <w:t>transmission lines</w:t>
      </w:r>
      <w:r>
        <w:rPr>
          <w:spacing w:val="-30"/>
        </w:rPr>
        <w:t> </w:t>
      </w:r>
      <w:r>
        <w:rPr/>
        <w:t>or</w:t>
      </w:r>
      <w:r>
        <w:rPr>
          <w:spacing w:val="-30"/>
        </w:rPr>
        <w:t> </w:t>
      </w:r>
      <w:r>
        <w:rPr/>
        <w:t>distribution</w:t>
      </w:r>
      <w:r>
        <w:rPr>
          <w:spacing w:val="-29"/>
        </w:rPr>
        <w:t> </w:t>
      </w:r>
      <w:r>
        <w:rPr/>
        <w:t>system</w:t>
      </w:r>
      <w:r>
        <w:rPr>
          <w:spacing w:val="-30"/>
        </w:rPr>
        <w:t> </w:t>
      </w:r>
      <w:r>
        <w:rPr/>
        <w:t>or</w:t>
      </w:r>
      <w:r>
        <w:rPr>
          <w:spacing w:val="-30"/>
        </w:rPr>
        <w:t> </w:t>
      </w:r>
      <w:r>
        <w:rPr/>
        <w:t>associated</w:t>
      </w:r>
      <w:r>
        <w:rPr>
          <w:spacing w:val="-31"/>
        </w:rPr>
        <w:t> </w:t>
      </w:r>
      <w:r>
        <w:rPr/>
        <w:t>facilities</w:t>
      </w:r>
      <w:r>
        <w:rPr>
          <w:spacing w:val="-30"/>
        </w:rPr>
        <w:t> </w:t>
      </w:r>
      <w:r>
        <w:rPr/>
        <w:t>with</w:t>
      </w:r>
      <w:r>
        <w:rPr>
          <w:spacing w:val="-30"/>
        </w:rPr>
        <w:t> </w:t>
      </w:r>
      <w:r>
        <w:rPr/>
        <w:t>such</w:t>
      </w:r>
      <w:r>
        <w:rPr>
          <w:spacing w:val="-29"/>
        </w:rPr>
        <w:t> </w:t>
      </w:r>
      <w:r>
        <w:rPr/>
        <w:t>lines</w:t>
      </w:r>
      <w:r>
        <w:rPr>
          <w:spacing w:val="-29"/>
        </w:rPr>
        <w:t> </w:t>
      </w:r>
      <w:r>
        <w:rPr/>
        <w:t>or</w:t>
      </w:r>
      <w:r>
        <w:rPr>
          <w:spacing w:val="-31"/>
        </w:rPr>
        <w:t> </w:t>
      </w:r>
      <w:r>
        <w:rPr/>
        <w:t>system</w:t>
      </w:r>
      <w:r>
        <w:rPr>
          <w:spacing w:val="-31"/>
        </w:rPr>
        <w:t> </w:t>
      </w:r>
      <w:r>
        <w:rPr/>
        <w:t>by</w:t>
      </w:r>
      <w:r>
        <w:rPr>
          <w:spacing w:val="-28"/>
        </w:rPr>
        <w:t> </w:t>
      </w:r>
      <w:r>
        <w:rPr/>
        <w:t>any</w:t>
      </w:r>
      <w:r>
        <w:rPr>
          <w:spacing w:val="-29"/>
        </w:rPr>
        <w:t> </w:t>
      </w:r>
      <w:r>
        <w:rPr/>
        <w:t>licensee</w:t>
      </w:r>
      <w:r>
        <w:rPr>
          <w:spacing w:val="-31"/>
        </w:rPr>
        <w:t> </w:t>
      </w:r>
      <w:r>
        <w:rPr/>
        <w:t>or</w:t>
      </w:r>
      <w:r>
        <w:rPr>
          <w:spacing w:val="-30"/>
        </w:rPr>
        <w:t> </w:t>
      </w:r>
      <w:r>
        <w:rPr/>
        <w:t>consumer or a person engaged in generation in accordance with the regulations specified by the appropriate Commission.</w:t>
      </w:r>
      <w:r>
        <w:rPr>
          <w:spacing w:val="-38"/>
        </w:rPr>
        <w:t> </w:t>
      </w:r>
      <w:r>
        <w:rPr/>
        <w:t>On</w:t>
      </w:r>
      <w:r>
        <w:rPr>
          <w:spacing w:val="-39"/>
        </w:rPr>
        <w:t> </w:t>
      </w:r>
      <w:r>
        <w:rPr/>
        <w:t>review</w:t>
      </w:r>
      <w:r>
        <w:rPr>
          <w:spacing w:val="-39"/>
        </w:rPr>
        <w:t> </w:t>
      </w:r>
      <w:r>
        <w:rPr/>
        <w:t>of</w:t>
      </w:r>
      <w:r>
        <w:rPr>
          <w:spacing w:val="-37"/>
        </w:rPr>
        <w:t> </w:t>
      </w:r>
      <w:r>
        <w:rPr/>
        <w:t>the</w:t>
      </w:r>
      <w:r>
        <w:rPr>
          <w:spacing w:val="-39"/>
        </w:rPr>
        <w:t> </w:t>
      </w:r>
      <w:r>
        <w:rPr/>
        <w:t>power</w:t>
      </w:r>
      <w:r>
        <w:rPr>
          <w:spacing w:val="-38"/>
        </w:rPr>
        <w:t> </w:t>
      </w:r>
      <w:r>
        <w:rPr/>
        <w:t>regulations</w:t>
      </w:r>
      <w:r>
        <w:rPr>
          <w:spacing w:val="-39"/>
        </w:rPr>
        <w:t> </w:t>
      </w:r>
      <w:r>
        <w:rPr/>
        <w:t>/</w:t>
      </w:r>
      <w:r>
        <w:rPr>
          <w:spacing w:val="-39"/>
        </w:rPr>
        <w:t> </w:t>
      </w:r>
      <w:r>
        <w:rPr/>
        <w:t>tariff</w:t>
      </w:r>
      <w:r>
        <w:rPr>
          <w:spacing w:val="-37"/>
        </w:rPr>
        <w:t> </w:t>
      </w:r>
      <w:r>
        <w:rPr/>
        <w:t>orders</w:t>
      </w:r>
      <w:r>
        <w:rPr>
          <w:spacing w:val="-38"/>
        </w:rPr>
        <w:t> </w:t>
      </w:r>
      <w:r>
        <w:rPr/>
        <w:t>of</w:t>
      </w:r>
      <w:r>
        <w:rPr>
          <w:spacing w:val="-36"/>
        </w:rPr>
        <w:t> </w:t>
      </w:r>
      <w:r>
        <w:rPr/>
        <w:t>KERC</w:t>
      </w:r>
      <w:r>
        <w:rPr>
          <w:spacing w:val="-39"/>
        </w:rPr>
        <w:t> </w:t>
      </w:r>
      <w:r>
        <w:rPr/>
        <w:t>(Karnataka</w:t>
      </w:r>
      <w:r>
        <w:rPr>
          <w:spacing w:val="-39"/>
        </w:rPr>
        <w:t> </w:t>
      </w:r>
      <w:r>
        <w:rPr/>
        <w:t>Electricity</w:t>
      </w:r>
      <w:r>
        <w:rPr>
          <w:spacing w:val="-37"/>
        </w:rPr>
        <w:t> </w:t>
      </w:r>
      <w:r>
        <w:rPr/>
        <w:t>Regulatory Commission),</w:t>
      </w:r>
      <w:r>
        <w:rPr>
          <w:spacing w:val="-24"/>
        </w:rPr>
        <w:t> </w:t>
      </w:r>
      <w:r>
        <w:rPr/>
        <w:t>we</w:t>
      </w:r>
      <w:r>
        <w:rPr>
          <w:spacing w:val="-23"/>
        </w:rPr>
        <w:t> </w:t>
      </w:r>
      <w:r>
        <w:rPr/>
        <w:t>understand</w:t>
      </w:r>
      <w:r>
        <w:rPr>
          <w:spacing w:val="-22"/>
        </w:rPr>
        <w:t> </w:t>
      </w:r>
      <w:r>
        <w:rPr/>
        <w:t>that</w:t>
      </w:r>
      <w:r>
        <w:rPr>
          <w:spacing w:val="-22"/>
        </w:rPr>
        <w:t> </w:t>
      </w:r>
      <w:r>
        <w:rPr/>
        <w:t>an</w:t>
      </w:r>
      <w:r>
        <w:rPr>
          <w:spacing w:val="-23"/>
        </w:rPr>
        <w:t> </w:t>
      </w:r>
      <w:r>
        <w:rPr/>
        <w:t>electricity</w:t>
      </w:r>
      <w:r>
        <w:rPr>
          <w:spacing w:val="-23"/>
        </w:rPr>
        <w:t> </w:t>
      </w:r>
      <w:r>
        <w:rPr/>
        <w:t>generation</w:t>
      </w:r>
      <w:r>
        <w:rPr>
          <w:spacing w:val="-23"/>
        </w:rPr>
        <w:t> </w:t>
      </w:r>
      <w:r>
        <w:rPr/>
        <w:t>facility</w:t>
      </w:r>
      <w:r>
        <w:rPr>
          <w:spacing w:val="-22"/>
        </w:rPr>
        <w:t> </w:t>
      </w:r>
      <w:r>
        <w:rPr/>
        <w:t>is</w:t>
      </w:r>
      <w:r>
        <w:rPr>
          <w:spacing w:val="-22"/>
        </w:rPr>
        <w:t> </w:t>
      </w:r>
      <w:r>
        <w:rPr/>
        <w:t>bound</w:t>
      </w:r>
      <w:r>
        <w:rPr>
          <w:spacing w:val="-23"/>
        </w:rPr>
        <w:t> </w:t>
      </w:r>
      <w:r>
        <w:rPr/>
        <w:t>to</w:t>
      </w:r>
      <w:r>
        <w:rPr>
          <w:spacing w:val="-23"/>
        </w:rPr>
        <w:t> </w:t>
      </w:r>
      <w:r>
        <w:rPr/>
        <w:t>the</w:t>
      </w:r>
      <w:r>
        <w:rPr>
          <w:spacing w:val="-23"/>
        </w:rPr>
        <w:t> </w:t>
      </w:r>
      <w:r>
        <w:rPr/>
        <w:t>open</w:t>
      </w:r>
      <w:r>
        <w:rPr>
          <w:spacing w:val="-22"/>
        </w:rPr>
        <w:t> </w:t>
      </w:r>
      <w:r>
        <w:rPr/>
        <w:t>access</w:t>
      </w:r>
      <w:r>
        <w:rPr>
          <w:spacing w:val="-22"/>
        </w:rPr>
        <w:t> </w:t>
      </w:r>
      <w:r>
        <w:rPr/>
        <w:t>charges as listed</w:t>
      </w:r>
      <w:r>
        <w:rPr>
          <w:spacing w:val="-7"/>
        </w:rPr>
        <w:t> </w:t>
      </w:r>
      <w:r>
        <w:rPr/>
        <w:t>below:</w:t>
      </w:r>
    </w:p>
    <w:p>
      <w:pPr>
        <w:pStyle w:val="BodyText"/>
        <w:spacing w:before="8"/>
        <w:rPr>
          <w:sz w:val="29"/>
        </w:rPr>
      </w:pPr>
    </w:p>
    <w:p>
      <w:pPr>
        <w:pStyle w:val="BodyText"/>
        <w:ind w:left="1242"/>
        <w:jc w:val="both"/>
      </w:pPr>
      <w:r>
        <w:rPr>
          <w:u w:val="single"/>
        </w:rPr>
        <w:t>Cross Subsidy Surcharge (CSS)</w:t>
      </w:r>
    </w:p>
    <w:p>
      <w:pPr>
        <w:pStyle w:val="BodyText"/>
        <w:spacing w:line="321" w:lineRule="auto" w:before="88"/>
        <w:ind w:left="1242" w:right="674"/>
        <w:jc w:val="both"/>
      </w:pPr>
      <w:r>
        <w:rPr/>
        <w:t>Cross-subsidies</w:t>
      </w:r>
      <w:r>
        <w:rPr>
          <w:spacing w:val="-19"/>
        </w:rPr>
        <w:t> </w:t>
      </w:r>
      <w:r>
        <w:rPr/>
        <w:t>in</w:t>
      </w:r>
      <w:r>
        <w:rPr>
          <w:spacing w:val="-19"/>
        </w:rPr>
        <w:t> </w:t>
      </w:r>
      <w:r>
        <w:rPr/>
        <w:t>electricity</w:t>
      </w:r>
      <w:r>
        <w:rPr>
          <w:spacing w:val="-17"/>
        </w:rPr>
        <w:t> </w:t>
      </w:r>
      <w:r>
        <w:rPr/>
        <w:t>tariff</w:t>
      </w:r>
      <w:r>
        <w:rPr>
          <w:spacing w:val="-19"/>
        </w:rPr>
        <w:t> </w:t>
      </w:r>
      <w:r>
        <w:rPr/>
        <w:t>can</w:t>
      </w:r>
      <w:r>
        <w:rPr>
          <w:spacing w:val="-18"/>
        </w:rPr>
        <w:t> </w:t>
      </w:r>
      <w:r>
        <w:rPr/>
        <w:t>be</w:t>
      </w:r>
      <w:r>
        <w:rPr>
          <w:spacing w:val="-20"/>
        </w:rPr>
        <w:t> </w:t>
      </w:r>
      <w:r>
        <w:rPr/>
        <w:t>defined</w:t>
      </w:r>
      <w:r>
        <w:rPr>
          <w:spacing w:val="-18"/>
        </w:rPr>
        <w:t> </w:t>
      </w:r>
      <w:r>
        <w:rPr/>
        <w:t>as</w:t>
      </w:r>
      <w:r>
        <w:rPr>
          <w:spacing w:val="-17"/>
        </w:rPr>
        <w:t> </w:t>
      </w:r>
      <w:r>
        <w:rPr/>
        <w:t>a</w:t>
      </w:r>
      <w:r>
        <w:rPr>
          <w:spacing w:val="-18"/>
        </w:rPr>
        <w:t> </w:t>
      </w:r>
      <w:r>
        <w:rPr/>
        <w:t>mechanism</w:t>
      </w:r>
      <w:r>
        <w:rPr>
          <w:spacing w:val="-19"/>
        </w:rPr>
        <w:t> </w:t>
      </w:r>
      <w:r>
        <w:rPr/>
        <w:t>whereby</w:t>
      </w:r>
      <w:r>
        <w:rPr>
          <w:spacing w:val="-19"/>
        </w:rPr>
        <w:t> </w:t>
      </w:r>
      <w:r>
        <w:rPr/>
        <w:t>some</w:t>
      </w:r>
      <w:r>
        <w:rPr>
          <w:spacing w:val="-14"/>
        </w:rPr>
        <w:t> </w:t>
      </w:r>
      <w:r>
        <w:rPr/>
        <w:t>consumer</w:t>
      </w:r>
      <w:r>
        <w:rPr>
          <w:spacing w:val="-20"/>
        </w:rPr>
        <w:t> </w:t>
      </w:r>
      <w:r>
        <w:rPr/>
        <w:t>groups</w:t>
      </w:r>
      <w:r>
        <w:rPr>
          <w:spacing w:val="-19"/>
        </w:rPr>
        <w:t> </w:t>
      </w:r>
      <w:r>
        <w:rPr/>
        <w:t>are charged a higher tariff as compared to the cost of supplying power to them. The additional revenue generated</w:t>
      </w:r>
      <w:r>
        <w:rPr>
          <w:spacing w:val="-8"/>
        </w:rPr>
        <w:t> </w:t>
      </w:r>
      <w:r>
        <w:rPr/>
        <w:t>from</w:t>
      </w:r>
      <w:r>
        <w:rPr>
          <w:spacing w:val="-9"/>
        </w:rPr>
        <w:t> </w:t>
      </w:r>
      <w:r>
        <w:rPr/>
        <w:t>them</w:t>
      </w:r>
      <w:r>
        <w:rPr>
          <w:spacing w:val="-8"/>
        </w:rPr>
        <w:t> </w:t>
      </w:r>
      <w:r>
        <w:rPr/>
        <w:t>is</w:t>
      </w:r>
      <w:r>
        <w:rPr>
          <w:spacing w:val="-8"/>
        </w:rPr>
        <w:t> </w:t>
      </w:r>
      <w:r>
        <w:rPr/>
        <w:t>used</w:t>
      </w:r>
      <w:r>
        <w:rPr>
          <w:spacing w:val="-8"/>
        </w:rPr>
        <w:t> </w:t>
      </w:r>
      <w:r>
        <w:rPr/>
        <w:t>to</w:t>
      </w:r>
      <w:r>
        <w:rPr>
          <w:spacing w:val="-8"/>
        </w:rPr>
        <w:t> </w:t>
      </w:r>
      <w:r>
        <w:rPr/>
        <w:t>tide</w:t>
      </w:r>
      <w:r>
        <w:rPr>
          <w:spacing w:val="-8"/>
        </w:rPr>
        <w:t> </w:t>
      </w:r>
      <w:r>
        <w:rPr/>
        <w:t>over</w:t>
      </w:r>
      <w:r>
        <w:rPr>
          <w:spacing w:val="-9"/>
        </w:rPr>
        <w:t> </w:t>
      </w:r>
      <w:r>
        <w:rPr/>
        <w:t>the</w:t>
      </w:r>
      <w:r>
        <w:rPr>
          <w:spacing w:val="-8"/>
        </w:rPr>
        <w:t> </w:t>
      </w:r>
      <w:r>
        <w:rPr/>
        <w:t>revenue</w:t>
      </w:r>
      <w:r>
        <w:rPr>
          <w:spacing w:val="-9"/>
        </w:rPr>
        <w:t> </w:t>
      </w:r>
      <w:r>
        <w:rPr/>
        <w:t>shortfall</w:t>
      </w:r>
      <w:r>
        <w:rPr>
          <w:spacing w:val="-9"/>
        </w:rPr>
        <w:t> </w:t>
      </w:r>
      <w:r>
        <w:rPr/>
        <w:t>from</w:t>
      </w:r>
      <w:r>
        <w:rPr>
          <w:spacing w:val="-8"/>
        </w:rPr>
        <w:t> </w:t>
      </w:r>
      <w:r>
        <w:rPr/>
        <w:t>other</w:t>
      </w:r>
      <w:r>
        <w:rPr>
          <w:spacing w:val="-7"/>
        </w:rPr>
        <w:t> </w:t>
      </w:r>
      <w:r>
        <w:rPr/>
        <w:t>consumer</w:t>
      </w:r>
      <w:r>
        <w:rPr>
          <w:spacing w:val="-9"/>
        </w:rPr>
        <w:t> </w:t>
      </w:r>
      <w:r>
        <w:rPr/>
        <w:t>groups,</w:t>
      </w:r>
      <w:r>
        <w:rPr>
          <w:spacing w:val="-8"/>
        </w:rPr>
        <w:t> </w:t>
      </w:r>
      <w:r>
        <w:rPr>
          <w:spacing w:val="2"/>
        </w:rPr>
        <w:t>who</w:t>
      </w:r>
      <w:r>
        <w:rPr>
          <w:spacing w:val="-9"/>
        </w:rPr>
        <w:t> </w:t>
      </w:r>
      <w:r>
        <w:rPr/>
        <w:t>are charged</w:t>
      </w:r>
      <w:r>
        <w:rPr>
          <w:spacing w:val="-15"/>
        </w:rPr>
        <w:t> </w:t>
      </w:r>
      <w:r>
        <w:rPr/>
        <w:t>lesser</w:t>
      </w:r>
      <w:r>
        <w:rPr>
          <w:spacing w:val="-15"/>
        </w:rPr>
        <w:t> </w:t>
      </w:r>
      <w:r>
        <w:rPr/>
        <w:t>tariff</w:t>
      </w:r>
      <w:r>
        <w:rPr>
          <w:spacing w:val="-15"/>
        </w:rPr>
        <w:t> </w:t>
      </w:r>
      <w:r>
        <w:rPr/>
        <w:t>as</w:t>
      </w:r>
      <w:r>
        <w:rPr>
          <w:spacing w:val="-15"/>
        </w:rPr>
        <w:t> </w:t>
      </w:r>
      <w:r>
        <w:rPr/>
        <w:t>compared</w:t>
      </w:r>
      <w:r>
        <w:rPr>
          <w:spacing w:val="-16"/>
        </w:rPr>
        <w:t> </w:t>
      </w:r>
      <w:r>
        <w:rPr/>
        <w:t>to</w:t>
      </w:r>
      <w:r>
        <w:rPr>
          <w:spacing w:val="-15"/>
        </w:rPr>
        <w:t> </w:t>
      </w:r>
      <w:r>
        <w:rPr/>
        <w:t>the</w:t>
      </w:r>
      <w:r>
        <w:rPr>
          <w:spacing w:val="-16"/>
        </w:rPr>
        <w:t> </w:t>
      </w:r>
      <w:r>
        <w:rPr/>
        <w:t>cost</w:t>
      </w:r>
      <w:r>
        <w:rPr>
          <w:spacing w:val="-15"/>
        </w:rPr>
        <w:t> </w:t>
      </w:r>
      <w:r>
        <w:rPr/>
        <w:t>of</w:t>
      </w:r>
      <w:r>
        <w:rPr>
          <w:spacing w:val="-16"/>
        </w:rPr>
        <w:t> </w:t>
      </w:r>
      <w:r>
        <w:rPr/>
        <w:t>supplying</w:t>
      </w:r>
      <w:r>
        <w:rPr>
          <w:spacing w:val="-16"/>
        </w:rPr>
        <w:t> </w:t>
      </w:r>
      <w:r>
        <w:rPr/>
        <w:t>power</w:t>
      </w:r>
      <w:r>
        <w:rPr>
          <w:spacing w:val="-17"/>
        </w:rPr>
        <w:t> </w:t>
      </w:r>
      <w:r>
        <w:rPr/>
        <w:t>to</w:t>
      </w:r>
      <w:r>
        <w:rPr>
          <w:spacing w:val="-16"/>
        </w:rPr>
        <w:t> </w:t>
      </w:r>
      <w:r>
        <w:rPr/>
        <w:t>them.</w:t>
      </w:r>
      <w:r>
        <w:rPr>
          <w:spacing w:val="-19"/>
        </w:rPr>
        <w:t> </w:t>
      </w:r>
      <w:r>
        <w:rPr/>
        <w:t>Cross</w:t>
      </w:r>
      <w:r>
        <w:rPr>
          <w:spacing w:val="-16"/>
        </w:rPr>
        <w:t> </w:t>
      </w:r>
      <w:r>
        <w:rPr/>
        <w:t>subsidies</w:t>
      </w:r>
      <w:r>
        <w:rPr>
          <w:spacing w:val="-16"/>
        </w:rPr>
        <w:t> </w:t>
      </w:r>
      <w:r>
        <w:rPr/>
        <w:t>are</w:t>
      </w:r>
      <w:r>
        <w:rPr>
          <w:spacing w:val="-15"/>
        </w:rPr>
        <w:t> </w:t>
      </w:r>
      <w:r>
        <w:rPr/>
        <w:t>targeted at consumer groups who either do not have enough paying capacity or need to be supported for undertaking</w:t>
      </w:r>
      <w:r>
        <w:rPr>
          <w:spacing w:val="-18"/>
        </w:rPr>
        <w:t> </w:t>
      </w:r>
      <w:r>
        <w:rPr/>
        <w:t>economic</w:t>
      </w:r>
      <w:r>
        <w:rPr>
          <w:spacing w:val="-18"/>
        </w:rPr>
        <w:t> </w:t>
      </w:r>
      <w:r>
        <w:rPr/>
        <w:t>activities</w:t>
      </w:r>
      <w:r>
        <w:rPr>
          <w:spacing w:val="-17"/>
        </w:rPr>
        <w:t> </w:t>
      </w:r>
      <w:r>
        <w:rPr/>
        <w:t>(e.g.,</w:t>
      </w:r>
      <w:r>
        <w:rPr>
          <w:spacing w:val="-18"/>
        </w:rPr>
        <w:t> </w:t>
      </w:r>
      <w:r>
        <w:rPr/>
        <w:t>agriculture,</w:t>
      </w:r>
      <w:r>
        <w:rPr>
          <w:spacing w:val="-18"/>
        </w:rPr>
        <w:t> </w:t>
      </w:r>
      <w:r>
        <w:rPr/>
        <w:t>power</w:t>
      </w:r>
      <w:r>
        <w:rPr>
          <w:spacing w:val="-18"/>
        </w:rPr>
        <w:t> </w:t>
      </w:r>
      <w:r>
        <w:rPr/>
        <w:t>looms,</w:t>
      </w:r>
      <w:r>
        <w:rPr>
          <w:spacing w:val="-18"/>
        </w:rPr>
        <w:t> </w:t>
      </w:r>
      <w:r>
        <w:rPr/>
        <w:t>etc.),</w:t>
      </w:r>
      <w:r>
        <w:rPr>
          <w:spacing w:val="-18"/>
        </w:rPr>
        <w:t> </w:t>
      </w:r>
      <w:r>
        <w:rPr/>
        <w:t>which</w:t>
      </w:r>
      <w:r>
        <w:rPr>
          <w:spacing w:val="-18"/>
        </w:rPr>
        <w:t> </w:t>
      </w:r>
      <w:r>
        <w:rPr/>
        <w:t>in</w:t>
      </w:r>
      <w:r>
        <w:rPr>
          <w:spacing w:val="-18"/>
        </w:rPr>
        <w:t> </w:t>
      </w:r>
      <w:r>
        <w:rPr/>
        <w:t>some</w:t>
      </w:r>
      <w:r>
        <w:rPr>
          <w:spacing w:val="-18"/>
        </w:rPr>
        <w:t> </w:t>
      </w:r>
      <w:r>
        <w:rPr/>
        <w:t>way</w:t>
      </w:r>
      <w:r>
        <w:rPr>
          <w:spacing w:val="-17"/>
        </w:rPr>
        <w:t> </w:t>
      </w:r>
      <w:r>
        <w:rPr/>
        <w:t>benefit</w:t>
      </w:r>
      <w:r>
        <w:rPr>
          <w:spacing w:val="-16"/>
        </w:rPr>
        <w:t> </w:t>
      </w:r>
      <w:r>
        <w:rPr/>
        <w:t>the larger</w:t>
      </w:r>
      <w:r>
        <w:rPr>
          <w:spacing w:val="-3"/>
        </w:rPr>
        <w:t> </w:t>
      </w:r>
      <w:r>
        <w:rPr/>
        <w:t>section</w:t>
      </w:r>
      <w:r>
        <w:rPr>
          <w:spacing w:val="-3"/>
        </w:rPr>
        <w:t> </w:t>
      </w:r>
      <w:r>
        <w:rPr/>
        <w:t>of</w:t>
      </w:r>
      <w:r>
        <w:rPr>
          <w:spacing w:val="-4"/>
        </w:rPr>
        <w:t> </w:t>
      </w:r>
      <w:r>
        <w:rPr/>
        <w:t>society.</w:t>
      </w:r>
      <w:r>
        <w:rPr>
          <w:spacing w:val="-5"/>
        </w:rPr>
        <w:t> </w:t>
      </w:r>
      <w:r>
        <w:rPr/>
        <w:t>As</w:t>
      </w:r>
      <w:r>
        <w:rPr>
          <w:spacing w:val="-2"/>
        </w:rPr>
        <w:t> </w:t>
      </w:r>
      <w:r>
        <w:rPr/>
        <w:t>per</w:t>
      </w:r>
      <w:r>
        <w:rPr>
          <w:spacing w:val="-5"/>
        </w:rPr>
        <w:t> </w:t>
      </w:r>
      <w:r>
        <w:rPr/>
        <w:t>the</w:t>
      </w:r>
      <w:r>
        <w:rPr>
          <w:spacing w:val="-3"/>
        </w:rPr>
        <w:t> </w:t>
      </w:r>
      <w:r>
        <w:rPr/>
        <w:t>KERC</w:t>
      </w:r>
      <w:r>
        <w:rPr>
          <w:spacing w:val="-4"/>
        </w:rPr>
        <w:t> </w:t>
      </w:r>
      <w:r>
        <w:rPr/>
        <w:t>Tariff</w:t>
      </w:r>
      <w:r>
        <w:rPr>
          <w:spacing w:val="-2"/>
        </w:rPr>
        <w:t> </w:t>
      </w:r>
      <w:r>
        <w:rPr/>
        <w:t>Order</w:t>
      </w:r>
      <w:r>
        <w:rPr>
          <w:spacing w:val="-3"/>
        </w:rPr>
        <w:t> </w:t>
      </w:r>
      <w:r>
        <w:rPr/>
        <w:t>2019,</w:t>
      </w:r>
      <w:r>
        <w:rPr>
          <w:spacing w:val="-2"/>
        </w:rPr>
        <w:t> </w:t>
      </w:r>
      <w:r>
        <w:rPr/>
        <w:t>it</w:t>
      </w:r>
      <w:r>
        <w:rPr>
          <w:spacing w:val="-3"/>
        </w:rPr>
        <w:t> </w:t>
      </w:r>
      <w:r>
        <w:rPr/>
        <w:t>is</w:t>
      </w:r>
      <w:r>
        <w:rPr>
          <w:spacing w:val="-4"/>
        </w:rPr>
        <w:t> </w:t>
      </w:r>
      <w:r>
        <w:rPr/>
        <w:t>understood</w:t>
      </w:r>
      <w:r>
        <w:rPr>
          <w:spacing w:val="-2"/>
        </w:rPr>
        <w:t> </w:t>
      </w:r>
      <w:r>
        <w:rPr/>
        <w:t>the</w:t>
      </w:r>
      <w:r>
        <w:rPr>
          <w:spacing w:val="-5"/>
        </w:rPr>
        <w:t> </w:t>
      </w:r>
      <w:r>
        <w:rPr/>
        <w:t>CSS</w:t>
      </w:r>
      <w:r>
        <w:rPr>
          <w:spacing w:val="-3"/>
        </w:rPr>
        <w:t> </w:t>
      </w:r>
      <w:r>
        <w:rPr/>
        <w:t>for</w:t>
      </w:r>
      <w:r>
        <w:rPr>
          <w:spacing w:val="-5"/>
        </w:rPr>
        <w:t> </w:t>
      </w:r>
      <w:r>
        <w:rPr/>
        <w:t>commercial category</w:t>
      </w:r>
      <w:r>
        <w:rPr>
          <w:spacing w:val="-9"/>
        </w:rPr>
        <w:t> </w:t>
      </w:r>
      <w:r>
        <w:rPr/>
        <w:t>HT-2b</w:t>
      </w:r>
      <w:r>
        <w:rPr>
          <w:spacing w:val="-12"/>
        </w:rPr>
        <w:t> </w:t>
      </w:r>
      <w:r>
        <w:rPr/>
        <w:t>(i)</w:t>
      </w:r>
      <w:r>
        <w:rPr>
          <w:spacing w:val="-9"/>
        </w:rPr>
        <w:t> </w:t>
      </w:r>
      <w:r>
        <w:rPr/>
        <w:t>is</w:t>
      </w:r>
      <w:r>
        <w:rPr>
          <w:spacing w:val="-9"/>
        </w:rPr>
        <w:t> </w:t>
      </w:r>
      <w:r>
        <w:rPr/>
        <w:t>INR</w:t>
      </w:r>
      <w:r>
        <w:rPr>
          <w:spacing w:val="-12"/>
        </w:rPr>
        <w:t> </w:t>
      </w:r>
      <w:r>
        <w:rPr/>
        <w:t>2.13</w:t>
      </w:r>
      <w:r>
        <w:rPr>
          <w:spacing w:val="-10"/>
        </w:rPr>
        <w:t> </w:t>
      </w:r>
      <w:r>
        <w:rPr/>
        <w:t>per</w:t>
      </w:r>
      <w:r>
        <w:rPr>
          <w:spacing w:val="-11"/>
        </w:rPr>
        <w:t> </w:t>
      </w:r>
      <w:r>
        <w:rPr/>
        <w:t>kWH</w:t>
      </w:r>
      <w:r>
        <w:rPr>
          <w:spacing w:val="-11"/>
        </w:rPr>
        <w:t> </w:t>
      </w:r>
      <w:r>
        <w:rPr/>
        <w:t>and</w:t>
      </w:r>
      <w:r>
        <w:rPr>
          <w:spacing w:val="-9"/>
        </w:rPr>
        <w:t> </w:t>
      </w:r>
      <w:r>
        <w:rPr/>
        <w:t>for</w:t>
      </w:r>
      <w:r>
        <w:rPr>
          <w:spacing w:val="-11"/>
        </w:rPr>
        <w:t> </w:t>
      </w:r>
      <w:r>
        <w:rPr/>
        <w:t>industrial</w:t>
      </w:r>
      <w:r>
        <w:rPr>
          <w:spacing w:val="-10"/>
        </w:rPr>
        <w:t> </w:t>
      </w:r>
      <w:r>
        <w:rPr/>
        <w:t>category</w:t>
      </w:r>
      <w:r>
        <w:rPr>
          <w:spacing w:val="-9"/>
        </w:rPr>
        <w:t> </w:t>
      </w:r>
      <w:r>
        <w:rPr/>
        <w:t>HT</w:t>
      </w:r>
      <w:r>
        <w:rPr>
          <w:spacing w:val="-10"/>
        </w:rPr>
        <w:t> </w:t>
      </w:r>
      <w:r>
        <w:rPr/>
        <w:t>2a</w:t>
      </w:r>
      <w:r>
        <w:rPr>
          <w:spacing w:val="-13"/>
        </w:rPr>
        <w:t> </w:t>
      </w:r>
      <w:r>
        <w:rPr/>
        <w:t>(i)</w:t>
      </w:r>
      <w:r>
        <w:rPr>
          <w:spacing w:val="-10"/>
        </w:rPr>
        <w:t> </w:t>
      </w:r>
      <w:r>
        <w:rPr/>
        <w:t>is</w:t>
      </w:r>
      <w:r>
        <w:rPr>
          <w:spacing w:val="-11"/>
        </w:rPr>
        <w:t> </w:t>
      </w:r>
      <w:r>
        <w:rPr/>
        <w:t>INR</w:t>
      </w:r>
      <w:r>
        <w:rPr>
          <w:spacing w:val="-11"/>
        </w:rPr>
        <w:t> </w:t>
      </w:r>
      <w:r>
        <w:rPr/>
        <w:t>1.87</w:t>
      </w:r>
      <w:r>
        <w:rPr>
          <w:spacing w:val="-11"/>
        </w:rPr>
        <w:t> </w:t>
      </w:r>
      <w:r>
        <w:rPr/>
        <w:t>per</w:t>
      </w:r>
      <w:r>
        <w:rPr>
          <w:spacing w:val="-10"/>
        </w:rPr>
        <w:t> </w:t>
      </w:r>
      <w:r>
        <w:rPr/>
        <w:t>kWH</w:t>
      </w:r>
      <w:r>
        <w:rPr>
          <w:spacing w:val="-11"/>
        </w:rPr>
        <w:t> </w:t>
      </w:r>
      <w:r>
        <w:rPr/>
        <w:t>for</w:t>
      </w:r>
      <w:r>
        <w:rPr>
          <w:spacing w:val="-12"/>
        </w:rPr>
        <w:t> </w:t>
      </w:r>
      <w:r>
        <w:rPr/>
        <w:t>FY 2020.</w:t>
      </w:r>
    </w:p>
    <w:p>
      <w:pPr>
        <w:pStyle w:val="BodyText"/>
        <w:rPr>
          <w:sz w:val="30"/>
        </w:rPr>
      </w:pPr>
    </w:p>
    <w:p>
      <w:pPr>
        <w:pStyle w:val="BodyText"/>
        <w:spacing w:before="1"/>
        <w:ind w:left="1242"/>
        <w:jc w:val="both"/>
      </w:pPr>
      <w:r>
        <w:rPr>
          <w:u w:val="single"/>
        </w:rPr>
        <w:t>Transmission Charges</w:t>
      </w:r>
    </w:p>
    <w:p>
      <w:pPr>
        <w:pStyle w:val="BodyText"/>
        <w:spacing w:line="321" w:lineRule="auto" w:before="87"/>
        <w:ind w:left="1242" w:right="679"/>
        <w:jc w:val="both"/>
      </w:pPr>
      <w:r>
        <w:rPr/>
        <w:t>Transmission</w:t>
      </w:r>
      <w:r>
        <w:rPr>
          <w:spacing w:val="-9"/>
        </w:rPr>
        <w:t> </w:t>
      </w:r>
      <w:r>
        <w:rPr/>
        <w:t>charges</w:t>
      </w:r>
      <w:r>
        <w:rPr>
          <w:spacing w:val="-7"/>
        </w:rPr>
        <w:t> </w:t>
      </w:r>
      <w:r>
        <w:rPr/>
        <w:t>refer</w:t>
      </w:r>
      <w:r>
        <w:rPr>
          <w:spacing w:val="-8"/>
        </w:rPr>
        <w:t> </w:t>
      </w:r>
      <w:r>
        <w:rPr/>
        <w:t>to</w:t>
      </w:r>
      <w:r>
        <w:rPr>
          <w:spacing w:val="-8"/>
        </w:rPr>
        <w:t> </w:t>
      </w:r>
      <w:r>
        <w:rPr/>
        <w:t>the</w:t>
      </w:r>
      <w:r>
        <w:rPr>
          <w:spacing w:val="-8"/>
        </w:rPr>
        <w:t> </w:t>
      </w:r>
      <w:r>
        <w:rPr/>
        <w:t>cost</w:t>
      </w:r>
      <w:r>
        <w:rPr>
          <w:spacing w:val="-7"/>
        </w:rPr>
        <w:t> </w:t>
      </w:r>
      <w:r>
        <w:rPr/>
        <w:t>of</w:t>
      </w:r>
      <w:r>
        <w:rPr>
          <w:spacing w:val="-7"/>
        </w:rPr>
        <w:t> </w:t>
      </w:r>
      <w:r>
        <w:rPr/>
        <w:t>transmitting</w:t>
      </w:r>
      <w:r>
        <w:rPr>
          <w:spacing w:val="-7"/>
        </w:rPr>
        <w:t> </w:t>
      </w:r>
      <w:r>
        <w:rPr/>
        <w:t>energy</w:t>
      </w:r>
      <w:r>
        <w:rPr>
          <w:spacing w:val="-7"/>
        </w:rPr>
        <w:t> </w:t>
      </w:r>
      <w:r>
        <w:rPr/>
        <w:t>over</w:t>
      </w:r>
      <w:r>
        <w:rPr>
          <w:spacing w:val="-8"/>
        </w:rPr>
        <w:t> </w:t>
      </w:r>
      <w:r>
        <w:rPr/>
        <w:t>the</w:t>
      </w:r>
      <w:r>
        <w:rPr>
          <w:spacing w:val="-9"/>
        </w:rPr>
        <w:t> </w:t>
      </w:r>
      <w:r>
        <w:rPr/>
        <w:t>transmission</w:t>
      </w:r>
      <w:r>
        <w:rPr>
          <w:spacing w:val="-8"/>
        </w:rPr>
        <w:t> </w:t>
      </w:r>
      <w:r>
        <w:rPr/>
        <w:t>grid</w:t>
      </w:r>
      <w:r>
        <w:rPr>
          <w:spacing w:val="-8"/>
        </w:rPr>
        <w:t> </w:t>
      </w:r>
      <w:r>
        <w:rPr/>
        <w:t>between</w:t>
      </w:r>
      <w:r>
        <w:rPr>
          <w:spacing w:val="-8"/>
        </w:rPr>
        <w:t> </w:t>
      </w:r>
      <w:r>
        <w:rPr/>
        <w:t>the </w:t>
      </w:r>
      <w:r>
        <w:rPr>
          <w:w w:val="95"/>
        </w:rPr>
        <w:t>generating</w:t>
      </w:r>
      <w:r>
        <w:rPr>
          <w:spacing w:val="-16"/>
          <w:w w:val="95"/>
        </w:rPr>
        <w:t> </w:t>
      </w:r>
      <w:r>
        <w:rPr>
          <w:w w:val="95"/>
        </w:rPr>
        <w:t>facility</w:t>
      </w:r>
      <w:r>
        <w:rPr>
          <w:spacing w:val="-17"/>
          <w:w w:val="95"/>
        </w:rPr>
        <w:t> </w:t>
      </w:r>
      <w:r>
        <w:rPr>
          <w:w w:val="95"/>
        </w:rPr>
        <w:t>and</w:t>
      </w:r>
      <w:r>
        <w:rPr>
          <w:spacing w:val="-16"/>
          <w:w w:val="95"/>
        </w:rPr>
        <w:t> </w:t>
      </w:r>
      <w:r>
        <w:rPr>
          <w:w w:val="95"/>
        </w:rPr>
        <w:t>the</w:t>
      </w:r>
      <w:r>
        <w:rPr>
          <w:spacing w:val="-17"/>
          <w:w w:val="95"/>
        </w:rPr>
        <w:t> </w:t>
      </w:r>
      <w:r>
        <w:rPr>
          <w:w w:val="95"/>
        </w:rPr>
        <w:t>local</w:t>
      </w:r>
      <w:r>
        <w:rPr>
          <w:spacing w:val="-18"/>
          <w:w w:val="95"/>
        </w:rPr>
        <w:t> </w:t>
      </w:r>
      <w:r>
        <w:rPr>
          <w:w w:val="95"/>
        </w:rPr>
        <w:t>utility’s</w:t>
      </w:r>
      <w:r>
        <w:rPr>
          <w:spacing w:val="-15"/>
          <w:w w:val="95"/>
        </w:rPr>
        <w:t> </w:t>
      </w:r>
      <w:r>
        <w:rPr>
          <w:w w:val="95"/>
        </w:rPr>
        <w:t>distribution</w:t>
      </w:r>
      <w:r>
        <w:rPr>
          <w:spacing w:val="-19"/>
          <w:w w:val="95"/>
        </w:rPr>
        <w:t> </w:t>
      </w:r>
      <w:r>
        <w:rPr>
          <w:w w:val="95"/>
        </w:rPr>
        <w:t>facilities.</w:t>
      </w:r>
      <w:r>
        <w:rPr>
          <w:spacing w:val="-16"/>
          <w:w w:val="95"/>
        </w:rPr>
        <w:t> </w:t>
      </w:r>
      <w:r>
        <w:rPr>
          <w:w w:val="95"/>
        </w:rPr>
        <w:t>As</w:t>
      </w:r>
      <w:r>
        <w:rPr>
          <w:spacing w:val="-17"/>
          <w:w w:val="95"/>
        </w:rPr>
        <w:t> </w:t>
      </w:r>
      <w:r>
        <w:rPr>
          <w:w w:val="95"/>
        </w:rPr>
        <w:t>per</w:t>
      </w:r>
      <w:r>
        <w:rPr>
          <w:spacing w:val="-17"/>
          <w:w w:val="95"/>
        </w:rPr>
        <w:t> </w:t>
      </w:r>
      <w:r>
        <w:rPr>
          <w:w w:val="95"/>
        </w:rPr>
        <w:t>the</w:t>
      </w:r>
      <w:r>
        <w:rPr>
          <w:spacing w:val="-17"/>
          <w:w w:val="95"/>
        </w:rPr>
        <w:t> </w:t>
      </w:r>
      <w:r>
        <w:rPr>
          <w:w w:val="95"/>
        </w:rPr>
        <w:t>KERC</w:t>
      </w:r>
      <w:r>
        <w:rPr>
          <w:spacing w:val="-18"/>
          <w:w w:val="95"/>
        </w:rPr>
        <w:t> </w:t>
      </w:r>
      <w:r>
        <w:rPr>
          <w:w w:val="95"/>
        </w:rPr>
        <w:t>order,</w:t>
      </w:r>
      <w:r>
        <w:rPr>
          <w:spacing w:val="-17"/>
          <w:w w:val="95"/>
        </w:rPr>
        <w:t> </w:t>
      </w:r>
      <w:r>
        <w:rPr>
          <w:w w:val="95"/>
        </w:rPr>
        <w:t>transmission</w:t>
      </w:r>
      <w:r>
        <w:rPr>
          <w:spacing w:val="-17"/>
          <w:w w:val="95"/>
        </w:rPr>
        <w:t> </w:t>
      </w:r>
      <w:r>
        <w:rPr>
          <w:w w:val="95"/>
        </w:rPr>
        <w:t>charges </w:t>
      </w:r>
      <w:r>
        <w:rPr/>
        <w:t>of</w:t>
      </w:r>
      <w:r>
        <w:rPr>
          <w:spacing w:val="-21"/>
        </w:rPr>
        <w:t> </w:t>
      </w:r>
      <w:r>
        <w:rPr/>
        <w:t>INR</w:t>
      </w:r>
      <w:r>
        <w:rPr>
          <w:spacing w:val="-23"/>
        </w:rPr>
        <w:t> </w:t>
      </w:r>
      <w:r>
        <w:rPr/>
        <w:t>111,558</w:t>
      </w:r>
      <w:r>
        <w:rPr>
          <w:spacing w:val="-22"/>
        </w:rPr>
        <w:t> </w:t>
      </w:r>
      <w:r>
        <w:rPr/>
        <w:t>per</w:t>
      </w:r>
      <w:r>
        <w:rPr>
          <w:spacing w:val="-22"/>
        </w:rPr>
        <w:t> </w:t>
      </w:r>
      <w:r>
        <w:rPr/>
        <w:t>MW</w:t>
      </w:r>
      <w:r>
        <w:rPr>
          <w:spacing w:val="-26"/>
        </w:rPr>
        <w:t> </w:t>
      </w:r>
      <w:r>
        <w:rPr/>
        <w:t>per</w:t>
      </w:r>
      <w:r>
        <w:rPr>
          <w:spacing w:val="-23"/>
        </w:rPr>
        <w:t> </w:t>
      </w:r>
      <w:r>
        <w:rPr/>
        <w:t>month</w:t>
      </w:r>
      <w:r>
        <w:rPr>
          <w:spacing w:val="-22"/>
        </w:rPr>
        <w:t> </w:t>
      </w:r>
      <w:r>
        <w:rPr/>
        <w:t>is</w:t>
      </w:r>
      <w:r>
        <w:rPr>
          <w:spacing w:val="-22"/>
        </w:rPr>
        <w:t> </w:t>
      </w:r>
      <w:r>
        <w:rPr/>
        <w:t>applicable</w:t>
      </w:r>
      <w:r>
        <w:rPr>
          <w:spacing w:val="-25"/>
        </w:rPr>
        <w:t> </w:t>
      </w:r>
      <w:r>
        <w:rPr/>
        <w:t>for</w:t>
      </w:r>
      <w:r>
        <w:rPr>
          <w:spacing w:val="-23"/>
        </w:rPr>
        <w:t> </w:t>
      </w:r>
      <w:r>
        <w:rPr/>
        <w:t>all</w:t>
      </w:r>
      <w:r>
        <w:rPr>
          <w:spacing w:val="-22"/>
        </w:rPr>
        <w:t> </w:t>
      </w:r>
      <w:r>
        <w:rPr/>
        <w:t>long</w:t>
      </w:r>
      <w:r>
        <w:rPr>
          <w:spacing w:val="-21"/>
        </w:rPr>
        <w:t> </w:t>
      </w:r>
      <w:r>
        <w:rPr/>
        <w:t>term</w:t>
      </w:r>
      <w:r>
        <w:rPr>
          <w:spacing w:val="-22"/>
        </w:rPr>
        <w:t> </w:t>
      </w:r>
      <w:r>
        <w:rPr/>
        <w:t>open</w:t>
      </w:r>
      <w:r>
        <w:rPr>
          <w:spacing w:val="-23"/>
        </w:rPr>
        <w:t> </w:t>
      </w:r>
      <w:r>
        <w:rPr/>
        <w:t>access</w:t>
      </w:r>
      <w:r>
        <w:rPr>
          <w:spacing w:val="-20"/>
        </w:rPr>
        <w:t> </w:t>
      </w:r>
      <w:r>
        <w:rPr/>
        <w:t>consumers</w:t>
      </w:r>
      <w:r>
        <w:rPr>
          <w:spacing w:val="-23"/>
        </w:rPr>
        <w:t> </w:t>
      </w:r>
      <w:r>
        <w:rPr/>
        <w:t>(i.e.</w:t>
      </w:r>
      <w:r>
        <w:rPr>
          <w:spacing w:val="-22"/>
        </w:rPr>
        <w:t> </w:t>
      </w:r>
      <w:r>
        <w:rPr/>
        <w:t>consumers intending</w:t>
      </w:r>
      <w:r>
        <w:rPr>
          <w:spacing w:val="-7"/>
        </w:rPr>
        <w:t> </w:t>
      </w:r>
      <w:r>
        <w:rPr/>
        <w:t>to</w:t>
      </w:r>
      <w:r>
        <w:rPr>
          <w:spacing w:val="-8"/>
        </w:rPr>
        <w:t> </w:t>
      </w:r>
      <w:r>
        <w:rPr/>
        <w:t>avail</w:t>
      </w:r>
      <w:r>
        <w:rPr>
          <w:spacing w:val="-9"/>
        </w:rPr>
        <w:t> </w:t>
      </w:r>
      <w:r>
        <w:rPr/>
        <w:t>the</w:t>
      </w:r>
      <w:r>
        <w:rPr>
          <w:spacing w:val="-9"/>
        </w:rPr>
        <w:t> </w:t>
      </w:r>
      <w:r>
        <w:rPr/>
        <w:t>open</w:t>
      </w:r>
      <w:r>
        <w:rPr>
          <w:spacing w:val="-9"/>
        </w:rPr>
        <w:t> </w:t>
      </w:r>
      <w:r>
        <w:rPr/>
        <w:t>access</w:t>
      </w:r>
      <w:r>
        <w:rPr>
          <w:spacing w:val="-7"/>
        </w:rPr>
        <w:t> </w:t>
      </w:r>
      <w:r>
        <w:rPr/>
        <w:t>for</w:t>
      </w:r>
      <w:r>
        <w:rPr>
          <w:spacing w:val="-8"/>
        </w:rPr>
        <w:t> </w:t>
      </w:r>
      <w:r>
        <w:rPr/>
        <w:t>a</w:t>
      </w:r>
      <w:r>
        <w:rPr>
          <w:spacing w:val="-9"/>
        </w:rPr>
        <w:t> </w:t>
      </w:r>
      <w:r>
        <w:rPr/>
        <w:t>period</w:t>
      </w:r>
      <w:r>
        <w:rPr>
          <w:spacing w:val="-7"/>
        </w:rPr>
        <w:t> </w:t>
      </w:r>
      <w:r>
        <w:rPr/>
        <w:t>equal</w:t>
      </w:r>
      <w:r>
        <w:rPr>
          <w:spacing w:val="-9"/>
        </w:rPr>
        <w:t> </w:t>
      </w:r>
      <w:r>
        <w:rPr/>
        <w:t>to</w:t>
      </w:r>
      <w:r>
        <w:rPr>
          <w:spacing w:val="-8"/>
        </w:rPr>
        <w:t> </w:t>
      </w:r>
      <w:r>
        <w:rPr/>
        <w:t>or</w:t>
      </w:r>
      <w:r>
        <w:rPr>
          <w:spacing w:val="-8"/>
        </w:rPr>
        <w:t> </w:t>
      </w:r>
      <w:r>
        <w:rPr/>
        <w:t>more</w:t>
      </w:r>
      <w:r>
        <w:rPr>
          <w:spacing w:val="-8"/>
        </w:rPr>
        <w:t> </w:t>
      </w:r>
      <w:r>
        <w:rPr/>
        <w:t>than</w:t>
      </w:r>
      <w:r>
        <w:rPr>
          <w:spacing w:val="-8"/>
        </w:rPr>
        <w:t> </w:t>
      </w:r>
      <w:r>
        <w:rPr/>
        <w:t>five</w:t>
      </w:r>
      <w:r>
        <w:rPr>
          <w:spacing w:val="-8"/>
        </w:rPr>
        <w:t> </w:t>
      </w:r>
      <w:r>
        <w:rPr/>
        <w:t>years).</w:t>
      </w:r>
    </w:p>
    <w:p>
      <w:pPr>
        <w:pStyle w:val="BodyText"/>
        <w:spacing w:before="8"/>
        <w:rPr>
          <w:sz w:val="29"/>
        </w:rPr>
      </w:pPr>
    </w:p>
    <w:p>
      <w:pPr>
        <w:pStyle w:val="BodyText"/>
        <w:ind w:left="1242"/>
        <w:jc w:val="both"/>
      </w:pPr>
      <w:r>
        <w:rPr>
          <w:u w:val="single"/>
        </w:rPr>
        <w:t>State Load Dispatch Centre (SLDC) Charges</w:t>
      </w:r>
    </w:p>
    <w:p>
      <w:pPr>
        <w:pStyle w:val="BodyText"/>
        <w:spacing w:line="324" w:lineRule="auto" w:before="88"/>
        <w:ind w:left="1242" w:right="675"/>
        <w:jc w:val="both"/>
      </w:pPr>
      <w:r>
        <w:rPr/>
        <w:t>SLDC under Karnataka Power Transmission Corporation Limited (KPTCL) is an apex body to ensure integrated operation of the power system in Karnataka. SLDC is responsible for the real time load</w:t>
      </w:r>
    </w:p>
    <w:p>
      <w:pPr>
        <w:spacing w:after="0" w:line="324" w:lineRule="auto"/>
        <w:jc w:val="both"/>
        <w:sectPr>
          <w:pgSz w:w="11910" w:h="16840"/>
          <w:pgMar w:header="720" w:footer="862" w:top="1660" w:bottom="1060" w:left="40" w:right="40"/>
        </w:sectPr>
      </w:pPr>
    </w:p>
    <w:p>
      <w:pPr>
        <w:pStyle w:val="BodyText"/>
        <w:spacing w:before="7"/>
        <w:rPr>
          <w:sz w:val="9"/>
        </w:rPr>
      </w:pPr>
    </w:p>
    <w:p>
      <w:pPr>
        <w:pStyle w:val="BodyText"/>
        <w:spacing w:line="321" w:lineRule="auto" w:before="106"/>
        <w:ind w:left="1242" w:right="676"/>
        <w:jc w:val="both"/>
      </w:pPr>
      <w:bookmarkStart w:name="_bookmark403" w:id="788"/>
      <w:bookmarkEnd w:id="788"/>
      <w:r>
        <w:rPr/>
      </w:r>
      <w:r>
        <w:rPr/>
        <w:t>dispatch</w:t>
      </w:r>
      <w:r>
        <w:rPr>
          <w:spacing w:val="-32"/>
        </w:rPr>
        <w:t> </w:t>
      </w:r>
      <w:r>
        <w:rPr/>
        <w:t>functions,</w:t>
      </w:r>
      <w:r>
        <w:rPr>
          <w:spacing w:val="-32"/>
        </w:rPr>
        <w:t> </w:t>
      </w:r>
      <w:r>
        <w:rPr/>
        <w:t>operation</w:t>
      </w:r>
      <w:r>
        <w:rPr>
          <w:spacing w:val="-32"/>
        </w:rPr>
        <w:t> </w:t>
      </w:r>
      <w:r>
        <w:rPr/>
        <w:t>and</w:t>
      </w:r>
      <w:r>
        <w:rPr>
          <w:spacing w:val="-31"/>
        </w:rPr>
        <w:t> </w:t>
      </w:r>
      <w:r>
        <w:rPr/>
        <w:t>maintenance</w:t>
      </w:r>
      <w:r>
        <w:rPr>
          <w:spacing w:val="-32"/>
        </w:rPr>
        <w:t> </w:t>
      </w:r>
      <w:r>
        <w:rPr/>
        <w:t>of</w:t>
      </w:r>
      <w:r>
        <w:rPr>
          <w:spacing w:val="-31"/>
        </w:rPr>
        <w:t> </w:t>
      </w:r>
      <w:r>
        <w:rPr/>
        <w:t>the</w:t>
      </w:r>
      <w:r>
        <w:rPr>
          <w:spacing w:val="-33"/>
        </w:rPr>
        <w:t> </w:t>
      </w:r>
      <w:r>
        <w:rPr/>
        <w:t>SCADA</w:t>
      </w:r>
      <w:r>
        <w:rPr>
          <w:spacing w:val="-31"/>
        </w:rPr>
        <w:t> </w:t>
      </w:r>
      <w:r>
        <w:rPr/>
        <w:t>(Supervisory</w:t>
      </w:r>
      <w:r>
        <w:rPr>
          <w:spacing w:val="-32"/>
        </w:rPr>
        <w:t> </w:t>
      </w:r>
      <w:r>
        <w:rPr/>
        <w:t>Control</w:t>
      </w:r>
      <w:r>
        <w:rPr>
          <w:spacing w:val="-32"/>
        </w:rPr>
        <w:t> </w:t>
      </w:r>
      <w:r>
        <w:rPr/>
        <w:t>and</w:t>
      </w:r>
      <w:r>
        <w:rPr>
          <w:spacing w:val="-31"/>
        </w:rPr>
        <w:t> </w:t>
      </w:r>
      <w:r>
        <w:rPr/>
        <w:t>Data</w:t>
      </w:r>
      <w:r>
        <w:rPr>
          <w:spacing w:val="-33"/>
        </w:rPr>
        <w:t> </w:t>
      </w:r>
      <w:r>
        <w:rPr/>
        <w:t>Acquisition) System</w:t>
      </w:r>
      <w:r>
        <w:rPr>
          <w:spacing w:val="-29"/>
        </w:rPr>
        <w:t> </w:t>
      </w:r>
      <w:r>
        <w:rPr/>
        <w:t>and</w:t>
      </w:r>
      <w:r>
        <w:rPr>
          <w:spacing w:val="-29"/>
        </w:rPr>
        <w:t> </w:t>
      </w:r>
      <w:r>
        <w:rPr/>
        <w:t>energy</w:t>
      </w:r>
      <w:r>
        <w:rPr>
          <w:spacing w:val="-29"/>
        </w:rPr>
        <w:t> </w:t>
      </w:r>
      <w:r>
        <w:rPr/>
        <w:t>accounting.</w:t>
      </w:r>
      <w:r>
        <w:rPr>
          <w:spacing w:val="-28"/>
        </w:rPr>
        <w:t> </w:t>
      </w:r>
      <w:r>
        <w:rPr/>
        <w:t>Further,</w:t>
      </w:r>
      <w:r>
        <w:rPr>
          <w:spacing w:val="-29"/>
        </w:rPr>
        <w:t> </w:t>
      </w:r>
      <w:r>
        <w:rPr/>
        <w:t>for</w:t>
      </w:r>
      <w:r>
        <w:rPr>
          <w:spacing w:val="-29"/>
        </w:rPr>
        <w:t> </w:t>
      </w:r>
      <w:r>
        <w:rPr/>
        <w:t>the</w:t>
      </w:r>
      <w:r>
        <w:rPr>
          <w:spacing w:val="-30"/>
        </w:rPr>
        <w:t> </w:t>
      </w:r>
      <w:r>
        <w:rPr/>
        <w:t>discharge</w:t>
      </w:r>
      <w:r>
        <w:rPr>
          <w:spacing w:val="-28"/>
        </w:rPr>
        <w:t> </w:t>
      </w:r>
      <w:r>
        <w:rPr/>
        <w:t>of</w:t>
      </w:r>
      <w:r>
        <w:rPr>
          <w:spacing w:val="-28"/>
        </w:rPr>
        <w:t> </w:t>
      </w:r>
      <w:r>
        <w:rPr/>
        <w:t>its</w:t>
      </w:r>
      <w:r>
        <w:rPr>
          <w:spacing w:val="-29"/>
        </w:rPr>
        <w:t> </w:t>
      </w:r>
      <w:r>
        <w:rPr/>
        <w:t>functions,</w:t>
      </w:r>
      <w:r>
        <w:rPr>
          <w:spacing w:val="-28"/>
        </w:rPr>
        <w:t> </w:t>
      </w:r>
      <w:r>
        <w:rPr/>
        <w:t>the</w:t>
      </w:r>
      <w:r>
        <w:rPr>
          <w:spacing w:val="-29"/>
        </w:rPr>
        <w:t> </w:t>
      </w:r>
      <w:r>
        <w:rPr/>
        <w:t>annual</w:t>
      </w:r>
      <w:r>
        <w:rPr>
          <w:spacing w:val="-28"/>
        </w:rPr>
        <w:t> </w:t>
      </w:r>
      <w:r>
        <w:rPr/>
        <w:t>expenses</w:t>
      </w:r>
      <w:r>
        <w:rPr>
          <w:spacing w:val="-29"/>
        </w:rPr>
        <w:t> </w:t>
      </w:r>
      <w:r>
        <w:rPr/>
        <w:t>incurred by</w:t>
      </w:r>
      <w:r>
        <w:rPr>
          <w:spacing w:val="-32"/>
        </w:rPr>
        <w:t> </w:t>
      </w:r>
      <w:r>
        <w:rPr/>
        <w:t>the</w:t>
      </w:r>
      <w:r>
        <w:rPr>
          <w:spacing w:val="-32"/>
        </w:rPr>
        <w:t> </w:t>
      </w:r>
      <w:r>
        <w:rPr/>
        <w:t>SLDC</w:t>
      </w:r>
      <w:r>
        <w:rPr>
          <w:spacing w:val="-33"/>
        </w:rPr>
        <w:t> </w:t>
      </w:r>
      <w:r>
        <w:rPr/>
        <w:t>are</w:t>
      </w:r>
      <w:r>
        <w:rPr>
          <w:spacing w:val="-32"/>
        </w:rPr>
        <w:t> </w:t>
      </w:r>
      <w:r>
        <w:rPr/>
        <w:t>recovered</w:t>
      </w:r>
      <w:r>
        <w:rPr>
          <w:spacing w:val="-31"/>
        </w:rPr>
        <w:t> </w:t>
      </w:r>
      <w:r>
        <w:rPr/>
        <w:t>from</w:t>
      </w:r>
      <w:r>
        <w:rPr>
          <w:spacing w:val="-32"/>
        </w:rPr>
        <w:t> </w:t>
      </w:r>
      <w:r>
        <w:rPr/>
        <w:t>the</w:t>
      </w:r>
      <w:r>
        <w:rPr>
          <w:spacing w:val="-32"/>
        </w:rPr>
        <w:t> </w:t>
      </w:r>
      <w:r>
        <w:rPr/>
        <w:t>consumers/</w:t>
      </w:r>
      <w:r>
        <w:rPr>
          <w:spacing w:val="-34"/>
        </w:rPr>
        <w:t> </w:t>
      </w:r>
      <w:r>
        <w:rPr/>
        <w:t>beneficiaries</w:t>
      </w:r>
      <w:r>
        <w:rPr>
          <w:spacing w:val="-30"/>
        </w:rPr>
        <w:t> </w:t>
      </w:r>
      <w:r>
        <w:rPr/>
        <w:t>using</w:t>
      </w:r>
      <w:r>
        <w:rPr>
          <w:spacing w:val="-32"/>
        </w:rPr>
        <w:t> </w:t>
      </w:r>
      <w:r>
        <w:rPr/>
        <w:t>the</w:t>
      </w:r>
      <w:r>
        <w:rPr>
          <w:spacing w:val="-32"/>
        </w:rPr>
        <w:t> </w:t>
      </w:r>
      <w:r>
        <w:rPr/>
        <w:t>Intra-State</w:t>
      </w:r>
      <w:r>
        <w:rPr>
          <w:spacing w:val="-32"/>
        </w:rPr>
        <w:t> </w:t>
      </w:r>
      <w:r>
        <w:rPr/>
        <w:t>transmission</w:t>
      </w:r>
      <w:r>
        <w:rPr>
          <w:spacing w:val="-31"/>
        </w:rPr>
        <w:t> </w:t>
      </w:r>
      <w:r>
        <w:rPr/>
        <w:t>system. As per the KERC order, SLDC charges of INR 34.36 per MW per day are</w:t>
      </w:r>
      <w:r>
        <w:rPr>
          <w:spacing w:val="-29"/>
        </w:rPr>
        <w:t> </w:t>
      </w:r>
      <w:r>
        <w:rPr/>
        <w:t>applicable.</w:t>
      </w:r>
    </w:p>
    <w:p>
      <w:pPr>
        <w:pStyle w:val="BodyText"/>
        <w:spacing w:before="8"/>
        <w:rPr>
          <w:sz w:val="29"/>
        </w:rPr>
      </w:pPr>
    </w:p>
    <w:p>
      <w:pPr>
        <w:pStyle w:val="BodyText"/>
        <w:ind w:left="1242"/>
        <w:jc w:val="both"/>
      </w:pPr>
      <w:r>
        <w:rPr>
          <w:u w:val="single"/>
        </w:rPr>
        <w:t>Wheeling Charges</w:t>
      </w:r>
    </w:p>
    <w:p>
      <w:pPr>
        <w:pStyle w:val="BodyText"/>
        <w:spacing w:line="321" w:lineRule="auto" w:before="88"/>
        <w:ind w:left="1242" w:right="678"/>
        <w:jc w:val="both"/>
      </w:pPr>
      <w:r>
        <w:rPr/>
        <w:t>Wheeling charge means the operation whereby the distribution system and associated facilities of a transmission</w:t>
      </w:r>
      <w:r>
        <w:rPr>
          <w:spacing w:val="-12"/>
        </w:rPr>
        <w:t> </w:t>
      </w:r>
      <w:r>
        <w:rPr/>
        <w:t>licensee</w:t>
      </w:r>
      <w:r>
        <w:rPr>
          <w:spacing w:val="-11"/>
        </w:rPr>
        <w:t> </w:t>
      </w:r>
      <w:r>
        <w:rPr/>
        <w:t>or</w:t>
      </w:r>
      <w:r>
        <w:rPr>
          <w:spacing w:val="-9"/>
        </w:rPr>
        <w:t> </w:t>
      </w:r>
      <w:r>
        <w:rPr/>
        <w:t>distribution</w:t>
      </w:r>
      <w:r>
        <w:rPr>
          <w:spacing w:val="-11"/>
        </w:rPr>
        <w:t> </w:t>
      </w:r>
      <w:r>
        <w:rPr/>
        <w:t>licensee,</w:t>
      </w:r>
      <w:r>
        <w:rPr>
          <w:spacing w:val="-11"/>
        </w:rPr>
        <w:t> </w:t>
      </w:r>
      <w:r>
        <w:rPr/>
        <w:t>as</w:t>
      </w:r>
      <w:r>
        <w:rPr>
          <w:spacing w:val="-11"/>
        </w:rPr>
        <w:t> </w:t>
      </w:r>
      <w:r>
        <w:rPr/>
        <w:t>the</w:t>
      </w:r>
      <w:r>
        <w:rPr>
          <w:spacing w:val="-12"/>
        </w:rPr>
        <w:t> </w:t>
      </w:r>
      <w:r>
        <w:rPr/>
        <w:t>case</w:t>
      </w:r>
      <w:r>
        <w:rPr>
          <w:spacing w:val="-11"/>
        </w:rPr>
        <w:t> </w:t>
      </w:r>
      <w:r>
        <w:rPr/>
        <w:t>may</w:t>
      </w:r>
      <w:r>
        <w:rPr>
          <w:spacing w:val="-11"/>
        </w:rPr>
        <w:t> </w:t>
      </w:r>
      <w:r>
        <w:rPr/>
        <w:t>be,</w:t>
      </w:r>
      <w:r>
        <w:rPr>
          <w:spacing w:val="-11"/>
        </w:rPr>
        <w:t> </w:t>
      </w:r>
      <w:r>
        <w:rPr/>
        <w:t>are</w:t>
      </w:r>
      <w:r>
        <w:rPr>
          <w:spacing w:val="-10"/>
        </w:rPr>
        <w:t> </w:t>
      </w:r>
      <w:r>
        <w:rPr/>
        <w:t>used</w:t>
      </w:r>
      <w:r>
        <w:rPr>
          <w:spacing w:val="-11"/>
        </w:rPr>
        <w:t> </w:t>
      </w:r>
      <w:r>
        <w:rPr/>
        <w:t>by</w:t>
      </w:r>
      <w:r>
        <w:rPr>
          <w:spacing w:val="-10"/>
        </w:rPr>
        <w:t> </w:t>
      </w:r>
      <w:r>
        <w:rPr/>
        <w:t>another</w:t>
      </w:r>
      <w:r>
        <w:rPr>
          <w:spacing w:val="-11"/>
        </w:rPr>
        <w:t> </w:t>
      </w:r>
      <w:r>
        <w:rPr/>
        <w:t>person</w:t>
      </w:r>
      <w:r>
        <w:rPr>
          <w:spacing w:val="-12"/>
        </w:rPr>
        <w:t> </w:t>
      </w:r>
      <w:r>
        <w:rPr/>
        <w:t>for</w:t>
      </w:r>
      <w:r>
        <w:rPr>
          <w:spacing w:val="-11"/>
        </w:rPr>
        <w:t> </w:t>
      </w:r>
      <w:r>
        <w:rPr/>
        <w:t>the conveyance</w:t>
      </w:r>
      <w:r>
        <w:rPr>
          <w:spacing w:val="-9"/>
        </w:rPr>
        <w:t> </w:t>
      </w:r>
      <w:r>
        <w:rPr/>
        <w:t>of</w:t>
      </w:r>
      <w:r>
        <w:rPr>
          <w:spacing w:val="-9"/>
        </w:rPr>
        <w:t> </w:t>
      </w:r>
      <w:r>
        <w:rPr/>
        <w:t>electricity</w:t>
      </w:r>
      <w:r>
        <w:rPr>
          <w:spacing w:val="-7"/>
        </w:rPr>
        <w:t> </w:t>
      </w:r>
      <w:r>
        <w:rPr/>
        <w:t>on</w:t>
      </w:r>
      <w:r>
        <w:rPr>
          <w:spacing w:val="-9"/>
        </w:rPr>
        <w:t> </w:t>
      </w:r>
      <w:r>
        <w:rPr/>
        <w:t>payment</w:t>
      </w:r>
      <w:r>
        <w:rPr>
          <w:spacing w:val="-9"/>
        </w:rPr>
        <w:t> </w:t>
      </w:r>
      <w:r>
        <w:rPr/>
        <w:t>of</w:t>
      </w:r>
      <w:r>
        <w:rPr>
          <w:spacing w:val="-8"/>
        </w:rPr>
        <w:t> </w:t>
      </w:r>
      <w:r>
        <w:rPr/>
        <w:t>charges.</w:t>
      </w:r>
      <w:r>
        <w:rPr>
          <w:spacing w:val="-10"/>
        </w:rPr>
        <w:t> </w:t>
      </w:r>
      <w:r>
        <w:rPr/>
        <w:t>Wheeling</w:t>
      </w:r>
      <w:r>
        <w:rPr>
          <w:spacing w:val="-8"/>
        </w:rPr>
        <w:t> </w:t>
      </w:r>
      <w:r>
        <w:rPr/>
        <w:t>is</w:t>
      </w:r>
      <w:r>
        <w:rPr>
          <w:spacing w:val="-8"/>
        </w:rPr>
        <w:t> </w:t>
      </w:r>
      <w:r>
        <w:rPr/>
        <w:t>a</w:t>
      </w:r>
      <w:r>
        <w:rPr>
          <w:spacing w:val="-9"/>
        </w:rPr>
        <w:t> </w:t>
      </w:r>
      <w:r>
        <w:rPr/>
        <w:t>transmission</w:t>
      </w:r>
      <w:r>
        <w:rPr>
          <w:spacing w:val="-9"/>
        </w:rPr>
        <w:t> </w:t>
      </w:r>
      <w:r>
        <w:rPr/>
        <w:t>service</w:t>
      </w:r>
      <w:r>
        <w:rPr>
          <w:spacing w:val="-9"/>
        </w:rPr>
        <w:t> </w:t>
      </w:r>
      <w:r>
        <w:rPr/>
        <w:t>that</w:t>
      </w:r>
      <w:r>
        <w:rPr>
          <w:spacing w:val="-8"/>
        </w:rPr>
        <w:t> </w:t>
      </w:r>
      <w:r>
        <w:rPr/>
        <w:t>enables</w:t>
      </w:r>
      <w:r>
        <w:rPr>
          <w:spacing w:val="-8"/>
        </w:rPr>
        <w:t> </w:t>
      </w:r>
      <w:r>
        <w:rPr/>
        <w:t>the delivery</w:t>
      </w:r>
      <w:r>
        <w:rPr>
          <w:spacing w:val="-25"/>
        </w:rPr>
        <w:t> </w:t>
      </w:r>
      <w:r>
        <w:rPr/>
        <w:t>of</w:t>
      </w:r>
      <w:r>
        <w:rPr>
          <w:spacing w:val="-25"/>
        </w:rPr>
        <w:t> </w:t>
      </w:r>
      <w:r>
        <w:rPr/>
        <w:t>electricity</w:t>
      </w:r>
      <w:r>
        <w:rPr>
          <w:spacing w:val="-26"/>
        </w:rPr>
        <w:t> </w:t>
      </w:r>
      <w:r>
        <w:rPr/>
        <w:t>between</w:t>
      </w:r>
      <w:r>
        <w:rPr>
          <w:spacing w:val="-26"/>
        </w:rPr>
        <w:t> </w:t>
      </w:r>
      <w:r>
        <w:rPr/>
        <w:t>a</w:t>
      </w:r>
      <w:r>
        <w:rPr>
          <w:spacing w:val="-26"/>
        </w:rPr>
        <w:t> </w:t>
      </w:r>
      <w:r>
        <w:rPr/>
        <w:t>buyer</w:t>
      </w:r>
      <w:r>
        <w:rPr>
          <w:spacing w:val="-25"/>
        </w:rPr>
        <w:t> </w:t>
      </w:r>
      <w:r>
        <w:rPr/>
        <w:t>and</w:t>
      </w:r>
      <w:r>
        <w:rPr>
          <w:spacing w:val="-26"/>
        </w:rPr>
        <w:t> </w:t>
      </w:r>
      <w:r>
        <w:rPr/>
        <w:t>seller,</w:t>
      </w:r>
      <w:r>
        <w:rPr>
          <w:spacing w:val="-26"/>
        </w:rPr>
        <w:t> </w:t>
      </w:r>
      <w:r>
        <w:rPr/>
        <w:t>often</w:t>
      </w:r>
      <w:r>
        <w:rPr>
          <w:spacing w:val="-26"/>
        </w:rPr>
        <w:t> </w:t>
      </w:r>
      <w:r>
        <w:rPr/>
        <w:t>under</w:t>
      </w:r>
      <w:r>
        <w:rPr>
          <w:spacing w:val="-26"/>
        </w:rPr>
        <w:t> </w:t>
      </w:r>
      <w:r>
        <w:rPr/>
        <w:t>a</w:t>
      </w:r>
      <w:r>
        <w:rPr>
          <w:spacing w:val="-26"/>
        </w:rPr>
        <w:t> </w:t>
      </w:r>
      <w:r>
        <w:rPr/>
        <w:t>long</w:t>
      </w:r>
      <w:r>
        <w:rPr>
          <w:spacing w:val="-25"/>
        </w:rPr>
        <w:t> </w:t>
      </w:r>
      <w:r>
        <w:rPr/>
        <w:t>term</w:t>
      </w:r>
      <w:r>
        <w:rPr>
          <w:spacing w:val="-26"/>
        </w:rPr>
        <w:t> </w:t>
      </w:r>
      <w:r>
        <w:rPr/>
        <w:t>PPA.</w:t>
      </w:r>
      <w:r>
        <w:rPr>
          <w:spacing w:val="-27"/>
        </w:rPr>
        <w:t> </w:t>
      </w:r>
      <w:r>
        <w:rPr/>
        <w:t>As</w:t>
      </w:r>
      <w:r>
        <w:rPr>
          <w:spacing w:val="-27"/>
        </w:rPr>
        <w:t> </w:t>
      </w:r>
      <w:r>
        <w:rPr/>
        <w:t>per</w:t>
      </w:r>
      <w:r>
        <w:rPr>
          <w:spacing w:val="-25"/>
        </w:rPr>
        <w:t> </w:t>
      </w:r>
      <w:r>
        <w:rPr/>
        <w:t>the</w:t>
      </w:r>
      <w:r>
        <w:rPr>
          <w:spacing w:val="-26"/>
        </w:rPr>
        <w:t> </w:t>
      </w:r>
      <w:r>
        <w:rPr/>
        <w:t>KERC</w:t>
      </w:r>
      <w:r>
        <w:rPr>
          <w:spacing w:val="-25"/>
        </w:rPr>
        <w:t> </w:t>
      </w:r>
      <w:r>
        <w:rPr/>
        <w:t>orders, we</w:t>
      </w:r>
      <w:r>
        <w:rPr>
          <w:spacing w:val="-8"/>
        </w:rPr>
        <w:t> </w:t>
      </w:r>
      <w:r>
        <w:rPr/>
        <w:t>understand</w:t>
      </w:r>
      <w:r>
        <w:rPr>
          <w:spacing w:val="-6"/>
        </w:rPr>
        <w:t> </w:t>
      </w:r>
      <w:r>
        <w:rPr/>
        <w:t>that</w:t>
      </w:r>
      <w:r>
        <w:rPr>
          <w:spacing w:val="-8"/>
        </w:rPr>
        <w:t> </w:t>
      </w:r>
      <w:r>
        <w:rPr/>
        <w:t>the</w:t>
      </w:r>
      <w:r>
        <w:rPr>
          <w:spacing w:val="-10"/>
        </w:rPr>
        <w:t> </w:t>
      </w:r>
      <w:r>
        <w:rPr/>
        <w:t>wheeling</w:t>
      </w:r>
      <w:r>
        <w:rPr>
          <w:spacing w:val="-7"/>
        </w:rPr>
        <w:t> </w:t>
      </w:r>
      <w:r>
        <w:rPr/>
        <w:t>charges</w:t>
      </w:r>
      <w:r>
        <w:rPr>
          <w:spacing w:val="-7"/>
        </w:rPr>
        <w:t> </w:t>
      </w:r>
      <w:r>
        <w:rPr/>
        <w:t>are</w:t>
      </w:r>
      <w:r>
        <w:rPr>
          <w:spacing w:val="-7"/>
        </w:rPr>
        <w:t> </w:t>
      </w:r>
      <w:r>
        <w:rPr/>
        <w:t>5.0%</w:t>
      </w:r>
      <w:r>
        <w:rPr>
          <w:spacing w:val="-7"/>
        </w:rPr>
        <w:t> </w:t>
      </w:r>
      <w:r>
        <w:rPr/>
        <w:t>of</w:t>
      </w:r>
      <w:r>
        <w:rPr>
          <w:spacing w:val="-7"/>
        </w:rPr>
        <w:t> </w:t>
      </w:r>
      <w:r>
        <w:rPr/>
        <w:t>the</w:t>
      </w:r>
      <w:r>
        <w:rPr>
          <w:spacing w:val="-8"/>
        </w:rPr>
        <w:t> </w:t>
      </w:r>
      <w:r>
        <w:rPr/>
        <w:t>injected</w:t>
      </w:r>
      <w:r>
        <w:rPr>
          <w:spacing w:val="-8"/>
        </w:rPr>
        <w:t> </w:t>
      </w:r>
      <w:r>
        <w:rPr/>
        <w:t>units.</w:t>
      </w:r>
    </w:p>
    <w:p>
      <w:pPr>
        <w:pStyle w:val="BodyText"/>
        <w:spacing w:before="2"/>
        <w:ind w:left="1242"/>
        <w:jc w:val="both"/>
      </w:pPr>
      <w:r>
        <w:rPr>
          <w:w w:val="105"/>
          <w:u w:val="single"/>
        </w:rPr>
        <w:t>Banking Charges</w:t>
      </w:r>
    </w:p>
    <w:p>
      <w:pPr>
        <w:pStyle w:val="BodyText"/>
        <w:spacing w:line="321" w:lineRule="auto" w:before="88"/>
        <w:ind w:left="1242" w:right="675"/>
        <w:jc w:val="both"/>
      </w:pPr>
      <w:r>
        <w:rPr/>
        <w:t>Banking</w:t>
      </w:r>
      <w:r>
        <w:rPr>
          <w:spacing w:val="-23"/>
        </w:rPr>
        <w:t> </w:t>
      </w:r>
      <w:r>
        <w:rPr/>
        <w:t>is</w:t>
      </w:r>
      <w:r>
        <w:rPr>
          <w:spacing w:val="-23"/>
        </w:rPr>
        <w:t> </w:t>
      </w:r>
      <w:r>
        <w:rPr/>
        <w:t>a</w:t>
      </w:r>
      <w:r>
        <w:rPr>
          <w:spacing w:val="-25"/>
        </w:rPr>
        <w:t> </w:t>
      </w:r>
      <w:r>
        <w:rPr/>
        <w:t>financial</w:t>
      </w:r>
      <w:r>
        <w:rPr>
          <w:spacing w:val="-24"/>
        </w:rPr>
        <w:t> </w:t>
      </w:r>
      <w:r>
        <w:rPr/>
        <w:t>and</w:t>
      </w:r>
      <w:r>
        <w:rPr>
          <w:spacing w:val="-23"/>
        </w:rPr>
        <w:t> </w:t>
      </w:r>
      <w:r>
        <w:rPr/>
        <w:t>accounting</w:t>
      </w:r>
      <w:r>
        <w:rPr>
          <w:spacing w:val="-23"/>
        </w:rPr>
        <w:t> </w:t>
      </w:r>
      <w:r>
        <w:rPr/>
        <w:t>mechanism</w:t>
      </w:r>
      <w:r>
        <w:rPr>
          <w:spacing w:val="-24"/>
        </w:rPr>
        <w:t> </w:t>
      </w:r>
      <w:r>
        <w:rPr/>
        <w:t>under</w:t>
      </w:r>
      <w:r>
        <w:rPr>
          <w:spacing w:val="-24"/>
        </w:rPr>
        <w:t> </w:t>
      </w:r>
      <w:r>
        <w:rPr/>
        <w:t>which</w:t>
      </w:r>
      <w:r>
        <w:rPr>
          <w:spacing w:val="-24"/>
        </w:rPr>
        <w:t> </w:t>
      </w:r>
      <w:r>
        <w:rPr/>
        <w:t>a</w:t>
      </w:r>
      <w:r>
        <w:rPr>
          <w:spacing w:val="-25"/>
        </w:rPr>
        <w:t> </w:t>
      </w:r>
      <w:r>
        <w:rPr/>
        <w:t>service</w:t>
      </w:r>
      <w:r>
        <w:rPr>
          <w:spacing w:val="-24"/>
        </w:rPr>
        <w:t> </w:t>
      </w:r>
      <w:r>
        <w:rPr/>
        <w:t>provider</w:t>
      </w:r>
      <w:r>
        <w:rPr>
          <w:spacing w:val="-23"/>
        </w:rPr>
        <w:t> </w:t>
      </w:r>
      <w:r>
        <w:rPr/>
        <w:t>earns</w:t>
      </w:r>
      <w:r>
        <w:rPr>
          <w:spacing w:val="-23"/>
        </w:rPr>
        <w:t> </w:t>
      </w:r>
      <w:r>
        <w:rPr/>
        <w:t>credit</w:t>
      </w:r>
      <w:r>
        <w:rPr>
          <w:spacing w:val="-24"/>
        </w:rPr>
        <w:t> </w:t>
      </w:r>
      <w:r>
        <w:rPr/>
        <w:t>for</w:t>
      </w:r>
      <w:r>
        <w:rPr>
          <w:spacing w:val="-23"/>
        </w:rPr>
        <w:t> </w:t>
      </w:r>
      <w:r>
        <w:rPr/>
        <w:t>excess electricity</w:t>
      </w:r>
      <w:r>
        <w:rPr>
          <w:spacing w:val="-33"/>
        </w:rPr>
        <w:t> </w:t>
      </w:r>
      <w:r>
        <w:rPr/>
        <w:t>supplied</w:t>
      </w:r>
      <w:r>
        <w:rPr>
          <w:spacing w:val="-32"/>
        </w:rPr>
        <w:t> </w:t>
      </w:r>
      <w:r>
        <w:rPr/>
        <w:t>to</w:t>
      </w:r>
      <w:r>
        <w:rPr>
          <w:spacing w:val="-33"/>
        </w:rPr>
        <w:t> </w:t>
      </w:r>
      <w:r>
        <w:rPr/>
        <w:t>the</w:t>
      </w:r>
      <w:r>
        <w:rPr>
          <w:spacing w:val="-34"/>
        </w:rPr>
        <w:t> </w:t>
      </w:r>
      <w:r>
        <w:rPr/>
        <w:t>grid.</w:t>
      </w:r>
      <w:r>
        <w:rPr>
          <w:spacing w:val="-35"/>
        </w:rPr>
        <w:t> </w:t>
      </w:r>
      <w:r>
        <w:rPr/>
        <w:t>As</w:t>
      </w:r>
      <w:r>
        <w:rPr>
          <w:spacing w:val="-33"/>
        </w:rPr>
        <w:t> </w:t>
      </w:r>
      <w:r>
        <w:rPr/>
        <w:t>per</w:t>
      </w:r>
      <w:r>
        <w:rPr>
          <w:spacing w:val="-33"/>
        </w:rPr>
        <w:t> </w:t>
      </w:r>
      <w:r>
        <w:rPr/>
        <w:t>the</w:t>
      </w:r>
      <w:r>
        <w:rPr>
          <w:spacing w:val="-33"/>
        </w:rPr>
        <w:t> </w:t>
      </w:r>
      <w:r>
        <w:rPr/>
        <w:t>KERC</w:t>
      </w:r>
      <w:r>
        <w:rPr>
          <w:spacing w:val="-32"/>
        </w:rPr>
        <w:t> </w:t>
      </w:r>
      <w:r>
        <w:rPr/>
        <w:t>orders,</w:t>
      </w:r>
      <w:r>
        <w:rPr>
          <w:spacing w:val="-33"/>
        </w:rPr>
        <w:t> </w:t>
      </w:r>
      <w:r>
        <w:rPr/>
        <w:t>we</w:t>
      </w:r>
      <w:r>
        <w:rPr>
          <w:spacing w:val="-33"/>
        </w:rPr>
        <w:t> </w:t>
      </w:r>
      <w:r>
        <w:rPr/>
        <w:t>understand</w:t>
      </w:r>
      <w:r>
        <w:rPr>
          <w:spacing w:val="-32"/>
        </w:rPr>
        <w:t> </w:t>
      </w:r>
      <w:r>
        <w:rPr/>
        <w:t>that</w:t>
      </w:r>
      <w:r>
        <w:rPr>
          <w:spacing w:val="-33"/>
        </w:rPr>
        <w:t> </w:t>
      </w:r>
      <w:r>
        <w:rPr/>
        <w:t>the</w:t>
      </w:r>
      <w:r>
        <w:rPr>
          <w:spacing w:val="-33"/>
        </w:rPr>
        <w:t> </w:t>
      </w:r>
      <w:r>
        <w:rPr/>
        <w:t>banking</w:t>
      </w:r>
      <w:r>
        <w:rPr>
          <w:spacing w:val="-32"/>
        </w:rPr>
        <w:t> </w:t>
      </w:r>
      <w:r>
        <w:rPr/>
        <w:t>charges</w:t>
      </w:r>
      <w:r>
        <w:rPr>
          <w:spacing w:val="-33"/>
        </w:rPr>
        <w:t> </w:t>
      </w:r>
      <w:r>
        <w:rPr/>
        <w:t>are</w:t>
      </w:r>
      <w:r>
        <w:rPr>
          <w:spacing w:val="-32"/>
        </w:rPr>
        <w:t> </w:t>
      </w:r>
      <w:r>
        <w:rPr/>
        <w:t>2.0% of the injected</w:t>
      </w:r>
      <w:r>
        <w:rPr>
          <w:spacing w:val="-11"/>
        </w:rPr>
        <w:t> </w:t>
      </w:r>
      <w:r>
        <w:rPr/>
        <w:t>units.</w:t>
      </w:r>
    </w:p>
    <w:p>
      <w:pPr>
        <w:pStyle w:val="BodyText"/>
        <w:spacing w:before="7"/>
        <w:rPr>
          <w:sz w:val="29"/>
        </w:rPr>
      </w:pPr>
    </w:p>
    <w:p>
      <w:pPr>
        <w:pStyle w:val="BodyText"/>
        <w:spacing w:line="321" w:lineRule="auto"/>
        <w:ind w:left="1242" w:right="675"/>
        <w:jc w:val="both"/>
      </w:pPr>
      <w:r>
        <w:rPr/>
        <w:t>Additionally,</w:t>
      </w:r>
      <w:r>
        <w:rPr>
          <w:spacing w:val="-27"/>
        </w:rPr>
        <w:t> </w:t>
      </w:r>
      <w:r>
        <w:rPr/>
        <w:t>based</w:t>
      </w:r>
      <w:r>
        <w:rPr>
          <w:spacing w:val="-26"/>
        </w:rPr>
        <w:t> </w:t>
      </w:r>
      <w:r>
        <w:rPr/>
        <w:t>on</w:t>
      </w:r>
      <w:r>
        <w:rPr>
          <w:spacing w:val="-27"/>
        </w:rPr>
        <w:t> </w:t>
      </w:r>
      <w:r>
        <w:rPr/>
        <w:t>review</w:t>
      </w:r>
      <w:r>
        <w:rPr>
          <w:spacing w:val="-26"/>
        </w:rPr>
        <w:t> </w:t>
      </w:r>
      <w:r>
        <w:rPr/>
        <w:t>of</w:t>
      </w:r>
      <w:r>
        <w:rPr>
          <w:spacing w:val="-27"/>
        </w:rPr>
        <w:t> </w:t>
      </w:r>
      <w:r>
        <w:rPr/>
        <w:t>various</w:t>
      </w:r>
      <w:r>
        <w:rPr>
          <w:spacing w:val="-26"/>
        </w:rPr>
        <w:t> </w:t>
      </w:r>
      <w:r>
        <w:rPr/>
        <w:t>regulatory</w:t>
      </w:r>
      <w:r>
        <w:rPr>
          <w:spacing w:val="-26"/>
        </w:rPr>
        <w:t> </w:t>
      </w:r>
      <w:r>
        <w:rPr/>
        <w:t>guidelines,</w:t>
      </w:r>
      <w:r>
        <w:rPr>
          <w:spacing w:val="-27"/>
        </w:rPr>
        <w:t> </w:t>
      </w:r>
      <w:r>
        <w:rPr/>
        <w:t>it</w:t>
      </w:r>
      <w:r>
        <w:rPr>
          <w:spacing w:val="-27"/>
        </w:rPr>
        <w:t> </w:t>
      </w:r>
      <w:r>
        <w:rPr/>
        <w:t>is</w:t>
      </w:r>
      <w:r>
        <w:rPr>
          <w:spacing w:val="-27"/>
        </w:rPr>
        <w:t> </w:t>
      </w:r>
      <w:r>
        <w:rPr/>
        <w:t>understood</w:t>
      </w:r>
      <w:r>
        <w:rPr>
          <w:spacing w:val="-26"/>
        </w:rPr>
        <w:t> </w:t>
      </w:r>
      <w:r>
        <w:rPr/>
        <w:t>that</w:t>
      </w:r>
      <w:r>
        <w:rPr>
          <w:spacing w:val="-23"/>
        </w:rPr>
        <w:t> </w:t>
      </w:r>
      <w:r>
        <w:rPr/>
        <w:t>in</w:t>
      </w:r>
      <w:r>
        <w:rPr>
          <w:spacing w:val="-27"/>
        </w:rPr>
        <w:t> </w:t>
      </w:r>
      <w:r>
        <w:rPr/>
        <w:t>order</w:t>
      </w:r>
      <w:r>
        <w:rPr>
          <w:spacing w:val="-28"/>
        </w:rPr>
        <w:t> </w:t>
      </w:r>
      <w:r>
        <w:rPr/>
        <w:t>to</w:t>
      </w:r>
      <w:r>
        <w:rPr>
          <w:spacing w:val="-27"/>
        </w:rPr>
        <w:t> </w:t>
      </w:r>
      <w:r>
        <w:rPr/>
        <w:t>promote solar power generation in Karnataka, KERC has exempted all solar power generators achieving COD between April 1, 2013 and March 31, 2018 and selling power to consumers within the State on open access</w:t>
      </w:r>
      <w:r>
        <w:rPr>
          <w:spacing w:val="-11"/>
        </w:rPr>
        <w:t> </w:t>
      </w:r>
      <w:r>
        <w:rPr/>
        <w:t>and</w:t>
      </w:r>
      <w:r>
        <w:rPr>
          <w:spacing w:val="-12"/>
        </w:rPr>
        <w:t> </w:t>
      </w:r>
      <w:r>
        <w:rPr/>
        <w:t>wheeling,</w:t>
      </w:r>
      <w:r>
        <w:rPr>
          <w:spacing w:val="-11"/>
        </w:rPr>
        <w:t> </w:t>
      </w:r>
      <w:r>
        <w:rPr/>
        <w:t>from</w:t>
      </w:r>
      <w:r>
        <w:rPr>
          <w:spacing w:val="-11"/>
        </w:rPr>
        <w:t> </w:t>
      </w:r>
      <w:r>
        <w:rPr/>
        <w:t>payment</w:t>
      </w:r>
      <w:r>
        <w:rPr>
          <w:spacing w:val="-11"/>
        </w:rPr>
        <w:t> </w:t>
      </w:r>
      <w:r>
        <w:rPr/>
        <w:t>of</w:t>
      </w:r>
      <w:r>
        <w:rPr>
          <w:spacing w:val="-11"/>
        </w:rPr>
        <w:t> </w:t>
      </w:r>
      <w:r>
        <w:rPr/>
        <w:t>the</w:t>
      </w:r>
      <w:r>
        <w:rPr>
          <w:spacing w:val="-12"/>
        </w:rPr>
        <w:t> </w:t>
      </w:r>
      <w:r>
        <w:rPr/>
        <w:t>aforementioned</w:t>
      </w:r>
      <w:r>
        <w:rPr>
          <w:spacing w:val="-10"/>
        </w:rPr>
        <w:t> </w:t>
      </w:r>
      <w:r>
        <w:rPr/>
        <w:t>charges</w:t>
      </w:r>
      <w:r>
        <w:rPr>
          <w:spacing w:val="-13"/>
        </w:rPr>
        <w:t> </w:t>
      </w:r>
      <w:r>
        <w:rPr/>
        <w:t>for</w:t>
      </w:r>
      <w:r>
        <w:rPr>
          <w:spacing w:val="-11"/>
        </w:rPr>
        <w:t> </w:t>
      </w:r>
      <w:r>
        <w:rPr/>
        <w:t>a</w:t>
      </w:r>
      <w:r>
        <w:rPr>
          <w:spacing w:val="-13"/>
        </w:rPr>
        <w:t> </w:t>
      </w:r>
      <w:r>
        <w:rPr/>
        <w:t>period</w:t>
      </w:r>
      <w:r>
        <w:rPr>
          <w:spacing w:val="-10"/>
        </w:rPr>
        <w:t> </w:t>
      </w:r>
      <w:r>
        <w:rPr/>
        <w:t>of</w:t>
      </w:r>
      <w:r>
        <w:rPr>
          <w:spacing w:val="-13"/>
        </w:rPr>
        <w:t> </w:t>
      </w:r>
      <w:r>
        <w:rPr/>
        <w:t>ten</w:t>
      </w:r>
      <w:r>
        <w:rPr>
          <w:spacing w:val="-11"/>
        </w:rPr>
        <w:t> </w:t>
      </w:r>
      <w:r>
        <w:rPr/>
        <w:t>years</w:t>
      </w:r>
      <w:r>
        <w:rPr>
          <w:spacing w:val="-11"/>
        </w:rPr>
        <w:t> </w:t>
      </w:r>
      <w:r>
        <w:rPr/>
        <w:t>from</w:t>
      </w:r>
      <w:r>
        <w:rPr>
          <w:spacing w:val="-13"/>
        </w:rPr>
        <w:t> </w:t>
      </w:r>
      <w:r>
        <w:rPr/>
        <w:t>the date</w:t>
      </w:r>
      <w:r>
        <w:rPr>
          <w:spacing w:val="-16"/>
        </w:rPr>
        <w:t> </w:t>
      </w:r>
      <w:r>
        <w:rPr/>
        <w:t>of</w:t>
      </w:r>
      <w:r>
        <w:rPr>
          <w:spacing w:val="-15"/>
        </w:rPr>
        <w:t> </w:t>
      </w:r>
      <w:r>
        <w:rPr/>
        <w:t>commissioning.</w:t>
      </w:r>
      <w:r>
        <w:rPr>
          <w:spacing w:val="-18"/>
        </w:rPr>
        <w:t> </w:t>
      </w:r>
      <w:r>
        <w:rPr/>
        <w:t>Hence,</w:t>
      </w:r>
      <w:r>
        <w:rPr>
          <w:spacing w:val="-16"/>
        </w:rPr>
        <w:t> </w:t>
      </w:r>
      <w:r>
        <w:rPr/>
        <w:t>the</w:t>
      </w:r>
      <w:r>
        <w:rPr>
          <w:spacing w:val="-16"/>
        </w:rPr>
        <w:t> </w:t>
      </w:r>
      <w:r>
        <w:rPr/>
        <w:t>aforementioned</w:t>
      </w:r>
      <w:r>
        <w:rPr>
          <w:spacing w:val="-15"/>
        </w:rPr>
        <w:t> </w:t>
      </w:r>
      <w:r>
        <w:rPr/>
        <w:t>charges</w:t>
      </w:r>
      <w:r>
        <w:rPr>
          <w:spacing w:val="-15"/>
        </w:rPr>
        <w:t> </w:t>
      </w:r>
      <w:r>
        <w:rPr/>
        <w:t>have</w:t>
      </w:r>
      <w:r>
        <w:rPr>
          <w:spacing w:val="-17"/>
        </w:rPr>
        <w:t> </w:t>
      </w:r>
      <w:r>
        <w:rPr/>
        <w:t>been</w:t>
      </w:r>
      <w:r>
        <w:rPr>
          <w:spacing w:val="-16"/>
        </w:rPr>
        <w:t> </w:t>
      </w:r>
      <w:r>
        <w:rPr/>
        <w:t>factored</w:t>
      </w:r>
      <w:r>
        <w:rPr>
          <w:spacing w:val="-15"/>
        </w:rPr>
        <w:t> </w:t>
      </w:r>
      <w:r>
        <w:rPr/>
        <w:t>in</w:t>
      </w:r>
      <w:r>
        <w:rPr>
          <w:spacing w:val="-17"/>
        </w:rPr>
        <w:t> </w:t>
      </w:r>
      <w:r>
        <w:rPr/>
        <w:t>after</w:t>
      </w:r>
      <w:r>
        <w:rPr>
          <w:spacing w:val="-17"/>
        </w:rPr>
        <w:t> </w:t>
      </w:r>
      <w:r>
        <w:rPr/>
        <w:t>10</w:t>
      </w:r>
      <w:r>
        <w:rPr>
          <w:spacing w:val="-16"/>
        </w:rPr>
        <w:t> </w:t>
      </w:r>
      <w:r>
        <w:rPr/>
        <w:t>years</w:t>
      </w:r>
      <w:r>
        <w:rPr>
          <w:spacing w:val="-15"/>
        </w:rPr>
        <w:t> </w:t>
      </w:r>
      <w:r>
        <w:rPr/>
        <w:t>from COD since the subject plant has achieved COD on February 28,</w:t>
      </w:r>
      <w:r>
        <w:rPr>
          <w:spacing w:val="-15"/>
        </w:rPr>
        <w:t> </w:t>
      </w:r>
      <w:r>
        <w:rPr/>
        <w:t>2018.</w:t>
      </w:r>
    </w:p>
    <w:p>
      <w:pPr>
        <w:pStyle w:val="BodyText"/>
        <w:spacing w:before="2"/>
        <w:rPr>
          <w:sz w:val="21"/>
        </w:rPr>
      </w:pPr>
    </w:p>
    <w:p>
      <w:pPr>
        <w:pStyle w:val="BodyText"/>
        <w:ind w:left="1242"/>
        <w:jc w:val="both"/>
      </w:pPr>
      <w:r>
        <w:rPr/>
        <w:t>The details of these charges adopted for the purpose of this exercise have been tabulated below:</w:t>
      </w:r>
    </w:p>
    <w:p>
      <w:pPr>
        <w:pStyle w:val="BodyText"/>
        <w:spacing w:before="10"/>
        <w:rPr>
          <w:sz w:val="17"/>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782"/>
        <w:gridCol w:w="3286"/>
        <w:gridCol w:w="3420"/>
      </w:tblGrid>
      <w:tr>
        <w:trPr>
          <w:trHeight w:val="340" w:hRule="atLeast"/>
        </w:trPr>
        <w:tc>
          <w:tcPr>
            <w:tcW w:w="3782" w:type="dxa"/>
            <w:tcBorders>
              <w:top w:val="single" w:sz="6" w:space="0" w:color="69BD28"/>
              <w:bottom w:val="single" w:sz="6" w:space="0" w:color="69BD28"/>
            </w:tcBorders>
            <w:shd w:val="clear" w:color="auto" w:fill="006A4D"/>
          </w:tcPr>
          <w:p>
            <w:pPr>
              <w:pStyle w:val="TableParagraph"/>
              <w:spacing w:before="66"/>
              <w:ind w:left="867" w:right="951"/>
              <w:rPr>
                <w:b/>
                <w:sz w:val="18"/>
              </w:rPr>
            </w:pPr>
            <w:r>
              <w:rPr>
                <w:b/>
                <w:color w:val="FFFFFF"/>
                <w:w w:val="110"/>
                <w:sz w:val="18"/>
              </w:rPr>
              <w:t>Expense Head</w:t>
            </w:r>
          </w:p>
        </w:tc>
        <w:tc>
          <w:tcPr>
            <w:tcW w:w="3286" w:type="dxa"/>
            <w:tcBorders>
              <w:top w:val="single" w:sz="6" w:space="0" w:color="69BD28"/>
              <w:bottom w:val="single" w:sz="6" w:space="0" w:color="69BD28"/>
            </w:tcBorders>
            <w:shd w:val="clear" w:color="auto" w:fill="006A4D"/>
          </w:tcPr>
          <w:p>
            <w:pPr>
              <w:pStyle w:val="TableParagraph"/>
              <w:spacing w:before="66"/>
              <w:ind w:left="835" w:right="686"/>
              <w:rPr>
                <w:b/>
                <w:sz w:val="18"/>
              </w:rPr>
            </w:pPr>
            <w:r>
              <w:rPr>
                <w:b/>
                <w:color w:val="FFFFFF"/>
                <w:w w:val="110"/>
                <w:sz w:val="18"/>
              </w:rPr>
              <w:t>Basis (Units)</w:t>
            </w:r>
          </w:p>
        </w:tc>
        <w:tc>
          <w:tcPr>
            <w:tcW w:w="3420" w:type="dxa"/>
            <w:tcBorders>
              <w:top w:val="single" w:sz="6" w:space="0" w:color="69BD28"/>
              <w:bottom w:val="single" w:sz="6" w:space="0" w:color="69BD28"/>
            </w:tcBorders>
            <w:shd w:val="clear" w:color="auto" w:fill="006A4D"/>
          </w:tcPr>
          <w:p>
            <w:pPr>
              <w:pStyle w:val="TableParagraph"/>
              <w:spacing w:before="66"/>
              <w:ind w:left="1499" w:right="1253"/>
              <w:rPr>
                <w:b/>
                <w:sz w:val="18"/>
              </w:rPr>
            </w:pPr>
            <w:r>
              <w:rPr>
                <w:b/>
                <w:color w:val="FFFFFF"/>
                <w:w w:val="110"/>
                <w:sz w:val="18"/>
              </w:rPr>
              <w:t>Details</w:t>
            </w:r>
          </w:p>
        </w:tc>
      </w:tr>
      <w:tr>
        <w:trPr>
          <w:trHeight w:val="297" w:hRule="atLeast"/>
        </w:trPr>
        <w:tc>
          <w:tcPr>
            <w:tcW w:w="3782" w:type="dxa"/>
            <w:tcBorders>
              <w:top w:val="single" w:sz="6" w:space="0" w:color="69BD28"/>
              <w:bottom w:val="single" w:sz="6" w:space="0" w:color="69BD28"/>
            </w:tcBorders>
          </w:tcPr>
          <w:p>
            <w:pPr>
              <w:pStyle w:val="TableParagraph"/>
              <w:spacing w:before="46"/>
              <w:ind w:left="867" w:right="951"/>
              <w:rPr>
                <w:sz w:val="18"/>
              </w:rPr>
            </w:pPr>
            <w:r>
              <w:rPr>
                <w:sz w:val="18"/>
              </w:rPr>
              <w:t>Cross Subsidy Surcharge</w:t>
            </w:r>
          </w:p>
        </w:tc>
        <w:tc>
          <w:tcPr>
            <w:tcW w:w="3286" w:type="dxa"/>
            <w:tcBorders>
              <w:top w:val="single" w:sz="6" w:space="0" w:color="69BD28"/>
              <w:bottom w:val="single" w:sz="6" w:space="0" w:color="69BD28"/>
            </w:tcBorders>
          </w:tcPr>
          <w:p>
            <w:pPr>
              <w:pStyle w:val="TableParagraph"/>
              <w:spacing w:before="46"/>
              <w:ind w:left="838" w:right="686"/>
              <w:rPr>
                <w:sz w:val="18"/>
              </w:rPr>
            </w:pPr>
            <w:r>
              <w:rPr>
                <w:sz w:val="18"/>
              </w:rPr>
              <w:t>% of revenue</w:t>
            </w:r>
          </w:p>
        </w:tc>
        <w:tc>
          <w:tcPr>
            <w:tcW w:w="3420" w:type="dxa"/>
            <w:tcBorders>
              <w:top w:val="single" w:sz="6" w:space="0" w:color="69BD28"/>
              <w:bottom w:val="single" w:sz="6" w:space="0" w:color="69BD28"/>
            </w:tcBorders>
          </w:tcPr>
          <w:p>
            <w:pPr>
              <w:pStyle w:val="TableParagraph"/>
              <w:spacing w:before="46"/>
              <w:ind w:right="487"/>
              <w:jc w:val="right"/>
              <w:rPr>
                <w:sz w:val="18"/>
              </w:rPr>
            </w:pPr>
            <w:r>
              <w:rPr>
                <w:w w:val="105"/>
                <w:sz w:val="18"/>
              </w:rPr>
              <w:t>23.9% (INR 2.09 per kWH)*</w:t>
            </w:r>
          </w:p>
        </w:tc>
      </w:tr>
      <w:tr>
        <w:trPr>
          <w:trHeight w:val="294" w:hRule="atLeast"/>
        </w:trPr>
        <w:tc>
          <w:tcPr>
            <w:tcW w:w="3782" w:type="dxa"/>
            <w:tcBorders>
              <w:top w:val="single" w:sz="6" w:space="0" w:color="69BD28"/>
              <w:bottom w:val="single" w:sz="6" w:space="0" w:color="69BD28"/>
            </w:tcBorders>
          </w:tcPr>
          <w:p>
            <w:pPr>
              <w:pStyle w:val="TableParagraph"/>
              <w:spacing w:before="44"/>
              <w:ind w:left="867" w:right="950"/>
              <w:rPr>
                <w:sz w:val="18"/>
              </w:rPr>
            </w:pPr>
            <w:r>
              <w:rPr>
                <w:sz w:val="18"/>
              </w:rPr>
              <w:t>Transmission Charges</w:t>
            </w:r>
          </w:p>
        </w:tc>
        <w:tc>
          <w:tcPr>
            <w:tcW w:w="3286" w:type="dxa"/>
            <w:tcBorders>
              <w:top w:val="single" w:sz="6" w:space="0" w:color="69BD28"/>
              <w:bottom w:val="single" w:sz="6" w:space="0" w:color="69BD28"/>
            </w:tcBorders>
          </w:tcPr>
          <w:p>
            <w:pPr>
              <w:pStyle w:val="TableParagraph"/>
              <w:spacing w:before="44"/>
              <w:ind w:left="908" w:right="684"/>
              <w:rPr>
                <w:sz w:val="18"/>
              </w:rPr>
            </w:pPr>
            <w:r>
              <w:rPr>
                <w:sz w:val="18"/>
              </w:rPr>
              <w:t>% of revenue</w:t>
            </w:r>
          </w:p>
        </w:tc>
        <w:tc>
          <w:tcPr>
            <w:tcW w:w="3420" w:type="dxa"/>
            <w:tcBorders>
              <w:top w:val="single" w:sz="6" w:space="0" w:color="69BD28"/>
              <w:bottom w:val="single" w:sz="6" w:space="0" w:color="69BD28"/>
            </w:tcBorders>
          </w:tcPr>
          <w:p>
            <w:pPr>
              <w:pStyle w:val="TableParagraph"/>
              <w:spacing w:before="44"/>
              <w:ind w:right="543"/>
              <w:jc w:val="right"/>
              <w:rPr>
                <w:sz w:val="18"/>
              </w:rPr>
            </w:pPr>
            <w:r>
              <w:rPr>
                <w:sz w:val="18"/>
              </w:rPr>
              <w:t>9.2% (INR 0.81 per kWH)</w:t>
            </w:r>
          </w:p>
        </w:tc>
      </w:tr>
      <w:tr>
        <w:trPr>
          <w:trHeight w:val="296" w:hRule="atLeast"/>
        </w:trPr>
        <w:tc>
          <w:tcPr>
            <w:tcW w:w="3782" w:type="dxa"/>
            <w:tcBorders>
              <w:top w:val="single" w:sz="6" w:space="0" w:color="69BD28"/>
              <w:bottom w:val="single" w:sz="6" w:space="0" w:color="69BD28"/>
            </w:tcBorders>
          </w:tcPr>
          <w:p>
            <w:pPr>
              <w:pStyle w:val="TableParagraph"/>
              <w:spacing w:before="44"/>
              <w:ind w:left="864" w:right="951"/>
              <w:rPr>
                <w:sz w:val="18"/>
              </w:rPr>
            </w:pPr>
            <w:r>
              <w:rPr>
                <w:w w:val="105"/>
                <w:sz w:val="18"/>
              </w:rPr>
              <w:t>SLDC Charges</w:t>
            </w:r>
          </w:p>
        </w:tc>
        <w:tc>
          <w:tcPr>
            <w:tcW w:w="3286" w:type="dxa"/>
            <w:tcBorders>
              <w:top w:val="single" w:sz="6" w:space="0" w:color="69BD28"/>
              <w:bottom w:val="single" w:sz="6" w:space="0" w:color="69BD28"/>
            </w:tcBorders>
          </w:tcPr>
          <w:p>
            <w:pPr>
              <w:pStyle w:val="TableParagraph"/>
              <w:spacing w:before="44"/>
              <w:ind w:left="908" w:right="684"/>
              <w:rPr>
                <w:sz w:val="18"/>
              </w:rPr>
            </w:pPr>
            <w:r>
              <w:rPr>
                <w:sz w:val="18"/>
              </w:rPr>
              <w:t>% of revenue</w:t>
            </w:r>
          </w:p>
        </w:tc>
        <w:tc>
          <w:tcPr>
            <w:tcW w:w="3420" w:type="dxa"/>
            <w:tcBorders>
              <w:top w:val="single" w:sz="6" w:space="0" w:color="69BD28"/>
              <w:bottom w:val="single" w:sz="6" w:space="0" w:color="69BD28"/>
            </w:tcBorders>
          </w:tcPr>
          <w:p>
            <w:pPr>
              <w:pStyle w:val="TableParagraph"/>
              <w:spacing w:before="44"/>
              <w:ind w:right="543"/>
              <w:jc w:val="right"/>
              <w:rPr>
                <w:sz w:val="18"/>
              </w:rPr>
            </w:pPr>
            <w:r>
              <w:rPr>
                <w:sz w:val="18"/>
              </w:rPr>
              <w:t>0.1% (INR 0.01 per kWH)</w:t>
            </w:r>
          </w:p>
        </w:tc>
      </w:tr>
      <w:tr>
        <w:trPr>
          <w:trHeight w:val="295" w:hRule="atLeast"/>
        </w:trPr>
        <w:tc>
          <w:tcPr>
            <w:tcW w:w="3782" w:type="dxa"/>
            <w:tcBorders>
              <w:top w:val="single" w:sz="6" w:space="0" w:color="69BD28"/>
              <w:bottom w:val="single" w:sz="6" w:space="0" w:color="69BD28"/>
            </w:tcBorders>
          </w:tcPr>
          <w:p>
            <w:pPr>
              <w:pStyle w:val="TableParagraph"/>
              <w:spacing w:before="45"/>
              <w:ind w:left="867" w:right="949"/>
              <w:rPr>
                <w:sz w:val="18"/>
              </w:rPr>
            </w:pPr>
            <w:r>
              <w:rPr>
                <w:sz w:val="18"/>
              </w:rPr>
              <w:t>Wheeling Charges</w:t>
            </w:r>
          </w:p>
        </w:tc>
        <w:tc>
          <w:tcPr>
            <w:tcW w:w="3286" w:type="dxa"/>
            <w:tcBorders>
              <w:top w:val="single" w:sz="6" w:space="0" w:color="69BD28"/>
              <w:bottom w:val="single" w:sz="6" w:space="0" w:color="69BD28"/>
            </w:tcBorders>
          </w:tcPr>
          <w:p>
            <w:pPr>
              <w:pStyle w:val="TableParagraph"/>
              <w:spacing w:before="45"/>
              <w:ind w:left="908" w:right="686"/>
              <w:rPr>
                <w:sz w:val="18"/>
              </w:rPr>
            </w:pPr>
            <w:r>
              <w:rPr>
                <w:sz w:val="18"/>
              </w:rPr>
              <w:t>% of injected energy</w:t>
            </w:r>
          </w:p>
        </w:tc>
        <w:tc>
          <w:tcPr>
            <w:tcW w:w="3420" w:type="dxa"/>
            <w:tcBorders>
              <w:top w:val="single" w:sz="6" w:space="0" w:color="69BD28"/>
              <w:bottom w:val="single" w:sz="6" w:space="0" w:color="69BD28"/>
            </w:tcBorders>
          </w:tcPr>
          <w:p>
            <w:pPr>
              <w:pStyle w:val="TableParagraph"/>
              <w:spacing w:before="45"/>
              <w:ind w:left="1499" w:right="1182"/>
              <w:rPr>
                <w:sz w:val="18"/>
              </w:rPr>
            </w:pPr>
            <w:r>
              <w:rPr>
                <w:w w:val="110"/>
                <w:sz w:val="18"/>
              </w:rPr>
              <w:t>5.0%</w:t>
            </w:r>
          </w:p>
        </w:tc>
      </w:tr>
      <w:tr>
        <w:trPr>
          <w:trHeight w:val="296" w:hRule="atLeast"/>
        </w:trPr>
        <w:tc>
          <w:tcPr>
            <w:tcW w:w="3782" w:type="dxa"/>
            <w:tcBorders>
              <w:top w:val="single" w:sz="6" w:space="0" w:color="69BD28"/>
              <w:bottom w:val="single" w:sz="6" w:space="0" w:color="69BD28"/>
            </w:tcBorders>
          </w:tcPr>
          <w:p>
            <w:pPr>
              <w:pStyle w:val="TableParagraph"/>
              <w:spacing w:before="44"/>
              <w:ind w:left="867" w:right="949"/>
              <w:rPr>
                <w:sz w:val="18"/>
              </w:rPr>
            </w:pPr>
            <w:r>
              <w:rPr>
                <w:w w:val="105"/>
                <w:sz w:val="18"/>
              </w:rPr>
              <w:t>Banking Charges</w:t>
            </w:r>
          </w:p>
        </w:tc>
        <w:tc>
          <w:tcPr>
            <w:tcW w:w="3286" w:type="dxa"/>
            <w:tcBorders>
              <w:top w:val="single" w:sz="6" w:space="0" w:color="69BD28"/>
              <w:bottom w:val="single" w:sz="6" w:space="0" w:color="69BD28"/>
            </w:tcBorders>
          </w:tcPr>
          <w:p>
            <w:pPr>
              <w:pStyle w:val="TableParagraph"/>
              <w:spacing w:before="44"/>
              <w:ind w:left="908" w:right="686"/>
              <w:rPr>
                <w:sz w:val="18"/>
              </w:rPr>
            </w:pPr>
            <w:r>
              <w:rPr>
                <w:sz w:val="18"/>
              </w:rPr>
              <w:t>% of injected energy</w:t>
            </w:r>
          </w:p>
        </w:tc>
        <w:tc>
          <w:tcPr>
            <w:tcW w:w="3420" w:type="dxa"/>
            <w:tcBorders>
              <w:top w:val="single" w:sz="6" w:space="0" w:color="69BD28"/>
              <w:bottom w:val="single" w:sz="6" w:space="0" w:color="69BD28"/>
            </w:tcBorders>
          </w:tcPr>
          <w:p>
            <w:pPr>
              <w:pStyle w:val="TableParagraph"/>
              <w:spacing w:before="44"/>
              <w:ind w:left="1499" w:right="1182"/>
              <w:rPr>
                <w:sz w:val="18"/>
              </w:rPr>
            </w:pPr>
            <w:r>
              <w:rPr>
                <w:w w:val="110"/>
                <w:sz w:val="18"/>
              </w:rPr>
              <w:t>2.0%</w:t>
            </w:r>
          </w:p>
        </w:tc>
      </w:tr>
    </w:tbl>
    <w:p>
      <w:pPr>
        <w:spacing w:before="116"/>
        <w:ind w:left="680" w:right="0" w:firstLine="0"/>
        <w:jc w:val="left"/>
        <w:rPr>
          <w:i/>
          <w:sz w:val="18"/>
        </w:rPr>
      </w:pPr>
      <w:r>
        <w:rPr>
          <w:i/>
          <w:sz w:val="18"/>
        </w:rPr>
        <w:t>Source: Valuer Research</w:t>
      </w:r>
    </w:p>
    <w:p>
      <w:pPr>
        <w:spacing w:before="72"/>
        <w:ind w:left="680" w:right="0" w:firstLine="0"/>
        <w:jc w:val="left"/>
        <w:rPr>
          <w:i/>
          <w:sz w:val="18"/>
        </w:rPr>
      </w:pPr>
      <w:r>
        <w:rPr>
          <w:i/>
          <w:sz w:val="18"/>
        </w:rPr>
        <w:t>* Blended rate in proportion of the distribution between commercial and industrial category consumers</w:t>
      </w:r>
    </w:p>
    <w:p>
      <w:pPr>
        <w:pStyle w:val="BodyText"/>
        <w:spacing w:line="321" w:lineRule="auto" w:before="193"/>
        <w:ind w:left="1242" w:right="675"/>
        <w:jc w:val="both"/>
      </w:pPr>
      <w:r>
        <w:rPr/>
        <w:t>Additionally, as per KERC Tariff Order 2019, an additional surcharge of 15 paise per unit has been imposed</w:t>
      </w:r>
      <w:r>
        <w:rPr>
          <w:spacing w:val="-12"/>
        </w:rPr>
        <w:t> </w:t>
      </w:r>
      <w:r>
        <w:rPr/>
        <w:t>for</w:t>
      </w:r>
      <w:r>
        <w:rPr>
          <w:spacing w:val="-13"/>
        </w:rPr>
        <w:t> </w:t>
      </w:r>
      <w:r>
        <w:rPr/>
        <w:t>wheeling</w:t>
      </w:r>
      <w:r>
        <w:rPr>
          <w:spacing w:val="-12"/>
        </w:rPr>
        <w:t> </w:t>
      </w:r>
      <w:r>
        <w:rPr/>
        <w:t>and</w:t>
      </w:r>
      <w:r>
        <w:rPr>
          <w:spacing w:val="-11"/>
        </w:rPr>
        <w:t> </w:t>
      </w:r>
      <w:r>
        <w:rPr/>
        <w:t>the</w:t>
      </w:r>
      <w:r>
        <w:rPr>
          <w:spacing w:val="-13"/>
        </w:rPr>
        <w:t> </w:t>
      </w:r>
      <w:r>
        <w:rPr/>
        <w:t>same</w:t>
      </w:r>
      <w:r>
        <w:rPr>
          <w:spacing w:val="-13"/>
        </w:rPr>
        <w:t> </w:t>
      </w:r>
      <w:r>
        <w:rPr/>
        <w:t>is</w:t>
      </w:r>
      <w:r>
        <w:rPr>
          <w:spacing w:val="-12"/>
        </w:rPr>
        <w:t> </w:t>
      </w:r>
      <w:r>
        <w:rPr/>
        <w:t>being</w:t>
      </w:r>
      <w:r>
        <w:rPr>
          <w:spacing w:val="-12"/>
        </w:rPr>
        <w:t> </w:t>
      </w:r>
      <w:r>
        <w:rPr/>
        <w:t>absorbed</w:t>
      </w:r>
      <w:r>
        <w:rPr>
          <w:spacing w:val="-11"/>
        </w:rPr>
        <w:t> </w:t>
      </w:r>
      <w:r>
        <w:rPr/>
        <w:t>by</w:t>
      </w:r>
      <w:r>
        <w:rPr>
          <w:spacing w:val="-12"/>
        </w:rPr>
        <w:t> </w:t>
      </w:r>
      <w:r>
        <w:rPr/>
        <w:t>EEPL.</w:t>
      </w:r>
      <w:r>
        <w:rPr>
          <w:spacing w:val="-14"/>
        </w:rPr>
        <w:t> </w:t>
      </w:r>
      <w:r>
        <w:rPr/>
        <w:t>This</w:t>
      </w:r>
      <w:r>
        <w:rPr>
          <w:spacing w:val="-12"/>
        </w:rPr>
        <w:t> </w:t>
      </w:r>
      <w:r>
        <w:rPr/>
        <w:t>additional</w:t>
      </w:r>
      <w:r>
        <w:rPr>
          <w:spacing w:val="-13"/>
        </w:rPr>
        <w:t> </w:t>
      </w:r>
      <w:r>
        <w:rPr/>
        <w:t>surcharge</w:t>
      </w:r>
      <w:r>
        <w:rPr>
          <w:spacing w:val="-13"/>
        </w:rPr>
        <w:t> </w:t>
      </w:r>
      <w:r>
        <w:rPr/>
        <w:t>translates</w:t>
      </w:r>
      <w:r>
        <w:rPr>
          <w:spacing w:val="-13"/>
        </w:rPr>
        <w:t> </w:t>
      </w:r>
      <w:r>
        <w:rPr/>
        <w:t>to approx.</w:t>
      </w:r>
      <w:r>
        <w:rPr>
          <w:spacing w:val="-14"/>
        </w:rPr>
        <w:t> </w:t>
      </w:r>
      <w:r>
        <w:rPr/>
        <w:t>1.7%</w:t>
      </w:r>
      <w:r>
        <w:rPr>
          <w:spacing w:val="-14"/>
        </w:rPr>
        <w:t> </w:t>
      </w:r>
      <w:r>
        <w:rPr/>
        <w:t>of</w:t>
      </w:r>
      <w:r>
        <w:rPr>
          <w:spacing w:val="-13"/>
        </w:rPr>
        <w:t> </w:t>
      </w:r>
      <w:r>
        <w:rPr/>
        <w:t>revenue</w:t>
      </w:r>
      <w:r>
        <w:rPr>
          <w:spacing w:val="-13"/>
        </w:rPr>
        <w:t> </w:t>
      </w:r>
      <w:r>
        <w:rPr/>
        <w:t>and</w:t>
      </w:r>
      <w:r>
        <w:rPr>
          <w:spacing w:val="-14"/>
        </w:rPr>
        <w:t> </w:t>
      </w:r>
      <w:r>
        <w:rPr/>
        <w:t>the</w:t>
      </w:r>
      <w:r>
        <w:rPr>
          <w:spacing w:val="-14"/>
        </w:rPr>
        <w:t> </w:t>
      </w:r>
      <w:r>
        <w:rPr/>
        <w:t>same</w:t>
      </w:r>
      <w:r>
        <w:rPr>
          <w:spacing w:val="-13"/>
        </w:rPr>
        <w:t> </w:t>
      </w:r>
      <w:r>
        <w:rPr/>
        <w:t>has</w:t>
      </w:r>
      <w:r>
        <w:rPr>
          <w:spacing w:val="-15"/>
        </w:rPr>
        <w:t> </w:t>
      </w:r>
      <w:r>
        <w:rPr/>
        <w:t>been</w:t>
      </w:r>
      <w:r>
        <w:rPr>
          <w:spacing w:val="-14"/>
        </w:rPr>
        <w:t> </w:t>
      </w:r>
      <w:r>
        <w:rPr/>
        <w:t>considered</w:t>
      </w:r>
      <w:r>
        <w:rPr>
          <w:spacing w:val="-13"/>
        </w:rPr>
        <w:t> </w:t>
      </w:r>
      <w:r>
        <w:rPr/>
        <w:t>for</w:t>
      </w:r>
      <w:r>
        <w:rPr>
          <w:spacing w:val="-15"/>
        </w:rPr>
        <w:t> </w:t>
      </w:r>
      <w:r>
        <w:rPr/>
        <w:t>the</w:t>
      </w:r>
      <w:r>
        <w:rPr>
          <w:spacing w:val="-16"/>
        </w:rPr>
        <w:t> </w:t>
      </w:r>
      <w:r>
        <w:rPr/>
        <w:t>purpose</w:t>
      </w:r>
      <w:r>
        <w:rPr>
          <w:spacing w:val="-13"/>
        </w:rPr>
        <w:t> </w:t>
      </w:r>
      <w:r>
        <w:rPr/>
        <w:t>of</w:t>
      </w:r>
      <w:r>
        <w:rPr>
          <w:spacing w:val="-13"/>
        </w:rPr>
        <w:t> </w:t>
      </w:r>
      <w:r>
        <w:rPr/>
        <w:t>our</w:t>
      </w:r>
      <w:r>
        <w:rPr>
          <w:spacing w:val="-14"/>
        </w:rPr>
        <w:t> </w:t>
      </w:r>
      <w:r>
        <w:rPr/>
        <w:t>valuation</w:t>
      </w:r>
      <w:r>
        <w:rPr>
          <w:spacing w:val="-14"/>
        </w:rPr>
        <w:t> </w:t>
      </w:r>
      <w:r>
        <w:rPr/>
        <w:t>workings.</w:t>
      </w:r>
    </w:p>
    <w:p>
      <w:pPr>
        <w:spacing w:after="0" w:line="321" w:lineRule="auto"/>
        <w:jc w:val="both"/>
        <w:sectPr>
          <w:pgSz w:w="11910" w:h="16840"/>
          <w:pgMar w:header="720" w:footer="862" w:top="1660" w:bottom="1060" w:left="40" w:right="40"/>
        </w:sectPr>
      </w:pPr>
    </w:p>
    <w:p>
      <w:pPr>
        <w:pStyle w:val="BodyText"/>
        <w:spacing w:before="7"/>
        <w:rPr>
          <w:sz w:val="9"/>
        </w:rPr>
      </w:pPr>
    </w:p>
    <w:p>
      <w:pPr>
        <w:pStyle w:val="ListParagraph"/>
        <w:numPr>
          <w:ilvl w:val="2"/>
          <w:numId w:val="93"/>
        </w:numPr>
        <w:tabs>
          <w:tab w:pos="1401" w:val="left" w:leader="none"/>
        </w:tabs>
        <w:spacing w:line="240" w:lineRule="auto" w:before="106" w:after="0"/>
        <w:ind w:left="1400" w:right="0" w:hanging="721"/>
        <w:jc w:val="left"/>
        <w:rPr>
          <w:sz w:val="22"/>
        </w:rPr>
      </w:pPr>
      <w:r>
        <w:rPr>
          <w:color w:val="1F664D"/>
          <w:w w:val="105"/>
          <w:sz w:val="22"/>
        </w:rPr>
        <w:t>Other</w:t>
      </w:r>
      <w:r>
        <w:rPr>
          <w:color w:val="1F664D"/>
          <w:spacing w:val="-7"/>
          <w:w w:val="105"/>
          <w:sz w:val="22"/>
        </w:rPr>
        <w:t> </w:t>
      </w:r>
      <w:r>
        <w:rPr>
          <w:color w:val="1F664D"/>
          <w:w w:val="105"/>
          <w:sz w:val="22"/>
        </w:rPr>
        <w:t>Charges</w:t>
      </w:r>
    </w:p>
    <w:p>
      <w:pPr>
        <w:pStyle w:val="BodyText"/>
        <w:spacing w:before="3"/>
        <w:rPr>
          <w:sz w:val="28"/>
        </w:rPr>
      </w:pPr>
    </w:p>
    <w:p>
      <w:pPr>
        <w:pStyle w:val="BodyText"/>
        <w:ind w:left="1220"/>
        <w:jc w:val="both"/>
      </w:pPr>
      <w:r>
        <w:rPr>
          <w:u w:val="single"/>
        </w:rPr>
        <w:t>Insurance Premium</w:t>
      </w:r>
    </w:p>
    <w:p>
      <w:pPr>
        <w:pStyle w:val="BodyText"/>
        <w:spacing w:line="319" w:lineRule="auto" w:before="88"/>
        <w:ind w:left="1220" w:right="687"/>
        <w:jc w:val="both"/>
      </w:pPr>
      <w:r>
        <w:rPr/>
        <w:t>We have considered an annual outflow towards insurance premium at 0.5% of the net assets / block after book depreciation (excluding land cost).</w:t>
      </w:r>
    </w:p>
    <w:p>
      <w:pPr>
        <w:pStyle w:val="BodyText"/>
        <w:rPr>
          <w:sz w:val="21"/>
        </w:rPr>
      </w:pPr>
    </w:p>
    <w:p>
      <w:pPr>
        <w:pStyle w:val="BodyText"/>
        <w:ind w:left="1220"/>
        <w:jc w:val="both"/>
      </w:pPr>
      <w:r>
        <w:rPr>
          <w:u w:val="single"/>
        </w:rPr>
        <w:t>Replacement Cost of Inverter</w:t>
      </w:r>
    </w:p>
    <w:p>
      <w:pPr>
        <w:pStyle w:val="BodyText"/>
        <w:spacing w:line="321" w:lineRule="auto" w:before="88"/>
        <w:ind w:left="1220" w:right="674"/>
        <w:jc w:val="both"/>
      </w:pPr>
      <w:r>
        <w:rPr/>
        <w:t>Based</w:t>
      </w:r>
      <w:r>
        <w:rPr>
          <w:spacing w:val="-21"/>
        </w:rPr>
        <w:t> </w:t>
      </w:r>
      <w:r>
        <w:rPr/>
        <w:t>on</w:t>
      </w:r>
      <w:r>
        <w:rPr>
          <w:spacing w:val="-20"/>
        </w:rPr>
        <w:t> </w:t>
      </w:r>
      <w:r>
        <w:rPr/>
        <w:t>market</w:t>
      </w:r>
      <w:r>
        <w:rPr>
          <w:spacing w:val="-21"/>
        </w:rPr>
        <w:t> </w:t>
      </w:r>
      <w:r>
        <w:rPr/>
        <w:t>feedback</w:t>
      </w:r>
      <w:r>
        <w:rPr>
          <w:spacing w:val="-20"/>
        </w:rPr>
        <w:t> </w:t>
      </w:r>
      <w:r>
        <w:rPr/>
        <w:t>and</w:t>
      </w:r>
      <w:r>
        <w:rPr>
          <w:spacing w:val="-20"/>
        </w:rPr>
        <w:t> </w:t>
      </w:r>
      <w:r>
        <w:rPr/>
        <w:t>various</w:t>
      </w:r>
      <w:r>
        <w:rPr>
          <w:spacing w:val="-19"/>
        </w:rPr>
        <w:t> </w:t>
      </w:r>
      <w:r>
        <w:rPr/>
        <w:t>research</w:t>
      </w:r>
      <w:r>
        <w:rPr>
          <w:spacing w:val="-20"/>
        </w:rPr>
        <w:t> </w:t>
      </w:r>
      <w:r>
        <w:rPr/>
        <w:t>reports,</w:t>
      </w:r>
      <w:r>
        <w:rPr>
          <w:spacing w:val="-19"/>
        </w:rPr>
        <w:t> </w:t>
      </w:r>
      <w:r>
        <w:rPr/>
        <w:t>it</w:t>
      </w:r>
      <w:r>
        <w:rPr>
          <w:spacing w:val="-22"/>
        </w:rPr>
        <w:t> </w:t>
      </w:r>
      <w:r>
        <w:rPr/>
        <w:t>is</w:t>
      </w:r>
      <w:r>
        <w:rPr>
          <w:spacing w:val="-17"/>
        </w:rPr>
        <w:t> </w:t>
      </w:r>
      <w:r>
        <w:rPr/>
        <w:t>understood</w:t>
      </w:r>
      <w:r>
        <w:rPr>
          <w:spacing w:val="-19"/>
        </w:rPr>
        <w:t> </w:t>
      </w:r>
      <w:r>
        <w:rPr/>
        <w:t>that</w:t>
      </w:r>
      <w:r>
        <w:rPr>
          <w:spacing w:val="-19"/>
        </w:rPr>
        <w:t> </w:t>
      </w:r>
      <w:r>
        <w:rPr/>
        <w:t>a</w:t>
      </w:r>
      <w:r>
        <w:rPr>
          <w:spacing w:val="-20"/>
        </w:rPr>
        <w:t> </w:t>
      </w:r>
      <w:r>
        <w:rPr/>
        <w:t>solar</w:t>
      </w:r>
      <w:r>
        <w:rPr>
          <w:spacing w:val="-20"/>
        </w:rPr>
        <w:t> </w:t>
      </w:r>
      <w:r>
        <w:rPr/>
        <w:t>inverter</w:t>
      </w:r>
      <w:r>
        <w:rPr>
          <w:spacing w:val="-20"/>
        </w:rPr>
        <w:t> </w:t>
      </w:r>
      <w:r>
        <w:rPr/>
        <w:t>generally has a lifespan of approx. 10 </w:t>
      </w:r>
      <w:r>
        <w:rPr>
          <w:w w:val="105"/>
        </w:rPr>
        <w:t>– </w:t>
      </w:r>
      <w:r>
        <w:rPr/>
        <w:t>12 years. Hence, we have considered an additional outflow towards replacement of inverter in 13</w:t>
      </w:r>
      <w:r>
        <w:rPr>
          <w:vertAlign w:val="superscript"/>
        </w:rPr>
        <w:t>th</w:t>
      </w:r>
      <w:r>
        <w:rPr>
          <w:vertAlign w:val="baseline"/>
        </w:rPr>
        <w:t> year from</w:t>
      </w:r>
      <w:r>
        <w:rPr>
          <w:spacing w:val="-22"/>
          <w:vertAlign w:val="baseline"/>
        </w:rPr>
        <w:t> </w:t>
      </w:r>
      <w:r>
        <w:rPr>
          <w:vertAlign w:val="baseline"/>
        </w:rPr>
        <w:t>COD.</w:t>
      </w:r>
    </w:p>
    <w:p>
      <w:pPr>
        <w:pStyle w:val="BodyText"/>
        <w:spacing w:before="11"/>
        <w:rPr>
          <w:sz w:val="20"/>
        </w:rPr>
      </w:pPr>
    </w:p>
    <w:p>
      <w:pPr>
        <w:pStyle w:val="BodyText"/>
        <w:spacing w:line="321" w:lineRule="auto"/>
        <w:ind w:left="1220" w:right="676"/>
        <w:jc w:val="both"/>
      </w:pPr>
      <w:r>
        <w:rPr/>
        <w:t>Additionally, it is understood that the prevailing market price for inverters manufactured in India is approx. INR 2 Mn per MW, while the price is close to INR 3 Mn per MW for those made in Germany. Further,</w:t>
      </w:r>
      <w:r>
        <w:rPr>
          <w:spacing w:val="-24"/>
        </w:rPr>
        <w:t> </w:t>
      </w:r>
      <w:r>
        <w:rPr/>
        <w:t>as</w:t>
      </w:r>
      <w:r>
        <w:rPr>
          <w:spacing w:val="-24"/>
        </w:rPr>
        <w:t> </w:t>
      </w:r>
      <w:r>
        <w:rPr/>
        <w:t>per</w:t>
      </w:r>
      <w:r>
        <w:rPr>
          <w:spacing w:val="-24"/>
        </w:rPr>
        <w:t> </w:t>
      </w:r>
      <w:r>
        <w:rPr/>
        <w:t>inputs</w:t>
      </w:r>
      <w:r>
        <w:rPr>
          <w:spacing w:val="-23"/>
        </w:rPr>
        <w:t> </w:t>
      </w:r>
      <w:r>
        <w:rPr/>
        <w:t>of</w:t>
      </w:r>
      <w:r>
        <w:rPr>
          <w:spacing w:val="-23"/>
        </w:rPr>
        <w:t> </w:t>
      </w:r>
      <w:r>
        <w:rPr/>
        <w:t>the</w:t>
      </w:r>
      <w:r>
        <w:rPr>
          <w:spacing w:val="-25"/>
        </w:rPr>
        <w:t> </w:t>
      </w:r>
      <w:r>
        <w:rPr/>
        <w:t>Client,</w:t>
      </w:r>
      <w:r>
        <w:rPr>
          <w:spacing w:val="-25"/>
        </w:rPr>
        <w:t> </w:t>
      </w:r>
      <w:r>
        <w:rPr/>
        <w:t>it</w:t>
      </w:r>
      <w:r>
        <w:rPr>
          <w:spacing w:val="-22"/>
        </w:rPr>
        <w:t> </w:t>
      </w:r>
      <w:r>
        <w:rPr/>
        <w:t>is</w:t>
      </w:r>
      <w:r>
        <w:rPr>
          <w:spacing w:val="-24"/>
        </w:rPr>
        <w:t> </w:t>
      </w:r>
      <w:r>
        <w:rPr/>
        <w:t>understood</w:t>
      </w:r>
      <w:r>
        <w:rPr>
          <w:spacing w:val="-23"/>
        </w:rPr>
        <w:t> </w:t>
      </w:r>
      <w:r>
        <w:rPr/>
        <w:t>that</w:t>
      </w:r>
      <w:r>
        <w:rPr>
          <w:spacing w:val="-24"/>
        </w:rPr>
        <w:t> </w:t>
      </w:r>
      <w:r>
        <w:rPr/>
        <w:t>EEPL</w:t>
      </w:r>
      <w:r>
        <w:rPr>
          <w:spacing w:val="-24"/>
        </w:rPr>
        <w:t> </w:t>
      </w:r>
      <w:r>
        <w:rPr/>
        <w:t>is</w:t>
      </w:r>
      <w:r>
        <w:rPr>
          <w:spacing w:val="-23"/>
        </w:rPr>
        <w:t> </w:t>
      </w:r>
      <w:r>
        <w:rPr/>
        <w:t>using</w:t>
      </w:r>
      <w:r>
        <w:rPr>
          <w:spacing w:val="-23"/>
        </w:rPr>
        <w:t> </w:t>
      </w:r>
      <w:r>
        <w:rPr/>
        <w:t>a</w:t>
      </w:r>
      <w:r>
        <w:rPr>
          <w:spacing w:val="-25"/>
        </w:rPr>
        <w:t> </w:t>
      </w:r>
      <w:r>
        <w:rPr/>
        <w:t>mix</w:t>
      </w:r>
      <w:r>
        <w:rPr>
          <w:spacing w:val="-24"/>
        </w:rPr>
        <w:t> </w:t>
      </w:r>
      <w:r>
        <w:rPr/>
        <w:t>of</w:t>
      </w:r>
      <w:r>
        <w:rPr>
          <w:spacing w:val="-23"/>
        </w:rPr>
        <w:t> </w:t>
      </w:r>
      <w:r>
        <w:rPr/>
        <w:t>both</w:t>
      </w:r>
      <w:r>
        <w:rPr>
          <w:spacing w:val="-24"/>
        </w:rPr>
        <w:t> </w:t>
      </w:r>
      <w:r>
        <w:rPr/>
        <w:t>in</w:t>
      </w:r>
      <w:r>
        <w:rPr>
          <w:spacing w:val="-25"/>
        </w:rPr>
        <w:t> </w:t>
      </w:r>
      <w:r>
        <w:rPr/>
        <w:t>equal</w:t>
      </w:r>
      <w:r>
        <w:rPr>
          <w:spacing w:val="-22"/>
        </w:rPr>
        <w:t> </w:t>
      </w:r>
      <w:r>
        <w:rPr/>
        <w:t>proportion. It is also understood that the entire inverter may not need replacement and only the Insulated Gate Bipolar</w:t>
      </w:r>
      <w:r>
        <w:rPr>
          <w:spacing w:val="-30"/>
        </w:rPr>
        <w:t> </w:t>
      </w:r>
      <w:r>
        <w:rPr/>
        <w:t>Transistors</w:t>
      </w:r>
      <w:r>
        <w:rPr>
          <w:spacing w:val="-29"/>
        </w:rPr>
        <w:t> </w:t>
      </w:r>
      <w:r>
        <w:rPr/>
        <w:t>(IGBT)</w:t>
      </w:r>
      <w:r>
        <w:rPr>
          <w:spacing w:val="-29"/>
        </w:rPr>
        <w:t> </w:t>
      </w:r>
      <w:r>
        <w:rPr/>
        <w:t>/</w:t>
      </w:r>
      <w:r>
        <w:rPr>
          <w:spacing w:val="-29"/>
        </w:rPr>
        <w:t> </w:t>
      </w:r>
      <w:r>
        <w:rPr/>
        <w:t>electronics</w:t>
      </w:r>
      <w:r>
        <w:rPr>
          <w:spacing w:val="-28"/>
        </w:rPr>
        <w:t> </w:t>
      </w:r>
      <w:r>
        <w:rPr/>
        <w:t>will</w:t>
      </w:r>
      <w:r>
        <w:rPr>
          <w:spacing w:val="-29"/>
        </w:rPr>
        <w:t> </w:t>
      </w:r>
      <w:r>
        <w:rPr/>
        <w:t>be</w:t>
      </w:r>
      <w:r>
        <w:rPr>
          <w:spacing w:val="-30"/>
        </w:rPr>
        <w:t> </w:t>
      </w:r>
      <w:r>
        <w:rPr/>
        <w:t>replaced.</w:t>
      </w:r>
      <w:r>
        <w:rPr>
          <w:spacing w:val="-29"/>
        </w:rPr>
        <w:t> </w:t>
      </w:r>
      <w:r>
        <w:rPr/>
        <w:t>Hence,</w:t>
      </w:r>
      <w:r>
        <w:rPr>
          <w:spacing w:val="-29"/>
        </w:rPr>
        <w:t> </w:t>
      </w:r>
      <w:r>
        <w:rPr/>
        <w:t>considering</w:t>
      </w:r>
      <w:r>
        <w:rPr>
          <w:spacing w:val="-29"/>
        </w:rPr>
        <w:t> </w:t>
      </w:r>
      <w:r>
        <w:rPr/>
        <w:t>the</w:t>
      </w:r>
      <w:r>
        <w:rPr>
          <w:spacing w:val="-29"/>
        </w:rPr>
        <w:t> </w:t>
      </w:r>
      <w:r>
        <w:rPr/>
        <w:t>reducing</w:t>
      </w:r>
      <w:r>
        <w:rPr>
          <w:spacing w:val="-29"/>
        </w:rPr>
        <w:t> </w:t>
      </w:r>
      <w:r>
        <w:rPr/>
        <w:t>capital</w:t>
      </w:r>
      <w:r>
        <w:rPr>
          <w:spacing w:val="-29"/>
        </w:rPr>
        <w:t> </w:t>
      </w:r>
      <w:r>
        <w:rPr/>
        <w:t>cost</w:t>
      </w:r>
      <w:r>
        <w:rPr>
          <w:spacing w:val="-30"/>
        </w:rPr>
        <w:t> </w:t>
      </w:r>
      <w:r>
        <w:rPr/>
        <w:t>in the</w:t>
      </w:r>
      <w:r>
        <w:rPr>
          <w:spacing w:val="-12"/>
        </w:rPr>
        <w:t> </w:t>
      </w:r>
      <w:r>
        <w:rPr/>
        <w:t>industry,</w:t>
      </w:r>
      <w:r>
        <w:rPr>
          <w:spacing w:val="-13"/>
        </w:rPr>
        <w:t> </w:t>
      </w:r>
      <w:r>
        <w:rPr/>
        <w:t>the</w:t>
      </w:r>
      <w:r>
        <w:rPr>
          <w:spacing w:val="-11"/>
        </w:rPr>
        <w:t> </w:t>
      </w:r>
      <w:r>
        <w:rPr/>
        <w:t>cost</w:t>
      </w:r>
      <w:r>
        <w:rPr>
          <w:spacing w:val="-9"/>
        </w:rPr>
        <w:t> </w:t>
      </w:r>
      <w:r>
        <w:rPr/>
        <w:t>adopted</w:t>
      </w:r>
      <w:r>
        <w:rPr>
          <w:spacing w:val="-12"/>
        </w:rPr>
        <w:t> </w:t>
      </w:r>
      <w:r>
        <w:rPr/>
        <w:t>for</w:t>
      </w:r>
      <w:r>
        <w:rPr>
          <w:spacing w:val="-12"/>
        </w:rPr>
        <w:t> </w:t>
      </w:r>
      <w:r>
        <w:rPr/>
        <w:t>replacing</w:t>
      </w:r>
      <w:r>
        <w:rPr>
          <w:spacing w:val="-9"/>
        </w:rPr>
        <w:t> </w:t>
      </w:r>
      <w:r>
        <w:rPr/>
        <w:t>the</w:t>
      </w:r>
      <w:r>
        <w:rPr>
          <w:spacing w:val="-12"/>
        </w:rPr>
        <w:t> </w:t>
      </w:r>
      <w:r>
        <w:rPr/>
        <w:t>inverter</w:t>
      </w:r>
      <w:r>
        <w:rPr>
          <w:spacing w:val="-11"/>
        </w:rPr>
        <w:t> </w:t>
      </w:r>
      <w:r>
        <w:rPr/>
        <w:t>has</w:t>
      </w:r>
      <w:r>
        <w:rPr>
          <w:spacing w:val="-11"/>
        </w:rPr>
        <w:t> </w:t>
      </w:r>
      <w:r>
        <w:rPr/>
        <w:t>been</w:t>
      </w:r>
      <w:r>
        <w:rPr>
          <w:spacing w:val="-11"/>
        </w:rPr>
        <w:t> </w:t>
      </w:r>
      <w:r>
        <w:rPr/>
        <w:t>considered</w:t>
      </w:r>
      <w:r>
        <w:rPr>
          <w:spacing w:val="-10"/>
        </w:rPr>
        <w:t> </w:t>
      </w:r>
      <w:r>
        <w:rPr/>
        <w:t>as</w:t>
      </w:r>
      <w:r>
        <w:rPr>
          <w:spacing w:val="-10"/>
        </w:rPr>
        <w:t> </w:t>
      </w:r>
      <w:r>
        <w:rPr/>
        <w:t>INR</w:t>
      </w:r>
      <w:r>
        <w:rPr>
          <w:spacing w:val="-12"/>
        </w:rPr>
        <w:t> </w:t>
      </w:r>
      <w:r>
        <w:rPr/>
        <w:t>1.3</w:t>
      </w:r>
      <w:r>
        <w:rPr>
          <w:spacing w:val="-12"/>
        </w:rPr>
        <w:t> </w:t>
      </w:r>
      <w:r>
        <w:rPr/>
        <w:t>Mn</w:t>
      </w:r>
      <w:r>
        <w:rPr>
          <w:spacing w:val="-12"/>
        </w:rPr>
        <w:t> </w:t>
      </w:r>
      <w:r>
        <w:rPr/>
        <w:t>per</w:t>
      </w:r>
      <w:r>
        <w:rPr>
          <w:spacing w:val="-12"/>
        </w:rPr>
        <w:t> </w:t>
      </w:r>
      <w:r>
        <w:rPr/>
        <w:t>MW</w:t>
      </w:r>
      <w:r>
        <w:rPr>
          <w:spacing w:val="-12"/>
        </w:rPr>
        <w:t> </w:t>
      </w:r>
      <w:r>
        <w:rPr/>
        <w:t>in the year of</w:t>
      </w:r>
      <w:r>
        <w:rPr>
          <w:spacing w:val="-9"/>
        </w:rPr>
        <w:t> </w:t>
      </w:r>
      <w:r>
        <w:rPr/>
        <w:t>replacement.</w:t>
      </w:r>
    </w:p>
    <w:p>
      <w:pPr>
        <w:pStyle w:val="BodyText"/>
        <w:rPr>
          <w:sz w:val="21"/>
        </w:rPr>
      </w:pPr>
    </w:p>
    <w:p>
      <w:pPr>
        <w:pStyle w:val="ListParagraph"/>
        <w:numPr>
          <w:ilvl w:val="2"/>
          <w:numId w:val="93"/>
        </w:numPr>
        <w:tabs>
          <w:tab w:pos="1401" w:val="left" w:leader="none"/>
        </w:tabs>
        <w:spacing w:line="240" w:lineRule="auto" w:before="0" w:after="0"/>
        <w:ind w:left="1400" w:right="0" w:hanging="721"/>
        <w:jc w:val="left"/>
        <w:rPr>
          <w:sz w:val="22"/>
        </w:rPr>
      </w:pPr>
      <w:bookmarkStart w:name="_bookmark404" w:id="789"/>
      <w:bookmarkEnd w:id="789"/>
      <w:r>
        <w:rPr/>
      </w:r>
      <w:bookmarkStart w:name="_bookmark404" w:id="790"/>
      <w:bookmarkEnd w:id="790"/>
      <w:r>
        <w:rPr>
          <w:color w:val="1F664D"/>
          <w:w w:val="105"/>
          <w:sz w:val="22"/>
        </w:rPr>
        <w:t>W</w:t>
      </w:r>
      <w:r>
        <w:rPr>
          <w:color w:val="1F664D"/>
          <w:w w:val="105"/>
          <w:sz w:val="22"/>
        </w:rPr>
        <w:t>orking Capital</w:t>
      </w:r>
      <w:r>
        <w:rPr>
          <w:color w:val="1F664D"/>
          <w:spacing w:val="-9"/>
          <w:w w:val="105"/>
          <w:sz w:val="22"/>
        </w:rPr>
        <w:t> </w:t>
      </w:r>
      <w:r>
        <w:rPr>
          <w:color w:val="1F664D"/>
          <w:w w:val="105"/>
          <w:sz w:val="22"/>
        </w:rPr>
        <w:t>Assumptions</w:t>
      </w:r>
    </w:p>
    <w:p>
      <w:pPr>
        <w:pStyle w:val="BodyText"/>
        <w:spacing w:before="1"/>
        <w:rPr>
          <w:sz w:val="28"/>
        </w:rPr>
      </w:pPr>
    </w:p>
    <w:p>
      <w:pPr>
        <w:pStyle w:val="BodyText"/>
        <w:spacing w:line="321" w:lineRule="auto"/>
        <w:ind w:left="1311" w:right="677"/>
        <w:jc w:val="both"/>
      </w:pPr>
      <w:r>
        <w:rPr/>
        <w:t>As</w:t>
      </w:r>
      <w:r>
        <w:rPr>
          <w:spacing w:val="-18"/>
        </w:rPr>
        <w:t> </w:t>
      </w:r>
      <w:r>
        <w:rPr/>
        <w:t>highlighted</w:t>
      </w:r>
      <w:r>
        <w:rPr>
          <w:spacing w:val="-17"/>
        </w:rPr>
        <w:t> </w:t>
      </w:r>
      <w:r>
        <w:rPr/>
        <w:t>in</w:t>
      </w:r>
      <w:r>
        <w:rPr>
          <w:spacing w:val="-19"/>
        </w:rPr>
        <w:t> </w:t>
      </w:r>
      <w:r>
        <w:rPr/>
        <w:t>earlier</w:t>
      </w:r>
      <w:r>
        <w:rPr>
          <w:spacing w:val="-18"/>
        </w:rPr>
        <w:t> </w:t>
      </w:r>
      <w:r>
        <w:rPr/>
        <w:t>section,</w:t>
      </w:r>
      <w:r>
        <w:rPr>
          <w:spacing w:val="-17"/>
        </w:rPr>
        <w:t> </w:t>
      </w:r>
      <w:r>
        <w:rPr/>
        <w:t>the</w:t>
      </w:r>
      <w:r>
        <w:rPr>
          <w:spacing w:val="-18"/>
        </w:rPr>
        <w:t> </w:t>
      </w:r>
      <w:r>
        <w:rPr/>
        <w:t>working</w:t>
      </w:r>
      <w:r>
        <w:rPr>
          <w:spacing w:val="-17"/>
        </w:rPr>
        <w:t> </w:t>
      </w:r>
      <w:r>
        <w:rPr/>
        <w:t>capital</w:t>
      </w:r>
      <w:r>
        <w:rPr>
          <w:spacing w:val="-18"/>
        </w:rPr>
        <w:t> </w:t>
      </w:r>
      <w:r>
        <w:rPr/>
        <w:t>assumptions</w:t>
      </w:r>
      <w:r>
        <w:rPr>
          <w:spacing w:val="-18"/>
        </w:rPr>
        <w:t> </w:t>
      </w:r>
      <w:r>
        <w:rPr/>
        <w:t>adopted</w:t>
      </w:r>
      <w:r>
        <w:rPr>
          <w:spacing w:val="-19"/>
        </w:rPr>
        <w:t> </w:t>
      </w:r>
      <w:r>
        <w:rPr/>
        <w:t>for</w:t>
      </w:r>
      <w:r>
        <w:rPr>
          <w:spacing w:val="-18"/>
        </w:rPr>
        <w:t> </w:t>
      </w:r>
      <w:r>
        <w:rPr/>
        <w:t>this</w:t>
      </w:r>
      <w:r>
        <w:rPr>
          <w:spacing w:val="-17"/>
        </w:rPr>
        <w:t> </w:t>
      </w:r>
      <w:r>
        <w:rPr/>
        <w:t>exercise</w:t>
      </w:r>
      <w:r>
        <w:rPr>
          <w:spacing w:val="-17"/>
        </w:rPr>
        <w:t> </w:t>
      </w:r>
      <w:r>
        <w:rPr/>
        <w:t>have</w:t>
      </w:r>
      <w:r>
        <w:rPr>
          <w:spacing w:val="-18"/>
        </w:rPr>
        <w:t> </w:t>
      </w:r>
      <w:r>
        <w:rPr/>
        <w:t>been tabulated</w:t>
      </w:r>
      <w:r>
        <w:rPr>
          <w:spacing w:val="-3"/>
        </w:rPr>
        <w:t> </w:t>
      </w:r>
      <w:r>
        <w:rPr/>
        <w:t>below:</w:t>
      </w:r>
    </w:p>
    <w:p>
      <w:pPr>
        <w:pStyle w:val="BodyText"/>
        <w:rPr>
          <w:sz w:val="21"/>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949"/>
        <w:gridCol w:w="3598"/>
        <w:gridCol w:w="2937"/>
      </w:tblGrid>
      <w:tr>
        <w:trPr>
          <w:trHeight w:val="520" w:hRule="atLeast"/>
        </w:trPr>
        <w:tc>
          <w:tcPr>
            <w:tcW w:w="10484" w:type="dxa"/>
            <w:gridSpan w:val="3"/>
            <w:tcBorders>
              <w:top w:val="single" w:sz="6" w:space="0" w:color="69BD28"/>
              <w:bottom w:val="single" w:sz="6" w:space="0" w:color="69BD28"/>
            </w:tcBorders>
            <w:shd w:val="clear" w:color="auto" w:fill="006A4D"/>
          </w:tcPr>
          <w:p>
            <w:pPr>
              <w:pStyle w:val="TableParagraph"/>
              <w:tabs>
                <w:tab w:pos="5401" w:val="left" w:leader="none"/>
                <w:tab w:pos="8577" w:val="left" w:leader="none"/>
              </w:tabs>
              <w:spacing w:before="123"/>
              <w:ind w:left="1094"/>
              <w:jc w:val="left"/>
              <w:rPr>
                <w:sz w:val="18"/>
              </w:rPr>
            </w:pPr>
            <w:r>
              <w:rPr>
                <w:color w:val="FFFFFF"/>
                <w:sz w:val="18"/>
              </w:rPr>
              <w:t>Working</w:t>
            </w:r>
            <w:r>
              <w:rPr>
                <w:color w:val="FFFFFF"/>
                <w:spacing w:val="-12"/>
                <w:sz w:val="18"/>
              </w:rPr>
              <w:t> </w:t>
            </w:r>
            <w:r>
              <w:rPr>
                <w:color w:val="FFFFFF"/>
                <w:sz w:val="18"/>
              </w:rPr>
              <w:t>capital</w:t>
            </w:r>
            <w:r>
              <w:rPr>
                <w:color w:val="FFFFFF"/>
                <w:spacing w:val="-13"/>
                <w:sz w:val="18"/>
              </w:rPr>
              <w:t> </w:t>
            </w:r>
            <w:r>
              <w:rPr>
                <w:color w:val="FFFFFF"/>
                <w:sz w:val="18"/>
              </w:rPr>
              <w:t>component</w:t>
              <w:tab/>
              <w:t>Units</w:t>
              <w:tab/>
              <w:t>Details</w:t>
            </w:r>
          </w:p>
        </w:tc>
      </w:tr>
      <w:tr>
        <w:trPr>
          <w:trHeight w:val="287" w:hRule="atLeast"/>
        </w:trPr>
        <w:tc>
          <w:tcPr>
            <w:tcW w:w="3949" w:type="dxa"/>
            <w:tcBorders>
              <w:top w:val="single" w:sz="6" w:space="0" w:color="69BD28"/>
              <w:bottom w:val="single" w:sz="6" w:space="0" w:color="69BD28"/>
            </w:tcBorders>
          </w:tcPr>
          <w:p>
            <w:pPr>
              <w:pStyle w:val="TableParagraph"/>
              <w:spacing w:before="39"/>
              <w:ind w:left="669" w:right="613"/>
              <w:rPr>
                <w:sz w:val="18"/>
              </w:rPr>
            </w:pPr>
            <w:r>
              <w:rPr>
                <w:sz w:val="18"/>
              </w:rPr>
              <w:t>Operation and Maintenance Cost</w:t>
            </w:r>
          </w:p>
        </w:tc>
        <w:tc>
          <w:tcPr>
            <w:tcW w:w="3598" w:type="dxa"/>
            <w:tcBorders>
              <w:top w:val="single" w:sz="6" w:space="0" w:color="69BD28"/>
              <w:bottom w:val="single" w:sz="6" w:space="0" w:color="69BD28"/>
            </w:tcBorders>
          </w:tcPr>
          <w:p>
            <w:pPr>
              <w:pStyle w:val="TableParagraph"/>
              <w:spacing w:before="39"/>
              <w:ind w:left="626"/>
              <w:jc w:val="left"/>
              <w:rPr>
                <w:sz w:val="18"/>
              </w:rPr>
            </w:pPr>
            <w:r>
              <w:rPr>
                <w:w w:val="105"/>
                <w:sz w:val="18"/>
              </w:rPr>
              <w:t>No. of Months' O&amp;M Cost</w:t>
            </w:r>
          </w:p>
        </w:tc>
        <w:tc>
          <w:tcPr>
            <w:tcW w:w="2937" w:type="dxa"/>
            <w:tcBorders>
              <w:top w:val="single" w:sz="6" w:space="0" w:color="69BD28"/>
              <w:bottom w:val="single" w:sz="6" w:space="0" w:color="69BD28"/>
            </w:tcBorders>
          </w:tcPr>
          <w:p>
            <w:pPr>
              <w:pStyle w:val="TableParagraph"/>
              <w:spacing w:before="39"/>
              <w:ind w:left="965"/>
              <w:jc w:val="left"/>
              <w:rPr>
                <w:sz w:val="18"/>
              </w:rPr>
            </w:pPr>
            <w:r>
              <w:rPr>
                <w:w w:val="105"/>
                <w:sz w:val="18"/>
              </w:rPr>
              <w:t>1 month</w:t>
            </w:r>
          </w:p>
        </w:tc>
      </w:tr>
      <w:tr>
        <w:trPr>
          <w:trHeight w:val="289" w:hRule="atLeast"/>
        </w:trPr>
        <w:tc>
          <w:tcPr>
            <w:tcW w:w="3949" w:type="dxa"/>
            <w:tcBorders>
              <w:top w:val="single" w:sz="6" w:space="0" w:color="69BD28"/>
              <w:bottom w:val="single" w:sz="6" w:space="0" w:color="69BD28"/>
            </w:tcBorders>
          </w:tcPr>
          <w:p>
            <w:pPr>
              <w:pStyle w:val="TableParagraph"/>
              <w:spacing w:before="42"/>
              <w:ind w:left="668" w:right="613"/>
              <w:rPr>
                <w:sz w:val="18"/>
              </w:rPr>
            </w:pPr>
            <w:r>
              <w:rPr>
                <w:sz w:val="18"/>
              </w:rPr>
              <w:t>Receivables</w:t>
            </w:r>
          </w:p>
        </w:tc>
        <w:tc>
          <w:tcPr>
            <w:tcW w:w="3598" w:type="dxa"/>
            <w:tcBorders>
              <w:top w:val="single" w:sz="6" w:space="0" w:color="69BD28"/>
              <w:bottom w:val="single" w:sz="6" w:space="0" w:color="69BD28"/>
            </w:tcBorders>
          </w:tcPr>
          <w:p>
            <w:pPr>
              <w:pStyle w:val="TableParagraph"/>
              <w:spacing w:before="42"/>
              <w:ind w:left="718"/>
              <w:jc w:val="left"/>
              <w:rPr>
                <w:sz w:val="18"/>
              </w:rPr>
            </w:pPr>
            <w:r>
              <w:rPr>
                <w:sz w:val="18"/>
              </w:rPr>
              <w:t>No. of Months' Revenue</w:t>
            </w:r>
          </w:p>
        </w:tc>
        <w:tc>
          <w:tcPr>
            <w:tcW w:w="2937" w:type="dxa"/>
            <w:tcBorders>
              <w:top w:val="single" w:sz="6" w:space="0" w:color="69BD28"/>
              <w:bottom w:val="single" w:sz="6" w:space="0" w:color="69BD28"/>
            </w:tcBorders>
          </w:tcPr>
          <w:p>
            <w:pPr>
              <w:pStyle w:val="TableParagraph"/>
              <w:spacing w:before="42"/>
              <w:ind w:left="929"/>
              <w:jc w:val="left"/>
              <w:rPr>
                <w:sz w:val="18"/>
              </w:rPr>
            </w:pPr>
            <w:r>
              <w:rPr>
                <w:w w:val="105"/>
                <w:sz w:val="18"/>
              </w:rPr>
              <w:t>3 months</w:t>
            </w:r>
          </w:p>
        </w:tc>
      </w:tr>
      <w:tr>
        <w:trPr>
          <w:trHeight w:val="287" w:hRule="atLeast"/>
        </w:trPr>
        <w:tc>
          <w:tcPr>
            <w:tcW w:w="3949" w:type="dxa"/>
            <w:tcBorders>
              <w:top w:val="single" w:sz="6" w:space="0" w:color="69BD28"/>
              <w:bottom w:val="single" w:sz="6" w:space="0" w:color="69BD28"/>
            </w:tcBorders>
          </w:tcPr>
          <w:p>
            <w:pPr>
              <w:pStyle w:val="TableParagraph"/>
              <w:spacing w:before="39"/>
              <w:ind w:left="667" w:right="613"/>
              <w:rPr>
                <w:sz w:val="18"/>
              </w:rPr>
            </w:pPr>
            <w:r>
              <w:rPr>
                <w:sz w:val="18"/>
              </w:rPr>
              <w:t>Maintenance Spares</w:t>
            </w:r>
          </w:p>
        </w:tc>
        <w:tc>
          <w:tcPr>
            <w:tcW w:w="3598" w:type="dxa"/>
            <w:tcBorders>
              <w:top w:val="single" w:sz="6" w:space="0" w:color="69BD28"/>
              <w:bottom w:val="single" w:sz="6" w:space="0" w:color="69BD28"/>
            </w:tcBorders>
          </w:tcPr>
          <w:p>
            <w:pPr>
              <w:pStyle w:val="TableParagraph"/>
              <w:spacing w:before="39"/>
              <w:ind w:left="1034"/>
              <w:jc w:val="left"/>
              <w:rPr>
                <w:sz w:val="18"/>
              </w:rPr>
            </w:pPr>
            <w:r>
              <w:rPr>
                <w:w w:val="110"/>
                <w:sz w:val="18"/>
              </w:rPr>
              <w:t>% of O&amp;M Cost</w:t>
            </w:r>
          </w:p>
        </w:tc>
        <w:tc>
          <w:tcPr>
            <w:tcW w:w="2937" w:type="dxa"/>
            <w:tcBorders>
              <w:top w:val="single" w:sz="6" w:space="0" w:color="69BD28"/>
              <w:bottom w:val="single" w:sz="6" w:space="0" w:color="69BD28"/>
            </w:tcBorders>
          </w:tcPr>
          <w:p>
            <w:pPr>
              <w:pStyle w:val="TableParagraph"/>
              <w:spacing w:before="39"/>
              <w:ind w:left="1097"/>
              <w:jc w:val="left"/>
              <w:rPr>
                <w:sz w:val="18"/>
              </w:rPr>
            </w:pPr>
            <w:r>
              <w:rPr>
                <w:w w:val="110"/>
                <w:sz w:val="18"/>
              </w:rPr>
              <w:t>3.0%</w:t>
            </w:r>
          </w:p>
        </w:tc>
      </w:tr>
      <w:tr>
        <w:trPr>
          <w:trHeight w:val="287" w:hRule="atLeast"/>
        </w:trPr>
        <w:tc>
          <w:tcPr>
            <w:tcW w:w="3949" w:type="dxa"/>
            <w:tcBorders>
              <w:top w:val="single" w:sz="6" w:space="0" w:color="69BD28"/>
              <w:bottom w:val="single" w:sz="6" w:space="0" w:color="69BD28"/>
            </w:tcBorders>
          </w:tcPr>
          <w:p>
            <w:pPr>
              <w:pStyle w:val="TableParagraph"/>
              <w:spacing w:before="39"/>
              <w:ind w:left="669" w:right="612"/>
              <w:rPr>
                <w:sz w:val="18"/>
              </w:rPr>
            </w:pPr>
            <w:r>
              <w:rPr>
                <w:sz w:val="18"/>
              </w:rPr>
              <w:t>Margin Money Requirement</w:t>
            </w:r>
          </w:p>
        </w:tc>
        <w:tc>
          <w:tcPr>
            <w:tcW w:w="3598" w:type="dxa"/>
            <w:tcBorders>
              <w:top w:val="single" w:sz="6" w:space="0" w:color="69BD28"/>
              <w:bottom w:val="single" w:sz="6" w:space="0" w:color="69BD28"/>
            </w:tcBorders>
          </w:tcPr>
          <w:p>
            <w:pPr>
              <w:pStyle w:val="TableParagraph"/>
              <w:spacing w:before="39"/>
              <w:ind w:right="298"/>
              <w:rPr>
                <w:sz w:val="18"/>
              </w:rPr>
            </w:pPr>
            <w:r>
              <w:rPr>
                <w:w w:val="123"/>
                <w:sz w:val="18"/>
              </w:rPr>
              <w:t>%</w:t>
            </w:r>
          </w:p>
        </w:tc>
        <w:tc>
          <w:tcPr>
            <w:tcW w:w="2937" w:type="dxa"/>
            <w:tcBorders>
              <w:top w:val="single" w:sz="6" w:space="0" w:color="69BD28"/>
              <w:bottom w:val="single" w:sz="6" w:space="0" w:color="69BD28"/>
            </w:tcBorders>
          </w:tcPr>
          <w:p>
            <w:pPr>
              <w:pStyle w:val="TableParagraph"/>
              <w:spacing w:before="39"/>
              <w:ind w:left="1044"/>
              <w:jc w:val="left"/>
              <w:rPr>
                <w:sz w:val="18"/>
              </w:rPr>
            </w:pPr>
            <w:r>
              <w:rPr>
                <w:w w:val="110"/>
                <w:sz w:val="18"/>
              </w:rPr>
              <w:t>25.0%</w:t>
            </w:r>
          </w:p>
        </w:tc>
      </w:tr>
      <w:tr>
        <w:trPr>
          <w:trHeight w:val="287" w:hRule="atLeast"/>
        </w:trPr>
        <w:tc>
          <w:tcPr>
            <w:tcW w:w="3949" w:type="dxa"/>
            <w:tcBorders>
              <w:top w:val="single" w:sz="6" w:space="0" w:color="69BD28"/>
              <w:bottom w:val="single" w:sz="6" w:space="0" w:color="69BD28"/>
            </w:tcBorders>
          </w:tcPr>
          <w:p>
            <w:pPr>
              <w:pStyle w:val="TableParagraph"/>
              <w:spacing w:before="39"/>
              <w:ind w:left="669" w:right="611"/>
              <w:rPr>
                <w:sz w:val="18"/>
              </w:rPr>
            </w:pPr>
            <w:r>
              <w:rPr>
                <w:sz w:val="18"/>
              </w:rPr>
              <w:t>Working Capital Loan</w:t>
            </w:r>
          </w:p>
        </w:tc>
        <w:tc>
          <w:tcPr>
            <w:tcW w:w="3598" w:type="dxa"/>
            <w:tcBorders>
              <w:top w:val="single" w:sz="6" w:space="0" w:color="69BD28"/>
              <w:bottom w:val="single" w:sz="6" w:space="0" w:color="69BD28"/>
            </w:tcBorders>
          </w:tcPr>
          <w:p>
            <w:pPr>
              <w:pStyle w:val="TableParagraph"/>
              <w:spacing w:before="39"/>
              <w:ind w:right="298"/>
              <w:rPr>
                <w:sz w:val="18"/>
              </w:rPr>
            </w:pPr>
            <w:r>
              <w:rPr>
                <w:w w:val="123"/>
                <w:sz w:val="18"/>
              </w:rPr>
              <w:t>%</w:t>
            </w:r>
          </w:p>
        </w:tc>
        <w:tc>
          <w:tcPr>
            <w:tcW w:w="2937" w:type="dxa"/>
            <w:tcBorders>
              <w:top w:val="single" w:sz="6" w:space="0" w:color="69BD28"/>
              <w:bottom w:val="single" w:sz="6" w:space="0" w:color="69BD28"/>
            </w:tcBorders>
          </w:tcPr>
          <w:p>
            <w:pPr>
              <w:pStyle w:val="TableParagraph"/>
              <w:spacing w:before="39"/>
              <w:ind w:left="1044"/>
              <w:jc w:val="left"/>
              <w:rPr>
                <w:sz w:val="18"/>
              </w:rPr>
            </w:pPr>
            <w:r>
              <w:rPr>
                <w:w w:val="110"/>
                <w:sz w:val="18"/>
              </w:rPr>
              <w:t>75.0%</w:t>
            </w:r>
          </w:p>
        </w:tc>
      </w:tr>
      <w:tr>
        <w:trPr>
          <w:trHeight w:val="290" w:hRule="atLeast"/>
        </w:trPr>
        <w:tc>
          <w:tcPr>
            <w:tcW w:w="3949" w:type="dxa"/>
            <w:tcBorders>
              <w:top w:val="single" w:sz="6" w:space="0" w:color="69BD28"/>
              <w:bottom w:val="single" w:sz="6" w:space="0" w:color="69BD28"/>
            </w:tcBorders>
          </w:tcPr>
          <w:p>
            <w:pPr>
              <w:pStyle w:val="TableParagraph"/>
              <w:spacing w:before="42"/>
              <w:ind w:left="668" w:right="613"/>
              <w:rPr>
                <w:sz w:val="18"/>
              </w:rPr>
            </w:pPr>
            <w:r>
              <w:rPr>
                <w:sz w:val="18"/>
              </w:rPr>
              <w:t>Interest on Working Capital</w:t>
            </w:r>
          </w:p>
        </w:tc>
        <w:tc>
          <w:tcPr>
            <w:tcW w:w="3598" w:type="dxa"/>
            <w:tcBorders>
              <w:top w:val="single" w:sz="6" w:space="0" w:color="69BD28"/>
              <w:bottom w:val="single" w:sz="6" w:space="0" w:color="69BD28"/>
            </w:tcBorders>
          </w:tcPr>
          <w:p>
            <w:pPr>
              <w:pStyle w:val="TableParagraph"/>
              <w:spacing w:before="42"/>
              <w:ind w:right="298"/>
              <w:rPr>
                <w:sz w:val="18"/>
              </w:rPr>
            </w:pPr>
            <w:r>
              <w:rPr>
                <w:w w:val="123"/>
                <w:sz w:val="18"/>
              </w:rPr>
              <w:t>%</w:t>
            </w:r>
          </w:p>
        </w:tc>
        <w:tc>
          <w:tcPr>
            <w:tcW w:w="2937" w:type="dxa"/>
            <w:tcBorders>
              <w:top w:val="single" w:sz="6" w:space="0" w:color="69BD28"/>
              <w:bottom w:val="single" w:sz="6" w:space="0" w:color="69BD28"/>
            </w:tcBorders>
          </w:tcPr>
          <w:p>
            <w:pPr>
              <w:pStyle w:val="TableParagraph"/>
              <w:spacing w:before="42"/>
              <w:ind w:left="1044"/>
              <w:jc w:val="left"/>
              <w:rPr>
                <w:sz w:val="18"/>
              </w:rPr>
            </w:pPr>
            <w:r>
              <w:rPr>
                <w:w w:val="110"/>
                <w:sz w:val="18"/>
              </w:rPr>
              <w:t>11.0%</w:t>
            </w:r>
          </w:p>
        </w:tc>
      </w:tr>
    </w:tbl>
    <w:p>
      <w:pPr>
        <w:spacing w:before="0"/>
        <w:ind w:left="680" w:right="0" w:firstLine="0"/>
        <w:jc w:val="left"/>
        <w:rPr>
          <w:i/>
          <w:sz w:val="18"/>
        </w:rPr>
      </w:pPr>
      <w:r>
        <w:rPr>
          <w:i/>
          <w:sz w:val="18"/>
        </w:rPr>
        <w:t>Source: Valuer Assumption</w:t>
      </w:r>
    </w:p>
    <w:p>
      <w:pPr>
        <w:pStyle w:val="BodyText"/>
        <w:spacing w:before="7"/>
        <w:rPr>
          <w:i/>
          <w:sz w:val="30"/>
        </w:rPr>
      </w:pPr>
    </w:p>
    <w:p>
      <w:pPr>
        <w:pStyle w:val="ListParagraph"/>
        <w:numPr>
          <w:ilvl w:val="2"/>
          <w:numId w:val="93"/>
        </w:numPr>
        <w:tabs>
          <w:tab w:pos="1480" w:val="left" w:leader="none"/>
        </w:tabs>
        <w:spacing w:line="240" w:lineRule="auto" w:before="0" w:after="0"/>
        <w:ind w:left="1479" w:right="0" w:hanging="800"/>
        <w:jc w:val="left"/>
        <w:rPr>
          <w:sz w:val="22"/>
        </w:rPr>
      </w:pPr>
      <w:bookmarkStart w:name="_bookmark405" w:id="791"/>
      <w:bookmarkEnd w:id="791"/>
      <w:r>
        <w:rPr/>
      </w:r>
      <w:bookmarkStart w:name="_bookmark405" w:id="792"/>
      <w:bookmarkEnd w:id="792"/>
      <w:r>
        <w:rPr>
          <w:color w:val="1F664D"/>
          <w:w w:val="105"/>
          <w:sz w:val="22"/>
        </w:rPr>
        <w:t>Ca</w:t>
      </w:r>
      <w:r>
        <w:rPr>
          <w:color w:val="1F664D"/>
          <w:w w:val="105"/>
          <w:sz w:val="22"/>
        </w:rPr>
        <w:t>sh</w:t>
      </w:r>
      <w:r>
        <w:rPr>
          <w:color w:val="1F664D"/>
          <w:spacing w:val="-13"/>
          <w:w w:val="105"/>
          <w:sz w:val="22"/>
        </w:rPr>
        <w:t> </w:t>
      </w:r>
      <w:r>
        <w:rPr>
          <w:color w:val="1F664D"/>
          <w:w w:val="105"/>
          <w:sz w:val="22"/>
        </w:rPr>
        <w:t>Flows</w:t>
      </w:r>
      <w:r>
        <w:rPr>
          <w:color w:val="1F664D"/>
          <w:spacing w:val="-14"/>
          <w:w w:val="105"/>
          <w:sz w:val="22"/>
        </w:rPr>
        <w:t> </w:t>
      </w:r>
      <w:r>
        <w:rPr>
          <w:color w:val="1F664D"/>
          <w:w w:val="105"/>
          <w:sz w:val="22"/>
        </w:rPr>
        <w:t>for</w:t>
      </w:r>
      <w:r>
        <w:rPr>
          <w:color w:val="1F664D"/>
          <w:spacing w:val="-13"/>
          <w:w w:val="105"/>
          <w:sz w:val="22"/>
        </w:rPr>
        <w:t> </w:t>
      </w:r>
      <w:r>
        <w:rPr>
          <w:color w:val="1F664D"/>
          <w:w w:val="105"/>
          <w:sz w:val="22"/>
        </w:rPr>
        <w:t>EEPL</w:t>
      </w:r>
      <w:r>
        <w:rPr>
          <w:color w:val="1F664D"/>
          <w:spacing w:val="-11"/>
          <w:w w:val="105"/>
          <w:sz w:val="22"/>
        </w:rPr>
        <w:t> </w:t>
      </w:r>
      <w:r>
        <w:rPr>
          <w:color w:val="1F664D"/>
          <w:w w:val="105"/>
          <w:sz w:val="22"/>
        </w:rPr>
        <w:t>under</w:t>
      </w:r>
      <w:r>
        <w:rPr>
          <w:color w:val="1F664D"/>
          <w:spacing w:val="-10"/>
          <w:w w:val="105"/>
          <w:sz w:val="22"/>
        </w:rPr>
        <w:t> </w:t>
      </w:r>
      <w:r>
        <w:rPr>
          <w:color w:val="1F664D"/>
          <w:w w:val="105"/>
          <w:sz w:val="22"/>
        </w:rPr>
        <w:t>the</w:t>
      </w:r>
      <w:r>
        <w:rPr>
          <w:color w:val="1F664D"/>
          <w:spacing w:val="-12"/>
          <w:w w:val="105"/>
          <w:sz w:val="22"/>
        </w:rPr>
        <w:t> </w:t>
      </w:r>
      <w:r>
        <w:rPr>
          <w:color w:val="1F664D"/>
          <w:w w:val="105"/>
          <w:sz w:val="22"/>
        </w:rPr>
        <w:t>Deferred</w:t>
      </w:r>
      <w:r>
        <w:rPr>
          <w:color w:val="1F664D"/>
          <w:spacing w:val="-10"/>
          <w:w w:val="105"/>
          <w:sz w:val="22"/>
        </w:rPr>
        <w:t> </w:t>
      </w:r>
      <w:r>
        <w:rPr>
          <w:color w:val="1F664D"/>
          <w:w w:val="105"/>
          <w:sz w:val="22"/>
        </w:rPr>
        <w:t>Payment</w:t>
      </w:r>
      <w:r>
        <w:rPr>
          <w:color w:val="1F664D"/>
          <w:spacing w:val="-11"/>
          <w:w w:val="105"/>
          <w:sz w:val="22"/>
        </w:rPr>
        <w:t> </w:t>
      </w:r>
      <w:r>
        <w:rPr>
          <w:color w:val="1F664D"/>
          <w:w w:val="105"/>
          <w:sz w:val="22"/>
        </w:rPr>
        <w:t>Agreement</w:t>
      </w:r>
      <w:r>
        <w:rPr>
          <w:color w:val="1F664D"/>
          <w:spacing w:val="-13"/>
          <w:w w:val="105"/>
          <w:sz w:val="22"/>
        </w:rPr>
        <w:t> </w:t>
      </w:r>
      <w:r>
        <w:rPr>
          <w:color w:val="1F664D"/>
          <w:w w:val="105"/>
          <w:sz w:val="22"/>
        </w:rPr>
        <w:t>and</w:t>
      </w:r>
      <w:r>
        <w:rPr>
          <w:color w:val="1F664D"/>
          <w:spacing w:val="-12"/>
          <w:w w:val="105"/>
          <w:sz w:val="22"/>
        </w:rPr>
        <w:t> </w:t>
      </w:r>
      <w:r>
        <w:rPr>
          <w:color w:val="1F664D"/>
          <w:w w:val="105"/>
          <w:sz w:val="22"/>
        </w:rPr>
        <w:t>O&amp;M</w:t>
      </w:r>
      <w:r>
        <w:rPr>
          <w:color w:val="1F664D"/>
          <w:spacing w:val="-14"/>
          <w:w w:val="105"/>
          <w:sz w:val="22"/>
        </w:rPr>
        <w:t> </w:t>
      </w:r>
      <w:r>
        <w:rPr>
          <w:color w:val="1F664D"/>
          <w:w w:val="105"/>
          <w:sz w:val="22"/>
        </w:rPr>
        <w:t>Agreement</w:t>
      </w:r>
      <w:r>
        <w:rPr>
          <w:color w:val="1F664D"/>
          <w:spacing w:val="-13"/>
          <w:w w:val="105"/>
          <w:sz w:val="22"/>
        </w:rPr>
        <w:t> </w:t>
      </w:r>
      <w:r>
        <w:rPr>
          <w:color w:val="1F664D"/>
          <w:w w:val="105"/>
          <w:sz w:val="22"/>
        </w:rPr>
        <w:t>with</w:t>
      </w:r>
      <w:r>
        <w:rPr>
          <w:color w:val="1F664D"/>
          <w:spacing w:val="-14"/>
          <w:w w:val="105"/>
          <w:sz w:val="22"/>
        </w:rPr>
        <w:t> </w:t>
      </w:r>
      <w:r>
        <w:rPr>
          <w:color w:val="1F664D"/>
          <w:w w:val="105"/>
          <w:sz w:val="22"/>
        </w:rPr>
        <w:t>IL&amp;FS</w:t>
      </w:r>
    </w:p>
    <w:p>
      <w:pPr>
        <w:pStyle w:val="BodyText"/>
        <w:spacing w:before="3"/>
        <w:rPr>
          <w:sz w:val="28"/>
        </w:rPr>
      </w:pPr>
    </w:p>
    <w:p>
      <w:pPr>
        <w:pStyle w:val="BodyText"/>
        <w:spacing w:line="372" w:lineRule="auto"/>
        <w:ind w:left="1220" w:right="674"/>
        <w:jc w:val="both"/>
      </w:pPr>
      <w:r>
        <w:rPr/>
        <w:t>As</w:t>
      </w:r>
      <w:r>
        <w:rPr>
          <w:spacing w:val="-27"/>
        </w:rPr>
        <w:t> </w:t>
      </w:r>
      <w:r>
        <w:rPr/>
        <w:t>highlighted</w:t>
      </w:r>
      <w:r>
        <w:rPr>
          <w:spacing w:val="-27"/>
        </w:rPr>
        <w:t> </w:t>
      </w:r>
      <w:r>
        <w:rPr/>
        <w:t>in</w:t>
      </w:r>
      <w:r>
        <w:rPr>
          <w:spacing w:val="-26"/>
        </w:rPr>
        <w:t> </w:t>
      </w:r>
      <w:r>
        <w:rPr/>
        <w:t>earlier</w:t>
      </w:r>
      <w:r>
        <w:rPr>
          <w:spacing w:val="-27"/>
        </w:rPr>
        <w:t> </w:t>
      </w:r>
      <w:r>
        <w:rPr/>
        <w:t>sections,</w:t>
      </w:r>
      <w:r>
        <w:rPr>
          <w:spacing w:val="-26"/>
        </w:rPr>
        <w:t> </w:t>
      </w:r>
      <w:r>
        <w:rPr/>
        <w:t>EEPL</w:t>
      </w:r>
      <w:r>
        <w:rPr>
          <w:spacing w:val="-26"/>
        </w:rPr>
        <w:t> </w:t>
      </w:r>
      <w:r>
        <w:rPr/>
        <w:t>has</w:t>
      </w:r>
      <w:r>
        <w:rPr>
          <w:spacing w:val="-27"/>
        </w:rPr>
        <w:t> </w:t>
      </w:r>
      <w:r>
        <w:rPr/>
        <w:t>entered</w:t>
      </w:r>
      <w:r>
        <w:rPr>
          <w:spacing w:val="-27"/>
        </w:rPr>
        <w:t> </w:t>
      </w:r>
      <w:r>
        <w:rPr/>
        <w:t>into</w:t>
      </w:r>
      <w:r>
        <w:rPr>
          <w:spacing w:val="-27"/>
        </w:rPr>
        <w:t> </w:t>
      </w:r>
      <w:r>
        <w:rPr/>
        <w:t>a</w:t>
      </w:r>
      <w:r>
        <w:rPr>
          <w:spacing w:val="-27"/>
        </w:rPr>
        <w:t> </w:t>
      </w:r>
      <w:r>
        <w:rPr/>
        <w:t>deferred</w:t>
      </w:r>
      <w:r>
        <w:rPr>
          <w:spacing w:val="-27"/>
        </w:rPr>
        <w:t> </w:t>
      </w:r>
      <w:r>
        <w:rPr/>
        <w:t>payment</w:t>
      </w:r>
      <w:r>
        <w:rPr>
          <w:spacing w:val="-29"/>
        </w:rPr>
        <w:t> </w:t>
      </w:r>
      <w:r>
        <w:rPr/>
        <w:t>agreement</w:t>
      </w:r>
      <w:r>
        <w:rPr>
          <w:spacing w:val="-27"/>
        </w:rPr>
        <w:t> </w:t>
      </w:r>
      <w:r>
        <w:rPr/>
        <w:t>(dated</w:t>
      </w:r>
      <w:r>
        <w:rPr>
          <w:spacing w:val="-26"/>
        </w:rPr>
        <w:t> </w:t>
      </w:r>
      <w:r>
        <w:rPr/>
        <w:t>March</w:t>
      </w:r>
      <w:r>
        <w:rPr>
          <w:spacing w:val="-29"/>
        </w:rPr>
        <w:t> </w:t>
      </w:r>
      <w:r>
        <w:rPr/>
        <w:t>3, 2017)</w:t>
      </w:r>
      <w:r>
        <w:rPr>
          <w:spacing w:val="-40"/>
        </w:rPr>
        <w:t> </w:t>
      </w:r>
      <w:r>
        <w:rPr/>
        <w:t>with</w:t>
      </w:r>
      <w:r>
        <w:rPr>
          <w:spacing w:val="-40"/>
        </w:rPr>
        <w:t> </w:t>
      </w:r>
      <w:r>
        <w:rPr/>
        <w:t>IL&amp;FS,</w:t>
      </w:r>
      <w:r>
        <w:rPr>
          <w:spacing w:val="-40"/>
        </w:rPr>
        <w:t> </w:t>
      </w:r>
      <w:r>
        <w:rPr/>
        <w:t>as</w:t>
      </w:r>
      <w:r>
        <w:rPr>
          <w:spacing w:val="-39"/>
        </w:rPr>
        <w:t> </w:t>
      </w:r>
      <w:r>
        <w:rPr/>
        <w:t>per</w:t>
      </w:r>
      <w:r>
        <w:rPr>
          <w:spacing w:val="-41"/>
        </w:rPr>
        <w:t> </w:t>
      </w:r>
      <w:r>
        <w:rPr/>
        <w:t>which</w:t>
      </w:r>
      <w:r>
        <w:rPr>
          <w:spacing w:val="-41"/>
        </w:rPr>
        <w:t> </w:t>
      </w:r>
      <w:r>
        <w:rPr/>
        <w:t>IL&amp;FS</w:t>
      </w:r>
      <w:r>
        <w:rPr>
          <w:spacing w:val="-38"/>
        </w:rPr>
        <w:t> </w:t>
      </w:r>
      <w:r>
        <w:rPr/>
        <w:t>would</w:t>
      </w:r>
      <w:r>
        <w:rPr>
          <w:spacing w:val="-41"/>
        </w:rPr>
        <w:t> </w:t>
      </w:r>
      <w:r>
        <w:rPr/>
        <w:t>set</w:t>
      </w:r>
      <w:r>
        <w:rPr>
          <w:spacing w:val="-39"/>
        </w:rPr>
        <w:t> </w:t>
      </w:r>
      <w:r>
        <w:rPr/>
        <w:t>up</w:t>
      </w:r>
      <w:r>
        <w:rPr>
          <w:spacing w:val="-41"/>
        </w:rPr>
        <w:t> </w:t>
      </w:r>
      <w:r>
        <w:rPr/>
        <w:t>the</w:t>
      </w:r>
      <w:r>
        <w:rPr>
          <w:spacing w:val="-40"/>
        </w:rPr>
        <w:t> </w:t>
      </w:r>
      <w:r>
        <w:rPr/>
        <w:t>entire</w:t>
      </w:r>
      <w:r>
        <w:rPr>
          <w:spacing w:val="-41"/>
        </w:rPr>
        <w:t> </w:t>
      </w:r>
      <w:r>
        <w:rPr/>
        <w:t>solar</w:t>
      </w:r>
      <w:r>
        <w:rPr>
          <w:spacing w:val="-40"/>
        </w:rPr>
        <w:t> </w:t>
      </w:r>
      <w:r>
        <w:rPr/>
        <w:t>plant</w:t>
      </w:r>
      <w:r>
        <w:rPr>
          <w:spacing w:val="-40"/>
        </w:rPr>
        <w:t> </w:t>
      </w:r>
      <w:r>
        <w:rPr/>
        <w:t>facility</w:t>
      </w:r>
      <w:r>
        <w:rPr>
          <w:spacing w:val="-38"/>
        </w:rPr>
        <w:t> </w:t>
      </w:r>
      <w:r>
        <w:rPr/>
        <w:t>including</w:t>
      </w:r>
      <w:r>
        <w:rPr>
          <w:spacing w:val="-40"/>
        </w:rPr>
        <w:t> </w:t>
      </w:r>
      <w:r>
        <w:rPr/>
        <w:t>land</w:t>
      </w:r>
      <w:r>
        <w:rPr>
          <w:spacing w:val="-39"/>
        </w:rPr>
        <w:t> </w:t>
      </w:r>
      <w:r>
        <w:rPr/>
        <w:t>acquisition, development,</w:t>
      </w:r>
      <w:r>
        <w:rPr>
          <w:spacing w:val="-25"/>
        </w:rPr>
        <w:t> </w:t>
      </w:r>
      <w:r>
        <w:rPr/>
        <w:t>design,</w:t>
      </w:r>
      <w:r>
        <w:rPr>
          <w:spacing w:val="-24"/>
        </w:rPr>
        <w:t> </w:t>
      </w:r>
      <w:r>
        <w:rPr/>
        <w:t>engineering,</w:t>
      </w:r>
      <w:r>
        <w:rPr>
          <w:spacing w:val="-23"/>
        </w:rPr>
        <w:t> </w:t>
      </w:r>
      <w:r>
        <w:rPr/>
        <w:t>procurement,</w:t>
      </w:r>
      <w:r>
        <w:rPr>
          <w:spacing w:val="-25"/>
        </w:rPr>
        <w:t> </w:t>
      </w:r>
      <w:r>
        <w:rPr/>
        <w:t>construction,</w:t>
      </w:r>
      <w:r>
        <w:rPr>
          <w:spacing w:val="-24"/>
        </w:rPr>
        <w:t> </w:t>
      </w:r>
      <w:r>
        <w:rPr/>
        <w:t>erection,</w:t>
      </w:r>
      <w:r>
        <w:rPr>
          <w:spacing w:val="-24"/>
        </w:rPr>
        <w:t> </w:t>
      </w:r>
      <w:r>
        <w:rPr/>
        <w:t>testing</w:t>
      </w:r>
      <w:r>
        <w:rPr>
          <w:spacing w:val="-23"/>
        </w:rPr>
        <w:t> </w:t>
      </w:r>
      <w:r>
        <w:rPr/>
        <w:t>and</w:t>
      </w:r>
      <w:r>
        <w:rPr>
          <w:spacing w:val="-24"/>
        </w:rPr>
        <w:t> </w:t>
      </w:r>
      <w:r>
        <w:rPr/>
        <w:t>commissioning</w:t>
      </w:r>
      <w:r>
        <w:rPr>
          <w:spacing w:val="-24"/>
        </w:rPr>
        <w:t> </w:t>
      </w:r>
      <w:r>
        <w:rPr/>
        <w:t>of the</w:t>
      </w:r>
      <w:r>
        <w:rPr>
          <w:spacing w:val="-16"/>
        </w:rPr>
        <w:t> </w:t>
      </w:r>
      <w:r>
        <w:rPr/>
        <w:t>solar</w:t>
      </w:r>
      <w:r>
        <w:rPr>
          <w:spacing w:val="-15"/>
        </w:rPr>
        <w:t> </w:t>
      </w:r>
      <w:r>
        <w:rPr/>
        <w:t>park.</w:t>
      </w:r>
      <w:r>
        <w:rPr>
          <w:spacing w:val="-15"/>
        </w:rPr>
        <w:t> </w:t>
      </w:r>
      <w:r>
        <w:rPr/>
        <w:t>Hence,</w:t>
      </w:r>
      <w:r>
        <w:rPr>
          <w:spacing w:val="-14"/>
        </w:rPr>
        <w:t> </w:t>
      </w:r>
      <w:r>
        <w:rPr/>
        <w:t>the</w:t>
      </w:r>
      <w:r>
        <w:rPr>
          <w:spacing w:val="-16"/>
        </w:rPr>
        <w:t> </w:t>
      </w:r>
      <w:r>
        <w:rPr/>
        <w:t>entire</w:t>
      </w:r>
      <w:r>
        <w:rPr>
          <w:spacing w:val="-15"/>
        </w:rPr>
        <w:t> </w:t>
      </w:r>
      <w:r>
        <w:rPr/>
        <w:t>cost</w:t>
      </w:r>
      <w:r>
        <w:rPr>
          <w:spacing w:val="-14"/>
        </w:rPr>
        <w:t> </w:t>
      </w:r>
      <w:r>
        <w:rPr/>
        <w:t>of</w:t>
      </w:r>
      <w:r>
        <w:rPr>
          <w:spacing w:val="-15"/>
        </w:rPr>
        <w:t> </w:t>
      </w:r>
      <w:r>
        <w:rPr/>
        <w:t>development</w:t>
      </w:r>
      <w:r>
        <w:rPr>
          <w:spacing w:val="-15"/>
        </w:rPr>
        <w:t> </w:t>
      </w:r>
      <w:r>
        <w:rPr/>
        <w:t>highlighted</w:t>
      </w:r>
      <w:r>
        <w:rPr>
          <w:spacing w:val="-15"/>
        </w:rPr>
        <w:t> </w:t>
      </w:r>
      <w:r>
        <w:rPr/>
        <w:t>above</w:t>
      </w:r>
      <w:r>
        <w:rPr>
          <w:spacing w:val="-15"/>
        </w:rPr>
        <w:t> </w:t>
      </w:r>
      <w:r>
        <w:rPr/>
        <w:t>would</w:t>
      </w:r>
      <w:r>
        <w:rPr>
          <w:spacing w:val="-15"/>
        </w:rPr>
        <w:t> </w:t>
      </w:r>
      <w:r>
        <w:rPr/>
        <w:t>be</w:t>
      </w:r>
      <w:r>
        <w:rPr>
          <w:spacing w:val="-15"/>
        </w:rPr>
        <w:t> </w:t>
      </w:r>
      <w:r>
        <w:rPr/>
        <w:t>borne</w:t>
      </w:r>
      <w:r>
        <w:rPr>
          <w:spacing w:val="-16"/>
        </w:rPr>
        <w:t> </w:t>
      </w:r>
      <w:r>
        <w:rPr/>
        <w:t>by</w:t>
      </w:r>
      <w:r>
        <w:rPr>
          <w:spacing w:val="-14"/>
        </w:rPr>
        <w:t> </w:t>
      </w:r>
      <w:r>
        <w:rPr/>
        <w:t>IL&amp;FS.</w:t>
      </w:r>
      <w:r>
        <w:rPr>
          <w:spacing w:val="-15"/>
        </w:rPr>
        <w:t> </w:t>
      </w:r>
      <w:r>
        <w:rPr/>
        <w:t>For the</w:t>
      </w:r>
      <w:r>
        <w:rPr>
          <w:spacing w:val="-23"/>
        </w:rPr>
        <w:t> </w:t>
      </w:r>
      <w:r>
        <w:rPr/>
        <w:t>same,</w:t>
      </w:r>
      <w:r>
        <w:rPr>
          <w:spacing w:val="-22"/>
        </w:rPr>
        <w:t> </w:t>
      </w:r>
      <w:r>
        <w:rPr/>
        <w:t>IL&amp;FS</w:t>
      </w:r>
      <w:r>
        <w:rPr>
          <w:spacing w:val="-23"/>
        </w:rPr>
        <w:t> </w:t>
      </w:r>
      <w:r>
        <w:rPr/>
        <w:t>will</w:t>
      </w:r>
      <w:r>
        <w:rPr>
          <w:spacing w:val="-23"/>
        </w:rPr>
        <w:t> </w:t>
      </w:r>
      <w:r>
        <w:rPr/>
        <w:t>receive</w:t>
      </w:r>
      <w:r>
        <w:rPr>
          <w:spacing w:val="-23"/>
        </w:rPr>
        <w:t> </w:t>
      </w:r>
      <w:r>
        <w:rPr/>
        <w:t>deferred</w:t>
      </w:r>
      <w:r>
        <w:rPr>
          <w:spacing w:val="-22"/>
        </w:rPr>
        <w:t> </w:t>
      </w:r>
      <w:r>
        <w:rPr/>
        <w:t>payments</w:t>
      </w:r>
      <w:r>
        <w:rPr>
          <w:spacing w:val="-22"/>
        </w:rPr>
        <w:t> </w:t>
      </w:r>
      <w:r>
        <w:rPr/>
        <w:t>from</w:t>
      </w:r>
      <w:r>
        <w:rPr>
          <w:spacing w:val="-23"/>
        </w:rPr>
        <w:t> </w:t>
      </w:r>
      <w:r>
        <w:rPr/>
        <w:t>EEPL</w:t>
      </w:r>
      <w:r>
        <w:rPr>
          <w:spacing w:val="-23"/>
        </w:rPr>
        <w:t> </w:t>
      </w:r>
      <w:r>
        <w:rPr/>
        <w:t>in</w:t>
      </w:r>
      <w:r>
        <w:rPr>
          <w:spacing w:val="-23"/>
        </w:rPr>
        <w:t> </w:t>
      </w:r>
      <w:r>
        <w:rPr/>
        <w:t>equated</w:t>
      </w:r>
      <w:r>
        <w:rPr>
          <w:spacing w:val="-23"/>
        </w:rPr>
        <w:t> </w:t>
      </w:r>
      <w:r>
        <w:rPr/>
        <w:t>monthly</w:t>
      </w:r>
      <w:r>
        <w:rPr>
          <w:spacing w:val="-23"/>
        </w:rPr>
        <w:t> </w:t>
      </w:r>
      <w:r>
        <w:rPr/>
        <w:t>instalments</w:t>
      </w:r>
      <w:r>
        <w:rPr>
          <w:spacing w:val="-23"/>
        </w:rPr>
        <w:t> </w:t>
      </w:r>
      <w:r>
        <w:rPr/>
        <w:t>for</w:t>
      </w:r>
      <w:r>
        <w:rPr>
          <w:spacing w:val="-23"/>
        </w:rPr>
        <w:t> </w:t>
      </w:r>
      <w:r>
        <w:rPr/>
        <w:t>15</w:t>
      </w:r>
      <w:r>
        <w:rPr>
          <w:spacing w:val="-23"/>
        </w:rPr>
        <w:t> </w:t>
      </w:r>
      <w:r>
        <w:rPr/>
        <w:t>years from</w:t>
      </w:r>
      <w:r>
        <w:rPr>
          <w:spacing w:val="-2"/>
        </w:rPr>
        <w:t> </w:t>
      </w:r>
      <w:r>
        <w:rPr/>
        <w:t>COD.</w:t>
      </w:r>
    </w:p>
    <w:p>
      <w:pPr>
        <w:spacing w:after="0" w:line="372" w:lineRule="auto"/>
        <w:jc w:val="both"/>
        <w:sectPr>
          <w:pgSz w:w="11910" w:h="16840"/>
          <w:pgMar w:header="720" w:footer="862" w:top="1660" w:bottom="1060" w:left="40" w:right="40"/>
        </w:sectPr>
      </w:pPr>
    </w:p>
    <w:p>
      <w:pPr>
        <w:pStyle w:val="BodyText"/>
        <w:spacing w:before="7"/>
        <w:rPr>
          <w:sz w:val="9"/>
        </w:rPr>
      </w:pPr>
    </w:p>
    <w:p>
      <w:pPr>
        <w:pStyle w:val="BodyText"/>
        <w:spacing w:line="372" w:lineRule="auto" w:before="106"/>
        <w:ind w:left="1220" w:right="675"/>
        <w:jc w:val="both"/>
      </w:pPr>
      <w:r>
        <w:rPr/>
        <w:t>Also,</w:t>
      </w:r>
      <w:r>
        <w:rPr>
          <w:spacing w:val="-23"/>
        </w:rPr>
        <w:t> </w:t>
      </w:r>
      <w:r>
        <w:rPr/>
        <w:t>an</w:t>
      </w:r>
      <w:r>
        <w:rPr>
          <w:spacing w:val="-24"/>
        </w:rPr>
        <w:t> </w:t>
      </w:r>
      <w:r>
        <w:rPr/>
        <w:t>O&amp;M</w:t>
      </w:r>
      <w:r>
        <w:rPr>
          <w:spacing w:val="-22"/>
        </w:rPr>
        <w:t> </w:t>
      </w:r>
      <w:r>
        <w:rPr/>
        <w:t>Agreement</w:t>
      </w:r>
      <w:r>
        <w:rPr>
          <w:spacing w:val="-26"/>
        </w:rPr>
        <w:t> </w:t>
      </w:r>
      <w:r>
        <w:rPr/>
        <w:t>(dated</w:t>
      </w:r>
      <w:r>
        <w:rPr>
          <w:spacing w:val="-22"/>
        </w:rPr>
        <w:t> </w:t>
      </w:r>
      <w:r>
        <w:rPr/>
        <w:t>January</w:t>
      </w:r>
      <w:r>
        <w:rPr>
          <w:spacing w:val="-20"/>
        </w:rPr>
        <w:t> </w:t>
      </w:r>
      <w:r>
        <w:rPr/>
        <w:t>9,</w:t>
      </w:r>
      <w:r>
        <w:rPr>
          <w:spacing w:val="-23"/>
        </w:rPr>
        <w:t> </w:t>
      </w:r>
      <w:r>
        <w:rPr/>
        <w:t>2017)</w:t>
      </w:r>
      <w:r>
        <w:rPr>
          <w:spacing w:val="-21"/>
        </w:rPr>
        <w:t> </w:t>
      </w:r>
      <w:r>
        <w:rPr/>
        <w:t>is</w:t>
      </w:r>
      <w:r>
        <w:rPr>
          <w:spacing w:val="-23"/>
        </w:rPr>
        <w:t> </w:t>
      </w:r>
      <w:r>
        <w:rPr/>
        <w:t>signed</w:t>
      </w:r>
      <w:r>
        <w:rPr>
          <w:spacing w:val="-22"/>
        </w:rPr>
        <w:t> </w:t>
      </w:r>
      <w:r>
        <w:rPr/>
        <w:t>between</w:t>
      </w:r>
      <w:r>
        <w:rPr>
          <w:spacing w:val="-24"/>
        </w:rPr>
        <w:t> </w:t>
      </w:r>
      <w:r>
        <w:rPr/>
        <w:t>EEPL</w:t>
      </w:r>
      <w:r>
        <w:rPr>
          <w:spacing w:val="-22"/>
        </w:rPr>
        <w:t> </w:t>
      </w:r>
      <w:r>
        <w:rPr/>
        <w:t>and</w:t>
      </w:r>
      <w:r>
        <w:rPr>
          <w:spacing w:val="-23"/>
        </w:rPr>
        <w:t> </w:t>
      </w:r>
      <w:r>
        <w:rPr/>
        <w:t>IL&amp;FS,</w:t>
      </w:r>
      <w:r>
        <w:rPr>
          <w:spacing w:val="-23"/>
        </w:rPr>
        <w:t> </w:t>
      </w:r>
      <w:r>
        <w:rPr/>
        <w:t>as</w:t>
      </w:r>
      <w:r>
        <w:rPr>
          <w:spacing w:val="-22"/>
        </w:rPr>
        <w:t> </w:t>
      </w:r>
      <w:r>
        <w:rPr/>
        <w:t>per</w:t>
      </w:r>
      <w:r>
        <w:rPr>
          <w:spacing w:val="-23"/>
        </w:rPr>
        <w:t> </w:t>
      </w:r>
      <w:r>
        <w:rPr/>
        <w:t>which</w:t>
      </w:r>
      <w:r>
        <w:rPr>
          <w:spacing w:val="-24"/>
        </w:rPr>
        <w:t> </w:t>
      </w:r>
      <w:r>
        <w:rPr/>
        <w:t>IL&amp;FS shall</w:t>
      </w:r>
      <w:r>
        <w:rPr>
          <w:spacing w:val="-19"/>
        </w:rPr>
        <w:t> </w:t>
      </w:r>
      <w:r>
        <w:rPr/>
        <w:t>undertake</w:t>
      </w:r>
      <w:r>
        <w:rPr>
          <w:spacing w:val="-17"/>
        </w:rPr>
        <w:t> </w:t>
      </w:r>
      <w:r>
        <w:rPr/>
        <w:t>the</w:t>
      </w:r>
      <w:r>
        <w:rPr>
          <w:spacing w:val="-16"/>
        </w:rPr>
        <w:t> </w:t>
      </w:r>
      <w:r>
        <w:rPr/>
        <w:t>O&amp;M</w:t>
      </w:r>
      <w:r>
        <w:rPr>
          <w:spacing w:val="-17"/>
        </w:rPr>
        <w:t> </w:t>
      </w:r>
      <w:r>
        <w:rPr/>
        <w:t>services</w:t>
      </w:r>
      <w:r>
        <w:rPr>
          <w:spacing w:val="-16"/>
        </w:rPr>
        <w:t> </w:t>
      </w:r>
      <w:r>
        <w:rPr/>
        <w:t>for</w:t>
      </w:r>
      <w:r>
        <w:rPr>
          <w:spacing w:val="-17"/>
        </w:rPr>
        <w:t> </w:t>
      </w:r>
      <w:r>
        <w:rPr/>
        <w:t>the</w:t>
      </w:r>
      <w:r>
        <w:rPr>
          <w:spacing w:val="-16"/>
        </w:rPr>
        <w:t> </w:t>
      </w:r>
      <w:r>
        <w:rPr/>
        <w:t>solar</w:t>
      </w:r>
      <w:r>
        <w:rPr>
          <w:spacing w:val="-17"/>
        </w:rPr>
        <w:t> </w:t>
      </w:r>
      <w:r>
        <w:rPr/>
        <w:t>park</w:t>
      </w:r>
      <w:r>
        <w:rPr>
          <w:spacing w:val="-18"/>
        </w:rPr>
        <w:t> </w:t>
      </w:r>
      <w:r>
        <w:rPr/>
        <w:t>facility</w:t>
      </w:r>
      <w:r>
        <w:rPr>
          <w:spacing w:val="-16"/>
        </w:rPr>
        <w:t> </w:t>
      </w:r>
      <w:r>
        <w:rPr/>
        <w:t>from</w:t>
      </w:r>
      <w:r>
        <w:rPr>
          <w:spacing w:val="-17"/>
        </w:rPr>
        <w:t> </w:t>
      </w:r>
      <w:r>
        <w:rPr/>
        <w:t>the</w:t>
      </w:r>
      <w:r>
        <w:rPr>
          <w:spacing w:val="-18"/>
        </w:rPr>
        <w:t> </w:t>
      </w:r>
      <w:r>
        <w:rPr/>
        <w:t>COD</w:t>
      </w:r>
      <w:r>
        <w:rPr>
          <w:spacing w:val="-16"/>
        </w:rPr>
        <w:t> </w:t>
      </w:r>
      <w:r>
        <w:rPr/>
        <w:t>and</w:t>
      </w:r>
      <w:r>
        <w:rPr>
          <w:spacing w:val="-17"/>
        </w:rPr>
        <w:t> </w:t>
      </w:r>
      <w:r>
        <w:rPr/>
        <w:t>continue</w:t>
      </w:r>
      <w:r>
        <w:rPr>
          <w:spacing w:val="-17"/>
        </w:rPr>
        <w:t> </w:t>
      </w:r>
      <w:r>
        <w:rPr/>
        <w:t>until</w:t>
      </w:r>
      <w:r>
        <w:rPr>
          <w:spacing w:val="-17"/>
        </w:rPr>
        <w:t> </w:t>
      </w:r>
      <w:r>
        <w:rPr/>
        <w:t>the</w:t>
      </w:r>
      <w:r>
        <w:rPr>
          <w:spacing w:val="-16"/>
        </w:rPr>
        <w:t> </w:t>
      </w:r>
      <w:r>
        <w:rPr/>
        <w:t>expiry of</w:t>
      </w:r>
      <w:r>
        <w:rPr>
          <w:spacing w:val="-5"/>
        </w:rPr>
        <w:t> </w:t>
      </w:r>
      <w:r>
        <w:rPr/>
        <w:t>15</w:t>
      </w:r>
      <w:r>
        <w:rPr>
          <w:spacing w:val="-5"/>
        </w:rPr>
        <w:t> </w:t>
      </w:r>
      <w:r>
        <w:rPr/>
        <w:t>years</w:t>
      </w:r>
      <w:r>
        <w:rPr>
          <w:spacing w:val="-4"/>
        </w:rPr>
        <w:t> </w:t>
      </w:r>
      <w:r>
        <w:rPr/>
        <w:t>unless</w:t>
      </w:r>
      <w:r>
        <w:rPr>
          <w:spacing w:val="-4"/>
        </w:rPr>
        <w:t> </w:t>
      </w:r>
      <w:r>
        <w:rPr/>
        <w:t>terminated</w:t>
      </w:r>
      <w:r>
        <w:rPr>
          <w:spacing w:val="-4"/>
        </w:rPr>
        <w:t> </w:t>
      </w:r>
      <w:r>
        <w:rPr/>
        <w:t>otherwise.</w:t>
      </w:r>
      <w:r>
        <w:rPr>
          <w:spacing w:val="-5"/>
        </w:rPr>
        <w:t> </w:t>
      </w:r>
      <w:r>
        <w:rPr/>
        <w:t>Hence,</w:t>
      </w:r>
      <w:r>
        <w:rPr>
          <w:spacing w:val="-7"/>
        </w:rPr>
        <w:t> </w:t>
      </w:r>
      <w:r>
        <w:rPr/>
        <w:t>the</w:t>
      </w:r>
      <w:r>
        <w:rPr>
          <w:spacing w:val="-5"/>
        </w:rPr>
        <w:t> </w:t>
      </w:r>
      <w:r>
        <w:rPr/>
        <w:t>recurring</w:t>
      </w:r>
      <w:r>
        <w:rPr>
          <w:spacing w:val="-5"/>
        </w:rPr>
        <w:t> </w:t>
      </w:r>
      <w:r>
        <w:rPr/>
        <w:t>expenses</w:t>
      </w:r>
      <w:r>
        <w:rPr>
          <w:spacing w:val="-5"/>
        </w:rPr>
        <w:t> </w:t>
      </w:r>
      <w:r>
        <w:rPr/>
        <w:t>such</w:t>
      </w:r>
      <w:r>
        <w:rPr>
          <w:spacing w:val="-6"/>
        </w:rPr>
        <w:t> </w:t>
      </w:r>
      <w:r>
        <w:rPr/>
        <w:t>as</w:t>
      </w:r>
      <w:r>
        <w:rPr>
          <w:spacing w:val="-4"/>
        </w:rPr>
        <w:t> </w:t>
      </w:r>
      <w:r>
        <w:rPr/>
        <w:t>O&amp;M</w:t>
      </w:r>
      <w:r>
        <w:rPr>
          <w:spacing w:val="-4"/>
        </w:rPr>
        <w:t> </w:t>
      </w:r>
      <w:r>
        <w:rPr/>
        <w:t>cost,</w:t>
      </w:r>
      <w:r>
        <w:rPr>
          <w:spacing w:val="-5"/>
        </w:rPr>
        <w:t> </w:t>
      </w:r>
      <w:r>
        <w:rPr/>
        <w:t>insurance premium,</w:t>
      </w:r>
      <w:r>
        <w:rPr>
          <w:spacing w:val="-19"/>
        </w:rPr>
        <w:t> </w:t>
      </w:r>
      <w:r>
        <w:rPr/>
        <w:t>etc.</w:t>
      </w:r>
      <w:r>
        <w:rPr>
          <w:spacing w:val="-18"/>
        </w:rPr>
        <w:t> </w:t>
      </w:r>
      <w:r>
        <w:rPr/>
        <w:t>would</w:t>
      </w:r>
      <w:r>
        <w:rPr>
          <w:spacing w:val="-20"/>
        </w:rPr>
        <w:t> </w:t>
      </w:r>
      <w:r>
        <w:rPr/>
        <w:t>be</w:t>
      </w:r>
      <w:r>
        <w:rPr>
          <w:spacing w:val="-21"/>
        </w:rPr>
        <w:t> </w:t>
      </w:r>
      <w:r>
        <w:rPr/>
        <w:t>borne</w:t>
      </w:r>
      <w:r>
        <w:rPr>
          <w:spacing w:val="-19"/>
        </w:rPr>
        <w:t> </w:t>
      </w:r>
      <w:r>
        <w:rPr/>
        <w:t>by</w:t>
      </w:r>
      <w:r>
        <w:rPr>
          <w:spacing w:val="-18"/>
        </w:rPr>
        <w:t> </w:t>
      </w:r>
      <w:r>
        <w:rPr/>
        <w:t>IL&amp;FS</w:t>
      </w:r>
      <w:r>
        <w:rPr>
          <w:spacing w:val="-20"/>
        </w:rPr>
        <w:t> </w:t>
      </w:r>
      <w:r>
        <w:rPr/>
        <w:t>during</w:t>
      </w:r>
      <w:r>
        <w:rPr>
          <w:spacing w:val="-18"/>
        </w:rPr>
        <w:t> </w:t>
      </w:r>
      <w:r>
        <w:rPr/>
        <w:t>the</w:t>
      </w:r>
      <w:r>
        <w:rPr>
          <w:spacing w:val="-18"/>
        </w:rPr>
        <w:t> </w:t>
      </w:r>
      <w:r>
        <w:rPr/>
        <w:t>term</w:t>
      </w:r>
      <w:r>
        <w:rPr>
          <w:spacing w:val="-19"/>
        </w:rPr>
        <w:t> </w:t>
      </w:r>
      <w:r>
        <w:rPr/>
        <w:t>of</w:t>
      </w:r>
      <w:r>
        <w:rPr>
          <w:spacing w:val="-17"/>
        </w:rPr>
        <w:t> </w:t>
      </w:r>
      <w:r>
        <w:rPr/>
        <w:t>this</w:t>
      </w:r>
      <w:r>
        <w:rPr>
          <w:spacing w:val="-18"/>
        </w:rPr>
        <w:t> </w:t>
      </w:r>
      <w:r>
        <w:rPr/>
        <w:t>agreement</w:t>
      </w:r>
      <w:r>
        <w:rPr>
          <w:spacing w:val="-20"/>
        </w:rPr>
        <w:t> </w:t>
      </w:r>
      <w:r>
        <w:rPr/>
        <w:t>(i.e.</w:t>
      </w:r>
      <w:r>
        <w:rPr>
          <w:spacing w:val="-19"/>
        </w:rPr>
        <w:t> </w:t>
      </w:r>
      <w:r>
        <w:rPr/>
        <w:t>15</w:t>
      </w:r>
      <w:r>
        <w:rPr>
          <w:spacing w:val="-18"/>
        </w:rPr>
        <w:t> </w:t>
      </w:r>
      <w:r>
        <w:rPr/>
        <w:t>years</w:t>
      </w:r>
      <w:r>
        <w:rPr>
          <w:spacing w:val="-19"/>
        </w:rPr>
        <w:t> </w:t>
      </w:r>
      <w:r>
        <w:rPr/>
        <w:t>from</w:t>
      </w:r>
      <w:r>
        <w:rPr>
          <w:spacing w:val="-21"/>
        </w:rPr>
        <w:t> </w:t>
      </w:r>
      <w:r>
        <w:rPr/>
        <w:t>COD</w:t>
      </w:r>
      <w:r>
        <w:rPr>
          <w:spacing w:val="-19"/>
        </w:rPr>
        <w:t> </w:t>
      </w:r>
      <w:r>
        <w:rPr/>
        <w:t>post which</w:t>
      </w:r>
      <w:r>
        <w:rPr>
          <w:spacing w:val="-14"/>
        </w:rPr>
        <w:t> </w:t>
      </w:r>
      <w:r>
        <w:rPr/>
        <w:t>the</w:t>
      </w:r>
      <w:r>
        <w:rPr>
          <w:spacing w:val="-14"/>
        </w:rPr>
        <w:t> </w:t>
      </w:r>
      <w:r>
        <w:rPr/>
        <w:t>facility</w:t>
      </w:r>
      <w:r>
        <w:rPr>
          <w:spacing w:val="-14"/>
        </w:rPr>
        <w:t> </w:t>
      </w:r>
      <w:r>
        <w:rPr/>
        <w:t>shall</w:t>
      </w:r>
      <w:r>
        <w:rPr>
          <w:spacing w:val="-14"/>
        </w:rPr>
        <w:t> </w:t>
      </w:r>
      <w:r>
        <w:rPr/>
        <w:t>be</w:t>
      </w:r>
      <w:r>
        <w:rPr>
          <w:spacing w:val="-16"/>
        </w:rPr>
        <w:t> </w:t>
      </w:r>
      <w:r>
        <w:rPr/>
        <w:t>handed</w:t>
      </w:r>
      <w:r>
        <w:rPr>
          <w:spacing w:val="-13"/>
        </w:rPr>
        <w:t> </w:t>
      </w:r>
      <w:r>
        <w:rPr/>
        <w:t>over</w:t>
      </w:r>
      <w:r>
        <w:rPr>
          <w:spacing w:val="-14"/>
        </w:rPr>
        <w:t> </w:t>
      </w:r>
      <w:r>
        <w:rPr/>
        <w:t>to</w:t>
      </w:r>
      <w:r>
        <w:rPr>
          <w:spacing w:val="-13"/>
        </w:rPr>
        <w:t> </w:t>
      </w:r>
      <w:r>
        <w:rPr/>
        <w:t>EEPL).</w:t>
      </w:r>
      <w:r>
        <w:rPr>
          <w:spacing w:val="-15"/>
        </w:rPr>
        <w:t> </w:t>
      </w:r>
      <w:r>
        <w:rPr/>
        <w:t>For</w:t>
      </w:r>
      <w:r>
        <w:rPr>
          <w:spacing w:val="-14"/>
        </w:rPr>
        <w:t> </w:t>
      </w:r>
      <w:r>
        <w:rPr/>
        <w:t>the</w:t>
      </w:r>
      <w:r>
        <w:rPr>
          <w:spacing w:val="-13"/>
        </w:rPr>
        <w:t> </w:t>
      </w:r>
      <w:r>
        <w:rPr/>
        <w:t>same,</w:t>
      </w:r>
      <w:r>
        <w:rPr>
          <w:spacing w:val="-10"/>
        </w:rPr>
        <w:t> </w:t>
      </w:r>
      <w:r>
        <w:rPr/>
        <w:t>EEPL</w:t>
      </w:r>
      <w:r>
        <w:rPr>
          <w:spacing w:val="-15"/>
        </w:rPr>
        <w:t> </w:t>
      </w:r>
      <w:r>
        <w:rPr/>
        <w:t>would</w:t>
      </w:r>
      <w:r>
        <w:rPr>
          <w:spacing w:val="-16"/>
        </w:rPr>
        <w:t> </w:t>
      </w:r>
      <w:r>
        <w:rPr/>
        <w:t>pay</w:t>
      </w:r>
      <w:r>
        <w:rPr>
          <w:spacing w:val="-14"/>
        </w:rPr>
        <w:t> </w:t>
      </w:r>
      <w:r>
        <w:rPr/>
        <w:t>a</w:t>
      </w:r>
      <w:r>
        <w:rPr>
          <w:spacing w:val="-13"/>
        </w:rPr>
        <w:t> </w:t>
      </w:r>
      <w:r>
        <w:rPr/>
        <w:t>lump</w:t>
      </w:r>
      <w:r>
        <w:rPr>
          <w:spacing w:val="-15"/>
        </w:rPr>
        <w:t> </w:t>
      </w:r>
      <w:r>
        <w:rPr/>
        <w:t>sum</w:t>
      </w:r>
      <w:r>
        <w:rPr>
          <w:spacing w:val="-13"/>
        </w:rPr>
        <w:t> </w:t>
      </w:r>
      <w:r>
        <w:rPr/>
        <w:t>operations and</w:t>
      </w:r>
      <w:r>
        <w:rPr>
          <w:spacing w:val="-18"/>
        </w:rPr>
        <w:t> </w:t>
      </w:r>
      <w:r>
        <w:rPr/>
        <w:t>maintenance</w:t>
      </w:r>
      <w:r>
        <w:rPr>
          <w:spacing w:val="-17"/>
        </w:rPr>
        <w:t> </w:t>
      </w:r>
      <w:r>
        <w:rPr/>
        <w:t>service</w:t>
      </w:r>
      <w:r>
        <w:rPr>
          <w:spacing w:val="-16"/>
        </w:rPr>
        <w:t> </w:t>
      </w:r>
      <w:r>
        <w:rPr/>
        <w:t>fee</w:t>
      </w:r>
      <w:r>
        <w:rPr>
          <w:spacing w:val="-17"/>
        </w:rPr>
        <w:t> </w:t>
      </w:r>
      <w:r>
        <w:rPr/>
        <w:t>of</w:t>
      </w:r>
      <w:r>
        <w:rPr>
          <w:spacing w:val="-17"/>
        </w:rPr>
        <w:t> </w:t>
      </w:r>
      <w:r>
        <w:rPr/>
        <w:t>INR</w:t>
      </w:r>
      <w:r>
        <w:rPr>
          <w:spacing w:val="-18"/>
        </w:rPr>
        <w:t> </w:t>
      </w:r>
      <w:r>
        <w:rPr/>
        <w:t>86.00</w:t>
      </w:r>
      <w:r>
        <w:rPr>
          <w:spacing w:val="-17"/>
        </w:rPr>
        <w:t> </w:t>
      </w:r>
      <w:r>
        <w:rPr/>
        <w:t>Mn</w:t>
      </w:r>
      <w:r>
        <w:rPr>
          <w:spacing w:val="-18"/>
        </w:rPr>
        <w:t> </w:t>
      </w:r>
      <w:r>
        <w:rPr/>
        <w:t>per</w:t>
      </w:r>
      <w:r>
        <w:rPr>
          <w:spacing w:val="-20"/>
        </w:rPr>
        <w:t> </w:t>
      </w:r>
      <w:r>
        <w:rPr/>
        <w:t>annum</w:t>
      </w:r>
      <w:r>
        <w:rPr>
          <w:spacing w:val="-17"/>
        </w:rPr>
        <w:t> </w:t>
      </w:r>
      <w:r>
        <w:rPr/>
        <w:t>(during</w:t>
      </w:r>
      <w:r>
        <w:rPr>
          <w:spacing w:val="-17"/>
        </w:rPr>
        <w:t> </w:t>
      </w:r>
      <w:r>
        <w:rPr/>
        <w:t>the</w:t>
      </w:r>
      <w:r>
        <w:rPr>
          <w:spacing w:val="-18"/>
        </w:rPr>
        <w:t> </w:t>
      </w:r>
      <w:r>
        <w:rPr/>
        <w:t>term</w:t>
      </w:r>
      <w:r>
        <w:rPr>
          <w:spacing w:val="-19"/>
        </w:rPr>
        <w:t> </w:t>
      </w:r>
      <w:r>
        <w:rPr/>
        <w:t>of</w:t>
      </w:r>
      <w:r>
        <w:rPr>
          <w:spacing w:val="-17"/>
        </w:rPr>
        <w:t> </w:t>
      </w:r>
      <w:r>
        <w:rPr/>
        <w:t>this</w:t>
      </w:r>
      <w:r>
        <w:rPr>
          <w:spacing w:val="-16"/>
        </w:rPr>
        <w:t> </w:t>
      </w:r>
      <w:r>
        <w:rPr/>
        <w:t>agreement)</w:t>
      </w:r>
      <w:r>
        <w:rPr>
          <w:spacing w:val="-17"/>
        </w:rPr>
        <w:t> </w:t>
      </w:r>
      <w:r>
        <w:rPr/>
        <w:t>to</w:t>
      </w:r>
      <w:r>
        <w:rPr>
          <w:spacing w:val="-17"/>
        </w:rPr>
        <w:t> </w:t>
      </w:r>
      <w:r>
        <w:rPr/>
        <w:t>IL&amp;FS.</w:t>
      </w:r>
    </w:p>
    <w:p>
      <w:pPr>
        <w:pStyle w:val="BodyText"/>
        <w:spacing w:before="6"/>
        <w:rPr>
          <w:sz w:val="20"/>
        </w:rPr>
      </w:pPr>
    </w:p>
    <w:p>
      <w:pPr>
        <w:pStyle w:val="BodyText"/>
        <w:spacing w:line="372" w:lineRule="auto"/>
        <w:ind w:left="1220" w:right="677"/>
        <w:jc w:val="both"/>
      </w:pPr>
      <w:r>
        <w:rPr>
          <w:w w:val="95"/>
        </w:rPr>
        <w:t>As</w:t>
      </w:r>
      <w:r>
        <w:rPr>
          <w:spacing w:val="-20"/>
          <w:w w:val="95"/>
        </w:rPr>
        <w:t> </w:t>
      </w:r>
      <w:r>
        <w:rPr>
          <w:w w:val="95"/>
        </w:rPr>
        <w:t>highlighted</w:t>
      </w:r>
      <w:r>
        <w:rPr>
          <w:spacing w:val="-18"/>
          <w:w w:val="95"/>
        </w:rPr>
        <w:t> </w:t>
      </w:r>
      <w:r>
        <w:rPr>
          <w:w w:val="95"/>
        </w:rPr>
        <w:t>earlier,</w:t>
      </w:r>
      <w:r>
        <w:rPr>
          <w:spacing w:val="-19"/>
          <w:w w:val="95"/>
        </w:rPr>
        <w:t> </w:t>
      </w:r>
      <w:r>
        <w:rPr>
          <w:w w:val="95"/>
        </w:rPr>
        <w:t>the</w:t>
      </w:r>
      <w:r>
        <w:rPr>
          <w:spacing w:val="-20"/>
          <w:w w:val="95"/>
        </w:rPr>
        <w:t> </w:t>
      </w:r>
      <w:r>
        <w:rPr>
          <w:w w:val="95"/>
        </w:rPr>
        <w:t>scope</w:t>
      </w:r>
      <w:r>
        <w:rPr>
          <w:spacing w:val="-18"/>
          <w:w w:val="95"/>
        </w:rPr>
        <w:t> </w:t>
      </w:r>
      <w:r>
        <w:rPr>
          <w:w w:val="95"/>
        </w:rPr>
        <w:t>of</w:t>
      </w:r>
      <w:r>
        <w:rPr>
          <w:spacing w:val="-18"/>
          <w:w w:val="95"/>
        </w:rPr>
        <w:t> </w:t>
      </w:r>
      <w:r>
        <w:rPr>
          <w:w w:val="95"/>
        </w:rPr>
        <w:t>this</w:t>
      </w:r>
      <w:r>
        <w:rPr>
          <w:spacing w:val="-18"/>
          <w:w w:val="95"/>
        </w:rPr>
        <w:t> </w:t>
      </w:r>
      <w:r>
        <w:rPr>
          <w:w w:val="95"/>
        </w:rPr>
        <w:t>exercise</w:t>
      </w:r>
      <w:r>
        <w:rPr>
          <w:spacing w:val="-20"/>
          <w:w w:val="95"/>
        </w:rPr>
        <w:t> </w:t>
      </w:r>
      <w:r>
        <w:rPr>
          <w:w w:val="95"/>
        </w:rPr>
        <w:t>is</w:t>
      </w:r>
      <w:r>
        <w:rPr>
          <w:spacing w:val="-19"/>
          <w:w w:val="95"/>
        </w:rPr>
        <w:t> </w:t>
      </w:r>
      <w:r>
        <w:rPr>
          <w:w w:val="95"/>
        </w:rPr>
        <w:t>to</w:t>
      </w:r>
      <w:r>
        <w:rPr>
          <w:spacing w:val="-19"/>
          <w:w w:val="95"/>
        </w:rPr>
        <w:t> </w:t>
      </w:r>
      <w:r>
        <w:rPr>
          <w:w w:val="95"/>
        </w:rPr>
        <w:t>ascertain</w:t>
      </w:r>
      <w:r>
        <w:rPr>
          <w:spacing w:val="-20"/>
          <w:w w:val="95"/>
        </w:rPr>
        <w:t> </w:t>
      </w:r>
      <w:r>
        <w:rPr>
          <w:w w:val="95"/>
        </w:rPr>
        <w:t>the</w:t>
      </w:r>
      <w:r>
        <w:rPr>
          <w:spacing w:val="-20"/>
          <w:w w:val="95"/>
        </w:rPr>
        <w:t> </w:t>
      </w:r>
      <w:r>
        <w:rPr>
          <w:w w:val="95"/>
        </w:rPr>
        <w:t>equity/</w:t>
      </w:r>
      <w:r>
        <w:rPr>
          <w:spacing w:val="-19"/>
          <w:w w:val="95"/>
        </w:rPr>
        <w:t> </w:t>
      </w:r>
      <w:r>
        <w:rPr>
          <w:w w:val="95"/>
        </w:rPr>
        <w:t>enterprise</w:t>
      </w:r>
      <w:r>
        <w:rPr>
          <w:spacing w:val="-20"/>
          <w:w w:val="95"/>
        </w:rPr>
        <w:t> </w:t>
      </w:r>
      <w:r>
        <w:rPr>
          <w:w w:val="95"/>
        </w:rPr>
        <w:t>value</w:t>
      </w:r>
      <w:r>
        <w:rPr>
          <w:spacing w:val="-20"/>
          <w:w w:val="95"/>
        </w:rPr>
        <w:t> </w:t>
      </w:r>
      <w:r>
        <w:rPr>
          <w:w w:val="95"/>
        </w:rPr>
        <w:t>of</w:t>
      </w:r>
      <w:r>
        <w:rPr>
          <w:spacing w:val="-18"/>
          <w:w w:val="95"/>
        </w:rPr>
        <w:t> </w:t>
      </w:r>
      <w:r>
        <w:rPr>
          <w:w w:val="95"/>
        </w:rPr>
        <w:t>EEPL.</w:t>
      </w:r>
      <w:r>
        <w:rPr>
          <w:spacing w:val="-21"/>
          <w:w w:val="95"/>
        </w:rPr>
        <w:t> </w:t>
      </w:r>
      <w:r>
        <w:rPr>
          <w:w w:val="95"/>
        </w:rPr>
        <w:t>Hence, </w:t>
      </w:r>
      <w:r>
        <w:rPr/>
        <w:t>the</w:t>
      </w:r>
      <w:r>
        <w:rPr>
          <w:spacing w:val="-15"/>
        </w:rPr>
        <w:t> </w:t>
      </w:r>
      <w:r>
        <w:rPr/>
        <w:t>arrangements</w:t>
      </w:r>
      <w:r>
        <w:rPr>
          <w:spacing w:val="-14"/>
        </w:rPr>
        <w:t> </w:t>
      </w:r>
      <w:r>
        <w:rPr/>
        <w:t>mentioned</w:t>
      </w:r>
      <w:r>
        <w:rPr>
          <w:spacing w:val="-14"/>
        </w:rPr>
        <w:t> </w:t>
      </w:r>
      <w:r>
        <w:rPr/>
        <w:t>above</w:t>
      </w:r>
      <w:r>
        <w:rPr>
          <w:spacing w:val="-14"/>
        </w:rPr>
        <w:t> </w:t>
      </w:r>
      <w:r>
        <w:rPr/>
        <w:t>have</w:t>
      </w:r>
      <w:r>
        <w:rPr>
          <w:spacing w:val="-15"/>
        </w:rPr>
        <w:t> </w:t>
      </w:r>
      <w:r>
        <w:rPr/>
        <w:t>been</w:t>
      </w:r>
      <w:r>
        <w:rPr>
          <w:spacing w:val="-15"/>
        </w:rPr>
        <w:t> </w:t>
      </w:r>
      <w:r>
        <w:rPr/>
        <w:t>factored</w:t>
      </w:r>
      <w:r>
        <w:rPr>
          <w:spacing w:val="-14"/>
        </w:rPr>
        <w:t> </w:t>
      </w:r>
      <w:r>
        <w:rPr/>
        <w:t>in</w:t>
      </w:r>
      <w:r>
        <w:rPr>
          <w:spacing w:val="-15"/>
        </w:rPr>
        <w:t> </w:t>
      </w:r>
      <w:r>
        <w:rPr/>
        <w:t>for</w:t>
      </w:r>
      <w:r>
        <w:rPr>
          <w:spacing w:val="-15"/>
        </w:rPr>
        <w:t> </w:t>
      </w:r>
      <w:r>
        <w:rPr/>
        <w:t>deriving</w:t>
      </w:r>
      <w:r>
        <w:rPr>
          <w:spacing w:val="-11"/>
        </w:rPr>
        <w:t> </w:t>
      </w:r>
      <w:r>
        <w:rPr/>
        <w:t>the</w:t>
      </w:r>
      <w:r>
        <w:rPr>
          <w:spacing w:val="-15"/>
        </w:rPr>
        <w:t> </w:t>
      </w:r>
      <w:r>
        <w:rPr/>
        <w:t>cash</w:t>
      </w:r>
      <w:r>
        <w:rPr>
          <w:spacing w:val="-15"/>
        </w:rPr>
        <w:t> </w:t>
      </w:r>
      <w:r>
        <w:rPr/>
        <w:t>flows</w:t>
      </w:r>
      <w:r>
        <w:rPr>
          <w:spacing w:val="-14"/>
        </w:rPr>
        <w:t> </w:t>
      </w:r>
      <w:r>
        <w:rPr/>
        <w:t>for</w:t>
      </w:r>
      <w:r>
        <w:rPr>
          <w:spacing w:val="-15"/>
        </w:rPr>
        <w:t> </w:t>
      </w:r>
      <w:r>
        <w:rPr/>
        <w:t>EEPL.</w:t>
      </w:r>
    </w:p>
    <w:p>
      <w:pPr>
        <w:pStyle w:val="BodyText"/>
        <w:spacing w:before="6"/>
        <w:rPr>
          <w:sz w:val="20"/>
        </w:rPr>
      </w:pPr>
    </w:p>
    <w:p>
      <w:pPr>
        <w:pStyle w:val="ListParagraph"/>
        <w:numPr>
          <w:ilvl w:val="2"/>
          <w:numId w:val="93"/>
        </w:numPr>
        <w:tabs>
          <w:tab w:pos="1480" w:val="left" w:leader="none"/>
        </w:tabs>
        <w:spacing w:line="240" w:lineRule="auto" w:before="0" w:after="0"/>
        <w:ind w:left="1479" w:right="0" w:hanging="800"/>
        <w:jc w:val="left"/>
        <w:rPr>
          <w:sz w:val="22"/>
        </w:rPr>
      </w:pPr>
      <w:bookmarkStart w:name="_bookmark406" w:id="793"/>
      <w:bookmarkEnd w:id="793"/>
      <w:r>
        <w:rPr/>
      </w:r>
      <w:bookmarkStart w:name="_bookmark406" w:id="794"/>
      <w:bookmarkEnd w:id="794"/>
      <w:r>
        <w:rPr>
          <w:color w:val="1F664D"/>
          <w:w w:val="105"/>
          <w:sz w:val="22"/>
        </w:rPr>
        <w:t>Dep</w:t>
      </w:r>
      <w:r>
        <w:rPr>
          <w:color w:val="1F664D"/>
          <w:w w:val="105"/>
          <w:sz w:val="22"/>
        </w:rPr>
        <w:t>reciation</w:t>
      </w:r>
      <w:r>
        <w:rPr>
          <w:color w:val="1F664D"/>
          <w:spacing w:val="-7"/>
          <w:w w:val="105"/>
          <w:sz w:val="22"/>
        </w:rPr>
        <w:t> </w:t>
      </w:r>
      <w:r>
        <w:rPr>
          <w:color w:val="1F664D"/>
          <w:w w:val="105"/>
          <w:sz w:val="22"/>
        </w:rPr>
        <w:t>Assumptions</w:t>
      </w:r>
    </w:p>
    <w:p>
      <w:pPr>
        <w:pStyle w:val="BodyText"/>
        <w:spacing w:before="2"/>
        <w:rPr>
          <w:sz w:val="28"/>
        </w:rPr>
      </w:pPr>
    </w:p>
    <w:p>
      <w:pPr>
        <w:pStyle w:val="BodyText"/>
        <w:spacing w:line="372" w:lineRule="auto" w:before="1"/>
        <w:ind w:left="1220" w:right="674"/>
        <w:jc w:val="both"/>
      </w:pPr>
      <w:r>
        <w:rPr/>
        <w:t>Depreciation</w:t>
      </w:r>
      <w:r>
        <w:rPr>
          <w:spacing w:val="-8"/>
        </w:rPr>
        <w:t> </w:t>
      </w:r>
      <w:r>
        <w:rPr/>
        <w:t>is</w:t>
      </w:r>
      <w:r>
        <w:rPr>
          <w:spacing w:val="-6"/>
        </w:rPr>
        <w:t> </w:t>
      </w:r>
      <w:r>
        <w:rPr/>
        <w:t>a</w:t>
      </w:r>
      <w:r>
        <w:rPr>
          <w:spacing w:val="-8"/>
        </w:rPr>
        <w:t> </w:t>
      </w:r>
      <w:r>
        <w:rPr/>
        <w:t>method</w:t>
      </w:r>
      <w:r>
        <w:rPr>
          <w:spacing w:val="-7"/>
        </w:rPr>
        <w:t> </w:t>
      </w:r>
      <w:r>
        <w:rPr/>
        <w:t>of</w:t>
      </w:r>
      <w:r>
        <w:rPr>
          <w:spacing w:val="-7"/>
        </w:rPr>
        <w:t> </w:t>
      </w:r>
      <w:r>
        <w:rPr/>
        <w:t>allocating</w:t>
      </w:r>
      <w:r>
        <w:rPr>
          <w:spacing w:val="-6"/>
        </w:rPr>
        <w:t> </w:t>
      </w:r>
      <w:r>
        <w:rPr/>
        <w:t>some</w:t>
      </w:r>
      <w:r>
        <w:rPr>
          <w:spacing w:val="-7"/>
        </w:rPr>
        <w:t> </w:t>
      </w:r>
      <w:r>
        <w:rPr/>
        <w:t>cost</w:t>
      </w:r>
      <w:r>
        <w:rPr>
          <w:spacing w:val="-7"/>
        </w:rPr>
        <w:t> </w:t>
      </w:r>
      <w:r>
        <w:rPr/>
        <w:t>of</w:t>
      </w:r>
      <w:r>
        <w:rPr>
          <w:spacing w:val="-7"/>
        </w:rPr>
        <w:t> </w:t>
      </w:r>
      <w:r>
        <w:rPr/>
        <w:t>a</w:t>
      </w:r>
      <w:r>
        <w:rPr>
          <w:spacing w:val="-8"/>
        </w:rPr>
        <w:t> </w:t>
      </w:r>
      <w:r>
        <w:rPr/>
        <w:t>tangible</w:t>
      </w:r>
      <w:r>
        <w:rPr>
          <w:spacing w:val="-8"/>
        </w:rPr>
        <w:t> </w:t>
      </w:r>
      <w:r>
        <w:rPr/>
        <w:t>long-term</w:t>
      </w:r>
      <w:r>
        <w:rPr>
          <w:spacing w:val="-9"/>
        </w:rPr>
        <w:t> </w:t>
      </w:r>
      <w:r>
        <w:rPr/>
        <w:t>asset</w:t>
      </w:r>
      <w:r>
        <w:rPr>
          <w:spacing w:val="-6"/>
        </w:rPr>
        <w:t> </w:t>
      </w:r>
      <w:r>
        <w:rPr/>
        <w:t>over</w:t>
      </w:r>
      <w:r>
        <w:rPr>
          <w:spacing w:val="-7"/>
        </w:rPr>
        <w:t> </w:t>
      </w:r>
      <w:r>
        <w:rPr/>
        <w:t>its</w:t>
      </w:r>
      <w:r>
        <w:rPr>
          <w:spacing w:val="-7"/>
        </w:rPr>
        <w:t> </w:t>
      </w:r>
      <w:r>
        <w:rPr/>
        <w:t>useful</w:t>
      </w:r>
      <w:r>
        <w:rPr>
          <w:spacing w:val="-7"/>
        </w:rPr>
        <w:t> </w:t>
      </w:r>
      <w:r>
        <w:rPr/>
        <w:t>life</w:t>
      </w:r>
      <w:r>
        <w:rPr>
          <w:spacing w:val="-8"/>
        </w:rPr>
        <w:t> </w:t>
      </w:r>
      <w:r>
        <w:rPr/>
        <w:t>and thus,</w:t>
      </w:r>
      <w:r>
        <w:rPr>
          <w:spacing w:val="-20"/>
        </w:rPr>
        <w:t> </w:t>
      </w:r>
      <w:r>
        <w:rPr/>
        <w:t>refers</w:t>
      </w:r>
      <w:r>
        <w:rPr>
          <w:spacing w:val="-18"/>
        </w:rPr>
        <w:t> </w:t>
      </w:r>
      <w:r>
        <w:rPr/>
        <w:t>to</w:t>
      </w:r>
      <w:r>
        <w:rPr>
          <w:spacing w:val="-21"/>
        </w:rPr>
        <w:t> </w:t>
      </w:r>
      <w:r>
        <w:rPr/>
        <w:t>the</w:t>
      </w:r>
      <w:r>
        <w:rPr>
          <w:spacing w:val="-21"/>
        </w:rPr>
        <w:t> </w:t>
      </w:r>
      <w:r>
        <w:rPr/>
        <w:t>decrease</w:t>
      </w:r>
      <w:r>
        <w:rPr>
          <w:spacing w:val="-20"/>
        </w:rPr>
        <w:t> </w:t>
      </w:r>
      <w:r>
        <w:rPr/>
        <w:t>in</w:t>
      </w:r>
      <w:r>
        <w:rPr>
          <w:spacing w:val="-20"/>
        </w:rPr>
        <w:t> </w:t>
      </w:r>
      <w:r>
        <w:rPr/>
        <w:t>value</w:t>
      </w:r>
      <w:r>
        <w:rPr>
          <w:spacing w:val="-20"/>
        </w:rPr>
        <w:t> </w:t>
      </w:r>
      <w:r>
        <w:rPr/>
        <w:t>of</w:t>
      </w:r>
      <w:r>
        <w:rPr>
          <w:spacing w:val="-20"/>
        </w:rPr>
        <w:t> </w:t>
      </w:r>
      <w:r>
        <w:rPr/>
        <w:t>the</w:t>
      </w:r>
      <w:r>
        <w:rPr>
          <w:spacing w:val="-19"/>
        </w:rPr>
        <w:t> </w:t>
      </w:r>
      <w:r>
        <w:rPr/>
        <w:t>asset</w:t>
      </w:r>
      <w:r>
        <w:rPr>
          <w:spacing w:val="-20"/>
        </w:rPr>
        <w:t> </w:t>
      </w:r>
      <w:r>
        <w:rPr/>
        <w:t>during</w:t>
      </w:r>
      <w:r>
        <w:rPr>
          <w:spacing w:val="-19"/>
        </w:rPr>
        <w:t> </w:t>
      </w:r>
      <w:r>
        <w:rPr/>
        <w:t>its</w:t>
      </w:r>
      <w:r>
        <w:rPr>
          <w:spacing w:val="-20"/>
        </w:rPr>
        <w:t> </w:t>
      </w:r>
      <w:r>
        <w:rPr/>
        <w:t>lifetime.</w:t>
      </w:r>
      <w:r>
        <w:rPr>
          <w:spacing w:val="-21"/>
        </w:rPr>
        <w:t> </w:t>
      </w:r>
      <w:r>
        <w:rPr/>
        <w:t>All</w:t>
      </w:r>
      <w:r>
        <w:rPr>
          <w:spacing w:val="-20"/>
        </w:rPr>
        <w:t> </w:t>
      </w:r>
      <w:r>
        <w:rPr/>
        <w:t>fixed</w:t>
      </w:r>
      <w:r>
        <w:rPr>
          <w:spacing w:val="-19"/>
        </w:rPr>
        <w:t> </w:t>
      </w:r>
      <w:r>
        <w:rPr/>
        <w:t>assets</w:t>
      </w:r>
      <w:r>
        <w:rPr>
          <w:spacing w:val="-18"/>
        </w:rPr>
        <w:t> </w:t>
      </w:r>
      <w:r>
        <w:rPr/>
        <w:t>except</w:t>
      </w:r>
      <w:r>
        <w:rPr>
          <w:spacing w:val="-20"/>
        </w:rPr>
        <w:t> </w:t>
      </w:r>
      <w:r>
        <w:rPr/>
        <w:t>the</w:t>
      </w:r>
      <w:r>
        <w:rPr>
          <w:spacing w:val="-20"/>
        </w:rPr>
        <w:t> </w:t>
      </w:r>
      <w:r>
        <w:rPr/>
        <w:t>value</w:t>
      </w:r>
      <w:r>
        <w:rPr>
          <w:spacing w:val="-19"/>
        </w:rPr>
        <w:t> </w:t>
      </w:r>
      <w:r>
        <w:rPr/>
        <w:t>of land</w:t>
      </w:r>
      <w:r>
        <w:rPr>
          <w:spacing w:val="-30"/>
        </w:rPr>
        <w:t> </w:t>
      </w:r>
      <w:r>
        <w:rPr/>
        <w:t>depreciate</w:t>
      </w:r>
      <w:r>
        <w:rPr>
          <w:spacing w:val="-29"/>
        </w:rPr>
        <w:t> </w:t>
      </w:r>
      <w:r>
        <w:rPr/>
        <w:t>with</w:t>
      </w:r>
      <w:r>
        <w:rPr>
          <w:spacing w:val="-31"/>
        </w:rPr>
        <w:t> </w:t>
      </w:r>
      <w:r>
        <w:rPr/>
        <w:t>passage</w:t>
      </w:r>
      <w:r>
        <w:rPr>
          <w:spacing w:val="-30"/>
        </w:rPr>
        <w:t> </w:t>
      </w:r>
      <w:r>
        <w:rPr/>
        <w:t>of</w:t>
      </w:r>
      <w:r>
        <w:rPr>
          <w:spacing w:val="-30"/>
        </w:rPr>
        <w:t> </w:t>
      </w:r>
      <w:r>
        <w:rPr/>
        <w:t>time.</w:t>
      </w:r>
      <w:r>
        <w:rPr>
          <w:spacing w:val="-29"/>
        </w:rPr>
        <w:t> </w:t>
      </w:r>
      <w:r>
        <w:rPr/>
        <w:t>Hence,</w:t>
      </w:r>
      <w:r>
        <w:rPr>
          <w:spacing w:val="-29"/>
        </w:rPr>
        <w:t> </w:t>
      </w:r>
      <w:r>
        <w:rPr/>
        <w:t>in</w:t>
      </w:r>
      <w:r>
        <w:rPr>
          <w:spacing w:val="-30"/>
        </w:rPr>
        <w:t> </w:t>
      </w:r>
      <w:r>
        <w:rPr/>
        <w:t>order</w:t>
      </w:r>
      <w:r>
        <w:rPr>
          <w:spacing w:val="-29"/>
        </w:rPr>
        <w:t> </w:t>
      </w:r>
      <w:r>
        <w:rPr/>
        <w:t>compute</w:t>
      </w:r>
      <w:r>
        <w:rPr>
          <w:spacing w:val="-31"/>
        </w:rPr>
        <w:t> </w:t>
      </w:r>
      <w:r>
        <w:rPr/>
        <w:t>the</w:t>
      </w:r>
      <w:r>
        <w:rPr>
          <w:spacing w:val="-30"/>
        </w:rPr>
        <w:t> </w:t>
      </w:r>
      <w:r>
        <w:rPr/>
        <w:t>net</w:t>
      </w:r>
      <w:r>
        <w:rPr>
          <w:spacing w:val="-30"/>
        </w:rPr>
        <w:t> </w:t>
      </w:r>
      <w:r>
        <w:rPr/>
        <w:t>operating</w:t>
      </w:r>
      <w:r>
        <w:rPr>
          <w:spacing w:val="-29"/>
        </w:rPr>
        <w:t> </w:t>
      </w:r>
      <w:r>
        <w:rPr/>
        <w:t>income</w:t>
      </w:r>
      <w:r>
        <w:rPr>
          <w:spacing w:val="-29"/>
        </w:rPr>
        <w:t> </w:t>
      </w:r>
      <w:r>
        <w:rPr/>
        <w:t>for</w:t>
      </w:r>
      <w:r>
        <w:rPr>
          <w:spacing w:val="-32"/>
        </w:rPr>
        <w:t> </w:t>
      </w:r>
      <w:r>
        <w:rPr/>
        <w:t>calculating the</w:t>
      </w:r>
      <w:r>
        <w:rPr>
          <w:spacing w:val="-37"/>
        </w:rPr>
        <w:t> </w:t>
      </w:r>
      <w:r>
        <w:rPr/>
        <w:t>tax</w:t>
      </w:r>
      <w:r>
        <w:rPr>
          <w:spacing w:val="-37"/>
        </w:rPr>
        <w:t> </w:t>
      </w:r>
      <w:r>
        <w:rPr/>
        <w:t>liability,</w:t>
      </w:r>
      <w:r>
        <w:rPr>
          <w:spacing w:val="-36"/>
        </w:rPr>
        <w:t> </w:t>
      </w:r>
      <w:r>
        <w:rPr/>
        <w:t>following</w:t>
      </w:r>
      <w:r>
        <w:rPr>
          <w:spacing w:val="-37"/>
        </w:rPr>
        <w:t> </w:t>
      </w:r>
      <w:r>
        <w:rPr/>
        <w:t>depreciation</w:t>
      </w:r>
      <w:r>
        <w:rPr>
          <w:spacing w:val="-37"/>
        </w:rPr>
        <w:t> </w:t>
      </w:r>
      <w:r>
        <w:rPr/>
        <w:t>rates</w:t>
      </w:r>
      <w:r>
        <w:rPr>
          <w:spacing w:val="-36"/>
        </w:rPr>
        <w:t> </w:t>
      </w:r>
      <w:r>
        <w:rPr/>
        <w:t>have</w:t>
      </w:r>
      <w:r>
        <w:rPr>
          <w:spacing w:val="-37"/>
        </w:rPr>
        <w:t> </w:t>
      </w:r>
      <w:r>
        <w:rPr/>
        <w:t>been</w:t>
      </w:r>
      <w:r>
        <w:rPr>
          <w:spacing w:val="-37"/>
        </w:rPr>
        <w:t> </w:t>
      </w:r>
      <w:r>
        <w:rPr/>
        <w:t>used</w:t>
      </w:r>
      <w:r>
        <w:rPr>
          <w:spacing w:val="-36"/>
        </w:rPr>
        <w:t> </w:t>
      </w:r>
      <w:r>
        <w:rPr/>
        <w:t>for</w:t>
      </w:r>
      <w:r>
        <w:rPr>
          <w:spacing w:val="-37"/>
        </w:rPr>
        <w:t> </w:t>
      </w:r>
      <w:r>
        <w:rPr/>
        <w:t>the</w:t>
      </w:r>
      <w:r>
        <w:rPr>
          <w:spacing w:val="-37"/>
        </w:rPr>
        <w:t> </w:t>
      </w:r>
      <w:r>
        <w:rPr/>
        <w:t>subject</w:t>
      </w:r>
      <w:r>
        <w:rPr>
          <w:spacing w:val="-37"/>
        </w:rPr>
        <w:t> </w:t>
      </w:r>
      <w:r>
        <w:rPr/>
        <w:t>asset</w:t>
      </w:r>
      <w:r>
        <w:rPr>
          <w:spacing w:val="-38"/>
        </w:rPr>
        <w:t> </w:t>
      </w:r>
      <w:r>
        <w:rPr/>
        <w:t>(solar</w:t>
      </w:r>
      <w:r>
        <w:rPr>
          <w:spacing w:val="-36"/>
        </w:rPr>
        <w:t> </w:t>
      </w:r>
      <w:r>
        <w:rPr/>
        <w:t>power</w:t>
      </w:r>
      <w:r>
        <w:rPr>
          <w:spacing w:val="-37"/>
        </w:rPr>
        <w:t> </w:t>
      </w:r>
      <w:r>
        <w:rPr/>
        <w:t>project):</w:t>
      </w:r>
    </w:p>
    <w:p>
      <w:pPr>
        <w:pStyle w:val="BodyText"/>
        <w:ind w:left="680"/>
        <w:rPr>
          <w:sz w:val="20"/>
        </w:rPr>
      </w:pPr>
      <w:r>
        <w:rPr>
          <w:sz w:val="20"/>
        </w:rPr>
        <w:pict>
          <v:group style="width:523.6pt;height:55.5pt;mso-position-horizontal-relative:char;mso-position-vertical-relative:line" coordorigin="0,0" coordsize="10472,1110">
            <v:shape style="position:absolute;left:0;top:14;width:10472;height:1081" coordorigin="0,14" coordsize="10472,1081" path="m3817,14l2028,14,0,14,0,1095,2028,1095,3817,1095,3817,14xm6842,14l5615,14,5615,14,3817,14,3817,1095,5615,1095,5615,1095,6842,1095,6842,14xm10471,14l8678,14,6842,14,6842,1095,8678,1095,10471,1095,10471,14xe" filled="true" fillcolor="#006a4d" stroked="false">
              <v:path arrowok="t"/>
              <v:fill type="solid"/>
            </v:shape>
            <v:shape style="position:absolute;left:0;top:0;width:10472;height:1110" coordorigin="0,0" coordsize="10472,1110" path="m3817,1095l2043,1095,2028,1095,0,1095,0,1109,2028,1109,2043,1109,3817,1109,3817,1095xm3817,0l2043,0,2028,0,0,0,0,14,2028,14,2043,14,3817,14,3817,0xm6842,1095l5629,1095,5615,1095,5615,1095,3831,1095,3817,1095,3817,1109,3831,1109,5615,1109,5615,1109,5629,1109,6842,1109,6842,1095xm6842,0l5629,0,5615,0,5615,0,3831,0,3817,0,3817,14,3831,14,5615,14,5615,14,5629,14,6842,14,6842,0xm10471,1095l8692,1095,8678,1095,6856,1095,6842,1095,6842,1109,6856,1109,8678,1109,8692,1109,10471,1109,10471,1095xm10471,0l8692,0,8678,0,6856,0,6842,0,6842,14,6856,14,8678,14,8692,14,10471,14,10471,0xe" filled="true" fillcolor="#69bd28" stroked="false">
              <v:path arrowok="t"/>
              <v:fill type="solid"/>
            </v:shape>
            <v:shape style="position:absolute;left:638;top:415;width:1135;height:216" type="#_x0000_t202" filled="false" stroked="false">
              <v:textbox inset="0,0,0,0">
                <w:txbxContent>
                  <w:p>
                    <w:pPr>
                      <w:spacing w:before="4"/>
                      <w:ind w:left="0" w:right="0" w:firstLine="0"/>
                      <w:jc w:val="left"/>
                      <w:rPr>
                        <w:sz w:val="18"/>
                      </w:rPr>
                    </w:pPr>
                    <w:r>
                      <w:rPr>
                        <w:color w:val="FFFFFF"/>
                        <w:sz w:val="18"/>
                      </w:rPr>
                      <w:t>Applicable</w:t>
                    </w:r>
                    <w:r>
                      <w:rPr>
                        <w:color w:val="FFFFFF"/>
                        <w:spacing w:val="-31"/>
                        <w:sz w:val="18"/>
                      </w:rPr>
                      <w:t> </w:t>
                    </w:r>
                    <w:r>
                      <w:rPr>
                        <w:color w:val="FFFFFF"/>
                        <w:sz w:val="18"/>
                      </w:rPr>
                      <w:t>act</w:t>
                    </w:r>
                  </w:p>
                </w:txbxContent>
              </v:textbox>
              <w10:wrap type="none"/>
            </v:shape>
            <v:shape style="position:absolute;left:2419;top:273;width:1022;height:497" type="#_x0000_t202" filled="false" stroked="false">
              <v:textbox inset="0,0,0,0">
                <w:txbxContent>
                  <w:p>
                    <w:pPr>
                      <w:spacing w:before="4"/>
                      <w:ind w:left="2" w:right="18" w:firstLine="0"/>
                      <w:jc w:val="center"/>
                      <w:rPr>
                        <w:sz w:val="18"/>
                      </w:rPr>
                    </w:pPr>
                    <w:r>
                      <w:rPr>
                        <w:color w:val="FFFFFF"/>
                        <w:sz w:val="18"/>
                      </w:rPr>
                      <w:t>Nature of</w:t>
                    </w:r>
                  </w:p>
                  <w:p>
                    <w:pPr>
                      <w:spacing w:before="72"/>
                      <w:ind w:left="-1" w:right="18" w:firstLine="0"/>
                      <w:jc w:val="center"/>
                      <w:rPr>
                        <w:sz w:val="18"/>
                      </w:rPr>
                    </w:pPr>
                    <w:r>
                      <w:rPr>
                        <w:color w:val="FFFFFF"/>
                        <w:w w:val="95"/>
                        <w:sz w:val="18"/>
                      </w:rPr>
                      <w:t>Depreciation</w:t>
                    </w:r>
                  </w:p>
                </w:txbxContent>
              </v:textbox>
              <w10:wrap type="none"/>
            </v:shape>
            <v:shape style="position:absolute;left:4215;top:273;width:1022;height:497" type="#_x0000_t202" filled="false" stroked="false">
              <v:textbox inset="0,0,0,0">
                <w:txbxContent>
                  <w:p>
                    <w:pPr>
                      <w:spacing w:before="4"/>
                      <w:ind w:left="98" w:right="0" w:firstLine="0"/>
                      <w:jc w:val="left"/>
                      <w:rPr>
                        <w:sz w:val="18"/>
                      </w:rPr>
                    </w:pPr>
                    <w:r>
                      <w:rPr>
                        <w:color w:val="FFFFFF"/>
                        <w:sz w:val="18"/>
                      </w:rPr>
                      <w:t>Method of</w:t>
                    </w:r>
                  </w:p>
                  <w:p>
                    <w:pPr>
                      <w:spacing w:before="72"/>
                      <w:ind w:left="0" w:right="0" w:firstLine="0"/>
                      <w:jc w:val="left"/>
                      <w:rPr>
                        <w:sz w:val="18"/>
                      </w:rPr>
                    </w:pPr>
                    <w:r>
                      <w:rPr>
                        <w:color w:val="FFFFFF"/>
                        <w:w w:val="95"/>
                        <w:sz w:val="18"/>
                      </w:rPr>
                      <w:t>Depreciation</w:t>
                    </w:r>
                  </w:p>
                </w:txbxContent>
              </v:textbox>
              <w10:wrap type="none"/>
            </v:shape>
            <v:shape style="position:absolute;left:5751;top:273;width:2827;height:497" type="#_x0000_t202" filled="false" stroked="false">
              <v:textbox inset="0,0,0,0">
                <w:txbxContent>
                  <w:p>
                    <w:pPr>
                      <w:tabs>
                        <w:tab w:pos="1205" w:val="left" w:leader="none"/>
                      </w:tabs>
                      <w:spacing w:before="4"/>
                      <w:ind w:left="0" w:right="0" w:firstLine="0"/>
                      <w:jc w:val="left"/>
                      <w:rPr>
                        <w:sz w:val="18"/>
                      </w:rPr>
                    </w:pPr>
                    <w:r>
                      <w:rPr>
                        <w:color w:val="FFFFFF"/>
                        <w:sz w:val="18"/>
                      </w:rPr>
                      <w:t>Depreciable</w:t>
                      <w:tab/>
                      <w:t>Rate</w:t>
                    </w:r>
                    <w:r>
                      <w:rPr>
                        <w:color w:val="FFFFFF"/>
                        <w:spacing w:val="-32"/>
                        <w:sz w:val="18"/>
                      </w:rPr>
                      <w:t> </w:t>
                    </w:r>
                    <w:r>
                      <w:rPr>
                        <w:color w:val="FFFFFF"/>
                        <w:sz w:val="18"/>
                      </w:rPr>
                      <w:t>of</w:t>
                    </w:r>
                    <w:r>
                      <w:rPr>
                        <w:color w:val="FFFFFF"/>
                        <w:spacing w:val="-31"/>
                        <w:sz w:val="18"/>
                      </w:rPr>
                      <w:t> </w:t>
                    </w:r>
                    <w:r>
                      <w:rPr>
                        <w:color w:val="FFFFFF"/>
                        <w:sz w:val="18"/>
                      </w:rPr>
                      <w:t>Depreciation</w:t>
                    </w:r>
                  </w:p>
                  <w:p>
                    <w:pPr>
                      <w:tabs>
                        <w:tab w:pos="1680" w:val="left" w:leader="none"/>
                      </w:tabs>
                      <w:spacing w:before="72"/>
                      <w:ind w:left="264" w:right="0" w:firstLine="0"/>
                      <w:jc w:val="left"/>
                      <w:rPr>
                        <w:sz w:val="18"/>
                      </w:rPr>
                    </w:pPr>
                    <w:r>
                      <w:rPr>
                        <w:color w:val="FFFFFF"/>
                        <w:sz w:val="18"/>
                      </w:rPr>
                      <w:t>block</w:t>
                      <w:tab/>
                      <w:t>(annual)</w:t>
                    </w:r>
                  </w:p>
                </w:txbxContent>
              </v:textbox>
              <w10:wrap type="none"/>
            </v:shape>
            <v:shape style="position:absolute;left:9072;top:133;width:1022;height:778" type="#_x0000_t202" filled="false" stroked="false">
              <v:textbox inset="0,0,0,0">
                <w:txbxContent>
                  <w:p>
                    <w:pPr>
                      <w:spacing w:before="4"/>
                      <w:ind w:left="0" w:right="0" w:firstLine="228"/>
                      <w:jc w:val="left"/>
                      <w:rPr>
                        <w:sz w:val="18"/>
                      </w:rPr>
                    </w:pPr>
                    <w:r>
                      <w:rPr>
                        <w:color w:val="FFFFFF"/>
                        <w:sz w:val="18"/>
                      </w:rPr>
                      <w:t>Rate of</w:t>
                    </w:r>
                  </w:p>
                  <w:p>
                    <w:pPr>
                      <w:spacing w:line="280" w:lineRule="atLeast" w:before="1"/>
                      <w:ind w:left="103" w:right="0" w:hanging="104"/>
                      <w:jc w:val="left"/>
                      <w:rPr>
                        <w:sz w:val="18"/>
                      </w:rPr>
                    </w:pPr>
                    <w:r>
                      <w:rPr>
                        <w:color w:val="FFFFFF"/>
                        <w:w w:val="95"/>
                        <w:sz w:val="18"/>
                      </w:rPr>
                      <w:t>Depreciation </w:t>
                    </w:r>
                    <w:r>
                      <w:rPr>
                        <w:color w:val="FFFFFF"/>
                        <w:sz w:val="18"/>
                      </w:rPr>
                      <w:t>(quarterly)</w:t>
                    </w:r>
                  </w:p>
                </w:txbxContent>
              </v:textbox>
              <w10:wrap type="none"/>
            </v:shape>
          </v:group>
        </w:pict>
      </w:r>
      <w:r>
        <w:rPr>
          <w:sz w:val="20"/>
        </w:rPr>
      </w:r>
    </w:p>
    <w:p>
      <w:pPr>
        <w:spacing w:after="0"/>
        <w:rPr>
          <w:sz w:val="20"/>
        </w:rPr>
        <w:sectPr>
          <w:pgSz w:w="11910" w:h="16840"/>
          <w:pgMar w:header="720" w:footer="862" w:top="1660" w:bottom="1060" w:left="40" w:right="40"/>
        </w:sectPr>
      </w:pPr>
    </w:p>
    <w:p>
      <w:pPr>
        <w:spacing w:line="247" w:lineRule="auto" w:before="60"/>
        <w:ind w:left="1482" w:right="-4" w:hanging="582"/>
        <w:jc w:val="left"/>
        <w:rPr>
          <w:sz w:val="18"/>
        </w:rPr>
      </w:pPr>
      <w:r>
        <w:rPr>
          <w:sz w:val="18"/>
        </w:rPr>
        <w:t>The Companies</w:t>
      </w:r>
      <w:r>
        <w:rPr>
          <w:spacing w:val="-24"/>
          <w:sz w:val="18"/>
        </w:rPr>
        <w:t> </w:t>
      </w:r>
      <w:r>
        <w:rPr>
          <w:spacing w:val="-5"/>
          <w:sz w:val="18"/>
        </w:rPr>
        <w:t>Act, </w:t>
      </w:r>
      <w:r>
        <w:rPr>
          <w:sz w:val="18"/>
        </w:rPr>
        <w:t>2013</w:t>
      </w:r>
    </w:p>
    <w:p>
      <w:pPr>
        <w:spacing w:line="244" w:lineRule="auto" w:before="150"/>
        <w:ind w:left="1482" w:right="-9" w:hanging="582"/>
        <w:jc w:val="left"/>
        <w:rPr>
          <w:sz w:val="18"/>
        </w:rPr>
      </w:pPr>
      <w:r>
        <w:rPr/>
        <w:pict>
          <v:shape style="position:absolute;margin-left:36pt;margin-top:4.070652pt;width:523.6pt;height:.75pt;mso-position-horizontal-relative:page;mso-position-vertical-relative:paragraph;z-index:16529920" coordorigin="720,81" coordsize="10472,15" path="m4537,81l2763,81,2748,81,720,81,720,96,2748,96,2763,96,4537,96,4537,81xm7562,81l6349,81,6335,81,6335,81,4551,81,4537,81,4537,96,4551,96,6335,96,6335,96,6349,96,7562,96,7562,81xm11191,81l9412,81,9398,81,7576,81,7562,81,7562,96,7576,96,9398,96,9412,96,11191,96,11191,81xe" filled="true" fillcolor="#69bd28" stroked="false">
            <v:path arrowok="t"/>
            <v:fill type="solid"/>
            <w10:wrap type="none"/>
          </v:shape>
        </w:pict>
      </w:r>
      <w:r>
        <w:rPr>
          <w:sz w:val="18"/>
        </w:rPr>
        <w:t>The</w:t>
      </w:r>
      <w:r>
        <w:rPr>
          <w:spacing w:val="-24"/>
          <w:sz w:val="18"/>
        </w:rPr>
        <w:t> </w:t>
      </w:r>
      <w:r>
        <w:rPr>
          <w:sz w:val="18"/>
        </w:rPr>
        <w:t>Income</w:t>
      </w:r>
      <w:r>
        <w:rPr>
          <w:spacing w:val="-24"/>
          <w:sz w:val="18"/>
        </w:rPr>
        <w:t> </w:t>
      </w:r>
      <w:r>
        <w:rPr>
          <w:sz w:val="18"/>
        </w:rPr>
        <w:t>Tax</w:t>
      </w:r>
      <w:r>
        <w:rPr>
          <w:spacing w:val="-23"/>
          <w:sz w:val="18"/>
        </w:rPr>
        <w:t> </w:t>
      </w:r>
      <w:r>
        <w:rPr>
          <w:spacing w:val="-6"/>
          <w:sz w:val="18"/>
        </w:rPr>
        <w:t>Act, </w:t>
      </w:r>
      <w:r>
        <w:rPr>
          <w:sz w:val="18"/>
        </w:rPr>
        <w:t>1961</w:t>
      </w:r>
    </w:p>
    <w:p>
      <w:pPr>
        <w:tabs>
          <w:tab w:pos="2090" w:val="left" w:leader="none"/>
        </w:tabs>
        <w:spacing w:line="170" w:lineRule="auto" w:before="88"/>
        <w:ind w:left="366" w:right="0" w:firstLine="0"/>
        <w:jc w:val="left"/>
        <w:rPr>
          <w:sz w:val="18"/>
        </w:rPr>
      </w:pPr>
      <w:r>
        <w:rPr/>
        <w:br w:type="column"/>
      </w:r>
      <w:r>
        <w:rPr>
          <w:position w:val="-6"/>
          <w:sz w:val="18"/>
        </w:rPr>
        <w:t>Book</w:t>
      </w:r>
      <w:r>
        <w:rPr>
          <w:spacing w:val="-14"/>
          <w:position w:val="-6"/>
          <w:sz w:val="18"/>
        </w:rPr>
        <w:t> </w:t>
      </w:r>
      <w:r>
        <w:rPr>
          <w:position w:val="-6"/>
          <w:sz w:val="18"/>
        </w:rPr>
        <w:t>depreciation</w:t>
        <w:tab/>
      </w:r>
      <w:r>
        <w:rPr>
          <w:sz w:val="18"/>
        </w:rPr>
        <w:t>Written</w:t>
      </w:r>
      <w:r>
        <w:rPr>
          <w:spacing w:val="-27"/>
          <w:sz w:val="18"/>
        </w:rPr>
        <w:t> </w:t>
      </w:r>
      <w:r>
        <w:rPr>
          <w:sz w:val="18"/>
        </w:rPr>
        <w:t>Down</w:t>
      </w:r>
      <w:r>
        <w:rPr>
          <w:spacing w:val="-27"/>
          <w:sz w:val="18"/>
        </w:rPr>
        <w:t> </w:t>
      </w:r>
      <w:r>
        <w:rPr>
          <w:sz w:val="18"/>
        </w:rPr>
        <w:t>Value</w:t>
      </w:r>
    </w:p>
    <w:p>
      <w:pPr>
        <w:spacing w:line="178" w:lineRule="exact" w:before="0"/>
        <w:ind w:left="0" w:right="527" w:firstLine="0"/>
        <w:jc w:val="right"/>
        <w:rPr>
          <w:sz w:val="18"/>
        </w:rPr>
      </w:pPr>
      <w:r>
        <w:rPr>
          <w:sz w:val="18"/>
        </w:rPr>
        <w:t>(WDV)</w:t>
      </w:r>
    </w:p>
    <w:p>
      <w:pPr>
        <w:tabs>
          <w:tab w:pos="2388" w:val="left" w:leader="none"/>
        </w:tabs>
        <w:spacing w:before="154"/>
        <w:ind w:left="426" w:right="0" w:firstLine="0"/>
        <w:jc w:val="left"/>
        <w:rPr>
          <w:sz w:val="18"/>
        </w:rPr>
      </w:pPr>
      <w:r>
        <w:rPr/>
        <w:pict>
          <v:shape style="position:absolute;margin-left:244.850006pt;margin-top:18.26466pt;width:54pt;height:10.8pt;mso-position-horizontal-relative:page;mso-position-vertical-relative:paragraph;z-index:-34097664" type="#_x0000_t202" filled="false" stroked="false">
            <v:textbox inset="0,0,0,0">
              <w:txbxContent>
                <w:p>
                  <w:pPr>
                    <w:spacing w:before="4"/>
                    <w:ind w:left="0" w:right="0" w:firstLine="0"/>
                    <w:jc w:val="left"/>
                    <w:rPr>
                      <w:sz w:val="18"/>
                    </w:rPr>
                  </w:pPr>
                  <w:r>
                    <w:rPr>
                      <w:sz w:val="18"/>
                    </w:rPr>
                    <w:t>Method </w:t>
                  </w:r>
                  <w:r>
                    <w:rPr>
                      <w:spacing w:val="-5"/>
                      <w:sz w:val="18"/>
                    </w:rPr>
                    <w:t>(SLM)</w:t>
                  </w:r>
                </w:p>
              </w:txbxContent>
            </v:textbox>
            <w10:wrap type="none"/>
          </v:shape>
        </w:pict>
      </w:r>
      <w:r>
        <w:rPr>
          <w:sz w:val="18"/>
        </w:rPr>
        <w:t>Tax</w:t>
      </w:r>
      <w:r>
        <w:rPr>
          <w:spacing w:val="-19"/>
          <w:sz w:val="18"/>
        </w:rPr>
        <w:t> </w:t>
      </w:r>
      <w:r>
        <w:rPr>
          <w:sz w:val="18"/>
        </w:rPr>
        <w:t>depreciation</w:t>
        <w:tab/>
      </w:r>
      <w:r>
        <w:rPr>
          <w:position w:val="11"/>
          <w:sz w:val="18"/>
        </w:rPr>
        <w:t>Straight</w:t>
      </w:r>
      <w:r>
        <w:rPr>
          <w:spacing w:val="-13"/>
          <w:position w:val="11"/>
          <w:sz w:val="18"/>
        </w:rPr>
        <w:t> </w:t>
      </w:r>
      <w:r>
        <w:rPr>
          <w:position w:val="11"/>
          <w:sz w:val="18"/>
        </w:rPr>
        <w:t>Line</w:t>
      </w:r>
    </w:p>
    <w:p>
      <w:pPr>
        <w:tabs>
          <w:tab w:pos="1878" w:val="left" w:leader="none"/>
          <w:tab w:pos="3748" w:val="left" w:leader="none"/>
        </w:tabs>
        <w:spacing w:before="168"/>
        <w:ind w:left="517" w:right="0" w:firstLine="0"/>
        <w:jc w:val="left"/>
        <w:rPr>
          <w:sz w:val="18"/>
        </w:rPr>
      </w:pPr>
      <w:r>
        <w:rPr/>
        <w:br w:type="column"/>
      </w:r>
      <w:r>
        <w:rPr>
          <w:w w:val="110"/>
          <w:sz w:val="18"/>
        </w:rPr>
        <w:t>95%</w:t>
        <w:tab/>
        <w:t>12.73%*</w:t>
        <w:tab/>
        <w:t>3.35%*</w:t>
      </w:r>
    </w:p>
    <w:p>
      <w:pPr>
        <w:pStyle w:val="BodyText"/>
        <w:rPr>
          <w:sz w:val="32"/>
        </w:rPr>
      </w:pPr>
    </w:p>
    <w:p>
      <w:pPr>
        <w:tabs>
          <w:tab w:pos="1895" w:val="left" w:leader="none"/>
          <w:tab w:pos="3710" w:val="left" w:leader="none"/>
        </w:tabs>
        <w:spacing w:before="0"/>
        <w:ind w:left="464" w:right="0" w:firstLine="0"/>
        <w:jc w:val="left"/>
        <w:rPr>
          <w:sz w:val="18"/>
        </w:rPr>
      </w:pPr>
      <w:r>
        <w:rPr>
          <w:w w:val="110"/>
          <w:sz w:val="18"/>
        </w:rPr>
        <w:t>100%</w:t>
        <w:tab/>
        <w:t>7.69%**</w:t>
        <w:tab/>
        <w:t>1.92%**</w:t>
      </w:r>
    </w:p>
    <w:p>
      <w:pPr>
        <w:spacing w:after="0"/>
        <w:jc w:val="left"/>
        <w:rPr>
          <w:sz w:val="18"/>
        </w:rPr>
        <w:sectPr>
          <w:type w:val="continuous"/>
          <w:pgSz w:w="11910" w:h="16840"/>
          <w:pgMar w:top="800" w:bottom="280" w:left="40" w:right="40"/>
          <w:cols w:num="3" w:equalWidth="0">
            <w:col w:w="2484" w:space="40"/>
            <w:col w:w="3654" w:space="39"/>
            <w:col w:w="5613"/>
          </w:cols>
        </w:sectPr>
      </w:pPr>
    </w:p>
    <w:p>
      <w:pPr>
        <w:pStyle w:val="BodyText"/>
        <w:spacing w:before="3"/>
        <w:rPr>
          <w:sz w:val="4"/>
        </w:rPr>
      </w:pPr>
    </w:p>
    <w:p>
      <w:pPr>
        <w:pStyle w:val="BodyText"/>
        <w:spacing w:line="20" w:lineRule="exact"/>
        <w:ind w:left="66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0"/>
        <w:ind w:left="680" w:right="0" w:firstLine="0"/>
        <w:jc w:val="left"/>
        <w:rPr>
          <w:i/>
          <w:sz w:val="18"/>
        </w:rPr>
      </w:pPr>
      <w:r>
        <w:rPr>
          <w:i/>
          <w:sz w:val="18"/>
        </w:rPr>
        <w:t>Source: The Companies Act, 2013 &amp; The Income Tax Act, 1961</w:t>
      </w:r>
    </w:p>
    <w:p>
      <w:pPr>
        <w:spacing w:line="372" w:lineRule="auto" w:before="115"/>
        <w:ind w:left="680" w:right="607" w:firstLine="0"/>
        <w:jc w:val="left"/>
        <w:rPr>
          <w:i/>
          <w:sz w:val="18"/>
        </w:rPr>
      </w:pPr>
      <w:r>
        <w:rPr>
          <w:i/>
          <w:sz w:val="18"/>
        </w:rPr>
        <w:t>*Assumed</w:t>
      </w:r>
      <w:r>
        <w:rPr>
          <w:i/>
          <w:spacing w:val="-15"/>
          <w:sz w:val="18"/>
        </w:rPr>
        <w:t> </w:t>
      </w:r>
      <w:r>
        <w:rPr>
          <w:i/>
          <w:sz w:val="18"/>
        </w:rPr>
        <w:t>a</w:t>
      </w:r>
      <w:r>
        <w:rPr>
          <w:i/>
          <w:spacing w:val="-14"/>
          <w:sz w:val="18"/>
        </w:rPr>
        <w:t> </w:t>
      </w:r>
      <w:r>
        <w:rPr>
          <w:i/>
          <w:sz w:val="18"/>
        </w:rPr>
        <w:t>life</w:t>
      </w:r>
      <w:r>
        <w:rPr>
          <w:i/>
          <w:spacing w:val="-15"/>
          <w:sz w:val="18"/>
        </w:rPr>
        <w:t> </w:t>
      </w:r>
      <w:r>
        <w:rPr>
          <w:i/>
          <w:sz w:val="18"/>
        </w:rPr>
        <w:t>of</w:t>
      </w:r>
      <w:r>
        <w:rPr>
          <w:i/>
          <w:spacing w:val="-15"/>
          <w:sz w:val="18"/>
        </w:rPr>
        <w:t> </w:t>
      </w:r>
      <w:r>
        <w:rPr>
          <w:i/>
          <w:sz w:val="18"/>
        </w:rPr>
        <w:t>22</w:t>
      </w:r>
      <w:r>
        <w:rPr>
          <w:i/>
          <w:spacing w:val="-15"/>
          <w:sz w:val="18"/>
        </w:rPr>
        <w:t> </w:t>
      </w:r>
      <w:r>
        <w:rPr>
          <w:i/>
          <w:sz w:val="18"/>
        </w:rPr>
        <w:t>years</w:t>
      </w:r>
      <w:r>
        <w:rPr>
          <w:i/>
          <w:spacing w:val="-15"/>
          <w:sz w:val="18"/>
        </w:rPr>
        <w:t> </w:t>
      </w:r>
      <w:r>
        <w:rPr>
          <w:i/>
          <w:sz w:val="18"/>
        </w:rPr>
        <w:t>(same</w:t>
      </w:r>
      <w:r>
        <w:rPr>
          <w:i/>
          <w:spacing w:val="-15"/>
          <w:sz w:val="18"/>
        </w:rPr>
        <w:t> </w:t>
      </w:r>
      <w:r>
        <w:rPr>
          <w:i/>
          <w:sz w:val="18"/>
        </w:rPr>
        <w:t>as</w:t>
      </w:r>
      <w:r>
        <w:rPr>
          <w:i/>
          <w:spacing w:val="-15"/>
          <w:sz w:val="18"/>
        </w:rPr>
        <w:t> </w:t>
      </w:r>
      <w:r>
        <w:rPr>
          <w:i/>
          <w:sz w:val="18"/>
        </w:rPr>
        <w:t>the</w:t>
      </w:r>
      <w:r>
        <w:rPr>
          <w:i/>
          <w:spacing w:val="-17"/>
          <w:sz w:val="18"/>
        </w:rPr>
        <w:t> </w:t>
      </w:r>
      <w:r>
        <w:rPr>
          <w:i/>
          <w:sz w:val="18"/>
        </w:rPr>
        <w:t>life</w:t>
      </w:r>
      <w:r>
        <w:rPr>
          <w:i/>
          <w:spacing w:val="-15"/>
          <w:sz w:val="18"/>
        </w:rPr>
        <w:t> </w:t>
      </w:r>
      <w:r>
        <w:rPr>
          <w:i/>
          <w:sz w:val="18"/>
        </w:rPr>
        <w:t>of</w:t>
      </w:r>
      <w:r>
        <w:rPr>
          <w:i/>
          <w:spacing w:val="-15"/>
          <w:sz w:val="18"/>
        </w:rPr>
        <w:t> </w:t>
      </w:r>
      <w:r>
        <w:rPr>
          <w:i/>
          <w:sz w:val="18"/>
        </w:rPr>
        <w:t>a</w:t>
      </w:r>
      <w:r>
        <w:rPr>
          <w:i/>
          <w:spacing w:val="-14"/>
          <w:sz w:val="18"/>
        </w:rPr>
        <w:t> </w:t>
      </w:r>
      <w:r>
        <w:rPr>
          <w:i/>
          <w:sz w:val="18"/>
        </w:rPr>
        <w:t>Wind</w:t>
      </w:r>
      <w:r>
        <w:rPr>
          <w:i/>
          <w:spacing w:val="-16"/>
          <w:sz w:val="18"/>
        </w:rPr>
        <w:t> </w:t>
      </w:r>
      <w:r>
        <w:rPr>
          <w:i/>
          <w:sz w:val="18"/>
        </w:rPr>
        <w:t>Power</w:t>
      </w:r>
      <w:r>
        <w:rPr>
          <w:i/>
          <w:spacing w:val="-15"/>
          <w:sz w:val="18"/>
        </w:rPr>
        <w:t> </w:t>
      </w:r>
      <w:r>
        <w:rPr>
          <w:i/>
          <w:sz w:val="18"/>
        </w:rPr>
        <w:t>Generation</w:t>
      </w:r>
      <w:r>
        <w:rPr>
          <w:i/>
          <w:spacing w:val="-16"/>
          <w:sz w:val="18"/>
        </w:rPr>
        <w:t> </w:t>
      </w:r>
      <w:r>
        <w:rPr>
          <w:i/>
          <w:sz w:val="18"/>
        </w:rPr>
        <w:t>Plant,</w:t>
      </w:r>
      <w:r>
        <w:rPr>
          <w:i/>
          <w:spacing w:val="-15"/>
          <w:sz w:val="18"/>
        </w:rPr>
        <w:t> </w:t>
      </w:r>
      <w:r>
        <w:rPr>
          <w:i/>
          <w:sz w:val="18"/>
        </w:rPr>
        <w:t>which</w:t>
      </w:r>
      <w:r>
        <w:rPr>
          <w:i/>
          <w:spacing w:val="-14"/>
          <w:sz w:val="18"/>
        </w:rPr>
        <w:t> </w:t>
      </w:r>
      <w:r>
        <w:rPr>
          <w:i/>
          <w:sz w:val="18"/>
        </w:rPr>
        <w:t>is</w:t>
      </w:r>
      <w:r>
        <w:rPr>
          <w:i/>
          <w:spacing w:val="-16"/>
          <w:sz w:val="18"/>
        </w:rPr>
        <w:t> </w:t>
      </w:r>
      <w:r>
        <w:rPr>
          <w:i/>
          <w:sz w:val="18"/>
        </w:rPr>
        <w:t>the</w:t>
      </w:r>
      <w:r>
        <w:rPr>
          <w:i/>
          <w:spacing w:val="-15"/>
          <w:sz w:val="18"/>
        </w:rPr>
        <w:t> </w:t>
      </w:r>
      <w:r>
        <w:rPr>
          <w:i/>
          <w:sz w:val="18"/>
        </w:rPr>
        <w:t>nearest</w:t>
      </w:r>
      <w:r>
        <w:rPr>
          <w:i/>
          <w:spacing w:val="-15"/>
          <w:sz w:val="18"/>
        </w:rPr>
        <w:t> </w:t>
      </w:r>
      <w:r>
        <w:rPr>
          <w:i/>
          <w:sz w:val="18"/>
        </w:rPr>
        <w:t>comparable</w:t>
      </w:r>
      <w:r>
        <w:rPr>
          <w:i/>
          <w:spacing w:val="-16"/>
          <w:sz w:val="18"/>
        </w:rPr>
        <w:t> </w:t>
      </w:r>
      <w:r>
        <w:rPr>
          <w:i/>
          <w:sz w:val="18"/>
        </w:rPr>
        <w:t>natural</w:t>
      </w:r>
      <w:r>
        <w:rPr>
          <w:i/>
          <w:spacing w:val="-15"/>
          <w:sz w:val="18"/>
        </w:rPr>
        <w:t> </w:t>
      </w:r>
      <w:r>
        <w:rPr>
          <w:i/>
          <w:sz w:val="18"/>
        </w:rPr>
        <w:t>renewable </w:t>
      </w:r>
      <w:r>
        <w:rPr>
          <w:i/>
          <w:sz w:val="18"/>
        </w:rPr>
        <w:t>energy</w:t>
      </w:r>
      <w:r>
        <w:rPr>
          <w:i/>
          <w:spacing w:val="-3"/>
          <w:sz w:val="18"/>
        </w:rPr>
        <w:t> </w:t>
      </w:r>
      <w:r>
        <w:rPr>
          <w:i/>
          <w:sz w:val="18"/>
        </w:rPr>
        <w:t>source)</w:t>
      </w:r>
    </w:p>
    <w:p>
      <w:pPr>
        <w:spacing w:before="0"/>
        <w:ind w:left="680" w:right="0" w:firstLine="0"/>
        <w:jc w:val="left"/>
        <w:rPr>
          <w:i/>
          <w:sz w:val="18"/>
        </w:rPr>
      </w:pPr>
      <w:r>
        <w:rPr>
          <w:i/>
          <w:sz w:val="18"/>
        </w:rPr>
        <w:t>** Depreciation rate for any other asset not covered in the list of power generating units</w:t>
      </w:r>
    </w:p>
    <w:p>
      <w:pPr>
        <w:pStyle w:val="BodyText"/>
        <w:spacing w:before="5"/>
        <w:rPr>
          <w:i/>
          <w:sz w:val="30"/>
        </w:rPr>
      </w:pPr>
    </w:p>
    <w:p>
      <w:pPr>
        <w:pStyle w:val="ListParagraph"/>
        <w:numPr>
          <w:ilvl w:val="2"/>
          <w:numId w:val="93"/>
        </w:numPr>
        <w:tabs>
          <w:tab w:pos="1480" w:val="left" w:leader="none"/>
        </w:tabs>
        <w:spacing w:line="240" w:lineRule="auto" w:before="0" w:after="0"/>
        <w:ind w:left="1479" w:right="0" w:hanging="800"/>
        <w:jc w:val="left"/>
        <w:rPr>
          <w:sz w:val="22"/>
        </w:rPr>
      </w:pPr>
      <w:bookmarkStart w:name="_bookmark407" w:id="795"/>
      <w:bookmarkEnd w:id="795"/>
      <w:r>
        <w:rPr/>
      </w:r>
      <w:bookmarkStart w:name="_bookmark407" w:id="796"/>
      <w:bookmarkEnd w:id="796"/>
      <w:r>
        <w:rPr>
          <w:color w:val="1F664D"/>
          <w:sz w:val="22"/>
        </w:rPr>
        <w:t>T</w:t>
      </w:r>
      <w:r>
        <w:rPr>
          <w:color w:val="1F664D"/>
          <w:sz w:val="22"/>
        </w:rPr>
        <w:t>axation</w:t>
      </w:r>
      <w:r>
        <w:rPr>
          <w:color w:val="1F664D"/>
          <w:spacing w:val="-3"/>
          <w:sz w:val="22"/>
        </w:rPr>
        <w:t> </w:t>
      </w:r>
      <w:r>
        <w:rPr>
          <w:color w:val="1F664D"/>
          <w:sz w:val="22"/>
        </w:rPr>
        <w:t>Assumptions</w:t>
      </w:r>
    </w:p>
    <w:p>
      <w:pPr>
        <w:pStyle w:val="BodyText"/>
        <w:spacing w:line="321" w:lineRule="auto" w:before="208"/>
        <w:ind w:left="1311"/>
      </w:pPr>
      <w:r>
        <w:rPr/>
        <w:t>The</w:t>
      </w:r>
      <w:r>
        <w:rPr>
          <w:spacing w:val="-17"/>
        </w:rPr>
        <w:t> </w:t>
      </w:r>
      <w:r>
        <w:rPr/>
        <w:t>tax</w:t>
      </w:r>
      <w:r>
        <w:rPr>
          <w:spacing w:val="-17"/>
        </w:rPr>
        <w:t> </w:t>
      </w:r>
      <w:r>
        <w:rPr/>
        <w:t>payable</w:t>
      </w:r>
      <w:r>
        <w:rPr>
          <w:spacing w:val="-16"/>
        </w:rPr>
        <w:t> </w:t>
      </w:r>
      <w:r>
        <w:rPr/>
        <w:t>as</w:t>
      </w:r>
      <w:r>
        <w:rPr>
          <w:spacing w:val="-16"/>
        </w:rPr>
        <w:t> </w:t>
      </w:r>
      <w:r>
        <w:rPr/>
        <w:t>per</w:t>
      </w:r>
      <w:r>
        <w:rPr>
          <w:spacing w:val="-16"/>
        </w:rPr>
        <w:t> </w:t>
      </w:r>
      <w:r>
        <w:rPr/>
        <w:t>the</w:t>
      </w:r>
      <w:r>
        <w:rPr>
          <w:spacing w:val="-16"/>
        </w:rPr>
        <w:t> </w:t>
      </w:r>
      <w:r>
        <w:rPr/>
        <w:t>prevailing</w:t>
      </w:r>
      <w:r>
        <w:rPr>
          <w:spacing w:val="-15"/>
        </w:rPr>
        <w:t> </w:t>
      </w:r>
      <w:r>
        <w:rPr/>
        <w:t>tax</w:t>
      </w:r>
      <w:r>
        <w:rPr>
          <w:spacing w:val="-15"/>
        </w:rPr>
        <w:t> </w:t>
      </w:r>
      <w:r>
        <w:rPr/>
        <w:t>rates</w:t>
      </w:r>
      <w:r>
        <w:rPr>
          <w:spacing w:val="-15"/>
        </w:rPr>
        <w:t> </w:t>
      </w:r>
      <w:r>
        <w:rPr/>
        <w:t>in</w:t>
      </w:r>
      <w:r>
        <w:rPr>
          <w:spacing w:val="-18"/>
        </w:rPr>
        <w:t> </w:t>
      </w:r>
      <w:r>
        <w:rPr/>
        <w:t>India</w:t>
      </w:r>
      <w:r>
        <w:rPr>
          <w:spacing w:val="-16"/>
        </w:rPr>
        <w:t> </w:t>
      </w:r>
      <w:r>
        <w:rPr/>
        <w:t>is</w:t>
      </w:r>
      <w:r>
        <w:rPr>
          <w:spacing w:val="-15"/>
        </w:rPr>
        <w:t> </w:t>
      </w:r>
      <w:r>
        <w:rPr/>
        <w:t>computed</w:t>
      </w:r>
      <w:r>
        <w:rPr>
          <w:spacing w:val="-17"/>
        </w:rPr>
        <w:t> </w:t>
      </w:r>
      <w:r>
        <w:rPr/>
        <w:t>on</w:t>
      </w:r>
      <w:r>
        <w:rPr>
          <w:spacing w:val="-15"/>
        </w:rPr>
        <w:t> </w:t>
      </w:r>
      <w:r>
        <w:rPr/>
        <w:t>the</w:t>
      </w:r>
      <w:r>
        <w:rPr>
          <w:spacing w:val="-16"/>
        </w:rPr>
        <w:t> </w:t>
      </w:r>
      <w:r>
        <w:rPr/>
        <w:t>earnings</w:t>
      </w:r>
      <w:r>
        <w:rPr>
          <w:spacing w:val="-14"/>
        </w:rPr>
        <w:t> </w:t>
      </w:r>
      <w:r>
        <w:rPr/>
        <w:t>after</w:t>
      </w:r>
      <w:r>
        <w:rPr>
          <w:spacing w:val="-16"/>
        </w:rPr>
        <w:t> </w:t>
      </w:r>
      <w:r>
        <w:rPr/>
        <w:t>interest</w:t>
      </w:r>
      <w:r>
        <w:rPr>
          <w:spacing w:val="-18"/>
        </w:rPr>
        <w:t> </w:t>
      </w:r>
      <w:r>
        <w:rPr/>
        <w:t>and depreciation</w:t>
      </w:r>
      <w:r>
        <w:rPr>
          <w:spacing w:val="-8"/>
        </w:rPr>
        <w:t> </w:t>
      </w:r>
      <w:r>
        <w:rPr/>
        <w:t>to</w:t>
      </w:r>
      <w:r>
        <w:rPr>
          <w:spacing w:val="-7"/>
        </w:rPr>
        <w:t> </w:t>
      </w:r>
      <w:r>
        <w:rPr/>
        <w:t>arrive</w:t>
      </w:r>
      <w:r>
        <w:rPr>
          <w:spacing w:val="-7"/>
        </w:rPr>
        <w:t> </w:t>
      </w:r>
      <w:r>
        <w:rPr/>
        <w:t>at</w:t>
      </w:r>
      <w:r>
        <w:rPr>
          <w:spacing w:val="-7"/>
        </w:rPr>
        <w:t> </w:t>
      </w:r>
      <w:r>
        <w:rPr/>
        <w:t>the</w:t>
      </w:r>
      <w:r>
        <w:rPr>
          <w:spacing w:val="-8"/>
        </w:rPr>
        <w:t> </w:t>
      </w:r>
      <w:r>
        <w:rPr/>
        <w:t>equity</w:t>
      </w:r>
      <w:r>
        <w:rPr>
          <w:spacing w:val="-6"/>
        </w:rPr>
        <w:t> </w:t>
      </w:r>
      <w:r>
        <w:rPr/>
        <w:t>level</w:t>
      </w:r>
      <w:r>
        <w:rPr>
          <w:spacing w:val="-8"/>
        </w:rPr>
        <w:t> </w:t>
      </w:r>
      <w:r>
        <w:rPr/>
        <w:t>cash</w:t>
      </w:r>
      <w:r>
        <w:rPr>
          <w:spacing w:val="-8"/>
        </w:rPr>
        <w:t> </w:t>
      </w:r>
      <w:r>
        <w:rPr/>
        <w:t>flows</w:t>
      </w:r>
      <w:r>
        <w:rPr>
          <w:spacing w:val="-8"/>
        </w:rPr>
        <w:t> </w:t>
      </w:r>
      <w:r>
        <w:rPr/>
        <w:t>for</w:t>
      </w:r>
      <w:r>
        <w:rPr>
          <w:spacing w:val="-8"/>
        </w:rPr>
        <w:t> </w:t>
      </w:r>
      <w:r>
        <w:rPr/>
        <w:t>EEPL.</w:t>
      </w:r>
    </w:p>
    <w:p>
      <w:pPr>
        <w:pStyle w:val="BodyText"/>
        <w:spacing w:before="1"/>
        <w:rPr>
          <w:sz w:val="17"/>
        </w:rPr>
      </w:pPr>
      <w:r>
        <w:rPr/>
        <w:pict>
          <v:group style="position:absolute;margin-left:45pt;margin-top:11.885055pt;width:514.2pt;height:23.65pt;mso-position-horizontal-relative:page;mso-position-vertical-relative:paragraph;z-index:-14928896;mso-wrap-distance-left:0;mso-wrap-distance-right:0" coordorigin="900,238" coordsize="10284,473">
            <v:shape style="position:absolute;left:900;top:252;width:10284;height:444" coordorigin="900,252" coordsize="10284,444" path="m11184,252l5673,252,900,252,900,696,5673,696,11184,696,11184,252xe" filled="true" fillcolor="#006a4d" stroked="false">
              <v:path arrowok="t"/>
              <v:fill type="solid"/>
            </v:shape>
            <v:shape style="position:absolute;left:900;top:237;width:10284;height:473" coordorigin="900,238" coordsize="10284,473" path="m11184,696l5687,696,5673,696,900,696,900,711,5673,711,5687,711,11184,711,11184,696xm11184,238l5687,238,5673,238,900,238,900,252,5673,252,5687,252,11184,252,11184,238xe" filled="true" fillcolor="#69bd28" stroked="false">
              <v:path arrowok="t"/>
              <v:fill type="solid"/>
            </v:shape>
            <v:shape style="position:absolute;left:900;top:252;width:10284;height:444" type="#_x0000_t202" filled="false" stroked="false">
              <v:textbox inset="0,0,0,0">
                <w:txbxContent>
                  <w:p>
                    <w:pPr>
                      <w:tabs>
                        <w:tab w:pos="5070" w:val="left" w:leader="none"/>
                      </w:tabs>
                      <w:spacing w:before="123"/>
                      <w:ind w:left="0" w:right="119" w:firstLine="0"/>
                      <w:jc w:val="center"/>
                      <w:rPr>
                        <w:sz w:val="18"/>
                      </w:rPr>
                    </w:pPr>
                    <w:r>
                      <w:rPr>
                        <w:color w:val="FFFFFF"/>
                        <w:sz w:val="18"/>
                      </w:rPr>
                      <w:t>Particulars</w:t>
                      <w:tab/>
                      <w:t>Tax Rate</w:t>
                    </w:r>
                    <w:r>
                      <w:rPr>
                        <w:color w:val="FFFFFF"/>
                        <w:spacing w:val="-5"/>
                        <w:sz w:val="18"/>
                      </w:rPr>
                      <w:t> </w:t>
                    </w:r>
                    <w:r>
                      <w:rPr>
                        <w:color w:val="FFFFFF"/>
                        <w:sz w:val="18"/>
                      </w:rPr>
                      <w:t>(%)</w:t>
                    </w:r>
                  </w:p>
                </w:txbxContent>
              </v:textbox>
              <w10:wrap type="none"/>
            </v:shape>
            <w10:wrap type="topAndBottom"/>
          </v:group>
        </w:pict>
      </w:r>
    </w:p>
    <w:p>
      <w:pPr>
        <w:tabs>
          <w:tab w:pos="8169" w:val="left" w:leader="none"/>
        </w:tabs>
        <w:spacing w:before="10" w:after="39"/>
        <w:ind w:left="2612" w:right="0" w:firstLine="0"/>
        <w:jc w:val="left"/>
        <w:rPr>
          <w:sz w:val="18"/>
        </w:rPr>
      </w:pPr>
      <w:r>
        <w:rPr>
          <w:sz w:val="18"/>
        </w:rPr>
        <w:t>Corporate</w:t>
      </w:r>
      <w:r>
        <w:rPr>
          <w:spacing w:val="-19"/>
          <w:sz w:val="18"/>
        </w:rPr>
        <w:t> </w:t>
      </w:r>
      <w:r>
        <w:rPr>
          <w:sz w:val="18"/>
        </w:rPr>
        <w:t>tax</w:t>
      </w:r>
      <w:r>
        <w:rPr>
          <w:spacing w:val="-18"/>
          <w:sz w:val="18"/>
        </w:rPr>
        <w:t> </w:t>
      </w:r>
      <w:r>
        <w:rPr>
          <w:sz w:val="18"/>
        </w:rPr>
        <w:t>rate</w:t>
        <w:tab/>
        <w:t>25.17%</w:t>
      </w:r>
    </w:p>
    <w:p>
      <w:pPr>
        <w:pStyle w:val="BodyText"/>
        <w:spacing w:line="20" w:lineRule="exact"/>
        <w:ind w:left="860"/>
        <w:rPr>
          <w:sz w:val="2"/>
        </w:rPr>
      </w:pPr>
      <w:r>
        <w:rPr>
          <w:sz w:val="2"/>
        </w:rPr>
        <w:pict>
          <v:group style="width:514.2pt;height:.75pt;mso-position-horizontal-relative:char;mso-position-vertical-relative:line" coordorigin="0,0" coordsize="10284,15">
            <v:shape style="position:absolute;left:0;top:0;width:10284;height:15" coordorigin="0,0" coordsize="10284,15" path="m10284,0l4787,0,4773,0,0,0,0,14,4773,14,4787,14,10284,14,10284,0xe" filled="true" fillcolor="#69bd28" stroked="false">
              <v:path arrowok="t"/>
              <v:fill type="solid"/>
            </v:shape>
          </v:group>
        </w:pict>
      </w:r>
      <w:r>
        <w:rPr>
          <w:sz w:val="2"/>
        </w:rPr>
      </w:r>
    </w:p>
    <w:p>
      <w:pPr>
        <w:tabs>
          <w:tab w:pos="8349" w:val="left" w:leader="none"/>
        </w:tabs>
        <w:spacing w:before="36"/>
        <w:ind w:left="1988" w:right="0" w:firstLine="0"/>
        <w:jc w:val="left"/>
        <w:rPr>
          <w:sz w:val="18"/>
        </w:rPr>
      </w:pPr>
      <w:r>
        <w:rPr/>
        <w:pict>
          <v:shape style="position:absolute;margin-left:44.280003pt;margin-top:14.210682pt;width:514.9500pt;height:.75pt;mso-position-horizontal-relative:page;mso-position-vertical-relative:paragraph;z-index:-14927872;mso-wrap-distance-left:0;mso-wrap-distance-right:0" coordorigin="886,284" coordsize="10299,15" path="m11184,284l5673,284,5658,284,886,284,886,299,5658,299,5673,299,11184,299,11184,284xe" filled="true" fillcolor="#69bd28" stroked="false">
            <v:path arrowok="t"/>
            <v:fill type="solid"/>
            <w10:wrap type="topAndBottom"/>
          </v:shape>
        </w:pict>
      </w:r>
      <w:r>
        <w:rPr>
          <w:sz w:val="18"/>
        </w:rPr>
        <w:t>Minimum</w:t>
      </w:r>
      <w:r>
        <w:rPr>
          <w:spacing w:val="-21"/>
          <w:sz w:val="18"/>
        </w:rPr>
        <w:t> </w:t>
      </w:r>
      <w:r>
        <w:rPr>
          <w:sz w:val="18"/>
        </w:rPr>
        <w:t>Alternate</w:t>
      </w:r>
      <w:r>
        <w:rPr>
          <w:spacing w:val="-21"/>
          <w:sz w:val="18"/>
        </w:rPr>
        <w:t> </w:t>
      </w:r>
      <w:r>
        <w:rPr>
          <w:sz w:val="18"/>
        </w:rPr>
        <w:t>Tax</w:t>
      </w:r>
      <w:r>
        <w:rPr>
          <w:spacing w:val="-21"/>
          <w:sz w:val="18"/>
        </w:rPr>
        <w:t> </w:t>
      </w:r>
      <w:r>
        <w:rPr>
          <w:sz w:val="18"/>
        </w:rPr>
        <w:t>(MAT)</w:t>
      </w:r>
      <w:r>
        <w:rPr>
          <w:spacing w:val="-21"/>
          <w:sz w:val="18"/>
        </w:rPr>
        <w:t> </w:t>
      </w:r>
      <w:r>
        <w:rPr>
          <w:sz w:val="18"/>
        </w:rPr>
        <w:t>rate</w:t>
        <w:tab/>
        <w:t>NA</w:t>
      </w:r>
    </w:p>
    <w:p>
      <w:pPr>
        <w:spacing w:before="0"/>
        <w:ind w:left="860" w:right="0" w:firstLine="0"/>
        <w:jc w:val="left"/>
        <w:rPr>
          <w:i/>
          <w:sz w:val="18"/>
        </w:rPr>
      </w:pPr>
      <w:r>
        <w:rPr>
          <w:i/>
          <w:sz w:val="18"/>
        </w:rPr>
        <w:t>Source: Valuer Research</w:t>
      </w:r>
    </w:p>
    <w:p>
      <w:pPr>
        <w:spacing w:after="0"/>
        <w:jc w:val="left"/>
        <w:rPr>
          <w:sz w:val="18"/>
        </w:rPr>
        <w:sectPr>
          <w:type w:val="continuous"/>
          <w:pgSz w:w="11910" w:h="16840"/>
          <w:pgMar w:top="800" w:bottom="280" w:left="40" w:right="40"/>
        </w:sectPr>
      </w:pPr>
    </w:p>
    <w:p>
      <w:pPr>
        <w:pStyle w:val="BodyText"/>
        <w:spacing w:before="7"/>
        <w:rPr>
          <w:i/>
          <w:sz w:val="9"/>
        </w:rPr>
      </w:pPr>
    </w:p>
    <w:p>
      <w:pPr>
        <w:pStyle w:val="ListParagraph"/>
        <w:numPr>
          <w:ilvl w:val="2"/>
          <w:numId w:val="93"/>
        </w:numPr>
        <w:tabs>
          <w:tab w:pos="1480" w:val="left" w:leader="none"/>
        </w:tabs>
        <w:spacing w:line="240" w:lineRule="auto" w:before="106" w:after="0"/>
        <w:ind w:left="1479" w:right="0" w:hanging="800"/>
        <w:jc w:val="left"/>
        <w:rPr>
          <w:sz w:val="22"/>
        </w:rPr>
      </w:pPr>
      <w:bookmarkStart w:name="_bookmark408" w:id="797"/>
      <w:bookmarkEnd w:id="797"/>
      <w:r>
        <w:rPr/>
      </w:r>
      <w:bookmarkStart w:name="_bookmark408" w:id="798"/>
      <w:bookmarkEnd w:id="798"/>
      <w:r>
        <w:rPr>
          <w:color w:val="1F664D"/>
          <w:sz w:val="22"/>
        </w:rPr>
        <w:t>U</w:t>
      </w:r>
      <w:r>
        <w:rPr>
          <w:color w:val="1F664D"/>
          <w:sz w:val="22"/>
        </w:rPr>
        <w:t>seful</w:t>
      </w:r>
      <w:r>
        <w:rPr>
          <w:color w:val="1F664D"/>
          <w:spacing w:val="-2"/>
          <w:sz w:val="22"/>
        </w:rPr>
        <w:t> </w:t>
      </w:r>
      <w:r>
        <w:rPr>
          <w:color w:val="1F664D"/>
          <w:sz w:val="22"/>
        </w:rPr>
        <w:t>Life</w:t>
      </w:r>
    </w:p>
    <w:p>
      <w:pPr>
        <w:pStyle w:val="BodyText"/>
        <w:spacing w:before="3"/>
        <w:rPr>
          <w:sz w:val="28"/>
        </w:rPr>
      </w:pPr>
    </w:p>
    <w:p>
      <w:pPr>
        <w:pStyle w:val="BodyText"/>
        <w:spacing w:line="321" w:lineRule="auto"/>
        <w:ind w:left="1311" w:right="677"/>
        <w:jc w:val="both"/>
      </w:pPr>
      <w:r>
        <w:rPr/>
        <w:t>Based</w:t>
      </w:r>
      <w:r>
        <w:rPr>
          <w:spacing w:val="-17"/>
        </w:rPr>
        <w:t> </w:t>
      </w:r>
      <w:r>
        <w:rPr/>
        <w:t>on</w:t>
      </w:r>
      <w:r>
        <w:rPr>
          <w:spacing w:val="-18"/>
        </w:rPr>
        <w:t> </w:t>
      </w:r>
      <w:r>
        <w:rPr/>
        <w:t>the</w:t>
      </w:r>
      <w:r>
        <w:rPr>
          <w:spacing w:val="-17"/>
        </w:rPr>
        <w:t> </w:t>
      </w:r>
      <w:r>
        <w:rPr/>
        <w:t>assumptions</w:t>
      </w:r>
      <w:r>
        <w:rPr>
          <w:spacing w:val="-17"/>
        </w:rPr>
        <w:t> </w:t>
      </w:r>
      <w:r>
        <w:rPr/>
        <w:t>highlighted</w:t>
      </w:r>
      <w:r>
        <w:rPr>
          <w:spacing w:val="-16"/>
        </w:rPr>
        <w:t> </w:t>
      </w:r>
      <w:r>
        <w:rPr/>
        <w:t>above</w:t>
      </w:r>
      <w:r>
        <w:rPr>
          <w:spacing w:val="-18"/>
        </w:rPr>
        <w:t> </w:t>
      </w:r>
      <w:r>
        <w:rPr/>
        <w:t>and</w:t>
      </w:r>
      <w:r>
        <w:rPr>
          <w:spacing w:val="-17"/>
        </w:rPr>
        <w:t> </w:t>
      </w:r>
      <w:r>
        <w:rPr/>
        <w:t>duly</w:t>
      </w:r>
      <w:r>
        <w:rPr>
          <w:spacing w:val="-16"/>
        </w:rPr>
        <w:t> </w:t>
      </w:r>
      <w:r>
        <w:rPr/>
        <w:t>factoring</w:t>
      </w:r>
      <w:r>
        <w:rPr>
          <w:spacing w:val="-17"/>
        </w:rPr>
        <w:t> </w:t>
      </w:r>
      <w:r>
        <w:rPr/>
        <w:t>in</w:t>
      </w:r>
      <w:r>
        <w:rPr>
          <w:spacing w:val="-17"/>
        </w:rPr>
        <w:t> </w:t>
      </w:r>
      <w:r>
        <w:rPr/>
        <w:t>the</w:t>
      </w:r>
      <w:r>
        <w:rPr>
          <w:spacing w:val="-18"/>
        </w:rPr>
        <w:t> </w:t>
      </w:r>
      <w:r>
        <w:rPr/>
        <w:t>existing</w:t>
      </w:r>
      <w:r>
        <w:rPr>
          <w:spacing w:val="-16"/>
        </w:rPr>
        <w:t> </w:t>
      </w:r>
      <w:r>
        <w:rPr/>
        <w:t>arrangements</w:t>
      </w:r>
      <w:r>
        <w:rPr>
          <w:spacing w:val="-17"/>
        </w:rPr>
        <w:t> </w:t>
      </w:r>
      <w:r>
        <w:rPr/>
        <w:t>between EEPL</w:t>
      </w:r>
      <w:r>
        <w:rPr>
          <w:spacing w:val="-37"/>
        </w:rPr>
        <w:t> </w:t>
      </w:r>
      <w:r>
        <w:rPr/>
        <w:t>and</w:t>
      </w:r>
      <w:r>
        <w:rPr>
          <w:spacing w:val="-37"/>
        </w:rPr>
        <w:t> </w:t>
      </w:r>
      <w:r>
        <w:rPr/>
        <w:t>IL&amp;FS,</w:t>
      </w:r>
      <w:r>
        <w:rPr>
          <w:spacing w:val="-37"/>
        </w:rPr>
        <w:t> </w:t>
      </w:r>
      <w:r>
        <w:rPr/>
        <w:t>the</w:t>
      </w:r>
      <w:r>
        <w:rPr>
          <w:spacing w:val="-38"/>
        </w:rPr>
        <w:t> </w:t>
      </w:r>
      <w:r>
        <w:rPr/>
        <w:t>quarterly</w:t>
      </w:r>
      <w:r>
        <w:rPr>
          <w:spacing w:val="-36"/>
        </w:rPr>
        <w:t> </w:t>
      </w:r>
      <w:r>
        <w:rPr/>
        <w:t>cash</w:t>
      </w:r>
      <w:r>
        <w:rPr>
          <w:spacing w:val="-37"/>
        </w:rPr>
        <w:t> </w:t>
      </w:r>
      <w:r>
        <w:rPr/>
        <w:t>flows</w:t>
      </w:r>
      <w:r>
        <w:rPr>
          <w:spacing w:val="-36"/>
        </w:rPr>
        <w:t> </w:t>
      </w:r>
      <w:r>
        <w:rPr/>
        <w:t>for</w:t>
      </w:r>
      <w:r>
        <w:rPr>
          <w:spacing w:val="-38"/>
        </w:rPr>
        <w:t> </w:t>
      </w:r>
      <w:r>
        <w:rPr/>
        <w:t>EEPL</w:t>
      </w:r>
      <w:r>
        <w:rPr>
          <w:spacing w:val="-38"/>
        </w:rPr>
        <w:t> </w:t>
      </w:r>
      <w:r>
        <w:rPr/>
        <w:t>have</w:t>
      </w:r>
      <w:r>
        <w:rPr>
          <w:spacing w:val="-37"/>
        </w:rPr>
        <w:t> </w:t>
      </w:r>
      <w:r>
        <w:rPr/>
        <w:t>been</w:t>
      </w:r>
      <w:r>
        <w:rPr>
          <w:spacing w:val="-37"/>
        </w:rPr>
        <w:t> </w:t>
      </w:r>
      <w:r>
        <w:rPr/>
        <w:t>projected</w:t>
      </w:r>
      <w:r>
        <w:rPr>
          <w:spacing w:val="-37"/>
        </w:rPr>
        <w:t> </w:t>
      </w:r>
      <w:r>
        <w:rPr/>
        <w:t>over</w:t>
      </w:r>
      <w:r>
        <w:rPr>
          <w:spacing w:val="-36"/>
        </w:rPr>
        <w:t> </w:t>
      </w:r>
      <w:r>
        <w:rPr/>
        <w:t>the</w:t>
      </w:r>
      <w:r>
        <w:rPr>
          <w:spacing w:val="-38"/>
        </w:rPr>
        <w:t> </w:t>
      </w:r>
      <w:r>
        <w:rPr/>
        <w:t>useful</w:t>
      </w:r>
      <w:r>
        <w:rPr>
          <w:spacing w:val="-37"/>
        </w:rPr>
        <w:t> </w:t>
      </w:r>
      <w:r>
        <w:rPr/>
        <w:t>life</w:t>
      </w:r>
      <w:r>
        <w:rPr>
          <w:spacing w:val="-37"/>
        </w:rPr>
        <w:t> </w:t>
      </w:r>
      <w:r>
        <w:rPr/>
        <w:t>of</w:t>
      </w:r>
      <w:r>
        <w:rPr>
          <w:spacing w:val="-37"/>
        </w:rPr>
        <w:t> </w:t>
      </w:r>
      <w:r>
        <w:rPr/>
        <w:t>the</w:t>
      </w:r>
      <w:r>
        <w:rPr>
          <w:spacing w:val="-36"/>
        </w:rPr>
        <w:t> </w:t>
      </w:r>
      <w:r>
        <w:rPr/>
        <w:t>facility,</w:t>
      </w:r>
    </w:p>
    <w:p>
      <w:pPr>
        <w:pStyle w:val="BodyText"/>
        <w:spacing w:line="255" w:lineRule="exact"/>
        <w:ind w:left="1311"/>
      </w:pPr>
      <w:r>
        <w:rPr/>
        <w:t>i.e. for a period of 25 years.</w:t>
      </w:r>
    </w:p>
    <w:p>
      <w:pPr>
        <w:pStyle w:val="BodyText"/>
        <w:spacing w:before="2"/>
        <w:rPr>
          <w:sz w:val="28"/>
        </w:rPr>
      </w:pPr>
    </w:p>
    <w:p>
      <w:pPr>
        <w:pStyle w:val="ListParagraph"/>
        <w:numPr>
          <w:ilvl w:val="2"/>
          <w:numId w:val="93"/>
        </w:numPr>
        <w:tabs>
          <w:tab w:pos="1480" w:val="left" w:leader="none"/>
        </w:tabs>
        <w:spacing w:line="240" w:lineRule="auto" w:before="1" w:after="0"/>
        <w:ind w:left="1479" w:right="0" w:hanging="800"/>
        <w:jc w:val="left"/>
        <w:rPr>
          <w:sz w:val="22"/>
        </w:rPr>
      </w:pPr>
      <w:bookmarkStart w:name="_bookmark409" w:id="799"/>
      <w:bookmarkEnd w:id="799"/>
      <w:r>
        <w:rPr/>
      </w:r>
      <w:bookmarkStart w:name="_bookmark409" w:id="800"/>
      <w:bookmarkEnd w:id="800"/>
      <w:r>
        <w:rPr>
          <w:color w:val="1F664D"/>
          <w:sz w:val="22"/>
        </w:rPr>
        <w:t>Dis</w:t>
      </w:r>
      <w:r>
        <w:rPr>
          <w:color w:val="1F664D"/>
          <w:sz w:val="22"/>
        </w:rPr>
        <w:t>count</w:t>
      </w:r>
      <w:r>
        <w:rPr>
          <w:color w:val="1F664D"/>
          <w:spacing w:val="-2"/>
          <w:sz w:val="22"/>
        </w:rPr>
        <w:t> </w:t>
      </w:r>
      <w:r>
        <w:rPr>
          <w:color w:val="1F664D"/>
          <w:sz w:val="22"/>
        </w:rPr>
        <w:t>Rate</w:t>
      </w:r>
    </w:p>
    <w:p>
      <w:pPr>
        <w:pStyle w:val="BodyText"/>
        <w:spacing w:before="2"/>
        <w:rPr>
          <w:sz w:val="28"/>
        </w:rPr>
      </w:pPr>
    </w:p>
    <w:p>
      <w:pPr>
        <w:pStyle w:val="BodyText"/>
        <w:spacing w:line="321" w:lineRule="auto"/>
        <w:ind w:left="1311" w:right="684"/>
        <w:jc w:val="both"/>
      </w:pPr>
      <w:r>
        <w:rPr/>
        <w:t>For</w:t>
      </w:r>
      <w:r>
        <w:rPr>
          <w:spacing w:val="-7"/>
        </w:rPr>
        <w:t> </w:t>
      </w:r>
      <w:r>
        <w:rPr/>
        <w:t>discounting</w:t>
      </w:r>
      <w:r>
        <w:rPr>
          <w:spacing w:val="-4"/>
        </w:rPr>
        <w:t> </w:t>
      </w:r>
      <w:r>
        <w:rPr/>
        <w:t>the</w:t>
      </w:r>
      <w:r>
        <w:rPr>
          <w:spacing w:val="-7"/>
        </w:rPr>
        <w:t> </w:t>
      </w:r>
      <w:r>
        <w:rPr/>
        <w:t>cash</w:t>
      </w:r>
      <w:r>
        <w:rPr>
          <w:spacing w:val="-7"/>
        </w:rPr>
        <w:t> </w:t>
      </w:r>
      <w:r>
        <w:rPr/>
        <w:t>flows,</w:t>
      </w:r>
      <w:r>
        <w:rPr>
          <w:spacing w:val="-6"/>
        </w:rPr>
        <w:t> </w:t>
      </w:r>
      <w:r>
        <w:rPr/>
        <w:t>the</w:t>
      </w:r>
      <w:r>
        <w:rPr>
          <w:spacing w:val="-6"/>
        </w:rPr>
        <w:t> </w:t>
      </w:r>
      <w:r>
        <w:rPr/>
        <w:t>appropriate</w:t>
      </w:r>
      <w:r>
        <w:rPr>
          <w:spacing w:val="-5"/>
        </w:rPr>
        <w:t> </w:t>
      </w:r>
      <w:r>
        <w:rPr/>
        <w:t>discounting</w:t>
      </w:r>
      <w:r>
        <w:rPr>
          <w:spacing w:val="-5"/>
        </w:rPr>
        <w:t> </w:t>
      </w:r>
      <w:r>
        <w:rPr/>
        <w:t>rate</w:t>
      </w:r>
      <w:r>
        <w:rPr>
          <w:spacing w:val="-5"/>
        </w:rPr>
        <w:t> </w:t>
      </w:r>
      <w:r>
        <w:rPr/>
        <w:t>has</w:t>
      </w:r>
      <w:r>
        <w:rPr>
          <w:spacing w:val="-5"/>
        </w:rPr>
        <w:t> </w:t>
      </w:r>
      <w:r>
        <w:rPr/>
        <w:t>been</w:t>
      </w:r>
      <w:r>
        <w:rPr>
          <w:spacing w:val="-6"/>
        </w:rPr>
        <w:t> </w:t>
      </w:r>
      <w:r>
        <w:rPr/>
        <w:t>calculated</w:t>
      </w:r>
      <w:r>
        <w:rPr>
          <w:spacing w:val="-5"/>
        </w:rPr>
        <w:t> </w:t>
      </w:r>
      <w:r>
        <w:rPr/>
        <w:t>on</w:t>
      </w:r>
      <w:r>
        <w:rPr>
          <w:spacing w:val="-6"/>
        </w:rPr>
        <w:t> </w:t>
      </w:r>
      <w:r>
        <w:rPr/>
        <w:t>the</w:t>
      </w:r>
      <w:r>
        <w:rPr>
          <w:spacing w:val="-5"/>
        </w:rPr>
        <w:t> </w:t>
      </w:r>
      <w:r>
        <w:rPr/>
        <w:t>basis</w:t>
      </w:r>
      <w:r>
        <w:rPr>
          <w:spacing w:val="-7"/>
        </w:rPr>
        <w:t> </w:t>
      </w:r>
      <w:r>
        <w:rPr/>
        <w:t>of estimated cost of</w:t>
      </w:r>
      <w:r>
        <w:rPr>
          <w:spacing w:val="-10"/>
        </w:rPr>
        <w:t> </w:t>
      </w:r>
      <w:r>
        <w:rPr/>
        <w:t>equity.</w:t>
      </w:r>
    </w:p>
    <w:p>
      <w:pPr>
        <w:pStyle w:val="BodyText"/>
        <w:spacing w:before="10"/>
        <w:rPr>
          <w:sz w:val="20"/>
        </w:rPr>
      </w:pPr>
    </w:p>
    <w:p>
      <w:pPr>
        <w:pStyle w:val="BodyText"/>
        <w:spacing w:line="321" w:lineRule="auto"/>
        <w:ind w:left="1242" w:right="673"/>
        <w:jc w:val="both"/>
      </w:pPr>
      <w:r>
        <w:rPr/>
        <w:t>The</w:t>
      </w:r>
      <w:r>
        <w:rPr>
          <w:spacing w:val="-35"/>
        </w:rPr>
        <w:t> </w:t>
      </w:r>
      <w:r>
        <w:rPr/>
        <w:t>cost</w:t>
      </w:r>
      <w:r>
        <w:rPr>
          <w:spacing w:val="-33"/>
        </w:rPr>
        <w:t> </w:t>
      </w:r>
      <w:r>
        <w:rPr/>
        <w:t>of</w:t>
      </w:r>
      <w:r>
        <w:rPr>
          <w:spacing w:val="-33"/>
        </w:rPr>
        <w:t> </w:t>
      </w:r>
      <w:r>
        <w:rPr/>
        <w:t>equity</w:t>
      </w:r>
      <w:r>
        <w:rPr>
          <w:spacing w:val="-33"/>
        </w:rPr>
        <w:t> </w:t>
      </w:r>
      <w:r>
        <w:rPr/>
        <w:t>has</w:t>
      </w:r>
      <w:r>
        <w:rPr>
          <w:spacing w:val="-34"/>
        </w:rPr>
        <w:t> </w:t>
      </w:r>
      <w:r>
        <w:rPr/>
        <w:t>been</w:t>
      </w:r>
      <w:r>
        <w:rPr>
          <w:spacing w:val="-34"/>
        </w:rPr>
        <w:t> </w:t>
      </w:r>
      <w:r>
        <w:rPr/>
        <w:t>adopted</w:t>
      </w:r>
      <w:r>
        <w:rPr>
          <w:spacing w:val="-35"/>
        </w:rPr>
        <w:t> </w:t>
      </w:r>
      <w:r>
        <w:rPr/>
        <w:t>based</w:t>
      </w:r>
      <w:r>
        <w:rPr>
          <w:spacing w:val="-33"/>
        </w:rPr>
        <w:t> </w:t>
      </w:r>
      <w:r>
        <w:rPr/>
        <w:t>on</w:t>
      </w:r>
      <w:r>
        <w:rPr>
          <w:spacing w:val="-35"/>
        </w:rPr>
        <w:t> </w:t>
      </w:r>
      <w:r>
        <w:rPr/>
        <w:t>an</w:t>
      </w:r>
      <w:r>
        <w:rPr>
          <w:spacing w:val="-34"/>
        </w:rPr>
        <w:t> </w:t>
      </w:r>
      <w:r>
        <w:rPr/>
        <w:t>analysis</w:t>
      </w:r>
      <w:r>
        <w:rPr>
          <w:spacing w:val="-34"/>
        </w:rPr>
        <w:t> </w:t>
      </w:r>
      <w:r>
        <w:rPr/>
        <w:t>of</w:t>
      </w:r>
      <w:r>
        <w:rPr>
          <w:spacing w:val="-33"/>
        </w:rPr>
        <w:t> </w:t>
      </w:r>
      <w:r>
        <w:rPr/>
        <w:t>the</w:t>
      </w:r>
      <w:r>
        <w:rPr>
          <w:spacing w:val="-35"/>
        </w:rPr>
        <w:t> </w:t>
      </w:r>
      <w:r>
        <w:rPr/>
        <w:t>returns</w:t>
      </w:r>
      <w:r>
        <w:rPr>
          <w:spacing w:val="-33"/>
        </w:rPr>
        <w:t> </w:t>
      </w:r>
      <w:r>
        <w:rPr/>
        <w:t>of</w:t>
      </w:r>
      <w:r>
        <w:rPr>
          <w:spacing w:val="-33"/>
        </w:rPr>
        <w:t> </w:t>
      </w:r>
      <w:r>
        <w:rPr/>
        <w:t>listed</w:t>
      </w:r>
      <w:r>
        <w:rPr>
          <w:spacing w:val="-34"/>
        </w:rPr>
        <w:t> </w:t>
      </w:r>
      <w:r>
        <w:rPr/>
        <w:t>power</w:t>
      </w:r>
      <w:r>
        <w:rPr>
          <w:spacing w:val="-34"/>
        </w:rPr>
        <w:t> </w:t>
      </w:r>
      <w:r>
        <w:rPr/>
        <w:t>index/</w:t>
      </w:r>
      <w:r>
        <w:rPr>
          <w:spacing w:val="-34"/>
        </w:rPr>
        <w:t> </w:t>
      </w:r>
      <w:r>
        <w:rPr/>
        <w:t>key</w:t>
      </w:r>
      <w:r>
        <w:rPr>
          <w:spacing w:val="-33"/>
        </w:rPr>
        <w:t> </w:t>
      </w:r>
      <w:r>
        <w:rPr/>
        <w:t>energy stocks in India and adjusting the same for asset and market specific attributes such as status of development</w:t>
      </w:r>
      <w:r>
        <w:rPr>
          <w:spacing w:val="-7"/>
        </w:rPr>
        <w:t> </w:t>
      </w:r>
      <w:r>
        <w:rPr/>
        <w:t>(execution</w:t>
      </w:r>
      <w:r>
        <w:rPr>
          <w:spacing w:val="-7"/>
        </w:rPr>
        <w:t> </w:t>
      </w:r>
      <w:r>
        <w:rPr/>
        <w:t>risk),</w:t>
      </w:r>
      <w:r>
        <w:rPr>
          <w:spacing w:val="-6"/>
        </w:rPr>
        <w:t> </w:t>
      </w:r>
      <w:r>
        <w:rPr/>
        <w:t>approval</w:t>
      </w:r>
      <w:r>
        <w:rPr>
          <w:spacing w:val="-7"/>
        </w:rPr>
        <w:t> </w:t>
      </w:r>
      <w:r>
        <w:rPr/>
        <w:t>risk,</w:t>
      </w:r>
      <w:r>
        <w:rPr>
          <w:spacing w:val="-6"/>
        </w:rPr>
        <w:t> </w:t>
      </w:r>
      <w:r>
        <w:rPr/>
        <w:t>marketing</w:t>
      </w:r>
      <w:r>
        <w:rPr>
          <w:spacing w:val="-6"/>
        </w:rPr>
        <w:t> </w:t>
      </w:r>
      <w:r>
        <w:rPr/>
        <w:t>risk,</w:t>
      </w:r>
      <w:r>
        <w:rPr>
          <w:spacing w:val="-6"/>
        </w:rPr>
        <w:t> </w:t>
      </w:r>
      <w:r>
        <w:rPr/>
        <w:t>etc.</w:t>
      </w:r>
      <w:r>
        <w:rPr>
          <w:spacing w:val="-7"/>
        </w:rPr>
        <w:t> </w:t>
      </w:r>
      <w:r>
        <w:rPr/>
        <w:t>The</w:t>
      </w:r>
      <w:r>
        <w:rPr>
          <w:spacing w:val="-7"/>
        </w:rPr>
        <w:t> </w:t>
      </w:r>
      <w:r>
        <w:rPr/>
        <w:t>cost</w:t>
      </w:r>
      <w:r>
        <w:rPr>
          <w:spacing w:val="-5"/>
        </w:rPr>
        <w:t> </w:t>
      </w:r>
      <w:r>
        <w:rPr/>
        <w:t>of</w:t>
      </w:r>
      <w:r>
        <w:rPr>
          <w:spacing w:val="-6"/>
        </w:rPr>
        <w:t> </w:t>
      </w:r>
      <w:r>
        <w:rPr/>
        <w:t>equity</w:t>
      </w:r>
      <w:r>
        <w:rPr>
          <w:spacing w:val="-5"/>
        </w:rPr>
        <w:t> </w:t>
      </w:r>
      <w:r>
        <w:rPr/>
        <w:t>has</w:t>
      </w:r>
      <w:r>
        <w:rPr>
          <w:spacing w:val="-6"/>
        </w:rPr>
        <w:t> </w:t>
      </w:r>
      <w:r>
        <w:rPr/>
        <w:t>been</w:t>
      </w:r>
      <w:r>
        <w:rPr>
          <w:spacing w:val="-6"/>
        </w:rPr>
        <w:t> </w:t>
      </w:r>
      <w:r>
        <w:rPr/>
        <w:t>further ratified</w:t>
      </w:r>
      <w:r>
        <w:rPr>
          <w:spacing w:val="-25"/>
        </w:rPr>
        <w:t> </w:t>
      </w:r>
      <w:r>
        <w:rPr/>
        <w:t>from</w:t>
      </w:r>
      <w:r>
        <w:rPr>
          <w:spacing w:val="-26"/>
        </w:rPr>
        <w:t> </w:t>
      </w:r>
      <w:r>
        <w:rPr/>
        <w:t>various</w:t>
      </w:r>
      <w:r>
        <w:rPr>
          <w:spacing w:val="-25"/>
        </w:rPr>
        <w:t> </w:t>
      </w:r>
      <w:r>
        <w:rPr/>
        <w:t>research</w:t>
      </w:r>
      <w:r>
        <w:rPr>
          <w:spacing w:val="-26"/>
        </w:rPr>
        <w:t> </w:t>
      </w:r>
      <w:r>
        <w:rPr/>
        <w:t>papers</w:t>
      </w:r>
      <w:r>
        <w:rPr>
          <w:spacing w:val="-25"/>
        </w:rPr>
        <w:t> </w:t>
      </w:r>
      <w:r>
        <w:rPr/>
        <w:t>and</w:t>
      </w:r>
      <w:r>
        <w:rPr>
          <w:spacing w:val="-25"/>
        </w:rPr>
        <w:t> </w:t>
      </w:r>
      <w:r>
        <w:rPr/>
        <w:t>industry</w:t>
      </w:r>
      <w:r>
        <w:rPr>
          <w:spacing w:val="-26"/>
        </w:rPr>
        <w:t> </w:t>
      </w:r>
      <w:r>
        <w:rPr/>
        <w:t>reports,</w:t>
      </w:r>
      <w:r>
        <w:rPr>
          <w:spacing w:val="-27"/>
        </w:rPr>
        <w:t> </w:t>
      </w:r>
      <w:r>
        <w:rPr/>
        <w:t>which</w:t>
      </w:r>
      <w:r>
        <w:rPr>
          <w:spacing w:val="-26"/>
        </w:rPr>
        <w:t> </w:t>
      </w:r>
      <w:r>
        <w:rPr/>
        <w:t>highlight</w:t>
      </w:r>
      <w:r>
        <w:rPr>
          <w:spacing w:val="-28"/>
        </w:rPr>
        <w:t> </w:t>
      </w:r>
      <w:r>
        <w:rPr/>
        <w:t>the</w:t>
      </w:r>
      <w:r>
        <w:rPr>
          <w:spacing w:val="-22"/>
        </w:rPr>
        <w:t> </w:t>
      </w:r>
      <w:r>
        <w:rPr/>
        <w:t>market</w:t>
      </w:r>
      <w:r>
        <w:rPr>
          <w:spacing w:val="-25"/>
        </w:rPr>
        <w:t> </w:t>
      </w:r>
      <w:r>
        <w:rPr/>
        <w:t>expectations</w:t>
      </w:r>
      <w:r>
        <w:rPr>
          <w:spacing w:val="-25"/>
        </w:rPr>
        <w:t> </w:t>
      </w:r>
      <w:r>
        <w:rPr/>
        <w:t>for required rate of return on equity from Renewable Energy (RE) power projects in India. Based on our analysis,</w:t>
      </w:r>
      <w:r>
        <w:rPr>
          <w:spacing w:val="-6"/>
        </w:rPr>
        <w:t> </w:t>
      </w:r>
      <w:r>
        <w:rPr/>
        <w:t>it</w:t>
      </w:r>
      <w:r>
        <w:rPr>
          <w:spacing w:val="-6"/>
        </w:rPr>
        <w:t> </w:t>
      </w:r>
      <w:r>
        <w:rPr/>
        <w:t>was</w:t>
      </w:r>
      <w:r>
        <w:rPr>
          <w:spacing w:val="-5"/>
        </w:rPr>
        <w:t> </w:t>
      </w:r>
      <w:r>
        <w:rPr/>
        <w:t>observed</w:t>
      </w:r>
      <w:r>
        <w:rPr>
          <w:spacing w:val="-4"/>
        </w:rPr>
        <w:t> </w:t>
      </w:r>
      <w:r>
        <w:rPr/>
        <w:t>that</w:t>
      </w:r>
      <w:r>
        <w:rPr>
          <w:spacing w:val="-4"/>
        </w:rPr>
        <w:t> </w:t>
      </w:r>
      <w:r>
        <w:rPr/>
        <w:t>the</w:t>
      </w:r>
      <w:r>
        <w:rPr>
          <w:spacing w:val="-6"/>
        </w:rPr>
        <w:t> </w:t>
      </w:r>
      <w:r>
        <w:rPr/>
        <w:t>cost</w:t>
      </w:r>
      <w:r>
        <w:rPr>
          <w:spacing w:val="-6"/>
        </w:rPr>
        <w:t> </w:t>
      </w:r>
      <w:r>
        <w:rPr/>
        <w:t>of</w:t>
      </w:r>
      <w:r>
        <w:rPr>
          <w:spacing w:val="-3"/>
        </w:rPr>
        <w:t> </w:t>
      </w:r>
      <w:r>
        <w:rPr/>
        <w:t>equity</w:t>
      </w:r>
      <w:r>
        <w:rPr>
          <w:spacing w:val="-4"/>
        </w:rPr>
        <w:t> </w:t>
      </w:r>
      <w:r>
        <w:rPr/>
        <w:t>for</w:t>
      </w:r>
      <w:r>
        <w:rPr>
          <w:spacing w:val="-4"/>
        </w:rPr>
        <w:t> </w:t>
      </w:r>
      <w:r>
        <w:rPr/>
        <w:t>solar</w:t>
      </w:r>
      <w:r>
        <w:rPr>
          <w:spacing w:val="-4"/>
        </w:rPr>
        <w:t> </w:t>
      </w:r>
      <w:r>
        <w:rPr/>
        <w:t>power</w:t>
      </w:r>
      <w:r>
        <w:rPr>
          <w:spacing w:val="-4"/>
        </w:rPr>
        <w:t> </w:t>
      </w:r>
      <w:r>
        <w:rPr/>
        <w:t>projects</w:t>
      </w:r>
      <w:r>
        <w:rPr>
          <w:spacing w:val="-6"/>
        </w:rPr>
        <w:t> </w:t>
      </w:r>
      <w:r>
        <w:rPr/>
        <w:t>would</w:t>
      </w:r>
      <w:r>
        <w:rPr>
          <w:spacing w:val="-4"/>
        </w:rPr>
        <w:t> </w:t>
      </w:r>
      <w:r>
        <w:rPr/>
        <w:t>range</w:t>
      </w:r>
      <w:r>
        <w:rPr>
          <w:spacing w:val="-6"/>
        </w:rPr>
        <w:t> </w:t>
      </w:r>
      <w:r>
        <w:rPr/>
        <w:t>between</w:t>
      </w:r>
      <w:r>
        <w:rPr>
          <w:spacing w:val="-4"/>
        </w:rPr>
        <w:t> </w:t>
      </w:r>
      <w:r>
        <w:rPr/>
        <w:t>14%</w:t>
      </w:r>
      <w:r>
        <w:rPr>
          <w:spacing w:val="3"/>
        </w:rPr>
        <w:t> </w:t>
      </w:r>
      <w:r>
        <w:rPr/>
        <w:t>- 16%. However, in our opinion, the cost of equity for EEPL would be lower, considering the following factors:</w:t>
      </w:r>
    </w:p>
    <w:p>
      <w:pPr>
        <w:pStyle w:val="ListParagraph"/>
        <w:numPr>
          <w:ilvl w:val="3"/>
          <w:numId w:val="93"/>
        </w:numPr>
        <w:tabs>
          <w:tab w:pos="1941" w:val="left" w:leader="none"/>
        </w:tabs>
        <w:spacing w:line="321" w:lineRule="auto" w:before="126" w:after="0"/>
        <w:ind w:left="1940" w:right="673" w:hanging="360"/>
        <w:jc w:val="both"/>
        <w:rPr>
          <w:sz w:val="22"/>
        </w:rPr>
      </w:pPr>
      <w:r>
        <w:rPr>
          <w:sz w:val="22"/>
        </w:rPr>
        <w:t>Low development and execution risk considering the current arrangement between EEPL and IL&amp;FS</w:t>
      </w:r>
      <w:r>
        <w:rPr>
          <w:spacing w:val="-38"/>
          <w:sz w:val="22"/>
        </w:rPr>
        <w:t> </w:t>
      </w:r>
      <w:r>
        <w:rPr>
          <w:sz w:val="22"/>
        </w:rPr>
        <w:t>(as</w:t>
      </w:r>
      <w:r>
        <w:rPr>
          <w:spacing w:val="-37"/>
          <w:sz w:val="22"/>
        </w:rPr>
        <w:t> </w:t>
      </w:r>
      <w:r>
        <w:rPr>
          <w:sz w:val="22"/>
        </w:rPr>
        <w:t>highlighted</w:t>
      </w:r>
      <w:r>
        <w:rPr>
          <w:spacing w:val="-36"/>
          <w:sz w:val="22"/>
        </w:rPr>
        <w:t> </w:t>
      </w:r>
      <w:r>
        <w:rPr>
          <w:sz w:val="22"/>
        </w:rPr>
        <w:t>earlier),</w:t>
      </w:r>
      <w:r>
        <w:rPr>
          <w:spacing w:val="-38"/>
          <w:sz w:val="22"/>
        </w:rPr>
        <w:t> </w:t>
      </w:r>
      <w:r>
        <w:rPr>
          <w:sz w:val="22"/>
        </w:rPr>
        <w:t>wherein</w:t>
      </w:r>
      <w:r>
        <w:rPr>
          <w:spacing w:val="-37"/>
          <w:sz w:val="22"/>
        </w:rPr>
        <w:t> </w:t>
      </w:r>
      <w:r>
        <w:rPr>
          <w:sz w:val="22"/>
        </w:rPr>
        <w:t>IL&amp;FS</w:t>
      </w:r>
      <w:r>
        <w:rPr>
          <w:spacing w:val="-36"/>
          <w:sz w:val="22"/>
        </w:rPr>
        <w:t> </w:t>
      </w:r>
      <w:r>
        <w:rPr>
          <w:sz w:val="22"/>
        </w:rPr>
        <w:t>has</w:t>
      </w:r>
      <w:r>
        <w:rPr>
          <w:spacing w:val="-37"/>
          <w:sz w:val="22"/>
        </w:rPr>
        <w:t> </w:t>
      </w:r>
      <w:r>
        <w:rPr>
          <w:sz w:val="22"/>
        </w:rPr>
        <w:t>undertaken</w:t>
      </w:r>
      <w:r>
        <w:rPr>
          <w:spacing w:val="-37"/>
          <w:sz w:val="22"/>
        </w:rPr>
        <w:t> </w:t>
      </w:r>
      <w:r>
        <w:rPr>
          <w:sz w:val="22"/>
        </w:rPr>
        <w:t>the</w:t>
      </w:r>
      <w:r>
        <w:rPr>
          <w:spacing w:val="-38"/>
          <w:sz w:val="22"/>
        </w:rPr>
        <w:t> </w:t>
      </w:r>
      <w:r>
        <w:rPr>
          <w:sz w:val="22"/>
        </w:rPr>
        <w:t>entire</w:t>
      </w:r>
      <w:r>
        <w:rPr>
          <w:spacing w:val="-37"/>
          <w:sz w:val="22"/>
        </w:rPr>
        <w:t> </w:t>
      </w:r>
      <w:r>
        <w:rPr>
          <w:sz w:val="22"/>
        </w:rPr>
        <w:t>development</w:t>
      </w:r>
      <w:r>
        <w:rPr>
          <w:spacing w:val="-37"/>
          <w:sz w:val="22"/>
        </w:rPr>
        <w:t> </w:t>
      </w:r>
      <w:r>
        <w:rPr>
          <w:sz w:val="22"/>
        </w:rPr>
        <w:t>process</w:t>
      </w:r>
      <w:r>
        <w:rPr>
          <w:spacing w:val="-37"/>
          <w:sz w:val="22"/>
        </w:rPr>
        <w:t> </w:t>
      </w:r>
      <w:r>
        <w:rPr>
          <w:sz w:val="22"/>
        </w:rPr>
        <w:t>and is</w:t>
      </w:r>
      <w:r>
        <w:rPr>
          <w:spacing w:val="-17"/>
          <w:sz w:val="22"/>
        </w:rPr>
        <w:t> </w:t>
      </w:r>
      <w:r>
        <w:rPr>
          <w:sz w:val="22"/>
        </w:rPr>
        <w:t>also</w:t>
      </w:r>
      <w:r>
        <w:rPr>
          <w:spacing w:val="-17"/>
          <w:sz w:val="22"/>
        </w:rPr>
        <w:t> </w:t>
      </w:r>
      <w:r>
        <w:rPr>
          <w:sz w:val="22"/>
        </w:rPr>
        <w:t>responsible</w:t>
      </w:r>
      <w:r>
        <w:rPr>
          <w:spacing w:val="-19"/>
          <w:sz w:val="22"/>
        </w:rPr>
        <w:t> </w:t>
      </w:r>
      <w:r>
        <w:rPr>
          <w:sz w:val="22"/>
        </w:rPr>
        <w:t>for</w:t>
      </w:r>
      <w:r>
        <w:rPr>
          <w:spacing w:val="-17"/>
          <w:sz w:val="22"/>
        </w:rPr>
        <w:t> </w:t>
      </w:r>
      <w:r>
        <w:rPr>
          <w:sz w:val="22"/>
        </w:rPr>
        <w:t>operation,</w:t>
      </w:r>
      <w:r>
        <w:rPr>
          <w:spacing w:val="-16"/>
          <w:sz w:val="22"/>
        </w:rPr>
        <w:t> </w:t>
      </w:r>
      <w:r>
        <w:rPr>
          <w:sz w:val="22"/>
        </w:rPr>
        <w:t>maintenance</w:t>
      </w:r>
      <w:r>
        <w:rPr>
          <w:spacing w:val="-17"/>
          <w:sz w:val="22"/>
        </w:rPr>
        <w:t> </w:t>
      </w:r>
      <w:r>
        <w:rPr>
          <w:sz w:val="22"/>
        </w:rPr>
        <w:t>and</w:t>
      </w:r>
      <w:r>
        <w:rPr>
          <w:spacing w:val="-17"/>
          <w:sz w:val="22"/>
        </w:rPr>
        <w:t> </w:t>
      </w:r>
      <w:r>
        <w:rPr>
          <w:sz w:val="22"/>
        </w:rPr>
        <w:t>repair</w:t>
      </w:r>
      <w:r>
        <w:rPr>
          <w:spacing w:val="-17"/>
          <w:sz w:val="22"/>
        </w:rPr>
        <w:t> </w:t>
      </w:r>
      <w:r>
        <w:rPr>
          <w:sz w:val="22"/>
        </w:rPr>
        <w:t>of</w:t>
      </w:r>
      <w:r>
        <w:rPr>
          <w:spacing w:val="-18"/>
          <w:sz w:val="22"/>
        </w:rPr>
        <w:t> </w:t>
      </w:r>
      <w:r>
        <w:rPr>
          <w:sz w:val="22"/>
        </w:rPr>
        <w:t>the</w:t>
      </w:r>
      <w:r>
        <w:rPr>
          <w:spacing w:val="-19"/>
          <w:sz w:val="22"/>
        </w:rPr>
        <w:t> </w:t>
      </w:r>
      <w:r>
        <w:rPr>
          <w:sz w:val="22"/>
        </w:rPr>
        <w:t>facility</w:t>
      </w:r>
      <w:r>
        <w:rPr>
          <w:spacing w:val="-18"/>
          <w:sz w:val="22"/>
        </w:rPr>
        <w:t> </w:t>
      </w:r>
      <w:r>
        <w:rPr>
          <w:sz w:val="22"/>
        </w:rPr>
        <w:t>for</w:t>
      </w:r>
      <w:r>
        <w:rPr>
          <w:spacing w:val="-17"/>
          <w:sz w:val="22"/>
        </w:rPr>
        <w:t> </w:t>
      </w:r>
      <w:r>
        <w:rPr>
          <w:sz w:val="22"/>
        </w:rPr>
        <w:t>a</w:t>
      </w:r>
      <w:r>
        <w:rPr>
          <w:spacing w:val="-16"/>
          <w:sz w:val="22"/>
        </w:rPr>
        <w:t> </w:t>
      </w:r>
      <w:r>
        <w:rPr>
          <w:sz w:val="22"/>
        </w:rPr>
        <w:t>period</w:t>
      </w:r>
      <w:r>
        <w:rPr>
          <w:spacing w:val="-17"/>
          <w:sz w:val="22"/>
        </w:rPr>
        <w:t> </w:t>
      </w:r>
      <w:r>
        <w:rPr>
          <w:sz w:val="22"/>
        </w:rPr>
        <w:t>of</w:t>
      </w:r>
      <w:r>
        <w:rPr>
          <w:spacing w:val="-16"/>
          <w:sz w:val="22"/>
        </w:rPr>
        <w:t> </w:t>
      </w:r>
      <w:r>
        <w:rPr>
          <w:sz w:val="22"/>
        </w:rPr>
        <w:t>15</w:t>
      </w:r>
      <w:r>
        <w:rPr>
          <w:spacing w:val="-18"/>
          <w:sz w:val="22"/>
        </w:rPr>
        <w:t> </w:t>
      </w:r>
      <w:r>
        <w:rPr>
          <w:sz w:val="22"/>
        </w:rPr>
        <w:t>years from</w:t>
      </w:r>
      <w:r>
        <w:rPr>
          <w:spacing w:val="-2"/>
          <w:sz w:val="22"/>
        </w:rPr>
        <w:t> </w:t>
      </w:r>
      <w:r>
        <w:rPr>
          <w:sz w:val="22"/>
        </w:rPr>
        <w:t>COD</w:t>
      </w:r>
    </w:p>
    <w:p>
      <w:pPr>
        <w:pStyle w:val="ListParagraph"/>
        <w:numPr>
          <w:ilvl w:val="3"/>
          <w:numId w:val="93"/>
        </w:numPr>
        <w:tabs>
          <w:tab w:pos="1941" w:val="left" w:leader="none"/>
        </w:tabs>
        <w:spacing w:line="321" w:lineRule="auto" w:before="121" w:after="0"/>
        <w:ind w:left="1940" w:right="676" w:hanging="360"/>
        <w:jc w:val="both"/>
        <w:rPr>
          <w:sz w:val="22"/>
        </w:rPr>
      </w:pPr>
      <w:r>
        <w:rPr>
          <w:sz w:val="22"/>
        </w:rPr>
        <w:t>Low</w:t>
      </w:r>
      <w:r>
        <w:rPr>
          <w:spacing w:val="-33"/>
          <w:sz w:val="22"/>
        </w:rPr>
        <w:t> </w:t>
      </w:r>
      <w:r>
        <w:rPr>
          <w:sz w:val="22"/>
        </w:rPr>
        <w:t>marketing</w:t>
      </w:r>
      <w:r>
        <w:rPr>
          <w:spacing w:val="-34"/>
          <w:sz w:val="22"/>
        </w:rPr>
        <w:t> </w:t>
      </w:r>
      <w:r>
        <w:rPr>
          <w:sz w:val="22"/>
        </w:rPr>
        <w:t>risk</w:t>
      </w:r>
      <w:r>
        <w:rPr>
          <w:spacing w:val="-33"/>
          <w:sz w:val="22"/>
        </w:rPr>
        <w:t> </w:t>
      </w:r>
      <w:r>
        <w:rPr>
          <w:sz w:val="22"/>
        </w:rPr>
        <w:t>since</w:t>
      </w:r>
      <w:r>
        <w:rPr>
          <w:spacing w:val="-35"/>
          <w:sz w:val="22"/>
        </w:rPr>
        <w:t> </w:t>
      </w:r>
      <w:r>
        <w:rPr>
          <w:sz w:val="22"/>
        </w:rPr>
        <w:t>the</w:t>
      </w:r>
      <w:r>
        <w:rPr>
          <w:spacing w:val="-33"/>
          <w:sz w:val="22"/>
        </w:rPr>
        <w:t> </w:t>
      </w:r>
      <w:r>
        <w:rPr>
          <w:sz w:val="22"/>
        </w:rPr>
        <w:t>solar</w:t>
      </w:r>
      <w:r>
        <w:rPr>
          <w:spacing w:val="-33"/>
          <w:sz w:val="22"/>
        </w:rPr>
        <w:t> </w:t>
      </w:r>
      <w:r>
        <w:rPr>
          <w:sz w:val="22"/>
        </w:rPr>
        <w:t>plant</w:t>
      </w:r>
      <w:r>
        <w:rPr>
          <w:spacing w:val="-35"/>
          <w:sz w:val="22"/>
        </w:rPr>
        <w:t> </w:t>
      </w:r>
      <w:r>
        <w:rPr>
          <w:sz w:val="22"/>
        </w:rPr>
        <w:t>supplies</w:t>
      </w:r>
      <w:r>
        <w:rPr>
          <w:spacing w:val="-32"/>
          <w:sz w:val="22"/>
        </w:rPr>
        <w:t> </w:t>
      </w:r>
      <w:r>
        <w:rPr>
          <w:sz w:val="22"/>
        </w:rPr>
        <w:t>electricity</w:t>
      </w:r>
      <w:r>
        <w:rPr>
          <w:spacing w:val="-32"/>
          <w:sz w:val="22"/>
        </w:rPr>
        <w:t> </w:t>
      </w:r>
      <w:r>
        <w:rPr>
          <w:sz w:val="22"/>
        </w:rPr>
        <w:t>to</w:t>
      </w:r>
      <w:r>
        <w:rPr>
          <w:spacing w:val="-34"/>
          <w:sz w:val="22"/>
        </w:rPr>
        <w:t> </w:t>
      </w:r>
      <w:r>
        <w:rPr>
          <w:sz w:val="22"/>
        </w:rPr>
        <w:t>the</w:t>
      </w:r>
      <w:r>
        <w:rPr>
          <w:spacing w:val="-33"/>
          <w:sz w:val="22"/>
        </w:rPr>
        <w:t> </w:t>
      </w:r>
      <w:r>
        <w:rPr>
          <w:sz w:val="22"/>
        </w:rPr>
        <w:t>existing</w:t>
      </w:r>
      <w:r>
        <w:rPr>
          <w:spacing w:val="-32"/>
          <w:sz w:val="22"/>
        </w:rPr>
        <w:t> </w:t>
      </w:r>
      <w:r>
        <w:rPr>
          <w:sz w:val="22"/>
        </w:rPr>
        <w:t>office</w:t>
      </w:r>
      <w:r>
        <w:rPr>
          <w:spacing w:val="-34"/>
          <w:sz w:val="22"/>
        </w:rPr>
        <w:t> </w:t>
      </w:r>
      <w:r>
        <w:rPr>
          <w:sz w:val="22"/>
        </w:rPr>
        <w:t>parks</w:t>
      </w:r>
      <w:r>
        <w:rPr>
          <w:spacing w:val="-33"/>
          <w:sz w:val="22"/>
        </w:rPr>
        <w:t> </w:t>
      </w:r>
      <w:r>
        <w:rPr>
          <w:sz w:val="22"/>
        </w:rPr>
        <w:t>/</w:t>
      </w:r>
      <w:r>
        <w:rPr>
          <w:spacing w:val="-33"/>
          <w:sz w:val="22"/>
        </w:rPr>
        <w:t> </w:t>
      </w:r>
      <w:r>
        <w:rPr>
          <w:sz w:val="22"/>
        </w:rPr>
        <w:t>hotels</w:t>
      </w:r>
      <w:r>
        <w:rPr>
          <w:spacing w:val="-33"/>
          <w:sz w:val="22"/>
        </w:rPr>
        <w:t> </w:t>
      </w:r>
      <w:r>
        <w:rPr>
          <w:sz w:val="22"/>
        </w:rPr>
        <w:t>of Embassy</w:t>
      </w:r>
      <w:r>
        <w:rPr>
          <w:spacing w:val="-25"/>
          <w:sz w:val="22"/>
        </w:rPr>
        <w:t> </w:t>
      </w:r>
      <w:r>
        <w:rPr>
          <w:sz w:val="22"/>
        </w:rPr>
        <w:t>in</w:t>
      </w:r>
      <w:r>
        <w:rPr>
          <w:spacing w:val="-26"/>
          <w:sz w:val="22"/>
        </w:rPr>
        <w:t> </w:t>
      </w:r>
      <w:r>
        <w:rPr>
          <w:sz w:val="22"/>
        </w:rPr>
        <w:t>Bengaluru,</w:t>
      </w:r>
      <w:r>
        <w:rPr>
          <w:spacing w:val="-26"/>
          <w:sz w:val="22"/>
        </w:rPr>
        <w:t> </w:t>
      </w:r>
      <w:r>
        <w:rPr>
          <w:sz w:val="22"/>
        </w:rPr>
        <w:t>and</w:t>
      </w:r>
      <w:r>
        <w:rPr>
          <w:spacing w:val="-25"/>
          <w:sz w:val="22"/>
        </w:rPr>
        <w:t> </w:t>
      </w:r>
      <w:r>
        <w:rPr>
          <w:sz w:val="22"/>
        </w:rPr>
        <w:t>PPAs</w:t>
      </w:r>
      <w:r>
        <w:rPr>
          <w:spacing w:val="-27"/>
          <w:sz w:val="22"/>
        </w:rPr>
        <w:t> </w:t>
      </w:r>
      <w:r>
        <w:rPr>
          <w:sz w:val="22"/>
        </w:rPr>
        <w:t>(with</w:t>
      </w:r>
      <w:r>
        <w:rPr>
          <w:spacing w:val="-25"/>
          <w:sz w:val="22"/>
        </w:rPr>
        <w:t> </w:t>
      </w:r>
      <w:r>
        <w:rPr>
          <w:sz w:val="22"/>
        </w:rPr>
        <w:t>minimum</w:t>
      </w:r>
      <w:r>
        <w:rPr>
          <w:spacing w:val="-27"/>
          <w:sz w:val="22"/>
        </w:rPr>
        <w:t> </w:t>
      </w:r>
      <w:r>
        <w:rPr>
          <w:sz w:val="22"/>
        </w:rPr>
        <w:t>guaranteed</w:t>
      </w:r>
      <w:r>
        <w:rPr>
          <w:spacing w:val="-25"/>
          <w:sz w:val="22"/>
        </w:rPr>
        <w:t> </w:t>
      </w:r>
      <w:r>
        <w:rPr>
          <w:sz w:val="22"/>
        </w:rPr>
        <w:t>offtake</w:t>
      </w:r>
      <w:r>
        <w:rPr>
          <w:spacing w:val="-26"/>
          <w:sz w:val="22"/>
        </w:rPr>
        <w:t> </w:t>
      </w:r>
      <w:r>
        <w:rPr>
          <w:sz w:val="22"/>
        </w:rPr>
        <w:t>set</w:t>
      </w:r>
      <w:r>
        <w:rPr>
          <w:spacing w:val="-25"/>
          <w:sz w:val="22"/>
        </w:rPr>
        <w:t> </w:t>
      </w:r>
      <w:r>
        <w:rPr>
          <w:sz w:val="22"/>
        </w:rPr>
        <w:t>at</w:t>
      </w:r>
      <w:r>
        <w:rPr>
          <w:spacing w:val="-25"/>
          <w:sz w:val="22"/>
        </w:rPr>
        <w:t> </w:t>
      </w:r>
      <w:r>
        <w:rPr>
          <w:sz w:val="22"/>
        </w:rPr>
        <w:t>85%</w:t>
      </w:r>
      <w:r>
        <w:rPr>
          <w:spacing w:val="-26"/>
          <w:sz w:val="22"/>
        </w:rPr>
        <w:t> </w:t>
      </w:r>
      <w:r>
        <w:rPr>
          <w:sz w:val="22"/>
        </w:rPr>
        <w:t>of</w:t>
      </w:r>
      <w:r>
        <w:rPr>
          <w:spacing w:val="-25"/>
          <w:sz w:val="22"/>
        </w:rPr>
        <w:t> </w:t>
      </w:r>
      <w:r>
        <w:rPr>
          <w:sz w:val="22"/>
        </w:rPr>
        <w:t>the</w:t>
      </w:r>
      <w:r>
        <w:rPr>
          <w:spacing w:val="-26"/>
          <w:sz w:val="22"/>
        </w:rPr>
        <w:t> </w:t>
      </w:r>
      <w:r>
        <w:rPr>
          <w:sz w:val="22"/>
        </w:rPr>
        <w:t>contracted quantity)</w:t>
      </w:r>
      <w:r>
        <w:rPr>
          <w:spacing w:val="-5"/>
          <w:sz w:val="22"/>
        </w:rPr>
        <w:t> </w:t>
      </w:r>
      <w:r>
        <w:rPr>
          <w:sz w:val="22"/>
        </w:rPr>
        <w:t>have</w:t>
      </w:r>
      <w:r>
        <w:rPr>
          <w:spacing w:val="-6"/>
          <w:sz w:val="22"/>
        </w:rPr>
        <w:t> </w:t>
      </w:r>
      <w:r>
        <w:rPr>
          <w:sz w:val="22"/>
        </w:rPr>
        <w:t>already</w:t>
      </w:r>
      <w:r>
        <w:rPr>
          <w:spacing w:val="-4"/>
          <w:sz w:val="22"/>
        </w:rPr>
        <w:t> </w:t>
      </w:r>
      <w:r>
        <w:rPr>
          <w:sz w:val="22"/>
        </w:rPr>
        <w:t>been</w:t>
      </w:r>
      <w:r>
        <w:rPr>
          <w:spacing w:val="-7"/>
          <w:sz w:val="22"/>
        </w:rPr>
        <w:t> </w:t>
      </w:r>
      <w:r>
        <w:rPr>
          <w:sz w:val="22"/>
        </w:rPr>
        <w:t>executed</w:t>
      </w:r>
      <w:r>
        <w:rPr>
          <w:spacing w:val="-5"/>
          <w:sz w:val="22"/>
        </w:rPr>
        <w:t> </w:t>
      </w:r>
      <w:r>
        <w:rPr>
          <w:sz w:val="22"/>
        </w:rPr>
        <w:t>for</w:t>
      </w:r>
      <w:r>
        <w:rPr>
          <w:spacing w:val="-6"/>
          <w:sz w:val="22"/>
        </w:rPr>
        <w:t> </w:t>
      </w:r>
      <w:r>
        <w:rPr>
          <w:sz w:val="22"/>
        </w:rPr>
        <w:t>a</w:t>
      </w:r>
      <w:r>
        <w:rPr>
          <w:spacing w:val="-7"/>
          <w:sz w:val="22"/>
        </w:rPr>
        <w:t> </w:t>
      </w:r>
      <w:r>
        <w:rPr>
          <w:sz w:val="22"/>
        </w:rPr>
        <w:t>period</w:t>
      </w:r>
      <w:r>
        <w:rPr>
          <w:spacing w:val="-7"/>
          <w:sz w:val="22"/>
        </w:rPr>
        <w:t> </w:t>
      </w:r>
      <w:r>
        <w:rPr>
          <w:sz w:val="22"/>
        </w:rPr>
        <w:t>of</w:t>
      </w:r>
      <w:r>
        <w:rPr>
          <w:spacing w:val="-5"/>
          <w:sz w:val="22"/>
        </w:rPr>
        <w:t> </w:t>
      </w:r>
      <w:r>
        <w:rPr>
          <w:sz w:val="22"/>
        </w:rPr>
        <w:t>25</w:t>
      </w:r>
      <w:r>
        <w:rPr>
          <w:spacing w:val="-5"/>
          <w:sz w:val="22"/>
        </w:rPr>
        <w:t> </w:t>
      </w:r>
      <w:r>
        <w:rPr>
          <w:sz w:val="22"/>
        </w:rPr>
        <w:t>years</w:t>
      </w:r>
    </w:p>
    <w:p>
      <w:pPr>
        <w:pStyle w:val="BodyText"/>
        <w:spacing w:line="319" w:lineRule="auto" w:before="122"/>
        <w:ind w:left="1220" w:right="684"/>
        <w:jc w:val="both"/>
      </w:pPr>
      <w:r>
        <w:rPr/>
        <w:t>Keeping</w:t>
      </w:r>
      <w:r>
        <w:rPr>
          <w:spacing w:val="-18"/>
        </w:rPr>
        <w:t> </w:t>
      </w:r>
      <w:r>
        <w:rPr/>
        <w:t>the</w:t>
      </w:r>
      <w:r>
        <w:rPr>
          <w:spacing w:val="-19"/>
        </w:rPr>
        <w:t> </w:t>
      </w:r>
      <w:r>
        <w:rPr/>
        <w:t>above</w:t>
      </w:r>
      <w:r>
        <w:rPr>
          <w:spacing w:val="-19"/>
        </w:rPr>
        <w:t> </w:t>
      </w:r>
      <w:r>
        <w:rPr/>
        <w:t>in</w:t>
      </w:r>
      <w:r>
        <w:rPr>
          <w:spacing w:val="-19"/>
        </w:rPr>
        <w:t> </w:t>
      </w:r>
      <w:r>
        <w:rPr/>
        <w:t>consideration,</w:t>
      </w:r>
      <w:r>
        <w:rPr>
          <w:spacing w:val="-19"/>
        </w:rPr>
        <w:t> </w:t>
      </w:r>
      <w:r>
        <w:rPr/>
        <w:t>the</w:t>
      </w:r>
      <w:r>
        <w:rPr>
          <w:spacing w:val="-19"/>
        </w:rPr>
        <w:t> </w:t>
      </w:r>
      <w:r>
        <w:rPr/>
        <w:t>cost</w:t>
      </w:r>
      <w:r>
        <w:rPr>
          <w:spacing w:val="-18"/>
        </w:rPr>
        <w:t> </w:t>
      </w:r>
      <w:r>
        <w:rPr/>
        <w:t>of</w:t>
      </w:r>
      <w:r>
        <w:rPr>
          <w:spacing w:val="-17"/>
        </w:rPr>
        <w:t> </w:t>
      </w:r>
      <w:r>
        <w:rPr/>
        <w:t>equity</w:t>
      </w:r>
      <w:r>
        <w:rPr>
          <w:spacing w:val="-20"/>
        </w:rPr>
        <w:t> </w:t>
      </w:r>
      <w:r>
        <w:rPr/>
        <w:t>for</w:t>
      </w:r>
      <w:r>
        <w:rPr>
          <w:spacing w:val="-19"/>
        </w:rPr>
        <w:t> </w:t>
      </w:r>
      <w:r>
        <w:rPr/>
        <w:t>discounting</w:t>
      </w:r>
      <w:r>
        <w:rPr>
          <w:spacing w:val="-20"/>
        </w:rPr>
        <w:t> </w:t>
      </w:r>
      <w:r>
        <w:rPr/>
        <w:t>the</w:t>
      </w:r>
      <w:r>
        <w:rPr>
          <w:spacing w:val="-19"/>
        </w:rPr>
        <w:t> </w:t>
      </w:r>
      <w:r>
        <w:rPr/>
        <w:t>cash</w:t>
      </w:r>
      <w:r>
        <w:rPr>
          <w:spacing w:val="-19"/>
        </w:rPr>
        <w:t> </w:t>
      </w:r>
      <w:r>
        <w:rPr/>
        <w:t>flows</w:t>
      </w:r>
      <w:r>
        <w:rPr>
          <w:spacing w:val="-17"/>
        </w:rPr>
        <w:t> </w:t>
      </w:r>
      <w:r>
        <w:rPr/>
        <w:t>for</w:t>
      </w:r>
      <w:r>
        <w:rPr>
          <w:spacing w:val="-19"/>
        </w:rPr>
        <w:t> </w:t>
      </w:r>
      <w:r>
        <w:rPr/>
        <w:t>EEPL</w:t>
      </w:r>
      <w:r>
        <w:rPr>
          <w:spacing w:val="-19"/>
        </w:rPr>
        <w:t> </w:t>
      </w:r>
      <w:r>
        <w:rPr/>
        <w:t>has</w:t>
      </w:r>
      <w:r>
        <w:rPr>
          <w:spacing w:val="-19"/>
        </w:rPr>
        <w:t> </w:t>
      </w:r>
      <w:r>
        <w:rPr/>
        <w:t>been assessed as</w:t>
      </w:r>
      <w:r>
        <w:rPr>
          <w:spacing w:val="-2"/>
        </w:rPr>
        <w:t> </w:t>
      </w:r>
      <w:r>
        <w:rPr/>
        <w:t>13.5%.</w:t>
      </w:r>
    </w:p>
    <w:p>
      <w:pPr>
        <w:pStyle w:val="BodyText"/>
        <w:spacing w:line="321" w:lineRule="auto" w:before="126"/>
        <w:ind w:left="1220" w:right="674"/>
        <w:jc w:val="both"/>
      </w:pPr>
      <w:r>
        <w:rPr/>
        <w:t>The</w:t>
      </w:r>
      <w:r>
        <w:rPr>
          <w:spacing w:val="-13"/>
        </w:rPr>
        <w:t> </w:t>
      </w:r>
      <w:r>
        <w:rPr/>
        <w:t>cash</w:t>
      </w:r>
      <w:r>
        <w:rPr>
          <w:spacing w:val="-13"/>
        </w:rPr>
        <w:t> </w:t>
      </w:r>
      <w:r>
        <w:rPr/>
        <w:t>flows</w:t>
      </w:r>
      <w:r>
        <w:rPr>
          <w:spacing w:val="-13"/>
        </w:rPr>
        <w:t> </w:t>
      </w:r>
      <w:r>
        <w:rPr/>
        <w:t>are</w:t>
      </w:r>
      <w:r>
        <w:rPr>
          <w:spacing w:val="-11"/>
        </w:rPr>
        <w:t> </w:t>
      </w:r>
      <w:r>
        <w:rPr/>
        <w:t>assumed</w:t>
      </w:r>
      <w:r>
        <w:rPr>
          <w:spacing w:val="-11"/>
        </w:rPr>
        <w:t> </w:t>
      </w:r>
      <w:r>
        <w:rPr/>
        <w:t>to</w:t>
      </w:r>
      <w:r>
        <w:rPr>
          <w:spacing w:val="-12"/>
        </w:rPr>
        <w:t> </w:t>
      </w:r>
      <w:r>
        <w:rPr/>
        <w:t>realize</w:t>
      </w:r>
      <w:r>
        <w:rPr>
          <w:spacing w:val="-11"/>
        </w:rPr>
        <w:t> </w:t>
      </w:r>
      <w:r>
        <w:rPr/>
        <w:t>evenly</w:t>
      </w:r>
      <w:r>
        <w:rPr>
          <w:spacing w:val="-12"/>
        </w:rPr>
        <w:t> </w:t>
      </w:r>
      <w:r>
        <w:rPr/>
        <w:t>during</w:t>
      </w:r>
      <w:r>
        <w:rPr>
          <w:spacing w:val="-11"/>
        </w:rPr>
        <w:t> </w:t>
      </w:r>
      <w:r>
        <w:rPr/>
        <w:t>the</w:t>
      </w:r>
      <w:r>
        <w:rPr>
          <w:spacing w:val="-13"/>
        </w:rPr>
        <w:t> </w:t>
      </w:r>
      <w:r>
        <w:rPr/>
        <w:t>course</w:t>
      </w:r>
      <w:r>
        <w:rPr>
          <w:spacing w:val="-11"/>
        </w:rPr>
        <w:t> </w:t>
      </w:r>
      <w:r>
        <w:rPr/>
        <w:t>of</w:t>
      </w:r>
      <w:r>
        <w:rPr>
          <w:spacing w:val="-11"/>
        </w:rPr>
        <w:t> </w:t>
      </w:r>
      <w:r>
        <w:rPr/>
        <w:t>every</w:t>
      </w:r>
      <w:r>
        <w:rPr>
          <w:spacing w:val="-14"/>
        </w:rPr>
        <w:t> </w:t>
      </w:r>
      <w:r>
        <w:rPr/>
        <w:t>quarter,</w:t>
      </w:r>
      <w:r>
        <w:rPr>
          <w:spacing w:val="-11"/>
        </w:rPr>
        <w:t> </w:t>
      </w:r>
      <w:r>
        <w:rPr/>
        <w:t>hence</w:t>
      </w:r>
      <w:r>
        <w:rPr>
          <w:spacing w:val="-12"/>
        </w:rPr>
        <w:t> </w:t>
      </w:r>
      <w:r>
        <w:rPr/>
        <w:t>a</w:t>
      </w:r>
      <w:r>
        <w:rPr>
          <w:spacing w:val="-12"/>
        </w:rPr>
        <w:t> </w:t>
      </w:r>
      <w:r>
        <w:rPr/>
        <w:t>mid-quarter discounting</w:t>
      </w:r>
      <w:r>
        <w:rPr>
          <w:spacing w:val="-7"/>
        </w:rPr>
        <w:t> </w:t>
      </w:r>
      <w:r>
        <w:rPr/>
        <w:t>convention</w:t>
      </w:r>
      <w:r>
        <w:rPr>
          <w:spacing w:val="-8"/>
        </w:rPr>
        <w:t> </w:t>
      </w:r>
      <w:r>
        <w:rPr/>
        <w:t>has</w:t>
      </w:r>
      <w:r>
        <w:rPr>
          <w:spacing w:val="-6"/>
        </w:rPr>
        <w:t> </w:t>
      </w:r>
      <w:r>
        <w:rPr/>
        <w:t>been</w:t>
      </w:r>
      <w:r>
        <w:rPr>
          <w:spacing w:val="-7"/>
        </w:rPr>
        <w:t> </w:t>
      </w:r>
      <w:r>
        <w:rPr/>
        <w:t>adopted</w:t>
      </w:r>
      <w:r>
        <w:rPr>
          <w:spacing w:val="-9"/>
        </w:rPr>
        <w:t> </w:t>
      </w:r>
      <w:r>
        <w:rPr/>
        <w:t>for</w:t>
      </w:r>
      <w:r>
        <w:rPr>
          <w:spacing w:val="-7"/>
        </w:rPr>
        <w:t> </w:t>
      </w:r>
      <w:r>
        <w:rPr/>
        <w:t>the</w:t>
      </w:r>
      <w:r>
        <w:rPr>
          <w:spacing w:val="-5"/>
        </w:rPr>
        <w:t> </w:t>
      </w:r>
      <w:r>
        <w:rPr/>
        <w:t>purpose</w:t>
      </w:r>
      <w:r>
        <w:rPr>
          <w:spacing w:val="-6"/>
        </w:rPr>
        <w:t> </w:t>
      </w:r>
      <w:r>
        <w:rPr/>
        <w:t>of</w:t>
      </w:r>
      <w:r>
        <w:rPr>
          <w:spacing w:val="-6"/>
        </w:rPr>
        <w:t> </w:t>
      </w:r>
      <w:r>
        <w:rPr/>
        <w:t>this</w:t>
      </w:r>
      <w:r>
        <w:rPr>
          <w:spacing w:val="-6"/>
        </w:rPr>
        <w:t> </w:t>
      </w:r>
      <w:r>
        <w:rPr/>
        <w:t>valuation.</w:t>
      </w:r>
    </w:p>
    <w:p>
      <w:pPr>
        <w:pStyle w:val="BodyText"/>
        <w:spacing w:before="9"/>
        <w:rPr>
          <w:sz w:val="20"/>
        </w:rPr>
      </w:pPr>
    </w:p>
    <w:p>
      <w:pPr>
        <w:pStyle w:val="ListParagraph"/>
        <w:numPr>
          <w:ilvl w:val="2"/>
          <w:numId w:val="93"/>
        </w:numPr>
        <w:tabs>
          <w:tab w:pos="1480" w:val="left" w:leader="none"/>
        </w:tabs>
        <w:spacing w:line="240" w:lineRule="auto" w:before="0" w:after="0"/>
        <w:ind w:left="1479" w:right="0" w:hanging="800"/>
        <w:jc w:val="left"/>
        <w:rPr>
          <w:sz w:val="22"/>
        </w:rPr>
      </w:pPr>
      <w:bookmarkStart w:name="_bookmark410" w:id="801"/>
      <w:bookmarkEnd w:id="801"/>
      <w:r>
        <w:rPr/>
      </w:r>
      <w:bookmarkStart w:name="_bookmark410" w:id="802"/>
      <w:bookmarkEnd w:id="802"/>
      <w:r>
        <w:rPr>
          <w:color w:val="1F664D"/>
          <w:sz w:val="22"/>
        </w:rPr>
        <w:t>E</w:t>
      </w:r>
      <w:r>
        <w:rPr>
          <w:color w:val="1F664D"/>
          <w:sz w:val="22"/>
        </w:rPr>
        <w:t>quity Value of</w:t>
      </w:r>
      <w:r>
        <w:rPr>
          <w:color w:val="1F664D"/>
          <w:spacing w:val="-7"/>
          <w:sz w:val="22"/>
        </w:rPr>
        <w:t> </w:t>
      </w:r>
      <w:r>
        <w:rPr>
          <w:color w:val="1F664D"/>
          <w:sz w:val="22"/>
        </w:rPr>
        <w:t>EEPL</w:t>
      </w:r>
    </w:p>
    <w:p>
      <w:pPr>
        <w:pStyle w:val="BodyText"/>
        <w:spacing w:before="88"/>
        <w:ind w:left="1311"/>
        <w:jc w:val="both"/>
      </w:pPr>
      <w:r>
        <w:rPr/>
        <w:t>Based on the above mentioned analysis, the equity value of EEPL is estimated as follows:</w:t>
      </w:r>
    </w:p>
    <w:p>
      <w:pPr>
        <w:pStyle w:val="BodyText"/>
        <w:spacing w:after="1"/>
        <w:rPr>
          <w:sz w:val="29"/>
        </w:rPr>
      </w:pPr>
    </w:p>
    <w:tbl>
      <w:tblPr>
        <w:tblW w:w="0" w:type="auto"/>
        <w:jc w:val="left"/>
        <w:tblInd w:w="6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54"/>
        <w:gridCol w:w="3230"/>
        <w:gridCol w:w="3594"/>
      </w:tblGrid>
      <w:tr>
        <w:trPr>
          <w:trHeight w:val="344" w:hRule="atLeast"/>
        </w:trPr>
        <w:tc>
          <w:tcPr>
            <w:tcW w:w="3654" w:type="dxa"/>
            <w:tcBorders>
              <w:top w:val="single" w:sz="12" w:space="0" w:color="1F6B16"/>
              <w:bottom w:val="single" w:sz="6" w:space="0" w:color="69BD28"/>
            </w:tcBorders>
            <w:shd w:val="clear" w:color="auto" w:fill="006A4D"/>
          </w:tcPr>
          <w:p>
            <w:pPr>
              <w:pStyle w:val="TableParagraph"/>
              <w:spacing w:before="56"/>
              <w:ind w:left="944" w:right="1088"/>
              <w:rPr>
                <w:sz w:val="20"/>
              </w:rPr>
            </w:pPr>
            <w:r>
              <w:rPr>
                <w:color w:val="FFFFFF"/>
                <w:sz w:val="20"/>
              </w:rPr>
              <w:t>Component</w:t>
            </w:r>
          </w:p>
        </w:tc>
        <w:tc>
          <w:tcPr>
            <w:tcW w:w="3230" w:type="dxa"/>
            <w:tcBorders>
              <w:top w:val="single" w:sz="12" w:space="0" w:color="1F6B16"/>
              <w:bottom w:val="single" w:sz="6" w:space="0" w:color="69BD28"/>
            </w:tcBorders>
            <w:shd w:val="clear" w:color="auto" w:fill="006A4D"/>
          </w:tcPr>
          <w:p>
            <w:pPr>
              <w:pStyle w:val="TableParagraph"/>
              <w:spacing w:before="56"/>
              <w:ind w:left="1088" w:right="1137"/>
              <w:rPr>
                <w:sz w:val="20"/>
              </w:rPr>
            </w:pPr>
            <w:r>
              <w:rPr>
                <w:color w:val="FFFFFF"/>
                <w:sz w:val="20"/>
              </w:rPr>
              <w:t>Useful Life</w:t>
            </w:r>
          </w:p>
        </w:tc>
        <w:tc>
          <w:tcPr>
            <w:tcW w:w="3594" w:type="dxa"/>
            <w:tcBorders>
              <w:top w:val="single" w:sz="12" w:space="0" w:color="1F6B16"/>
              <w:bottom w:val="single" w:sz="6" w:space="0" w:color="69BD28"/>
            </w:tcBorders>
            <w:shd w:val="clear" w:color="auto" w:fill="006A4D"/>
          </w:tcPr>
          <w:p>
            <w:pPr>
              <w:pStyle w:val="TableParagraph"/>
              <w:spacing w:before="56"/>
              <w:ind w:left="393" w:right="293"/>
              <w:rPr>
                <w:sz w:val="20"/>
              </w:rPr>
            </w:pPr>
            <w:r>
              <w:rPr>
                <w:color w:val="FFFFFF"/>
                <w:sz w:val="20"/>
              </w:rPr>
              <w:t>Value (INR Mn)</w:t>
            </w:r>
          </w:p>
        </w:tc>
      </w:tr>
      <w:tr>
        <w:trPr>
          <w:trHeight w:val="364" w:hRule="atLeast"/>
        </w:trPr>
        <w:tc>
          <w:tcPr>
            <w:tcW w:w="3654" w:type="dxa"/>
            <w:tcBorders>
              <w:top w:val="single" w:sz="6" w:space="0" w:color="69BD28"/>
              <w:bottom w:val="single" w:sz="6" w:space="0" w:color="69BD28"/>
            </w:tcBorders>
          </w:tcPr>
          <w:p>
            <w:pPr>
              <w:pStyle w:val="TableParagraph"/>
              <w:spacing w:before="80"/>
              <w:ind w:left="949" w:right="1088"/>
              <w:rPr>
                <w:sz w:val="18"/>
              </w:rPr>
            </w:pPr>
            <w:r>
              <w:rPr>
                <w:sz w:val="18"/>
              </w:rPr>
              <w:t>Equity Value </w:t>
            </w:r>
            <w:r>
              <w:rPr>
                <w:w w:val="105"/>
                <w:sz w:val="18"/>
              </w:rPr>
              <w:t>– </w:t>
            </w:r>
            <w:r>
              <w:rPr>
                <w:sz w:val="18"/>
              </w:rPr>
              <w:t>EEPL</w:t>
            </w:r>
          </w:p>
        </w:tc>
        <w:tc>
          <w:tcPr>
            <w:tcW w:w="3230" w:type="dxa"/>
            <w:tcBorders>
              <w:top w:val="single" w:sz="6" w:space="0" w:color="69BD28"/>
              <w:bottom w:val="single" w:sz="6" w:space="0" w:color="69BD28"/>
            </w:tcBorders>
          </w:tcPr>
          <w:p>
            <w:pPr>
              <w:pStyle w:val="TableParagraph"/>
              <w:spacing w:before="80"/>
              <w:ind w:left="1088" w:right="1132"/>
              <w:rPr>
                <w:sz w:val="18"/>
              </w:rPr>
            </w:pPr>
            <w:r>
              <w:rPr>
                <w:w w:val="105"/>
                <w:sz w:val="18"/>
              </w:rPr>
              <w:t>25 years</w:t>
            </w:r>
          </w:p>
        </w:tc>
        <w:tc>
          <w:tcPr>
            <w:tcW w:w="3594" w:type="dxa"/>
            <w:tcBorders>
              <w:top w:val="single" w:sz="6" w:space="0" w:color="69BD28"/>
              <w:bottom w:val="single" w:sz="6" w:space="0" w:color="69BD28"/>
            </w:tcBorders>
          </w:tcPr>
          <w:p>
            <w:pPr>
              <w:pStyle w:val="TableParagraph"/>
              <w:spacing w:before="80"/>
              <w:ind w:left="395" w:right="293"/>
              <w:rPr>
                <w:sz w:val="18"/>
              </w:rPr>
            </w:pPr>
            <w:r>
              <w:rPr>
                <w:w w:val="105"/>
                <w:sz w:val="18"/>
              </w:rPr>
              <w:t>3,799</w:t>
            </w:r>
          </w:p>
        </w:tc>
      </w:tr>
    </w:tbl>
    <w:p>
      <w:pPr>
        <w:pStyle w:val="BodyText"/>
        <w:spacing w:before="5"/>
        <w:rPr>
          <w:sz w:val="20"/>
        </w:rPr>
      </w:pPr>
    </w:p>
    <w:p>
      <w:pPr>
        <w:pStyle w:val="ListParagraph"/>
        <w:numPr>
          <w:ilvl w:val="2"/>
          <w:numId w:val="93"/>
        </w:numPr>
        <w:tabs>
          <w:tab w:pos="1480" w:val="left" w:leader="none"/>
        </w:tabs>
        <w:spacing w:line="240" w:lineRule="auto" w:before="0" w:after="0"/>
        <w:ind w:left="1479" w:right="0" w:hanging="800"/>
        <w:jc w:val="left"/>
        <w:rPr>
          <w:sz w:val="22"/>
        </w:rPr>
      </w:pPr>
      <w:bookmarkStart w:name="_bookmark411" w:id="803"/>
      <w:bookmarkEnd w:id="803"/>
      <w:r>
        <w:rPr/>
      </w:r>
      <w:bookmarkStart w:name="_bookmark411" w:id="804"/>
      <w:bookmarkEnd w:id="804"/>
      <w:r>
        <w:rPr>
          <w:color w:val="1F664D"/>
          <w:sz w:val="22"/>
        </w:rPr>
        <w:t>Enter</w:t>
      </w:r>
      <w:r>
        <w:rPr>
          <w:color w:val="1F664D"/>
          <w:sz w:val="22"/>
        </w:rPr>
        <w:t>prise Value of</w:t>
      </w:r>
      <w:r>
        <w:rPr>
          <w:color w:val="1F664D"/>
          <w:spacing w:val="-5"/>
          <w:sz w:val="22"/>
        </w:rPr>
        <w:t> </w:t>
      </w:r>
      <w:r>
        <w:rPr>
          <w:color w:val="1F664D"/>
          <w:sz w:val="22"/>
        </w:rPr>
        <w:t>EEPL</w:t>
      </w:r>
    </w:p>
    <w:p>
      <w:pPr>
        <w:pStyle w:val="BodyText"/>
        <w:spacing w:line="321" w:lineRule="auto" w:before="88"/>
        <w:ind w:left="1311" w:right="674"/>
        <w:jc w:val="both"/>
      </w:pPr>
      <w:r>
        <w:rPr/>
        <w:t>Based</w:t>
      </w:r>
      <w:r>
        <w:rPr>
          <w:spacing w:val="-24"/>
        </w:rPr>
        <w:t> </w:t>
      </w:r>
      <w:r>
        <w:rPr/>
        <w:t>on</w:t>
      </w:r>
      <w:r>
        <w:rPr>
          <w:spacing w:val="-25"/>
        </w:rPr>
        <w:t> </w:t>
      </w:r>
      <w:r>
        <w:rPr/>
        <w:t>the</w:t>
      </w:r>
      <w:r>
        <w:rPr>
          <w:spacing w:val="-24"/>
        </w:rPr>
        <w:t> </w:t>
      </w:r>
      <w:r>
        <w:rPr/>
        <w:t>above</w:t>
      </w:r>
      <w:r>
        <w:rPr>
          <w:spacing w:val="-25"/>
        </w:rPr>
        <w:t> </w:t>
      </w:r>
      <w:r>
        <w:rPr/>
        <w:t>mentioned</w:t>
      </w:r>
      <w:r>
        <w:rPr>
          <w:spacing w:val="-24"/>
        </w:rPr>
        <w:t> </w:t>
      </w:r>
      <w:r>
        <w:rPr/>
        <w:t>analysis,</w:t>
      </w:r>
      <w:r>
        <w:rPr>
          <w:spacing w:val="-24"/>
        </w:rPr>
        <w:t> </w:t>
      </w:r>
      <w:r>
        <w:rPr/>
        <w:t>the</w:t>
      </w:r>
      <w:r>
        <w:rPr>
          <w:spacing w:val="-25"/>
        </w:rPr>
        <w:t> </w:t>
      </w:r>
      <w:r>
        <w:rPr/>
        <w:t>enterprise</w:t>
      </w:r>
      <w:r>
        <w:rPr>
          <w:spacing w:val="-25"/>
        </w:rPr>
        <w:t> </w:t>
      </w:r>
      <w:r>
        <w:rPr/>
        <w:t>value</w:t>
      </w:r>
      <w:r>
        <w:rPr>
          <w:spacing w:val="-24"/>
        </w:rPr>
        <w:t> </w:t>
      </w:r>
      <w:r>
        <w:rPr/>
        <w:t>of</w:t>
      </w:r>
      <w:r>
        <w:rPr>
          <w:spacing w:val="-24"/>
        </w:rPr>
        <w:t> </w:t>
      </w:r>
      <w:r>
        <w:rPr/>
        <w:t>EEPL</w:t>
      </w:r>
      <w:r>
        <w:rPr>
          <w:spacing w:val="-24"/>
        </w:rPr>
        <w:t> </w:t>
      </w:r>
      <w:r>
        <w:rPr/>
        <w:t>as</w:t>
      </w:r>
      <w:r>
        <w:rPr>
          <w:spacing w:val="-24"/>
        </w:rPr>
        <w:t> </w:t>
      </w:r>
      <w:r>
        <w:rPr/>
        <w:t>on</w:t>
      </w:r>
      <w:r>
        <w:rPr>
          <w:spacing w:val="-22"/>
        </w:rPr>
        <w:t> </w:t>
      </w:r>
      <w:r>
        <w:rPr/>
        <w:t>March</w:t>
      </w:r>
      <w:r>
        <w:rPr>
          <w:spacing w:val="-25"/>
        </w:rPr>
        <w:t> </w:t>
      </w:r>
      <w:r>
        <w:rPr/>
        <w:t>31,</w:t>
      </w:r>
      <w:r>
        <w:rPr>
          <w:spacing w:val="-24"/>
        </w:rPr>
        <w:t> </w:t>
      </w:r>
      <w:r>
        <w:rPr/>
        <w:t>2020</w:t>
      </w:r>
      <w:r>
        <w:rPr>
          <w:spacing w:val="-25"/>
        </w:rPr>
        <w:t> </w:t>
      </w:r>
      <w:r>
        <w:rPr/>
        <w:t>is</w:t>
      </w:r>
      <w:r>
        <w:rPr>
          <w:spacing w:val="-24"/>
        </w:rPr>
        <w:t> </w:t>
      </w:r>
      <w:r>
        <w:rPr/>
        <w:t>estimated as</w:t>
      </w:r>
      <w:r>
        <w:rPr>
          <w:spacing w:val="-2"/>
        </w:rPr>
        <w:t> </w:t>
      </w:r>
      <w:r>
        <w:rPr/>
        <w:t>follows:</w:t>
      </w:r>
    </w:p>
    <w:p>
      <w:pPr>
        <w:spacing w:after="0" w:line="321" w:lineRule="auto"/>
        <w:jc w:val="both"/>
        <w:sectPr>
          <w:pgSz w:w="11910" w:h="16840"/>
          <w:pgMar w:header="720" w:footer="862" w:top="1660" w:bottom="1060" w:left="40" w:right="40"/>
        </w:sectPr>
      </w:pPr>
    </w:p>
    <w:p>
      <w:pPr>
        <w:pStyle w:val="BodyText"/>
        <w:spacing w:before="4"/>
        <w:rPr>
          <w:sz w:val="18"/>
        </w:rPr>
      </w:pPr>
    </w:p>
    <w:p>
      <w:pPr>
        <w:pStyle w:val="BodyText"/>
        <w:ind w:left="665"/>
        <w:rPr>
          <w:sz w:val="20"/>
        </w:rPr>
      </w:pPr>
      <w:bookmarkStart w:name="_bookmark412" w:id="805"/>
      <w:bookmarkEnd w:id="805"/>
      <w:r>
        <w:rPr/>
      </w:r>
      <w:r>
        <w:rPr>
          <w:sz w:val="20"/>
        </w:rPr>
        <w:pict>
          <v:group style="width:524.3pt;height:20.2pt;mso-position-horizontal-relative:char;mso-position-vertical-relative:line" coordorigin="0,0" coordsize="10486,404">
            <v:shape style="position:absolute;left:14;top:28;width:10472;height:360" coordorigin="14,29" coordsize="10472,360" path="m10486,29l5248,29,14,29,14,389,5248,389,10486,389,10486,29xe" filled="true" fillcolor="#006a4d" stroked="false">
              <v:path arrowok="t"/>
              <v:fill type="solid"/>
            </v:shape>
            <v:rect style="position:absolute;left:14;top:0;width:5234;height:29" filled="true" fillcolor="#1f6b16" stroked="false">
              <v:fill type="solid"/>
            </v:rect>
            <v:shape style="position:absolute;left:14;top:28;width:5263;height:3" coordorigin="14,29" coordsize="5263,3" path="m5277,29l5248,29,14,29,14,31,5248,31,5277,31,5277,29xe" filled="true" fillcolor="#006a4d" stroked="false">
              <v:path arrowok="t"/>
              <v:fill type="solid"/>
            </v:shape>
            <v:shape style="position:absolute;left:5247;top:0;width:5238;height:29" coordorigin="5248,0" coordsize="5238,29" path="m10486,0l5277,0,5248,0,5248,29,5277,29,10486,29,10486,0xe" filled="true" fillcolor="#1f6b16" stroked="false">
              <v:path arrowok="t"/>
              <v:fill type="solid"/>
            </v:shape>
            <v:rect style="position:absolute;left:5276;top:28;width:5209;height:3" filled="true" fillcolor="#006a4d" stroked="false">
              <v:fill type="solid"/>
            </v:rect>
            <v:shape style="position:absolute;left:14;top:388;width:10472;height:15" coordorigin="14,389" coordsize="10472,15" path="m10486,389l5262,389,5248,389,14,389,14,403,5248,403,5262,403,10486,403,10486,389xe" filled="true" fillcolor="#69bd28" stroked="false">
              <v:path arrowok="t"/>
              <v:fill type="solid"/>
            </v:shape>
            <v:shape style="position:absolute;left:0;top:28;width:10486;height:360" type="#_x0000_t202" filled="false" stroked="false">
              <v:textbox inset="0,0,0,0">
                <w:txbxContent>
                  <w:p>
                    <w:pPr>
                      <w:tabs>
                        <w:tab w:pos="5425" w:val="left" w:leader="none"/>
                      </w:tabs>
                      <w:spacing w:before="64"/>
                      <w:ind w:left="0" w:right="177" w:firstLine="0"/>
                      <w:jc w:val="center"/>
                      <w:rPr>
                        <w:sz w:val="20"/>
                      </w:rPr>
                    </w:pPr>
                    <w:r>
                      <w:rPr>
                        <w:color w:val="FFFFFF"/>
                        <w:sz w:val="20"/>
                      </w:rPr>
                      <w:t>Component</w:t>
                      <w:tab/>
                      <w:t>INR</w:t>
                    </w:r>
                    <w:r>
                      <w:rPr>
                        <w:color w:val="FFFFFF"/>
                        <w:spacing w:val="-1"/>
                        <w:sz w:val="20"/>
                      </w:rPr>
                      <w:t> </w:t>
                    </w:r>
                    <w:r>
                      <w:rPr>
                        <w:color w:val="FFFFFF"/>
                        <w:sz w:val="20"/>
                      </w:rPr>
                      <w:t>Mn</w:t>
                    </w:r>
                  </w:p>
                </w:txbxContent>
              </v:textbox>
              <w10:wrap type="none"/>
            </v:shape>
          </v:group>
        </w:pict>
      </w:r>
      <w:r>
        <w:rPr>
          <w:sz w:val="20"/>
        </w:rPr>
      </w:r>
    </w:p>
    <w:p>
      <w:pPr>
        <w:tabs>
          <w:tab w:pos="5756" w:val="left" w:leader="none"/>
        </w:tabs>
        <w:spacing w:before="58"/>
        <w:ind w:left="0" w:right="3053" w:firstLine="0"/>
        <w:jc w:val="right"/>
        <w:rPr>
          <w:sz w:val="18"/>
        </w:rPr>
      </w:pPr>
      <w:r>
        <w:rPr/>
        <w:pict>
          <v:shape style="position:absolute;margin-left:36pt;margin-top:17.590672pt;width:523.6pt;height:.75pt;mso-position-horizontal-relative:page;mso-position-vertical-relative:paragraph;z-index:-14925312;mso-wrap-distance-left:0;mso-wrap-distance-right:0" coordorigin="720,352" coordsize="10472,15" path="m11191,352l5968,352,5953,352,720,352,720,366,5953,366,5968,366,11191,366,11191,352xe" filled="true" fillcolor="#69bd28" stroked="false">
            <v:path arrowok="t"/>
            <v:fill type="solid"/>
            <w10:wrap type="topAndBottom"/>
          </v:shape>
        </w:pict>
      </w:r>
      <w:r>
        <w:rPr>
          <w:w w:val="105"/>
          <w:sz w:val="18"/>
        </w:rPr>
        <w:t>Equity</w:t>
      </w:r>
      <w:r>
        <w:rPr>
          <w:spacing w:val="-30"/>
          <w:w w:val="105"/>
          <w:sz w:val="18"/>
        </w:rPr>
        <w:t> </w:t>
      </w:r>
      <w:r>
        <w:rPr>
          <w:w w:val="105"/>
          <w:sz w:val="18"/>
        </w:rPr>
        <w:t>Value</w:t>
      </w:r>
      <w:r>
        <w:rPr>
          <w:spacing w:val="-29"/>
          <w:w w:val="105"/>
          <w:sz w:val="18"/>
        </w:rPr>
        <w:t> </w:t>
      </w:r>
      <w:r>
        <w:rPr>
          <w:w w:val="105"/>
          <w:sz w:val="18"/>
        </w:rPr>
        <w:t>–</w:t>
      </w:r>
      <w:r>
        <w:rPr>
          <w:spacing w:val="-29"/>
          <w:w w:val="105"/>
          <w:sz w:val="18"/>
        </w:rPr>
        <w:t> </w:t>
      </w:r>
      <w:r>
        <w:rPr>
          <w:w w:val="105"/>
          <w:sz w:val="18"/>
        </w:rPr>
        <w:t>EEPL</w:t>
        <w:tab/>
        <w:t>3,799</w:t>
      </w:r>
    </w:p>
    <w:p>
      <w:pPr>
        <w:tabs>
          <w:tab w:pos="6829" w:val="left" w:leader="none"/>
        </w:tabs>
        <w:spacing w:before="56" w:after="83"/>
        <w:ind w:left="0" w:right="3053" w:firstLine="0"/>
        <w:jc w:val="right"/>
        <w:rPr>
          <w:sz w:val="18"/>
        </w:rPr>
      </w:pPr>
      <w:r>
        <w:rPr>
          <w:sz w:val="18"/>
        </w:rPr>
        <w:t>Add: Outstanding Debt as on March</w:t>
      </w:r>
      <w:r>
        <w:rPr>
          <w:spacing w:val="47"/>
          <w:sz w:val="18"/>
        </w:rPr>
        <w:t> </w:t>
      </w:r>
      <w:r>
        <w:rPr>
          <w:sz w:val="18"/>
        </w:rPr>
        <w:t>31,</w:t>
      </w:r>
      <w:r>
        <w:rPr>
          <w:spacing w:val="10"/>
          <w:sz w:val="18"/>
        </w:rPr>
        <w:t> </w:t>
      </w:r>
      <w:r>
        <w:rPr>
          <w:sz w:val="18"/>
        </w:rPr>
        <w:t>2020</w:t>
        <w:tab/>
        <w:t>6,489</w:t>
      </w:r>
    </w:p>
    <w:p>
      <w:pPr>
        <w:pStyle w:val="BodyText"/>
        <w:ind w:left="665"/>
        <w:rPr>
          <w:sz w:val="20"/>
        </w:rPr>
      </w:pPr>
      <w:r>
        <w:rPr>
          <w:sz w:val="20"/>
        </w:rPr>
        <w:pict>
          <v:shape style="width:524.3pt;height:20.4pt;mso-position-horizontal-relative:char;mso-position-vertical-relative:line" type="#_x0000_t202" filled="true" fillcolor="#69bd28" stroked="false">
            <w10:anchorlock/>
            <v:textbox inset="0,0,0,0">
              <w:txbxContent>
                <w:p>
                  <w:pPr>
                    <w:tabs>
                      <w:tab w:pos="5624" w:val="left" w:leader="none"/>
                    </w:tabs>
                    <w:spacing w:before="102"/>
                    <w:ind w:left="0" w:right="373" w:firstLine="0"/>
                    <w:jc w:val="center"/>
                    <w:rPr>
                      <w:b/>
                      <w:sz w:val="18"/>
                    </w:rPr>
                  </w:pPr>
                  <w:r>
                    <w:rPr>
                      <w:b/>
                      <w:color w:val="FFFFFF"/>
                      <w:w w:val="110"/>
                      <w:sz w:val="18"/>
                    </w:rPr>
                    <w:t>Enterprise Value</w:t>
                  </w:r>
                  <w:r>
                    <w:rPr>
                      <w:b/>
                      <w:color w:val="FFFFFF"/>
                      <w:spacing w:val="-28"/>
                      <w:w w:val="110"/>
                      <w:sz w:val="18"/>
                    </w:rPr>
                    <w:t> </w:t>
                  </w:r>
                  <w:r>
                    <w:rPr>
                      <w:b/>
                      <w:color w:val="FFFFFF"/>
                      <w:w w:val="110"/>
                      <w:sz w:val="18"/>
                    </w:rPr>
                    <w:t>–</w:t>
                  </w:r>
                  <w:r>
                    <w:rPr>
                      <w:b/>
                      <w:color w:val="FFFFFF"/>
                      <w:spacing w:val="-15"/>
                      <w:w w:val="110"/>
                      <w:sz w:val="18"/>
                    </w:rPr>
                    <w:t> </w:t>
                  </w:r>
                  <w:r>
                    <w:rPr>
                      <w:b/>
                      <w:color w:val="FFFFFF"/>
                      <w:w w:val="110"/>
                      <w:sz w:val="18"/>
                    </w:rPr>
                    <w:t>EEPL</w:t>
                    <w:tab/>
                    <w:t>INR 10,289</w:t>
                  </w:r>
                  <w:r>
                    <w:rPr>
                      <w:b/>
                      <w:color w:val="FFFFFF"/>
                      <w:spacing w:val="-4"/>
                      <w:w w:val="110"/>
                      <w:sz w:val="18"/>
                    </w:rPr>
                    <w:t> </w:t>
                  </w:r>
                  <w:r>
                    <w:rPr>
                      <w:b/>
                      <w:color w:val="FFFFFF"/>
                      <w:w w:val="110"/>
                      <w:sz w:val="18"/>
                    </w:rPr>
                    <w:t>Mn</w:t>
                  </w:r>
                </w:p>
              </w:txbxContent>
            </v:textbox>
            <v:fill type="solid"/>
          </v:shape>
        </w:pict>
      </w:r>
      <w:r>
        <w:rPr>
          <w:sz w:val="20"/>
        </w:rPr>
      </w:r>
    </w:p>
    <w:p>
      <w:pPr>
        <w:spacing w:after="0"/>
        <w:rPr>
          <w:sz w:val="20"/>
        </w:rPr>
        <w:sectPr>
          <w:pgSz w:w="11910" w:h="16840"/>
          <w:pgMar w:header="720" w:footer="862" w:top="1660" w:bottom="1060" w:left="40" w:right="40"/>
        </w:sectPr>
      </w:pPr>
    </w:p>
    <w:p>
      <w:pPr>
        <w:pStyle w:val="BodyText"/>
        <w:spacing w:before="7"/>
        <w:rPr>
          <w:sz w:val="9"/>
        </w:rPr>
      </w:pPr>
    </w:p>
    <w:p>
      <w:pPr>
        <w:pStyle w:val="Heading5"/>
        <w:numPr>
          <w:ilvl w:val="0"/>
          <w:numId w:val="14"/>
        </w:numPr>
        <w:tabs>
          <w:tab w:pos="1113" w:val="left" w:leader="none"/>
        </w:tabs>
        <w:spacing w:line="240" w:lineRule="auto" w:before="106" w:after="0"/>
        <w:ind w:left="1112" w:right="0" w:hanging="433"/>
        <w:jc w:val="left"/>
        <w:rPr>
          <w:rFonts w:ascii="Arial"/>
        </w:rPr>
      </w:pPr>
      <w:r>
        <w:rPr>
          <w:rFonts w:ascii="Arial"/>
          <w:color w:val="1F664D"/>
        </w:rPr>
        <w:t>Exhibits and</w:t>
      </w:r>
      <w:r>
        <w:rPr>
          <w:rFonts w:ascii="Arial"/>
          <w:color w:val="1F664D"/>
          <w:spacing w:val="9"/>
        </w:rPr>
        <w:t> </w:t>
      </w:r>
      <w:r>
        <w:rPr>
          <w:rFonts w:ascii="Arial"/>
          <w:color w:val="1F664D"/>
        </w:rPr>
        <w:t>Addendums</w:t>
      </w:r>
    </w:p>
    <w:p>
      <w:pPr>
        <w:pStyle w:val="BodyText"/>
        <w:spacing w:before="8"/>
        <w:rPr>
          <w:rFonts w:ascii="Arial"/>
          <w:b/>
          <w:sz w:val="28"/>
        </w:rPr>
      </w:pPr>
    </w:p>
    <w:p>
      <w:pPr>
        <w:pStyle w:val="ListParagraph"/>
        <w:numPr>
          <w:ilvl w:val="1"/>
          <w:numId w:val="14"/>
        </w:numPr>
        <w:tabs>
          <w:tab w:pos="1257" w:val="left" w:leader="none"/>
        </w:tabs>
        <w:spacing w:line="240" w:lineRule="auto" w:before="1" w:after="0"/>
        <w:ind w:left="1256" w:right="0" w:hanging="577"/>
        <w:jc w:val="left"/>
        <w:rPr>
          <w:color w:val="1F6647"/>
          <w:sz w:val="22"/>
        </w:rPr>
      </w:pPr>
      <w:bookmarkStart w:name="_bookmark413" w:id="806"/>
      <w:bookmarkEnd w:id="806"/>
      <w:r>
        <w:rPr/>
      </w:r>
      <w:bookmarkStart w:name="_bookmark413" w:id="807"/>
      <w:bookmarkEnd w:id="807"/>
      <w:r>
        <w:rPr>
          <w:color w:val="1F6647"/>
          <w:w w:val="105"/>
          <w:sz w:val="22"/>
        </w:rPr>
        <w:t>O</w:t>
      </w:r>
      <w:r>
        <w:rPr>
          <w:color w:val="1F6647"/>
          <w:w w:val="105"/>
          <w:sz w:val="22"/>
        </w:rPr>
        <w:t>ther Mandatory</w:t>
      </w:r>
      <w:r>
        <w:rPr>
          <w:color w:val="1F6647"/>
          <w:spacing w:val="-37"/>
          <w:w w:val="105"/>
          <w:sz w:val="22"/>
        </w:rPr>
        <w:t> </w:t>
      </w:r>
      <w:r>
        <w:rPr>
          <w:color w:val="1F6647"/>
          <w:w w:val="105"/>
          <w:sz w:val="22"/>
        </w:rPr>
        <w:t>Disclosures</w:t>
      </w:r>
    </w:p>
    <w:p>
      <w:pPr>
        <w:pStyle w:val="BodyText"/>
        <w:spacing w:before="2"/>
        <w:rPr>
          <w:sz w:val="28"/>
        </w:rPr>
      </w:pPr>
    </w:p>
    <w:p>
      <w:pPr>
        <w:pStyle w:val="ListParagraph"/>
        <w:numPr>
          <w:ilvl w:val="2"/>
          <w:numId w:val="14"/>
        </w:numPr>
        <w:tabs>
          <w:tab w:pos="1401" w:val="left" w:leader="none"/>
        </w:tabs>
        <w:spacing w:line="240" w:lineRule="auto" w:before="0" w:after="0"/>
        <w:ind w:left="1400" w:right="0" w:hanging="721"/>
        <w:jc w:val="left"/>
        <w:rPr>
          <w:sz w:val="22"/>
        </w:rPr>
      </w:pPr>
      <w:bookmarkStart w:name="_bookmark414" w:id="808"/>
      <w:bookmarkEnd w:id="808"/>
      <w:r>
        <w:rPr/>
      </w:r>
      <w:bookmarkStart w:name="_bookmark414" w:id="809"/>
      <w:bookmarkEnd w:id="809"/>
      <w:r>
        <w:rPr>
          <w:color w:val="1F664D"/>
          <w:sz w:val="22"/>
        </w:rPr>
        <w:t>Det</w:t>
      </w:r>
      <w:r>
        <w:rPr>
          <w:color w:val="1F664D"/>
          <w:sz w:val="22"/>
        </w:rPr>
        <w:t>ails of Material</w:t>
      </w:r>
      <w:r>
        <w:rPr>
          <w:color w:val="1F664D"/>
          <w:spacing w:val="8"/>
          <w:sz w:val="22"/>
        </w:rPr>
        <w:t> </w:t>
      </w:r>
      <w:r>
        <w:rPr>
          <w:color w:val="1F664D"/>
          <w:sz w:val="22"/>
        </w:rPr>
        <w:t>Litigations</w:t>
      </w:r>
    </w:p>
    <w:p>
      <w:pPr>
        <w:pStyle w:val="BodyText"/>
        <w:spacing w:before="205"/>
        <w:ind w:left="1242"/>
        <w:jc w:val="both"/>
      </w:pPr>
      <w:r>
        <w:rPr/>
        <w:t>Based on information provided by the Client, please find below the details of material litigations:</w:t>
      </w:r>
    </w:p>
    <w:p>
      <w:pPr>
        <w:pStyle w:val="BodyText"/>
        <w:spacing w:before="3"/>
        <w:rPr>
          <w:sz w:val="28"/>
        </w:rPr>
      </w:pPr>
    </w:p>
    <w:p>
      <w:pPr>
        <w:pStyle w:val="ListParagraph"/>
        <w:numPr>
          <w:ilvl w:val="0"/>
          <w:numId w:val="95"/>
        </w:numPr>
        <w:tabs>
          <w:tab w:pos="1041" w:val="left" w:leader="none"/>
        </w:tabs>
        <w:spacing w:line="240" w:lineRule="auto" w:before="0" w:after="0"/>
        <w:ind w:left="1040" w:right="0" w:hanging="361"/>
        <w:jc w:val="left"/>
        <w:rPr>
          <w:sz w:val="22"/>
        </w:rPr>
      </w:pPr>
      <w:r>
        <w:rPr>
          <w:sz w:val="22"/>
        </w:rPr>
        <w:t>Embassy</w:t>
      </w:r>
      <w:r>
        <w:rPr>
          <w:spacing w:val="-1"/>
          <w:sz w:val="22"/>
        </w:rPr>
        <w:t> </w:t>
      </w:r>
      <w:r>
        <w:rPr>
          <w:sz w:val="22"/>
        </w:rPr>
        <w:t>Manyata</w:t>
      </w:r>
    </w:p>
    <w:p>
      <w:pPr>
        <w:pStyle w:val="ListParagraph"/>
        <w:numPr>
          <w:ilvl w:val="1"/>
          <w:numId w:val="95"/>
        </w:numPr>
        <w:tabs>
          <w:tab w:pos="1401" w:val="left" w:leader="none"/>
        </w:tabs>
        <w:spacing w:line="247" w:lineRule="auto" w:before="217" w:after="0"/>
        <w:ind w:left="1400" w:right="674" w:hanging="450"/>
        <w:jc w:val="both"/>
        <w:rPr>
          <w:sz w:val="22"/>
        </w:rPr>
      </w:pPr>
      <w:r>
        <w:rPr>
          <w:sz w:val="22"/>
        </w:rPr>
        <w:t>MPPL</w:t>
      </w:r>
      <w:r>
        <w:rPr>
          <w:spacing w:val="-10"/>
          <w:sz w:val="22"/>
        </w:rPr>
        <w:t> </w:t>
      </w:r>
      <w:r>
        <w:rPr>
          <w:sz w:val="22"/>
        </w:rPr>
        <w:t>has</w:t>
      </w:r>
      <w:r>
        <w:rPr>
          <w:spacing w:val="-8"/>
          <w:sz w:val="22"/>
        </w:rPr>
        <w:t> </w:t>
      </w:r>
      <w:r>
        <w:rPr>
          <w:sz w:val="22"/>
        </w:rPr>
        <w:t>filed</w:t>
      </w:r>
      <w:r>
        <w:rPr>
          <w:spacing w:val="-7"/>
          <w:sz w:val="22"/>
        </w:rPr>
        <w:t> </w:t>
      </w:r>
      <w:r>
        <w:rPr>
          <w:sz w:val="22"/>
        </w:rPr>
        <w:t>a</w:t>
      </w:r>
      <w:r>
        <w:rPr>
          <w:spacing w:val="-9"/>
          <w:sz w:val="22"/>
        </w:rPr>
        <w:t> </w:t>
      </w:r>
      <w:r>
        <w:rPr>
          <w:sz w:val="22"/>
        </w:rPr>
        <w:t>writ</w:t>
      </w:r>
      <w:r>
        <w:rPr>
          <w:spacing w:val="-10"/>
          <w:sz w:val="22"/>
        </w:rPr>
        <w:t> </w:t>
      </w:r>
      <w:r>
        <w:rPr>
          <w:sz w:val="22"/>
        </w:rPr>
        <w:t>petition</w:t>
      </w:r>
      <w:r>
        <w:rPr>
          <w:spacing w:val="-9"/>
          <w:sz w:val="22"/>
        </w:rPr>
        <w:t> </w:t>
      </w:r>
      <w:r>
        <w:rPr>
          <w:sz w:val="22"/>
        </w:rPr>
        <w:t>against</w:t>
      </w:r>
      <w:r>
        <w:rPr>
          <w:spacing w:val="-9"/>
          <w:sz w:val="22"/>
        </w:rPr>
        <w:t> </w:t>
      </w:r>
      <w:r>
        <w:rPr>
          <w:sz w:val="22"/>
        </w:rPr>
        <w:t>the</w:t>
      </w:r>
      <w:r>
        <w:rPr>
          <w:spacing w:val="-8"/>
          <w:sz w:val="22"/>
        </w:rPr>
        <w:t> </w:t>
      </w:r>
      <w:r>
        <w:rPr>
          <w:sz w:val="22"/>
        </w:rPr>
        <w:t>BBMP</w:t>
      </w:r>
      <w:r>
        <w:rPr>
          <w:spacing w:val="-9"/>
          <w:sz w:val="22"/>
        </w:rPr>
        <w:t> </w:t>
      </w:r>
      <w:r>
        <w:rPr>
          <w:sz w:val="22"/>
        </w:rPr>
        <w:t>and</w:t>
      </w:r>
      <w:r>
        <w:rPr>
          <w:spacing w:val="-8"/>
          <w:sz w:val="22"/>
        </w:rPr>
        <w:t> </w:t>
      </w:r>
      <w:r>
        <w:rPr>
          <w:sz w:val="22"/>
        </w:rPr>
        <w:t>others</w:t>
      </w:r>
      <w:r>
        <w:rPr>
          <w:spacing w:val="-8"/>
          <w:sz w:val="22"/>
        </w:rPr>
        <w:t> </w:t>
      </w:r>
      <w:r>
        <w:rPr>
          <w:sz w:val="22"/>
        </w:rPr>
        <w:t>seeking</w:t>
      </w:r>
      <w:r>
        <w:rPr>
          <w:spacing w:val="-8"/>
          <w:sz w:val="22"/>
        </w:rPr>
        <w:t> </w:t>
      </w:r>
      <w:r>
        <w:rPr>
          <w:sz w:val="22"/>
        </w:rPr>
        <w:t>to</w:t>
      </w:r>
      <w:r>
        <w:rPr>
          <w:spacing w:val="-3"/>
          <w:sz w:val="22"/>
        </w:rPr>
        <w:t> </w:t>
      </w:r>
      <w:r>
        <w:rPr>
          <w:i/>
          <w:sz w:val="22"/>
        </w:rPr>
        <w:t>inter-alia</w:t>
      </w:r>
      <w:r>
        <w:rPr>
          <w:sz w:val="22"/>
        </w:rPr>
        <w:t>,</w:t>
      </w:r>
      <w:r>
        <w:rPr>
          <w:spacing w:val="-7"/>
          <w:sz w:val="22"/>
        </w:rPr>
        <w:t> </w:t>
      </w:r>
      <w:r>
        <w:rPr>
          <w:sz w:val="22"/>
        </w:rPr>
        <w:t>quash</w:t>
      </w:r>
      <w:r>
        <w:rPr>
          <w:spacing w:val="-10"/>
          <w:sz w:val="22"/>
        </w:rPr>
        <w:t> </w:t>
      </w:r>
      <w:r>
        <w:rPr>
          <w:sz w:val="22"/>
        </w:rPr>
        <w:t>(i)</w:t>
      </w:r>
      <w:r>
        <w:rPr>
          <w:spacing w:val="-8"/>
          <w:sz w:val="22"/>
        </w:rPr>
        <w:t> </w:t>
      </w:r>
      <w:r>
        <w:rPr>
          <w:sz w:val="22"/>
        </w:rPr>
        <w:t>a</w:t>
      </w:r>
      <w:r>
        <w:rPr>
          <w:spacing w:val="-10"/>
          <w:sz w:val="22"/>
        </w:rPr>
        <w:t> </w:t>
      </w:r>
      <w:r>
        <w:rPr>
          <w:sz w:val="22"/>
        </w:rPr>
        <w:t>circular from</w:t>
      </w:r>
      <w:r>
        <w:rPr>
          <w:spacing w:val="-21"/>
          <w:sz w:val="22"/>
        </w:rPr>
        <w:t> </w:t>
      </w:r>
      <w:r>
        <w:rPr>
          <w:sz w:val="22"/>
        </w:rPr>
        <w:t>2014</w:t>
      </w:r>
      <w:r>
        <w:rPr>
          <w:spacing w:val="-22"/>
          <w:sz w:val="22"/>
        </w:rPr>
        <w:t> </w:t>
      </w:r>
      <w:r>
        <w:rPr>
          <w:sz w:val="22"/>
        </w:rPr>
        <w:t>re-fixing</w:t>
      </w:r>
      <w:r>
        <w:rPr>
          <w:spacing w:val="-21"/>
          <w:sz w:val="22"/>
        </w:rPr>
        <w:t> </w:t>
      </w:r>
      <w:r>
        <w:rPr>
          <w:sz w:val="22"/>
        </w:rPr>
        <w:t>the</w:t>
      </w:r>
      <w:r>
        <w:rPr>
          <w:spacing w:val="-21"/>
          <w:sz w:val="22"/>
        </w:rPr>
        <w:t> </w:t>
      </w:r>
      <w:r>
        <w:rPr>
          <w:sz w:val="22"/>
        </w:rPr>
        <w:t>improvement</w:t>
      </w:r>
      <w:r>
        <w:rPr>
          <w:spacing w:val="-21"/>
          <w:sz w:val="22"/>
        </w:rPr>
        <w:t> </w:t>
      </w:r>
      <w:r>
        <w:rPr>
          <w:sz w:val="22"/>
        </w:rPr>
        <w:t>charges</w:t>
      </w:r>
      <w:r>
        <w:rPr>
          <w:spacing w:val="-20"/>
          <w:sz w:val="22"/>
        </w:rPr>
        <w:t> </w:t>
      </w:r>
      <w:r>
        <w:rPr>
          <w:sz w:val="22"/>
        </w:rPr>
        <w:t>under</w:t>
      </w:r>
      <w:r>
        <w:rPr>
          <w:spacing w:val="-21"/>
          <w:sz w:val="22"/>
        </w:rPr>
        <w:t> </w:t>
      </w:r>
      <w:r>
        <w:rPr>
          <w:sz w:val="22"/>
        </w:rPr>
        <w:t>the</w:t>
      </w:r>
      <w:r>
        <w:rPr>
          <w:spacing w:val="-22"/>
          <w:sz w:val="22"/>
        </w:rPr>
        <w:t> </w:t>
      </w:r>
      <w:r>
        <w:rPr>
          <w:sz w:val="22"/>
        </w:rPr>
        <w:t>Karnataka</w:t>
      </w:r>
      <w:r>
        <w:rPr>
          <w:spacing w:val="-22"/>
          <w:sz w:val="22"/>
        </w:rPr>
        <w:t> </w:t>
      </w:r>
      <w:r>
        <w:rPr>
          <w:sz w:val="22"/>
        </w:rPr>
        <w:t>Municipal</w:t>
      </w:r>
      <w:r>
        <w:rPr>
          <w:spacing w:val="-21"/>
          <w:sz w:val="22"/>
        </w:rPr>
        <w:t> </w:t>
      </w:r>
      <w:r>
        <w:rPr>
          <w:sz w:val="22"/>
        </w:rPr>
        <w:t>Corporations</w:t>
      </w:r>
      <w:r>
        <w:rPr>
          <w:spacing w:val="-21"/>
          <w:sz w:val="22"/>
        </w:rPr>
        <w:t> </w:t>
      </w:r>
      <w:r>
        <w:rPr>
          <w:sz w:val="22"/>
        </w:rPr>
        <w:t>Act,</w:t>
      </w:r>
      <w:r>
        <w:rPr>
          <w:spacing w:val="-21"/>
          <w:sz w:val="22"/>
        </w:rPr>
        <w:t> </w:t>
      </w:r>
      <w:r>
        <w:rPr>
          <w:sz w:val="22"/>
        </w:rPr>
        <w:t>1976, and</w:t>
      </w:r>
      <w:r>
        <w:rPr>
          <w:spacing w:val="-15"/>
          <w:sz w:val="22"/>
        </w:rPr>
        <w:t> </w:t>
      </w:r>
      <w:r>
        <w:rPr>
          <w:sz w:val="22"/>
        </w:rPr>
        <w:t>the</w:t>
      </w:r>
      <w:r>
        <w:rPr>
          <w:spacing w:val="-16"/>
          <w:sz w:val="22"/>
        </w:rPr>
        <w:t> </w:t>
      </w:r>
      <w:r>
        <w:rPr>
          <w:sz w:val="22"/>
        </w:rPr>
        <w:t>Karnataka</w:t>
      </w:r>
      <w:r>
        <w:rPr>
          <w:spacing w:val="-16"/>
          <w:sz w:val="22"/>
        </w:rPr>
        <w:t> </w:t>
      </w:r>
      <w:r>
        <w:rPr>
          <w:sz w:val="22"/>
        </w:rPr>
        <w:t>Municipal</w:t>
      </w:r>
      <w:r>
        <w:rPr>
          <w:spacing w:val="-16"/>
          <w:sz w:val="22"/>
        </w:rPr>
        <w:t> </w:t>
      </w:r>
      <w:r>
        <w:rPr>
          <w:sz w:val="22"/>
        </w:rPr>
        <w:t>Corporations</w:t>
      </w:r>
      <w:r>
        <w:rPr>
          <w:spacing w:val="-16"/>
          <w:sz w:val="22"/>
        </w:rPr>
        <w:t> </w:t>
      </w:r>
      <w:r>
        <w:rPr>
          <w:sz w:val="22"/>
        </w:rPr>
        <w:t>(Recovery</w:t>
      </w:r>
      <w:r>
        <w:rPr>
          <w:spacing w:val="-14"/>
          <w:sz w:val="22"/>
        </w:rPr>
        <w:t> </w:t>
      </w:r>
      <w:r>
        <w:rPr>
          <w:sz w:val="22"/>
        </w:rPr>
        <w:t>of</w:t>
      </w:r>
      <w:r>
        <w:rPr>
          <w:spacing w:val="-17"/>
          <w:sz w:val="22"/>
        </w:rPr>
        <w:t> </w:t>
      </w:r>
      <w:r>
        <w:rPr>
          <w:sz w:val="22"/>
        </w:rPr>
        <w:t>Improvement</w:t>
      </w:r>
      <w:r>
        <w:rPr>
          <w:spacing w:val="-17"/>
          <w:sz w:val="22"/>
        </w:rPr>
        <w:t> </w:t>
      </w:r>
      <w:r>
        <w:rPr>
          <w:sz w:val="22"/>
        </w:rPr>
        <w:t>Expenses)</w:t>
      </w:r>
      <w:r>
        <w:rPr>
          <w:spacing w:val="-14"/>
          <w:sz w:val="22"/>
        </w:rPr>
        <w:t> </w:t>
      </w:r>
      <w:r>
        <w:rPr>
          <w:sz w:val="22"/>
        </w:rPr>
        <w:t>Rules,</w:t>
      </w:r>
      <w:r>
        <w:rPr>
          <w:spacing w:val="-15"/>
          <w:sz w:val="22"/>
        </w:rPr>
        <w:t> </w:t>
      </w:r>
      <w:r>
        <w:rPr>
          <w:sz w:val="22"/>
        </w:rPr>
        <w:t>2009,</w:t>
      </w:r>
      <w:r>
        <w:rPr>
          <w:spacing w:val="-15"/>
          <w:sz w:val="22"/>
        </w:rPr>
        <w:t> </w:t>
      </w:r>
      <w:r>
        <w:rPr>
          <w:sz w:val="22"/>
        </w:rPr>
        <w:t>and</w:t>
      </w:r>
      <w:r>
        <w:rPr>
          <w:spacing w:val="-17"/>
          <w:sz w:val="22"/>
        </w:rPr>
        <w:t> </w:t>
      </w:r>
      <w:r>
        <w:rPr>
          <w:sz w:val="22"/>
        </w:rPr>
        <w:t>(ii) a</w:t>
      </w:r>
      <w:r>
        <w:rPr>
          <w:spacing w:val="-8"/>
          <w:sz w:val="22"/>
        </w:rPr>
        <w:t> </w:t>
      </w:r>
      <w:r>
        <w:rPr>
          <w:sz w:val="22"/>
        </w:rPr>
        <w:t>notice</w:t>
      </w:r>
      <w:r>
        <w:rPr>
          <w:spacing w:val="-8"/>
          <w:sz w:val="22"/>
        </w:rPr>
        <w:t> </w:t>
      </w:r>
      <w:r>
        <w:rPr>
          <w:sz w:val="22"/>
        </w:rPr>
        <w:t>from</w:t>
      </w:r>
      <w:r>
        <w:rPr>
          <w:spacing w:val="-7"/>
          <w:sz w:val="22"/>
        </w:rPr>
        <w:t> </w:t>
      </w:r>
      <w:r>
        <w:rPr>
          <w:sz w:val="22"/>
        </w:rPr>
        <w:t>2015</w:t>
      </w:r>
      <w:r>
        <w:rPr>
          <w:spacing w:val="-9"/>
          <w:sz w:val="22"/>
        </w:rPr>
        <w:t> </w:t>
      </w:r>
      <w:r>
        <w:rPr>
          <w:sz w:val="22"/>
        </w:rPr>
        <w:t>demanding</w:t>
      </w:r>
      <w:r>
        <w:rPr>
          <w:spacing w:val="-8"/>
          <w:sz w:val="22"/>
        </w:rPr>
        <w:t> </w:t>
      </w:r>
      <w:r>
        <w:rPr>
          <w:sz w:val="22"/>
        </w:rPr>
        <w:t>payment</w:t>
      </w:r>
      <w:r>
        <w:rPr>
          <w:spacing w:val="-6"/>
          <w:sz w:val="22"/>
        </w:rPr>
        <w:t> </w:t>
      </w:r>
      <w:r>
        <w:rPr>
          <w:sz w:val="22"/>
        </w:rPr>
        <w:t>of</w:t>
      </w:r>
      <w:r>
        <w:rPr>
          <w:spacing w:val="-8"/>
          <w:sz w:val="22"/>
        </w:rPr>
        <w:t> </w:t>
      </w:r>
      <w:r>
        <w:rPr>
          <w:sz w:val="22"/>
        </w:rPr>
        <w:t>betterment</w:t>
      </w:r>
      <w:r>
        <w:rPr>
          <w:spacing w:val="-7"/>
          <w:sz w:val="22"/>
        </w:rPr>
        <w:t> </w:t>
      </w:r>
      <w:r>
        <w:rPr>
          <w:sz w:val="22"/>
        </w:rPr>
        <w:t>charges</w:t>
      </w:r>
      <w:r>
        <w:rPr>
          <w:spacing w:val="-7"/>
          <w:sz w:val="22"/>
        </w:rPr>
        <w:t> </w:t>
      </w:r>
      <w:r>
        <w:rPr>
          <w:sz w:val="22"/>
        </w:rPr>
        <w:t>of</w:t>
      </w:r>
      <w:r>
        <w:rPr>
          <w:spacing w:val="-5"/>
          <w:sz w:val="22"/>
        </w:rPr>
        <w:t> </w:t>
      </w:r>
      <w:r>
        <w:rPr>
          <w:rFonts w:ascii="Arial" w:hAnsi="Arial"/>
          <w:sz w:val="22"/>
        </w:rPr>
        <w:t>₹</w:t>
      </w:r>
      <w:r>
        <w:rPr>
          <w:sz w:val="22"/>
        </w:rPr>
        <w:t>127.9</w:t>
      </w:r>
      <w:r>
        <w:rPr>
          <w:spacing w:val="-10"/>
          <w:sz w:val="22"/>
        </w:rPr>
        <w:t> </w:t>
      </w:r>
      <w:r>
        <w:rPr>
          <w:sz w:val="22"/>
        </w:rPr>
        <w:t>million.</w:t>
      </w:r>
      <w:r>
        <w:rPr>
          <w:spacing w:val="-8"/>
          <w:sz w:val="22"/>
        </w:rPr>
        <w:t> </w:t>
      </w:r>
      <w:r>
        <w:rPr>
          <w:sz w:val="22"/>
        </w:rPr>
        <w:t>In</w:t>
      </w:r>
      <w:r>
        <w:rPr>
          <w:spacing w:val="-7"/>
          <w:sz w:val="22"/>
        </w:rPr>
        <w:t> </w:t>
      </w:r>
      <w:r>
        <w:rPr>
          <w:sz w:val="22"/>
        </w:rPr>
        <w:t>2016,</w:t>
      </w:r>
      <w:r>
        <w:rPr>
          <w:spacing w:val="-7"/>
          <w:sz w:val="22"/>
        </w:rPr>
        <w:t> </w:t>
      </w:r>
      <w:r>
        <w:rPr>
          <w:sz w:val="22"/>
        </w:rPr>
        <w:t>the</w:t>
      </w:r>
      <w:r>
        <w:rPr>
          <w:spacing w:val="-7"/>
          <w:sz w:val="22"/>
        </w:rPr>
        <w:t> High </w:t>
      </w:r>
      <w:r>
        <w:rPr>
          <w:sz w:val="22"/>
        </w:rPr>
        <w:t>Court</w:t>
      </w:r>
      <w:r>
        <w:rPr>
          <w:spacing w:val="-8"/>
          <w:sz w:val="22"/>
        </w:rPr>
        <w:t> </w:t>
      </w:r>
      <w:r>
        <w:rPr>
          <w:sz w:val="22"/>
        </w:rPr>
        <w:t>of</w:t>
      </w:r>
      <w:r>
        <w:rPr>
          <w:spacing w:val="-7"/>
          <w:sz w:val="22"/>
        </w:rPr>
        <w:t> </w:t>
      </w:r>
      <w:r>
        <w:rPr>
          <w:sz w:val="22"/>
        </w:rPr>
        <w:t>Karnataka</w:t>
      </w:r>
      <w:r>
        <w:rPr>
          <w:spacing w:val="-8"/>
          <w:sz w:val="22"/>
        </w:rPr>
        <w:t> </w:t>
      </w:r>
      <w:r>
        <w:rPr>
          <w:sz w:val="22"/>
        </w:rPr>
        <w:t>has</w:t>
      </w:r>
      <w:r>
        <w:rPr>
          <w:spacing w:val="-8"/>
          <w:sz w:val="22"/>
        </w:rPr>
        <w:t> </w:t>
      </w:r>
      <w:r>
        <w:rPr>
          <w:sz w:val="22"/>
        </w:rPr>
        <w:t>granted</w:t>
      </w:r>
      <w:r>
        <w:rPr>
          <w:spacing w:val="-7"/>
          <w:sz w:val="22"/>
        </w:rPr>
        <w:t> </w:t>
      </w:r>
      <w:r>
        <w:rPr>
          <w:sz w:val="22"/>
        </w:rPr>
        <w:t>an</w:t>
      </w:r>
      <w:r>
        <w:rPr>
          <w:spacing w:val="-8"/>
          <w:sz w:val="22"/>
        </w:rPr>
        <w:t> </w:t>
      </w:r>
      <w:r>
        <w:rPr>
          <w:sz w:val="22"/>
        </w:rPr>
        <w:t>interim</w:t>
      </w:r>
      <w:r>
        <w:rPr>
          <w:spacing w:val="-8"/>
          <w:sz w:val="22"/>
        </w:rPr>
        <w:t> </w:t>
      </w:r>
      <w:r>
        <w:rPr>
          <w:sz w:val="22"/>
        </w:rPr>
        <w:t>stay</w:t>
      </w:r>
      <w:r>
        <w:rPr>
          <w:spacing w:val="-7"/>
          <w:sz w:val="22"/>
        </w:rPr>
        <w:t> </w:t>
      </w:r>
      <w:r>
        <w:rPr>
          <w:sz w:val="22"/>
        </w:rPr>
        <w:t>on</w:t>
      </w:r>
      <w:r>
        <w:rPr>
          <w:spacing w:val="-11"/>
          <w:sz w:val="22"/>
        </w:rPr>
        <w:t> </w:t>
      </w:r>
      <w:r>
        <w:rPr>
          <w:sz w:val="22"/>
        </w:rPr>
        <w:t>the</w:t>
      </w:r>
      <w:r>
        <w:rPr>
          <w:spacing w:val="-9"/>
          <w:sz w:val="22"/>
        </w:rPr>
        <w:t> </w:t>
      </w:r>
      <w:r>
        <w:rPr>
          <w:sz w:val="22"/>
        </w:rPr>
        <w:t>impugned</w:t>
      </w:r>
      <w:r>
        <w:rPr>
          <w:spacing w:val="-7"/>
          <w:sz w:val="22"/>
        </w:rPr>
        <w:t> </w:t>
      </w:r>
      <w:r>
        <w:rPr>
          <w:sz w:val="22"/>
        </w:rPr>
        <w:t>circular</w:t>
      </w:r>
      <w:r>
        <w:rPr>
          <w:spacing w:val="-8"/>
          <w:sz w:val="22"/>
        </w:rPr>
        <w:t> </w:t>
      </w:r>
      <w:r>
        <w:rPr>
          <w:sz w:val="22"/>
        </w:rPr>
        <w:t>and</w:t>
      </w:r>
      <w:r>
        <w:rPr>
          <w:spacing w:val="-8"/>
          <w:sz w:val="22"/>
        </w:rPr>
        <w:t> </w:t>
      </w:r>
      <w:r>
        <w:rPr>
          <w:sz w:val="22"/>
        </w:rPr>
        <w:t>notice.</w:t>
      </w:r>
    </w:p>
    <w:p>
      <w:pPr>
        <w:pStyle w:val="ListParagraph"/>
        <w:numPr>
          <w:ilvl w:val="1"/>
          <w:numId w:val="95"/>
        </w:numPr>
        <w:tabs>
          <w:tab w:pos="1401" w:val="left" w:leader="none"/>
        </w:tabs>
        <w:spacing w:line="247" w:lineRule="auto" w:before="212" w:after="0"/>
        <w:ind w:left="1400" w:right="674" w:hanging="450"/>
        <w:jc w:val="both"/>
        <w:rPr>
          <w:sz w:val="22"/>
        </w:rPr>
      </w:pPr>
      <w:r>
        <w:rPr>
          <w:sz w:val="22"/>
        </w:rPr>
        <w:t>A</w:t>
      </w:r>
      <w:r>
        <w:rPr>
          <w:spacing w:val="-20"/>
          <w:sz w:val="22"/>
        </w:rPr>
        <w:t> </w:t>
      </w:r>
      <w:r>
        <w:rPr>
          <w:sz w:val="22"/>
        </w:rPr>
        <w:t>third</w:t>
      </w:r>
      <w:r>
        <w:rPr>
          <w:spacing w:val="-20"/>
          <w:sz w:val="22"/>
        </w:rPr>
        <w:t> </w:t>
      </w:r>
      <w:r>
        <w:rPr>
          <w:sz w:val="22"/>
        </w:rPr>
        <w:t>party</w:t>
      </w:r>
      <w:r>
        <w:rPr>
          <w:spacing w:val="-21"/>
          <w:sz w:val="22"/>
        </w:rPr>
        <w:t> </w:t>
      </w:r>
      <w:r>
        <w:rPr>
          <w:sz w:val="22"/>
        </w:rPr>
        <w:t>suit</w:t>
      </w:r>
      <w:r>
        <w:rPr>
          <w:spacing w:val="-21"/>
          <w:sz w:val="22"/>
        </w:rPr>
        <w:t> </w:t>
      </w:r>
      <w:r>
        <w:rPr>
          <w:sz w:val="22"/>
        </w:rPr>
        <w:t>was</w:t>
      </w:r>
      <w:r>
        <w:rPr>
          <w:spacing w:val="-20"/>
          <w:sz w:val="22"/>
        </w:rPr>
        <w:t> </w:t>
      </w:r>
      <w:r>
        <w:rPr>
          <w:sz w:val="22"/>
        </w:rPr>
        <w:t>filed</w:t>
      </w:r>
      <w:r>
        <w:rPr>
          <w:spacing w:val="-17"/>
          <w:sz w:val="22"/>
        </w:rPr>
        <w:t> </w:t>
      </w:r>
      <w:r>
        <w:rPr>
          <w:sz w:val="22"/>
        </w:rPr>
        <w:t>against</w:t>
      </w:r>
      <w:r>
        <w:rPr>
          <w:spacing w:val="-20"/>
          <w:sz w:val="22"/>
        </w:rPr>
        <w:t> </w:t>
      </w:r>
      <w:r>
        <w:rPr>
          <w:sz w:val="22"/>
        </w:rPr>
        <w:t>MPPL</w:t>
      </w:r>
      <w:r>
        <w:rPr>
          <w:spacing w:val="-20"/>
          <w:sz w:val="22"/>
        </w:rPr>
        <w:t> </w:t>
      </w:r>
      <w:r>
        <w:rPr>
          <w:sz w:val="22"/>
        </w:rPr>
        <w:t>and</w:t>
      </w:r>
      <w:r>
        <w:rPr>
          <w:spacing w:val="-20"/>
          <w:sz w:val="22"/>
        </w:rPr>
        <w:t> </w:t>
      </w:r>
      <w:r>
        <w:rPr>
          <w:sz w:val="22"/>
        </w:rPr>
        <w:t>other</w:t>
      </w:r>
      <w:r>
        <w:rPr>
          <w:spacing w:val="-21"/>
          <w:sz w:val="22"/>
        </w:rPr>
        <w:t> </w:t>
      </w:r>
      <w:r>
        <w:rPr>
          <w:sz w:val="22"/>
        </w:rPr>
        <w:t>defendants</w:t>
      </w:r>
      <w:r>
        <w:rPr>
          <w:spacing w:val="-21"/>
          <w:sz w:val="22"/>
        </w:rPr>
        <w:t> </w:t>
      </w:r>
      <w:r>
        <w:rPr>
          <w:sz w:val="22"/>
        </w:rPr>
        <w:t>(who</w:t>
      </w:r>
      <w:r>
        <w:rPr>
          <w:spacing w:val="-21"/>
          <w:sz w:val="22"/>
        </w:rPr>
        <w:t> </w:t>
      </w:r>
      <w:r>
        <w:rPr>
          <w:sz w:val="22"/>
        </w:rPr>
        <w:t>are</w:t>
      </w:r>
      <w:r>
        <w:rPr>
          <w:spacing w:val="-21"/>
          <w:sz w:val="22"/>
        </w:rPr>
        <w:t> </w:t>
      </w:r>
      <w:r>
        <w:rPr>
          <w:sz w:val="22"/>
        </w:rPr>
        <w:t>co-owners</w:t>
      </w:r>
      <w:r>
        <w:rPr>
          <w:spacing w:val="-20"/>
          <w:sz w:val="22"/>
        </w:rPr>
        <w:t> </w:t>
      </w:r>
      <w:r>
        <w:rPr>
          <w:sz w:val="22"/>
        </w:rPr>
        <w:t>in</w:t>
      </w:r>
      <w:r>
        <w:rPr>
          <w:spacing w:val="-22"/>
          <w:sz w:val="22"/>
        </w:rPr>
        <w:t> </w:t>
      </w:r>
      <w:r>
        <w:rPr>
          <w:sz w:val="22"/>
        </w:rPr>
        <w:t>joint</w:t>
      </w:r>
      <w:r>
        <w:rPr>
          <w:spacing w:val="-20"/>
          <w:sz w:val="22"/>
        </w:rPr>
        <w:t> </w:t>
      </w:r>
      <w:r>
        <w:rPr>
          <w:sz w:val="22"/>
        </w:rPr>
        <w:t>possession with</w:t>
      </w:r>
      <w:r>
        <w:rPr>
          <w:spacing w:val="-29"/>
          <w:sz w:val="22"/>
        </w:rPr>
        <w:t> </w:t>
      </w:r>
      <w:r>
        <w:rPr>
          <w:sz w:val="22"/>
        </w:rPr>
        <w:t>the</w:t>
      </w:r>
      <w:r>
        <w:rPr>
          <w:spacing w:val="-31"/>
          <w:sz w:val="22"/>
        </w:rPr>
        <w:t> </w:t>
      </w:r>
      <w:r>
        <w:rPr>
          <w:sz w:val="22"/>
        </w:rPr>
        <w:t>plaintiff)</w:t>
      </w:r>
      <w:r>
        <w:rPr>
          <w:spacing w:val="-27"/>
          <w:sz w:val="22"/>
        </w:rPr>
        <w:t> </w:t>
      </w:r>
      <w:r>
        <w:rPr>
          <w:sz w:val="22"/>
        </w:rPr>
        <w:t>in</w:t>
      </w:r>
      <w:r>
        <w:rPr>
          <w:spacing w:val="-30"/>
          <w:sz w:val="22"/>
        </w:rPr>
        <w:t> </w:t>
      </w:r>
      <w:r>
        <w:rPr>
          <w:sz w:val="22"/>
        </w:rPr>
        <w:t>2020</w:t>
      </w:r>
      <w:r>
        <w:rPr>
          <w:spacing w:val="-30"/>
          <w:sz w:val="22"/>
        </w:rPr>
        <w:t> </w:t>
      </w:r>
      <w:r>
        <w:rPr>
          <w:sz w:val="22"/>
        </w:rPr>
        <w:t>before</w:t>
      </w:r>
      <w:r>
        <w:rPr>
          <w:spacing w:val="-29"/>
          <w:sz w:val="22"/>
        </w:rPr>
        <w:t> </w:t>
      </w:r>
      <w:r>
        <w:rPr>
          <w:sz w:val="22"/>
        </w:rPr>
        <w:t>the</w:t>
      </w:r>
      <w:r>
        <w:rPr>
          <w:spacing w:val="-29"/>
          <w:sz w:val="22"/>
        </w:rPr>
        <w:t> </w:t>
      </w:r>
      <w:r>
        <w:rPr>
          <w:sz w:val="22"/>
        </w:rPr>
        <w:t>High</w:t>
      </w:r>
      <w:r>
        <w:rPr>
          <w:spacing w:val="-30"/>
          <w:sz w:val="22"/>
        </w:rPr>
        <w:t> </w:t>
      </w:r>
      <w:r>
        <w:rPr>
          <w:sz w:val="22"/>
        </w:rPr>
        <w:t>Court</w:t>
      </w:r>
      <w:r>
        <w:rPr>
          <w:spacing w:val="-29"/>
          <w:sz w:val="22"/>
        </w:rPr>
        <w:t> </w:t>
      </w:r>
      <w:r>
        <w:rPr>
          <w:sz w:val="22"/>
        </w:rPr>
        <w:t>of</w:t>
      </w:r>
      <w:r>
        <w:rPr>
          <w:spacing w:val="-31"/>
          <w:sz w:val="22"/>
        </w:rPr>
        <w:t> </w:t>
      </w:r>
      <w:r>
        <w:rPr>
          <w:sz w:val="22"/>
        </w:rPr>
        <w:t>Karnataka</w:t>
      </w:r>
      <w:r>
        <w:rPr>
          <w:spacing w:val="-28"/>
          <w:sz w:val="22"/>
        </w:rPr>
        <w:t> </w:t>
      </w:r>
      <w:r>
        <w:rPr>
          <w:sz w:val="22"/>
        </w:rPr>
        <w:t>seeking</w:t>
      </w:r>
      <w:r>
        <w:rPr>
          <w:spacing w:val="-28"/>
          <w:sz w:val="22"/>
        </w:rPr>
        <w:t> </w:t>
      </w:r>
      <w:r>
        <w:rPr>
          <w:sz w:val="22"/>
        </w:rPr>
        <w:t>(i)</w:t>
      </w:r>
      <w:r>
        <w:rPr>
          <w:spacing w:val="-28"/>
          <w:sz w:val="22"/>
        </w:rPr>
        <w:t> </w:t>
      </w:r>
      <w:r>
        <w:rPr>
          <w:sz w:val="22"/>
        </w:rPr>
        <w:t>1/8</w:t>
      </w:r>
      <w:r>
        <w:rPr>
          <w:sz w:val="22"/>
          <w:vertAlign w:val="superscript"/>
        </w:rPr>
        <w:t>th</w:t>
      </w:r>
      <w:r>
        <w:rPr>
          <w:spacing w:val="-29"/>
          <w:sz w:val="22"/>
          <w:vertAlign w:val="baseline"/>
        </w:rPr>
        <w:t> </w:t>
      </w:r>
      <w:r>
        <w:rPr>
          <w:sz w:val="22"/>
          <w:vertAlign w:val="baseline"/>
        </w:rPr>
        <w:t>share</w:t>
      </w:r>
      <w:r>
        <w:rPr>
          <w:spacing w:val="-29"/>
          <w:sz w:val="22"/>
          <w:vertAlign w:val="baseline"/>
        </w:rPr>
        <w:t> </w:t>
      </w:r>
      <w:r>
        <w:rPr>
          <w:sz w:val="22"/>
          <w:vertAlign w:val="baseline"/>
        </w:rPr>
        <w:t>of</w:t>
      </w:r>
      <w:r>
        <w:rPr>
          <w:spacing w:val="-29"/>
          <w:sz w:val="22"/>
          <w:vertAlign w:val="baseline"/>
        </w:rPr>
        <w:t> </w:t>
      </w:r>
      <w:r>
        <w:rPr>
          <w:sz w:val="22"/>
          <w:vertAlign w:val="baseline"/>
        </w:rPr>
        <w:t>property</w:t>
      </w:r>
      <w:r>
        <w:rPr>
          <w:spacing w:val="-29"/>
          <w:sz w:val="22"/>
          <w:vertAlign w:val="baseline"/>
        </w:rPr>
        <w:t> </w:t>
      </w:r>
      <w:r>
        <w:rPr>
          <w:sz w:val="22"/>
          <w:vertAlign w:val="baseline"/>
        </w:rPr>
        <w:t>by</w:t>
      </w:r>
      <w:r>
        <w:rPr>
          <w:spacing w:val="-29"/>
          <w:sz w:val="22"/>
          <w:vertAlign w:val="baseline"/>
        </w:rPr>
        <w:t> </w:t>
      </w:r>
      <w:r>
        <w:rPr>
          <w:sz w:val="22"/>
          <w:vertAlign w:val="baseline"/>
        </w:rPr>
        <w:t>way of</w:t>
      </w:r>
      <w:r>
        <w:rPr>
          <w:spacing w:val="-39"/>
          <w:sz w:val="22"/>
          <w:vertAlign w:val="baseline"/>
        </w:rPr>
        <w:t> </w:t>
      </w:r>
      <w:r>
        <w:rPr>
          <w:sz w:val="22"/>
          <w:vertAlign w:val="baseline"/>
        </w:rPr>
        <w:t>partition;</w:t>
      </w:r>
      <w:r>
        <w:rPr>
          <w:spacing w:val="-39"/>
          <w:sz w:val="22"/>
          <w:vertAlign w:val="baseline"/>
        </w:rPr>
        <w:t> </w:t>
      </w:r>
      <w:r>
        <w:rPr>
          <w:sz w:val="22"/>
          <w:vertAlign w:val="baseline"/>
        </w:rPr>
        <w:t>(ii)a</w:t>
      </w:r>
      <w:r>
        <w:rPr>
          <w:spacing w:val="-39"/>
          <w:sz w:val="22"/>
          <w:vertAlign w:val="baseline"/>
        </w:rPr>
        <w:t> </w:t>
      </w:r>
      <w:r>
        <w:rPr>
          <w:sz w:val="22"/>
          <w:vertAlign w:val="baseline"/>
        </w:rPr>
        <w:t>declaration</w:t>
      </w:r>
      <w:r>
        <w:rPr>
          <w:spacing w:val="-39"/>
          <w:sz w:val="22"/>
          <w:vertAlign w:val="baseline"/>
        </w:rPr>
        <w:t> </w:t>
      </w:r>
      <w:r>
        <w:rPr>
          <w:sz w:val="22"/>
          <w:vertAlign w:val="baseline"/>
        </w:rPr>
        <w:t>that</w:t>
      </w:r>
      <w:r>
        <w:rPr>
          <w:spacing w:val="-39"/>
          <w:sz w:val="22"/>
          <w:vertAlign w:val="baseline"/>
        </w:rPr>
        <w:t> </w:t>
      </w:r>
      <w:r>
        <w:rPr>
          <w:sz w:val="22"/>
          <w:vertAlign w:val="baseline"/>
        </w:rPr>
        <w:t>the</w:t>
      </w:r>
      <w:r>
        <w:rPr>
          <w:spacing w:val="-38"/>
          <w:sz w:val="22"/>
          <w:vertAlign w:val="baseline"/>
        </w:rPr>
        <w:t> </w:t>
      </w:r>
      <w:r>
        <w:rPr>
          <w:i/>
          <w:sz w:val="22"/>
          <w:vertAlign w:val="baseline"/>
        </w:rPr>
        <w:t>panchayth</w:t>
      </w:r>
      <w:r>
        <w:rPr>
          <w:i/>
          <w:spacing w:val="-40"/>
          <w:sz w:val="22"/>
          <w:vertAlign w:val="baseline"/>
        </w:rPr>
        <w:t> </w:t>
      </w:r>
      <w:r>
        <w:rPr>
          <w:i/>
          <w:sz w:val="22"/>
          <w:vertAlign w:val="baseline"/>
        </w:rPr>
        <w:t>parikath</w:t>
      </w:r>
      <w:r>
        <w:rPr>
          <w:i/>
          <w:spacing w:val="-38"/>
          <w:sz w:val="22"/>
          <w:vertAlign w:val="baseline"/>
        </w:rPr>
        <w:t> </w:t>
      </w:r>
      <w:r>
        <w:rPr>
          <w:sz w:val="22"/>
          <w:vertAlign w:val="baseline"/>
        </w:rPr>
        <w:t>alias</w:t>
      </w:r>
      <w:r>
        <w:rPr>
          <w:spacing w:val="-38"/>
          <w:sz w:val="22"/>
          <w:vertAlign w:val="baseline"/>
        </w:rPr>
        <w:t> </w:t>
      </w:r>
      <w:r>
        <w:rPr>
          <w:sz w:val="22"/>
          <w:vertAlign w:val="baseline"/>
        </w:rPr>
        <w:t>partition</w:t>
      </w:r>
      <w:r>
        <w:rPr>
          <w:spacing w:val="-40"/>
          <w:sz w:val="22"/>
          <w:vertAlign w:val="baseline"/>
        </w:rPr>
        <w:t> </w:t>
      </w:r>
      <w:r>
        <w:rPr>
          <w:sz w:val="22"/>
          <w:vertAlign w:val="baseline"/>
        </w:rPr>
        <w:t>deed</w:t>
      </w:r>
      <w:r>
        <w:rPr>
          <w:spacing w:val="-38"/>
          <w:sz w:val="22"/>
          <w:vertAlign w:val="baseline"/>
        </w:rPr>
        <w:t> </w:t>
      </w:r>
      <w:r>
        <w:rPr>
          <w:sz w:val="22"/>
          <w:vertAlign w:val="baseline"/>
        </w:rPr>
        <w:t>dated</w:t>
      </w:r>
      <w:r>
        <w:rPr>
          <w:spacing w:val="-40"/>
          <w:sz w:val="22"/>
          <w:vertAlign w:val="baseline"/>
        </w:rPr>
        <w:t> </w:t>
      </w:r>
      <w:r>
        <w:rPr>
          <w:sz w:val="22"/>
          <w:vertAlign w:val="baseline"/>
        </w:rPr>
        <w:t>February</w:t>
      </w:r>
      <w:r>
        <w:rPr>
          <w:spacing w:val="-39"/>
          <w:sz w:val="22"/>
          <w:vertAlign w:val="baseline"/>
        </w:rPr>
        <w:t> </w:t>
      </w:r>
      <w:r>
        <w:rPr>
          <w:sz w:val="22"/>
          <w:vertAlign w:val="baseline"/>
        </w:rPr>
        <w:t>20,</w:t>
      </w:r>
      <w:r>
        <w:rPr>
          <w:spacing w:val="-39"/>
          <w:sz w:val="22"/>
          <w:vertAlign w:val="baseline"/>
        </w:rPr>
        <w:t> </w:t>
      </w:r>
      <w:r>
        <w:rPr>
          <w:sz w:val="22"/>
          <w:vertAlign w:val="baseline"/>
        </w:rPr>
        <w:t>1997, sale</w:t>
      </w:r>
      <w:r>
        <w:rPr>
          <w:spacing w:val="-31"/>
          <w:sz w:val="22"/>
          <w:vertAlign w:val="baseline"/>
        </w:rPr>
        <w:t> </w:t>
      </w:r>
      <w:r>
        <w:rPr>
          <w:sz w:val="22"/>
          <w:vertAlign w:val="baseline"/>
        </w:rPr>
        <w:t>deeds</w:t>
      </w:r>
      <w:r>
        <w:rPr>
          <w:spacing w:val="-29"/>
          <w:sz w:val="22"/>
          <w:vertAlign w:val="baseline"/>
        </w:rPr>
        <w:t> </w:t>
      </w:r>
      <w:r>
        <w:rPr>
          <w:sz w:val="22"/>
          <w:vertAlign w:val="baseline"/>
        </w:rPr>
        <w:t>executed</w:t>
      </w:r>
      <w:r>
        <w:rPr>
          <w:spacing w:val="-29"/>
          <w:sz w:val="22"/>
          <w:vertAlign w:val="baseline"/>
        </w:rPr>
        <w:t> </w:t>
      </w:r>
      <w:r>
        <w:rPr>
          <w:sz w:val="22"/>
          <w:vertAlign w:val="baseline"/>
        </w:rPr>
        <w:t>in</w:t>
      </w:r>
      <w:r>
        <w:rPr>
          <w:spacing w:val="-31"/>
          <w:sz w:val="22"/>
          <w:vertAlign w:val="baseline"/>
        </w:rPr>
        <w:t> </w:t>
      </w:r>
      <w:r>
        <w:rPr>
          <w:sz w:val="22"/>
          <w:vertAlign w:val="baseline"/>
        </w:rPr>
        <w:t>favour</w:t>
      </w:r>
      <w:r>
        <w:rPr>
          <w:spacing w:val="-30"/>
          <w:sz w:val="22"/>
          <w:vertAlign w:val="baseline"/>
        </w:rPr>
        <w:t> </w:t>
      </w:r>
      <w:r>
        <w:rPr>
          <w:sz w:val="22"/>
          <w:vertAlign w:val="baseline"/>
        </w:rPr>
        <w:t>of</w:t>
      </w:r>
      <w:r>
        <w:rPr>
          <w:spacing w:val="-29"/>
          <w:sz w:val="22"/>
          <w:vertAlign w:val="baseline"/>
        </w:rPr>
        <w:t> </w:t>
      </w:r>
      <w:r>
        <w:rPr>
          <w:sz w:val="22"/>
          <w:vertAlign w:val="baseline"/>
        </w:rPr>
        <w:t>MPPL</w:t>
      </w:r>
      <w:r>
        <w:rPr>
          <w:spacing w:val="-30"/>
          <w:sz w:val="22"/>
          <w:vertAlign w:val="baseline"/>
        </w:rPr>
        <w:t> </w:t>
      </w:r>
      <w:r>
        <w:rPr>
          <w:sz w:val="22"/>
          <w:vertAlign w:val="baseline"/>
        </w:rPr>
        <w:t>are</w:t>
      </w:r>
      <w:r>
        <w:rPr>
          <w:spacing w:val="-30"/>
          <w:sz w:val="22"/>
          <w:vertAlign w:val="baseline"/>
        </w:rPr>
        <w:t> </w:t>
      </w:r>
      <w:r>
        <w:rPr>
          <w:sz w:val="22"/>
          <w:vertAlign w:val="baseline"/>
        </w:rPr>
        <w:t>void</w:t>
      </w:r>
      <w:r>
        <w:rPr>
          <w:spacing w:val="-29"/>
          <w:sz w:val="22"/>
          <w:vertAlign w:val="baseline"/>
        </w:rPr>
        <w:t> </w:t>
      </w:r>
      <w:r>
        <w:rPr>
          <w:sz w:val="22"/>
          <w:vertAlign w:val="baseline"/>
        </w:rPr>
        <w:t>ab-initio</w:t>
      </w:r>
      <w:r>
        <w:rPr>
          <w:spacing w:val="-30"/>
          <w:sz w:val="22"/>
          <w:vertAlign w:val="baseline"/>
        </w:rPr>
        <w:t> </w:t>
      </w:r>
      <w:r>
        <w:rPr>
          <w:sz w:val="22"/>
          <w:vertAlign w:val="baseline"/>
        </w:rPr>
        <w:t>and</w:t>
      </w:r>
      <w:r>
        <w:rPr>
          <w:spacing w:val="-30"/>
          <w:sz w:val="22"/>
          <w:vertAlign w:val="baseline"/>
        </w:rPr>
        <w:t> </w:t>
      </w:r>
      <w:r>
        <w:rPr>
          <w:sz w:val="22"/>
          <w:vertAlign w:val="baseline"/>
        </w:rPr>
        <w:t>(iii)</w:t>
      </w:r>
      <w:r>
        <w:rPr>
          <w:spacing w:val="-29"/>
          <w:sz w:val="22"/>
          <w:vertAlign w:val="baseline"/>
        </w:rPr>
        <w:t> </w:t>
      </w:r>
      <w:r>
        <w:rPr>
          <w:sz w:val="22"/>
          <w:vertAlign w:val="baseline"/>
        </w:rPr>
        <w:t>award</w:t>
      </w:r>
      <w:r>
        <w:rPr>
          <w:spacing w:val="-29"/>
          <w:sz w:val="22"/>
          <w:vertAlign w:val="baseline"/>
        </w:rPr>
        <w:t> </w:t>
      </w:r>
      <w:r>
        <w:rPr>
          <w:sz w:val="22"/>
          <w:vertAlign w:val="baseline"/>
        </w:rPr>
        <w:t>of</w:t>
      </w:r>
      <w:r>
        <w:rPr>
          <w:spacing w:val="-31"/>
          <w:sz w:val="22"/>
          <w:vertAlign w:val="baseline"/>
        </w:rPr>
        <w:t> </w:t>
      </w:r>
      <w:r>
        <w:rPr>
          <w:sz w:val="22"/>
          <w:vertAlign w:val="baseline"/>
        </w:rPr>
        <w:t>mesne</w:t>
      </w:r>
      <w:r>
        <w:rPr>
          <w:spacing w:val="-30"/>
          <w:sz w:val="22"/>
          <w:vertAlign w:val="baseline"/>
        </w:rPr>
        <w:t> </w:t>
      </w:r>
      <w:r>
        <w:rPr>
          <w:sz w:val="22"/>
          <w:vertAlign w:val="baseline"/>
        </w:rPr>
        <w:t>profit</w:t>
      </w:r>
      <w:r>
        <w:rPr>
          <w:spacing w:val="-30"/>
          <w:sz w:val="22"/>
          <w:vertAlign w:val="baseline"/>
        </w:rPr>
        <w:t> </w:t>
      </w:r>
      <w:r>
        <w:rPr>
          <w:sz w:val="22"/>
          <w:vertAlign w:val="baseline"/>
        </w:rPr>
        <w:t>to</w:t>
      </w:r>
      <w:r>
        <w:rPr>
          <w:spacing w:val="-30"/>
          <w:sz w:val="22"/>
          <w:vertAlign w:val="baseline"/>
        </w:rPr>
        <w:t> </w:t>
      </w:r>
      <w:r>
        <w:rPr>
          <w:sz w:val="22"/>
          <w:vertAlign w:val="baseline"/>
        </w:rPr>
        <w:t>the</w:t>
      </w:r>
      <w:r>
        <w:rPr>
          <w:spacing w:val="-32"/>
          <w:sz w:val="22"/>
          <w:vertAlign w:val="baseline"/>
        </w:rPr>
        <w:t> </w:t>
      </w:r>
      <w:r>
        <w:rPr>
          <w:sz w:val="22"/>
          <w:vertAlign w:val="baseline"/>
        </w:rPr>
        <w:t>plaintiff. The matter was heard on January 28, 2020 and was ordered for issuance of summons and interlocutory application to the</w:t>
      </w:r>
      <w:r>
        <w:rPr>
          <w:spacing w:val="-5"/>
          <w:sz w:val="22"/>
          <w:vertAlign w:val="baseline"/>
        </w:rPr>
        <w:t> </w:t>
      </w:r>
      <w:r>
        <w:rPr>
          <w:sz w:val="22"/>
          <w:vertAlign w:val="baseline"/>
        </w:rPr>
        <w:t>defendants.</w:t>
      </w:r>
    </w:p>
    <w:p>
      <w:pPr>
        <w:pStyle w:val="BodyText"/>
        <w:rPr>
          <w:sz w:val="23"/>
        </w:rPr>
      </w:pPr>
    </w:p>
    <w:p>
      <w:pPr>
        <w:pStyle w:val="ListParagraph"/>
        <w:numPr>
          <w:ilvl w:val="0"/>
          <w:numId w:val="95"/>
        </w:numPr>
        <w:tabs>
          <w:tab w:pos="935" w:val="left" w:leader="none"/>
        </w:tabs>
        <w:spacing w:line="240" w:lineRule="auto" w:before="0" w:after="0"/>
        <w:ind w:left="934" w:right="0" w:hanging="255"/>
        <w:jc w:val="left"/>
        <w:rPr>
          <w:sz w:val="22"/>
        </w:rPr>
      </w:pPr>
      <w:r>
        <w:rPr>
          <w:sz w:val="22"/>
        </w:rPr>
        <w:t>Hilton at Embassy</w:t>
      </w:r>
      <w:r>
        <w:rPr>
          <w:spacing w:val="-8"/>
          <w:sz w:val="22"/>
        </w:rPr>
        <w:t> </w:t>
      </w:r>
      <w:r>
        <w:rPr>
          <w:sz w:val="22"/>
        </w:rPr>
        <w:t>Golflinks</w:t>
      </w:r>
    </w:p>
    <w:p>
      <w:pPr>
        <w:pStyle w:val="BodyText"/>
        <w:spacing w:line="247" w:lineRule="auto" w:before="215"/>
        <w:ind w:left="1256" w:right="675"/>
        <w:jc w:val="both"/>
      </w:pPr>
      <w:r>
        <w:rPr/>
        <w:t>A third party has filed a suit against GLSP, UPPL and Mac Charles (India) Limited and others in 2003 before</w:t>
      </w:r>
      <w:r>
        <w:rPr>
          <w:spacing w:val="-32"/>
        </w:rPr>
        <w:t> </w:t>
      </w:r>
      <w:r>
        <w:rPr/>
        <w:t>the</w:t>
      </w:r>
      <w:r>
        <w:rPr>
          <w:spacing w:val="-32"/>
        </w:rPr>
        <w:t> </w:t>
      </w:r>
      <w:r>
        <w:rPr/>
        <w:t>City</w:t>
      </w:r>
      <w:r>
        <w:rPr>
          <w:spacing w:val="-33"/>
        </w:rPr>
        <w:t> </w:t>
      </w:r>
      <w:r>
        <w:rPr/>
        <w:t>Civil</w:t>
      </w:r>
      <w:r>
        <w:rPr>
          <w:spacing w:val="-32"/>
        </w:rPr>
        <w:t> </w:t>
      </w:r>
      <w:r>
        <w:rPr/>
        <w:t>Court,</w:t>
      </w:r>
      <w:r>
        <w:rPr>
          <w:spacing w:val="-31"/>
        </w:rPr>
        <w:t> </w:t>
      </w:r>
      <w:r>
        <w:rPr/>
        <w:t>Bengaluru,</w:t>
      </w:r>
      <w:r>
        <w:rPr>
          <w:spacing w:val="-31"/>
        </w:rPr>
        <w:t> </w:t>
      </w:r>
      <w:r>
        <w:rPr/>
        <w:t>seeking</w:t>
      </w:r>
      <w:r>
        <w:rPr>
          <w:spacing w:val="-31"/>
        </w:rPr>
        <w:t> </w:t>
      </w:r>
      <w:r>
        <w:rPr/>
        <w:t>specific</w:t>
      </w:r>
      <w:r>
        <w:rPr>
          <w:spacing w:val="-32"/>
        </w:rPr>
        <w:t> </w:t>
      </w:r>
      <w:r>
        <w:rPr/>
        <w:t>performance</w:t>
      </w:r>
      <w:r>
        <w:rPr>
          <w:spacing w:val="-32"/>
        </w:rPr>
        <w:t> </w:t>
      </w:r>
      <w:r>
        <w:rPr/>
        <w:t>of</w:t>
      </w:r>
      <w:r>
        <w:rPr>
          <w:spacing w:val="-30"/>
        </w:rPr>
        <w:t> </w:t>
      </w:r>
      <w:r>
        <w:rPr/>
        <w:t>an</w:t>
      </w:r>
      <w:r>
        <w:rPr>
          <w:spacing w:val="-32"/>
        </w:rPr>
        <w:t> </w:t>
      </w:r>
      <w:r>
        <w:rPr/>
        <w:t>agreement</w:t>
      </w:r>
      <w:r>
        <w:rPr>
          <w:spacing w:val="-31"/>
        </w:rPr>
        <w:t> </w:t>
      </w:r>
      <w:r>
        <w:rPr/>
        <w:t>for</w:t>
      </w:r>
      <w:r>
        <w:rPr>
          <w:spacing w:val="-32"/>
        </w:rPr>
        <w:t> </w:t>
      </w:r>
      <w:r>
        <w:rPr/>
        <w:t>sale</w:t>
      </w:r>
      <w:r>
        <w:rPr>
          <w:spacing w:val="-32"/>
        </w:rPr>
        <w:t> </w:t>
      </w:r>
      <w:r>
        <w:rPr/>
        <w:t>for</w:t>
      </w:r>
      <w:r>
        <w:rPr>
          <w:spacing w:val="-32"/>
        </w:rPr>
        <w:t> </w:t>
      </w:r>
      <w:r>
        <w:rPr/>
        <w:t>94,000 square</w:t>
      </w:r>
      <w:r>
        <w:rPr>
          <w:spacing w:val="-27"/>
        </w:rPr>
        <w:t> </w:t>
      </w:r>
      <w:r>
        <w:rPr/>
        <w:t>feet</w:t>
      </w:r>
      <w:r>
        <w:rPr>
          <w:spacing w:val="-24"/>
        </w:rPr>
        <w:t> </w:t>
      </w:r>
      <w:r>
        <w:rPr/>
        <w:t>of</w:t>
      </w:r>
      <w:r>
        <w:rPr>
          <w:spacing w:val="-25"/>
        </w:rPr>
        <w:t> </w:t>
      </w:r>
      <w:r>
        <w:rPr/>
        <w:t>land</w:t>
      </w:r>
      <w:r>
        <w:rPr>
          <w:spacing w:val="-26"/>
        </w:rPr>
        <w:t> </w:t>
      </w:r>
      <w:r>
        <w:rPr/>
        <w:t>forming</w:t>
      </w:r>
      <w:r>
        <w:rPr>
          <w:spacing w:val="-24"/>
        </w:rPr>
        <w:t> </w:t>
      </w:r>
      <w:r>
        <w:rPr/>
        <w:t>part</w:t>
      </w:r>
      <w:r>
        <w:rPr>
          <w:spacing w:val="-25"/>
        </w:rPr>
        <w:t> </w:t>
      </w:r>
      <w:r>
        <w:rPr/>
        <w:t>of</w:t>
      </w:r>
      <w:r>
        <w:rPr>
          <w:spacing w:val="-25"/>
        </w:rPr>
        <w:t> </w:t>
      </w:r>
      <w:r>
        <w:rPr/>
        <w:t>the</w:t>
      </w:r>
      <w:r>
        <w:rPr>
          <w:spacing w:val="-26"/>
        </w:rPr>
        <w:t> </w:t>
      </w:r>
      <w:r>
        <w:rPr/>
        <w:t>larger</w:t>
      </w:r>
      <w:r>
        <w:rPr>
          <w:spacing w:val="-26"/>
        </w:rPr>
        <w:t> </w:t>
      </w:r>
      <w:r>
        <w:rPr/>
        <w:t>parcel</w:t>
      </w:r>
      <w:r>
        <w:rPr>
          <w:spacing w:val="-26"/>
        </w:rPr>
        <w:t> </w:t>
      </w:r>
      <w:r>
        <w:rPr/>
        <w:t>of</w:t>
      </w:r>
      <w:r>
        <w:rPr>
          <w:spacing w:val="-25"/>
        </w:rPr>
        <w:t> </w:t>
      </w:r>
      <w:r>
        <w:rPr/>
        <w:t>land</w:t>
      </w:r>
      <w:r>
        <w:rPr>
          <w:spacing w:val="-25"/>
        </w:rPr>
        <w:t> </w:t>
      </w:r>
      <w:r>
        <w:rPr/>
        <w:t>admeasuring</w:t>
      </w:r>
      <w:r>
        <w:rPr>
          <w:spacing w:val="-25"/>
        </w:rPr>
        <w:t> </w:t>
      </w:r>
      <w:r>
        <w:rPr/>
        <w:t>5</w:t>
      </w:r>
      <w:r>
        <w:rPr>
          <w:spacing w:val="-24"/>
        </w:rPr>
        <w:t> </w:t>
      </w:r>
      <w:r>
        <w:rPr/>
        <w:t>acres</w:t>
      </w:r>
      <w:r>
        <w:rPr>
          <w:spacing w:val="-25"/>
        </w:rPr>
        <w:t> </w:t>
      </w:r>
      <w:r>
        <w:rPr/>
        <w:t>and</w:t>
      </w:r>
      <w:r>
        <w:rPr>
          <w:spacing w:val="-25"/>
        </w:rPr>
        <w:t> </w:t>
      </w:r>
      <w:r>
        <w:rPr/>
        <w:t>23</w:t>
      </w:r>
      <w:r>
        <w:rPr>
          <w:spacing w:val="-26"/>
        </w:rPr>
        <w:t> </w:t>
      </w:r>
      <w:r>
        <w:rPr/>
        <w:t>guntas</w:t>
      </w:r>
      <w:r>
        <w:rPr>
          <w:spacing w:val="-25"/>
        </w:rPr>
        <w:t> </w:t>
      </w:r>
      <w:r>
        <w:rPr/>
        <w:t>situated at</w:t>
      </w:r>
      <w:r>
        <w:rPr>
          <w:spacing w:val="-28"/>
        </w:rPr>
        <w:t> </w:t>
      </w:r>
      <w:r>
        <w:rPr/>
        <w:t>Challaghatta</w:t>
      </w:r>
      <w:r>
        <w:rPr>
          <w:spacing w:val="-29"/>
        </w:rPr>
        <w:t> </w:t>
      </w:r>
      <w:r>
        <w:rPr/>
        <w:t>village.</w:t>
      </w:r>
      <w:r>
        <w:rPr>
          <w:spacing w:val="-28"/>
        </w:rPr>
        <w:t> </w:t>
      </w:r>
      <w:r>
        <w:rPr/>
        <w:t>The</w:t>
      </w:r>
      <w:r>
        <w:rPr>
          <w:spacing w:val="-29"/>
        </w:rPr>
        <w:t> </w:t>
      </w:r>
      <w:r>
        <w:rPr/>
        <w:t>court</w:t>
      </w:r>
      <w:r>
        <w:rPr>
          <w:spacing w:val="-28"/>
        </w:rPr>
        <w:t> </w:t>
      </w:r>
      <w:r>
        <w:rPr/>
        <w:t>dismissed</w:t>
      </w:r>
      <w:r>
        <w:rPr>
          <w:spacing w:val="-28"/>
        </w:rPr>
        <w:t> </w:t>
      </w:r>
      <w:r>
        <w:rPr/>
        <w:t>the</w:t>
      </w:r>
      <w:r>
        <w:rPr>
          <w:spacing w:val="-30"/>
        </w:rPr>
        <w:t> </w:t>
      </w:r>
      <w:r>
        <w:rPr/>
        <w:t>suit</w:t>
      </w:r>
      <w:r>
        <w:rPr>
          <w:spacing w:val="-28"/>
        </w:rPr>
        <w:t> </w:t>
      </w:r>
      <w:r>
        <w:rPr/>
        <w:t>in</w:t>
      </w:r>
      <w:r>
        <w:rPr>
          <w:spacing w:val="-29"/>
        </w:rPr>
        <w:t> </w:t>
      </w:r>
      <w:r>
        <w:rPr/>
        <w:t>2008.</w:t>
      </w:r>
      <w:r>
        <w:rPr>
          <w:spacing w:val="-28"/>
        </w:rPr>
        <w:t> </w:t>
      </w:r>
      <w:r>
        <w:rPr/>
        <w:t>The</w:t>
      </w:r>
      <w:r>
        <w:rPr>
          <w:spacing w:val="-29"/>
        </w:rPr>
        <w:t> </w:t>
      </w:r>
      <w:r>
        <w:rPr/>
        <w:t>plaintiff</w:t>
      </w:r>
      <w:r>
        <w:rPr>
          <w:spacing w:val="-28"/>
        </w:rPr>
        <w:t> </w:t>
      </w:r>
      <w:r>
        <w:rPr/>
        <w:t>has</w:t>
      </w:r>
      <w:r>
        <w:rPr>
          <w:spacing w:val="-28"/>
        </w:rPr>
        <w:t> </w:t>
      </w:r>
      <w:r>
        <w:rPr/>
        <w:t>challenged</w:t>
      </w:r>
      <w:r>
        <w:rPr>
          <w:spacing w:val="-29"/>
        </w:rPr>
        <w:t> </w:t>
      </w:r>
      <w:r>
        <w:rPr/>
        <w:t>such</w:t>
      </w:r>
      <w:r>
        <w:rPr>
          <w:spacing w:val="-28"/>
        </w:rPr>
        <w:t> </w:t>
      </w:r>
      <w:r>
        <w:rPr/>
        <w:t>dismissal in 2009 before the High Court of Karnataka in an appeal. GLSP and UPPL have been arraigned as respondents</w:t>
      </w:r>
      <w:r>
        <w:rPr>
          <w:spacing w:val="-11"/>
        </w:rPr>
        <w:t> </w:t>
      </w:r>
      <w:r>
        <w:rPr/>
        <w:t>in</w:t>
      </w:r>
      <w:r>
        <w:rPr>
          <w:spacing w:val="-12"/>
        </w:rPr>
        <w:t> </w:t>
      </w:r>
      <w:r>
        <w:rPr/>
        <w:t>the</w:t>
      </w:r>
      <w:r>
        <w:rPr>
          <w:spacing w:val="-12"/>
        </w:rPr>
        <w:t> </w:t>
      </w:r>
      <w:r>
        <w:rPr/>
        <w:t>appeal.</w:t>
      </w:r>
      <w:r>
        <w:rPr>
          <w:spacing w:val="-12"/>
        </w:rPr>
        <w:t> </w:t>
      </w:r>
      <w:r>
        <w:rPr/>
        <w:t>The</w:t>
      </w:r>
      <w:r>
        <w:rPr>
          <w:spacing w:val="-12"/>
        </w:rPr>
        <w:t> </w:t>
      </w:r>
      <w:r>
        <w:rPr/>
        <w:t>High</w:t>
      </w:r>
      <w:r>
        <w:rPr>
          <w:spacing w:val="-11"/>
        </w:rPr>
        <w:t> </w:t>
      </w:r>
      <w:r>
        <w:rPr/>
        <w:t>Court</w:t>
      </w:r>
      <w:r>
        <w:rPr>
          <w:spacing w:val="-12"/>
        </w:rPr>
        <w:t> </w:t>
      </w:r>
      <w:r>
        <w:rPr/>
        <w:t>of</w:t>
      </w:r>
      <w:r>
        <w:rPr>
          <w:spacing w:val="-12"/>
        </w:rPr>
        <w:t> </w:t>
      </w:r>
      <w:r>
        <w:rPr/>
        <w:t>Karnataka</w:t>
      </w:r>
      <w:r>
        <w:rPr>
          <w:spacing w:val="-11"/>
        </w:rPr>
        <w:t> </w:t>
      </w:r>
      <w:r>
        <w:rPr/>
        <w:t>has</w:t>
      </w:r>
      <w:r>
        <w:rPr>
          <w:spacing w:val="-11"/>
        </w:rPr>
        <w:t> </w:t>
      </w:r>
      <w:r>
        <w:rPr/>
        <w:t>recorded</w:t>
      </w:r>
      <w:r>
        <w:rPr>
          <w:spacing w:val="-11"/>
        </w:rPr>
        <w:t> </w:t>
      </w:r>
      <w:r>
        <w:rPr/>
        <w:t>the</w:t>
      </w:r>
      <w:r>
        <w:rPr>
          <w:spacing w:val="-12"/>
        </w:rPr>
        <w:t> </w:t>
      </w:r>
      <w:r>
        <w:rPr/>
        <w:t>submission</w:t>
      </w:r>
      <w:r>
        <w:rPr>
          <w:spacing w:val="-12"/>
        </w:rPr>
        <w:t> </w:t>
      </w:r>
      <w:r>
        <w:rPr/>
        <w:t>made</w:t>
      </w:r>
      <w:r>
        <w:rPr>
          <w:spacing w:val="-14"/>
        </w:rPr>
        <w:t> </w:t>
      </w:r>
      <w:r>
        <w:rPr/>
        <w:t>by</w:t>
      </w:r>
      <w:r>
        <w:rPr>
          <w:spacing w:val="-13"/>
        </w:rPr>
        <w:t> </w:t>
      </w:r>
      <w:r>
        <w:rPr/>
        <w:t>GLSP</w:t>
      </w:r>
      <w:r>
        <w:rPr>
          <w:spacing w:val="-15"/>
        </w:rPr>
        <w:t> </w:t>
      </w:r>
      <w:r>
        <w:rPr/>
        <w:t>&amp; UPPL</w:t>
      </w:r>
      <w:r>
        <w:rPr>
          <w:spacing w:val="-17"/>
        </w:rPr>
        <w:t> </w:t>
      </w:r>
      <w:r>
        <w:rPr/>
        <w:t>indicating</w:t>
      </w:r>
      <w:r>
        <w:rPr>
          <w:spacing w:val="-17"/>
        </w:rPr>
        <w:t> </w:t>
      </w:r>
      <w:r>
        <w:rPr/>
        <w:t>that</w:t>
      </w:r>
      <w:r>
        <w:rPr>
          <w:spacing w:val="-17"/>
        </w:rPr>
        <w:t> </w:t>
      </w:r>
      <w:r>
        <w:rPr/>
        <w:t>no</w:t>
      </w:r>
      <w:r>
        <w:rPr>
          <w:spacing w:val="-17"/>
        </w:rPr>
        <w:t> </w:t>
      </w:r>
      <w:r>
        <w:rPr/>
        <w:t>encumbrance</w:t>
      </w:r>
      <w:r>
        <w:rPr>
          <w:spacing w:val="-17"/>
        </w:rPr>
        <w:t> </w:t>
      </w:r>
      <w:r>
        <w:rPr/>
        <w:t>will</w:t>
      </w:r>
      <w:r>
        <w:rPr>
          <w:spacing w:val="-17"/>
        </w:rPr>
        <w:t> </w:t>
      </w:r>
      <w:r>
        <w:rPr/>
        <w:t>be</w:t>
      </w:r>
      <w:r>
        <w:rPr>
          <w:spacing w:val="-17"/>
        </w:rPr>
        <w:t> </w:t>
      </w:r>
      <w:r>
        <w:rPr/>
        <w:t>created</w:t>
      </w:r>
      <w:r>
        <w:rPr>
          <w:spacing w:val="-16"/>
        </w:rPr>
        <w:t> </w:t>
      </w:r>
      <w:r>
        <w:rPr/>
        <w:t>on</w:t>
      </w:r>
      <w:r>
        <w:rPr>
          <w:spacing w:val="-17"/>
        </w:rPr>
        <w:t> </w:t>
      </w:r>
      <w:r>
        <w:rPr/>
        <w:t>the</w:t>
      </w:r>
      <w:r>
        <w:rPr>
          <w:spacing w:val="-18"/>
        </w:rPr>
        <w:t> </w:t>
      </w:r>
      <w:r>
        <w:rPr/>
        <w:t>suit</w:t>
      </w:r>
      <w:r>
        <w:rPr>
          <w:spacing w:val="-16"/>
        </w:rPr>
        <w:t> </w:t>
      </w:r>
      <w:r>
        <w:rPr/>
        <w:t>property</w:t>
      </w:r>
      <w:r>
        <w:rPr>
          <w:spacing w:val="-15"/>
        </w:rPr>
        <w:t> </w:t>
      </w:r>
      <w:r>
        <w:rPr/>
        <w:t>of</w:t>
      </w:r>
      <w:r>
        <w:rPr>
          <w:spacing w:val="-18"/>
        </w:rPr>
        <w:t> </w:t>
      </w:r>
      <w:r>
        <w:rPr/>
        <w:t>94,000</w:t>
      </w:r>
      <w:r>
        <w:rPr>
          <w:spacing w:val="-16"/>
        </w:rPr>
        <w:t> </w:t>
      </w:r>
      <w:r>
        <w:rPr/>
        <w:t>square</w:t>
      </w:r>
      <w:r>
        <w:rPr>
          <w:spacing w:val="-17"/>
        </w:rPr>
        <w:t> </w:t>
      </w:r>
      <w:r>
        <w:rPr/>
        <w:t>feet.</w:t>
      </w:r>
    </w:p>
    <w:p>
      <w:pPr>
        <w:pStyle w:val="BodyText"/>
        <w:spacing w:before="3"/>
        <w:rPr>
          <w:sz w:val="23"/>
        </w:rPr>
      </w:pPr>
    </w:p>
    <w:p>
      <w:pPr>
        <w:pStyle w:val="ListParagraph"/>
        <w:numPr>
          <w:ilvl w:val="0"/>
          <w:numId w:val="95"/>
        </w:numPr>
        <w:tabs>
          <w:tab w:pos="971" w:val="left" w:leader="none"/>
        </w:tabs>
        <w:spacing w:line="240" w:lineRule="auto" w:before="0" w:after="0"/>
        <w:ind w:left="970" w:right="0" w:hanging="291"/>
        <w:jc w:val="left"/>
        <w:rPr>
          <w:sz w:val="22"/>
        </w:rPr>
      </w:pPr>
      <w:r>
        <w:rPr>
          <w:sz w:val="22"/>
        </w:rPr>
        <w:t>Express</w:t>
      </w:r>
      <w:r>
        <w:rPr>
          <w:spacing w:val="-1"/>
          <w:sz w:val="22"/>
        </w:rPr>
        <w:t> </w:t>
      </w:r>
      <w:r>
        <w:rPr>
          <w:sz w:val="22"/>
        </w:rPr>
        <w:t>Towers</w:t>
      </w:r>
    </w:p>
    <w:p>
      <w:pPr>
        <w:pStyle w:val="ListParagraph"/>
        <w:numPr>
          <w:ilvl w:val="1"/>
          <w:numId w:val="95"/>
        </w:numPr>
        <w:tabs>
          <w:tab w:pos="1401" w:val="left" w:leader="none"/>
        </w:tabs>
        <w:spacing w:line="247" w:lineRule="auto" w:before="215" w:after="0"/>
        <w:ind w:left="1400" w:right="677" w:hanging="541"/>
        <w:jc w:val="both"/>
        <w:rPr>
          <w:sz w:val="22"/>
        </w:rPr>
      </w:pPr>
      <w:r>
        <w:rPr>
          <w:sz w:val="22"/>
        </w:rPr>
        <w:t>IENMPL</w:t>
      </w:r>
      <w:r>
        <w:rPr>
          <w:spacing w:val="-7"/>
          <w:sz w:val="22"/>
        </w:rPr>
        <w:t> </w:t>
      </w:r>
      <w:r>
        <w:rPr>
          <w:sz w:val="22"/>
        </w:rPr>
        <w:t>has</w:t>
      </w:r>
      <w:r>
        <w:rPr>
          <w:spacing w:val="-6"/>
          <w:sz w:val="22"/>
        </w:rPr>
        <w:t> </w:t>
      </w:r>
      <w:r>
        <w:rPr>
          <w:sz w:val="22"/>
        </w:rPr>
        <w:t>filed</w:t>
      </w:r>
      <w:r>
        <w:rPr>
          <w:spacing w:val="-4"/>
          <w:sz w:val="22"/>
        </w:rPr>
        <w:t> </w:t>
      </w:r>
      <w:r>
        <w:rPr>
          <w:sz w:val="22"/>
        </w:rPr>
        <w:t>a</w:t>
      </w:r>
      <w:r>
        <w:rPr>
          <w:spacing w:val="-7"/>
          <w:sz w:val="22"/>
        </w:rPr>
        <w:t> </w:t>
      </w:r>
      <w:r>
        <w:rPr>
          <w:sz w:val="22"/>
        </w:rPr>
        <w:t>writ</w:t>
      </w:r>
      <w:r>
        <w:rPr>
          <w:spacing w:val="-7"/>
          <w:sz w:val="22"/>
        </w:rPr>
        <w:t> </w:t>
      </w:r>
      <w:r>
        <w:rPr>
          <w:sz w:val="22"/>
        </w:rPr>
        <w:t>petition</w:t>
      </w:r>
      <w:r>
        <w:rPr>
          <w:spacing w:val="-5"/>
          <w:sz w:val="22"/>
        </w:rPr>
        <w:t> </w:t>
      </w:r>
      <w:r>
        <w:rPr>
          <w:sz w:val="22"/>
        </w:rPr>
        <w:t>against</w:t>
      </w:r>
      <w:r>
        <w:rPr>
          <w:spacing w:val="-5"/>
          <w:sz w:val="22"/>
        </w:rPr>
        <w:t> </w:t>
      </w:r>
      <w:r>
        <w:rPr>
          <w:sz w:val="22"/>
        </w:rPr>
        <w:t>the</w:t>
      </w:r>
      <w:r>
        <w:rPr>
          <w:spacing w:val="-7"/>
          <w:sz w:val="22"/>
        </w:rPr>
        <w:t> </w:t>
      </w:r>
      <w:r>
        <w:rPr>
          <w:sz w:val="22"/>
        </w:rPr>
        <w:t>Government</w:t>
      </w:r>
      <w:r>
        <w:rPr>
          <w:spacing w:val="-4"/>
          <w:sz w:val="22"/>
        </w:rPr>
        <w:t> </w:t>
      </w:r>
      <w:r>
        <w:rPr>
          <w:sz w:val="22"/>
        </w:rPr>
        <w:t>of</w:t>
      </w:r>
      <w:r>
        <w:rPr>
          <w:spacing w:val="-6"/>
          <w:sz w:val="22"/>
        </w:rPr>
        <w:t> </w:t>
      </w:r>
      <w:r>
        <w:rPr>
          <w:sz w:val="22"/>
        </w:rPr>
        <w:t>Maharashtra</w:t>
      </w:r>
      <w:r>
        <w:rPr>
          <w:spacing w:val="-5"/>
          <w:sz w:val="22"/>
        </w:rPr>
        <w:t> </w:t>
      </w:r>
      <w:r>
        <w:rPr>
          <w:sz w:val="22"/>
        </w:rPr>
        <w:t>and</w:t>
      </w:r>
      <w:r>
        <w:rPr>
          <w:spacing w:val="-4"/>
          <w:sz w:val="22"/>
        </w:rPr>
        <w:t> </w:t>
      </w:r>
      <w:r>
        <w:rPr>
          <w:sz w:val="22"/>
        </w:rPr>
        <w:t>the</w:t>
      </w:r>
      <w:r>
        <w:rPr>
          <w:spacing w:val="-7"/>
          <w:sz w:val="22"/>
        </w:rPr>
        <w:t> </w:t>
      </w:r>
      <w:r>
        <w:rPr>
          <w:sz w:val="22"/>
        </w:rPr>
        <w:t>Collector,</w:t>
      </w:r>
      <w:r>
        <w:rPr>
          <w:spacing w:val="-7"/>
          <w:sz w:val="22"/>
        </w:rPr>
        <w:t> </w:t>
      </w:r>
      <w:r>
        <w:rPr>
          <w:sz w:val="22"/>
        </w:rPr>
        <w:t>Mumbai in 2003 before the Bombay High Court, challenging the demand against IENMPL for payment of increased transfer charges in relation to a </w:t>
      </w:r>
      <w:r>
        <w:rPr>
          <w:spacing w:val="2"/>
          <w:sz w:val="22"/>
        </w:rPr>
        <w:t>sub-lease. </w:t>
      </w:r>
      <w:r>
        <w:rPr>
          <w:sz w:val="22"/>
        </w:rPr>
        <w:t>While transfer charges amounting to </w:t>
      </w:r>
      <w:r>
        <w:rPr>
          <w:rFonts w:ascii="Arial" w:hAnsi="Arial"/>
          <w:spacing w:val="-4"/>
          <w:sz w:val="22"/>
        </w:rPr>
        <w:t>₹</w:t>
      </w:r>
      <w:r>
        <w:rPr>
          <w:spacing w:val="-4"/>
          <w:sz w:val="22"/>
        </w:rPr>
        <w:t>0.12</w:t>
      </w:r>
      <w:r>
        <w:rPr>
          <w:spacing w:val="58"/>
          <w:sz w:val="22"/>
        </w:rPr>
        <w:t> </w:t>
      </w:r>
      <w:r>
        <w:rPr>
          <w:sz w:val="22"/>
        </w:rPr>
        <w:t>million</w:t>
      </w:r>
      <w:r>
        <w:rPr>
          <w:spacing w:val="-25"/>
          <w:sz w:val="22"/>
        </w:rPr>
        <w:t> </w:t>
      </w:r>
      <w:r>
        <w:rPr>
          <w:sz w:val="22"/>
        </w:rPr>
        <w:t>annually</w:t>
      </w:r>
      <w:r>
        <w:rPr>
          <w:spacing w:val="-26"/>
          <w:sz w:val="22"/>
        </w:rPr>
        <w:t> </w:t>
      </w:r>
      <w:r>
        <w:rPr>
          <w:sz w:val="22"/>
        </w:rPr>
        <w:t>for</w:t>
      </w:r>
      <w:r>
        <w:rPr>
          <w:spacing w:val="-24"/>
          <w:sz w:val="22"/>
        </w:rPr>
        <w:t> </w:t>
      </w:r>
      <w:r>
        <w:rPr>
          <w:sz w:val="22"/>
        </w:rPr>
        <w:t>61</w:t>
      </w:r>
      <w:r>
        <w:rPr>
          <w:spacing w:val="-27"/>
          <w:sz w:val="22"/>
        </w:rPr>
        <w:t> </w:t>
      </w:r>
      <w:r>
        <w:rPr>
          <w:sz w:val="22"/>
        </w:rPr>
        <w:t>years</w:t>
      </w:r>
      <w:r>
        <w:rPr>
          <w:spacing w:val="-24"/>
          <w:sz w:val="22"/>
        </w:rPr>
        <w:t> </w:t>
      </w:r>
      <w:r>
        <w:rPr>
          <w:sz w:val="22"/>
        </w:rPr>
        <w:t>as</w:t>
      </w:r>
      <w:r>
        <w:rPr>
          <w:spacing w:val="-25"/>
          <w:sz w:val="22"/>
        </w:rPr>
        <w:t> </w:t>
      </w:r>
      <w:r>
        <w:rPr>
          <w:sz w:val="22"/>
        </w:rPr>
        <w:t>per</w:t>
      </w:r>
      <w:r>
        <w:rPr>
          <w:spacing w:val="-25"/>
          <w:sz w:val="22"/>
        </w:rPr>
        <w:t> </w:t>
      </w:r>
      <w:r>
        <w:rPr>
          <w:sz w:val="22"/>
        </w:rPr>
        <w:t>GoI’s</w:t>
      </w:r>
      <w:r>
        <w:rPr>
          <w:spacing w:val="-24"/>
          <w:sz w:val="22"/>
        </w:rPr>
        <w:t> </w:t>
      </w:r>
      <w:r>
        <w:rPr>
          <w:sz w:val="22"/>
        </w:rPr>
        <w:t>letter</w:t>
      </w:r>
      <w:r>
        <w:rPr>
          <w:spacing w:val="-24"/>
          <w:sz w:val="22"/>
        </w:rPr>
        <w:t> </w:t>
      </w:r>
      <w:r>
        <w:rPr>
          <w:sz w:val="22"/>
        </w:rPr>
        <w:t>were</w:t>
      </w:r>
      <w:r>
        <w:rPr>
          <w:spacing w:val="-25"/>
          <w:sz w:val="22"/>
        </w:rPr>
        <w:t> </w:t>
      </w:r>
      <w:r>
        <w:rPr>
          <w:sz w:val="22"/>
        </w:rPr>
        <w:t>levied</w:t>
      </w:r>
      <w:r>
        <w:rPr>
          <w:spacing w:val="-24"/>
          <w:sz w:val="22"/>
        </w:rPr>
        <w:t> </w:t>
      </w:r>
      <w:r>
        <w:rPr>
          <w:sz w:val="22"/>
        </w:rPr>
        <w:t>in</w:t>
      </w:r>
      <w:r>
        <w:rPr>
          <w:spacing w:val="-25"/>
          <w:sz w:val="22"/>
        </w:rPr>
        <w:t> </w:t>
      </w:r>
      <w:r>
        <w:rPr>
          <w:sz w:val="22"/>
        </w:rPr>
        <w:t>2001,</w:t>
      </w:r>
      <w:r>
        <w:rPr>
          <w:spacing w:val="-24"/>
          <w:sz w:val="22"/>
        </w:rPr>
        <w:t> </w:t>
      </w:r>
      <w:r>
        <w:rPr>
          <w:sz w:val="22"/>
        </w:rPr>
        <w:t>the</w:t>
      </w:r>
      <w:r>
        <w:rPr>
          <w:spacing w:val="-27"/>
          <w:sz w:val="22"/>
        </w:rPr>
        <w:t> </w:t>
      </w:r>
      <w:r>
        <w:rPr>
          <w:sz w:val="22"/>
        </w:rPr>
        <w:t>transfer</w:t>
      </w:r>
      <w:r>
        <w:rPr>
          <w:spacing w:val="-25"/>
          <w:sz w:val="22"/>
        </w:rPr>
        <w:t> </w:t>
      </w:r>
      <w:r>
        <w:rPr>
          <w:sz w:val="22"/>
        </w:rPr>
        <w:t>charges</w:t>
      </w:r>
      <w:r>
        <w:rPr>
          <w:spacing w:val="-25"/>
          <w:sz w:val="22"/>
        </w:rPr>
        <w:t> </w:t>
      </w:r>
      <w:r>
        <w:rPr>
          <w:sz w:val="22"/>
        </w:rPr>
        <w:t>were</w:t>
      </w:r>
      <w:r>
        <w:rPr>
          <w:spacing w:val="-25"/>
          <w:sz w:val="22"/>
        </w:rPr>
        <w:t> </w:t>
      </w:r>
      <w:r>
        <w:rPr>
          <w:sz w:val="22"/>
        </w:rPr>
        <w:t>revised to</w:t>
      </w:r>
      <w:r>
        <w:rPr>
          <w:spacing w:val="-12"/>
          <w:sz w:val="22"/>
        </w:rPr>
        <w:t> </w:t>
      </w:r>
      <w:r>
        <w:rPr>
          <w:rFonts w:ascii="Arial" w:hAnsi="Arial"/>
          <w:sz w:val="22"/>
        </w:rPr>
        <w:t>₹</w:t>
      </w:r>
      <w:r>
        <w:rPr>
          <w:sz w:val="22"/>
        </w:rPr>
        <w:t>2.34</w:t>
      </w:r>
      <w:r>
        <w:rPr>
          <w:spacing w:val="-13"/>
          <w:sz w:val="22"/>
        </w:rPr>
        <w:t> </w:t>
      </w:r>
      <w:r>
        <w:rPr>
          <w:sz w:val="22"/>
        </w:rPr>
        <w:t>million</w:t>
      </w:r>
      <w:r>
        <w:rPr>
          <w:spacing w:val="-13"/>
          <w:sz w:val="22"/>
        </w:rPr>
        <w:t> </w:t>
      </w:r>
      <w:r>
        <w:rPr>
          <w:sz w:val="22"/>
        </w:rPr>
        <w:t>in</w:t>
      </w:r>
      <w:r>
        <w:rPr>
          <w:spacing w:val="-13"/>
          <w:sz w:val="22"/>
        </w:rPr>
        <w:t> </w:t>
      </w:r>
      <w:r>
        <w:rPr>
          <w:sz w:val="22"/>
        </w:rPr>
        <w:t>the</w:t>
      </w:r>
      <w:r>
        <w:rPr>
          <w:spacing w:val="-13"/>
          <w:sz w:val="22"/>
        </w:rPr>
        <w:t> </w:t>
      </w:r>
      <w:r>
        <w:rPr>
          <w:sz w:val="22"/>
        </w:rPr>
        <w:t>same</w:t>
      </w:r>
      <w:r>
        <w:rPr>
          <w:spacing w:val="-13"/>
          <w:sz w:val="22"/>
        </w:rPr>
        <w:t> </w:t>
      </w:r>
      <w:r>
        <w:rPr>
          <w:sz w:val="22"/>
        </w:rPr>
        <w:t>year</w:t>
      </w:r>
      <w:r>
        <w:rPr>
          <w:spacing w:val="-15"/>
          <w:sz w:val="22"/>
        </w:rPr>
        <w:t> </w:t>
      </w:r>
      <w:r>
        <w:rPr>
          <w:sz w:val="22"/>
        </w:rPr>
        <w:t>by</w:t>
      </w:r>
      <w:r>
        <w:rPr>
          <w:spacing w:val="-12"/>
          <w:sz w:val="22"/>
        </w:rPr>
        <w:t> </w:t>
      </w:r>
      <w:r>
        <w:rPr>
          <w:sz w:val="22"/>
        </w:rPr>
        <w:t>the</w:t>
      </w:r>
      <w:r>
        <w:rPr>
          <w:spacing w:val="-13"/>
          <w:sz w:val="22"/>
        </w:rPr>
        <w:t> </w:t>
      </w:r>
      <w:r>
        <w:rPr>
          <w:sz w:val="22"/>
        </w:rPr>
        <w:t>Collector,</w:t>
      </w:r>
      <w:r>
        <w:rPr>
          <w:spacing w:val="-15"/>
          <w:sz w:val="22"/>
        </w:rPr>
        <w:t> </w:t>
      </w:r>
      <w:r>
        <w:rPr>
          <w:sz w:val="22"/>
        </w:rPr>
        <w:t>Bombay.</w:t>
      </w:r>
      <w:r>
        <w:rPr>
          <w:spacing w:val="-12"/>
          <w:sz w:val="22"/>
        </w:rPr>
        <w:t> </w:t>
      </w:r>
      <w:r>
        <w:rPr>
          <w:sz w:val="22"/>
        </w:rPr>
        <w:t>In</w:t>
      </w:r>
      <w:r>
        <w:rPr>
          <w:spacing w:val="-13"/>
          <w:sz w:val="22"/>
        </w:rPr>
        <w:t> </w:t>
      </w:r>
      <w:r>
        <w:rPr>
          <w:sz w:val="22"/>
        </w:rPr>
        <w:t>2004,</w:t>
      </w:r>
      <w:r>
        <w:rPr>
          <w:spacing w:val="-12"/>
          <w:sz w:val="22"/>
        </w:rPr>
        <w:t> </w:t>
      </w:r>
      <w:r>
        <w:rPr>
          <w:sz w:val="22"/>
        </w:rPr>
        <w:t>the</w:t>
      </w:r>
      <w:r>
        <w:rPr>
          <w:spacing w:val="-15"/>
          <w:sz w:val="22"/>
        </w:rPr>
        <w:t> </w:t>
      </w:r>
      <w:r>
        <w:rPr>
          <w:sz w:val="22"/>
        </w:rPr>
        <w:t>Bombay</w:t>
      </w:r>
      <w:r>
        <w:rPr>
          <w:spacing w:val="-11"/>
          <w:sz w:val="22"/>
        </w:rPr>
        <w:t> </w:t>
      </w:r>
      <w:r>
        <w:rPr>
          <w:sz w:val="22"/>
        </w:rPr>
        <w:t>High</w:t>
      </w:r>
      <w:r>
        <w:rPr>
          <w:spacing w:val="-12"/>
          <w:sz w:val="22"/>
        </w:rPr>
        <w:t> </w:t>
      </w:r>
      <w:r>
        <w:rPr>
          <w:sz w:val="22"/>
        </w:rPr>
        <w:t>Court</w:t>
      </w:r>
      <w:r>
        <w:rPr>
          <w:spacing w:val="-14"/>
          <w:sz w:val="22"/>
        </w:rPr>
        <w:t> </w:t>
      </w:r>
      <w:r>
        <w:rPr>
          <w:sz w:val="22"/>
        </w:rPr>
        <w:t>passed an order staying the operation of demand for increased transfer charges, subject to IENMPL continuing to pay the original transfer charges. IENMPL has also undertaken that in the event of dismissal of petition they shall pay the demanded increased transfer</w:t>
      </w:r>
      <w:r>
        <w:rPr>
          <w:spacing w:val="-31"/>
          <w:sz w:val="22"/>
        </w:rPr>
        <w:t> </w:t>
      </w:r>
      <w:r>
        <w:rPr>
          <w:sz w:val="22"/>
        </w:rPr>
        <w:t>charges.</w:t>
      </w:r>
    </w:p>
    <w:p>
      <w:pPr>
        <w:pStyle w:val="ListParagraph"/>
        <w:numPr>
          <w:ilvl w:val="1"/>
          <w:numId w:val="95"/>
        </w:numPr>
        <w:tabs>
          <w:tab w:pos="1401" w:val="left" w:leader="none"/>
        </w:tabs>
        <w:spacing w:line="247" w:lineRule="auto" w:before="214" w:after="0"/>
        <w:ind w:left="1400" w:right="677" w:hanging="541"/>
        <w:jc w:val="both"/>
        <w:rPr>
          <w:sz w:val="22"/>
        </w:rPr>
      </w:pPr>
      <w:r>
        <w:rPr>
          <w:sz w:val="22"/>
        </w:rPr>
        <w:t>IENMPL had initiated legal proceedings against a tenant before the Court of Small Causes, Mumbai in</w:t>
      </w:r>
      <w:r>
        <w:rPr>
          <w:spacing w:val="-16"/>
          <w:sz w:val="22"/>
        </w:rPr>
        <w:t> </w:t>
      </w:r>
      <w:r>
        <w:rPr>
          <w:sz w:val="22"/>
        </w:rPr>
        <w:t>2007</w:t>
      </w:r>
      <w:r>
        <w:rPr>
          <w:spacing w:val="-17"/>
          <w:sz w:val="22"/>
        </w:rPr>
        <w:t> </w:t>
      </w:r>
      <w:r>
        <w:rPr>
          <w:sz w:val="22"/>
        </w:rPr>
        <w:t>for</w:t>
      </w:r>
      <w:r>
        <w:rPr>
          <w:spacing w:val="-15"/>
          <w:sz w:val="22"/>
        </w:rPr>
        <w:t> </w:t>
      </w:r>
      <w:r>
        <w:rPr>
          <w:sz w:val="22"/>
        </w:rPr>
        <w:t>eviction</w:t>
      </w:r>
      <w:r>
        <w:rPr>
          <w:spacing w:val="-15"/>
          <w:sz w:val="22"/>
        </w:rPr>
        <w:t> </w:t>
      </w:r>
      <w:r>
        <w:rPr>
          <w:sz w:val="22"/>
        </w:rPr>
        <w:t>and</w:t>
      </w:r>
      <w:r>
        <w:rPr>
          <w:spacing w:val="-17"/>
          <w:sz w:val="22"/>
        </w:rPr>
        <w:t> </w:t>
      </w:r>
      <w:r>
        <w:rPr>
          <w:sz w:val="22"/>
        </w:rPr>
        <w:t>recovery</w:t>
      </w:r>
      <w:r>
        <w:rPr>
          <w:spacing w:val="-13"/>
          <w:sz w:val="22"/>
        </w:rPr>
        <w:t> </w:t>
      </w:r>
      <w:r>
        <w:rPr>
          <w:sz w:val="22"/>
        </w:rPr>
        <w:t>of</w:t>
      </w:r>
      <w:r>
        <w:rPr>
          <w:spacing w:val="-16"/>
          <w:sz w:val="22"/>
        </w:rPr>
        <w:t> </w:t>
      </w:r>
      <w:r>
        <w:rPr>
          <w:sz w:val="22"/>
        </w:rPr>
        <w:t>possession</w:t>
      </w:r>
      <w:r>
        <w:rPr>
          <w:spacing w:val="-16"/>
          <w:sz w:val="22"/>
        </w:rPr>
        <w:t> </w:t>
      </w:r>
      <w:r>
        <w:rPr>
          <w:sz w:val="22"/>
        </w:rPr>
        <w:t>of</w:t>
      </w:r>
      <w:r>
        <w:rPr>
          <w:spacing w:val="-16"/>
          <w:sz w:val="22"/>
        </w:rPr>
        <w:t> </w:t>
      </w:r>
      <w:r>
        <w:rPr>
          <w:sz w:val="22"/>
        </w:rPr>
        <w:t>2,150</w:t>
      </w:r>
      <w:r>
        <w:rPr>
          <w:spacing w:val="-17"/>
          <w:sz w:val="22"/>
        </w:rPr>
        <w:t> </w:t>
      </w:r>
      <w:r>
        <w:rPr>
          <w:sz w:val="22"/>
        </w:rPr>
        <w:t>square</w:t>
      </w:r>
      <w:r>
        <w:rPr>
          <w:spacing w:val="-17"/>
          <w:sz w:val="22"/>
        </w:rPr>
        <w:t> </w:t>
      </w:r>
      <w:r>
        <w:rPr>
          <w:sz w:val="22"/>
        </w:rPr>
        <w:t>feet</w:t>
      </w:r>
      <w:r>
        <w:rPr>
          <w:spacing w:val="-14"/>
          <w:sz w:val="22"/>
        </w:rPr>
        <w:t> </w:t>
      </w:r>
      <w:r>
        <w:rPr>
          <w:sz w:val="22"/>
        </w:rPr>
        <w:t>in</w:t>
      </w:r>
      <w:r>
        <w:rPr>
          <w:spacing w:val="-17"/>
          <w:sz w:val="22"/>
        </w:rPr>
        <w:t> </w:t>
      </w:r>
      <w:r>
        <w:rPr>
          <w:sz w:val="22"/>
        </w:rPr>
        <w:t>Express</w:t>
      </w:r>
      <w:r>
        <w:rPr>
          <w:spacing w:val="-17"/>
          <w:sz w:val="22"/>
        </w:rPr>
        <w:t> </w:t>
      </w:r>
      <w:r>
        <w:rPr>
          <w:sz w:val="22"/>
        </w:rPr>
        <w:t>Towers</w:t>
      </w:r>
      <w:r>
        <w:rPr>
          <w:spacing w:val="-13"/>
          <w:sz w:val="22"/>
        </w:rPr>
        <w:t> </w:t>
      </w:r>
      <w:r>
        <w:rPr>
          <w:sz w:val="22"/>
        </w:rPr>
        <w:t>and</w:t>
      </w:r>
      <w:r>
        <w:rPr>
          <w:spacing w:val="-16"/>
          <w:sz w:val="22"/>
        </w:rPr>
        <w:t> </w:t>
      </w:r>
      <w:r>
        <w:rPr>
          <w:sz w:val="22"/>
        </w:rPr>
        <w:t>for</w:t>
      </w:r>
      <w:r>
        <w:rPr>
          <w:spacing w:val="-17"/>
          <w:sz w:val="22"/>
        </w:rPr>
        <w:t> </w:t>
      </w:r>
      <w:r>
        <w:rPr>
          <w:sz w:val="22"/>
        </w:rPr>
        <w:t>mesne profits.</w:t>
      </w:r>
      <w:r>
        <w:rPr>
          <w:spacing w:val="-26"/>
          <w:sz w:val="22"/>
        </w:rPr>
        <w:t> </w:t>
      </w:r>
      <w:r>
        <w:rPr>
          <w:sz w:val="22"/>
        </w:rPr>
        <w:t>On</w:t>
      </w:r>
      <w:r>
        <w:rPr>
          <w:spacing w:val="-26"/>
          <w:sz w:val="22"/>
        </w:rPr>
        <w:t> </w:t>
      </w:r>
      <w:r>
        <w:rPr>
          <w:sz w:val="22"/>
        </w:rPr>
        <w:t>November</w:t>
      </w:r>
      <w:r>
        <w:rPr>
          <w:spacing w:val="-28"/>
          <w:sz w:val="22"/>
        </w:rPr>
        <w:t> </w:t>
      </w:r>
      <w:r>
        <w:rPr>
          <w:sz w:val="22"/>
        </w:rPr>
        <w:t>15,</w:t>
      </w:r>
      <w:r>
        <w:rPr>
          <w:spacing w:val="-26"/>
          <w:sz w:val="22"/>
        </w:rPr>
        <w:t> </w:t>
      </w:r>
      <w:r>
        <w:rPr>
          <w:sz w:val="22"/>
        </w:rPr>
        <w:t>2011,</w:t>
      </w:r>
      <w:r>
        <w:rPr>
          <w:spacing w:val="-28"/>
          <w:sz w:val="22"/>
        </w:rPr>
        <w:t> </w:t>
      </w:r>
      <w:r>
        <w:rPr>
          <w:sz w:val="22"/>
        </w:rPr>
        <w:t>the</w:t>
      </w:r>
      <w:r>
        <w:rPr>
          <w:spacing w:val="-25"/>
          <w:sz w:val="22"/>
        </w:rPr>
        <w:t> </w:t>
      </w:r>
      <w:r>
        <w:rPr>
          <w:sz w:val="22"/>
        </w:rPr>
        <w:t>court</w:t>
      </w:r>
      <w:r>
        <w:rPr>
          <w:spacing w:val="-29"/>
          <w:sz w:val="22"/>
        </w:rPr>
        <w:t> </w:t>
      </w:r>
      <w:r>
        <w:rPr>
          <w:sz w:val="22"/>
        </w:rPr>
        <w:t>directed</w:t>
      </w:r>
      <w:r>
        <w:rPr>
          <w:spacing w:val="-27"/>
          <w:sz w:val="22"/>
        </w:rPr>
        <w:t> </w:t>
      </w:r>
      <w:r>
        <w:rPr>
          <w:sz w:val="22"/>
        </w:rPr>
        <w:t>the</w:t>
      </w:r>
      <w:r>
        <w:rPr>
          <w:spacing w:val="-28"/>
          <w:sz w:val="22"/>
        </w:rPr>
        <w:t> </w:t>
      </w:r>
      <w:r>
        <w:rPr>
          <w:sz w:val="22"/>
        </w:rPr>
        <w:t>tenant</w:t>
      </w:r>
      <w:r>
        <w:rPr>
          <w:spacing w:val="-26"/>
          <w:sz w:val="22"/>
        </w:rPr>
        <w:t> </w:t>
      </w:r>
      <w:r>
        <w:rPr>
          <w:sz w:val="22"/>
        </w:rPr>
        <w:t>to</w:t>
      </w:r>
      <w:r>
        <w:rPr>
          <w:spacing w:val="-28"/>
          <w:sz w:val="22"/>
        </w:rPr>
        <w:t> </w:t>
      </w:r>
      <w:r>
        <w:rPr>
          <w:spacing w:val="4"/>
          <w:sz w:val="22"/>
        </w:rPr>
        <w:t>pay</w:t>
      </w:r>
      <w:r>
        <w:rPr>
          <w:spacing w:val="-24"/>
          <w:sz w:val="22"/>
        </w:rPr>
        <w:t> </w:t>
      </w:r>
      <w:r>
        <w:rPr>
          <w:rFonts w:ascii="Arial" w:hAnsi="Arial"/>
          <w:sz w:val="22"/>
        </w:rPr>
        <w:t>₹</w:t>
      </w:r>
      <w:r>
        <w:rPr>
          <w:sz w:val="22"/>
        </w:rPr>
        <w:t>0.26</w:t>
      </w:r>
      <w:r>
        <w:rPr>
          <w:spacing w:val="-28"/>
          <w:sz w:val="22"/>
        </w:rPr>
        <w:t> </w:t>
      </w:r>
      <w:r>
        <w:rPr>
          <w:sz w:val="22"/>
        </w:rPr>
        <w:t>million</w:t>
      </w:r>
      <w:r>
        <w:rPr>
          <w:spacing w:val="-26"/>
          <w:sz w:val="22"/>
        </w:rPr>
        <w:t> </w:t>
      </w:r>
      <w:r>
        <w:rPr>
          <w:sz w:val="22"/>
        </w:rPr>
        <w:t>per</w:t>
      </w:r>
      <w:r>
        <w:rPr>
          <w:spacing w:val="-28"/>
          <w:sz w:val="22"/>
        </w:rPr>
        <w:t> </w:t>
      </w:r>
      <w:r>
        <w:rPr>
          <w:sz w:val="22"/>
        </w:rPr>
        <w:t>month</w:t>
      </w:r>
      <w:r>
        <w:rPr>
          <w:spacing w:val="-26"/>
          <w:sz w:val="22"/>
        </w:rPr>
        <w:t> </w:t>
      </w:r>
      <w:r>
        <w:rPr>
          <w:spacing w:val="-3"/>
          <w:sz w:val="22"/>
        </w:rPr>
        <w:t>towards </w:t>
      </w:r>
      <w:r>
        <w:rPr>
          <w:sz w:val="22"/>
        </w:rPr>
        <w:t>mesne profits for the period between March 1, 2007 and February 2010, and </w:t>
      </w:r>
      <w:r>
        <w:rPr>
          <w:rFonts w:ascii="Arial" w:hAnsi="Arial"/>
          <w:sz w:val="22"/>
        </w:rPr>
        <w:t>₹</w:t>
      </w:r>
      <w:r>
        <w:rPr>
          <w:sz w:val="22"/>
        </w:rPr>
        <w:t>0.29 million </w:t>
      </w:r>
      <w:r>
        <w:rPr>
          <w:spacing w:val="-10"/>
          <w:sz w:val="22"/>
        </w:rPr>
        <w:t>per </w:t>
      </w:r>
      <w:r>
        <w:rPr>
          <w:sz w:val="22"/>
        </w:rPr>
        <w:t>month</w:t>
      </w:r>
      <w:r>
        <w:rPr>
          <w:spacing w:val="-4"/>
          <w:sz w:val="22"/>
        </w:rPr>
        <w:t> </w:t>
      </w:r>
      <w:r>
        <w:rPr>
          <w:sz w:val="22"/>
        </w:rPr>
        <w:t>March</w:t>
      </w:r>
      <w:r>
        <w:rPr>
          <w:spacing w:val="-4"/>
          <w:sz w:val="22"/>
        </w:rPr>
        <w:t> </w:t>
      </w:r>
      <w:r>
        <w:rPr>
          <w:sz w:val="22"/>
        </w:rPr>
        <w:t>1,</w:t>
      </w:r>
      <w:r>
        <w:rPr>
          <w:spacing w:val="-4"/>
          <w:sz w:val="22"/>
        </w:rPr>
        <w:t> </w:t>
      </w:r>
      <w:r>
        <w:rPr>
          <w:sz w:val="22"/>
        </w:rPr>
        <w:t>2010</w:t>
      </w:r>
      <w:r>
        <w:rPr>
          <w:spacing w:val="-4"/>
          <w:sz w:val="22"/>
        </w:rPr>
        <w:t> </w:t>
      </w:r>
      <w:r>
        <w:rPr>
          <w:sz w:val="22"/>
        </w:rPr>
        <w:t>onward.</w:t>
      </w:r>
      <w:r>
        <w:rPr>
          <w:spacing w:val="-4"/>
          <w:sz w:val="22"/>
        </w:rPr>
        <w:t> </w:t>
      </w:r>
      <w:r>
        <w:rPr>
          <w:sz w:val="22"/>
        </w:rPr>
        <w:t>An</w:t>
      </w:r>
      <w:r>
        <w:rPr>
          <w:spacing w:val="-4"/>
          <w:sz w:val="22"/>
        </w:rPr>
        <w:t> </w:t>
      </w:r>
      <w:r>
        <w:rPr>
          <w:sz w:val="22"/>
        </w:rPr>
        <w:t>appeal</w:t>
      </w:r>
      <w:r>
        <w:rPr>
          <w:spacing w:val="-4"/>
          <w:sz w:val="22"/>
        </w:rPr>
        <w:t> </w:t>
      </w:r>
      <w:r>
        <w:rPr>
          <w:sz w:val="22"/>
        </w:rPr>
        <w:t>by</w:t>
      </w:r>
      <w:r>
        <w:rPr>
          <w:spacing w:val="-2"/>
          <w:sz w:val="22"/>
        </w:rPr>
        <w:t> </w:t>
      </w:r>
      <w:r>
        <w:rPr>
          <w:sz w:val="22"/>
        </w:rPr>
        <w:t>the</w:t>
      </w:r>
      <w:r>
        <w:rPr>
          <w:spacing w:val="-6"/>
          <w:sz w:val="22"/>
        </w:rPr>
        <w:t> </w:t>
      </w:r>
      <w:r>
        <w:rPr>
          <w:sz w:val="22"/>
        </w:rPr>
        <w:t>tenant</w:t>
      </w:r>
      <w:r>
        <w:rPr>
          <w:spacing w:val="-3"/>
          <w:sz w:val="22"/>
        </w:rPr>
        <w:t> </w:t>
      </w:r>
      <w:r>
        <w:rPr>
          <w:sz w:val="22"/>
        </w:rPr>
        <w:t>against</w:t>
      </w:r>
      <w:r>
        <w:rPr>
          <w:spacing w:val="-3"/>
          <w:sz w:val="22"/>
        </w:rPr>
        <w:t> </w:t>
      </w:r>
      <w:r>
        <w:rPr>
          <w:sz w:val="22"/>
        </w:rPr>
        <w:t>this</w:t>
      </w:r>
      <w:r>
        <w:rPr>
          <w:spacing w:val="-3"/>
          <w:sz w:val="22"/>
        </w:rPr>
        <w:t> </w:t>
      </w:r>
      <w:r>
        <w:rPr>
          <w:sz w:val="22"/>
        </w:rPr>
        <w:t>order</w:t>
      </w:r>
      <w:r>
        <w:rPr>
          <w:spacing w:val="-5"/>
          <w:sz w:val="22"/>
        </w:rPr>
        <w:t> </w:t>
      </w:r>
      <w:r>
        <w:rPr>
          <w:sz w:val="22"/>
        </w:rPr>
        <w:t>before</w:t>
      </w:r>
      <w:r>
        <w:rPr>
          <w:spacing w:val="-4"/>
          <w:sz w:val="22"/>
        </w:rPr>
        <w:t> </w:t>
      </w:r>
      <w:r>
        <w:rPr>
          <w:sz w:val="22"/>
        </w:rPr>
        <w:t>the</w:t>
      </w:r>
      <w:r>
        <w:rPr>
          <w:spacing w:val="-5"/>
          <w:sz w:val="22"/>
        </w:rPr>
        <w:t> </w:t>
      </w:r>
      <w:r>
        <w:rPr>
          <w:sz w:val="22"/>
        </w:rPr>
        <w:t>Court</w:t>
      </w:r>
      <w:r>
        <w:rPr>
          <w:spacing w:val="-3"/>
          <w:sz w:val="22"/>
        </w:rPr>
        <w:t> </w:t>
      </w:r>
      <w:r>
        <w:rPr>
          <w:sz w:val="22"/>
        </w:rPr>
        <w:t>of</w:t>
      </w:r>
      <w:r>
        <w:rPr>
          <w:spacing w:val="-3"/>
          <w:sz w:val="22"/>
        </w:rPr>
        <w:t> </w:t>
      </w:r>
      <w:r>
        <w:rPr>
          <w:sz w:val="22"/>
        </w:rPr>
        <w:t>Small Causes was dismissed on May 6, 2015. Aggrieved, the tenant filed a petition before the Bombay High Court. On August 28, 2017, the High Court passed an order directing the tenant to pay</w:t>
      </w:r>
      <w:r>
        <w:rPr>
          <w:spacing w:val="17"/>
          <w:sz w:val="22"/>
        </w:rPr>
        <w:t> </w:t>
      </w:r>
      <w:r>
        <w:rPr>
          <w:rFonts w:ascii="Arial" w:hAnsi="Arial"/>
          <w:spacing w:val="-7"/>
          <w:sz w:val="22"/>
        </w:rPr>
        <w:t>₹</w:t>
      </w:r>
      <w:r>
        <w:rPr>
          <w:spacing w:val="-7"/>
          <w:sz w:val="22"/>
        </w:rPr>
        <w:t>225</w:t>
      </w:r>
    </w:p>
    <w:p>
      <w:pPr>
        <w:spacing w:after="0" w:line="247" w:lineRule="auto"/>
        <w:jc w:val="both"/>
        <w:rPr>
          <w:sz w:val="22"/>
        </w:rPr>
        <w:sectPr>
          <w:pgSz w:w="11910" w:h="16840"/>
          <w:pgMar w:header="720" w:footer="862" w:top="1660" w:bottom="1060" w:left="40" w:right="40"/>
        </w:sectPr>
      </w:pPr>
    </w:p>
    <w:p>
      <w:pPr>
        <w:pStyle w:val="BodyText"/>
        <w:spacing w:before="7"/>
        <w:rPr>
          <w:sz w:val="9"/>
        </w:rPr>
      </w:pPr>
    </w:p>
    <w:p>
      <w:pPr>
        <w:pStyle w:val="BodyText"/>
        <w:spacing w:line="247" w:lineRule="auto" w:before="106"/>
        <w:ind w:left="1400"/>
      </w:pPr>
      <w:r>
        <w:rPr/>
        <w:t>per</w:t>
      </w:r>
      <w:r>
        <w:rPr>
          <w:spacing w:val="-11"/>
        </w:rPr>
        <w:t> </w:t>
      </w:r>
      <w:r>
        <w:rPr/>
        <w:t>square</w:t>
      </w:r>
      <w:r>
        <w:rPr>
          <w:spacing w:val="-11"/>
        </w:rPr>
        <w:t> </w:t>
      </w:r>
      <w:r>
        <w:rPr/>
        <w:t>feet</w:t>
      </w:r>
      <w:r>
        <w:rPr>
          <w:spacing w:val="-10"/>
        </w:rPr>
        <w:t> </w:t>
      </w:r>
      <w:r>
        <w:rPr/>
        <w:t>per</w:t>
      </w:r>
      <w:r>
        <w:rPr>
          <w:spacing w:val="-11"/>
        </w:rPr>
        <w:t> </w:t>
      </w:r>
      <w:r>
        <w:rPr/>
        <w:t>month</w:t>
      </w:r>
      <w:r>
        <w:rPr>
          <w:spacing w:val="-10"/>
        </w:rPr>
        <w:t> </w:t>
      </w:r>
      <w:r>
        <w:rPr/>
        <w:t>from</w:t>
      </w:r>
      <w:r>
        <w:rPr>
          <w:spacing w:val="-9"/>
        </w:rPr>
        <w:t> </w:t>
      </w:r>
      <w:r>
        <w:rPr/>
        <w:t>May</w:t>
      </w:r>
      <w:r>
        <w:rPr>
          <w:spacing w:val="-10"/>
        </w:rPr>
        <w:t> </w:t>
      </w:r>
      <w:r>
        <w:rPr/>
        <w:t>1,</w:t>
      </w:r>
      <w:r>
        <w:rPr>
          <w:spacing w:val="-11"/>
        </w:rPr>
        <w:t> </w:t>
      </w:r>
      <w:r>
        <w:rPr/>
        <w:t>2015</w:t>
      </w:r>
      <w:r>
        <w:rPr>
          <w:spacing w:val="-11"/>
        </w:rPr>
        <w:t> </w:t>
      </w:r>
      <w:r>
        <w:rPr/>
        <w:t>to</w:t>
      </w:r>
      <w:r>
        <w:rPr>
          <w:spacing w:val="-10"/>
        </w:rPr>
        <w:t> </w:t>
      </w:r>
      <w:r>
        <w:rPr/>
        <w:t>continue</w:t>
      </w:r>
      <w:r>
        <w:rPr>
          <w:spacing w:val="-11"/>
        </w:rPr>
        <w:t> </w:t>
      </w:r>
      <w:r>
        <w:rPr/>
        <w:t>the</w:t>
      </w:r>
      <w:r>
        <w:rPr>
          <w:spacing w:val="-11"/>
        </w:rPr>
        <w:t> </w:t>
      </w:r>
      <w:r>
        <w:rPr/>
        <w:t>possession</w:t>
      </w:r>
      <w:r>
        <w:rPr>
          <w:spacing w:val="-11"/>
        </w:rPr>
        <w:t> </w:t>
      </w:r>
      <w:r>
        <w:rPr/>
        <w:t>of</w:t>
      </w:r>
      <w:r>
        <w:rPr>
          <w:spacing w:val="-10"/>
        </w:rPr>
        <w:t> </w:t>
      </w:r>
      <w:r>
        <w:rPr/>
        <w:t>the</w:t>
      </w:r>
      <w:r>
        <w:rPr>
          <w:spacing w:val="-11"/>
        </w:rPr>
        <w:t> </w:t>
      </w:r>
      <w:r>
        <w:rPr/>
        <w:t>premises.</w:t>
      </w:r>
      <w:r>
        <w:rPr>
          <w:spacing w:val="-11"/>
        </w:rPr>
        <w:t> </w:t>
      </w:r>
      <w:r>
        <w:rPr/>
        <w:t>The</w:t>
      </w:r>
      <w:r>
        <w:rPr>
          <w:spacing w:val="-11"/>
        </w:rPr>
        <w:t> </w:t>
      </w:r>
      <w:r>
        <w:rPr/>
        <w:t>tenant continues to occupy the premises and pay</w:t>
      </w:r>
      <w:r>
        <w:rPr>
          <w:spacing w:val="-1"/>
        </w:rPr>
        <w:t> </w:t>
      </w:r>
      <w:r>
        <w:rPr/>
        <w:t>rentals.</w:t>
      </w:r>
    </w:p>
    <w:p>
      <w:pPr>
        <w:pStyle w:val="ListParagraph"/>
        <w:numPr>
          <w:ilvl w:val="1"/>
          <w:numId w:val="95"/>
        </w:numPr>
        <w:tabs>
          <w:tab w:pos="1401" w:val="left" w:leader="none"/>
        </w:tabs>
        <w:spacing w:line="247" w:lineRule="auto" w:before="208" w:after="0"/>
        <w:ind w:left="1400" w:right="680" w:hanging="541"/>
        <w:jc w:val="both"/>
        <w:rPr>
          <w:sz w:val="22"/>
        </w:rPr>
      </w:pPr>
      <w:r>
        <w:rPr>
          <w:sz w:val="22"/>
        </w:rPr>
        <w:t>A criminal public interest litigation has been instituted by a third party against the state of Maharashtra and others in 2017 which has alleged irregularities in the manner in which Express Towers was being used, and the manner in which the shareholders of IENMPL have acquired the asset.</w:t>
      </w:r>
      <w:r>
        <w:rPr>
          <w:spacing w:val="-17"/>
          <w:sz w:val="22"/>
        </w:rPr>
        <w:t> </w:t>
      </w:r>
      <w:r>
        <w:rPr>
          <w:sz w:val="22"/>
        </w:rPr>
        <w:t>IENMPL</w:t>
      </w:r>
      <w:r>
        <w:rPr>
          <w:spacing w:val="-14"/>
          <w:sz w:val="22"/>
        </w:rPr>
        <w:t> </w:t>
      </w:r>
      <w:r>
        <w:rPr>
          <w:sz w:val="22"/>
        </w:rPr>
        <w:t>impleaded</w:t>
      </w:r>
      <w:r>
        <w:rPr>
          <w:spacing w:val="-14"/>
          <w:sz w:val="22"/>
        </w:rPr>
        <w:t> </w:t>
      </w:r>
      <w:r>
        <w:rPr>
          <w:sz w:val="22"/>
        </w:rPr>
        <w:t>itself</w:t>
      </w:r>
      <w:r>
        <w:rPr>
          <w:spacing w:val="-15"/>
          <w:sz w:val="22"/>
        </w:rPr>
        <w:t> </w:t>
      </w:r>
      <w:r>
        <w:rPr>
          <w:sz w:val="22"/>
        </w:rPr>
        <w:t>as</w:t>
      </w:r>
      <w:r>
        <w:rPr>
          <w:spacing w:val="-17"/>
          <w:sz w:val="22"/>
        </w:rPr>
        <w:t> </w:t>
      </w:r>
      <w:r>
        <w:rPr>
          <w:sz w:val="22"/>
        </w:rPr>
        <w:t>party</w:t>
      </w:r>
      <w:r>
        <w:rPr>
          <w:spacing w:val="-15"/>
          <w:sz w:val="22"/>
        </w:rPr>
        <w:t> </w:t>
      </w:r>
      <w:r>
        <w:rPr>
          <w:sz w:val="22"/>
        </w:rPr>
        <w:t>to</w:t>
      </w:r>
      <w:r>
        <w:rPr>
          <w:spacing w:val="-16"/>
          <w:sz w:val="22"/>
        </w:rPr>
        <w:t> </w:t>
      </w:r>
      <w:r>
        <w:rPr>
          <w:sz w:val="22"/>
        </w:rPr>
        <w:t>this</w:t>
      </w:r>
      <w:r>
        <w:rPr>
          <w:spacing w:val="-17"/>
          <w:sz w:val="22"/>
        </w:rPr>
        <w:t> </w:t>
      </w:r>
      <w:r>
        <w:rPr>
          <w:sz w:val="22"/>
        </w:rPr>
        <w:t>public</w:t>
      </w:r>
      <w:r>
        <w:rPr>
          <w:spacing w:val="-14"/>
          <w:sz w:val="22"/>
        </w:rPr>
        <w:t> </w:t>
      </w:r>
      <w:r>
        <w:rPr>
          <w:sz w:val="22"/>
        </w:rPr>
        <w:t>interest</w:t>
      </w:r>
      <w:r>
        <w:rPr>
          <w:spacing w:val="-14"/>
          <w:sz w:val="22"/>
        </w:rPr>
        <w:t> </w:t>
      </w:r>
      <w:r>
        <w:rPr>
          <w:sz w:val="22"/>
        </w:rPr>
        <w:t>litigation.</w:t>
      </w:r>
      <w:r>
        <w:rPr>
          <w:spacing w:val="-16"/>
          <w:sz w:val="22"/>
        </w:rPr>
        <w:t> </w:t>
      </w:r>
      <w:r>
        <w:rPr>
          <w:sz w:val="22"/>
        </w:rPr>
        <w:t>The</w:t>
      </w:r>
      <w:r>
        <w:rPr>
          <w:spacing w:val="-15"/>
          <w:sz w:val="22"/>
        </w:rPr>
        <w:t> </w:t>
      </w:r>
      <w:r>
        <w:rPr>
          <w:sz w:val="22"/>
        </w:rPr>
        <w:t>Bombay</w:t>
      </w:r>
      <w:r>
        <w:rPr>
          <w:spacing w:val="-16"/>
          <w:sz w:val="22"/>
        </w:rPr>
        <w:t> </w:t>
      </w:r>
      <w:r>
        <w:rPr>
          <w:sz w:val="22"/>
        </w:rPr>
        <w:t>High</w:t>
      </w:r>
      <w:r>
        <w:rPr>
          <w:spacing w:val="-18"/>
          <w:sz w:val="22"/>
        </w:rPr>
        <w:t> </w:t>
      </w:r>
      <w:r>
        <w:rPr>
          <w:sz w:val="22"/>
        </w:rPr>
        <w:t>Court</w:t>
      </w:r>
      <w:r>
        <w:rPr>
          <w:spacing w:val="-15"/>
          <w:sz w:val="22"/>
        </w:rPr>
        <w:t> </w:t>
      </w:r>
      <w:r>
        <w:rPr>
          <w:sz w:val="22"/>
        </w:rPr>
        <w:t>had directed</w:t>
      </w:r>
      <w:r>
        <w:rPr>
          <w:spacing w:val="-9"/>
          <w:sz w:val="22"/>
        </w:rPr>
        <w:t> </w:t>
      </w:r>
      <w:r>
        <w:rPr>
          <w:sz w:val="22"/>
        </w:rPr>
        <w:t>the</w:t>
      </w:r>
      <w:r>
        <w:rPr>
          <w:spacing w:val="-9"/>
          <w:sz w:val="22"/>
        </w:rPr>
        <w:t> </w:t>
      </w:r>
      <w:r>
        <w:rPr>
          <w:sz w:val="22"/>
        </w:rPr>
        <w:t>third</w:t>
      </w:r>
      <w:r>
        <w:rPr>
          <w:spacing w:val="-9"/>
          <w:sz w:val="22"/>
        </w:rPr>
        <w:t> </w:t>
      </w:r>
      <w:r>
        <w:rPr>
          <w:sz w:val="22"/>
        </w:rPr>
        <w:t>party</w:t>
      </w:r>
      <w:r>
        <w:rPr>
          <w:spacing w:val="-8"/>
          <w:sz w:val="22"/>
        </w:rPr>
        <w:t> </w:t>
      </w:r>
      <w:r>
        <w:rPr>
          <w:sz w:val="22"/>
        </w:rPr>
        <w:t>to</w:t>
      </w:r>
      <w:r>
        <w:rPr>
          <w:spacing w:val="-7"/>
          <w:sz w:val="22"/>
        </w:rPr>
        <w:t> </w:t>
      </w:r>
      <w:r>
        <w:rPr>
          <w:sz w:val="22"/>
        </w:rPr>
        <w:t>file</w:t>
      </w:r>
      <w:r>
        <w:rPr>
          <w:spacing w:val="-10"/>
          <w:sz w:val="22"/>
        </w:rPr>
        <w:t> </w:t>
      </w:r>
      <w:r>
        <w:rPr>
          <w:sz w:val="22"/>
        </w:rPr>
        <w:t>an</w:t>
      </w:r>
      <w:r>
        <w:rPr>
          <w:spacing w:val="-10"/>
          <w:sz w:val="22"/>
        </w:rPr>
        <w:t> </w:t>
      </w:r>
      <w:r>
        <w:rPr>
          <w:sz w:val="22"/>
        </w:rPr>
        <w:t>amended</w:t>
      </w:r>
      <w:r>
        <w:rPr>
          <w:spacing w:val="-8"/>
          <w:sz w:val="22"/>
        </w:rPr>
        <w:t> </w:t>
      </w:r>
      <w:r>
        <w:rPr>
          <w:sz w:val="22"/>
        </w:rPr>
        <w:t>petition</w:t>
      </w:r>
      <w:r>
        <w:rPr>
          <w:spacing w:val="-8"/>
          <w:sz w:val="22"/>
        </w:rPr>
        <w:t> </w:t>
      </w:r>
      <w:r>
        <w:rPr>
          <w:sz w:val="22"/>
        </w:rPr>
        <w:t>to,</w:t>
      </w:r>
      <w:r>
        <w:rPr>
          <w:spacing w:val="-9"/>
          <w:sz w:val="22"/>
        </w:rPr>
        <w:t> </w:t>
      </w:r>
      <w:r>
        <w:rPr>
          <w:sz w:val="22"/>
        </w:rPr>
        <w:t>inter</w:t>
      </w:r>
      <w:r>
        <w:rPr>
          <w:spacing w:val="-10"/>
          <w:sz w:val="22"/>
        </w:rPr>
        <w:t> </w:t>
      </w:r>
      <w:r>
        <w:rPr>
          <w:sz w:val="22"/>
        </w:rPr>
        <w:t>alia,</w:t>
      </w:r>
      <w:r>
        <w:rPr>
          <w:spacing w:val="-9"/>
          <w:sz w:val="22"/>
        </w:rPr>
        <w:t> </w:t>
      </w:r>
      <w:r>
        <w:rPr>
          <w:sz w:val="22"/>
        </w:rPr>
        <w:t>include IENMPL</w:t>
      </w:r>
      <w:r>
        <w:rPr>
          <w:spacing w:val="-9"/>
          <w:sz w:val="22"/>
        </w:rPr>
        <w:t> </w:t>
      </w:r>
      <w:r>
        <w:rPr>
          <w:sz w:val="22"/>
        </w:rPr>
        <w:t>as</w:t>
      </w:r>
      <w:r>
        <w:rPr>
          <w:spacing w:val="-8"/>
          <w:sz w:val="22"/>
        </w:rPr>
        <w:t> </w:t>
      </w:r>
      <w:r>
        <w:rPr>
          <w:sz w:val="22"/>
        </w:rPr>
        <w:t>a</w:t>
      </w:r>
      <w:r>
        <w:rPr>
          <w:spacing w:val="-10"/>
          <w:sz w:val="22"/>
        </w:rPr>
        <w:t> </w:t>
      </w:r>
      <w:r>
        <w:rPr>
          <w:sz w:val="22"/>
        </w:rPr>
        <w:t>party,</w:t>
      </w:r>
      <w:r>
        <w:rPr>
          <w:spacing w:val="-10"/>
          <w:sz w:val="22"/>
        </w:rPr>
        <w:t> </w:t>
      </w:r>
      <w:r>
        <w:rPr>
          <w:sz w:val="22"/>
        </w:rPr>
        <w:t>which has been filed by the third party on February 27, 2019. The last date of hearing in the said matter was on August 5, 2019 wherein the matter was</w:t>
      </w:r>
      <w:r>
        <w:rPr>
          <w:spacing w:val="6"/>
          <w:sz w:val="22"/>
        </w:rPr>
        <w:t> </w:t>
      </w:r>
      <w:r>
        <w:rPr>
          <w:sz w:val="22"/>
        </w:rPr>
        <w:t>adjourned.</w:t>
      </w:r>
    </w:p>
    <w:p>
      <w:pPr>
        <w:pStyle w:val="BodyText"/>
        <w:spacing w:before="1"/>
        <w:rPr>
          <w:sz w:val="23"/>
        </w:rPr>
      </w:pPr>
    </w:p>
    <w:p>
      <w:pPr>
        <w:pStyle w:val="ListParagraph"/>
        <w:numPr>
          <w:ilvl w:val="0"/>
          <w:numId w:val="95"/>
        </w:numPr>
        <w:tabs>
          <w:tab w:pos="971" w:val="left" w:leader="none"/>
        </w:tabs>
        <w:spacing w:line="240" w:lineRule="auto" w:before="0" w:after="0"/>
        <w:ind w:left="970" w:right="0" w:hanging="291"/>
        <w:jc w:val="left"/>
        <w:rPr>
          <w:sz w:val="22"/>
        </w:rPr>
      </w:pPr>
      <w:r>
        <w:rPr>
          <w:sz w:val="22"/>
        </w:rPr>
        <w:t>Embassy</w:t>
      </w:r>
      <w:r>
        <w:rPr>
          <w:spacing w:val="-4"/>
          <w:sz w:val="22"/>
        </w:rPr>
        <w:t> </w:t>
      </w:r>
      <w:r>
        <w:rPr>
          <w:sz w:val="22"/>
        </w:rPr>
        <w:t>Golflinks</w:t>
      </w:r>
    </w:p>
    <w:p>
      <w:pPr>
        <w:pStyle w:val="ListParagraph"/>
        <w:numPr>
          <w:ilvl w:val="1"/>
          <w:numId w:val="95"/>
        </w:numPr>
        <w:tabs>
          <w:tab w:pos="1401" w:val="left" w:leader="none"/>
        </w:tabs>
        <w:spacing w:line="247" w:lineRule="auto" w:before="206" w:after="0"/>
        <w:ind w:left="1400" w:right="677" w:hanging="450"/>
        <w:jc w:val="both"/>
        <w:rPr>
          <w:sz w:val="22"/>
        </w:rPr>
      </w:pPr>
      <w:r>
        <w:rPr>
          <w:sz w:val="22"/>
        </w:rPr>
        <w:t>Certain third parties have filed a suit for partition in 2005 against their family members and GLSP before the City Civil Court, Bengaluru, in respect of a property admeasuring 4 acres and 1 guntas, where</w:t>
      </w:r>
      <w:r>
        <w:rPr>
          <w:spacing w:val="-32"/>
          <w:sz w:val="22"/>
        </w:rPr>
        <w:t> </w:t>
      </w:r>
      <w:r>
        <w:rPr>
          <w:sz w:val="22"/>
        </w:rPr>
        <w:t>GLSP</w:t>
      </w:r>
      <w:r>
        <w:rPr>
          <w:spacing w:val="-32"/>
          <w:sz w:val="22"/>
        </w:rPr>
        <w:t> </w:t>
      </w:r>
      <w:r>
        <w:rPr>
          <w:sz w:val="22"/>
        </w:rPr>
        <w:t>is</w:t>
      </w:r>
      <w:r>
        <w:rPr>
          <w:spacing w:val="-31"/>
          <w:sz w:val="22"/>
        </w:rPr>
        <w:t> </w:t>
      </w:r>
      <w:r>
        <w:rPr>
          <w:sz w:val="22"/>
        </w:rPr>
        <w:t>entitled</w:t>
      </w:r>
      <w:r>
        <w:rPr>
          <w:spacing w:val="-32"/>
          <w:sz w:val="22"/>
        </w:rPr>
        <w:t> </w:t>
      </w:r>
      <w:r>
        <w:rPr>
          <w:sz w:val="22"/>
        </w:rPr>
        <w:t>to</w:t>
      </w:r>
      <w:r>
        <w:rPr>
          <w:spacing w:val="-32"/>
          <w:sz w:val="22"/>
        </w:rPr>
        <w:t> </w:t>
      </w:r>
      <w:r>
        <w:rPr>
          <w:sz w:val="22"/>
        </w:rPr>
        <w:t>two</w:t>
      </w:r>
      <w:r>
        <w:rPr>
          <w:spacing w:val="-32"/>
          <w:sz w:val="22"/>
        </w:rPr>
        <w:t> </w:t>
      </w:r>
      <w:r>
        <w:rPr>
          <w:sz w:val="22"/>
        </w:rPr>
        <w:t>acres</w:t>
      </w:r>
      <w:r>
        <w:rPr>
          <w:spacing w:val="-31"/>
          <w:sz w:val="22"/>
        </w:rPr>
        <w:t> </w:t>
      </w:r>
      <w:r>
        <w:rPr>
          <w:sz w:val="22"/>
        </w:rPr>
        <w:t>and</w:t>
      </w:r>
      <w:r>
        <w:rPr>
          <w:spacing w:val="-31"/>
          <w:sz w:val="22"/>
        </w:rPr>
        <w:t> </w:t>
      </w:r>
      <w:r>
        <w:rPr>
          <w:sz w:val="22"/>
        </w:rPr>
        <w:t>21</w:t>
      </w:r>
      <w:r>
        <w:rPr>
          <w:spacing w:val="-32"/>
          <w:sz w:val="22"/>
        </w:rPr>
        <w:t> </w:t>
      </w:r>
      <w:r>
        <w:rPr>
          <w:sz w:val="22"/>
        </w:rPr>
        <w:t>guntas,</w:t>
      </w:r>
      <w:r>
        <w:rPr>
          <w:spacing w:val="-34"/>
          <w:sz w:val="22"/>
        </w:rPr>
        <w:t> </w:t>
      </w:r>
      <w:r>
        <w:rPr>
          <w:sz w:val="22"/>
        </w:rPr>
        <w:t>forming</w:t>
      </w:r>
      <w:r>
        <w:rPr>
          <w:spacing w:val="-31"/>
          <w:sz w:val="22"/>
        </w:rPr>
        <w:t> </w:t>
      </w:r>
      <w:r>
        <w:rPr>
          <w:sz w:val="22"/>
        </w:rPr>
        <w:t>part</w:t>
      </w:r>
      <w:r>
        <w:rPr>
          <w:spacing w:val="-31"/>
          <w:sz w:val="22"/>
        </w:rPr>
        <w:t> </w:t>
      </w:r>
      <w:r>
        <w:rPr>
          <w:sz w:val="22"/>
        </w:rPr>
        <w:t>of</w:t>
      </w:r>
      <w:r>
        <w:rPr>
          <w:spacing w:val="-32"/>
          <w:sz w:val="22"/>
        </w:rPr>
        <w:t> </w:t>
      </w:r>
      <w:r>
        <w:rPr>
          <w:sz w:val="22"/>
        </w:rPr>
        <w:t>Embassy</w:t>
      </w:r>
      <w:r>
        <w:rPr>
          <w:spacing w:val="-32"/>
          <w:sz w:val="22"/>
        </w:rPr>
        <w:t> </w:t>
      </w:r>
      <w:r>
        <w:rPr>
          <w:sz w:val="22"/>
        </w:rPr>
        <w:t>Golflinks</w:t>
      </w:r>
      <w:r>
        <w:rPr>
          <w:spacing w:val="-32"/>
          <w:sz w:val="22"/>
        </w:rPr>
        <w:t> </w:t>
      </w:r>
      <w:r>
        <w:rPr>
          <w:sz w:val="22"/>
        </w:rPr>
        <w:t>wherein</w:t>
      </w:r>
      <w:r>
        <w:rPr>
          <w:spacing w:val="-32"/>
          <w:sz w:val="22"/>
        </w:rPr>
        <w:t> </w:t>
      </w:r>
      <w:r>
        <w:rPr>
          <w:sz w:val="22"/>
        </w:rPr>
        <w:t>the</w:t>
      </w:r>
      <w:r>
        <w:rPr>
          <w:spacing w:val="-32"/>
          <w:sz w:val="22"/>
        </w:rPr>
        <w:t> </w:t>
      </w:r>
      <w:r>
        <w:rPr>
          <w:sz w:val="22"/>
        </w:rPr>
        <w:t>court passed</w:t>
      </w:r>
      <w:r>
        <w:rPr>
          <w:spacing w:val="-9"/>
          <w:sz w:val="22"/>
        </w:rPr>
        <w:t> </w:t>
      </w:r>
      <w:r>
        <w:rPr>
          <w:sz w:val="22"/>
        </w:rPr>
        <w:t>a</w:t>
      </w:r>
      <w:r>
        <w:rPr>
          <w:spacing w:val="-13"/>
          <w:sz w:val="22"/>
        </w:rPr>
        <w:t> </w:t>
      </w:r>
      <w:r>
        <w:rPr>
          <w:sz w:val="22"/>
        </w:rPr>
        <w:t>preliminary</w:t>
      </w:r>
      <w:r>
        <w:rPr>
          <w:spacing w:val="-10"/>
          <w:sz w:val="22"/>
        </w:rPr>
        <w:t> </w:t>
      </w:r>
      <w:r>
        <w:rPr>
          <w:sz w:val="22"/>
        </w:rPr>
        <w:t>decree</w:t>
      </w:r>
      <w:r>
        <w:rPr>
          <w:spacing w:val="-11"/>
          <w:sz w:val="22"/>
        </w:rPr>
        <w:t> </w:t>
      </w:r>
      <w:r>
        <w:rPr>
          <w:sz w:val="22"/>
        </w:rPr>
        <w:t>for</w:t>
      </w:r>
      <w:r>
        <w:rPr>
          <w:spacing w:val="-12"/>
          <w:sz w:val="22"/>
        </w:rPr>
        <w:t> </w:t>
      </w:r>
      <w:r>
        <w:rPr>
          <w:sz w:val="22"/>
        </w:rPr>
        <w:t>partition.</w:t>
      </w:r>
      <w:r>
        <w:rPr>
          <w:spacing w:val="-11"/>
          <w:sz w:val="22"/>
        </w:rPr>
        <w:t> </w:t>
      </w:r>
      <w:r>
        <w:rPr>
          <w:sz w:val="22"/>
        </w:rPr>
        <w:t>GLSP</w:t>
      </w:r>
      <w:r>
        <w:rPr>
          <w:spacing w:val="-10"/>
          <w:sz w:val="22"/>
        </w:rPr>
        <w:t> </w:t>
      </w:r>
      <w:r>
        <w:rPr>
          <w:sz w:val="22"/>
        </w:rPr>
        <w:t>has</w:t>
      </w:r>
      <w:r>
        <w:rPr>
          <w:spacing w:val="-10"/>
          <w:sz w:val="22"/>
        </w:rPr>
        <w:t> </w:t>
      </w:r>
      <w:r>
        <w:rPr>
          <w:sz w:val="22"/>
        </w:rPr>
        <w:t>filed</w:t>
      </w:r>
      <w:r>
        <w:rPr>
          <w:spacing w:val="-10"/>
          <w:sz w:val="22"/>
        </w:rPr>
        <w:t> </w:t>
      </w:r>
      <w:r>
        <w:rPr>
          <w:sz w:val="22"/>
        </w:rPr>
        <w:t>an</w:t>
      </w:r>
      <w:r>
        <w:rPr>
          <w:spacing w:val="-10"/>
          <w:sz w:val="22"/>
        </w:rPr>
        <w:t> </w:t>
      </w:r>
      <w:r>
        <w:rPr>
          <w:sz w:val="22"/>
        </w:rPr>
        <w:t>appeal</w:t>
      </w:r>
      <w:r>
        <w:rPr>
          <w:spacing w:val="-12"/>
          <w:sz w:val="22"/>
        </w:rPr>
        <w:t> </w:t>
      </w:r>
      <w:r>
        <w:rPr>
          <w:sz w:val="22"/>
        </w:rPr>
        <w:t>in</w:t>
      </w:r>
      <w:r>
        <w:rPr>
          <w:spacing w:val="-11"/>
          <w:sz w:val="22"/>
        </w:rPr>
        <w:t> </w:t>
      </w:r>
      <w:r>
        <w:rPr>
          <w:sz w:val="22"/>
        </w:rPr>
        <w:t>2013</w:t>
      </w:r>
      <w:r>
        <w:rPr>
          <w:spacing w:val="-11"/>
          <w:sz w:val="22"/>
        </w:rPr>
        <w:t> </w:t>
      </w:r>
      <w:r>
        <w:rPr>
          <w:sz w:val="22"/>
        </w:rPr>
        <w:t>before</w:t>
      </w:r>
      <w:r>
        <w:rPr>
          <w:spacing w:val="-12"/>
          <w:sz w:val="22"/>
        </w:rPr>
        <w:t> </w:t>
      </w:r>
      <w:r>
        <w:rPr>
          <w:sz w:val="22"/>
        </w:rPr>
        <w:t>the</w:t>
      </w:r>
      <w:r>
        <w:rPr>
          <w:spacing w:val="-11"/>
          <w:sz w:val="22"/>
        </w:rPr>
        <w:t> </w:t>
      </w:r>
      <w:r>
        <w:rPr>
          <w:sz w:val="22"/>
        </w:rPr>
        <w:t>High</w:t>
      </w:r>
      <w:r>
        <w:rPr>
          <w:spacing w:val="-11"/>
          <w:sz w:val="22"/>
        </w:rPr>
        <w:t> </w:t>
      </w:r>
      <w:r>
        <w:rPr>
          <w:sz w:val="22"/>
        </w:rPr>
        <w:t>Court</w:t>
      </w:r>
      <w:r>
        <w:rPr>
          <w:spacing w:val="-10"/>
          <w:sz w:val="22"/>
        </w:rPr>
        <w:t> </w:t>
      </w:r>
      <w:r>
        <w:rPr>
          <w:sz w:val="22"/>
        </w:rPr>
        <w:t>of Karnataka</w:t>
      </w:r>
      <w:r>
        <w:rPr>
          <w:spacing w:val="-9"/>
          <w:sz w:val="22"/>
        </w:rPr>
        <w:t> </w:t>
      </w:r>
      <w:r>
        <w:rPr>
          <w:sz w:val="22"/>
        </w:rPr>
        <w:t>challenging</w:t>
      </w:r>
      <w:r>
        <w:rPr>
          <w:spacing w:val="-8"/>
          <w:sz w:val="22"/>
        </w:rPr>
        <w:t> </w:t>
      </w:r>
      <w:r>
        <w:rPr>
          <w:sz w:val="22"/>
        </w:rPr>
        <w:t>the</w:t>
      </w:r>
      <w:r>
        <w:rPr>
          <w:spacing w:val="-9"/>
          <w:sz w:val="22"/>
        </w:rPr>
        <w:t> </w:t>
      </w:r>
      <w:r>
        <w:rPr>
          <w:sz w:val="22"/>
        </w:rPr>
        <w:t>decree.</w:t>
      </w:r>
      <w:r>
        <w:rPr>
          <w:spacing w:val="-9"/>
          <w:sz w:val="22"/>
        </w:rPr>
        <w:t> </w:t>
      </w:r>
      <w:r>
        <w:rPr>
          <w:sz w:val="22"/>
        </w:rPr>
        <w:t>The</w:t>
      </w:r>
      <w:r>
        <w:rPr>
          <w:spacing w:val="-9"/>
          <w:sz w:val="22"/>
        </w:rPr>
        <w:t> </w:t>
      </w:r>
      <w:r>
        <w:rPr>
          <w:sz w:val="22"/>
        </w:rPr>
        <w:t>High</w:t>
      </w:r>
      <w:r>
        <w:rPr>
          <w:spacing w:val="-9"/>
          <w:sz w:val="22"/>
        </w:rPr>
        <w:t> </w:t>
      </w:r>
      <w:r>
        <w:rPr>
          <w:sz w:val="22"/>
        </w:rPr>
        <w:t>Court</w:t>
      </w:r>
      <w:r>
        <w:rPr>
          <w:spacing w:val="-8"/>
          <w:sz w:val="22"/>
        </w:rPr>
        <w:t> </w:t>
      </w:r>
      <w:r>
        <w:rPr>
          <w:sz w:val="22"/>
        </w:rPr>
        <w:t>has</w:t>
      </w:r>
      <w:r>
        <w:rPr>
          <w:spacing w:val="-7"/>
          <w:sz w:val="22"/>
        </w:rPr>
        <w:t> </w:t>
      </w:r>
      <w:r>
        <w:rPr>
          <w:sz w:val="22"/>
        </w:rPr>
        <w:t>passed</w:t>
      </w:r>
      <w:r>
        <w:rPr>
          <w:spacing w:val="-8"/>
          <w:sz w:val="22"/>
        </w:rPr>
        <w:t> </w:t>
      </w:r>
      <w:r>
        <w:rPr>
          <w:sz w:val="22"/>
        </w:rPr>
        <w:t>interim</w:t>
      </w:r>
      <w:r>
        <w:rPr>
          <w:spacing w:val="-8"/>
          <w:sz w:val="22"/>
        </w:rPr>
        <w:t> </w:t>
      </w:r>
      <w:r>
        <w:rPr>
          <w:sz w:val="22"/>
        </w:rPr>
        <w:t>orders</w:t>
      </w:r>
      <w:r>
        <w:rPr>
          <w:spacing w:val="-7"/>
          <w:sz w:val="22"/>
        </w:rPr>
        <w:t> </w:t>
      </w:r>
      <w:r>
        <w:rPr>
          <w:sz w:val="22"/>
        </w:rPr>
        <w:t>in</w:t>
      </w:r>
      <w:r>
        <w:rPr>
          <w:spacing w:val="-10"/>
          <w:sz w:val="22"/>
        </w:rPr>
        <w:t> </w:t>
      </w:r>
      <w:r>
        <w:rPr>
          <w:sz w:val="22"/>
        </w:rPr>
        <w:t>2015</w:t>
      </w:r>
      <w:r>
        <w:rPr>
          <w:spacing w:val="-9"/>
          <w:sz w:val="22"/>
        </w:rPr>
        <w:t> </w:t>
      </w:r>
      <w:r>
        <w:rPr>
          <w:sz w:val="22"/>
        </w:rPr>
        <w:t>and</w:t>
      </w:r>
      <w:r>
        <w:rPr>
          <w:spacing w:val="-7"/>
          <w:sz w:val="22"/>
        </w:rPr>
        <w:t> </w:t>
      </w:r>
      <w:r>
        <w:rPr>
          <w:sz w:val="22"/>
        </w:rPr>
        <w:t>stayed</w:t>
      </w:r>
      <w:r>
        <w:rPr>
          <w:spacing w:val="-8"/>
          <w:sz w:val="22"/>
        </w:rPr>
        <w:t> </w:t>
      </w:r>
      <w:r>
        <w:rPr>
          <w:sz w:val="22"/>
        </w:rPr>
        <w:t>the decree.</w:t>
      </w:r>
      <w:r>
        <w:rPr>
          <w:spacing w:val="-11"/>
          <w:sz w:val="22"/>
        </w:rPr>
        <w:t> </w:t>
      </w:r>
      <w:r>
        <w:rPr>
          <w:sz w:val="22"/>
        </w:rPr>
        <w:t>The</w:t>
      </w:r>
      <w:r>
        <w:rPr>
          <w:spacing w:val="-11"/>
          <w:sz w:val="22"/>
        </w:rPr>
        <w:t> </w:t>
      </w:r>
      <w:r>
        <w:rPr>
          <w:sz w:val="22"/>
        </w:rPr>
        <w:t>matter</w:t>
      </w:r>
      <w:r>
        <w:rPr>
          <w:spacing w:val="-10"/>
          <w:sz w:val="22"/>
        </w:rPr>
        <w:t> </w:t>
      </w:r>
      <w:r>
        <w:rPr>
          <w:sz w:val="22"/>
        </w:rPr>
        <w:t>came</w:t>
      </w:r>
      <w:r>
        <w:rPr>
          <w:spacing w:val="-10"/>
          <w:sz w:val="22"/>
        </w:rPr>
        <w:t> </w:t>
      </w:r>
      <w:r>
        <w:rPr>
          <w:sz w:val="22"/>
        </w:rPr>
        <w:t>up</w:t>
      </w:r>
      <w:r>
        <w:rPr>
          <w:spacing w:val="-10"/>
          <w:sz w:val="22"/>
        </w:rPr>
        <w:t> </w:t>
      </w:r>
      <w:r>
        <w:rPr>
          <w:sz w:val="22"/>
        </w:rPr>
        <w:t>for</w:t>
      </w:r>
      <w:r>
        <w:rPr>
          <w:spacing w:val="-11"/>
          <w:sz w:val="22"/>
        </w:rPr>
        <w:t> </w:t>
      </w:r>
      <w:r>
        <w:rPr>
          <w:sz w:val="22"/>
        </w:rPr>
        <w:t>hearing</w:t>
      </w:r>
      <w:r>
        <w:rPr>
          <w:spacing w:val="-9"/>
          <w:sz w:val="22"/>
        </w:rPr>
        <w:t> </w:t>
      </w:r>
      <w:r>
        <w:rPr>
          <w:sz w:val="22"/>
        </w:rPr>
        <w:t>on</w:t>
      </w:r>
      <w:r>
        <w:rPr>
          <w:spacing w:val="-11"/>
          <w:sz w:val="22"/>
        </w:rPr>
        <w:t> </w:t>
      </w:r>
      <w:r>
        <w:rPr>
          <w:sz w:val="22"/>
        </w:rPr>
        <w:t>September</w:t>
      </w:r>
      <w:r>
        <w:rPr>
          <w:spacing w:val="-11"/>
          <w:sz w:val="22"/>
        </w:rPr>
        <w:t> </w:t>
      </w:r>
      <w:r>
        <w:rPr>
          <w:sz w:val="22"/>
        </w:rPr>
        <w:t>23,</w:t>
      </w:r>
      <w:r>
        <w:rPr>
          <w:spacing w:val="-10"/>
          <w:sz w:val="22"/>
        </w:rPr>
        <w:t> </w:t>
      </w:r>
      <w:r>
        <w:rPr>
          <w:sz w:val="22"/>
        </w:rPr>
        <w:t>2019</w:t>
      </w:r>
      <w:r>
        <w:rPr>
          <w:spacing w:val="-10"/>
          <w:sz w:val="22"/>
        </w:rPr>
        <w:t> </w:t>
      </w:r>
      <w:r>
        <w:rPr>
          <w:sz w:val="22"/>
        </w:rPr>
        <w:t>wherein</w:t>
      </w:r>
      <w:r>
        <w:rPr>
          <w:spacing w:val="-11"/>
          <w:sz w:val="22"/>
        </w:rPr>
        <w:t> </w:t>
      </w:r>
      <w:r>
        <w:rPr>
          <w:sz w:val="22"/>
        </w:rPr>
        <w:t>it</w:t>
      </w:r>
      <w:r>
        <w:rPr>
          <w:spacing w:val="-10"/>
          <w:sz w:val="22"/>
        </w:rPr>
        <w:t> </w:t>
      </w:r>
      <w:r>
        <w:rPr>
          <w:sz w:val="22"/>
        </w:rPr>
        <w:t>was</w:t>
      </w:r>
      <w:r>
        <w:rPr>
          <w:spacing w:val="-10"/>
          <w:sz w:val="22"/>
        </w:rPr>
        <w:t> </w:t>
      </w:r>
      <w:r>
        <w:rPr>
          <w:sz w:val="22"/>
        </w:rPr>
        <w:t>adjourned.</w:t>
      </w:r>
    </w:p>
    <w:p>
      <w:pPr>
        <w:pStyle w:val="ListParagraph"/>
        <w:numPr>
          <w:ilvl w:val="1"/>
          <w:numId w:val="95"/>
        </w:numPr>
        <w:tabs>
          <w:tab w:pos="1401" w:val="left" w:leader="none"/>
        </w:tabs>
        <w:spacing w:line="247" w:lineRule="auto" w:before="202" w:after="0"/>
        <w:ind w:left="1400" w:right="678" w:hanging="450"/>
        <w:jc w:val="both"/>
        <w:rPr>
          <w:sz w:val="22"/>
        </w:rPr>
      </w:pPr>
      <w:r>
        <w:rPr>
          <w:sz w:val="22"/>
        </w:rPr>
        <w:t>A third party individual has filed a suit before Court of the City Civil Judge, Bengaluru in 2005, against GLSP and others for declaring a sale deed allegedly executed in 2004 by him in favour of GLSP</w:t>
      </w:r>
      <w:r>
        <w:rPr>
          <w:spacing w:val="-3"/>
          <w:sz w:val="22"/>
        </w:rPr>
        <w:t> </w:t>
      </w:r>
      <w:r>
        <w:rPr>
          <w:sz w:val="22"/>
        </w:rPr>
        <w:t>and</w:t>
      </w:r>
      <w:r>
        <w:rPr>
          <w:spacing w:val="-2"/>
          <w:sz w:val="22"/>
        </w:rPr>
        <w:t> </w:t>
      </w:r>
      <w:r>
        <w:rPr>
          <w:sz w:val="22"/>
        </w:rPr>
        <w:t>another</w:t>
      </w:r>
      <w:r>
        <w:rPr>
          <w:spacing w:val="-5"/>
          <w:sz w:val="22"/>
        </w:rPr>
        <w:t> </w:t>
      </w:r>
      <w:r>
        <w:rPr>
          <w:sz w:val="22"/>
        </w:rPr>
        <w:t>pertaining</w:t>
      </w:r>
      <w:r>
        <w:rPr>
          <w:spacing w:val="-3"/>
          <w:sz w:val="22"/>
        </w:rPr>
        <w:t> </w:t>
      </w:r>
      <w:r>
        <w:rPr>
          <w:sz w:val="22"/>
        </w:rPr>
        <w:t>to</w:t>
      </w:r>
      <w:r>
        <w:rPr>
          <w:spacing w:val="-4"/>
          <w:sz w:val="22"/>
        </w:rPr>
        <w:t> </w:t>
      </w:r>
      <w:r>
        <w:rPr>
          <w:sz w:val="22"/>
        </w:rPr>
        <w:t>a</w:t>
      </w:r>
      <w:r>
        <w:rPr>
          <w:spacing w:val="-6"/>
          <w:sz w:val="22"/>
        </w:rPr>
        <w:t> </w:t>
      </w:r>
      <w:r>
        <w:rPr>
          <w:sz w:val="22"/>
        </w:rPr>
        <w:t>portion</w:t>
      </w:r>
      <w:r>
        <w:rPr>
          <w:spacing w:val="-3"/>
          <w:sz w:val="22"/>
        </w:rPr>
        <w:t> </w:t>
      </w:r>
      <w:r>
        <w:rPr>
          <w:sz w:val="22"/>
        </w:rPr>
        <w:t>of</w:t>
      </w:r>
      <w:r>
        <w:rPr>
          <w:spacing w:val="-2"/>
          <w:sz w:val="22"/>
        </w:rPr>
        <w:t> </w:t>
      </w:r>
      <w:r>
        <w:rPr>
          <w:sz w:val="22"/>
        </w:rPr>
        <w:t>land</w:t>
      </w:r>
      <w:r>
        <w:rPr>
          <w:spacing w:val="-5"/>
          <w:sz w:val="22"/>
        </w:rPr>
        <w:t> </w:t>
      </w:r>
      <w:r>
        <w:rPr>
          <w:sz w:val="22"/>
        </w:rPr>
        <w:t>situated</w:t>
      </w:r>
      <w:r>
        <w:rPr>
          <w:spacing w:val="-2"/>
          <w:sz w:val="22"/>
        </w:rPr>
        <w:t> </w:t>
      </w:r>
      <w:r>
        <w:rPr>
          <w:sz w:val="22"/>
        </w:rPr>
        <w:t>at</w:t>
      </w:r>
      <w:r>
        <w:rPr>
          <w:spacing w:val="-2"/>
          <w:sz w:val="22"/>
        </w:rPr>
        <w:t> </w:t>
      </w:r>
      <w:r>
        <w:rPr>
          <w:sz w:val="22"/>
        </w:rPr>
        <w:t>Embassy</w:t>
      </w:r>
      <w:r>
        <w:rPr>
          <w:spacing w:val="-4"/>
          <w:sz w:val="22"/>
        </w:rPr>
        <w:t> </w:t>
      </w:r>
      <w:r>
        <w:rPr>
          <w:sz w:val="22"/>
        </w:rPr>
        <w:t>Golflinks,</w:t>
      </w:r>
      <w:r>
        <w:rPr>
          <w:spacing w:val="-3"/>
          <w:sz w:val="22"/>
        </w:rPr>
        <w:t> </w:t>
      </w:r>
      <w:r>
        <w:rPr>
          <w:sz w:val="22"/>
        </w:rPr>
        <w:t>as</w:t>
      </w:r>
      <w:r>
        <w:rPr>
          <w:spacing w:val="-2"/>
          <w:sz w:val="22"/>
        </w:rPr>
        <w:t> </w:t>
      </w:r>
      <w:r>
        <w:rPr>
          <w:sz w:val="22"/>
        </w:rPr>
        <w:t>null</w:t>
      </w:r>
      <w:r>
        <w:rPr>
          <w:spacing w:val="-5"/>
          <w:sz w:val="22"/>
        </w:rPr>
        <w:t> </w:t>
      </w:r>
      <w:r>
        <w:rPr>
          <w:sz w:val="22"/>
        </w:rPr>
        <w:t>and</w:t>
      </w:r>
      <w:r>
        <w:rPr>
          <w:spacing w:val="-5"/>
          <w:sz w:val="22"/>
        </w:rPr>
        <w:t> </w:t>
      </w:r>
      <w:r>
        <w:rPr>
          <w:sz w:val="22"/>
        </w:rPr>
        <w:t>void</w:t>
      </w:r>
      <w:r>
        <w:rPr>
          <w:spacing w:val="-2"/>
          <w:sz w:val="22"/>
        </w:rPr>
        <w:t> </w:t>
      </w:r>
      <w:r>
        <w:rPr>
          <w:sz w:val="22"/>
        </w:rPr>
        <w:t>on account</w:t>
      </w:r>
      <w:r>
        <w:rPr>
          <w:spacing w:val="-18"/>
          <w:sz w:val="22"/>
        </w:rPr>
        <w:t> </w:t>
      </w:r>
      <w:r>
        <w:rPr>
          <w:sz w:val="22"/>
        </w:rPr>
        <w:t>of</w:t>
      </w:r>
      <w:r>
        <w:rPr>
          <w:spacing w:val="-20"/>
          <w:sz w:val="22"/>
        </w:rPr>
        <w:t> </w:t>
      </w:r>
      <w:r>
        <w:rPr>
          <w:sz w:val="22"/>
        </w:rPr>
        <w:t>fraud</w:t>
      </w:r>
      <w:r>
        <w:rPr>
          <w:spacing w:val="-17"/>
          <w:sz w:val="22"/>
        </w:rPr>
        <w:t> </w:t>
      </w:r>
      <w:r>
        <w:rPr>
          <w:sz w:val="22"/>
        </w:rPr>
        <w:t>and</w:t>
      </w:r>
      <w:r>
        <w:rPr>
          <w:spacing w:val="-17"/>
          <w:sz w:val="22"/>
        </w:rPr>
        <w:t> </w:t>
      </w:r>
      <w:r>
        <w:rPr>
          <w:sz w:val="22"/>
        </w:rPr>
        <w:t>misrepresentation.</w:t>
      </w:r>
      <w:r>
        <w:rPr>
          <w:spacing w:val="-20"/>
          <w:sz w:val="22"/>
        </w:rPr>
        <w:t> </w:t>
      </w:r>
      <w:r>
        <w:rPr>
          <w:sz w:val="22"/>
        </w:rPr>
        <w:t>The</w:t>
      </w:r>
      <w:r>
        <w:rPr>
          <w:spacing w:val="-21"/>
          <w:sz w:val="22"/>
        </w:rPr>
        <w:t> </w:t>
      </w:r>
      <w:r>
        <w:rPr>
          <w:sz w:val="22"/>
        </w:rPr>
        <w:t>plaintiff</w:t>
      </w:r>
      <w:r>
        <w:rPr>
          <w:spacing w:val="-19"/>
          <w:sz w:val="22"/>
        </w:rPr>
        <w:t> </w:t>
      </w:r>
      <w:r>
        <w:rPr>
          <w:sz w:val="22"/>
        </w:rPr>
        <w:t>died</w:t>
      </w:r>
      <w:r>
        <w:rPr>
          <w:spacing w:val="-17"/>
          <w:sz w:val="22"/>
        </w:rPr>
        <w:t> </w:t>
      </w:r>
      <w:r>
        <w:rPr>
          <w:sz w:val="22"/>
        </w:rPr>
        <w:t>at</w:t>
      </w:r>
      <w:r>
        <w:rPr>
          <w:spacing w:val="-18"/>
          <w:sz w:val="22"/>
        </w:rPr>
        <w:t> </w:t>
      </w:r>
      <w:r>
        <w:rPr>
          <w:sz w:val="22"/>
        </w:rPr>
        <w:t>the</w:t>
      </w:r>
      <w:r>
        <w:rPr>
          <w:spacing w:val="-19"/>
          <w:sz w:val="22"/>
        </w:rPr>
        <w:t> </w:t>
      </w:r>
      <w:r>
        <w:rPr>
          <w:sz w:val="22"/>
        </w:rPr>
        <w:t>evidence</w:t>
      </w:r>
      <w:r>
        <w:rPr>
          <w:spacing w:val="-20"/>
          <w:sz w:val="22"/>
        </w:rPr>
        <w:t> </w:t>
      </w:r>
      <w:r>
        <w:rPr>
          <w:sz w:val="22"/>
        </w:rPr>
        <w:t>stage</w:t>
      </w:r>
      <w:r>
        <w:rPr>
          <w:spacing w:val="-19"/>
          <w:sz w:val="22"/>
        </w:rPr>
        <w:t> </w:t>
      </w:r>
      <w:r>
        <w:rPr>
          <w:sz w:val="22"/>
        </w:rPr>
        <w:t>and</w:t>
      </w:r>
      <w:r>
        <w:rPr>
          <w:spacing w:val="-19"/>
          <w:sz w:val="22"/>
        </w:rPr>
        <w:t> </w:t>
      </w:r>
      <w:r>
        <w:rPr>
          <w:sz w:val="22"/>
        </w:rPr>
        <w:t>his</w:t>
      </w:r>
      <w:r>
        <w:rPr>
          <w:spacing w:val="-17"/>
          <w:sz w:val="22"/>
        </w:rPr>
        <w:t> </w:t>
      </w:r>
      <w:r>
        <w:rPr>
          <w:sz w:val="22"/>
        </w:rPr>
        <w:t>alleged</w:t>
      </w:r>
      <w:r>
        <w:rPr>
          <w:spacing w:val="-17"/>
          <w:sz w:val="22"/>
        </w:rPr>
        <w:t> </w:t>
      </w:r>
      <w:r>
        <w:rPr>
          <w:sz w:val="22"/>
        </w:rPr>
        <w:t>heir was</w:t>
      </w:r>
      <w:r>
        <w:rPr>
          <w:spacing w:val="-9"/>
          <w:sz w:val="22"/>
        </w:rPr>
        <w:t> </w:t>
      </w:r>
      <w:r>
        <w:rPr>
          <w:sz w:val="22"/>
        </w:rPr>
        <w:t>not</w:t>
      </w:r>
      <w:r>
        <w:rPr>
          <w:spacing w:val="-11"/>
          <w:sz w:val="22"/>
        </w:rPr>
        <w:t> </w:t>
      </w:r>
      <w:r>
        <w:rPr>
          <w:sz w:val="22"/>
        </w:rPr>
        <w:t>permitted</w:t>
      </w:r>
      <w:r>
        <w:rPr>
          <w:spacing w:val="-11"/>
          <w:sz w:val="22"/>
        </w:rPr>
        <w:t> </w:t>
      </w:r>
      <w:r>
        <w:rPr>
          <w:sz w:val="22"/>
        </w:rPr>
        <w:t>to</w:t>
      </w:r>
      <w:r>
        <w:rPr>
          <w:spacing w:val="-10"/>
          <w:sz w:val="22"/>
        </w:rPr>
        <w:t> </w:t>
      </w:r>
      <w:r>
        <w:rPr>
          <w:sz w:val="22"/>
        </w:rPr>
        <w:t>come</w:t>
      </w:r>
      <w:r>
        <w:rPr>
          <w:spacing w:val="-11"/>
          <w:sz w:val="22"/>
        </w:rPr>
        <w:t> </w:t>
      </w:r>
      <w:r>
        <w:rPr>
          <w:sz w:val="22"/>
        </w:rPr>
        <w:t>on</w:t>
      </w:r>
      <w:r>
        <w:rPr>
          <w:spacing w:val="-10"/>
          <w:sz w:val="22"/>
        </w:rPr>
        <w:t> </w:t>
      </w:r>
      <w:r>
        <w:rPr>
          <w:sz w:val="22"/>
        </w:rPr>
        <w:t>record</w:t>
      </w:r>
      <w:r>
        <w:rPr>
          <w:spacing w:val="-11"/>
          <w:sz w:val="22"/>
        </w:rPr>
        <w:t> </w:t>
      </w:r>
      <w:r>
        <w:rPr>
          <w:sz w:val="22"/>
        </w:rPr>
        <w:t>by</w:t>
      </w:r>
      <w:r>
        <w:rPr>
          <w:spacing w:val="-8"/>
          <w:sz w:val="22"/>
        </w:rPr>
        <w:t> </w:t>
      </w:r>
      <w:r>
        <w:rPr>
          <w:sz w:val="22"/>
        </w:rPr>
        <w:t>as</w:t>
      </w:r>
      <w:r>
        <w:rPr>
          <w:spacing w:val="-11"/>
          <w:sz w:val="22"/>
        </w:rPr>
        <w:t> </w:t>
      </w:r>
      <w:r>
        <w:rPr>
          <w:sz w:val="22"/>
        </w:rPr>
        <w:t>the</w:t>
      </w:r>
      <w:r>
        <w:rPr>
          <w:spacing w:val="-10"/>
          <w:sz w:val="22"/>
        </w:rPr>
        <w:t> </w:t>
      </w:r>
      <w:r>
        <w:rPr>
          <w:sz w:val="22"/>
        </w:rPr>
        <w:t>court</w:t>
      </w:r>
      <w:r>
        <w:rPr>
          <w:spacing w:val="-9"/>
          <w:sz w:val="22"/>
        </w:rPr>
        <w:t> </w:t>
      </w:r>
      <w:r>
        <w:rPr>
          <w:sz w:val="22"/>
        </w:rPr>
        <w:t>rejected</w:t>
      </w:r>
      <w:r>
        <w:rPr>
          <w:spacing w:val="-9"/>
          <w:sz w:val="22"/>
        </w:rPr>
        <w:t> </w:t>
      </w:r>
      <w:r>
        <w:rPr>
          <w:sz w:val="22"/>
        </w:rPr>
        <w:t>his</w:t>
      </w:r>
      <w:r>
        <w:rPr>
          <w:spacing w:val="-9"/>
          <w:sz w:val="22"/>
        </w:rPr>
        <w:t> </w:t>
      </w:r>
      <w:r>
        <w:rPr>
          <w:sz w:val="22"/>
        </w:rPr>
        <w:t>application</w:t>
      </w:r>
      <w:r>
        <w:rPr>
          <w:spacing w:val="-11"/>
          <w:sz w:val="22"/>
        </w:rPr>
        <w:t> </w:t>
      </w:r>
      <w:r>
        <w:rPr>
          <w:sz w:val="22"/>
        </w:rPr>
        <w:t>by</w:t>
      </w:r>
      <w:r>
        <w:rPr>
          <w:spacing w:val="-10"/>
          <w:sz w:val="22"/>
        </w:rPr>
        <w:t> </w:t>
      </w:r>
      <w:r>
        <w:rPr>
          <w:sz w:val="22"/>
        </w:rPr>
        <w:t>passing</w:t>
      </w:r>
      <w:r>
        <w:rPr>
          <w:spacing w:val="-9"/>
          <w:sz w:val="22"/>
        </w:rPr>
        <w:t> </w:t>
      </w:r>
      <w:r>
        <w:rPr>
          <w:spacing w:val="9"/>
          <w:sz w:val="22"/>
        </w:rPr>
        <w:t>an</w:t>
      </w:r>
      <w:r>
        <w:rPr>
          <w:spacing w:val="-10"/>
          <w:sz w:val="22"/>
        </w:rPr>
        <w:t> </w:t>
      </w:r>
      <w:r>
        <w:rPr>
          <w:sz w:val="22"/>
        </w:rPr>
        <w:t>order</w:t>
      </w:r>
      <w:r>
        <w:rPr>
          <w:spacing w:val="-12"/>
          <w:sz w:val="22"/>
        </w:rPr>
        <w:t> </w:t>
      </w:r>
      <w:r>
        <w:rPr>
          <w:sz w:val="22"/>
        </w:rPr>
        <w:t>in 2015.</w:t>
      </w:r>
      <w:r>
        <w:rPr>
          <w:spacing w:val="-14"/>
          <w:sz w:val="22"/>
        </w:rPr>
        <w:t> </w:t>
      </w:r>
      <w:r>
        <w:rPr>
          <w:sz w:val="22"/>
        </w:rPr>
        <w:t>Aggrieved</w:t>
      </w:r>
      <w:r>
        <w:rPr>
          <w:spacing w:val="-12"/>
          <w:sz w:val="22"/>
        </w:rPr>
        <w:t> </w:t>
      </w:r>
      <w:r>
        <w:rPr>
          <w:sz w:val="22"/>
        </w:rPr>
        <w:t>by</w:t>
      </w:r>
      <w:r>
        <w:rPr>
          <w:spacing w:val="-13"/>
          <w:sz w:val="22"/>
        </w:rPr>
        <w:t> </w:t>
      </w:r>
      <w:r>
        <w:rPr>
          <w:sz w:val="22"/>
        </w:rPr>
        <w:t>the</w:t>
      </w:r>
      <w:r>
        <w:rPr>
          <w:spacing w:val="-15"/>
          <w:sz w:val="22"/>
        </w:rPr>
        <w:t> </w:t>
      </w:r>
      <w:r>
        <w:rPr>
          <w:sz w:val="22"/>
        </w:rPr>
        <w:t>order,</w:t>
      </w:r>
      <w:r>
        <w:rPr>
          <w:spacing w:val="-13"/>
          <w:sz w:val="22"/>
        </w:rPr>
        <w:t> </w:t>
      </w:r>
      <w:r>
        <w:rPr>
          <w:sz w:val="22"/>
        </w:rPr>
        <w:t>the</w:t>
      </w:r>
      <w:r>
        <w:rPr>
          <w:spacing w:val="-12"/>
          <w:sz w:val="22"/>
        </w:rPr>
        <w:t> </w:t>
      </w:r>
      <w:r>
        <w:rPr>
          <w:sz w:val="22"/>
        </w:rPr>
        <w:t>alleged</w:t>
      </w:r>
      <w:r>
        <w:rPr>
          <w:spacing w:val="-11"/>
          <w:sz w:val="22"/>
        </w:rPr>
        <w:t> </w:t>
      </w:r>
      <w:r>
        <w:rPr>
          <w:sz w:val="22"/>
        </w:rPr>
        <w:t>heir</w:t>
      </w:r>
      <w:r>
        <w:rPr>
          <w:spacing w:val="-14"/>
          <w:sz w:val="22"/>
        </w:rPr>
        <w:t> </w:t>
      </w:r>
      <w:r>
        <w:rPr>
          <w:sz w:val="22"/>
        </w:rPr>
        <w:t>filed</w:t>
      </w:r>
      <w:r>
        <w:rPr>
          <w:spacing w:val="-11"/>
          <w:sz w:val="22"/>
        </w:rPr>
        <w:t> </w:t>
      </w:r>
      <w:r>
        <w:rPr>
          <w:sz w:val="22"/>
        </w:rPr>
        <w:t>a</w:t>
      </w:r>
      <w:r>
        <w:rPr>
          <w:spacing w:val="-14"/>
          <w:sz w:val="22"/>
        </w:rPr>
        <w:t> </w:t>
      </w:r>
      <w:r>
        <w:rPr>
          <w:sz w:val="22"/>
        </w:rPr>
        <w:t>civil</w:t>
      </w:r>
      <w:r>
        <w:rPr>
          <w:spacing w:val="-12"/>
          <w:sz w:val="22"/>
        </w:rPr>
        <w:t> </w:t>
      </w:r>
      <w:r>
        <w:rPr>
          <w:sz w:val="22"/>
        </w:rPr>
        <w:t>revision</w:t>
      </w:r>
      <w:r>
        <w:rPr>
          <w:spacing w:val="-13"/>
          <w:sz w:val="22"/>
        </w:rPr>
        <w:t> </w:t>
      </w:r>
      <w:r>
        <w:rPr>
          <w:sz w:val="22"/>
        </w:rPr>
        <w:t>petition</w:t>
      </w:r>
      <w:r>
        <w:rPr>
          <w:spacing w:val="-12"/>
          <w:sz w:val="22"/>
        </w:rPr>
        <w:t> </w:t>
      </w:r>
      <w:r>
        <w:rPr>
          <w:sz w:val="22"/>
        </w:rPr>
        <w:t>before</w:t>
      </w:r>
      <w:r>
        <w:rPr>
          <w:spacing w:val="-14"/>
          <w:sz w:val="22"/>
        </w:rPr>
        <w:t> </w:t>
      </w:r>
      <w:r>
        <w:rPr>
          <w:sz w:val="22"/>
        </w:rPr>
        <w:t>the</w:t>
      </w:r>
      <w:r>
        <w:rPr>
          <w:spacing w:val="-11"/>
          <w:sz w:val="22"/>
        </w:rPr>
        <w:t> </w:t>
      </w:r>
      <w:r>
        <w:rPr>
          <w:sz w:val="22"/>
        </w:rPr>
        <w:t>High</w:t>
      </w:r>
      <w:r>
        <w:rPr>
          <w:spacing w:val="-14"/>
          <w:sz w:val="22"/>
        </w:rPr>
        <w:t> </w:t>
      </w:r>
      <w:r>
        <w:rPr>
          <w:sz w:val="22"/>
        </w:rPr>
        <w:t>Court</w:t>
      </w:r>
      <w:r>
        <w:rPr>
          <w:spacing w:val="-12"/>
          <w:sz w:val="22"/>
        </w:rPr>
        <w:t> </w:t>
      </w:r>
      <w:r>
        <w:rPr>
          <w:sz w:val="22"/>
        </w:rPr>
        <w:t>of Karnataka in 2015 which was subsequently converted into a writ petition. The matter is currently pending.</w:t>
      </w:r>
    </w:p>
    <w:p>
      <w:pPr>
        <w:pStyle w:val="ListParagraph"/>
        <w:numPr>
          <w:ilvl w:val="1"/>
          <w:numId w:val="95"/>
        </w:numPr>
        <w:tabs>
          <w:tab w:pos="1401" w:val="left" w:leader="none"/>
        </w:tabs>
        <w:spacing w:line="247" w:lineRule="auto" w:before="202" w:after="0"/>
        <w:ind w:left="1400" w:right="677" w:hanging="450"/>
        <w:jc w:val="both"/>
        <w:rPr>
          <w:sz w:val="22"/>
        </w:rPr>
      </w:pPr>
      <w:r>
        <w:rPr>
          <w:sz w:val="22"/>
        </w:rPr>
        <w:t>Certain third parties have filed a suit in 2008 before the City Civil Court, Bengaluru in respect of a property admeasuring 1 acre and 21 guntas, forming part of Embassy Golflinks. The suit was dismissed</w:t>
      </w:r>
      <w:r>
        <w:rPr>
          <w:spacing w:val="-8"/>
          <w:sz w:val="22"/>
        </w:rPr>
        <w:t> </w:t>
      </w:r>
      <w:r>
        <w:rPr>
          <w:sz w:val="22"/>
        </w:rPr>
        <w:t>in</w:t>
      </w:r>
      <w:r>
        <w:rPr>
          <w:spacing w:val="-10"/>
          <w:sz w:val="22"/>
        </w:rPr>
        <w:t> </w:t>
      </w:r>
      <w:r>
        <w:rPr>
          <w:sz w:val="22"/>
        </w:rPr>
        <w:t>2013</w:t>
      </w:r>
      <w:r>
        <w:rPr>
          <w:spacing w:val="-10"/>
          <w:sz w:val="22"/>
        </w:rPr>
        <w:t> </w:t>
      </w:r>
      <w:r>
        <w:rPr>
          <w:sz w:val="22"/>
        </w:rPr>
        <w:t>due</w:t>
      </w:r>
      <w:r>
        <w:rPr>
          <w:spacing w:val="-10"/>
          <w:sz w:val="22"/>
        </w:rPr>
        <w:t> </w:t>
      </w:r>
      <w:r>
        <w:rPr>
          <w:sz w:val="22"/>
        </w:rPr>
        <w:t>to</w:t>
      </w:r>
      <w:r>
        <w:rPr>
          <w:spacing w:val="-11"/>
          <w:sz w:val="22"/>
        </w:rPr>
        <w:t> </w:t>
      </w:r>
      <w:r>
        <w:rPr>
          <w:sz w:val="22"/>
        </w:rPr>
        <w:t>no</w:t>
      </w:r>
      <w:r>
        <w:rPr>
          <w:spacing w:val="-9"/>
          <w:sz w:val="22"/>
        </w:rPr>
        <w:t> </w:t>
      </w:r>
      <w:r>
        <w:rPr>
          <w:sz w:val="22"/>
        </w:rPr>
        <w:t>representation</w:t>
      </w:r>
      <w:r>
        <w:rPr>
          <w:spacing w:val="-9"/>
          <w:sz w:val="22"/>
        </w:rPr>
        <w:t> </w:t>
      </w:r>
      <w:r>
        <w:rPr>
          <w:sz w:val="22"/>
        </w:rPr>
        <w:t>on</w:t>
      </w:r>
      <w:r>
        <w:rPr>
          <w:spacing w:val="-8"/>
          <w:sz w:val="22"/>
        </w:rPr>
        <w:t> </w:t>
      </w:r>
      <w:r>
        <w:rPr>
          <w:sz w:val="22"/>
        </w:rPr>
        <w:t>behalf</w:t>
      </w:r>
      <w:r>
        <w:rPr>
          <w:spacing w:val="-8"/>
          <w:sz w:val="22"/>
        </w:rPr>
        <w:t> </w:t>
      </w:r>
      <w:r>
        <w:rPr>
          <w:sz w:val="22"/>
        </w:rPr>
        <w:t>of</w:t>
      </w:r>
      <w:r>
        <w:rPr>
          <w:spacing w:val="-10"/>
          <w:sz w:val="22"/>
        </w:rPr>
        <w:t> </w:t>
      </w:r>
      <w:r>
        <w:rPr>
          <w:sz w:val="22"/>
        </w:rPr>
        <w:t>the</w:t>
      </w:r>
      <w:r>
        <w:rPr>
          <w:spacing w:val="-9"/>
          <w:sz w:val="22"/>
        </w:rPr>
        <w:t> </w:t>
      </w:r>
      <w:r>
        <w:rPr>
          <w:sz w:val="22"/>
        </w:rPr>
        <w:t>plaintiffs.</w:t>
      </w:r>
      <w:r>
        <w:rPr>
          <w:spacing w:val="-10"/>
          <w:sz w:val="22"/>
        </w:rPr>
        <w:t> </w:t>
      </w:r>
      <w:r>
        <w:rPr>
          <w:sz w:val="22"/>
        </w:rPr>
        <w:t>The</w:t>
      </w:r>
      <w:r>
        <w:rPr>
          <w:spacing w:val="-11"/>
          <w:sz w:val="22"/>
        </w:rPr>
        <w:t> </w:t>
      </w:r>
      <w:r>
        <w:rPr>
          <w:sz w:val="22"/>
        </w:rPr>
        <w:t>plaintiffs</w:t>
      </w:r>
      <w:r>
        <w:rPr>
          <w:spacing w:val="-10"/>
          <w:sz w:val="22"/>
        </w:rPr>
        <w:t> </w:t>
      </w:r>
      <w:r>
        <w:rPr>
          <w:sz w:val="22"/>
        </w:rPr>
        <w:t>filed</w:t>
      </w:r>
      <w:r>
        <w:rPr>
          <w:spacing w:val="-8"/>
          <w:sz w:val="22"/>
        </w:rPr>
        <w:t> </w:t>
      </w:r>
      <w:r>
        <w:rPr>
          <w:sz w:val="22"/>
        </w:rPr>
        <w:t>a</w:t>
      </w:r>
      <w:r>
        <w:rPr>
          <w:spacing w:val="-10"/>
          <w:sz w:val="22"/>
        </w:rPr>
        <w:t> </w:t>
      </w:r>
      <w:r>
        <w:rPr>
          <w:sz w:val="22"/>
        </w:rPr>
        <w:t>petition before</w:t>
      </w:r>
      <w:r>
        <w:rPr>
          <w:spacing w:val="-5"/>
          <w:sz w:val="22"/>
        </w:rPr>
        <w:t> </w:t>
      </w:r>
      <w:r>
        <w:rPr>
          <w:sz w:val="22"/>
        </w:rPr>
        <w:t>the</w:t>
      </w:r>
      <w:r>
        <w:rPr>
          <w:spacing w:val="-6"/>
          <w:sz w:val="22"/>
        </w:rPr>
        <w:t> </w:t>
      </w:r>
      <w:r>
        <w:rPr>
          <w:sz w:val="22"/>
        </w:rPr>
        <w:t>City</w:t>
      </w:r>
      <w:r>
        <w:rPr>
          <w:spacing w:val="-5"/>
          <w:sz w:val="22"/>
        </w:rPr>
        <w:t> </w:t>
      </w:r>
      <w:r>
        <w:rPr>
          <w:sz w:val="22"/>
        </w:rPr>
        <w:t>Civil</w:t>
      </w:r>
      <w:r>
        <w:rPr>
          <w:spacing w:val="-6"/>
          <w:sz w:val="22"/>
        </w:rPr>
        <w:t> </w:t>
      </w:r>
      <w:r>
        <w:rPr>
          <w:sz w:val="22"/>
        </w:rPr>
        <w:t>Judge,</w:t>
      </w:r>
      <w:r>
        <w:rPr>
          <w:spacing w:val="-6"/>
          <w:sz w:val="22"/>
        </w:rPr>
        <w:t> </w:t>
      </w:r>
      <w:r>
        <w:rPr>
          <w:sz w:val="22"/>
        </w:rPr>
        <w:t>Bengaluru</w:t>
      </w:r>
      <w:r>
        <w:rPr>
          <w:spacing w:val="-4"/>
          <w:sz w:val="22"/>
        </w:rPr>
        <w:t> </w:t>
      </w:r>
      <w:r>
        <w:rPr>
          <w:sz w:val="22"/>
        </w:rPr>
        <w:t>in</w:t>
      </w:r>
      <w:r>
        <w:rPr>
          <w:spacing w:val="-4"/>
          <w:sz w:val="22"/>
        </w:rPr>
        <w:t> </w:t>
      </w:r>
      <w:r>
        <w:rPr>
          <w:sz w:val="22"/>
        </w:rPr>
        <w:t>2013</w:t>
      </w:r>
      <w:r>
        <w:rPr>
          <w:spacing w:val="-4"/>
          <w:sz w:val="22"/>
        </w:rPr>
        <w:t> </w:t>
      </w:r>
      <w:r>
        <w:rPr>
          <w:sz w:val="22"/>
        </w:rPr>
        <w:t>to</w:t>
      </w:r>
      <w:r>
        <w:rPr>
          <w:spacing w:val="-7"/>
          <w:sz w:val="22"/>
        </w:rPr>
        <w:t> </w:t>
      </w:r>
      <w:r>
        <w:rPr>
          <w:sz w:val="22"/>
        </w:rPr>
        <w:t>set</w:t>
      </w:r>
      <w:r>
        <w:rPr>
          <w:spacing w:val="-2"/>
          <w:sz w:val="22"/>
        </w:rPr>
        <w:t> </w:t>
      </w:r>
      <w:r>
        <w:rPr>
          <w:sz w:val="22"/>
        </w:rPr>
        <w:t>aside</w:t>
      </w:r>
      <w:r>
        <w:rPr>
          <w:spacing w:val="-4"/>
          <w:sz w:val="22"/>
        </w:rPr>
        <w:t> </w:t>
      </w:r>
      <w:r>
        <w:rPr>
          <w:sz w:val="22"/>
        </w:rPr>
        <w:t>the</w:t>
      </w:r>
      <w:r>
        <w:rPr>
          <w:spacing w:val="-5"/>
          <w:sz w:val="22"/>
        </w:rPr>
        <w:t> </w:t>
      </w:r>
      <w:r>
        <w:rPr>
          <w:sz w:val="22"/>
        </w:rPr>
        <w:t>dismissal</w:t>
      </w:r>
      <w:r>
        <w:rPr>
          <w:spacing w:val="-4"/>
          <w:sz w:val="22"/>
        </w:rPr>
        <w:t> </w:t>
      </w:r>
      <w:r>
        <w:rPr>
          <w:sz w:val="22"/>
        </w:rPr>
        <w:t>order</w:t>
      </w:r>
      <w:r>
        <w:rPr>
          <w:spacing w:val="-4"/>
          <w:sz w:val="22"/>
        </w:rPr>
        <w:t> </w:t>
      </w:r>
      <w:r>
        <w:rPr>
          <w:sz w:val="22"/>
        </w:rPr>
        <w:t>and</w:t>
      </w:r>
      <w:r>
        <w:rPr>
          <w:spacing w:val="-3"/>
          <w:sz w:val="22"/>
        </w:rPr>
        <w:t> </w:t>
      </w:r>
      <w:r>
        <w:rPr>
          <w:sz w:val="22"/>
        </w:rPr>
        <w:t>restore</w:t>
      </w:r>
      <w:r>
        <w:rPr>
          <w:spacing w:val="-7"/>
          <w:sz w:val="22"/>
        </w:rPr>
        <w:t> </w:t>
      </w:r>
      <w:r>
        <w:rPr>
          <w:sz w:val="22"/>
        </w:rPr>
        <w:t>the</w:t>
      </w:r>
      <w:r>
        <w:rPr>
          <w:spacing w:val="-4"/>
          <w:sz w:val="22"/>
        </w:rPr>
        <w:t> </w:t>
      </w:r>
      <w:r>
        <w:rPr>
          <w:sz w:val="22"/>
        </w:rPr>
        <w:t>suit, along</w:t>
      </w:r>
      <w:r>
        <w:rPr>
          <w:spacing w:val="-14"/>
          <w:sz w:val="22"/>
        </w:rPr>
        <w:t> </w:t>
      </w:r>
      <w:r>
        <w:rPr>
          <w:sz w:val="22"/>
        </w:rPr>
        <w:t>with</w:t>
      </w:r>
      <w:r>
        <w:rPr>
          <w:spacing w:val="-11"/>
          <w:sz w:val="22"/>
        </w:rPr>
        <w:t> </w:t>
      </w:r>
      <w:r>
        <w:rPr>
          <w:sz w:val="22"/>
        </w:rPr>
        <w:t>an</w:t>
      </w:r>
      <w:r>
        <w:rPr>
          <w:spacing w:val="-12"/>
          <w:sz w:val="22"/>
        </w:rPr>
        <w:t> </w:t>
      </w:r>
      <w:r>
        <w:rPr>
          <w:sz w:val="22"/>
        </w:rPr>
        <w:t>application</w:t>
      </w:r>
      <w:r>
        <w:rPr>
          <w:spacing w:val="-14"/>
          <w:sz w:val="22"/>
        </w:rPr>
        <w:t> </w:t>
      </w:r>
      <w:r>
        <w:rPr>
          <w:sz w:val="22"/>
        </w:rPr>
        <w:t>for</w:t>
      </w:r>
      <w:r>
        <w:rPr>
          <w:spacing w:val="-13"/>
          <w:sz w:val="22"/>
        </w:rPr>
        <w:t> </w:t>
      </w:r>
      <w:r>
        <w:rPr>
          <w:sz w:val="22"/>
        </w:rPr>
        <w:t>condonation</w:t>
      </w:r>
      <w:r>
        <w:rPr>
          <w:spacing w:val="-11"/>
          <w:sz w:val="22"/>
        </w:rPr>
        <w:t> </w:t>
      </w:r>
      <w:r>
        <w:rPr>
          <w:sz w:val="22"/>
        </w:rPr>
        <w:t>of</w:t>
      </w:r>
      <w:r>
        <w:rPr>
          <w:spacing w:val="-11"/>
          <w:sz w:val="22"/>
        </w:rPr>
        <w:t> </w:t>
      </w:r>
      <w:r>
        <w:rPr>
          <w:sz w:val="22"/>
        </w:rPr>
        <w:t>delay.</w:t>
      </w:r>
      <w:r>
        <w:rPr>
          <w:spacing w:val="-14"/>
          <w:sz w:val="22"/>
        </w:rPr>
        <w:t> </w:t>
      </w:r>
      <w:r>
        <w:rPr>
          <w:sz w:val="22"/>
        </w:rPr>
        <w:t>GLSP</w:t>
      </w:r>
      <w:r>
        <w:rPr>
          <w:spacing w:val="-11"/>
          <w:sz w:val="22"/>
        </w:rPr>
        <w:t> </w:t>
      </w:r>
      <w:r>
        <w:rPr>
          <w:sz w:val="22"/>
        </w:rPr>
        <w:t>has</w:t>
      </w:r>
      <w:r>
        <w:rPr>
          <w:spacing w:val="-12"/>
          <w:sz w:val="22"/>
        </w:rPr>
        <w:t> </w:t>
      </w:r>
      <w:r>
        <w:rPr>
          <w:sz w:val="22"/>
        </w:rPr>
        <w:t>filed</w:t>
      </w:r>
      <w:r>
        <w:rPr>
          <w:spacing w:val="-10"/>
          <w:sz w:val="22"/>
        </w:rPr>
        <w:t> </w:t>
      </w:r>
      <w:r>
        <w:rPr>
          <w:sz w:val="22"/>
        </w:rPr>
        <w:t>objections</w:t>
      </w:r>
      <w:r>
        <w:rPr>
          <w:spacing w:val="-13"/>
          <w:sz w:val="22"/>
        </w:rPr>
        <w:t> </w:t>
      </w:r>
      <w:r>
        <w:rPr>
          <w:sz w:val="22"/>
        </w:rPr>
        <w:t>to</w:t>
      </w:r>
      <w:r>
        <w:rPr>
          <w:spacing w:val="-12"/>
          <w:sz w:val="22"/>
        </w:rPr>
        <w:t> </w:t>
      </w:r>
      <w:r>
        <w:rPr>
          <w:sz w:val="22"/>
        </w:rPr>
        <w:t>the</w:t>
      </w:r>
      <w:r>
        <w:rPr>
          <w:spacing w:val="-13"/>
          <w:sz w:val="22"/>
        </w:rPr>
        <w:t> </w:t>
      </w:r>
      <w:r>
        <w:rPr>
          <w:sz w:val="22"/>
        </w:rPr>
        <w:t>petition.</w:t>
      </w:r>
    </w:p>
    <w:p>
      <w:pPr>
        <w:pStyle w:val="ListParagraph"/>
        <w:numPr>
          <w:ilvl w:val="1"/>
          <w:numId w:val="95"/>
        </w:numPr>
        <w:tabs>
          <w:tab w:pos="1401" w:val="left" w:leader="none"/>
        </w:tabs>
        <w:spacing w:line="247" w:lineRule="auto" w:before="201" w:after="0"/>
        <w:ind w:left="1400" w:right="678" w:hanging="450"/>
        <w:jc w:val="both"/>
        <w:rPr>
          <w:sz w:val="22"/>
        </w:rPr>
      </w:pPr>
      <w:r>
        <w:rPr>
          <w:sz w:val="22"/>
        </w:rPr>
        <w:t>Certain</w:t>
      </w:r>
      <w:r>
        <w:rPr>
          <w:spacing w:val="-26"/>
          <w:sz w:val="22"/>
        </w:rPr>
        <w:t> </w:t>
      </w:r>
      <w:r>
        <w:rPr>
          <w:sz w:val="22"/>
        </w:rPr>
        <w:t>third</w:t>
      </w:r>
      <w:r>
        <w:rPr>
          <w:spacing w:val="-24"/>
          <w:sz w:val="22"/>
        </w:rPr>
        <w:t> </w:t>
      </w:r>
      <w:r>
        <w:rPr>
          <w:sz w:val="22"/>
        </w:rPr>
        <w:t>parties</w:t>
      </w:r>
      <w:r>
        <w:rPr>
          <w:spacing w:val="-25"/>
          <w:sz w:val="22"/>
        </w:rPr>
        <w:t> </w:t>
      </w:r>
      <w:r>
        <w:rPr>
          <w:sz w:val="22"/>
        </w:rPr>
        <w:t>have</w:t>
      </w:r>
      <w:r>
        <w:rPr>
          <w:spacing w:val="-23"/>
          <w:sz w:val="22"/>
        </w:rPr>
        <w:t> </w:t>
      </w:r>
      <w:r>
        <w:rPr>
          <w:sz w:val="22"/>
        </w:rPr>
        <w:t>filed</w:t>
      </w:r>
      <w:r>
        <w:rPr>
          <w:spacing w:val="-23"/>
          <w:sz w:val="22"/>
        </w:rPr>
        <w:t> </w:t>
      </w:r>
      <w:r>
        <w:rPr>
          <w:sz w:val="22"/>
        </w:rPr>
        <w:t>an</w:t>
      </w:r>
      <w:r>
        <w:rPr>
          <w:spacing w:val="-23"/>
          <w:sz w:val="22"/>
        </w:rPr>
        <w:t> </w:t>
      </w:r>
      <w:r>
        <w:rPr>
          <w:sz w:val="22"/>
        </w:rPr>
        <w:t>application</w:t>
      </w:r>
      <w:r>
        <w:rPr>
          <w:spacing w:val="-24"/>
          <w:sz w:val="22"/>
        </w:rPr>
        <w:t> </w:t>
      </w:r>
      <w:r>
        <w:rPr>
          <w:sz w:val="22"/>
        </w:rPr>
        <w:t>in</w:t>
      </w:r>
      <w:r>
        <w:rPr>
          <w:spacing w:val="-25"/>
          <w:sz w:val="22"/>
        </w:rPr>
        <w:t> </w:t>
      </w:r>
      <w:r>
        <w:rPr>
          <w:sz w:val="22"/>
        </w:rPr>
        <w:t>2007,</w:t>
      </w:r>
      <w:r>
        <w:rPr>
          <w:spacing w:val="-25"/>
          <w:sz w:val="22"/>
        </w:rPr>
        <w:t> </w:t>
      </w:r>
      <w:r>
        <w:rPr>
          <w:sz w:val="22"/>
        </w:rPr>
        <w:t>before</w:t>
      </w:r>
      <w:r>
        <w:rPr>
          <w:spacing w:val="-24"/>
          <w:sz w:val="22"/>
        </w:rPr>
        <w:t> </w:t>
      </w:r>
      <w:r>
        <w:rPr>
          <w:sz w:val="22"/>
        </w:rPr>
        <w:t>the</w:t>
      </w:r>
      <w:r>
        <w:rPr>
          <w:spacing w:val="-25"/>
          <w:sz w:val="22"/>
        </w:rPr>
        <w:t> </w:t>
      </w:r>
      <w:r>
        <w:rPr>
          <w:sz w:val="22"/>
        </w:rPr>
        <w:t>Court</w:t>
      </w:r>
      <w:r>
        <w:rPr>
          <w:spacing w:val="-23"/>
          <w:sz w:val="22"/>
        </w:rPr>
        <w:t> </w:t>
      </w:r>
      <w:r>
        <w:rPr>
          <w:sz w:val="22"/>
        </w:rPr>
        <w:t>of</w:t>
      </w:r>
      <w:r>
        <w:rPr>
          <w:spacing w:val="-22"/>
          <w:sz w:val="22"/>
        </w:rPr>
        <w:t> </w:t>
      </w:r>
      <w:r>
        <w:rPr>
          <w:sz w:val="22"/>
        </w:rPr>
        <w:t>City</w:t>
      </w:r>
      <w:r>
        <w:rPr>
          <w:spacing w:val="-24"/>
          <w:sz w:val="22"/>
        </w:rPr>
        <w:t> </w:t>
      </w:r>
      <w:r>
        <w:rPr>
          <w:sz w:val="22"/>
        </w:rPr>
        <w:t>Civil</w:t>
      </w:r>
      <w:r>
        <w:rPr>
          <w:spacing w:val="-26"/>
          <w:sz w:val="22"/>
        </w:rPr>
        <w:t> </w:t>
      </w:r>
      <w:r>
        <w:rPr>
          <w:sz w:val="22"/>
        </w:rPr>
        <w:t>Judge,</w:t>
      </w:r>
      <w:r>
        <w:rPr>
          <w:spacing w:val="-23"/>
          <w:sz w:val="22"/>
        </w:rPr>
        <w:t> </w:t>
      </w:r>
      <w:r>
        <w:rPr>
          <w:sz w:val="22"/>
        </w:rPr>
        <w:t>Bengaluru against GLSP and another third party seeking an injunction restraining them from alienating or creating any third party interest in a property admeasuring 2 acres and 14 guntas, forming part of Embassy</w:t>
      </w:r>
      <w:r>
        <w:rPr>
          <w:spacing w:val="-8"/>
          <w:sz w:val="22"/>
        </w:rPr>
        <w:t> </w:t>
      </w:r>
      <w:r>
        <w:rPr>
          <w:sz w:val="22"/>
        </w:rPr>
        <w:t>Golflinks.</w:t>
      </w:r>
      <w:r>
        <w:rPr>
          <w:spacing w:val="-9"/>
          <w:sz w:val="22"/>
        </w:rPr>
        <w:t> </w:t>
      </w:r>
      <w:r>
        <w:rPr>
          <w:sz w:val="22"/>
        </w:rPr>
        <w:t>The</w:t>
      </w:r>
      <w:r>
        <w:rPr>
          <w:spacing w:val="-9"/>
          <w:sz w:val="22"/>
        </w:rPr>
        <w:t> </w:t>
      </w:r>
      <w:r>
        <w:rPr>
          <w:sz w:val="22"/>
        </w:rPr>
        <w:t>court</w:t>
      </w:r>
      <w:r>
        <w:rPr>
          <w:spacing w:val="-8"/>
          <w:sz w:val="22"/>
        </w:rPr>
        <w:t> </w:t>
      </w:r>
      <w:r>
        <w:rPr>
          <w:sz w:val="22"/>
        </w:rPr>
        <w:t>passed</w:t>
      </w:r>
      <w:r>
        <w:rPr>
          <w:spacing w:val="-6"/>
          <w:sz w:val="22"/>
        </w:rPr>
        <w:t> </w:t>
      </w:r>
      <w:r>
        <w:rPr>
          <w:sz w:val="22"/>
        </w:rPr>
        <w:t>an</w:t>
      </w:r>
      <w:r>
        <w:rPr>
          <w:spacing w:val="-7"/>
          <w:sz w:val="22"/>
        </w:rPr>
        <w:t> </w:t>
      </w:r>
      <w:r>
        <w:rPr>
          <w:sz w:val="22"/>
        </w:rPr>
        <w:t>interim</w:t>
      </w:r>
      <w:r>
        <w:rPr>
          <w:spacing w:val="-7"/>
          <w:sz w:val="22"/>
        </w:rPr>
        <w:t> </w:t>
      </w:r>
      <w:r>
        <w:rPr>
          <w:sz w:val="22"/>
        </w:rPr>
        <w:t>order</w:t>
      </w:r>
      <w:r>
        <w:rPr>
          <w:spacing w:val="-10"/>
          <w:sz w:val="22"/>
        </w:rPr>
        <w:t> </w:t>
      </w:r>
      <w:r>
        <w:rPr>
          <w:sz w:val="22"/>
        </w:rPr>
        <w:t>in</w:t>
      </w:r>
      <w:r>
        <w:rPr>
          <w:spacing w:val="-9"/>
          <w:sz w:val="22"/>
        </w:rPr>
        <w:t> </w:t>
      </w:r>
      <w:r>
        <w:rPr>
          <w:sz w:val="22"/>
        </w:rPr>
        <w:t>2007</w:t>
      </w:r>
      <w:r>
        <w:rPr>
          <w:spacing w:val="-9"/>
          <w:sz w:val="22"/>
        </w:rPr>
        <w:t> </w:t>
      </w:r>
      <w:r>
        <w:rPr>
          <w:sz w:val="22"/>
        </w:rPr>
        <w:t>which</w:t>
      </w:r>
      <w:r>
        <w:rPr>
          <w:spacing w:val="-9"/>
          <w:sz w:val="22"/>
        </w:rPr>
        <w:t> </w:t>
      </w:r>
      <w:r>
        <w:rPr>
          <w:sz w:val="22"/>
        </w:rPr>
        <w:t>has</w:t>
      </w:r>
      <w:r>
        <w:rPr>
          <w:spacing w:val="-5"/>
          <w:sz w:val="22"/>
        </w:rPr>
        <w:t> </w:t>
      </w:r>
      <w:r>
        <w:rPr>
          <w:sz w:val="22"/>
        </w:rPr>
        <w:t>been</w:t>
      </w:r>
      <w:r>
        <w:rPr>
          <w:spacing w:val="-9"/>
          <w:sz w:val="22"/>
        </w:rPr>
        <w:t> </w:t>
      </w:r>
      <w:r>
        <w:rPr>
          <w:sz w:val="22"/>
        </w:rPr>
        <w:t>subsequently</w:t>
      </w:r>
      <w:r>
        <w:rPr>
          <w:spacing w:val="-9"/>
          <w:sz w:val="22"/>
        </w:rPr>
        <w:t> </w:t>
      </w:r>
      <w:r>
        <w:rPr>
          <w:sz w:val="22"/>
        </w:rPr>
        <w:t>vacated by</w:t>
      </w:r>
      <w:r>
        <w:rPr>
          <w:spacing w:val="-17"/>
          <w:sz w:val="22"/>
        </w:rPr>
        <w:t> </w:t>
      </w:r>
      <w:r>
        <w:rPr>
          <w:sz w:val="22"/>
        </w:rPr>
        <w:t>the</w:t>
      </w:r>
      <w:r>
        <w:rPr>
          <w:spacing w:val="-16"/>
          <w:sz w:val="22"/>
        </w:rPr>
        <w:t> </w:t>
      </w:r>
      <w:r>
        <w:rPr>
          <w:sz w:val="22"/>
        </w:rPr>
        <w:t>court</w:t>
      </w:r>
      <w:r>
        <w:rPr>
          <w:spacing w:val="-15"/>
          <w:sz w:val="22"/>
        </w:rPr>
        <w:t> </w:t>
      </w:r>
      <w:r>
        <w:rPr>
          <w:sz w:val="22"/>
        </w:rPr>
        <w:t>and</w:t>
      </w:r>
      <w:r>
        <w:rPr>
          <w:spacing w:val="-15"/>
          <w:sz w:val="22"/>
        </w:rPr>
        <w:t> </w:t>
      </w:r>
      <w:r>
        <w:rPr>
          <w:sz w:val="22"/>
        </w:rPr>
        <w:t>the</w:t>
      </w:r>
      <w:r>
        <w:rPr>
          <w:spacing w:val="-18"/>
          <w:sz w:val="22"/>
        </w:rPr>
        <w:t> </w:t>
      </w:r>
      <w:r>
        <w:rPr>
          <w:sz w:val="22"/>
        </w:rPr>
        <w:t>matter</w:t>
      </w:r>
      <w:r>
        <w:rPr>
          <w:spacing w:val="-16"/>
          <w:sz w:val="22"/>
        </w:rPr>
        <w:t> </w:t>
      </w:r>
      <w:r>
        <w:rPr>
          <w:sz w:val="22"/>
        </w:rPr>
        <w:t>is</w:t>
      </w:r>
      <w:r>
        <w:rPr>
          <w:spacing w:val="-15"/>
          <w:sz w:val="22"/>
        </w:rPr>
        <w:t> </w:t>
      </w:r>
      <w:r>
        <w:rPr>
          <w:sz w:val="22"/>
        </w:rPr>
        <w:t>currently</w:t>
      </w:r>
      <w:r>
        <w:rPr>
          <w:spacing w:val="-17"/>
          <w:sz w:val="22"/>
        </w:rPr>
        <w:t> </w:t>
      </w:r>
      <w:r>
        <w:rPr>
          <w:sz w:val="22"/>
        </w:rPr>
        <w:t>pending.</w:t>
      </w:r>
      <w:r>
        <w:rPr>
          <w:spacing w:val="-14"/>
          <w:sz w:val="22"/>
        </w:rPr>
        <w:t> </w:t>
      </w:r>
      <w:r>
        <w:rPr>
          <w:sz w:val="22"/>
        </w:rPr>
        <w:t>The</w:t>
      </w:r>
      <w:r>
        <w:rPr>
          <w:spacing w:val="-16"/>
          <w:sz w:val="22"/>
        </w:rPr>
        <w:t> </w:t>
      </w:r>
      <w:r>
        <w:rPr>
          <w:sz w:val="22"/>
        </w:rPr>
        <w:t>third</w:t>
      </w:r>
      <w:r>
        <w:rPr>
          <w:spacing w:val="-15"/>
          <w:sz w:val="22"/>
        </w:rPr>
        <w:t> </w:t>
      </w:r>
      <w:r>
        <w:rPr>
          <w:sz w:val="22"/>
        </w:rPr>
        <w:t>party</w:t>
      </w:r>
      <w:r>
        <w:rPr>
          <w:spacing w:val="-15"/>
          <w:sz w:val="22"/>
        </w:rPr>
        <w:t> </w:t>
      </w:r>
      <w:r>
        <w:rPr>
          <w:sz w:val="22"/>
        </w:rPr>
        <w:t>claimants</w:t>
      </w:r>
      <w:r>
        <w:rPr>
          <w:spacing w:val="-15"/>
          <w:sz w:val="22"/>
        </w:rPr>
        <w:t> </w:t>
      </w:r>
      <w:r>
        <w:rPr>
          <w:sz w:val="22"/>
        </w:rPr>
        <w:t>have</w:t>
      </w:r>
      <w:r>
        <w:rPr>
          <w:spacing w:val="-15"/>
          <w:sz w:val="22"/>
        </w:rPr>
        <w:t> </w:t>
      </w:r>
      <w:r>
        <w:rPr>
          <w:sz w:val="22"/>
        </w:rPr>
        <w:t>also</w:t>
      </w:r>
      <w:r>
        <w:rPr>
          <w:spacing w:val="-18"/>
          <w:sz w:val="22"/>
        </w:rPr>
        <w:t> </w:t>
      </w:r>
      <w:r>
        <w:rPr>
          <w:sz w:val="22"/>
        </w:rPr>
        <w:t>filed</w:t>
      </w:r>
      <w:r>
        <w:rPr>
          <w:spacing w:val="-15"/>
          <w:sz w:val="22"/>
        </w:rPr>
        <w:t> </w:t>
      </w:r>
      <w:r>
        <w:rPr>
          <w:sz w:val="22"/>
        </w:rPr>
        <w:t>a</w:t>
      </w:r>
      <w:r>
        <w:rPr>
          <w:spacing w:val="-17"/>
          <w:sz w:val="22"/>
        </w:rPr>
        <w:t> </w:t>
      </w:r>
      <w:r>
        <w:rPr>
          <w:sz w:val="22"/>
        </w:rPr>
        <w:t>claim</w:t>
      </w:r>
      <w:r>
        <w:rPr>
          <w:spacing w:val="-16"/>
          <w:sz w:val="22"/>
        </w:rPr>
        <w:t> </w:t>
      </w:r>
      <w:r>
        <w:rPr>
          <w:sz w:val="22"/>
        </w:rPr>
        <w:t>in 2009 against GLSP and others, before the High Court of Karnataka seeking appointment of an arbitrator</w:t>
      </w:r>
      <w:r>
        <w:rPr>
          <w:spacing w:val="-23"/>
          <w:sz w:val="22"/>
        </w:rPr>
        <w:t> </w:t>
      </w:r>
      <w:r>
        <w:rPr>
          <w:sz w:val="22"/>
        </w:rPr>
        <w:t>and</w:t>
      </w:r>
      <w:r>
        <w:rPr>
          <w:spacing w:val="-22"/>
          <w:sz w:val="22"/>
        </w:rPr>
        <w:t> </w:t>
      </w:r>
      <w:r>
        <w:rPr>
          <w:sz w:val="22"/>
        </w:rPr>
        <w:t>an</w:t>
      </w:r>
      <w:r>
        <w:rPr>
          <w:spacing w:val="-23"/>
          <w:sz w:val="22"/>
        </w:rPr>
        <w:t> </w:t>
      </w:r>
      <w:r>
        <w:rPr>
          <w:sz w:val="22"/>
        </w:rPr>
        <w:t>arbitrator</w:t>
      </w:r>
      <w:r>
        <w:rPr>
          <w:spacing w:val="-23"/>
          <w:sz w:val="22"/>
        </w:rPr>
        <w:t> </w:t>
      </w:r>
      <w:r>
        <w:rPr>
          <w:sz w:val="22"/>
        </w:rPr>
        <w:t>was</w:t>
      </w:r>
      <w:r>
        <w:rPr>
          <w:spacing w:val="-21"/>
          <w:sz w:val="22"/>
        </w:rPr>
        <w:t> </w:t>
      </w:r>
      <w:r>
        <w:rPr>
          <w:sz w:val="22"/>
        </w:rPr>
        <w:t>appointed</w:t>
      </w:r>
      <w:r>
        <w:rPr>
          <w:spacing w:val="-24"/>
          <w:sz w:val="22"/>
        </w:rPr>
        <w:t> </w:t>
      </w:r>
      <w:r>
        <w:rPr>
          <w:sz w:val="22"/>
        </w:rPr>
        <w:t>by</w:t>
      </w:r>
      <w:r>
        <w:rPr>
          <w:spacing w:val="-21"/>
          <w:sz w:val="22"/>
        </w:rPr>
        <w:t> </w:t>
      </w:r>
      <w:r>
        <w:rPr>
          <w:sz w:val="22"/>
        </w:rPr>
        <w:t>an</w:t>
      </w:r>
      <w:r>
        <w:rPr>
          <w:spacing w:val="-22"/>
          <w:sz w:val="22"/>
        </w:rPr>
        <w:t> </w:t>
      </w:r>
      <w:r>
        <w:rPr>
          <w:sz w:val="22"/>
        </w:rPr>
        <w:t>order</w:t>
      </w:r>
      <w:r>
        <w:rPr>
          <w:spacing w:val="-22"/>
          <w:sz w:val="22"/>
        </w:rPr>
        <w:t> </w:t>
      </w:r>
      <w:r>
        <w:rPr>
          <w:sz w:val="22"/>
        </w:rPr>
        <w:t>in</w:t>
      </w:r>
      <w:r>
        <w:rPr>
          <w:spacing w:val="-24"/>
          <w:sz w:val="22"/>
        </w:rPr>
        <w:t> </w:t>
      </w:r>
      <w:r>
        <w:rPr>
          <w:sz w:val="22"/>
        </w:rPr>
        <w:t>2015.</w:t>
      </w:r>
      <w:r>
        <w:rPr>
          <w:spacing w:val="-23"/>
          <w:sz w:val="22"/>
        </w:rPr>
        <w:t> </w:t>
      </w:r>
      <w:r>
        <w:rPr>
          <w:sz w:val="22"/>
        </w:rPr>
        <w:t>The</w:t>
      </w:r>
      <w:r>
        <w:rPr>
          <w:spacing w:val="-23"/>
          <w:sz w:val="22"/>
        </w:rPr>
        <w:t> </w:t>
      </w:r>
      <w:r>
        <w:rPr>
          <w:sz w:val="22"/>
        </w:rPr>
        <w:t>claimants</w:t>
      </w:r>
      <w:r>
        <w:rPr>
          <w:spacing w:val="-23"/>
          <w:sz w:val="22"/>
        </w:rPr>
        <w:t> </w:t>
      </w:r>
      <w:r>
        <w:rPr>
          <w:sz w:val="22"/>
        </w:rPr>
        <w:t>sought</w:t>
      </w:r>
      <w:r>
        <w:rPr>
          <w:spacing w:val="-23"/>
          <w:sz w:val="22"/>
        </w:rPr>
        <w:t> </w:t>
      </w:r>
      <w:r>
        <w:rPr>
          <w:sz w:val="22"/>
        </w:rPr>
        <w:t>(i)</w:t>
      </w:r>
      <w:r>
        <w:rPr>
          <w:spacing w:val="-24"/>
          <w:sz w:val="22"/>
        </w:rPr>
        <w:t> </w:t>
      </w:r>
      <w:r>
        <w:rPr>
          <w:sz w:val="22"/>
        </w:rPr>
        <w:t>performance of</w:t>
      </w:r>
      <w:r>
        <w:rPr>
          <w:spacing w:val="-7"/>
          <w:sz w:val="22"/>
        </w:rPr>
        <w:t> </w:t>
      </w:r>
      <w:r>
        <w:rPr>
          <w:sz w:val="22"/>
        </w:rPr>
        <w:t>joint</w:t>
      </w:r>
      <w:r>
        <w:rPr>
          <w:spacing w:val="-7"/>
          <w:sz w:val="22"/>
        </w:rPr>
        <w:t> </w:t>
      </w:r>
      <w:r>
        <w:rPr>
          <w:sz w:val="22"/>
        </w:rPr>
        <w:t>development</w:t>
      </w:r>
      <w:r>
        <w:rPr>
          <w:spacing w:val="-7"/>
          <w:sz w:val="22"/>
        </w:rPr>
        <w:t> </w:t>
      </w:r>
      <w:r>
        <w:rPr>
          <w:sz w:val="22"/>
        </w:rPr>
        <w:t>agreements</w:t>
      </w:r>
      <w:r>
        <w:rPr>
          <w:spacing w:val="-3"/>
          <w:sz w:val="22"/>
        </w:rPr>
        <w:t> </w:t>
      </w:r>
      <w:r>
        <w:rPr>
          <w:sz w:val="22"/>
        </w:rPr>
        <w:t>executed</w:t>
      </w:r>
      <w:r>
        <w:rPr>
          <w:spacing w:val="-4"/>
          <w:sz w:val="22"/>
        </w:rPr>
        <w:t> </w:t>
      </w:r>
      <w:r>
        <w:rPr>
          <w:sz w:val="22"/>
        </w:rPr>
        <w:t>in</w:t>
      </w:r>
      <w:r>
        <w:rPr>
          <w:spacing w:val="-5"/>
          <w:sz w:val="22"/>
        </w:rPr>
        <w:t> </w:t>
      </w:r>
      <w:r>
        <w:rPr>
          <w:sz w:val="22"/>
        </w:rPr>
        <w:t>2004</w:t>
      </w:r>
      <w:r>
        <w:rPr>
          <w:spacing w:val="-7"/>
          <w:sz w:val="22"/>
        </w:rPr>
        <w:t> </w:t>
      </w:r>
      <w:r>
        <w:rPr>
          <w:sz w:val="22"/>
        </w:rPr>
        <w:t>and</w:t>
      </w:r>
      <w:r>
        <w:rPr>
          <w:spacing w:val="-6"/>
          <w:sz w:val="22"/>
        </w:rPr>
        <w:t> </w:t>
      </w:r>
      <w:r>
        <w:rPr>
          <w:sz w:val="22"/>
        </w:rPr>
        <w:t>2005,</w:t>
      </w:r>
      <w:r>
        <w:rPr>
          <w:spacing w:val="-7"/>
          <w:sz w:val="22"/>
        </w:rPr>
        <w:t> </w:t>
      </w:r>
      <w:r>
        <w:rPr>
          <w:sz w:val="22"/>
        </w:rPr>
        <w:t>against</w:t>
      </w:r>
      <w:r>
        <w:rPr>
          <w:spacing w:val="-6"/>
          <w:sz w:val="22"/>
        </w:rPr>
        <w:t> </w:t>
      </w:r>
      <w:r>
        <w:rPr>
          <w:sz w:val="22"/>
        </w:rPr>
        <w:t>GLSP</w:t>
      </w:r>
      <w:r>
        <w:rPr>
          <w:spacing w:val="-7"/>
          <w:sz w:val="22"/>
        </w:rPr>
        <w:t> </w:t>
      </w:r>
      <w:r>
        <w:rPr>
          <w:sz w:val="22"/>
        </w:rPr>
        <w:t>and</w:t>
      </w:r>
      <w:r>
        <w:rPr>
          <w:spacing w:val="-6"/>
          <w:sz w:val="22"/>
        </w:rPr>
        <w:t> </w:t>
      </w:r>
      <w:r>
        <w:rPr>
          <w:sz w:val="22"/>
        </w:rPr>
        <w:t>another</w:t>
      </w:r>
      <w:r>
        <w:rPr>
          <w:spacing w:val="-5"/>
          <w:sz w:val="22"/>
        </w:rPr>
        <w:t> </w:t>
      </w:r>
      <w:r>
        <w:rPr>
          <w:sz w:val="22"/>
        </w:rPr>
        <w:t>individual, pertaining</w:t>
      </w:r>
      <w:r>
        <w:rPr>
          <w:spacing w:val="-36"/>
          <w:sz w:val="22"/>
        </w:rPr>
        <w:t> </w:t>
      </w:r>
      <w:r>
        <w:rPr>
          <w:sz w:val="22"/>
        </w:rPr>
        <w:t>to</w:t>
      </w:r>
      <w:r>
        <w:rPr>
          <w:spacing w:val="-36"/>
          <w:sz w:val="22"/>
        </w:rPr>
        <w:t> </w:t>
      </w:r>
      <w:r>
        <w:rPr>
          <w:sz w:val="22"/>
        </w:rPr>
        <w:t>the</w:t>
      </w:r>
      <w:r>
        <w:rPr>
          <w:spacing w:val="-34"/>
          <w:sz w:val="22"/>
        </w:rPr>
        <w:t> </w:t>
      </w:r>
      <w:r>
        <w:rPr>
          <w:sz w:val="22"/>
        </w:rPr>
        <w:t>property</w:t>
      </w:r>
      <w:r>
        <w:rPr>
          <w:spacing w:val="-35"/>
          <w:sz w:val="22"/>
        </w:rPr>
        <w:t> </w:t>
      </w:r>
      <w:r>
        <w:rPr>
          <w:sz w:val="22"/>
        </w:rPr>
        <w:t>before</w:t>
      </w:r>
      <w:r>
        <w:rPr>
          <w:spacing w:val="-33"/>
          <w:sz w:val="22"/>
        </w:rPr>
        <w:t> </w:t>
      </w:r>
      <w:r>
        <w:rPr>
          <w:sz w:val="22"/>
        </w:rPr>
        <w:t>the</w:t>
      </w:r>
      <w:r>
        <w:rPr>
          <w:spacing w:val="-34"/>
          <w:sz w:val="22"/>
        </w:rPr>
        <w:t> </w:t>
      </w:r>
      <w:r>
        <w:rPr>
          <w:sz w:val="22"/>
        </w:rPr>
        <w:t>arbitrator,</w:t>
      </w:r>
      <w:r>
        <w:rPr>
          <w:spacing w:val="-35"/>
          <w:sz w:val="22"/>
        </w:rPr>
        <w:t> </w:t>
      </w:r>
      <w:r>
        <w:rPr>
          <w:sz w:val="22"/>
        </w:rPr>
        <w:t>and</w:t>
      </w:r>
      <w:r>
        <w:rPr>
          <w:spacing w:val="-35"/>
          <w:sz w:val="22"/>
        </w:rPr>
        <w:t> </w:t>
      </w:r>
      <w:r>
        <w:rPr>
          <w:sz w:val="22"/>
        </w:rPr>
        <w:t>(ii)</w:t>
      </w:r>
      <w:r>
        <w:rPr>
          <w:spacing w:val="-35"/>
          <w:sz w:val="22"/>
        </w:rPr>
        <w:t> </w:t>
      </w:r>
      <w:r>
        <w:rPr>
          <w:sz w:val="22"/>
        </w:rPr>
        <w:t>an</w:t>
      </w:r>
      <w:r>
        <w:rPr>
          <w:spacing w:val="-35"/>
          <w:sz w:val="22"/>
        </w:rPr>
        <w:t> </w:t>
      </w:r>
      <w:r>
        <w:rPr>
          <w:sz w:val="22"/>
        </w:rPr>
        <w:t>injunction</w:t>
      </w:r>
      <w:r>
        <w:rPr>
          <w:spacing w:val="-35"/>
          <w:sz w:val="22"/>
        </w:rPr>
        <w:t> </w:t>
      </w:r>
      <w:r>
        <w:rPr>
          <w:sz w:val="22"/>
        </w:rPr>
        <w:t>to</w:t>
      </w:r>
      <w:r>
        <w:rPr>
          <w:spacing w:val="-36"/>
          <w:sz w:val="22"/>
        </w:rPr>
        <w:t> </w:t>
      </w:r>
      <w:r>
        <w:rPr>
          <w:sz w:val="22"/>
        </w:rPr>
        <w:t>restrain</w:t>
      </w:r>
      <w:r>
        <w:rPr>
          <w:spacing w:val="-35"/>
          <w:sz w:val="22"/>
        </w:rPr>
        <w:t> </w:t>
      </w:r>
      <w:r>
        <w:rPr>
          <w:sz w:val="22"/>
        </w:rPr>
        <w:t>the</w:t>
      </w:r>
      <w:r>
        <w:rPr>
          <w:spacing w:val="-34"/>
          <w:sz w:val="22"/>
        </w:rPr>
        <w:t> </w:t>
      </w:r>
      <w:r>
        <w:rPr>
          <w:sz w:val="22"/>
        </w:rPr>
        <w:t>respondents</w:t>
      </w:r>
      <w:r>
        <w:rPr>
          <w:spacing w:val="-35"/>
          <w:sz w:val="22"/>
        </w:rPr>
        <w:t> </w:t>
      </w:r>
      <w:r>
        <w:rPr>
          <w:sz w:val="22"/>
        </w:rPr>
        <w:t>from alienating</w:t>
      </w:r>
      <w:r>
        <w:rPr>
          <w:spacing w:val="-30"/>
          <w:sz w:val="22"/>
        </w:rPr>
        <w:t> </w:t>
      </w:r>
      <w:r>
        <w:rPr>
          <w:sz w:val="22"/>
        </w:rPr>
        <w:t>or</w:t>
      </w:r>
      <w:r>
        <w:rPr>
          <w:spacing w:val="-29"/>
          <w:sz w:val="22"/>
        </w:rPr>
        <w:t> </w:t>
      </w:r>
      <w:r>
        <w:rPr>
          <w:sz w:val="22"/>
        </w:rPr>
        <w:t>creating</w:t>
      </w:r>
      <w:r>
        <w:rPr>
          <w:spacing w:val="-29"/>
          <w:sz w:val="22"/>
        </w:rPr>
        <w:t> </w:t>
      </w:r>
      <w:r>
        <w:rPr>
          <w:sz w:val="22"/>
        </w:rPr>
        <w:t>any</w:t>
      </w:r>
      <w:r>
        <w:rPr>
          <w:spacing w:val="-31"/>
          <w:sz w:val="22"/>
        </w:rPr>
        <w:t> </w:t>
      </w:r>
      <w:r>
        <w:rPr>
          <w:sz w:val="22"/>
        </w:rPr>
        <w:t>third-party</w:t>
      </w:r>
      <w:r>
        <w:rPr>
          <w:spacing w:val="-28"/>
          <w:sz w:val="22"/>
        </w:rPr>
        <w:t> </w:t>
      </w:r>
      <w:r>
        <w:rPr>
          <w:sz w:val="22"/>
        </w:rPr>
        <w:t>interests</w:t>
      </w:r>
      <w:r>
        <w:rPr>
          <w:spacing w:val="-29"/>
          <w:sz w:val="22"/>
        </w:rPr>
        <w:t> </w:t>
      </w:r>
      <w:r>
        <w:rPr>
          <w:sz w:val="22"/>
        </w:rPr>
        <w:t>in</w:t>
      </w:r>
      <w:r>
        <w:rPr>
          <w:spacing w:val="-30"/>
          <w:sz w:val="22"/>
        </w:rPr>
        <w:t> </w:t>
      </w:r>
      <w:r>
        <w:rPr>
          <w:sz w:val="22"/>
        </w:rPr>
        <w:t>the</w:t>
      </w:r>
      <w:r>
        <w:rPr>
          <w:spacing w:val="-30"/>
          <w:sz w:val="22"/>
        </w:rPr>
        <w:t> </w:t>
      </w:r>
      <w:r>
        <w:rPr>
          <w:sz w:val="22"/>
        </w:rPr>
        <w:t>building</w:t>
      </w:r>
      <w:r>
        <w:rPr>
          <w:spacing w:val="-28"/>
          <w:sz w:val="22"/>
        </w:rPr>
        <w:t> </w:t>
      </w:r>
      <w:r>
        <w:rPr>
          <w:sz w:val="22"/>
        </w:rPr>
        <w:t>constructed</w:t>
      </w:r>
      <w:r>
        <w:rPr>
          <w:spacing w:val="-30"/>
          <w:sz w:val="22"/>
        </w:rPr>
        <w:t> </w:t>
      </w:r>
      <w:r>
        <w:rPr>
          <w:sz w:val="22"/>
        </w:rPr>
        <w:t>on</w:t>
      </w:r>
      <w:r>
        <w:rPr>
          <w:spacing w:val="-30"/>
          <w:sz w:val="22"/>
        </w:rPr>
        <w:t> </w:t>
      </w:r>
      <w:r>
        <w:rPr>
          <w:sz w:val="22"/>
        </w:rPr>
        <w:t>the</w:t>
      </w:r>
      <w:r>
        <w:rPr>
          <w:spacing w:val="-31"/>
          <w:sz w:val="22"/>
        </w:rPr>
        <w:t> </w:t>
      </w:r>
      <w:r>
        <w:rPr>
          <w:sz w:val="22"/>
        </w:rPr>
        <w:t>property,</w:t>
      </w:r>
      <w:r>
        <w:rPr>
          <w:spacing w:val="-30"/>
          <w:sz w:val="22"/>
        </w:rPr>
        <w:t> </w:t>
      </w:r>
      <w:r>
        <w:rPr>
          <w:sz w:val="22"/>
        </w:rPr>
        <w:t>before</w:t>
      </w:r>
      <w:r>
        <w:rPr>
          <w:spacing w:val="-30"/>
          <w:sz w:val="22"/>
        </w:rPr>
        <w:t> </w:t>
      </w:r>
      <w:r>
        <w:rPr>
          <w:sz w:val="22"/>
        </w:rPr>
        <w:t>the arbitrator. The case has been called for arguments on March 30,</w:t>
      </w:r>
      <w:r>
        <w:rPr>
          <w:spacing w:val="-14"/>
          <w:sz w:val="22"/>
        </w:rPr>
        <w:t> </w:t>
      </w:r>
      <w:r>
        <w:rPr>
          <w:sz w:val="22"/>
        </w:rPr>
        <w:t>2020.</w:t>
      </w:r>
    </w:p>
    <w:p>
      <w:pPr>
        <w:pStyle w:val="ListParagraph"/>
        <w:numPr>
          <w:ilvl w:val="1"/>
          <w:numId w:val="95"/>
        </w:numPr>
        <w:tabs>
          <w:tab w:pos="1401" w:val="left" w:leader="none"/>
        </w:tabs>
        <w:spacing w:line="247" w:lineRule="auto" w:before="203" w:after="0"/>
        <w:ind w:left="1400" w:right="681" w:hanging="450"/>
        <w:jc w:val="both"/>
        <w:rPr>
          <w:sz w:val="22"/>
        </w:rPr>
      </w:pPr>
      <w:r>
        <w:rPr>
          <w:sz w:val="22"/>
        </w:rPr>
        <w:t>A</w:t>
      </w:r>
      <w:r>
        <w:rPr>
          <w:spacing w:val="-6"/>
          <w:sz w:val="22"/>
        </w:rPr>
        <w:t> </w:t>
      </w:r>
      <w:r>
        <w:rPr>
          <w:sz w:val="22"/>
        </w:rPr>
        <w:t>third</w:t>
      </w:r>
      <w:r>
        <w:rPr>
          <w:spacing w:val="-4"/>
          <w:sz w:val="22"/>
        </w:rPr>
        <w:t> </w:t>
      </w:r>
      <w:r>
        <w:rPr>
          <w:sz w:val="22"/>
        </w:rPr>
        <w:t>party</w:t>
      </w:r>
      <w:r>
        <w:rPr>
          <w:spacing w:val="-4"/>
          <w:sz w:val="22"/>
        </w:rPr>
        <w:t> </w:t>
      </w:r>
      <w:r>
        <w:rPr>
          <w:sz w:val="22"/>
        </w:rPr>
        <w:t>has</w:t>
      </w:r>
      <w:r>
        <w:rPr>
          <w:spacing w:val="-6"/>
          <w:sz w:val="22"/>
        </w:rPr>
        <w:t> </w:t>
      </w:r>
      <w:r>
        <w:rPr>
          <w:sz w:val="22"/>
        </w:rPr>
        <w:t>filed</w:t>
      </w:r>
      <w:r>
        <w:rPr>
          <w:spacing w:val="-3"/>
          <w:sz w:val="22"/>
        </w:rPr>
        <w:t> </w:t>
      </w:r>
      <w:r>
        <w:rPr>
          <w:sz w:val="22"/>
        </w:rPr>
        <w:t>a</w:t>
      </w:r>
      <w:r>
        <w:rPr>
          <w:spacing w:val="-5"/>
          <w:sz w:val="22"/>
        </w:rPr>
        <w:t> </w:t>
      </w:r>
      <w:r>
        <w:rPr>
          <w:sz w:val="22"/>
        </w:rPr>
        <w:t>suit</w:t>
      </w:r>
      <w:r>
        <w:rPr>
          <w:spacing w:val="-6"/>
          <w:sz w:val="22"/>
        </w:rPr>
        <w:t> </w:t>
      </w:r>
      <w:r>
        <w:rPr>
          <w:sz w:val="22"/>
        </w:rPr>
        <w:t>before</w:t>
      </w:r>
      <w:r>
        <w:rPr>
          <w:spacing w:val="-5"/>
          <w:sz w:val="22"/>
        </w:rPr>
        <w:t> </w:t>
      </w:r>
      <w:r>
        <w:rPr>
          <w:sz w:val="22"/>
        </w:rPr>
        <w:t>the</w:t>
      </w:r>
      <w:r>
        <w:rPr>
          <w:spacing w:val="-7"/>
          <w:sz w:val="22"/>
        </w:rPr>
        <w:t> </w:t>
      </w:r>
      <w:r>
        <w:rPr>
          <w:sz w:val="22"/>
        </w:rPr>
        <w:t>City</w:t>
      </w:r>
      <w:r>
        <w:rPr>
          <w:spacing w:val="-5"/>
          <w:sz w:val="22"/>
        </w:rPr>
        <w:t> </w:t>
      </w:r>
      <w:r>
        <w:rPr>
          <w:sz w:val="22"/>
        </w:rPr>
        <w:t>Civil</w:t>
      </w:r>
      <w:r>
        <w:rPr>
          <w:spacing w:val="-6"/>
          <w:sz w:val="22"/>
        </w:rPr>
        <w:t> </w:t>
      </w:r>
      <w:r>
        <w:rPr>
          <w:sz w:val="22"/>
        </w:rPr>
        <w:t>Court,</w:t>
      </w:r>
      <w:r>
        <w:rPr>
          <w:spacing w:val="-3"/>
          <w:sz w:val="22"/>
        </w:rPr>
        <w:t> </w:t>
      </w:r>
      <w:r>
        <w:rPr>
          <w:sz w:val="22"/>
        </w:rPr>
        <w:t>Senior</w:t>
      </w:r>
      <w:r>
        <w:rPr>
          <w:spacing w:val="-6"/>
          <w:sz w:val="22"/>
        </w:rPr>
        <w:t> </w:t>
      </w:r>
      <w:r>
        <w:rPr>
          <w:sz w:val="22"/>
        </w:rPr>
        <w:t>Division,</w:t>
      </w:r>
      <w:r>
        <w:rPr>
          <w:spacing w:val="-4"/>
          <w:sz w:val="22"/>
        </w:rPr>
        <w:t> </w:t>
      </w:r>
      <w:r>
        <w:rPr>
          <w:sz w:val="22"/>
        </w:rPr>
        <w:t>Rural</w:t>
      </w:r>
      <w:r>
        <w:rPr>
          <w:spacing w:val="-6"/>
          <w:sz w:val="22"/>
        </w:rPr>
        <w:t> </w:t>
      </w:r>
      <w:r>
        <w:rPr>
          <w:sz w:val="22"/>
        </w:rPr>
        <w:t>District</w:t>
      </w:r>
      <w:r>
        <w:rPr>
          <w:spacing w:val="-6"/>
          <w:sz w:val="22"/>
        </w:rPr>
        <w:t> </w:t>
      </w:r>
      <w:r>
        <w:rPr>
          <w:sz w:val="22"/>
        </w:rPr>
        <w:t>against</w:t>
      </w:r>
      <w:r>
        <w:rPr>
          <w:spacing w:val="-5"/>
          <w:sz w:val="22"/>
        </w:rPr>
        <w:t> </w:t>
      </w:r>
      <w:r>
        <w:rPr>
          <w:sz w:val="22"/>
        </w:rPr>
        <w:t>GLSP and</w:t>
      </w:r>
      <w:r>
        <w:rPr>
          <w:spacing w:val="-29"/>
          <w:sz w:val="22"/>
        </w:rPr>
        <w:t> </w:t>
      </w:r>
      <w:r>
        <w:rPr>
          <w:sz w:val="22"/>
        </w:rPr>
        <w:t>others</w:t>
      </w:r>
      <w:r>
        <w:rPr>
          <w:spacing w:val="-28"/>
          <w:sz w:val="22"/>
        </w:rPr>
        <w:t> </w:t>
      </w:r>
      <w:r>
        <w:rPr>
          <w:sz w:val="22"/>
        </w:rPr>
        <w:t>alleging</w:t>
      </w:r>
      <w:r>
        <w:rPr>
          <w:spacing w:val="-28"/>
          <w:sz w:val="22"/>
        </w:rPr>
        <w:t> </w:t>
      </w:r>
      <w:r>
        <w:rPr>
          <w:sz w:val="22"/>
        </w:rPr>
        <w:t>that</w:t>
      </w:r>
      <w:r>
        <w:rPr>
          <w:spacing w:val="-29"/>
          <w:sz w:val="22"/>
        </w:rPr>
        <w:t> </w:t>
      </w:r>
      <w:r>
        <w:rPr>
          <w:sz w:val="22"/>
        </w:rPr>
        <w:t>the</w:t>
      </w:r>
      <w:r>
        <w:rPr>
          <w:spacing w:val="-30"/>
          <w:sz w:val="22"/>
        </w:rPr>
        <w:t> </w:t>
      </w:r>
      <w:r>
        <w:rPr>
          <w:sz w:val="22"/>
        </w:rPr>
        <w:t>defendants</w:t>
      </w:r>
      <w:r>
        <w:rPr>
          <w:spacing w:val="-28"/>
          <w:sz w:val="22"/>
        </w:rPr>
        <w:t> </w:t>
      </w:r>
      <w:r>
        <w:rPr>
          <w:sz w:val="22"/>
        </w:rPr>
        <w:t>and</w:t>
      </w:r>
      <w:r>
        <w:rPr>
          <w:spacing w:val="-29"/>
          <w:sz w:val="22"/>
        </w:rPr>
        <w:t> </w:t>
      </w:r>
      <w:r>
        <w:rPr>
          <w:sz w:val="22"/>
        </w:rPr>
        <w:t>GLSP</w:t>
      </w:r>
      <w:r>
        <w:rPr>
          <w:spacing w:val="-28"/>
          <w:sz w:val="22"/>
        </w:rPr>
        <w:t> </w:t>
      </w:r>
      <w:r>
        <w:rPr>
          <w:sz w:val="22"/>
        </w:rPr>
        <w:t>have</w:t>
      </w:r>
      <w:r>
        <w:rPr>
          <w:spacing w:val="-29"/>
          <w:sz w:val="22"/>
        </w:rPr>
        <w:t> </w:t>
      </w:r>
      <w:r>
        <w:rPr>
          <w:sz w:val="22"/>
        </w:rPr>
        <w:t>colluded</w:t>
      </w:r>
      <w:r>
        <w:rPr>
          <w:spacing w:val="-28"/>
          <w:sz w:val="22"/>
        </w:rPr>
        <w:t> </w:t>
      </w:r>
      <w:r>
        <w:rPr>
          <w:sz w:val="22"/>
        </w:rPr>
        <w:t>with</w:t>
      </w:r>
      <w:r>
        <w:rPr>
          <w:spacing w:val="-30"/>
          <w:sz w:val="22"/>
        </w:rPr>
        <w:t> </w:t>
      </w:r>
      <w:r>
        <w:rPr>
          <w:sz w:val="22"/>
        </w:rPr>
        <w:t>each</w:t>
      </w:r>
      <w:r>
        <w:rPr>
          <w:spacing w:val="-29"/>
          <w:sz w:val="22"/>
        </w:rPr>
        <w:t> </w:t>
      </w:r>
      <w:r>
        <w:rPr>
          <w:sz w:val="22"/>
        </w:rPr>
        <w:t>other</w:t>
      </w:r>
      <w:r>
        <w:rPr>
          <w:spacing w:val="-29"/>
          <w:sz w:val="22"/>
        </w:rPr>
        <w:t> </w:t>
      </w:r>
      <w:r>
        <w:rPr>
          <w:sz w:val="22"/>
        </w:rPr>
        <w:t>to</w:t>
      </w:r>
      <w:r>
        <w:rPr>
          <w:spacing w:val="-31"/>
          <w:sz w:val="22"/>
        </w:rPr>
        <w:t> </w:t>
      </w:r>
      <w:r>
        <w:rPr>
          <w:sz w:val="22"/>
        </w:rPr>
        <w:t>sell</w:t>
      </w:r>
      <w:r>
        <w:rPr>
          <w:spacing w:val="-29"/>
          <w:sz w:val="22"/>
        </w:rPr>
        <w:t> </w:t>
      </w:r>
      <w:r>
        <w:rPr>
          <w:sz w:val="22"/>
        </w:rPr>
        <w:t>certain</w:t>
      </w:r>
      <w:r>
        <w:rPr>
          <w:spacing w:val="-30"/>
          <w:sz w:val="22"/>
        </w:rPr>
        <w:t> </w:t>
      </w:r>
      <w:r>
        <w:rPr>
          <w:sz w:val="22"/>
        </w:rPr>
        <w:t>parcels of land belonging to the petitioner, admeasuring 12 guntas, 1 acre 9 guntas and 15 guntas respectively</w:t>
      </w:r>
      <w:r>
        <w:rPr>
          <w:spacing w:val="-12"/>
          <w:sz w:val="22"/>
        </w:rPr>
        <w:t> </w:t>
      </w:r>
      <w:r>
        <w:rPr>
          <w:sz w:val="22"/>
        </w:rPr>
        <w:t>and</w:t>
      </w:r>
      <w:r>
        <w:rPr>
          <w:spacing w:val="-13"/>
          <w:sz w:val="22"/>
        </w:rPr>
        <w:t> </w:t>
      </w:r>
      <w:r>
        <w:rPr>
          <w:sz w:val="22"/>
        </w:rPr>
        <w:t>forming</w:t>
      </w:r>
      <w:r>
        <w:rPr>
          <w:spacing w:val="-13"/>
          <w:sz w:val="22"/>
        </w:rPr>
        <w:t> </w:t>
      </w:r>
      <w:r>
        <w:rPr>
          <w:sz w:val="22"/>
        </w:rPr>
        <w:t>part</w:t>
      </w:r>
      <w:r>
        <w:rPr>
          <w:spacing w:val="-12"/>
          <w:sz w:val="22"/>
        </w:rPr>
        <w:t> </w:t>
      </w:r>
      <w:r>
        <w:rPr>
          <w:sz w:val="22"/>
        </w:rPr>
        <w:t>of</w:t>
      </w:r>
      <w:r>
        <w:rPr>
          <w:spacing w:val="-13"/>
          <w:sz w:val="22"/>
        </w:rPr>
        <w:t> </w:t>
      </w:r>
      <w:r>
        <w:rPr>
          <w:sz w:val="22"/>
        </w:rPr>
        <w:t>Embassy</w:t>
      </w:r>
      <w:r>
        <w:rPr>
          <w:spacing w:val="-13"/>
          <w:sz w:val="22"/>
        </w:rPr>
        <w:t> </w:t>
      </w:r>
      <w:r>
        <w:rPr>
          <w:sz w:val="22"/>
        </w:rPr>
        <w:t>Golflinks</w:t>
      </w:r>
      <w:r>
        <w:rPr>
          <w:spacing w:val="-13"/>
          <w:sz w:val="22"/>
        </w:rPr>
        <w:t> </w:t>
      </w:r>
      <w:r>
        <w:rPr>
          <w:sz w:val="22"/>
        </w:rPr>
        <w:t>to</w:t>
      </w:r>
      <w:r>
        <w:rPr>
          <w:spacing w:val="-14"/>
          <w:sz w:val="22"/>
        </w:rPr>
        <w:t> </w:t>
      </w:r>
      <w:r>
        <w:rPr>
          <w:sz w:val="22"/>
        </w:rPr>
        <w:t>GLSP.</w:t>
      </w:r>
      <w:r>
        <w:rPr>
          <w:spacing w:val="-11"/>
          <w:sz w:val="22"/>
        </w:rPr>
        <w:t> </w:t>
      </w:r>
      <w:r>
        <w:rPr>
          <w:sz w:val="22"/>
        </w:rPr>
        <w:t>The</w:t>
      </w:r>
      <w:r>
        <w:rPr>
          <w:spacing w:val="-13"/>
          <w:sz w:val="22"/>
        </w:rPr>
        <w:t> </w:t>
      </w:r>
      <w:r>
        <w:rPr>
          <w:sz w:val="22"/>
        </w:rPr>
        <w:t>petitioner</w:t>
      </w:r>
      <w:r>
        <w:rPr>
          <w:spacing w:val="-14"/>
          <w:sz w:val="22"/>
        </w:rPr>
        <w:t> </w:t>
      </w:r>
      <w:r>
        <w:rPr>
          <w:sz w:val="22"/>
        </w:rPr>
        <w:t>has</w:t>
      </w:r>
      <w:r>
        <w:rPr>
          <w:spacing w:val="-13"/>
          <w:sz w:val="22"/>
        </w:rPr>
        <w:t> </w:t>
      </w:r>
      <w:r>
        <w:rPr>
          <w:sz w:val="22"/>
        </w:rPr>
        <w:t>alleged</w:t>
      </w:r>
      <w:r>
        <w:rPr>
          <w:spacing w:val="-13"/>
          <w:sz w:val="22"/>
        </w:rPr>
        <w:t> </w:t>
      </w:r>
      <w:r>
        <w:rPr>
          <w:sz w:val="22"/>
        </w:rPr>
        <w:t>that</w:t>
      </w:r>
      <w:r>
        <w:rPr>
          <w:spacing w:val="-12"/>
          <w:sz w:val="22"/>
        </w:rPr>
        <w:t> </w:t>
      </w:r>
      <w:r>
        <w:rPr>
          <w:sz w:val="22"/>
        </w:rPr>
        <w:t>the</w:t>
      </w:r>
      <w:r>
        <w:rPr>
          <w:spacing w:val="-14"/>
          <w:sz w:val="22"/>
        </w:rPr>
        <w:t> </w:t>
      </w:r>
      <w:r>
        <w:rPr>
          <w:sz w:val="22"/>
        </w:rPr>
        <w:t>sale deed</w:t>
      </w:r>
      <w:r>
        <w:rPr>
          <w:spacing w:val="-13"/>
          <w:sz w:val="22"/>
        </w:rPr>
        <w:t> </w:t>
      </w:r>
      <w:r>
        <w:rPr>
          <w:sz w:val="22"/>
        </w:rPr>
        <w:t>executed</w:t>
      </w:r>
      <w:r>
        <w:rPr>
          <w:spacing w:val="-13"/>
          <w:sz w:val="22"/>
        </w:rPr>
        <w:t> </w:t>
      </w:r>
      <w:r>
        <w:rPr>
          <w:sz w:val="22"/>
        </w:rPr>
        <w:t>in</w:t>
      </w:r>
      <w:r>
        <w:rPr>
          <w:spacing w:val="-15"/>
          <w:sz w:val="22"/>
        </w:rPr>
        <w:t> </w:t>
      </w:r>
      <w:r>
        <w:rPr>
          <w:sz w:val="22"/>
        </w:rPr>
        <w:t>2003</w:t>
      </w:r>
      <w:r>
        <w:rPr>
          <w:spacing w:val="-13"/>
          <w:sz w:val="22"/>
        </w:rPr>
        <w:t> </w:t>
      </w:r>
      <w:r>
        <w:rPr>
          <w:sz w:val="22"/>
        </w:rPr>
        <w:t>is</w:t>
      </w:r>
      <w:r>
        <w:rPr>
          <w:spacing w:val="-12"/>
          <w:sz w:val="22"/>
        </w:rPr>
        <w:t> </w:t>
      </w:r>
      <w:r>
        <w:rPr>
          <w:sz w:val="22"/>
        </w:rPr>
        <w:t>not</w:t>
      </w:r>
      <w:r>
        <w:rPr>
          <w:spacing w:val="-13"/>
          <w:sz w:val="22"/>
        </w:rPr>
        <w:t> </w:t>
      </w:r>
      <w:r>
        <w:rPr>
          <w:sz w:val="22"/>
        </w:rPr>
        <w:t>binding</w:t>
      </w:r>
      <w:r>
        <w:rPr>
          <w:spacing w:val="-13"/>
          <w:sz w:val="22"/>
        </w:rPr>
        <w:t> </w:t>
      </w:r>
      <w:r>
        <w:rPr>
          <w:sz w:val="22"/>
        </w:rPr>
        <w:t>on</w:t>
      </w:r>
      <w:r>
        <w:rPr>
          <w:spacing w:val="-16"/>
          <w:sz w:val="22"/>
        </w:rPr>
        <w:t> </w:t>
      </w:r>
      <w:r>
        <w:rPr>
          <w:sz w:val="22"/>
        </w:rPr>
        <w:t>the</w:t>
      </w:r>
      <w:r>
        <w:rPr>
          <w:spacing w:val="-15"/>
          <w:sz w:val="22"/>
        </w:rPr>
        <w:t> </w:t>
      </w:r>
      <w:r>
        <w:rPr>
          <w:sz w:val="22"/>
        </w:rPr>
        <w:t>petitioner.</w:t>
      </w:r>
      <w:r>
        <w:rPr>
          <w:spacing w:val="-15"/>
          <w:sz w:val="22"/>
        </w:rPr>
        <w:t> </w:t>
      </w:r>
      <w:r>
        <w:rPr>
          <w:sz w:val="22"/>
        </w:rPr>
        <w:t>The</w:t>
      </w:r>
      <w:r>
        <w:rPr>
          <w:spacing w:val="-16"/>
          <w:sz w:val="22"/>
        </w:rPr>
        <w:t> </w:t>
      </w:r>
      <w:r>
        <w:rPr>
          <w:sz w:val="22"/>
        </w:rPr>
        <w:t>suit</w:t>
      </w:r>
      <w:r>
        <w:rPr>
          <w:spacing w:val="-15"/>
          <w:sz w:val="22"/>
        </w:rPr>
        <w:t> </w:t>
      </w:r>
      <w:r>
        <w:rPr>
          <w:sz w:val="22"/>
        </w:rPr>
        <w:t>was</w:t>
      </w:r>
      <w:r>
        <w:rPr>
          <w:spacing w:val="-14"/>
          <w:sz w:val="22"/>
        </w:rPr>
        <w:t> </w:t>
      </w:r>
      <w:r>
        <w:rPr>
          <w:sz w:val="22"/>
        </w:rPr>
        <w:t>dismissed</w:t>
      </w:r>
      <w:r>
        <w:rPr>
          <w:spacing w:val="-15"/>
          <w:sz w:val="22"/>
        </w:rPr>
        <w:t> </w:t>
      </w:r>
      <w:r>
        <w:rPr>
          <w:sz w:val="22"/>
        </w:rPr>
        <w:t>in</w:t>
      </w:r>
      <w:r>
        <w:rPr>
          <w:spacing w:val="-13"/>
          <w:sz w:val="22"/>
        </w:rPr>
        <w:t> </w:t>
      </w:r>
      <w:r>
        <w:rPr>
          <w:sz w:val="22"/>
        </w:rPr>
        <w:t>2016</w:t>
      </w:r>
      <w:r>
        <w:rPr>
          <w:spacing w:val="-16"/>
          <w:sz w:val="22"/>
        </w:rPr>
        <w:t> </w:t>
      </w:r>
      <w:r>
        <w:rPr>
          <w:sz w:val="22"/>
        </w:rPr>
        <w:t>for</w:t>
      </w:r>
      <w:r>
        <w:rPr>
          <w:spacing w:val="-15"/>
          <w:sz w:val="22"/>
        </w:rPr>
        <w:t> </w:t>
      </w:r>
      <w:r>
        <w:rPr>
          <w:sz w:val="22"/>
        </w:rPr>
        <w:t>default</w:t>
      </w:r>
      <w:r>
        <w:rPr>
          <w:spacing w:val="-15"/>
          <w:sz w:val="22"/>
        </w:rPr>
        <w:t> </w:t>
      </w:r>
      <w:r>
        <w:rPr>
          <w:sz w:val="22"/>
        </w:rPr>
        <w:t>by</w:t>
      </w:r>
    </w:p>
    <w:p>
      <w:pPr>
        <w:spacing w:after="0" w:line="247" w:lineRule="auto"/>
        <w:jc w:val="both"/>
        <w:rPr>
          <w:sz w:val="22"/>
        </w:rPr>
        <w:sectPr>
          <w:pgSz w:w="11910" w:h="16840"/>
          <w:pgMar w:header="720" w:footer="862" w:top="1660" w:bottom="1060" w:left="40" w:right="40"/>
        </w:sectPr>
      </w:pPr>
    </w:p>
    <w:p>
      <w:pPr>
        <w:pStyle w:val="BodyText"/>
        <w:spacing w:before="7"/>
        <w:rPr>
          <w:sz w:val="9"/>
        </w:rPr>
      </w:pPr>
    </w:p>
    <w:p>
      <w:pPr>
        <w:pStyle w:val="BodyText"/>
        <w:spacing w:line="247" w:lineRule="auto" w:before="106"/>
        <w:ind w:left="1400" w:right="688"/>
        <w:jc w:val="both"/>
      </w:pPr>
      <w:r>
        <w:rPr/>
        <w:t>the</w:t>
      </w:r>
      <w:r>
        <w:rPr>
          <w:spacing w:val="-17"/>
        </w:rPr>
        <w:t> </w:t>
      </w:r>
      <w:r>
        <w:rPr/>
        <w:t>petitioner.</w:t>
      </w:r>
      <w:r>
        <w:rPr>
          <w:spacing w:val="-17"/>
        </w:rPr>
        <w:t> </w:t>
      </w:r>
      <w:r>
        <w:rPr/>
        <w:t>The</w:t>
      </w:r>
      <w:r>
        <w:rPr>
          <w:spacing w:val="-17"/>
        </w:rPr>
        <w:t> </w:t>
      </w:r>
      <w:r>
        <w:rPr/>
        <w:t>petitioner</w:t>
      </w:r>
      <w:r>
        <w:rPr>
          <w:spacing w:val="-17"/>
        </w:rPr>
        <w:t> </w:t>
      </w:r>
      <w:r>
        <w:rPr/>
        <w:t>has</w:t>
      </w:r>
      <w:r>
        <w:rPr>
          <w:spacing w:val="-16"/>
        </w:rPr>
        <w:t> </w:t>
      </w:r>
      <w:r>
        <w:rPr/>
        <w:t>thereafter</w:t>
      </w:r>
      <w:r>
        <w:rPr>
          <w:spacing w:val="-18"/>
        </w:rPr>
        <w:t> </w:t>
      </w:r>
      <w:r>
        <w:rPr/>
        <w:t>filed</w:t>
      </w:r>
      <w:r>
        <w:rPr>
          <w:spacing w:val="-16"/>
        </w:rPr>
        <w:t> </w:t>
      </w:r>
      <w:r>
        <w:rPr/>
        <w:t>an</w:t>
      </w:r>
      <w:r>
        <w:rPr>
          <w:spacing w:val="-17"/>
        </w:rPr>
        <w:t> </w:t>
      </w:r>
      <w:r>
        <w:rPr/>
        <w:t>application</w:t>
      </w:r>
      <w:r>
        <w:rPr>
          <w:spacing w:val="-18"/>
        </w:rPr>
        <w:t> </w:t>
      </w:r>
      <w:r>
        <w:rPr/>
        <w:t>seeking</w:t>
      </w:r>
      <w:r>
        <w:rPr>
          <w:spacing w:val="-17"/>
        </w:rPr>
        <w:t> </w:t>
      </w:r>
      <w:r>
        <w:rPr/>
        <w:t>to</w:t>
      </w:r>
      <w:r>
        <w:rPr>
          <w:spacing w:val="-17"/>
        </w:rPr>
        <w:t> </w:t>
      </w:r>
      <w:r>
        <w:rPr/>
        <w:t>restore</w:t>
      </w:r>
      <w:r>
        <w:rPr>
          <w:spacing w:val="-18"/>
        </w:rPr>
        <w:t> </w:t>
      </w:r>
      <w:r>
        <w:rPr/>
        <w:t>the</w:t>
      </w:r>
      <w:r>
        <w:rPr>
          <w:spacing w:val="-17"/>
        </w:rPr>
        <w:t> </w:t>
      </w:r>
      <w:r>
        <w:rPr/>
        <w:t>case</w:t>
      </w:r>
      <w:r>
        <w:rPr>
          <w:spacing w:val="-17"/>
        </w:rPr>
        <w:t> </w:t>
      </w:r>
      <w:r>
        <w:rPr/>
        <w:t>and</w:t>
      </w:r>
      <w:r>
        <w:rPr>
          <w:spacing w:val="-17"/>
        </w:rPr>
        <w:t> </w:t>
      </w:r>
      <w:r>
        <w:rPr/>
        <w:t>the summons are yet to be served on some of the</w:t>
      </w:r>
      <w:r>
        <w:rPr>
          <w:spacing w:val="-31"/>
        </w:rPr>
        <w:t> </w:t>
      </w:r>
      <w:r>
        <w:rPr/>
        <w:t>respondents.</w:t>
      </w:r>
    </w:p>
    <w:p>
      <w:pPr>
        <w:pStyle w:val="ListParagraph"/>
        <w:numPr>
          <w:ilvl w:val="1"/>
          <w:numId w:val="95"/>
        </w:numPr>
        <w:tabs>
          <w:tab w:pos="1401" w:val="left" w:leader="none"/>
        </w:tabs>
        <w:spacing w:line="247" w:lineRule="auto" w:before="199" w:after="0"/>
        <w:ind w:left="1400" w:right="673" w:hanging="450"/>
        <w:jc w:val="both"/>
        <w:rPr>
          <w:sz w:val="22"/>
        </w:rPr>
      </w:pPr>
      <w:r>
        <w:rPr>
          <w:sz w:val="22"/>
        </w:rPr>
        <w:t>GLSP</w:t>
      </w:r>
      <w:r>
        <w:rPr>
          <w:spacing w:val="-40"/>
          <w:sz w:val="22"/>
        </w:rPr>
        <w:t> </w:t>
      </w:r>
      <w:r>
        <w:rPr>
          <w:sz w:val="22"/>
        </w:rPr>
        <w:t>received</w:t>
      </w:r>
      <w:r>
        <w:rPr>
          <w:spacing w:val="-39"/>
          <w:sz w:val="22"/>
        </w:rPr>
        <w:t> </w:t>
      </w:r>
      <w:r>
        <w:rPr>
          <w:sz w:val="22"/>
        </w:rPr>
        <w:t>a</w:t>
      </w:r>
      <w:r>
        <w:rPr>
          <w:spacing w:val="-39"/>
          <w:sz w:val="22"/>
        </w:rPr>
        <w:t> </w:t>
      </w:r>
      <w:r>
        <w:rPr>
          <w:sz w:val="22"/>
        </w:rPr>
        <w:t>notice</w:t>
      </w:r>
      <w:r>
        <w:rPr>
          <w:spacing w:val="-40"/>
          <w:sz w:val="22"/>
        </w:rPr>
        <w:t> </w:t>
      </w:r>
      <w:r>
        <w:rPr>
          <w:sz w:val="22"/>
        </w:rPr>
        <w:t>from</w:t>
      </w:r>
      <w:r>
        <w:rPr>
          <w:spacing w:val="-39"/>
          <w:sz w:val="22"/>
        </w:rPr>
        <w:t> </w:t>
      </w:r>
      <w:r>
        <w:rPr>
          <w:sz w:val="22"/>
        </w:rPr>
        <w:t>a</w:t>
      </w:r>
      <w:r>
        <w:rPr>
          <w:spacing w:val="-40"/>
          <w:sz w:val="22"/>
        </w:rPr>
        <w:t> </w:t>
      </w:r>
      <w:r>
        <w:rPr>
          <w:sz w:val="22"/>
        </w:rPr>
        <w:t>third</w:t>
      </w:r>
      <w:r>
        <w:rPr>
          <w:spacing w:val="-39"/>
          <w:sz w:val="22"/>
        </w:rPr>
        <w:t> </w:t>
      </w:r>
      <w:r>
        <w:rPr>
          <w:sz w:val="22"/>
        </w:rPr>
        <w:t>party</w:t>
      </w:r>
      <w:r>
        <w:rPr>
          <w:spacing w:val="-39"/>
          <w:sz w:val="22"/>
        </w:rPr>
        <w:t> </w:t>
      </w:r>
      <w:r>
        <w:rPr>
          <w:sz w:val="22"/>
        </w:rPr>
        <w:t>individual</w:t>
      </w:r>
      <w:r>
        <w:rPr>
          <w:spacing w:val="-40"/>
          <w:sz w:val="22"/>
        </w:rPr>
        <w:t> </w:t>
      </w:r>
      <w:r>
        <w:rPr>
          <w:sz w:val="22"/>
        </w:rPr>
        <w:t>alleging</w:t>
      </w:r>
      <w:r>
        <w:rPr>
          <w:spacing w:val="-39"/>
          <w:sz w:val="22"/>
        </w:rPr>
        <w:t> </w:t>
      </w:r>
      <w:r>
        <w:rPr>
          <w:sz w:val="22"/>
        </w:rPr>
        <w:t>that</w:t>
      </w:r>
      <w:r>
        <w:rPr>
          <w:spacing w:val="-39"/>
          <w:sz w:val="22"/>
        </w:rPr>
        <w:t> </w:t>
      </w:r>
      <w:r>
        <w:rPr>
          <w:sz w:val="22"/>
        </w:rPr>
        <w:t>certain</w:t>
      </w:r>
      <w:r>
        <w:rPr>
          <w:spacing w:val="-40"/>
          <w:sz w:val="22"/>
        </w:rPr>
        <w:t> </w:t>
      </w:r>
      <w:r>
        <w:rPr>
          <w:sz w:val="22"/>
        </w:rPr>
        <w:t>third</w:t>
      </w:r>
      <w:r>
        <w:rPr>
          <w:spacing w:val="-38"/>
          <w:sz w:val="22"/>
        </w:rPr>
        <w:t> </w:t>
      </w:r>
      <w:r>
        <w:rPr>
          <w:sz w:val="22"/>
        </w:rPr>
        <w:t>parties</w:t>
      </w:r>
      <w:r>
        <w:rPr>
          <w:spacing w:val="-40"/>
          <w:sz w:val="22"/>
        </w:rPr>
        <w:t> </w:t>
      </w:r>
      <w:r>
        <w:rPr>
          <w:sz w:val="22"/>
        </w:rPr>
        <w:t>were</w:t>
      </w:r>
      <w:r>
        <w:rPr>
          <w:spacing w:val="-40"/>
          <w:sz w:val="22"/>
        </w:rPr>
        <w:t> </w:t>
      </w:r>
      <w:r>
        <w:rPr>
          <w:sz w:val="22"/>
        </w:rPr>
        <w:t>the</w:t>
      </w:r>
      <w:r>
        <w:rPr>
          <w:spacing w:val="-40"/>
          <w:sz w:val="22"/>
        </w:rPr>
        <w:t> </w:t>
      </w:r>
      <w:r>
        <w:rPr>
          <w:sz w:val="22"/>
        </w:rPr>
        <w:t>absolute owners of land in possession of GLSP admeasuring 2 acres and 8 guntas in Bengaluru. The IX Additional City Civil and Sessions Judge, pursuant to a preliminary decree in 2017, granted the petitioner</w:t>
      </w:r>
      <w:r>
        <w:rPr>
          <w:spacing w:val="-30"/>
          <w:sz w:val="22"/>
        </w:rPr>
        <w:t> </w:t>
      </w:r>
      <w:r>
        <w:rPr>
          <w:sz w:val="22"/>
        </w:rPr>
        <w:t>half</w:t>
      </w:r>
      <w:r>
        <w:rPr>
          <w:spacing w:val="-29"/>
          <w:sz w:val="22"/>
        </w:rPr>
        <w:t> </w:t>
      </w:r>
      <w:r>
        <w:rPr>
          <w:sz w:val="22"/>
        </w:rPr>
        <w:t>a</w:t>
      </w:r>
      <w:r>
        <w:rPr>
          <w:spacing w:val="-29"/>
          <w:sz w:val="22"/>
        </w:rPr>
        <w:t> </w:t>
      </w:r>
      <w:r>
        <w:rPr>
          <w:sz w:val="22"/>
        </w:rPr>
        <w:t>share</w:t>
      </w:r>
      <w:r>
        <w:rPr>
          <w:spacing w:val="-29"/>
          <w:sz w:val="22"/>
        </w:rPr>
        <w:t> </w:t>
      </w:r>
      <w:r>
        <w:rPr>
          <w:sz w:val="22"/>
        </w:rPr>
        <w:t>in</w:t>
      </w:r>
      <w:r>
        <w:rPr>
          <w:spacing w:val="-30"/>
          <w:sz w:val="22"/>
        </w:rPr>
        <w:t> </w:t>
      </w:r>
      <w:r>
        <w:rPr>
          <w:sz w:val="22"/>
        </w:rPr>
        <w:t>the</w:t>
      </w:r>
      <w:r>
        <w:rPr>
          <w:spacing w:val="-30"/>
          <w:sz w:val="22"/>
        </w:rPr>
        <w:t> </w:t>
      </w:r>
      <w:r>
        <w:rPr>
          <w:sz w:val="22"/>
        </w:rPr>
        <w:t>land.</w:t>
      </w:r>
      <w:r>
        <w:rPr>
          <w:spacing w:val="-29"/>
          <w:sz w:val="22"/>
        </w:rPr>
        <w:t> </w:t>
      </w:r>
      <w:r>
        <w:rPr>
          <w:sz w:val="22"/>
        </w:rPr>
        <w:t>GLSP</w:t>
      </w:r>
      <w:r>
        <w:rPr>
          <w:spacing w:val="-30"/>
          <w:sz w:val="22"/>
        </w:rPr>
        <w:t> </w:t>
      </w:r>
      <w:r>
        <w:rPr>
          <w:sz w:val="22"/>
        </w:rPr>
        <w:t>was</w:t>
      </w:r>
      <w:r>
        <w:rPr>
          <w:spacing w:val="-30"/>
          <w:sz w:val="22"/>
        </w:rPr>
        <w:t> </w:t>
      </w:r>
      <w:r>
        <w:rPr>
          <w:sz w:val="22"/>
        </w:rPr>
        <w:t>not</w:t>
      </w:r>
      <w:r>
        <w:rPr>
          <w:spacing w:val="-28"/>
          <w:sz w:val="22"/>
        </w:rPr>
        <w:t> </w:t>
      </w:r>
      <w:r>
        <w:rPr>
          <w:sz w:val="22"/>
        </w:rPr>
        <w:t>made</w:t>
      </w:r>
      <w:r>
        <w:rPr>
          <w:spacing w:val="-29"/>
          <w:sz w:val="22"/>
        </w:rPr>
        <w:t> </w:t>
      </w:r>
      <w:r>
        <w:rPr>
          <w:sz w:val="22"/>
        </w:rPr>
        <w:t>a</w:t>
      </w:r>
      <w:r>
        <w:rPr>
          <w:spacing w:val="-30"/>
          <w:sz w:val="22"/>
        </w:rPr>
        <w:t> </w:t>
      </w:r>
      <w:r>
        <w:rPr>
          <w:sz w:val="22"/>
        </w:rPr>
        <w:t>party</w:t>
      </w:r>
      <w:r>
        <w:rPr>
          <w:spacing w:val="-28"/>
          <w:sz w:val="22"/>
        </w:rPr>
        <w:t> </w:t>
      </w:r>
      <w:r>
        <w:rPr>
          <w:sz w:val="22"/>
        </w:rPr>
        <w:t>to</w:t>
      </w:r>
      <w:r>
        <w:rPr>
          <w:spacing w:val="-29"/>
          <w:sz w:val="22"/>
        </w:rPr>
        <w:t> </w:t>
      </w:r>
      <w:r>
        <w:rPr>
          <w:sz w:val="22"/>
        </w:rPr>
        <w:t>the</w:t>
      </w:r>
      <w:r>
        <w:rPr>
          <w:spacing w:val="-30"/>
          <w:sz w:val="22"/>
        </w:rPr>
        <w:t> </w:t>
      </w:r>
      <w:r>
        <w:rPr>
          <w:sz w:val="22"/>
        </w:rPr>
        <w:t>above</w:t>
      </w:r>
      <w:r>
        <w:rPr>
          <w:spacing w:val="-29"/>
          <w:sz w:val="22"/>
        </w:rPr>
        <w:t> </w:t>
      </w:r>
      <w:r>
        <w:rPr>
          <w:sz w:val="22"/>
        </w:rPr>
        <w:t>suit</w:t>
      </w:r>
      <w:r>
        <w:rPr>
          <w:spacing w:val="-28"/>
          <w:sz w:val="22"/>
        </w:rPr>
        <w:t> </w:t>
      </w:r>
      <w:r>
        <w:rPr>
          <w:sz w:val="22"/>
        </w:rPr>
        <w:t>filed</w:t>
      </w:r>
      <w:r>
        <w:rPr>
          <w:spacing w:val="-30"/>
          <w:sz w:val="22"/>
        </w:rPr>
        <w:t> </w:t>
      </w:r>
      <w:r>
        <w:rPr>
          <w:sz w:val="22"/>
        </w:rPr>
        <w:t>by</w:t>
      </w:r>
      <w:r>
        <w:rPr>
          <w:spacing w:val="-28"/>
          <w:sz w:val="22"/>
        </w:rPr>
        <w:t> </w:t>
      </w:r>
      <w:r>
        <w:rPr>
          <w:sz w:val="22"/>
        </w:rPr>
        <w:t>the</w:t>
      </w:r>
      <w:r>
        <w:rPr>
          <w:spacing w:val="-30"/>
          <w:sz w:val="22"/>
        </w:rPr>
        <w:t> </w:t>
      </w:r>
      <w:r>
        <w:rPr>
          <w:sz w:val="22"/>
        </w:rPr>
        <w:t>third</w:t>
      </w:r>
      <w:r>
        <w:rPr>
          <w:spacing w:val="-28"/>
          <w:sz w:val="22"/>
        </w:rPr>
        <w:t> </w:t>
      </w:r>
      <w:r>
        <w:rPr>
          <w:sz w:val="22"/>
        </w:rPr>
        <w:t>party. GLSP</w:t>
      </w:r>
      <w:r>
        <w:rPr>
          <w:spacing w:val="-6"/>
          <w:sz w:val="22"/>
        </w:rPr>
        <w:t> </w:t>
      </w:r>
      <w:r>
        <w:rPr>
          <w:sz w:val="22"/>
        </w:rPr>
        <w:t>has</w:t>
      </w:r>
      <w:r>
        <w:rPr>
          <w:spacing w:val="-7"/>
          <w:sz w:val="22"/>
        </w:rPr>
        <w:t> </w:t>
      </w:r>
      <w:r>
        <w:rPr>
          <w:sz w:val="22"/>
        </w:rPr>
        <w:t>filed</w:t>
      </w:r>
      <w:r>
        <w:rPr>
          <w:spacing w:val="-5"/>
          <w:sz w:val="22"/>
        </w:rPr>
        <w:t> </w:t>
      </w:r>
      <w:r>
        <w:rPr>
          <w:sz w:val="22"/>
        </w:rPr>
        <w:t>an</w:t>
      </w:r>
      <w:r>
        <w:rPr>
          <w:spacing w:val="-6"/>
          <w:sz w:val="22"/>
        </w:rPr>
        <w:t> </w:t>
      </w:r>
      <w:r>
        <w:rPr>
          <w:sz w:val="22"/>
        </w:rPr>
        <w:t>appeal</w:t>
      </w:r>
      <w:r>
        <w:rPr>
          <w:spacing w:val="-6"/>
          <w:sz w:val="22"/>
        </w:rPr>
        <w:t> </w:t>
      </w:r>
      <w:r>
        <w:rPr>
          <w:sz w:val="22"/>
        </w:rPr>
        <w:t>in</w:t>
      </w:r>
      <w:r>
        <w:rPr>
          <w:spacing w:val="-7"/>
          <w:sz w:val="22"/>
        </w:rPr>
        <w:t> </w:t>
      </w:r>
      <w:r>
        <w:rPr>
          <w:sz w:val="22"/>
        </w:rPr>
        <w:t>the</w:t>
      </w:r>
      <w:r>
        <w:rPr>
          <w:spacing w:val="-7"/>
          <w:sz w:val="22"/>
        </w:rPr>
        <w:t> </w:t>
      </w:r>
      <w:r>
        <w:rPr>
          <w:sz w:val="22"/>
        </w:rPr>
        <w:t>High</w:t>
      </w:r>
      <w:r>
        <w:rPr>
          <w:spacing w:val="-6"/>
          <w:sz w:val="22"/>
        </w:rPr>
        <w:t> </w:t>
      </w:r>
      <w:r>
        <w:rPr>
          <w:sz w:val="22"/>
        </w:rPr>
        <w:t>Court</w:t>
      </w:r>
      <w:r>
        <w:rPr>
          <w:spacing w:val="-5"/>
          <w:sz w:val="22"/>
        </w:rPr>
        <w:t> </w:t>
      </w:r>
      <w:r>
        <w:rPr>
          <w:sz w:val="22"/>
        </w:rPr>
        <w:t>of</w:t>
      </w:r>
      <w:r>
        <w:rPr>
          <w:spacing w:val="-5"/>
          <w:sz w:val="22"/>
        </w:rPr>
        <w:t> </w:t>
      </w:r>
      <w:r>
        <w:rPr>
          <w:sz w:val="22"/>
        </w:rPr>
        <w:t>Karnataka</w:t>
      </w:r>
      <w:r>
        <w:rPr>
          <w:spacing w:val="-7"/>
          <w:sz w:val="22"/>
        </w:rPr>
        <w:t> </w:t>
      </w:r>
      <w:r>
        <w:rPr>
          <w:sz w:val="22"/>
        </w:rPr>
        <w:t>to</w:t>
      </w:r>
      <w:r>
        <w:rPr>
          <w:spacing w:val="-6"/>
          <w:sz w:val="22"/>
        </w:rPr>
        <w:t> </w:t>
      </w:r>
      <w:r>
        <w:rPr>
          <w:sz w:val="22"/>
        </w:rPr>
        <w:t>set</w:t>
      </w:r>
      <w:r>
        <w:rPr>
          <w:spacing w:val="-5"/>
          <w:sz w:val="22"/>
        </w:rPr>
        <w:t> </w:t>
      </w:r>
      <w:r>
        <w:rPr>
          <w:sz w:val="22"/>
        </w:rPr>
        <w:t>aside</w:t>
      </w:r>
      <w:r>
        <w:rPr>
          <w:spacing w:val="-6"/>
          <w:sz w:val="22"/>
        </w:rPr>
        <w:t> </w:t>
      </w:r>
      <w:r>
        <w:rPr>
          <w:sz w:val="22"/>
        </w:rPr>
        <w:t>the</w:t>
      </w:r>
      <w:r>
        <w:rPr>
          <w:spacing w:val="-9"/>
          <w:sz w:val="22"/>
        </w:rPr>
        <w:t> </w:t>
      </w:r>
      <w:r>
        <w:rPr>
          <w:sz w:val="22"/>
        </w:rPr>
        <w:t>decree</w:t>
      </w:r>
      <w:r>
        <w:rPr>
          <w:spacing w:val="-6"/>
          <w:sz w:val="22"/>
        </w:rPr>
        <w:t> </w:t>
      </w:r>
      <w:r>
        <w:rPr>
          <w:sz w:val="22"/>
        </w:rPr>
        <w:t>of</w:t>
      </w:r>
      <w:r>
        <w:rPr>
          <w:spacing w:val="-5"/>
          <w:sz w:val="22"/>
        </w:rPr>
        <w:t> </w:t>
      </w:r>
      <w:r>
        <w:rPr>
          <w:sz w:val="22"/>
        </w:rPr>
        <w:t>the</w:t>
      </w:r>
      <w:r>
        <w:rPr>
          <w:spacing w:val="-6"/>
          <w:sz w:val="22"/>
        </w:rPr>
        <w:t> </w:t>
      </w:r>
      <w:r>
        <w:rPr>
          <w:sz w:val="22"/>
        </w:rPr>
        <w:t>IX</w:t>
      </w:r>
      <w:r>
        <w:rPr>
          <w:spacing w:val="-7"/>
          <w:sz w:val="22"/>
        </w:rPr>
        <w:t> </w:t>
      </w:r>
      <w:r>
        <w:rPr>
          <w:sz w:val="22"/>
        </w:rPr>
        <w:t>Additional City Civil and Sessions Judge and to remand the suit to the trial court by impleading GLSP as a defendant. Currently, the matter is in the admission stage and the High Court of Karnataka has requested</w:t>
      </w:r>
      <w:r>
        <w:rPr>
          <w:spacing w:val="-10"/>
          <w:sz w:val="22"/>
        </w:rPr>
        <w:t> </w:t>
      </w:r>
      <w:r>
        <w:rPr>
          <w:sz w:val="22"/>
        </w:rPr>
        <w:t>that</w:t>
      </w:r>
      <w:r>
        <w:rPr>
          <w:spacing w:val="-7"/>
          <w:sz w:val="22"/>
        </w:rPr>
        <w:t> </w:t>
      </w:r>
      <w:r>
        <w:rPr>
          <w:sz w:val="22"/>
        </w:rPr>
        <w:t>the</w:t>
      </w:r>
      <w:r>
        <w:rPr>
          <w:spacing w:val="-7"/>
          <w:sz w:val="22"/>
        </w:rPr>
        <w:t> </w:t>
      </w:r>
      <w:r>
        <w:rPr>
          <w:sz w:val="22"/>
        </w:rPr>
        <w:t>lower</w:t>
      </w:r>
      <w:r>
        <w:rPr>
          <w:spacing w:val="-10"/>
          <w:sz w:val="22"/>
        </w:rPr>
        <w:t> </w:t>
      </w:r>
      <w:r>
        <w:rPr>
          <w:sz w:val="22"/>
        </w:rPr>
        <w:t>court</w:t>
      </w:r>
      <w:r>
        <w:rPr>
          <w:spacing w:val="-8"/>
          <w:sz w:val="22"/>
        </w:rPr>
        <w:t> </w:t>
      </w:r>
      <w:r>
        <w:rPr>
          <w:sz w:val="22"/>
        </w:rPr>
        <w:t>records</w:t>
      </w:r>
      <w:r>
        <w:rPr>
          <w:spacing w:val="-6"/>
          <w:sz w:val="22"/>
        </w:rPr>
        <w:t> </w:t>
      </w:r>
      <w:r>
        <w:rPr>
          <w:sz w:val="22"/>
        </w:rPr>
        <w:t>to</w:t>
      </w:r>
      <w:r>
        <w:rPr>
          <w:spacing w:val="-7"/>
          <w:sz w:val="22"/>
        </w:rPr>
        <w:t> </w:t>
      </w:r>
      <w:r>
        <w:rPr>
          <w:sz w:val="22"/>
        </w:rPr>
        <w:t>be</w:t>
      </w:r>
      <w:r>
        <w:rPr>
          <w:spacing w:val="-8"/>
          <w:sz w:val="22"/>
        </w:rPr>
        <w:t> </w:t>
      </w:r>
      <w:r>
        <w:rPr>
          <w:sz w:val="22"/>
        </w:rPr>
        <w:t>produced</w:t>
      </w:r>
      <w:r>
        <w:rPr>
          <w:spacing w:val="-6"/>
          <w:sz w:val="22"/>
        </w:rPr>
        <w:t> </w:t>
      </w:r>
      <w:r>
        <w:rPr>
          <w:sz w:val="22"/>
        </w:rPr>
        <w:t>before</w:t>
      </w:r>
      <w:r>
        <w:rPr>
          <w:spacing w:val="-8"/>
          <w:sz w:val="22"/>
        </w:rPr>
        <w:t> </w:t>
      </w:r>
      <w:r>
        <w:rPr>
          <w:sz w:val="22"/>
        </w:rPr>
        <w:t>it.</w:t>
      </w:r>
    </w:p>
    <w:p>
      <w:pPr>
        <w:pStyle w:val="BodyText"/>
        <w:spacing w:before="2"/>
        <w:rPr>
          <w:sz w:val="23"/>
        </w:rPr>
      </w:pPr>
    </w:p>
    <w:p>
      <w:pPr>
        <w:pStyle w:val="BodyText"/>
        <w:tabs>
          <w:tab w:pos="1131" w:val="left" w:leader="none"/>
        </w:tabs>
        <w:spacing w:line="244" w:lineRule="auto"/>
        <w:ind w:left="1131" w:right="679" w:hanging="452"/>
      </w:pPr>
      <w:r>
        <w:rPr/>
        <w:t>I.</w:t>
        <w:tab/>
        <w:t>Material</w:t>
      </w:r>
      <w:r>
        <w:rPr>
          <w:spacing w:val="-36"/>
        </w:rPr>
        <w:t> </w:t>
      </w:r>
      <w:r>
        <w:rPr/>
        <w:t>litigation</w:t>
      </w:r>
      <w:r>
        <w:rPr>
          <w:spacing w:val="-37"/>
        </w:rPr>
        <w:t> </w:t>
      </w:r>
      <w:r>
        <w:rPr/>
        <w:t>and</w:t>
      </w:r>
      <w:r>
        <w:rPr>
          <w:spacing w:val="-36"/>
        </w:rPr>
        <w:t> </w:t>
      </w:r>
      <w:r>
        <w:rPr/>
        <w:t>regulatory</w:t>
      </w:r>
      <w:r>
        <w:rPr>
          <w:spacing w:val="-36"/>
        </w:rPr>
        <w:t> </w:t>
      </w:r>
      <w:r>
        <w:rPr/>
        <w:t>action</w:t>
      </w:r>
      <w:r>
        <w:rPr>
          <w:spacing w:val="-36"/>
        </w:rPr>
        <w:t> </w:t>
      </w:r>
      <w:r>
        <w:rPr/>
        <w:t>pending</w:t>
      </w:r>
      <w:r>
        <w:rPr>
          <w:spacing w:val="-37"/>
        </w:rPr>
        <w:t> </w:t>
      </w:r>
      <w:r>
        <w:rPr/>
        <w:t>against</w:t>
      </w:r>
      <w:r>
        <w:rPr>
          <w:spacing w:val="-36"/>
        </w:rPr>
        <w:t> </w:t>
      </w:r>
      <w:r>
        <w:rPr/>
        <w:t>the</w:t>
      </w:r>
      <w:r>
        <w:rPr>
          <w:spacing w:val="-37"/>
        </w:rPr>
        <w:t> </w:t>
      </w:r>
      <w:r>
        <w:rPr/>
        <w:t>Embassy</w:t>
      </w:r>
      <w:r>
        <w:rPr>
          <w:spacing w:val="-35"/>
        </w:rPr>
        <w:t> </w:t>
      </w:r>
      <w:r>
        <w:rPr/>
        <w:t>REIT</w:t>
      </w:r>
      <w:r>
        <w:rPr>
          <w:spacing w:val="-36"/>
        </w:rPr>
        <w:t> </w:t>
      </w:r>
      <w:r>
        <w:rPr/>
        <w:t>(Asset</w:t>
      </w:r>
      <w:r>
        <w:rPr>
          <w:spacing w:val="-37"/>
        </w:rPr>
        <w:t> </w:t>
      </w:r>
      <w:r>
        <w:rPr/>
        <w:t>SPVs</w:t>
      </w:r>
      <w:r>
        <w:rPr>
          <w:spacing w:val="-36"/>
        </w:rPr>
        <w:t> </w:t>
      </w:r>
      <w:r>
        <w:rPr/>
        <w:t>and</w:t>
      </w:r>
      <w:r>
        <w:rPr>
          <w:spacing w:val="-36"/>
        </w:rPr>
        <w:t> </w:t>
      </w:r>
      <w:r>
        <w:rPr/>
        <w:t>the</w:t>
      </w:r>
      <w:r>
        <w:rPr>
          <w:spacing w:val="-37"/>
        </w:rPr>
        <w:t> </w:t>
      </w:r>
      <w:r>
        <w:rPr/>
        <w:t>Investment Entity)</w:t>
      </w:r>
    </w:p>
    <w:p>
      <w:pPr>
        <w:spacing w:line="247" w:lineRule="auto" w:before="213"/>
        <w:ind w:left="1311" w:right="678" w:firstLine="0"/>
        <w:jc w:val="both"/>
        <w:rPr>
          <w:i/>
          <w:sz w:val="22"/>
        </w:rPr>
      </w:pPr>
      <w:r>
        <w:rPr>
          <w:i/>
          <w:sz w:val="22"/>
        </w:rPr>
        <w:t>With</w:t>
      </w:r>
      <w:r>
        <w:rPr>
          <w:i/>
          <w:spacing w:val="-28"/>
          <w:sz w:val="22"/>
        </w:rPr>
        <w:t> </w:t>
      </w:r>
      <w:r>
        <w:rPr>
          <w:i/>
          <w:sz w:val="22"/>
        </w:rPr>
        <w:t>respect</w:t>
      </w:r>
      <w:r>
        <w:rPr>
          <w:i/>
          <w:spacing w:val="-27"/>
          <w:sz w:val="22"/>
        </w:rPr>
        <w:t> </w:t>
      </w:r>
      <w:r>
        <w:rPr>
          <w:i/>
          <w:sz w:val="22"/>
        </w:rPr>
        <w:t>to</w:t>
      </w:r>
      <w:r>
        <w:rPr>
          <w:i/>
          <w:spacing w:val="-29"/>
          <w:sz w:val="22"/>
        </w:rPr>
        <w:t> </w:t>
      </w:r>
      <w:r>
        <w:rPr>
          <w:i/>
          <w:sz w:val="22"/>
        </w:rPr>
        <w:t>the</w:t>
      </w:r>
      <w:r>
        <w:rPr>
          <w:i/>
          <w:spacing w:val="-26"/>
          <w:sz w:val="22"/>
        </w:rPr>
        <w:t> </w:t>
      </w:r>
      <w:r>
        <w:rPr>
          <w:i/>
          <w:sz w:val="22"/>
        </w:rPr>
        <w:t>Asset</w:t>
      </w:r>
      <w:r>
        <w:rPr>
          <w:i/>
          <w:spacing w:val="-29"/>
          <w:sz w:val="22"/>
        </w:rPr>
        <w:t> </w:t>
      </w:r>
      <w:r>
        <w:rPr>
          <w:i/>
          <w:sz w:val="22"/>
        </w:rPr>
        <w:t>SPVs</w:t>
      </w:r>
      <w:r>
        <w:rPr>
          <w:i/>
          <w:spacing w:val="-27"/>
          <w:sz w:val="22"/>
        </w:rPr>
        <w:t> </w:t>
      </w:r>
      <w:r>
        <w:rPr>
          <w:i/>
          <w:sz w:val="22"/>
        </w:rPr>
        <w:t>and</w:t>
      </w:r>
      <w:r>
        <w:rPr>
          <w:i/>
          <w:spacing w:val="-28"/>
          <w:sz w:val="22"/>
        </w:rPr>
        <w:t> </w:t>
      </w:r>
      <w:r>
        <w:rPr>
          <w:i/>
          <w:sz w:val="22"/>
        </w:rPr>
        <w:t>the</w:t>
      </w:r>
      <w:r>
        <w:rPr>
          <w:i/>
          <w:spacing w:val="-27"/>
          <w:sz w:val="22"/>
        </w:rPr>
        <w:t> </w:t>
      </w:r>
      <w:r>
        <w:rPr>
          <w:i/>
          <w:sz w:val="22"/>
        </w:rPr>
        <w:t>Investment</w:t>
      </w:r>
      <w:r>
        <w:rPr>
          <w:i/>
          <w:spacing w:val="-28"/>
          <w:sz w:val="22"/>
        </w:rPr>
        <w:t> </w:t>
      </w:r>
      <w:r>
        <w:rPr>
          <w:i/>
          <w:sz w:val="22"/>
        </w:rPr>
        <w:t>Entity,</w:t>
      </w:r>
      <w:r>
        <w:rPr>
          <w:i/>
          <w:spacing w:val="-26"/>
          <w:sz w:val="22"/>
        </w:rPr>
        <w:t> </w:t>
      </w:r>
      <w:r>
        <w:rPr>
          <w:i/>
          <w:sz w:val="22"/>
        </w:rPr>
        <w:t>details</w:t>
      </w:r>
      <w:r>
        <w:rPr>
          <w:i/>
          <w:spacing w:val="-29"/>
          <w:sz w:val="22"/>
        </w:rPr>
        <w:t> </w:t>
      </w:r>
      <w:r>
        <w:rPr>
          <w:i/>
          <w:sz w:val="22"/>
        </w:rPr>
        <w:t>of</w:t>
      </w:r>
      <w:r>
        <w:rPr>
          <w:i/>
          <w:spacing w:val="-28"/>
          <w:sz w:val="22"/>
        </w:rPr>
        <w:t> </w:t>
      </w:r>
      <w:r>
        <w:rPr>
          <w:i/>
          <w:sz w:val="22"/>
        </w:rPr>
        <w:t>all</w:t>
      </w:r>
      <w:r>
        <w:rPr>
          <w:i/>
          <w:spacing w:val="-28"/>
          <w:sz w:val="22"/>
        </w:rPr>
        <w:t> </w:t>
      </w:r>
      <w:r>
        <w:rPr>
          <w:i/>
          <w:sz w:val="22"/>
        </w:rPr>
        <w:t>pending</w:t>
      </w:r>
      <w:r>
        <w:rPr>
          <w:i/>
          <w:spacing w:val="-28"/>
          <w:sz w:val="22"/>
        </w:rPr>
        <w:t> </w:t>
      </w:r>
      <w:r>
        <w:rPr>
          <w:i/>
          <w:sz w:val="22"/>
        </w:rPr>
        <w:t>regulatory</w:t>
      </w:r>
      <w:r>
        <w:rPr>
          <w:i/>
          <w:spacing w:val="-27"/>
          <w:sz w:val="22"/>
        </w:rPr>
        <w:t> </w:t>
      </w:r>
      <w:r>
        <w:rPr>
          <w:i/>
          <w:sz w:val="22"/>
        </w:rPr>
        <w:t>actions</w:t>
      </w:r>
      <w:r>
        <w:rPr>
          <w:i/>
          <w:spacing w:val="-27"/>
          <w:sz w:val="22"/>
        </w:rPr>
        <w:t> </w:t>
      </w:r>
      <w:r>
        <w:rPr>
          <w:i/>
          <w:sz w:val="22"/>
        </w:rPr>
        <w:t>and </w:t>
      </w:r>
      <w:r>
        <w:rPr>
          <w:i/>
          <w:sz w:val="22"/>
        </w:rPr>
        <w:t>criminal</w:t>
      </w:r>
      <w:r>
        <w:rPr>
          <w:i/>
          <w:spacing w:val="-17"/>
          <w:sz w:val="22"/>
        </w:rPr>
        <w:t> </w:t>
      </w:r>
      <w:r>
        <w:rPr>
          <w:i/>
          <w:sz w:val="22"/>
        </w:rPr>
        <w:t>matters</w:t>
      </w:r>
      <w:r>
        <w:rPr>
          <w:i/>
          <w:spacing w:val="-18"/>
          <w:sz w:val="22"/>
        </w:rPr>
        <w:t> </w:t>
      </w:r>
      <w:r>
        <w:rPr>
          <w:i/>
          <w:sz w:val="22"/>
        </w:rPr>
        <w:t>against</w:t>
      </w:r>
      <w:r>
        <w:rPr>
          <w:i/>
          <w:spacing w:val="-16"/>
          <w:sz w:val="22"/>
        </w:rPr>
        <w:t> </w:t>
      </w:r>
      <w:r>
        <w:rPr>
          <w:i/>
          <w:sz w:val="22"/>
        </w:rPr>
        <w:t>the</w:t>
      </w:r>
      <w:r>
        <w:rPr>
          <w:i/>
          <w:spacing w:val="-18"/>
          <w:sz w:val="22"/>
        </w:rPr>
        <w:t> </w:t>
      </w:r>
      <w:r>
        <w:rPr>
          <w:i/>
          <w:sz w:val="22"/>
        </w:rPr>
        <w:t>Asset</w:t>
      </w:r>
      <w:r>
        <w:rPr>
          <w:i/>
          <w:spacing w:val="-18"/>
          <w:sz w:val="22"/>
        </w:rPr>
        <w:t> </w:t>
      </w:r>
      <w:r>
        <w:rPr>
          <w:i/>
          <w:sz w:val="22"/>
        </w:rPr>
        <w:t>SPVs</w:t>
      </w:r>
      <w:r>
        <w:rPr>
          <w:i/>
          <w:spacing w:val="-16"/>
          <w:sz w:val="22"/>
        </w:rPr>
        <w:t> </w:t>
      </w:r>
      <w:r>
        <w:rPr>
          <w:i/>
          <w:sz w:val="22"/>
        </w:rPr>
        <w:t>and</w:t>
      </w:r>
      <w:r>
        <w:rPr>
          <w:i/>
          <w:spacing w:val="-16"/>
          <w:sz w:val="22"/>
        </w:rPr>
        <w:t> </w:t>
      </w:r>
      <w:r>
        <w:rPr>
          <w:i/>
          <w:sz w:val="22"/>
        </w:rPr>
        <w:t>the</w:t>
      </w:r>
      <w:r>
        <w:rPr>
          <w:i/>
          <w:spacing w:val="-16"/>
          <w:sz w:val="22"/>
        </w:rPr>
        <w:t> </w:t>
      </w:r>
      <w:r>
        <w:rPr>
          <w:i/>
          <w:sz w:val="22"/>
        </w:rPr>
        <w:t>Investment</w:t>
      </w:r>
      <w:r>
        <w:rPr>
          <w:i/>
          <w:spacing w:val="-17"/>
          <w:sz w:val="22"/>
        </w:rPr>
        <w:t> </w:t>
      </w:r>
      <w:r>
        <w:rPr>
          <w:i/>
          <w:sz w:val="22"/>
        </w:rPr>
        <w:t>Entity</w:t>
      </w:r>
      <w:r>
        <w:rPr>
          <w:i/>
          <w:spacing w:val="-16"/>
          <w:sz w:val="22"/>
        </w:rPr>
        <w:t> </w:t>
      </w:r>
      <w:r>
        <w:rPr>
          <w:i/>
          <w:sz w:val="22"/>
        </w:rPr>
        <w:t>have</w:t>
      </w:r>
      <w:r>
        <w:rPr>
          <w:i/>
          <w:spacing w:val="-15"/>
          <w:sz w:val="22"/>
        </w:rPr>
        <w:t> </w:t>
      </w:r>
      <w:r>
        <w:rPr>
          <w:i/>
          <w:sz w:val="22"/>
        </w:rPr>
        <w:t>been</w:t>
      </w:r>
      <w:r>
        <w:rPr>
          <w:i/>
          <w:spacing w:val="-19"/>
          <w:sz w:val="22"/>
        </w:rPr>
        <w:t> </w:t>
      </w:r>
      <w:r>
        <w:rPr>
          <w:i/>
          <w:sz w:val="22"/>
        </w:rPr>
        <w:t>disclosed.</w:t>
      </w:r>
    </w:p>
    <w:p>
      <w:pPr>
        <w:spacing w:line="247" w:lineRule="auto" w:before="209"/>
        <w:ind w:left="1311" w:right="674" w:firstLine="0"/>
        <w:jc w:val="both"/>
        <w:rPr>
          <w:i/>
          <w:sz w:val="22"/>
        </w:rPr>
      </w:pPr>
      <w:r>
        <w:rPr>
          <w:i/>
          <w:sz w:val="22"/>
        </w:rPr>
        <w:t>For the purpose of pending civil/ commercial matters against the Embassy REIT (Asset SPVs and </w:t>
      </w:r>
      <w:r>
        <w:rPr>
          <w:i/>
          <w:w w:val="95"/>
          <w:sz w:val="22"/>
        </w:rPr>
        <w:t>Investment</w:t>
      </w:r>
      <w:r>
        <w:rPr>
          <w:i/>
          <w:spacing w:val="-12"/>
          <w:w w:val="95"/>
          <w:sz w:val="22"/>
        </w:rPr>
        <w:t> </w:t>
      </w:r>
      <w:r>
        <w:rPr>
          <w:i/>
          <w:w w:val="95"/>
          <w:sz w:val="22"/>
        </w:rPr>
        <w:t>Entity)</w:t>
      </w:r>
      <w:r>
        <w:rPr>
          <w:i/>
          <w:spacing w:val="-9"/>
          <w:w w:val="95"/>
          <w:sz w:val="22"/>
        </w:rPr>
        <w:t> </w:t>
      </w:r>
      <w:r>
        <w:rPr>
          <w:i/>
          <w:w w:val="95"/>
          <w:sz w:val="22"/>
        </w:rPr>
        <w:t>and</w:t>
      </w:r>
      <w:r>
        <w:rPr>
          <w:i/>
          <w:spacing w:val="-9"/>
          <w:w w:val="95"/>
          <w:sz w:val="22"/>
        </w:rPr>
        <w:t> </w:t>
      </w:r>
      <w:r>
        <w:rPr>
          <w:i/>
          <w:w w:val="95"/>
          <w:sz w:val="22"/>
        </w:rPr>
        <w:t>Associates</w:t>
      </w:r>
      <w:r>
        <w:rPr>
          <w:i/>
          <w:spacing w:val="-7"/>
          <w:w w:val="95"/>
          <w:sz w:val="22"/>
        </w:rPr>
        <w:t> </w:t>
      </w:r>
      <w:r>
        <w:rPr>
          <w:i/>
          <w:w w:val="95"/>
          <w:sz w:val="22"/>
        </w:rPr>
        <w:t>of</w:t>
      </w:r>
      <w:r>
        <w:rPr>
          <w:i/>
          <w:spacing w:val="-8"/>
          <w:w w:val="95"/>
          <w:sz w:val="22"/>
        </w:rPr>
        <w:t> </w:t>
      </w:r>
      <w:r>
        <w:rPr>
          <w:i/>
          <w:w w:val="95"/>
          <w:sz w:val="22"/>
        </w:rPr>
        <w:t>the</w:t>
      </w:r>
      <w:r>
        <w:rPr>
          <w:i/>
          <w:spacing w:val="-9"/>
          <w:w w:val="95"/>
          <w:sz w:val="22"/>
        </w:rPr>
        <w:t> </w:t>
      </w:r>
      <w:r>
        <w:rPr>
          <w:i/>
          <w:w w:val="95"/>
          <w:sz w:val="22"/>
        </w:rPr>
        <w:t>Embassy</w:t>
      </w:r>
      <w:r>
        <w:rPr>
          <w:i/>
          <w:spacing w:val="-8"/>
          <w:w w:val="95"/>
          <w:sz w:val="22"/>
        </w:rPr>
        <w:t> </w:t>
      </w:r>
      <w:r>
        <w:rPr>
          <w:i/>
          <w:w w:val="95"/>
          <w:sz w:val="22"/>
        </w:rPr>
        <w:t>REIT,</w:t>
      </w:r>
      <w:r>
        <w:rPr>
          <w:i/>
          <w:spacing w:val="-8"/>
          <w:w w:val="95"/>
          <w:sz w:val="22"/>
        </w:rPr>
        <w:t> </w:t>
      </w:r>
      <w:r>
        <w:rPr>
          <w:i/>
          <w:w w:val="95"/>
          <w:sz w:val="22"/>
        </w:rPr>
        <w:t>matters</w:t>
      </w:r>
      <w:r>
        <w:rPr>
          <w:i/>
          <w:spacing w:val="-10"/>
          <w:w w:val="95"/>
          <w:sz w:val="22"/>
        </w:rPr>
        <w:t> </w:t>
      </w:r>
      <w:r>
        <w:rPr>
          <w:i/>
          <w:w w:val="95"/>
          <w:sz w:val="22"/>
        </w:rPr>
        <w:t>exceeding</w:t>
      </w:r>
      <w:r>
        <w:rPr>
          <w:i/>
          <w:spacing w:val="-11"/>
          <w:w w:val="95"/>
          <w:sz w:val="22"/>
        </w:rPr>
        <w:t> </w:t>
      </w:r>
      <w:r>
        <w:rPr>
          <w:i/>
          <w:w w:val="95"/>
          <w:sz w:val="22"/>
        </w:rPr>
        <w:t>[</w:t>
      </w:r>
      <w:r>
        <w:rPr>
          <w:rFonts w:ascii="Arial" w:hAnsi="Arial"/>
          <w:i/>
          <w:w w:val="95"/>
          <w:sz w:val="22"/>
        </w:rPr>
        <w:t>₹●</w:t>
      </w:r>
      <w:r>
        <w:rPr>
          <w:i/>
          <w:w w:val="95"/>
          <w:sz w:val="22"/>
        </w:rPr>
        <w:t>million]</w:t>
      </w:r>
      <w:r>
        <w:rPr>
          <w:i/>
          <w:spacing w:val="-8"/>
          <w:w w:val="95"/>
          <w:sz w:val="22"/>
        </w:rPr>
        <w:t> </w:t>
      </w:r>
      <w:r>
        <w:rPr>
          <w:i/>
          <w:w w:val="95"/>
          <w:sz w:val="22"/>
        </w:rPr>
        <w:t>(being</w:t>
      </w:r>
      <w:r>
        <w:rPr>
          <w:i/>
          <w:spacing w:val="-11"/>
          <w:w w:val="95"/>
          <w:sz w:val="22"/>
        </w:rPr>
        <w:t> </w:t>
      </w:r>
      <w:r>
        <w:rPr>
          <w:i/>
          <w:w w:val="95"/>
          <w:sz w:val="22"/>
        </w:rPr>
        <w:t>[</w:t>
      </w:r>
      <w:r>
        <w:rPr>
          <w:rFonts w:ascii="Arial" w:hAnsi="Arial"/>
          <w:i/>
          <w:w w:val="95"/>
          <w:sz w:val="22"/>
        </w:rPr>
        <w:t>●</w:t>
      </w:r>
      <w:r>
        <w:rPr>
          <w:i/>
          <w:w w:val="95"/>
          <w:sz w:val="22"/>
        </w:rPr>
        <w:t>%]</w:t>
      </w:r>
      <w:r>
        <w:rPr>
          <w:i/>
          <w:spacing w:val="-11"/>
          <w:w w:val="95"/>
          <w:sz w:val="22"/>
        </w:rPr>
        <w:t> </w:t>
      </w:r>
      <w:r>
        <w:rPr>
          <w:i/>
          <w:w w:val="95"/>
          <w:sz w:val="22"/>
        </w:rPr>
        <w:t>of</w:t>
      </w:r>
      <w:r>
        <w:rPr>
          <w:i/>
          <w:spacing w:val="-8"/>
          <w:w w:val="95"/>
          <w:sz w:val="22"/>
        </w:rPr>
        <w:t> </w:t>
      </w:r>
      <w:r>
        <w:rPr>
          <w:i/>
          <w:spacing w:val="-15"/>
          <w:w w:val="95"/>
          <w:sz w:val="22"/>
        </w:rPr>
        <w:t>the </w:t>
      </w:r>
      <w:r>
        <w:rPr>
          <w:i/>
          <w:sz w:val="22"/>
        </w:rPr>
        <w:t>consolidated income of the Embassy REIT as of March 31, 2020) have been considered material</w:t>
      </w:r>
      <w:r>
        <w:rPr>
          <w:i/>
          <w:spacing w:val="-27"/>
          <w:sz w:val="22"/>
        </w:rPr>
        <w:t> </w:t>
      </w:r>
      <w:r>
        <w:rPr>
          <w:i/>
          <w:sz w:val="22"/>
        </w:rPr>
        <w:t>and proceedings</w:t>
      </w:r>
      <w:r>
        <w:rPr>
          <w:i/>
          <w:spacing w:val="-16"/>
          <w:sz w:val="22"/>
        </w:rPr>
        <w:t> </w:t>
      </w:r>
      <w:r>
        <w:rPr>
          <w:i/>
          <w:sz w:val="22"/>
        </w:rPr>
        <w:t>where</w:t>
      </w:r>
      <w:r>
        <w:rPr>
          <w:i/>
          <w:spacing w:val="-14"/>
          <w:sz w:val="22"/>
        </w:rPr>
        <w:t> </w:t>
      </w:r>
      <w:r>
        <w:rPr>
          <w:i/>
          <w:sz w:val="22"/>
        </w:rPr>
        <w:t>the</w:t>
      </w:r>
      <w:r>
        <w:rPr>
          <w:i/>
          <w:spacing w:val="-15"/>
          <w:sz w:val="22"/>
        </w:rPr>
        <w:t> </w:t>
      </w:r>
      <w:r>
        <w:rPr>
          <w:i/>
          <w:sz w:val="22"/>
        </w:rPr>
        <w:t>amount</w:t>
      </w:r>
      <w:r>
        <w:rPr>
          <w:i/>
          <w:spacing w:val="-15"/>
          <w:sz w:val="22"/>
        </w:rPr>
        <w:t> </w:t>
      </w:r>
      <w:r>
        <w:rPr>
          <w:i/>
          <w:sz w:val="22"/>
        </w:rPr>
        <w:t>is</w:t>
      </w:r>
      <w:r>
        <w:rPr>
          <w:i/>
          <w:spacing w:val="-15"/>
          <w:sz w:val="22"/>
        </w:rPr>
        <w:t> </w:t>
      </w:r>
      <w:r>
        <w:rPr>
          <w:i/>
          <w:sz w:val="22"/>
        </w:rPr>
        <w:t>not</w:t>
      </w:r>
      <w:r>
        <w:rPr>
          <w:i/>
          <w:spacing w:val="-15"/>
          <w:sz w:val="22"/>
        </w:rPr>
        <w:t> </w:t>
      </w:r>
      <w:r>
        <w:rPr>
          <w:i/>
          <w:sz w:val="22"/>
        </w:rPr>
        <w:t>determinable</w:t>
      </w:r>
      <w:r>
        <w:rPr>
          <w:i/>
          <w:spacing w:val="-14"/>
          <w:sz w:val="22"/>
        </w:rPr>
        <w:t> </w:t>
      </w:r>
      <w:r>
        <w:rPr>
          <w:i/>
          <w:sz w:val="22"/>
        </w:rPr>
        <w:t>but</w:t>
      </w:r>
      <w:r>
        <w:rPr>
          <w:i/>
          <w:spacing w:val="-15"/>
          <w:sz w:val="22"/>
        </w:rPr>
        <w:t> </w:t>
      </w:r>
      <w:r>
        <w:rPr>
          <w:i/>
          <w:sz w:val="22"/>
        </w:rPr>
        <w:t>the</w:t>
      </w:r>
      <w:r>
        <w:rPr>
          <w:i/>
          <w:spacing w:val="-14"/>
          <w:sz w:val="22"/>
        </w:rPr>
        <w:t> </w:t>
      </w:r>
      <w:r>
        <w:rPr>
          <w:i/>
          <w:sz w:val="22"/>
        </w:rPr>
        <w:t>proceeding</w:t>
      </w:r>
      <w:r>
        <w:rPr>
          <w:i/>
          <w:spacing w:val="-16"/>
          <w:sz w:val="22"/>
        </w:rPr>
        <w:t> </w:t>
      </w:r>
      <w:r>
        <w:rPr>
          <w:i/>
          <w:sz w:val="22"/>
        </w:rPr>
        <w:t>is</w:t>
      </w:r>
      <w:r>
        <w:rPr>
          <w:i/>
          <w:spacing w:val="-15"/>
          <w:sz w:val="22"/>
        </w:rPr>
        <w:t> </w:t>
      </w:r>
      <w:r>
        <w:rPr>
          <w:i/>
          <w:sz w:val="22"/>
        </w:rPr>
        <w:t>considered</w:t>
      </w:r>
      <w:r>
        <w:rPr>
          <w:i/>
          <w:spacing w:val="-14"/>
          <w:sz w:val="22"/>
        </w:rPr>
        <w:t> </w:t>
      </w:r>
      <w:r>
        <w:rPr>
          <w:i/>
          <w:sz w:val="22"/>
        </w:rPr>
        <w:t>material</w:t>
      </w:r>
      <w:r>
        <w:rPr>
          <w:i/>
          <w:spacing w:val="-15"/>
          <w:sz w:val="22"/>
        </w:rPr>
        <w:t> </w:t>
      </w:r>
      <w:r>
        <w:rPr>
          <w:i/>
          <w:sz w:val="22"/>
        </w:rPr>
        <w:t>by</w:t>
      </w:r>
      <w:r>
        <w:rPr>
          <w:i/>
          <w:spacing w:val="-15"/>
          <w:sz w:val="22"/>
        </w:rPr>
        <w:t> </w:t>
      </w:r>
      <w:r>
        <w:rPr>
          <w:i/>
          <w:spacing w:val="-2"/>
          <w:sz w:val="22"/>
        </w:rPr>
        <w:t>the </w:t>
      </w:r>
      <w:r>
        <w:rPr>
          <w:i/>
          <w:sz w:val="22"/>
        </w:rPr>
        <w:t>Manager</w:t>
      </w:r>
      <w:r>
        <w:rPr>
          <w:i/>
          <w:spacing w:val="-11"/>
          <w:sz w:val="22"/>
        </w:rPr>
        <w:t> </w:t>
      </w:r>
      <w:r>
        <w:rPr>
          <w:i/>
          <w:sz w:val="22"/>
        </w:rPr>
        <w:t>from</w:t>
      </w:r>
      <w:r>
        <w:rPr>
          <w:i/>
          <w:spacing w:val="-10"/>
          <w:sz w:val="22"/>
        </w:rPr>
        <w:t> </w:t>
      </w:r>
      <w:r>
        <w:rPr>
          <w:i/>
          <w:sz w:val="22"/>
        </w:rPr>
        <w:t>the</w:t>
      </w:r>
      <w:r>
        <w:rPr>
          <w:i/>
          <w:spacing w:val="-9"/>
          <w:sz w:val="22"/>
        </w:rPr>
        <w:t> </w:t>
      </w:r>
      <w:r>
        <w:rPr>
          <w:i/>
          <w:sz w:val="22"/>
        </w:rPr>
        <w:t>perspective</w:t>
      </w:r>
      <w:r>
        <w:rPr>
          <w:i/>
          <w:spacing w:val="-8"/>
          <w:sz w:val="22"/>
        </w:rPr>
        <w:t> </w:t>
      </w:r>
      <w:r>
        <w:rPr>
          <w:i/>
          <w:sz w:val="22"/>
        </w:rPr>
        <w:t>of</w:t>
      </w:r>
      <w:r>
        <w:rPr>
          <w:i/>
          <w:spacing w:val="-6"/>
          <w:sz w:val="22"/>
        </w:rPr>
        <w:t> </w:t>
      </w:r>
      <w:r>
        <w:rPr>
          <w:i/>
          <w:sz w:val="22"/>
        </w:rPr>
        <w:t>the</w:t>
      </w:r>
      <w:r>
        <w:rPr>
          <w:i/>
          <w:spacing w:val="-9"/>
          <w:sz w:val="22"/>
        </w:rPr>
        <w:t> </w:t>
      </w:r>
      <w:r>
        <w:rPr>
          <w:i/>
          <w:sz w:val="22"/>
        </w:rPr>
        <w:t>Embassy</w:t>
      </w:r>
      <w:r>
        <w:rPr>
          <w:i/>
          <w:spacing w:val="-7"/>
          <w:sz w:val="22"/>
        </w:rPr>
        <w:t> </w:t>
      </w:r>
      <w:r>
        <w:rPr>
          <w:i/>
          <w:sz w:val="22"/>
        </w:rPr>
        <w:t>REIT</w:t>
      </w:r>
      <w:r>
        <w:rPr>
          <w:i/>
          <w:spacing w:val="-10"/>
          <w:sz w:val="22"/>
        </w:rPr>
        <w:t> </w:t>
      </w:r>
      <w:r>
        <w:rPr>
          <w:i/>
          <w:sz w:val="22"/>
        </w:rPr>
        <w:t>has</w:t>
      </w:r>
      <w:r>
        <w:rPr>
          <w:i/>
          <w:spacing w:val="-7"/>
          <w:sz w:val="22"/>
        </w:rPr>
        <w:t> </w:t>
      </w:r>
      <w:r>
        <w:rPr>
          <w:i/>
          <w:sz w:val="22"/>
        </w:rPr>
        <w:t>been</w:t>
      </w:r>
      <w:r>
        <w:rPr>
          <w:i/>
          <w:spacing w:val="-7"/>
          <w:sz w:val="22"/>
        </w:rPr>
        <w:t> </w:t>
      </w:r>
      <w:r>
        <w:rPr>
          <w:i/>
          <w:sz w:val="22"/>
        </w:rPr>
        <w:t>disclosed.</w:t>
      </w:r>
    </w:p>
    <w:p>
      <w:pPr>
        <w:spacing w:line="247" w:lineRule="auto" w:before="210"/>
        <w:ind w:left="1311" w:right="673" w:firstLine="0"/>
        <w:jc w:val="both"/>
        <w:rPr>
          <w:i/>
          <w:sz w:val="22"/>
        </w:rPr>
      </w:pPr>
      <w:r>
        <w:rPr>
          <w:i/>
          <w:sz w:val="22"/>
        </w:rPr>
        <w:t>Other</w:t>
      </w:r>
      <w:r>
        <w:rPr>
          <w:i/>
          <w:spacing w:val="-30"/>
          <w:sz w:val="22"/>
        </w:rPr>
        <w:t> </w:t>
      </w:r>
      <w:r>
        <w:rPr>
          <w:i/>
          <w:sz w:val="22"/>
        </w:rPr>
        <w:t>than</w:t>
      </w:r>
      <w:r>
        <w:rPr>
          <w:i/>
          <w:spacing w:val="-30"/>
          <w:sz w:val="22"/>
        </w:rPr>
        <w:t> </w:t>
      </w:r>
      <w:r>
        <w:rPr>
          <w:i/>
          <w:sz w:val="22"/>
        </w:rPr>
        <w:t>as</w:t>
      </w:r>
      <w:r>
        <w:rPr>
          <w:i/>
          <w:spacing w:val="-29"/>
          <w:sz w:val="22"/>
        </w:rPr>
        <w:t> </w:t>
      </w:r>
      <w:r>
        <w:rPr>
          <w:i/>
          <w:sz w:val="22"/>
        </w:rPr>
        <w:t>disclosed</w:t>
      </w:r>
      <w:r>
        <w:rPr>
          <w:i/>
          <w:spacing w:val="-30"/>
          <w:sz w:val="22"/>
        </w:rPr>
        <w:t> </w:t>
      </w:r>
      <w:r>
        <w:rPr>
          <w:i/>
          <w:sz w:val="22"/>
        </w:rPr>
        <w:t>below,</w:t>
      </w:r>
      <w:r>
        <w:rPr>
          <w:i/>
          <w:spacing w:val="-29"/>
          <w:sz w:val="22"/>
        </w:rPr>
        <w:t> </w:t>
      </w:r>
      <w:r>
        <w:rPr>
          <w:i/>
          <w:sz w:val="22"/>
        </w:rPr>
        <w:t>there</w:t>
      </w:r>
      <w:r>
        <w:rPr>
          <w:i/>
          <w:spacing w:val="-29"/>
          <w:sz w:val="22"/>
        </w:rPr>
        <w:t> </w:t>
      </w:r>
      <w:r>
        <w:rPr>
          <w:i/>
          <w:sz w:val="22"/>
        </w:rPr>
        <w:t>are</w:t>
      </w:r>
      <w:r>
        <w:rPr>
          <w:i/>
          <w:spacing w:val="-32"/>
          <w:sz w:val="22"/>
        </w:rPr>
        <w:t> </w:t>
      </w:r>
      <w:r>
        <w:rPr>
          <w:i/>
          <w:sz w:val="22"/>
        </w:rPr>
        <w:t>no</w:t>
      </w:r>
      <w:r>
        <w:rPr>
          <w:i/>
          <w:spacing w:val="-29"/>
          <w:sz w:val="22"/>
        </w:rPr>
        <w:t> </w:t>
      </w:r>
      <w:r>
        <w:rPr>
          <w:i/>
          <w:sz w:val="22"/>
        </w:rPr>
        <w:t>pending</w:t>
      </w:r>
      <w:r>
        <w:rPr>
          <w:i/>
          <w:spacing w:val="-29"/>
          <w:sz w:val="22"/>
        </w:rPr>
        <w:t> </w:t>
      </w:r>
      <w:r>
        <w:rPr>
          <w:i/>
          <w:sz w:val="22"/>
        </w:rPr>
        <w:t>criminal</w:t>
      </w:r>
      <w:r>
        <w:rPr>
          <w:i/>
          <w:spacing w:val="-30"/>
          <w:sz w:val="22"/>
        </w:rPr>
        <w:t> </w:t>
      </w:r>
      <w:r>
        <w:rPr>
          <w:i/>
          <w:sz w:val="22"/>
        </w:rPr>
        <w:t>litigation,</w:t>
      </w:r>
      <w:r>
        <w:rPr>
          <w:i/>
          <w:spacing w:val="-29"/>
          <w:sz w:val="22"/>
        </w:rPr>
        <w:t> </w:t>
      </w:r>
      <w:r>
        <w:rPr>
          <w:i/>
          <w:sz w:val="22"/>
        </w:rPr>
        <w:t>regulatory</w:t>
      </w:r>
      <w:r>
        <w:rPr>
          <w:i/>
          <w:spacing w:val="-29"/>
          <w:sz w:val="22"/>
        </w:rPr>
        <w:t> </w:t>
      </w:r>
      <w:r>
        <w:rPr>
          <w:i/>
          <w:sz w:val="22"/>
        </w:rPr>
        <w:t>actions</w:t>
      </w:r>
      <w:r>
        <w:rPr>
          <w:i/>
          <w:spacing w:val="-30"/>
          <w:sz w:val="22"/>
        </w:rPr>
        <w:t> </w:t>
      </w:r>
      <w:r>
        <w:rPr>
          <w:i/>
          <w:sz w:val="22"/>
        </w:rPr>
        <w:t>or</w:t>
      </w:r>
      <w:r>
        <w:rPr>
          <w:i/>
          <w:spacing w:val="-30"/>
          <w:sz w:val="22"/>
        </w:rPr>
        <w:t> </w:t>
      </w:r>
      <w:r>
        <w:rPr>
          <w:i/>
          <w:sz w:val="22"/>
        </w:rPr>
        <w:t>material </w:t>
      </w:r>
      <w:r>
        <w:rPr>
          <w:i/>
          <w:sz w:val="22"/>
        </w:rPr>
        <w:t>civil/</w:t>
      </w:r>
      <w:r>
        <w:rPr>
          <w:i/>
          <w:spacing w:val="-39"/>
          <w:sz w:val="22"/>
        </w:rPr>
        <w:t> </w:t>
      </w:r>
      <w:r>
        <w:rPr>
          <w:i/>
          <w:sz w:val="22"/>
        </w:rPr>
        <w:t>commercial</w:t>
      </w:r>
      <w:r>
        <w:rPr>
          <w:i/>
          <w:spacing w:val="-39"/>
          <w:sz w:val="22"/>
        </w:rPr>
        <w:t> </w:t>
      </w:r>
      <w:r>
        <w:rPr>
          <w:i/>
          <w:sz w:val="22"/>
        </w:rPr>
        <w:t>matters</w:t>
      </w:r>
      <w:r>
        <w:rPr>
          <w:i/>
          <w:spacing w:val="-39"/>
          <w:sz w:val="22"/>
        </w:rPr>
        <w:t> </w:t>
      </w:r>
      <w:r>
        <w:rPr>
          <w:i/>
          <w:sz w:val="22"/>
        </w:rPr>
        <w:t>against</w:t>
      </w:r>
      <w:r>
        <w:rPr>
          <w:i/>
          <w:spacing w:val="-39"/>
          <w:sz w:val="22"/>
        </w:rPr>
        <w:t> </w:t>
      </w:r>
      <w:r>
        <w:rPr>
          <w:i/>
          <w:sz w:val="22"/>
        </w:rPr>
        <w:t>any</w:t>
      </w:r>
      <w:r>
        <w:rPr>
          <w:i/>
          <w:spacing w:val="-39"/>
          <w:sz w:val="22"/>
        </w:rPr>
        <w:t> </w:t>
      </w:r>
      <w:r>
        <w:rPr>
          <w:i/>
          <w:sz w:val="22"/>
        </w:rPr>
        <w:t>of</w:t>
      </w:r>
      <w:r>
        <w:rPr>
          <w:i/>
          <w:spacing w:val="-39"/>
          <w:sz w:val="22"/>
        </w:rPr>
        <w:t> </w:t>
      </w:r>
      <w:r>
        <w:rPr>
          <w:i/>
          <w:sz w:val="22"/>
        </w:rPr>
        <w:t>the</w:t>
      </w:r>
      <w:r>
        <w:rPr>
          <w:i/>
          <w:spacing w:val="-39"/>
          <w:sz w:val="22"/>
        </w:rPr>
        <w:t> </w:t>
      </w:r>
      <w:r>
        <w:rPr>
          <w:i/>
          <w:sz w:val="22"/>
        </w:rPr>
        <w:t>Asset</w:t>
      </w:r>
      <w:r>
        <w:rPr>
          <w:i/>
          <w:spacing w:val="-39"/>
          <w:sz w:val="22"/>
        </w:rPr>
        <w:t> </w:t>
      </w:r>
      <w:r>
        <w:rPr>
          <w:i/>
          <w:sz w:val="22"/>
        </w:rPr>
        <w:t>SPVs</w:t>
      </w:r>
      <w:r>
        <w:rPr>
          <w:i/>
          <w:spacing w:val="-39"/>
          <w:sz w:val="22"/>
        </w:rPr>
        <w:t> </w:t>
      </w:r>
      <w:r>
        <w:rPr>
          <w:i/>
          <w:sz w:val="22"/>
        </w:rPr>
        <w:t>or</w:t>
      </w:r>
      <w:r>
        <w:rPr>
          <w:i/>
          <w:spacing w:val="-40"/>
          <w:sz w:val="22"/>
        </w:rPr>
        <w:t> </w:t>
      </w:r>
      <w:r>
        <w:rPr>
          <w:i/>
          <w:sz w:val="22"/>
        </w:rPr>
        <w:t>the</w:t>
      </w:r>
      <w:r>
        <w:rPr>
          <w:i/>
          <w:spacing w:val="-39"/>
          <w:sz w:val="22"/>
        </w:rPr>
        <w:t> </w:t>
      </w:r>
      <w:r>
        <w:rPr>
          <w:i/>
          <w:sz w:val="22"/>
        </w:rPr>
        <w:t>Investment</w:t>
      </w:r>
      <w:r>
        <w:rPr>
          <w:i/>
          <w:spacing w:val="-40"/>
          <w:sz w:val="22"/>
        </w:rPr>
        <w:t> </w:t>
      </w:r>
      <w:r>
        <w:rPr>
          <w:i/>
          <w:sz w:val="22"/>
        </w:rPr>
        <w:t>Entity</w:t>
      </w:r>
      <w:r>
        <w:rPr>
          <w:i/>
          <w:spacing w:val="-38"/>
          <w:sz w:val="22"/>
        </w:rPr>
        <w:t> </w:t>
      </w:r>
      <w:r>
        <w:rPr>
          <w:i/>
          <w:sz w:val="22"/>
        </w:rPr>
        <w:t>or</w:t>
      </w:r>
      <w:r>
        <w:rPr>
          <w:i/>
          <w:spacing w:val="-38"/>
          <w:sz w:val="22"/>
        </w:rPr>
        <w:t> </w:t>
      </w:r>
      <w:r>
        <w:rPr>
          <w:i/>
          <w:sz w:val="22"/>
        </w:rPr>
        <w:t>the</w:t>
      </w:r>
      <w:r>
        <w:rPr>
          <w:i/>
          <w:spacing w:val="-39"/>
          <w:sz w:val="22"/>
        </w:rPr>
        <w:t> </w:t>
      </w:r>
      <w:r>
        <w:rPr>
          <w:i/>
          <w:sz w:val="22"/>
        </w:rPr>
        <w:t>Associates</w:t>
      </w:r>
      <w:r>
        <w:rPr>
          <w:i/>
          <w:spacing w:val="-39"/>
          <w:sz w:val="22"/>
        </w:rPr>
        <w:t> </w:t>
      </w:r>
      <w:r>
        <w:rPr>
          <w:i/>
          <w:sz w:val="22"/>
        </w:rPr>
        <w:t>of</w:t>
      </w:r>
      <w:r>
        <w:rPr>
          <w:i/>
          <w:spacing w:val="-38"/>
          <w:sz w:val="22"/>
        </w:rPr>
        <w:t> </w:t>
      </w:r>
      <w:r>
        <w:rPr>
          <w:i/>
          <w:sz w:val="22"/>
        </w:rPr>
        <w:t>the Embassy</w:t>
      </w:r>
      <w:r>
        <w:rPr>
          <w:i/>
          <w:spacing w:val="-28"/>
          <w:sz w:val="22"/>
        </w:rPr>
        <w:t> </w:t>
      </w:r>
      <w:r>
        <w:rPr>
          <w:i/>
          <w:sz w:val="22"/>
        </w:rPr>
        <w:t>REIT</w:t>
      </w:r>
      <w:r>
        <w:rPr>
          <w:i/>
          <w:spacing w:val="-28"/>
          <w:sz w:val="22"/>
        </w:rPr>
        <w:t> </w:t>
      </w:r>
      <w:r>
        <w:rPr>
          <w:i/>
          <w:sz w:val="22"/>
        </w:rPr>
        <w:t>as</w:t>
      </w:r>
      <w:r>
        <w:rPr>
          <w:i/>
          <w:spacing w:val="-30"/>
          <w:sz w:val="22"/>
        </w:rPr>
        <w:t> </w:t>
      </w:r>
      <w:r>
        <w:rPr>
          <w:i/>
          <w:sz w:val="22"/>
        </w:rPr>
        <w:t>of</w:t>
      </w:r>
      <w:r>
        <w:rPr>
          <w:i/>
          <w:spacing w:val="-27"/>
          <w:sz w:val="22"/>
        </w:rPr>
        <w:t> </w:t>
      </w:r>
      <w:r>
        <w:rPr>
          <w:i/>
          <w:sz w:val="22"/>
        </w:rPr>
        <w:t>March</w:t>
      </w:r>
      <w:r>
        <w:rPr>
          <w:i/>
          <w:spacing w:val="-27"/>
          <w:sz w:val="22"/>
        </w:rPr>
        <w:t> </w:t>
      </w:r>
      <w:r>
        <w:rPr>
          <w:i/>
          <w:sz w:val="22"/>
        </w:rPr>
        <w:t>31,</w:t>
      </w:r>
      <w:r>
        <w:rPr>
          <w:i/>
          <w:spacing w:val="-29"/>
          <w:sz w:val="22"/>
        </w:rPr>
        <w:t> </w:t>
      </w:r>
      <w:r>
        <w:rPr>
          <w:i/>
          <w:sz w:val="22"/>
        </w:rPr>
        <w:t>2020.</w:t>
      </w:r>
      <w:r>
        <w:rPr>
          <w:i/>
          <w:spacing w:val="-29"/>
          <w:sz w:val="22"/>
        </w:rPr>
        <w:t> </w:t>
      </w:r>
      <w:r>
        <w:rPr>
          <w:i/>
          <w:sz w:val="22"/>
        </w:rPr>
        <w:t>Further,</w:t>
      </w:r>
      <w:r>
        <w:rPr>
          <w:i/>
          <w:spacing w:val="-28"/>
          <w:sz w:val="22"/>
        </w:rPr>
        <w:t> </w:t>
      </w:r>
      <w:r>
        <w:rPr>
          <w:i/>
          <w:sz w:val="22"/>
        </w:rPr>
        <w:t>there</w:t>
      </w:r>
      <w:r>
        <w:rPr>
          <w:i/>
          <w:spacing w:val="-28"/>
          <w:sz w:val="22"/>
        </w:rPr>
        <w:t> </w:t>
      </w:r>
      <w:r>
        <w:rPr>
          <w:i/>
          <w:sz w:val="22"/>
        </w:rPr>
        <w:t>is</w:t>
      </w:r>
      <w:r>
        <w:rPr>
          <w:i/>
          <w:spacing w:val="-28"/>
          <w:sz w:val="22"/>
        </w:rPr>
        <w:t> </w:t>
      </w:r>
      <w:r>
        <w:rPr>
          <w:i/>
          <w:sz w:val="22"/>
        </w:rPr>
        <w:t>no</w:t>
      </w:r>
      <w:r>
        <w:rPr>
          <w:i/>
          <w:spacing w:val="-28"/>
          <w:sz w:val="22"/>
        </w:rPr>
        <w:t> </w:t>
      </w:r>
      <w:r>
        <w:rPr>
          <w:i/>
          <w:sz w:val="22"/>
        </w:rPr>
        <w:t>litigation</w:t>
      </w:r>
      <w:r>
        <w:rPr>
          <w:i/>
          <w:spacing w:val="-27"/>
          <w:sz w:val="22"/>
        </w:rPr>
        <w:t> </w:t>
      </w:r>
      <w:r>
        <w:rPr>
          <w:i/>
          <w:sz w:val="22"/>
        </w:rPr>
        <w:t>against</w:t>
      </w:r>
      <w:r>
        <w:rPr>
          <w:i/>
          <w:spacing w:val="-29"/>
          <w:sz w:val="22"/>
        </w:rPr>
        <w:t> </w:t>
      </w:r>
      <w:r>
        <w:rPr>
          <w:i/>
          <w:sz w:val="22"/>
        </w:rPr>
        <w:t>the</w:t>
      </w:r>
      <w:r>
        <w:rPr>
          <w:i/>
          <w:spacing w:val="-28"/>
          <w:sz w:val="22"/>
        </w:rPr>
        <w:t> </w:t>
      </w:r>
      <w:r>
        <w:rPr>
          <w:i/>
          <w:sz w:val="22"/>
        </w:rPr>
        <w:t>Embassy</w:t>
      </w:r>
      <w:r>
        <w:rPr>
          <w:i/>
          <w:spacing w:val="-27"/>
          <w:sz w:val="22"/>
        </w:rPr>
        <w:t> </w:t>
      </w:r>
      <w:r>
        <w:rPr>
          <w:i/>
          <w:sz w:val="22"/>
        </w:rPr>
        <w:t>REIT</w:t>
      </w:r>
      <w:r>
        <w:rPr>
          <w:i/>
          <w:spacing w:val="-28"/>
          <w:sz w:val="22"/>
        </w:rPr>
        <w:t> </w:t>
      </w:r>
      <w:r>
        <w:rPr>
          <w:i/>
          <w:sz w:val="22"/>
        </w:rPr>
        <w:t>as</w:t>
      </w:r>
      <w:r>
        <w:rPr>
          <w:i/>
          <w:spacing w:val="-30"/>
          <w:sz w:val="22"/>
        </w:rPr>
        <w:t> </w:t>
      </w:r>
      <w:r>
        <w:rPr>
          <w:i/>
          <w:sz w:val="22"/>
        </w:rPr>
        <w:t>of</w:t>
      </w:r>
      <w:r>
        <w:rPr>
          <w:i/>
          <w:spacing w:val="-26"/>
          <w:sz w:val="22"/>
        </w:rPr>
        <w:t> </w:t>
      </w:r>
      <w:r>
        <w:rPr>
          <w:i/>
          <w:sz w:val="22"/>
        </w:rPr>
        <w:t>March 31,</w:t>
      </w:r>
      <w:r>
        <w:rPr>
          <w:i/>
          <w:spacing w:val="-3"/>
          <w:sz w:val="22"/>
        </w:rPr>
        <w:t> </w:t>
      </w:r>
      <w:r>
        <w:rPr>
          <w:i/>
          <w:sz w:val="22"/>
        </w:rPr>
        <w:t>2020.</w:t>
      </w:r>
    </w:p>
    <w:p>
      <w:pPr>
        <w:pStyle w:val="ListParagraph"/>
        <w:numPr>
          <w:ilvl w:val="0"/>
          <w:numId w:val="96"/>
        </w:numPr>
        <w:tabs>
          <w:tab w:pos="1401" w:val="left" w:leader="none"/>
        </w:tabs>
        <w:spacing w:line="496" w:lineRule="auto" w:before="228" w:after="0"/>
        <w:ind w:left="680" w:right="8914" w:firstLine="0"/>
        <w:jc w:val="both"/>
        <w:rPr>
          <w:sz w:val="22"/>
        </w:rPr>
      </w:pPr>
      <w:r>
        <w:rPr>
          <w:sz w:val="22"/>
        </w:rPr>
        <w:t>MPPL </w:t>
      </w:r>
      <w:r>
        <w:rPr>
          <w:w w:val="95"/>
          <w:sz w:val="22"/>
        </w:rPr>
        <w:t>Regulatory</w:t>
      </w:r>
      <w:r>
        <w:rPr>
          <w:spacing w:val="26"/>
          <w:w w:val="95"/>
          <w:sz w:val="22"/>
        </w:rPr>
        <w:t> </w:t>
      </w:r>
      <w:r>
        <w:rPr>
          <w:w w:val="95"/>
          <w:sz w:val="22"/>
        </w:rPr>
        <w:t>Proceedings</w:t>
      </w:r>
    </w:p>
    <w:p>
      <w:pPr>
        <w:pStyle w:val="ListParagraph"/>
        <w:numPr>
          <w:ilvl w:val="0"/>
          <w:numId w:val="97"/>
        </w:numPr>
        <w:tabs>
          <w:tab w:pos="1671" w:val="left" w:leader="none"/>
          <w:tab w:pos="1672" w:val="left" w:leader="none"/>
        </w:tabs>
        <w:spacing w:line="266" w:lineRule="auto" w:before="0" w:after="0"/>
        <w:ind w:left="1671" w:right="673" w:hanging="992"/>
        <w:jc w:val="both"/>
        <w:rPr>
          <w:sz w:val="22"/>
        </w:rPr>
      </w:pPr>
      <w:r>
        <w:rPr>
          <w:sz w:val="22"/>
        </w:rPr>
        <w:t>The</w:t>
      </w:r>
      <w:r>
        <w:rPr>
          <w:spacing w:val="-24"/>
          <w:sz w:val="22"/>
        </w:rPr>
        <w:t> </w:t>
      </w:r>
      <w:r>
        <w:rPr>
          <w:sz w:val="22"/>
        </w:rPr>
        <w:t>Director,</w:t>
      </w:r>
      <w:r>
        <w:rPr>
          <w:spacing w:val="-22"/>
          <w:sz w:val="22"/>
        </w:rPr>
        <w:t> </w:t>
      </w:r>
      <w:r>
        <w:rPr>
          <w:sz w:val="22"/>
        </w:rPr>
        <w:t>SEZ</w:t>
      </w:r>
      <w:r>
        <w:rPr>
          <w:spacing w:val="-21"/>
          <w:sz w:val="22"/>
        </w:rPr>
        <w:t> </w:t>
      </w:r>
      <w:r>
        <w:rPr>
          <w:sz w:val="22"/>
        </w:rPr>
        <w:t>Section,</w:t>
      </w:r>
      <w:r>
        <w:rPr>
          <w:spacing w:val="-24"/>
          <w:sz w:val="22"/>
        </w:rPr>
        <w:t> </w:t>
      </w:r>
      <w:r>
        <w:rPr>
          <w:sz w:val="22"/>
        </w:rPr>
        <w:t>GoI</w:t>
      </w:r>
      <w:r>
        <w:rPr>
          <w:spacing w:val="-22"/>
          <w:sz w:val="22"/>
        </w:rPr>
        <w:t> </w:t>
      </w:r>
      <w:r>
        <w:rPr>
          <w:sz w:val="22"/>
        </w:rPr>
        <w:t>issued</w:t>
      </w:r>
      <w:r>
        <w:rPr>
          <w:spacing w:val="-22"/>
          <w:sz w:val="22"/>
        </w:rPr>
        <w:t> </w:t>
      </w:r>
      <w:r>
        <w:rPr>
          <w:sz w:val="22"/>
        </w:rPr>
        <w:t>guidelines</w:t>
      </w:r>
      <w:r>
        <w:rPr>
          <w:spacing w:val="-21"/>
          <w:sz w:val="22"/>
        </w:rPr>
        <w:t> </w:t>
      </w:r>
      <w:r>
        <w:rPr>
          <w:sz w:val="22"/>
        </w:rPr>
        <w:t>in</w:t>
      </w:r>
      <w:r>
        <w:rPr>
          <w:spacing w:val="-22"/>
          <w:sz w:val="22"/>
        </w:rPr>
        <w:t> </w:t>
      </w:r>
      <w:r>
        <w:rPr>
          <w:sz w:val="22"/>
        </w:rPr>
        <w:t>2009</w:t>
      </w:r>
      <w:r>
        <w:rPr>
          <w:spacing w:val="-24"/>
          <w:sz w:val="22"/>
        </w:rPr>
        <w:t> </w:t>
      </w:r>
      <w:r>
        <w:rPr>
          <w:sz w:val="22"/>
        </w:rPr>
        <w:t>which</w:t>
      </w:r>
      <w:r>
        <w:rPr>
          <w:spacing w:val="-22"/>
          <w:sz w:val="22"/>
        </w:rPr>
        <w:t> </w:t>
      </w:r>
      <w:r>
        <w:rPr>
          <w:sz w:val="22"/>
        </w:rPr>
        <w:t>laid</w:t>
      </w:r>
      <w:r>
        <w:rPr>
          <w:spacing w:val="-22"/>
          <w:sz w:val="22"/>
        </w:rPr>
        <w:t> </w:t>
      </w:r>
      <w:r>
        <w:rPr>
          <w:sz w:val="22"/>
        </w:rPr>
        <w:t>down</w:t>
      </w:r>
      <w:r>
        <w:rPr>
          <w:spacing w:val="-22"/>
          <w:sz w:val="22"/>
        </w:rPr>
        <w:t> </w:t>
      </w:r>
      <w:r>
        <w:rPr>
          <w:sz w:val="22"/>
        </w:rPr>
        <w:t>that</w:t>
      </w:r>
      <w:r>
        <w:rPr>
          <w:spacing w:val="-20"/>
          <w:sz w:val="22"/>
        </w:rPr>
        <w:t> </w:t>
      </w:r>
      <w:r>
        <w:rPr>
          <w:sz w:val="22"/>
        </w:rPr>
        <w:t>captive</w:t>
      </w:r>
      <w:r>
        <w:rPr>
          <w:spacing w:val="-24"/>
          <w:sz w:val="22"/>
        </w:rPr>
        <w:t> </w:t>
      </w:r>
      <w:r>
        <w:rPr>
          <w:sz w:val="22"/>
        </w:rPr>
        <w:t>power</w:t>
      </w:r>
      <w:r>
        <w:rPr>
          <w:spacing w:val="-23"/>
          <w:sz w:val="22"/>
        </w:rPr>
        <w:t> </w:t>
      </w:r>
      <w:r>
        <w:rPr>
          <w:sz w:val="22"/>
        </w:rPr>
        <w:t>plants in IT/ ITES SEZs were to be classified as separate units and were entitled to avail fiscal benefits under</w:t>
      </w:r>
      <w:r>
        <w:rPr>
          <w:spacing w:val="-30"/>
          <w:sz w:val="22"/>
        </w:rPr>
        <w:t> </w:t>
      </w:r>
      <w:r>
        <w:rPr>
          <w:sz w:val="22"/>
        </w:rPr>
        <w:t>the</w:t>
      </w:r>
      <w:r>
        <w:rPr>
          <w:spacing w:val="-28"/>
          <w:sz w:val="22"/>
        </w:rPr>
        <w:t> </w:t>
      </w:r>
      <w:r>
        <w:rPr>
          <w:sz w:val="22"/>
        </w:rPr>
        <w:t>SEZ</w:t>
      </w:r>
      <w:r>
        <w:rPr>
          <w:spacing w:val="-28"/>
          <w:sz w:val="22"/>
        </w:rPr>
        <w:t> </w:t>
      </w:r>
      <w:r>
        <w:rPr>
          <w:sz w:val="22"/>
        </w:rPr>
        <w:t>Act</w:t>
      </w:r>
      <w:r>
        <w:rPr>
          <w:spacing w:val="-27"/>
          <w:sz w:val="22"/>
        </w:rPr>
        <w:t> </w:t>
      </w:r>
      <w:r>
        <w:rPr>
          <w:sz w:val="22"/>
        </w:rPr>
        <w:t>including</w:t>
      </w:r>
      <w:r>
        <w:rPr>
          <w:spacing w:val="-30"/>
          <w:sz w:val="22"/>
        </w:rPr>
        <w:t> </w:t>
      </w:r>
      <w:r>
        <w:rPr>
          <w:sz w:val="22"/>
        </w:rPr>
        <w:t>the</w:t>
      </w:r>
      <w:r>
        <w:rPr>
          <w:spacing w:val="-29"/>
          <w:sz w:val="22"/>
        </w:rPr>
        <w:t> </w:t>
      </w:r>
      <w:r>
        <w:rPr>
          <w:sz w:val="22"/>
        </w:rPr>
        <w:t>benefit</w:t>
      </w:r>
      <w:r>
        <w:rPr>
          <w:spacing w:val="-28"/>
          <w:sz w:val="22"/>
        </w:rPr>
        <w:t> </w:t>
      </w:r>
      <w:r>
        <w:rPr>
          <w:sz w:val="22"/>
        </w:rPr>
        <w:t>of</w:t>
      </w:r>
      <w:r>
        <w:rPr>
          <w:spacing w:val="-28"/>
          <w:sz w:val="22"/>
        </w:rPr>
        <w:t> </w:t>
      </w:r>
      <w:r>
        <w:rPr>
          <w:sz w:val="22"/>
        </w:rPr>
        <w:t>exemption</w:t>
      </w:r>
      <w:r>
        <w:rPr>
          <w:spacing w:val="-29"/>
          <w:sz w:val="22"/>
        </w:rPr>
        <w:t> </w:t>
      </w:r>
      <w:r>
        <w:rPr>
          <w:sz w:val="22"/>
        </w:rPr>
        <w:t>from</w:t>
      </w:r>
      <w:r>
        <w:rPr>
          <w:spacing w:val="-28"/>
          <w:sz w:val="22"/>
        </w:rPr>
        <w:t> </w:t>
      </w:r>
      <w:r>
        <w:rPr>
          <w:sz w:val="22"/>
        </w:rPr>
        <w:t>the</w:t>
      </w:r>
      <w:r>
        <w:rPr>
          <w:spacing w:val="-29"/>
          <w:sz w:val="22"/>
        </w:rPr>
        <w:t> </w:t>
      </w:r>
      <w:r>
        <w:rPr>
          <w:sz w:val="22"/>
        </w:rPr>
        <w:t>levy</w:t>
      </w:r>
      <w:r>
        <w:rPr>
          <w:spacing w:val="-28"/>
          <w:sz w:val="22"/>
        </w:rPr>
        <w:t> </w:t>
      </w:r>
      <w:r>
        <w:rPr>
          <w:sz w:val="22"/>
        </w:rPr>
        <w:t>of</w:t>
      </w:r>
      <w:r>
        <w:rPr>
          <w:spacing w:val="-28"/>
          <w:sz w:val="22"/>
        </w:rPr>
        <w:t> </w:t>
      </w:r>
      <w:r>
        <w:rPr>
          <w:sz w:val="22"/>
        </w:rPr>
        <w:t>excise</w:t>
      </w:r>
      <w:r>
        <w:rPr>
          <w:spacing w:val="-29"/>
          <w:sz w:val="22"/>
        </w:rPr>
        <w:t> </w:t>
      </w:r>
      <w:r>
        <w:rPr>
          <w:sz w:val="22"/>
        </w:rPr>
        <w:t>duty</w:t>
      </w:r>
      <w:r>
        <w:rPr>
          <w:spacing w:val="-27"/>
          <w:sz w:val="22"/>
        </w:rPr>
        <w:t> </w:t>
      </w:r>
      <w:r>
        <w:rPr>
          <w:sz w:val="22"/>
        </w:rPr>
        <w:t>under</w:t>
      </w:r>
      <w:r>
        <w:rPr>
          <w:spacing w:val="-29"/>
          <w:sz w:val="22"/>
        </w:rPr>
        <w:t> </w:t>
      </w:r>
      <w:r>
        <w:rPr>
          <w:sz w:val="22"/>
        </w:rPr>
        <w:t>the</w:t>
      </w:r>
      <w:r>
        <w:rPr>
          <w:spacing w:val="-29"/>
          <w:sz w:val="22"/>
        </w:rPr>
        <w:t> </w:t>
      </w:r>
      <w:r>
        <w:rPr>
          <w:sz w:val="22"/>
        </w:rPr>
        <w:t>Central Excise Act, 1994, on the goods supplied to them. However, in 2015, a new circular was issued which</w:t>
      </w:r>
      <w:r>
        <w:rPr>
          <w:spacing w:val="-14"/>
          <w:sz w:val="22"/>
        </w:rPr>
        <w:t> </w:t>
      </w:r>
      <w:r>
        <w:rPr>
          <w:sz w:val="22"/>
        </w:rPr>
        <w:t>withdrew</w:t>
      </w:r>
      <w:r>
        <w:rPr>
          <w:spacing w:val="-10"/>
          <w:sz w:val="22"/>
        </w:rPr>
        <w:t> </w:t>
      </w:r>
      <w:r>
        <w:rPr>
          <w:sz w:val="22"/>
        </w:rPr>
        <w:t>all</w:t>
      </w:r>
      <w:r>
        <w:rPr>
          <w:spacing w:val="-14"/>
          <w:sz w:val="22"/>
        </w:rPr>
        <w:t> </w:t>
      </w:r>
      <w:r>
        <w:rPr>
          <w:sz w:val="22"/>
        </w:rPr>
        <w:t>such</w:t>
      </w:r>
      <w:r>
        <w:rPr>
          <w:spacing w:val="-12"/>
          <w:sz w:val="22"/>
        </w:rPr>
        <w:t> </w:t>
      </w:r>
      <w:r>
        <w:rPr>
          <w:sz w:val="22"/>
        </w:rPr>
        <w:t>benefits</w:t>
      </w:r>
      <w:r>
        <w:rPr>
          <w:spacing w:val="-10"/>
          <w:sz w:val="22"/>
        </w:rPr>
        <w:t> </w:t>
      </w:r>
      <w:r>
        <w:rPr>
          <w:sz w:val="22"/>
        </w:rPr>
        <w:t>and</w:t>
      </w:r>
      <w:r>
        <w:rPr>
          <w:spacing w:val="-11"/>
          <w:sz w:val="22"/>
        </w:rPr>
        <w:t> </w:t>
      </w:r>
      <w:r>
        <w:rPr>
          <w:sz w:val="22"/>
        </w:rPr>
        <w:t>incentives</w:t>
      </w:r>
      <w:r>
        <w:rPr>
          <w:spacing w:val="-12"/>
          <w:sz w:val="22"/>
        </w:rPr>
        <w:t> </w:t>
      </w:r>
      <w:r>
        <w:rPr>
          <w:sz w:val="22"/>
        </w:rPr>
        <w:t>extended</w:t>
      </w:r>
      <w:r>
        <w:rPr>
          <w:spacing w:val="-13"/>
          <w:sz w:val="22"/>
        </w:rPr>
        <w:t> </w:t>
      </w:r>
      <w:r>
        <w:rPr>
          <w:sz w:val="22"/>
        </w:rPr>
        <w:t>to</w:t>
      </w:r>
      <w:r>
        <w:rPr>
          <w:spacing w:val="-11"/>
          <w:sz w:val="22"/>
        </w:rPr>
        <w:t> </w:t>
      </w:r>
      <w:r>
        <w:rPr>
          <w:sz w:val="22"/>
        </w:rPr>
        <w:t>the</w:t>
      </w:r>
      <w:r>
        <w:rPr>
          <w:spacing w:val="-12"/>
          <w:sz w:val="22"/>
        </w:rPr>
        <w:t> </w:t>
      </w:r>
      <w:r>
        <w:rPr>
          <w:sz w:val="22"/>
        </w:rPr>
        <w:t>captive</w:t>
      </w:r>
      <w:r>
        <w:rPr>
          <w:spacing w:val="-13"/>
          <w:sz w:val="22"/>
        </w:rPr>
        <w:t> </w:t>
      </w:r>
      <w:r>
        <w:rPr>
          <w:spacing w:val="2"/>
          <w:sz w:val="22"/>
        </w:rPr>
        <w:t>power</w:t>
      </w:r>
      <w:r>
        <w:rPr>
          <w:spacing w:val="-13"/>
          <w:sz w:val="22"/>
        </w:rPr>
        <w:t> </w:t>
      </w:r>
      <w:r>
        <w:rPr>
          <w:sz w:val="22"/>
        </w:rPr>
        <w:t>plants</w:t>
      </w:r>
      <w:r>
        <w:rPr>
          <w:spacing w:val="-12"/>
          <w:sz w:val="22"/>
        </w:rPr>
        <w:t> </w:t>
      </w:r>
      <w:r>
        <w:rPr>
          <w:sz w:val="22"/>
        </w:rPr>
        <w:t>set</w:t>
      </w:r>
      <w:r>
        <w:rPr>
          <w:spacing w:val="-11"/>
          <w:sz w:val="22"/>
        </w:rPr>
        <w:t> </w:t>
      </w:r>
      <w:r>
        <w:rPr>
          <w:sz w:val="22"/>
        </w:rPr>
        <w:t>up</w:t>
      </w:r>
      <w:r>
        <w:rPr>
          <w:spacing w:val="-13"/>
          <w:sz w:val="22"/>
        </w:rPr>
        <w:t> </w:t>
      </w:r>
      <w:r>
        <w:rPr>
          <w:sz w:val="22"/>
        </w:rPr>
        <w:t>in</w:t>
      </w:r>
      <w:r>
        <w:rPr>
          <w:spacing w:val="-11"/>
          <w:sz w:val="22"/>
        </w:rPr>
        <w:t> </w:t>
      </w:r>
      <w:r>
        <w:rPr>
          <w:sz w:val="22"/>
        </w:rPr>
        <w:t>a SEZ</w:t>
      </w:r>
      <w:r>
        <w:rPr>
          <w:spacing w:val="-26"/>
          <w:sz w:val="22"/>
        </w:rPr>
        <w:t> </w:t>
      </w:r>
      <w:r>
        <w:rPr>
          <w:sz w:val="22"/>
        </w:rPr>
        <w:t>with</w:t>
      </w:r>
      <w:r>
        <w:rPr>
          <w:spacing w:val="-25"/>
          <w:sz w:val="22"/>
        </w:rPr>
        <w:t> </w:t>
      </w:r>
      <w:r>
        <w:rPr>
          <w:sz w:val="22"/>
        </w:rPr>
        <w:t>effect</w:t>
      </w:r>
      <w:r>
        <w:rPr>
          <w:spacing w:val="-25"/>
          <w:sz w:val="22"/>
        </w:rPr>
        <w:t> </w:t>
      </w:r>
      <w:r>
        <w:rPr>
          <w:sz w:val="22"/>
        </w:rPr>
        <w:t>from</w:t>
      </w:r>
      <w:r>
        <w:rPr>
          <w:spacing w:val="-27"/>
          <w:sz w:val="22"/>
        </w:rPr>
        <w:t> </w:t>
      </w:r>
      <w:r>
        <w:rPr>
          <w:sz w:val="22"/>
        </w:rPr>
        <w:t>April</w:t>
      </w:r>
      <w:r>
        <w:rPr>
          <w:spacing w:val="-26"/>
          <w:sz w:val="22"/>
        </w:rPr>
        <w:t> </w:t>
      </w:r>
      <w:r>
        <w:rPr>
          <w:sz w:val="22"/>
        </w:rPr>
        <w:t>1,</w:t>
      </w:r>
      <w:r>
        <w:rPr>
          <w:spacing w:val="-25"/>
          <w:sz w:val="22"/>
        </w:rPr>
        <w:t> </w:t>
      </w:r>
      <w:r>
        <w:rPr>
          <w:sz w:val="22"/>
        </w:rPr>
        <w:t>2015.</w:t>
      </w:r>
      <w:r>
        <w:rPr>
          <w:spacing w:val="-27"/>
          <w:sz w:val="22"/>
        </w:rPr>
        <w:t> </w:t>
      </w:r>
      <w:r>
        <w:rPr>
          <w:sz w:val="22"/>
        </w:rPr>
        <w:t>In</w:t>
      </w:r>
      <w:r>
        <w:rPr>
          <w:spacing w:val="-26"/>
          <w:sz w:val="22"/>
        </w:rPr>
        <w:t> </w:t>
      </w:r>
      <w:r>
        <w:rPr>
          <w:sz w:val="22"/>
        </w:rPr>
        <w:t>2016,</w:t>
      </w:r>
      <w:r>
        <w:rPr>
          <w:spacing w:val="-25"/>
          <w:sz w:val="22"/>
        </w:rPr>
        <w:t> </w:t>
      </w:r>
      <w:r>
        <w:rPr>
          <w:sz w:val="22"/>
        </w:rPr>
        <w:t>new</w:t>
      </w:r>
      <w:r>
        <w:rPr>
          <w:spacing w:val="-25"/>
          <w:sz w:val="22"/>
        </w:rPr>
        <w:t> </w:t>
      </w:r>
      <w:r>
        <w:rPr>
          <w:sz w:val="22"/>
        </w:rPr>
        <w:t>guidelines</w:t>
      </w:r>
      <w:r>
        <w:rPr>
          <w:spacing w:val="-26"/>
          <w:sz w:val="22"/>
        </w:rPr>
        <w:t> </w:t>
      </w:r>
      <w:r>
        <w:rPr>
          <w:sz w:val="22"/>
        </w:rPr>
        <w:t>were</w:t>
      </w:r>
      <w:r>
        <w:rPr>
          <w:spacing w:val="-25"/>
          <w:sz w:val="22"/>
        </w:rPr>
        <w:t> </w:t>
      </w:r>
      <w:r>
        <w:rPr>
          <w:sz w:val="22"/>
        </w:rPr>
        <w:t>issued</w:t>
      </w:r>
      <w:r>
        <w:rPr>
          <w:spacing w:val="-26"/>
          <w:sz w:val="22"/>
        </w:rPr>
        <w:t> </w:t>
      </w:r>
      <w:r>
        <w:rPr>
          <w:sz w:val="22"/>
        </w:rPr>
        <w:t>which</w:t>
      </w:r>
      <w:r>
        <w:rPr>
          <w:spacing w:val="-26"/>
          <w:sz w:val="22"/>
        </w:rPr>
        <w:t> </w:t>
      </w:r>
      <w:r>
        <w:rPr>
          <w:sz w:val="22"/>
        </w:rPr>
        <w:t>restored</w:t>
      </w:r>
      <w:r>
        <w:rPr>
          <w:spacing w:val="-25"/>
          <w:sz w:val="22"/>
        </w:rPr>
        <w:t> </w:t>
      </w:r>
      <w:r>
        <w:rPr>
          <w:sz w:val="22"/>
        </w:rPr>
        <w:t>the</w:t>
      </w:r>
      <w:r>
        <w:rPr>
          <w:spacing w:val="-26"/>
          <w:sz w:val="22"/>
        </w:rPr>
        <w:t> </w:t>
      </w:r>
      <w:r>
        <w:rPr>
          <w:sz w:val="22"/>
        </w:rPr>
        <w:t>benefits and exemptions given under the 2009 circular. However, the exemptions and benefits were prospective</w:t>
      </w:r>
      <w:r>
        <w:rPr>
          <w:spacing w:val="-10"/>
          <w:sz w:val="22"/>
        </w:rPr>
        <w:t> </w:t>
      </w:r>
      <w:r>
        <w:rPr>
          <w:sz w:val="22"/>
        </w:rPr>
        <w:t>in</w:t>
      </w:r>
      <w:r>
        <w:rPr>
          <w:spacing w:val="-10"/>
          <w:sz w:val="22"/>
        </w:rPr>
        <w:t> </w:t>
      </w:r>
      <w:r>
        <w:rPr>
          <w:sz w:val="22"/>
        </w:rPr>
        <w:t>nature</w:t>
      </w:r>
      <w:r>
        <w:rPr>
          <w:spacing w:val="-10"/>
          <w:sz w:val="22"/>
        </w:rPr>
        <w:t> </w:t>
      </w:r>
      <w:r>
        <w:rPr>
          <w:sz w:val="22"/>
        </w:rPr>
        <w:t>and</w:t>
      </w:r>
      <w:r>
        <w:rPr>
          <w:spacing w:val="-10"/>
          <w:sz w:val="22"/>
        </w:rPr>
        <w:t> </w:t>
      </w:r>
      <w:r>
        <w:rPr>
          <w:sz w:val="22"/>
        </w:rPr>
        <w:t>did</w:t>
      </w:r>
      <w:r>
        <w:rPr>
          <w:spacing w:val="-9"/>
          <w:sz w:val="22"/>
        </w:rPr>
        <w:t> </w:t>
      </w:r>
      <w:r>
        <w:rPr>
          <w:sz w:val="22"/>
        </w:rPr>
        <w:t>not</w:t>
      </w:r>
      <w:r>
        <w:rPr>
          <w:spacing w:val="-8"/>
          <w:sz w:val="22"/>
        </w:rPr>
        <w:t> </w:t>
      </w:r>
      <w:r>
        <w:rPr>
          <w:sz w:val="22"/>
        </w:rPr>
        <w:t>apply</w:t>
      </w:r>
      <w:r>
        <w:rPr>
          <w:spacing w:val="-9"/>
          <w:sz w:val="22"/>
        </w:rPr>
        <w:t> </w:t>
      </w:r>
      <w:r>
        <w:rPr>
          <w:sz w:val="22"/>
        </w:rPr>
        <w:t>to</w:t>
      </w:r>
      <w:r>
        <w:rPr>
          <w:spacing w:val="-10"/>
          <w:sz w:val="22"/>
        </w:rPr>
        <w:t> </w:t>
      </w:r>
      <w:r>
        <w:rPr>
          <w:spacing w:val="2"/>
          <w:sz w:val="22"/>
        </w:rPr>
        <w:t>SEZ</w:t>
      </w:r>
      <w:r>
        <w:rPr>
          <w:spacing w:val="-10"/>
          <w:sz w:val="22"/>
        </w:rPr>
        <w:t> </w:t>
      </w:r>
      <w:r>
        <w:rPr>
          <w:sz w:val="22"/>
        </w:rPr>
        <w:t>developers,</w:t>
      </w:r>
      <w:r>
        <w:rPr>
          <w:spacing w:val="-10"/>
          <w:sz w:val="22"/>
        </w:rPr>
        <w:t> </w:t>
      </w:r>
      <w:r>
        <w:rPr>
          <w:sz w:val="22"/>
        </w:rPr>
        <w:t>such</w:t>
      </w:r>
      <w:r>
        <w:rPr>
          <w:spacing w:val="-10"/>
          <w:sz w:val="22"/>
        </w:rPr>
        <w:t> </w:t>
      </w:r>
      <w:r>
        <w:rPr>
          <w:sz w:val="22"/>
        </w:rPr>
        <w:t>as</w:t>
      </w:r>
      <w:r>
        <w:rPr>
          <w:spacing w:val="-9"/>
          <w:sz w:val="22"/>
        </w:rPr>
        <w:t> </w:t>
      </w:r>
      <w:r>
        <w:rPr>
          <w:sz w:val="22"/>
        </w:rPr>
        <w:t>MPPL,</w:t>
      </w:r>
      <w:r>
        <w:rPr>
          <w:spacing w:val="-8"/>
          <w:sz w:val="22"/>
        </w:rPr>
        <w:t> </w:t>
      </w:r>
      <w:r>
        <w:rPr>
          <w:sz w:val="22"/>
        </w:rPr>
        <w:t>for</w:t>
      </w:r>
      <w:r>
        <w:rPr>
          <w:spacing w:val="-10"/>
          <w:sz w:val="22"/>
        </w:rPr>
        <w:t> </w:t>
      </w:r>
      <w:r>
        <w:rPr>
          <w:sz w:val="22"/>
        </w:rPr>
        <w:t>the</w:t>
      </w:r>
      <w:r>
        <w:rPr>
          <w:spacing w:val="-11"/>
          <w:sz w:val="22"/>
        </w:rPr>
        <w:t> </w:t>
      </w:r>
      <w:r>
        <w:rPr>
          <w:sz w:val="22"/>
        </w:rPr>
        <w:t>period</w:t>
      </w:r>
      <w:r>
        <w:rPr>
          <w:spacing w:val="-9"/>
          <w:sz w:val="22"/>
        </w:rPr>
        <w:t> </w:t>
      </w:r>
      <w:r>
        <w:rPr>
          <w:sz w:val="22"/>
        </w:rPr>
        <w:t>between the</w:t>
      </w:r>
      <w:r>
        <w:rPr>
          <w:spacing w:val="-23"/>
          <w:sz w:val="22"/>
        </w:rPr>
        <w:t> </w:t>
      </w:r>
      <w:r>
        <w:rPr>
          <w:sz w:val="22"/>
        </w:rPr>
        <w:t>2015</w:t>
      </w:r>
      <w:r>
        <w:rPr>
          <w:spacing w:val="-23"/>
          <w:sz w:val="22"/>
        </w:rPr>
        <w:t> </w:t>
      </w:r>
      <w:r>
        <w:rPr>
          <w:sz w:val="22"/>
        </w:rPr>
        <w:t>circular</w:t>
      </w:r>
      <w:r>
        <w:rPr>
          <w:spacing w:val="-23"/>
          <w:sz w:val="22"/>
        </w:rPr>
        <w:t> </w:t>
      </w:r>
      <w:r>
        <w:rPr>
          <w:sz w:val="22"/>
        </w:rPr>
        <w:t>and</w:t>
      </w:r>
      <w:r>
        <w:rPr>
          <w:spacing w:val="-22"/>
          <w:sz w:val="22"/>
        </w:rPr>
        <w:t> </w:t>
      </w:r>
      <w:r>
        <w:rPr>
          <w:sz w:val="22"/>
        </w:rPr>
        <w:t>the</w:t>
      </w:r>
      <w:r>
        <w:rPr>
          <w:spacing w:val="-23"/>
          <w:sz w:val="22"/>
        </w:rPr>
        <w:t> </w:t>
      </w:r>
      <w:r>
        <w:rPr>
          <w:sz w:val="22"/>
        </w:rPr>
        <w:t>2016</w:t>
      </w:r>
      <w:r>
        <w:rPr>
          <w:spacing w:val="-24"/>
          <w:sz w:val="22"/>
        </w:rPr>
        <w:t> </w:t>
      </w:r>
      <w:r>
        <w:rPr>
          <w:sz w:val="22"/>
        </w:rPr>
        <w:t>guidelines.</w:t>
      </w:r>
      <w:r>
        <w:rPr>
          <w:spacing w:val="-23"/>
          <w:sz w:val="22"/>
        </w:rPr>
        <w:t> </w:t>
      </w:r>
      <w:r>
        <w:rPr>
          <w:sz w:val="22"/>
        </w:rPr>
        <w:t>By</w:t>
      </w:r>
      <w:r>
        <w:rPr>
          <w:spacing w:val="-22"/>
          <w:sz w:val="22"/>
        </w:rPr>
        <w:t> </w:t>
      </w:r>
      <w:r>
        <w:rPr>
          <w:sz w:val="22"/>
        </w:rPr>
        <w:t>way</w:t>
      </w:r>
      <w:r>
        <w:rPr>
          <w:spacing w:val="-20"/>
          <w:sz w:val="22"/>
        </w:rPr>
        <w:t> </w:t>
      </w:r>
      <w:r>
        <w:rPr>
          <w:sz w:val="22"/>
        </w:rPr>
        <w:t>of</w:t>
      </w:r>
      <w:r>
        <w:rPr>
          <w:spacing w:val="-24"/>
          <w:sz w:val="22"/>
        </w:rPr>
        <w:t> </w:t>
      </w:r>
      <w:r>
        <w:rPr>
          <w:sz w:val="22"/>
        </w:rPr>
        <w:t>their</w:t>
      </w:r>
      <w:r>
        <w:rPr>
          <w:spacing w:val="-22"/>
          <w:sz w:val="22"/>
        </w:rPr>
        <w:t> </w:t>
      </w:r>
      <w:r>
        <w:rPr>
          <w:sz w:val="22"/>
        </w:rPr>
        <w:t>letters</w:t>
      </w:r>
      <w:r>
        <w:rPr>
          <w:spacing w:val="-22"/>
          <w:sz w:val="22"/>
        </w:rPr>
        <w:t> </w:t>
      </w:r>
      <w:r>
        <w:rPr>
          <w:sz w:val="22"/>
        </w:rPr>
        <w:t>in</w:t>
      </w:r>
      <w:r>
        <w:rPr>
          <w:spacing w:val="-23"/>
          <w:sz w:val="22"/>
        </w:rPr>
        <w:t> </w:t>
      </w:r>
      <w:r>
        <w:rPr>
          <w:sz w:val="22"/>
        </w:rPr>
        <w:t>2016,</w:t>
      </w:r>
      <w:r>
        <w:rPr>
          <w:spacing w:val="-23"/>
          <w:sz w:val="22"/>
        </w:rPr>
        <w:t> </w:t>
      </w:r>
      <w:r>
        <w:rPr>
          <w:sz w:val="22"/>
        </w:rPr>
        <w:t>two</w:t>
      </w:r>
      <w:r>
        <w:rPr>
          <w:spacing w:val="-24"/>
          <w:sz w:val="22"/>
        </w:rPr>
        <w:t> </w:t>
      </w:r>
      <w:r>
        <w:rPr>
          <w:sz w:val="22"/>
        </w:rPr>
        <w:t>diesel</w:t>
      </w:r>
      <w:r>
        <w:rPr>
          <w:spacing w:val="-23"/>
          <w:sz w:val="22"/>
        </w:rPr>
        <w:t> </w:t>
      </w:r>
      <w:r>
        <w:rPr>
          <w:sz w:val="22"/>
        </w:rPr>
        <w:t>providers</w:t>
      </w:r>
      <w:r>
        <w:rPr>
          <w:spacing w:val="-24"/>
          <w:sz w:val="22"/>
        </w:rPr>
        <w:t> </w:t>
      </w:r>
      <w:r>
        <w:rPr>
          <w:sz w:val="22"/>
        </w:rPr>
        <w:t>who were</w:t>
      </w:r>
      <w:r>
        <w:rPr>
          <w:spacing w:val="-19"/>
          <w:sz w:val="22"/>
        </w:rPr>
        <w:t> </w:t>
      </w:r>
      <w:r>
        <w:rPr>
          <w:sz w:val="22"/>
        </w:rPr>
        <w:t>providing</w:t>
      </w:r>
      <w:r>
        <w:rPr>
          <w:spacing w:val="-15"/>
          <w:sz w:val="22"/>
        </w:rPr>
        <w:t> </w:t>
      </w:r>
      <w:r>
        <w:rPr>
          <w:sz w:val="22"/>
        </w:rPr>
        <w:t>high</w:t>
      </w:r>
      <w:r>
        <w:rPr>
          <w:spacing w:val="-17"/>
          <w:sz w:val="22"/>
        </w:rPr>
        <w:t> </w:t>
      </w:r>
      <w:r>
        <w:rPr>
          <w:sz w:val="22"/>
        </w:rPr>
        <w:t>speed</w:t>
      </w:r>
      <w:r>
        <w:rPr>
          <w:spacing w:val="-18"/>
          <w:sz w:val="22"/>
        </w:rPr>
        <w:t> </w:t>
      </w:r>
      <w:r>
        <w:rPr>
          <w:sz w:val="22"/>
        </w:rPr>
        <w:t>diesel</w:t>
      </w:r>
      <w:r>
        <w:rPr>
          <w:spacing w:val="-20"/>
          <w:sz w:val="22"/>
        </w:rPr>
        <w:t> </w:t>
      </w:r>
      <w:r>
        <w:rPr>
          <w:sz w:val="22"/>
        </w:rPr>
        <w:t>to</w:t>
      </w:r>
      <w:r>
        <w:rPr>
          <w:spacing w:val="-17"/>
          <w:sz w:val="22"/>
        </w:rPr>
        <w:t> </w:t>
      </w:r>
      <w:r>
        <w:rPr>
          <w:sz w:val="22"/>
        </w:rPr>
        <w:t>MPPL,</w:t>
      </w:r>
      <w:r>
        <w:rPr>
          <w:spacing w:val="-17"/>
          <w:sz w:val="22"/>
        </w:rPr>
        <w:t> </w:t>
      </w:r>
      <w:r>
        <w:rPr>
          <w:sz w:val="22"/>
        </w:rPr>
        <w:t>informed</w:t>
      </w:r>
      <w:r>
        <w:rPr>
          <w:spacing w:val="-18"/>
          <w:sz w:val="22"/>
        </w:rPr>
        <w:t> </w:t>
      </w:r>
      <w:r>
        <w:rPr>
          <w:sz w:val="22"/>
        </w:rPr>
        <w:t>MPPL</w:t>
      </w:r>
      <w:r>
        <w:rPr>
          <w:spacing w:val="-19"/>
          <w:sz w:val="22"/>
        </w:rPr>
        <w:t> </w:t>
      </w:r>
      <w:r>
        <w:rPr>
          <w:sz w:val="22"/>
        </w:rPr>
        <w:t>that</w:t>
      </w:r>
      <w:r>
        <w:rPr>
          <w:spacing w:val="-16"/>
          <w:sz w:val="22"/>
        </w:rPr>
        <w:t> </w:t>
      </w:r>
      <w:r>
        <w:rPr>
          <w:sz w:val="22"/>
        </w:rPr>
        <w:t>amount</w:t>
      </w:r>
      <w:r>
        <w:rPr>
          <w:spacing w:val="-17"/>
          <w:sz w:val="22"/>
        </w:rPr>
        <w:t> </w:t>
      </w:r>
      <w:r>
        <w:rPr>
          <w:sz w:val="22"/>
        </w:rPr>
        <w:t>payable</w:t>
      </w:r>
      <w:r>
        <w:rPr>
          <w:spacing w:val="-18"/>
          <w:sz w:val="22"/>
        </w:rPr>
        <w:t> </w:t>
      </w:r>
      <w:r>
        <w:rPr>
          <w:sz w:val="22"/>
        </w:rPr>
        <w:t>due</w:t>
      </w:r>
      <w:r>
        <w:rPr>
          <w:spacing w:val="-17"/>
          <w:sz w:val="22"/>
        </w:rPr>
        <w:t> </w:t>
      </w:r>
      <w:r>
        <w:rPr>
          <w:sz w:val="22"/>
        </w:rPr>
        <w:t>to</w:t>
      </w:r>
      <w:r>
        <w:rPr>
          <w:spacing w:val="-16"/>
          <w:sz w:val="22"/>
        </w:rPr>
        <w:t> </w:t>
      </w:r>
      <w:r>
        <w:rPr>
          <w:sz w:val="22"/>
        </w:rPr>
        <w:t>excise</w:t>
      </w:r>
      <w:r>
        <w:rPr>
          <w:spacing w:val="-17"/>
          <w:sz w:val="22"/>
        </w:rPr>
        <w:t> </w:t>
      </w:r>
      <w:r>
        <w:rPr>
          <w:sz w:val="22"/>
        </w:rPr>
        <w:t>duty on</w:t>
      </w:r>
      <w:r>
        <w:rPr>
          <w:spacing w:val="-29"/>
          <w:sz w:val="22"/>
        </w:rPr>
        <w:t> </w:t>
      </w:r>
      <w:r>
        <w:rPr>
          <w:sz w:val="22"/>
        </w:rPr>
        <w:t>supply</w:t>
      </w:r>
      <w:r>
        <w:rPr>
          <w:spacing w:val="-27"/>
          <w:sz w:val="22"/>
        </w:rPr>
        <w:t> </w:t>
      </w:r>
      <w:r>
        <w:rPr>
          <w:sz w:val="22"/>
        </w:rPr>
        <w:t>of</w:t>
      </w:r>
      <w:r>
        <w:rPr>
          <w:spacing w:val="-27"/>
          <w:sz w:val="22"/>
        </w:rPr>
        <w:t> </w:t>
      </w:r>
      <w:r>
        <w:rPr>
          <w:sz w:val="22"/>
        </w:rPr>
        <w:t>diesel</w:t>
      </w:r>
      <w:r>
        <w:rPr>
          <w:spacing w:val="-30"/>
          <w:sz w:val="22"/>
        </w:rPr>
        <w:t> </w:t>
      </w:r>
      <w:r>
        <w:rPr>
          <w:sz w:val="22"/>
        </w:rPr>
        <w:t>to</w:t>
      </w:r>
      <w:r>
        <w:rPr>
          <w:spacing w:val="-28"/>
          <w:sz w:val="22"/>
        </w:rPr>
        <w:t> </w:t>
      </w:r>
      <w:r>
        <w:rPr>
          <w:sz w:val="22"/>
        </w:rPr>
        <w:t>MPPL</w:t>
      </w:r>
      <w:r>
        <w:rPr>
          <w:spacing w:val="-29"/>
          <w:sz w:val="22"/>
        </w:rPr>
        <w:t> </w:t>
      </w:r>
      <w:r>
        <w:rPr>
          <w:sz w:val="22"/>
        </w:rPr>
        <w:t>was</w:t>
      </w:r>
      <w:r>
        <w:rPr>
          <w:spacing w:val="-25"/>
          <w:sz w:val="22"/>
        </w:rPr>
        <w:t> </w:t>
      </w:r>
      <w:r>
        <w:rPr>
          <w:rFonts w:ascii="Arial" w:hAnsi="Arial"/>
          <w:sz w:val="22"/>
        </w:rPr>
        <w:t>₹</w:t>
      </w:r>
      <w:r>
        <w:rPr>
          <w:sz w:val="22"/>
        </w:rPr>
        <w:t>31.60</w:t>
      </w:r>
      <w:r>
        <w:rPr>
          <w:spacing w:val="-29"/>
          <w:sz w:val="22"/>
        </w:rPr>
        <w:t> </w:t>
      </w:r>
      <w:r>
        <w:rPr>
          <w:sz w:val="22"/>
        </w:rPr>
        <w:t>million</w:t>
      </w:r>
      <w:r>
        <w:rPr>
          <w:spacing w:val="-28"/>
          <w:sz w:val="22"/>
        </w:rPr>
        <w:t> </w:t>
      </w:r>
      <w:r>
        <w:rPr>
          <w:sz w:val="22"/>
        </w:rPr>
        <w:t>and</w:t>
      </w:r>
      <w:r>
        <w:rPr>
          <w:spacing w:val="-27"/>
          <w:sz w:val="22"/>
        </w:rPr>
        <w:t> </w:t>
      </w:r>
      <w:r>
        <w:rPr>
          <w:rFonts w:ascii="Arial" w:hAnsi="Arial"/>
          <w:sz w:val="22"/>
        </w:rPr>
        <w:t>₹</w:t>
      </w:r>
      <w:r>
        <w:rPr>
          <w:sz w:val="22"/>
        </w:rPr>
        <w:t>8.49</w:t>
      </w:r>
      <w:r>
        <w:rPr>
          <w:spacing w:val="-30"/>
          <w:sz w:val="22"/>
        </w:rPr>
        <w:t> </w:t>
      </w:r>
      <w:r>
        <w:rPr>
          <w:sz w:val="22"/>
        </w:rPr>
        <w:t>million,</w:t>
      </w:r>
      <w:r>
        <w:rPr>
          <w:spacing w:val="-27"/>
          <w:sz w:val="22"/>
        </w:rPr>
        <w:t> </w:t>
      </w:r>
      <w:r>
        <w:rPr>
          <w:sz w:val="22"/>
        </w:rPr>
        <w:t>respectively,</w:t>
      </w:r>
      <w:r>
        <w:rPr>
          <w:spacing w:val="-28"/>
          <w:sz w:val="22"/>
        </w:rPr>
        <w:t> </w:t>
      </w:r>
      <w:r>
        <w:rPr>
          <w:sz w:val="22"/>
        </w:rPr>
        <w:t>due</w:t>
      </w:r>
      <w:r>
        <w:rPr>
          <w:spacing w:val="-28"/>
          <w:sz w:val="22"/>
        </w:rPr>
        <w:t> </w:t>
      </w:r>
      <w:r>
        <w:rPr>
          <w:sz w:val="22"/>
        </w:rPr>
        <w:t>to</w:t>
      </w:r>
      <w:r>
        <w:rPr>
          <w:spacing w:val="-29"/>
          <w:sz w:val="22"/>
        </w:rPr>
        <w:t> </w:t>
      </w:r>
      <w:r>
        <w:rPr>
          <w:sz w:val="22"/>
        </w:rPr>
        <w:t>the</w:t>
      </w:r>
      <w:r>
        <w:rPr>
          <w:spacing w:val="-28"/>
          <w:sz w:val="22"/>
        </w:rPr>
        <w:t> </w:t>
      </w:r>
      <w:r>
        <w:rPr>
          <w:spacing w:val="-9"/>
          <w:sz w:val="22"/>
        </w:rPr>
        <w:t>changed </w:t>
      </w:r>
      <w:r>
        <w:rPr>
          <w:sz w:val="22"/>
        </w:rPr>
        <w:t>guidelines. MPPL filed an application before the Development Commissioner, Manyata Embassy Business</w:t>
      </w:r>
      <w:r>
        <w:rPr>
          <w:spacing w:val="-26"/>
          <w:sz w:val="22"/>
        </w:rPr>
        <w:t> </w:t>
      </w:r>
      <w:r>
        <w:rPr>
          <w:sz w:val="22"/>
        </w:rPr>
        <w:t>Park</w:t>
      </w:r>
      <w:r>
        <w:rPr>
          <w:spacing w:val="-25"/>
          <w:sz w:val="22"/>
        </w:rPr>
        <w:t> </w:t>
      </w:r>
      <w:r>
        <w:rPr>
          <w:sz w:val="22"/>
        </w:rPr>
        <w:t>SEZ</w:t>
      </w:r>
      <w:r>
        <w:rPr>
          <w:spacing w:val="-25"/>
          <w:sz w:val="22"/>
        </w:rPr>
        <w:t> </w:t>
      </w:r>
      <w:r>
        <w:rPr>
          <w:sz w:val="22"/>
        </w:rPr>
        <w:t>in</w:t>
      </w:r>
      <w:r>
        <w:rPr>
          <w:spacing w:val="-27"/>
          <w:sz w:val="22"/>
        </w:rPr>
        <w:t> </w:t>
      </w:r>
      <w:r>
        <w:rPr>
          <w:sz w:val="22"/>
        </w:rPr>
        <w:t>2016</w:t>
      </w:r>
      <w:r>
        <w:rPr>
          <w:spacing w:val="-26"/>
          <w:sz w:val="22"/>
        </w:rPr>
        <w:t> </w:t>
      </w:r>
      <w:r>
        <w:rPr>
          <w:sz w:val="22"/>
        </w:rPr>
        <w:t>seeking</w:t>
      </w:r>
      <w:r>
        <w:rPr>
          <w:spacing w:val="-24"/>
          <w:sz w:val="22"/>
        </w:rPr>
        <w:t> </w:t>
      </w:r>
      <w:r>
        <w:rPr>
          <w:sz w:val="22"/>
        </w:rPr>
        <w:t>approval</w:t>
      </w:r>
      <w:r>
        <w:rPr>
          <w:spacing w:val="-25"/>
          <w:sz w:val="22"/>
        </w:rPr>
        <w:t> </w:t>
      </w:r>
      <w:r>
        <w:rPr>
          <w:sz w:val="22"/>
        </w:rPr>
        <w:t>of</w:t>
      </w:r>
      <w:r>
        <w:rPr>
          <w:spacing w:val="-24"/>
          <w:sz w:val="22"/>
        </w:rPr>
        <w:t> </w:t>
      </w:r>
      <w:r>
        <w:rPr>
          <w:sz w:val="22"/>
        </w:rPr>
        <w:t>its</w:t>
      </w:r>
      <w:r>
        <w:rPr>
          <w:spacing w:val="-23"/>
          <w:sz w:val="22"/>
        </w:rPr>
        <w:t> </w:t>
      </w:r>
      <w:r>
        <w:rPr>
          <w:sz w:val="22"/>
        </w:rPr>
        <w:t>DG</w:t>
      </w:r>
      <w:r>
        <w:rPr>
          <w:spacing w:val="-26"/>
          <w:sz w:val="22"/>
        </w:rPr>
        <w:t> </w:t>
      </w:r>
      <w:r>
        <w:rPr>
          <w:sz w:val="22"/>
        </w:rPr>
        <w:t>set</w:t>
      </w:r>
      <w:r>
        <w:rPr>
          <w:spacing w:val="-26"/>
          <w:sz w:val="22"/>
        </w:rPr>
        <w:t> </w:t>
      </w:r>
      <w:r>
        <w:rPr>
          <w:sz w:val="22"/>
        </w:rPr>
        <w:t>unit</w:t>
      </w:r>
      <w:r>
        <w:rPr>
          <w:spacing w:val="-24"/>
          <w:sz w:val="22"/>
        </w:rPr>
        <w:t> </w:t>
      </w:r>
      <w:r>
        <w:rPr>
          <w:sz w:val="22"/>
        </w:rPr>
        <w:t>as</w:t>
      </w:r>
      <w:r>
        <w:rPr>
          <w:spacing w:val="-26"/>
          <w:sz w:val="22"/>
        </w:rPr>
        <w:t> </w:t>
      </w:r>
      <w:r>
        <w:rPr>
          <w:sz w:val="22"/>
        </w:rPr>
        <w:t>a</w:t>
      </w:r>
      <w:r>
        <w:rPr>
          <w:spacing w:val="-25"/>
          <w:sz w:val="22"/>
        </w:rPr>
        <w:t> </w:t>
      </w:r>
      <w:r>
        <w:rPr>
          <w:sz w:val="22"/>
        </w:rPr>
        <w:t>SEZ</w:t>
      </w:r>
      <w:r>
        <w:rPr>
          <w:spacing w:val="-27"/>
          <w:sz w:val="22"/>
        </w:rPr>
        <w:t> </w:t>
      </w:r>
      <w:r>
        <w:rPr>
          <w:sz w:val="22"/>
        </w:rPr>
        <w:t>unit</w:t>
      </w:r>
      <w:r>
        <w:rPr>
          <w:spacing w:val="-24"/>
          <w:sz w:val="22"/>
        </w:rPr>
        <w:t> </w:t>
      </w:r>
      <w:r>
        <w:rPr>
          <w:sz w:val="22"/>
        </w:rPr>
        <w:t>with</w:t>
      </w:r>
      <w:r>
        <w:rPr>
          <w:spacing w:val="-26"/>
          <w:sz w:val="22"/>
        </w:rPr>
        <w:t> </w:t>
      </w:r>
      <w:r>
        <w:rPr>
          <w:sz w:val="22"/>
        </w:rPr>
        <w:t>retrospective</w:t>
      </w:r>
      <w:r>
        <w:rPr>
          <w:spacing w:val="-25"/>
          <w:sz w:val="22"/>
        </w:rPr>
        <w:t> </w:t>
      </w:r>
      <w:r>
        <w:rPr>
          <w:sz w:val="22"/>
        </w:rPr>
        <w:t>effect, which was not</w:t>
      </w:r>
      <w:r>
        <w:rPr>
          <w:spacing w:val="-1"/>
          <w:sz w:val="22"/>
        </w:rPr>
        <w:t> </w:t>
      </w:r>
      <w:r>
        <w:rPr>
          <w:sz w:val="22"/>
        </w:rPr>
        <w:t>granted.</w:t>
      </w:r>
    </w:p>
    <w:p>
      <w:pPr>
        <w:pStyle w:val="BodyText"/>
        <w:spacing w:line="249" w:lineRule="auto" w:before="219"/>
        <w:ind w:left="1671" w:right="607"/>
      </w:pPr>
      <w:r>
        <w:rPr/>
        <w:t>Subsequently, MPPL filed an appeal before the Development Commissioner, Manyata Embassy Business</w:t>
      </w:r>
      <w:r>
        <w:rPr>
          <w:spacing w:val="-20"/>
        </w:rPr>
        <w:t> </w:t>
      </w:r>
      <w:r>
        <w:rPr/>
        <w:t>Park</w:t>
      </w:r>
      <w:r>
        <w:rPr>
          <w:spacing w:val="-20"/>
        </w:rPr>
        <w:t> </w:t>
      </w:r>
      <w:r>
        <w:rPr/>
        <w:t>SEZ</w:t>
      </w:r>
      <w:r>
        <w:rPr>
          <w:spacing w:val="-20"/>
        </w:rPr>
        <w:t> </w:t>
      </w:r>
      <w:r>
        <w:rPr/>
        <w:t>seeking</w:t>
      </w:r>
      <w:r>
        <w:rPr>
          <w:spacing w:val="-20"/>
        </w:rPr>
        <w:t> </w:t>
      </w:r>
      <w:r>
        <w:rPr/>
        <w:t>modification</w:t>
      </w:r>
      <w:r>
        <w:rPr>
          <w:spacing w:val="-20"/>
        </w:rPr>
        <w:t> </w:t>
      </w:r>
      <w:r>
        <w:rPr/>
        <w:t>of</w:t>
      </w:r>
      <w:r>
        <w:rPr>
          <w:spacing w:val="-20"/>
        </w:rPr>
        <w:t> </w:t>
      </w:r>
      <w:r>
        <w:rPr/>
        <w:t>the</w:t>
      </w:r>
      <w:r>
        <w:rPr>
          <w:spacing w:val="-19"/>
        </w:rPr>
        <w:t> </w:t>
      </w:r>
      <w:r>
        <w:rPr/>
        <w:t>letter</w:t>
      </w:r>
      <w:r>
        <w:rPr>
          <w:spacing w:val="-19"/>
        </w:rPr>
        <w:t> </w:t>
      </w:r>
      <w:r>
        <w:rPr/>
        <w:t>of</w:t>
      </w:r>
      <w:r>
        <w:rPr>
          <w:spacing w:val="-19"/>
        </w:rPr>
        <w:t> </w:t>
      </w:r>
      <w:r>
        <w:rPr/>
        <w:t>approval</w:t>
      </w:r>
      <w:r>
        <w:rPr>
          <w:spacing w:val="-19"/>
        </w:rPr>
        <w:t> </w:t>
      </w:r>
      <w:r>
        <w:rPr/>
        <w:t>granted</w:t>
      </w:r>
      <w:r>
        <w:rPr>
          <w:spacing w:val="-21"/>
        </w:rPr>
        <w:t> </w:t>
      </w:r>
      <w:r>
        <w:rPr/>
        <w:t>by</w:t>
      </w:r>
      <w:r>
        <w:rPr>
          <w:spacing w:val="-20"/>
        </w:rPr>
        <w:t> </w:t>
      </w:r>
      <w:r>
        <w:rPr/>
        <w:t>the</w:t>
      </w:r>
      <w:r>
        <w:rPr>
          <w:spacing w:val="-21"/>
        </w:rPr>
        <w:t> </w:t>
      </w:r>
      <w:r>
        <w:rPr/>
        <w:t>Board</w:t>
      </w:r>
      <w:r>
        <w:rPr>
          <w:spacing w:val="-18"/>
        </w:rPr>
        <w:t> </w:t>
      </w:r>
      <w:r>
        <w:rPr/>
        <w:t>of</w:t>
      </w:r>
      <w:r>
        <w:rPr>
          <w:spacing w:val="-21"/>
        </w:rPr>
        <w:t> </w:t>
      </w:r>
      <w:r>
        <w:rPr/>
        <w:t>Approval,</w:t>
      </w:r>
    </w:p>
    <w:p>
      <w:pPr>
        <w:spacing w:after="0" w:line="249" w:lineRule="auto"/>
        <w:sectPr>
          <w:pgSz w:w="11910" w:h="16840"/>
          <w:pgMar w:header="720" w:footer="862" w:top="1660" w:bottom="1060" w:left="40" w:right="40"/>
        </w:sectPr>
      </w:pPr>
    </w:p>
    <w:p>
      <w:pPr>
        <w:pStyle w:val="BodyText"/>
        <w:spacing w:before="7"/>
        <w:rPr>
          <w:sz w:val="9"/>
        </w:rPr>
      </w:pPr>
    </w:p>
    <w:p>
      <w:pPr>
        <w:pStyle w:val="BodyText"/>
        <w:spacing w:line="247" w:lineRule="auto" w:before="106"/>
        <w:ind w:left="1671"/>
      </w:pPr>
      <w:r>
        <w:rPr/>
        <w:t>SEZ Section to classify MPPL’s captive power plant as a SEZ unit, as it was not granted with retrospective effect, which was rejected.</w:t>
      </w:r>
    </w:p>
    <w:p>
      <w:pPr>
        <w:pStyle w:val="BodyText"/>
        <w:spacing w:before="8"/>
      </w:pPr>
    </w:p>
    <w:p>
      <w:pPr>
        <w:pStyle w:val="ListParagraph"/>
        <w:numPr>
          <w:ilvl w:val="0"/>
          <w:numId w:val="97"/>
        </w:numPr>
        <w:tabs>
          <w:tab w:pos="1671" w:val="left" w:leader="none"/>
          <w:tab w:pos="1672" w:val="left" w:leader="none"/>
        </w:tabs>
        <w:spacing w:line="268" w:lineRule="auto" w:before="0" w:after="0"/>
        <w:ind w:left="1671" w:right="674" w:hanging="992"/>
        <w:jc w:val="both"/>
        <w:rPr>
          <w:sz w:val="22"/>
        </w:rPr>
      </w:pPr>
      <w:r>
        <w:rPr>
          <w:sz w:val="22"/>
        </w:rPr>
        <w:t>MPPL has also received a demand order dated 9 Oct 2017 to pay a sum of Rs. 760.07 million (including</w:t>
      </w:r>
      <w:r>
        <w:rPr>
          <w:spacing w:val="-36"/>
          <w:sz w:val="22"/>
        </w:rPr>
        <w:t> </w:t>
      </w:r>
      <w:r>
        <w:rPr>
          <w:sz w:val="22"/>
        </w:rPr>
        <w:t>penalty)</w:t>
      </w:r>
      <w:r>
        <w:rPr>
          <w:spacing w:val="-35"/>
          <w:sz w:val="22"/>
        </w:rPr>
        <w:t> </w:t>
      </w:r>
      <w:r>
        <w:rPr>
          <w:sz w:val="22"/>
        </w:rPr>
        <w:t>towards</w:t>
      </w:r>
      <w:r>
        <w:rPr>
          <w:spacing w:val="-36"/>
          <w:sz w:val="22"/>
        </w:rPr>
        <w:t> </w:t>
      </w:r>
      <w:r>
        <w:rPr>
          <w:sz w:val="22"/>
        </w:rPr>
        <w:t>the</w:t>
      </w:r>
      <w:r>
        <w:rPr>
          <w:spacing w:val="-36"/>
          <w:sz w:val="22"/>
        </w:rPr>
        <w:t> </w:t>
      </w:r>
      <w:r>
        <w:rPr>
          <w:sz w:val="22"/>
        </w:rPr>
        <w:t>differential</w:t>
      </w:r>
      <w:r>
        <w:rPr>
          <w:spacing w:val="-36"/>
          <w:sz w:val="22"/>
        </w:rPr>
        <w:t> </w:t>
      </w:r>
      <w:r>
        <w:rPr>
          <w:sz w:val="22"/>
        </w:rPr>
        <w:t>property</w:t>
      </w:r>
      <w:r>
        <w:rPr>
          <w:spacing w:val="-36"/>
          <w:sz w:val="22"/>
        </w:rPr>
        <w:t> </w:t>
      </w:r>
      <w:r>
        <w:rPr>
          <w:sz w:val="22"/>
        </w:rPr>
        <w:t>tax</w:t>
      </w:r>
      <w:r>
        <w:rPr>
          <w:spacing w:val="-36"/>
          <w:sz w:val="22"/>
        </w:rPr>
        <w:t> </w:t>
      </w:r>
      <w:r>
        <w:rPr>
          <w:sz w:val="22"/>
        </w:rPr>
        <w:t>based</w:t>
      </w:r>
      <w:r>
        <w:rPr>
          <w:spacing w:val="-35"/>
          <w:sz w:val="22"/>
        </w:rPr>
        <w:t> </w:t>
      </w:r>
      <w:r>
        <w:rPr>
          <w:sz w:val="22"/>
        </w:rPr>
        <w:t>on</w:t>
      </w:r>
      <w:r>
        <w:rPr>
          <w:spacing w:val="-36"/>
          <w:sz w:val="22"/>
        </w:rPr>
        <w:t> </w:t>
      </w:r>
      <w:r>
        <w:rPr>
          <w:spacing w:val="2"/>
          <w:sz w:val="22"/>
        </w:rPr>
        <w:t>the</w:t>
      </w:r>
      <w:r>
        <w:rPr>
          <w:spacing w:val="-36"/>
          <w:sz w:val="22"/>
        </w:rPr>
        <w:t> </w:t>
      </w:r>
      <w:r>
        <w:rPr>
          <w:sz w:val="22"/>
        </w:rPr>
        <w:t>total</w:t>
      </w:r>
      <w:r>
        <w:rPr>
          <w:spacing w:val="-37"/>
          <w:sz w:val="22"/>
        </w:rPr>
        <w:t> </w:t>
      </w:r>
      <w:r>
        <w:rPr>
          <w:sz w:val="22"/>
        </w:rPr>
        <w:t>survey</w:t>
      </w:r>
      <w:r>
        <w:rPr>
          <w:spacing w:val="-35"/>
          <w:sz w:val="22"/>
        </w:rPr>
        <w:t> </w:t>
      </w:r>
      <w:r>
        <w:rPr>
          <w:sz w:val="22"/>
        </w:rPr>
        <w:t>report</w:t>
      </w:r>
      <w:r>
        <w:rPr>
          <w:spacing w:val="-36"/>
          <w:sz w:val="22"/>
        </w:rPr>
        <w:t> </w:t>
      </w:r>
      <w:r>
        <w:rPr>
          <w:sz w:val="22"/>
        </w:rPr>
        <w:t>for</w:t>
      </w:r>
      <w:r>
        <w:rPr>
          <w:spacing w:val="-36"/>
          <w:sz w:val="22"/>
        </w:rPr>
        <w:t> </w:t>
      </w:r>
      <w:r>
        <w:rPr>
          <w:sz w:val="22"/>
        </w:rPr>
        <w:t>certain blocks</w:t>
      </w:r>
      <w:r>
        <w:rPr>
          <w:spacing w:val="-21"/>
          <w:sz w:val="22"/>
        </w:rPr>
        <w:t> </w:t>
      </w:r>
      <w:r>
        <w:rPr>
          <w:sz w:val="22"/>
        </w:rPr>
        <w:t>for</w:t>
      </w:r>
      <w:r>
        <w:rPr>
          <w:spacing w:val="-22"/>
          <w:sz w:val="22"/>
        </w:rPr>
        <w:t> </w:t>
      </w:r>
      <w:r>
        <w:rPr>
          <w:sz w:val="22"/>
        </w:rPr>
        <w:t>the</w:t>
      </w:r>
      <w:r>
        <w:rPr>
          <w:spacing w:val="-23"/>
          <w:sz w:val="22"/>
        </w:rPr>
        <w:t> </w:t>
      </w:r>
      <w:r>
        <w:rPr>
          <w:sz w:val="22"/>
        </w:rPr>
        <w:t>period</w:t>
      </w:r>
      <w:r>
        <w:rPr>
          <w:spacing w:val="-21"/>
          <w:sz w:val="22"/>
        </w:rPr>
        <w:t> </w:t>
      </w:r>
      <w:r>
        <w:rPr>
          <w:sz w:val="22"/>
        </w:rPr>
        <w:t>2008-09</w:t>
      </w:r>
      <w:r>
        <w:rPr>
          <w:spacing w:val="-22"/>
          <w:sz w:val="22"/>
        </w:rPr>
        <w:t> </w:t>
      </w:r>
      <w:r>
        <w:rPr>
          <w:sz w:val="22"/>
        </w:rPr>
        <w:t>to</w:t>
      </w:r>
      <w:r>
        <w:rPr>
          <w:spacing w:val="-21"/>
          <w:sz w:val="22"/>
        </w:rPr>
        <w:t> </w:t>
      </w:r>
      <w:r>
        <w:rPr>
          <w:sz w:val="22"/>
        </w:rPr>
        <w:t>2017-18.</w:t>
      </w:r>
      <w:r>
        <w:rPr>
          <w:spacing w:val="-23"/>
          <w:sz w:val="22"/>
        </w:rPr>
        <w:t> </w:t>
      </w:r>
      <w:r>
        <w:rPr>
          <w:sz w:val="22"/>
        </w:rPr>
        <w:t>An</w:t>
      </w:r>
      <w:r>
        <w:rPr>
          <w:spacing w:val="-22"/>
          <w:sz w:val="22"/>
        </w:rPr>
        <w:t> </w:t>
      </w:r>
      <w:r>
        <w:rPr>
          <w:sz w:val="22"/>
        </w:rPr>
        <w:t>appeal</w:t>
      </w:r>
      <w:r>
        <w:rPr>
          <w:spacing w:val="-22"/>
          <w:sz w:val="22"/>
        </w:rPr>
        <w:t> </w:t>
      </w:r>
      <w:r>
        <w:rPr>
          <w:sz w:val="22"/>
        </w:rPr>
        <w:t>has</w:t>
      </w:r>
      <w:r>
        <w:rPr>
          <w:spacing w:val="-20"/>
          <w:sz w:val="22"/>
        </w:rPr>
        <w:t> </w:t>
      </w:r>
      <w:r>
        <w:rPr>
          <w:sz w:val="22"/>
        </w:rPr>
        <w:t>been</w:t>
      </w:r>
      <w:r>
        <w:rPr>
          <w:spacing w:val="-22"/>
          <w:sz w:val="22"/>
        </w:rPr>
        <w:t> </w:t>
      </w:r>
      <w:r>
        <w:rPr>
          <w:sz w:val="22"/>
        </w:rPr>
        <w:t>filed</w:t>
      </w:r>
      <w:r>
        <w:rPr>
          <w:spacing w:val="-22"/>
          <w:sz w:val="22"/>
        </w:rPr>
        <w:t> </w:t>
      </w:r>
      <w:r>
        <w:rPr>
          <w:sz w:val="22"/>
        </w:rPr>
        <w:t>before</w:t>
      </w:r>
      <w:r>
        <w:rPr>
          <w:spacing w:val="-22"/>
          <w:sz w:val="22"/>
        </w:rPr>
        <w:t> </w:t>
      </w:r>
      <w:r>
        <w:rPr>
          <w:sz w:val="22"/>
        </w:rPr>
        <w:t>the</w:t>
      </w:r>
      <w:r>
        <w:rPr>
          <w:spacing w:val="-22"/>
          <w:sz w:val="22"/>
        </w:rPr>
        <w:t> </w:t>
      </w:r>
      <w:r>
        <w:rPr>
          <w:sz w:val="22"/>
        </w:rPr>
        <w:t>Joint</w:t>
      </w:r>
      <w:r>
        <w:rPr>
          <w:spacing w:val="-20"/>
          <w:sz w:val="22"/>
        </w:rPr>
        <w:t> </w:t>
      </w:r>
      <w:r>
        <w:rPr>
          <w:sz w:val="22"/>
        </w:rPr>
        <w:t>Commissioner, BBMP,</w:t>
      </w:r>
      <w:r>
        <w:rPr>
          <w:spacing w:val="-7"/>
          <w:sz w:val="22"/>
        </w:rPr>
        <w:t> </w:t>
      </w:r>
      <w:r>
        <w:rPr>
          <w:sz w:val="22"/>
        </w:rPr>
        <w:t>Bytarayanapura,</w:t>
      </w:r>
      <w:r>
        <w:rPr>
          <w:spacing w:val="-8"/>
          <w:sz w:val="22"/>
        </w:rPr>
        <w:t> </w:t>
      </w:r>
      <w:r>
        <w:rPr>
          <w:sz w:val="22"/>
        </w:rPr>
        <w:t>Bangalore</w:t>
      </w:r>
      <w:r>
        <w:rPr>
          <w:spacing w:val="-8"/>
          <w:sz w:val="22"/>
        </w:rPr>
        <w:t> </w:t>
      </w:r>
      <w:r>
        <w:rPr>
          <w:sz w:val="22"/>
        </w:rPr>
        <w:t>objecting</w:t>
      </w:r>
      <w:r>
        <w:rPr>
          <w:spacing w:val="-6"/>
          <w:sz w:val="22"/>
        </w:rPr>
        <w:t> </w:t>
      </w:r>
      <w:r>
        <w:rPr>
          <w:sz w:val="22"/>
        </w:rPr>
        <w:t>the</w:t>
      </w:r>
      <w:r>
        <w:rPr>
          <w:spacing w:val="-9"/>
          <w:sz w:val="22"/>
        </w:rPr>
        <w:t> </w:t>
      </w:r>
      <w:r>
        <w:rPr>
          <w:sz w:val="22"/>
        </w:rPr>
        <w:t>total</w:t>
      </w:r>
      <w:r>
        <w:rPr>
          <w:spacing w:val="-8"/>
          <w:sz w:val="22"/>
        </w:rPr>
        <w:t> </w:t>
      </w:r>
      <w:r>
        <w:rPr>
          <w:sz w:val="22"/>
        </w:rPr>
        <w:t>survey</w:t>
      </w:r>
      <w:r>
        <w:rPr>
          <w:spacing w:val="-7"/>
          <w:sz w:val="22"/>
        </w:rPr>
        <w:t> </w:t>
      </w:r>
      <w:r>
        <w:rPr>
          <w:sz w:val="22"/>
        </w:rPr>
        <w:t>report</w:t>
      </w:r>
      <w:r>
        <w:rPr>
          <w:spacing w:val="-7"/>
          <w:sz w:val="22"/>
        </w:rPr>
        <w:t> </w:t>
      </w:r>
      <w:r>
        <w:rPr>
          <w:sz w:val="22"/>
        </w:rPr>
        <w:t>and</w:t>
      </w:r>
      <w:r>
        <w:rPr>
          <w:spacing w:val="-7"/>
          <w:sz w:val="22"/>
        </w:rPr>
        <w:t> </w:t>
      </w:r>
      <w:r>
        <w:rPr>
          <w:sz w:val="22"/>
        </w:rPr>
        <w:t>property</w:t>
      </w:r>
      <w:r>
        <w:rPr>
          <w:spacing w:val="-7"/>
          <w:sz w:val="22"/>
        </w:rPr>
        <w:t> </w:t>
      </w:r>
      <w:r>
        <w:rPr>
          <w:sz w:val="22"/>
        </w:rPr>
        <w:t>tax</w:t>
      </w:r>
      <w:r>
        <w:rPr>
          <w:spacing w:val="-7"/>
          <w:sz w:val="22"/>
        </w:rPr>
        <w:t> </w:t>
      </w:r>
      <w:r>
        <w:rPr>
          <w:sz w:val="22"/>
        </w:rPr>
        <w:t>assessment notice arising therefrom. However, the appeals preferred by SPV was disposed on 3 Jan 2018 as per</w:t>
      </w:r>
      <w:r>
        <w:rPr>
          <w:spacing w:val="-46"/>
          <w:sz w:val="22"/>
        </w:rPr>
        <w:t> </w:t>
      </w:r>
      <w:r>
        <w:rPr>
          <w:sz w:val="22"/>
        </w:rPr>
        <w:t>the</w:t>
      </w:r>
      <w:r>
        <w:rPr>
          <w:spacing w:val="-45"/>
          <w:sz w:val="22"/>
        </w:rPr>
        <w:t> </w:t>
      </w:r>
      <w:r>
        <w:rPr>
          <w:sz w:val="22"/>
        </w:rPr>
        <w:t>orders</w:t>
      </w:r>
      <w:r>
        <w:rPr>
          <w:spacing w:val="-46"/>
          <w:sz w:val="22"/>
        </w:rPr>
        <w:t> </w:t>
      </w:r>
      <w:r>
        <w:rPr>
          <w:sz w:val="22"/>
        </w:rPr>
        <w:t>passed</w:t>
      </w:r>
      <w:r>
        <w:rPr>
          <w:spacing w:val="-45"/>
          <w:sz w:val="22"/>
        </w:rPr>
        <w:t> </w:t>
      </w:r>
      <w:r>
        <w:rPr>
          <w:sz w:val="22"/>
        </w:rPr>
        <w:t>by</w:t>
      </w:r>
      <w:r>
        <w:rPr>
          <w:spacing w:val="-44"/>
          <w:sz w:val="22"/>
        </w:rPr>
        <w:t> </w:t>
      </w:r>
      <w:r>
        <w:rPr>
          <w:sz w:val="22"/>
        </w:rPr>
        <w:t>the</w:t>
      </w:r>
      <w:r>
        <w:rPr>
          <w:spacing w:val="-46"/>
          <w:sz w:val="22"/>
        </w:rPr>
        <w:t> </w:t>
      </w:r>
      <w:r>
        <w:rPr>
          <w:sz w:val="22"/>
        </w:rPr>
        <w:t>Appellate</w:t>
      </w:r>
      <w:r>
        <w:rPr>
          <w:spacing w:val="-45"/>
          <w:sz w:val="22"/>
        </w:rPr>
        <w:t> </w:t>
      </w:r>
      <w:r>
        <w:rPr>
          <w:sz w:val="22"/>
        </w:rPr>
        <w:t>Authority</w:t>
      </w:r>
      <w:r>
        <w:rPr>
          <w:spacing w:val="-45"/>
          <w:sz w:val="22"/>
        </w:rPr>
        <w:t> </w:t>
      </w:r>
      <w:r>
        <w:rPr>
          <w:sz w:val="22"/>
        </w:rPr>
        <w:t>and</w:t>
      </w:r>
      <w:r>
        <w:rPr>
          <w:spacing w:val="-45"/>
          <w:sz w:val="22"/>
        </w:rPr>
        <w:t> </w:t>
      </w:r>
      <w:r>
        <w:rPr>
          <w:sz w:val="22"/>
        </w:rPr>
        <w:t>pursuant</w:t>
      </w:r>
      <w:r>
        <w:rPr>
          <w:spacing w:val="-45"/>
          <w:sz w:val="22"/>
        </w:rPr>
        <w:t> </w:t>
      </w:r>
      <w:r>
        <w:rPr>
          <w:sz w:val="22"/>
        </w:rPr>
        <w:t>to</w:t>
      </w:r>
      <w:r>
        <w:rPr>
          <w:spacing w:val="-45"/>
          <w:sz w:val="22"/>
        </w:rPr>
        <w:t> </w:t>
      </w:r>
      <w:r>
        <w:rPr>
          <w:sz w:val="22"/>
        </w:rPr>
        <w:t>the</w:t>
      </w:r>
      <w:r>
        <w:rPr>
          <w:spacing w:val="-46"/>
          <w:sz w:val="22"/>
        </w:rPr>
        <w:t> </w:t>
      </w:r>
      <w:r>
        <w:rPr>
          <w:sz w:val="22"/>
        </w:rPr>
        <w:t>orders</w:t>
      </w:r>
      <w:r>
        <w:rPr>
          <w:spacing w:val="-44"/>
          <w:sz w:val="22"/>
        </w:rPr>
        <w:t> </w:t>
      </w:r>
      <w:r>
        <w:rPr>
          <w:sz w:val="22"/>
        </w:rPr>
        <w:t>of</w:t>
      </w:r>
      <w:r>
        <w:rPr>
          <w:spacing w:val="-45"/>
          <w:sz w:val="22"/>
        </w:rPr>
        <w:t> </w:t>
      </w:r>
      <w:r>
        <w:rPr>
          <w:sz w:val="22"/>
        </w:rPr>
        <w:t>the</w:t>
      </w:r>
      <w:r>
        <w:rPr>
          <w:spacing w:val="-47"/>
          <w:sz w:val="22"/>
        </w:rPr>
        <w:t> </w:t>
      </w:r>
      <w:r>
        <w:rPr>
          <w:sz w:val="22"/>
        </w:rPr>
        <w:t>Appellate</w:t>
      </w:r>
      <w:r>
        <w:rPr>
          <w:spacing w:val="-45"/>
          <w:sz w:val="22"/>
        </w:rPr>
        <w:t> </w:t>
      </w:r>
      <w:r>
        <w:rPr>
          <w:sz w:val="22"/>
        </w:rPr>
        <w:t>Authority a new demand notice dated 17 Jan 2019 was issued to pay a sum of Rs. 860.39 million towards the</w:t>
      </w:r>
      <w:r>
        <w:rPr>
          <w:spacing w:val="-33"/>
          <w:sz w:val="22"/>
        </w:rPr>
        <w:t> </w:t>
      </w:r>
      <w:r>
        <w:rPr>
          <w:sz w:val="22"/>
        </w:rPr>
        <w:t>differential</w:t>
      </w:r>
      <w:r>
        <w:rPr>
          <w:spacing w:val="-33"/>
          <w:sz w:val="22"/>
        </w:rPr>
        <w:t> </w:t>
      </w:r>
      <w:r>
        <w:rPr>
          <w:sz w:val="22"/>
        </w:rPr>
        <w:t>property</w:t>
      </w:r>
      <w:r>
        <w:rPr>
          <w:spacing w:val="-33"/>
          <w:sz w:val="22"/>
        </w:rPr>
        <w:t> </w:t>
      </w:r>
      <w:r>
        <w:rPr>
          <w:sz w:val="22"/>
        </w:rPr>
        <w:t>tax</w:t>
      </w:r>
      <w:r>
        <w:rPr>
          <w:spacing w:val="-32"/>
          <w:sz w:val="22"/>
        </w:rPr>
        <w:t> </w:t>
      </w:r>
      <w:r>
        <w:rPr>
          <w:sz w:val="22"/>
        </w:rPr>
        <w:t>for</w:t>
      </w:r>
      <w:r>
        <w:rPr>
          <w:spacing w:val="-33"/>
          <w:sz w:val="22"/>
        </w:rPr>
        <w:t> </w:t>
      </w:r>
      <w:r>
        <w:rPr>
          <w:sz w:val="22"/>
        </w:rPr>
        <w:t>the</w:t>
      </w:r>
      <w:r>
        <w:rPr>
          <w:spacing w:val="-33"/>
          <w:sz w:val="22"/>
        </w:rPr>
        <w:t> </w:t>
      </w:r>
      <w:r>
        <w:rPr>
          <w:sz w:val="22"/>
        </w:rPr>
        <w:t>period</w:t>
      </w:r>
      <w:r>
        <w:rPr>
          <w:spacing w:val="-32"/>
          <w:sz w:val="22"/>
        </w:rPr>
        <w:t> </w:t>
      </w:r>
      <w:r>
        <w:rPr>
          <w:sz w:val="22"/>
        </w:rPr>
        <w:t>2008-09</w:t>
      </w:r>
      <w:r>
        <w:rPr>
          <w:spacing w:val="-33"/>
          <w:sz w:val="22"/>
        </w:rPr>
        <w:t> </w:t>
      </w:r>
      <w:r>
        <w:rPr>
          <w:sz w:val="22"/>
        </w:rPr>
        <w:t>to</w:t>
      </w:r>
      <w:r>
        <w:rPr>
          <w:spacing w:val="-33"/>
          <w:sz w:val="22"/>
        </w:rPr>
        <w:t> </w:t>
      </w:r>
      <w:r>
        <w:rPr>
          <w:sz w:val="22"/>
        </w:rPr>
        <w:t>2017-18.</w:t>
      </w:r>
      <w:r>
        <w:rPr>
          <w:spacing w:val="-32"/>
          <w:sz w:val="22"/>
        </w:rPr>
        <w:t> </w:t>
      </w:r>
      <w:r>
        <w:rPr>
          <w:sz w:val="22"/>
        </w:rPr>
        <w:t>MPPL</w:t>
      </w:r>
      <w:r>
        <w:rPr>
          <w:spacing w:val="-33"/>
          <w:sz w:val="22"/>
        </w:rPr>
        <w:t> </w:t>
      </w:r>
      <w:r>
        <w:rPr>
          <w:sz w:val="22"/>
        </w:rPr>
        <w:t>is</w:t>
      </w:r>
      <w:r>
        <w:rPr>
          <w:spacing w:val="-31"/>
          <w:sz w:val="22"/>
        </w:rPr>
        <w:t> </w:t>
      </w:r>
      <w:r>
        <w:rPr>
          <w:sz w:val="22"/>
        </w:rPr>
        <w:t>in</w:t>
      </w:r>
      <w:r>
        <w:rPr>
          <w:spacing w:val="-34"/>
          <w:sz w:val="22"/>
        </w:rPr>
        <w:t> </w:t>
      </w:r>
      <w:r>
        <w:rPr>
          <w:sz w:val="22"/>
        </w:rPr>
        <w:t>the</w:t>
      </w:r>
      <w:r>
        <w:rPr>
          <w:spacing w:val="-34"/>
          <w:sz w:val="22"/>
        </w:rPr>
        <w:t> </w:t>
      </w:r>
      <w:r>
        <w:rPr>
          <w:sz w:val="22"/>
        </w:rPr>
        <w:t>process</w:t>
      </w:r>
      <w:r>
        <w:rPr>
          <w:spacing w:val="-32"/>
          <w:sz w:val="22"/>
        </w:rPr>
        <w:t> </w:t>
      </w:r>
      <w:r>
        <w:rPr>
          <w:sz w:val="22"/>
        </w:rPr>
        <w:t>of</w:t>
      </w:r>
      <w:r>
        <w:rPr>
          <w:spacing w:val="-32"/>
          <w:sz w:val="22"/>
        </w:rPr>
        <w:t> </w:t>
      </w:r>
      <w:r>
        <w:rPr>
          <w:sz w:val="22"/>
        </w:rPr>
        <w:t>challenging the</w:t>
      </w:r>
      <w:r>
        <w:rPr>
          <w:spacing w:val="-42"/>
          <w:sz w:val="22"/>
        </w:rPr>
        <w:t> </w:t>
      </w:r>
      <w:r>
        <w:rPr>
          <w:sz w:val="22"/>
        </w:rPr>
        <w:t>order</w:t>
      </w:r>
      <w:r>
        <w:rPr>
          <w:spacing w:val="-42"/>
          <w:sz w:val="22"/>
        </w:rPr>
        <w:t> </w:t>
      </w:r>
      <w:r>
        <w:rPr>
          <w:sz w:val="22"/>
        </w:rPr>
        <w:t>dated</w:t>
      </w:r>
      <w:r>
        <w:rPr>
          <w:spacing w:val="-42"/>
          <w:sz w:val="22"/>
        </w:rPr>
        <w:t> </w:t>
      </w:r>
      <w:r>
        <w:rPr>
          <w:sz w:val="22"/>
        </w:rPr>
        <w:t>Jan</w:t>
      </w:r>
      <w:r>
        <w:rPr>
          <w:spacing w:val="-42"/>
          <w:sz w:val="22"/>
        </w:rPr>
        <w:t> </w:t>
      </w:r>
      <w:r>
        <w:rPr>
          <w:sz w:val="22"/>
        </w:rPr>
        <w:t>3,</w:t>
      </w:r>
      <w:r>
        <w:rPr>
          <w:spacing w:val="-42"/>
          <w:sz w:val="22"/>
        </w:rPr>
        <w:t> </w:t>
      </w:r>
      <w:r>
        <w:rPr>
          <w:sz w:val="22"/>
        </w:rPr>
        <w:t>2018</w:t>
      </w:r>
      <w:r>
        <w:rPr>
          <w:spacing w:val="-41"/>
          <w:sz w:val="22"/>
        </w:rPr>
        <w:t> </w:t>
      </w:r>
      <w:r>
        <w:rPr>
          <w:sz w:val="22"/>
        </w:rPr>
        <w:t>passed</w:t>
      </w:r>
      <w:r>
        <w:rPr>
          <w:spacing w:val="-42"/>
          <w:sz w:val="22"/>
        </w:rPr>
        <w:t> </w:t>
      </w:r>
      <w:r>
        <w:rPr>
          <w:sz w:val="22"/>
        </w:rPr>
        <w:t>by</w:t>
      </w:r>
      <w:r>
        <w:rPr>
          <w:spacing w:val="-42"/>
          <w:sz w:val="22"/>
        </w:rPr>
        <w:t> </w:t>
      </w:r>
      <w:r>
        <w:rPr>
          <w:sz w:val="22"/>
        </w:rPr>
        <w:t>the</w:t>
      </w:r>
      <w:r>
        <w:rPr>
          <w:spacing w:val="-43"/>
          <w:sz w:val="22"/>
        </w:rPr>
        <w:t> </w:t>
      </w:r>
      <w:r>
        <w:rPr>
          <w:sz w:val="22"/>
        </w:rPr>
        <w:t>Appellate</w:t>
      </w:r>
      <w:r>
        <w:rPr>
          <w:spacing w:val="-41"/>
          <w:sz w:val="22"/>
        </w:rPr>
        <w:t> </w:t>
      </w:r>
      <w:r>
        <w:rPr>
          <w:sz w:val="22"/>
        </w:rPr>
        <w:t>Authority</w:t>
      </w:r>
      <w:r>
        <w:rPr>
          <w:spacing w:val="-42"/>
          <w:sz w:val="22"/>
        </w:rPr>
        <w:t> </w:t>
      </w:r>
      <w:r>
        <w:rPr>
          <w:sz w:val="22"/>
        </w:rPr>
        <w:t>before</w:t>
      </w:r>
      <w:r>
        <w:rPr>
          <w:spacing w:val="-42"/>
          <w:sz w:val="22"/>
        </w:rPr>
        <w:t> </w:t>
      </w:r>
      <w:r>
        <w:rPr>
          <w:sz w:val="22"/>
        </w:rPr>
        <w:t>the</w:t>
      </w:r>
      <w:r>
        <w:rPr>
          <w:spacing w:val="-43"/>
          <w:sz w:val="22"/>
        </w:rPr>
        <w:t> </w:t>
      </w:r>
      <w:r>
        <w:rPr>
          <w:sz w:val="22"/>
        </w:rPr>
        <w:t>District</w:t>
      </w:r>
      <w:r>
        <w:rPr>
          <w:spacing w:val="-40"/>
          <w:sz w:val="22"/>
        </w:rPr>
        <w:t> </w:t>
      </w:r>
      <w:r>
        <w:rPr>
          <w:sz w:val="22"/>
        </w:rPr>
        <w:t>Judge</w:t>
      </w:r>
      <w:r>
        <w:rPr>
          <w:spacing w:val="-42"/>
          <w:sz w:val="22"/>
        </w:rPr>
        <w:t> </w:t>
      </w:r>
      <w:r>
        <w:rPr>
          <w:sz w:val="22"/>
        </w:rPr>
        <w:t>i.e.,</w:t>
      </w:r>
      <w:r>
        <w:rPr>
          <w:spacing w:val="-42"/>
          <w:sz w:val="22"/>
        </w:rPr>
        <w:t> </w:t>
      </w:r>
      <w:r>
        <w:rPr>
          <w:sz w:val="22"/>
        </w:rPr>
        <w:t>Principal City Civil Judge,</w:t>
      </w:r>
      <w:r>
        <w:rPr>
          <w:spacing w:val="-10"/>
          <w:sz w:val="22"/>
        </w:rPr>
        <w:t> </w:t>
      </w:r>
      <w:r>
        <w:rPr>
          <w:sz w:val="22"/>
        </w:rPr>
        <w:t>Bangalore.</w:t>
      </w:r>
    </w:p>
    <w:p>
      <w:pPr>
        <w:pStyle w:val="BodyText"/>
        <w:spacing w:before="6"/>
        <w:rPr>
          <w:sz w:val="21"/>
        </w:rPr>
      </w:pPr>
    </w:p>
    <w:p>
      <w:pPr>
        <w:pStyle w:val="BodyText"/>
        <w:tabs>
          <w:tab w:pos="1256" w:val="left" w:leader="none"/>
        </w:tabs>
        <w:ind w:left="680"/>
      </w:pPr>
      <w:r>
        <w:rPr/>
        <w:t>(a)</w:t>
        <w:tab/>
        <w:t>Other Material</w:t>
      </w:r>
      <w:r>
        <w:rPr>
          <w:spacing w:val="-3"/>
        </w:rPr>
        <w:t> </w:t>
      </w:r>
      <w:r>
        <w:rPr/>
        <w:t>Litigation</w:t>
      </w:r>
    </w:p>
    <w:p>
      <w:pPr>
        <w:pStyle w:val="BodyText"/>
        <w:spacing w:line="247" w:lineRule="auto" w:before="218"/>
        <w:ind w:left="1311" w:right="673"/>
        <w:jc w:val="both"/>
      </w:pPr>
      <w:r>
        <w:rPr/>
        <w:t>Certain</w:t>
      </w:r>
      <w:r>
        <w:rPr>
          <w:spacing w:val="-19"/>
        </w:rPr>
        <w:t> </w:t>
      </w:r>
      <w:r>
        <w:rPr/>
        <w:t>third</w:t>
      </w:r>
      <w:r>
        <w:rPr>
          <w:spacing w:val="-17"/>
        </w:rPr>
        <w:t> </w:t>
      </w:r>
      <w:r>
        <w:rPr/>
        <w:t>parties</w:t>
      </w:r>
      <w:r>
        <w:rPr>
          <w:spacing w:val="-16"/>
        </w:rPr>
        <w:t> </w:t>
      </w:r>
      <w:r>
        <w:rPr/>
        <w:t>have</w:t>
      </w:r>
      <w:r>
        <w:rPr>
          <w:spacing w:val="-18"/>
        </w:rPr>
        <w:t> </w:t>
      </w:r>
      <w:r>
        <w:rPr/>
        <w:t>filed</w:t>
      </w:r>
      <w:r>
        <w:rPr>
          <w:spacing w:val="-17"/>
        </w:rPr>
        <w:t> </w:t>
      </w:r>
      <w:r>
        <w:rPr/>
        <w:t>a</w:t>
      </w:r>
      <w:r>
        <w:rPr>
          <w:spacing w:val="-18"/>
        </w:rPr>
        <w:t> </w:t>
      </w:r>
      <w:r>
        <w:rPr/>
        <w:t>petition</w:t>
      </w:r>
      <w:r>
        <w:rPr>
          <w:spacing w:val="-17"/>
        </w:rPr>
        <w:t> </w:t>
      </w:r>
      <w:r>
        <w:rPr/>
        <w:t>against</w:t>
      </w:r>
      <w:r>
        <w:rPr>
          <w:spacing w:val="-15"/>
        </w:rPr>
        <w:t> </w:t>
      </w:r>
      <w:r>
        <w:rPr/>
        <w:t>MPPL</w:t>
      </w:r>
      <w:r>
        <w:rPr>
          <w:spacing w:val="-18"/>
        </w:rPr>
        <w:t> </w:t>
      </w:r>
      <w:r>
        <w:rPr/>
        <w:t>and</w:t>
      </w:r>
      <w:r>
        <w:rPr>
          <w:spacing w:val="-18"/>
        </w:rPr>
        <w:t> </w:t>
      </w:r>
      <w:r>
        <w:rPr/>
        <w:t>others</w:t>
      </w:r>
      <w:r>
        <w:rPr>
          <w:spacing w:val="-17"/>
        </w:rPr>
        <w:t> </w:t>
      </w:r>
      <w:r>
        <w:rPr/>
        <w:t>before</w:t>
      </w:r>
      <w:r>
        <w:rPr>
          <w:spacing w:val="-17"/>
        </w:rPr>
        <w:t> </w:t>
      </w:r>
      <w:r>
        <w:rPr/>
        <w:t>an</w:t>
      </w:r>
      <w:r>
        <w:rPr>
          <w:spacing w:val="-16"/>
        </w:rPr>
        <w:t> </w:t>
      </w:r>
      <w:r>
        <w:rPr/>
        <w:t>arbitral</w:t>
      </w:r>
      <w:r>
        <w:rPr>
          <w:spacing w:val="-19"/>
        </w:rPr>
        <w:t> </w:t>
      </w:r>
      <w:r>
        <w:rPr/>
        <w:t>tribunal</w:t>
      </w:r>
      <w:r>
        <w:rPr>
          <w:spacing w:val="-19"/>
        </w:rPr>
        <w:t> </w:t>
      </w:r>
      <w:r>
        <w:rPr/>
        <w:t>in</w:t>
      </w:r>
      <w:r>
        <w:rPr>
          <w:spacing w:val="-16"/>
        </w:rPr>
        <w:t> </w:t>
      </w:r>
      <w:r>
        <w:rPr/>
        <w:t>2018, where such third parties have prayed for an award directing MPPL and others, in accordance with a memorandum</w:t>
      </w:r>
      <w:r>
        <w:rPr>
          <w:spacing w:val="-8"/>
        </w:rPr>
        <w:t> </w:t>
      </w:r>
      <w:r>
        <w:rPr/>
        <w:t>of</w:t>
      </w:r>
      <w:r>
        <w:rPr>
          <w:spacing w:val="-8"/>
        </w:rPr>
        <w:t> </w:t>
      </w:r>
      <w:r>
        <w:rPr/>
        <w:t>agreement</w:t>
      </w:r>
      <w:r>
        <w:rPr>
          <w:spacing w:val="-7"/>
        </w:rPr>
        <w:t> </w:t>
      </w:r>
      <w:r>
        <w:rPr/>
        <w:t>entered</w:t>
      </w:r>
      <w:r>
        <w:rPr>
          <w:spacing w:val="-9"/>
        </w:rPr>
        <w:t> </w:t>
      </w:r>
      <w:r>
        <w:rPr/>
        <w:t>into</w:t>
      </w:r>
      <w:r>
        <w:rPr>
          <w:spacing w:val="-9"/>
        </w:rPr>
        <w:t> </w:t>
      </w:r>
      <w:r>
        <w:rPr/>
        <w:t>between</w:t>
      </w:r>
      <w:r>
        <w:rPr>
          <w:spacing w:val="-8"/>
        </w:rPr>
        <w:t> </w:t>
      </w:r>
      <w:r>
        <w:rPr/>
        <w:t>the</w:t>
      </w:r>
      <w:r>
        <w:rPr>
          <w:spacing w:val="-9"/>
        </w:rPr>
        <w:t> </w:t>
      </w:r>
      <w:r>
        <w:rPr/>
        <w:t>third</w:t>
      </w:r>
      <w:r>
        <w:rPr>
          <w:spacing w:val="-9"/>
        </w:rPr>
        <w:t> </w:t>
      </w:r>
      <w:r>
        <w:rPr/>
        <w:t>parties</w:t>
      </w:r>
      <w:r>
        <w:rPr>
          <w:spacing w:val="-6"/>
        </w:rPr>
        <w:t> </w:t>
      </w:r>
      <w:r>
        <w:rPr/>
        <w:t>and</w:t>
      </w:r>
      <w:r>
        <w:rPr>
          <w:spacing w:val="-6"/>
        </w:rPr>
        <w:t> </w:t>
      </w:r>
      <w:r>
        <w:rPr/>
        <w:t>MPPL</w:t>
      </w:r>
      <w:r>
        <w:rPr>
          <w:spacing w:val="-8"/>
        </w:rPr>
        <w:t> </w:t>
      </w:r>
      <w:r>
        <w:rPr/>
        <w:t>to</w:t>
      </w:r>
      <w:r>
        <w:rPr>
          <w:spacing w:val="-7"/>
        </w:rPr>
        <w:t> </w:t>
      </w:r>
      <w:r>
        <w:rPr/>
        <w:t>pay,</w:t>
      </w:r>
      <w:r>
        <w:rPr>
          <w:spacing w:val="-8"/>
        </w:rPr>
        <w:t> </w:t>
      </w:r>
      <w:r>
        <w:rPr/>
        <w:t>(i)</w:t>
      </w:r>
      <w:r>
        <w:rPr>
          <w:spacing w:val="-5"/>
        </w:rPr>
        <w:t> </w:t>
      </w:r>
      <w:r>
        <w:rPr>
          <w:rFonts w:ascii="Arial" w:hAnsi="Arial"/>
        </w:rPr>
        <w:t>₹</w:t>
      </w:r>
      <w:r>
        <w:rPr/>
        <w:t>90</w:t>
      </w:r>
      <w:r>
        <w:rPr>
          <w:spacing w:val="-7"/>
        </w:rPr>
        <w:t> </w:t>
      </w:r>
      <w:r>
        <w:rPr>
          <w:spacing w:val="-3"/>
        </w:rPr>
        <w:t>million </w:t>
      </w:r>
      <w:r>
        <w:rPr/>
        <w:t>along</w:t>
      </w:r>
      <w:r>
        <w:rPr>
          <w:spacing w:val="-17"/>
        </w:rPr>
        <w:t> </w:t>
      </w:r>
      <w:r>
        <w:rPr/>
        <w:t>with</w:t>
      </w:r>
      <w:r>
        <w:rPr>
          <w:spacing w:val="-15"/>
        </w:rPr>
        <w:t> </w:t>
      </w:r>
      <w:r>
        <w:rPr/>
        <w:t>interest</w:t>
      </w:r>
      <w:r>
        <w:rPr>
          <w:spacing w:val="-14"/>
        </w:rPr>
        <w:t> </w:t>
      </w:r>
      <w:r>
        <w:rPr/>
        <w:t>at</w:t>
      </w:r>
      <w:r>
        <w:rPr>
          <w:spacing w:val="-16"/>
        </w:rPr>
        <w:t> </w:t>
      </w:r>
      <w:r>
        <w:rPr/>
        <w:t>18%</w:t>
      </w:r>
      <w:r>
        <w:rPr>
          <w:spacing w:val="-17"/>
        </w:rPr>
        <w:t> </w:t>
      </w:r>
      <w:r>
        <w:rPr/>
        <w:t>per</w:t>
      </w:r>
      <w:r>
        <w:rPr>
          <w:spacing w:val="-15"/>
        </w:rPr>
        <w:t> </w:t>
      </w:r>
      <w:r>
        <w:rPr/>
        <w:t>annum</w:t>
      </w:r>
      <w:r>
        <w:rPr>
          <w:spacing w:val="-16"/>
        </w:rPr>
        <w:t> </w:t>
      </w:r>
      <w:r>
        <w:rPr/>
        <w:t>from</w:t>
      </w:r>
      <w:r>
        <w:rPr>
          <w:spacing w:val="-15"/>
        </w:rPr>
        <w:t> </w:t>
      </w:r>
      <w:r>
        <w:rPr/>
        <w:t>September</w:t>
      </w:r>
      <w:r>
        <w:rPr>
          <w:spacing w:val="-15"/>
        </w:rPr>
        <w:t> </w:t>
      </w:r>
      <w:r>
        <w:rPr/>
        <w:t>3,</w:t>
      </w:r>
      <w:r>
        <w:rPr>
          <w:spacing w:val="-15"/>
        </w:rPr>
        <w:t> </w:t>
      </w:r>
      <w:r>
        <w:rPr/>
        <w:t>2008</w:t>
      </w:r>
      <w:r>
        <w:rPr>
          <w:spacing w:val="-16"/>
        </w:rPr>
        <w:t> </w:t>
      </w:r>
      <w:r>
        <w:rPr/>
        <w:t>to</w:t>
      </w:r>
      <w:r>
        <w:rPr>
          <w:spacing w:val="-17"/>
        </w:rPr>
        <w:t> </w:t>
      </w:r>
      <w:r>
        <w:rPr/>
        <w:t>date</w:t>
      </w:r>
      <w:r>
        <w:rPr>
          <w:spacing w:val="-14"/>
        </w:rPr>
        <w:t> </w:t>
      </w:r>
      <w:r>
        <w:rPr/>
        <w:t>of</w:t>
      </w:r>
      <w:r>
        <w:rPr>
          <w:spacing w:val="-14"/>
        </w:rPr>
        <w:t> </w:t>
      </w:r>
      <w:r>
        <w:rPr/>
        <w:t>realisation</w:t>
      </w:r>
      <w:r>
        <w:rPr>
          <w:spacing w:val="-17"/>
        </w:rPr>
        <w:t> </w:t>
      </w:r>
      <w:r>
        <w:rPr/>
        <w:t>(ii)</w:t>
      </w:r>
      <w:r>
        <w:rPr>
          <w:spacing w:val="-8"/>
        </w:rPr>
        <w:t> </w:t>
      </w:r>
      <w:r>
        <w:rPr>
          <w:rFonts w:ascii="Arial" w:hAnsi="Arial"/>
        </w:rPr>
        <w:t>₹</w:t>
      </w:r>
      <w:r>
        <w:rPr/>
        <w:t>7.52</w:t>
      </w:r>
      <w:r>
        <w:rPr>
          <w:spacing w:val="-16"/>
        </w:rPr>
        <w:t> </w:t>
      </w:r>
      <w:r>
        <w:rPr>
          <w:spacing w:val="-3"/>
        </w:rPr>
        <w:t>million </w:t>
      </w:r>
      <w:r>
        <w:rPr/>
        <w:t>as</w:t>
      </w:r>
      <w:r>
        <w:rPr>
          <w:spacing w:val="-28"/>
        </w:rPr>
        <w:t> </w:t>
      </w:r>
      <w:r>
        <w:rPr/>
        <w:t>interest</w:t>
      </w:r>
      <w:r>
        <w:rPr>
          <w:spacing w:val="-27"/>
        </w:rPr>
        <w:t> </w:t>
      </w:r>
      <w:r>
        <w:rPr/>
        <w:t>on</w:t>
      </w:r>
      <w:r>
        <w:rPr>
          <w:spacing w:val="-27"/>
        </w:rPr>
        <w:t> </w:t>
      </w:r>
      <w:r>
        <w:rPr/>
        <w:t>delayed</w:t>
      </w:r>
      <w:r>
        <w:rPr>
          <w:spacing w:val="-28"/>
        </w:rPr>
        <w:t> </w:t>
      </w:r>
      <w:r>
        <w:rPr/>
        <w:t>payment</w:t>
      </w:r>
      <w:r>
        <w:rPr>
          <w:spacing w:val="-27"/>
        </w:rPr>
        <w:t> </w:t>
      </w:r>
      <w:r>
        <w:rPr/>
        <w:t>of</w:t>
      </w:r>
      <w:r>
        <w:rPr>
          <w:spacing w:val="-26"/>
        </w:rPr>
        <w:t> </w:t>
      </w:r>
      <w:r>
        <w:rPr>
          <w:rFonts w:ascii="Arial" w:hAnsi="Arial"/>
        </w:rPr>
        <w:t>₹</w:t>
      </w:r>
      <w:r>
        <w:rPr/>
        <w:t>70</w:t>
      </w:r>
      <w:r>
        <w:rPr>
          <w:spacing w:val="-28"/>
        </w:rPr>
        <w:t> </w:t>
      </w:r>
      <w:r>
        <w:rPr/>
        <w:t>million</w:t>
      </w:r>
      <w:r>
        <w:rPr>
          <w:spacing w:val="-29"/>
        </w:rPr>
        <w:t> </w:t>
      </w:r>
      <w:r>
        <w:rPr/>
        <w:t>calculated</w:t>
      </w:r>
      <w:r>
        <w:rPr>
          <w:spacing w:val="-29"/>
        </w:rPr>
        <w:t> </w:t>
      </w:r>
      <w:r>
        <w:rPr/>
        <w:t>for</w:t>
      </w:r>
      <w:r>
        <w:rPr>
          <w:spacing w:val="-27"/>
        </w:rPr>
        <w:t> </w:t>
      </w:r>
      <w:r>
        <w:rPr/>
        <w:t>specified</w:t>
      </w:r>
      <w:r>
        <w:rPr>
          <w:spacing w:val="-28"/>
        </w:rPr>
        <w:t> </w:t>
      </w:r>
      <w:r>
        <w:rPr/>
        <w:t>periods</w:t>
      </w:r>
      <w:r>
        <w:rPr>
          <w:spacing w:val="-28"/>
        </w:rPr>
        <w:t> </w:t>
      </w:r>
      <w:r>
        <w:rPr/>
        <w:t>mentioned</w:t>
      </w:r>
      <w:r>
        <w:rPr>
          <w:spacing w:val="-27"/>
        </w:rPr>
        <w:t> </w:t>
      </w:r>
      <w:r>
        <w:rPr/>
        <w:t>therein,</w:t>
      </w:r>
      <w:r>
        <w:rPr>
          <w:spacing w:val="-28"/>
        </w:rPr>
        <w:t> </w:t>
      </w:r>
      <w:r>
        <w:rPr>
          <w:spacing w:val="-4"/>
        </w:rPr>
        <w:t>and</w:t>
      </w:r>
    </w:p>
    <w:p>
      <w:pPr>
        <w:pStyle w:val="ListParagraph"/>
        <w:numPr>
          <w:ilvl w:val="1"/>
          <w:numId w:val="35"/>
        </w:numPr>
        <w:tabs>
          <w:tab w:pos="1701" w:val="left" w:leader="none"/>
        </w:tabs>
        <w:spacing w:line="247" w:lineRule="auto" w:before="2" w:after="0"/>
        <w:ind w:left="1311" w:right="680" w:firstLine="0"/>
        <w:jc w:val="both"/>
        <w:rPr>
          <w:sz w:val="22"/>
        </w:rPr>
      </w:pPr>
      <w:r>
        <w:rPr>
          <w:rFonts w:ascii="Arial" w:hAnsi="Arial"/>
          <w:i/>
          <w:sz w:val="22"/>
        </w:rPr>
        <w:t>₹</w:t>
      </w:r>
      <w:r>
        <w:rPr>
          <w:sz w:val="22"/>
        </w:rPr>
        <w:t>19.39 million as interest on delayed payment of </w:t>
      </w:r>
      <w:r>
        <w:rPr>
          <w:rFonts w:ascii="Arial" w:hAnsi="Arial"/>
          <w:sz w:val="22"/>
        </w:rPr>
        <w:t>₹</w:t>
      </w:r>
      <w:r>
        <w:rPr>
          <w:sz w:val="22"/>
        </w:rPr>
        <w:t>40 million calculated for specified </w:t>
      </w:r>
      <w:r>
        <w:rPr>
          <w:spacing w:val="-9"/>
          <w:sz w:val="22"/>
        </w:rPr>
        <w:t>periods </w:t>
      </w:r>
      <w:r>
        <w:rPr>
          <w:sz w:val="22"/>
        </w:rPr>
        <w:t>mentioned therein. An order was passed on September 07, 2018 allowing part of the claim. Additionally,</w:t>
      </w:r>
      <w:r>
        <w:rPr>
          <w:spacing w:val="-10"/>
          <w:sz w:val="22"/>
        </w:rPr>
        <w:t> </w:t>
      </w:r>
      <w:r>
        <w:rPr>
          <w:sz w:val="22"/>
        </w:rPr>
        <w:t>an</w:t>
      </w:r>
      <w:r>
        <w:rPr>
          <w:spacing w:val="-11"/>
          <w:sz w:val="22"/>
        </w:rPr>
        <w:t> </w:t>
      </w:r>
      <w:r>
        <w:rPr>
          <w:sz w:val="22"/>
        </w:rPr>
        <w:t>execution</w:t>
      </w:r>
      <w:r>
        <w:rPr>
          <w:spacing w:val="-12"/>
          <w:sz w:val="22"/>
        </w:rPr>
        <w:t> </w:t>
      </w:r>
      <w:r>
        <w:rPr>
          <w:sz w:val="22"/>
        </w:rPr>
        <w:t>petition</w:t>
      </w:r>
      <w:r>
        <w:rPr>
          <w:spacing w:val="-12"/>
          <w:sz w:val="22"/>
        </w:rPr>
        <w:t> </w:t>
      </w:r>
      <w:r>
        <w:rPr>
          <w:sz w:val="22"/>
        </w:rPr>
        <w:t>was</w:t>
      </w:r>
      <w:r>
        <w:rPr>
          <w:spacing w:val="-11"/>
          <w:sz w:val="22"/>
        </w:rPr>
        <w:t> </w:t>
      </w:r>
      <w:r>
        <w:rPr>
          <w:sz w:val="22"/>
        </w:rPr>
        <w:t>filed</w:t>
      </w:r>
      <w:r>
        <w:rPr>
          <w:spacing w:val="-12"/>
          <w:sz w:val="22"/>
        </w:rPr>
        <w:t> </w:t>
      </w:r>
      <w:r>
        <w:rPr>
          <w:sz w:val="22"/>
        </w:rPr>
        <w:t>before</w:t>
      </w:r>
      <w:r>
        <w:rPr>
          <w:spacing w:val="-12"/>
          <w:sz w:val="22"/>
        </w:rPr>
        <w:t> </w:t>
      </w:r>
      <w:r>
        <w:rPr>
          <w:sz w:val="22"/>
        </w:rPr>
        <w:t>the</w:t>
      </w:r>
      <w:r>
        <w:rPr>
          <w:spacing w:val="-12"/>
          <w:sz w:val="22"/>
        </w:rPr>
        <w:t> </w:t>
      </w:r>
      <w:r>
        <w:rPr>
          <w:sz w:val="22"/>
        </w:rPr>
        <w:t>City</w:t>
      </w:r>
      <w:r>
        <w:rPr>
          <w:spacing w:val="-11"/>
          <w:sz w:val="22"/>
        </w:rPr>
        <w:t> </w:t>
      </w:r>
      <w:r>
        <w:rPr>
          <w:sz w:val="22"/>
        </w:rPr>
        <w:t>Civil</w:t>
      </w:r>
      <w:r>
        <w:rPr>
          <w:spacing w:val="-12"/>
          <w:sz w:val="22"/>
        </w:rPr>
        <w:t> </w:t>
      </w:r>
      <w:r>
        <w:rPr>
          <w:sz w:val="22"/>
        </w:rPr>
        <w:t>Court</w:t>
      </w:r>
      <w:r>
        <w:rPr>
          <w:spacing w:val="-10"/>
          <w:sz w:val="22"/>
        </w:rPr>
        <w:t> </w:t>
      </w:r>
      <w:r>
        <w:rPr>
          <w:sz w:val="22"/>
        </w:rPr>
        <w:t>in</w:t>
      </w:r>
      <w:r>
        <w:rPr>
          <w:spacing w:val="-9"/>
          <w:sz w:val="22"/>
        </w:rPr>
        <w:t> </w:t>
      </w:r>
      <w:r>
        <w:rPr>
          <w:sz w:val="22"/>
        </w:rPr>
        <w:t>2019</w:t>
      </w:r>
      <w:r>
        <w:rPr>
          <w:spacing w:val="-12"/>
          <w:sz w:val="22"/>
        </w:rPr>
        <w:t> </w:t>
      </w:r>
      <w:r>
        <w:rPr>
          <w:sz w:val="22"/>
        </w:rPr>
        <w:t>by</w:t>
      </w:r>
      <w:r>
        <w:rPr>
          <w:spacing w:val="-11"/>
          <w:sz w:val="22"/>
        </w:rPr>
        <w:t> </w:t>
      </w:r>
      <w:r>
        <w:rPr>
          <w:sz w:val="22"/>
        </w:rPr>
        <w:t>the</w:t>
      </w:r>
      <w:r>
        <w:rPr>
          <w:spacing w:val="-11"/>
          <w:sz w:val="22"/>
        </w:rPr>
        <w:t> </w:t>
      </w:r>
      <w:r>
        <w:rPr>
          <w:sz w:val="22"/>
        </w:rPr>
        <w:t>award</w:t>
      </w:r>
      <w:r>
        <w:rPr>
          <w:spacing w:val="-11"/>
          <w:sz w:val="22"/>
        </w:rPr>
        <w:t> </w:t>
      </w:r>
      <w:r>
        <w:rPr>
          <w:sz w:val="22"/>
        </w:rPr>
        <w:t>holder. However, this execution petition has been stayed pursuant to an appeal filed against the order in 2019</w:t>
      </w:r>
      <w:r>
        <w:rPr>
          <w:spacing w:val="-20"/>
          <w:sz w:val="22"/>
        </w:rPr>
        <w:t> </w:t>
      </w:r>
      <w:r>
        <w:rPr>
          <w:sz w:val="22"/>
        </w:rPr>
        <w:t>before</w:t>
      </w:r>
      <w:r>
        <w:rPr>
          <w:spacing w:val="-19"/>
          <w:sz w:val="22"/>
        </w:rPr>
        <w:t> </w:t>
      </w:r>
      <w:r>
        <w:rPr>
          <w:sz w:val="22"/>
        </w:rPr>
        <w:t>the</w:t>
      </w:r>
      <w:r>
        <w:rPr>
          <w:spacing w:val="-22"/>
          <w:sz w:val="22"/>
        </w:rPr>
        <w:t> </w:t>
      </w:r>
      <w:r>
        <w:rPr>
          <w:sz w:val="22"/>
        </w:rPr>
        <w:t>City</w:t>
      </w:r>
      <w:r>
        <w:rPr>
          <w:spacing w:val="-18"/>
          <w:sz w:val="22"/>
        </w:rPr>
        <w:t> </w:t>
      </w:r>
      <w:r>
        <w:rPr>
          <w:sz w:val="22"/>
        </w:rPr>
        <w:t>Civil</w:t>
      </w:r>
      <w:r>
        <w:rPr>
          <w:spacing w:val="-19"/>
          <w:sz w:val="22"/>
        </w:rPr>
        <w:t> </w:t>
      </w:r>
      <w:r>
        <w:rPr>
          <w:sz w:val="22"/>
        </w:rPr>
        <w:t>Court,</w:t>
      </w:r>
      <w:r>
        <w:rPr>
          <w:spacing w:val="-19"/>
          <w:sz w:val="22"/>
        </w:rPr>
        <w:t> </w:t>
      </w:r>
      <w:r>
        <w:rPr>
          <w:sz w:val="22"/>
        </w:rPr>
        <w:t>Bengaluru.]</w:t>
      </w:r>
      <w:r>
        <w:rPr>
          <w:spacing w:val="-20"/>
          <w:sz w:val="22"/>
        </w:rPr>
        <w:t> </w:t>
      </w:r>
      <w:r>
        <w:rPr>
          <w:sz w:val="22"/>
        </w:rPr>
        <w:t>The</w:t>
      </w:r>
      <w:r>
        <w:rPr>
          <w:spacing w:val="-18"/>
          <w:sz w:val="22"/>
        </w:rPr>
        <w:t> </w:t>
      </w:r>
      <w:r>
        <w:rPr>
          <w:sz w:val="22"/>
        </w:rPr>
        <w:t>matter</w:t>
      </w:r>
      <w:r>
        <w:rPr>
          <w:spacing w:val="-18"/>
          <w:sz w:val="22"/>
        </w:rPr>
        <w:t> </w:t>
      </w:r>
      <w:r>
        <w:rPr>
          <w:sz w:val="22"/>
        </w:rPr>
        <w:t>came</w:t>
      </w:r>
      <w:r>
        <w:rPr>
          <w:spacing w:val="-19"/>
          <w:sz w:val="22"/>
        </w:rPr>
        <w:t> </w:t>
      </w:r>
      <w:r>
        <w:rPr>
          <w:sz w:val="22"/>
        </w:rPr>
        <w:t>up</w:t>
      </w:r>
      <w:r>
        <w:rPr>
          <w:spacing w:val="-18"/>
          <w:sz w:val="22"/>
        </w:rPr>
        <w:t> </w:t>
      </w:r>
      <w:r>
        <w:rPr>
          <w:sz w:val="22"/>
        </w:rPr>
        <w:t>for</w:t>
      </w:r>
      <w:r>
        <w:rPr>
          <w:spacing w:val="-19"/>
          <w:sz w:val="22"/>
        </w:rPr>
        <w:t> </w:t>
      </w:r>
      <w:r>
        <w:rPr>
          <w:sz w:val="22"/>
        </w:rPr>
        <w:t>arguments</w:t>
      </w:r>
      <w:r>
        <w:rPr>
          <w:spacing w:val="-19"/>
          <w:sz w:val="22"/>
        </w:rPr>
        <w:t> </w:t>
      </w:r>
      <w:r>
        <w:rPr>
          <w:sz w:val="22"/>
        </w:rPr>
        <w:t>on</w:t>
      </w:r>
      <w:r>
        <w:rPr>
          <w:spacing w:val="-19"/>
          <w:sz w:val="22"/>
        </w:rPr>
        <w:t> </w:t>
      </w:r>
      <w:r>
        <w:rPr>
          <w:sz w:val="22"/>
        </w:rPr>
        <w:t>February</w:t>
      </w:r>
      <w:r>
        <w:rPr>
          <w:spacing w:val="-17"/>
          <w:sz w:val="22"/>
        </w:rPr>
        <w:t> </w:t>
      </w:r>
      <w:r>
        <w:rPr>
          <w:sz w:val="22"/>
        </w:rPr>
        <w:t>28,</w:t>
      </w:r>
      <w:r>
        <w:rPr>
          <w:spacing w:val="-19"/>
          <w:sz w:val="22"/>
        </w:rPr>
        <w:t> </w:t>
      </w:r>
      <w:r>
        <w:rPr>
          <w:sz w:val="22"/>
        </w:rPr>
        <w:t>2020 and</w:t>
      </w:r>
      <w:r>
        <w:rPr>
          <w:spacing w:val="-10"/>
          <w:sz w:val="22"/>
        </w:rPr>
        <w:t> </w:t>
      </w:r>
      <w:r>
        <w:rPr>
          <w:sz w:val="22"/>
        </w:rPr>
        <w:t>the</w:t>
      </w:r>
      <w:r>
        <w:rPr>
          <w:spacing w:val="-10"/>
          <w:sz w:val="22"/>
        </w:rPr>
        <w:t> </w:t>
      </w:r>
      <w:r>
        <w:rPr>
          <w:sz w:val="22"/>
        </w:rPr>
        <w:t>counsels</w:t>
      </w:r>
      <w:r>
        <w:rPr>
          <w:spacing w:val="-10"/>
          <w:sz w:val="22"/>
        </w:rPr>
        <w:t> </w:t>
      </w:r>
      <w:r>
        <w:rPr>
          <w:sz w:val="22"/>
        </w:rPr>
        <w:t>for</w:t>
      </w:r>
      <w:r>
        <w:rPr>
          <w:spacing w:val="-10"/>
          <w:sz w:val="22"/>
        </w:rPr>
        <w:t> </w:t>
      </w:r>
      <w:r>
        <w:rPr>
          <w:sz w:val="22"/>
        </w:rPr>
        <w:t>the</w:t>
      </w:r>
      <w:r>
        <w:rPr>
          <w:spacing w:val="-10"/>
          <w:sz w:val="22"/>
        </w:rPr>
        <w:t> </w:t>
      </w:r>
      <w:r>
        <w:rPr>
          <w:sz w:val="22"/>
        </w:rPr>
        <w:t>petitioner</w:t>
      </w:r>
      <w:r>
        <w:rPr>
          <w:spacing w:val="-9"/>
          <w:sz w:val="22"/>
        </w:rPr>
        <w:t> </w:t>
      </w:r>
      <w:r>
        <w:rPr>
          <w:sz w:val="22"/>
        </w:rPr>
        <w:t>and</w:t>
      </w:r>
      <w:r>
        <w:rPr>
          <w:spacing w:val="-8"/>
          <w:sz w:val="22"/>
        </w:rPr>
        <w:t> </w:t>
      </w:r>
      <w:r>
        <w:rPr>
          <w:sz w:val="22"/>
        </w:rPr>
        <w:t>respondent</w:t>
      </w:r>
      <w:r>
        <w:rPr>
          <w:spacing w:val="-11"/>
          <w:sz w:val="22"/>
        </w:rPr>
        <w:t> </w:t>
      </w:r>
      <w:r>
        <w:rPr>
          <w:sz w:val="22"/>
        </w:rPr>
        <w:t>have</w:t>
      </w:r>
      <w:r>
        <w:rPr>
          <w:spacing w:val="-10"/>
          <w:sz w:val="22"/>
        </w:rPr>
        <w:t> </w:t>
      </w:r>
      <w:r>
        <w:rPr>
          <w:sz w:val="22"/>
        </w:rPr>
        <w:t>requested</w:t>
      </w:r>
      <w:r>
        <w:rPr>
          <w:spacing w:val="-10"/>
          <w:sz w:val="22"/>
        </w:rPr>
        <w:t> </w:t>
      </w:r>
      <w:r>
        <w:rPr>
          <w:sz w:val="22"/>
        </w:rPr>
        <w:t>time</w:t>
      </w:r>
      <w:r>
        <w:rPr>
          <w:spacing w:val="-11"/>
          <w:sz w:val="22"/>
        </w:rPr>
        <w:t> </w:t>
      </w:r>
      <w:r>
        <w:rPr>
          <w:sz w:val="22"/>
        </w:rPr>
        <w:t>for</w:t>
      </w:r>
      <w:r>
        <w:rPr>
          <w:spacing w:val="-9"/>
          <w:sz w:val="22"/>
        </w:rPr>
        <w:t> </w:t>
      </w:r>
      <w:r>
        <w:rPr>
          <w:sz w:val="22"/>
        </w:rPr>
        <w:t>arguments.</w:t>
      </w:r>
    </w:p>
    <w:p>
      <w:pPr>
        <w:pStyle w:val="BodyText"/>
        <w:spacing w:before="212"/>
        <w:ind w:left="1311"/>
      </w:pPr>
      <w:r>
        <w:rPr/>
        <w:t>EEPL</w:t>
      </w:r>
    </w:p>
    <w:p>
      <w:pPr>
        <w:spacing w:before="232"/>
        <w:ind w:left="1400" w:right="0" w:firstLine="0"/>
        <w:jc w:val="both"/>
        <w:rPr>
          <w:i/>
          <w:sz w:val="22"/>
        </w:rPr>
      </w:pPr>
      <w:r>
        <w:rPr>
          <w:i/>
          <w:sz w:val="22"/>
        </w:rPr>
        <w:t>Regulatory Proceedings</w:t>
      </w:r>
    </w:p>
    <w:p>
      <w:pPr>
        <w:pStyle w:val="ListParagraph"/>
        <w:numPr>
          <w:ilvl w:val="2"/>
          <w:numId w:val="35"/>
        </w:numPr>
        <w:tabs>
          <w:tab w:pos="1977" w:val="left" w:leader="none"/>
        </w:tabs>
        <w:spacing w:line="247" w:lineRule="auto" w:before="171" w:after="0"/>
        <w:ind w:left="1976" w:right="671" w:hanging="576"/>
        <w:jc w:val="both"/>
        <w:rPr>
          <w:sz w:val="22"/>
        </w:rPr>
      </w:pPr>
      <w:r>
        <w:rPr>
          <w:sz w:val="22"/>
        </w:rPr>
        <w:t>The Karnataka Electricity Regulatory Commission has </w:t>
      </w:r>
      <w:r>
        <w:rPr>
          <w:spacing w:val="-3"/>
          <w:sz w:val="22"/>
        </w:rPr>
        <w:t>issued </w:t>
      </w:r>
      <w:r>
        <w:rPr>
          <w:sz w:val="22"/>
        </w:rPr>
        <w:t>orders in 2005, 2008 and 2014 granting exemption to all solar power generators in Karnataka that achieved commercial operation</w:t>
      </w:r>
      <w:r>
        <w:rPr>
          <w:spacing w:val="-14"/>
          <w:sz w:val="22"/>
        </w:rPr>
        <w:t> </w:t>
      </w:r>
      <w:r>
        <w:rPr>
          <w:sz w:val="22"/>
        </w:rPr>
        <w:t>date</w:t>
      </w:r>
      <w:r>
        <w:rPr>
          <w:spacing w:val="-14"/>
          <w:sz w:val="22"/>
        </w:rPr>
        <w:t> </w:t>
      </w:r>
      <w:r>
        <w:rPr>
          <w:sz w:val="22"/>
        </w:rPr>
        <w:t>between</w:t>
      </w:r>
      <w:r>
        <w:rPr>
          <w:spacing w:val="-16"/>
          <w:sz w:val="22"/>
        </w:rPr>
        <w:t> </w:t>
      </w:r>
      <w:r>
        <w:rPr>
          <w:sz w:val="22"/>
        </w:rPr>
        <w:t>April</w:t>
      </w:r>
      <w:r>
        <w:rPr>
          <w:spacing w:val="-14"/>
          <w:sz w:val="22"/>
        </w:rPr>
        <w:t> </w:t>
      </w:r>
      <w:r>
        <w:rPr>
          <w:sz w:val="22"/>
        </w:rPr>
        <w:t>1,</w:t>
      </w:r>
      <w:r>
        <w:rPr>
          <w:spacing w:val="-14"/>
          <w:sz w:val="22"/>
        </w:rPr>
        <w:t> </w:t>
      </w:r>
      <w:r>
        <w:rPr>
          <w:sz w:val="22"/>
        </w:rPr>
        <w:t>2013</w:t>
      </w:r>
      <w:r>
        <w:rPr>
          <w:spacing w:val="-13"/>
          <w:sz w:val="22"/>
        </w:rPr>
        <w:t> </w:t>
      </w:r>
      <w:r>
        <w:rPr>
          <w:spacing w:val="-3"/>
          <w:sz w:val="22"/>
        </w:rPr>
        <w:t>and</w:t>
      </w:r>
      <w:r>
        <w:rPr>
          <w:spacing w:val="-13"/>
          <w:sz w:val="22"/>
        </w:rPr>
        <w:t> </w:t>
      </w:r>
      <w:r>
        <w:rPr>
          <w:sz w:val="22"/>
        </w:rPr>
        <w:t>March</w:t>
      </w:r>
      <w:r>
        <w:rPr>
          <w:spacing w:val="-14"/>
          <w:sz w:val="22"/>
        </w:rPr>
        <w:t> </w:t>
      </w:r>
      <w:r>
        <w:rPr>
          <w:sz w:val="22"/>
        </w:rPr>
        <w:t>31,</w:t>
      </w:r>
      <w:r>
        <w:rPr>
          <w:spacing w:val="-14"/>
          <w:sz w:val="22"/>
        </w:rPr>
        <w:t> </w:t>
      </w:r>
      <w:r>
        <w:rPr>
          <w:sz w:val="22"/>
        </w:rPr>
        <w:t>2018</w:t>
      </w:r>
      <w:r>
        <w:rPr>
          <w:spacing w:val="-13"/>
          <w:sz w:val="22"/>
        </w:rPr>
        <w:t> </w:t>
      </w:r>
      <w:r>
        <w:rPr>
          <w:sz w:val="22"/>
        </w:rPr>
        <w:t>from</w:t>
      </w:r>
      <w:r>
        <w:rPr>
          <w:spacing w:val="-14"/>
          <w:sz w:val="22"/>
        </w:rPr>
        <w:t> </w:t>
      </w:r>
      <w:r>
        <w:rPr>
          <w:sz w:val="22"/>
        </w:rPr>
        <w:t>paying</w:t>
      </w:r>
      <w:r>
        <w:rPr>
          <w:spacing w:val="-13"/>
          <w:sz w:val="22"/>
        </w:rPr>
        <w:t> </w:t>
      </w:r>
      <w:r>
        <w:rPr>
          <w:sz w:val="22"/>
        </w:rPr>
        <w:t>certain</w:t>
      </w:r>
      <w:r>
        <w:rPr>
          <w:spacing w:val="-14"/>
          <w:sz w:val="22"/>
        </w:rPr>
        <w:t> </w:t>
      </w:r>
      <w:r>
        <w:rPr>
          <w:sz w:val="22"/>
        </w:rPr>
        <w:t>charges</w:t>
      </w:r>
      <w:r>
        <w:rPr>
          <w:spacing w:val="-15"/>
          <w:sz w:val="22"/>
        </w:rPr>
        <w:t> </w:t>
      </w:r>
      <w:r>
        <w:rPr>
          <w:sz w:val="22"/>
        </w:rPr>
        <w:t>such</w:t>
      </w:r>
      <w:r>
        <w:rPr>
          <w:spacing w:val="-14"/>
          <w:sz w:val="22"/>
        </w:rPr>
        <w:t> </w:t>
      </w:r>
      <w:r>
        <w:rPr>
          <w:sz w:val="22"/>
        </w:rPr>
        <w:t>as, </w:t>
      </w:r>
      <w:r>
        <w:rPr>
          <w:i/>
          <w:sz w:val="22"/>
        </w:rPr>
        <w:t>inter alia</w:t>
      </w:r>
      <w:r>
        <w:rPr>
          <w:sz w:val="22"/>
        </w:rPr>
        <w:t>, payment of wheeling and banking charges, </w:t>
      </w:r>
      <w:r>
        <w:rPr>
          <w:spacing w:val="-3"/>
          <w:sz w:val="22"/>
        </w:rPr>
        <w:t>cross </w:t>
      </w:r>
      <w:r>
        <w:rPr>
          <w:sz w:val="22"/>
        </w:rPr>
        <w:t>subsidy surcharges, transmission losses and wheeling losses for a period of ten years from the date of commissioning. The Commission issued an order in 2018 directing cancellation of the aforementioned exemption available</w:t>
      </w:r>
      <w:r>
        <w:rPr>
          <w:spacing w:val="-29"/>
          <w:sz w:val="22"/>
        </w:rPr>
        <w:t> </w:t>
      </w:r>
      <w:r>
        <w:rPr>
          <w:sz w:val="22"/>
        </w:rPr>
        <w:t>to</w:t>
      </w:r>
      <w:r>
        <w:rPr>
          <w:spacing w:val="-27"/>
          <w:sz w:val="22"/>
        </w:rPr>
        <w:t> </w:t>
      </w:r>
      <w:r>
        <w:rPr>
          <w:sz w:val="22"/>
        </w:rPr>
        <w:t>Karnataka’s</w:t>
      </w:r>
      <w:r>
        <w:rPr>
          <w:spacing w:val="-27"/>
          <w:sz w:val="22"/>
        </w:rPr>
        <w:t> </w:t>
      </w:r>
      <w:r>
        <w:rPr>
          <w:sz w:val="22"/>
        </w:rPr>
        <w:t>power</w:t>
      </w:r>
      <w:r>
        <w:rPr>
          <w:spacing w:val="-28"/>
          <w:sz w:val="22"/>
        </w:rPr>
        <w:t> </w:t>
      </w:r>
      <w:r>
        <w:rPr>
          <w:sz w:val="22"/>
        </w:rPr>
        <w:t>generators,</w:t>
      </w:r>
      <w:r>
        <w:rPr>
          <w:spacing w:val="-27"/>
          <w:sz w:val="22"/>
        </w:rPr>
        <w:t> </w:t>
      </w:r>
      <w:r>
        <w:rPr>
          <w:sz w:val="22"/>
        </w:rPr>
        <w:t>including</w:t>
      </w:r>
      <w:r>
        <w:rPr>
          <w:spacing w:val="-27"/>
          <w:sz w:val="22"/>
        </w:rPr>
        <w:t> </w:t>
      </w:r>
      <w:r>
        <w:rPr>
          <w:sz w:val="22"/>
        </w:rPr>
        <w:t>EEPL.</w:t>
      </w:r>
      <w:r>
        <w:rPr>
          <w:spacing w:val="-28"/>
          <w:sz w:val="22"/>
        </w:rPr>
        <w:t> </w:t>
      </w:r>
      <w:r>
        <w:rPr>
          <w:sz w:val="22"/>
        </w:rPr>
        <w:t>Subsequently,</w:t>
      </w:r>
      <w:r>
        <w:rPr>
          <w:spacing w:val="-27"/>
          <w:sz w:val="22"/>
        </w:rPr>
        <w:t> </w:t>
      </w:r>
      <w:r>
        <w:rPr>
          <w:sz w:val="22"/>
        </w:rPr>
        <w:t>EEPL</w:t>
      </w:r>
      <w:r>
        <w:rPr>
          <w:spacing w:val="-28"/>
          <w:sz w:val="22"/>
        </w:rPr>
        <w:t> </w:t>
      </w:r>
      <w:r>
        <w:rPr>
          <w:sz w:val="22"/>
        </w:rPr>
        <w:t>and</w:t>
      </w:r>
      <w:r>
        <w:rPr>
          <w:spacing w:val="-27"/>
          <w:sz w:val="22"/>
        </w:rPr>
        <w:t> </w:t>
      </w:r>
      <w:r>
        <w:rPr>
          <w:sz w:val="22"/>
        </w:rPr>
        <w:t>others</w:t>
      </w:r>
      <w:r>
        <w:rPr>
          <w:spacing w:val="-27"/>
          <w:sz w:val="22"/>
        </w:rPr>
        <w:t> </w:t>
      </w:r>
      <w:r>
        <w:rPr>
          <w:spacing w:val="-3"/>
          <w:sz w:val="22"/>
        </w:rPr>
        <w:t>have </w:t>
      </w:r>
      <w:r>
        <w:rPr>
          <w:sz w:val="22"/>
        </w:rPr>
        <w:t>filed</w:t>
      </w:r>
      <w:r>
        <w:rPr>
          <w:spacing w:val="-7"/>
          <w:sz w:val="22"/>
        </w:rPr>
        <w:t> </w:t>
      </w:r>
      <w:r>
        <w:rPr>
          <w:sz w:val="22"/>
        </w:rPr>
        <w:t>writ</w:t>
      </w:r>
      <w:r>
        <w:rPr>
          <w:spacing w:val="-8"/>
          <w:sz w:val="22"/>
        </w:rPr>
        <w:t> </w:t>
      </w:r>
      <w:r>
        <w:rPr>
          <w:sz w:val="22"/>
        </w:rPr>
        <w:t>petitions</w:t>
      </w:r>
      <w:r>
        <w:rPr>
          <w:spacing w:val="-5"/>
          <w:sz w:val="22"/>
        </w:rPr>
        <w:t> </w:t>
      </w:r>
      <w:r>
        <w:rPr>
          <w:sz w:val="22"/>
        </w:rPr>
        <w:t>in</w:t>
      </w:r>
      <w:r>
        <w:rPr>
          <w:spacing w:val="-7"/>
          <w:sz w:val="22"/>
        </w:rPr>
        <w:t> </w:t>
      </w:r>
      <w:r>
        <w:rPr>
          <w:sz w:val="22"/>
        </w:rPr>
        <w:t>2018</w:t>
      </w:r>
      <w:r>
        <w:rPr>
          <w:spacing w:val="-6"/>
          <w:sz w:val="22"/>
        </w:rPr>
        <w:t> </w:t>
      </w:r>
      <w:r>
        <w:rPr>
          <w:sz w:val="22"/>
        </w:rPr>
        <w:t>in</w:t>
      </w:r>
      <w:r>
        <w:rPr>
          <w:spacing w:val="-9"/>
          <w:sz w:val="22"/>
        </w:rPr>
        <w:t> </w:t>
      </w:r>
      <w:r>
        <w:rPr>
          <w:sz w:val="22"/>
        </w:rPr>
        <w:t>the</w:t>
      </w:r>
      <w:r>
        <w:rPr>
          <w:spacing w:val="-5"/>
          <w:sz w:val="22"/>
        </w:rPr>
        <w:t> </w:t>
      </w:r>
      <w:r>
        <w:rPr>
          <w:sz w:val="22"/>
        </w:rPr>
        <w:t>High</w:t>
      </w:r>
      <w:r>
        <w:rPr>
          <w:spacing w:val="-8"/>
          <w:sz w:val="22"/>
        </w:rPr>
        <w:t> </w:t>
      </w:r>
      <w:r>
        <w:rPr>
          <w:sz w:val="22"/>
        </w:rPr>
        <w:t>Court</w:t>
      </w:r>
      <w:r>
        <w:rPr>
          <w:spacing w:val="-6"/>
          <w:sz w:val="22"/>
        </w:rPr>
        <w:t> </w:t>
      </w:r>
      <w:r>
        <w:rPr>
          <w:sz w:val="22"/>
        </w:rPr>
        <w:t>of</w:t>
      </w:r>
      <w:r>
        <w:rPr>
          <w:spacing w:val="-6"/>
          <w:sz w:val="22"/>
        </w:rPr>
        <w:t> </w:t>
      </w:r>
      <w:r>
        <w:rPr>
          <w:sz w:val="22"/>
        </w:rPr>
        <w:t>Karnataka</w:t>
      </w:r>
      <w:r>
        <w:rPr>
          <w:spacing w:val="-6"/>
          <w:sz w:val="22"/>
        </w:rPr>
        <w:t> </w:t>
      </w:r>
      <w:r>
        <w:rPr>
          <w:sz w:val="22"/>
        </w:rPr>
        <w:t>against</w:t>
      </w:r>
      <w:r>
        <w:rPr>
          <w:spacing w:val="-7"/>
          <w:sz w:val="22"/>
        </w:rPr>
        <w:t> </w:t>
      </w:r>
      <w:r>
        <w:rPr>
          <w:sz w:val="22"/>
        </w:rPr>
        <w:t>the</w:t>
      </w:r>
      <w:r>
        <w:rPr>
          <w:spacing w:val="-8"/>
          <w:sz w:val="22"/>
        </w:rPr>
        <w:t> </w:t>
      </w:r>
      <w:r>
        <w:rPr>
          <w:sz w:val="22"/>
        </w:rPr>
        <w:t>State</w:t>
      </w:r>
      <w:r>
        <w:rPr>
          <w:spacing w:val="-5"/>
          <w:sz w:val="22"/>
        </w:rPr>
        <w:t> </w:t>
      </w:r>
      <w:r>
        <w:rPr>
          <w:sz w:val="22"/>
        </w:rPr>
        <w:t>of</w:t>
      </w:r>
      <w:r>
        <w:rPr>
          <w:spacing w:val="-6"/>
          <w:sz w:val="22"/>
        </w:rPr>
        <w:t> </w:t>
      </w:r>
      <w:r>
        <w:rPr>
          <w:sz w:val="22"/>
        </w:rPr>
        <w:t>Karnataka,</w:t>
      </w:r>
      <w:r>
        <w:rPr>
          <w:spacing w:val="-7"/>
          <w:sz w:val="22"/>
        </w:rPr>
        <w:t> </w:t>
      </w:r>
      <w:r>
        <w:rPr>
          <w:sz w:val="22"/>
        </w:rPr>
        <w:t>the Karnataka Electricity Regulatory Commission, Bangalore Electricity </w:t>
      </w:r>
      <w:r>
        <w:rPr>
          <w:spacing w:val="-3"/>
          <w:sz w:val="22"/>
        </w:rPr>
        <w:t>Supply </w:t>
      </w:r>
      <w:r>
        <w:rPr>
          <w:sz w:val="22"/>
        </w:rPr>
        <w:t>Company Limited, Gulbarga Electricity Supply Company Limited and Karnataka Power Transmission Corporation Limited.</w:t>
      </w:r>
      <w:r>
        <w:rPr>
          <w:spacing w:val="-32"/>
          <w:sz w:val="22"/>
        </w:rPr>
        <w:t> </w:t>
      </w:r>
      <w:r>
        <w:rPr>
          <w:sz w:val="22"/>
        </w:rPr>
        <w:t>The</w:t>
      </w:r>
      <w:r>
        <w:rPr>
          <w:spacing w:val="-30"/>
          <w:sz w:val="22"/>
        </w:rPr>
        <w:t> </w:t>
      </w:r>
      <w:r>
        <w:rPr>
          <w:sz w:val="22"/>
        </w:rPr>
        <w:t>High</w:t>
      </w:r>
      <w:r>
        <w:rPr>
          <w:spacing w:val="-32"/>
          <w:sz w:val="22"/>
        </w:rPr>
        <w:t> </w:t>
      </w:r>
      <w:r>
        <w:rPr>
          <w:sz w:val="22"/>
        </w:rPr>
        <w:t>Court</w:t>
      </w:r>
      <w:r>
        <w:rPr>
          <w:spacing w:val="-31"/>
          <w:sz w:val="22"/>
        </w:rPr>
        <w:t> </w:t>
      </w:r>
      <w:r>
        <w:rPr>
          <w:sz w:val="22"/>
        </w:rPr>
        <w:t>of</w:t>
      </w:r>
      <w:r>
        <w:rPr>
          <w:spacing w:val="-29"/>
          <w:sz w:val="22"/>
        </w:rPr>
        <w:t> </w:t>
      </w:r>
      <w:r>
        <w:rPr>
          <w:sz w:val="22"/>
        </w:rPr>
        <w:t>Karnataka</w:t>
      </w:r>
      <w:r>
        <w:rPr>
          <w:spacing w:val="-32"/>
          <w:sz w:val="22"/>
        </w:rPr>
        <w:t> </w:t>
      </w:r>
      <w:r>
        <w:rPr>
          <w:sz w:val="22"/>
        </w:rPr>
        <w:t>by</w:t>
      </w:r>
      <w:r>
        <w:rPr>
          <w:spacing w:val="-31"/>
          <w:sz w:val="22"/>
        </w:rPr>
        <w:t> </w:t>
      </w:r>
      <w:r>
        <w:rPr>
          <w:sz w:val="22"/>
        </w:rPr>
        <w:t>way</w:t>
      </w:r>
      <w:r>
        <w:rPr>
          <w:spacing w:val="-31"/>
          <w:sz w:val="22"/>
        </w:rPr>
        <w:t> </w:t>
      </w:r>
      <w:r>
        <w:rPr>
          <w:sz w:val="22"/>
        </w:rPr>
        <w:t>of</w:t>
      </w:r>
      <w:r>
        <w:rPr>
          <w:spacing w:val="-29"/>
          <w:sz w:val="22"/>
        </w:rPr>
        <w:t> </w:t>
      </w:r>
      <w:r>
        <w:rPr>
          <w:sz w:val="22"/>
        </w:rPr>
        <w:t>an</w:t>
      </w:r>
      <w:r>
        <w:rPr>
          <w:spacing w:val="-32"/>
          <w:sz w:val="22"/>
        </w:rPr>
        <w:t> </w:t>
      </w:r>
      <w:r>
        <w:rPr>
          <w:sz w:val="22"/>
        </w:rPr>
        <w:t>order</w:t>
      </w:r>
      <w:r>
        <w:rPr>
          <w:spacing w:val="-32"/>
          <w:sz w:val="22"/>
        </w:rPr>
        <w:t> </w:t>
      </w:r>
      <w:r>
        <w:rPr>
          <w:sz w:val="22"/>
        </w:rPr>
        <w:t>dated</w:t>
      </w:r>
      <w:r>
        <w:rPr>
          <w:spacing w:val="-31"/>
          <w:sz w:val="22"/>
        </w:rPr>
        <w:t> </w:t>
      </w:r>
      <w:r>
        <w:rPr>
          <w:sz w:val="22"/>
        </w:rPr>
        <w:t>May</w:t>
      </w:r>
      <w:r>
        <w:rPr>
          <w:spacing w:val="-31"/>
          <w:sz w:val="22"/>
        </w:rPr>
        <w:t> </w:t>
      </w:r>
      <w:r>
        <w:rPr>
          <w:sz w:val="22"/>
        </w:rPr>
        <w:t>24,</w:t>
      </w:r>
      <w:r>
        <w:rPr>
          <w:spacing w:val="-30"/>
          <w:sz w:val="22"/>
        </w:rPr>
        <w:t> </w:t>
      </w:r>
      <w:r>
        <w:rPr>
          <w:spacing w:val="-3"/>
          <w:sz w:val="22"/>
        </w:rPr>
        <w:t>2018</w:t>
      </w:r>
      <w:r>
        <w:rPr>
          <w:spacing w:val="-30"/>
          <w:sz w:val="22"/>
        </w:rPr>
        <w:t> </w:t>
      </w:r>
      <w:r>
        <w:rPr>
          <w:sz w:val="22"/>
        </w:rPr>
        <w:t>has</w:t>
      </w:r>
      <w:r>
        <w:rPr>
          <w:spacing w:val="-31"/>
          <w:sz w:val="22"/>
        </w:rPr>
        <w:t> </w:t>
      </w:r>
      <w:r>
        <w:rPr>
          <w:sz w:val="22"/>
        </w:rPr>
        <w:t>directed</w:t>
      </w:r>
      <w:r>
        <w:rPr>
          <w:spacing w:val="-29"/>
          <w:sz w:val="22"/>
        </w:rPr>
        <w:t> </w:t>
      </w:r>
      <w:r>
        <w:rPr>
          <w:sz w:val="22"/>
        </w:rPr>
        <w:t>interim stay</w:t>
      </w:r>
      <w:r>
        <w:rPr>
          <w:spacing w:val="-13"/>
          <w:sz w:val="22"/>
        </w:rPr>
        <w:t> </w:t>
      </w:r>
      <w:r>
        <w:rPr>
          <w:sz w:val="22"/>
        </w:rPr>
        <w:t>on</w:t>
      </w:r>
      <w:r>
        <w:rPr>
          <w:spacing w:val="-15"/>
          <w:sz w:val="22"/>
        </w:rPr>
        <w:t> </w:t>
      </w:r>
      <w:r>
        <w:rPr>
          <w:sz w:val="22"/>
        </w:rPr>
        <w:t>the</w:t>
      </w:r>
      <w:r>
        <w:rPr>
          <w:spacing w:val="-15"/>
          <w:sz w:val="22"/>
        </w:rPr>
        <w:t> </w:t>
      </w:r>
      <w:r>
        <w:rPr>
          <w:sz w:val="22"/>
        </w:rPr>
        <w:t>Commission’s</w:t>
      </w:r>
      <w:r>
        <w:rPr>
          <w:spacing w:val="-12"/>
          <w:sz w:val="22"/>
        </w:rPr>
        <w:t> </w:t>
      </w:r>
      <w:r>
        <w:rPr>
          <w:sz w:val="22"/>
        </w:rPr>
        <w:t>order.</w:t>
      </w:r>
      <w:r>
        <w:rPr>
          <w:spacing w:val="-14"/>
          <w:sz w:val="22"/>
        </w:rPr>
        <w:t> </w:t>
      </w:r>
      <w:r>
        <w:rPr>
          <w:sz w:val="22"/>
        </w:rPr>
        <w:t>In</w:t>
      </w:r>
      <w:r>
        <w:rPr>
          <w:spacing w:val="-13"/>
          <w:sz w:val="22"/>
        </w:rPr>
        <w:t> </w:t>
      </w:r>
      <w:r>
        <w:rPr>
          <w:sz w:val="22"/>
        </w:rPr>
        <w:t>the</w:t>
      </w:r>
      <w:r>
        <w:rPr>
          <w:spacing w:val="-12"/>
          <w:sz w:val="22"/>
        </w:rPr>
        <w:t> </w:t>
      </w:r>
      <w:r>
        <w:rPr>
          <w:sz w:val="22"/>
        </w:rPr>
        <w:t>event</w:t>
      </w:r>
      <w:r>
        <w:rPr>
          <w:spacing w:val="-13"/>
          <w:sz w:val="22"/>
        </w:rPr>
        <w:t> </w:t>
      </w:r>
      <w:r>
        <w:rPr>
          <w:sz w:val="22"/>
        </w:rPr>
        <w:t>of</w:t>
      </w:r>
      <w:r>
        <w:rPr>
          <w:spacing w:val="-13"/>
          <w:sz w:val="22"/>
        </w:rPr>
        <w:t> </w:t>
      </w:r>
      <w:r>
        <w:rPr>
          <w:sz w:val="22"/>
        </w:rPr>
        <w:t>cancellation</w:t>
      </w:r>
      <w:r>
        <w:rPr>
          <w:spacing w:val="-13"/>
          <w:sz w:val="22"/>
        </w:rPr>
        <w:t> </w:t>
      </w:r>
      <w:r>
        <w:rPr>
          <w:sz w:val="22"/>
        </w:rPr>
        <w:t>of</w:t>
      </w:r>
      <w:r>
        <w:rPr>
          <w:spacing w:val="-13"/>
          <w:sz w:val="22"/>
        </w:rPr>
        <w:t> </w:t>
      </w:r>
      <w:r>
        <w:rPr>
          <w:sz w:val="22"/>
        </w:rPr>
        <w:t>the</w:t>
      </w:r>
      <w:r>
        <w:rPr>
          <w:spacing w:val="-14"/>
          <w:sz w:val="22"/>
        </w:rPr>
        <w:t> </w:t>
      </w:r>
      <w:r>
        <w:rPr>
          <w:sz w:val="22"/>
        </w:rPr>
        <w:t>aforesaid</w:t>
      </w:r>
      <w:r>
        <w:rPr>
          <w:spacing w:val="-12"/>
          <w:sz w:val="22"/>
        </w:rPr>
        <w:t> </w:t>
      </w:r>
      <w:r>
        <w:rPr>
          <w:sz w:val="22"/>
        </w:rPr>
        <w:t>exemption,</w:t>
      </w:r>
      <w:r>
        <w:rPr>
          <w:spacing w:val="-14"/>
          <w:sz w:val="22"/>
        </w:rPr>
        <w:t> </w:t>
      </w:r>
      <w:r>
        <w:rPr>
          <w:sz w:val="22"/>
        </w:rPr>
        <w:t>EEPL would</w:t>
      </w:r>
      <w:r>
        <w:rPr>
          <w:spacing w:val="-4"/>
          <w:sz w:val="22"/>
        </w:rPr>
        <w:t> </w:t>
      </w:r>
      <w:r>
        <w:rPr>
          <w:sz w:val="22"/>
        </w:rPr>
        <w:t>incur</w:t>
      </w:r>
      <w:r>
        <w:rPr>
          <w:spacing w:val="-5"/>
          <w:sz w:val="22"/>
        </w:rPr>
        <w:t> </w:t>
      </w:r>
      <w:r>
        <w:rPr>
          <w:sz w:val="22"/>
        </w:rPr>
        <w:t>an</w:t>
      </w:r>
      <w:r>
        <w:rPr>
          <w:spacing w:val="-6"/>
          <w:sz w:val="22"/>
        </w:rPr>
        <w:t> </w:t>
      </w:r>
      <w:r>
        <w:rPr>
          <w:sz w:val="22"/>
        </w:rPr>
        <w:t>estimated</w:t>
      </w:r>
      <w:r>
        <w:rPr>
          <w:spacing w:val="-3"/>
          <w:sz w:val="22"/>
        </w:rPr>
        <w:t> loss</w:t>
      </w:r>
      <w:r>
        <w:rPr>
          <w:spacing w:val="-2"/>
          <w:sz w:val="22"/>
        </w:rPr>
        <w:t> </w:t>
      </w:r>
      <w:r>
        <w:rPr>
          <w:sz w:val="22"/>
        </w:rPr>
        <w:t>of</w:t>
      </w:r>
      <w:r>
        <w:rPr>
          <w:spacing w:val="-5"/>
          <w:sz w:val="22"/>
        </w:rPr>
        <w:t> </w:t>
      </w:r>
      <w:r>
        <w:rPr>
          <w:sz w:val="22"/>
        </w:rPr>
        <w:t>approximately </w:t>
      </w:r>
      <w:r>
        <w:rPr>
          <w:rFonts w:ascii="Arial" w:hAnsi="Arial"/>
          <w:sz w:val="22"/>
        </w:rPr>
        <w:t>₹</w:t>
      </w:r>
      <w:r>
        <w:rPr>
          <w:sz w:val="22"/>
        </w:rPr>
        <w:t>1053.50</w:t>
      </w:r>
      <w:r>
        <w:rPr>
          <w:spacing w:val="-6"/>
          <w:sz w:val="22"/>
        </w:rPr>
        <w:t> </w:t>
      </w:r>
      <w:r>
        <w:rPr>
          <w:sz w:val="22"/>
        </w:rPr>
        <w:t>million</w:t>
      </w:r>
      <w:r>
        <w:rPr>
          <w:spacing w:val="-5"/>
          <w:sz w:val="22"/>
        </w:rPr>
        <w:t> </w:t>
      </w:r>
      <w:r>
        <w:rPr>
          <w:sz w:val="22"/>
        </w:rPr>
        <w:t>over</w:t>
      </w:r>
      <w:r>
        <w:rPr>
          <w:spacing w:val="-6"/>
          <w:sz w:val="22"/>
        </w:rPr>
        <w:t> </w:t>
      </w:r>
      <w:r>
        <w:rPr>
          <w:sz w:val="22"/>
        </w:rPr>
        <w:t>a</w:t>
      </w:r>
      <w:r>
        <w:rPr>
          <w:spacing w:val="-6"/>
          <w:sz w:val="22"/>
        </w:rPr>
        <w:t> </w:t>
      </w:r>
      <w:r>
        <w:rPr>
          <w:sz w:val="22"/>
        </w:rPr>
        <w:t>ten</w:t>
      </w:r>
      <w:r>
        <w:rPr>
          <w:spacing w:val="-5"/>
          <w:sz w:val="22"/>
        </w:rPr>
        <w:t> </w:t>
      </w:r>
      <w:r>
        <w:rPr>
          <w:sz w:val="22"/>
        </w:rPr>
        <w:t>year</w:t>
      </w:r>
      <w:r>
        <w:rPr>
          <w:spacing w:val="-6"/>
          <w:sz w:val="22"/>
        </w:rPr>
        <w:t> </w:t>
      </w:r>
      <w:r>
        <w:rPr>
          <w:sz w:val="22"/>
        </w:rPr>
        <w:t>period.</w:t>
      </w:r>
      <w:r>
        <w:rPr>
          <w:spacing w:val="-5"/>
          <w:sz w:val="22"/>
        </w:rPr>
        <w:t> </w:t>
      </w:r>
      <w:r>
        <w:rPr>
          <w:spacing w:val="-8"/>
          <w:sz w:val="22"/>
        </w:rPr>
        <w:t>The </w:t>
      </w:r>
      <w:r>
        <w:rPr>
          <w:sz w:val="22"/>
        </w:rPr>
        <w:t>Bangalore</w:t>
      </w:r>
      <w:r>
        <w:rPr>
          <w:spacing w:val="-46"/>
          <w:sz w:val="22"/>
        </w:rPr>
        <w:t> </w:t>
      </w:r>
      <w:r>
        <w:rPr>
          <w:sz w:val="22"/>
        </w:rPr>
        <w:t>Electricity</w:t>
      </w:r>
      <w:r>
        <w:rPr>
          <w:spacing w:val="-44"/>
          <w:sz w:val="22"/>
        </w:rPr>
        <w:t> </w:t>
      </w:r>
      <w:r>
        <w:rPr>
          <w:sz w:val="22"/>
        </w:rPr>
        <w:t>Supply</w:t>
      </w:r>
      <w:r>
        <w:rPr>
          <w:spacing w:val="-45"/>
          <w:sz w:val="22"/>
        </w:rPr>
        <w:t> </w:t>
      </w:r>
      <w:r>
        <w:rPr>
          <w:sz w:val="22"/>
        </w:rPr>
        <w:t>Company</w:t>
      </w:r>
      <w:r>
        <w:rPr>
          <w:spacing w:val="-44"/>
          <w:sz w:val="22"/>
        </w:rPr>
        <w:t> </w:t>
      </w:r>
      <w:r>
        <w:rPr>
          <w:sz w:val="22"/>
        </w:rPr>
        <w:t>Limited</w:t>
      </w:r>
      <w:r>
        <w:rPr>
          <w:spacing w:val="-45"/>
          <w:sz w:val="22"/>
        </w:rPr>
        <w:t> </w:t>
      </w:r>
      <w:r>
        <w:rPr>
          <w:sz w:val="22"/>
        </w:rPr>
        <w:t>filed</w:t>
      </w:r>
      <w:r>
        <w:rPr>
          <w:spacing w:val="-46"/>
          <w:sz w:val="22"/>
        </w:rPr>
        <w:t> </w:t>
      </w:r>
      <w:r>
        <w:rPr>
          <w:sz w:val="22"/>
        </w:rPr>
        <w:t>an</w:t>
      </w:r>
      <w:r>
        <w:rPr>
          <w:spacing w:val="-44"/>
          <w:sz w:val="22"/>
        </w:rPr>
        <w:t> </w:t>
      </w:r>
      <w:r>
        <w:rPr>
          <w:sz w:val="22"/>
        </w:rPr>
        <w:t>interlocutory</w:t>
      </w:r>
      <w:r>
        <w:rPr>
          <w:spacing w:val="-44"/>
          <w:sz w:val="22"/>
        </w:rPr>
        <w:t> </w:t>
      </w:r>
      <w:r>
        <w:rPr>
          <w:sz w:val="22"/>
        </w:rPr>
        <w:t>application</w:t>
      </w:r>
      <w:r>
        <w:rPr>
          <w:spacing w:val="-45"/>
          <w:sz w:val="22"/>
        </w:rPr>
        <w:t> </w:t>
      </w:r>
      <w:r>
        <w:rPr>
          <w:sz w:val="22"/>
        </w:rPr>
        <w:t>on</w:t>
      </w:r>
      <w:r>
        <w:rPr>
          <w:spacing w:val="-45"/>
          <w:sz w:val="22"/>
        </w:rPr>
        <w:t> </w:t>
      </w:r>
      <w:r>
        <w:rPr>
          <w:sz w:val="22"/>
        </w:rPr>
        <w:t>June</w:t>
      </w:r>
      <w:r>
        <w:rPr>
          <w:spacing w:val="-43"/>
          <w:sz w:val="22"/>
        </w:rPr>
        <w:t> </w:t>
      </w:r>
      <w:r>
        <w:rPr>
          <w:sz w:val="22"/>
        </w:rPr>
        <w:t>18,</w:t>
      </w:r>
      <w:r>
        <w:rPr>
          <w:spacing w:val="-44"/>
          <w:sz w:val="22"/>
        </w:rPr>
        <w:t> </w:t>
      </w:r>
      <w:r>
        <w:rPr>
          <w:spacing w:val="-3"/>
          <w:sz w:val="22"/>
        </w:rPr>
        <w:t>2018, </w:t>
      </w:r>
      <w:r>
        <w:rPr>
          <w:sz w:val="22"/>
        </w:rPr>
        <w:t>seeking recalling of order dated May 24, 2018 of the High Court of Karnataka, and Karnataka Electricity</w:t>
      </w:r>
      <w:r>
        <w:rPr>
          <w:spacing w:val="-12"/>
          <w:sz w:val="22"/>
        </w:rPr>
        <w:t> </w:t>
      </w:r>
      <w:r>
        <w:rPr>
          <w:sz w:val="22"/>
        </w:rPr>
        <w:t>Regulatory</w:t>
      </w:r>
      <w:r>
        <w:rPr>
          <w:spacing w:val="-12"/>
          <w:sz w:val="22"/>
        </w:rPr>
        <w:t> </w:t>
      </w:r>
      <w:r>
        <w:rPr>
          <w:sz w:val="22"/>
        </w:rPr>
        <w:t>Commission</w:t>
      </w:r>
      <w:r>
        <w:rPr>
          <w:spacing w:val="-13"/>
          <w:sz w:val="22"/>
        </w:rPr>
        <w:t> </w:t>
      </w:r>
      <w:r>
        <w:rPr>
          <w:sz w:val="22"/>
        </w:rPr>
        <w:t>has</w:t>
      </w:r>
      <w:r>
        <w:rPr>
          <w:spacing w:val="-12"/>
          <w:sz w:val="22"/>
        </w:rPr>
        <w:t> </w:t>
      </w:r>
      <w:r>
        <w:rPr>
          <w:sz w:val="22"/>
        </w:rPr>
        <w:t>filed</w:t>
      </w:r>
      <w:r>
        <w:rPr>
          <w:spacing w:val="-12"/>
          <w:sz w:val="22"/>
        </w:rPr>
        <w:t> </w:t>
      </w:r>
      <w:r>
        <w:rPr>
          <w:sz w:val="22"/>
        </w:rPr>
        <w:t>common</w:t>
      </w:r>
      <w:r>
        <w:rPr>
          <w:spacing w:val="-13"/>
          <w:sz w:val="22"/>
        </w:rPr>
        <w:t> </w:t>
      </w:r>
      <w:r>
        <w:rPr>
          <w:sz w:val="22"/>
        </w:rPr>
        <w:t>preliminary</w:t>
      </w:r>
      <w:r>
        <w:rPr>
          <w:spacing w:val="-12"/>
          <w:sz w:val="22"/>
        </w:rPr>
        <w:t> </w:t>
      </w:r>
      <w:r>
        <w:rPr>
          <w:sz w:val="22"/>
        </w:rPr>
        <w:t>objections</w:t>
      </w:r>
      <w:r>
        <w:rPr>
          <w:spacing w:val="-11"/>
          <w:sz w:val="22"/>
        </w:rPr>
        <w:t> </w:t>
      </w:r>
      <w:r>
        <w:rPr>
          <w:sz w:val="22"/>
        </w:rPr>
        <w:t>on</w:t>
      </w:r>
      <w:r>
        <w:rPr>
          <w:spacing w:val="-13"/>
          <w:sz w:val="22"/>
        </w:rPr>
        <w:t> </w:t>
      </w:r>
      <w:r>
        <w:rPr>
          <w:sz w:val="22"/>
        </w:rPr>
        <w:t>September</w:t>
      </w:r>
      <w:r>
        <w:rPr>
          <w:spacing w:val="-12"/>
          <w:sz w:val="22"/>
        </w:rPr>
        <w:t> </w:t>
      </w:r>
      <w:r>
        <w:rPr>
          <w:sz w:val="22"/>
        </w:rPr>
        <w:t>27, 2018</w:t>
      </w:r>
      <w:r>
        <w:rPr>
          <w:spacing w:val="-9"/>
          <w:sz w:val="22"/>
        </w:rPr>
        <w:t> </w:t>
      </w:r>
      <w:r>
        <w:rPr>
          <w:sz w:val="22"/>
        </w:rPr>
        <w:t>and</w:t>
      </w:r>
      <w:r>
        <w:rPr>
          <w:spacing w:val="-8"/>
          <w:sz w:val="22"/>
        </w:rPr>
        <w:t> </w:t>
      </w:r>
      <w:r>
        <w:rPr>
          <w:sz w:val="22"/>
        </w:rPr>
        <w:t>requested</w:t>
      </w:r>
      <w:r>
        <w:rPr>
          <w:spacing w:val="-9"/>
          <w:sz w:val="22"/>
        </w:rPr>
        <w:t> </w:t>
      </w:r>
      <w:r>
        <w:rPr>
          <w:sz w:val="22"/>
        </w:rPr>
        <w:t>the</w:t>
      </w:r>
      <w:r>
        <w:rPr>
          <w:spacing w:val="-8"/>
          <w:sz w:val="22"/>
        </w:rPr>
        <w:t> </w:t>
      </w:r>
      <w:r>
        <w:rPr>
          <w:sz w:val="22"/>
        </w:rPr>
        <w:t>High</w:t>
      </w:r>
      <w:r>
        <w:rPr>
          <w:spacing w:val="-9"/>
          <w:sz w:val="22"/>
        </w:rPr>
        <w:t> </w:t>
      </w:r>
      <w:r>
        <w:rPr>
          <w:sz w:val="22"/>
        </w:rPr>
        <w:t>Court</w:t>
      </w:r>
      <w:r>
        <w:rPr>
          <w:spacing w:val="-7"/>
          <w:sz w:val="22"/>
        </w:rPr>
        <w:t> </w:t>
      </w:r>
      <w:r>
        <w:rPr>
          <w:sz w:val="22"/>
        </w:rPr>
        <w:t>of</w:t>
      </w:r>
      <w:r>
        <w:rPr>
          <w:spacing w:val="-8"/>
          <w:sz w:val="22"/>
        </w:rPr>
        <w:t> </w:t>
      </w:r>
      <w:r>
        <w:rPr>
          <w:sz w:val="22"/>
        </w:rPr>
        <w:t>Karnataka</w:t>
      </w:r>
      <w:r>
        <w:rPr>
          <w:spacing w:val="-10"/>
          <w:sz w:val="22"/>
        </w:rPr>
        <w:t> </w:t>
      </w:r>
      <w:r>
        <w:rPr>
          <w:sz w:val="22"/>
        </w:rPr>
        <w:t>to</w:t>
      </w:r>
      <w:r>
        <w:rPr>
          <w:spacing w:val="-11"/>
          <w:sz w:val="22"/>
        </w:rPr>
        <w:t> </w:t>
      </w:r>
      <w:r>
        <w:rPr>
          <w:sz w:val="22"/>
        </w:rPr>
        <w:t>dismiss</w:t>
      </w:r>
      <w:r>
        <w:rPr>
          <w:spacing w:val="-8"/>
          <w:sz w:val="22"/>
        </w:rPr>
        <w:t> </w:t>
      </w:r>
      <w:r>
        <w:rPr>
          <w:sz w:val="22"/>
        </w:rPr>
        <w:t>the</w:t>
      </w:r>
      <w:r>
        <w:rPr>
          <w:spacing w:val="-9"/>
          <w:sz w:val="22"/>
        </w:rPr>
        <w:t> </w:t>
      </w:r>
      <w:r>
        <w:rPr>
          <w:sz w:val="22"/>
        </w:rPr>
        <w:t>writ</w:t>
      </w:r>
      <w:r>
        <w:rPr>
          <w:spacing w:val="-11"/>
          <w:sz w:val="22"/>
        </w:rPr>
        <w:t> </w:t>
      </w:r>
      <w:r>
        <w:rPr>
          <w:sz w:val="22"/>
        </w:rPr>
        <w:t>petition</w:t>
      </w:r>
      <w:r>
        <w:rPr>
          <w:spacing w:val="-9"/>
          <w:sz w:val="22"/>
        </w:rPr>
        <w:t> </w:t>
      </w:r>
      <w:r>
        <w:rPr>
          <w:sz w:val="22"/>
        </w:rPr>
        <w:t>filed</w:t>
      </w:r>
      <w:r>
        <w:rPr>
          <w:spacing w:val="-8"/>
          <w:sz w:val="22"/>
        </w:rPr>
        <w:t> </w:t>
      </w:r>
      <w:r>
        <w:rPr>
          <w:sz w:val="22"/>
        </w:rPr>
        <w:t>by</w:t>
      </w:r>
      <w:r>
        <w:rPr>
          <w:spacing w:val="-7"/>
          <w:sz w:val="22"/>
        </w:rPr>
        <w:t> </w:t>
      </w:r>
      <w:r>
        <w:rPr>
          <w:sz w:val="22"/>
        </w:rPr>
        <w:t>EEPL</w:t>
      </w:r>
      <w:r>
        <w:rPr>
          <w:spacing w:val="-8"/>
          <w:sz w:val="22"/>
        </w:rPr>
        <w:t> </w:t>
      </w:r>
      <w:r>
        <w:rPr>
          <w:sz w:val="22"/>
        </w:rPr>
        <w:t>and others.</w:t>
      </w:r>
      <w:r>
        <w:rPr>
          <w:spacing w:val="-23"/>
          <w:sz w:val="22"/>
        </w:rPr>
        <w:t> </w:t>
      </w:r>
      <w:r>
        <w:rPr>
          <w:sz w:val="22"/>
        </w:rPr>
        <w:t>The</w:t>
      </w:r>
      <w:r>
        <w:rPr>
          <w:spacing w:val="-24"/>
          <w:sz w:val="22"/>
        </w:rPr>
        <w:t> </w:t>
      </w:r>
      <w:r>
        <w:rPr>
          <w:sz w:val="22"/>
        </w:rPr>
        <w:t>High</w:t>
      </w:r>
      <w:r>
        <w:rPr>
          <w:spacing w:val="-24"/>
          <w:sz w:val="22"/>
        </w:rPr>
        <w:t> </w:t>
      </w:r>
      <w:r>
        <w:rPr>
          <w:sz w:val="22"/>
        </w:rPr>
        <w:t>Court</w:t>
      </w:r>
      <w:r>
        <w:rPr>
          <w:spacing w:val="-20"/>
          <w:sz w:val="22"/>
        </w:rPr>
        <w:t> </w:t>
      </w:r>
      <w:r>
        <w:rPr>
          <w:sz w:val="22"/>
        </w:rPr>
        <w:t>of</w:t>
      </w:r>
      <w:r>
        <w:rPr>
          <w:spacing w:val="-22"/>
          <w:sz w:val="22"/>
        </w:rPr>
        <w:t> </w:t>
      </w:r>
      <w:r>
        <w:rPr>
          <w:sz w:val="22"/>
        </w:rPr>
        <w:t>Karnataka,</w:t>
      </w:r>
      <w:r>
        <w:rPr>
          <w:spacing w:val="-26"/>
          <w:sz w:val="22"/>
        </w:rPr>
        <w:t> </w:t>
      </w:r>
      <w:r>
        <w:rPr>
          <w:sz w:val="22"/>
        </w:rPr>
        <w:t>by</w:t>
      </w:r>
      <w:r>
        <w:rPr>
          <w:spacing w:val="-22"/>
          <w:sz w:val="22"/>
        </w:rPr>
        <w:t> </w:t>
      </w:r>
      <w:r>
        <w:rPr>
          <w:sz w:val="22"/>
        </w:rPr>
        <w:t>way</w:t>
      </w:r>
      <w:r>
        <w:rPr>
          <w:spacing w:val="-22"/>
          <w:sz w:val="22"/>
        </w:rPr>
        <w:t> </w:t>
      </w:r>
      <w:r>
        <w:rPr>
          <w:sz w:val="22"/>
        </w:rPr>
        <w:t>of</w:t>
      </w:r>
      <w:r>
        <w:rPr>
          <w:spacing w:val="-20"/>
          <w:sz w:val="22"/>
        </w:rPr>
        <w:t> </w:t>
      </w:r>
      <w:r>
        <w:rPr>
          <w:sz w:val="22"/>
        </w:rPr>
        <w:t>an</w:t>
      </w:r>
      <w:r>
        <w:rPr>
          <w:spacing w:val="-24"/>
          <w:sz w:val="22"/>
        </w:rPr>
        <w:t> </w:t>
      </w:r>
      <w:r>
        <w:rPr>
          <w:sz w:val="22"/>
        </w:rPr>
        <w:t>order</w:t>
      </w:r>
      <w:r>
        <w:rPr>
          <w:spacing w:val="-24"/>
          <w:sz w:val="22"/>
        </w:rPr>
        <w:t> </w:t>
      </w:r>
      <w:r>
        <w:rPr>
          <w:sz w:val="22"/>
        </w:rPr>
        <w:t>dated</w:t>
      </w:r>
      <w:r>
        <w:rPr>
          <w:spacing w:val="-20"/>
          <w:sz w:val="22"/>
        </w:rPr>
        <w:t> </w:t>
      </w:r>
      <w:r>
        <w:rPr>
          <w:sz w:val="22"/>
        </w:rPr>
        <w:t>March</w:t>
      </w:r>
      <w:r>
        <w:rPr>
          <w:spacing w:val="-24"/>
          <w:sz w:val="22"/>
        </w:rPr>
        <w:t> </w:t>
      </w:r>
      <w:r>
        <w:rPr>
          <w:sz w:val="22"/>
        </w:rPr>
        <w:t>13,</w:t>
      </w:r>
      <w:r>
        <w:rPr>
          <w:spacing w:val="-21"/>
          <w:sz w:val="22"/>
        </w:rPr>
        <w:t> </w:t>
      </w:r>
      <w:r>
        <w:rPr>
          <w:sz w:val="22"/>
        </w:rPr>
        <w:t>2019,</w:t>
      </w:r>
      <w:r>
        <w:rPr>
          <w:spacing w:val="-23"/>
          <w:sz w:val="22"/>
        </w:rPr>
        <w:t> </w:t>
      </w:r>
      <w:r>
        <w:rPr>
          <w:sz w:val="22"/>
        </w:rPr>
        <w:t>allowed</w:t>
      </w:r>
      <w:r>
        <w:rPr>
          <w:spacing w:val="-22"/>
          <w:sz w:val="22"/>
        </w:rPr>
        <w:t> </w:t>
      </w:r>
      <w:r>
        <w:rPr>
          <w:sz w:val="22"/>
        </w:rPr>
        <w:t>the</w:t>
      </w:r>
      <w:r>
        <w:rPr>
          <w:spacing w:val="-26"/>
          <w:sz w:val="22"/>
        </w:rPr>
        <w:t> </w:t>
      </w:r>
      <w:r>
        <w:rPr>
          <w:sz w:val="22"/>
        </w:rPr>
        <w:t>writ petitions</w:t>
      </w:r>
      <w:r>
        <w:rPr>
          <w:spacing w:val="7"/>
          <w:sz w:val="22"/>
        </w:rPr>
        <w:t> </w:t>
      </w:r>
      <w:r>
        <w:rPr>
          <w:sz w:val="22"/>
        </w:rPr>
        <w:t>filed</w:t>
      </w:r>
      <w:r>
        <w:rPr>
          <w:spacing w:val="7"/>
          <w:sz w:val="22"/>
        </w:rPr>
        <w:t> </w:t>
      </w:r>
      <w:r>
        <w:rPr>
          <w:sz w:val="22"/>
        </w:rPr>
        <w:t>by</w:t>
      </w:r>
      <w:r>
        <w:rPr>
          <w:spacing w:val="8"/>
          <w:sz w:val="22"/>
        </w:rPr>
        <w:t> </w:t>
      </w:r>
      <w:r>
        <w:rPr>
          <w:sz w:val="22"/>
        </w:rPr>
        <w:t>EEPL</w:t>
      </w:r>
      <w:r>
        <w:rPr>
          <w:spacing w:val="8"/>
          <w:sz w:val="22"/>
        </w:rPr>
        <w:t> </w:t>
      </w:r>
      <w:r>
        <w:rPr>
          <w:sz w:val="22"/>
        </w:rPr>
        <w:t>and</w:t>
      </w:r>
      <w:r>
        <w:rPr>
          <w:spacing w:val="7"/>
          <w:sz w:val="22"/>
        </w:rPr>
        <w:t> </w:t>
      </w:r>
      <w:r>
        <w:rPr>
          <w:sz w:val="22"/>
        </w:rPr>
        <w:t>others,</w:t>
      </w:r>
      <w:r>
        <w:rPr>
          <w:spacing w:val="7"/>
          <w:sz w:val="22"/>
        </w:rPr>
        <w:t> </w:t>
      </w:r>
      <w:r>
        <w:rPr>
          <w:sz w:val="22"/>
        </w:rPr>
        <w:t>and</w:t>
      </w:r>
      <w:r>
        <w:rPr>
          <w:spacing w:val="7"/>
          <w:sz w:val="22"/>
        </w:rPr>
        <w:t> </w:t>
      </w:r>
      <w:r>
        <w:rPr>
          <w:sz w:val="22"/>
        </w:rPr>
        <w:t>quashed</w:t>
      </w:r>
      <w:r>
        <w:rPr>
          <w:spacing w:val="7"/>
          <w:sz w:val="22"/>
        </w:rPr>
        <w:t> </w:t>
      </w:r>
      <w:r>
        <w:rPr>
          <w:sz w:val="22"/>
        </w:rPr>
        <w:t>the</w:t>
      </w:r>
      <w:r>
        <w:rPr>
          <w:spacing w:val="6"/>
          <w:sz w:val="22"/>
        </w:rPr>
        <w:t> </w:t>
      </w:r>
      <w:r>
        <w:rPr>
          <w:sz w:val="22"/>
        </w:rPr>
        <w:t>order</w:t>
      </w:r>
      <w:r>
        <w:rPr>
          <w:spacing w:val="6"/>
          <w:sz w:val="22"/>
        </w:rPr>
        <w:t> </w:t>
      </w:r>
      <w:r>
        <w:rPr>
          <w:sz w:val="22"/>
        </w:rPr>
        <w:t>dated</w:t>
      </w:r>
      <w:r>
        <w:rPr>
          <w:spacing w:val="8"/>
          <w:sz w:val="22"/>
        </w:rPr>
        <w:t> </w:t>
      </w:r>
      <w:r>
        <w:rPr>
          <w:spacing w:val="-3"/>
          <w:sz w:val="22"/>
        </w:rPr>
        <w:t>May</w:t>
      </w:r>
      <w:r>
        <w:rPr>
          <w:spacing w:val="9"/>
          <w:sz w:val="22"/>
        </w:rPr>
        <w:t> </w:t>
      </w:r>
      <w:r>
        <w:rPr>
          <w:sz w:val="22"/>
        </w:rPr>
        <w:t>14,</w:t>
      </w:r>
      <w:r>
        <w:rPr>
          <w:spacing w:val="7"/>
          <w:sz w:val="22"/>
        </w:rPr>
        <w:t> </w:t>
      </w:r>
      <w:r>
        <w:rPr>
          <w:sz w:val="22"/>
        </w:rPr>
        <w:t>2018</w:t>
      </w:r>
      <w:r>
        <w:rPr>
          <w:spacing w:val="9"/>
          <w:sz w:val="22"/>
        </w:rPr>
        <w:t> </w:t>
      </w:r>
      <w:r>
        <w:rPr>
          <w:spacing w:val="-3"/>
          <w:sz w:val="22"/>
        </w:rPr>
        <w:t>issued</w:t>
      </w:r>
      <w:r>
        <w:rPr>
          <w:spacing w:val="7"/>
          <w:sz w:val="22"/>
        </w:rPr>
        <w:t> </w:t>
      </w:r>
      <w:r>
        <w:rPr>
          <w:sz w:val="22"/>
        </w:rPr>
        <w:t>by</w:t>
      </w:r>
      <w:r>
        <w:rPr>
          <w:spacing w:val="6"/>
          <w:sz w:val="22"/>
        </w:rPr>
        <w:t> </w:t>
      </w:r>
      <w:r>
        <w:rPr>
          <w:sz w:val="22"/>
        </w:rPr>
        <w:t>the</w:t>
      </w:r>
    </w:p>
    <w:p>
      <w:pPr>
        <w:spacing w:after="0" w:line="247" w:lineRule="auto"/>
        <w:jc w:val="both"/>
        <w:rPr>
          <w:sz w:val="22"/>
        </w:rPr>
        <w:sectPr>
          <w:pgSz w:w="11910" w:h="16840"/>
          <w:pgMar w:header="720" w:footer="862" w:top="1660" w:bottom="1060" w:left="40" w:right="40"/>
        </w:sectPr>
      </w:pPr>
    </w:p>
    <w:p>
      <w:pPr>
        <w:pStyle w:val="BodyText"/>
        <w:spacing w:before="7"/>
        <w:rPr>
          <w:sz w:val="9"/>
        </w:rPr>
      </w:pPr>
    </w:p>
    <w:p>
      <w:pPr>
        <w:pStyle w:val="BodyText"/>
        <w:spacing w:line="247" w:lineRule="auto" w:before="106"/>
        <w:ind w:left="1976" w:right="674"/>
        <w:jc w:val="both"/>
      </w:pPr>
      <w:r>
        <w:rPr/>
        <w:t>Karnataka</w:t>
      </w:r>
      <w:r>
        <w:rPr>
          <w:spacing w:val="-9"/>
        </w:rPr>
        <w:t> </w:t>
      </w:r>
      <w:r>
        <w:rPr/>
        <w:t>Electricity</w:t>
      </w:r>
      <w:r>
        <w:rPr>
          <w:spacing w:val="-7"/>
        </w:rPr>
        <w:t> </w:t>
      </w:r>
      <w:r>
        <w:rPr/>
        <w:t>Regulatory</w:t>
      </w:r>
      <w:r>
        <w:rPr>
          <w:spacing w:val="-9"/>
        </w:rPr>
        <w:t> </w:t>
      </w:r>
      <w:r>
        <w:rPr/>
        <w:t>Commission.</w:t>
      </w:r>
      <w:r>
        <w:rPr>
          <w:spacing w:val="-8"/>
        </w:rPr>
        <w:t> </w:t>
      </w:r>
      <w:r>
        <w:rPr/>
        <w:t>EEPL</w:t>
      </w:r>
      <w:r>
        <w:rPr>
          <w:spacing w:val="-8"/>
        </w:rPr>
        <w:t> </w:t>
      </w:r>
      <w:r>
        <w:rPr/>
        <w:t>has</w:t>
      </w:r>
      <w:r>
        <w:rPr>
          <w:spacing w:val="-7"/>
        </w:rPr>
        <w:t> </w:t>
      </w:r>
      <w:r>
        <w:rPr/>
        <w:t>filed</w:t>
      </w:r>
      <w:r>
        <w:rPr>
          <w:spacing w:val="-9"/>
        </w:rPr>
        <w:t> </w:t>
      </w:r>
      <w:r>
        <w:rPr/>
        <w:t>the</w:t>
      </w:r>
      <w:r>
        <w:rPr>
          <w:spacing w:val="-10"/>
        </w:rPr>
        <w:t> </w:t>
      </w:r>
      <w:r>
        <w:rPr/>
        <w:t>Caveat</w:t>
      </w:r>
      <w:r>
        <w:rPr>
          <w:spacing w:val="-9"/>
        </w:rPr>
        <w:t> </w:t>
      </w:r>
      <w:r>
        <w:rPr/>
        <w:t>Petition</w:t>
      </w:r>
      <w:r>
        <w:rPr>
          <w:spacing w:val="-9"/>
        </w:rPr>
        <w:t> </w:t>
      </w:r>
      <w:r>
        <w:rPr/>
        <w:t>for</w:t>
      </w:r>
      <w:r>
        <w:rPr>
          <w:spacing w:val="-8"/>
        </w:rPr>
        <w:t> </w:t>
      </w:r>
      <w:r>
        <w:rPr/>
        <w:t>receiving notifications</w:t>
      </w:r>
      <w:r>
        <w:rPr>
          <w:spacing w:val="-28"/>
        </w:rPr>
        <w:t> </w:t>
      </w:r>
      <w:r>
        <w:rPr/>
        <w:t>in</w:t>
      </w:r>
      <w:r>
        <w:rPr>
          <w:spacing w:val="-30"/>
        </w:rPr>
        <w:t> </w:t>
      </w:r>
      <w:r>
        <w:rPr/>
        <w:t>case</w:t>
      </w:r>
      <w:r>
        <w:rPr>
          <w:spacing w:val="-30"/>
        </w:rPr>
        <w:t> </w:t>
      </w:r>
      <w:r>
        <w:rPr>
          <w:spacing w:val="-2"/>
        </w:rPr>
        <w:t>any</w:t>
      </w:r>
      <w:r>
        <w:rPr>
          <w:spacing w:val="-29"/>
        </w:rPr>
        <w:t> </w:t>
      </w:r>
      <w:r>
        <w:rPr/>
        <w:t>suit</w:t>
      </w:r>
      <w:r>
        <w:rPr>
          <w:spacing w:val="-28"/>
        </w:rPr>
        <w:t> </w:t>
      </w:r>
      <w:r>
        <w:rPr/>
        <w:t>/</w:t>
      </w:r>
      <w:r>
        <w:rPr>
          <w:spacing w:val="-30"/>
        </w:rPr>
        <w:t> </w:t>
      </w:r>
      <w:r>
        <w:rPr/>
        <w:t>appeal</w:t>
      </w:r>
      <w:r>
        <w:rPr>
          <w:spacing w:val="-29"/>
        </w:rPr>
        <w:t> </w:t>
      </w:r>
      <w:r>
        <w:rPr/>
        <w:t>is</w:t>
      </w:r>
      <w:r>
        <w:rPr>
          <w:spacing w:val="-29"/>
        </w:rPr>
        <w:t> </w:t>
      </w:r>
      <w:r>
        <w:rPr/>
        <w:t>filed</w:t>
      </w:r>
      <w:r>
        <w:rPr>
          <w:spacing w:val="-29"/>
        </w:rPr>
        <w:t> </w:t>
      </w:r>
      <w:r>
        <w:rPr/>
        <w:t>by</w:t>
      </w:r>
      <w:r>
        <w:rPr>
          <w:spacing w:val="-28"/>
        </w:rPr>
        <w:t> </w:t>
      </w:r>
      <w:r>
        <w:rPr>
          <w:spacing w:val="-3"/>
        </w:rPr>
        <w:t>any</w:t>
      </w:r>
      <w:r>
        <w:rPr>
          <w:spacing w:val="-28"/>
        </w:rPr>
        <w:t> </w:t>
      </w:r>
      <w:r>
        <w:rPr/>
        <w:t>of</w:t>
      </w:r>
      <w:r>
        <w:rPr>
          <w:spacing w:val="-29"/>
        </w:rPr>
        <w:t> </w:t>
      </w:r>
      <w:r>
        <w:rPr/>
        <w:t>the</w:t>
      </w:r>
      <w:r>
        <w:rPr>
          <w:spacing w:val="-30"/>
        </w:rPr>
        <w:t> </w:t>
      </w:r>
      <w:r>
        <w:rPr/>
        <w:t>parties</w:t>
      </w:r>
      <w:r>
        <w:rPr>
          <w:spacing w:val="-27"/>
        </w:rPr>
        <w:t> </w:t>
      </w:r>
      <w:r>
        <w:rPr/>
        <w:t>to</w:t>
      </w:r>
      <w:r>
        <w:rPr>
          <w:spacing w:val="-29"/>
        </w:rPr>
        <w:t> </w:t>
      </w:r>
      <w:r>
        <w:rPr/>
        <w:t>the</w:t>
      </w:r>
      <w:r>
        <w:rPr>
          <w:spacing w:val="-31"/>
        </w:rPr>
        <w:t> </w:t>
      </w:r>
      <w:r>
        <w:rPr/>
        <w:t>said</w:t>
      </w:r>
      <w:r>
        <w:rPr>
          <w:spacing w:val="-28"/>
        </w:rPr>
        <w:t> </w:t>
      </w:r>
      <w:r>
        <w:rPr/>
        <w:t>petition.</w:t>
      </w:r>
      <w:r>
        <w:rPr>
          <w:spacing w:val="-31"/>
        </w:rPr>
        <w:t> </w:t>
      </w:r>
      <w:r>
        <w:rPr/>
        <w:t>Karnataka Electricity Regulatory Commission </w:t>
      </w:r>
      <w:r>
        <w:rPr>
          <w:spacing w:val="-3"/>
        </w:rPr>
        <w:t>has </w:t>
      </w:r>
      <w:r>
        <w:rPr/>
        <w:t>filed a common writ appeal against the said </w:t>
      </w:r>
      <w:r>
        <w:rPr>
          <w:spacing w:val="-3"/>
        </w:rPr>
        <w:t>order. </w:t>
      </w:r>
      <w:r>
        <w:rPr/>
        <w:t>However,</w:t>
      </w:r>
      <w:r>
        <w:rPr>
          <w:spacing w:val="-9"/>
        </w:rPr>
        <w:t> </w:t>
      </w:r>
      <w:r>
        <w:rPr/>
        <w:t>EEPL</w:t>
      </w:r>
      <w:r>
        <w:rPr>
          <w:spacing w:val="-8"/>
        </w:rPr>
        <w:t> </w:t>
      </w:r>
      <w:r>
        <w:rPr>
          <w:spacing w:val="-3"/>
        </w:rPr>
        <w:t>has</w:t>
      </w:r>
      <w:r>
        <w:rPr>
          <w:spacing w:val="-8"/>
        </w:rPr>
        <w:t> </w:t>
      </w:r>
      <w:r>
        <w:rPr/>
        <w:t>not</w:t>
      </w:r>
      <w:r>
        <w:rPr>
          <w:spacing w:val="-9"/>
        </w:rPr>
        <w:t> </w:t>
      </w:r>
      <w:r>
        <w:rPr/>
        <w:t>been</w:t>
      </w:r>
      <w:r>
        <w:rPr>
          <w:spacing w:val="-10"/>
        </w:rPr>
        <w:t> </w:t>
      </w:r>
      <w:r>
        <w:rPr/>
        <w:t>made</w:t>
      </w:r>
      <w:r>
        <w:rPr>
          <w:spacing w:val="-9"/>
        </w:rPr>
        <w:t> </w:t>
      </w:r>
      <w:r>
        <w:rPr/>
        <w:t>a</w:t>
      </w:r>
      <w:r>
        <w:rPr>
          <w:spacing w:val="-10"/>
        </w:rPr>
        <w:t> </w:t>
      </w:r>
      <w:r>
        <w:rPr/>
        <w:t>party</w:t>
      </w:r>
      <w:r>
        <w:rPr>
          <w:spacing w:val="-8"/>
        </w:rPr>
        <w:t> </w:t>
      </w:r>
      <w:r>
        <w:rPr/>
        <w:t>to</w:t>
      </w:r>
      <w:r>
        <w:rPr>
          <w:spacing w:val="-11"/>
        </w:rPr>
        <w:t> </w:t>
      </w:r>
      <w:r>
        <w:rPr/>
        <w:t>the</w:t>
      </w:r>
      <w:r>
        <w:rPr>
          <w:spacing w:val="-11"/>
        </w:rPr>
        <w:t> </w:t>
      </w:r>
      <w:r>
        <w:rPr/>
        <w:t>said</w:t>
      </w:r>
      <w:r>
        <w:rPr>
          <w:spacing w:val="-6"/>
        </w:rPr>
        <w:t> </w:t>
      </w:r>
      <w:r>
        <w:rPr/>
        <w:t>appeal.</w:t>
      </w:r>
      <w:r>
        <w:rPr>
          <w:spacing w:val="-10"/>
        </w:rPr>
        <w:t> </w:t>
      </w:r>
      <w:r>
        <w:rPr/>
        <w:t>In</w:t>
      </w:r>
      <w:r>
        <w:rPr>
          <w:spacing w:val="-11"/>
        </w:rPr>
        <w:t> </w:t>
      </w:r>
      <w:r>
        <w:rPr/>
        <w:t>the</w:t>
      </w:r>
      <w:r>
        <w:rPr>
          <w:spacing w:val="-9"/>
        </w:rPr>
        <w:t> </w:t>
      </w:r>
      <w:r>
        <w:rPr/>
        <w:t>event</w:t>
      </w:r>
      <w:r>
        <w:rPr>
          <w:spacing w:val="-9"/>
        </w:rPr>
        <w:t> </w:t>
      </w:r>
      <w:r>
        <w:rPr/>
        <w:t>an</w:t>
      </w:r>
      <w:r>
        <w:rPr>
          <w:spacing w:val="-10"/>
        </w:rPr>
        <w:t> </w:t>
      </w:r>
      <w:r>
        <w:rPr/>
        <w:t>adverse</w:t>
      </w:r>
      <w:r>
        <w:rPr>
          <w:spacing w:val="-9"/>
        </w:rPr>
        <w:t> </w:t>
      </w:r>
      <w:r>
        <w:rPr/>
        <w:t>order</w:t>
      </w:r>
      <w:r>
        <w:rPr>
          <w:spacing w:val="-10"/>
        </w:rPr>
        <w:t> </w:t>
      </w:r>
      <w:r>
        <w:rPr/>
        <w:t>is </w:t>
      </w:r>
      <w:r>
        <w:rPr>
          <w:spacing w:val="-2"/>
        </w:rPr>
        <w:t>passed</w:t>
      </w:r>
      <w:r>
        <w:rPr>
          <w:spacing w:val="-4"/>
        </w:rPr>
        <w:t> </w:t>
      </w:r>
      <w:r>
        <w:rPr/>
        <w:t>in</w:t>
      </w:r>
      <w:r>
        <w:rPr>
          <w:spacing w:val="-7"/>
        </w:rPr>
        <w:t> </w:t>
      </w:r>
      <w:r>
        <w:rPr/>
        <w:t>the</w:t>
      </w:r>
      <w:r>
        <w:rPr>
          <w:spacing w:val="-10"/>
        </w:rPr>
        <w:t> </w:t>
      </w:r>
      <w:r>
        <w:rPr/>
        <w:t>said</w:t>
      </w:r>
      <w:r>
        <w:rPr>
          <w:spacing w:val="-6"/>
        </w:rPr>
        <w:t> </w:t>
      </w:r>
      <w:r>
        <w:rPr>
          <w:spacing w:val="-3"/>
        </w:rPr>
        <w:t>appeal,</w:t>
      </w:r>
      <w:r>
        <w:rPr>
          <w:spacing w:val="-4"/>
        </w:rPr>
        <w:t> </w:t>
      </w:r>
      <w:r>
        <w:rPr/>
        <w:t>EEPL</w:t>
      </w:r>
      <w:r>
        <w:rPr>
          <w:spacing w:val="-6"/>
        </w:rPr>
        <w:t> </w:t>
      </w:r>
      <w:r>
        <w:rPr/>
        <w:t>may</w:t>
      </w:r>
      <w:r>
        <w:rPr>
          <w:spacing w:val="-6"/>
        </w:rPr>
        <w:t> </w:t>
      </w:r>
      <w:r>
        <w:rPr/>
        <w:t>also</w:t>
      </w:r>
      <w:r>
        <w:rPr>
          <w:spacing w:val="-10"/>
        </w:rPr>
        <w:t> </w:t>
      </w:r>
      <w:r>
        <w:rPr/>
        <w:t>be</w:t>
      </w:r>
      <w:r>
        <w:rPr>
          <w:spacing w:val="-4"/>
        </w:rPr>
        <w:t> </w:t>
      </w:r>
      <w:r>
        <w:rPr/>
        <w:t>affected.</w:t>
      </w:r>
    </w:p>
    <w:p>
      <w:pPr>
        <w:pStyle w:val="ListParagraph"/>
        <w:numPr>
          <w:ilvl w:val="2"/>
          <w:numId w:val="35"/>
        </w:numPr>
        <w:tabs>
          <w:tab w:pos="1977" w:val="left" w:leader="none"/>
        </w:tabs>
        <w:spacing w:line="247" w:lineRule="auto" w:before="166" w:after="0"/>
        <w:ind w:left="1976" w:right="673" w:hanging="576"/>
        <w:jc w:val="both"/>
        <w:rPr>
          <w:sz w:val="22"/>
        </w:rPr>
      </w:pPr>
      <w:r>
        <w:rPr>
          <w:sz w:val="22"/>
        </w:rPr>
        <w:t>The</w:t>
      </w:r>
      <w:r>
        <w:rPr>
          <w:spacing w:val="-24"/>
          <w:sz w:val="22"/>
        </w:rPr>
        <w:t> </w:t>
      </w:r>
      <w:r>
        <w:rPr>
          <w:sz w:val="22"/>
        </w:rPr>
        <w:t>Karnataka</w:t>
      </w:r>
      <w:r>
        <w:rPr>
          <w:spacing w:val="-21"/>
          <w:sz w:val="22"/>
        </w:rPr>
        <w:t> </w:t>
      </w:r>
      <w:r>
        <w:rPr>
          <w:sz w:val="22"/>
        </w:rPr>
        <w:t>Electricity</w:t>
      </w:r>
      <w:r>
        <w:rPr>
          <w:spacing w:val="-19"/>
          <w:sz w:val="22"/>
        </w:rPr>
        <w:t> </w:t>
      </w:r>
      <w:r>
        <w:rPr>
          <w:sz w:val="22"/>
        </w:rPr>
        <w:t>Regulatory</w:t>
      </w:r>
      <w:r>
        <w:rPr>
          <w:spacing w:val="-22"/>
          <w:sz w:val="22"/>
        </w:rPr>
        <w:t> </w:t>
      </w:r>
      <w:r>
        <w:rPr>
          <w:sz w:val="22"/>
        </w:rPr>
        <w:t>Commission</w:t>
      </w:r>
      <w:r>
        <w:rPr>
          <w:spacing w:val="-23"/>
          <w:sz w:val="22"/>
        </w:rPr>
        <w:t> </w:t>
      </w:r>
      <w:r>
        <w:rPr>
          <w:sz w:val="22"/>
        </w:rPr>
        <w:t>has</w:t>
      </w:r>
      <w:r>
        <w:rPr>
          <w:spacing w:val="-21"/>
          <w:sz w:val="22"/>
        </w:rPr>
        <w:t> </w:t>
      </w:r>
      <w:r>
        <w:rPr>
          <w:sz w:val="22"/>
        </w:rPr>
        <w:t>issued</w:t>
      </w:r>
      <w:r>
        <w:rPr>
          <w:spacing w:val="-22"/>
          <w:sz w:val="22"/>
        </w:rPr>
        <w:t> </w:t>
      </w:r>
      <w:r>
        <w:rPr>
          <w:sz w:val="22"/>
        </w:rPr>
        <w:t>an</w:t>
      </w:r>
      <w:r>
        <w:rPr>
          <w:spacing w:val="-23"/>
          <w:sz w:val="22"/>
        </w:rPr>
        <w:t> </w:t>
      </w:r>
      <w:r>
        <w:rPr>
          <w:sz w:val="22"/>
        </w:rPr>
        <w:t>order</w:t>
      </w:r>
      <w:r>
        <w:rPr>
          <w:spacing w:val="-22"/>
          <w:sz w:val="22"/>
        </w:rPr>
        <w:t> </w:t>
      </w:r>
      <w:r>
        <w:rPr>
          <w:sz w:val="22"/>
        </w:rPr>
        <w:t>in</w:t>
      </w:r>
      <w:r>
        <w:rPr>
          <w:spacing w:val="-23"/>
          <w:sz w:val="22"/>
        </w:rPr>
        <w:t> </w:t>
      </w:r>
      <w:r>
        <w:rPr>
          <w:sz w:val="22"/>
        </w:rPr>
        <w:t>2018</w:t>
      </w:r>
      <w:r>
        <w:rPr>
          <w:spacing w:val="-23"/>
          <w:sz w:val="22"/>
        </w:rPr>
        <w:t> </w:t>
      </w:r>
      <w:r>
        <w:rPr>
          <w:sz w:val="22"/>
        </w:rPr>
        <w:t>pursuant</w:t>
      </w:r>
      <w:r>
        <w:rPr>
          <w:spacing w:val="-22"/>
          <w:sz w:val="22"/>
        </w:rPr>
        <w:t> </w:t>
      </w:r>
      <w:r>
        <w:rPr>
          <w:sz w:val="22"/>
        </w:rPr>
        <w:t>to</w:t>
      </w:r>
      <w:r>
        <w:rPr>
          <w:spacing w:val="-23"/>
          <w:sz w:val="22"/>
        </w:rPr>
        <w:t> </w:t>
      </w:r>
      <w:r>
        <w:rPr>
          <w:sz w:val="22"/>
        </w:rPr>
        <w:t>which banking facilities available to non-renewable energy certificate based renewable energy generators</w:t>
      </w:r>
      <w:r>
        <w:rPr>
          <w:spacing w:val="-29"/>
          <w:sz w:val="22"/>
        </w:rPr>
        <w:t> </w:t>
      </w:r>
      <w:r>
        <w:rPr>
          <w:sz w:val="22"/>
        </w:rPr>
        <w:t>were</w:t>
      </w:r>
      <w:r>
        <w:rPr>
          <w:spacing w:val="-28"/>
          <w:sz w:val="22"/>
        </w:rPr>
        <w:t> </w:t>
      </w:r>
      <w:r>
        <w:rPr>
          <w:sz w:val="22"/>
        </w:rPr>
        <w:t>reduced</w:t>
      </w:r>
      <w:r>
        <w:rPr>
          <w:spacing w:val="-30"/>
          <w:sz w:val="22"/>
        </w:rPr>
        <w:t> </w:t>
      </w:r>
      <w:r>
        <w:rPr>
          <w:sz w:val="22"/>
        </w:rPr>
        <w:t>from</w:t>
      </w:r>
      <w:r>
        <w:rPr>
          <w:spacing w:val="-28"/>
          <w:sz w:val="22"/>
        </w:rPr>
        <w:t> </w:t>
      </w:r>
      <w:r>
        <w:rPr>
          <w:sz w:val="22"/>
        </w:rPr>
        <w:t>a</w:t>
      </w:r>
      <w:r>
        <w:rPr>
          <w:spacing w:val="-30"/>
          <w:sz w:val="22"/>
        </w:rPr>
        <w:t> </w:t>
      </w:r>
      <w:r>
        <w:rPr>
          <w:sz w:val="22"/>
        </w:rPr>
        <w:t>period</w:t>
      </w:r>
      <w:r>
        <w:rPr>
          <w:spacing w:val="-28"/>
          <w:sz w:val="22"/>
        </w:rPr>
        <w:t> </w:t>
      </w:r>
      <w:r>
        <w:rPr>
          <w:sz w:val="22"/>
        </w:rPr>
        <w:t>of</w:t>
      </w:r>
      <w:r>
        <w:rPr>
          <w:spacing w:val="-28"/>
          <w:sz w:val="22"/>
        </w:rPr>
        <w:t> </w:t>
      </w:r>
      <w:r>
        <w:rPr>
          <w:sz w:val="22"/>
        </w:rPr>
        <w:t>one</w:t>
      </w:r>
      <w:r>
        <w:rPr>
          <w:spacing w:val="-29"/>
          <w:sz w:val="22"/>
        </w:rPr>
        <w:t> </w:t>
      </w:r>
      <w:r>
        <w:rPr>
          <w:sz w:val="22"/>
        </w:rPr>
        <w:t>year</w:t>
      </w:r>
      <w:r>
        <w:rPr>
          <w:spacing w:val="-29"/>
          <w:sz w:val="22"/>
        </w:rPr>
        <w:t> </w:t>
      </w:r>
      <w:r>
        <w:rPr>
          <w:sz w:val="22"/>
        </w:rPr>
        <w:t>to</w:t>
      </w:r>
      <w:r>
        <w:rPr>
          <w:spacing w:val="-28"/>
          <w:sz w:val="22"/>
        </w:rPr>
        <w:t> </w:t>
      </w:r>
      <w:r>
        <w:rPr>
          <w:sz w:val="22"/>
        </w:rPr>
        <w:t>six</w:t>
      </w:r>
      <w:r>
        <w:rPr>
          <w:spacing w:val="-27"/>
          <w:sz w:val="22"/>
        </w:rPr>
        <w:t> </w:t>
      </w:r>
      <w:r>
        <w:rPr>
          <w:sz w:val="22"/>
        </w:rPr>
        <w:t>months,</w:t>
      </w:r>
      <w:r>
        <w:rPr>
          <w:spacing w:val="-28"/>
          <w:sz w:val="22"/>
        </w:rPr>
        <w:t> </w:t>
      </w:r>
      <w:r>
        <w:rPr>
          <w:sz w:val="22"/>
        </w:rPr>
        <w:t>and</w:t>
      </w:r>
      <w:r>
        <w:rPr>
          <w:spacing w:val="-29"/>
          <w:sz w:val="22"/>
        </w:rPr>
        <w:t> </w:t>
      </w:r>
      <w:r>
        <w:rPr>
          <w:sz w:val="22"/>
        </w:rPr>
        <w:t>restrictions</w:t>
      </w:r>
      <w:r>
        <w:rPr>
          <w:spacing w:val="-28"/>
          <w:sz w:val="22"/>
        </w:rPr>
        <w:t> </w:t>
      </w:r>
      <w:r>
        <w:rPr>
          <w:sz w:val="22"/>
        </w:rPr>
        <w:t>were</w:t>
      </w:r>
      <w:r>
        <w:rPr>
          <w:spacing w:val="-29"/>
          <w:sz w:val="22"/>
        </w:rPr>
        <w:t> </w:t>
      </w:r>
      <w:r>
        <w:rPr>
          <w:sz w:val="22"/>
        </w:rPr>
        <w:t>imposed on</w:t>
      </w:r>
      <w:r>
        <w:rPr>
          <w:spacing w:val="-34"/>
          <w:sz w:val="22"/>
        </w:rPr>
        <w:t> </w:t>
      </w:r>
      <w:r>
        <w:rPr>
          <w:sz w:val="22"/>
        </w:rPr>
        <w:t>the</w:t>
      </w:r>
      <w:r>
        <w:rPr>
          <w:spacing w:val="-34"/>
          <w:sz w:val="22"/>
        </w:rPr>
        <w:t> </w:t>
      </w:r>
      <w:r>
        <w:rPr>
          <w:sz w:val="22"/>
        </w:rPr>
        <w:t>extent</w:t>
      </w:r>
      <w:r>
        <w:rPr>
          <w:spacing w:val="-33"/>
          <w:sz w:val="22"/>
        </w:rPr>
        <w:t> </w:t>
      </w:r>
      <w:r>
        <w:rPr>
          <w:sz w:val="22"/>
        </w:rPr>
        <w:t>of</w:t>
      </w:r>
      <w:r>
        <w:rPr>
          <w:spacing w:val="-34"/>
          <w:sz w:val="22"/>
        </w:rPr>
        <w:t> </w:t>
      </w:r>
      <w:r>
        <w:rPr>
          <w:sz w:val="22"/>
        </w:rPr>
        <w:t>banked</w:t>
      </w:r>
      <w:r>
        <w:rPr>
          <w:spacing w:val="-33"/>
          <w:sz w:val="22"/>
        </w:rPr>
        <w:t> </w:t>
      </w:r>
      <w:r>
        <w:rPr>
          <w:sz w:val="22"/>
        </w:rPr>
        <w:t>energy</w:t>
      </w:r>
      <w:r>
        <w:rPr>
          <w:spacing w:val="-33"/>
          <w:sz w:val="22"/>
        </w:rPr>
        <w:t> </w:t>
      </w:r>
      <w:r>
        <w:rPr>
          <w:sz w:val="22"/>
        </w:rPr>
        <w:t>which</w:t>
      </w:r>
      <w:r>
        <w:rPr>
          <w:spacing w:val="-34"/>
          <w:sz w:val="22"/>
        </w:rPr>
        <w:t> </w:t>
      </w:r>
      <w:r>
        <w:rPr>
          <w:sz w:val="22"/>
        </w:rPr>
        <w:t>could</w:t>
      </w:r>
      <w:r>
        <w:rPr>
          <w:spacing w:val="-33"/>
          <w:sz w:val="22"/>
        </w:rPr>
        <w:t> </w:t>
      </w:r>
      <w:r>
        <w:rPr>
          <w:sz w:val="22"/>
        </w:rPr>
        <w:t>be</w:t>
      </w:r>
      <w:r>
        <w:rPr>
          <w:spacing w:val="-35"/>
          <w:sz w:val="22"/>
        </w:rPr>
        <w:t> </w:t>
      </w:r>
      <w:r>
        <w:rPr>
          <w:sz w:val="22"/>
        </w:rPr>
        <w:t>withdrawn</w:t>
      </w:r>
      <w:r>
        <w:rPr>
          <w:spacing w:val="-35"/>
          <w:sz w:val="22"/>
        </w:rPr>
        <w:t> </w:t>
      </w:r>
      <w:r>
        <w:rPr>
          <w:sz w:val="22"/>
        </w:rPr>
        <w:t>during</w:t>
      </w:r>
      <w:r>
        <w:rPr>
          <w:spacing w:val="-32"/>
          <w:sz w:val="22"/>
        </w:rPr>
        <w:t> </w:t>
      </w:r>
      <w:r>
        <w:rPr>
          <w:sz w:val="22"/>
        </w:rPr>
        <w:t>the</w:t>
      </w:r>
      <w:r>
        <w:rPr>
          <w:spacing w:val="-35"/>
          <w:sz w:val="22"/>
        </w:rPr>
        <w:t> </w:t>
      </w:r>
      <w:r>
        <w:rPr>
          <w:sz w:val="22"/>
        </w:rPr>
        <w:t>peak</w:t>
      </w:r>
      <w:r>
        <w:rPr>
          <w:spacing w:val="-34"/>
          <w:sz w:val="22"/>
        </w:rPr>
        <w:t> </w:t>
      </w:r>
      <w:r>
        <w:rPr>
          <w:sz w:val="22"/>
        </w:rPr>
        <w:t>time</w:t>
      </w:r>
      <w:r>
        <w:rPr>
          <w:spacing w:val="-34"/>
          <w:sz w:val="22"/>
        </w:rPr>
        <w:t> </w:t>
      </w:r>
      <w:r>
        <w:rPr>
          <w:sz w:val="22"/>
        </w:rPr>
        <w:t>of</w:t>
      </w:r>
      <w:r>
        <w:rPr>
          <w:spacing w:val="-34"/>
          <w:sz w:val="22"/>
        </w:rPr>
        <w:t> </w:t>
      </w:r>
      <w:r>
        <w:rPr>
          <w:sz w:val="22"/>
        </w:rPr>
        <w:t>day.</w:t>
      </w:r>
      <w:r>
        <w:rPr>
          <w:spacing w:val="-35"/>
          <w:sz w:val="22"/>
        </w:rPr>
        <w:t> </w:t>
      </w:r>
      <w:r>
        <w:rPr>
          <w:sz w:val="22"/>
        </w:rPr>
        <w:t>EEPL</w:t>
      </w:r>
      <w:r>
        <w:rPr>
          <w:spacing w:val="-33"/>
          <w:sz w:val="22"/>
        </w:rPr>
        <w:t> </w:t>
      </w:r>
      <w:r>
        <w:rPr>
          <w:sz w:val="22"/>
        </w:rPr>
        <w:t>filed a</w:t>
      </w:r>
      <w:r>
        <w:rPr>
          <w:spacing w:val="-13"/>
          <w:sz w:val="22"/>
        </w:rPr>
        <w:t> </w:t>
      </w:r>
      <w:r>
        <w:rPr>
          <w:sz w:val="22"/>
        </w:rPr>
        <w:t>writ</w:t>
      </w:r>
      <w:r>
        <w:rPr>
          <w:spacing w:val="-12"/>
          <w:sz w:val="22"/>
        </w:rPr>
        <w:t> </w:t>
      </w:r>
      <w:r>
        <w:rPr>
          <w:sz w:val="22"/>
        </w:rPr>
        <w:t>petition</w:t>
      </w:r>
      <w:r>
        <w:rPr>
          <w:spacing w:val="-13"/>
          <w:sz w:val="22"/>
        </w:rPr>
        <w:t> </w:t>
      </w:r>
      <w:r>
        <w:rPr>
          <w:sz w:val="22"/>
        </w:rPr>
        <w:t>against</w:t>
      </w:r>
      <w:r>
        <w:rPr>
          <w:spacing w:val="-11"/>
          <w:sz w:val="22"/>
        </w:rPr>
        <w:t> </w:t>
      </w:r>
      <w:r>
        <w:rPr>
          <w:sz w:val="22"/>
        </w:rPr>
        <w:t>the</w:t>
      </w:r>
      <w:r>
        <w:rPr>
          <w:spacing w:val="-13"/>
          <w:sz w:val="22"/>
        </w:rPr>
        <w:t> </w:t>
      </w:r>
      <w:r>
        <w:rPr>
          <w:sz w:val="22"/>
        </w:rPr>
        <w:t>Karnataka</w:t>
      </w:r>
      <w:r>
        <w:rPr>
          <w:spacing w:val="-12"/>
          <w:sz w:val="22"/>
        </w:rPr>
        <w:t> </w:t>
      </w:r>
      <w:r>
        <w:rPr>
          <w:sz w:val="22"/>
        </w:rPr>
        <w:t>Electricity</w:t>
      </w:r>
      <w:r>
        <w:rPr>
          <w:spacing w:val="-11"/>
          <w:sz w:val="22"/>
        </w:rPr>
        <w:t> </w:t>
      </w:r>
      <w:r>
        <w:rPr>
          <w:sz w:val="22"/>
        </w:rPr>
        <w:t>Regulatory</w:t>
      </w:r>
      <w:r>
        <w:rPr>
          <w:spacing w:val="-11"/>
          <w:sz w:val="22"/>
        </w:rPr>
        <w:t> </w:t>
      </w:r>
      <w:r>
        <w:rPr>
          <w:sz w:val="22"/>
        </w:rPr>
        <w:t>Commission</w:t>
      </w:r>
      <w:r>
        <w:rPr>
          <w:spacing w:val="-13"/>
          <w:sz w:val="22"/>
        </w:rPr>
        <w:t> </w:t>
      </w:r>
      <w:r>
        <w:rPr>
          <w:sz w:val="22"/>
        </w:rPr>
        <w:t>and</w:t>
      </w:r>
      <w:r>
        <w:rPr>
          <w:spacing w:val="-12"/>
          <w:sz w:val="22"/>
        </w:rPr>
        <w:t> </w:t>
      </w:r>
      <w:r>
        <w:rPr>
          <w:sz w:val="22"/>
        </w:rPr>
        <w:t>others</w:t>
      </w:r>
      <w:r>
        <w:rPr>
          <w:spacing w:val="-11"/>
          <w:sz w:val="22"/>
        </w:rPr>
        <w:t> </w:t>
      </w:r>
      <w:r>
        <w:rPr>
          <w:sz w:val="22"/>
        </w:rPr>
        <w:t>before</w:t>
      </w:r>
      <w:r>
        <w:rPr>
          <w:spacing w:val="-12"/>
          <w:sz w:val="22"/>
        </w:rPr>
        <w:t> </w:t>
      </w:r>
      <w:r>
        <w:rPr>
          <w:sz w:val="22"/>
        </w:rPr>
        <w:t>the High Court of Karnataka. The High Court of Karnataka pursuant to an order dated August 9, 2018 granted an interim stay on the commission’s order. Pursuant to an order dated July 24, 2019,</w:t>
      </w:r>
      <w:r>
        <w:rPr>
          <w:spacing w:val="-7"/>
          <w:sz w:val="22"/>
        </w:rPr>
        <w:t> </w:t>
      </w:r>
      <w:r>
        <w:rPr>
          <w:sz w:val="22"/>
        </w:rPr>
        <w:t>the</w:t>
      </w:r>
      <w:r>
        <w:rPr>
          <w:spacing w:val="-6"/>
          <w:sz w:val="22"/>
        </w:rPr>
        <w:t> </w:t>
      </w:r>
      <w:r>
        <w:rPr>
          <w:sz w:val="22"/>
        </w:rPr>
        <w:t>High</w:t>
      </w:r>
      <w:r>
        <w:rPr>
          <w:spacing w:val="-7"/>
          <w:sz w:val="22"/>
        </w:rPr>
        <w:t> </w:t>
      </w:r>
      <w:r>
        <w:rPr>
          <w:sz w:val="22"/>
        </w:rPr>
        <w:t>Court</w:t>
      </w:r>
      <w:r>
        <w:rPr>
          <w:spacing w:val="-6"/>
          <w:sz w:val="22"/>
        </w:rPr>
        <w:t> </w:t>
      </w:r>
      <w:r>
        <w:rPr>
          <w:sz w:val="22"/>
        </w:rPr>
        <w:t>of</w:t>
      </w:r>
      <w:r>
        <w:rPr>
          <w:spacing w:val="-4"/>
          <w:sz w:val="22"/>
        </w:rPr>
        <w:t> </w:t>
      </w:r>
      <w:r>
        <w:rPr>
          <w:sz w:val="22"/>
        </w:rPr>
        <w:t>Karnataka</w:t>
      </w:r>
      <w:r>
        <w:rPr>
          <w:spacing w:val="-4"/>
          <w:sz w:val="22"/>
        </w:rPr>
        <w:t> </w:t>
      </w:r>
      <w:r>
        <w:rPr>
          <w:sz w:val="22"/>
        </w:rPr>
        <w:t>has</w:t>
      </w:r>
      <w:r>
        <w:rPr>
          <w:spacing w:val="-6"/>
          <w:sz w:val="22"/>
        </w:rPr>
        <w:t> </w:t>
      </w:r>
      <w:r>
        <w:rPr>
          <w:sz w:val="22"/>
        </w:rPr>
        <w:t>allowed</w:t>
      </w:r>
      <w:r>
        <w:rPr>
          <w:spacing w:val="-6"/>
          <w:sz w:val="22"/>
        </w:rPr>
        <w:t> </w:t>
      </w:r>
      <w:r>
        <w:rPr>
          <w:sz w:val="22"/>
        </w:rPr>
        <w:t>the</w:t>
      </w:r>
      <w:r>
        <w:rPr>
          <w:spacing w:val="-6"/>
          <w:sz w:val="22"/>
        </w:rPr>
        <w:t> </w:t>
      </w:r>
      <w:r>
        <w:rPr>
          <w:sz w:val="22"/>
        </w:rPr>
        <w:t>writ</w:t>
      </w:r>
      <w:r>
        <w:rPr>
          <w:spacing w:val="-7"/>
          <w:sz w:val="22"/>
        </w:rPr>
        <w:t> </w:t>
      </w:r>
      <w:r>
        <w:rPr>
          <w:sz w:val="22"/>
        </w:rPr>
        <w:t>petition</w:t>
      </w:r>
      <w:r>
        <w:rPr>
          <w:spacing w:val="-6"/>
          <w:sz w:val="22"/>
        </w:rPr>
        <w:t> </w:t>
      </w:r>
      <w:r>
        <w:rPr>
          <w:sz w:val="22"/>
        </w:rPr>
        <w:t>and</w:t>
      </w:r>
      <w:r>
        <w:rPr>
          <w:spacing w:val="-6"/>
          <w:sz w:val="22"/>
        </w:rPr>
        <w:t> </w:t>
      </w:r>
      <w:r>
        <w:rPr>
          <w:sz w:val="22"/>
        </w:rPr>
        <w:t>quashed</w:t>
      </w:r>
      <w:r>
        <w:rPr>
          <w:spacing w:val="-5"/>
          <w:sz w:val="22"/>
        </w:rPr>
        <w:t> </w:t>
      </w:r>
      <w:r>
        <w:rPr>
          <w:sz w:val="22"/>
        </w:rPr>
        <w:t>the</w:t>
      </w:r>
      <w:r>
        <w:rPr>
          <w:spacing w:val="-7"/>
          <w:sz w:val="22"/>
        </w:rPr>
        <w:t> </w:t>
      </w:r>
      <w:r>
        <w:rPr>
          <w:sz w:val="22"/>
        </w:rPr>
        <w:t>order</w:t>
      </w:r>
      <w:r>
        <w:rPr>
          <w:spacing w:val="-6"/>
          <w:sz w:val="22"/>
        </w:rPr>
        <w:t> </w:t>
      </w:r>
      <w:r>
        <w:rPr>
          <w:sz w:val="22"/>
        </w:rPr>
        <w:t>dated January</w:t>
      </w:r>
      <w:r>
        <w:rPr>
          <w:spacing w:val="-16"/>
          <w:sz w:val="22"/>
        </w:rPr>
        <w:t> </w:t>
      </w:r>
      <w:r>
        <w:rPr>
          <w:sz w:val="22"/>
        </w:rPr>
        <w:t>09,</w:t>
      </w:r>
      <w:r>
        <w:rPr>
          <w:spacing w:val="-17"/>
          <w:sz w:val="22"/>
        </w:rPr>
        <w:t> </w:t>
      </w:r>
      <w:r>
        <w:rPr>
          <w:sz w:val="22"/>
        </w:rPr>
        <w:t>2018</w:t>
      </w:r>
      <w:r>
        <w:rPr>
          <w:spacing w:val="-17"/>
          <w:sz w:val="22"/>
        </w:rPr>
        <w:t> </w:t>
      </w:r>
      <w:r>
        <w:rPr>
          <w:sz w:val="22"/>
        </w:rPr>
        <w:t>issued</w:t>
      </w:r>
      <w:r>
        <w:rPr>
          <w:spacing w:val="-18"/>
          <w:sz w:val="22"/>
        </w:rPr>
        <w:t> </w:t>
      </w:r>
      <w:r>
        <w:rPr>
          <w:sz w:val="22"/>
        </w:rPr>
        <w:t>by</w:t>
      </w:r>
      <w:r>
        <w:rPr>
          <w:spacing w:val="-15"/>
          <w:sz w:val="22"/>
        </w:rPr>
        <w:t> </w:t>
      </w:r>
      <w:r>
        <w:rPr>
          <w:sz w:val="22"/>
        </w:rPr>
        <w:t>the</w:t>
      </w:r>
      <w:r>
        <w:rPr>
          <w:spacing w:val="-17"/>
          <w:sz w:val="22"/>
        </w:rPr>
        <w:t> </w:t>
      </w:r>
      <w:r>
        <w:rPr>
          <w:sz w:val="22"/>
        </w:rPr>
        <w:t>Karnataka</w:t>
      </w:r>
      <w:r>
        <w:rPr>
          <w:spacing w:val="-21"/>
          <w:sz w:val="22"/>
        </w:rPr>
        <w:t> </w:t>
      </w:r>
      <w:r>
        <w:rPr>
          <w:sz w:val="22"/>
        </w:rPr>
        <w:t>Electricity</w:t>
      </w:r>
      <w:r>
        <w:rPr>
          <w:spacing w:val="-17"/>
          <w:sz w:val="22"/>
        </w:rPr>
        <w:t> </w:t>
      </w:r>
      <w:r>
        <w:rPr>
          <w:spacing w:val="-3"/>
          <w:sz w:val="22"/>
        </w:rPr>
        <w:t>Regulatory</w:t>
      </w:r>
      <w:r>
        <w:rPr>
          <w:spacing w:val="-17"/>
          <w:sz w:val="22"/>
        </w:rPr>
        <w:t> </w:t>
      </w:r>
      <w:r>
        <w:rPr>
          <w:spacing w:val="-3"/>
          <w:sz w:val="22"/>
        </w:rPr>
        <w:t>Commission</w:t>
      </w:r>
      <w:r>
        <w:rPr>
          <w:spacing w:val="-15"/>
          <w:sz w:val="22"/>
        </w:rPr>
        <w:t> </w:t>
      </w:r>
      <w:r>
        <w:rPr>
          <w:sz w:val="22"/>
        </w:rPr>
        <w:t>with</w:t>
      </w:r>
      <w:r>
        <w:rPr>
          <w:spacing w:val="-19"/>
          <w:sz w:val="22"/>
        </w:rPr>
        <w:t> </w:t>
      </w:r>
      <w:r>
        <w:rPr>
          <w:sz w:val="22"/>
        </w:rPr>
        <w:t>a</w:t>
      </w:r>
      <w:r>
        <w:rPr>
          <w:spacing w:val="-18"/>
          <w:sz w:val="22"/>
        </w:rPr>
        <w:t> </w:t>
      </w:r>
      <w:r>
        <w:rPr>
          <w:sz w:val="22"/>
        </w:rPr>
        <w:t>direction</w:t>
      </w:r>
      <w:r>
        <w:rPr>
          <w:spacing w:val="-17"/>
          <w:sz w:val="22"/>
        </w:rPr>
        <w:t> </w:t>
      </w:r>
      <w:r>
        <w:rPr>
          <w:sz w:val="22"/>
        </w:rPr>
        <w:t>to Karnataka Electricity Regulatory Commission to reconsider the matter. Karnataka Electricity Regulatory</w:t>
      </w:r>
      <w:r>
        <w:rPr>
          <w:spacing w:val="-23"/>
          <w:sz w:val="22"/>
        </w:rPr>
        <w:t> </w:t>
      </w:r>
      <w:r>
        <w:rPr>
          <w:sz w:val="22"/>
        </w:rPr>
        <w:t>Commission</w:t>
      </w:r>
      <w:r>
        <w:rPr>
          <w:spacing w:val="-25"/>
          <w:sz w:val="22"/>
        </w:rPr>
        <w:t> </w:t>
      </w:r>
      <w:r>
        <w:rPr>
          <w:sz w:val="22"/>
        </w:rPr>
        <w:t>has</w:t>
      </w:r>
      <w:r>
        <w:rPr>
          <w:spacing w:val="-22"/>
          <w:sz w:val="22"/>
        </w:rPr>
        <w:t> </w:t>
      </w:r>
      <w:r>
        <w:rPr>
          <w:sz w:val="22"/>
        </w:rPr>
        <w:t>filed</w:t>
      </w:r>
      <w:r>
        <w:rPr>
          <w:spacing w:val="-23"/>
          <w:sz w:val="22"/>
        </w:rPr>
        <w:t> </w:t>
      </w:r>
      <w:r>
        <w:rPr>
          <w:sz w:val="22"/>
        </w:rPr>
        <w:t>a</w:t>
      </w:r>
      <w:r>
        <w:rPr>
          <w:spacing w:val="-24"/>
          <w:sz w:val="22"/>
        </w:rPr>
        <w:t> </w:t>
      </w:r>
      <w:r>
        <w:rPr>
          <w:sz w:val="22"/>
        </w:rPr>
        <w:t>common</w:t>
      </w:r>
      <w:r>
        <w:rPr>
          <w:spacing w:val="-25"/>
          <w:sz w:val="22"/>
        </w:rPr>
        <w:t> </w:t>
      </w:r>
      <w:r>
        <w:rPr>
          <w:sz w:val="22"/>
        </w:rPr>
        <w:t>appeal</w:t>
      </w:r>
      <w:r>
        <w:rPr>
          <w:spacing w:val="-24"/>
          <w:sz w:val="22"/>
        </w:rPr>
        <w:t> </w:t>
      </w:r>
      <w:r>
        <w:rPr>
          <w:sz w:val="22"/>
        </w:rPr>
        <w:t>against</w:t>
      </w:r>
      <w:r>
        <w:rPr>
          <w:spacing w:val="-23"/>
          <w:sz w:val="22"/>
        </w:rPr>
        <w:t> </w:t>
      </w:r>
      <w:r>
        <w:rPr>
          <w:sz w:val="22"/>
        </w:rPr>
        <w:t>EEPL</w:t>
      </w:r>
      <w:r>
        <w:rPr>
          <w:spacing w:val="-23"/>
          <w:sz w:val="22"/>
        </w:rPr>
        <w:t> </w:t>
      </w:r>
      <w:r>
        <w:rPr>
          <w:sz w:val="22"/>
        </w:rPr>
        <w:t>and</w:t>
      </w:r>
      <w:r>
        <w:rPr>
          <w:spacing w:val="-24"/>
          <w:sz w:val="22"/>
        </w:rPr>
        <w:t> </w:t>
      </w:r>
      <w:r>
        <w:rPr>
          <w:sz w:val="22"/>
        </w:rPr>
        <w:t>all</w:t>
      </w:r>
      <w:r>
        <w:rPr>
          <w:spacing w:val="-24"/>
          <w:sz w:val="22"/>
        </w:rPr>
        <w:t> </w:t>
      </w:r>
      <w:r>
        <w:rPr>
          <w:sz w:val="22"/>
        </w:rPr>
        <w:t>other</w:t>
      </w:r>
      <w:r>
        <w:rPr>
          <w:spacing w:val="-24"/>
          <w:sz w:val="22"/>
        </w:rPr>
        <w:t> </w:t>
      </w:r>
      <w:r>
        <w:rPr>
          <w:sz w:val="22"/>
        </w:rPr>
        <w:t>companies</w:t>
      </w:r>
      <w:r>
        <w:rPr>
          <w:spacing w:val="-23"/>
          <w:sz w:val="22"/>
        </w:rPr>
        <w:t> </w:t>
      </w:r>
      <w:r>
        <w:rPr>
          <w:sz w:val="22"/>
        </w:rPr>
        <w:t>before the Division Bench of the High Court of</w:t>
      </w:r>
      <w:r>
        <w:rPr>
          <w:spacing w:val="-32"/>
          <w:sz w:val="22"/>
        </w:rPr>
        <w:t> </w:t>
      </w:r>
      <w:r>
        <w:rPr>
          <w:sz w:val="22"/>
        </w:rPr>
        <w:t>Karnataka.</w:t>
      </w:r>
    </w:p>
    <w:p>
      <w:pPr>
        <w:spacing w:before="232"/>
        <w:ind w:left="1400" w:right="0" w:firstLine="0"/>
        <w:jc w:val="left"/>
        <w:rPr>
          <w:i/>
          <w:sz w:val="22"/>
        </w:rPr>
      </w:pPr>
      <w:r>
        <w:rPr>
          <w:i/>
          <w:sz w:val="22"/>
        </w:rPr>
        <w:t>Other Material Litigation</w:t>
      </w:r>
    </w:p>
    <w:p>
      <w:pPr>
        <w:pStyle w:val="ListParagraph"/>
        <w:numPr>
          <w:ilvl w:val="0"/>
          <w:numId w:val="98"/>
        </w:numPr>
        <w:tabs>
          <w:tab w:pos="1977" w:val="left" w:leader="none"/>
        </w:tabs>
        <w:spacing w:line="247" w:lineRule="auto" w:before="169" w:after="0"/>
        <w:ind w:left="1976" w:right="672" w:hanging="576"/>
        <w:jc w:val="both"/>
        <w:rPr>
          <w:sz w:val="22"/>
        </w:rPr>
      </w:pPr>
      <w:r>
        <w:rPr>
          <w:sz w:val="22"/>
        </w:rPr>
        <w:t>EEPL has received a demand notice under the Insolvency and Bankruptcy Code, 2016 on February</w:t>
      </w:r>
      <w:r>
        <w:rPr>
          <w:spacing w:val="-10"/>
          <w:sz w:val="22"/>
        </w:rPr>
        <w:t> </w:t>
      </w:r>
      <w:r>
        <w:rPr>
          <w:sz w:val="22"/>
        </w:rPr>
        <w:t>28,</w:t>
      </w:r>
      <w:r>
        <w:rPr>
          <w:spacing w:val="-11"/>
          <w:sz w:val="22"/>
        </w:rPr>
        <w:t> </w:t>
      </w:r>
      <w:r>
        <w:rPr>
          <w:sz w:val="22"/>
        </w:rPr>
        <w:t>2019</w:t>
      </w:r>
      <w:r>
        <w:rPr>
          <w:spacing w:val="-11"/>
          <w:sz w:val="22"/>
        </w:rPr>
        <w:t> </w:t>
      </w:r>
      <w:r>
        <w:rPr>
          <w:sz w:val="22"/>
        </w:rPr>
        <w:t>from</w:t>
      </w:r>
      <w:r>
        <w:rPr>
          <w:spacing w:val="-10"/>
          <w:sz w:val="22"/>
        </w:rPr>
        <w:t> </w:t>
      </w:r>
      <w:r>
        <w:rPr>
          <w:sz w:val="22"/>
        </w:rPr>
        <w:t>a</w:t>
      </w:r>
      <w:r>
        <w:rPr>
          <w:spacing w:val="-12"/>
          <w:sz w:val="22"/>
        </w:rPr>
        <w:t> </w:t>
      </w:r>
      <w:r>
        <w:rPr>
          <w:sz w:val="22"/>
        </w:rPr>
        <w:t>third</w:t>
      </w:r>
      <w:r>
        <w:rPr>
          <w:spacing w:val="-10"/>
          <w:sz w:val="22"/>
        </w:rPr>
        <w:t> </w:t>
      </w:r>
      <w:r>
        <w:rPr>
          <w:sz w:val="22"/>
        </w:rPr>
        <w:t>party</w:t>
      </w:r>
      <w:r>
        <w:rPr>
          <w:spacing w:val="-10"/>
          <w:sz w:val="22"/>
        </w:rPr>
        <w:t> </w:t>
      </w:r>
      <w:r>
        <w:rPr>
          <w:sz w:val="22"/>
        </w:rPr>
        <w:t>subcontractor,</w:t>
      </w:r>
      <w:r>
        <w:rPr>
          <w:spacing w:val="-11"/>
          <w:sz w:val="22"/>
        </w:rPr>
        <w:t> </w:t>
      </w:r>
      <w:r>
        <w:rPr>
          <w:sz w:val="22"/>
        </w:rPr>
        <w:t>engaged</w:t>
      </w:r>
      <w:r>
        <w:rPr>
          <w:spacing w:val="-10"/>
          <w:sz w:val="22"/>
        </w:rPr>
        <w:t> </w:t>
      </w:r>
      <w:r>
        <w:rPr>
          <w:sz w:val="22"/>
        </w:rPr>
        <w:t>by</w:t>
      </w:r>
      <w:r>
        <w:rPr>
          <w:spacing w:val="-10"/>
          <w:sz w:val="22"/>
        </w:rPr>
        <w:t> </w:t>
      </w:r>
      <w:r>
        <w:rPr>
          <w:sz w:val="22"/>
        </w:rPr>
        <w:t>IL&amp;FS</w:t>
      </w:r>
      <w:r>
        <w:rPr>
          <w:spacing w:val="-11"/>
          <w:sz w:val="22"/>
        </w:rPr>
        <w:t> </w:t>
      </w:r>
      <w:r>
        <w:rPr>
          <w:sz w:val="22"/>
        </w:rPr>
        <w:t>Development</w:t>
      </w:r>
      <w:r>
        <w:rPr>
          <w:spacing w:val="-4"/>
          <w:sz w:val="22"/>
        </w:rPr>
        <w:t> </w:t>
      </w:r>
      <w:r>
        <w:rPr>
          <w:sz w:val="22"/>
        </w:rPr>
        <w:t>Company (IEDCL), the parent company of ISPL, which was itself engaged by ISPL as a contractor for Embassy</w:t>
      </w:r>
      <w:r>
        <w:rPr>
          <w:spacing w:val="-6"/>
          <w:sz w:val="22"/>
        </w:rPr>
        <w:t> </w:t>
      </w:r>
      <w:r>
        <w:rPr>
          <w:sz w:val="22"/>
        </w:rPr>
        <w:t>Energy.</w:t>
      </w:r>
      <w:r>
        <w:rPr>
          <w:spacing w:val="-9"/>
          <w:sz w:val="22"/>
        </w:rPr>
        <w:t> </w:t>
      </w:r>
      <w:r>
        <w:rPr>
          <w:sz w:val="22"/>
        </w:rPr>
        <w:t>The</w:t>
      </w:r>
      <w:r>
        <w:rPr>
          <w:spacing w:val="-10"/>
          <w:sz w:val="22"/>
        </w:rPr>
        <w:t> </w:t>
      </w:r>
      <w:r>
        <w:rPr>
          <w:sz w:val="22"/>
        </w:rPr>
        <w:t>demand</w:t>
      </w:r>
      <w:r>
        <w:rPr>
          <w:spacing w:val="-7"/>
          <w:sz w:val="22"/>
        </w:rPr>
        <w:t> </w:t>
      </w:r>
      <w:r>
        <w:rPr>
          <w:sz w:val="22"/>
        </w:rPr>
        <w:t>notice</w:t>
      </w:r>
      <w:r>
        <w:rPr>
          <w:spacing w:val="-7"/>
          <w:sz w:val="22"/>
        </w:rPr>
        <w:t> </w:t>
      </w:r>
      <w:r>
        <w:rPr>
          <w:sz w:val="22"/>
        </w:rPr>
        <w:t>alleges</w:t>
      </w:r>
      <w:r>
        <w:rPr>
          <w:spacing w:val="-8"/>
          <w:sz w:val="22"/>
        </w:rPr>
        <w:t> </w:t>
      </w:r>
      <w:r>
        <w:rPr>
          <w:sz w:val="22"/>
        </w:rPr>
        <w:t>that</w:t>
      </w:r>
      <w:r>
        <w:rPr>
          <w:spacing w:val="-8"/>
          <w:sz w:val="22"/>
        </w:rPr>
        <w:t> </w:t>
      </w:r>
      <w:r>
        <w:rPr>
          <w:sz w:val="22"/>
        </w:rPr>
        <w:t>unpaid</w:t>
      </w:r>
      <w:r>
        <w:rPr>
          <w:spacing w:val="-7"/>
          <w:sz w:val="22"/>
        </w:rPr>
        <w:t> </w:t>
      </w:r>
      <w:r>
        <w:rPr>
          <w:sz w:val="22"/>
        </w:rPr>
        <w:t>amounts</w:t>
      </w:r>
      <w:r>
        <w:rPr>
          <w:spacing w:val="-8"/>
          <w:sz w:val="22"/>
        </w:rPr>
        <w:t> </w:t>
      </w:r>
      <w:r>
        <w:rPr>
          <w:sz w:val="22"/>
        </w:rPr>
        <w:t>(categorized</w:t>
      </w:r>
      <w:r>
        <w:rPr>
          <w:spacing w:val="-7"/>
          <w:sz w:val="22"/>
        </w:rPr>
        <w:t> </w:t>
      </w:r>
      <w:r>
        <w:rPr>
          <w:sz w:val="22"/>
        </w:rPr>
        <w:t>as</w:t>
      </w:r>
      <w:r>
        <w:rPr>
          <w:spacing w:val="-7"/>
          <w:sz w:val="22"/>
        </w:rPr>
        <w:t> </w:t>
      </w:r>
      <w:r>
        <w:rPr>
          <w:sz w:val="22"/>
        </w:rPr>
        <w:t>operational debts)</w:t>
      </w:r>
      <w:r>
        <w:rPr>
          <w:spacing w:val="-27"/>
          <w:sz w:val="22"/>
        </w:rPr>
        <w:t> </w:t>
      </w:r>
      <w:r>
        <w:rPr>
          <w:sz w:val="22"/>
        </w:rPr>
        <w:t>aggregating</w:t>
      </w:r>
      <w:r>
        <w:rPr>
          <w:spacing w:val="-26"/>
          <w:sz w:val="22"/>
        </w:rPr>
        <w:t> </w:t>
      </w:r>
      <w:r>
        <w:rPr>
          <w:sz w:val="22"/>
        </w:rPr>
        <w:t>up</w:t>
      </w:r>
      <w:r>
        <w:rPr>
          <w:spacing w:val="-28"/>
          <w:sz w:val="22"/>
        </w:rPr>
        <w:t> </w:t>
      </w:r>
      <w:r>
        <w:rPr>
          <w:sz w:val="22"/>
        </w:rPr>
        <w:t>to</w:t>
      </w:r>
      <w:r>
        <w:rPr>
          <w:spacing w:val="-29"/>
          <w:sz w:val="22"/>
        </w:rPr>
        <w:t> </w:t>
      </w:r>
      <w:r>
        <w:rPr>
          <w:sz w:val="22"/>
        </w:rPr>
        <w:t>Rs.</w:t>
      </w:r>
      <w:r>
        <w:rPr>
          <w:spacing w:val="-28"/>
          <w:sz w:val="22"/>
        </w:rPr>
        <w:t> </w:t>
      </w:r>
      <w:r>
        <w:rPr>
          <w:sz w:val="22"/>
        </w:rPr>
        <w:t>1,008.1</w:t>
      </w:r>
      <w:r>
        <w:rPr>
          <w:spacing w:val="-27"/>
          <w:sz w:val="22"/>
        </w:rPr>
        <w:t> </w:t>
      </w:r>
      <w:r>
        <w:rPr>
          <w:sz w:val="22"/>
        </w:rPr>
        <w:t>million</w:t>
      </w:r>
      <w:r>
        <w:rPr>
          <w:spacing w:val="-28"/>
          <w:sz w:val="22"/>
        </w:rPr>
        <w:t> </w:t>
      </w:r>
      <w:r>
        <w:rPr>
          <w:sz w:val="22"/>
        </w:rPr>
        <w:t>are</w:t>
      </w:r>
      <w:r>
        <w:rPr>
          <w:spacing w:val="-27"/>
          <w:sz w:val="22"/>
        </w:rPr>
        <w:t> </w:t>
      </w:r>
      <w:r>
        <w:rPr>
          <w:sz w:val="22"/>
        </w:rPr>
        <w:t>due</w:t>
      </w:r>
      <w:r>
        <w:rPr>
          <w:spacing w:val="-28"/>
          <w:sz w:val="22"/>
        </w:rPr>
        <w:t> </w:t>
      </w:r>
      <w:r>
        <w:rPr>
          <w:sz w:val="22"/>
        </w:rPr>
        <w:t>to</w:t>
      </w:r>
      <w:r>
        <w:rPr>
          <w:spacing w:val="-27"/>
          <w:sz w:val="22"/>
        </w:rPr>
        <w:t> </w:t>
      </w:r>
      <w:r>
        <w:rPr>
          <w:sz w:val="22"/>
        </w:rPr>
        <w:t>the</w:t>
      </w:r>
      <w:r>
        <w:rPr>
          <w:spacing w:val="-28"/>
          <w:sz w:val="22"/>
        </w:rPr>
        <w:t> </w:t>
      </w:r>
      <w:r>
        <w:rPr>
          <w:sz w:val="22"/>
        </w:rPr>
        <w:t>sub-contractor</w:t>
      </w:r>
      <w:r>
        <w:rPr>
          <w:spacing w:val="-27"/>
          <w:sz w:val="22"/>
        </w:rPr>
        <w:t> </w:t>
      </w:r>
      <w:r>
        <w:rPr>
          <w:sz w:val="22"/>
        </w:rPr>
        <w:t>directly</w:t>
      </w:r>
      <w:r>
        <w:rPr>
          <w:spacing w:val="-27"/>
          <w:sz w:val="22"/>
        </w:rPr>
        <w:t> </w:t>
      </w:r>
      <w:r>
        <w:rPr>
          <w:sz w:val="22"/>
        </w:rPr>
        <w:t>from</w:t>
      </w:r>
      <w:r>
        <w:rPr>
          <w:spacing w:val="-29"/>
          <w:sz w:val="22"/>
        </w:rPr>
        <w:t> </w:t>
      </w:r>
      <w:r>
        <w:rPr>
          <w:sz w:val="22"/>
        </w:rPr>
        <w:t>EEPL</w:t>
      </w:r>
      <w:r>
        <w:rPr>
          <w:spacing w:val="-28"/>
          <w:sz w:val="22"/>
        </w:rPr>
        <w:t> </w:t>
      </w:r>
      <w:r>
        <w:rPr>
          <w:sz w:val="22"/>
        </w:rPr>
        <w:t>for the</w:t>
      </w:r>
      <w:r>
        <w:rPr>
          <w:spacing w:val="-17"/>
          <w:sz w:val="22"/>
        </w:rPr>
        <w:t> </w:t>
      </w:r>
      <w:r>
        <w:rPr>
          <w:sz w:val="22"/>
        </w:rPr>
        <w:t>various</w:t>
      </w:r>
      <w:r>
        <w:rPr>
          <w:spacing w:val="-14"/>
          <w:sz w:val="22"/>
        </w:rPr>
        <w:t> </w:t>
      </w:r>
      <w:r>
        <w:rPr>
          <w:sz w:val="22"/>
        </w:rPr>
        <w:t>works</w:t>
      </w:r>
      <w:r>
        <w:rPr>
          <w:spacing w:val="-17"/>
          <w:sz w:val="22"/>
        </w:rPr>
        <w:t> </w:t>
      </w:r>
      <w:r>
        <w:rPr>
          <w:sz w:val="22"/>
        </w:rPr>
        <w:t>claimed</w:t>
      </w:r>
      <w:r>
        <w:rPr>
          <w:spacing w:val="-14"/>
          <w:sz w:val="22"/>
        </w:rPr>
        <w:t> </w:t>
      </w:r>
      <w:r>
        <w:rPr>
          <w:sz w:val="22"/>
        </w:rPr>
        <w:t>to</w:t>
      </w:r>
      <w:r>
        <w:rPr>
          <w:spacing w:val="-16"/>
          <w:sz w:val="22"/>
        </w:rPr>
        <w:t> </w:t>
      </w:r>
      <w:r>
        <w:rPr>
          <w:sz w:val="22"/>
        </w:rPr>
        <w:t>have</w:t>
      </w:r>
      <w:r>
        <w:rPr>
          <w:spacing w:val="-18"/>
          <w:sz w:val="22"/>
        </w:rPr>
        <w:t> </w:t>
      </w:r>
      <w:r>
        <w:rPr>
          <w:sz w:val="22"/>
        </w:rPr>
        <w:t>been</w:t>
      </w:r>
      <w:r>
        <w:rPr>
          <w:spacing w:val="-16"/>
          <w:sz w:val="22"/>
        </w:rPr>
        <w:t> </w:t>
      </w:r>
      <w:r>
        <w:rPr>
          <w:sz w:val="22"/>
        </w:rPr>
        <w:t>undertaken</w:t>
      </w:r>
      <w:r>
        <w:rPr>
          <w:spacing w:val="-16"/>
          <w:sz w:val="22"/>
        </w:rPr>
        <w:t> </w:t>
      </w:r>
      <w:r>
        <w:rPr>
          <w:sz w:val="22"/>
        </w:rPr>
        <w:t>at</w:t>
      </w:r>
      <w:r>
        <w:rPr>
          <w:spacing w:val="-15"/>
          <w:sz w:val="22"/>
        </w:rPr>
        <w:t> </w:t>
      </w:r>
      <w:r>
        <w:rPr>
          <w:sz w:val="22"/>
        </w:rPr>
        <w:t>the</w:t>
      </w:r>
      <w:r>
        <w:rPr>
          <w:spacing w:val="-17"/>
          <w:sz w:val="22"/>
        </w:rPr>
        <w:t> </w:t>
      </w:r>
      <w:r>
        <w:rPr>
          <w:sz w:val="22"/>
        </w:rPr>
        <w:t>site</w:t>
      </w:r>
      <w:r>
        <w:rPr>
          <w:spacing w:val="-17"/>
          <w:sz w:val="22"/>
        </w:rPr>
        <w:t> </w:t>
      </w:r>
      <w:r>
        <w:rPr>
          <w:sz w:val="22"/>
        </w:rPr>
        <w:t>of</w:t>
      </w:r>
      <w:r>
        <w:rPr>
          <w:spacing w:val="-16"/>
          <w:sz w:val="22"/>
        </w:rPr>
        <w:t> </w:t>
      </w:r>
      <w:r>
        <w:rPr>
          <w:sz w:val="22"/>
        </w:rPr>
        <w:t>Embassy</w:t>
      </w:r>
      <w:r>
        <w:rPr>
          <w:spacing w:val="-16"/>
          <w:sz w:val="22"/>
        </w:rPr>
        <w:t> </w:t>
      </w:r>
      <w:r>
        <w:rPr>
          <w:sz w:val="22"/>
        </w:rPr>
        <w:t>Energy,</w:t>
      </w:r>
      <w:r>
        <w:rPr>
          <w:spacing w:val="-15"/>
          <w:sz w:val="22"/>
        </w:rPr>
        <w:t> </w:t>
      </w:r>
      <w:r>
        <w:rPr>
          <w:sz w:val="22"/>
        </w:rPr>
        <w:t>on</w:t>
      </w:r>
      <w:r>
        <w:rPr>
          <w:spacing w:val="-17"/>
          <w:sz w:val="22"/>
        </w:rPr>
        <w:t> </w:t>
      </w:r>
      <w:r>
        <w:rPr>
          <w:sz w:val="22"/>
        </w:rPr>
        <w:t>the</w:t>
      </w:r>
      <w:r>
        <w:rPr>
          <w:spacing w:val="-17"/>
          <w:sz w:val="22"/>
        </w:rPr>
        <w:t> </w:t>
      </w:r>
      <w:r>
        <w:rPr>
          <w:sz w:val="22"/>
        </w:rPr>
        <w:t>basis of</w:t>
      </w:r>
      <w:r>
        <w:rPr>
          <w:spacing w:val="-32"/>
          <w:sz w:val="22"/>
        </w:rPr>
        <w:t> </w:t>
      </w:r>
      <w:r>
        <w:rPr>
          <w:sz w:val="22"/>
        </w:rPr>
        <w:t>certain</w:t>
      </w:r>
      <w:r>
        <w:rPr>
          <w:spacing w:val="-33"/>
          <w:sz w:val="22"/>
        </w:rPr>
        <w:t> </w:t>
      </w:r>
      <w:r>
        <w:rPr>
          <w:sz w:val="22"/>
        </w:rPr>
        <w:t>correspondence</w:t>
      </w:r>
      <w:r>
        <w:rPr>
          <w:spacing w:val="-32"/>
          <w:sz w:val="22"/>
        </w:rPr>
        <w:t> </w:t>
      </w:r>
      <w:r>
        <w:rPr>
          <w:sz w:val="22"/>
        </w:rPr>
        <w:t>with</w:t>
      </w:r>
      <w:r>
        <w:rPr>
          <w:spacing w:val="-33"/>
          <w:sz w:val="22"/>
        </w:rPr>
        <w:t> </w:t>
      </w:r>
      <w:r>
        <w:rPr>
          <w:sz w:val="22"/>
        </w:rPr>
        <w:t>EEPL.</w:t>
      </w:r>
      <w:r>
        <w:rPr>
          <w:spacing w:val="-33"/>
          <w:sz w:val="22"/>
        </w:rPr>
        <w:t> </w:t>
      </w:r>
      <w:r>
        <w:rPr>
          <w:sz w:val="22"/>
        </w:rPr>
        <w:t>The</w:t>
      </w:r>
      <w:r>
        <w:rPr>
          <w:spacing w:val="-33"/>
          <w:sz w:val="22"/>
        </w:rPr>
        <w:t> </w:t>
      </w:r>
      <w:r>
        <w:rPr>
          <w:sz w:val="22"/>
        </w:rPr>
        <w:t>demand</w:t>
      </w:r>
      <w:r>
        <w:rPr>
          <w:spacing w:val="-33"/>
          <w:sz w:val="22"/>
        </w:rPr>
        <w:t> </w:t>
      </w:r>
      <w:r>
        <w:rPr>
          <w:sz w:val="22"/>
        </w:rPr>
        <w:t>notice</w:t>
      </w:r>
      <w:r>
        <w:rPr>
          <w:spacing w:val="-33"/>
          <w:sz w:val="22"/>
        </w:rPr>
        <w:t> </w:t>
      </w:r>
      <w:r>
        <w:rPr>
          <w:sz w:val="22"/>
        </w:rPr>
        <w:t>requires</w:t>
      </w:r>
      <w:r>
        <w:rPr>
          <w:spacing w:val="-31"/>
          <w:sz w:val="22"/>
        </w:rPr>
        <w:t> </w:t>
      </w:r>
      <w:r>
        <w:rPr>
          <w:sz w:val="22"/>
        </w:rPr>
        <w:t>payment</w:t>
      </w:r>
      <w:r>
        <w:rPr>
          <w:spacing w:val="-34"/>
          <w:sz w:val="22"/>
        </w:rPr>
        <w:t> </w:t>
      </w:r>
      <w:r>
        <w:rPr>
          <w:sz w:val="22"/>
        </w:rPr>
        <w:t>within</w:t>
      </w:r>
      <w:r>
        <w:rPr>
          <w:spacing w:val="-32"/>
          <w:sz w:val="22"/>
        </w:rPr>
        <w:t> </w:t>
      </w:r>
      <w:r>
        <w:rPr>
          <w:sz w:val="22"/>
        </w:rPr>
        <w:t>10</w:t>
      </w:r>
      <w:r>
        <w:rPr>
          <w:spacing w:val="-33"/>
          <w:sz w:val="22"/>
        </w:rPr>
        <w:t> </w:t>
      </w:r>
      <w:r>
        <w:rPr>
          <w:sz w:val="22"/>
        </w:rPr>
        <w:t>days</w:t>
      </w:r>
      <w:r>
        <w:rPr>
          <w:spacing w:val="-32"/>
          <w:sz w:val="22"/>
        </w:rPr>
        <w:t> </w:t>
      </w:r>
      <w:r>
        <w:rPr>
          <w:sz w:val="22"/>
        </w:rPr>
        <w:t>of</w:t>
      </w:r>
      <w:r>
        <w:rPr>
          <w:spacing w:val="-32"/>
          <w:sz w:val="22"/>
        </w:rPr>
        <w:t> </w:t>
      </w:r>
      <w:r>
        <w:rPr>
          <w:sz w:val="22"/>
        </w:rPr>
        <w:t>the letter,</w:t>
      </w:r>
      <w:r>
        <w:rPr>
          <w:spacing w:val="-4"/>
          <w:sz w:val="22"/>
        </w:rPr>
        <w:t> </w:t>
      </w:r>
      <w:r>
        <w:rPr>
          <w:sz w:val="22"/>
        </w:rPr>
        <w:t>failing</w:t>
      </w:r>
      <w:r>
        <w:rPr>
          <w:spacing w:val="-6"/>
          <w:sz w:val="22"/>
        </w:rPr>
        <w:t> </w:t>
      </w:r>
      <w:r>
        <w:rPr>
          <w:sz w:val="22"/>
        </w:rPr>
        <w:t>which</w:t>
      </w:r>
      <w:r>
        <w:rPr>
          <w:spacing w:val="-4"/>
          <w:sz w:val="22"/>
        </w:rPr>
        <w:t> </w:t>
      </w:r>
      <w:r>
        <w:rPr>
          <w:sz w:val="22"/>
        </w:rPr>
        <w:t>the</w:t>
      </w:r>
      <w:r>
        <w:rPr>
          <w:spacing w:val="-6"/>
          <w:sz w:val="22"/>
        </w:rPr>
        <w:t> </w:t>
      </w:r>
      <w:r>
        <w:rPr>
          <w:sz w:val="22"/>
        </w:rPr>
        <w:t>subcontractor</w:t>
      </w:r>
      <w:r>
        <w:rPr>
          <w:spacing w:val="-5"/>
          <w:sz w:val="22"/>
        </w:rPr>
        <w:t> </w:t>
      </w:r>
      <w:r>
        <w:rPr>
          <w:sz w:val="22"/>
        </w:rPr>
        <w:t>may</w:t>
      </w:r>
      <w:r>
        <w:rPr>
          <w:spacing w:val="-3"/>
          <w:sz w:val="22"/>
        </w:rPr>
        <w:t> </w:t>
      </w:r>
      <w:r>
        <w:rPr>
          <w:sz w:val="22"/>
        </w:rPr>
        <w:t>initiate</w:t>
      </w:r>
      <w:r>
        <w:rPr>
          <w:spacing w:val="-5"/>
          <w:sz w:val="22"/>
        </w:rPr>
        <w:t> </w:t>
      </w:r>
      <w:r>
        <w:rPr>
          <w:sz w:val="22"/>
        </w:rPr>
        <w:t>a</w:t>
      </w:r>
      <w:r>
        <w:rPr>
          <w:spacing w:val="-4"/>
          <w:sz w:val="22"/>
        </w:rPr>
        <w:t> </w:t>
      </w:r>
      <w:r>
        <w:rPr>
          <w:sz w:val="22"/>
        </w:rPr>
        <w:t>corporate</w:t>
      </w:r>
      <w:r>
        <w:rPr>
          <w:spacing w:val="-4"/>
          <w:sz w:val="22"/>
        </w:rPr>
        <w:t> </w:t>
      </w:r>
      <w:r>
        <w:rPr>
          <w:sz w:val="22"/>
        </w:rPr>
        <w:t>insolvency</w:t>
      </w:r>
      <w:r>
        <w:rPr>
          <w:spacing w:val="-3"/>
          <w:sz w:val="22"/>
        </w:rPr>
        <w:t> </w:t>
      </w:r>
      <w:r>
        <w:rPr>
          <w:sz w:val="22"/>
        </w:rPr>
        <w:t>resolution</w:t>
      </w:r>
      <w:r>
        <w:rPr>
          <w:spacing w:val="-6"/>
          <w:sz w:val="22"/>
        </w:rPr>
        <w:t> </w:t>
      </w:r>
      <w:r>
        <w:rPr>
          <w:sz w:val="22"/>
        </w:rPr>
        <w:t>process against</w:t>
      </w:r>
      <w:r>
        <w:rPr>
          <w:spacing w:val="-28"/>
          <w:sz w:val="22"/>
        </w:rPr>
        <w:t> </w:t>
      </w:r>
      <w:r>
        <w:rPr>
          <w:sz w:val="22"/>
        </w:rPr>
        <w:t>EEPL.</w:t>
      </w:r>
      <w:r>
        <w:rPr>
          <w:spacing w:val="-26"/>
          <w:sz w:val="22"/>
        </w:rPr>
        <w:t> </w:t>
      </w:r>
      <w:r>
        <w:rPr>
          <w:sz w:val="22"/>
        </w:rPr>
        <w:t>EEPL</w:t>
      </w:r>
      <w:r>
        <w:rPr>
          <w:spacing w:val="-26"/>
          <w:sz w:val="22"/>
        </w:rPr>
        <w:t> </w:t>
      </w:r>
      <w:r>
        <w:rPr>
          <w:sz w:val="22"/>
        </w:rPr>
        <w:t>has</w:t>
      </w:r>
      <w:r>
        <w:rPr>
          <w:spacing w:val="-27"/>
          <w:sz w:val="22"/>
        </w:rPr>
        <w:t> </w:t>
      </w:r>
      <w:r>
        <w:rPr>
          <w:sz w:val="22"/>
        </w:rPr>
        <w:t>by</w:t>
      </w:r>
      <w:r>
        <w:rPr>
          <w:spacing w:val="-27"/>
          <w:sz w:val="22"/>
        </w:rPr>
        <w:t> </w:t>
      </w:r>
      <w:r>
        <w:rPr>
          <w:sz w:val="22"/>
        </w:rPr>
        <w:t>its</w:t>
      </w:r>
      <w:r>
        <w:rPr>
          <w:spacing w:val="-25"/>
          <w:sz w:val="22"/>
        </w:rPr>
        <w:t> </w:t>
      </w:r>
      <w:r>
        <w:rPr>
          <w:sz w:val="22"/>
        </w:rPr>
        <w:t>letter</w:t>
      </w:r>
      <w:r>
        <w:rPr>
          <w:spacing w:val="-26"/>
          <w:sz w:val="22"/>
        </w:rPr>
        <w:t> </w:t>
      </w:r>
      <w:r>
        <w:rPr>
          <w:sz w:val="22"/>
        </w:rPr>
        <w:t>dated</w:t>
      </w:r>
      <w:r>
        <w:rPr>
          <w:spacing w:val="-26"/>
          <w:sz w:val="22"/>
        </w:rPr>
        <w:t> </w:t>
      </w:r>
      <w:r>
        <w:rPr>
          <w:sz w:val="22"/>
        </w:rPr>
        <w:t>March</w:t>
      </w:r>
      <w:r>
        <w:rPr>
          <w:spacing w:val="-27"/>
          <w:sz w:val="22"/>
        </w:rPr>
        <w:t> </w:t>
      </w:r>
      <w:r>
        <w:rPr>
          <w:sz w:val="22"/>
        </w:rPr>
        <w:t>1,</w:t>
      </w:r>
      <w:r>
        <w:rPr>
          <w:spacing w:val="-27"/>
          <w:sz w:val="22"/>
        </w:rPr>
        <w:t> </w:t>
      </w:r>
      <w:r>
        <w:rPr>
          <w:sz w:val="22"/>
        </w:rPr>
        <w:t>2019,</w:t>
      </w:r>
      <w:r>
        <w:rPr>
          <w:spacing w:val="-27"/>
          <w:sz w:val="22"/>
        </w:rPr>
        <w:t> </w:t>
      </w:r>
      <w:r>
        <w:rPr>
          <w:sz w:val="22"/>
        </w:rPr>
        <w:t>refuted</w:t>
      </w:r>
      <w:r>
        <w:rPr>
          <w:spacing w:val="-26"/>
          <w:sz w:val="22"/>
        </w:rPr>
        <w:t> </w:t>
      </w:r>
      <w:r>
        <w:rPr>
          <w:sz w:val="22"/>
        </w:rPr>
        <w:t>all</w:t>
      </w:r>
      <w:r>
        <w:rPr>
          <w:spacing w:val="-28"/>
          <w:sz w:val="22"/>
        </w:rPr>
        <w:t> </w:t>
      </w:r>
      <w:r>
        <w:rPr>
          <w:sz w:val="22"/>
        </w:rPr>
        <w:t>such</w:t>
      </w:r>
      <w:r>
        <w:rPr>
          <w:spacing w:val="-27"/>
          <w:sz w:val="22"/>
        </w:rPr>
        <w:t> </w:t>
      </w:r>
      <w:r>
        <w:rPr>
          <w:sz w:val="22"/>
        </w:rPr>
        <w:t>claims</w:t>
      </w:r>
      <w:r>
        <w:rPr>
          <w:spacing w:val="-25"/>
          <w:sz w:val="22"/>
        </w:rPr>
        <w:t> </w:t>
      </w:r>
      <w:r>
        <w:rPr>
          <w:i/>
          <w:sz w:val="22"/>
        </w:rPr>
        <w:t>inter</w:t>
      </w:r>
      <w:r>
        <w:rPr>
          <w:i/>
          <w:spacing w:val="-27"/>
          <w:sz w:val="22"/>
        </w:rPr>
        <w:t> </w:t>
      </w:r>
      <w:r>
        <w:rPr>
          <w:i/>
          <w:sz w:val="22"/>
        </w:rPr>
        <w:t>alia</w:t>
      </w:r>
      <w:r>
        <w:rPr>
          <w:i/>
          <w:spacing w:val="-28"/>
          <w:sz w:val="22"/>
        </w:rPr>
        <w:t> </w:t>
      </w:r>
      <w:r>
        <w:rPr>
          <w:sz w:val="22"/>
        </w:rPr>
        <w:t>on</w:t>
      </w:r>
      <w:r>
        <w:rPr>
          <w:spacing w:val="-27"/>
          <w:sz w:val="22"/>
        </w:rPr>
        <w:t> </w:t>
      </w:r>
      <w:r>
        <w:rPr>
          <w:sz w:val="22"/>
        </w:rPr>
        <w:t>the basis</w:t>
      </w:r>
      <w:r>
        <w:rPr>
          <w:spacing w:val="-16"/>
          <w:sz w:val="22"/>
        </w:rPr>
        <w:t> </w:t>
      </w:r>
      <w:r>
        <w:rPr>
          <w:sz w:val="22"/>
        </w:rPr>
        <w:t>that</w:t>
      </w:r>
      <w:r>
        <w:rPr>
          <w:spacing w:val="-16"/>
          <w:sz w:val="22"/>
        </w:rPr>
        <w:t> </w:t>
      </w:r>
      <w:r>
        <w:rPr>
          <w:sz w:val="22"/>
        </w:rPr>
        <w:t>the</w:t>
      </w:r>
      <w:r>
        <w:rPr>
          <w:spacing w:val="-19"/>
          <w:sz w:val="22"/>
        </w:rPr>
        <w:t> </w:t>
      </w:r>
      <w:r>
        <w:rPr>
          <w:sz w:val="22"/>
        </w:rPr>
        <w:t>payments</w:t>
      </w:r>
      <w:r>
        <w:rPr>
          <w:spacing w:val="-17"/>
          <w:sz w:val="22"/>
        </w:rPr>
        <w:t> </w:t>
      </w:r>
      <w:r>
        <w:rPr>
          <w:sz w:val="22"/>
        </w:rPr>
        <w:t>are</w:t>
      </w:r>
      <w:r>
        <w:rPr>
          <w:spacing w:val="-17"/>
          <w:sz w:val="22"/>
        </w:rPr>
        <w:t> </w:t>
      </w:r>
      <w:r>
        <w:rPr>
          <w:sz w:val="22"/>
        </w:rPr>
        <w:t>due</w:t>
      </w:r>
      <w:r>
        <w:rPr>
          <w:spacing w:val="-17"/>
          <w:sz w:val="22"/>
        </w:rPr>
        <w:t> </w:t>
      </w:r>
      <w:r>
        <w:rPr>
          <w:sz w:val="22"/>
        </w:rPr>
        <w:t>from</w:t>
      </w:r>
      <w:r>
        <w:rPr>
          <w:spacing w:val="-16"/>
          <w:sz w:val="22"/>
        </w:rPr>
        <w:t> </w:t>
      </w:r>
      <w:r>
        <w:rPr>
          <w:sz w:val="22"/>
        </w:rPr>
        <w:t>ISPL</w:t>
      </w:r>
      <w:r>
        <w:rPr>
          <w:spacing w:val="-18"/>
          <w:sz w:val="22"/>
        </w:rPr>
        <w:t> </w:t>
      </w:r>
      <w:r>
        <w:rPr>
          <w:sz w:val="22"/>
        </w:rPr>
        <w:t>(and/</w:t>
      </w:r>
      <w:r>
        <w:rPr>
          <w:spacing w:val="-19"/>
          <w:sz w:val="22"/>
        </w:rPr>
        <w:t> </w:t>
      </w:r>
      <w:r>
        <w:rPr>
          <w:sz w:val="22"/>
        </w:rPr>
        <w:t>or</w:t>
      </w:r>
      <w:r>
        <w:rPr>
          <w:spacing w:val="-16"/>
          <w:sz w:val="22"/>
        </w:rPr>
        <w:t> </w:t>
      </w:r>
      <w:r>
        <w:rPr>
          <w:sz w:val="22"/>
        </w:rPr>
        <w:t>its</w:t>
      </w:r>
      <w:r>
        <w:rPr>
          <w:spacing w:val="-16"/>
          <w:sz w:val="22"/>
        </w:rPr>
        <w:t> </w:t>
      </w:r>
      <w:r>
        <w:rPr>
          <w:sz w:val="22"/>
        </w:rPr>
        <w:t>parent</w:t>
      </w:r>
      <w:r>
        <w:rPr>
          <w:spacing w:val="-17"/>
          <w:sz w:val="22"/>
        </w:rPr>
        <w:t> </w:t>
      </w:r>
      <w:r>
        <w:rPr>
          <w:sz w:val="22"/>
        </w:rPr>
        <w:t>entity)</w:t>
      </w:r>
      <w:r>
        <w:rPr>
          <w:spacing w:val="-16"/>
          <w:sz w:val="22"/>
        </w:rPr>
        <w:t> </w:t>
      </w:r>
      <w:r>
        <w:rPr>
          <w:sz w:val="22"/>
        </w:rPr>
        <w:t>to</w:t>
      </w:r>
      <w:r>
        <w:rPr>
          <w:spacing w:val="-19"/>
          <w:sz w:val="22"/>
        </w:rPr>
        <w:t> </w:t>
      </w:r>
      <w:r>
        <w:rPr>
          <w:sz w:val="22"/>
        </w:rPr>
        <w:t>the</w:t>
      </w:r>
      <w:r>
        <w:rPr>
          <w:spacing w:val="-16"/>
          <w:sz w:val="22"/>
        </w:rPr>
        <w:t> </w:t>
      </w:r>
      <w:r>
        <w:rPr>
          <w:sz w:val="22"/>
        </w:rPr>
        <w:t>sub-contractor</w:t>
      </w:r>
      <w:r>
        <w:rPr>
          <w:spacing w:val="-17"/>
          <w:sz w:val="22"/>
        </w:rPr>
        <w:t> </w:t>
      </w:r>
      <w:r>
        <w:rPr>
          <w:sz w:val="22"/>
        </w:rPr>
        <w:t>and not</w:t>
      </w:r>
      <w:r>
        <w:rPr>
          <w:spacing w:val="-20"/>
          <w:sz w:val="22"/>
        </w:rPr>
        <w:t> </w:t>
      </w:r>
      <w:r>
        <w:rPr>
          <w:sz w:val="22"/>
        </w:rPr>
        <w:t>from</w:t>
      </w:r>
      <w:r>
        <w:rPr>
          <w:spacing w:val="-20"/>
          <w:sz w:val="22"/>
        </w:rPr>
        <w:t> </w:t>
      </w:r>
      <w:r>
        <w:rPr>
          <w:sz w:val="22"/>
        </w:rPr>
        <w:t>EEPL,</w:t>
      </w:r>
      <w:r>
        <w:rPr>
          <w:spacing w:val="-20"/>
          <w:sz w:val="22"/>
        </w:rPr>
        <w:t> </w:t>
      </w:r>
      <w:r>
        <w:rPr>
          <w:sz w:val="22"/>
        </w:rPr>
        <w:t>and</w:t>
      </w:r>
      <w:r>
        <w:rPr>
          <w:spacing w:val="-20"/>
          <w:sz w:val="22"/>
        </w:rPr>
        <w:t> </w:t>
      </w:r>
      <w:r>
        <w:rPr>
          <w:sz w:val="22"/>
        </w:rPr>
        <w:t>therefore</w:t>
      </w:r>
      <w:r>
        <w:rPr>
          <w:spacing w:val="-20"/>
          <w:sz w:val="22"/>
        </w:rPr>
        <w:t> </w:t>
      </w:r>
      <w:r>
        <w:rPr>
          <w:sz w:val="22"/>
        </w:rPr>
        <w:t>the</w:t>
      </w:r>
      <w:r>
        <w:rPr>
          <w:spacing w:val="-21"/>
          <w:sz w:val="22"/>
        </w:rPr>
        <w:t> </w:t>
      </w:r>
      <w:r>
        <w:rPr>
          <w:sz w:val="22"/>
        </w:rPr>
        <w:t>sub-contractor</w:t>
      </w:r>
      <w:r>
        <w:rPr>
          <w:spacing w:val="-20"/>
          <w:sz w:val="22"/>
        </w:rPr>
        <w:t> </w:t>
      </w:r>
      <w:r>
        <w:rPr>
          <w:sz w:val="22"/>
        </w:rPr>
        <w:t>has</w:t>
      </w:r>
      <w:r>
        <w:rPr>
          <w:spacing w:val="-20"/>
          <w:sz w:val="22"/>
        </w:rPr>
        <w:t> </w:t>
      </w:r>
      <w:r>
        <w:rPr>
          <w:sz w:val="22"/>
        </w:rPr>
        <w:t>no</w:t>
      </w:r>
      <w:r>
        <w:rPr>
          <w:spacing w:val="-21"/>
          <w:sz w:val="22"/>
        </w:rPr>
        <w:t> </w:t>
      </w:r>
      <w:r>
        <w:rPr>
          <w:sz w:val="22"/>
        </w:rPr>
        <w:t>claim</w:t>
      </w:r>
      <w:r>
        <w:rPr>
          <w:spacing w:val="-19"/>
          <w:sz w:val="22"/>
        </w:rPr>
        <w:t> </w:t>
      </w:r>
      <w:r>
        <w:rPr>
          <w:sz w:val="22"/>
        </w:rPr>
        <w:t>against</w:t>
      </w:r>
      <w:r>
        <w:rPr>
          <w:spacing w:val="-19"/>
          <w:sz w:val="22"/>
        </w:rPr>
        <w:t> </w:t>
      </w:r>
      <w:r>
        <w:rPr>
          <w:sz w:val="22"/>
        </w:rPr>
        <w:t>EEPL.</w:t>
      </w:r>
      <w:r>
        <w:rPr>
          <w:spacing w:val="-21"/>
          <w:sz w:val="22"/>
        </w:rPr>
        <w:t> </w:t>
      </w:r>
      <w:r>
        <w:rPr>
          <w:sz w:val="22"/>
        </w:rPr>
        <w:t>By</w:t>
      </w:r>
      <w:r>
        <w:rPr>
          <w:spacing w:val="-19"/>
          <w:sz w:val="22"/>
        </w:rPr>
        <w:t> </w:t>
      </w:r>
      <w:r>
        <w:rPr>
          <w:sz w:val="22"/>
        </w:rPr>
        <w:t>its</w:t>
      </w:r>
      <w:r>
        <w:rPr>
          <w:spacing w:val="-19"/>
          <w:sz w:val="22"/>
        </w:rPr>
        <w:t> </w:t>
      </w:r>
      <w:r>
        <w:rPr>
          <w:sz w:val="22"/>
        </w:rPr>
        <w:t>letters</w:t>
      </w:r>
      <w:r>
        <w:rPr>
          <w:spacing w:val="-20"/>
          <w:sz w:val="22"/>
        </w:rPr>
        <w:t> </w:t>
      </w:r>
      <w:r>
        <w:rPr>
          <w:sz w:val="22"/>
        </w:rPr>
        <w:t>dated March</w:t>
      </w:r>
      <w:r>
        <w:rPr>
          <w:spacing w:val="-35"/>
          <w:sz w:val="22"/>
        </w:rPr>
        <w:t> </w:t>
      </w:r>
      <w:r>
        <w:rPr>
          <w:sz w:val="22"/>
        </w:rPr>
        <w:t>18,</w:t>
      </w:r>
      <w:r>
        <w:rPr>
          <w:spacing w:val="-34"/>
          <w:sz w:val="22"/>
        </w:rPr>
        <w:t> </w:t>
      </w:r>
      <w:r>
        <w:rPr>
          <w:sz w:val="22"/>
        </w:rPr>
        <w:t>2019,</w:t>
      </w:r>
      <w:r>
        <w:rPr>
          <w:spacing w:val="-34"/>
          <w:sz w:val="22"/>
        </w:rPr>
        <w:t> </w:t>
      </w:r>
      <w:r>
        <w:rPr>
          <w:sz w:val="22"/>
        </w:rPr>
        <w:t>the</w:t>
      </w:r>
      <w:r>
        <w:rPr>
          <w:spacing w:val="-34"/>
          <w:sz w:val="22"/>
        </w:rPr>
        <w:t> </w:t>
      </w:r>
      <w:r>
        <w:rPr>
          <w:sz w:val="22"/>
        </w:rPr>
        <w:t>subcontractor</w:t>
      </w:r>
      <w:r>
        <w:rPr>
          <w:spacing w:val="-34"/>
          <w:sz w:val="22"/>
        </w:rPr>
        <w:t> </w:t>
      </w:r>
      <w:r>
        <w:rPr>
          <w:sz w:val="22"/>
        </w:rPr>
        <w:t>has</w:t>
      </w:r>
      <w:r>
        <w:rPr>
          <w:spacing w:val="-33"/>
          <w:sz w:val="22"/>
        </w:rPr>
        <w:t> </w:t>
      </w:r>
      <w:r>
        <w:rPr>
          <w:sz w:val="22"/>
        </w:rPr>
        <w:t>responded</w:t>
      </w:r>
      <w:r>
        <w:rPr>
          <w:spacing w:val="-34"/>
          <w:sz w:val="22"/>
        </w:rPr>
        <w:t> </w:t>
      </w:r>
      <w:r>
        <w:rPr>
          <w:sz w:val="22"/>
        </w:rPr>
        <w:t>to</w:t>
      </w:r>
      <w:r>
        <w:rPr>
          <w:spacing w:val="-34"/>
          <w:sz w:val="22"/>
        </w:rPr>
        <w:t> </w:t>
      </w:r>
      <w:r>
        <w:rPr>
          <w:sz w:val="22"/>
        </w:rPr>
        <w:t>the</w:t>
      </w:r>
      <w:r>
        <w:rPr>
          <w:spacing w:val="-34"/>
          <w:sz w:val="22"/>
        </w:rPr>
        <w:t> </w:t>
      </w:r>
      <w:r>
        <w:rPr>
          <w:sz w:val="22"/>
        </w:rPr>
        <w:t>letter</w:t>
      </w:r>
      <w:r>
        <w:rPr>
          <w:spacing w:val="-34"/>
          <w:sz w:val="22"/>
        </w:rPr>
        <w:t> </w:t>
      </w:r>
      <w:r>
        <w:rPr>
          <w:sz w:val="22"/>
        </w:rPr>
        <w:t>from</w:t>
      </w:r>
      <w:r>
        <w:rPr>
          <w:spacing w:val="-33"/>
          <w:sz w:val="22"/>
        </w:rPr>
        <w:t> </w:t>
      </w:r>
      <w:r>
        <w:rPr>
          <w:sz w:val="22"/>
        </w:rPr>
        <w:t>EEPL,</w:t>
      </w:r>
      <w:r>
        <w:rPr>
          <w:spacing w:val="-36"/>
          <w:sz w:val="22"/>
        </w:rPr>
        <w:t> </w:t>
      </w:r>
      <w:r>
        <w:rPr>
          <w:sz w:val="22"/>
        </w:rPr>
        <w:t>denying</w:t>
      </w:r>
      <w:r>
        <w:rPr>
          <w:spacing w:val="-32"/>
          <w:sz w:val="22"/>
        </w:rPr>
        <w:t> </w:t>
      </w:r>
      <w:r>
        <w:rPr>
          <w:sz w:val="22"/>
        </w:rPr>
        <w:t>all</w:t>
      </w:r>
      <w:r>
        <w:rPr>
          <w:spacing w:val="-35"/>
          <w:sz w:val="22"/>
        </w:rPr>
        <w:t> </w:t>
      </w:r>
      <w:r>
        <w:rPr>
          <w:sz w:val="22"/>
        </w:rPr>
        <w:t>statements made</w:t>
      </w:r>
      <w:r>
        <w:rPr>
          <w:spacing w:val="-23"/>
          <w:sz w:val="22"/>
        </w:rPr>
        <w:t> </w:t>
      </w:r>
      <w:r>
        <w:rPr>
          <w:sz w:val="22"/>
        </w:rPr>
        <w:t>by</w:t>
      </w:r>
      <w:r>
        <w:rPr>
          <w:spacing w:val="-22"/>
          <w:sz w:val="22"/>
        </w:rPr>
        <w:t> </w:t>
      </w:r>
      <w:r>
        <w:rPr>
          <w:sz w:val="22"/>
        </w:rPr>
        <w:t>EEPL</w:t>
      </w:r>
      <w:r>
        <w:rPr>
          <w:spacing w:val="-22"/>
          <w:sz w:val="22"/>
        </w:rPr>
        <w:t> </w:t>
      </w:r>
      <w:r>
        <w:rPr>
          <w:sz w:val="22"/>
        </w:rPr>
        <w:t>and</w:t>
      </w:r>
      <w:r>
        <w:rPr>
          <w:spacing w:val="-22"/>
          <w:sz w:val="22"/>
        </w:rPr>
        <w:t> </w:t>
      </w:r>
      <w:r>
        <w:rPr>
          <w:sz w:val="22"/>
        </w:rPr>
        <w:t>reiterating</w:t>
      </w:r>
      <w:r>
        <w:rPr>
          <w:spacing w:val="-22"/>
          <w:sz w:val="22"/>
        </w:rPr>
        <w:t> </w:t>
      </w:r>
      <w:r>
        <w:rPr>
          <w:sz w:val="22"/>
        </w:rPr>
        <w:t>that</w:t>
      </w:r>
      <w:r>
        <w:rPr>
          <w:spacing w:val="-22"/>
          <w:sz w:val="22"/>
        </w:rPr>
        <w:t> </w:t>
      </w:r>
      <w:r>
        <w:rPr>
          <w:sz w:val="22"/>
        </w:rPr>
        <w:t>the</w:t>
      </w:r>
      <w:r>
        <w:rPr>
          <w:spacing w:val="-23"/>
          <w:sz w:val="22"/>
        </w:rPr>
        <w:t> </w:t>
      </w:r>
      <w:r>
        <w:rPr>
          <w:sz w:val="22"/>
        </w:rPr>
        <w:t>unpaid</w:t>
      </w:r>
      <w:r>
        <w:rPr>
          <w:spacing w:val="-22"/>
          <w:sz w:val="22"/>
        </w:rPr>
        <w:t> </w:t>
      </w:r>
      <w:r>
        <w:rPr>
          <w:sz w:val="22"/>
        </w:rPr>
        <w:t>amounts</w:t>
      </w:r>
      <w:r>
        <w:rPr>
          <w:spacing w:val="-22"/>
          <w:sz w:val="22"/>
        </w:rPr>
        <w:t> </w:t>
      </w:r>
      <w:r>
        <w:rPr>
          <w:sz w:val="22"/>
        </w:rPr>
        <w:t>are</w:t>
      </w:r>
      <w:r>
        <w:rPr>
          <w:spacing w:val="-23"/>
          <w:sz w:val="22"/>
        </w:rPr>
        <w:t> </w:t>
      </w:r>
      <w:r>
        <w:rPr>
          <w:sz w:val="22"/>
        </w:rPr>
        <w:t>due</w:t>
      </w:r>
      <w:r>
        <w:rPr>
          <w:spacing w:val="-23"/>
          <w:sz w:val="22"/>
        </w:rPr>
        <w:t> </w:t>
      </w:r>
      <w:r>
        <w:rPr>
          <w:sz w:val="22"/>
        </w:rPr>
        <w:t>from</w:t>
      </w:r>
      <w:r>
        <w:rPr>
          <w:spacing w:val="-23"/>
          <w:sz w:val="22"/>
        </w:rPr>
        <w:t> </w:t>
      </w:r>
      <w:r>
        <w:rPr>
          <w:sz w:val="22"/>
        </w:rPr>
        <w:t>EEPL,</w:t>
      </w:r>
      <w:r>
        <w:rPr>
          <w:spacing w:val="-24"/>
          <w:sz w:val="22"/>
        </w:rPr>
        <w:t> </w:t>
      </w:r>
      <w:r>
        <w:rPr>
          <w:sz w:val="22"/>
        </w:rPr>
        <w:t>without</w:t>
      </w:r>
      <w:r>
        <w:rPr>
          <w:spacing w:val="-24"/>
          <w:sz w:val="22"/>
        </w:rPr>
        <w:t> </w:t>
      </w:r>
      <w:r>
        <w:rPr>
          <w:sz w:val="22"/>
        </w:rPr>
        <w:t>prejudice</w:t>
      </w:r>
      <w:r>
        <w:rPr>
          <w:spacing w:val="-23"/>
          <w:sz w:val="22"/>
        </w:rPr>
        <w:t> </w:t>
      </w:r>
      <w:r>
        <w:rPr>
          <w:sz w:val="22"/>
        </w:rPr>
        <w:t>to any action, including criminal, that may be taken under law including the Insolvency and Bankruptcy</w:t>
      </w:r>
      <w:r>
        <w:rPr>
          <w:spacing w:val="-20"/>
          <w:sz w:val="22"/>
        </w:rPr>
        <w:t> </w:t>
      </w:r>
      <w:r>
        <w:rPr>
          <w:sz w:val="22"/>
        </w:rPr>
        <w:t>Code,</w:t>
      </w:r>
      <w:r>
        <w:rPr>
          <w:spacing w:val="-19"/>
          <w:sz w:val="22"/>
        </w:rPr>
        <w:t> </w:t>
      </w:r>
      <w:r>
        <w:rPr>
          <w:sz w:val="22"/>
        </w:rPr>
        <w:t>2016</w:t>
      </w:r>
      <w:r>
        <w:rPr>
          <w:spacing w:val="-20"/>
          <w:sz w:val="22"/>
        </w:rPr>
        <w:t> </w:t>
      </w:r>
      <w:r>
        <w:rPr>
          <w:sz w:val="22"/>
        </w:rPr>
        <w:t>against</w:t>
      </w:r>
      <w:r>
        <w:rPr>
          <w:spacing w:val="-19"/>
          <w:sz w:val="22"/>
        </w:rPr>
        <w:t> </w:t>
      </w:r>
      <w:r>
        <w:rPr>
          <w:sz w:val="22"/>
        </w:rPr>
        <w:t>EEPL,</w:t>
      </w:r>
      <w:r>
        <w:rPr>
          <w:spacing w:val="-20"/>
          <w:sz w:val="22"/>
        </w:rPr>
        <w:t> </w:t>
      </w:r>
      <w:r>
        <w:rPr>
          <w:sz w:val="22"/>
        </w:rPr>
        <w:t>IEDCL,</w:t>
      </w:r>
      <w:r>
        <w:rPr>
          <w:spacing w:val="-20"/>
          <w:sz w:val="22"/>
        </w:rPr>
        <w:t> </w:t>
      </w:r>
      <w:r>
        <w:rPr>
          <w:sz w:val="22"/>
        </w:rPr>
        <w:t>ISPL</w:t>
      </w:r>
      <w:r>
        <w:rPr>
          <w:spacing w:val="-18"/>
          <w:sz w:val="22"/>
        </w:rPr>
        <w:t> </w:t>
      </w:r>
      <w:r>
        <w:rPr>
          <w:sz w:val="22"/>
        </w:rPr>
        <w:t>and</w:t>
      </w:r>
      <w:r>
        <w:rPr>
          <w:spacing w:val="-19"/>
          <w:sz w:val="22"/>
        </w:rPr>
        <w:t> </w:t>
      </w:r>
      <w:r>
        <w:rPr>
          <w:sz w:val="22"/>
        </w:rPr>
        <w:t>certain</w:t>
      </w:r>
      <w:r>
        <w:rPr>
          <w:spacing w:val="-18"/>
          <w:sz w:val="22"/>
        </w:rPr>
        <w:t> </w:t>
      </w:r>
      <w:r>
        <w:rPr>
          <w:sz w:val="22"/>
        </w:rPr>
        <w:t>representatives</w:t>
      </w:r>
      <w:r>
        <w:rPr>
          <w:spacing w:val="-18"/>
          <w:sz w:val="22"/>
        </w:rPr>
        <w:t> </w:t>
      </w:r>
      <w:r>
        <w:rPr>
          <w:sz w:val="22"/>
        </w:rPr>
        <w:t>of</w:t>
      </w:r>
      <w:r>
        <w:rPr>
          <w:spacing w:val="-18"/>
          <w:sz w:val="22"/>
        </w:rPr>
        <w:t> </w:t>
      </w:r>
      <w:r>
        <w:rPr>
          <w:sz w:val="22"/>
        </w:rPr>
        <w:t>these</w:t>
      </w:r>
      <w:r>
        <w:rPr>
          <w:spacing w:val="-19"/>
          <w:sz w:val="22"/>
        </w:rPr>
        <w:t> </w:t>
      </w:r>
      <w:r>
        <w:rPr>
          <w:sz w:val="22"/>
        </w:rPr>
        <w:t>entities, including</w:t>
      </w:r>
      <w:r>
        <w:rPr>
          <w:spacing w:val="-9"/>
          <w:sz w:val="22"/>
        </w:rPr>
        <w:t> </w:t>
      </w:r>
      <w:r>
        <w:rPr>
          <w:sz w:val="22"/>
        </w:rPr>
        <w:t>Jitendra</w:t>
      </w:r>
      <w:r>
        <w:rPr>
          <w:spacing w:val="-10"/>
          <w:sz w:val="22"/>
        </w:rPr>
        <w:t> </w:t>
      </w:r>
      <w:r>
        <w:rPr>
          <w:sz w:val="22"/>
        </w:rPr>
        <w:t>Virwani.</w:t>
      </w:r>
      <w:r>
        <w:rPr>
          <w:spacing w:val="-9"/>
          <w:sz w:val="22"/>
        </w:rPr>
        <w:t> </w:t>
      </w:r>
      <w:r>
        <w:rPr>
          <w:sz w:val="22"/>
        </w:rPr>
        <w:t>EEPL</w:t>
      </w:r>
      <w:r>
        <w:rPr>
          <w:spacing w:val="-9"/>
          <w:sz w:val="22"/>
        </w:rPr>
        <w:t> </w:t>
      </w:r>
      <w:r>
        <w:rPr>
          <w:sz w:val="22"/>
        </w:rPr>
        <w:t>has</w:t>
      </w:r>
      <w:r>
        <w:rPr>
          <w:spacing w:val="-9"/>
          <w:sz w:val="22"/>
        </w:rPr>
        <w:t> </w:t>
      </w:r>
      <w:r>
        <w:rPr>
          <w:sz w:val="22"/>
        </w:rPr>
        <w:t>also</w:t>
      </w:r>
      <w:r>
        <w:rPr>
          <w:spacing w:val="-11"/>
          <w:sz w:val="22"/>
        </w:rPr>
        <w:t> </w:t>
      </w:r>
      <w:r>
        <w:rPr>
          <w:sz w:val="22"/>
        </w:rPr>
        <w:t>written</w:t>
      </w:r>
      <w:r>
        <w:rPr>
          <w:spacing w:val="-11"/>
          <w:sz w:val="22"/>
        </w:rPr>
        <w:t> </w:t>
      </w:r>
      <w:r>
        <w:rPr>
          <w:sz w:val="22"/>
        </w:rPr>
        <w:t>to</w:t>
      </w:r>
      <w:r>
        <w:rPr>
          <w:spacing w:val="-10"/>
          <w:sz w:val="22"/>
        </w:rPr>
        <w:t> </w:t>
      </w:r>
      <w:r>
        <w:rPr>
          <w:sz w:val="22"/>
        </w:rPr>
        <w:t>ISPL</w:t>
      </w:r>
      <w:r>
        <w:rPr>
          <w:spacing w:val="-10"/>
          <w:sz w:val="22"/>
        </w:rPr>
        <w:t> </w:t>
      </w:r>
      <w:r>
        <w:rPr>
          <w:sz w:val="22"/>
        </w:rPr>
        <w:t>in</w:t>
      </w:r>
      <w:r>
        <w:rPr>
          <w:spacing w:val="-10"/>
          <w:sz w:val="22"/>
        </w:rPr>
        <w:t> </w:t>
      </w:r>
      <w:r>
        <w:rPr>
          <w:sz w:val="22"/>
        </w:rPr>
        <w:t>relation</w:t>
      </w:r>
      <w:r>
        <w:rPr>
          <w:spacing w:val="-10"/>
          <w:sz w:val="22"/>
        </w:rPr>
        <w:t> </w:t>
      </w:r>
      <w:r>
        <w:rPr>
          <w:sz w:val="22"/>
        </w:rPr>
        <w:t>to</w:t>
      </w:r>
      <w:r>
        <w:rPr>
          <w:spacing w:val="-9"/>
          <w:sz w:val="22"/>
        </w:rPr>
        <w:t> </w:t>
      </w:r>
      <w:r>
        <w:rPr>
          <w:sz w:val="22"/>
        </w:rPr>
        <w:t>deficiencies</w:t>
      </w:r>
      <w:r>
        <w:rPr>
          <w:spacing w:val="-8"/>
          <w:sz w:val="22"/>
        </w:rPr>
        <w:t> </w:t>
      </w:r>
      <w:r>
        <w:rPr>
          <w:sz w:val="22"/>
        </w:rPr>
        <w:t>in</w:t>
      </w:r>
      <w:r>
        <w:rPr>
          <w:spacing w:val="-10"/>
          <w:sz w:val="22"/>
        </w:rPr>
        <w:t> </w:t>
      </w:r>
      <w:r>
        <w:rPr>
          <w:sz w:val="22"/>
        </w:rPr>
        <w:t>services required</w:t>
      </w:r>
      <w:r>
        <w:rPr>
          <w:spacing w:val="-37"/>
          <w:sz w:val="22"/>
        </w:rPr>
        <w:t> </w:t>
      </w:r>
      <w:r>
        <w:rPr>
          <w:sz w:val="22"/>
        </w:rPr>
        <w:t>to</w:t>
      </w:r>
      <w:r>
        <w:rPr>
          <w:spacing w:val="-37"/>
          <w:sz w:val="22"/>
        </w:rPr>
        <w:t> </w:t>
      </w:r>
      <w:r>
        <w:rPr>
          <w:sz w:val="22"/>
        </w:rPr>
        <w:t>be</w:t>
      </w:r>
      <w:r>
        <w:rPr>
          <w:spacing w:val="-38"/>
          <w:sz w:val="22"/>
        </w:rPr>
        <w:t> </w:t>
      </w:r>
      <w:r>
        <w:rPr>
          <w:sz w:val="22"/>
        </w:rPr>
        <w:t>contractually</w:t>
      </w:r>
      <w:r>
        <w:rPr>
          <w:spacing w:val="-36"/>
          <w:sz w:val="22"/>
        </w:rPr>
        <w:t> </w:t>
      </w:r>
      <w:r>
        <w:rPr>
          <w:sz w:val="22"/>
        </w:rPr>
        <w:t>provided</w:t>
      </w:r>
      <w:r>
        <w:rPr>
          <w:spacing w:val="-37"/>
          <w:sz w:val="22"/>
        </w:rPr>
        <w:t> </w:t>
      </w:r>
      <w:r>
        <w:rPr>
          <w:sz w:val="22"/>
        </w:rPr>
        <w:t>by</w:t>
      </w:r>
      <w:r>
        <w:rPr>
          <w:spacing w:val="-38"/>
          <w:sz w:val="22"/>
        </w:rPr>
        <w:t> </w:t>
      </w:r>
      <w:r>
        <w:rPr>
          <w:sz w:val="22"/>
        </w:rPr>
        <w:t>ISPL.</w:t>
      </w:r>
      <w:r>
        <w:rPr>
          <w:spacing w:val="-38"/>
          <w:sz w:val="22"/>
        </w:rPr>
        <w:t> </w:t>
      </w:r>
      <w:r>
        <w:rPr>
          <w:sz w:val="22"/>
        </w:rPr>
        <w:t>ISPL</w:t>
      </w:r>
      <w:r>
        <w:rPr>
          <w:spacing w:val="-37"/>
          <w:sz w:val="22"/>
        </w:rPr>
        <w:t> </w:t>
      </w:r>
      <w:r>
        <w:rPr>
          <w:sz w:val="22"/>
        </w:rPr>
        <w:t>has</w:t>
      </w:r>
      <w:r>
        <w:rPr>
          <w:spacing w:val="-36"/>
          <w:sz w:val="22"/>
        </w:rPr>
        <w:t> </w:t>
      </w:r>
      <w:r>
        <w:rPr>
          <w:sz w:val="22"/>
        </w:rPr>
        <w:t>responded</w:t>
      </w:r>
      <w:r>
        <w:rPr>
          <w:spacing w:val="-38"/>
          <w:sz w:val="22"/>
        </w:rPr>
        <w:t> </w:t>
      </w:r>
      <w:r>
        <w:rPr>
          <w:sz w:val="22"/>
        </w:rPr>
        <w:t>to</w:t>
      </w:r>
      <w:r>
        <w:rPr>
          <w:spacing w:val="-37"/>
          <w:sz w:val="22"/>
        </w:rPr>
        <w:t> </w:t>
      </w:r>
      <w:r>
        <w:rPr>
          <w:sz w:val="22"/>
        </w:rPr>
        <w:t>EEPL</w:t>
      </w:r>
      <w:r>
        <w:rPr>
          <w:spacing w:val="-38"/>
          <w:sz w:val="22"/>
        </w:rPr>
        <w:t> </w:t>
      </w:r>
      <w:r>
        <w:rPr>
          <w:sz w:val="22"/>
        </w:rPr>
        <w:t>denying</w:t>
      </w:r>
      <w:r>
        <w:rPr>
          <w:spacing w:val="-36"/>
          <w:sz w:val="22"/>
        </w:rPr>
        <w:t> </w:t>
      </w:r>
      <w:r>
        <w:rPr>
          <w:sz w:val="22"/>
        </w:rPr>
        <w:t>the</w:t>
      </w:r>
      <w:r>
        <w:rPr>
          <w:spacing w:val="-37"/>
          <w:sz w:val="22"/>
        </w:rPr>
        <w:t> </w:t>
      </w:r>
      <w:r>
        <w:rPr>
          <w:sz w:val="22"/>
        </w:rPr>
        <w:t>allegations in</w:t>
      </w:r>
      <w:r>
        <w:rPr>
          <w:spacing w:val="-40"/>
          <w:sz w:val="22"/>
        </w:rPr>
        <w:t> </w:t>
      </w:r>
      <w:r>
        <w:rPr>
          <w:sz w:val="22"/>
        </w:rPr>
        <w:t>such</w:t>
      </w:r>
      <w:r>
        <w:rPr>
          <w:spacing w:val="-38"/>
          <w:sz w:val="22"/>
        </w:rPr>
        <w:t> </w:t>
      </w:r>
      <w:r>
        <w:rPr>
          <w:sz w:val="22"/>
        </w:rPr>
        <w:t>letters. The</w:t>
      </w:r>
      <w:r>
        <w:rPr>
          <w:spacing w:val="-39"/>
          <w:sz w:val="22"/>
        </w:rPr>
        <w:t> </w:t>
      </w:r>
      <w:r>
        <w:rPr>
          <w:sz w:val="22"/>
        </w:rPr>
        <w:t>lenders</w:t>
      </w:r>
      <w:r>
        <w:rPr>
          <w:spacing w:val="-38"/>
          <w:sz w:val="22"/>
        </w:rPr>
        <w:t> </w:t>
      </w:r>
      <w:r>
        <w:rPr>
          <w:sz w:val="22"/>
        </w:rPr>
        <w:t>of</w:t>
      </w:r>
      <w:r>
        <w:rPr>
          <w:spacing w:val="-39"/>
          <w:sz w:val="22"/>
        </w:rPr>
        <w:t> </w:t>
      </w:r>
      <w:r>
        <w:rPr>
          <w:sz w:val="22"/>
        </w:rPr>
        <w:t>ISPL</w:t>
      </w:r>
      <w:r>
        <w:rPr>
          <w:spacing w:val="-38"/>
          <w:sz w:val="22"/>
        </w:rPr>
        <w:t> </w:t>
      </w:r>
      <w:r>
        <w:rPr>
          <w:sz w:val="22"/>
        </w:rPr>
        <w:t>have</w:t>
      </w:r>
      <w:r>
        <w:rPr>
          <w:spacing w:val="-38"/>
          <w:sz w:val="22"/>
        </w:rPr>
        <w:t> </w:t>
      </w:r>
      <w:r>
        <w:rPr>
          <w:sz w:val="22"/>
        </w:rPr>
        <w:t>also</w:t>
      </w:r>
      <w:r>
        <w:rPr>
          <w:spacing w:val="-39"/>
          <w:sz w:val="22"/>
        </w:rPr>
        <w:t> </w:t>
      </w:r>
      <w:r>
        <w:rPr>
          <w:sz w:val="22"/>
        </w:rPr>
        <w:t>written</w:t>
      </w:r>
      <w:r>
        <w:rPr>
          <w:spacing w:val="-39"/>
          <w:sz w:val="22"/>
        </w:rPr>
        <w:t> </w:t>
      </w:r>
      <w:r>
        <w:rPr>
          <w:sz w:val="22"/>
        </w:rPr>
        <w:t>to</w:t>
      </w:r>
      <w:r>
        <w:rPr>
          <w:spacing w:val="-38"/>
          <w:sz w:val="22"/>
        </w:rPr>
        <w:t> </w:t>
      </w:r>
      <w:r>
        <w:rPr>
          <w:sz w:val="22"/>
        </w:rPr>
        <w:t>EEPL</w:t>
      </w:r>
      <w:r>
        <w:rPr>
          <w:spacing w:val="-38"/>
          <w:sz w:val="22"/>
        </w:rPr>
        <w:t> </w:t>
      </w:r>
      <w:r>
        <w:rPr>
          <w:sz w:val="22"/>
        </w:rPr>
        <w:t>in</w:t>
      </w:r>
      <w:r>
        <w:rPr>
          <w:spacing w:val="-40"/>
          <w:sz w:val="22"/>
        </w:rPr>
        <w:t> </w:t>
      </w:r>
      <w:r>
        <w:rPr>
          <w:sz w:val="22"/>
        </w:rPr>
        <w:t>relation</w:t>
      </w:r>
      <w:r>
        <w:rPr>
          <w:spacing w:val="-38"/>
          <w:sz w:val="22"/>
        </w:rPr>
        <w:t> </w:t>
      </w:r>
      <w:r>
        <w:rPr>
          <w:sz w:val="22"/>
        </w:rPr>
        <w:t>to</w:t>
      </w:r>
      <w:r>
        <w:rPr>
          <w:spacing w:val="-39"/>
          <w:sz w:val="22"/>
        </w:rPr>
        <w:t> </w:t>
      </w:r>
      <w:r>
        <w:rPr>
          <w:sz w:val="22"/>
        </w:rPr>
        <w:t>certain</w:t>
      </w:r>
      <w:r>
        <w:rPr>
          <w:spacing w:val="-38"/>
          <w:sz w:val="22"/>
        </w:rPr>
        <w:t> </w:t>
      </w:r>
      <w:r>
        <w:rPr>
          <w:sz w:val="22"/>
        </w:rPr>
        <w:t>payments</w:t>
      </w:r>
      <w:r>
        <w:rPr>
          <w:spacing w:val="-39"/>
          <w:sz w:val="22"/>
        </w:rPr>
        <w:t> </w:t>
      </w:r>
      <w:r>
        <w:rPr>
          <w:sz w:val="22"/>
        </w:rPr>
        <w:t>made by EEPL to ISPL under the deferred payment agreement dated March 3, 2017. EEPL has responded</w:t>
      </w:r>
      <w:r>
        <w:rPr>
          <w:spacing w:val="-24"/>
          <w:sz w:val="22"/>
        </w:rPr>
        <w:t> </w:t>
      </w:r>
      <w:r>
        <w:rPr>
          <w:sz w:val="22"/>
        </w:rPr>
        <w:t>to</w:t>
      </w:r>
      <w:r>
        <w:rPr>
          <w:spacing w:val="-24"/>
          <w:sz w:val="22"/>
        </w:rPr>
        <w:t> </w:t>
      </w:r>
      <w:r>
        <w:rPr>
          <w:sz w:val="22"/>
        </w:rPr>
        <w:t>the</w:t>
      </w:r>
      <w:r>
        <w:rPr>
          <w:spacing w:val="-25"/>
          <w:sz w:val="22"/>
        </w:rPr>
        <w:t> </w:t>
      </w:r>
      <w:r>
        <w:rPr>
          <w:sz w:val="22"/>
        </w:rPr>
        <w:t>lenders</w:t>
      </w:r>
      <w:r>
        <w:rPr>
          <w:spacing w:val="-24"/>
          <w:sz w:val="22"/>
        </w:rPr>
        <w:t> </w:t>
      </w:r>
      <w:r>
        <w:rPr>
          <w:sz w:val="22"/>
        </w:rPr>
        <w:t>stating</w:t>
      </w:r>
      <w:r>
        <w:rPr>
          <w:spacing w:val="-25"/>
          <w:sz w:val="22"/>
        </w:rPr>
        <w:t> </w:t>
      </w:r>
      <w:r>
        <w:rPr>
          <w:sz w:val="22"/>
        </w:rPr>
        <w:t>that</w:t>
      </w:r>
      <w:r>
        <w:rPr>
          <w:spacing w:val="-24"/>
          <w:sz w:val="22"/>
        </w:rPr>
        <w:t> </w:t>
      </w:r>
      <w:r>
        <w:rPr>
          <w:sz w:val="22"/>
        </w:rPr>
        <w:t>they</w:t>
      </w:r>
      <w:r>
        <w:rPr>
          <w:spacing w:val="-23"/>
          <w:sz w:val="22"/>
        </w:rPr>
        <w:t> </w:t>
      </w:r>
      <w:r>
        <w:rPr>
          <w:sz w:val="22"/>
        </w:rPr>
        <w:t>are</w:t>
      </w:r>
      <w:r>
        <w:rPr>
          <w:spacing w:val="-25"/>
          <w:sz w:val="22"/>
        </w:rPr>
        <w:t> </w:t>
      </w:r>
      <w:r>
        <w:rPr>
          <w:sz w:val="22"/>
        </w:rPr>
        <w:t>not</w:t>
      </w:r>
      <w:r>
        <w:rPr>
          <w:spacing w:val="-25"/>
          <w:sz w:val="22"/>
        </w:rPr>
        <w:t> </w:t>
      </w:r>
      <w:r>
        <w:rPr>
          <w:sz w:val="22"/>
        </w:rPr>
        <w:t>party</w:t>
      </w:r>
      <w:r>
        <w:rPr>
          <w:spacing w:val="-23"/>
          <w:sz w:val="22"/>
        </w:rPr>
        <w:t> </w:t>
      </w:r>
      <w:r>
        <w:rPr>
          <w:sz w:val="22"/>
        </w:rPr>
        <w:t>to</w:t>
      </w:r>
      <w:r>
        <w:rPr>
          <w:spacing w:val="-26"/>
          <w:sz w:val="22"/>
        </w:rPr>
        <w:t> </w:t>
      </w:r>
      <w:r>
        <w:rPr>
          <w:sz w:val="22"/>
        </w:rPr>
        <w:t>the</w:t>
      </w:r>
      <w:r>
        <w:rPr>
          <w:spacing w:val="-25"/>
          <w:sz w:val="22"/>
        </w:rPr>
        <w:t> </w:t>
      </w:r>
      <w:r>
        <w:rPr>
          <w:sz w:val="22"/>
        </w:rPr>
        <w:t>arrangements</w:t>
      </w:r>
      <w:r>
        <w:rPr>
          <w:spacing w:val="-23"/>
          <w:sz w:val="22"/>
        </w:rPr>
        <w:t> </w:t>
      </w:r>
      <w:r>
        <w:rPr>
          <w:sz w:val="22"/>
        </w:rPr>
        <w:t>between</w:t>
      </w:r>
      <w:r>
        <w:rPr>
          <w:spacing w:val="-25"/>
          <w:sz w:val="22"/>
        </w:rPr>
        <w:t> </w:t>
      </w:r>
      <w:r>
        <w:rPr>
          <w:sz w:val="22"/>
        </w:rPr>
        <w:t>EEPL</w:t>
      </w:r>
      <w:r>
        <w:rPr>
          <w:spacing w:val="-24"/>
          <w:sz w:val="22"/>
        </w:rPr>
        <w:t> </w:t>
      </w:r>
      <w:r>
        <w:rPr>
          <w:sz w:val="22"/>
        </w:rPr>
        <w:t>and ISPL and should approach ISPL</w:t>
      </w:r>
      <w:r>
        <w:rPr>
          <w:spacing w:val="-20"/>
          <w:sz w:val="22"/>
        </w:rPr>
        <w:t> </w:t>
      </w:r>
      <w:r>
        <w:rPr>
          <w:sz w:val="22"/>
        </w:rPr>
        <w:t>directly.</w:t>
      </w:r>
    </w:p>
    <w:p>
      <w:pPr>
        <w:pStyle w:val="ListParagraph"/>
        <w:numPr>
          <w:ilvl w:val="0"/>
          <w:numId w:val="98"/>
        </w:numPr>
        <w:tabs>
          <w:tab w:pos="1977" w:val="left" w:leader="none"/>
        </w:tabs>
        <w:spacing w:line="247" w:lineRule="auto" w:before="178" w:after="0"/>
        <w:ind w:left="1976" w:right="673" w:hanging="576"/>
        <w:jc w:val="both"/>
        <w:rPr>
          <w:sz w:val="22"/>
        </w:rPr>
      </w:pPr>
      <w:r>
        <w:rPr>
          <w:sz w:val="22"/>
        </w:rPr>
        <w:t>The</w:t>
      </w:r>
      <w:r>
        <w:rPr>
          <w:spacing w:val="-33"/>
          <w:sz w:val="22"/>
        </w:rPr>
        <w:t> </w:t>
      </w:r>
      <w:r>
        <w:rPr>
          <w:sz w:val="22"/>
        </w:rPr>
        <w:t>third</w:t>
      </w:r>
      <w:r>
        <w:rPr>
          <w:spacing w:val="-33"/>
          <w:sz w:val="22"/>
        </w:rPr>
        <w:t> </w:t>
      </w:r>
      <w:r>
        <w:rPr>
          <w:sz w:val="22"/>
        </w:rPr>
        <w:t>party</w:t>
      </w:r>
      <w:r>
        <w:rPr>
          <w:spacing w:val="-31"/>
          <w:sz w:val="22"/>
        </w:rPr>
        <w:t> </w:t>
      </w:r>
      <w:r>
        <w:rPr>
          <w:sz w:val="22"/>
        </w:rPr>
        <w:t>sub-contractor</w:t>
      </w:r>
      <w:r>
        <w:rPr>
          <w:spacing w:val="-33"/>
          <w:sz w:val="22"/>
        </w:rPr>
        <w:t> </w:t>
      </w:r>
      <w:r>
        <w:rPr>
          <w:sz w:val="22"/>
        </w:rPr>
        <w:t>has</w:t>
      </w:r>
      <w:r>
        <w:rPr>
          <w:spacing w:val="-31"/>
          <w:sz w:val="22"/>
        </w:rPr>
        <w:t> </w:t>
      </w:r>
      <w:r>
        <w:rPr>
          <w:sz w:val="22"/>
        </w:rPr>
        <w:t>filed</w:t>
      </w:r>
      <w:r>
        <w:rPr>
          <w:spacing w:val="-31"/>
          <w:sz w:val="22"/>
        </w:rPr>
        <w:t> </w:t>
      </w:r>
      <w:r>
        <w:rPr>
          <w:sz w:val="22"/>
        </w:rPr>
        <w:t>an</w:t>
      </w:r>
      <w:r>
        <w:rPr>
          <w:spacing w:val="-32"/>
          <w:sz w:val="22"/>
        </w:rPr>
        <w:t> </w:t>
      </w:r>
      <w:r>
        <w:rPr>
          <w:sz w:val="22"/>
        </w:rPr>
        <w:t>application</w:t>
      </w:r>
      <w:r>
        <w:rPr>
          <w:spacing w:val="-32"/>
          <w:sz w:val="22"/>
        </w:rPr>
        <w:t> </w:t>
      </w:r>
      <w:r>
        <w:rPr>
          <w:sz w:val="22"/>
        </w:rPr>
        <w:t>as</w:t>
      </w:r>
      <w:r>
        <w:rPr>
          <w:spacing w:val="-31"/>
          <w:sz w:val="22"/>
        </w:rPr>
        <w:t> </w:t>
      </w:r>
      <w:r>
        <w:rPr>
          <w:sz w:val="22"/>
        </w:rPr>
        <w:t>an</w:t>
      </w:r>
      <w:r>
        <w:rPr>
          <w:spacing w:val="-33"/>
          <w:sz w:val="22"/>
        </w:rPr>
        <w:t> </w:t>
      </w:r>
      <w:r>
        <w:rPr>
          <w:sz w:val="22"/>
        </w:rPr>
        <w:t>operational</w:t>
      </w:r>
      <w:r>
        <w:rPr>
          <w:spacing w:val="-32"/>
          <w:sz w:val="22"/>
        </w:rPr>
        <w:t> </w:t>
      </w:r>
      <w:r>
        <w:rPr>
          <w:sz w:val="22"/>
        </w:rPr>
        <w:t>creditor</w:t>
      </w:r>
      <w:r>
        <w:rPr>
          <w:spacing w:val="-32"/>
          <w:sz w:val="22"/>
        </w:rPr>
        <w:t> </w:t>
      </w:r>
      <w:r>
        <w:rPr>
          <w:sz w:val="22"/>
        </w:rPr>
        <w:t>for</w:t>
      </w:r>
      <w:r>
        <w:rPr>
          <w:spacing w:val="-32"/>
          <w:sz w:val="22"/>
        </w:rPr>
        <w:t> </w:t>
      </w:r>
      <w:r>
        <w:rPr>
          <w:sz w:val="22"/>
        </w:rPr>
        <w:t>initiation</w:t>
      </w:r>
      <w:r>
        <w:rPr>
          <w:spacing w:val="-32"/>
          <w:sz w:val="22"/>
        </w:rPr>
        <w:t> </w:t>
      </w:r>
      <w:r>
        <w:rPr>
          <w:sz w:val="22"/>
        </w:rPr>
        <w:t>of proceedings under the Insolvency and Bankruptcy Code, 2016 (“Code”) before the NCLT, Bengaluru against EEPL. The matter is in the preliminary hearing stage before the NCLT, Bengaluru and has not been</w:t>
      </w:r>
      <w:r>
        <w:rPr>
          <w:spacing w:val="-15"/>
          <w:sz w:val="22"/>
        </w:rPr>
        <w:t> </w:t>
      </w:r>
      <w:r>
        <w:rPr>
          <w:sz w:val="22"/>
        </w:rPr>
        <w:t>admitted.</w:t>
      </w:r>
    </w:p>
    <w:p>
      <w:pPr>
        <w:pStyle w:val="ListParagraph"/>
        <w:numPr>
          <w:ilvl w:val="0"/>
          <w:numId w:val="98"/>
        </w:numPr>
        <w:tabs>
          <w:tab w:pos="1977" w:val="left" w:leader="none"/>
        </w:tabs>
        <w:spacing w:line="247" w:lineRule="auto" w:before="164" w:after="0"/>
        <w:ind w:left="1976" w:right="674" w:hanging="576"/>
        <w:jc w:val="both"/>
        <w:rPr>
          <w:sz w:val="22"/>
        </w:rPr>
      </w:pPr>
      <w:r>
        <w:rPr>
          <w:sz w:val="22"/>
        </w:rPr>
        <w:t>In</w:t>
      </w:r>
      <w:r>
        <w:rPr>
          <w:spacing w:val="-20"/>
          <w:sz w:val="22"/>
        </w:rPr>
        <w:t> </w:t>
      </w:r>
      <w:r>
        <w:rPr>
          <w:sz w:val="22"/>
        </w:rPr>
        <w:t>relation</w:t>
      </w:r>
      <w:r>
        <w:rPr>
          <w:spacing w:val="-18"/>
          <w:sz w:val="22"/>
        </w:rPr>
        <w:t> </w:t>
      </w:r>
      <w:r>
        <w:rPr>
          <w:sz w:val="22"/>
        </w:rPr>
        <w:t>to</w:t>
      </w:r>
      <w:r>
        <w:rPr>
          <w:spacing w:val="-20"/>
          <w:sz w:val="22"/>
        </w:rPr>
        <w:t> </w:t>
      </w:r>
      <w:r>
        <w:rPr>
          <w:sz w:val="22"/>
        </w:rPr>
        <w:t>Embassy</w:t>
      </w:r>
      <w:r>
        <w:rPr>
          <w:spacing w:val="-18"/>
          <w:sz w:val="22"/>
        </w:rPr>
        <w:t> </w:t>
      </w:r>
      <w:r>
        <w:rPr>
          <w:sz w:val="22"/>
        </w:rPr>
        <w:t>Energy,</w:t>
      </w:r>
      <w:r>
        <w:rPr>
          <w:spacing w:val="-20"/>
          <w:sz w:val="22"/>
        </w:rPr>
        <w:t> </w:t>
      </w:r>
      <w:r>
        <w:rPr>
          <w:sz w:val="22"/>
        </w:rPr>
        <w:t>ISPL</w:t>
      </w:r>
      <w:r>
        <w:rPr>
          <w:spacing w:val="-19"/>
          <w:sz w:val="22"/>
        </w:rPr>
        <w:t> </w:t>
      </w:r>
      <w:r>
        <w:rPr>
          <w:sz w:val="22"/>
        </w:rPr>
        <w:t>has</w:t>
      </w:r>
      <w:r>
        <w:rPr>
          <w:spacing w:val="-19"/>
          <w:sz w:val="22"/>
        </w:rPr>
        <w:t> </w:t>
      </w:r>
      <w:r>
        <w:rPr>
          <w:sz w:val="22"/>
        </w:rPr>
        <w:t>identified</w:t>
      </w:r>
      <w:r>
        <w:rPr>
          <w:spacing w:val="-19"/>
          <w:sz w:val="22"/>
        </w:rPr>
        <w:t> </w:t>
      </w:r>
      <w:r>
        <w:rPr>
          <w:sz w:val="22"/>
        </w:rPr>
        <w:t>465.77</w:t>
      </w:r>
      <w:r>
        <w:rPr>
          <w:spacing w:val="-20"/>
          <w:sz w:val="22"/>
        </w:rPr>
        <w:t> </w:t>
      </w:r>
      <w:r>
        <w:rPr>
          <w:sz w:val="22"/>
        </w:rPr>
        <w:t>acres</w:t>
      </w:r>
      <w:r>
        <w:rPr>
          <w:spacing w:val="-18"/>
          <w:sz w:val="22"/>
        </w:rPr>
        <w:t> </w:t>
      </w:r>
      <w:r>
        <w:rPr>
          <w:sz w:val="22"/>
        </w:rPr>
        <w:t>of</w:t>
      </w:r>
      <w:r>
        <w:rPr>
          <w:spacing w:val="-19"/>
          <w:sz w:val="22"/>
        </w:rPr>
        <w:t> </w:t>
      </w:r>
      <w:r>
        <w:rPr>
          <w:sz w:val="22"/>
        </w:rPr>
        <w:t>land</w:t>
      </w:r>
      <w:r>
        <w:rPr>
          <w:spacing w:val="-20"/>
          <w:sz w:val="22"/>
        </w:rPr>
        <w:t> </w:t>
      </w:r>
      <w:r>
        <w:rPr>
          <w:sz w:val="22"/>
        </w:rPr>
        <w:t>for</w:t>
      </w:r>
      <w:r>
        <w:rPr>
          <w:spacing w:val="-17"/>
          <w:sz w:val="22"/>
        </w:rPr>
        <w:t> </w:t>
      </w:r>
      <w:r>
        <w:rPr>
          <w:sz w:val="22"/>
        </w:rPr>
        <w:t>Embassy</w:t>
      </w:r>
      <w:r>
        <w:rPr>
          <w:spacing w:val="-19"/>
          <w:sz w:val="22"/>
        </w:rPr>
        <w:t> </w:t>
      </w:r>
      <w:r>
        <w:rPr>
          <w:sz w:val="22"/>
        </w:rPr>
        <w:t>Energy.</w:t>
      </w:r>
      <w:r>
        <w:rPr>
          <w:spacing w:val="-19"/>
          <w:sz w:val="22"/>
        </w:rPr>
        <w:t> </w:t>
      </w:r>
      <w:r>
        <w:rPr>
          <w:sz w:val="22"/>
        </w:rPr>
        <w:t>The approval</w:t>
      </w:r>
      <w:r>
        <w:rPr>
          <w:spacing w:val="-27"/>
          <w:sz w:val="22"/>
        </w:rPr>
        <w:t> </w:t>
      </w:r>
      <w:r>
        <w:rPr>
          <w:sz w:val="22"/>
        </w:rPr>
        <w:t>obtained</w:t>
      </w:r>
      <w:r>
        <w:rPr>
          <w:spacing w:val="-27"/>
          <w:sz w:val="22"/>
        </w:rPr>
        <w:t> </w:t>
      </w:r>
      <w:r>
        <w:rPr>
          <w:sz w:val="22"/>
        </w:rPr>
        <w:t>by</w:t>
      </w:r>
      <w:r>
        <w:rPr>
          <w:spacing w:val="-26"/>
          <w:sz w:val="22"/>
        </w:rPr>
        <w:t> </w:t>
      </w:r>
      <w:r>
        <w:rPr>
          <w:sz w:val="22"/>
        </w:rPr>
        <w:t>EEPL</w:t>
      </w:r>
      <w:r>
        <w:rPr>
          <w:spacing w:val="-27"/>
          <w:sz w:val="22"/>
        </w:rPr>
        <w:t> </w:t>
      </w:r>
      <w:r>
        <w:rPr>
          <w:sz w:val="22"/>
        </w:rPr>
        <w:t>from</w:t>
      </w:r>
      <w:r>
        <w:rPr>
          <w:spacing w:val="-27"/>
          <w:sz w:val="22"/>
        </w:rPr>
        <w:t> </w:t>
      </w:r>
      <w:r>
        <w:rPr>
          <w:sz w:val="22"/>
        </w:rPr>
        <w:t>the</w:t>
      </w:r>
      <w:r>
        <w:rPr>
          <w:spacing w:val="-27"/>
          <w:sz w:val="22"/>
        </w:rPr>
        <w:t> </w:t>
      </w:r>
      <w:r>
        <w:rPr>
          <w:sz w:val="22"/>
        </w:rPr>
        <w:t>Government</w:t>
      </w:r>
      <w:r>
        <w:rPr>
          <w:spacing w:val="-26"/>
          <w:sz w:val="22"/>
        </w:rPr>
        <w:t> </w:t>
      </w:r>
      <w:r>
        <w:rPr>
          <w:sz w:val="22"/>
        </w:rPr>
        <w:t>of</w:t>
      </w:r>
      <w:r>
        <w:rPr>
          <w:spacing w:val="-26"/>
          <w:sz w:val="22"/>
        </w:rPr>
        <w:t> </w:t>
      </w:r>
      <w:r>
        <w:rPr>
          <w:sz w:val="22"/>
        </w:rPr>
        <w:t>Karnataka</w:t>
      </w:r>
      <w:r>
        <w:rPr>
          <w:spacing w:val="-28"/>
          <w:sz w:val="22"/>
        </w:rPr>
        <w:t> </w:t>
      </w:r>
      <w:r>
        <w:rPr>
          <w:sz w:val="22"/>
        </w:rPr>
        <w:t>for</w:t>
      </w:r>
      <w:r>
        <w:rPr>
          <w:spacing w:val="-25"/>
          <w:sz w:val="22"/>
        </w:rPr>
        <w:t> </w:t>
      </w:r>
      <w:r>
        <w:rPr>
          <w:sz w:val="22"/>
        </w:rPr>
        <w:t>the</w:t>
      </w:r>
      <w:r>
        <w:rPr>
          <w:spacing w:val="-28"/>
          <w:sz w:val="22"/>
        </w:rPr>
        <w:t> </w:t>
      </w:r>
      <w:r>
        <w:rPr>
          <w:sz w:val="22"/>
        </w:rPr>
        <w:t>establishment</w:t>
      </w:r>
      <w:r>
        <w:rPr>
          <w:spacing w:val="-27"/>
          <w:sz w:val="22"/>
        </w:rPr>
        <w:t> </w:t>
      </w:r>
      <w:r>
        <w:rPr>
          <w:sz w:val="22"/>
        </w:rPr>
        <w:t>of</w:t>
      </w:r>
      <w:r>
        <w:rPr>
          <w:spacing w:val="-26"/>
          <w:sz w:val="22"/>
        </w:rPr>
        <w:t> </w:t>
      </w:r>
      <w:r>
        <w:rPr>
          <w:sz w:val="22"/>
        </w:rPr>
        <w:t>Embassy Energy</w:t>
      </w:r>
      <w:r>
        <w:rPr>
          <w:spacing w:val="-39"/>
          <w:sz w:val="22"/>
        </w:rPr>
        <w:t> </w:t>
      </w:r>
      <w:r>
        <w:rPr>
          <w:sz w:val="22"/>
        </w:rPr>
        <w:t>requires</w:t>
      </w:r>
      <w:r>
        <w:rPr>
          <w:spacing w:val="-39"/>
          <w:sz w:val="22"/>
        </w:rPr>
        <w:t> </w:t>
      </w:r>
      <w:r>
        <w:rPr>
          <w:sz w:val="22"/>
        </w:rPr>
        <w:t>that</w:t>
      </w:r>
      <w:r>
        <w:rPr>
          <w:spacing w:val="-39"/>
          <w:sz w:val="22"/>
        </w:rPr>
        <w:t> </w:t>
      </w:r>
      <w:r>
        <w:rPr>
          <w:sz w:val="22"/>
        </w:rPr>
        <w:t>the</w:t>
      </w:r>
      <w:r>
        <w:rPr>
          <w:spacing w:val="-40"/>
          <w:sz w:val="22"/>
        </w:rPr>
        <w:t> </w:t>
      </w:r>
      <w:r>
        <w:rPr>
          <w:sz w:val="22"/>
        </w:rPr>
        <w:t>land</w:t>
      </w:r>
      <w:r>
        <w:rPr>
          <w:spacing w:val="-39"/>
          <w:sz w:val="22"/>
        </w:rPr>
        <w:t> </w:t>
      </w:r>
      <w:r>
        <w:rPr>
          <w:sz w:val="22"/>
        </w:rPr>
        <w:t>is</w:t>
      </w:r>
      <w:r>
        <w:rPr>
          <w:spacing w:val="-41"/>
          <w:sz w:val="22"/>
        </w:rPr>
        <w:t> </w:t>
      </w:r>
      <w:r>
        <w:rPr>
          <w:sz w:val="22"/>
        </w:rPr>
        <w:t>purchased</w:t>
      </w:r>
      <w:r>
        <w:rPr>
          <w:spacing w:val="-38"/>
          <w:sz w:val="22"/>
        </w:rPr>
        <w:t> </w:t>
      </w:r>
      <w:r>
        <w:rPr>
          <w:sz w:val="22"/>
        </w:rPr>
        <w:t>and</w:t>
      </w:r>
      <w:r>
        <w:rPr>
          <w:spacing w:val="-41"/>
          <w:sz w:val="22"/>
        </w:rPr>
        <w:t> </w:t>
      </w:r>
      <w:r>
        <w:rPr>
          <w:sz w:val="22"/>
        </w:rPr>
        <w:t>the</w:t>
      </w:r>
      <w:r>
        <w:rPr>
          <w:spacing w:val="-41"/>
          <w:sz w:val="22"/>
        </w:rPr>
        <w:t> </w:t>
      </w:r>
      <w:r>
        <w:rPr>
          <w:sz w:val="22"/>
        </w:rPr>
        <w:t>solar</w:t>
      </w:r>
      <w:r>
        <w:rPr>
          <w:spacing w:val="-40"/>
          <w:sz w:val="22"/>
        </w:rPr>
        <w:t> </w:t>
      </w:r>
      <w:r>
        <w:rPr>
          <w:sz w:val="22"/>
        </w:rPr>
        <w:t>project</w:t>
      </w:r>
      <w:r>
        <w:rPr>
          <w:spacing w:val="-39"/>
          <w:sz w:val="22"/>
        </w:rPr>
        <w:t> </w:t>
      </w:r>
      <w:r>
        <w:rPr>
          <w:sz w:val="22"/>
        </w:rPr>
        <w:t>is</w:t>
      </w:r>
      <w:r>
        <w:rPr>
          <w:spacing w:val="-39"/>
          <w:sz w:val="22"/>
        </w:rPr>
        <w:t> </w:t>
      </w:r>
      <w:r>
        <w:rPr>
          <w:sz w:val="22"/>
        </w:rPr>
        <w:t>established</w:t>
      </w:r>
      <w:r>
        <w:rPr>
          <w:spacing w:val="-39"/>
          <w:sz w:val="22"/>
        </w:rPr>
        <w:t> </w:t>
      </w:r>
      <w:r>
        <w:rPr>
          <w:sz w:val="22"/>
        </w:rPr>
        <w:t>only</w:t>
      </w:r>
      <w:r>
        <w:rPr>
          <w:spacing w:val="-39"/>
          <w:sz w:val="22"/>
        </w:rPr>
        <w:t> </w:t>
      </w:r>
      <w:r>
        <w:rPr>
          <w:sz w:val="22"/>
        </w:rPr>
        <w:t>after</w:t>
      </w:r>
      <w:r>
        <w:rPr>
          <w:spacing w:val="-39"/>
          <w:sz w:val="22"/>
        </w:rPr>
        <w:t> </w:t>
      </w:r>
      <w:r>
        <w:rPr>
          <w:sz w:val="22"/>
        </w:rPr>
        <w:t>obtaining conversion of the use of the land for non-agricultural purposes. EEPL is required to obtain approval</w:t>
      </w:r>
      <w:r>
        <w:rPr>
          <w:spacing w:val="-22"/>
          <w:sz w:val="22"/>
        </w:rPr>
        <w:t> </w:t>
      </w:r>
      <w:r>
        <w:rPr>
          <w:sz w:val="22"/>
        </w:rPr>
        <w:t>from</w:t>
      </w:r>
      <w:r>
        <w:rPr>
          <w:spacing w:val="-21"/>
          <w:sz w:val="22"/>
        </w:rPr>
        <w:t> </w:t>
      </w:r>
      <w:r>
        <w:rPr>
          <w:sz w:val="22"/>
        </w:rPr>
        <w:t>the</w:t>
      </w:r>
      <w:r>
        <w:rPr>
          <w:spacing w:val="-21"/>
          <w:sz w:val="22"/>
        </w:rPr>
        <w:t> </w:t>
      </w:r>
      <w:r>
        <w:rPr>
          <w:sz w:val="22"/>
        </w:rPr>
        <w:t>local</w:t>
      </w:r>
      <w:r>
        <w:rPr>
          <w:spacing w:val="-21"/>
          <w:sz w:val="22"/>
        </w:rPr>
        <w:t> </w:t>
      </w:r>
      <w:r>
        <w:rPr>
          <w:sz w:val="22"/>
        </w:rPr>
        <w:t>authorities</w:t>
      </w:r>
      <w:r>
        <w:rPr>
          <w:spacing w:val="-19"/>
          <w:sz w:val="22"/>
        </w:rPr>
        <w:t> </w:t>
      </w:r>
      <w:r>
        <w:rPr>
          <w:sz w:val="22"/>
        </w:rPr>
        <w:t>to</w:t>
      </w:r>
      <w:r>
        <w:rPr>
          <w:spacing w:val="-22"/>
          <w:sz w:val="22"/>
        </w:rPr>
        <w:t> </w:t>
      </w:r>
      <w:r>
        <w:rPr>
          <w:sz w:val="22"/>
        </w:rPr>
        <w:t>purchase</w:t>
      </w:r>
      <w:r>
        <w:rPr>
          <w:spacing w:val="-21"/>
          <w:sz w:val="22"/>
        </w:rPr>
        <w:t> </w:t>
      </w:r>
      <w:r>
        <w:rPr>
          <w:sz w:val="22"/>
        </w:rPr>
        <w:t>the</w:t>
      </w:r>
      <w:r>
        <w:rPr>
          <w:spacing w:val="-21"/>
          <w:sz w:val="22"/>
        </w:rPr>
        <w:t> </w:t>
      </w:r>
      <w:r>
        <w:rPr>
          <w:sz w:val="22"/>
        </w:rPr>
        <w:t>land</w:t>
      </w:r>
      <w:r>
        <w:rPr>
          <w:spacing w:val="-20"/>
          <w:sz w:val="22"/>
        </w:rPr>
        <w:t> </w:t>
      </w:r>
      <w:r>
        <w:rPr>
          <w:sz w:val="22"/>
        </w:rPr>
        <w:t>for</w:t>
      </w:r>
      <w:r>
        <w:rPr>
          <w:spacing w:val="-21"/>
          <w:sz w:val="22"/>
        </w:rPr>
        <w:t> </w:t>
      </w:r>
      <w:r>
        <w:rPr>
          <w:sz w:val="22"/>
        </w:rPr>
        <w:t>the</w:t>
      </w:r>
      <w:r>
        <w:rPr>
          <w:spacing w:val="-23"/>
          <w:sz w:val="22"/>
        </w:rPr>
        <w:t> </w:t>
      </w:r>
      <w:r>
        <w:rPr>
          <w:sz w:val="22"/>
        </w:rPr>
        <w:t>solar</w:t>
      </w:r>
      <w:r>
        <w:rPr>
          <w:spacing w:val="-21"/>
          <w:sz w:val="22"/>
        </w:rPr>
        <w:t> </w:t>
      </w:r>
      <w:r>
        <w:rPr>
          <w:sz w:val="22"/>
        </w:rPr>
        <w:t>project</w:t>
      </w:r>
      <w:r>
        <w:rPr>
          <w:spacing w:val="-21"/>
          <w:sz w:val="22"/>
        </w:rPr>
        <w:t> </w:t>
      </w:r>
      <w:r>
        <w:rPr>
          <w:sz w:val="22"/>
        </w:rPr>
        <w:t>under</w:t>
      </w:r>
      <w:r>
        <w:rPr>
          <w:spacing w:val="-21"/>
          <w:sz w:val="22"/>
        </w:rPr>
        <w:t> </w:t>
      </w:r>
      <w:r>
        <w:rPr>
          <w:sz w:val="22"/>
        </w:rPr>
        <w:t>Section</w:t>
      </w:r>
      <w:r>
        <w:rPr>
          <w:spacing w:val="-21"/>
          <w:sz w:val="22"/>
        </w:rPr>
        <w:t> </w:t>
      </w:r>
      <w:r>
        <w:rPr>
          <w:sz w:val="22"/>
        </w:rPr>
        <w:t>109</w:t>
      </w:r>
    </w:p>
    <w:p>
      <w:pPr>
        <w:spacing w:after="0" w:line="247" w:lineRule="auto"/>
        <w:jc w:val="both"/>
        <w:rPr>
          <w:sz w:val="22"/>
        </w:rPr>
        <w:sectPr>
          <w:pgSz w:w="11910" w:h="16840"/>
          <w:pgMar w:header="720" w:footer="862" w:top="1660" w:bottom="1060" w:left="40" w:right="40"/>
        </w:sectPr>
      </w:pPr>
    </w:p>
    <w:p>
      <w:pPr>
        <w:pStyle w:val="BodyText"/>
        <w:spacing w:before="7"/>
        <w:rPr>
          <w:sz w:val="9"/>
        </w:rPr>
      </w:pPr>
    </w:p>
    <w:p>
      <w:pPr>
        <w:spacing w:after="0"/>
        <w:rPr>
          <w:sz w:val="9"/>
        </w:rPr>
        <w:sectPr>
          <w:pgSz w:w="11910" w:h="16840"/>
          <w:pgMar w:header="720" w:footer="862" w:top="1660" w:bottom="1060" w:left="40" w:right="40"/>
        </w:sect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4"/>
        <w:rPr>
          <w:sz w:val="31"/>
        </w:rPr>
      </w:pPr>
    </w:p>
    <w:p>
      <w:pPr>
        <w:pStyle w:val="ListParagraph"/>
        <w:numPr>
          <w:ilvl w:val="0"/>
          <w:numId w:val="96"/>
        </w:numPr>
        <w:tabs>
          <w:tab w:pos="1400" w:val="left" w:leader="none"/>
          <w:tab w:pos="1401" w:val="left" w:leader="none"/>
        </w:tabs>
        <w:spacing w:line="240" w:lineRule="auto" w:before="0" w:after="0"/>
        <w:ind w:left="1400" w:right="0" w:hanging="721"/>
        <w:jc w:val="left"/>
        <w:rPr>
          <w:sz w:val="22"/>
        </w:rPr>
      </w:pPr>
      <w:r>
        <w:rPr>
          <w:spacing w:val="-5"/>
          <w:w w:val="105"/>
          <w:sz w:val="22"/>
        </w:rPr>
        <w:t>GLSP</w:t>
      </w:r>
    </w:p>
    <w:p>
      <w:pPr>
        <w:pStyle w:val="BodyText"/>
        <w:spacing w:line="247" w:lineRule="auto" w:before="106"/>
        <w:ind w:left="29" w:right="675"/>
        <w:jc w:val="both"/>
      </w:pPr>
      <w:r>
        <w:rPr/>
        <w:br w:type="column"/>
      </w:r>
      <w:r>
        <w:rPr/>
        <w:t>of</w:t>
      </w:r>
      <w:r>
        <w:rPr>
          <w:spacing w:val="-9"/>
        </w:rPr>
        <w:t> </w:t>
      </w:r>
      <w:r>
        <w:rPr/>
        <w:t>the</w:t>
      </w:r>
      <w:r>
        <w:rPr>
          <w:spacing w:val="-11"/>
        </w:rPr>
        <w:t> </w:t>
      </w:r>
      <w:r>
        <w:rPr/>
        <w:t>Karnataka</w:t>
      </w:r>
      <w:r>
        <w:rPr>
          <w:spacing w:val="-10"/>
        </w:rPr>
        <w:t> </w:t>
      </w:r>
      <w:r>
        <w:rPr/>
        <w:t>Land</w:t>
      </w:r>
      <w:r>
        <w:rPr>
          <w:spacing w:val="-8"/>
        </w:rPr>
        <w:t> </w:t>
      </w:r>
      <w:r>
        <w:rPr/>
        <w:t>Reforms</w:t>
      </w:r>
      <w:r>
        <w:rPr>
          <w:spacing w:val="-10"/>
        </w:rPr>
        <w:t> </w:t>
      </w:r>
      <w:r>
        <w:rPr/>
        <w:t>Act,</w:t>
      </w:r>
      <w:r>
        <w:rPr>
          <w:spacing w:val="-10"/>
        </w:rPr>
        <w:t> </w:t>
      </w:r>
      <w:r>
        <w:rPr/>
        <w:t>1961</w:t>
      </w:r>
      <w:r>
        <w:rPr>
          <w:spacing w:val="-12"/>
        </w:rPr>
        <w:t> </w:t>
      </w:r>
      <w:r>
        <w:rPr/>
        <w:t>which</w:t>
      </w:r>
      <w:r>
        <w:rPr>
          <w:spacing w:val="-10"/>
        </w:rPr>
        <w:t> </w:t>
      </w:r>
      <w:r>
        <w:rPr/>
        <w:t>is</w:t>
      </w:r>
      <w:r>
        <w:rPr>
          <w:spacing w:val="-9"/>
        </w:rPr>
        <w:t> </w:t>
      </w:r>
      <w:r>
        <w:rPr/>
        <w:t>deemed</w:t>
      </w:r>
      <w:r>
        <w:rPr>
          <w:spacing w:val="-9"/>
        </w:rPr>
        <w:t> </w:t>
      </w:r>
      <w:r>
        <w:rPr/>
        <w:t>conversion</w:t>
      </w:r>
      <w:r>
        <w:rPr>
          <w:spacing w:val="-10"/>
        </w:rPr>
        <w:t> </w:t>
      </w:r>
      <w:r>
        <w:rPr/>
        <w:t>of</w:t>
      </w:r>
      <w:r>
        <w:rPr>
          <w:spacing w:val="-12"/>
        </w:rPr>
        <w:t> </w:t>
      </w:r>
      <w:r>
        <w:rPr/>
        <w:t>agricultural</w:t>
      </w:r>
      <w:r>
        <w:rPr>
          <w:spacing w:val="-10"/>
        </w:rPr>
        <w:t> </w:t>
      </w:r>
      <w:r>
        <w:rPr/>
        <w:t>land</w:t>
      </w:r>
      <w:r>
        <w:rPr>
          <w:spacing w:val="-9"/>
        </w:rPr>
        <w:t> </w:t>
      </w:r>
      <w:r>
        <w:rPr/>
        <w:t>and no further approvals are necessary. EEPL directly or through land aggregators has executed agreements</w:t>
      </w:r>
      <w:r>
        <w:rPr>
          <w:spacing w:val="-14"/>
        </w:rPr>
        <w:t> </w:t>
      </w:r>
      <w:r>
        <w:rPr/>
        <w:t>for</w:t>
      </w:r>
      <w:r>
        <w:rPr>
          <w:spacing w:val="-14"/>
        </w:rPr>
        <w:t> </w:t>
      </w:r>
      <w:r>
        <w:rPr/>
        <w:t>sale</w:t>
      </w:r>
      <w:r>
        <w:rPr>
          <w:spacing w:val="-14"/>
        </w:rPr>
        <w:t> </w:t>
      </w:r>
      <w:r>
        <w:rPr/>
        <w:t>and</w:t>
      </w:r>
      <w:r>
        <w:rPr>
          <w:spacing w:val="-14"/>
        </w:rPr>
        <w:t> </w:t>
      </w:r>
      <w:r>
        <w:rPr/>
        <w:t>powers</w:t>
      </w:r>
      <w:r>
        <w:rPr>
          <w:spacing w:val="-14"/>
        </w:rPr>
        <w:t> </w:t>
      </w:r>
      <w:r>
        <w:rPr/>
        <w:t>of</w:t>
      </w:r>
      <w:r>
        <w:rPr>
          <w:spacing w:val="-12"/>
        </w:rPr>
        <w:t> </w:t>
      </w:r>
      <w:r>
        <w:rPr/>
        <w:t>attorney</w:t>
      </w:r>
      <w:r>
        <w:rPr>
          <w:spacing w:val="-12"/>
        </w:rPr>
        <w:t> </w:t>
      </w:r>
      <w:r>
        <w:rPr/>
        <w:t>with</w:t>
      </w:r>
      <w:r>
        <w:rPr>
          <w:spacing w:val="-13"/>
        </w:rPr>
        <w:t> </w:t>
      </w:r>
      <w:r>
        <w:rPr/>
        <w:t>various</w:t>
      </w:r>
      <w:r>
        <w:rPr>
          <w:spacing w:val="-12"/>
        </w:rPr>
        <w:t> </w:t>
      </w:r>
      <w:r>
        <w:rPr/>
        <w:t>land</w:t>
      </w:r>
      <w:r>
        <w:rPr>
          <w:spacing w:val="-12"/>
        </w:rPr>
        <w:t> </w:t>
      </w:r>
      <w:r>
        <w:rPr/>
        <w:t>owners</w:t>
      </w:r>
      <w:r>
        <w:rPr>
          <w:spacing w:val="-14"/>
        </w:rPr>
        <w:t> </w:t>
      </w:r>
      <w:r>
        <w:rPr/>
        <w:t>for</w:t>
      </w:r>
      <w:r>
        <w:rPr>
          <w:spacing w:val="-13"/>
        </w:rPr>
        <w:t> </w:t>
      </w:r>
      <w:r>
        <w:rPr/>
        <w:t>465.77</w:t>
      </w:r>
      <w:r>
        <w:rPr>
          <w:spacing w:val="-14"/>
        </w:rPr>
        <w:t> </w:t>
      </w:r>
      <w:r>
        <w:rPr/>
        <w:t>acres</w:t>
      </w:r>
      <w:r>
        <w:rPr>
          <w:spacing w:val="-11"/>
        </w:rPr>
        <w:t> </w:t>
      </w:r>
      <w:r>
        <w:rPr/>
        <w:t>of</w:t>
      </w:r>
      <w:r>
        <w:rPr>
          <w:spacing w:val="-13"/>
        </w:rPr>
        <w:t> </w:t>
      </w:r>
      <w:r>
        <w:rPr/>
        <w:t>land. Applications</w:t>
      </w:r>
      <w:r>
        <w:rPr>
          <w:spacing w:val="-13"/>
        </w:rPr>
        <w:t> </w:t>
      </w:r>
      <w:r>
        <w:rPr/>
        <w:t>for</w:t>
      </w:r>
      <w:r>
        <w:rPr>
          <w:spacing w:val="-14"/>
        </w:rPr>
        <w:t> </w:t>
      </w:r>
      <w:r>
        <w:rPr/>
        <w:t>approval</w:t>
      </w:r>
      <w:r>
        <w:rPr>
          <w:spacing w:val="-14"/>
        </w:rPr>
        <w:t> </w:t>
      </w:r>
      <w:r>
        <w:rPr/>
        <w:t>under</w:t>
      </w:r>
      <w:r>
        <w:rPr>
          <w:spacing w:val="-14"/>
        </w:rPr>
        <w:t> </w:t>
      </w:r>
      <w:r>
        <w:rPr/>
        <w:t>Section</w:t>
      </w:r>
      <w:r>
        <w:rPr>
          <w:spacing w:val="-14"/>
        </w:rPr>
        <w:t> </w:t>
      </w:r>
      <w:r>
        <w:rPr/>
        <w:t>109</w:t>
      </w:r>
      <w:r>
        <w:rPr>
          <w:spacing w:val="-14"/>
        </w:rPr>
        <w:t> </w:t>
      </w:r>
      <w:r>
        <w:rPr/>
        <w:t>have</w:t>
      </w:r>
      <w:r>
        <w:rPr>
          <w:spacing w:val="-11"/>
        </w:rPr>
        <w:t> </w:t>
      </w:r>
      <w:r>
        <w:rPr/>
        <w:t>been</w:t>
      </w:r>
      <w:r>
        <w:rPr>
          <w:spacing w:val="-14"/>
        </w:rPr>
        <w:t> </w:t>
      </w:r>
      <w:r>
        <w:rPr/>
        <w:t>made</w:t>
      </w:r>
      <w:r>
        <w:rPr>
          <w:spacing w:val="-14"/>
        </w:rPr>
        <w:t> </w:t>
      </w:r>
      <w:r>
        <w:rPr/>
        <w:t>for</w:t>
      </w:r>
      <w:r>
        <w:rPr>
          <w:spacing w:val="-14"/>
        </w:rPr>
        <w:t> </w:t>
      </w:r>
      <w:r>
        <w:rPr/>
        <w:t>464.51</w:t>
      </w:r>
      <w:r>
        <w:rPr>
          <w:spacing w:val="-14"/>
        </w:rPr>
        <w:t> </w:t>
      </w:r>
      <w:r>
        <w:rPr/>
        <w:t>acres</w:t>
      </w:r>
      <w:r>
        <w:rPr>
          <w:spacing w:val="-12"/>
        </w:rPr>
        <w:t> </w:t>
      </w:r>
      <w:r>
        <w:rPr/>
        <w:t>of</w:t>
      </w:r>
      <w:r>
        <w:rPr>
          <w:spacing w:val="-12"/>
        </w:rPr>
        <w:t> </w:t>
      </w:r>
      <w:r>
        <w:rPr/>
        <w:t>land</w:t>
      </w:r>
      <w:r>
        <w:rPr>
          <w:spacing w:val="-13"/>
        </w:rPr>
        <w:t> </w:t>
      </w:r>
      <w:r>
        <w:rPr/>
        <w:t>and</w:t>
      </w:r>
      <w:r>
        <w:rPr>
          <w:spacing w:val="-15"/>
        </w:rPr>
        <w:t> </w:t>
      </w:r>
      <w:r>
        <w:rPr/>
        <w:t>such approvals</w:t>
      </w:r>
      <w:r>
        <w:rPr>
          <w:spacing w:val="11"/>
        </w:rPr>
        <w:t> </w:t>
      </w:r>
      <w:r>
        <w:rPr/>
        <w:t>have</w:t>
      </w:r>
      <w:r>
        <w:rPr>
          <w:spacing w:val="10"/>
        </w:rPr>
        <w:t> </w:t>
      </w:r>
      <w:r>
        <w:rPr/>
        <w:t>been</w:t>
      </w:r>
      <w:r>
        <w:rPr>
          <w:spacing w:val="10"/>
        </w:rPr>
        <w:t> </w:t>
      </w:r>
      <w:r>
        <w:rPr/>
        <w:t>received</w:t>
      </w:r>
      <w:r>
        <w:rPr>
          <w:spacing w:val="12"/>
        </w:rPr>
        <w:t> </w:t>
      </w:r>
      <w:r>
        <w:rPr/>
        <w:t>for</w:t>
      </w:r>
      <w:r>
        <w:rPr>
          <w:spacing w:val="11"/>
        </w:rPr>
        <w:t> </w:t>
      </w:r>
      <w:r>
        <w:rPr/>
        <w:t>442.20</w:t>
      </w:r>
      <w:r>
        <w:rPr>
          <w:spacing w:val="13"/>
        </w:rPr>
        <w:t> </w:t>
      </w:r>
      <w:r>
        <w:rPr/>
        <w:t>acres.</w:t>
      </w:r>
      <w:r>
        <w:rPr>
          <w:spacing w:val="12"/>
        </w:rPr>
        <w:t> </w:t>
      </w:r>
      <w:r>
        <w:rPr/>
        <w:t>EEPL</w:t>
      </w:r>
      <w:r>
        <w:rPr>
          <w:spacing w:val="11"/>
        </w:rPr>
        <w:t> </w:t>
      </w:r>
      <w:r>
        <w:rPr/>
        <w:t>has</w:t>
      </w:r>
      <w:r>
        <w:rPr>
          <w:spacing w:val="12"/>
        </w:rPr>
        <w:t> </w:t>
      </w:r>
      <w:r>
        <w:rPr/>
        <w:t>executed</w:t>
      </w:r>
      <w:r>
        <w:rPr>
          <w:spacing w:val="12"/>
        </w:rPr>
        <w:t> </w:t>
      </w:r>
      <w:r>
        <w:rPr/>
        <w:t>sale</w:t>
      </w:r>
      <w:r>
        <w:rPr>
          <w:spacing w:val="8"/>
        </w:rPr>
        <w:t> </w:t>
      </w:r>
      <w:r>
        <w:rPr/>
        <w:t>deeds</w:t>
      </w:r>
      <w:r>
        <w:rPr>
          <w:spacing w:val="12"/>
        </w:rPr>
        <w:t> </w:t>
      </w:r>
      <w:r>
        <w:rPr/>
        <w:t>in</w:t>
      </w:r>
      <w:r>
        <w:rPr>
          <w:spacing w:val="10"/>
        </w:rPr>
        <w:t> </w:t>
      </w:r>
      <w:r>
        <w:rPr/>
        <w:t>respect</w:t>
      </w:r>
      <w:r>
        <w:rPr>
          <w:spacing w:val="12"/>
        </w:rPr>
        <w:t> </w:t>
      </w:r>
      <w:r>
        <w:rPr/>
        <w:t>of</w:t>
      </w:r>
    </w:p>
    <w:p>
      <w:pPr>
        <w:pStyle w:val="BodyText"/>
        <w:spacing w:line="247" w:lineRule="auto" w:before="2"/>
        <w:ind w:left="29" w:right="674"/>
        <w:jc w:val="both"/>
      </w:pPr>
      <w:r>
        <w:rPr/>
        <w:t>254.47 acres of land. Of the 254.47 acres of land for which sale deeds have been executed, payment of conversion fine is pending.</w:t>
      </w:r>
    </w:p>
    <w:p>
      <w:pPr>
        <w:spacing w:after="0" w:line="247" w:lineRule="auto"/>
        <w:jc w:val="both"/>
        <w:sectPr>
          <w:type w:val="continuous"/>
          <w:pgSz w:w="11910" w:h="16840"/>
          <w:pgMar w:top="800" w:bottom="280" w:left="40" w:right="40"/>
          <w:cols w:num="2" w:equalWidth="0">
            <w:col w:w="1907" w:space="40"/>
            <w:col w:w="9883"/>
          </w:cols>
        </w:sectPr>
      </w:pPr>
    </w:p>
    <w:p>
      <w:pPr>
        <w:pStyle w:val="BodyText"/>
        <w:spacing w:before="9"/>
        <w:rPr>
          <w:sz w:val="10"/>
        </w:rPr>
      </w:pPr>
    </w:p>
    <w:p>
      <w:pPr>
        <w:spacing w:before="106"/>
        <w:ind w:left="1400" w:right="0" w:firstLine="0"/>
        <w:jc w:val="both"/>
        <w:rPr>
          <w:i/>
          <w:sz w:val="22"/>
        </w:rPr>
      </w:pPr>
      <w:r>
        <w:rPr>
          <w:i/>
          <w:sz w:val="22"/>
        </w:rPr>
        <w:t>Regulatory Proceedings</w:t>
      </w:r>
    </w:p>
    <w:p>
      <w:pPr>
        <w:pStyle w:val="BodyText"/>
        <w:spacing w:line="247" w:lineRule="auto" w:before="206"/>
        <w:ind w:left="1400" w:right="677"/>
        <w:jc w:val="both"/>
      </w:pPr>
      <w:r>
        <w:rPr/>
        <w:t>GLSP and its occupier have received a notice in 2017 from the Karnataka State Pollution Control Board stating that the sewage treatment plant at Embassy Golflinks was inspected by the relevant officials</w:t>
      </w:r>
      <w:r>
        <w:rPr>
          <w:spacing w:val="-8"/>
        </w:rPr>
        <w:t> </w:t>
      </w:r>
      <w:r>
        <w:rPr/>
        <w:t>and</w:t>
      </w:r>
      <w:r>
        <w:rPr>
          <w:spacing w:val="-10"/>
        </w:rPr>
        <w:t> </w:t>
      </w:r>
      <w:r>
        <w:rPr/>
        <w:t>was</w:t>
      </w:r>
      <w:r>
        <w:rPr>
          <w:spacing w:val="-9"/>
        </w:rPr>
        <w:t> </w:t>
      </w:r>
      <w:r>
        <w:rPr/>
        <w:t>found</w:t>
      </w:r>
      <w:r>
        <w:rPr>
          <w:spacing w:val="-10"/>
        </w:rPr>
        <w:t> </w:t>
      </w:r>
      <w:r>
        <w:rPr/>
        <w:t>to</w:t>
      </w:r>
      <w:r>
        <w:rPr>
          <w:spacing w:val="-11"/>
        </w:rPr>
        <w:t> </w:t>
      </w:r>
      <w:r>
        <w:rPr/>
        <w:t>not</w:t>
      </w:r>
      <w:r>
        <w:rPr>
          <w:spacing w:val="-10"/>
        </w:rPr>
        <w:t> </w:t>
      </w:r>
      <w:r>
        <w:rPr/>
        <w:t>be</w:t>
      </w:r>
      <w:r>
        <w:rPr>
          <w:spacing w:val="-10"/>
        </w:rPr>
        <w:t> </w:t>
      </w:r>
      <w:r>
        <w:rPr/>
        <w:t>operating</w:t>
      </w:r>
      <w:r>
        <w:rPr>
          <w:spacing w:val="-8"/>
        </w:rPr>
        <w:t> </w:t>
      </w:r>
      <w:r>
        <w:rPr/>
        <w:t>in</w:t>
      </w:r>
      <w:r>
        <w:rPr>
          <w:spacing w:val="-9"/>
        </w:rPr>
        <w:t> </w:t>
      </w:r>
      <w:r>
        <w:rPr/>
        <w:t>accordance</w:t>
      </w:r>
      <w:r>
        <w:rPr>
          <w:spacing w:val="-11"/>
        </w:rPr>
        <w:t> </w:t>
      </w:r>
      <w:r>
        <w:rPr/>
        <w:t>with</w:t>
      </w:r>
      <w:r>
        <w:rPr>
          <w:spacing w:val="-10"/>
        </w:rPr>
        <w:t> </w:t>
      </w:r>
      <w:r>
        <w:rPr/>
        <w:t>the</w:t>
      </w:r>
      <w:r>
        <w:rPr>
          <w:spacing w:val="-11"/>
        </w:rPr>
        <w:t> </w:t>
      </w:r>
      <w:r>
        <w:rPr/>
        <w:t>standards</w:t>
      </w:r>
      <w:r>
        <w:rPr>
          <w:spacing w:val="-9"/>
        </w:rPr>
        <w:t> </w:t>
      </w:r>
      <w:r>
        <w:rPr/>
        <w:t>stipulated</w:t>
      </w:r>
      <w:r>
        <w:rPr>
          <w:spacing w:val="-10"/>
        </w:rPr>
        <w:t> </w:t>
      </w:r>
      <w:r>
        <w:rPr/>
        <w:t>pursuant</w:t>
      </w:r>
      <w:r>
        <w:rPr>
          <w:spacing w:val="-8"/>
        </w:rPr>
        <w:t> </w:t>
      </w:r>
      <w:r>
        <w:rPr/>
        <w:t>to an order passed by the National Green Tribunal and a public notice issued by the Karnataka State Pollution</w:t>
      </w:r>
      <w:r>
        <w:rPr>
          <w:spacing w:val="-6"/>
        </w:rPr>
        <w:t> </w:t>
      </w:r>
      <w:r>
        <w:rPr/>
        <w:t>Control</w:t>
      </w:r>
      <w:r>
        <w:rPr>
          <w:spacing w:val="-4"/>
        </w:rPr>
        <w:t> </w:t>
      </w:r>
      <w:r>
        <w:rPr/>
        <w:t>Board</w:t>
      </w:r>
      <w:r>
        <w:rPr>
          <w:spacing w:val="-1"/>
        </w:rPr>
        <w:t> </w:t>
      </w:r>
      <w:r>
        <w:rPr/>
        <w:t>detailing</w:t>
      </w:r>
      <w:r>
        <w:rPr>
          <w:spacing w:val="1"/>
        </w:rPr>
        <w:t> </w:t>
      </w:r>
      <w:r>
        <w:rPr/>
        <w:t>revised</w:t>
      </w:r>
      <w:r>
        <w:rPr>
          <w:spacing w:val="-5"/>
        </w:rPr>
        <w:t> </w:t>
      </w:r>
      <w:r>
        <w:rPr/>
        <w:t>standards</w:t>
      </w:r>
      <w:r>
        <w:rPr>
          <w:spacing w:val="-5"/>
        </w:rPr>
        <w:t> </w:t>
      </w:r>
      <w:r>
        <w:rPr/>
        <w:t>required</w:t>
      </w:r>
      <w:r>
        <w:rPr>
          <w:spacing w:val="-2"/>
        </w:rPr>
        <w:t> </w:t>
      </w:r>
      <w:r>
        <w:rPr/>
        <w:t>to</w:t>
      </w:r>
      <w:r>
        <w:rPr>
          <w:spacing w:val="-6"/>
        </w:rPr>
        <w:t> </w:t>
      </w:r>
      <w:r>
        <w:rPr/>
        <w:t>be</w:t>
      </w:r>
      <w:r>
        <w:rPr>
          <w:spacing w:val="-4"/>
        </w:rPr>
        <w:t> </w:t>
      </w:r>
      <w:r>
        <w:rPr/>
        <w:t>adopted</w:t>
      </w:r>
      <w:r>
        <w:rPr>
          <w:spacing w:val="-5"/>
        </w:rPr>
        <w:t> </w:t>
      </w:r>
      <w:r>
        <w:rPr/>
        <w:t>for</w:t>
      </w:r>
      <w:r>
        <w:rPr>
          <w:spacing w:val="-4"/>
        </w:rPr>
        <w:t> </w:t>
      </w:r>
      <w:r>
        <w:rPr/>
        <w:t>such</w:t>
      </w:r>
      <w:r>
        <w:rPr>
          <w:spacing w:val="-5"/>
        </w:rPr>
        <w:t> </w:t>
      </w:r>
      <w:r>
        <w:rPr/>
        <w:t>plants</w:t>
      </w:r>
      <w:r>
        <w:rPr>
          <w:spacing w:val="-3"/>
        </w:rPr>
        <w:t> </w:t>
      </w:r>
      <w:r>
        <w:rPr/>
        <w:t>in</w:t>
      </w:r>
      <w:r>
        <w:rPr>
          <w:spacing w:val="-5"/>
        </w:rPr>
        <w:t> </w:t>
      </w:r>
      <w:r>
        <w:rPr/>
        <w:t>2017. GLSP was called upon to show cause as to why action should </w:t>
      </w:r>
      <w:r>
        <w:rPr>
          <w:spacing w:val="3"/>
        </w:rPr>
        <w:t>not </w:t>
      </w:r>
      <w:r>
        <w:rPr/>
        <w:t>be initiated against it under the Water</w:t>
      </w:r>
      <w:r>
        <w:rPr>
          <w:spacing w:val="-28"/>
        </w:rPr>
        <w:t> </w:t>
      </w:r>
      <w:r>
        <w:rPr/>
        <w:t>Act,</w:t>
      </w:r>
      <w:r>
        <w:rPr>
          <w:spacing w:val="-25"/>
        </w:rPr>
        <w:t> </w:t>
      </w:r>
      <w:r>
        <w:rPr/>
        <w:t>1974</w:t>
      </w:r>
      <w:r>
        <w:rPr>
          <w:spacing w:val="-26"/>
        </w:rPr>
        <w:t> </w:t>
      </w:r>
      <w:r>
        <w:rPr/>
        <w:t>and</w:t>
      </w:r>
      <w:r>
        <w:rPr>
          <w:spacing w:val="-25"/>
        </w:rPr>
        <w:t> </w:t>
      </w:r>
      <w:r>
        <w:rPr/>
        <w:t>related</w:t>
      </w:r>
      <w:r>
        <w:rPr>
          <w:spacing w:val="-24"/>
        </w:rPr>
        <w:t> </w:t>
      </w:r>
      <w:r>
        <w:rPr/>
        <w:t>legislations</w:t>
      </w:r>
      <w:r>
        <w:rPr>
          <w:spacing w:val="-27"/>
        </w:rPr>
        <w:t> </w:t>
      </w:r>
      <w:r>
        <w:rPr/>
        <w:t>within</w:t>
      </w:r>
      <w:r>
        <w:rPr>
          <w:spacing w:val="-27"/>
        </w:rPr>
        <w:t> </w:t>
      </w:r>
      <w:r>
        <w:rPr/>
        <w:t>30</w:t>
      </w:r>
      <w:r>
        <w:rPr>
          <w:spacing w:val="-26"/>
        </w:rPr>
        <w:t> </w:t>
      </w:r>
      <w:r>
        <w:rPr/>
        <w:t>days</w:t>
      </w:r>
      <w:r>
        <w:rPr>
          <w:spacing w:val="-26"/>
        </w:rPr>
        <w:t> </w:t>
      </w:r>
      <w:r>
        <w:rPr/>
        <w:t>from</w:t>
      </w:r>
      <w:r>
        <w:rPr>
          <w:spacing w:val="-27"/>
        </w:rPr>
        <w:t> </w:t>
      </w:r>
      <w:r>
        <w:rPr/>
        <w:t>the</w:t>
      </w:r>
      <w:r>
        <w:rPr>
          <w:spacing w:val="-28"/>
        </w:rPr>
        <w:t> </w:t>
      </w:r>
      <w:r>
        <w:rPr/>
        <w:t>date</w:t>
      </w:r>
      <w:r>
        <w:rPr>
          <w:spacing w:val="-28"/>
        </w:rPr>
        <w:t> </w:t>
      </w:r>
      <w:r>
        <w:rPr/>
        <w:t>of</w:t>
      </w:r>
      <w:r>
        <w:rPr>
          <w:spacing w:val="-24"/>
        </w:rPr>
        <w:t> </w:t>
      </w:r>
      <w:r>
        <w:rPr/>
        <w:t>the</w:t>
      </w:r>
      <w:r>
        <w:rPr>
          <w:spacing w:val="-26"/>
        </w:rPr>
        <w:t> </w:t>
      </w:r>
      <w:r>
        <w:rPr/>
        <w:t>notice.</w:t>
      </w:r>
      <w:r>
        <w:rPr>
          <w:spacing w:val="-26"/>
        </w:rPr>
        <w:t> </w:t>
      </w:r>
      <w:r>
        <w:rPr/>
        <w:t>Golflinks</w:t>
      </w:r>
      <w:r>
        <w:rPr>
          <w:spacing w:val="-24"/>
        </w:rPr>
        <w:t> </w:t>
      </w:r>
      <w:r>
        <w:rPr/>
        <w:t>Embassy Business</w:t>
      </w:r>
      <w:r>
        <w:rPr>
          <w:spacing w:val="-23"/>
        </w:rPr>
        <w:t> </w:t>
      </w:r>
      <w:r>
        <w:rPr/>
        <w:t>Park</w:t>
      </w:r>
      <w:r>
        <w:rPr>
          <w:spacing w:val="-22"/>
        </w:rPr>
        <w:t> </w:t>
      </w:r>
      <w:r>
        <w:rPr/>
        <w:t>Management</w:t>
      </w:r>
      <w:r>
        <w:rPr>
          <w:spacing w:val="-21"/>
        </w:rPr>
        <w:t> </w:t>
      </w:r>
      <w:r>
        <w:rPr/>
        <w:t>Services</w:t>
      </w:r>
      <w:r>
        <w:rPr>
          <w:spacing w:val="-23"/>
        </w:rPr>
        <w:t> </w:t>
      </w:r>
      <w:r>
        <w:rPr/>
        <w:t>LLP</w:t>
      </w:r>
      <w:r>
        <w:rPr>
          <w:spacing w:val="-21"/>
        </w:rPr>
        <w:t> </w:t>
      </w:r>
      <w:r>
        <w:rPr/>
        <w:t>has</w:t>
      </w:r>
      <w:r>
        <w:rPr>
          <w:spacing w:val="-20"/>
        </w:rPr>
        <w:t> </w:t>
      </w:r>
      <w:r>
        <w:rPr/>
        <w:t>responded</w:t>
      </w:r>
      <w:r>
        <w:rPr>
          <w:spacing w:val="-22"/>
        </w:rPr>
        <w:t> </w:t>
      </w:r>
      <w:r>
        <w:rPr/>
        <w:t>to</w:t>
      </w:r>
      <w:r>
        <w:rPr>
          <w:spacing w:val="-21"/>
        </w:rPr>
        <w:t> </w:t>
      </w:r>
      <w:r>
        <w:rPr/>
        <w:t>the</w:t>
      </w:r>
      <w:r>
        <w:rPr>
          <w:spacing w:val="-22"/>
        </w:rPr>
        <w:t> </w:t>
      </w:r>
      <w:r>
        <w:rPr/>
        <w:t>notice</w:t>
      </w:r>
      <w:r>
        <w:rPr>
          <w:spacing w:val="-24"/>
        </w:rPr>
        <w:t> </w:t>
      </w:r>
      <w:r>
        <w:rPr/>
        <w:t>stating</w:t>
      </w:r>
      <w:r>
        <w:rPr>
          <w:spacing w:val="-22"/>
        </w:rPr>
        <w:t> </w:t>
      </w:r>
      <w:r>
        <w:rPr/>
        <w:t>that</w:t>
      </w:r>
      <w:r>
        <w:rPr>
          <w:spacing w:val="-21"/>
        </w:rPr>
        <w:t> </w:t>
      </w:r>
      <w:r>
        <w:rPr/>
        <w:t>it</w:t>
      </w:r>
      <w:r>
        <w:rPr>
          <w:spacing w:val="-22"/>
        </w:rPr>
        <w:t> </w:t>
      </w:r>
      <w:r>
        <w:rPr/>
        <w:t>is</w:t>
      </w:r>
      <w:r>
        <w:rPr>
          <w:spacing w:val="-21"/>
        </w:rPr>
        <w:t> </w:t>
      </w:r>
      <w:r>
        <w:rPr/>
        <w:t>in</w:t>
      </w:r>
      <w:r>
        <w:rPr>
          <w:spacing w:val="-23"/>
        </w:rPr>
        <w:t> </w:t>
      </w:r>
      <w:r>
        <w:rPr/>
        <w:t>the</w:t>
      </w:r>
      <w:r>
        <w:rPr>
          <w:spacing w:val="-25"/>
        </w:rPr>
        <w:t> </w:t>
      </w:r>
      <w:r>
        <w:rPr/>
        <w:t>process</w:t>
      </w:r>
      <w:r>
        <w:rPr>
          <w:spacing w:val="-22"/>
        </w:rPr>
        <w:t> </w:t>
      </w:r>
      <w:r>
        <w:rPr/>
        <w:t>of complying</w:t>
      </w:r>
      <w:r>
        <w:rPr>
          <w:spacing w:val="-12"/>
        </w:rPr>
        <w:t> </w:t>
      </w:r>
      <w:r>
        <w:rPr/>
        <w:t>with</w:t>
      </w:r>
      <w:r>
        <w:rPr>
          <w:spacing w:val="-12"/>
        </w:rPr>
        <w:t> </w:t>
      </w:r>
      <w:r>
        <w:rPr/>
        <w:t>the</w:t>
      </w:r>
      <w:r>
        <w:rPr>
          <w:spacing w:val="-11"/>
        </w:rPr>
        <w:t> </w:t>
      </w:r>
      <w:r>
        <w:rPr/>
        <w:t>observations</w:t>
      </w:r>
      <w:r>
        <w:rPr>
          <w:spacing w:val="-11"/>
        </w:rPr>
        <w:t> </w:t>
      </w:r>
      <w:r>
        <w:rPr/>
        <w:t>and</w:t>
      </w:r>
      <w:r>
        <w:rPr>
          <w:spacing w:val="-10"/>
        </w:rPr>
        <w:t> </w:t>
      </w:r>
      <w:r>
        <w:rPr/>
        <w:t>requesting</w:t>
      </w:r>
      <w:r>
        <w:rPr>
          <w:spacing w:val="-11"/>
        </w:rPr>
        <w:t> </w:t>
      </w:r>
      <w:r>
        <w:rPr/>
        <w:t>for</w:t>
      </w:r>
      <w:r>
        <w:rPr>
          <w:spacing w:val="-11"/>
        </w:rPr>
        <w:t> </w:t>
      </w:r>
      <w:r>
        <w:rPr/>
        <w:t>a</w:t>
      </w:r>
      <w:r>
        <w:rPr>
          <w:spacing w:val="-12"/>
        </w:rPr>
        <w:t> </w:t>
      </w:r>
      <w:r>
        <w:rPr/>
        <w:t>period</w:t>
      </w:r>
      <w:r>
        <w:rPr>
          <w:spacing w:val="-8"/>
        </w:rPr>
        <w:t> </w:t>
      </w:r>
      <w:r>
        <w:rPr/>
        <w:t>of</w:t>
      </w:r>
      <w:r>
        <w:rPr>
          <w:spacing w:val="-12"/>
        </w:rPr>
        <w:t> </w:t>
      </w:r>
      <w:r>
        <w:rPr/>
        <w:t>five</w:t>
      </w:r>
      <w:r>
        <w:rPr>
          <w:spacing w:val="-11"/>
        </w:rPr>
        <w:t> </w:t>
      </w:r>
      <w:r>
        <w:rPr/>
        <w:t>to</w:t>
      </w:r>
      <w:r>
        <w:rPr>
          <w:spacing w:val="-11"/>
        </w:rPr>
        <w:t> </w:t>
      </w:r>
      <w:r>
        <w:rPr/>
        <w:t>seven</w:t>
      </w:r>
      <w:r>
        <w:rPr>
          <w:spacing w:val="-11"/>
        </w:rPr>
        <w:t> </w:t>
      </w:r>
      <w:r>
        <w:rPr/>
        <w:t>months</w:t>
      </w:r>
      <w:r>
        <w:rPr>
          <w:spacing w:val="-13"/>
        </w:rPr>
        <w:t> </w:t>
      </w:r>
      <w:r>
        <w:rPr/>
        <w:t>for</w:t>
      </w:r>
      <w:r>
        <w:rPr>
          <w:spacing w:val="-10"/>
        </w:rPr>
        <w:t> </w:t>
      </w:r>
      <w:r>
        <w:rPr/>
        <w:t>compliance and to grant</w:t>
      </w:r>
      <w:r>
        <w:rPr>
          <w:spacing w:val="-4"/>
        </w:rPr>
        <w:t> </w:t>
      </w:r>
      <w:r>
        <w:rPr/>
        <w:t>consent.</w:t>
      </w:r>
    </w:p>
    <w:p>
      <w:pPr>
        <w:pStyle w:val="ListParagraph"/>
        <w:numPr>
          <w:ilvl w:val="0"/>
          <w:numId w:val="96"/>
        </w:numPr>
        <w:tabs>
          <w:tab w:pos="1400" w:val="left" w:leader="none"/>
          <w:tab w:pos="1401" w:val="left" w:leader="none"/>
        </w:tabs>
        <w:spacing w:line="240" w:lineRule="auto" w:before="228" w:after="0"/>
        <w:ind w:left="1400" w:right="0" w:hanging="721"/>
        <w:jc w:val="left"/>
        <w:rPr>
          <w:sz w:val="22"/>
        </w:rPr>
      </w:pPr>
      <w:r>
        <w:rPr>
          <w:w w:val="105"/>
          <w:sz w:val="22"/>
        </w:rPr>
        <w:t>IENMPL</w:t>
      </w:r>
    </w:p>
    <w:p>
      <w:pPr>
        <w:pStyle w:val="BodyText"/>
        <w:spacing w:line="247" w:lineRule="auto" w:before="205"/>
        <w:ind w:left="1400" w:right="675"/>
        <w:jc w:val="both"/>
      </w:pPr>
      <w:r>
        <w:rPr>
          <w:color w:val="221F1F"/>
        </w:rPr>
        <w:t>Since the 1970s, many correspondences have been exchanged by IENMPL, MCGM, and the Government</w:t>
      </w:r>
      <w:r>
        <w:rPr>
          <w:color w:val="221F1F"/>
          <w:spacing w:val="-19"/>
        </w:rPr>
        <w:t> </w:t>
      </w:r>
      <w:r>
        <w:rPr>
          <w:color w:val="221F1F"/>
        </w:rPr>
        <w:t>of</w:t>
      </w:r>
      <w:r>
        <w:rPr>
          <w:color w:val="221F1F"/>
          <w:spacing w:val="-18"/>
        </w:rPr>
        <w:t> </w:t>
      </w:r>
      <w:r>
        <w:rPr>
          <w:color w:val="221F1F"/>
        </w:rPr>
        <w:t>Maharashtra,</w:t>
      </w:r>
      <w:r>
        <w:rPr>
          <w:color w:val="221F1F"/>
          <w:spacing w:val="-18"/>
        </w:rPr>
        <w:t> </w:t>
      </w:r>
      <w:r>
        <w:rPr>
          <w:color w:val="221F1F"/>
        </w:rPr>
        <w:t>in</w:t>
      </w:r>
      <w:r>
        <w:rPr>
          <w:color w:val="221F1F"/>
          <w:spacing w:val="-19"/>
        </w:rPr>
        <w:t> </w:t>
      </w:r>
      <w:r>
        <w:rPr>
          <w:color w:val="221F1F"/>
        </w:rPr>
        <w:t>relation</w:t>
      </w:r>
      <w:r>
        <w:rPr>
          <w:color w:val="221F1F"/>
          <w:spacing w:val="-19"/>
        </w:rPr>
        <w:t> </w:t>
      </w:r>
      <w:r>
        <w:rPr>
          <w:color w:val="221F1F"/>
        </w:rPr>
        <w:t>to</w:t>
      </w:r>
      <w:r>
        <w:rPr>
          <w:color w:val="221F1F"/>
          <w:spacing w:val="-18"/>
        </w:rPr>
        <w:t> </w:t>
      </w:r>
      <w:r>
        <w:rPr>
          <w:color w:val="221F1F"/>
        </w:rPr>
        <w:t>unauthorized</w:t>
      </w:r>
      <w:r>
        <w:rPr>
          <w:color w:val="221F1F"/>
          <w:spacing w:val="-18"/>
        </w:rPr>
        <w:t> </w:t>
      </w:r>
      <w:r>
        <w:rPr>
          <w:color w:val="221F1F"/>
        </w:rPr>
        <w:t>construction</w:t>
      </w:r>
      <w:r>
        <w:rPr>
          <w:color w:val="221F1F"/>
          <w:spacing w:val="-19"/>
        </w:rPr>
        <w:t> </w:t>
      </w:r>
      <w:r>
        <w:rPr>
          <w:color w:val="221F1F"/>
        </w:rPr>
        <w:t>and</w:t>
      </w:r>
      <w:r>
        <w:rPr>
          <w:color w:val="221F1F"/>
          <w:spacing w:val="-20"/>
        </w:rPr>
        <w:t> </w:t>
      </w:r>
      <w:r>
        <w:rPr>
          <w:color w:val="221F1F"/>
        </w:rPr>
        <w:t>approval</w:t>
      </w:r>
      <w:r>
        <w:rPr>
          <w:color w:val="221F1F"/>
          <w:spacing w:val="-19"/>
        </w:rPr>
        <w:t> </w:t>
      </w:r>
      <w:r>
        <w:rPr>
          <w:color w:val="221F1F"/>
        </w:rPr>
        <w:t>for</w:t>
      </w:r>
      <w:r>
        <w:rPr>
          <w:color w:val="221F1F"/>
          <w:spacing w:val="-19"/>
        </w:rPr>
        <w:t> </w:t>
      </w:r>
      <w:r>
        <w:rPr>
          <w:color w:val="221F1F"/>
        </w:rPr>
        <w:t>change</w:t>
      </w:r>
      <w:r>
        <w:rPr>
          <w:color w:val="221F1F"/>
          <w:spacing w:val="-18"/>
        </w:rPr>
        <w:t> </w:t>
      </w:r>
      <w:r>
        <w:rPr>
          <w:color w:val="221F1F"/>
        </w:rPr>
        <w:t>of</w:t>
      </w:r>
      <w:r>
        <w:rPr>
          <w:color w:val="221F1F"/>
          <w:spacing w:val="-18"/>
        </w:rPr>
        <w:t> </w:t>
      </w:r>
      <w:r>
        <w:rPr>
          <w:color w:val="221F1F"/>
        </w:rPr>
        <w:t>use of</w:t>
      </w:r>
      <w:r>
        <w:rPr>
          <w:color w:val="221F1F"/>
          <w:spacing w:val="-14"/>
        </w:rPr>
        <w:t> </w:t>
      </w:r>
      <w:r>
        <w:rPr>
          <w:color w:val="221F1F"/>
        </w:rPr>
        <w:t>three</w:t>
      </w:r>
      <w:r>
        <w:rPr>
          <w:color w:val="221F1F"/>
          <w:spacing w:val="-15"/>
        </w:rPr>
        <w:t> </w:t>
      </w:r>
      <w:r>
        <w:rPr>
          <w:color w:val="221F1F"/>
        </w:rPr>
        <w:t>floors</w:t>
      </w:r>
      <w:r>
        <w:rPr>
          <w:color w:val="221F1F"/>
          <w:spacing w:val="-14"/>
        </w:rPr>
        <w:t> </w:t>
      </w:r>
      <w:r>
        <w:rPr>
          <w:color w:val="221F1F"/>
        </w:rPr>
        <w:t>of</w:t>
      </w:r>
      <w:r>
        <w:rPr>
          <w:color w:val="221F1F"/>
          <w:spacing w:val="-13"/>
        </w:rPr>
        <w:t> </w:t>
      </w:r>
      <w:r>
        <w:rPr>
          <w:color w:val="221F1F"/>
        </w:rPr>
        <w:t>Express</w:t>
      </w:r>
      <w:r>
        <w:rPr>
          <w:color w:val="221F1F"/>
          <w:spacing w:val="-13"/>
        </w:rPr>
        <w:t> </w:t>
      </w:r>
      <w:r>
        <w:rPr/>
        <w:t>Towers</w:t>
      </w:r>
      <w:r>
        <w:rPr>
          <w:spacing w:val="-14"/>
        </w:rPr>
        <w:t> </w:t>
      </w:r>
      <w:r>
        <w:rPr>
          <w:color w:val="221F1F"/>
        </w:rPr>
        <w:t>since</w:t>
      </w:r>
      <w:r>
        <w:rPr>
          <w:color w:val="221F1F"/>
          <w:spacing w:val="-14"/>
        </w:rPr>
        <w:t> </w:t>
      </w:r>
      <w:r>
        <w:rPr>
          <w:color w:val="221F1F"/>
        </w:rPr>
        <w:t>the</w:t>
      </w:r>
      <w:r>
        <w:rPr>
          <w:color w:val="221F1F"/>
          <w:spacing w:val="-15"/>
        </w:rPr>
        <w:t> </w:t>
      </w:r>
      <w:r>
        <w:rPr>
          <w:color w:val="221F1F"/>
        </w:rPr>
        <w:t>execution</w:t>
      </w:r>
      <w:r>
        <w:rPr>
          <w:color w:val="221F1F"/>
          <w:spacing w:val="-15"/>
        </w:rPr>
        <w:t> </w:t>
      </w:r>
      <w:r>
        <w:rPr>
          <w:color w:val="221F1F"/>
        </w:rPr>
        <w:t>of</w:t>
      </w:r>
      <w:r>
        <w:rPr>
          <w:color w:val="221F1F"/>
          <w:spacing w:val="-14"/>
        </w:rPr>
        <w:t> </w:t>
      </w:r>
      <w:r>
        <w:rPr>
          <w:color w:val="221F1F"/>
        </w:rPr>
        <w:t>the</w:t>
      </w:r>
      <w:r>
        <w:rPr>
          <w:color w:val="221F1F"/>
          <w:spacing w:val="-15"/>
        </w:rPr>
        <w:t> </w:t>
      </w:r>
      <w:r>
        <w:rPr>
          <w:color w:val="221F1F"/>
        </w:rPr>
        <w:t>lease</w:t>
      </w:r>
      <w:r>
        <w:rPr>
          <w:color w:val="221F1F"/>
          <w:spacing w:val="-15"/>
        </w:rPr>
        <w:t> </w:t>
      </w:r>
      <w:r>
        <w:rPr>
          <w:color w:val="221F1F"/>
        </w:rPr>
        <w:t>deed</w:t>
      </w:r>
      <w:r>
        <w:rPr>
          <w:color w:val="221F1F"/>
          <w:spacing w:val="-15"/>
        </w:rPr>
        <w:t> </w:t>
      </w:r>
      <w:r>
        <w:rPr>
          <w:color w:val="221F1F"/>
        </w:rPr>
        <w:t>(including</w:t>
      </w:r>
      <w:r>
        <w:rPr>
          <w:color w:val="221F1F"/>
          <w:spacing w:val="-14"/>
        </w:rPr>
        <w:t> </w:t>
      </w:r>
      <w:r>
        <w:rPr>
          <w:color w:val="221F1F"/>
        </w:rPr>
        <w:t>notices</w:t>
      </w:r>
      <w:r>
        <w:rPr>
          <w:color w:val="221F1F"/>
          <w:spacing w:val="-14"/>
        </w:rPr>
        <w:t> </w:t>
      </w:r>
      <w:r>
        <w:rPr>
          <w:color w:val="221F1F"/>
        </w:rPr>
        <w:t>relating</w:t>
      </w:r>
      <w:r>
        <w:rPr>
          <w:color w:val="221F1F"/>
          <w:spacing w:val="-13"/>
        </w:rPr>
        <w:t> </w:t>
      </w:r>
      <w:r>
        <w:rPr>
          <w:color w:val="221F1F"/>
        </w:rPr>
        <w:t>to alleged unauthorized construction and unauthorized use) IENMPL last applied to the MCGM in 1990 for</w:t>
      </w:r>
      <w:r>
        <w:rPr>
          <w:color w:val="221F1F"/>
          <w:spacing w:val="-19"/>
        </w:rPr>
        <w:t> </w:t>
      </w:r>
      <w:r>
        <w:rPr>
          <w:color w:val="221F1F"/>
        </w:rPr>
        <w:t>such</w:t>
      </w:r>
      <w:r>
        <w:rPr>
          <w:color w:val="221F1F"/>
          <w:spacing w:val="-18"/>
        </w:rPr>
        <w:t> </w:t>
      </w:r>
      <w:r>
        <w:rPr>
          <w:color w:val="221F1F"/>
        </w:rPr>
        <w:t>permission</w:t>
      </w:r>
      <w:r>
        <w:rPr>
          <w:color w:val="221F1F"/>
          <w:spacing w:val="-19"/>
        </w:rPr>
        <w:t> </w:t>
      </w:r>
      <w:r>
        <w:rPr>
          <w:color w:val="221F1F"/>
        </w:rPr>
        <w:t>which</w:t>
      </w:r>
      <w:r>
        <w:rPr>
          <w:color w:val="221F1F"/>
          <w:spacing w:val="-18"/>
        </w:rPr>
        <w:t> </w:t>
      </w:r>
      <w:r>
        <w:rPr>
          <w:color w:val="221F1F"/>
        </w:rPr>
        <w:t>was</w:t>
      </w:r>
      <w:r>
        <w:rPr>
          <w:color w:val="221F1F"/>
          <w:spacing w:val="-18"/>
        </w:rPr>
        <w:t> </w:t>
      </w:r>
      <w:r>
        <w:rPr>
          <w:color w:val="221F1F"/>
        </w:rPr>
        <w:t>rejected.</w:t>
      </w:r>
      <w:r>
        <w:rPr>
          <w:color w:val="221F1F"/>
          <w:spacing w:val="-17"/>
        </w:rPr>
        <w:t> </w:t>
      </w:r>
      <w:r>
        <w:rPr>
          <w:color w:val="221F1F"/>
        </w:rPr>
        <w:t>IENMPL</w:t>
      </w:r>
      <w:r>
        <w:rPr>
          <w:color w:val="221F1F"/>
          <w:spacing w:val="-18"/>
        </w:rPr>
        <w:t> </w:t>
      </w:r>
      <w:r>
        <w:rPr>
          <w:color w:val="221F1F"/>
        </w:rPr>
        <w:t>thereafter</w:t>
      </w:r>
      <w:r>
        <w:rPr>
          <w:color w:val="221F1F"/>
          <w:spacing w:val="-19"/>
        </w:rPr>
        <w:t> </w:t>
      </w:r>
      <w:r>
        <w:rPr>
          <w:color w:val="221F1F"/>
        </w:rPr>
        <w:t>wrote</w:t>
      </w:r>
      <w:r>
        <w:rPr>
          <w:color w:val="221F1F"/>
          <w:spacing w:val="-18"/>
        </w:rPr>
        <w:t> </w:t>
      </w:r>
      <w:r>
        <w:rPr>
          <w:color w:val="221F1F"/>
        </w:rPr>
        <w:t>to</w:t>
      </w:r>
      <w:r>
        <w:rPr>
          <w:color w:val="221F1F"/>
          <w:spacing w:val="-18"/>
        </w:rPr>
        <w:t> </w:t>
      </w:r>
      <w:r>
        <w:rPr>
          <w:color w:val="221F1F"/>
        </w:rPr>
        <w:t>the</w:t>
      </w:r>
      <w:r>
        <w:rPr>
          <w:color w:val="221F1F"/>
          <w:spacing w:val="-19"/>
        </w:rPr>
        <w:t> </w:t>
      </w:r>
      <w:r>
        <w:rPr>
          <w:color w:val="221F1F"/>
        </w:rPr>
        <w:t>Government</w:t>
      </w:r>
      <w:r>
        <w:rPr>
          <w:color w:val="221F1F"/>
          <w:spacing w:val="-17"/>
        </w:rPr>
        <w:t> </w:t>
      </w:r>
      <w:r>
        <w:rPr>
          <w:color w:val="221F1F"/>
        </w:rPr>
        <w:t>of</w:t>
      </w:r>
      <w:r>
        <w:rPr>
          <w:color w:val="221F1F"/>
          <w:spacing w:val="-18"/>
        </w:rPr>
        <w:t> </w:t>
      </w:r>
      <w:r>
        <w:rPr>
          <w:color w:val="221F1F"/>
        </w:rPr>
        <w:t>Maharashtra requesting</w:t>
      </w:r>
      <w:r>
        <w:rPr>
          <w:color w:val="221F1F"/>
          <w:spacing w:val="-10"/>
        </w:rPr>
        <w:t> </w:t>
      </w:r>
      <w:r>
        <w:rPr>
          <w:color w:val="221F1F"/>
        </w:rPr>
        <w:t>that</w:t>
      </w:r>
      <w:r>
        <w:rPr>
          <w:color w:val="221F1F"/>
          <w:spacing w:val="-8"/>
        </w:rPr>
        <w:t> </w:t>
      </w:r>
      <w:r>
        <w:rPr>
          <w:color w:val="221F1F"/>
        </w:rPr>
        <w:t>they</w:t>
      </w:r>
      <w:r>
        <w:rPr>
          <w:color w:val="221F1F"/>
          <w:spacing w:val="-8"/>
        </w:rPr>
        <w:t> </w:t>
      </w:r>
      <w:r>
        <w:rPr>
          <w:color w:val="221F1F"/>
        </w:rPr>
        <w:t>direct</w:t>
      </w:r>
      <w:r>
        <w:rPr>
          <w:color w:val="221F1F"/>
          <w:spacing w:val="-8"/>
        </w:rPr>
        <w:t> </w:t>
      </w:r>
      <w:r>
        <w:rPr>
          <w:color w:val="221F1F"/>
        </w:rPr>
        <w:t>the</w:t>
      </w:r>
      <w:r>
        <w:rPr>
          <w:color w:val="221F1F"/>
          <w:spacing w:val="-9"/>
        </w:rPr>
        <w:t> </w:t>
      </w:r>
      <w:r>
        <w:rPr>
          <w:color w:val="221F1F"/>
        </w:rPr>
        <w:t>MCGM</w:t>
      </w:r>
      <w:r>
        <w:rPr>
          <w:color w:val="221F1F"/>
          <w:spacing w:val="-9"/>
        </w:rPr>
        <w:t> </w:t>
      </w:r>
      <w:r>
        <w:rPr>
          <w:color w:val="221F1F"/>
        </w:rPr>
        <w:t>to</w:t>
      </w:r>
      <w:r>
        <w:rPr>
          <w:color w:val="221F1F"/>
          <w:spacing w:val="-9"/>
        </w:rPr>
        <w:t> </w:t>
      </w:r>
      <w:r>
        <w:rPr>
          <w:color w:val="221F1F"/>
        </w:rPr>
        <w:t>regularise</w:t>
      </w:r>
      <w:r>
        <w:rPr>
          <w:color w:val="221F1F"/>
          <w:spacing w:val="-8"/>
        </w:rPr>
        <w:t> </w:t>
      </w:r>
      <w:r>
        <w:rPr>
          <w:color w:val="221F1F"/>
        </w:rPr>
        <w:t>the</w:t>
      </w:r>
      <w:r>
        <w:rPr>
          <w:color w:val="221F1F"/>
          <w:spacing w:val="-10"/>
        </w:rPr>
        <w:t> </w:t>
      </w:r>
      <w:r>
        <w:rPr>
          <w:color w:val="221F1F"/>
        </w:rPr>
        <w:t>office</w:t>
      </w:r>
      <w:r>
        <w:rPr>
          <w:color w:val="221F1F"/>
          <w:spacing w:val="-8"/>
        </w:rPr>
        <w:t> </w:t>
      </w:r>
      <w:r>
        <w:rPr>
          <w:color w:val="221F1F"/>
        </w:rPr>
        <w:t>use</w:t>
      </w:r>
      <w:r>
        <w:rPr>
          <w:color w:val="221F1F"/>
          <w:spacing w:val="-9"/>
        </w:rPr>
        <w:t> </w:t>
      </w:r>
      <w:r>
        <w:rPr>
          <w:color w:val="221F1F"/>
        </w:rPr>
        <w:t>and</w:t>
      </w:r>
      <w:r>
        <w:rPr>
          <w:color w:val="221F1F"/>
          <w:spacing w:val="-8"/>
        </w:rPr>
        <w:t> </w:t>
      </w:r>
      <w:r>
        <w:rPr>
          <w:color w:val="221F1F"/>
        </w:rPr>
        <w:t>occupation</w:t>
      </w:r>
      <w:r>
        <w:rPr>
          <w:color w:val="221F1F"/>
          <w:spacing w:val="-9"/>
        </w:rPr>
        <w:t> </w:t>
      </w:r>
      <w:r>
        <w:rPr>
          <w:color w:val="221F1F"/>
        </w:rPr>
        <w:t>of</w:t>
      </w:r>
      <w:r>
        <w:rPr>
          <w:color w:val="221F1F"/>
          <w:spacing w:val="-8"/>
        </w:rPr>
        <w:t> </w:t>
      </w:r>
      <w:r>
        <w:rPr>
          <w:color w:val="221F1F"/>
        </w:rPr>
        <w:t>plaza</w:t>
      </w:r>
      <w:r>
        <w:rPr>
          <w:color w:val="221F1F"/>
          <w:spacing w:val="-11"/>
        </w:rPr>
        <w:t> </w:t>
      </w:r>
      <w:r>
        <w:rPr>
          <w:color w:val="221F1F"/>
        </w:rPr>
        <w:t>floors</w:t>
      </w:r>
      <w:r>
        <w:rPr>
          <w:color w:val="221F1F"/>
          <w:spacing w:val="-9"/>
        </w:rPr>
        <w:t> </w:t>
      </w:r>
      <w:r>
        <w:rPr>
          <w:color w:val="221F1F"/>
        </w:rPr>
        <w:t>(as per</w:t>
      </w:r>
      <w:r>
        <w:rPr>
          <w:color w:val="221F1F"/>
          <w:spacing w:val="-7"/>
        </w:rPr>
        <w:t> </w:t>
      </w:r>
      <w:r>
        <w:rPr>
          <w:color w:val="221F1F"/>
        </w:rPr>
        <w:t>the</w:t>
      </w:r>
      <w:r>
        <w:rPr>
          <w:color w:val="221F1F"/>
          <w:spacing w:val="-8"/>
        </w:rPr>
        <w:t> </w:t>
      </w:r>
      <w:r>
        <w:rPr>
          <w:color w:val="221F1F"/>
        </w:rPr>
        <w:t>previous</w:t>
      </w:r>
      <w:r>
        <w:rPr>
          <w:color w:val="221F1F"/>
          <w:spacing w:val="-6"/>
        </w:rPr>
        <w:t> </w:t>
      </w:r>
      <w:r>
        <w:rPr>
          <w:color w:val="221F1F"/>
        </w:rPr>
        <w:t>approval</w:t>
      </w:r>
      <w:r>
        <w:rPr>
          <w:color w:val="221F1F"/>
          <w:spacing w:val="-6"/>
        </w:rPr>
        <w:t> </w:t>
      </w:r>
      <w:r>
        <w:rPr>
          <w:color w:val="221F1F"/>
        </w:rPr>
        <w:t>of</w:t>
      </w:r>
      <w:r>
        <w:rPr>
          <w:color w:val="221F1F"/>
          <w:spacing w:val="-5"/>
        </w:rPr>
        <w:t> </w:t>
      </w:r>
      <w:r>
        <w:rPr>
          <w:color w:val="221F1F"/>
        </w:rPr>
        <w:t>the</w:t>
      </w:r>
      <w:r>
        <w:rPr>
          <w:color w:val="221F1F"/>
          <w:spacing w:val="-9"/>
        </w:rPr>
        <w:t> </w:t>
      </w:r>
      <w:r>
        <w:rPr>
          <w:color w:val="221F1F"/>
        </w:rPr>
        <w:t>Government</w:t>
      </w:r>
      <w:r>
        <w:rPr>
          <w:color w:val="221F1F"/>
          <w:spacing w:val="-6"/>
        </w:rPr>
        <w:t> </w:t>
      </w:r>
      <w:r>
        <w:rPr>
          <w:color w:val="221F1F"/>
        </w:rPr>
        <w:t>of</w:t>
      </w:r>
      <w:r>
        <w:rPr>
          <w:color w:val="221F1F"/>
          <w:spacing w:val="-7"/>
        </w:rPr>
        <w:t> </w:t>
      </w:r>
      <w:r>
        <w:rPr>
          <w:color w:val="221F1F"/>
        </w:rPr>
        <w:t>Maharashtra).</w:t>
      </w:r>
      <w:r>
        <w:rPr>
          <w:color w:val="221F1F"/>
          <w:spacing w:val="-7"/>
        </w:rPr>
        <w:t> </w:t>
      </w:r>
      <w:r>
        <w:rPr>
          <w:color w:val="221F1F"/>
        </w:rPr>
        <w:t>The</w:t>
      </w:r>
      <w:r>
        <w:rPr>
          <w:color w:val="221F1F"/>
          <w:spacing w:val="-8"/>
        </w:rPr>
        <w:t> </w:t>
      </w:r>
      <w:r>
        <w:rPr>
          <w:color w:val="221F1F"/>
        </w:rPr>
        <w:t>Government</w:t>
      </w:r>
      <w:r>
        <w:rPr>
          <w:color w:val="221F1F"/>
          <w:spacing w:val="-6"/>
        </w:rPr>
        <w:t> </w:t>
      </w:r>
      <w:r>
        <w:rPr>
          <w:color w:val="221F1F"/>
        </w:rPr>
        <w:t>of</w:t>
      </w:r>
      <w:r>
        <w:rPr>
          <w:color w:val="221F1F"/>
          <w:spacing w:val="-5"/>
        </w:rPr>
        <w:t> </w:t>
      </w:r>
      <w:r>
        <w:rPr>
          <w:color w:val="221F1F"/>
        </w:rPr>
        <w:t>Maharashtra</w:t>
      </w:r>
      <w:r>
        <w:rPr>
          <w:color w:val="221F1F"/>
          <w:spacing w:val="-7"/>
        </w:rPr>
        <w:t> </w:t>
      </w:r>
      <w:r>
        <w:rPr>
          <w:color w:val="221F1F"/>
        </w:rPr>
        <w:t>has observed</w:t>
      </w:r>
      <w:r>
        <w:rPr>
          <w:color w:val="221F1F"/>
          <w:spacing w:val="-17"/>
        </w:rPr>
        <w:t> </w:t>
      </w:r>
      <w:r>
        <w:rPr>
          <w:color w:val="221F1F"/>
        </w:rPr>
        <w:t>that</w:t>
      </w:r>
      <w:r>
        <w:rPr>
          <w:color w:val="221F1F"/>
          <w:spacing w:val="-14"/>
        </w:rPr>
        <w:t> </w:t>
      </w:r>
      <w:r>
        <w:rPr>
          <w:color w:val="221F1F"/>
        </w:rPr>
        <w:t>the</w:t>
      </w:r>
      <w:r>
        <w:rPr>
          <w:color w:val="221F1F"/>
          <w:spacing w:val="-16"/>
        </w:rPr>
        <w:t> </w:t>
      </w:r>
      <w:r>
        <w:rPr>
          <w:color w:val="221F1F"/>
        </w:rPr>
        <w:t>local</w:t>
      </w:r>
      <w:r>
        <w:rPr>
          <w:color w:val="221F1F"/>
          <w:spacing w:val="-15"/>
        </w:rPr>
        <w:t> </w:t>
      </w:r>
      <w:r>
        <w:rPr>
          <w:color w:val="221F1F"/>
        </w:rPr>
        <w:t>regulations</w:t>
      </w:r>
      <w:r>
        <w:rPr>
          <w:color w:val="221F1F"/>
          <w:spacing w:val="-16"/>
        </w:rPr>
        <w:t> </w:t>
      </w:r>
      <w:r>
        <w:rPr>
          <w:color w:val="221F1F"/>
        </w:rPr>
        <w:t>do</w:t>
      </w:r>
      <w:r>
        <w:rPr>
          <w:color w:val="221F1F"/>
          <w:spacing w:val="-15"/>
        </w:rPr>
        <w:t> </w:t>
      </w:r>
      <w:r>
        <w:rPr>
          <w:color w:val="221F1F"/>
        </w:rPr>
        <w:t>not</w:t>
      </w:r>
      <w:r>
        <w:rPr>
          <w:color w:val="221F1F"/>
          <w:spacing w:val="-15"/>
        </w:rPr>
        <w:t> </w:t>
      </w:r>
      <w:r>
        <w:rPr>
          <w:color w:val="221F1F"/>
        </w:rPr>
        <w:t>contain</w:t>
      </w:r>
      <w:r>
        <w:rPr>
          <w:color w:val="221F1F"/>
          <w:spacing w:val="-18"/>
        </w:rPr>
        <w:t> </w:t>
      </w:r>
      <w:r>
        <w:rPr>
          <w:color w:val="221F1F"/>
        </w:rPr>
        <w:t>a</w:t>
      </w:r>
      <w:r>
        <w:rPr>
          <w:color w:val="221F1F"/>
          <w:spacing w:val="-15"/>
        </w:rPr>
        <w:t> </w:t>
      </w:r>
      <w:r>
        <w:rPr>
          <w:color w:val="221F1F"/>
        </w:rPr>
        <w:t>provision</w:t>
      </w:r>
      <w:r>
        <w:rPr>
          <w:color w:val="221F1F"/>
          <w:spacing w:val="-15"/>
        </w:rPr>
        <w:t> </w:t>
      </w:r>
      <w:r>
        <w:rPr>
          <w:color w:val="221F1F"/>
        </w:rPr>
        <w:t>dealing</w:t>
      </w:r>
      <w:r>
        <w:rPr>
          <w:color w:val="221F1F"/>
          <w:spacing w:val="-16"/>
        </w:rPr>
        <w:t> </w:t>
      </w:r>
      <w:r>
        <w:rPr>
          <w:color w:val="221F1F"/>
        </w:rPr>
        <w:t>with</w:t>
      </w:r>
      <w:r>
        <w:rPr>
          <w:color w:val="221F1F"/>
          <w:spacing w:val="-18"/>
        </w:rPr>
        <w:t> </w:t>
      </w:r>
      <w:r>
        <w:rPr>
          <w:color w:val="221F1F"/>
        </w:rPr>
        <w:t>plaza</w:t>
      </w:r>
      <w:r>
        <w:rPr>
          <w:color w:val="221F1F"/>
          <w:spacing w:val="-15"/>
        </w:rPr>
        <w:t> </w:t>
      </w:r>
      <w:r>
        <w:rPr>
          <w:color w:val="221F1F"/>
        </w:rPr>
        <w:t>floors</w:t>
      </w:r>
      <w:r>
        <w:rPr>
          <w:color w:val="221F1F"/>
          <w:spacing w:val="-16"/>
        </w:rPr>
        <w:t> </w:t>
      </w:r>
      <w:r>
        <w:rPr>
          <w:color w:val="221F1F"/>
        </w:rPr>
        <w:t>and</w:t>
      </w:r>
      <w:r>
        <w:rPr>
          <w:color w:val="221F1F"/>
          <w:spacing w:val="-15"/>
        </w:rPr>
        <w:t> </w:t>
      </w:r>
      <w:r>
        <w:rPr>
          <w:color w:val="221F1F"/>
        </w:rPr>
        <w:t>has</w:t>
      </w:r>
      <w:r>
        <w:rPr>
          <w:color w:val="221F1F"/>
          <w:spacing w:val="-16"/>
        </w:rPr>
        <w:t> </w:t>
      </w:r>
      <w:r>
        <w:rPr>
          <w:color w:val="221F1F"/>
        </w:rPr>
        <w:t>since written</w:t>
      </w:r>
      <w:r>
        <w:rPr>
          <w:color w:val="221F1F"/>
          <w:spacing w:val="-15"/>
        </w:rPr>
        <w:t> </w:t>
      </w:r>
      <w:r>
        <w:rPr>
          <w:color w:val="221F1F"/>
        </w:rPr>
        <w:t>to</w:t>
      </w:r>
      <w:r>
        <w:rPr>
          <w:color w:val="221F1F"/>
          <w:spacing w:val="-15"/>
        </w:rPr>
        <w:t> </w:t>
      </w:r>
      <w:r>
        <w:rPr>
          <w:color w:val="221F1F"/>
        </w:rPr>
        <w:t>the</w:t>
      </w:r>
      <w:r>
        <w:rPr>
          <w:color w:val="221F1F"/>
          <w:spacing w:val="-15"/>
        </w:rPr>
        <w:t> </w:t>
      </w:r>
      <w:r>
        <w:rPr>
          <w:color w:val="221F1F"/>
        </w:rPr>
        <w:t>local</w:t>
      </w:r>
      <w:r>
        <w:rPr>
          <w:color w:val="221F1F"/>
          <w:spacing w:val="-14"/>
        </w:rPr>
        <w:t> </w:t>
      </w:r>
      <w:r>
        <w:rPr>
          <w:color w:val="221F1F"/>
        </w:rPr>
        <w:t>authorities</w:t>
      </w:r>
      <w:r>
        <w:rPr>
          <w:color w:val="221F1F"/>
          <w:spacing w:val="-14"/>
        </w:rPr>
        <w:t> </w:t>
      </w:r>
      <w:r>
        <w:rPr>
          <w:color w:val="221F1F"/>
        </w:rPr>
        <w:t>in</w:t>
      </w:r>
      <w:r>
        <w:rPr>
          <w:color w:val="221F1F"/>
          <w:spacing w:val="-15"/>
        </w:rPr>
        <w:t> </w:t>
      </w:r>
      <w:r>
        <w:rPr>
          <w:color w:val="221F1F"/>
        </w:rPr>
        <w:t>2004</w:t>
      </w:r>
      <w:r>
        <w:rPr>
          <w:color w:val="221F1F"/>
          <w:spacing w:val="-15"/>
        </w:rPr>
        <w:t> </w:t>
      </w:r>
      <w:r>
        <w:rPr>
          <w:color w:val="221F1F"/>
        </w:rPr>
        <w:t>to</w:t>
      </w:r>
      <w:r>
        <w:rPr>
          <w:color w:val="221F1F"/>
          <w:spacing w:val="-14"/>
        </w:rPr>
        <w:t> </w:t>
      </w:r>
      <w:r>
        <w:rPr>
          <w:color w:val="221F1F"/>
        </w:rPr>
        <w:t>formulate</w:t>
      </w:r>
      <w:r>
        <w:rPr>
          <w:color w:val="221F1F"/>
          <w:spacing w:val="-14"/>
        </w:rPr>
        <w:t> </w:t>
      </w:r>
      <w:r>
        <w:rPr>
          <w:color w:val="221F1F"/>
        </w:rPr>
        <w:t>guiding</w:t>
      </w:r>
      <w:r>
        <w:rPr>
          <w:color w:val="221F1F"/>
          <w:spacing w:val="-15"/>
        </w:rPr>
        <w:t> </w:t>
      </w:r>
      <w:r>
        <w:rPr>
          <w:color w:val="221F1F"/>
        </w:rPr>
        <w:t>principles</w:t>
      </w:r>
      <w:r>
        <w:rPr>
          <w:color w:val="221F1F"/>
          <w:spacing w:val="-14"/>
        </w:rPr>
        <w:t> </w:t>
      </w:r>
      <w:r>
        <w:rPr>
          <w:color w:val="221F1F"/>
        </w:rPr>
        <w:t>for</w:t>
      </w:r>
      <w:r>
        <w:rPr>
          <w:color w:val="221F1F"/>
          <w:spacing w:val="-15"/>
        </w:rPr>
        <w:t> </w:t>
      </w:r>
      <w:r>
        <w:rPr>
          <w:color w:val="221F1F"/>
        </w:rPr>
        <w:t>treatment</w:t>
      </w:r>
      <w:r>
        <w:rPr>
          <w:color w:val="221F1F"/>
          <w:spacing w:val="-14"/>
        </w:rPr>
        <w:t> </w:t>
      </w:r>
      <w:r>
        <w:rPr>
          <w:color w:val="221F1F"/>
        </w:rPr>
        <w:t>of</w:t>
      </w:r>
      <w:r>
        <w:rPr>
          <w:color w:val="221F1F"/>
          <w:spacing w:val="-14"/>
        </w:rPr>
        <w:t> </w:t>
      </w:r>
      <w:r>
        <w:rPr>
          <w:color w:val="221F1F"/>
        </w:rPr>
        <w:t>plaza</w:t>
      </w:r>
      <w:r>
        <w:rPr>
          <w:color w:val="221F1F"/>
          <w:spacing w:val="-15"/>
        </w:rPr>
        <w:t> </w:t>
      </w:r>
      <w:r>
        <w:rPr>
          <w:color w:val="221F1F"/>
        </w:rPr>
        <w:t>floors, such amendments are yet to be</w:t>
      </w:r>
      <w:r>
        <w:rPr>
          <w:color w:val="221F1F"/>
          <w:spacing w:val="-26"/>
        </w:rPr>
        <w:t> </w:t>
      </w:r>
      <w:r>
        <w:rPr>
          <w:color w:val="221F1F"/>
        </w:rPr>
        <w:t>notified.</w:t>
      </w:r>
    </w:p>
    <w:p>
      <w:pPr>
        <w:pStyle w:val="BodyText"/>
        <w:spacing w:before="3"/>
        <w:rPr>
          <w:sz w:val="21"/>
        </w:rPr>
      </w:pPr>
    </w:p>
    <w:p>
      <w:pPr>
        <w:pStyle w:val="ListParagraph"/>
        <w:numPr>
          <w:ilvl w:val="2"/>
          <w:numId w:val="14"/>
        </w:numPr>
        <w:tabs>
          <w:tab w:pos="1401" w:val="left" w:leader="none"/>
        </w:tabs>
        <w:spacing w:line="324" w:lineRule="auto" w:before="0" w:after="0"/>
        <w:ind w:left="1400" w:right="675" w:hanging="721"/>
        <w:jc w:val="both"/>
        <w:rPr>
          <w:sz w:val="22"/>
        </w:rPr>
      </w:pPr>
      <w:bookmarkStart w:name="_bookmark415" w:id="810"/>
      <w:bookmarkEnd w:id="810"/>
      <w:r>
        <w:rPr/>
      </w:r>
      <w:bookmarkStart w:name="_bookmark415" w:id="811"/>
      <w:bookmarkEnd w:id="811"/>
      <w:r>
        <w:rPr>
          <w:color w:val="1F664D"/>
          <w:sz w:val="22"/>
        </w:rPr>
        <w:t>Det</w:t>
      </w:r>
      <w:r>
        <w:rPr>
          <w:color w:val="1F664D"/>
          <w:sz w:val="22"/>
        </w:rPr>
        <w:t>ails of options or rights of pre-emption and  other encumbrances, revenue pendencies and   any matters which may affect the property or its</w:t>
      </w:r>
      <w:r>
        <w:rPr>
          <w:color w:val="1F664D"/>
          <w:spacing w:val="-21"/>
          <w:sz w:val="22"/>
        </w:rPr>
        <w:t> </w:t>
      </w:r>
      <w:r>
        <w:rPr>
          <w:color w:val="1F664D"/>
          <w:sz w:val="22"/>
        </w:rPr>
        <w:t>value</w:t>
      </w:r>
    </w:p>
    <w:p>
      <w:pPr>
        <w:pStyle w:val="BodyText"/>
        <w:spacing w:line="321" w:lineRule="auto" w:before="117"/>
        <w:ind w:left="1242" w:right="676"/>
        <w:jc w:val="both"/>
      </w:pPr>
      <w:r>
        <w:rPr/>
        <w:t>Please</w:t>
      </w:r>
      <w:r>
        <w:rPr>
          <w:spacing w:val="-46"/>
        </w:rPr>
        <w:t> </w:t>
      </w:r>
      <w:r>
        <w:rPr/>
        <w:t>refer</w:t>
      </w:r>
      <w:r>
        <w:rPr>
          <w:spacing w:val="-45"/>
        </w:rPr>
        <w:t> </w:t>
      </w:r>
      <w:r>
        <w:rPr/>
        <w:t>the</w:t>
      </w:r>
      <w:r>
        <w:rPr>
          <w:spacing w:val="-46"/>
        </w:rPr>
        <w:t> </w:t>
      </w:r>
      <w:r>
        <w:rPr/>
        <w:t>final</w:t>
      </w:r>
      <w:r>
        <w:rPr>
          <w:spacing w:val="-44"/>
        </w:rPr>
        <w:t> </w:t>
      </w:r>
      <w:r>
        <w:rPr/>
        <w:t>offer</w:t>
      </w:r>
      <w:r>
        <w:rPr>
          <w:spacing w:val="-45"/>
        </w:rPr>
        <w:t> </w:t>
      </w:r>
      <w:r>
        <w:rPr/>
        <w:t>document,</w:t>
      </w:r>
      <w:r>
        <w:rPr>
          <w:spacing w:val="-46"/>
        </w:rPr>
        <w:t> </w:t>
      </w:r>
      <w:r>
        <w:rPr/>
        <w:t>details</w:t>
      </w:r>
      <w:r>
        <w:rPr>
          <w:spacing w:val="-45"/>
        </w:rPr>
        <w:t> </w:t>
      </w:r>
      <w:r>
        <w:rPr/>
        <w:t>of</w:t>
      </w:r>
      <w:r>
        <w:rPr>
          <w:spacing w:val="-45"/>
        </w:rPr>
        <w:t> </w:t>
      </w:r>
      <w:r>
        <w:rPr/>
        <w:t>material</w:t>
      </w:r>
      <w:r>
        <w:rPr>
          <w:spacing w:val="-45"/>
        </w:rPr>
        <w:t> </w:t>
      </w:r>
      <w:r>
        <w:rPr/>
        <w:t>litigations</w:t>
      </w:r>
      <w:r>
        <w:rPr>
          <w:spacing w:val="-45"/>
        </w:rPr>
        <w:t> </w:t>
      </w:r>
      <w:r>
        <w:rPr/>
        <w:t>highlighted</w:t>
      </w:r>
      <w:r>
        <w:rPr>
          <w:spacing w:val="-45"/>
        </w:rPr>
        <w:t> </w:t>
      </w:r>
      <w:r>
        <w:rPr/>
        <w:t>in</w:t>
      </w:r>
      <w:r>
        <w:rPr>
          <w:spacing w:val="-46"/>
        </w:rPr>
        <w:t> </w:t>
      </w:r>
      <w:r>
        <w:rPr/>
        <w:t>section</w:t>
      </w:r>
      <w:r>
        <w:rPr>
          <w:spacing w:val="-46"/>
        </w:rPr>
        <w:t> </w:t>
      </w:r>
      <w:r>
        <w:rPr/>
        <w:t>above,</w:t>
      </w:r>
      <w:r>
        <w:rPr>
          <w:spacing w:val="-45"/>
        </w:rPr>
        <w:t> </w:t>
      </w:r>
      <w:r>
        <w:rPr/>
        <w:t>Embassy Office</w:t>
      </w:r>
      <w:r>
        <w:rPr>
          <w:spacing w:val="-8"/>
        </w:rPr>
        <w:t> </w:t>
      </w:r>
      <w:r>
        <w:rPr/>
        <w:t>Parks</w:t>
      </w:r>
      <w:r>
        <w:rPr>
          <w:spacing w:val="-6"/>
        </w:rPr>
        <w:t> </w:t>
      </w:r>
      <w:r>
        <w:rPr/>
        <w:t>REIT</w:t>
      </w:r>
      <w:r>
        <w:rPr>
          <w:spacing w:val="-5"/>
        </w:rPr>
        <w:t> </w:t>
      </w:r>
      <w:r>
        <w:rPr/>
        <w:t>(Embassy</w:t>
      </w:r>
      <w:r>
        <w:rPr>
          <w:spacing w:val="-6"/>
        </w:rPr>
        <w:t> </w:t>
      </w:r>
      <w:r>
        <w:rPr/>
        <w:t>REIT)</w:t>
      </w:r>
      <w:r>
        <w:rPr>
          <w:spacing w:val="-4"/>
        </w:rPr>
        <w:t> </w:t>
      </w:r>
      <w:r>
        <w:rPr/>
        <w:t>Annual</w:t>
      </w:r>
      <w:r>
        <w:rPr>
          <w:spacing w:val="-8"/>
        </w:rPr>
        <w:t> </w:t>
      </w:r>
      <w:r>
        <w:rPr/>
        <w:t>Report</w:t>
      </w:r>
      <w:r>
        <w:rPr>
          <w:spacing w:val="-6"/>
        </w:rPr>
        <w:t> </w:t>
      </w:r>
      <w:r>
        <w:rPr/>
        <w:t>FY</w:t>
      </w:r>
      <w:r>
        <w:rPr>
          <w:spacing w:val="-6"/>
        </w:rPr>
        <w:t> </w:t>
      </w:r>
      <w:r>
        <w:rPr/>
        <w:t>2019</w:t>
      </w:r>
      <w:r>
        <w:rPr>
          <w:spacing w:val="-6"/>
        </w:rPr>
        <w:t> </w:t>
      </w:r>
      <w:r>
        <w:rPr>
          <w:w w:val="105"/>
        </w:rPr>
        <w:t>–</w:t>
      </w:r>
      <w:r>
        <w:rPr>
          <w:spacing w:val="-10"/>
          <w:w w:val="105"/>
        </w:rPr>
        <w:t> </w:t>
      </w:r>
      <w:r>
        <w:rPr/>
        <w:t>20</w:t>
      </w:r>
      <w:r>
        <w:rPr>
          <w:spacing w:val="-8"/>
        </w:rPr>
        <w:t> </w:t>
      </w:r>
      <w:r>
        <w:rPr/>
        <w:t>and</w:t>
      </w:r>
      <w:r>
        <w:rPr>
          <w:spacing w:val="-6"/>
        </w:rPr>
        <w:t> </w:t>
      </w:r>
      <w:r>
        <w:rPr/>
        <w:t>title</w:t>
      </w:r>
      <w:r>
        <w:rPr>
          <w:spacing w:val="-7"/>
        </w:rPr>
        <w:t> </w:t>
      </w:r>
      <w:r>
        <w:rPr/>
        <w:t>reports</w:t>
      </w:r>
      <w:r>
        <w:rPr>
          <w:spacing w:val="-5"/>
        </w:rPr>
        <w:t> </w:t>
      </w:r>
      <w:r>
        <w:rPr/>
        <w:t>for</w:t>
      </w:r>
      <w:r>
        <w:rPr>
          <w:spacing w:val="-8"/>
        </w:rPr>
        <w:t> </w:t>
      </w:r>
      <w:r>
        <w:rPr/>
        <w:t>more</w:t>
      </w:r>
      <w:r>
        <w:rPr>
          <w:spacing w:val="-7"/>
        </w:rPr>
        <w:t> </w:t>
      </w:r>
      <w:r>
        <w:rPr/>
        <w:t>details</w:t>
      </w:r>
      <w:r>
        <w:rPr>
          <w:spacing w:val="-7"/>
        </w:rPr>
        <w:t> </w:t>
      </w:r>
      <w:r>
        <w:rPr/>
        <w:t>of</w:t>
      </w:r>
      <w:r>
        <w:rPr>
          <w:spacing w:val="-8"/>
        </w:rPr>
        <w:t> </w:t>
      </w:r>
      <w:r>
        <w:rPr/>
        <w:t>the same.</w:t>
      </w:r>
    </w:p>
    <w:p>
      <w:pPr>
        <w:spacing w:after="0" w:line="321" w:lineRule="auto"/>
        <w:jc w:val="both"/>
        <w:sectPr>
          <w:type w:val="continuous"/>
          <w:pgSz w:w="11910" w:h="16840"/>
          <w:pgMar w:top="800" w:bottom="280" w:left="40" w:right="40"/>
        </w:sectPr>
      </w:pPr>
    </w:p>
    <w:p>
      <w:pPr>
        <w:pStyle w:val="BodyText"/>
        <w:spacing w:before="7"/>
        <w:rPr>
          <w:sz w:val="9"/>
        </w:rPr>
      </w:pPr>
    </w:p>
    <w:p>
      <w:pPr>
        <w:pStyle w:val="ListParagraph"/>
        <w:numPr>
          <w:ilvl w:val="1"/>
          <w:numId w:val="99"/>
        </w:numPr>
        <w:tabs>
          <w:tab w:pos="1257" w:val="left" w:leader="none"/>
        </w:tabs>
        <w:spacing w:line="240" w:lineRule="auto" w:before="106" w:after="0"/>
        <w:ind w:left="1256" w:right="0" w:hanging="577"/>
        <w:jc w:val="left"/>
        <w:rPr>
          <w:sz w:val="22"/>
        </w:rPr>
      </w:pPr>
      <w:bookmarkStart w:name="_bookmark416" w:id="812"/>
      <w:bookmarkEnd w:id="812"/>
      <w:r>
        <w:rPr/>
      </w:r>
      <w:bookmarkStart w:name="_bookmark416" w:id="813"/>
      <w:bookmarkEnd w:id="813"/>
      <w:r>
        <w:rPr>
          <w:color w:val="1F6647"/>
          <w:sz w:val="22"/>
        </w:rPr>
        <w:t>S</w:t>
      </w:r>
      <w:r>
        <w:rPr>
          <w:color w:val="1F6647"/>
          <w:sz w:val="22"/>
        </w:rPr>
        <w:t>ite Plans</w:t>
      </w:r>
    </w:p>
    <w:p>
      <w:pPr>
        <w:pStyle w:val="BodyText"/>
        <w:spacing w:before="3"/>
        <w:rPr>
          <w:sz w:val="28"/>
        </w:rPr>
      </w:pPr>
    </w:p>
    <w:p>
      <w:pPr>
        <w:pStyle w:val="ListParagraph"/>
        <w:numPr>
          <w:ilvl w:val="2"/>
          <w:numId w:val="99"/>
        </w:numPr>
        <w:tabs>
          <w:tab w:pos="1401" w:val="left" w:leader="none"/>
        </w:tabs>
        <w:spacing w:line="240" w:lineRule="auto" w:before="0" w:after="0"/>
        <w:ind w:left="1400" w:right="0" w:hanging="721"/>
        <w:jc w:val="left"/>
        <w:rPr>
          <w:sz w:val="22"/>
        </w:rPr>
      </w:pPr>
      <w:bookmarkStart w:name="_bookmark417" w:id="814"/>
      <w:bookmarkEnd w:id="814"/>
      <w:r>
        <w:rPr/>
      </w:r>
      <w:bookmarkStart w:name="_bookmark417" w:id="815"/>
      <w:bookmarkEnd w:id="815"/>
      <w:r>
        <w:rPr>
          <w:color w:val="1F664D"/>
          <w:w w:val="105"/>
          <w:sz w:val="22"/>
        </w:rPr>
        <w:t>E</w:t>
      </w:r>
      <w:r>
        <w:rPr>
          <w:color w:val="1F664D"/>
          <w:w w:val="105"/>
          <w:sz w:val="22"/>
        </w:rPr>
        <w:t>mbassy</w:t>
      </w:r>
      <w:r>
        <w:rPr>
          <w:color w:val="1F664D"/>
          <w:spacing w:val="-5"/>
          <w:w w:val="105"/>
          <w:sz w:val="22"/>
        </w:rPr>
        <w:t> </w:t>
      </w:r>
      <w:r>
        <w:rPr>
          <w:color w:val="1F664D"/>
          <w:w w:val="105"/>
          <w:sz w:val="22"/>
        </w:rPr>
        <w:t>Manyata</w:t>
      </w:r>
    </w:p>
    <w:p>
      <w:pPr>
        <w:pStyle w:val="BodyText"/>
        <w:rPr>
          <w:sz w:val="20"/>
        </w:rPr>
      </w:pPr>
    </w:p>
    <w:p>
      <w:pPr>
        <w:pStyle w:val="BodyText"/>
        <w:rPr>
          <w:sz w:val="20"/>
        </w:rPr>
      </w:pPr>
    </w:p>
    <w:p>
      <w:pPr>
        <w:pStyle w:val="BodyText"/>
        <w:spacing w:before="3"/>
        <w:rPr>
          <w:sz w:val="27"/>
        </w:rPr>
      </w:pPr>
      <w:r>
        <w:rPr/>
        <w:drawing>
          <wp:anchor distT="0" distB="0" distL="0" distR="0" allowOverlap="1" layoutInCell="1" locked="0" behindDoc="0" simplePos="0" relativeHeight="1571">
            <wp:simplePos x="0" y="0"/>
            <wp:positionH relativeFrom="page">
              <wp:posOffset>1037907</wp:posOffset>
            </wp:positionH>
            <wp:positionV relativeFrom="paragraph">
              <wp:posOffset>225836</wp:posOffset>
            </wp:positionV>
            <wp:extent cx="5483560" cy="3590925"/>
            <wp:effectExtent l="0" t="0" r="0" b="0"/>
            <wp:wrapTopAndBottom/>
            <wp:docPr id="325" name="image237.jpeg"/>
            <wp:cNvGraphicFramePr>
              <a:graphicFrameLocks noChangeAspect="1"/>
            </wp:cNvGraphicFramePr>
            <a:graphic>
              <a:graphicData uri="http://schemas.openxmlformats.org/drawingml/2006/picture">
                <pic:pic>
                  <pic:nvPicPr>
                    <pic:cNvPr id="326" name="image237.jpeg"/>
                    <pic:cNvPicPr/>
                  </pic:nvPicPr>
                  <pic:blipFill>
                    <a:blip r:embed="rId315" cstate="print"/>
                    <a:stretch>
                      <a:fillRect/>
                    </a:stretch>
                  </pic:blipFill>
                  <pic:spPr>
                    <a:xfrm>
                      <a:off x="0" y="0"/>
                      <a:ext cx="5483560" cy="3590925"/>
                    </a:xfrm>
                    <a:prstGeom prst="rect">
                      <a:avLst/>
                    </a:prstGeom>
                  </pic:spPr>
                </pic:pic>
              </a:graphicData>
            </a:graphic>
          </wp:anchor>
        </w:drawing>
      </w:r>
    </w:p>
    <w:p>
      <w:pPr>
        <w:pStyle w:val="BodyText"/>
        <w:spacing w:before="8"/>
        <w:rPr>
          <w:sz w:val="35"/>
        </w:rPr>
      </w:pPr>
    </w:p>
    <w:p>
      <w:pPr>
        <w:spacing w:before="0"/>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401" w:val="left" w:leader="none"/>
        </w:tabs>
        <w:spacing w:line="240" w:lineRule="auto" w:before="106" w:after="0"/>
        <w:ind w:left="1400" w:right="0" w:hanging="721"/>
        <w:jc w:val="left"/>
        <w:rPr>
          <w:sz w:val="22"/>
        </w:rPr>
      </w:pPr>
      <w:bookmarkStart w:name="_bookmark418" w:id="816"/>
      <w:bookmarkEnd w:id="816"/>
      <w:r>
        <w:rPr/>
      </w:r>
      <w:bookmarkStart w:name="_bookmark418" w:id="817"/>
      <w:bookmarkEnd w:id="817"/>
      <w:r>
        <w:rPr>
          <w:color w:val="1F664D"/>
          <w:sz w:val="22"/>
        </w:rPr>
        <w:t>E</w:t>
      </w:r>
      <w:r>
        <w:rPr>
          <w:color w:val="1F664D"/>
          <w:sz w:val="22"/>
        </w:rPr>
        <w:t>xpress</w:t>
      </w:r>
      <w:r>
        <w:rPr>
          <w:color w:val="1F664D"/>
          <w:spacing w:val="-2"/>
          <w:sz w:val="22"/>
        </w:rPr>
        <w:t> </w:t>
      </w:r>
      <w:r>
        <w:rPr>
          <w:color w:val="1F664D"/>
          <w:sz w:val="22"/>
        </w:rPr>
        <w:t>Towers</w:t>
      </w:r>
    </w:p>
    <w:p>
      <w:pPr>
        <w:pStyle w:val="BodyText"/>
        <w:spacing w:before="7"/>
        <w:rPr>
          <w:sz w:val="14"/>
        </w:rPr>
      </w:pPr>
      <w:r>
        <w:rPr/>
        <w:drawing>
          <wp:anchor distT="0" distB="0" distL="0" distR="0" allowOverlap="1" layoutInCell="1" locked="0" behindDoc="0" simplePos="0" relativeHeight="1572">
            <wp:simplePos x="0" y="0"/>
            <wp:positionH relativeFrom="page">
              <wp:posOffset>397827</wp:posOffset>
            </wp:positionH>
            <wp:positionV relativeFrom="paragraph">
              <wp:posOffset>132517</wp:posOffset>
            </wp:positionV>
            <wp:extent cx="6753241" cy="4267200"/>
            <wp:effectExtent l="0" t="0" r="0" b="0"/>
            <wp:wrapTopAndBottom/>
            <wp:docPr id="327" name="image238.png"/>
            <wp:cNvGraphicFramePr>
              <a:graphicFrameLocks noChangeAspect="1"/>
            </wp:cNvGraphicFramePr>
            <a:graphic>
              <a:graphicData uri="http://schemas.openxmlformats.org/drawingml/2006/picture">
                <pic:pic>
                  <pic:nvPicPr>
                    <pic:cNvPr id="328" name="image238.png"/>
                    <pic:cNvPicPr/>
                  </pic:nvPicPr>
                  <pic:blipFill>
                    <a:blip r:embed="rId316" cstate="print"/>
                    <a:stretch>
                      <a:fillRect/>
                    </a:stretch>
                  </pic:blipFill>
                  <pic:spPr>
                    <a:xfrm>
                      <a:off x="0" y="0"/>
                      <a:ext cx="6753241" cy="4267200"/>
                    </a:xfrm>
                    <a:prstGeom prst="rect">
                      <a:avLst/>
                    </a:prstGeom>
                  </pic:spPr>
                </pic:pic>
              </a:graphicData>
            </a:graphic>
          </wp:anchor>
        </w:drawing>
      </w:r>
    </w:p>
    <w:p>
      <w:pPr>
        <w:spacing w:before="203"/>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401" w:val="left" w:leader="none"/>
        </w:tabs>
        <w:spacing w:line="240" w:lineRule="auto" w:before="106" w:after="0"/>
        <w:ind w:left="1400" w:right="0" w:hanging="721"/>
        <w:jc w:val="left"/>
        <w:rPr>
          <w:sz w:val="22"/>
        </w:rPr>
      </w:pPr>
      <w:bookmarkStart w:name="_bookmark419" w:id="818"/>
      <w:bookmarkEnd w:id="818"/>
      <w:r>
        <w:rPr/>
      </w:r>
      <w:bookmarkStart w:name="_bookmark419" w:id="819"/>
      <w:bookmarkEnd w:id="819"/>
      <w:r>
        <w:rPr>
          <w:color w:val="1F664D"/>
          <w:w w:val="110"/>
          <w:sz w:val="22"/>
        </w:rPr>
        <w:t>E</w:t>
      </w:r>
      <w:r>
        <w:rPr>
          <w:color w:val="1F664D"/>
          <w:w w:val="110"/>
          <w:sz w:val="22"/>
        </w:rPr>
        <w:t>mbassy</w:t>
      </w:r>
      <w:r>
        <w:rPr>
          <w:color w:val="1F664D"/>
          <w:spacing w:val="-9"/>
          <w:w w:val="110"/>
          <w:sz w:val="22"/>
        </w:rPr>
        <w:t> </w:t>
      </w:r>
      <w:r>
        <w:rPr>
          <w:color w:val="1F664D"/>
          <w:w w:val="110"/>
          <w:sz w:val="22"/>
        </w:rPr>
        <w:t>247</w:t>
      </w:r>
    </w:p>
    <w:p>
      <w:pPr>
        <w:pStyle w:val="BodyText"/>
        <w:spacing w:before="7"/>
        <w:rPr>
          <w:sz w:val="14"/>
        </w:rPr>
      </w:pPr>
      <w:r>
        <w:rPr/>
        <w:drawing>
          <wp:anchor distT="0" distB="0" distL="0" distR="0" allowOverlap="1" layoutInCell="1" locked="0" behindDoc="0" simplePos="0" relativeHeight="1573">
            <wp:simplePos x="0" y="0"/>
            <wp:positionH relativeFrom="page">
              <wp:posOffset>456882</wp:posOffset>
            </wp:positionH>
            <wp:positionV relativeFrom="paragraph">
              <wp:posOffset>132517</wp:posOffset>
            </wp:positionV>
            <wp:extent cx="6627210" cy="5423344"/>
            <wp:effectExtent l="0" t="0" r="0" b="0"/>
            <wp:wrapTopAndBottom/>
            <wp:docPr id="329" name="image239.jpeg"/>
            <wp:cNvGraphicFramePr>
              <a:graphicFrameLocks noChangeAspect="1"/>
            </wp:cNvGraphicFramePr>
            <a:graphic>
              <a:graphicData uri="http://schemas.openxmlformats.org/drawingml/2006/picture">
                <pic:pic>
                  <pic:nvPicPr>
                    <pic:cNvPr id="330" name="image239.jpeg"/>
                    <pic:cNvPicPr/>
                  </pic:nvPicPr>
                  <pic:blipFill>
                    <a:blip r:embed="rId317" cstate="print"/>
                    <a:stretch>
                      <a:fillRect/>
                    </a:stretch>
                  </pic:blipFill>
                  <pic:spPr>
                    <a:xfrm>
                      <a:off x="0" y="0"/>
                      <a:ext cx="6627210" cy="5423344"/>
                    </a:xfrm>
                    <a:prstGeom prst="rect">
                      <a:avLst/>
                    </a:prstGeom>
                  </pic:spPr>
                </pic:pic>
              </a:graphicData>
            </a:graphic>
          </wp:anchor>
        </w:drawing>
      </w:r>
    </w:p>
    <w:p>
      <w:pPr>
        <w:pStyle w:val="BodyText"/>
        <w:spacing w:before="10"/>
        <w:rPr>
          <w:sz w:val="25"/>
        </w:rPr>
      </w:pPr>
    </w:p>
    <w:p>
      <w:pPr>
        <w:spacing w:before="0"/>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401" w:val="left" w:leader="none"/>
        </w:tabs>
        <w:spacing w:line="240" w:lineRule="auto" w:before="106" w:after="0"/>
        <w:ind w:left="1400" w:right="0" w:hanging="721"/>
        <w:jc w:val="left"/>
        <w:rPr>
          <w:sz w:val="22"/>
        </w:rPr>
      </w:pPr>
      <w:bookmarkStart w:name="_bookmark420" w:id="820"/>
      <w:bookmarkEnd w:id="820"/>
      <w:r>
        <w:rPr/>
      </w:r>
      <w:bookmarkStart w:name="_bookmark420" w:id="821"/>
      <w:bookmarkEnd w:id="821"/>
      <w:r>
        <w:rPr>
          <w:color w:val="1F664D"/>
          <w:sz w:val="22"/>
        </w:rPr>
        <w:t>F</w:t>
      </w:r>
      <w:r>
        <w:rPr>
          <w:color w:val="1F664D"/>
          <w:sz w:val="22"/>
        </w:rPr>
        <w:t>irst International Finance Center (FIFC)</w:t>
      </w:r>
    </w:p>
    <w:p>
      <w:pPr>
        <w:pStyle w:val="BodyText"/>
        <w:spacing w:before="7"/>
        <w:rPr>
          <w:sz w:val="14"/>
        </w:rPr>
      </w:pPr>
      <w:r>
        <w:rPr/>
        <w:drawing>
          <wp:anchor distT="0" distB="0" distL="0" distR="0" allowOverlap="1" layoutInCell="1" locked="0" behindDoc="0" simplePos="0" relativeHeight="1574">
            <wp:simplePos x="0" y="0"/>
            <wp:positionH relativeFrom="page">
              <wp:posOffset>626427</wp:posOffset>
            </wp:positionH>
            <wp:positionV relativeFrom="paragraph">
              <wp:posOffset>132517</wp:posOffset>
            </wp:positionV>
            <wp:extent cx="6291889" cy="4543425"/>
            <wp:effectExtent l="0" t="0" r="0" b="0"/>
            <wp:wrapTopAndBottom/>
            <wp:docPr id="331" name="image240.png"/>
            <wp:cNvGraphicFramePr>
              <a:graphicFrameLocks noChangeAspect="1"/>
            </wp:cNvGraphicFramePr>
            <a:graphic>
              <a:graphicData uri="http://schemas.openxmlformats.org/drawingml/2006/picture">
                <pic:pic>
                  <pic:nvPicPr>
                    <pic:cNvPr id="332" name="image240.png"/>
                    <pic:cNvPicPr/>
                  </pic:nvPicPr>
                  <pic:blipFill>
                    <a:blip r:embed="rId318" cstate="print"/>
                    <a:stretch>
                      <a:fillRect/>
                    </a:stretch>
                  </pic:blipFill>
                  <pic:spPr>
                    <a:xfrm>
                      <a:off x="0" y="0"/>
                      <a:ext cx="6291889" cy="4543425"/>
                    </a:xfrm>
                    <a:prstGeom prst="rect">
                      <a:avLst/>
                    </a:prstGeom>
                  </pic:spPr>
                </pic:pic>
              </a:graphicData>
            </a:graphic>
          </wp:anchor>
        </w:drawing>
      </w:r>
    </w:p>
    <w:p>
      <w:pPr>
        <w:pStyle w:val="BodyText"/>
        <w:spacing w:before="2"/>
        <w:rPr>
          <w:sz w:val="21"/>
        </w:rPr>
      </w:pPr>
    </w:p>
    <w:p>
      <w:pPr>
        <w:spacing w:before="0"/>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401" w:val="left" w:leader="none"/>
        </w:tabs>
        <w:spacing w:line="240" w:lineRule="auto" w:before="106" w:after="0"/>
        <w:ind w:left="1400" w:right="0" w:hanging="721"/>
        <w:jc w:val="left"/>
        <w:rPr>
          <w:sz w:val="22"/>
        </w:rPr>
      </w:pPr>
      <w:bookmarkStart w:name="_bookmark421" w:id="822"/>
      <w:bookmarkEnd w:id="822"/>
      <w:r>
        <w:rPr/>
      </w:r>
      <w:bookmarkStart w:name="_bookmark421" w:id="823"/>
      <w:bookmarkEnd w:id="823"/>
      <w:r>
        <w:rPr>
          <w:color w:val="1F664D"/>
          <w:w w:val="105"/>
          <w:sz w:val="22"/>
        </w:rPr>
        <w:t>E</w:t>
      </w:r>
      <w:r>
        <w:rPr>
          <w:color w:val="1F664D"/>
          <w:w w:val="105"/>
          <w:sz w:val="22"/>
        </w:rPr>
        <w:t>mbassy</w:t>
      </w:r>
      <w:r>
        <w:rPr>
          <w:color w:val="1F664D"/>
          <w:spacing w:val="-7"/>
          <w:w w:val="105"/>
          <w:sz w:val="22"/>
        </w:rPr>
        <w:t> </w:t>
      </w:r>
      <w:r>
        <w:rPr>
          <w:color w:val="1F664D"/>
          <w:w w:val="105"/>
          <w:sz w:val="22"/>
        </w:rPr>
        <w:t>TechZone</w:t>
      </w:r>
    </w:p>
    <w:p>
      <w:pPr>
        <w:pStyle w:val="BodyText"/>
        <w:rPr>
          <w:sz w:val="20"/>
        </w:rPr>
      </w:pPr>
    </w:p>
    <w:p>
      <w:pPr>
        <w:pStyle w:val="BodyText"/>
        <w:spacing w:before="9"/>
        <w:rPr>
          <w:sz w:val="13"/>
        </w:rPr>
      </w:pPr>
      <w:r>
        <w:rPr/>
        <w:drawing>
          <wp:anchor distT="0" distB="0" distL="0" distR="0" allowOverlap="1" layoutInCell="1" locked="0" behindDoc="0" simplePos="0" relativeHeight="1575">
            <wp:simplePos x="0" y="0"/>
            <wp:positionH relativeFrom="page">
              <wp:posOffset>456565</wp:posOffset>
            </wp:positionH>
            <wp:positionV relativeFrom="paragraph">
              <wp:posOffset>126658</wp:posOffset>
            </wp:positionV>
            <wp:extent cx="6662774" cy="3676650"/>
            <wp:effectExtent l="0" t="0" r="0" b="0"/>
            <wp:wrapTopAndBottom/>
            <wp:docPr id="333" name="image241.png"/>
            <wp:cNvGraphicFramePr>
              <a:graphicFrameLocks noChangeAspect="1"/>
            </wp:cNvGraphicFramePr>
            <a:graphic>
              <a:graphicData uri="http://schemas.openxmlformats.org/drawingml/2006/picture">
                <pic:pic>
                  <pic:nvPicPr>
                    <pic:cNvPr id="334" name="image241.png"/>
                    <pic:cNvPicPr/>
                  </pic:nvPicPr>
                  <pic:blipFill>
                    <a:blip r:embed="rId319" cstate="print"/>
                    <a:stretch>
                      <a:fillRect/>
                    </a:stretch>
                  </pic:blipFill>
                  <pic:spPr>
                    <a:xfrm>
                      <a:off x="0" y="0"/>
                      <a:ext cx="6662774" cy="3676650"/>
                    </a:xfrm>
                    <a:prstGeom prst="rect">
                      <a:avLst/>
                    </a:prstGeom>
                  </pic:spPr>
                </pic:pic>
              </a:graphicData>
            </a:graphic>
          </wp:anchor>
        </w:drawing>
      </w:r>
    </w:p>
    <w:p>
      <w:pPr>
        <w:spacing w:before="190"/>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401" w:val="left" w:leader="none"/>
        </w:tabs>
        <w:spacing w:line="240" w:lineRule="auto" w:before="106" w:after="0"/>
        <w:ind w:left="1400" w:right="0" w:hanging="721"/>
        <w:jc w:val="left"/>
        <w:rPr>
          <w:sz w:val="22"/>
        </w:rPr>
      </w:pPr>
      <w:bookmarkStart w:name="_bookmark422" w:id="824"/>
      <w:bookmarkEnd w:id="824"/>
      <w:r>
        <w:rPr/>
      </w:r>
      <w:bookmarkStart w:name="_bookmark422" w:id="825"/>
      <w:bookmarkEnd w:id="825"/>
      <w:r>
        <w:rPr>
          <w:color w:val="1F664D"/>
          <w:w w:val="105"/>
          <w:sz w:val="22"/>
        </w:rPr>
        <w:t>E</w:t>
      </w:r>
      <w:r>
        <w:rPr>
          <w:color w:val="1F664D"/>
          <w:w w:val="105"/>
          <w:sz w:val="22"/>
        </w:rPr>
        <w:t>mbassy</w:t>
      </w:r>
      <w:r>
        <w:rPr>
          <w:color w:val="1F664D"/>
          <w:spacing w:val="-6"/>
          <w:w w:val="105"/>
          <w:sz w:val="22"/>
        </w:rPr>
        <w:t> </w:t>
      </w:r>
      <w:r>
        <w:rPr>
          <w:color w:val="1F664D"/>
          <w:w w:val="105"/>
          <w:sz w:val="22"/>
        </w:rPr>
        <w:t>Quadron</w:t>
      </w:r>
    </w:p>
    <w:p>
      <w:pPr>
        <w:pStyle w:val="BodyText"/>
        <w:rPr>
          <w:sz w:val="20"/>
        </w:rPr>
      </w:pPr>
    </w:p>
    <w:p>
      <w:pPr>
        <w:pStyle w:val="BodyText"/>
        <w:spacing w:before="3"/>
        <w:rPr>
          <w:sz w:val="24"/>
        </w:rPr>
      </w:pPr>
      <w:r>
        <w:rPr/>
        <w:drawing>
          <wp:anchor distT="0" distB="0" distL="0" distR="0" allowOverlap="1" layoutInCell="1" locked="0" behindDoc="0" simplePos="0" relativeHeight="1576">
            <wp:simplePos x="0" y="0"/>
            <wp:positionH relativeFrom="page">
              <wp:posOffset>2247519</wp:posOffset>
            </wp:positionH>
            <wp:positionV relativeFrom="paragraph">
              <wp:posOffset>204128</wp:posOffset>
            </wp:positionV>
            <wp:extent cx="3028950" cy="5391150"/>
            <wp:effectExtent l="0" t="0" r="0" b="0"/>
            <wp:wrapTopAndBottom/>
            <wp:docPr id="335" name="image242.jpeg"/>
            <wp:cNvGraphicFramePr>
              <a:graphicFrameLocks noChangeAspect="1"/>
            </wp:cNvGraphicFramePr>
            <a:graphic>
              <a:graphicData uri="http://schemas.openxmlformats.org/drawingml/2006/picture">
                <pic:pic>
                  <pic:nvPicPr>
                    <pic:cNvPr id="336" name="image242.jpeg"/>
                    <pic:cNvPicPr/>
                  </pic:nvPicPr>
                  <pic:blipFill>
                    <a:blip r:embed="rId320" cstate="print"/>
                    <a:stretch>
                      <a:fillRect/>
                    </a:stretch>
                  </pic:blipFill>
                  <pic:spPr>
                    <a:xfrm>
                      <a:off x="0" y="0"/>
                      <a:ext cx="3028950" cy="5391150"/>
                    </a:xfrm>
                    <a:prstGeom prst="rect">
                      <a:avLst/>
                    </a:prstGeom>
                  </pic:spPr>
                </pic:pic>
              </a:graphicData>
            </a:graphic>
          </wp:anchor>
        </w:drawing>
      </w:r>
    </w:p>
    <w:p>
      <w:pPr>
        <w:pStyle w:val="BodyText"/>
        <w:spacing w:before="2"/>
        <w:rPr>
          <w:sz w:val="21"/>
        </w:rPr>
      </w:pPr>
    </w:p>
    <w:p>
      <w:pPr>
        <w:spacing w:before="1"/>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468" w:val="left" w:leader="none"/>
        </w:tabs>
        <w:spacing w:line="240" w:lineRule="auto" w:before="106" w:after="0"/>
        <w:ind w:left="1467" w:right="0" w:hanging="788"/>
        <w:jc w:val="left"/>
        <w:rPr>
          <w:sz w:val="22"/>
        </w:rPr>
      </w:pPr>
      <w:bookmarkStart w:name="_bookmark423" w:id="826"/>
      <w:bookmarkEnd w:id="826"/>
      <w:r>
        <w:rPr>
          <w:color w:val="1F664D"/>
          <w:w w:val="105"/>
          <w:sz w:val="22"/>
        </w:rPr>
        <w:t>E</w:t>
      </w:r>
      <w:r>
        <w:rPr>
          <w:color w:val="1F664D"/>
          <w:w w:val="105"/>
          <w:sz w:val="22"/>
        </w:rPr>
        <w:t>mbassy</w:t>
      </w:r>
      <w:r>
        <w:rPr>
          <w:color w:val="1F664D"/>
          <w:spacing w:val="-4"/>
          <w:w w:val="105"/>
          <w:sz w:val="22"/>
        </w:rPr>
        <w:t> </w:t>
      </w:r>
      <w:r>
        <w:rPr>
          <w:color w:val="1F664D"/>
          <w:w w:val="105"/>
          <w:sz w:val="22"/>
        </w:rPr>
        <w:t>Qubix</w:t>
      </w:r>
    </w:p>
    <w:p>
      <w:pPr>
        <w:pStyle w:val="BodyText"/>
        <w:spacing w:before="7"/>
        <w:rPr>
          <w:sz w:val="14"/>
        </w:rPr>
      </w:pPr>
      <w:r>
        <w:rPr/>
        <w:drawing>
          <wp:anchor distT="0" distB="0" distL="0" distR="0" allowOverlap="1" layoutInCell="1" locked="0" behindDoc="0" simplePos="0" relativeHeight="1577">
            <wp:simplePos x="0" y="0"/>
            <wp:positionH relativeFrom="page">
              <wp:posOffset>1418844</wp:posOffset>
            </wp:positionH>
            <wp:positionV relativeFrom="paragraph">
              <wp:posOffset>132517</wp:posOffset>
            </wp:positionV>
            <wp:extent cx="4714875" cy="3505200"/>
            <wp:effectExtent l="0" t="0" r="0" b="0"/>
            <wp:wrapTopAndBottom/>
            <wp:docPr id="337" name="image243.jpeg"/>
            <wp:cNvGraphicFramePr>
              <a:graphicFrameLocks noChangeAspect="1"/>
            </wp:cNvGraphicFramePr>
            <a:graphic>
              <a:graphicData uri="http://schemas.openxmlformats.org/drawingml/2006/picture">
                <pic:pic>
                  <pic:nvPicPr>
                    <pic:cNvPr id="338" name="image243.jpeg"/>
                    <pic:cNvPicPr/>
                  </pic:nvPicPr>
                  <pic:blipFill>
                    <a:blip r:embed="rId321" cstate="print"/>
                    <a:stretch>
                      <a:fillRect/>
                    </a:stretch>
                  </pic:blipFill>
                  <pic:spPr>
                    <a:xfrm>
                      <a:off x="0" y="0"/>
                      <a:ext cx="4714875" cy="3505200"/>
                    </a:xfrm>
                    <a:prstGeom prst="rect">
                      <a:avLst/>
                    </a:prstGeom>
                  </pic:spPr>
                </pic:pic>
              </a:graphicData>
            </a:graphic>
          </wp:anchor>
        </w:drawing>
      </w:r>
    </w:p>
    <w:p>
      <w:pPr>
        <w:pStyle w:val="BodyText"/>
        <w:rPr>
          <w:sz w:val="26"/>
        </w:rPr>
      </w:pPr>
    </w:p>
    <w:p>
      <w:pPr>
        <w:pStyle w:val="BodyText"/>
        <w:spacing w:before="10"/>
        <w:rPr>
          <w:sz w:val="32"/>
        </w:rPr>
      </w:pPr>
    </w:p>
    <w:p>
      <w:pPr>
        <w:spacing w:before="0"/>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468" w:val="left" w:leader="none"/>
        </w:tabs>
        <w:spacing w:line="240" w:lineRule="auto" w:before="106" w:after="0"/>
        <w:ind w:left="1467" w:right="0" w:hanging="788"/>
        <w:jc w:val="left"/>
        <w:rPr>
          <w:sz w:val="22"/>
        </w:rPr>
      </w:pPr>
      <w:bookmarkStart w:name="_bookmark424" w:id="827"/>
      <w:bookmarkEnd w:id="827"/>
      <w:r>
        <w:rPr>
          <w:color w:val="1F664D"/>
          <w:w w:val="105"/>
          <w:sz w:val="22"/>
        </w:rPr>
        <w:t>E</w:t>
      </w:r>
      <w:r>
        <w:rPr>
          <w:color w:val="1F664D"/>
          <w:w w:val="105"/>
          <w:sz w:val="22"/>
        </w:rPr>
        <w:t>mbassy</w:t>
      </w:r>
      <w:r>
        <w:rPr>
          <w:color w:val="1F664D"/>
          <w:spacing w:val="-4"/>
          <w:w w:val="105"/>
          <w:sz w:val="22"/>
        </w:rPr>
        <w:t> </w:t>
      </w:r>
      <w:r>
        <w:rPr>
          <w:color w:val="1F664D"/>
          <w:w w:val="105"/>
          <w:sz w:val="22"/>
        </w:rPr>
        <w:t>Oxygen</w:t>
      </w:r>
    </w:p>
    <w:p>
      <w:pPr>
        <w:pStyle w:val="BodyText"/>
        <w:spacing w:before="10"/>
        <w:rPr>
          <w:sz w:val="24"/>
        </w:rPr>
      </w:pPr>
      <w:r>
        <w:rPr/>
        <w:drawing>
          <wp:anchor distT="0" distB="0" distL="0" distR="0" allowOverlap="1" layoutInCell="1" locked="0" behindDoc="0" simplePos="0" relativeHeight="1578">
            <wp:simplePos x="0" y="0"/>
            <wp:positionH relativeFrom="page">
              <wp:posOffset>751706</wp:posOffset>
            </wp:positionH>
            <wp:positionV relativeFrom="paragraph">
              <wp:posOffset>208640</wp:posOffset>
            </wp:positionV>
            <wp:extent cx="6359414" cy="4324350"/>
            <wp:effectExtent l="0" t="0" r="0" b="0"/>
            <wp:wrapTopAndBottom/>
            <wp:docPr id="339" name="image244.jpeg"/>
            <wp:cNvGraphicFramePr>
              <a:graphicFrameLocks noChangeAspect="1"/>
            </wp:cNvGraphicFramePr>
            <a:graphic>
              <a:graphicData uri="http://schemas.openxmlformats.org/drawingml/2006/picture">
                <pic:pic>
                  <pic:nvPicPr>
                    <pic:cNvPr id="340" name="image244.jpeg"/>
                    <pic:cNvPicPr/>
                  </pic:nvPicPr>
                  <pic:blipFill>
                    <a:blip r:embed="rId322" cstate="print"/>
                    <a:stretch>
                      <a:fillRect/>
                    </a:stretch>
                  </pic:blipFill>
                  <pic:spPr>
                    <a:xfrm>
                      <a:off x="0" y="0"/>
                      <a:ext cx="6359414" cy="4324350"/>
                    </a:xfrm>
                    <a:prstGeom prst="rect">
                      <a:avLst/>
                    </a:prstGeom>
                  </pic:spPr>
                </pic:pic>
              </a:graphicData>
            </a:graphic>
          </wp:anchor>
        </w:drawing>
      </w:r>
    </w:p>
    <w:p>
      <w:pPr>
        <w:pStyle w:val="BodyText"/>
        <w:rPr>
          <w:sz w:val="26"/>
        </w:rPr>
      </w:pPr>
    </w:p>
    <w:p>
      <w:pPr>
        <w:spacing w:before="169"/>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401" w:val="left" w:leader="none"/>
        </w:tabs>
        <w:spacing w:line="240" w:lineRule="auto" w:before="106" w:after="0"/>
        <w:ind w:left="1400" w:right="0" w:hanging="721"/>
        <w:jc w:val="left"/>
        <w:rPr>
          <w:sz w:val="22"/>
        </w:rPr>
      </w:pPr>
      <w:bookmarkStart w:name="_bookmark425" w:id="828"/>
      <w:bookmarkEnd w:id="828"/>
      <w:r>
        <w:rPr/>
      </w:r>
      <w:bookmarkStart w:name="_bookmark425" w:id="829"/>
      <w:bookmarkEnd w:id="829"/>
      <w:r>
        <w:rPr>
          <w:color w:val="1F664D"/>
          <w:w w:val="105"/>
          <w:sz w:val="22"/>
        </w:rPr>
        <w:t>E</w:t>
      </w:r>
      <w:r>
        <w:rPr>
          <w:color w:val="1F664D"/>
          <w:w w:val="105"/>
          <w:sz w:val="22"/>
        </w:rPr>
        <w:t>mbassy</w:t>
      </w:r>
      <w:r>
        <w:rPr>
          <w:color w:val="1F664D"/>
          <w:spacing w:val="-6"/>
          <w:w w:val="105"/>
          <w:sz w:val="22"/>
        </w:rPr>
        <w:t> </w:t>
      </w:r>
      <w:r>
        <w:rPr>
          <w:color w:val="1F664D"/>
          <w:w w:val="105"/>
          <w:sz w:val="22"/>
        </w:rPr>
        <w:t>Galaxy</w:t>
      </w:r>
    </w:p>
    <w:p>
      <w:pPr>
        <w:pStyle w:val="BodyText"/>
        <w:spacing w:before="7"/>
        <w:rPr>
          <w:sz w:val="14"/>
        </w:rPr>
      </w:pPr>
      <w:r>
        <w:rPr/>
        <w:drawing>
          <wp:anchor distT="0" distB="0" distL="0" distR="0" allowOverlap="1" layoutInCell="1" locked="0" behindDoc="0" simplePos="0" relativeHeight="1579">
            <wp:simplePos x="0" y="0"/>
            <wp:positionH relativeFrom="page">
              <wp:posOffset>1037907</wp:posOffset>
            </wp:positionH>
            <wp:positionV relativeFrom="paragraph">
              <wp:posOffset>132517</wp:posOffset>
            </wp:positionV>
            <wp:extent cx="5476874" cy="5410200"/>
            <wp:effectExtent l="0" t="0" r="0" b="0"/>
            <wp:wrapTopAndBottom/>
            <wp:docPr id="341" name="image245.jpeg"/>
            <wp:cNvGraphicFramePr>
              <a:graphicFrameLocks noChangeAspect="1"/>
            </wp:cNvGraphicFramePr>
            <a:graphic>
              <a:graphicData uri="http://schemas.openxmlformats.org/drawingml/2006/picture">
                <pic:pic>
                  <pic:nvPicPr>
                    <pic:cNvPr id="342" name="image245.jpeg"/>
                    <pic:cNvPicPr/>
                  </pic:nvPicPr>
                  <pic:blipFill>
                    <a:blip r:embed="rId323" cstate="print"/>
                    <a:stretch>
                      <a:fillRect/>
                    </a:stretch>
                  </pic:blipFill>
                  <pic:spPr>
                    <a:xfrm>
                      <a:off x="0" y="0"/>
                      <a:ext cx="5476874" cy="5410200"/>
                    </a:xfrm>
                    <a:prstGeom prst="rect">
                      <a:avLst/>
                    </a:prstGeom>
                  </pic:spPr>
                </pic:pic>
              </a:graphicData>
            </a:graphic>
          </wp:anchor>
        </w:drawing>
      </w:r>
    </w:p>
    <w:p>
      <w:pPr>
        <w:pStyle w:val="BodyText"/>
        <w:spacing w:before="7"/>
        <w:rPr>
          <w:sz w:val="27"/>
        </w:rPr>
      </w:pPr>
    </w:p>
    <w:p>
      <w:pPr>
        <w:spacing w:before="0"/>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545" w:val="left" w:leader="none"/>
        </w:tabs>
        <w:spacing w:line="240" w:lineRule="auto" w:before="106" w:after="0"/>
        <w:ind w:left="1544" w:right="0" w:hanging="865"/>
        <w:jc w:val="left"/>
        <w:rPr>
          <w:sz w:val="22"/>
        </w:rPr>
      </w:pPr>
      <w:bookmarkStart w:name="_bookmark426" w:id="830"/>
      <w:bookmarkEnd w:id="830"/>
      <w:r>
        <w:rPr>
          <w:color w:val="1F664D"/>
          <w:w w:val="105"/>
          <w:sz w:val="22"/>
        </w:rPr>
        <w:t>E</w:t>
      </w:r>
      <w:r>
        <w:rPr>
          <w:color w:val="1F664D"/>
          <w:w w:val="105"/>
          <w:sz w:val="22"/>
        </w:rPr>
        <w:t>mbassy</w:t>
      </w:r>
      <w:r>
        <w:rPr>
          <w:color w:val="1F664D"/>
          <w:spacing w:val="-5"/>
          <w:w w:val="105"/>
          <w:sz w:val="22"/>
        </w:rPr>
        <w:t> </w:t>
      </w:r>
      <w:r>
        <w:rPr>
          <w:color w:val="1F664D"/>
          <w:w w:val="105"/>
          <w:sz w:val="22"/>
        </w:rPr>
        <w:t>GolfLinks</w:t>
      </w:r>
    </w:p>
    <w:p>
      <w:pPr>
        <w:pStyle w:val="BodyText"/>
        <w:spacing w:before="7"/>
        <w:rPr>
          <w:sz w:val="14"/>
        </w:rPr>
      </w:pPr>
      <w:r>
        <w:rPr/>
        <w:drawing>
          <wp:anchor distT="0" distB="0" distL="0" distR="0" allowOverlap="1" layoutInCell="1" locked="0" behindDoc="0" simplePos="0" relativeHeight="1580">
            <wp:simplePos x="0" y="0"/>
            <wp:positionH relativeFrom="page">
              <wp:posOffset>714057</wp:posOffset>
            </wp:positionH>
            <wp:positionV relativeFrom="paragraph">
              <wp:posOffset>132517</wp:posOffset>
            </wp:positionV>
            <wp:extent cx="6131210" cy="4114800"/>
            <wp:effectExtent l="0" t="0" r="0" b="0"/>
            <wp:wrapTopAndBottom/>
            <wp:docPr id="343" name="image246.png"/>
            <wp:cNvGraphicFramePr>
              <a:graphicFrameLocks noChangeAspect="1"/>
            </wp:cNvGraphicFramePr>
            <a:graphic>
              <a:graphicData uri="http://schemas.openxmlformats.org/drawingml/2006/picture">
                <pic:pic>
                  <pic:nvPicPr>
                    <pic:cNvPr id="344" name="image246.png"/>
                    <pic:cNvPicPr/>
                  </pic:nvPicPr>
                  <pic:blipFill>
                    <a:blip r:embed="rId324" cstate="print"/>
                    <a:stretch>
                      <a:fillRect/>
                    </a:stretch>
                  </pic:blipFill>
                  <pic:spPr>
                    <a:xfrm>
                      <a:off x="0" y="0"/>
                      <a:ext cx="6131210" cy="4114800"/>
                    </a:xfrm>
                    <a:prstGeom prst="rect">
                      <a:avLst/>
                    </a:prstGeom>
                  </pic:spPr>
                </pic:pic>
              </a:graphicData>
            </a:graphic>
          </wp:anchor>
        </w:drawing>
      </w:r>
    </w:p>
    <w:p>
      <w:pPr>
        <w:spacing w:before="203"/>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480" w:val="left" w:leader="none"/>
        </w:tabs>
        <w:spacing w:line="240" w:lineRule="auto" w:before="106" w:after="0"/>
        <w:ind w:left="1479" w:right="0" w:hanging="800"/>
        <w:jc w:val="left"/>
        <w:rPr>
          <w:sz w:val="22"/>
        </w:rPr>
      </w:pPr>
      <w:bookmarkStart w:name="_bookmark427" w:id="831"/>
      <w:bookmarkEnd w:id="831"/>
      <w:r>
        <w:rPr/>
      </w:r>
      <w:bookmarkStart w:name="_bookmark427" w:id="832"/>
      <w:bookmarkEnd w:id="832"/>
      <w:r>
        <w:rPr>
          <w:color w:val="1F664D"/>
          <w:w w:val="110"/>
          <w:sz w:val="22"/>
        </w:rPr>
        <w:t>E</w:t>
      </w:r>
      <w:r>
        <w:rPr>
          <w:color w:val="1F664D"/>
          <w:w w:val="110"/>
          <w:sz w:val="22"/>
        </w:rPr>
        <w:t>mbassy</w:t>
      </w:r>
      <w:r>
        <w:rPr>
          <w:color w:val="1F664D"/>
          <w:spacing w:val="-10"/>
          <w:w w:val="110"/>
          <w:sz w:val="22"/>
        </w:rPr>
        <w:t> </w:t>
      </w:r>
      <w:r>
        <w:rPr>
          <w:color w:val="1F664D"/>
          <w:w w:val="110"/>
          <w:sz w:val="22"/>
        </w:rPr>
        <w:t>One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r>
        <w:rPr/>
        <w:drawing>
          <wp:anchor distT="0" distB="0" distL="0" distR="0" allowOverlap="1" layoutInCell="1" locked="0" behindDoc="0" simplePos="0" relativeHeight="1581">
            <wp:simplePos x="0" y="0"/>
            <wp:positionH relativeFrom="page">
              <wp:posOffset>1358205</wp:posOffset>
            </wp:positionH>
            <wp:positionV relativeFrom="paragraph">
              <wp:posOffset>159207</wp:posOffset>
            </wp:positionV>
            <wp:extent cx="5024022" cy="4352925"/>
            <wp:effectExtent l="0" t="0" r="0" b="0"/>
            <wp:wrapTopAndBottom/>
            <wp:docPr id="345" name="image247.jpeg"/>
            <wp:cNvGraphicFramePr>
              <a:graphicFrameLocks noChangeAspect="1"/>
            </wp:cNvGraphicFramePr>
            <a:graphic>
              <a:graphicData uri="http://schemas.openxmlformats.org/drawingml/2006/picture">
                <pic:pic>
                  <pic:nvPicPr>
                    <pic:cNvPr id="346" name="image247.jpeg"/>
                    <pic:cNvPicPr/>
                  </pic:nvPicPr>
                  <pic:blipFill>
                    <a:blip r:embed="rId325" cstate="print"/>
                    <a:stretch>
                      <a:fillRect/>
                    </a:stretch>
                  </pic:blipFill>
                  <pic:spPr>
                    <a:xfrm>
                      <a:off x="0" y="0"/>
                      <a:ext cx="5024022" cy="4352925"/>
                    </a:xfrm>
                    <a:prstGeom prst="rect">
                      <a:avLst/>
                    </a:prstGeom>
                  </pic:spPr>
                </pic:pic>
              </a:graphicData>
            </a:graphic>
          </wp:anchor>
        </w:drawing>
      </w:r>
    </w:p>
    <w:p>
      <w:pPr>
        <w:pStyle w:val="BodyText"/>
        <w:spacing w:before="1"/>
        <w:rPr>
          <w:sz w:val="26"/>
        </w:rPr>
      </w:pPr>
    </w:p>
    <w:p>
      <w:pPr>
        <w:spacing w:before="0"/>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545" w:val="left" w:leader="none"/>
        </w:tabs>
        <w:spacing w:line="240" w:lineRule="auto" w:before="106" w:after="0"/>
        <w:ind w:left="1544" w:right="0" w:hanging="865"/>
        <w:jc w:val="left"/>
        <w:rPr>
          <w:sz w:val="22"/>
        </w:rPr>
      </w:pPr>
      <w:bookmarkStart w:name="_bookmark428" w:id="833"/>
      <w:bookmarkEnd w:id="833"/>
      <w:r>
        <w:rPr>
          <w:color w:val="1F664D"/>
          <w:sz w:val="22"/>
        </w:rPr>
        <w:t>Hilto</w:t>
      </w:r>
      <w:r>
        <w:rPr>
          <w:color w:val="1F664D"/>
          <w:sz w:val="22"/>
        </w:rPr>
        <w:t>n at</w:t>
      </w:r>
      <w:r>
        <w:rPr>
          <w:color w:val="1F664D"/>
          <w:spacing w:val="-4"/>
          <w:sz w:val="22"/>
        </w:rPr>
        <w:t> </w:t>
      </w:r>
      <w:r>
        <w:rPr>
          <w:color w:val="1F664D"/>
          <w:sz w:val="22"/>
        </w:rPr>
        <w:t>GolfLinks</w:t>
      </w:r>
    </w:p>
    <w:p>
      <w:pPr>
        <w:pStyle w:val="BodyText"/>
        <w:rPr>
          <w:sz w:val="20"/>
        </w:rPr>
      </w:pPr>
    </w:p>
    <w:p>
      <w:pPr>
        <w:pStyle w:val="BodyText"/>
        <w:spacing w:before="11"/>
        <w:rPr>
          <w:sz w:val="15"/>
        </w:rPr>
      </w:pPr>
      <w:r>
        <w:rPr/>
        <w:drawing>
          <wp:anchor distT="0" distB="0" distL="0" distR="0" allowOverlap="1" layoutInCell="1" locked="0" behindDoc="0" simplePos="0" relativeHeight="1582">
            <wp:simplePos x="0" y="0"/>
            <wp:positionH relativeFrom="page">
              <wp:posOffset>900747</wp:posOffset>
            </wp:positionH>
            <wp:positionV relativeFrom="paragraph">
              <wp:posOffset>142533</wp:posOffset>
            </wp:positionV>
            <wp:extent cx="5743919" cy="3638550"/>
            <wp:effectExtent l="0" t="0" r="0" b="0"/>
            <wp:wrapTopAndBottom/>
            <wp:docPr id="347" name="image248.jpeg"/>
            <wp:cNvGraphicFramePr>
              <a:graphicFrameLocks noChangeAspect="1"/>
            </wp:cNvGraphicFramePr>
            <a:graphic>
              <a:graphicData uri="http://schemas.openxmlformats.org/drawingml/2006/picture">
                <pic:pic>
                  <pic:nvPicPr>
                    <pic:cNvPr id="348" name="image248.jpeg"/>
                    <pic:cNvPicPr/>
                  </pic:nvPicPr>
                  <pic:blipFill>
                    <a:blip r:embed="rId326" cstate="print"/>
                    <a:stretch>
                      <a:fillRect/>
                    </a:stretch>
                  </pic:blipFill>
                  <pic:spPr>
                    <a:xfrm>
                      <a:off x="0" y="0"/>
                      <a:ext cx="5743919" cy="3638550"/>
                    </a:xfrm>
                    <a:prstGeom prst="rect">
                      <a:avLst/>
                    </a:prstGeom>
                  </pic:spPr>
                </pic:pic>
              </a:graphicData>
            </a:graphic>
          </wp:anchor>
        </w:drawing>
      </w:r>
    </w:p>
    <w:p>
      <w:pPr>
        <w:spacing w:before="225"/>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2"/>
          <w:numId w:val="99"/>
        </w:numPr>
        <w:tabs>
          <w:tab w:pos="1545" w:val="left" w:leader="none"/>
        </w:tabs>
        <w:spacing w:line="240" w:lineRule="auto" w:before="106" w:after="0"/>
        <w:ind w:left="1544" w:right="0" w:hanging="865"/>
        <w:jc w:val="left"/>
        <w:rPr>
          <w:sz w:val="22"/>
        </w:rPr>
      </w:pPr>
      <w:bookmarkStart w:name="_bookmark429" w:id="834"/>
      <w:bookmarkEnd w:id="834"/>
      <w:r>
        <w:rPr>
          <w:color w:val="1F664D"/>
          <w:w w:val="105"/>
          <w:sz w:val="22"/>
        </w:rPr>
        <w:t>E</w:t>
      </w:r>
      <w:r>
        <w:rPr>
          <w:color w:val="1F664D"/>
          <w:w w:val="105"/>
          <w:sz w:val="22"/>
        </w:rPr>
        <w:t>mbassy</w:t>
      </w:r>
      <w:r>
        <w:rPr>
          <w:color w:val="1F664D"/>
          <w:spacing w:val="-5"/>
          <w:w w:val="105"/>
          <w:sz w:val="22"/>
        </w:rPr>
        <w:t> </w:t>
      </w:r>
      <w:r>
        <w:rPr>
          <w:color w:val="1F664D"/>
          <w:w w:val="105"/>
          <w:sz w:val="22"/>
        </w:rPr>
        <w:t>Energy</w:t>
      </w:r>
    </w:p>
    <w:p>
      <w:pPr>
        <w:pStyle w:val="BodyText"/>
        <w:rPr>
          <w:sz w:val="20"/>
        </w:rPr>
      </w:pPr>
    </w:p>
    <w:p>
      <w:pPr>
        <w:pStyle w:val="BodyText"/>
        <w:spacing w:before="7"/>
        <w:rPr>
          <w:sz w:val="14"/>
        </w:rPr>
      </w:pPr>
      <w:r>
        <w:rPr/>
        <w:drawing>
          <wp:anchor distT="0" distB="0" distL="0" distR="0" allowOverlap="1" layoutInCell="1" locked="0" behindDoc="0" simplePos="0" relativeHeight="1583">
            <wp:simplePos x="0" y="0"/>
            <wp:positionH relativeFrom="page">
              <wp:posOffset>837882</wp:posOffset>
            </wp:positionH>
            <wp:positionV relativeFrom="paragraph">
              <wp:posOffset>132881</wp:posOffset>
            </wp:positionV>
            <wp:extent cx="2598178" cy="3886200"/>
            <wp:effectExtent l="0" t="0" r="0" b="0"/>
            <wp:wrapTopAndBottom/>
            <wp:docPr id="349" name="image249.jpeg"/>
            <wp:cNvGraphicFramePr>
              <a:graphicFrameLocks noChangeAspect="1"/>
            </wp:cNvGraphicFramePr>
            <a:graphic>
              <a:graphicData uri="http://schemas.openxmlformats.org/drawingml/2006/picture">
                <pic:pic>
                  <pic:nvPicPr>
                    <pic:cNvPr id="350" name="image249.jpeg"/>
                    <pic:cNvPicPr/>
                  </pic:nvPicPr>
                  <pic:blipFill>
                    <a:blip r:embed="rId327" cstate="print"/>
                    <a:stretch>
                      <a:fillRect/>
                    </a:stretch>
                  </pic:blipFill>
                  <pic:spPr>
                    <a:xfrm>
                      <a:off x="0" y="0"/>
                      <a:ext cx="2598178" cy="3886200"/>
                    </a:xfrm>
                    <a:prstGeom prst="rect">
                      <a:avLst/>
                    </a:prstGeom>
                  </pic:spPr>
                </pic:pic>
              </a:graphicData>
            </a:graphic>
          </wp:anchor>
        </w:drawing>
      </w:r>
      <w:r>
        <w:rPr/>
        <w:drawing>
          <wp:anchor distT="0" distB="0" distL="0" distR="0" allowOverlap="1" layoutInCell="1" locked="0" behindDoc="0" simplePos="0" relativeHeight="1584">
            <wp:simplePos x="0" y="0"/>
            <wp:positionH relativeFrom="page">
              <wp:posOffset>3525646</wp:posOffset>
            </wp:positionH>
            <wp:positionV relativeFrom="paragraph">
              <wp:posOffset>488354</wp:posOffset>
            </wp:positionV>
            <wp:extent cx="3195151" cy="3257550"/>
            <wp:effectExtent l="0" t="0" r="0" b="0"/>
            <wp:wrapTopAndBottom/>
            <wp:docPr id="351" name="image250.jpeg"/>
            <wp:cNvGraphicFramePr>
              <a:graphicFrameLocks noChangeAspect="1"/>
            </wp:cNvGraphicFramePr>
            <a:graphic>
              <a:graphicData uri="http://schemas.openxmlformats.org/drawingml/2006/picture">
                <pic:pic>
                  <pic:nvPicPr>
                    <pic:cNvPr id="352" name="image250.jpeg"/>
                    <pic:cNvPicPr/>
                  </pic:nvPicPr>
                  <pic:blipFill>
                    <a:blip r:embed="rId328" cstate="print"/>
                    <a:stretch>
                      <a:fillRect/>
                    </a:stretch>
                  </pic:blipFill>
                  <pic:spPr>
                    <a:xfrm>
                      <a:off x="0" y="0"/>
                      <a:ext cx="3195151" cy="3257550"/>
                    </a:xfrm>
                    <a:prstGeom prst="rect">
                      <a:avLst/>
                    </a:prstGeom>
                  </pic:spPr>
                </pic:pic>
              </a:graphicData>
            </a:graphic>
          </wp:anchor>
        </w:drawing>
      </w:r>
    </w:p>
    <w:p>
      <w:pPr>
        <w:spacing w:before="114"/>
        <w:ind w:left="680" w:right="0" w:firstLine="0"/>
        <w:jc w:val="left"/>
        <w:rPr>
          <w:i/>
          <w:sz w:val="18"/>
        </w:rPr>
      </w:pPr>
      <w:r>
        <w:rPr>
          <w:i/>
          <w:sz w:val="18"/>
        </w:rPr>
        <w:t>Source: Client</w:t>
      </w:r>
    </w:p>
    <w:p>
      <w:pPr>
        <w:spacing w:after="0"/>
        <w:jc w:val="left"/>
        <w:rPr>
          <w:sz w:val="18"/>
        </w:rPr>
        <w:sectPr>
          <w:pgSz w:w="11910" w:h="16840"/>
          <w:pgMar w:header="720" w:footer="862" w:top="1660" w:bottom="1060" w:left="40" w:right="40"/>
        </w:sectPr>
      </w:pPr>
    </w:p>
    <w:p>
      <w:pPr>
        <w:pStyle w:val="BodyText"/>
        <w:spacing w:before="7"/>
        <w:rPr>
          <w:i/>
          <w:sz w:val="9"/>
        </w:rPr>
      </w:pPr>
    </w:p>
    <w:p>
      <w:pPr>
        <w:pStyle w:val="ListParagraph"/>
        <w:numPr>
          <w:ilvl w:val="1"/>
          <w:numId w:val="99"/>
        </w:numPr>
        <w:tabs>
          <w:tab w:pos="1257" w:val="left" w:leader="none"/>
        </w:tabs>
        <w:spacing w:line="240" w:lineRule="auto" w:before="106" w:after="0"/>
        <w:ind w:left="1256" w:right="0" w:hanging="577"/>
        <w:jc w:val="left"/>
        <w:rPr>
          <w:sz w:val="22"/>
        </w:rPr>
      </w:pPr>
      <w:bookmarkStart w:name="_bookmark430" w:id="835"/>
      <w:bookmarkEnd w:id="835"/>
      <w:r>
        <w:rPr>
          <w:color w:val="1F6647"/>
          <w:sz w:val="22"/>
        </w:rPr>
        <w:t>S</w:t>
      </w:r>
      <w:r>
        <w:rPr>
          <w:color w:val="1F6647"/>
          <w:sz w:val="22"/>
        </w:rPr>
        <w:t>tatutory Approvals, One time Sanctions &amp; Periodic</w:t>
      </w:r>
      <w:r>
        <w:rPr>
          <w:color w:val="1F6647"/>
          <w:spacing w:val="-1"/>
          <w:sz w:val="22"/>
        </w:rPr>
        <w:t> </w:t>
      </w:r>
      <w:r>
        <w:rPr>
          <w:color w:val="1F6647"/>
          <w:sz w:val="22"/>
        </w:rPr>
        <w:t>Clearances</w:t>
      </w:r>
    </w:p>
    <w:p>
      <w:pPr>
        <w:pStyle w:val="BodyText"/>
        <w:spacing w:line="321" w:lineRule="auto" w:before="208"/>
        <w:ind w:left="1246" w:right="607"/>
      </w:pPr>
      <w:r>
        <w:rPr/>
        <w:t>Based</w:t>
      </w:r>
      <w:r>
        <w:rPr>
          <w:spacing w:val="-20"/>
        </w:rPr>
        <w:t> </w:t>
      </w:r>
      <w:r>
        <w:rPr/>
        <w:t>on</w:t>
      </w:r>
      <w:r>
        <w:rPr>
          <w:spacing w:val="-21"/>
        </w:rPr>
        <w:t> </w:t>
      </w:r>
      <w:r>
        <w:rPr/>
        <w:t>information</w:t>
      </w:r>
      <w:r>
        <w:rPr>
          <w:spacing w:val="-21"/>
        </w:rPr>
        <w:t> </w:t>
      </w:r>
      <w:r>
        <w:rPr/>
        <w:t>provided</w:t>
      </w:r>
      <w:r>
        <w:rPr>
          <w:spacing w:val="-21"/>
        </w:rPr>
        <w:t> </w:t>
      </w:r>
      <w:r>
        <w:rPr/>
        <w:t>by</w:t>
      </w:r>
      <w:r>
        <w:rPr>
          <w:spacing w:val="-19"/>
        </w:rPr>
        <w:t> </w:t>
      </w:r>
      <w:r>
        <w:rPr/>
        <w:t>the</w:t>
      </w:r>
      <w:r>
        <w:rPr>
          <w:spacing w:val="-21"/>
        </w:rPr>
        <w:t> </w:t>
      </w:r>
      <w:r>
        <w:rPr/>
        <w:t>Client,</w:t>
      </w:r>
      <w:r>
        <w:rPr>
          <w:spacing w:val="-21"/>
        </w:rPr>
        <w:t> </w:t>
      </w:r>
      <w:r>
        <w:rPr/>
        <w:t>please</w:t>
      </w:r>
      <w:r>
        <w:rPr>
          <w:spacing w:val="-21"/>
        </w:rPr>
        <w:t> </w:t>
      </w:r>
      <w:r>
        <w:rPr/>
        <w:t>find</w:t>
      </w:r>
      <w:r>
        <w:rPr>
          <w:spacing w:val="-21"/>
        </w:rPr>
        <w:t> </w:t>
      </w:r>
      <w:r>
        <w:rPr/>
        <w:t>below</w:t>
      </w:r>
      <w:r>
        <w:rPr>
          <w:spacing w:val="-20"/>
        </w:rPr>
        <w:t> </w:t>
      </w:r>
      <w:r>
        <w:rPr/>
        <w:t>the</w:t>
      </w:r>
      <w:r>
        <w:rPr>
          <w:spacing w:val="-16"/>
        </w:rPr>
        <w:t> </w:t>
      </w:r>
      <w:r>
        <w:rPr/>
        <w:t>details</w:t>
      </w:r>
      <w:r>
        <w:rPr>
          <w:spacing w:val="-22"/>
        </w:rPr>
        <w:t> </w:t>
      </w:r>
      <w:r>
        <w:rPr/>
        <w:t>of</w:t>
      </w:r>
      <w:r>
        <w:rPr>
          <w:spacing w:val="-20"/>
        </w:rPr>
        <w:t> </w:t>
      </w:r>
      <w:r>
        <w:rPr/>
        <w:t>Statutory</w:t>
      </w:r>
      <w:r>
        <w:rPr>
          <w:spacing w:val="-19"/>
        </w:rPr>
        <w:t> </w:t>
      </w:r>
      <w:r>
        <w:rPr/>
        <w:t>Approvals,</w:t>
      </w:r>
      <w:r>
        <w:rPr>
          <w:spacing w:val="-23"/>
        </w:rPr>
        <w:t> </w:t>
      </w:r>
      <w:r>
        <w:rPr/>
        <w:t>One time Sanctions &amp; Periodic</w:t>
      </w:r>
      <w:r>
        <w:rPr>
          <w:spacing w:val="-15"/>
        </w:rPr>
        <w:t> </w:t>
      </w:r>
      <w:r>
        <w:rPr/>
        <w:t>Clearances.</w:t>
      </w:r>
    </w:p>
    <w:p>
      <w:pPr>
        <w:pStyle w:val="BodyText"/>
        <w:spacing w:before="7"/>
        <w:rPr>
          <w:sz w:val="20"/>
        </w:rPr>
      </w:pPr>
    </w:p>
    <w:p>
      <w:pPr>
        <w:pStyle w:val="BodyText"/>
        <w:ind w:left="1246"/>
      </w:pPr>
      <w:r>
        <w:rPr>
          <w:u w:val="single"/>
        </w:rPr>
        <w:t>Embassy Manyata</w:t>
      </w:r>
    </w:p>
    <w:p>
      <w:pPr>
        <w:pStyle w:val="BodyText"/>
        <w:spacing w:before="1"/>
        <w:rPr>
          <w:sz w:val="19"/>
        </w:rPr>
      </w:pPr>
    </w:p>
    <w:p>
      <w:pPr>
        <w:pStyle w:val="BodyText"/>
        <w:spacing w:line="321" w:lineRule="auto" w:before="106"/>
        <w:ind w:left="1246" w:right="676"/>
        <w:jc w:val="both"/>
      </w:pPr>
      <w:r>
        <w:rPr/>
        <w:t>As per approval documents shared by the Client, it is understood that all requisite approvals and occupancy</w:t>
      </w:r>
      <w:r>
        <w:rPr>
          <w:spacing w:val="-18"/>
        </w:rPr>
        <w:t> </w:t>
      </w:r>
      <w:r>
        <w:rPr/>
        <w:t>certificates</w:t>
      </w:r>
      <w:r>
        <w:rPr>
          <w:spacing w:val="-18"/>
        </w:rPr>
        <w:t> </w:t>
      </w:r>
      <w:r>
        <w:rPr/>
        <w:t>for</w:t>
      </w:r>
      <w:r>
        <w:rPr>
          <w:spacing w:val="-20"/>
        </w:rPr>
        <w:t> </w:t>
      </w:r>
      <w:r>
        <w:rPr/>
        <w:t>the</w:t>
      </w:r>
      <w:r>
        <w:rPr>
          <w:spacing w:val="-19"/>
        </w:rPr>
        <w:t> </w:t>
      </w:r>
      <w:r>
        <w:rPr/>
        <w:t>operational</w:t>
      </w:r>
      <w:r>
        <w:rPr>
          <w:spacing w:val="-19"/>
        </w:rPr>
        <w:t> </w:t>
      </w:r>
      <w:r>
        <w:rPr/>
        <w:t>blocks</w:t>
      </w:r>
      <w:r>
        <w:rPr>
          <w:spacing w:val="-18"/>
        </w:rPr>
        <w:t> </w:t>
      </w:r>
      <w:r>
        <w:rPr/>
        <w:t>have</w:t>
      </w:r>
      <w:r>
        <w:rPr>
          <w:spacing w:val="-18"/>
        </w:rPr>
        <w:t> </w:t>
      </w:r>
      <w:r>
        <w:rPr/>
        <w:t>been</w:t>
      </w:r>
      <w:r>
        <w:rPr>
          <w:spacing w:val="-19"/>
        </w:rPr>
        <w:t> </w:t>
      </w:r>
      <w:r>
        <w:rPr/>
        <w:t>received.</w:t>
      </w:r>
      <w:r>
        <w:rPr>
          <w:spacing w:val="-18"/>
        </w:rPr>
        <w:t> </w:t>
      </w:r>
      <w:r>
        <w:rPr/>
        <w:t>The</w:t>
      </w:r>
      <w:r>
        <w:rPr>
          <w:spacing w:val="-20"/>
        </w:rPr>
        <w:t> </w:t>
      </w:r>
      <w:r>
        <w:rPr/>
        <w:t>Client</w:t>
      </w:r>
      <w:r>
        <w:rPr>
          <w:spacing w:val="-18"/>
        </w:rPr>
        <w:t> </w:t>
      </w:r>
      <w:r>
        <w:rPr/>
        <w:t>also</w:t>
      </w:r>
      <w:r>
        <w:rPr>
          <w:spacing w:val="-19"/>
        </w:rPr>
        <w:t> </w:t>
      </w:r>
      <w:r>
        <w:rPr/>
        <w:t>has</w:t>
      </w:r>
      <w:r>
        <w:rPr>
          <w:spacing w:val="-18"/>
        </w:rPr>
        <w:t> </w:t>
      </w:r>
      <w:r>
        <w:rPr/>
        <w:t>the</w:t>
      </w:r>
      <w:r>
        <w:rPr>
          <w:spacing w:val="-19"/>
        </w:rPr>
        <w:t> </w:t>
      </w:r>
      <w:r>
        <w:rPr/>
        <w:t>sanction plan for the entire development, hence for all the under-construction &amp; proposed blocks, individual approvals</w:t>
      </w:r>
      <w:r>
        <w:rPr>
          <w:spacing w:val="-6"/>
        </w:rPr>
        <w:t> </w:t>
      </w:r>
      <w:r>
        <w:rPr/>
        <w:t>will</w:t>
      </w:r>
      <w:r>
        <w:rPr>
          <w:spacing w:val="-7"/>
        </w:rPr>
        <w:t> </w:t>
      </w:r>
      <w:r>
        <w:rPr/>
        <w:t>be</w:t>
      </w:r>
      <w:r>
        <w:rPr>
          <w:spacing w:val="-6"/>
        </w:rPr>
        <w:t> </w:t>
      </w:r>
      <w:r>
        <w:rPr/>
        <w:t>obtained</w:t>
      </w:r>
      <w:r>
        <w:rPr>
          <w:spacing w:val="-6"/>
        </w:rPr>
        <w:t> </w:t>
      </w:r>
      <w:r>
        <w:rPr/>
        <w:t>as</w:t>
      </w:r>
      <w:r>
        <w:rPr>
          <w:spacing w:val="-5"/>
        </w:rPr>
        <w:t> </w:t>
      </w:r>
      <w:r>
        <w:rPr/>
        <w:t>and</w:t>
      </w:r>
      <w:r>
        <w:rPr>
          <w:spacing w:val="-8"/>
        </w:rPr>
        <w:t> </w:t>
      </w:r>
      <w:r>
        <w:rPr/>
        <w:t>when</w:t>
      </w:r>
      <w:r>
        <w:rPr>
          <w:spacing w:val="-7"/>
        </w:rPr>
        <w:t> </w:t>
      </w:r>
      <w:r>
        <w:rPr/>
        <w:t>the</w:t>
      </w:r>
      <w:r>
        <w:rPr>
          <w:spacing w:val="-6"/>
        </w:rPr>
        <w:t> </w:t>
      </w:r>
      <w:r>
        <w:rPr/>
        <w:t>development</w:t>
      </w:r>
      <w:r>
        <w:rPr>
          <w:spacing w:val="-7"/>
        </w:rPr>
        <w:t> </w:t>
      </w:r>
      <w:r>
        <w:rPr/>
        <w:t>is</w:t>
      </w:r>
      <w:r>
        <w:rPr>
          <w:spacing w:val="-5"/>
        </w:rPr>
        <w:t> </w:t>
      </w:r>
      <w:r>
        <w:rPr/>
        <w:t>initiated.</w:t>
      </w:r>
    </w:p>
    <w:p>
      <w:pPr>
        <w:pStyle w:val="BodyText"/>
        <w:rPr>
          <w:sz w:val="21"/>
        </w:rPr>
      </w:pPr>
    </w:p>
    <w:p>
      <w:pPr>
        <w:pStyle w:val="BodyText"/>
        <w:spacing w:line="319" w:lineRule="auto" w:before="1"/>
        <w:ind w:left="1246" w:right="675"/>
        <w:jc w:val="both"/>
      </w:pPr>
      <w:r>
        <w:rPr/>
        <w:t>The</w:t>
      </w:r>
      <w:r>
        <w:rPr>
          <w:spacing w:val="-41"/>
        </w:rPr>
        <w:t> </w:t>
      </w:r>
      <w:r>
        <w:rPr/>
        <w:t>details</w:t>
      </w:r>
      <w:r>
        <w:rPr>
          <w:spacing w:val="-39"/>
        </w:rPr>
        <w:t> </w:t>
      </w:r>
      <w:r>
        <w:rPr/>
        <w:t>of</w:t>
      </w:r>
      <w:r>
        <w:rPr>
          <w:spacing w:val="-39"/>
        </w:rPr>
        <w:t> </w:t>
      </w:r>
      <w:r>
        <w:rPr/>
        <w:t>the</w:t>
      </w:r>
      <w:r>
        <w:rPr>
          <w:spacing w:val="-39"/>
        </w:rPr>
        <w:t> </w:t>
      </w:r>
      <w:r>
        <w:rPr/>
        <w:t>Occupancy</w:t>
      </w:r>
      <w:r>
        <w:rPr>
          <w:spacing w:val="-39"/>
        </w:rPr>
        <w:t> </w:t>
      </w:r>
      <w:r>
        <w:rPr/>
        <w:t>Certificate</w:t>
      </w:r>
      <w:r>
        <w:rPr>
          <w:spacing w:val="-39"/>
        </w:rPr>
        <w:t> </w:t>
      </w:r>
      <w:r>
        <w:rPr/>
        <w:t>for</w:t>
      </w:r>
      <w:r>
        <w:rPr>
          <w:spacing w:val="-40"/>
        </w:rPr>
        <w:t> </w:t>
      </w:r>
      <w:r>
        <w:rPr/>
        <w:t>the</w:t>
      </w:r>
      <w:r>
        <w:rPr>
          <w:spacing w:val="-40"/>
        </w:rPr>
        <w:t> </w:t>
      </w:r>
      <w:r>
        <w:rPr/>
        <w:t>respective</w:t>
      </w:r>
      <w:r>
        <w:rPr>
          <w:spacing w:val="-38"/>
        </w:rPr>
        <w:t> </w:t>
      </w:r>
      <w:r>
        <w:rPr/>
        <w:t>completed</w:t>
      </w:r>
      <w:r>
        <w:rPr>
          <w:spacing w:val="-39"/>
        </w:rPr>
        <w:t> </w:t>
      </w:r>
      <w:r>
        <w:rPr/>
        <w:t>blocks</w:t>
      </w:r>
      <w:r>
        <w:rPr>
          <w:spacing w:val="-39"/>
        </w:rPr>
        <w:t> </w:t>
      </w:r>
      <w:r>
        <w:rPr/>
        <w:t>are</w:t>
      </w:r>
      <w:r>
        <w:rPr>
          <w:spacing w:val="-40"/>
        </w:rPr>
        <w:t> </w:t>
      </w:r>
      <w:r>
        <w:rPr/>
        <w:t>shared</w:t>
      </w:r>
      <w:r>
        <w:rPr>
          <w:spacing w:val="-39"/>
        </w:rPr>
        <w:t> </w:t>
      </w:r>
      <w:r>
        <w:rPr/>
        <w:t>by</w:t>
      </w:r>
      <w:r>
        <w:rPr>
          <w:spacing w:val="-39"/>
        </w:rPr>
        <w:t> </w:t>
      </w:r>
      <w:r>
        <w:rPr/>
        <w:t>the</w:t>
      </w:r>
      <w:r>
        <w:rPr>
          <w:spacing w:val="-39"/>
        </w:rPr>
        <w:t> </w:t>
      </w:r>
      <w:r>
        <w:rPr/>
        <w:t>Client</w:t>
      </w:r>
      <w:r>
        <w:rPr>
          <w:spacing w:val="-40"/>
        </w:rPr>
        <w:t> </w:t>
      </w:r>
      <w:r>
        <w:rPr/>
        <w:t>and the</w:t>
      </w:r>
      <w:r>
        <w:rPr>
          <w:spacing w:val="-22"/>
        </w:rPr>
        <w:t> </w:t>
      </w:r>
      <w:r>
        <w:rPr/>
        <w:t>same</w:t>
      </w:r>
      <w:r>
        <w:rPr>
          <w:spacing w:val="-21"/>
        </w:rPr>
        <w:t> </w:t>
      </w:r>
      <w:r>
        <w:rPr/>
        <w:t>has</w:t>
      </w:r>
      <w:r>
        <w:rPr>
          <w:spacing w:val="-21"/>
        </w:rPr>
        <w:t> </w:t>
      </w:r>
      <w:r>
        <w:rPr/>
        <w:t>been</w:t>
      </w:r>
      <w:r>
        <w:rPr>
          <w:spacing w:val="-21"/>
        </w:rPr>
        <w:t> </w:t>
      </w:r>
      <w:r>
        <w:rPr/>
        <w:t>reviewed</w:t>
      </w:r>
      <w:r>
        <w:rPr>
          <w:spacing w:val="-23"/>
        </w:rPr>
        <w:t> </w:t>
      </w:r>
      <w:r>
        <w:rPr/>
        <w:t>by</w:t>
      </w:r>
      <w:r>
        <w:rPr>
          <w:spacing w:val="-21"/>
        </w:rPr>
        <w:t> </w:t>
      </w:r>
      <w:r>
        <w:rPr/>
        <w:t>Consultants</w:t>
      </w:r>
      <w:r>
        <w:rPr>
          <w:spacing w:val="-21"/>
        </w:rPr>
        <w:t> </w:t>
      </w:r>
      <w:r>
        <w:rPr/>
        <w:t>and</w:t>
      </w:r>
      <w:r>
        <w:rPr>
          <w:spacing w:val="-20"/>
        </w:rPr>
        <w:t> </w:t>
      </w:r>
      <w:r>
        <w:rPr/>
        <w:t>considered</w:t>
      </w:r>
      <w:r>
        <w:rPr>
          <w:spacing w:val="-20"/>
        </w:rPr>
        <w:t> </w:t>
      </w:r>
      <w:r>
        <w:rPr/>
        <w:t>for</w:t>
      </w:r>
      <w:r>
        <w:rPr>
          <w:spacing w:val="-22"/>
        </w:rPr>
        <w:t> </w:t>
      </w:r>
      <w:r>
        <w:rPr/>
        <w:t>the</w:t>
      </w:r>
      <w:r>
        <w:rPr>
          <w:spacing w:val="-22"/>
        </w:rPr>
        <w:t> </w:t>
      </w:r>
      <w:r>
        <w:rPr/>
        <w:t>purpose</w:t>
      </w:r>
      <w:r>
        <w:rPr>
          <w:spacing w:val="-21"/>
        </w:rPr>
        <w:t> </w:t>
      </w:r>
      <w:r>
        <w:rPr/>
        <w:t>of</w:t>
      </w:r>
      <w:r>
        <w:rPr>
          <w:spacing w:val="-20"/>
        </w:rPr>
        <w:t> </w:t>
      </w:r>
      <w:r>
        <w:rPr/>
        <w:t>the</w:t>
      </w:r>
      <w:r>
        <w:rPr>
          <w:spacing w:val="-21"/>
        </w:rPr>
        <w:t> </w:t>
      </w:r>
      <w:r>
        <w:rPr/>
        <w:t>valuation</w:t>
      </w:r>
      <w:r>
        <w:rPr>
          <w:spacing w:val="-21"/>
        </w:rPr>
        <w:t> </w:t>
      </w:r>
      <w:r>
        <w:rPr/>
        <w:t>exercise:</w:t>
      </w:r>
    </w:p>
    <w:p>
      <w:pPr>
        <w:pStyle w:val="BodyText"/>
        <w:spacing w:before="10"/>
        <w:rPr>
          <w:sz w:val="21"/>
        </w:rPr>
      </w:pPr>
    </w:p>
    <w:tbl>
      <w:tblPr>
        <w:tblW w:w="0" w:type="auto"/>
        <w:jc w:val="left"/>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70"/>
        <w:gridCol w:w="4967"/>
        <w:gridCol w:w="2733"/>
      </w:tblGrid>
      <w:tr>
        <w:trPr>
          <w:trHeight w:val="323" w:hRule="atLeast"/>
        </w:trPr>
        <w:tc>
          <w:tcPr>
            <w:tcW w:w="2770" w:type="dxa"/>
            <w:tcBorders>
              <w:top w:val="single" w:sz="12" w:space="0" w:color="1F6B16"/>
              <w:bottom w:val="single" w:sz="6" w:space="0" w:color="69BD28"/>
            </w:tcBorders>
            <w:shd w:val="clear" w:color="auto" w:fill="006A4D"/>
          </w:tcPr>
          <w:p>
            <w:pPr>
              <w:pStyle w:val="TableParagraph"/>
              <w:spacing w:before="58"/>
              <w:ind w:left="359" w:right="338"/>
              <w:rPr>
                <w:b/>
                <w:sz w:val="18"/>
              </w:rPr>
            </w:pPr>
            <w:r>
              <w:rPr>
                <w:b/>
                <w:color w:val="FFFFFF"/>
                <w:w w:val="115"/>
                <w:sz w:val="18"/>
              </w:rPr>
              <w:t>Block Name</w:t>
            </w:r>
          </w:p>
        </w:tc>
        <w:tc>
          <w:tcPr>
            <w:tcW w:w="4967" w:type="dxa"/>
            <w:tcBorders>
              <w:top w:val="single" w:sz="12" w:space="0" w:color="1F6B16"/>
              <w:bottom w:val="single" w:sz="6" w:space="0" w:color="69BD28"/>
            </w:tcBorders>
            <w:shd w:val="clear" w:color="auto" w:fill="006A4D"/>
          </w:tcPr>
          <w:p>
            <w:pPr>
              <w:pStyle w:val="TableParagraph"/>
              <w:spacing w:before="58"/>
              <w:ind w:left="318" w:right="187"/>
              <w:rPr>
                <w:b/>
                <w:sz w:val="18"/>
              </w:rPr>
            </w:pPr>
            <w:r>
              <w:rPr>
                <w:b/>
                <w:color w:val="FFFFFF"/>
                <w:w w:val="105"/>
                <w:sz w:val="18"/>
              </w:rPr>
              <w:t>Authority</w:t>
            </w:r>
          </w:p>
        </w:tc>
        <w:tc>
          <w:tcPr>
            <w:tcW w:w="2733" w:type="dxa"/>
            <w:tcBorders>
              <w:top w:val="single" w:sz="12" w:space="0" w:color="1F6B16"/>
              <w:bottom w:val="single" w:sz="6" w:space="0" w:color="69BD28"/>
            </w:tcBorders>
            <w:shd w:val="clear" w:color="auto" w:fill="006A4D"/>
          </w:tcPr>
          <w:p>
            <w:pPr>
              <w:pStyle w:val="TableParagraph"/>
              <w:spacing w:before="58"/>
              <w:ind w:left="236" w:right="128"/>
              <w:rPr>
                <w:b/>
                <w:sz w:val="18"/>
              </w:rPr>
            </w:pPr>
            <w:r>
              <w:rPr>
                <w:b/>
                <w:color w:val="FFFFFF"/>
                <w:w w:val="110"/>
                <w:sz w:val="18"/>
              </w:rPr>
              <w:t>Date of Issue (DD-MM-YY)</w:t>
            </w:r>
          </w:p>
        </w:tc>
      </w:tr>
      <w:tr>
        <w:trPr>
          <w:trHeight w:val="256" w:hRule="atLeast"/>
        </w:trPr>
        <w:tc>
          <w:tcPr>
            <w:tcW w:w="2770" w:type="dxa"/>
            <w:tcBorders>
              <w:top w:val="single" w:sz="6" w:space="0" w:color="69BD28"/>
              <w:bottom w:val="single" w:sz="6" w:space="0" w:color="69BD28"/>
            </w:tcBorders>
          </w:tcPr>
          <w:p>
            <w:pPr>
              <w:pStyle w:val="TableParagraph"/>
              <w:spacing w:before="25"/>
              <w:ind w:left="358" w:right="339"/>
              <w:rPr>
                <w:sz w:val="18"/>
              </w:rPr>
            </w:pPr>
            <w:r>
              <w:rPr>
                <w:sz w:val="18"/>
              </w:rPr>
              <w:t>Jacaranda (C1)</w:t>
            </w:r>
          </w:p>
        </w:tc>
        <w:tc>
          <w:tcPr>
            <w:tcW w:w="4967" w:type="dxa"/>
            <w:tcBorders>
              <w:top w:val="single" w:sz="6" w:space="0" w:color="69BD28"/>
              <w:bottom w:val="single" w:sz="6" w:space="0" w:color="69BD28"/>
            </w:tcBorders>
          </w:tcPr>
          <w:p>
            <w:pPr>
              <w:pStyle w:val="TableParagraph"/>
              <w:spacing w:before="25"/>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17-04-09</w:t>
            </w:r>
          </w:p>
        </w:tc>
      </w:tr>
      <w:tr>
        <w:trPr>
          <w:trHeight w:val="256" w:hRule="atLeast"/>
        </w:trPr>
        <w:tc>
          <w:tcPr>
            <w:tcW w:w="2770" w:type="dxa"/>
            <w:tcBorders>
              <w:top w:val="single" w:sz="6" w:space="0" w:color="69BD28"/>
              <w:bottom w:val="single" w:sz="6" w:space="0" w:color="69BD28"/>
            </w:tcBorders>
          </w:tcPr>
          <w:p>
            <w:pPr>
              <w:pStyle w:val="TableParagraph"/>
              <w:spacing w:before="22"/>
              <w:ind w:left="359" w:right="339"/>
              <w:rPr>
                <w:sz w:val="18"/>
              </w:rPr>
            </w:pPr>
            <w:r>
              <w:rPr>
                <w:sz w:val="18"/>
              </w:rPr>
              <w:t>Cedar (C2)</w:t>
            </w:r>
          </w:p>
        </w:tc>
        <w:tc>
          <w:tcPr>
            <w:tcW w:w="4967" w:type="dxa"/>
            <w:tcBorders>
              <w:top w:val="single" w:sz="6" w:space="0" w:color="69BD28"/>
              <w:bottom w:val="single" w:sz="6" w:space="0" w:color="69BD28"/>
            </w:tcBorders>
          </w:tcPr>
          <w:p>
            <w:pPr>
              <w:pStyle w:val="TableParagraph"/>
              <w:spacing w:before="22"/>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2"/>
              <w:ind w:left="236" w:right="127"/>
              <w:rPr>
                <w:sz w:val="18"/>
              </w:rPr>
            </w:pPr>
            <w:r>
              <w:rPr>
                <w:w w:val="110"/>
                <w:sz w:val="18"/>
              </w:rPr>
              <w:t>17-04-09</w:t>
            </w:r>
          </w:p>
        </w:tc>
      </w:tr>
      <w:tr>
        <w:trPr>
          <w:trHeight w:val="256" w:hRule="atLeast"/>
        </w:trPr>
        <w:tc>
          <w:tcPr>
            <w:tcW w:w="2770" w:type="dxa"/>
            <w:tcBorders>
              <w:top w:val="single" w:sz="6" w:space="0" w:color="69BD28"/>
              <w:bottom w:val="single" w:sz="6" w:space="0" w:color="69BD28"/>
            </w:tcBorders>
          </w:tcPr>
          <w:p>
            <w:pPr>
              <w:pStyle w:val="TableParagraph"/>
              <w:spacing w:before="22"/>
              <w:ind w:left="357" w:right="339"/>
              <w:rPr>
                <w:sz w:val="18"/>
              </w:rPr>
            </w:pPr>
            <w:r>
              <w:rPr>
                <w:sz w:val="18"/>
              </w:rPr>
              <w:t>ELM (C4)</w:t>
            </w:r>
          </w:p>
        </w:tc>
        <w:tc>
          <w:tcPr>
            <w:tcW w:w="4967" w:type="dxa"/>
            <w:tcBorders>
              <w:top w:val="single" w:sz="6" w:space="0" w:color="69BD28"/>
              <w:bottom w:val="single" w:sz="6" w:space="0" w:color="69BD28"/>
            </w:tcBorders>
          </w:tcPr>
          <w:p>
            <w:pPr>
              <w:pStyle w:val="TableParagraph"/>
              <w:spacing w:before="22"/>
              <w:ind w:left="318"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2"/>
              <w:ind w:left="236" w:right="127"/>
              <w:rPr>
                <w:sz w:val="18"/>
              </w:rPr>
            </w:pPr>
            <w:r>
              <w:rPr>
                <w:w w:val="110"/>
                <w:sz w:val="18"/>
              </w:rPr>
              <w:t>17-04-09</w:t>
            </w:r>
          </w:p>
        </w:tc>
      </w:tr>
      <w:tr>
        <w:trPr>
          <w:trHeight w:val="256" w:hRule="atLeast"/>
        </w:trPr>
        <w:tc>
          <w:tcPr>
            <w:tcW w:w="2770" w:type="dxa"/>
            <w:tcBorders>
              <w:top w:val="single" w:sz="6" w:space="0" w:color="69BD28"/>
              <w:bottom w:val="single" w:sz="6" w:space="0" w:color="69BD28"/>
            </w:tcBorders>
          </w:tcPr>
          <w:p>
            <w:pPr>
              <w:pStyle w:val="TableParagraph"/>
              <w:spacing w:before="22"/>
              <w:ind w:left="359" w:right="338"/>
              <w:rPr>
                <w:sz w:val="18"/>
              </w:rPr>
            </w:pPr>
            <w:r>
              <w:rPr>
                <w:sz w:val="18"/>
              </w:rPr>
              <w:t>Alder (D1)</w:t>
            </w:r>
          </w:p>
        </w:tc>
        <w:tc>
          <w:tcPr>
            <w:tcW w:w="4967" w:type="dxa"/>
            <w:tcBorders>
              <w:top w:val="single" w:sz="6" w:space="0" w:color="69BD28"/>
              <w:bottom w:val="single" w:sz="6" w:space="0" w:color="69BD28"/>
            </w:tcBorders>
          </w:tcPr>
          <w:p>
            <w:pPr>
              <w:pStyle w:val="TableParagraph"/>
              <w:spacing w:before="22"/>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2"/>
              <w:ind w:left="236" w:right="127"/>
              <w:rPr>
                <w:sz w:val="18"/>
              </w:rPr>
            </w:pPr>
            <w:r>
              <w:rPr>
                <w:w w:val="110"/>
                <w:sz w:val="18"/>
              </w:rPr>
              <w:t>26-10-06</w:t>
            </w:r>
          </w:p>
        </w:tc>
      </w:tr>
      <w:tr>
        <w:trPr>
          <w:trHeight w:val="256" w:hRule="atLeast"/>
        </w:trPr>
        <w:tc>
          <w:tcPr>
            <w:tcW w:w="2770" w:type="dxa"/>
            <w:tcBorders>
              <w:top w:val="single" w:sz="6" w:space="0" w:color="69BD28"/>
              <w:bottom w:val="single" w:sz="6" w:space="0" w:color="69BD28"/>
            </w:tcBorders>
          </w:tcPr>
          <w:p>
            <w:pPr>
              <w:pStyle w:val="TableParagraph"/>
              <w:spacing w:before="22"/>
              <w:ind w:left="359" w:right="336"/>
              <w:rPr>
                <w:sz w:val="18"/>
              </w:rPr>
            </w:pPr>
            <w:r>
              <w:rPr>
                <w:sz w:val="18"/>
              </w:rPr>
              <w:t>Maple (D2)</w:t>
            </w:r>
          </w:p>
        </w:tc>
        <w:tc>
          <w:tcPr>
            <w:tcW w:w="4967" w:type="dxa"/>
            <w:tcBorders>
              <w:top w:val="single" w:sz="6" w:space="0" w:color="69BD28"/>
              <w:bottom w:val="single" w:sz="6" w:space="0" w:color="69BD28"/>
            </w:tcBorders>
          </w:tcPr>
          <w:p>
            <w:pPr>
              <w:pStyle w:val="TableParagraph"/>
              <w:spacing w:before="22"/>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2"/>
              <w:ind w:left="236" w:right="127"/>
              <w:rPr>
                <w:sz w:val="18"/>
              </w:rPr>
            </w:pPr>
            <w:r>
              <w:rPr>
                <w:w w:val="110"/>
                <w:sz w:val="18"/>
              </w:rPr>
              <w:t>26-10-06</w:t>
            </w:r>
          </w:p>
        </w:tc>
      </w:tr>
      <w:tr>
        <w:trPr>
          <w:trHeight w:val="254" w:hRule="atLeast"/>
        </w:trPr>
        <w:tc>
          <w:tcPr>
            <w:tcW w:w="2770" w:type="dxa"/>
            <w:tcBorders>
              <w:top w:val="single" w:sz="6" w:space="0" w:color="69BD28"/>
              <w:bottom w:val="single" w:sz="6" w:space="0" w:color="69BD28"/>
            </w:tcBorders>
          </w:tcPr>
          <w:p>
            <w:pPr>
              <w:pStyle w:val="TableParagraph"/>
              <w:spacing w:before="23"/>
              <w:ind w:left="356" w:right="339"/>
              <w:rPr>
                <w:sz w:val="18"/>
              </w:rPr>
            </w:pPr>
            <w:r>
              <w:rPr>
                <w:sz w:val="18"/>
              </w:rPr>
              <w:t>Redwood (D3)</w:t>
            </w:r>
          </w:p>
        </w:tc>
        <w:tc>
          <w:tcPr>
            <w:tcW w:w="4967" w:type="dxa"/>
            <w:tcBorders>
              <w:top w:val="single" w:sz="6" w:space="0" w:color="69BD28"/>
              <w:bottom w:val="single" w:sz="6" w:space="0" w:color="69BD28"/>
            </w:tcBorders>
          </w:tcPr>
          <w:p>
            <w:pPr>
              <w:pStyle w:val="TableParagraph"/>
              <w:spacing w:before="23"/>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3"/>
              <w:ind w:left="236" w:right="127"/>
              <w:rPr>
                <w:sz w:val="18"/>
              </w:rPr>
            </w:pPr>
            <w:r>
              <w:rPr>
                <w:w w:val="110"/>
                <w:sz w:val="18"/>
              </w:rPr>
              <w:t>13-07-07</w:t>
            </w:r>
          </w:p>
        </w:tc>
      </w:tr>
      <w:tr>
        <w:trPr>
          <w:trHeight w:val="256" w:hRule="atLeast"/>
        </w:trPr>
        <w:tc>
          <w:tcPr>
            <w:tcW w:w="2770" w:type="dxa"/>
            <w:tcBorders>
              <w:top w:val="single" w:sz="6" w:space="0" w:color="69BD28"/>
              <w:bottom w:val="single" w:sz="6" w:space="0" w:color="69BD28"/>
            </w:tcBorders>
          </w:tcPr>
          <w:p>
            <w:pPr>
              <w:pStyle w:val="TableParagraph"/>
              <w:spacing w:before="25"/>
              <w:ind w:left="359" w:right="339"/>
              <w:rPr>
                <w:sz w:val="18"/>
              </w:rPr>
            </w:pPr>
            <w:r>
              <w:rPr>
                <w:sz w:val="18"/>
              </w:rPr>
              <w:t>Cypress (D4)</w:t>
            </w:r>
          </w:p>
        </w:tc>
        <w:tc>
          <w:tcPr>
            <w:tcW w:w="4967" w:type="dxa"/>
            <w:tcBorders>
              <w:top w:val="single" w:sz="6" w:space="0" w:color="69BD28"/>
              <w:bottom w:val="single" w:sz="6" w:space="0" w:color="69BD28"/>
            </w:tcBorders>
          </w:tcPr>
          <w:p>
            <w:pPr>
              <w:pStyle w:val="TableParagraph"/>
              <w:spacing w:before="25"/>
              <w:ind w:left="317"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03-08-07</w:t>
            </w:r>
          </w:p>
        </w:tc>
      </w:tr>
      <w:tr>
        <w:trPr>
          <w:trHeight w:val="256" w:hRule="atLeast"/>
        </w:trPr>
        <w:tc>
          <w:tcPr>
            <w:tcW w:w="2770" w:type="dxa"/>
            <w:tcBorders>
              <w:top w:val="single" w:sz="6" w:space="0" w:color="69BD28"/>
              <w:bottom w:val="single" w:sz="6" w:space="0" w:color="69BD28"/>
            </w:tcBorders>
          </w:tcPr>
          <w:p>
            <w:pPr>
              <w:pStyle w:val="TableParagraph"/>
              <w:spacing w:before="25"/>
              <w:ind w:left="356" w:right="339"/>
              <w:rPr>
                <w:sz w:val="18"/>
              </w:rPr>
            </w:pPr>
            <w:r>
              <w:rPr>
                <w:sz w:val="18"/>
              </w:rPr>
              <w:t>Beech (E1&amp;FC)</w:t>
            </w:r>
          </w:p>
        </w:tc>
        <w:tc>
          <w:tcPr>
            <w:tcW w:w="4967" w:type="dxa"/>
            <w:tcBorders>
              <w:top w:val="single" w:sz="6" w:space="0" w:color="69BD28"/>
              <w:bottom w:val="single" w:sz="6" w:space="0" w:color="69BD28"/>
            </w:tcBorders>
          </w:tcPr>
          <w:p>
            <w:pPr>
              <w:pStyle w:val="TableParagraph"/>
              <w:spacing w:before="25"/>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12-02-08</w:t>
            </w:r>
          </w:p>
        </w:tc>
      </w:tr>
      <w:tr>
        <w:trPr>
          <w:trHeight w:val="256" w:hRule="atLeast"/>
        </w:trPr>
        <w:tc>
          <w:tcPr>
            <w:tcW w:w="2770" w:type="dxa"/>
            <w:tcBorders>
              <w:top w:val="single" w:sz="6" w:space="0" w:color="69BD28"/>
              <w:bottom w:val="single" w:sz="6" w:space="0" w:color="69BD28"/>
            </w:tcBorders>
          </w:tcPr>
          <w:p>
            <w:pPr>
              <w:pStyle w:val="TableParagraph"/>
              <w:spacing w:before="25"/>
              <w:ind w:left="359" w:right="339"/>
              <w:rPr>
                <w:sz w:val="18"/>
              </w:rPr>
            </w:pPr>
            <w:r>
              <w:rPr>
                <w:sz w:val="18"/>
              </w:rPr>
              <w:t>Ebony (G2)</w:t>
            </w:r>
          </w:p>
        </w:tc>
        <w:tc>
          <w:tcPr>
            <w:tcW w:w="4967" w:type="dxa"/>
            <w:tcBorders>
              <w:top w:val="single" w:sz="6" w:space="0" w:color="69BD28"/>
              <w:bottom w:val="single" w:sz="6" w:space="0" w:color="69BD28"/>
            </w:tcBorders>
          </w:tcPr>
          <w:p>
            <w:pPr>
              <w:pStyle w:val="TableParagraph"/>
              <w:spacing w:before="25"/>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02-05-12</w:t>
            </w:r>
          </w:p>
        </w:tc>
      </w:tr>
      <w:tr>
        <w:trPr>
          <w:trHeight w:val="256" w:hRule="atLeast"/>
        </w:trPr>
        <w:tc>
          <w:tcPr>
            <w:tcW w:w="2770" w:type="dxa"/>
            <w:tcBorders>
              <w:top w:val="single" w:sz="6" w:space="0" w:color="69BD28"/>
              <w:bottom w:val="single" w:sz="6" w:space="0" w:color="69BD28"/>
            </w:tcBorders>
          </w:tcPr>
          <w:p>
            <w:pPr>
              <w:pStyle w:val="TableParagraph"/>
              <w:spacing w:before="25"/>
              <w:ind w:left="359" w:right="337"/>
              <w:rPr>
                <w:sz w:val="18"/>
              </w:rPr>
            </w:pPr>
            <w:r>
              <w:rPr>
                <w:sz w:val="18"/>
              </w:rPr>
              <w:t>Aspen (G4)</w:t>
            </w:r>
          </w:p>
        </w:tc>
        <w:tc>
          <w:tcPr>
            <w:tcW w:w="4967" w:type="dxa"/>
            <w:tcBorders>
              <w:top w:val="single" w:sz="6" w:space="0" w:color="69BD28"/>
              <w:bottom w:val="single" w:sz="6" w:space="0" w:color="69BD28"/>
            </w:tcBorders>
          </w:tcPr>
          <w:p>
            <w:pPr>
              <w:pStyle w:val="TableParagraph"/>
              <w:spacing w:before="25"/>
              <w:ind w:left="318" w:right="189"/>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10-09-12</w:t>
            </w:r>
          </w:p>
        </w:tc>
      </w:tr>
      <w:tr>
        <w:trPr>
          <w:trHeight w:val="256" w:hRule="atLeast"/>
        </w:trPr>
        <w:tc>
          <w:tcPr>
            <w:tcW w:w="2770" w:type="dxa"/>
            <w:tcBorders>
              <w:top w:val="single" w:sz="6" w:space="0" w:color="69BD28"/>
              <w:bottom w:val="single" w:sz="6" w:space="0" w:color="69BD28"/>
            </w:tcBorders>
          </w:tcPr>
          <w:p>
            <w:pPr>
              <w:pStyle w:val="TableParagraph"/>
              <w:spacing w:before="25"/>
              <w:ind w:left="359" w:right="339"/>
              <w:rPr>
                <w:sz w:val="18"/>
              </w:rPr>
            </w:pPr>
            <w:r>
              <w:rPr>
                <w:sz w:val="18"/>
              </w:rPr>
              <w:t>Rosewood (K)</w:t>
            </w:r>
          </w:p>
        </w:tc>
        <w:tc>
          <w:tcPr>
            <w:tcW w:w="4967" w:type="dxa"/>
            <w:tcBorders>
              <w:top w:val="single" w:sz="6" w:space="0" w:color="69BD28"/>
              <w:bottom w:val="single" w:sz="6" w:space="0" w:color="69BD28"/>
            </w:tcBorders>
          </w:tcPr>
          <w:p>
            <w:pPr>
              <w:pStyle w:val="TableParagraph"/>
              <w:spacing w:before="25"/>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26-10-06</w:t>
            </w:r>
          </w:p>
        </w:tc>
      </w:tr>
      <w:tr>
        <w:trPr>
          <w:trHeight w:val="256" w:hRule="atLeast"/>
        </w:trPr>
        <w:tc>
          <w:tcPr>
            <w:tcW w:w="2770" w:type="dxa"/>
            <w:tcBorders>
              <w:top w:val="single" w:sz="6" w:space="0" w:color="69BD28"/>
              <w:bottom w:val="single" w:sz="6" w:space="0" w:color="69BD28"/>
            </w:tcBorders>
          </w:tcPr>
          <w:p>
            <w:pPr>
              <w:pStyle w:val="TableParagraph"/>
              <w:spacing w:before="25"/>
              <w:ind w:left="359" w:right="337"/>
              <w:rPr>
                <w:sz w:val="18"/>
              </w:rPr>
            </w:pPr>
            <w:r>
              <w:rPr>
                <w:sz w:val="18"/>
              </w:rPr>
              <w:t>Magnolia (B)</w:t>
            </w:r>
          </w:p>
        </w:tc>
        <w:tc>
          <w:tcPr>
            <w:tcW w:w="4967" w:type="dxa"/>
            <w:tcBorders>
              <w:top w:val="single" w:sz="6" w:space="0" w:color="69BD28"/>
              <w:bottom w:val="single" w:sz="6" w:space="0" w:color="69BD28"/>
            </w:tcBorders>
          </w:tcPr>
          <w:p>
            <w:pPr>
              <w:pStyle w:val="TableParagraph"/>
              <w:spacing w:before="25"/>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13-07-06</w:t>
            </w:r>
          </w:p>
        </w:tc>
      </w:tr>
      <w:tr>
        <w:trPr>
          <w:trHeight w:val="256" w:hRule="atLeast"/>
        </w:trPr>
        <w:tc>
          <w:tcPr>
            <w:tcW w:w="2770" w:type="dxa"/>
            <w:tcBorders>
              <w:top w:val="single" w:sz="6" w:space="0" w:color="69BD28"/>
              <w:bottom w:val="single" w:sz="6" w:space="0" w:color="69BD28"/>
            </w:tcBorders>
          </w:tcPr>
          <w:p>
            <w:pPr>
              <w:pStyle w:val="TableParagraph"/>
              <w:spacing w:before="25"/>
              <w:ind w:left="357" w:right="339"/>
              <w:rPr>
                <w:sz w:val="18"/>
              </w:rPr>
            </w:pPr>
            <w:r>
              <w:rPr>
                <w:sz w:val="18"/>
              </w:rPr>
              <w:t>Silver Fir (L6)</w:t>
            </w:r>
          </w:p>
        </w:tc>
        <w:tc>
          <w:tcPr>
            <w:tcW w:w="4967" w:type="dxa"/>
            <w:tcBorders>
              <w:top w:val="single" w:sz="6" w:space="0" w:color="69BD28"/>
              <w:bottom w:val="single" w:sz="6" w:space="0" w:color="69BD28"/>
            </w:tcBorders>
          </w:tcPr>
          <w:p>
            <w:pPr>
              <w:pStyle w:val="TableParagraph"/>
              <w:spacing w:before="25"/>
              <w:ind w:left="318" w:right="190"/>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23-12-11</w:t>
            </w:r>
          </w:p>
        </w:tc>
      </w:tr>
      <w:tr>
        <w:trPr>
          <w:trHeight w:val="256" w:hRule="atLeast"/>
        </w:trPr>
        <w:tc>
          <w:tcPr>
            <w:tcW w:w="2770" w:type="dxa"/>
            <w:tcBorders>
              <w:top w:val="single" w:sz="6" w:space="0" w:color="69BD28"/>
              <w:bottom w:val="single" w:sz="6" w:space="0" w:color="69BD28"/>
            </w:tcBorders>
          </w:tcPr>
          <w:p>
            <w:pPr>
              <w:pStyle w:val="TableParagraph"/>
              <w:spacing w:before="22"/>
              <w:ind w:left="358" w:right="339"/>
              <w:rPr>
                <w:sz w:val="18"/>
              </w:rPr>
            </w:pPr>
            <w:r>
              <w:rPr>
                <w:w w:val="105"/>
                <w:sz w:val="18"/>
              </w:rPr>
              <w:t>Mahogany (F2)</w:t>
            </w:r>
          </w:p>
        </w:tc>
        <w:tc>
          <w:tcPr>
            <w:tcW w:w="4967" w:type="dxa"/>
            <w:tcBorders>
              <w:top w:val="single" w:sz="6" w:space="0" w:color="69BD28"/>
              <w:bottom w:val="single" w:sz="6" w:space="0" w:color="69BD28"/>
            </w:tcBorders>
          </w:tcPr>
          <w:p>
            <w:pPr>
              <w:pStyle w:val="TableParagraph"/>
              <w:spacing w:before="22"/>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2"/>
              <w:ind w:left="236" w:right="127"/>
              <w:rPr>
                <w:sz w:val="18"/>
              </w:rPr>
            </w:pPr>
            <w:r>
              <w:rPr>
                <w:w w:val="110"/>
                <w:sz w:val="18"/>
              </w:rPr>
              <w:t>27-02-09</w:t>
            </w:r>
          </w:p>
        </w:tc>
      </w:tr>
      <w:tr>
        <w:trPr>
          <w:trHeight w:val="256" w:hRule="atLeast"/>
        </w:trPr>
        <w:tc>
          <w:tcPr>
            <w:tcW w:w="2770" w:type="dxa"/>
            <w:tcBorders>
              <w:top w:val="single" w:sz="6" w:space="0" w:color="69BD28"/>
              <w:bottom w:val="single" w:sz="6" w:space="0" w:color="69BD28"/>
            </w:tcBorders>
          </w:tcPr>
          <w:p>
            <w:pPr>
              <w:pStyle w:val="TableParagraph"/>
              <w:spacing w:before="22"/>
              <w:ind w:left="359" w:right="337"/>
              <w:rPr>
                <w:sz w:val="18"/>
              </w:rPr>
            </w:pPr>
            <w:r>
              <w:rPr>
                <w:sz w:val="18"/>
              </w:rPr>
              <w:t>Silver Oak (E2)</w:t>
            </w:r>
          </w:p>
        </w:tc>
        <w:tc>
          <w:tcPr>
            <w:tcW w:w="4967" w:type="dxa"/>
            <w:tcBorders>
              <w:top w:val="single" w:sz="6" w:space="0" w:color="69BD28"/>
              <w:bottom w:val="single" w:sz="6" w:space="0" w:color="69BD28"/>
            </w:tcBorders>
          </w:tcPr>
          <w:p>
            <w:pPr>
              <w:pStyle w:val="TableParagraph"/>
              <w:spacing w:before="22"/>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2"/>
              <w:ind w:left="236" w:right="127"/>
              <w:rPr>
                <w:sz w:val="18"/>
              </w:rPr>
            </w:pPr>
            <w:r>
              <w:rPr>
                <w:w w:val="110"/>
                <w:sz w:val="18"/>
              </w:rPr>
              <w:t>12-02-08</w:t>
            </w:r>
          </w:p>
        </w:tc>
      </w:tr>
      <w:tr>
        <w:trPr>
          <w:trHeight w:val="256" w:hRule="atLeast"/>
        </w:trPr>
        <w:tc>
          <w:tcPr>
            <w:tcW w:w="2770" w:type="dxa"/>
            <w:tcBorders>
              <w:top w:val="single" w:sz="6" w:space="0" w:color="69BD28"/>
              <w:bottom w:val="single" w:sz="6" w:space="0" w:color="69BD28"/>
            </w:tcBorders>
          </w:tcPr>
          <w:p>
            <w:pPr>
              <w:pStyle w:val="TableParagraph"/>
              <w:spacing w:before="22"/>
              <w:ind w:left="359" w:right="339"/>
              <w:rPr>
                <w:sz w:val="18"/>
              </w:rPr>
            </w:pPr>
            <w:r>
              <w:rPr>
                <w:sz w:val="18"/>
              </w:rPr>
              <w:t>Pine (L5)</w:t>
            </w:r>
          </w:p>
        </w:tc>
        <w:tc>
          <w:tcPr>
            <w:tcW w:w="4967" w:type="dxa"/>
            <w:tcBorders>
              <w:top w:val="single" w:sz="6" w:space="0" w:color="69BD28"/>
              <w:bottom w:val="single" w:sz="6" w:space="0" w:color="69BD28"/>
            </w:tcBorders>
          </w:tcPr>
          <w:p>
            <w:pPr>
              <w:pStyle w:val="TableParagraph"/>
              <w:spacing w:before="22"/>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2"/>
              <w:ind w:left="236" w:right="127"/>
              <w:rPr>
                <w:sz w:val="18"/>
              </w:rPr>
            </w:pPr>
            <w:r>
              <w:rPr>
                <w:w w:val="110"/>
                <w:sz w:val="18"/>
              </w:rPr>
              <w:t>24-04-09</w:t>
            </w:r>
          </w:p>
        </w:tc>
      </w:tr>
      <w:tr>
        <w:trPr>
          <w:trHeight w:val="256" w:hRule="atLeast"/>
        </w:trPr>
        <w:tc>
          <w:tcPr>
            <w:tcW w:w="2770" w:type="dxa"/>
            <w:tcBorders>
              <w:top w:val="single" w:sz="6" w:space="0" w:color="69BD28"/>
              <w:bottom w:val="single" w:sz="6" w:space="0" w:color="69BD28"/>
            </w:tcBorders>
          </w:tcPr>
          <w:p>
            <w:pPr>
              <w:pStyle w:val="TableParagraph"/>
              <w:spacing w:before="22"/>
              <w:ind w:left="359" w:right="336"/>
              <w:rPr>
                <w:sz w:val="18"/>
              </w:rPr>
            </w:pPr>
            <w:r>
              <w:rPr>
                <w:sz w:val="18"/>
              </w:rPr>
              <w:t>Eucalyptus (H1)</w:t>
            </w:r>
          </w:p>
        </w:tc>
        <w:tc>
          <w:tcPr>
            <w:tcW w:w="4967" w:type="dxa"/>
            <w:tcBorders>
              <w:top w:val="single" w:sz="6" w:space="0" w:color="69BD28"/>
              <w:bottom w:val="single" w:sz="6" w:space="0" w:color="69BD28"/>
            </w:tcBorders>
          </w:tcPr>
          <w:p>
            <w:pPr>
              <w:pStyle w:val="TableParagraph"/>
              <w:spacing w:before="22"/>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2"/>
              <w:ind w:left="236" w:right="127"/>
              <w:rPr>
                <w:sz w:val="18"/>
              </w:rPr>
            </w:pPr>
            <w:r>
              <w:rPr>
                <w:w w:val="110"/>
                <w:sz w:val="18"/>
              </w:rPr>
              <w:t>16-07-08</w:t>
            </w:r>
          </w:p>
        </w:tc>
      </w:tr>
      <w:tr>
        <w:trPr>
          <w:trHeight w:val="254" w:hRule="atLeast"/>
        </w:trPr>
        <w:tc>
          <w:tcPr>
            <w:tcW w:w="2770" w:type="dxa"/>
            <w:tcBorders>
              <w:top w:val="single" w:sz="6" w:space="0" w:color="69BD28"/>
              <w:bottom w:val="single" w:sz="6" w:space="0" w:color="69BD28"/>
            </w:tcBorders>
          </w:tcPr>
          <w:p>
            <w:pPr>
              <w:pStyle w:val="TableParagraph"/>
              <w:spacing w:before="22"/>
              <w:ind w:left="357" w:right="339"/>
              <w:rPr>
                <w:sz w:val="18"/>
              </w:rPr>
            </w:pPr>
            <w:r>
              <w:rPr>
                <w:sz w:val="18"/>
              </w:rPr>
              <w:t>Mulberry (G1)</w:t>
            </w:r>
          </w:p>
        </w:tc>
        <w:tc>
          <w:tcPr>
            <w:tcW w:w="4967" w:type="dxa"/>
            <w:tcBorders>
              <w:top w:val="single" w:sz="6" w:space="0" w:color="69BD28"/>
              <w:bottom w:val="single" w:sz="6" w:space="0" w:color="69BD28"/>
            </w:tcBorders>
          </w:tcPr>
          <w:p>
            <w:pPr>
              <w:pStyle w:val="TableParagraph"/>
              <w:spacing w:before="22"/>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2"/>
              <w:ind w:left="236" w:right="127"/>
              <w:rPr>
                <w:sz w:val="18"/>
              </w:rPr>
            </w:pPr>
            <w:r>
              <w:rPr>
                <w:w w:val="110"/>
                <w:sz w:val="18"/>
              </w:rPr>
              <w:t>30-04-10</w:t>
            </w:r>
          </w:p>
        </w:tc>
      </w:tr>
      <w:tr>
        <w:trPr>
          <w:trHeight w:val="256" w:hRule="atLeast"/>
        </w:trPr>
        <w:tc>
          <w:tcPr>
            <w:tcW w:w="2770" w:type="dxa"/>
            <w:tcBorders>
              <w:top w:val="single" w:sz="6" w:space="0" w:color="69BD28"/>
              <w:bottom w:val="single" w:sz="6" w:space="0" w:color="69BD28"/>
            </w:tcBorders>
          </w:tcPr>
          <w:p>
            <w:pPr>
              <w:pStyle w:val="TableParagraph"/>
              <w:spacing w:before="25"/>
              <w:ind w:left="359" w:right="339"/>
              <w:rPr>
                <w:sz w:val="18"/>
              </w:rPr>
            </w:pPr>
            <w:r>
              <w:rPr>
                <w:sz w:val="18"/>
              </w:rPr>
              <w:t>Palm (F3)</w:t>
            </w:r>
          </w:p>
        </w:tc>
        <w:tc>
          <w:tcPr>
            <w:tcW w:w="4967" w:type="dxa"/>
            <w:tcBorders>
              <w:top w:val="single" w:sz="6" w:space="0" w:color="69BD28"/>
              <w:bottom w:val="single" w:sz="6" w:space="0" w:color="69BD28"/>
            </w:tcBorders>
          </w:tcPr>
          <w:p>
            <w:pPr>
              <w:pStyle w:val="TableParagraph"/>
              <w:spacing w:before="25"/>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05-12-13</w:t>
            </w:r>
          </w:p>
        </w:tc>
      </w:tr>
      <w:tr>
        <w:trPr>
          <w:trHeight w:val="256" w:hRule="atLeast"/>
        </w:trPr>
        <w:tc>
          <w:tcPr>
            <w:tcW w:w="2770" w:type="dxa"/>
            <w:tcBorders>
              <w:top w:val="single" w:sz="6" w:space="0" w:color="69BD28"/>
              <w:bottom w:val="single" w:sz="6" w:space="0" w:color="69BD28"/>
            </w:tcBorders>
          </w:tcPr>
          <w:p>
            <w:pPr>
              <w:pStyle w:val="TableParagraph"/>
              <w:spacing w:before="25"/>
              <w:ind w:left="359" w:right="339"/>
              <w:rPr>
                <w:sz w:val="18"/>
              </w:rPr>
            </w:pPr>
            <w:r>
              <w:rPr>
                <w:w w:val="105"/>
                <w:sz w:val="18"/>
              </w:rPr>
              <w:t>G1-G2 Bridge (G1G2)</w:t>
            </w:r>
          </w:p>
        </w:tc>
        <w:tc>
          <w:tcPr>
            <w:tcW w:w="4967" w:type="dxa"/>
            <w:tcBorders>
              <w:top w:val="single" w:sz="6" w:space="0" w:color="69BD28"/>
              <w:bottom w:val="single" w:sz="6" w:space="0" w:color="69BD28"/>
            </w:tcBorders>
          </w:tcPr>
          <w:p>
            <w:pPr>
              <w:pStyle w:val="TableParagraph"/>
              <w:spacing w:before="25"/>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02-05-12</w:t>
            </w:r>
          </w:p>
        </w:tc>
      </w:tr>
      <w:tr>
        <w:trPr>
          <w:trHeight w:val="256" w:hRule="atLeast"/>
        </w:trPr>
        <w:tc>
          <w:tcPr>
            <w:tcW w:w="2770" w:type="dxa"/>
            <w:tcBorders>
              <w:top w:val="single" w:sz="6" w:space="0" w:color="69BD28"/>
              <w:bottom w:val="single" w:sz="6" w:space="0" w:color="69BD28"/>
            </w:tcBorders>
          </w:tcPr>
          <w:p>
            <w:pPr>
              <w:pStyle w:val="TableParagraph"/>
              <w:spacing w:before="25"/>
              <w:ind w:left="359" w:right="336"/>
              <w:rPr>
                <w:sz w:val="18"/>
              </w:rPr>
            </w:pPr>
            <w:r>
              <w:rPr>
                <w:sz w:val="18"/>
              </w:rPr>
              <w:t>Mountain Ash (H2)</w:t>
            </w:r>
          </w:p>
        </w:tc>
        <w:tc>
          <w:tcPr>
            <w:tcW w:w="4967" w:type="dxa"/>
            <w:tcBorders>
              <w:top w:val="single" w:sz="6" w:space="0" w:color="69BD28"/>
              <w:bottom w:val="single" w:sz="6" w:space="0" w:color="69BD28"/>
            </w:tcBorders>
          </w:tcPr>
          <w:p>
            <w:pPr>
              <w:pStyle w:val="TableParagraph"/>
              <w:spacing w:before="25"/>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05-12-13</w:t>
            </w:r>
          </w:p>
        </w:tc>
      </w:tr>
      <w:tr>
        <w:trPr>
          <w:trHeight w:val="256" w:hRule="atLeast"/>
        </w:trPr>
        <w:tc>
          <w:tcPr>
            <w:tcW w:w="2770" w:type="dxa"/>
            <w:tcBorders>
              <w:top w:val="single" w:sz="6" w:space="0" w:color="69BD28"/>
              <w:bottom w:val="single" w:sz="6" w:space="0" w:color="69BD28"/>
            </w:tcBorders>
          </w:tcPr>
          <w:p>
            <w:pPr>
              <w:pStyle w:val="TableParagraph"/>
              <w:spacing w:before="25"/>
              <w:ind w:left="357" w:right="339"/>
              <w:rPr>
                <w:sz w:val="18"/>
              </w:rPr>
            </w:pPr>
            <w:r>
              <w:rPr>
                <w:sz w:val="18"/>
              </w:rPr>
              <w:t>Hazel (L3)</w:t>
            </w:r>
          </w:p>
        </w:tc>
        <w:tc>
          <w:tcPr>
            <w:tcW w:w="4967" w:type="dxa"/>
            <w:tcBorders>
              <w:top w:val="single" w:sz="6" w:space="0" w:color="69BD28"/>
              <w:bottom w:val="single" w:sz="6" w:space="0" w:color="69BD28"/>
            </w:tcBorders>
          </w:tcPr>
          <w:p>
            <w:pPr>
              <w:pStyle w:val="TableParagraph"/>
              <w:spacing w:before="25"/>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09-06-15</w:t>
            </w:r>
          </w:p>
        </w:tc>
      </w:tr>
      <w:tr>
        <w:trPr>
          <w:trHeight w:val="256" w:hRule="atLeast"/>
        </w:trPr>
        <w:tc>
          <w:tcPr>
            <w:tcW w:w="2770" w:type="dxa"/>
            <w:tcBorders>
              <w:top w:val="single" w:sz="6" w:space="0" w:color="69BD28"/>
              <w:bottom w:val="single" w:sz="6" w:space="0" w:color="69BD28"/>
            </w:tcBorders>
          </w:tcPr>
          <w:p>
            <w:pPr>
              <w:pStyle w:val="TableParagraph"/>
              <w:spacing w:before="25"/>
              <w:ind w:left="359" w:right="339"/>
              <w:rPr>
                <w:sz w:val="18"/>
              </w:rPr>
            </w:pPr>
            <w:r>
              <w:rPr>
                <w:sz w:val="18"/>
              </w:rPr>
              <w:t>MFAR (MFAR Green)</w:t>
            </w:r>
          </w:p>
        </w:tc>
        <w:tc>
          <w:tcPr>
            <w:tcW w:w="4967" w:type="dxa"/>
            <w:tcBorders>
              <w:top w:val="single" w:sz="6" w:space="0" w:color="69BD28"/>
              <w:bottom w:val="single" w:sz="6" w:space="0" w:color="69BD28"/>
            </w:tcBorders>
          </w:tcPr>
          <w:p>
            <w:pPr>
              <w:pStyle w:val="TableParagraph"/>
              <w:spacing w:before="25"/>
              <w:ind w:left="318"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12-06-15</w:t>
            </w:r>
          </w:p>
        </w:tc>
      </w:tr>
      <w:tr>
        <w:trPr>
          <w:trHeight w:val="256" w:hRule="atLeast"/>
        </w:trPr>
        <w:tc>
          <w:tcPr>
            <w:tcW w:w="2770" w:type="dxa"/>
            <w:tcBorders>
              <w:top w:val="single" w:sz="6" w:space="0" w:color="69BD28"/>
              <w:bottom w:val="single" w:sz="6" w:space="0" w:color="69BD28"/>
            </w:tcBorders>
          </w:tcPr>
          <w:p>
            <w:pPr>
              <w:pStyle w:val="TableParagraph"/>
              <w:spacing w:before="25"/>
              <w:ind w:left="359" w:right="336"/>
              <w:rPr>
                <w:sz w:val="18"/>
              </w:rPr>
            </w:pPr>
            <w:r>
              <w:rPr>
                <w:sz w:val="18"/>
              </w:rPr>
              <w:t>Teak (G3)</w:t>
            </w:r>
          </w:p>
        </w:tc>
        <w:tc>
          <w:tcPr>
            <w:tcW w:w="4967" w:type="dxa"/>
            <w:tcBorders>
              <w:top w:val="single" w:sz="6" w:space="0" w:color="69BD28"/>
              <w:bottom w:val="single" w:sz="6" w:space="0" w:color="69BD28"/>
            </w:tcBorders>
          </w:tcPr>
          <w:p>
            <w:pPr>
              <w:pStyle w:val="TableParagraph"/>
              <w:spacing w:before="25"/>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19-11-15</w:t>
            </w:r>
          </w:p>
        </w:tc>
      </w:tr>
      <w:tr>
        <w:trPr>
          <w:trHeight w:val="256" w:hRule="atLeast"/>
        </w:trPr>
        <w:tc>
          <w:tcPr>
            <w:tcW w:w="2770" w:type="dxa"/>
            <w:tcBorders>
              <w:top w:val="single" w:sz="6" w:space="0" w:color="69BD28"/>
              <w:bottom w:val="single" w:sz="6" w:space="0" w:color="69BD28"/>
            </w:tcBorders>
          </w:tcPr>
          <w:p>
            <w:pPr>
              <w:pStyle w:val="TableParagraph"/>
              <w:spacing w:before="25"/>
              <w:ind w:left="359" w:right="335"/>
              <w:rPr>
                <w:sz w:val="18"/>
              </w:rPr>
            </w:pPr>
            <w:r>
              <w:rPr>
                <w:sz w:val="18"/>
              </w:rPr>
              <w:t>Philips (Philips)</w:t>
            </w:r>
          </w:p>
        </w:tc>
        <w:tc>
          <w:tcPr>
            <w:tcW w:w="4967" w:type="dxa"/>
            <w:tcBorders>
              <w:top w:val="single" w:sz="6" w:space="0" w:color="69BD28"/>
              <w:bottom w:val="single" w:sz="6" w:space="0" w:color="69BD28"/>
            </w:tcBorders>
          </w:tcPr>
          <w:p>
            <w:pPr>
              <w:pStyle w:val="TableParagraph"/>
              <w:spacing w:before="25"/>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5"/>
              <w:ind w:left="236" w:right="127"/>
              <w:rPr>
                <w:sz w:val="18"/>
              </w:rPr>
            </w:pPr>
            <w:r>
              <w:rPr>
                <w:w w:val="110"/>
                <w:sz w:val="18"/>
              </w:rPr>
              <w:t>26-10-06</w:t>
            </w:r>
          </w:p>
        </w:tc>
      </w:tr>
      <w:tr>
        <w:trPr>
          <w:trHeight w:val="256" w:hRule="atLeast"/>
        </w:trPr>
        <w:tc>
          <w:tcPr>
            <w:tcW w:w="2770" w:type="dxa"/>
            <w:tcBorders>
              <w:top w:val="single" w:sz="6" w:space="0" w:color="69BD28"/>
              <w:bottom w:val="single" w:sz="6" w:space="0" w:color="69BD28"/>
            </w:tcBorders>
          </w:tcPr>
          <w:p>
            <w:pPr>
              <w:pStyle w:val="TableParagraph"/>
              <w:spacing w:before="22"/>
              <w:ind w:left="359" w:right="339"/>
              <w:rPr>
                <w:sz w:val="18"/>
              </w:rPr>
            </w:pPr>
            <w:r>
              <w:rPr>
                <w:sz w:val="18"/>
              </w:rPr>
              <w:t>L1 –L2 (Banyan &amp; Willow)</w:t>
            </w:r>
          </w:p>
        </w:tc>
        <w:tc>
          <w:tcPr>
            <w:tcW w:w="4967" w:type="dxa"/>
            <w:tcBorders>
              <w:top w:val="single" w:sz="6" w:space="0" w:color="69BD28"/>
              <w:bottom w:val="single" w:sz="6" w:space="0" w:color="69BD28"/>
            </w:tcBorders>
          </w:tcPr>
          <w:p>
            <w:pPr>
              <w:pStyle w:val="TableParagraph"/>
              <w:spacing w:before="22"/>
              <w:ind w:left="318" w:right="189"/>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2"/>
              <w:ind w:left="236" w:right="127"/>
              <w:rPr>
                <w:sz w:val="18"/>
              </w:rPr>
            </w:pPr>
            <w:r>
              <w:rPr>
                <w:w w:val="110"/>
                <w:sz w:val="18"/>
              </w:rPr>
              <w:t>10-08-17</w:t>
            </w:r>
          </w:p>
        </w:tc>
      </w:tr>
      <w:tr>
        <w:trPr>
          <w:trHeight w:val="256" w:hRule="atLeast"/>
        </w:trPr>
        <w:tc>
          <w:tcPr>
            <w:tcW w:w="2770" w:type="dxa"/>
            <w:tcBorders>
              <w:top w:val="single" w:sz="6" w:space="0" w:color="69BD28"/>
              <w:bottom w:val="single" w:sz="6" w:space="0" w:color="69BD28"/>
            </w:tcBorders>
          </w:tcPr>
          <w:p>
            <w:pPr>
              <w:pStyle w:val="TableParagraph"/>
              <w:spacing w:before="22"/>
              <w:ind w:left="359" w:right="337"/>
              <w:rPr>
                <w:sz w:val="18"/>
              </w:rPr>
            </w:pPr>
            <w:r>
              <w:rPr>
                <w:sz w:val="18"/>
              </w:rPr>
              <w:t>NXT (Front Land parcel)</w:t>
            </w:r>
          </w:p>
        </w:tc>
        <w:tc>
          <w:tcPr>
            <w:tcW w:w="4967" w:type="dxa"/>
            <w:tcBorders>
              <w:top w:val="single" w:sz="6" w:space="0" w:color="69BD28"/>
              <w:bottom w:val="single" w:sz="6" w:space="0" w:color="69BD28"/>
            </w:tcBorders>
          </w:tcPr>
          <w:p>
            <w:pPr>
              <w:pStyle w:val="TableParagraph"/>
              <w:spacing w:before="22"/>
              <w:ind w:left="316" w:right="191"/>
              <w:rPr>
                <w:sz w:val="18"/>
              </w:rPr>
            </w:pPr>
            <w:r>
              <w:rPr>
                <w:sz w:val="18"/>
              </w:rPr>
              <w:t>Karnataka Industrial Areas Development Board (KIADB)</w:t>
            </w:r>
          </w:p>
        </w:tc>
        <w:tc>
          <w:tcPr>
            <w:tcW w:w="2733" w:type="dxa"/>
            <w:tcBorders>
              <w:top w:val="single" w:sz="6" w:space="0" w:color="69BD28"/>
              <w:bottom w:val="single" w:sz="6" w:space="0" w:color="69BD28"/>
            </w:tcBorders>
          </w:tcPr>
          <w:p>
            <w:pPr>
              <w:pStyle w:val="TableParagraph"/>
              <w:spacing w:before="22"/>
              <w:ind w:left="232" w:right="128"/>
              <w:rPr>
                <w:sz w:val="18"/>
              </w:rPr>
            </w:pPr>
            <w:r>
              <w:rPr>
                <w:w w:val="110"/>
                <w:sz w:val="18"/>
              </w:rPr>
              <w:t>03-01-2020</w:t>
            </w:r>
          </w:p>
        </w:tc>
      </w:tr>
    </w:tbl>
    <w:p>
      <w:pPr>
        <w:spacing w:before="0"/>
        <w:ind w:left="1354" w:right="0" w:firstLine="0"/>
        <w:jc w:val="left"/>
        <w:rPr>
          <w:i/>
          <w:sz w:val="18"/>
        </w:rPr>
      </w:pPr>
      <w:r>
        <w:rPr>
          <w:i/>
          <w:sz w:val="18"/>
        </w:rPr>
        <w:t>Source: Approval documents provided by the Client</w:t>
      </w:r>
    </w:p>
    <w:p>
      <w:pPr>
        <w:pStyle w:val="BodyText"/>
        <w:spacing w:before="9"/>
        <w:rPr>
          <w:i/>
          <w:sz w:val="17"/>
        </w:rPr>
      </w:pPr>
    </w:p>
    <w:p>
      <w:pPr>
        <w:pStyle w:val="BodyText"/>
        <w:spacing w:before="106"/>
        <w:ind w:left="1246"/>
      </w:pPr>
      <w:r>
        <w:rPr/>
        <w:t>The table below highlights the status of approvals for the under-construction blocks</w:t>
      </w:r>
    </w:p>
    <w:p>
      <w:pPr>
        <w:spacing w:after="0"/>
        <w:sectPr>
          <w:pgSz w:w="11910" w:h="16840"/>
          <w:pgMar w:header="720" w:footer="862" w:top="1660" w:bottom="1060" w:left="40" w:right="40"/>
        </w:sectPr>
      </w:pPr>
    </w:p>
    <w:p>
      <w:pPr>
        <w:pStyle w:val="BodyText"/>
        <w:spacing w:before="7"/>
        <w:rPr>
          <w:sz w:val="9"/>
        </w:rPr>
      </w:pPr>
    </w:p>
    <w:p>
      <w:pPr>
        <w:pStyle w:val="BodyText"/>
        <w:spacing w:before="106"/>
        <w:ind w:left="1246"/>
      </w:pPr>
      <w:r>
        <w:rPr>
          <w:u w:val="single"/>
        </w:rPr>
        <w:t>Block Front Land Parcel (Retail, Hotel and Convention Center)</w:t>
      </w:r>
    </w:p>
    <w:p>
      <w:pPr>
        <w:pStyle w:val="BodyText"/>
        <w:spacing w:before="6"/>
        <w:rPr>
          <w:sz w:val="24"/>
        </w:rPr>
      </w:pPr>
      <w:r>
        <w:rPr/>
        <w:pict>
          <v:group style="position:absolute;margin-left:38.279999pt;margin-top:16.184435pt;width:519pt;height:34.8pt;mso-position-horizontal-relative:page;mso-position-vertical-relative:paragraph;z-index:-14915072;mso-wrap-distance-left:0;mso-wrap-distance-right:0" coordorigin="766,324" coordsize="10380,696">
            <v:rect style="position:absolute;left:765;top:352;width:10380;height:648" filled="true" fillcolor="#006a4d" stroked="false">
              <v:fill type="solid"/>
            </v:rect>
            <v:rect style="position:absolute;left:765;top:323;width:3347;height:29" filled="true" fillcolor="#1f6b16" stroked="false">
              <v:fill type="solid"/>
            </v:rect>
            <v:shape style="position:absolute;left:765;top:352;width:3376;height:3" coordorigin="766,352" coordsize="3376,3" path="m4141,352l4112,352,766,352,766,355,4112,355,4141,355,4141,352xe" filled="true" fillcolor="#006a4d" stroked="false">
              <v:path arrowok="t"/>
              <v:fill type="solid"/>
            </v:shape>
            <v:shape style="position:absolute;left:4112;top:323;width:1945;height:29" coordorigin="4112,324" coordsize="1945,29" path="m6057,324l4141,324,4112,324,4112,352,4141,352,6057,352,6057,324xe" filled="true" fillcolor="#1f6b16" stroked="false">
              <v:path arrowok="t"/>
              <v:fill type="solid"/>
            </v:shape>
            <v:shape style="position:absolute;left:4141;top:352;width:1945;height:3" coordorigin="4141,352" coordsize="1945,3" path="m6085,352l6057,352,4141,352,4141,355,6057,355,6085,355,6085,352xe" filled="true" fillcolor="#006a4d" stroked="false">
              <v:path arrowok="t"/>
              <v:fill type="solid"/>
            </v:shape>
            <v:shape style="position:absolute;left:6056;top:323;width:3791;height:29" coordorigin="6057,324" coordsize="3791,29" path="m9847,324l6085,324,6057,324,6057,352,6085,352,9847,352,9847,324xe" filled="true" fillcolor="#1f6b16" stroked="false">
              <v:path arrowok="t"/>
              <v:fill type="solid"/>
            </v:shape>
            <v:shape style="position:absolute;left:6085;top:352;width:3791;height:3" coordorigin="6085,352" coordsize="3791,3" path="m9876,352l9847,352,6085,352,6085,355,9847,355,9876,355,9876,352xe" filled="true" fillcolor="#006a4d" stroked="false">
              <v:path arrowok="t"/>
              <v:fill type="solid"/>
            </v:shape>
            <v:shape style="position:absolute;left:9847;top:323;width:1299;height:29" coordorigin="9847,324" coordsize="1299,29" path="m11146,324l9876,324,9847,324,9847,352,9876,352,11146,352,11146,324xe" filled="true" fillcolor="#1f6b16" stroked="false">
              <v:path arrowok="t"/>
              <v:fill type="solid"/>
            </v:shape>
            <v:rect style="position:absolute;left:9876;top:352;width:1270;height:3" filled="true" fillcolor="#006a4d" stroked="false">
              <v:fill type="solid"/>
            </v:rect>
            <v:shape style="position:absolute;left:765;top:1000;width:10380;height:20" coordorigin="766,1000" coordsize="10380,20" path="m6076,1000l6057,1000,6057,1000,4131,1000,4112,1000,766,1000,766,1020,4112,1020,4131,1020,6057,1020,6057,1020,6076,1020,6076,1000xm9866,1000l9847,1000,6076,1000,6076,1020,9847,1020,9866,1020,9866,1000xm11146,1000l9866,1000,9866,1020,11146,1020,11146,1000xe" filled="true" fillcolor="#69bd28" stroked="false">
              <v:path arrowok="t"/>
              <v:fill type="solid"/>
            </v:shape>
            <v:shape style="position:absolute;left:1769;top:567;width:1360;height:216" type="#_x0000_t202" filled="false" stroked="false">
              <v:textbox inset="0,0,0,0">
                <w:txbxContent>
                  <w:p>
                    <w:pPr>
                      <w:spacing w:before="4"/>
                      <w:ind w:left="0" w:right="0" w:firstLine="0"/>
                      <w:jc w:val="left"/>
                      <w:rPr>
                        <w:b/>
                        <w:sz w:val="18"/>
                      </w:rPr>
                    </w:pPr>
                    <w:r>
                      <w:rPr>
                        <w:b/>
                        <w:color w:val="FFFFFF"/>
                        <w:w w:val="115"/>
                        <w:sz w:val="18"/>
                      </w:rPr>
                      <w:t>Approval/NOC</w:t>
                    </w:r>
                  </w:p>
                </w:txbxContent>
              </v:textbox>
              <w10:wrap type="none"/>
            </v:shape>
            <v:shape style="position:absolute;left:4220;top:459;width:1748;height:432" type="#_x0000_t202" filled="false" stroked="false">
              <v:textbox inset="0,0,0,0">
                <w:txbxContent>
                  <w:p>
                    <w:pPr>
                      <w:spacing w:line="247" w:lineRule="auto" w:before="4"/>
                      <w:ind w:left="0" w:right="0" w:firstLine="588"/>
                      <w:jc w:val="left"/>
                      <w:rPr>
                        <w:b/>
                        <w:sz w:val="18"/>
                      </w:rPr>
                    </w:pPr>
                    <w:r>
                      <w:rPr>
                        <w:b/>
                        <w:color w:val="FFFFFF"/>
                        <w:w w:val="105"/>
                        <w:sz w:val="18"/>
                      </w:rPr>
                      <w:t>Status (Applied/Received)</w:t>
                    </w:r>
                  </w:p>
                </w:txbxContent>
              </v:textbox>
              <w10:wrap type="none"/>
            </v:shape>
            <v:shape style="position:absolute;left:7535;top:567;width:855;height:216" type="#_x0000_t202" filled="false" stroked="false">
              <v:textbox inset="0,0,0,0">
                <w:txbxContent>
                  <w:p>
                    <w:pPr>
                      <w:spacing w:before="4"/>
                      <w:ind w:left="0" w:right="0" w:firstLine="0"/>
                      <w:jc w:val="left"/>
                      <w:rPr>
                        <w:b/>
                        <w:sz w:val="18"/>
                      </w:rPr>
                    </w:pPr>
                    <w:r>
                      <w:rPr>
                        <w:b/>
                        <w:color w:val="FFFFFF"/>
                        <w:w w:val="105"/>
                        <w:sz w:val="18"/>
                      </w:rPr>
                      <w:t>Authority</w:t>
                    </w:r>
                  </w:p>
                </w:txbxContent>
              </v:textbox>
              <w10:wrap type="none"/>
            </v:shape>
            <v:shape style="position:absolute;left:10024;top:351;width:959;height:648" type="#_x0000_t202" filled="false" stroked="false">
              <v:textbox inset="0,0,0,0">
                <w:txbxContent>
                  <w:p>
                    <w:pPr>
                      <w:spacing w:line="247" w:lineRule="auto" w:before="4"/>
                      <w:ind w:left="0" w:right="18" w:firstLine="2"/>
                      <w:jc w:val="center"/>
                      <w:rPr>
                        <w:b/>
                        <w:sz w:val="18"/>
                      </w:rPr>
                    </w:pPr>
                    <w:r>
                      <w:rPr>
                        <w:b/>
                        <w:color w:val="FFFFFF"/>
                        <w:w w:val="110"/>
                        <w:sz w:val="18"/>
                      </w:rPr>
                      <w:t>Date of Issue (DD- MM-YY)</w:t>
                    </w:r>
                  </w:p>
                </w:txbxContent>
              </v:textbox>
              <w10:wrap type="none"/>
            </v:shape>
            <w10:wrap type="topAndBottom"/>
          </v:group>
        </w:pict>
      </w:r>
    </w:p>
    <w:p>
      <w:pPr>
        <w:tabs>
          <w:tab w:pos="4703" w:val="left" w:leader="none"/>
          <w:tab w:pos="7663" w:val="left" w:leader="none"/>
          <w:tab w:pos="10839" w:val="right" w:leader="none"/>
        </w:tabs>
        <w:spacing w:before="92"/>
        <w:ind w:left="982" w:right="0" w:firstLine="0"/>
        <w:jc w:val="left"/>
        <w:rPr>
          <w:sz w:val="18"/>
        </w:rPr>
      </w:pPr>
      <w:r>
        <w:rPr>
          <w:sz w:val="18"/>
        </w:rPr>
        <w:t>Revised Development</w:t>
      </w:r>
      <w:r>
        <w:rPr>
          <w:spacing w:val="-29"/>
          <w:sz w:val="18"/>
        </w:rPr>
        <w:t> </w:t>
      </w:r>
      <w:r>
        <w:rPr>
          <w:sz w:val="18"/>
        </w:rPr>
        <w:t>plan</w:t>
      </w:r>
      <w:r>
        <w:rPr>
          <w:spacing w:val="-16"/>
          <w:sz w:val="18"/>
        </w:rPr>
        <w:t> </w:t>
      </w:r>
      <w:r>
        <w:rPr>
          <w:sz w:val="18"/>
        </w:rPr>
        <w:t>approval</w:t>
        <w:tab/>
        <w:t>Received</w:t>
        <w:tab/>
        <w:t>KIADB</w:t>
        <w:tab/>
        <w:t>29-08-19</w:t>
      </w:r>
    </w:p>
    <w:p>
      <w:pPr>
        <w:tabs>
          <w:tab w:pos="4703" w:val="left" w:leader="none"/>
          <w:tab w:pos="7663" w:val="left" w:leader="none"/>
          <w:tab w:pos="10839" w:val="right" w:leader="none"/>
        </w:tabs>
        <w:spacing w:before="259"/>
        <w:ind w:left="1326" w:right="0" w:firstLine="0"/>
        <w:jc w:val="left"/>
        <w:rPr>
          <w:sz w:val="18"/>
        </w:rPr>
      </w:pPr>
      <w:r>
        <w:rPr/>
        <w:pict>
          <v:shape style="position:absolute;margin-left:38.280003pt;margin-top:6.040674pt;width:519pt;height:1pt;mso-position-horizontal-relative:page;mso-position-vertical-relative:paragraph;z-index:16546304" coordorigin="766,121" coordsize="10380,20" path="m6076,121l6057,121,6057,121,4131,121,4112,121,766,121,766,140,4112,140,4131,140,6057,140,6057,140,6076,140,6076,121xm9866,121l9847,121,6076,121,6076,140,9847,140,9866,140,9866,121xm11146,121l9866,121,9866,140,11146,140,11146,121xe" filled="true" fillcolor="#69bd28" stroked="false">
            <v:path arrowok="t"/>
            <v:fill type="solid"/>
            <w10:wrap type="none"/>
          </v:shape>
        </w:pict>
      </w:r>
      <w:r>
        <w:rPr/>
        <w:pict>
          <v:shape style="position:absolute;margin-left:38.280003pt;margin-top:29.441675pt;width:519pt;height:1pt;mso-position-horizontal-relative:page;mso-position-vertical-relative:paragraph;z-index:16546816" coordorigin="766,589" coordsize="10380,20" path="m6076,589l6057,589,6057,589,4131,589,4112,589,766,589,766,608,4112,608,4131,608,6057,608,6057,608,6076,608,6076,589xm9866,589l9847,589,6076,589,6076,608,9847,608,9866,608,9866,589xm11146,589l9866,589,9866,608,11146,608,11146,589xe" filled="true" fillcolor="#69bd28" stroked="false">
            <v:path arrowok="t"/>
            <v:fill type="solid"/>
            <w10:wrap type="none"/>
          </v:shape>
        </w:pict>
      </w:r>
      <w:r>
        <w:rPr>
          <w:sz w:val="18"/>
        </w:rPr>
        <w:t>Commencement</w:t>
      </w:r>
      <w:r>
        <w:rPr>
          <w:spacing w:val="-34"/>
          <w:sz w:val="18"/>
        </w:rPr>
        <w:t> </w:t>
      </w:r>
      <w:r>
        <w:rPr>
          <w:sz w:val="18"/>
        </w:rPr>
        <w:t>Certificate</w:t>
        <w:tab/>
        <w:t>Received</w:t>
        <w:tab/>
        <w:t>KIADB</w:t>
        <w:tab/>
        <w:t>04-07-18</w:t>
      </w:r>
    </w:p>
    <w:p>
      <w:pPr>
        <w:tabs>
          <w:tab w:pos="4703" w:val="left" w:leader="none"/>
          <w:tab w:pos="6378" w:val="left" w:leader="none"/>
          <w:tab w:pos="10839" w:val="right" w:leader="none"/>
        </w:tabs>
        <w:spacing w:before="261"/>
        <w:ind w:left="2012" w:right="0" w:firstLine="0"/>
        <w:jc w:val="left"/>
        <w:rPr>
          <w:sz w:val="18"/>
        </w:rPr>
      </w:pPr>
      <w:r>
        <w:rPr/>
        <w:pict>
          <v:shape style="position:absolute;margin-left:38.280003pt;margin-top:29.420656pt;width:519pt;height:1pt;mso-position-horizontal-relative:page;mso-position-vertical-relative:paragraph;z-index:16547328" coordorigin="766,588" coordsize="10380,20" path="m6076,588l6057,588,6057,588,4131,588,4112,588,766,588,766,608,4112,608,4131,608,6057,608,6057,608,6076,608,6076,588xm9866,588l9847,588,6076,588,6076,608,9847,608,9866,608,9866,588xm11146,588l9866,588,9866,608,11146,608,11146,588xe" filled="true" fillcolor="#69bd28" stroked="false">
            <v:path arrowok="t"/>
            <v:fill type="solid"/>
            <w10:wrap type="none"/>
          </v:shape>
        </w:pict>
      </w:r>
      <w:r>
        <w:rPr>
          <w:sz w:val="18"/>
        </w:rPr>
        <w:t>Fire</w:t>
      </w:r>
      <w:r>
        <w:rPr>
          <w:spacing w:val="17"/>
          <w:sz w:val="18"/>
        </w:rPr>
        <w:t> </w:t>
      </w:r>
      <w:r>
        <w:rPr>
          <w:sz w:val="18"/>
        </w:rPr>
        <w:t>NOC</w:t>
        <w:tab/>
        <w:t>Received</w:t>
        <w:tab/>
        <w:t>Office of the Director General</w:t>
      </w:r>
      <w:r>
        <w:rPr>
          <w:spacing w:val="-29"/>
          <w:sz w:val="18"/>
        </w:rPr>
        <w:t> </w:t>
      </w:r>
      <w:r>
        <w:rPr>
          <w:sz w:val="18"/>
        </w:rPr>
        <w:t>of</w:t>
      </w:r>
      <w:r>
        <w:rPr>
          <w:spacing w:val="-5"/>
          <w:sz w:val="18"/>
        </w:rPr>
        <w:t> </w:t>
      </w:r>
      <w:r>
        <w:rPr>
          <w:sz w:val="18"/>
        </w:rPr>
        <w:t>Police</w:t>
        <w:tab/>
        <w:t>06-12-17</w:t>
      </w:r>
    </w:p>
    <w:p>
      <w:pPr>
        <w:tabs>
          <w:tab w:pos="4703" w:val="left" w:leader="none"/>
          <w:tab w:pos="7776" w:val="left" w:leader="none"/>
          <w:tab w:pos="10839" w:val="right" w:leader="none"/>
        </w:tabs>
        <w:spacing w:before="259"/>
        <w:ind w:left="1710" w:right="0" w:firstLine="0"/>
        <w:jc w:val="left"/>
        <w:rPr>
          <w:sz w:val="18"/>
        </w:rPr>
      </w:pPr>
      <w:r>
        <w:rPr/>
        <w:pict>
          <v:shape style="position:absolute;margin-left:38.280003pt;margin-top:29.471634pt;width:519pt;height:1pt;mso-position-horizontal-relative:page;mso-position-vertical-relative:paragraph;z-index:16547840" coordorigin="766,589" coordsize="10380,20" path="m6076,589l6057,589,6057,589,4131,589,4112,589,766,589,766,609,4112,609,4131,609,6057,609,6057,609,6076,609,6076,589xm9866,589l9847,589,6076,589,6076,609,9847,609,9866,609,9866,589xm11146,589l9866,589,9866,609,11146,609,11146,589xe" filled="true" fillcolor="#69bd28" stroked="false">
            <v:path arrowok="t"/>
            <v:fill type="solid"/>
            <w10:wrap type="none"/>
          </v:shape>
        </w:pict>
      </w:r>
      <w:r>
        <w:rPr>
          <w:sz w:val="18"/>
        </w:rPr>
        <w:t>Height</w:t>
      </w:r>
      <w:r>
        <w:rPr>
          <w:spacing w:val="-8"/>
          <w:sz w:val="18"/>
        </w:rPr>
        <w:t> </w:t>
      </w:r>
      <w:r>
        <w:rPr>
          <w:sz w:val="18"/>
        </w:rPr>
        <w:t>Clearance</w:t>
        <w:tab/>
        <w:t>Received</w:t>
        <w:tab/>
        <w:t>AAI</w:t>
        <w:tab/>
        <w:t>24-10-16</w:t>
      </w:r>
    </w:p>
    <w:p>
      <w:pPr>
        <w:tabs>
          <w:tab w:pos="4703" w:val="left" w:leader="none"/>
          <w:tab w:pos="7634" w:val="left" w:leader="none"/>
          <w:tab w:pos="10839" w:val="right" w:leader="none"/>
        </w:tabs>
        <w:spacing w:before="262"/>
        <w:ind w:left="1311" w:right="0" w:firstLine="0"/>
        <w:jc w:val="left"/>
        <w:rPr>
          <w:sz w:val="18"/>
        </w:rPr>
      </w:pPr>
      <w:r>
        <w:rPr/>
        <w:pict>
          <v:shape style="position:absolute;margin-left:38.280003pt;margin-top:29.471647pt;width:519pt;height:1pt;mso-position-horizontal-relative:page;mso-position-vertical-relative:paragraph;z-index:16548352" coordorigin="766,589" coordsize="10380,20" path="m6076,589l6057,589,6057,589,4131,589,4112,589,766,589,766,609,4112,609,4131,609,6057,609,6057,609,6076,609,6076,589xm9866,589l9847,589,6076,589,6076,609,9847,609,9866,609,9866,589xm11146,589l9866,589,9866,609,11146,609,11146,589xe" filled="true" fillcolor="#69bd28" stroked="false">
            <v:path arrowok="t"/>
            <v:fill type="solid"/>
            <w10:wrap type="none"/>
          </v:shape>
        </w:pict>
      </w:r>
      <w:r>
        <w:rPr>
          <w:sz w:val="18"/>
        </w:rPr>
        <w:t>Clearance for</w:t>
      </w:r>
      <w:r>
        <w:rPr>
          <w:spacing w:val="-21"/>
          <w:sz w:val="18"/>
        </w:rPr>
        <w:t> </w:t>
      </w:r>
      <w:r>
        <w:rPr>
          <w:sz w:val="18"/>
        </w:rPr>
        <w:t>Water</w:t>
      </w:r>
      <w:r>
        <w:rPr>
          <w:spacing w:val="-11"/>
          <w:sz w:val="18"/>
        </w:rPr>
        <w:t> </w:t>
      </w:r>
      <w:r>
        <w:rPr>
          <w:sz w:val="18"/>
        </w:rPr>
        <w:t>Supply</w:t>
        <w:tab/>
        <w:t>Received</w:t>
        <w:tab/>
        <w:t>BWSSB</w:t>
        <w:tab/>
        <w:t>03-05-17</w:t>
      </w:r>
    </w:p>
    <w:p>
      <w:pPr>
        <w:tabs>
          <w:tab w:pos="4703" w:val="left" w:leader="none"/>
          <w:tab w:pos="7548" w:val="left" w:leader="none"/>
          <w:tab w:pos="10839" w:val="right" w:leader="none"/>
        </w:tabs>
        <w:spacing w:before="259"/>
        <w:ind w:left="1025" w:right="0" w:firstLine="0"/>
        <w:jc w:val="left"/>
        <w:rPr>
          <w:sz w:val="18"/>
        </w:rPr>
      </w:pPr>
      <w:r>
        <w:rPr/>
        <w:pict>
          <v:shape style="position:absolute;margin-left:38.280003pt;margin-top:29.440685pt;width:519pt;height:1pt;mso-position-horizontal-relative:page;mso-position-vertical-relative:paragraph;z-index:16548864" coordorigin="766,589" coordsize="10380,20" path="m6076,589l6057,589,6057,589,4131,589,4112,589,766,589,766,608,4112,608,4131,608,6057,608,6057,608,6076,608,6076,589xm9866,589l9847,589,6076,589,6076,608,9847,608,9866,608,9866,589xm11146,589l9866,589,9866,608,11146,608,11146,589xe" filled="true" fillcolor="#69bd28" stroked="false">
            <v:path arrowok="t"/>
            <v:fill type="solid"/>
            <w10:wrap type="none"/>
          </v:shape>
        </w:pict>
      </w:r>
      <w:r>
        <w:rPr>
          <w:w w:val="95"/>
          <w:sz w:val="18"/>
        </w:rPr>
        <w:t>Clearance from</w:t>
      </w:r>
      <w:r>
        <w:rPr>
          <w:spacing w:val="-23"/>
          <w:w w:val="95"/>
          <w:sz w:val="18"/>
        </w:rPr>
        <w:t> </w:t>
      </w:r>
      <w:r>
        <w:rPr>
          <w:w w:val="95"/>
          <w:sz w:val="18"/>
        </w:rPr>
        <w:t>Electricity</w:t>
      </w:r>
      <w:r>
        <w:rPr>
          <w:spacing w:val="-13"/>
          <w:w w:val="95"/>
          <w:sz w:val="18"/>
        </w:rPr>
        <w:t> </w:t>
      </w:r>
      <w:r>
        <w:rPr>
          <w:w w:val="95"/>
          <w:sz w:val="18"/>
        </w:rPr>
        <w:t>Authority</w:t>
        <w:tab/>
      </w:r>
      <w:r>
        <w:rPr>
          <w:sz w:val="18"/>
        </w:rPr>
        <w:t>Received</w:t>
        <w:tab/>
        <w:t>BESCOM</w:t>
        <w:tab/>
        <w:t>07-02-19</w:t>
      </w:r>
    </w:p>
    <w:p>
      <w:pPr>
        <w:tabs>
          <w:tab w:pos="4703" w:val="left" w:leader="none"/>
          <w:tab w:pos="7665" w:val="left" w:leader="none"/>
          <w:tab w:pos="10839" w:val="right" w:leader="none"/>
        </w:tabs>
        <w:spacing w:before="259"/>
        <w:ind w:left="1503" w:right="0" w:firstLine="0"/>
        <w:jc w:val="left"/>
        <w:rPr>
          <w:sz w:val="18"/>
        </w:rPr>
      </w:pPr>
      <w:r>
        <w:rPr/>
        <w:pict>
          <v:shape style="position:absolute;margin-left:38.280003pt;margin-top:29.441662pt;width:519pt;height:1pt;mso-position-horizontal-relative:page;mso-position-vertical-relative:paragraph;z-index:16549376" coordorigin="766,589" coordsize="10380,20" path="m6076,589l6057,589,6057,589,4131,589,4112,589,766,589,766,608,4112,608,4131,608,6057,608,6057,608,6076,608,6076,589xm9866,589l9847,589,6076,589,6076,608,9847,608,9866,608,9866,589xm11146,589l9866,589,9866,608,11146,608,11146,589xe" filled="true" fillcolor="#69bd28" stroked="false">
            <v:path arrowok="t"/>
            <v:fill type="solid"/>
            <w10:wrap type="none"/>
          </v:shape>
        </w:pict>
      </w:r>
      <w:r>
        <w:rPr>
          <w:sz w:val="18"/>
        </w:rPr>
        <w:t>Environment</w:t>
      </w:r>
      <w:r>
        <w:rPr>
          <w:spacing w:val="-28"/>
          <w:sz w:val="18"/>
        </w:rPr>
        <w:t> </w:t>
      </w:r>
      <w:r>
        <w:rPr>
          <w:sz w:val="18"/>
        </w:rPr>
        <w:t>clearance</w:t>
        <w:tab/>
        <w:t>Received</w:t>
        <w:tab/>
        <w:t>MOEF</w:t>
        <w:tab/>
        <w:t>23-01-20</w:t>
      </w:r>
    </w:p>
    <w:p>
      <w:pPr>
        <w:tabs>
          <w:tab w:pos="4499" w:val="left" w:leader="none"/>
          <w:tab w:pos="7649" w:val="left" w:leader="none"/>
          <w:tab w:pos="10327" w:val="left" w:leader="none"/>
        </w:tabs>
        <w:spacing w:before="262"/>
        <w:ind w:left="836" w:right="0" w:firstLine="0"/>
        <w:jc w:val="left"/>
        <w:rPr>
          <w:sz w:val="18"/>
        </w:rPr>
      </w:pPr>
      <w:r>
        <w:rPr/>
        <w:pict>
          <v:shape style="position:absolute;margin-left:38.280003pt;margin-top:29.471674pt;width:519pt;height:1pt;mso-position-horizontal-relative:page;mso-position-vertical-relative:paragraph;z-index:16549888" coordorigin="766,589" coordsize="10380,20" path="m6076,589l6057,589,6057,589,4131,589,4112,589,766,589,766,609,4112,609,4131,609,6057,609,6057,609,6076,609,6076,589xm9866,589l9847,589,6076,589,6076,609,9847,609,9866,609,9866,589xm11146,589l9866,589,9866,609,11146,609,11146,589xe" filled="true" fillcolor="#69bd28" stroked="false">
            <v:path arrowok="t"/>
            <v:fill type="solid"/>
            <w10:wrap type="none"/>
          </v:shape>
        </w:pict>
      </w:r>
      <w:r>
        <w:rPr>
          <w:sz w:val="18"/>
        </w:rPr>
        <w:t>Clearance from Pollution</w:t>
      </w:r>
      <w:r>
        <w:rPr>
          <w:spacing w:val="-38"/>
          <w:sz w:val="18"/>
        </w:rPr>
        <w:t> </w:t>
      </w:r>
      <w:r>
        <w:rPr>
          <w:sz w:val="18"/>
        </w:rPr>
        <w:t>Control</w:t>
      </w:r>
      <w:r>
        <w:rPr>
          <w:spacing w:val="-14"/>
          <w:sz w:val="18"/>
        </w:rPr>
        <w:t> </w:t>
      </w:r>
      <w:r>
        <w:rPr>
          <w:sz w:val="18"/>
        </w:rPr>
        <w:t>Board</w:t>
        <w:tab/>
        <w:t>To</w:t>
      </w:r>
      <w:r>
        <w:rPr>
          <w:spacing w:val="-5"/>
          <w:sz w:val="18"/>
        </w:rPr>
        <w:t> </w:t>
      </w:r>
      <w:r>
        <w:rPr>
          <w:sz w:val="18"/>
        </w:rPr>
        <w:t>be</w:t>
      </w:r>
      <w:r>
        <w:rPr>
          <w:spacing w:val="-6"/>
          <w:sz w:val="18"/>
        </w:rPr>
        <w:t> </w:t>
      </w:r>
      <w:r>
        <w:rPr>
          <w:sz w:val="18"/>
        </w:rPr>
        <w:t>applied</w:t>
        <w:tab/>
        <w:t>KSPCB</w:t>
        <w:tab/>
        <w:t>NA</w:t>
      </w:r>
    </w:p>
    <w:p>
      <w:pPr>
        <w:tabs>
          <w:tab w:pos="4499" w:val="left" w:leader="none"/>
          <w:tab w:pos="6378" w:val="left" w:leader="none"/>
          <w:tab w:pos="10327" w:val="left" w:leader="none"/>
        </w:tabs>
        <w:spacing w:before="259"/>
        <w:ind w:left="1796" w:right="0" w:firstLine="0"/>
        <w:jc w:val="left"/>
        <w:rPr>
          <w:sz w:val="18"/>
        </w:rPr>
      </w:pPr>
      <w:r>
        <w:rPr/>
        <w:pict>
          <v:shape style="position:absolute;margin-left:38.280003pt;margin-top:29.44165pt;width:519pt;height:1pt;mso-position-horizontal-relative:page;mso-position-vertical-relative:paragraph;z-index:-14914560;mso-wrap-distance-left:0;mso-wrap-distance-right:0" coordorigin="766,589" coordsize="10380,20" path="m6076,589l6057,589,6057,589,4131,589,4112,589,766,589,766,608,4112,608,4131,608,6057,608,6057,608,6076,608,6076,589xm9866,589l9847,589,6076,589,6076,608,9847,608,9866,608,9866,589xm11146,589l9866,589,9866,608,11146,608,11146,589xe" filled="true" fillcolor="#69bd28" stroked="false">
            <v:path arrowok="t"/>
            <v:fill type="solid"/>
            <w10:wrap type="topAndBottom"/>
          </v:shape>
        </w:pict>
      </w:r>
      <w:r>
        <w:rPr>
          <w:sz w:val="18"/>
        </w:rPr>
        <w:t>Final</w:t>
      </w:r>
      <w:r>
        <w:rPr>
          <w:spacing w:val="9"/>
          <w:sz w:val="18"/>
        </w:rPr>
        <w:t> </w:t>
      </w:r>
      <w:r>
        <w:rPr>
          <w:sz w:val="18"/>
        </w:rPr>
        <w:t>Fire</w:t>
      </w:r>
      <w:r>
        <w:rPr>
          <w:spacing w:val="10"/>
          <w:sz w:val="18"/>
        </w:rPr>
        <w:t> </w:t>
      </w:r>
      <w:r>
        <w:rPr>
          <w:sz w:val="18"/>
        </w:rPr>
        <w:t>NOC</w:t>
        <w:tab/>
        <w:t>To</w:t>
      </w:r>
      <w:r>
        <w:rPr>
          <w:spacing w:val="-5"/>
          <w:sz w:val="18"/>
        </w:rPr>
        <w:t> </w:t>
      </w:r>
      <w:r>
        <w:rPr>
          <w:sz w:val="18"/>
        </w:rPr>
        <w:t>be</w:t>
      </w:r>
      <w:r>
        <w:rPr>
          <w:spacing w:val="-6"/>
          <w:sz w:val="18"/>
        </w:rPr>
        <w:t> </w:t>
      </w:r>
      <w:r>
        <w:rPr>
          <w:sz w:val="18"/>
        </w:rPr>
        <w:t>applied</w:t>
        <w:tab/>
        <w:t>Office</w:t>
      </w:r>
      <w:r>
        <w:rPr>
          <w:spacing w:val="-18"/>
          <w:sz w:val="18"/>
        </w:rPr>
        <w:t> </w:t>
      </w:r>
      <w:r>
        <w:rPr>
          <w:sz w:val="18"/>
        </w:rPr>
        <w:t>of</w:t>
      </w:r>
      <w:r>
        <w:rPr>
          <w:spacing w:val="-19"/>
          <w:sz w:val="18"/>
        </w:rPr>
        <w:t> </w:t>
      </w:r>
      <w:r>
        <w:rPr>
          <w:sz w:val="18"/>
        </w:rPr>
        <w:t>the</w:t>
      </w:r>
      <w:r>
        <w:rPr>
          <w:spacing w:val="-19"/>
          <w:sz w:val="18"/>
        </w:rPr>
        <w:t> </w:t>
      </w:r>
      <w:r>
        <w:rPr>
          <w:sz w:val="18"/>
        </w:rPr>
        <w:t>Director</w:t>
      </w:r>
      <w:r>
        <w:rPr>
          <w:spacing w:val="-19"/>
          <w:sz w:val="18"/>
        </w:rPr>
        <w:t> </w:t>
      </w:r>
      <w:r>
        <w:rPr>
          <w:sz w:val="18"/>
        </w:rPr>
        <w:t>General</w:t>
      </w:r>
      <w:r>
        <w:rPr>
          <w:spacing w:val="-22"/>
          <w:sz w:val="18"/>
        </w:rPr>
        <w:t> </w:t>
      </w:r>
      <w:r>
        <w:rPr>
          <w:sz w:val="18"/>
        </w:rPr>
        <w:t>of</w:t>
      </w:r>
      <w:r>
        <w:rPr>
          <w:spacing w:val="-18"/>
          <w:sz w:val="18"/>
        </w:rPr>
        <w:t> </w:t>
      </w:r>
      <w:r>
        <w:rPr>
          <w:sz w:val="18"/>
        </w:rPr>
        <w:t>Police</w:t>
        <w:tab/>
        <w:t>NA</w:t>
      </w:r>
    </w:p>
    <w:p>
      <w:pPr>
        <w:tabs>
          <w:tab w:pos="3249" w:val="left" w:leader="none"/>
          <w:tab w:pos="6414" w:val="left" w:leader="none"/>
          <w:tab w:pos="9078" w:val="left" w:leader="none"/>
        </w:tabs>
        <w:spacing w:before="92" w:after="121"/>
        <w:ind w:left="283" w:right="0" w:firstLine="0"/>
        <w:jc w:val="center"/>
        <w:rPr>
          <w:sz w:val="18"/>
        </w:rPr>
      </w:pPr>
      <w:r>
        <w:rPr>
          <w:sz w:val="18"/>
        </w:rPr>
        <w:t>Occupancy</w:t>
      </w:r>
      <w:r>
        <w:rPr>
          <w:spacing w:val="-27"/>
          <w:sz w:val="18"/>
        </w:rPr>
        <w:t> </w:t>
      </w:r>
      <w:r>
        <w:rPr>
          <w:sz w:val="18"/>
        </w:rPr>
        <w:t>Certificate</w:t>
        <w:tab/>
        <w:t>To</w:t>
      </w:r>
      <w:r>
        <w:rPr>
          <w:spacing w:val="-5"/>
          <w:sz w:val="18"/>
        </w:rPr>
        <w:t> </w:t>
      </w:r>
      <w:r>
        <w:rPr>
          <w:sz w:val="18"/>
        </w:rPr>
        <w:t>be</w:t>
      </w:r>
      <w:r>
        <w:rPr>
          <w:spacing w:val="-6"/>
          <w:sz w:val="18"/>
        </w:rPr>
        <w:t> </w:t>
      </w:r>
      <w:r>
        <w:rPr>
          <w:sz w:val="18"/>
        </w:rPr>
        <w:t>applied</w:t>
        <w:tab/>
        <w:t>KIADB</w:t>
        <w:tab/>
        <w:t>NA</w:t>
      </w:r>
    </w:p>
    <w:p>
      <w:pPr>
        <w:pStyle w:val="BodyText"/>
        <w:spacing w:line="20" w:lineRule="exact"/>
        <w:ind w:left="711"/>
        <w:rPr>
          <w:sz w:val="2"/>
        </w:rPr>
      </w:pPr>
      <w:r>
        <w:rPr>
          <w:sz w:val="2"/>
        </w:rPr>
        <w:pict>
          <v:group style="width:519.75pt;height:1pt;mso-position-horizontal-relative:char;mso-position-vertical-relative:line" coordorigin="0,0" coordsize="10395,20">
            <v:shape style="position:absolute;left:0;top:0;width:10395;height:20" coordorigin="0,0" coordsize="10395,20" path="m5310,0l5305,0,5291,0,3366,0,3361,0,3347,0,0,0,0,19,3347,19,3361,19,3366,19,5291,19,5305,19,5310,19,5310,0xm9101,0l9096,0,9082,0,5310,0,5310,19,9082,19,9096,19,9101,19,9101,0xm10394,0l9101,0,9101,19,10394,19,10394,0xe" filled="true" fillcolor="#69bd28" stroked="false">
              <v:path arrowok="t"/>
              <v:fill type="solid"/>
            </v:shape>
          </v:group>
        </w:pict>
      </w:r>
      <w:r>
        <w:rPr>
          <w:sz w:val="2"/>
        </w:rPr>
      </w:r>
    </w:p>
    <w:p>
      <w:pPr>
        <w:spacing w:before="3"/>
        <w:ind w:left="1246" w:right="0" w:firstLine="0"/>
        <w:jc w:val="left"/>
        <w:rPr>
          <w:i/>
          <w:sz w:val="18"/>
        </w:rPr>
      </w:pPr>
      <w:r>
        <w:rPr>
          <w:i/>
          <w:sz w:val="18"/>
        </w:rPr>
        <w:t>Source: Approval documents provided by the Client</w:t>
      </w:r>
    </w:p>
    <w:p>
      <w:pPr>
        <w:pStyle w:val="BodyText"/>
        <w:spacing w:before="8"/>
        <w:rPr>
          <w:i/>
          <w:sz w:val="26"/>
        </w:rPr>
      </w:pPr>
    </w:p>
    <w:p>
      <w:pPr>
        <w:pStyle w:val="BodyText"/>
        <w:ind w:left="1246"/>
      </w:pPr>
      <w:r>
        <w:rPr>
          <w:w w:val="105"/>
          <w:u w:val="single"/>
        </w:rPr>
        <w:t>Block M3</w:t>
      </w:r>
    </w:p>
    <w:p>
      <w:pPr>
        <w:pStyle w:val="BodyText"/>
        <w:spacing w:before="10"/>
        <w:rPr>
          <w:sz w:val="27"/>
        </w:rPr>
      </w:pPr>
    </w:p>
    <w:p>
      <w:pPr>
        <w:pStyle w:val="BodyText"/>
        <w:ind w:left="514"/>
        <w:rPr>
          <w:sz w:val="20"/>
        </w:rPr>
      </w:pPr>
      <w:r>
        <w:rPr>
          <w:sz w:val="20"/>
        </w:rPr>
        <w:pict>
          <v:group style="width:540.15pt;height:34.950pt;mso-position-horizontal-relative:char;mso-position-vertical-relative:line" coordorigin="0,0" coordsize="10803,699">
            <v:shape style="position:absolute;left:0;top:31;width:10803;height:648" coordorigin="0,31" coordsize="10803,648" path="m9449,31l5507,31,3483,31,0,31,0,679,3483,679,5507,679,9449,679,9449,31xm10802,31l9449,31,9449,679,10802,679,10802,31xe" filled="true" fillcolor="#006a4d" stroked="false">
              <v:path arrowok="t"/>
              <v:fill type="solid"/>
            </v:shape>
            <v:rect style="position:absolute;left:0;top:0;width:3481;height:29" filled="true" fillcolor="#1f6b16" stroked="false">
              <v:fill type="solid"/>
            </v:rect>
            <v:shape style="position:absolute;left:0;top:28;width:3510;height:3" coordorigin="0,29" coordsize="3510,3" path="m3510,29l3481,29,0,29,0,31,3481,31,3510,31,3510,29xe" filled="true" fillcolor="#006a4d" stroked="false">
              <v:path arrowok="t"/>
              <v:fill type="solid"/>
            </v:shape>
            <v:shape style="position:absolute;left:3481;top:0;width:2027;height:29" coordorigin="3481,0" coordsize="2027,29" path="m5507,0l3510,0,3481,0,3481,29,3510,29,5507,29,5507,0xe" filled="true" fillcolor="#1f6b16" stroked="false">
              <v:path arrowok="t"/>
              <v:fill type="solid"/>
            </v:shape>
            <v:shape style="position:absolute;left:3509;top:28;width:2026;height:3" coordorigin="3510,29" coordsize="2026,3" path="m5536,29l5507,29,3510,29,3510,31,5507,31,5536,31,5536,29xe" filled="true" fillcolor="#006a4d" stroked="false">
              <v:path arrowok="t"/>
              <v:fill type="solid"/>
            </v:shape>
            <v:shape style="position:absolute;left:5507;top:0;width:3942;height:29" coordorigin="5507,0" coordsize="3942,29" path="m9449,0l5536,0,5507,0,5507,29,5536,29,9449,29,9449,0xe" filled="true" fillcolor="#1f6b16" stroked="false">
              <v:path arrowok="t"/>
              <v:fill type="solid"/>
            </v:shape>
            <v:shape style="position:absolute;left:5535;top:28;width:3942;height:3" coordorigin="5536,29" coordsize="3942,3" path="m9449,29l5536,29,5536,31,9449,31,9449,29xm9478,29l9449,29,9449,31,9478,31,9478,29xe" filled="true" fillcolor="#006a4d" stroked="false">
              <v:path arrowok="t"/>
              <v:fill type="solid"/>
            </v:shape>
            <v:shape style="position:absolute;left:9448;top:0;width:1352;height:29" coordorigin="9449,0" coordsize="1352,29" path="m10800,0l9478,0,9449,0,9449,29,9478,29,10800,29,10800,0xe" filled="true" fillcolor="#1f6b16" stroked="false">
              <v:path arrowok="t"/>
              <v:fill type="solid"/>
            </v:shape>
            <v:rect style="position:absolute;left:9477;top:28;width:1323;height:3" filled="true" fillcolor="#006a4d" stroked="false">
              <v:fill type="solid"/>
            </v:rect>
            <v:shape style="position:absolute;left:0;top:679;width:10800;height:20" coordorigin="0,679" coordsize="10800,20" path="m3500,679l3481,679,0,679,0,698,3481,698,3500,698,3500,679xm9449,679l5526,679,5507,679,3500,679,3500,698,5507,698,5526,698,9449,698,9449,679xm9468,679l9449,679,9449,698,9468,698,9468,679xm10800,679l9468,679,9468,698,10800,698,10800,679xe" filled="true" fillcolor="#69bd28" stroked="false">
              <v:path arrowok="t"/>
              <v:fill type="solid"/>
            </v:shape>
            <v:shape style="position:absolute;left:1070;top:246;width:1360;height:216" type="#_x0000_t202" filled="false" stroked="false">
              <v:textbox inset="0,0,0,0">
                <w:txbxContent>
                  <w:p>
                    <w:pPr>
                      <w:spacing w:before="4"/>
                      <w:ind w:left="0" w:right="0" w:firstLine="0"/>
                      <w:jc w:val="left"/>
                      <w:rPr>
                        <w:b/>
                        <w:sz w:val="18"/>
                      </w:rPr>
                    </w:pPr>
                    <w:r>
                      <w:rPr>
                        <w:b/>
                        <w:color w:val="FFFFFF"/>
                        <w:w w:val="115"/>
                        <w:sz w:val="18"/>
                      </w:rPr>
                      <w:t>Approval/NOC</w:t>
                    </w:r>
                  </w:p>
                </w:txbxContent>
              </v:textbox>
              <w10:wrap type="none"/>
            </v:shape>
            <v:shape style="position:absolute;left:3632;top:138;width:1748;height:432" type="#_x0000_t202" filled="false" stroked="false">
              <v:textbox inset="0,0,0,0">
                <w:txbxContent>
                  <w:p>
                    <w:pPr>
                      <w:spacing w:line="247" w:lineRule="auto" w:before="4"/>
                      <w:ind w:left="0" w:right="0" w:firstLine="585"/>
                      <w:jc w:val="left"/>
                      <w:rPr>
                        <w:b/>
                        <w:sz w:val="18"/>
                      </w:rPr>
                    </w:pPr>
                    <w:r>
                      <w:rPr>
                        <w:b/>
                        <w:color w:val="FFFFFF"/>
                        <w:w w:val="105"/>
                        <w:sz w:val="18"/>
                      </w:rPr>
                      <w:t>Status (Applied/Received)</w:t>
                    </w:r>
                  </w:p>
                </w:txbxContent>
              </v:textbox>
              <w10:wrap type="none"/>
            </v:shape>
            <v:shape style="position:absolute;left:7060;top:246;width:855;height:216" type="#_x0000_t202" filled="false" stroked="false">
              <v:textbox inset="0,0,0,0">
                <w:txbxContent>
                  <w:p>
                    <w:pPr>
                      <w:spacing w:before="4"/>
                      <w:ind w:left="0" w:right="0" w:firstLine="0"/>
                      <w:jc w:val="left"/>
                      <w:rPr>
                        <w:b/>
                        <w:sz w:val="18"/>
                      </w:rPr>
                    </w:pPr>
                    <w:r>
                      <w:rPr>
                        <w:b/>
                        <w:color w:val="FFFFFF"/>
                        <w:w w:val="105"/>
                        <w:sz w:val="18"/>
                      </w:rPr>
                      <w:t>Authority</w:t>
                    </w:r>
                  </w:p>
                </w:txbxContent>
              </v:textbox>
              <w10:wrap type="none"/>
            </v:shape>
            <v:shape style="position:absolute;left:9652;top:30;width:959;height:648" type="#_x0000_t202" filled="false" stroked="false">
              <v:textbox inset="0,0,0,0">
                <w:txbxContent>
                  <w:p>
                    <w:pPr>
                      <w:spacing w:line="247" w:lineRule="auto" w:before="4"/>
                      <w:ind w:left="-1" w:right="18" w:firstLine="2"/>
                      <w:jc w:val="center"/>
                      <w:rPr>
                        <w:b/>
                        <w:sz w:val="18"/>
                      </w:rPr>
                    </w:pPr>
                    <w:r>
                      <w:rPr>
                        <w:b/>
                        <w:color w:val="FFFFFF"/>
                        <w:w w:val="110"/>
                        <w:sz w:val="18"/>
                      </w:rPr>
                      <w:t>Date of Issue (DD- MM-YY)</w:t>
                    </w:r>
                  </w:p>
                </w:txbxContent>
              </v:textbox>
              <w10:wrap type="none"/>
            </v:shape>
          </v:group>
        </w:pict>
      </w:r>
      <w:r>
        <w:rPr>
          <w:sz w:val="20"/>
        </w:rPr>
      </w:r>
    </w:p>
    <w:p>
      <w:pPr>
        <w:spacing w:after="0"/>
        <w:rPr>
          <w:sz w:val="20"/>
        </w:rPr>
        <w:sectPr>
          <w:pgSz w:w="11910" w:h="16840"/>
          <w:pgMar w:header="720" w:footer="862" w:top="1660" w:bottom="1060" w:left="40" w:right="40"/>
        </w:sectPr>
      </w:pPr>
    </w:p>
    <w:p>
      <w:pPr>
        <w:spacing w:line="181" w:lineRule="exact" w:before="0"/>
        <w:ind w:left="1254" w:right="0" w:firstLine="0"/>
        <w:jc w:val="left"/>
        <w:rPr>
          <w:sz w:val="18"/>
        </w:rPr>
      </w:pPr>
      <w:r>
        <w:rPr/>
        <w:pict>
          <v:shape style="position:absolute;margin-left:27.719999pt;margin-top:9.193984pt;width:540.15pt;height:207.55pt;mso-position-horizontal-relative:page;mso-position-vertical-relative:paragraph;z-index:16550400"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26"/>
                    <w:gridCol w:w="1741"/>
                    <w:gridCol w:w="4079"/>
                    <w:gridCol w:w="1356"/>
                  </w:tblGrid>
                  <w:tr>
                    <w:trPr>
                      <w:trHeight w:val="216" w:hRule="atLeast"/>
                    </w:trPr>
                    <w:tc>
                      <w:tcPr>
                        <w:tcW w:w="3626" w:type="dxa"/>
                        <w:tcBorders>
                          <w:bottom w:val="single" w:sz="8" w:space="0" w:color="69BD28"/>
                        </w:tcBorders>
                      </w:tcPr>
                      <w:p>
                        <w:pPr>
                          <w:pStyle w:val="TableParagraph"/>
                          <w:spacing w:line="192" w:lineRule="exact" w:before="4"/>
                          <w:ind w:left="131" w:right="273"/>
                          <w:rPr>
                            <w:sz w:val="18"/>
                          </w:rPr>
                        </w:pPr>
                        <w:r>
                          <w:rPr>
                            <w:sz w:val="18"/>
                          </w:rPr>
                          <w:t>Development plan approval</w:t>
                        </w:r>
                      </w:p>
                    </w:tc>
                    <w:tc>
                      <w:tcPr>
                        <w:tcW w:w="7176" w:type="dxa"/>
                        <w:gridSpan w:val="3"/>
                        <w:tcBorders>
                          <w:bottom w:val="single" w:sz="8" w:space="0" w:color="69BD28"/>
                        </w:tcBorders>
                      </w:tcPr>
                      <w:p>
                        <w:pPr>
                          <w:pStyle w:val="TableParagraph"/>
                          <w:jc w:val="left"/>
                          <w:rPr>
                            <w:rFonts w:ascii="Times New Roman"/>
                            <w:sz w:val="14"/>
                          </w:rPr>
                        </w:pPr>
                      </w:p>
                    </w:tc>
                  </w:tr>
                  <w:tr>
                    <w:trPr>
                      <w:trHeight w:val="414" w:hRule="atLeast"/>
                    </w:trPr>
                    <w:tc>
                      <w:tcPr>
                        <w:tcW w:w="3626" w:type="dxa"/>
                        <w:tcBorders>
                          <w:top w:val="single" w:sz="8" w:space="0" w:color="69BD28"/>
                          <w:bottom w:val="single" w:sz="8" w:space="0" w:color="69BD28"/>
                        </w:tcBorders>
                      </w:tcPr>
                      <w:p>
                        <w:pPr>
                          <w:pStyle w:val="TableParagraph"/>
                          <w:spacing w:before="101"/>
                          <w:ind w:left="129" w:right="275"/>
                          <w:rPr>
                            <w:sz w:val="18"/>
                          </w:rPr>
                        </w:pPr>
                        <w:r>
                          <w:rPr>
                            <w:sz w:val="18"/>
                          </w:rPr>
                          <w:t>Commencement Certificate</w:t>
                        </w:r>
                      </w:p>
                    </w:tc>
                    <w:tc>
                      <w:tcPr>
                        <w:tcW w:w="1741" w:type="dxa"/>
                        <w:tcBorders>
                          <w:top w:val="single" w:sz="8" w:space="0" w:color="69BD28"/>
                          <w:bottom w:val="single" w:sz="8" w:space="0" w:color="69BD28"/>
                        </w:tcBorders>
                      </w:tcPr>
                      <w:p>
                        <w:pPr>
                          <w:pStyle w:val="TableParagraph"/>
                          <w:spacing w:before="101"/>
                          <w:ind w:left="297" w:right="298"/>
                          <w:rPr>
                            <w:sz w:val="18"/>
                          </w:rPr>
                        </w:pPr>
                        <w:r>
                          <w:rPr>
                            <w:sz w:val="18"/>
                          </w:rPr>
                          <w:t>To be applied</w:t>
                        </w:r>
                      </w:p>
                    </w:tc>
                    <w:tc>
                      <w:tcPr>
                        <w:tcW w:w="4079" w:type="dxa"/>
                        <w:tcBorders>
                          <w:top w:val="single" w:sz="8" w:space="0" w:color="69BD28"/>
                          <w:bottom w:val="single" w:sz="8" w:space="0" w:color="69BD28"/>
                        </w:tcBorders>
                      </w:tcPr>
                      <w:p>
                        <w:pPr>
                          <w:pStyle w:val="TableParagraph"/>
                          <w:spacing w:before="101"/>
                          <w:ind w:left="305" w:right="167"/>
                          <w:rPr>
                            <w:sz w:val="18"/>
                          </w:rPr>
                        </w:pPr>
                        <w:r>
                          <w:rPr>
                            <w:w w:val="105"/>
                            <w:sz w:val="18"/>
                          </w:rPr>
                          <w:t>KIADB</w:t>
                        </w:r>
                      </w:p>
                    </w:tc>
                    <w:tc>
                      <w:tcPr>
                        <w:tcW w:w="1356" w:type="dxa"/>
                        <w:tcBorders>
                          <w:top w:val="single" w:sz="8" w:space="0" w:color="69BD28"/>
                          <w:bottom w:val="single" w:sz="8" w:space="0" w:color="69BD28"/>
                        </w:tcBorders>
                      </w:tcPr>
                      <w:p>
                        <w:pPr>
                          <w:pStyle w:val="TableParagraph"/>
                          <w:spacing w:before="101"/>
                          <w:ind w:left="169" w:right="169"/>
                          <w:rPr>
                            <w:sz w:val="18"/>
                          </w:rPr>
                        </w:pPr>
                        <w:r>
                          <w:rPr>
                            <w:w w:val="115"/>
                            <w:sz w:val="18"/>
                          </w:rPr>
                          <w:t>NA</w:t>
                        </w:r>
                      </w:p>
                    </w:tc>
                  </w:tr>
                  <w:tr>
                    <w:trPr>
                      <w:trHeight w:val="414" w:hRule="atLeast"/>
                    </w:trPr>
                    <w:tc>
                      <w:tcPr>
                        <w:tcW w:w="3626" w:type="dxa"/>
                        <w:tcBorders>
                          <w:top w:val="single" w:sz="8" w:space="0" w:color="69BD28"/>
                          <w:bottom w:val="single" w:sz="8" w:space="0" w:color="69BD28"/>
                        </w:tcBorders>
                      </w:tcPr>
                      <w:p>
                        <w:pPr>
                          <w:pStyle w:val="TableParagraph"/>
                          <w:spacing w:before="101"/>
                          <w:ind w:left="129" w:right="275"/>
                          <w:rPr>
                            <w:sz w:val="18"/>
                          </w:rPr>
                        </w:pPr>
                        <w:r>
                          <w:rPr>
                            <w:w w:val="110"/>
                            <w:sz w:val="18"/>
                          </w:rPr>
                          <w:t>Fire NOC</w:t>
                        </w:r>
                      </w:p>
                    </w:tc>
                    <w:tc>
                      <w:tcPr>
                        <w:tcW w:w="1741" w:type="dxa"/>
                        <w:tcBorders>
                          <w:top w:val="single" w:sz="8" w:space="0" w:color="69BD28"/>
                          <w:bottom w:val="single" w:sz="8" w:space="0" w:color="69BD28"/>
                        </w:tcBorders>
                      </w:tcPr>
                      <w:p>
                        <w:pPr>
                          <w:pStyle w:val="TableParagraph"/>
                          <w:spacing w:before="101"/>
                          <w:ind w:left="297" w:right="298"/>
                          <w:rPr>
                            <w:sz w:val="18"/>
                          </w:rPr>
                        </w:pPr>
                        <w:r>
                          <w:rPr>
                            <w:sz w:val="18"/>
                          </w:rPr>
                          <w:t>Received*</w:t>
                        </w:r>
                      </w:p>
                    </w:tc>
                    <w:tc>
                      <w:tcPr>
                        <w:tcW w:w="4079" w:type="dxa"/>
                        <w:tcBorders>
                          <w:top w:val="single" w:sz="8" w:space="0" w:color="69BD28"/>
                          <w:bottom w:val="single" w:sz="8" w:space="0" w:color="69BD28"/>
                        </w:tcBorders>
                      </w:tcPr>
                      <w:p>
                        <w:pPr>
                          <w:pStyle w:val="TableParagraph"/>
                          <w:spacing w:before="101"/>
                          <w:ind w:left="306" w:right="167"/>
                          <w:rPr>
                            <w:sz w:val="18"/>
                          </w:rPr>
                        </w:pPr>
                        <w:r>
                          <w:rPr>
                            <w:sz w:val="18"/>
                          </w:rPr>
                          <w:t>Office of the Director General of Police</w:t>
                        </w:r>
                      </w:p>
                    </w:tc>
                    <w:tc>
                      <w:tcPr>
                        <w:tcW w:w="1356" w:type="dxa"/>
                        <w:tcBorders>
                          <w:top w:val="single" w:sz="8" w:space="0" w:color="69BD28"/>
                          <w:bottom w:val="single" w:sz="8" w:space="0" w:color="69BD28"/>
                        </w:tcBorders>
                      </w:tcPr>
                      <w:p>
                        <w:pPr>
                          <w:pStyle w:val="TableParagraph"/>
                          <w:spacing w:before="101"/>
                          <w:ind w:left="169" w:right="170"/>
                          <w:rPr>
                            <w:sz w:val="18"/>
                          </w:rPr>
                        </w:pPr>
                        <w:r>
                          <w:rPr>
                            <w:w w:val="110"/>
                            <w:sz w:val="18"/>
                          </w:rPr>
                          <w:t>10-06-2016</w:t>
                        </w:r>
                      </w:p>
                    </w:tc>
                  </w:tr>
                  <w:tr>
                    <w:trPr>
                      <w:trHeight w:val="412" w:hRule="atLeast"/>
                    </w:trPr>
                    <w:tc>
                      <w:tcPr>
                        <w:tcW w:w="3626" w:type="dxa"/>
                        <w:tcBorders>
                          <w:top w:val="single" w:sz="8" w:space="0" w:color="69BD28"/>
                          <w:bottom w:val="single" w:sz="8" w:space="0" w:color="69BD28"/>
                        </w:tcBorders>
                      </w:tcPr>
                      <w:p>
                        <w:pPr>
                          <w:pStyle w:val="TableParagraph"/>
                          <w:spacing w:before="101"/>
                          <w:ind w:left="131" w:right="274"/>
                          <w:rPr>
                            <w:sz w:val="18"/>
                          </w:rPr>
                        </w:pPr>
                        <w:r>
                          <w:rPr>
                            <w:sz w:val="18"/>
                          </w:rPr>
                          <w:t>Height Clearance</w:t>
                        </w:r>
                      </w:p>
                    </w:tc>
                    <w:tc>
                      <w:tcPr>
                        <w:tcW w:w="1741" w:type="dxa"/>
                        <w:tcBorders>
                          <w:top w:val="single" w:sz="8" w:space="0" w:color="69BD28"/>
                          <w:bottom w:val="single" w:sz="8" w:space="0" w:color="69BD28"/>
                        </w:tcBorders>
                      </w:tcPr>
                      <w:p>
                        <w:pPr>
                          <w:pStyle w:val="TableParagraph"/>
                          <w:spacing w:before="101"/>
                          <w:ind w:left="297" w:right="298"/>
                          <w:rPr>
                            <w:sz w:val="18"/>
                          </w:rPr>
                        </w:pPr>
                        <w:r>
                          <w:rPr>
                            <w:sz w:val="18"/>
                          </w:rPr>
                          <w:t>Received*</w:t>
                        </w:r>
                      </w:p>
                    </w:tc>
                    <w:tc>
                      <w:tcPr>
                        <w:tcW w:w="4079" w:type="dxa"/>
                        <w:tcBorders>
                          <w:top w:val="single" w:sz="8" w:space="0" w:color="69BD28"/>
                          <w:bottom w:val="single" w:sz="8" w:space="0" w:color="69BD28"/>
                        </w:tcBorders>
                      </w:tcPr>
                      <w:p>
                        <w:pPr>
                          <w:pStyle w:val="TableParagraph"/>
                          <w:spacing w:before="101"/>
                          <w:ind w:left="307" w:right="166"/>
                          <w:rPr>
                            <w:sz w:val="18"/>
                          </w:rPr>
                        </w:pPr>
                        <w:r>
                          <w:rPr>
                            <w:w w:val="105"/>
                            <w:sz w:val="18"/>
                          </w:rPr>
                          <w:t>AAI</w:t>
                        </w:r>
                      </w:p>
                    </w:tc>
                    <w:tc>
                      <w:tcPr>
                        <w:tcW w:w="1356" w:type="dxa"/>
                        <w:tcBorders>
                          <w:top w:val="single" w:sz="8" w:space="0" w:color="69BD28"/>
                          <w:bottom w:val="single" w:sz="8" w:space="0" w:color="69BD28"/>
                        </w:tcBorders>
                      </w:tcPr>
                      <w:p>
                        <w:pPr>
                          <w:pStyle w:val="TableParagraph"/>
                          <w:spacing w:before="101"/>
                          <w:ind w:left="169" w:right="170"/>
                          <w:rPr>
                            <w:sz w:val="18"/>
                          </w:rPr>
                        </w:pPr>
                        <w:r>
                          <w:rPr>
                            <w:w w:val="110"/>
                            <w:sz w:val="18"/>
                          </w:rPr>
                          <w:t>04-05-2016</w:t>
                        </w:r>
                      </w:p>
                    </w:tc>
                  </w:tr>
                  <w:tr>
                    <w:trPr>
                      <w:trHeight w:val="415" w:hRule="atLeast"/>
                    </w:trPr>
                    <w:tc>
                      <w:tcPr>
                        <w:tcW w:w="3626" w:type="dxa"/>
                        <w:tcBorders>
                          <w:top w:val="single" w:sz="8" w:space="0" w:color="69BD28"/>
                          <w:bottom w:val="single" w:sz="8" w:space="0" w:color="69BD28"/>
                        </w:tcBorders>
                      </w:tcPr>
                      <w:p>
                        <w:pPr>
                          <w:pStyle w:val="TableParagraph"/>
                          <w:spacing w:before="104"/>
                          <w:ind w:left="131" w:right="274"/>
                          <w:rPr>
                            <w:sz w:val="18"/>
                          </w:rPr>
                        </w:pPr>
                        <w:r>
                          <w:rPr>
                            <w:sz w:val="18"/>
                          </w:rPr>
                          <w:t>Clearance for Water Supply</w:t>
                        </w:r>
                      </w:p>
                    </w:tc>
                    <w:tc>
                      <w:tcPr>
                        <w:tcW w:w="1741" w:type="dxa"/>
                        <w:tcBorders>
                          <w:top w:val="single" w:sz="8" w:space="0" w:color="69BD28"/>
                          <w:bottom w:val="single" w:sz="8" w:space="0" w:color="69BD28"/>
                        </w:tcBorders>
                      </w:tcPr>
                      <w:p>
                        <w:pPr>
                          <w:pStyle w:val="TableParagraph"/>
                          <w:spacing w:before="104"/>
                          <w:ind w:left="297" w:right="298"/>
                          <w:rPr>
                            <w:sz w:val="18"/>
                          </w:rPr>
                        </w:pPr>
                        <w:r>
                          <w:rPr>
                            <w:sz w:val="18"/>
                          </w:rPr>
                          <w:t>Received**</w:t>
                        </w:r>
                      </w:p>
                    </w:tc>
                    <w:tc>
                      <w:tcPr>
                        <w:tcW w:w="4079" w:type="dxa"/>
                        <w:tcBorders>
                          <w:top w:val="single" w:sz="8" w:space="0" w:color="69BD28"/>
                          <w:bottom w:val="single" w:sz="8" w:space="0" w:color="69BD28"/>
                        </w:tcBorders>
                      </w:tcPr>
                      <w:p>
                        <w:pPr>
                          <w:pStyle w:val="TableParagraph"/>
                          <w:spacing w:before="104"/>
                          <w:ind w:left="307" w:right="162"/>
                          <w:rPr>
                            <w:sz w:val="18"/>
                          </w:rPr>
                        </w:pPr>
                        <w:r>
                          <w:rPr>
                            <w:w w:val="105"/>
                            <w:sz w:val="18"/>
                          </w:rPr>
                          <w:t>BWSSB</w:t>
                        </w:r>
                      </w:p>
                    </w:tc>
                    <w:tc>
                      <w:tcPr>
                        <w:tcW w:w="1356" w:type="dxa"/>
                        <w:tcBorders>
                          <w:top w:val="single" w:sz="8" w:space="0" w:color="69BD28"/>
                          <w:bottom w:val="single" w:sz="8" w:space="0" w:color="69BD28"/>
                        </w:tcBorders>
                      </w:tcPr>
                      <w:p>
                        <w:pPr>
                          <w:pStyle w:val="TableParagraph"/>
                          <w:spacing w:before="104"/>
                          <w:ind w:left="169" w:right="170"/>
                          <w:rPr>
                            <w:sz w:val="18"/>
                          </w:rPr>
                        </w:pPr>
                        <w:r>
                          <w:rPr>
                            <w:w w:val="110"/>
                            <w:sz w:val="18"/>
                          </w:rPr>
                          <w:t>01-03-2016</w:t>
                        </w:r>
                      </w:p>
                    </w:tc>
                  </w:tr>
                  <w:tr>
                    <w:trPr>
                      <w:trHeight w:val="414" w:hRule="atLeast"/>
                    </w:trPr>
                    <w:tc>
                      <w:tcPr>
                        <w:tcW w:w="3626" w:type="dxa"/>
                        <w:tcBorders>
                          <w:top w:val="single" w:sz="8" w:space="0" w:color="69BD28"/>
                          <w:bottom w:val="single" w:sz="8" w:space="0" w:color="69BD28"/>
                        </w:tcBorders>
                      </w:tcPr>
                      <w:p>
                        <w:pPr>
                          <w:pStyle w:val="TableParagraph"/>
                          <w:spacing w:before="104"/>
                          <w:ind w:left="127" w:right="275"/>
                          <w:rPr>
                            <w:sz w:val="18"/>
                          </w:rPr>
                        </w:pPr>
                        <w:r>
                          <w:rPr>
                            <w:sz w:val="18"/>
                          </w:rPr>
                          <w:t>Clearance from Electricity Authority</w:t>
                        </w:r>
                      </w:p>
                    </w:tc>
                    <w:tc>
                      <w:tcPr>
                        <w:tcW w:w="1741" w:type="dxa"/>
                        <w:tcBorders>
                          <w:top w:val="single" w:sz="8" w:space="0" w:color="69BD28"/>
                          <w:bottom w:val="single" w:sz="8" w:space="0" w:color="69BD28"/>
                        </w:tcBorders>
                      </w:tcPr>
                      <w:p>
                        <w:pPr>
                          <w:pStyle w:val="TableParagraph"/>
                          <w:spacing w:before="104"/>
                          <w:ind w:left="297" w:right="298"/>
                          <w:rPr>
                            <w:sz w:val="18"/>
                          </w:rPr>
                        </w:pPr>
                        <w:r>
                          <w:rPr>
                            <w:sz w:val="18"/>
                          </w:rPr>
                          <w:t>Received*</w:t>
                        </w:r>
                      </w:p>
                    </w:tc>
                    <w:tc>
                      <w:tcPr>
                        <w:tcW w:w="4079" w:type="dxa"/>
                        <w:tcBorders>
                          <w:top w:val="single" w:sz="8" w:space="0" w:color="69BD28"/>
                          <w:bottom w:val="single" w:sz="8" w:space="0" w:color="69BD28"/>
                        </w:tcBorders>
                      </w:tcPr>
                      <w:p>
                        <w:pPr>
                          <w:pStyle w:val="TableParagraph"/>
                          <w:spacing w:before="104"/>
                          <w:ind w:left="307" w:right="165"/>
                          <w:rPr>
                            <w:sz w:val="18"/>
                          </w:rPr>
                        </w:pPr>
                        <w:r>
                          <w:rPr>
                            <w:w w:val="110"/>
                            <w:sz w:val="18"/>
                          </w:rPr>
                          <w:t>BESCOM</w:t>
                        </w:r>
                      </w:p>
                    </w:tc>
                    <w:tc>
                      <w:tcPr>
                        <w:tcW w:w="1356" w:type="dxa"/>
                        <w:tcBorders>
                          <w:top w:val="single" w:sz="8" w:space="0" w:color="69BD28"/>
                          <w:bottom w:val="single" w:sz="8" w:space="0" w:color="69BD28"/>
                        </w:tcBorders>
                      </w:tcPr>
                      <w:p>
                        <w:pPr>
                          <w:pStyle w:val="TableParagraph"/>
                          <w:spacing w:before="104"/>
                          <w:ind w:left="169" w:right="170"/>
                          <w:rPr>
                            <w:sz w:val="18"/>
                          </w:rPr>
                        </w:pPr>
                        <w:r>
                          <w:rPr>
                            <w:w w:val="110"/>
                            <w:sz w:val="18"/>
                          </w:rPr>
                          <w:t>25-07-2018</w:t>
                        </w:r>
                      </w:p>
                    </w:tc>
                  </w:tr>
                  <w:tr>
                    <w:trPr>
                      <w:trHeight w:val="414" w:hRule="atLeast"/>
                    </w:trPr>
                    <w:tc>
                      <w:tcPr>
                        <w:tcW w:w="3626" w:type="dxa"/>
                        <w:tcBorders>
                          <w:top w:val="single" w:sz="8" w:space="0" w:color="69BD28"/>
                          <w:bottom w:val="single" w:sz="8" w:space="0" w:color="69BD28"/>
                        </w:tcBorders>
                      </w:tcPr>
                      <w:p>
                        <w:pPr>
                          <w:pStyle w:val="TableParagraph"/>
                          <w:spacing w:before="104"/>
                          <w:ind w:left="131" w:right="275"/>
                          <w:rPr>
                            <w:sz w:val="18"/>
                          </w:rPr>
                        </w:pPr>
                        <w:r>
                          <w:rPr>
                            <w:sz w:val="18"/>
                          </w:rPr>
                          <w:t>Clearance from Pollution Control Board</w:t>
                        </w:r>
                      </w:p>
                    </w:tc>
                    <w:tc>
                      <w:tcPr>
                        <w:tcW w:w="1741" w:type="dxa"/>
                        <w:tcBorders>
                          <w:top w:val="single" w:sz="8" w:space="0" w:color="69BD28"/>
                          <w:bottom w:val="single" w:sz="8" w:space="0" w:color="69BD28"/>
                        </w:tcBorders>
                      </w:tcPr>
                      <w:p>
                        <w:pPr>
                          <w:pStyle w:val="TableParagraph"/>
                          <w:spacing w:before="104"/>
                          <w:ind w:left="297" w:right="298"/>
                          <w:rPr>
                            <w:sz w:val="18"/>
                          </w:rPr>
                        </w:pPr>
                        <w:r>
                          <w:rPr>
                            <w:sz w:val="18"/>
                          </w:rPr>
                          <w:t>To be applied</w:t>
                        </w:r>
                      </w:p>
                    </w:tc>
                    <w:tc>
                      <w:tcPr>
                        <w:tcW w:w="4079" w:type="dxa"/>
                        <w:tcBorders>
                          <w:top w:val="single" w:sz="8" w:space="0" w:color="69BD28"/>
                          <w:bottom w:val="single" w:sz="8" w:space="0" w:color="69BD28"/>
                        </w:tcBorders>
                      </w:tcPr>
                      <w:p>
                        <w:pPr>
                          <w:pStyle w:val="TableParagraph"/>
                          <w:spacing w:before="104"/>
                          <w:ind w:left="307" w:right="167"/>
                          <w:rPr>
                            <w:sz w:val="18"/>
                          </w:rPr>
                        </w:pPr>
                        <w:r>
                          <w:rPr>
                            <w:w w:val="105"/>
                            <w:sz w:val="18"/>
                          </w:rPr>
                          <w:t>KSPCB</w:t>
                        </w:r>
                      </w:p>
                    </w:tc>
                    <w:tc>
                      <w:tcPr>
                        <w:tcW w:w="1356" w:type="dxa"/>
                        <w:tcBorders>
                          <w:top w:val="single" w:sz="8" w:space="0" w:color="69BD28"/>
                          <w:bottom w:val="single" w:sz="8" w:space="0" w:color="69BD28"/>
                        </w:tcBorders>
                      </w:tcPr>
                      <w:p>
                        <w:pPr>
                          <w:pStyle w:val="TableParagraph"/>
                          <w:spacing w:before="104"/>
                          <w:ind w:left="169" w:right="169"/>
                          <w:rPr>
                            <w:sz w:val="18"/>
                          </w:rPr>
                        </w:pPr>
                        <w:r>
                          <w:rPr>
                            <w:w w:val="115"/>
                            <w:sz w:val="18"/>
                          </w:rPr>
                          <w:t>NA</w:t>
                        </w:r>
                      </w:p>
                    </w:tc>
                  </w:tr>
                  <w:tr>
                    <w:trPr>
                      <w:trHeight w:val="414" w:hRule="atLeast"/>
                    </w:trPr>
                    <w:tc>
                      <w:tcPr>
                        <w:tcW w:w="3626" w:type="dxa"/>
                        <w:tcBorders>
                          <w:top w:val="single" w:sz="8" w:space="0" w:color="69BD28"/>
                          <w:bottom w:val="single" w:sz="8" w:space="0" w:color="69BD28"/>
                        </w:tcBorders>
                      </w:tcPr>
                      <w:p>
                        <w:pPr>
                          <w:pStyle w:val="TableParagraph"/>
                          <w:spacing w:before="101"/>
                          <w:ind w:left="130" w:right="275"/>
                          <w:rPr>
                            <w:sz w:val="18"/>
                          </w:rPr>
                        </w:pPr>
                        <w:r>
                          <w:rPr>
                            <w:sz w:val="18"/>
                          </w:rPr>
                          <w:t>Environment clearance</w:t>
                        </w:r>
                      </w:p>
                    </w:tc>
                    <w:tc>
                      <w:tcPr>
                        <w:tcW w:w="1741" w:type="dxa"/>
                        <w:tcBorders>
                          <w:top w:val="single" w:sz="8" w:space="0" w:color="69BD28"/>
                          <w:bottom w:val="single" w:sz="8" w:space="0" w:color="69BD28"/>
                        </w:tcBorders>
                      </w:tcPr>
                      <w:p>
                        <w:pPr>
                          <w:pStyle w:val="TableParagraph"/>
                          <w:spacing w:before="101"/>
                          <w:ind w:left="297" w:right="298"/>
                          <w:rPr>
                            <w:sz w:val="18"/>
                          </w:rPr>
                        </w:pPr>
                        <w:r>
                          <w:rPr>
                            <w:sz w:val="18"/>
                          </w:rPr>
                          <w:t>To be applied</w:t>
                        </w:r>
                      </w:p>
                    </w:tc>
                    <w:tc>
                      <w:tcPr>
                        <w:tcW w:w="4079" w:type="dxa"/>
                        <w:tcBorders>
                          <w:top w:val="single" w:sz="8" w:space="0" w:color="69BD28"/>
                          <w:bottom w:val="single" w:sz="8" w:space="0" w:color="69BD28"/>
                        </w:tcBorders>
                      </w:tcPr>
                      <w:p>
                        <w:pPr>
                          <w:pStyle w:val="TableParagraph"/>
                          <w:spacing w:before="101"/>
                          <w:ind w:left="307" w:right="166"/>
                          <w:rPr>
                            <w:sz w:val="18"/>
                          </w:rPr>
                        </w:pPr>
                        <w:r>
                          <w:rPr>
                            <w:w w:val="110"/>
                            <w:sz w:val="18"/>
                          </w:rPr>
                          <w:t>MOEF</w:t>
                        </w:r>
                      </w:p>
                    </w:tc>
                    <w:tc>
                      <w:tcPr>
                        <w:tcW w:w="1356" w:type="dxa"/>
                        <w:tcBorders>
                          <w:top w:val="single" w:sz="8" w:space="0" w:color="69BD28"/>
                          <w:bottom w:val="single" w:sz="8" w:space="0" w:color="69BD28"/>
                        </w:tcBorders>
                      </w:tcPr>
                      <w:p>
                        <w:pPr>
                          <w:pStyle w:val="TableParagraph"/>
                          <w:spacing w:before="101"/>
                          <w:ind w:left="169" w:right="169"/>
                          <w:rPr>
                            <w:sz w:val="18"/>
                          </w:rPr>
                        </w:pPr>
                        <w:r>
                          <w:rPr>
                            <w:w w:val="115"/>
                            <w:sz w:val="18"/>
                          </w:rPr>
                          <w:t>NA</w:t>
                        </w:r>
                      </w:p>
                    </w:tc>
                  </w:tr>
                  <w:tr>
                    <w:trPr>
                      <w:trHeight w:val="414" w:hRule="atLeast"/>
                    </w:trPr>
                    <w:tc>
                      <w:tcPr>
                        <w:tcW w:w="3626" w:type="dxa"/>
                        <w:tcBorders>
                          <w:top w:val="single" w:sz="8" w:space="0" w:color="69BD28"/>
                          <w:bottom w:val="single" w:sz="8" w:space="0" w:color="69BD28"/>
                        </w:tcBorders>
                      </w:tcPr>
                      <w:p>
                        <w:pPr>
                          <w:pStyle w:val="TableParagraph"/>
                          <w:spacing w:before="101"/>
                          <w:ind w:left="131" w:right="275"/>
                          <w:rPr>
                            <w:sz w:val="18"/>
                          </w:rPr>
                        </w:pPr>
                        <w:r>
                          <w:rPr>
                            <w:w w:val="105"/>
                            <w:sz w:val="18"/>
                          </w:rPr>
                          <w:t>Final Fire NOC</w:t>
                        </w:r>
                      </w:p>
                    </w:tc>
                    <w:tc>
                      <w:tcPr>
                        <w:tcW w:w="1741" w:type="dxa"/>
                        <w:tcBorders>
                          <w:top w:val="single" w:sz="8" w:space="0" w:color="69BD28"/>
                          <w:bottom w:val="single" w:sz="8" w:space="0" w:color="69BD28"/>
                        </w:tcBorders>
                      </w:tcPr>
                      <w:p>
                        <w:pPr>
                          <w:pStyle w:val="TableParagraph"/>
                          <w:spacing w:before="101"/>
                          <w:ind w:left="297" w:right="298"/>
                          <w:rPr>
                            <w:sz w:val="18"/>
                          </w:rPr>
                        </w:pPr>
                        <w:r>
                          <w:rPr>
                            <w:sz w:val="18"/>
                          </w:rPr>
                          <w:t>To be applied</w:t>
                        </w:r>
                      </w:p>
                    </w:tc>
                    <w:tc>
                      <w:tcPr>
                        <w:tcW w:w="4079" w:type="dxa"/>
                        <w:tcBorders>
                          <w:top w:val="single" w:sz="8" w:space="0" w:color="69BD28"/>
                          <w:bottom w:val="single" w:sz="8" w:space="0" w:color="69BD28"/>
                        </w:tcBorders>
                      </w:tcPr>
                      <w:p>
                        <w:pPr>
                          <w:pStyle w:val="TableParagraph"/>
                          <w:spacing w:before="101"/>
                          <w:ind w:left="306" w:right="167"/>
                          <w:rPr>
                            <w:sz w:val="18"/>
                          </w:rPr>
                        </w:pPr>
                        <w:r>
                          <w:rPr>
                            <w:sz w:val="18"/>
                          </w:rPr>
                          <w:t>Office of the Director General of Police</w:t>
                        </w:r>
                      </w:p>
                    </w:tc>
                    <w:tc>
                      <w:tcPr>
                        <w:tcW w:w="1356" w:type="dxa"/>
                        <w:tcBorders>
                          <w:top w:val="single" w:sz="8" w:space="0" w:color="69BD28"/>
                          <w:bottom w:val="single" w:sz="8" w:space="0" w:color="69BD28"/>
                        </w:tcBorders>
                      </w:tcPr>
                      <w:p>
                        <w:pPr>
                          <w:pStyle w:val="TableParagraph"/>
                          <w:spacing w:before="101"/>
                          <w:ind w:left="169" w:right="169"/>
                          <w:rPr>
                            <w:sz w:val="18"/>
                          </w:rPr>
                        </w:pPr>
                        <w:r>
                          <w:rPr>
                            <w:w w:val="115"/>
                            <w:sz w:val="18"/>
                          </w:rPr>
                          <w:t>NA</w:t>
                        </w:r>
                      </w:p>
                    </w:tc>
                  </w:tr>
                  <w:tr>
                    <w:trPr>
                      <w:trHeight w:val="411" w:hRule="atLeast"/>
                    </w:trPr>
                    <w:tc>
                      <w:tcPr>
                        <w:tcW w:w="3626" w:type="dxa"/>
                        <w:tcBorders>
                          <w:top w:val="single" w:sz="8" w:space="0" w:color="69BD28"/>
                          <w:bottom w:val="single" w:sz="8" w:space="0" w:color="69BD28"/>
                        </w:tcBorders>
                      </w:tcPr>
                      <w:p>
                        <w:pPr>
                          <w:pStyle w:val="TableParagraph"/>
                          <w:spacing w:before="101"/>
                          <w:ind w:left="130" w:right="275"/>
                          <w:rPr>
                            <w:sz w:val="18"/>
                          </w:rPr>
                        </w:pPr>
                        <w:r>
                          <w:rPr>
                            <w:sz w:val="18"/>
                          </w:rPr>
                          <w:t>Occupancy Certificate</w:t>
                        </w:r>
                      </w:p>
                    </w:tc>
                    <w:tc>
                      <w:tcPr>
                        <w:tcW w:w="1741" w:type="dxa"/>
                        <w:tcBorders>
                          <w:top w:val="single" w:sz="8" w:space="0" w:color="69BD28"/>
                          <w:bottom w:val="single" w:sz="8" w:space="0" w:color="69BD28"/>
                        </w:tcBorders>
                      </w:tcPr>
                      <w:p>
                        <w:pPr>
                          <w:pStyle w:val="TableParagraph"/>
                          <w:spacing w:before="101"/>
                          <w:ind w:left="297" w:right="298"/>
                          <w:rPr>
                            <w:sz w:val="18"/>
                          </w:rPr>
                        </w:pPr>
                        <w:r>
                          <w:rPr>
                            <w:sz w:val="18"/>
                          </w:rPr>
                          <w:t>To be applied</w:t>
                        </w:r>
                      </w:p>
                    </w:tc>
                    <w:tc>
                      <w:tcPr>
                        <w:tcW w:w="4079" w:type="dxa"/>
                        <w:tcBorders>
                          <w:top w:val="single" w:sz="8" w:space="0" w:color="69BD28"/>
                          <w:bottom w:val="single" w:sz="8" w:space="0" w:color="69BD28"/>
                        </w:tcBorders>
                      </w:tcPr>
                      <w:p>
                        <w:pPr>
                          <w:pStyle w:val="TableParagraph"/>
                          <w:spacing w:before="101"/>
                          <w:ind w:left="307" w:right="167"/>
                          <w:rPr>
                            <w:sz w:val="18"/>
                          </w:rPr>
                        </w:pPr>
                        <w:r>
                          <w:rPr>
                            <w:sz w:val="18"/>
                          </w:rPr>
                          <w:t>Bruhat Bengaluru Mahanagara Palike (BBMP)</w:t>
                        </w:r>
                      </w:p>
                    </w:tc>
                    <w:tc>
                      <w:tcPr>
                        <w:tcW w:w="1356" w:type="dxa"/>
                        <w:tcBorders>
                          <w:top w:val="single" w:sz="8" w:space="0" w:color="69BD28"/>
                          <w:bottom w:val="single" w:sz="8" w:space="0" w:color="69BD28"/>
                        </w:tcBorders>
                      </w:tcPr>
                      <w:p>
                        <w:pPr>
                          <w:pStyle w:val="TableParagraph"/>
                          <w:spacing w:before="101"/>
                          <w:ind w:left="169" w:right="169"/>
                          <w:rPr>
                            <w:sz w:val="18"/>
                          </w:rPr>
                        </w:pPr>
                        <w:r>
                          <w:rPr>
                            <w:w w:val="115"/>
                            <w:sz w:val="18"/>
                          </w:rPr>
                          <w:t>NA</w:t>
                        </w:r>
                      </w:p>
                    </w:tc>
                  </w:tr>
                </w:tbl>
                <w:p>
                  <w:pPr>
                    <w:pStyle w:val="BodyText"/>
                  </w:pPr>
                </w:p>
              </w:txbxContent>
            </v:textbox>
            <w10:wrap type="none"/>
          </v:shape>
        </w:pict>
      </w:r>
      <w:r>
        <w:rPr>
          <w:w w:val="95"/>
          <w:sz w:val="18"/>
        </w:rPr>
        <w:t>Development Permission/</w:t>
      </w:r>
    </w:p>
    <w:p>
      <w:pPr>
        <w:tabs>
          <w:tab w:pos="4442" w:val="left" w:leader="none"/>
          <w:tab w:pos="7749" w:val="right" w:leader="none"/>
        </w:tabs>
        <w:spacing w:before="80"/>
        <w:ind w:left="1254" w:right="0" w:firstLine="0"/>
        <w:jc w:val="left"/>
        <w:rPr>
          <w:sz w:val="18"/>
        </w:rPr>
      </w:pPr>
      <w:r>
        <w:rPr/>
        <w:br w:type="column"/>
      </w:r>
      <w:r>
        <w:rPr>
          <w:sz w:val="18"/>
        </w:rPr>
        <w:t>Received*</w:t>
        <w:tab/>
      </w:r>
      <w:r>
        <w:rPr>
          <w:w w:val="105"/>
          <w:sz w:val="18"/>
        </w:rPr>
        <w:t>BDA</w:t>
        <w:tab/>
        <w:t>22-02-2018</w:t>
      </w:r>
    </w:p>
    <w:p>
      <w:pPr>
        <w:spacing w:after="0"/>
        <w:jc w:val="left"/>
        <w:rPr>
          <w:sz w:val="18"/>
        </w:rPr>
        <w:sectPr>
          <w:type w:val="continuous"/>
          <w:pgSz w:w="11910" w:h="16840"/>
          <w:pgMar w:top="800" w:bottom="280" w:left="40" w:right="40"/>
          <w:cols w:num="2" w:equalWidth="0">
            <w:col w:w="3297" w:space="80"/>
            <w:col w:w="8453"/>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18"/>
        </w:rPr>
      </w:pPr>
    </w:p>
    <w:p>
      <w:pPr>
        <w:spacing w:line="247" w:lineRule="auto" w:before="0"/>
        <w:ind w:left="675" w:right="607" w:hanging="53"/>
        <w:jc w:val="left"/>
        <w:rPr>
          <w:i/>
          <w:sz w:val="18"/>
        </w:rPr>
      </w:pPr>
      <w:r>
        <w:rPr>
          <w:i/>
          <w:sz w:val="18"/>
        </w:rPr>
        <w:t>*Note:</w:t>
      </w:r>
      <w:r>
        <w:rPr>
          <w:i/>
          <w:spacing w:val="-29"/>
          <w:sz w:val="18"/>
        </w:rPr>
        <w:t> </w:t>
      </w:r>
      <w:r>
        <w:rPr>
          <w:i/>
          <w:sz w:val="18"/>
        </w:rPr>
        <w:t>The</w:t>
      </w:r>
      <w:r>
        <w:rPr>
          <w:i/>
          <w:spacing w:val="-28"/>
          <w:sz w:val="18"/>
        </w:rPr>
        <w:t> </w:t>
      </w:r>
      <w:r>
        <w:rPr>
          <w:i/>
          <w:sz w:val="18"/>
        </w:rPr>
        <w:t>following</w:t>
      </w:r>
      <w:r>
        <w:rPr>
          <w:i/>
          <w:spacing w:val="-28"/>
          <w:sz w:val="18"/>
        </w:rPr>
        <w:t> </w:t>
      </w:r>
      <w:r>
        <w:rPr>
          <w:i/>
          <w:sz w:val="18"/>
        </w:rPr>
        <w:t>approvals</w:t>
      </w:r>
      <w:r>
        <w:rPr>
          <w:i/>
          <w:spacing w:val="-29"/>
          <w:sz w:val="18"/>
        </w:rPr>
        <w:t> </w:t>
      </w:r>
      <w:r>
        <w:rPr>
          <w:i/>
          <w:sz w:val="18"/>
        </w:rPr>
        <w:t>have</w:t>
      </w:r>
      <w:r>
        <w:rPr>
          <w:i/>
          <w:spacing w:val="-28"/>
          <w:sz w:val="18"/>
        </w:rPr>
        <w:t> </w:t>
      </w:r>
      <w:r>
        <w:rPr>
          <w:i/>
          <w:sz w:val="18"/>
        </w:rPr>
        <w:t>been</w:t>
      </w:r>
      <w:r>
        <w:rPr>
          <w:i/>
          <w:spacing w:val="-28"/>
          <w:sz w:val="18"/>
        </w:rPr>
        <w:t> </w:t>
      </w:r>
      <w:r>
        <w:rPr>
          <w:i/>
          <w:sz w:val="18"/>
        </w:rPr>
        <w:t>received</w:t>
      </w:r>
      <w:r>
        <w:rPr>
          <w:i/>
          <w:spacing w:val="-28"/>
          <w:sz w:val="18"/>
        </w:rPr>
        <w:t> </w:t>
      </w:r>
      <w:r>
        <w:rPr>
          <w:i/>
          <w:sz w:val="18"/>
        </w:rPr>
        <w:t>for</w:t>
      </w:r>
      <w:r>
        <w:rPr>
          <w:i/>
          <w:spacing w:val="-28"/>
          <w:sz w:val="18"/>
        </w:rPr>
        <w:t> </w:t>
      </w:r>
      <w:r>
        <w:rPr>
          <w:i/>
          <w:sz w:val="18"/>
        </w:rPr>
        <w:t>the</w:t>
      </w:r>
      <w:r>
        <w:rPr>
          <w:i/>
          <w:spacing w:val="-30"/>
          <w:sz w:val="18"/>
        </w:rPr>
        <w:t> </w:t>
      </w:r>
      <w:r>
        <w:rPr>
          <w:i/>
          <w:sz w:val="18"/>
        </w:rPr>
        <w:t>existing</w:t>
      </w:r>
      <w:r>
        <w:rPr>
          <w:i/>
          <w:spacing w:val="-28"/>
          <w:sz w:val="18"/>
        </w:rPr>
        <w:t> </w:t>
      </w:r>
      <w:r>
        <w:rPr>
          <w:i/>
          <w:sz w:val="18"/>
        </w:rPr>
        <w:t>plan</w:t>
      </w:r>
      <w:r>
        <w:rPr>
          <w:i/>
          <w:spacing w:val="-28"/>
          <w:sz w:val="18"/>
        </w:rPr>
        <w:t> </w:t>
      </w:r>
      <w:r>
        <w:rPr>
          <w:i/>
          <w:sz w:val="18"/>
        </w:rPr>
        <w:t>for</w:t>
      </w:r>
      <w:r>
        <w:rPr>
          <w:i/>
          <w:spacing w:val="-29"/>
          <w:sz w:val="18"/>
        </w:rPr>
        <w:t> </w:t>
      </w:r>
      <w:r>
        <w:rPr>
          <w:i/>
          <w:sz w:val="18"/>
        </w:rPr>
        <w:t>Block</w:t>
      </w:r>
      <w:r>
        <w:rPr>
          <w:i/>
          <w:spacing w:val="-28"/>
          <w:sz w:val="18"/>
        </w:rPr>
        <w:t> </w:t>
      </w:r>
      <w:r>
        <w:rPr>
          <w:i/>
          <w:spacing w:val="3"/>
          <w:sz w:val="18"/>
        </w:rPr>
        <w:t>M3</w:t>
      </w:r>
      <w:r>
        <w:rPr>
          <w:i/>
          <w:spacing w:val="-29"/>
          <w:sz w:val="18"/>
        </w:rPr>
        <w:t> </w:t>
      </w:r>
      <w:r>
        <w:rPr>
          <w:i/>
          <w:sz w:val="18"/>
        </w:rPr>
        <w:t>(i.e.</w:t>
      </w:r>
      <w:r>
        <w:rPr>
          <w:i/>
          <w:spacing w:val="-29"/>
          <w:sz w:val="18"/>
        </w:rPr>
        <w:t> </w:t>
      </w:r>
      <w:r>
        <w:rPr>
          <w:i/>
          <w:sz w:val="18"/>
        </w:rPr>
        <w:t>997,057</w:t>
      </w:r>
      <w:r>
        <w:rPr>
          <w:i/>
          <w:spacing w:val="-29"/>
          <w:sz w:val="18"/>
        </w:rPr>
        <w:t> </w:t>
      </w:r>
      <w:r>
        <w:rPr>
          <w:i/>
          <w:sz w:val="18"/>
        </w:rPr>
        <w:t>sft).</w:t>
      </w:r>
      <w:r>
        <w:rPr>
          <w:i/>
          <w:spacing w:val="-28"/>
          <w:sz w:val="18"/>
        </w:rPr>
        <w:t> </w:t>
      </w:r>
      <w:r>
        <w:rPr>
          <w:i/>
          <w:sz w:val="18"/>
        </w:rPr>
        <w:t>The</w:t>
      </w:r>
      <w:r>
        <w:rPr>
          <w:i/>
          <w:spacing w:val="-29"/>
          <w:sz w:val="18"/>
        </w:rPr>
        <w:t> </w:t>
      </w:r>
      <w:r>
        <w:rPr>
          <w:i/>
          <w:sz w:val="18"/>
        </w:rPr>
        <w:t>Client</w:t>
      </w:r>
      <w:r>
        <w:rPr>
          <w:i/>
          <w:spacing w:val="-27"/>
          <w:sz w:val="18"/>
        </w:rPr>
        <w:t> </w:t>
      </w:r>
      <w:r>
        <w:rPr>
          <w:i/>
          <w:sz w:val="18"/>
        </w:rPr>
        <w:t>will</w:t>
      </w:r>
      <w:r>
        <w:rPr>
          <w:i/>
          <w:spacing w:val="-29"/>
          <w:sz w:val="18"/>
        </w:rPr>
        <w:t> </w:t>
      </w:r>
      <w:r>
        <w:rPr>
          <w:i/>
          <w:sz w:val="18"/>
        </w:rPr>
        <w:t>have</w:t>
      </w:r>
      <w:r>
        <w:rPr>
          <w:i/>
          <w:spacing w:val="-29"/>
          <w:sz w:val="18"/>
        </w:rPr>
        <w:t> </w:t>
      </w:r>
      <w:r>
        <w:rPr>
          <w:i/>
          <w:sz w:val="18"/>
        </w:rPr>
        <w:t>to</w:t>
      </w:r>
      <w:r>
        <w:rPr>
          <w:i/>
          <w:spacing w:val="-29"/>
          <w:sz w:val="18"/>
        </w:rPr>
        <w:t> </w:t>
      </w:r>
      <w:r>
        <w:rPr>
          <w:i/>
          <w:sz w:val="18"/>
        </w:rPr>
        <w:t>re-apply </w:t>
      </w:r>
      <w:r>
        <w:rPr>
          <w:i/>
          <w:sz w:val="18"/>
        </w:rPr>
        <w:t>and secure approvals with the additional proposed</w:t>
      </w:r>
      <w:r>
        <w:rPr>
          <w:i/>
          <w:spacing w:val="-34"/>
          <w:sz w:val="18"/>
        </w:rPr>
        <w:t> </w:t>
      </w:r>
      <w:r>
        <w:rPr>
          <w:i/>
          <w:sz w:val="18"/>
        </w:rPr>
        <w:t>area.</w:t>
      </w:r>
    </w:p>
    <w:p>
      <w:pPr>
        <w:spacing w:line="247" w:lineRule="auto" w:before="0"/>
        <w:ind w:left="680" w:right="5592" w:hanging="58"/>
        <w:jc w:val="left"/>
        <w:rPr>
          <w:i/>
          <w:sz w:val="18"/>
        </w:rPr>
      </w:pPr>
      <w:r>
        <w:rPr>
          <w:i/>
          <w:sz w:val="18"/>
        </w:rPr>
        <w:t>**</w:t>
      </w:r>
      <w:r>
        <w:rPr>
          <w:i/>
          <w:spacing w:val="-12"/>
          <w:sz w:val="18"/>
        </w:rPr>
        <w:t> </w:t>
      </w:r>
      <w:r>
        <w:rPr>
          <w:i/>
          <w:sz w:val="18"/>
        </w:rPr>
        <w:t>No</w:t>
      </w:r>
      <w:r>
        <w:rPr>
          <w:i/>
          <w:spacing w:val="-11"/>
          <w:sz w:val="18"/>
        </w:rPr>
        <w:t> </w:t>
      </w:r>
      <w:r>
        <w:rPr>
          <w:i/>
          <w:sz w:val="18"/>
        </w:rPr>
        <w:t>amendment</w:t>
      </w:r>
      <w:r>
        <w:rPr>
          <w:i/>
          <w:spacing w:val="-10"/>
          <w:sz w:val="18"/>
        </w:rPr>
        <w:t> </w:t>
      </w:r>
      <w:r>
        <w:rPr>
          <w:i/>
          <w:sz w:val="18"/>
        </w:rPr>
        <w:t>required</w:t>
      </w:r>
      <w:r>
        <w:rPr>
          <w:i/>
          <w:spacing w:val="-10"/>
          <w:sz w:val="18"/>
        </w:rPr>
        <w:t> </w:t>
      </w:r>
      <w:r>
        <w:rPr>
          <w:i/>
          <w:sz w:val="18"/>
        </w:rPr>
        <w:t>in</w:t>
      </w:r>
      <w:r>
        <w:rPr>
          <w:i/>
          <w:spacing w:val="-12"/>
          <w:sz w:val="18"/>
        </w:rPr>
        <w:t> </w:t>
      </w:r>
      <w:r>
        <w:rPr>
          <w:i/>
          <w:sz w:val="18"/>
        </w:rPr>
        <w:t>these</w:t>
      </w:r>
      <w:r>
        <w:rPr>
          <w:i/>
          <w:spacing w:val="-11"/>
          <w:sz w:val="18"/>
        </w:rPr>
        <w:t> </w:t>
      </w:r>
      <w:r>
        <w:rPr>
          <w:i/>
          <w:sz w:val="18"/>
        </w:rPr>
        <w:t>NOCs</w:t>
      </w:r>
      <w:r>
        <w:rPr>
          <w:i/>
          <w:spacing w:val="-11"/>
          <w:sz w:val="18"/>
        </w:rPr>
        <w:t> </w:t>
      </w:r>
      <w:r>
        <w:rPr>
          <w:i/>
          <w:sz w:val="18"/>
        </w:rPr>
        <w:t>due</w:t>
      </w:r>
      <w:r>
        <w:rPr>
          <w:i/>
          <w:spacing w:val="-10"/>
          <w:sz w:val="18"/>
        </w:rPr>
        <w:t> </w:t>
      </w:r>
      <w:r>
        <w:rPr>
          <w:i/>
          <w:sz w:val="18"/>
        </w:rPr>
        <w:t>to</w:t>
      </w:r>
      <w:r>
        <w:rPr>
          <w:i/>
          <w:spacing w:val="-13"/>
          <w:sz w:val="18"/>
        </w:rPr>
        <w:t> </w:t>
      </w:r>
      <w:r>
        <w:rPr>
          <w:i/>
          <w:sz w:val="18"/>
        </w:rPr>
        <w:t>change</w:t>
      </w:r>
      <w:r>
        <w:rPr>
          <w:i/>
          <w:spacing w:val="-14"/>
          <w:sz w:val="18"/>
        </w:rPr>
        <w:t> </w:t>
      </w:r>
      <w:r>
        <w:rPr>
          <w:i/>
          <w:sz w:val="18"/>
        </w:rPr>
        <w:t>in</w:t>
      </w:r>
      <w:r>
        <w:rPr>
          <w:i/>
          <w:spacing w:val="-12"/>
          <w:sz w:val="18"/>
        </w:rPr>
        <w:t> </w:t>
      </w:r>
      <w:r>
        <w:rPr>
          <w:i/>
          <w:sz w:val="18"/>
        </w:rPr>
        <w:t>area </w:t>
      </w:r>
      <w:r>
        <w:rPr>
          <w:i/>
          <w:sz w:val="18"/>
        </w:rPr>
        <w:t>Source:</w:t>
      </w:r>
      <w:r>
        <w:rPr>
          <w:i/>
          <w:spacing w:val="-12"/>
          <w:sz w:val="18"/>
        </w:rPr>
        <w:t> </w:t>
      </w:r>
      <w:r>
        <w:rPr>
          <w:i/>
          <w:sz w:val="18"/>
        </w:rPr>
        <w:t>Approval</w:t>
      </w:r>
      <w:r>
        <w:rPr>
          <w:i/>
          <w:spacing w:val="-10"/>
          <w:sz w:val="18"/>
        </w:rPr>
        <w:t> </w:t>
      </w:r>
      <w:r>
        <w:rPr>
          <w:i/>
          <w:sz w:val="18"/>
        </w:rPr>
        <w:t>documents</w:t>
      </w:r>
      <w:r>
        <w:rPr>
          <w:i/>
          <w:spacing w:val="-13"/>
          <w:sz w:val="18"/>
        </w:rPr>
        <w:t> </w:t>
      </w:r>
      <w:r>
        <w:rPr>
          <w:i/>
          <w:sz w:val="18"/>
        </w:rPr>
        <w:t>provided</w:t>
      </w:r>
      <w:r>
        <w:rPr>
          <w:i/>
          <w:spacing w:val="-12"/>
          <w:sz w:val="18"/>
        </w:rPr>
        <w:t> </w:t>
      </w:r>
      <w:r>
        <w:rPr>
          <w:i/>
          <w:sz w:val="18"/>
        </w:rPr>
        <w:t>by</w:t>
      </w:r>
      <w:r>
        <w:rPr>
          <w:i/>
          <w:spacing w:val="-12"/>
          <w:sz w:val="18"/>
        </w:rPr>
        <w:t> </w:t>
      </w:r>
      <w:r>
        <w:rPr>
          <w:i/>
          <w:sz w:val="18"/>
        </w:rPr>
        <w:t>the</w:t>
      </w:r>
      <w:r>
        <w:rPr>
          <w:i/>
          <w:spacing w:val="-11"/>
          <w:sz w:val="18"/>
        </w:rPr>
        <w:t> </w:t>
      </w:r>
      <w:r>
        <w:rPr>
          <w:i/>
          <w:sz w:val="18"/>
        </w:rPr>
        <w:t>Client</w:t>
      </w:r>
    </w:p>
    <w:p>
      <w:pPr>
        <w:spacing w:after="0" w:line="247" w:lineRule="auto"/>
        <w:jc w:val="left"/>
        <w:rPr>
          <w:sz w:val="18"/>
        </w:rPr>
        <w:sectPr>
          <w:type w:val="continuous"/>
          <w:pgSz w:w="11910" w:h="16840"/>
          <w:pgMar w:top="800" w:bottom="280" w:left="40" w:right="40"/>
        </w:sectPr>
      </w:pPr>
    </w:p>
    <w:p>
      <w:pPr>
        <w:pStyle w:val="BodyText"/>
        <w:spacing w:before="7"/>
        <w:rPr>
          <w:i/>
          <w:sz w:val="9"/>
        </w:rPr>
      </w:pPr>
    </w:p>
    <w:p>
      <w:pPr>
        <w:pStyle w:val="BodyText"/>
        <w:spacing w:before="106"/>
        <w:ind w:left="1246"/>
      </w:pPr>
      <w:r>
        <w:rPr>
          <w:u w:val="single"/>
        </w:rPr>
        <w:t>Express Towers</w:t>
      </w:r>
    </w:p>
    <w:p>
      <w:pPr>
        <w:pStyle w:val="BodyText"/>
        <w:spacing w:before="1"/>
        <w:rPr>
          <w:sz w:val="19"/>
        </w:rPr>
      </w:pPr>
    </w:p>
    <w:p>
      <w:pPr>
        <w:pStyle w:val="BodyText"/>
        <w:spacing w:line="321" w:lineRule="auto" w:before="106"/>
        <w:ind w:left="1246" w:right="607"/>
      </w:pPr>
      <w:r>
        <w:rPr/>
        <w:t>As</w:t>
      </w:r>
      <w:r>
        <w:rPr>
          <w:spacing w:val="-17"/>
        </w:rPr>
        <w:t> </w:t>
      </w:r>
      <w:r>
        <w:rPr/>
        <w:t>per</w:t>
      </w:r>
      <w:r>
        <w:rPr>
          <w:spacing w:val="-16"/>
        </w:rPr>
        <w:t> </w:t>
      </w:r>
      <w:r>
        <w:rPr/>
        <w:t>the</w:t>
      </w:r>
      <w:r>
        <w:rPr>
          <w:spacing w:val="-17"/>
        </w:rPr>
        <w:t> </w:t>
      </w:r>
      <w:r>
        <w:rPr/>
        <w:t>review</w:t>
      </w:r>
      <w:r>
        <w:rPr>
          <w:spacing w:val="-15"/>
        </w:rPr>
        <w:t> </w:t>
      </w:r>
      <w:r>
        <w:rPr/>
        <w:t>of</w:t>
      </w:r>
      <w:r>
        <w:rPr>
          <w:spacing w:val="-16"/>
        </w:rPr>
        <w:t> </w:t>
      </w:r>
      <w:r>
        <w:rPr/>
        <w:t>the</w:t>
      </w:r>
      <w:r>
        <w:rPr>
          <w:spacing w:val="-18"/>
        </w:rPr>
        <w:t> </w:t>
      </w:r>
      <w:r>
        <w:rPr/>
        <w:t>documents</w:t>
      </w:r>
      <w:r>
        <w:rPr>
          <w:spacing w:val="-16"/>
        </w:rPr>
        <w:t> </w:t>
      </w:r>
      <w:r>
        <w:rPr/>
        <w:t>provided</w:t>
      </w:r>
      <w:r>
        <w:rPr>
          <w:spacing w:val="-18"/>
        </w:rPr>
        <w:t> </w:t>
      </w:r>
      <w:r>
        <w:rPr/>
        <w:t>by</w:t>
      </w:r>
      <w:r>
        <w:rPr>
          <w:spacing w:val="-15"/>
        </w:rPr>
        <w:t> </w:t>
      </w:r>
      <w:r>
        <w:rPr/>
        <w:t>the</w:t>
      </w:r>
      <w:r>
        <w:rPr>
          <w:spacing w:val="-17"/>
        </w:rPr>
        <w:t> </w:t>
      </w:r>
      <w:r>
        <w:rPr/>
        <w:t>Client,</w:t>
      </w:r>
      <w:r>
        <w:rPr>
          <w:spacing w:val="-16"/>
        </w:rPr>
        <w:t> </w:t>
      </w:r>
      <w:r>
        <w:rPr/>
        <w:t>we</w:t>
      </w:r>
      <w:r>
        <w:rPr>
          <w:spacing w:val="-16"/>
        </w:rPr>
        <w:t> </w:t>
      </w:r>
      <w:r>
        <w:rPr/>
        <w:t>understand</w:t>
      </w:r>
      <w:r>
        <w:rPr>
          <w:spacing w:val="-17"/>
        </w:rPr>
        <w:t> </w:t>
      </w:r>
      <w:r>
        <w:rPr/>
        <w:t>that</w:t>
      </w:r>
      <w:r>
        <w:rPr>
          <w:spacing w:val="-16"/>
        </w:rPr>
        <w:t> </w:t>
      </w:r>
      <w:r>
        <w:rPr/>
        <w:t>all</w:t>
      </w:r>
      <w:r>
        <w:rPr>
          <w:spacing w:val="-16"/>
        </w:rPr>
        <w:t> </w:t>
      </w:r>
      <w:r>
        <w:rPr/>
        <w:t>requisite</w:t>
      </w:r>
      <w:r>
        <w:rPr>
          <w:spacing w:val="-17"/>
        </w:rPr>
        <w:t> </w:t>
      </w:r>
      <w:r>
        <w:rPr/>
        <w:t>approvals along</w:t>
      </w:r>
      <w:r>
        <w:rPr>
          <w:spacing w:val="-10"/>
        </w:rPr>
        <w:t> </w:t>
      </w:r>
      <w:r>
        <w:rPr/>
        <w:t>with</w:t>
      </w:r>
      <w:r>
        <w:rPr>
          <w:spacing w:val="-11"/>
        </w:rPr>
        <w:t> </w:t>
      </w:r>
      <w:r>
        <w:rPr/>
        <w:t>Occupancy</w:t>
      </w:r>
      <w:r>
        <w:rPr>
          <w:spacing w:val="-10"/>
        </w:rPr>
        <w:t> </w:t>
      </w:r>
      <w:r>
        <w:rPr/>
        <w:t>Certificate</w:t>
      </w:r>
      <w:r>
        <w:rPr>
          <w:spacing w:val="-10"/>
        </w:rPr>
        <w:t> </w:t>
      </w:r>
      <w:r>
        <w:rPr/>
        <w:t>for</w:t>
      </w:r>
      <w:r>
        <w:rPr>
          <w:spacing w:val="-11"/>
        </w:rPr>
        <w:t> </w:t>
      </w:r>
      <w:r>
        <w:rPr/>
        <w:t>all</w:t>
      </w:r>
      <w:r>
        <w:rPr>
          <w:spacing w:val="-10"/>
        </w:rPr>
        <w:t> </w:t>
      </w:r>
      <w:r>
        <w:rPr/>
        <w:t>the</w:t>
      </w:r>
      <w:r>
        <w:rPr>
          <w:spacing w:val="-11"/>
        </w:rPr>
        <w:t> </w:t>
      </w:r>
      <w:r>
        <w:rPr/>
        <w:t>operational</w:t>
      </w:r>
      <w:r>
        <w:rPr>
          <w:spacing w:val="-11"/>
        </w:rPr>
        <w:t> </w:t>
      </w:r>
      <w:r>
        <w:rPr/>
        <w:t>floors</w:t>
      </w:r>
      <w:r>
        <w:rPr>
          <w:spacing w:val="-9"/>
        </w:rPr>
        <w:t> </w:t>
      </w:r>
      <w:r>
        <w:rPr/>
        <w:t>have</w:t>
      </w:r>
      <w:r>
        <w:rPr>
          <w:spacing w:val="-9"/>
        </w:rPr>
        <w:t> </w:t>
      </w:r>
      <w:r>
        <w:rPr/>
        <w:t>been</w:t>
      </w:r>
      <w:r>
        <w:rPr>
          <w:spacing w:val="-11"/>
        </w:rPr>
        <w:t> </w:t>
      </w:r>
      <w:r>
        <w:rPr/>
        <w:t>received.</w:t>
      </w:r>
    </w:p>
    <w:p>
      <w:pPr>
        <w:pStyle w:val="BodyText"/>
        <w:spacing w:before="7"/>
        <w:rPr>
          <w:sz w:val="20"/>
        </w:rPr>
      </w:pPr>
    </w:p>
    <w:p>
      <w:pPr>
        <w:pStyle w:val="BodyText"/>
        <w:spacing w:line="321" w:lineRule="auto" w:before="1" w:after="4"/>
        <w:ind w:left="1246" w:right="607"/>
      </w:pPr>
      <w:r>
        <w:rPr/>
        <w:t>The</w:t>
      </w:r>
      <w:r>
        <w:rPr>
          <w:spacing w:val="-35"/>
        </w:rPr>
        <w:t> </w:t>
      </w:r>
      <w:r>
        <w:rPr/>
        <w:t>details</w:t>
      </w:r>
      <w:r>
        <w:rPr>
          <w:spacing w:val="-34"/>
        </w:rPr>
        <w:t> </w:t>
      </w:r>
      <w:r>
        <w:rPr/>
        <w:t>of</w:t>
      </w:r>
      <w:r>
        <w:rPr>
          <w:spacing w:val="-34"/>
        </w:rPr>
        <w:t> </w:t>
      </w:r>
      <w:r>
        <w:rPr/>
        <w:t>the</w:t>
      </w:r>
      <w:r>
        <w:rPr>
          <w:spacing w:val="-34"/>
        </w:rPr>
        <w:t> </w:t>
      </w:r>
      <w:r>
        <w:rPr/>
        <w:t>Occupancy</w:t>
      </w:r>
      <w:r>
        <w:rPr>
          <w:spacing w:val="-34"/>
        </w:rPr>
        <w:t> </w:t>
      </w:r>
      <w:r>
        <w:rPr/>
        <w:t>Certificates</w:t>
      </w:r>
      <w:r>
        <w:rPr>
          <w:spacing w:val="-33"/>
        </w:rPr>
        <w:t> </w:t>
      </w:r>
      <w:r>
        <w:rPr/>
        <w:t>for</w:t>
      </w:r>
      <w:r>
        <w:rPr>
          <w:spacing w:val="-35"/>
        </w:rPr>
        <w:t> </w:t>
      </w:r>
      <w:r>
        <w:rPr/>
        <w:t>the</w:t>
      </w:r>
      <w:r>
        <w:rPr>
          <w:spacing w:val="-35"/>
        </w:rPr>
        <w:t> </w:t>
      </w:r>
      <w:r>
        <w:rPr/>
        <w:t>respective</w:t>
      </w:r>
      <w:r>
        <w:rPr>
          <w:spacing w:val="-34"/>
        </w:rPr>
        <w:t> </w:t>
      </w:r>
      <w:r>
        <w:rPr/>
        <w:t>blocks</w:t>
      </w:r>
      <w:r>
        <w:rPr>
          <w:spacing w:val="-35"/>
        </w:rPr>
        <w:t> </w:t>
      </w:r>
      <w:r>
        <w:rPr/>
        <w:t>shared</w:t>
      </w:r>
      <w:r>
        <w:rPr>
          <w:spacing w:val="-34"/>
        </w:rPr>
        <w:t> </w:t>
      </w:r>
      <w:r>
        <w:rPr/>
        <w:t>by</w:t>
      </w:r>
      <w:r>
        <w:rPr>
          <w:spacing w:val="-33"/>
        </w:rPr>
        <w:t> </w:t>
      </w:r>
      <w:r>
        <w:rPr/>
        <w:t>the</w:t>
      </w:r>
      <w:r>
        <w:rPr>
          <w:spacing w:val="-35"/>
        </w:rPr>
        <w:t> </w:t>
      </w:r>
      <w:r>
        <w:rPr/>
        <w:t>Client</w:t>
      </w:r>
      <w:r>
        <w:rPr>
          <w:spacing w:val="-34"/>
        </w:rPr>
        <w:t> </w:t>
      </w:r>
      <w:r>
        <w:rPr/>
        <w:t>and</w:t>
      </w:r>
      <w:r>
        <w:rPr>
          <w:spacing w:val="-34"/>
        </w:rPr>
        <w:t> </w:t>
      </w:r>
      <w:r>
        <w:rPr/>
        <w:t>the</w:t>
      </w:r>
      <w:r>
        <w:rPr>
          <w:spacing w:val="-36"/>
        </w:rPr>
        <w:t> </w:t>
      </w:r>
      <w:r>
        <w:rPr/>
        <w:t>same</w:t>
      </w:r>
      <w:r>
        <w:rPr>
          <w:spacing w:val="-35"/>
        </w:rPr>
        <w:t> </w:t>
      </w:r>
      <w:r>
        <w:rPr/>
        <w:t>has been considered for the purpose of the valuation</w:t>
      </w:r>
      <w:r>
        <w:rPr>
          <w:spacing w:val="-46"/>
        </w:rPr>
        <w:t> </w:t>
      </w:r>
      <w:r>
        <w:rPr/>
        <w:t>exercise:</w:t>
      </w: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01"/>
        <w:gridCol w:w="6017"/>
        <w:gridCol w:w="1968"/>
      </w:tblGrid>
      <w:tr>
        <w:trPr>
          <w:trHeight w:val="431" w:hRule="atLeast"/>
        </w:trPr>
        <w:tc>
          <w:tcPr>
            <w:tcW w:w="2501" w:type="dxa"/>
            <w:tcBorders>
              <w:top w:val="single" w:sz="12" w:space="0" w:color="1F6B16"/>
              <w:bottom w:val="single" w:sz="6" w:space="0" w:color="69BD28"/>
            </w:tcBorders>
            <w:shd w:val="clear" w:color="auto" w:fill="006A4D"/>
          </w:tcPr>
          <w:p>
            <w:pPr>
              <w:pStyle w:val="TableParagraph"/>
              <w:spacing w:before="111"/>
              <w:ind w:left="661" w:right="438"/>
              <w:rPr>
                <w:b/>
                <w:sz w:val="18"/>
              </w:rPr>
            </w:pPr>
            <w:r>
              <w:rPr>
                <w:b/>
                <w:color w:val="FFFFFF"/>
                <w:w w:val="110"/>
                <w:sz w:val="18"/>
              </w:rPr>
              <w:t>Floor Numbers</w:t>
            </w:r>
          </w:p>
        </w:tc>
        <w:tc>
          <w:tcPr>
            <w:tcW w:w="6017" w:type="dxa"/>
            <w:tcBorders>
              <w:top w:val="single" w:sz="12" w:space="0" w:color="1F6B16"/>
              <w:bottom w:val="single" w:sz="6" w:space="0" w:color="69BD28"/>
            </w:tcBorders>
            <w:shd w:val="clear" w:color="auto" w:fill="006A4D"/>
          </w:tcPr>
          <w:p>
            <w:pPr>
              <w:pStyle w:val="TableParagraph"/>
              <w:spacing w:before="111"/>
              <w:ind w:left="465" w:right="236"/>
              <w:rPr>
                <w:b/>
                <w:sz w:val="18"/>
              </w:rPr>
            </w:pPr>
            <w:r>
              <w:rPr>
                <w:b/>
                <w:color w:val="FFFFFF"/>
                <w:w w:val="105"/>
                <w:sz w:val="18"/>
              </w:rPr>
              <w:t>Authority</w:t>
            </w:r>
          </w:p>
        </w:tc>
        <w:tc>
          <w:tcPr>
            <w:tcW w:w="1968" w:type="dxa"/>
            <w:tcBorders>
              <w:top w:val="single" w:sz="12" w:space="0" w:color="1F6B16"/>
              <w:bottom w:val="single" w:sz="6" w:space="0" w:color="69BD28"/>
            </w:tcBorders>
            <w:shd w:val="clear" w:color="auto" w:fill="006A4D"/>
          </w:tcPr>
          <w:p>
            <w:pPr>
              <w:pStyle w:val="TableParagraph"/>
              <w:spacing w:before="3"/>
              <w:ind w:left="111" w:right="95"/>
              <w:rPr>
                <w:b/>
                <w:sz w:val="18"/>
              </w:rPr>
            </w:pPr>
            <w:r>
              <w:rPr>
                <w:b/>
                <w:color w:val="FFFFFF"/>
                <w:w w:val="115"/>
                <w:sz w:val="18"/>
              </w:rPr>
              <w:t>Date of Issue (DD-</w:t>
            </w:r>
          </w:p>
          <w:p>
            <w:pPr>
              <w:pStyle w:val="TableParagraph"/>
              <w:spacing w:line="192" w:lineRule="exact" w:before="7"/>
              <w:ind w:left="111" w:right="94"/>
              <w:rPr>
                <w:b/>
                <w:sz w:val="18"/>
              </w:rPr>
            </w:pPr>
            <w:r>
              <w:rPr>
                <w:b/>
                <w:color w:val="FFFFFF"/>
                <w:w w:val="110"/>
                <w:sz w:val="18"/>
              </w:rPr>
              <w:t>MM-YY)</w:t>
            </w:r>
          </w:p>
        </w:tc>
      </w:tr>
      <w:tr>
        <w:trPr>
          <w:trHeight w:val="256" w:hRule="atLeast"/>
        </w:trPr>
        <w:tc>
          <w:tcPr>
            <w:tcW w:w="2501" w:type="dxa"/>
            <w:tcBorders>
              <w:top w:val="single" w:sz="6" w:space="0" w:color="69BD28"/>
              <w:bottom w:val="single" w:sz="6" w:space="0" w:color="69BD28"/>
            </w:tcBorders>
          </w:tcPr>
          <w:p>
            <w:pPr>
              <w:pStyle w:val="TableParagraph"/>
              <w:spacing w:before="25"/>
              <w:ind w:left="657" w:right="438"/>
              <w:rPr>
                <w:sz w:val="18"/>
              </w:rPr>
            </w:pPr>
            <w:r>
              <w:rPr>
                <w:w w:val="110"/>
                <w:sz w:val="18"/>
              </w:rPr>
              <w:t>B+2 floors</w:t>
            </w:r>
          </w:p>
        </w:tc>
        <w:tc>
          <w:tcPr>
            <w:tcW w:w="6017" w:type="dxa"/>
            <w:tcBorders>
              <w:top w:val="single" w:sz="6" w:space="0" w:color="69BD28"/>
              <w:bottom w:val="single" w:sz="6" w:space="0" w:color="69BD28"/>
            </w:tcBorders>
          </w:tcPr>
          <w:p>
            <w:pPr>
              <w:pStyle w:val="TableParagraph"/>
              <w:spacing w:before="25"/>
              <w:ind w:left="465" w:right="243"/>
              <w:rPr>
                <w:sz w:val="18"/>
              </w:rPr>
            </w:pPr>
            <w:r>
              <w:rPr>
                <w:sz w:val="18"/>
              </w:rPr>
              <w:t>Presidency Division Building &amp; Construction Department, Bombay</w:t>
            </w:r>
          </w:p>
        </w:tc>
        <w:tc>
          <w:tcPr>
            <w:tcW w:w="1968" w:type="dxa"/>
            <w:tcBorders>
              <w:top w:val="single" w:sz="6" w:space="0" w:color="69BD28"/>
              <w:bottom w:val="single" w:sz="6" w:space="0" w:color="69BD28"/>
            </w:tcBorders>
          </w:tcPr>
          <w:p>
            <w:pPr>
              <w:pStyle w:val="TableParagraph"/>
              <w:spacing w:before="25"/>
              <w:ind w:left="111" w:right="95"/>
              <w:rPr>
                <w:sz w:val="18"/>
              </w:rPr>
            </w:pPr>
            <w:r>
              <w:rPr>
                <w:w w:val="105"/>
                <w:sz w:val="18"/>
              </w:rPr>
              <w:t>June 1971</w:t>
            </w:r>
          </w:p>
        </w:tc>
      </w:tr>
      <w:tr>
        <w:trPr>
          <w:trHeight w:val="256" w:hRule="atLeast"/>
        </w:trPr>
        <w:tc>
          <w:tcPr>
            <w:tcW w:w="2501" w:type="dxa"/>
            <w:tcBorders>
              <w:top w:val="single" w:sz="6" w:space="0" w:color="69BD28"/>
              <w:bottom w:val="single" w:sz="6" w:space="0" w:color="69BD28"/>
            </w:tcBorders>
          </w:tcPr>
          <w:p>
            <w:pPr>
              <w:pStyle w:val="TableParagraph"/>
              <w:spacing w:before="25"/>
              <w:ind w:left="655" w:right="438"/>
              <w:rPr>
                <w:sz w:val="18"/>
              </w:rPr>
            </w:pPr>
            <w:r>
              <w:rPr>
                <w:sz w:val="18"/>
              </w:rPr>
              <w:t>3 to 12 floors</w:t>
            </w:r>
          </w:p>
        </w:tc>
        <w:tc>
          <w:tcPr>
            <w:tcW w:w="6017" w:type="dxa"/>
            <w:tcBorders>
              <w:top w:val="single" w:sz="6" w:space="0" w:color="69BD28"/>
              <w:bottom w:val="single" w:sz="6" w:space="0" w:color="69BD28"/>
            </w:tcBorders>
          </w:tcPr>
          <w:p>
            <w:pPr>
              <w:pStyle w:val="TableParagraph"/>
              <w:spacing w:before="25"/>
              <w:ind w:left="464" w:right="244"/>
              <w:rPr>
                <w:sz w:val="18"/>
              </w:rPr>
            </w:pPr>
            <w:r>
              <w:rPr>
                <w:sz w:val="18"/>
              </w:rPr>
              <w:t>Presidency Division Building &amp; Construction Department, Bombay</w:t>
            </w:r>
          </w:p>
        </w:tc>
        <w:tc>
          <w:tcPr>
            <w:tcW w:w="1968" w:type="dxa"/>
            <w:tcBorders>
              <w:top w:val="single" w:sz="6" w:space="0" w:color="69BD28"/>
              <w:bottom w:val="single" w:sz="6" w:space="0" w:color="69BD28"/>
            </w:tcBorders>
          </w:tcPr>
          <w:p>
            <w:pPr>
              <w:pStyle w:val="TableParagraph"/>
              <w:spacing w:before="25"/>
              <w:ind w:left="111" w:right="95"/>
              <w:rPr>
                <w:sz w:val="18"/>
              </w:rPr>
            </w:pPr>
            <w:r>
              <w:rPr>
                <w:w w:val="110"/>
                <w:sz w:val="18"/>
              </w:rPr>
              <w:t>May 1971</w:t>
            </w:r>
          </w:p>
        </w:tc>
      </w:tr>
      <w:tr>
        <w:trPr>
          <w:trHeight w:val="256" w:hRule="atLeast"/>
        </w:trPr>
        <w:tc>
          <w:tcPr>
            <w:tcW w:w="2501" w:type="dxa"/>
            <w:tcBorders>
              <w:top w:val="single" w:sz="6" w:space="0" w:color="69BD28"/>
              <w:bottom w:val="single" w:sz="6" w:space="0" w:color="69BD28"/>
            </w:tcBorders>
          </w:tcPr>
          <w:p>
            <w:pPr>
              <w:pStyle w:val="TableParagraph"/>
              <w:spacing w:before="25"/>
              <w:ind w:left="655" w:right="438"/>
              <w:rPr>
                <w:sz w:val="18"/>
              </w:rPr>
            </w:pPr>
            <w:r>
              <w:rPr>
                <w:sz w:val="18"/>
              </w:rPr>
              <w:t>13 to 15 floors</w:t>
            </w:r>
          </w:p>
        </w:tc>
        <w:tc>
          <w:tcPr>
            <w:tcW w:w="6017" w:type="dxa"/>
            <w:tcBorders>
              <w:top w:val="single" w:sz="6" w:space="0" w:color="69BD28"/>
              <w:bottom w:val="single" w:sz="6" w:space="0" w:color="69BD28"/>
            </w:tcBorders>
          </w:tcPr>
          <w:p>
            <w:pPr>
              <w:pStyle w:val="TableParagraph"/>
              <w:spacing w:before="25"/>
              <w:ind w:left="464" w:right="244"/>
              <w:rPr>
                <w:sz w:val="18"/>
              </w:rPr>
            </w:pPr>
            <w:r>
              <w:rPr>
                <w:sz w:val="18"/>
              </w:rPr>
              <w:t>Presidency Division Building &amp; Construction Department, Bombay</w:t>
            </w:r>
          </w:p>
        </w:tc>
        <w:tc>
          <w:tcPr>
            <w:tcW w:w="1968" w:type="dxa"/>
            <w:tcBorders>
              <w:top w:val="single" w:sz="6" w:space="0" w:color="69BD28"/>
              <w:bottom w:val="single" w:sz="6" w:space="0" w:color="69BD28"/>
            </w:tcBorders>
          </w:tcPr>
          <w:p>
            <w:pPr>
              <w:pStyle w:val="TableParagraph"/>
              <w:spacing w:before="25"/>
              <w:ind w:left="111" w:right="94"/>
              <w:rPr>
                <w:sz w:val="18"/>
              </w:rPr>
            </w:pPr>
            <w:r>
              <w:rPr>
                <w:w w:val="105"/>
                <w:sz w:val="18"/>
              </w:rPr>
              <w:t>September 1970</w:t>
            </w:r>
          </w:p>
        </w:tc>
      </w:tr>
      <w:tr>
        <w:trPr>
          <w:trHeight w:val="256" w:hRule="atLeast"/>
        </w:trPr>
        <w:tc>
          <w:tcPr>
            <w:tcW w:w="2501" w:type="dxa"/>
            <w:tcBorders>
              <w:top w:val="single" w:sz="6" w:space="0" w:color="69BD28"/>
              <w:bottom w:val="single" w:sz="6" w:space="0" w:color="69BD28"/>
            </w:tcBorders>
          </w:tcPr>
          <w:p>
            <w:pPr>
              <w:pStyle w:val="TableParagraph"/>
              <w:spacing w:before="25"/>
              <w:ind w:left="655" w:right="438"/>
              <w:rPr>
                <w:sz w:val="18"/>
              </w:rPr>
            </w:pPr>
            <w:r>
              <w:rPr>
                <w:sz w:val="18"/>
              </w:rPr>
              <w:t>16 to 24 floors</w:t>
            </w:r>
          </w:p>
        </w:tc>
        <w:tc>
          <w:tcPr>
            <w:tcW w:w="6017" w:type="dxa"/>
            <w:tcBorders>
              <w:top w:val="single" w:sz="6" w:space="0" w:color="69BD28"/>
              <w:bottom w:val="single" w:sz="6" w:space="0" w:color="69BD28"/>
            </w:tcBorders>
          </w:tcPr>
          <w:p>
            <w:pPr>
              <w:pStyle w:val="TableParagraph"/>
              <w:spacing w:before="25"/>
              <w:ind w:left="465" w:right="244"/>
              <w:rPr>
                <w:sz w:val="18"/>
              </w:rPr>
            </w:pPr>
            <w:r>
              <w:rPr>
                <w:sz w:val="18"/>
              </w:rPr>
              <w:t>Presidency Division Building &amp; Construction Department, Bombay</w:t>
            </w:r>
          </w:p>
        </w:tc>
        <w:tc>
          <w:tcPr>
            <w:tcW w:w="1968" w:type="dxa"/>
            <w:tcBorders>
              <w:top w:val="single" w:sz="6" w:space="0" w:color="69BD28"/>
              <w:bottom w:val="single" w:sz="6" w:space="0" w:color="69BD28"/>
            </w:tcBorders>
          </w:tcPr>
          <w:p>
            <w:pPr>
              <w:pStyle w:val="TableParagraph"/>
              <w:spacing w:before="25"/>
              <w:ind w:left="111" w:right="95"/>
              <w:rPr>
                <w:sz w:val="18"/>
              </w:rPr>
            </w:pPr>
            <w:r>
              <w:rPr>
                <w:w w:val="105"/>
                <w:sz w:val="18"/>
              </w:rPr>
              <w:t>July 1970</w:t>
            </w:r>
          </w:p>
        </w:tc>
      </w:tr>
    </w:tbl>
    <w:p>
      <w:pPr>
        <w:spacing w:before="0"/>
        <w:ind w:left="680" w:right="0" w:firstLine="0"/>
        <w:jc w:val="left"/>
        <w:rPr>
          <w:i/>
          <w:sz w:val="18"/>
        </w:rPr>
      </w:pPr>
      <w:r>
        <w:rPr>
          <w:i/>
          <w:sz w:val="18"/>
        </w:rPr>
        <w:t>Source: Occupancy certificate</w:t>
      </w:r>
    </w:p>
    <w:p>
      <w:pPr>
        <w:pStyle w:val="BodyText"/>
        <w:spacing w:before="10"/>
        <w:rPr>
          <w:i/>
          <w:sz w:val="26"/>
        </w:rPr>
      </w:pPr>
    </w:p>
    <w:p>
      <w:pPr>
        <w:pStyle w:val="BodyText"/>
        <w:ind w:left="1246"/>
      </w:pPr>
      <w:r>
        <w:rPr>
          <w:w w:val="105"/>
          <w:u w:val="single"/>
        </w:rPr>
        <w:t>Embassy 247</w:t>
      </w:r>
    </w:p>
    <w:p>
      <w:pPr>
        <w:pStyle w:val="BodyText"/>
        <w:spacing w:before="1"/>
        <w:rPr>
          <w:sz w:val="19"/>
        </w:rPr>
      </w:pPr>
    </w:p>
    <w:p>
      <w:pPr>
        <w:pStyle w:val="BodyText"/>
        <w:spacing w:line="321" w:lineRule="auto" w:before="107"/>
        <w:ind w:left="1246" w:right="607"/>
      </w:pPr>
      <w:r>
        <w:rPr/>
        <w:t>As</w:t>
      </w:r>
      <w:r>
        <w:rPr>
          <w:spacing w:val="-17"/>
        </w:rPr>
        <w:t> </w:t>
      </w:r>
      <w:r>
        <w:rPr/>
        <w:t>per</w:t>
      </w:r>
      <w:r>
        <w:rPr>
          <w:spacing w:val="-16"/>
        </w:rPr>
        <w:t> </w:t>
      </w:r>
      <w:r>
        <w:rPr/>
        <w:t>the</w:t>
      </w:r>
      <w:r>
        <w:rPr>
          <w:spacing w:val="-16"/>
        </w:rPr>
        <w:t> </w:t>
      </w:r>
      <w:r>
        <w:rPr/>
        <w:t>review</w:t>
      </w:r>
      <w:r>
        <w:rPr>
          <w:spacing w:val="-15"/>
        </w:rPr>
        <w:t> </w:t>
      </w:r>
      <w:r>
        <w:rPr/>
        <w:t>of</w:t>
      </w:r>
      <w:r>
        <w:rPr>
          <w:spacing w:val="-16"/>
        </w:rPr>
        <w:t> </w:t>
      </w:r>
      <w:r>
        <w:rPr/>
        <w:t>the</w:t>
      </w:r>
      <w:r>
        <w:rPr>
          <w:spacing w:val="-18"/>
        </w:rPr>
        <w:t> </w:t>
      </w:r>
      <w:r>
        <w:rPr/>
        <w:t>documents</w:t>
      </w:r>
      <w:r>
        <w:rPr>
          <w:spacing w:val="-15"/>
        </w:rPr>
        <w:t> </w:t>
      </w:r>
      <w:r>
        <w:rPr/>
        <w:t>provided</w:t>
      </w:r>
      <w:r>
        <w:rPr>
          <w:spacing w:val="-17"/>
        </w:rPr>
        <w:t> </w:t>
      </w:r>
      <w:r>
        <w:rPr/>
        <w:t>by</w:t>
      </w:r>
      <w:r>
        <w:rPr>
          <w:spacing w:val="-16"/>
        </w:rPr>
        <w:t> </w:t>
      </w:r>
      <w:r>
        <w:rPr/>
        <w:t>the</w:t>
      </w:r>
      <w:r>
        <w:rPr>
          <w:spacing w:val="-16"/>
        </w:rPr>
        <w:t> </w:t>
      </w:r>
      <w:r>
        <w:rPr/>
        <w:t>Client,</w:t>
      </w:r>
      <w:r>
        <w:rPr>
          <w:spacing w:val="-15"/>
        </w:rPr>
        <w:t> </w:t>
      </w:r>
      <w:r>
        <w:rPr/>
        <w:t>we</w:t>
      </w:r>
      <w:r>
        <w:rPr>
          <w:spacing w:val="-16"/>
        </w:rPr>
        <w:t> </w:t>
      </w:r>
      <w:r>
        <w:rPr/>
        <w:t>understand</w:t>
      </w:r>
      <w:r>
        <w:rPr>
          <w:spacing w:val="-17"/>
        </w:rPr>
        <w:t> </w:t>
      </w:r>
      <w:r>
        <w:rPr/>
        <w:t>that</w:t>
      </w:r>
      <w:r>
        <w:rPr>
          <w:spacing w:val="-15"/>
        </w:rPr>
        <w:t> </w:t>
      </w:r>
      <w:r>
        <w:rPr/>
        <w:t>all</w:t>
      </w:r>
      <w:r>
        <w:rPr>
          <w:spacing w:val="-16"/>
        </w:rPr>
        <w:t> </w:t>
      </w:r>
      <w:r>
        <w:rPr/>
        <w:t>requisite</w:t>
      </w:r>
      <w:r>
        <w:rPr>
          <w:spacing w:val="-17"/>
        </w:rPr>
        <w:t> </w:t>
      </w:r>
      <w:r>
        <w:rPr/>
        <w:t>approvals along</w:t>
      </w:r>
      <w:r>
        <w:rPr>
          <w:spacing w:val="-20"/>
        </w:rPr>
        <w:t> </w:t>
      </w:r>
      <w:r>
        <w:rPr/>
        <w:t>with</w:t>
      </w:r>
      <w:r>
        <w:rPr>
          <w:spacing w:val="-21"/>
        </w:rPr>
        <w:t> </w:t>
      </w:r>
      <w:r>
        <w:rPr/>
        <w:t>the</w:t>
      </w:r>
      <w:r>
        <w:rPr>
          <w:spacing w:val="-20"/>
        </w:rPr>
        <w:t> </w:t>
      </w:r>
      <w:r>
        <w:rPr/>
        <w:t>Occupancy</w:t>
      </w:r>
      <w:r>
        <w:rPr>
          <w:spacing w:val="-19"/>
        </w:rPr>
        <w:t> </w:t>
      </w:r>
      <w:r>
        <w:rPr/>
        <w:t>/</w:t>
      </w:r>
      <w:r>
        <w:rPr>
          <w:spacing w:val="-21"/>
        </w:rPr>
        <w:t> </w:t>
      </w:r>
      <w:r>
        <w:rPr/>
        <w:t>Completion</w:t>
      </w:r>
      <w:r>
        <w:rPr>
          <w:spacing w:val="-20"/>
        </w:rPr>
        <w:t> </w:t>
      </w:r>
      <w:r>
        <w:rPr/>
        <w:t>Certificate</w:t>
      </w:r>
      <w:r>
        <w:rPr>
          <w:spacing w:val="-19"/>
        </w:rPr>
        <w:t> </w:t>
      </w:r>
      <w:r>
        <w:rPr/>
        <w:t>have</w:t>
      </w:r>
      <w:r>
        <w:rPr>
          <w:spacing w:val="-20"/>
        </w:rPr>
        <w:t> </w:t>
      </w:r>
      <w:r>
        <w:rPr/>
        <w:t>been</w:t>
      </w:r>
      <w:r>
        <w:rPr>
          <w:spacing w:val="-20"/>
        </w:rPr>
        <w:t> </w:t>
      </w:r>
      <w:r>
        <w:rPr/>
        <w:t>received</w:t>
      </w:r>
      <w:r>
        <w:rPr>
          <w:spacing w:val="-19"/>
        </w:rPr>
        <w:t> </w:t>
      </w:r>
      <w:r>
        <w:rPr/>
        <w:t>for</w:t>
      </w:r>
      <w:r>
        <w:rPr>
          <w:spacing w:val="-20"/>
        </w:rPr>
        <w:t> </w:t>
      </w:r>
      <w:r>
        <w:rPr/>
        <w:t>the</w:t>
      </w:r>
      <w:r>
        <w:rPr>
          <w:spacing w:val="-21"/>
        </w:rPr>
        <w:t> </w:t>
      </w:r>
      <w:r>
        <w:rPr/>
        <w:t>subject</w:t>
      </w:r>
      <w:r>
        <w:rPr>
          <w:spacing w:val="-19"/>
        </w:rPr>
        <w:t> </w:t>
      </w:r>
      <w:r>
        <w:rPr/>
        <w:t>property.</w:t>
      </w:r>
    </w:p>
    <w:p>
      <w:pPr>
        <w:pStyle w:val="BodyText"/>
        <w:spacing w:before="9"/>
        <w:rPr>
          <w:sz w:val="20"/>
        </w:rPr>
      </w:pPr>
    </w:p>
    <w:p>
      <w:pPr>
        <w:pStyle w:val="BodyText"/>
        <w:spacing w:line="321" w:lineRule="auto"/>
        <w:ind w:left="1246" w:right="607"/>
      </w:pPr>
      <w:r>
        <w:rPr/>
        <w:t>The</w:t>
      </w:r>
      <w:r>
        <w:rPr>
          <w:spacing w:val="-35"/>
        </w:rPr>
        <w:t> </w:t>
      </w:r>
      <w:r>
        <w:rPr/>
        <w:t>details</w:t>
      </w:r>
      <w:r>
        <w:rPr>
          <w:spacing w:val="-34"/>
        </w:rPr>
        <w:t> </w:t>
      </w:r>
      <w:r>
        <w:rPr/>
        <w:t>of</w:t>
      </w:r>
      <w:r>
        <w:rPr>
          <w:spacing w:val="-34"/>
        </w:rPr>
        <w:t> </w:t>
      </w:r>
      <w:r>
        <w:rPr/>
        <w:t>the</w:t>
      </w:r>
      <w:r>
        <w:rPr>
          <w:spacing w:val="-34"/>
        </w:rPr>
        <w:t> </w:t>
      </w:r>
      <w:r>
        <w:rPr/>
        <w:t>Occupancy</w:t>
      </w:r>
      <w:r>
        <w:rPr>
          <w:spacing w:val="-34"/>
        </w:rPr>
        <w:t> </w:t>
      </w:r>
      <w:r>
        <w:rPr/>
        <w:t>Certificates</w:t>
      </w:r>
      <w:r>
        <w:rPr>
          <w:spacing w:val="-32"/>
        </w:rPr>
        <w:t> </w:t>
      </w:r>
      <w:r>
        <w:rPr/>
        <w:t>for</w:t>
      </w:r>
      <w:r>
        <w:rPr>
          <w:spacing w:val="-35"/>
        </w:rPr>
        <w:t> </w:t>
      </w:r>
      <w:r>
        <w:rPr/>
        <w:t>the</w:t>
      </w:r>
      <w:r>
        <w:rPr>
          <w:spacing w:val="-34"/>
        </w:rPr>
        <w:t> </w:t>
      </w:r>
      <w:r>
        <w:rPr/>
        <w:t>respective</w:t>
      </w:r>
      <w:r>
        <w:rPr>
          <w:spacing w:val="-35"/>
        </w:rPr>
        <w:t> </w:t>
      </w:r>
      <w:r>
        <w:rPr/>
        <w:t>blocks</w:t>
      </w:r>
      <w:r>
        <w:rPr>
          <w:spacing w:val="-35"/>
        </w:rPr>
        <w:t> </w:t>
      </w:r>
      <w:r>
        <w:rPr/>
        <w:t>shared</w:t>
      </w:r>
      <w:r>
        <w:rPr>
          <w:spacing w:val="-33"/>
        </w:rPr>
        <w:t> </w:t>
      </w:r>
      <w:r>
        <w:rPr/>
        <w:t>by</w:t>
      </w:r>
      <w:r>
        <w:rPr>
          <w:spacing w:val="-34"/>
        </w:rPr>
        <w:t> </w:t>
      </w:r>
      <w:r>
        <w:rPr/>
        <w:t>the</w:t>
      </w:r>
      <w:r>
        <w:rPr>
          <w:spacing w:val="-34"/>
        </w:rPr>
        <w:t> </w:t>
      </w:r>
      <w:r>
        <w:rPr/>
        <w:t>Client</w:t>
      </w:r>
      <w:r>
        <w:rPr>
          <w:spacing w:val="-34"/>
        </w:rPr>
        <w:t> </w:t>
      </w:r>
      <w:r>
        <w:rPr/>
        <w:t>and</w:t>
      </w:r>
      <w:r>
        <w:rPr>
          <w:spacing w:val="-34"/>
        </w:rPr>
        <w:t> </w:t>
      </w:r>
      <w:r>
        <w:rPr/>
        <w:t>the</w:t>
      </w:r>
      <w:r>
        <w:rPr>
          <w:spacing w:val="-36"/>
        </w:rPr>
        <w:t> </w:t>
      </w:r>
      <w:r>
        <w:rPr/>
        <w:t>same</w:t>
      </w:r>
      <w:r>
        <w:rPr>
          <w:spacing w:val="-35"/>
        </w:rPr>
        <w:t> </w:t>
      </w:r>
      <w:r>
        <w:rPr/>
        <w:t>has been considered for the purpose of the valuation</w:t>
      </w:r>
      <w:r>
        <w:rPr>
          <w:spacing w:val="-48"/>
        </w:rPr>
        <w:t> </w:t>
      </w:r>
      <w:r>
        <w:rPr/>
        <w:t>exercise:</w:t>
      </w:r>
    </w:p>
    <w:p>
      <w:pPr>
        <w:pStyle w:val="BodyText"/>
        <w:spacing w:before="3"/>
        <w:rPr>
          <w:sz w:val="20"/>
        </w:rPr>
      </w:pPr>
    </w:p>
    <w:p>
      <w:pPr>
        <w:pStyle w:val="BodyText"/>
        <w:ind w:left="665"/>
        <w:rPr>
          <w:sz w:val="20"/>
        </w:rPr>
      </w:pPr>
      <w:r>
        <w:rPr>
          <w:sz w:val="20"/>
        </w:rPr>
        <w:pict>
          <v:group style="width:524.3pt;height:13.8pt;mso-position-horizontal-relative:char;mso-position-vertical-relative:line" coordorigin="0,0" coordsize="10486,276">
            <v:shape style="position:absolute;left:14;top:31;width:10472;height:226" coordorigin="14,31" coordsize="10472,226" path="m8387,31l4787,31,1899,31,1899,31,14,31,14,257,1899,257,1899,257,4787,257,8387,257,8387,31xm10486,31l8388,31,8388,257,10486,257,10486,31xe" filled="true" fillcolor="#006a4d" stroked="false">
              <v:path arrowok="t"/>
              <v:fill type="solid"/>
            </v:shape>
            <v:rect style="position:absolute;left:14;top:0;width:1885;height:29" filled="true" fillcolor="#1f6b16" stroked="false">
              <v:fill type="solid"/>
            </v:rect>
            <v:shape style="position:absolute;left:14;top:28;width:1914;height:3" coordorigin="14,29" coordsize="1914,3" path="m1928,29l1899,29,14,29,14,31,1899,31,1928,31,1928,29xe" filled="true" fillcolor="#006a4d" stroked="false">
              <v:path arrowok="t"/>
              <v:fill type="solid"/>
            </v:shape>
            <v:shape style="position:absolute;left:1898;top:0;width:2889;height:29" coordorigin="1899,0" coordsize="2889,29" path="m4787,0l1928,0,1899,0,1899,29,1928,29,4787,29,4787,0xe" filled="true" fillcolor="#1f6b16" stroked="false">
              <v:path arrowok="t"/>
              <v:fill type="solid"/>
            </v:shape>
            <v:shape style="position:absolute;left:1927;top:28;width:2889;height:3" coordorigin="1928,29" coordsize="2889,3" path="m4816,29l4787,29,1928,29,1928,31,4787,31,4816,31,4816,29xe" filled="true" fillcolor="#006a4d" stroked="false">
              <v:path arrowok="t"/>
              <v:fill type="solid"/>
            </v:shape>
            <v:shape style="position:absolute;left:4787;top:0;width:3601;height:29" coordorigin="4787,0" coordsize="3601,29" path="m8387,0l4816,0,4787,0,4787,29,4816,29,8387,29,8387,0xe" filled="true" fillcolor="#1f6b16" stroked="false">
              <v:path arrowok="t"/>
              <v:fill type="solid"/>
            </v:shape>
            <v:shape style="position:absolute;left:4815;top:28;width:3601;height:3" coordorigin="4816,29" coordsize="3601,3" path="m8387,29l4816,29,4816,31,8387,31,8387,29xm8416,29l8388,29,8388,31,8416,31,8416,29xe" filled="true" fillcolor="#006a4d" stroked="false">
              <v:path arrowok="t"/>
              <v:fill type="solid"/>
            </v:shape>
            <v:shape style="position:absolute;left:8387;top:0;width:2098;height:29" coordorigin="8388,0" coordsize="2098,29" path="m10486,0l8416,0,8388,0,8388,29,8416,29,10486,29,10486,0xe" filled="true" fillcolor="#1f6b16" stroked="false">
              <v:path arrowok="t"/>
              <v:fill type="solid"/>
            </v:shape>
            <v:rect style="position:absolute;left:8416;top:28;width:2070;height:3" filled="true" fillcolor="#006a4d" stroked="false">
              <v:fill type="solid"/>
            </v:rect>
            <v:shape style="position:absolute;left:14;top:256;width:10472;height:20" coordorigin="14,257" coordsize="10472,20" path="m8387,257l4806,257,4787,257,1918,257,1899,257,1899,257,14,257,14,276,1899,276,1899,276,1918,276,4787,276,4806,276,8387,276,8387,257xm8407,257l8388,257,8388,276,8407,276,8407,257xm10486,257l8407,257,8407,276,10486,276,10486,257xe" filled="true" fillcolor="#69bd28" stroked="false">
              <v:path arrowok="t"/>
              <v:fill type="solid"/>
            </v:shape>
            <v:shape style="position:absolute;left:0;top:28;width:10486;height:228" type="#_x0000_t202" filled="false" stroked="false">
              <v:textbox inset="0,0,0,0">
                <w:txbxContent>
                  <w:p>
                    <w:pPr>
                      <w:tabs>
                        <w:tab w:pos="3070" w:val="left" w:leader="none"/>
                        <w:tab w:pos="6169" w:val="left" w:leader="none"/>
                        <w:tab w:pos="8797" w:val="left" w:leader="none"/>
                      </w:tabs>
                      <w:spacing w:before="6"/>
                      <w:ind w:left="406" w:right="0" w:firstLine="0"/>
                      <w:jc w:val="left"/>
                      <w:rPr>
                        <w:b/>
                        <w:sz w:val="18"/>
                      </w:rPr>
                    </w:pPr>
                    <w:r>
                      <w:rPr>
                        <w:b/>
                        <w:color w:val="FFFFFF"/>
                        <w:w w:val="105"/>
                        <w:sz w:val="18"/>
                      </w:rPr>
                      <w:t>Block</w:t>
                    </w:r>
                    <w:r>
                      <w:rPr>
                        <w:b/>
                        <w:color w:val="FFFFFF"/>
                        <w:spacing w:val="22"/>
                        <w:w w:val="105"/>
                        <w:sz w:val="18"/>
                      </w:rPr>
                      <w:t> </w:t>
                    </w:r>
                    <w:r>
                      <w:rPr>
                        <w:b/>
                        <w:color w:val="FFFFFF"/>
                        <w:w w:val="105"/>
                        <w:sz w:val="18"/>
                      </w:rPr>
                      <w:t>Name</w:t>
                      <w:tab/>
                      <w:t>Floors</w:t>
                      <w:tab/>
                      <w:t>Authority</w:t>
                      <w:tab/>
                      <w:t>Date of</w:t>
                    </w:r>
                    <w:r>
                      <w:rPr>
                        <w:b/>
                        <w:color w:val="FFFFFF"/>
                        <w:spacing w:val="10"/>
                        <w:w w:val="105"/>
                        <w:sz w:val="18"/>
                      </w:rPr>
                      <w:t> </w:t>
                    </w:r>
                    <w:r>
                      <w:rPr>
                        <w:b/>
                        <w:color w:val="FFFFFF"/>
                        <w:w w:val="105"/>
                        <w:sz w:val="18"/>
                      </w:rPr>
                      <w:t>Issue*</w:t>
                    </w:r>
                  </w:p>
                </w:txbxContent>
              </v:textbox>
              <w10:wrap type="none"/>
            </v:shape>
          </v:group>
        </w:pict>
      </w:r>
      <w:r>
        <w:rPr>
          <w:sz w:val="20"/>
        </w:rPr>
      </w:r>
    </w:p>
    <w:p>
      <w:pPr>
        <w:spacing w:after="0"/>
        <w:rPr>
          <w:sz w:val="20"/>
        </w:rPr>
        <w:sectPr>
          <w:pgSz w:w="11910" w:h="16840"/>
          <w:pgMar w:header="720" w:footer="862" w:top="1660" w:bottom="1060" w:left="40" w:right="40"/>
        </w:sectPr>
      </w:pPr>
    </w:p>
    <w:p>
      <w:pPr>
        <w:tabs>
          <w:tab w:pos="3029" w:val="left" w:leader="none"/>
        </w:tabs>
        <w:spacing w:line="170" w:lineRule="auto" w:before="0"/>
        <w:ind w:left="3213" w:right="539" w:hanging="2161"/>
        <w:jc w:val="left"/>
        <w:rPr>
          <w:sz w:val="18"/>
        </w:rPr>
      </w:pPr>
      <w:r>
        <w:rPr/>
        <w:pict>
          <v:shape style="position:absolute;margin-left:36pt;margin-top:21.51597pt;width:523.6pt;height:1pt;mso-position-horizontal-relative:page;mso-position-vertical-relative:paragraph;z-index:16551936" coordorigin="720,430" coordsize="10472,20" path="m9093,430l5512,430,5493,430,2624,430,2604,430,2604,430,720,430,720,449,2604,449,2604,449,2624,449,5493,449,5512,449,9093,449,9093,430xm9112,430l9093,430,9093,449,9112,449,9112,430xm11191,430l9112,430,9112,449,11191,449,11191,430xe" filled="true" fillcolor="#69bd28" stroked="false">
            <v:path arrowok="t"/>
            <v:fill type="solid"/>
            <w10:wrap type="none"/>
          </v:shape>
        </w:pict>
      </w:r>
      <w:r>
        <w:rPr>
          <w:w w:val="105"/>
          <w:position w:val="-10"/>
          <w:sz w:val="18"/>
        </w:rPr>
        <w:t>Wing A, B</w:t>
      </w:r>
      <w:r>
        <w:rPr>
          <w:spacing w:val="-22"/>
          <w:w w:val="105"/>
          <w:position w:val="-10"/>
          <w:sz w:val="18"/>
        </w:rPr>
        <w:t> </w:t>
      </w:r>
      <w:r>
        <w:rPr>
          <w:w w:val="105"/>
          <w:position w:val="-10"/>
          <w:sz w:val="18"/>
        </w:rPr>
        <w:t>&amp;</w:t>
      </w:r>
      <w:r>
        <w:rPr>
          <w:spacing w:val="-8"/>
          <w:w w:val="105"/>
          <w:position w:val="-10"/>
          <w:sz w:val="18"/>
        </w:rPr>
        <w:t> </w:t>
      </w:r>
      <w:r>
        <w:rPr>
          <w:w w:val="105"/>
          <w:position w:val="-10"/>
          <w:sz w:val="18"/>
        </w:rPr>
        <w:t>C</w:t>
        <w:tab/>
      </w:r>
      <w:r>
        <w:rPr>
          <w:w w:val="105"/>
          <w:sz w:val="18"/>
        </w:rPr>
        <w:t>2B+G+10 (A &amp; C Wing) 2B+G+12 (B</w:t>
      </w:r>
      <w:r>
        <w:rPr>
          <w:spacing w:val="22"/>
          <w:w w:val="105"/>
          <w:sz w:val="18"/>
        </w:rPr>
        <w:t> </w:t>
      </w:r>
      <w:r>
        <w:rPr>
          <w:w w:val="105"/>
          <w:sz w:val="18"/>
        </w:rPr>
        <w:t>Wing)</w:t>
      </w:r>
    </w:p>
    <w:p>
      <w:pPr>
        <w:tabs>
          <w:tab w:pos="2486" w:val="left" w:leader="none"/>
        </w:tabs>
        <w:spacing w:line="163" w:lineRule="auto" w:before="56"/>
        <w:ind w:left="720" w:right="0" w:firstLine="0"/>
        <w:jc w:val="center"/>
        <w:rPr>
          <w:sz w:val="18"/>
        </w:rPr>
      </w:pPr>
      <w:r>
        <w:rPr>
          <w:position w:val="-10"/>
          <w:sz w:val="18"/>
        </w:rPr>
        <w:t>Wing A, B</w:t>
      </w:r>
      <w:r>
        <w:rPr>
          <w:spacing w:val="5"/>
          <w:position w:val="-10"/>
          <w:sz w:val="18"/>
        </w:rPr>
        <w:t> </w:t>
      </w:r>
      <w:r>
        <w:rPr>
          <w:position w:val="-10"/>
          <w:sz w:val="18"/>
        </w:rPr>
        <w:t>&amp;</w:t>
      </w:r>
      <w:r>
        <w:rPr>
          <w:spacing w:val="2"/>
          <w:position w:val="-10"/>
          <w:sz w:val="18"/>
        </w:rPr>
        <w:t> </w:t>
      </w:r>
      <w:r>
        <w:rPr>
          <w:position w:val="-10"/>
          <w:sz w:val="18"/>
        </w:rPr>
        <w:t>C</w:t>
        <w:tab/>
      </w:r>
      <w:r>
        <w:rPr>
          <w:sz w:val="18"/>
        </w:rPr>
        <w:t>11</w:t>
      </w:r>
      <w:r>
        <w:rPr>
          <w:position w:val="6"/>
          <w:sz w:val="11"/>
        </w:rPr>
        <w:t>th </w:t>
      </w:r>
      <w:r>
        <w:rPr>
          <w:sz w:val="18"/>
        </w:rPr>
        <w:t>&amp; 12</w:t>
      </w:r>
      <w:r>
        <w:rPr>
          <w:position w:val="6"/>
          <w:sz w:val="11"/>
        </w:rPr>
        <w:t>th </w:t>
      </w:r>
      <w:r>
        <w:rPr>
          <w:sz w:val="18"/>
        </w:rPr>
        <w:t>Floor (A &amp; C</w:t>
      </w:r>
      <w:r>
        <w:rPr>
          <w:spacing w:val="-31"/>
          <w:sz w:val="18"/>
        </w:rPr>
        <w:t> </w:t>
      </w:r>
      <w:r>
        <w:rPr>
          <w:sz w:val="18"/>
        </w:rPr>
        <w:t>Wing)</w:t>
      </w:r>
    </w:p>
    <w:p>
      <w:pPr>
        <w:spacing w:line="162" w:lineRule="exact" w:before="0"/>
        <w:ind w:left="3003" w:right="0" w:firstLine="0"/>
        <w:jc w:val="left"/>
        <w:rPr>
          <w:sz w:val="18"/>
        </w:rPr>
      </w:pPr>
      <w:r>
        <w:rPr/>
        <w:pict>
          <v:shape style="position:absolute;margin-left:35.280003pt;margin-top:8.865308pt;width:524.3pt;height:1pt;mso-position-horizontal-relative:page;mso-position-vertical-relative:paragraph;z-index:16552448" coordorigin="706,177" coordsize="10486,20" path="m9098,177l9093,177,9079,177,5497,177,5493,177,5478,177,2609,177,2604,177,2590,177,706,177,706,197,2590,197,2604,197,2609,197,5478,197,5493,197,5497,197,9079,197,9093,197,9098,197,9098,177xm11191,177l9098,177,9098,197,11191,197,11191,177xe" filled="true" fillcolor="#69bd28" stroked="false">
            <v:path arrowok="t"/>
            <v:fill type="solid"/>
            <w10:wrap type="none"/>
          </v:shape>
        </w:pict>
      </w:r>
      <w:r>
        <w:rPr>
          <w:sz w:val="18"/>
        </w:rPr>
        <w:t>13</w:t>
      </w:r>
      <w:r>
        <w:rPr>
          <w:position w:val="6"/>
          <w:sz w:val="11"/>
        </w:rPr>
        <w:t>th </w:t>
      </w:r>
      <w:r>
        <w:rPr>
          <w:sz w:val="18"/>
        </w:rPr>
        <w:t>&amp; 14</w:t>
      </w:r>
      <w:r>
        <w:rPr>
          <w:position w:val="6"/>
          <w:sz w:val="11"/>
        </w:rPr>
        <w:t>th </w:t>
      </w:r>
      <w:r>
        <w:rPr>
          <w:sz w:val="18"/>
        </w:rPr>
        <w:t>Floor (B Wing)</w:t>
      </w:r>
    </w:p>
    <w:p>
      <w:pPr>
        <w:spacing w:before="154"/>
        <w:ind w:left="680" w:right="0" w:firstLine="0"/>
        <w:jc w:val="center"/>
        <w:rPr>
          <w:i/>
          <w:sz w:val="18"/>
        </w:rPr>
      </w:pPr>
      <w:r>
        <w:rPr>
          <w:i/>
          <w:w w:val="95"/>
          <w:sz w:val="18"/>
        </w:rPr>
        <w:t>Source:</w:t>
      </w:r>
      <w:r>
        <w:rPr>
          <w:i/>
          <w:spacing w:val="-9"/>
          <w:w w:val="95"/>
          <w:sz w:val="18"/>
        </w:rPr>
        <w:t> </w:t>
      </w:r>
      <w:r>
        <w:rPr>
          <w:i/>
          <w:w w:val="95"/>
          <w:sz w:val="18"/>
        </w:rPr>
        <w:t>Occupancy</w:t>
      </w:r>
      <w:r>
        <w:rPr>
          <w:i/>
          <w:spacing w:val="-10"/>
          <w:w w:val="95"/>
          <w:sz w:val="18"/>
        </w:rPr>
        <w:t> </w:t>
      </w:r>
      <w:r>
        <w:rPr>
          <w:i/>
          <w:w w:val="95"/>
          <w:sz w:val="18"/>
        </w:rPr>
        <w:t>certificate</w:t>
      </w:r>
      <w:r>
        <w:rPr>
          <w:i/>
          <w:spacing w:val="-8"/>
          <w:w w:val="95"/>
          <w:sz w:val="18"/>
        </w:rPr>
        <w:t> </w:t>
      </w:r>
      <w:r>
        <w:rPr>
          <w:i/>
          <w:w w:val="95"/>
          <w:sz w:val="18"/>
        </w:rPr>
        <w:t>(Information</w:t>
      </w:r>
      <w:r>
        <w:rPr>
          <w:i/>
          <w:spacing w:val="-7"/>
          <w:w w:val="95"/>
          <w:sz w:val="18"/>
        </w:rPr>
        <w:t> </w:t>
      </w:r>
      <w:r>
        <w:rPr>
          <w:i/>
          <w:w w:val="95"/>
          <w:sz w:val="18"/>
        </w:rPr>
        <w:t>provided</w:t>
      </w:r>
      <w:r>
        <w:rPr>
          <w:i/>
          <w:spacing w:val="-10"/>
          <w:w w:val="95"/>
          <w:sz w:val="18"/>
        </w:rPr>
        <w:t> </w:t>
      </w:r>
      <w:r>
        <w:rPr>
          <w:i/>
          <w:w w:val="95"/>
          <w:sz w:val="18"/>
        </w:rPr>
        <w:t>by</w:t>
      </w:r>
      <w:r>
        <w:rPr>
          <w:i/>
          <w:spacing w:val="-8"/>
          <w:w w:val="95"/>
          <w:sz w:val="18"/>
        </w:rPr>
        <w:t> </w:t>
      </w:r>
      <w:r>
        <w:rPr>
          <w:i/>
          <w:w w:val="95"/>
          <w:sz w:val="18"/>
        </w:rPr>
        <w:t>Client)</w:t>
      </w:r>
    </w:p>
    <w:p>
      <w:pPr>
        <w:pStyle w:val="BodyText"/>
        <w:spacing w:before="10"/>
        <w:rPr>
          <w:i/>
          <w:sz w:val="26"/>
        </w:rPr>
      </w:pPr>
    </w:p>
    <w:p>
      <w:pPr>
        <w:pStyle w:val="BodyText"/>
        <w:ind w:left="1246"/>
      </w:pPr>
      <w:r>
        <w:rPr>
          <w:u w:val="single"/>
        </w:rPr>
        <w:t>First International Financial Centre (FIFC)</w:t>
      </w:r>
    </w:p>
    <w:p>
      <w:pPr>
        <w:tabs>
          <w:tab w:pos="5021" w:val="right" w:leader="none"/>
        </w:tabs>
        <w:spacing w:before="85"/>
        <w:ind w:left="6" w:right="0" w:firstLine="0"/>
        <w:jc w:val="left"/>
        <w:rPr>
          <w:sz w:val="18"/>
        </w:rPr>
      </w:pPr>
      <w:r>
        <w:rPr/>
        <w:br w:type="column"/>
      </w:r>
      <w:r>
        <w:rPr>
          <w:sz w:val="18"/>
        </w:rPr>
        <w:t>Municipal Corporation of</w:t>
      </w:r>
      <w:r>
        <w:rPr>
          <w:spacing w:val="10"/>
          <w:sz w:val="18"/>
        </w:rPr>
        <w:t> </w:t>
      </w:r>
      <w:r>
        <w:rPr>
          <w:sz w:val="18"/>
        </w:rPr>
        <w:t>Greater</w:t>
      </w:r>
      <w:r>
        <w:rPr>
          <w:spacing w:val="3"/>
          <w:sz w:val="18"/>
        </w:rPr>
        <w:t> </w:t>
      </w:r>
      <w:r>
        <w:rPr>
          <w:sz w:val="18"/>
        </w:rPr>
        <w:t>Mumbai</w:t>
        <w:tab/>
        <w:t>30-06-2009</w:t>
      </w:r>
    </w:p>
    <w:p>
      <w:pPr>
        <w:tabs>
          <w:tab w:pos="5021" w:val="right" w:leader="none"/>
        </w:tabs>
        <w:spacing w:before="263"/>
        <w:ind w:left="6" w:right="0" w:firstLine="0"/>
        <w:jc w:val="left"/>
        <w:rPr>
          <w:sz w:val="18"/>
        </w:rPr>
      </w:pPr>
      <w:r>
        <w:rPr>
          <w:sz w:val="18"/>
        </w:rPr>
        <w:t>Municipal Corporation of</w:t>
      </w:r>
      <w:r>
        <w:rPr>
          <w:spacing w:val="10"/>
          <w:sz w:val="18"/>
        </w:rPr>
        <w:t> </w:t>
      </w:r>
      <w:r>
        <w:rPr>
          <w:sz w:val="18"/>
        </w:rPr>
        <w:t>Greater</w:t>
      </w:r>
      <w:r>
        <w:rPr>
          <w:spacing w:val="3"/>
          <w:sz w:val="18"/>
        </w:rPr>
        <w:t> </w:t>
      </w:r>
      <w:r>
        <w:rPr>
          <w:sz w:val="18"/>
        </w:rPr>
        <w:t>Mumbai</w:t>
        <w:tab/>
        <w:t>14-08-2014</w:t>
      </w:r>
    </w:p>
    <w:p>
      <w:pPr>
        <w:spacing w:after="0"/>
        <w:jc w:val="left"/>
        <w:rPr>
          <w:sz w:val="18"/>
        </w:rPr>
        <w:sectPr>
          <w:type w:val="continuous"/>
          <w:pgSz w:w="11910" w:h="16840"/>
          <w:pgMar w:top="800" w:bottom="280" w:left="40" w:right="40"/>
          <w:cols w:num="2" w:equalWidth="0">
            <w:col w:w="5529" w:space="40"/>
            <w:col w:w="6261"/>
          </w:cols>
        </w:sectPr>
      </w:pPr>
    </w:p>
    <w:p>
      <w:pPr>
        <w:pStyle w:val="BodyText"/>
        <w:spacing w:line="321" w:lineRule="auto" w:before="328"/>
        <w:ind w:left="1246" w:right="607"/>
      </w:pPr>
      <w:r>
        <w:rPr/>
        <w:t>As</w:t>
      </w:r>
      <w:r>
        <w:rPr>
          <w:spacing w:val="-30"/>
        </w:rPr>
        <w:t> </w:t>
      </w:r>
      <w:r>
        <w:rPr/>
        <w:t>per</w:t>
      </w:r>
      <w:r>
        <w:rPr>
          <w:spacing w:val="-29"/>
        </w:rPr>
        <w:t> </w:t>
      </w:r>
      <w:r>
        <w:rPr/>
        <w:t>the</w:t>
      </w:r>
      <w:r>
        <w:rPr>
          <w:spacing w:val="-29"/>
        </w:rPr>
        <w:t> </w:t>
      </w:r>
      <w:r>
        <w:rPr/>
        <w:t>review</w:t>
      </w:r>
      <w:r>
        <w:rPr>
          <w:spacing w:val="-29"/>
        </w:rPr>
        <w:t> </w:t>
      </w:r>
      <w:r>
        <w:rPr/>
        <w:t>of</w:t>
      </w:r>
      <w:r>
        <w:rPr>
          <w:spacing w:val="-28"/>
        </w:rPr>
        <w:t> </w:t>
      </w:r>
      <w:r>
        <w:rPr/>
        <w:t>documents</w:t>
      </w:r>
      <w:r>
        <w:rPr>
          <w:spacing w:val="-27"/>
        </w:rPr>
        <w:t> </w:t>
      </w:r>
      <w:r>
        <w:rPr/>
        <w:t>provided</w:t>
      </w:r>
      <w:r>
        <w:rPr>
          <w:spacing w:val="-29"/>
        </w:rPr>
        <w:t> </w:t>
      </w:r>
      <w:r>
        <w:rPr/>
        <w:t>by</w:t>
      </w:r>
      <w:r>
        <w:rPr>
          <w:spacing w:val="-28"/>
        </w:rPr>
        <w:t> </w:t>
      </w:r>
      <w:r>
        <w:rPr/>
        <w:t>the</w:t>
      </w:r>
      <w:r>
        <w:rPr>
          <w:spacing w:val="-29"/>
        </w:rPr>
        <w:t> </w:t>
      </w:r>
      <w:r>
        <w:rPr/>
        <w:t>Client,</w:t>
      </w:r>
      <w:r>
        <w:rPr>
          <w:spacing w:val="-28"/>
        </w:rPr>
        <w:t> </w:t>
      </w:r>
      <w:r>
        <w:rPr/>
        <w:t>we</w:t>
      </w:r>
      <w:r>
        <w:rPr>
          <w:spacing w:val="-29"/>
        </w:rPr>
        <w:t> </w:t>
      </w:r>
      <w:r>
        <w:rPr/>
        <w:t>understand</w:t>
      </w:r>
      <w:r>
        <w:rPr>
          <w:spacing w:val="-29"/>
        </w:rPr>
        <w:t> </w:t>
      </w:r>
      <w:r>
        <w:rPr/>
        <w:t>that</w:t>
      </w:r>
      <w:r>
        <w:rPr>
          <w:spacing w:val="-28"/>
        </w:rPr>
        <w:t> </w:t>
      </w:r>
      <w:r>
        <w:rPr/>
        <w:t>all</w:t>
      </w:r>
      <w:r>
        <w:rPr>
          <w:spacing w:val="-29"/>
        </w:rPr>
        <w:t> </w:t>
      </w:r>
      <w:r>
        <w:rPr/>
        <w:t>requisite</w:t>
      </w:r>
      <w:r>
        <w:rPr>
          <w:spacing w:val="-29"/>
        </w:rPr>
        <w:t> </w:t>
      </w:r>
      <w:r>
        <w:rPr/>
        <w:t>approvals</w:t>
      </w:r>
      <w:r>
        <w:rPr>
          <w:spacing w:val="-28"/>
        </w:rPr>
        <w:t> </w:t>
      </w:r>
      <w:r>
        <w:rPr/>
        <w:t>along with</w:t>
      </w:r>
      <w:r>
        <w:rPr>
          <w:spacing w:val="-19"/>
        </w:rPr>
        <w:t> </w:t>
      </w:r>
      <w:r>
        <w:rPr/>
        <w:t>the</w:t>
      </w:r>
      <w:r>
        <w:rPr>
          <w:spacing w:val="-19"/>
        </w:rPr>
        <w:t> </w:t>
      </w:r>
      <w:r>
        <w:rPr/>
        <w:t>occupancy</w:t>
      </w:r>
      <w:r>
        <w:rPr>
          <w:spacing w:val="-17"/>
        </w:rPr>
        <w:t> </w:t>
      </w:r>
      <w:r>
        <w:rPr/>
        <w:t>/</w:t>
      </w:r>
      <w:r>
        <w:rPr>
          <w:spacing w:val="-18"/>
        </w:rPr>
        <w:t> </w:t>
      </w:r>
      <w:r>
        <w:rPr/>
        <w:t>completion</w:t>
      </w:r>
      <w:r>
        <w:rPr>
          <w:spacing w:val="-19"/>
        </w:rPr>
        <w:t> </w:t>
      </w:r>
      <w:r>
        <w:rPr/>
        <w:t>certificate</w:t>
      </w:r>
      <w:r>
        <w:rPr>
          <w:spacing w:val="-18"/>
        </w:rPr>
        <w:t> </w:t>
      </w:r>
      <w:r>
        <w:rPr/>
        <w:t>have</w:t>
      </w:r>
      <w:r>
        <w:rPr>
          <w:spacing w:val="-17"/>
        </w:rPr>
        <w:t> </w:t>
      </w:r>
      <w:r>
        <w:rPr/>
        <w:t>been</w:t>
      </w:r>
      <w:r>
        <w:rPr>
          <w:spacing w:val="-19"/>
        </w:rPr>
        <w:t> </w:t>
      </w:r>
      <w:r>
        <w:rPr/>
        <w:t>received</w:t>
      </w:r>
      <w:r>
        <w:rPr>
          <w:spacing w:val="-16"/>
        </w:rPr>
        <w:t> </w:t>
      </w:r>
      <w:r>
        <w:rPr/>
        <w:t>for</w:t>
      </w:r>
      <w:r>
        <w:rPr>
          <w:spacing w:val="-18"/>
        </w:rPr>
        <w:t> </w:t>
      </w:r>
      <w:r>
        <w:rPr/>
        <w:t>the</w:t>
      </w:r>
      <w:r>
        <w:rPr>
          <w:spacing w:val="-19"/>
        </w:rPr>
        <w:t> </w:t>
      </w:r>
      <w:r>
        <w:rPr/>
        <w:t>subject</w:t>
      </w:r>
      <w:r>
        <w:rPr>
          <w:spacing w:val="-17"/>
        </w:rPr>
        <w:t> </w:t>
      </w:r>
      <w:r>
        <w:rPr/>
        <w:t>property.</w:t>
      </w:r>
    </w:p>
    <w:p>
      <w:pPr>
        <w:pStyle w:val="BodyText"/>
        <w:spacing w:line="321" w:lineRule="auto" w:before="240"/>
        <w:ind w:left="1246" w:right="607"/>
      </w:pPr>
      <w:r>
        <w:rPr/>
        <w:t>The</w:t>
      </w:r>
      <w:r>
        <w:rPr>
          <w:spacing w:val="-16"/>
        </w:rPr>
        <w:t> </w:t>
      </w:r>
      <w:r>
        <w:rPr/>
        <w:t>details</w:t>
      </w:r>
      <w:r>
        <w:rPr>
          <w:spacing w:val="-15"/>
        </w:rPr>
        <w:t> </w:t>
      </w:r>
      <w:r>
        <w:rPr/>
        <w:t>of</w:t>
      </w:r>
      <w:r>
        <w:rPr>
          <w:spacing w:val="-14"/>
        </w:rPr>
        <w:t> </w:t>
      </w:r>
      <w:r>
        <w:rPr/>
        <w:t>the</w:t>
      </w:r>
      <w:r>
        <w:rPr>
          <w:spacing w:val="-16"/>
        </w:rPr>
        <w:t> </w:t>
      </w:r>
      <w:r>
        <w:rPr/>
        <w:t>Occupancy</w:t>
      </w:r>
      <w:r>
        <w:rPr>
          <w:spacing w:val="-14"/>
        </w:rPr>
        <w:t> </w:t>
      </w:r>
      <w:r>
        <w:rPr/>
        <w:t>Certificate</w:t>
      </w:r>
      <w:r>
        <w:rPr>
          <w:spacing w:val="-15"/>
        </w:rPr>
        <w:t> </w:t>
      </w:r>
      <w:r>
        <w:rPr/>
        <w:t>for</w:t>
      </w:r>
      <w:r>
        <w:rPr>
          <w:spacing w:val="-15"/>
        </w:rPr>
        <w:t> </w:t>
      </w:r>
      <w:r>
        <w:rPr/>
        <w:t>the</w:t>
      </w:r>
      <w:r>
        <w:rPr>
          <w:spacing w:val="-17"/>
        </w:rPr>
        <w:t> </w:t>
      </w:r>
      <w:r>
        <w:rPr/>
        <w:t>subject</w:t>
      </w:r>
      <w:r>
        <w:rPr>
          <w:spacing w:val="-15"/>
        </w:rPr>
        <w:t> </w:t>
      </w:r>
      <w:r>
        <w:rPr/>
        <w:t>property</w:t>
      </w:r>
      <w:r>
        <w:rPr>
          <w:spacing w:val="-14"/>
        </w:rPr>
        <w:t> </w:t>
      </w:r>
      <w:r>
        <w:rPr/>
        <w:t>is</w:t>
      </w:r>
      <w:r>
        <w:rPr>
          <w:spacing w:val="-17"/>
        </w:rPr>
        <w:t> </w:t>
      </w:r>
      <w:r>
        <w:rPr/>
        <w:t>shared</w:t>
      </w:r>
      <w:r>
        <w:rPr>
          <w:spacing w:val="-15"/>
        </w:rPr>
        <w:t> </w:t>
      </w:r>
      <w:r>
        <w:rPr/>
        <w:t>by</w:t>
      </w:r>
      <w:r>
        <w:rPr>
          <w:spacing w:val="-16"/>
        </w:rPr>
        <w:t> </w:t>
      </w:r>
      <w:r>
        <w:rPr/>
        <w:t>the</w:t>
      </w:r>
      <w:r>
        <w:rPr>
          <w:spacing w:val="-16"/>
        </w:rPr>
        <w:t> </w:t>
      </w:r>
      <w:r>
        <w:rPr/>
        <w:t>Client</w:t>
      </w:r>
      <w:r>
        <w:rPr>
          <w:spacing w:val="-15"/>
        </w:rPr>
        <w:t> </w:t>
      </w:r>
      <w:r>
        <w:rPr/>
        <w:t>and</w:t>
      </w:r>
      <w:r>
        <w:rPr>
          <w:spacing w:val="-16"/>
        </w:rPr>
        <w:t> </w:t>
      </w:r>
      <w:r>
        <w:rPr/>
        <w:t>the</w:t>
      </w:r>
      <w:r>
        <w:rPr>
          <w:spacing w:val="-16"/>
        </w:rPr>
        <w:t> </w:t>
      </w:r>
      <w:r>
        <w:rPr/>
        <w:t>same has</w:t>
      </w:r>
      <w:r>
        <w:rPr>
          <w:spacing w:val="-5"/>
        </w:rPr>
        <w:t> </w:t>
      </w:r>
      <w:r>
        <w:rPr/>
        <w:t>been</w:t>
      </w:r>
      <w:r>
        <w:rPr>
          <w:spacing w:val="-6"/>
        </w:rPr>
        <w:t> </w:t>
      </w:r>
      <w:r>
        <w:rPr/>
        <w:t>considered</w:t>
      </w:r>
      <w:r>
        <w:rPr>
          <w:spacing w:val="-8"/>
        </w:rPr>
        <w:t> </w:t>
      </w:r>
      <w:r>
        <w:rPr/>
        <w:t>for</w:t>
      </w:r>
      <w:r>
        <w:rPr>
          <w:spacing w:val="-5"/>
        </w:rPr>
        <w:t> </w:t>
      </w:r>
      <w:r>
        <w:rPr/>
        <w:t>the</w:t>
      </w:r>
      <w:r>
        <w:rPr>
          <w:spacing w:val="-6"/>
        </w:rPr>
        <w:t> </w:t>
      </w:r>
      <w:r>
        <w:rPr/>
        <w:t>purpose</w:t>
      </w:r>
      <w:r>
        <w:rPr>
          <w:spacing w:val="-6"/>
        </w:rPr>
        <w:t> </w:t>
      </w:r>
      <w:r>
        <w:rPr/>
        <w:t>of</w:t>
      </w:r>
      <w:r>
        <w:rPr>
          <w:spacing w:val="-7"/>
        </w:rPr>
        <w:t> </w:t>
      </w:r>
      <w:r>
        <w:rPr/>
        <w:t>the</w:t>
      </w:r>
      <w:r>
        <w:rPr>
          <w:spacing w:val="-5"/>
        </w:rPr>
        <w:t> </w:t>
      </w:r>
      <w:r>
        <w:rPr/>
        <w:t>valuation</w:t>
      </w:r>
      <w:r>
        <w:rPr>
          <w:spacing w:val="-7"/>
        </w:rPr>
        <w:t> </w:t>
      </w:r>
      <w:r>
        <w:rPr/>
        <w:t>exercise:</w:t>
      </w:r>
    </w:p>
    <w:p>
      <w:pPr>
        <w:pStyle w:val="BodyText"/>
        <w:spacing w:before="8"/>
        <w:rPr>
          <w:sz w:val="21"/>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72"/>
        <w:gridCol w:w="2722"/>
        <w:gridCol w:w="3691"/>
      </w:tblGrid>
      <w:tr>
        <w:trPr>
          <w:trHeight w:val="323" w:hRule="atLeast"/>
        </w:trPr>
        <w:tc>
          <w:tcPr>
            <w:tcW w:w="4072" w:type="dxa"/>
            <w:tcBorders>
              <w:top w:val="single" w:sz="12" w:space="0" w:color="1F6B16"/>
              <w:bottom w:val="single" w:sz="6" w:space="0" w:color="69BD28"/>
            </w:tcBorders>
            <w:shd w:val="clear" w:color="auto" w:fill="006A4D"/>
          </w:tcPr>
          <w:p>
            <w:pPr>
              <w:pStyle w:val="TableParagraph"/>
              <w:spacing w:before="58"/>
              <w:ind w:left="6" w:right="860"/>
              <w:rPr>
                <w:b/>
                <w:sz w:val="18"/>
              </w:rPr>
            </w:pPr>
            <w:r>
              <w:rPr>
                <w:b/>
                <w:color w:val="FFFFFF"/>
                <w:w w:val="105"/>
                <w:sz w:val="18"/>
              </w:rPr>
              <w:t>Subject Property</w:t>
            </w:r>
          </w:p>
        </w:tc>
        <w:tc>
          <w:tcPr>
            <w:tcW w:w="2722" w:type="dxa"/>
            <w:tcBorders>
              <w:top w:val="single" w:sz="12" w:space="0" w:color="1F6B16"/>
              <w:bottom w:val="single" w:sz="6" w:space="0" w:color="69BD28"/>
            </w:tcBorders>
            <w:shd w:val="clear" w:color="auto" w:fill="006A4D"/>
          </w:tcPr>
          <w:p>
            <w:pPr>
              <w:pStyle w:val="TableParagraph"/>
              <w:spacing w:before="58"/>
              <w:ind w:left="232" w:right="313"/>
              <w:rPr>
                <w:b/>
                <w:sz w:val="18"/>
              </w:rPr>
            </w:pPr>
            <w:r>
              <w:rPr>
                <w:b/>
                <w:color w:val="FFFFFF"/>
                <w:w w:val="105"/>
                <w:sz w:val="18"/>
              </w:rPr>
              <w:t>Authority</w:t>
            </w:r>
          </w:p>
        </w:tc>
        <w:tc>
          <w:tcPr>
            <w:tcW w:w="3691" w:type="dxa"/>
            <w:tcBorders>
              <w:top w:val="single" w:sz="12" w:space="0" w:color="1F6B16"/>
              <w:bottom w:val="single" w:sz="6" w:space="0" w:color="69BD28"/>
            </w:tcBorders>
            <w:shd w:val="clear" w:color="auto" w:fill="006A4D"/>
          </w:tcPr>
          <w:p>
            <w:pPr>
              <w:pStyle w:val="TableParagraph"/>
              <w:spacing w:before="58"/>
              <w:ind w:left="925" w:right="138"/>
              <w:rPr>
                <w:b/>
                <w:sz w:val="18"/>
              </w:rPr>
            </w:pPr>
            <w:r>
              <w:rPr>
                <w:b/>
                <w:color w:val="FFFFFF"/>
                <w:w w:val="115"/>
                <w:sz w:val="18"/>
              </w:rPr>
              <w:t>Date of Issue (DD-MM-YY) *</w:t>
            </w:r>
          </w:p>
        </w:tc>
      </w:tr>
      <w:tr>
        <w:trPr>
          <w:trHeight w:val="256" w:hRule="atLeast"/>
        </w:trPr>
        <w:tc>
          <w:tcPr>
            <w:tcW w:w="4072" w:type="dxa"/>
            <w:tcBorders>
              <w:top w:val="single" w:sz="6" w:space="0" w:color="69BD28"/>
              <w:bottom w:val="single" w:sz="6" w:space="0" w:color="69BD28"/>
            </w:tcBorders>
          </w:tcPr>
          <w:p>
            <w:pPr>
              <w:pStyle w:val="TableParagraph"/>
              <w:spacing w:before="22"/>
              <w:ind w:left="6" w:right="865"/>
              <w:rPr>
                <w:sz w:val="18"/>
              </w:rPr>
            </w:pPr>
            <w:r>
              <w:rPr>
                <w:w w:val="105"/>
                <w:sz w:val="18"/>
              </w:rPr>
              <w:t>FIFC</w:t>
            </w:r>
          </w:p>
        </w:tc>
        <w:tc>
          <w:tcPr>
            <w:tcW w:w="2722" w:type="dxa"/>
            <w:tcBorders>
              <w:top w:val="single" w:sz="6" w:space="0" w:color="69BD28"/>
              <w:bottom w:val="single" w:sz="6" w:space="0" w:color="69BD28"/>
            </w:tcBorders>
          </w:tcPr>
          <w:p>
            <w:pPr>
              <w:pStyle w:val="TableParagraph"/>
              <w:spacing w:before="22"/>
              <w:ind w:left="232" w:right="315"/>
              <w:rPr>
                <w:sz w:val="18"/>
              </w:rPr>
            </w:pPr>
            <w:r>
              <w:rPr>
                <w:w w:val="110"/>
                <w:sz w:val="18"/>
              </w:rPr>
              <w:t>MMRDA</w:t>
            </w:r>
          </w:p>
        </w:tc>
        <w:tc>
          <w:tcPr>
            <w:tcW w:w="3691" w:type="dxa"/>
            <w:tcBorders>
              <w:top w:val="single" w:sz="6" w:space="0" w:color="69BD28"/>
              <w:bottom w:val="single" w:sz="6" w:space="0" w:color="69BD28"/>
            </w:tcBorders>
          </w:tcPr>
          <w:p>
            <w:pPr>
              <w:pStyle w:val="TableParagraph"/>
              <w:spacing w:before="22"/>
              <w:ind w:left="925" w:right="138"/>
              <w:rPr>
                <w:sz w:val="18"/>
              </w:rPr>
            </w:pPr>
            <w:r>
              <w:rPr>
                <w:w w:val="110"/>
                <w:sz w:val="18"/>
              </w:rPr>
              <w:t>21-06-12</w:t>
            </w:r>
          </w:p>
        </w:tc>
      </w:tr>
      <w:tr>
        <w:trPr>
          <w:trHeight w:val="234" w:hRule="atLeast"/>
        </w:trPr>
        <w:tc>
          <w:tcPr>
            <w:tcW w:w="4072" w:type="dxa"/>
            <w:tcBorders>
              <w:top w:val="single" w:sz="6" w:space="0" w:color="69BD28"/>
            </w:tcBorders>
          </w:tcPr>
          <w:p>
            <w:pPr>
              <w:pStyle w:val="TableParagraph"/>
              <w:spacing w:line="191" w:lineRule="exact" w:before="22"/>
              <w:ind w:left="6" w:right="783"/>
              <w:rPr>
                <w:i/>
                <w:sz w:val="18"/>
              </w:rPr>
            </w:pPr>
            <w:r>
              <w:rPr>
                <w:i/>
                <w:sz w:val="18"/>
              </w:rPr>
              <w:t>Source: Information provided by Client;</w:t>
            </w:r>
          </w:p>
        </w:tc>
        <w:tc>
          <w:tcPr>
            <w:tcW w:w="2722" w:type="dxa"/>
            <w:tcBorders>
              <w:top w:val="single" w:sz="6" w:space="0" w:color="69BD28"/>
            </w:tcBorders>
          </w:tcPr>
          <w:p>
            <w:pPr>
              <w:pStyle w:val="TableParagraph"/>
              <w:jc w:val="left"/>
              <w:rPr>
                <w:rFonts w:ascii="Times New Roman"/>
                <w:sz w:val="16"/>
              </w:rPr>
            </w:pPr>
          </w:p>
        </w:tc>
        <w:tc>
          <w:tcPr>
            <w:tcW w:w="3691" w:type="dxa"/>
            <w:tcBorders>
              <w:top w:val="single" w:sz="6" w:space="0" w:color="69BD28"/>
            </w:tcBorders>
          </w:tcPr>
          <w:p>
            <w:pPr>
              <w:pStyle w:val="TableParagraph"/>
              <w:jc w:val="left"/>
              <w:rPr>
                <w:rFonts w:ascii="Times New Roman"/>
                <w:sz w:val="16"/>
              </w:rPr>
            </w:pPr>
          </w:p>
        </w:tc>
      </w:tr>
    </w:tbl>
    <w:p>
      <w:pPr>
        <w:spacing w:after="0"/>
        <w:jc w:val="left"/>
        <w:rPr>
          <w:rFonts w:ascii="Times New Roman"/>
          <w:sz w:val="16"/>
        </w:rPr>
        <w:sectPr>
          <w:type w:val="continuous"/>
          <w:pgSz w:w="11910" w:h="16840"/>
          <w:pgMar w:top="800" w:bottom="280" w:left="40" w:right="40"/>
        </w:sectPr>
      </w:pPr>
    </w:p>
    <w:p>
      <w:pPr>
        <w:pStyle w:val="BodyText"/>
        <w:spacing w:before="7"/>
        <w:rPr>
          <w:sz w:val="9"/>
        </w:rPr>
      </w:pPr>
    </w:p>
    <w:p>
      <w:pPr>
        <w:pStyle w:val="BodyText"/>
        <w:spacing w:before="106"/>
        <w:ind w:left="1246"/>
      </w:pPr>
      <w:r>
        <w:rPr>
          <w:u w:val="single"/>
        </w:rPr>
        <w:t>Embassy TechZone</w:t>
      </w:r>
    </w:p>
    <w:p>
      <w:pPr>
        <w:pStyle w:val="BodyText"/>
        <w:spacing w:before="1"/>
        <w:rPr>
          <w:sz w:val="19"/>
        </w:rPr>
      </w:pPr>
    </w:p>
    <w:p>
      <w:pPr>
        <w:pStyle w:val="BodyText"/>
        <w:spacing w:line="321" w:lineRule="auto" w:before="106"/>
        <w:ind w:left="1246" w:right="674"/>
        <w:jc w:val="both"/>
      </w:pPr>
      <w:r>
        <w:rPr/>
        <w:t>As</w:t>
      </w:r>
      <w:r>
        <w:rPr>
          <w:spacing w:val="-30"/>
        </w:rPr>
        <w:t> </w:t>
      </w:r>
      <w:r>
        <w:rPr/>
        <w:t>per</w:t>
      </w:r>
      <w:r>
        <w:rPr>
          <w:spacing w:val="-29"/>
        </w:rPr>
        <w:t> </w:t>
      </w:r>
      <w:r>
        <w:rPr/>
        <w:t>the</w:t>
      </w:r>
      <w:r>
        <w:rPr>
          <w:spacing w:val="-29"/>
        </w:rPr>
        <w:t> </w:t>
      </w:r>
      <w:r>
        <w:rPr/>
        <w:t>review</w:t>
      </w:r>
      <w:r>
        <w:rPr>
          <w:spacing w:val="-28"/>
        </w:rPr>
        <w:t> </w:t>
      </w:r>
      <w:r>
        <w:rPr/>
        <w:t>of</w:t>
      </w:r>
      <w:r>
        <w:rPr>
          <w:spacing w:val="-29"/>
        </w:rPr>
        <w:t> </w:t>
      </w:r>
      <w:r>
        <w:rPr/>
        <w:t>documents</w:t>
      </w:r>
      <w:r>
        <w:rPr>
          <w:spacing w:val="-28"/>
        </w:rPr>
        <w:t> </w:t>
      </w:r>
      <w:r>
        <w:rPr/>
        <w:t>provided</w:t>
      </w:r>
      <w:r>
        <w:rPr>
          <w:spacing w:val="-28"/>
        </w:rPr>
        <w:t> </w:t>
      </w:r>
      <w:r>
        <w:rPr/>
        <w:t>by</w:t>
      </w:r>
      <w:r>
        <w:rPr>
          <w:spacing w:val="-28"/>
        </w:rPr>
        <w:t> </w:t>
      </w:r>
      <w:r>
        <w:rPr/>
        <w:t>the</w:t>
      </w:r>
      <w:r>
        <w:rPr>
          <w:spacing w:val="-29"/>
        </w:rPr>
        <w:t> </w:t>
      </w:r>
      <w:r>
        <w:rPr/>
        <w:t>Client,</w:t>
      </w:r>
      <w:r>
        <w:rPr>
          <w:spacing w:val="-28"/>
        </w:rPr>
        <w:t> </w:t>
      </w:r>
      <w:r>
        <w:rPr/>
        <w:t>we</w:t>
      </w:r>
      <w:r>
        <w:rPr>
          <w:spacing w:val="-29"/>
        </w:rPr>
        <w:t> </w:t>
      </w:r>
      <w:r>
        <w:rPr/>
        <w:t>understand</w:t>
      </w:r>
      <w:r>
        <w:rPr>
          <w:spacing w:val="-28"/>
        </w:rPr>
        <w:t> </w:t>
      </w:r>
      <w:r>
        <w:rPr/>
        <w:t>that</w:t>
      </w:r>
      <w:r>
        <w:rPr>
          <w:spacing w:val="-28"/>
        </w:rPr>
        <w:t> </w:t>
      </w:r>
      <w:r>
        <w:rPr/>
        <w:t>all</w:t>
      </w:r>
      <w:r>
        <w:rPr>
          <w:spacing w:val="-30"/>
        </w:rPr>
        <w:t> </w:t>
      </w:r>
      <w:r>
        <w:rPr/>
        <w:t>requisite</w:t>
      </w:r>
      <w:r>
        <w:rPr>
          <w:spacing w:val="-29"/>
        </w:rPr>
        <w:t> </w:t>
      </w:r>
      <w:r>
        <w:rPr/>
        <w:t>approvals</w:t>
      </w:r>
      <w:r>
        <w:rPr>
          <w:spacing w:val="-27"/>
        </w:rPr>
        <w:t> </w:t>
      </w:r>
      <w:r>
        <w:rPr/>
        <w:t>along with</w:t>
      </w:r>
      <w:r>
        <w:rPr>
          <w:spacing w:val="-21"/>
        </w:rPr>
        <w:t> </w:t>
      </w:r>
      <w:r>
        <w:rPr/>
        <w:t>the</w:t>
      </w:r>
      <w:r>
        <w:rPr>
          <w:spacing w:val="-21"/>
        </w:rPr>
        <w:t> </w:t>
      </w:r>
      <w:r>
        <w:rPr/>
        <w:t>occupancy</w:t>
      </w:r>
      <w:r>
        <w:rPr>
          <w:spacing w:val="-20"/>
        </w:rPr>
        <w:t> </w:t>
      </w:r>
      <w:r>
        <w:rPr/>
        <w:t>/</w:t>
      </w:r>
      <w:r>
        <w:rPr>
          <w:spacing w:val="-21"/>
        </w:rPr>
        <w:t> </w:t>
      </w:r>
      <w:r>
        <w:rPr/>
        <w:t>completion</w:t>
      </w:r>
      <w:r>
        <w:rPr>
          <w:spacing w:val="-21"/>
        </w:rPr>
        <w:t> </w:t>
      </w:r>
      <w:r>
        <w:rPr/>
        <w:t>certificate</w:t>
      </w:r>
      <w:r>
        <w:rPr>
          <w:spacing w:val="-18"/>
        </w:rPr>
        <w:t> </w:t>
      </w:r>
      <w:r>
        <w:rPr/>
        <w:t>for</w:t>
      </w:r>
      <w:r>
        <w:rPr>
          <w:spacing w:val="-21"/>
        </w:rPr>
        <w:t> </w:t>
      </w:r>
      <w:r>
        <w:rPr/>
        <w:t>the</w:t>
      </w:r>
      <w:r>
        <w:rPr>
          <w:spacing w:val="-21"/>
        </w:rPr>
        <w:t> </w:t>
      </w:r>
      <w:r>
        <w:rPr/>
        <w:t>operational</w:t>
      </w:r>
      <w:r>
        <w:rPr>
          <w:spacing w:val="-21"/>
        </w:rPr>
        <w:t> </w:t>
      </w:r>
      <w:r>
        <w:rPr/>
        <w:t>blocks</w:t>
      </w:r>
      <w:r>
        <w:rPr>
          <w:spacing w:val="-20"/>
        </w:rPr>
        <w:t> </w:t>
      </w:r>
      <w:r>
        <w:rPr/>
        <w:t>have</w:t>
      </w:r>
      <w:r>
        <w:rPr>
          <w:spacing w:val="-20"/>
        </w:rPr>
        <w:t> </w:t>
      </w:r>
      <w:r>
        <w:rPr/>
        <w:t>been</w:t>
      </w:r>
      <w:r>
        <w:rPr>
          <w:spacing w:val="-21"/>
        </w:rPr>
        <w:t> </w:t>
      </w:r>
      <w:r>
        <w:rPr/>
        <w:t>received.</w:t>
      </w:r>
      <w:r>
        <w:rPr>
          <w:spacing w:val="-20"/>
        </w:rPr>
        <w:t> </w:t>
      </w:r>
      <w:r>
        <w:rPr/>
        <w:t>The</w:t>
      </w:r>
      <w:r>
        <w:rPr>
          <w:spacing w:val="-21"/>
        </w:rPr>
        <w:t> </w:t>
      </w:r>
      <w:r>
        <w:rPr/>
        <w:t>Client also</w:t>
      </w:r>
      <w:r>
        <w:rPr>
          <w:spacing w:val="-24"/>
        </w:rPr>
        <w:t> </w:t>
      </w:r>
      <w:r>
        <w:rPr/>
        <w:t>has</w:t>
      </w:r>
      <w:r>
        <w:rPr>
          <w:spacing w:val="-23"/>
        </w:rPr>
        <w:t> </w:t>
      </w:r>
      <w:r>
        <w:rPr/>
        <w:t>the</w:t>
      </w:r>
      <w:r>
        <w:rPr>
          <w:spacing w:val="-24"/>
        </w:rPr>
        <w:t> </w:t>
      </w:r>
      <w:r>
        <w:rPr/>
        <w:t>sanction</w:t>
      </w:r>
      <w:r>
        <w:rPr>
          <w:spacing w:val="-24"/>
        </w:rPr>
        <w:t> </w:t>
      </w:r>
      <w:r>
        <w:rPr/>
        <w:t>plan</w:t>
      </w:r>
      <w:r>
        <w:rPr>
          <w:spacing w:val="-24"/>
        </w:rPr>
        <w:t> </w:t>
      </w:r>
      <w:r>
        <w:rPr/>
        <w:t>for</w:t>
      </w:r>
      <w:r>
        <w:rPr>
          <w:spacing w:val="-24"/>
        </w:rPr>
        <w:t> </w:t>
      </w:r>
      <w:r>
        <w:rPr/>
        <w:t>the</w:t>
      </w:r>
      <w:r>
        <w:rPr>
          <w:spacing w:val="-24"/>
        </w:rPr>
        <w:t> </w:t>
      </w:r>
      <w:r>
        <w:rPr/>
        <w:t>entire</w:t>
      </w:r>
      <w:r>
        <w:rPr>
          <w:spacing w:val="-24"/>
        </w:rPr>
        <w:t> </w:t>
      </w:r>
      <w:r>
        <w:rPr/>
        <w:t>development,</w:t>
      </w:r>
      <w:r>
        <w:rPr>
          <w:spacing w:val="-24"/>
        </w:rPr>
        <w:t> </w:t>
      </w:r>
      <w:r>
        <w:rPr/>
        <w:t>hence</w:t>
      </w:r>
      <w:r>
        <w:rPr>
          <w:spacing w:val="-23"/>
        </w:rPr>
        <w:t> </w:t>
      </w:r>
      <w:r>
        <w:rPr/>
        <w:t>for</w:t>
      </w:r>
      <w:r>
        <w:rPr>
          <w:spacing w:val="-24"/>
        </w:rPr>
        <w:t> </w:t>
      </w:r>
      <w:r>
        <w:rPr/>
        <w:t>all</w:t>
      </w:r>
      <w:r>
        <w:rPr>
          <w:spacing w:val="-23"/>
        </w:rPr>
        <w:t> </w:t>
      </w:r>
      <w:r>
        <w:rPr/>
        <w:t>the</w:t>
      </w:r>
      <w:r>
        <w:rPr>
          <w:spacing w:val="-18"/>
        </w:rPr>
        <w:t> </w:t>
      </w:r>
      <w:r>
        <w:rPr/>
        <w:t>under-construction</w:t>
      </w:r>
      <w:r>
        <w:rPr>
          <w:spacing w:val="-24"/>
        </w:rPr>
        <w:t> </w:t>
      </w:r>
      <w:r>
        <w:rPr/>
        <w:t>&amp;</w:t>
      </w:r>
      <w:r>
        <w:rPr>
          <w:spacing w:val="-22"/>
        </w:rPr>
        <w:t> </w:t>
      </w:r>
      <w:r>
        <w:rPr/>
        <w:t>proposed blocks,</w:t>
      </w:r>
      <w:r>
        <w:rPr>
          <w:spacing w:val="-11"/>
        </w:rPr>
        <w:t> </w:t>
      </w:r>
      <w:r>
        <w:rPr/>
        <w:t>individual</w:t>
      </w:r>
      <w:r>
        <w:rPr>
          <w:spacing w:val="-12"/>
        </w:rPr>
        <w:t> </w:t>
      </w:r>
      <w:r>
        <w:rPr/>
        <w:t>approvals</w:t>
      </w:r>
      <w:r>
        <w:rPr>
          <w:spacing w:val="-10"/>
        </w:rPr>
        <w:t> </w:t>
      </w:r>
      <w:r>
        <w:rPr/>
        <w:t>will</w:t>
      </w:r>
      <w:r>
        <w:rPr>
          <w:spacing w:val="-12"/>
        </w:rPr>
        <w:t> </w:t>
      </w:r>
      <w:r>
        <w:rPr/>
        <w:t>be</w:t>
      </w:r>
      <w:r>
        <w:rPr>
          <w:spacing w:val="-10"/>
        </w:rPr>
        <w:t> </w:t>
      </w:r>
      <w:r>
        <w:rPr/>
        <w:t>obtained</w:t>
      </w:r>
      <w:r>
        <w:rPr>
          <w:spacing w:val="-10"/>
        </w:rPr>
        <w:t> </w:t>
      </w:r>
      <w:r>
        <w:rPr/>
        <w:t>as</w:t>
      </w:r>
      <w:r>
        <w:rPr>
          <w:spacing w:val="-10"/>
        </w:rPr>
        <w:t> </w:t>
      </w:r>
      <w:r>
        <w:rPr>
          <w:spacing w:val="-2"/>
        </w:rPr>
        <w:t>and</w:t>
      </w:r>
      <w:r>
        <w:rPr>
          <w:spacing w:val="-10"/>
        </w:rPr>
        <w:t> </w:t>
      </w:r>
      <w:r>
        <w:rPr/>
        <w:t>when</w:t>
      </w:r>
      <w:r>
        <w:rPr>
          <w:spacing w:val="-12"/>
        </w:rPr>
        <w:t> </w:t>
      </w:r>
      <w:r>
        <w:rPr/>
        <w:t>the</w:t>
      </w:r>
      <w:r>
        <w:rPr>
          <w:spacing w:val="-11"/>
        </w:rPr>
        <w:t> </w:t>
      </w:r>
      <w:r>
        <w:rPr/>
        <w:t>development</w:t>
      </w:r>
      <w:r>
        <w:rPr>
          <w:spacing w:val="-11"/>
        </w:rPr>
        <w:t> </w:t>
      </w:r>
      <w:r>
        <w:rPr/>
        <w:t>is</w:t>
      </w:r>
      <w:r>
        <w:rPr>
          <w:spacing w:val="-10"/>
        </w:rPr>
        <w:t> </w:t>
      </w:r>
      <w:r>
        <w:rPr/>
        <w:t>initiated.</w:t>
      </w:r>
    </w:p>
    <w:p>
      <w:pPr>
        <w:pStyle w:val="BodyText"/>
        <w:spacing w:before="9"/>
        <w:rPr>
          <w:sz w:val="20"/>
        </w:rPr>
      </w:pPr>
    </w:p>
    <w:p>
      <w:pPr>
        <w:pStyle w:val="BodyText"/>
        <w:spacing w:line="321" w:lineRule="auto"/>
        <w:ind w:left="1246" w:right="677"/>
        <w:jc w:val="both"/>
      </w:pPr>
      <w:r>
        <w:rPr/>
        <w:t>The</w:t>
      </w:r>
      <w:r>
        <w:rPr>
          <w:spacing w:val="-36"/>
        </w:rPr>
        <w:t> </w:t>
      </w:r>
      <w:r>
        <w:rPr/>
        <w:t>details</w:t>
      </w:r>
      <w:r>
        <w:rPr>
          <w:spacing w:val="-34"/>
        </w:rPr>
        <w:t> </w:t>
      </w:r>
      <w:r>
        <w:rPr/>
        <w:t>of</w:t>
      </w:r>
      <w:r>
        <w:rPr>
          <w:spacing w:val="-34"/>
        </w:rPr>
        <w:t> </w:t>
      </w:r>
      <w:r>
        <w:rPr/>
        <w:t>the</w:t>
      </w:r>
      <w:r>
        <w:rPr>
          <w:spacing w:val="-36"/>
        </w:rPr>
        <w:t> </w:t>
      </w:r>
      <w:r>
        <w:rPr/>
        <w:t>Occupancy</w:t>
      </w:r>
      <w:r>
        <w:rPr>
          <w:spacing w:val="-34"/>
        </w:rPr>
        <w:t> </w:t>
      </w:r>
      <w:r>
        <w:rPr/>
        <w:t>Certificates</w:t>
      </w:r>
      <w:r>
        <w:rPr>
          <w:spacing w:val="-34"/>
        </w:rPr>
        <w:t> </w:t>
      </w:r>
      <w:r>
        <w:rPr/>
        <w:t>for</w:t>
      </w:r>
      <w:r>
        <w:rPr>
          <w:spacing w:val="-35"/>
        </w:rPr>
        <w:t> </w:t>
      </w:r>
      <w:r>
        <w:rPr/>
        <w:t>the</w:t>
      </w:r>
      <w:r>
        <w:rPr>
          <w:spacing w:val="-36"/>
        </w:rPr>
        <w:t> </w:t>
      </w:r>
      <w:r>
        <w:rPr/>
        <w:t>respective</w:t>
      </w:r>
      <w:r>
        <w:rPr>
          <w:spacing w:val="-34"/>
        </w:rPr>
        <w:t> </w:t>
      </w:r>
      <w:r>
        <w:rPr/>
        <w:t>blocks</w:t>
      </w:r>
      <w:r>
        <w:rPr>
          <w:spacing w:val="-35"/>
        </w:rPr>
        <w:t> </w:t>
      </w:r>
      <w:r>
        <w:rPr/>
        <w:t>shared</w:t>
      </w:r>
      <w:r>
        <w:rPr>
          <w:spacing w:val="-34"/>
        </w:rPr>
        <w:t> </w:t>
      </w:r>
      <w:r>
        <w:rPr/>
        <w:t>by</w:t>
      </w:r>
      <w:r>
        <w:rPr>
          <w:spacing w:val="-35"/>
        </w:rPr>
        <w:t> </w:t>
      </w:r>
      <w:r>
        <w:rPr/>
        <w:t>the</w:t>
      </w:r>
      <w:r>
        <w:rPr>
          <w:spacing w:val="-36"/>
        </w:rPr>
        <w:t> </w:t>
      </w:r>
      <w:r>
        <w:rPr/>
        <w:t>Client</w:t>
      </w:r>
      <w:r>
        <w:rPr>
          <w:spacing w:val="-33"/>
        </w:rPr>
        <w:t> </w:t>
      </w:r>
      <w:r>
        <w:rPr/>
        <w:t>are</w:t>
      </w:r>
      <w:r>
        <w:rPr>
          <w:spacing w:val="-34"/>
        </w:rPr>
        <w:t> </w:t>
      </w:r>
      <w:r>
        <w:rPr/>
        <w:t>mentioned</w:t>
      </w:r>
      <w:r>
        <w:rPr>
          <w:spacing w:val="-35"/>
        </w:rPr>
        <w:t> </w:t>
      </w:r>
      <w:r>
        <w:rPr/>
        <w:t>in the</w:t>
      </w:r>
      <w:r>
        <w:rPr>
          <w:spacing w:val="-13"/>
        </w:rPr>
        <w:t> </w:t>
      </w:r>
      <w:r>
        <w:rPr/>
        <w:t>table</w:t>
      </w:r>
      <w:r>
        <w:rPr>
          <w:spacing w:val="-13"/>
        </w:rPr>
        <w:t> </w:t>
      </w:r>
      <w:r>
        <w:rPr/>
        <w:t>below.</w:t>
      </w:r>
      <w:r>
        <w:rPr>
          <w:spacing w:val="-12"/>
        </w:rPr>
        <w:t> </w:t>
      </w:r>
      <w:r>
        <w:rPr/>
        <w:t>The</w:t>
      </w:r>
      <w:r>
        <w:rPr>
          <w:spacing w:val="-15"/>
        </w:rPr>
        <w:t> </w:t>
      </w:r>
      <w:r>
        <w:rPr/>
        <w:t>same</w:t>
      </w:r>
      <w:r>
        <w:rPr>
          <w:spacing w:val="-12"/>
        </w:rPr>
        <w:t> </w:t>
      </w:r>
      <w:r>
        <w:rPr/>
        <w:t>has</w:t>
      </w:r>
      <w:r>
        <w:rPr>
          <w:spacing w:val="-12"/>
        </w:rPr>
        <w:t> </w:t>
      </w:r>
      <w:r>
        <w:rPr/>
        <w:t>been</w:t>
      </w:r>
      <w:r>
        <w:rPr>
          <w:spacing w:val="-13"/>
        </w:rPr>
        <w:t> </w:t>
      </w:r>
      <w:r>
        <w:rPr/>
        <w:t>considered</w:t>
      </w:r>
      <w:r>
        <w:rPr>
          <w:spacing w:val="-14"/>
        </w:rPr>
        <w:t> </w:t>
      </w:r>
      <w:r>
        <w:rPr/>
        <w:t>for</w:t>
      </w:r>
      <w:r>
        <w:rPr>
          <w:spacing w:val="-12"/>
        </w:rPr>
        <w:t> </w:t>
      </w:r>
      <w:r>
        <w:rPr/>
        <w:t>the</w:t>
      </w:r>
      <w:r>
        <w:rPr>
          <w:spacing w:val="-13"/>
        </w:rPr>
        <w:t> </w:t>
      </w:r>
      <w:r>
        <w:rPr/>
        <w:t>purpose</w:t>
      </w:r>
      <w:r>
        <w:rPr>
          <w:spacing w:val="-12"/>
        </w:rPr>
        <w:t> </w:t>
      </w:r>
      <w:r>
        <w:rPr/>
        <w:t>of</w:t>
      </w:r>
      <w:r>
        <w:rPr>
          <w:spacing w:val="-14"/>
        </w:rPr>
        <w:t> </w:t>
      </w:r>
      <w:r>
        <w:rPr/>
        <w:t>the</w:t>
      </w:r>
      <w:r>
        <w:rPr>
          <w:spacing w:val="-12"/>
        </w:rPr>
        <w:t> </w:t>
      </w:r>
      <w:r>
        <w:rPr/>
        <w:t>valuation</w:t>
      </w:r>
      <w:r>
        <w:rPr>
          <w:spacing w:val="-13"/>
        </w:rPr>
        <w:t> </w:t>
      </w:r>
      <w:r>
        <w:rPr/>
        <w:t>exercise:</w:t>
      </w:r>
    </w:p>
    <w:p>
      <w:pPr>
        <w:pStyle w:val="BodyText"/>
        <w:spacing w:before="9"/>
        <w:rPr>
          <w:sz w:val="21"/>
        </w:rPr>
      </w:pPr>
    </w:p>
    <w:tbl>
      <w:tblPr>
        <w:tblW w:w="0" w:type="auto"/>
        <w:jc w:val="left"/>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32"/>
        <w:gridCol w:w="2271"/>
        <w:gridCol w:w="3261"/>
        <w:gridCol w:w="2530"/>
      </w:tblGrid>
      <w:tr>
        <w:trPr>
          <w:trHeight w:val="287" w:hRule="atLeast"/>
        </w:trPr>
        <w:tc>
          <w:tcPr>
            <w:tcW w:w="2832" w:type="dxa"/>
            <w:tcBorders>
              <w:top w:val="single" w:sz="12" w:space="0" w:color="1F6B16"/>
              <w:bottom w:val="single" w:sz="6" w:space="0" w:color="69BD28"/>
            </w:tcBorders>
            <w:shd w:val="clear" w:color="auto" w:fill="006A4D"/>
          </w:tcPr>
          <w:p>
            <w:pPr>
              <w:pStyle w:val="TableParagraph"/>
              <w:spacing w:before="39"/>
              <w:ind w:left="200" w:right="723"/>
              <w:rPr>
                <w:b/>
                <w:sz w:val="18"/>
              </w:rPr>
            </w:pPr>
            <w:r>
              <w:rPr>
                <w:b/>
                <w:color w:val="FFFFFF"/>
                <w:w w:val="115"/>
                <w:sz w:val="18"/>
              </w:rPr>
              <w:t>Block Name</w:t>
            </w:r>
          </w:p>
        </w:tc>
        <w:tc>
          <w:tcPr>
            <w:tcW w:w="2271" w:type="dxa"/>
            <w:tcBorders>
              <w:top w:val="single" w:sz="12" w:space="0" w:color="1F6B16"/>
              <w:bottom w:val="single" w:sz="6" w:space="0" w:color="69BD28"/>
            </w:tcBorders>
            <w:shd w:val="clear" w:color="auto" w:fill="006A4D"/>
          </w:tcPr>
          <w:p>
            <w:pPr>
              <w:pStyle w:val="TableParagraph"/>
              <w:spacing w:before="39"/>
              <w:ind w:left="717" w:right="674"/>
              <w:rPr>
                <w:b/>
                <w:sz w:val="18"/>
              </w:rPr>
            </w:pPr>
            <w:r>
              <w:rPr>
                <w:b/>
                <w:color w:val="FFFFFF"/>
                <w:w w:val="105"/>
                <w:sz w:val="18"/>
              </w:rPr>
              <w:t>Authority</w:t>
            </w:r>
          </w:p>
        </w:tc>
        <w:tc>
          <w:tcPr>
            <w:tcW w:w="3261" w:type="dxa"/>
            <w:tcBorders>
              <w:top w:val="single" w:sz="12" w:space="0" w:color="1F6B16"/>
              <w:bottom w:val="single" w:sz="6" w:space="0" w:color="69BD28"/>
            </w:tcBorders>
            <w:shd w:val="clear" w:color="auto" w:fill="006A4D"/>
          </w:tcPr>
          <w:p>
            <w:pPr>
              <w:pStyle w:val="TableParagraph"/>
              <w:spacing w:before="39"/>
              <w:ind w:left="690" w:right="202"/>
              <w:rPr>
                <w:b/>
                <w:sz w:val="18"/>
              </w:rPr>
            </w:pPr>
            <w:r>
              <w:rPr>
                <w:b/>
                <w:color w:val="FFFFFF"/>
                <w:w w:val="110"/>
                <w:sz w:val="18"/>
              </w:rPr>
              <w:t>Date of Issue (DD-MM-YY)</w:t>
            </w:r>
          </w:p>
        </w:tc>
        <w:tc>
          <w:tcPr>
            <w:tcW w:w="2530" w:type="dxa"/>
            <w:tcBorders>
              <w:top w:val="single" w:sz="12" w:space="0" w:color="1F6B16"/>
              <w:bottom w:val="single" w:sz="6" w:space="0" w:color="69BD28"/>
            </w:tcBorders>
            <w:shd w:val="clear" w:color="auto" w:fill="006A4D"/>
          </w:tcPr>
          <w:p>
            <w:pPr>
              <w:pStyle w:val="TableParagraph"/>
              <w:spacing w:before="39"/>
              <w:ind w:left="176" w:right="257"/>
              <w:rPr>
                <w:b/>
                <w:sz w:val="18"/>
              </w:rPr>
            </w:pPr>
            <w:r>
              <w:rPr>
                <w:b/>
                <w:color w:val="FFFFFF"/>
                <w:w w:val="110"/>
                <w:sz w:val="18"/>
              </w:rPr>
              <w:t>Remarks</w:t>
            </w:r>
          </w:p>
        </w:tc>
      </w:tr>
      <w:tr>
        <w:trPr>
          <w:trHeight w:val="289" w:hRule="atLeast"/>
        </w:trPr>
        <w:tc>
          <w:tcPr>
            <w:tcW w:w="2832" w:type="dxa"/>
            <w:tcBorders>
              <w:top w:val="single" w:sz="6" w:space="0" w:color="69BD28"/>
              <w:bottom w:val="single" w:sz="6" w:space="0" w:color="69BD28"/>
            </w:tcBorders>
          </w:tcPr>
          <w:p>
            <w:pPr>
              <w:pStyle w:val="TableParagraph"/>
              <w:spacing w:before="39"/>
              <w:ind w:left="196" w:right="725"/>
              <w:rPr>
                <w:sz w:val="18"/>
              </w:rPr>
            </w:pPr>
            <w:r>
              <w:rPr>
                <w:sz w:val="18"/>
              </w:rPr>
              <w:t>Building No. 1</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3/3/2008</w:t>
            </w:r>
          </w:p>
        </w:tc>
        <w:tc>
          <w:tcPr>
            <w:tcW w:w="2530" w:type="dxa"/>
            <w:tcBorders>
              <w:top w:val="single" w:sz="6" w:space="0" w:color="69BD28"/>
              <w:bottom w:val="single" w:sz="6" w:space="0" w:color="69BD28"/>
            </w:tcBorders>
          </w:tcPr>
          <w:p>
            <w:pPr>
              <w:pStyle w:val="TableParagraph"/>
              <w:spacing w:before="39"/>
              <w:ind w:left="172" w:right="260"/>
              <w:rPr>
                <w:sz w:val="18"/>
              </w:rPr>
            </w:pPr>
            <w:r>
              <w:rPr>
                <w:w w:val="95"/>
                <w:sz w:val="18"/>
              </w:rPr>
              <w:t>Still to 5th</w:t>
            </w:r>
          </w:p>
        </w:tc>
      </w:tr>
      <w:tr>
        <w:trPr>
          <w:trHeight w:val="287" w:hRule="atLeast"/>
        </w:trPr>
        <w:tc>
          <w:tcPr>
            <w:tcW w:w="2832" w:type="dxa"/>
            <w:tcBorders>
              <w:top w:val="single" w:sz="6" w:space="0" w:color="69BD28"/>
              <w:bottom w:val="single" w:sz="6" w:space="0" w:color="69BD28"/>
            </w:tcBorders>
          </w:tcPr>
          <w:p>
            <w:pPr>
              <w:pStyle w:val="TableParagraph"/>
              <w:spacing w:before="39"/>
              <w:ind w:left="196" w:right="725"/>
              <w:rPr>
                <w:sz w:val="18"/>
              </w:rPr>
            </w:pPr>
            <w:r>
              <w:rPr>
                <w:sz w:val="18"/>
              </w:rPr>
              <w:t>Building No. 2</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3/3/2008</w:t>
            </w:r>
          </w:p>
        </w:tc>
        <w:tc>
          <w:tcPr>
            <w:tcW w:w="2530" w:type="dxa"/>
            <w:tcBorders>
              <w:top w:val="single" w:sz="6" w:space="0" w:color="69BD28"/>
              <w:bottom w:val="single" w:sz="6" w:space="0" w:color="69BD28"/>
            </w:tcBorders>
          </w:tcPr>
          <w:p>
            <w:pPr>
              <w:pStyle w:val="TableParagraph"/>
              <w:spacing w:before="39"/>
              <w:ind w:left="172" w:right="260"/>
              <w:rPr>
                <w:sz w:val="18"/>
              </w:rPr>
            </w:pPr>
            <w:r>
              <w:rPr>
                <w:w w:val="95"/>
                <w:sz w:val="18"/>
              </w:rPr>
              <w:t>Still to 4th</w:t>
            </w:r>
          </w:p>
        </w:tc>
      </w:tr>
      <w:tr>
        <w:trPr>
          <w:trHeight w:val="287" w:hRule="atLeast"/>
        </w:trPr>
        <w:tc>
          <w:tcPr>
            <w:tcW w:w="2832" w:type="dxa"/>
            <w:tcBorders>
              <w:top w:val="single" w:sz="6" w:space="0" w:color="69BD28"/>
              <w:bottom w:val="single" w:sz="6" w:space="0" w:color="69BD28"/>
            </w:tcBorders>
          </w:tcPr>
          <w:p>
            <w:pPr>
              <w:pStyle w:val="TableParagraph"/>
              <w:spacing w:before="39"/>
              <w:ind w:left="196" w:right="725"/>
              <w:rPr>
                <w:sz w:val="18"/>
              </w:rPr>
            </w:pPr>
            <w:r>
              <w:rPr>
                <w:sz w:val="18"/>
              </w:rPr>
              <w:t>Building No. 1 &amp; 2</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23/05/2008</w:t>
            </w:r>
          </w:p>
        </w:tc>
        <w:tc>
          <w:tcPr>
            <w:tcW w:w="2530" w:type="dxa"/>
            <w:tcBorders>
              <w:top w:val="single" w:sz="6" w:space="0" w:color="69BD28"/>
              <w:bottom w:val="single" w:sz="6" w:space="0" w:color="69BD28"/>
            </w:tcBorders>
          </w:tcPr>
          <w:p>
            <w:pPr>
              <w:pStyle w:val="TableParagraph"/>
              <w:spacing w:before="39"/>
              <w:ind w:left="176" w:right="259"/>
              <w:rPr>
                <w:sz w:val="18"/>
              </w:rPr>
            </w:pPr>
            <w:r>
              <w:rPr>
                <w:sz w:val="18"/>
              </w:rPr>
              <w:t>Complete Block</w:t>
            </w:r>
          </w:p>
        </w:tc>
      </w:tr>
      <w:tr>
        <w:trPr>
          <w:trHeight w:val="287" w:hRule="atLeast"/>
        </w:trPr>
        <w:tc>
          <w:tcPr>
            <w:tcW w:w="2832" w:type="dxa"/>
            <w:tcBorders>
              <w:top w:val="single" w:sz="6" w:space="0" w:color="69BD28"/>
              <w:bottom w:val="single" w:sz="6" w:space="0" w:color="69BD28"/>
            </w:tcBorders>
          </w:tcPr>
          <w:p>
            <w:pPr>
              <w:pStyle w:val="TableParagraph"/>
              <w:spacing w:before="39"/>
              <w:ind w:left="196" w:right="725"/>
              <w:rPr>
                <w:sz w:val="18"/>
              </w:rPr>
            </w:pPr>
            <w:r>
              <w:rPr>
                <w:sz w:val="18"/>
              </w:rPr>
              <w:t>Building No. 3</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23/07/2015</w:t>
            </w:r>
          </w:p>
        </w:tc>
        <w:tc>
          <w:tcPr>
            <w:tcW w:w="2530" w:type="dxa"/>
            <w:tcBorders>
              <w:top w:val="single" w:sz="6" w:space="0" w:color="69BD28"/>
              <w:bottom w:val="single" w:sz="6" w:space="0" w:color="69BD28"/>
            </w:tcBorders>
          </w:tcPr>
          <w:p>
            <w:pPr>
              <w:pStyle w:val="TableParagraph"/>
              <w:spacing w:before="39"/>
              <w:ind w:left="174" w:right="260"/>
              <w:rPr>
                <w:sz w:val="18"/>
              </w:rPr>
            </w:pPr>
            <w:r>
              <w:rPr>
                <w:sz w:val="18"/>
              </w:rPr>
              <w:t>5/6/8 &amp; 9</w:t>
            </w:r>
          </w:p>
        </w:tc>
      </w:tr>
      <w:tr>
        <w:trPr>
          <w:trHeight w:val="289" w:hRule="atLeast"/>
        </w:trPr>
        <w:tc>
          <w:tcPr>
            <w:tcW w:w="2832" w:type="dxa"/>
            <w:tcBorders>
              <w:top w:val="single" w:sz="6" w:space="0" w:color="69BD28"/>
              <w:bottom w:val="single" w:sz="6" w:space="0" w:color="69BD28"/>
            </w:tcBorders>
          </w:tcPr>
          <w:p>
            <w:pPr>
              <w:pStyle w:val="TableParagraph"/>
              <w:spacing w:before="39"/>
              <w:ind w:left="200" w:right="724"/>
              <w:rPr>
                <w:sz w:val="18"/>
              </w:rPr>
            </w:pPr>
            <w:r>
              <w:rPr>
                <w:sz w:val="18"/>
              </w:rPr>
              <w:t>Building No. 3 (A Wing)</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24/6/2011</w:t>
            </w:r>
          </w:p>
        </w:tc>
        <w:tc>
          <w:tcPr>
            <w:tcW w:w="2530" w:type="dxa"/>
            <w:tcBorders>
              <w:top w:val="single" w:sz="6" w:space="0" w:color="69BD28"/>
              <w:bottom w:val="single" w:sz="6" w:space="0" w:color="69BD28"/>
            </w:tcBorders>
          </w:tcPr>
          <w:p>
            <w:pPr>
              <w:pStyle w:val="TableParagraph"/>
              <w:spacing w:before="39"/>
              <w:ind w:left="176" w:right="260"/>
              <w:rPr>
                <w:sz w:val="18"/>
              </w:rPr>
            </w:pPr>
            <w:r>
              <w:rPr>
                <w:sz w:val="18"/>
              </w:rPr>
              <w:t>4/5/6/7 (A Wing)</w:t>
            </w:r>
          </w:p>
        </w:tc>
      </w:tr>
      <w:tr>
        <w:trPr>
          <w:trHeight w:val="287" w:hRule="atLeast"/>
        </w:trPr>
        <w:tc>
          <w:tcPr>
            <w:tcW w:w="2832" w:type="dxa"/>
            <w:tcBorders>
              <w:top w:val="single" w:sz="6" w:space="0" w:color="69BD28"/>
              <w:bottom w:val="single" w:sz="6" w:space="0" w:color="69BD28"/>
            </w:tcBorders>
          </w:tcPr>
          <w:p>
            <w:pPr>
              <w:pStyle w:val="TableParagraph"/>
              <w:spacing w:before="39"/>
              <w:ind w:left="200" w:right="725"/>
              <w:rPr>
                <w:sz w:val="18"/>
              </w:rPr>
            </w:pPr>
            <w:r>
              <w:rPr>
                <w:sz w:val="18"/>
              </w:rPr>
              <w:t>Building No. 3 (A Wing)</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7/1/2012</w:t>
            </w:r>
          </w:p>
        </w:tc>
        <w:tc>
          <w:tcPr>
            <w:tcW w:w="2530" w:type="dxa"/>
            <w:tcBorders>
              <w:top w:val="single" w:sz="6" w:space="0" w:color="69BD28"/>
              <w:bottom w:val="single" w:sz="6" w:space="0" w:color="69BD28"/>
            </w:tcBorders>
          </w:tcPr>
          <w:p>
            <w:pPr>
              <w:pStyle w:val="TableParagraph"/>
              <w:spacing w:before="39"/>
              <w:ind w:left="176" w:right="260"/>
              <w:rPr>
                <w:sz w:val="18"/>
              </w:rPr>
            </w:pPr>
            <w:r>
              <w:rPr>
                <w:sz w:val="18"/>
              </w:rPr>
              <w:t>8th &amp; 10th (A wing)</w:t>
            </w:r>
          </w:p>
        </w:tc>
      </w:tr>
      <w:tr>
        <w:trPr>
          <w:trHeight w:val="287" w:hRule="atLeast"/>
        </w:trPr>
        <w:tc>
          <w:tcPr>
            <w:tcW w:w="2832" w:type="dxa"/>
            <w:tcBorders>
              <w:top w:val="single" w:sz="6" w:space="0" w:color="69BD28"/>
              <w:bottom w:val="single" w:sz="6" w:space="0" w:color="69BD28"/>
            </w:tcBorders>
          </w:tcPr>
          <w:p>
            <w:pPr>
              <w:pStyle w:val="TableParagraph"/>
              <w:spacing w:before="39"/>
              <w:ind w:left="198" w:right="725"/>
              <w:rPr>
                <w:sz w:val="18"/>
              </w:rPr>
            </w:pPr>
            <w:r>
              <w:rPr>
                <w:sz w:val="18"/>
              </w:rPr>
              <w:t>Building No. 3 (B Wing)</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21/7/2016</w:t>
            </w:r>
          </w:p>
        </w:tc>
        <w:tc>
          <w:tcPr>
            <w:tcW w:w="2530" w:type="dxa"/>
            <w:tcBorders>
              <w:top w:val="single" w:sz="6" w:space="0" w:color="69BD28"/>
              <w:bottom w:val="single" w:sz="6" w:space="0" w:color="69BD28"/>
            </w:tcBorders>
          </w:tcPr>
          <w:p>
            <w:pPr>
              <w:pStyle w:val="TableParagraph"/>
              <w:spacing w:before="39"/>
              <w:ind w:left="176" w:right="260"/>
              <w:rPr>
                <w:sz w:val="18"/>
              </w:rPr>
            </w:pPr>
            <w:r>
              <w:rPr>
                <w:sz w:val="18"/>
              </w:rPr>
              <w:t>4/7/10 (B Wing)</w:t>
            </w:r>
          </w:p>
        </w:tc>
      </w:tr>
      <w:tr>
        <w:trPr>
          <w:trHeight w:val="287" w:hRule="atLeast"/>
        </w:trPr>
        <w:tc>
          <w:tcPr>
            <w:tcW w:w="2832" w:type="dxa"/>
            <w:tcBorders>
              <w:top w:val="single" w:sz="6" w:space="0" w:color="69BD28"/>
              <w:bottom w:val="single" w:sz="6" w:space="0" w:color="69BD28"/>
            </w:tcBorders>
          </w:tcPr>
          <w:p>
            <w:pPr>
              <w:pStyle w:val="TableParagraph"/>
              <w:spacing w:before="39"/>
              <w:ind w:left="200" w:right="725"/>
              <w:rPr>
                <w:sz w:val="18"/>
              </w:rPr>
            </w:pPr>
            <w:r>
              <w:rPr>
                <w:sz w:val="18"/>
              </w:rPr>
              <w:t>Building No. 3 (A Wing)</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10/04/2019</w:t>
            </w:r>
          </w:p>
        </w:tc>
        <w:tc>
          <w:tcPr>
            <w:tcW w:w="2530" w:type="dxa"/>
            <w:tcBorders>
              <w:top w:val="single" w:sz="6" w:space="0" w:color="69BD28"/>
              <w:bottom w:val="single" w:sz="6" w:space="0" w:color="69BD28"/>
            </w:tcBorders>
          </w:tcPr>
          <w:p>
            <w:pPr>
              <w:pStyle w:val="TableParagraph"/>
              <w:spacing w:before="39"/>
              <w:ind w:left="176" w:right="260"/>
              <w:rPr>
                <w:sz w:val="18"/>
              </w:rPr>
            </w:pPr>
            <w:r>
              <w:rPr>
                <w:sz w:val="18"/>
              </w:rPr>
              <w:t>9</w:t>
            </w:r>
            <w:r>
              <w:rPr>
                <w:position w:val="6"/>
                <w:sz w:val="11"/>
              </w:rPr>
              <w:t>th </w:t>
            </w:r>
            <w:r>
              <w:rPr>
                <w:sz w:val="18"/>
              </w:rPr>
              <w:t>Floor</w:t>
            </w:r>
          </w:p>
        </w:tc>
      </w:tr>
      <w:tr>
        <w:trPr>
          <w:trHeight w:val="289" w:hRule="atLeast"/>
        </w:trPr>
        <w:tc>
          <w:tcPr>
            <w:tcW w:w="2832" w:type="dxa"/>
            <w:tcBorders>
              <w:top w:val="single" w:sz="6" w:space="0" w:color="69BD28"/>
              <w:bottom w:val="single" w:sz="6" w:space="0" w:color="69BD28"/>
            </w:tcBorders>
          </w:tcPr>
          <w:p>
            <w:pPr>
              <w:pStyle w:val="TableParagraph"/>
              <w:spacing w:before="39"/>
              <w:ind w:left="196" w:right="725"/>
              <w:rPr>
                <w:sz w:val="18"/>
              </w:rPr>
            </w:pPr>
            <w:r>
              <w:rPr>
                <w:sz w:val="18"/>
              </w:rPr>
              <w:t>Building No. 3</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29/10/10</w:t>
            </w:r>
          </w:p>
        </w:tc>
        <w:tc>
          <w:tcPr>
            <w:tcW w:w="2530" w:type="dxa"/>
            <w:tcBorders>
              <w:top w:val="single" w:sz="6" w:space="0" w:color="69BD28"/>
              <w:bottom w:val="single" w:sz="6" w:space="0" w:color="69BD28"/>
            </w:tcBorders>
          </w:tcPr>
          <w:p>
            <w:pPr>
              <w:pStyle w:val="TableParagraph"/>
              <w:spacing w:before="39"/>
              <w:ind w:left="174" w:right="260"/>
              <w:rPr>
                <w:sz w:val="18"/>
              </w:rPr>
            </w:pPr>
            <w:r>
              <w:rPr>
                <w:sz w:val="18"/>
              </w:rPr>
              <w:t>G/1/2/3</w:t>
            </w:r>
          </w:p>
        </w:tc>
      </w:tr>
      <w:tr>
        <w:trPr>
          <w:trHeight w:val="287" w:hRule="atLeast"/>
        </w:trPr>
        <w:tc>
          <w:tcPr>
            <w:tcW w:w="2832" w:type="dxa"/>
            <w:tcBorders>
              <w:top w:val="single" w:sz="6" w:space="0" w:color="69BD28"/>
              <w:bottom w:val="single" w:sz="6" w:space="0" w:color="69BD28"/>
            </w:tcBorders>
          </w:tcPr>
          <w:p>
            <w:pPr>
              <w:pStyle w:val="TableParagraph"/>
              <w:spacing w:before="40"/>
              <w:ind w:left="196" w:right="725"/>
              <w:rPr>
                <w:sz w:val="18"/>
              </w:rPr>
            </w:pPr>
            <w:r>
              <w:rPr>
                <w:sz w:val="18"/>
              </w:rPr>
              <w:t>Building No. 5</w:t>
            </w:r>
          </w:p>
        </w:tc>
        <w:tc>
          <w:tcPr>
            <w:tcW w:w="2271" w:type="dxa"/>
            <w:tcBorders>
              <w:top w:val="single" w:sz="6" w:space="0" w:color="69BD28"/>
              <w:bottom w:val="single" w:sz="6" w:space="0" w:color="69BD28"/>
            </w:tcBorders>
          </w:tcPr>
          <w:p>
            <w:pPr>
              <w:pStyle w:val="TableParagraph"/>
              <w:spacing w:before="40"/>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40"/>
              <w:ind w:left="684" w:right="202"/>
              <w:rPr>
                <w:sz w:val="18"/>
              </w:rPr>
            </w:pPr>
            <w:r>
              <w:rPr>
                <w:w w:val="105"/>
                <w:sz w:val="18"/>
              </w:rPr>
              <w:t>25/4/2011</w:t>
            </w:r>
          </w:p>
        </w:tc>
        <w:tc>
          <w:tcPr>
            <w:tcW w:w="2530" w:type="dxa"/>
            <w:tcBorders>
              <w:top w:val="single" w:sz="6" w:space="0" w:color="69BD28"/>
              <w:bottom w:val="single" w:sz="6" w:space="0" w:color="69BD28"/>
            </w:tcBorders>
          </w:tcPr>
          <w:p>
            <w:pPr>
              <w:pStyle w:val="TableParagraph"/>
              <w:spacing w:before="40"/>
              <w:ind w:left="174" w:right="260"/>
              <w:rPr>
                <w:sz w:val="18"/>
              </w:rPr>
            </w:pPr>
            <w:r>
              <w:rPr>
                <w:w w:val="105"/>
                <w:sz w:val="18"/>
              </w:rPr>
              <w:t>G to 3</w:t>
            </w:r>
          </w:p>
        </w:tc>
      </w:tr>
      <w:tr>
        <w:trPr>
          <w:trHeight w:val="287" w:hRule="atLeast"/>
        </w:trPr>
        <w:tc>
          <w:tcPr>
            <w:tcW w:w="2832" w:type="dxa"/>
            <w:tcBorders>
              <w:top w:val="single" w:sz="6" w:space="0" w:color="69BD28"/>
              <w:bottom w:val="single" w:sz="6" w:space="0" w:color="69BD28"/>
            </w:tcBorders>
          </w:tcPr>
          <w:p>
            <w:pPr>
              <w:pStyle w:val="TableParagraph"/>
              <w:spacing w:before="39"/>
              <w:ind w:left="200" w:right="725"/>
              <w:rPr>
                <w:sz w:val="18"/>
              </w:rPr>
            </w:pPr>
            <w:r>
              <w:rPr>
                <w:sz w:val="18"/>
              </w:rPr>
              <w:t>Building No. 5 (A Wing)</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15/6/2012</w:t>
            </w:r>
          </w:p>
        </w:tc>
        <w:tc>
          <w:tcPr>
            <w:tcW w:w="2530" w:type="dxa"/>
            <w:tcBorders>
              <w:top w:val="single" w:sz="6" w:space="0" w:color="69BD28"/>
              <w:bottom w:val="single" w:sz="6" w:space="0" w:color="69BD28"/>
            </w:tcBorders>
          </w:tcPr>
          <w:p>
            <w:pPr>
              <w:pStyle w:val="TableParagraph"/>
              <w:spacing w:before="39"/>
              <w:ind w:left="176" w:right="259"/>
              <w:rPr>
                <w:sz w:val="18"/>
              </w:rPr>
            </w:pPr>
            <w:r>
              <w:rPr>
                <w:sz w:val="18"/>
              </w:rPr>
              <w:t>4th &amp; 5th</w:t>
            </w:r>
          </w:p>
        </w:tc>
      </w:tr>
      <w:tr>
        <w:trPr>
          <w:trHeight w:val="287" w:hRule="atLeast"/>
        </w:trPr>
        <w:tc>
          <w:tcPr>
            <w:tcW w:w="2832" w:type="dxa"/>
            <w:tcBorders>
              <w:top w:val="single" w:sz="6" w:space="0" w:color="69BD28"/>
              <w:bottom w:val="single" w:sz="6" w:space="0" w:color="69BD28"/>
            </w:tcBorders>
          </w:tcPr>
          <w:p>
            <w:pPr>
              <w:pStyle w:val="TableParagraph"/>
              <w:spacing w:before="39"/>
              <w:ind w:left="200" w:right="725"/>
              <w:rPr>
                <w:sz w:val="18"/>
              </w:rPr>
            </w:pPr>
            <w:r>
              <w:rPr>
                <w:sz w:val="18"/>
              </w:rPr>
              <w:t>Building No. 5 (A Wing)</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22/07/2016</w:t>
            </w:r>
          </w:p>
        </w:tc>
        <w:tc>
          <w:tcPr>
            <w:tcW w:w="2530" w:type="dxa"/>
            <w:tcBorders>
              <w:top w:val="single" w:sz="6" w:space="0" w:color="69BD28"/>
              <w:bottom w:val="single" w:sz="6" w:space="0" w:color="69BD28"/>
            </w:tcBorders>
          </w:tcPr>
          <w:p>
            <w:pPr>
              <w:pStyle w:val="TableParagraph"/>
              <w:spacing w:before="39"/>
              <w:ind w:left="173" w:right="260"/>
              <w:rPr>
                <w:sz w:val="18"/>
              </w:rPr>
            </w:pPr>
            <w:r>
              <w:rPr>
                <w:sz w:val="18"/>
              </w:rPr>
              <w:t>2/3/6/7th Floor</w:t>
            </w:r>
          </w:p>
        </w:tc>
      </w:tr>
      <w:tr>
        <w:trPr>
          <w:trHeight w:val="289" w:hRule="atLeast"/>
        </w:trPr>
        <w:tc>
          <w:tcPr>
            <w:tcW w:w="2832" w:type="dxa"/>
            <w:tcBorders>
              <w:top w:val="single" w:sz="6" w:space="0" w:color="69BD28"/>
              <w:bottom w:val="single" w:sz="6" w:space="0" w:color="69BD28"/>
            </w:tcBorders>
          </w:tcPr>
          <w:p>
            <w:pPr>
              <w:pStyle w:val="TableParagraph"/>
              <w:spacing w:before="39"/>
              <w:ind w:left="198" w:right="725"/>
              <w:rPr>
                <w:sz w:val="18"/>
              </w:rPr>
            </w:pPr>
            <w:r>
              <w:rPr>
                <w:sz w:val="18"/>
              </w:rPr>
              <w:t>Building No. 5 (B Wing)</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22/07/2016</w:t>
            </w:r>
          </w:p>
        </w:tc>
        <w:tc>
          <w:tcPr>
            <w:tcW w:w="2530" w:type="dxa"/>
            <w:tcBorders>
              <w:top w:val="single" w:sz="6" w:space="0" w:color="69BD28"/>
              <w:bottom w:val="single" w:sz="6" w:space="0" w:color="69BD28"/>
            </w:tcBorders>
          </w:tcPr>
          <w:p>
            <w:pPr>
              <w:pStyle w:val="TableParagraph"/>
              <w:spacing w:before="39"/>
              <w:ind w:left="172" w:right="260"/>
              <w:rPr>
                <w:sz w:val="18"/>
              </w:rPr>
            </w:pPr>
            <w:r>
              <w:rPr>
                <w:sz w:val="18"/>
              </w:rPr>
              <w:t>4/5/6/7/ &amp; 8th</w:t>
            </w:r>
          </w:p>
        </w:tc>
      </w:tr>
      <w:tr>
        <w:trPr>
          <w:trHeight w:val="287" w:hRule="atLeast"/>
        </w:trPr>
        <w:tc>
          <w:tcPr>
            <w:tcW w:w="2832" w:type="dxa"/>
            <w:tcBorders>
              <w:top w:val="single" w:sz="6" w:space="0" w:color="69BD28"/>
              <w:bottom w:val="single" w:sz="6" w:space="0" w:color="69BD28"/>
            </w:tcBorders>
          </w:tcPr>
          <w:p>
            <w:pPr>
              <w:pStyle w:val="TableParagraph"/>
              <w:spacing w:before="39"/>
              <w:ind w:left="200" w:right="724"/>
              <w:rPr>
                <w:sz w:val="18"/>
              </w:rPr>
            </w:pPr>
            <w:r>
              <w:rPr>
                <w:sz w:val="18"/>
              </w:rPr>
              <w:t>Building No. 5 (A Wing)</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25/8/15</w:t>
            </w:r>
          </w:p>
        </w:tc>
        <w:tc>
          <w:tcPr>
            <w:tcW w:w="2530" w:type="dxa"/>
            <w:tcBorders>
              <w:top w:val="single" w:sz="6" w:space="0" w:color="69BD28"/>
              <w:bottom w:val="single" w:sz="6" w:space="0" w:color="69BD28"/>
            </w:tcBorders>
          </w:tcPr>
          <w:p>
            <w:pPr>
              <w:pStyle w:val="TableParagraph"/>
              <w:spacing w:before="39"/>
              <w:ind w:left="176" w:right="260"/>
              <w:rPr>
                <w:sz w:val="18"/>
              </w:rPr>
            </w:pPr>
            <w:r>
              <w:rPr>
                <w:sz w:val="18"/>
              </w:rPr>
              <w:t>LG, G, 1st &amp; 8th (A Wing)</w:t>
            </w:r>
          </w:p>
        </w:tc>
      </w:tr>
      <w:tr>
        <w:trPr>
          <w:trHeight w:val="287" w:hRule="atLeast"/>
        </w:trPr>
        <w:tc>
          <w:tcPr>
            <w:tcW w:w="2832" w:type="dxa"/>
            <w:tcBorders>
              <w:top w:val="single" w:sz="6" w:space="0" w:color="69BD28"/>
              <w:bottom w:val="single" w:sz="6" w:space="0" w:color="69BD28"/>
            </w:tcBorders>
          </w:tcPr>
          <w:p>
            <w:pPr>
              <w:pStyle w:val="TableParagraph"/>
              <w:spacing w:before="39"/>
              <w:ind w:left="196" w:right="725"/>
              <w:rPr>
                <w:sz w:val="18"/>
              </w:rPr>
            </w:pPr>
            <w:r>
              <w:rPr>
                <w:sz w:val="18"/>
              </w:rPr>
              <w:t>Building No. 5</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28/06/2019</w:t>
            </w:r>
          </w:p>
        </w:tc>
        <w:tc>
          <w:tcPr>
            <w:tcW w:w="2530" w:type="dxa"/>
            <w:tcBorders>
              <w:top w:val="single" w:sz="6" w:space="0" w:color="69BD28"/>
              <w:bottom w:val="single" w:sz="6" w:space="0" w:color="69BD28"/>
            </w:tcBorders>
          </w:tcPr>
          <w:p>
            <w:pPr>
              <w:pStyle w:val="TableParagraph"/>
              <w:spacing w:before="39"/>
              <w:ind w:left="176" w:right="259"/>
              <w:rPr>
                <w:sz w:val="18"/>
              </w:rPr>
            </w:pPr>
            <w:r>
              <w:rPr>
                <w:sz w:val="18"/>
              </w:rPr>
              <w:t>Terrace</w:t>
            </w:r>
          </w:p>
        </w:tc>
      </w:tr>
      <w:tr>
        <w:trPr>
          <w:trHeight w:val="287" w:hRule="atLeast"/>
        </w:trPr>
        <w:tc>
          <w:tcPr>
            <w:tcW w:w="2832" w:type="dxa"/>
            <w:tcBorders>
              <w:top w:val="single" w:sz="6" w:space="0" w:color="69BD28"/>
              <w:bottom w:val="single" w:sz="6" w:space="0" w:color="69BD28"/>
            </w:tcBorders>
          </w:tcPr>
          <w:p>
            <w:pPr>
              <w:pStyle w:val="TableParagraph"/>
              <w:spacing w:before="39"/>
              <w:ind w:left="196" w:right="725"/>
              <w:rPr>
                <w:sz w:val="18"/>
              </w:rPr>
            </w:pPr>
            <w:r>
              <w:rPr>
                <w:sz w:val="18"/>
              </w:rPr>
              <w:t>Building No. 6</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7/1/2012</w:t>
            </w:r>
          </w:p>
        </w:tc>
        <w:tc>
          <w:tcPr>
            <w:tcW w:w="2530" w:type="dxa"/>
            <w:tcBorders>
              <w:top w:val="single" w:sz="6" w:space="0" w:color="69BD28"/>
              <w:bottom w:val="single" w:sz="6" w:space="0" w:color="69BD28"/>
            </w:tcBorders>
          </w:tcPr>
          <w:p>
            <w:pPr>
              <w:pStyle w:val="TableParagraph"/>
              <w:spacing w:before="39"/>
              <w:ind w:left="172" w:right="260"/>
              <w:rPr>
                <w:sz w:val="18"/>
              </w:rPr>
            </w:pPr>
            <w:r>
              <w:rPr>
                <w:sz w:val="18"/>
              </w:rPr>
              <w:t>1st to 9th</w:t>
            </w:r>
          </w:p>
        </w:tc>
      </w:tr>
      <w:tr>
        <w:trPr>
          <w:trHeight w:val="289" w:hRule="atLeast"/>
        </w:trPr>
        <w:tc>
          <w:tcPr>
            <w:tcW w:w="2832" w:type="dxa"/>
            <w:tcBorders>
              <w:top w:val="single" w:sz="6" w:space="0" w:color="69BD28"/>
              <w:bottom w:val="single" w:sz="6" w:space="0" w:color="69BD28"/>
            </w:tcBorders>
          </w:tcPr>
          <w:p>
            <w:pPr>
              <w:pStyle w:val="TableParagraph"/>
              <w:spacing w:before="39"/>
              <w:ind w:left="196" w:right="725"/>
              <w:rPr>
                <w:sz w:val="18"/>
              </w:rPr>
            </w:pPr>
            <w:r>
              <w:rPr>
                <w:sz w:val="18"/>
              </w:rPr>
              <w:t>Building No. 6</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29/03/2019</w:t>
            </w:r>
          </w:p>
        </w:tc>
        <w:tc>
          <w:tcPr>
            <w:tcW w:w="2530" w:type="dxa"/>
            <w:tcBorders>
              <w:top w:val="single" w:sz="6" w:space="0" w:color="69BD28"/>
              <w:bottom w:val="single" w:sz="6" w:space="0" w:color="69BD28"/>
            </w:tcBorders>
          </w:tcPr>
          <w:p>
            <w:pPr>
              <w:pStyle w:val="TableParagraph"/>
              <w:spacing w:before="39"/>
              <w:ind w:left="175" w:right="260"/>
              <w:rPr>
                <w:sz w:val="18"/>
              </w:rPr>
            </w:pPr>
            <w:r>
              <w:rPr>
                <w:w w:val="105"/>
                <w:sz w:val="18"/>
              </w:rPr>
              <w:t>Ground</w:t>
            </w:r>
          </w:p>
        </w:tc>
      </w:tr>
      <w:tr>
        <w:trPr>
          <w:trHeight w:val="287" w:hRule="atLeast"/>
        </w:trPr>
        <w:tc>
          <w:tcPr>
            <w:tcW w:w="2832" w:type="dxa"/>
            <w:tcBorders>
              <w:top w:val="single" w:sz="6" w:space="0" w:color="69BD28"/>
              <w:bottom w:val="single" w:sz="6" w:space="0" w:color="69BD28"/>
            </w:tcBorders>
          </w:tcPr>
          <w:p>
            <w:pPr>
              <w:pStyle w:val="TableParagraph"/>
              <w:spacing w:before="39"/>
              <w:ind w:left="196" w:right="725"/>
              <w:rPr>
                <w:sz w:val="18"/>
              </w:rPr>
            </w:pPr>
            <w:r>
              <w:rPr>
                <w:sz w:val="18"/>
              </w:rPr>
              <w:t>Building No. 11</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16/04/2009</w:t>
            </w:r>
          </w:p>
        </w:tc>
        <w:tc>
          <w:tcPr>
            <w:tcW w:w="2530" w:type="dxa"/>
            <w:tcBorders>
              <w:top w:val="single" w:sz="6" w:space="0" w:color="69BD28"/>
              <w:bottom w:val="single" w:sz="6" w:space="0" w:color="69BD28"/>
            </w:tcBorders>
          </w:tcPr>
          <w:p>
            <w:pPr>
              <w:pStyle w:val="TableParagraph"/>
              <w:spacing w:before="39"/>
              <w:ind w:left="175" w:right="260"/>
              <w:rPr>
                <w:sz w:val="18"/>
              </w:rPr>
            </w:pPr>
            <w:r>
              <w:rPr>
                <w:sz w:val="18"/>
              </w:rPr>
              <w:t>3rd and 4th</w:t>
            </w:r>
          </w:p>
        </w:tc>
      </w:tr>
      <w:tr>
        <w:trPr>
          <w:trHeight w:val="287" w:hRule="atLeast"/>
        </w:trPr>
        <w:tc>
          <w:tcPr>
            <w:tcW w:w="2832" w:type="dxa"/>
            <w:tcBorders>
              <w:top w:val="single" w:sz="6" w:space="0" w:color="69BD28"/>
              <w:bottom w:val="single" w:sz="6" w:space="0" w:color="69BD28"/>
            </w:tcBorders>
          </w:tcPr>
          <w:p>
            <w:pPr>
              <w:pStyle w:val="TableParagraph"/>
              <w:spacing w:before="39"/>
              <w:ind w:left="196" w:right="725"/>
              <w:rPr>
                <w:sz w:val="18"/>
              </w:rPr>
            </w:pPr>
            <w:r>
              <w:rPr>
                <w:sz w:val="18"/>
              </w:rPr>
              <w:t>Building No. 11</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7/1/2009</w:t>
            </w:r>
          </w:p>
        </w:tc>
        <w:tc>
          <w:tcPr>
            <w:tcW w:w="2530" w:type="dxa"/>
            <w:tcBorders>
              <w:top w:val="single" w:sz="6" w:space="0" w:color="69BD28"/>
              <w:bottom w:val="single" w:sz="6" w:space="0" w:color="69BD28"/>
            </w:tcBorders>
          </w:tcPr>
          <w:p>
            <w:pPr>
              <w:pStyle w:val="TableParagraph"/>
              <w:spacing w:before="39"/>
              <w:ind w:left="176" w:right="260"/>
              <w:rPr>
                <w:sz w:val="18"/>
              </w:rPr>
            </w:pPr>
            <w:r>
              <w:rPr>
                <w:w w:val="105"/>
                <w:sz w:val="18"/>
              </w:rPr>
              <w:t>G, 1st and 2nd</w:t>
            </w:r>
          </w:p>
        </w:tc>
      </w:tr>
      <w:tr>
        <w:trPr>
          <w:trHeight w:val="287" w:hRule="atLeast"/>
        </w:trPr>
        <w:tc>
          <w:tcPr>
            <w:tcW w:w="2832" w:type="dxa"/>
            <w:tcBorders>
              <w:top w:val="single" w:sz="6" w:space="0" w:color="69BD28"/>
              <w:bottom w:val="single" w:sz="6" w:space="0" w:color="69BD28"/>
            </w:tcBorders>
          </w:tcPr>
          <w:p>
            <w:pPr>
              <w:pStyle w:val="TableParagraph"/>
              <w:spacing w:before="39"/>
              <w:ind w:left="196" w:right="725"/>
              <w:rPr>
                <w:sz w:val="18"/>
              </w:rPr>
            </w:pPr>
            <w:r>
              <w:rPr>
                <w:sz w:val="18"/>
              </w:rPr>
              <w:t>Building No. 11</w:t>
            </w:r>
          </w:p>
        </w:tc>
        <w:tc>
          <w:tcPr>
            <w:tcW w:w="2271" w:type="dxa"/>
            <w:tcBorders>
              <w:top w:val="single" w:sz="6" w:space="0" w:color="69BD28"/>
              <w:bottom w:val="single" w:sz="6" w:space="0" w:color="69BD28"/>
            </w:tcBorders>
          </w:tcPr>
          <w:p>
            <w:pPr>
              <w:pStyle w:val="TableParagraph"/>
              <w:spacing w:before="39"/>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39"/>
              <w:ind w:left="684" w:right="202"/>
              <w:rPr>
                <w:sz w:val="18"/>
              </w:rPr>
            </w:pPr>
            <w:r>
              <w:rPr>
                <w:w w:val="105"/>
                <w:sz w:val="18"/>
              </w:rPr>
              <w:t>4/3/2011</w:t>
            </w:r>
          </w:p>
        </w:tc>
        <w:tc>
          <w:tcPr>
            <w:tcW w:w="2530" w:type="dxa"/>
            <w:tcBorders>
              <w:top w:val="single" w:sz="6" w:space="0" w:color="69BD28"/>
              <w:bottom w:val="single" w:sz="6" w:space="0" w:color="69BD28"/>
            </w:tcBorders>
          </w:tcPr>
          <w:p>
            <w:pPr>
              <w:pStyle w:val="TableParagraph"/>
              <w:spacing w:before="39"/>
              <w:ind w:left="176" w:right="258"/>
              <w:rPr>
                <w:sz w:val="18"/>
              </w:rPr>
            </w:pPr>
            <w:r>
              <w:rPr>
                <w:sz w:val="18"/>
              </w:rPr>
              <w:t>6th Floor</w:t>
            </w:r>
          </w:p>
        </w:tc>
      </w:tr>
      <w:tr>
        <w:trPr>
          <w:trHeight w:val="290" w:hRule="atLeast"/>
        </w:trPr>
        <w:tc>
          <w:tcPr>
            <w:tcW w:w="2832" w:type="dxa"/>
            <w:tcBorders>
              <w:top w:val="single" w:sz="6" w:space="0" w:color="69BD28"/>
              <w:bottom w:val="single" w:sz="6" w:space="0" w:color="69BD28"/>
            </w:tcBorders>
          </w:tcPr>
          <w:p>
            <w:pPr>
              <w:pStyle w:val="TableParagraph"/>
              <w:spacing w:before="40"/>
              <w:ind w:left="200" w:right="724"/>
              <w:rPr>
                <w:sz w:val="18"/>
              </w:rPr>
            </w:pPr>
            <w:r>
              <w:rPr>
                <w:sz w:val="18"/>
              </w:rPr>
              <w:t>Food Court</w:t>
            </w:r>
          </w:p>
        </w:tc>
        <w:tc>
          <w:tcPr>
            <w:tcW w:w="2271" w:type="dxa"/>
            <w:tcBorders>
              <w:top w:val="single" w:sz="6" w:space="0" w:color="69BD28"/>
              <w:bottom w:val="single" w:sz="6" w:space="0" w:color="69BD28"/>
            </w:tcBorders>
          </w:tcPr>
          <w:p>
            <w:pPr>
              <w:pStyle w:val="TableParagraph"/>
              <w:spacing w:before="40"/>
              <w:ind w:left="714" w:right="674"/>
              <w:rPr>
                <w:sz w:val="18"/>
              </w:rPr>
            </w:pPr>
            <w:r>
              <w:rPr>
                <w:w w:val="115"/>
                <w:sz w:val="18"/>
              </w:rPr>
              <w:t>MIDC</w:t>
            </w:r>
          </w:p>
        </w:tc>
        <w:tc>
          <w:tcPr>
            <w:tcW w:w="3261" w:type="dxa"/>
            <w:tcBorders>
              <w:top w:val="single" w:sz="6" w:space="0" w:color="69BD28"/>
              <w:bottom w:val="single" w:sz="6" w:space="0" w:color="69BD28"/>
            </w:tcBorders>
          </w:tcPr>
          <w:p>
            <w:pPr>
              <w:pStyle w:val="TableParagraph"/>
              <w:spacing w:before="40"/>
              <w:ind w:left="684" w:right="202"/>
              <w:rPr>
                <w:sz w:val="18"/>
              </w:rPr>
            </w:pPr>
            <w:r>
              <w:rPr>
                <w:w w:val="105"/>
                <w:sz w:val="18"/>
              </w:rPr>
              <w:t>28/06/2019</w:t>
            </w:r>
          </w:p>
        </w:tc>
        <w:tc>
          <w:tcPr>
            <w:tcW w:w="2530" w:type="dxa"/>
            <w:tcBorders>
              <w:top w:val="single" w:sz="6" w:space="0" w:color="69BD28"/>
              <w:bottom w:val="single" w:sz="6" w:space="0" w:color="69BD28"/>
            </w:tcBorders>
          </w:tcPr>
          <w:p>
            <w:pPr>
              <w:pStyle w:val="TableParagraph"/>
              <w:spacing w:before="40"/>
              <w:ind w:right="81"/>
              <w:rPr>
                <w:sz w:val="18"/>
              </w:rPr>
            </w:pPr>
            <w:r>
              <w:rPr>
                <w:w w:val="99"/>
                <w:sz w:val="18"/>
              </w:rPr>
              <w:t>-</w:t>
            </w:r>
          </w:p>
        </w:tc>
      </w:tr>
    </w:tbl>
    <w:p>
      <w:pPr>
        <w:spacing w:before="0"/>
        <w:ind w:left="788" w:right="0" w:firstLine="0"/>
        <w:jc w:val="left"/>
        <w:rPr>
          <w:i/>
          <w:sz w:val="18"/>
        </w:rPr>
      </w:pPr>
      <w:r>
        <w:rPr>
          <w:i/>
          <w:sz w:val="18"/>
        </w:rPr>
        <w:t>Source: Information provided by Client</w:t>
      </w:r>
    </w:p>
    <w:p>
      <w:pPr>
        <w:spacing w:before="7"/>
        <w:ind w:left="788" w:right="0" w:firstLine="0"/>
        <w:jc w:val="left"/>
        <w:rPr>
          <w:i/>
          <w:sz w:val="18"/>
        </w:rPr>
      </w:pPr>
      <w:r>
        <w:rPr>
          <w:i/>
          <w:w w:val="105"/>
          <w:sz w:val="18"/>
        </w:rPr>
        <w:t>MIDC </w:t>
      </w:r>
      <w:r>
        <w:rPr>
          <w:i/>
          <w:w w:val="130"/>
          <w:sz w:val="18"/>
        </w:rPr>
        <w:t>~ </w:t>
      </w:r>
      <w:r>
        <w:rPr>
          <w:i/>
          <w:w w:val="105"/>
          <w:sz w:val="18"/>
        </w:rPr>
        <w:t>Maharashtra Industrial Development Corporation</w:t>
      </w:r>
    </w:p>
    <w:p>
      <w:pPr>
        <w:pStyle w:val="BodyText"/>
        <w:spacing w:before="4"/>
        <w:rPr>
          <w:i/>
          <w:sz w:val="21"/>
        </w:rPr>
      </w:pPr>
    </w:p>
    <w:p>
      <w:pPr>
        <w:pStyle w:val="BodyText"/>
        <w:spacing w:line="321" w:lineRule="auto"/>
        <w:ind w:left="1246" w:right="676"/>
        <w:jc w:val="both"/>
      </w:pPr>
      <w:r>
        <w:rPr/>
        <w:t>Further,</w:t>
      </w:r>
      <w:r>
        <w:rPr>
          <w:spacing w:val="-37"/>
        </w:rPr>
        <w:t> </w:t>
      </w:r>
      <w:r>
        <w:rPr/>
        <w:t>there</w:t>
      </w:r>
      <w:r>
        <w:rPr>
          <w:spacing w:val="-36"/>
        </w:rPr>
        <w:t> </w:t>
      </w:r>
      <w:r>
        <w:rPr/>
        <w:t>are</w:t>
      </w:r>
      <w:r>
        <w:rPr>
          <w:spacing w:val="-37"/>
        </w:rPr>
        <w:t> </w:t>
      </w:r>
      <w:r>
        <w:rPr/>
        <w:t>few</w:t>
      </w:r>
      <w:r>
        <w:rPr>
          <w:spacing w:val="-36"/>
        </w:rPr>
        <w:t> </w:t>
      </w:r>
      <w:r>
        <w:rPr/>
        <w:t>floors</w:t>
      </w:r>
      <w:r>
        <w:rPr>
          <w:spacing w:val="-36"/>
        </w:rPr>
        <w:t> </w:t>
      </w:r>
      <w:r>
        <w:rPr/>
        <w:t>for</w:t>
      </w:r>
      <w:r>
        <w:rPr>
          <w:spacing w:val="-37"/>
        </w:rPr>
        <w:t> </w:t>
      </w:r>
      <w:r>
        <w:rPr/>
        <w:t>which</w:t>
      </w:r>
      <w:r>
        <w:rPr>
          <w:spacing w:val="-37"/>
        </w:rPr>
        <w:t> </w:t>
      </w:r>
      <w:r>
        <w:rPr/>
        <w:t>occupancy</w:t>
      </w:r>
      <w:r>
        <w:rPr>
          <w:spacing w:val="-36"/>
        </w:rPr>
        <w:t> </w:t>
      </w:r>
      <w:r>
        <w:rPr/>
        <w:t>certificate</w:t>
      </w:r>
      <w:r>
        <w:rPr>
          <w:spacing w:val="-36"/>
        </w:rPr>
        <w:t> </w:t>
      </w:r>
      <w:r>
        <w:rPr/>
        <w:t>is</w:t>
      </w:r>
      <w:r>
        <w:rPr>
          <w:spacing w:val="-36"/>
        </w:rPr>
        <w:t> </w:t>
      </w:r>
      <w:r>
        <w:rPr/>
        <w:t>yet</w:t>
      </w:r>
      <w:r>
        <w:rPr>
          <w:spacing w:val="-37"/>
        </w:rPr>
        <w:t> </w:t>
      </w:r>
      <w:r>
        <w:rPr/>
        <w:t>to</w:t>
      </w:r>
      <w:r>
        <w:rPr>
          <w:spacing w:val="-36"/>
        </w:rPr>
        <w:t> </w:t>
      </w:r>
      <w:r>
        <w:rPr/>
        <w:t>be</w:t>
      </w:r>
      <w:r>
        <w:rPr>
          <w:spacing w:val="-37"/>
        </w:rPr>
        <w:t> </w:t>
      </w:r>
      <w:r>
        <w:rPr/>
        <w:t>received.</w:t>
      </w:r>
      <w:r>
        <w:rPr>
          <w:spacing w:val="-35"/>
        </w:rPr>
        <w:t> </w:t>
      </w:r>
      <w:r>
        <w:rPr/>
        <w:t>For</w:t>
      </w:r>
      <w:r>
        <w:rPr>
          <w:spacing w:val="-37"/>
        </w:rPr>
        <w:t> </w:t>
      </w:r>
      <w:r>
        <w:rPr/>
        <w:t>the</w:t>
      </w:r>
      <w:r>
        <w:rPr>
          <w:spacing w:val="-36"/>
        </w:rPr>
        <w:t> </w:t>
      </w:r>
      <w:r>
        <w:rPr/>
        <w:t>purpose</w:t>
      </w:r>
      <w:r>
        <w:rPr>
          <w:spacing w:val="-37"/>
        </w:rPr>
        <w:t> </w:t>
      </w:r>
      <w:r>
        <w:rPr/>
        <w:t>of</w:t>
      </w:r>
      <w:r>
        <w:rPr>
          <w:spacing w:val="-37"/>
        </w:rPr>
        <w:t> </w:t>
      </w:r>
      <w:r>
        <w:rPr/>
        <w:t>this valuation, we have assumed appropriate lease up time for such spaces taking into consideration the minimum time required for attaining occupancy</w:t>
      </w:r>
      <w:r>
        <w:rPr>
          <w:spacing w:val="-37"/>
        </w:rPr>
        <w:t> </w:t>
      </w:r>
      <w:r>
        <w:rPr/>
        <w:t>certificate.</w:t>
      </w:r>
    </w:p>
    <w:p>
      <w:pPr>
        <w:pStyle w:val="BodyText"/>
        <w:spacing w:before="8"/>
        <w:rPr>
          <w:sz w:val="20"/>
        </w:rPr>
      </w:pPr>
    </w:p>
    <w:p>
      <w:pPr>
        <w:pStyle w:val="BodyText"/>
        <w:ind w:left="1246"/>
        <w:jc w:val="both"/>
      </w:pPr>
      <w:r>
        <w:rPr>
          <w:w w:val="105"/>
          <w:u w:val="single"/>
        </w:rPr>
        <w:t>Embassy Quadron</w:t>
      </w:r>
    </w:p>
    <w:p>
      <w:pPr>
        <w:pStyle w:val="BodyText"/>
        <w:spacing w:before="1"/>
        <w:rPr>
          <w:sz w:val="19"/>
        </w:rPr>
      </w:pPr>
    </w:p>
    <w:p>
      <w:pPr>
        <w:pStyle w:val="Heading4"/>
        <w:spacing w:line="321" w:lineRule="auto" w:before="106"/>
        <w:ind w:left="1246" w:right="672"/>
      </w:pPr>
      <w:r>
        <w:rPr/>
        <w:t>As</w:t>
      </w:r>
      <w:r>
        <w:rPr>
          <w:spacing w:val="-49"/>
        </w:rPr>
        <w:t> </w:t>
      </w:r>
      <w:r>
        <w:rPr/>
        <w:t>per</w:t>
      </w:r>
      <w:r>
        <w:rPr>
          <w:spacing w:val="-49"/>
        </w:rPr>
        <w:t> </w:t>
      </w:r>
      <w:r>
        <w:rPr/>
        <w:t>the</w:t>
      </w:r>
      <w:r>
        <w:rPr>
          <w:spacing w:val="-50"/>
        </w:rPr>
        <w:t> </w:t>
      </w:r>
      <w:r>
        <w:rPr/>
        <w:t>review</w:t>
      </w:r>
      <w:r>
        <w:rPr>
          <w:spacing w:val="-48"/>
        </w:rPr>
        <w:t> </w:t>
      </w:r>
      <w:r>
        <w:rPr/>
        <w:t>of</w:t>
      </w:r>
      <w:r>
        <w:rPr>
          <w:spacing w:val="-49"/>
        </w:rPr>
        <w:t> </w:t>
      </w:r>
      <w:r>
        <w:rPr/>
        <w:t>documents</w:t>
      </w:r>
      <w:r>
        <w:rPr>
          <w:spacing w:val="-48"/>
        </w:rPr>
        <w:t> </w:t>
      </w:r>
      <w:r>
        <w:rPr/>
        <w:t>provided</w:t>
      </w:r>
      <w:r>
        <w:rPr>
          <w:spacing w:val="-49"/>
        </w:rPr>
        <w:t> </w:t>
      </w:r>
      <w:r>
        <w:rPr/>
        <w:t>by</w:t>
      </w:r>
      <w:r>
        <w:rPr>
          <w:spacing w:val="-49"/>
        </w:rPr>
        <w:t> </w:t>
      </w:r>
      <w:r>
        <w:rPr/>
        <w:t>the</w:t>
      </w:r>
      <w:r>
        <w:rPr>
          <w:spacing w:val="-50"/>
        </w:rPr>
        <w:t> </w:t>
      </w:r>
      <w:r>
        <w:rPr/>
        <w:t>Client,</w:t>
      </w:r>
      <w:r>
        <w:rPr>
          <w:spacing w:val="-48"/>
        </w:rPr>
        <w:t> </w:t>
      </w:r>
      <w:r>
        <w:rPr/>
        <w:t>we</w:t>
      </w:r>
      <w:r>
        <w:rPr>
          <w:spacing w:val="-50"/>
        </w:rPr>
        <w:t> </w:t>
      </w:r>
      <w:r>
        <w:rPr/>
        <w:t>understand</w:t>
      </w:r>
      <w:r>
        <w:rPr>
          <w:spacing w:val="-49"/>
        </w:rPr>
        <w:t> </w:t>
      </w:r>
      <w:r>
        <w:rPr/>
        <w:t>that</w:t>
      </w:r>
      <w:r>
        <w:rPr>
          <w:spacing w:val="-49"/>
        </w:rPr>
        <w:t> </w:t>
      </w:r>
      <w:r>
        <w:rPr/>
        <w:t>all</w:t>
      </w:r>
      <w:r>
        <w:rPr>
          <w:spacing w:val="-50"/>
        </w:rPr>
        <w:t> </w:t>
      </w:r>
      <w:r>
        <w:rPr/>
        <w:t>requisite</w:t>
      </w:r>
      <w:r>
        <w:rPr>
          <w:spacing w:val="-48"/>
        </w:rPr>
        <w:t> </w:t>
      </w:r>
      <w:r>
        <w:rPr/>
        <w:t>approvals along</w:t>
      </w:r>
      <w:r>
        <w:rPr>
          <w:spacing w:val="-51"/>
        </w:rPr>
        <w:t> </w:t>
      </w:r>
      <w:r>
        <w:rPr/>
        <w:t>with</w:t>
      </w:r>
      <w:r>
        <w:rPr>
          <w:spacing w:val="-52"/>
        </w:rPr>
        <w:t> </w:t>
      </w:r>
      <w:r>
        <w:rPr/>
        <w:t>the</w:t>
      </w:r>
      <w:r>
        <w:rPr>
          <w:spacing w:val="-51"/>
        </w:rPr>
        <w:t> </w:t>
      </w:r>
      <w:r>
        <w:rPr/>
        <w:t>occupancy</w:t>
      </w:r>
      <w:r>
        <w:rPr>
          <w:spacing w:val="-51"/>
        </w:rPr>
        <w:t> </w:t>
      </w:r>
      <w:r>
        <w:rPr/>
        <w:t>/</w:t>
      </w:r>
      <w:r>
        <w:rPr>
          <w:spacing w:val="-51"/>
        </w:rPr>
        <w:t> </w:t>
      </w:r>
      <w:r>
        <w:rPr/>
        <w:t>completion</w:t>
      </w:r>
      <w:r>
        <w:rPr>
          <w:spacing w:val="-51"/>
        </w:rPr>
        <w:t> </w:t>
      </w:r>
      <w:r>
        <w:rPr/>
        <w:t>certificate</w:t>
      </w:r>
      <w:r>
        <w:rPr>
          <w:spacing w:val="-50"/>
        </w:rPr>
        <w:t> </w:t>
      </w:r>
      <w:r>
        <w:rPr/>
        <w:t>for</w:t>
      </w:r>
      <w:r>
        <w:rPr>
          <w:spacing w:val="-52"/>
        </w:rPr>
        <w:t> </w:t>
      </w:r>
      <w:r>
        <w:rPr/>
        <w:t>the</w:t>
      </w:r>
      <w:r>
        <w:rPr>
          <w:spacing w:val="-52"/>
        </w:rPr>
        <w:t> </w:t>
      </w:r>
      <w:r>
        <w:rPr/>
        <w:t>operational</w:t>
      </w:r>
      <w:r>
        <w:rPr>
          <w:spacing w:val="-51"/>
        </w:rPr>
        <w:t> </w:t>
      </w:r>
      <w:r>
        <w:rPr/>
        <w:t>blocks</w:t>
      </w:r>
      <w:r>
        <w:rPr>
          <w:spacing w:val="-51"/>
        </w:rPr>
        <w:t> </w:t>
      </w:r>
      <w:r>
        <w:rPr/>
        <w:t>have</w:t>
      </w:r>
      <w:r>
        <w:rPr>
          <w:spacing w:val="-51"/>
        </w:rPr>
        <w:t> </w:t>
      </w:r>
      <w:r>
        <w:rPr/>
        <w:t>been</w:t>
      </w:r>
      <w:r>
        <w:rPr>
          <w:spacing w:val="-51"/>
        </w:rPr>
        <w:t> </w:t>
      </w:r>
      <w:r>
        <w:rPr/>
        <w:t>received.</w:t>
      </w:r>
    </w:p>
    <w:p>
      <w:pPr>
        <w:spacing w:after="0" w:line="321" w:lineRule="auto"/>
        <w:sectPr>
          <w:pgSz w:w="11910" w:h="16840"/>
          <w:pgMar w:header="720" w:footer="862" w:top="1660" w:bottom="1060" w:left="40" w:right="40"/>
        </w:sectPr>
      </w:pPr>
    </w:p>
    <w:p>
      <w:pPr>
        <w:pStyle w:val="BodyText"/>
        <w:spacing w:before="8"/>
        <w:rPr>
          <w:sz w:val="9"/>
        </w:rPr>
      </w:pPr>
    </w:p>
    <w:p>
      <w:pPr>
        <w:spacing w:line="321" w:lineRule="auto" w:before="106"/>
        <w:ind w:left="1246" w:right="607" w:firstLine="0"/>
        <w:jc w:val="left"/>
        <w:rPr>
          <w:sz w:val="24"/>
        </w:rPr>
      </w:pPr>
      <w:r>
        <w:rPr>
          <w:sz w:val="24"/>
        </w:rPr>
        <w:t>The</w:t>
      </w:r>
      <w:r>
        <w:rPr>
          <w:spacing w:val="-25"/>
          <w:sz w:val="24"/>
        </w:rPr>
        <w:t> </w:t>
      </w:r>
      <w:r>
        <w:rPr>
          <w:sz w:val="24"/>
        </w:rPr>
        <w:t>details</w:t>
      </w:r>
      <w:r>
        <w:rPr>
          <w:spacing w:val="-23"/>
          <w:sz w:val="24"/>
        </w:rPr>
        <w:t> </w:t>
      </w:r>
      <w:r>
        <w:rPr>
          <w:sz w:val="24"/>
        </w:rPr>
        <w:t>of</w:t>
      </w:r>
      <w:r>
        <w:rPr>
          <w:spacing w:val="-23"/>
          <w:sz w:val="24"/>
        </w:rPr>
        <w:t> </w:t>
      </w:r>
      <w:r>
        <w:rPr>
          <w:sz w:val="24"/>
        </w:rPr>
        <w:t>the</w:t>
      </w:r>
      <w:r>
        <w:rPr>
          <w:spacing w:val="-25"/>
          <w:sz w:val="24"/>
        </w:rPr>
        <w:t> </w:t>
      </w:r>
      <w:r>
        <w:rPr>
          <w:sz w:val="24"/>
        </w:rPr>
        <w:t>Occupancy</w:t>
      </w:r>
      <w:r>
        <w:rPr>
          <w:spacing w:val="-24"/>
          <w:sz w:val="24"/>
        </w:rPr>
        <w:t> </w:t>
      </w:r>
      <w:r>
        <w:rPr>
          <w:sz w:val="24"/>
        </w:rPr>
        <w:t>Certificates</w:t>
      </w:r>
      <w:r>
        <w:rPr>
          <w:spacing w:val="-23"/>
          <w:sz w:val="24"/>
        </w:rPr>
        <w:t> </w:t>
      </w:r>
      <w:r>
        <w:rPr>
          <w:sz w:val="24"/>
        </w:rPr>
        <w:t>for</w:t>
      </w:r>
      <w:r>
        <w:rPr>
          <w:spacing w:val="-25"/>
          <w:sz w:val="24"/>
        </w:rPr>
        <w:t> </w:t>
      </w:r>
      <w:r>
        <w:rPr>
          <w:sz w:val="24"/>
        </w:rPr>
        <w:t>the</w:t>
      </w:r>
      <w:r>
        <w:rPr>
          <w:spacing w:val="-24"/>
          <w:sz w:val="24"/>
        </w:rPr>
        <w:t> </w:t>
      </w:r>
      <w:r>
        <w:rPr>
          <w:sz w:val="24"/>
        </w:rPr>
        <w:t>respective</w:t>
      </w:r>
      <w:r>
        <w:rPr>
          <w:spacing w:val="-25"/>
          <w:sz w:val="24"/>
        </w:rPr>
        <w:t> </w:t>
      </w:r>
      <w:r>
        <w:rPr>
          <w:sz w:val="24"/>
        </w:rPr>
        <w:t>blocks</w:t>
      </w:r>
      <w:r>
        <w:rPr>
          <w:spacing w:val="-23"/>
          <w:sz w:val="24"/>
        </w:rPr>
        <w:t> </w:t>
      </w:r>
      <w:r>
        <w:rPr>
          <w:sz w:val="24"/>
        </w:rPr>
        <w:t>which</w:t>
      </w:r>
      <w:r>
        <w:rPr>
          <w:spacing w:val="-23"/>
          <w:sz w:val="24"/>
        </w:rPr>
        <w:t> </w:t>
      </w:r>
      <w:r>
        <w:rPr>
          <w:sz w:val="24"/>
        </w:rPr>
        <w:t>has</w:t>
      </w:r>
      <w:r>
        <w:rPr>
          <w:spacing w:val="-23"/>
          <w:sz w:val="24"/>
        </w:rPr>
        <w:t> </w:t>
      </w:r>
      <w:r>
        <w:rPr>
          <w:sz w:val="24"/>
        </w:rPr>
        <w:t>been</w:t>
      </w:r>
      <w:r>
        <w:rPr>
          <w:spacing w:val="-24"/>
          <w:sz w:val="24"/>
        </w:rPr>
        <w:t> </w:t>
      </w:r>
      <w:r>
        <w:rPr>
          <w:sz w:val="24"/>
        </w:rPr>
        <w:t>considered for the purpose of the valuation</w:t>
      </w:r>
      <w:r>
        <w:rPr>
          <w:spacing w:val="-27"/>
          <w:sz w:val="24"/>
        </w:rPr>
        <w:t> </w:t>
      </w:r>
      <w:r>
        <w:rPr>
          <w:sz w:val="24"/>
        </w:rPr>
        <w:t>exercise:</w:t>
      </w:r>
    </w:p>
    <w:p>
      <w:pPr>
        <w:pStyle w:val="BodyText"/>
        <w:spacing w:before="7"/>
        <w:rPr>
          <w:sz w:val="21"/>
        </w:rPr>
      </w:pPr>
    </w:p>
    <w:tbl>
      <w:tblPr>
        <w:tblW w:w="0" w:type="auto"/>
        <w:jc w:val="left"/>
        <w:tblInd w:w="6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326"/>
        <w:gridCol w:w="3226"/>
        <w:gridCol w:w="3920"/>
      </w:tblGrid>
      <w:tr>
        <w:trPr>
          <w:trHeight w:val="287" w:hRule="atLeast"/>
        </w:trPr>
        <w:tc>
          <w:tcPr>
            <w:tcW w:w="3326" w:type="dxa"/>
            <w:tcBorders>
              <w:top w:val="single" w:sz="12" w:space="0" w:color="1F6B16"/>
              <w:bottom w:val="single" w:sz="6" w:space="0" w:color="69BD28"/>
            </w:tcBorders>
            <w:shd w:val="clear" w:color="auto" w:fill="006A4D"/>
          </w:tcPr>
          <w:p>
            <w:pPr>
              <w:pStyle w:val="TableParagraph"/>
              <w:spacing w:before="39"/>
              <w:ind w:left="907"/>
              <w:jc w:val="left"/>
              <w:rPr>
                <w:b/>
                <w:sz w:val="18"/>
              </w:rPr>
            </w:pPr>
            <w:r>
              <w:rPr>
                <w:b/>
                <w:color w:val="FFFFFF"/>
                <w:w w:val="115"/>
                <w:sz w:val="18"/>
              </w:rPr>
              <w:t>Block Name</w:t>
            </w:r>
          </w:p>
        </w:tc>
        <w:tc>
          <w:tcPr>
            <w:tcW w:w="3226" w:type="dxa"/>
            <w:tcBorders>
              <w:top w:val="single" w:sz="12" w:space="0" w:color="1F6B16"/>
              <w:bottom w:val="single" w:sz="6" w:space="0" w:color="69BD28"/>
            </w:tcBorders>
            <w:shd w:val="clear" w:color="auto" w:fill="006A4D"/>
          </w:tcPr>
          <w:p>
            <w:pPr>
              <w:pStyle w:val="TableParagraph"/>
              <w:spacing w:before="39"/>
              <w:ind w:left="1277" w:right="1070"/>
              <w:rPr>
                <w:b/>
                <w:sz w:val="18"/>
              </w:rPr>
            </w:pPr>
            <w:r>
              <w:rPr>
                <w:b/>
                <w:color w:val="FFFFFF"/>
                <w:w w:val="105"/>
                <w:sz w:val="18"/>
              </w:rPr>
              <w:t>Authority</w:t>
            </w:r>
          </w:p>
        </w:tc>
        <w:tc>
          <w:tcPr>
            <w:tcW w:w="3920" w:type="dxa"/>
            <w:tcBorders>
              <w:top w:val="single" w:sz="12" w:space="0" w:color="1F6B16"/>
              <w:bottom w:val="single" w:sz="6" w:space="0" w:color="69BD28"/>
            </w:tcBorders>
            <w:shd w:val="clear" w:color="auto" w:fill="006A4D"/>
          </w:tcPr>
          <w:p>
            <w:pPr>
              <w:pStyle w:val="TableParagraph"/>
              <w:spacing w:before="39"/>
              <w:ind w:left="1085" w:right="466"/>
              <w:rPr>
                <w:b/>
                <w:sz w:val="18"/>
              </w:rPr>
            </w:pPr>
            <w:r>
              <w:rPr>
                <w:b/>
                <w:color w:val="FFFFFF"/>
                <w:w w:val="110"/>
                <w:sz w:val="18"/>
              </w:rPr>
              <w:t>Date of Issue (DD-MM-YY)</w:t>
            </w:r>
          </w:p>
        </w:tc>
      </w:tr>
      <w:tr>
        <w:trPr>
          <w:trHeight w:val="287" w:hRule="atLeast"/>
        </w:trPr>
        <w:tc>
          <w:tcPr>
            <w:tcW w:w="3326" w:type="dxa"/>
            <w:tcBorders>
              <w:top w:val="single" w:sz="6" w:space="0" w:color="69BD28"/>
              <w:bottom w:val="single" w:sz="6" w:space="0" w:color="69BD28"/>
            </w:tcBorders>
          </w:tcPr>
          <w:p>
            <w:pPr>
              <w:pStyle w:val="TableParagraph"/>
              <w:spacing w:before="39"/>
              <w:ind w:left="883"/>
              <w:jc w:val="left"/>
              <w:rPr>
                <w:sz w:val="18"/>
              </w:rPr>
            </w:pPr>
            <w:r>
              <w:rPr>
                <w:sz w:val="18"/>
              </w:rPr>
              <w:t>Building No. 1</w:t>
            </w:r>
          </w:p>
        </w:tc>
        <w:tc>
          <w:tcPr>
            <w:tcW w:w="3226" w:type="dxa"/>
            <w:tcBorders>
              <w:top w:val="single" w:sz="6" w:space="0" w:color="69BD28"/>
              <w:bottom w:val="single" w:sz="6" w:space="0" w:color="69BD28"/>
            </w:tcBorders>
          </w:tcPr>
          <w:p>
            <w:pPr>
              <w:pStyle w:val="TableParagraph"/>
              <w:spacing w:before="39"/>
              <w:ind w:left="1275" w:right="1070"/>
              <w:rPr>
                <w:sz w:val="18"/>
              </w:rPr>
            </w:pPr>
            <w:r>
              <w:rPr>
                <w:w w:val="115"/>
                <w:sz w:val="18"/>
              </w:rPr>
              <w:t>MIDC</w:t>
            </w:r>
          </w:p>
        </w:tc>
        <w:tc>
          <w:tcPr>
            <w:tcW w:w="3920" w:type="dxa"/>
            <w:tcBorders>
              <w:top w:val="single" w:sz="6" w:space="0" w:color="69BD28"/>
              <w:bottom w:val="single" w:sz="6" w:space="0" w:color="69BD28"/>
            </w:tcBorders>
          </w:tcPr>
          <w:p>
            <w:pPr>
              <w:pStyle w:val="TableParagraph"/>
              <w:spacing w:before="39"/>
              <w:ind w:left="1084" w:right="466"/>
              <w:rPr>
                <w:sz w:val="18"/>
              </w:rPr>
            </w:pPr>
            <w:r>
              <w:rPr>
                <w:w w:val="105"/>
                <w:sz w:val="18"/>
              </w:rPr>
              <w:t>9/5/2008</w:t>
            </w:r>
          </w:p>
        </w:tc>
      </w:tr>
      <w:tr>
        <w:trPr>
          <w:trHeight w:val="289" w:hRule="atLeast"/>
        </w:trPr>
        <w:tc>
          <w:tcPr>
            <w:tcW w:w="3326" w:type="dxa"/>
            <w:tcBorders>
              <w:top w:val="single" w:sz="6" w:space="0" w:color="69BD28"/>
              <w:bottom w:val="single" w:sz="6" w:space="0" w:color="69BD28"/>
            </w:tcBorders>
          </w:tcPr>
          <w:p>
            <w:pPr>
              <w:pStyle w:val="TableParagraph"/>
              <w:spacing w:before="39"/>
              <w:ind w:left="883"/>
              <w:jc w:val="left"/>
              <w:rPr>
                <w:sz w:val="18"/>
              </w:rPr>
            </w:pPr>
            <w:r>
              <w:rPr>
                <w:sz w:val="18"/>
              </w:rPr>
              <w:t>Building No. 2</w:t>
            </w:r>
          </w:p>
        </w:tc>
        <w:tc>
          <w:tcPr>
            <w:tcW w:w="3226" w:type="dxa"/>
            <w:tcBorders>
              <w:top w:val="single" w:sz="6" w:space="0" w:color="69BD28"/>
              <w:bottom w:val="single" w:sz="6" w:space="0" w:color="69BD28"/>
            </w:tcBorders>
          </w:tcPr>
          <w:p>
            <w:pPr>
              <w:pStyle w:val="TableParagraph"/>
              <w:spacing w:before="39"/>
              <w:ind w:left="1275" w:right="1070"/>
              <w:rPr>
                <w:sz w:val="18"/>
              </w:rPr>
            </w:pPr>
            <w:r>
              <w:rPr>
                <w:w w:val="115"/>
                <w:sz w:val="18"/>
              </w:rPr>
              <w:t>MIDC</w:t>
            </w:r>
          </w:p>
        </w:tc>
        <w:tc>
          <w:tcPr>
            <w:tcW w:w="3920" w:type="dxa"/>
            <w:tcBorders>
              <w:top w:val="single" w:sz="6" w:space="0" w:color="69BD28"/>
              <w:bottom w:val="single" w:sz="6" w:space="0" w:color="69BD28"/>
            </w:tcBorders>
          </w:tcPr>
          <w:p>
            <w:pPr>
              <w:pStyle w:val="TableParagraph"/>
              <w:spacing w:before="39"/>
              <w:ind w:left="1084" w:right="466"/>
              <w:rPr>
                <w:sz w:val="18"/>
              </w:rPr>
            </w:pPr>
            <w:r>
              <w:rPr>
                <w:w w:val="105"/>
                <w:sz w:val="18"/>
              </w:rPr>
              <w:t>13/3/2008</w:t>
            </w:r>
          </w:p>
        </w:tc>
      </w:tr>
      <w:tr>
        <w:trPr>
          <w:trHeight w:val="287" w:hRule="atLeast"/>
        </w:trPr>
        <w:tc>
          <w:tcPr>
            <w:tcW w:w="3326" w:type="dxa"/>
            <w:tcBorders>
              <w:top w:val="single" w:sz="6" w:space="0" w:color="69BD28"/>
              <w:bottom w:val="single" w:sz="6" w:space="0" w:color="69BD28"/>
            </w:tcBorders>
          </w:tcPr>
          <w:p>
            <w:pPr>
              <w:pStyle w:val="TableParagraph"/>
              <w:spacing w:before="39"/>
              <w:ind w:left="883"/>
              <w:jc w:val="left"/>
              <w:rPr>
                <w:sz w:val="18"/>
              </w:rPr>
            </w:pPr>
            <w:r>
              <w:rPr>
                <w:sz w:val="18"/>
              </w:rPr>
              <w:t>Building No. 3</w:t>
            </w:r>
          </w:p>
        </w:tc>
        <w:tc>
          <w:tcPr>
            <w:tcW w:w="3226" w:type="dxa"/>
            <w:tcBorders>
              <w:top w:val="single" w:sz="6" w:space="0" w:color="69BD28"/>
              <w:bottom w:val="single" w:sz="6" w:space="0" w:color="69BD28"/>
            </w:tcBorders>
          </w:tcPr>
          <w:p>
            <w:pPr>
              <w:pStyle w:val="TableParagraph"/>
              <w:spacing w:before="39"/>
              <w:ind w:left="1275" w:right="1070"/>
              <w:rPr>
                <w:sz w:val="18"/>
              </w:rPr>
            </w:pPr>
            <w:r>
              <w:rPr>
                <w:w w:val="115"/>
                <w:sz w:val="18"/>
              </w:rPr>
              <w:t>MIDC</w:t>
            </w:r>
          </w:p>
        </w:tc>
        <w:tc>
          <w:tcPr>
            <w:tcW w:w="3920" w:type="dxa"/>
            <w:tcBorders>
              <w:top w:val="single" w:sz="6" w:space="0" w:color="69BD28"/>
              <w:bottom w:val="single" w:sz="6" w:space="0" w:color="69BD28"/>
            </w:tcBorders>
          </w:tcPr>
          <w:p>
            <w:pPr>
              <w:pStyle w:val="TableParagraph"/>
              <w:spacing w:before="39"/>
              <w:ind w:left="1084" w:right="466"/>
              <w:rPr>
                <w:sz w:val="18"/>
              </w:rPr>
            </w:pPr>
            <w:r>
              <w:rPr>
                <w:w w:val="105"/>
                <w:sz w:val="18"/>
              </w:rPr>
              <w:t>30/9/2009</w:t>
            </w:r>
          </w:p>
        </w:tc>
      </w:tr>
      <w:tr>
        <w:trPr>
          <w:trHeight w:val="287" w:hRule="atLeast"/>
        </w:trPr>
        <w:tc>
          <w:tcPr>
            <w:tcW w:w="3326" w:type="dxa"/>
            <w:tcBorders>
              <w:top w:val="single" w:sz="6" w:space="0" w:color="69BD28"/>
              <w:bottom w:val="single" w:sz="6" w:space="0" w:color="69BD28"/>
            </w:tcBorders>
          </w:tcPr>
          <w:p>
            <w:pPr>
              <w:pStyle w:val="TableParagraph"/>
              <w:spacing w:before="39"/>
              <w:ind w:left="883"/>
              <w:jc w:val="left"/>
              <w:rPr>
                <w:sz w:val="18"/>
              </w:rPr>
            </w:pPr>
            <w:r>
              <w:rPr>
                <w:sz w:val="18"/>
              </w:rPr>
              <w:t>Building No. 4</w:t>
            </w:r>
          </w:p>
        </w:tc>
        <w:tc>
          <w:tcPr>
            <w:tcW w:w="3226" w:type="dxa"/>
            <w:tcBorders>
              <w:top w:val="single" w:sz="6" w:space="0" w:color="69BD28"/>
              <w:bottom w:val="single" w:sz="6" w:space="0" w:color="69BD28"/>
            </w:tcBorders>
          </w:tcPr>
          <w:p>
            <w:pPr>
              <w:pStyle w:val="TableParagraph"/>
              <w:spacing w:before="39"/>
              <w:ind w:left="1275" w:right="1070"/>
              <w:rPr>
                <w:sz w:val="18"/>
              </w:rPr>
            </w:pPr>
            <w:r>
              <w:rPr>
                <w:w w:val="115"/>
                <w:sz w:val="18"/>
              </w:rPr>
              <w:t>MIDC</w:t>
            </w:r>
          </w:p>
        </w:tc>
        <w:tc>
          <w:tcPr>
            <w:tcW w:w="3920" w:type="dxa"/>
            <w:tcBorders>
              <w:top w:val="single" w:sz="6" w:space="0" w:color="69BD28"/>
              <w:bottom w:val="single" w:sz="6" w:space="0" w:color="69BD28"/>
            </w:tcBorders>
          </w:tcPr>
          <w:p>
            <w:pPr>
              <w:pStyle w:val="TableParagraph"/>
              <w:spacing w:before="39"/>
              <w:ind w:left="1084" w:right="466"/>
              <w:rPr>
                <w:sz w:val="18"/>
              </w:rPr>
            </w:pPr>
            <w:r>
              <w:rPr>
                <w:w w:val="105"/>
                <w:sz w:val="18"/>
              </w:rPr>
              <w:t>29/11/2011</w:t>
            </w:r>
          </w:p>
        </w:tc>
      </w:tr>
    </w:tbl>
    <w:p>
      <w:pPr>
        <w:spacing w:before="32"/>
        <w:ind w:left="788" w:right="0" w:firstLine="0"/>
        <w:jc w:val="left"/>
        <w:rPr>
          <w:i/>
          <w:sz w:val="18"/>
        </w:rPr>
      </w:pPr>
      <w:r>
        <w:rPr>
          <w:i/>
          <w:sz w:val="18"/>
        </w:rPr>
        <w:t>Source: Occupancy Certificate/ Information provided by Client; MIDC </w:t>
      </w:r>
      <w:r>
        <w:rPr>
          <w:i/>
          <w:w w:val="130"/>
          <w:sz w:val="18"/>
        </w:rPr>
        <w:t>~ </w:t>
      </w:r>
      <w:r>
        <w:rPr>
          <w:i/>
          <w:sz w:val="18"/>
        </w:rPr>
        <w:t>Maharashtra Industrial Development Corporation</w:t>
      </w:r>
    </w:p>
    <w:p>
      <w:pPr>
        <w:pStyle w:val="BodyText"/>
        <w:spacing w:before="4"/>
        <w:rPr>
          <w:i/>
          <w:sz w:val="15"/>
        </w:rPr>
      </w:pPr>
    </w:p>
    <w:p>
      <w:pPr>
        <w:pStyle w:val="BodyText"/>
        <w:spacing w:before="107"/>
        <w:ind w:left="1246"/>
      </w:pPr>
      <w:r>
        <w:rPr>
          <w:u w:val="single"/>
        </w:rPr>
        <w:t>Embassy Qubix</w:t>
      </w:r>
    </w:p>
    <w:p>
      <w:pPr>
        <w:pStyle w:val="BodyText"/>
        <w:rPr>
          <w:sz w:val="19"/>
        </w:rPr>
      </w:pPr>
    </w:p>
    <w:p>
      <w:pPr>
        <w:pStyle w:val="BodyText"/>
        <w:spacing w:line="321" w:lineRule="auto" w:before="107"/>
        <w:ind w:left="1246" w:right="676"/>
        <w:jc w:val="both"/>
      </w:pPr>
      <w:r>
        <w:rPr/>
        <w:t>As</w:t>
      </w:r>
      <w:r>
        <w:rPr>
          <w:spacing w:val="-9"/>
        </w:rPr>
        <w:t> </w:t>
      </w:r>
      <w:r>
        <w:rPr/>
        <w:t>per</w:t>
      </w:r>
      <w:r>
        <w:rPr>
          <w:spacing w:val="-8"/>
        </w:rPr>
        <w:t> </w:t>
      </w:r>
      <w:r>
        <w:rPr/>
        <w:t>the</w:t>
      </w:r>
      <w:r>
        <w:rPr>
          <w:spacing w:val="-9"/>
        </w:rPr>
        <w:t> </w:t>
      </w:r>
      <w:r>
        <w:rPr/>
        <w:t>information</w:t>
      </w:r>
      <w:r>
        <w:rPr>
          <w:spacing w:val="-8"/>
        </w:rPr>
        <w:t> </w:t>
      </w:r>
      <w:r>
        <w:rPr/>
        <w:t>provided</w:t>
      </w:r>
      <w:r>
        <w:rPr>
          <w:spacing w:val="-8"/>
        </w:rPr>
        <w:t> </w:t>
      </w:r>
      <w:r>
        <w:rPr/>
        <w:t>by</w:t>
      </w:r>
      <w:r>
        <w:rPr>
          <w:spacing w:val="-7"/>
        </w:rPr>
        <w:t> </w:t>
      </w:r>
      <w:r>
        <w:rPr/>
        <w:t>the</w:t>
      </w:r>
      <w:r>
        <w:rPr>
          <w:spacing w:val="-8"/>
        </w:rPr>
        <w:t> </w:t>
      </w:r>
      <w:r>
        <w:rPr/>
        <w:t>Client,</w:t>
      </w:r>
      <w:r>
        <w:rPr>
          <w:spacing w:val="-8"/>
        </w:rPr>
        <w:t> </w:t>
      </w:r>
      <w:r>
        <w:rPr/>
        <w:t>all</w:t>
      </w:r>
      <w:r>
        <w:rPr>
          <w:spacing w:val="-9"/>
        </w:rPr>
        <w:t> </w:t>
      </w:r>
      <w:r>
        <w:rPr/>
        <w:t>requisite</w:t>
      </w:r>
      <w:r>
        <w:rPr>
          <w:spacing w:val="-8"/>
        </w:rPr>
        <w:t> </w:t>
      </w:r>
      <w:r>
        <w:rPr/>
        <w:t>approvals</w:t>
      </w:r>
      <w:r>
        <w:rPr>
          <w:spacing w:val="-8"/>
        </w:rPr>
        <w:t> </w:t>
      </w:r>
      <w:r>
        <w:rPr/>
        <w:t>for</w:t>
      </w:r>
      <w:r>
        <w:rPr>
          <w:spacing w:val="-8"/>
        </w:rPr>
        <w:t> </w:t>
      </w:r>
      <w:r>
        <w:rPr/>
        <w:t>the</w:t>
      </w:r>
      <w:r>
        <w:rPr>
          <w:spacing w:val="-2"/>
        </w:rPr>
        <w:t> </w:t>
      </w:r>
      <w:r>
        <w:rPr/>
        <w:t>operational</w:t>
      </w:r>
      <w:r>
        <w:rPr>
          <w:spacing w:val="-9"/>
        </w:rPr>
        <w:t> </w:t>
      </w:r>
      <w:r>
        <w:rPr/>
        <w:t>blocks</w:t>
      </w:r>
      <w:r>
        <w:rPr>
          <w:spacing w:val="-7"/>
        </w:rPr>
        <w:t> </w:t>
      </w:r>
      <w:r>
        <w:rPr/>
        <w:t>have been</w:t>
      </w:r>
      <w:r>
        <w:rPr>
          <w:spacing w:val="-4"/>
        </w:rPr>
        <w:t> </w:t>
      </w:r>
      <w:r>
        <w:rPr/>
        <w:t>received.</w:t>
      </w:r>
    </w:p>
    <w:p>
      <w:pPr>
        <w:pStyle w:val="BodyText"/>
        <w:spacing w:before="9"/>
        <w:rPr>
          <w:sz w:val="20"/>
        </w:rPr>
      </w:pPr>
    </w:p>
    <w:p>
      <w:pPr>
        <w:pStyle w:val="BodyText"/>
        <w:spacing w:line="321" w:lineRule="auto"/>
        <w:ind w:left="1246" w:right="676"/>
        <w:jc w:val="both"/>
      </w:pPr>
      <w:r>
        <w:rPr/>
        <w:t>We</w:t>
      </w:r>
      <w:r>
        <w:rPr>
          <w:spacing w:val="-26"/>
        </w:rPr>
        <w:t> </w:t>
      </w:r>
      <w:r>
        <w:rPr/>
        <w:t>understand</w:t>
      </w:r>
      <w:r>
        <w:rPr>
          <w:spacing w:val="-25"/>
        </w:rPr>
        <w:t> </w:t>
      </w:r>
      <w:r>
        <w:rPr/>
        <w:t>that</w:t>
      </w:r>
      <w:r>
        <w:rPr>
          <w:spacing w:val="-27"/>
        </w:rPr>
        <w:t> </w:t>
      </w:r>
      <w:r>
        <w:rPr/>
        <w:t>the</w:t>
      </w:r>
      <w:r>
        <w:rPr>
          <w:spacing w:val="-27"/>
        </w:rPr>
        <w:t> </w:t>
      </w:r>
      <w:r>
        <w:rPr/>
        <w:t>Subject</w:t>
      </w:r>
      <w:r>
        <w:rPr>
          <w:spacing w:val="-25"/>
        </w:rPr>
        <w:t> </w:t>
      </w:r>
      <w:r>
        <w:rPr/>
        <w:t>development</w:t>
      </w:r>
      <w:r>
        <w:rPr>
          <w:spacing w:val="-26"/>
        </w:rPr>
        <w:t> </w:t>
      </w:r>
      <w:r>
        <w:rPr/>
        <w:t>has</w:t>
      </w:r>
      <w:r>
        <w:rPr>
          <w:spacing w:val="-26"/>
        </w:rPr>
        <w:t> </w:t>
      </w:r>
      <w:r>
        <w:rPr/>
        <w:t>received</w:t>
      </w:r>
      <w:r>
        <w:rPr>
          <w:spacing w:val="-25"/>
        </w:rPr>
        <w:t> </w:t>
      </w:r>
      <w:r>
        <w:rPr/>
        <w:t>Occupancy</w:t>
      </w:r>
      <w:r>
        <w:rPr>
          <w:spacing w:val="-24"/>
        </w:rPr>
        <w:t> </w:t>
      </w:r>
      <w:r>
        <w:rPr/>
        <w:t>Certificates</w:t>
      </w:r>
      <w:r>
        <w:rPr>
          <w:spacing w:val="-25"/>
        </w:rPr>
        <w:t> </w:t>
      </w:r>
      <w:r>
        <w:rPr/>
        <w:t>in</w:t>
      </w:r>
      <w:r>
        <w:rPr>
          <w:spacing w:val="-28"/>
        </w:rPr>
        <w:t> </w:t>
      </w:r>
      <w:r>
        <w:rPr/>
        <w:t>parts.</w:t>
      </w:r>
      <w:r>
        <w:rPr>
          <w:spacing w:val="-27"/>
        </w:rPr>
        <w:t> </w:t>
      </w:r>
      <w:r>
        <w:rPr/>
        <w:t>The</w:t>
      </w:r>
      <w:r>
        <w:rPr>
          <w:spacing w:val="-27"/>
        </w:rPr>
        <w:t> </w:t>
      </w:r>
      <w:r>
        <w:rPr/>
        <w:t>details of</w:t>
      </w:r>
      <w:r>
        <w:rPr>
          <w:spacing w:val="-22"/>
        </w:rPr>
        <w:t> </w:t>
      </w:r>
      <w:r>
        <w:rPr/>
        <w:t>the</w:t>
      </w:r>
      <w:r>
        <w:rPr>
          <w:spacing w:val="-23"/>
        </w:rPr>
        <w:t> </w:t>
      </w:r>
      <w:r>
        <w:rPr/>
        <w:t>Occupancy</w:t>
      </w:r>
      <w:r>
        <w:rPr>
          <w:spacing w:val="-23"/>
        </w:rPr>
        <w:t> </w:t>
      </w:r>
      <w:r>
        <w:rPr/>
        <w:t>Certificates</w:t>
      </w:r>
      <w:r>
        <w:rPr>
          <w:spacing w:val="-22"/>
        </w:rPr>
        <w:t> </w:t>
      </w:r>
      <w:r>
        <w:rPr/>
        <w:t>for</w:t>
      </w:r>
      <w:r>
        <w:rPr>
          <w:spacing w:val="-24"/>
        </w:rPr>
        <w:t> </w:t>
      </w:r>
      <w:r>
        <w:rPr/>
        <w:t>the</w:t>
      </w:r>
      <w:r>
        <w:rPr>
          <w:spacing w:val="-22"/>
        </w:rPr>
        <w:t> </w:t>
      </w:r>
      <w:r>
        <w:rPr/>
        <w:t>respective</w:t>
      </w:r>
      <w:r>
        <w:rPr>
          <w:spacing w:val="-23"/>
        </w:rPr>
        <w:t> </w:t>
      </w:r>
      <w:r>
        <w:rPr/>
        <w:t>blocks</w:t>
      </w:r>
      <w:r>
        <w:rPr>
          <w:spacing w:val="-21"/>
        </w:rPr>
        <w:t> </w:t>
      </w:r>
      <w:r>
        <w:rPr/>
        <w:t>shared</w:t>
      </w:r>
      <w:r>
        <w:rPr>
          <w:spacing w:val="-23"/>
        </w:rPr>
        <w:t> </w:t>
      </w:r>
      <w:r>
        <w:rPr/>
        <w:t>by</w:t>
      </w:r>
      <w:r>
        <w:rPr>
          <w:spacing w:val="-22"/>
        </w:rPr>
        <w:t> </w:t>
      </w:r>
      <w:r>
        <w:rPr/>
        <w:t>the</w:t>
      </w:r>
      <w:r>
        <w:rPr>
          <w:spacing w:val="-24"/>
        </w:rPr>
        <w:t> </w:t>
      </w:r>
      <w:r>
        <w:rPr/>
        <w:t>Client</w:t>
      </w:r>
      <w:r>
        <w:rPr>
          <w:spacing w:val="-20"/>
        </w:rPr>
        <w:t> </w:t>
      </w:r>
      <w:r>
        <w:rPr/>
        <w:t>are</w:t>
      </w:r>
      <w:r>
        <w:rPr>
          <w:spacing w:val="-22"/>
        </w:rPr>
        <w:t> </w:t>
      </w:r>
      <w:r>
        <w:rPr/>
        <w:t>mentioned</w:t>
      </w:r>
      <w:r>
        <w:rPr>
          <w:spacing w:val="-22"/>
        </w:rPr>
        <w:t> </w:t>
      </w:r>
      <w:r>
        <w:rPr/>
        <w:t>in</w:t>
      </w:r>
      <w:r>
        <w:rPr>
          <w:spacing w:val="-23"/>
        </w:rPr>
        <w:t> </w:t>
      </w:r>
      <w:r>
        <w:rPr/>
        <w:t>the</w:t>
      </w:r>
      <w:r>
        <w:rPr>
          <w:spacing w:val="-24"/>
        </w:rPr>
        <w:t> </w:t>
      </w:r>
      <w:r>
        <w:rPr/>
        <w:t>table below.</w:t>
      </w:r>
      <w:r>
        <w:rPr>
          <w:spacing w:val="-9"/>
        </w:rPr>
        <w:t> </w:t>
      </w:r>
      <w:r>
        <w:rPr/>
        <w:t>The</w:t>
      </w:r>
      <w:r>
        <w:rPr>
          <w:spacing w:val="-12"/>
        </w:rPr>
        <w:t> </w:t>
      </w:r>
      <w:r>
        <w:rPr/>
        <w:t>same</w:t>
      </w:r>
      <w:r>
        <w:rPr>
          <w:spacing w:val="-8"/>
        </w:rPr>
        <w:t> </w:t>
      </w:r>
      <w:r>
        <w:rPr/>
        <w:t>has</w:t>
      </w:r>
      <w:r>
        <w:rPr>
          <w:spacing w:val="-7"/>
        </w:rPr>
        <w:t> </w:t>
      </w:r>
      <w:r>
        <w:rPr/>
        <w:t>been</w:t>
      </w:r>
      <w:r>
        <w:rPr>
          <w:spacing w:val="-9"/>
        </w:rPr>
        <w:t> </w:t>
      </w:r>
      <w:r>
        <w:rPr/>
        <w:t>considered</w:t>
      </w:r>
      <w:r>
        <w:rPr>
          <w:spacing w:val="-8"/>
        </w:rPr>
        <w:t> </w:t>
      </w:r>
      <w:r>
        <w:rPr/>
        <w:t>for</w:t>
      </w:r>
      <w:r>
        <w:rPr>
          <w:spacing w:val="-9"/>
        </w:rPr>
        <w:t> </w:t>
      </w:r>
      <w:r>
        <w:rPr/>
        <w:t>the</w:t>
      </w:r>
      <w:r>
        <w:rPr>
          <w:spacing w:val="-9"/>
        </w:rPr>
        <w:t> </w:t>
      </w:r>
      <w:r>
        <w:rPr/>
        <w:t>purpose</w:t>
      </w:r>
      <w:r>
        <w:rPr>
          <w:spacing w:val="-8"/>
        </w:rPr>
        <w:t> </w:t>
      </w:r>
      <w:r>
        <w:rPr/>
        <w:t>of</w:t>
      </w:r>
      <w:r>
        <w:rPr>
          <w:spacing w:val="-7"/>
        </w:rPr>
        <w:t> </w:t>
      </w:r>
      <w:r>
        <w:rPr/>
        <w:t>the</w:t>
      </w:r>
      <w:r>
        <w:rPr>
          <w:spacing w:val="-10"/>
        </w:rPr>
        <w:t> </w:t>
      </w:r>
      <w:r>
        <w:rPr/>
        <w:t>valuation</w:t>
      </w:r>
      <w:r>
        <w:rPr>
          <w:spacing w:val="-9"/>
        </w:rPr>
        <w:t> </w:t>
      </w:r>
      <w:r>
        <w:rPr/>
        <w:t>exercise:</w:t>
      </w:r>
    </w:p>
    <w:p>
      <w:pPr>
        <w:pStyle w:val="BodyText"/>
        <w:spacing w:before="6"/>
        <w:rPr>
          <w:sz w:val="21"/>
        </w:rPr>
      </w:pPr>
    </w:p>
    <w:tbl>
      <w:tblPr>
        <w:tblW w:w="0" w:type="auto"/>
        <w:jc w:val="left"/>
        <w:tblInd w:w="6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91"/>
        <w:gridCol w:w="3825"/>
        <w:gridCol w:w="2961"/>
      </w:tblGrid>
      <w:tr>
        <w:trPr>
          <w:trHeight w:val="433" w:hRule="atLeast"/>
        </w:trPr>
        <w:tc>
          <w:tcPr>
            <w:tcW w:w="3691" w:type="dxa"/>
            <w:tcBorders>
              <w:top w:val="single" w:sz="12" w:space="0" w:color="1F6B16"/>
              <w:bottom w:val="single" w:sz="6" w:space="0" w:color="69BD28"/>
            </w:tcBorders>
            <w:shd w:val="clear" w:color="auto" w:fill="006A4D"/>
          </w:tcPr>
          <w:p>
            <w:pPr>
              <w:pStyle w:val="TableParagraph"/>
              <w:spacing w:before="113"/>
              <w:ind w:left="925" w:right="1361"/>
              <w:rPr>
                <w:b/>
                <w:sz w:val="18"/>
              </w:rPr>
            </w:pPr>
            <w:r>
              <w:rPr>
                <w:b/>
                <w:color w:val="FFFFFF"/>
                <w:w w:val="115"/>
                <w:sz w:val="18"/>
              </w:rPr>
              <w:t>Block Name</w:t>
            </w:r>
          </w:p>
        </w:tc>
        <w:tc>
          <w:tcPr>
            <w:tcW w:w="3825" w:type="dxa"/>
            <w:tcBorders>
              <w:top w:val="single" w:sz="12" w:space="0" w:color="1F6B16"/>
              <w:bottom w:val="single" w:sz="6" w:space="0" w:color="69BD28"/>
            </w:tcBorders>
            <w:shd w:val="clear" w:color="auto" w:fill="006A4D"/>
          </w:tcPr>
          <w:p>
            <w:pPr>
              <w:pStyle w:val="TableParagraph"/>
              <w:spacing w:before="113"/>
              <w:ind w:left="1656" w:right="1289"/>
              <w:rPr>
                <w:b/>
                <w:sz w:val="18"/>
              </w:rPr>
            </w:pPr>
            <w:r>
              <w:rPr>
                <w:b/>
                <w:color w:val="FFFFFF"/>
                <w:w w:val="105"/>
                <w:sz w:val="18"/>
              </w:rPr>
              <w:t>Authority</w:t>
            </w:r>
          </w:p>
        </w:tc>
        <w:tc>
          <w:tcPr>
            <w:tcW w:w="2961" w:type="dxa"/>
            <w:tcBorders>
              <w:top w:val="single" w:sz="12" w:space="0" w:color="1F6B16"/>
              <w:bottom w:val="single" w:sz="6" w:space="0" w:color="69BD28"/>
            </w:tcBorders>
            <w:shd w:val="clear" w:color="auto" w:fill="006A4D"/>
          </w:tcPr>
          <w:p>
            <w:pPr>
              <w:pStyle w:val="TableParagraph"/>
              <w:spacing w:line="216" w:lineRule="exact" w:before="2"/>
              <w:ind w:left="1539" w:right="243" w:hanging="483"/>
              <w:jc w:val="left"/>
              <w:rPr>
                <w:b/>
                <w:sz w:val="18"/>
              </w:rPr>
            </w:pPr>
            <w:r>
              <w:rPr>
                <w:b/>
                <w:color w:val="FFFFFF"/>
                <w:w w:val="110"/>
                <w:sz w:val="18"/>
              </w:rPr>
              <w:t>Date of Issue (DD- MM-YY)</w:t>
            </w:r>
          </w:p>
        </w:tc>
      </w:tr>
      <w:tr>
        <w:trPr>
          <w:trHeight w:val="255" w:hRule="atLeast"/>
        </w:trPr>
        <w:tc>
          <w:tcPr>
            <w:tcW w:w="3691" w:type="dxa"/>
            <w:tcBorders>
              <w:top w:val="single" w:sz="6" w:space="0" w:color="69BD28"/>
              <w:bottom w:val="single" w:sz="6" w:space="0" w:color="69BD28"/>
            </w:tcBorders>
          </w:tcPr>
          <w:p>
            <w:pPr>
              <w:pStyle w:val="TableParagraph"/>
              <w:spacing w:before="22"/>
              <w:ind w:left="925" w:right="1365"/>
              <w:rPr>
                <w:sz w:val="18"/>
              </w:rPr>
            </w:pPr>
            <w:r>
              <w:rPr>
                <w:w w:val="105"/>
                <w:sz w:val="18"/>
              </w:rPr>
              <w:t>IT 01</w:t>
            </w:r>
          </w:p>
        </w:tc>
        <w:tc>
          <w:tcPr>
            <w:tcW w:w="3825" w:type="dxa"/>
            <w:tcBorders>
              <w:top w:val="single" w:sz="6" w:space="0" w:color="69BD28"/>
              <w:bottom w:val="single" w:sz="6" w:space="0" w:color="69BD28"/>
            </w:tcBorders>
          </w:tcPr>
          <w:p>
            <w:pPr>
              <w:pStyle w:val="TableParagraph"/>
              <w:spacing w:before="22"/>
              <w:ind w:left="1653" w:right="1289"/>
              <w:rPr>
                <w:sz w:val="18"/>
              </w:rPr>
            </w:pPr>
            <w:r>
              <w:rPr>
                <w:w w:val="115"/>
                <w:sz w:val="18"/>
              </w:rPr>
              <w:t>MIDC</w:t>
            </w:r>
          </w:p>
        </w:tc>
        <w:tc>
          <w:tcPr>
            <w:tcW w:w="2961" w:type="dxa"/>
            <w:tcBorders>
              <w:top w:val="single" w:sz="6" w:space="0" w:color="69BD28"/>
              <w:bottom w:val="single" w:sz="6" w:space="0" w:color="69BD28"/>
            </w:tcBorders>
          </w:tcPr>
          <w:p>
            <w:pPr>
              <w:pStyle w:val="TableParagraph"/>
              <w:spacing w:before="22"/>
              <w:ind w:right="687"/>
              <w:jc w:val="right"/>
              <w:rPr>
                <w:sz w:val="18"/>
              </w:rPr>
            </w:pPr>
            <w:r>
              <w:rPr>
                <w:w w:val="105"/>
                <w:sz w:val="18"/>
              </w:rPr>
              <w:t>29-11-11</w:t>
            </w:r>
          </w:p>
        </w:tc>
      </w:tr>
      <w:tr>
        <w:trPr>
          <w:trHeight w:val="256" w:hRule="atLeast"/>
        </w:trPr>
        <w:tc>
          <w:tcPr>
            <w:tcW w:w="3691" w:type="dxa"/>
            <w:tcBorders>
              <w:top w:val="single" w:sz="6" w:space="0" w:color="69BD28"/>
              <w:bottom w:val="single" w:sz="6" w:space="0" w:color="69BD28"/>
            </w:tcBorders>
          </w:tcPr>
          <w:p>
            <w:pPr>
              <w:pStyle w:val="TableParagraph"/>
              <w:spacing w:before="22"/>
              <w:ind w:left="925" w:right="1365"/>
              <w:rPr>
                <w:sz w:val="18"/>
              </w:rPr>
            </w:pPr>
            <w:r>
              <w:rPr>
                <w:w w:val="105"/>
                <w:sz w:val="18"/>
              </w:rPr>
              <w:t>IT 02</w:t>
            </w:r>
          </w:p>
        </w:tc>
        <w:tc>
          <w:tcPr>
            <w:tcW w:w="3825" w:type="dxa"/>
            <w:tcBorders>
              <w:top w:val="single" w:sz="6" w:space="0" w:color="69BD28"/>
              <w:bottom w:val="single" w:sz="6" w:space="0" w:color="69BD28"/>
            </w:tcBorders>
          </w:tcPr>
          <w:p>
            <w:pPr>
              <w:pStyle w:val="TableParagraph"/>
              <w:spacing w:before="22"/>
              <w:ind w:left="1653" w:right="1289"/>
              <w:rPr>
                <w:sz w:val="18"/>
              </w:rPr>
            </w:pPr>
            <w:r>
              <w:rPr>
                <w:w w:val="115"/>
                <w:sz w:val="18"/>
              </w:rPr>
              <w:t>MIDC</w:t>
            </w:r>
          </w:p>
        </w:tc>
        <w:tc>
          <w:tcPr>
            <w:tcW w:w="2961" w:type="dxa"/>
            <w:tcBorders>
              <w:top w:val="single" w:sz="6" w:space="0" w:color="69BD28"/>
              <w:bottom w:val="single" w:sz="6" w:space="0" w:color="69BD28"/>
            </w:tcBorders>
          </w:tcPr>
          <w:p>
            <w:pPr>
              <w:pStyle w:val="TableParagraph"/>
              <w:spacing w:before="22"/>
              <w:ind w:right="687"/>
              <w:jc w:val="right"/>
              <w:rPr>
                <w:sz w:val="18"/>
              </w:rPr>
            </w:pPr>
            <w:r>
              <w:rPr>
                <w:w w:val="105"/>
                <w:sz w:val="18"/>
              </w:rPr>
              <w:t>29-11-11</w:t>
            </w:r>
          </w:p>
        </w:tc>
      </w:tr>
      <w:tr>
        <w:trPr>
          <w:trHeight w:val="256" w:hRule="atLeast"/>
        </w:trPr>
        <w:tc>
          <w:tcPr>
            <w:tcW w:w="3691" w:type="dxa"/>
            <w:tcBorders>
              <w:top w:val="single" w:sz="6" w:space="0" w:color="69BD28"/>
              <w:bottom w:val="single" w:sz="6" w:space="0" w:color="69BD28"/>
            </w:tcBorders>
          </w:tcPr>
          <w:p>
            <w:pPr>
              <w:pStyle w:val="TableParagraph"/>
              <w:spacing w:before="22"/>
              <w:ind w:left="925" w:right="1365"/>
              <w:rPr>
                <w:sz w:val="18"/>
              </w:rPr>
            </w:pPr>
            <w:r>
              <w:rPr>
                <w:w w:val="105"/>
                <w:sz w:val="18"/>
              </w:rPr>
              <w:t>IT 03</w:t>
            </w:r>
          </w:p>
        </w:tc>
        <w:tc>
          <w:tcPr>
            <w:tcW w:w="3825" w:type="dxa"/>
            <w:tcBorders>
              <w:top w:val="single" w:sz="6" w:space="0" w:color="69BD28"/>
              <w:bottom w:val="single" w:sz="6" w:space="0" w:color="69BD28"/>
            </w:tcBorders>
          </w:tcPr>
          <w:p>
            <w:pPr>
              <w:pStyle w:val="TableParagraph"/>
              <w:spacing w:before="22"/>
              <w:ind w:left="1653" w:right="1289"/>
              <w:rPr>
                <w:sz w:val="18"/>
              </w:rPr>
            </w:pPr>
            <w:r>
              <w:rPr>
                <w:w w:val="115"/>
                <w:sz w:val="18"/>
              </w:rPr>
              <w:t>MIDC</w:t>
            </w:r>
          </w:p>
        </w:tc>
        <w:tc>
          <w:tcPr>
            <w:tcW w:w="2961" w:type="dxa"/>
            <w:tcBorders>
              <w:top w:val="single" w:sz="6" w:space="0" w:color="69BD28"/>
              <w:bottom w:val="single" w:sz="6" w:space="0" w:color="69BD28"/>
            </w:tcBorders>
          </w:tcPr>
          <w:p>
            <w:pPr>
              <w:pStyle w:val="TableParagraph"/>
              <w:spacing w:before="22"/>
              <w:ind w:right="687"/>
              <w:jc w:val="right"/>
              <w:rPr>
                <w:sz w:val="18"/>
              </w:rPr>
            </w:pPr>
            <w:r>
              <w:rPr>
                <w:w w:val="105"/>
                <w:sz w:val="18"/>
              </w:rPr>
              <w:t>29-11-11</w:t>
            </w:r>
          </w:p>
        </w:tc>
      </w:tr>
      <w:tr>
        <w:trPr>
          <w:trHeight w:val="253" w:hRule="atLeast"/>
        </w:trPr>
        <w:tc>
          <w:tcPr>
            <w:tcW w:w="3691" w:type="dxa"/>
            <w:tcBorders>
              <w:top w:val="single" w:sz="6" w:space="0" w:color="69BD28"/>
              <w:bottom w:val="single" w:sz="6" w:space="0" w:color="69BD28"/>
            </w:tcBorders>
          </w:tcPr>
          <w:p>
            <w:pPr>
              <w:pStyle w:val="TableParagraph"/>
              <w:spacing w:before="22"/>
              <w:ind w:left="925" w:right="1365"/>
              <w:rPr>
                <w:sz w:val="18"/>
              </w:rPr>
            </w:pPr>
            <w:r>
              <w:rPr>
                <w:w w:val="105"/>
                <w:sz w:val="18"/>
              </w:rPr>
              <w:t>IT 04</w:t>
            </w:r>
          </w:p>
        </w:tc>
        <w:tc>
          <w:tcPr>
            <w:tcW w:w="3825" w:type="dxa"/>
            <w:tcBorders>
              <w:top w:val="single" w:sz="6" w:space="0" w:color="69BD28"/>
              <w:bottom w:val="single" w:sz="6" w:space="0" w:color="69BD28"/>
            </w:tcBorders>
          </w:tcPr>
          <w:p>
            <w:pPr>
              <w:pStyle w:val="TableParagraph"/>
              <w:spacing w:before="22"/>
              <w:ind w:left="1653" w:right="1289"/>
              <w:rPr>
                <w:sz w:val="18"/>
              </w:rPr>
            </w:pPr>
            <w:r>
              <w:rPr>
                <w:w w:val="115"/>
                <w:sz w:val="18"/>
              </w:rPr>
              <w:t>MIDC</w:t>
            </w:r>
          </w:p>
        </w:tc>
        <w:tc>
          <w:tcPr>
            <w:tcW w:w="2961" w:type="dxa"/>
            <w:tcBorders>
              <w:top w:val="single" w:sz="6" w:space="0" w:color="69BD28"/>
              <w:bottom w:val="single" w:sz="6" w:space="0" w:color="69BD28"/>
            </w:tcBorders>
          </w:tcPr>
          <w:p>
            <w:pPr>
              <w:pStyle w:val="TableParagraph"/>
              <w:spacing w:before="22"/>
              <w:ind w:right="687"/>
              <w:jc w:val="right"/>
              <w:rPr>
                <w:sz w:val="18"/>
              </w:rPr>
            </w:pPr>
            <w:r>
              <w:rPr>
                <w:w w:val="105"/>
                <w:sz w:val="18"/>
              </w:rPr>
              <w:t>04-01-13</w:t>
            </w:r>
          </w:p>
        </w:tc>
      </w:tr>
      <w:tr>
        <w:trPr>
          <w:trHeight w:val="256" w:hRule="atLeast"/>
        </w:trPr>
        <w:tc>
          <w:tcPr>
            <w:tcW w:w="3691" w:type="dxa"/>
            <w:tcBorders>
              <w:top w:val="single" w:sz="6" w:space="0" w:color="69BD28"/>
              <w:bottom w:val="single" w:sz="6" w:space="0" w:color="69BD28"/>
            </w:tcBorders>
          </w:tcPr>
          <w:p>
            <w:pPr>
              <w:pStyle w:val="TableParagraph"/>
              <w:spacing w:before="25"/>
              <w:ind w:left="925" w:right="1365"/>
              <w:rPr>
                <w:sz w:val="18"/>
              </w:rPr>
            </w:pPr>
            <w:r>
              <w:rPr>
                <w:w w:val="105"/>
                <w:sz w:val="18"/>
              </w:rPr>
              <w:t>IT 05</w:t>
            </w:r>
          </w:p>
        </w:tc>
        <w:tc>
          <w:tcPr>
            <w:tcW w:w="3825" w:type="dxa"/>
            <w:tcBorders>
              <w:top w:val="single" w:sz="6" w:space="0" w:color="69BD28"/>
              <w:bottom w:val="single" w:sz="6" w:space="0" w:color="69BD28"/>
            </w:tcBorders>
          </w:tcPr>
          <w:p>
            <w:pPr>
              <w:pStyle w:val="TableParagraph"/>
              <w:spacing w:before="25"/>
              <w:ind w:left="1653" w:right="1289"/>
              <w:rPr>
                <w:sz w:val="18"/>
              </w:rPr>
            </w:pPr>
            <w:r>
              <w:rPr>
                <w:w w:val="115"/>
                <w:sz w:val="18"/>
              </w:rPr>
              <w:t>MIDC</w:t>
            </w:r>
          </w:p>
        </w:tc>
        <w:tc>
          <w:tcPr>
            <w:tcW w:w="2961" w:type="dxa"/>
            <w:tcBorders>
              <w:top w:val="single" w:sz="6" w:space="0" w:color="69BD28"/>
              <w:bottom w:val="single" w:sz="6" w:space="0" w:color="69BD28"/>
            </w:tcBorders>
          </w:tcPr>
          <w:p>
            <w:pPr>
              <w:pStyle w:val="TableParagraph"/>
              <w:spacing w:before="25"/>
              <w:ind w:right="687"/>
              <w:jc w:val="right"/>
              <w:rPr>
                <w:sz w:val="18"/>
              </w:rPr>
            </w:pPr>
            <w:r>
              <w:rPr>
                <w:w w:val="105"/>
                <w:sz w:val="18"/>
              </w:rPr>
              <w:t>12-02-14</w:t>
            </w:r>
          </w:p>
        </w:tc>
      </w:tr>
      <w:tr>
        <w:trPr>
          <w:trHeight w:val="258" w:hRule="atLeast"/>
        </w:trPr>
        <w:tc>
          <w:tcPr>
            <w:tcW w:w="3691" w:type="dxa"/>
            <w:tcBorders>
              <w:top w:val="single" w:sz="6" w:space="0" w:color="69BD28"/>
              <w:bottom w:val="single" w:sz="6" w:space="0" w:color="69BD28"/>
            </w:tcBorders>
          </w:tcPr>
          <w:p>
            <w:pPr>
              <w:pStyle w:val="TableParagraph"/>
              <w:spacing w:before="25"/>
              <w:ind w:left="925" w:right="1365"/>
              <w:rPr>
                <w:sz w:val="18"/>
              </w:rPr>
            </w:pPr>
            <w:r>
              <w:rPr>
                <w:w w:val="105"/>
                <w:sz w:val="18"/>
              </w:rPr>
              <w:t>IT 06</w:t>
            </w:r>
          </w:p>
        </w:tc>
        <w:tc>
          <w:tcPr>
            <w:tcW w:w="3825" w:type="dxa"/>
            <w:tcBorders>
              <w:top w:val="single" w:sz="6" w:space="0" w:color="69BD28"/>
              <w:bottom w:val="single" w:sz="6" w:space="0" w:color="69BD28"/>
            </w:tcBorders>
          </w:tcPr>
          <w:p>
            <w:pPr>
              <w:pStyle w:val="TableParagraph"/>
              <w:spacing w:before="25"/>
              <w:ind w:left="1653" w:right="1289"/>
              <w:rPr>
                <w:sz w:val="18"/>
              </w:rPr>
            </w:pPr>
            <w:r>
              <w:rPr>
                <w:w w:val="115"/>
                <w:sz w:val="18"/>
              </w:rPr>
              <w:t>MIDC</w:t>
            </w:r>
          </w:p>
        </w:tc>
        <w:tc>
          <w:tcPr>
            <w:tcW w:w="2961" w:type="dxa"/>
            <w:tcBorders>
              <w:top w:val="single" w:sz="6" w:space="0" w:color="69BD28"/>
              <w:bottom w:val="single" w:sz="6" w:space="0" w:color="69BD28"/>
            </w:tcBorders>
          </w:tcPr>
          <w:p>
            <w:pPr>
              <w:pStyle w:val="TableParagraph"/>
              <w:spacing w:before="25"/>
              <w:ind w:right="687"/>
              <w:jc w:val="right"/>
              <w:rPr>
                <w:sz w:val="18"/>
              </w:rPr>
            </w:pPr>
            <w:r>
              <w:rPr>
                <w:w w:val="105"/>
                <w:sz w:val="18"/>
              </w:rPr>
              <w:t>29-11-11</w:t>
            </w:r>
          </w:p>
        </w:tc>
      </w:tr>
    </w:tbl>
    <w:p>
      <w:pPr>
        <w:spacing w:before="0"/>
        <w:ind w:left="680" w:right="0" w:firstLine="0"/>
        <w:jc w:val="left"/>
        <w:rPr>
          <w:i/>
          <w:sz w:val="18"/>
        </w:rPr>
      </w:pPr>
      <w:r>
        <w:rPr>
          <w:i/>
          <w:sz w:val="18"/>
        </w:rPr>
        <w:t>Source: Occupancy certificate/ Information provided by Client</w:t>
      </w:r>
    </w:p>
    <w:p>
      <w:pPr>
        <w:pStyle w:val="BodyText"/>
        <w:spacing w:before="8"/>
        <w:rPr>
          <w:i/>
          <w:sz w:val="26"/>
        </w:rPr>
      </w:pPr>
    </w:p>
    <w:p>
      <w:pPr>
        <w:pStyle w:val="BodyText"/>
        <w:ind w:left="1246"/>
        <w:jc w:val="both"/>
      </w:pPr>
      <w:r>
        <w:rPr>
          <w:u w:val="single"/>
        </w:rPr>
        <w:t>Embassy Oxygen</w:t>
      </w:r>
    </w:p>
    <w:p>
      <w:pPr>
        <w:pStyle w:val="BodyText"/>
        <w:spacing w:before="1"/>
        <w:rPr>
          <w:sz w:val="19"/>
        </w:rPr>
      </w:pPr>
    </w:p>
    <w:p>
      <w:pPr>
        <w:pStyle w:val="BodyText"/>
        <w:spacing w:line="321" w:lineRule="auto" w:before="106"/>
        <w:ind w:left="1246" w:right="675"/>
        <w:jc w:val="both"/>
      </w:pPr>
      <w:r>
        <w:rPr/>
        <w:t>As</w:t>
      </w:r>
      <w:r>
        <w:rPr>
          <w:spacing w:val="-30"/>
        </w:rPr>
        <w:t> </w:t>
      </w:r>
      <w:r>
        <w:rPr/>
        <w:t>per</w:t>
      </w:r>
      <w:r>
        <w:rPr>
          <w:spacing w:val="-29"/>
        </w:rPr>
        <w:t> </w:t>
      </w:r>
      <w:r>
        <w:rPr/>
        <w:t>the</w:t>
      </w:r>
      <w:r>
        <w:rPr>
          <w:spacing w:val="-29"/>
        </w:rPr>
        <w:t> </w:t>
      </w:r>
      <w:r>
        <w:rPr/>
        <w:t>review</w:t>
      </w:r>
      <w:r>
        <w:rPr>
          <w:spacing w:val="-29"/>
        </w:rPr>
        <w:t> </w:t>
      </w:r>
      <w:r>
        <w:rPr/>
        <w:t>of</w:t>
      </w:r>
      <w:r>
        <w:rPr>
          <w:spacing w:val="-28"/>
        </w:rPr>
        <w:t> </w:t>
      </w:r>
      <w:r>
        <w:rPr/>
        <w:t>documents</w:t>
      </w:r>
      <w:r>
        <w:rPr>
          <w:spacing w:val="-27"/>
        </w:rPr>
        <w:t> </w:t>
      </w:r>
      <w:r>
        <w:rPr/>
        <w:t>provided</w:t>
      </w:r>
      <w:r>
        <w:rPr>
          <w:spacing w:val="-28"/>
        </w:rPr>
        <w:t> </w:t>
      </w:r>
      <w:r>
        <w:rPr/>
        <w:t>by</w:t>
      </w:r>
      <w:r>
        <w:rPr>
          <w:spacing w:val="-28"/>
        </w:rPr>
        <w:t> </w:t>
      </w:r>
      <w:r>
        <w:rPr/>
        <w:t>the</w:t>
      </w:r>
      <w:r>
        <w:rPr>
          <w:spacing w:val="-29"/>
        </w:rPr>
        <w:t> </w:t>
      </w:r>
      <w:r>
        <w:rPr/>
        <w:t>Client,</w:t>
      </w:r>
      <w:r>
        <w:rPr>
          <w:spacing w:val="-29"/>
        </w:rPr>
        <w:t> </w:t>
      </w:r>
      <w:r>
        <w:rPr/>
        <w:t>we</w:t>
      </w:r>
      <w:r>
        <w:rPr>
          <w:spacing w:val="-29"/>
        </w:rPr>
        <w:t> </w:t>
      </w:r>
      <w:r>
        <w:rPr/>
        <w:t>understand</w:t>
      </w:r>
      <w:r>
        <w:rPr>
          <w:spacing w:val="-29"/>
        </w:rPr>
        <w:t> </w:t>
      </w:r>
      <w:r>
        <w:rPr/>
        <w:t>that</w:t>
      </w:r>
      <w:r>
        <w:rPr>
          <w:spacing w:val="-27"/>
        </w:rPr>
        <w:t> </w:t>
      </w:r>
      <w:r>
        <w:rPr/>
        <w:t>all</w:t>
      </w:r>
      <w:r>
        <w:rPr>
          <w:spacing w:val="-30"/>
        </w:rPr>
        <w:t> </w:t>
      </w:r>
      <w:r>
        <w:rPr/>
        <w:t>requisite</w:t>
      </w:r>
      <w:r>
        <w:rPr>
          <w:spacing w:val="-29"/>
        </w:rPr>
        <w:t> </w:t>
      </w:r>
      <w:r>
        <w:rPr/>
        <w:t>approvals</w:t>
      </w:r>
      <w:r>
        <w:rPr>
          <w:spacing w:val="-27"/>
        </w:rPr>
        <w:t> </w:t>
      </w:r>
      <w:r>
        <w:rPr/>
        <w:t>along </w:t>
      </w:r>
      <w:r>
        <w:rPr>
          <w:w w:val="95"/>
        </w:rPr>
        <w:t>with</w:t>
      </w:r>
      <w:r>
        <w:rPr>
          <w:spacing w:val="-13"/>
          <w:w w:val="95"/>
        </w:rPr>
        <w:t> </w:t>
      </w:r>
      <w:r>
        <w:rPr>
          <w:w w:val="95"/>
        </w:rPr>
        <w:t>the</w:t>
      </w:r>
      <w:r>
        <w:rPr>
          <w:spacing w:val="-12"/>
          <w:w w:val="95"/>
        </w:rPr>
        <w:t> </w:t>
      </w:r>
      <w:r>
        <w:rPr>
          <w:w w:val="95"/>
        </w:rPr>
        <w:t>occupancy/</w:t>
      </w:r>
      <w:r>
        <w:rPr>
          <w:spacing w:val="-12"/>
          <w:w w:val="95"/>
        </w:rPr>
        <w:t> </w:t>
      </w:r>
      <w:r>
        <w:rPr>
          <w:w w:val="95"/>
        </w:rPr>
        <w:t>completion</w:t>
      </w:r>
      <w:r>
        <w:rPr>
          <w:spacing w:val="-12"/>
          <w:w w:val="95"/>
        </w:rPr>
        <w:t> </w:t>
      </w:r>
      <w:r>
        <w:rPr>
          <w:w w:val="95"/>
        </w:rPr>
        <w:t>certificates</w:t>
      </w:r>
      <w:r>
        <w:rPr>
          <w:spacing w:val="-10"/>
          <w:w w:val="95"/>
        </w:rPr>
        <w:t> </w:t>
      </w:r>
      <w:r>
        <w:rPr>
          <w:w w:val="95"/>
        </w:rPr>
        <w:t>have</w:t>
      </w:r>
      <w:r>
        <w:rPr>
          <w:spacing w:val="-13"/>
          <w:w w:val="95"/>
        </w:rPr>
        <w:t> </w:t>
      </w:r>
      <w:r>
        <w:rPr>
          <w:w w:val="95"/>
        </w:rPr>
        <w:t>been</w:t>
      </w:r>
      <w:r>
        <w:rPr>
          <w:spacing w:val="-12"/>
          <w:w w:val="95"/>
        </w:rPr>
        <w:t> </w:t>
      </w:r>
      <w:r>
        <w:rPr>
          <w:w w:val="95"/>
        </w:rPr>
        <w:t>received</w:t>
      </w:r>
      <w:r>
        <w:rPr>
          <w:spacing w:val="-8"/>
          <w:w w:val="95"/>
        </w:rPr>
        <w:t> </w:t>
      </w:r>
      <w:r>
        <w:rPr>
          <w:w w:val="95"/>
        </w:rPr>
        <w:t>for</w:t>
      </w:r>
      <w:r>
        <w:rPr>
          <w:spacing w:val="-12"/>
          <w:w w:val="95"/>
        </w:rPr>
        <w:t> </w:t>
      </w:r>
      <w:r>
        <w:rPr>
          <w:w w:val="95"/>
        </w:rPr>
        <w:t>the</w:t>
      </w:r>
      <w:r>
        <w:rPr>
          <w:spacing w:val="-12"/>
          <w:w w:val="95"/>
        </w:rPr>
        <w:t> </w:t>
      </w:r>
      <w:r>
        <w:rPr>
          <w:w w:val="95"/>
        </w:rPr>
        <w:t>completed</w:t>
      </w:r>
      <w:r>
        <w:rPr>
          <w:spacing w:val="-10"/>
          <w:w w:val="95"/>
        </w:rPr>
        <w:t> </w:t>
      </w:r>
      <w:r>
        <w:rPr>
          <w:w w:val="95"/>
        </w:rPr>
        <w:t>blocks.</w:t>
      </w:r>
      <w:r>
        <w:rPr>
          <w:spacing w:val="-14"/>
          <w:w w:val="95"/>
        </w:rPr>
        <w:t> </w:t>
      </w:r>
      <w:r>
        <w:rPr>
          <w:w w:val="95"/>
        </w:rPr>
        <w:t>The</w:t>
      </w:r>
      <w:r>
        <w:rPr>
          <w:spacing w:val="-12"/>
          <w:w w:val="95"/>
        </w:rPr>
        <w:t> </w:t>
      </w:r>
      <w:r>
        <w:rPr>
          <w:w w:val="95"/>
        </w:rPr>
        <w:t>Client</w:t>
      </w:r>
      <w:r>
        <w:rPr>
          <w:spacing w:val="-14"/>
          <w:w w:val="95"/>
        </w:rPr>
        <w:t> </w:t>
      </w:r>
      <w:r>
        <w:rPr>
          <w:w w:val="95"/>
        </w:rPr>
        <w:t>also </w:t>
      </w:r>
      <w:r>
        <w:rPr/>
        <w:t>has</w:t>
      </w:r>
      <w:r>
        <w:rPr>
          <w:spacing w:val="-36"/>
        </w:rPr>
        <w:t> </w:t>
      </w:r>
      <w:r>
        <w:rPr/>
        <w:t>the</w:t>
      </w:r>
      <w:r>
        <w:rPr>
          <w:spacing w:val="-38"/>
        </w:rPr>
        <w:t> </w:t>
      </w:r>
      <w:r>
        <w:rPr/>
        <w:t>sanction</w:t>
      </w:r>
      <w:r>
        <w:rPr>
          <w:spacing w:val="-36"/>
        </w:rPr>
        <w:t> </w:t>
      </w:r>
      <w:r>
        <w:rPr/>
        <w:t>plan</w:t>
      </w:r>
      <w:r>
        <w:rPr>
          <w:spacing w:val="-37"/>
        </w:rPr>
        <w:t> </w:t>
      </w:r>
      <w:r>
        <w:rPr/>
        <w:t>for</w:t>
      </w:r>
      <w:r>
        <w:rPr>
          <w:spacing w:val="-38"/>
        </w:rPr>
        <w:t> </w:t>
      </w:r>
      <w:r>
        <w:rPr/>
        <w:t>the</w:t>
      </w:r>
      <w:r>
        <w:rPr>
          <w:spacing w:val="-36"/>
        </w:rPr>
        <w:t> </w:t>
      </w:r>
      <w:r>
        <w:rPr/>
        <w:t>entire</w:t>
      </w:r>
      <w:r>
        <w:rPr>
          <w:spacing w:val="-37"/>
        </w:rPr>
        <w:t> </w:t>
      </w:r>
      <w:r>
        <w:rPr/>
        <w:t>development,</w:t>
      </w:r>
      <w:r>
        <w:rPr>
          <w:spacing w:val="-37"/>
        </w:rPr>
        <w:t> </w:t>
      </w:r>
      <w:r>
        <w:rPr/>
        <w:t>hence</w:t>
      </w:r>
      <w:r>
        <w:rPr>
          <w:spacing w:val="-36"/>
        </w:rPr>
        <w:t> </w:t>
      </w:r>
      <w:r>
        <w:rPr/>
        <w:t>for</w:t>
      </w:r>
      <w:r>
        <w:rPr>
          <w:spacing w:val="-37"/>
        </w:rPr>
        <w:t> </w:t>
      </w:r>
      <w:r>
        <w:rPr/>
        <w:t>the</w:t>
      </w:r>
      <w:r>
        <w:rPr>
          <w:spacing w:val="-36"/>
        </w:rPr>
        <w:t> </w:t>
      </w:r>
      <w:r>
        <w:rPr/>
        <w:t>proposed</w:t>
      </w:r>
      <w:r>
        <w:rPr>
          <w:spacing w:val="-37"/>
        </w:rPr>
        <w:t> </w:t>
      </w:r>
      <w:r>
        <w:rPr/>
        <w:t>block,</w:t>
      </w:r>
      <w:r>
        <w:rPr>
          <w:spacing w:val="-36"/>
        </w:rPr>
        <w:t> </w:t>
      </w:r>
      <w:r>
        <w:rPr/>
        <w:t>individual</w:t>
      </w:r>
      <w:r>
        <w:rPr>
          <w:spacing w:val="-37"/>
        </w:rPr>
        <w:t> </w:t>
      </w:r>
      <w:r>
        <w:rPr/>
        <w:t>approvals</w:t>
      </w:r>
      <w:r>
        <w:rPr>
          <w:spacing w:val="-37"/>
        </w:rPr>
        <w:t> </w:t>
      </w:r>
      <w:r>
        <w:rPr/>
        <w:t>will be obtained as and when the development is</w:t>
      </w:r>
      <w:r>
        <w:rPr>
          <w:spacing w:val="-39"/>
        </w:rPr>
        <w:t> </w:t>
      </w:r>
      <w:r>
        <w:rPr/>
        <w:t>initiated.</w:t>
      </w:r>
    </w:p>
    <w:p>
      <w:pPr>
        <w:pStyle w:val="BodyText"/>
        <w:rPr>
          <w:sz w:val="21"/>
        </w:rPr>
      </w:pPr>
    </w:p>
    <w:p>
      <w:pPr>
        <w:pStyle w:val="BodyText"/>
        <w:spacing w:line="321" w:lineRule="auto" w:before="1" w:after="9"/>
        <w:ind w:left="1246" w:right="678"/>
        <w:jc w:val="both"/>
      </w:pPr>
      <w:r>
        <w:rPr/>
        <w:t>The</w:t>
      </w:r>
      <w:r>
        <w:rPr>
          <w:spacing w:val="-43"/>
        </w:rPr>
        <w:t> </w:t>
      </w:r>
      <w:r>
        <w:rPr/>
        <w:t>details</w:t>
      </w:r>
      <w:r>
        <w:rPr>
          <w:spacing w:val="-42"/>
        </w:rPr>
        <w:t> </w:t>
      </w:r>
      <w:r>
        <w:rPr/>
        <w:t>of</w:t>
      </w:r>
      <w:r>
        <w:rPr>
          <w:spacing w:val="-43"/>
        </w:rPr>
        <w:t> </w:t>
      </w:r>
      <w:r>
        <w:rPr/>
        <w:t>the</w:t>
      </w:r>
      <w:r>
        <w:rPr>
          <w:spacing w:val="-42"/>
        </w:rPr>
        <w:t> </w:t>
      </w:r>
      <w:r>
        <w:rPr/>
        <w:t>Occupancy/</w:t>
      </w:r>
      <w:r>
        <w:rPr>
          <w:spacing w:val="-42"/>
        </w:rPr>
        <w:t> </w:t>
      </w:r>
      <w:r>
        <w:rPr/>
        <w:t>Completion</w:t>
      </w:r>
      <w:r>
        <w:rPr>
          <w:spacing w:val="-42"/>
        </w:rPr>
        <w:t> </w:t>
      </w:r>
      <w:r>
        <w:rPr/>
        <w:t>Certificates</w:t>
      </w:r>
      <w:r>
        <w:rPr>
          <w:spacing w:val="-43"/>
        </w:rPr>
        <w:t> </w:t>
      </w:r>
      <w:r>
        <w:rPr/>
        <w:t>for</w:t>
      </w:r>
      <w:r>
        <w:rPr>
          <w:spacing w:val="-42"/>
        </w:rPr>
        <w:t> </w:t>
      </w:r>
      <w:r>
        <w:rPr/>
        <w:t>the</w:t>
      </w:r>
      <w:r>
        <w:rPr>
          <w:spacing w:val="-42"/>
        </w:rPr>
        <w:t> </w:t>
      </w:r>
      <w:r>
        <w:rPr/>
        <w:t>respective</w:t>
      </w:r>
      <w:r>
        <w:rPr>
          <w:spacing w:val="-42"/>
        </w:rPr>
        <w:t> </w:t>
      </w:r>
      <w:r>
        <w:rPr/>
        <w:t>blocks</w:t>
      </w:r>
      <w:r>
        <w:rPr>
          <w:spacing w:val="-41"/>
        </w:rPr>
        <w:t> </w:t>
      </w:r>
      <w:r>
        <w:rPr/>
        <w:t>shared</w:t>
      </w:r>
      <w:r>
        <w:rPr>
          <w:spacing w:val="-43"/>
        </w:rPr>
        <w:t> </w:t>
      </w:r>
      <w:r>
        <w:rPr/>
        <w:t>by</w:t>
      </w:r>
      <w:r>
        <w:rPr>
          <w:spacing w:val="-42"/>
        </w:rPr>
        <w:t> </w:t>
      </w:r>
      <w:r>
        <w:rPr/>
        <w:t>the</w:t>
      </w:r>
      <w:r>
        <w:rPr>
          <w:spacing w:val="-42"/>
        </w:rPr>
        <w:t> </w:t>
      </w:r>
      <w:r>
        <w:rPr/>
        <w:t>Client</w:t>
      </w:r>
      <w:r>
        <w:rPr>
          <w:spacing w:val="-42"/>
        </w:rPr>
        <w:t> </w:t>
      </w:r>
      <w:r>
        <w:rPr/>
        <w:t>have been tabulated</w:t>
      </w:r>
      <w:r>
        <w:rPr>
          <w:spacing w:val="-9"/>
        </w:rPr>
        <w:t> </w:t>
      </w:r>
      <w:r>
        <w:rPr/>
        <w:t>below:</w:t>
      </w: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3"/>
        <w:gridCol w:w="5037"/>
        <w:gridCol w:w="3147"/>
      </w:tblGrid>
      <w:tr>
        <w:trPr>
          <w:trHeight w:val="323" w:hRule="atLeast"/>
        </w:trPr>
        <w:tc>
          <w:tcPr>
            <w:tcW w:w="2453" w:type="dxa"/>
            <w:tcBorders>
              <w:top w:val="single" w:sz="12" w:space="0" w:color="1F6B16"/>
              <w:bottom w:val="single" w:sz="6" w:space="0" w:color="69BD28"/>
            </w:tcBorders>
            <w:shd w:val="clear" w:color="auto" w:fill="006A4D"/>
          </w:tcPr>
          <w:p>
            <w:pPr>
              <w:pStyle w:val="TableParagraph"/>
              <w:spacing w:before="58"/>
              <w:ind w:left="835" w:right="449"/>
              <w:rPr>
                <w:b/>
                <w:sz w:val="18"/>
              </w:rPr>
            </w:pPr>
            <w:r>
              <w:rPr>
                <w:b/>
                <w:color w:val="FFFFFF"/>
                <w:w w:val="115"/>
                <w:sz w:val="18"/>
              </w:rPr>
              <w:t>Block Name</w:t>
            </w:r>
          </w:p>
        </w:tc>
        <w:tc>
          <w:tcPr>
            <w:tcW w:w="5037" w:type="dxa"/>
            <w:tcBorders>
              <w:top w:val="single" w:sz="12" w:space="0" w:color="1F6B16"/>
              <w:bottom w:val="single" w:sz="6" w:space="0" w:color="69BD28"/>
            </w:tcBorders>
            <w:shd w:val="clear" w:color="auto" w:fill="006A4D"/>
          </w:tcPr>
          <w:p>
            <w:pPr>
              <w:pStyle w:val="TableParagraph"/>
              <w:spacing w:before="58"/>
              <w:ind w:left="444" w:right="258"/>
              <w:rPr>
                <w:b/>
                <w:sz w:val="18"/>
              </w:rPr>
            </w:pPr>
            <w:r>
              <w:rPr>
                <w:b/>
                <w:color w:val="FFFFFF"/>
                <w:w w:val="105"/>
                <w:sz w:val="18"/>
              </w:rPr>
              <w:t>Authority</w:t>
            </w:r>
          </w:p>
        </w:tc>
        <w:tc>
          <w:tcPr>
            <w:tcW w:w="3147" w:type="dxa"/>
            <w:tcBorders>
              <w:top w:val="single" w:sz="12" w:space="0" w:color="1F6B16"/>
              <w:bottom w:val="single" w:sz="6" w:space="0" w:color="69BD28"/>
            </w:tcBorders>
            <w:shd w:val="clear" w:color="auto" w:fill="006A4D"/>
          </w:tcPr>
          <w:p>
            <w:pPr>
              <w:pStyle w:val="TableParagraph"/>
              <w:spacing w:before="58"/>
              <w:ind w:left="298" w:right="477"/>
              <w:rPr>
                <w:b/>
                <w:sz w:val="18"/>
              </w:rPr>
            </w:pPr>
            <w:r>
              <w:rPr>
                <w:b/>
                <w:color w:val="FFFFFF"/>
                <w:w w:val="110"/>
                <w:sz w:val="18"/>
              </w:rPr>
              <w:t>Date of Issue (DD-MM-YY)</w:t>
            </w:r>
          </w:p>
        </w:tc>
      </w:tr>
      <w:tr>
        <w:trPr>
          <w:trHeight w:val="256" w:hRule="atLeast"/>
        </w:trPr>
        <w:tc>
          <w:tcPr>
            <w:tcW w:w="2453" w:type="dxa"/>
            <w:tcBorders>
              <w:top w:val="single" w:sz="6" w:space="0" w:color="69BD28"/>
              <w:bottom w:val="single" w:sz="6" w:space="0" w:color="69BD28"/>
            </w:tcBorders>
          </w:tcPr>
          <w:p>
            <w:pPr>
              <w:pStyle w:val="TableParagraph"/>
              <w:spacing w:before="25"/>
              <w:ind w:left="835" w:right="449"/>
              <w:rPr>
                <w:sz w:val="18"/>
              </w:rPr>
            </w:pPr>
            <w:r>
              <w:rPr>
                <w:sz w:val="18"/>
              </w:rPr>
              <w:t>Tower A</w:t>
            </w:r>
          </w:p>
        </w:tc>
        <w:tc>
          <w:tcPr>
            <w:tcW w:w="5037" w:type="dxa"/>
            <w:tcBorders>
              <w:top w:val="single" w:sz="6" w:space="0" w:color="69BD28"/>
              <w:bottom w:val="single" w:sz="6" w:space="0" w:color="69BD28"/>
            </w:tcBorders>
          </w:tcPr>
          <w:p>
            <w:pPr>
              <w:pStyle w:val="TableParagraph"/>
              <w:spacing w:before="25"/>
              <w:ind w:left="444" w:right="266"/>
              <w:rPr>
                <w:sz w:val="18"/>
              </w:rPr>
            </w:pPr>
            <w:r>
              <w:rPr>
                <w:sz w:val="18"/>
              </w:rPr>
              <w:t>New Okhla Industrial Development Authority (NOIDA)</w:t>
            </w:r>
          </w:p>
        </w:tc>
        <w:tc>
          <w:tcPr>
            <w:tcW w:w="3147" w:type="dxa"/>
            <w:tcBorders>
              <w:top w:val="single" w:sz="6" w:space="0" w:color="69BD28"/>
              <w:bottom w:val="single" w:sz="6" w:space="0" w:color="69BD28"/>
            </w:tcBorders>
          </w:tcPr>
          <w:p>
            <w:pPr>
              <w:pStyle w:val="TableParagraph"/>
              <w:spacing w:before="25"/>
              <w:ind w:left="293" w:right="477"/>
              <w:rPr>
                <w:sz w:val="18"/>
              </w:rPr>
            </w:pPr>
            <w:r>
              <w:rPr>
                <w:w w:val="110"/>
                <w:sz w:val="18"/>
              </w:rPr>
              <w:t>21-01-11</w:t>
            </w:r>
          </w:p>
        </w:tc>
      </w:tr>
      <w:tr>
        <w:trPr>
          <w:trHeight w:val="256" w:hRule="atLeast"/>
        </w:trPr>
        <w:tc>
          <w:tcPr>
            <w:tcW w:w="2453" w:type="dxa"/>
            <w:tcBorders>
              <w:top w:val="single" w:sz="6" w:space="0" w:color="69BD28"/>
              <w:bottom w:val="single" w:sz="6" w:space="0" w:color="69BD28"/>
            </w:tcBorders>
          </w:tcPr>
          <w:p>
            <w:pPr>
              <w:pStyle w:val="TableParagraph"/>
              <w:spacing w:before="22"/>
              <w:ind w:left="834" w:right="449"/>
              <w:rPr>
                <w:sz w:val="18"/>
              </w:rPr>
            </w:pPr>
            <w:r>
              <w:rPr>
                <w:sz w:val="18"/>
              </w:rPr>
              <w:t>Tower B</w:t>
            </w:r>
          </w:p>
        </w:tc>
        <w:tc>
          <w:tcPr>
            <w:tcW w:w="5037" w:type="dxa"/>
            <w:tcBorders>
              <w:top w:val="single" w:sz="6" w:space="0" w:color="69BD28"/>
              <w:bottom w:val="single" w:sz="6" w:space="0" w:color="69BD28"/>
            </w:tcBorders>
          </w:tcPr>
          <w:p>
            <w:pPr>
              <w:pStyle w:val="TableParagraph"/>
              <w:spacing w:before="22"/>
              <w:ind w:left="443" w:right="266"/>
              <w:rPr>
                <w:sz w:val="18"/>
              </w:rPr>
            </w:pPr>
            <w:r>
              <w:rPr>
                <w:sz w:val="18"/>
              </w:rPr>
              <w:t>New Okhla Industrial Development Authority (NOIDA)</w:t>
            </w:r>
          </w:p>
        </w:tc>
        <w:tc>
          <w:tcPr>
            <w:tcW w:w="3147" w:type="dxa"/>
            <w:tcBorders>
              <w:top w:val="single" w:sz="6" w:space="0" w:color="69BD28"/>
              <w:bottom w:val="single" w:sz="6" w:space="0" w:color="69BD28"/>
            </w:tcBorders>
          </w:tcPr>
          <w:p>
            <w:pPr>
              <w:pStyle w:val="TableParagraph"/>
              <w:spacing w:before="22"/>
              <w:ind w:left="293" w:right="477"/>
              <w:rPr>
                <w:sz w:val="18"/>
              </w:rPr>
            </w:pPr>
            <w:r>
              <w:rPr>
                <w:w w:val="110"/>
                <w:sz w:val="18"/>
              </w:rPr>
              <w:t>21-01-11</w:t>
            </w:r>
          </w:p>
        </w:tc>
      </w:tr>
      <w:tr>
        <w:trPr>
          <w:trHeight w:val="256" w:hRule="atLeast"/>
        </w:trPr>
        <w:tc>
          <w:tcPr>
            <w:tcW w:w="2453" w:type="dxa"/>
            <w:tcBorders>
              <w:top w:val="single" w:sz="6" w:space="0" w:color="69BD28"/>
              <w:bottom w:val="single" w:sz="6" w:space="0" w:color="69BD28"/>
            </w:tcBorders>
          </w:tcPr>
          <w:p>
            <w:pPr>
              <w:pStyle w:val="TableParagraph"/>
              <w:spacing w:before="22"/>
              <w:ind w:left="834" w:right="449"/>
              <w:rPr>
                <w:sz w:val="18"/>
              </w:rPr>
            </w:pPr>
            <w:r>
              <w:rPr>
                <w:w w:val="105"/>
                <w:sz w:val="18"/>
              </w:rPr>
              <w:t>Tower C</w:t>
            </w:r>
          </w:p>
        </w:tc>
        <w:tc>
          <w:tcPr>
            <w:tcW w:w="5037" w:type="dxa"/>
            <w:tcBorders>
              <w:top w:val="single" w:sz="6" w:space="0" w:color="69BD28"/>
              <w:bottom w:val="single" w:sz="6" w:space="0" w:color="69BD28"/>
            </w:tcBorders>
          </w:tcPr>
          <w:p>
            <w:pPr>
              <w:pStyle w:val="TableParagraph"/>
              <w:spacing w:before="22"/>
              <w:ind w:left="444" w:right="266"/>
              <w:rPr>
                <w:sz w:val="18"/>
              </w:rPr>
            </w:pPr>
            <w:r>
              <w:rPr>
                <w:sz w:val="18"/>
              </w:rPr>
              <w:t>New Okhla Industrial Development Authority (NOIDA)</w:t>
            </w:r>
          </w:p>
        </w:tc>
        <w:tc>
          <w:tcPr>
            <w:tcW w:w="3147" w:type="dxa"/>
            <w:tcBorders>
              <w:top w:val="single" w:sz="6" w:space="0" w:color="69BD28"/>
              <w:bottom w:val="single" w:sz="6" w:space="0" w:color="69BD28"/>
            </w:tcBorders>
          </w:tcPr>
          <w:p>
            <w:pPr>
              <w:pStyle w:val="TableParagraph"/>
              <w:spacing w:before="22"/>
              <w:ind w:left="293" w:right="477"/>
              <w:rPr>
                <w:sz w:val="18"/>
              </w:rPr>
            </w:pPr>
            <w:r>
              <w:rPr>
                <w:w w:val="110"/>
                <w:sz w:val="18"/>
              </w:rPr>
              <w:t>03-07-12</w:t>
            </w:r>
          </w:p>
        </w:tc>
      </w:tr>
      <w:tr>
        <w:trPr>
          <w:trHeight w:val="256" w:hRule="atLeast"/>
        </w:trPr>
        <w:tc>
          <w:tcPr>
            <w:tcW w:w="2453" w:type="dxa"/>
            <w:tcBorders>
              <w:top w:val="single" w:sz="6" w:space="0" w:color="69BD28"/>
              <w:bottom w:val="single" w:sz="6" w:space="0" w:color="69BD28"/>
            </w:tcBorders>
          </w:tcPr>
          <w:p>
            <w:pPr>
              <w:pStyle w:val="TableParagraph"/>
              <w:spacing w:before="22"/>
              <w:ind w:left="834" w:right="449"/>
              <w:rPr>
                <w:sz w:val="18"/>
              </w:rPr>
            </w:pPr>
            <w:r>
              <w:rPr>
                <w:w w:val="105"/>
                <w:sz w:val="18"/>
              </w:rPr>
              <w:t>Tower D</w:t>
            </w:r>
          </w:p>
        </w:tc>
        <w:tc>
          <w:tcPr>
            <w:tcW w:w="5037" w:type="dxa"/>
            <w:tcBorders>
              <w:top w:val="single" w:sz="6" w:space="0" w:color="69BD28"/>
              <w:bottom w:val="single" w:sz="6" w:space="0" w:color="69BD28"/>
            </w:tcBorders>
          </w:tcPr>
          <w:p>
            <w:pPr>
              <w:pStyle w:val="TableParagraph"/>
              <w:spacing w:before="22"/>
              <w:ind w:left="443" w:right="266"/>
              <w:rPr>
                <w:sz w:val="18"/>
              </w:rPr>
            </w:pPr>
            <w:r>
              <w:rPr>
                <w:sz w:val="18"/>
              </w:rPr>
              <w:t>New Okhla Industrial Development Authority (NOIDA)</w:t>
            </w:r>
          </w:p>
        </w:tc>
        <w:tc>
          <w:tcPr>
            <w:tcW w:w="3147" w:type="dxa"/>
            <w:tcBorders>
              <w:top w:val="single" w:sz="6" w:space="0" w:color="69BD28"/>
              <w:bottom w:val="single" w:sz="6" w:space="0" w:color="69BD28"/>
            </w:tcBorders>
          </w:tcPr>
          <w:p>
            <w:pPr>
              <w:pStyle w:val="TableParagraph"/>
              <w:spacing w:before="22"/>
              <w:ind w:left="293" w:right="477"/>
              <w:rPr>
                <w:sz w:val="18"/>
              </w:rPr>
            </w:pPr>
            <w:r>
              <w:rPr>
                <w:w w:val="110"/>
                <w:sz w:val="18"/>
              </w:rPr>
              <w:t>21-01-11</w:t>
            </w:r>
          </w:p>
        </w:tc>
      </w:tr>
    </w:tbl>
    <w:p>
      <w:pPr>
        <w:tabs>
          <w:tab w:pos="3601" w:val="left" w:leader="none"/>
          <w:tab w:pos="8491" w:val="left" w:leader="none"/>
        </w:tabs>
        <w:spacing w:line="263" w:lineRule="exact" w:before="0"/>
        <w:ind w:left="1772" w:right="0" w:firstLine="0"/>
        <w:jc w:val="left"/>
        <w:rPr>
          <w:sz w:val="18"/>
        </w:rPr>
      </w:pPr>
      <w:r>
        <w:rPr>
          <w:sz w:val="18"/>
        </w:rPr>
        <w:t>Tower</w:t>
      </w:r>
      <w:r>
        <w:rPr>
          <w:spacing w:val="-10"/>
          <w:sz w:val="18"/>
        </w:rPr>
        <w:t> </w:t>
      </w:r>
      <w:r>
        <w:rPr>
          <w:sz w:val="18"/>
        </w:rPr>
        <w:t>E</w:t>
        <w:tab/>
        <w:t>New Okhla Industrial Development</w:t>
      </w:r>
      <w:r>
        <w:rPr>
          <w:spacing w:val="-34"/>
          <w:sz w:val="18"/>
        </w:rPr>
        <w:t> </w:t>
      </w:r>
      <w:r>
        <w:rPr>
          <w:sz w:val="18"/>
        </w:rPr>
        <w:t>Authority</w:t>
      </w:r>
      <w:r>
        <w:rPr>
          <w:spacing w:val="-8"/>
          <w:sz w:val="18"/>
        </w:rPr>
        <w:t> </w:t>
      </w:r>
      <w:r>
        <w:rPr>
          <w:sz w:val="18"/>
        </w:rPr>
        <w:t>(NOIDA)</w:t>
        <w:tab/>
      </w:r>
      <w:r>
        <w:rPr>
          <w:position w:val="11"/>
          <w:sz w:val="18"/>
        </w:rPr>
        <w:t>Excluding 9</w:t>
      </w:r>
      <w:r>
        <w:rPr>
          <w:position w:val="17"/>
          <w:sz w:val="11"/>
        </w:rPr>
        <w:t>th  </w:t>
      </w:r>
      <w:r>
        <w:rPr>
          <w:position w:val="11"/>
          <w:sz w:val="18"/>
        </w:rPr>
        <w:t>floor:</w:t>
      </w:r>
      <w:r>
        <w:rPr>
          <w:spacing w:val="-11"/>
          <w:position w:val="11"/>
          <w:sz w:val="18"/>
        </w:rPr>
        <w:t> </w:t>
      </w:r>
      <w:r>
        <w:rPr>
          <w:position w:val="11"/>
          <w:sz w:val="18"/>
        </w:rPr>
        <w:t>07-01-13</w:t>
      </w:r>
    </w:p>
    <w:p>
      <w:pPr>
        <w:spacing w:line="159" w:lineRule="exact" w:before="0"/>
        <w:ind w:left="8503" w:right="0" w:firstLine="0"/>
        <w:jc w:val="left"/>
        <w:rPr>
          <w:sz w:val="18"/>
        </w:rPr>
      </w:pPr>
      <w:r>
        <w:rPr/>
        <w:pict>
          <v:shape style="position:absolute;margin-left:36pt;margin-top:8.086579pt;width:531.15pt;height:.75pt;mso-position-horizontal-relative:page;mso-position-vertical-relative:paragraph;z-index:16552960" coordorigin="720,162" coordsize="10623,15" path="m8013,162l3543,162,3529,162,720,162,720,176,3529,176,3543,176,8013,176,8013,162xm11342,162l8028,162,8013,162,8013,176,8028,176,11342,176,11342,162xe" filled="true" fillcolor="#69bd28" stroked="false">
            <v:path arrowok="t"/>
            <v:fill type="solid"/>
            <w10:wrap type="none"/>
          </v:shape>
        </w:pict>
      </w:r>
      <w:r>
        <w:rPr>
          <w:sz w:val="18"/>
        </w:rPr>
        <w:t>Including 9</w:t>
      </w:r>
      <w:r>
        <w:rPr>
          <w:position w:val="6"/>
          <w:sz w:val="11"/>
        </w:rPr>
        <w:t>th  </w:t>
      </w:r>
      <w:r>
        <w:rPr>
          <w:sz w:val="18"/>
        </w:rPr>
        <w:t>floor:</w:t>
      </w:r>
      <w:r>
        <w:rPr>
          <w:spacing w:val="2"/>
          <w:sz w:val="18"/>
        </w:rPr>
        <w:t> </w:t>
      </w:r>
      <w:r>
        <w:rPr>
          <w:sz w:val="18"/>
        </w:rPr>
        <w:t>25-05-17</w:t>
      </w:r>
    </w:p>
    <w:p>
      <w:pPr>
        <w:tabs>
          <w:tab w:pos="3601" w:val="left" w:leader="none"/>
          <w:tab w:pos="10020" w:val="right" w:leader="none"/>
        </w:tabs>
        <w:spacing w:before="40"/>
        <w:ind w:left="1774" w:right="0" w:firstLine="0"/>
        <w:jc w:val="left"/>
        <w:rPr>
          <w:sz w:val="18"/>
        </w:rPr>
      </w:pPr>
      <w:r>
        <w:rPr>
          <w:sz w:val="18"/>
        </w:rPr>
        <w:t>Tower</w:t>
      </w:r>
      <w:r>
        <w:rPr>
          <w:spacing w:val="-13"/>
          <w:sz w:val="18"/>
        </w:rPr>
        <w:t> </w:t>
      </w:r>
      <w:r>
        <w:rPr>
          <w:sz w:val="18"/>
        </w:rPr>
        <w:t>F</w:t>
        <w:tab/>
        <w:t>New Okhla Industrial Development</w:t>
      </w:r>
      <w:r>
        <w:rPr>
          <w:spacing w:val="-7"/>
          <w:sz w:val="18"/>
        </w:rPr>
        <w:t> </w:t>
      </w:r>
      <w:r>
        <w:rPr>
          <w:sz w:val="18"/>
        </w:rPr>
        <w:t>Authority</w:t>
      </w:r>
      <w:r>
        <w:rPr>
          <w:spacing w:val="-1"/>
          <w:sz w:val="18"/>
        </w:rPr>
        <w:t> </w:t>
      </w:r>
      <w:r>
        <w:rPr>
          <w:sz w:val="18"/>
        </w:rPr>
        <w:t>(NOIDA)</w:t>
        <w:tab/>
        <w:t>30-09-13</w:t>
      </w:r>
    </w:p>
    <w:p>
      <w:pPr>
        <w:spacing w:after="0"/>
        <w:jc w:val="left"/>
        <w:rPr>
          <w:sz w:val="18"/>
        </w:rPr>
        <w:sectPr>
          <w:headerReference w:type="default" r:id="rId329"/>
          <w:footerReference w:type="default" r:id="rId330"/>
          <w:pgSz w:w="11910" w:h="16840"/>
          <w:pgMar w:header="720" w:footer="1170" w:top="1660" w:bottom="1360" w:left="40" w:right="40"/>
          <w:pgNumType w:start="343"/>
        </w:sectPr>
      </w:pPr>
    </w:p>
    <w:p>
      <w:pPr>
        <w:pStyle w:val="BodyText"/>
        <w:spacing w:before="7"/>
        <w:rPr>
          <w:sz w:val="19"/>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62"/>
        <w:gridCol w:w="4829"/>
        <w:gridCol w:w="3146"/>
      </w:tblGrid>
      <w:tr>
        <w:trPr>
          <w:trHeight w:val="323" w:hRule="atLeast"/>
        </w:trPr>
        <w:tc>
          <w:tcPr>
            <w:tcW w:w="2662" w:type="dxa"/>
            <w:tcBorders>
              <w:top w:val="single" w:sz="12" w:space="0" w:color="1F6B16"/>
              <w:bottom w:val="single" w:sz="6" w:space="0" w:color="69BD28"/>
            </w:tcBorders>
            <w:shd w:val="clear" w:color="auto" w:fill="006A4D"/>
          </w:tcPr>
          <w:p>
            <w:pPr>
              <w:pStyle w:val="TableParagraph"/>
              <w:spacing w:before="56"/>
              <w:ind w:left="428" w:right="251"/>
              <w:rPr>
                <w:b/>
                <w:sz w:val="18"/>
              </w:rPr>
            </w:pPr>
            <w:r>
              <w:rPr>
                <w:b/>
                <w:color w:val="FFFFFF"/>
                <w:w w:val="115"/>
                <w:sz w:val="18"/>
              </w:rPr>
              <w:t>Block Name</w:t>
            </w:r>
          </w:p>
        </w:tc>
        <w:tc>
          <w:tcPr>
            <w:tcW w:w="4829" w:type="dxa"/>
            <w:tcBorders>
              <w:top w:val="single" w:sz="12" w:space="0" w:color="1F6B16"/>
              <w:bottom w:val="single" w:sz="6" w:space="0" w:color="69BD28"/>
            </w:tcBorders>
            <w:shd w:val="clear" w:color="auto" w:fill="006A4D"/>
          </w:tcPr>
          <w:p>
            <w:pPr>
              <w:pStyle w:val="TableParagraph"/>
              <w:spacing w:before="56"/>
              <w:ind w:left="236" w:right="257"/>
              <w:rPr>
                <w:b/>
                <w:sz w:val="18"/>
              </w:rPr>
            </w:pPr>
            <w:r>
              <w:rPr>
                <w:b/>
                <w:color w:val="FFFFFF"/>
                <w:w w:val="105"/>
                <w:sz w:val="18"/>
              </w:rPr>
              <w:t>Authority</w:t>
            </w:r>
          </w:p>
        </w:tc>
        <w:tc>
          <w:tcPr>
            <w:tcW w:w="3146" w:type="dxa"/>
            <w:tcBorders>
              <w:top w:val="single" w:sz="12" w:space="0" w:color="1F6B16"/>
              <w:bottom w:val="single" w:sz="6" w:space="0" w:color="69BD28"/>
            </w:tcBorders>
            <w:shd w:val="clear" w:color="auto" w:fill="006A4D"/>
          </w:tcPr>
          <w:p>
            <w:pPr>
              <w:pStyle w:val="TableParagraph"/>
              <w:spacing w:before="56"/>
              <w:ind w:left="298" w:right="478"/>
              <w:rPr>
                <w:b/>
                <w:sz w:val="18"/>
              </w:rPr>
            </w:pPr>
            <w:r>
              <w:rPr>
                <w:b/>
                <w:color w:val="FFFFFF"/>
                <w:w w:val="110"/>
                <w:sz w:val="18"/>
              </w:rPr>
              <w:t>Date of Issue (DD-MM-YY)</w:t>
            </w:r>
          </w:p>
        </w:tc>
      </w:tr>
      <w:tr>
        <w:trPr>
          <w:trHeight w:val="253" w:hRule="atLeast"/>
        </w:trPr>
        <w:tc>
          <w:tcPr>
            <w:tcW w:w="2662" w:type="dxa"/>
            <w:tcBorders>
              <w:top w:val="single" w:sz="6" w:space="0" w:color="69BD28"/>
              <w:bottom w:val="single" w:sz="6" w:space="0" w:color="69BD28"/>
            </w:tcBorders>
          </w:tcPr>
          <w:p>
            <w:pPr>
              <w:pStyle w:val="TableParagraph"/>
              <w:spacing w:before="22"/>
              <w:ind w:left="428" w:right="253"/>
              <w:rPr>
                <w:sz w:val="18"/>
              </w:rPr>
            </w:pPr>
            <w:r>
              <w:rPr>
                <w:sz w:val="18"/>
              </w:rPr>
              <w:t>Tower 3 and Food Court</w:t>
            </w:r>
          </w:p>
        </w:tc>
        <w:tc>
          <w:tcPr>
            <w:tcW w:w="4829" w:type="dxa"/>
            <w:tcBorders>
              <w:top w:val="single" w:sz="6" w:space="0" w:color="69BD28"/>
              <w:bottom w:val="single" w:sz="6" w:space="0" w:color="69BD28"/>
            </w:tcBorders>
          </w:tcPr>
          <w:p>
            <w:pPr>
              <w:pStyle w:val="TableParagraph"/>
              <w:spacing w:before="22"/>
              <w:ind w:left="236" w:right="262"/>
              <w:rPr>
                <w:sz w:val="18"/>
              </w:rPr>
            </w:pPr>
            <w:r>
              <w:rPr>
                <w:sz w:val="18"/>
              </w:rPr>
              <w:t>New Okhla Industrial Development Authority (NOIDA)</w:t>
            </w:r>
          </w:p>
        </w:tc>
        <w:tc>
          <w:tcPr>
            <w:tcW w:w="3146" w:type="dxa"/>
            <w:tcBorders>
              <w:top w:val="single" w:sz="6" w:space="0" w:color="69BD28"/>
              <w:bottom w:val="single" w:sz="6" w:space="0" w:color="69BD28"/>
            </w:tcBorders>
          </w:tcPr>
          <w:p>
            <w:pPr>
              <w:pStyle w:val="TableParagraph"/>
              <w:spacing w:before="22"/>
              <w:ind w:left="295" w:right="478"/>
              <w:rPr>
                <w:sz w:val="18"/>
              </w:rPr>
            </w:pPr>
            <w:r>
              <w:rPr>
                <w:w w:val="110"/>
                <w:sz w:val="18"/>
              </w:rPr>
              <w:t>29-11-18</w:t>
            </w:r>
          </w:p>
        </w:tc>
      </w:tr>
      <w:tr>
        <w:trPr>
          <w:trHeight w:val="258" w:hRule="atLeast"/>
        </w:trPr>
        <w:tc>
          <w:tcPr>
            <w:tcW w:w="2662" w:type="dxa"/>
            <w:tcBorders>
              <w:top w:val="single" w:sz="6" w:space="0" w:color="69BD28"/>
              <w:bottom w:val="single" w:sz="6" w:space="0" w:color="69BD28"/>
            </w:tcBorders>
          </w:tcPr>
          <w:p>
            <w:pPr>
              <w:pStyle w:val="TableParagraph"/>
              <w:spacing w:before="25"/>
              <w:ind w:left="428" w:right="252"/>
              <w:rPr>
                <w:sz w:val="18"/>
              </w:rPr>
            </w:pPr>
            <w:r>
              <w:rPr>
                <w:sz w:val="18"/>
              </w:rPr>
              <w:t>Tower 2</w:t>
            </w:r>
          </w:p>
        </w:tc>
        <w:tc>
          <w:tcPr>
            <w:tcW w:w="4829" w:type="dxa"/>
            <w:tcBorders>
              <w:top w:val="single" w:sz="6" w:space="0" w:color="69BD28"/>
              <w:bottom w:val="single" w:sz="6" w:space="0" w:color="69BD28"/>
            </w:tcBorders>
          </w:tcPr>
          <w:p>
            <w:pPr>
              <w:pStyle w:val="TableParagraph"/>
              <w:spacing w:before="25"/>
              <w:ind w:left="234" w:right="264"/>
              <w:rPr>
                <w:sz w:val="18"/>
              </w:rPr>
            </w:pPr>
            <w:r>
              <w:rPr>
                <w:sz w:val="18"/>
              </w:rPr>
              <w:t>New Okhla Industrial Development Authority (NOIDA)</w:t>
            </w:r>
          </w:p>
        </w:tc>
        <w:tc>
          <w:tcPr>
            <w:tcW w:w="3146" w:type="dxa"/>
            <w:tcBorders>
              <w:top w:val="single" w:sz="6" w:space="0" w:color="69BD28"/>
              <w:bottom w:val="single" w:sz="6" w:space="0" w:color="69BD28"/>
            </w:tcBorders>
          </w:tcPr>
          <w:p>
            <w:pPr>
              <w:pStyle w:val="TableParagraph"/>
              <w:spacing w:before="25"/>
              <w:ind w:left="293" w:right="478"/>
              <w:rPr>
                <w:sz w:val="18"/>
              </w:rPr>
            </w:pPr>
            <w:r>
              <w:rPr>
                <w:w w:val="110"/>
                <w:sz w:val="18"/>
              </w:rPr>
              <w:t>06-03-20</w:t>
            </w:r>
          </w:p>
        </w:tc>
      </w:tr>
    </w:tbl>
    <w:p>
      <w:pPr>
        <w:spacing w:before="0"/>
        <w:ind w:left="680" w:right="0" w:firstLine="0"/>
        <w:jc w:val="left"/>
        <w:rPr>
          <w:i/>
          <w:sz w:val="18"/>
        </w:rPr>
      </w:pPr>
      <w:r>
        <w:rPr>
          <w:i/>
          <w:sz w:val="18"/>
        </w:rPr>
        <w:t>Source: Information/ approval documents provided by Client;</w:t>
      </w:r>
    </w:p>
    <w:p>
      <w:pPr>
        <w:pStyle w:val="BodyText"/>
        <w:spacing w:before="8"/>
        <w:rPr>
          <w:i/>
          <w:sz w:val="26"/>
        </w:rPr>
      </w:pPr>
    </w:p>
    <w:p>
      <w:pPr>
        <w:pStyle w:val="BodyText"/>
        <w:ind w:left="1246"/>
      </w:pPr>
      <w:r>
        <w:rPr/>
        <w:t>Further, the details of approvals received for proposed tower are highlighted in the table below:</w:t>
      </w:r>
    </w:p>
    <w:p>
      <w:pPr>
        <w:pStyle w:val="BodyText"/>
        <w:spacing w:before="6"/>
        <w:rPr>
          <w:sz w:val="12"/>
        </w:rPr>
      </w:pPr>
    </w:p>
    <w:p>
      <w:pPr>
        <w:pStyle w:val="BodyText"/>
        <w:ind w:left="680"/>
        <w:rPr>
          <w:sz w:val="20"/>
        </w:rPr>
      </w:pPr>
      <w:r>
        <w:rPr>
          <w:sz w:val="20"/>
        </w:rPr>
        <w:pict>
          <v:group style="width:523.6pt;height:23.9pt;mso-position-horizontal-relative:char;mso-position-vertical-relative:line" coordorigin="0,0" coordsize="10472,478">
            <v:shape style="position:absolute;left:0;top:31;width:10472;height:432" coordorigin="0,31" coordsize="10472,432" path="m10471,31l7653,31,3061,31,0,31,0,463,3061,463,7653,463,10471,463,10471,31xe" filled="true" fillcolor="#006a4d" stroked="false">
              <v:path arrowok="t"/>
              <v:fill type="solid"/>
            </v:shape>
            <v:rect style="position:absolute;left:0;top:0;width:3061;height:29" filled="true" fillcolor="#1f6b16" stroked="false">
              <v:fill type="solid"/>
            </v:rect>
            <v:shape style="position:absolute;left:0;top:28;width:3090;height:3" coordorigin="0,29" coordsize="3090,3" path="m3090,29l3061,29,0,29,0,31,3061,31,3090,31,3090,29xe" filled="true" fillcolor="#006a4d" stroked="false">
              <v:path arrowok="t"/>
              <v:fill type="solid"/>
            </v:shape>
            <v:shape style="position:absolute;left:3061;top:0;width:4593;height:29" coordorigin="3061,0" coordsize="4593,29" path="m7653,0l3090,0,3061,0,3061,29,3090,29,7653,29,7653,0xe" filled="true" fillcolor="#1f6b16" stroked="false">
              <v:path arrowok="t"/>
              <v:fill type="solid"/>
            </v:shape>
            <v:shape style="position:absolute;left:3089;top:28;width:4593;height:3" coordorigin="3090,29" coordsize="4593,3" path="m7653,29l3090,29,3090,31,7653,31,7653,29xm7682,29l7653,29,7653,31,7682,31,7682,29xe" filled="true" fillcolor="#006a4d" stroked="false">
              <v:path arrowok="t"/>
              <v:fill type="solid"/>
            </v:shape>
            <v:shape style="position:absolute;left:7653;top:0;width:2818;height:29" coordorigin="7653,0" coordsize="2818,29" path="m10471,0l7682,0,7653,0,7653,29,7682,29,10471,29,10471,0xe" filled="true" fillcolor="#1f6b16" stroked="false">
              <v:path arrowok="t"/>
              <v:fill type="solid"/>
            </v:shape>
            <v:rect style="position:absolute;left:7682;top:28;width:2790;height:3" filled="true" fillcolor="#006a4d" stroked="false">
              <v:fill type="solid"/>
            </v:rect>
            <v:shape style="position:absolute;left:0;top:463;width:10472;height:15" coordorigin="0,463" coordsize="10472,15" path="m7653,463l3075,463,3061,463,0,463,0,478,3061,478,3075,478,7653,478,7653,463xm10471,463l7668,463,7653,463,7653,478,7668,478,10471,478,10471,463xe" filled="true" fillcolor="#69bd28" stroked="false">
              <v:path arrowok="t"/>
              <v:fill type="solid"/>
            </v:shape>
            <v:shape style="position:absolute;left:1111;top:138;width:859;height:216" type="#_x0000_t202" filled="false" stroked="false">
              <v:textbox inset="0,0,0,0">
                <w:txbxContent>
                  <w:p>
                    <w:pPr>
                      <w:spacing w:before="4"/>
                      <w:ind w:left="0" w:right="0" w:firstLine="0"/>
                      <w:jc w:val="left"/>
                      <w:rPr>
                        <w:b/>
                        <w:sz w:val="18"/>
                      </w:rPr>
                    </w:pPr>
                    <w:r>
                      <w:rPr>
                        <w:b/>
                        <w:color w:val="FFFFFF"/>
                        <w:w w:val="110"/>
                        <w:sz w:val="18"/>
                      </w:rPr>
                      <w:t>Approval</w:t>
                    </w:r>
                  </w:p>
                </w:txbxContent>
              </v:textbox>
              <w10:wrap type="none"/>
            </v:shape>
            <v:shape style="position:absolute;left:4940;top:138;width:855;height:216" type="#_x0000_t202" filled="false" stroked="false">
              <v:textbox inset="0,0,0,0">
                <w:txbxContent>
                  <w:p>
                    <w:pPr>
                      <w:spacing w:before="4"/>
                      <w:ind w:left="0" w:right="0" w:firstLine="0"/>
                      <w:jc w:val="left"/>
                      <w:rPr>
                        <w:b/>
                        <w:sz w:val="18"/>
                      </w:rPr>
                    </w:pPr>
                    <w:r>
                      <w:rPr>
                        <w:b/>
                        <w:color w:val="FFFFFF"/>
                        <w:w w:val="105"/>
                        <w:sz w:val="18"/>
                      </w:rPr>
                      <w:t>Authority</w:t>
                    </w:r>
                  </w:p>
                </w:txbxContent>
              </v:textbox>
              <w10:wrap type="none"/>
            </v:shape>
            <v:shape style="position:absolute;left:8471;top:30;width:1200;height:432" type="#_x0000_t202" filled="false" stroked="false">
              <v:textbox inset="0,0,0,0">
                <w:txbxContent>
                  <w:p>
                    <w:pPr>
                      <w:spacing w:line="247" w:lineRule="auto" w:before="4"/>
                      <w:ind w:left="31" w:right="7" w:hanging="32"/>
                      <w:jc w:val="left"/>
                      <w:rPr>
                        <w:b/>
                        <w:sz w:val="18"/>
                      </w:rPr>
                    </w:pPr>
                    <w:r>
                      <w:rPr>
                        <w:b/>
                        <w:color w:val="FFFFFF"/>
                        <w:w w:val="110"/>
                        <w:sz w:val="18"/>
                      </w:rPr>
                      <w:t>Date of Issue (DD-MM-YY)</w:t>
                    </w:r>
                  </w:p>
                </w:txbxContent>
              </v:textbox>
              <w10:wrap type="none"/>
            </v:shape>
          </v:group>
        </w:pict>
      </w:r>
      <w:r>
        <w:rPr>
          <w:sz w:val="20"/>
        </w:rPr>
      </w:r>
    </w:p>
    <w:p>
      <w:pPr>
        <w:spacing w:after="0"/>
        <w:rPr>
          <w:sz w:val="20"/>
        </w:rPr>
        <w:sectPr>
          <w:pgSz w:w="11910" w:h="16840"/>
          <w:pgMar w:header="720" w:footer="1170" w:top="1660" w:bottom="1420" w:left="40" w:right="40"/>
        </w:sectPr>
      </w:pPr>
    </w:p>
    <w:p>
      <w:pPr>
        <w:spacing w:line="247" w:lineRule="auto" w:before="14"/>
        <w:ind w:left="1314" w:right="-13" w:hanging="200"/>
        <w:jc w:val="left"/>
        <w:rPr>
          <w:sz w:val="18"/>
        </w:rPr>
      </w:pPr>
      <w:r>
        <w:rPr>
          <w:w w:val="95"/>
          <w:sz w:val="18"/>
        </w:rPr>
        <w:t>Sanctioned Area Statement/ </w:t>
      </w:r>
      <w:r>
        <w:rPr>
          <w:sz w:val="18"/>
        </w:rPr>
        <w:t>Building Plan Approval</w:t>
      </w:r>
    </w:p>
    <w:p>
      <w:pPr>
        <w:tabs>
          <w:tab w:pos="6784" w:val="right" w:leader="none"/>
        </w:tabs>
        <w:spacing w:before="122"/>
        <w:ind w:left="567" w:right="0" w:firstLine="0"/>
        <w:jc w:val="left"/>
        <w:rPr>
          <w:sz w:val="18"/>
        </w:rPr>
      </w:pPr>
      <w:r>
        <w:rPr/>
        <w:br w:type="column"/>
      </w:r>
      <w:r>
        <w:rPr>
          <w:sz w:val="18"/>
        </w:rPr>
        <w:t>New Okhla Industrial Development</w:t>
      </w:r>
      <w:r>
        <w:rPr>
          <w:spacing w:val="-6"/>
          <w:sz w:val="18"/>
        </w:rPr>
        <w:t> </w:t>
      </w:r>
      <w:r>
        <w:rPr>
          <w:sz w:val="18"/>
        </w:rPr>
        <w:t>Authority</w:t>
      </w:r>
      <w:r>
        <w:rPr>
          <w:spacing w:val="-2"/>
          <w:sz w:val="18"/>
        </w:rPr>
        <w:t> </w:t>
      </w:r>
      <w:r>
        <w:rPr>
          <w:sz w:val="18"/>
        </w:rPr>
        <w:t>(NOIDA)</w:t>
        <w:tab/>
        <w:t>12-09-16</w:t>
      </w:r>
    </w:p>
    <w:p>
      <w:pPr>
        <w:spacing w:after="0"/>
        <w:jc w:val="left"/>
        <w:rPr>
          <w:sz w:val="18"/>
        </w:rPr>
        <w:sectPr>
          <w:type w:val="continuous"/>
          <w:pgSz w:w="11910" w:h="16840"/>
          <w:pgMar w:top="800" w:bottom="280" w:left="40" w:right="40"/>
          <w:cols w:num="2" w:equalWidth="0">
            <w:col w:w="3302" w:space="40"/>
            <w:col w:w="8488"/>
          </w:cols>
        </w:sectPr>
      </w:pPr>
    </w:p>
    <w:p>
      <w:pPr>
        <w:tabs>
          <w:tab w:pos="3944" w:val="left" w:leader="none"/>
        </w:tabs>
        <w:spacing w:before="57"/>
        <w:ind w:left="1218" w:right="0" w:firstLine="0"/>
        <w:jc w:val="left"/>
        <w:rPr>
          <w:sz w:val="18"/>
        </w:rPr>
      </w:pPr>
      <w:r>
        <w:rPr/>
        <w:pict>
          <v:shape style="position:absolute;margin-left:36pt;margin-top:1.94064pt;width:523.6pt;height:.75pt;mso-position-horizontal-relative:page;mso-position-vertical-relative:paragraph;z-index:16556544" coordorigin="720,39" coordsize="10472,15" path="m8373,39l3795,39,3781,39,720,39,720,53,3781,53,3795,53,8373,53,8373,39xm11191,39l8388,39,8373,39,8373,53,8388,53,11191,53,11191,39xe" filled="true" fillcolor="#69bd28" stroked="false">
            <v:path arrowok="t"/>
            <v:fill type="solid"/>
            <w10:wrap type="none"/>
          </v:shape>
        </w:pict>
      </w:r>
      <w:r>
        <w:rPr/>
        <w:pict>
          <v:shape style="position:absolute;margin-left:36pt;margin-top:13.464653pt;width:523.6pt;height:74.8pt;mso-position-horizontal-relative:page;mso-position-vertical-relative:paragraph;z-index:16557568"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73"/>
                    <w:gridCol w:w="4929"/>
                    <w:gridCol w:w="2568"/>
                  </w:tblGrid>
                  <w:tr>
                    <w:trPr>
                      <w:trHeight w:val="216" w:hRule="atLeast"/>
                    </w:trPr>
                    <w:tc>
                      <w:tcPr>
                        <w:tcW w:w="2973" w:type="dxa"/>
                        <w:tcBorders>
                          <w:bottom w:val="single" w:sz="6" w:space="0" w:color="69BD28"/>
                        </w:tcBorders>
                      </w:tcPr>
                      <w:p>
                        <w:pPr>
                          <w:pStyle w:val="TableParagraph"/>
                          <w:jc w:val="left"/>
                          <w:rPr>
                            <w:rFonts w:ascii="Times New Roman"/>
                            <w:sz w:val="14"/>
                          </w:rPr>
                        </w:pPr>
                      </w:p>
                    </w:tc>
                    <w:tc>
                      <w:tcPr>
                        <w:tcW w:w="4929" w:type="dxa"/>
                        <w:tcBorders>
                          <w:bottom w:val="single" w:sz="6" w:space="0" w:color="69BD28"/>
                        </w:tcBorders>
                      </w:tcPr>
                      <w:p>
                        <w:pPr>
                          <w:pStyle w:val="TableParagraph"/>
                          <w:spacing w:line="192" w:lineRule="exact" w:before="4"/>
                          <w:ind w:left="504" w:right="664"/>
                          <w:rPr>
                            <w:sz w:val="18"/>
                          </w:rPr>
                        </w:pPr>
                        <w:r>
                          <w:rPr>
                            <w:sz w:val="18"/>
                          </w:rPr>
                          <w:t>Uttar Pradesh</w:t>
                        </w:r>
                      </w:p>
                    </w:tc>
                    <w:tc>
                      <w:tcPr>
                        <w:tcW w:w="2568" w:type="dxa"/>
                        <w:tcBorders>
                          <w:bottom w:val="single" w:sz="6" w:space="0" w:color="69BD28"/>
                        </w:tcBorders>
                      </w:tcPr>
                      <w:p>
                        <w:pPr>
                          <w:pStyle w:val="TableParagraph"/>
                          <w:jc w:val="left"/>
                          <w:rPr>
                            <w:rFonts w:ascii="Times New Roman"/>
                            <w:sz w:val="14"/>
                          </w:rPr>
                        </w:pPr>
                      </w:p>
                    </w:tc>
                  </w:tr>
                  <w:tr>
                    <w:trPr>
                      <w:trHeight w:val="256" w:hRule="atLeast"/>
                    </w:trPr>
                    <w:tc>
                      <w:tcPr>
                        <w:tcW w:w="2973" w:type="dxa"/>
                        <w:tcBorders>
                          <w:top w:val="single" w:sz="6" w:space="0" w:color="69BD28"/>
                          <w:bottom w:val="single" w:sz="6" w:space="0" w:color="69BD28"/>
                        </w:tcBorders>
                      </w:tcPr>
                      <w:p>
                        <w:pPr>
                          <w:pStyle w:val="TableParagraph"/>
                          <w:spacing w:before="22"/>
                          <w:ind w:left="694"/>
                          <w:jc w:val="left"/>
                          <w:rPr>
                            <w:sz w:val="18"/>
                          </w:rPr>
                        </w:pPr>
                        <w:r>
                          <w:rPr>
                            <w:w w:val="105"/>
                            <w:sz w:val="18"/>
                          </w:rPr>
                          <w:t>Provisional Fire NOC</w:t>
                        </w:r>
                      </w:p>
                    </w:tc>
                    <w:tc>
                      <w:tcPr>
                        <w:tcW w:w="4929" w:type="dxa"/>
                        <w:tcBorders>
                          <w:top w:val="single" w:sz="6" w:space="0" w:color="69BD28"/>
                          <w:bottom w:val="single" w:sz="6" w:space="0" w:color="69BD28"/>
                        </w:tcBorders>
                      </w:tcPr>
                      <w:p>
                        <w:pPr>
                          <w:pStyle w:val="TableParagraph"/>
                          <w:spacing w:before="22"/>
                          <w:ind w:left="504" w:right="667"/>
                          <w:rPr>
                            <w:sz w:val="18"/>
                          </w:rPr>
                        </w:pPr>
                        <w:r>
                          <w:rPr>
                            <w:sz w:val="18"/>
                          </w:rPr>
                          <w:t>Chief Fire Officer, Uttar Pradesh Fire Services</w:t>
                        </w:r>
                      </w:p>
                    </w:tc>
                    <w:tc>
                      <w:tcPr>
                        <w:tcW w:w="2568" w:type="dxa"/>
                        <w:tcBorders>
                          <w:top w:val="single" w:sz="6" w:space="0" w:color="69BD28"/>
                          <w:bottom w:val="single" w:sz="6" w:space="0" w:color="69BD28"/>
                        </w:tcBorders>
                      </w:tcPr>
                      <w:p>
                        <w:pPr>
                          <w:pStyle w:val="TableParagraph"/>
                          <w:spacing w:before="22"/>
                          <w:ind w:left="775"/>
                          <w:jc w:val="left"/>
                          <w:rPr>
                            <w:sz w:val="18"/>
                          </w:rPr>
                        </w:pPr>
                        <w:r>
                          <w:rPr>
                            <w:w w:val="110"/>
                            <w:sz w:val="18"/>
                          </w:rPr>
                          <w:t>01-09-16</w:t>
                        </w:r>
                      </w:p>
                    </w:tc>
                  </w:tr>
                  <w:tr>
                    <w:trPr>
                      <w:trHeight w:val="429" w:hRule="atLeast"/>
                    </w:trPr>
                    <w:tc>
                      <w:tcPr>
                        <w:tcW w:w="2973" w:type="dxa"/>
                        <w:tcBorders>
                          <w:top w:val="single" w:sz="6" w:space="0" w:color="69BD28"/>
                          <w:bottom w:val="single" w:sz="6" w:space="0" w:color="69BD28"/>
                        </w:tcBorders>
                      </w:tcPr>
                      <w:p>
                        <w:pPr>
                          <w:pStyle w:val="TableParagraph"/>
                          <w:spacing w:before="111"/>
                          <w:ind w:left="840"/>
                          <w:jc w:val="left"/>
                          <w:rPr>
                            <w:sz w:val="18"/>
                          </w:rPr>
                        </w:pPr>
                        <w:r>
                          <w:rPr>
                            <w:sz w:val="18"/>
                          </w:rPr>
                          <w:t>Height Clearance</w:t>
                        </w:r>
                      </w:p>
                    </w:tc>
                    <w:tc>
                      <w:tcPr>
                        <w:tcW w:w="4929" w:type="dxa"/>
                        <w:tcBorders>
                          <w:top w:val="single" w:sz="6" w:space="0" w:color="69BD28"/>
                          <w:bottom w:val="single" w:sz="6" w:space="0" w:color="69BD28"/>
                        </w:tcBorders>
                      </w:tcPr>
                      <w:p>
                        <w:pPr>
                          <w:pStyle w:val="TableParagraph"/>
                          <w:spacing w:before="111"/>
                          <w:ind w:left="501" w:right="667"/>
                          <w:rPr>
                            <w:sz w:val="18"/>
                          </w:rPr>
                        </w:pPr>
                        <w:r>
                          <w:rPr>
                            <w:sz w:val="18"/>
                          </w:rPr>
                          <w:t>Airports Authority of India</w:t>
                        </w:r>
                      </w:p>
                    </w:tc>
                    <w:tc>
                      <w:tcPr>
                        <w:tcW w:w="2568" w:type="dxa"/>
                        <w:tcBorders>
                          <w:top w:val="single" w:sz="6" w:space="0" w:color="69BD28"/>
                          <w:bottom w:val="single" w:sz="6" w:space="0" w:color="69BD28"/>
                        </w:tcBorders>
                      </w:tcPr>
                      <w:p>
                        <w:pPr>
                          <w:pStyle w:val="TableParagraph"/>
                          <w:spacing w:before="111"/>
                          <w:ind w:left="775"/>
                          <w:jc w:val="left"/>
                          <w:rPr>
                            <w:sz w:val="18"/>
                          </w:rPr>
                        </w:pPr>
                        <w:r>
                          <w:rPr>
                            <w:w w:val="110"/>
                            <w:sz w:val="18"/>
                          </w:rPr>
                          <w:t>04-10-17</w:t>
                        </w:r>
                      </w:p>
                    </w:tc>
                  </w:tr>
                  <w:tr>
                    <w:trPr>
                      <w:trHeight w:val="256" w:hRule="atLeast"/>
                    </w:trPr>
                    <w:tc>
                      <w:tcPr>
                        <w:tcW w:w="2973" w:type="dxa"/>
                        <w:tcBorders>
                          <w:top w:val="single" w:sz="6" w:space="0" w:color="69BD28"/>
                          <w:bottom w:val="single" w:sz="6" w:space="0" w:color="69BD28"/>
                        </w:tcBorders>
                      </w:tcPr>
                      <w:p>
                        <w:pPr>
                          <w:pStyle w:val="TableParagraph"/>
                          <w:spacing w:before="25"/>
                          <w:ind w:left="953"/>
                          <w:jc w:val="left"/>
                          <w:rPr>
                            <w:sz w:val="18"/>
                          </w:rPr>
                        </w:pPr>
                        <w:r>
                          <w:rPr>
                            <w:w w:val="105"/>
                            <w:sz w:val="18"/>
                          </w:rPr>
                          <w:t>Pollution NOC</w:t>
                        </w:r>
                      </w:p>
                    </w:tc>
                    <w:tc>
                      <w:tcPr>
                        <w:tcW w:w="4929" w:type="dxa"/>
                        <w:tcBorders>
                          <w:top w:val="single" w:sz="6" w:space="0" w:color="69BD28"/>
                          <w:bottom w:val="single" w:sz="6" w:space="0" w:color="69BD28"/>
                        </w:tcBorders>
                      </w:tcPr>
                      <w:p>
                        <w:pPr>
                          <w:pStyle w:val="TableParagraph"/>
                          <w:spacing w:before="25"/>
                          <w:ind w:left="502" w:right="667"/>
                          <w:rPr>
                            <w:sz w:val="18"/>
                          </w:rPr>
                        </w:pPr>
                        <w:r>
                          <w:rPr>
                            <w:sz w:val="18"/>
                          </w:rPr>
                          <w:t>Uttar Pradesh Pollution Control Board</w:t>
                        </w:r>
                      </w:p>
                    </w:tc>
                    <w:tc>
                      <w:tcPr>
                        <w:tcW w:w="2568" w:type="dxa"/>
                        <w:tcBorders>
                          <w:top w:val="single" w:sz="6" w:space="0" w:color="69BD28"/>
                          <w:bottom w:val="single" w:sz="6" w:space="0" w:color="69BD28"/>
                        </w:tcBorders>
                      </w:tcPr>
                      <w:p>
                        <w:pPr>
                          <w:pStyle w:val="TableParagraph"/>
                          <w:spacing w:before="25"/>
                          <w:ind w:left="775"/>
                          <w:jc w:val="left"/>
                          <w:rPr>
                            <w:sz w:val="18"/>
                          </w:rPr>
                        </w:pPr>
                        <w:r>
                          <w:rPr>
                            <w:w w:val="110"/>
                            <w:sz w:val="18"/>
                          </w:rPr>
                          <w:t>17-05-18</w:t>
                        </w:r>
                      </w:p>
                    </w:tc>
                  </w:tr>
                  <w:tr>
                    <w:trPr>
                      <w:trHeight w:val="256" w:hRule="atLeast"/>
                    </w:trPr>
                    <w:tc>
                      <w:tcPr>
                        <w:tcW w:w="2973" w:type="dxa"/>
                        <w:tcBorders>
                          <w:top w:val="single" w:sz="6" w:space="0" w:color="69BD28"/>
                          <w:bottom w:val="single" w:sz="6" w:space="0" w:color="69BD28"/>
                        </w:tcBorders>
                      </w:tcPr>
                      <w:p>
                        <w:pPr>
                          <w:pStyle w:val="TableParagraph"/>
                          <w:spacing w:before="25"/>
                          <w:ind w:left="737"/>
                          <w:jc w:val="left"/>
                          <w:rPr>
                            <w:sz w:val="18"/>
                          </w:rPr>
                        </w:pPr>
                        <w:r>
                          <w:rPr>
                            <w:sz w:val="18"/>
                          </w:rPr>
                          <w:t>Structural Certificate</w:t>
                        </w:r>
                      </w:p>
                    </w:tc>
                    <w:tc>
                      <w:tcPr>
                        <w:tcW w:w="4929" w:type="dxa"/>
                        <w:tcBorders>
                          <w:top w:val="single" w:sz="6" w:space="0" w:color="69BD28"/>
                          <w:bottom w:val="single" w:sz="6" w:space="0" w:color="69BD28"/>
                        </w:tcBorders>
                      </w:tcPr>
                      <w:p>
                        <w:pPr>
                          <w:pStyle w:val="TableParagraph"/>
                          <w:spacing w:before="25"/>
                          <w:ind w:left="500" w:right="667"/>
                          <w:rPr>
                            <w:sz w:val="18"/>
                          </w:rPr>
                        </w:pPr>
                        <w:r>
                          <w:rPr>
                            <w:sz w:val="18"/>
                          </w:rPr>
                          <w:t>TPC Technical Projects Consultants Pvt. Ltd.</w:t>
                        </w:r>
                      </w:p>
                    </w:tc>
                    <w:tc>
                      <w:tcPr>
                        <w:tcW w:w="2568" w:type="dxa"/>
                        <w:tcBorders>
                          <w:top w:val="single" w:sz="6" w:space="0" w:color="69BD28"/>
                          <w:bottom w:val="single" w:sz="6" w:space="0" w:color="69BD28"/>
                        </w:tcBorders>
                      </w:tcPr>
                      <w:p>
                        <w:pPr>
                          <w:pStyle w:val="TableParagraph"/>
                          <w:spacing w:before="25"/>
                          <w:ind w:left="775"/>
                          <w:jc w:val="left"/>
                          <w:rPr>
                            <w:sz w:val="18"/>
                          </w:rPr>
                        </w:pPr>
                        <w:r>
                          <w:rPr>
                            <w:w w:val="110"/>
                            <w:sz w:val="18"/>
                          </w:rPr>
                          <w:t>22-03-16</w:t>
                        </w:r>
                      </w:p>
                    </w:tc>
                  </w:tr>
                </w:tbl>
                <w:p>
                  <w:pPr>
                    <w:pStyle w:val="BodyText"/>
                  </w:pPr>
                </w:p>
              </w:txbxContent>
            </v:textbox>
            <w10:wrap type="none"/>
          </v:shape>
        </w:pict>
      </w:r>
      <w:r>
        <w:rPr>
          <w:position w:val="-10"/>
          <w:sz w:val="18"/>
        </w:rPr>
        <w:t>Environmental</w:t>
      </w:r>
      <w:r>
        <w:rPr>
          <w:spacing w:val="-14"/>
          <w:position w:val="-10"/>
          <w:sz w:val="18"/>
        </w:rPr>
        <w:t> </w:t>
      </w:r>
      <w:r>
        <w:rPr>
          <w:position w:val="-10"/>
          <w:sz w:val="18"/>
        </w:rPr>
        <w:t>Clearance</w:t>
        <w:tab/>
      </w:r>
      <w:r>
        <w:rPr>
          <w:w w:val="95"/>
          <w:sz w:val="18"/>
        </w:rPr>
        <w:t>State</w:t>
      </w:r>
      <w:r>
        <w:rPr>
          <w:spacing w:val="-8"/>
          <w:w w:val="95"/>
          <w:sz w:val="18"/>
        </w:rPr>
        <w:t> </w:t>
      </w:r>
      <w:r>
        <w:rPr>
          <w:w w:val="95"/>
          <w:sz w:val="18"/>
        </w:rPr>
        <w:t>Level</w:t>
      </w:r>
      <w:r>
        <w:rPr>
          <w:spacing w:val="-9"/>
          <w:w w:val="95"/>
          <w:sz w:val="18"/>
        </w:rPr>
        <w:t> </w:t>
      </w:r>
      <w:r>
        <w:rPr>
          <w:w w:val="95"/>
          <w:sz w:val="18"/>
        </w:rPr>
        <w:t>Environment</w:t>
      </w:r>
      <w:r>
        <w:rPr>
          <w:spacing w:val="-10"/>
          <w:w w:val="95"/>
          <w:sz w:val="18"/>
        </w:rPr>
        <w:t> </w:t>
      </w:r>
      <w:r>
        <w:rPr>
          <w:w w:val="95"/>
          <w:sz w:val="18"/>
        </w:rPr>
        <w:t>Impact</w:t>
      </w:r>
      <w:r>
        <w:rPr>
          <w:spacing w:val="-10"/>
          <w:w w:val="95"/>
          <w:sz w:val="18"/>
        </w:rPr>
        <w:t> </w:t>
      </w:r>
      <w:r>
        <w:rPr>
          <w:w w:val="95"/>
          <w:sz w:val="18"/>
        </w:rPr>
        <w:t>Assessment</w:t>
      </w:r>
      <w:r>
        <w:rPr>
          <w:spacing w:val="-9"/>
          <w:w w:val="95"/>
          <w:sz w:val="18"/>
        </w:rPr>
        <w:t> </w:t>
      </w:r>
      <w:r>
        <w:rPr>
          <w:w w:val="95"/>
          <w:sz w:val="18"/>
        </w:rPr>
        <w:t>Authority,</w:t>
      </w:r>
    </w:p>
    <w:p>
      <w:pPr>
        <w:spacing w:before="166"/>
        <w:ind w:left="1194" w:right="0" w:firstLine="0"/>
        <w:jc w:val="left"/>
        <w:rPr>
          <w:sz w:val="18"/>
        </w:rPr>
      </w:pPr>
      <w:r>
        <w:rPr/>
        <w:br w:type="column"/>
      </w:r>
      <w:r>
        <w:rPr>
          <w:w w:val="110"/>
          <w:sz w:val="18"/>
        </w:rPr>
        <w:t>16-08-16</w:t>
      </w:r>
    </w:p>
    <w:p>
      <w:pPr>
        <w:spacing w:after="0"/>
        <w:jc w:val="left"/>
        <w:rPr>
          <w:sz w:val="18"/>
        </w:rPr>
        <w:sectPr>
          <w:type w:val="continuous"/>
          <w:pgSz w:w="11910" w:h="16840"/>
          <w:pgMar w:top="800" w:bottom="280" w:left="40" w:right="40"/>
          <w:cols w:num="2" w:equalWidth="0">
            <w:col w:w="8124" w:space="40"/>
            <w:col w:w="3666"/>
          </w:cols>
        </w:sectPr>
      </w:pPr>
    </w:p>
    <w:p>
      <w:pPr>
        <w:pStyle w:val="BodyText"/>
        <w:rPr>
          <w:sz w:val="32"/>
        </w:rPr>
      </w:pPr>
    </w:p>
    <w:p>
      <w:pPr>
        <w:pStyle w:val="BodyText"/>
        <w:rPr>
          <w:sz w:val="32"/>
        </w:rPr>
      </w:pPr>
    </w:p>
    <w:p>
      <w:pPr>
        <w:pStyle w:val="BodyText"/>
        <w:rPr>
          <w:sz w:val="32"/>
        </w:rPr>
      </w:pPr>
    </w:p>
    <w:p>
      <w:pPr>
        <w:tabs>
          <w:tab w:pos="3310" w:val="left" w:leader="none"/>
          <w:tab w:pos="8514" w:val="right" w:leader="none"/>
        </w:tabs>
        <w:spacing w:before="279"/>
        <w:ind w:left="0" w:right="88" w:firstLine="0"/>
        <w:jc w:val="center"/>
        <w:rPr>
          <w:sz w:val="18"/>
        </w:rPr>
      </w:pPr>
      <w:r>
        <w:rPr/>
        <w:pict>
          <v:shape style="position:absolute;margin-left:36pt;margin-top:35.820660pt;width:523.6pt;height:.75pt;mso-position-horizontal-relative:page;mso-position-vertical-relative:paragraph;z-index:-14901760;mso-wrap-distance-left:0;mso-wrap-distance-right:0" coordorigin="720,716" coordsize="10472,15" path="m8373,716l3795,716,3781,716,720,716,720,731,3781,731,3795,731,8373,731,8373,716xm11191,716l8388,716,8373,716,8373,731,8388,731,11191,731,11191,716xe" filled="true" fillcolor="#69bd28" stroked="false">
            <v:path arrowok="t"/>
            <v:fill type="solid"/>
            <w10:wrap type="topAndBottom"/>
          </v:shape>
        </w:pict>
      </w:r>
      <w:r>
        <w:rPr/>
        <w:pict>
          <v:shape style="position:absolute;margin-left:469.899994pt;margin-top:24.514668pt;width:38.450pt;height:10.8pt;mso-position-horizontal-relative:page;mso-position-vertical-relative:paragraph;z-index:-34071040" type="#_x0000_t202" filled="false" stroked="false">
            <v:textbox inset="0,0,0,0">
              <w:txbxContent>
                <w:p>
                  <w:pPr>
                    <w:spacing w:before="4"/>
                    <w:ind w:left="0" w:right="0" w:firstLine="0"/>
                    <w:jc w:val="left"/>
                    <w:rPr>
                      <w:sz w:val="18"/>
                    </w:rPr>
                  </w:pPr>
                  <w:r>
                    <w:rPr>
                      <w:w w:val="105"/>
                      <w:sz w:val="18"/>
                    </w:rPr>
                    <w:t>16-02-16</w:t>
                  </w:r>
                </w:p>
              </w:txbxContent>
            </v:textbox>
            <w10:wrap type="none"/>
          </v:shape>
        </w:pict>
      </w:r>
      <w:r>
        <w:rPr>
          <w:sz w:val="18"/>
        </w:rPr>
        <w:t>Soil</w:t>
      </w:r>
      <w:r>
        <w:rPr>
          <w:spacing w:val="-20"/>
          <w:sz w:val="18"/>
        </w:rPr>
        <w:t> </w:t>
      </w:r>
      <w:r>
        <w:rPr>
          <w:sz w:val="18"/>
        </w:rPr>
        <w:t>Test</w:t>
      </w:r>
      <w:r>
        <w:rPr>
          <w:spacing w:val="-20"/>
          <w:sz w:val="18"/>
        </w:rPr>
        <w:t> </w:t>
      </w:r>
      <w:r>
        <w:rPr>
          <w:sz w:val="18"/>
        </w:rPr>
        <w:t>Report</w:t>
        <w:tab/>
        <w:t>Nagadi Consultants</w:t>
      </w:r>
      <w:r>
        <w:rPr>
          <w:spacing w:val="-4"/>
          <w:sz w:val="18"/>
        </w:rPr>
        <w:t> </w:t>
      </w:r>
      <w:r>
        <w:rPr>
          <w:sz w:val="18"/>
        </w:rPr>
        <w:t>Pvt.</w:t>
      </w:r>
      <w:r>
        <w:rPr>
          <w:spacing w:val="-2"/>
          <w:sz w:val="18"/>
        </w:rPr>
        <w:t> </w:t>
      </w:r>
      <w:r>
        <w:rPr>
          <w:sz w:val="18"/>
        </w:rPr>
        <w:t>Ltd.</w:t>
        <w:tab/>
      </w:r>
      <w:r>
        <w:rPr>
          <w:position w:val="11"/>
          <w:sz w:val="18"/>
        </w:rPr>
        <w:t>03-02-16</w:t>
      </w:r>
    </w:p>
    <w:p>
      <w:pPr>
        <w:tabs>
          <w:tab w:pos="3418" w:val="left" w:leader="none"/>
          <w:tab w:pos="7748" w:val="left" w:leader="none"/>
        </w:tabs>
        <w:spacing w:before="0" w:after="25"/>
        <w:ind w:left="0" w:right="95" w:firstLine="0"/>
        <w:jc w:val="center"/>
        <w:rPr>
          <w:sz w:val="18"/>
        </w:rPr>
      </w:pPr>
      <w:r>
        <w:rPr>
          <w:sz w:val="18"/>
        </w:rPr>
        <w:t>LEED</w:t>
      </w:r>
      <w:r>
        <w:rPr>
          <w:spacing w:val="-22"/>
          <w:sz w:val="18"/>
        </w:rPr>
        <w:t> </w:t>
      </w:r>
      <w:r>
        <w:rPr>
          <w:sz w:val="18"/>
        </w:rPr>
        <w:t>Gold</w:t>
      </w:r>
      <w:r>
        <w:rPr>
          <w:spacing w:val="-21"/>
          <w:sz w:val="18"/>
        </w:rPr>
        <w:t> </w:t>
      </w:r>
      <w:r>
        <w:rPr>
          <w:sz w:val="18"/>
        </w:rPr>
        <w:t>Pre-Certification</w:t>
        <w:tab/>
        <w:t>U.S. Green Building</w:t>
      </w:r>
      <w:r>
        <w:rPr>
          <w:spacing w:val="8"/>
          <w:sz w:val="18"/>
        </w:rPr>
        <w:t> </w:t>
      </w:r>
      <w:r>
        <w:rPr>
          <w:sz w:val="18"/>
        </w:rPr>
        <w:t>Council</w:t>
      </w:r>
      <w:r>
        <w:rPr>
          <w:spacing w:val="3"/>
          <w:sz w:val="18"/>
        </w:rPr>
        <w:t> </w:t>
      </w:r>
      <w:r>
        <w:rPr>
          <w:sz w:val="18"/>
        </w:rPr>
        <w:t>(USGBC)</w:t>
        <w:tab/>
        <w:t>Tower 1:</w:t>
      </w:r>
      <w:r>
        <w:rPr>
          <w:spacing w:val="1"/>
          <w:sz w:val="18"/>
        </w:rPr>
        <w:t> </w:t>
      </w:r>
      <w:r>
        <w:rPr>
          <w:sz w:val="18"/>
        </w:rPr>
        <w:t>22-03-2017</w:t>
      </w:r>
    </w:p>
    <w:p>
      <w:pPr>
        <w:pStyle w:val="BodyText"/>
        <w:spacing w:line="20" w:lineRule="exact"/>
        <w:ind w:left="665"/>
        <w:rPr>
          <w:sz w:val="2"/>
        </w:rPr>
      </w:pPr>
      <w:r>
        <w:rPr>
          <w:sz w:val="2"/>
        </w:rPr>
        <w:pict>
          <v:group style="width:524.3pt;height:.75pt;mso-position-horizontal-relative:char;mso-position-vertical-relative:line" coordorigin="0,0" coordsize="10486,15">
            <v:rect style="position:absolute;left:0;top:0;width:10486;height:15" filled="true" fillcolor="#69bd28" stroked="false">
              <v:fill type="solid"/>
            </v:rect>
          </v:group>
        </w:pict>
      </w:r>
      <w:r>
        <w:rPr>
          <w:sz w:val="2"/>
        </w:rPr>
      </w:r>
    </w:p>
    <w:p>
      <w:pPr>
        <w:spacing w:before="0"/>
        <w:ind w:left="680" w:right="0" w:firstLine="0"/>
        <w:jc w:val="left"/>
        <w:rPr>
          <w:i/>
          <w:sz w:val="18"/>
        </w:rPr>
      </w:pPr>
      <w:r>
        <w:rPr>
          <w:i/>
          <w:sz w:val="18"/>
        </w:rPr>
        <w:t>Source: Information/ approval documents provided by Client;</w:t>
      </w:r>
    </w:p>
    <w:p>
      <w:pPr>
        <w:pStyle w:val="BodyText"/>
        <w:spacing w:before="10"/>
        <w:rPr>
          <w:i/>
          <w:sz w:val="26"/>
        </w:rPr>
      </w:pPr>
    </w:p>
    <w:p>
      <w:pPr>
        <w:pStyle w:val="BodyText"/>
        <w:ind w:left="1246"/>
      </w:pPr>
      <w:r>
        <w:rPr>
          <w:u w:val="single"/>
        </w:rPr>
        <w:t>Embassy Galaxy</w:t>
      </w:r>
    </w:p>
    <w:p>
      <w:pPr>
        <w:pStyle w:val="BodyText"/>
        <w:spacing w:before="2"/>
        <w:rPr>
          <w:sz w:val="19"/>
        </w:rPr>
      </w:pPr>
    </w:p>
    <w:p>
      <w:pPr>
        <w:pStyle w:val="BodyText"/>
        <w:spacing w:line="321" w:lineRule="auto" w:before="106"/>
        <w:ind w:left="1246" w:right="607"/>
      </w:pPr>
      <w:r>
        <w:rPr/>
        <w:t>As</w:t>
      </w:r>
      <w:r>
        <w:rPr>
          <w:spacing w:val="-30"/>
        </w:rPr>
        <w:t> </w:t>
      </w:r>
      <w:r>
        <w:rPr/>
        <w:t>per</w:t>
      </w:r>
      <w:r>
        <w:rPr>
          <w:spacing w:val="-29"/>
        </w:rPr>
        <w:t> </w:t>
      </w:r>
      <w:r>
        <w:rPr/>
        <w:t>the</w:t>
      </w:r>
      <w:r>
        <w:rPr>
          <w:spacing w:val="-29"/>
        </w:rPr>
        <w:t> </w:t>
      </w:r>
      <w:r>
        <w:rPr/>
        <w:t>review</w:t>
      </w:r>
      <w:r>
        <w:rPr>
          <w:spacing w:val="-29"/>
        </w:rPr>
        <w:t> </w:t>
      </w:r>
      <w:r>
        <w:rPr/>
        <w:t>of</w:t>
      </w:r>
      <w:r>
        <w:rPr>
          <w:spacing w:val="-28"/>
        </w:rPr>
        <w:t> </w:t>
      </w:r>
      <w:r>
        <w:rPr/>
        <w:t>documents</w:t>
      </w:r>
      <w:r>
        <w:rPr>
          <w:spacing w:val="-28"/>
        </w:rPr>
        <w:t> </w:t>
      </w:r>
      <w:r>
        <w:rPr/>
        <w:t>provided</w:t>
      </w:r>
      <w:r>
        <w:rPr>
          <w:spacing w:val="-28"/>
        </w:rPr>
        <w:t> </w:t>
      </w:r>
      <w:r>
        <w:rPr/>
        <w:t>by</w:t>
      </w:r>
      <w:r>
        <w:rPr>
          <w:spacing w:val="-27"/>
        </w:rPr>
        <w:t> </w:t>
      </w:r>
      <w:r>
        <w:rPr/>
        <w:t>the</w:t>
      </w:r>
      <w:r>
        <w:rPr>
          <w:spacing w:val="-29"/>
        </w:rPr>
        <w:t> </w:t>
      </w:r>
      <w:r>
        <w:rPr/>
        <w:t>Client,</w:t>
      </w:r>
      <w:r>
        <w:rPr>
          <w:spacing w:val="-29"/>
        </w:rPr>
        <w:t> </w:t>
      </w:r>
      <w:r>
        <w:rPr/>
        <w:t>we</w:t>
      </w:r>
      <w:r>
        <w:rPr>
          <w:spacing w:val="-29"/>
        </w:rPr>
        <w:t> </w:t>
      </w:r>
      <w:r>
        <w:rPr/>
        <w:t>understand</w:t>
      </w:r>
      <w:r>
        <w:rPr>
          <w:spacing w:val="-28"/>
        </w:rPr>
        <w:t> </w:t>
      </w:r>
      <w:r>
        <w:rPr/>
        <w:t>that</w:t>
      </w:r>
      <w:r>
        <w:rPr>
          <w:spacing w:val="-28"/>
        </w:rPr>
        <w:t> </w:t>
      </w:r>
      <w:r>
        <w:rPr/>
        <w:t>all</w:t>
      </w:r>
      <w:r>
        <w:rPr>
          <w:spacing w:val="-30"/>
        </w:rPr>
        <w:t> </w:t>
      </w:r>
      <w:r>
        <w:rPr/>
        <w:t>requisite</w:t>
      </w:r>
      <w:r>
        <w:rPr>
          <w:spacing w:val="-29"/>
        </w:rPr>
        <w:t> </w:t>
      </w:r>
      <w:r>
        <w:rPr/>
        <w:t>approvals</w:t>
      </w:r>
      <w:r>
        <w:rPr>
          <w:spacing w:val="-27"/>
        </w:rPr>
        <w:t> </w:t>
      </w:r>
      <w:r>
        <w:rPr/>
        <w:t>along with</w:t>
      </w:r>
      <w:r>
        <w:rPr>
          <w:spacing w:val="-23"/>
        </w:rPr>
        <w:t> </w:t>
      </w:r>
      <w:r>
        <w:rPr/>
        <w:t>the</w:t>
      </w:r>
      <w:r>
        <w:rPr>
          <w:spacing w:val="-23"/>
        </w:rPr>
        <w:t> </w:t>
      </w:r>
      <w:r>
        <w:rPr/>
        <w:t>occupancy/</w:t>
      </w:r>
      <w:r>
        <w:rPr>
          <w:spacing w:val="-23"/>
        </w:rPr>
        <w:t> </w:t>
      </w:r>
      <w:r>
        <w:rPr/>
        <w:t>completion</w:t>
      </w:r>
      <w:r>
        <w:rPr>
          <w:spacing w:val="-23"/>
        </w:rPr>
        <w:t> </w:t>
      </w:r>
      <w:r>
        <w:rPr/>
        <w:t>certificates</w:t>
      </w:r>
      <w:r>
        <w:rPr>
          <w:spacing w:val="-21"/>
        </w:rPr>
        <w:t> </w:t>
      </w:r>
      <w:r>
        <w:rPr/>
        <w:t>have</w:t>
      </w:r>
      <w:r>
        <w:rPr>
          <w:spacing w:val="-22"/>
        </w:rPr>
        <w:t> </w:t>
      </w:r>
      <w:r>
        <w:rPr/>
        <w:t>been</w:t>
      </w:r>
      <w:r>
        <w:rPr>
          <w:spacing w:val="-23"/>
        </w:rPr>
        <w:t> </w:t>
      </w:r>
      <w:r>
        <w:rPr/>
        <w:t>received</w:t>
      </w:r>
      <w:r>
        <w:rPr>
          <w:spacing w:val="-21"/>
        </w:rPr>
        <w:t> </w:t>
      </w:r>
      <w:r>
        <w:rPr/>
        <w:t>for</w:t>
      </w:r>
      <w:r>
        <w:rPr>
          <w:spacing w:val="-23"/>
        </w:rPr>
        <w:t> </w:t>
      </w:r>
      <w:r>
        <w:rPr/>
        <w:t>the</w:t>
      </w:r>
      <w:r>
        <w:rPr>
          <w:spacing w:val="-23"/>
        </w:rPr>
        <w:t> </w:t>
      </w:r>
      <w:r>
        <w:rPr/>
        <w:t>subject</w:t>
      </w:r>
      <w:r>
        <w:rPr>
          <w:spacing w:val="-22"/>
        </w:rPr>
        <w:t> </w:t>
      </w:r>
      <w:r>
        <w:rPr/>
        <w:t>development.</w:t>
      </w:r>
    </w:p>
    <w:p>
      <w:pPr>
        <w:pStyle w:val="BodyText"/>
        <w:spacing w:before="9"/>
        <w:rPr>
          <w:sz w:val="20"/>
        </w:rPr>
      </w:pPr>
    </w:p>
    <w:p>
      <w:pPr>
        <w:pStyle w:val="BodyText"/>
        <w:spacing w:line="319" w:lineRule="auto" w:before="1"/>
        <w:ind w:left="1246" w:right="607"/>
      </w:pPr>
      <w:r>
        <w:rPr/>
        <w:t>The</w:t>
      </w:r>
      <w:r>
        <w:rPr>
          <w:spacing w:val="-35"/>
        </w:rPr>
        <w:t> </w:t>
      </w:r>
      <w:r>
        <w:rPr/>
        <w:t>details</w:t>
      </w:r>
      <w:r>
        <w:rPr>
          <w:spacing w:val="-33"/>
        </w:rPr>
        <w:t> </w:t>
      </w:r>
      <w:r>
        <w:rPr/>
        <w:t>of</w:t>
      </w:r>
      <w:r>
        <w:rPr>
          <w:spacing w:val="-35"/>
        </w:rPr>
        <w:t> </w:t>
      </w:r>
      <w:r>
        <w:rPr/>
        <w:t>the</w:t>
      </w:r>
      <w:r>
        <w:rPr>
          <w:spacing w:val="-35"/>
        </w:rPr>
        <w:t> </w:t>
      </w:r>
      <w:r>
        <w:rPr/>
        <w:t>Occupancy/</w:t>
      </w:r>
      <w:r>
        <w:rPr>
          <w:spacing w:val="-34"/>
        </w:rPr>
        <w:t> </w:t>
      </w:r>
      <w:r>
        <w:rPr/>
        <w:t>Completion</w:t>
      </w:r>
      <w:r>
        <w:rPr>
          <w:spacing w:val="-34"/>
        </w:rPr>
        <w:t> </w:t>
      </w:r>
      <w:r>
        <w:rPr/>
        <w:t>Certificates</w:t>
      </w:r>
      <w:r>
        <w:rPr>
          <w:spacing w:val="-34"/>
        </w:rPr>
        <w:t> </w:t>
      </w:r>
      <w:r>
        <w:rPr/>
        <w:t>for</w:t>
      </w:r>
      <w:r>
        <w:rPr>
          <w:spacing w:val="-35"/>
        </w:rPr>
        <w:t> </w:t>
      </w:r>
      <w:r>
        <w:rPr/>
        <w:t>the</w:t>
      </w:r>
      <w:r>
        <w:rPr>
          <w:spacing w:val="-35"/>
        </w:rPr>
        <w:t> </w:t>
      </w:r>
      <w:r>
        <w:rPr/>
        <w:t>subject</w:t>
      </w:r>
      <w:r>
        <w:rPr>
          <w:spacing w:val="-35"/>
        </w:rPr>
        <w:t> </w:t>
      </w:r>
      <w:r>
        <w:rPr/>
        <w:t>development</w:t>
      </w:r>
      <w:r>
        <w:rPr>
          <w:spacing w:val="-32"/>
        </w:rPr>
        <w:t> </w:t>
      </w:r>
      <w:r>
        <w:rPr/>
        <w:t>shared</w:t>
      </w:r>
      <w:r>
        <w:rPr>
          <w:spacing w:val="-35"/>
        </w:rPr>
        <w:t> </w:t>
      </w:r>
      <w:r>
        <w:rPr/>
        <w:t>by</w:t>
      </w:r>
      <w:r>
        <w:rPr>
          <w:spacing w:val="-34"/>
        </w:rPr>
        <w:t> </w:t>
      </w:r>
      <w:r>
        <w:rPr/>
        <w:t>the</w:t>
      </w:r>
      <w:r>
        <w:rPr>
          <w:spacing w:val="-35"/>
        </w:rPr>
        <w:t> </w:t>
      </w:r>
      <w:r>
        <w:rPr/>
        <w:t>Client have been tabulated</w:t>
      </w:r>
      <w:r>
        <w:rPr>
          <w:spacing w:val="-10"/>
        </w:rPr>
        <w:t> </w:t>
      </w:r>
      <w:r>
        <w:rPr/>
        <w:t>below:</w:t>
      </w:r>
    </w:p>
    <w:p>
      <w:pPr>
        <w:pStyle w:val="BodyText"/>
        <w:spacing w:before="8"/>
        <w:rPr>
          <w:sz w:val="9"/>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53"/>
        <w:gridCol w:w="5036"/>
        <w:gridCol w:w="3147"/>
      </w:tblGrid>
      <w:tr>
        <w:trPr>
          <w:trHeight w:val="323" w:hRule="atLeast"/>
        </w:trPr>
        <w:tc>
          <w:tcPr>
            <w:tcW w:w="2453" w:type="dxa"/>
            <w:tcBorders>
              <w:top w:val="single" w:sz="12" w:space="0" w:color="1F6B16"/>
              <w:bottom w:val="single" w:sz="6" w:space="0" w:color="69BD28"/>
            </w:tcBorders>
            <w:shd w:val="clear" w:color="auto" w:fill="006A4D"/>
          </w:tcPr>
          <w:p>
            <w:pPr>
              <w:pStyle w:val="TableParagraph"/>
              <w:spacing w:before="58"/>
              <w:ind w:right="480"/>
              <w:jc w:val="right"/>
              <w:rPr>
                <w:b/>
                <w:sz w:val="18"/>
              </w:rPr>
            </w:pPr>
            <w:r>
              <w:rPr>
                <w:b/>
                <w:color w:val="FFFFFF"/>
                <w:w w:val="115"/>
                <w:sz w:val="18"/>
              </w:rPr>
              <w:t>Block Name</w:t>
            </w:r>
          </w:p>
        </w:tc>
        <w:tc>
          <w:tcPr>
            <w:tcW w:w="5036" w:type="dxa"/>
            <w:tcBorders>
              <w:top w:val="single" w:sz="12" w:space="0" w:color="1F6B16"/>
              <w:bottom w:val="single" w:sz="6" w:space="0" w:color="69BD28"/>
            </w:tcBorders>
            <w:shd w:val="clear" w:color="auto" w:fill="006A4D"/>
          </w:tcPr>
          <w:p>
            <w:pPr>
              <w:pStyle w:val="TableParagraph"/>
              <w:spacing w:before="58"/>
              <w:ind w:left="444" w:right="257"/>
              <w:rPr>
                <w:b/>
                <w:sz w:val="18"/>
              </w:rPr>
            </w:pPr>
            <w:r>
              <w:rPr>
                <w:b/>
                <w:color w:val="FFFFFF"/>
                <w:w w:val="105"/>
                <w:sz w:val="18"/>
              </w:rPr>
              <w:t>Authority</w:t>
            </w:r>
          </w:p>
        </w:tc>
        <w:tc>
          <w:tcPr>
            <w:tcW w:w="3147" w:type="dxa"/>
            <w:tcBorders>
              <w:top w:val="single" w:sz="12" w:space="0" w:color="1F6B16"/>
              <w:bottom w:val="single" w:sz="6" w:space="0" w:color="69BD28"/>
            </w:tcBorders>
            <w:shd w:val="clear" w:color="auto" w:fill="006A4D"/>
          </w:tcPr>
          <w:p>
            <w:pPr>
              <w:pStyle w:val="TableParagraph"/>
              <w:spacing w:before="58"/>
              <w:ind w:left="299" w:right="476"/>
              <w:rPr>
                <w:b/>
                <w:sz w:val="18"/>
              </w:rPr>
            </w:pPr>
            <w:r>
              <w:rPr>
                <w:b/>
                <w:color w:val="FFFFFF"/>
                <w:w w:val="110"/>
                <w:sz w:val="18"/>
              </w:rPr>
              <w:t>Date of Issue (DD-MM-YY)</w:t>
            </w:r>
          </w:p>
        </w:tc>
      </w:tr>
      <w:tr>
        <w:trPr>
          <w:trHeight w:val="256" w:hRule="atLeast"/>
        </w:trPr>
        <w:tc>
          <w:tcPr>
            <w:tcW w:w="2453" w:type="dxa"/>
            <w:tcBorders>
              <w:top w:val="single" w:sz="6" w:space="0" w:color="69BD28"/>
              <w:bottom w:val="single" w:sz="6" w:space="0" w:color="69BD28"/>
            </w:tcBorders>
          </w:tcPr>
          <w:p>
            <w:pPr>
              <w:pStyle w:val="TableParagraph"/>
              <w:spacing w:before="22"/>
              <w:ind w:right="530"/>
              <w:jc w:val="right"/>
              <w:rPr>
                <w:sz w:val="18"/>
              </w:rPr>
            </w:pPr>
            <w:r>
              <w:rPr>
                <w:w w:val="105"/>
                <w:sz w:val="18"/>
              </w:rPr>
              <w:t>Towers A – E</w:t>
            </w:r>
          </w:p>
        </w:tc>
        <w:tc>
          <w:tcPr>
            <w:tcW w:w="5036" w:type="dxa"/>
            <w:tcBorders>
              <w:top w:val="single" w:sz="6" w:space="0" w:color="69BD28"/>
              <w:bottom w:val="single" w:sz="6" w:space="0" w:color="69BD28"/>
            </w:tcBorders>
          </w:tcPr>
          <w:p>
            <w:pPr>
              <w:pStyle w:val="TableParagraph"/>
              <w:spacing w:before="22"/>
              <w:ind w:left="444" w:right="266"/>
              <w:rPr>
                <w:sz w:val="18"/>
              </w:rPr>
            </w:pPr>
            <w:r>
              <w:rPr>
                <w:sz w:val="18"/>
              </w:rPr>
              <w:t>New Okhla Industrial Development Authority (NOIDA)</w:t>
            </w:r>
          </w:p>
        </w:tc>
        <w:tc>
          <w:tcPr>
            <w:tcW w:w="3147" w:type="dxa"/>
            <w:tcBorders>
              <w:top w:val="single" w:sz="6" w:space="0" w:color="69BD28"/>
              <w:bottom w:val="single" w:sz="6" w:space="0" w:color="69BD28"/>
            </w:tcBorders>
          </w:tcPr>
          <w:p>
            <w:pPr>
              <w:pStyle w:val="TableParagraph"/>
              <w:spacing w:before="22"/>
              <w:ind w:left="295" w:right="477"/>
              <w:rPr>
                <w:sz w:val="18"/>
              </w:rPr>
            </w:pPr>
            <w:r>
              <w:rPr>
                <w:w w:val="105"/>
                <w:sz w:val="18"/>
              </w:rPr>
              <w:t>08-10-07 to 16-12-11</w:t>
            </w:r>
          </w:p>
        </w:tc>
      </w:tr>
    </w:tbl>
    <w:p>
      <w:pPr>
        <w:spacing w:before="0"/>
        <w:ind w:left="680" w:right="0" w:firstLine="0"/>
        <w:jc w:val="left"/>
        <w:rPr>
          <w:i/>
          <w:sz w:val="18"/>
        </w:rPr>
      </w:pPr>
      <w:r>
        <w:rPr>
          <w:i/>
          <w:sz w:val="18"/>
        </w:rPr>
        <w:t>Source: Information/ approval documents provided by Client</w:t>
      </w:r>
    </w:p>
    <w:p>
      <w:pPr>
        <w:pStyle w:val="BodyText"/>
        <w:spacing w:before="10"/>
        <w:rPr>
          <w:i/>
          <w:sz w:val="26"/>
        </w:rPr>
      </w:pPr>
    </w:p>
    <w:p>
      <w:pPr>
        <w:pStyle w:val="BodyText"/>
        <w:ind w:left="1246"/>
      </w:pPr>
      <w:r>
        <w:rPr>
          <w:u w:val="single"/>
        </w:rPr>
        <w:t>Embassy GolfLinks</w:t>
      </w:r>
    </w:p>
    <w:p>
      <w:pPr>
        <w:pStyle w:val="BodyText"/>
        <w:spacing w:before="2"/>
        <w:rPr>
          <w:sz w:val="19"/>
        </w:rPr>
      </w:pPr>
    </w:p>
    <w:p>
      <w:pPr>
        <w:pStyle w:val="BodyText"/>
        <w:spacing w:line="321" w:lineRule="auto" w:before="106"/>
        <w:ind w:left="1246" w:right="674"/>
        <w:jc w:val="both"/>
      </w:pPr>
      <w:r>
        <w:rPr/>
        <w:t>As</w:t>
      </w:r>
      <w:r>
        <w:rPr>
          <w:spacing w:val="-28"/>
        </w:rPr>
        <w:t> </w:t>
      </w:r>
      <w:r>
        <w:rPr/>
        <w:t>per</w:t>
      </w:r>
      <w:r>
        <w:rPr>
          <w:spacing w:val="-26"/>
        </w:rPr>
        <w:t> </w:t>
      </w:r>
      <w:r>
        <w:rPr/>
        <w:t>approval</w:t>
      </w:r>
      <w:r>
        <w:rPr>
          <w:spacing w:val="-28"/>
        </w:rPr>
        <w:t> </w:t>
      </w:r>
      <w:r>
        <w:rPr/>
        <w:t>documents</w:t>
      </w:r>
      <w:r>
        <w:rPr>
          <w:spacing w:val="-27"/>
        </w:rPr>
        <w:t> </w:t>
      </w:r>
      <w:r>
        <w:rPr/>
        <w:t>provided</w:t>
      </w:r>
      <w:r>
        <w:rPr>
          <w:spacing w:val="-28"/>
        </w:rPr>
        <w:t> </w:t>
      </w:r>
      <w:r>
        <w:rPr/>
        <w:t>by</w:t>
      </w:r>
      <w:r>
        <w:rPr>
          <w:spacing w:val="-27"/>
        </w:rPr>
        <w:t> </w:t>
      </w:r>
      <w:r>
        <w:rPr/>
        <w:t>the</w:t>
      </w:r>
      <w:r>
        <w:rPr>
          <w:spacing w:val="-27"/>
        </w:rPr>
        <w:t> </w:t>
      </w:r>
      <w:r>
        <w:rPr/>
        <w:t>Client,</w:t>
      </w:r>
      <w:r>
        <w:rPr>
          <w:spacing w:val="-27"/>
        </w:rPr>
        <w:t> </w:t>
      </w:r>
      <w:r>
        <w:rPr/>
        <w:t>all</w:t>
      </w:r>
      <w:r>
        <w:rPr>
          <w:spacing w:val="-27"/>
        </w:rPr>
        <w:t> </w:t>
      </w:r>
      <w:r>
        <w:rPr/>
        <w:t>requisite</w:t>
      </w:r>
      <w:r>
        <w:rPr>
          <w:spacing w:val="-28"/>
        </w:rPr>
        <w:t> </w:t>
      </w:r>
      <w:r>
        <w:rPr/>
        <w:t>approvals</w:t>
      </w:r>
      <w:r>
        <w:rPr>
          <w:spacing w:val="-24"/>
        </w:rPr>
        <w:t> </w:t>
      </w:r>
      <w:r>
        <w:rPr/>
        <w:t>and</w:t>
      </w:r>
      <w:r>
        <w:rPr>
          <w:spacing w:val="-26"/>
        </w:rPr>
        <w:t> </w:t>
      </w:r>
      <w:r>
        <w:rPr/>
        <w:t>occupancy</w:t>
      </w:r>
      <w:r>
        <w:rPr>
          <w:spacing w:val="-26"/>
        </w:rPr>
        <w:t> </w:t>
      </w:r>
      <w:r>
        <w:rPr/>
        <w:t>certificate</w:t>
      </w:r>
      <w:r>
        <w:rPr>
          <w:spacing w:val="-26"/>
        </w:rPr>
        <w:t> </w:t>
      </w:r>
      <w:r>
        <w:rPr/>
        <w:t>for the</w:t>
      </w:r>
      <w:r>
        <w:rPr>
          <w:spacing w:val="-18"/>
        </w:rPr>
        <w:t> </w:t>
      </w:r>
      <w:r>
        <w:rPr/>
        <w:t>operational</w:t>
      </w:r>
      <w:r>
        <w:rPr>
          <w:spacing w:val="-17"/>
        </w:rPr>
        <w:t> </w:t>
      </w:r>
      <w:r>
        <w:rPr/>
        <w:t>blocks</w:t>
      </w:r>
      <w:r>
        <w:rPr>
          <w:spacing w:val="-17"/>
        </w:rPr>
        <w:t> </w:t>
      </w:r>
      <w:r>
        <w:rPr/>
        <w:t>have</w:t>
      </w:r>
      <w:r>
        <w:rPr>
          <w:spacing w:val="-17"/>
        </w:rPr>
        <w:t> </w:t>
      </w:r>
      <w:r>
        <w:rPr/>
        <w:t>been</w:t>
      </w:r>
      <w:r>
        <w:rPr>
          <w:spacing w:val="-18"/>
        </w:rPr>
        <w:t> </w:t>
      </w:r>
      <w:r>
        <w:rPr/>
        <w:t>received.</w:t>
      </w:r>
      <w:r>
        <w:rPr>
          <w:spacing w:val="-17"/>
        </w:rPr>
        <w:t> </w:t>
      </w:r>
      <w:r>
        <w:rPr/>
        <w:t>The</w:t>
      </w:r>
      <w:r>
        <w:rPr>
          <w:spacing w:val="-18"/>
        </w:rPr>
        <w:t> </w:t>
      </w:r>
      <w:r>
        <w:rPr/>
        <w:t>Occupancy</w:t>
      </w:r>
      <w:r>
        <w:rPr>
          <w:spacing w:val="-16"/>
        </w:rPr>
        <w:t> </w:t>
      </w:r>
      <w:r>
        <w:rPr/>
        <w:t>Certificates</w:t>
      </w:r>
      <w:r>
        <w:rPr>
          <w:spacing w:val="-18"/>
        </w:rPr>
        <w:t> </w:t>
      </w:r>
      <w:r>
        <w:rPr/>
        <w:t>for</w:t>
      </w:r>
      <w:r>
        <w:rPr>
          <w:spacing w:val="-18"/>
        </w:rPr>
        <w:t> </w:t>
      </w:r>
      <w:r>
        <w:rPr/>
        <w:t>the</w:t>
      </w:r>
      <w:r>
        <w:rPr>
          <w:spacing w:val="-17"/>
        </w:rPr>
        <w:t> </w:t>
      </w:r>
      <w:r>
        <w:rPr/>
        <w:t>respective</w:t>
      </w:r>
      <w:r>
        <w:rPr>
          <w:spacing w:val="-18"/>
        </w:rPr>
        <w:t> </w:t>
      </w:r>
      <w:r>
        <w:rPr/>
        <w:t>blocks</w:t>
      </w:r>
      <w:r>
        <w:rPr>
          <w:spacing w:val="-16"/>
        </w:rPr>
        <w:t> </w:t>
      </w:r>
      <w:r>
        <w:rPr/>
        <w:t>have been</w:t>
      </w:r>
      <w:r>
        <w:rPr>
          <w:spacing w:val="-22"/>
        </w:rPr>
        <w:t> </w:t>
      </w:r>
      <w:r>
        <w:rPr/>
        <w:t>shared</w:t>
      </w:r>
      <w:r>
        <w:rPr>
          <w:spacing w:val="-20"/>
        </w:rPr>
        <w:t> </w:t>
      </w:r>
      <w:r>
        <w:rPr/>
        <w:t>by</w:t>
      </w:r>
      <w:r>
        <w:rPr>
          <w:spacing w:val="-20"/>
        </w:rPr>
        <w:t> </w:t>
      </w:r>
      <w:r>
        <w:rPr/>
        <w:t>the</w:t>
      </w:r>
      <w:r>
        <w:rPr>
          <w:spacing w:val="-23"/>
        </w:rPr>
        <w:t> </w:t>
      </w:r>
      <w:r>
        <w:rPr/>
        <w:t>Client</w:t>
      </w:r>
      <w:r>
        <w:rPr>
          <w:spacing w:val="-21"/>
        </w:rPr>
        <w:t> </w:t>
      </w:r>
      <w:r>
        <w:rPr/>
        <w:t>and</w:t>
      </w:r>
      <w:r>
        <w:rPr>
          <w:spacing w:val="-20"/>
        </w:rPr>
        <w:t> </w:t>
      </w:r>
      <w:r>
        <w:rPr/>
        <w:t>the</w:t>
      </w:r>
      <w:r>
        <w:rPr>
          <w:spacing w:val="-21"/>
        </w:rPr>
        <w:t> </w:t>
      </w:r>
      <w:r>
        <w:rPr/>
        <w:t>same</w:t>
      </w:r>
      <w:r>
        <w:rPr>
          <w:spacing w:val="-21"/>
        </w:rPr>
        <w:t> </w:t>
      </w:r>
      <w:r>
        <w:rPr/>
        <w:t>has</w:t>
      </w:r>
      <w:r>
        <w:rPr>
          <w:spacing w:val="-20"/>
        </w:rPr>
        <w:t> </w:t>
      </w:r>
      <w:r>
        <w:rPr/>
        <w:t>been</w:t>
      </w:r>
      <w:r>
        <w:rPr>
          <w:spacing w:val="-23"/>
        </w:rPr>
        <w:t> </w:t>
      </w:r>
      <w:r>
        <w:rPr/>
        <w:t>considered</w:t>
      </w:r>
      <w:r>
        <w:rPr>
          <w:spacing w:val="-20"/>
        </w:rPr>
        <w:t> </w:t>
      </w:r>
      <w:r>
        <w:rPr/>
        <w:t>for</w:t>
      </w:r>
      <w:r>
        <w:rPr>
          <w:spacing w:val="-21"/>
        </w:rPr>
        <w:t> </w:t>
      </w:r>
      <w:r>
        <w:rPr/>
        <w:t>the</w:t>
      </w:r>
      <w:r>
        <w:rPr>
          <w:spacing w:val="-22"/>
        </w:rPr>
        <w:t> </w:t>
      </w:r>
      <w:r>
        <w:rPr/>
        <w:t>purpose</w:t>
      </w:r>
      <w:r>
        <w:rPr>
          <w:spacing w:val="-20"/>
        </w:rPr>
        <w:t> </w:t>
      </w:r>
      <w:r>
        <w:rPr/>
        <w:t>of</w:t>
      </w:r>
      <w:r>
        <w:rPr>
          <w:spacing w:val="-20"/>
        </w:rPr>
        <w:t> </w:t>
      </w:r>
      <w:r>
        <w:rPr/>
        <w:t>the</w:t>
      </w:r>
      <w:r>
        <w:rPr>
          <w:spacing w:val="-22"/>
        </w:rPr>
        <w:t> </w:t>
      </w:r>
      <w:r>
        <w:rPr/>
        <w:t>valuation</w:t>
      </w:r>
      <w:r>
        <w:rPr>
          <w:spacing w:val="-21"/>
        </w:rPr>
        <w:t> </w:t>
      </w:r>
      <w:r>
        <w:rPr/>
        <w:t>exercise:</w:t>
      </w:r>
    </w:p>
    <w:p>
      <w:pPr>
        <w:pStyle w:val="BodyText"/>
        <w:spacing w:before="6"/>
        <w:rPr>
          <w:sz w:val="21"/>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54"/>
        <w:gridCol w:w="5527"/>
        <w:gridCol w:w="2256"/>
      </w:tblGrid>
      <w:tr>
        <w:trPr>
          <w:trHeight w:val="433" w:hRule="atLeast"/>
        </w:trPr>
        <w:tc>
          <w:tcPr>
            <w:tcW w:w="2854" w:type="dxa"/>
            <w:tcBorders>
              <w:top w:val="single" w:sz="12" w:space="0" w:color="1F6B16"/>
              <w:bottom w:val="single" w:sz="6" w:space="0" w:color="69BD28"/>
            </w:tcBorders>
            <w:shd w:val="clear" w:color="auto" w:fill="006A4D"/>
          </w:tcPr>
          <w:p>
            <w:pPr>
              <w:pStyle w:val="TableParagraph"/>
              <w:spacing w:before="113"/>
              <w:ind w:left="768" w:right="876"/>
              <w:rPr>
                <w:b/>
                <w:sz w:val="18"/>
              </w:rPr>
            </w:pPr>
            <w:r>
              <w:rPr>
                <w:b/>
                <w:color w:val="FFFFFF"/>
                <w:w w:val="115"/>
                <w:sz w:val="18"/>
              </w:rPr>
              <w:t>Block Name</w:t>
            </w:r>
          </w:p>
        </w:tc>
        <w:tc>
          <w:tcPr>
            <w:tcW w:w="5527" w:type="dxa"/>
            <w:tcBorders>
              <w:top w:val="single" w:sz="12" w:space="0" w:color="1F6B16"/>
              <w:bottom w:val="single" w:sz="6" w:space="0" w:color="69BD28"/>
            </w:tcBorders>
            <w:shd w:val="clear" w:color="auto" w:fill="006A4D"/>
          </w:tcPr>
          <w:p>
            <w:pPr>
              <w:pStyle w:val="TableParagraph"/>
              <w:spacing w:before="113"/>
              <w:ind w:left="871" w:right="781"/>
              <w:rPr>
                <w:b/>
                <w:sz w:val="18"/>
              </w:rPr>
            </w:pPr>
            <w:r>
              <w:rPr>
                <w:b/>
                <w:color w:val="FFFFFF"/>
                <w:w w:val="105"/>
                <w:sz w:val="18"/>
              </w:rPr>
              <w:t>Authority</w:t>
            </w:r>
          </w:p>
        </w:tc>
        <w:tc>
          <w:tcPr>
            <w:tcW w:w="2256" w:type="dxa"/>
            <w:tcBorders>
              <w:top w:val="single" w:sz="12" w:space="0" w:color="1F6B16"/>
              <w:bottom w:val="single" w:sz="6" w:space="0" w:color="69BD28"/>
            </w:tcBorders>
            <w:shd w:val="clear" w:color="auto" w:fill="006A4D"/>
          </w:tcPr>
          <w:p>
            <w:pPr>
              <w:pStyle w:val="TableParagraph"/>
              <w:spacing w:line="216" w:lineRule="exact" w:before="2"/>
              <w:ind w:left="846" w:right="230" w:hanging="483"/>
              <w:jc w:val="left"/>
              <w:rPr>
                <w:b/>
                <w:sz w:val="18"/>
              </w:rPr>
            </w:pPr>
            <w:r>
              <w:rPr>
                <w:b/>
                <w:color w:val="FFFFFF"/>
                <w:w w:val="110"/>
                <w:sz w:val="18"/>
              </w:rPr>
              <w:t>Date of Issue (DD- MM-YY)</w:t>
            </w:r>
          </w:p>
        </w:tc>
      </w:tr>
      <w:tr>
        <w:trPr>
          <w:trHeight w:val="296" w:hRule="atLeast"/>
        </w:trPr>
        <w:tc>
          <w:tcPr>
            <w:tcW w:w="2854" w:type="dxa"/>
            <w:tcBorders>
              <w:top w:val="single" w:sz="6" w:space="0" w:color="69BD28"/>
              <w:bottom w:val="single" w:sz="6" w:space="0" w:color="69BD28"/>
            </w:tcBorders>
          </w:tcPr>
          <w:p>
            <w:pPr>
              <w:pStyle w:val="TableParagraph"/>
              <w:spacing w:before="43"/>
              <w:ind w:left="767" w:right="876"/>
              <w:rPr>
                <w:sz w:val="18"/>
              </w:rPr>
            </w:pPr>
            <w:r>
              <w:rPr>
                <w:sz w:val="18"/>
              </w:rPr>
              <w:t>Augusta</w:t>
            </w:r>
          </w:p>
        </w:tc>
        <w:tc>
          <w:tcPr>
            <w:tcW w:w="5527" w:type="dxa"/>
            <w:tcBorders>
              <w:top w:val="single" w:sz="6" w:space="0" w:color="69BD28"/>
              <w:bottom w:val="single" w:sz="6" w:space="0" w:color="69BD28"/>
            </w:tcBorders>
          </w:tcPr>
          <w:p>
            <w:pPr>
              <w:pStyle w:val="TableParagraph"/>
              <w:spacing w:before="43"/>
              <w:ind w:left="870" w:right="785"/>
              <w:rPr>
                <w:sz w:val="18"/>
              </w:rPr>
            </w:pPr>
            <w:r>
              <w:rPr>
                <w:sz w:val="18"/>
              </w:rPr>
              <w:t>Bengaluru Development Authority</w:t>
            </w:r>
          </w:p>
        </w:tc>
        <w:tc>
          <w:tcPr>
            <w:tcW w:w="2256" w:type="dxa"/>
            <w:tcBorders>
              <w:top w:val="single" w:sz="6" w:space="0" w:color="69BD28"/>
              <w:bottom w:val="single" w:sz="6" w:space="0" w:color="69BD28"/>
            </w:tcBorders>
          </w:tcPr>
          <w:p>
            <w:pPr>
              <w:pStyle w:val="TableParagraph"/>
              <w:spacing w:before="43"/>
              <w:ind w:right="676"/>
              <w:jc w:val="right"/>
              <w:rPr>
                <w:sz w:val="18"/>
              </w:rPr>
            </w:pPr>
            <w:r>
              <w:rPr>
                <w:w w:val="105"/>
                <w:sz w:val="18"/>
              </w:rPr>
              <w:t>05-05-07</w:t>
            </w:r>
          </w:p>
        </w:tc>
      </w:tr>
      <w:tr>
        <w:trPr>
          <w:trHeight w:val="299" w:hRule="atLeast"/>
        </w:trPr>
        <w:tc>
          <w:tcPr>
            <w:tcW w:w="2854" w:type="dxa"/>
            <w:tcBorders>
              <w:top w:val="single" w:sz="6" w:space="0" w:color="69BD28"/>
              <w:bottom w:val="single" w:sz="6" w:space="0" w:color="69BD28"/>
            </w:tcBorders>
          </w:tcPr>
          <w:p>
            <w:pPr>
              <w:pStyle w:val="TableParagraph"/>
              <w:spacing w:before="46"/>
              <w:ind w:left="766" w:right="876"/>
              <w:rPr>
                <w:sz w:val="18"/>
              </w:rPr>
            </w:pPr>
            <w:r>
              <w:rPr>
                <w:sz w:val="18"/>
              </w:rPr>
              <w:t>Blue Bay</w:t>
            </w:r>
          </w:p>
        </w:tc>
        <w:tc>
          <w:tcPr>
            <w:tcW w:w="5527" w:type="dxa"/>
            <w:tcBorders>
              <w:top w:val="single" w:sz="6" w:space="0" w:color="69BD28"/>
              <w:bottom w:val="single" w:sz="6" w:space="0" w:color="69BD28"/>
            </w:tcBorders>
          </w:tcPr>
          <w:p>
            <w:pPr>
              <w:pStyle w:val="TableParagraph"/>
              <w:spacing w:before="46"/>
              <w:ind w:left="871" w:right="785"/>
              <w:rPr>
                <w:sz w:val="18"/>
              </w:rPr>
            </w:pPr>
            <w:r>
              <w:rPr>
                <w:sz w:val="18"/>
              </w:rPr>
              <w:t>Office of City Municipal Council, Mahadevapura</w:t>
            </w:r>
          </w:p>
        </w:tc>
        <w:tc>
          <w:tcPr>
            <w:tcW w:w="2256" w:type="dxa"/>
            <w:tcBorders>
              <w:top w:val="single" w:sz="6" w:space="0" w:color="69BD28"/>
              <w:bottom w:val="single" w:sz="6" w:space="0" w:color="69BD28"/>
            </w:tcBorders>
          </w:tcPr>
          <w:p>
            <w:pPr>
              <w:pStyle w:val="TableParagraph"/>
              <w:spacing w:before="46"/>
              <w:ind w:right="676"/>
              <w:jc w:val="right"/>
              <w:rPr>
                <w:sz w:val="18"/>
              </w:rPr>
            </w:pPr>
            <w:r>
              <w:rPr>
                <w:w w:val="105"/>
                <w:sz w:val="18"/>
              </w:rPr>
              <w:t>01-02-06</w:t>
            </w:r>
          </w:p>
        </w:tc>
      </w:tr>
      <w:tr>
        <w:trPr>
          <w:trHeight w:val="299" w:hRule="atLeast"/>
        </w:trPr>
        <w:tc>
          <w:tcPr>
            <w:tcW w:w="2854" w:type="dxa"/>
            <w:tcBorders>
              <w:top w:val="single" w:sz="6" w:space="0" w:color="69BD28"/>
              <w:bottom w:val="single" w:sz="6" w:space="0" w:color="69BD28"/>
            </w:tcBorders>
          </w:tcPr>
          <w:p>
            <w:pPr>
              <w:pStyle w:val="TableParagraph"/>
              <w:spacing w:before="46"/>
              <w:ind w:left="764" w:right="876"/>
              <w:rPr>
                <w:sz w:val="18"/>
              </w:rPr>
            </w:pPr>
            <w:r>
              <w:rPr>
                <w:sz w:val="18"/>
              </w:rPr>
              <w:t>Crystal Downs</w:t>
            </w:r>
          </w:p>
        </w:tc>
        <w:tc>
          <w:tcPr>
            <w:tcW w:w="5527" w:type="dxa"/>
            <w:tcBorders>
              <w:top w:val="single" w:sz="6" w:space="0" w:color="69BD28"/>
              <w:bottom w:val="single" w:sz="6" w:space="0" w:color="69BD28"/>
            </w:tcBorders>
          </w:tcPr>
          <w:p>
            <w:pPr>
              <w:pStyle w:val="TableParagraph"/>
              <w:spacing w:before="46"/>
              <w:ind w:left="871" w:right="784"/>
              <w:rPr>
                <w:sz w:val="18"/>
              </w:rPr>
            </w:pPr>
            <w:r>
              <w:rPr>
                <w:sz w:val="18"/>
              </w:rPr>
              <w:t>Bengaluru Development Authority</w:t>
            </w:r>
          </w:p>
        </w:tc>
        <w:tc>
          <w:tcPr>
            <w:tcW w:w="2256" w:type="dxa"/>
            <w:tcBorders>
              <w:top w:val="single" w:sz="6" w:space="0" w:color="69BD28"/>
              <w:bottom w:val="single" w:sz="6" w:space="0" w:color="69BD28"/>
            </w:tcBorders>
          </w:tcPr>
          <w:p>
            <w:pPr>
              <w:pStyle w:val="TableParagraph"/>
              <w:spacing w:before="46"/>
              <w:ind w:right="676"/>
              <w:jc w:val="right"/>
              <w:rPr>
                <w:sz w:val="18"/>
              </w:rPr>
            </w:pPr>
            <w:r>
              <w:rPr>
                <w:w w:val="105"/>
                <w:sz w:val="18"/>
              </w:rPr>
              <w:t>17-01-05</w:t>
            </w:r>
          </w:p>
        </w:tc>
      </w:tr>
      <w:tr>
        <w:trPr>
          <w:trHeight w:val="299" w:hRule="atLeast"/>
        </w:trPr>
        <w:tc>
          <w:tcPr>
            <w:tcW w:w="2854" w:type="dxa"/>
            <w:tcBorders>
              <w:top w:val="single" w:sz="6" w:space="0" w:color="69BD28"/>
              <w:bottom w:val="single" w:sz="6" w:space="0" w:color="69BD28"/>
            </w:tcBorders>
          </w:tcPr>
          <w:p>
            <w:pPr>
              <w:pStyle w:val="TableParagraph"/>
              <w:spacing w:before="46"/>
              <w:ind w:left="767" w:right="876"/>
              <w:rPr>
                <w:sz w:val="18"/>
              </w:rPr>
            </w:pPr>
            <w:r>
              <w:rPr>
                <w:sz w:val="18"/>
              </w:rPr>
              <w:t>Eagle Ridge</w:t>
            </w:r>
          </w:p>
        </w:tc>
        <w:tc>
          <w:tcPr>
            <w:tcW w:w="5527" w:type="dxa"/>
            <w:tcBorders>
              <w:top w:val="single" w:sz="6" w:space="0" w:color="69BD28"/>
              <w:bottom w:val="single" w:sz="6" w:space="0" w:color="69BD28"/>
            </w:tcBorders>
          </w:tcPr>
          <w:p>
            <w:pPr>
              <w:pStyle w:val="TableParagraph"/>
              <w:spacing w:before="46"/>
              <w:ind w:left="871" w:right="785"/>
              <w:rPr>
                <w:sz w:val="18"/>
              </w:rPr>
            </w:pPr>
            <w:r>
              <w:rPr>
                <w:sz w:val="18"/>
              </w:rPr>
              <w:t>Office of City Municipal Council, Mahadevapura</w:t>
            </w:r>
          </w:p>
        </w:tc>
        <w:tc>
          <w:tcPr>
            <w:tcW w:w="2256" w:type="dxa"/>
            <w:tcBorders>
              <w:top w:val="single" w:sz="6" w:space="0" w:color="69BD28"/>
              <w:bottom w:val="single" w:sz="6" w:space="0" w:color="69BD28"/>
            </w:tcBorders>
          </w:tcPr>
          <w:p>
            <w:pPr>
              <w:pStyle w:val="TableParagraph"/>
              <w:spacing w:before="46"/>
              <w:ind w:right="676"/>
              <w:jc w:val="right"/>
              <w:rPr>
                <w:sz w:val="18"/>
              </w:rPr>
            </w:pPr>
            <w:r>
              <w:rPr>
                <w:w w:val="105"/>
                <w:sz w:val="18"/>
              </w:rPr>
              <w:t>29-12-06</w:t>
            </w:r>
          </w:p>
        </w:tc>
      </w:tr>
      <w:tr>
        <w:trPr>
          <w:trHeight w:val="299" w:hRule="atLeast"/>
        </w:trPr>
        <w:tc>
          <w:tcPr>
            <w:tcW w:w="2854" w:type="dxa"/>
            <w:tcBorders>
              <w:top w:val="single" w:sz="6" w:space="0" w:color="69BD28"/>
              <w:bottom w:val="single" w:sz="6" w:space="0" w:color="69BD28"/>
            </w:tcBorders>
          </w:tcPr>
          <w:p>
            <w:pPr>
              <w:pStyle w:val="TableParagraph"/>
              <w:spacing w:before="44"/>
              <w:ind w:left="767" w:right="876"/>
              <w:rPr>
                <w:sz w:val="18"/>
              </w:rPr>
            </w:pPr>
            <w:r>
              <w:rPr>
                <w:sz w:val="18"/>
              </w:rPr>
              <w:t>Fairwinds</w:t>
            </w:r>
          </w:p>
        </w:tc>
        <w:tc>
          <w:tcPr>
            <w:tcW w:w="5527" w:type="dxa"/>
            <w:tcBorders>
              <w:top w:val="single" w:sz="6" w:space="0" w:color="69BD28"/>
              <w:bottom w:val="single" w:sz="6" w:space="0" w:color="69BD28"/>
            </w:tcBorders>
          </w:tcPr>
          <w:p>
            <w:pPr>
              <w:pStyle w:val="TableParagraph"/>
              <w:spacing w:before="44"/>
              <w:ind w:left="870" w:right="785"/>
              <w:rPr>
                <w:sz w:val="18"/>
              </w:rPr>
            </w:pPr>
            <w:r>
              <w:rPr>
                <w:sz w:val="18"/>
              </w:rPr>
              <w:t>Bengaluru Development Authority</w:t>
            </w:r>
          </w:p>
        </w:tc>
        <w:tc>
          <w:tcPr>
            <w:tcW w:w="2256" w:type="dxa"/>
            <w:tcBorders>
              <w:top w:val="single" w:sz="6" w:space="0" w:color="69BD28"/>
              <w:bottom w:val="single" w:sz="6" w:space="0" w:color="69BD28"/>
            </w:tcBorders>
          </w:tcPr>
          <w:p>
            <w:pPr>
              <w:pStyle w:val="TableParagraph"/>
              <w:spacing w:before="44"/>
              <w:ind w:right="676"/>
              <w:jc w:val="right"/>
              <w:rPr>
                <w:sz w:val="18"/>
              </w:rPr>
            </w:pPr>
            <w:r>
              <w:rPr>
                <w:w w:val="105"/>
                <w:sz w:val="18"/>
              </w:rPr>
              <w:t>01-08-06</w:t>
            </w:r>
          </w:p>
        </w:tc>
      </w:tr>
      <w:tr>
        <w:trPr>
          <w:trHeight w:val="255" w:hRule="atLeast"/>
        </w:trPr>
        <w:tc>
          <w:tcPr>
            <w:tcW w:w="2854" w:type="dxa"/>
            <w:tcBorders>
              <w:top w:val="single" w:sz="6" w:space="0" w:color="69BD28"/>
            </w:tcBorders>
          </w:tcPr>
          <w:p>
            <w:pPr>
              <w:pStyle w:val="TableParagraph"/>
              <w:spacing w:line="191" w:lineRule="exact" w:before="44"/>
              <w:ind w:left="768" w:right="876"/>
              <w:rPr>
                <w:sz w:val="18"/>
              </w:rPr>
            </w:pPr>
            <w:r>
              <w:rPr>
                <w:sz w:val="18"/>
              </w:rPr>
              <w:t>Fountain Head</w:t>
            </w:r>
          </w:p>
        </w:tc>
        <w:tc>
          <w:tcPr>
            <w:tcW w:w="5527" w:type="dxa"/>
            <w:tcBorders>
              <w:top w:val="single" w:sz="6" w:space="0" w:color="69BD28"/>
            </w:tcBorders>
          </w:tcPr>
          <w:p>
            <w:pPr>
              <w:pStyle w:val="TableParagraph"/>
              <w:spacing w:line="191" w:lineRule="exact" w:before="44"/>
              <w:ind w:left="871" w:right="785"/>
              <w:rPr>
                <w:sz w:val="18"/>
              </w:rPr>
            </w:pPr>
            <w:r>
              <w:rPr>
                <w:sz w:val="18"/>
              </w:rPr>
              <w:t>Office of City Municipal Council, Mahadevapura</w:t>
            </w:r>
          </w:p>
        </w:tc>
        <w:tc>
          <w:tcPr>
            <w:tcW w:w="2256" w:type="dxa"/>
            <w:tcBorders>
              <w:top w:val="single" w:sz="6" w:space="0" w:color="69BD28"/>
            </w:tcBorders>
          </w:tcPr>
          <w:p>
            <w:pPr>
              <w:pStyle w:val="TableParagraph"/>
              <w:spacing w:line="191" w:lineRule="exact" w:before="44"/>
              <w:ind w:right="676"/>
              <w:jc w:val="right"/>
              <w:rPr>
                <w:sz w:val="18"/>
              </w:rPr>
            </w:pPr>
            <w:r>
              <w:rPr>
                <w:w w:val="105"/>
                <w:sz w:val="18"/>
              </w:rPr>
              <w:t>23-01-06</w:t>
            </w:r>
          </w:p>
        </w:tc>
      </w:tr>
    </w:tbl>
    <w:p>
      <w:pPr>
        <w:spacing w:after="0" w:line="191" w:lineRule="exact"/>
        <w:jc w:val="right"/>
        <w:rPr>
          <w:sz w:val="18"/>
        </w:rPr>
        <w:sectPr>
          <w:type w:val="continuous"/>
          <w:pgSz w:w="11910" w:h="16840"/>
          <w:pgMar w:top="800" w:bottom="280" w:left="40" w:right="40"/>
        </w:sectPr>
      </w:pPr>
    </w:p>
    <w:p>
      <w:pPr>
        <w:pStyle w:val="BodyText"/>
        <w:spacing w:before="11"/>
        <w:rPr>
          <w:sz w:val="18"/>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22"/>
        <w:gridCol w:w="5558"/>
        <w:gridCol w:w="2179"/>
      </w:tblGrid>
      <w:tr>
        <w:trPr>
          <w:trHeight w:val="431" w:hRule="atLeast"/>
        </w:trPr>
        <w:tc>
          <w:tcPr>
            <w:tcW w:w="2822" w:type="dxa"/>
            <w:tcBorders>
              <w:top w:val="single" w:sz="12" w:space="0" w:color="1F6B16"/>
              <w:bottom w:val="single" w:sz="6" w:space="0" w:color="69BD28"/>
            </w:tcBorders>
            <w:shd w:val="clear" w:color="auto" w:fill="006A4D"/>
          </w:tcPr>
          <w:p>
            <w:pPr>
              <w:pStyle w:val="TableParagraph"/>
              <w:spacing w:before="119"/>
              <w:ind w:right="897"/>
              <w:jc w:val="right"/>
              <w:rPr>
                <w:b/>
                <w:sz w:val="18"/>
              </w:rPr>
            </w:pPr>
            <w:r>
              <w:rPr>
                <w:b/>
                <w:color w:val="FFFFFF"/>
                <w:w w:val="115"/>
                <w:sz w:val="18"/>
              </w:rPr>
              <w:t>Block Name</w:t>
            </w:r>
          </w:p>
        </w:tc>
        <w:tc>
          <w:tcPr>
            <w:tcW w:w="5558" w:type="dxa"/>
            <w:tcBorders>
              <w:top w:val="single" w:sz="12" w:space="0" w:color="1F6B16"/>
              <w:bottom w:val="single" w:sz="6" w:space="0" w:color="69BD28"/>
            </w:tcBorders>
            <w:shd w:val="clear" w:color="auto" w:fill="006A4D"/>
          </w:tcPr>
          <w:p>
            <w:pPr>
              <w:pStyle w:val="TableParagraph"/>
              <w:spacing w:before="119"/>
              <w:ind w:left="903" w:right="780"/>
              <w:rPr>
                <w:b/>
                <w:sz w:val="18"/>
              </w:rPr>
            </w:pPr>
            <w:r>
              <w:rPr>
                <w:b/>
                <w:color w:val="FFFFFF"/>
                <w:w w:val="105"/>
                <w:sz w:val="18"/>
              </w:rPr>
              <w:t>Authority</w:t>
            </w:r>
          </w:p>
        </w:tc>
        <w:tc>
          <w:tcPr>
            <w:tcW w:w="2179" w:type="dxa"/>
            <w:tcBorders>
              <w:top w:val="single" w:sz="12" w:space="0" w:color="1F6B16"/>
              <w:bottom w:val="single" w:sz="6" w:space="0" w:color="69BD28"/>
            </w:tcBorders>
            <w:shd w:val="clear" w:color="auto" w:fill="006A4D"/>
          </w:tcPr>
          <w:p>
            <w:pPr>
              <w:pStyle w:val="TableParagraph"/>
              <w:spacing w:line="210" w:lineRule="atLeast" w:before="10"/>
              <w:ind w:left="848" w:right="152" w:hanging="483"/>
              <w:jc w:val="left"/>
              <w:rPr>
                <w:b/>
                <w:sz w:val="18"/>
              </w:rPr>
            </w:pPr>
            <w:r>
              <w:rPr>
                <w:b/>
                <w:color w:val="FFFFFF"/>
                <w:w w:val="110"/>
                <w:sz w:val="18"/>
              </w:rPr>
              <w:t>Date of Issue (DD- MM-YY)</w:t>
            </w:r>
          </w:p>
        </w:tc>
      </w:tr>
      <w:tr>
        <w:trPr>
          <w:trHeight w:val="299" w:hRule="atLeast"/>
        </w:trPr>
        <w:tc>
          <w:tcPr>
            <w:tcW w:w="2822" w:type="dxa"/>
            <w:tcBorders>
              <w:top w:val="single" w:sz="6" w:space="0" w:color="69BD28"/>
              <w:bottom w:val="single" w:sz="6" w:space="0" w:color="69BD28"/>
            </w:tcBorders>
          </w:tcPr>
          <w:p>
            <w:pPr>
              <w:pStyle w:val="TableParagraph"/>
              <w:spacing w:before="54"/>
              <w:ind w:left="437" w:right="514"/>
              <w:rPr>
                <w:sz w:val="18"/>
              </w:rPr>
            </w:pPr>
            <w:r>
              <w:rPr>
                <w:sz w:val="18"/>
              </w:rPr>
              <w:t>Augusta</w:t>
            </w:r>
          </w:p>
        </w:tc>
        <w:tc>
          <w:tcPr>
            <w:tcW w:w="5558" w:type="dxa"/>
            <w:tcBorders>
              <w:top w:val="single" w:sz="6" w:space="0" w:color="69BD28"/>
              <w:bottom w:val="single" w:sz="6" w:space="0" w:color="69BD28"/>
            </w:tcBorders>
          </w:tcPr>
          <w:p>
            <w:pPr>
              <w:pStyle w:val="TableParagraph"/>
              <w:spacing w:before="54"/>
              <w:ind w:left="902" w:right="784"/>
              <w:rPr>
                <w:sz w:val="18"/>
              </w:rPr>
            </w:pPr>
            <w:r>
              <w:rPr>
                <w:sz w:val="18"/>
              </w:rPr>
              <w:t>Bengaluru Development Authority</w:t>
            </w:r>
          </w:p>
        </w:tc>
        <w:tc>
          <w:tcPr>
            <w:tcW w:w="2179" w:type="dxa"/>
            <w:tcBorders>
              <w:top w:val="single" w:sz="6" w:space="0" w:color="69BD28"/>
              <w:bottom w:val="single" w:sz="6" w:space="0" w:color="69BD28"/>
            </w:tcBorders>
          </w:tcPr>
          <w:p>
            <w:pPr>
              <w:pStyle w:val="TableParagraph"/>
              <w:spacing w:before="54"/>
              <w:ind w:right="598"/>
              <w:jc w:val="right"/>
              <w:rPr>
                <w:sz w:val="18"/>
              </w:rPr>
            </w:pPr>
            <w:r>
              <w:rPr>
                <w:w w:val="105"/>
                <w:sz w:val="18"/>
              </w:rPr>
              <w:t>05-05-07</w:t>
            </w:r>
          </w:p>
        </w:tc>
      </w:tr>
      <w:tr>
        <w:trPr>
          <w:trHeight w:val="299" w:hRule="atLeast"/>
        </w:trPr>
        <w:tc>
          <w:tcPr>
            <w:tcW w:w="2822" w:type="dxa"/>
            <w:tcBorders>
              <w:top w:val="single" w:sz="6" w:space="0" w:color="69BD28"/>
              <w:bottom w:val="single" w:sz="6" w:space="0" w:color="69BD28"/>
            </w:tcBorders>
          </w:tcPr>
          <w:p>
            <w:pPr>
              <w:pStyle w:val="TableParagraph"/>
              <w:spacing w:before="54"/>
              <w:ind w:left="436" w:right="514"/>
              <w:rPr>
                <w:sz w:val="18"/>
              </w:rPr>
            </w:pPr>
            <w:r>
              <w:rPr>
                <w:sz w:val="18"/>
              </w:rPr>
              <w:t>Blue Bay</w:t>
            </w:r>
          </w:p>
        </w:tc>
        <w:tc>
          <w:tcPr>
            <w:tcW w:w="5558" w:type="dxa"/>
            <w:tcBorders>
              <w:top w:val="single" w:sz="6" w:space="0" w:color="69BD28"/>
              <w:bottom w:val="single" w:sz="6" w:space="0" w:color="69BD28"/>
            </w:tcBorders>
          </w:tcPr>
          <w:p>
            <w:pPr>
              <w:pStyle w:val="TableParagraph"/>
              <w:spacing w:before="54"/>
              <w:ind w:left="903" w:right="784"/>
              <w:rPr>
                <w:sz w:val="18"/>
              </w:rPr>
            </w:pPr>
            <w:r>
              <w:rPr>
                <w:sz w:val="18"/>
              </w:rPr>
              <w:t>Office of City Municipal Council, Mahadevapura</w:t>
            </w:r>
          </w:p>
        </w:tc>
        <w:tc>
          <w:tcPr>
            <w:tcW w:w="2179" w:type="dxa"/>
            <w:tcBorders>
              <w:top w:val="single" w:sz="6" w:space="0" w:color="69BD28"/>
              <w:bottom w:val="single" w:sz="6" w:space="0" w:color="69BD28"/>
            </w:tcBorders>
          </w:tcPr>
          <w:p>
            <w:pPr>
              <w:pStyle w:val="TableParagraph"/>
              <w:spacing w:before="54"/>
              <w:ind w:right="598"/>
              <w:jc w:val="right"/>
              <w:rPr>
                <w:sz w:val="18"/>
              </w:rPr>
            </w:pPr>
            <w:r>
              <w:rPr>
                <w:w w:val="105"/>
                <w:sz w:val="18"/>
              </w:rPr>
              <w:t>01-02-06</w:t>
            </w:r>
          </w:p>
        </w:tc>
      </w:tr>
      <w:tr>
        <w:trPr>
          <w:trHeight w:val="299" w:hRule="atLeast"/>
        </w:trPr>
        <w:tc>
          <w:tcPr>
            <w:tcW w:w="2822" w:type="dxa"/>
            <w:tcBorders>
              <w:top w:val="single" w:sz="6" w:space="0" w:color="69BD28"/>
              <w:bottom w:val="single" w:sz="6" w:space="0" w:color="69BD28"/>
            </w:tcBorders>
          </w:tcPr>
          <w:p>
            <w:pPr>
              <w:pStyle w:val="TableParagraph"/>
              <w:spacing w:before="52"/>
              <w:ind w:right="927"/>
              <w:jc w:val="right"/>
              <w:rPr>
                <w:sz w:val="18"/>
              </w:rPr>
            </w:pPr>
            <w:r>
              <w:rPr>
                <w:sz w:val="18"/>
              </w:rPr>
              <w:t>Pacific Dunes</w:t>
            </w:r>
          </w:p>
        </w:tc>
        <w:tc>
          <w:tcPr>
            <w:tcW w:w="5558" w:type="dxa"/>
            <w:tcBorders>
              <w:top w:val="single" w:sz="6" w:space="0" w:color="69BD28"/>
              <w:bottom w:val="single" w:sz="6" w:space="0" w:color="69BD28"/>
            </w:tcBorders>
          </w:tcPr>
          <w:p>
            <w:pPr>
              <w:pStyle w:val="TableParagraph"/>
              <w:spacing w:before="52"/>
              <w:ind w:left="903" w:right="783"/>
              <w:rPr>
                <w:sz w:val="18"/>
              </w:rPr>
            </w:pPr>
            <w:r>
              <w:rPr>
                <w:sz w:val="18"/>
              </w:rPr>
              <w:t>Bengaluru Development Authority</w:t>
            </w:r>
          </w:p>
        </w:tc>
        <w:tc>
          <w:tcPr>
            <w:tcW w:w="2179" w:type="dxa"/>
            <w:tcBorders>
              <w:top w:val="single" w:sz="6" w:space="0" w:color="69BD28"/>
              <w:bottom w:val="single" w:sz="6" w:space="0" w:color="69BD28"/>
            </w:tcBorders>
          </w:tcPr>
          <w:p>
            <w:pPr>
              <w:pStyle w:val="TableParagraph"/>
              <w:spacing w:before="52"/>
              <w:ind w:right="598"/>
              <w:jc w:val="right"/>
              <w:rPr>
                <w:sz w:val="18"/>
              </w:rPr>
            </w:pPr>
            <w:r>
              <w:rPr>
                <w:w w:val="105"/>
                <w:sz w:val="18"/>
              </w:rPr>
              <w:t>02-04-04</w:t>
            </w:r>
          </w:p>
        </w:tc>
      </w:tr>
      <w:tr>
        <w:trPr>
          <w:trHeight w:val="299" w:hRule="atLeast"/>
        </w:trPr>
        <w:tc>
          <w:tcPr>
            <w:tcW w:w="2822" w:type="dxa"/>
            <w:tcBorders>
              <w:top w:val="single" w:sz="6" w:space="0" w:color="69BD28"/>
              <w:bottom w:val="single" w:sz="6" w:space="0" w:color="69BD28"/>
            </w:tcBorders>
          </w:tcPr>
          <w:p>
            <w:pPr>
              <w:pStyle w:val="TableParagraph"/>
              <w:spacing w:before="52"/>
              <w:ind w:left="437" w:right="514"/>
              <w:rPr>
                <w:sz w:val="18"/>
              </w:rPr>
            </w:pPr>
            <w:r>
              <w:rPr>
                <w:sz w:val="18"/>
              </w:rPr>
              <w:t>Peach Tree</w:t>
            </w:r>
          </w:p>
        </w:tc>
        <w:tc>
          <w:tcPr>
            <w:tcW w:w="5558" w:type="dxa"/>
            <w:tcBorders>
              <w:top w:val="single" w:sz="6" w:space="0" w:color="69BD28"/>
              <w:bottom w:val="single" w:sz="6" w:space="0" w:color="69BD28"/>
            </w:tcBorders>
          </w:tcPr>
          <w:p>
            <w:pPr>
              <w:pStyle w:val="TableParagraph"/>
              <w:spacing w:before="52"/>
              <w:ind w:left="902" w:right="784"/>
              <w:rPr>
                <w:sz w:val="18"/>
              </w:rPr>
            </w:pPr>
            <w:r>
              <w:rPr>
                <w:sz w:val="18"/>
              </w:rPr>
              <w:t>Bengaluru Development Authority</w:t>
            </w:r>
          </w:p>
        </w:tc>
        <w:tc>
          <w:tcPr>
            <w:tcW w:w="2179" w:type="dxa"/>
            <w:tcBorders>
              <w:top w:val="single" w:sz="6" w:space="0" w:color="69BD28"/>
              <w:bottom w:val="single" w:sz="6" w:space="0" w:color="69BD28"/>
            </w:tcBorders>
          </w:tcPr>
          <w:p>
            <w:pPr>
              <w:pStyle w:val="TableParagraph"/>
              <w:spacing w:before="52"/>
              <w:ind w:right="598"/>
              <w:jc w:val="right"/>
              <w:rPr>
                <w:sz w:val="18"/>
              </w:rPr>
            </w:pPr>
            <w:r>
              <w:rPr>
                <w:w w:val="105"/>
                <w:sz w:val="18"/>
              </w:rPr>
              <w:t>02-07-05</w:t>
            </w:r>
          </w:p>
        </w:tc>
      </w:tr>
      <w:tr>
        <w:trPr>
          <w:trHeight w:val="297" w:hRule="atLeast"/>
        </w:trPr>
        <w:tc>
          <w:tcPr>
            <w:tcW w:w="2822" w:type="dxa"/>
            <w:tcBorders>
              <w:top w:val="single" w:sz="6" w:space="0" w:color="69BD28"/>
              <w:bottom w:val="single" w:sz="6" w:space="0" w:color="69BD28"/>
            </w:tcBorders>
          </w:tcPr>
          <w:p>
            <w:pPr>
              <w:pStyle w:val="TableParagraph"/>
              <w:spacing w:before="52"/>
              <w:ind w:left="435" w:right="514"/>
              <w:rPr>
                <w:sz w:val="18"/>
              </w:rPr>
            </w:pPr>
            <w:r>
              <w:rPr>
                <w:sz w:val="18"/>
              </w:rPr>
              <w:t>Pine Valley</w:t>
            </w:r>
          </w:p>
        </w:tc>
        <w:tc>
          <w:tcPr>
            <w:tcW w:w="5558" w:type="dxa"/>
            <w:tcBorders>
              <w:top w:val="single" w:sz="6" w:space="0" w:color="69BD28"/>
              <w:bottom w:val="single" w:sz="6" w:space="0" w:color="69BD28"/>
            </w:tcBorders>
          </w:tcPr>
          <w:p>
            <w:pPr>
              <w:pStyle w:val="TableParagraph"/>
              <w:spacing w:before="52"/>
              <w:ind w:left="902" w:right="784"/>
              <w:rPr>
                <w:sz w:val="18"/>
              </w:rPr>
            </w:pPr>
            <w:r>
              <w:rPr>
                <w:sz w:val="18"/>
              </w:rPr>
              <w:t>Bengaluru Development Authority</w:t>
            </w:r>
          </w:p>
        </w:tc>
        <w:tc>
          <w:tcPr>
            <w:tcW w:w="2179" w:type="dxa"/>
            <w:tcBorders>
              <w:top w:val="single" w:sz="6" w:space="0" w:color="69BD28"/>
              <w:bottom w:val="single" w:sz="6" w:space="0" w:color="69BD28"/>
            </w:tcBorders>
          </w:tcPr>
          <w:p>
            <w:pPr>
              <w:pStyle w:val="TableParagraph"/>
              <w:spacing w:before="52"/>
              <w:ind w:right="598"/>
              <w:jc w:val="right"/>
              <w:rPr>
                <w:sz w:val="18"/>
              </w:rPr>
            </w:pPr>
            <w:r>
              <w:rPr>
                <w:w w:val="105"/>
                <w:sz w:val="18"/>
              </w:rPr>
              <w:t>22-10-07</w:t>
            </w:r>
          </w:p>
        </w:tc>
      </w:tr>
      <w:tr>
        <w:trPr>
          <w:trHeight w:val="299" w:hRule="atLeast"/>
        </w:trPr>
        <w:tc>
          <w:tcPr>
            <w:tcW w:w="2822" w:type="dxa"/>
            <w:tcBorders>
              <w:top w:val="single" w:sz="6" w:space="0" w:color="69BD28"/>
              <w:bottom w:val="single" w:sz="6" w:space="0" w:color="69BD28"/>
            </w:tcBorders>
          </w:tcPr>
          <w:p>
            <w:pPr>
              <w:pStyle w:val="TableParagraph"/>
              <w:spacing w:before="54"/>
              <w:ind w:left="435" w:right="514"/>
              <w:rPr>
                <w:sz w:val="18"/>
              </w:rPr>
            </w:pPr>
            <w:r>
              <w:rPr>
                <w:sz w:val="18"/>
              </w:rPr>
              <w:t>Prince Ville</w:t>
            </w:r>
          </w:p>
        </w:tc>
        <w:tc>
          <w:tcPr>
            <w:tcW w:w="5558" w:type="dxa"/>
            <w:tcBorders>
              <w:top w:val="single" w:sz="6" w:space="0" w:color="69BD28"/>
              <w:bottom w:val="single" w:sz="6" w:space="0" w:color="69BD28"/>
            </w:tcBorders>
          </w:tcPr>
          <w:p>
            <w:pPr>
              <w:pStyle w:val="TableParagraph"/>
              <w:spacing w:before="54"/>
              <w:ind w:left="902" w:right="784"/>
              <w:rPr>
                <w:sz w:val="18"/>
              </w:rPr>
            </w:pPr>
            <w:r>
              <w:rPr>
                <w:sz w:val="18"/>
              </w:rPr>
              <w:t>Bengaluru Development Authority</w:t>
            </w:r>
          </w:p>
        </w:tc>
        <w:tc>
          <w:tcPr>
            <w:tcW w:w="2179" w:type="dxa"/>
            <w:tcBorders>
              <w:top w:val="single" w:sz="6" w:space="0" w:color="69BD28"/>
              <w:bottom w:val="single" w:sz="6" w:space="0" w:color="69BD28"/>
            </w:tcBorders>
          </w:tcPr>
          <w:p>
            <w:pPr>
              <w:pStyle w:val="TableParagraph"/>
              <w:spacing w:before="54"/>
              <w:ind w:right="598"/>
              <w:jc w:val="right"/>
              <w:rPr>
                <w:sz w:val="18"/>
              </w:rPr>
            </w:pPr>
            <w:r>
              <w:rPr>
                <w:w w:val="105"/>
                <w:sz w:val="18"/>
              </w:rPr>
              <w:t>05-05-07</w:t>
            </w:r>
          </w:p>
        </w:tc>
      </w:tr>
      <w:tr>
        <w:trPr>
          <w:trHeight w:val="299" w:hRule="atLeast"/>
        </w:trPr>
        <w:tc>
          <w:tcPr>
            <w:tcW w:w="2822" w:type="dxa"/>
            <w:tcBorders>
              <w:top w:val="single" w:sz="6" w:space="0" w:color="69BD28"/>
              <w:bottom w:val="single" w:sz="6" w:space="0" w:color="69BD28"/>
            </w:tcBorders>
          </w:tcPr>
          <w:p>
            <w:pPr>
              <w:pStyle w:val="TableParagraph"/>
              <w:spacing w:before="54"/>
              <w:ind w:left="437" w:right="514"/>
              <w:rPr>
                <w:sz w:val="18"/>
              </w:rPr>
            </w:pPr>
            <w:r>
              <w:rPr>
                <w:sz w:val="18"/>
              </w:rPr>
              <w:t>Rivera FC</w:t>
            </w:r>
          </w:p>
        </w:tc>
        <w:tc>
          <w:tcPr>
            <w:tcW w:w="5558" w:type="dxa"/>
            <w:tcBorders>
              <w:top w:val="single" w:sz="6" w:space="0" w:color="69BD28"/>
              <w:bottom w:val="single" w:sz="6" w:space="0" w:color="69BD28"/>
            </w:tcBorders>
          </w:tcPr>
          <w:p>
            <w:pPr>
              <w:pStyle w:val="TableParagraph"/>
              <w:spacing w:before="54"/>
              <w:ind w:left="902" w:right="784"/>
              <w:rPr>
                <w:sz w:val="18"/>
              </w:rPr>
            </w:pPr>
            <w:r>
              <w:rPr>
                <w:sz w:val="18"/>
              </w:rPr>
              <w:t>Bengaluru Development Authority</w:t>
            </w:r>
          </w:p>
        </w:tc>
        <w:tc>
          <w:tcPr>
            <w:tcW w:w="2179" w:type="dxa"/>
            <w:tcBorders>
              <w:top w:val="single" w:sz="6" w:space="0" w:color="69BD28"/>
              <w:bottom w:val="single" w:sz="6" w:space="0" w:color="69BD28"/>
            </w:tcBorders>
          </w:tcPr>
          <w:p>
            <w:pPr>
              <w:pStyle w:val="TableParagraph"/>
              <w:spacing w:before="54"/>
              <w:ind w:right="598"/>
              <w:jc w:val="right"/>
              <w:rPr>
                <w:sz w:val="18"/>
              </w:rPr>
            </w:pPr>
            <w:r>
              <w:rPr>
                <w:w w:val="105"/>
                <w:sz w:val="18"/>
              </w:rPr>
              <w:t>02-07-05</w:t>
            </w:r>
          </w:p>
        </w:tc>
      </w:tr>
      <w:tr>
        <w:trPr>
          <w:trHeight w:val="299" w:hRule="atLeast"/>
        </w:trPr>
        <w:tc>
          <w:tcPr>
            <w:tcW w:w="2822" w:type="dxa"/>
            <w:tcBorders>
              <w:top w:val="single" w:sz="6" w:space="0" w:color="69BD28"/>
              <w:bottom w:val="single" w:sz="6" w:space="0" w:color="69BD28"/>
            </w:tcBorders>
          </w:tcPr>
          <w:p>
            <w:pPr>
              <w:pStyle w:val="TableParagraph"/>
              <w:spacing w:before="54"/>
              <w:ind w:left="912"/>
              <w:jc w:val="left"/>
              <w:rPr>
                <w:sz w:val="18"/>
              </w:rPr>
            </w:pPr>
            <w:r>
              <w:rPr>
                <w:sz w:val="18"/>
              </w:rPr>
              <w:t>St. Andrews</w:t>
            </w:r>
          </w:p>
        </w:tc>
        <w:tc>
          <w:tcPr>
            <w:tcW w:w="5558" w:type="dxa"/>
            <w:tcBorders>
              <w:top w:val="single" w:sz="6" w:space="0" w:color="69BD28"/>
              <w:bottom w:val="single" w:sz="6" w:space="0" w:color="69BD28"/>
            </w:tcBorders>
          </w:tcPr>
          <w:p>
            <w:pPr>
              <w:pStyle w:val="TableParagraph"/>
              <w:spacing w:before="54"/>
              <w:ind w:left="903" w:right="783"/>
              <w:rPr>
                <w:sz w:val="18"/>
              </w:rPr>
            </w:pPr>
            <w:r>
              <w:rPr>
                <w:sz w:val="18"/>
              </w:rPr>
              <w:t>Bengaluru Development Authority</w:t>
            </w:r>
          </w:p>
        </w:tc>
        <w:tc>
          <w:tcPr>
            <w:tcW w:w="2179" w:type="dxa"/>
            <w:tcBorders>
              <w:top w:val="single" w:sz="6" w:space="0" w:color="69BD28"/>
              <w:bottom w:val="single" w:sz="6" w:space="0" w:color="69BD28"/>
            </w:tcBorders>
          </w:tcPr>
          <w:p>
            <w:pPr>
              <w:pStyle w:val="TableParagraph"/>
              <w:spacing w:before="54"/>
              <w:ind w:right="598"/>
              <w:jc w:val="right"/>
              <w:rPr>
                <w:sz w:val="18"/>
              </w:rPr>
            </w:pPr>
            <w:r>
              <w:rPr>
                <w:w w:val="105"/>
                <w:sz w:val="18"/>
              </w:rPr>
              <w:t>10-03-06</w:t>
            </w:r>
          </w:p>
        </w:tc>
      </w:tr>
      <w:tr>
        <w:trPr>
          <w:trHeight w:val="300" w:hRule="atLeast"/>
        </w:trPr>
        <w:tc>
          <w:tcPr>
            <w:tcW w:w="2822" w:type="dxa"/>
            <w:tcBorders>
              <w:top w:val="single" w:sz="6" w:space="0" w:color="69BD28"/>
              <w:bottom w:val="single" w:sz="6" w:space="0" w:color="69BD28"/>
            </w:tcBorders>
          </w:tcPr>
          <w:p>
            <w:pPr>
              <w:pStyle w:val="TableParagraph"/>
              <w:spacing w:before="52"/>
              <w:ind w:right="958"/>
              <w:jc w:val="right"/>
              <w:rPr>
                <w:sz w:val="18"/>
              </w:rPr>
            </w:pPr>
            <w:r>
              <w:rPr>
                <w:sz w:val="18"/>
              </w:rPr>
              <w:t>Sunningdale</w:t>
            </w:r>
          </w:p>
        </w:tc>
        <w:tc>
          <w:tcPr>
            <w:tcW w:w="5558" w:type="dxa"/>
            <w:tcBorders>
              <w:top w:val="single" w:sz="6" w:space="0" w:color="69BD28"/>
              <w:bottom w:val="single" w:sz="6" w:space="0" w:color="69BD28"/>
            </w:tcBorders>
          </w:tcPr>
          <w:p>
            <w:pPr>
              <w:pStyle w:val="TableParagraph"/>
              <w:spacing w:before="52"/>
              <w:ind w:left="903" w:right="784"/>
              <w:rPr>
                <w:sz w:val="18"/>
              </w:rPr>
            </w:pPr>
            <w:r>
              <w:rPr>
                <w:sz w:val="18"/>
              </w:rPr>
              <w:t>Office of City Municipal Council, Mahadevapura</w:t>
            </w:r>
          </w:p>
        </w:tc>
        <w:tc>
          <w:tcPr>
            <w:tcW w:w="2179" w:type="dxa"/>
            <w:tcBorders>
              <w:top w:val="single" w:sz="6" w:space="0" w:color="69BD28"/>
              <w:bottom w:val="single" w:sz="6" w:space="0" w:color="69BD28"/>
            </w:tcBorders>
          </w:tcPr>
          <w:p>
            <w:pPr>
              <w:pStyle w:val="TableParagraph"/>
              <w:spacing w:before="52"/>
              <w:ind w:right="598"/>
              <w:jc w:val="right"/>
              <w:rPr>
                <w:sz w:val="18"/>
              </w:rPr>
            </w:pPr>
            <w:r>
              <w:rPr>
                <w:w w:val="105"/>
                <w:sz w:val="18"/>
              </w:rPr>
              <w:t>29-12-06</w:t>
            </w:r>
          </w:p>
        </w:tc>
      </w:tr>
      <w:tr>
        <w:trPr>
          <w:trHeight w:val="299" w:hRule="atLeast"/>
        </w:trPr>
        <w:tc>
          <w:tcPr>
            <w:tcW w:w="2822" w:type="dxa"/>
            <w:tcBorders>
              <w:top w:val="single" w:sz="6" w:space="0" w:color="69BD28"/>
              <w:bottom w:val="single" w:sz="6" w:space="0" w:color="69BD28"/>
            </w:tcBorders>
          </w:tcPr>
          <w:p>
            <w:pPr>
              <w:pStyle w:val="TableParagraph"/>
              <w:spacing w:before="52"/>
              <w:ind w:left="898"/>
              <w:jc w:val="left"/>
              <w:rPr>
                <w:sz w:val="18"/>
              </w:rPr>
            </w:pPr>
            <w:r>
              <w:rPr>
                <w:sz w:val="18"/>
              </w:rPr>
              <w:t>Torrey Pines</w:t>
            </w:r>
          </w:p>
        </w:tc>
        <w:tc>
          <w:tcPr>
            <w:tcW w:w="5558" w:type="dxa"/>
            <w:tcBorders>
              <w:top w:val="single" w:sz="6" w:space="0" w:color="69BD28"/>
              <w:bottom w:val="single" w:sz="6" w:space="0" w:color="69BD28"/>
            </w:tcBorders>
          </w:tcPr>
          <w:p>
            <w:pPr>
              <w:pStyle w:val="TableParagraph"/>
              <w:spacing w:before="52"/>
              <w:ind w:left="902" w:right="784"/>
              <w:rPr>
                <w:sz w:val="18"/>
              </w:rPr>
            </w:pPr>
            <w:r>
              <w:rPr>
                <w:sz w:val="18"/>
              </w:rPr>
              <w:t>Bengaluru Development Authority</w:t>
            </w:r>
          </w:p>
        </w:tc>
        <w:tc>
          <w:tcPr>
            <w:tcW w:w="2179" w:type="dxa"/>
            <w:tcBorders>
              <w:top w:val="single" w:sz="6" w:space="0" w:color="69BD28"/>
              <w:bottom w:val="single" w:sz="6" w:space="0" w:color="69BD28"/>
            </w:tcBorders>
          </w:tcPr>
          <w:p>
            <w:pPr>
              <w:pStyle w:val="TableParagraph"/>
              <w:spacing w:before="52"/>
              <w:ind w:right="598"/>
              <w:jc w:val="right"/>
              <w:rPr>
                <w:sz w:val="18"/>
              </w:rPr>
            </w:pPr>
            <w:r>
              <w:rPr>
                <w:w w:val="105"/>
                <w:sz w:val="18"/>
              </w:rPr>
              <w:t>05-05-07</w:t>
            </w:r>
          </w:p>
        </w:tc>
      </w:tr>
    </w:tbl>
    <w:p>
      <w:pPr>
        <w:spacing w:before="4"/>
        <w:ind w:left="680" w:right="0" w:firstLine="0"/>
        <w:jc w:val="left"/>
        <w:rPr>
          <w:i/>
          <w:sz w:val="18"/>
        </w:rPr>
      </w:pPr>
      <w:r>
        <w:rPr>
          <w:i/>
          <w:sz w:val="18"/>
        </w:rPr>
        <w:t>Source: Approval documents provided by the Client</w:t>
      </w:r>
    </w:p>
    <w:p>
      <w:pPr>
        <w:pStyle w:val="BodyText"/>
        <w:spacing w:before="11"/>
        <w:rPr>
          <w:i/>
          <w:sz w:val="26"/>
        </w:rPr>
      </w:pPr>
    </w:p>
    <w:p>
      <w:pPr>
        <w:pStyle w:val="BodyText"/>
        <w:ind w:left="1246"/>
      </w:pPr>
      <w:r>
        <w:rPr>
          <w:w w:val="105"/>
          <w:u w:val="single"/>
        </w:rPr>
        <w:t>Embassy One</w:t>
      </w:r>
    </w:p>
    <w:p>
      <w:pPr>
        <w:pStyle w:val="BodyText"/>
        <w:spacing w:before="1"/>
        <w:rPr>
          <w:sz w:val="19"/>
        </w:rPr>
      </w:pPr>
    </w:p>
    <w:p>
      <w:pPr>
        <w:pStyle w:val="BodyText"/>
        <w:spacing w:line="319" w:lineRule="auto" w:before="106"/>
        <w:ind w:left="1246" w:right="607"/>
      </w:pPr>
      <w:r>
        <w:rPr/>
        <w:t>As</w:t>
      </w:r>
      <w:r>
        <w:rPr>
          <w:spacing w:val="-21"/>
        </w:rPr>
        <w:t> </w:t>
      </w:r>
      <w:r>
        <w:rPr/>
        <w:t>per</w:t>
      </w:r>
      <w:r>
        <w:rPr>
          <w:spacing w:val="-20"/>
        </w:rPr>
        <w:t> </w:t>
      </w:r>
      <w:r>
        <w:rPr/>
        <w:t>approval</w:t>
      </w:r>
      <w:r>
        <w:rPr>
          <w:spacing w:val="-20"/>
        </w:rPr>
        <w:t> </w:t>
      </w:r>
      <w:r>
        <w:rPr/>
        <w:t>document</w:t>
      </w:r>
      <w:r>
        <w:rPr>
          <w:spacing w:val="-19"/>
        </w:rPr>
        <w:t> </w:t>
      </w:r>
      <w:r>
        <w:rPr/>
        <w:t>provided</w:t>
      </w:r>
      <w:r>
        <w:rPr>
          <w:spacing w:val="-21"/>
        </w:rPr>
        <w:t> </w:t>
      </w:r>
      <w:r>
        <w:rPr/>
        <w:t>by</w:t>
      </w:r>
      <w:r>
        <w:rPr>
          <w:spacing w:val="-21"/>
        </w:rPr>
        <w:t> </w:t>
      </w:r>
      <w:r>
        <w:rPr/>
        <w:t>the</w:t>
      </w:r>
      <w:r>
        <w:rPr>
          <w:spacing w:val="-22"/>
        </w:rPr>
        <w:t> </w:t>
      </w:r>
      <w:r>
        <w:rPr/>
        <w:t>Client,</w:t>
      </w:r>
      <w:r>
        <w:rPr>
          <w:spacing w:val="-21"/>
        </w:rPr>
        <w:t> </w:t>
      </w:r>
      <w:r>
        <w:rPr/>
        <w:t>all</w:t>
      </w:r>
      <w:r>
        <w:rPr>
          <w:spacing w:val="-20"/>
        </w:rPr>
        <w:t> </w:t>
      </w:r>
      <w:r>
        <w:rPr/>
        <w:t>requisite</w:t>
      </w:r>
      <w:r>
        <w:rPr>
          <w:spacing w:val="-21"/>
        </w:rPr>
        <w:t> </w:t>
      </w:r>
      <w:r>
        <w:rPr/>
        <w:t>approvals</w:t>
      </w:r>
      <w:r>
        <w:rPr>
          <w:spacing w:val="-20"/>
        </w:rPr>
        <w:t> </w:t>
      </w:r>
      <w:r>
        <w:rPr/>
        <w:t>and</w:t>
      </w:r>
      <w:r>
        <w:rPr>
          <w:spacing w:val="-20"/>
        </w:rPr>
        <w:t> </w:t>
      </w:r>
      <w:r>
        <w:rPr/>
        <w:t>occupancy</w:t>
      </w:r>
      <w:r>
        <w:rPr>
          <w:spacing w:val="-19"/>
        </w:rPr>
        <w:t> </w:t>
      </w:r>
      <w:r>
        <w:rPr/>
        <w:t>certificate</w:t>
      </w:r>
      <w:r>
        <w:rPr>
          <w:spacing w:val="-20"/>
        </w:rPr>
        <w:t> </w:t>
      </w:r>
      <w:r>
        <w:rPr/>
        <w:t>for the</w:t>
      </w:r>
      <w:r>
        <w:rPr>
          <w:spacing w:val="-10"/>
        </w:rPr>
        <w:t> </w:t>
      </w:r>
      <w:r>
        <w:rPr/>
        <w:t>office,</w:t>
      </w:r>
      <w:r>
        <w:rPr>
          <w:spacing w:val="-8"/>
        </w:rPr>
        <w:t> </w:t>
      </w:r>
      <w:r>
        <w:rPr/>
        <w:t>retail</w:t>
      </w:r>
      <w:r>
        <w:rPr>
          <w:spacing w:val="-9"/>
        </w:rPr>
        <w:t> </w:t>
      </w:r>
      <w:r>
        <w:rPr/>
        <w:t>and</w:t>
      </w:r>
      <w:r>
        <w:rPr>
          <w:spacing w:val="-8"/>
        </w:rPr>
        <w:t> </w:t>
      </w:r>
      <w:r>
        <w:rPr/>
        <w:t>hotel</w:t>
      </w:r>
      <w:r>
        <w:rPr>
          <w:spacing w:val="-9"/>
        </w:rPr>
        <w:t> </w:t>
      </w:r>
      <w:r>
        <w:rPr/>
        <w:t>area</w:t>
      </w:r>
      <w:r>
        <w:rPr>
          <w:spacing w:val="-8"/>
        </w:rPr>
        <w:t> </w:t>
      </w:r>
      <w:r>
        <w:rPr/>
        <w:t>have</w:t>
      </w:r>
      <w:r>
        <w:rPr>
          <w:spacing w:val="-8"/>
        </w:rPr>
        <w:t> </w:t>
      </w:r>
      <w:r>
        <w:rPr/>
        <w:t>been</w:t>
      </w:r>
      <w:r>
        <w:rPr>
          <w:spacing w:val="-9"/>
        </w:rPr>
        <w:t> </w:t>
      </w:r>
      <w:r>
        <w:rPr/>
        <w:t>received</w:t>
      </w:r>
      <w:r>
        <w:rPr>
          <w:spacing w:val="-8"/>
        </w:rPr>
        <w:t> </w:t>
      </w:r>
      <w:r>
        <w:rPr/>
        <w:t>as</w:t>
      </w:r>
      <w:r>
        <w:rPr>
          <w:spacing w:val="-7"/>
        </w:rPr>
        <w:t> </w:t>
      </w:r>
      <w:r>
        <w:rPr/>
        <w:t>of</w:t>
      </w:r>
      <w:r>
        <w:rPr>
          <w:spacing w:val="-10"/>
        </w:rPr>
        <w:t> </w:t>
      </w:r>
      <w:r>
        <w:rPr/>
        <w:t>date</w:t>
      </w:r>
      <w:r>
        <w:rPr>
          <w:spacing w:val="-9"/>
        </w:rPr>
        <w:t> </w:t>
      </w:r>
      <w:r>
        <w:rPr/>
        <w:t>of</w:t>
      </w:r>
      <w:r>
        <w:rPr>
          <w:spacing w:val="-7"/>
        </w:rPr>
        <w:t> </w:t>
      </w:r>
      <w:r>
        <w:rPr/>
        <w:t>valuation.</w:t>
      </w:r>
    </w:p>
    <w:p>
      <w:pPr>
        <w:pStyle w:val="BodyText"/>
        <w:rPr>
          <w:sz w:val="21"/>
        </w:rPr>
      </w:pPr>
    </w:p>
    <w:p>
      <w:pPr>
        <w:pStyle w:val="BodyText"/>
        <w:spacing w:line="321" w:lineRule="auto" w:before="1"/>
        <w:ind w:left="1246" w:right="607"/>
      </w:pPr>
      <w:r>
        <w:rPr/>
        <w:t>The</w:t>
      </w:r>
      <w:r>
        <w:rPr>
          <w:spacing w:val="-16"/>
        </w:rPr>
        <w:t> </w:t>
      </w:r>
      <w:r>
        <w:rPr/>
        <w:t>details</w:t>
      </w:r>
      <w:r>
        <w:rPr>
          <w:spacing w:val="-15"/>
        </w:rPr>
        <w:t> </w:t>
      </w:r>
      <w:r>
        <w:rPr/>
        <w:t>of</w:t>
      </w:r>
      <w:r>
        <w:rPr>
          <w:spacing w:val="-15"/>
        </w:rPr>
        <w:t> </w:t>
      </w:r>
      <w:r>
        <w:rPr/>
        <w:t>the</w:t>
      </w:r>
      <w:r>
        <w:rPr>
          <w:spacing w:val="-16"/>
        </w:rPr>
        <w:t> </w:t>
      </w:r>
      <w:r>
        <w:rPr/>
        <w:t>Occupancy</w:t>
      </w:r>
      <w:r>
        <w:rPr>
          <w:spacing w:val="-14"/>
        </w:rPr>
        <w:t> </w:t>
      </w:r>
      <w:r>
        <w:rPr/>
        <w:t>Certificate</w:t>
      </w:r>
      <w:r>
        <w:rPr>
          <w:spacing w:val="-16"/>
        </w:rPr>
        <w:t> </w:t>
      </w:r>
      <w:r>
        <w:rPr/>
        <w:t>for</w:t>
      </w:r>
      <w:r>
        <w:rPr>
          <w:spacing w:val="-15"/>
        </w:rPr>
        <w:t> </w:t>
      </w:r>
      <w:r>
        <w:rPr/>
        <w:t>the</w:t>
      </w:r>
      <w:r>
        <w:rPr>
          <w:spacing w:val="-15"/>
        </w:rPr>
        <w:t> </w:t>
      </w:r>
      <w:r>
        <w:rPr/>
        <w:t>subject</w:t>
      </w:r>
      <w:r>
        <w:rPr>
          <w:spacing w:val="-14"/>
        </w:rPr>
        <w:t> </w:t>
      </w:r>
      <w:r>
        <w:rPr/>
        <w:t>property</w:t>
      </w:r>
      <w:r>
        <w:rPr>
          <w:spacing w:val="-13"/>
        </w:rPr>
        <w:t> </w:t>
      </w:r>
      <w:r>
        <w:rPr/>
        <w:t>is</w:t>
      </w:r>
      <w:r>
        <w:rPr>
          <w:spacing w:val="-17"/>
        </w:rPr>
        <w:t> </w:t>
      </w:r>
      <w:r>
        <w:rPr/>
        <w:t>shared</w:t>
      </w:r>
      <w:r>
        <w:rPr>
          <w:spacing w:val="-16"/>
        </w:rPr>
        <w:t> </w:t>
      </w:r>
      <w:r>
        <w:rPr/>
        <w:t>by</w:t>
      </w:r>
      <w:r>
        <w:rPr>
          <w:spacing w:val="-16"/>
        </w:rPr>
        <w:t> </w:t>
      </w:r>
      <w:r>
        <w:rPr/>
        <w:t>the</w:t>
      </w:r>
      <w:r>
        <w:rPr>
          <w:spacing w:val="-15"/>
        </w:rPr>
        <w:t> </w:t>
      </w:r>
      <w:r>
        <w:rPr/>
        <w:t>Client</w:t>
      </w:r>
      <w:r>
        <w:rPr>
          <w:spacing w:val="-16"/>
        </w:rPr>
        <w:t> </w:t>
      </w:r>
      <w:r>
        <w:rPr/>
        <w:t>and</w:t>
      </w:r>
      <w:r>
        <w:rPr>
          <w:spacing w:val="-16"/>
        </w:rPr>
        <w:t> </w:t>
      </w:r>
      <w:r>
        <w:rPr/>
        <w:t>the</w:t>
      </w:r>
      <w:r>
        <w:rPr>
          <w:spacing w:val="-16"/>
        </w:rPr>
        <w:t> </w:t>
      </w:r>
      <w:r>
        <w:rPr/>
        <w:t>same has</w:t>
      </w:r>
      <w:r>
        <w:rPr>
          <w:spacing w:val="-5"/>
        </w:rPr>
        <w:t> </w:t>
      </w:r>
      <w:r>
        <w:rPr/>
        <w:t>been</w:t>
      </w:r>
      <w:r>
        <w:rPr>
          <w:spacing w:val="-6"/>
        </w:rPr>
        <w:t> </w:t>
      </w:r>
      <w:r>
        <w:rPr/>
        <w:t>considered</w:t>
      </w:r>
      <w:r>
        <w:rPr>
          <w:spacing w:val="-8"/>
        </w:rPr>
        <w:t> </w:t>
      </w:r>
      <w:r>
        <w:rPr/>
        <w:t>for</w:t>
      </w:r>
      <w:r>
        <w:rPr>
          <w:spacing w:val="-5"/>
        </w:rPr>
        <w:t> </w:t>
      </w:r>
      <w:r>
        <w:rPr/>
        <w:t>the</w:t>
      </w:r>
      <w:r>
        <w:rPr>
          <w:spacing w:val="-7"/>
        </w:rPr>
        <w:t> </w:t>
      </w:r>
      <w:r>
        <w:rPr/>
        <w:t>purpose</w:t>
      </w:r>
      <w:r>
        <w:rPr>
          <w:spacing w:val="-5"/>
        </w:rPr>
        <w:t> </w:t>
      </w:r>
      <w:r>
        <w:rPr/>
        <w:t>of</w:t>
      </w:r>
      <w:r>
        <w:rPr>
          <w:spacing w:val="-7"/>
        </w:rPr>
        <w:t> </w:t>
      </w:r>
      <w:r>
        <w:rPr/>
        <w:t>the</w:t>
      </w:r>
      <w:r>
        <w:rPr>
          <w:spacing w:val="-6"/>
        </w:rPr>
        <w:t> </w:t>
      </w:r>
      <w:r>
        <w:rPr/>
        <w:t>valuation</w:t>
      </w:r>
      <w:r>
        <w:rPr>
          <w:spacing w:val="-6"/>
        </w:rPr>
        <w:t> </w:t>
      </w:r>
      <w:r>
        <w:rPr/>
        <w:t>exercise:</w:t>
      </w:r>
    </w:p>
    <w:p>
      <w:pPr>
        <w:pStyle w:val="BodyText"/>
        <w:spacing w:before="7" w:after="1"/>
        <w:rPr>
          <w:sz w:val="21"/>
        </w:rPr>
      </w:pPr>
    </w:p>
    <w:tbl>
      <w:tblPr>
        <w:tblW w:w="0" w:type="auto"/>
        <w:jc w:val="left"/>
        <w:tblInd w:w="12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39"/>
        <w:gridCol w:w="4304"/>
        <w:gridCol w:w="2688"/>
      </w:tblGrid>
      <w:tr>
        <w:trPr>
          <w:trHeight w:val="395" w:hRule="atLeast"/>
        </w:trPr>
        <w:tc>
          <w:tcPr>
            <w:tcW w:w="2939" w:type="dxa"/>
            <w:tcBorders>
              <w:top w:val="single" w:sz="12" w:space="0" w:color="1F6B16"/>
              <w:bottom w:val="single" w:sz="6" w:space="0" w:color="69BD28"/>
            </w:tcBorders>
            <w:shd w:val="clear" w:color="auto" w:fill="006A4D"/>
          </w:tcPr>
          <w:p>
            <w:pPr>
              <w:pStyle w:val="TableParagraph"/>
              <w:spacing w:before="94"/>
              <w:ind w:right="689"/>
              <w:jc w:val="right"/>
              <w:rPr>
                <w:b/>
                <w:sz w:val="18"/>
              </w:rPr>
            </w:pPr>
            <w:r>
              <w:rPr>
                <w:b/>
                <w:color w:val="FFFFFF"/>
                <w:w w:val="115"/>
                <w:sz w:val="18"/>
              </w:rPr>
              <w:t>Block Name</w:t>
            </w:r>
          </w:p>
        </w:tc>
        <w:tc>
          <w:tcPr>
            <w:tcW w:w="4304" w:type="dxa"/>
            <w:tcBorders>
              <w:top w:val="single" w:sz="12" w:space="0" w:color="1F6B16"/>
              <w:bottom w:val="single" w:sz="6" w:space="0" w:color="69BD28"/>
            </w:tcBorders>
            <w:shd w:val="clear" w:color="auto" w:fill="006A4D"/>
          </w:tcPr>
          <w:p>
            <w:pPr>
              <w:pStyle w:val="TableParagraph"/>
              <w:spacing w:before="94"/>
              <w:ind w:left="564" w:right="128"/>
              <w:rPr>
                <w:b/>
                <w:sz w:val="18"/>
              </w:rPr>
            </w:pPr>
            <w:r>
              <w:rPr>
                <w:b/>
                <w:color w:val="FFFFFF"/>
                <w:w w:val="105"/>
                <w:sz w:val="18"/>
              </w:rPr>
              <w:t>Authority</w:t>
            </w:r>
          </w:p>
        </w:tc>
        <w:tc>
          <w:tcPr>
            <w:tcW w:w="2688" w:type="dxa"/>
            <w:tcBorders>
              <w:top w:val="single" w:sz="12" w:space="0" w:color="1F6B16"/>
              <w:bottom w:val="single" w:sz="6" w:space="0" w:color="69BD28"/>
            </w:tcBorders>
            <w:shd w:val="clear" w:color="auto" w:fill="006A4D"/>
          </w:tcPr>
          <w:p>
            <w:pPr>
              <w:pStyle w:val="TableParagraph"/>
              <w:spacing w:before="94"/>
              <w:ind w:left="147" w:right="171"/>
              <w:rPr>
                <w:b/>
                <w:sz w:val="18"/>
              </w:rPr>
            </w:pPr>
            <w:r>
              <w:rPr>
                <w:b/>
                <w:color w:val="FFFFFF"/>
                <w:w w:val="110"/>
                <w:sz w:val="18"/>
              </w:rPr>
              <w:t>Date of Issue (DD-MM-YY)</w:t>
            </w:r>
          </w:p>
        </w:tc>
      </w:tr>
      <w:tr>
        <w:trPr>
          <w:trHeight w:val="313" w:hRule="atLeast"/>
        </w:trPr>
        <w:tc>
          <w:tcPr>
            <w:tcW w:w="2939" w:type="dxa"/>
            <w:tcBorders>
              <w:top w:val="single" w:sz="6" w:space="0" w:color="69BD28"/>
              <w:bottom w:val="single" w:sz="6" w:space="0" w:color="69BD28"/>
            </w:tcBorders>
          </w:tcPr>
          <w:p>
            <w:pPr>
              <w:pStyle w:val="TableParagraph"/>
              <w:spacing w:before="54"/>
              <w:ind w:right="583"/>
              <w:jc w:val="right"/>
              <w:rPr>
                <w:sz w:val="18"/>
              </w:rPr>
            </w:pPr>
            <w:r>
              <w:rPr>
                <w:sz w:val="18"/>
              </w:rPr>
              <w:t>Office and Retail</w:t>
            </w:r>
          </w:p>
        </w:tc>
        <w:tc>
          <w:tcPr>
            <w:tcW w:w="4304" w:type="dxa"/>
            <w:tcBorders>
              <w:top w:val="single" w:sz="6" w:space="0" w:color="69BD28"/>
              <w:bottom w:val="single" w:sz="6" w:space="0" w:color="69BD28"/>
            </w:tcBorders>
          </w:tcPr>
          <w:p>
            <w:pPr>
              <w:pStyle w:val="TableParagraph"/>
              <w:spacing w:before="54"/>
              <w:ind w:left="564" w:right="134"/>
              <w:rPr>
                <w:sz w:val="18"/>
              </w:rPr>
            </w:pPr>
            <w:r>
              <w:rPr>
                <w:sz w:val="18"/>
              </w:rPr>
              <w:t>Bruhat Bengaluru Mahanagara Palike (BBMP)</w:t>
            </w:r>
          </w:p>
        </w:tc>
        <w:tc>
          <w:tcPr>
            <w:tcW w:w="2688" w:type="dxa"/>
            <w:tcBorders>
              <w:top w:val="single" w:sz="6" w:space="0" w:color="69BD28"/>
              <w:bottom w:val="single" w:sz="6" w:space="0" w:color="69BD28"/>
            </w:tcBorders>
          </w:tcPr>
          <w:p>
            <w:pPr>
              <w:pStyle w:val="TableParagraph"/>
              <w:spacing w:before="54"/>
              <w:ind w:left="147" w:right="169"/>
              <w:rPr>
                <w:sz w:val="18"/>
              </w:rPr>
            </w:pPr>
            <w:r>
              <w:rPr>
                <w:w w:val="110"/>
                <w:sz w:val="18"/>
              </w:rPr>
              <w:t>23-06-17</w:t>
            </w:r>
          </w:p>
        </w:tc>
      </w:tr>
      <w:tr>
        <w:trPr>
          <w:trHeight w:val="313" w:hRule="atLeast"/>
        </w:trPr>
        <w:tc>
          <w:tcPr>
            <w:tcW w:w="2939" w:type="dxa"/>
            <w:tcBorders>
              <w:top w:val="single" w:sz="6" w:space="0" w:color="69BD28"/>
              <w:bottom w:val="single" w:sz="6" w:space="0" w:color="69BD28"/>
            </w:tcBorders>
          </w:tcPr>
          <w:p>
            <w:pPr>
              <w:pStyle w:val="TableParagraph"/>
              <w:spacing w:before="54"/>
              <w:ind w:left="918" w:right="466"/>
              <w:rPr>
                <w:sz w:val="18"/>
              </w:rPr>
            </w:pPr>
            <w:r>
              <w:rPr>
                <w:sz w:val="18"/>
              </w:rPr>
              <w:t>Hotel</w:t>
            </w:r>
          </w:p>
        </w:tc>
        <w:tc>
          <w:tcPr>
            <w:tcW w:w="4304" w:type="dxa"/>
            <w:tcBorders>
              <w:top w:val="single" w:sz="6" w:space="0" w:color="69BD28"/>
              <w:bottom w:val="single" w:sz="6" w:space="0" w:color="69BD28"/>
            </w:tcBorders>
          </w:tcPr>
          <w:p>
            <w:pPr>
              <w:pStyle w:val="TableParagraph"/>
              <w:spacing w:before="54"/>
              <w:ind w:left="564" w:right="134"/>
              <w:rPr>
                <w:sz w:val="18"/>
              </w:rPr>
            </w:pPr>
            <w:r>
              <w:rPr>
                <w:sz w:val="18"/>
              </w:rPr>
              <w:t>Bruhat Bengaluru Mahanagara Palike (BBMP)</w:t>
            </w:r>
          </w:p>
        </w:tc>
        <w:tc>
          <w:tcPr>
            <w:tcW w:w="2688" w:type="dxa"/>
            <w:tcBorders>
              <w:top w:val="single" w:sz="6" w:space="0" w:color="69BD28"/>
              <w:bottom w:val="single" w:sz="6" w:space="0" w:color="69BD28"/>
            </w:tcBorders>
          </w:tcPr>
          <w:p>
            <w:pPr>
              <w:pStyle w:val="TableParagraph"/>
              <w:spacing w:before="54"/>
              <w:ind w:left="147" w:right="169"/>
              <w:rPr>
                <w:sz w:val="18"/>
              </w:rPr>
            </w:pPr>
            <w:r>
              <w:rPr>
                <w:w w:val="110"/>
                <w:sz w:val="18"/>
              </w:rPr>
              <w:t>12-10-18</w:t>
            </w:r>
          </w:p>
        </w:tc>
      </w:tr>
    </w:tbl>
    <w:p>
      <w:pPr>
        <w:spacing w:before="0"/>
        <w:ind w:left="1328" w:right="0" w:firstLine="0"/>
        <w:jc w:val="left"/>
        <w:rPr>
          <w:i/>
          <w:sz w:val="18"/>
        </w:rPr>
      </w:pPr>
      <w:r>
        <w:rPr>
          <w:i/>
          <w:sz w:val="18"/>
        </w:rPr>
        <w:t>Source: Approval documents provided by the Client</w:t>
      </w:r>
    </w:p>
    <w:p>
      <w:pPr>
        <w:pStyle w:val="BodyText"/>
        <w:spacing w:before="3"/>
        <w:rPr>
          <w:i/>
          <w:sz w:val="19"/>
        </w:rPr>
      </w:pPr>
    </w:p>
    <w:p>
      <w:pPr>
        <w:pStyle w:val="BodyText"/>
        <w:ind w:left="1246"/>
      </w:pPr>
      <w:r>
        <w:rPr>
          <w:u w:val="single"/>
        </w:rPr>
        <w:t>Hilton at GolfLinks</w:t>
      </w:r>
    </w:p>
    <w:p>
      <w:pPr>
        <w:pStyle w:val="BodyText"/>
        <w:spacing w:before="1"/>
        <w:rPr>
          <w:sz w:val="19"/>
        </w:rPr>
      </w:pPr>
    </w:p>
    <w:p>
      <w:pPr>
        <w:pStyle w:val="BodyText"/>
        <w:spacing w:line="321" w:lineRule="auto" w:before="106"/>
        <w:ind w:left="1246" w:right="674"/>
        <w:jc w:val="both"/>
      </w:pPr>
      <w:r>
        <w:rPr/>
        <w:pict>
          <v:group style="position:absolute;margin-left:36pt;margin-top:59.458721pt;width:527.3pt;height:23.9pt;mso-position-horizontal-relative:page;mso-position-vertical-relative:paragraph;z-index:-14897664;mso-wrap-distance-left:0;mso-wrap-distance-right:0" coordorigin="720,1189" coordsize="10546,478">
            <v:shape style="position:absolute;left:720;top:1220;width:10546;height:432" coordorigin="720,1220" coordsize="10546,432" path="m11266,1220l9302,1220,3433,1220,720,1220,720,1652,3433,1652,9302,1652,11266,1652,11266,1220xe" filled="true" fillcolor="#006a4d" stroked="false">
              <v:path arrowok="t"/>
              <v:fill type="solid"/>
            </v:shape>
            <v:rect style="position:absolute;left:720;top:1189;width:2713;height:29" filled="true" fillcolor="#1f6b16" stroked="false">
              <v:fill type="solid"/>
            </v:rect>
            <v:shape style="position:absolute;left:720;top:1217;width:2742;height:3" coordorigin="720,1218" coordsize="2742,3" path="m3462,1218l3433,1218,720,1218,720,1220,3433,1220,3462,1220,3462,1218xe" filled="true" fillcolor="#006a4d" stroked="false">
              <v:path arrowok="t"/>
              <v:fill type="solid"/>
            </v:shape>
            <v:shape style="position:absolute;left:3433;top:1189;width:5869;height:29" coordorigin="3433,1189" coordsize="5869,29" path="m9302,1189l3462,1189,3433,1189,3433,1218,3462,1218,9302,1218,9302,1189xe" filled="true" fillcolor="#1f6b16" stroked="false">
              <v:path arrowok="t"/>
              <v:fill type="solid"/>
            </v:shape>
            <v:shape style="position:absolute;left:3461;top:1217;width:5869;height:3" coordorigin="3462,1218" coordsize="5869,3" path="m9331,1218l9302,1218,3462,1218,3462,1220,9302,1220,9331,1220,9331,1218xe" filled="true" fillcolor="#006a4d" stroked="false">
              <v:path arrowok="t"/>
              <v:fill type="solid"/>
            </v:shape>
            <v:shape style="position:absolute;left:9302;top:1189;width:1964;height:29" coordorigin="9302,1189" coordsize="1964,29" path="m11266,1189l9331,1189,9302,1189,9302,1218,9331,1218,11266,1218,11266,1189xe" filled="true" fillcolor="#1f6b16" stroked="false">
              <v:path arrowok="t"/>
              <v:fill type="solid"/>
            </v:shape>
            <v:rect style="position:absolute;left:9330;top:1217;width:1935;height:3" filled="true" fillcolor="#006a4d" stroked="false">
              <v:fill type="solid"/>
            </v:rect>
            <v:rect style="position:absolute;left:720;top:1652;width:10546;height:15" filled="true" fillcolor="#69bd28" stroked="false">
              <v:fill type="solid"/>
            </v:rect>
            <v:shape style="position:absolute;left:1382;top:1327;width:1406;height:216" type="#_x0000_t202" filled="false" stroked="false">
              <v:textbox inset="0,0,0,0">
                <w:txbxContent>
                  <w:p>
                    <w:pPr>
                      <w:spacing w:before="4"/>
                      <w:ind w:left="0" w:right="0" w:firstLine="0"/>
                      <w:jc w:val="left"/>
                      <w:rPr>
                        <w:b/>
                        <w:sz w:val="18"/>
                      </w:rPr>
                    </w:pPr>
                    <w:r>
                      <w:rPr>
                        <w:b/>
                        <w:color w:val="FFFFFF"/>
                        <w:w w:val="110"/>
                        <w:sz w:val="18"/>
                      </w:rPr>
                      <w:t>Property Name</w:t>
                    </w:r>
                  </w:p>
                </w:txbxContent>
              </v:textbox>
              <w10:wrap type="none"/>
            </v:shape>
            <v:shape style="position:absolute;left:5951;top:1327;width:855;height:216" type="#_x0000_t202" filled="false" stroked="false">
              <v:textbox inset="0,0,0,0">
                <w:txbxContent>
                  <w:p>
                    <w:pPr>
                      <w:spacing w:before="4"/>
                      <w:ind w:left="0" w:right="0" w:firstLine="0"/>
                      <w:jc w:val="left"/>
                      <w:rPr>
                        <w:b/>
                        <w:sz w:val="18"/>
                      </w:rPr>
                    </w:pPr>
                    <w:r>
                      <w:rPr>
                        <w:b/>
                        <w:color w:val="FFFFFF"/>
                        <w:w w:val="105"/>
                        <w:sz w:val="18"/>
                      </w:rPr>
                      <w:t>Authority</w:t>
                    </w:r>
                  </w:p>
                </w:txbxContent>
              </v:textbox>
              <w10:wrap type="none"/>
            </v:shape>
            <v:shape style="position:absolute;left:9450;top:1219;width:1680;height:432" type="#_x0000_t202" filled="false" stroked="false">
              <v:textbox inset="0,0,0,0">
                <w:txbxContent>
                  <w:p>
                    <w:pPr>
                      <w:spacing w:line="247" w:lineRule="auto" w:before="4"/>
                      <w:ind w:left="482" w:right="18" w:hanging="483"/>
                      <w:jc w:val="left"/>
                      <w:rPr>
                        <w:b/>
                        <w:sz w:val="18"/>
                      </w:rPr>
                    </w:pPr>
                    <w:r>
                      <w:rPr>
                        <w:b/>
                        <w:color w:val="FFFFFF"/>
                        <w:w w:val="110"/>
                        <w:sz w:val="18"/>
                      </w:rPr>
                      <w:t>Date of Issue (DD- MM-YY)</w:t>
                    </w:r>
                  </w:p>
                </w:txbxContent>
              </v:textbox>
              <w10:wrap type="none"/>
            </v:shape>
            <w10:wrap type="topAndBottom"/>
          </v:group>
        </w:pict>
      </w:r>
      <w:r>
        <w:rPr/>
        <w:t>As</w:t>
      </w:r>
      <w:r>
        <w:rPr>
          <w:spacing w:val="-28"/>
        </w:rPr>
        <w:t> </w:t>
      </w:r>
      <w:r>
        <w:rPr/>
        <w:t>per</w:t>
      </w:r>
      <w:r>
        <w:rPr>
          <w:spacing w:val="-27"/>
        </w:rPr>
        <w:t> </w:t>
      </w:r>
      <w:r>
        <w:rPr/>
        <w:t>approval</w:t>
      </w:r>
      <w:r>
        <w:rPr>
          <w:spacing w:val="-27"/>
        </w:rPr>
        <w:t> </w:t>
      </w:r>
      <w:r>
        <w:rPr/>
        <w:t>documents</w:t>
      </w:r>
      <w:r>
        <w:rPr>
          <w:spacing w:val="-27"/>
        </w:rPr>
        <w:t> </w:t>
      </w:r>
      <w:r>
        <w:rPr/>
        <w:t>provided</w:t>
      </w:r>
      <w:r>
        <w:rPr>
          <w:spacing w:val="-27"/>
        </w:rPr>
        <w:t> </w:t>
      </w:r>
      <w:r>
        <w:rPr/>
        <w:t>by</w:t>
      </w:r>
      <w:r>
        <w:rPr>
          <w:spacing w:val="-28"/>
        </w:rPr>
        <w:t> </w:t>
      </w:r>
      <w:r>
        <w:rPr/>
        <w:t>the</w:t>
      </w:r>
      <w:r>
        <w:rPr>
          <w:spacing w:val="-27"/>
        </w:rPr>
        <w:t> </w:t>
      </w:r>
      <w:r>
        <w:rPr/>
        <w:t>Client,</w:t>
      </w:r>
      <w:r>
        <w:rPr>
          <w:spacing w:val="-27"/>
        </w:rPr>
        <w:t> </w:t>
      </w:r>
      <w:r>
        <w:rPr/>
        <w:t>all</w:t>
      </w:r>
      <w:r>
        <w:rPr>
          <w:spacing w:val="-27"/>
        </w:rPr>
        <w:t> </w:t>
      </w:r>
      <w:r>
        <w:rPr/>
        <w:t>requisite</w:t>
      </w:r>
      <w:r>
        <w:rPr>
          <w:spacing w:val="-28"/>
        </w:rPr>
        <w:t> </w:t>
      </w:r>
      <w:r>
        <w:rPr/>
        <w:t>approvals</w:t>
      </w:r>
      <w:r>
        <w:rPr>
          <w:spacing w:val="-23"/>
        </w:rPr>
        <w:t> </w:t>
      </w:r>
      <w:r>
        <w:rPr/>
        <w:t>and</w:t>
      </w:r>
      <w:r>
        <w:rPr>
          <w:spacing w:val="-27"/>
        </w:rPr>
        <w:t> </w:t>
      </w:r>
      <w:r>
        <w:rPr/>
        <w:t>occupancy</w:t>
      </w:r>
      <w:r>
        <w:rPr>
          <w:spacing w:val="-26"/>
        </w:rPr>
        <w:t> </w:t>
      </w:r>
      <w:r>
        <w:rPr/>
        <w:t>certificate</w:t>
      </w:r>
      <w:r>
        <w:rPr>
          <w:spacing w:val="-25"/>
        </w:rPr>
        <w:t> </w:t>
      </w:r>
      <w:r>
        <w:rPr/>
        <w:t>for the</w:t>
      </w:r>
      <w:r>
        <w:rPr>
          <w:spacing w:val="-40"/>
        </w:rPr>
        <w:t> </w:t>
      </w:r>
      <w:r>
        <w:rPr/>
        <w:t>operational</w:t>
      </w:r>
      <w:r>
        <w:rPr>
          <w:spacing w:val="-38"/>
        </w:rPr>
        <w:t> </w:t>
      </w:r>
      <w:r>
        <w:rPr/>
        <w:t>hotel</w:t>
      </w:r>
      <w:r>
        <w:rPr>
          <w:spacing w:val="-40"/>
        </w:rPr>
        <w:t> </w:t>
      </w:r>
      <w:r>
        <w:rPr/>
        <w:t>has</w:t>
      </w:r>
      <w:r>
        <w:rPr>
          <w:spacing w:val="-38"/>
        </w:rPr>
        <w:t> </w:t>
      </w:r>
      <w:r>
        <w:rPr/>
        <w:t>been</w:t>
      </w:r>
      <w:r>
        <w:rPr>
          <w:spacing w:val="-39"/>
        </w:rPr>
        <w:t> </w:t>
      </w:r>
      <w:r>
        <w:rPr/>
        <w:t>received.</w:t>
      </w:r>
      <w:r>
        <w:rPr>
          <w:spacing w:val="-38"/>
        </w:rPr>
        <w:t> </w:t>
      </w:r>
      <w:r>
        <w:rPr/>
        <w:t>The</w:t>
      </w:r>
      <w:r>
        <w:rPr>
          <w:spacing w:val="-39"/>
        </w:rPr>
        <w:t> </w:t>
      </w:r>
      <w:r>
        <w:rPr/>
        <w:t>occupancy</w:t>
      </w:r>
      <w:r>
        <w:rPr>
          <w:spacing w:val="-38"/>
        </w:rPr>
        <w:t> </w:t>
      </w:r>
      <w:r>
        <w:rPr/>
        <w:t>certificate</w:t>
      </w:r>
      <w:r>
        <w:rPr>
          <w:spacing w:val="-39"/>
        </w:rPr>
        <w:t> </w:t>
      </w:r>
      <w:r>
        <w:rPr/>
        <w:t>for</w:t>
      </w:r>
      <w:r>
        <w:rPr>
          <w:spacing w:val="-38"/>
        </w:rPr>
        <w:t> </w:t>
      </w:r>
      <w:r>
        <w:rPr/>
        <w:t>the</w:t>
      </w:r>
      <w:r>
        <w:rPr>
          <w:spacing w:val="-40"/>
        </w:rPr>
        <w:t> </w:t>
      </w:r>
      <w:r>
        <w:rPr/>
        <w:t>development</w:t>
      </w:r>
      <w:r>
        <w:rPr>
          <w:spacing w:val="-38"/>
        </w:rPr>
        <w:t> </w:t>
      </w:r>
      <w:r>
        <w:rPr/>
        <w:t>has</w:t>
      </w:r>
      <w:r>
        <w:rPr>
          <w:spacing w:val="-39"/>
        </w:rPr>
        <w:t> </w:t>
      </w:r>
      <w:r>
        <w:rPr/>
        <w:t>been</w:t>
      </w:r>
      <w:r>
        <w:rPr>
          <w:spacing w:val="-40"/>
        </w:rPr>
        <w:t> </w:t>
      </w:r>
      <w:r>
        <w:rPr/>
        <w:t>shared by</w:t>
      </w:r>
      <w:r>
        <w:rPr>
          <w:spacing w:val="-11"/>
        </w:rPr>
        <w:t> </w:t>
      </w:r>
      <w:r>
        <w:rPr/>
        <w:t>the</w:t>
      </w:r>
      <w:r>
        <w:rPr>
          <w:spacing w:val="-14"/>
        </w:rPr>
        <w:t> </w:t>
      </w:r>
      <w:r>
        <w:rPr/>
        <w:t>Client</w:t>
      </w:r>
      <w:r>
        <w:rPr>
          <w:spacing w:val="-11"/>
        </w:rPr>
        <w:t> </w:t>
      </w:r>
      <w:r>
        <w:rPr/>
        <w:t>and</w:t>
      </w:r>
      <w:r>
        <w:rPr>
          <w:spacing w:val="-11"/>
        </w:rPr>
        <w:t> </w:t>
      </w:r>
      <w:r>
        <w:rPr/>
        <w:t>the</w:t>
      </w:r>
      <w:r>
        <w:rPr>
          <w:spacing w:val="-11"/>
        </w:rPr>
        <w:t> </w:t>
      </w:r>
      <w:r>
        <w:rPr/>
        <w:t>same</w:t>
      </w:r>
      <w:r>
        <w:rPr>
          <w:spacing w:val="-11"/>
        </w:rPr>
        <w:t> </w:t>
      </w:r>
      <w:r>
        <w:rPr/>
        <w:t>has</w:t>
      </w:r>
      <w:r>
        <w:rPr>
          <w:spacing w:val="-10"/>
        </w:rPr>
        <w:t> </w:t>
      </w:r>
      <w:r>
        <w:rPr/>
        <w:t>been</w:t>
      </w:r>
      <w:r>
        <w:rPr>
          <w:spacing w:val="-12"/>
        </w:rPr>
        <w:t> </w:t>
      </w:r>
      <w:r>
        <w:rPr/>
        <w:t>considered</w:t>
      </w:r>
      <w:r>
        <w:rPr>
          <w:spacing w:val="-13"/>
        </w:rPr>
        <w:t> </w:t>
      </w:r>
      <w:r>
        <w:rPr/>
        <w:t>for</w:t>
      </w:r>
      <w:r>
        <w:rPr>
          <w:spacing w:val="-11"/>
        </w:rPr>
        <w:t> </w:t>
      </w:r>
      <w:r>
        <w:rPr/>
        <w:t>the</w:t>
      </w:r>
      <w:r>
        <w:rPr>
          <w:spacing w:val="-13"/>
        </w:rPr>
        <w:t> </w:t>
      </w:r>
      <w:r>
        <w:rPr/>
        <w:t>purpose</w:t>
      </w:r>
      <w:r>
        <w:rPr>
          <w:spacing w:val="-11"/>
        </w:rPr>
        <w:t> </w:t>
      </w:r>
      <w:r>
        <w:rPr/>
        <w:t>of</w:t>
      </w:r>
      <w:r>
        <w:rPr>
          <w:spacing w:val="-10"/>
        </w:rPr>
        <w:t> </w:t>
      </w:r>
      <w:r>
        <w:rPr/>
        <w:t>the</w:t>
      </w:r>
      <w:r>
        <w:rPr>
          <w:spacing w:val="-12"/>
        </w:rPr>
        <w:t> </w:t>
      </w:r>
      <w:r>
        <w:rPr/>
        <w:t>valuation</w:t>
      </w:r>
      <w:r>
        <w:rPr>
          <w:spacing w:val="-12"/>
        </w:rPr>
        <w:t> </w:t>
      </w:r>
      <w:r>
        <w:rPr/>
        <w:t>exercise:</w:t>
      </w:r>
    </w:p>
    <w:p>
      <w:pPr>
        <w:tabs>
          <w:tab w:pos="5008" w:val="left" w:leader="none"/>
          <w:tab w:pos="10625" w:val="right" w:leader="none"/>
        </w:tabs>
        <w:spacing w:before="15"/>
        <w:ind w:left="1278" w:right="0" w:firstLine="0"/>
        <w:jc w:val="left"/>
        <w:rPr>
          <w:sz w:val="18"/>
        </w:rPr>
      </w:pPr>
      <w:r>
        <w:rPr>
          <w:sz w:val="18"/>
        </w:rPr>
        <w:t>Hilton</w:t>
      </w:r>
      <w:r>
        <w:rPr>
          <w:spacing w:val="-13"/>
          <w:sz w:val="18"/>
        </w:rPr>
        <w:t> </w:t>
      </w:r>
      <w:r>
        <w:rPr>
          <w:sz w:val="18"/>
        </w:rPr>
        <w:t>at</w:t>
      </w:r>
      <w:r>
        <w:rPr>
          <w:spacing w:val="32"/>
          <w:sz w:val="18"/>
        </w:rPr>
        <w:t> </w:t>
      </w:r>
      <w:r>
        <w:rPr>
          <w:sz w:val="18"/>
        </w:rPr>
        <w:t>GolfLinks</w:t>
        <w:tab/>
        <w:t>Bengaluru</w:t>
      </w:r>
      <w:r>
        <w:rPr>
          <w:spacing w:val="-3"/>
          <w:sz w:val="18"/>
        </w:rPr>
        <w:t> </w:t>
      </w:r>
      <w:r>
        <w:rPr>
          <w:sz w:val="18"/>
        </w:rPr>
        <w:t>Development</w:t>
      </w:r>
      <w:r>
        <w:rPr>
          <w:spacing w:val="-3"/>
          <w:sz w:val="18"/>
        </w:rPr>
        <w:t> </w:t>
      </w:r>
      <w:r>
        <w:rPr>
          <w:sz w:val="18"/>
        </w:rPr>
        <w:t>Authority</w:t>
        <w:tab/>
        <w:t>30-11-11</w:t>
      </w:r>
    </w:p>
    <w:p>
      <w:pPr>
        <w:spacing w:before="65"/>
        <w:ind w:left="680" w:right="0" w:firstLine="0"/>
        <w:jc w:val="left"/>
        <w:rPr>
          <w:i/>
          <w:sz w:val="18"/>
        </w:rPr>
      </w:pPr>
      <w:r>
        <w:rPr/>
        <w:pict>
          <v:rect style="position:absolute;margin-left:35.280003pt;margin-top:2.340673pt;width:528.004025pt;height:.72pt;mso-position-horizontal-relative:page;mso-position-vertical-relative:paragraph;z-index:16560128" filled="true" fillcolor="#69bd28" stroked="false">
            <v:fill type="solid"/>
            <w10:wrap type="none"/>
          </v:rect>
        </w:pict>
      </w:r>
      <w:r>
        <w:rPr>
          <w:i/>
          <w:sz w:val="18"/>
        </w:rPr>
        <w:t>Source: Approval documents provided by the Client</w:t>
      </w:r>
    </w:p>
    <w:p>
      <w:pPr>
        <w:pStyle w:val="BodyText"/>
        <w:spacing w:before="310"/>
        <w:ind w:left="1246"/>
      </w:pPr>
      <w:r>
        <w:rPr>
          <w:u w:val="single"/>
        </w:rPr>
        <w:t>Embassy Energy</w:t>
      </w:r>
    </w:p>
    <w:p>
      <w:pPr>
        <w:pStyle w:val="BodyText"/>
        <w:spacing w:line="321" w:lineRule="auto" w:before="328"/>
        <w:ind w:left="1246" w:right="676"/>
        <w:jc w:val="both"/>
      </w:pPr>
      <w:r>
        <w:rPr/>
        <w:t>Based</w:t>
      </w:r>
      <w:r>
        <w:rPr>
          <w:spacing w:val="-33"/>
        </w:rPr>
        <w:t> </w:t>
      </w:r>
      <w:r>
        <w:rPr/>
        <w:t>on</w:t>
      </w:r>
      <w:r>
        <w:rPr>
          <w:spacing w:val="-33"/>
        </w:rPr>
        <w:t> </w:t>
      </w:r>
      <w:r>
        <w:rPr/>
        <w:t>the</w:t>
      </w:r>
      <w:r>
        <w:rPr>
          <w:spacing w:val="-32"/>
        </w:rPr>
        <w:t> </w:t>
      </w:r>
      <w:r>
        <w:rPr/>
        <w:t>review</w:t>
      </w:r>
      <w:r>
        <w:rPr>
          <w:spacing w:val="-32"/>
        </w:rPr>
        <w:t> </w:t>
      </w:r>
      <w:r>
        <w:rPr/>
        <w:t>of</w:t>
      </w:r>
      <w:r>
        <w:rPr>
          <w:spacing w:val="-32"/>
        </w:rPr>
        <w:t> </w:t>
      </w:r>
      <w:r>
        <w:rPr/>
        <w:t>documents</w:t>
      </w:r>
      <w:r>
        <w:rPr>
          <w:spacing w:val="-32"/>
        </w:rPr>
        <w:t> </w:t>
      </w:r>
      <w:r>
        <w:rPr/>
        <w:t>provided</w:t>
      </w:r>
      <w:r>
        <w:rPr>
          <w:spacing w:val="-32"/>
        </w:rPr>
        <w:t> </w:t>
      </w:r>
      <w:r>
        <w:rPr/>
        <w:t>by</w:t>
      </w:r>
      <w:r>
        <w:rPr>
          <w:spacing w:val="-33"/>
        </w:rPr>
        <w:t> </w:t>
      </w:r>
      <w:r>
        <w:rPr/>
        <w:t>the</w:t>
      </w:r>
      <w:r>
        <w:rPr>
          <w:spacing w:val="-32"/>
        </w:rPr>
        <w:t> </w:t>
      </w:r>
      <w:r>
        <w:rPr/>
        <w:t>Client,</w:t>
      </w:r>
      <w:r>
        <w:rPr>
          <w:spacing w:val="-31"/>
        </w:rPr>
        <w:t> </w:t>
      </w:r>
      <w:r>
        <w:rPr/>
        <w:t>we</w:t>
      </w:r>
      <w:r>
        <w:rPr>
          <w:spacing w:val="-32"/>
        </w:rPr>
        <w:t> </w:t>
      </w:r>
      <w:r>
        <w:rPr/>
        <w:t>understand</w:t>
      </w:r>
      <w:r>
        <w:rPr>
          <w:spacing w:val="-32"/>
        </w:rPr>
        <w:t> </w:t>
      </w:r>
      <w:r>
        <w:rPr/>
        <w:t>that</w:t>
      </w:r>
      <w:r>
        <w:rPr>
          <w:spacing w:val="-32"/>
        </w:rPr>
        <w:t> </w:t>
      </w:r>
      <w:r>
        <w:rPr/>
        <w:t>all</w:t>
      </w:r>
      <w:r>
        <w:rPr>
          <w:spacing w:val="-33"/>
        </w:rPr>
        <w:t> </w:t>
      </w:r>
      <w:r>
        <w:rPr/>
        <w:t>the</w:t>
      </w:r>
      <w:r>
        <w:rPr>
          <w:spacing w:val="-32"/>
        </w:rPr>
        <w:t> </w:t>
      </w:r>
      <w:r>
        <w:rPr/>
        <w:t>requisite</w:t>
      </w:r>
      <w:r>
        <w:rPr>
          <w:spacing w:val="-32"/>
        </w:rPr>
        <w:t> </w:t>
      </w:r>
      <w:r>
        <w:rPr/>
        <w:t>approvals along</w:t>
      </w:r>
      <w:r>
        <w:rPr>
          <w:spacing w:val="-38"/>
        </w:rPr>
        <w:t> </w:t>
      </w:r>
      <w:r>
        <w:rPr/>
        <w:t>with</w:t>
      </w:r>
      <w:r>
        <w:rPr>
          <w:spacing w:val="-39"/>
        </w:rPr>
        <w:t> </w:t>
      </w:r>
      <w:r>
        <w:rPr/>
        <w:t>the</w:t>
      </w:r>
      <w:r>
        <w:rPr>
          <w:spacing w:val="-39"/>
        </w:rPr>
        <w:t> </w:t>
      </w:r>
      <w:r>
        <w:rPr/>
        <w:t>Commissioning</w:t>
      </w:r>
      <w:r>
        <w:rPr>
          <w:spacing w:val="-38"/>
        </w:rPr>
        <w:t> </w:t>
      </w:r>
      <w:r>
        <w:rPr/>
        <w:t>Certificates</w:t>
      </w:r>
      <w:r>
        <w:rPr>
          <w:spacing w:val="-37"/>
        </w:rPr>
        <w:t> </w:t>
      </w:r>
      <w:r>
        <w:rPr/>
        <w:t>(issued</w:t>
      </w:r>
      <w:r>
        <w:rPr>
          <w:spacing w:val="-40"/>
        </w:rPr>
        <w:t> </w:t>
      </w:r>
      <w:r>
        <w:rPr/>
        <w:t>by</w:t>
      </w:r>
      <w:r>
        <w:rPr>
          <w:spacing w:val="-38"/>
        </w:rPr>
        <w:t> </w:t>
      </w:r>
      <w:r>
        <w:rPr/>
        <w:t>Gulbarga</w:t>
      </w:r>
      <w:r>
        <w:rPr>
          <w:spacing w:val="-39"/>
        </w:rPr>
        <w:t> </w:t>
      </w:r>
      <w:r>
        <w:rPr/>
        <w:t>Electricity</w:t>
      </w:r>
      <w:r>
        <w:rPr>
          <w:spacing w:val="-38"/>
        </w:rPr>
        <w:t> </w:t>
      </w:r>
      <w:r>
        <w:rPr/>
        <w:t>Supply</w:t>
      </w:r>
      <w:r>
        <w:rPr>
          <w:spacing w:val="-34"/>
        </w:rPr>
        <w:t> </w:t>
      </w:r>
      <w:r>
        <w:rPr/>
        <w:t>Company</w:t>
      </w:r>
      <w:r>
        <w:rPr>
          <w:spacing w:val="-38"/>
        </w:rPr>
        <w:t> </w:t>
      </w:r>
      <w:r>
        <w:rPr/>
        <w:t>Limited)</w:t>
      </w:r>
      <w:r>
        <w:rPr>
          <w:spacing w:val="-38"/>
        </w:rPr>
        <w:t> </w:t>
      </w:r>
      <w:r>
        <w:rPr/>
        <w:t>have been</w:t>
      </w:r>
      <w:r>
        <w:rPr>
          <w:spacing w:val="-10"/>
        </w:rPr>
        <w:t> </w:t>
      </w:r>
      <w:r>
        <w:rPr/>
        <w:t>received</w:t>
      </w:r>
      <w:r>
        <w:rPr>
          <w:spacing w:val="-8"/>
        </w:rPr>
        <w:t> </w:t>
      </w:r>
      <w:r>
        <w:rPr/>
        <w:t>for</w:t>
      </w:r>
      <w:r>
        <w:rPr>
          <w:spacing w:val="-10"/>
        </w:rPr>
        <w:t> </w:t>
      </w:r>
      <w:r>
        <w:rPr/>
        <w:t>operating</w:t>
      </w:r>
      <w:r>
        <w:rPr>
          <w:spacing w:val="-8"/>
        </w:rPr>
        <w:t> </w:t>
      </w:r>
      <w:r>
        <w:rPr/>
        <w:t>a</w:t>
      </w:r>
      <w:r>
        <w:rPr>
          <w:spacing w:val="-10"/>
        </w:rPr>
        <w:t> </w:t>
      </w:r>
      <w:r>
        <w:rPr/>
        <w:t>‘Solar</w:t>
      </w:r>
      <w:r>
        <w:rPr>
          <w:spacing w:val="-9"/>
        </w:rPr>
        <w:t> </w:t>
      </w:r>
      <w:r>
        <w:rPr/>
        <w:t>Power</w:t>
      </w:r>
      <w:r>
        <w:rPr>
          <w:spacing w:val="-9"/>
        </w:rPr>
        <w:t> </w:t>
      </w:r>
      <w:r>
        <w:rPr/>
        <w:t>Plant’</w:t>
      </w:r>
      <w:r>
        <w:rPr>
          <w:spacing w:val="-9"/>
        </w:rPr>
        <w:t> </w:t>
      </w:r>
      <w:r>
        <w:rPr/>
        <w:t>at</w:t>
      </w:r>
      <w:r>
        <w:rPr>
          <w:spacing w:val="-9"/>
        </w:rPr>
        <w:t> </w:t>
      </w:r>
      <w:r>
        <w:rPr/>
        <w:t>the</w:t>
      </w:r>
      <w:r>
        <w:rPr>
          <w:spacing w:val="-9"/>
        </w:rPr>
        <w:t> </w:t>
      </w:r>
      <w:r>
        <w:rPr/>
        <w:t>subject</w:t>
      </w:r>
      <w:r>
        <w:rPr>
          <w:spacing w:val="-11"/>
        </w:rPr>
        <w:t> </w:t>
      </w:r>
      <w:r>
        <w:rPr/>
        <w:t>property.</w:t>
      </w:r>
    </w:p>
    <w:p>
      <w:pPr>
        <w:pStyle w:val="BodyText"/>
        <w:spacing w:before="243"/>
        <w:ind w:left="1246"/>
        <w:jc w:val="both"/>
      </w:pPr>
      <w:r>
        <w:rPr/>
        <w:t>The details of the Commissioning Certificates shared by the Client have been tabulated below:</w:t>
      </w:r>
    </w:p>
    <w:p>
      <w:pPr>
        <w:spacing w:after="0"/>
        <w:jc w:val="both"/>
        <w:sectPr>
          <w:headerReference w:type="default" r:id="rId331"/>
          <w:footerReference w:type="default" r:id="rId332"/>
          <w:pgSz w:w="11910" w:h="16840"/>
          <w:pgMar w:header="720" w:footer="862" w:top="1660" w:bottom="1060" w:left="40" w:right="40"/>
          <w:pgNumType w:start="345"/>
        </w:sectPr>
      </w:pPr>
    </w:p>
    <w:p>
      <w:pPr>
        <w:tabs>
          <w:tab w:pos="3092" w:val="left" w:leader="none"/>
          <w:tab w:pos="7360" w:val="left" w:leader="none"/>
          <w:tab w:pos="10306" w:val="right" w:leader="none"/>
        </w:tabs>
        <w:spacing w:before="714"/>
        <w:ind w:left="1515" w:right="0" w:firstLine="0"/>
        <w:jc w:val="left"/>
        <w:rPr>
          <w:sz w:val="18"/>
        </w:rPr>
      </w:pPr>
      <w:r>
        <w:rPr/>
        <w:pict>
          <v:group style="position:absolute;margin-left:36pt;margin-top:10.670669pt;width:523.6pt;height:23.8pt;mso-position-horizontal-relative:page;mso-position-vertical-relative:paragraph;z-index:16562688" coordorigin="720,213" coordsize="10472,476">
            <v:shape style="position:absolute;left:720;top:242;width:10472;height:432" coordorigin="720,242" coordsize="10472,432" path="m2972,242l720,242,720,674,2972,674,2972,242xm8733,242l6839,242,2972,242,2972,674,6839,674,8733,674,8733,242xm11191,242l8733,242,8733,674,11191,674,11191,242xe" filled="true" fillcolor="#006a4d" stroked="false">
              <v:path arrowok="t"/>
              <v:fill type="solid"/>
            </v:shape>
            <v:rect style="position:absolute;left:720;top:213;width:2252;height:29" filled="true" fillcolor="#1f6b16" stroked="false">
              <v:fill type="solid"/>
            </v:rect>
            <v:shape style="position:absolute;left:720;top:242;width:2281;height:3" coordorigin="720,242" coordsize="2281,3" path="m2972,242l720,242,720,245,2972,245,2972,242xm3000,242l2972,242,2972,245,3000,245,3000,242xe" filled="true" fillcolor="#006a4d" stroked="false">
              <v:path arrowok="t"/>
              <v:fill type="solid"/>
            </v:shape>
            <v:shape style="position:absolute;left:2971;top:213;width:3868;height:29" coordorigin="2972,213" coordsize="3868,29" path="m6839,213l3000,213,2972,213,2972,242,3000,242,6839,242,6839,213xe" filled="true" fillcolor="#1f6b16" stroked="false">
              <v:path arrowok="t"/>
              <v:fill type="solid"/>
            </v:shape>
            <v:shape style="position:absolute;left:3000;top:242;width:3868;height:3" coordorigin="3000,242" coordsize="3868,3" path="m6868,242l6839,242,3000,242,3000,245,6839,245,6868,245,6868,242xe" filled="true" fillcolor="#006a4d" stroked="false">
              <v:path arrowok="t"/>
              <v:fill type="solid"/>
            </v:shape>
            <v:shape style="position:absolute;left:6839;top:213;width:1895;height:29" coordorigin="6839,213" coordsize="1895,29" path="m8733,213l6868,213,6839,213,6839,242,6868,242,8733,242,8733,213xe" filled="true" fillcolor="#1f6b16" stroked="false">
              <v:path arrowok="t"/>
              <v:fill type="solid"/>
            </v:shape>
            <v:shape style="position:absolute;left:6867;top:242;width:1895;height:3" coordorigin="6868,242" coordsize="1895,3" path="m8733,242l6868,242,6868,245,8733,245,8733,242xm8762,242l8733,242,8733,245,8762,245,8762,242xe" filled="true" fillcolor="#006a4d" stroked="false">
              <v:path arrowok="t"/>
              <v:fill type="solid"/>
            </v:shape>
            <v:shape style="position:absolute;left:8733;top:213;width:2458;height:29" coordorigin="8733,213" coordsize="2458,29" path="m11191,213l8762,213,8733,213,8733,242,8762,242,11191,242,11191,213xe" filled="true" fillcolor="#1f6b16" stroked="false">
              <v:path arrowok="t"/>
              <v:fill type="solid"/>
            </v:shape>
            <v:rect style="position:absolute;left:8762;top:242;width:2430;height:3" filled="true" fillcolor="#006a4d" stroked="false">
              <v:fill type="solid"/>
            </v:rect>
            <v:shape style="position:absolute;left:720;top:674;width:10472;height:15" coordorigin="720,674" coordsize="10472,15" path="m2972,674l720,674,720,689,2972,689,2972,674xm8733,674l6853,674,6839,674,2986,674,2972,674,2972,689,2986,689,6839,689,6853,689,8733,689,8733,674xm11191,674l8748,674,8733,674,8733,689,8748,689,11191,689,11191,674xe" filled="true" fillcolor="#69bd28" stroked="false">
              <v:path arrowok="t"/>
              <v:fill type="solid"/>
            </v:shape>
            <v:shape style="position:absolute;left:1188;top:241;width:1329;height:432" type="#_x0000_t202" filled="false" stroked="false">
              <v:textbox inset="0,0,0,0">
                <w:txbxContent>
                  <w:p>
                    <w:pPr>
                      <w:spacing w:line="247" w:lineRule="auto" w:before="4"/>
                      <w:ind w:left="0" w:right="-11" w:firstLine="273"/>
                      <w:jc w:val="left"/>
                      <w:rPr>
                        <w:b/>
                        <w:sz w:val="18"/>
                      </w:rPr>
                    </w:pPr>
                    <w:r>
                      <w:rPr>
                        <w:b/>
                        <w:color w:val="FFFFFF"/>
                        <w:w w:val="110"/>
                        <w:sz w:val="18"/>
                      </w:rPr>
                      <w:t>Capacity Commissioned</w:t>
                    </w:r>
                  </w:p>
                </w:txbxContent>
              </v:textbox>
              <w10:wrap type="none"/>
            </v:shape>
            <v:shape style="position:absolute;left:4489;top:349;width:855;height:216" type="#_x0000_t202" filled="false" stroked="false">
              <v:textbox inset="0,0,0,0">
                <w:txbxContent>
                  <w:p>
                    <w:pPr>
                      <w:spacing w:before="4"/>
                      <w:ind w:left="0" w:right="0" w:firstLine="0"/>
                      <w:jc w:val="left"/>
                      <w:rPr>
                        <w:b/>
                        <w:sz w:val="18"/>
                      </w:rPr>
                    </w:pPr>
                    <w:r>
                      <w:rPr>
                        <w:b/>
                        <w:color w:val="FFFFFF"/>
                        <w:w w:val="105"/>
                        <w:sz w:val="18"/>
                      </w:rPr>
                      <w:t>Authority</w:t>
                    </w:r>
                  </w:p>
                </w:txbxContent>
              </v:textbox>
              <w10:wrap type="none"/>
            </v:shape>
            <v:shape style="position:absolute;left:7163;top:241;width:1262;height:432" type="#_x0000_t202" filled="false" stroked="false">
              <v:textbox inset="0,0,0,0">
                <w:txbxContent>
                  <w:p>
                    <w:pPr>
                      <w:spacing w:line="247" w:lineRule="auto" w:before="4"/>
                      <w:ind w:left="62" w:right="18" w:hanging="63"/>
                      <w:jc w:val="left"/>
                      <w:rPr>
                        <w:b/>
                        <w:sz w:val="18"/>
                      </w:rPr>
                    </w:pPr>
                    <w:r>
                      <w:rPr>
                        <w:b/>
                        <w:color w:val="FFFFFF"/>
                        <w:w w:val="110"/>
                        <w:sz w:val="18"/>
                      </w:rPr>
                      <w:t>Date</w:t>
                    </w:r>
                    <w:r>
                      <w:rPr>
                        <w:b/>
                        <w:color w:val="FFFFFF"/>
                        <w:spacing w:val="-29"/>
                        <w:w w:val="110"/>
                        <w:sz w:val="18"/>
                      </w:rPr>
                      <w:t> </w:t>
                    </w:r>
                    <w:r>
                      <w:rPr>
                        <w:b/>
                        <w:color w:val="FFFFFF"/>
                        <w:w w:val="110"/>
                        <w:sz w:val="18"/>
                      </w:rPr>
                      <w:t>of</w:t>
                    </w:r>
                    <w:r>
                      <w:rPr>
                        <w:b/>
                        <w:color w:val="FFFFFF"/>
                        <w:spacing w:val="-28"/>
                        <w:w w:val="110"/>
                        <w:sz w:val="18"/>
                      </w:rPr>
                      <w:t> </w:t>
                    </w:r>
                    <w:r>
                      <w:rPr>
                        <w:b/>
                        <w:color w:val="FFFFFF"/>
                        <w:spacing w:val="-3"/>
                        <w:w w:val="110"/>
                        <w:sz w:val="18"/>
                      </w:rPr>
                      <w:t>Letter </w:t>
                    </w:r>
                    <w:r>
                      <w:rPr>
                        <w:b/>
                        <w:color w:val="FFFFFF"/>
                        <w:w w:val="110"/>
                        <w:sz w:val="18"/>
                      </w:rPr>
                      <w:t>(DD-MM-YY)</w:t>
                    </w:r>
                  </w:p>
                </w:txbxContent>
              </v:textbox>
              <w10:wrap type="none"/>
            </v:shape>
            <v:shape style="position:absolute;left:8915;top:241;width:2112;height:432" type="#_x0000_t202" filled="false" stroked="false">
              <v:textbox inset="0,0,0,0">
                <w:txbxContent>
                  <w:p>
                    <w:pPr>
                      <w:spacing w:line="247" w:lineRule="auto" w:before="4"/>
                      <w:ind w:left="487" w:right="8" w:hanging="488"/>
                      <w:jc w:val="left"/>
                      <w:rPr>
                        <w:b/>
                        <w:sz w:val="18"/>
                      </w:rPr>
                    </w:pPr>
                    <w:r>
                      <w:rPr>
                        <w:b/>
                        <w:color w:val="FFFFFF"/>
                        <w:w w:val="110"/>
                        <w:sz w:val="18"/>
                      </w:rPr>
                      <w:t>Date of Commissioning (DD-MM-YY)</w:t>
                    </w:r>
                  </w:p>
                </w:txbxContent>
              </v:textbox>
              <w10:wrap type="none"/>
            </v:shape>
            <w10:wrap type="none"/>
          </v:group>
        </w:pict>
      </w:r>
      <w:r>
        <w:rPr/>
        <w:pict>
          <v:shape style="position:absolute;margin-left:36pt;margin-top:47.270634pt;width:523.6pt;height:.75pt;mso-position-horizontal-relative:page;mso-position-vertical-relative:paragraph;z-index:16563200" coordorigin="720,945" coordsize="10472,15" path="m2972,945l720,945,720,960,2972,960,2972,945xm8733,945l6853,945,6839,945,2986,945,2972,945,2972,960,2986,960,6839,960,6853,960,8733,960,8733,945xm11191,945l8748,945,8733,945,8733,960,8748,960,11191,960,11191,945xe" filled="true" fillcolor="#69bd28" stroked="false">
            <v:path arrowok="t"/>
            <v:fill type="solid"/>
            <w10:wrap type="none"/>
          </v:shape>
        </w:pict>
      </w:r>
      <w:r>
        <w:rPr>
          <w:sz w:val="18"/>
        </w:rPr>
        <w:t>40</w:t>
      </w:r>
      <w:r>
        <w:rPr>
          <w:spacing w:val="16"/>
          <w:sz w:val="18"/>
        </w:rPr>
        <w:t> </w:t>
      </w:r>
      <w:r>
        <w:rPr>
          <w:sz w:val="18"/>
        </w:rPr>
        <w:t>MW</w:t>
        <w:tab/>
        <w:t>Gulbarga</w:t>
      </w:r>
      <w:r>
        <w:rPr>
          <w:spacing w:val="-20"/>
          <w:sz w:val="18"/>
        </w:rPr>
        <w:t> </w:t>
      </w:r>
      <w:r>
        <w:rPr>
          <w:sz w:val="18"/>
        </w:rPr>
        <w:t>Electricity</w:t>
      </w:r>
      <w:r>
        <w:rPr>
          <w:spacing w:val="-21"/>
          <w:sz w:val="18"/>
        </w:rPr>
        <w:t> </w:t>
      </w:r>
      <w:r>
        <w:rPr>
          <w:sz w:val="18"/>
        </w:rPr>
        <w:t>Supply</w:t>
      </w:r>
      <w:r>
        <w:rPr>
          <w:spacing w:val="-21"/>
          <w:sz w:val="18"/>
        </w:rPr>
        <w:t> </w:t>
      </w:r>
      <w:r>
        <w:rPr>
          <w:sz w:val="18"/>
        </w:rPr>
        <w:t>Company</w:t>
      </w:r>
      <w:r>
        <w:rPr>
          <w:spacing w:val="-20"/>
          <w:sz w:val="18"/>
        </w:rPr>
        <w:t> </w:t>
      </w:r>
      <w:r>
        <w:rPr>
          <w:sz w:val="18"/>
        </w:rPr>
        <w:t>Limited</w:t>
        <w:tab/>
        <w:t>07-02-18</w:t>
        <w:tab/>
        <w:t>23-01-18</w:t>
      </w:r>
    </w:p>
    <w:p>
      <w:pPr>
        <w:tabs>
          <w:tab w:pos="3092" w:val="left" w:leader="none"/>
          <w:tab w:pos="7360" w:val="left" w:leader="none"/>
          <w:tab w:pos="10306" w:val="right" w:leader="none"/>
        </w:tabs>
        <w:spacing w:before="62"/>
        <w:ind w:left="1515" w:right="0" w:firstLine="0"/>
        <w:jc w:val="left"/>
        <w:rPr>
          <w:sz w:val="18"/>
        </w:rPr>
      </w:pPr>
      <w:r>
        <w:rPr/>
        <w:pict>
          <v:shape style="position:absolute;margin-left:36pt;margin-top:14.670638pt;width:523.6pt;height:.75pt;mso-position-horizontal-relative:page;mso-position-vertical-relative:paragraph;z-index:16563712" coordorigin="720,293" coordsize="10472,15" path="m2972,293l720,293,720,308,2972,308,2972,293xm8733,293l6853,293,6839,293,2986,293,2972,293,2972,308,2986,308,6839,308,6853,308,8733,308,8733,293xm11191,293l8748,293,8733,293,8733,308,8748,308,11191,308,11191,293xe" filled="true" fillcolor="#69bd28" stroked="false">
            <v:path arrowok="t"/>
            <v:fill type="solid"/>
            <w10:wrap type="none"/>
          </v:shape>
        </w:pict>
      </w:r>
      <w:r>
        <w:rPr>
          <w:sz w:val="18"/>
        </w:rPr>
        <w:t>60</w:t>
      </w:r>
      <w:r>
        <w:rPr>
          <w:spacing w:val="16"/>
          <w:sz w:val="18"/>
        </w:rPr>
        <w:t> </w:t>
      </w:r>
      <w:r>
        <w:rPr>
          <w:sz w:val="18"/>
        </w:rPr>
        <w:t>MW</w:t>
        <w:tab/>
        <w:t>Gulbarga</w:t>
      </w:r>
      <w:r>
        <w:rPr>
          <w:spacing w:val="-20"/>
          <w:sz w:val="18"/>
        </w:rPr>
        <w:t> </w:t>
      </w:r>
      <w:r>
        <w:rPr>
          <w:sz w:val="18"/>
        </w:rPr>
        <w:t>Electricity</w:t>
      </w:r>
      <w:r>
        <w:rPr>
          <w:spacing w:val="-21"/>
          <w:sz w:val="18"/>
        </w:rPr>
        <w:t> </w:t>
      </w:r>
      <w:r>
        <w:rPr>
          <w:sz w:val="18"/>
        </w:rPr>
        <w:t>Supply</w:t>
      </w:r>
      <w:r>
        <w:rPr>
          <w:spacing w:val="-22"/>
          <w:sz w:val="18"/>
        </w:rPr>
        <w:t> </w:t>
      </w:r>
      <w:r>
        <w:rPr>
          <w:sz w:val="18"/>
        </w:rPr>
        <w:t>Company</w:t>
      </w:r>
      <w:r>
        <w:rPr>
          <w:spacing w:val="-21"/>
          <w:sz w:val="18"/>
        </w:rPr>
        <w:t> </w:t>
      </w:r>
      <w:r>
        <w:rPr>
          <w:sz w:val="18"/>
        </w:rPr>
        <w:t>Limited</w:t>
        <w:tab/>
        <w:t>08-03-18</w:t>
        <w:tab/>
        <w:t>28-02-18</w:t>
      </w:r>
    </w:p>
    <w:p>
      <w:pPr>
        <w:spacing w:before="62"/>
        <w:ind w:left="788" w:right="0" w:firstLine="0"/>
        <w:jc w:val="left"/>
        <w:rPr>
          <w:i/>
          <w:sz w:val="18"/>
        </w:rPr>
      </w:pPr>
      <w:r>
        <w:rPr>
          <w:i/>
          <w:sz w:val="18"/>
        </w:rPr>
        <w:t>Source: Information/ Commissioning Certificates provided by Client</w:t>
      </w:r>
    </w:p>
    <w:p>
      <w:pPr>
        <w:pStyle w:val="BodyText"/>
        <w:spacing w:line="321" w:lineRule="auto" w:before="267"/>
        <w:ind w:left="1246" w:right="673"/>
        <w:jc w:val="both"/>
      </w:pPr>
      <w:r>
        <w:rPr/>
        <w:t>Please</w:t>
      </w:r>
      <w:r>
        <w:rPr>
          <w:spacing w:val="-28"/>
        </w:rPr>
        <w:t> </w:t>
      </w:r>
      <w:r>
        <w:rPr/>
        <w:t>note</w:t>
      </w:r>
      <w:r>
        <w:rPr>
          <w:spacing w:val="-28"/>
        </w:rPr>
        <w:t> </w:t>
      </w:r>
      <w:r>
        <w:rPr/>
        <w:t>that</w:t>
      </w:r>
      <w:r>
        <w:rPr>
          <w:spacing w:val="-28"/>
        </w:rPr>
        <w:t> </w:t>
      </w:r>
      <w:r>
        <w:rPr/>
        <w:t>the</w:t>
      </w:r>
      <w:r>
        <w:rPr>
          <w:spacing w:val="-28"/>
        </w:rPr>
        <w:t> </w:t>
      </w:r>
      <w:r>
        <w:rPr/>
        <w:t>above</w:t>
      </w:r>
      <w:r>
        <w:rPr>
          <w:spacing w:val="-27"/>
        </w:rPr>
        <w:t> </w:t>
      </w:r>
      <w:r>
        <w:rPr/>
        <w:t>list</w:t>
      </w:r>
      <w:r>
        <w:rPr>
          <w:spacing w:val="-28"/>
        </w:rPr>
        <w:t> </w:t>
      </w:r>
      <w:r>
        <w:rPr/>
        <w:t>of</w:t>
      </w:r>
      <w:r>
        <w:rPr>
          <w:spacing w:val="-27"/>
        </w:rPr>
        <w:t> </w:t>
      </w:r>
      <w:r>
        <w:rPr/>
        <w:t>approvals</w:t>
      </w:r>
      <w:r>
        <w:rPr>
          <w:spacing w:val="-27"/>
        </w:rPr>
        <w:t> </w:t>
      </w:r>
      <w:r>
        <w:rPr/>
        <w:t>is</w:t>
      </w:r>
      <w:r>
        <w:rPr>
          <w:spacing w:val="-27"/>
        </w:rPr>
        <w:t> </w:t>
      </w:r>
      <w:r>
        <w:rPr/>
        <w:t>reflective</w:t>
      </w:r>
      <w:r>
        <w:rPr>
          <w:spacing w:val="-28"/>
        </w:rPr>
        <w:t> </w:t>
      </w:r>
      <w:r>
        <w:rPr/>
        <w:t>of</w:t>
      </w:r>
      <w:r>
        <w:rPr>
          <w:spacing w:val="-27"/>
        </w:rPr>
        <w:t> </w:t>
      </w:r>
      <w:r>
        <w:rPr/>
        <w:t>major</w:t>
      </w:r>
      <w:r>
        <w:rPr>
          <w:spacing w:val="-28"/>
        </w:rPr>
        <w:t> </w:t>
      </w:r>
      <w:r>
        <w:rPr/>
        <w:t>approvals</w:t>
      </w:r>
      <w:r>
        <w:rPr>
          <w:spacing w:val="-29"/>
        </w:rPr>
        <w:t> </w:t>
      </w:r>
      <w:r>
        <w:rPr/>
        <w:t>for</w:t>
      </w:r>
      <w:r>
        <w:rPr>
          <w:spacing w:val="-27"/>
        </w:rPr>
        <w:t> </w:t>
      </w:r>
      <w:r>
        <w:rPr/>
        <w:t>each</w:t>
      </w:r>
      <w:r>
        <w:rPr>
          <w:spacing w:val="-28"/>
        </w:rPr>
        <w:t> </w:t>
      </w:r>
      <w:r>
        <w:rPr/>
        <w:t>asset.</w:t>
      </w:r>
      <w:r>
        <w:rPr>
          <w:spacing w:val="-29"/>
        </w:rPr>
        <w:t> </w:t>
      </w:r>
      <w:r>
        <w:rPr/>
        <w:t>Additionally, as</w:t>
      </w:r>
      <w:r>
        <w:rPr>
          <w:spacing w:val="-22"/>
        </w:rPr>
        <w:t> </w:t>
      </w:r>
      <w:r>
        <w:rPr/>
        <w:t>per</w:t>
      </w:r>
      <w:r>
        <w:rPr>
          <w:spacing w:val="-22"/>
        </w:rPr>
        <w:t> </w:t>
      </w:r>
      <w:r>
        <w:rPr/>
        <w:t>details</w:t>
      </w:r>
      <w:r>
        <w:rPr>
          <w:spacing w:val="-24"/>
        </w:rPr>
        <w:t> </w:t>
      </w:r>
      <w:r>
        <w:rPr/>
        <w:t>provided</w:t>
      </w:r>
      <w:r>
        <w:rPr>
          <w:spacing w:val="-22"/>
        </w:rPr>
        <w:t> </w:t>
      </w:r>
      <w:r>
        <w:rPr/>
        <w:t>by</w:t>
      </w:r>
      <w:r>
        <w:rPr>
          <w:spacing w:val="-21"/>
        </w:rPr>
        <w:t> </w:t>
      </w:r>
      <w:r>
        <w:rPr/>
        <w:t>the</w:t>
      </w:r>
      <w:r>
        <w:rPr>
          <w:spacing w:val="-22"/>
        </w:rPr>
        <w:t> </w:t>
      </w:r>
      <w:r>
        <w:rPr/>
        <w:t>Client,</w:t>
      </w:r>
      <w:r>
        <w:rPr>
          <w:spacing w:val="-22"/>
        </w:rPr>
        <w:t> </w:t>
      </w:r>
      <w:r>
        <w:rPr/>
        <w:t>it</w:t>
      </w:r>
      <w:r>
        <w:rPr>
          <w:spacing w:val="-23"/>
        </w:rPr>
        <w:t> </w:t>
      </w:r>
      <w:r>
        <w:rPr/>
        <w:t>is</w:t>
      </w:r>
      <w:r>
        <w:rPr>
          <w:spacing w:val="-21"/>
        </w:rPr>
        <w:t> </w:t>
      </w:r>
      <w:r>
        <w:rPr/>
        <w:t>understood</w:t>
      </w:r>
      <w:r>
        <w:rPr>
          <w:spacing w:val="-22"/>
        </w:rPr>
        <w:t> </w:t>
      </w:r>
      <w:r>
        <w:rPr/>
        <w:t>that</w:t>
      </w:r>
      <w:r>
        <w:rPr>
          <w:spacing w:val="-22"/>
        </w:rPr>
        <w:t> </w:t>
      </w:r>
      <w:r>
        <w:rPr/>
        <w:t>all</w:t>
      </w:r>
      <w:r>
        <w:rPr>
          <w:spacing w:val="-23"/>
        </w:rPr>
        <w:t> </w:t>
      </w:r>
      <w:r>
        <w:rPr/>
        <w:t>the</w:t>
      </w:r>
      <w:r>
        <w:rPr>
          <w:spacing w:val="-22"/>
        </w:rPr>
        <w:t> </w:t>
      </w:r>
      <w:r>
        <w:rPr/>
        <w:t>other</w:t>
      </w:r>
      <w:r>
        <w:rPr>
          <w:spacing w:val="-22"/>
        </w:rPr>
        <w:t> </w:t>
      </w:r>
      <w:r>
        <w:rPr/>
        <w:t>requisite</w:t>
      </w:r>
      <w:r>
        <w:rPr>
          <w:spacing w:val="-23"/>
        </w:rPr>
        <w:t> </w:t>
      </w:r>
      <w:r>
        <w:rPr/>
        <w:t>approvals/</w:t>
      </w:r>
      <w:r>
        <w:rPr>
          <w:spacing w:val="-22"/>
        </w:rPr>
        <w:t> </w:t>
      </w:r>
      <w:r>
        <w:rPr/>
        <w:t>clearances have</w:t>
      </w:r>
      <w:r>
        <w:rPr>
          <w:spacing w:val="50"/>
        </w:rPr>
        <w:t> </w:t>
      </w:r>
      <w:r>
        <w:rPr/>
        <w:t>been</w:t>
      </w:r>
      <w:r>
        <w:rPr>
          <w:spacing w:val="-9"/>
        </w:rPr>
        <w:t> </w:t>
      </w:r>
      <w:r>
        <w:rPr/>
        <w:t>obtained/</w:t>
      </w:r>
      <w:r>
        <w:rPr>
          <w:spacing w:val="-8"/>
        </w:rPr>
        <w:t> </w:t>
      </w:r>
      <w:r>
        <w:rPr/>
        <w:t>will</w:t>
      </w:r>
      <w:r>
        <w:rPr>
          <w:spacing w:val="-9"/>
        </w:rPr>
        <w:t> </w:t>
      </w:r>
      <w:r>
        <w:rPr/>
        <w:t>be</w:t>
      </w:r>
      <w:r>
        <w:rPr>
          <w:spacing w:val="-7"/>
        </w:rPr>
        <w:t> </w:t>
      </w:r>
      <w:r>
        <w:rPr/>
        <w:t>obtained</w:t>
      </w:r>
      <w:r>
        <w:rPr>
          <w:spacing w:val="-7"/>
        </w:rPr>
        <w:t> </w:t>
      </w:r>
      <w:r>
        <w:rPr/>
        <w:t>in</w:t>
      </w:r>
      <w:r>
        <w:rPr>
          <w:spacing w:val="-9"/>
        </w:rPr>
        <w:t> </w:t>
      </w:r>
      <w:r>
        <w:rPr/>
        <w:t>due</w:t>
      </w:r>
      <w:r>
        <w:rPr>
          <w:spacing w:val="-7"/>
        </w:rPr>
        <w:t> </w:t>
      </w:r>
      <w:r>
        <w:rPr/>
        <w:t>course</w:t>
      </w:r>
      <w:r>
        <w:rPr>
          <w:spacing w:val="-8"/>
        </w:rPr>
        <w:t> </w:t>
      </w:r>
      <w:r>
        <w:rPr/>
        <w:t>of</w:t>
      </w:r>
      <w:r>
        <w:rPr>
          <w:spacing w:val="-7"/>
        </w:rPr>
        <w:t> </w:t>
      </w:r>
      <w:r>
        <w:rPr/>
        <w:t>time</w:t>
      </w:r>
      <w:r>
        <w:rPr>
          <w:spacing w:val="-9"/>
        </w:rPr>
        <w:t> </w:t>
      </w:r>
      <w:r>
        <w:rPr/>
        <w:t>as</w:t>
      </w:r>
      <w:r>
        <w:rPr>
          <w:spacing w:val="-7"/>
        </w:rPr>
        <w:t> </w:t>
      </w:r>
      <w:r>
        <w:rPr>
          <w:spacing w:val="-2"/>
        </w:rPr>
        <w:t>and</w:t>
      </w:r>
      <w:r>
        <w:rPr>
          <w:spacing w:val="-7"/>
        </w:rPr>
        <w:t> </w:t>
      </w:r>
      <w:r>
        <w:rPr/>
        <w:t>when</w:t>
      </w:r>
      <w:r>
        <w:rPr>
          <w:spacing w:val="-8"/>
        </w:rPr>
        <w:t> </w:t>
      </w:r>
      <w:r>
        <w:rPr/>
        <w:t>applicable.</w:t>
      </w:r>
    </w:p>
    <w:p>
      <w:pPr>
        <w:spacing w:after="0" w:line="321" w:lineRule="auto"/>
        <w:jc w:val="both"/>
        <w:sectPr>
          <w:pgSz w:w="11910" w:h="16840"/>
          <w:pgMar w:header="720" w:footer="862" w:top="1660" w:bottom="1060" w:left="40" w:right="40"/>
        </w:sectPr>
      </w:pPr>
    </w:p>
    <w:p>
      <w:pPr>
        <w:pStyle w:val="BodyText"/>
        <w:spacing w:before="7"/>
        <w:rPr>
          <w:sz w:val="9"/>
        </w:rPr>
      </w:pPr>
    </w:p>
    <w:p>
      <w:pPr>
        <w:pStyle w:val="ListParagraph"/>
        <w:numPr>
          <w:ilvl w:val="1"/>
          <w:numId w:val="99"/>
        </w:numPr>
        <w:tabs>
          <w:tab w:pos="1257" w:val="left" w:leader="none"/>
        </w:tabs>
        <w:spacing w:line="240" w:lineRule="auto" w:before="106" w:after="0"/>
        <w:ind w:left="1256" w:right="0" w:hanging="577"/>
        <w:jc w:val="left"/>
        <w:rPr>
          <w:sz w:val="22"/>
        </w:rPr>
      </w:pPr>
      <w:bookmarkStart w:name="_bookmark431" w:id="836"/>
      <w:bookmarkEnd w:id="836"/>
      <w:r>
        <w:rPr/>
      </w:r>
      <w:bookmarkStart w:name="_bookmark431" w:id="837"/>
      <w:bookmarkEnd w:id="837"/>
      <w:r>
        <w:rPr>
          <w:color w:val="1F6647"/>
          <w:w w:val="105"/>
          <w:sz w:val="22"/>
        </w:rPr>
        <w:t>Histori</w:t>
      </w:r>
      <w:r>
        <w:rPr>
          <w:color w:val="1F6647"/>
          <w:w w:val="105"/>
          <w:sz w:val="22"/>
        </w:rPr>
        <w:t>cal Value</w:t>
      </w:r>
      <w:r>
        <w:rPr>
          <w:color w:val="1F6647"/>
          <w:spacing w:val="-13"/>
          <w:w w:val="105"/>
          <w:sz w:val="22"/>
        </w:rPr>
        <w:t> </w:t>
      </w:r>
      <w:r>
        <w:rPr>
          <w:color w:val="1F6647"/>
          <w:w w:val="105"/>
          <w:sz w:val="22"/>
        </w:rPr>
        <w:t>Summary</w:t>
      </w:r>
    </w:p>
    <w:p>
      <w:pPr>
        <w:pStyle w:val="BodyText"/>
        <w:spacing w:before="208"/>
        <w:ind w:left="680"/>
      </w:pPr>
      <w:r>
        <w:rPr/>
        <w:pict>
          <v:rect style="position:absolute;margin-left:36pt;margin-top:21.928617pt;width:102.14pt;height:.59999pt;mso-position-horizontal-relative:page;mso-position-vertical-relative:paragraph;z-index:16564224" filled="true" fillcolor="#000000" stroked="false">
            <v:fill type="solid"/>
            <w10:wrap type="none"/>
          </v:rect>
        </w:pict>
      </w:r>
      <w:r>
        <w:rPr>
          <w:w w:val="105"/>
        </w:rPr>
        <w:t>30</w:t>
      </w:r>
      <w:r>
        <w:rPr>
          <w:w w:val="105"/>
          <w:vertAlign w:val="superscript"/>
        </w:rPr>
        <w:t>th</w:t>
      </w:r>
      <w:r>
        <w:rPr>
          <w:w w:val="105"/>
          <w:vertAlign w:val="baseline"/>
        </w:rPr>
        <w:t> September 2019</w:t>
      </w:r>
    </w:p>
    <w:p>
      <w:pPr>
        <w:pStyle w:val="BodyText"/>
        <w:spacing w:before="11"/>
        <w:rPr>
          <w:sz w:val="12"/>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16"/>
        <w:gridCol w:w="5070"/>
      </w:tblGrid>
      <w:tr>
        <w:trPr>
          <w:trHeight w:val="354" w:hRule="atLeast"/>
        </w:trPr>
        <w:tc>
          <w:tcPr>
            <w:tcW w:w="5416" w:type="dxa"/>
            <w:vMerge w:val="restart"/>
            <w:tcBorders>
              <w:bottom w:val="single" w:sz="8" w:space="0" w:color="5FFF00"/>
            </w:tcBorders>
            <w:shd w:val="clear" w:color="auto" w:fill="006A4D"/>
          </w:tcPr>
          <w:p>
            <w:pPr>
              <w:pStyle w:val="TableParagraph"/>
              <w:spacing w:before="10"/>
              <w:jc w:val="left"/>
              <w:rPr>
                <w:sz w:val="24"/>
              </w:rPr>
            </w:pPr>
          </w:p>
          <w:p>
            <w:pPr>
              <w:pStyle w:val="TableParagraph"/>
              <w:ind w:left="2346" w:right="2334"/>
              <w:rPr>
                <w:sz w:val="18"/>
              </w:rPr>
            </w:pPr>
            <w:r>
              <w:rPr>
                <w:color w:val="FFFFFF"/>
                <w:sz w:val="18"/>
              </w:rPr>
              <w:t>Property</w:t>
            </w:r>
          </w:p>
        </w:tc>
        <w:tc>
          <w:tcPr>
            <w:tcW w:w="5070" w:type="dxa"/>
            <w:tcBorders>
              <w:bottom w:val="single" w:sz="8" w:space="0" w:color="5FFF00"/>
            </w:tcBorders>
            <w:shd w:val="clear" w:color="auto" w:fill="006A4D"/>
          </w:tcPr>
          <w:p>
            <w:pPr>
              <w:pStyle w:val="TableParagraph"/>
              <w:spacing w:before="63"/>
              <w:ind w:left="1716"/>
              <w:jc w:val="left"/>
              <w:rPr>
                <w:sz w:val="18"/>
              </w:rPr>
            </w:pPr>
            <w:r>
              <w:rPr>
                <w:color w:val="FFFFFF"/>
                <w:sz w:val="18"/>
              </w:rPr>
              <w:t>Market Value (INR Mn)</w:t>
            </w:r>
          </w:p>
        </w:tc>
      </w:tr>
      <w:tr>
        <w:trPr>
          <w:trHeight w:val="433" w:hRule="atLeast"/>
        </w:trPr>
        <w:tc>
          <w:tcPr>
            <w:tcW w:w="5416" w:type="dxa"/>
            <w:vMerge/>
            <w:tcBorders>
              <w:top w:val="nil"/>
              <w:bottom w:val="single" w:sz="8" w:space="0" w:color="5FFF00"/>
            </w:tcBorders>
            <w:shd w:val="clear" w:color="auto" w:fill="006A4D"/>
          </w:tcPr>
          <w:p>
            <w:pPr>
              <w:rPr>
                <w:sz w:val="2"/>
                <w:szCs w:val="2"/>
              </w:rPr>
            </w:pPr>
          </w:p>
        </w:tc>
        <w:tc>
          <w:tcPr>
            <w:tcW w:w="5070" w:type="dxa"/>
            <w:tcBorders>
              <w:top w:val="single" w:sz="8" w:space="0" w:color="5FFF00"/>
              <w:bottom w:val="single" w:sz="8" w:space="0" w:color="5FFF00"/>
            </w:tcBorders>
            <w:shd w:val="clear" w:color="auto" w:fill="006A4D"/>
          </w:tcPr>
          <w:p>
            <w:pPr>
              <w:pStyle w:val="TableParagraph"/>
              <w:tabs>
                <w:tab w:pos="1848" w:val="left" w:leader="none"/>
                <w:tab w:pos="4145" w:val="left" w:leader="none"/>
              </w:tabs>
              <w:spacing w:line="156" w:lineRule="auto" w:before="26"/>
              <w:ind w:left="448"/>
              <w:jc w:val="left"/>
              <w:rPr>
                <w:sz w:val="18"/>
              </w:rPr>
            </w:pPr>
            <w:r>
              <w:rPr>
                <w:color w:val="FFFFFF"/>
                <w:position w:val="-10"/>
                <w:sz w:val="18"/>
              </w:rPr>
              <w:t>Completed</w:t>
              <w:tab/>
            </w:r>
            <w:r>
              <w:rPr>
                <w:color w:val="FFFFFF"/>
                <w:sz w:val="18"/>
              </w:rPr>
              <w:t>Under</w:t>
            </w:r>
            <w:r>
              <w:rPr>
                <w:color w:val="FFFFFF"/>
                <w:spacing w:val="-11"/>
                <w:sz w:val="18"/>
              </w:rPr>
              <w:t> </w:t>
            </w:r>
            <w:r>
              <w:rPr>
                <w:color w:val="FFFFFF"/>
                <w:sz w:val="18"/>
              </w:rPr>
              <w:t>Construction</w:t>
              <w:tab/>
            </w:r>
            <w:r>
              <w:rPr>
                <w:color w:val="FFFFFF"/>
                <w:position w:val="-10"/>
                <w:sz w:val="18"/>
              </w:rPr>
              <w:t>Total</w:t>
            </w:r>
          </w:p>
          <w:p>
            <w:pPr>
              <w:pStyle w:val="TableParagraph"/>
              <w:spacing w:line="140" w:lineRule="exact"/>
              <w:ind w:left="386" w:right="227"/>
              <w:rPr>
                <w:sz w:val="18"/>
              </w:rPr>
            </w:pPr>
            <w:r>
              <w:rPr>
                <w:color w:val="FFFFFF"/>
                <w:sz w:val="18"/>
              </w:rPr>
              <w:t>(UC)/ Proposed</w:t>
            </w:r>
          </w:p>
        </w:tc>
      </w:tr>
    </w:tbl>
    <w:p>
      <w:pPr>
        <w:pStyle w:val="BodyText"/>
        <w:spacing w:before="6"/>
        <w:rPr>
          <w:sz w:val="6"/>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00"/>
        <w:gridCol w:w="1991"/>
        <w:gridCol w:w="1678"/>
        <w:gridCol w:w="1620"/>
      </w:tblGrid>
      <w:tr>
        <w:trPr>
          <w:trHeight w:val="295" w:hRule="atLeast"/>
        </w:trPr>
        <w:tc>
          <w:tcPr>
            <w:tcW w:w="5200" w:type="dxa"/>
            <w:tcBorders>
              <w:bottom w:val="single" w:sz="8" w:space="0" w:color="5FFF00"/>
            </w:tcBorders>
          </w:tcPr>
          <w:p>
            <w:pPr>
              <w:pStyle w:val="TableParagraph"/>
              <w:spacing w:before="4"/>
              <w:ind w:left="904" w:right="675"/>
              <w:rPr>
                <w:sz w:val="18"/>
              </w:rPr>
            </w:pPr>
            <w:r>
              <w:rPr>
                <w:sz w:val="18"/>
              </w:rPr>
              <w:t>Embassy Manyata, Bengaluru</w:t>
            </w:r>
          </w:p>
        </w:tc>
        <w:tc>
          <w:tcPr>
            <w:tcW w:w="1991" w:type="dxa"/>
            <w:tcBorders>
              <w:bottom w:val="single" w:sz="8" w:space="0" w:color="5FFF00"/>
            </w:tcBorders>
          </w:tcPr>
          <w:p>
            <w:pPr>
              <w:pStyle w:val="TableParagraph"/>
              <w:spacing w:before="4"/>
              <w:ind w:right="548"/>
              <w:jc w:val="right"/>
              <w:rPr>
                <w:sz w:val="18"/>
              </w:rPr>
            </w:pPr>
            <w:r>
              <w:rPr>
                <w:w w:val="105"/>
                <w:sz w:val="18"/>
              </w:rPr>
              <w:t>113,662</w:t>
            </w:r>
          </w:p>
        </w:tc>
        <w:tc>
          <w:tcPr>
            <w:tcW w:w="1678" w:type="dxa"/>
            <w:tcBorders>
              <w:bottom w:val="single" w:sz="8" w:space="0" w:color="5FFF00"/>
            </w:tcBorders>
          </w:tcPr>
          <w:p>
            <w:pPr>
              <w:pStyle w:val="TableParagraph"/>
              <w:spacing w:before="4"/>
              <w:ind w:left="523" w:right="523"/>
              <w:rPr>
                <w:sz w:val="18"/>
              </w:rPr>
            </w:pPr>
            <w:r>
              <w:rPr>
                <w:w w:val="110"/>
                <w:sz w:val="18"/>
              </w:rPr>
              <w:t>25,385</w:t>
            </w:r>
          </w:p>
        </w:tc>
        <w:tc>
          <w:tcPr>
            <w:tcW w:w="1620" w:type="dxa"/>
            <w:tcBorders>
              <w:bottom w:val="single" w:sz="8" w:space="0" w:color="5FFF00"/>
            </w:tcBorders>
          </w:tcPr>
          <w:p>
            <w:pPr>
              <w:pStyle w:val="TableParagraph"/>
              <w:spacing w:before="4"/>
              <w:ind w:left="519" w:right="365"/>
              <w:rPr>
                <w:sz w:val="18"/>
              </w:rPr>
            </w:pPr>
            <w:r>
              <w:rPr>
                <w:w w:val="110"/>
                <w:sz w:val="18"/>
              </w:rPr>
              <w:t>139,047</w:t>
            </w:r>
          </w:p>
        </w:tc>
      </w:tr>
      <w:tr>
        <w:trPr>
          <w:trHeight w:val="354" w:hRule="atLeast"/>
        </w:trPr>
        <w:tc>
          <w:tcPr>
            <w:tcW w:w="5200" w:type="dxa"/>
            <w:tcBorders>
              <w:top w:val="single" w:sz="8" w:space="0" w:color="5FFF00"/>
              <w:bottom w:val="single" w:sz="8" w:space="0" w:color="5FFF00"/>
            </w:tcBorders>
          </w:tcPr>
          <w:p>
            <w:pPr>
              <w:pStyle w:val="TableParagraph"/>
              <w:spacing w:before="73"/>
              <w:ind w:left="905" w:right="675"/>
              <w:rPr>
                <w:sz w:val="18"/>
              </w:rPr>
            </w:pPr>
            <w:r>
              <w:rPr>
                <w:sz w:val="18"/>
              </w:rPr>
              <w:t>Express Towers, Mumbai</w:t>
            </w:r>
          </w:p>
        </w:tc>
        <w:tc>
          <w:tcPr>
            <w:tcW w:w="1991" w:type="dxa"/>
            <w:tcBorders>
              <w:top w:val="single" w:sz="8" w:space="0" w:color="5FFF00"/>
              <w:bottom w:val="single" w:sz="8" w:space="0" w:color="5FFF00"/>
            </w:tcBorders>
          </w:tcPr>
          <w:p>
            <w:pPr>
              <w:pStyle w:val="TableParagraph"/>
              <w:spacing w:before="73"/>
              <w:ind w:right="601"/>
              <w:jc w:val="right"/>
              <w:rPr>
                <w:sz w:val="18"/>
              </w:rPr>
            </w:pPr>
            <w:r>
              <w:rPr>
                <w:w w:val="105"/>
                <w:sz w:val="18"/>
              </w:rPr>
              <w:t>18,590</w:t>
            </w:r>
          </w:p>
        </w:tc>
        <w:tc>
          <w:tcPr>
            <w:tcW w:w="1678" w:type="dxa"/>
            <w:tcBorders>
              <w:top w:val="single" w:sz="8" w:space="0" w:color="5FFF00"/>
              <w:bottom w:val="single" w:sz="8" w:space="0" w:color="5FFF00"/>
            </w:tcBorders>
          </w:tcPr>
          <w:p>
            <w:pPr>
              <w:pStyle w:val="TableParagraph"/>
              <w:spacing w:before="73"/>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73"/>
              <w:ind w:left="519" w:right="365"/>
              <w:rPr>
                <w:sz w:val="18"/>
              </w:rPr>
            </w:pPr>
            <w:r>
              <w:rPr>
                <w:w w:val="110"/>
                <w:sz w:val="18"/>
              </w:rPr>
              <w:t>18,590</w:t>
            </w:r>
          </w:p>
        </w:tc>
      </w:tr>
      <w:tr>
        <w:trPr>
          <w:trHeight w:val="335" w:hRule="atLeast"/>
        </w:trPr>
        <w:tc>
          <w:tcPr>
            <w:tcW w:w="5200" w:type="dxa"/>
            <w:tcBorders>
              <w:top w:val="single" w:sz="8" w:space="0" w:color="5FFF00"/>
              <w:bottom w:val="single" w:sz="8" w:space="0" w:color="5FFF00"/>
            </w:tcBorders>
          </w:tcPr>
          <w:p>
            <w:pPr>
              <w:pStyle w:val="TableParagraph"/>
              <w:spacing w:before="63"/>
              <w:ind w:left="904" w:right="675"/>
              <w:rPr>
                <w:sz w:val="18"/>
              </w:rPr>
            </w:pPr>
            <w:r>
              <w:rPr>
                <w:sz w:val="18"/>
              </w:rPr>
              <w:t>Embassy 247, Mumbai</w:t>
            </w:r>
          </w:p>
        </w:tc>
        <w:tc>
          <w:tcPr>
            <w:tcW w:w="1991" w:type="dxa"/>
            <w:tcBorders>
              <w:top w:val="single" w:sz="8" w:space="0" w:color="5FFF00"/>
              <w:bottom w:val="single" w:sz="8" w:space="0" w:color="5FFF00"/>
            </w:tcBorders>
          </w:tcPr>
          <w:p>
            <w:pPr>
              <w:pStyle w:val="TableParagraph"/>
              <w:spacing w:before="63"/>
              <w:ind w:right="601"/>
              <w:jc w:val="right"/>
              <w:rPr>
                <w:sz w:val="18"/>
              </w:rPr>
            </w:pPr>
            <w:r>
              <w:rPr>
                <w:w w:val="105"/>
                <w:sz w:val="18"/>
              </w:rPr>
              <w:t>17,256</w:t>
            </w:r>
          </w:p>
        </w:tc>
        <w:tc>
          <w:tcPr>
            <w:tcW w:w="1678" w:type="dxa"/>
            <w:tcBorders>
              <w:top w:val="single" w:sz="8" w:space="0" w:color="5FFF00"/>
              <w:bottom w:val="single" w:sz="8" w:space="0" w:color="5FFF00"/>
            </w:tcBorders>
          </w:tcPr>
          <w:p>
            <w:pPr>
              <w:pStyle w:val="TableParagraph"/>
              <w:spacing w:before="63"/>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3"/>
              <w:ind w:left="519" w:right="365"/>
              <w:rPr>
                <w:sz w:val="18"/>
              </w:rPr>
            </w:pPr>
            <w:r>
              <w:rPr>
                <w:w w:val="110"/>
                <w:sz w:val="18"/>
              </w:rPr>
              <w:t>17,256</w:t>
            </w:r>
          </w:p>
        </w:tc>
      </w:tr>
      <w:tr>
        <w:trPr>
          <w:trHeight w:val="335" w:hRule="atLeast"/>
        </w:trPr>
        <w:tc>
          <w:tcPr>
            <w:tcW w:w="5200" w:type="dxa"/>
            <w:tcBorders>
              <w:top w:val="single" w:sz="8" w:space="0" w:color="5FFF00"/>
              <w:bottom w:val="single" w:sz="8" w:space="0" w:color="5FFF00"/>
            </w:tcBorders>
          </w:tcPr>
          <w:p>
            <w:pPr>
              <w:pStyle w:val="TableParagraph"/>
              <w:spacing w:before="63"/>
              <w:ind w:left="905" w:right="675"/>
              <w:rPr>
                <w:sz w:val="18"/>
              </w:rPr>
            </w:pPr>
            <w:r>
              <w:rPr>
                <w:sz w:val="18"/>
              </w:rPr>
              <w:t>First International Financial Centre, Mumbai</w:t>
            </w:r>
          </w:p>
        </w:tc>
        <w:tc>
          <w:tcPr>
            <w:tcW w:w="1991" w:type="dxa"/>
            <w:tcBorders>
              <w:top w:val="single" w:sz="8" w:space="0" w:color="5FFF00"/>
              <w:bottom w:val="single" w:sz="8" w:space="0" w:color="5FFF00"/>
            </w:tcBorders>
          </w:tcPr>
          <w:p>
            <w:pPr>
              <w:pStyle w:val="TableParagraph"/>
              <w:spacing w:before="63"/>
              <w:ind w:right="601"/>
              <w:jc w:val="right"/>
              <w:rPr>
                <w:sz w:val="18"/>
              </w:rPr>
            </w:pPr>
            <w:r>
              <w:rPr>
                <w:w w:val="105"/>
                <w:sz w:val="18"/>
              </w:rPr>
              <w:t>14,912</w:t>
            </w:r>
          </w:p>
        </w:tc>
        <w:tc>
          <w:tcPr>
            <w:tcW w:w="1678" w:type="dxa"/>
            <w:tcBorders>
              <w:top w:val="single" w:sz="8" w:space="0" w:color="5FFF00"/>
              <w:bottom w:val="single" w:sz="8" w:space="0" w:color="5FFF00"/>
            </w:tcBorders>
          </w:tcPr>
          <w:p>
            <w:pPr>
              <w:pStyle w:val="TableParagraph"/>
              <w:spacing w:before="63"/>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3"/>
              <w:ind w:left="519" w:right="365"/>
              <w:rPr>
                <w:sz w:val="18"/>
              </w:rPr>
            </w:pPr>
            <w:r>
              <w:rPr>
                <w:w w:val="110"/>
                <w:sz w:val="18"/>
              </w:rPr>
              <w:t>14,912</w:t>
            </w:r>
          </w:p>
        </w:tc>
      </w:tr>
      <w:tr>
        <w:trPr>
          <w:trHeight w:val="347" w:hRule="atLeast"/>
        </w:trPr>
        <w:tc>
          <w:tcPr>
            <w:tcW w:w="5200" w:type="dxa"/>
            <w:tcBorders>
              <w:top w:val="single" w:sz="8" w:space="0" w:color="5FFF00"/>
              <w:bottom w:val="single" w:sz="8" w:space="0" w:color="5FFF00"/>
            </w:tcBorders>
          </w:tcPr>
          <w:p>
            <w:pPr>
              <w:pStyle w:val="TableParagraph"/>
              <w:spacing w:before="70"/>
              <w:ind w:left="905" w:right="674"/>
              <w:rPr>
                <w:sz w:val="18"/>
              </w:rPr>
            </w:pPr>
            <w:r>
              <w:rPr>
                <w:sz w:val="18"/>
              </w:rPr>
              <w:t>Embassy TechZone, Pune</w:t>
            </w:r>
          </w:p>
        </w:tc>
        <w:tc>
          <w:tcPr>
            <w:tcW w:w="1991" w:type="dxa"/>
            <w:tcBorders>
              <w:top w:val="single" w:sz="8" w:space="0" w:color="5FFF00"/>
              <w:bottom w:val="single" w:sz="8" w:space="0" w:color="5FFF00"/>
            </w:tcBorders>
          </w:tcPr>
          <w:p>
            <w:pPr>
              <w:pStyle w:val="TableParagraph"/>
              <w:spacing w:before="70"/>
              <w:ind w:right="601"/>
              <w:jc w:val="right"/>
              <w:rPr>
                <w:sz w:val="18"/>
              </w:rPr>
            </w:pPr>
            <w:r>
              <w:rPr>
                <w:w w:val="105"/>
                <w:sz w:val="18"/>
              </w:rPr>
              <w:t>15,395</w:t>
            </w:r>
          </w:p>
        </w:tc>
        <w:tc>
          <w:tcPr>
            <w:tcW w:w="1678" w:type="dxa"/>
            <w:tcBorders>
              <w:top w:val="single" w:sz="8" w:space="0" w:color="5FFF00"/>
              <w:bottom w:val="single" w:sz="8" w:space="0" w:color="5FFF00"/>
            </w:tcBorders>
          </w:tcPr>
          <w:p>
            <w:pPr>
              <w:pStyle w:val="TableParagraph"/>
              <w:spacing w:before="70"/>
              <w:ind w:left="523" w:right="523"/>
              <w:rPr>
                <w:sz w:val="18"/>
              </w:rPr>
            </w:pPr>
            <w:r>
              <w:rPr>
                <w:w w:val="105"/>
                <w:sz w:val="18"/>
              </w:rPr>
              <w:t>5,930</w:t>
            </w:r>
          </w:p>
        </w:tc>
        <w:tc>
          <w:tcPr>
            <w:tcW w:w="1620" w:type="dxa"/>
            <w:tcBorders>
              <w:top w:val="single" w:sz="8" w:space="0" w:color="5FFF00"/>
              <w:bottom w:val="single" w:sz="8" w:space="0" w:color="5FFF00"/>
            </w:tcBorders>
          </w:tcPr>
          <w:p>
            <w:pPr>
              <w:pStyle w:val="TableParagraph"/>
              <w:spacing w:before="70"/>
              <w:ind w:left="519" w:right="365"/>
              <w:rPr>
                <w:sz w:val="18"/>
              </w:rPr>
            </w:pPr>
            <w:r>
              <w:rPr>
                <w:w w:val="110"/>
                <w:sz w:val="18"/>
              </w:rPr>
              <w:t>21,325</w:t>
            </w:r>
          </w:p>
        </w:tc>
      </w:tr>
      <w:tr>
        <w:trPr>
          <w:trHeight w:val="335" w:hRule="atLeast"/>
        </w:trPr>
        <w:tc>
          <w:tcPr>
            <w:tcW w:w="5200" w:type="dxa"/>
            <w:tcBorders>
              <w:top w:val="single" w:sz="8" w:space="0" w:color="5FFF00"/>
              <w:bottom w:val="single" w:sz="8" w:space="0" w:color="5FFF00"/>
            </w:tcBorders>
          </w:tcPr>
          <w:p>
            <w:pPr>
              <w:pStyle w:val="TableParagraph"/>
              <w:spacing w:before="63"/>
              <w:ind w:left="905" w:right="674"/>
              <w:rPr>
                <w:sz w:val="18"/>
              </w:rPr>
            </w:pPr>
            <w:r>
              <w:rPr>
                <w:sz w:val="18"/>
              </w:rPr>
              <w:t>Embassy Quadron, Pune</w:t>
            </w:r>
          </w:p>
        </w:tc>
        <w:tc>
          <w:tcPr>
            <w:tcW w:w="1991" w:type="dxa"/>
            <w:tcBorders>
              <w:top w:val="single" w:sz="8" w:space="0" w:color="5FFF00"/>
              <w:bottom w:val="single" w:sz="8" w:space="0" w:color="5FFF00"/>
            </w:tcBorders>
          </w:tcPr>
          <w:p>
            <w:pPr>
              <w:pStyle w:val="TableParagraph"/>
              <w:spacing w:before="63"/>
              <w:ind w:right="601"/>
              <w:jc w:val="right"/>
              <w:rPr>
                <w:sz w:val="18"/>
              </w:rPr>
            </w:pPr>
            <w:r>
              <w:rPr>
                <w:w w:val="105"/>
                <w:sz w:val="18"/>
              </w:rPr>
              <w:t>14,609</w:t>
            </w:r>
          </w:p>
        </w:tc>
        <w:tc>
          <w:tcPr>
            <w:tcW w:w="1678" w:type="dxa"/>
            <w:tcBorders>
              <w:top w:val="single" w:sz="8" w:space="0" w:color="5FFF00"/>
              <w:bottom w:val="single" w:sz="8" w:space="0" w:color="5FFF00"/>
            </w:tcBorders>
          </w:tcPr>
          <w:p>
            <w:pPr>
              <w:pStyle w:val="TableParagraph"/>
              <w:spacing w:before="63"/>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3"/>
              <w:ind w:left="519" w:right="365"/>
              <w:rPr>
                <w:sz w:val="18"/>
              </w:rPr>
            </w:pPr>
            <w:r>
              <w:rPr>
                <w:w w:val="110"/>
                <w:sz w:val="18"/>
              </w:rPr>
              <w:t>14,609</w:t>
            </w:r>
          </w:p>
        </w:tc>
      </w:tr>
      <w:tr>
        <w:trPr>
          <w:trHeight w:val="344" w:hRule="atLeast"/>
        </w:trPr>
        <w:tc>
          <w:tcPr>
            <w:tcW w:w="5200" w:type="dxa"/>
            <w:tcBorders>
              <w:top w:val="single" w:sz="8" w:space="0" w:color="5FFF00"/>
              <w:bottom w:val="single" w:sz="8" w:space="0" w:color="5FFF00"/>
            </w:tcBorders>
          </w:tcPr>
          <w:p>
            <w:pPr>
              <w:pStyle w:val="TableParagraph"/>
              <w:spacing w:before="68"/>
              <w:ind w:left="902" w:right="675"/>
              <w:rPr>
                <w:sz w:val="18"/>
              </w:rPr>
            </w:pPr>
            <w:r>
              <w:rPr>
                <w:sz w:val="18"/>
              </w:rPr>
              <w:t>Embassy Qubix, Pune</w:t>
            </w:r>
          </w:p>
        </w:tc>
        <w:tc>
          <w:tcPr>
            <w:tcW w:w="1991" w:type="dxa"/>
            <w:tcBorders>
              <w:top w:val="single" w:sz="8" w:space="0" w:color="5FFF00"/>
              <w:bottom w:val="single" w:sz="8" w:space="0" w:color="5FFF00"/>
            </w:tcBorders>
          </w:tcPr>
          <w:p>
            <w:pPr>
              <w:pStyle w:val="TableParagraph"/>
              <w:spacing w:before="68"/>
              <w:ind w:right="654"/>
              <w:jc w:val="right"/>
              <w:rPr>
                <w:sz w:val="18"/>
              </w:rPr>
            </w:pPr>
            <w:r>
              <w:rPr>
                <w:w w:val="105"/>
                <w:sz w:val="18"/>
              </w:rPr>
              <w:t>9,962</w:t>
            </w:r>
          </w:p>
        </w:tc>
        <w:tc>
          <w:tcPr>
            <w:tcW w:w="1678" w:type="dxa"/>
            <w:tcBorders>
              <w:top w:val="single" w:sz="8" w:space="0" w:color="5FFF00"/>
              <w:bottom w:val="single" w:sz="8" w:space="0" w:color="5FFF00"/>
            </w:tcBorders>
          </w:tcPr>
          <w:p>
            <w:pPr>
              <w:pStyle w:val="TableParagraph"/>
              <w:spacing w:before="68"/>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8"/>
              <w:ind w:left="517" w:right="365"/>
              <w:rPr>
                <w:sz w:val="18"/>
              </w:rPr>
            </w:pPr>
            <w:r>
              <w:rPr>
                <w:w w:val="105"/>
                <w:sz w:val="18"/>
              </w:rPr>
              <w:t>9,962</w:t>
            </w:r>
          </w:p>
        </w:tc>
      </w:tr>
      <w:tr>
        <w:trPr>
          <w:trHeight w:val="335" w:hRule="atLeast"/>
        </w:trPr>
        <w:tc>
          <w:tcPr>
            <w:tcW w:w="5200" w:type="dxa"/>
            <w:tcBorders>
              <w:top w:val="single" w:sz="8" w:space="0" w:color="5FFF00"/>
              <w:bottom w:val="single" w:sz="8" w:space="0" w:color="5FFF00"/>
            </w:tcBorders>
          </w:tcPr>
          <w:p>
            <w:pPr>
              <w:pStyle w:val="TableParagraph"/>
              <w:spacing w:before="63"/>
              <w:ind w:left="905" w:right="674"/>
              <w:rPr>
                <w:sz w:val="18"/>
              </w:rPr>
            </w:pPr>
            <w:r>
              <w:rPr>
                <w:sz w:val="18"/>
              </w:rPr>
              <w:t>Embassy Oxygen, Noida</w:t>
            </w:r>
          </w:p>
        </w:tc>
        <w:tc>
          <w:tcPr>
            <w:tcW w:w="1991" w:type="dxa"/>
            <w:tcBorders>
              <w:top w:val="single" w:sz="8" w:space="0" w:color="5FFF00"/>
              <w:bottom w:val="single" w:sz="8" w:space="0" w:color="5FFF00"/>
            </w:tcBorders>
          </w:tcPr>
          <w:p>
            <w:pPr>
              <w:pStyle w:val="TableParagraph"/>
              <w:spacing w:before="63"/>
              <w:ind w:right="601"/>
              <w:jc w:val="right"/>
              <w:rPr>
                <w:sz w:val="18"/>
              </w:rPr>
            </w:pPr>
            <w:r>
              <w:rPr>
                <w:w w:val="105"/>
                <w:sz w:val="18"/>
              </w:rPr>
              <w:t>15,107</w:t>
            </w:r>
          </w:p>
        </w:tc>
        <w:tc>
          <w:tcPr>
            <w:tcW w:w="1678" w:type="dxa"/>
            <w:tcBorders>
              <w:top w:val="single" w:sz="8" w:space="0" w:color="5FFF00"/>
              <w:bottom w:val="single" w:sz="8" w:space="0" w:color="5FFF00"/>
            </w:tcBorders>
          </w:tcPr>
          <w:p>
            <w:pPr>
              <w:pStyle w:val="TableParagraph"/>
              <w:spacing w:before="63"/>
              <w:ind w:left="523" w:right="523"/>
              <w:rPr>
                <w:sz w:val="18"/>
              </w:rPr>
            </w:pPr>
            <w:r>
              <w:rPr>
                <w:w w:val="105"/>
                <w:sz w:val="18"/>
              </w:rPr>
              <w:t>5,550</w:t>
            </w:r>
          </w:p>
        </w:tc>
        <w:tc>
          <w:tcPr>
            <w:tcW w:w="1620" w:type="dxa"/>
            <w:tcBorders>
              <w:top w:val="single" w:sz="8" w:space="0" w:color="5FFF00"/>
              <w:bottom w:val="single" w:sz="8" w:space="0" w:color="5FFF00"/>
            </w:tcBorders>
          </w:tcPr>
          <w:p>
            <w:pPr>
              <w:pStyle w:val="TableParagraph"/>
              <w:spacing w:before="63"/>
              <w:ind w:left="519" w:right="365"/>
              <w:rPr>
                <w:sz w:val="18"/>
              </w:rPr>
            </w:pPr>
            <w:r>
              <w:rPr>
                <w:w w:val="110"/>
                <w:sz w:val="18"/>
              </w:rPr>
              <w:t>20,657</w:t>
            </w:r>
          </w:p>
        </w:tc>
      </w:tr>
      <w:tr>
        <w:trPr>
          <w:trHeight w:val="344" w:hRule="atLeast"/>
        </w:trPr>
        <w:tc>
          <w:tcPr>
            <w:tcW w:w="5200" w:type="dxa"/>
            <w:tcBorders>
              <w:top w:val="single" w:sz="8" w:space="0" w:color="5FFF00"/>
              <w:bottom w:val="single" w:sz="8" w:space="0" w:color="5FFF00"/>
            </w:tcBorders>
          </w:tcPr>
          <w:p>
            <w:pPr>
              <w:pStyle w:val="TableParagraph"/>
              <w:spacing w:before="68"/>
              <w:ind w:left="905" w:right="674"/>
              <w:rPr>
                <w:sz w:val="18"/>
              </w:rPr>
            </w:pPr>
            <w:r>
              <w:rPr>
                <w:sz w:val="18"/>
              </w:rPr>
              <w:t>Embassy Galaxy, Noida</w:t>
            </w:r>
          </w:p>
        </w:tc>
        <w:tc>
          <w:tcPr>
            <w:tcW w:w="1991" w:type="dxa"/>
            <w:tcBorders>
              <w:top w:val="single" w:sz="8" w:space="0" w:color="5FFF00"/>
              <w:bottom w:val="single" w:sz="8" w:space="0" w:color="5FFF00"/>
            </w:tcBorders>
          </w:tcPr>
          <w:p>
            <w:pPr>
              <w:pStyle w:val="TableParagraph"/>
              <w:spacing w:before="68"/>
              <w:ind w:right="654"/>
              <w:jc w:val="right"/>
              <w:rPr>
                <w:sz w:val="18"/>
              </w:rPr>
            </w:pPr>
            <w:r>
              <w:rPr>
                <w:w w:val="105"/>
                <w:sz w:val="18"/>
              </w:rPr>
              <w:t>8,914</w:t>
            </w:r>
          </w:p>
        </w:tc>
        <w:tc>
          <w:tcPr>
            <w:tcW w:w="1678" w:type="dxa"/>
            <w:tcBorders>
              <w:top w:val="single" w:sz="8" w:space="0" w:color="5FFF00"/>
              <w:bottom w:val="single" w:sz="8" w:space="0" w:color="5FFF00"/>
            </w:tcBorders>
          </w:tcPr>
          <w:p>
            <w:pPr>
              <w:pStyle w:val="TableParagraph"/>
              <w:spacing w:before="68"/>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8"/>
              <w:ind w:left="517" w:right="365"/>
              <w:rPr>
                <w:sz w:val="18"/>
              </w:rPr>
            </w:pPr>
            <w:r>
              <w:rPr>
                <w:w w:val="105"/>
                <w:sz w:val="18"/>
              </w:rPr>
              <w:t>8,914</w:t>
            </w:r>
          </w:p>
        </w:tc>
      </w:tr>
      <w:tr>
        <w:trPr>
          <w:trHeight w:val="337" w:hRule="atLeast"/>
        </w:trPr>
        <w:tc>
          <w:tcPr>
            <w:tcW w:w="5200" w:type="dxa"/>
            <w:tcBorders>
              <w:top w:val="single" w:sz="8" w:space="0" w:color="5FFF00"/>
              <w:bottom w:val="single" w:sz="8" w:space="0" w:color="5FFF00"/>
            </w:tcBorders>
          </w:tcPr>
          <w:p>
            <w:pPr>
              <w:pStyle w:val="TableParagraph"/>
              <w:spacing w:before="65"/>
              <w:ind w:left="904" w:right="675"/>
              <w:rPr>
                <w:sz w:val="18"/>
              </w:rPr>
            </w:pPr>
            <w:r>
              <w:rPr>
                <w:sz w:val="18"/>
              </w:rPr>
              <w:t>Embassy One, Bengaluru</w:t>
            </w:r>
          </w:p>
        </w:tc>
        <w:tc>
          <w:tcPr>
            <w:tcW w:w="1991" w:type="dxa"/>
            <w:tcBorders>
              <w:top w:val="single" w:sz="8" w:space="0" w:color="5FFF00"/>
              <w:bottom w:val="single" w:sz="8" w:space="0" w:color="5FFF00"/>
            </w:tcBorders>
          </w:tcPr>
          <w:p>
            <w:pPr>
              <w:pStyle w:val="TableParagraph"/>
              <w:spacing w:before="65"/>
              <w:ind w:right="601"/>
              <w:jc w:val="right"/>
              <w:rPr>
                <w:sz w:val="18"/>
              </w:rPr>
            </w:pPr>
            <w:r>
              <w:rPr>
                <w:w w:val="105"/>
                <w:sz w:val="18"/>
              </w:rPr>
              <w:t>13,852</w:t>
            </w:r>
          </w:p>
        </w:tc>
        <w:tc>
          <w:tcPr>
            <w:tcW w:w="1678" w:type="dxa"/>
            <w:tcBorders>
              <w:top w:val="single" w:sz="8" w:space="0" w:color="5FFF00"/>
              <w:bottom w:val="single" w:sz="8" w:space="0" w:color="5FFF00"/>
            </w:tcBorders>
          </w:tcPr>
          <w:p>
            <w:pPr>
              <w:pStyle w:val="TableParagraph"/>
              <w:spacing w:before="65"/>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5"/>
              <w:ind w:left="519" w:right="365"/>
              <w:rPr>
                <w:sz w:val="18"/>
              </w:rPr>
            </w:pPr>
            <w:r>
              <w:rPr>
                <w:w w:val="110"/>
                <w:sz w:val="18"/>
              </w:rPr>
              <w:t>13,852</w:t>
            </w:r>
          </w:p>
        </w:tc>
      </w:tr>
      <w:tr>
        <w:trPr>
          <w:trHeight w:val="344" w:hRule="atLeast"/>
        </w:trPr>
        <w:tc>
          <w:tcPr>
            <w:tcW w:w="5200" w:type="dxa"/>
            <w:tcBorders>
              <w:top w:val="single" w:sz="8" w:space="0" w:color="5FFF00"/>
              <w:bottom w:val="single" w:sz="8" w:space="0" w:color="5FFF00"/>
            </w:tcBorders>
          </w:tcPr>
          <w:p>
            <w:pPr>
              <w:pStyle w:val="TableParagraph"/>
              <w:spacing w:before="68"/>
              <w:ind w:left="902" w:right="675"/>
              <w:rPr>
                <w:sz w:val="18"/>
              </w:rPr>
            </w:pPr>
            <w:r>
              <w:rPr>
                <w:sz w:val="18"/>
              </w:rPr>
              <w:t>Hilton at Embassy GolfLinks, Bengaluru</w:t>
            </w:r>
          </w:p>
        </w:tc>
        <w:tc>
          <w:tcPr>
            <w:tcW w:w="1991" w:type="dxa"/>
            <w:tcBorders>
              <w:top w:val="single" w:sz="8" w:space="0" w:color="5FFF00"/>
              <w:bottom w:val="single" w:sz="8" w:space="0" w:color="5FFF00"/>
            </w:tcBorders>
          </w:tcPr>
          <w:p>
            <w:pPr>
              <w:pStyle w:val="TableParagraph"/>
              <w:spacing w:before="68"/>
              <w:ind w:right="654"/>
              <w:jc w:val="right"/>
              <w:rPr>
                <w:sz w:val="18"/>
              </w:rPr>
            </w:pPr>
            <w:r>
              <w:rPr>
                <w:w w:val="105"/>
                <w:sz w:val="18"/>
              </w:rPr>
              <w:t>5,045</w:t>
            </w:r>
          </w:p>
        </w:tc>
        <w:tc>
          <w:tcPr>
            <w:tcW w:w="1678" w:type="dxa"/>
            <w:tcBorders>
              <w:top w:val="single" w:sz="8" w:space="0" w:color="5FFF00"/>
              <w:bottom w:val="single" w:sz="8" w:space="0" w:color="5FFF00"/>
            </w:tcBorders>
          </w:tcPr>
          <w:p>
            <w:pPr>
              <w:pStyle w:val="TableParagraph"/>
              <w:spacing w:before="68"/>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8"/>
              <w:ind w:left="517" w:right="365"/>
              <w:rPr>
                <w:sz w:val="18"/>
              </w:rPr>
            </w:pPr>
            <w:r>
              <w:rPr>
                <w:w w:val="105"/>
                <w:sz w:val="18"/>
              </w:rPr>
              <w:t>5,045</w:t>
            </w:r>
          </w:p>
        </w:tc>
      </w:tr>
      <w:tr>
        <w:trPr>
          <w:trHeight w:val="335" w:hRule="atLeast"/>
        </w:trPr>
        <w:tc>
          <w:tcPr>
            <w:tcW w:w="5200" w:type="dxa"/>
            <w:tcBorders>
              <w:top w:val="single" w:sz="8" w:space="0" w:color="5FFF00"/>
              <w:bottom w:val="single" w:sz="8" w:space="0" w:color="5FFF00"/>
            </w:tcBorders>
          </w:tcPr>
          <w:p>
            <w:pPr>
              <w:pStyle w:val="TableParagraph"/>
              <w:spacing w:before="63"/>
              <w:ind w:left="901" w:right="675"/>
              <w:rPr>
                <w:sz w:val="18"/>
              </w:rPr>
            </w:pPr>
            <w:r>
              <w:rPr>
                <w:sz w:val="18"/>
              </w:rPr>
              <w:t>Embassy Energy, Bellary District, Karnataka</w:t>
            </w:r>
          </w:p>
        </w:tc>
        <w:tc>
          <w:tcPr>
            <w:tcW w:w="1991" w:type="dxa"/>
            <w:tcBorders>
              <w:top w:val="single" w:sz="8" w:space="0" w:color="5FFF00"/>
              <w:bottom w:val="single" w:sz="8" w:space="0" w:color="5FFF00"/>
            </w:tcBorders>
          </w:tcPr>
          <w:p>
            <w:pPr>
              <w:pStyle w:val="TableParagraph"/>
              <w:spacing w:before="63"/>
              <w:ind w:right="601"/>
              <w:jc w:val="right"/>
              <w:rPr>
                <w:sz w:val="18"/>
              </w:rPr>
            </w:pPr>
            <w:r>
              <w:rPr>
                <w:w w:val="105"/>
                <w:sz w:val="18"/>
              </w:rPr>
              <w:t>10,519</w:t>
            </w:r>
          </w:p>
        </w:tc>
        <w:tc>
          <w:tcPr>
            <w:tcW w:w="1678" w:type="dxa"/>
            <w:tcBorders>
              <w:top w:val="single" w:sz="8" w:space="0" w:color="5FFF00"/>
              <w:bottom w:val="single" w:sz="8" w:space="0" w:color="5FFF00"/>
            </w:tcBorders>
          </w:tcPr>
          <w:p>
            <w:pPr>
              <w:pStyle w:val="TableParagraph"/>
              <w:spacing w:before="63"/>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3"/>
              <w:ind w:left="519" w:right="365"/>
              <w:rPr>
                <w:sz w:val="18"/>
              </w:rPr>
            </w:pPr>
            <w:r>
              <w:rPr>
                <w:w w:val="110"/>
                <w:sz w:val="18"/>
              </w:rPr>
              <w:t>10,519</w:t>
            </w:r>
          </w:p>
        </w:tc>
      </w:tr>
      <w:tr>
        <w:trPr>
          <w:trHeight w:val="345" w:hRule="atLeast"/>
        </w:trPr>
        <w:tc>
          <w:tcPr>
            <w:tcW w:w="5200" w:type="dxa"/>
            <w:tcBorders>
              <w:top w:val="single" w:sz="8" w:space="0" w:color="5FFF00"/>
              <w:bottom w:val="single" w:sz="8" w:space="0" w:color="5FFF00"/>
            </w:tcBorders>
            <w:shd w:val="clear" w:color="auto" w:fill="D5F7AE"/>
          </w:tcPr>
          <w:p>
            <w:pPr>
              <w:pStyle w:val="TableParagraph"/>
              <w:spacing w:before="68"/>
              <w:ind w:left="904" w:right="675"/>
              <w:rPr>
                <w:sz w:val="18"/>
              </w:rPr>
            </w:pPr>
            <w:r>
              <w:rPr>
                <w:w w:val="105"/>
                <w:sz w:val="18"/>
              </w:rPr>
              <w:t>Total – 100% owned assets</w:t>
            </w:r>
          </w:p>
        </w:tc>
        <w:tc>
          <w:tcPr>
            <w:tcW w:w="1991" w:type="dxa"/>
            <w:tcBorders>
              <w:top w:val="single" w:sz="8" w:space="0" w:color="5FFF00"/>
              <w:bottom w:val="single" w:sz="8" w:space="0" w:color="5FFF00"/>
            </w:tcBorders>
            <w:shd w:val="clear" w:color="auto" w:fill="D5F7AE"/>
          </w:tcPr>
          <w:p>
            <w:pPr>
              <w:pStyle w:val="TableParagraph"/>
              <w:spacing w:before="68"/>
              <w:ind w:right="546"/>
              <w:jc w:val="right"/>
              <w:rPr>
                <w:sz w:val="18"/>
              </w:rPr>
            </w:pPr>
            <w:r>
              <w:rPr>
                <w:w w:val="105"/>
                <w:sz w:val="18"/>
              </w:rPr>
              <w:t>257,823</w:t>
            </w:r>
          </w:p>
        </w:tc>
        <w:tc>
          <w:tcPr>
            <w:tcW w:w="1678" w:type="dxa"/>
            <w:tcBorders>
              <w:top w:val="single" w:sz="8" w:space="0" w:color="5FFF00"/>
              <w:bottom w:val="single" w:sz="8" w:space="0" w:color="5FFF00"/>
            </w:tcBorders>
            <w:shd w:val="clear" w:color="auto" w:fill="D5F7AE"/>
          </w:tcPr>
          <w:p>
            <w:pPr>
              <w:pStyle w:val="TableParagraph"/>
              <w:spacing w:before="68"/>
              <w:ind w:left="523" w:right="523"/>
              <w:rPr>
                <w:sz w:val="18"/>
              </w:rPr>
            </w:pPr>
            <w:r>
              <w:rPr>
                <w:w w:val="110"/>
                <w:sz w:val="18"/>
              </w:rPr>
              <w:t>36,865</w:t>
            </w:r>
          </w:p>
        </w:tc>
        <w:tc>
          <w:tcPr>
            <w:tcW w:w="1620" w:type="dxa"/>
            <w:tcBorders>
              <w:top w:val="single" w:sz="8" w:space="0" w:color="5FFF00"/>
              <w:bottom w:val="single" w:sz="8" w:space="0" w:color="5FFF00"/>
            </w:tcBorders>
            <w:shd w:val="clear" w:color="auto" w:fill="D5F7AE"/>
          </w:tcPr>
          <w:p>
            <w:pPr>
              <w:pStyle w:val="TableParagraph"/>
              <w:spacing w:before="68"/>
              <w:ind w:left="519" w:right="365"/>
              <w:rPr>
                <w:sz w:val="18"/>
              </w:rPr>
            </w:pPr>
            <w:r>
              <w:rPr>
                <w:w w:val="110"/>
                <w:sz w:val="18"/>
              </w:rPr>
              <w:t>294,688</w:t>
            </w:r>
          </w:p>
        </w:tc>
      </w:tr>
      <w:tr>
        <w:trPr>
          <w:trHeight w:val="426" w:hRule="atLeast"/>
        </w:trPr>
        <w:tc>
          <w:tcPr>
            <w:tcW w:w="5200" w:type="dxa"/>
            <w:tcBorders>
              <w:top w:val="single" w:sz="8" w:space="0" w:color="5FFF00"/>
            </w:tcBorders>
          </w:tcPr>
          <w:p>
            <w:pPr>
              <w:pStyle w:val="TableParagraph"/>
              <w:spacing w:before="109"/>
              <w:ind w:left="904" w:right="675"/>
              <w:rPr>
                <w:sz w:val="18"/>
              </w:rPr>
            </w:pPr>
            <w:r>
              <w:rPr>
                <w:sz w:val="18"/>
              </w:rPr>
              <w:t>Embassy GolfLinks, Bengaluru</w:t>
            </w:r>
          </w:p>
        </w:tc>
        <w:tc>
          <w:tcPr>
            <w:tcW w:w="1991" w:type="dxa"/>
            <w:tcBorders>
              <w:top w:val="single" w:sz="8" w:space="0" w:color="5FFF00"/>
            </w:tcBorders>
          </w:tcPr>
          <w:p>
            <w:pPr>
              <w:pStyle w:val="TableParagraph"/>
              <w:spacing w:before="109"/>
              <w:ind w:right="601"/>
              <w:jc w:val="right"/>
              <w:rPr>
                <w:sz w:val="18"/>
              </w:rPr>
            </w:pPr>
            <w:r>
              <w:rPr>
                <w:w w:val="105"/>
                <w:sz w:val="18"/>
              </w:rPr>
              <w:t>26,432</w:t>
            </w:r>
          </w:p>
        </w:tc>
        <w:tc>
          <w:tcPr>
            <w:tcW w:w="1678" w:type="dxa"/>
            <w:tcBorders>
              <w:top w:val="single" w:sz="8" w:space="0" w:color="5FFF00"/>
            </w:tcBorders>
          </w:tcPr>
          <w:p>
            <w:pPr>
              <w:pStyle w:val="TableParagraph"/>
              <w:spacing w:before="109"/>
              <w:ind w:left="3"/>
              <w:rPr>
                <w:sz w:val="18"/>
              </w:rPr>
            </w:pPr>
            <w:r>
              <w:rPr>
                <w:w w:val="99"/>
                <w:sz w:val="18"/>
              </w:rPr>
              <w:t>-</w:t>
            </w:r>
          </w:p>
        </w:tc>
        <w:tc>
          <w:tcPr>
            <w:tcW w:w="1620" w:type="dxa"/>
            <w:tcBorders>
              <w:top w:val="single" w:sz="8" w:space="0" w:color="5FFF00"/>
            </w:tcBorders>
          </w:tcPr>
          <w:p>
            <w:pPr>
              <w:pStyle w:val="TableParagraph"/>
              <w:spacing w:before="109"/>
              <w:ind w:left="516" w:right="365"/>
              <w:rPr>
                <w:sz w:val="18"/>
              </w:rPr>
            </w:pPr>
            <w:r>
              <w:rPr>
                <w:w w:val="110"/>
                <w:sz w:val="18"/>
              </w:rPr>
              <w:t>26,432*</w:t>
            </w:r>
          </w:p>
        </w:tc>
      </w:tr>
      <w:tr>
        <w:trPr>
          <w:trHeight w:val="383" w:hRule="atLeast"/>
        </w:trPr>
        <w:tc>
          <w:tcPr>
            <w:tcW w:w="5200" w:type="dxa"/>
            <w:shd w:val="clear" w:color="auto" w:fill="5FFF00"/>
          </w:tcPr>
          <w:p>
            <w:pPr>
              <w:pStyle w:val="TableParagraph"/>
              <w:spacing w:before="87"/>
              <w:ind w:left="903" w:right="675"/>
              <w:rPr>
                <w:sz w:val="18"/>
              </w:rPr>
            </w:pPr>
            <w:r>
              <w:rPr>
                <w:color w:val="FFFFFF"/>
                <w:sz w:val="18"/>
              </w:rPr>
              <w:t>Total</w:t>
            </w:r>
          </w:p>
        </w:tc>
        <w:tc>
          <w:tcPr>
            <w:tcW w:w="1991" w:type="dxa"/>
            <w:shd w:val="clear" w:color="auto" w:fill="5FFF00"/>
          </w:tcPr>
          <w:p>
            <w:pPr>
              <w:pStyle w:val="TableParagraph"/>
              <w:spacing w:before="87"/>
              <w:ind w:right="546"/>
              <w:jc w:val="right"/>
              <w:rPr>
                <w:sz w:val="18"/>
              </w:rPr>
            </w:pPr>
            <w:r>
              <w:rPr>
                <w:color w:val="FFFFFF"/>
                <w:w w:val="105"/>
                <w:sz w:val="18"/>
              </w:rPr>
              <w:t>284,255</w:t>
            </w:r>
          </w:p>
        </w:tc>
        <w:tc>
          <w:tcPr>
            <w:tcW w:w="1678" w:type="dxa"/>
            <w:shd w:val="clear" w:color="auto" w:fill="5FFF00"/>
          </w:tcPr>
          <w:p>
            <w:pPr>
              <w:pStyle w:val="TableParagraph"/>
              <w:spacing w:before="87"/>
              <w:ind w:left="523" w:right="523"/>
              <w:rPr>
                <w:sz w:val="18"/>
              </w:rPr>
            </w:pPr>
            <w:r>
              <w:rPr>
                <w:color w:val="FFFFFF"/>
                <w:w w:val="110"/>
                <w:sz w:val="18"/>
              </w:rPr>
              <w:t>36,865</w:t>
            </w:r>
          </w:p>
        </w:tc>
        <w:tc>
          <w:tcPr>
            <w:tcW w:w="1620" w:type="dxa"/>
            <w:shd w:val="clear" w:color="auto" w:fill="5FFF00"/>
          </w:tcPr>
          <w:p>
            <w:pPr>
              <w:pStyle w:val="TableParagraph"/>
              <w:spacing w:before="87"/>
              <w:ind w:left="519" w:right="365"/>
              <w:rPr>
                <w:sz w:val="18"/>
              </w:rPr>
            </w:pPr>
            <w:r>
              <w:rPr>
                <w:color w:val="FFFFFF"/>
                <w:w w:val="110"/>
                <w:sz w:val="18"/>
              </w:rPr>
              <w:t>321,120</w:t>
            </w:r>
          </w:p>
        </w:tc>
      </w:tr>
    </w:tbl>
    <w:p>
      <w:pPr>
        <w:spacing w:before="3"/>
        <w:ind w:left="680" w:right="0" w:firstLine="0"/>
        <w:jc w:val="left"/>
        <w:rPr>
          <w:i/>
          <w:sz w:val="18"/>
        </w:rPr>
      </w:pPr>
      <w:r>
        <w:rPr>
          <w:i/>
          <w:sz w:val="18"/>
        </w:rPr>
        <w:t>* Note: Indicative of Embassy REIT’s economic interest in the asset, viz. 50%</w:t>
      </w:r>
    </w:p>
    <w:p>
      <w:pPr>
        <w:spacing w:after="0"/>
        <w:jc w:val="left"/>
        <w:rPr>
          <w:sz w:val="18"/>
        </w:rPr>
        <w:sectPr>
          <w:pgSz w:w="11910" w:h="16840"/>
          <w:pgMar w:header="720" w:footer="862" w:top="1660" w:bottom="1060" w:left="40" w:right="40"/>
        </w:sectPr>
      </w:pPr>
    </w:p>
    <w:p>
      <w:pPr>
        <w:pStyle w:val="BodyText"/>
        <w:spacing w:before="4"/>
        <w:rPr>
          <w:i/>
          <w:sz w:val="9"/>
        </w:rPr>
      </w:pPr>
    </w:p>
    <w:p>
      <w:pPr>
        <w:pStyle w:val="BodyText"/>
        <w:spacing w:before="109"/>
        <w:ind w:left="680"/>
      </w:pPr>
      <w:r>
        <w:rPr/>
        <w:pict>
          <v:rect style="position:absolute;margin-left:36pt;margin-top:16.978643pt;width:80.304pt;height:.6pt;mso-position-horizontal-relative:page;mso-position-vertical-relative:paragraph;z-index:16564736" filled="true" fillcolor="#000000" stroked="false">
            <v:fill type="solid"/>
            <w10:wrap type="none"/>
          </v:rect>
        </w:pict>
      </w:r>
      <w:r>
        <w:rPr>
          <w:w w:val="105"/>
        </w:rPr>
        <w:t>31</w:t>
      </w:r>
      <w:r>
        <w:rPr>
          <w:w w:val="105"/>
          <w:vertAlign w:val="superscript"/>
        </w:rPr>
        <w:t>st</w:t>
      </w:r>
      <w:r>
        <w:rPr>
          <w:w w:val="105"/>
          <w:vertAlign w:val="baseline"/>
        </w:rPr>
        <w:t> March 2019</w:t>
      </w:r>
    </w:p>
    <w:p>
      <w:pPr>
        <w:pStyle w:val="BodyText"/>
        <w:spacing w:before="7" w:after="1"/>
        <w:rPr>
          <w:sz w:val="15"/>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16"/>
        <w:gridCol w:w="5070"/>
      </w:tblGrid>
      <w:tr>
        <w:trPr>
          <w:trHeight w:val="357" w:hRule="atLeast"/>
        </w:trPr>
        <w:tc>
          <w:tcPr>
            <w:tcW w:w="5416" w:type="dxa"/>
            <w:vMerge w:val="restart"/>
            <w:tcBorders>
              <w:bottom w:val="single" w:sz="8" w:space="0" w:color="5FFF00"/>
            </w:tcBorders>
            <w:shd w:val="clear" w:color="auto" w:fill="006A4D"/>
          </w:tcPr>
          <w:p>
            <w:pPr>
              <w:pStyle w:val="TableParagraph"/>
              <w:spacing w:before="1"/>
              <w:jc w:val="left"/>
              <w:rPr>
                <w:sz w:val="25"/>
              </w:rPr>
            </w:pPr>
          </w:p>
          <w:p>
            <w:pPr>
              <w:pStyle w:val="TableParagraph"/>
              <w:ind w:left="2346" w:right="2334"/>
              <w:rPr>
                <w:sz w:val="18"/>
              </w:rPr>
            </w:pPr>
            <w:r>
              <w:rPr>
                <w:color w:val="FFFFFF"/>
                <w:sz w:val="18"/>
              </w:rPr>
              <w:t>Property</w:t>
            </w:r>
          </w:p>
        </w:tc>
        <w:tc>
          <w:tcPr>
            <w:tcW w:w="5070" w:type="dxa"/>
            <w:tcBorders>
              <w:bottom w:val="single" w:sz="8" w:space="0" w:color="5FFF00"/>
            </w:tcBorders>
            <w:shd w:val="clear" w:color="auto" w:fill="006A4D"/>
          </w:tcPr>
          <w:p>
            <w:pPr>
              <w:pStyle w:val="TableParagraph"/>
              <w:spacing w:before="63"/>
              <w:ind w:left="1716"/>
              <w:jc w:val="left"/>
              <w:rPr>
                <w:sz w:val="18"/>
              </w:rPr>
            </w:pPr>
            <w:r>
              <w:rPr>
                <w:color w:val="FFFFFF"/>
                <w:sz w:val="18"/>
              </w:rPr>
              <w:t>Market Value (INR Mn)</w:t>
            </w:r>
          </w:p>
        </w:tc>
      </w:tr>
      <w:tr>
        <w:trPr>
          <w:trHeight w:val="431" w:hRule="atLeast"/>
        </w:trPr>
        <w:tc>
          <w:tcPr>
            <w:tcW w:w="5416" w:type="dxa"/>
            <w:vMerge/>
            <w:tcBorders>
              <w:top w:val="nil"/>
              <w:bottom w:val="single" w:sz="8" w:space="0" w:color="5FFF00"/>
            </w:tcBorders>
            <w:shd w:val="clear" w:color="auto" w:fill="006A4D"/>
          </w:tcPr>
          <w:p>
            <w:pPr>
              <w:rPr>
                <w:sz w:val="2"/>
                <w:szCs w:val="2"/>
              </w:rPr>
            </w:pPr>
          </w:p>
        </w:tc>
        <w:tc>
          <w:tcPr>
            <w:tcW w:w="5070" w:type="dxa"/>
            <w:tcBorders>
              <w:top w:val="single" w:sz="8" w:space="0" w:color="5FFF00"/>
              <w:bottom w:val="single" w:sz="8" w:space="0" w:color="5FFF00"/>
            </w:tcBorders>
            <w:shd w:val="clear" w:color="auto" w:fill="006A4D"/>
          </w:tcPr>
          <w:p>
            <w:pPr>
              <w:pStyle w:val="TableParagraph"/>
              <w:tabs>
                <w:tab w:pos="1848" w:val="left" w:leader="none"/>
                <w:tab w:pos="4145" w:val="left" w:leader="none"/>
              </w:tabs>
              <w:spacing w:line="156" w:lineRule="auto" w:before="23"/>
              <w:ind w:left="448"/>
              <w:jc w:val="left"/>
              <w:rPr>
                <w:sz w:val="18"/>
              </w:rPr>
            </w:pPr>
            <w:r>
              <w:rPr>
                <w:color w:val="FFFFFF"/>
                <w:position w:val="-10"/>
                <w:sz w:val="18"/>
              </w:rPr>
              <w:t>Completed</w:t>
              <w:tab/>
            </w:r>
            <w:r>
              <w:rPr>
                <w:color w:val="FFFFFF"/>
                <w:sz w:val="18"/>
              </w:rPr>
              <w:t>Under</w:t>
            </w:r>
            <w:r>
              <w:rPr>
                <w:color w:val="FFFFFF"/>
                <w:spacing w:val="-11"/>
                <w:sz w:val="18"/>
              </w:rPr>
              <w:t> </w:t>
            </w:r>
            <w:r>
              <w:rPr>
                <w:color w:val="FFFFFF"/>
                <w:sz w:val="18"/>
              </w:rPr>
              <w:t>Construction</w:t>
              <w:tab/>
            </w:r>
            <w:r>
              <w:rPr>
                <w:color w:val="FFFFFF"/>
                <w:position w:val="-10"/>
                <w:sz w:val="18"/>
              </w:rPr>
              <w:t>Total</w:t>
            </w:r>
          </w:p>
          <w:p>
            <w:pPr>
              <w:pStyle w:val="TableParagraph"/>
              <w:spacing w:line="140" w:lineRule="exact"/>
              <w:ind w:left="386" w:right="227"/>
              <w:rPr>
                <w:sz w:val="18"/>
              </w:rPr>
            </w:pPr>
            <w:r>
              <w:rPr>
                <w:color w:val="FFFFFF"/>
                <w:sz w:val="18"/>
              </w:rPr>
              <w:t>(UC)/ Proposed</w:t>
            </w:r>
          </w:p>
        </w:tc>
      </w:tr>
    </w:tbl>
    <w:p>
      <w:pPr>
        <w:pStyle w:val="BodyText"/>
        <w:spacing w:before="9"/>
        <w:rPr>
          <w:sz w:val="6"/>
        </w:rPr>
      </w:pPr>
    </w:p>
    <w:tbl>
      <w:tblPr>
        <w:tblW w:w="0" w:type="auto"/>
        <w:jc w:val="left"/>
        <w:tblInd w:w="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200"/>
        <w:gridCol w:w="1991"/>
        <w:gridCol w:w="1678"/>
        <w:gridCol w:w="1620"/>
      </w:tblGrid>
      <w:tr>
        <w:trPr>
          <w:trHeight w:val="292" w:hRule="atLeast"/>
        </w:trPr>
        <w:tc>
          <w:tcPr>
            <w:tcW w:w="5200" w:type="dxa"/>
            <w:tcBorders>
              <w:bottom w:val="single" w:sz="8" w:space="0" w:color="5FFF00"/>
            </w:tcBorders>
          </w:tcPr>
          <w:p>
            <w:pPr>
              <w:pStyle w:val="TableParagraph"/>
              <w:spacing w:before="4"/>
              <w:ind w:left="904" w:right="675"/>
              <w:rPr>
                <w:sz w:val="18"/>
              </w:rPr>
            </w:pPr>
            <w:r>
              <w:rPr>
                <w:sz w:val="18"/>
              </w:rPr>
              <w:t>Embassy Manyata, Bengaluru</w:t>
            </w:r>
          </w:p>
        </w:tc>
        <w:tc>
          <w:tcPr>
            <w:tcW w:w="1991" w:type="dxa"/>
            <w:tcBorders>
              <w:bottom w:val="single" w:sz="8" w:space="0" w:color="5FFF00"/>
            </w:tcBorders>
          </w:tcPr>
          <w:p>
            <w:pPr>
              <w:pStyle w:val="TableParagraph"/>
              <w:spacing w:before="4"/>
              <w:ind w:right="548"/>
              <w:jc w:val="right"/>
              <w:rPr>
                <w:sz w:val="18"/>
              </w:rPr>
            </w:pPr>
            <w:r>
              <w:rPr>
                <w:w w:val="105"/>
                <w:sz w:val="18"/>
              </w:rPr>
              <w:t>110,946</w:t>
            </w:r>
          </w:p>
        </w:tc>
        <w:tc>
          <w:tcPr>
            <w:tcW w:w="1678" w:type="dxa"/>
            <w:tcBorders>
              <w:bottom w:val="single" w:sz="8" w:space="0" w:color="5FFF00"/>
            </w:tcBorders>
          </w:tcPr>
          <w:p>
            <w:pPr>
              <w:pStyle w:val="TableParagraph"/>
              <w:spacing w:before="4"/>
              <w:ind w:left="523" w:right="523"/>
              <w:rPr>
                <w:sz w:val="18"/>
              </w:rPr>
            </w:pPr>
            <w:r>
              <w:rPr>
                <w:w w:val="110"/>
                <w:sz w:val="18"/>
              </w:rPr>
              <w:t>24,449</w:t>
            </w:r>
          </w:p>
        </w:tc>
        <w:tc>
          <w:tcPr>
            <w:tcW w:w="1620" w:type="dxa"/>
            <w:tcBorders>
              <w:bottom w:val="single" w:sz="8" w:space="0" w:color="5FFF00"/>
            </w:tcBorders>
          </w:tcPr>
          <w:p>
            <w:pPr>
              <w:pStyle w:val="TableParagraph"/>
              <w:spacing w:before="4"/>
              <w:ind w:left="519" w:right="365"/>
              <w:rPr>
                <w:sz w:val="18"/>
              </w:rPr>
            </w:pPr>
            <w:r>
              <w:rPr>
                <w:w w:val="110"/>
                <w:sz w:val="18"/>
              </w:rPr>
              <w:t>135,395</w:t>
            </w:r>
          </w:p>
        </w:tc>
      </w:tr>
      <w:tr>
        <w:trPr>
          <w:trHeight w:val="354" w:hRule="atLeast"/>
        </w:trPr>
        <w:tc>
          <w:tcPr>
            <w:tcW w:w="5200" w:type="dxa"/>
            <w:tcBorders>
              <w:top w:val="single" w:sz="8" w:space="0" w:color="5FFF00"/>
              <w:bottom w:val="single" w:sz="8" w:space="0" w:color="5FFF00"/>
            </w:tcBorders>
          </w:tcPr>
          <w:p>
            <w:pPr>
              <w:pStyle w:val="TableParagraph"/>
              <w:spacing w:before="73"/>
              <w:ind w:left="905" w:right="675"/>
              <w:rPr>
                <w:sz w:val="18"/>
              </w:rPr>
            </w:pPr>
            <w:r>
              <w:rPr>
                <w:sz w:val="18"/>
              </w:rPr>
              <w:t>Express Towers, Mumbai</w:t>
            </w:r>
          </w:p>
        </w:tc>
        <w:tc>
          <w:tcPr>
            <w:tcW w:w="1991" w:type="dxa"/>
            <w:tcBorders>
              <w:top w:val="single" w:sz="8" w:space="0" w:color="5FFF00"/>
              <w:bottom w:val="single" w:sz="8" w:space="0" w:color="5FFF00"/>
            </w:tcBorders>
          </w:tcPr>
          <w:p>
            <w:pPr>
              <w:pStyle w:val="TableParagraph"/>
              <w:spacing w:before="73"/>
              <w:ind w:right="601"/>
              <w:jc w:val="right"/>
              <w:rPr>
                <w:sz w:val="18"/>
              </w:rPr>
            </w:pPr>
            <w:r>
              <w:rPr>
                <w:w w:val="105"/>
                <w:sz w:val="18"/>
              </w:rPr>
              <w:t>18,849</w:t>
            </w:r>
          </w:p>
        </w:tc>
        <w:tc>
          <w:tcPr>
            <w:tcW w:w="1678" w:type="dxa"/>
            <w:tcBorders>
              <w:top w:val="single" w:sz="8" w:space="0" w:color="5FFF00"/>
              <w:bottom w:val="single" w:sz="8" w:space="0" w:color="5FFF00"/>
            </w:tcBorders>
          </w:tcPr>
          <w:p>
            <w:pPr>
              <w:pStyle w:val="TableParagraph"/>
              <w:spacing w:before="73"/>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73"/>
              <w:ind w:left="519" w:right="365"/>
              <w:rPr>
                <w:sz w:val="18"/>
              </w:rPr>
            </w:pPr>
            <w:r>
              <w:rPr>
                <w:w w:val="110"/>
                <w:sz w:val="18"/>
              </w:rPr>
              <w:t>18,849</w:t>
            </w:r>
          </w:p>
        </w:tc>
      </w:tr>
      <w:tr>
        <w:trPr>
          <w:trHeight w:val="337" w:hRule="atLeast"/>
        </w:trPr>
        <w:tc>
          <w:tcPr>
            <w:tcW w:w="5200" w:type="dxa"/>
            <w:tcBorders>
              <w:top w:val="single" w:sz="8" w:space="0" w:color="5FFF00"/>
              <w:bottom w:val="single" w:sz="8" w:space="0" w:color="5FFF00"/>
            </w:tcBorders>
          </w:tcPr>
          <w:p>
            <w:pPr>
              <w:pStyle w:val="TableParagraph"/>
              <w:spacing w:before="65"/>
              <w:ind w:left="904" w:right="675"/>
              <w:rPr>
                <w:sz w:val="18"/>
              </w:rPr>
            </w:pPr>
            <w:r>
              <w:rPr>
                <w:sz w:val="18"/>
              </w:rPr>
              <w:t>Embassy 247, Mumbai</w:t>
            </w:r>
          </w:p>
        </w:tc>
        <w:tc>
          <w:tcPr>
            <w:tcW w:w="1991" w:type="dxa"/>
            <w:tcBorders>
              <w:top w:val="single" w:sz="8" w:space="0" w:color="5FFF00"/>
              <w:bottom w:val="single" w:sz="8" w:space="0" w:color="5FFF00"/>
            </w:tcBorders>
          </w:tcPr>
          <w:p>
            <w:pPr>
              <w:pStyle w:val="TableParagraph"/>
              <w:spacing w:before="65"/>
              <w:ind w:right="601"/>
              <w:jc w:val="right"/>
              <w:rPr>
                <w:sz w:val="18"/>
              </w:rPr>
            </w:pPr>
            <w:r>
              <w:rPr>
                <w:w w:val="105"/>
                <w:sz w:val="18"/>
              </w:rPr>
              <w:t>17,323</w:t>
            </w:r>
          </w:p>
        </w:tc>
        <w:tc>
          <w:tcPr>
            <w:tcW w:w="1678" w:type="dxa"/>
            <w:tcBorders>
              <w:top w:val="single" w:sz="8" w:space="0" w:color="5FFF00"/>
              <w:bottom w:val="single" w:sz="8" w:space="0" w:color="5FFF00"/>
            </w:tcBorders>
          </w:tcPr>
          <w:p>
            <w:pPr>
              <w:pStyle w:val="TableParagraph"/>
              <w:spacing w:before="65"/>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5"/>
              <w:ind w:left="519" w:right="365"/>
              <w:rPr>
                <w:sz w:val="18"/>
              </w:rPr>
            </w:pPr>
            <w:r>
              <w:rPr>
                <w:w w:val="110"/>
                <w:sz w:val="18"/>
              </w:rPr>
              <w:t>17,323</w:t>
            </w:r>
          </w:p>
        </w:tc>
      </w:tr>
      <w:tr>
        <w:trPr>
          <w:trHeight w:val="335" w:hRule="atLeast"/>
        </w:trPr>
        <w:tc>
          <w:tcPr>
            <w:tcW w:w="5200" w:type="dxa"/>
            <w:tcBorders>
              <w:top w:val="single" w:sz="8" w:space="0" w:color="5FFF00"/>
              <w:bottom w:val="single" w:sz="8" w:space="0" w:color="5FFF00"/>
            </w:tcBorders>
          </w:tcPr>
          <w:p>
            <w:pPr>
              <w:pStyle w:val="TableParagraph"/>
              <w:spacing w:before="63"/>
              <w:ind w:left="905" w:right="675"/>
              <w:rPr>
                <w:sz w:val="18"/>
              </w:rPr>
            </w:pPr>
            <w:r>
              <w:rPr>
                <w:sz w:val="18"/>
              </w:rPr>
              <w:t>First International Financial Centre, Mumbai</w:t>
            </w:r>
          </w:p>
        </w:tc>
        <w:tc>
          <w:tcPr>
            <w:tcW w:w="1991" w:type="dxa"/>
            <w:tcBorders>
              <w:top w:val="single" w:sz="8" w:space="0" w:color="5FFF00"/>
              <w:bottom w:val="single" w:sz="8" w:space="0" w:color="5FFF00"/>
            </w:tcBorders>
          </w:tcPr>
          <w:p>
            <w:pPr>
              <w:pStyle w:val="TableParagraph"/>
              <w:spacing w:before="63"/>
              <w:ind w:right="601"/>
              <w:jc w:val="right"/>
              <w:rPr>
                <w:sz w:val="18"/>
              </w:rPr>
            </w:pPr>
            <w:r>
              <w:rPr>
                <w:w w:val="105"/>
                <w:sz w:val="18"/>
              </w:rPr>
              <w:t>14,957</w:t>
            </w:r>
          </w:p>
        </w:tc>
        <w:tc>
          <w:tcPr>
            <w:tcW w:w="1678" w:type="dxa"/>
            <w:tcBorders>
              <w:top w:val="single" w:sz="8" w:space="0" w:color="5FFF00"/>
              <w:bottom w:val="single" w:sz="8" w:space="0" w:color="5FFF00"/>
            </w:tcBorders>
          </w:tcPr>
          <w:p>
            <w:pPr>
              <w:pStyle w:val="TableParagraph"/>
              <w:spacing w:before="63"/>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3"/>
              <w:ind w:left="519" w:right="365"/>
              <w:rPr>
                <w:sz w:val="18"/>
              </w:rPr>
            </w:pPr>
            <w:r>
              <w:rPr>
                <w:w w:val="110"/>
                <w:sz w:val="18"/>
              </w:rPr>
              <w:t>14,957</w:t>
            </w:r>
          </w:p>
        </w:tc>
      </w:tr>
      <w:tr>
        <w:trPr>
          <w:trHeight w:val="345" w:hRule="atLeast"/>
        </w:trPr>
        <w:tc>
          <w:tcPr>
            <w:tcW w:w="5200" w:type="dxa"/>
            <w:tcBorders>
              <w:top w:val="single" w:sz="8" w:space="0" w:color="5FFF00"/>
              <w:bottom w:val="single" w:sz="8" w:space="0" w:color="5FFF00"/>
            </w:tcBorders>
          </w:tcPr>
          <w:p>
            <w:pPr>
              <w:pStyle w:val="TableParagraph"/>
              <w:spacing w:before="68"/>
              <w:ind w:left="905" w:right="674"/>
              <w:rPr>
                <w:sz w:val="18"/>
              </w:rPr>
            </w:pPr>
            <w:r>
              <w:rPr>
                <w:sz w:val="18"/>
              </w:rPr>
              <w:t>Embassy TechZone, Pune</w:t>
            </w:r>
          </w:p>
        </w:tc>
        <w:tc>
          <w:tcPr>
            <w:tcW w:w="1991" w:type="dxa"/>
            <w:tcBorders>
              <w:top w:val="single" w:sz="8" w:space="0" w:color="5FFF00"/>
              <w:bottom w:val="single" w:sz="8" w:space="0" w:color="5FFF00"/>
            </w:tcBorders>
          </w:tcPr>
          <w:p>
            <w:pPr>
              <w:pStyle w:val="TableParagraph"/>
              <w:spacing w:before="68"/>
              <w:ind w:right="601"/>
              <w:jc w:val="right"/>
              <w:rPr>
                <w:sz w:val="18"/>
              </w:rPr>
            </w:pPr>
            <w:r>
              <w:rPr>
                <w:w w:val="105"/>
                <w:sz w:val="18"/>
              </w:rPr>
              <w:t>14,371</w:t>
            </w:r>
          </w:p>
        </w:tc>
        <w:tc>
          <w:tcPr>
            <w:tcW w:w="1678" w:type="dxa"/>
            <w:tcBorders>
              <w:top w:val="single" w:sz="8" w:space="0" w:color="5FFF00"/>
              <w:bottom w:val="single" w:sz="8" w:space="0" w:color="5FFF00"/>
            </w:tcBorders>
          </w:tcPr>
          <w:p>
            <w:pPr>
              <w:pStyle w:val="TableParagraph"/>
              <w:spacing w:before="68"/>
              <w:ind w:left="523" w:right="523"/>
              <w:rPr>
                <w:sz w:val="18"/>
              </w:rPr>
            </w:pPr>
            <w:r>
              <w:rPr>
                <w:w w:val="105"/>
                <w:sz w:val="18"/>
              </w:rPr>
              <w:t>6,215</w:t>
            </w:r>
          </w:p>
        </w:tc>
        <w:tc>
          <w:tcPr>
            <w:tcW w:w="1620" w:type="dxa"/>
            <w:tcBorders>
              <w:top w:val="single" w:sz="8" w:space="0" w:color="5FFF00"/>
              <w:bottom w:val="single" w:sz="8" w:space="0" w:color="5FFF00"/>
            </w:tcBorders>
          </w:tcPr>
          <w:p>
            <w:pPr>
              <w:pStyle w:val="TableParagraph"/>
              <w:spacing w:before="68"/>
              <w:ind w:left="519" w:right="365"/>
              <w:rPr>
                <w:sz w:val="18"/>
              </w:rPr>
            </w:pPr>
            <w:r>
              <w:rPr>
                <w:w w:val="110"/>
                <w:sz w:val="18"/>
              </w:rPr>
              <w:t>20,586</w:t>
            </w:r>
          </w:p>
        </w:tc>
      </w:tr>
      <w:tr>
        <w:trPr>
          <w:trHeight w:val="335" w:hRule="atLeast"/>
        </w:trPr>
        <w:tc>
          <w:tcPr>
            <w:tcW w:w="5200" w:type="dxa"/>
            <w:tcBorders>
              <w:top w:val="single" w:sz="8" w:space="0" w:color="5FFF00"/>
              <w:bottom w:val="single" w:sz="8" w:space="0" w:color="5FFF00"/>
            </w:tcBorders>
          </w:tcPr>
          <w:p>
            <w:pPr>
              <w:pStyle w:val="TableParagraph"/>
              <w:spacing w:before="63"/>
              <w:ind w:left="905" w:right="674"/>
              <w:rPr>
                <w:sz w:val="18"/>
              </w:rPr>
            </w:pPr>
            <w:r>
              <w:rPr>
                <w:sz w:val="18"/>
              </w:rPr>
              <w:t>Embassy Quadron, Pune</w:t>
            </w:r>
          </w:p>
        </w:tc>
        <w:tc>
          <w:tcPr>
            <w:tcW w:w="1991" w:type="dxa"/>
            <w:tcBorders>
              <w:top w:val="single" w:sz="8" w:space="0" w:color="5FFF00"/>
              <w:bottom w:val="single" w:sz="8" w:space="0" w:color="5FFF00"/>
            </w:tcBorders>
          </w:tcPr>
          <w:p>
            <w:pPr>
              <w:pStyle w:val="TableParagraph"/>
              <w:spacing w:before="63"/>
              <w:ind w:right="601"/>
              <w:jc w:val="right"/>
              <w:rPr>
                <w:sz w:val="18"/>
              </w:rPr>
            </w:pPr>
            <w:r>
              <w:rPr>
                <w:w w:val="105"/>
                <w:sz w:val="18"/>
              </w:rPr>
              <w:t>14,610</w:t>
            </w:r>
          </w:p>
        </w:tc>
        <w:tc>
          <w:tcPr>
            <w:tcW w:w="1678" w:type="dxa"/>
            <w:tcBorders>
              <w:top w:val="single" w:sz="8" w:space="0" w:color="5FFF00"/>
              <w:bottom w:val="single" w:sz="8" w:space="0" w:color="5FFF00"/>
            </w:tcBorders>
          </w:tcPr>
          <w:p>
            <w:pPr>
              <w:pStyle w:val="TableParagraph"/>
              <w:spacing w:before="63"/>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3"/>
              <w:ind w:left="519" w:right="365"/>
              <w:rPr>
                <w:sz w:val="18"/>
              </w:rPr>
            </w:pPr>
            <w:r>
              <w:rPr>
                <w:w w:val="110"/>
                <w:sz w:val="18"/>
              </w:rPr>
              <w:t>14,610</w:t>
            </w:r>
          </w:p>
        </w:tc>
      </w:tr>
      <w:tr>
        <w:trPr>
          <w:trHeight w:val="344" w:hRule="atLeast"/>
        </w:trPr>
        <w:tc>
          <w:tcPr>
            <w:tcW w:w="5200" w:type="dxa"/>
            <w:tcBorders>
              <w:top w:val="single" w:sz="8" w:space="0" w:color="5FFF00"/>
              <w:bottom w:val="single" w:sz="8" w:space="0" w:color="5FFF00"/>
            </w:tcBorders>
          </w:tcPr>
          <w:p>
            <w:pPr>
              <w:pStyle w:val="TableParagraph"/>
              <w:spacing w:before="70"/>
              <w:ind w:left="902" w:right="675"/>
              <w:rPr>
                <w:sz w:val="18"/>
              </w:rPr>
            </w:pPr>
            <w:r>
              <w:rPr>
                <w:sz w:val="18"/>
              </w:rPr>
              <w:t>Embassy Qubix, Pune</w:t>
            </w:r>
          </w:p>
        </w:tc>
        <w:tc>
          <w:tcPr>
            <w:tcW w:w="1991" w:type="dxa"/>
            <w:tcBorders>
              <w:top w:val="single" w:sz="8" w:space="0" w:color="5FFF00"/>
              <w:bottom w:val="single" w:sz="8" w:space="0" w:color="5FFF00"/>
            </w:tcBorders>
          </w:tcPr>
          <w:p>
            <w:pPr>
              <w:pStyle w:val="TableParagraph"/>
              <w:spacing w:before="70"/>
              <w:ind w:right="601"/>
              <w:jc w:val="right"/>
              <w:rPr>
                <w:sz w:val="18"/>
              </w:rPr>
            </w:pPr>
            <w:r>
              <w:rPr>
                <w:w w:val="105"/>
                <w:sz w:val="18"/>
              </w:rPr>
              <w:t>10,253</w:t>
            </w:r>
          </w:p>
        </w:tc>
        <w:tc>
          <w:tcPr>
            <w:tcW w:w="1678" w:type="dxa"/>
            <w:tcBorders>
              <w:top w:val="single" w:sz="8" w:space="0" w:color="5FFF00"/>
              <w:bottom w:val="single" w:sz="8" w:space="0" w:color="5FFF00"/>
            </w:tcBorders>
          </w:tcPr>
          <w:p>
            <w:pPr>
              <w:pStyle w:val="TableParagraph"/>
              <w:spacing w:before="70"/>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70"/>
              <w:ind w:left="519" w:right="365"/>
              <w:rPr>
                <w:sz w:val="18"/>
              </w:rPr>
            </w:pPr>
            <w:r>
              <w:rPr>
                <w:w w:val="110"/>
                <w:sz w:val="18"/>
              </w:rPr>
              <w:t>10,253</w:t>
            </w:r>
          </w:p>
        </w:tc>
      </w:tr>
      <w:tr>
        <w:trPr>
          <w:trHeight w:val="337" w:hRule="atLeast"/>
        </w:trPr>
        <w:tc>
          <w:tcPr>
            <w:tcW w:w="5200" w:type="dxa"/>
            <w:tcBorders>
              <w:top w:val="single" w:sz="8" w:space="0" w:color="5FFF00"/>
              <w:bottom w:val="single" w:sz="8" w:space="0" w:color="5FFF00"/>
            </w:tcBorders>
          </w:tcPr>
          <w:p>
            <w:pPr>
              <w:pStyle w:val="TableParagraph"/>
              <w:spacing w:before="65"/>
              <w:ind w:left="905" w:right="674"/>
              <w:rPr>
                <w:sz w:val="18"/>
              </w:rPr>
            </w:pPr>
            <w:r>
              <w:rPr>
                <w:sz w:val="18"/>
              </w:rPr>
              <w:t>Embassy Oxygen, Noida</w:t>
            </w:r>
          </w:p>
        </w:tc>
        <w:tc>
          <w:tcPr>
            <w:tcW w:w="1991" w:type="dxa"/>
            <w:tcBorders>
              <w:top w:val="single" w:sz="8" w:space="0" w:color="5FFF00"/>
              <w:bottom w:val="single" w:sz="8" w:space="0" w:color="5FFF00"/>
            </w:tcBorders>
          </w:tcPr>
          <w:p>
            <w:pPr>
              <w:pStyle w:val="TableParagraph"/>
              <w:spacing w:before="65"/>
              <w:ind w:right="601"/>
              <w:jc w:val="right"/>
              <w:rPr>
                <w:sz w:val="18"/>
              </w:rPr>
            </w:pPr>
            <w:r>
              <w:rPr>
                <w:w w:val="105"/>
                <w:sz w:val="18"/>
              </w:rPr>
              <w:t>15,065</w:t>
            </w:r>
          </w:p>
        </w:tc>
        <w:tc>
          <w:tcPr>
            <w:tcW w:w="1678" w:type="dxa"/>
            <w:tcBorders>
              <w:top w:val="single" w:sz="8" w:space="0" w:color="5FFF00"/>
              <w:bottom w:val="single" w:sz="8" w:space="0" w:color="5FFF00"/>
            </w:tcBorders>
          </w:tcPr>
          <w:p>
            <w:pPr>
              <w:pStyle w:val="TableParagraph"/>
              <w:spacing w:before="65"/>
              <w:ind w:left="523" w:right="523"/>
              <w:rPr>
                <w:sz w:val="18"/>
              </w:rPr>
            </w:pPr>
            <w:r>
              <w:rPr>
                <w:w w:val="105"/>
                <w:sz w:val="18"/>
              </w:rPr>
              <w:t>4,874</w:t>
            </w:r>
          </w:p>
        </w:tc>
        <w:tc>
          <w:tcPr>
            <w:tcW w:w="1620" w:type="dxa"/>
            <w:tcBorders>
              <w:top w:val="single" w:sz="8" w:space="0" w:color="5FFF00"/>
              <w:bottom w:val="single" w:sz="8" w:space="0" w:color="5FFF00"/>
            </w:tcBorders>
          </w:tcPr>
          <w:p>
            <w:pPr>
              <w:pStyle w:val="TableParagraph"/>
              <w:spacing w:before="65"/>
              <w:ind w:left="519" w:right="365"/>
              <w:rPr>
                <w:sz w:val="18"/>
              </w:rPr>
            </w:pPr>
            <w:r>
              <w:rPr>
                <w:w w:val="110"/>
                <w:sz w:val="18"/>
              </w:rPr>
              <w:t>19,939</w:t>
            </w:r>
          </w:p>
        </w:tc>
      </w:tr>
      <w:tr>
        <w:trPr>
          <w:trHeight w:val="344" w:hRule="atLeast"/>
        </w:trPr>
        <w:tc>
          <w:tcPr>
            <w:tcW w:w="5200" w:type="dxa"/>
            <w:tcBorders>
              <w:top w:val="single" w:sz="8" w:space="0" w:color="5FFF00"/>
              <w:bottom w:val="single" w:sz="8" w:space="0" w:color="5FFF00"/>
            </w:tcBorders>
          </w:tcPr>
          <w:p>
            <w:pPr>
              <w:pStyle w:val="TableParagraph"/>
              <w:spacing w:before="68"/>
              <w:ind w:left="905" w:right="674"/>
              <w:rPr>
                <w:sz w:val="18"/>
              </w:rPr>
            </w:pPr>
            <w:r>
              <w:rPr>
                <w:sz w:val="18"/>
              </w:rPr>
              <w:t>Embassy Galaxy, Noida</w:t>
            </w:r>
          </w:p>
        </w:tc>
        <w:tc>
          <w:tcPr>
            <w:tcW w:w="1991" w:type="dxa"/>
            <w:tcBorders>
              <w:top w:val="single" w:sz="8" w:space="0" w:color="5FFF00"/>
              <w:bottom w:val="single" w:sz="8" w:space="0" w:color="5FFF00"/>
            </w:tcBorders>
          </w:tcPr>
          <w:p>
            <w:pPr>
              <w:pStyle w:val="TableParagraph"/>
              <w:spacing w:before="68"/>
              <w:ind w:right="654"/>
              <w:jc w:val="right"/>
              <w:rPr>
                <w:sz w:val="18"/>
              </w:rPr>
            </w:pPr>
            <w:r>
              <w:rPr>
                <w:w w:val="105"/>
                <w:sz w:val="18"/>
              </w:rPr>
              <w:t>8,478</w:t>
            </w:r>
          </w:p>
        </w:tc>
        <w:tc>
          <w:tcPr>
            <w:tcW w:w="1678" w:type="dxa"/>
            <w:tcBorders>
              <w:top w:val="single" w:sz="8" w:space="0" w:color="5FFF00"/>
              <w:bottom w:val="single" w:sz="8" w:space="0" w:color="5FFF00"/>
            </w:tcBorders>
          </w:tcPr>
          <w:p>
            <w:pPr>
              <w:pStyle w:val="TableParagraph"/>
              <w:spacing w:before="68"/>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8"/>
              <w:ind w:left="517" w:right="365"/>
              <w:rPr>
                <w:sz w:val="18"/>
              </w:rPr>
            </w:pPr>
            <w:r>
              <w:rPr>
                <w:w w:val="105"/>
                <w:sz w:val="18"/>
              </w:rPr>
              <w:t>8,478</w:t>
            </w:r>
          </w:p>
        </w:tc>
      </w:tr>
      <w:tr>
        <w:trPr>
          <w:trHeight w:val="335" w:hRule="atLeast"/>
        </w:trPr>
        <w:tc>
          <w:tcPr>
            <w:tcW w:w="5200" w:type="dxa"/>
            <w:tcBorders>
              <w:top w:val="single" w:sz="8" w:space="0" w:color="5FFF00"/>
              <w:bottom w:val="single" w:sz="8" w:space="0" w:color="5FFF00"/>
            </w:tcBorders>
          </w:tcPr>
          <w:p>
            <w:pPr>
              <w:pStyle w:val="TableParagraph"/>
              <w:spacing w:before="63"/>
              <w:ind w:left="904" w:right="675"/>
              <w:rPr>
                <w:sz w:val="18"/>
              </w:rPr>
            </w:pPr>
            <w:r>
              <w:rPr>
                <w:sz w:val="18"/>
              </w:rPr>
              <w:t>Embassy One, Bengaluru</w:t>
            </w:r>
          </w:p>
        </w:tc>
        <w:tc>
          <w:tcPr>
            <w:tcW w:w="1991" w:type="dxa"/>
            <w:tcBorders>
              <w:top w:val="single" w:sz="8" w:space="0" w:color="5FFF00"/>
              <w:bottom w:val="single" w:sz="8" w:space="0" w:color="5FFF00"/>
            </w:tcBorders>
          </w:tcPr>
          <w:p>
            <w:pPr>
              <w:pStyle w:val="TableParagraph"/>
              <w:spacing w:before="63"/>
              <w:ind w:right="601"/>
              <w:jc w:val="right"/>
              <w:rPr>
                <w:sz w:val="18"/>
              </w:rPr>
            </w:pPr>
            <w:r>
              <w:rPr>
                <w:w w:val="105"/>
                <w:sz w:val="18"/>
              </w:rPr>
              <w:t>13,955</w:t>
            </w:r>
          </w:p>
        </w:tc>
        <w:tc>
          <w:tcPr>
            <w:tcW w:w="1678" w:type="dxa"/>
            <w:tcBorders>
              <w:top w:val="single" w:sz="8" w:space="0" w:color="5FFF00"/>
              <w:bottom w:val="single" w:sz="8" w:space="0" w:color="5FFF00"/>
            </w:tcBorders>
          </w:tcPr>
          <w:p>
            <w:pPr>
              <w:pStyle w:val="TableParagraph"/>
              <w:spacing w:before="63"/>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3"/>
              <w:ind w:left="519" w:right="365"/>
              <w:rPr>
                <w:sz w:val="18"/>
              </w:rPr>
            </w:pPr>
            <w:r>
              <w:rPr>
                <w:w w:val="110"/>
                <w:sz w:val="18"/>
              </w:rPr>
              <w:t>13,955</w:t>
            </w:r>
          </w:p>
        </w:tc>
      </w:tr>
      <w:tr>
        <w:trPr>
          <w:trHeight w:val="344" w:hRule="atLeast"/>
        </w:trPr>
        <w:tc>
          <w:tcPr>
            <w:tcW w:w="5200" w:type="dxa"/>
            <w:tcBorders>
              <w:top w:val="single" w:sz="8" w:space="0" w:color="5FFF00"/>
              <w:bottom w:val="single" w:sz="8" w:space="0" w:color="5FFF00"/>
            </w:tcBorders>
          </w:tcPr>
          <w:p>
            <w:pPr>
              <w:pStyle w:val="TableParagraph"/>
              <w:spacing w:before="68"/>
              <w:ind w:left="902" w:right="675"/>
              <w:rPr>
                <w:sz w:val="18"/>
              </w:rPr>
            </w:pPr>
            <w:r>
              <w:rPr>
                <w:sz w:val="18"/>
              </w:rPr>
              <w:t>Hilton at Embassy GolfLinks, Bengaluru</w:t>
            </w:r>
          </w:p>
        </w:tc>
        <w:tc>
          <w:tcPr>
            <w:tcW w:w="1991" w:type="dxa"/>
            <w:tcBorders>
              <w:top w:val="single" w:sz="8" w:space="0" w:color="5FFF00"/>
              <w:bottom w:val="single" w:sz="8" w:space="0" w:color="5FFF00"/>
            </w:tcBorders>
          </w:tcPr>
          <w:p>
            <w:pPr>
              <w:pStyle w:val="TableParagraph"/>
              <w:spacing w:before="68"/>
              <w:ind w:right="654"/>
              <w:jc w:val="right"/>
              <w:rPr>
                <w:sz w:val="18"/>
              </w:rPr>
            </w:pPr>
            <w:r>
              <w:rPr>
                <w:w w:val="105"/>
                <w:sz w:val="18"/>
              </w:rPr>
              <w:t>4,824</w:t>
            </w:r>
          </w:p>
        </w:tc>
        <w:tc>
          <w:tcPr>
            <w:tcW w:w="1678" w:type="dxa"/>
            <w:tcBorders>
              <w:top w:val="single" w:sz="8" w:space="0" w:color="5FFF00"/>
              <w:bottom w:val="single" w:sz="8" w:space="0" w:color="5FFF00"/>
            </w:tcBorders>
          </w:tcPr>
          <w:p>
            <w:pPr>
              <w:pStyle w:val="TableParagraph"/>
              <w:spacing w:before="68"/>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8"/>
              <w:ind w:left="517" w:right="365"/>
              <w:rPr>
                <w:sz w:val="18"/>
              </w:rPr>
            </w:pPr>
            <w:r>
              <w:rPr>
                <w:w w:val="105"/>
                <w:sz w:val="18"/>
              </w:rPr>
              <w:t>4,824</w:t>
            </w:r>
          </w:p>
        </w:tc>
      </w:tr>
      <w:tr>
        <w:trPr>
          <w:trHeight w:val="337" w:hRule="atLeast"/>
        </w:trPr>
        <w:tc>
          <w:tcPr>
            <w:tcW w:w="5200" w:type="dxa"/>
            <w:tcBorders>
              <w:top w:val="single" w:sz="8" w:space="0" w:color="5FFF00"/>
              <w:bottom w:val="single" w:sz="8" w:space="0" w:color="5FFF00"/>
            </w:tcBorders>
          </w:tcPr>
          <w:p>
            <w:pPr>
              <w:pStyle w:val="TableParagraph"/>
              <w:spacing w:before="65"/>
              <w:ind w:left="901" w:right="675"/>
              <w:rPr>
                <w:sz w:val="18"/>
              </w:rPr>
            </w:pPr>
            <w:r>
              <w:rPr>
                <w:sz w:val="18"/>
              </w:rPr>
              <w:t>Embassy Energy, Bellary District, Karnataka</w:t>
            </w:r>
          </w:p>
        </w:tc>
        <w:tc>
          <w:tcPr>
            <w:tcW w:w="1991" w:type="dxa"/>
            <w:tcBorders>
              <w:top w:val="single" w:sz="8" w:space="0" w:color="5FFF00"/>
              <w:bottom w:val="single" w:sz="8" w:space="0" w:color="5FFF00"/>
            </w:tcBorders>
          </w:tcPr>
          <w:p>
            <w:pPr>
              <w:pStyle w:val="TableParagraph"/>
              <w:spacing w:before="65"/>
              <w:ind w:right="601"/>
              <w:jc w:val="right"/>
              <w:rPr>
                <w:sz w:val="18"/>
              </w:rPr>
            </w:pPr>
            <w:r>
              <w:rPr>
                <w:w w:val="105"/>
                <w:sz w:val="18"/>
              </w:rPr>
              <w:t>10,782</w:t>
            </w:r>
          </w:p>
        </w:tc>
        <w:tc>
          <w:tcPr>
            <w:tcW w:w="1678" w:type="dxa"/>
            <w:tcBorders>
              <w:top w:val="single" w:sz="8" w:space="0" w:color="5FFF00"/>
              <w:bottom w:val="single" w:sz="8" w:space="0" w:color="5FFF00"/>
            </w:tcBorders>
          </w:tcPr>
          <w:p>
            <w:pPr>
              <w:pStyle w:val="TableParagraph"/>
              <w:spacing w:before="65"/>
              <w:ind w:left="3"/>
              <w:rPr>
                <w:sz w:val="18"/>
              </w:rPr>
            </w:pPr>
            <w:r>
              <w:rPr>
                <w:w w:val="99"/>
                <w:sz w:val="18"/>
              </w:rPr>
              <w:t>-</w:t>
            </w:r>
          </w:p>
        </w:tc>
        <w:tc>
          <w:tcPr>
            <w:tcW w:w="1620" w:type="dxa"/>
            <w:tcBorders>
              <w:top w:val="single" w:sz="8" w:space="0" w:color="5FFF00"/>
              <w:bottom w:val="single" w:sz="8" w:space="0" w:color="5FFF00"/>
            </w:tcBorders>
          </w:tcPr>
          <w:p>
            <w:pPr>
              <w:pStyle w:val="TableParagraph"/>
              <w:spacing w:before="65"/>
              <w:ind w:left="519" w:right="365"/>
              <w:rPr>
                <w:sz w:val="18"/>
              </w:rPr>
            </w:pPr>
            <w:r>
              <w:rPr>
                <w:w w:val="110"/>
                <w:sz w:val="18"/>
              </w:rPr>
              <w:t>10,782</w:t>
            </w:r>
          </w:p>
        </w:tc>
      </w:tr>
      <w:tr>
        <w:trPr>
          <w:trHeight w:val="344" w:hRule="atLeast"/>
        </w:trPr>
        <w:tc>
          <w:tcPr>
            <w:tcW w:w="5200" w:type="dxa"/>
            <w:tcBorders>
              <w:top w:val="single" w:sz="8" w:space="0" w:color="5FFF00"/>
              <w:bottom w:val="single" w:sz="8" w:space="0" w:color="5FFF00"/>
            </w:tcBorders>
            <w:shd w:val="clear" w:color="auto" w:fill="D5F7AE"/>
          </w:tcPr>
          <w:p>
            <w:pPr>
              <w:pStyle w:val="TableParagraph"/>
              <w:spacing w:before="68"/>
              <w:ind w:left="904" w:right="675"/>
              <w:rPr>
                <w:sz w:val="18"/>
              </w:rPr>
            </w:pPr>
            <w:r>
              <w:rPr>
                <w:w w:val="105"/>
                <w:sz w:val="18"/>
              </w:rPr>
              <w:t>Total – 100% owned assets</w:t>
            </w:r>
          </w:p>
        </w:tc>
        <w:tc>
          <w:tcPr>
            <w:tcW w:w="1991" w:type="dxa"/>
            <w:tcBorders>
              <w:top w:val="single" w:sz="8" w:space="0" w:color="5FFF00"/>
              <w:bottom w:val="single" w:sz="8" w:space="0" w:color="5FFF00"/>
            </w:tcBorders>
            <w:shd w:val="clear" w:color="auto" w:fill="D5F7AE"/>
          </w:tcPr>
          <w:p>
            <w:pPr>
              <w:pStyle w:val="TableParagraph"/>
              <w:spacing w:before="68"/>
              <w:ind w:right="546"/>
              <w:jc w:val="right"/>
              <w:rPr>
                <w:sz w:val="18"/>
              </w:rPr>
            </w:pPr>
            <w:r>
              <w:rPr>
                <w:w w:val="105"/>
                <w:sz w:val="18"/>
              </w:rPr>
              <w:t>254,412</w:t>
            </w:r>
          </w:p>
        </w:tc>
        <w:tc>
          <w:tcPr>
            <w:tcW w:w="1678" w:type="dxa"/>
            <w:tcBorders>
              <w:top w:val="single" w:sz="8" w:space="0" w:color="5FFF00"/>
              <w:bottom w:val="single" w:sz="8" w:space="0" w:color="5FFF00"/>
            </w:tcBorders>
            <w:shd w:val="clear" w:color="auto" w:fill="D5F7AE"/>
          </w:tcPr>
          <w:p>
            <w:pPr>
              <w:pStyle w:val="TableParagraph"/>
              <w:spacing w:before="68"/>
              <w:ind w:left="523" w:right="523"/>
              <w:rPr>
                <w:sz w:val="18"/>
              </w:rPr>
            </w:pPr>
            <w:r>
              <w:rPr>
                <w:w w:val="110"/>
                <w:sz w:val="18"/>
              </w:rPr>
              <w:t>35,538</w:t>
            </w:r>
          </w:p>
        </w:tc>
        <w:tc>
          <w:tcPr>
            <w:tcW w:w="1620" w:type="dxa"/>
            <w:tcBorders>
              <w:top w:val="single" w:sz="8" w:space="0" w:color="5FFF00"/>
              <w:bottom w:val="single" w:sz="8" w:space="0" w:color="5FFF00"/>
            </w:tcBorders>
            <w:shd w:val="clear" w:color="auto" w:fill="D5F7AE"/>
          </w:tcPr>
          <w:p>
            <w:pPr>
              <w:pStyle w:val="TableParagraph"/>
              <w:spacing w:before="68"/>
              <w:ind w:left="519" w:right="365"/>
              <w:rPr>
                <w:sz w:val="18"/>
              </w:rPr>
            </w:pPr>
            <w:r>
              <w:rPr>
                <w:w w:val="110"/>
                <w:sz w:val="18"/>
              </w:rPr>
              <w:t>289,950</w:t>
            </w:r>
          </w:p>
        </w:tc>
      </w:tr>
      <w:tr>
        <w:trPr>
          <w:trHeight w:val="427" w:hRule="atLeast"/>
        </w:trPr>
        <w:tc>
          <w:tcPr>
            <w:tcW w:w="5200" w:type="dxa"/>
            <w:tcBorders>
              <w:top w:val="single" w:sz="8" w:space="0" w:color="5FFF00"/>
            </w:tcBorders>
          </w:tcPr>
          <w:p>
            <w:pPr>
              <w:pStyle w:val="TableParagraph"/>
              <w:spacing w:before="109"/>
              <w:ind w:left="904" w:right="675"/>
              <w:rPr>
                <w:sz w:val="18"/>
              </w:rPr>
            </w:pPr>
            <w:r>
              <w:rPr>
                <w:sz w:val="18"/>
              </w:rPr>
              <w:t>Embassy GolfLinks, Bengaluru</w:t>
            </w:r>
          </w:p>
        </w:tc>
        <w:tc>
          <w:tcPr>
            <w:tcW w:w="1991" w:type="dxa"/>
            <w:tcBorders>
              <w:top w:val="single" w:sz="8" w:space="0" w:color="5FFF00"/>
            </w:tcBorders>
          </w:tcPr>
          <w:p>
            <w:pPr>
              <w:pStyle w:val="TableParagraph"/>
              <w:spacing w:before="109"/>
              <w:ind w:right="601"/>
              <w:jc w:val="right"/>
              <w:rPr>
                <w:sz w:val="18"/>
              </w:rPr>
            </w:pPr>
            <w:r>
              <w:rPr>
                <w:w w:val="105"/>
                <w:sz w:val="18"/>
              </w:rPr>
              <w:t>26,174</w:t>
            </w:r>
          </w:p>
        </w:tc>
        <w:tc>
          <w:tcPr>
            <w:tcW w:w="1678" w:type="dxa"/>
            <w:tcBorders>
              <w:top w:val="single" w:sz="8" w:space="0" w:color="5FFF00"/>
            </w:tcBorders>
          </w:tcPr>
          <w:p>
            <w:pPr>
              <w:pStyle w:val="TableParagraph"/>
              <w:spacing w:before="109"/>
              <w:ind w:left="3"/>
              <w:rPr>
                <w:sz w:val="18"/>
              </w:rPr>
            </w:pPr>
            <w:r>
              <w:rPr>
                <w:w w:val="99"/>
                <w:sz w:val="18"/>
              </w:rPr>
              <w:t>-</w:t>
            </w:r>
          </w:p>
        </w:tc>
        <w:tc>
          <w:tcPr>
            <w:tcW w:w="1620" w:type="dxa"/>
            <w:tcBorders>
              <w:top w:val="single" w:sz="8" w:space="0" w:color="5FFF00"/>
            </w:tcBorders>
          </w:tcPr>
          <w:p>
            <w:pPr>
              <w:pStyle w:val="TableParagraph"/>
              <w:spacing w:before="109"/>
              <w:ind w:left="516" w:right="365"/>
              <w:rPr>
                <w:sz w:val="18"/>
              </w:rPr>
            </w:pPr>
            <w:r>
              <w:rPr>
                <w:w w:val="110"/>
                <w:sz w:val="18"/>
              </w:rPr>
              <w:t>26,174*</w:t>
            </w:r>
          </w:p>
        </w:tc>
      </w:tr>
      <w:tr>
        <w:trPr>
          <w:trHeight w:val="374" w:hRule="atLeast"/>
        </w:trPr>
        <w:tc>
          <w:tcPr>
            <w:tcW w:w="5200" w:type="dxa"/>
            <w:shd w:val="clear" w:color="auto" w:fill="5FFF00"/>
          </w:tcPr>
          <w:p>
            <w:pPr>
              <w:pStyle w:val="TableParagraph"/>
              <w:spacing w:before="87"/>
              <w:ind w:left="903" w:right="675"/>
              <w:rPr>
                <w:sz w:val="18"/>
              </w:rPr>
            </w:pPr>
            <w:r>
              <w:rPr>
                <w:color w:val="FFFFFF"/>
                <w:sz w:val="18"/>
              </w:rPr>
              <w:t>Total</w:t>
            </w:r>
          </w:p>
        </w:tc>
        <w:tc>
          <w:tcPr>
            <w:tcW w:w="1991" w:type="dxa"/>
            <w:shd w:val="clear" w:color="auto" w:fill="5FFF00"/>
          </w:tcPr>
          <w:p>
            <w:pPr>
              <w:pStyle w:val="TableParagraph"/>
              <w:spacing w:before="87"/>
              <w:ind w:right="546"/>
              <w:jc w:val="right"/>
              <w:rPr>
                <w:sz w:val="18"/>
              </w:rPr>
            </w:pPr>
            <w:r>
              <w:rPr>
                <w:color w:val="FFFFFF"/>
                <w:w w:val="105"/>
                <w:sz w:val="18"/>
              </w:rPr>
              <w:t>280,586</w:t>
            </w:r>
          </w:p>
        </w:tc>
        <w:tc>
          <w:tcPr>
            <w:tcW w:w="1678" w:type="dxa"/>
            <w:shd w:val="clear" w:color="auto" w:fill="5FFF00"/>
          </w:tcPr>
          <w:p>
            <w:pPr>
              <w:pStyle w:val="TableParagraph"/>
              <w:spacing w:before="87"/>
              <w:ind w:left="523" w:right="523"/>
              <w:rPr>
                <w:sz w:val="18"/>
              </w:rPr>
            </w:pPr>
            <w:r>
              <w:rPr>
                <w:color w:val="FFFFFF"/>
                <w:w w:val="110"/>
                <w:sz w:val="18"/>
              </w:rPr>
              <w:t>35,538</w:t>
            </w:r>
          </w:p>
        </w:tc>
        <w:tc>
          <w:tcPr>
            <w:tcW w:w="1620" w:type="dxa"/>
            <w:shd w:val="clear" w:color="auto" w:fill="5FFF00"/>
          </w:tcPr>
          <w:p>
            <w:pPr>
              <w:pStyle w:val="TableParagraph"/>
              <w:spacing w:before="87"/>
              <w:ind w:left="519" w:right="365"/>
              <w:rPr>
                <w:sz w:val="18"/>
              </w:rPr>
            </w:pPr>
            <w:r>
              <w:rPr>
                <w:color w:val="FFFFFF"/>
                <w:w w:val="110"/>
                <w:sz w:val="18"/>
              </w:rPr>
              <w:t>316,124</w:t>
            </w:r>
          </w:p>
        </w:tc>
      </w:tr>
    </w:tbl>
    <w:p>
      <w:pPr>
        <w:spacing w:before="13"/>
        <w:ind w:left="680" w:right="0" w:firstLine="0"/>
        <w:jc w:val="left"/>
        <w:rPr>
          <w:i/>
          <w:sz w:val="18"/>
        </w:rPr>
      </w:pPr>
      <w:r>
        <w:rPr>
          <w:i/>
          <w:sz w:val="18"/>
        </w:rPr>
        <w:t>* Note: Indicative of Embassy REIT’s economic interest in the asset, viz. 50%</w:t>
      </w:r>
    </w:p>
    <w:sectPr>
      <w:pgSz w:w="11910" w:h="16840"/>
      <w:pgMar w:header="720" w:footer="862" w:top="1660" w:bottom="1060" w:left="40" w:right="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rebuchet MS">
    <w:altName w:val="Trebuchet MS"/>
    <w:charset w:val="0"/>
    <w:family w:val="swiss"/>
    <w:pitch w:val="variable"/>
  </w:font>
  <w:font w:name="Wingdings">
    <w:altName w:val="Wingdings"/>
    <w:charset w:val="2"/>
    <w:family w:val="auto"/>
    <w:pitch w:val="variable"/>
  </w:font>
  <w:font w:name="Courier New">
    <w:altName w:val="Courier New"/>
    <w:charset w:val="0"/>
    <w:family w:val="modern"/>
    <w:pitch w:val="fixed"/>
  </w:font>
  <w:font w:name="Symbol">
    <w:altName w:val="Symbol"/>
    <w:charset w:val="2"/>
    <w:family w:val="roman"/>
    <w:pitch w:val="variable"/>
  </w:font>
  <w:font w:name="Carlito">
    <w:altName w:val="Carlito"/>
    <w:charset w:val="0"/>
    <w:family w:val="swiss"/>
    <w:pitch w:val="variable"/>
  </w:font>
  <w:font w:name="Verdana">
    <w:altName w:val="Verdana"/>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18048">
          <wp:simplePos x="0" y="0"/>
          <wp:positionH relativeFrom="page">
            <wp:posOffset>6400347</wp:posOffset>
          </wp:positionH>
          <wp:positionV relativeFrom="page">
            <wp:posOffset>9126025</wp:posOffset>
          </wp:positionV>
          <wp:extent cx="909288" cy="433873"/>
          <wp:effectExtent l="0" t="0" r="0" b="0"/>
          <wp:wrapNone/>
          <wp:docPr id="5" name="image4.png"/>
          <wp:cNvGraphicFramePr>
            <a:graphicFrameLocks noChangeAspect="1"/>
          </wp:cNvGraphicFramePr>
          <a:graphic>
            <a:graphicData uri="http://schemas.openxmlformats.org/drawingml/2006/picture">
              <pic:pic>
                <pic:nvPicPr>
                  <pic:cNvPr id="6" name="image4.png"/>
                  <pic:cNvPicPr/>
                </pic:nvPicPr>
                <pic:blipFill>
                  <a:blip r:embed="rId1" cstate="print"/>
                  <a:stretch>
                    <a:fillRect/>
                  </a:stretch>
                </pic:blipFill>
                <pic:spPr>
                  <a:xfrm>
                    <a:off x="0" y="0"/>
                    <a:ext cx="909288" cy="433873"/>
                  </a:xfrm>
                  <a:prstGeom prst="rect">
                    <a:avLst/>
                  </a:prstGeom>
                </pic:spPr>
              </pic:pic>
            </a:graphicData>
          </a:graphic>
        </wp:anchor>
      </w:drawing>
    </w:r>
    <w:r>
      <w:rPr/>
      <w:drawing>
        <wp:anchor distT="0" distB="0" distL="0" distR="0" allowOverlap="1" layoutInCell="1" locked="0" behindDoc="1" simplePos="0" relativeHeight="468418560">
          <wp:simplePos x="0" y="0"/>
          <wp:positionH relativeFrom="page">
            <wp:posOffset>5172075</wp:posOffset>
          </wp:positionH>
          <wp:positionV relativeFrom="page">
            <wp:posOffset>9228467</wp:posOffset>
          </wp:positionV>
          <wp:extent cx="1079500" cy="300457"/>
          <wp:effectExtent l="0" t="0" r="0" b="0"/>
          <wp:wrapNone/>
          <wp:docPr id="7" name="image3.jpeg"/>
          <wp:cNvGraphicFramePr>
            <a:graphicFrameLocks noChangeAspect="1"/>
          </wp:cNvGraphicFramePr>
          <a:graphic>
            <a:graphicData uri="http://schemas.openxmlformats.org/drawingml/2006/picture">
              <pic:pic>
                <pic:nvPicPr>
                  <pic:cNvPr id="8" name="image3.jpeg"/>
                  <pic:cNvPicPr/>
                </pic:nvPicPr>
                <pic:blipFill>
                  <a:blip r:embed="rId2" cstate="print"/>
                  <a:stretch>
                    <a:fillRect/>
                  </a:stretch>
                </pic:blipFill>
                <pic:spPr>
                  <a:xfrm>
                    <a:off x="0" y="0"/>
                    <a:ext cx="1079500" cy="300457"/>
                  </a:xfrm>
                  <a:prstGeom prst="rect">
                    <a:avLst/>
                  </a:prstGeom>
                </pic:spPr>
              </pic:pic>
            </a:graphicData>
          </a:graphic>
        </wp:anchor>
      </w:drawing>
    </w:r>
    <w:r>
      <w:rPr/>
      <w:pict>
        <v:shape style="position:absolute;margin-left:72.584pt;margin-top:733.549316pt;width:93.8pt;height:8.65pt;mso-position-horizontal-relative:page;mso-position-vertical-relative:page;z-index:-34897408" type="#_x0000_t202" filled="false" stroked="false">
          <v:textbox inset="0,0,0,0">
            <w:txbxContent>
              <w:p>
                <w:pPr>
                  <w:spacing w:before="15"/>
                  <w:ind w:left="20" w:right="0" w:firstLine="0"/>
                  <w:jc w:val="left"/>
                  <w:rPr>
                    <w:rFonts w:ascii="Times New Roman"/>
                    <w:sz w:val="12"/>
                  </w:rPr>
                </w:pPr>
                <w:r>
                  <w:rPr>
                    <w:rFonts w:ascii="Times New Roman"/>
                    <w:sz w:val="12"/>
                  </w:rPr>
                  <w:t>Summary Valuation Report | Page </w:t>
                </w:r>
                <w:r>
                  <w:rPr/>
                  <w:fldChar w:fldCharType="begin"/>
                </w:r>
                <w:r>
                  <w:rPr>
                    <w:rFonts w:ascii="Times New Roman"/>
                    <w:sz w:val="12"/>
                  </w:rPr>
                  <w:instrText> PAGE </w:instrText>
                </w:r>
                <w:r>
                  <w:rPr/>
                  <w:fldChar w:fldCharType="separate"/>
                </w:r>
                <w:r>
                  <w:rPr/>
                  <w:t>12</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8.302673pt;width:77.350pt;height:9.2pt;mso-position-horizontal-relative:page;mso-position-vertical-relative:page;z-index:-34883584" type="#_x0000_t202" filled="false" stroked="false">
          <v:textbox inset="0,0,0,0">
            <w:txbxContent>
              <w:p>
                <w:pPr>
                  <w:spacing w:before="23"/>
                  <w:ind w:left="20" w:right="0" w:firstLine="0"/>
                  <w:jc w:val="left"/>
                  <w:rPr>
                    <w:sz w:val="12"/>
                  </w:rPr>
                </w:pPr>
                <w:r>
                  <w:rPr>
                    <w:color w:val="404040"/>
                    <w:sz w:val="12"/>
                  </w:rPr>
                  <w:t>Valuation Report | Page 101</w:t>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34432">
          <wp:simplePos x="0" y="0"/>
          <wp:positionH relativeFrom="page">
            <wp:posOffset>4814570</wp:posOffset>
          </wp:positionH>
          <wp:positionV relativeFrom="page">
            <wp:posOffset>10097134</wp:posOffset>
          </wp:positionV>
          <wp:extent cx="1079500" cy="300457"/>
          <wp:effectExtent l="0" t="0" r="0" b="0"/>
          <wp:wrapNone/>
          <wp:docPr id="97" name="image3.jpeg"/>
          <wp:cNvGraphicFramePr>
            <a:graphicFrameLocks noChangeAspect="1"/>
          </wp:cNvGraphicFramePr>
          <a:graphic>
            <a:graphicData uri="http://schemas.openxmlformats.org/drawingml/2006/picture">
              <pic:pic>
                <pic:nvPicPr>
                  <pic:cNvPr id="98"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34944">
          <wp:simplePos x="0" y="0"/>
          <wp:positionH relativeFrom="page">
            <wp:posOffset>6006647</wp:posOffset>
          </wp:positionH>
          <wp:positionV relativeFrom="page">
            <wp:posOffset>9963590</wp:posOffset>
          </wp:positionV>
          <wp:extent cx="909288" cy="433873"/>
          <wp:effectExtent l="0" t="0" r="0" b="0"/>
          <wp:wrapNone/>
          <wp:docPr id="99" name="image4.png"/>
          <wp:cNvGraphicFramePr>
            <a:graphicFrameLocks noChangeAspect="1"/>
          </wp:cNvGraphicFramePr>
          <a:graphic>
            <a:graphicData uri="http://schemas.openxmlformats.org/drawingml/2006/picture">
              <pic:pic>
                <pic:nvPicPr>
                  <pic:cNvPr id="100"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44.360001pt;margin-top:804.542664pt;width:79.350pt;height:9.2pt;mso-position-horizontal-relative:page;mso-position-vertical-relative:page;z-index:-34881024"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102</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0.720001pt;margin-top:558.302673pt;width:77.2pt;height:9.2pt;mso-position-horizontal-relative:page;mso-position-vertical-relative:page;z-index:-34880512" type="#_x0000_t202" filled="false" stroked="false">
          <v:textbox inset="0,0,0,0">
            <w:txbxContent>
              <w:p>
                <w:pPr>
                  <w:spacing w:before="23"/>
                  <w:ind w:left="20" w:right="0" w:firstLine="0"/>
                  <w:jc w:val="left"/>
                  <w:rPr>
                    <w:sz w:val="12"/>
                  </w:rPr>
                </w:pPr>
                <w:r>
                  <w:rPr>
                    <w:color w:val="404040"/>
                    <w:sz w:val="12"/>
                  </w:rPr>
                  <w:t>Valuation Report | Page 118</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37504">
          <wp:simplePos x="0" y="0"/>
          <wp:positionH relativeFrom="page">
            <wp:posOffset>4938395</wp:posOffset>
          </wp:positionH>
          <wp:positionV relativeFrom="page">
            <wp:posOffset>10050779</wp:posOffset>
          </wp:positionV>
          <wp:extent cx="1079500" cy="300457"/>
          <wp:effectExtent l="0" t="0" r="0" b="0"/>
          <wp:wrapNone/>
          <wp:docPr id="117" name="image3.jpeg"/>
          <wp:cNvGraphicFramePr>
            <a:graphicFrameLocks noChangeAspect="1"/>
          </wp:cNvGraphicFramePr>
          <a:graphic>
            <a:graphicData uri="http://schemas.openxmlformats.org/drawingml/2006/picture">
              <pic:pic>
                <pic:nvPicPr>
                  <pic:cNvPr id="118"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38016">
          <wp:simplePos x="0" y="0"/>
          <wp:positionH relativeFrom="page">
            <wp:posOffset>6180637</wp:posOffset>
          </wp:positionH>
          <wp:positionV relativeFrom="page">
            <wp:posOffset>9916600</wp:posOffset>
          </wp:positionV>
          <wp:extent cx="909288" cy="433873"/>
          <wp:effectExtent l="0" t="0" r="0" b="0"/>
          <wp:wrapNone/>
          <wp:docPr id="119" name="image4.png"/>
          <wp:cNvGraphicFramePr>
            <a:graphicFrameLocks noChangeAspect="1"/>
          </wp:cNvGraphicFramePr>
          <a:graphic>
            <a:graphicData uri="http://schemas.openxmlformats.org/drawingml/2006/picture">
              <pic:pic>
                <pic:nvPicPr>
                  <pic:cNvPr id="120"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46.16pt;margin-top:804.542664pt;width:79.2pt;height:9.2pt;mso-position-horizontal-relative:page;mso-position-vertical-relative:page;z-index:-34877952"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119</w:t>
                </w:r>
                <w:r>
                  <w:rPr/>
                  <w:fldChar w:fldCharType="end"/>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0.720001pt;margin-top:558.302673pt;width:77.2pt;height:9.2pt;mso-position-horizontal-relative:page;mso-position-vertical-relative:page;z-index:-34877440" type="#_x0000_t202" filled="false" stroked="false">
          <v:textbox inset="0,0,0,0">
            <w:txbxContent>
              <w:p>
                <w:pPr>
                  <w:spacing w:before="23"/>
                  <w:ind w:left="20" w:right="0" w:firstLine="0"/>
                  <w:jc w:val="left"/>
                  <w:rPr>
                    <w:sz w:val="12"/>
                  </w:rPr>
                </w:pPr>
                <w:r>
                  <w:rPr>
                    <w:color w:val="404040"/>
                    <w:sz w:val="12"/>
                  </w:rPr>
                  <w:t>Valuation Report | Page 121</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40576">
          <wp:simplePos x="0" y="0"/>
          <wp:positionH relativeFrom="page">
            <wp:posOffset>6180637</wp:posOffset>
          </wp:positionH>
          <wp:positionV relativeFrom="page">
            <wp:posOffset>9832780</wp:posOffset>
          </wp:positionV>
          <wp:extent cx="909288" cy="433873"/>
          <wp:effectExtent l="0" t="0" r="0" b="0"/>
          <wp:wrapNone/>
          <wp:docPr id="129" name="image4.png"/>
          <wp:cNvGraphicFramePr>
            <a:graphicFrameLocks noChangeAspect="1"/>
          </wp:cNvGraphicFramePr>
          <a:graphic>
            <a:graphicData uri="http://schemas.openxmlformats.org/drawingml/2006/picture">
              <pic:pic>
                <pic:nvPicPr>
                  <pic:cNvPr id="130" name="image4.png"/>
                  <pic:cNvPicPr/>
                </pic:nvPicPr>
                <pic:blipFill>
                  <a:blip r:embed="rId1" cstate="print"/>
                  <a:stretch>
                    <a:fillRect/>
                  </a:stretch>
                </pic:blipFill>
                <pic:spPr>
                  <a:xfrm>
                    <a:off x="0" y="0"/>
                    <a:ext cx="909288" cy="433873"/>
                  </a:xfrm>
                  <a:prstGeom prst="rect">
                    <a:avLst/>
                  </a:prstGeom>
                </pic:spPr>
              </pic:pic>
            </a:graphicData>
          </a:graphic>
        </wp:anchor>
      </w:drawing>
    </w:r>
    <w:r>
      <w:rPr/>
      <w:drawing>
        <wp:anchor distT="0" distB="0" distL="0" distR="0" allowOverlap="1" layoutInCell="1" locked="0" behindDoc="1" simplePos="0" relativeHeight="468441088">
          <wp:simplePos x="0" y="0"/>
          <wp:positionH relativeFrom="page">
            <wp:posOffset>4938395</wp:posOffset>
          </wp:positionH>
          <wp:positionV relativeFrom="page">
            <wp:posOffset>9950450</wp:posOffset>
          </wp:positionV>
          <wp:extent cx="1079500" cy="300457"/>
          <wp:effectExtent l="0" t="0" r="0" b="0"/>
          <wp:wrapNone/>
          <wp:docPr id="131" name="image3.jpeg"/>
          <wp:cNvGraphicFramePr>
            <a:graphicFrameLocks noChangeAspect="1"/>
          </wp:cNvGraphicFramePr>
          <a:graphic>
            <a:graphicData uri="http://schemas.openxmlformats.org/drawingml/2006/picture">
              <pic:pic>
                <pic:nvPicPr>
                  <pic:cNvPr id="132" name="image3.jpeg"/>
                  <pic:cNvPicPr/>
                </pic:nvPicPr>
                <pic:blipFill>
                  <a:blip r:embed="rId2" cstate="print"/>
                  <a:stretch>
                    <a:fillRect/>
                  </a:stretch>
                </pic:blipFill>
                <pic:spPr>
                  <a:xfrm>
                    <a:off x="0" y="0"/>
                    <a:ext cx="1079500" cy="300457"/>
                  </a:xfrm>
                  <a:prstGeom prst="rect">
                    <a:avLst/>
                  </a:prstGeom>
                </pic:spPr>
              </pic:pic>
            </a:graphicData>
          </a:graphic>
        </wp:anchor>
      </w:drawing>
    </w:r>
    <w:r>
      <w:rPr/>
      <w:pict>
        <v:shape style="position:absolute;margin-left:46.16pt;margin-top:796.62262pt;width:79.2pt;height:9.2pt;mso-position-horizontal-relative:page;mso-position-vertical-relative:page;z-index:-34874880"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122</w:t>
                </w:r>
                <w:r>
                  <w:rPr/>
                  <w:fldChar w:fldCharType="end"/>
                </w:r>
              </w:p>
            </w:txbxContent>
          </v:textbox>
          <w10:wrap type="non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1.342651pt;width:77.350pt;height:9.2pt;mso-position-horizontal-relative:page;mso-position-vertical-relative:page;z-index:-34874368" type="#_x0000_t202" filled="false" stroked="false">
          <v:textbox inset="0,0,0,0">
            <w:txbxContent>
              <w:p>
                <w:pPr>
                  <w:spacing w:before="23"/>
                  <w:ind w:left="20" w:right="0" w:firstLine="0"/>
                  <w:jc w:val="left"/>
                  <w:rPr>
                    <w:sz w:val="12"/>
                  </w:rPr>
                </w:pPr>
                <w:r>
                  <w:rPr>
                    <w:color w:val="404040"/>
                    <w:sz w:val="12"/>
                  </w:rPr>
                  <w:t>Valuation Report | Page 136</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43648">
          <wp:simplePos x="0" y="0"/>
          <wp:positionH relativeFrom="page">
            <wp:posOffset>4756150</wp:posOffset>
          </wp:positionH>
          <wp:positionV relativeFrom="page">
            <wp:posOffset>10109936</wp:posOffset>
          </wp:positionV>
          <wp:extent cx="1079500" cy="300457"/>
          <wp:effectExtent l="0" t="0" r="0" b="0"/>
          <wp:wrapNone/>
          <wp:docPr id="147" name="image3.jpeg"/>
          <wp:cNvGraphicFramePr>
            <a:graphicFrameLocks noChangeAspect="1"/>
          </wp:cNvGraphicFramePr>
          <a:graphic>
            <a:graphicData uri="http://schemas.openxmlformats.org/drawingml/2006/picture">
              <pic:pic>
                <pic:nvPicPr>
                  <pic:cNvPr id="148"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44160">
          <wp:simplePos x="0" y="0"/>
          <wp:positionH relativeFrom="page">
            <wp:posOffset>5945687</wp:posOffset>
          </wp:positionH>
          <wp:positionV relativeFrom="page">
            <wp:posOffset>9969940</wp:posOffset>
          </wp:positionV>
          <wp:extent cx="909288" cy="433873"/>
          <wp:effectExtent l="0" t="0" r="0" b="0"/>
          <wp:wrapNone/>
          <wp:docPr id="149" name="image4.png"/>
          <wp:cNvGraphicFramePr>
            <a:graphicFrameLocks noChangeAspect="1"/>
          </wp:cNvGraphicFramePr>
          <a:graphic>
            <a:graphicData uri="http://schemas.openxmlformats.org/drawingml/2006/picture">
              <pic:pic>
                <pic:nvPicPr>
                  <pic:cNvPr id="150"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36.799999pt;margin-top:805.502625pt;width:79.350pt;height:9.2pt;mso-position-horizontal-relative:page;mso-position-vertical-relative:page;z-index:-34871808"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137</w:t>
                </w:r>
                <w:r>
                  <w:rPr/>
                  <w:fldChar w:fldCharType="end"/>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9.262634pt;width:77.350pt;height:9.2pt;mso-position-horizontal-relative:page;mso-position-vertical-relative:page;z-index:-34871296" type="#_x0000_t202" filled="false" stroked="false">
          <v:textbox inset="0,0,0,0">
            <w:txbxContent>
              <w:p>
                <w:pPr>
                  <w:spacing w:before="23"/>
                  <w:ind w:left="20" w:right="0" w:firstLine="0"/>
                  <w:jc w:val="left"/>
                  <w:rPr>
                    <w:sz w:val="12"/>
                  </w:rPr>
                </w:pPr>
                <w:r>
                  <w:rPr>
                    <w:color w:val="404040"/>
                    <w:sz w:val="12"/>
                  </w:rPr>
                  <w:t>Valuation Report | Page 152</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46720">
          <wp:simplePos x="0" y="0"/>
          <wp:positionH relativeFrom="page">
            <wp:posOffset>4756150</wp:posOffset>
          </wp:positionH>
          <wp:positionV relativeFrom="page">
            <wp:posOffset>10109936</wp:posOffset>
          </wp:positionV>
          <wp:extent cx="1079500" cy="300457"/>
          <wp:effectExtent l="0" t="0" r="0" b="0"/>
          <wp:wrapNone/>
          <wp:docPr id="165" name="image3.jpeg"/>
          <wp:cNvGraphicFramePr>
            <a:graphicFrameLocks noChangeAspect="1"/>
          </wp:cNvGraphicFramePr>
          <a:graphic>
            <a:graphicData uri="http://schemas.openxmlformats.org/drawingml/2006/picture">
              <pic:pic>
                <pic:nvPicPr>
                  <pic:cNvPr id="166"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47232">
          <wp:simplePos x="0" y="0"/>
          <wp:positionH relativeFrom="page">
            <wp:posOffset>5945687</wp:posOffset>
          </wp:positionH>
          <wp:positionV relativeFrom="page">
            <wp:posOffset>9969940</wp:posOffset>
          </wp:positionV>
          <wp:extent cx="909288" cy="433873"/>
          <wp:effectExtent l="0" t="0" r="0" b="0"/>
          <wp:wrapNone/>
          <wp:docPr id="167" name="image4.png"/>
          <wp:cNvGraphicFramePr>
            <a:graphicFrameLocks noChangeAspect="1"/>
          </wp:cNvGraphicFramePr>
          <a:graphic>
            <a:graphicData uri="http://schemas.openxmlformats.org/drawingml/2006/picture">
              <pic:pic>
                <pic:nvPicPr>
                  <pic:cNvPr id="168"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36.799999pt;margin-top:805.502625pt;width:79.350pt;height:9.2pt;mso-position-horizontal-relative:page;mso-position-vertical-relative:page;z-index:-34868736"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153</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20608">
          <wp:simplePos x="0" y="0"/>
          <wp:positionH relativeFrom="page">
            <wp:posOffset>8591732</wp:posOffset>
          </wp:positionH>
          <wp:positionV relativeFrom="page">
            <wp:posOffset>6840025</wp:posOffset>
          </wp:positionV>
          <wp:extent cx="909288" cy="433873"/>
          <wp:effectExtent l="0" t="0" r="0" b="0"/>
          <wp:wrapNone/>
          <wp:docPr id="37" name="image4.png"/>
          <wp:cNvGraphicFramePr>
            <a:graphicFrameLocks noChangeAspect="1"/>
          </wp:cNvGraphicFramePr>
          <a:graphic>
            <a:graphicData uri="http://schemas.openxmlformats.org/drawingml/2006/picture">
              <pic:pic>
                <pic:nvPicPr>
                  <pic:cNvPr id="38" name="image4.png"/>
                  <pic:cNvPicPr/>
                </pic:nvPicPr>
                <pic:blipFill>
                  <a:blip r:embed="rId1" cstate="print"/>
                  <a:stretch>
                    <a:fillRect/>
                  </a:stretch>
                </pic:blipFill>
                <pic:spPr>
                  <a:xfrm>
                    <a:off x="0" y="0"/>
                    <a:ext cx="909288" cy="433873"/>
                  </a:xfrm>
                  <a:prstGeom prst="rect">
                    <a:avLst/>
                  </a:prstGeom>
                </pic:spPr>
              </pic:pic>
            </a:graphicData>
          </a:graphic>
        </wp:anchor>
      </w:drawing>
    </w:r>
    <w:r>
      <w:rPr/>
      <w:drawing>
        <wp:anchor distT="0" distB="0" distL="0" distR="0" allowOverlap="1" layoutInCell="1" locked="0" behindDoc="1" simplePos="0" relativeHeight="468421120">
          <wp:simplePos x="0" y="0"/>
          <wp:positionH relativeFrom="page">
            <wp:posOffset>7363459</wp:posOffset>
          </wp:positionH>
          <wp:positionV relativeFrom="page">
            <wp:posOffset>6942467</wp:posOffset>
          </wp:positionV>
          <wp:extent cx="1079500" cy="300457"/>
          <wp:effectExtent l="0" t="0" r="0" b="0"/>
          <wp:wrapNone/>
          <wp:docPr id="39" name="image3.jpeg"/>
          <wp:cNvGraphicFramePr>
            <a:graphicFrameLocks noChangeAspect="1"/>
          </wp:cNvGraphicFramePr>
          <a:graphic>
            <a:graphicData uri="http://schemas.openxmlformats.org/drawingml/2006/picture">
              <pic:pic>
                <pic:nvPicPr>
                  <pic:cNvPr id="40" name="image3.jpeg"/>
                  <pic:cNvPicPr/>
                </pic:nvPicPr>
                <pic:blipFill>
                  <a:blip r:embed="rId2" cstate="print"/>
                  <a:stretch>
                    <a:fillRect/>
                  </a:stretch>
                </pic:blipFill>
                <pic:spPr>
                  <a:xfrm>
                    <a:off x="0" y="0"/>
                    <a:ext cx="1079500" cy="300457"/>
                  </a:xfrm>
                  <a:prstGeom prst="rect">
                    <a:avLst/>
                  </a:prstGeom>
                </pic:spPr>
              </pic:pic>
            </a:graphicData>
          </a:graphic>
        </wp:anchor>
      </w:drawing>
    </w:r>
    <w:r>
      <w:rPr/>
      <w:pict>
        <v:shape style="position:absolute;margin-left:72.559998pt;margin-top:553.573303pt;width:93.8pt;height:8.65pt;mso-position-horizontal-relative:page;mso-position-vertical-relative:page;z-index:-34894848" type="#_x0000_t202" filled="false" stroked="false">
          <v:textbox inset="0,0,0,0">
            <w:txbxContent>
              <w:p>
                <w:pPr>
                  <w:spacing w:before="15"/>
                  <w:ind w:left="20" w:right="0" w:firstLine="0"/>
                  <w:jc w:val="left"/>
                  <w:rPr>
                    <w:rFonts w:ascii="Times New Roman"/>
                    <w:sz w:val="12"/>
                  </w:rPr>
                </w:pPr>
                <w:r>
                  <w:rPr>
                    <w:rFonts w:ascii="Times New Roman"/>
                    <w:sz w:val="12"/>
                  </w:rPr>
                  <w:t>Summary Valuation Report | Page </w:t>
                </w:r>
                <w:r>
                  <w:rPr/>
                  <w:fldChar w:fldCharType="begin"/>
                </w:r>
                <w:r>
                  <w:rPr>
                    <w:rFonts w:ascii="Times New Roman"/>
                    <w:sz w:val="12"/>
                  </w:rPr>
                  <w:instrText> PAGE </w:instrText>
                </w:r>
                <w:r>
                  <w:rPr/>
                  <w:fldChar w:fldCharType="separate"/>
                </w:r>
                <w:r>
                  <w:rPr/>
                  <w:t>42</w:t>
                </w:r>
                <w:r>
                  <w:rPr/>
                  <w:fldChar w:fldCharType="end"/>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9.262634pt;width:77.350pt;height:9.2pt;mso-position-horizontal-relative:page;mso-position-vertical-relative:page;z-index:-34868224" type="#_x0000_t202" filled="false" stroked="false">
          <v:textbox inset="0,0,0,0">
            <w:txbxContent>
              <w:p>
                <w:pPr>
                  <w:spacing w:before="23"/>
                  <w:ind w:left="20" w:right="0" w:firstLine="0"/>
                  <w:jc w:val="left"/>
                  <w:rPr>
                    <w:sz w:val="12"/>
                  </w:rPr>
                </w:pPr>
                <w:r>
                  <w:rPr>
                    <w:color w:val="404040"/>
                    <w:sz w:val="12"/>
                  </w:rPr>
                  <w:t>Valuation Report | Page 155</w:t>
                </w:r>
              </w:p>
            </w:txbxContent>
          </v:textbox>
          <w10:wrap type="none"/>
        </v:shape>
      </w:pict>
    </w: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49792">
          <wp:simplePos x="0" y="0"/>
          <wp:positionH relativeFrom="page">
            <wp:posOffset>4756150</wp:posOffset>
          </wp:positionH>
          <wp:positionV relativeFrom="page">
            <wp:posOffset>10111841</wp:posOffset>
          </wp:positionV>
          <wp:extent cx="1079500" cy="300457"/>
          <wp:effectExtent l="0" t="0" r="0" b="0"/>
          <wp:wrapNone/>
          <wp:docPr id="177" name="image3.jpeg"/>
          <wp:cNvGraphicFramePr>
            <a:graphicFrameLocks noChangeAspect="1"/>
          </wp:cNvGraphicFramePr>
          <a:graphic>
            <a:graphicData uri="http://schemas.openxmlformats.org/drawingml/2006/picture">
              <pic:pic>
                <pic:nvPicPr>
                  <pic:cNvPr id="178"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50304">
          <wp:simplePos x="0" y="0"/>
          <wp:positionH relativeFrom="page">
            <wp:posOffset>5945687</wp:posOffset>
          </wp:positionH>
          <wp:positionV relativeFrom="page">
            <wp:posOffset>9977560</wp:posOffset>
          </wp:positionV>
          <wp:extent cx="909288" cy="433873"/>
          <wp:effectExtent l="0" t="0" r="0" b="0"/>
          <wp:wrapNone/>
          <wp:docPr id="179" name="image4.png"/>
          <wp:cNvGraphicFramePr>
            <a:graphicFrameLocks noChangeAspect="1"/>
          </wp:cNvGraphicFramePr>
          <a:graphic>
            <a:graphicData uri="http://schemas.openxmlformats.org/drawingml/2006/picture">
              <pic:pic>
                <pic:nvPicPr>
                  <pic:cNvPr id="180"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36.799999pt;margin-top:805.502625pt;width:79.350pt;height:9.2pt;mso-position-horizontal-relative:page;mso-position-vertical-relative:page;z-index:-34865664"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156</w:t>
                </w:r>
                <w:r>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9.262634pt;width:77.350pt;height:9.2pt;mso-position-horizontal-relative:page;mso-position-vertical-relative:page;z-index:-34865152" type="#_x0000_t202" filled="false" stroked="false">
          <v:textbox inset="0,0,0,0">
            <w:txbxContent>
              <w:p>
                <w:pPr>
                  <w:spacing w:before="23"/>
                  <w:ind w:left="20" w:right="0" w:firstLine="0"/>
                  <w:jc w:val="left"/>
                  <w:rPr>
                    <w:sz w:val="12"/>
                  </w:rPr>
                </w:pPr>
                <w:r>
                  <w:rPr>
                    <w:color w:val="404040"/>
                    <w:sz w:val="12"/>
                  </w:rPr>
                  <w:t>Valuation Report | Page 165</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52864">
          <wp:simplePos x="0" y="0"/>
          <wp:positionH relativeFrom="page">
            <wp:posOffset>4756150</wp:posOffset>
          </wp:positionH>
          <wp:positionV relativeFrom="page">
            <wp:posOffset>10111841</wp:posOffset>
          </wp:positionV>
          <wp:extent cx="1079500" cy="300457"/>
          <wp:effectExtent l="0" t="0" r="0" b="0"/>
          <wp:wrapNone/>
          <wp:docPr id="195" name="image3.jpeg"/>
          <wp:cNvGraphicFramePr>
            <a:graphicFrameLocks noChangeAspect="1"/>
          </wp:cNvGraphicFramePr>
          <a:graphic>
            <a:graphicData uri="http://schemas.openxmlformats.org/drawingml/2006/picture">
              <pic:pic>
                <pic:nvPicPr>
                  <pic:cNvPr id="196"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53376">
          <wp:simplePos x="0" y="0"/>
          <wp:positionH relativeFrom="page">
            <wp:posOffset>5945687</wp:posOffset>
          </wp:positionH>
          <wp:positionV relativeFrom="page">
            <wp:posOffset>9977560</wp:posOffset>
          </wp:positionV>
          <wp:extent cx="909288" cy="433873"/>
          <wp:effectExtent l="0" t="0" r="0" b="0"/>
          <wp:wrapNone/>
          <wp:docPr id="197" name="image4.png"/>
          <wp:cNvGraphicFramePr>
            <a:graphicFrameLocks noChangeAspect="1"/>
          </wp:cNvGraphicFramePr>
          <a:graphic>
            <a:graphicData uri="http://schemas.openxmlformats.org/drawingml/2006/picture">
              <pic:pic>
                <pic:nvPicPr>
                  <pic:cNvPr id="198"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36.799999pt;margin-top:805.502625pt;width:79.350pt;height:9.2pt;mso-position-horizontal-relative:page;mso-position-vertical-relative:page;z-index:-34862592"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166</w:t>
                </w:r>
                <w:r>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9.262634pt;width:77.350pt;height:9.2pt;mso-position-horizontal-relative:page;mso-position-vertical-relative:page;z-index:-34862080" type="#_x0000_t202" filled="false" stroked="false">
          <v:textbox inset="0,0,0,0">
            <w:txbxContent>
              <w:p>
                <w:pPr>
                  <w:spacing w:before="23"/>
                  <w:ind w:left="20" w:right="0" w:firstLine="0"/>
                  <w:jc w:val="left"/>
                  <w:rPr>
                    <w:sz w:val="12"/>
                  </w:rPr>
                </w:pPr>
                <w:r>
                  <w:rPr>
                    <w:color w:val="404040"/>
                    <w:sz w:val="12"/>
                  </w:rPr>
                  <w:t>Valuation Report | Page 172</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55936">
          <wp:simplePos x="0" y="0"/>
          <wp:positionH relativeFrom="page">
            <wp:posOffset>4756150</wp:posOffset>
          </wp:positionH>
          <wp:positionV relativeFrom="page">
            <wp:posOffset>10111841</wp:posOffset>
          </wp:positionV>
          <wp:extent cx="1079500" cy="300457"/>
          <wp:effectExtent l="0" t="0" r="0" b="0"/>
          <wp:wrapNone/>
          <wp:docPr id="207" name="image3.jpeg"/>
          <wp:cNvGraphicFramePr>
            <a:graphicFrameLocks noChangeAspect="1"/>
          </wp:cNvGraphicFramePr>
          <a:graphic>
            <a:graphicData uri="http://schemas.openxmlformats.org/drawingml/2006/picture">
              <pic:pic>
                <pic:nvPicPr>
                  <pic:cNvPr id="208"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56448">
          <wp:simplePos x="0" y="0"/>
          <wp:positionH relativeFrom="page">
            <wp:posOffset>5945687</wp:posOffset>
          </wp:positionH>
          <wp:positionV relativeFrom="page">
            <wp:posOffset>9977560</wp:posOffset>
          </wp:positionV>
          <wp:extent cx="909288" cy="433873"/>
          <wp:effectExtent l="0" t="0" r="0" b="0"/>
          <wp:wrapNone/>
          <wp:docPr id="209" name="image4.png"/>
          <wp:cNvGraphicFramePr>
            <a:graphicFrameLocks noChangeAspect="1"/>
          </wp:cNvGraphicFramePr>
          <a:graphic>
            <a:graphicData uri="http://schemas.openxmlformats.org/drawingml/2006/picture">
              <pic:pic>
                <pic:nvPicPr>
                  <pic:cNvPr id="210"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36.799999pt;margin-top:805.502625pt;width:79.350pt;height:9.2pt;mso-position-horizontal-relative:page;mso-position-vertical-relative:page;z-index:-34859520"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173</w:t>
                </w:r>
                <w:r>
                  <w:rPr/>
                  <w:fldChar w:fldCharType="end"/>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9.262634pt;width:77.350pt;height:9.2pt;mso-position-horizontal-relative:page;mso-position-vertical-relative:page;z-index:-34859008" type="#_x0000_t202" filled="false" stroked="false">
          <v:textbox inset="0,0,0,0">
            <w:txbxContent>
              <w:p>
                <w:pPr>
                  <w:spacing w:before="23"/>
                  <w:ind w:left="20" w:right="0" w:firstLine="0"/>
                  <w:jc w:val="left"/>
                  <w:rPr>
                    <w:sz w:val="12"/>
                  </w:rPr>
                </w:pPr>
                <w:r>
                  <w:rPr>
                    <w:color w:val="404040"/>
                    <w:sz w:val="12"/>
                  </w:rPr>
                  <w:t>Valuation Report | Page 190</w:t>
                </w:r>
              </w:p>
            </w:txbxContent>
          </v:textbox>
          <w10:wrap type="none"/>
        </v:shape>
      </w:pict>
    </w: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59008">
          <wp:simplePos x="0" y="0"/>
          <wp:positionH relativeFrom="page">
            <wp:posOffset>4768215</wp:posOffset>
          </wp:positionH>
          <wp:positionV relativeFrom="page">
            <wp:posOffset>10116286</wp:posOffset>
          </wp:positionV>
          <wp:extent cx="1079500" cy="300457"/>
          <wp:effectExtent l="0" t="0" r="0" b="0"/>
          <wp:wrapNone/>
          <wp:docPr id="221" name="image3.jpeg"/>
          <wp:cNvGraphicFramePr>
            <a:graphicFrameLocks noChangeAspect="1"/>
          </wp:cNvGraphicFramePr>
          <a:graphic>
            <a:graphicData uri="http://schemas.openxmlformats.org/drawingml/2006/picture">
              <pic:pic>
                <pic:nvPicPr>
                  <pic:cNvPr id="222"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59520">
          <wp:simplePos x="0" y="0"/>
          <wp:positionH relativeFrom="page">
            <wp:posOffset>5945687</wp:posOffset>
          </wp:positionH>
          <wp:positionV relativeFrom="page">
            <wp:posOffset>9977560</wp:posOffset>
          </wp:positionV>
          <wp:extent cx="909288" cy="433873"/>
          <wp:effectExtent l="0" t="0" r="0" b="0"/>
          <wp:wrapNone/>
          <wp:docPr id="223" name="image4.png"/>
          <wp:cNvGraphicFramePr>
            <a:graphicFrameLocks noChangeAspect="1"/>
          </wp:cNvGraphicFramePr>
          <a:graphic>
            <a:graphicData uri="http://schemas.openxmlformats.org/drawingml/2006/picture">
              <pic:pic>
                <pic:nvPicPr>
                  <pic:cNvPr id="224"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36.799999pt;margin-top:805.502625pt;width:79.350pt;height:9.2pt;mso-position-horizontal-relative:page;mso-position-vertical-relative:page;z-index:-34856448"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191</w:t>
                </w:r>
                <w:r>
                  <w:rPr/>
                  <w:fldChar w:fldCharType="end"/>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9.262634pt;width:77.350pt;height:9.2pt;mso-position-horizontal-relative:page;mso-position-vertical-relative:page;z-index:-34855936" type="#_x0000_t202" filled="false" stroked="false">
          <v:textbox inset="0,0,0,0">
            <w:txbxContent>
              <w:p>
                <w:pPr>
                  <w:spacing w:before="23"/>
                  <w:ind w:left="20" w:right="0" w:firstLine="0"/>
                  <w:jc w:val="left"/>
                  <w:rPr>
                    <w:sz w:val="12"/>
                  </w:rPr>
                </w:pPr>
                <w:r>
                  <w:rPr>
                    <w:color w:val="404040"/>
                    <w:sz w:val="12"/>
                  </w:rPr>
                  <w:t>Valuation Report | Page 208</w:t>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62080">
          <wp:simplePos x="0" y="0"/>
          <wp:positionH relativeFrom="page">
            <wp:posOffset>4756150</wp:posOffset>
          </wp:positionH>
          <wp:positionV relativeFrom="page">
            <wp:posOffset>10111841</wp:posOffset>
          </wp:positionV>
          <wp:extent cx="1079500" cy="300457"/>
          <wp:effectExtent l="0" t="0" r="0" b="0"/>
          <wp:wrapNone/>
          <wp:docPr id="237" name="image3.jpeg"/>
          <wp:cNvGraphicFramePr>
            <a:graphicFrameLocks noChangeAspect="1"/>
          </wp:cNvGraphicFramePr>
          <a:graphic>
            <a:graphicData uri="http://schemas.openxmlformats.org/drawingml/2006/picture">
              <pic:pic>
                <pic:nvPicPr>
                  <pic:cNvPr id="238"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62592">
          <wp:simplePos x="0" y="0"/>
          <wp:positionH relativeFrom="page">
            <wp:posOffset>5945687</wp:posOffset>
          </wp:positionH>
          <wp:positionV relativeFrom="page">
            <wp:posOffset>9977560</wp:posOffset>
          </wp:positionV>
          <wp:extent cx="909288" cy="433873"/>
          <wp:effectExtent l="0" t="0" r="0" b="0"/>
          <wp:wrapNone/>
          <wp:docPr id="239" name="image4.png"/>
          <wp:cNvGraphicFramePr>
            <a:graphicFrameLocks noChangeAspect="1"/>
          </wp:cNvGraphicFramePr>
          <a:graphic>
            <a:graphicData uri="http://schemas.openxmlformats.org/drawingml/2006/picture">
              <pic:pic>
                <pic:nvPicPr>
                  <pic:cNvPr id="240"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36.799999pt;margin-top:805.502625pt;width:79.350pt;height:9.2pt;mso-position-horizontal-relative:page;mso-position-vertical-relative:page;z-index:-34853376"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209</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9.262634pt;width:77.350pt;height:9.2pt;mso-position-horizontal-relative:page;mso-position-vertical-relative:page;z-index:-34852864" type="#_x0000_t202" filled="false" stroked="false">
          <v:textbox inset="0,0,0,0">
            <w:txbxContent>
              <w:p>
                <w:pPr>
                  <w:spacing w:before="23"/>
                  <w:ind w:left="20" w:right="0" w:firstLine="0"/>
                  <w:jc w:val="left"/>
                  <w:rPr>
                    <w:sz w:val="12"/>
                  </w:rPr>
                </w:pPr>
                <w:r>
                  <w:rPr>
                    <w:color w:val="404040"/>
                    <w:sz w:val="12"/>
                  </w:rPr>
                  <w:t>Valuation Report | Page 230</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65152">
          <wp:simplePos x="0" y="0"/>
          <wp:positionH relativeFrom="page">
            <wp:posOffset>4756150</wp:posOffset>
          </wp:positionH>
          <wp:positionV relativeFrom="page">
            <wp:posOffset>10111841</wp:posOffset>
          </wp:positionV>
          <wp:extent cx="1079500" cy="300457"/>
          <wp:effectExtent l="0" t="0" r="0" b="0"/>
          <wp:wrapNone/>
          <wp:docPr id="257" name="image3.jpeg"/>
          <wp:cNvGraphicFramePr>
            <a:graphicFrameLocks noChangeAspect="1"/>
          </wp:cNvGraphicFramePr>
          <a:graphic>
            <a:graphicData uri="http://schemas.openxmlformats.org/drawingml/2006/picture">
              <pic:pic>
                <pic:nvPicPr>
                  <pic:cNvPr id="258"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65664">
          <wp:simplePos x="0" y="0"/>
          <wp:positionH relativeFrom="page">
            <wp:posOffset>5945687</wp:posOffset>
          </wp:positionH>
          <wp:positionV relativeFrom="page">
            <wp:posOffset>9977560</wp:posOffset>
          </wp:positionV>
          <wp:extent cx="909288" cy="433873"/>
          <wp:effectExtent l="0" t="0" r="0" b="0"/>
          <wp:wrapNone/>
          <wp:docPr id="259" name="image4.png"/>
          <wp:cNvGraphicFramePr>
            <a:graphicFrameLocks noChangeAspect="1"/>
          </wp:cNvGraphicFramePr>
          <a:graphic>
            <a:graphicData uri="http://schemas.openxmlformats.org/drawingml/2006/picture">
              <pic:pic>
                <pic:nvPicPr>
                  <pic:cNvPr id="260"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36.799999pt;margin-top:805.502625pt;width:79.350pt;height:9.2pt;mso-position-horizontal-relative:page;mso-position-vertical-relative:page;z-index:-34850304"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231</w:t>
                </w:r>
                <w:r>
                  <w:rPr/>
                  <w:fldChar w:fldCharType="end"/>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9.262634pt;width:77.350pt;height:9.2pt;mso-position-horizontal-relative:page;mso-position-vertical-relative:page;z-index:-34849792" type="#_x0000_t202" filled="false" stroked="false">
          <v:textbox inset="0,0,0,0">
            <w:txbxContent>
              <w:p>
                <w:pPr>
                  <w:spacing w:before="23"/>
                  <w:ind w:left="20" w:right="0" w:firstLine="0"/>
                  <w:jc w:val="left"/>
                  <w:rPr>
                    <w:sz w:val="12"/>
                  </w:rPr>
                </w:pPr>
                <w:r>
                  <w:rPr>
                    <w:color w:val="404040"/>
                    <w:sz w:val="12"/>
                  </w:rPr>
                  <w:t>Valuation Report | Page 248</w:t>
                </w:r>
              </w:p>
            </w:txbxContent>
          </v:textbox>
          <w10:wrap type="none"/>
        </v:shape>
      </w:pict>
    </w: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68224">
          <wp:simplePos x="0" y="0"/>
          <wp:positionH relativeFrom="page">
            <wp:posOffset>4756150</wp:posOffset>
          </wp:positionH>
          <wp:positionV relativeFrom="page">
            <wp:posOffset>10111841</wp:posOffset>
          </wp:positionV>
          <wp:extent cx="1079500" cy="300457"/>
          <wp:effectExtent l="0" t="0" r="0" b="0"/>
          <wp:wrapNone/>
          <wp:docPr id="277" name="image3.jpeg"/>
          <wp:cNvGraphicFramePr>
            <a:graphicFrameLocks noChangeAspect="1"/>
          </wp:cNvGraphicFramePr>
          <a:graphic>
            <a:graphicData uri="http://schemas.openxmlformats.org/drawingml/2006/picture">
              <pic:pic>
                <pic:nvPicPr>
                  <pic:cNvPr id="278"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68736">
          <wp:simplePos x="0" y="0"/>
          <wp:positionH relativeFrom="page">
            <wp:posOffset>5945687</wp:posOffset>
          </wp:positionH>
          <wp:positionV relativeFrom="page">
            <wp:posOffset>9977560</wp:posOffset>
          </wp:positionV>
          <wp:extent cx="909288" cy="433873"/>
          <wp:effectExtent l="0" t="0" r="0" b="0"/>
          <wp:wrapNone/>
          <wp:docPr id="279" name="image4.png"/>
          <wp:cNvGraphicFramePr>
            <a:graphicFrameLocks noChangeAspect="1"/>
          </wp:cNvGraphicFramePr>
          <a:graphic>
            <a:graphicData uri="http://schemas.openxmlformats.org/drawingml/2006/picture">
              <pic:pic>
                <pic:nvPicPr>
                  <pic:cNvPr id="280"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36.799999pt;margin-top:805.502625pt;width:79.350pt;height:9.2pt;mso-position-horizontal-relative:page;mso-position-vertical-relative:page;z-index:-34847232"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249</w:t>
                </w:r>
                <w:r>
                  <w:rPr/>
                  <w:fldChar w:fldCharType="end"/>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9.262634pt;width:77.350pt;height:9.2pt;mso-position-horizontal-relative:page;mso-position-vertical-relative:page;z-index:-34846720" type="#_x0000_t202" filled="false" stroked="false">
          <v:textbox inset="0,0,0,0">
            <w:txbxContent>
              <w:p>
                <w:pPr>
                  <w:spacing w:before="23"/>
                  <w:ind w:left="20" w:right="0" w:firstLine="0"/>
                  <w:jc w:val="left"/>
                  <w:rPr>
                    <w:sz w:val="12"/>
                  </w:rPr>
                </w:pPr>
                <w:r>
                  <w:rPr>
                    <w:color w:val="404040"/>
                    <w:sz w:val="12"/>
                  </w:rPr>
                  <w:t>Valuation Report | Page 251</w:t>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71296">
          <wp:simplePos x="0" y="0"/>
          <wp:positionH relativeFrom="page">
            <wp:posOffset>4960620</wp:posOffset>
          </wp:positionH>
          <wp:positionV relativeFrom="page">
            <wp:posOffset>10151109</wp:posOffset>
          </wp:positionV>
          <wp:extent cx="1079500" cy="300457"/>
          <wp:effectExtent l="0" t="0" r="0" b="0"/>
          <wp:wrapNone/>
          <wp:docPr id="289" name="image3.jpeg"/>
          <wp:cNvGraphicFramePr>
            <a:graphicFrameLocks noChangeAspect="1"/>
          </wp:cNvGraphicFramePr>
          <a:graphic>
            <a:graphicData uri="http://schemas.openxmlformats.org/drawingml/2006/picture">
              <pic:pic>
                <pic:nvPicPr>
                  <pic:cNvPr id="290"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71808">
          <wp:simplePos x="0" y="0"/>
          <wp:positionH relativeFrom="page">
            <wp:posOffset>6166667</wp:posOffset>
          </wp:positionH>
          <wp:positionV relativeFrom="page">
            <wp:posOffset>10015025</wp:posOffset>
          </wp:positionV>
          <wp:extent cx="909288" cy="433873"/>
          <wp:effectExtent l="0" t="0" r="0" b="0"/>
          <wp:wrapNone/>
          <wp:docPr id="291" name="image4.png"/>
          <wp:cNvGraphicFramePr>
            <a:graphicFrameLocks noChangeAspect="1"/>
          </wp:cNvGraphicFramePr>
          <a:graphic>
            <a:graphicData uri="http://schemas.openxmlformats.org/drawingml/2006/picture">
              <pic:pic>
                <pic:nvPicPr>
                  <pic:cNvPr id="292"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41.360001pt;margin-top:804.542664pt;width:79.350pt;height:9.2pt;mso-position-horizontal-relative:page;mso-position-vertical-relative:page;z-index:-34844160"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252</w:t>
                </w:r>
                <w:r>
                  <w:rPr/>
                  <w:fldChar w:fldCharType="end"/>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5.919998pt;margin-top:558.302673pt;width:77.350pt;height:9.2pt;mso-position-horizontal-relative:page;mso-position-vertical-relative:page;z-index:-34843648" type="#_x0000_t202" filled="false" stroked="false">
          <v:textbox inset="0,0,0,0">
            <w:txbxContent>
              <w:p>
                <w:pPr>
                  <w:spacing w:before="23"/>
                  <w:ind w:left="20" w:right="0" w:firstLine="0"/>
                  <w:jc w:val="left"/>
                  <w:rPr>
                    <w:sz w:val="12"/>
                  </w:rPr>
                </w:pPr>
                <w:r>
                  <w:rPr>
                    <w:color w:val="404040"/>
                    <w:sz w:val="12"/>
                  </w:rPr>
                  <w:t>Valuation Report | Page 270</w:t>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74368">
          <wp:simplePos x="0" y="0"/>
          <wp:positionH relativeFrom="page">
            <wp:posOffset>4960620</wp:posOffset>
          </wp:positionH>
          <wp:positionV relativeFrom="page">
            <wp:posOffset>10151109</wp:posOffset>
          </wp:positionV>
          <wp:extent cx="1079500" cy="300457"/>
          <wp:effectExtent l="0" t="0" r="0" b="0"/>
          <wp:wrapNone/>
          <wp:docPr id="309" name="image3.jpeg"/>
          <wp:cNvGraphicFramePr>
            <a:graphicFrameLocks noChangeAspect="1"/>
          </wp:cNvGraphicFramePr>
          <a:graphic>
            <a:graphicData uri="http://schemas.openxmlformats.org/drawingml/2006/picture">
              <pic:pic>
                <pic:nvPicPr>
                  <pic:cNvPr id="310"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74880">
          <wp:simplePos x="0" y="0"/>
          <wp:positionH relativeFrom="page">
            <wp:posOffset>6166667</wp:posOffset>
          </wp:positionH>
          <wp:positionV relativeFrom="page">
            <wp:posOffset>10015025</wp:posOffset>
          </wp:positionV>
          <wp:extent cx="909288" cy="433873"/>
          <wp:effectExtent l="0" t="0" r="0" b="0"/>
          <wp:wrapNone/>
          <wp:docPr id="311" name="image4.png"/>
          <wp:cNvGraphicFramePr>
            <a:graphicFrameLocks noChangeAspect="1"/>
          </wp:cNvGraphicFramePr>
          <a:graphic>
            <a:graphicData uri="http://schemas.openxmlformats.org/drawingml/2006/picture">
              <pic:pic>
                <pic:nvPicPr>
                  <pic:cNvPr id="312"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41.360001pt;margin-top:804.542664pt;width:79.350pt;height:9.2pt;mso-position-horizontal-relative:page;mso-position-vertical-relative:page;z-index:-34841088"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271</w:t>
                </w:r>
                <w:r>
                  <w:rPr/>
                  <w:fldChar w:fldCharType="end"/>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76928">
          <wp:simplePos x="0" y="0"/>
          <wp:positionH relativeFrom="page">
            <wp:posOffset>4960620</wp:posOffset>
          </wp:positionH>
          <wp:positionV relativeFrom="page">
            <wp:posOffset>10151109</wp:posOffset>
          </wp:positionV>
          <wp:extent cx="1079500" cy="300457"/>
          <wp:effectExtent l="0" t="0" r="0" b="0"/>
          <wp:wrapNone/>
          <wp:docPr id="355" name="image3.jpeg"/>
          <wp:cNvGraphicFramePr>
            <a:graphicFrameLocks noChangeAspect="1"/>
          </wp:cNvGraphicFramePr>
          <a:graphic>
            <a:graphicData uri="http://schemas.openxmlformats.org/drawingml/2006/picture">
              <pic:pic>
                <pic:nvPicPr>
                  <pic:cNvPr id="356"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77440">
          <wp:simplePos x="0" y="0"/>
          <wp:positionH relativeFrom="page">
            <wp:posOffset>6166667</wp:posOffset>
          </wp:positionH>
          <wp:positionV relativeFrom="page">
            <wp:posOffset>10015025</wp:posOffset>
          </wp:positionV>
          <wp:extent cx="909288" cy="433873"/>
          <wp:effectExtent l="0" t="0" r="0" b="0"/>
          <wp:wrapNone/>
          <wp:docPr id="357" name="image4.png"/>
          <wp:cNvGraphicFramePr>
            <a:graphicFrameLocks noChangeAspect="1"/>
          </wp:cNvGraphicFramePr>
          <a:graphic>
            <a:graphicData uri="http://schemas.openxmlformats.org/drawingml/2006/picture">
              <pic:pic>
                <pic:nvPicPr>
                  <pic:cNvPr id="358"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rect style="position:absolute;margin-left:35.280003pt;margin-top:769.200989pt;width:531.840025pt;height:.719pt;mso-position-horizontal-relative:page;mso-position-vertical-relative:page;z-index:-34838528" filled="true" fillcolor="#69bd28" stroked="false">
          <v:fill type="solid"/>
          <w10:wrap type="none"/>
        </v:rect>
      </w:pict>
    </w:r>
    <w:r>
      <w:rPr/>
      <w:pict>
        <v:shape style="position:absolute;margin-left:41.360001pt;margin-top:804.542664pt;width:79.350pt;height:9.2pt;mso-position-horizontal-relative:page;mso-position-vertical-relative:page;z-index:-34838016"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343</w:t>
                </w:r>
                <w:r>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80000">
          <wp:simplePos x="0" y="0"/>
          <wp:positionH relativeFrom="page">
            <wp:posOffset>4960620</wp:posOffset>
          </wp:positionH>
          <wp:positionV relativeFrom="page">
            <wp:posOffset>10151109</wp:posOffset>
          </wp:positionV>
          <wp:extent cx="1079500" cy="300457"/>
          <wp:effectExtent l="0" t="0" r="0" b="0"/>
          <wp:wrapNone/>
          <wp:docPr id="361" name="image3.jpeg"/>
          <wp:cNvGraphicFramePr>
            <a:graphicFrameLocks noChangeAspect="1"/>
          </wp:cNvGraphicFramePr>
          <a:graphic>
            <a:graphicData uri="http://schemas.openxmlformats.org/drawingml/2006/picture">
              <pic:pic>
                <pic:nvPicPr>
                  <pic:cNvPr id="362" name="image3.jpeg"/>
                  <pic:cNvPicPr/>
                </pic:nvPicPr>
                <pic:blipFill>
                  <a:blip r:embed="rId1" cstate="print"/>
                  <a:stretch>
                    <a:fillRect/>
                  </a:stretch>
                </pic:blipFill>
                <pic:spPr>
                  <a:xfrm>
                    <a:off x="0" y="0"/>
                    <a:ext cx="1079500" cy="300457"/>
                  </a:xfrm>
                  <a:prstGeom prst="rect">
                    <a:avLst/>
                  </a:prstGeom>
                </pic:spPr>
              </pic:pic>
            </a:graphicData>
          </a:graphic>
        </wp:anchor>
      </w:drawing>
    </w:r>
    <w:r>
      <w:rPr/>
      <w:drawing>
        <wp:anchor distT="0" distB="0" distL="0" distR="0" allowOverlap="1" layoutInCell="1" locked="0" behindDoc="1" simplePos="0" relativeHeight="468480512">
          <wp:simplePos x="0" y="0"/>
          <wp:positionH relativeFrom="page">
            <wp:posOffset>6166667</wp:posOffset>
          </wp:positionH>
          <wp:positionV relativeFrom="page">
            <wp:posOffset>10015025</wp:posOffset>
          </wp:positionV>
          <wp:extent cx="909288" cy="433873"/>
          <wp:effectExtent l="0" t="0" r="0" b="0"/>
          <wp:wrapNone/>
          <wp:docPr id="363" name="image4.png"/>
          <wp:cNvGraphicFramePr>
            <a:graphicFrameLocks noChangeAspect="1"/>
          </wp:cNvGraphicFramePr>
          <a:graphic>
            <a:graphicData uri="http://schemas.openxmlformats.org/drawingml/2006/picture">
              <pic:pic>
                <pic:nvPicPr>
                  <pic:cNvPr id="364" name="image4.png"/>
                  <pic:cNvPicPr/>
                </pic:nvPicPr>
                <pic:blipFill>
                  <a:blip r:embed="rId2" cstate="print"/>
                  <a:stretch>
                    <a:fillRect/>
                  </a:stretch>
                </pic:blipFill>
                <pic:spPr>
                  <a:xfrm>
                    <a:off x="0" y="0"/>
                    <a:ext cx="909288" cy="433873"/>
                  </a:xfrm>
                  <a:prstGeom prst="rect">
                    <a:avLst/>
                  </a:prstGeom>
                </pic:spPr>
              </pic:pic>
            </a:graphicData>
          </a:graphic>
        </wp:anchor>
      </w:drawing>
    </w:r>
    <w:r>
      <w:rPr/>
      <w:pict>
        <v:shape style="position:absolute;margin-left:41.360001pt;margin-top:804.542664pt;width:79.350pt;height:9.2pt;mso-position-horizontal-relative:page;mso-position-vertical-relative:page;z-index:-34835456"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345</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23168">
          <wp:simplePos x="0" y="0"/>
          <wp:positionH relativeFrom="page">
            <wp:posOffset>6266997</wp:posOffset>
          </wp:positionH>
          <wp:positionV relativeFrom="page">
            <wp:posOffset>10024550</wp:posOffset>
          </wp:positionV>
          <wp:extent cx="909288" cy="433873"/>
          <wp:effectExtent l="0" t="0" r="0" b="0"/>
          <wp:wrapNone/>
          <wp:docPr id="45" name="image4.png"/>
          <wp:cNvGraphicFramePr>
            <a:graphicFrameLocks noChangeAspect="1"/>
          </wp:cNvGraphicFramePr>
          <a:graphic>
            <a:graphicData uri="http://schemas.openxmlformats.org/drawingml/2006/picture">
              <pic:pic>
                <pic:nvPicPr>
                  <pic:cNvPr id="46" name="image4.png"/>
                  <pic:cNvPicPr/>
                </pic:nvPicPr>
                <pic:blipFill>
                  <a:blip r:embed="rId1" cstate="print"/>
                  <a:stretch>
                    <a:fillRect/>
                  </a:stretch>
                </pic:blipFill>
                <pic:spPr>
                  <a:xfrm>
                    <a:off x="0" y="0"/>
                    <a:ext cx="909288" cy="433873"/>
                  </a:xfrm>
                  <a:prstGeom prst="rect">
                    <a:avLst/>
                  </a:prstGeom>
                </pic:spPr>
              </pic:pic>
            </a:graphicData>
          </a:graphic>
        </wp:anchor>
      </w:drawing>
    </w:r>
    <w:r>
      <w:rPr/>
      <w:drawing>
        <wp:anchor distT="0" distB="0" distL="0" distR="0" allowOverlap="1" layoutInCell="1" locked="0" behindDoc="1" simplePos="0" relativeHeight="468423680">
          <wp:simplePos x="0" y="0"/>
          <wp:positionH relativeFrom="page">
            <wp:posOffset>5105400</wp:posOffset>
          </wp:positionH>
          <wp:positionV relativeFrom="page">
            <wp:posOffset>10156825</wp:posOffset>
          </wp:positionV>
          <wp:extent cx="1079500" cy="300457"/>
          <wp:effectExtent l="0" t="0" r="0" b="0"/>
          <wp:wrapNone/>
          <wp:docPr id="47" name="image3.jpeg"/>
          <wp:cNvGraphicFramePr>
            <a:graphicFrameLocks noChangeAspect="1"/>
          </wp:cNvGraphicFramePr>
          <a:graphic>
            <a:graphicData uri="http://schemas.openxmlformats.org/drawingml/2006/picture">
              <pic:pic>
                <pic:nvPicPr>
                  <pic:cNvPr id="48" name="image3.jpeg"/>
                  <pic:cNvPicPr/>
                </pic:nvPicPr>
                <pic:blipFill>
                  <a:blip r:embed="rId2" cstate="print"/>
                  <a:stretch>
                    <a:fillRect/>
                  </a:stretch>
                </pic:blipFill>
                <pic:spPr>
                  <a:xfrm>
                    <a:off x="0" y="0"/>
                    <a:ext cx="1079500" cy="300457"/>
                  </a:xfrm>
                  <a:prstGeom prst="rect">
                    <a:avLst/>
                  </a:prstGeom>
                </pic:spPr>
              </pic:pic>
            </a:graphicData>
          </a:graphic>
        </wp:anchor>
      </w:drawing>
    </w:r>
    <w:r>
      <w:rPr/>
      <w:pict>
        <v:shape style="position:absolute;margin-left:36.799999pt;margin-top:804.302673pt;width:75.9pt;height:9.450pt;mso-position-horizontal-relative:page;mso-position-vertical-relative:page;z-index:-34892288" type="#_x0000_t202" filled="false" stroked="false">
          <v:textbox inset="0,0,0,0">
            <w:txbxContent>
              <w:p>
                <w:pPr>
                  <w:spacing w:before="27"/>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14</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360001pt;margin-top:558.302673pt;width:73.9pt;height:9.2pt;mso-position-horizontal-relative:page;mso-position-vertical-relative:page;z-index:-34891776" type="#_x0000_t202" filled="false" stroked="false">
          <v:textbox inset="0,0,0,0">
            <w:txbxContent>
              <w:p>
                <w:pPr>
                  <w:spacing w:before="23"/>
                  <w:ind w:left="20" w:right="0" w:firstLine="0"/>
                  <w:jc w:val="left"/>
                  <w:rPr>
                    <w:sz w:val="12"/>
                  </w:rPr>
                </w:pPr>
                <w:r>
                  <w:rPr>
                    <w:color w:val="404040"/>
                    <w:sz w:val="12"/>
                  </w:rPr>
                  <w:t>Valuation</w:t>
                </w:r>
                <w:r>
                  <w:rPr>
                    <w:color w:val="404040"/>
                    <w:spacing w:val="-8"/>
                    <w:sz w:val="12"/>
                  </w:rPr>
                  <w:t> </w:t>
                </w:r>
                <w:r>
                  <w:rPr>
                    <w:color w:val="404040"/>
                    <w:sz w:val="12"/>
                  </w:rPr>
                  <w:t>Report</w:t>
                </w:r>
                <w:r>
                  <w:rPr>
                    <w:color w:val="404040"/>
                    <w:spacing w:val="-6"/>
                    <w:sz w:val="12"/>
                  </w:rPr>
                  <w:t> </w:t>
                </w:r>
                <w:r>
                  <w:rPr>
                    <w:color w:val="404040"/>
                    <w:sz w:val="12"/>
                  </w:rPr>
                  <w:t>|</w:t>
                </w:r>
                <w:r>
                  <w:rPr>
                    <w:color w:val="404040"/>
                    <w:spacing w:val="-7"/>
                    <w:sz w:val="12"/>
                  </w:rPr>
                  <w:t> </w:t>
                </w:r>
                <w:r>
                  <w:rPr>
                    <w:color w:val="404040"/>
                    <w:sz w:val="12"/>
                  </w:rPr>
                  <w:t>Page</w:t>
                </w:r>
                <w:r>
                  <w:rPr>
                    <w:color w:val="404040"/>
                    <w:spacing w:val="-8"/>
                    <w:sz w:val="12"/>
                  </w:rPr>
                  <w:t> </w:t>
                </w:r>
                <w:r>
                  <w:rPr>
                    <w:color w:val="404040"/>
                    <w:sz w:val="12"/>
                  </w:rPr>
                  <w:t>76</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26240">
          <wp:simplePos x="0" y="0"/>
          <wp:positionH relativeFrom="page">
            <wp:posOffset>6266997</wp:posOffset>
          </wp:positionH>
          <wp:positionV relativeFrom="page">
            <wp:posOffset>10027725</wp:posOffset>
          </wp:positionV>
          <wp:extent cx="909288" cy="433873"/>
          <wp:effectExtent l="0" t="0" r="0" b="0"/>
          <wp:wrapNone/>
          <wp:docPr id="65" name="image4.png"/>
          <wp:cNvGraphicFramePr>
            <a:graphicFrameLocks noChangeAspect="1"/>
          </wp:cNvGraphicFramePr>
          <a:graphic>
            <a:graphicData uri="http://schemas.openxmlformats.org/drawingml/2006/picture">
              <pic:pic>
                <pic:nvPicPr>
                  <pic:cNvPr id="66" name="image4.png"/>
                  <pic:cNvPicPr/>
                </pic:nvPicPr>
                <pic:blipFill>
                  <a:blip r:embed="rId1" cstate="print"/>
                  <a:stretch>
                    <a:fillRect/>
                  </a:stretch>
                </pic:blipFill>
                <pic:spPr>
                  <a:xfrm>
                    <a:off x="0" y="0"/>
                    <a:ext cx="909288" cy="433873"/>
                  </a:xfrm>
                  <a:prstGeom prst="rect">
                    <a:avLst/>
                  </a:prstGeom>
                </pic:spPr>
              </pic:pic>
            </a:graphicData>
          </a:graphic>
        </wp:anchor>
      </w:drawing>
    </w:r>
    <w:r>
      <w:rPr/>
      <w:drawing>
        <wp:anchor distT="0" distB="0" distL="0" distR="0" allowOverlap="1" layoutInCell="1" locked="0" behindDoc="1" simplePos="0" relativeHeight="468426752">
          <wp:simplePos x="0" y="0"/>
          <wp:positionH relativeFrom="page">
            <wp:posOffset>5105400</wp:posOffset>
          </wp:positionH>
          <wp:positionV relativeFrom="page">
            <wp:posOffset>10160000</wp:posOffset>
          </wp:positionV>
          <wp:extent cx="1079500" cy="300457"/>
          <wp:effectExtent l="0" t="0" r="0" b="0"/>
          <wp:wrapNone/>
          <wp:docPr id="67" name="image3.jpeg"/>
          <wp:cNvGraphicFramePr>
            <a:graphicFrameLocks noChangeAspect="1"/>
          </wp:cNvGraphicFramePr>
          <a:graphic>
            <a:graphicData uri="http://schemas.openxmlformats.org/drawingml/2006/picture">
              <pic:pic>
                <pic:nvPicPr>
                  <pic:cNvPr id="68" name="image3.jpeg"/>
                  <pic:cNvPicPr/>
                </pic:nvPicPr>
                <pic:blipFill>
                  <a:blip r:embed="rId2" cstate="print"/>
                  <a:stretch>
                    <a:fillRect/>
                  </a:stretch>
                </pic:blipFill>
                <pic:spPr>
                  <a:xfrm>
                    <a:off x="0" y="0"/>
                    <a:ext cx="1079500" cy="300457"/>
                  </a:xfrm>
                  <a:prstGeom prst="rect">
                    <a:avLst/>
                  </a:prstGeom>
                </pic:spPr>
              </pic:pic>
            </a:graphicData>
          </a:graphic>
        </wp:anchor>
      </w:drawing>
    </w:r>
    <w:r>
      <w:rPr/>
      <w:pict>
        <v:shape style="position:absolute;margin-left:36.799999pt;margin-top:804.542664pt;width:75.9pt;height:9.2pt;mso-position-horizontal-relative:page;mso-position-vertical-relative:page;z-index:-34889216"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77</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28800">
          <wp:simplePos x="0" y="0"/>
          <wp:positionH relativeFrom="page">
            <wp:posOffset>6705782</wp:posOffset>
          </wp:positionH>
          <wp:positionV relativeFrom="page">
            <wp:posOffset>6900350</wp:posOffset>
          </wp:positionV>
          <wp:extent cx="909288" cy="433873"/>
          <wp:effectExtent l="0" t="0" r="0" b="0"/>
          <wp:wrapNone/>
          <wp:docPr id="71" name="image4.png"/>
          <wp:cNvGraphicFramePr>
            <a:graphicFrameLocks noChangeAspect="1"/>
          </wp:cNvGraphicFramePr>
          <a:graphic>
            <a:graphicData uri="http://schemas.openxmlformats.org/drawingml/2006/picture">
              <pic:pic>
                <pic:nvPicPr>
                  <pic:cNvPr id="72" name="image4.png"/>
                  <pic:cNvPicPr/>
                </pic:nvPicPr>
                <pic:blipFill>
                  <a:blip r:embed="rId1" cstate="print"/>
                  <a:stretch>
                    <a:fillRect/>
                  </a:stretch>
                </pic:blipFill>
                <pic:spPr>
                  <a:xfrm>
                    <a:off x="0" y="0"/>
                    <a:ext cx="909288" cy="433873"/>
                  </a:xfrm>
                  <a:prstGeom prst="rect">
                    <a:avLst/>
                  </a:prstGeom>
                </pic:spPr>
              </pic:pic>
            </a:graphicData>
          </a:graphic>
        </wp:anchor>
      </w:drawing>
    </w:r>
    <w:r>
      <w:rPr/>
      <w:drawing>
        <wp:anchor distT="0" distB="0" distL="0" distR="0" allowOverlap="1" layoutInCell="1" locked="0" behindDoc="1" simplePos="0" relativeHeight="468429312">
          <wp:simplePos x="0" y="0"/>
          <wp:positionH relativeFrom="page">
            <wp:posOffset>5544184</wp:posOffset>
          </wp:positionH>
          <wp:positionV relativeFrom="page">
            <wp:posOffset>7032625</wp:posOffset>
          </wp:positionV>
          <wp:extent cx="1079499" cy="300457"/>
          <wp:effectExtent l="0" t="0" r="0" b="0"/>
          <wp:wrapNone/>
          <wp:docPr id="73" name="image3.jpeg"/>
          <wp:cNvGraphicFramePr>
            <a:graphicFrameLocks noChangeAspect="1"/>
          </wp:cNvGraphicFramePr>
          <a:graphic>
            <a:graphicData uri="http://schemas.openxmlformats.org/drawingml/2006/picture">
              <pic:pic>
                <pic:nvPicPr>
                  <pic:cNvPr id="74" name="image3.jpeg"/>
                  <pic:cNvPicPr/>
                </pic:nvPicPr>
                <pic:blipFill>
                  <a:blip r:embed="rId2" cstate="print"/>
                  <a:stretch>
                    <a:fillRect/>
                  </a:stretch>
                </pic:blipFill>
                <pic:spPr>
                  <a:xfrm>
                    <a:off x="0" y="0"/>
                    <a:ext cx="1079499" cy="300457"/>
                  </a:xfrm>
                  <a:prstGeom prst="rect">
                    <a:avLst/>
                  </a:prstGeom>
                </pic:spPr>
              </pic:pic>
            </a:graphicData>
          </a:graphic>
        </wp:anchor>
      </w:drawing>
    </w:r>
    <w:r>
      <w:rPr/>
      <w:pict>
        <v:shape style="position:absolute;margin-left:71.360001pt;margin-top:558.302673pt;width:75.9pt;height:9.2pt;mso-position-horizontal-relative:page;mso-position-vertical-relative:page;z-index:-34886656"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79</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31360">
          <wp:simplePos x="0" y="0"/>
          <wp:positionH relativeFrom="page">
            <wp:posOffset>6266997</wp:posOffset>
          </wp:positionH>
          <wp:positionV relativeFrom="page">
            <wp:posOffset>10027725</wp:posOffset>
          </wp:positionV>
          <wp:extent cx="909288" cy="433873"/>
          <wp:effectExtent l="0" t="0" r="0" b="0"/>
          <wp:wrapNone/>
          <wp:docPr id="77" name="image4.png"/>
          <wp:cNvGraphicFramePr>
            <a:graphicFrameLocks noChangeAspect="1"/>
          </wp:cNvGraphicFramePr>
          <a:graphic>
            <a:graphicData uri="http://schemas.openxmlformats.org/drawingml/2006/picture">
              <pic:pic>
                <pic:nvPicPr>
                  <pic:cNvPr id="78" name="image4.png"/>
                  <pic:cNvPicPr/>
                </pic:nvPicPr>
                <pic:blipFill>
                  <a:blip r:embed="rId1" cstate="print"/>
                  <a:stretch>
                    <a:fillRect/>
                  </a:stretch>
                </pic:blipFill>
                <pic:spPr>
                  <a:xfrm>
                    <a:off x="0" y="0"/>
                    <a:ext cx="909288" cy="433873"/>
                  </a:xfrm>
                  <a:prstGeom prst="rect">
                    <a:avLst/>
                  </a:prstGeom>
                </pic:spPr>
              </pic:pic>
            </a:graphicData>
          </a:graphic>
        </wp:anchor>
      </w:drawing>
    </w:r>
    <w:r>
      <w:rPr/>
      <w:drawing>
        <wp:anchor distT="0" distB="0" distL="0" distR="0" allowOverlap="1" layoutInCell="1" locked="0" behindDoc="1" simplePos="0" relativeHeight="468431872">
          <wp:simplePos x="0" y="0"/>
          <wp:positionH relativeFrom="page">
            <wp:posOffset>5105400</wp:posOffset>
          </wp:positionH>
          <wp:positionV relativeFrom="page">
            <wp:posOffset>10160000</wp:posOffset>
          </wp:positionV>
          <wp:extent cx="1079500" cy="300457"/>
          <wp:effectExtent l="0" t="0" r="0" b="0"/>
          <wp:wrapNone/>
          <wp:docPr id="79" name="image3.jpeg"/>
          <wp:cNvGraphicFramePr>
            <a:graphicFrameLocks noChangeAspect="1"/>
          </wp:cNvGraphicFramePr>
          <a:graphic>
            <a:graphicData uri="http://schemas.openxmlformats.org/drawingml/2006/picture">
              <pic:pic>
                <pic:nvPicPr>
                  <pic:cNvPr id="80" name="image3.jpeg"/>
                  <pic:cNvPicPr/>
                </pic:nvPicPr>
                <pic:blipFill>
                  <a:blip r:embed="rId2" cstate="print"/>
                  <a:stretch>
                    <a:fillRect/>
                  </a:stretch>
                </pic:blipFill>
                <pic:spPr>
                  <a:xfrm>
                    <a:off x="0" y="0"/>
                    <a:ext cx="1079500" cy="300457"/>
                  </a:xfrm>
                  <a:prstGeom prst="rect">
                    <a:avLst/>
                  </a:prstGeom>
                </pic:spPr>
              </pic:pic>
            </a:graphicData>
          </a:graphic>
        </wp:anchor>
      </w:drawing>
    </w:r>
    <w:r>
      <w:rPr/>
      <w:pict>
        <v:shape style="position:absolute;margin-left:36.799999pt;margin-top:804.542664pt;width:79.350pt;height:9.2pt;mso-position-horizontal-relative:page;mso-position-vertical-relative:page;z-index:-34884096" type="#_x0000_t202" filled="false" stroked="false">
          <v:textbox inset="0,0,0,0">
            <w:txbxContent>
              <w:p>
                <w:pPr>
                  <w:spacing w:before="23"/>
                  <w:ind w:left="20" w:right="0" w:firstLine="0"/>
                  <w:jc w:val="left"/>
                  <w:rPr>
                    <w:sz w:val="12"/>
                  </w:rPr>
                </w:pPr>
                <w:r>
                  <w:rPr>
                    <w:color w:val="404040"/>
                    <w:sz w:val="12"/>
                  </w:rPr>
                  <w:t>Valuation Report | Page </w:t>
                </w:r>
                <w:r>
                  <w:rPr/>
                  <w:fldChar w:fldCharType="begin"/>
                </w:r>
                <w:r>
                  <w:rPr>
                    <w:color w:val="404040"/>
                    <w:sz w:val="12"/>
                  </w:rPr>
                  <w:instrText> PAGE </w:instrText>
                </w:r>
                <w:r>
                  <w:rPr/>
                  <w:fldChar w:fldCharType="separate"/>
                </w:r>
                <w:r>
                  <w:rPr/>
                  <w:t>100</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84pt;margin-top:55.32pt;width:470.98pt;height:4.440pt;mso-position-horizontal-relative:page;mso-position-vertical-relative:page;z-index:-34899456" filled="true" fillcolor="#5ffb00" stroked="false">
          <v:fill type="solid"/>
          <w10:wrap type="none"/>
        </v:rect>
      </w:pict>
    </w:r>
    <w:r>
      <w:rPr/>
      <w:pict>
        <v:shape style="position:absolute;margin-left:71.024002pt;margin-top:35.379982pt;width:435.9pt;height:12pt;mso-position-horizontal-relative:page;mso-position-vertical-relative:page;z-index:-34898944" type="#_x0000_t202" filled="false" stroked="false">
          <v:textbox inset="0,0,0,0">
            <w:txbxContent>
              <w:p>
                <w:pPr>
                  <w:spacing w:before="12"/>
                  <w:ind w:left="20" w:right="0" w:firstLine="0"/>
                  <w:jc w:val="left"/>
                  <w:rPr>
                    <w:rFonts w:ascii="Times New Roman"/>
                    <w:sz w:val="18"/>
                  </w:rPr>
                </w:pPr>
                <w:r>
                  <w:rPr>
                    <w:rFonts w:ascii="Times New Roman"/>
                    <w:sz w:val="18"/>
                  </w:rPr>
                  <w:t>EMBASSY OFFICE PARKS MANAGEMENT SERVICES PRIVATE LIMITED | EMBASSY OFFICE PARKS REIT</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33408">
          <wp:simplePos x="0" y="0"/>
          <wp:positionH relativeFrom="page">
            <wp:posOffset>419100</wp:posOffset>
          </wp:positionH>
          <wp:positionV relativeFrom="page">
            <wp:posOffset>704849</wp:posOffset>
          </wp:positionV>
          <wp:extent cx="7142987" cy="81915"/>
          <wp:effectExtent l="0" t="0" r="0" b="0"/>
          <wp:wrapNone/>
          <wp:docPr id="95" name="image24.png"/>
          <wp:cNvGraphicFramePr>
            <a:graphicFrameLocks noChangeAspect="1"/>
          </wp:cNvGraphicFramePr>
          <a:graphic>
            <a:graphicData uri="http://schemas.openxmlformats.org/drawingml/2006/picture">
              <pic:pic>
                <pic:nvPicPr>
                  <pic:cNvPr id="96" name="image24.png"/>
                  <pic:cNvPicPr/>
                </pic:nvPicPr>
                <pic:blipFill>
                  <a:blip r:embed="rId1" cstate="print"/>
                  <a:stretch>
                    <a:fillRect/>
                  </a:stretch>
                </pic:blipFill>
                <pic:spPr>
                  <a:xfrm>
                    <a:off x="0" y="0"/>
                    <a:ext cx="7142987" cy="81915"/>
                  </a:xfrm>
                  <a:prstGeom prst="rect">
                    <a:avLst/>
                  </a:prstGeom>
                </pic:spPr>
              </pic:pic>
            </a:graphicData>
          </a:graphic>
        </wp:anchor>
      </w:drawing>
    </w:r>
    <w:r>
      <w:rPr/>
      <w:pict>
        <v:shape style="position:absolute;margin-left:35pt;margin-top:35.009602pt;width:442.85pt;height:13.95pt;mso-position-horizontal-relative:page;mso-position-vertical-relative:page;z-index:-34882560"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36480">
          <wp:simplePos x="0" y="0"/>
          <wp:positionH relativeFrom="page">
            <wp:posOffset>401320</wp:posOffset>
          </wp:positionH>
          <wp:positionV relativeFrom="page">
            <wp:posOffset>818514</wp:posOffset>
          </wp:positionV>
          <wp:extent cx="7160768" cy="83820"/>
          <wp:effectExtent l="0" t="0" r="0" b="0"/>
          <wp:wrapNone/>
          <wp:docPr id="115" name="image80.png"/>
          <wp:cNvGraphicFramePr>
            <a:graphicFrameLocks noChangeAspect="1"/>
          </wp:cNvGraphicFramePr>
          <a:graphic>
            <a:graphicData uri="http://schemas.openxmlformats.org/drawingml/2006/picture">
              <pic:pic>
                <pic:nvPicPr>
                  <pic:cNvPr id="116" name="image80.png"/>
                  <pic:cNvPicPr/>
                </pic:nvPicPr>
                <pic:blipFill>
                  <a:blip r:embed="rId1" cstate="print"/>
                  <a:stretch>
                    <a:fillRect/>
                  </a:stretch>
                </pic:blipFill>
                <pic:spPr>
                  <a:xfrm>
                    <a:off x="0" y="0"/>
                    <a:ext cx="7160768" cy="83820"/>
                  </a:xfrm>
                  <a:prstGeom prst="rect">
                    <a:avLst/>
                  </a:prstGeom>
                </pic:spPr>
              </pic:pic>
            </a:graphicData>
          </a:graphic>
        </wp:anchor>
      </w:drawing>
    </w:r>
    <w:r>
      <w:rPr/>
      <w:pict>
        <v:shape style="position:absolute;margin-left:35pt;margin-top:44.573978pt;width:400.5pt;height:12.8pt;mso-position-horizontal-relative:page;mso-position-vertical-relative:page;z-index:-34879488" type="#_x0000_t202" filled="false" stroked="false">
          <v:textbox inset="0,0,0,0">
            <w:txbxContent>
              <w:p>
                <w:pPr>
                  <w:spacing w:before="24"/>
                  <w:ind w:left="20" w:right="0" w:firstLine="0"/>
                  <w:jc w:val="left"/>
                  <w:rPr>
                    <w:sz w:val="18"/>
                  </w:rPr>
                </w:pPr>
                <w:r>
                  <w:rPr>
                    <w:color w:val="BEBEBE"/>
                    <w:sz w:val="18"/>
                  </w:rPr>
                  <w:t>EMBASSY OFFICE PARKS MANAGEMENT SERVICES PRIVATE LIMITED | EMBASSY OFFICE PARKS REIT</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39552">
          <wp:simplePos x="0" y="0"/>
          <wp:positionH relativeFrom="page">
            <wp:posOffset>396240</wp:posOffset>
          </wp:positionH>
          <wp:positionV relativeFrom="page">
            <wp:posOffset>838834</wp:posOffset>
          </wp:positionV>
          <wp:extent cx="7165847" cy="78740"/>
          <wp:effectExtent l="0" t="0" r="0" b="0"/>
          <wp:wrapNone/>
          <wp:docPr id="127" name="image82.png"/>
          <wp:cNvGraphicFramePr>
            <a:graphicFrameLocks noChangeAspect="1"/>
          </wp:cNvGraphicFramePr>
          <a:graphic>
            <a:graphicData uri="http://schemas.openxmlformats.org/drawingml/2006/picture">
              <pic:pic>
                <pic:nvPicPr>
                  <pic:cNvPr id="128" name="image82.png"/>
                  <pic:cNvPicPr/>
                </pic:nvPicPr>
                <pic:blipFill>
                  <a:blip r:embed="rId1" cstate="print"/>
                  <a:stretch>
                    <a:fillRect/>
                  </a:stretch>
                </pic:blipFill>
                <pic:spPr>
                  <a:xfrm>
                    <a:off x="0" y="0"/>
                    <a:ext cx="7165847" cy="78740"/>
                  </a:xfrm>
                  <a:prstGeom prst="rect">
                    <a:avLst/>
                  </a:prstGeom>
                </pic:spPr>
              </pic:pic>
            </a:graphicData>
          </a:graphic>
        </wp:anchor>
      </w:drawing>
    </w:r>
    <w:r>
      <w:rPr/>
      <w:pict>
        <v:shape style="position:absolute;margin-left:35pt;margin-top:44.969601pt;width:442.85pt;height:13.95pt;mso-position-horizontal-relative:page;mso-position-vertical-relative:page;z-index:-34876416"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42624">
          <wp:simplePos x="0" y="0"/>
          <wp:positionH relativeFrom="page">
            <wp:posOffset>393700</wp:posOffset>
          </wp:positionH>
          <wp:positionV relativeFrom="page">
            <wp:posOffset>695324</wp:posOffset>
          </wp:positionV>
          <wp:extent cx="7168387" cy="78740"/>
          <wp:effectExtent l="0" t="0" r="0" b="0"/>
          <wp:wrapNone/>
          <wp:docPr id="145" name="image94.png"/>
          <wp:cNvGraphicFramePr>
            <a:graphicFrameLocks noChangeAspect="1"/>
          </wp:cNvGraphicFramePr>
          <a:graphic>
            <a:graphicData uri="http://schemas.openxmlformats.org/drawingml/2006/picture">
              <pic:pic>
                <pic:nvPicPr>
                  <pic:cNvPr id="146"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73344"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45696">
          <wp:simplePos x="0" y="0"/>
          <wp:positionH relativeFrom="page">
            <wp:posOffset>393700</wp:posOffset>
          </wp:positionH>
          <wp:positionV relativeFrom="page">
            <wp:posOffset>695324</wp:posOffset>
          </wp:positionV>
          <wp:extent cx="7168387" cy="78740"/>
          <wp:effectExtent l="0" t="0" r="0" b="0"/>
          <wp:wrapNone/>
          <wp:docPr id="163" name="image94.png"/>
          <wp:cNvGraphicFramePr>
            <a:graphicFrameLocks noChangeAspect="1"/>
          </wp:cNvGraphicFramePr>
          <a:graphic>
            <a:graphicData uri="http://schemas.openxmlformats.org/drawingml/2006/picture">
              <pic:pic>
                <pic:nvPicPr>
                  <pic:cNvPr id="164"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70272"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70.559998pt;margin-top:55.34pt;width:650.98pt;height:4.440pt;mso-position-horizontal-relative:page;mso-position-vertical-relative:page;z-index:-34896896" filled="true" fillcolor="#5ffb00" stroked="false">
          <v:fill type="solid"/>
          <w10:wrap type="none"/>
        </v:rect>
      </w:pict>
    </w:r>
    <w:r>
      <w:rPr/>
      <w:pict>
        <v:shape style="position:absolute;margin-left:71pt;margin-top:35.379982pt;width:435.9pt;height:12pt;mso-position-horizontal-relative:page;mso-position-vertical-relative:page;z-index:-34896384" type="#_x0000_t202" filled="false" stroked="false">
          <v:textbox inset="0,0,0,0">
            <w:txbxContent>
              <w:p>
                <w:pPr>
                  <w:spacing w:before="12"/>
                  <w:ind w:left="20" w:right="0" w:firstLine="0"/>
                  <w:jc w:val="left"/>
                  <w:rPr>
                    <w:rFonts w:ascii="Times New Roman"/>
                    <w:sz w:val="18"/>
                  </w:rPr>
                </w:pPr>
                <w:r>
                  <w:rPr>
                    <w:rFonts w:ascii="Times New Roman"/>
                    <w:sz w:val="18"/>
                  </w:rPr>
                  <w:t>EMBASSY OFFICE PARKS MANAGEMENT SERVICES PRIVATE LIMITED | EMBASSY OFFICE PARKS REIT</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48768">
          <wp:simplePos x="0" y="0"/>
          <wp:positionH relativeFrom="page">
            <wp:posOffset>393700</wp:posOffset>
          </wp:positionH>
          <wp:positionV relativeFrom="page">
            <wp:posOffset>695324</wp:posOffset>
          </wp:positionV>
          <wp:extent cx="7168387" cy="78740"/>
          <wp:effectExtent l="0" t="0" r="0" b="0"/>
          <wp:wrapNone/>
          <wp:docPr id="175" name="image94.png"/>
          <wp:cNvGraphicFramePr>
            <a:graphicFrameLocks noChangeAspect="1"/>
          </wp:cNvGraphicFramePr>
          <a:graphic>
            <a:graphicData uri="http://schemas.openxmlformats.org/drawingml/2006/picture">
              <pic:pic>
                <pic:nvPicPr>
                  <pic:cNvPr id="176"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67200"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51840">
          <wp:simplePos x="0" y="0"/>
          <wp:positionH relativeFrom="page">
            <wp:posOffset>393700</wp:posOffset>
          </wp:positionH>
          <wp:positionV relativeFrom="page">
            <wp:posOffset>695324</wp:posOffset>
          </wp:positionV>
          <wp:extent cx="7168387" cy="78740"/>
          <wp:effectExtent l="0" t="0" r="0" b="0"/>
          <wp:wrapNone/>
          <wp:docPr id="193" name="image94.png"/>
          <wp:cNvGraphicFramePr>
            <a:graphicFrameLocks noChangeAspect="1"/>
          </wp:cNvGraphicFramePr>
          <a:graphic>
            <a:graphicData uri="http://schemas.openxmlformats.org/drawingml/2006/picture">
              <pic:pic>
                <pic:nvPicPr>
                  <pic:cNvPr id="194"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64128"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54912">
          <wp:simplePos x="0" y="0"/>
          <wp:positionH relativeFrom="page">
            <wp:posOffset>393700</wp:posOffset>
          </wp:positionH>
          <wp:positionV relativeFrom="page">
            <wp:posOffset>695324</wp:posOffset>
          </wp:positionV>
          <wp:extent cx="7168387" cy="78740"/>
          <wp:effectExtent l="0" t="0" r="0" b="0"/>
          <wp:wrapNone/>
          <wp:docPr id="205" name="image94.png"/>
          <wp:cNvGraphicFramePr>
            <a:graphicFrameLocks noChangeAspect="1"/>
          </wp:cNvGraphicFramePr>
          <a:graphic>
            <a:graphicData uri="http://schemas.openxmlformats.org/drawingml/2006/picture">
              <pic:pic>
                <pic:nvPicPr>
                  <pic:cNvPr id="206"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61056"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57984">
          <wp:simplePos x="0" y="0"/>
          <wp:positionH relativeFrom="page">
            <wp:posOffset>393700</wp:posOffset>
          </wp:positionH>
          <wp:positionV relativeFrom="page">
            <wp:posOffset>695324</wp:posOffset>
          </wp:positionV>
          <wp:extent cx="7168387" cy="78740"/>
          <wp:effectExtent l="0" t="0" r="0" b="0"/>
          <wp:wrapNone/>
          <wp:docPr id="219" name="image94.png"/>
          <wp:cNvGraphicFramePr>
            <a:graphicFrameLocks noChangeAspect="1"/>
          </wp:cNvGraphicFramePr>
          <a:graphic>
            <a:graphicData uri="http://schemas.openxmlformats.org/drawingml/2006/picture">
              <pic:pic>
                <pic:nvPicPr>
                  <pic:cNvPr id="220"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57984"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61056">
          <wp:simplePos x="0" y="0"/>
          <wp:positionH relativeFrom="page">
            <wp:posOffset>393700</wp:posOffset>
          </wp:positionH>
          <wp:positionV relativeFrom="page">
            <wp:posOffset>695324</wp:posOffset>
          </wp:positionV>
          <wp:extent cx="7168387" cy="78740"/>
          <wp:effectExtent l="0" t="0" r="0" b="0"/>
          <wp:wrapNone/>
          <wp:docPr id="235" name="image94.png"/>
          <wp:cNvGraphicFramePr>
            <a:graphicFrameLocks noChangeAspect="1"/>
          </wp:cNvGraphicFramePr>
          <a:graphic>
            <a:graphicData uri="http://schemas.openxmlformats.org/drawingml/2006/picture">
              <pic:pic>
                <pic:nvPicPr>
                  <pic:cNvPr id="236"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54912"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64128">
          <wp:simplePos x="0" y="0"/>
          <wp:positionH relativeFrom="page">
            <wp:posOffset>393700</wp:posOffset>
          </wp:positionH>
          <wp:positionV relativeFrom="page">
            <wp:posOffset>695324</wp:posOffset>
          </wp:positionV>
          <wp:extent cx="7168387" cy="78740"/>
          <wp:effectExtent l="0" t="0" r="0" b="0"/>
          <wp:wrapNone/>
          <wp:docPr id="255" name="image94.png"/>
          <wp:cNvGraphicFramePr>
            <a:graphicFrameLocks noChangeAspect="1"/>
          </wp:cNvGraphicFramePr>
          <a:graphic>
            <a:graphicData uri="http://schemas.openxmlformats.org/drawingml/2006/picture">
              <pic:pic>
                <pic:nvPicPr>
                  <pic:cNvPr id="256"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51840"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67200">
          <wp:simplePos x="0" y="0"/>
          <wp:positionH relativeFrom="page">
            <wp:posOffset>393700</wp:posOffset>
          </wp:positionH>
          <wp:positionV relativeFrom="page">
            <wp:posOffset>695324</wp:posOffset>
          </wp:positionV>
          <wp:extent cx="7168387" cy="78740"/>
          <wp:effectExtent l="0" t="0" r="0" b="0"/>
          <wp:wrapNone/>
          <wp:docPr id="275" name="image94.png"/>
          <wp:cNvGraphicFramePr>
            <a:graphicFrameLocks noChangeAspect="1"/>
          </wp:cNvGraphicFramePr>
          <a:graphic>
            <a:graphicData uri="http://schemas.openxmlformats.org/drawingml/2006/picture">
              <pic:pic>
                <pic:nvPicPr>
                  <pic:cNvPr id="276"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48768"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70272">
          <wp:simplePos x="0" y="0"/>
          <wp:positionH relativeFrom="page">
            <wp:posOffset>393700</wp:posOffset>
          </wp:positionH>
          <wp:positionV relativeFrom="page">
            <wp:posOffset>695324</wp:posOffset>
          </wp:positionV>
          <wp:extent cx="7168387" cy="78740"/>
          <wp:effectExtent l="0" t="0" r="0" b="0"/>
          <wp:wrapNone/>
          <wp:docPr id="287" name="image94.png"/>
          <wp:cNvGraphicFramePr>
            <a:graphicFrameLocks noChangeAspect="1"/>
          </wp:cNvGraphicFramePr>
          <a:graphic>
            <a:graphicData uri="http://schemas.openxmlformats.org/drawingml/2006/picture">
              <pic:pic>
                <pic:nvPicPr>
                  <pic:cNvPr id="288"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45696"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73344">
          <wp:simplePos x="0" y="0"/>
          <wp:positionH relativeFrom="page">
            <wp:posOffset>393700</wp:posOffset>
          </wp:positionH>
          <wp:positionV relativeFrom="page">
            <wp:posOffset>695324</wp:posOffset>
          </wp:positionV>
          <wp:extent cx="7168387" cy="78740"/>
          <wp:effectExtent l="0" t="0" r="0" b="0"/>
          <wp:wrapNone/>
          <wp:docPr id="307" name="image94.png"/>
          <wp:cNvGraphicFramePr>
            <a:graphicFrameLocks noChangeAspect="1"/>
          </wp:cNvGraphicFramePr>
          <a:graphic>
            <a:graphicData uri="http://schemas.openxmlformats.org/drawingml/2006/picture">
              <pic:pic>
                <pic:nvPicPr>
                  <pic:cNvPr id="308"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42624"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75904">
          <wp:simplePos x="0" y="0"/>
          <wp:positionH relativeFrom="page">
            <wp:posOffset>393700</wp:posOffset>
          </wp:positionH>
          <wp:positionV relativeFrom="page">
            <wp:posOffset>695324</wp:posOffset>
          </wp:positionV>
          <wp:extent cx="7168387" cy="78740"/>
          <wp:effectExtent l="0" t="0" r="0" b="0"/>
          <wp:wrapNone/>
          <wp:docPr id="353" name="image94.png"/>
          <wp:cNvGraphicFramePr>
            <a:graphicFrameLocks noChangeAspect="1"/>
          </wp:cNvGraphicFramePr>
          <a:graphic>
            <a:graphicData uri="http://schemas.openxmlformats.org/drawingml/2006/picture">
              <pic:pic>
                <pic:nvPicPr>
                  <pic:cNvPr id="354"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40064"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78976">
          <wp:simplePos x="0" y="0"/>
          <wp:positionH relativeFrom="page">
            <wp:posOffset>393700</wp:posOffset>
          </wp:positionH>
          <wp:positionV relativeFrom="page">
            <wp:posOffset>695324</wp:posOffset>
          </wp:positionV>
          <wp:extent cx="7168387" cy="78740"/>
          <wp:effectExtent l="0" t="0" r="0" b="0"/>
          <wp:wrapNone/>
          <wp:docPr id="359" name="image94.png"/>
          <wp:cNvGraphicFramePr>
            <a:graphicFrameLocks noChangeAspect="1"/>
          </wp:cNvGraphicFramePr>
          <a:graphic>
            <a:graphicData uri="http://schemas.openxmlformats.org/drawingml/2006/picture">
              <pic:pic>
                <pic:nvPicPr>
                  <pic:cNvPr id="360" name="image94.png"/>
                  <pic:cNvPicPr/>
                </pic:nvPicPr>
                <pic:blipFill>
                  <a:blip r:embed="rId1" cstate="print"/>
                  <a:stretch>
                    <a:fillRect/>
                  </a:stretch>
                </pic:blipFill>
                <pic:spPr>
                  <a:xfrm>
                    <a:off x="0" y="0"/>
                    <a:ext cx="7168387" cy="78740"/>
                  </a:xfrm>
                  <a:prstGeom prst="rect">
                    <a:avLst/>
                  </a:prstGeom>
                </pic:spPr>
              </pic:pic>
            </a:graphicData>
          </a:graphic>
        </wp:anchor>
      </w:drawing>
    </w:r>
    <w:r>
      <w:rPr/>
      <w:pict>
        <v:shape style="position:absolute;margin-left:35pt;margin-top:35.009602pt;width:442.95pt;height:13.95pt;mso-position-horizontal-relative:page;mso-position-vertical-relative:page;z-index:-34836992"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22144">
          <wp:simplePos x="0" y="0"/>
          <wp:positionH relativeFrom="page">
            <wp:posOffset>419100</wp:posOffset>
          </wp:positionH>
          <wp:positionV relativeFrom="page">
            <wp:posOffset>704849</wp:posOffset>
          </wp:positionV>
          <wp:extent cx="7142987" cy="81915"/>
          <wp:effectExtent l="0" t="0" r="0" b="0"/>
          <wp:wrapNone/>
          <wp:docPr id="43" name="image24.png"/>
          <wp:cNvGraphicFramePr>
            <a:graphicFrameLocks noChangeAspect="1"/>
          </wp:cNvGraphicFramePr>
          <a:graphic>
            <a:graphicData uri="http://schemas.openxmlformats.org/drawingml/2006/picture">
              <pic:pic>
                <pic:nvPicPr>
                  <pic:cNvPr id="44" name="image24.png"/>
                  <pic:cNvPicPr/>
                </pic:nvPicPr>
                <pic:blipFill>
                  <a:blip r:embed="rId1" cstate="print"/>
                  <a:stretch>
                    <a:fillRect/>
                  </a:stretch>
                </pic:blipFill>
                <pic:spPr>
                  <a:xfrm>
                    <a:off x="0" y="0"/>
                    <a:ext cx="7142987" cy="81915"/>
                  </a:xfrm>
                  <a:prstGeom prst="rect">
                    <a:avLst/>
                  </a:prstGeom>
                </pic:spPr>
              </pic:pic>
            </a:graphicData>
          </a:graphic>
        </wp:anchor>
      </w:drawing>
    </w:r>
    <w:r>
      <w:rPr/>
      <w:pict>
        <v:shape style="position:absolute;margin-left:35pt;margin-top:35.009602pt;width:442.85pt;height:13.95pt;mso-position-horizontal-relative:page;mso-position-vertical-relative:page;z-index:-34893824"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25216">
          <wp:simplePos x="0" y="0"/>
          <wp:positionH relativeFrom="page">
            <wp:posOffset>419100</wp:posOffset>
          </wp:positionH>
          <wp:positionV relativeFrom="page">
            <wp:posOffset>704849</wp:posOffset>
          </wp:positionV>
          <wp:extent cx="7142987" cy="81915"/>
          <wp:effectExtent l="0" t="0" r="0" b="0"/>
          <wp:wrapNone/>
          <wp:docPr id="63" name="image24.png"/>
          <wp:cNvGraphicFramePr>
            <a:graphicFrameLocks noChangeAspect="1"/>
          </wp:cNvGraphicFramePr>
          <a:graphic>
            <a:graphicData uri="http://schemas.openxmlformats.org/drawingml/2006/picture">
              <pic:pic>
                <pic:nvPicPr>
                  <pic:cNvPr id="64" name="image24.png"/>
                  <pic:cNvPicPr/>
                </pic:nvPicPr>
                <pic:blipFill>
                  <a:blip r:embed="rId1" cstate="print"/>
                  <a:stretch>
                    <a:fillRect/>
                  </a:stretch>
                </pic:blipFill>
                <pic:spPr>
                  <a:xfrm>
                    <a:off x="0" y="0"/>
                    <a:ext cx="7142987" cy="81915"/>
                  </a:xfrm>
                  <a:prstGeom prst="rect">
                    <a:avLst/>
                  </a:prstGeom>
                </pic:spPr>
              </pic:pic>
            </a:graphicData>
          </a:graphic>
        </wp:anchor>
      </w:drawing>
    </w:r>
    <w:r>
      <w:rPr/>
      <w:pict>
        <v:shape style="position:absolute;margin-left:35pt;margin-top:35.009602pt;width:442.85pt;height:13.95pt;mso-position-horizontal-relative:page;mso-position-vertical-relative:page;z-index:-34890752"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27776">
          <wp:simplePos x="0" y="0"/>
          <wp:positionH relativeFrom="page">
            <wp:posOffset>857885</wp:posOffset>
          </wp:positionH>
          <wp:positionV relativeFrom="page">
            <wp:posOffset>704850</wp:posOffset>
          </wp:positionV>
          <wp:extent cx="9831450" cy="81915"/>
          <wp:effectExtent l="0" t="0" r="0" b="0"/>
          <wp:wrapNone/>
          <wp:docPr id="69" name="image51.png"/>
          <wp:cNvGraphicFramePr>
            <a:graphicFrameLocks noChangeAspect="1"/>
          </wp:cNvGraphicFramePr>
          <a:graphic>
            <a:graphicData uri="http://schemas.openxmlformats.org/drawingml/2006/picture">
              <pic:pic>
                <pic:nvPicPr>
                  <pic:cNvPr id="70" name="image51.png"/>
                  <pic:cNvPicPr/>
                </pic:nvPicPr>
                <pic:blipFill>
                  <a:blip r:embed="rId1" cstate="print"/>
                  <a:stretch>
                    <a:fillRect/>
                  </a:stretch>
                </pic:blipFill>
                <pic:spPr>
                  <a:xfrm>
                    <a:off x="0" y="0"/>
                    <a:ext cx="9831450" cy="81915"/>
                  </a:xfrm>
                  <a:prstGeom prst="rect">
                    <a:avLst/>
                  </a:prstGeom>
                </pic:spPr>
              </pic:pic>
            </a:graphicData>
          </a:graphic>
        </wp:anchor>
      </w:drawing>
    </w:r>
    <w:r>
      <w:rPr/>
      <w:pict>
        <v:shape style="position:absolute;margin-left:69.559998pt;margin-top:35.009613pt;width:442.85pt;height:13.95pt;mso-position-horizontal-relative:page;mso-position-vertical-relative:page;z-index:-34888192"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68430336">
          <wp:simplePos x="0" y="0"/>
          <wp:positionH relativeFrom="page">
            <wp:posOffset>419100</wp:posOffset>
          </wp:positionH>
          <wp:positionV relativeFrom="page">
            <wp:posOffset>704849</wp:posOffset>
          </wp:positionV>
          <wp:extent cx="7142987" cy="81915"/>
          <wp:effectExtent l="0" t="0" r="0" b="0"/>
          <wp:wrapNone/>
          <wp:docPr id="75" name="image24.png"/>
          <wp:cNvGraphicFramePr>
            <a:graphicFrameLocks noChangeAspect="1"/>
          </wp:cNvGraphicFramePr>
          <a:graphic>
            <a:graphicData uri="http://schemas.openxmlformats.org/drawingml/2006/picture">
              <pic:pic>
                <pic:nvPicPr>
                  <pic:cNvPr id="76" name="image24.png"/>
                  <pic:cNvPicPr/>
                </pic:nvPicPr>
                <pic:blipFill>
                  <a:blip r:embed="rId1" cstate="print"/>
                  <a:stretch>
                    <a:fillRect/>
                  </a:stretch>
                </pic:blipFill>
                <pic:spPr>
                  <a:xfrm>
                    <a:off x="0" y="0"/>
                    <a:ext cx="7142987" cy="81915"/>
                  </a:xfrm>
                  <a:prstGeom prst="rect">
                    <a:avLst/>
                  </a:prstGeom>
                </pic:spPr>
              </pic:pic>
            </a:graphicData>
          </a:graphic>
        </wp:anchor>
      </w:drawing>
    </w:r>
    <w:r>
      <w:rPr/>
      <w:pict>
        <v:shape style="position:absolute;margin-left:35pt;margin-top:35.009602pt;width:442.85pt;height:13.95pt;mso-position-horizontal-relative:page;mso-position-vertical-relative:page;z-index:-34885632" type="#_x0000_t202" filled="false" stroked="false">
          <v:textbox inset="0,0,0,0">
            <w:txbxContent>
              <w:p>
                <w:pPr>
                  <w:spacing w:before="24"/>
                  <w:ind w:left="20" w:right="0" w:firstLine="0"/>
                  <w:jc w:val="left"/>
                  <w:rPr>
                    <w:sz w:val="20"/>
                  </w:rPr>
                </w:pPr>
                <w:r>
                  <w:rPr>
                    <w:color w:val="BEBEBE"/>
                    <w:sz w:val="20"/>
                  </w:rPr>
                  <w:t>EMBASSY OFFICE PARKS MANAGEMENT SERVICES PRIVATE LIMITED | EMBASSY OFFICE PARKS REIT</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98">
    <w:multiLevelType w:val="hybridMultilevel"/>
    <w:lvl w:ilvl="0">
      <w:start w:val="18"/>
      <w:numFmt w:val="decimal"/>
      <w:lvlText w:val="%1"/>
      <w:lvlJc w:val="left"/>
      <w:pPr>
        <w:ind w:left="1256" w:hanging="577"/>
        <w:jc w:val="left"/>
      </w:pPr>
      <w:rPr>
        <w:rFonts w:hint="default"/>
        <w:lang w:val="en-US" w:eastAsia="en-US" w:bidi="ar-SA"/>
      </w:rPr>
    </w:lvl>
    <w:lvl w:ilvl="1">
      <w:start w:val="2"/>
      <w:numFmt w:val="decimal"/>
      <w:lvlText w:val="%1.%2"/>
      <w:lvlJc w:val="left"/>
      <w:pPr>
        <w:ind w:left="1256" w:hanging="577"/>
        <w:jc w:val="left"/>
      </w:pPr>
      <w:rPr>
        <w:rFonts w:hint="default" w:ascii="Trebuchet MS" w:hAnsi="Trebuchet MS" w:eastAsia="Trebuchet MS" w:cs="Trebuchet MS"/>
        <w:color w:val="1F6647"/>
        <w:spacing w:val="-2"/>
        <w:w w:val="101"/>
        <w:sz w:val="22"/>
        <w:szCs w:val="22"/>
        <w:lang w:val="en-US" w:eastAsia="en-US" w:bidi="ar-SA"/>
      </w:rPr>
    </w:lvl>
    <w:lvl w:ilvl="2">
      <w:start w:val="1"/>
      <w:numFmt w:val="decimal"/>
      <w:lvlText w:val="%1.%2.%3"/>
      <w:lvlJc w:val="left"/>
      <w:pPr>
        <w:ind w:left="1400" w:hanging="721"/>
        <w:jc w:val="left"/>
      </w:pPr>
      <w:rPr>
        <w:rFonts w:hint="default" w:ascii="Trebuchet MS" w:hAnsi="Trebuchet MS" w:eastAsia="Trebuchet MS" w:cs="Trebuchet MS"/>
        <w:color w:val="1F664D"/>
        <w:spacing w:val="-2"/>
        <w:w w:val="101"/>
        <w:sz w:val="22"/>
        <w:szCs w:val="22"/>
        <w:lang w:val="en-US" w:eastAsia="en-US" w:bidi="ar-SA"/>
      </w:rPr>
    </w:lvl>
    <w:lvl w:ilvl="3">
      <w:start w:val="0"/>
      <w:numFmt w:val="bullet"/>
      <w:lvlText w:val="•"/>
      <w:lvlJc w:val="left"/>
      <w:pPr>
        <w:ind w:left="3717" w:hanging="721"/>
      </w:pPr>
      <w:rPr>
        <w:rFonts w:hint="default"/>
        <w:lang w:val="en-US" w:eastAsia="en-US" w:bidi="ar-SA"/>
      </w:rPr>
    </w:lvl>
    <w:lvl w:ilvl="4">
      <w:start w:val="0"/>
      <w:numFmt w:val="bullet"/>
      <w:lvlText w:val="•"/>
      <w:lvlJc w:val="left"/>
      <w:pPr>
        <w:ind w:left="4876" w:hanging="721"/>
      </w:pPr>
      <w:rPr>
        <w:rFonts w:hint="default"/>
        <w:lang w:val="en-US" w:eastAsia="en-US" w:bidi="ar-SA"/>
      </w:rPr>
    </w:lvl>
    <w:lvl w:ilvl="5">
      <w:start w:val="0"/>
      <w:numFmt w:val="bullet"/>
      <w:lvlText w:val="•"/>
      <w:lvlJc w:val="left"/>
      <w:pPr>
        <w:ind w:left="6035" w:hanging="721"/>
      </w:pPr>
      <w:rPr>
        <w:rFonts w:hint="default"/>
        <w:lang w:val="en-US" w:eastAsia="en-US" w:bidi="ar-SA"/>
      </w:rPr>
    </w:lvl>
    <w:lvl w:ilvl="6">
      <w:start w:val="0"/>
      <w:numFmt w:val="bullet"/>
      <w:lvlText w:val="•"/>
      <w:lvlJc w:val="left"/>
      <w:pPr>
        <w:ind w:left="7193" w:hanging="721"/>
      </w:pPr>
      <w:rPr>
        <w:rFonts w:hint="default"/>
        <w:lang w:val="en-US" w:eastAsia="en-US" w:bidi="ar-SA"/>
      </w:rPr>
    </w:lvl>
    <w:lvl w:ilvl="7">
      <w:start w:val="0"/>
      <w:numFmt w:val="bullet"/>
      <w:lvlText w:val="•"/>
      <w:lvlJc w:val="left"/>
      <w:pPr>
        <w:ind w:left="8352" w:hanging="721"/>
      </w:pPr>
      <w:rPr>
        <w:rFonts w:hint="default"/>
        <w:lang w:val="en-US" w:eastAsia="en-US" w:bidi="ar-SA"/>
      </w:rPr>
    </w:lvl>
    <w:lvl w:ilvl="8">
      <w:start w:val="0"/>
      <w:numFmt w:val="bullet"/>
      <w:lvlText w:val="•"/>
      <w:lvlJc w:val="left"/>
      <w:pPr>
        <w:ind w:left="9511" w:hanging="721"/>
      </w:pPr>
      <w:rPr>
        <w:rFonts w:hint="default"/>
        <w:lang w:val="en-US" w:eastAsia="en-US" w:bidi="ar-SA"/>
      </w:rPr>
    </w:lvl>
  </w:abstractNum>
  <w:abstractNum w:abstractNumId="97">
    <w:multiLevelType w:val="hybridMultilevel"/>
    <w:lvl w:ilvl="0">
      <w:start w:val="1"/>
      <w:numFmt w:val="lowerLetter"/>
      <w:lvlText w:val="(%1)"/>
      <w:lvlJc w:val="left"/>
      <w:pPr>
        <w:ind w:left="1976" w:hanging="576"/>
        <w:jc w:val="left"/>
      </w:pPr>
      <w:rPr>
        <w:rFonts w:hint="default" w:ascii="Trebuchet MS" w:hAnsi="Trebuchet MS" w:eastAsia="Trebuchet MS" w:cs="Trebuchet MS"/>
        <w:spacing w:val="-4"/>
        <w:w w:val="78"/>
        <w:sz w:val="22"/>
        <w:szCs w:val="22"/>
        <w:lang w:val="en-US" w:eastAsia="en-US" w:bidi="ar-SA"/>
      </w:rPr>
    </w:lvl>
    <w:lvl w:ilvl="1">
      <w:start w:val="0"/>
      <w:numFmt w:val="bullet"/>
      <w:lvlText w:val="•"/>
      <w:lvlJc w:val="left"/>
      <w:pPr>
        <w:ind w:left="2964" w:hanging="576"/>
      </w:pPr>
      <w:rPr>
        <w:rFonts w:hint="default"/>
        <w:lang w:val="en-US" w:eastAsia="en-US" w:bidi="ar-SA"/>
      </w:rPr>
    </w:lvl>
    <w:lvl w:ilvl="2">
      <w:start w:val="0"/>
      <w:numFmt w:val="bullet"/>
      <w:lvlText w:val="•"/>
      <w:lvlJc w:val="left"/>
      <w:pPr>
        <w:ind w:left="3949" w:hanging="576"/>
      </w:pPr>
      <w:rPr>
        <w:rFonts w:hint="default"/>
        <w:lang w:val="en-US" w:eastAsia="en-US" w:bidi="ar-SA"/>
      </w:rPr>
    </w:lvl>
    <w:lvl w:ilvl="3">
      <w:start w:val="0"/>
      <w:numFmt w:val="bullet"/>
      <w:lvlText w:val="•"/>
      <w:lvlJc w:val="left"/>
      <w:pPr>
        <w:ind w:left="4934" w:hanging="576"/>
      </w:pPr>
      <w:rPr>
        <w:rFonts w:hint="default"/>
        <w:lang w:val="en-US" w:eastAsia="en-US" w:bidi="ar-SA"/>
      </w:rPr>
    </w:lvl>
    <w:lvl w:ilvl="4">
      <w:start w:val="0"/>
      <w:numFmt w:val="bullet"/>
      <w:lvlText w:val="•"/>
      <w:lvlJc w:val="left"/>
      <w:pPr>
        <w:ind w:left="5919" w:hanging="576"/>
      </w:pPr>
      <w:rPr>
        <w:rFonts w:hint="default"/>
        <w:lang w:val="en-US" w:eastAsia="en-US" w:bidi="ar-SA"/>
      </w:rPr>
    </w:lvl>
    <w:lvl w:ilvl="5">
      <w:start w:val="0"/>
      <w:numFmt w:val="bullet"/>
      <w:lvlText w:val="•"/>
      <w:lvlJc w:val="left"/>
      <w:pPr>
        <w:ind w:left="6904" w:hanging="576"/>
      </w:pPr>
      <w:rPr>
        <w:rFonts w:hint="default"/>
        <w:lang w:val="en-US" w:eastAsia="en-US" w:bidi="ar-SA"/>
      </w:rPr>
    </w:lvl>
    <w:lvl w:ilvl="6">
      <w:start w:val="0"/>
      <w:numFmt w:val="bullet"/>
      <w:lvlText w:val="•"/>
      <w:lvlJc w:val="left"/>
      <w:pPr>
        <w:ind w:left="7889" w:hanging="576"/>
      </w:pPr>
      <w:rPr>
        <w:rFonts w:hint="default"/>
        <w:lang w:val="en-US" w:eastAsia="en-US" w:bidi="ar-SA"/>
      </w:rPr>
    </w:lvl>
    <w:lvl w:ilvl="7">
      <w:start w:val="0"/>
      <w:numFmt w:val="bullet"/>
      <w:lvlText w:val="•"/>
      <w:lvlJc w:val="left"/>
      <w:pPr>
        <w:ind w:left="8874" w:hanging="576"/>
      </w:pPr>
      <w:rPr>
        <w:rFonts w:hint="default"/>
        <w:lang w:val="en-US" w:eastAsia="en-US" w:bidi="ar-SA"/>
      </w:rPr>
    </w:lvl>
    <w:lvl w:ilvl="8">
      <w:start w:val="0"/>
      <w:numFmt w:val="bullet"/>
      <w:lvlText w:val="•"/>
      <w:lvlJc w:val="left"/>
      <w:pPr>
        <w:ind w:left="9859" w:hanging="576"/>
      </w:pPr>
      <w:rPr>
        <w:rFonts w:hint="default"/>
        <w:lang w:val="en-US" w:eastAsia="en-US" w:bidi="ar-SA"/>
      </w:rPr>
    </w:lvl>
  </w:abstractNum>
  <w:abstractNum w:abstractNumId="96">
    <w:multiLevelType w:val="hybridMultilevel"/>
    <w:lvl w:ilvl="0">
      <w:start w:val="1"/>
      <w:numFmt w:val="lowerLetter"/>
      <w:lvlText w:val="(%1)"/>
      <w:lvlJc w:val="left"/>
      <w:pPr>
        <w:ind w:left="1671" w:hanging="992"/>
        <w:jc w:val="left"/>
      </w:pPr>
      <w:rPr>
        <w:rFonts w:hint="default" w:ascii="Trebuchet MS" w:hAnsi="Trebuchet MS" w:eastAsia="Trebuchet MS" w:cs="Trebuchet MS"/>
        <w:spacing w:val="-1"/>
        <w:w w:val="78"/>
        <w:sz w:val="22"/>
        <w:szCs w:val="22"/>
        <w:lang w:val="en-US" w:eastAsia="en-US" w:bidi="ar-SA"/>
      </w:rPr>
    </w:lvl>
    <w:lvl w:ilvl="1">
      <w:start w:val="0"/>
      <w:numFmt w:val="bullet"/>
      <w:lvlText w:val="•"/>
      <w:lvlJc w:val="left"/>
      <w:pPr>
        <w:ind w:left="2694" w:hanging="992"/>
      </w:pPr>
      <w:rPr>
        <w:rFonts w:hint="default"/>
        <w:lang w:val="en-US" w:eastAsia="en-US" w:bidi="ar-SA"/>
      </w:rPr>
    </w:lvl>
    <w:lvl w:ilvl="2">
      <w:start w:val="0"/>
      <w:numFmt w:val="bullet"/>
      <w:lvlText w:val="•"/>
      <w:lvlJc w:val="left"/>
      <w:pPr>
        <w:ind w:left="3709" w:hanging="992"/>
      </w:pPr>
      <w:rPr>
        <w:rFonts w:hint="default"/>
        <w:lang w:val="en-US" w:eastAsia="en-US" w:bidi="ar-SA"/>
      </w:rPr>
    </w:lvl>
    <w:lvl w:ilvl="3">
      <w:start w:val="0"/>
      <w:numFmt w:val="bullet"/>
      <w:lvlText w:val="•"/>
      <w:lvlJc w:val="left"/>
      <w:pPr>
        <w:ind w:left="4724" w:hanging="992"/>
      </w:pPr>
      <w:rPr>
        <w:rFonts w:hint="default"/>
        <w:lang w:val="en-US" w:eastAsia="en-US" w:bidi="ar-SA"/>
      </w:rPr>
    </w:lvl>
    <w:lvl w:ilvl="4">
      <w:start w:val="0"/>
      <w:numFmt w:val="bullet"/>
      <w:lvlText w:val="•"/>
      <w:lvlJc w:val="left"/>
      <w:pPr>
        <w:ind w:left="5739" w:hanging="992"/>
      </w:pPr>
      <w:rPr>
        <w:rFonts w:hint="default"/>
        <w:lang w:val="en-US" w:eastAsia="en-US" w:bidi="ar-SA"/>
      </w:rPr>
    </w:lvl>
    <w:lvl w:ilvl="5">
      <w:start w:val="0"/>
      <w:numFmt w:val="bullet"/>
      <w:lvlText w:val="•"/>
      <w:lvlJc w:val="left"/>
      <w:pPr>
        <w:ind w:left="6754" w:hanging="992"/>
      </w:pPr>
      <w:rPr>
        <w:rFonts w:hint="default"/>
        <w:lang w:val="en-US" w:eastAsia="en-US" w:bidi="ar-SA"/>
      </w:rPr>
    </w:lvl>
    <w:lvl w:ilvl="6">
      <w:start w:val="0"/>
      <w:numFmt w:val="bullet"/>
      <w:lvlText w:val="•"/>
      <w:lvlJc w:val="left"/>
      <w:pPr>
        <w:ind w:left="7769" w:hanging="992"/>
      </w:pPr>
      <w:rPr>
        <w:rFonts w:hint="default"/>
        <w:lang w:val="en-US" w:eastAsia="en-US" w:bidi="ar-SA"/>
      </w:rPr>
    </w:lvl>
    <w:lvl w:ilvl="7">
      <w:start w:val="0"/>
      <w:numFmt w:val="bullet"/>
      <w:lvlText w:val="•"/>
      <w:lvlJc w:val="left"/>
      <w:pPr>
        <w:ind w:left="8784" w:hanging="992"/>
      </w:pPr>
      <w:rPr>
        <w:rFonts w:hint="default"/>
        <w:lang w:val="en-US" w:eastAsia="en-US" w:bidi="ar-SA"/>
      </w:rPr>
    </w:lvl>
    <w:lvl w:ilvl="8">
      <w:start w:val="0"/>
      <w:numFmt w:val="bullet"/>
      <w:lvlText w:val="•"/>
      <w:lvlJc w:val="left"/>
      <w:pPr>
        <w:ind w:left="9799" w:hanging="992"/>
      </w:pPr>
      <w:rPr>
        <w:rFonts w:hint="default"/>
        <w:lang w:val="en-US" w:eastAsia="en-US" w:bidi="ar-SA"/>
      </w:rPr>
    </w:lvl>
  </w:abstractNum>
  <w:abstractNum w:abstractNumId="95">
    <w:multiLevelType w:val="hybridMultilevel"/>
    <w:lvl w:ilvl="0">
      <w:start w:val="1"/>
      <w:numFmt w:val="upperLetter"/>
      <w:lvlText w:val="%1."/>
      <w:lvlJc w:val="left"/>
      <w:pPr>
        <w:ind w:left="680" w:hanging="721"/>
        <w:jc w:val="left"/>
      </w:pPr>
      <w:rPr>
        <w:rFonts w:hint="default" w:ascii="Trebuchet MS" w:hAnsi="Trebuchet MS" w:eastAsia="Trebuchet MS" w:cs="Trebuchet MS"/>
        <w:spacing w:val="0"/>
        <w:w w:val="96"/>
        <w:sz w:val="22"/>
        <w:szCs w:val="22"/>
        <w:lang w:val="en-US" w:eastAsia="en-US" w:bidi="ar-SA"/>
      </w:rPr>
    </w:lvl>
    <w:lvl w:ilvl="1">
      <w:start w:val="0"/>
      <w:numFmt w:val="bullet"/>
      <w:lvlText w:val="•"/>
      <w:lvlJc w:val="left"/>
      <w:pPr>
        <w:ind w:left="1794" w:hanging="721"/>
      </w:pPr>
      <w:rPr>
        <w:rFonts w:hint="default"/>
        <w:lang w:val="en-US" w:eastAsia="en-US" w:bidi="ar-SA"/>
      </w:rPr>
    </w:lvl>
    <w:lvl w:ilvl="2">
      <w:start w:val="0"/>
      <w:numFmt w:val="bullet"/>
      <w:lvlText w:val="•"/>
      <w:lvlJc w:val="left"/>
      <w:pPr>
        <w:ind w:left="2909" w:hanging="721"/>
      </w:pPr>
      <w:rPr>
        <w:rFonts w:hint="default"/>
        <w:lang w:val="en-US" w:eastAsia="en-US" w:bidi="ar-SA"/>
      </w:rPr>
    </w:lvl>
    <w:lvl w:ilvl="3">
      <w:start w:val="0"/>
      <w:numFmt w:val="bullet"/>
      <w:lvlText w:val="•"/>
      <w:lvlJc w:val="left"/>
      <w:pPr>
        <w:ind w:left="4024" w:hanging="721"/>
      </w:pPr>
      <w:rPr>
        <w:rFonts w:hint="default"/>
        <w:lang w:val="en-US" w:eastAsia="en-US" w:bidi="ar-SA"/>
      </w:rPr>
    </w:lvl>
    <w:lvl w:ilvl="4">
      <w:start w:val="0"/>
      <w:numFmt w:val="bullet"/>
      <w:lvlText w:val="•"/>
      <w:lvlJc w:val="left"/>
      <w:pPr>
        <w:ind w:left="5139" w:hanging="721"/>
      </w:pPr>
      <w:rPr>
        <w:rFonts w:hint="default"/>
        <w:lang w:val="en-US" w:eastAsia="en-US" w:bidi="ar-SA"/>
      </w:rPr>
    </w:lvl>
    <w:lvl w:ilvl="5">
      <w:start w:val="0"/>
      <w:numFmt w:val="bullet"/>
      <w:lvlText w:val="•"/>
      <w:lvlJc w:val="left"/>
      <w:pPr>
        <w:ind w:left="6254" w:hanging="721"/>
      </w:pPr>
      <w:rPr>
        <w:rFonts w:hint="default"/>
        <w:lang w:val="en-US" w:eastAsia="en-US" w:bidi="ar-SA"/>
      </w:rPr>
    </w:lvl>
    <w:lvl w:ilvl="6">
      <w:start w:val="0"/>
      <w:numFmt w:val="bullet"/>
      <w:lvlText w:val="•"/>
      <w:lvlJc w:val="left"/>
      <w:pPr>
        <w:ind w:left="7369" w:hanging="721"/>
      </w:pPr>
      <w:rPr>
        <w:rFonts w:hint="default"/>
        <w:lang w:val="en-US" w:eastAsia="en-US" w:bidi="ar-SA"/>
      </w:rPr>
    </w:lvl>
    <w:lvl w:ilvl="7">
      <w:start w:val="0"/>
      <w:numFmt w:val="bullet"/>
      <w:lvlText w:val="•"/>
      <w:lvlJc w:val="left"/>
      <w:pPr>
        <w:ind w:left="8484" w:hanging="721"/>
      </w:pPr>
      <w:rPr>
        <w:rFonts w:hint="default"/>
        <w:lang w:val="en-US" w:eastAsia="en-US" w:bidi="ar-SA"/>
      </w:rPr>
    </w:lvl>
    <w:lvl w:ilvl="8">
      <w:start w:val="0"/>
      <w:numFmt w:val="bullet"/>
      <w:lvlText w:val="•"/>
      <w:lvlJc w:val="left"/>
      <w:pPr>
        <w:ind w:left="9599" w:hanging="721"/>
      </w:pPr>
      <w:rPr>
        <w:rFonts w:hint="default"/>
        <w:lang w:val="en-US" w:eastAsia="en-US" w:bidi="ar-SA"/>
      </w:rPr>
    </w:lvl>
  </w:abstractNum>
  <w:abstractNum w:abstractNumId="94">
    <w:multiLevelType w:val="hybridMultilevel"/>
    <w:lvl w:ilvl="0">
      <w:start w:val="1"/>
      <w:numFmt w:val="upperLetter"/>
      <w:lvlText w:val="%1."/>
      <w:lvlJc w:val="left"/>
      <w:pPr>
        <w:ind w:left="1040" w:hanging="361"/>
        <w:jc w:val="left"/>
      </w:pPr>
      <w:rPr>
        <w:rFonts w:hint="default" w:ascii="Trebuchet MS" w:hAnsi="Trebuchet MS" w:eastAsia="Trebuchet MS" w:cs="Trebuchet MS"/>
        <w:spacing w:val="0"/>
        <w:w w:val="96"/>
        <w:sz w:val="22"/>
        <w:szCs w:val="22"/>
        <w:lang w:val="en-US" w:eastAsia="en-US" w:bidi="ar-SA"/>
      </w:rPr>
    </w:lvl>
    <w:lvl w:ilvl="1">
      <w:start w:val="1"/>
      <w:numFmt w:val="lowerLetter"/>
      <w:lvlText w:val="(%2)"/>
      <w:lvlJc w:val="left"/>
      <w:pPr>
        <w:ind w:left="1400" w:hanging="450"/>
        <w:jc w:val="left"/>
      </w:pPr>
      <w:rPr>
        <w:rFonts w:hint="default" w:ascii="Trebuchet MS" w:hAnsi="Trebuchet MS" w:eastAsia="Trebuchet MS" w:cs="Trebuchet MS"/>
        <w:spacing w:val="-1"/>
        <w:w w:val="78"/>
        <w:sz w:val="22"/>
        <w:szCs w:val="22"/>
        <w:lang w:val="en-US" w:eastAsia="en-US" w:bidi="ar-SA"/>
      </w:rPr>
    </w:lvl>
    <w:lvl w:ilvl="2">
      <w:start w:val="0"/>
      <w:numFmt w:val="bullet"/>
      <w:lvlText w:val="•"/>
      <w:lvlJc w:val="left"/>
      <w:pPr>
        <w:ind w:left="2558" w:hanging="450"/>
      </w:pPr>
      <w:rPr>
        <w:rFonts w:hint="default"/>
        <w:lang w:val="en-US" w:eastAsia="en-US" w:bidi="ar-SA"/>
      </w:rPr>
    </w:lvl>
    <w:lvl w:ilvl="3">
      <w:start w:val="0"/>
      <w:numFmt w:val="bullet"/>
      <w:lvlText w:val="•"/>
      <w:lvlJc w:val="left"/>
      <w:pPr>
        <w:ind w:left="3717" w:hanging="450"/>
      </w:pPr>
      <w:rPr>
        <w:rFonts w:hint="default"/>
        <w:lang w:val="en-US" w:eastAsia="en-US" w:bidi="ar-SA"/>
      </w:rPr>
    </w:lvl>
    <w:lvl w:ilvl="4">
      <w:start w:val="0"/>
      <w:numFmt w:val="bullet"/>
      <w:lvlText w:val="•"/>
      <w:lvlJc w:val="left"/>
      <w:pPr>
        <w:ind w:left="4876" w:hanging="450"/>
      </w:pPr>
      <w:rPr>
        <w:rFonts w:hint="default"/>
        <w:lang w:val="en-US" w:eastAsia="en-US" w:bidi="ar-SA"/>
      </w:rPr>
    </w:lvl>
    <w:lvl w:ilvl="5">
      <w:start w:val="0"/>
      <w:numFmt w:val="bullet"/>
      <w:lvlText w:val="•"/>
      <w:lvlJc w:val="left"/>
      <w:pPr>
        <w:ind w:left="6035" w:hanging="450"/>
      </w:pPr>
      <w:rPr>
        <w:rFonts w:hint="default"/>
        <w:lang w:val="en-US" w:eastAsia="en-US" w:bidi="ar-SA"/>
      </w:rPr>
    </w:lvl>
    <w:lvl w:ilvl="6">
      <w:start w:val="0"/>
      <w:numFmt w:val="bullet"/>
      <w:lvlText w:val="•"/>
      <w:lvlJc w:val="left"/>
      <w:pPr>
        <w:ind w:left="7193" w:hanging="450"/>
      </w:pPr>
      <w:rPr>
        <w:rFonts w:hint="default"/>
        <w:lang w:val="en-US" w:eastAsia="en-US" w:bidi="ar-SA"/>
      </w:rPr>
    </w:lvl>
    <w:lvl w:ilvl="7">
      <w:start w:val="0"/>
      <w:numFmt w:val="bullet"/>
      <w:lvlText w:val="•"/>
      <w:lvlJc w:val="left"/>
      <w:pPr>
        <w:ind w:left="8352" w:hanging="450"/>
      </w:pPr>
      <w:rPr>
        <w:rFonts w:hint="default"/>
        <w:lang w:val="en-US" w:eastAsia="en-US" w:bidi="ar-SA"/>
      </w:rPr>
    </w:lvl>
    <w:lvl w:ilvl="8">
      <w:start w:val="0"/>
      <w:numFmt w:val="bullet"/>
      <w:lvlText w:val="•"/>
      <w:lvlJc w:val="left"/>
      <w:pPr>
        <w:ind w:left="9511" w:hanging="450"/>
      </w:pPr>
      <w:rPr>
        <w:rFonts w:hint="default"/>
        <w:lang w:val="en-US" w:eastAsia="en-US" w:bidi="ar-SA"/>
      </w:rPr>
    </w:lvl>
  </w:abstractNum>
  <w:abstractNum w:abstractNumId="93">
    <w:multiLevelType w:val="hybridMultilevel"/>
    <w:lvl w:ilvl="0">
      <w:start w:val="0"/>
      <w:numFmt w:val="bullet"/>
      <w:lvlText w:val=""/>
      <w:lvlJc w:val="left"/>
      <w:pPr>
        <w:ind w:left="212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3090" w:hanging="360"/>
      </w:pPr>
      <w:rPr>
        <w:rFonts w:hint="default"/>
        <w:lang w:val="en-US" w:eastAsia="en-US" w:bidi="ar-SA"/>
      </w:rPr>
    </w:lvl>
    <w:lvl w:ilvl="2">
      <w:start w:val="0"/>
      <w:numFmt w:val="bullet"/>
      <w:lvlText w:val="•"/>
      <w:lvlJc w:val="left"/>
      <w:pPr>
        <w:ind w:left="4061" w:hanging="360"/>
      </w:pPr>
      <w:rPr>
        <w:rFonts w:hint="default"/>
        <w:lang w:val="en-US" w:eastAsia="en-US" w:bidi="ar-SA"/>
      </w:rPr>
    </w:lvl>
    <w:lvl w:ilvl="3">
      <w:start w:val="0"/>
      <w:numFmt w:val="bullet"/>
      <w:lvlText w:val="•"/>
      <w:lvlJc w:val="left"/>
      <w:pPr>
        <w:ind w:left="5032" w:hanging="360"/>
      </w:pPr>
      <w:rPr>
        <w:rFonts w:hint="default"/>
        <w:lang w:val="en-US" w:eastAsia="en-US" w:bidi="ar-SA"/>
      </w:rPr>
    </w:lvl>
    <w:lvl w:ilvl="4">
      <w:start w:val="0"/>
      <w:numFmt w:val="bullet"/>
      <w:lvlText w:val="•"/>
      <w:lvlJc w:val="left"/>
      <w:pPr>
        <w:ind w:left="6003" w:hanging="360"/>
      </w:pPr>
      <w:rPr>
        <w:rFonts w:hint="default"/>
        <w:lang w:val="en-US" w:eastAsia="en-US" w:bidi="ar-SA"/>
      </w:rPr>
    </w:lvl>
    <w:lvl w:ilvl="5">
      <w:start w:val="0"/>
      <w:numFmt w:val="bullet"/>
      <w:lvlText w:val="•"/>
      <w:lvlJc w:val="left"/>
      <w:pPr>
        <w:ind w:left="6974" w:hanging="360"/>
      </w:pPr>
      <w:rPr>
        <w:rFonts w:hint="default"/>
        <w:lang w:val="en-US" w:eastAsia="en-US" w:bidi="ar-SA"/>
      </w:rPr>
    </w:lvl>
    <w:lvl w:ilvl="6">
      <w:start w:val="0"/>
      <w:numFmt w:val="bullet"/>
      <w:lvlText w:val="•"/>
      <w:lvlJc w:val="left"/>
      <w:pPr>
        <w:ind w:left="7945" w:hanging="360"/>
      </w:pPr>
      <w:rPr>
        <w:rFonts w:hint="default"/>
        <w:lang w:val="en-US" w:eastAsia="en-US" w:bidi="ar-SA"/>
      </w:rPr>
    </w:lvl>
    <w:lvl w:ilvl="7">
      <w:start w:val="0"/>
      <w:numFmt w:val="bullet"/>
      <w:lvlText w:val="•"/>
      <w:lvlJc w:val="left"/>
      <w:pPr>
        <w:ind w:left="8916" w:hanging="360"/>
      </w:pPr>
      <w:rPr>
        <w:rFonts w:hint="default"/>
        <w:lang w:val="en-US" w:eastAsia="en-US" w:bidi="ar-SA"/>
      </w:rPr>
    </w:lvl>
    <w:lvl w:ilvl="8">
      <w:start w:val="0"/>
      <w:numFmt w:val="bullet"/>
      <w:lvlText w:val="•"/>
      <w:lvlJc w:val="left"/>
      <w:pPr>
        <w:ind w:left="9887" w:hanging="360"/>
      </w:pPr>
      <w:rPr>
        <w:rFonts w:hint="default"/>
        <w:lang w:val="en-US" w:eastAsia="en-US" w:bidi="ar-SA"/>
      </w:rPr>
    </w:lvl>
  </w:abstractNum>
  <w:abstractNum w:abstractNumId="92">
    <w:multiLevelType w:val="hybridMultilevel"/>
    <w:lvl w:ilvl="0">
      <w:start w:val="17"/>
      <w:numFmt w:val="decimal"/>
      <w:lvlText w:val="%1"/>
      <w:lvlJc w:val="left"/>
      <w:pPr>
        <w:ind w:left="1256" w:hanging="577"/>
        <w:jc w:val="left"/>
      </w:pPr>
      <w:rPr>
        <w:rFonts w:hint="default"/>
        <w:lang w:val="en-US" w:eastAsia="en-US" w:bidi="ar-SA"/>
      </w:rPr>
    </w:lvl>
    <w:lvl w:ilvl="1">
      <w:start w:val="2"/>
      <w:numFmt w:val="decimal"/>
      <w:lvlText w:val="%1.%2"/>
      <w:lvlJc w:val="left"/>
      <w:pPr>
        <w:ind w:left="1256" w:hanging="577"/>
        <w:jc w:val="left"/>
      </w:pPr>
      <w:rPr>
        <w:rFonts w:hint="default" w:ascii="Trebuchet MS" w:hAnsi="Trebuchet MS" w:eastAsia="Trebuchet MS" w:cs="Trebuchet MS"/>
        <w:color w:val="1F6647"/>
        <w:spacing w:val="-2"/>
        <w:w w:val="101"/>
        <w:sz w:val="22"/>
        <w:szCs w:val="22"/>
        <w:lang w:val="en-US" w:eastAsia="en-US" w:bidi="ar-SA"/>
      </w:rPr>
    </w:lvl>
    <w:lvl w:ilvl="2">
      <w:start w:val="1"/>
      <w:numFmt w:val="decimal"/>
      <w:lvlText w:val="%1.%2.%3"/>
      <w:lvlJc w:val="left"/>
      <w:pPr>
        <w:ind w:left="1400" w:hanging="721"/>
        <w:jc w:val="left"/>
      </w:pPr>
      <w:rPr>
        <w:rFonts w:hint="default" w:ascii="Trebuchet MS" w:hAnsi="Trebuchet MS" w:eastAsia="Trebuchet MS" w:cs="Trebuchet MS"/>
        <w:color w:val="1F664D"/>
        <w:spacing w:val="-2"/>
        <w:w w:val="101"/>
        <w:sz w:val="22"/>
        <w:szCs w:val="22"/>
        <w:lang w:val="en-US" w:eastAsia="en-US" w:bidi="ar-SA"/>
      </w:rPr>
    </w:lvl>
    <w:lvl w:ilvl="3">
      <w:start w:val="0"/>
      <w:numFmt w:val="bullet"/>
      <w:lvlText w:val=""/>
      <w:lvlJc w:val="left"/>
      <w:pPr>
        <w:ind w:left="1587" w:hanging="360"/>
      </w:pPr>
      <w:rPr>
        <w:rFonts w:hint="default" w:ascii="Wingdings" w:hAnsi="Wingdings" w:eastAsia="Wingdings" w:cs="Wingdings"/>
        <w:w w:val="100"/>
        <w:sz w:val="22"/>
        <w:szCs w:val="22"/>
        <w:lang w:val="en-US" w:eastAsia="en-US" w:bidi="ar-SA"/>
      </w:rPr>
    </w:lvl>
    <w:lvl w:ilvl="4">
      <w:start w:val="0"/>
      <w:numFmt w:val="bullet"/>
      <w:lvlText w:val=""/>
      <w:lvlJc w:val="left"/>
      <w:pPr>
        <w:ind w:left="2480" w:hanging="360"/>
      </w:pPr>
      <w:rPr>
        <w:rFonts w:hint="default" w:ascii="Wingdings" w:hAnsi="Wingdings" w:eastAsia="Wingdings" w:cs="Wingdings"/>
        <w:w w:val="100"/>
        <w:sz w:val="22"/>
        <w:szCs w:val="22"/>
        <w:lang w:val="en-US" w:eastAsia="en-US" w:bidi="ar-SA"/>
      </w:rPr>
    </w:lvl>
    <w:lvl w:ilvl="5">
      <w:start w:val="0"/>
      <w:numFmt w:val="bullet"/>
      <w:lvlText w:val="•"/>
      <w:lvlJc w:val="left"/>
      <w:pPr>
        <w:ind w:left="4038" w:hanging="360"/>
      </w:pPr>
      <w:rPr>
        <w:rFonts w:hint="default"/>
        <w:lang w:val="en-US" w:eastAsia="en-US" w:bidi="ar-SA"/>
      </w:rPr>
    </w:lvl>
    <w:lvl w:ilvl="6">
      <w:start w:val="0"/>
      <w:numFmt w:val="bullet"/>
      <w:lvlText w:val="•"/>
      <w:lvlJc w:val="left"/>
      <w:pPr>
        <w:ind w:left="5596" w:hanging="360"/>
      </w:pPr>
      <w:rPr>
        <w:rFonts w:hint="default"/>
        <w:lang w:val="en-US" w:eastAsia="en-US" w:bidi="ar-SA"/>
      </w:rPr>
    </w:lvl>
    <w:lvl w:ilvl="7">
      <w:start w:val="0"/>
      <w:numFmt w:val="bullet"/>
      <w:lvlText w:val="•"/>
      <w:lvlJc w:val="left"/>
      <w:pPr>
        <w:ind w:left="7154" w:hanging="360"/>
      </w:pPr>
      <w:rPr>
        <w:rFonts w:hint="default"/>
        <w:lang w:val="en-US" w:eastAsia="en-US" w:bidi="ar-SA"/>
      </w:rPr>
    </w:lvl>
    <w:lvl w:ilvl="8">
      <w:start w:val="0"/>
      <w:numFmt w:val="bullet"/>
      <w:lvlText w:val="•"/>
      <w:lvlJc w:val="left"/>
      <w:pPr>
        <w:ind w:left="8712" w:hanging="360"/>
      </w:pPr>
      <w:rPr>
        <w:rFonts w:hint="default"/>
        <w:lang w:val="en-US" w:eastAsia="en-US" w:bidi="ar-SA"/>
      </w:rPr>
    </w:lvl>
  </w:abstractNum>
  <w:abstractNum w:abstractNumId="91">
    <w:multiLevelType w:val="hybridMultilevel"/>
    <w:lvl w:ilvl="0">
      <w:start w:val="0"/>
      <w:numFmt w:val="bullet"/>
      <w:lvlText w:val=""/>
      <w:lvlJc w:val="left"/>
      <w:pPr>
        <w:ind w:left="898" w:hanging="360"/>
      </w:pPr>
      <w:rPr>
        <w:rFonts w:hint="default" w:ascii="Symbol" w:hAnsi="Symbol" w:eastAsia="Symbol" w:cs="Symbol"/>
        <w:w w:val="100"/>
        <w:sz w:val="22"/>
        <w:szCs w:val="22"/>
        <w:lang w:val="en-US" w:eastAsia="en-US" w:bidi="ar-SA"/>
      </w:rPr>
    </w:lvl>
    <w:lvl w:ilvl="1">
      <w:start w:val="0"/>
      <w:numFmt w:val="bullet"/>
      <w:lvlText w:val="•"/>
      <w:lvlJc w:val="left"/>
      <w:pPr>
        <w:ind w:left="1688" w:hanging="360"/>
      </w:pPr>
      <w:rPr>
        <w:rFonts w:hint="default"/>
        <w:lang w:val="en-US" w:eastAsia="en-US" w:bidi="ar-SA"/>
      </w:rPr>
    </w:lvl>
    <w:lvl w:ilvl="2">
      <w:start w:val="0"/>
      <w:numFmt w:val="bullet"/>
      <w:lvlText w:val="•"/>
      <w:lvlJc w:val="left"/>
      <w:pPr>
        <w:ind w:left="2476" w:hanging="360"/>
      </w:pPr>
      <w:rPr>
        <w:rFonts w:hint="default"/>
        <w:lang w:val="en-US" w:eastAsia="en-US" w:bidi="ar-SA"/>
      </w:rPr>
    </w:lvl>
    <w:lvl w:ilvl="3">
      <w:start w:val="0"/>
      <w:numFmt w:val="bullet"/>
      <w:lvlText w:val="•"/>
      <w:lvlJc w:val="left"/>
      <w:pPr>
        <w:ind w:left="3265" w:hanging="360"/>
      </w:pPr>
      <w:rPr>
        <w:rFonts w:hint="default"/>
        <w:lang w:val="en-US" w:eastAsia="en-US" w:bidi="ar-SA"/>
      </w:rPr>
    </w:lvl>
    <w:lvl w:ilvl="4">
      <w:start w:val="0"/>
      <w:numFmt w:val="bullet"/>
      <w:lvlText w:val="•"/>
      <w:lvlJc w:val="left"/>
      <w:pPr>
        <w:ind w:left="4053" w:hanging="360"/>
      </w:pPr>
      <w:rPr>
        <w:rFonts w:hint="default"/>
        <w:lang w:val="en-US" w:eastAsia="en-US" w:bidi="ar-SA"/>
      </w:rPr>
    </w:lvl>
    <w:lvl w:ilvl="5">
      <w:start w:val="0"/>
      <w:numFmt w:val="bullet"/>
      <w:lvlText w:val="•"/>
      <w:lvlJc w:val="left"/>
      <w:pPr>
        <w:ind w:left="4842" w:hanging="360"/>
      </w:pPr>
      <w:rPr>
        <w:rFonts w:hint="default"/>
        <w:lang w:val="en-US" w:eastAsia="en-US" w:bidi="ar-SA"/>
      </w:rPr>
    </w:lvl>
    <w:lvl w:ilvl="6">
      <w:start w:val="0"/>
      <w:numFmt w:val="bullet"/>
      <w:lvlText w:val="•"/>
      <w:lvlJc w:val="left"/>
      <w:pPr>
        <w:ind w:left="5630" w:hanging="360"/>
      </w:pPr>
      <w:rPr>
        <w:rFonts w:hint="default"/>
        <w:lang w:val="en-US" w:eastAsia="en-US" w:bidi="ar-SA"/>
      </w:rPr>
    </w:lvl>
    <w:lvl w:ilvl="7">
      <w:start w:val="0"/>
      <w:numFmt w:val="bullet"/>
      <w:lvlText w:val="•"/>
      <w:lvlJc w:val="left"/>
      <w:pPr>
        <w:ind w:left="6419" w:hanging="360"/>
      </w:pPr>
      <w:rPr>
        <w:rFonts w:hint="default"/>
        <w:lang w:val="en-US" w:eastAsia="en-US" w:bidi="ar-SA"/>
      </w:rPr>
    </w:lvl>
    <w:lvl w:ilvl="8">
      <w:start w:val="0"/>
      <w:numFmt w:val="bullet"/>
      <w:lvlText w:val="•"/>
      <w:lvlJc w:val="left"/>
      <w:pPr>
        <w:ind w:left="7207" w:hanging="360"/>
      </w:pPr>
      <w:rPr>
        <w:rFonts w:hint="default"/>
        <w:lang w:val="en-US" w:eastAsia="en-US" w:bidi="ar-SA"/>
      </w:rPr>
    </w:lvl>
  </w:abstractNum>
  <w:abstractNum w:abstractNumId="90">
    <w:multiLevelType w:val="hybridMultilevel"/>
    <w:lvl w:ilvl="0">
      <w:start w:val="16"/>
      <w:numFmt w:val="decimal"/>
      <w:lvlText w:val="%1"/>
      <w:lvlJc w:val="left"/>
      <w:pPr>
        <w:ind w:left="1544" w:hanging="865"/>
        <w:jc w:val="left"/>
      </w:pPr>
      <w:rPr>
        <w:rFonts w:hint="default"/>
        <w:lang w:val="en-US" w:eastAsia="en-US" w:bidi="ar-SA"/>
      </w:rPr>
    </w:lvl>
    <w:lvl w:ilvl="1">
      <w:start w:val="3"/>
      <w:numFmt w:val="decimal"/>
      <w:lvlText w:val="%1.%2"/>
      <w:lvlJc w:val="left"/>
      <w:pPr>
        <w:ind w:left="1544" w:hanging="865"/>
        <w:jc w:val="left"/>
      </w:pPr>
      <w:rPr>
        <w:rFonts w:hint="default"/>
        <w:lang w:val="en-US" w:eastAsia="en-US" w:bidi="ar-SA"/>
      </w:rPr>
    </w:lvl>
    <w:lvl w:ilvl="2">
      <w:start w:val="5"/>
      <w:numFmt w:val="decimal"/>
      <w:lvlText w:val="%1.%2.%3"/>
      <w:lvlJc w:val="left"/>
      <w:pPr>
        <w:ind w:left="1544" w:hanging="865"/>
        <w:jc w:val="left"/>
      </w:pPr>
      <w:rPr>
        <w:rFonts w:hint="default"/>
        <w:lang w:val="en-US" w:eastAsia="en-US" w:bidi="ar-SA"/>
      </w:rPr>
    </w:lvl>
    <w:lvl w:ilvl="3">
      <w:start w:val="1"/>
      <w:numFmt w:val="decimal"/>
      <w:lvlText w:val="%1.%2.%3.%4"/>
      <w:lvlJc w:val="left"/>
      <w:pPr>
        <w:ind w:left="154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655" w:hanging="865"/>
      </w:pPr>
      <w:rPr>
        <w:rFonts w:hint="default"/>
        <w:lang w:val="en-US" w:eastAsia="en-US" w:bidi="ar-SA"/>
      </w:rPr>
    </w:lvl>
    <w:lvl w:ilvl="5">
      <w:start w:val="0"/>
      <w:numFmt w:val="bullet"/>
      <w:lvlText w:val="•"/>
      <w:lvlJc w:val="left"/>
      <w:pPr>
        <w:ind w:left="6684" w:hanging="865"/>
      </w:pPr>
      <w:rPr>
        <w:rFonts w:hint="default"/>
        <w:lang w:val="en-US" w:eastAsia="en-US" w:bidi="ar-SA"/>
      </w:rPr>
    </w:lvl>
    <w:lvl w:ilvl="6">
      <w:start w:val="0"/>
      <w:numFmt w:val="bullet"/>
      <w:lvlText w:val="•"/>
      <w:lvlJc w:val="left"/>
      <w:pPr>
        <w:ind w:left="7713" w:hanging="865"/>
      </w:pPr>
      <w:rPr>
        <w:rFonts w:hint="default"/>
        <w:lang w:val="en-US" w:eastAsia="en-US" w:bidi="ar-SA"/>
      </w:rPr>
    </w:lvl>
    <w:lvl w:ilvl="7">
      <w:start w:val="0"/>
      <w:numFmt w:val="bullet"/>
      <w:lvlText w:val="•"/>
      <w:lvlJc w:val="left"/>
      <w:pPr>
        <w:ind w:left="8742" w:hanging="865"/>
      </w:pPr>
      <w:rPr>
        <w:rFonts w:hint="default"/>
        <w:lang w:val="en-US" w:eastAsia="en-US" w:bidi="ar-SA"/>
      </w:rPr>
    </w:lvl>
    <w:lvl w:ilvl="8">
      <w:start w:val="0"/>
      <w:numFmt w:val="bullet"/>
      <w:lvlText w:val="•"/>
      <w:lvlJc w:val="left"/>
      <w:pPr>
        <w:ind w:left="9771" w:hanging="865"/>
      </w:pPr>
      <w:rPr>
        <w:rFonts w:hint="default"/>
        <w:lang w:val="en-US" w:eastAsia="en-US" w:bidi="ar-SA"/>
      </w:rPr>
    </w:lvl>
  </w:abstractNum>
  <w:abstractNum w:abstractNumId="89">
    <w:multiLevelType w:val="hybridMultilevel"/>
    <w:lvl w:ilvl="0">
      <w:start w:val="16"/>
      <w:numFmt w:val="decimal"/>
      <w:lvlText w:val="%1"/>
      <w:lvlJc w:val="left"/>
      <w:pPr>
        <w:ind w:left="1544" w:hanging="865"/>
        <w:jc w:val="left"/>
      </w:pPr>
      <w:rPr>
        <w:rFonts w:hint="default"/>
        <w:lang w:val="en-US" w:eastAsia="en-US" w:bidi="ar-SA"/>
      </w:rPr>
    </w:lvl>
    <w:lvl w:ilvl="1">
      <w:start w:val="3"/>
      <w:numFmt w:val="decimal"/>
      <w:lvlText w:val="%1.%2"/>
      <w:lvlJc w:val="left"/>
      <w:pPr>
        <w:ind w:left="1544" w:hanging="865"/>
        <w:jc w:val="left"/>
      </w:pPr>
      <w:rPr>
        <w:rFonts w:hint="default"/>
        <w:lang w:val="en-US" w:eastAsia="en-US" w:bidi="ar-SA"/>
      </w:rPr>
    </w:lvl>
    <w:lvl w:ilvl="2">
      <w:start w:val="4"/>
      <w:numFmt w:val="decimal"/>
      <w:lvlText w:val="%1.%2.%3"/>
      <w:lvlJc w:val="left"/>
      <w:pPr>
        <w:ind w:left="1544" w:hanging="865"/>
        <w:jc w:val="left"/>
      </w:pPr>
      <w:rPr>
        <w:rFonts w:hint="default"/>
        <w:lang w:val="en-US" w:eastAsia="en-US" w:bidi="ar-SA"/>
      </w:rPr>
    </w:lvl>
    <w:lvl w:ilvl="3">
      <w:start w:val="1"/>
      <w:numFmt w:val="decimal"/>
      <w:lvlText w:val="%1.%2.%3.%4"/>
      <w:lvlJc w:val="left"/>
      <w:pPr>
        <w:ind w:left="154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655" w:hanging="865"/>
      </w:pPr>
      <w:rPr>
        <w:rFonts w:hint="default"/>
        <w:lang w:val="en-US" w:eastAsia="en-US" w:bidi="ar-SA"/>
      </w:rPr>
    </w:lvl>
    <w:lvl w:ilvl="5">
      <w:start w:val="0"/>
      <w:numFmt w:val="bullet"/>
      <w:lvlText w:val="•"/>
      <w:lvlJc w:val="left"/>
      <w:pPr>
        <w:ind w:left="6684" w:hanging="865"/>
      </w:pPr>
      <w:rPr>
        <w:rFonts w:hint="default"/>
        <w:lang w:val="en-US" w:eastAsia="en-US" w:bidi="ar-SA"/>
      </w:rPr>
    </w:lvl>
    <w:lvl w:ilvl="6">
      <w:start w:val="0"/>
      <w:numFmt w:val="bullet"/>
      <w:lvlText w:val="•"/>
      <w:lvlJc w:val="left"/>
      <w:pPr>
        <w:ind w:left="7713" w:hanging="865"/>
      </w:pPr>
      <w:rPr>
        <w:rFonts w:hint="default"/>
        <w:lang w:val="en-US" w:eastAsia="en-US" w:bidi="ar-SA"/>
      </w:rPr>
    </w:lvl>
    <w:lvl w:ilvl="7">
      <w:start w:val="0"/>
      <w:numFmt w:val="bullet"/>
      <w:lvlText w:val="•"/>
      <w:lvlJc w:val="left"/>
      <w:pPr>
        <w:ind w:left="8742" w:hanging="865"/>
      </w:pPr>
      <w:rPr>
        <w:rFonts w:hint="default"/>
        <w:lang w:val="en-US" w:eastAsia="en-US" w:bidi="ar-SA"/>
      </w:rPr>
    </w:lvl>
    <w:lvl w:ilvl="8">
      <w:start w:val="0"/>
      <w:numFmt w:val="bullet"/>
      <w:lvlText w:val="•"/>
      <w:lvlJc w:val="left"/>
      <w:pPr>
        <w:ind w:left="9771" w:hanging="865"/>
      </w:pPr>
      <w:rPr>
        <w:rFonts w:hint="default"/>
        <w:lang w:val="en-US" w:eastAsia="en-US" w:bidi="ar-SA"/>
      </w:rPr>
    </w:lvl>
  </w:abstractNum>
  <w:abstractNum w:abstractNumId="88">
    <w:multiLevelType w:val="hybridMultilevel"/>
    <w:lvl w:ilvl="0">
      <w:start w:val="0"/>
      <w:numFmt w:val="bullet"/>
      <w:lvlText w:val=""/>
      <w:lvlJc w:val="left"/>
      <w:pPr>
        <w:ind w:left="212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3090" w:hanging="360"/>
      </w:pPr>
      <w:rPr>
        <w:rFonts w:hint="default"/>
        <w:lang w:val="en-US" w:eastAsia="en-US" w:bidi="ar-SA"/>
      </w:rPr>
    </w:lvl>
    <w:lvl w:ilvl="2">
      <w:start w:val="0"/>
      <w:numFmt w:val="bullet"/>
      <w:lvlText w:val="•"/>
      <w:lvlJc w:val="left"/>
      <w:pPr>
        <w:ind w:left="4061" w:hanging="360"/>
      </w:pPr>
      <w:rPr>
        <w:rFonts w:hint="default"/>
        <w:lang w:val="en-US" w:eastAsia="en-US" w:bidi="ar-SA"/>
      </w:rPr>
    </w:lvl>
    <w:lvl w:ilvl="3">
      <w:start w:val="0"/>
      <w:numFmt w:val="bullet"/>
      <w:lvlText w:val="•"/>
      <w:lvlJc w:val="left"/>
      <w:pPr>
        <w:ind w:left="5032" w:hanging="360"/>
      </w:pPr>
      <w:rPr>
        <w:rFonts w:hint="default"/>
        <w:lang w:val="en-US" w:eastAsia="en-US" w:bidi="ar-SA"/>
      </w:rPr>
    </w:lvl>
    <w:lvl w:ilvl="4">
      <w:start w:val="0"/>
      <w:numFmt w:val="bullet"/>
      <w:lvlText w:val="•"/>
      <w:lvlJc w:val="left"/>
      <w:pPr>
        <w:ind w:left="6003" w:hanging="360"/>
      </w:pPr>
      <w:rPr>
        <w:rFonts w:hint="default"/>
        <w:lang w:val="en-US" w:eastAsia="en-US" w:bidi="ar-SA"/>
      </w:rPr>
    </w:lvl>
    <w:lvl w:ilvl="5">
      <w:start w:val="0"/>
      <w:numFmt w:val="bullet"/>
      <w:lvlText w:val="•"/>
      <w:lvlJc w:val="left"/>
      <w:pPr>
        <w:ind w:left="6974" w:hanging="360"/>
      </w:pPr>
      <w:rPr>
        <w:rFonts w:hint="default"/>
        <w:lang w:val="en-US" w:eastAsia="en-US" w:bidi="ar-SA"/>
      </w:rPr>
    </w:lvl>
    <w:lvl w:ilvl="6">
      <w:start w:val="0"/>
      <w:numFmt w:val="bullet"/>
      <w:lvlText w:val="•"/>
      <w:lvlJc w:val="left"/>
      <w:pPr>
        <w:ind w:left="7945" w:hanging="360"/>
      </w:pPr>
      <w:rPr>
        <w:rFonts w:hint="default"/>
        <w:lang w:val="en-US" w:eastAsia="en-US" w:bidi="ar-SA"/>
      </w:rPr>
    </w:lvl>
    <w:lvl w:ilvl="7">
      <w:start w:val="0"/>
      <w:numFmt w:val="bullet"/>
      <w:lvlText w:val="•"/>
      <w:lvlJc w:val="left"/>
      <w:pPr>
        <w:ind w:left="8916" w:hanging="360"/>
      </w:pPr>
      <w:rPr>
        <w:rFonts w:hint="default"/>
        <w:lang w:val="en-US" w:eastAsia="en-US" w:bidi="ar-SA"/>
      </w:rPr>
    </w:lvl>
    <w:lvl w:ilvl="8">
      <w:start w:val="0"/>
      <w:numFmt w:val="bullet"/>
      <w:lvlText w:val="•"/>
      <w:lvlJc w:val="left"/>
      <w:pPr>
        <w:ind w:left="9887" w:hanging="360"/>
      </w:pPr>
      <w:rPr>
        <w:rFonts w:hint="default"/>
        <w:lang w:val="en-US" w:eastAsia="en-US" w:bidi="ar-SA"/>
      </w:rPr>
    </w:lvl>
  </w:abstractNum>
  <w:abstractNum w:abstractNumId="87">
    <w:multiLevelType w:val="hybridMultilevel"/>
    <w:lvl w:ilvl="0">
      <w:start w:val="0"/>
      <w:numFmt w:val="bullet"/>
      <w:lvlText w:val="–"/>
      <w:lvlJc w:val="left"/>
      <w:pPr>
        <w:ind w:left="3417" w:hanging="195"/>
      </w:pPr>
      <w:rPr>
        <w:rFonts w:hint="default" w:ascii="Trebuchet MS" w:hAnsi="Trebuchet MS" w:eastAsia="Trebuchet MS" w:cs="Trebuchet MS"/>
        <w:w w:val="136"/>
        <w:sz w:val="22"/>
        <w:szCs w:val="22"/>
        <w:lang w:val="en-US" w:eastAsia="en-US" w:bidi="ar-SA"/>
      </w:rPr>
    </w:lvl>
    <w:lvl w:ilvl="1">
      <w:start w:val="0"/>
      <w:numFmt w:val="bullet"/>
      <w:lvlText w:val=""/>
      <w:lvlJc w:val="left"/>
      <w:pPr>
        <w:ind w:left="3942" w:hanging="360"/>
      </w:pPr>
      <w:rPr>
        <w:rFonts w:hint="default" w:ascii="Symbol" w:hAnsi="Symbol" w:eastAsia="Symbol" w:cs="Symbol"/>
        <w:w w:val="100"/>
        <w:sz w:val="22"/>
        <w:szCs w:val="22"/>
        <w:lang w:val="en-US" w:eastAsia="en-US" w:bidi="ar-SA"/>
      </w:rPr>
    </w:lvl>
    <w:lvl w:ilvl="2">
      <w:start w:val="0"/>
      <w:numFmt w:val="bullet"/>
      <w:lvlText w:val="•"/>
      <w:lvlJc w:val="left"/>
      <w:pPr>
        <w:ind w:left="4816" w:hanging="360"/>
      </w:pPr>
      <w:rPr>
        <w:rFonts w:hint="default"/>
        <w:lang w:val="en-US" w:eastAsia="en-US" w:bidi="ar-SA"/>
      </w:rPr>
    </w:lvl>
    <w:lvl w:ilvl="3">
      <w:start w:val="0"/>
      <w:numFmt w:val="bullet"/>
      <w:lvlText w:val="•"/>
      <w:lvlJc w:val="left"/>
      <w:pPr>
        <w:ind w:left="5693" w:hanging="360"/>
      </w:pPr>
      <w:rPr>
        <w:rFonts w:hint="default"/>
        <w:lang w:val="en-US" w:eastAsia="en-US" w:bidi="ar-SA"/>
      </w:rPr>
    </w:lvl>
    <w:lvl w:ilvl="4">
      <w:start w:val="0"/>
      <w:numFmt w:val="bullet"/>
      <w:lvlText w:val="•"/>
      <w:lvlJc w:val="left"/>
      <w:pPr>
        <w:ind w:left="6569" w:hanging="360"/>
      </w:pPr>
      <w:rPr>
        <w:rFonts w:hint="default"/>
        <w:lang w:val="en-US" w:eastAsia="en-US" w:bidi="ar-SA"/>
      </w:rPr>
    </w:lvl>
    <w:lvl w:ilvl="5">
      <w:start w:val="0"/>
      <w:numFmt w:val="bullet"/>
      <w:lvlText w:val="•"/>
      <w:lvlJc w:val="left"/>
      <w:pPr>
        <w:ind w:left="7446" w:hanging="360"/>
      </w:pPr>
      <w:rPr>
        <w:rFonts w:hint="default"/>
        <w:lang w:val="en-US" w:eastAsia="en-US" w:bidi="ar-SA"/>
      </w:rPr>
    </w:lvl>
    <w:lvl w:ilvl="6">
      <w:start w:val="0"/>
      <w:numFmt w:val="bullet"/>
      <w:lvlText w:val="•"/>
      <w:lvlJc w:val="left"/>
      <w:pPr>
        <w:ind w:left="8322" w:hanging="360"/>
      </w:pPr>
      <w:rPr>
        <w:rFonts w:hint="default"/>
        <w:lang w:val="en-US" w:eastAsia="en-US" w:bidi="ar-SA"/>
      </w:rPr>
    </w:lvl>
    <w:lvl w:ilvl="7">
      <w:start w:val="0"/>
      <w:numFmt w:val="bullet"/>
      <w:lvlText w:val="•"/>
      <w:lvlJc w:val="left"/>
      <w:pPr>
        <w:ind w:left="9199" w:hanging="360"/>
      </w:pPr>
      <w:rPr>
        <w:rFonts w:hint="default"/>
        <w:lang w:val="en-US" w:eastAsia="en-US" w:bidi="ar-SA"/>
      </w:rPr>
    </w:lvl>
    <w:lvl w:ilvl="8">
      <w:start w:val="0"/>
      <w:numFmt w:val="bullet"/>
      <w:lvlText w:val="•"/>
      <w:lvlJc w:val="left"/>
      <w:pPr>
        <w:ind w:left="10075" w:hanging="360"/>
      </w:pPr>
      <w:rPr>
        <w:rFonts w:hint="default"/>
        <w:lang w:val="en-US" w:eastAsia="en-US" w:bidi="ar-SA"/>
      </w:rPr>
    </w:lvl>
  </w:abstractNum>
  <w:abstractNum w:abstractNumId="86">
    <w:multiLevelType w:val="hybridMultilevel"/>
    <w:lvl w:ilvl="0">
      <w:start w:val="15"/>
      <w:numFmt w:val="decimal"/>
      <w:lvlText w:val="%1"/>
      <w:lvlJc w:val="left"/>
      <w:pPr>
        <w:ind w:left="1544" w:hanging="865"/>
        <w:jc w:val="left"/>
      </w:pPr>
      <w:rPr>
        <w:rFonts w:hint="default"/>
        <w:lang w:val="en-US" w:eastAsia="en-US" w:bidi="ar-SA"/>
      </w:rPr>
    </w:lvl>
    <w:lvl w:ilvl="1">
      <w:start w:val="3"/>
      <w:numFmt w:val="decimal"/>
      <w:lvlText w:val="%1.%2"/>
      <w:lvlJc w:val="left"/>
      <w:pPr>
        <w:ind w:left="1544" w:hanging="865"/>
        <w:jc w:val="left"/>
      </w:pPr>
      <w:rPr>
        <w:rFonts w:hint="default"/>
        <w:lang w:val="en-US" w:eastAsia="en-US" w:bidi="ar-SA"/>
      </w:rPr>
    </w:lvl>
    <w:lvl w:ilvl="2">
      <w:start w:val="8"/>
      <w:numFmt w:val="decimal"/>
      <w:lvlText w:val="%1.%2.%3"/>
      <w:lvlJc w:val="left"/>
      <w:pPr>
        <w:ind w:left="1544" w:hanging="865"/>
        <w:jc w:val="left"/>
      </w:pPr>
      <w:rPr>
        <w:rFonts w:hint="default"/>
        <w:lang w:val="en-US" w:eastAsia="en-US" w:bidi="ar-SA"/>
      </w:rPr>
    </w:lvl>
    <w:lvl w:ilvl="3">
      <w:start w:val="1"/>
      <w:numFmt w:val="decimal"/>
      <w:lvlText w:val="%1.%2.%3.%4"/>
      <w:lvlJc w:val="left"/>
      <w:pPr>
        <w:ind w:left="154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655" w:hanging="865"/>
      </w:pPr>
      <w:rPr>
        <w:rFonts w:hint="default"/>
        <w:lang w:val="en-US" w:eastAsia="en-US" w:bidi="ar-SA"/>
      </w:rPr>
    </w:lvl>
    <w:lvl w:ilvl="5">
      <w:start w:val="0"/>
      <w:numFmt w:val="bullet"/>
      <w:lvlText w:val="•"/>
      <w:lvlJc w:val="left"/>
      <w:pPr>
        <w:ind w:left="6684" w:hanging="865"/>
      </w:pPr>
      <w:rPr>
        <w:rFonts w:hint="default"/>
        <w:lang w:val="en-US" w:eastAsia="en-US" w:bidi="ar-SA"/>
      </w:rPr>
    </w:lvl>
    <w:lvl w:ilvl="6">
      <w:start w:val="0"/>
      <w:numFmt w:val="bullet"/>
      <w:lvlText w:val="•"/>
      <w:lvlJc w:val="left"/>
      <w:pPr>
        <w:ind w:left="7713" w:hanging="865"/>
      </w:pPr>
      <w:rPr>
        <w:rFonts w:hint="default"/>
        <w:lang w:val="en-US" w:eastAsia="en-US" w:bidi="ar-SA"/>
      </w:rPr>
    </w:lvl>
    <w:lvl w:ilvl="7">
      <w:start w:val="0"/>
      <w:numFmt w:val="bullet"/>
      <w:lvlText w:val="•"/>
      <w:lvlJc w:val="left"/>
      <w:pPr>
        <w:ind w:left="8742" w:hanging="865"/>
      </w:pPr>
      <w:rPr>
        <w:rFonts w:hint="default"/>
        <w:lang w:val="en-US" w:eastAsia="en-US" w:bidi="ar-SA"/>
      </w:rPr>
    </w:lvl>
    <w:lvl w:ilvl="8">
      <w:start w:val="0"/>
      <w:numFmt w:val="bullet"/>
      <w:lvlText w:val="•"/>
      <w:lvlJc w:val="left"/>
      <w:pPr>
        <w:ind w:left="9771" w:hanging="865"/>
      </w:pPr>
      <w:rPr>
        <w:rFonts w:hint="default"/>
        <w:lang w:val="en-US" w:eastAsia="en-US" w:bidi="ar-SA"/>
      </w:rPr>
    </w:lvl>
  </w:abstractNum>
  <w:abstractNum w:abstractNumId="85">
    <w:multiLevelType w:val="hybridMultilevel"/>
    <w:lvl w:ilvl="0">
      <w:start w:val="15"/>
      <w:numFmt w:val="decimal"/>
      <w:lvlText w:val="%1"/>
      <w:lvlJc w:val="left"/>
      <w:pPr>
        <w:ind w:left="1544" w:hanging="865"/>
        <w:jc w:val="left"/>
      </w:pPr>
      <w:rPr>
        <w:rFonts w:hint="default"/>
        <w:lang w:val="en-US" w:eastAsia="en-US" w:bidi="ar-SA"/>
      </w:rPr>
    </w:lvl>
    <w:lvl w:ilvl="1">
      <w:start w:val="3"/>
      <w:numFmt w:val="decimal"/>
      <w:lvlText w:val="%1.%2"/>
      <w:lvlJc w:val="left"/>
      <w:pPr>
        <w:ind w:left="1544" w:hanging="865"/>
        <w:jc w:val="left"/>
      </w:pPr>
      <w:rPr>
        <w:rFonts w:hint="default"/>
        <w:lang w:val="en-US" w:eastAsia="en-US" w:bidi="ar-SA"/>
      </w:rPr>
    </w:lvl>
    <w:lvl w:ilvl="2">
      <w:start w:val="6"/>
      <w:numFmt w:val="decimal"/>
      <w:lvlText w:val="%1.%2.%3"/>
      <w:lvlJc w:val="left"/>
      <w:pPr>
        <w:ind w:left="1544" w:hanging="865"/>
        <w:jc w:val="left"/>
      </w:pPr>
      <w:rPr>
        <w:rFonts w:hint="default"/>
        <w:lang w:val="en-US" w:eastAsia="en-US" w:bidi="ar-SA"/>
      </w:rPr>
    </w:lvl>
    <w:lvl w:ilvl="3">
      <w:start w:val="1"/>
      <w:numFmt w:val="decimal"/>
      <w:lvlText w:val="%1.%2.%3.%4"/>
      <w:lvlJc w:val="left"/>
      <w:pPr>
        <w:ind w:left="154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655" w:hanging="865"/>
      </w:pPr>
      <w:rPr>
        <w:rFonts w:hint="default"/>
        <w:lang w:val="en-US" w:eastAsia="en-US" w:bidi="ar-SA"/>
      </w:rPr>
    </w:lvl>
    <w:lvl w:ilvl="5">
      <w:start w:val="0"/>
      <w:numFmt w:val="bullet"/>
      <w:lvlText w:val="•"/>
      <w:lvlJc w:val="left"/>
      <w:pPr>
        <w:ind w:left="6684" w:hanging="865"/>
      </w:pPr>
      <w:rPr>
        <w:rFonts w:hint="default"/>
        <w:lang w:val="en-US" w:eastAsia="en-US" w:bidi="ar-SA"/>
      </w:rPr>
    </w:lvl>
    <w:lvl w:ilvl="6">
      <w:start w:val="0"/>
      <w:numFmt w:val="bullet"/>
      <w:lvlText w:val="•"/>
      <w:lvlJc w:val="left"/>
      <w:pPr>
        <w:ind w:left="7713" w:hanging="865"/>
      </w:pPr>
      <w:rPr>
        <w:rFonts w:hint="default"/>
        <w:lang w:val="en-US" w:eastAsia="en-US" w:bidi="ar-SA"/>
      </w:rPr>
    </w:lvl>
    <w:lvl w:ilvl="7">
      <w:start w:val="0"/>
      <w:numFmt w:val="bullet"/>
      <w:lvlText w:val="•"/>
      <w:lvlJc w:val="left"/>
      <w:pPr>
        <w:ind w:left="8742" w:hanging="865"/>
      </w:pPr>
      <w:rPr>
        <w:rFonts w:hint="default"/>
        <w:lang w:val="en-US" w:eastAsia="en-US" w:bidi="ar-SA"/>
      </w:rPr>
    </w:lvl>
    <w:lvl w:ilvl="8">
      <w:start w:val="0"/>
      <w:numFmt w:val="bullet"/>
      <w:lvlText w:val="•"/>
      <w:lvlJc w:val="left"/>
      <w:pPr>
        <w:ind w:left="9771" w:hanging="865"/>
      </w:pPr>
      <w:rPr>
        <w:rFonts w:hint="default"/>
        <w:lang w:val="en-US" w:eastAsia="en-US" w:bidi="ar-SA"/>
      </w:rPr>
    </w:lvl>
  </w:abstractNum>
  <w:abstractNum w:abstractNumId="84">
    <w:multiLevelType w:val="hybridMultilevel"/>
    <w:lvl w:ilvl="0">
      <w:start w:val="15"/>
      <w:numFmt w:val="decimal"/>
      <w:lvlText w:val="%1"/>
      <w:lvlJc w:val="left"/>
      <w:pPr>
        <w:ind w:left="1544" w:hanging="865"/>
        <w:jc w:val="left"/>
      </w:pPr>
      <w:rPr>
        <w:rFonts w:hint="default"/>
        <w:lang w:val="en-US" w:eastAsia="en-US" w:bidi="ar-SA"/>
      </w:rPr>
    </w:lvl>
    <w:lvl w:ilvl="1">
      <w:start w:val="3"/>
      <w:numFmt w:val="decimal"/>
      <w:lvlText w:val="%1.%2"/>
      <w:lvlJc w:val="left"/>
      <w:pPr>
        <w:ind w:left="1544" w:hanging="865"/>
        <w:jc w:val="left"/>
      </w:pPr>
      <w:rPr>
        <w:rFonts w:hint="default"/>
        <w:lang w:val="en-US" w:eastAsia="en-US" w:bidi="ar-SA"/>
      </w:rPr>
    </w:lvl>
    <w:lvl w:ilvl="2">
      <w:start w:val="5"/>
      <w:numFmt w:val="decimal"/>
      <w:lvlText w:val="%1.%2.%3"/>
      <w:lvlJc w:val="left"/>
      <w:pPr>
        <w:ind w:left="1544" w:hanging="865"/>
        <w:jc w:val="left"/>
      </w:pPr>
      <w:rPr>
        <w:rFonts w:hint="default"/>
        <w:lang w:val="en-US" w:eastAsia="en-US" w:bidi="ar-SA"/>
      </w:rPr>
    </w:lvl>
    <w:lvl w:ilvl="3">
      <w:start w:val="1"/>
      <w:numFmt w:val="decimal"/>
      <w:lvlText w:val="%1.%2.%3.%4"/>
      <w:lvlJc w:val="left"/>
      <w:pPr>
        <w:ind w:left="1544" w:hanging="865"/>
        <w:jc w:val="left"/>
      </w:pPr>
      <w:rPr>
        <w:rFonts w:hint="default" w:ascii="Trebuchet MS" w:hAnsi="Trebuchet MS" w:eastAsia="Trebuchet MS" w:cs="Trebuchet MS"/>
        <w:i/>
        <w:color w:val="008000"/>
        <w:spacing w:val="-3"/>
        <w:w w:val="78"/>
        <w:sz w:val="22"/>
        <w:szCs w:val="22"/>
        <w:lang w:val="en-US" w:eastAsia="en-US" w:bidi="ar-SA"/>
      </w:rPr>
    </w:lvl>
    <w:lvl w:ilvl="4">
      <w:start w:val="1"/>
      <w:numFmt w:val="decimal"/>
      <w:lvlText w:val="%1.%2.%3.%4.%5"/>
      <w:lvlJc w:val="left"/>
      <w:pPr>
        <w:ind w:left="1868" w:hanging="1009"/>
        <w:jc w:val="left"/>
      </w:pPr>
      <w:rPr>
        <w:rFonts w:hint="default" w:ascii="Trebuchet MS" w:hAnsi="Trebuchet MS" w:eastAsia="Trebuchet MS" w:cs="Trebuchet MS"/>
        <w:color w:val="1F664D"/>
        <w:spacing w:val="-1"/>
        <w:w w:val="81"/>
        <w:sz w:val="20"/>
        <w:szCs w:val="20"/>
        <w:lang w:val="en-US" w:eastAsia="en-US" w:bidi="ar-SA"/>
      </w:rPr>
    </w:lvl>
    <w:lvl w:ilvl="5">
      <w:start w:val="0"/>
      <w:numFmt w:val="bullet"/>
      <w:lvlText w:val="•"/>
      <w:lvlJc w:val="left"/>
      <w:pPr>
        <w:ind w:left="6290" w:hanging="1009"/>
      </w:pPr>
      <w:rPr>
        <w:rFonts w:hint="default"/>
        <w:lang w:val="en-US" w:eastAsia="en-US" w:bidi="ar-SA"/>
      </w:rPr>
    </w:lvl>
    <w:lvl w:ilvl="6">
      <w:start w:val="0"/>
      <w:numFmt w:val="bullet"/>
      <w:lvlText w:val="•"/>
      <w:lvlJc w:val="left"/>
      <w:pPr>
        <w:ind w:left="7398" w:hanging="1009"/>
      </w:pPr>
      <w:rPr>
        <w:rFonts w:hint="default"/>
        <w:lang w:val="en-US" w:eastAsia="en-US" w:bidi="ar-SA"/>
      </w:rPr>
    </w:lvl>
    <w:lvl w:ilvl="7">
      <w:start w:val="0"/>
      <w:numFmt w:val="bullet"/>
      <w:lvlText w:val="•"/>
      <w:lvlJc w:val="left"/>
      <w:pPr>
        <w:ind w:left="8505" w:hanging="1009"/>
      </w:pPr>
      <w:rPr>
        <w:rFonts w:hint="default"/>
        <w:lang w:val="en-US" w:eastAsia="en-US" w:bidi="ar-SA"/>
      </w:rPr>
    </w:lvl>
    <w:lvl w:ilvl="8">
      <w:start w:val="0"/>
      <w:numFmt w:val="bullet"/>
      <w:lvlText w:val="•"/>
      <w:lvlJc w:val="left"/>
      <w:pPr>
        <w:ind w:left="9613" w:hanging="1009"/>
      </w:pPr>
      <w:rPr>
        <w:rFonts w:hint="default"/>
        <w:lang w:val="en-US" w:eastAsia="en-US" w:bidi="ar-SA"/>
      </w:rPr>
    </w:lvl>
  </w:abstractNum>
  <w:abstractNum w:abstractNumId="83">
    <w:multiLevelType w:val="hybridMultilevel"/>
    <w:lvl w:ilvl="0">
      <w:start w:val="0"/>
      <w:numFmt w:val="bullet"/>
      <w:lvlText w:val=""/>
      <w:lvlJc w:val="left"/>
      <w:pPr>
        <w:ind w:left="212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3090" w:hanging="360"/>
      </w:pPr>
      <w:rPr>
        <w:rFonts w:hint="default"/>
        <w:lang w:val="en-US" w:eastAsia="en-US" w:bidi="ar-SA"/>
      </w:rPr>
    </w:lvl>
    <w:lvl w:ilvl="2">
      <w:start w:val="0"/>
      <w:numFmt w:val="bullet"/>
      <w:lvlText w:val="•"/>
      <w:lvlJc w:val="left"/>
      <w:pPr>
        <w:ind w:left="4061" w:hanging="360"/>
      </w:pPr>
      <w:rPr>
        <w:rFonts w:hint="default"/>
        <w:lang w:val="en-US" w:eastAsia="en-US" w:bidi="ar-SA"/>
      </w:rPr>
    </w:lvl>
    <w:lvl w:ilvl="3">
      <w:start w:val="0"/>
      <w:numFmt w:val="bullet"/>
      <w:lvlText w:val="•"/>
      <w:lvlJc w:val="left"/>
      <w:pPr>
        <w:ind w:left="5032" w:hanging="360"/>
      </w:pPr>
      <w:rPr>
        <w:rFonts w:hint="default"/>
        <w:lang w:val="en-US" w:eastAsia="en-US" w:bidi="ar-SA"/>
      </w:rPr>
    </w:lvl>
    <w:lvl w:ilvl="4">
      <w:start w:val="0"/>
      <w:numFmt w:val="bullet"/>
      <w:lvlText w:val="•"/>
      <w:lvlJc w:val="left"/>
      <w:pPr>
        <w:ind w:left="6003" w:hanging="360"/>
      </w:pPr>
      <w:rPr>
        <w:rFonts w:hint="default"/>
        <w:lang w:val="en-US" w:eastAsia="en-US" w:bidi="ar-SA"/>
      </w:rPr>
    </w:lvl>
    <w:lvl w:ilvl="5">
      <w:start w:val="0"/>
      <w:numFmt w:val="bullet"/>
      <w:lvlText w:val="•"/>
      <w:lvlJc w:val="left"/>
      <w:pPr>
        <w:ind w:left="6974" w:hanging="360"/>
      </w:pPr>
      <w:rPr>
        <w:rFonts w:hint="default"/>
        <w:lang w:val="en-US" w:eastAsia="en-US" w:bidi="ar-SA"/>
      </w:rPr>
    </w:lvl>
    <w:lvl w:ilvl="6">
      <w:start w:val="0"/>
      <w:numFmt w:val="bullet"/>
      <w:lvlText w:val="•"/>
      <w:lvlJc w:val="left"/>
      <w:pPr>
        <w:ind w:left="7945" w:hanging="360"/>
      </w:pPr>
      <w:rPr>
        <w:rFonts w:hint="default"/>
        <w:lang w:val="en-US" w:eastAsia="en-US" w:bidi="ar-SA"/>
      </w:rPr>
    </w:lvl>
    <w:lvl w:ilvl="7">
      <w:start w:val="0"/>
      <w:numFmt w:val="bullet"/>
      <w:lvlText w:val="•"/>
      <w:lvlJc w:val="left"/>
      <w:pPr>
        <w:ind w:left="8916" w:hanging="360"/>
      </w:pPr>
      <w:rPr>
        <w:rFonts w:hint="default"/>
        <w:lang w:val="en-US" w:eastAsia="en-US" w:bidi="ar-SA"/>
      </w:rPr>
    </w:lvl>
    <w:lvl w:ilvl="8">
      <w:start w:val="0"/>
      <w:numFmt w:val="bullet"/>
      <w:lvlText w:val="•"/>
      <w:lvlJc w:val="left"/>
      <w:pPr>
        <w:ind w:left="9887" w:hanging="360"/>
      </w:pPr>
      <w:rPr>
        <w:rFonts w:hint="default"/>
        <w:lang w:val="en-US" w:eastAsia="en-US" w:bidi="ar-SA"/>
      </w:rPr>
    </w:lvl>
  </w:abstractNum>
  <w:abstractNum w:abstractNumId="82">
    <w:multiLevelType w:val="hybridMultilevel"/>
    <w:lvl w:ilvl="0">
      <w:start w:val="14"/>
      <w:numFmt w:val="decimal"/>
      <w:lvlText w:val="%1"/>
      <w:lvlJc w:val="left"/>
      <w:pPr>
        <w:ind w:left="1104" w:hanging="865"/>
        <w:jc w:val="left"/>
      </w:pPr>
      <w:rPr>
        <w:rFonts w:hint="default"/>
        <w:lang w:val="en-US" w:eastAsia="en-US" w:bidi="ar-SA"/>
      </w:rPr>
    </w:lvl>
    <w:lvl w:ilvl="1">
      <w:start w:val="4"/>
      <w:numFmt w:val="decimal"/>
      <w:lvlText w:val="%1.%2"/>
      <w:lvlJc w:val="left"/>
      <w:pPr>
        <w:ind w:left="1104" w:hanging="865"/>
        <w:jc w:val="left"/>
      </w:pPr>
      <w:rPr>
        <w:rFonts w:hint="default"/>
        <w:lang w:val="en-US" w:eastAsia="en-US" w:bidi="ar-SA"/>
      </w:rPr>
    </w:lvl>
    <w:lvl w:ilvl="2">
      <w:start w:val="7"/>
      <w:numFmt w:val="decimal"/>
      <w:lvlText w:val="%1.%2.%3"/>
      <w:lvlJc w:val="left"/>
      <w:pPr>
        <w:ind w:left="1104" w:hanging="865"/>
        <w:jc w:val="left"/>
      </w:pPr>
      <w:rPr>
        <w:rFonts w:hint="default"/>
        <w:lang w:val="en-US" w:eastAsia="en-US" w:bidi="ar-SA"/>
      </w:rPr>
    </w:lvl>
    <w:lvl w:ilvl="3">
      <w:start w:val="1"/>
      <w:numFmt w:val="decimal"/>
      <w:lvlText w:val="%1.%2.%3.%4"/>
      <w:lvlJc w:val="left"/>
      <w:pPr>
        <w:ind w:left="110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39" w:hanging="865"/>
      </w:pPr>
      <w:rPr>
        <w:rFonts w:hint="default"/>
        <w:lang w:val="en-US" w:eastAsia="en-US" w:bidi="ar-SA"/>
      </w:rPr>
    </w:lvl>
    <w:lvl w:ilvl="5">
      <w:start w:val="0"/>
      <w:numFmt w:val="bullet"/>
      <w:lvlText w:val="•"/>
      <w:lvlJc w:val="left"/>
      <w:pPr>
        <w:ind w:left="6024" w:hanging="865"/>
      </w:pPr>
      <w:rPr>
        <w:rFonts w:hint="default"/>
        <w:lang w:val="en-US" w:eastAsia="en-US" w:bidi="ar-SA"/>
      </w:rPr>
    </w:lvl>
    <w:lvl w:ilvl="6">
      <w:start w:val="0"/>
      <w:numFmt w:val="bullet"/>
      <w:lvlText w:val="•"/>
      <w:lvlJc w:val="left"/>
      <w:pPr>
        <w:ind w:left="7009" w:hanging="865"/>
      </w:pPr>
      <w:rPr>
        <w:rFonts w:hint="default"/>
        <w:lang w:val="en-US" w:eastAsia="en-US" w:bidi="ar-SA"/>
      </w:rPr>
    </w:lvl>
    <w:lvl w:ilvl="7">
      <w:start w:val="0"/>
      <w:numFmt w:val="bullet"/>
      <w:lvlText w:val="•"/>
      <w:lvlJc w:val="left"/>
      <w:pPr>
        <w:ind w:left="7994" w:hanging="865"/>
      </w:pPr>
      <w:rPr>
        <w:rFonts w:hint="default"/>
        <w:lang w:val="en-US" w:eastAsia="en-US" w:bidi="ar-SA"/>
      </w:rPr>
    </w:lvl>
    <w:lvl w:ilvl="8">
      <w:start w:val="0"/>
      <w:numFmt w:val="bullet"/>
      <w:lvlText w:val="•"/>
      <w:lvlJc w:val="left"/>
      <w:pPr>
        <w:ind w:left="8979" w:hanging="865"/>
      </w:pPr>
      <w:rPr>
        <w:rFonts w:hint="default"/>
        <w:lang w:val="en-US" w:eastAsia="en-US" w:bidi="ar-SA"/>
      </w:rPr>
    </w:lvl>
  </w:abstractNum>
  <w:abstractNum w:abstractNumId="81">
    <w:multiLevelType w:val="hybridMultilevel"/>
    <w:lvl w:ilvl="0">
      <w:start w:val="14"/>
      <w:numFmt w:val="decimal"/>
      <w:lvlText w:val="%1"/>
      <w:lvlJc w:val="left"/>
      <w:pPr>
        <w:ind w:left="1104" w:hanging="865"/>
        <w:jc w:val="left"/>
      </w:pPr>
      <w:rPr>
        <w:rFonts w:hint="default"/>
        <w:lang w:val="en-US" w:eastAsia="en-US" w:bidi="ar-SA"/>
      </w:rPr>
    </w:lvl>
    <w:lvl w:ilvl="1">
      <w:start w:val="4"/>
      <w:numFmt w:val="decimal"/>
      <w:lvlText w:val="%1.%2"/>
      <w:lvlJc w:val="left"/>
      <w:pPr>
        <w:ind w:left="1104" w:hanging="865"/>
        <w:jc w:val="left"/>
      </w:pPr>
      <w:rPr>
        <w:rFonts w:hint="default"/>
        <w:lang w:val="en-US" w:eastAsia="en-US" w:bidi="ar-SA"/>
      </w:rPr>
    </w:lvl>
    <w:lvl w:ilvl="2">
      <w:start w:val="6"/>
      <w:numFmt w:val="decimal"/>
      <w:lvlText w:val="%1.%2.%3"/>
      <w:lvlJc w:val="left"/>
      <w:pPr>
        <w:ind w:left="1104" w:hanging="865"/>
        <w:jc w:val="left"/>
      </w:pPr>
      <w:rPr>
        <w:rFonts w:hint="default"/>
        <w:lang w:val="en-US" w:eastAsia="en-US" w:bidi="ar-SA"/>
      </w:rPr>
    </w:lvl>
    <w:lvl w:ilvl="3">
      <w:start w:val="1"/>
      <w:numFmt w:val="decimal"/>
      <w:lvlText w:val="%1.%2.%3.%4"/>
      <w:lvlJc w:val="left"/>
      <w:pPr>
        <w:ind w:left="110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39" w:hanging="865"/>
      </w:pPr>
      <w:rPr>
        <w:rFonts w:hint="default"/>
        <w:lang w:val="en-US" w:eastAsia="en-US" w:bidi="ar-SA"/>
      </w:rPr>
    </w:lvl>
    <w:lvl w:ilvl="5">
      <w:start w:val="0"/>
      <w:numFmt w:val="bullet"/>
      <w:lvlText w:val="•"/>
      <w:lvlJc w:val="left"/>
      <w:pPr>
        <w:ind w:left="6024" w:hanging="865"/>
      </w:pPr>
      <w:rPr>
        <w:rFonts w:hint="default"/>
        <w:lang w:val="en-US" w:eastAsia="en-US" w:bidi="ar-SA"/>
      </w:rPr>
    </w:lvl>
    <w:lvl w:ilvl="6">
      <w:start w:val="0"/>
      <w:numFmt w:val="bullet"/>
      <w:lvlText w:val="•"/>
      <w:lvlJc w:val="left"/>
      <w:pPr>
        <w:ind w:left="7009" w:hanging="865"/>
      </w:pPr>
      <w:rPr>
        <w:rFonts w:hint="default"/>
        <w:lang w:val="en-US" w:eastAsia="en-US" w:bidi="ar-SA"/>
      </w:rPr>
    </w:lvl>
    <w:lvl w:ilvl="7">
      <w:start w:val="0"/>
      <w:numFmt w:val="bullet"/>
      <w:lvlText w:val="•"/>
      <w:lvlJc w:val="left"/>
      <w:pPr>
        <w:ind w:left="7994" w:hanging="865"/>
      </w:pPr>
      <w:rPr>
        <w:rFonts w:hint="default"/>
        <w:lang w:val="en-US" w:eastAsia="en-US" w:bidi="ar-SA"/>
      </w:rPr>
    </w:lvl>
    <w:lvl w:ilvl="8">
      <w:start w:val="0"/>
      <w:numFmt w:val="bullet"/>
      <w:lvlText w:val="•"/>
      <w:lvlJc w:val="left"/>
      <w:pPr>
        <w:ind w:left="8979" w:hanging="865"/>
      </w:pPr>
      <w:rPr>
        <w:rFonts w:hint="default"/>
        <w:lang w:val="en-US" w:eastAsia="en-US" w:bidi="ar-SA"/>
      </w:rPr>
    </w:lvl>
  </w:abstractNum>
  <w:abstractNum w:abstractNumId="80">
    <w:multiLevelType w:val="hybridMultilevel"/>
    <w:lvl w:ilvl="0">
      <w:start w:val="14"/>
      <w:numFmt w:val="decimal"/>
      <w:lvlText w:val="%1"/>
      <w:lvlJc w:val="left"/>
      <w:pPr>
        <w:ind w:left="1104" w:hanging="865"/>
        <w:jc w:val="left"/>
      </w:pPr>
      <w:rPr>
        <w:rFonts w:hint="default"/>
        <w:lang w:val="en-US" w:eastAsia="en-US" w:bidi="ar-SA"/>
      </w:rPr>
    </w:lvl>
    <w:lvl w:ilvl="1">
      <w:start w:val="4"/>
      <w:numFmt w:val="decimal"/>
      <w:lvlText w:val="%1.%2"/>
      <w:lvlJc w:val="left"/>
      <w:pPr>
        <w:ind w:left="1104" w:hanging="865"/>
        <w:jc w:val="left"/>
      </w:pPr>
      <w:rPr>
        <w:rFonts w:hint="default"/>
        <w:lang w:val="en-US" w:eastAsia="en-US" w:bidi="ar-SA"/>
      </w:rPr>
    </w:lvl>
    <w:lvl w:ilvl="2">
      <w:start w:val="5"/>
      <w:numFmt w:val="decimal"/>
      <w:lvlText w:val="%1.%2.%3"/>
      <w:lvlJc w:val="left"/>
      <w:pPr>
        <w:ind w:left="1104" w:hanging="865"/>
        <w:jc w:val="left"/>
      </w:pPr>
      <w:rPr>
        <w:rFonts w:hint="default"/>
        <w:lang w:val="en-US" w:eastAsia="en-US" w:bidi="ar-SA"/>
      </w:rPr>
    </w:lvl>
    <w:lvl w:ilvl="3">
      <w:start w:val="1"/>
      <w:numFmt w:val="decimal"/>
      <w:lvlText w:val="%1.%2.%3.%4"/>
      <w:lvlJc w:val="left"/>
      <w:pPr>
        <w:ind w:left="110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39" w:hanging="865"/>
      </w:pPr>
      <w:rPr>
        <w:rFonts w:hint="default"/>
        <w:lang w:val="en-US" w:eastAsia="en-US" w:bidi="ar-SA"/>
      </w:rPr>
    </w:lvl>
    <w:lvl w:ilvl="5">
      <w:start w:val="0"/>
      <w:numFmt w:val="bullet"/>
      <w:lvlText w:val="•"/>
      <w:lvlJc w:val="left"/>
      <w:pPr>
        <w:ind w:left="6024" w:hanging="865"/>
      </w:pPr>
      <w:rPr>
        <w:rFonts w:hint="default"/>
        <w:lang w:val="en-US" w:eastAsia="en-US" w:bidi="ar-SA"/>
      </w:rPr>
    </w:lvl>
    <w:lvl w:ilvl="6">
      <w:start w:val="0"/>
      <w:numFmt w:val="bullet"/>
      <w:lvlText w:val="•"/>
      <w:lvlJc w:val="left"/>
      <w:pPr>
        <w:ind w:left="7009" w:hanging="865"/>
      </w:pPr>
      <w:rPr>
        <w:rFonts w:hint="default"/>
        <w:lang w:val="en-US" w:eastAsia="en-US" w:bidi="ar-SA"/>
      </w:rPr>
    </w:lvl>
    <w:lvl w:ilvl="7">
      <w:start w:val="0"/>
      <w:numFmt w:val="bullet"/>
      <w:lvlText w:val="•"/>
      <w:lvlJc w:val="left"/>
      <w:pPr>
        <w:ind w:left="7994" w:hanging="865"/>
      </w:pPr>
      <w:rPr>
        <w:rFonts w:hint="default"/>
        <w:lang w:val="en-US" w:eastAsia="en-US" w:bidi="ar-SA"/>
      </w:rPr>
    </w:lvl>
    <w:lvl w:ilvl="8">
      <w:start w:val="0"/>
      <w:numFmt w:val="bullet"/>
      <w:lvlText w:val="•"/>
      <w:lvlJc w:val="left"/>
      <w:pPr>
        <w:ind w:left="8979" w:hanging="865"/>
      </w:pPr>
      <w:rPr>
        <w:rFonts w:hint="default"/>
        <w:lang w:val="en-US" w:eastAsia="en-US" w:bidi="ar-SA"/>
      </w:rPr>
    </w:lvl>
  </w:abstractNum>
  <w:abstractNum w:abstractNumId="79">
    <w:multiLevelType w:val="hybridMultilevel"/>
    <w:lvl w:ilvl="0">
      <w:start w:val="0"/>
      <w:numFmt w:val="bullet"/>
      <w:lvlText w:val=""/>
      <w:lvlJc w:val="left"/>
      <w:pPr>
        <w:ind w:left="168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606" w:hanging="360"/>
      </w:pPr>
      <w:rPr>
        <w:rFonts w:hint="default"/>
        <w:lang w:val="en-US" w:eastAsia="en-US" w:bidi="ar-SA"/>
      </w:rPr>
    </w:lvl>
    <w:lvl w:ilvl="2">
      <w:start w:val="0"/>
      <w:numFmt w:val="bullet"/>
      <w:lvlText w:val="•"/>
      <w:lvlJc w:val="left"/>
      <w:pPr>
        <w:ind w:left="3533" w:hanging="360"/>
      </w:pPr>
      <w:rPr>
        <w:rFonts w:hint="default"/>
        <w:lang w:val="en-US" w:eastAsia="en-US" w:bidi="ar-SA"/>
      </w:rPr>
    </w:lvl>
    <w:lvl w:ilvl="3">
      <w:start w:val="0"/>
      <w:numFmt w:val="bullet"/>
      <w:lvlText w:val="•"/>
      <w:lvlJc w:val="left"/>
      <w:pPr>
        <w:ind w:left="4460" w:hanging="360"/>
      </w:pPr>
      <w:rPr>
        <w:rFonts w:hint="default"/>
        <w:lang w:val="en-US" w:eastAsia="en-US" w:bidi="ar-SA"/>
      </w:rPr>
    </w:lvl>
    <w:lvl w:ilvl="4">
      <w:start w:val="0"/>
      <w:numFmt w:val="bullet"/>
      <w:lvlText w:val="•"/>
      <w:lvlJc w:val="left"/>
      <w:pPr>
        <w:ind w:left="5387" w:hanging="360"/>
      </w:pPr>
      <w:rPr>
        <w:rFonts w:hint="default"/>
        <w:lang w:val="en-US" w:eastAsia="en-US" w:bidi="ar-SA"/>
      </w:rPr>
    </w:lvl>
    <w:lvl w:ilvl="5">
      <w:start w:val="0"/>
      <w:numFmt w:val="bullet"/>
      <w:lvlText w:val="•"/>
      <w:lvlJc w:val="left"/>
      <w:pPr>
        <w:ind w:left="6314" w:hanging="360"/>
      </w:pPr>
      <w:rPr>
        <w:rFonts w:hint="default"/>
        <w:lang w:val="en-US" w:eastAsia="en-US" w:bidi="ar-SA"/>
      </w:rPr>
    </w:lvl>
    <w:lvl w:ilvl="6">
      <w:start w:val="0"/>
      <w:numFmt w:val="bullet"/>
      <w:lvlText w:val="•"/>
      <w:lvlJc w:val="left"/>
      <w:pPr>
        <w:ind w:left="7241" w:hanging="360"/>
      </w:pPr>
      <w:rPr>
        <w:rFonts w:hint="default"/>
        <w:lang w:val="en-US" w:eastAsia="en-US" w:bidi="ar-SA"/>
      </w:rPr>
    </w:lvl>
    <w:lvl w:ilvl="7">
      <w:start w:val="0"/>
      <w:numFmt w:val="bullet"/>
      <w:lvlText w:val="•"/>
      <w:lvlJc w:val="left"/>
      <w:pPr>
        <w:ind w:left="8168" w:hanging="360"/>
      </w:pPr>
      <w:rPr>
        <w:rFonts w:hint="default"/>
        <w:lang w:val="en-US" w:eastAsia="en-US" w:bidi="ar-SA"/>
      </w:rPr>
    </w:lvl>
    <w:lvl w:ilvl="8">
      <w:start w:val="0"/>
      <w:numFmt w:val="bullet"/>
      <w:lvlText w:val="•"/>
      <w:lvlJc w:val="left"/>
      <w:pPr>
        <w:ind w:left="9095" w:hanging="360"/>
      </w:pPr>
      <w:rPr>
        <w:rFonts w:hint="default"/>
        <w:lang w:val="en-US" w:eastAsia="en-US" w:bidi="ar-SA"/>
      </w:rPr>
    </w:lvl>
  </w:abstractNum>
  <w:abstractNum w:abstractNumId="78">
    <w:multiLevelType w:val="hybridMultilevel"/>
    <w:lvl w:ilvl="0">
      <w:start w:val="0"/>
      <w:numFmt w:val="bullet"/>
      <w:lvlText w:val=""/>
      <w:lvlJc w:val="left"/>
      <w:pPr>
        <w:ind w:left="3382" w:hanging="360"/>
      </w:pPr>
      <w:rPr>
        <w:rFonts w:hint="default" w:ascii="Symbol" w:hAnsi="Symbol" w:eastAsia="Symbol" w:cs="Symbol"/>
        <w:w w:val="100"/>
        <w:sz w:val="22"/>
        <w:szCs w:val="22"/>
        <w:lang w:val="en-US" w:eastAsia="en-US" w:bidi="ar-SA"/>
      </w:rPr>
    </w:lvl>
    <w:lvl w:ilvl="1">
      <w:start w:val="0"/>
      <w:numFmt w:val="bullet"/>
      <w:lvlText w:val="•"/>
      <w:lvlJc w:val="left"/>
      <w:pPr>
        <w:ind w:left="4112" w:hanging="360"/>
      </w:pPr>
      <w:rPr>
        <w:rFonts w:hint="default"/>
        <w:lang w:val="en-US" w:eastAsia="en-US" w:bidi="ar-SA"/>
      </w:rPr>
    </w:lvl>
    <w:lvl w:ilvl="2">
      <w:start w:val="0"/>
      <w:numFmt w:val="bullet"/>
      <w:lvlText w:val="•"/>
      <w:lvlJc w:val="left"/>
      <w:pPr>
        <w:ind w:left="4845" w:hanging="360"/>
      </w:pPr>
      <w:rPr>
        <w:rFonts w:hint="default"/>
        <w:lang w:val="en-US" w:eastAsia="en-US" w:bidi="ar-SA"/>
      </w:rPr>
    </w:lvl>
    <w:lvl w:ilvl="3">
      <w:start w:val="0"/>
      <w:numFmt w:val="bullet"/>
      <w:lvlText w:val="•"/>
      <w:lvlJc w:val="left"/>
      <w:pPr>
        <w:ind w:left="5578" w:hanging="360"/>
      </w:pPr>
      <w:rPr>
        <w:rFonts w:hint="default"/>
        <w:lang w:val="en-US" w:eastAsia="en-US" w:bidi="ar-SA"/>
      </w:rPr>
    </w:lvl>
    <w:lvl w:ilvl="4">
      <w:start w:val="0"/>
      <w:numFmt w:val="bullet"/>
      <w:lvlText w:val="•"/>
      <w:lvlJc w:val="left"/>
      <w:pPr>
        <w:ind w:left="6311" w:hanging="360"/>
      </w:pPr>
      <w:rPr>
        <w:rFonts w:hint="default"/>
        <w:lang w:val="en-US" w:eastAsia="en-US" w:bidi="ar-SA"/>
      </w:rPr>
    </w:lvl>
    <w:lvl w:ilvl="5">
      <w:start w:val="0"/>
      <w:numFmt w:val="bullet"/>
      <w:lvlText w:val="•"/>
      <w:lvlJc w:val="left"/>
      <w:pPr>
        <w:ind w:left="7044" w:hanging="360"/>
      </w:pPr>
      <w:rPr>
        <w:rFonts w:hint="default"/>
        <w:lang w:val="en-US" w:eastAsia="en-US" w:bidi="ar-SA"/>
      </w:rPr>
    </w:lvl>
    <w:lvl w:ilvl="6">
      <w:start w:val="0"/>
      <w:numFmt w:val="bullet"/>
      <w:lvlText w:val="•"/>
      <w:lvlJc w:val="left"/>
      <w:pPr>
        <w:ind w:left="7777" w:hanging="360"/>
      </w:pPr>
      <w:rPr>
        <w:rFonts w:hint="default"/>
        <w:lang w:val="en-US" w:eastAsia="en-US" w:bidi="ar-SA"/>
      </w:rPr>
    </w:lvl>
    <w:lvl w:ilvl="7">
      <w:start w:val="0"/>
      <w:numFmt w:val="bullet"/>
      <w:lvlText w:val="•"/>
      <w:lvlJc w:val="left"/>
      <w:pPr>
        <w:ind w:left="8510" w:hanging="360"/>
      </w:pPr>
      <w:rPr>
        <w:rFonts w:hint="default"/>
        <w:lang w:val="en-US" w:eastAsia="en-US" w:bidi="ar-SA"/>
      </w:rPr>
    </w:lvl>
    <w:lvl w:ilvl="8">
      <w:start w:val="0"/>
      <w:numFmt w:val="bullet"/>
      <w:lvlText w:val="•"/>
      <w:lvlJc w:val="left"/>
      <w:pPr>
        <w:ind w:left="9243" w:hanging="360"/>
      </w:pPr>
      <w:rPr>
        <w:rFonts w:hint="default"/>
        <w:lang w:val="en-US" w:eastAsia="en-US" w:bidi="ar-SA"/>
      </w:rPr>
    </w:lvl>
  </w:abstractNum>
  <w:abstractNum w:abstractNumId="77">
    <w:multiLevelType w:val="hybridMultilevel"/>
    <w:lvl w:ilvl="0">
      <w:start w:val="13"/>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7"/>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71" w:hanging="865"/>
      </w:pPr>
      <w:rPr>
        <w:rFonts w:hint="default"/>
        <w:lang w:val="en-US" w:eastAsia="en-US" w:bidi="ar-SA"/>
      </w:rPr>
    </w:lvl>
    <w:lvl w:ilvl="5">
      <w:start w:val="0"/>
      <w:numFmt w:val="bullet"/>
      <w:lvlText w:val="•"/>
      <w:lvlJc w:val="left"/>
      <w:pPr>
        <w:ind w:left="5844" w:hanging="865"/>
      </w:pPr>
      <w:rPr>
        <w:rFonts w:hint="default"/>
        <w:lang w:val="en-US" w:eastAsia="en-US" w:bidi="ar-SA"/>
      </w:rPr>
    </w:lvl>
    <w:lvl w:ilvl="6">
      <w:start w:val="0"/>
      <w:numFmt w:val="bullet"/>
      <w:lvlText w:val="•"/>
      <w:lvlJc w:val="left"/>
      <w:pPr>
        <w:ind w:left="6817" w:hanging="865"/>
      </w:pPr>
      <w:rPr>
        <w:rFonts w:hint="default"/>
        <w:lang w:val="en-US" w:eastAsia="en-US" w:bidi="ar-SA"/>
      </w:rPr>
    </w:lvl>
    <w:lvl w:ilvl="7">
      <w:start w:val="0"/>
      <w:numFmt w:val="bullet"/>
      <w:lvlText w:val="•"/>
      <w:lvlJc w:val="left"/>
      <w:pPr>
        <w:ind w:left="7790" w:hanging="865"/>
      </w:pPr>
      <w:rPr>
        <w:rFonts w:hint="default"/>
        <w:lang w:val="en-US" w:eastAsia="en-US" w:bidi="ar-SA"/>
      </w:rPr>
    </w:lvl>
    <w:lvl w:ilvl="8">
      <w:start w:val="0"/>
      <w:numFmt w:val="bullet"/>
      <w:lvlText w:val="•"/>
      <w:lvlJc w:val="left"/>
      <w:pPr>
        <w:ind w:left="8763" w:hanging="865"/>
      </w:pPr>
      <w:rPr>
        <w:rFonts w:hint="default"/>
        <w:lang w:val="en-US" w:eastAsia="en-US" w:bidi="ar-SA"/>
      </w:rPr>
    </w:lvl>
  </w:abstractNum>
  <w:abstractNum w:abstractNumId="76">
    <w:multiLevelType w:val="hybridMultilevel"/>
    <w:lvl w:ilvl="0">
      <w:start w:val="13"/>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6"/>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71" w:hanging="865"/>
      </w:pPr>
      <w:rPr>
        <w:rFonts w:hint="default"/>
        <w:lang w:val="en-US" w:eastAsia="en-US" w:bidi="ar-SA"/>
      </w:rPr>
    </w:lvl>
    <w:lvl w:ilvl="5">
      <w:start w:val="0"/>
      <w:numFmt w:val="bullet"/>
      <w:lvlText w:val="•"/>
      <w:lvlJc w:val="left"/>
      <w:pPr>
        <w:ind w:left="5844" w:hanging="865"/>
      </w:pPr>
      <w:rPr>
        <w:rFonts w:hint="default"/>
        <w:lang w:val="en-US" w:eastAsia="en-US" w:bidi="ar-SA"/>
      </w:rPr>
    </w:lvl>
    <w:lvl w:ilvl="6">
      <w:start w:val="0"/>
      <w:numFmt w:val="bullet"/>
      <w:lvlText w:val="•"/>
      <w:lvlJc w:val="left"/>
      <w:pPr>
        <w:ind w:left="6817" w:hanging="865"/>
      </w:pPr>
      <w:rPr>
        <w:rFonts w:hint="default"/>
        <w:lang w:val="en-US" w:eastAsia="en-US" w:bidi="ar-SA"/>
      </w:rPr>
    </w:lvl>
    <w:lvl w:ilvl="7">
      <w:start w:val="0"/>
      <w:numFmt w:val="bullet"/>
      <w:lvlText w:val="•"/>
      <w:lvlJc w:val="left"/>
      <w:pPr>
        <w:ind w:left="7790" w:hanging="865"/>
      </w:pPr>
      <w:rPr>
        <w:rFonts w:hint="default"/>
        <w:lang w:val="en-US" w:eastAsia="en-US" w:bidi="ar-SA"/>
      </w:rPr>
    </w:lvl>
    <w:lvl w:ilvl="8">
      <w:start w:val="0"/>
      <w:numFmt w:val="bullet"/>
      <w:lvlText w:val="•"/>
      <w:lvlJc w:val="left"/>
      <w:pPr>
        <w:ind w:left="8763" w:hanging="865"/>
      </w:pPr>
      <w:rPr>
        <w:rFonts w:hint="default"/>
        <w:lang w:val="en-US" w:eastAsia="en-US" w:bidi="ar-SA"/>
      </w:rPr>
    </w:lvl>
  </w:abstractNum>
  <w:abstractNum w:abstractNumId="75">
    <w:multiLevelType w:val="hybridMultilevel"/>
    <w:lvl w:ilvl="0">
      <w:start w:val="13"/>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5"/>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71" w:hanging="865"/>
      </w:pPr>
      <w:rPr>
        <w:rFonts w:hint="default"/>
        <w:lang w:val="en-US" w:eastAsia="en-US" w:bidi="ar-SA"/>
      </w:rPr>
    </w:lvl>
    <w:lvl w:ilvl="5">
      <w:start w:val="0"/>
      <w:numFmt w:val="bullet"/>
      <w:lvlText w:val="•"/>
      <w:lvlJc w:val="left"/>
      <w:pPr>
        <w:ind w:left="5844" w:hanging="865"/>
      </w:pPr>
      <w:rPr>
        <w:rFonts w:hint="default"/>
        <w:lang w:val="en-US" w:eastAsia="en-US" w:bidi="ar-SA"/>
      </w:rPr>
    </w:lvl>
    <w:lvl w:ilvl="6">
      <w:start w:val="0"/>
      <w:numFmt w:val="bullet"/>
      <w:lvlText w:val="•"/>
      <w:lvlJc w:val="left"/>
      <w:pPr>
        <w:ind w:left="6817" w:hanging="865"/>
      </w:pPr>
      <w:rPr>
        <w:rFonts w:hint="default"/>
        <w:lang w:val="en-US" w:eastAsia="en-US" w:bidi="ar-SA"/>
      </w:rPr>
    </w:lvl>
    <w:lvl w:ilvl="7">
      <w:start w:val="0"/>
      <w:numFmt w:val="bullet"/>
      <w:lvlText w:val="•"/>
      <w:lvlJc w:val="left"/>
      <w:pPr>
        <w:ind w:left="7790" w:hanging="865"/>
      </w:pPr>
      <w:rPr>
        <w:rFonts w:hint="default"/>
        <w:lang w:val="en-US" w:eastAsia="en-US" w:bidi="ar-SA"/>
      </w:rPr>
    </w:lvl>
    <w:lvl w:ilvl="8">
      <w:start w:val="0"/>
      <w:numFmt w:val="bullet"/>
      <w:lvlText w:val="•"/>
      <w:lvlJc w:val="left"/>
      <w:pPr>
        <w:ind w:left="8763" w:hanging="865"/>
      </w:pPr>
      <w:rPr>
        <w:rFonts w:hint="default"/>
        <w:lang w:val="en-US" w:eastAsia="en-US" w:bidi="ar-SA"/>
      </w:rPr>
    </w:lvl>
  </w:abstractNum>
  <w:abstractNum w:abstractNumId="74">
    <w:multiLevelType w:val="hybridMultilevel"/>
    <w:lvl w:ilvl="0">
      <w:start w:val="0"/>
      <w:numFmt w:val="bullet"/>
      <w:lvlText w:val=""/>
      <w:lvlJc w:val="left"/>
      <w:pPr>
        <w:ind w:left="156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474" w:hanging="360"/>
      </w:pPr>
      <w:rPr>
        <w:rFonts w:hint="default"/>
        <w:lang w:val="en-US" w:eastAsia="en-US" w:bidi="ar-SA"/>
      </w:rPr>
    </w:lvl>
    <w:lvl w:ilvl="2">
      <w:start w:val="0"/>
      <w:numFmt w:val="bullet"/>
      <w:lvlText w:val="•"/>
      <w:lvlJc w:val="left"/>
      <w:pPr>
        <w:ind w:left="3389" w:hanging="360"/>
      </w:pPr>
      <w:rPr>
        <w:rFonts w:hint="default"/>
        <w:lang w:val="en-US" w:eastAsia="en-US" w:bidi="ar-SA"/>
      </w:rPr>
    </w:lvl>
    <w:lvl w:ilvl="3">
      <w:start w:val="0"/>
      <w:numFmt w:val="bullet"/>
      <w:lvlText w:val="•"/>
      <w:lvlJc w:val="left"/>
      <w:pPr>
        <w:ind w:left="4304" w:hanging="360"/>
      </w:pPr>
      <w:rPr>
        <w:rFonts w:hint="default"/>
        <w:lang w:val="en-US" w:eastAsia="en-US" w:bidi="ar-SA"/>
      </w:rPr>
    </w:lvl>
    <w:lvl w:ilvl="4">
      <w:start w:val="0"/>
      <w:numFmt w:val="bullet"/>
      <w:lvlText w:val="•"/>
      <w:lvlJc w:val="left"/>
      <w:pPr>
        <w:ind w:left="5219" w:hanging="360"/>
      </w:pPr>
      <w:rPr>
        <w:rFonts w:hint="default"/>
        <w:lang w:val="en-US" w:eastAsia="en-US" w:bidi="ar-SA"/>
      </w:rPr>
    </w:lvl>
    <w:lvl w:ilvl="5">
      <w:start w:val="0"/>
      <w:numFmt w:val="bullet"/>
      <w:lvlText w:val="•"/>
      <w:lvlJc w:val="left"/>
      <w:pPr>
        <w:ind w:left="6134" w:hanging="360"/>
      </w:pPr>
      <w:rPr>
        <w:rFonts w:hint="default"/>
        <w:lang w:val="en-US" w:eastAsia="en-US" w:bidi="ar-SA"/>
      </w:rPr>
    </w:lvl>
    <w:lvl w:ilvl="6">
      <w:start w:val="0"/>
      <w:numFmt w:val="bullet"/>
      <w:lvlText w:val="•"/>
      <w:lvlJc w:val="left"/>
      <w:pPr>
        <w:ind w:left="7049" w:hanging="360"/>
      </w:pPr>
      <w:rPr>
        <w:rFonts w:hint="default"/>
        <w:lang w:val="en-US" w:eastAsia="en-US" w:bidi="ar-SA"/>
      </w:rPr>
    </w:lvl>
    <w:lvl w:ilvl="7">
      <w:start w:val="0"/>
      <w:numFmt w:val="bullet"/>
      <w:lvlText w:val="•"/>
      <w:lvlJc w:val="left"/>
      <w:pPr>
        <w:ind w:left="7964" w:hanging="360"/>
      </w:pPr>
      <w:rPr>
        <w:rFonts w:hint="default"/>
        <w:lang w:val="en-US" w:eastAsia="en-US" w:bidi="ar-SA"/>
      </w:rPr>
    </w:lvl>
    <w:lvl w:ilvl="8">
      <w:start w:val="0"/>
      <w:numFmt w:val="bullet"/>
      <w:lvlText w:val="•"/>
      <w:lvlJc w:val="left"/>
      <w:pPr>
        <w:ind w:left="8879" w:hanging="360"/>
      </w:pPr>
      <w:rPr>
        <w:rFonts w:hint="default"/>
        <w:lang w:val="en-US" w:eastAsia="en-US" w:bidi="ar-SA"/>
      </w:rPr>
    </w:lvl>
  </w:abstractNum>
  <w:abstractNum w:abstractNumId="73">
    <w:multiLevelType w:val="hybridMultilevel"/>
    <w:lvl w:ilvl="0">
      <w:start w:val="13"/>
      <w:numFmt w:val="decimal"/>
      <w:lvlText w:val="%1"/>
      <w:lvlJc w:val="left"/>
      <w:pPr>
        <w:ind w:left="984" w:hanging="865"/>
        <w:jc w:val="left"/>
      </w:pPr>
      <w:rPr>
        <w:rFonts w:hint="default"/>
        <w:lang w:val="en-US" w:eastAsia="en-US" w:bidi="ar-SA"/>
      </w:rPr>
    </w:lvl>
    <w:lvl w:ilvl="1">
      <w:start w:val="3"/>
      <w:numFmt w:val="decimal"/>
      <w:lvlText w:val="%1.%2"/>
      <w:lvlJc w:val="left"/>
      <w:pPr>
        <w:ind w:left="984" w:hanging="865"/>
        <w:jc w:val="left"/>
      </w:pPr>
      <w:rPr>
        <w:rFonts w:hint="default"/>
        <w:lang w:val="en-US" w:eastAsia="en-US" w:bidi="ar-SA"/>
      </w:rPr>
    </w:lvl>
    <w:lvl w:ilvl="2">
      <w:start w:val="1"/>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71" w:hanging="865"/>
      </w:pPr>
      <w:rPr>
        <w:rFonts w:hint="default"/>
        <w:lang w:val="en-US" w:eastAsia="en-US" w:bidi="ar-SA"/>
      </w:rPr>
    </w:lvl>
    <w:lvl w:ilvl="5">
      <w:start w:val="0"/>
      <w:numFmt w:val="bullet"/>
      <w:lvlText w:val="•"/>
      <w:lvlJc w:val="left"/>
      <w:pPr>
        <w:ind w:left="5844" w:hanging="865"/>
      </w:pPr>
      <w:rPr>
        <w:rFonts w:hint="default"/>
        <w:lang w:val="en-US" w:eastAsia="en-US" w:bidi="ar-SA"/>
      </w:rPr>
    </w:lvl>
    <w:lvl w:ilvl="6">
      <w:start w:val="0"/>
      <w:numFmt w:val="bullet"/>
      <w:lvlText w:val="•"/>
      <w:lvlJc w:val="left"/>
      <w:pPr>
        <w:ind w:left="6817" w:hanging="865"/>
      </w:pPr>
      <w:rPr>
        <w:rFonts w:hint="default"/>
        <w:lang w:val="en-US" w:eastAsia="en-US" w:bidi="ar-SA"/>
      </w:rPr>
    </w:lvl>
    <w:lvl w:ilvl="7">
      <w:start w:val="0"/>
      <w:numFmt w:val="bullet"/>
      <w:lvlText w:val="•"/>
      <w:lvlJc w:val="left"/>
      <w:pPr>
        <w:ind w:left="7790" w:hanging="865"/>
      </w:pPr>
      <w:rPr>
        <w:rFonts w:hint="default"/>
        <w:lang w:val="en-US" w:eastAsia="en-US" w:bidi="ar-SA"/>
      </w:rPr>
    </w:lvl>
    <w:lvl w:ilvl="8">
      <w:start w:val="0"/>
      <w:numFmt w:val="bullet"/>
      <w:lvlText w:val="•"/>
      <w:lvlJc w:val="left"/>
      <w:pPr>
        <w:ind w:left="8763" w:hanging="865"/>
      </w:pPr>
      <w:rPr>
        <w:rFonts w:hint="default"/>
        <w:lang w:val="en-US" w:eastAsia="en-US" w:bidi="ar-SA"/>
      </w:rPr>
    </w:lvl>
  </w:abstractNum>
  <w:abstractNum w:abstractNumId="72">
    <w:multiLevelType w:val="hybridMultilevel"/>
    <w:lvl w:ilvl="0">
      <w:start w:val="0"/>
      <w:numFmt w:val="bullet"/>
      <w:lvlText w:val=""/>
      <w:lvlJc w:val="left"/>
      <w:pPr>
        <w:ind w:left="1235" w:hanging="360"/>
      </w:pPr>
      <w:rPr>
        <w:rFonts w:hint="default" w:ascii="Symbol" w:hAnsi="Symbol" w:eastAsia="Symbol" w:cs="Symbol"/>
        <w:w w:val="100"/>
        <w:sz w:val="22"/>
        <w:szCs w:val="22"/>
        <w:lang w:val="en-US" w:eastAsia="en-US" w:bidi="ar-SA"/>
      </w:rPr>
    </w:lvl>
    <w:lvl w:ilvl="1">
      <w:start w:val="0"/>
      <w:numFmt w:val="bullet"/>
      <w:lvlText w:val="•"/>
      <w:lvlJc w:val="left"/>
      <w:pPr>
        <w:ind w:left="1972" w:hanging="360"/>
      </w:pPr>
      <w:rPr>
        <w:rFonts w:hint="default"/>
        <w:lang w:val="en-US" w:eastAsia="en-US" w:bidi="ar-SA"/>
      </w:rPr>
    </w:lvl>
    <w:lvl w:ilvl="2">
      <w:start w:val="0"/>
      <w:numFmt w:val="bullet"/>
      <w:lvlText w:val="•"/>
      <w:lvlJc w:val="left"/>
      <w:pPr>
        <w:ind w:left="2704" w:hanging="360"/>
      </w:pPr>
      <w:rPr>
        <w:rFonts w:hint="default"/>
        <w:lang w:val="en-US" w:eastAsia="en-US" w:bidi="ar-SA"/>
      </w:rPr>
    </w:lvl>
    <w:lvl w:ilvl="3">
      <w:start w:val="0"/>
      <w:numFmt w:val="bullet"/>
      <w:lvlText w:val="•"/>
      <w:lvlJc w:val="left"/>
      <w:pPr>
        <w:ind w:left="3436" w:hanging="360"/>
      </w:pPr>
      <w:rPr>
        <w:rFonts w:hint="default"/>
        <w:lang w:val="en-US" w:eastAsia="en-US" w:bidi="ar-SA"/>
      </w:rPr>
    </w:lvl>
    <w:lvl w:ilvl="4">
      <w:start w:val="0"/>
      <w:numFmt w:val="bullet"/>
      <w:lvlText w:val="•"/>
      <w:lvlJc w:val="left"/>
      <w:pPr>
        <w:ind w:left="4168" w:hanging="360"/>
      </w:pPr>
      <w:rPr>
        <w:rFonts w:hint="default"/>
        <w:lang w:val="en-US" w:eastAsia="en-US" w:bidi="ar-SA"/>
      </w:rPr>
    </w:lvl>
    <w:lvl w:ilvl="5">
      <w:start w:val="0"/>
      <w:numFmt w:val="bullet"/>
      <w:lvlText w:val="•"/>
      <w:lvlJc w:val="left"/>
      <w:pPr>
        <w:ind w:left="4900" w:hanging="360"/>
      </w:pPr>
      <w:rPr>
        <w:rFonts w:hint="default"/>
        <w:lang w:val="en-US" w:eastAsia="en-US" w:bidi="ar-SA"/>
      </w:rPr>
    </w:lvl>
    <w:lvl w:ilvl="6">
      <w:start w:val="0"/>
      <w:numFmt w:val="bullet"/>
      <w:lvlText w:val="•"/>
      <w:lvlJc w:val="left"/>
      <w:pPr>
        <w:ind w:left="5632" w:hanging="360"/>
      </w:pPr>
      <w:rPr>
        <w:rFonts w:hint="default"/>
        <w:lang w:val="en-US" w:eastAsia="en-US" w:bidi="ar-SA"/>
      </w:rPr>
    </w:lvl>
    <w:lvl w:ilvl="7">
      <w:start w:val="0"/>
      <w:numFmt w:val="bullet"/>
      <w:lvlText w:val="•"/>
      <w:lvlJc w:val="left"/>
      <w:pPr>
        <w:ind w:left="6364" w:hanging="360"/>
      </w:pPr>
      <w:rPr>
        <w:rFonts w:hint="default"/>
        <w:lang w:val="en-US" w:eastAsia="en-US" w:bidi="ar-SA"/>
      </w:rPr>
    </w:lvl>
    <w:lvl w:ilvl="8">
      <w:start w:val="0"/>
      <w:numFmt w:val="bullet"/>
      <w:lvlText w:val="•"/>
      <w:lvlJc w:val="left"/>
      <w:pPr>
        <w:ind w:left="7097" w:hanging="360"/>
      </w:pPr>
      <w:rPr>
        <w:rFonts w:hint="default"/>
        <w:lang w:val="en-US" w:eastAsia="en-US" w:bidi="ar-SA"/>
      </w:rPr>
    </w:lvl>
  </w:abstractNum>
  <w:abstractNum w:abstractNumId="71">
    <w:multiLevelType w:val="hybridMultilevel"/>
    <w:lvl w:ilvl="0">
      <w:start w:val="12"/>
      <w:numFmt w:val="decimal"/>
      <w:lvlText w:val="%1"/>
      <w:lvlJc w:val="left"/>
      <w:pPr>
        <w:ind w:left="1004" w:hanging="865"/>
        <w:jc w:val="left"/>
      </w:pPr>
      <w:rPr>
        <w:rFonts w:hint="default"/>
        <w:lang w:val="en-US" w:eastAsia="en-US" w:bidi="ar-SA"/>
      </w:rPr>
    </w:lvl>
    <w:lvl w:ilvl="1">
      <w:start w:val="4"/>
      <w:numFmt w:val="decimal"/>
      <w:lvlText w:val="%1.%2"/>
      <w:lvlJc w:val="left"/>
      <w:pPr>
        <w:ind w:left="1004" w:hanging="865"/>
        <w:jc w:val="left"/>
      </w:pPr>
      <w:rPr>
        <w:rFonts w:hint="default"/>
        <w:lang w:val="en-US" w:eastAsia="en-US" w:bidi="ar-SA"/>
      </w:rPr>
    </w:lvl>
    <w:lvl w:ilvl="2">
      <w:start w:val="7"/>
      <w:numFmt w:val="decimal"/>
      <w:lvlText w:val="%1.%2.%3"/>
      <w:lvlJc w:val="left"/>
      <w:pPr>
        <w:ind w:left="1004" w:hanging="865"/>
        <w:jc w:val="left"/>
      </w:pPr>
      <w:rPr>
        <w:rFonts w:hint="default"/>
        <w:lang w:val="en-US" w:eastAsia="en-US" w:bidi="ar-SA"/>
      </w:rPr>
    </w:lvl>
    <w:lvl w:ilvl="3">
      <w:start w:val="1"/>
      <w:numFmt w:val="decimal"/>
      <w:lvlText w:val="%1.%2.%3.%4"/>
      <w:lvlJc w:val="left"/>
      <w:pPr>
        <w:ind w:left="100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91" w:hanging="865"/>
      </w:pPr>
      <w:rPr>
        <w:rFonts w:hint="default"/>
        <w:lang w:val="en-US" w:eastAsia="en-US" w:bidi="ar-SA"/>
      </w:rPr>
    </w:lvl>
    <w:lvl w:ilvl="5">
      <w:start w:val="0"/>
      <w:numFmt w:val="bullet"/>
      <w:lvlText w:val="•"/>
      <w:lvlJc w:val="left"/>
      <w:pPr>
        <w:ind w:left="5864" w:hanging="865"/>
      </w:pPr>
      <w:rPr>
        <w:rFonts w:hint="default"/>
        <w:lang w:val="en-US" w:eastAsia="en-US" w:bidi="ar-SA"/>
      </w:rPr>
    </w:lvl>
    <w:lvl w:ilvl="6">
      <w:start w:val="0"/>
      <w:numFmt w:val="bullet"/>
      <w:lvlText w:val="•"/>
      <w:lvlJc w:val="left"/>
      <w:pPr>
        <w:ind w:left="6837" w:hanging="865"/>
      </w:pPr>
      <w:rPr>
        <w:rFonts w:hint="default"/>
        <w:lang w:val="en-US" w:eastAsia="en-US" w:bidi="ar-SA"/>
      </w:rPr>
    </w:lvl>
    <w:lvl w:ilvl="7">
      <w:start w:val="0"/>
      <w:numFmt w:val="bullet"/>
      <w:lvlText w:val="•"/>
      <w:lvlJc w:val="left"/>
      <w:pPr>
        <w:ind w:left="7810" w:hanging="865"/>
      </w:pPr>
      <w:rPr>
        <w:rFonts w:hint="default"/>
        <w:lang w:val="en-US" w:eastAsia="en-US" w:bidi="ar-SA"/>
      </w:rPr>
    </w:lvl>
    <w:lvl w:ilvl="8">
      <w:start w:val="0"/>
      <w:numFmt w:val="bullet"/>
      <w:lvlText w:val="•"/>
      <w:lvlJc w:val="left"/>
      <w:pPr>
        <w:ind w:left="8783" w:hanging="865"/>
      </w:pPr>
      <w:rPr>
        <w:rFonts w:hint="default"/>
        <w:lang w:val="en-US" w:eastAsia="en-US" w:bidi="ar-SA"/>
      </w:rPr>
    </w:lvl>
  </w:abstractNum>
  <w:abstractNum w:abstractNumId="70">
    <w:multiLevelType w:val="hybridMultilevel"/>
    <w:lvl w:ilvl="0">
      <w:start w:val="12"/>
      <w:numFmt w:val="decimal"/>
      <w:lvlText w:val="%1"/>
      <w:lvlJc w:val="left"/>
      <w:pPr>
        <w:ind w:left="1004" w:hanging="865"/>
        <w:jc w:val="left"/>
      </w:pPr>
      <w:rPr>
        <w:rFonts w:hint="default"/>
        <w:lang w:val="en-US" w:eastAsia="en-US" w:bidi="ar-SA"/>
      </w:rPr>
    </w:lvl>
    <w:lvl w:ilvl="1">
      <w:start w:val="4"/>
      <w:numFmt w:val="decimal"/>
      <w:lvlText w:val="%1.%2"/>
      <w:lvlJc w:val="left"/>
      <w:pPr>
        <w:ind w:left="1004" w:hanging="865"/>
        <w:jc w:val="left"/>
      </w:pPr>
      <w:rPr>
        <w:rFonts w:hint="default"/>
        <w:lang w:val="en-US" w:eastAsia="en-US" w:bidi="ar-SA"/>
      </w:rPr>
    </w:lvl>
    <w:lvl w:ilvl="2">
      <w:start w:val="6"/>
      <w:numFmt w:val="decimal"/>
      <w:lvlText w:val="%1.%2.%3"/>
      <w:lvlJc w:val="left"/>
      <w:pPr>
        <w:ind w:left="1004" w:hanging="865"/>
        <w:jc w:val="left"/>
      </w:pPr>
      <w:rPr>
        <w:rFonts w:hint="default"/>
        <w:lang w:val="en-US" w:eastAsia="en-US" w:bidi="ar-SA"/>
      </w:rPr>
    </w:lvl>
    <w:lvl w:ilvl="3">
      <w:start w:val="1"/>
      <w:numFmt w:val="decimal"/>
      <w:lvlText w:val="%1.%2.%3.%4"/>
      <w:lvlJc w:val="left"/>
      <w:pPr>
        <w:ind w:left="100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91" w:hanging="865"/>
      </w:pPr>
      <w:rPr>
        <w:rFonts w:hint="default"/>
        <w:lang w:val="en-US" w:eastAsia="en-US" w:bidi="ar-SA"/>
      </w:rPr>
    </w:lvl>
    <w:lvl w:ilvl="5">
      <w:start w:val="0"/>
      <w:numFmt w:val="bullet"/>
      <w:lvlText w:val="•"/>
      <w:lvlJc w:val="left"/>
      <w:pPr>
        <w:ind w:left="5864" w:hanging="865"/>
      </w:pPr>
      <w:rPr>
        <w:rFonts w:hint="default"/>
        <w:lang w:val="en-US" w:eastAsia="en-US" w:bidi="ar-SA"/>
      </w:rPr>
    </w:lvl>
    <w:lvl w:ilvl="6">
      <w:start w:val="0"/>
      <w:numFmt w:val="bullet"/>
      <w:lvlText w:val="•"/>
      <w:lvlJc w:val="left"/>
      <w:pPr>
        <w:ind w:left="6837" w:hanging="865"/>
      </w:pPr>
      <w:rPr>
        <w:rFonts w:hint="default"/>
        <w:lang w:val="en-US" w:eastAsia="en-US" w:bidi="ar-SA"/>
      </w:rPr>
    </w:lvl>
    <w:lvl w:ilvl="7">
      <w:start w:val="0"/>
      <w:numFmt w:val="bullet"/>
      <w:lvlText w:val="•"/>
      <w:lvlJc w:val="left"/>
      <w:pPr>
        <w:ind w:left="7810" w:hanging="865"/>
      </w:pPr>
      <w:rPr>
        <w:rFonts w:hint="default"/>
        <w:lang w:val="en-US" w:eastAsia="en-US" w:bidi="ar-SA"/>
      </w:rPr>
    </w:lvl>
    <w:lvl w:ilvl="8">
      <w:start w:val="0"/>
      <w:numFmt w:val="bullet"/>
      <w:lvlText w:val="•"/>
      <w:lvlJc w:val="left"/>
      <w:pPr>
        <w:ind w:left="8783" w:hanging="865"/>
      </w:pPr>
      <w:rPr>
        <w:rFonts w:hint="default"/>
        <w:lang w:val="en-US" w:eastAsia="en-US" w:bidi="ar-SA"/>
      </w:rPr>
    </w:lvl>
  </w:abstractNum>
  <w:abstractNum w:abstractNumId="69">
    <w:multiLevelType w:val="hybridMultilevel"/>
    <w:lvl w:ilvl="0">
      <w:start w:val="12"/>
      <w:numFmt w:val="decimal"/>
      <w:lvlText w:val="%1"/>
      <w:lvlJc w:val="left"/>
      <w:pPr>
        <w:ind w:left="1004" w:hanging="865"/>
        <w:jc w:val="left"/>
      </w:pPr>
      <w:rPr>
        <w:rFonts w:hint="default"/>
        <w:lang w:val="en-US" w:eastAsia="en-US" w:bidi="ar-SA"/>
      </w:rPr>
    </w:lvl>
    <w:lvl w:ilvl="1">
      <w:start w:val="4"/>
      <w:numFmt w:val="decimal"/>
      <w:lvlText w:val="%1.%2"/>
      <w:lvlJc w:val="left"/>
      <w:pPr>
        <w:ind w:left="1004" w:hanging="865"/>
        <w:jc w:val="left"/>
      </w:pPr>
      <w:rPr>
        <w:rFonts w:hint="default"/>
        <w:lang w:val="en-US" w:eastAsia="en-US" w:bidi="ar-SA"/>
      </w:rPr>
    </w:lvl>
    <w:lvl w:ilvl="2">
      <w:start w:val="5"/>
      <w:numFmt w:val="decimal"/>
      <w:lvlText w:val="%1.%2.%3"/>
      <w:lvlJc w:val="left"/>
      <w:pPr>
        <w:ind w:left="1004" w:hanging="865"/>
        <w:jc w:val="left"/>
      </w:pPr>
      <w:rPr>
        <w:rFonts w:hint="default"/>
        <w:lang w:val="en-US" w:eastAsia="en-US" w:bidi="ar-SA"/>
      </w:rPr>
    </w:lvl>
    <w:lvl w:ilvl="3">
      <w:start w:val="1"/>
      <w:numFmt w:val="decimal"/>
      <w:lvlText w:val="%1.%2.%3.%4"/>
      <w:lvlJc w:val="left"/>
      <w:pPr>
        <w:ind w:left="100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91" w:hanging="865"/>
      </w:pPr>
      <w:rPr>
        <w:rFonts w:hint="default"/>
        <w:lang w:val="en-US" w:eastAsia="en-US" w:bidi="ar-SA"/>
      </w:rPr>
    </w:lvl>
    <w:lvl w:ilvl="5">
      <w:start w:val="0"/>
      <w:numFmt w:val="bullet"/>
      <w:lvlText w:val="•"/>
      <w:lvlJc w:val="left"/>
      <w:pPr>
        <w:ind w:left="5864" w:hanging="865"/>
      </w:pPr>
      <w:rPr>
        <w:rFonts w:hint="default"/>
        <w:lang w:val="en-US" w:eastAsia="en-US" w:bidi="ar-SA"/>
      </w:rPr>
    </w:lvl>
    <w:lvl w:ilvl="6">
      <w:start w:val="0"/>
      <w:numFmt w:val="bullet"/>
      <w:lvlText w:val="•"/>
      <w:lvlJc w:val="left"/>
      <w:pPr>
        <w:ind w:left="6837" w:hanging="865"/>
      </w:pPr>
      <w:rPr>
        <w:rFonts w:hint="default"/>
        <w:lang w:val="en-US" w:eastAsia="en-US" w:bidi="ar-SA"/>
      </w:rPr>
    </w:lvl>
    <w:lvl w:ilvl="7">
      <w:start w:val="0"/>
      <w:numFmt w:val="bullet"/>
      <w:lvlText w:val="•"/>
      <w:lvlJc w:val="left"/>
      <w:pPr>
        <w:ind w:left="7810" w:hanging="865"/>
      </w:pPr>
      <w:rPr>
        <w:rFonts w:hint="default"/>
        <w:lang w:val="en-US" w:eastAsia="en-US" w:bidi="ar-SA"/>
      </w:rPr>
    </w:lvl>
    <w:lvl w:ilvl="8">
      <w:start w:val="0"/>
      <w:numFmt w:val="bullet"/>
      <w:lvlText w:val="•"/>
      <w:lvlJc w:val="left"/>
      <w:pPr>
        <w:ind w:left="8783" w:hanging="865"/>
      </w:pPr>
      <w:rPr>
        <w:rFonts w:hint="default"/>
        <w:lang w:val="en-US" w:eastAsia="en-US" w:bidi="ar-SA"/>
      </w:rPr>
    </w:lvl>
  </w:abstractNum>
  <w:abstractNum w:abstractNumId="68">
    <w:multiLevelType w:val="hybridMultilevel"/>
    <w:lvl w:ilvl="0">
      <w:start w:val="12"/>
      <w:numFmt w:val="decimal"/>
      <w:lvlText w:val="%1"/>
      <w:lvlJc w:val="left"/>
      <w:pPr>
        <w:ind w:left="1004" w:hanging="865"/>
        <w:jc w:val="left"/>
      </w:pPr>
      <w:rPr>
        <w:rFonts w:hint="default"/>
        <w:lang w:val="en-US" w:eastAsia="en-US" w:bidi="ar-SA"/>
      </w:rPr>
    </w:lvl>
    <w:lvl w:ilvl="1">
      <w:start w:val="4"/>
      <w:numFmt w:val="decimal"/>
      <w:lvlText w:val="%1.%2"/>
      <w:lvlJc w:val="left"/>
      <w:pPr>
        <w:ind w:left="1004" w:hanging="865"/>
        <w:jc w:val="left"/>
      </w:pPr>
      <w:rPr>
        <w:rFonts w:hint="default"/>
        <w:lang w:val="en-US" w:eastAsia="en-US" w:bidi="ar-SA"/>
      </w:rPr>
    </w:lvl>
    <w:lvl w:ilvl="2">
      <w:start w:val="4"/>
      <w:numFmt w:val="decimal"/>
      <w:lvlText w:val="%1.%2.%3"/>
      <w:lvlJc w:val="left"/>
      <w:pPr>
        <w:ind w:left="1004" w:hanging="865"/>
        <w:jc w:val="left"/>
      </w:pPr>
      <w:rPr>
        <w:rFonts w:hint="default"/>
        <w:lang w:val="en-US" w:eastAsia="en-US" w:bidi="ar-SA"/>
      </w:rPr>
    </w:lvl>
    <w:lvl w:ilvl="3">
      <w:start w:val="1"/>
      <w:numFmt w:val="decimal"/>
      <w:lvlText w:val="%1.%2.%3.%4"/>
      <w:lvlJc w:val="left"/>
      <w:pPr>
        <w:ind w:left="100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91" w:hanging="865"/>
      </w:pPr>
      <w:rPr>
        <w:rFonts w:hint="default"/>
        <w:lang w:val="en-US" w:eastAsia="en-US" w:bidi="ar-SA"/>
      </w:rPr>
    </w:lvl>
    <w:lvl w:ilvl="5">
      <w:start w:val="0"/>
      <w:numFmt w:val="bullet"/>
      <w:lvlText w:val="•"/>
      <w:lvlJc w:val="left"/>
      <w:pPr>
        <w:ind w:left="5864" w:hanging="865"/>
      </w:pPr>
      <w:rPr>
        <w:rFonts w:hint="default"/>
        <w:lang w:val="en-US" w:eastAsia="en-US" w:bidi="ar-SA"/>
      </w:rPr>
    </w:lvl>
    <w:lvl w:ilvl="6">
      <w:start w:val="0"/>
      <w:numFmt w:val="bullet"/>
      <w:lvlText w:val="•"/>
      <w:lvlJc w:val="left"/>
      <w:pPr>
        <w:ind w:left="6837" w:hanging="865"/>
      </w:pPr>
      <w:rPr>
        <w:rFonts w:hint="default"/>
        <w:lang w:val="en-US" w:eastAsia="en-US" w:bidi="ar-SA"/>
      </w:rPr>
    </w:lvl>
    <w:lvl w:ilvl="7">
      <w:start w:val="0"/>
      <w:numFmt w:val="bullet"/>
      <w:lvlText w:val="•"/>
      <w:lvlJc w:val="left"/>
      <w:pPr>
        <w:ind w:left="7810" w:hanging="865"/>
      </w:pPr>
      <w:rPr>
        <w:rFonts w:hint="default"/>
        <w:lang w:val="en-US" w:eastAsia="en-US" w:bidi="ar-SA"/>
      </w:rPr>
    </w:lvl>
    <w:lvl w:ilvl="8">
      <w:start w:val="0"/>
      <w:numFmt w:val="bullet"/>
      <w:lvlText w:val="•"/>
      <w:lvlJc w:val="left"/>
      <w:pPr>
        <w:ind w:left="8783" w:hanging="865"/>
      </w:pPr>
      <w:rPr>
        <w:rFonts w:hint="default"/>
        <w:lang w:val="en-US" w:eastAsia="en-US" w:bidi="ar-SA"/>
      </w:rPr>
    </w:lvl>
  </w:abstractNum>
  <w:abstractNum w:abstractNumId="67">
    <w:multiLevelType w:val="hybridMultilevel"/>
    <w:lvl w:ilvl="0">
      <w:start w:val="12"/>
      <w:numFmt w:val="decimal"/>
      <w:lvlText w:val="%1"/>
      <w:lvlJc w:val="left"/>
      <w:pPr>
        <w:ind w:left="1004" w:hanging="865"/>
        <w:jc w:val="left"/>
      </w:pPr>
      <w:rPr>
        <w:rFonts w:hint="default"/>
        <w:lang w:val="en-US" w:eastAsia="en-US" w:bidi="ar-SA"/>
      </w:rPr>
    </w:lvl>
    <w:lvl w:ilvl="1">
      <w:start w:val="4"/>
      <w:numFmt w:val="decimal"/>
      <w:lvlText w:val="%1.%2"/>
      <w:lvlJc w:val="left"/>
      <w:pPr>
        <w:ind w:left="1004" w:hanging="865"/>
        <w:jc w:val="left"/>
      </w:pPr>
      <w:rPr>
        <w:rFonts w:hint="default"/>
        <w:lang w:val="en-US" w:eastAsia="en-US" w:bidi="ar-SA"/>
      </w:rPr>
    </w:lvl>
    <w:lvl w:ilvl="2">
      <w:start w:val="3"/>
      <w:numFmt w:val="decimal"/>
      <w:lvlText w:val="%1.%2.%3"/>
      <w:lvlJc w:val="left"/>
      <w:pPr>
        <w:ind w:left="1004" w:hanging="865"/>
        <w:jc w:val="left"/>
      </w:pPr>
      <w:rPr>
        <w:rFonts w:hint="default"/>
        <w:lang w:val="en-US" w:eastAsia="en-US" w:bidi="ar-SA"/>
      </w:rPr>
    </w:lvl>
    <w:lvl w:ilvl="3">
      <w:start w:val="1"/>
      <w:numFmt w:val="decimal"/>
      <w:lvlText w:val="%1.%2.%3.%4"/>
      <w:lvlJc w:val="left"/>
      <w:pPr>
        <w:ind w:left="100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91" w:hanging="865"/>
      </w:pPr>
      <w:rPr>
        <w:rFonts w:hint="default"/>
        <w:lang w:val="en-US" w:eastAsia="en-US" w:bidi="ar-SA"/>
      </w:rPr>
    </w:lvl>
    <w:lvl w:ilvl="5">
      <w:start w:val="0"/>
      <w:numFmt w:val="bullet"/>
      <w:lvlText w:val="•"/>
      <w:lvlJc w:val="left"/>
      <w:pPr>
        <w:ind w:left="5864" w:hanging="865"/>
      </w:pPr>
      <w:rPr>
        <w:rFonts w:hint="default"/>
        <w:lang w:val="en-US" w:eastAsia="en-US" w:bidi="ar-SA"/>
      </w:rPr>
    </w:lvl>
    <w:lvl w:ilvl="6">
      <w:start w:val="0"/>
      <w:numFmt w:val="bullet"/>
      <w:lvlText w:val="•"/>
      <w:lvlJc w:val="left"/>
      <w:pPr>
        <w:ind w:left="6837" w:hanging="865"/>
      </w:pPr>
      <w:rPr>
        <w:rFonts w:hint="default"/>
        <w:lang w:val="en-US" w:eastAsia="en-US" w:bidi="ar-SA"/>
      </w:rPr>
    </w:lvl>
    <w:lvl w:ilvl="7">
      <w:start w:val="0"/>
      <w:numFmt w:val="bullet"/>
      <w:lvlText w:val="•"/>
      <w:lvlJc w:val="left"/>
      <w:pPr>
        <w:ind w:left="7810" w:hanging="865"/>
      </w:pPr>
      <w:rPr>
        <w:rFonts w:hint="default"/>
        <w:lang w:val="en-US" w:eastAsia="en-US" w:bidi="ar-SA"/>
      </w:rPr>
    </w:lvl>
    <w:lvl w:ilvl="8">
      <w:start w:val="0"/>
      <w:numFmt w:val="bullet"/>
      <w:lvlText w:val="•"/>
      <w:lvlJc w:val="left"/>
      <w:pPr>
        <w:ind w:left="8783" w:hanging="865"/>
      </w:pPr>
      <w:rPr>
        <w:rFonts w:hint="default"/>
        <w:lang w:val="en-US" w:eastAsia="en-US" w:bidi="ar-SA"/>
      </w:rPr>
    </w:lvl>
  </w:abstractNum>
  <w:abstractNum w:abstractNumId="66">
    <w:multiLevelType w:val="hybridMultilevel"/>
    <w:lvl w:ilvl="0">
      <w:start w:val="0"/>
      <w:numFmt w:val="bullet"/>
      <w:lvlText w:val=""/>
      <w:lvlJc w:val="left"/>
      <w:pPr>
        <w:ind w:left="158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494" w:hanging="360"/>
      </w:pPr>
      <w:rPr>
        <w:rFonts w:hint="default"/>
        <w:lang w:val="en-US" w:eastAsia="en-US" w:bidi="ar-SA"/>
      </w:rPr>
    </w:lvl>
    <w:lvl w:ilvl="2">
      <w:start w:val="0"/>
      <w:numFmt w:val="bullet"/>
      <w:lvlText w:val="•"/>
      <w:lvlJc w:val="left"/>
      <w:pPr>
        <w:ind w:left="3409" w:hanging="360"/>
      </w:pPr>
      <w:rPr>
        <w:rFonts w:hint="default"/>
        <w:lang w:val="en-US" w:eastAsia="en-US" w:bidi="ar-SA"/>
      </w:rPr>
    </w:lvl>
    <w:lvl w:ilvl="3">
      <w:start w:val="0"/>
      <w:numFmt w:val="bullet"/>
      <w:lvlText w:val="•"/>
      <w:lvlJc w:val="left"/>
      <w:pPr>
        <w:ind w:left="4324" w:hanging="360"/>
      </w:pPr>
      <w:rPr>
        <w:rFonts w:hint="default"/>
        <w:lang w:val="en-US" w:eastAsia="en-US" w:bidi="ar-SA"/>
      </w:rPr>
    </w:lvl>
    <w:lvl w:ilvl="4">
      <w:start w:val="0"/>
      <w:numFmt w:val="bullet"/>
      <w:lvlText w:val="•"/>
      <w:lvlJc w:val="left"/>
      <w:pPr>
        <w:ind w:left="5239" w:hanging="360"/>
      </w:pPr>
      <w:rPr>
        <w:rFonts w:hint="default"/>
        <w:lang w:val="en-US" w:eastAsia="en-US" w:bidi="ar-SA"/>
      </w:rPr>
    </w:lvl>
    <w:lvl w:ilvl="5">
      <w:start w:val="0"/>
      <w:numFmt w:val="bullet"/>
      <w:lvlText w:val="•"/>
      <w:lvlJc w:val="left"/>
      <w:pPr>
        <w:ind w:left="6154" w:hanging="360"/>
      </w:pPr>
      <w:rPr>
        <w:rFonts w:hint="default"/>
        <w:lang w:val="en-US" w:eastAsia="en-US" w:bidi="ar-SA"/>
      </w:rPr>
    </w:lvl>
    <w:lvl w:ilvl="6">
      <w:start w:val="0"/>
      <w:numFmt w:val="bullet"/>
      <w:lvlText w:val="•"/>
      <w:lvlJc w:val="left"/>
      <w:pPr>
        <w:ind w:left="7069" w:hanging="360"/>
      </w:pPr>
      <w:rPr>
        <w:rFonts w:hint="default"/>
        <w:lang w:val="en-US" w:eastAsia="en-US" w:bidi="ar-SA"/>
      </w:rPr>
    </w:lvl>
    <w:lvl w:ilvl="7">
      <w:start w:val="0"/>
      <w:numFmt w:val="bullet"/>
      <w:lvlText w:val="•"/>
      <w:lvlJc w:val="left"/>
      <w:pPr>
        <w:ind w:left="7984" w:hanging="360"/>
      </w:pPr>
      <w:rPr>
        <w:rFonts w:hint="default"/>
        <w:lang w:val="en-US" w:eastAsia="en-US" w:bidi="ar-SA"/>
      </w:rPr>
    </w:lvl>
    <w:lvl w:ilvl="8">
      <w:start w:val="0"/>
      <w:numFmt w:val="bullet"/>
      <w:lvlText w:val="•"/>
      <w:lvlJc w:val="left"/>
      <w:pPr>
        <w:ind w:left="8899" w:hanging="360"/>
      </w:pPr>
      <w:rPr>
        <w:rFonts w:hint="default"/>
        <w:lang w:val="en-US" w:eastAsia="en-US" w:bidi="ar-SA"/>
      </w:rPr>
    </w:lvl>
  </w:abstractNum>
  <w:abstractNum w:abstractNumId="65">
    <w:multiLevelType w:val="hybridMultilevel"/>
    <w:lvl w:ilvl="0">
      <w:start w:val="12"/>
      <w:numFmt w:val="decimal"/>
      <w:lvlText w:val="%1"/>
      <w:lvlJc w:val="left"/>
      <w:pPr>
        <w:ind w:left="1004" w:hanging="865"/>
        <w:jc w:val="left"/>
      </w:pPr>
      <w:rPr>
        <w:rFonts w:hint="default"/>
        <w:lang w:val="en-US" w:eastAsia="en-US" w:bidi="ar-SA"/>
      </w:rPr>
    </w:lvl>
    <w:lvl w:ilvl="1">
      <w:start w:val="3"/>
      <w:numFmt w:val="decimal"/>
      <w:lvlText w:val="%1.%2"/>
      <w:lvlJc w:val="left"/>
      <w:pPr>
        <w:ind w:left="1004" w:hanging="865"/>
        <w:jc w:val="left"/>
      </w:pPr>
      <w:rPr>
        <w:rFonts w:hint="default"/>
        <w:lang w:val="en-US" w:eastAsia="en-US" w:bidi="ar-SA"/>
      </w:rPr>
    </w:lvl>
    <w:lvl w:ilvl="2">
      <w:start w:val="1"/>
      <w:numFmt w:val="decimal"/>
      <w:lvlText w:val="%1.%2.%3"/>
      <w:lvlJc w:val="left"/>
      <w:pPr>
        <w:ind w:left="1004" w:hanging="865"/>
        <w:jc w:val="left"/>
      </w:pPr>
      <w:rPr>
        <w:rFonts w:hint="default"/>
        <w:lang w:val="en-US" w:eastAsia="en-US" w:bidi="ar-SA"/>
      </w:rPr>
    </w:lvl>
    <w:lvl w:ilvl="3">
      <w:start w:val="1"/>
      <w:numFmt w:val="decimal"/>
      <w:lvlText w:val="%1.%2.%3.%4"/>
      <w:lvlJc w:val="left"/>
      <w:pPr>
        <w:ind w:left="100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91" w:hanging="865"/>
      </w:pPr>
      <w:rPr>
        <w:rFonts w:hint="default"/>
        <w:lang w:val="en-US" w:eastAsia="en-US" w:bidi="ar-SA"/>
      </w:rPr>
    </w:lvl>
    <w:lvl w:ilvl="5">
      <w:start w:val="0"/>
      <w:numFmt w:val="bullet"/>
      <w:lvlText w:val="•"/>
      <w:lvlJc w:val="left"/>
      <w:pPr>
        <w:ind w:left="5864" w:hanging="865"/>
      </w:pPr>
      <w:rPr>
        <w:rFonts w:hint="default"/>
        <w:lang w:val="en-US" w:eastAsia="en-US" w:bidi="ar-SA"/>
      </w:rPr>
    </w:lvl>
    <w:lvl w:ilvl="6">
      <w:start w:val="0"/>
      <w:numFmt w:val="bullet"/>
      <w:lvlText w:val="•"/>
      <w:lvlJc w:val="left"/>
      <w:pPr>
        <w:ind w:left="6837" w:hanging="865"/>
      </w:pPr>
      <w:rPr>
        <w:rFonts w:hint="default"/>
        <w:lang w:val="en-US" w:eastAsia="en-US" w:bidi="ar-SA"/>
      </w:rPr>
    </w:lvl>
    <w:lvl w:ilvl="7">
      <w:start w:val="0"/>
      <w:numFmt w:val="bullet"/>
      <w:lvlText w:val="•"/>
      <w:lvlJc w:val="left"/>
      <w:pPr>
        <w:ind w:left="7810" w:hanging="865"/>
      </w:pPr>
      <w:rPr>
        <w:rFonts w:hint="default"/>
        <w:lang w:val="en-US" w:eastAsia="en-US" w:bidi="ar-SA"/>
      </w:rPr>
    </w:lvl>
    <w:lvl w:ilvl="8">
      <w:start w:val="0"/>
      <w:numFmt w:val="bullet"/>
      <w:lvlText w:val="•"/>
      <w:lvlJc w:val="left"/>
      <w:pPr>
        <w:ind w:left="8783" w:hanging="865"/>
      </w:pPr>
      <w:rPr>
        <w:rFonts w:hint="default"/>
        <w:lang w:val="en-US" w:eastAsia="en-US" w:bidi="ar-SA"/>
      </w:rPr>
    </w:lvl>
  </w:abstractNum>
  <w:abstractNum w:abstractNumId="64">
    <w:multiLevelType w:val="hybridMultilevel"/>
    <w:lvl w:ilvl="0">
      <w:start w:val="11"/>
      <w:numFmt w:val="decimal"/>
      <w:lvlText w:val="%1"/>
      <w:lvlJc w:val="left"/>
      <w:pPr>
        <w:ind w:left="1084" w:hanging="865"/>
        <w:jc w:val="left"/>
      </w:pPr>
      <w:rPr>
        <w:rFonts w:hint="default"/>
        <w:lang w:val="en-US" w:eastAsia="en-US" w:bidi="ar-SA"/>
      </w:rPr>
    </w:lvl>
    <w:lvl w:ilvl="1">
      <w:start w:val="4"/>
      <w:numFmt w:val="decimal"/>
      <w:lvlText w:val="%1.%2"/>
      <w:lvlJc w:val="left"/>
      <w:pPr>
        <w:ind w:left="1084" w:hanging="865"/>
        <w:jc w:val="left"/>
      </w:pPr>
      <w:rPr>
        <w:rFonts w:hint="default"/>
        <w:lang w:val="en-US" w:eastAsia="en-US" w:bidi="ar-SA"/>
      </w:rPr>
    </w:lvl>
    <w:lvl w:ilvl="2">
      <w:start w:val="7"/>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19" w:hanging="865"/>
      </w:pPr>
      <w:rPr>
        <w:rFonts w:hint="default"/>
        <w:lang w:val="en-US" w:eastAsia="en-US" w:bidi="ar-SA"/>
      </w:rPr>
    </w:lvl>
    <w:lvl w:ilvl="5">
      <w:start w:val="0"/>
      <w:numFmt w:val="bullet"/>
      <w:lvlText w:val="•"/>
      <w:lvlJc w:val="left"/>
      <w:pPr>
        <w:ind w:left="6004" w:hanging="865"/>
      </w:pPr>
      <w:rPr>
        <w:rFonts w:hint="default"/>
        <w:lang w:val="en-US" w:eastAsia="en-US" w:bidi="ar-SA"/>
      </w:rPr>
    </w:lvl>
    <w:lvl w:ilvl="6">
      <w:start w:val="0"/>
      <w:numFmt w:val="bullet"/>
      <w:lvlText w:val="•"/>
      <w:lvlJc w:val="left"/>
      <w:pPr>
        <w:ind w:left="6989" w:hanging="865"/>
      </w:pPr>
      <w:rPr>
        <w:rFonts w:hint="default"/>
        <w:lang w:val="en-US" w:eastAsia="en-US" w:bidi="ar-SA"/>
      </w:rPr>
    </w:lvl>
    <w:lvl w:ilvl="7">
      <w:start w:val="0"/>
      <w:numFmt w:val="bullet"/>
      <w:lvlText w:val="•"/>
      <w:lvlJc w:val="left"/>
      <w:pPr>
        <w:ind w:left="7974" w:hanging="865"/>
      </w:pPr>
      <w:rPr>
        <w:rFonts w:hint="default"/>
        <w:lang w:val="en-US" w:eastAsia="en-US" w:bidi="ar-SA"/>
      </w:rPr>
    </w:lvl>
    <w:lvl w:ilvl="8">
      <w:start w:val="0"/>
      <w:numFmt w:val="bullet"/>
      <w:lvlText w:val="•"/>
      <w:lvlJc w:val="left"/>
      <w:pPr>
        <w:ind w:left="8959" w:hanging="865"/>
      </w:pPr>
      <w:rPr>
        <w:rFonts w:hint="default"/>
        <w:lang w:val="en-US" w:eastAsia="en-US" w:bidi="ar-SA"/>
      </w:rPr>
    </w:lvl>
  </w:abstractNum>
  <w:abstractNum w:abstractNumId="63">
    <w:multiLevelType w:val="hybridMultilevel"/>
    <w:lvl w:ilvl="0">
      <w:start w:val="11"/>
      <w:numFmt w:val="decimal"/>
      <w:lvlText w:val="%1"/>
      <w:lvlJc w:val="left"/>
      <w:pPr>
        <w:ind w:left="1084" w:hanging="865"/>
        <w:jc w:val="left"/>
      </w:pPr>
      <w:rPr>
        <w:rFonts w:hint="default"/>
        <w:lang w:val="en-US" w:eastAsia="en-US" w:bidi="ar-SA"/>
      </w:rPr>
    </w:lvl>
    <w:lvl w:ilvl="1">
      <w:start w:val="4"/>
      <w:numFmt w:val="decimal"/>
      <w:lvlText w:val="%1.%2"/>
      <w:lvlJc w:val="left"/>
      <w:pPr>
        <w:ind w:left="1084" w:hanging="865"/>
        <w:jc w:val="left"/>
      </w:pPr>
      <w:rPr>
        <w:rFonts w:hint="default"/>
        <w:lang w:val="en-US" w:eastAsia="en-US" w:bidi="ar-SA"/>
      </w:rPr>
    </w:lvl>
    <w:lvl w:ilvl="2">
      <w:start w:val="6"/>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19" w:hanging="865"/>
      </w:pPr>
      <w:rPr>
        <w:rFonts w:hint="default"/>
        <w:lang w:val="en-US" w:eastAsia="en-US" w:bidi="ar-SA"/>
      </w:rPr>
    </w:lvl>
    <w:lvl w:ilvl="5">
      <w:start w:val="0"/>
      <w:numFmt w:val="bullet"/>
      <w:lvlText w:val="•"/>
      <w:lvlJc w:val="left"/>
      <w:pPr>
        <w:ind w:left="6004" w:hanging="865"/>
      </w:pPr>
      <w:rPr>
        <w:rFonts w:hint="default"/>
        <w:lang w:val="en-US" w:eastAsia="en-US" w:bidi="ar-SA"/>
      </w:rPr>
    </w:lvl>
    <w:lvl w:ilvl="6">
      <w:start w:val="0"/>
      <w:numFmt w:val="bullet"/>
      <w:lvlText w:val="•"/>
      <w:lvlJc w:val="left"/>
      <w:pPr>
        <w:ind w:left="6989" w:hanging="865"/>
      </w:pPr>
      <w:rPr>
        <w:rFonts w:hint="default"/>
        <w:lang w:val="en-US" w:eastAsia="en-US" w:bidi="ar-SA"/>
      </w:rPr>
    </w:lvl>
    <w:lvl w:ilvl="7">
      <w:start w:val="0"/>
      <w:numFmt w:val="bullet"/>
      <w:lvlText w:val="•"/>
      <w:lvlJc w:val="left"/>
      <w:pPr>
        <w:ind w:left="7974" w:hanging="865"/>
      </w:pPr>
      <w:rPr>
        <w:rFonts w:hint="default"/>
        <w:lang w:val="en-US" w:eastAsia="en-US" w:bidi="ar-SA"/>
      </w:rPr>
    </w:lvl>
    <w:lvl w:ilvl="8">
      <w:start w:val="0"/>
      <w:numFmt w:val="bullet"/>
      <w:lvlText w:val="•"/>
      <w:lvlJc w:val="left"/>
      <w:pPr>
        <w:ind w:left="8959" w:hanging="865"/>
      </w:pPr>
      <w:rPr>
        <w:rFonts w:hint="default"/>
        <w:lang w:val="en-US" w:eastAsia="en-US" w:bidi="ar-SA"/>
      </w:rPr>
    </w:lvl>
  </w:abstractNum>
  <w:abstractNum w:abstractNumId="62">
    <w:multiLevelType w:val="hybridMultilevel"/>
    <w:lvl w:ilvl="0">
      <w:start w:val="11"/>
      <w:numFmt w:val="decimal"/>
      <w:lvlText w:val="%1"/>
      <w:lvlJc w:val="left"/>
      <w:pPr>
        <w:ind w:left="1084" w:hanging="865"/>
        <w:jc w:val="left"/>
      </w:pPr>
      <w:rPr>
        <w:rFonts w:hint="default"/>
        <w:lang w:val="en-US" w:eastAsia="en-US" w:bidi="ar-SA"/>
      </w:rPr>
    </w:lvl>
    <w:lvl w:ilvl="1">
      <w:start w:val="4"/>
      <w:numFmt w:val="decimal"/>
      <w:lvlText w:val="%1.%2"/>
      <w:lvlJc w:val="left"/>
      <w:pPr>
        <w:ind w:left="1084" w:hanging="865"/>
        <w:jc w:val="left"/>
      </w:pPr>
      <w:rPr>
        <w:rFonts w:hint="default"/>
        <w:lang w:val="en-US" w:eastAsia="en-US" w:bidi="ar-SA"/>
      </w:rPr>
    </w:lvl>
    <w:lvl w:ilvl="2">
      <w:start w:val="5"/>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19" w:hanging="865"/>
      </w:pPr>
      <w:rPr>
        <w:rFonts w:hint="default"/>
        <w:lang w:val="en-US" w:eastAsia="en-US" w:bidi="ar-SA"/>
      </w:rPr>
    </w:lvl>
    <w:lvl w:ilvl="5">
      <w:start w:val="0"/>
      <w:numFmt w:val="bullet"/>
      <w:lvlText w:val="•"/>
      <w:lvlJc w:val="left"/>
      <w:pPr>
        <w:ind w:left="6004" w:hanging="865"/>
      </w:pPr>
      <w:rPr>
        <w:rFonts w:hint="default"/>
        <w:lang w:val="en-US" w:eastAsia="en-US" w:bidi="ar-SA"/>
      </w:rPr>
    </w:lvl>
    <w:lvl w:ilvl="6">
      <w:start w:val="0"/>
      <w:numFmt w:val="bullet"/>
      <w:lvlText w:val="•"/>
      <w:lvlJc w:val="left"/>
      <w:pPr>
        <w:ind w:left="6989" w:hanging="865"/>
      </w:pPr>
      <w:rPr>
        <w:rFonts w:hint="default"/>
        <w:lang w:val="en-US" w:eastAsia="en-US" w:bidi="ar-SA"/>
      </w:rPr>
    </w:lvl>
    <w:lvl w:ilvl="7">
      <w:start w:val="0"/>
      <w:numFmt w:val="bullet"/>
      <w:lvlText w:val="•"/>
      <w:lvlJc w:val="left"/>
      <w:pPr>
        <w:ind w:left="7974" w:hanging="865"/>
      </w:pPr>
      <w:rPr>
        <w:rFonts w:hint="default"/>
        <w:lang w:val="en-US" w:eastAsia="en-US" w:bidi="ar-SA"/>
      </w:rPr>
    </w:lvl>
    <w:lvl w:ilvl="8">
      <w:start w:val="0"/>
      <w:numFmt w:val="bullet"/>
      <w:lvlText w:val="•"/>
      <w:lvlJc w:val="left"/>
      <w:pPr>
        <w:ind w:left="8959" w:hanging="865"/>
      </w:pPr>
      <w:rPr>
        <w:rFonts w:hint="default"/>
        <w:lang w:val="en-US" w:eastAsia="en-US" w:bidi="ar-SA"/>
      </w:rPr>
    </w:lvl>
  </w:abstractNum>
  <w:abstractNum w:abstractNumId="61">
    <w:multiLevelType w:val="hybridMultilevel"/>
    <w:lvl w:ilvl="0">
      <w:start w:val="0"/>
      <w:numFmt w:val="bullet"/>
      <w:lvlText w:val=""/>
      <w:lvlJc w:val="left"/>
      <w:pPr>
        <w:ind w:left="166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586" w:hanging="360"/>
      </w:pPr>
      <w:rPr>
        <w:rFonts w:hint="default"/>
        <w:lang w:val="en-US" w:eastAsia="en-US" w:bidi="ar-SA"/>
      </w:rPr>
    </w:lvl>
    <w:lvl w:ilvl="2">
      <w:start w:val="0"/>
      <w:numFmt w:val="bullet"/>
      <w:lvlText w:val="•"/>
      <w:lvlJc w:val="left"/>
      <w:pPr>
        <w:ind w:left="3513" w:hanging="360"/>
      </w:pPr>
      <w:rPr>
        <w:rFonts w:hint="default"/>
        <w:lang w:val="en-US" w:eastAsia="en-US" w:bidi="ar-SA"/>
      </w:rPr>
    </w:lvl>
    <w:lvl w:ilvl="3">
      <w:start w:val="0"/>
      <w:numFmt w:val="bullet"/>
      <w:lvlText w:val="•"/>
      <w:lvlJc w:val="left"/>
      <w:pPr>
        <w:ind w:left="4440" w:hanging="360"/>
      </w:pPr>
      <w:rPr>
        <w:rFonts w:hint="default"/>
        <w:lang w:val="en-US" w:eastAsia="en-US" w:bidi="ar-SA"/>
      </w:rPr>
    </w:lvl>
    <w:lvl w:ilvl="4">
      <w:start w:val="0"/>
      <w:numFmt w:val="bullet"/>
      <w:lvlText w:val="•"/>
      <w:lvlJc w:val="left"/>
      <w:pPr>
        <w:ind w:left="5367" w:hanging="360"/>
      </w:pPr>
      <w:rPr>
        <w:rFonts w:hint="default"/>
        <w:lang w:val="en-US" w:eastAsia="en-US" w:bidi="ar-SA"/>
      </w:rPr>
    </w:lvl>
    <w:lvl w:ilvl="5">
      <w:start w:val="0"/>
      <w:numFmt w:val="bullet"/>
      <w:lvlText w:val="•"/>
      <w:lvlJc w:val="left"/>
      <w:pPr>
        <w:ind w:left="6294" w:hanging="360"/>
      </w:pPr>
      <w:rPr>
        <w:rFonts w:hint="default"/>
        <w:lang w:val="en-US" w:eastAsia="en-US" w:bidi="ar-SA"/>
      </w:rPr>
    </w:lvl>
    <w:lvl w:ilvl="6">
      <w:start w:val="0"/>
      <w:numFmt w:val="bullet"/>
      <w:lvlText w:val="•"/>
      <w:lvlJc w:val="left"/>
      <w:pPr>
        <w:ind w:left="7221" w:hanging="360"/>
      </w:pPr>
      <w:rPr>
        <w:rFonts w:hint="default"/>
        <w:lang w:val="en-US" w:eastAsia="en-US" w:bidi="ar-SA"/>
      </w:rPr>
    </w:lvl>
    <w:lvl w:ilvl="7">
      <w:start w:val="0"/>
      <w:numFmt w:val="bullet"/>
      <w:lvlText w:val="•"/>
      <w:lvlJc w:val="left"/>
      <w:pPr>
        <w:ind w:left="8148" w:hanging="360"/>
      </w:pPr>
      <w:rPr>
        <w:rFonts w:hint="default"/>
        <w:lang w:val="en-US" w:eastAsia="en-US" w:bidi="ar-SA"/>
      </w:rPr>
    </w:lvl>
    <w:lvl w:ilvl="8">
      <w:start w:val="0"/>
      <w:numFmt w:val="bullet"/>
      <w:lvlText w:val="•"/>
      <w:lvlJc w:val="left"/>
      <w:pPr>
        <w:ind w:left="9075" w:hanging="360"/>
      </w:pPr>
      <w:rPr>
        <w:rFonts w:hint="default"/>
        <w:lang w:val="en-US" w:eastAsia="en-US" w:bidi="ar-SA"/>
      </w:rPr>
    </w:lvl>
  </w:abstractNum>
  <w:abstractNum w:abstractNumId="60">
    <w:multiLevelType w:val="hybridMultilevel"/>
    <w:lvl w:ilvl="0">
      <w:start w:val="0"/>
      <w:numFmt w:val="bullet"/>
      <w:lvlText w:val=""/>
      <w:lvlJc w:val="left"/>
      <w:pPr>
        <w:ind w:left="3522" w:hanging="360"/>
      </w:pPr>
      <w:rPr>
        <w:rFonts w:hint="default" w:ascii="Symbol" w:hAnsi="Symbol" w:eastAsia="Symbol" w:cs="Symbol"/>
        <w:w w:val="100"/>
        <w:sz w:val="22"/>
        <w:szCs w:val="22"/>
        <w:lang w:val="en-US" w:eastAsia="en-US" w:bidi="ar-SA"/>
      </w:rPr>
    </w:lvl>
    <w:lvl w:ilvl="1">
      <w:start w:val="0"/>
      <w:numFmt w:val="bullet"/>
      <w:lvlText w:val="•"/>
      <w:lvlJc w:val="left"/>
      <w:pPr>
        <w:ind w:left="4264" w:hanging="360"/>
      </w:pPr>
      <w:rPr>
        <w:rFonts w:hint="default"/>
        <w:lang w:val="en-US" w:eastAsia="en-US" w:bidi="ar-SA"/>
      </w:rPr>
    </w:lvl>
    <w:lvl w:ilvl="2">
      <w:start w:val="0"/>
      <w:numFmt w:val="bullet"/>
      <w:lvlText w:val="•"/>
      <w:lvlJc w:val="left"/>
      <w:pPr>
        <w:ind w:left="5009" w:hanging="360"/>
      </w:pPr>
      <w:rPr>
        <w:rFonts w:hint="default"/>
        <w:lang w:val="en-US" w:eastAsia="en-US" w:bidi="ar-SA"/>
      </w:rPr>
    </w:lvl>
    <w:lvl w:ilvl="3">
      <w:start w:val="0"/>
      <w:numFmt w:val="bullet"/>
      <w:lvlText w:val="•"/>
      <w:lvlJc w:val="left"/>
      <w:pPr>
        <w:ind w:left="5754" w:hanging="360"/>
      </w:pPr>
      <w:rPr>
        <w:rFonts w:hint="default"/>
        <w:lang w:val="en-US" w:eastAsia="en-US" w:bidi="ar-SA"/>
      </w:rPr>
    </w:lvl>
    <w:lvl w:ilvl="4">
      <w:start w:val="0"/>
      <w:numFmt w:val="bullet"/>
      <w:lvlText w:val="•"/>
      <w:lvlJc w:val="left"/>
      <w:pPr>
        <w:ind w:left="6499" w:hanging="360"/>
      </w:pPr>
      <w:rPr>
        <w:rFonts w:hint="default"/>
        <w:lang w:val="en-US" w:eastAsia="en-US" w:bidi="ar-SA"/>
      </w:rPr>
    </w:lvl>
    <w:lvl w:ilvl="5">
      <w:start w:val="0"/>
      <w:numFmt w:val="bullet"/>
      <w:lvlText w:val="•"/>
      <w:lvlJc w:val="left"/>
      <w:pPr>
        <w:ind w:left="7244" w:hanging="360"/>
      </w:pPr>
      <w:rPr>
        <w:rFonts w:hint="default"/>
        <w:lang w:val="en-US" w:eastAsia="en-US" w:bidi="ar-SA"/>
      </w:rPr>
    </w:lvl>
    <w:lvl w:ilvl="6">
      <w:start w:val="0"/>
      <w:numFmt w:val="bullet"/>
      <w:lvlText w:val="•"/>
      <w:lvlJc w:val="left"/>
      <w:pPr>
        <w:ind w:left="7989" w:hanging="360"/>
      </w:pPr>
      <w:rPr>
        <w:rFonts w:hint="default"/>
        <w:lang w:val="en-US" w:eastAsia="en-US" w:bidi="ar-SA"/>
      </w:rPr>
    </w:lvl>
    <w:lvl w:ilvl="7">
      <w:start w:val="0"/>
      <w:numFmt w:val="bullet"/>
      <w:lvlText w:val="•"/>
      <w:lvlJc w:val="left"/>
      <w:pPr>
        <w:ind w:left="8734" w:hanging="360"/>
      </w:pPr>
      <w:rPr>
        <w:rFonts w:hint="default"/>
        <w:lang w:val="en-US" w:eastAsia="en-US" w:bidi="ar-SA"/>
      </w:rPr>
    </w:lvl>
    <w:lvl w:ilvl="8">
      <w:start w:val="0"/>
      <w:numFmt w:val="bullet"/>
      <w:lvlText w:val="•"/>
      <w:lvlJc w:val="left"/>
      <w:pPr>
        <w:ind w:left="9479" w:hanging="360"/>
      </w:pPr>
      <w:rPr>
        <w:rFonts w:hint="default"/>
        <w:lang w:val="en-US" w:eastAsia="en-US" w:bidi="ar-SA"/>
      </w:rPr>
    </w:lvl>
  </w:abstractNum>
  <w:abstractNum w:abstractNumId="59">
    <w:multiLevelType w:val="hybridMultilevel"/>
    <w:lvl w:ilvl="0">
      <w:start w:val="10"/>
      <w:numFmt w:val="decimal"/>
      <w:lvlText w:val="%1"/>
      <w:lvlJc w:val="left"/>
      <w:pPr>
        <w:ind w:left="1124" w:hanging="865"/>
        <w:jc w:val="left"/>
      </w:pPr>
      <w:rPr>
        <w:rFonts w:hint="default"/>
        <w:lang w:val="en-US" w:eastAsia="en-US" w:bidi="ar-SA"/>
      </w:rPr>
    </w:lvl>
    <w:lvl w:ilvl="1">
      <w:start w:val="4"/>
      <w:numFmt w:val="decimal"/>
      <w:lvlText w:val="%1.%2"/>
      <w:lvlJc w:val="left"/>
      <w:pPr>
        <w:ind w:left="1124" w:hanging="865"/>
        <w:jc w:val="left"/>
      </w:pPr>
      <w:rPr>
        <w:rFonts w:hint="default"/>
        <w:lang w:val="en-US" w:eastAsia="en-US" w:bidi="ar-SA"/>
      </w:rPr>
    </w:lvl>
    <w:lvl w:ilvl="2">
      <w:start w:val="7"/>
      <w:numFmt w:val="decimal"/>
      <w:lvlText w:val="%1.%2.%3"/>
      <w:lvlJc w:val="left"/>
      <w:pPr>
        <w:ind w:left="1124" w:hanging="865"/>
        <w:jc w:val="left"/>
      </w:pPr>
      <w:rPr>
        <w:rFonts w:hint="default"/>
        <w:lang w:val="en-US" w:eastAsia="en-US" w:bidi="ar-SA"/>
      </w:rPr>
    </w:lvl>
    <w:lvl w:ilvl="3">
      <w:start w:val="1"/>
      <w:numFmt w:val="decimal"/>
      <w:lvlText w:val="%1.%2.%3.%4"/>
      <w:lvlJc w:val="left"/>
      <w:pPr>
        <w:ind w:left="112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59" w:hanging="865"/>
      </w:pPr>
      <w:rPr>
        <w:rFonts w:hint="default"/>
        <w:lang w:val="en-US" w:eastAsia="en-US" w:bidi="ar-SA"/>
      </w:rPr>
    </w:lvl>
    <w:lvl w:ilvl="5">
      <w:start w:val="0"/>
      <w:numFmt w:val="bullet"/>
      <w:lvlText w:val="•"/>
      <w:lvlJc w:val="left"/>
      <w:pPr>
        <w:ind w:left="6044" w:hanging="865"/>
      </w:pPr>
      <w:rPr>
        <w:rFonts w:hint="default"/>
        <w:lang w:val="en-US" w:eastAsia="en-US" w:bidi="ar-SA"/>
      </w:rPr>
    </w:lvl>
    <w:lvl w:ilvl="6">
      <w:start w:val="0"/>
      <w:numFmt w:val="bullet"/>
      <w:lvlText w:val="•"/>
      <w:lvlJc w:val="left"/>
      <w:pPr>
        <w:ind w:left="7029" w:hanging="865"/>
      </w:pPr>
      <w:rPr>
        <w:rFonts w:hint="default"/>
        <w:lang w:val="en-US" w:eastAsia="en-US" w:bidi="ar-SA"/>
      </w:rPr>
    </w:lvl>
    <w:lvl w:ilvl="7">
      <w:start w:val="0"/>
      <w:numFmt w:val="bullet"/>
      <w:lvlText w:val="•"/>
      <w:lvlJc w:val="left"/>
      <w:pPr>
        <w:ind w:left="8014" w:hanging="865"/>
      </w:pPr>
      <w:rPr>
        <w:rFonts w:hint="default"/>
        <w:lang w:val="en-US" w:eastAsia="en-US" w:bidi="ar-SA"/>
      </w:rPr>
    </w:lvl>
    <w:lvl w:ilvl="8">
      <w:start w:val="0"/>
      <w:numFmt w:val="bullet"/>
      <w:lvlText w:val="•"/>
      <w:lvlJc w:val="left"/>
      <w:pPr>
        <w:ind w:left="8999" w:hanging="865"/>
      </w:pPr>
      <w:rPr>
        <w:rFonts w:hint="default"/>
        <w:lang w:val="en-US" w:eastAsia="en-US" w:bidi="ar-SA"/>
      </w:rPr>
    </w:lvl>
  </w:abstractNum>
  <w:abstractNum w:abstractNumId="58">
    <w:multiLevelType w:val="hybridMultilevel"/>
    <w:lvl w:ilvl="0">
      <w:start w:val="10"/>
      <w:numFmt w:val="decimal"/>
      <w:lvlText w:val="%1"/>
      <w:lvlJc w:val="left"/>
      <w:pPr>
        <w:ind w:left="1124" w:hanging="865"/>
        <w:jc w:val="left"/>
      </w:pPr>
      <w:rPr>
        <w:rFonts w:hint="default"/>
        <w:lang w:val="en-US" w:eastAsia="en-US" w:bidi="ar-SA"/>
      </w:rPr>
    </w:lvl>
    <w:lvl w:ilvl="1">
      <w:start w:val="4"/>
      <w:numFmt w:val="decimal"/>
      <w:lvlText w:val="%1.%2"/>
      <w:lvlJc w:val="left"/>
      <w:pPr>
        <w:ind w:left="1124" w:hanging="865"/>
        <w:jc w:val="left"/>
      </w:pPr>
      <w:rPr>
        <w:rFonts w:hint="default"/>
        <w:lang w:val="en-US" w:eastAsia="en-US" w:bidi="ar-SA"/>
      </w:rPr>
    </w:lvl>
    <w:lvl w:ilvl="2">
      <w:start w:val="6"/>
      <w:numFmt w:val="decimal"/>
      <w:lvlText w:val="%1.%2.%3"/>
      <w:lvlJc w:val="left"/>
      <w:pPr>
        <w:ind w:left="1124" w:hanging="865"/>
        <w:jc w:val="left"/>
      </w:pPr>
      <w:rPr>
        <w:rFonts w:hint="default"/>
        <w:lang w:val="en-US" w:eastAsia="en-US" w:bidi="ar-SA"/>
      </w:rPr>
    </w:lvl>
    <w:lvl w:ilvl="3">
      <w:start w:val="1"/>
      <w:numFmt w:val="decimal"/>
      <w:lvlText w:val="%1.%2.%3.%4"/>
      <w:lvlJc w:val="left"/>
      <w:pPr>
        <w:ind w:left="112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59" w:hanging="865"/>
      </w:pPr>
      <w:rPr>
        <w:rFonts w:hint="default"/>
        <w:lang w:val="en-US" w:eastAsia="en-US" w:bidi="ar-SA"/>
      </w:rPr>
    </w:lvl>
    <w:lvl w:ilvl="5">
      <w:start w:val="0"/>
      <w:numFmt w:val="bullet"/>
      <w:lvlText w:val="•"/>
      <w:lvlJc w:val="left"/>
      <w:pPr>
        <w:ind w:left="6044" w:hanging="865"/>
      </w:pPr>
      <w:rPr>
        <w:rFonts w:hint="default"/>
        <w:lang w:val="en-US" w:eastAsia="en-US" w:bidi="ar-SA"/>
      </w:rPr>
    </w:lvl>
    <w:lvl w:ilvl="6">
      <w:start w:val="0"/>
      <w:numFmt w:val="bullet"/>
      <w:lvlText w:val="•"/>
      <w:lvlJc w:val="left"/>
      <w:pPr>
        <w:ind w:left="7029" w:hanging="865"/>
      </w:pPr>
      <w:rPr>
        <w:rFonts w:hint="default"/>
        <w:lang w:val="en-US" w:eastAsia="en-US" w:bidi="ar-SA"/>
      </w:rPr>
    </w:lvl>
    <w:lvl w:ilvl="7">
      <w:start w:val="0"/>
      <w:numFmt w:val="bullet"/>
      <w:lvlText w:val="•"/>
      <w:lvlJc w:val="left"/>
      <w:pPr>
        <w:ind w:left="8014" w:hanging="865"/>
      </w:pPr>
      <w:rPr>
        <w:rFonts w:hint="default"/>
        <w:lang w:val="en-US" w:eastAsia="en-US" w:bidi="ar-SA"/>
      </w:rPr>
    </w:lvl>
    <w:lvl w:ilvl="8">
      <w:start w:val="0"/>
      <w:numFmt w:val="bullet"/>
      <w:lvlText w:val="•"/>
      <w:lvlJc w:val="left"/>
      <w:pPr>
        <w:ind w:left="8999" w:hanging="865"/>
      </w:pPr>
      <w:rPr>
        <w:rFonts w:hint="default"/>
        <w:lang w:val="en-US" w:eastAsia="en-US" w:bidi="ar-SA"/>
      </w:rPr>
    </w:lvl>
  </w:abstractNum>
  <w:abstractNum w:abstractNumId="57">
    <w:multiLevelType w:val="hybridMultilevel"/>
    <w:lvl w:ilvl="0">
      <w:start w:val="10"/>
      <w:numFmt w:val="decimal"/>
      <w:lvlText w:val="%1"/>
      <w:lvlJc w:val="left"/>
      <w:pPr>
        <w:ind w:left="1124" w:hanging="865"/>
        <w:jc w:val="left"/>
      </w:pPr>
      <w:rPr>
        <w:rFonts w:hint="default"/>
        <w:lang w:val="en-US" w:eastAsia="en-US" w:bidi="ar-SA"/>
      </w:rPr>
    </w:lvl>
    <w:lvl w:ilvl="1">
      <w:start w:val="4"/>
      <w:numFmt w:val="decimal"/>
      <w:lvlText w:val="%1.%2"/>
      <w:lvlJc w:val="left"/>
      <w:pPr>
        <w:ind w:left="1124" w:hanging="865"/>
        <w:jc w:val="left"/>
      </w:pPr>
      <w:rPr>
        <w:rFonts w:hint="default"/>
        <w:lang w:val="en-US" w:eastAsia="en-US" w:bidi="ar-SA"/>
      </w:rPr>
    </w:lvl>
    <w:lvl w:ilvl="2">
      <w:start w:val="5"/>
      <w:numFmt w:val="decimal"/>
      <w:lvlText w:val="%1.%2.%3"/>
      <w:lvlJc w:val="left"/>
      <w:pPr>
        <w:ind w:left="1124" w:hanging="865"/>
        <w:jc w:val="left"/>
      </w:pPr>
      <w:rPr>
        <w:rFonts w:hint="default"/>
        <w:lang w:val="en-US" w:eastAsia="en-US" w:bidi="ar-SA"/>
      </w:rPr>
    </w:lvl>
    <w:lvl w:ilvl="3">
      <w:start w:val="1"/>
      <w:numFmt w:val="decimal"/>
      <w:lvlText w:val="%1.%2.%3.%4"/>
      <w:lvlJc w:val="left"/>
      <w:pPr>
        <w:ind w:left="112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59" w:hanging="865"/>
      </w:pPr>
      <w:rPr>
        <w:rFonts w:hint="default"/>
        <w:lang w:val="en-US" w:eastAsia="en-US" w:bidi="ar-SA"/>
      </w:rPr>
    </w:lvl>
    <w:lvl w:ilvl="5">
      <w:start w:val="0"/>
      <w:numFmt w:val="bullet"/>
      <w:lvlText w:val="•"/>
      <w:lvlJc w:val="left"/>
      <w:pPr>
        <w:ind w:left="6044" w:hanging="865"/>
      </w:pPr>
      <w:rPr>
        <w:rFonts w:hint="default"/>
        <w:lang w:val="en-US" w:eastAsia="en-US" w:bidi="ar-SA"/>
      </w:rPr>
    </w:lvl>
    <w:lvl w:ilvl="6">
      <w:start w:val="0"/>
      <w:numFmt w:val="bullet"/>
      <w:lvlText w:val="•"/>
      <w:lvlJc w:val="left"/>
      <w:pPr>
        <w:ind w:left="7029" w:hanging="865"/>
      </w:pPr>
      <w:rPr>
        <w:rFonts w:hint="default"/>
        <w:lang w:val="en-US" w:eastAsia="en-US" w:bidi="ar-SA"/>
      </w:rPr>
    </w:lvl>
    <w:lvl w:ilvl="7">
      <w:start w:val="0"/>
      <w:numFmt w:val="bullet"/>
      <w:lvlText w:val="•"/>
      <w:lvlJc w:val="left"/>
      <w:pPr>
        <w:ind w:left="8014" w:hanging="865"/>
      </w:pPr>
      <w:rPr>
        <w:rFonts w:hint="default"/>
        <w:lang w:val="en-US" w:eastAsia="en-US" w:bidi="ar-SA"/>
      </w:rPr>
    </w:lvl>
    <w:lvl w:ilvl="8">
      <w:start w:val="0"/>
      <w:numFmt w:val="bullet"/>
      <w:lvlText w:val="•"/>
      <w:lvlJc w:val="left"/>
      <w:pPr>
        <w:ind w:left="8999" w:hanging="865"/>
      </w:pPr>
      <w:rPr>
        <w:rFonts w:hint="default"/>
        <w:lang w:val="en-US" w:eastAsia="en-US" w:bidi="ar-SA"/>
      </w:rPr>
    </w:lvl>
  </w:abstractNum>
  <w:abstractNum w:abstractNumId="56">
    <w:multiLevelType w:val="hybridMultilevel"/>
    <w:lvl w:ilvl="0">
      <w:start w:val="0"/>
      <w:numFmt w:val="bullet"/>
      <w:lvlText w:val=""/>
      <w:lvlJc w:val="left"/>
      <w:pPr>
        <w:ind w:left="170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626" w:hanging="360"/>
      </w:pPr>
      <w:rPr>
        <w:rFonts w:hint="default"/>
        <w:lang w:val="en-US" w:eastAsia="en-US" w:bidi="ar-SA"/>
      </w:rPr>
    </w:lvl>
    <w:lvl w:ilvl="2">
      <w:start w:val="0"/>
      <w:numFmt w:val="bullet"/>
      <w:lvlText w:val="•"/>
      <w:lvlJc w:val="left"/>
      <w:pPr>
        <w:ind w:left="3553" w:hanging="360"/>
      </w:pPr>
      <w:rPr>
        <w:rFonts w:hint="default"/>
        <w:lang w:val="en-US" w:eastAsia="en-US" w:bidi="ar-SA"/>
      </w:rPr>
    </w:lvl>
    <w:lvl w:ilvl="3">
      <w:start w:val="0"/>
      <w:numFmt w:val="bullet"/>
      <w:lvlText w:val="•"/>
      <w:lvlJc w:val="left"/>
      <w:pPr>
        <w:ind w:left="4480" w:hanging="360"/>
      </w:pPr>
      <w:rPr>
        <w:rFonts w:hint="default"/>
        <w:lang w:val="en-US" w:eastAsia="en-US" w:bidi="ar-SA"/>
      </w:rPr>
    </w:lvl>
    <w:lvl w:ilvl="4">
      <w:start w:val="0"/>
      <w:numFmt w:val="bullet"/>
      <w:lvlText w:val="•"/>
      <w:lvlJc w:val="left"/>
      <w:pPr>
        <w:ind w:left="5407" w:hanging="360"/>
      </w:pPr>
      <w:rPr>
        <w:rFonts w:hint="default"/>
        <w:lang w:val="en-US" w:eastAsia="en-US" w:bidi="ar-SA"/>
      </w:rPr>
    </w:lvl>
    <w:lvl w:ilvl="5">
      <w:start w:val="0"/>
      <w:numFmt w:val="bullet"/>
      <w:lvlText w:val="•"/>
      <w:lvlJc w:val="left"/>
      <w:pPr>
        <w:ind w:left="6334" w:hanging="360"/>
      </w:pPr>
      <w:rPr>
        <w:rFonts w:hint="default"/>
        <w:lang w:val="en-US" w:eastAsia="en-US" w:bidi="ar-SA"/>
      </w:rPr>
    </w:lvl>
    <w:lvl w:ilvl="6">
      <w:start w:val="0"/>
      <w:numFmt w:val="bullet"/>
      <w:lvlText w:val="•"/>
      <w:lvlJc w:val="left"/>
      <w:pPr>
        <w:ind w:left="7261" w:hanging="360"/>
      </w:pPr>
      <w:rPr>
        <w:rFonts w:hint="default"/>
        <w:lang w:val="en-US" w:eastAsia="en-US" w:bidi="ar-SA"/>
      </w:rPr>
    </w:lvl>
    <w:lvl w:ilvl="7">
      <w:start w:val="0"/>
      <w:numFmt w:val="bullet"/>
      <w:lvlText w:val="•"/>
      <w:lvlJc w:val="left"/>
      <w:pPr>
        <w:ind w:left="8188" w:hanging="360"/>
      </w:pPr>
      <w:rPr>
        <w:rFonts w:hint="default"/>
        <w:lang w:val="en-US" w:eastAsia="en-US" w:bidi="ar-SA"/>
      </w:rPr>
    </w:lvl>
    <w:lvl w:ilvl="8">
      <w:start w:val="0"/>
      <w:numFmt w:val="bullet"/>
      <w:lvlText w:val="•"/>
      <w:lvlJc w:val="left"/>
      <w:pPr>
        <w:ind w:left="9115" w:hanging="360"/>
      </w:pPr>
      <w:rPr>
        <w:rFonts w:hint="default"/>
        <w:lang w:val="en-US" w:eastAsia="en-US" w:bidi="ar-SA"/>
      </w:rPr>
    </w:lvl>
  </w:abstractNum>
  <w:abstractNum w:abstractNumId="55">
    <w:multiLevelType w:val="hybridMultilevel"/>
    <w:lvl w:ilvl="0">
      <w:start w:val="9"/>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7"/>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911" w:hanging="865"/>
      </w:pPr>
      <w:rPr>
        <w:rFonts w:hint="default"/>
        <w:lang w:val="en-US" w:eastAsia="en-US" w:bidi="ar-SA"/>
      </w:rPr>
    </w:lvl>
    <w:lvl w:ilvl="5">
      <w:start w:val="0"/>
      <w:numFmt w:val="bullet"/>
      <w:lvlText w:val="•"/>
      <w:lvlJc w:val="left"/>
      <w:pPr>
        <w:ind w:left="5894" w:hanging="865"/>
      </w:pPr>
      <w:rPr>
        <w:rFonts w:hint="default"/>
        <w:lang w:val="en-US" w:eastAsia="en-US" w:bidi="ar-SA"/>
      </w:rPr>
    </w:lvl>
    <w:lvl w:ilvl="6">
      <w:start w:val="0"/>
      <w:numFmt w:val="bullet"/>
      <w:lvlText w:val="•"/>
      <w:lvlJc w:val="left"/>
      <w:pPr>
        <w:ind w:left="6877" w:hanging="865"/>
      </w:pPr>
      <w:rPr>
        <w:rFonts w:hint="default"/>
        <w:lang w:val="en-US" w:eastAsia="en-US" w:bidi="ar-SA"/>
      </w:rPr>
    </w:lvl>
    <w:lvl w:ilvl="7">
      <w:start w:val="0"/>
      <w:numFmt w:val="bullet"/>
      <w:lvlText w:val="•"/>
      <w:lvlJc w:val="left"/>
      <w:pPr>
        <w:ind w:left="7860" w:hanging="865"/>
      </w:pPr>
      <w:rPr>
        <w:rFonts w:hint="default"/>
        <w:lang w:val="en-US" w:eastAsia="en-US" w:bidi="ar-SA"/>
      </w:rPr>
    </w:lvl>
    <w:lvl w:ilvl="8">
      <w:start w:val="0"/>
      <w:numFmt w:val="bullet"/>
      <w:lvlText w:val="•"/>
      <w:lvlJc w:val="left"/>
      <w:pPr>
        <w:ind w:left="8843" w:hanging="865"/>
      </w:pPr>
      <w:rPr>
        <w:rFonts w:hint="default"/>
        <w:lang w:val="en-US" w:eastAsia="en-US" w:bidi="ar-SA"/>
      </w:rPr>
    </w:lvl>
  </w:abstractNum>
  <w:abstractNum w:abstractNumId="54">
    <w:multiLevelType w:val="hybridMultilevel"/>
    <w:lvl w:ilvl="0">
      <w:start w:val="9"/>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6"/>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911" w:hanging="865"/>
      </w:pPr>
      <w:rPr>
        <w:rFonts w:hint="default"/>
        <w:lang w:val="en-US" w:eastAsia="en-US" w:bidi="ar-SA"/>
      </w:rPr>
    </w:lvl>
    <w:lvl w:ilvl="5">
      <w:start w:val="0"/>
      <w:numFmt w:val="bullet"/>
      <w:lvlText w:val="•"/>
      <w:lvlJc w:val="left"/>
      <w:pPr>
        <w:ind w:left="5894" w:hanging="865"/>
      </w:pPr>
      <w:rPr>
        <w:rFonts w:hint="default"/>
        <w:lang w:val="en-US" w:eastAsia="en-US" w:bidi="ar-SA"/>
      </w:rPr>
    </w:lvl>
    <w:lvl w:ilvl="6">
      <w:start w:val="0"/>
      <w:numFmt w:val="bullet"/>
      <w:lvlText w:val="•"/>
      <w:lvlJc w:val="left"/>
      <w:pPr>
        <w:ind w:left="6877" w:hanging="865"/>
      </w:pPr>
      <w:rPr>
        <w:rFonts w:hint="default"/>
        <w:lang w:val="en-US" w:eastAsia="en-US" w:bidi="ar-SA"/>
      </w:rPr>
    </w:lvl>
    <w:lvl w:ilvl="7">
      <w:start w:val="0"/>
      <w:numFmt w:val="bullet"/>
      <w:lvlText w:val="•"/>
      <w:lvlJc w:val="left"/>
      <w:pPr>
        <w:ind w:left="7860" w:hanging="865"/>
      </w:pPr>
      <w:rPr>
        <w:rFonts w:hint="default"/>
        <w:lang w:val="en-US" w:eastAsia="en-US" w:bidi="ar-SA"/>
      </w:rPr>
    </w:lvl>
    <w:lvl w:ilvl="8">
      <w:start w:val="0"/>
      <w:numFmt w:val="bullet"/>
      <w:lvlText w:val="•"/>
      <w:lvlJc w:val="left"/>
      <w:pPr>
        <w:ind w:left="8843" w:hanging="865"/>
      </w:pPr>
      <w:rPr>
        <w:rFonts w:hint="default"/>
        <w:lang w:val="en-US" w:eastAsia="en-US" w:bidi="ar-SA"/>
      </w:rPr>
    </w:lvl>
  </w:abstractNum>
  <w:abstractNum w:abstractNumId="53">
    <w:multiLevelType w:val="hybridMultilevel"/>
    <w:lvl w:ilvl="0">
      <w:start w:val="9"/>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5"/>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911" w:hanging="865"/>
      </w:pPr>
      <w:rPr>
        <w:rFonts w:hint="default"/>
        <w:lang w:val="en-US" w:eastAsia="en-US" w:bidi="ar-SA"/>
      </w:rPr>
    </w:lvl>
    <w:lvl w:ilvl="5">
      <w:start w:val="0"/>
      <w:numFmt w:val="bullet"/>
      <w:lvlText w:val="•"/>
      <w:lvlJc w:val="left"/>
      <w:pPr>
        <w:ind w:left="5894" w:hanging="865"/>
      </w:pPr>
      <w:rPr>
        <w:rFonts w:hint="default"/>
        <w:lang w:val="en-US" w:eastAsia="en-US" w:bidi="ar-SA"/>
      </w:rPr>
    </w:lvl>
    <w:lvl w:ilvl="6">
      <w:start w:val="0"/>
      <w:numFmt w:val="bullet"/>
      <w:lvlText w:val="•"/>
      <w:lvlJc w:val="left"/>
      <w:pPr>
        <w:ind w:left="6877" w:hanging="865"/>
      </w:pPr>
      <w:rPr>
        <w:rFonts w:hint="default"/>
        <w:lang w:val="en-US" w:eastAsia="en-US" w:bidi="ar-SA"/>
      </w:rPr>
    </w:lvl>
    <w:lvl w:ilvl="7">
      <w:start w:val="0"/>
      <w:numFmt w:val="bullet"/>
      <w:lvlText w:val="•"/>
      <w:lvlJc w:val="left"/>
      <w:pPr>
        <w:ind w:left="7860" w:hanging="865"/>
      </w:pPr>
      <w:rPr>
        <w:rFonts w:hint="default"/>
        <w:lang w:val="en-US" w:eastAsia="en-US" w:bidi="ar-SA"/>
      </w:rPr>
    </w:lvl>
    <w:lvl w:ilvl="8">
      <w:start w:val="0"/>
      <w:numFmt w:val="bullet"/>
      <w:lvlText w:val="•"/>
      <w:lvlJc w:val="left"/>
      <w:pPr>
        <w:ind w:left="8843" w:hanging="865"/>
      </w:pPr>
      <w:rPr>
        <w:rFonts w:hint="default"/>
        <w:lang w:val="en-US" w:eastAsia="en-US" w:bidi="ar-SA"/>
      </w:rPr>
    </w:lvl>
  </w:abstractNum>
  <w:abstractNum w:abstractNumId="52">
    <w:multiLevelType w:val="hybridMultilevel"/>
    <w:lvl w:ilvl="0">
      <w:start w:val="9"/>
      <w:numFmt w:val="decimal"/>
      <w:lvlText w:val="%1"/>
      <w:lvlJc w:val="left"/>
      <w:pPr>
        <w:ind w:left="1084" w:hanging="865"/>
        <w:jc w:val="left"/>
      </w:pPr>
      <w:rPr>
        <w:rFonts w:hint="default"/>
        <w:lang w:val="en-US" w:eastAsia="en-US" w:bidi="ar-SA"/>
      </w:rPr>
    </w:lvl>
    <w:lvl w:ilvl="1">
      <w:start w:val="4"/>
      <w:numFmt w:val="decimal"/>
      <w:lvlText w:val="%1.%2"/>
      <w:lvlJc w:val="left"/>
      <w:pPr>
        <w:ind w:left="1084" w:hanging="865"/>
        <w:jc w:val="left"/>
      </w:pPr>
      <w:rPr>
        <w:rFonts w:hint="default"/>
        <w:lang w:val="en-US" w:eastAsia="en-US" w:bidi="ar-SA"/>
      </w:rPr>
    </w:lvl>
    <w:lvl w:ilvl="2">
      <w:start w:val="4"/>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19" w:hanging="865"/>
      </w:pPr>
      <w:rPr>
        <w:rFonts w:hint="default"/>
        <w:lang w:val="en-US" w:eastAsia="en-US" w:bidi="ar-SA"/>
      </w:rPr>
    </w:lvl>
    <w:lvl w:ilvl="5">
      <w:start w:val="0"/>
      <w:numFmt w:val="bullet"/>
      <w:lvlText w:val="•"/>
      <w:lvlJc w:val="left"/>
      <w:pPr>
        <w:ind w:left="6004" w:hanging="865"/>
      </w:pPr>
      <w:rPr>
        <w:rFonts w:hint="default"/>
        <w:lang w:val="en-US" w:eastAsia="en-US" w:bidi="ar-SA"/>
      </w:rPr>
    </w:lvl>
    <w:lvl w:ilvl="6">
      <w:start w:val="0"/>
      <w:numFmt w:val="bullet"/>
      <w:lvlText w:val="•"/>
      <w:lvlJc w:val="left"/>
      <w:pPr>
        <w:ind w:left="6989" w:hanging="865"/>
      </w:pPr>
      <w:rPr>
        <w:rFonts w:hint="default"/>
        <w:lang w:val="en-US" w:eastAsia="en-US" w:bidi="ar-SA"/>
      </w:rPr>
    </w:lvl>
    <w:lvl w:ilvl="7">
      <w:start w:val="0"/>
      <w:numFmt w:val="bullet"/>
      <w:lvlText w:val="•"/>
      <w:lvlJc w:val="left"/>
      <w:pPr>
        <w:ind w:left="7974" w:hanging="865"/>
      </w:pPr>
      <w:rPr>
        <w:rFonts w:hint="default"/>
        <w:lang w:val="en-US" w:eastAsia="en-US" w:bidi="ar-SA"/>
      </w:rPr>
    </w:lvl>
    <w:lvl w:ilvl="8">
      <w:start w:val="0"/>
      <w:numFmt w:val="bullet"/>
      <w:lvlText w:val="•"/>
      <w:lvlJc w:val="left"/>
      <w:pPr>
        <w:ind w:left="8959" w:hanging="865"/>
      </w:pPr>
      <w:rPr>
        <w:rFonts w:hint="default"/>
        <w:lang w:val="en-US" w:eastAsia="en-US" w:bidi="ar-SA"/>
      </w:rPr>
    </w:lvl>
  </w:abstractNum>
  <w:abstractNum w:abstractNumId="51">
    <w:multiLevelType w:val="hybridMultilevel"/>
    <w:lvl w:ilvl="0">
      <w:start w:val="9"/>
      <w:numFmt w:val="decimal"/>
      <w:lvlText w:val="%1"/>
      <w:lvlJc w:val="left"/>
      <w:pPr>
        <w:ind w:left="1084" w:hanging="865"/>
        <w:jc w:val="left"/>
      </w:pPr>
      <w:rPr>
        <w:rFonts w:hint="default"/>
        <w:lang w:val="en-US" w:eastAsia="en-US" w:bidi="ar-SA"/>
      </w:rPr>
    </w:lvl>
    <w:lvl w:ilvl="1">
      <w:start w:val="4"/>
      <w:numFmt w:val="decimal"/>
      <w:lvlText w:val="%1.%2"/>
      <w:lvlJc w:val="left"/>
      <w:pPr>
        <w:ind w:left="1084" w:hanging="865"/>
        <w:jc w:val="left"/>
      </w:pPr>
      <w:rPr>
        <w:rFonts w:hint="default"/>
        <w:lang w:val="en-US" w:eastAsia="en-US" w:bidi="ar-SA"/>
      </w:rPr>
    </w:lvl>
    <w:lvl w:ilvl="2">
      <w:start w:val="3"/>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19" w:hanging="865"/>
      </w:pPr>
      <w:rPr>
        <w:rFonts w:hint="default"/>
        <w:lang w:val="en-US" w:eastAsia="en-US" w:bidi="ar-SA"/>
      </w:rPr>
    </w:lvl>
    <w:lvl w:ilvl="5">
      <w:start w:val="0"/>
      <w:numFmt w:val="bullet"/>
      <w:lvlText w:val="•"/>
      <w:lvlJc w:val="left"/>
      <w:pPr>
        <w:ind w:left="6004" w:hanging="865"/>
      </w:pPr>
      <w:rPr>
        <w:rFonts w:hint="default"/>
        <w:lang w:val="en-US" w:eastAsia="en-US" w:bidi="ar-SA"/>
      </w:rPr>
    </w:lvl>
    <w:lvl w:ilvl="6">
      <w:start w:val="0"/>
      <w:numFmt w:val="bullet"/>
      <w:lvlText w:val="•"/>
      <w:lvlJc w:val="left"/>
      <w:pPr>
        <w:ind w:left="6989" w:hanging="865"/>
      </w:pPr>
      <w:rPr>
        <w:rFonts w:hint="default"/>
        <w:lang w:val="en-US" w:eastAsia="en-US" w:bidi="ar-SA"/>
      </w:rPr>
    </w:lvl>
    <w:lvl w:ilvl="7">
      <w:start w:val="0"/>
      <w:numFmt w:val="bullet"/>
      <w:lvlText w:val="•"/>
      <w:lvlJc w:val="left"/>
      <w:pPr>
        <w:ind w:left="7974" w:hanging="865"/>
      </w:pPr>
      <w:rPr>
        <w:rFonts w:hint="default"/>
        <w:lang w:val="en-US" w:eastAsia="en-US" w:bidi="ar-SA"/>
      </w:rPr>
    </w:lvl>
    <w:lvl w:ilvl="8">
      <w:start w:val="0"/>
      <w:numFmt w:val="bullet"/>
      <w:lvlText w:val="•"/>
      <w:lvlJc w:val="left"/>
      <w:pPr>
        <w:ind w:left="8959" w:hanging="865"/>
      </w:pPr>
      <w:rPr>
        <w:rFonts w:hint="default"/>
        <w:lang w:val="en-US" w:eastAsia="en-US" w:bidi="ar-SA"/>
      </w:rPr>
    </w:lvl>
  </w:abstractNum>
  <w:abstractNum w:abstractNumId="50">
    <w:multiLevelType w:val="hybridMultilevel"/>
    <w:lvl w:ilvl="0">
      <w:start w:val="0"/>
      <w:numFmt w:val="bullet"/>
      <w:lvlText w:val=""/>
      <w:lvlJc w:val="left"/>
      <w:pPr>
        <w:ind w:left="166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586" w:hanging="360"/>
      </w:pPr>
      <w:rPr>
        <w:rFonts w:hint="default"/>
        <w:lang w:val="en-US" w:eastAsia="en-US" w:bidi="ar-SA"/>
      </w:rPr>
    </w:lvl>
    <w:lvl w:ilvl="2">
      <w:start w:val="0"/>
      <w:numFmt w:val="bullet"/>
      <w:lvlText w:val="•"/>
      <w:lvlJc w:val="left"/>
      <w:pPr>
        <w:ind w:left="3513" w:hanging="360"/>
      </w:pPr>
      <w:rPr>
        <w:rFonts w:hint="default"/>
        <w:lang w:val="en-US" w:eastAsia="en-US" w:bidi="ar-SA"/>
      </w:rPr>
    </w:lvl>
    <w:lvl w:ilvl="3">
      <w:start w:val="0"/>
      <w:numFmt w:val="bullet"/>
      <w:lvlText w:val="•"/>
      <w:lvlJc w:val="left"/>
      <w:pPr>
        <w:ind w:left="4440" w:hanging="360"/>
      </w:pPr>
      <w:rPr>
        <w:rFonts w:hint="default"/>
        <w:lang w:val="en-US" w:eastAsia="en-US" w:bidi="ar-SA"/>
      </w:rPr>
    </w:lvl>
    <w:lvl w:ilvl="4">
      <w:start w:val="0"/>
      <w:numFmt w:val="bullet"/>
      <w:lvlText w:val="•"/>
      <w:lvlJc w:val="left"/>
      <w:pPr>
        <w:ind w:left="5367" w:hanging="360"/>
      </w:pPr>
      <w:rPr>
        <w:rFonts w:hint="default"/>
        <w:lang w:val="en-US" w:eastAsia="en-US" w:bidi="ar-SA"/>
      </w:rPr>
    </w:lvl>
    <w:lvl w:ilvl="5">
      <w:start w:val="0"/>
      <w:numFmt w:val="bullet"/>
      <w:lvlText w:val="•"/>
      <w:lvlJc w:val="left"/>
      <w:pPr>
        <w:ind w:left="6294" w:hanging="360"/>
      </w:pPr>
      <w:rPr>
        <w:rFonts w:hint="default"/>
        <w:lang w:val="en-US" w:eastAsia="en-US" w:bidi="ar-SA"/>
      </w:rPr>
    </w:lvl>
    <w:lvl w:ilvl="6">
      <w:start w:val="0"/>
      <w:numFmt w:val="bullet"/>
      <w:lvlText w:val="•"/>
      <w:lvlJc w:val="left"/>
      <w:pPr>
        <w:ind w:left="7221" w:hanging="360"/>
      </w:pPr>
      <w:rPr>
        <w:rFonts w:hint="default"/>
        <w:lang w:val="en-US" w:eastAsia="en-US" w:bidi="ar-SA"/>
      </w:rPr>
    </w:lvl>
    <w:lvl w:ilvl="7">
      <w:start w:val="0"/>
      <w:numFmt w:val="bullet"/>
      <w:lvlText w:val="•"/>
      <w:lvlJc w:val="left"/>
      <w:pPr>
        <w:ind w:left="8148" w:hanging="360"/>
      </w:pPr>
      <w:rPr>
        <w:rFonts w:hint="default"/>
        <w:lang w:val="en-US" w:eastAsia="en-US" w:bidi="ar-SA"/>
      </w:rPr>
    </w:lvl>
    <w:lvl w:ilvl="8">
      <w:start w:val="0"/>
      <w:numFmt w:val="bullet"/>
      <w:lvlText w:val="•"/>
      <w:lvlJc w:val="left"/>
      <w:pPr>
        <w:ind w:left="9075" w:hanging="360"/>
      </w:pPr>
      <w:rPr>
        <w:rFonts w:hint="default"/>
        <w:lang w:val="en-US" w:eastAsia="en-US" w:bidi="ar-SA"/>
      </w:rPr>
    </w:lvl>
  </w:abstractNum>
  <w:abstractNum w:abstractNumId="49">
    <w:multiLevelType w:val="hybridMultilevel"/>
    <w:lvl w:ilvl="0">
      <w:start w:val="8"/>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7"/>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903" w:hanging="865"/>
      </w:pPr>
      <w:rPr>
        <w:rFonts w:hint="default"/>
        <w:lang w:val="en-US" w:eastAsia="en-US" w:bidi="ar-SA"/>
      </w:rPr>
    </w:lvl>
    <w:lvl w:ilvl="5">
      <w:start w:val="0"/>
      <w:numFmt w:val="bullet"/>
      <w:lvlText w:val="•"/>
      <w:lvlJc w:val="left"/>
      <w:pPr>
        <w:ind w:left="5884" w:hanging="865"/>
      </w:pPr>
      <w:rPr>
        <w:rFonts w:hint="default"/>
        <w:lang w:val="en-US" w:eastAsia="en-US" w:bidi="ar-SA"/>
      </w:rPr>
    </w:lvl>
    <w:lvl w:ilvl="6">
      <w:start w:val="0"/>
      <w:numFmt w:val="bullet"/>
      <w:lvlText w:val="•"/>
      <w:lvlJc w:val="left"/>
      <w:pPr>
        <w:ind w:left="6865" w:hanging="865"/>
      </w:pPr>
      <w:rPr>
        <w:rFonts w:hint="default"/>
        <w:lang w:val="en-US" w:eastAsia="en-US" w:bidi="ar-SA"/>
      </w:rPr>
    </w:lvl>
    <w:lvl w:ilvl="7">
      <w:start w:val="0"/>
      <w:numFmt w:val="bullet"/>
      <w:lvlText w:val="•"/>
      <w:lvlJc w:val="left"/>
      <w:pPr>
        <w:ind w:left="7846" w:hanging="865"/>
      </w:pPr>
      <w:rPr>
        <w:rFonts w:hint="default"/>
        <w:lang w:val="en-US" w:eastAsia="en-US" w:bidi="ar-SA"/>
      </w:rPr>
    </w:lvl>
    <w:lvl w:ilvl="8">
      <w:start w:val="0"/>
      <w:numFmt w:val="bullet"/>
      <w:lvlText w:val="•"/>
      <w:lvlJc w:val="left"/>
      <w:pPr>
        <w:ind w:left="8827" w:hanging="865"/>
      </w:pPr>
      <w:rPr>
        <w:rFonts w:hint="default"/>
        <w:lang w:val="en-US" w:eastAsia="en-US" w:bidi="ar-SA"/>
      </w:rPr>
    </w:lvl>
  </w:abstractNum>
  <w:abstractNum w:abstractNumId="48">
    <w:multiLevelType w:val="hybridMultilevel"/>
    <w:lvl w:ilvl="0">
      <w:start w:val="8"/>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6"/>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903" w:hanging="865"/>
      </w:pPr>
      <w:rPr>
        <w:rFonts w:hint="default"/>
        <w:lang w:val="en-US" w:eastAsia="en-US" w:bidi="ar-SA"/>
      </w:rPr>
    </w:lvl>
    <w:lvl w:ilvl="5">
      <w:start w:val="0"/>
      <w:numFmt w:val="bullet"/>
      <w:lvlText w:val="•"/>
      <w:lvlJc w:val="left"/>
      <w:pPr>
        <w:ind w:left="5884" w:hanging="865"/>
      </w:pPr>
      <w:rPr>
        <w:rFonts w:hint="default"/>
        <w:lang w:val="en-US" w:eastAsia="en-US" w:bidi="ar-SA"/>
      </w:rPr>
    </w:lvl>
    <w:lvl w:ilvl="6">
      <w:start w:val="0"/>
      <w:numFmt w:val="bullet"/>
      <w:lvlText w:val="•"/>
      <w:lvlJc w:val="left"/>
      <w:pPr>
        <w:ind w:left="6865" w:hanging="865"/>
      </w:pPr>
      <w:rPr>
        <w:rFonts w:hint="default"/>
        <w:lang w:val="en-US" w:eastAsia="en-US" w:bidi="ar-SA"/>
      </w:rPr>
    </w:lvl>
    <w:lvl w:ilvl="7">
      <w:start w:val="0"/>
      <w:numFmt w:val="bullet"/>
      <w:lvlText w:val="•"/>
      <w:lvlJc w:val="left"/>
      <w:pPr>
        <w:ind w:left="7846" w:hanging="865"/>
      </w:pPr>
      <w:rPr>
        <w:rFonts w:hint="default"/>
        <w:lang w:val="en-US" w:eastAsia="en-US" w:bidi="ar-SA"/>
      </w:rPr>
    </w:lvl>
    <w:lvl w:ilvl="8">
      <w:start w:val="0"/>
      <w:numFmt w:val="bullet"/>
      <w:lvlText w:val="•"/>
      <w:lvlJc w:val="left"/>
      <w:pPr>
        <w:ind w:left="8827" w:hanging="865"/>
      </w:pPr>
      <w:rPr>
        <w:rFonts w:hint="default"/>
        <w:lang w:val="en-US" w:eastAsia="en-US" w:bidi="ar-SA"/>
      </w:rPr>
    </w:lvl>
  </w:abstractNum>
  <w:abstractNum w:abstractNumId="47">
    <w:multiLevelType w:val="hybridMultilevel"/>
    <w:lvl w:ilvl="0">
      <w:start w:val="8"/>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5"/>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903" w:hanging="865"/>
      </w:pPr>
      <w:rPr>
        <w:rFonts w:hint="default"/>
        <w:lang w:val="en-US" w:eastAsia="en-US" w:bidi="ar-SA"/>
      </w:rPr>
    </w:lvl>
    <w:lvl w:ilvl="5">
      <w:start w:val="0"/>
      <w:numFmt w:val="bullet"/>
      <w:lvlText w:val="•"/>
      <w:lvlJc w:val="left"/>
      <w:pPr>
        <w:ind w:left="5884" w:hanging="865"/>
      </w:pPr>
      <w:rPr>
        <w:rFonts w:hint="default"/>
        <w:lang w:val="en-US" w:eastAsia="en-US" w:bidi="ar-SA"/>
      </w:rPr>
    </w:lvl>
    <w:lvl w:ilvl="6">
      <w:start w:val="0"/>
      <w:numFmt w:val="bullet"/>
      <w:lvlText w:val="•"/>
      <w:lvlJc w:val="left"/>
      <w:pPr>
        <w:ind w:left="6865" w:hanging="865"/>
      </w:pPr>
      <w:rPr>
        <w:rFonts w:hint="default"/>
        <w:lang w:val="en-US" w:eastAsia="en-US" w:bidi="ar-SA"/>
      </w:rPr>
    </w:lvl>
    <w:lvl w:ilvl="7">
      <w:start w:val="0"/>
      <w:numFmt w:val="bullet"/>
      <w:lvlText w:val="•"/>
      <w:lvlJc w:val="left"/>
      <w:pPr>
        <w:ind w:left="7846" w:hanging="865"/>
      </w:pPr>
      <w:rPr>
        <w:rFonts w:hint="default"/>
        <w:lang w:val="en-US" w:eastAsia="en-US" w:bidi="ar-SA"/>
      </w:rPr>
    </w:lvl>
    <w:lvl w:ilvl="8">
      <w:start w:val="0"/>
      <w:numFmt w:val="bullet"/>
      <w:lvlText w:val="•"/>
      <w:lvlJc w:val="left"/>
      <w:pPr>
        <w:ind w:left="8827" w:hanging="865"/>
      </w:pPr>
      <w:rPr>
        <w:rFonts w:hint="default"/>
        <w:lang w:val="en-US" w:eastAsia="en-US" w:bidi="ar-SA"/>
      </w:rPr>
    </w:lvl>
  </w:abstractNum>
  <w:abstractNum w:abstractNumId="46">
    <w:multiLevelType w:val="hybridMultilevel"/>
    <w:lvl w:ilvl="0">
      <w:start w:val="0"/>
      <w:numFmt w:val="bullet"/>
      <w:lvlText w:val=""/>
      <w:lvlJc w:val="left"/>
      <w:pPr>
        <w:ind w:left="156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482" w:hanging="360"/>
      </w:pPr>
      <w:rPr>
        <w:rFonts w:hint="default"/>
        <w:lang w:val="en-US" w:eastAsia="en-US" w:bidi="ar-SA"/>
      </w:rPr>
    </w:lvl>
    <w:lvl w:ilvl="2">
      <w:start w:val="0"/>
      <w:numFmt w:val="bullet"/>
      <w:lvlText w:val="•"/>
      <w:lvlJc w:val="left"/>
      <w:pPr>
        <w:ind w:left="3405" w:hanging="360"/>
      </w:pPr>
      <w:rPr>
        <w:rFonts w:hint="default"/>
        <w:lang w:val="en-US" w:eastAsia="en-US" w:bidi="ar-SA"/>
      </w:rPr>
    </w:lvl>
    <w:lvl w:ilvl="3">
      <w:start w:val="0"/>
      <w:numFmt w:val="bullet"/>
      <w:lvlText w:val="•"/>
      <w:lvlJc w:val="left"/>
      <w:pPr>
        <w:ind w:left="4328" w:hanging="360"/>
      </w:pPr>
      <w:rPr>
        <w:rFonts w:hint="default"/>
        <w:lang w:val="en-US" w:eastAsia="en-US" w:bidi="ar-SA"/>
      </w:rPr>
    </w:lvl>
    <w:lvl w:ilvl="4">
      <w:start w:val="0"/>
      <w:numFmt w:val="bullet"/>
      <w:lvlText w:val="•"/>
      <w:lvlJc w:val="left"/>
      <w:pPr>
        <w:ind w:left="5251" w:hanging="360"/>
      </w:pPr>
      <w:rPr>
        <w:rFonts w:hint="default"/>
        <w:lang w:val="en-US" w:eastAsia="en-US" w:bidi="ar-SA"/>
      </w:rPr>
    </w:lvl>
    <w:lvl w:ilvl="5">
      <w:start w:val="0"/>
      <w:numFmt w:val="bullet"/>
      <w:lvlText w:val="•"/>
      <w:lvlJc w:val="left"/>
      <w:pPr>
        <w:ind w:left="6174" w:hanging="360"/>
      </w:pPr>
      <w:rPr>
        <w:rFonts w:hint="default"/>
        <w:lang w:val="en-US" w:eastAsia="en-US" w:bidi="ar-SA"/>
      </w:rPr>
    </w:lvl>
    <w:lvl w:ilvl="6">
      <w:start w:val="0"/>
      <w:numFmt w:val="bullet"/>
      <w:lvlText w:val="•"/>
      <w:lvlJc w:val="left"/>
      <w:pPr>
        <w:ind w:left="7097" w:hanging="360"/>
      </w:pPr>
      <w:rPr>
        <w:rFonts w:hint="default"/>
        <w:lang w:val="en-US" w:eastAsia="en-US" w:bidi="ar-SA"/>
      </w:rPr>
    </w:lvl>
    <w:lvl w:ilvl="7">
      <w:start w:val="0"/>
      <w:numFmt w:val="bullet"/>
      <w:lvlText w:val="•"/>
      <w:lvlJc w:val="left"/>
      <w:pPr>
        <w:ind w:left="8020" w:hanging="360"/>
      </w:pPr>
      <w:rPr>
        <w:rFonts w:hint="default"/>
        <w:lang w:val="en-US" w:eastAsia="en-US" w:bidi="ar-SA"/>
      </w:rPr>
    </w:lvl>
    <w:lvl w:ilvl="8">
      <w:start w:val="0"/>
      <w:numFmt w:val="bullet"/>
      <w:lvlText w:val="•"/>
      <w:lvlJc w:val="left"/>
      <w:pPr>
        <w:ind w:left="8943" w:hanging="360"/>
      </w:pPr>
      <w:rPr>
        <w:rFonts w:hint="default"/>
        <w:lang w:val="en-US" w:eastAsia="en-US" w:bidi="ar-SA"/>
      </w:rPr>
    </w:lvl>
  </w:abstractNum>
  <w:abstractNum w:abstractNumId="45">
    <w:multiLevelType w:val="hybridMultilevel"/>
    <w:lvl w:ilvl="0">
      <w:start w:val="8"/>
      <w:numFmt w:val="decimal"/>
      <w:lvlText w:val="%1"/>
      <w:lvlJc w:val="left"/>
      <w:pPr>
        <w:ind w:left="984" w:hanging="865"/>
        <w:jc w:val="left"/>
      </w:pPr>
      <w:rPr>
        <w:rFonts w:hint="default"/>
        <w:lang w:val="en-US" w:eastAsia="en-US" w:bidi="ar-SA"/>
      </w:rPr>
    </w:lvl>
    <w:lvl w:ilvl="1">
      <w:start w:val="3"/>
      <w:numFmt w:val="decimal"/>
      <w:lvlText w:val="%1.%2"/>
      <w:lvlJc w:val="left"/>
      <w:pPr>
        <w:ind w:left="984" w:hanging="865"/>
        <w:jc w:val="left"/>
      </w:pPr>
      <w:rPr>
        <w:rFonts w:hint="default"/>
        <w:lang w:val="en-US" w:eastAsia="en-US" w:bidi="ar-SA"/>
      </w:rPr>
    </w:lvl>
    <w:lvl w:ilvl="2">
      <w:start w:val="1"/>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903" w:hanging="865"/>
      </w:pPr>
      <w:rPr>
        <w:rFonts w:hint="default"/>
        <w:lang w:val="en-US" w:eastAsia="en-US" w:bidi="ar-SA"/>
      </w:rPr>
    </w:lvl>
    <w:lvl w:ilvl="5">
      <w:start w:val="0"/>
      <w:numFmt w:val="bullet"/>
      <w:lvlText w:val="•"/>
      <w:lvlJc w:val="left"/>
      <w:pPr>
        <w:ind w:left="5884" w:hanging="865"/>
      </w:pPr>
      <w:rPr>
        <w:rFonts w:hint="default"/>
        <w:lang w:val="en-US" w:eastAsia="en-US" w:bidi="ar-SA"/>
      </w:rPr>
    </w:lvl>
    <w:lvl w:ilvl="6">
      <w:start w:val="0"/>
      <w:numFmt w:val="bullet"/>
      <w:lvlText w:val="•"/>
      <w:lvlJc w:val="left"/>
      <w:pPr>
        <w:ind w:left="6865" w:hanging="865"/>
      </w:pPr>
      <w:rPr>
        <w:rFonts w:hint="default"/>
        <w:lang w:val="en-US" w:eastAsia="en-US" w:bidi="ar-SA"/>
      </w:rPr>
    </w:lvl>
    <w:lvl w:ilvl="7">
      <w:start w:val="0"/>
      <w:numFmt w:val="bullet"/>
      <w:lvlText w:val="•"/>
      <w:lvlJc w:val="left"/>
      <w:pPr>
        <w:ind w:left="7846" w:hanging="865"/>
      </w:pPr>
      <w:rPr>
        <w:rFonts w:hint="default"/>
        <w:lang w:val="en-US" w:eastAsia="en-US" w:bidi="ar-SA"/>
      </w:rPr>
    </w:lvl>
    <w:lvl w:ilvl="8">
      <w:start w:val="0"/>
      <w:numFmt w:val="bullet"/>
      <w:lvlText w:val="•"/>
      <w:lvlJc w:val="left"/>
      <w:pPr>
        <w:ind w:left="8827" w:hanging="865"/>
      </w:pPr>
      <w:rPr>
        <w:rFonts w:hint="default"/>
        <w:lang w:val="en-US" w:eastAsia="en-US" w:bidi="ar-SA"/>
      </w:rPr>
    </w:lvl>
  </w:abstractNum>
  <w:abstractNum w:abstractNumId="44">
    <w:multiLevelType w:val="hybridMultilevel"/>
    <w:lvl w:ilvl="0">
      <w:start w:val="7"/>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7"/>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71" w:hanging="865"/>
      </w:pPr>
      <w:rPr>
        <w:rFonts w:hint="default"/>
        <w:lang w:val="en-US" w:eastAsia="en-US" w:bidi="ar-SA"/>
      </w:rPr>
    </w:lvl>
    <w:lvl w:ilvl="5">
      <w:start w:val="0"/>
      <w:numFmt w:val="bullet"/>
      <w:lvlText w:val="•"/>
      <w:lvlJc w:val="left"/>
      <w:pPr>
        <w:ind w:left="5844" w:hanging="865"/>
      </w:pPr>
      <w:rPr>
        <w:rFonts w:hint="default"/>
        <w:lang w:val="en-US" w:eastAsia="en-US" w:bidi="ar-SA"/>
      </w:rPr>
    </w:lvl>
    <w:lvl w:ilvl="6">
      <w:start w:val="0"/>
      <w:numFmt w:val="bullet"/>
      <w:lvlText w:val="•"/>
      <w:lvlJc w:val="left"/>
      <w:pPr>
        <w:ind w:left="6817" w:hanging="865"/>
      </w:pPr>
      <w:rPr>
        <w:rFonts w:hint="default"/>
        <w:lang w:val="en-US" w:eastAsia="en-US" w:bidi="ar-SA"/>
      </w:rPr>
    </w:lvl>
    <w:lvl w:ilvl="7">
      <w:start w:val="0"/>
      <w:numFmt w:val="bullet"/>
      <w:lvlText w:val="•"/>
      <w:lvlJc w:val="left"/>
      <w:pPr>
        <w:ind w:left="7790" w:hanging="865"/>
      </w:pPr>
      <w:rPr>
        <w:rFonts w:hint="default"/>
        <w:lang w:val="en-US" w:eastAsia="en-US" w:bidi="ar-SA"/>
      </w:rPr>
    </w:lvl>
    <w:lvl w:ilvl="8">
      <w:start w:val="0"/>
      <w:numFmt w:val="bullet"/>
      <w:lvlText w:val="•"/>
      <w:lvlJc w:val="left"/>
      <w:pPr>
        <w:ind w:left="8763" w:hanging="865"/>
      </w:pPr>
      <w:rPr>
        <w:rFonts w:hint="default"/>
        <w:lang w:val="en-US" w:eastAsia="en-US" w:bidi="ar-SA"/>
      </w:rPr>
    </w:lvl>
  </w:abstractNum>
  <w:abstractNum w:abstractNumId="43">
    <w:multiLevelType w:val="hybridMultilevel"/>
    <w:lvl w:ilvl="0">
      <w:start w:val="7"/>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6"/>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71" w:hanging="865"/>
      </w:pPr>
      <w:rPr>
        <w:rFonts w:hint="default"/>
        <w:lang w:val="en-US" w:eastAsia="en-US" w:bidi="ar-SA"/>
      </w:rPr>
    </w:lvl>
    <w:lvl w:ilvl="5">
      <w:start w:val="0"/>
      <w:numFmt w:val="bullet"/>
      <w:lvlText w:val="•"/>
      <w:lvlJc w:val="left"/>
      <w:pPr>
        <w:ind w:left="5844" w:hanging="865"/>
      </w:pPr>
      <w:rPr>
        <w:rFonts w:hint="default"/>
        <w:lang w:val="en-US" w:eastAsia="en-US" w:bidi="ar-SA"/>
      </w:rPr>
    </w:lvl>
    <w:lvl w:ilvl="6">
      <w:start w:val="0"/>
      <w:numFmt w:val="bullet"/>
      <w:lvlText w:val="•"/>
      <w:lvlJc w:val="left"/>
      <w:pPr>
        <w:ind w:left="6817" w:hanging="865"/>
      </w:pPr>
      <w:rPr>
        <w:rFonts w:hint="default"/>
        <w:lang w:val="en-US" w:eastAsia="en-US" w:bidi="ar-SA"/>
      </w:rPr>
    </w:lvl>
    <w:lvl w:ilvl="7">
      <w:start w:val="0"/>
      <w:numFmt w:val="bullet"/>
      <w:lvlText w:val="•"/>
      <w:lvlJc w:val="left"/>
      <w:pPr>
        <w:ind w:left="7790" w:hanging="865"/>
      </w:pPr>
      <w:rPr>
        <w:rFonts w:hint="default"/>
        <w:lang w:val="en-US" w:eastAsia="en-US" w:bidi="ar-SA"/>
      </w:rPr>
    </w:lvl>
    <w:lvl w:ilvl="8">
      <w:start w:val="0"/>
      <w:numFmt w:val="bullet"/>
      <w:lvlText w:val="•"/>
      <w:lvlJc w:val="left"/>
      <w:pPr>
        <w:ind w:left="8763" w:hanging="865"/>
      </w:pPr>
      <w:rPr>
        <w:rFonts w:hint="default"/>
        <w:lang w:val="en-US" w:eastAsia="en-US" w:bidi="ar-SA"/>
      </w:rPr>
    </w:lvl>
  </w:abstractNum>
  <w:abstractNum w:abstractNumId="42">
    <w:multiLevelType w:val="hybridMultilevel"/>
    <w:lvl w:ilvl="0">
      <w:start w:val="7"/>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5"/>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1"/>
      <w:numFmt w:val="decimal"/>
      <w:lvlText w:val="%1.%2.%3.%4.%5"/>
      <w:lvlJc w:val="left"/>
      <w:pPr>
        <w:ind w:left="1128" w:hanging="1009"/>
        <w:jc w:val="left"/>
      </w:pPr>
      <w:rPr>
        <w:rFonts w:hint="default" w:ascii="Trebuchet MS" w:hAnsi="Trebuchet MS" w:eastAsia="Trebuchet MS" w:cs="Trebuchet MS"/>
        <w:color w:val="1F664D"/>
        <w:spacing w:val="-1"/>
        <w:w w:val="95"/>
        <w:sz w:val="20"/>
        <w:szCs w:val="20"/>
        <w:lang w:val="en-US" w:eastAsia="en-US" w:bidi="ar-SA"/>
      </w:rPr>
    </w:lvl>
    <w:lvl w:ilvl="5">
      <w:start w:val="0"/>
      <w:numFmt w:val="bullet"/>
      <w:lvlText w:val="•"/>
      <w:lvlJc w:val="left"/>
      <w:pPr>
        <w:ind w:left="5381" w:hanging="1009"/>
      </w:pPr>
      <w:rPr>
        <w:rFonts w:hint="default"/>
        <w:lang w:val="en-US" w:eastAsia="en-US" w:bidi="ar-SA"/>
      </w:rPr>
    </w:lvl>
    <w:lvl w:ilvl="6">
      <w:start w:val="0"/>
      <w:numFmt w:val="bullet"/>
      <w:lvlText w:val="•"/>
      <w:lvlJc w:val="left"/>
      <w:pPr>
        <w:ind w:left="6447" w:hanging="1009"/>
      </w:pPr>
      <w:rPr>
        <w:rFonts w:hint="default"/>
        <w:lang w:val="en-US" w:eastAsia="en-US" w:bidi="ar-SA"/>
      </w:rPr>
    </w:lvl>
    <w:lvl w:ilvl="7">
      <w:start w:val="0"/>
      <w:numFmt w:val="bullet"/>
      <w:lvlText w:val="•"/>
      <w:lvlJc w:val="left"/>
      <w:pPr>
        <w:ind w:left="7512" w:hanging="1009"/>
      </w:pPr>
      <w:rPr>
        <w:rFonts w:hint="default"/>
        <w:lang w:val="en-US" w:eastAsia="en-US" w:bidi="ar-SA"/>
      </w:rPr>
    </w:lvl>
    <w:lvl w:ilvl="8">
      <w:start w:val="0"/>
      <w:numFmt w:val="bullet"/>
      <w:lvlText w:val="•"/>
      <w:lvlJc w:val="left"/>
      <w:pPr>
        <w:ind w:left="8577" w:hanging="1009"/>
      </w:pPr>
      <w:rPr>
        <w:rFonts w:hint="default"/>
        <w:lang w:val="en-US" w:eastAsia="en-US" w:bidi="ar-SA"/>
      </w:rPr>
    </w:lvl>
  </w:abstractNum>
  <w:abstractNum w:abstractNumId="41">
    <w:multiLevelType w:val="hybridMultilevel"/>
    <w:lvl w:ilvl="0">
      <w:start w:val="0"/>
      <w:numFmt w:val="bullet"/>
      <w:lvlText w:val=""/>
      <w:lvlJc w:val="left"/>
      <w:pPr>
        <w:ind w:left="156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474" w:hanging="360"/>
      </w:pPr>
      <w:rPr>
        <w:rFonts w:hint="default"/>
        <w:lang w:val="en-US" w:eastAsia="en-US" w:bidi="ar-SA"/>
      </w:rPr>
    </w:lvl>
    <w:lvl w:ilvl="2">
      <w:start w:val="0"/>
      <w:numFmt w:val="bullet"/>
      <w:lvlText w:val="•"/>
      <w:lvlJc w:val="left"/>
      <w:pPr>
        <w:ind w:left="3389" w:hanging="360"/>
      </w:pPr>
      <w:rPr>
        <w:rFonts w:hint="default"/>
        <w:lang w:val="en-US" w:eastAsia="en-US" w:bidi="ar-SA"/>
      </w:rPr>
    </w:lvl>
    <w:lvl w:ilvl="3">
      <w:start w:val="0"/>
      <w:numFmt w:val="bullet"/>
      <w:lvlText w:val="•"/>
      <w:lvlJc w:val="left"/>
      <w:pPr>
        <w:ind w:left="4304" w:hanging="360"/>
      </w:pPr>
      <w:rPr>
        <w:rFonts w:hint="default"/>
        <w:lang w:val="en-US" w:eastAsia="en-US" w:bidi="ar-SA"/>
      </w:rPr>
    </w:lvl>
    <w:lvl w:ilvl="4">
      <w:start w:val="0"/>
      <w:numFmt w:val="bullet"/>
      <w:lvlText w:val="•"/>
      <w:lvlJc w:val="left"/>
      <w:pPr>
        <w:ind w:left="5219" w:hanging="360"/>
      </w:pPr>
      <w:rPr>
        <w:rFonts w:hint="default"/>
        <w:lang w:val="en-US" w:eastAsia="en-US" w:bidi="ar-SA"/>
      </w:rPr>
    </w:lvl>
    <w:lvl w:ilvl="5">
      <w:start w:val="0"/>
      <w:numFmt w:val="bullet"/>
      <w:lvlText w:val="•"/>
      <w:lvlJc w:val="left"/>
      <w:pPr>
        <w:ind w:left="6134" w:hanging="360"/>
      </w:pPr>
      <w:rPr>
        <w:rFonts w:hint="default"/>
        <w:lang w:val="en-US" w:eastAsia="en-US" w:bidi="ar-SA"/>
      </w:rPr>
    </w:lvl>
    <w:lvl w:ilvl="6">
      <w:start w:val="0"/>
      <w:numFmt w:val="bullet"/>
      <w:lvlText w:val="•"/>
      <w:lvlJc w:val="left"/>
      <w:pPr>
        <w:ind w:left="7049" w:hanging="360"/>
      </w:pPr>
      <w:rPr>
        <w:rFonts w:hint="default"/>
        <w:lang w:val="en-US" w:eastAsia="en-US" w:bidi="ar-SA"/>
      </w:rPr>
    </w:lvl>
    <w:lvl w:ilvl="7">
      <w:start w:val="0"/>
      <w:numFmt w:val="bullet"/>
      <w:lvlText w:val="•"/>
      <w:lvlJc w:val="left"/>
      <w:pPr>
        <w:ind w:left="7964" w:hanging="360"/>
      </w:pPr>
      <w:rPr>
        <w:rFonts w:hint="default"/>
        <w:lang w:val="en-US" w:eastAsia="en-US" w:bidi="ar-SA"/>
      </w:rPr>
    </w:lvl>
    <w:lvl w:ilvl="8">
      <w:start w:val="0"/>
      <w:numFmt w:val="bullet"/>
      <w:lvlText w:val="•"/>
      <w:lvlJc w:val="left"/>
      <w:pPr>
        <w:ind w:left="8879" w:hanging="360"/>
      </w:pPr>
      <w:rPr>
        <w:rFonts w:hint="default"/>
        <w:lang w:val="en-US" w:eastAsia="en-US" w:bidi="ar-SA"/>
      </w:rPr>
    </w:lvl>
  </w:abstractNum>
  <w:abstractNum w:abstractNumId="40">
    <w:multiLevelType w:val="hybridMultilevel"/>
    <w:lvl w:ilvl="0">
      <w:start w:val="7"/>
      <w:numFmt w:val="decimal"/>
      <w:lvlText w:val="%1"/>
      <w:lvlJc w:val="left"/>
      <w:pPr>
        <w:ind w:left="984" w:hanging="865"/>
        <w:jc w:val="left"/>
      </w:pPr>
      <w:rPr>
        <w:rFonts w:hint="default"/>
        <w:lang w:val="en-US" w:eastAsia="en-US" w:bidi="ar-SA"/>
      </w:rPr>
    </w:lvl>
    <w:lvl w:ilvl="1">
      <w:start w:val="3"/>
      <w:numFmt w:val="decimal"/>
      <w:lvlText w:val="%1.%2"/>
      <w:lvlJc w:val="left"/>
      <w:pPr>
        <w:ind w:left="984" w:hanging="865"/>
        <w:jc w:val="left"/>
      </w:pPr>
      <w:rPr>
        <w:rFonts w:hint="default"/>
        <w:lang w:val="en-US" w:eastAsia="en-US" w:bidi="ar-SA"/>
      </w:rPr>
    </w:lvl>
    <w:lvl w:ilvl="2">
      <w:start w:val="1"/>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71" w:hanging="865"/>
      </w:pPr>
      <w:rPr>
        <w:rFonts w:hint="default"/>
        <w:lang w:val="en-US" w:eastAsia="en-US" w:bidi="ar-SA"/>
      </w:rPr>
    </w:lvl>
    <w:lvl w:ilvl="5">
      <w:start w:val="0"/>
      <w:numFmt w:val="bullet"/>
      <w:lvlText w:val="•"/>
      <w:lvlJc w:val="left"/>
      <w:pPr>
        <w:ind w:left="5844" w:hanging="865"/>
      </w:pPr>
      <w:rPr>
        <w:rFonts w:hint="default"/>
        <w:lang w:val="en-US" w:eastAsia="en-US" w:bidi="ar-SA"/>
      </w:rPr>
    </w:lvl>
    <w:lvl w:ilvl="6">
      <w:start w:val="0"/>
      <w:numFmt w:val="bullet"/>
      <w:lvlText w:val="•"/>
      <w:lvlJc w:val="left"/>
      <w:pPr>
        <w:ind w:left="6817" w:hanging="865"/>
      </w:pPr>
      <w:rPr>
        <w:rFonts w:hint="default"/>
        <w:lang w:val="en-US" w:eastAsia="en-US" w:bidi="ar-SA"/>
      </w:rPr>
    </w:lvl>
    <w:lvl w:ilvl="7">
      <w:start w:val="0"/>
      <w:numFmt w:val="bullet"/>
      <w:lvlText w:val="•"/>
      <w:lvlJc w:val="left"/>
      <w:pPr>
        <w:ind w:left="7790" w:hanging="865"/>
      </w:pPr>
      <w:rPr>
        <w:rFonts w:hint="default"/>
        <w:lang w:val="en-US" w:eastAsia="en-US" w:bidi="ar-SA"/>
      </w:rPr>
    </w:lvl>
    <w:lvl w:ilvl="8">
      <w:start w:val="0"/>
      <w:numFmt w:val="bullet"/>
      <w:lvlText w:val="•"/>
      <w:lvlJc w:val="left"/>
      <w:pPr>
        <w:ind w:left="8763" w:hanging="865"/>
      </w:pPr>
      <w:rPr>
        <w:rFonts w:hint="default"/>
        <w:lang w:val="en-US" w:eastAsia="en-US" w:bidi="ar-SA"/>
      </w:rPr>
    </w:lvl>
  </w:abstractNum>
  <w:abstractNum w:abstractNumId="39">
    <w:multiLevelType w:val="hybridMultilevel"/>
    <w:lvl w:ilvl="0">
      <w:start w:val="6"/>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7"/>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71" w:hanging="865"/>
      </w:pPr>
      <w:rPr>
        <w:rFonts w:hint="default"/>
        <w:lang w:val="en-US" w:eastAsia="en-US" w:bidi="ar-SA"/>
      </w:rPr>
    </w:lvl>
    <w:lvl w:ilvl="5">
      <w:start w:val="0"/>
      <w:numFmt w:val="bullet"/>
      <w:lvlText w:val="•"/>
      <w:lvlJc w:val="left"/>
      <w:pPr>
        <w:ind w:left="5844" w:hanging="865"/>
      </w:pPr>
      <w:rPr>
        <w:rFonts w:hint="default"/>
        <w:lang w:val="en-US" w:eastAsia="en-US" w:bidi="ar-SA"/>
      </w:rPr>
    </w:lvl>
    <w:lvl w:ilvl="6">
      <w:start w:val="0"/>
      <w:numFmt w:val="bullet"/>
      <w:lvlText w:val="•"/>
      <w:lvlJc w:val="left"/>
      <w:pPr>
        <w:ind w:left="6817" w:hanging="865"/>
      </w:pPr>
      <w:rPr>
        <w:rFonts w:hint="default"/>
        <w:lang w:val="en-US" w:eastAsia="en-US" w:bidi="ar-SA"/>
      </w:rPr>
    </w:lvl>
    <w:lvl w:ilvl="7">
      <w:start w:val="0"/>
      <w:numFmt w:val="bullet"/>
      <w:lvlText w:val="•"/>
      <w:lvlJc w:val="left"/>
      <w:pPr>
        <w:ind w:left="7790" w:hanging="865"/>
      </w:pPr>
      <w:rPr>
        <w:rFonts w:hint="default"/>
        <w:lang w:val="en-US" w:eastAsia="en-US" w:bidi="ar-SA"/>
      </w:rPr>
    </w:lvl>
    <w:lvl w:ilvl="8">
      <w:start w:val="0"/>
      <w:numFmt w:val="bullet"/>
      <w:lvlText w:val="•"/>
      <w:lvlJc w:val="left"/>
      <w:pPr>
        <w:ind w:left="8763" w:hanging="865"/>
      </w:pPr>
      <w:rPr>
        <w:rFonts w:hint="default"/>
        <w:lang w:val="en-US" w:eastAsia="en-US" w:bidi="ar-SA"/>
      </w:rPr>
    </w:lvl>
  </w:abstractNum>
  <w:abstractNum w:abstractNumId="38">
    <w:multiLevelType w:val="hybridMultilevel"/>
    <w:lvl w:ilvl="0">
      <w:start w:val="6"/>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6"/>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4871" w:hanging="865"/>
      </w:pPr>
      <w:rPr>
        <w:rFonts w:hint="default"/>
        <w:lang w:val="en-US" w:eastAsia="en-US" w:bidi="ar-SA"/>
      </w:rPr>
    </w:lvl>
    <w:lvl w:ilvl="5">
      <w:start w:val="0"/>
      <w:numFmt w:val="bullet"/>
      <w:lvlText w:val="•"/>
      <w:lvlJc w:val="left"/>
      <w:pPr>
        <w:ind w:left="5844" w:hanging="865"/>
      </w:pPr>
      <w:rPr>
        <w:rFonts w:hint="default"/>
        <w:lang w:val="en-US" w:eastAsia="en-US" w:bidi="ar-SA"/>
      </w:rPr>
    </w:lvl>
    <w:lvl w:ilvl="6">
      <w:start w:val="0"/>
      <w:numFmt w:val="bullet"/>
      <w:lvlText w:val="•"/>
      <w:lvlJc w:val="left"/>
      <w:pPr>
        <w:ind w:left="6817" w:hanging="865"/>
      </w:pPr>
      <w:rPr>
        <w:rFonts w:hint="default"/>
        <w:lang w:val="en-US" w:eastAsia="en-US" w:bidi="ar-SA"/>
      </w:rPr>
    </w:lvl>
    <w:lvl w:ilvl="7">
      <w:start w:val="0"/>
      <w:numFmt w:val="bullet"/>
      <w:lvlText w:val="•"/>
      <w:lvlJc w:val="left"/>
      <w:pPr>
        <w:ind w:left="7790" w:hanging="865"/>
      </w:pPr>
      <w:rPr>
        <w:rFonts w:hint="default"/>
        <w:lang w:val="en-US" w:eastAsia="en-US" w:bidi="ar-SA"/>
      </w:rPr>
    </w:lvl>
    <w:lvl w:ilvl="8">
      <w:start w:val="0"/>
      <w:numFmt w:val="bullet"/>
      <w:lvlText w:val="•"/>
      <w:lvlJc w:val="left"/>
      <w:pPr>
        <w:ind w:left="8763" w:hanging="865"/>
      </w:pPr>
      <w:rPr>
        <w:rFonts w:hint="default"/>
        <w:lang w:val="en-US" w:eastAsia="en-US" w:bidi="ar-SA"/>
      </w:rPr>
    </w:lvl>
  </w:abstractNum>
  <w:abstractNum w:abstractNumId="37">
    <w:multiLevelType w:val="hybridMultilevel"/>
    <w:lvl w:ilvl="0">
      <w:start w:val="6"/>
      <w:numFmt w:val="decimal"/>
      <w:lvlText w:val="%1"/>
      <w:lvlJc w:val="left"/>
      <w:pPr>
        <w:ind w:left="984" w:hanging="865"/>
        <w:jc w:val="left"/>
      </w:pPr>
      <w:rPr>
        <w:rFonts w:hint="default"/>
        <w:lang w:val="en-US" w:eastAsia="en-US" w:bidi="ar-SA"/>
      </w:rPr>
    </w:lvl>
    <w:lvl w:ilvl="1">
      <w:start w:val="4"/>
      <w:numFmt w:val="decimal"/>
      <w:lvlText w:val="%1.%2"/>
      <w:lvlJc w:val="left"/>
      <w:pPr>
        <w:ind w:left="984" w:hanging="865"/>
        <w:jc w:val="left"/>
      </w:pPr>
      <w:rPr>
        <w:rFonts w:hint="default"/>
        <w:lang w:val="en-US" w:eastAsia="en-US" w:bidi="ar-SA"/>
      </w:rPr>
    </w:lvl>
    <w:lvl w:ilvl="2">
      <w:start w:val="5"/>
      <w:numFmt w:val="decimal"/>
      <w:lvlText w:val="%1.%2.%3"/>
      <w:lvlJc w:val="left"/>
      <w:pPr>
        <w:ind w:left="984" w:hanging="865"/>
        <w:jc w:val="left"/>
      </w:pPr>
      <w:rPr>
        <w:rFonts w:hint="default"/>
        <w:lang w:val="en-US" w:eastAsia="en-US" w:bidi="ar-SA"/>
      </w:rPr>
    </w:lvl>
    <w:lvl w:ilvl="3">
      <w:start w:val="1"/>
      <w:numFmt w:val="decimal"/>
      <w:lvlText w:val="%1.%2.%3.%4"/>
      <w:lvlJc w:val="left"/>
      <w:pPr>
        <w:ind w:left="984" w:hanging="865"/>
        <w:jc w:val="left"/>
      </w:pPr>
      <w:rPr>
        <w:rFonts w:hint="default" w:ascii="Trebuchet MS" w:hAnsi="Trebuchet MS" w:eastAsia="Trebuchet MS" w:cs="Trebuchet MS"/>
        <w:i/>
        <w:color w:val="008000"/>
        <w:spacing w:val="-3"/>
        <w:w w:val="78"/>
        <w:sz w:val="22"/>
        <w:szCs w:val="22"/>
        <w:lang w:val="en-US" w:eastAsia="en-US" w:bidi="ar-SA"/>
      </w:rPr>
    </w:lvl>
    <w:lvl w:ilvl="4">
      <w:start w:val="1"/>
      <w:numFmt w:val="decimal"/>
      <w:lvlText w:val="%1.%2.%3.%4.%5"/>
      <w:lvlJc w:val="left"/>
      <w:pPr>
        <w:ind w:left="965" w:hanging="846"/>
        <w:jc w:val="left"/>
      </w:pPr>
      <w:rPr>
        <w:rFonts w:hint="default" w:ascii="Trebuchet MS" w:hAnsi="Trebuchet MS" w:eastAsia="Trebuchet MS" w:cs="Trebuchet MS"/>
        <w:color w:val="1F664D"/>
        <w:spacing w:val="-1"/>
        <w:w w:val="95"/>
        <w:sz w:val="18"/>
        <w:szCs w:val="18"/>
        <w:lang w:val="en-US" w:eastAsia="en-US" w:bidi="ar-SA"/>
      </w:rPr>
    </w:lvl>
    <w:lvl w:ilvl="5">
      <w:start w:val="0"/>
      <w:numFmt w:val="bullet"/>
      <w:lvlText w:val="•"/>
      <w:lvlJc w:val="left"/>
      <w:pPr>
        <w:ind w:left="5303" w:hanging="846"/>
      </w:pPr>
      <w:rPr>
        <w:rFonts w:hint="default"/>
        <w:lang w:val="en-US" w:eastAsia="en-US" w:bidi="ar-SA"/>
      </w:rPr>
    </w:lvl>
    <w:lvl w:ilvl="6">
      <w:start w:val="0"/>
      <w:numFmt w:val="bullet"/>
      <w:lvlText w:val="•"/>
      <w:lvlJc w:val="left"/>
      <w:pPr>
        <w:ind w:left="6384" w:hanging="846"/>
      </w:pPr>
      <w:rPr>
        <w:rFonts w:hint="default"/>
        <w:lang w:val="en-US" w:eastAsia="en-US" w:bidi="ar-SA"/>
      </w:rPr>
    </w:lvl>
    <w:lvl w:ilvl="7">
      <w:start w:val="0"/>
      <w:numFmt w:val="bullet"/>
      <w:lvlText w:val="•"/>
      <w:lvlJc w:val="left"/>
      <w:pPr>
        <w:ind w:left="7465" w:hanging="846"/>
      </w:pPr>
      <w:rPr>
        <w:rFonts w:hint="default"/>
        <w:lang w:val="en-US" w:eastAsia="en-US" w:bidi="ar-SA"/>
      </w:rPr>
    </w:lvl>
    <w:lvl w:ilvl="8">
      <w:start w:val="0"/>
      <w:numFmt w:val="bullet"/>
      <w:lvlText w:val="•"/>
      <w:lvlJc w:val="left"/>
      <w:pPr>
        <w:ind w:left="8546" w:hanging="846"/>
      </w:pPr>
      <w:rPr>
        <w:rFonts w:hint="default"/>
        <w:lang w:val="en-US" w:eastAsia="en-US" w:bidi="ar-SA"/>
      </w:rPr>
    </w:lvl>
  </w:abstractNum>
  <w:abstractNum w:abstractNumId="36">
    <w:multiLevelType w:val="hybridMultilevel"/>
    <w:lvl w:ilvl="0">
      <w:start w:val="0"/>
      <w:numFmt w:val="bullet"/>
      <w:lvlText w:val=""/>
      <w:lvlJc w:val="left"/>
      <w:pPr>
        <w:ind w:left="156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474" w:hanging="360"/>
      </w:pPr>
      <w:rPr>
        <w:rFonts w:hint="default"/>
        <w:lang w:val="en-US" w:eastAsia="en-US" w:bidi="ar-SA"/>
      </w:rPr>
    </w:lvl>
    <w:lvl w:ilvl="2">
      <w:start w:val="0"/>
      <w:numFmt w:val="bullet"/>
      <w:lvlText w:val="•"/>
      <w:lvlJc w:val="left"/>
      <w:pPr>
        <w:ind w:left="3389" w:hanging="360"/>
      </w:pPr>
      <w:rPr>
        <w:rFonts w:hint="default"/>
        <w:lang w:val="en-US" w:eastAsia="en-US" w:bidi="ar-SA"/>
      </w:rPr>
    </w:lvl>
    <w:lvl w:ilvl="3">
      <w:start w:val="0"/>
      <w:numFmt w:val="bullet"/>
      <w:lvlText w:val="•"/>
      <w:lvlJc w:val="left"/>
      <w:pPr>
        <w:ind w:left="4304" w:hanging="360"/>
      </w:pPr>
      <w:rPr>
        <w:rFonts w:hint="default"/>
        <w:lang w:val="en-US" w:eastAsia="en-US" w:bidi="ar-SA"/>
      </w:rPr>
    </w:lvl>
    <w:lvl w:ilvl="4">
      <w:start w:val="0"/>
      <w:numFmt w:val="bullet"/>
      <w:lvlText w:val="•"/>
      <w:lvlJc w:val="left"/>
      <w:pPr>
        <w:ind w:left="5219" w:hanging="360"/>
      </w:pPr>
      <w:rPr>
        <w:rFonts w:hint="default"/>
        <w:lang w:val="en-US" w:eastAsia="en-US" w:bidi="ar-SA"/>
      </w:rPr>
    </w:lvl>
    <w:lvl w:ilvl="5">
      <w:start w:val="0"/>
      <w:numFmt w:val="bullet"/>
      <w:lvlText w:val="•"/>
      <w:lvlJc w:val="left"/>
      <w:pPr>
        <w:ind w:left="6134" w:hanging="360"/>
      </w:pPr>
      <w:rPr>
        <w:rFonts w:hint="default"/>
        <w:lang w:val="en-US" w:eastAsia="en-US" w:bidi="ar-SA"/>
      </w:rPr>
    </w:lvl>
    <w:lvl w:ilvl="6">
      <w:start w:val="0"/>
      <w:numFmt w:val="bullet"/>
      <w:lvlText w:val="•"/>
      <w:lvlJc w:val="left"/>
      <w:pPr>
        <w:ind w:left="7049" w:hanging="360"/>
      </w:pPr>
      <w:rPr>
        <w:rFonts w:hint="default"/>
        <w:lang w:val="en-US" w:eastAsia="en-US" w:bidi="ar-SA"/>
      </w:rPr>
    </w:lvl>
    <w:lvl w:ilvl="7">
      <w:start w:val="0"/>
      <w:numFmt w:val="bullet"/>
      <w:lvlText w:val="•"/>
      <w:lvlJc w:val="left"/>
      <w:pPr>
        <w:ind w:left="7964" w:hanging="360"/>
      </w:pPr>
      <w:rPr>
        <w:rFonts w:hint="default"/>
        <w:lang w:val="en-US" w:eastAsia="en-US" w:bidi="ar-SA"/>
      </w:rPr>
    </w:lvl>
    <w:lvl w:ilvl="8">
      <w:start w:val="0"/>
      <w:numFmt w:val="bullet"/>
      <w:lvlText w:val="•"/>
      <w:lvlJc w:val="left"/>
      <w:pPr>
        <w:ind w:left="8879" w:hanging="360"/>
      </w:pPr>
      <w:rPr>
        <w:rFonts w:hint="default"/>
        <w:lang w:val="en-US" w:eastAsia="en-US" w:bidi="ar-SA"/>
      </w:rPr>
    </w:lvl>
  </w:abstractNum>
  <w:abstractNum w:abstractNumId="35">
    <w:multiLevelType w:val="hybridMultilevel"/>
    <w:lvl w:ilvl="0">
      <w:start w:val="5"/>
      <w:numFmt w:val="decimal"/>
      <w:lvlText w:val="%1"/>
      <w:lvlJc w:val="left"/>
      <w:pPr>
        <w:ind w:left="1084" w:hanging="865"/>
        <w:jc w:val="left"/>
      </w:pPr>
      <w:rPr>
        <w:rFonts w:hint="default"/>
        <w:lang w:val="en-US" w:eastAsia="en-US" w:bidi="ar-SA"/>
      </w:rPr>
    </w:lvl>
    <w:lvl w:ilvl="1">
      <w:start w:val="4"/>
      <w:numFmt w:val="decimal"/>
      <w:lvlText w:val="%1.%2"/>
      <w:lvlJc w:val="left"/>
      <w:pPr>
        <w:ind w:left="1084" w:hanging="865"/>
        <w:jc w:val="left"/>
      </w:pPr>
      <w:rPr>
        <w:rFonts w:hint="default"/>
        <w:lang w:val="en-US" w:eastAsia="en-US" w:bidi="ar-SA"/>
      </w:rPr>
    </w:lvl>
    <w:lvl w:ilvl="2">
      <w:start w:val="8"/>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03" w:hanging="865"/>
      </w:pPr>
      <w:rPr>
        <w:rFonts w:hint="default"/>
        <w:lang w:val="en-US" w:eastAsia="en-US" w:bidi="ar-SA"/>
      </w:rPr>
    </w:lvl>
    <w:lvl w:ilvl="5">
      <w:start w:val="0"/>
      <w:numFmt w:val="bullet"/>
      <w:lvlText w:val="•"/>
      <w:lvlJc w:val="left"/>
      <w:pPr>
        <w:ind w:left="5984" w:hanging="865"/>
      </w:pPr>
      <w:rPr>
        <w:rFonts w:hint="default"/>
        <w:lang w:val="en-US" w:eastAsia="en-US" w:bidi="ar-SA"/>
      </w:rPr>
    </w:lvl>
    <w:lvl w:ilvl="6">
      <w:start w:val="0"/>
      <w:numFmt w:val="bullet"/>
      <w:lvlText w:val="•"/>
      <w:lvlJc w:val="left"/>
      <w:pPr>
        <w:ind w:left="6965" w:hanging="865"/>
      </w:pPr>
      <w:rPr>
        <w:rFonts w:hint="default"/>
        <w:lang w:val="en-US" w:eastAsia="en-US" w:bidi="ar-SA"/>
      </w:rPr>
    </w:lvl>
    <w:lvl w:ilvl="7">
      <w:start w:val="0"/>
      <w:numFmt w:val="bullet"/>
      <w:lvlText w:val="•"/>
      <w:lvlJc w:val="left"/>
      <w:pPr>
        <w:ind w:left="7946" w:hanging="865"/>
      </w:pPr>
      <w:rPr>
        <w:rFonts w:hint="default"/>
        <w:lang w:val="en-US" w:eastAsia="en-US" w:bidi="ar-SA"/>
      </w:rPr>
    </w:lvl>
    <w:lvl w:ilvl="8">
      <w:start w:val="0"/>
      <w:numFmt w:val="bullet"/>
      <w:lvlText w:val="•"/>
      <w:lvlJc w:val="left"/>
      <w:pPr>
        <w:ind w:left="8927" w:hanging="865"/>
      </w:pPr>
      <w:rPr>
        <w:rFonts w:hint="default"/>
        <w:lang w:val="en-US" w:eastAsia="en-US" w:bidi="ar-SA"/>
      </w:rPr>
    </w:lvl>
  </w:abstractNum>
  <w:abstractNum w:abstractNumId="34">
    <w:multiLevelType w:val="hybridMultilevel"/>
    <w:lvl w:ilvl="0">
      <w:start w:val="1"/>
      <w:numFmt w:val="lowerRoman"/>
      <w:lvlText w:val="(%1)"/>
      <w:lvlJc w:val="left"/>
      <w:pPr>
        <w:ind w:left="782" w:hanging="233"/>
        <w:jc w:val="left"/>
      </w:pPr>
      <w:rPr>
        <w:rFonts w:hint="default" w:ascii="Trebuchet MS" w:hAnsi="Trebuchet MS" w:eastAsia="Trebuchet MS" w:cs="Trebuchet MS"/>
        <w:spacing w:val="-1"/>
        <w:w w:val="78"/>
        <w:sz w:val="22"/>
        <w:szCs w:val="22"/>
        <w:lang w:val="en-US" w:eastAsia="en-US" w:bidi="ar-SA"/>
      </w:rPr>
    </w:lvl>
    <w:lvl w:ilvl="1">
      <w:start w:val="3"/>
      <w:numFmt w:val="lowerRoman"/>
      <w:lvlText w:val="(%2)"/>
      <w:lvlJc w:val="left"/>
      <w:pPr>
        <w:ind w:left="1311" w:hanging="389"/>
        <w:jc w:val="left"/>
      </w:pPr>
      <w:rPr>
        <w:rFonts w:hint="default" w:ascii="Trebuchet MS" w:hAnsi="Trebuchet MS" w:eastAsia="Trebuchet MS" w:cs="Trebuchet MS"/>
        <w:spacing w:val="-1"/>
        <w:w w:val="78"/>
        <w:sz w:val="22"/>
        <w:szCs w:val="22"/>
        <w:lang w:val="en-US" w:eastAsia="en-US" w:bidi="ar-SA"/>
      </w:rPr>
    </w:lvl>
    <w:lvl w:ilvl="2">
      <w:start w:val="1"/>
      <w:numFmt w:val="lowerLetter"/>
      <w:lvlText w:val="(%3)"/>
      <w:lvlJc w:val="left"/>
      <w:pPr>
        <w:ind w:left="1976" w:hanging="576"/>
        <w:jc w:val="left"/>
      </w:pPr>
      <w:rPr>
        <w:rFonts w:hint="default" w:ascii="Trebuchet MS" w:hAnsi="Trebuchet MS" w:eastAsia="Trebuchet MS" w:cs="Trebuchet MS"/>
        <w:spacing w:val="-4"/>
        <w:w w:val="78"/>
        <w:sz w:val="22"/>
        <w:szCs w:val="22"/>
        <w:lang w:val="en-US" w:eastAsia="en-US" w:bidi="ar-SA"/>
      </w:rPr>
    </w:lvl>
    <w:lvl w:ilvl="3">
      <w:start w:val="0"/>
      <w:numFmt w:val="bullet"/>
      <w:lvlText w:val="•"/>
      <w:lvlJc w:val="left"/>
      <w:pPr>
        <w:ind w:left="3093" w:hanging="576"/>
      </w:pPr>
      <w:rPr>
        <w:rFonts w:hint="default"/>
        <w:lang w:val="en-US" w:eastAsia="en-US" w:bidi="ar-SA"/>
      </w:rPr>
    </w:lvl>
    <w:lvl w:ilvl="4">
      <w:start w:val="0"/>
      <w:numFmt w:val="bullet"/>
      <w:lvlText w:val="•"/>
      <w:lvlJc w:val="left"/>
      <w:pPr>
        <w:ind w:left="4207" w:hanging="576"/>
      </w:pPr>
      <w:rPr>
        <w:rFonts w:hint="default"/>
        <w:lang w:val="en-US" w:eastAsia="en-US" w:bidi="ar-SA"/>
      </w:rPr>
    </w:lvl>
    <w:lvl w:ilvl="5">
      <w:start w:val="0"/>
      <w:numFmt w:val="bullet"/>
      <w:lvlText w:val="•"/>
      <w:lvlJc w:val="left"/>
      <w:pPr>
        <w:ind w:left="5320" w:hanging="576"/>
      </w:pPr>
      <w:rPr>
        <w:rFonts w:hint="default"/>
        <w:lang w:val="en-US" w:eastAsia="en-US" w:bidi="ar-SA"/>
      </w:rPr>
    </w:lvl>
    <w:lvl w:ilvl="6">
      <w:start w:val="0"/>
      <w:numFmt w:val="bullet"/>
      <w:lvlText w:val="•"/>
      <w:lvlJc w:val="left"/>
      <w:pPr>
        <w:ind w:left="6434" w:hanging="576"/>
      </w:pPr>
      <w:rPr>
        <w:rFonts w:hint="default"/>
        <w:lang w:val="en-US" w:eastAsia="en-US" w:bidi="ar-SA"/>
      </w:rPr>
    </w:lvl>
    <w:lvl w:ilvl="7">
      <w:start w:val="0"/>
      <w:numFmt w:val="bullet"/>
      <w:lvlText w:val="•"/>
      <w:lvlJc w:val="left"/>
      <w:pPr>
        <w:ind w:left="7548" w:hanging="576"/>
      </w:pPr>
      <w:rPr>
        <w:rFonts w:hint="default"/>
        <w:lang w:val="en-US" w:eastAsia="en-US" w:bidi="ar-SA"/>
      </w:rPr>
    </w:lvl>
    <w:lvl w:ilvl="8">
      <w:start w:val="0"/>
      <w:numFmt w:val="bullet"/>
      <w:lvlText w:val="•"/>
      <w:lvlJc w:val="left"/>
      <w:pPr>
        <w:ind w:left="8661" w:hanging="576"/>
      </w:pPr>
      <w:rPr>
        <w:rFonts w:hint="default"/>
        <w:lang w:val="en-US" w:eastAsia="en-US" w:bidi="ar-SA"/>
      </w:rPr>
    </w:lvl>
  </w:abstractNum>
  <w:abstractNum w:abstractNumId="33">
    <w:multiLevelType w:val="hybridMultilevel"/>
    <w:lvl w:ilvl="0">
      <w:start w:val="5"/>
      <w:numFmt w:val="decimal"/>
      <w:lvlText w:val="%1"/>
      <w:lvlJc w:val="left"/>
      <w:pPr>
        <w:ind w:left="1084" w:hanging="865"/>
        <w:jc w:val="left"/>
      </w:pPr>
      <w:rPr>
        <w:rFonts w:hint="default"/>
        <w:lang w:val="en-US" w:eastAsia="en-US" w:bidi="ar-SA"/>
      </w:rPr>
    </w:lvl>
    <w:lvl w:ilvl="1">
      <w:start w:val="4"/>
      <w:numFmt w:val="decimal"/>
      <w:lvlText w:val="%1.%2"/>
      <w:lvlJc w:val="left"/>
      <w:pPr>
        <w:ind w:left="1084" w:hanging="865"/>
        <w:jc w:val="left"/>
      </w:pPr>
      <w:rPr>
        <w:rFonts w:hint="default"/>
        <w:lang w:val="en-US" w:eastAsia="en-US" w:bidi="ar-SA"/>
      </w:rPr>
    </w:lvl>
    <w:lvl w:ilvl="2">
      <w:start w:val="7"/>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1576" w:hanging="360"/>
      </w:pPr>
      <w:rPr>
        <w:rFonts w:hint="default" w:ascii="Symbol" w:hAnsi="Symbol" w:eastAsia="Symbol" w:cs="Symbol"/>
        <w:w w:val="100"/>
        <w:sz w:val="22"/>
        <w:szCs w:val="22"/>
        <w:lang w:val="en-US" w:eastAsia="en-US" w:bidi="ar-SA"/>
      </w:rPr>
    </w:lvl>
    <w:lvl w:ilvl="5">
      <w:start w:val="0"/>
      <w:numFmt w:val="bullet"/>
      <w:lvlText w:val="•"/>
      <w:lvlJc w:val="left"/>
      <w:pPr>
        <w:ind w:left="5717" w:hanging="360"/>
      </w:pPr>
      <w:rPr>
        <w:rFonts w:hint="default"/>
        <w:lang w:val="en-US" w:eastAsia="en-US" w:bidi="ar-SA"/>
      </w:rPr>
    </w:lvl>
    <w:lvl w:ilvl="6">
      <w:start w:val="0"/>
      <w:numFmt w:val="bullet"/>
      <w:lvlText w:val="•"/>
      <w:lvlJc w:val="left"/>
      <w:pPr>
        <w:ind w:left="6751" w:hanging="360"/>
      </w:pPr>
      <w:rPr>
        <w:rFonts w:hint="default"/>
        <w:lang w:val="en-US" w:eastAsia="en-US" w:bidi="ar-SA"/>
      </w:rPr>
    </w:lvl>
    <w:lvl w:ilvl="7">
      <w:start w:val="0"/>
      <w:numFmt w:val="bullet"/>
      <w:lvlText w:val="•"/>
      <w:lvlJc w:val="left"/>
      <w:pPr>
        <w:ind w:left="7785" w:hanging="360"/>
      </w:pPr>
      <w:rPr>
        <w:rFonts w:hint="default"/>
        <w:lang w:val="en-US" w:eastAsia="en-US" w:bidi="ar-SA"/>
      </w:rPr>
    </w:lvl>
    <w:lvl w:ilvl="8">
      <w:start w:val="0"/>
      <w:numFmt w:val="bullet"/>
      <w:lvlText w:val="•"/>
      <w:lvlJc w:val="left"/>
      <w:pPr>
        <w:ind w:left="8820" w:hanging="360"/>
      </w:pPr>
      <w:rPr>
        <w:rFonts w:hint="default"/>
        <w:lang w:val="en-US" w:eastAsia="en-US" w:bidi="ar-SA"/>
      </w:rPr>
    </w:lvl>
  </w:abstractNum>
  <w:abstractNum w:abstractNumId="32">
    <w:multiLevelType w:val="hybridMultilevel"/>
    <w:lvl w:ilvl="0">
      <w:start w:val="5"/>
      <w:numFmt w:val="decimal"/>
      <w:lvlText w:val="%1"/>
      <w:lvlJc w:val="left"/>
      <w:pPr>
        <w:ind w:left="1084" w:hanging="865"/>
        <w:jc w:val="left"/>
      </w:pPr>
      <w:rPr>
        <w:rFonts w:hint="default"/>
        <w:lang w:val="en-US" w:eastAsia="en-US" w:bidi="ar-SA"/>
      </w:rPr>
    </w:lvl>
    <w:lvl w:ilvl="1">
      <w:start w:val="4"/>
      <w:numFmt w:val="decimal"/>
      <w:lvlText w:val="%1.%2"/>
      <w:lvlJc w:val="left"/>
      <w:pPr>
        <w:ind w:left="1084" w:hanging="865"/>
        <w:jc w:val="left"/>
      </w:pPr>
      <w:rPr>
        <w:rFonts w:hint="default"/>
        <w:lang w:val="en-US" w:eastAsia="en-US" w:bidi="ar-SA"/>
      </w:rPr>
    </w:lvl>
    <w:lvl w:ilvl="2">
      <w:start w:val="6"/>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color w:val="008000"/>
        <w:spacing w:val="-2"/>
        <w:w w:val="99"/>
        <w:sz w:val="22"/>
        <w:szCs w:val="22"/>
        <w:lang w:val="en-US" w:eastAsia="en-US" w:bidi="ar-SA"/>
      </w:rPr>
    </w:lvl>
    <w:lvl w:ilvl="4">
      <w:start w:val="0"/>
      <w:numFmt w:val="bullet"/>
      <w:lvlText w:val="•"/>
      <w:lvlJc w:val="left"/>
      <w:pPr>
        <w:ind w:left="5003" w:hanging="865"/>
      </w:pPr>
      <w:rPr>
        <w:rFonts w:hint="default"/>
        <w:lang w:val="en-US" w:eastAsia="en-US" w:bidi="ar-SA"/>
      </w:rPr>
    </w:lvl>
    <w:lvl w:ilvl="5">
      <w:start w:val="0"/>
      <w:numFmt w:val="bullet"/>
      <w:lvlText w:val="•"/>
      <w:lvlJc w:val="left"/>
      <w:pPr>
        <w:ind w:left="5984" w:hanging="865"/>
      </w:pPr>
      <w:rPr>
        <w:rFonts w:hint="default"/>
        <w:lang w:val="en-US" w:eastAsia="en-US" w:bidi="ar-SA"/>
      </w:rPr>
    </w:lvl>
    <w:lvl w:ilvl="6">
      <w:start w:val="0"/>
      <w:numFmt w:val="bullet"/>
      <w:lvlText w:val="•"/>
      <w:lvlJc w:val="left"/>
      <w:pPr>
        <w:ind w:left="6965" w:hanging="865"/>
      </w:pPr>
      <w:rPr>
        <w:rFonts w:hint="default"/>
        <w:lang w:val="en-US" w:eastAsia="en-US" w:bidi="ar-SA"/>
      </w:rPr>
    </w:lvl>
    <w:lvl w:ilvl="7">
      <w:start w:val="0"/>
      <w:numFmt w:val="bullet"/>
      <w:lvlText w:val="•"/>
      <w:lvlJc w:val="left"/>
      <w:pPr>
        <w:ind w:left="7946" w:hanging="865"/>
      </w:pPr>
      <w:rPr>
        <w:rFonts w:hint="default"/>
        <w:lang w:val="en-US" w:eastAsia="en-US" w:bidi="ar-SA"/>
      </w:rPr>
    </w:lvl>
    <w:lvl w:ilvl="8">
      <w:start w:val="0"/>
      <w:numFmt w:val="bullet"/>
      <w:lvlText w:val="•"/>
      <w:lvlJc w:val="left"/>
      <w:pPr>
        <w:ind w:left="8927" w:hanging="865"/>
      </w:pPr>
      <w:rPr>
        <w:rFonts w:hint="default"/>
        <w:lang w:val="en-US" w:eastAsia="en-US" w:bidi="ar-SA"/>
      </w:rPr>
    </w:lvl>
  </w:abstractNum>
  <w:abstractNum w:abstractNumId="31">
    <w:multiLevelType w:val="hybridMultilevel"/>
    <w:lvl w:ilvl="0">
      <w:start w:val="5"/>
      <w:numFmt w:val="decimal"/>
      <w:lvlText w:val="%1"/>
      <w:lvlJc w:val="left"/>
      <w:pPr>
        <w:ind w:left="1084" w:hanging="865"/>
        <w:jc w:val="left"/>
      </w:pPr>
      <w:rPr>
        <w:rFonts w:hint="default"/>
        <w:lang w:val="en-US" w:eastAsia="en-US" w:bidi="ar-SA"/>
      </w:rPr>
    </w:lvl>
    <w:lvl w:ilvl="1">
      <w:start w:val="4"/>
      <w:numFmt w:val="decimal"/>
      <w:lvlText w:val="%1.%2"/>
      <w:lvlJc w:val="left"/>
      <w:pPr>
        <w:ind w:left="1084" w:hanging="865"/>
        <w:jc w:val="left"/>
      </w:pPr>
      <w:rPr>
        <w:rFonts w:hint="default"/>
        <w:lang w:val="en-US" w:eastAsia="en-US" w:bidi="ar-SA"/>
      </w:rPr>
    </w:lvl>
    <w:lvl w:ilvl="2">
      <w:start w:val="5"/>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i/>
        <w:color w:val="008000"/>
        <w:spacing w:val="-3"/>
        <w:w w:val="78"/>
        <w:sz w:val="22"/>
        <w:szCs w:val="22"/>
        <w:lang w:val="en-US" w:eastAsia="en-US" w:bidi="ar-SA"/>
      </w:rPr>
    </w:lvl>
    <w:lvl w:ilvl="4">
      <w:start w:val="1"/>
      <w:numFmt w:val="decimal"/>
      <w:lvlText w:val="%1.%2.%3.%4.%5"/>
      <w:lvlJc w:val="left"/>
      <w:pPr>
        <w:ind w:left="1228" w:hanging="1009"/>
        <w:jc w:val="left"/>
      </w:pPr>
      <w:rPr>
        <w:rFonts w:hint="default" w:ascii="Trebuchet MS" w:hAnsi="Trebuchet MS" w:eastAsia="Trebuchet MS" w:cs="Trebuchet MS"/>
        <w:color w:val="1F664D"/>
        <w:spacing w:val="-1"/>
        <w:w w:val="95"/>
        <w:sz w:val="20"/>
        <w:szCs w:val="20"/>
        <w:lang w:val="en-US" w:eastAsia="en-US" w:bidi="ar-SA"/>
      </w:rPr>
    </w:lvl>
    <w:lvl w:ilvl="5">
      <w:start w:val="0"/>
      <w:numFmt w:val="bullet"/>
      <w:lvlText w:val="•"/>
      <w:lvlJc w:val="left"/>
      <w:pPr>
        <w:ind w:left="5517" w:hanging="1009"/>
      </w:pPr>
      <w:rPr>
        <w:rFonts w:hint="default"/>
        <w:lang w:val="en-US" w:eastAsia="en-US" w:bidi="ar-SA"/>
      </w:rPr>
    </w:lvl>
    <w:lvl w:ilvl="6">
      <w:start w:val="0"/>
      <w:numFmt w:val="bullet"/>
      <w:lvlText w:val="•"/>
      <w:lvlJc w:val="left"/>
      <w:pPr>
        <w:ind w:left="6591" w:hanging="1009"/>
      </w:pPr>
      <w:rPr>
        <w:rFonts w:hint="default"/>
        <w:lang w:val="en-US" w:eastAsia="en-US" w:bidi="ar-SA"/>
      </w:rPr>
    </w:lvl>
    <w:lvl w:ilvl="7">
      <w:start w:val="0"/>
      <w:numFmt w:val="bullet"/>
      <w:lvlText w:val="•"/>
      <w:lvlJc w:val="left"/>
      <w:pPr>
        <w:ind w:left="7665" w:hanging="1009"/>
      </w:pPr>
      <w:rPr>
        <w:rFonts w:hint="default"/>
        <w:lang w:val="en-US" w:eastAsia="en-US" w:bidi="ar-SA"/>
      </w:rPr>
    </w:lvl>
    <w:lvl w:ilvl="8">
      <w:start w:val="0"/>
      <w:numFmt w:val="bullet"/>
      <w:lvlText w:val="•"/>
      <w:lvlJc w:val="left"/>
      <w:pPr>
        <w:ind w:left="8740" w:hanging="1009"/>
      </w:pPr>
      <w:rPr>
        <w:rFonts w:hint="default"/>
        <w:lang w:val="en-US" w:eastAsia="en-US" w:bidi="ar-SA"/>
      </w:rPr>
    </w:lvl>
  </w:abstractNum>
  <w:abstractNum w:abstractNumId="30">
    <w:multiLevelType w:val="hybridMultilevel"/>
    <w:lvl w:ilvl="0">
      <w:start w:val="5"/>
      <w:numFmt w:val="decimal"/>
      <w:lvlText w:val="%1"/>
      <w:lvlJc w:val="left"/>
      <w:pPr>
        <w:ind w:left="1084" w:hanging="865"/>
        <w:jc w:val="left"/>
      </w:pPr>
      <w:rPr>
        <w:rFonts w:hint="default"/>
        <w:lang w:val="en-US" w:eastAsia="en-US" w:bidi="ar-SA"/>
      </w:rPr>
    </w:lvl>
    <w:lvl w:ilvl="1">
      <w:start w:val="4"/>
      <w:numFmt w:val="decimal"/>
      <w:lvlText w:val="%1.%2"/>
      <w:lvlJc w:val="left"/>
      <w:pPr>
        <w:ind w:left="1084" w:hanging="865"/>
        <w:jc w:val="left"/>
      </w:pPr>
      <w:rPr>
        <w:rFonts w:hint="default"/>
        <w:lang w:val="en-US" w:eastAsia="en-US" w:bidi="ar-SA"/>
      </w:rPr>
    </w:lvl>
    <w:lvl w:ilvl="2">
      <w:start w:val="4"/>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03" w:hanging="865"/>
      </w:pPr>
      <w:rPr>
        <w:rFonts w:hint="default"/>
        <w:lang w:val="en-US" w:eastAsia="en-US" w:bidi="ar-SA"/>
      </w:rPr>
    </w:lvl>
    <w:lvl w:ilvl="5">
      <w:start w:val="0"/>
      <w:numFmt w:val="bullet"/>
      <w:lvlText w:val="•"/>
      <w:lvlJc w:val="left"/>
      <w:pPr>
        <w:ind w:left="5984" w:hanging="865"/>
      </w:pPr>
      <w:rPr>
        <w:rFonts w:hint="default"/>
        <w:lang w:val="en-US" w:eastAsia="en-US" w:bidi="ar-SA"/>
      </w:rPr>
    </w:lvl>
    <w:lvl w:ilvl="6">
      <w:start w:val="0"/>
      <w:numFmt w:val="bullet"/>
      <w:lvlText w:val="•"/>
      <w:lvlJc w:val="left"/>
      <w:pPr>
        <w:ind w:left="6965" w:hanging="865"/>
      </w:pPr>
      <w:rPr>
        <w:rFonts w:hint="default"/>
        <w:lang w:val="en-US" w:eastAsia="en-US" w:bidi="ar-SA"/>
      </w:rPr>
    </w:lvl>
    <w:lvl w:ilvl="7">
      <w:start w:val="0"/>
      <w:numFmt w:val="bullet"/>
      <w:lvlText w:val="•"/>
      <w:lvlJc w:val="left"/>
      <w:pPr>
        <w:ind w:left="7946" w:hanging="865"/>
      </w:pPr>
      <w:rPr>
        <w:rFonts w:hint="default"/>
        <w:lang w:val="en-US" w:eastAsia="en-US" w:bidi="ar-SA"/>
      </w:rPr>
    </w:lvl>
    <w:lvl w:ilvl="8">
      <w:start w:val="0"/>
      <w:numFmt w:val="bullet"/>
      <w:lvlText w:val="•"/>
      <w:lvlJc w:val="left"/>
      <w:pPr>
        <w:ind w:left="8927" w:hanging="865"/>
      </w:pPr>
      <w:rPr>
        <w:rFonts w:hint="default"/>
        <w:lang w:val="en-US" w:eastAsia="en-US" w:bidi="ar-SA"/>
      </w:rPr>
    </w:lvl>
  </w:abstractNum>
  <w:abstractNum w:abstractNumId="29">
    <w:multiLevelType w:val="hybridMultilevel"/>
    <w:lvl w:ilvl="0">
      <w:start w:val="5"/>
      <w:numFmt w:val="decimal"/>
      <w:lvlText w:val="%1"/>
      <w:lvlJc w:val="left"/>
      <w:pPr>
        <w:ind w:left="1084" w:hanging="865"/>
        <w:jc w:val="left"/>
      </w:pPr>
      <w:rPr>
        <w:rFonts w:hint="default"/>
        <w:lang w:val="en-US" w:eastAsia="en-US" w:bidi="ar-SA"/>
      </w:rPr>
    </w:lvl>
    <w:lvl w:ilvl="1">
      <w:start w:val="4"/>
      <w:numFmt w:val="decimal"/>
      <w:lvlText w:val="%1.%2"/>
      <w:lvlJc w:val="left"/>
      <w:pPr>
        <w:ind w:left="1084" w:hanging="865"/>
        <w:jc w:val="left"/>
      </w:pPr>
      <w:rPr>
        <w:rFonts w:hint="default"/>
        <w:lang w:val="en-US" w:eastAsia="en-US" w:bidi="ar-SA"/>
      </w:rPr>
    </w:lvl>
    <w:lvl w:ilvl="2">
      <w:start w:val="3"/>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03" w:hanging="865"/>
      </w:pPr>
      <w:rPr>
        <w:rFonts w:hint="default"/>
        <w:lang w:val="en-US" w:eastAsia="en-US" w:bidi="ar-SA"/>
      </w:rPr>
    </w:lvl>
    <w:lvl w:ilvl="5">
      <w:start w:val="0"/>
      <w:numFmt w:val="bullet"/>
      <w:lvlText w:val="•"/>
      <w:lvlJc w:val="left"/>
      <w:pPr>
        <w:ind w:left="5984" w:hanging="865"/>
      </w:pPr>
      <w:rPr>
        <w:rFonts w:hint="default"/>
        <w:lang w:val="en-US" w:eastAsia="en-US" w:bidi="ar-SA"/>
      </w:rPr>
    </w:lvl>
    <w:lvl w:ilvl="6">
      <w:start w:val="0"/>
      <w:numFmt w:val="bullet"/>
      <w:lvlText w:val="•"/>
      <w:lvlJc w:val="left"/>
      <w:pPr>
        <w:ind w:left="6965" w:hanging="865"/>
      </w:pPr>
      <w:rPr>
        <w:rFonts w:hint="default"/>
        <w:lang w:val="en-US" w:eastAsia="en-US" w:bidi="ar-SA"/>
      </w:rPr>
    </w:lvl>
    <w:lvl w:ilvl="7">
      <w:start w:val="0"/>
      <w:numFmt w:val="bullet"/>
      <w:lvlText w:val="•"/>
      <w:lvlJc w:val="left"/>
      <w:pPr>
        <w:ind w:left="7946" w:hanging="865"/>
      </w:pPr>
      <w:rPr>
        <w:rFonts w:hint="default"/>
        <w:lang w:val="en-US" w:eastAsia="en-US" w:bidi="ar-SA"/>
      </w:rPr>
    </w:lvl>
    <w:lvl w:ilvl="8">
      <w:start w:val="0"/>
      <w:numFmt w:val="bullet"/>
      <w:lvlText w:val="•"/>
      <w:lvlJc w:val="left"/>
      <w:pPr>
        <w:ind w:left="8927" w:hanging="865"/>
      </w:pPr>
      <w:rPr>
        <w:rFonts w:hint="default"/>
        <w:lang w:val="en-US" w:eastAsia="en-US" w:bidi="ar-SA"/>
      </w:rPr>
    </w:lvl>
  </w:abstractNum>
  <w:abstractNum w:abstractNumId="28">
    <w:multiLevelType w:val="hybridMultilevel"/>
    <w:lvl w:ilvl="0">
      <w:start w:val="0"/>
      <w:numFmt w:val="bullet"/>
      <w:lvlText w:val=""/>
      <w:lvlJc w:val="left"/>
      <w:pPr>
        <w:ind w:left="1665"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582" w:hanging="360"/>
      </w:pPr>
      <w:rPr>
        <w:rFonts w:hint="default"/>
        <w:lang w:val="en-US" w:eastAsia="en-US" w:bidi="ar-SA"/>
      </w:rPr>
    </w:lvl>
    <w:lvl w:ilvl="2">
      <w:start w:val="0"/>
      <w:numFmt w:val="bullet"/>
      <w:lvlText w:val="•"/>
      <w:lvlJc w:val="left"/>
      <w:pPr>
        <w:ind w:left="3505" w:hanging="360"/>
      </w:pPr>
      <w:rPr>
        <w:rFonts w:hint="default"/>
        <w:lang w:val="en-US" w:eastAsia="en-US" w:bidi="ar-SA"/>
      </w:rPr>
    </w:lvl>
    <w:lvl w:ilvl="3">
      <w:start w:val="0"/>
      <w:numFmt w:val="bullet"/>
      <w:lvlText w:val="•"/>
      <w:lvlJc w:val="left"/>
      <w:pPr>
        <w:ind w:left="4428" w:hanging="360"/>
      </w:pPr>
      <w:rPr>
        <w:rFonts w:hint="default"/>
        <w:lang w:val="en-US" w:eastAsia="en-US" w:bidi="ar-SA"/>
      </w:rPr>
    </w:lvl>
    <w:lvl w:ilvl="4">
      <w:start w:val="0"/>
      <w:numFmt w:val="bullet"/>
      <w:lvlText w:val="•"/>
      <w:lvlJc w:val="left"/>
      <w:pPr>
        <w:ind w:left="5351" w:hanging="360"/>
      </w:pPr>
      <w:rPr>
        <w:rFonts w:hint="default"/>
        <w:lang w:val="en-US" w:eastAsia="en-US" w:bidi="ar-SA"/>
      </w:rPr>
    </w:lvl>
    <w:lvl w:ilvl="5">
      <w:start w:val="0"/>
      <w:numFmt w:val="bullet"/>
      <w:lvlText w:val="•"/>
      <w:lvlJc w:val="left"/>
      <w:pPr>
        <w:ind w:left="6274" w:hanging="360"/>
      </w:pPr>
      <w:rPr>
        <w:rFonts w:hint="default"/>
        <w:lang w:val="en-US" w:eastAsia="en-US" w:bidi="ar-SA"/>
      </w:rPr>
    </w:lvl>
    <w:lvl w:ilvl="6">
      <w:start w:val="0"/>
      <w:numFmt w:val="bullet"/>
      <w:lvlText w:val="•"/>
      <w:lvlJc w:val="left"/>
      <w:pPr>
        <w:ind w:left="7197" w:hanging="360"/>
      </w:pPr>
      <w:rPr>
        <w:rFonts w:hint="default"/>
        <w:lang w:val="en-US" w:eastAsia="en-US" w:bidi="ar-SA"/>
      </w:rPr>
    </w:lvl>
    <w:lvl w:ilvl="7">
      <w:start w:val="0"/>
      <w:numFmt w:val="bullet"/>
      <w:lvlText w:val="•"/>
      <w:lvlJc w:val="left"/>
      <w:pPr>
        <w:ind w:left="8120" w:hanging="360"/>
      </w:pPr>
      <w:rPr>
        <w:rFonts w:hint="default"/>
        <w:lang w:val="en-US" w:eastAsia="en-US" w:bidi="ar-SA"/>
      </w:rPr>
    </w:lvl>
    <w:lvl w:ilvl="8">
      <w:start w:val="0"/>
      <w:numFmt w:val="bullet"/>
      <w:lvlText w:val="•"/>
      <w:lvlJc w:val="left"/>
      <w:pPr>
        <w:ind w:left="9043" w:hanging="360"/>
      </w:pPr>
      <w:rPr>
        <w:rFonts w:hint="default"/>
        <w:lang w:val="en-US" w:eastAsia="en-US" w:bidi="ar-SA"/>
      </w:rPr>
    </w:lvl>
  </w:abstractNum>
  <w:abstractNum w:abstractNumId="27">
    <w:multiLevelType w:val="hybridMultilevel"/>
    <w:lvl w:ilvl="0">
      <w:start w:val="5"/>
      <w:numFmt w:val="decimal"/>
      <w:lvlText w:val="%1"/>
      <w:lvlJc w:val="left"/>
      <w:pPr>
        <w:ind w:left="1084" w:hanging="865"/>
        <w:jc w:val="left"/>
      </w:pPr>
      <w:rPr>
        <w:rFonts w:hint="default"/>
        <w:lang w:val="en-US" w:eastAsia="en-US" w:bidi="ar-SA"/>
      </w:rPr>
    </w:lvl>
    <w:lvl w:ilvl="1">
      <w:start w:val="3"/>
      <w:numFmt w:val="decimal"/>
      <w:lvlText w:val="%1.%2"/>
      <w:lvlJc w:val="left"/>
      <w:pPr>
        <w:ind w:left="1084" w:hanging="865"/>
        <w:jc w:val="left"/>
      </w:pPr>
      <w:rPr>
        <w:rFonts w:hint="default"/>
        <w:lang w:val="en-US" w:eastAsia="en-US" w:bidi="ar-SA"/>
      </w:rPr>
    </w:lvl>
    <w:lvl w:ilvl="2">
      <w:start w:val="1"/>
      <w:numFmt w:val="decimal"/>
      <w:lvlText w:val="%1.%2.%3"/>
      <w:lvlJc w:val="left"/>
      <w:pPr>
        <w:ind w:left="1084" w:hanging="865"/>
        <w:jc w:val="left"/>
      </w:pPr>
      <w:rPr>
        <w:rFonts w:hint="default"/>
        <w:lang w:val="en-US" w:eastAsia="en-US" w:bidi="ar-SA"/>
      </w:rPr>
    </w:lvl>
    <w:lvl w:ilvl="3">
      <w:start w:val="1"/>
      <w:numFmt w:val="decimal"/>
      <w:lvlText w:val="%1.%2.%3.%4"/>
      <w:lvlJc w:val="left"/>
      <w:pPr>
        <w:ind w:left="1084" w:hanging="865"/>
        <w:jc w:val="left"/>
      </w:pPr>
      <w:rPr>
        <w:rFonts w:hint="default" w:ascii="Trebuchet MS" w:hAnsi="Trebuchet MS" w:eastAsia="Trebuchet MS" w:cs="Trebuchet MS"/>
        <w:i/>
        <w:color w:val="008000"/>
        <w:spacing w:val="-3"/>
        <w:w w:val="78"/>
        <w:sz w:val="22"/>
        <w:szCs w:val="22"/>
        <w:lang w:val="en-US" w:eastAsia="en-US" w:bidi="ar-SA"/>
      </w:rPr>
    </w:lvl>
    <w:lvl w:ilvl="4">
      <w:start w:val="0"/>
      <w:numFmt w:val="bullet"/>
      <w:lvlText w:val="•"/>
      <w:lvlJc w:val="left"/>
      <w:pPr>
        <w:ind w:left="5003" w:hanging="865"/>
      </w:pPr>
      <w:rPr>
        <w:rFonts w:hint="default"/>
        <w:lang w:val="en-US" w:eastAsia="en-US" w:bidi="ar-SA"/>
      </w:rPr>
    </w:lvl>
    <w:lvl w:ilvl="5">
      <w:start w:val="0"/>
      <w:numFmt w:val="bullet"/>
      <w:lvlText w:val="•"/>
      <w:lvlJc w:val="left"/>
      <w:pPr>
        <w:ind w:left="5984" w:hanging="865"/>
      </w:pPr>
      <w:rPr>
        <w:rFonts w:hint="default"/>
        <w:lang w:val="en-US" w:eastAsia="en-US" w:bidi="ar-SA"/>
      </w:rPr>
    </w:lvl>
    <w:lvl w:ilvl="6">
      <w:start w:val="0"/>
      <w:numFmt w:val="bullet"/>
      <w:lvlText w:val="•"/>
      <w:lvlJc w:val="left"/>
      <w:pPr>
        <w:ind w:left="6965" w:hanging="865"/>
      </w:pPr>
      <w:rPr>
        <w:rFonts w:hint="default"/>
        <w:lang w:val="en-US" w:eastAsia="en-US" w:bidi="ar-SA"/>
      </w:rPr>
    </w:lvl>
    <w:lvl w:ilvl="7">
      <w:start w:val="0"/>
      <w:numFmt w:val="bullet"/>
      <w:lvlText w:val="•"/>
      <w:lvlJc w:val="left"/>
      <w:pPr>
        <w:ind w:left="7946" w:hanging="865"/>
      </w:pPr>
      <w:rPr>
        <w:rFonts w:hint="default"/>
        <w:lang w:val="en-US" w:eastAsia="en-US" w:bidi="ar-SA"/>
      </w:rPr>
    </w:lvl>
    <w:lvl w:ilvl="8">
      <w:start w:val="0"/>
      <w:numFmt w:val="bullet"/>
      <w:lvlText w:val="•"/>
      <w:lvlJc w:val="left"/>
      <w:pPr>
        <w:ind w:left="8927" w:hanging="865"/>
      </w:pPr>
      <w:rPr>
        <w:rFonts w:hint="default"/>
        <w:lang w:val="en-US" w:eastAsia="en-US" w:bidi="ar-SA"/>
      </w:rPr>
    </w:lvl>
  </w:abstractNum>
  <w:abstractNum w:abstractNumId="26">
    <w:multiLevelType w:val="hybridMultilevel"/>
    <w:lvl w:ilvl="0">
      <w:start w:val="0"/>
      <w:numFmt w:val="bullet"/>
      <w:lvlText w:val=""/>
      <w:lvlJc w:val="left"/>
      <w:pPr>
        <w:ind w:left="3542" w:hanging="360"/>
      </w:pPr>
      <w:rPr>
        <w:rFonts w:hint="default" w:ascii="Symbol" w:hAnsi="Symbol" w:eastAsia="Symbol" w:cs="Symbol"/>
        <w:w w:val="100"/>
        <w:sz w:val="22"/>
        <w:szCs w:val="22"/>
        <w:lang w:val="en-US" w:eastAsia="en-US" w:bidi="ar-SA"/>
      </w:rPr>
    </w:lvl>
    <w:lvl w:ilvl="1">
      <w:start w:val="0"/>
      <w:numFmt w:val="bullet"/>
      <w:lvlText w:val="•"/>
      <w:lvlJc w:val="left"/>
      <w:pPr>
        <w:ind w:left="4324" w:hanging="360"/>
      </w:pPr>
      <w:rPr>
        <w:rFonts w:hint="default"/>
        <w:lang w:val="en-US" w:eastAsia="en-US" w:bidi="ar-SA"/>
      </w:rPr>
    </w:lvl>
    <w:lvl w:ilvl="2">
      <w:start w:val="0"/>
      <w:numFmt w:val="bullet"/>
      <w:lvlText w:val="•"/>
      <w:lvlJc w:val="left"/>
      <w:pPr>
        <w:ind w:left="5109" w:hanging="360"/>
      </w:pPr>
      <w:rPr>
        <w:rFonts w:hint="default"/>
        <w:lang w:val="en-US" w:eastAsia="en-US" w:bidi="ar-SA"/>
      </w:rPr>
    </w:lvl>
    <w:lvl w:ilvl="3">
      <w:start w:val="0"/>
      <w:numFmt w:val="bullet"/>
      <w:lvlText w:val="•"/>
      <w:lvlJc w:val="left"/>
      <w:pPr>
        <w:ind w:left="5894" w:hanging="360"/>
      </w:pPr>
      <w:rPr>
        <w:rFonts w:hint="default"/>
        <w:lang w:val="en-US" w:eastAsia="en-US" w:bidi="ar-SA"/>
      </w:rPr>
    </w:lvl>
    <w:lvl w:ilvl="4">
      <w:start w:val="0"/>
      <w:numFmt w:val="bullet"/>
      <w:lvlText w:val="•"/>
      <w:lvlJc w:val="left"/>
      <w:pPr>
        <w:ind w:left="6679" w:hanging="360"/>
      </w:pPr>
      <w:rPr>
        <w:rFonts w:hint="default"/>
        <w:lang w:val="en-US" w:eastAsia="en-US" w:bidi="ar-SA"/>
      </w:rPr>
    </w:lvl>
    <w:lvl w:ilvl="5">
      <w:start w:val="0"/>
      <w:numFmt w:val="bullet"/>
      <w:lvlText w:val="•"/>
      <w:lvlJc w:val="left"/>
      <w:pPr>
        <w:ind w:left="7464" w:hanging="360"/>
      </w:pPr>
      <w:rPr>
        <w:rFonts w:hint="default"/>
        <w:lang w:val="en-US" w:eastAsia="en-US" w:bidi="ar-SA"/>
      </w:rPr>
    </w:lvl>
    <w:lvl w:ilvl="6">
      <w:start w:val="0"/>
      <w:numFmt w:val="bullet"/>
      <w:lvlText w:val="•"/>
      <w:lvlJc w:val="left"/>
      <w:pPr>
        <w:ind w:left="8249" w:hanging="360"/>
      </w:pPr>
      <w:rPr>
        <w:rFonts w:hint="default"/>
        <w:lang w:val="en-US" w:eastAsia="en-US" w:bidi="ar-SA"/>
      </w:rPr>
    </w:lvl>
    <w:lvl w:ilvl="7">
      <w:start w:val="0"/>
      <w:numFmt w:val="bullet"/>
      <w:lvlText w:val="•"/>
      <w:lvlJc w:val="left"/>
      <w:pPr>
        <w:ind w:left="9034" w:hanging="360"/>
      </w:pPr>
      <w:rPr>
        <w:rFonts w:hint="default"/>
        <w:lang w:val="en-US" w:eastAsia="en-US" w:bidi="ar-SA"/>
      </w:rPr>
    </w:lvl>
    <w:lvl w:ilvl="8">
      <w:start w:val="0"/>
      <w:numFmt w:val="bullet"/>
      <w:lvlText w:val="•"/>
      <w:lvlJc w:val="left"/>
      <w:pPr>
        <w:ind w:left="9819" w:hanging="360"/>
      </w:pPr>
      <w:rPr>
        <w:rFonts w:hint="default"/>
        <w:lang w:val="en-US" w:eastAsia="en-US" w:bidi="ar-SA"/>
      </w:rPr>
    </w:lvl>
  </w:abstractNum>
  <w:abstractNum w:abstractNumId="25">
    <w:multiLevelType w:val="hybridMultilevel"/>
    <w:lvl w:ilvl="0">
      <w:start w:val="4"/>
      <w:numFmt w:val="decimal"/>
      <w:lvlText w:val="%1"/>
      <w:lvlJc w:val="left"/>
      <w:pPr>
        <w:ind w:left="856" w:hanging="577"/>
        <w:jc w:val="left"/>
      </w:pPr>
      <w:rPr>
        <w:rFonts w:hint="default"/>
        <w:lang w:val="en-US" w:eastAsia="en-US" w:bidi="ar-SA"/>
      </w:rPr>
    </w:lvl>
    <w:lvl w:ilvl="1">
      <w:start w:val="6"/>
      <w:numFmt w:val="decimal"/>
      <w:lvlText w:val="%1.%2"/>
      <w:lvlJc w:val="left"/>
      <w:pPr>
        <w:ind w:left="856" w:hanging="577"/>
        <w:jc w:val="left"/>
      </w:pPr>
      <w:rPr>
        <w:rFonts w:hint="default" w:ascii="Trebuchet MS" w:hAnsi="Trebuchet MS" w:eastAsia="Trebuchet MS" w:cs="Trebuchet MS"/>
        <w:color w:val="1F6647"/>
        <w:spacing w:val="-2"/>
        <w:w w:val="82"/>
        <w:sz w:val="22"/>
        <w:szCs w:val="22"/>
        <w:lang w:val="en-US" w:eastAsia="en-US" w:bidi="ar-SA"/>
      </w:rPr>
    </w:lvl>
    <w:lvl w:ilvl="2">
      <w:start w:val="0"/>
      <w:numFmt w:val="bullet"/>
      <w:lvlText w:val="•"/>
      <w:lvlJc w:val="left"/>
      <w:pPr>
        <w:ind w:left="2965" w:hanging="577"/>
      </w:pPr>
      <w:rPr>
        <w:rFonts w:hint="default"/>
        <w:lang w:val="en-US" w:eastAsia="en-US" w:bidi="ar-SA"/>
      </w:rPr>
    </w:lvl>
    <w:lvl w:ilvl="3">
      <w:start w:val="0"/>
      <w:numFmt w:val="bullet"/>
      <w:lvlText w:val="•"/>
      <w:lvlJc w:val="left"/>
      <w:pPr>
        <w:ind w:left="4018" w:hanging="577"/>
      </w:pPr>
      <w:rPr>
        <w:rFonts w:hint="default"/>
        <w:lang w:val="en-US" w:eastAsia="en-US" w:bidi="ar-SA"/>
      </w:rPr>
    </w:lvl>
    <w:lvl w:ilvl="4">
      <w:start w:val="0"/>
      <w:numFmt w:val="bullet"/>
      <w:lvlText w:val="•"/>
      <w:lvlJc w:val="left"/>
      <w:pPr>
        <w:ind w:left="5071" w:hanging="577"/>
      </w:pPr>
      <w:rPr>
        <w:rFonts w:hint="default"/>
        <w:lang w:val="en-US" w:eastAsia="en-US" w:bidi="ar-SA"/>
      </w:rPr>
    </w:lvl>
    <w:lvl w:ilvl="5">
      <w:start w:val="0"/>
      <w:numFmt w:val="bullet"/>
      <w:lvlText w:val="•"/>
      <w:lvlJc w:val="left"/>
      <w:pPr>
        <w:ind w:left="6124" w:hanging="577"/>
      </w:pPr>
      <w:rPr>
        <w:rFonts w:hint="default"/>
        <w:lang w:val="en-US" w:eastAsia="en-US" w:bidi="ar-SA"/>
      </w:rPr>
    </w:lvl>
    <w:lvl w:ilvl="6">
      <w:start w:val="0"/>
      <w:numFmt w:val="bullet"/>
      <w:lvlText w:val="•"/>
      <w:lvlJc w:val="left"/>
      <w:pPr>
        <w:ind w:left="7177" w:hanging="577"/>
      </w:pPr>
      <w:rPr>
        <w:rFonts w:hint="default"/>
        <w:lang w:val="en-US" w:eastAsia="en-US" w:bidi="ar-SA"/>
      </w:rPr>
    </w:lvl>
    <w:lvl w:ilvl="7">
      <w:start w:val="0"/>
      <w:numFmt w:val="bullet"/>
      <w:lvlText w:val="•"/>
      <w:lvlJc w:val="left"/>
      <w:pPr>
        <w:ind w:left="8230" w:hanging="577"/>
      </w:pPr>
      <w:rPr>
        <w:rFonts w:hint="default"/>
        <w:lang w:val="en-US" w:eastAsia="en-US" w:bidi="ar-SA"/>
      </w:rPr>
    </w:lvl>
    <w:lvl w:ilvl="8">
      <w:start w:val="0"/>
      <w:numFmt w:val="bullet"/>
      <w:lvlText w:val="•"/>
      <w:lvlJc w:val="left"/>
      <w:pPr>
        <w:ind w:left="9283" w:hanging="577"/>
      </w:pPr>
      <w:rPr>
        <w:rFonts w:hint="default"/>
        <w:lang w:val="en-US" w:eastAsia="en-US" w:bidi="ar-SA"/>
      </w:rPr>
    </w:lvl>
  </w:abstractNum>
  <w:abstractNum w:abstractNumId="24">
    <w:multiLevelType w:val="hybridMultilevel"/>
    <w:lvl w:ilvl="0">
      <w:start w:val="0"/>
      <w:numFmt w:val="bullet"/>
      <w:lvlText w:val=""/>
      <w:lvlJc w:val="left"/>
      <w:pPr>
        <w:ind w:left="1562" w:hanging="360"/>
      </w:pPr>
      <w:rPr>
        <w:rFonts w:hint="default" w:ascii="Symbol" w:hAnsi="Symbol" w:eastAsia="Symbol" w:cs="Symbol"/>
        <w:w w:val="100"/>
        <w:sz w:val="22"/>
        <w:szCs w:val="22"/>
        <w:lang w:val="en-US" w:eastAsia="en-US" w:bidi="ar-SA"/>
      </w:rPr>
    </w:lvl>
    <w:lvl w:ilvl="1">
      <w:start w:val="0"/>
      <w:numFmt w:val="bullet"/>
      <w:lvlText w:val="•"/>
      <w:lvlJc w:val="left"/>
      <w:pPr>
        <w:ind w:left="2542" w:hanging="360"/>
      </w:pPr>
      <w:rPr>
        <w:rFonts w:hint="default"/>
        <w:lang w:val="en-US" w:eastAsia="en-US" w:bidi="ar-SA"/>
      </w:rPr>
    </w:lvl>
    <w:lvl w:ilvl="2">
      <w:start w:val="0"/>
      <w:numFmt w:val="bullet"/>
      <w:lvlText w:val="•"/>
      <w:lvlJc w:val="left"/>
      <w:pPr>
        <w:ind w:left="3525" w:hanging="360"/>
      </w:pPr>
      <w:rPr>
        <w:rFonts w:hint="default"/>
        <w:lang w:val="en-US" w:eastAsia="en-US" w:bidi="ar-SA"/>
      </w:rPr>
    </w:lvl>
    <w:lvl w:ilvl="3">
      <w:start w:val="0"/>
      <w:numFmt w:val="bullet"/>
      <w:lvlText w:val="•"/>
      <w:lvlJc w:val="left"/>
      <w:pPr>
        <w:ind w:left="4508" w:hanging="360"/>
      </w:pPr>
      <w:rPr>
        <w:rFonts w:hint="default"/>
        <w:lang w:val="en-US" w:eastAsia="en-US" w:bidi="ar-SA"/>
      </w:rPr>
    </w:lvl>
    <w:lvl w:ilvl="4">
      <w:start w:val="0"/>
      <w:numFmt w:val="bullet"/>
      <w:lvlText w:val="•"/>
      <w:lvlJc w:val="left"/>
      <w:pPr>
        <w:ind w:left="5491" w:hanging="360"/>
      </w:pPr>
      <w:rPr>
        <w:rFonts w:hint="default"/>
        <w:lang w:val="en-US" w:eastAsia="en-US" w:bidi="ar-SA"/>
      </w:rPr>
    </w:lvl>
    <w:lvl w:ilvl="5">
      <w:start w:val="0"/>
      <w:numFmt w:val="bullet"/>
      <w:lvlText w:val="•"/>
      <w:lvlJc w:val="left"/>
      <w:pPr>
        <w:ind w:left="6474" w:hanging="360"/>
      </w:pPr>
      <w:rPr>
        <w:rFonts w:hint="default"/>
        <w:lang w:val="en-US" w:eastAsia="en-US" w:bidi="ar-SA"/>
      </w:rPr>
    </w:lvl>
    <w:lvl w:ilvl="6">
      <w:start w:val="0"/>
      <w:numFmt w:val="bullet"/>
      <w:lvlText w:val="•"/>
      <w:lvlJc w:val="left"/>
      <w:pPr>
        <w:ind w:left="7457" w:hanging="360"/>
      </w:pPr>
      <w:rPr>
        <w:rFonts w:hint="default"/>
        <w:lang w:val="en-US" w:eastAsia="en-US" w:bidi="ar-SA"/>
      </w:rPr>
    </w:lvl>
    <w:lvl w:ilvl="7">
      <w:start w:val="0"/>
      <w:numFmt w:val="bullet"/>
      <w:lvlText w:val="•"/>
      <w:lvlJc w:val="left"/>
      <w:pPr>
        <w:ind w:left="8440" w:hanging="360"/>
      </w:pPr>
      <w:rPr>
        <w:rFonts w:hint="default"/>
        <w:lang w:val="en-US" w:eastAsia="en-US" w:bidi="ar-SA"/>
      </w:rPr>
    </w:lvl>
    <w:lvl w:ilvl="8">
      <w:start w:val="0"/>
      <w:numFmt w:val="bullet"/>
      <w:lvlText w:val="•"/>
      <w:lvlJc w:val="left"/>
      <w:pPr>
        <w:ind w:left="9423" w:hanging="360"/>
      </w:pPr>
      <w:rPr>
        <w:rFonts w:hint="default"/>
        <w:lang w:val="en-US" w:eastAsia="en-US" w:bidi="ar-SA"/>
      </w:rPr>
    </w:lvl>
  </w:abstractNum>
  <w:abstractNum w:abstractNumId="23">
    <w:multiLevelType w:val="hybridMultilevel"/>
    <w:lvl w:ilvl="0">
      <w:start w:val="0"/>
      <w:numFmt w:val="bullet"/>
      <w:lvlText w:val=""/>
      <w:lvlJc w:val="left"/>
      <w:pPr>
        <w:ind w:left="1540"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524" w:hanging="360"/>
      </w:pPr>
      <w:rPr>
        <w:rFonts w:hint="default"/>
        <w:lang w:val="en-US" w:eastAsia="en-US" w:bidi="ar-SA"/>
      </w:rPr>
    </w:lvl>
    <w:lvl w:ilvl="2">
      <w:start w:val="0"/>
      <w:numFmt w:val="bullet"/>
      <w:lvlText w:val="•"/>
      <w:lvlJc w:val="left"/>
      <w:pPr>
        <w:ind w:left="3509" w:hanging="360"/>
      </w:pPr>
      <w:rPr>
        <w:rFonts w:hint="default"/>
        <w:lang w:val="en-US" w:eastAsia="en-US" w:bidi="ar-SA"/>
      </w:rPr>
    </w:lvl>
    <w:lvl w:ilvl="3">
      <w:start w:val="0"/>
      <w:numFmt w:val="bullet"/>
      <w:lvlText w:val="•"/>
      <w:lvlJc w:val="left"/>
      <w:pPr>
        <w:ind w:left="4494" w:hanging="360"/>
      </w:pPr>
      <w:rPr>
        <w:rFonts w:hint="default"/>
        <w:lang w:val="en-US" w:eastAsia="en-US" w:bidi="ar-SA"/>
      </w:rPr>
    </w:lvl>
    <w:lvl w:ilvl="4">
      <w:start w:val="0"/>
      <w:numFmt w:val="bullet"/>
      <w:lvlText w:val="•"/>
      <w:lvlJc w:val="left"/>
      <w:pPr>
        <w:ind w:left="5479" w:hanging="360"/>
      </w:pPr>
      <w:rPr>
        <w:rFonts w:hint="default"/>
        <w:lang w:val="en-US" w:eastAsia="en-US" w:bidi="ar-SA"/>
      </w:rPr>
    </w:lvl>
    <w:lvl w:ilvl="5">
      <w:start w:val="0"/>
      <w:numFmt w:val="bullet"/>
      <w:lvlText w:val="•"/>
      <w:lvlJc w:val="left"/>
      <w:pPr>
        <w:ind w:left="6464" w:hanging="360"/>
      </w:pPr>
      <w:rPr>
        <w:rFonts w:hint="default"/>
        <w:lang w:val="en-US" w:eastAsia="en-US" w:bidi="ar-SA"/>
      </w:rPr>
    </w:lvl>
    <w:lvl w:ilvl="6">
      <w:start w:val="0"/>
      <w:numFmt w:val="bullet"/>
      <w:lvlText w:val="•"/>
      <w:lvlJc w:val="left"/>
      <w:pPr>
        <w:ind w:left="7449" w:hanging="360"/>
      </w:pPr>
      <w:rPr>
        <w:rFonts w:hint="default"/>
        <w:lang w:val="en-US" w:eastAsia="en-US" w:bidi="ar-SA"/>
      </w:rPr>
    </w:lvl>
    <w:lvl w:ilvl="7">
      <w:start w:val="0"/>
      <w:numFmt w:val="bullet"/>
      <w:lvlText w:val="•"/>
      <w:lvlJc w:val="left"/>
      <w:pPr>
        <w:ind w:left="8434" w:hanging="360"/>
      </w:pPr>
      <w:rPr>
        <w:rFonts w:hint="default"/>
        <w:lang w:val="en-US" w:eastAsia="en-US" w:bidi="ar-SA"/>
      </w:rPr>
    </w:lvl>
    <w:lvl w:ilvl="8">
      <w:start w:val="0"/>
      <w:numFmt w:val="bullet"/>
      <w:lvlText w:val="•"/>
      <w:lvlJc w:val="left"/>
      <w:pPr>
        <w:ind w:left="9419" w:hanging="360"/>
      </w:pPr>
      <w:rPr>
        <w:rFonts w:hint="default"/>
        <w:lang w:val="en-US" w:eastAsia="en-US" w:bidi="ar-SA"/>
      </w:rPr>
    </w:lvl>
  </w:abstractNum>
  <w:abstractNum w:abstractNumId="22">
    <w:multiLevelType w:val="hybridMultilevel"/>
    <w:lvl w:ilvl="0">
      <w:start w:val="0"/>
      <w:numFmt w:val="bullet"/>
      <w:lvlText w:val=""/>
      <w:lvlJc w:val="left"/>
      <w:pPr>
        <w:ind w:left="1540"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2524" w:hanging="360"/>
      </w:pPr>
      <w:rPr>
        <w:rFonts w:hint="default"/>
        <w:lang w:val="en-US" w:eastAsia="en-US" w:bidi="ar-SA"/>
      </w:rPr>
    </w:lvl>
    <w:lvl w:ilvl="2">
      <w:start w:val="0"/>
      <w:numFmt w:val="bullet"/>
      <w:lvlText w:val="•"/>
      <w:lvlJc w:val="left"/>
      <w:pPr>
        <w:ind w:left="3509" w:hanging="360"/>
      </w:pPr>
      <w:rPr>
        <w:rFonts w:hint="default"/>
        <w:lang w:val="en-US" w:eastAsia="en-US" w:bidi="ar-SA"/>
      </w:rPr>
    </w:lvl>
    <w:lvl w:ilvl="3">
      <w:start w:val="0"/>
      <w:numFmt w:val="bullet"/>
      <w:lvlText w:val="•"/>
      <w:lvlJc w:val="left"/>
      <w:pPr>
        <w:ind w:left="4494" w:hanging="360"/>
      </w:pPr>
      <w:rPr>
        <w:rFonts w:hint="default"/>
        <w:lang w:val="en-US" w:eastAsia="en-US" w:bidi="ar-SA"/>
      </w:rPr>
    </w:lvl>
    <w:lvl w:ilvl="4">
      <w:start w:val="0"/>
      <w:numFmt w:val="bullet"/>
      <w:lvlText w:val="•"/>
      <w:lvlJc w:val="left"/>
      <w:pPr>
        <w:ind w:left="5479" w:hanging="360"/>
      </w:pPr>
      <w:rPr>
        <w:rFonts w:hint="default"/>
        <w:lang w:val="en-US" w:eastAsia="en-US" w:bidi="ar-SA"/>
      </w:rPr>
    </w:lvl>
    <w:lvl w:ilvl="5">
      <w:start w:val="0"/>
      <w:numFmt w:val="bullet"/>
      <w:lvlText w:val="•"/>
      <w:lvlJc w:val="left"/>
      <w:pPr>
        <w:ind w:left="6464" w:hanging="360"/>
      </w:pPr>
      <w:rPr>
        <w:rFonts w:hint="default"/>
        <w:lang w:val="en-US" w:eastAsia="en-US" w:bidi="ar-SA"/>
      </w:rPr>
    </w:lvl>
    <w:lvl w:ilvl="6">
      <w:start w:val="0"/>
      <w:numFmt w:val="bullet"/>
      <w:lvlText w:val="•"/>
      <w:lvlJc w:val="left"/>
      <w:pPr>
        <w:ind w:left="7449" w:hanging="360"/>
      </w:pPr>
      <w:rPr>
        <w:rFonts w:hint="default"/>
        <w:lang w:val="en-US" w:eastAsia="en-US" w:bidi="ar-SA"/>
      </w:rPr>
    </w:lvl>
    <w:lvl w:ilvl="7">
      <w:start w:val="0"/>
      <w:numFmt w:val="bullet"/>
      <w:lvlText w:val="•"/>
      <w:lvlJc w:val="left"/>
      <w:pPr>
        <w:ind w:left="8434" w:hanging="360"/>
      </w:pPr>
      <w:rPr>
        <w:rFonts w:hint="default"/>
        <w:lang w:val="en-US" w:eastAsia="en-US" w:bidi="ar-SA"/>
      </w:rPr>
    </w:lvl>
    <w:lvl w:ilvl="8">
      <w:start w:val="0"/>
      <w:numFmt w:val="bullet"/>
      <w:lvlText w:val="•"/>
      <w:lvlJc w:val="left"/>
      <w:pPr>
        <w:ind w:left="9419" w:hanging="360"/>
      </w:pPr>
      <w:rPr>
        <w:rFonts w:hint="default"/>
        <w:lang w:val="en-US" w:eastAsia="en-US" w:bidi="ar-SA"/>
      </w:rPr>
    </w:lvl>
  </w:abstractNum>
  <w:abstractNum w:abstractNumId="21">
    <w:multiLevelType w:val="hybridMultilevel"/>
    <w:lvl w:ilvl="0">
      <w:start w:val="0"/>
      <w:numFmt w:val="bullet"/>
      <w:lvlText w:val=""/>
      <w:lvlJc w:val="left"/>
      <w:pPr>
        <w:ind w:left="360"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1168" w:hanging="360"/>
      </w:pPr>
      <w:rPr>
        <w:rFonts w:hint="default"/>
        <w:lang w:val="en-US" w:eastAsia="en-US" w:bidi="ar-SA"/>
      </w:rPr>
    </w:lvl>
    <w:lvl w:ilvl="2">
      <w:start w:val="0"/>
      <w:numFmt w:val="bullet"/>
      <w:lvlText w:val="•"/>
      <w:lvlJc w:val="left"/>
      <w:pPr>
        <w:ind w:left="1976" w:hanging="360"/>
      </w:pPr>
      <w:rPr>
        <w:rFonts w:hint="default"/>
        <w:lang w:val="en-US" w:eastAsia="en-US" w:bidi="ar-SA"/>
      </w:rPr>
    </w:lvl>
    <w:lvl w:ilvl="3">
      <w:start w:val="0"/>
      <w:numFmt w:val="bullet"/>
      <w:lvlText w:val="•"/>
      <w:lvlJc w:val="left"/>
      <w:pPr>
        <w:ind w:left="2785" w:hanging="360"/>
      </w:pPr>
      <w:rPr>
        <w:rFonts w:hint="default"/>
        <w:lang w:val="en-US" w:eastAsia="en-US" w:bidi="ar-SA"/>
      </w:rPr>
    </w:lvl>
    <w:lvl w:ilvl="4">
      <w:start w:val="0"/>
      <w:numFmt w:val="bullet"/>
      <w:lvlText w:val="•"/>
      <w:lvlJc w:val="left"/>
      <w:pPr>
        <w:ind w:left="3593" w:hanging="360"/>
      </w:pPr>
      <w:rPr>
        <w:rFonts w:hint="default"/>
        <w:lang w:val="en-US" w:eastAsia="en-US" w:bidi="ar-SA"/>
      </w:rPr>
    </w:lvl>
    <w:lvl w:ilvl="5">
      <w:start w:val="0"/>
      <w:numFmt w:val="bullet"/>
      <w:lvlText w:val="•"/>
      <w:lvlJc w:val="left"/>
      <w:pPr>
        <w:ind w:left="4401" w:hanging="360"/>
      </w:pPr>
      <w:rPr>
        <w:rFonts w:hint="default"/>
        <w:lang w:val="en-US" w:eastAsia="en-US" w:bidi="ar-SA"/>
      </w:rPr>
    </w:lvl>
    <w:lvl w:ilvl="6">
      <w:start w:val="0"/>
      <w:numFmt w:val="bullet"/>
      <w:lvlText w:val="•"/>
      <w:lvlJc w:val="left"/>
      <w:pPr>
        <w:ind w:left="5210" w:hanging="360"/>
      </w:pPr>
      <w:rPr>
        <w:rFonts w:hint="default"/>
        <w:lang w:val="en-US" w:eastAsia="en-US" w:bidi="ar-SA"/>
      </w:rPr>
    </w:lvl>
    <w:lvl w:ilvl="7">
      <w:start w:val="0"/>
      <w:numFmt w:val="bullet"/>
      <w:lvlText w:val="•"/>
      <w:lvlJc w:val="left"/>
      <w:pPr>
        <w:ind w:left="6018" w:hanging="360"/>
      </w:pPr>
      <w:rPr>
        <w:rFonts w:hint="default"/>
        <w:lang w:val="en-US" w:eastAsia="en-US" w:bidi="ar-SA"/>
      </w:rPr>
    </w:lvl>
    <w:lvl w:ilvl="8">
      <w:start w:val="0"/>
      <w:numFmt w:val="bullet"/>
      <w:lvlText w:val="•"/>
      <w:lvlJc w:val="left"/>
      <w:pPr>
        <w:ind w:left="6826" w:hanging="360"/>
      </w:pPr>
      <w:rPr>
        <w:rFonts w:hint="default"/>
        <w:lang w:val="en-US" w:eastAsia="en-US" w:bidi="ar-SA"/>
      </w:rPr>
    </w:lvl>
  </w:abstractNum>
  <w:abstractNum w:abstractNumId="20">
    <w:multiLevelType w:val="hybridMultilevel"/>
    <w:lvl w:ilvl="0">
      <w:start w:val="0"/>
      <w:numFmt w:val="bullet"/>
      <w:lvlText w:val=""/>
      <w:lvlJc w:val="left"/>
      <w:pPr>
        <w:ind w:left="360"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1168" w:hanging="360"/>
      </w:pPr>
      <w:rPr>
        <w:rFonts w:hint="default"/>
        <w:lang w:val="en-US" w:eastAsia="en-US" w:bidi="ar-SA"/>
      </w:rPr>
    </w:lvl>
    <w:lvl w:ilvl="2">
      <w:start w:val="0"/>
      <w:numFmt w:val="bullet"/>
      <w:lvlText w:val="•"/>
      <w:lvlJc w:val="left"/>
      <w:pPr>
        <w:ind w:left="1976" w:hanging="360"/>
      </w:pPr>
      <w:rPr>
        <w:rFonts w:hint="default"/>
        <w:lang w:val="en-US" w:eastAsia="en-US" w:bidi="ar-SA"/>
      </w:rPr>
    </w:lvl>
    <w:lvl w:ilvl="3">
      <w:start w:val="0"/>
      <w:numFmt w:val="bullet"/>
      <w:lvlText w:val="•"/>
      <w:lvlJc w:val="left"/>
      <w:pPr>
        <w:ind w:left="2784" w:hanging="360"/>
      </w:pPr>
      <w:rPr>
        <w:rFonts w:hint="default"/>
        <w:lang w:val="en-US" w:eastAsia="en-US" w:bidi="ar-SA"/>
      </w:rPr>
    </w:lvl>
    <w:lvl w:ilvl="4">
      <w:start w:val="0"/>
      <w:numFmt w:val="bullet"/>
      <w:lvlText w:val="•"/>
      <w:lvlJc w:val="left"/>
      <w:pPr>
        <w:ind w:left="3592" w:hanging="360"/>
      </w:pPr>
      <w:rPr>
        <w:rFonts w:hint="default"/>
        <w:lang w:val="en-US" w:eastAsia="en-US" w:bidi="ar-SA"/>
      </w:rPr>
    </w:lvl>
    <w:lvl w:ilvl="5">
      <w:start w:val="0"/>
      <w:numFmt w:val="bullet"/>
      <w:lvlText w:val="•"/>
      <w:lvlJc w:val="left"/>
      <w:pPr>
        <w:ind w:left="4400" w:hanging="360"/>
      </w:pPr>
      <w:rPr>
        <w:rFonts w:hint="default"/>
        <w:lang w:val="en-US" w:eastAsia="en-US" w:bidi="ar-SA"/>
      </w:rPr>
    </w:lvl>
    <w:lvl w:ilvl="6">
      <w:start w:val="0"/>
      <w:numFmt w:val="bullet"/>
      <w:lvlText w:val="•"/>
      <w:lvlJc w:val="left"/>
      <w:pPr>
        <w:ind w:left="5208" w:hanging="360"/>
      </w:pPr>
      <w:rPr>
        <w:rFonts w:hint="default"/>
        <w:lang w:val="en-US" w:eastAsia="en-US" w:bidi="ar-SA"/>
      </w:rPr>
    </w:lvl>
    <w:lvl w:ilvl="7">
      <w:start w:val="0"/>
      <w:numFmt w:val="bullet"/>
      <w:lvlText w:val="•"/>
      <w:lvlJc w:val="left"/>
      <w:pPr>
        <w:ind w:left="6016" w:hanging="360"/>
      </w:pPr>
      <w:rPr>
        <w:rFonts w:hint="default"/>
        <w:lang w:val="en-US" w:eastAsia="en-US" w:bidi="ar-SA"/>
      </w:rPr>
    </w:lvl>
    <w:lvl w:ilvl="8">
      <w:start w:val="0"/>
      <w:numFmt w:val="bullet"/>
      <w:lvlText w:val="•"/>
      <w:lvlJc w:val="left"/>
      <w:pPr>
        <w:ind w:left="6824" w:hanging="360"/>
      </w:pPr>
      <w:rPr>
        <w:rFonts w:hint="default"/>
        <w:lang w:val="en-US" w:eastAsia="en-US" w:bidi="ar-SA"/>
      </w:rPr>
    </w:lvl>
  </w:abstractNum>
  <w:abstractNum w:abstractNumId="19">
    <w:multiLevelType w:val="hybridMultilevel"/>
    <w:lvl w:ilvl="0">
      <w:start w:val="0"/>
      <w:numFmt w:val="bullet"/>
      <w:lvlText w:val=""/>
      <w:lvlJc w:val="left"/>
      <w:pPr>
        <w:ind w:left="360"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1167" w:hanging="360"/>
      </w:pPr>
      <w:rPr>
        <w:rFonts w:hint="default"/>
        <w:lang w:val="en-US" w:eastAsia="en-US" w:bidi="ar-SA"/>
      </w:rPr>
    </w:lvl>
    <w:lvl w:ilvl="2">
      <w:start w:val="0"/>
      <w:numFmt w:val="bullet"/>
      <w:lvlText w:val="•"/>
      <w:lvlJc w:val="left"/>
      <w:pPr>
        <w:ind w:left="1975" w:hanging="360"/>
      </w:pPr>
      <w:rPr>
        <w:rFonts w:hint="default"/>
        <w:lang w:val="en-US" w:eastAsia="en-US" w:bidi="ar-SA"/>
      </w:rPr>
    </w:lvl>
    <w:lvl w:ilvl="3">
      <w:start w:val="0"/>
      <w:numFmt w:val="bullet"/>
      <w:lvlText w:val="•"/>
      <w:lvlJc w:val="left"/>
      <w:pPr>
        <w:ind w:left="2783" w:hanging="360"/>
      </w:pPr>
      <w:rPr>
        <w:rFonts w:hint="default"/>
        <w:lang w:val="en-US" w:eastAsia="en-US" w:bidi="ar-SA"/>
      </w:rPr>
    </w:lvl>
    <w:lvl w:ilvl="4">
      <w:start w:val="0"/>
      <w:numFmt w:val="bullet"/>
      <w:lvlText w:val="•"/>
      <w:lvlJc w:val="left"/>
      <w:pPr>
        <w:ind w:left="3591" w:hanging="360"/>
      </w:pPr>
      <w:rPr>
        <w:rFonts w:hint="default"/>
        <w:lang w:val="en-US" w:eastAsia="en-US" w:bidi="ar-SA"/>
      </w:rPr>
    </w:lvl>
    <w:lvl w:ilvl="5">
      <w:start w:val="0"/>
      <w:numFmt w:val="bullet"/>
      <w:lvlText w:val="•"/>
      <w:lvlJc w:val="left"/>
      <w:pPr>
        <w:ind w:left="4399" w:hanging="360"/>
      </w:pPr>
      <w:rPr>
        <w:rFonts w:hint="default"/>
        <w:lang w:val="en-US" w:eastAsia="en-US" w:bidi="ar-SA"/>
      </w:rPr>
    </w:lvl>
    <w:lvl w:ilvl="6">
      <w:start w:val="0"/>
      <w:numFmt w:val="bullet"/>
      <w:lvlText w:val="•"/>
      <w:lvlJc w:val="left"/>
      <w:pPr>
        <w:ind w:left="5207" w:hanging="360"/>
      </w:pPr>
      <w:rPr>
        <w:rFonts w:hint="default"/>
        <w:lang w:val="en-US" w:eastAsia="en-US" w:bidi="ar-SA"/>
      </w:rPr>
    </w:lvl>
    <w:lvl w:ilvl="7">
      <w:start w:val="0"/>
      <w:numFmt w:val="bullet"/>
      <w:lvlText w:val="•"/>
      <w:lvlJc w:val="left"/>
      <w:pPr>
        <w:ind w:left="6015" w:hanging="360"/>
      </w:pPr>
      <w:rPr>
        <w:rFonts w:hint="default"/>
        <w:lang w:val="en-US" w:eastAsia="en-US" w:bidi="ar-SA"/>
      </w:rPr>
    </w:lvl>
    <w:lvl w:ilvl="8">
      <w:start w:val="0"/>
      <w:numFmt w:val="bullet"/>
      <w:lvlText w:val="•"/>
      <w:lvlJc w:val="left"/>
      <w:pPr>
        <w:ind w:left="6823" w:hanging="360"/>
      </w:pPr>
      <w:rPr>
        <w:rFonts w:hint="default"/>
        <w:lang w:val="en-US" w:eastAsia="en-US" w:bidi="ar-SA"/>
      </w:rPr>
    </w:lvl>
  </w:abstractNum>
  <w:abstractNum w:abstractNumId="18">
    <w:multiLevelType w:val="hybridMultilevel"/>
    <w:lvl w:ilvl="0">
      <w:start w:val="0"/>
      <w:numFmt w:val="bullet"/>
      <w:lvlText w:val=""/>
      <w:lvlJc w:val="left"/>
      <w:pPr>
        <w:ind w:left="360"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1167" w:hanging="360"/>
      </w:pPr>
      <w:rPr>
        <w:rFonts w:hint="default"/>
        <w:lang w:val="en-US" w:eastAsia="en-US" w:bidi="ar-SA"/>
      </w:rPr>
    </w:lvl>
    <w:lvl w:ilvl="2">
      <w:start w:val="0"/>
      <w:numFmt w:val="bullet"/>
      <w:lvlText w:val="•"/>
      <w:lvlJc w:val="left"/>
      <w:pPr>
        <w:ind w:left="1975" w:hanging="360"/>
      </w:pPr>
      <w:rPr>
        <w:rFonts w:hint="default"/>
        <w:lang w:val="en-US" w:eastAsia="en-US" w:bidi="ar-SA"/>
      </w:rPr>
    </w:lvl>
    <w:lvl w:ilvl="3">
      <w:start w:val="0"/>
      <w:numFmt w:val="bullet"/>
      <w:lvlText w:val="•"/>
      <w:lvlJc w:val="left"/>
      <w:pPr>
        <w:ind w:left="2783" w:hanging="360"/>
      </w:pPr>
      <w:rPr>
        <w:rFonts w:hint="default"/>
        <w:lang w:val="en-US" w:eastAsia="en-US" w:bidi="ar-SA"/>
      </w:rPr>
    </w:lvl>
    <w:lvl w:ilvl="4">
      <w:start w:val="0"/>
      <w:numFmt w:val="bullet"/>
      <w:lvlText w:val="•"/>
      <w:lvlJc w:val="left"/>
      <w:pPr>
        <w:ind w:left="3591" w:hanging="360"/>
      </w:pPr>
      <w:rPr>
        <w:rFonts w:hint="default"/>
        <w:lang w:val="en-US" w:eastAsia="en-US" w:bidi="ar-SA"/>
      </w:rPr>
    </w:lvl>
    <w:lvl w:ilvl="5">
      <w:start w:val="0"/>
      <w:numFmt w:val="bullet"/>
      <w:lvlText w:val="•"/>
      <w:lvlJc w:val="left"/>
      <w:pPr>
        <w:ind w:left="4399" w:hanging="360"/>
      </w:pPr>
      <w:rPr>
        <w:rFonts w:hint="default"/>
        <w:lang w:val="en-US" w:eastAsia="en-US" w:bidi="ar-SA"/>
      </w:rPr>
    </w:lvl>
    <w:lvl w:ilvl="6">
      <w:start w:val="0"/>
      <w:numFmt w:val="bullet"/>
      <w:lvlText w:val="•"/>
      <w:lvlJc w:val="left"/>
      <w:pPr>
        <w:ind w:left="5207" w:hanging="360"/>
      </w:pPr>
      <w:rPr>
        <w:rFonts w:hint="default"/>
        <w:lang w:val="en-US" w:eastAsia="en-US" w:bidi="ar-SA"/>
      </w:rPr>
    </w:lvl>
    <w:lvl w:ilvl="7">
      <w:start w:val="0"/>
      <w:numFmt w:val="bullet"/>
      <w:lvlText w:val="•"/>
      <w:lvlJc w:val="left"/>
      <w:pPr>
        <w:ind w:left="6014" w:hanging="360"/>
      </w:pPr>
      <w:rPr>
        <w:rFonts w:hint="default"/>
        <w:lang w:val="en-US" w:eastAsia="en-US" w:bidi="ar-SA"/>
      </w:rPr>
    </w:lvl>
    <w:lvl w:ilvl="8">
      <w:start w:val="0"/>
      <w:numFmt w:val="bullet"/>
      <w:lvlText w:val="•"/>
      <w:lvlJc w:val="left"/>
      <w:pPr>
        <w:ind w:left="6822" w:hanging="360"/>
      </w:pPr>
      <w:rPr>
        <w:rFonts w:hint="default"/>
        <w:lang w:val="en-US" w:eastAsia="en-US" w:bidi="ar-SA"/>
      </w:rPr>
    </w:lvl>
  </w:abstractNum>
  <w:abstractNum w:abstractNumId="17">
    <w:multiLevelType w:val="hybridMultilevel"/>
    <w:lvl w:ilvl="0">
      <w:start w:val="0"/>
      <w:numFmt w:val="bullet"/>
      <w:lvlText w:val=""/>
      <w:lvlJc w:val="left"/>
      <w:pPr>
        <w:ind w:left="360"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1168" w:hanging="360"/>
      </w:pPr>
      <w:rPr>
        <w:rFonts w:hint="default"/>
        <w:lang w:val="en-US" w:eastAsia="en-US" w:bidi="ar-SA"/>
      </w:rPr>
    </w:lvl>
    <w:lvl w:ilvl="2">
      <w:start w:val="0"/>
      <w:numFmt w:val="bullet"/>
      <w:lvlText w:val="•"/>
      <w:lvlJc w:val="left"/>
      <w:pPr>
        <w:ind w:left="1976" w:hanging="360"/>
      </w:pPr>
      <w:rPr>
        <w:rFonts w:hint="default"/>
        <w:lang w:val="en-US" w:eastAsia="en-US" w:bidi="ar-SA"/>
      </w:rPr>
    </w:lvl>
    <w:lvl w:ilvl="3">
      <w:start w:val="0"/>
      <w:numFmt w:val="bullet"/>
      <w:lvlText w:val="•"/>
      <w:lvlJc w:val="left"/>
      <w:pPr>
        <w:ind w:left="2784" w:hanging="360"/>
      </w:pPr>
      <w:rPr>
        <w:rFonts w:hint="default"/>
        <w:lang w:val="en-US" w:eastAsia="en-US" w:bidi="ar-SA"/>
      </w:rPr>
    </w:lvl>
    <w:lvl w:ilvl="4">
      <w:start w:val="0"/>
      <w:numFmt w:val="bullet"/>
      <w:lvlText w:val="•"/>
      <w:lvlJc w:val="left"/>
      <w:pPr>
        <w:ind w:left="3593" w:hanging="360"/>
      </w:pPr>
      <w:rPr>
        <w:rFonts w:hint="default"/>
        <w:lang w:val="en-US" w:eastAsia="en-US" w:bidi="ar-SA"/>
      </w:rPr>
    </w:lvl>
    <w:lvl w:ilvl="5">
      <w:start w:val="0"/>
      <w:numFmt w:val="bullet"/>
      <w:lvlText w:val="•"/>
      <w:lvlJc w:val="left"/>
      <w:pPr>
        <w:ind w:left="4401" w:hanging="360"/>
      </w:pPr>
      <w:rPr>
        <w:rFonts w:hint="default"/>
        <w:lang w:val="en-US" w:eastAsia="en-US" w:bidi="ar-SA"/>
      </w:rPr>
    </w:lvl>
    <w:lvl w:ilvl="6">
      <w:start w:val="0"/>
      <w:numFmt w:val="bullet"/>
      <w:lvlText w:val="•"/>
      <w:lvlJc w:val="left"/>
      <w:pPr>
        <w:ind w:left="5209" w:hanging="360"/>
      </w:pPr>
      <w:rPr>
        <w:rFonts w:hint="default"/>
        <w:lang w:val="en-US" w:eastAsia="en-US" w:bidi="ar-SA"/>
      </w:rPr>
    </w:lvl>
    <w:lvl w:ilvl="7">
      <w:start w:val="0"/>
      <w:numFmt w:val="bullet"/>
      <w:lvlText w:val="•"/>
      <w:lvlJc w:val="left"/>
      <w:pPr>
        <w:ind w:left="6018" w:hanging="360"/>
      </w:pPr>
      <w:rPr>
        <w:rFonts w:hint="default"/>
        <w:lang w:val="en-US" w:eastAsia="en-US" w:bidi="ar-SA"/>
      </w:rPr>
    </w:lvl>
    <w:lvl w:ilvl="8">
      <w:start w:val="0"/>
      <w:numFmt w:val="bullet"/>
      <w:lvlText w:val="•"/>
      <w:lvlJc w:val="left"/>
      <w:pPr>
        <w:ind w:left="6826" w:hanging="360"/>
      </w:pPr>
      <w:rPr>
        <w:rFonts w:hint="default"/>
        <w:lang w:val="en-US" w:eastAsia="en-US" w:bidi="ar-SA"/>
      </w:rPr>
    </w:lvl>
  </w:abstractNum>
  <w:abstractNum w:abstractNumId="16">
    <w:multiLevelType w:val="hybridMultilevel"/>
    <w:lvl w:ilvl="0">
      <w:start w:val="0"/>
      <w:numFmt w:val="bullet"/>
      <w:lvlText w:val=""/>
      <w:lvlJc w:val="left"/>
      <w:pPr>
        <w:ind w:left="360"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1168" w:hanging="360"/>
      </w:pPr>
      <w:rPr>
        <w:rFonts w:hint="default"/>
        <w:lang w:val="en-US" w:eastAsia="en-US" w:bidi="ar-SA"/>
      </w:rPr>
    </w:lvl>
    <w:lvl w:ilvl="2">
      <w:start w:val="0"/>
      <w:numFmt w:val="bullet"/>
      <w:lvlText w:val="•"/>
      <w:lvlJc w:val="left"/>
      <w:pPr>
        <w:ind w:left="1976" w:hanging="360"/>
      </w:pPr>
      <w:rPr>
        <w:rFonts w:hint="default"/>
        <w:lang w:val="en-US" w:eastAsia="en-US" w:bidi="ar-SA"/>
      </w:rPr>
    </w:lvl>
    <w:lvl w:ilvl="3">
      <w:start w:val="0"/>
      <w:numFmt w:val="bullet"/>
      <w:lvlText w:val="•"/>
      <w:lvlJc w:val="left"/>
      <w:pPr>
        <w:ind w:left="2785" w:hanging="360"/>
      </w:pPr>
      <w:rPr>
        <w:rFonts w:hint="default"/>
        <w:lang w:val="en-US" w:eastAsia="en-US" w:bidi="ar-SA"/>
      </w:rPr>
    </w:lvl>
    <w:lvl w:ilvl="4">
      <w:start w:val="0"/>
      <w:numFmt w:val="bullet"/>
      <w:lvlText w:val="•"/>
      <w:lvlJc w:val="left"/>
      <w:pPr>
        <w:ind w:left="3593" w:hanging="360"/>
      </w:pPr>
      <w:rPr>
        <w:rFonts w:hint="default"/>
        <w:lang w:val="en-US" w:eastAsia="en-US" w:bidi="ar-SA"/>
      </w:rPr>
    </w:lvl>
    <w:lvl w:ilvl="5">
      <w:start w:val="0"/>
      <w:numFmt w:val="bullet"/>
      <w:lvlText w:val="•"/>
      <w:lvlJc w:val="left"/>
      <w:pPr>
        <w:ind w:left="4401" w:hanging="360"/>
      </w:pPr>
      <w:rPr>
        <w:rFonts w:hint="default"/>
        <w:lang w:val="en-US" w:eastAsia="en-US" w:bidi="ar-SA"/>
      </w:rPr>
    </w:lvl>
    <w:lvl w:ilvl="6">
      <w:start w:val="0"/>
      <w:numFmt w:val="bullet"/>
      <w:lvlText w:val="•"/>
      <w:lvlJc w:val="left"/>
      <w:pPr>
        <w:ind w:left="5210" w:hanging="360"/>
      </w:pPr>
      <w:rPr>
        <w:rFonts w:hint="default"/>
        <w:lang w:val="en-US" w:eastAsia="en-US" w:bidi="ar-SA"/>
      </w:rPr>
    </w:lvl>
    <w:lvl w:ilvl="7">
      <w:start w:val="0"/>
      <w:numFmt w:val="bullet"/>
      <w:lvlText w:val="•"/>
      <w:lvlJc w:val="left"/>
      <w:pPr>
        <w:ind w:left="6018" w:hanging="360"/>
      </w:pPr>
      <w:rPr>
        <w:rFonts w:hint="default"/>
        <w:lang w:val="en-US" w:eastAsia="en-US" w:bidi="ar-SA"/>
      </w:rPr>
    </w:lvl>
    <w:lvl w:ilvl="8">
      <w:start w:val="0"/>
      <w:numFmt w:val="bullet"/>
      <w:lvlText w:val="•"/>
      <w:lvlJc w:val="left"/>
      <w:pPr>
        <w:ind w:left="6826" w:hanging="360"/>
      </w:pPr>
      <w:rPr>
        <w:rFonts w:hint="default"/>
        <w:lang w:val="en-US" w:eastAsia="en-US" w:bidi="ar-SA"/>
      </w:rPr>
    </w:lvl>
  </w:abstractNum>
  <w:abstractNum w:abstractNumId="15">
    <w:multiLevelType w:val="hybridMultilevel"/>
    <w:lvl w:ilvl="0">
      <w:start w:val="0"/>
      <w:numFmt w:val="bullet"/>
      <w:lvlText w:val=""/>
      <w:lvlJc w:val="left"/>
      <w:pPr>
        <w:ind w:left="360" w:hanging="360"/>
      </w:pPr>
      <w:rPr>
        <w:rFonts w:hint="default" w:ascii="Wingdings" w:hAnsi="Wingdings" w:eastAsia="Wingdings" w:cs="Wingdings"/>
        <w:w w:val="100"/>
        <w:sz w:val="22"/>
        <w:szCs w:val="22"/>
        <w:lang w:val="en-US" w:eastAsia="en-US" w:bidi="ar-SA"/>
      </w:rPr>
    </w:lvl>
    <w:lvl w:ilvl="1">
      <w:start w:val="0"/>
      <w:numFmt w:val="bullet"/>
      <w:lvlText w:val="•"/>
      <w:lvlJc w:val="left"/>
      <w:pPr>
        <w:ind w:left="1167" w:hanging="360"/>
      </w:pPr>
      <w:rPr>
        <w:rFonts w:hint="default"/>
        <w:lang w:val="en-US" w:eastAsia="en-US" w:bidi="ar-SA"/>
      </w:rPr>
    </w:lvl>
    <w:lvl w:ilvl="2">
      <w:start w:val="0"/>
      <w:numFmt w:val="bullet"/>
      <w:lvlText w:val="•"/>
      <w:lvlJc w:val="left"/>
      <w:pPr>
        <w:ind w:left="1975" w:hanging="360"/>
      </w:pPr>
      <w:rPr>
        <w:rFonts w:hint="default"/>
        <w:lang w:val="en-US" w:eastAsia="en-US" w:bidi="ar-SA"/>
      </w:rPr>
    </w:lvl>
    <w:lvl w:ilvl="3">
      <w:start w:val="0"/>
      <w:numFmt w:val="bullet"/>
      <w:lvlText w:val="•"/>
      <w:lvlJc w:val="left"/>
      <w:pPr>
        <w:ind w:left="2783" w:hanging="360"/>
      </w:pPr>
      <w:rPr>
        <w:rFonts w:hint="default"/>
        <w:lang w:val="en-US" w:eastAsia="en-US" w:bidi="ar-SA"/>
      </w:rPr>
    </w:lvl>
    <w:lvl w:ilvl="4">
      <w:start w:val="0"/>
      <w:numFmt w:val="bullet"/>
      <w:lvlText w:val="•"/>
      <w:lvlJc w:val="left"/>
      <w:pPr>
        <w:ind w:left="3591" w:hanging="360"/>
      </w:pPr>
      <w:rPr>
        <w:rFonts w:hint="default"/>
        <w:lang w:val="en-US" w:eastAsia="en-US" w:bidi="ar-SA"/>
      </w:rPr>
    </w:lvl>
    <w:lvl w:ilvl="5">
      <w:start w:val="0"/>
      <w:numFmt w:val="bullet"/>
      <w:lvlText w:val="•"/>
      <w:lvlJc w:val="left"/>
      <w:pPr>
        <w:ind w:left="4398" w:hanging="360"/>
      </w:pPr>
      <w:rPr>
        <w:rFonts w:hint="default"/>
        <w:lang w:val="en-US" w:eastAsia="en-US" w:bidi="ar-SA"/>
      </w:rPr>
    </w:lvl>
    <w:lvl w:ilvl="6">
      <w:start w:val="0"/>
      <w:numFmt w:val="bullet"/>
      <w:lvlText w:val="•"/>
      <w:lvlJc w:val="left"/>
      <w:pPr>
        <w:ind w:left="5206" w:hanging="360"/>
      </w:pPr>
      <w:rPr>
        <w:rFonts w:hint="default"/>
        <w:lang w:val="en-US" w:eastAsia="en-US" w:bidi="ar-SA"/>
      </w:rPr>
    </w:lvl>
    <w:lvl w:ilvl="7">
      <w:start w:val="0"/>
      <w:numFmt w:val="bullet"/>
      <w:lvlText w:val="•"/>
      <w:lvlJc w:val="left"/>
      <w:pPr>
        <w:ind w:left="6014" w:hanging="360"/>
      </w:pPr>
      <w:rPr>
        <w:rFonts w:hint="default"/>
        <w:lang w:val="en-US" w:eastAsia="en-US" w:bidi="ar-SA"/>
      </w:rPr>
    </w:lvl>
    <w:lvl w:ilvl="8">
      <w:start w:val="0"/>
      <w:numFmt w:val="bullet"/>
      <w:lvlText w:val="•"/>
      <w:lvlJc w:val="left"/>
      <w:pPr>
        <w:ind w:left="6822" w:hanging="360"/>
      </w:pPr>
      <w:rPr>
        <w:rFonts w:hint="default"/>
        <w:lang w:val="en-US" w:eastAsia="en-US" w:bidi="ar-SA"/>
      </w:rPr>
    </w:lvl>
  </w:abstractNum>
  <w:abstractNum w:abstractNumId="14">
    <w:multiLevelType w:val="hybridMultilevel"/>
    <w:lvl w:ilvl="0">
      <w:start w:val="1"/>
      <w:numFmt w:val="decimal"/>
      <w:lvlText w:val="%1"/>
      <w:lvlJc w:val="left"/>
      <w:pPr>
        <w:ind w:left="856" w:hanging="577"/>
        <w:jc w:val="left"/>
      </w:pPr>
      <w:rPr>
        <w:rFonts w:hint="default"/>
        <w:lang w:val="en-US" w:eastAsia="en-US" w:bidi="ar-SA"/>
      </w:rPr>
    </w:lvl>
    <w:lvl w:ilvl="1">
      <w:start w:val="2"/>
      <w:numFmt w:val="decimal"/>
      <w:lvlText w:val="%1.%2"/>
      <w:lvlJc w:val="left"/>
      <w:pPr>
        <w:ind w:left="856" w:hanging="577"/>
        <w:jc w:val="left"/>
      </w:pPr>
      <w:rPr>
        <w:rFonts w:hint="default" w:ascii="Trebuchet MS" w:hAnsi="Trebuchet MS" w:eastAsia="Trebuchet MS" w:cs="Trebuchet MS"/>
        <w:color w:val="1F6647"/>
        <w:spacing w:val="-2"/>
        <w:w w:val="82"/>
        <w:sz w:val="22"/>
        <w:szCs w:val="22"/>
        <w:lang w:val="en-US" w:eastAsia="en-US" w:bidi="ar-SA"/>
      </w:rPr>
    </w:lvl>
    <w:lvl w:ilvl="2">
      <w:start w:val="0"/>
      <w:numFmt w:val="bullet"/>
      <w:lvlText w:val=""/>
      <w:lvlJc w:val="left"/>
      <w:pPr>
        <w:ind w:left="1547" w:hanging="360"/>
      </w:pPr>
      <w:rPr>
        <w:rFonts w:hint="default" w:ascii="Wingdings" w:hAnsi="Wingdings" w:eastAsia="Wingdings" w:cs="Wingdings"/>
        <w:w w:val="100"/>
        <w:sz w:val="22"/>
        <w:szCs w:val="22"/>
        <w:lang w:val="en-US" w:eastAsia="en-US" w:bidi="ar-SA"/>
      </w:rPr>
    </w:lvl>
    <w:lvl w:ilvl="3">
      <w:start w:val="0"/>
      <w:numFmt w:val="bullet"/>
      <w:lvlText w:val="o"/>
      <w:lvlJc w:val="left"/>
      <w:pPr>
        <w:ind w:left="2260" w:hanging="360"/>
      </w:pPr>
      <w:rPr>
        <w:rFonts w:hint="default" w:ascii="Courier New" w:hAnsi="Courier New" w:eastAsia="Courier New" w:cs="Courier New"/>
        <w:w w:val="100"/>
        <w:sz w:val="22"/>
        <w:szCs w:val="22"/>
        <w:lang w:val="en-US" w:eastAsia="en-US" w:bidi="ar-SA"/>
      </w:rPr>
    </w:lvl>
    <w:lvl w:ilvl="4">
      <w:start w:val="0"/>
      <w:numFmt w:val="bullet"/>
      <w:lvlText w:val=""/>
      <w:lvlJc w:val="left"/>
      <w:pPr>
        <w:ind w:left="2981" w:hanging="361"/>
      </w:pPr>
      <w:rPr>
        <w:rFonts w:hint="default" w:ascii="Wingdings" w:hAnsi="Wingdings" w:eastAsia="Wingdings" w:cs="Wingdings"/>
        <w:w w:val="100"/>
        <w:sz w:val="22"/>
        <w:szCs w:val="22"/>
        <w:lang w:val="en-US" w:eastAsia="en-US" w:bidi="ar-SA"/>
      </w:rPr>
    </w:lvl>
    <w:lvl w:ilvl="5">
      <w:start w:val="0"/>
      <w:numFmt w:val="bullet"/>
      <w:lvlText w:val="•"/>
      <w:lvlJc w:val="left"/>
      <w:pPr>
        <w:ind w:left="4065" w:hanging="361"/>
      </w:pPr>
      <w:rPr>
        <w:rFonts w:hint="default"/>
        <w:lang w:val="en-US" w:eastAsia="en-US" w:bidi="ar-SA"/>
      </w:rPr>
    </w:lvl>
    <w:lvl w:ilvl="6">
      <w:start w:val="0"/>
      <w:numFmt w:val="bullet"/>
      <w:lvlText w:val="•"/>
      <w:lvlJc w:val="left"/>
      <w:pPr>
        <w:ind w:left="5150" w:hanging="361"/>
      </w:pPr>
      <w:rPr>
        <w:rFonts w:hint="default"/>
        <w:lang w:val="en-US" w:eastAsia="en-US" w:bidi="ar-SA"/>
      </w:rPr>
    </w:lvl>
    <w:lvl w:ilvl="7">
      <w:start w:val="0"/>
      <w:numFmt w:val="bullet"/>
      <w:lvlText w:val="•"/>
      <w:lvlJc w:val="left"/>
      <w:pPr>
        <w:ind w:left="6235" w:hanging="361"/>
      </w:pPr>
      <w:rPr>
        <w:rFonts w:hint="default"/>
        <w:lang w:val="en-US" w:eastAsia="en-US" w:bidi="ar-SA"/>
      </w:rPr>
    </w:lvl>
    <w:lvl w:ilvl="8">
      <w:start w:val="0"/>
      <w:numFmt w:val="bullet"/>
      <w:lvlText w:val="•"/>
      <w:lvlJc w:val="left"/>
      <w:pPr>
        <w:ind w:left="7320" w:hanging="361"/>
      </w:pPr>
      <w:rPr>
        <w:rFonts w:hint="default"/>
        <w:lang w:val="en-US" w:eastAsia="en-US" w:bidi="ar-SA"/>
      </w:rPr>
    </w:lvl>
  </w:abstractNum>
  <w:abstractNum w:abstractNumId="13">
    <w:multiLevelType w:val="hybridMultilevel"/>
    <w:lvl w:ilvl="0">
      <w:start w:val="1"/>
      <w:numFmt w:val="decimal"/>
      <w:lvlText w:val="%1"/>
      <w:lvlJc w:val="left"/>
      <w:pPr>
        <w:ind w:left="712" w:hanging="433"/>
        <w:jc w:val="right"/>
      </w:pPr>
      <w:rPr>
        <w:rFonts w:hint="default" w:ascii="Arial" w:hAnsi="Arial" w:eastAsia="Arial" w:cs="Arial"/>
        <w:b/>
        <w:bCs/>
        <w:color w:val="1F664D"/>
        <w:w w:val="110"/>
        <w:sz w:val="22"/>
        <w:szCs w:val="22"/>
        <w:lang w:val="en-US" w:eastAsia="en-US" w:bidi="ar-SA"/>
      </w:rPr>
    </w:lvl>
    <w:lvl w:ilvl="1">
      <w:start w:val="1"/>
      <w:numFmt w:val="decimal"/>
      <w:lvlText w:val="%1.%2"/>
      <w:lvlJc w:val="left"/>
      <w:pPr>
        <w:ind w:left="1256" w:hanging="577"/>
        <w:jc w:val="left"/>
      </w:pPr>
      <w:rPr>
        <w:rFonts w:hint="default"/>
        <w:spacing w:val="-2"/>
        <w:w w:val="101"/>
        <w:lang w:val="en-US" w:eastAsia="en-US" w:bidi="ar-SA"/>
      </w:rPr>
    </w:lvl>
    <w:lvl w:ilvl="2">
      <w:start w:val="1"/>
      <w:numFmt w:val="decimal"/>
      <w:lvlText w:val="%1.%2.%3"/>
      <w:lvlJc w:val="left"/>
      <w:pPr>
        <w:ind w:left="1000" w:hanging="577"/>
        <w:jc w:val="left"/>
      </w:pPr>
      <w:rPr>
        <w:rFonts w:hint="default" w:ascii="Trebuchet MS" w:hAnsi="Trebuchet MS" w:eastAsia="Trebuchet MS" w:cs="Trebuchet MS"/>
        <w:color w:val="1F664D"/>
        <w:spacing w:val="-2"/>
        <w:w w:val="82"/>
        <w:sz w:val="22"/>
        <w:szCs w:val="22"/>
        <w:lang w:val="en-US" w:eastAsia="en-US" w:bidi="ar-SA"/>
      </w:rPr>
    </w:lvl>
    <w:lvl w:ilvl="3">
      <w:start w:val="1"/>
      <w:numFmt w:val="upperLetter"/>
      <w:lvlText w:val="%4."/>
      <w:lvlJc w:val="left"/>
      <w:pPr>
        <w:ind w:left="1089" w:hanging="577"/>
        <w:jc w:val="left"/>
      </w:pPr>
      <w:rPr>
        <w:rFonts w:hint="default" w:ascii="Trebuchet MS" w:hAnsi="Trebuchet MS" w:eastAsia="Trebuchet MS" w:cs="Trebuchet MS"/>
        <w:w w:val="80"/>
        <w:sz w:val="22"/>
        <w:szCs w:val="22"/>
        <w:lang w:val="en-US" w:eastAsia="en-US" w:bidi="ar-SA"/>
      </w:rPr>
    </w:lvl>
    <w:lvl w:ilvl="4">
      <w:start w:val="1"/>
      <w:numFmt w:val="decimal"/>
      <w:lvlText w:val="%4.%5."/>
      <w:lvlJc w:val="left"/>
      <w:pPr>
        <w:ind w:left="1269" w:hanging="577"/>
        <w:jc w:val="left"/>
      </w:pPr>
      <w:rPr>
        <w:rFonts w:hint="default" w:ascii="Trebuchet MS" w:hAnsi="Trebuchet MS" w:eastAsia="Trebuchet MS" w:cs="Trebuchet MS"/>
        <w:spacing w:val="-2"/>
        <w:w w:val="80"/>
        <w:sz w:val="22"/>
        <w:szCs w:val="22"/>
        <w:lang w:val="en-US" w:eastAsia="en-US" w:bidi="ar-SA"/>
      </w:rPr>
    </w:lvl>
    <w:lvl w:ilvl="5">
      <w:start w:val="0"/>
      <w:numFmt w:val="bullet"/>
      <w:lvlText w:val=""/>
      <w:lvlJc w:val="left"/>
      <w:pPr>
        <w:ind w:left="1540" w:hanging="577"/>
      </w:pPr>
      <w:rPr>
        <w:rFonts w:hint="default" w:ascii="Wingdings" w:hAnsi="Wingdings" w:eastAsia="Wingdings" w:cs="Wingdings"/>
        <w:w w:val="100"/>
        <w:sz w:val="22"/>
        <w:szCs w:val="22"/>
        <w:lang w:val="en-US" w:eastAsia="en-US" w:bidi="ar-SA"/>
      </w:rPr>
    </w:lvl>
    <w:lvl w:ilvl="6">
      <w:start w:val="0"/>
      <w:numFmt w:val="bullet"/>
      <w:lvlText w:val="o"/>
      <w:lvlJc w:val="left"/>
      <w:pPr>
        <w:ind w:left="2286" w:hanging="577"/>
      </w:pPr>
      <w:rPr>
        <w:rFonts w:hint="default" w:ascii="Courier New" w:hAnsi="Courier New" w:eastAsia="Courier New" w:cs="Courier New"/>
        <w:w w:val="100"/>
        <w:sz w:val="22"/>
        <w:szCs w:val="22"/>
        <w:lang w:val="en-US" w:eastAsia="en-US" w:bidi="ar-SA"/>
      </w:rPr>
    </w:lvl>
    <w:lvl w:ilvl="7">
      <w:start w:val="0"/>
      <w:numFmt w:val="bullet"/>
      <w:lvlText w:val="•"/>
      <w:lvlJc w:val="left"/>
      <w:pPr>
        <w:ind w:left="940" w:hanging="577"/>
      </w:pPr>
      <w:rPr>
        <w:rFonts w:hint="default"/>
        <w:lang w:val="en-US" w:eastAsia="en-US" w:bidi="ar-SA"/>
      </w:rPr>
    </w:lvl>
    <w:lvl w:ilvl="8">
      <w:start w:val="0"/>
      <w:numFmt w:val="bullet"/>
      <w:lvlText w:val="•"/>
      <w:lvlJc w:val="left"/>
      <w:pPr>
        <w:ind w:left="960" w:hanging="577"/>
      </w:pPr>
      <w:rPr>
        <w:rFonts w:hint="default"/>
        <w:lang w:val="en-US" w:eastAsia="en-US" w:bidi="ar-SA"/>
      </w:rPr>
    </w:lvl>
  </w:abstractNum>
  <w:abstractNum w:abstractNumId="12">
    <w:multiLevelType w:val="hybridMultilevel"/>
    <w:lvl w:ilvl="0">
      <w:start w:val="1"/>
      <w:numFmt w:val="decimal"/>
      <w:lvlText w:val="%1"/>
      <w:lvlJc w:val="left"/>
      <w:pPr>
        <w:ind w:left="846" w:hanging="567"/>
        <w:jc w:val="left"/>
      </w:pPr>
      <w:rPr>
        <w:rFonts w:hint="default"/>
        <w:w w:val="112"/>
        <w:lang w:val="en-US" w:eastAsia="en-US" w:bidi="ar-SA"/>
      </w:rPr>
    </w:lvl>
    <w:lvl w:ilvl="1">
      <w:start w:val="1"/>
      <w:numFmt w:val="decimal"/>
      <w:lvlText w:val="%1.%2"/>
      <w:lvlJc w:val="left"/>
      <w:pPr>
        <w:ind w:left="1557" w:hanging="711"/>
        <w:jc w:val="left"/>
      </w:pPr>
      <w:rPr>
        <w:rFonts w:hint="default" w:ascii="Trebuchet MS" w:hAnsi="Trebuchet MS" w:eastAsia="Trebuchet MS" w:cs="Trebuchet MS"/>
        <w:w w:val="98"/>
        <w:sz w:val="20"/>
        <w:szCs w:val="20"/>
        <w:lang w:val="en-US" w:eastAsia="en-US" w:bidi="ar-SA"/>
      </w:rPr>
    </w:lvl>
    <w:lvl w:ilvl="2">
      <w:start w:val="1"/>
      <w:numFmt w:val="decimal"/>
      <w:lvlText w:val="%1.%2.%3"/>
      <w:lvlJc w:val="left"/>
      <w:pPr>
        <w:ind w:left="2265" w:hanging="708"/>
        <w:jc w:val="left"/>
      </w:pPr>
      <w:rPr>
        <w:rFonts w:hint="default" w:ascii="Trebuchet MS" w:hAnsi="Trebuchet MS" w:eastAsia="Trebuchet MS" w:cs="Trebuchet MS"/>
        <w:w w:val="98"/>
        <w:sz w:val="20"/>
        <w:szCs w:val="20"/>
        <w:lang w:val="en-US" w:eastAsia="en-US" w:bidi="ar-SA"/>
      </w:rPr>
    </w:lvl>
    <w:lvl w:ilvl="3">
      <w:start w:val="0"/>
      <w:numFmt w:val="bullet"/>
      <w:lvlText w:val="•"/>
      <w:lvlJc w:val="left"/>
      <w:pPr>
        <w:ind w:left="3401" w:hanging="708"/>
      </w:pPr>
      <w:rPr>
        <w:rFonts w:hint="default"/>
        <w:lang w:val="en-US" w:eastAsia="en-US" w:bidi="ar-SA"/>
      </w:rPr>
    </w:lvl>
    <w:lvl w:ilvl="4">
      <w:start w:val="0"/>
      <w:numFmt w:val="bullet"/>
      <w:lvlText w:val="•"/>
      <w:lvlJc w:val="left"/>
      <w:pPr>
        <w:ind w:left="4542" w:hanging="708"/>
      </w:pPr>
      <w:rPr>
        <w:rFonts w:hint="default"/>
        <w:lang w:val="en-US" w:eastAsia="en-US" w:bidi="ar-SA"/>
      </w:rPr>
    </w:lvl>
    <w:lvl w:ilvl="5">
      <w:start w:val="0"/>
      <w:numFmt w:val="bullet"/>
      <w:lvlText w:val="•"/>
      <w:lvlJc w:val="left"/>
      <w:pPr>
        <w:ind w:left="5683" w:hanging="708"/>
      </w:pPr>
      <w:rPr>
        <w:rFonts w:hint="default"/>
        <w:lang w:val="en-US" w:eastAsia="en-US" w:bidi="ar-SA"/>
      </w:rPr>
    </w:lvl>
    <w:lvl w:ilvl="6">
      <w:start w:val="0"/>
      <w:numFmt w:val="bullet"/>
      <w:lvlText w:val="•"/>
      <w:lvlJc w:val="left"/>
      <w:pPr>
        <w:ind w:left="6824" w:hanging="708"/>
      </w:pPr>
      <w:rPr>
        <w:rFonts w:hint="default"/>
        <w:lang w:val="en-US" w:eastAsia="en-US" w:bidi="ar-SA"/>
      </w:rPr>
    </w:lvl>
    <w:lvl w:ilvl="7">
      <w:start w:val="0"/>
      <w:numFmt w:val="bullet"/>
      <w:lvlText w:val="•"/>
      <w:lvlJc w:val="left"/>
      <w:pPr>
        <w:ind w:left="7965" w:hanging="708"/>
      </w:pPr>
      <w:rPr>
        <w:rFonts w:hint="default"/>
        <w:lang w:val="en-US" w:eastAsia="en-US" w:bidi="ar-SA"/>
      </w:rPr>
    </w:lvl>
    <w:lvl w:ilvl="8">
      <w:start w:val="0"/>
      <w:numFmt w:val="bullet"/>
      <w:lvlText w:val="•"/>
      <w:lvlJc w:val="left"/>
      <w:pPr>
        <w:ind w:left="9106" w:hanging="708"/>
      </w:pPr>
      <w:rPr>
        <w:rFonts w:hint="default"/>
        <w:lang w:val="en-US" w:eastAsia="en-US" w:bidi="ar-SA"/>
      </w:rPr>
    </w:lvl>
  </w:abstractNum>
  <w:abstractNum w:abstractNumId="11">
    <w:multiLevelType w:val="hybridMultilevel"/>
    <w:lvl w:ilvl="0">
      <w:start w:val="1"/>
      <w:numFmt w:val="decimal"/>
      <w:lvlText w:val="%1."/>
      <w:lvlJc w:val="left"/>
      <w:pPr>
        <w:ind w:left="1994" w:hanging="189"/>
        <w:jc w:val="left"/>
      </w:pPr>
      <w:rPr>
        <w:rFonts w:hint="default" w:ascii="Times New Roman" w:hAnsi="Times New Roman" w:eastAsia="Times New Roman" w:cs="Times New Roman"/>
        <w:i/>
        <w:spacing w:val="0"/>
        <w:w w:val="100"/>
        <w:sz w:val="18"/>
        <w:szCs w:val="18"/>
        <w:lang w:val="en-US" w:eastAsia="en-US" w:bidi="ar-SA"/>
      </w:rPr>
    </w:lvl>
    <w:lvl w:ilvl="1">
      <w:start w:val="0"/>
      <w:numFmt w:val="bullet"/>
      <w:lvlText w:val="•"/>
      <w:lvlJc w:val="left"/>
      <w:pPr>
        <w:ind w:left="2904" w:hanging="189"/>
      </w:pPr>
      <w:rPr>
        <w:rFonts w:hint="default"/>
        <w:lang w:val="en-US" w:eastAsia="en-US" w:bidi="ar-SA"/>
      </w:rPr>
    </w:lvl>
    <w:lvl w:ilvl="2">
      <w:start w:val="0"/>
      <w:numFmt w:val="bullet"/>
      <w:lvlText w:val="•"/>
      <w:lvlJc w:val="left"/>
      <w:pPr>
        <w:ind w:left="3808" w:hanging="189"/>
      </w:pPr>
      <w:rPr>
        <w:rFonts w:hint="default"/>
        <w:lang w:val="en-US" w:eastAsia="en-US" w:bidi="ar-SA"/>
      </w:rPr>
    </w:lvl>
    <w:lvl w:ilvl="3">
      <w:start w:val="0"/>
      <w:numFmt w:val="bullet"/>
      <w:lvlText w:val="•"/>
      <w:lvlJc w:val="left"/>
      <w:pPr>
        <w:ind w:left="4712" w:hanging="189"/>
      </w:pPr>
      <w:rPr>
        <w:rFonts w:hint="default"/>
        <w:lang w:val="en-US" w:eastAsia="en-US" w:bidi="ar-SA"/>
      </w:rPr>
    </w:lvl>
    <w:lvl w:ilvl="4">
      <w:start w:val="0"/>
      <w:numFmt w:val="bullet"/>
      <w:lvlText w:val="•"/>
      <w:lvlJc w:val="left"/>
      <w:pPr>
        <w:ind w:left="5616" w:hanging="189"/>
      </w:pPr>
      <w:rPr>
        <w:rFonts w:hint="default"/>
        <w:lang w:val="en-US" w:eastAsia="en-US" w:bidi="ar-SA"/>
      </w:rPr>
    </w:lvl>
    <w:lvl w:ilvl="5">
      <w:start w:val="0"/>
      <w:numFmt w:val="bullet"/>
      <w:lvlText w:val="•"/>
      <w:lvlJc w:val="left"/>
      <w:pPr>
        <w:ind w:left="6520" w:hanging="189"/>
      </w:pPr>
      <w:rPr>
        <w:rFonts w:hint="default"/>
        <w:lang w:val="en-US" w:eastAsia="en-US" w:bidi="ar-SA"/>
      </w:rPr>
    </w:lvl>
    <w:lvl w:ilvl="6">
      <w:start w:val="0"/>
      <w:numFmt w:val="bullet"/>
      <w:lvlText w:val="•"/>
      <w:lvlJc w:val="left"/>
      <w:pPr>
        <w:ind w:left="7424" w:hanging="189"/>
      </w:pPr>
      <w:rPr>
        <w:rFonts w:hint="default"/>
        <w:lang w:val="en-US" w:eastAsia="en-US" w:bidi="ar-SA"/>
      </w:rPr>
    </w:lvl>
    <w:lvl w:ilvl="7">
      <w:start w:val="0"/>
      <w:numFmt w:val="bullet"/>
      <w:lvlText w:val="•"/>
      <w:lvlJc w:val="left"/>
      <w:pPr>
        <w:ind w:left="8328" w:hanging="189"/>
      </w:pPr>
      <w:rPr>
        <w:rFonts w:hint="default"/>
        <w:lang w:val="en-US" w:eastAsia="en-US" w:bidi="ar-SA"/>
      </w:rPr>
    </w:lvl>
    <w:lvl w:ilvl="8">
      <w:start w:val="0"/>
      <w:numFmt w:val="bullet"/>
      <w:lvlText w:val="•"/>
      <w:lvlJc w:val="left"/>
      <w:pPr>
        <w:ind w:left="9232" w:hanging="189"/>
      </w:pPr>
      <w:rPr>
        <w:rFonts w:hint="default"/>
        <w:lang w:val="en-US" w:eastAsia="en-US" w:bidi="ar-SA"/>
      </w:rPr>
    </w:lvl>
  </w:abstractNum>
  <w:abstractNum w:abstractNumId="10">
    <w:multiLevelType w:val="hybridMultilevel"/>
    <w:lvl w:ilvl="0">
      <w:start w:val="0"/>
      <w:numFmt w:val="bullet"/>
      <w:lvlText w:val=""/>
      <w:lvlJc w:val="left"/>
      <w:pPr>
        <w:ind w:left="2128" w:hanging="360"/>
      </w:pPr>
      <w:rPr>
        <w:rFonts w:hint="default" w:ascii="Wingdings" w:hAnsi="Wingdings" w:eastAsia="Wingdings" w:cs="Wingdings"/>
        <w:w w:val="99"/>
        <w:sz w:val="20"/>
        <w:szCs w:val="20"/>
        <w:lang w:val="en-US" w:eastAsia="en-US" w:bidi="ar-SA"/>
      </w:rPr>
    </w:lvl>
    <w:lvl w:ilvl="1">
      <w:start w:val="0"/>
      <w:numFmt w:val="bullet"/>
      <w:lvlText w:val="o"/>
      <w:lvlJc w:val="left"/>
      <w:pPr>
        <w:ind w:left="2849" w:hanging="361"/>
      </w:pPr>
      <w:rPr>
        <w:rFonts w:hint="default" w:ascii="Courier New" w:hAnsi="Courier New" w:eastAsia="Courier New" w:cs="Courier New"/>
        <w:w w:val="99"/>
        <w:sz w:val="20"/>
        <w:szCs w:val="20"/>
        <w:lang w:val="en-US" w:eastAsia="en-US" w:bidi="ar-SA"/>
      </w:rPr>
    </w:lvl>
    <w:lvl w:ilvl="2">
      <w:start w:val="0"/>
      <w:numFmt w:val="bullet"/>
      <w:lvlText w:val=""/>
      <w:lvlJc w:val="left"/>
      <w:pPr>
        <w:ind w:left="3569" w:hanging="360"/>
      </w:pPr>
      <w:rPr>
        <w:rFonts w:hint="default" w:ascii="Wingdings" w:hAnsi="Wingdings" w:eastAsia="Wingdings" w:cs="Wingdings"/>
        <w:w w:val="99"/>
        <w:sz w:val="20"/>
        <w:szCs w:val="20"/>
        <w:lang w:val="en-US" w:eastAsia="en-US" w:bidi="ar-SA"/>
      </w:rPr>
    </w:lvl>
    <w:lvl w:ilvl="3">
      <w:start w:val="0"/>
      <w:numFmt w:val="bullet"/>
      <w:lvlText w:val="•"/>
      <w:lvlJc w:val="left"/>
      <w:pPr>
        <w:ind w:left="4495" w:hanging="360"/>
      </w:pPr>
      <w:rPr>
        <w:rFonts w:hint="default"/>
        <w:lang w:val="en-US" w:eastAsia="en-US" w:bidi="ar-SA"/>
      </w:rPr>
    </w:lvl>
    <w:lvl w:ilvl="4">
      <w:start w:val="0"/>
      <w:numFmt w:val="bullet"/>
      <w:lvlText w:val="•"/>
      <w:lvlJc w:val="left"/>
      <w:pPr>
        <w:ind w:left="5430" w:hanging="360"/>
      </w:pPr>
      <w:rPr>
        <w:rFonts w:hint="default"/>
        <w:lang w:val="en-US" w:eastAsia="en-US" w:bidi="ar-SA"/>
      </w:rPr>
    </w:lvl>
    <w:lvl w:ilvl="5">
      <w:start w:val="0"/>
      <w:numFmt w:val="bullet"/>
      <w:lvlText w:val="•"/>
      <w:lvlJc w:val="left"/>
      <w:pPr>
        <w:ind w:left="6365" w:hanging="360"/>
      </w:pPr>
      <w:rPr>
        <w:rFonts w:hint="default"/>
        <w:lang w:val="en-US" w:eastAsia="en-US" w:bidi="ar-SA"/>
      </w:rPr>
    </w:lvl>
    <w:lvl w:ilvl="6">
      <w:start w:val="0"/>
      <w:numFmt w:val="bullet"/>
      <w:lvlText w:val="•"/>
      <w:lvlJc w:val="left"/>
      <w:pPr>
        <w:ind w:left="7300" w:hanging="360"/>
      </w:pPr>
      <w:rPr>
        <w:rFonts w:hint="default"/>
        <w:lang w:val="en-US" w:eastAsia="en-US" w:bidi="ar-SA"/>
      </w:rPr>
    </w:lvl>
    <w:lvl w:ilvl="7">
      <w:start w:val="0"/>
      <w:numFmt w:val="bullet"/>
      <w:lvlText w:val="•"/>
      <w:lvlJc w:val="left"/>
      <w:pPr>
        <w:ind w:left="8235" w:hanging="360"/>
      </w:pPr>
      <w:rPr>
        <w:rFonts w:hint="default"/>
        <w:lang w:val="en-US" w:eastAsia="en-US" w:bidi="ar-SA"/>
      </w:rPr>
    </w:lvl>
    <w:lvl w:ilvl="8">
      <w:start w:val="0"/>
      <w:numFmt w:val="bullet"/>
      <w:lvlText w:val="•"/>
      <w:lvlJc w:val="left"/>
      <w:pPr>
        <w:ind w:left="9170" w:hanging="360"/>
      </w:pPr>
      <w:rPr>
        <w:rFonts w:hint="default"/>
        <w:lang w:val="en-US" w:eastAsia="en-US" w:bidi="ar-SA"/>
      </w:rPr>
    </w:lvl>
  </w:abstractNum>
  <w:abstractNum w:abstractNumId="9">
    <w:multiLevelType w:val="hybridMultilevel"/>
    <w:lvl w:ilvl="0">
      <w:start w:val="1"/>
      <w:numFmt w:val="decimal"/>
      <w:lvlText w:val="%1."/>
      <w:lvlJc w:val="left"/>
      <w:pPr>
        <w:ind w:left="2166" w:hanging="368"/>
        <w:jc w:val="left"/>
      </w:pPr>
      <w:rPr>
        <w:rFonts w:hint="default" w:ascii="Times New Roman" w:hAnsi="Times New Roman" w:eastAsia="Times New Roman" w:cs="Times New Roman"/>
        <w:spacing w:val="0"/>
        <w:w w:val="99"/>
        <w:sz w:val="20"/>
        <w:szCs w:val="20"/>
        <w:lang w:val="en-US" w:eastAsia="en-US" w:bidi="ar-SA"/>
      </w:rPr>
    </w:lvl>
    <w:lvl w:ilvl="1">
      <w:start w:val="1"/>
      <w:numFmt w:val="lowerLetter"/>
      <w:lvlText w:val="%2."/>
      <w:lvlJc w:val="left"/>
      <w:pPr>
        <w:ind w:left="3146" w:hanging="368"/>
        <w:jc w:val="left"/>
      </w:pPr>
      <w:rPr>
        <w:rFonts w:hint="default" w:ascii="Times New Roman" w:hAnsi="Times New Roman" w:eastAsia="Times New Roman" w:cs="Times New Roman"/>
        <w:w w:val="99"/>
        <w:sz w:val="20"/>
        <w:szCs w:val="20"/>
        <w:lang w:val="en-US" w:eastAsia="en-US" w:bidi="ar-SA"/>
      </w:rPr>
    </w:lvl>
    <w:lvl w:ilvl="2">
      <w:start w:val="0"/>
      <w:numFmt w:val="bullet"/>
      <w:lvlText w:val="•"/>
      <w:lvlJc w:val="left"/>
      <w:pPr>
        <w:ind w:left="4017" w:hanging="368"/>
      </w:pPr>
      <w:rPr>
        <w:rFonts w:hint="default"/>
        <w:lang w:val="en-US" w:eastAsia="en-US" w:bidi="ar-SA"/>
      </w:rPr>
    </w:lvl>
    <w:lvl w:ilvl="3">
      <w:start w:val="0"/>
      <w:numFmt w:val="bullet"/>
      <w:lvlText w:val="•"/>
      <w:lvlJc w:val="left"/>
      <w:pPr>
        <w:ind w:left="4895" w:hanging="368"/>
      </w:pPr>
      <w:rPr>
        <w:rFonts w:hint="default"/>
        <w:lang w:val="en-US" w:eastAsia="en-US" w:bidi="ar-SA"/>
      </w:rPr>
    </w:lvl>
    <w:lvl w:ilvl="4">
      <w:start w:val="0"/>
      <w:numFmt w:val="bullet"/>
      <w:lvlText w:val="•"/>
      <w:lvlJc w:val="left"/>
      <w:pPr>
        <w:ind w:left="5773" w:hanging="368"/>
      </w:pPr>
      <w:rPr>
        <w:rFonts w:hint="default"/>
        <w:lang w:val="en-US" w:eastAsia="en-US" w:bidi="ar-SA"/>
      </w:rPr>
    </w:lvl>
    <w:lvl w:ilvl="5">
      <w:start w:val="0"/>
      <w:numFmt w:val="bullet"/>
      <w:lvlText w:val="•"/>
      <w:lvlJc w:val="left"/>
      <w:pPr>
        <w:ind w:left="6651" w:hanging="368"/>
      </w:pPr>
      <w:rPr>
        <w:rFonts w:hint="default"/>
        <w:lang w:val="en-US" w:eastAsia="en-US" w:bidi="ar-SA"/>
      </w:rPr>
    </w:lvl>
    <w:lvl w:ilvl="6">
      <w:start w:val="0"/>
      <w:numFmt w:val="bullet"/>
      <w:lvlText w:val="•"/>
      <w:lvlJc w:val="left"/>
      <w:pPr>
        <w:ind w:left="7528" w:hanging="368"/>
      </w:pPr>
      <w:rPr>
        <w:rFonts w:hint="default"/>
        <w:lang w:val="en-US" w:eastAsia="en-US" w:bidi="ar-SA"/>
      </w:rPr>
    </w:lvl>
    <w:lvl w:ilvl="7">
      <w:start w:val="0"/>
      <w:numFmt w:val="bullet"/>
      <w:lvlText w:val="•"/>
      <w:lvlJc w:val="left"/>
      <w:pPr>
        <w:ind w:left="8406" w:hanging="368"/>
      </w:pPr>
      <w:rPr>
        <w:rFonts w:hint="default"/>
        <w:lang w:val="en-US" w:eastAsia="en-US" w:bidi="ar-SA"/>
      </w:rPr>
    </w:lvl>
    <w:lvl w:ilvl="8">
      <w:start w:val="0"/>
      <w:numFmt w:val="bullet"/>
      <w:lvlText w:val="•"/>
      <w:lvlJc w:val="left"/>
      <w:pPr>
        <w:ind w:left="9284" w:hanging="368"/>
      </w:pPr>
      <w:rPr>
        <w:rFonts w:hint="default"/>
        <w:lang w:val="en-US" w:eastAsia="en-US" w:bidi="ar-SA"/>
      </w:rPr>
    </w:lvl>
  </w:abstractNum>
  <w:abstractNum w:abstractNumId="8">
    <w:multiLevelType w:val="hybridMultilevel"/>
    <w:lvl w:ilvl="0">
      <w:start w:val="1"/>
      <w:numFmt w:val="decimal"/>
      <w:lvlText w:val="%1."/>
      <w:lvlJc w:val="left"/>
      <w:pPr>
        <w:ind w:left="2166" w:hanging="368"/>
        <w:jc w:val="left"/>
      </w:pPr>
      <w:rPr>
        <w:rFonts w:hint="default" w:ascii="Times New Roman" w:hAnsi="Times New Roman" w:eastAsia="Times New Roman" w:cs="Times New Roman"/>
        <w:spacing w:val="0"/>
        <w:w w:val="99"/>
        <w:sz w:val="20"/>
        <w:szCs w:val="20"/>
        <w:lang w:val="en-US" w:eastAsia="en-US" w:bidi="ar-SA"/>
      </w:rPr>
    </w:lvl>
    <w:lvl w:ilvl="1">
      <w:start w:val="0"/>
      <w:numFmt w:val="bullet"/>
      <w:lvlText w:val="•"/>
      <w:lvlJc w:val="left"/>
      <w:pPr>
        <w:ind w:left="3048" w:hanging="368"/>
      </w:pPr>
      <w:rPr>
        <w:rFonts w:hint="default"/>
        <w:lang w:val="en-US" w:eastAsia="en-US" w:bidi="ar-SA"/>
      </w:rPr>
    </w:lvl>
    <w:lvl w:ilvl="2">
      <w:start w:val="0"/>
      <w:numFmt w:val="bullet"/>
      <w:lvlText w:val="•"/>
      <w:lvlJc w:val="left"/>
      <w:pPr>
        <w:ind w:left="3936" w:hanging="368"/>
      </w:pPr>
      <w:rPr>
        <w:rFonts w:hint="default"/>
        <w:lang w:val="en-US" w:eastAsia="en-US" w:bidi="ar-SA"/>
      </w:rPr>
    </w:lvl>
    <w:lvl w:ilvl="3">
      <w:start w:val="0"/>
      <w:numFmt w:val="bullet"/>
      <w:lvlText w:val="•"/>
      <w:lvlJc w:val="left"/>
      <w:pPr>
        <w:ind w:left="4824" w:hanging="368"/>
      </w:pPr>
      <w:rPr>
        <w:rFonts w:hint="default"/>
        <w:lang w:val="en-US" w:eastAsia="en-US" w:bidi="ar-SA"/>
      </w:rPr>
    </w:lvl>
    <w:lvl w:ilvl="4">
      <w:start w:val="0"/>
      <w:numFmt w:val="bullet"/>
      <w:lvlText w:val="•"/>
      <w:lvlJc w:val="left"/>
      <w:pPr>
        <w:ind w:left="5712" w:hanging="368"/>
      </w:pPr>
      <w:rPr>
        <w:rFonts w:hint="default"/>
        <w:lang w:val="en-US" w:eastAsia="en-US" w:bidi="ar-SA"/>
      </w:rPr>
    </w:lvl>
    <w:lvl w:ilvl="5">
      <w:start w:val="0"/>
      <w:numFmt w:val="bullet"/>
      <w:lvlText w:val="•"/>
      <w:lvlJc w:val="left"/>
      <w:pPr>
        <w:ind w:left="6600" w:hanging="368"/>
      </w:pPr>
      <w:rPr>
        <w:rFonts w:hint="default"/>
        <w:lang w:val="en-US" w:eastAsia="en-US" w:bidi="ar-SA"/>
      </w:rPr>
    </w:lvl>
    <w:lvl w:ilvl="6">
      <w:start w:val="0"/>
      <w:numFmt w:val="bullet"/>
      <w:lvlText w:val="•"/>
      <w:lvlJc w:val="left"/>
      <w:pPr>
        <w:ind w:left="7488" w:hanging="368"/>
      </w:pPr>
      <w:rPr>
        <w:rFonts w:hint="default"/>
        <w:lang w:val="en-US" w:eastAsia="en-US" w:bidi="ar-SA"/>
      </w:rPr>
    </w:lvl>
    <w:lvl w:ilvl="7">
      <w:start w:val="0"/>
      <w:numFmt w:val="bullet"/>
      <w:lvlText w:val="•"/>
      <w:lvlJc w:val="left"/>
      <w:pPr>
        <w:ind w:left="8376" w:hanging="368"/>
      </w:pPr>
      <w:rPr>
        <w:rFonts w:hint="default"/>
        <w:lang w:val="en-US" w:eastAsia="en-US" w:bidi="ar-SA"/>
      </w:rPr>
    </w:lvl>
    <w:lvl w:ilvl="8">
      <w:start w:val="0"/>
      <w:numFmt w:val="bullet"/>
      <w:lvlText w:val="•"/>
      <w:lvlJc w:val="left"/>
      <w:pPr>
        <w:ind w:left="9264" w:hanging="368"/>
      </w:pPr>
      <w:rPr>
        <w:rFonts w:hint="default"/>
        <w:lang w:val="en-US" w:eastAsia="en-US" w:bidi="ar-SA"/>
      </w:rPr>
    </w:lvl>
  </w:abstractNum>
  <w:abstractNum w:abstractNumId="7">
    <w:multiLevelType w:val="hybridMultilevel"/>
    <w:lvl w:ilvl="0">
      <w:start w:val="1"/>
      <w:numFmt w:val="decimal"/>
      <w:lvlText w:val="%1."/>
      <w:lvlJc w:val="left"/>
      <w:pPr>
        <w:ind w:left="2166" w:hanging="368"/>
        <w:jc w:val="left"/>
      </w:pPr>
      <w:rPr>
        <w:rFonts w:hint="default" w:ascii="Times New Roman" w:hAnsi="Times New Roman" w:eastAsia="Times New Roman" w:cs="Times New Roman"/>
        <w:spacing w:val="0"/>
        <w:w w:val="99"/>
        <w:sz w:val="20"/>
        <w:szCs w:val="20"/>
        <w:lang w:val="en-US" w:eastAsia="en-US" w:bidi="ar-SA"/>
      </w:rPr>
    </w:lvl>
    <w:lvl w:ilvl="1">
      <w:start w:val="0"/>
      <w:numFmt w:val="bullet"/>
      <w:lvlText w:val="•"/>
      <w:lvlJc w:val="left"/>
      <w:pPr>
        <w:ind w:left="3048" w:hanging="368"/>
      </w:pPr>
      <w:rPr>
        <w:rFonts w:hint="default"/>
        <w:lang w:val="en-US" w:eastAsia="en-US" w:bidi="ar-SA"/>
      </w:rPr>
    </w:lvl>
    <w:lvl w:ilvl="2">
      <w:start w:val="0"/>
      <w:numFmt w:val="bullet"/>
      <w:lvlText w:val="•"/>
      <w:lvlJc w:val="left"/>
      <w:pPr>
        <w:ind w:left="3936" w:hanging="368"/>
      </w:pPr>
      <w:rPr>
        <w:rFonts w:hint="default"/>
        <w:lang w:val="en-US" w:eastAsia="en-US" w:bidi="ar-SA"/>
      </w:rPr>
    </w:lvl>
    <w:lvl w:ilvl="3">
      <w:start w:val="0"/>
      <w:numFmt w:val="bullet"/>
      <w:lvlText w:val="•"/>
      <w:lvlJc w:val="left"/>
      <w:pPr>
        <w:ind w:left="4824" w:hanging="368"/>
      </w:pPr>
      <w:rPr>
        <w:rFonts w:hint="default"/>
        <w:lang w:val="en-US" w:eastAsia="en-US" w:bidi="ar-SA"/>
      </w:rPr>
    </w:lvl>
    <w:lvl w:ilvl="4">
      <w:start w:val="0"/>
      <w:numFmt w:val="bullet"/>
      <w:lvlText w:val="•"/>
      <w:lvlJc w:val="left"/>
      <w:pPr>
        <w:ind w:left="5712" w:hanging="368"/>
      </w:pPr>
      <w:rPr>
        <w:rFonts w:hint="default"/>
        <w:lang w:val="en-US" w:eastAsia="en-US" w:bidi="ar-SA"/>
      </w:rPr>
    </w:lvl>
    <w:lvl w:ilvl="5">
      <w:start w:val="0"/>
      <w:numFmt w:val="bullet"/>
      <w:lvlText w:val="•"/>
      <w:lvlJc w:val="left"/>
      <w:pPr>
        <w:ind w:left="6600" w:hanging="368"/>
      </w:pPr>
      <w:rPr>
        <w:rFonts w:hint="default"/>
        <w:lang w:val="en-US" w:eastAsia="en-US" w:bidi="ar-SA"/>
      </w:rPr>
    </w:lvl>
    <w:lvl w:ilvl="6">
      <w:start w:val="0"/>
      <w:numFmt w:val="bullet"/>
      <w:lvlText w:val="•"/>
      <w:lvlJc w:val="left"/>
      <w:pPr>
        <w:ind w:left="7488" w:hanging="368"/>
      </w:pPr>
      <w:rPr>
        <w:rFonts w:hint="default"/>
        <w:lang w:val="en-US" w:eastAsia="en-US" w:bidi="ar-SA"/>
      </w:rPr>
    </w:lvl>
    <w:lvl w:ilvl="7">
      <w:start w:val="0"/>
      <w:numFmt w:val="bullet"/>
      <w:lvlText w:val="•"/>
      <w:lvlJc w:val="left"/>
      <w:pPr>
        <w:ind w:left="8376" w:hanging="368"/>
      </w:pPr>
      <w:rPr>
        <w:rFonts w:hint="default"/>
        <w:lang w:val="en-US" w:eastAsia="en-US" w:bidi="ar-SA"/>
      </w:rPr>
    </w:lvl>
    <w:lvl w:ilvl="8">
      <w:start w:val="0"/>
      <w:numFmt w:val="bullet"/>
      <w:lvlText w:val="•"/>
      <w:lvlJc w:val="left"/>
      <w:pPr>
        <w:ind w:left="9264" w:hanging="368"/>
      </w:pPr>
      <w:rPr>
        <w:rFonts w:hint="default"/>
        <w:lang w:val="en-US" w:eastAsia="en-US" w:bidi="ar-SA"/>
      </w:rPr>
    </w:lvl>
  </w:abstractNum>
  <w:abstractNum w:abstractNumId="6">
    <w:multiLevelType w:val="hybridMultilevel"/>
    <w:lvl w:ilvl="0">
      <w:start w:val="2"/>
      <w:numFmt w:val="decimal"/>
      <w:lvlText w:val="%1"/>
      <w:lvlJc w:val="left"/>
      <w:pPr>
        <w:ind w:left="1540" w:hanging="680"/>
        <w:jc w:val="left"/>
      </w:pPr>
      <w:rPr>
        <w:rFonts w:hint="default"/>
        <w:lang w:val="en-US" w:eastAsia="en-US" w:bidi="ar-SA"/>
      </w:rPr>
    </w:lvl>
    <w:lvl w:ilvl="1">
      <w:start w:val="3"/>
      <w:numFmt w:val="decimal"/>
      <w:lvlText w:val="%1.%2"/>
      <w:lvlJc w:val="left"/>
      <w:pPr>
        <w:ind w:left="1540" w:hanging="680"/>
        <w:jc w:val="left"/>
      </w:pPr>
      <w:rPr>
        <w:rFonts w:hint="default"/>
        <w:lang w:val="en-US" w:eastAsia="en-US" w:bidi="ar-SA"/>
      </w:rPr>
    </w:lvl>
    <w:lvl w:ilvl="2">
      <w:start w:val="1"/>
      <w:numFmt w:val="decimal"/>
      <w:lvlText w:val="%1.%2.%3"/>
      <w:lvlJc w:val="left"/>
      <w:pPr>
        <w:ind w:left="1540" w:hanging="680"/>
        <w:jc w:val="left"/>
      </w:pPr>
      <w:rPr>
        <w:rFonts w:hint="default" w:ascii="Times New Roman" w:hAnsi="Times New Roman" w:eastAsia="Times New Roman" w:cs="Times New Roman"/>
        <w:color w:val="1E6C2C"/>
        <w:spacing w:val="-2"/>
        <w:w w:val="99"/>
        <w:sz w:val="20"/>
        <w:szCs w:val="20"/>
        <w:lang w:val="en-US" w:eastAsia="en-US" w:bidi="ar-SA"/>
      </w:rPr>
    </w:lvl>
    <w:lvl w:ilvl="3">
      <w:start w:val="1"/>
      <w:numFmt w:val="upperLetter"/>
      <w:lvlText w:val="%4."/>
      <w:lvlJc w:val="left"/>
      <w:pPr>
        <w:ind w:left="1554" w:hanging="245"/>
        <w:jc w:val="left"/>
      </w:pPr>
      <w:rPr>
        <w:rFonts w:hint="default" w:ascii="Times New Roman" w:hAnsi="Times New Roman" w:eastAsia="Times New Roman" w:cs="Times New Roman"/>
        <w:b/>
        <w:bCs/>
        <w:w w:val="99"/>
        <w:sz w:val="20"/>
        <w:szCs w:val="20"/>
        <w:lang w:val="en-US" w:eastAsia="en-US" w:bidi="ar-SA"/>
      </w:rPr>
    </w:lvl>
    <w:lvl w:ilvl="4">
      <w:start w:val="1"/>
      <w:numFmt w:val="decimal"/>
      <w:lvlText w:val="%4.%5."/>
      <w:lvlJc w:val="left"/>
      <w:pPr>
        <w:ind w:left="1693" w:hanging="384"/>
        <w:jc w:val="left"/>
      </w:pPr>
      <w:rPr>
        <w:rFonts w:hint="default" w:ascii="Times New Roman" w:hAnsi="Times New Roman" w:eastAsia="Times New Roman" w:cs="Times New Roman"/>
        <w:b/>
        <w:bCs/>
        <w:spacing w:val="-1"/>
        <w:w w:val="99"/>
        <w:sz w:val="20"/>
        <w:szCs w:val="20"/>
        <w:lang w:val="en-US" w:eastAsia="en-US" w:bidi="ar-SA"/>
      </w:rPr>
    </w:lvl>
    <w:lvl w:ilvl="5">
      <w:start w:val="0"/>
      <w:numFmt w:val="bullet"/>
      <w:lvlText w:val="•"/>
      <w:lvlJc w:val="left"/>
      <w:pPr>
        <w:ind w:left="5202" w:hanging="384"/>
      </w:pPr>
      <w:rPr>
        <w:rFonts w:hint="default"/>
        <w:lang w:val="en-US" w:eastAsia="en-US" w:bidi="ar-SA"/>
      </w:rPr>
    </w:lvl>
    <w:lvl w:ilvl="6">
      <w:start w:val="0"/>
      <w:numFmt w:val="bullet"/>
      <w:lvlText w:val="•"/>
      <w:lvlJc w:val="left"/>
      <w:pPr>
        <w:ind w:left="6370" w:hanging="384"/>
      </w:pPr>
      <w:rPr>
        <w:rFonts w:hint="default"/>
        <w:lang w:val="en-US" w:eastAsia="en-US" w:bidi="ar-SA"/>
      </w:rPr>
    </w:lvl>
    <w:lvl w:ilvl="7">
      <w:start w:val="0"/>
      <w:numFmt w:val="bullet"/>
      <w:lvlText w:val="•"/>
      <w:lvlJc w:val="left"/>
      <w:pPr>
        <w:ind w:left="7537" w:hanging="384"/>
      </w:pPr>
      <w:rPr>
        <w:rFonts w:hint="default"/>
        <w:lang w:val="en-US" w:eastAsia="en-US" w:bidi="ar-SA"/>
      </w:rPr>
    </w:lvl>
    <w:lvl w:ilvl="8">
      <w:start w:val="0"/>
      <w:numFmt w:val="bullet"/>
      <w:lvlText w:val="•"/>
      <w:lvlJc w:val="left"/>
      <w:pPr>
        <w:ind w:left="8705" w:hanging="384"/>
      </w:pPr>
      <w:rPr>
        <w:rFonts w:hint="default"/>
        <w:lang w:val="en-US" w:eastAsia="en-US" w:bidi="ar-SA"/>
      </w:rPr>
    </w:lvl>
  </w:abstractNum>
  <w:abstractNum w:abstractNumId="5">
    <w:multiLevelType w:val="hybridMultilevel"/>
    <w:lvl w:ilvl="0">
      <w:start w:val="0"/>
      <w:numFmt w:val="bullet"/>
      <w:lvlText w:val="•"/>
      <w:lvlJc w:val="left"/>
      <w:pPr>
        <w:ind w:left="264" w:hanging="264"/>
      </w:pPr>
      <w:rPr>
        <w:rFonts w:hint="default" w:ascii="Times New Roman" w:hAnsi="Times New Roman" w:eastAsia="Times New Roman" w:cs="Times New Roman"/>
        <w:w w:val="99"/>
        <w:sz w:val="20"/>
        <w:szCs w:val="20"/>
        <w:lang w:val="en-US" w:eastAsia="en-US" w:bidi="ar-SA"/>
      </w:rPr>
    </w:lvl>
    <w:lvl w:ilvl="1">
      <w:start w:val="0"/>
      <w:numFmt w:val="bullet"/>
      <w:lvlText w:val="•"/>
      <w:lvlJc w:val="left"/>
      <w:pPr>
        <w:ind w:left="1159" w:hanging="264"/>
      </w:pPr>
      <w:rPr>
        <w:rFonts w:hint="default"/>
        <w:lang w:val="en-US" w:eastAsia="en-US" w:bidi="ar-SA"/>
      </w:rPr>
    </w:lvl>
    <w:lvl w:ilvl="2">
      <w:start w:val="0"/>
      <w:numFmt w:val="bullet"/>
      <w:lvlText w:val="•"/>
      <w:lvlJc w:val="left"/>
      <w:pPr>
        <w:ind w:left="2059" w:hanging="264"/>
      </w:pPr>
      <w:rPr>
        <w:rFonts w:hint="default"/>
        <w:lang w:val="en-US" w:eastAsia="en-US" w:bidi="ar-SA"/>
      </w:rPr>
    </w:lvl>
    <w:lvl w:ilvl="3">
      <w:start w:val="0"/>
      <w:numFmt w:val="bullet"/>
      <w:lvlText w:val="•"/>
      <w:lvlJc w:val="left"/>
      <w:pPr>
        <w:ind w:left="2958" w:hanging="264"/>
      </w:pPr>
      <w:rPr>
        <w:rFonts w:hint="default"/>
        <w:lang w:val="en-US" w:eastAsia="en-US" w:bidi="ar-SA"/>
      </w:rPr>
    </w:lvl>
    <w:lvl w:ilvl="4">
      <w:start w:val="0"/>
      <w:numFmt w:val="bullet"/>
      <w:lvlText w:val="•"/>
      <w:lvlJc w:val="left"/>
      <w:pPr>
        <w:ind w:left="3858" w:hanging="264"/>
      </w:pPr>
      <w:rPr>
        <w:rFonts w:hint="default"/>
        <w:lang w:val="en-US" w:eastAsia="en-US" w:bidi="ar-SA"/>
      </w:rPr>
    </w:lvl>
    <w:lvl w:ilvl="5">
      <w:start w:val="0"/>
      <w:numFmt w:val="bullet"/>
      <w:lvlText w:val="•"/>
      <w:lvlJc w:val="left"/>
      <w:pPr>
        <w:ind w:left="4757" w:hanging="264"/>
      </w:pPr>
      <w:rPr>
        <w:rFonts w:hint="default"/>
        <w:lang w:val="en-US" w:eastAsia="en-US" w:bidi="ar-SA"/>
      </w:rPr>
    </w:lvl>
    <w:lvl w:ilvl="6">
      <w:start w:val="0"/>
      <w:numFmt w:val="bullet"/>
      <w:lvlText w:val="•"/>
      <w:lvlJc w:val="left"/>
      <w:pPr>
        <w:ind w:left="5657" w:hanging="264"/>
      </w:pPr>
      <w:rPr>
        <w:rFonts w:hint="default"/>
        <w:lang w:val="en-US" w:eastAsia="en-US" w:bidi="ar-SA"/>
      </w:rPr>
    </w:lvl>
    <w:lvl w:ilvl="7">
      <w:start w:val="0"/>
      <w:numFmt w:val="bullet"/>
      <w:lvlText w:val="•"/>
      <w:lvlJc w:val="left"/>
      <w:pPr>
        <w:ind w:left="6557" w:hanging="264"/>
      </w:pPr>
      <w:rPr>
        <w:rFonts w:hint="default"/>
        <w:lang w:val="en-US" w:eastAsia="en-US" w:bidi="ar-SA"/>
      </w:rPr>
    </w:lvl>
    <w:lvl w:ilvl="8">
      <w:start w:val="0"/>
      <w:numFmt w:val="bullet"/>
      <w:lvlText w:val="•"/>
      <w:lvlJc w:val="left"/>
      <w:pPr>
        <w:ind w:left="7456" w:hanging="264"/>
      </w:pPr>
      <w:rPr>
        <w:rFonts w:hint="default"/>
        <w:lang w:val="en-US" w:eastAsia="en-US" w:bidi="ar-SA"/>
      </w:rPr>
    </w:lvl>
  </w:abstractNum>
  <w:abstractNum w:abstractNumId="4">
    <w:multiLevelType w:val="hybridMultilevel"/>
    <w:lvl w:ilvl="0">
      <w:start w:val="0"/>
      <w:numFmt w:val="bullet"/>
      <w:lvlText w:val="•"/>
      <w:lvlJc w:val="left"/>
      <w:pPr>
        <w:ind w:left="264" w:hanging="264"/>
      </w:pPr>
      <w:rPr>
        <w:rFonts w:hint="default" w:ascii="Times New Roman" w:hAnsi="Times New Roman" w:eastAsia="Times New Roman" w:cs="Times New Roman"/>
        <w:w w:val="99"/>
        <w:sz w:val="20"/>
        <w:szCs w:val="20"/>
        <w:lang w:val="en-US" w:eastAsia="en-US" w:bidi="ar-SA"/>
      </w:rPr>
    </w:lvl>
    <w:lvl w:ilvl="1">
      <w:start w:val="0"/>
      <w:numFmt w:val="bullet"/>
      <w:lvlText w:val="•"/>
      <w:lvlJc w:val="left"/>
      <w:pPr>
        <w:ind w:left="1160" w:hanging="264"/>
      </w:pPr>
      <w:rPr>
        <w:rFonts w:hint="default"/>
        <w:lang w:val="en-US" w:eastAsia="en-US" w:bidi="ar-SA"/>
      </w:rPr>
    </w:lvl>
    <w:lvl w:ilvl="2">
      <w:start w:val="0"/>
      <w:numFmt w:val="bullet"/>
      <w:lvlText w:val="•"/>
      <w:lvlJc w:val="left"/>
      <w:pPr>
        <w:ind w:left="2060" w:hanging="264"/>
      </w:pPr>
      <w:rPr>
        <w:rFonts w:hint="default"/>
        <w:lang w:val="en-US" w:eastAsia="en-US" w:bidi="ar-SA"/>
      </w:rPr>
    </w:lvl>
    <w:lvl w:ilvl="3">
      <w:start w:val="0"/>
      <w:numFmt w:val="bullet"/>
      <w:lvlText w:val="•"/>
      <w:lvlJc w:val="left"/>
      <w:pPr>
        <w:ind w:left="2961" w:hanging="264"/>
      </w:pPr>
      <w:rPr>
        <w:rFonts w:hint="default"/>
        <w:lang w:val="en-US" w:eastAsia="en-US" w:bidi="ar-SA"/>
      </w:rPr>
    </w:lvl>
    <w:lvl w:ilvl="4">
      <w:start w:val="0"/>
      <w:numFmt w:val="bullet"/>
      <w:lvlText w:val="•"/>
      <w:lvlJc w:val="left"/>
      <w:pPr>
        <w:ind w:left="3861" w:hanging="264"/>
      </w:pPr>
      <w:rPr>
        <w:rFonts w:hint="default"/>
        <w:lang w:val="en-US" w:eastAsia="en-US" w:bidi="ar-SA"/>
      </w:rPr>
    </w:lvl>
    <w:lvl w:ilvl="5">
      <w:start w:val="0"/>
      <w:numFmt w:val="bullet"/>
      <w:lvlText w:val="•"/>
      <w:lvlJc w:val="left"/>
      <w:pPr>
        <w:ind w:left="4761" w:hanging="264"/>
      </w:pPr>
      <w:rPr>
        <w:rFonts w:hint="default"/>
        <w:lang w:val="en-US" w:eastAsia="en-US" w:bidi="ar-SA"/>
      </w:rPr>
    </w:lvl>
    <w:lvl w:ilvl="6">
      <w:start w:val="0"/>
      <w:numFmt w:val="bullet"/>
      <w:lvlText w:val="•"/>
      <w:lvlJc w:val="left"/>
      <w:pPr>
        <w:ind w:left="5662" w:hanging="264"/>
      </w:pPr>
      <w:rPr>
        <w:rFonts w:hint="default"/>
        <w:lang w:val="en-US" w:eastAsia="en-US" w:bidi="ar-SA"/>
      </w:rPr>
    </w:lvl>
    <w:lvl w:ilvl="7">
      <w:start w:val="0"/>
      <w:numFmt w:val="bullet"/>
      <w:lvlText w:val="•"/>
      <w:lvlJc w:val="left"/>
      <w:pPr>
        <w:ind w:left="6562" w:hanging="264"/>
      </w:pPr>
      <w:rPr>
        <w:rFonts w:hint="default"/>
        <w:lang w:val="en-US" w:eastAsia="en-US" w:bidi="ar-SA"/>
      </w:rPr>
    </w:lvl>
    <w:lvl w:ilvl="8">
      <w:start w:val="0"/>
      <w:numFmt w:val="bullet"/>
      <w:lvlText w:val="•"/>
      <w:lvlJc w:val="left"/>
      <w:pPr>
        <w:ind w:left="7463" w:hanging="264"/>
      </w:pPr>
      <w:rPr>
        <w:rFonts w:hint="default"/>
        <w:lang w:val="en-US" w:eastAsia="en-US" w:bidi="ar-SA"/>
      </w:rPr>
    </w:lvl>
  </w:abstractNum>
  <w:abstractNum w:abstractNumId="3">
    <w:multiLevelType w:val="hybridMultilevel"/>
    <w:lvl w:ilvl="0">
      <w:start w:val="0"/>
      <w:numFmt w:val="bullet"/>
      <w:lvlText w:val="•"/>
      <w:lvlJc w:val="left"/>
      <w:pPr>
        <w:ind w:left="264" w:hanging="264"/>
      </w:pPr>
      <w:rPr>
        <w:rFonts w:hint="default" w:ascii="Times New Roman" w:hAnsi="Times New Roman" w:eastAsia="Times New Roman" w:cs="Times New Roman"/>
        <w:w w:val="99"/>
        <w:sz w:val="20"/>
        <w:szCs w:val="20"/>
        <w:lang w:val="en-US" w:eastAsia="en-US" w:bidi="ar-SA"/>
      </w:rPr>
    </w:lvl>
    <w:lvl w:ilvl="1">
      <w:start w:val="0"/>
      <w:numFmt w:val="bullet"/>
      <w:lvlText w:val="•"/>
      <w:lvlJc w:val="left"/>
      <w:pPr>
        <w:ind w:left="1160" w:hanging="264"/>
      </w:pPr>
      <w:rPr>
        <w:rFonts w:hint="default"/>
        <w:lang w:val="en-US" w:eastAsia="en-US" w:bidi="ar-SA"/>
      </w:rPr>
    </w:lvl>
    <w:lvl w:ilvl="2">
      <w:start w:val="0"/>
      <w:numFmt w:val="bullet"/>
      <w:lvlText w:val="•"/>
      <w:lvlJc w:val="left"/>
      <w:pPr>
        <w:ind w:left="2061" w:hanging="264"/>
      </w:pPr>
      <w:rPr>
        <w:rFonts w:hint="default"/>
        <w:lang w:val="en-US" w:eastAsia="en-US" w:bidi="ar-SA"/>
      </w:rPr>
    </w:lvl>
    <w:lvl w:ilvl="3">
      <w:start w:val="0"/>
      <w:numFmt w:val="bullet"/>
      <w:lvlText w:val="•"/>
      <w:lvlJc w:val="left"/>
      <w:pPr>
        <w:ind w:left="2961" w:hanging="264"/>
      </w:pPr>
      <w:rPr>
        <w:rFonts w:hint="default"/>
        <w:lang w:val="en-US" w:eastAsia="en-US" w:bidi="ar-SA"/>
      </w:rPr>
    </w:lvl>
    <w:lvl w:ilvl="4">
      <w:start w:val="0"/>
      <w:numFmt w:val="bullet"/>
      <w:lvlText w:val="•"/>
      <w:lvlJc w:val="left"/>
      <w:pPr>
        <w:ind w:left="3862" w:hanging="264"/>
      </w:pPr>
      <w:rPr>
        <w:rFonts w:hint="default"/>
        <w:lang w:val="en-US" w:eastAsia="en-US" w:bidi="ar-SA"/>
      </w:rPr>
    </w:lvl>
    <w:lvl w:ilvl="5">
      <w:start w:val="0"/>
      <w:numFmt w:val="bullet"/>
      <w:lvlText w:val="•"/>
      <w:lvlJc w:val="left"/>
      <w:pPr>
        <w:ind w:left="4762" w:hanging="264"/>
      </w:pPr>
      <w:rPr>
        <w:rFonts w:hint="default"/>
        <w:lang w:val="en-US" w:eastAsia="en-US" w:bidi="ar-SA"/>
      </w:rPr>
    </w:lvl>
    <w:lvl w:ilvl="6">
      <w:start w:val="0"/>
      <w:numFmt w:val="bullet"/>
      <w:lvlText w:val="•"/>
      <w:lvlJc w:val="left"/>
      <w:pPr>
        <w:ind w:left="5663" w:hanging="264"/>
      </w:pPr>
      <w:rPr>
        <w:rFonts w:hint="default"/>
        <w:lang w:val="en-US" w:eastAsia="en-US" w:bidi="ar-SA"/>
      </w:rPr>
    </w:lvl>
    <w:lvl w:ilvl="7">
      <w:start w:val="0"/>
      <w:numFmt w:val="bullet"/>
      <w:lvlText w:val="•"/>
      <w:lvlJc w:val="left"/>
      <w:pPr>
        <w:ind w:left="6563" w:hanging="264"/>
      </w:pPr>
      <w:rPr>
        <w:rFonts w:hint="default"/>
        <w:lang w:val="en-US" w:eastAsia="en-US" w:bidi="ar-SA"/>
      </w:rPr>
    </w:lvl>
    <w:lvl w:ilvl="8">
      <w:start w:val="0"/>
      <w:numFmt w:val="bullet"/>
      <w:lvlText w:val="•"/>
      <w:lvlJc w:val="left"/>
      <w:pPr>
        <w:ind w:left="7464" w:hanging="264"/>
      </w:pPr>
      <w:rPr>
        <w:rFonts w:hint="default"/>
        <w:lang w:val="en-US" w:eastAsia="en-US" w:bidi="ar-SA"/>
      </w:rPr>
    </w:lvl>
  </w:abstractNum>
  <w:abstractNum w:abstractNumId="2">
    <w:multiLevelType w:val="hybridMultilevel"/>
    <w:lvl w:ilvl="0">
      <w:start w:val="0"/>
      <w:numFmt w:val="bullet"/>
      <w:lvlText w:val="•"/>
      <w:lvlJc w:val="left"/>
      <w:pPr>
        <w:ind w:left="484" w:hanging="264"/>
      </w:pPr>
      <w:rPr>
        <w:rFonts w:hint="default" w:ascii="Times New Roman" w:hAnsi="Times New Roman" w:eastAsia="Times New Roman" w:cs="Times New Roman"/>
        <w:w w:val="99"/>
        <w:sz w:val="20"/>
        <w:szCs w:val="20"/>
        <w:lang w:val="en-US" w:eastAsia="en-US" w:bidi="ar-SA"/>
      </w:rPr>
    </w:lvl>
    <w:lvl w:ilvl="1">
      <w:start w:val="0"/>
      <w:numFmt w:val="bullet"/>
      <w:lvlText w:val=""/>
      <w:lvlJc w:val="left"/>
      <w:pPr>
        <w:ind w:left="669" w:hanging="360"/>
      </w:pPr>
      <w:rPr>
        <w:rFonts w:hint="default" w:ascii="Wingdings" w:hAnsi="Wingdings" w:eastAsia="Wingdings" w:cs="Wingdings"/>
        <w:w w:val="100"/>
        <w:sz w:val="22"/>
        <w:szCs w:val="22"/>
        <w:lang w:val="en-US" w:eastAsia="en-US" w:bidi="ar-SA"/>
      </w:rPr>
    </w:lvl>
    <w:lvl w:ilvl="2">
      <w:start w:val="0"/>
      <w:numFmt w:val="bullet"/>
      <w:lvlText w:val=""/>
      <w:lvlJc w:val="left"/>
      <w:pPr>
        <w:ind w:left="856" w:hanging="360"/>
      </w:pPr>
      <w:rPr>
        <w:rFonts w:hint="default" w:ascii="Wingdings" w:hAnsi="Wingdings" w:eastAsia="Wingdings" w:cs="Wingdings"/>
        <w:w w:val="100"/>
        <w:sz w:val="22"/>
        <w:szCs w:val="22"/>
        <w:lang w:val="en-US" w:eastAsia="en-US" w:bidi="ar-SA"/>
      </w:rPr>
    </w:lvl>
    <w:lvl w:ilvl="3">
      <w:start w:val="0"/>
      <w:numFmt w:val="bullet"/>
      <w:lvlText w:val="•"/>
      <w:lvlJc w:val="left"/>
      <w:pPr>
        <w:ind w:left="1899" w:hanging="360"/>
      </w:pPr>
      <w:rPr>
        <w:rFonts w:hint="default"/>
        <w:lang w:val="en-US" w:eastAsia="en-US" w:bidi="ar-SA"/>
      </w:rPr>
    </w:lvl>
    <w:lvl w:ilvl="4">
      <w:start w:val="0"/>
      <w:numFmt w:val="bullet"/>
      <w:lvlText w:val="•"/>
      <w:lvlJc w:val="left"/>
      <w:pPr>
        <w:ind w:left="2939" w:hanging="360"/>
      </w:pPr>
      <w:rPr>
        <w:rFonts w:hint="default"/>
        <w:lang w:val="en-US" w:eastAsia="en-US" w:bidi="ar-SA"/>
      </w:rPr>
    </w:lvl>
    <w:lvl w:ilvl="5">
      <w:start w:val="0"/>
      <w:numFmt w:val="bullet"/>
      <w:lvlText w:val="•"/>
      <w:lvlJc w:val="left"/>
      <w:pPr>
        <w:ind w:left="3979" w:hanging="360"/>
      </w:pPr>
      <w:rPr>
        <w:rFonts w:hint="default"/>
        <w:lang w:val="en-US" w:eastAsia="en-US" w:bidi="ar-SA"/>
      </w:rPr>
    </w:lvl>
    <w:lvl w:ilvl="6">
      <w:start w:val="0"/>
      <w:numFmt w:val="bullet"/>
      <w:lvlText w:val="•"/>
      <w:lvlJc w:val="left"/>
      <w:pPr>
        <w:ind w:left="5019" w:hanging="360"/>
      </w:pPr>
      <w:rPr>
        <w:rFonts w:hint="default"/>
        <w:lang w:val="en-US" w:eastAsia="en-US" w:bidi="ar-SA"/>
      </w:rPr>
    </w:lvl>
    <w:lvl w:ilvl="7">
      <w:start w:val="0"/>
      <w:numFmt w:val="bullet"/>
      <w:lvlText w:val="•"/>
      <w:lvlJc w:val="left"/>
      <w:pPr>
        <w:ind w:left="6058" w:hanging="360"/>
      </w:pPr>
      <w:rPr>
        <w:rFonts w:hint="default"/>
        <w:lang w:val="en-US" w:eastAsia="en-US" w:bidi="ar-SA"/>
      </w:rPr>
    </w:lvl>
    <w:lvl w:ilvl="8">
      <w:start w:val="0"/>
      <w:numFmt w:val="bullet"/>
      <w:lvlText w:val="•"/>
      <w:lvlJc w:val="left"/>
      <w:pPr>
        <w:ind w:left="7098" w:hanging="360"/>
      </w:pPr>
      <w:rPr>
        <w:rFonts w:hint="default"/>
        <w:lang w:val="en-US" w:eastAsia="en-US" w:bidi="ar-SA"/>
      </w:rPr>
    </w:lvl>
  </w:abstractNum>
  <w:abstractNum w:abstractNumId="1">
    <w:multiLevelType w:val="hybridMultilevel"/>
    <w:lvl w:ilvl="0">
      <w:start w:val="0"/>
      <w:numFmt w:val="bullet"/>
      <w:lvlText w:val="•"/>
      <w:lvlJc w:val="left"/>
      <w:pPr>
        <w:ind w:left="264" w:hanging="264"/>
      </w:pPr>
      <w:rPr>
        <w:rFonts w:hint="default" w:ascii="Times New Roman" w:hAnsi="Times New Roman" w:eastAsia="Times New Roman" w:cs="Times New Roman"/>
        <w:w w:val="99"/>
        <w:sz w:val="20"/>
        <w:szCs w:val="20"/>
        <w:lang w:val="en-US" w:eastAsia="en-US" w:bidi="ar-SA"/>
      </w:rPr>
    </w:lvl>
    <w:lvl w:ilvl="1">
      <w:start w:val="0"/>
      <w:numFmt w:val="bullet"/>
      <w:lvlText w:val="•"/>
      <w:lvlJc w:val="left"/>
      <w:pPr>
        <w:ind w:left="1160" w:hanging="264"/>
      </w:pPr>
      <w:rPr>
        <w:rFonts w:hint="default"/>
        <w:lang w:val="en-US" w:eastAsia="en-US" w:bidi="ar-SA"/>
      </w:rPr>
    </w:lvl>
    <w:lvl w:ilvl="2">
      <w:start w:val="0"/>
      <w:numFmt w:val="bullet"/>
      <w:lvlText w:val="•"/>
      <w:lvlJc w:val="left"/>
      <w:pPr>
        <w:ind w:left="2060" w:hanging="264"/>
      </w:pPr>
      <w:rPr>
        <w:rFonts w:hint="default"/>
        <w:lang w:val="en-US" w:eastAsia="en-US" w:bidi="ar-SA"/>
      </w:rPr>
    </w:lvl>
    <w:lvl w:ilvl="3">
      <w:start w:val="0"/>
      <w:numFmt w:val="bullet"/>
      <w:lvlText w:val="•"/>
      <w:lvlJc w:val="left"/>
      <w:pPr>
        <w:ind w:left="2961" w:hanging="264"/>
      </w:pPr>
      <w:rPr>
        <w:rFonts w:hint="default"/>
        <w:lang w:val="en-US" w:eastAsia="en-US" w:bidi="ar-SA"/>
      </w:rPr>
    </w:lvl>
    <w:lvl w:ilvl="4">
      <w:start w:val="0"/>
      <w:numFmt w:val="bullet"/>
      <w:lvlText w:val="•"/>
      <w:lvlJc w:val="left"/>
      <w:pPr>
        <w:ind w:left="3861" w:hanging="264"/>
      </w:pPr>
      <w:rPr>
        <w:rFonts w:hint="default"/>
        <w:lang w:val="en-US" w:eastAsia="en-US" w:bidi="ar-SA"/>
      </w:rPr>
    </w:lvl>
    <w:lvl w:ilvl="5">
      <w:start w:val="0"/>
      <w:numFmt w:val="bullet"/>
      <w:lvlText w:val="•"/>
      <w:lvlJc w:val="left"/>
      <w:pPr>
        <w:ind w:left="4761" w:hanging="264"/>
      </w:pPr>
      <w:rPr>
        <w:rFonts w:hint="default"/>
        <w:lang w:val="en-US" w:eastAsia="en-US" w:bidi="ar-SA"/>
      </w:rPr>
    </w:lvl>
    <w:lvl w:ilvl="6">
      <w:start w:val="0"/>
      <w:numFmt w:val="bullet"/>
      <w:lvlText w:val="•"/>
      <w:lvlJc w:val="left"/>
      <w:pPr>
        <w:ind w:left="5662" w:hanging="264"/>
      </w:pPr>
      <w:rPr>
        <w:rFonts w:hint="default"/>
        <w:lang w:val="en-US" w:eastAsia="en-US" w:bidi="ar-SA"/>
      </w:rPr>
    </w:lvl>
    <w:lvl w:ilvl="7">
      <w:start w:val="0"/>
      <w:numFmt w:val="bullet"/>
      <w:lvlText w:val="•"/>
      <w:lvlJc w:val="left"/>
      <w:pPr>
        <w:ind w:left="6562" w:hanging="264"/>
      </w:pPr>
      <w:rPr>
        <w:rFonts w:hint="default"/>
        <w:lang w:val="en-US" w:eastAsia="en-US" w:bidi="ar-SA"/>
      </w:rPr>
    </w:lvl>
    <w:lvl w:ilvl="8">
      <w:start w:val="0"/>
      <w:numFmt w:val="bullet"/>
      <w:lvlText w:val="•"/>
      <w:lvlJc w:val="left"/>
      <w:pPr>
        <w:ind w:left="7462" w:hanging="264"/>
      </w:pPr>
      <w:rPr>
        <w:rFonts w:hint="default"/>
        <w:lang w:val="en-US" w:eastAsia="en-US" w:bidi="ar-SA"/>
      </w:rPr>
    </w:lvl>
  </w:abstractNum>
  <w:abstractNum w:abstractNumId="0">
    <w:multiLevelType w:val="hybridMultilevel"/>
    <w:lvl w:ilvl="0">
      <w:start w:val="1"/>
      <w:numFmt w:val="decimal"/>
      <w:lvlText w:val="%1"/>
      <w:lvlJc w:val="left"/>
      <w:pPr>
        <w:ind w:left="1187" w:hanging="368"/>
        <w:jc w:val="left"/>
      </w:pPr>
      <w:rPr>
        <w:rFonts w:hint="default" w:ascii="Times New Roman" w:hAnsi="Times New Roman" w:eastAsia="Times New Roman" w:cs="Times New Roman"/>
        <w:color w:val="1E6C2C"/>
        <w:w w:val="99"/>
        <w:sz w:val="20"/>
        <w:szCs w:val="20"/>
        <w:lang w:val="en-US" w:eastAsia="en-US" w:bidi="ar-SA"/>
      </w:rPr>
    </w:lvl>
    <w:lvl w:ilvl="1">
      <w:start w:val="1"/>
      <w:numFmt w:val="decimal"/>
      <w:lvlText w:val="%1.%2"/>
      <w:lvlJc w:val="left"/>
      <w:pPr>
        <w:ind w:left="1540" w:hanging="720"/>
        <w:jc w:val="left"/>
      </w:pPr>
      <w:rPr>
        <w:rFonts w:hint="default"/>
        <w:spacing w:val="0"/>
        <w:w w:val="99"/>
        <w:lang w:val="en-US" w:eastAsia="en-US" w:bidi="ar-SA"/>
      </w:rPr>
    </w:lvl>
    <w:lvl w:ilvl="2">
      <w:start w:val="0"/>
      <w:numFmt w:val="bullet"/>
      <w:lvlText w:val="◼"/>
      <w:lvlJc w:val="left"/>
      <w:pPr>
        <w:ind w:left="2044" w:hanging="720"/>
      </w:pPr>
      <w:rPr>
        <w:rFonts w:hint="default" w:ascii="Wingdings" w:hAnsi="Wingdings" w:eastAsia="Wingdings" w:cs="Wingdings"/>
        <w:w w:val="205"/>
        <w:sz w:val="16"/>
        <w:szCs w:val="16"/>
        <w:lang w:val="en-US" w:eastAsia="en-US" w:bidi="ar-SA"/>
      </w:rPr>
    </w:lvl>
    <w:lvl w:ilvl="3">
      <w:start w:val="0"/>
      <w:numFmt w:val="bullet"/>
      <w:lvlText w:val="•"/>
      <w:lvlJc w:val="left"/>
      <w:pPr>
        <w:ind w:left="1920" w:hanging="720"/>
      </w:pPr>
      <w:rPr>
        <w:rFonts w:hint="default"/>
        <w:lang w:val="en-US" w:eastAsia="en-US" w:bidi="ar-SA"/>
      </w:rPr>
    </w:lvl>
    <w:lvl w:ilvl="4">
      <w:start w:val="0"/>
      <w:numFmt w:val="bullet"/>
      <w:lvlText w:val="•"/>
      <w:lvlJc w:val="left"/>
      <w:pPr>
        <w:ind w:left="2040" w:hanging="720"/>
      </w:pPr>
      <w:rPr>
        <w:rFonts w:hint="default"/>
        <w:lang w:val="en-US" w:eastAsia="en-US" w:bidi="ar-SA"/>
      </w:rPr>
    </w:lvl>
    <w:lvl w:ilvl="5">
      <w:start w:val="0"/>
      <w:numFmt w:val="bullet"/>
      <w:lvlText w:val="•"/>
      <w:lvlJc w:val="left"/>
      <w:pPr>
        <w:ind w:left="3540" w:hanging="720"/>
      </w:pPr>
      <w:rPr>
        <w:rFonts w:hint="default"/>
        <w:lang w:val="en-US" w:eastAsia="en-US" w:bidi="ar-SA"/>
      </w:rPr>
    </w:lvl>
    <w:lvl w:ilvl="6">
      <w:start w:val="0"/>
      <w:numFmt w:val="bullet"/>
      <w:lvlText w:val="•"/>
      <w:lvlJc w:val="left"/>
      <w:pPr>
        <w:ind w:left="5040" w:hanging="720"/>
      </w:pPr>
      <w:rPr>
        <w:rFonts w:hint="default"/>
        <w:lang w:val="en-US" w:eastAsia="en-US" w:bidi="ar-SA"/>
      </w:rPr>
    </w:lvl>
    <w:lvl w:ilvl="7">
      <w:start w:val="0"/>
      <w:numFmt w:val="bullet"/>
      <w:lvlText w:val="•"/>
      <w:lvlJc w:val="left"/>
      <w:pPr>
        <w:ind w:left="6540" w:hanging="720"/>
      </w:pPr>
      <w:rPr>
        <w:rFonts w:hint="default"/>
        <w:lang w:val="en-US" w:eastAsia="en-US" w:bidi="ar-SA"/>
      </w:rPr>
    </w:lvl>
    <w:lvl w:ilvl="8">
      <w:start w:val="0"/>
      <w:numFmt w:val="bullet"/>
      <w:lvlText w:val="•"/>
      <w:lvlJc w:val="left"/>
      <w:pPr>
        <w:ind w:left="8040" w:hanging="720"/>
      </w:pPr>
      <w:rPr>
        <w:rFonts w:hint="default"/>
        <w:lang w:val="en-US" w:eastAsia="en-US" w:bidi="ar-SA"/>
      </w:rPr>
    </w:lvl>
  </w:abstract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rebuchet MS" w:hAnsi="Trebuchet MS" w:eastAsia="Trebuchet MS" w:cs="Trebuchet MS"/>
      <w:lang w:val="en-US" w:eastAsia="en-US" w:bidi="ar-SA"/>
    </w:rPr>
  </w:style>
  <w:style w:styleId="BodyText" w:type="paragraph">
    <w:name w:val="Body Text"/>
    <w:basedOn w:val="Normal"/>
    <w:uiPriority w:val="1"/>
    <w:qFormat/>
    <w:pPr/>
    <w:rPr>
      <w:rFonts w:ascii="Trebuchet MS" w:hAnsi="Trebuchet MS" w:eastAsia="Trebuchet MS" w:cs="Trebuchet MS"/>
      <w:sz w:val="22"/>
      <w:szCs w:val="22"/>
      <w:lang w:val="en-US" w:eastAsia="en-US" w:bidi="ar-SA"/>
    </w:rPr>
  </w:style>
  <w:style w:styleId="Heading1" w:type="paragraph">
    <w:name w:val="Heading 1"/>
    <w:basedOn w:val="Normal"/>
    <w:uiPriority w:val="1"/>
    <w:qFormat/>
    <w:pPr>
      <w:spacing w:before="81"/>
      <w:ind w:left="104"/>
      <w:outlineLvl w:val="1"/>
    </w:pPr>
    <w:rPr>
      <w:rFonts w:ascii="Trebuchet MS" w:hAnsi="Trebuchet MS" w:eastAsia="Trebuchet MS" w:cs="Trebuchet MS"/>
      <w:b/>
      <w:bCs/>
      <w:sz w:val="44"/>
      <w:szCs w:val="44"/>
      <w:lang w:val="en-US" w:eastAsia="en-US" w:bidi="ar-SA"/>
    </w:rPr>
  </w:style>
  <w:style w:styleId="Heading2" w:type="paragraph">
    <w:name w:val="Heading 2"/>
    <w:basedOn w:val="Normal"/>
    <w:uiPriority w:val="1"/>
    <w:qFormat/>
    <w:pPr>
      <w:spacing w:before="6"/>
      <w:ind w:left="280"/>
      <w:outlineLvl w:val="2"/>
    </w:pPr>
    <w:rPr>
      <w:rFonts w:ascii="Trebuchet MS" w:hAnsi="Trebuchet MS" w:eastAsia="Trebuchet MS" w:cs="Trebuchet MS"/>
      <w:i/>
      <w:sz w:val="32"/>
      <w:szCs w:val="32"/>
      <w:lang w:val="en-US" w:eastAsia="en-US" w:bidi="ar-SA"/>
    </w:rPr>
  </w:style>
  <w:style w:styleId="Heading3" w:type="paragraph">
    <w:name w:val="Heading 3"/>
    <w:basedOn w:val="Normal"/>
    <w:uiPriority w:val="1"/>
    <w:qFormat/>
    <w:pPr>
      <w:ind w:left="104" w:right="6044"/>
      <w:outlineLvl w:val="3"/>
    </w:pPr>
    <w:rPr>
      <w:rFonts w:ascii="Times New Roman" w:hAnsi="Times New Roman" w:eastAsia="Times New Roman" w:cs="Times New Roman"/>
      <w:b/>
      <w:bCs/>
      <w:sz w:val="24"/>
      <w:szCs w:val="24"/>
      <w:lang w:val="en-US" w:eastAsia="en-US" w:bidi="ar-SA"/>
    </w:rPr>
  </w:style>
  <w:style w:styleId="Heading4" w:type="paragraph">
    <w:name w:val="Heading 4"/>
    <w:basedOn w:val="Normal"/>
    <w:uiPriority w:val="1"/>
    <w:qFormat/>
    <w:pPr>
      <w:outlineLvl w:val="4"/>
    </w:pPr>
    <w:rPr>
      <w:rFonts w:ascii="Trebuchet MS" w:hAnsi="Trebuchet MS" w:eastAsia="Trebuchet MS" w:cs="Trebuchet MS"/>
      <w:sz w:val="24"/>
      <w:szCs w:val="24"/>
      <w:lang w:val="en-US" w:eastAsia="en-US" w:bidi="ar-SA"/>
    </w:rPr>
  </w:style>
  <w:style w:styleId="Heading5" w:type="paragraph">
    <w:name w:val="Heading 5"/>
    <w:basedOn w:val="Normal"/>
    <w:uiPriority w:val="1"/>
    <w:qFormat/>
    <w:pPr>
      <w:spacing w:before="106"/>
      <w:ind w:left="552" w:hanging="433"/>
      <w:outlineLvl w:val="5"/>
    </w:pPr>
    <w:rPr>
      <w:rFonts w:ascii="Times New Roman" w:hAnsi="Times New Roman" w:eastAsia="Times New Roman" w:cs="Times New Roman"/>
      <w:b/>
      <w:bCs/>
      <w:sz w:val="22"/>
      <w:szCs w:val="22"/>
      <w:lang w:val="en-US" w:eastAsia="en-US" w:bidi="ar-SA"/>
    </w:rPr>
  </w:style>
  <w:style w:styleId="ListParagraph" w:type="paragraph">
    <w:name w:val="List Paragraph"/>
    <w:basedOn w:val="Normal"/>
    <w:uiPriority w:val="1"/>
    <w:qFormat/>
    <w:pPr>
      <w:ind w:left="2265" w:hanging="709"/>
    </w:pPr>
    <w:rPr>
      <w:rFonts w:ascii="Trebuchet MS" w:hAnsi="Trebuchet MS" w:eastAsia="Trebuchet MS" w:cs="Trebuchet MS"/>
      <w:lang w:val="en-US" w:eastAsia="en-US" w:bidi="ar-SA"/>
    </w:rPr>
  </w:style>
  <w:style w:styleId="TableParagraph" w:type="paragraph">
    <w:name w:val="Table Paragraph"/>
    <w:basedOn w:val="Normal"/>
    <w:uiPriority w:val="1"/>
    <w:qFormat/>
    <w:pPr>
      <w:jc w:val="center"/>
    </w:pPr>
    <w:rPr>
      <w:rFonts w:ascii="Trebuchet MS" w:hAnsi="Trebuchet MS" w:eastAsia="Trebuchet MS" w:cs="Trebuchet MS"/>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header" Target="header2.xml"/><Relationship Id="rId29" Type="http://schemas.openxmlformats.org/officeDocument/2006/relationships/footer" Target="footer2.xml"/><Relationship Id="rId30" Type="http://schemas.openxmlformats.org/officeDocument/2006/relationships/header" Target="header3.xml"/><Relationship Id="rId31" Type="http://schemas.openxmlformats.org/officeDocument/2006/relationships/footer" Target="footer3.xml"/><Relationship Id="rId32" Type="http://schemas.openxmlformats.org/officeDocument/2006/relationships/image" Target="media/image22.jpeg"/><Relationship Id="rId33" Type="http://schemas.openxmlformats.org/officeDocument/2006/relationships/header" Target="header4.xml"/><Relationship Id="rId34" Type="http://schemas.openxmlformats.org/officeDocument/2006/relationships/footer" Target="footer4.xml"/><Relationship Id="rId35" Type="http://schemas.openxmlformats.org/officeDocument/2006/relationships/image" Target="media/image23.png"/><Relationship Id="rId36" Type="http://schemas.openxmlformats.org/officeDocument/2006/relationships/header" Target="header5.xml"/><Relationship Id="rId37" Type="http://schemas.openxmlformats.org/officeDocument/2006/relationships/footer" Target="footer5.xml"/><Relationship Id="rId38" Type="http://schemas.openxmlformats.org/officeDocument/2006/relationships/hyperlink" Target="https://www.ivaspartners.co.in/" TargetMode="External"/><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header" Target="header6.xml"/><Relationship Id="rId66" Type="http://schemas.openxmlformats.org/officeDocument/2006/relationships/footer" Target="footer6.xml"/><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header" Target="header7.xml"/><Relationship Id="rId70" Type="http://schemas.openxmlformats.org/officeDocument/2006/relationships/footer" Target="footer7.xml"/><Relationship Id="rId71" Type="http://schemas.openxmlformats.org/officeDocument/2006/relationships/header" Target="header8.xml"/><Relationship Id="rId72" Type="http://schemas.openxmlformats.org/officeDocument/2006/relationships/footer" Target="footer8.xml"/><Relationship Id="rId73" Type="http://schemas.openxmlformats.org/officeDocument/2006/relationships/header" Target="header9.xml"/><Relationship Id="rId74" Type="http://schemas.openxmlformats.org/officeDocument/2006/relationships/footer" Target="footer9.xml"/><Relationship Id="rId75" Type="http://schemas.openxmlformats.org/officeDocument/2006/relationships/image" Target="media/image53.jpeg"/><Relationship Id="rId76" Type="http://schemas.openxmlformats.org/officeDocument/2006/relationships/image" Target="media/image54.jpeg"/><Relationship Id="rId77" Type="http://schemas.openxmlformats.org/officeDocument/2006/relationships/image" Target="media/image55.jpeg"/><Relationship Id="rId78" Type="http://schemas.openxmlformats.org/officeDocument/2006/relationships/image" Target="media/image56.jpeg"/><Relationship Id="rId79" Type="http://schemas.openxmlformats.org/officeDocument/2006/relationships/image" Target="media/image57.jpeg"/><Relationship Id="rId80" Type="http://schemas.openxmlformats.org/officeDocument/2006/relationships/image" Target="media/image58.jpeg"/><Relationship Id="rId81" Type="http://schemas.openxmlformats.org/officeDocument/2006/relationships/image" Target="media/image59.jpe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header" Target="header10.xml"/><Relationship Id="rId93" Type="http://schemas.openxmlformats.org/officeDocument/2006/relationships/footer" Target="footer10.xml"/><Relationship Id="rId94" Type="http://schemas.openxmlformats.org/officeDocument/2006/relationships/image" Target="media/image70.png"/><Relationship Id="rId95" Type="http://schemas.openxmlformats.org/officeDocument/2006/relationships/header" Target="header11.xml"/><Relationship Id="rId96" Type="http://schemas.openxmlformats.org/officeDocument/2006/relationships/footer" Target="footer11.xml"/><Relationship Id="rId97" Type="http://schemas.openxmlformats.org/officeDocument/2006/relationships/image" Target="media/image71.jpeg"/><Relationship Id="rId98" Type="http://schemas.openxmlformats.org/officeDocument/2006/relationships/image" Target="media/image72.jpeg"/><Relationship Id="rId99" Type="http://schemas.openxmlformats.org/officeDocument/2006/relationships/image" Target="media/image73.jpeg"/><Relationship Id="rId100" Type="http://schemas.openxmlformats.org/officeDocument/2006/relationships/image" Target="media/image74.jpeg"/><Relationship Id="rId101" Type="http://schemas.openxmlformats.org/officeDocument/2006/relationships/image" Target="media/image75.jpeg"/><Relationship Id="rId102" Type="http://schemas.openxmlformats.org/officeDocument/2006/relationships/image" Target="media/image76.jpeg"/><Relationship Id="rId103" Type="http://schemas.openxmlformats.org/officeDocument/2006/relationships/image" Target="media/image77.jpeg"/><Relationship Id="rId104" Type="http://schemas.openxmlformats.org/officeDocument/2006/relationships/header" Target="header12.xml"/><Relationship Id="rId105" Type="http://schemas.openxmlformats.org/officeDocument/2006/relationships/footer" Target="footer12.xml"/><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header" Target="header13.xml"/><Relationship Id="rId109" Type="http://schemas.openxmlformats.org/officeDocument/2006/relationships/footer" Target="footer13.xml"/><Relationship Id="rId110" Type="http://schemas.openxmlformats.org/officeDocument/2006/relationships/header" Target="header14.xml"/><Relationship Id="rId111" Type="http://schemas.openxmlformats.org/officeDocument/2006/relationships/footer" Target="footer14.xml"/><Relationship Id="rId112" Type="http://schemas.openxmlformats.org/officeDocument/2006/relationships/image" Target="media/image81.png"/><Relationship Id="rId113" Type="http://schemas.openxmlformats.org/officeDocument/2006/relationships/header" Target="header15.xml"/><Relationship Id="rId114" Type="http://schemas.openxmlformats.org/officeDocument/2006/relationships/footer" Target="footer15.xml"/><Relationship Id="rId115" Type="http://schemas.openxmlformats.org/officeDocument/2006/relationships/image" Target="media/image83.jpeg"/><Relationship Id="rId116" Type="http://schemas.openxmlformats.org/officeDocument/2006/relationships/image" Target="media/image84.jpeg"/><Relationship Id="rId117" Type="http://schemas.openxmlformats.org/officeDocument/2006/relationships/image" Target="media/image85.jpeg"/><Relationship Id="rId118" Type="http://schemas.openxmlformats.org/officeDocument/2006/relationships/image" Target="media/image86.jpeg"/><Relationship Id="rId119" Type="http://schemas.openxmlformats.org/officeDocument/2006/relationships/image" Target="media/image87.jpeg"/><Relationship Id="rId120" Type="http://schemas.openxmlformats.org/officeDocument/2006/relationships/image" Target="media/image88.png"/><Relationship Id="rId121" Type="http://schemas.openxmlformats.org/officeDocument/2006/relationships/image" Target="media/image89.jpeg"/><Relationship Id="rId122" Type="http://schemas.openxmlformats.org/officeDocument/2006/relationships/image" Target="media/image90.png"/><Relationship Id="rId123" Type="http://schemas.openxmlformats.org/officeDocument/2006/relationships/image" Target="media/image91.jpeg"/><Relationship Id="rId124" Type="http://schemas.openxmlformats.org/officeDocument/2006/relationships/image" Target="media/image92.png"/><Relationship Id="rId125" Type="http://schemas.openxmlformats.org/officeDocument/2006/relationships/header" Target="header16.xml"/><Relationship Id="rId126" Type="http://schemas.openxmlformats.org/officeDocument/2006/relationships/footer" Target="footer16.xml"/><Relationship Id="rId127" Type="http://schemas.openxmlformats.org/officeDocument/2006/relationships/image" Target="media/image93.png"/><Relationship Id="rId128" Type="http://schemas.openxmlformats.org/officeDocument/2006/relationships/header" Target="header17.xml"/><Relationship Id="rId129" Type="http://schemas.openxmlformats.org/officeDocument/2006/relationships/footer" Target="footer17.xml"/><Relationship Id="rId130" Type="http://schemas.openxmlformats.org/officeDocument/2006/relationships/image" Target="media/image95.jpeg"/><Relationship Id="rId131" Type="http://schemas.openxmlformats.org/officeDocument/2006/relationships/image" Target="media/image96.jpeg"/><Relationship Id="rId132" Type="http://schemas.openxmlformats.org/officeDocument/2006/relationships/image" Target="media/image97.jpeg"/><Relationship Id="rId133" Type="http://schemas.openxmlformats.org/officeDocument/2006/relationships/image" Target="media/image98.jpeg"/><Relationship Id="rId134" Type="http://schemas.openxmlformats.org/officeDocument/2006/relationships/image" Target="media/image99.jpeg"/><Relationship Id="rId135" Type="http://schemas.openxmlformats.org/officeDocument/2006/relationships/image" Target="media/image100.jpeg"/><Relationship Id="rId136" Type="http://schemas.openxmlformats.org/officeDocument/2006/relationships/header" Target="header18.xml"/><Relationship Id="rId137" Type="http://schemas.openxmlformats.org/officeDocument/2006/relationships/footer" Target="footer18.xml"/><Relationship Id="rId138" Type="http://schemas.openxmlformats.org/officeDocument/2006/relationships/image" Target="media/image101.jpeg"/><Relationship Id="rId139" Type="http://schemas.openxmlformats.org/officeDocument/2006/relationships/image" Target="media/image102.png"/><Relationship Id="rId140" Type="http://schemas.openxmlformats.org/officeDocument/2006/relationships/image" Target="media/image103.png"/><Relationship Id="rId141" Type="http://schemas.openxmlformats.org/officeDocument/2006/relationships/image" Target="media/image104.png"/><Relationship Id="rId142" Type="http://schemas.openxmlformats.org/officeDocument/2006/relationships/image" Target="media/image105.png"/><Relationship Id="rId143" Type="http://schemas.openxmlformats.org/officeDocument/2006/relationships/image" Target="media/image106.png"/><Relationship Id="rId144" Type="http://schemas.openxmlformats.org/officeDocument/2006/relationships/image" Target="media/image107.png"/><Relationship Id="rId145" Type="http://schemas.openxmlformats.org/officeDocument/2006/relationships/image" Target="media/image108.png"/><Relationship Id="rId146" Type="http://schemas.openxmlformats.org/officeDocument/2006/relationships/image" Target="media/image109.png"/><Relationship Id="rId147" Type="http://schemas.openxmlformats.org/officeDocument/2006/relationships/image" Target="media/image110.png"/><Relationship Id="rId148" Type="http://schemas.openxmlformats.org/officeDocument/2006/relationships/image" Target="media/image111.png"/><Relationship Id="rId149" Type="http://schemas.openxmlformats.org/officeDocument/2006/relationships/image" Target="media/image112.png"/><Relationship Id="rId150" Type="http://schemas.openxmlformats.org/officeDocument/2006/relationships/image" Target="media/image113.png"/><Relationship Id="rId151" Type="http://schemas.openxmlformats.org/officeDocument/2006/relationships/image" Target="media/image114.png"/><Relationship Id="rId152" Type="http://schemas.openxmlformats.org/officeDocument/2006/relationships/image" Target="media/image115.png"/><Relationship Id="rId153" Type="http://schemas.openxmlformats.org/officeDocument/2006/relationships/image" Target="media/image116.png"/><Relationship Id="rId154" Type="http://schemas.openxmlformats.org/officeDocument/2006/relationships/image" Target="media/image117.png"/><Relationship Id="rId155" Type="http://schemas.openxmlformats.org/officeDocument/2006/relationships/image" Target="media/image118.png"/><Relationship Id="rId156" Type="http://schemas.openxmlformats.org/officeDocument/2006/relationships/image" Target="media/image119.png"/><Relationship Id="rId157" Type="http://schemas.openxmlformats.org/officeDocument/2006/relationships/image" Target="media/image120.png"/><Relationship Id="rId158" Type="http://schemas.openxmlformats.org/officeDocument/2006/relationships/image" Target="media/image121.png"/><Relationship Id="rId159" Type="http://schemas.openxmlformats.org/officeDocument/2006/relationships/image" Target="media/image122.png"/><Relationship Id="rId160" Type="http://schemas.openxmlformats.org/officeDocument/2006/relationships/image" Target="media/image123.png"/><Relationship Id="rId161" Type="http://schemas.openxmlformats.org/officeDocument/2006/relationships/image" Target="media/image124.png"/><Relationship Id="rId162" Type="http://schemas.openxmlformats.org/officeDocument/2006/relationships/image" Target="media/image125.png"/><Relationship Id="rId163" Type="http://schemas.openxmlformats.org/officeDocument/2006/relationships/image" Target="media/image126.png"/><Relationship Id="rId164" Type="http://schemas.openxmlformats.org/officeDocument/2006/relationships/image" Target="media/image127.png"/><Relationship Id="rId165" Type="http://schemas.openxmlformats.org/officeDocument/2006/relationships/image" Target="media/image128.png"/><Relationship Id="rId166" Type="http://schemas.openxmlformats.org/officeDocument/2006/relationships/image" Target="media/image129.png"/><Relationship Id="rId167" Type="http://schemas.openxmlformats.org/officeDocument/2006/relationships/image" Target="media/image130.png"/><Relationship Id="rId168" Type="http://schemas.openxmlformats.org/officeDocument/2006/relationships/image" Target="media/image131.png"/><Relationship Id="rId169" Type="http://schemas.openxmlformats.org/officeDocument/2006/relationships/image" Target="media/image132.png"/><Relationship Id="rId170" Type="http://schemas.openxmlformats.org/officeDocument/2006/relationships/image" Target="media/image133.png"/><Relationship Id="rId171" Type="http://schemas.openxmlformats.org/officeDocument/2006/relationships/image" Target="media/image134.png"/><Relationship Id="rId172" Type="http://schemas.openxmlformats.org/officeDocument/2006/relationships/image" Target="media/image135.png"/><Relationship Id="rId173" Type="http://schemas.openxmlformats.org/officeDocument/2006/relationships/image" Target="media/image136.png"/><Relationship Id="rId174" Type="http://schemas.openxmlformats.org/officeDocument/2006/relationships/image" Target="media/image137.png"/><Relationship Id="rId175" Type="http://schemas.openxmlformats.org/officeDocument/2006/relationships/image" Target="media/image138.png"/><Relationship Id="rId176" Type="http://schemas.openxmlformats.org/officeDocument/2006/relationships/header" Target="header19.xml"/><Relationship Id="rId177" Type="http://schemas.openxmlformats.org/officeDocument/2006/relationships/footer" Target="footer19.xml"/><Relationship Id="rId178" Type="http://schemas.openxmlformats.org/officeDocument/2006/relationships/header" Target="header20.xml"/><Relationship Id="rId179" Type="http://schemas.openxmlformats.org/officeDocument/2006/relationships/footer" Target="footer20.xml"/><Relationship Id="rId180" Type="http://schemas.openxmlformats.org/officeDocument/2006/relationships/header" Target="header21.xml"/><Relationship Id="rId181" Type="http://schemas.openxmlformats.org/officeDocument/2006/relationships/footer" Target="footer21.xml"/><Relationship Id="rId182" Type="http://schemas.openxmlformats.org/officeDocument/2006/relationships/image" Target="media/image139.jpeg"/><Relationship Id="rId183" Type="http://schemas.openxmlformats.org/officeDocument/2006/relationships/image" Target="media/image140.jpeg"/><Relationship Id="rId184" Type="http://schemas.openxmlformats.org/officeDocument/2006/relationships/image" Target="media/image141.jpeg"/><Relationship Id="rId185" Type="http://schemas.openxmlformats.org/officeDocument/2006/relationships/image" Target="media/image142.jpeg"/><Relationship Id="rId186" Type="http://schemas.openxmlformats.org/officeDocument/2006/relationships/image" Target="media/image143.jpeg"/><Relationship Id="rId187" Type="http://schemas.openxmlformats.org/officeDocument/2006/relationships/image" Target="media/image144.jpeg"/><Relationship Id="rId188" Type="http://schemas.openxmlformats.org/officeDocument/2006/relationships/image" Target="media/image145.jpeg"/><Relationship Id="rId189" Type="http://schemas.openxmlformats.org/officeDocument/2006/relationships/header" Target="header22.xml"/><Relationship Id="rId190" Type="http://schemas.openxmlformats.org/officeDocument/2006/relationships/footer" Target="footer22.xml"/><Relationship Id="rId191" Type="http://schemas.openxmlformats.org/officeDocument/2006/relationships/header" Target="header23.xml"/><Relationship Id="rId192" Type="http://schemas.openxmlformats.org/officeDocument/2006/relationships/footer" Target="footer23.xml"/><Relationship Id="rId193" Type="http://schemas.openxmlformats.org/officeDocument/2006/relationships/header" Target="header24.xml"/><Relationship Id="rId194" Type="http://schemas.openxmlformats.org/officeDocument/2006/relationships/footer" Target="footer24.xml"/><Relationship Id="rId195" Type="http://schemas.openxmlformats.org/officeDocument/2006/relationships/image" Target="media/image146.png"/><Relationship Id="rId196" Type="http://schemas.openxmlformats.org/officeDocument/2006/relationships/image" Target="media/image147.png"/><Relationship Id="rId197" Type="http://schemas.openxmlformats.org/officeDocument/2006/relationships/image" Target="media/image148.png"/><Relationship Id="rId198" Type="http://schemas.openxmlformats.org/officeDocument/2006/relationships/image" Target="media/image149.png"/><Relationship Id="rId199" Type="http://schemas.openxmlformats.org/officeDocument/2006/relationships/image" Target="media/image150.png"/><Relationship Id="rId200" Type="http://schemas.openxmlformats.org/officeDocument/2006/relationships/image" Target="media/image151.png"/><Relationship Id="rId201" Type="http://schemas.openxmlformats.org/officeDocument/2006/relationships/image" Target="media/image152.png"/><Relationship Id="rId202" Type="http://schemas.openxmlformats.org/officeDocument/2006/relationships/header" Target="header25.xml"/><Relationship Id="rId203" Type="http://schemas.openxmlformats.org/officeDocument/2006/relationships/footer" Target="footer25.xml"/><Relationship Id="rId204" Type="http://schemas.openxmlformats.org/officeDocument/2006/relationships/image" Target="media/image153.jpeg"/><Relationship Id="rId205" Type="http://schemas.openxmlformats.org/officeDocument/2006/relationships/image" Target="media/image154.jpeg"/><Relationship Id="rId206" Type="http://schemas.openxmlformats.org/officeDocument/2006/relationships/image" Target="media/image155.jpeg"/><Relationship Id="rId207" Type="http://schemas.openxmlformats.org/officeDocument/2006/relationships/image" Target="media/image156.jpeg"/><Relationship Id="rId208" Type="http://schemas.openxmlformats.org/officeDocument/2006/relationships/image" Target="media/image157.jpeg"/><Relationship Id="rId209" Type="http://schemas.openxmlformats.org/officeDocument/2006/relationships/image" Target="media/image158.jpeg"/><Relationship Id="rId210" Type="http://schemas.openxmlformats.org/officeDocument/2006/relationships/image" Target="media/image159.jpeg"/><Relationship Id="rId211" Type="http://schemas.openxmlformats.org/officeDocument/2006/relationships/header" Target="header26.xml"/><Relationship Id="rId212" Type="http://schemas.openxmlformats.org/officeDocument/2006/relationships/footer" Target="footer26.xml"/><Relationship Id="rId213" Type="http://schemas.openxmlformats.org/officeDocument/2006/relationships/image" Target="media/image160.png"/><Relationship Id="rId214" Type="http://schemas.openxmlformats.org/officeDocument/2006/relationships/image" Target="media/image161.png"/><Relationship Id="rId215" Type="http://schemas.openxmlformats.org/officeDocument/2006/relationships/image" Target="media/image162.png"/><Relationship Id="rId216" Type="http://schemas.openxmlformats.org/officeDocument/2006/relationships/image" Target="media/image163.png"/><Relationship Id="rId217" Type="http://schemas.openxmlformats.org/officeDocument/2006/relationships/image" Target="media/image164.png"/><Relationship Id="rId218" Type="http://schemas.openxmlformats.org/officeDocument/2006/relationships/image" Target="media/image165.png"/><Relationship Id="rId219" Type="http://schemas.openxmlformats.org/officeDocument/2006/relationships/image" Target="media/image166.png"/><Relationship Id="rId220" Type="http://schemas.openxmlformats.org/officeDocument/2006/relationships/image" Target="media/image167.png"/><Relationship Id="rId221" Type="http://schemas.openxmlformats.org/officeDocument/2006/relationships/image" Target="media/image168.png"/><Relationship Id="rId222" Type="http://schemas.openxmlformats.org/officeDocument/2006/relationships/header" Target="header27.xml"/><Relationship Id="rId223" Type="http://schemas.openxmlformats.org/officeDocument/2006/relationships/footer" Target="footer27.xml"/><Relationship Id="rId224" Type="http://schemas.openxmlformats.org/officeDocument/2006/relationships/image" Target="media/image169.png"/><Relationship Id="rId225" Type="http://schemas.openxmlformats.org/officeDocument/2006/relationships/image" Target="media/image170.jpeg"/><Relationship Id="rId226" Type="http://schemas.openxmlformats.org/officeDocument/2006/relationships/image" Target="media/image171.jpeg"/><Relationship Id="rId227" Type="http://schemas.openxmlformats.org/officeDocument/2006/relationships/image" Target="media/image172.jpeg"/><Relationship Id="rId228" Type="http://schemas.openxmlformats.org/officeDocument/2006/relationships/image" Target="media/image173.jpeg"/><Relationship Id="rId229" Type="http://schemas.openxmlformats.org/officeDocument/2006/relationships/image" Target="media/image174.jpeg"/><Relationship Id="rId230" Type="http://schemas.openxmlformats.org/officeDocument/2006/relationships/image" Target="media/image175.jpeg"/><Relationship Id="rId231" Type="http://schemas.openxmlformats.org/officeDocument/2006/relationships/header" Target="header28.xml"/><Relationship Id="rId232" Type="http://schemas.openxmlformats.org/officeDocument/2006/relationships/footer" Target="footer28.xml"/><Relationship Id="rId233" Type="http://schemas.openxmlformats.org/officeDocument/2006/relationships/image" Target="media/image176.png"/><Relationship Id="rId234" Type="http://schemas.openxmlformats.org/officeDocument/2006/relationships/header" Target="header29.xml"/><Relationship Id="rId235" Type="http://schemas.openxmlformats.org/officeDocument/2006/relationships/footer" Target="footer29.xml"/><Relationship Id="rId236" Type="http://schemas.openxmlformats.org/officeDocument/2006/relationships/image" Target="media/image177.jpeg"/><Relationship Id="rId237" Type="http://schemas.openxmlformats.org/officeDocument/2006/relationships/image" Target="media/image178.jpeg"/><Relationship Id="rId238" Type="http://schemas.openxmlformats.org/officeDocument/2006/relationships/image" Target="media/image179.jpeg"/><Relationship Id="rId239" Type="http://schemas.openxmlformats.org/officeDocument/2006/relationships/image" Target="media/image180.jpeg"/><Relationship Id="rId240" Type="http://schemas.openxmlformats.org/officeDocument/2006/relationships/image" Target="media/image181.jpeg"/><Relationship Id="rId241" Type="http://schemas.openxmlformats.org/officeDocument/2006/relationships/image" Target="media/image182.jpeg"/><Relationship Id="rId242" Type="http://schemas.openxmlformats.org/officeDocument/2006/relationships/image" Target="media/image183.jpeg"/><Relationship Id="rId243" Type="http://schemas.openxmlformats.org/officeDocument/2006/relationships/image" Target="media/image184.jpeg"/><Relationship Id="rId244" Type="http://schemas.openxmlformats.org/officeDocument/2006/relationships/image" Target="media/image185.jpeg"/><Relationship Id="rId245" Type="http://schemas.openxmlformats.org/officeDocument/2006/relationships/header" Target="header30.xml"/><Relationship Id="rId246" Type="http://schemas.openxmlformats.org/officeDocument/2006/relationships/footer" Target="footer30.xml"/><Relationship Id="rId247" Type="http://schemas.openxmlformats.org/officeDocument/2006/relationships/image" Target="media/image186.png"/><Relationship Id="rId248" Type="http://schemas.openxmlformats.org/officeDocument/2006/relationships/header" Target="header31.xml"/><Relationship Id="rId249" Type="http://schemas.openxmlformats.org/officeDocument/2006/relationships/footer" Target="footer31.xml"/><Relationship Id="rId250" Type="http://schemas.openxmlformats.org/officeDocument/2006/relationships/image" Target="media/image187.jpeg"/><Relationship Id="rId251" Type="http://schemas.openxmlformats.org/officeDocument/2006/relationships/image" Target="media/image188.jpeg"/><Relationship Id="rId252" Type="http://schemas.openxmlformats.org/officeDocument/2006/relationships/image" Target="media/image189.jpeg"/><Relationship Id="rId253" Type="http://schemas.openxmlformats.org/officeDocument/2006/relationships/image" Target="media/image190.jpeg"/><Relationship Id="rId254" Type="http://schemas.openxmlformats.org/officeDocument/2006/relationships/image" Target="media/image191.jpeg"/><Relationship Id="rId255" Type="http://schemas.openxmlformats.org/officeDocument/2006/relationships/image" Target="media/image192.jpeg"/><Relationship Id="rId256" Type="http://schemas.openxmlformats.org/officeDocument/2006/relationships/image" Target="media/image193.jpeg"/><Relationship Id="rId257" Type="http://schemas.openxmlformats.org/officeDocument/2006/relationships/image" Target="media/image194.jpeg"/><Relationship Id="rId258" Type="http://schemas.openxmlformats.org/officeDocument/2006/relationships/header" Target="header32.xml"/><Relationship Id="rId259" Type="http://schemas.openxmlformats.org/officeDocument/2006/relationships/footer" Target="footer32.xml"/><Relationship Id="rId260" Type="http://schemas.openxmlformats.org/officeDocument/2006/relationships/image" Target="media/image195.png"/><Relationship Id="rId261" Type="http://schemas.openxmlformats.org/officeDocument/2006/relationships/header" Target="header33.xml"/><Relationship Id="rId262" Type="http://schemas.openxmlformats.org/officeDocument/2006/relationships/footer" Target="footer33.xml"/><Relationship Id="rId263" Type="http://schemas.openxmlformats.org/officeDocument/2006/relationships/header" Target="header34.xml"/><Relationship Id="rId264" Type="http://schemas.openxmlformats.org/officeDocument/2006/relationships/footer" Target="footer34.xml"/><Relationship Id="rId265" Type="http://schemas.openxmlformats.org/officeDocument/2006/relationships/header" Target="header35.xml"/><Relationship Id="rId266" Type="http://schemas.openxmlformats.org/officeDocument/2006/relationships/footer" Target="footer35.xml"/><Relationship Id="rId267" Type="http://schemas.openxmlformats.org/officeDocument/2006/relationships/image" Target="media/image196.jpeg"/><Relationship Id="rId268" Type="http://schemas.openxmlformats.org/officeDocument/2006/relationships/image" Target="media/image197.jpeg"/><Relationship Id="rId269" Type="http://schemas.openxmlformats.org/officeDocument/2006/relationships/image" Target="media/image198.jpeg"/><Relationship Id="rId270" Type="http://schemas.openxmlformats.org/officeDocument/2006/relationships/image" Target="media/image199.jpeg"/><Relationship Id="rId271" Type="http://schemas.openxmlformats.org/officeDocument/2006/relationships/image" Target="media/image200.jpeg"/><Relationship Id="rId272" Type="http://schemas.openxmlformats.org/officeDocument/2006/relationships/image" Target="media/image201.jpeg"/><Relationship Id="rId273" Type="http://schemas.openxmlformats.org/officeDocument/2006/relationships/image" Target="media/image202.jpeg"/><Relationship Id="rId274" Type="http://schemas.openxmlformats.org/officeDocument/2006/relationships/image" Target="media/image203.png"/><Relationship Id="rId275" Type="http://schemas.openxmlformats.org/officeDocument/2006/relationships/image" Target="media/image204.png"/><Relationship Id="rId276" Type="http://schemas.openxmlformats.org/officeDocument/2006/relationships/image" Target="media/image205.png"/><Relationship Id="rId277" Type="http://schemas.openxmlformats.org/officeDocument/2006/relationships/image" Target="media/image206.png"/><Relationship Id="rId278" Type="http://schemas.openxmlformats.org/officeDocument/2006/relationships/image" Target="media/image207.png"/><Relationship Id="rId279" Type="http://schemas.openxmlformats.org/officeDocument/2006/relationships/image" Target="media/image208.png"/><Relationship Id="rId280" Type="http://schemas.openxmlformats.org/officeDocument/2006/relationships/image" Target="media/image209.png"/><Relationship Id="rId281" Type="http://schemas.openxmlformats.org/officeDocument/2006/relationships/image" Target="media/image210.png"/><Relationship Id="rId282" Type="http://schemas.openxmlformats.org/officeDocument/2006/relationships/image" Target="media/image211.png"/><Relationship Id="rId283" Type="http://schemas.openxmlformats.org/officeDocument/2006/relationships/image" Target="media/image212.png"/><Relationship Id="rId284" Type="http://schemas.openxmlformats.org/officeDocument/2006/relationships/header" Target="header36.xml"/><Relationship Id="rId285" Type="http://schemas.openxmlformats.org/officeDocument/2006/relationships/footer" Target="footer36.xml"/><Relationship Id="rId286" Type="http://schemas.openxmlformats.org/officeDocument/2006/relationships/header" Target="header37.xml"/><Relationship Id="rId287" Type="http://schemas.openxmlformats.org/officeDocument/2006/relationships/footer" Target="footer37.xml"/><Relationship Id="rId288" Type="http://schemas.openxmlformats.org/officeDocument/2006/relationships/image" Target="media/image213.jpeg"/><Relationship Id="rId289" Type="http://schemas.openxmlformats.org/officeDocument/2006/relationships/image" Target="media/image214.jpeg"/><Relationship Id="rId290" Type="http://schemas.openxmlformats.org/officeDocument/2006/relationships/image" Target="media/image215.jpeg"/><Relationship Id="rId291" Type="http://schemas.openxmlformats.org/officeDocument/2006/relationships/image" Target="media/image216.jpeg"/><Relationship Id="rId292" Type="http://schemas.openxmlformats.org/officeDocument/2006/relationships/image" Target="media/image217.jpeg"/><Relationship Id="rId293" Type="http://schemas.openxmlformats.org/officeDocument/2006/relationships/image" Target="media/image218.jpeg"/><Relationship Id="rId294" Type="http://schemas.openxmlformats.org/officeDocument/2006/relationships/image" Target="media/image219.png"/><Relationship Id="rId295" Type="http://schemas.openxmlformats.org/officeDocument/2006/relationships/image" Target="media/image220.png"/><Relationship Id="rId296" Type="http://schemas.openxmlformats.org/officeDocument/2006/relationships/image" Target="media/image221.png"/><Relationship Id="rId297" Type="http://schemas.openxmlformats.org/officeDocument/2006/relationships/image" Target="media/image222.png"/><Relationship Id="rId298" Type="http://schemas.openxmlformats.org/officeDocument/2006/relationships/image" Target="media/image223.png"/><Relationship Id="rId299" Type="http://schemas.openxmlformats.org/officeDocument/2006/relationships/image" Target="media/image224.jpeg"/><Relationship Id="rId300" Type="http://schemas.openxmlformats.org/officeDocument/2006/relationships/image" Target="media/image225.jpeg"/><Relationship Id="rId301" Type="http://schemas.openxmlformats.org/officeDocument/2006/relationships/image" Target="media/image226.jpeg"/><Relationship Id="rId302" Type="http://schemas.openxmlformats.org/officeDocument/2006/relationships/image" Target="media/image227.jpeg"/><Relationship Id="rId303" Type="http://schemas.openxmlformats.org/officeDocument/2006/relationships/image" Target="media/image228.jpeg"/><Relationship Id="rId304" Type="http://schemas.openxmlformats.org/officeDocument/2006/relationships/image" Target="media/image229.jpeg"/><Relationship Id="rId305" Type="http://schemas.openxmlformats.org/officeDocument/2006/relationships/image" Target="media/image230.jpeg"/><Relationship Id="rId306" Type="http://schemas.openxmlformats.org/officeDocument/2006/relationships/image" Target="media/image231.jpeg"/><Relationship Id="rId307" Type="http://schemas.openxmlformats.org/officeDocument/2006/relationships/image" Target="media/image232.jpeg"/><Relationship Id="rId308" Type="http://schemas.openxmlformats.org/officeDocument/2006/relationships/image" Target="media/image233.jpeg"/><Relationship Id="rId309" Type="http://schemas.openxmlformats.org/officeDocument/2006/relationships/image" Target="media/image234.jpeg"/><Relationship Id="rId310" Type="http://schemas.openxmlformats.org/officeDocument/2006/relationships/hyperlink" Target="http://www.ibef.org/" TargetMode="External"/><Relationship Id="rId311" Type="http://schemas.openxmlformats.org/officeDocument/2006/relationships/hyperlink" Target="http://www.mnre.gov.in/" TargetMode="External"/><Relationship Id="rId312" Type="http://schemas.openxmlformats.org/officeDocument/2006/relationships/hyperlink" Target="http://bescom.org/" TargetMode="External"/><Relationship Id="rId313" Type="http://schemas.openxmlformats.org/officeDocument/2006/relationships/image" Target="media/image235.jpeg"/><Relationship Id="rId314" Type="http://schemas.openxmlformats.org/officeDocument/2006/relationships/image" Target="media/image236.jpeg"/><Relationship Id="rId315" Type="http://schemas.openxmlformats.org/officeDocument/2006/relationships/image" Target="media/image237.jpeg"/><Relationship Id="rId316" Type="http://schemas.openxmlformats.org/officeDocument/2006/relationships/image" Target="media/image238.png"/><Relationship Id="rId317" Type="http://schemas.openxmlformats.org/officeDocument/2006/relationships/image" Target="media/image239.jpeg"/><Relationship Id="rId318" Type="http://schemas.openxmlformats.org/officeDocument/2006/relationships/image" Target="media/image240.png"/><Relationship Id="rId319" Type="http://schemas.openxmlformats.org/officeDocument/2006/relationships/image" Target="media/image241.png"/><Relationship Id="rId320" Type="http://schemas.openxmlformats.org/officeDocument/2006/relationships/image" Target="media/image242.jpeg"/><Relationship Id="rId321" Type="http://schemas.openxmlformats.org/officeDocument/2006/relationships/image" Target="media/image243.jpeg"/><Relationship Id="rId322" Type="http://schemas.openxmlformats.org/officeDocument/2006/relationships/image" Target="media/image244.jpeg"/><Relationship Id="rId323" Type="http://schemas.openxmlformats.org/officeDocument/2006/relationships/image" Target="media/image245.jpeg"/><Relationship Id="rId324" Type="http://schemas.openxmlformats.org/officeDocument/2006/relationships/image" Target="media/image246.png"/><Relationship Id="rId325" Type="http://schemas.openxmlformats.org/officeDocument/2006/relationships/image" Target="media/image247.jpeg"/><Relationship Id="rId326" Type="http://schemas.openxmlformats.org/officeDocument/2006/relationships/image" Target="media/image248.jpeg"/><Relationship Id="rId327" Type="http://schemas.openxmlformats.org/officeDocument/2006/relationships/image" Target="media/image249.jpeg"/><Relationship Id="rId328" Type="http://schemas.openxmlformats.org/officeDocument/2006/relationships/image" Target="media/image250.jpeg"/><Relationship Id="rId329" Type="http://schemas.openxmlformats.org/officeDocument/2006/relationships/header" Target="header38.xml"/><Relationship Id="rId330" Type="http://schemas.openxmlformats.org/officeDocument/2006/relationships/footer" Target="footer38.xml"/><Relationship Id="rId331" Type="http://schemas.openxmlformats.org/officeDocument/2006/relationships/header" Target="header39.xml"/><Relationship Id="rId332" Type="http://schemas.openxmlformats.org/officeDocument/2006/relationships/footer" Target="footer39.xml"/><Relationship Id="rId33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jpeg"/></Relationships>

</file>

<file path=word/_rels/footer11.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13.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15.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jpeg"/></Relationships>

</file>

<file path=word/_rels/footer17.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19.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jpeg"/></Relationships>

</file>

<file path=word/_rels/footer21.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23.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25.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27.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29.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31.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33.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35.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37.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38.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39.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png"/></Relationships>

</file>

<file path=word/_rels/footer5.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jpeg"/></Relationships>

</file>

<file path=word/_rels/footer7.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jpeg"/></Relationships>

</file>

<file path=word/_rels/footer8.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jpeg"/></Relationships>

</file>

<file path=word/_rels/footer9.xml.rels><?xml version="1.0" encoding="UTF-8" standalone="yes"?>
<Relationships xmlns="http://schemas.openxmlformats.org/package/2006/relationships"><Relationship Id="rId1" Type="http://schemas.openxmlformats.org/officeDocument/2006/relationships/image" Target="media/image4.png"/><Relationship Id="rId2" Type="http://schemas.openxmlformats.org/officeDocument/2006/relationships/image" Target="media/image3.jpeg"/></Relationships>

</file>

<file path=word/_rels/header11.xml.rels><?xml version="1.0" encoding="UTF-8" standalone="yes"?>
<Relationships xmlns="http://schemas.openxmlformats.org/package/2006/relationships"><Relationship Id="rId1" Type="http://schemas.openxmlformats.org/officeDocument/2006/relationships/image" Target="media/image24.png"/></Relationships>

</file>

<file path=word/_rels/header13.xml.rels><?xml version="1.0" encoding="UTF-8" standalone="yes"?>
<Relationships xmlns="http://schemas.openxmlformats.org/package/2006/relationships"><Relationship Id="rId1" Type="http://schemas.openxmlformats.org/officeDocument/2006/relationships/image" Target="media/image80.png"/></Relationships>

</file>

<file path=word/_rels/header15.xml.rels><?xml version="1.0" encoding="UTF-8" standalone="yes"?>
<Relationships xmlns="http://schemas.openxmlformats.org/package/2006/relationships"><Relationship Id="rId1" Type="http://schemas.openxmlformats.org/officeDocument/2006/relationships/image" Target="media/image82.png"/></Relationships>

</file>

<file path=word/_rels/header17.xml.rels><?xml version="1.0" encoding="UTF-8" standalone="yes"?>
<Relationships xmlns="http://schemas.openxmlformats.org/package/2006/relationships"><Relationship Id="rId1" Type="http://schemas.openxmlformats.org/officeDocument/2006/relationships/image" Target="media/image94.png"/></Relationships>

</file>

<file path=word/_rels/header19.xml.rels><?xml version="1.0" encoding="UTF-8" standalone="yes"?>
<Relationships xmlns="http://schemas.openxmlformats.org/package/2006/relationships"><Relationship Id="rId1" Type="http://schemas.openxmlformats.org/officeDocument/2006/relationships/image" Target="media/image94.png"/></Relationships>

</file>

<file path=word/_rels/header21.xml.rels><?xml version="1.0" encoding="UTF-8" standalone="yes"?>
<Relationships xmlns="http://schemas.openxmlformats.org/package/2006/relationships"><Relationship Id="rId1" Type="http://schemas.openxmlformats.org/officeDocument/2006/relationships/image" Target="media/image94.png"/></Relationships>

</file>

<file path=word/_rels/header23.xml.rels><?xml version="1.0" encoding="UTF-8" standalone="yes"?>
<Relationships xmlns="http://schemas.openxmlformats.org/package/2006/relationships"><Relationship Id="rId1" Type="http://schemas.openxmlformats.org/officeDocument/2006/relationships/image" Target="media/image94.png"/></Relationships>

</file>

<file path=word/_rels/header25.xml.rels><?xml version="1.0" encoding="UTF-8" standalone="yes"?>
<Relationships xmlns="http://schemas.openxmlformats.org/package/2006/relationships"><Relationship Id="rId1" Type="http://schemas.openxmlformats.org/officeDocument/2006/relationships/image" Target="media/image94.png"/></Relationships>

</file>

<file path=word/_rels/header27.xml.rels><?xml version="1.0" encoding="UTF-8" standalone="yes"?>
<Relationships xmlns="http://schemas.openxmlformats.org/package/2006/relationships"><Relationship Id="rId1" Type="http://schemas.openxmlformats.org/officeDocument/2006/relationships/image" Target="media/image94.png"/></Relationships>

</file>

<file path=word/_rels/header29.xml.rels><?xml version="1.0" encoding="UTF-8" standalone="yes"?>
<Relationships xmlns="http://schemas.openxmlformats.org/package/2006/relationships"><Relationship Id="rId1" Type="http://schemas.openxmlformats.org/officeDocument/2006/relationships/image" Target="media/image94.png"/></Relationships>

</file>

<file path=word/_rels/header31.xml.rels><?xml version="1.0" encoding="UTF-8" standalone="yes"?>
<Relationships xmlns="http://schemas.openxmlformats.org/package/2006/relationships"><Relationship Id="rId1" Type="http://schemas.openxmlformats.org/officeDocument/2006/relationships/image" Target="media/image94.png"/></Relationships>

</file>

<file path=word/_rels/header33.xml.rels><?xml version="1.0" encoding="UTF-8" standalone="yes"?>
<Relationships xmlns="http://schemas.openxmlformats.org/package/2006/relationships"><Relationship Id="rId1" Type="http://schemas.openxmlformats.org/officeDocument/2006/relationships/image" Target="media/image94.png"/></Relationships>

</file>

<file path=word/_rels/header35.xml.rels><?xml version="1.0" encoding="UTF-8" standalone="yes"?>
<Relationships xmlns="http://schemas.openxmlformats.org/package/2006/relationships"><Relationship Id="rId1" Type="http://schemas.openxmlformats.org/officeDocument/2006/relationships/image" Target="media/image94.png"/></Relationships>

</file>

<file path=word/_rels/header37.xml.rels><?xml version="1.0" encoding="UTF-8" standalone="yes"?>
<Relationships xmlns="http://schemas.openxmlformats.org/package/2006/relationships"><Relationship Id="rId1" Type="http://schemas.openxmlformats.org/officeDocument/2006/relationships/image" Target="media/image94.png"/></Relationships>

</file>

<file path=word/_rels/header38.xml.rels><?xml version="1.0" encoding="UTF-8" standalone="yes"?>
<Relationships xmlns="http://schemas.openxmlformats.org/package/2006/relationships"><Relationship Id="rId1" Type="http://schemas.openxmlformats.org/officeDocument/2006/relationships/image" Target="media/image94.png"/></Relationships>

</file>

<file path=word/_rels/header39.xml.rels><?xml version="1.0" encoding="UTF-8" standalone="yes"?>
<Relationships xmlns="http://schemas.openxmlformats.org/package/2006/relationships"><Relationship Id="rId1" Type="http://schemas.openxmlformats.org/officeDocument/2006/relationships/image" Target="media/image94.png"/></Relationships>

</file>

<file path=word/_rels/header5.xml.rels><?xml version="1.0" encoding="UTF-8" standalone="yes"?>
<Relationships xmlns="http://schemas.openxmlformats.org/package/2006/relationships"><Relationship Id="rId1" Type="http://schemas.openxmlformats.org/officeDocument/2006/relationships/image" Target="media/image24.png"/></Relationships>

</file>

<file path=word/_rels/header7.xml.rels><?xml version="1.0" encoding="UTF-8" standalone="yes"?>
<Relationships xmlns="http://schemas.openxmlformats.org/package/2006/relationships"><Relationship Id="rId1" Type="http://schemas.openxmlformats.org/officeDocument/2006/relationships/image" Target="media/image24.png"/></Relationships>

</file>

<file path=word/_rels/header8.xml.rels><?xml version="1.0" encoding="UTF-8" standalone="yes"?>
<Relationships xmlns="http://schemas.openxmlformats.org/package/2006/relationships"><Relationship Id="rId1" Type="http://schemas.openxmlformats.org/officeDocument/2006/relationships/image" Target="media/image51.png"/></Relationships>

</file>

<file path=word/_rels/header9.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2020-10-18T19:20:08Z</dcterms:created>
  <dcterms:modified xsi:type="dcterms:W3CDTF">2020-10-18T19:20:08Z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2020-05-30T00:00:00Z</vt:filetime>
  </property>
  <property fmtid="{D5CDD505-2E9C-101B-9397-08002B2CF9AE}" pid="3" name="LastSaved">
    <vt:filetime>2020-10-18T00:00:00Z</vt:filetime>
  </property>
</Properties>
</file>